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80.xml" ContentType="application/vnd.openxmlformats-officedocument.wordprocessingml.footer+xml"/>
  <Override PartName="/word/header10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EA4E1C" w:rsidRDefault="00893651" w:rsidP="00893651">
      <w:pPr>
        <w:tabs>
          <w:tab w:val="left" w:pos="2636"/>
        </w:tabs>
        <w:autoSpaceDE w:val="0"/>
        <w:autoSpaceDN w:val="0"/>
        <w:spacing w:line="240" w:lineRule="auto"/>
        <w:ind w:left="2835" w:firstLine="0"/>
        <w:jc w:val="center"/>
        <w:rPr>
          <w:rFonts w:ascii="Times New Roman" w:hAnsi="Times New Roman" w:cs="SKR HEAD1"/>
          <w:b/>
          <w:i/>
          <w:iCs/>
          <w:color w:val="000000" w:themeColor="text1"/>
          <w:spacing w:val="-4"/>
          <w:sz w:val="80"/>
          <w:szCs w:val="80"/>
          <w:rtl/>
          <w:lang w:eastAsia="ar-SA"/>
        </w:rPr>
      </w:pPr>
      <w:r w:rsidRPr="00EA4E1C">
        <w:rPr>
          <w:noProof/>
          <w:color w:val="000000" w:themeColor="text1"/>
        </w:rPr>
        <mc:AlternateContent>
          <mc:Choice Requires="wps">
            <w:drawing>
              <wp:anchor distT="0" distB="0" distL="114300" distR="114300" simplePos="0" relativeHeight="251666944" behindDoc="1" locked="0" layoutInCell="1" allowOverlap="1" wp14:anchorId="48919BAF" wp14:editId="150E5754">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DB2356" w:rsidRPr="001B6341" w:rsidRDefault="00DB2356" w:rsidP="00893651">
                            <w:pPr>
                              <w:spacing w:before="120"/>
                              <w:ind w:firstLine="17"/>
                              <w:jc w:val="center"/>
                              <w:rPr>
                                <w:rFonts w:ascii="Mosawi" w:hAnsi="Mosawi" w:cs="Mosawi"/>
                                <w:color w:val="000000"/>
                                <w:sz w:val="4"/>
                                <w:szCs w:val="2"/>
                                <w:rtl/>
                              </w:rPr>
                            </w:pPr>
                          </w:p>
                          <w:p w:rsidR="00DB2356" w:rsidRPr="00273612" w:rsidRDefault="00DB2356" w:rsidP="00EB2F52">
                            <w:pPr>
                              <w:spacing w:before="120" w:line="200" w:lineRule="exact"/>
                              <w:ind w:firstLine="17"/>
                              <w:jc w:val="center"/>
                              <w:rPr>
                                <w:rFonts w:cs="HeshamNormal"/>
                                <w:color w:val="FFFFFF" w:themeColor="background1"/>
                                <w:rtl/>
                              </w:rPr>
                            </w:pPr>
                          </w:p>
                          <w:p w:rsidR="00DB2356" w:rsidRPr="001B6341" w:rsidRDefault="00DB2356" w:rsidP="00EB2F52">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DB2356" w:rsidRPr="00520213" w:rsidRDefault="00DB2356" w:rsidP="00EB2F52">
                            <w:pPr>
                              <w:ind w:firstLine="18"/>
                              <w:jc w:val="center"/>
                              <w:rPr>
                                <w:rFonts w:cs="Abz-2 (Badr)"/>
                                <w:b/>
                                <w:bCs/>
                                <w:color w:val="000000"/>
                                <w:sz w:val="10"/>
                                <w:szCs w:val="10"/>
                                <w:rtl/>
                              </w:rPr>
                            </w:pPr>
                            <w:r w:rsidRPr="00766E35">
                              <w:rPr>
                                <w:rFonts w:cs="Abz-2 (Badr)" w:hint="cs"/>
                                <w:b/>
                                <w:bCs/>
                                <w:color w:val="000000"/>
                                <w:sz w:val="30"/>
                                <w:szCs w:val="30"/>
                                <w:rtl/>
                              </w:rPr>
                              <w:t>محمد عباس دهيني</w:t>
                            </w:r>
                          </w:p>
                          <w:p w:rsidR="00DB2356" w:rsidRPr="002578B1" w:rsidRDefault="00DB2356" w:rsidP="00EB2F52">
                            <w:pPr>
                              <w:ind w:firstLine="18"/>
                              <w:jc w:val="center"/>
                              <w:rPr>
                                <w:rFonts w:cs="Abz-2 (Badr)"/>
                                <w:b/>
                                <w:bCs/>
                                <w:color w:val="000000"/>
                                <w:sz w:val="16"/>
                                <w:szCs w:val="16"/>
                                <w:rtl/>
                              </w:rPr>
                            </w:pPr>
                          </w:p>
                          <w:p w:rsidR="00DB2356" w:rsidRPr="002578B1" w:rsidRDefault="00DB2356" w:rsidP="00EB2F52">
                            <w:pPr>
                              <w:ind w:firstLine="18"/>
                              <w:jc w:val="center"/>
                              <w:rPr>
                                <w:rFonts w:cs="Abz-2 (Badr)"/>
                                <w:b/>
                                <w:bCs/>
                                <w:color w:val="000000"/>
                                <w:sz w:val="16"/>
                                <w:szCs w:val="16"/>
                                <w:rtl/>
                              </w:rPr>
                            </w:pPr>
                          </w:p>
                          <w:p w:rsidR="00DB2356" w:rsidRPr="002578B1" w:rsidRDefault="00DB2356" w:rsidP="00EB2F52">
                            <w:pPr>
                              <w:ind w:firstLine="18"/>
                              <w:jc w:val="center"/>
                              <w:rPr>
                                <w:rFonts w:cs="Taher"/>
                                <w:color w:val="000000"/>
                                <w:sz w:val="16"/>
                                <w:szCs w:val="16"/>
                                <w:rtl/>
                                <w:lang w:bidi="ar-LB"/>
                              </w:rPr>
                            </w:pPr>
                          </w:p>
                          <w:p w:rsidR="00DB2356" w:rsidRPr="001B6341" w:rsidRDefault="00DB2356" w:rsidP="00EB2F52">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DB2356" w:rsidRPr="00BA2384" w:rsidRDefault="00DB2356" w:rsidP="00EB2F52">
                            <w:pPr>
                              <w:ind w:firstLine="18"/>
                              <w:jc w:val="center"/>
                              <w:rPr>
                                <w:rFonts w:cs="Abz-2 (Badr)"/>
                                <w:b/>
                                <w:bCs/>
                                <w:color w:val="000000"/>
                                <w:rtl/>
                              </w:rPr>
                            </w:pPr>
                            <w:r w:rsidRPr="00BA2384">
                              <w:rPr>
                                <w:rFonts w:cs="Abz-2 (Badr)" w:hint="cs"/>
                                <w:b/>
                                <w:bCs/>
                                <w:color w:val="000000"/>
                                <w:sz w:val="32"/>
                                <w:szCs w:val="32"/>
                                <w:rtl/>
                              </w:rPr>
                              <w:t>ربيع سويدان</w:t>
                            </w:r>
                          </w:p>
                          <w:p w:rsidR="00DB2356" w:rsidRPr="00EA1642" w:rsidRDefault="00DB2356" w:rsidP="00893651">
                            <w:pPr>
                              <w:ind w:firstLine="18"/>
                              <w:jc w:val="center"/>
                              <w:rPr>
                                <w:rFonts w:cs="Taher"/>
                                <w:color w:val="000000"/>
                                <w:sz w:val="26"/>
                                <w:szCs w:val="26"/>
                                <w:rtl/>
                              </w:rPr>
                            </w:pPr>
                          </w:p>
                          <w:p w:rsidR="00DB2356" w:rsidRPr="00EA1642" w:rsidRDefault="00DB2356" w:rsidP="00893651">
                            <w:pPr>
                              <w:ind w:firstLine="18"/>
                              <w:jc w:val="center"/>
                              <w:rPr>
                                <w:rFonts w:cs="Taher"/>
                                <w:color w:val="000000"/>
                                <w:sz w:val="26"/>
                                <w:szCs w:val="26"/>
                                <w:rtl/>
                              </w:rPr>
                            </w:pPr>
                          </w:p>
                          <w:p w:rsidR="00DB2356" w:rsidRPr="00BA2384" w:rsidRDefault="00DB2356"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DB2356" w:rsidRPr="00C97F62" w:rsidRDefault="00DB2356" w:rsidP="00893651">
                            <w:pPr>
                              <w:ind w:firstLine="18"/>
                              <w:jc w:val="center"/>
                              <w:rPr>
                                <w:rFonts w:asciiTheme="majorBidi" w:hAnsiTheme="majorBidi" w:cstheme="majorBidi"/>
                                <w:color w:val="000000"/>
                                <w:szCs w:val="28"/>
                                <w:rtl/>
                              </w:rPr>
                            </w:pPr>
                          </w:p>
                          <w:p w:rsidR="00DB2356" w:rsidRDefault="00DB2356" w:rsidP="00893651">
                            <w:pPr>
                              <w:ind w:firstLine="18"/>
                              <w:jc w:val="center"/>
                              <w:rPr>
                                <w:rFonts w:cs="HeshamNormal"/>
                                <w:color w:val="000000"/>
                              </w:rPr>
                            </w:pPr>
                          </w:p>
                          <w:p w:rsidR="00DB2356" w:rsidRDefault="00DB2356" w:rsidP="00893651">
                            <w:pPr>
                              <w:ind w:firstLine="18"/>
                              <w:jc w:val="center"/>
                              <w:rPr>
                                <w:rFonts w:cs="HeshamNormal"/>
                                <w:color w:val="000000"/>
                              </w:rPr>
                            </w:pPr>
                          </w:p>
                          <w:p w:rsidR="00DB2356" w:rsidRDefault="00DB2356" w:rsidP="00893651">
                            <w:pPr>
                              <w:ind w:firstLine="18"/>
                              <w:jc w:val="center"/>
                              <w:rPr>
                                <w:rFonts w:cs="HeshamNormal"/>
                                <w:color w:val="000000"/>
                              </w:rPr>
                            </w:pPr>
                          </w:p>
                          <w:p w:rsidR="00DB2356" w:rsidRDefault="00DB2356" w:rsidP="00893651">
                            <w:pPr>
                              <w:ind w:firstLine="18"/>
                              <w:jc w:val="center"/>
                              <w:rPr>
                                <w:rFonts w:cs="HeshamNormal"/>
                                <w:color w:val="000000"/>
                              </w:rPr>
                            </w:pPr>
                          </w:p>
                          <w:p w:rsidR="00DB2356" w:rsidRDefault="00DB2356" w:rsidP="00893651">
                            <w:pPr>
                              <w:ind w:firstLine="18"/>
                              <w:jc w:val="center"/>
                              <w:rPr>
                                <w:rFonts w:cs="HeshamNormal"/>
                                <w:color w:val="000000"/>
                              </w:rPr>
                            </w:pPr>
                          </w:p>
                          <w:p w:rsidR="00DB2356" w:rsidRPr="00EA1642" w:rsidRDefault="00DB2356" w:rsidP="00F32A58">
                            <w:pPr>
                              <w:ind w:firstLine="17"/>
                              <w:jc w:val="center"/>
                              <w:rPr>
                                <w:rFonts w:ascii="Mosawi" w:hAnsi="Mosawi" w:cs="Abz-3 (Yagut)"/>
                                <w:color w:val="000000"/>
                                <w:sz w:val="27"/>
                                <w:rtl/>
                              </w:rPr>
                            </w:pPr>
                          </w:p>
                          <w:p w:rsidR="00DB2356" w:rsidRPr="00EA1642" w:rsidRDefault="00DB2356" w:rsidP="00F32A58">
                            <w:pPr>
                              <w:ind w:firstLine="17"/>
                              <w:jc w:val="center"/>
                              <w:rPr>
                                <w:rFonts w:cs="Abz-3 (Yagut)"/>
                                <w:b/>
                                <w:bCs/>
                                <w:color w:val="000000"/>
                                <w:sz w:val="27"/>
                                <w:rtl/>
                              </w:rPr>
                            </w:pPr>
                          </w:p>
                          <w:p w:rsidR="00DB2356" w:rsidRPr="00130951" w:rsidRDefault="00DB2356" w:rsidP="0038525D">
                            <w:pPr>
                              <w:ind w:firstLine="17"/>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DB2356" w:rsidRPr="00B8317B" w:rsidRDefault="00DB2356" w:rsidP="00F32A58">
                            <w:pPr>
                              <w:spacing w:line="360" w:lineRule="exact"/>
                              <w:ind w:firstLine="17"/>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DB2356" w:rsidRPr="00C84560" w:rsidRDefault="00DB2356" w:rsidP="00893651">
                            <w:pPr>
                              <w:ind w:firstLine="18"/>
                              <w:jc w:val="center"/>
                              <w:rPr>
                                <w:rFonts w:cs="Abz-3 (Yagut)"/>
                                <w:b/>
                                <w:bCs/>
                                <w:color w:val="000000"/>
                                <w:rtl/>
                              </w:rPr>
                            </w:pPr>
                          </w:p>
                          <w:p w:rsidR="00DB2356" w:rsidRPr="001B6341" w:rsidRDefault="00DB2356"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DB2356" w:rsidRPr="00130951" w:rsidRDefault="00DB2356" w:rsidP="00893651">
                            <w:pPr>
                              <w:ind w:firstLine="18"/>
                              <w:jc w:val="center"/>
                              <w:rPr>
                                <w:rFonts w:cs="HeshamNormal"/>
                                <w:color w:val="000000"/>
                                <w:sz w:val="22"/>
                                <w:szCs w:val="22"/>
                              </w:rPr>
                            </w:pPr>
                            <w:r w:rsidRPr="00130951">
                              <w:rPr>
                                <w:rFonts w:cs="HeshamNormal"/>
                                <w:color w:val="000000"/>
                                <w:sz w:val="22"/>
                                <w:szCs w:val="22"/>
                              </w:rPr>
                              <w:t>Idea Creation</w:t>
                            </w:r>
                          </w:p>
                          <w:p w:rsidR="00DB2356" w:rsidRPr="008F5476" w:rsidRDefault="00DB2356" w:rsidP="00893651">
                            <w:pPr>
                              <w:spacing w:line="460" w:lineRule="exact"/>
                              <w:ind w:firstLine="18"/>
                              <w:jc w:val="center"/>
                              <w:rPr>
                                <w:rFonts w:cs="HeshamNormal"/>
                                <w:color w:val="000000"/>
                                <w:szCs w:val="20"/>
                              </w:rPr>
                            </w:pPr>
                          </w:p>
                          <w:p w:rsidR="00DB2356" w:rsidRPr="00CD4BDD" w:rsidRDefault="00DB2356"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2E72EF" w:rsidRPr="001B6341" w:rsidRDefault="002E72EF" w:rsidP="00893651">
                      <w:pPr>
                        <w:spacing w:before="120"/>
                        <w:ind w:firstLine="17"/>
                        <w:jc w:val="center"/>
                        <w:rPr>
                          <w:rFonts w:ascii="Mosawi" w:hAnsi="Mosawi" w:cs="Mosawi"/>
                          <w:color w:val="000000"/>
                          <w:sz w:val="4"/>
                          <w:szCs w:val="2"/>
                          <w:rtl/>
                        </w:rPr>
                      </w:pPr>
                    </w:p>
                    <w:p w:rsidR="002E72EF" w:rsidRPr="00273612" w:rsidRDefault="002E72EF" w:rsidP="00EB2F52">
                      <w:pPr>
                        <w:spacing w:before="120" w:line="200" w:lineRule="exact"/>
                        <w:ind w:firstLine="17"/>
                        <w:jc w:val="center"/>
                        <w:rPr>
                          <w:rFonts w:cs="HeshamNormal"/>
                          <w:color w:val="FFFFFF" w:themeColor="background1"/>
                          <w:rtl/>
                        </w:rPr>
                      </w:pPr>
                    </w:p>
                    <w:p w:rsidR="002E72EF" w:rsidRPr="001B6341" w:rsidRDefault="002E72EF" w:rsidP="00EB2F52">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2E72EF" w:rsidRPr="00520213" w:rsidRDefault="002E72EF" w:rsidP="00EB2F52">
                      <w:pPr>
                        <w:ind w:firstLine="18"/>
                        <w:jc w:val="center"/>
                        <w:rPr>
                          <w:rFonts w:cs="Abz-2 (Badr)"/>
                          <w:b/>
                          <w:bCs/>
                          <w:color w:val="000000"/>
                          <w:sz w:val="10"/>
                          <w:szCs w:val="10"/>
                          <w:rtl/>
                        </w:rPr>
                      </w:pPr>
                      <w:r w:rsidRPr="00766E35">
                        <w:rPr>
                          <w:rFonts w:cs="Abz-2 (Badr)" w:hint="cs"/>
                          <w:b/>
                          <w:bCs/>
                          <w:color w:val="000000"/>
                          <w:sz w:val="30"/>
                          <w:szCs w:val="30"/>
                          <w:rtl/>
                        </w:rPr>
                        <w:t>محمد عباس دهيني</w:t>
                      </w:r>
                    </w:p>
                    <w:p w:rsidR="002E72EF" w:rsidRPr="002578B1" w:rsidRDefault="002E72EF" w:rsidP="00EB2F52">
                      <w:pPr>
                        <w:ind w:firstLine="18"/>
                        <w:jc w:val="center"/>
                        <w:rPr>
                          <w:rFonts w:cs="Abz-2 (Badr)"/>
                          <w:b/>
                          <w:bCs/>
                          <w:color w:val="000000"/>
                          <w:sz w:val="16"/>
                          <w:szCs w:val="16"/>
                          <w:rtl/>
                        </w:rPr>
                      </w:pPr>
                    </w:p>
                    <w:p w:rsidR="002E72EF" w:rsidRPr="002578B1" w:rsidRDefault="002E72EF" w:rsidP="00EB2F52">
                      <w:pPr>
                        <w:ind w:firstLine="18"/>
                        <w:jc w:val="center"/>
                        <w:rPr>
                          <w:rFonts w:cs="Abz-2 (Badr)"/>
                          <w:b/>
                          <w:bCs/>
                          <w:color w:val="000000"/>
                          <w:sz w:val="16"/>
                          <w:szCs w:val="16"/>
                          <w:rtl/>
                        </w:rPr>
                      </w:pPr>
                    </w:p>
                    <w:p w:rsidR="002E72EF" w:rsidRPr="002578B1" w:rsidRDefault="002E72EF" w:rsidP="00EB2F52">
                      <w:pPr>
                        <w:ind w:firstLine="18"/>
                        <w:jc w:val="center"/>
                        <w:rPr>
                          <w:rFonts w:cs="Taher"/>
                          <w:color w:val="000000"/>
                          <w:sz w:val="16"/>
                          <w:szCs w:val="16"/>
                          <w:rtl/>
                          <w:lang w:bidi="ar-LB"/>
                        </w:rPr>
                      </w:pPr>
                    </w:p>
                    <w:p w:rsidR="002E72EF" w:rsidRPr="001B6341" w:rsidRDefault="002E72EF" w:rsidP="00EB2F52">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2E72EF" w:rsidRPr="00BA2384" w:rsidRDefault="002E72EF" w:rsidP="00EB2F52">
                      <w:pPr>
                        <w:ind w:firstLine="18"/>
                        <w:jc w:val="center"/>
                        <w:rPr>
                          <w:rFonts w:cs="Abz-2 (Badr)"/>
                          <w:b/>
                          <w:bCs/>
                          <w:color w:val="000000"/>
                          <w:rtl/>
                        </w:rPr>
                      </w:pPr>
                      <w:r w:rsidRPr="00BA2384">
                        <w:rPr>
                          <w:rFonts w:cs="Abz-2 (Badr)" w:hint="cs"/>
                          <w:b/>
                          <w:bCs/>
                          <w:color w:val="000000"/>
                          <w:sz w:val="32"/>
                          <w:szCs w:val="32"/>
                          <w:rtl/>
                        </w:rPr>
                        <w:t>ربيع سويدان</w:t>
                      </w:r>
                    </w:p>
                    <w:p w:rsidR="002E72EF" w:rsidRPr="00EA1642" w:rsidRDefault="002E72EF" w:rsidP="00893651">
                      <w:pPr>
                        <w:ind w:firstLine="18"/>
                        <w:jc w:val="center"/>
                        <w:rPr>
                          <w:rFonts w:cs="Taher"/>
                          <w:color w:val="000000"/>
                          <w:sz w:val="26"/>
                          <w:szCs w:val="26"/>
                          <w:rtl/>
                        </w:rPr>
                      </w:pPr>
                    </w:p>
                    <w:p w:rsidR="002E72EF" w:rsidRPr="00EA1642" w:rsidRDefault="002E72EF" w:rsidP="00893651">
                      <w:pPr>
                        <w:ind w:firstLine="18"/>
                        <w:jc w:val="center"/>
                        <w:rPr>
                          <w:rFonts w:cs="Taher"/>
                          <w:color w:val="000000"/>
                          <w:sz w:val="26"/>
                          <w:szCs w:val="26"/>
                          <w:rtl/>
                        </w:rPr>
                      </w:pPr>
                    </w:p>
                    <w:p w:rsidR="002E72EF" w:rsidRPr="00BA2384" w:rsidRDefault="002E72EF"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2E72EF" w:rsidRPr="00C97F62" w:rsidRDefault="002E72EF" w:rsidP="00893651">
                      <w:pPr>
                        <w:ind w:firstLine="18"/>
                        <w:jc w:val="center"/>
                        <w:rPr>
                          <w:rFonts w:asciiTheme="majorBidi" w:hAnsiTheme="majorBidi" w:cstheme="majorBidi"/>
                          <w:color w:val="000000"/>
                          <w:szCs w:val="28"/>
                          <w:rtl/>
                        </w:rPr>
                      </w:pPr>
                    </w:p>
                    <w:p w:rsidR="002E72EF" w:rsidRDefault="002E72EF" w:rsidP="00893651">
                      <w:pPr>
                        <w:ind w:firstLine="18"/>
                        <w:jc w:val="center"/>
                        <w:rPr>
                          <w:rFonts w:cs="HeshamNormal"/>
                          <w:color w:val="000000"/>
                        </w:rPr>
                      </w:pPr>
                    </w:p>
                    <w:p w:rsidR="002E72EF" w:rsidRDefault="002E72EF" w:rsidP="00893651">
                      <w:pPr>
                        <w:ind w:firstLine="18"/>
                        <w:jc w:val="center"/>
                        <w:rPr>
                          <w:rFonts w:cs="HeshamNormal"/>
                          <w:color w:val="000000"/>
                        </w:rPr>
                      </w:pPr>
                    </w:p>
                    <w:p w:rsidR="002E72EF" w:rsidRDefault="002E72EF" w:rsidP="00893651">
                      <w:pPr>
                        <w:ind w:firstLine="18"/>
                        <w:jc w:val="center"/>
                        <w:rPr>
                          <w:rFonts w:cs="HeshamNormal"/>
                          <w:color w:val="000000"/>
                        </w:rPr>
                      </w:pPr>
                    </w:p>
                    <w:p w:rsidR="002E72EF" w:rsidRDefault="002E72EF" w:rsidP="00893651">
                      <w:pPr>
                        <w:ind w:firstLine="18"/>
                        <w:jc w:val="center"/>
                        <w:rPr>
                          <w:rFonts w:cs="HeshamNormal"/>
                          <w:color w:val="000000"/>
                        </w:rPr>
                      </w:pPr>
                    </w:p>
                    <w:p w:rsidR="002E72EF" w:rsidRDefault="002E72EF" w:rsidP="00893651">
                      <w:pPr>
                        <w:ind w:firstLine="18"/>
                        <w:jc w:val="center"/>
                        <w:rPr>
                          <w:rFonts w:cs="HeshamNormal"/>
                          <w:color w:val="000000"/>
                        </w:rPr>
                      </w:pPr>
                    </w:p>
                    <w:p w:rsidR="002E72EF" w:rsidRPr="00EA1642" w:rsidRDefault="002E72EF" w:rsidP="00F32A58">
                      <w:pPr>
                        <w:ind w:firstLine="17"/>
                        <w:jc w:val="center"/>
                        <w:rPr>
                          <w:rFonts w:ascii="Mosawi" w:hAnsi="Mosawi" w:cs="Abz-3 (Yagut)"/>
                          <w:color w:val="000000"/>
                          <w:sz w:val="27"/>
                          <w:rtl/>
                        </w:rPr>
                      </w:pPr>
                    </w:p>
                    <w:p w:rsidR="002E72EF" w:rsidRPr="00EA1642" w:rsidRDefault="002E72EF" w:rsidP="00F32A58">
                      <w:pPr>
                        <w:ind w:firstLine="17"/>
                        <w:jc w:val="center"/>
                        <w:rPr>
                          <w:rFonts w:cs="Abz-3 (Yagut)"/>
                          <w:b/>
                          <w:bCs/>
                          <w:color w:val="000000"/>
                          <w:sz w:val="27"/>
                          <w:rtl/>
                        </w:rPr>
                      </w:pPr>
                    </w:p>
                    <w:p w:rsidR="002E72EF" w:rsidRPr="00130951" w:rsidRDefault="002E72EF" w:rsidP="0038525D">
                      <w:pPr>
                        <w:ind w:firstLine="17"/>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2E72EF" w:rsidRPr="00B8317B" w:rsidRDefault="002E72EF" w:rsidP="00F32A58">
                      <w:pPr>
                        <w:spacing w:line="360" w:lineRule="exact"/>
                        <w:ind w:firstLine="17"/>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2E72EF" w:rsidRPr="00C84560" w:rsidRDefault="002E72EF" w:rsidP="00893651">
                      <w:pPr>
                        <w:ind w:firstLine="18"/>
                        <w:jc w:val="center"/>
                        <w:rPr>
                          <w:rFonts w:cs="Abz-3 (Yagut)"/>
                          <w:b/>
                          <w:bCs/>
                          <w:color w:val="000000"/>
                          <w:rtl/>
                        </w:rPr>
                      </w:pPr>
                    </w:p>
                    <w:p w:rsidR="002E72EF" w:rsidRPr="001B6341" w:rsidRDefault="002E72EF"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2E72EF" w:rsidRPr="00130951" w:rsidRDefault="002E72EF" w:rsidP="00893651">
                      <w:pPr>
                        <w:ind w:firstLine="18"/>
                        <w:jc w:val="center"/>
                        <w:rPr>
                          <w:rFonts w:cs="HeshamNormal"/>
                          <w:color w:val="000000"/>
                          <w:sz w:val="22"/>
                          <w:szCs w:val="22"/>
                        </w:rPr>
                      </w:pPr>
                      <w:r w:rsidRPr="00130951">
                        <w:rPr>
                          <w:rFonts w:cs="HeshamNormal"/>
                          <w:color w:val="000000"/>
                          <w:sz w:val="22"/>
                          <w:szCs w:val="22"/>
                        </w:rPr>
                        <w:t>Idea Creation</w:t>
                      </w:r>
                    </w:p>
                    <w:p w:rsidR="002E72EF" w:rsidRPr="008F5476" w:rsidRDefault="002E72EF" w:rsidP="00893651">
                      <w:pPr>
                        <w:spacing w:line="460" w:lineRule="exact"/>
                        <w:ind w:firstLine="18"/>
                        <w:jc w:val="center"/>
                        <w:rPr>
                          <w:rFonts w:cs="HeshamNormal"/>
                          <w:color w:val="000000"/>
                          <w:szCs w:val="20"/>
                        </w:rPr>
                      </w:pPr>
                    </w:p>
                    <w:p w:rsidR="002E72EF" w:rsidRPr="00CD4BDD" w:rsidRDefault="002E72EF" w:rsidP="00893651">
                      <w:pPr>
                        <w:ind w:firstLine="18"/>
                      </w:pPr>
                    </w:p>
                  </w:txbxContent>
                </v:textbox>
              </v:shape>
            </w:pict>
          </mc:Fallback>
        </mc:AlternateContent>
      </w:r>
      <w:r w:rsidRPr="00EA4E1C">
        <w:rPr>
          <w:rFonts w:ascii="Times New Roman" w:hAnsi="Times New Roman" w:cs="SKR HEAD1"/>
          <w:b/>
          <w:i/>
          <w:iCs/>
          <w:color w:val="000000" w:themeColor="text1"/>
          <w:spacing w:val="-4"/>
          <w:sz w:val="78"/>
          <w:szCs w:val="78"/>
          <w:rtl/>
          <w:lang w:eastAsia="ar-SA"/>
        </w:rPr>
        <w:t>الاجتهاد والتجديد</w:t>
      </w:r>
    </w:p>
    <w:p w:rsidR="00DC52AE" w:rsidRPr="00762307" w:rsidRDefault="00DC52AE" w:rsidP="00DC52AE">
      <w:pPr>
        <w:widowControl/>
        <w:spacing w:line="440" w:lineRule="exact"/>
        <w:ind w:left="2835" w:firstLine="0"/>
        <w:jc w:val="center"/>
        <w:rPr>
          <w:rFonts w:ascii="Arial" w:hAnsi="Arial" w:cs="Ya-Ali"/>
          <w:b/>
          <w:sz w:val="24"/>
          <w:szCs w:val="24"/>
          <w:rtl/>
          <w:lang w:eastAsia="ar-SA"/>
        </w:rPr>
      </w:pPr>
      <w:r w:rsidRPr="00EA4E1C">
        <w:rPr>
          <w:rFonts w:ascii="Arial" w:hAnsi="Arial" w:cs="Ya-Ali"/>
          <w:b/>
          <w:color w:val="000000" w:themeColor="text1"/>
          <w:sz w:val="24"/>
          <w:szCs w:val="24"/>
          <w:rtl/>
          <w:lang w:eastAsia="ar-SA"/>
        </w:rPr>
        <w:t>فصلي</w:t>
      </w:r>
      <w:r w:rsidRPr="00EA4E1C">
        <w:rPr>
          <w:rFonts w:ascii="Arial" w:hAnsi="Arial" w:cs="Ya-Ali" w:hint="cs"/>
          <w:b/>
          <w:color w:val="000000" w:themeColor="text1"/>
          <w:sz w:val="24"/>
          <w:szCs w:val="24"/>
          <w:rtl/>
          <w:lang w:eastAsia="ar-SA"/>
        </w:rPr>
        <w:t>ّ</w:t>
      </w:r>
      <w:r w:rsidRPr="00EA4E1C">
        <w:rPr>
          <w:rFonts w:ascii="Arial" w:hAnsi="Arial" w:cs="Ya-Ali"/>
          <w:b/>
          <w:color w:val="000000" w:themeColor="text1"/>
          <w:sz w:val="24"/>
          <w:szCs w:val="24"/>
          <w:rtl/>
          <w:lang w:eastAsia="ar-SA"/>
        </w:rPr>
        <w:t>ة</w:t>
      </w:r>
      <w:r w:rsidRPr="00EA4E1C">
        <w:rPr>
          <w:rFonts w:ascii="Arial" w:hAnsi="Arial" w:cs="Ya-Ali" w:hint="cs"/>
          <w:b/>
          <w:color w:val="000000" w:themeColor="text1"/>
          <w:sz w:val="24"/>
          <w:szCs w:val="24"/>
          <w:rtl/>
          <w:lang w:eastAsia="ar-SA"/>
        </w:rPr>
        <w:t>ٌ</w:t>
      </w:r>
      <w:r w:rsidRPr="00EA4E1C">
        <w:rPr>
          <w:rFonts w:ascii="Arial" w:hAnsi="Arial" w:cs="Ya-Ali"/>
          <w:b/>
          <w:color w:val="000000" w:themeColor="text1"/>
          <w:sz w:val="24"/>
          <w:szCs w:val="24"/>
          <w:rtl/>
          <w:lang w:eastAsia="ar-SA"/>
        </w:rPr>
        <w:t xml:space="preserve"> </w:t>
      </w:r>
      <w:r w:rsidRPr="00762307">
        <w:rPr>
          <w:rFonts w:ascii="Arial" w:hAnsi="Arial" w:cs="Ya-Ali"/>
          <w:b/>
          <w:sz w:val="24"/>
          <w:szCs w:val="24"/>
          <w:rtl/>
          <w:lang w:eastAsia="ar-SA"/>
        </w:rPr>
        <w:t>مختص</w:t>
      </w:r>
      <w:r w:rsidRPr="00762307">
        <w:rPr>
          <w:rFonts w:ascii="Arial" w:hAnsi="Arial" w:cs="Ya-Ali" w:hint="cs"/>
          <w:b/>
          <w:sz w:val="24"/>
          <w:szCs w:val="24"/>
          <w:rtl/>
          <w:lang w:eastAsia="ar-SA"/>
        </w:rPr>
        <w:t>ّ</w:t>
      </w:r>
      <w:r w:rsidRPr="00762307">
        <w:rPr>
          <w:rFonts w:ascii="Arial" w:hAnsi="Arial" w:cs="Ya-Ali"/>
          <w:b/>
          <w:sz w:val="24"/>
          <w:szCs w:val="24"/>
          <w:rtl/>
          <w:lang w:eastAsia="ar-SA"/>
        </w:rPr>
        <w:t>ة بقضـــايا الاجتهاد والفقــه الإسلامي</w:t>
      </w:r>
      <w:r w:rsidRPr="00762307">
        <w:rPr>
          <w:rFonts w:ascii="Arial" w:hAnsi="Arial" w:cs="Ya-Ali" w:hint="cs"/>
          <w:b/>
          <w:sz w:val="24"/>
          <w:szCs w:val="24"/>
          <w:rtl/>
          <w:lang w:eastAsia="ar-SA"/>
        </w:rPr>
        <w:t>ّ</w:t>
      </w:r>
    </w:p>
    <w:p w:rsidR="00DC52AE" w:rsidRPr="00EB2F52" w:rsidRDefault="00DC52AE" w:rsidP="00EB2F52">
      <w:pPr>
        <w:autoSpaceDE w:val="0"/>
        <w:autoSpaceDN w:val="0"/>
        <w:ind w:left="2835" w:firstLine="0"/>
        <w:jc w:val="center"/>
        <w:rPr>
          <w:rFonts w:ascii="Arial" w:hAnsi="Arial" w:cs="Ya-Ali"/>
          <w:b/>
          <w:sz w:val="22"/>
          <w:szCs w:val="22"/>
          <w:rtl/>
          <w:lang w:eastAsia="ar-SA"/>
        </w:rPr>
      </w:pPr>
      <w:r w:rsidRPr="00EB2F52">
        <w:rPr>
          <w:rFonts w:ascii="Arial" w:hAnsi="Arial" w:cs="Ya-Ali"/>
          <w:b/>
          <w:sz w:val="22"/>
          <w:szCs w:val="22"/>
          <w:rtl/>
          <w:lang w:eastAsia="ar-SA"/>
        </w:rPr>
        <w:t>العدد</w:t>
      </w:r>
      <w:r w:rsidRPr="00EB2F52">
        <w:rPr>
          <w:rFonts w:ascii="Arial" w:hAnsi="Arial" w:cs="Ya-Ali" w:hint="cs"/>
          <w:b/>
          <w:sz w:val="22"/>
          <w:szCs w:val="22"/>
          <w:rtl/>
          <w:lang w:eastAsia="ar-SA"/>
        </w:rPr>
        <w:t>ان التاسع والخمسون والستون</w:t>
      </w:r>
      <w:r w:rsidRPr="00EB2F52">
        <w:rPr>
          <w:rFonts w:ascii="Arial" w:hAnsi="Arial" w:cs="Ya-Ali"/>
          <w:b/>
          <w:sz w:val="22"/>
          <w:szCs w:val="22"/>
          <w:rtl/>
          <w:lang w:eastAsia="ar-SA"/>
        </w:rPr>
        <w:t>، السـن</w:t>
      </w:r>
      <w:r w:rsidRPr="00EB2F52">
        <w:rPr>
          <w:rFonts w:ascii="Arial" w:hAnsi="Arial" w:cs="Ya-Ali" w:hint="cs"/>
          <w:b/>
          <w:sz w:val="22"/>
          <w:szCs w:val="22"/>
          <w:rtl/>
          <w:lang w:eastAsia="ar-SA"/>
        </w:rPr>
        <w:t xml:space="preserve">ة </w:t>
      </w:r>
      <w:r w:rsidR="00EB2F52" w:rsidRPr="00EB2F52">
        <w:rPr>
          <w:rFonts w:ascii="Arial" w:hAnsi="Arial" w:cs="Ya-Ali" w:hint="cs"/>
          <w:b/>
          <w:sz w:val="22"/>
          <w:szCs w:val="22"/>
          <w:rtl/>
          <w:lang w:eastAsia="ar-SA"/>
        </w:rPr>
        <w:t>الخامسة</w:t>
      </w:r>
      <w:r w:rsidRPr="00EB2F52">
        <w:rPr>
          <w:rFonts w:ascii="Arial" w:hAnsi="Arial" w:cs="Ya-Ali" w:hint="cs"/>
          <w:b/>
          <w:sz w:val="22"/>
          <w:szCs w:val="22"/>
          <w:rtl/>
          <w:lang w:eastAsia="ar-SA"/>
        </w:rPr>
        <w:t xml:space="preserve"> عشرة،</w:t>
      </w:r>
    </w:p>
    <w:p w:rsidR="00893651" w:rsidRPr="00EA4E1C" w:rsidRDefault="00DC52AE" w:rsidP="00DC52AE">
      <w:pPr>
        <w:autoSpaceDE w:val="0"/>
        <w:autoSpaceDN w:val="0"/>
        <w:ind w:left="2835" w:firstLine="0"/>
        <w:jc w:val="center"/>
        <w:rPr>
          <w:rFonts w:ascii="Arial" w:hAnsi="Arial" w:cs="Ya-Ali"/>
          <w:b/>
          <w:color w:val="000000" w:themeColor="text1"/>
          <w:sz w:val="23"/>
          <w:szCs w:val="23"/>
          <w:rtl/>
          <w:lang w:eastAsia="ar-SA"/>
        </w:rPr>
      </w:pPr>
      <w:r w:rsidRPr="00EB2F52">
        <w:rPr>
          <w:rFonts w:ascii="Arial" w:hAnsi="Arial" w:cs="Ya-Ali" w:hint="cs"/>
          <w:b/>
          <w:sz w:val="22"/>
          <w:szCs w:val="22"/>
          <w:rtl/>
          <w:lang w:eastAsia="ar-SA"/>
        </w:rPr>
        <w:t>صيف 2021م ـ 1442هـ، وخريف 2021م ـ 1443هـ</w:t>
      </w:r>
    </w:p>
    <w:p w:rsidR="00893651" w:rsidRPr="00EA4E1C" w:rsidRDefault="00893651" w:rsidP="00B70D78">
      <w:pPr>
        <w:tabs>
          <w:tab w:val="left" w:pos="-289"/>
          <w:tab w:val="center" w:pos="1955"/>
        </w:tabs>
        <w:autoSpaceDE w:val="0"/>
        <w:autoSpaceDN w:val="0"/>
        <w:ind w:right="2835" w:firstLine="0"/>
        <w:jc w:val="center"/>
        <w:rPr>
          <w:rFonts w:ascii="Times New Roman" w:hAnsi="Times New Roman"/>
          <w:bCs/>
          <w:color w:val="000000" w:themeColor="text1"/>
          <w:spacing w:val="-4"/>
          <w:sz w:val="26"/>
          <w:rtl/>
          <w:lang w:eastAsia="ar-SA"/>
        </w:rPr>
      </w:pPr>
      <w:r w:rsidRPr="00EA4E1C">
        <w:rPr>
          <w:noProof/>
          <w:color w:val="000000" w:themeColor="text1"/>
        </w:rPr>
        <mc:AlternateContent>
          <mc:Choice Requires="wps">
            <w:drawing>
              <wp:anchor distT="0" distB="0" distL="114300" distR="114300" simplePos="0" relativeHeight="251663872" behindDoc="0" locked="0" layoutInCell="1" allowOverlap="1" wp14:anchorId="08FFD128" wp14:editId="590794AA">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B2356" w:rsidRPr="00020833" w:rsidRDefault="00DB2356"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DB2356" w:rsidRPr="001B6341" w:rsidRDefault="00DB2356"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2E72EF" w:rsidRPr="00020833" w:rsidRDefault="002E72EF"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2E72EF" w:rsidRPr="001B6341" w:rsidRDefault="002E72EF"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p>
    <w:p w:rsidR="00893651" w:rsidRPr="00EA4E1C" w:rsidRDefault="00893651" w:rsidP="00B70D78">
      <w:pPr>
        <w:widowControl/>
        <w:spacing w:line="320" w:lineRule="exact"/>
        <w:ind w:right="3052" w:firstLine="0"/>
        <w:jc w:val="center"/>
        <w:rPr>
          <w:rFonts w:ascii="Times New Roman" w:hAnsi="Times New Roman" w:cs="PT Bold Heading"/>
          <w:bCs/>
          <w:color w:val="000000" w:themeColor="text1"/>
          <w:sz w:val="24"/>
          <w:szCs w:val="20"/>
          <w:rtl/>
          <w:lang w:eastAsia="ar-SA"/>
        </w:rPr>
      </w:pPr>
    </w:p>
    <w:p w:rsidR="00893651" w:rsidRPr="00EA4E1C" w:rsidRDefault="00F97C81" w:rsidP="00893651">
      <w:pPr>
        <w:widowControl/>
        <w:ind w:right="2977" w:firstLine="0"/>
        <w:jc w:val="left"/>
        <w:rPr>
          <w:rFonts w:ascii="Times New Roman" w:hAnsi="Times New Roman" w:cs="PT Bold Heading"/>
          <w:bCs/>
          <w:color w:val="000000" w:themeColor="text1"/>
          <w:sz w:val="24"/>
          <w:szCs w:val="20"/>
          <w:rtl/>
          <w:lang w:eastAsia="ar-SA"/>
        </w:rPr>
      </w:pPr>
      <w:r w:rsidRPr="00EA4E1C">
        <w:rPr>
          <w:noProof/>
          <w:color w:val="000000" w:themeColor="text1"/>
        </w:rPr>
        <mc:AlternateContent>
          <mc:Choice Requires="wps">
            <w:drawing>
              <wp:anchor distT="0" distB="0" distL="114300" distR="114300" simplePos="0" relativeHeight="251667968" behindDoc="0" locked="0" layoutInCell="1" allowOverlap="1" wp14:anchorId="4B44CE1F" wp14:editId="29A45D58">
                <wp:simplePos x="0" y="0"/>
                <wp:positionH relativeFrom="column">
                  <wp:posOffset>2655570</wp:posOffset>
                </wp:positionH>
                <wp:positionV relativeFrom="paragraph">
                  <wp:posOffset>1543212</wp:posOffset>
                </wp:positionV>
                <wp:extent cx="702945" cy="1460500"/>
                <wp:effectExtent l="0" t="0" r="0" b="635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56" w:rsidRPr="00BB6D9D" w:rsidRDefault="00DB2356" w:rsidP="00C97A36">
                            <w:pPr>
                              <w:tabs>
                                <w:tab w:val="right" w:pos="2712"/>
                              </w:tabs>
                              <w:bidi w:val="0"/>
                              <w:ind w:firstLine="0"/>
                              <w:jc w:val="lowKashida"/>
                              <w:rPr>
                                <w:sz w:val="2"/>
                                <w:szCs w:val="2"/>
                              </w:rPr>
                            </w:pPr>
                            <w:r>
                              <w:rPr>
                                <w:rFonts w:cs="Abz-3 (Yagut)" w:hint="cs"/>
                                <w:b/>
                                <w:bCs/>
                                <w:color w:val="000000"/>
                                <w:sz w:val="19"/>
                                <w:szCs w:val="19"/>
                                <w:rtl/>
                              </w:rPr>
                              <w:t>إيران</w:t>
                            </w:r>
                            <w:r>
                              <w:rPr>
                                <w:rFonts w:cs="Abz-3 (Yagut)" w:hint="cs"/>
                                <w:b/>
                                <w:bCs/>
                                <w:color w:val="000000"/>
                                <w:sz w:val="19"/>
                                <w:szCs w:val="19"/>
                                <w:rtl/>
                              </w:rPr>
                              <w:br/>
                              <w:t>السعوديّة عُمان</w:t>
                            </w:r>
                            <w:r>
                              <w:rPr>
                                <w:rFonts w:cs="Abz-3 (Yagut)" w:hint="cs"/>
                                <w:b/>
                                <w:bCs/>
                                <w:color w:val="000000"/>
                                <w:sz w:val="19"/>
                                <w:szCs w:val="19"/>
                                <w:rtl/>
                              </w:rPr>
                              <w:br/>
                              <w:t>تركيا</w:t>
                            </w:r>
                            <w:r>
                              <w:rPr>
                                <w:rFonts w:cs="Abz-3 (Yagut)" w:hint="cs"/>
                                <w:b/>
                                <w:bCs/>
                                <w:color w:val="000000"/>
                                <w:sz w:val="19"/>
                                <w:szCs w:val="19"/>
                                <w:rtl/>
                              </w:rPr>
                              <w:br/>
                            </w:r>
                            <w:r>
                              <w:rPr>
                                <w:rFonts w:cs="Abz-3 (Yagut)" w:hint="cs"/>
                                <w:b/>
                                <w:bCs/>
                                <w:sz w:val="19"/>
                                <w:szCs w:val="19"/>
                                <w:rtl/>
                              </w:rPr>
                              <w:t>مصر</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9.1pt;margin-top:121.5pt;width:55.35pt;height: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" filled="f" stroked="f">
                <v:textbox>
                  <w:txbxContent>
                    <w:p w:rsidR="002E72EF" w:rsidRPr="00BB6D9D" w:rsidRDefault="002E72EF" w:rsidP="00C97A36">
                      <w:pPr>
                        <w:tabs>
                          <w:tab w:val="right" w:pos="2712"/>
                        </w:tabs>
                        <w:bidi w:val="0"/>
                        <w:ind w:firstLine="0"/>
                        <w:jc w:val="lowKashida"/>
                        <w:rPr>
                          <w:sz w:val="2"/>
                          <w:szCs w:val="2"/>
                        </w:rPr>
                      </w:pPr>
                      <w:r>
                        <w:rPr>
                          <w:rFonts w:cs="Abz-3 (Yagut)" w:hint="cs"/>
                          <w:b/>
                          <w:bCs/>
                          <w:color w:val="000000"/>
                          <w:sz w:val="19"/>
                          <w:szCs w:val="19"/>
                          <w:rtl/>
                        </w:rPr>
                        <w:t>إيران</w:t>
                      </w:r>
                      <w:r>
                        <w:rPr>
                          <w:rFonts w:cs="Abz-3 (Yagut)" w:hint="cs"/>
                          <w:b/>
                          <w:bCs/>
                          <w:color w:val="000000"/>
                          <w:sz w:val="19"/>
                          <w:szCs w:val="19"/>
                          <w:rtl/>
                        </w:rPr>
                        <w:br/>
                        <w:t>السعوديّة عُمان</w:t>
                      </w:r>
                      <w:r>
                        <w:rPr>
                          <w:rFonts w:cs="Abz-3 (Yagut)" w:hint="cs"/>
                          <w:b/>
                          <w:bCs/>
                          <w:color w:val="000000"/>
                          <w:sz w:val="19"/>
                          <w:szCs w:val="19"/>
                          <w:rtl/>
                        </w:rPr>
                        <w:br/>
                        <w:t>تركيا</w:t>
                      </w:r>
                      <w:r>
                        <w:rPr>
                          <w:rFonts w:cs="Abz-3 (Yagut)" w:hint="cs"/>
                          <w:b/>
                          <w:bCs/>
                          <w:color w:val="000000"/>
                          <w:sz w:val="19"/>
                          <w:szCs w:val="19"/>
                          <w:rtl/>
                        </w:rPr>
                        <w:br/>
                      </w:r>
                      <w:r>
                        <w:rPr>
                          <w:rFonts w:cs="Abz-3 (Yagut)" w:hint="cs"/>
                          <w:b/>
                          <w:bCs/>
                          <w:sz w:val="19"/>
                          <w:szCs w:val="19"/>
                          <w:rtl/>
                        </w:rPr>
                        <w:t>مصر</w:t>
                      </w:r>
                      <w:r>
                        <w:rPr>
                          <w:rFonts w:cs="Abz-3 (Yagut)" w:hint="cs"/>
                          <w:b/>
                          <w:bCs/>
                          <w:color w:val="000000"/>
                          <w:sz w:val="19"/>
                          <w:szCs w:val="19"/>
                          <w:rtl/>
                        </w:rPr>
                        <w:br/>
                      </w:r>
                    </w:p>
                  </w:txbxContent>
                </v:textbox>
              </v:rect>
            </w:pict>
          </mc:Fallback>
        </mc:AlternateContent>
      </w:r>
      <w:r w:rsidRPr="00EA4E1C">
        <w:rPr>
          <w:noProof/>
          <w:color w:val="000000" w:themeColor="text1"/>
        </w:rPr>
        <mc:AlternateContent>
          <mc:Choice Requires="wps">
            <w:drawing>
              <wp:anchor distT="0" distB="0" distL="114300" distR="114300" simplePos="0" relativeHeight="251665920" behindDoc="0" locked="0" layoutInCell="1" allowOverlap="1" wp14:anchorId="3E44CCB5" wp14:editId="706E1C69">
                <wp:simplePos x="0" y="0"/>
                <wp:positionH relativeFrom="column">
                  <wp:posOffset>3252470</wp:posOffset>
                </wp:positionH>
                <wp:positionV relativeFrom="paragraph">
                  <wp:posOffset>1536862</wp:posOffset>
                </wp:positionV>
                <wp:extent cx="1307465" cy="14668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56" w:rsidRPr="00BB6D9D" w:rsidRDefault="00DB2356" w:rsidP="00E42EB4">
                            <w:pPr>
                              <w:tabs>
                                <w:tab w:val="right" w:pos="2712"/>
                              </w:tabs>
                              <w:ind w:firstLine="0"/>
                              <w:jc w:val="lowKashida"/>
                              <w:rPr>
                                <w:sz w:val="2"/>
                                <w:szCs w:val="2"/>
                              </w:rPr>
                            </w:pPr>
                            <w:r>
                              <w:rPr>
                                <w:rFonts w:cs="Abz-3 (Yagut)" w:hint="cs"/>
                                <w:b/>
                                <w:bCs/>
                                <w:color w:val="000000"/>
                                <w:sz w:val="19"/>
                                <w:szCs w:val="19"/>
                                <w:rtl/>
                              </w:rPr>
                              <w:t>الشيخ أحمد المبلِّغي</w:t>
                            </w:r>
                            <w:r>
                              <w:rPr>
                                <w:rFonts w:cs="Abz-3 (Yagut)" w:hint="cs"/>
                                <w:b/>
                                <w:bCs/>
                                <w:color w:val="000000"/>
                                <w:sz w:val="19"/>
                                <w:szCs w:val="19"/>
                                <w:rtl/>
                              </w:rPr>
                              <w:br/>
                            </w:r>
                            <w:r>
                              <w:rPr>
                                <w:rFonts w:cs="Abz-3 (Yagut)" w:hint="cs"/>
                                <w:b/>
                                <w:bCs/>
                                <w:color w:val="000000"/>
                                <w:sz w:val="18"/>
                                <w:szCs w:val="18"/>
                                <w:rtl/>
                              </w:rPr>
                              <w:t>الشيخ حسن الصفّار   الشيخ خميس العدوي         د. محمد خير قيرباش أوغلو</w:t>
                            </w:r>
                            <w:r>
                              <w:rPr>
                                <w:rFonts w:cs="Abz-3 (Yagut)" w:hint="cs"/>
                                <w:b/>
                                <w:bCs/>
                                <w:color w:val="000000"/>
                                <w:sz w:val="19"/>
                                <w:szCs w:val="19"/>
                                <w:rtl/>
                              </w:rPr>
                              <w:br/>
                              <w:t>د. محمد سليم العوّا</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21pt;width:102.95pt;height: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18twIAALg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" filled="f" stroked="f">
                <v:textbox>
                  <w:txbxContent>
                    <w:p w:rsidR="002E72EF" w:rsidRPr="00BB6D9D" w:rsidRDefault="002E72EF" w:rsidP="00E42EB4">
                      <w:pPr>
                        <w:tabs>
                          <w:tab w:val="right" w:pos="2712"/>
                        </w:tabs>
                        <w:ind w:firstLine="0"/>
                        <w:jc w:val="lowKashida"/>
                        <w:rPr>
                          <w:sz w:val="2"/>
                          <w:szCs w:val="2"/>
                        </w:rPr>
                      </w:pPr>
                      <w:r>
                        <w:rPr>
                          <w:rFonts w:cs="Abz-3 (Yagut)" w:hint="cs"/>
                          <w:b/>
                          <w:bCs/>
                          <w:color w:val="000000"/>
                          <w:sz w:val="19"/>
                          <w:szCs w:val="19"/>
                          <w:rtl/>
                        </w:rPr>
                        <w:t>الشيخ أحمد المبلِّغي</w:t>
                      </w:r>
                      <w:r>
                        <w:rPr>
                          <w:rFonts w:cs="Abz-3 (Yagut)" w:hint="cs"/>
                          <w:b/>
                          <w:bCs/>
                          <w:color w:val="000000"/>
                          <w:sz w:val="19"/>
                          <w:szCs w:val="19"/>
                          <w:rtl/>
                        </w:rPr>
                        <w:br/>
                      </w:r>
                      <w:r>
                        <w:rPr>
                          <w:rFonts w:cs="Abz-3 (Yagut)" w:hint="cs"/>
                          <w:b/>
                          <w:bCs/>
                          <w:color w:val="000000"/>
                          <w:sz w:val="18"/>
                          <w:szCs w:val="18"/>
                          <w:rtl/>
                        </w:rPr>
                        <w:t>الشيخ حسن الصفّار   الشيخ خميس العدوي         د. محمد خير قيرباش أوغلو</w:t>
                      </w:r>
                      <w:r>
                        <w:rPr>
                          <w:rFonts w:cs="Abz-3 (Yagut)" w:hint="cs"/>
                          <w:b/>
                          <w:bCs/>
                          <w:color w:val="000000"/>
                          <w:sz w:val="19"/>
                          <w:szCs w:val="19"/>
                          <w:rtl/>
                        </w:rPr>
                        <w:br/>
                        <w:t>د. محمد سليم العوّا</w:t>
                      </w:r>
                      <w:r>
                        <w:rPr>
                          <w:rFonts w:cs="Abz-3 (Yagut)" w:hint="cs"/>
                          <w:b/>
                          <w:bCs/>
                          <w:color w:val="000000"/>
                          <w:spacing w:val="-12"/>
                          <w:sz w:val="19"/>
                          <w:szCs w:val="19"/>
                          <w:rtl/>
                        </w:rPr>
                        <w:br/>
                      </w:r>
                    </w:p>
                  </w:txbxContent>
                </v:textbox>
              </v:rect>
            </w:pict>
          </mc:Fallback>
        </mc:AlternateContent>
      </w:r>
      <w:r w:rsidR="00893651" w:rsidRPr="00EA4E1C">
        <w:rPr>
          <w:rFonts w:ascii="Times New Roman" w:hAnsi="Times New Roman" w:cs="AGA Juhyna Regular"/>
          <w:color w:val="000000" w:themeColor="text1"/>
          <w:sz w:val="90"/>
          <w:szCs w:val="90"/>
          <w:rtl/>
          <w:lang w:eastAsia="ar-SA"/>
        </w:rPr>
        <w:br w:type="page"/>
      </w:r>
    </w:p>
    <w:p w:rsidR="0046539E" w:rsidRDefault="0046539E" w:rsidP="0046539E">
      <w:pPr>
        <w:widowControl/>
        <w:ind w:right="2977" w:firstLine="0"/>
        <w:jc w:val="left"/>
        <w:rPr>
          <w:rFonts w:ascii="Times New Roman" w:hAnsi="Times New Roman" w:cs="PT Bold Heading"/>
          <w:bCs/>
          <w:color w:val="000000" w:themeColor="text1"/>
          <w:sz w:val="24"/>
          <w:szCs w:val="20"/>
          <w:lang w:eastAsia="ar-SA"/>
        </w:rPr>
      </w:pPr>
      <w:r>
        <w:rPr>
          <w:noProof/>
        </w:rPr>
        <w:lastRenderedPageBreak/>
        <mc:AlternateContent>
          <mc:Choice Requires="wps">
            <w:drawing>
              <wp:anchor distT="0" distB="0" distL="114300" distR="114300" simplePos="0" relativeHeight="251670016" behindDoc="0" locked="0" layoutInCell="1" allowOverlap="1" wp14:anchorId="30AB692D" wp14:editId="3AEEB2EC">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2356" w:rsidRDefault="00DB2356"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DB2356" w:rsidRDefault="00DB2356"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2E72EF" w:rsidRDefault="002E72EF"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2E72EF" w:rsidRDefault="002E72EF"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7252DDD3" wp14:editId="7014DC8A">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DB2356" w:rsidRPr="00E22C6B" w:rsidRDefault="00DB2356" w:rsidP="00D245C4">
                            <w:pPr>
                              <w:spacing w:before="100" w:line="340" w:lineRule="exact"/>
                              <w:ind w:firstLine="0"/>
                              <w:jc w:val="left"/>
                              <w:rPr>
                                <w:rFonts w:ascii="Mosawi" w:hAnsi="Mosawi" w:cs="Mosawi"/>
                                <w:b/>
                                <w:noProof/>
                                <w:sz w:val="26"/>
                                <w:szCs w:val="26"/>
                              </w:rPr>
                            </w:pPr>
                            <w:r w:rsidRPr="00E22C6B">
                              <w:rPr>
                                <w:rFonts w:ascii="Mosawi" w:hAnsi="Mosawi" w:cs="Mosawi"/>
                                <w:bCs/>
                                <w:szCs w:val="20"/>
                              </w:rPr>
                              <w:sym w:font="Wingdings" w:char="F072"/>
                            </w:r>
                            <w:r w:rsidRPr="00E22C6B">
                              <w:rPr>
                                <w:rFonts w:ascii="Mosawi" w:hAnsi="Mosawi" w:cs="Mosawi"/>
                                <w:bCs/>
                                <w:szCs w:val="20"/>
                                <w:rtl/>
                              </w:rPr>
                              <w:t xml:space="preserve"> </w:t>
                            </w:r>
                            <w:r w:rsidRPr="00E22C6B">
                              <w:rPr>
                                <w:rFonts w:ascii="Mosawi" w:hAnsi="Mosawi" w:cs="PT Bold Heading" w:hint="cs"/>
                                <w:b/>
                                <w:noProof/>
                                <w:sz w:val="32"/>
                                <w:szCs w:val="32"/>
                                <w:rtl/>
                              </w:rPr>
                              <w:t>وكلاء التوزيع</w:t>
                            </w:r>
                            <w:r w:rsidRPr="00E22C6B">
                              <w:rPr>
                                <w:rFonts w:ascii="Mosawi" w:hAnsi="Mosawi" w:cs="PT Bold Heading" w:hint="cs"/>
                                <w:b/>
                                <w:noProof/>
                                <w:sz w:val="26"/>
                                <w:szCs w:val="26"/>
                                <w:rtl/>
                              </w:rPr>
                              <w:t>:</w:t>
                            </w:r>
                            <w:r w:rsidRPr="00E22C6B">
                              <w:rPr>
                                <w:rFonts w:ascii="Mosawi" w:hAnsi="Mosawi" w:cs="Mosawi"/>
                                <w:b/>
                                <w:noProof/>
                                <w:sz w:val="26"/>
                                <w:szCs w:val="26"/>
                                <w:rtl/>
                              </w:rPr>
                              <w:t xml:space="preserve"> </w:t>
                            </w:r>
                          </w:p>
                          <w:p w:rsidR="00DB2356" w:rsidRPr="00E22C6B" w:rsidRDefault="00DB2356" w:rsidP="00F97C81">
                            <w:pPr>
                              <w:widowControl/>
                              <w:spacing w:before="120"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 w:val="30"/>
                                <w:szCs w:val="28"/>
                                <w:rtl/>
                                <w:lang w:eastAsia="ar-SA"/>
                              </w:rPr>
                              <w:t>٭</w:t>
                            </w:r>
                            <w:r w:rsidRPr="00E22C6B">
                              <w:rPr>
                                <w:rFonts w:ascii="Times New Roman" w:hAnsi="Times New Roman" w:cs="DanaFajr" w:hint="cs"/>
                                <w:szCs w:val="28"/>
                                <w:rtl/>
                                <w:lang w:eastAsia="ar-SA"/>
                              </w:rPr>
                              <w:t xml:space="preserve"> </w:t>
                            </w:r>
                            <w:r w:rsidRPr="00E22C6B">
                              <w:rPr>
                                <w:rFonts w:ascii="Times New Roman" w:hAnsi="Times New Roman" w:cs="DanaFajr" w:hint="cs"/>
                                <w:b/>
                                <w:bCs/>
                                <w:szCs w:val="28"/>
                                <w:rtl/>
                                <w:lang w:eastAsia="ar-SA"/>
                              </w:rPr>
                              <w:t>لبنان: دار المحجّة البيضاء للطباعة والنشر والتوزيع، بيروت، الرويس،</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خلف محفوظ ستورز، بناية رمّال، ص.ب: 5479</w:t>
                            </w:r>
                            <w:r w:rsidRPr="00E22C6B">
                              <w:rPr>
                                <w:rFonts w:ascii="Times New Roman" w:hAnsi="Times New Roman" w:cs="DanaFajr" w:hint="cs"/>
                                <w:b/>
                                <w:bCs/>
                                <w:sz w:val="20"/>
                                <w:szCs w:val="20"/>
                                <w:rtl/>
                                <w:lang w:eastAsia="ar-SA"/>
                              </w:rPr>
                              <w:t>/</w:t>
                            </w:r>
                            <w:r w:rsidRPr="00E22C6B">
                              <w:rPr>
                                <w:rFonts w:ascii="Times New Roman" w:hAnsi="Times New Roman" w:cs="DanaFajr" w:hint="cs"/>
                                <w:b/>
                                <w:bCs/>
                                <w:szCs w:val="28"/>
                                <w:rtl/>
                                <w:lang w:eastAsia="ar-SA"/>
                              </w:rPr>
                              <w:t>14، هاتف: 541211(9611+).</w:t>
                            </w:r>
                          </w:p>
                          <w:p w:rsidR="00DB2356" w:rsidRPr="00E22C6B" w:rsidRDefault="00DB2356"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مملكة البحرين: شركة دار الوسط للنشر والتوزيع، هاتف: 17596969(973+).</w:t>
                            </w:r>
                          </w:p>
                          <w:p w:rsidR="00DB2356" w:rsidRPr="00E22C6B" w:rsidRDefault="00DB2356"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جمهورية مصر العربية: مؤسسة الأهرام، القاهرة، شارع الجلاء، هاتف: 7704365(202+).</w:t>
                            </w:r>
                          </w:p>
                          <w:p w:rsidR="00DB2356" w:rsidRPr="00E22C6B" w:rsidRDefault="00DB2356"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الإمارات العربية المتحدة: دار الحكمة، دبي، هاتف: 2665394(9714+).</w:t>
                            </w:r>
                          </w:p>
                          <w:p w:rsidR="00DB2356" w:rsidRPr="00E22C6B" w:rsidRDefault="00DB2356" w:rsidP="00F97C81">
                            <w:pPr>
                              <w:widowControl/>
                              <w:spacing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المغرب: (سبريس) الشركة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العربية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الإفريقية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للتوزيع</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والنشر</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والصحافة، الدار</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البيضاء، 70</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زنقة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سجلماسة.</w:t>
                            </w:r>
                          </w:p>
                          <w:p w:rsidR="00DB2356" w:rsidRPr="00E22C6B" w:rsidRDefault="00DB2356" w:rsidP="00F97C81">
                            <w:pPr>
                              <w:spacing w:after="60"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 xml:space="preserve">العراق: 1ـ </w:t>
                            </w:r>
                            <w:r w:rsidRPr="00E22C6B">
                              <w:rPr>
                                <w:rFonts w:cs="DanaFajr" w:hint="cs"/>
                                <w:b/>
                                <w:bCs/>
                                <w:noProof/>
                                <w:szCs w:val="28"/>
                                <w:rtl/>
                              </w:rPr>
                              <w:t>دار الكتاب العربي، بغداد، شارع المتنبي، هاتف:</w:t>
                            </w:r>
                            <w:r w:rsidRPr="00E22C6B">
                              <w:rPr>
                                <w:rFonts w:cs="DanaFajr" w:hint="cs"/>
                                <w:b/>
                                <w:bCs/>
                                <w:szCs w:val="28"/>
                                <w:rtl/>
                              </w:rPr>
                              <w:t xml:space="preserve"> </w:t>
                            </w:r>
                            <w:r w:rsidRPr="00E22C6B">
                              <w:rPr>
                                <w:rFonts w:cs="DanaFajr" w:hint="cs"/>
                                <w:b/>
                                <w:bCs/>
                                <w:noProof/>
                                <w:szCs w:val="28"/>
                                <w:rtl/>
                              </w:rPr>
                              <w:t>7901419375(964</w:t>
                            </w:r>
                            <w:r w:rsidRPr="00E22C6B">
                              <w:rPr>
                                <w:rFonts w:cs="DanaFajr" w:hint="cs"/>
                                <w:b/>
                                <w:bCs/>
                                <w:szCs w:val="28"/>
                                <w:rtl/>
                              </w:rPr>
                              <w:t>+</w:t>
                            </w:r>
                            <w:r w:rsidRPr="00E22C6B">
                              <w:rPr>
                                <w:rFonts w:cs="DanaFajr" w:hint="cs"/>
                                <w:b/>
                                <w:bCs/>
                                <w:noProof/>
                                <w:szCs w:val="28"/>
                                <w:rtl/>
                              </w:rPr>
                              <w:t xml:space="preserve">). 2ـ مكتبة العين، بغداد، شارع المتنبي، </w:t>
                            </w:r>
                            <w:r w:rsidRPr="00E22C6B">
                              <w:rPr>
                                <w:rFonts w:cs="DanaFajr" w:hint="cs"/>
                                <w:b/>
                                <w:bCs/>
                                <w:szCs w:val="28"/>
                                <w:rtl/>
                              </w:rPr>
                              <w:t xml:space="preserve">هاتف: 7700728816(964+). 3ـ مكتبة القائم، الكاظمية، باب المراد، خلف عمارة النواب. 4ـ </w:t>
                            </w:r>
                            <w:r w:rsidRPr="00E22C6B">
                              <w:rPr>
                                <w:rFonts w:cs="DanaFajr" w:hint="cs"/>
                                <w:b/>
                                <w:bCs/>
                                <w:noProof/>
                                <w:szCs w:val="28"/>
                                <w:rtl/>
                              </w:rPr>
                              <w:t>دار الغدير، النجف، سوق الحويش، هاتف: 7801752581(964</w:t>
                            </w:r>
                            <w:r w:rsidRPr="00E22C6B">
                              <w:rPr>
                                <w:rFonts w:ascii="Times New Roman" w:hAnsi="Times New Roman" w:cs="DanaFajr" w:hint="cs"/>
                                <w:b/>
                                <w:bCs/>
                                <w:szCs w:val="28"/>
                                <w:rtl/>
                                <w:lang w:eastAsia="ar-SA"/>
                              </w:rPr>
                              <w:t>+</w:t>
                            </w:r>
                            <w:r w:rsidRPr="00E22C6B">
                              <w:rPr>
                                <w:rFonts w:cs="DanaFajr" w:hint="cs"/>
                                <w:b/>
                                <w:bCs/>
                                <w:noProof/>
                                <w:szCs w:val="28"/>
                                <w:rtl/>
                              </w:rPr>
                              <w:t xml:space="preserve">). 5ـ مؤسّسة العطّار الثقافية، النجف، سوق الحويش، هاتف: </w:t>
                            </w:r>
                            <w:r w:rsidRPr="00E22C6B">
                              <w:rPr>
                                <w:rFonts w:cs="DanaFajr" w:hint="cs"/>
                                <w:b/>
                                <w:bCs/>
                                <w:szCs w:val="28"/>
                                <w:rtl/>
                              </w:rPr>
                              <w:t>7501608589(964+). 6ـ </w:t>
                            </w:r>
                            <w:r w:rsidRPr="00E22C6B">
                              <w:rPr>
                                <w:rFonts w:cs="DanaFajr" w:hint="cs"/>
                                <w:b/>
                                <w:bCs/>
                                <w:noProof/>
                                <w:szCs w:val="28"/>
                                <w:rtl/>
                              </w:rPr>
                              <w:t>دار الكتب للطباعة والنشر، كربلاء، شارع قبلة الإمام الحسين</w:t>
                            </w:r>
                            <w:r w:rsidRPr="00E22C6B">
                              <w:rPr>
                                <w:rFonts w:ascii="Mosawi" w:hAnsi="Mosawi" w:cs="Mosawi"/>
                                <w:sz w:val="20"/>
                                <w:szCs w:val="20"/>
                                <w:rtl/>
                              </w:rPr>
                              <w:t>×</w:t>
                            </w:r>
                            <w:r w:rsidRPr="00E22C6B">
                              <w:rPr>
                                <w:rFonts w:cs="DanaFajr" w:hint="cs"/>
                                <w:b/>
                                <w:bCs/>
                                <w:noProof/>
                                <w:szCs w:val="28"/>
                                <w:rtl/>
                              </w:rPr>
                              <w:t xml:space="preserve">، الفرع المقابل لمرقد ابن فهد الحلي، </w:t>
                            </w:r>
                            <w:r w:rsidRPr="00E22C6B">
                              <w:rPr>
                                <w:rFonts w:cs="DanaFajr" w:hint="cs"/>
                                <w:b/>
                                <w:bCs/>
                                <w:szCs w:val="28"/>
                                <w:rtl/>
                              </w:rPr>
                              <w:t>هاتف: 7811110341(964+).</w:t>
                            </w:r>
                          </w:p>
                          <w:p w:rsidR="00DB2356" w:rsidRPr="00E22C6B" w:rsidRDefault="00DB2356"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E22C6B">
                              <w:rPr>
                                <w:rFonts w:ascii="Times New Roman" w:hAnsi="Times New Roman" w:cs="DanaFajr" w:hint="cs"/>
                                <w:b/>
                                <w:bCs/>
                                <w:szCs w:val="28"/>
                                <w:rtl/>
                                <w:lang w:eastAsia="ar-SA"/>
                              </w:rPr>
                              <w:t>+</w:t>
                            </w:r>
                            <w:r w:rsidRPr="00E22C6B">
                              <w:rPr>
                                <w:rFonts w:ascii="Times New Roman" w:hAnsi="Times New Roman" w:cs="DanaFajr" w:hint="cs"/>
                                <w:b/>
                                <w:bCs/>
                                <w:spacing w:val="-8"/>
                                <w:szCs w:val="28"/>
                                <w:rtl/>
                                <w:lang w:eastAsia="ar-SA"/>
                              </w:rPr>
                              <w:t>).</w:t>
                            </w:r>
                          </w:p>
                          <w:p w:rsidR="00DB2356" w:rsidRPr="00E22C6B" w:rsidRDefault="00DB2356" w:rsidP="00F97C81">
                            <w:pPr>
                              <w:widowControl/>
                              <w:spacing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إيران: 1ـ مكتبة الهاشمي، قم، كذرخان، هاتف: 7743543(9825</w:t>
                            </w:r>
                            <w:r w:rsidRPr="00E22C6B">
                              <w:rPr>
                                <w:rFonts w:ascii="Times New Roman" w:hAnsi="Times New Roman" w:cs="DanaFajr" w:hint="cs"/>
                                <w:b/>
                                <w:bCs/>
                                <w:szCs w:val="28"/>
                                <w:rtl/>
                                <w:lang w:eastAsia="ar-SA" w:bidi="ar-LB"/>
                              </w:rPr>
                              <w:t>3</w:t>
                            </w:r>
                            <w:r w:rsidRPr="00E22C6B">
                              <w:rPr>
                                <w:rFonts w:ascii="Times New Roman" w:hAnsi="Times New Roman" w:cs="DanaFajr" w:hint="cs"/>
                                <w:b/>
                                <w:bCs/>
                                <w:szCs w:val="28"/>
                                <w:rtl/>
                                <w:lang w:eastAsia="ar-SA"/>
                              </w:rPr>
                              <w:t xml:space="preserve">+). 2ـ </w:t>
                            </w:r>
                            <w:r w:rsidRPr="00E22C6B">
                              <w:rPr>
                                <w:rFonts w:cs="DanaFajr" w:hint="cs"/>
                                <w:b/>
                                <w:bCs/>
                                <w:noProof/>
                                <w:szCs w:val="28"/>
                                <w:rtl/>
                              </w:rPr>
                              <w:t>مؤسّسة البلاغ، قم، سوق القدس، الطابق الأوّل</w:t>
                            </w:r>
                            <w:r w:rsidRPr="00E22C6B">
                              <w:rPr>
                                <w:rFonts w:ascii="Times New Roman" w:hAnsi="Times New Roman" w:cs="DanaFajr" w:hint="cs"/>
                                <w:b/>
                                <w:bCs/>
                                <w:szCs w:val="28"/>
                                <w:rtl/>
                                <w:lang w:eastAsia="ar-SA"/>
                              </w:rPr>
                              <w:t xml:space="preserve">. 3ـ دفتر تبليغات </w:t>
                            </w:r>
                            <w:r w:rsidRPr="00E22C6B">
                              <w:rPr>
                                <w:rFonts w:ascii="Times New Roman" w:hAnsi="Times New Roman" w:hint="cs"/>
                                <w:b/>
                                <w:bCs/>
                                <w:sz w:val="24"/>
                                <w:szCs w:val="24"/>
                                <w:rtl/>
                                <w:lang w:eastAsia="ar-SA"/>
                              </w:rPr>
                              <w:t>«</w:t>
                            </w:r>
                            <w:r w:rsidRPr="00E22C6B">
                              <w:rPr>
                                <w:rFonts w:ascii="Times New Roman" w:hAnsi="Times New Roman" w:cs="DanaFajr" w:hint="cs"/>
                                <w:b/>
                                <w:bCs/>
                                <w:szCs w:val="28"/>
                                <w:rtl/>
                                <w:lang w:eastAsia="ar-SA"/>
                              </w:rPr>
                              <w:t>بوستان كتاب</w:t>
                            </w:r>
                            <w:r w:rsidRPr="00E22C6B">
                              <w:rPr>
                                <w:rFonts w:ascii="Times New Roman" w:hAnsi="Times New Roman" w:hint="cs"/>
                                <w:b/>
                                <w:bCs/>
                                <w:sz w:val="24"/>
                                <w:szCs w:val="24"/>
                                <w:rtl/>
                                <w:lang w:eastAsia="ar-SA"/>
                              </w:rPr>
                              <w:t>»</w:t>
                            </w:r>
                            <w:r w:rsidRPr="00E22C6B">
                              <w:rPr>
                                <w:rFonts w:ascii="Times New Roman" w:hAnsi="Times New Roman" w:cs="DanaFajr" w:hint="cs"/>
                                <w:b/>
                                <w:bCs/>
                                <w:szCs w:val="28"/>
                                <w:rtl/>
                                <w:lang w:eastAsia="ar-SA"/>
                              </w:rPr>
                              <w:t>، قم، چهار راه شهدا، هاتف: 7742155(98253+).</w:t>
                            </w:r>
                          </w:p>
                          <w:p w:rsidR="00DB2356" w:rsidRPr="00E22C6B" w:rsidRDefault="00DB2356" w:rsidP="00F97C81">
                            <w:pPr>
                              <w:widowControl/>
                              <w:spacing w:line="280" w:lineRule="exact"/>
                              <w:ind w:left="283" w:firstLine="0"/>
                              <w:rPr>
                                <w:rFonts w:ascii="Times New Roman" w:hAnsi="Times New Roman" w:cs="DanaFajr"/>
                                <w:b/>
                                <w:bCs/>
                                <w:szCs w:val="28"/>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تونس: دار الزهراء للتوزيع والنشر، تونس العاصمة، هاتف: 98343821(216</w:t>
                            </w:r>
                            <w:r w:rsidRPr="00E22C6B">
                              <w:rPr>
                                <w:rFonts w:ascii="Times New Roman" w:hAnsi="Times New Roman" w:cs="DanaFajr" w:hint="cs"/>
                                <w:b/>
                                <w:bCs/>
                                <w:szCs w:val="28"/>
                                <w:rtl/>
                                <w:lang w:eastAsia="ar-SA"/>
                              </w:rPr>
                              <w:t>+</w:t>
                            </w:r>
                            <w:r w:rsidRPr="00E22C6B">
                              <w:rPr>
                                <w:rFonts w:ascii="Times New Roman" w:hAnsi="Times New Roman" w:cs="DanaFajr" w:hint="cs"/>
                                <w:b/>
                                <w:bCs/>
                                <w:spacing w:val="-8"/>
                                <w:szCs w:val="28"/>
                                <w:rtl/>
                                <w:lang w:eastAsia="ar-SA"/>
                              </w:rPr>
                              <w:t>).</w:t>
                            </w:r>
                          </w:p>
                          <w:p w:rsidR="00DB2356" w:rsidRPr="00E22C6B" w:rsidRDefault="00DB2356" w:rsidP="00F97C81">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E22C6B">
                              <w:rPr>
                                <w:rFonts w:ascii="Times New Roman" w:hAnsi="Times New Roman" w:cs="DanaFajr" w:hint="cs"/>
                                <w:b/>
                                <w:bCs/>
                                <w:szCs w:val="28"/>
                                <w:rtl/>
                                <w:lang w:eastAsia="ar-SA"/>
                              </w:rPr>
                              <w:t>٭ شبكة الإنترنت، مكتبة النيل والفرات:</w:t>
                            </w:r>
                            <w:r w:rsidRPr="00E22C6B">
                              <w:rPr>
                                <w:rFonts w:ascii="Times New Roman" w:hAnsi="Times New Roman" w:cs="DanaFajr" w:hint="cs"/>
                                <w:sz w:val="34"/>
                                <w:szCs w:val="32"/>
                                <w:rtl/>
                                <w:lang w:eastAsia="ar-SA"/>
                              </w:rPr>
                              <w:t xml:space="preserve">  </w:t>
                            </w:r>
                            <w:r w:rsidRPr="00E22C6B">
                              <w:rPr>
                                <w:rFonts w:ascii="Times New Roman" w:hAnsi="Times New Roman" w:cs="DanaFajr" w:hint="cs"/>
                                <w:sz w:val="34"/>
                                <w:szCs w:val="32"/>
                                <w:rtl/>
                                <w:lang w:eastAsia="ar-SA"/>
                              </w:rPr>
                              <w:tab/>
                            </w:r>
                            <w:r w:rsidRPr="00E22C6B">
                              <w:rPr>
                                <w:rFonts w:ascii="Times New Roman" w:hAnsi="Times New Roman" w:cs="Times New Roman"/>
                                <w:sz w:val="21"/>
                                <w:szCs w:val="21"/>
                                <w:u w:val="single"/>
                                <w:lang w:eastAsia="ar-SA"/>
                              </w:rPr>
                              <w:t>http://www.neelwafurat.com</w:t>
                            </w:r>
                          </w:p>
                          <w:p w:rsidR="00DB2356" w:rsidRPr="00E22C6B" w:rsidRDefault="00DB2356" w:rsidP="00F97C81">
                            <w:pPr>
                              <w:widowControl/>
                              <w:tabs>
                                <w:tab w:val="right" w:pos="7030"/>
                              </w:tabs>
                              <w:spacing w:line="280" w:lineRule="exact"/>
                              <w:ind w:left="284" w:firstLine="0"/>
                              <w:jc w:val="left"/>
                              <w:rPr>
                                <w:rFonts w:ascii="Times New Roman" w:hAnsi="Times New Roman" w:cs="DanaFajr"/>
                                <w:sz w:val="34"/>
                                <w:szCs w:val="32"/>
                                <w:rtl/>
                                <w:lang w:eastAsia="ar-SA"/>
                              </w:rPr>
                            </w:pPr>
                            <w:r w:rsidRPr="00E22C6B">
                              <w:rPr>
                                <w:rFonts w:ascii="Times New Roman" w:hAnsi="Times New Roman" w:cs="DanaFajr" w:hint="cs"/>
                                <w:b/>
                                <w:bCs/>
                                <w:szCs w:val="28"/>
                                <w:rtl/>
                                <w:lang w:eastAsia="ar-SA"/>
                              </w:rPr>
                              <w:t xml:space="preserve">٭ المكتبة الإلكترونية العربية على الإنترنت: </w:t>
                            </w:r>
                            <w:r w:rsidRPr="00E22C6B">
                              <w:rPr>
                                <w:rFonts w:ascii="Times New Roman" w:hAnsi="Times New Roman" w:cs="DanaFajr" w:hint="cs"/>
                                <w:b/>
                                <w:bCs/>
                                <w:szCs w:val="28"/>
                                <w:rtl/>
                                <w:lang w:eastAsia="ar-SA"/>
                              </w:rPr>
                              <w:tab/>
                            </w:r>
                            <w:r w:rsidRPr="00E22C6B">
                              <w:rPr>
                                <w:rFonts w:ascii="Times New Roman" w:hAnsi="Times New Roman" w:cs="Times New Roman"/>
                                <w:sz w:val="21"/>
                                <w:szCs w:val="21"/>
                                <w:u w:val="single"/>
                                <w:lang w:eastAsia="ar-SA"/>
                              </w:rPr>
                              <w:t>http://www.arabicebook.com</w:t>
                            </w:r>
                          </w:p>
                          <w:p w:rsidR="00DB2356" w:rsidRPr="00E22C6B" w:rsidRDefault="00DB2356" w:rsidP="00F97C81">
                            <w:pPr>
                              <w:widowControl/>
                              <w:tabs>
                                <w:tab w:val="right" w:pos="7030"/>
                              </w:tabs>
                              <w:spacing w:line="280" w:lineRule="exact"/>
                              <w:ind w:left="284" w:firstLine="0"/>
                              <w:jc w:val="left"/>
                              <w:rPr>
                                <w:rFonts w:ascii="Times New Roman" w:hAnsi="Times New Roman" w:cs="DanaFajr"/>
                                <w:sz w:val="22"/>
                                <w:szCs w:val="24"/>
                                <w:rtl/>
                                <w:lang w:eastAsia="ar-SA"/>
                              </w:rPr>
                            </w:pPr>
                            <w:r w:rsidRPr="00E22C6B">
                              <w:rPr>
                                <w:rFonts w:ascii="Times New Roman" w:hAnsi="Times New Roman" w:cs="DanaFajr" w:hint="cs"/>
                                <w:b/>
                                <w:bCs/>
                                <w:szCs w:val="28"/>
                                <w:rtl/>
                                <w:lang w:eastAsia="ar-SA"/>
                              </w:rPr>
                              <w:t>٭</w:t>
                            </w:r>
                            <w:r w:rsidRPr="00E22C6B">
                              <w:rPr>
                                <w:rFonts w:ascii="Times New Roman" w:hAnsi="Times New Roman" w:cs="DanaFajr" w:hint="cs"/>
                                <w:sz w:val="38"/>
                                <w:szCs w:val="36"/>
                                <w:rtl/>
                                <w:lang w:eastAsia="ar-SA"/>
                              </w:rPr>
                              <w:t xml:space="preserve"> </w:t>
                            </w:r>
                            <w:r w:rsidRPr="00E22C6B">
                              <w:rPr>
                                <w:rFonts w:ascii="Times New Roman" w:hAnsi="Times New Roman" w:cs="DanaFajr" w:hint="cs"/>
                                <w:b/>
                                <w:bCs/>
                                <w:szCs w:val="28"/>
                                <w:rtl/>
                                <w:lang w:eastAsia="ar-SA"/>
                              </w:rPr>
                              <w:t>بريطانيا وأوروپا، دار الحكمة للطباعة والنشر والتوزيع:</w:t>
                            </w:r>
                          </w:p>
                          <w:p w:rsidR="00DB2356" w:rsidRPr="00E22C6B" w:rsidRDefault="00DB2356" w:rsidP="00F97C81">
                            <w:pPr>
                              <w:widowControl/>
                              <w:tabs>
                                <w:tab w:val="right" w:pos="7030"/>
                              </w:tabs>
                              <w:bidi w:val="0"/>
                              <w:spacing w:line="280" w:lineRule="exact"/>
                              <w:ind w:firstLine="0"/>
                              <w:jc w:val="left"/>
                              <w:rPr>
                                <w:rFonts w:ascii="Mosawi" w:hAnsi="Mosawi" w:cs="Mosawi"/>
                                <w:b/>
                                <w:bCs/>
                                <w:sz w:val="20"/>
                                <w:szCs w:val="21"/>
                              </w:rPr>
                            </w:pPr>
                            <w:r w:rsidRPr="00E22C6B">
                              <w:rPr>
                                <w:rFonts w:ascii="Times New Roman" w:hAnsi="Times New Roman" w:cs="DanaFajr"/>
                                <w:sz w:val="21"/>
                                <w:szCs w:val="21"/>
                                <w:lang w:eastAsia="ar-SA"/>
                              </w:rPr>
                              <w:t>United Kingdom</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London</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NW1</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1HJ, Chalton Street 88, Tel: (+4420) 73834037.</w:t>
                            </w:r>
                          </w:p>
                          <w:p w:rsidR="00DB2356" w:rsidRPr="00E22C6B" w:rsidRDefault="00DB2356" w:rsidP="000334F4">
                            <w:pPr>
                              <w:widowControl/>
                              <w:tabs>
                                <w:tab w:val="right" w:pos="7030"/>
                              </w:tabs>
                              <w:bidi w:val="0"/>
                              <w:spacing w:line="280" w:lineRule="exact"/>
                              <w:ind w:firstLine="0"/>
                              <w:jc w:val="left"/>
                              <w:rPr>
                                <w:rFonts w:ascii="Mosawi" w:hAnsi="Mosawi" w:cs="Mosawi"/>
                                <w:b/>
                                <w:bCs/>
                                <w:sz w:val="20"/>
                                <w:szCs w:val="21"/>
                              </w:rPr>
                            </w:pPr>
                          </w:p>
                          <w:p w:rsidR="00DB2356" w:rsidRPr="00E22C6B" w:rsidRDefault="00DB2356"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2E72EF" w:rsidRPr="00E22C6B" w:rsidRDefault="002E72EF" w:rsidP="00D245C4">
                      <w:pPr>
                        <w:spacing w:before="100" w:line="340" w:lineRule="exact"/>
                        <w:ind w:firstLine="0"/>
                        <w:jc w:val="left"/>
                        <w:rPr>
                          <w:rFonts w:ascii="Mosawi" w:hAnsi="Mosawi" w:cs="Mosawi"/>
                          <w:b/>
                          <w:noProof/>
                          <w:sz w:val="26"/>
                          <w:szCs w:val="26"/>
                        </w:rPr>
                      </w:pPr>
                      <w:r w:rsidRPr="00E22C6B">
                        <w:rPr>
                          <w:rFonts w:ascii="Mosawi" w:hAnsi="Mosawi" w:cs="Mosawi"/>
                          <w:bCs/>
                          <w:szCs w:val="20"/>
                        </w:rPr>
                        <w:sym w:font="Wingdings" w:char="F072"/>
                      </w:r>
                      <w:r w:rsidRPr="00E22C6B">
                        <w:rPr>
                          <w:rFonts w:ascii="Mosawi" w:hAnsi="Mosawi" w:cs="Mosawi"/>
                          <w:bCs/>
                          <w:szCs w:val="20"/>
                          <w:rtl/>
                        </w:rPr>
                        <w:t xml:space="preserve"> </w:t>
                      </w:r>
                      <w:r w:rsidRPr="00E22C6B">
                        <w:rPr>
                          <w:rFonts w:ascii="Mosawi" w:hAnsi="Mosawi" w:cs="PT Bold Heading" w:hint="cs"/>
                          <w:b/>
                          <w:noProof/>
                          <w:sz w:val="32"/>
                          <w:szCs w:val="32"/>
                          <w:rtl/>
                        </w:rPr>
                        <w:t>وكلاء التوزيع</w:t>
                      </w:r>
                      <w:r w:rsidRPr="00E22C6B">
                        <w:rPr>
                          <w:rFonts w:ascii="Mosawi" w:hAnsi="Mosawi" w:cs="PT Bold Heading" w:hint="cs"/>
                          <w:b/>
                          <w:noProof/>
                          <w:sz w:val="26"/>
                          <w:szCs w:val="26"/>
                          <w:rtl/>
                        </w:rPr>
                        <w:t>:</w:t>
                      </w:r>
                      <w:r w:rsidRPr="00E22C6B">
                        <w:rPr>
                          <w:rFonts w:ascii="Mosawi" w:hAnsi="Mosawi" w:cs="Mosawi"/>
                          <w:b/>
                          <w:noProof/>
                          <w:sz w:val="26"/>
                          <w:szCs w:val="26"/>
                          <w:rtl/>
                        </w:rPr>
                        <w:t xml:space="preserve"> </w:t>
                      </w:r>
                    </w:p>
                    <w:p w:rsidR="002E72EF" w:rsidRPr="00E22C6B" w:rsidRDefault="002E72EF" w:rsidP="00F97C81">
                      <w:pPr>
                        <w:widowControl/>
                        <w:spacing w:before="120"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 w:val="30"/>
                          <w:szCs w:val="28"/>
                          <w:rtl/>
                          <w:lang w:eastAsia="ar-SA"/>
                        </w:rPr>
                        <w:t>٭</w:t>
                      </w:r>
                      <w:r w:rsidRPr="00E22C6B">
                        <w:rPr>
                          <w:rFonts w:ascii="Times New Roman" w:hAnsi="Times New Roman" w:cs="DanaFajr" w:hint="cs"/>
                          <w:szCs w:val="28"/>
                          <w:rtl/>
                          <w:lang w:eastAsia="ar-SA"/>
                        </w:rPr>
                        <w:t xml:space="preserve"> </w:t>
                      </w:r>
                      <w:r w:rsidRPr="00E22C6B">
                        <w:rPr>
                          <w:rFonts w:ascii="Times New Roman" w:hAnsi="Times New Roman" w:cs="DanaFajr" w:hint="cs"/>
                          <w:b/>
                          <w:bCs/>
                          <w:szCs w:val="28"/>
                          <w:rtl/>
                          <w:lang w:eastAsia="ar-SA"/>
                        </w:rPr>
                        <w:t>لبنان: دار المحجّة البيضاء للطباعة والنشر والتوزيع، بيروت، الرويس،</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خلف محفوظ ستورز، بناية رمّال، ص.ب: 5479</w:t>
                      </w:r>
                      <w:r w:rsidRPr="00E22C6B">
                        <w:rPr>
                          <w:rFonts w:ascii="Times New Roman" w:hAnsi="Times New Roman" w:cs="DanaFajr" w:hint="cs"/>
                          <w:b/>
                          <w:bCs/>
                          <w:sz w:val="20"/>
                          <w:szCs w:val="20"/>
                          <w:rtl/>
                          <w:lang w:eastAsia="ar-SA"/>
                        </w:rPr>
                        <w:t>/</w:t>
                      </w:r>
                      <w:r w:rsidRPr="00E22C6B">
                        <w:rPr>
                          <w:rFonts w:ascii="Times New Roman" w:hAnsi="Times New Roman" w:cs="DanaFajr" w:hint="cs"/>
                          <w:b/>
                          <w:bCs/>
                          <w:szCs w:val="28"/>
                          <w:rtl/>
                          <w:lang w:eastAsia="ar-SA"/>
                        </w:rPr>
                        <w:t>14، هاتف: 541211(9611+).</w:t>
                      </w:r>
                    </w:p>
                    <w:p w:rsidR="002E72EF" w:rsidRPr="00E22C6B" w:rsidRDefault="002E72EF"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مملكة البحرين: شركة دار الوسط للنشر والتوزيع، هاتف: 17596969(973+).</w:t>
                      </w:r>
                    </w:p>
                    <w:p w:rsidR="002E72EF" w:rsidRPr="00E22C6B" w:rsidRDefault="002E72EF"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جمهورية مصر العربية: مؤسسة الأهرام، القاهرة، شارع الجلاء، هاتف: 7704365(202+).</w:t>
                      </w:r>
                    </w:p>
                    <w:p w:rsidR="002E72EF" w:rsidRPr="00E22C6B" w:rsidRDefault="002E72EF"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الإمارات العربية المتحدة: دار الحكمة، دبي، هاتف: 2665394(9714+).</w:t>
                      </w:r>
                    </w:p>
                    <w:p w:rsidR="002E72EF" w:rsidRPr="00E22C6B" w:rsidRDefault="002E72EF" w:rsidP="00F97C81">
                      <w:pPr>
                        <w:widowControl/>
                        <w:spacing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المغرب: (سبريس) الشركة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العربية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الإفريقية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للتوزيع</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والنشر</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والصحافة، الدار</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البيضاء، 70</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زنقة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سجلماسة.</w:t>
                      </w:r>
                    </w:p>
                    <w:p w:rsidR="002E72EF" w:rsidRPr="00E22C6B" w:rsidRDefault="002E72EF" w:rsidP="00F97C81">
                      <w:pPr>
                        <w:spacing w:after="60"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 xml:space="preserve">العراق: 1ـ </w:t>
                      </w:r>
                      <w:r w:rsidRPr="00E22C6B">
                        <w:rPr>
                          <w:rFonts w:cs="DanaFajr" w:hint="cs"/>
                          <w:b/>
                          <w:bCs/>
                          <w:noProof/>
                          <w:szCs w:val="28"/>
                          <w:rtl/>
                        </w:rPr>
                        <w:t>دار الكتاب العربي، بغداد، شارع المتنبي، هاتف:</w:t>
                      </w:r>
                      <w:r w:rsidRPr="00E22C6B">
                        <w:rPr>
                          <w:rFonts w:cs="DanaFajr" w:hint="cs"/>
                          <w:b/>
                          <w:bCs/>
                          <w:szCs w:val="28"/>
                          <w:rtl/>
                        </w:rPr>
                        <w:t xml:space="preserve"> </w:t>
                      </w:r>
                      <w:r w:rsidRPr="00E22C6B">
                        <w:rPr>
                          <w:rFonts w:cs="DanaFajr" w:hint="cs"/>
                          <w:b/>
                          <w:bCs/>
                          <w:noProof/>
                          <w:szCs w:val="28"/>
                          <w:rtl/>
                        </w:rPr>
                        <w:t>7901419375(964</w:t>
                      </w:r>
                      <w:r w:rsidRPr="00E22C6B">
                        <w:rPr>
                          <w:rFonts w:cs="DanaFajr" w:hint="cs"/>
                          <w:b/>
                          <w:bCs/>
                          <w:szCs w:val="28"/>
                          <w:rtl/>
                        </w:rPr>
                        <w:t>+</w:t>
                      </w:r>
                      <w:r w:rsidRPr="00E22C6B">
                        <w:rPr>
                          <w:rFonts w:cs="DanaFajr" w:hint="cs"/>
                          <w:b/>
                          <w:bCs/>
                          <w:noProof/>
                          <w:szCs w:val="28"/>
                          <w:rtl/>
                        </w:rPr>
                        <w:t xml:space="preserve">). 2ـ مكتبة العين، بغداد، شارع المتنبي، </w:t>
                      </w:r>
                      <w:r w:rsidRPr="00E22C6B">
                        <w:rPr>
                          <w:rFonts w:cs="DanaFajr" w:hint="cs"/>
                          <w:b/>
                          <w:bCs/>
                          <w:szCs w:val="28"/>
                          <w:rtl/>
                        </w:rPr>
                        <w:t xml:space="preserve">هاتف: 7700728816(964+). 3ـ مكتبة القائم، الكاظمية، باب المراد، خلف عمارة النواب. 4ـ </w:t>
                      </w:r>
                      <w:r w:rsidRPr="00E22C6B">
                        <w:rPr>
                          <w:rFonts w:cs="DanaFajr" w:hint="cs"/>
                          <w:b/>
                          <w:bCs/>
                          <w:noProof/>
                          <w:szCs w:val="28"/>
                          <w:rtl/>
                        </w:rPr>
                        <w:t>دار الغدير، النجف، سوق الحويش، هاتف: 7801752581(964</w:t>
                      </w:r>
                      <w:r w:rsidRPr="00E22C6B">
                        <w:rPr>
                          <w:rFonts w:ascii="Times New Roman" w:hAnsi="Times New Roman" w:cs="DanaFajr" w:hint="cs"/>
                          <w:b/>
                          <w:bCs/>
                          <w:szCs w:val="28"/>
                          <w:rtl/>
                          <w:lang w:eastAsia="ar-SA"/>
                        </w:rPr>
                        <w:t>+</w:t>
                      </w:r>
                      <w:r w:rsidRPr="00E22C6B">
                        <w:rPr>
                          <w:rFonts w:cs="DanaFajr" w:hint="cs"/>
                          <w:b/>
                          <w:bCs/>
                          <w:noProof/>
                          <w:szCs w:val="28"/>
                          <w:rtl/>
                        </w:rPr>
                        <w:t xml:space="preserve">). 5ـ مؤسّسة العطّار الثقافية، النجف، سوق الحويش، هاتف: </w:t>
                      </w:r>
                      <w:r w:rsidRPr="00E22C6B">
                        <w:rPr>
                          <w:rFonts w:cs="DanaFajr" w:hint="cs"/>
                          <w:b/>
                          <w:bCs/>
                          <w:szCs w:val="28"/>
                          <w:rtl/>
                        </w:rPr>
                        <w:t>7501608589(964+). 6ـ </w:t>
                      </w:r>
                      <w:r w:rsidRPr="00E22C6B">
                        <w:rPr>
                          <w:rFonts w:cs="DanaFajr" w:hint="cs"/>
                          <w:b/>
                          <w:bCs/>
                          <w:noProof/>
                          <w:szCs w:val="28"/>
                          <w:rtl/>
                        </w:rPr>
                        <w:t>دار الكتب للطباعة والنشر، كربلاء، شارع قبلة الإمام الحسين</w:t>
                      </w:r>
                      <w:r w:rsidRPr="00E22C6B">
                        <w:rPr>
                          <w:rFonts w:ascii="Mosawi" w:hAnsi="Mosawi" w:cs="Mosawi"/>
                          <w:sz w:val="20"/>
                          <w:szCs w:val="20"/>
                          <w:rtl/>
                        </w:rPr>
                        <w:t>×</w:t>
                      </w:r>
                      <w:r w:rsidRPr="00E22C6B">
                        <w:rPr>
                          <w:rFonts w:cs="DanaFajr" w:hint="cs"/>
                          <w:b/>
                          <w:bCs/>
                          <w:noProof/>
                          <w:szCs w:val="28"/>
                          <w:rtl/>
                        </w:rPr>
                        <w:t xml:space="preserve">، الفرع المقابل لمرقد ابن فهد الحلي، </w:t>
                      </w:r>
                      <w:r w:rsidRPr="00E22C6B">
                        <w:rPr>
                          <w:rFonts w:cs="DanaFajr" w:hint="cs"/>
                          <w:b/>
                          <w:bCs/>
                          <w:szCs w:val="28"/>
                          <w:rtl/>
                        </w:rPr>
                        <w:t>هاتف: 7811110341(964+).</w:t>
                      </w:r>
                    </w:p>
                    <w:p w:rsidR="002E72EF" w:rsidRPr="00E22C6B" w:rsidRDefault="002E72EF"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E22C6B">
                        <w:rPr>
                          <w:rFonts w:ascii="Times New Roman" w:hAnsi="Times New Roman" w:cs="DanaFajr" w:hint="cs"/>
                          <w:b/>
                          <w:bCs/>
                          <w:szCs w:val="28"/>
                          <w:rtl/>
                          <w:lang w:eastAsia="ar-SA"/>
                        </w:rPr>
                        <w:t>+</w:t>
                      </w:r>
                      <w:r w:rsidRPr="00E22C6B">
                        <w:rPr>
                          <w:rFonts w:ascii="Times New Roman" w:hAnsi="Times New Roman" w:cs="DanaFajr" w:hint="cs"/>
                          <w:b/>
                          <w:bCs/>
                          <w:spacing w:val="-8"/>
                          <w:szCs w:val="28"/>
                          <w:rtl/>
                          <w:lang w:eastAsia="ar-SA"/>
                        </w:rPr>
                        <w:t>).</w:t>
                      </w:r>
                    </w:p>
                    <w:p w:rsidR="002E72EF" w:rsidRPr="00E22C6B" w:rsidRDefault="002E72EF" w:rsidP="00F97C81">
                      <w:pPr>
                        <w:widowControl/>
                        <w:spacing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إيران: 1ـ مكتبة الهاشمي، قم، كذرخان، هاتف: 7743543(9825</w:t>
                      </w:r>
                      <w:r w:rsidRPr="00E22C6B">
                        <w:rPr>
                          <w:rFonts w:ascii="Times New Roman" w:hAnsi="Times New Roman" w:cs="DanaFajr" w:hint="cs"/>
                          <w:b/>
                          <w:bCs/>
                          <w:szCs w:val="28"/>
                          <w:rtl/>
                          <w:lang w:eastAsia="ar-SA" w:bidi="ar-LB"/>
                        </w:rPr>
                        <w:t>3</w:t>
                      </w:r>
                      <w:r w:rsidRPr="00E22C6B">
                        <w:rPr>
                          <w:rFonts w:ascii="Times New Roman" w:hAnsi="Times New Roman" w:cs="DanaFajr" w:hint="cs"/>
                          <w:b/>
                          <w:bCs/>
                          <w:szCs w:val="28"/>
                          <w:rtl/>
                          <w:lang w:eastAsia="ar-SA"/>
                        </w:rPr>
                        <w:t xml:space="preserve">+). 2ـ </w:t>
                      </w:r>
                      <w:r w:rsidRPr="00E22C6B">
                        <w:rPr>
                          <w:rFonts w:cs="DanaFajr" w:hint="cs"/>
                          <w:b/>
                          <w:bCs/>
                          <w:noProof/>
                          <w:szCs w:val="28"/>
                          <w:rtl/>
                        </w:rPr>
                        <w:t>مؤسّسة البلاغ، قم، سوق القدس، الطابق الأوّل</w:t>
                      </w:r>
                      <w:r w:rsidRPr="00E22C6B">
                        <w:rPr>
                          <w:rFonts w:ascii="Times New Roman" w:hAnsi="Times New Roman" w:cs="DanaFajr" w:hint="cs"/>
                          <w:b/>
                          <w:bCs/>
                          <w:szCs w:val="28"/>
                          <w:rtl/>
                          <w:lang w:eastAsia="ar-SA"/>
                        </w:rPr>
                        <w:t xml:space="preserve">. 3ـ دفتر تبليغات </w:t>
                      </w:r>
                      <w:r w:rsidRPr="00E22C6B">
                        <w:rPr>
                          <w:rFonts w:ascii="Times New Roman" w:hAnsi="Times New Roman" w:hint="cs"/>
                          <w:b/>
                          <w:bCs/>
                          <w:sz w:val="24"/>
                          <w:szCs w:val="24"/>
                          <w:rtl/>
                          <w:lang w:eastAsia="ar-SA"/>
                        </w:rPr>
                        <w:t>«</w:t>
                      </w:r>
                      <w:r w:rsidRPr="00E22C6B">
                        <w:rPr>
                          <w:rFonts w:ascii="Times New Roman" w:hAnsi="Times New Roman" w:cs="DanaFajr" w:hint="cs"/>
                          <w:b/>
                          <w:bCs/>
                          <w:szCs w:val="28"/>
                          <w:rtl/>
                          <w:lang w:eastAsia="ar-SA"/>
                        </w:rPr>
                        <w:t>بوستان كتاب</w:t>
                      </w:r>
                      <w:r w:rsidRPr="00E22C6B">
                        <w:rPr>
                          <w:rFonts w:ascii="Times New Roman" w:hAnsi="Times New Roman" w:hint="cs"/>
                          <w:b/>
                          <w:bCs/>
                          <w:sz w:val="24"/>
                          <w:szCs w:val="24"/>
                          <w:rtl/>
                          <w:lang w:eastAsia="ar-SA"/>
                        </w:rPr>
                        <w:t>»</w:t>
                      </w:r>
                      <w:r w:rsidRPr="00E22C6B">
                        <w:rPr>
                          <w:rFonts w:ascii="Times New Roman" w:hAnsi="Times New Roman" w:cs="DanaFajr" w:hint="cs"/>
                          <w:b/>
                          <w:bCs/>
                          <w:szCs w:val="28"/>
                          <w:rtl/>
                          <w:lang w:eastAsia="ar-SA"/>
                        </w:rPr>
                        <w:t>، قم، چهار راه شهدا، هاتف: 7742155(98253+).</w:t>
                      </w:r>
                    </w:p>
                    <w:p w:rsidR="002E72EF" w:rsidRPr="00E22C6B" w:rsidRDefault="002E72EF" w:rsidP="00F97C81">
                      <w:pPr>
                        <w:widowControl/>
                        <w:spacing w:line="280" w:lineRule="exact"/>
                        <w:ind w:left="283" w:firstLine="0"/>
                        <w:rPr>
                          <w:rFonts w:ascii="Times New Roman" w:hAnsi="Times New Roman" w:cs="DanaFajr"/>
                          <w:b/>
                          <w:bCs/>
                          <w:szCs w:val="28"/>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تونس: دار الزهراء للتوزيع والنشر، تونس العاصمة، هاتف: 98343821(216</w:t>
                      </w:r>
                      <w:r w:rsidRPr="00E22C6B">
                        <w:rPr>
                          <w:rFonts w:ascii="Times New Roman" w:hAnsi="Times New Roman" w:cs="DanaFajr" w:hint="cs"/>
                          <w:b/>
                          <w:bCs/>
                          <w:szCs w:val="28"/>
                          <w:rtl/>
                          <w:lang w:eastAsia="ar-SA"/>
                        </w:rPr>
                        <w:t>+</w:t>
                      </w:r>
                      <w:r w:rsidRPr="00E22C6B">
                        <w:rPr>
                          <w:rFonts w:ascii="Times New Roman" w:hAnsi="Times New Roman" w:cs="DanaFajr" w:hint="cs"/>
                          <w:b/>
                          <w:bCs/>
                          <w:spacing w:val="-8"/>
                          <w:szCs w:val="28"/>
                          <w:rtl/>
                          <w:lang w:eastAsia="ar-SA"/>
                        </w:rPr>
                        <w:t>).</w:t>
                      </w:r>
                    </w:p>
                    <w:p w:rsidR="002E72EF" w:rsidRPr="00E22C6B" w:rsidRDefault="002E72EF" w:rsidP="00F97C81">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E22C6B">
                        <w:rPr>
                          <w:rFonts w:ascii="Times New Roman" w:hAnsi="Times New Roman" w:cs="DanaFajr" w:hint="cs"/>
                          <w:b/>
                          <w:bCs/>
                          <w:szCs w:val="28"/>
                          <w:rtl/>
                          <w:lang w:eastAsia="ar-SA"/>
                        </w:rPr>
                        <w:t>٭ شبكة الإنترنت، مكتبة النيل والفرات:</w:t>
                      </w:r>
                      <w:r w:rsidRPr="00E22C6B">
                        <w:rPr>
                          <w:rFonts w:ascii="Times New Roman" w:hAnsi="Times New Roman" w:cs="DanaFajr" w:hint="cs"/>
                          <w:sz w:val="34"/>
                          <w:szCs w:val="32"/>
                          <w:rtl/>
                          <w:lang w:eastAsia="ar-SA"/>
                        </w:rPr>
                        <w:t xml:space="preserve">  </w:t>
                      </w:r>
                      <w:r w:rsidRPr="00E22C6B">
                        <w:rPr>
                          <w:rFonts w:ascii="Times New Roman" w:hAnsi="Times New Roman" w:cs="DanaFajr" w:hint="cs"/>
                          <w:sz w:val="34"/>
                          <w:szCs w:val="32"/>
                          <w:rtl/>
                          <w:lang w:eastAsia="ar-SA"/>
                        </w:rPr>
                        <w:tab/>
                      </w:r>
                      <w:r w:rsidRPr="00E22C6B">
                        <w:rPr>
                          <w:rFonts w:ascii="Times New Roman" w:hAnsi="Times New Roman" w:cs="Times New Roman"/>
                          <w:sz w:val="21"/>
                          <w:szCs w:val="21"/>
                          <w:u w:val="single"/>
                          <w:lang w:eastAsia="ar-SA"/>
                        </w:rPr>
                        <w:t>http://www.neelwafurat.com</w:t>
                      </w:r>
                    </w:p>
                    <w:p w:rsidR="002E72EF" w:rsidRPr="00E22C6B" w:rsidRDefault="002E72EF" w:rsidP="00F97C81">
                      <w:pPr>
                        <w:widowControl/>
                        <w:tabs>
                          <w:tab w:val="right" w:pos="7030"/>
                        </w:tabs>
                        <w:spacing w:line="280" w:lineRule="exact"/>
                        <w:ind w:left="284" w:firstLine="0"/>
                        <w:jc w:val="left"/>
                        <w:rPr>
                          <w:rFonts w:ascii="Times New Roman" w:hAnsi="Times New Roman" w:cs="DanaFajr"/>
                          <w:sz w:val="34"/>
                          <w:szCs w:val="32"/>
                          <w:rtl/>
                          <w:lang w:eastAsia="ar-SA"/>
                        </w:rPr>
                      </w:pPr>
                      <w:r w:rsidRPr="00E22C6B">
                        <w:rPr>
                          <w:rFonts w:ascii="Times New Roman" w:hAnsi="Times New Roman" w:cs="DanaFajr" w:hint="cs"/>
                          <w:b/>
                          <w:bCs/>
                          <w:szCs w:val="28"/>
                          <w:rtl/>
                          <w:lang w:eastAsia="ar-SA"/>
                        </w:rPr>
                        <w:t xml:space="preserve">٭ المكتبة الإلكترونية العربية على الإنترنت: </w:t>
                      </w:r>
                      <w:r w:rsidRPr="00E22C6B">
                        <w:rPr>
                          <w:rFonts w:ascii="Times New Roman" w:hAnsi="Times New Roman" w:cs="DanaFajr" w:hint="cs"/>
                          <w:b/>
                          <w:bCs/>
                          <w:szCs w:val="28"/>
                          <w:rtl/>
                          <w:lang w:eastAsia="ar-SA"/>
                        </w:rPr>
                        <w:tab/>
                      </w:r>
                      <w:r w:rsidRPr="00E22C6B">
                        <w:rPr>
                          <w:rFonts w:ascii="Times New Roman" w:hAnsi="Times New Roman" w:cs="Times New Roman"/>
                          <w:sz w:val="21"/>
                          <w:szCs w:val="21"/>
                          <w:u w:val="single"/>
                          <w:lang w:eastAsia="ar-SA"/>
                        </w:rPr>
                        <w:t>http://www.arabicebook.com</w:t>
                      </w:r>
                    </w:p>
                    <w:p w:rsidR="002E72EF" w:rsidRPr="00E22C6B" w:rsidRDefault="002E72EF" w:rsidP="00F97C81">
                      <w:pPr>
                        <w:widowControl/>
                        <w:tabs>
                          <w:tab w:val="right" w:pos="7030"/>
                        </w:tabs>
                        <w:spacing w:line="280" w:lineRule="exact"/>
                        <w:ind w:left="284" w:firstLine="0"/>
                        <w:jc w:val="left"/>
                        <w:rPr>
                          <w:rFonts w:ascii="Times New Roman" w:hAnsi="Times New Roman" w:cs="DanaFajr"/>
                          <w:sz w:val="22"/>
                          <w:szCs w:val="24"/>
                          <w:rtl/>
                          <w:lang w:eastAsia="ar-SA"/>
                        </w:rPr>
                      </w:pPr>
                      <w:r w:rsidRPr="00E22C6B">
                        <w:rPr>
                          <w:rFonts w:ascii="Times New Roman" w:hAnsi="Times New Roman" w:cs="DanaFajr" w:hint="cs"/>
                          <w:b/>
                          <w:bCs/>
                          <w:szCs w:val="28"/>
                          <w:rtl/>
                          <w:lang w:eastAsia="ar-SA"/>
                        </w:rPr>
                        <w:t>٭</w:t>
                      </w:r>
                      <w:r w:rsidRPr="00E22C6B">
                        <w:rPr>
                          <w:rFonts w:ascii="Times New Roman" w:hAnsi="Times New Roman" w:cs="DanaFajr" w:hint="cs"/>
                          <w:sz w:val="38"/>
                          <w:szCs w:val="36"/>
                          <w:rtl/>
                          <w:lang w:eastAsia="ar-SA"/>
                        </w:rPr>
                        <w:t xml:space="preserve"> </w:t>
                      </w:r>
                      <w:r w:rsidRPr="00E22C6B">
                        <w:rPr>
                          <w:rFonts w:ascii="Times New Roman" w:hAnsi="Times New Roman" w:cs="DanaFajr" w:hint="cs"/>
                          <w:b/>
                          <w:bCs/>
                          <w:szCs w:val="28"/>
                          <w:rtl/>
                          <w:lang w:eastAsia="ar-SA"/>
                        </w:rPr>
                        <w:t>بريطانيا وأوروپا، دار الحكمة للطباعة والنشر والتوزيع:</w:t>
                      </w:r>
                    </w:p>
                    <w:p w:rsidR="002E72EF" w:rsidRPr="00E22C6B" w:rsidRDefault="002E72EF" w:rsidP="00F97C81">
                      <w:pPr>
                        <w:widowControl/>
                        <w:tabs>
                          <w:tab w:val="right" w:pos="7030"/>
                        </w:tabs>
                        <w:bidi w:val="0"/>
                        <w:spacing w:line="280" w:lineRule="exact"/>
                        <w:ind w:firstLine="0"/>
                        <w:jc w:val="left"/>
                        <w:rPr>
                          <w:rFonts w:ascii="Mosawi" w:hAnsi="Mosawi" w:cs="Mosawi"/>
                          <w:b/>
                          <w:bCs/>
                          <w:sz w:val="20"/>
                          <w:szCs w:val="21"/>
                        </w:rPr>
                      </w:pPr>
                      <w:r w:rsidRPr="00E22C6B">
                        <w:rPr>
                          <w:rFonts w:ascii="Times New Roman" w:hAnsi="Times New Roman" w:cs="DanaFajr"/>
                          <w:sz w:val="21"/>
                          <w:szCs w:val="21"/>
                          <w:lang w:eastAsia="ar-SA"/>
                        </w:rPr>
                        <w:t>United Kingdom</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London</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NW1</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1HJ, Chalton Street 88, Tel: (+4420) 73834037.</w:t>
                      </w:r>
                    </w:p>
                    <w:p w:rsidR="002E72EF" w:rsidRPr="00E22C6B" w:rsidRDefault="002E72EF" w:rsidP="000334F4">
                      <w:pPr>
                        <w:widowControl/>
                        <w:tabs>
                          <w:tab w:val="right" w:pos="7030"/>
                        </w:tabs>
                        <w:bidi w:val="0"/>
                        <w:spacing w:line="280" w:lineRule="exact"/>
                        <w:ind w:firstLine="0"/>
                        <w:jc w:val="left"/>
                        <w:rPr>
                          <w:rFonts w:ascii="Mosawi" w:hAnsi="Mosawi" w:cs="Mosawi"/>
                          <w:b/>
                          <w:bCs/>
                          <w:sz w:val="20"/>
                          <w:szCs w:val="21"/>
                        </w:rPr>
                      </w:pPr>
                    </w:p>
                    <w:p w:rsidR="002E72EF" w:rsidRPr="00E22C6B" w:rsidRDefault="002E72EF" w:rsidP="0046539E">
                      <w:pPr>
                        <w:spacing w:line="300" w:lineRule="exact"/>
                        <w:ind w:firstLine="0"/>
                        <w:jc w:val="center"/>
                        <w:rPr>
                          <w:rFonts w:ascii="Mosawi" w:hAnsi="Mosawi" w:cs="Mosawi"/>
                          <w:b/>
                          <w:bCs/>
                          <w:sz w:val="20"/>
                          <w:szCs w:val="21"/>
                          <w:rtl/>
                        </w:rPr>
                      </w:pPr>
                    </w:p>
                  </w:txbxContent>
                </v:textbox>
              </v:shape>
            </w:pict>
          </mc:Fallback>
        </mc:AlternateContent>
      </w:r>
      <w:r>
        <w:rPr>
          <w:noProof/>
        </w:rPr>
        <w:drawing>
          <wp:anchor distT="0" distB="0" distL="114300" distR="114300" simplePos="0" relativeHeight="251672064" behindDoc="0" locked="0" layoutInCell="1" allowOverlap="1" wp14:anchorId="26024741" wp14:editId="40745710">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EA4E1C" w:rsidRDefault="009B7EAD" w:rsidP="00597598">
      <w:pPr>
        <w:widowControl/>
        <w:spacing w:after="200" w:line="276" w:lineRule="auto"/>
        <w:ind w:firstLine="0"/>
        <w:jc w:val="left"/>
        <w:rPr>
          <w:rFonts w:cs="HeshamNormal"/>
          <w:color w:val="000000" w:themeColor="text1"/>
          <w:sz w:val="2"/>
          <w:szCs w:val="2"/>
          <w:rtl/>
        </w:rPr>
        <w:sectPr w:rsidR="00597598" w:rsidRPr="00EA4E1C" w:rsidSect="00323BF4">
          <w:endnotePr>
            <w:numFmt w:val="decimal"/>
            <w:numRestart w:val="eachSect"/>
          </w:endnotePr>
          <w:pgSz w:w="11907" w:h="16840" w:code="9"/>
          <w:pgMar w:top="2637" w:right="2438" w:bottom="3686" w:left="2438" w:header="2268" w:footer="3119" w:gutter="0"/>
          <w:cols w:space="720"/>
          <w:titlePg/>
          <w:docGrid w:linePitch="360"/>
        </w:sectPr>
      </w:pPr>
      <w:r>
        <w:rPr>
          <w:noProof/>
        </w:rPr>
        <mc:AlternateContent>
          <mc:Choice Requires="wps">
            <w:drawing>
              <wp:anchor distT="0" distB="0" distL="114300" distR="114300" simplePos="0" relativeHeight="251674112" behindDoc="0" locked="0" layoutInCell="1" allowOverlap="1" wp14:anchorId="3969D091" wp14:editId="2B732C3C">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DB2356" w:rsidRDefault="00DB2356"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DB2356" w:rsidRPr="0044555F" w:rsidRDefault="00DB2356"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DB2356" w:rsidRPr="00943EC8" w:rsidRDefault="00DB2356"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DB2356" w:rsidRDefault="00DB2356"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2E72EF" w:rsidRDefault="002E72EF"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2E72EF" w:rsidRPr="0044555F" w:rsidRDefault="002E72EF"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2E72EF" w:rsidRPr="00943EC8" w:rsidRDefault="002E72EF"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2E72EF" w:rsidRDefault="002E72EF" w:rsidP="0046539E">
                      <w:pPr>
                        <w:spacing w:line="360" w:lineRule="exact"/>
                        <w:ind w:firstLine="0"/>
                        <w:jc w:val="center"/>
                        <w:rPr>
                          <w:rFonts w:ascii="Arial" w:hAnsi="Arial" w:cs="Ya-Ali"/>
                          <w:b/>
                          <w:sz w:val="36"/>
                          <w:rtl/>
                        </w:rPr>
                      </w:pP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11408046" wp14:editId="7285C522">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DB2356" w:rsidRDefault="00DB2356" w:rsidP="001C2FFB">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DB2356" w:rsidRDefault="00DB2356" w:rsidP="001C2FFB">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DB2356" w:rsidRPr="00E22C6B" w:rsidRDefault="00DB2356" w:rsidP="001C2FFB">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DB2356" w:rsidRPr="00943EC8" w:rsidRDefault="00DB2356" w:rsidP="001C2FFB">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DB2356" w:rsidRDefault="00DB2356" w:rsidP="001C2FFB">
                            <w:pPr>
                              <w:widowControl/>
                              <w:spacing w:line="300" w:lineRule="exact"/>
                              <w:ind w:firstLine="0"/>
                              <w:jc w:val="left"/>
                            </w:pPr>
                            <w:r>
                              <w:rPr>
                                <w:rFonts w:ascii="Times New Roman" w:hAnsi="Times New Roman" w:hint="cs"/>
                                <w:color w:val="000000" w:themeColor="text1"/>
                                <w:sz w:val="26"/>
                                <w:szCs w:val="26"/>
                                <w:rtl/>
                                <w:lang w:eastAsia="ar-SA"/>
                              </w:rPr>
                              <w:t>البريد الإلكتروني</w:t>
                            </w:r>
                          </w:p>
                          <w:p w:rsidR="00DB2356" w:rsidRPr="00F93C6E" w:rsidRDefault="00DB2356" w:rsidP="001C2FFB">
                            <w:pPr>
                              <w:widowControl/>
                              <w:spacing w:line="300" w:lineRule="exact"/>
                              <w:ind w:firstLine="0"/>
                              <w:jc w:val="left"/>
                              <w:rPr>
                                <w:rFonts w:ascii="Arial" w:hAnsi="Arial" w:cs="Ya-Ali"/>
                                <w:b/>
                                <w:sz w:val="24"/>
                                <w:szCs w:val="24"/>
                                <w:rtl/>
                              </w:rPr>
                            </w:pPr>
                            <w:r w:rsidRPr="00F93C6E">
                              <w:rPr>
                                <w:sz w:val="24"/>
                                <w:szCs w:val="24"/>
                              </w:rPr>
                              <w:t>mdohayni</w:t>
                            </w:r>
                            <w:r w:rsidRPr="00F93C6E">
                              <w:rPr>
                                <w:rFonts w:ascii="Times New Roman" w:hAnsi="Times New Roman"/>
                                <w:sz w:val="24"/>
                                <w:szCs w:val="24"/>
                                <w:lang w:eastAsia="ar-SA"/>
                              </w:rPr>
                              <w:t>@hotmail.com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2E72EF" w:rsidRDefault="002E72EF" w:rsidP="001C2FFB">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2E72EF" w:rsidRDefault="002E72EF" w:rsidP="001C2FFB">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2E72EF" w:rsidRPr="00E22C6B" w:rsidRDefault="002E72EF" w:rsidP="001C2FFB">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2E72EF" w:rsidRPr="00943EC8" w:rsidRDefault="002E72EF" w:rsidP="001C2FFB">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2E72EF" w:rsidRDefault="002E72EF" w:rsidP="001C2FFB">
                      <w:pPr>
                        <w:widowControl/>
                        <w:spacing w:line="300" w:lineRule="exact"/>
                        <w:ind w:firstLine="0"/>
                        <w:jc w:val="left"/>
                      </w:pPr>
                      <w:r>
                        <w:rPr>
                          <w:rFonts w:ascii="Times New Roman" w:hAnsi="Times New Roman" w:hint="cs"/>
                          <w:color w:val="000000" w:themeColor="text1"/>
                          <w:sz w:val="26"/>
                          <w:szCs w:val="26"/>
                          <w:rtl/>
                          <w:lang w:eastAsia="ar-SA"/>
                        </w:rPr>
                        <w:t>البريد الإلكتروني</w:t>
                      </w:r>
                    </w:p>
                    <w:p w:rsidR="002E72EF" w:rsidRPr="00F93C6E" w:rsidRDefault="002E72EF" w:rsidP="001C2FFB">
                      <w:pPr>
                        <w:widowControl/>
                        <w:spacing w:line="300" w:lineRule="exact"/>
                        <w:ind w:firstLine="0"/>
                        <w:jc w:val="left"/>
                        <w:rPr>
                          <w:rFonts w:ascii="Arial" w:hAnsi="Arial" w:cs="Ya-Ali"/>
                          <w:b/>
                          <w:sz w:val="24"/>
                          <w:szCs w:val="24"/>
                          <w:rtl/>
                        </w:rPr>
                      </w:pPr>
                      <w:r w:rsidRPr="00F93C6E">
                        <w:rPr>
                          <w:sz w:val="24"/>
                          <w:szCs w:val="24"/>
                        </w:rPr>
                        <w:t>mdohayni</w:t>
                      </w:r>
                      <w:r w:rsidRPr="00F93C6E">
                        <w:rPr>
                          <w:rFonts w:ascii="Times New Roman" w:hAnsi="Times New Roman"/>
                          <w:sz w:val="24"/>
                          <w:szCs w:val="24"/>
                          <w:lang w:eastAsia="ar-SA"/>
                        </w:rPr>
                        <w:t>@hotmail.com</w:t>
                      </w:r>
                    </w:p>
                  </w:txbxContent>
                </v:textbox>
              </v:shape>
            </w:pict>
          </mc:Fallback>
        </mc:AlternateContent>
      </w:r>
      <w:r w:rsidR="00597598" w:rsidRPr="00EA4E1C">
        <w:rPr>
          <w:color w:val="000000" w:themeColor="text1"/>
          <w:rtl/>
        </w:rPr>
        <w:br w:type="page"/>
      </w:r>
    </w:p>
    <w:p w:rsidR="002929DC" w:rsidRPr="00313610" w:rsidRDefault="006571AC" w:rsidP="00920AC9">
      <w:pPr>
        <w:tabs>
          <w:tab w:val="right" w:leader="dot" w:pos="7030"/>
        </w:tabs>
        <w:spacing w:before="360" w:line="340" w:lineRule="exact"/>
        <w:ind w:firstLine="0"/>
        <w:rPr>
          <w:rFonts w:cs="PT Bold Heading"/>
          <w:bCs/>
          <w:noProof/>
        </w:rPr>
      </w:pPr>
      <w:r w:rsidRPr="00111008">
        <w:rPr>
          <w:rFonts w:cs="PT Bold Heading"/>
          <w:bCs/>
          <w:noProof/>
          <w:szCs w:val="28"/>
        </w:rPr>
        <w:lastRenderedPageBreak/>
        <w:drawing>
          <wp:anchor distT="0" distB="0" distL="114300" distR="114300" simplePos="0" relativeHeight="251678208" behindDoc="0" locked="0" layoutInCell="1" allowOverlap="1" wp14:anchorId="604CBD54" wp14:editId="7B0831C7">
            <wp:simplePos x="0" y="0"/>
            <wp:positionH relativeFrom="column">
              <wp:posOffset>1812925</wp:posOffset>
            </wp:positionH>
            <wp:positionV relativeFrom="paragraph">
              <wp:posOffset>-395605</wp:posOffset>
            </wp:positionV>
            <wp:extent cx="853440" cy="432435"/>
            <wp:effectExtent l="0" t="0" r="3810" b="5715"/>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AC9" w:rsidRPr="00736344">
        <w:rPr>
          <w:rFonts w:cstheme="majorBidi"/>
          <w:bCs/>
          <w:sz w:val="24"/>
          <w:szCs w:val="24"/>
        </w:rPr>
        <w:sym w:font="Wingdings" w:char="F072"/>
      </w:r>
      <w:r w:rsidR="00111008" w:rsidRPr="00111008">
        <w:rPr>
          <w:rFonts w:cs="PT Bold Heading"/>
          <w:bCs/>
          <w:rtl/>
        </w:rPr>
        <w:t xml:space="preserve"> </w:t>
      </w:r>
      <w:r w:rsidR="00BB6282" w:rsidRPr="00AB6AB0">
        <w:rPr>
          <w:rFonts w:cs="PT Bold Heading"/>
          <w:bCs/>
          <w:szCs w:val="28"/>
          <w:rtl/>
        </w:rPr>
        <w:t>كلم</w:t>
      </w:r>
      <w:r w:rsidR="006D38E2" w:rsidRPr="00AB6AB0">
        <w:rPr>
          <w:rFonts w:cs="PT Bold Heading"/>
          <w:bCs/>
          <w:szCs w:val="28"/>
          <w:rtl/>
        </w:rPr>
        <w:t xml:space="preserve">ة </w:t>
      </w:r>
      <w:r w:rsidR="00BB6282" w:rsidRPr="00AB6AB0">
        <w:rPr>
          <w:rFonts w:cs="PT Bold Heading"/>
          <w:bCs/>
          <w:szCs w:val="28"/>
          <w:rtl/>
        </w:rPr>
        <w:t>التحرير</w:t>
      </w:r>
      <w:r w:rsidR="007C3EF7" w:rsidRPr="00313610">
        <w:rPr>
          <w:color w:val="000000"/>
          <w:rtl/>
        </w:rPr>
        <w:fldChar w:fldCharType="begin"/>
      </w:r>
      <w:r w:rsidR="007C3EF7" w:rsidRPr="00313610">
        <w:rPr>
          <w:color w:val="000000"/>
          <w:rtl/>
        </w:rPr>
        <w:instrText xml:space="preserve"> </w:instrText>
      </w:r>
      <w:r w:rsidR="007C3EF7" w:rsidRPr="00313610">
        <w:rPr>
          <w:color w:val="000000"/>
        </w:rPr>
        <w:instrText>TOC</w:instrText>
      </w:r>
      <w:r w:rsidR="007C3EF7" w:rsidRPr="00313610">
        <w:rPr>
          <w:color w:val="000000"/>
          <w:rtl/>
        </w:rPr>
        <w:instrText xml:space="preserve"> \</w:instrText>
      </w:r>
      <w:r w:rsidR="007C3EF7" w:rsidRPr="00313610">
        <w:rPr>
          <w:color w:val="000000"/>
        </w:rPr>
        <w:instrText>o "1-3" \h \z \u</w:instrText>
      </w:r>
      <w:r w:rsidR="007C3EF7" w:rsidRPr="00313610">
        <w:rPr>
          <w:color w:val="000000"/>
          <w:rtl/>
        </w:rPr>
        <w:instrText xml:space="preserve"> </w:instrText>
      </w:r>
      <w:r w:rsidR="007C3EF7" w:rsidRPr="00313610">
        <w:rPr>
          <w:color w:val="000000"/>
          <w:rtl/>
        </w:rPr>
        <w:fldChar w:fldCharType="separate"/>
      </w:r>
    </w:p>
    <w:p w:rsidR="002929DC" w:rsidRPr="00313610" w:rsidRDefault="007A4AF0" w:rsidP="001A491C">
      <w:pPr>
        <w:pStyle w:val="13"/>
        <w:rPr>
          <w:rFonts w:asciiTheme="minorHAnsi" w:eastAsiaTheme="minorEastAsia" w:hAnsiTheme="minorHAnsi" w:cstheme="minorBidi"/>
          <w:sz w:val="22"/>
          <w:szCs w:val="22"/>
          <w:rtl/>
          <w:lang w:eastAsia="en-US"/>
        </w:rPr>
      </w:pPr>
      <w:r w:rsidRPr="007A4AF0">
        <w:rPr>
          <w:rFonts w:cs="Abz-2 (Badr)"/>
          <w:b/>
          <w:bCs/>
          <w:sz w:val="26"/>
          <w:szCs w:val="26"/>
          <w:rtl/>
        </w:rPr>
        <w:sym w:font="Webdings" w:char="F033"/>
      </w:r>
      <w:hyperlink w:anchor="_Toc114164498" w:history="1">
        <w:r w:rsidR="001A491C">
          <w:rPr>
            <w:rStyle w:val="Hyperlink"/>
            <w:rFonts w:hint="cs"/>
            <w:u w:val="none"/>
            <w:rtl/>
          </w:rPr>
          <w:t>ا</w:t>
        </w:r>
        <w:r w:rsidR="001A491C">
          <w:rPr>
            <w:rStyle w:val="Hyperlink"/>
            <w:u w:val="none"/>
            <w:rtl/>
          </w:rPr>
          <w:t>ل</w:t>
        </w:r>
        <w:r w:rsidR="001A491C">
          <w:rPr>
            <w:rStyle w:val="Hyperlink"/>
            <w:rFonts w:hint="cs"/>
            <w:u w:val="none"/>
            <w:rtl/>
          </w:rPr>
          <w:t>وحد</w:t>
        </w:r>
        <w:r w:rsidR="002929DC" w:rsidRPr="00313610">
          <w:rPr>
            <w:rStyle w:val="Hyperlink"/>
            <w:u w:val="none"/>
            <w:rtl/>
          </w:rPr>
          <w:t>ة ال</w:t>
        </w:r>
        <w:r w:rsidR="001A491C">
          <w:rPr>
            <w:rStyle w:val="Hyperlink"/>
            <w:rFonts w:hint="cs"/>
            <w:u w:val="none"/>
            <w:rtl/>
          </w:rPr>
          <w:t>إسلاميّة، بين خوف التلاشي و</w:t>
        </w:r>
        <w:r w:rsidR="002929DC" w:rsidRPr="00313610">
          <w:rPr>
            <w:rStyle w:val="Hyperlink"/>
            <w:u w:val="none"/>
            <w:rtl/>
          </w:rPr>
          <w:t>ر</w:t>
        </w:r>
        <w:r w:rsidR="001A491C">
          <w:rPr>
            <w:rStyle w:val="Hyperlink"/>
            <w:rFonts w:hint="cs"/>
            <w:u w:val="none"/>
            <w:rtl/>
          </w:rPr>
          <w:t>جاء التلاق</w:t>
        </w:r>
        <w:r w:rsidR="002929DC" w:rsidRPr="00313610">
          <w:rPr>
            <w:rStyle w:val="Hyperlink"/>
            <w:u w:val="none"/>
            <w:rtl/>
          </w:rPr>
          <w:t>ي</w:t>
        </w:r>
      </w:hyperlink>
    </w:p>
    <w:p w:rsidR="002929DC" w:rsidRPr="00A84D88" w:rsidRDefault="00DB2356" w:rsidP="009C079B">
      <w:pPr>
        <w:pStyle w:val="32"/>
        <w:rPr>
          <w:rStyle w:val="Hyperlink"/>
          <w:sz w:val="27"/>
          <w:szCs w:val="27"/>
          <w:u w:val="none"/>
        </w:rPr>
      </w:pPr>
      <w:hyperlink w:anchor="_Toc114164500" w:history="1">
        <w:r w:rsidR="00AD1563" w:rsidRPr="00A84D88">
          <w:rPr>
            <w:rStyle w:val="Hyperlink"/>
            <w:rFonts w:hint="cs"/>
            <w:sz w:val="27"/>
            <w:szCs w:val="27"/>
            <w:u w:val="none"/>
            <w:rtl/>
          </w:rPr>
          <w:t xml:space="preserve">محمد عبّاس دهيني </w:t>
        </w:r>
        <w:r w:rsidR="00D700CB" w:rsidRPr="009C079B">
          <w:rPr>
            <w:rStyle w:val="Hyperlink"/>
            <w:rFonts w:asciiTheme="majorBidi" w:hAnsiTheme="majorBidi" w:cstheme="majorBidi"/>
            <w:sz w:val="27"/>
            <w:szCs w:val="27"/>
            <w:u w:val="none"/>
            <w:rtl/>
          </w:rPr>
          <w:tab/>
        </w:r>
      </w:hyperlink>
      <w:r w:rsidR="00D700CB" w:rsidRPr="0055148C">
        <w:rPr>
          <w:rStyle w:val="Hyperlink"/>
          <w:rFonts w:hint="cs"/>
          <w:color w:val="auto"/>
          <w:sz w:val="27"/>
          <w:szCs w:val="27"/>
          <w:u w:val="none"/>
          <w:rtl/>
        </w:rPr>
        <w:t xml:space="preserve"> 5</w:t>
      </w:r>
    </w:p>
    <w:p w:rsidR="00AB6AB0" w:rsidRPr="00313610" w:rsidRDefault="00F30936" w:rsidP="00C34F41">
      <w:pPr>
        <w:pStyle w:val="13"/>
        <w:spacing w:before="360" w:line="340" w:lineRule="exact"/>
        <w:ind w:left="0" w:firstLine="0"/>
        <w:rPr>
          <w:rStyle w:val="Hyperlink"/>
          <w:u w:val="none"/>
          <w:rtl/>
        </w:rPr>
      </w:pPr>
      <w:r w:rsidRPr="00282AC9">
        <w:rPr>
          <w:szCs w:val="24"/>
        </w:rPr>
        <w:sym w:font="Wingdings" w:char="F072"/>
      </w:r>
      <w:r w:rsidRPr="00111008">
        <w:rPr>
          <w:rFonts w:ascii="Times" w:hAnsi="Times" w:cs="PT Bold Heading"/>
          <w:bCs/>
          <w:sz w:val="28"/>
          <w:rtl/>
          <w:lang w:eastAsia="en-US"/>
        </w:rPr>
        <w:t xml:space="preserve"> </w:t>
      </w:r>
      <w:r w:rsidRPr="00111008">
        <w:rPr>
          <w:rFonts w:ascii="Times" w:hAnsi="Times" w:cs="PT Bold Heading" w:hint="cs"/>
          <w:bCs/>
          <w:sz w:val="28"/>
          <w:rtl/>
          <w:lang w:eastAsia="en-US"/>
        </w:rPr>
        <w:t>دراسات</w:t>
      </w:r>
    </w:p>
    <w:p w:rsidR="002929DC" w:rsidRPr="006C66BB" w:rsidRDefault="007A4AF0" w:rsidP="00111008">
      <w:pPr>
        <w:pStyle w:val="13"/>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501" w:history="1">
        <w:r w:rsidR="002929DC" w:rsidRPr="006C66BB">
          <w:rPr>
            <w:rStyle w:val="Hyperlink"/>
            <w:color w:val="auto"/>
            <w:u w:val="none"/>
            <w:rtl/>
            <w:lang w:bidi="ar-LB"/>
          </w:rPr>
          <w:t>رأي الأكثريّة</w:t>
        </w:r>
        <w:r w:rsidR="00AD1563" w:rsidRPr="006C66BB">
          <w:rPr>
            <w:rStyle w:val="Hyperlink"/>
            <w:rFonts w:hint="cs"/>
            <w:color w:val="auto"/>
            <w:u w:val="none"/>
            <w:rtl/>
            <w:lang w:bidi="ar-LB"/>
          </w:rPr>
          <w:t xml:space="preserve">، </w:t>
        </w:r>
        <w:r w:rsidR="00AD1563" w:rsidRPr="006C66BB">
          <w:rPr>
            <w:rStyle w:val="Hyperlink"/>
            <w:color w:val="auto"/>
            <w:u w:val="none"/>
            <w:rtl/>
            <w:lang w:bidi="ar-LB"/>
          </w:rPr>
          <w:t>بين الاعتبار العقليّ والشرعيّ</w:t>
        </w:r>
        <w:r w:rsidR="00AD1563" w:rsidRPr="006C66BB">
          <w:rPr>
            <w:rStyle w:val="Hyperlink"/>
            <w:rFonts w:hint="cs"/>
            <w:color w:val="auto"/>
            <w:u w:val="none"/>
            <w:rtl/>
            <w:lang w:bidi="ar-LB"/>
          </w:rPr>
          <w:t xml:space="preserve"> / القسم الأوّل</w:t>
        </w:r>
      </w:hyperlink>
    </w:p>
    <w:p w:rsidR="002929DC" w:rsidRPr="00A84D88" w:rsidRDefault="00DB2356" w:rsidP="00A84D88">
      <w:pPr>
        <w:pStyle w:val="32"/>
        <w:rPr>
          <w:rStyle w:val="Hyperlink"/>
          <w:sz w:val="27"/>
          <w:szCs w:val="27"/>
          <w:u w:val="none"/>
        </w:rPr>
      </w:pPr>
      <w:hyperlink w:anchor="_Toc114164502" w:history="1">
        <w:r w:rsidR="00C44259" w:rsidRPr="00A84D88">
          <w:rPr>
            <w:rStyle w:val="Hyperlink"/>
            <w:rFonts w:hint="cs"/>
            <w:sz w:val="27"/>
            <w:szCs w:val="27"/>
            <w:u w:val="none"/>
            <w:rtl/>
          </w:rPr>
          <w:t>الشيخ مسعود إمامي</w:t>
        </w:r>
        <w:r w:rsidR="00D700CB">
          <w:rPr>
            <w:rStyle w:val="Hyperlink"/>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_Toc114164502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11</w:t>
        </w:r>
        <w:r w:rsidR="002929DC" w:rsidRPr="00A84D88">
          <w:rPr>
            <w:rStyle w:val="Hyperlink"/>
            <w:sz w:val="27"/>
            <w:szCs w:val="27"/>
            <w:u w:val="none"/>
            <w:rtl/>
          </w:rPr>
          <w:fldChar w:fldCharType="end"/>
        </w:r>
      </w:hyperlink>
    </w:p>
    <w:p w:rsidR="002929DC" w:rsidRPr="006C66BB" w:rsidRDefault="007A4AF0" w:rsidP="00920AC9">
      <w:pPr>
        <w:pStyle w:val="13"/>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523" w:history="1">
        <w:r w:rsidR="002929DC" w:rsidRPr="006C66BB">
          <w:rPr>
            <w:rStyle w:val="Hyperlink"/>
            <w:color w:val="auto"/>
            <w:u w:val="none"/>
            <w:rtl/>
          </w:rPr>
          <w:t>حجِّية السيرة العقلائيّة</w:t>
        </w:r>
        <w:r w:rsidR="002929DC" w:rsidRPr="006C66BB">
          <w:rPr>
            <w:rStyle w:val="Hyperlink"/>
            <w:rFonts w:cs="AL-Mohanad"/>
            <w:color w:val="auto"/>
            <w:u w:val="none"/>
            <w:rtl/>
          </w:rPr>
          <w:t xml:space="preserve"> </w:t>
        </w:r>
        <w:r w:rsidR="002929DC" w:rsidRPr="006C66BB">
          <w:rPr>
            <w:rStyle w:val="Hyperlink"/>
            <w:color w:val="auto"/>
            <w:u w:val="none"/>
            <w:rtl/>
          </w:rPr>
          <w:t>في غير العبادات</w:t>
        </w:r>
        <w:r w:rsidR="00AD1563" w:rsidRPr="006C66BB">
          <w:rPr>
            <w:rStyle w:val="Hyperlink"/>
            <w:rFonts w:hint="cs"/>
            <w:color w:val="auto"/>
            <w:u w:val="none"/>
            <w:rtl/>
          </w:rPr>
          <w:t xml:space="preserve">، </w:t>
        </w:r>
        <w:r w:rsidR="00AD1563" w:rsidRPr="006C66BB">
          <w:rPr>
            <w:rStyle w:val="Hyperlink"/>
            <w:color w:val="auto"/>
            <w:u w:val="none"/>
            <w:rtl/>
          </w:rPr>
          <w:t>قاعدةٌ أوّلية أو ثانويّة؟</w:t>
        </w:r>
      </w:hyperlink>
    </w:p>
    <w:p w:rsidR="002929DC" w:rsidRPr="00A84D88" w:rsidRDefault="00DB2356" w:rsidP="00A84D88">
      <w:pPr>
        <w:pStyle w:val="32"/>
        <w:rPr>
          <w:rStyle w:val="Hyperlink"/>
          <w:sz w:val="27"/>
          <w:szCs w:val="27"/>
          <w:u w:val="none"/>
        </w:rPr>
      </w:pPr>
      <w:hyperlink w:anchor="_Toc114164524" w:history="1">
        <w:r w:rsidR="00C44259" w:rsidRPr="00A84D88">
          <w:rPr>
            <w:rStyle w:val="Hyperlink"/>
            <w:sz w:val="27"/>
            <w:szCs w:val="27"/>
            <w:u w:val="none"/>
            <w:rtl/>
          </w:rPr>
          <w:t>الشيخ سعيد ضيائي فر</w:t>
        </w:r>
        <w:r w:rsidR="00E63CAC">
          <w:rPr>
            <w:rStyle w:val="Hyperlink"/>
            <w:webHidden/>
            <w:sz w:val="27"/>
            <w:szCs w:val="27"/>
            <w:u w:val="none"/>
          </w:rPr>
          <w:t xml:space="preserve"> </w:t>
        </w:r>
        <w:r w:rsidR="002929DC" w:rsidRPr="00A84D88">
          <w:rPr>
            <w:rStyle w:val="Hyperlink"/>
            <w:webHidden/>
            <w:sz w:val="27"/>
            <w:szCs w:val="27"/>
            <w:u w:val="none"/>
          </w:rPr>
          <w:tab/>
        </w:r>
        <w:r w:rsidR="00E63CAC">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_Toc114164524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57</w:t>
        </w:r>
        <w:r w:rsidR="002929DC" w:rsidRPr="00A84D88">
          <w:rPr>
            <w:rStyle w:val="Hyperlink"/>
            <w:sz w:val="27"/>
            <w:szCs w:val="27"/>
            <w:u w:val="none"/>
            <w:rtl/>
          </w:rPr>
          <w:fldChar w:fldCharType="end"/>
        </w:r>
      </w:hyperlink>
    </w:p>
    <w:p w:rsidR="002929DC" w:rsidRPr="006C66BB" w:rsidRDefault="007A4AF0" w:rsidP="00920AC9">
      <w:pPr>
        <w:pStyle w:val="13"/>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543" w:history="1">
        <w:r w:rsidR="002929DC" w:rsidRPr="006C66BB">
          <w:rPr>
            <w:rStyle w:val="Hyperlink"/>
            <w:color w:val="auto"/>
            <w:u w:val="none"/>
            <w:rtl/>
          </w:rPr>
          <w:t>الخطاب ا</w:t>
        </w:r>
        <w:r w:rsidR="002929DC" w:rsidRPr="006C66BB">
          <w:rPr>
            <w:rStyle w:val="Hyperlink"/>
            <w:color w:val="auto"/>
            <w:u w:val="none"/>
            <w:rtl/>
            <w:lang w:bidi="ar-LB"/>
          </w:rPr>
          <w:t>لدينيّ والو</w:t>
        </w:r>
        <w:r w:rsidR="002929DC" w:rsidRPr="006C66BB">
          <w:rPr>
            <w:rStyle w:val="Hyperlink"/>
            <w:color w:val="auto"/>
            <w:u w:val="none"/>
            <w:rtl/>
          </w:rPr>
          <w:t>ظيفة الاجتماعيّة</w:t>
        </w:r>
        <w:r w:rsidR="00A51F87" w:rsidRPr="006C66BB">
          <w:rPr>
            <w:rStyle w:val="Hyperlink"/>
            <w:rFonts w:hint="cs"/>
            <w:color w:val="auto"/>
            <w:u w:val="none"/>
            <w:rtl/>
          </w:rPr>
          <w:t xml:space="preserve">، </w:t>
        </w:r>
        <w:r w:rsidR="00A51F87" w:rsidRPr="006C66BB">
          <w:rPr>
            <w:rStyle w:val="Hyperlink"/>
            <w:color w:val="auto"/>
            <w:u w:val="none"/>
            <w:rtl/>
          </w:rPr>
          <w:t>الأساليب والضوابط وس</w:t>
        </w:r>
        <w:r w:rsidR="00EA0A42">
          <w:rPr>
            <w:rStyle w:val="Hyperlink"/>
            <w:rFonts w:hint="cs"/>
            <w:color w:val="auto"/>
            <w:u w:val="none"/>
            <w:rtl/>
          </w:rPr>
          <w:t>ُ</w:t>
        </w:r>
        <w:r w:rsidR="00A51F87" w:rsidRPr="006C66BB">
          <w:rPr>
            <w:rStyle w:val="Hyperlink"/>
            <w:color w:val="auto"/>
            <w:u w:val="none"/>
            <w:rtl/>
          </w:rPr>
          <w:t>ب</w:t>
        </w:r>
        <w:r w:rsidR="00EA0A42">
          <w:rPr>
            <w:rStyle w:val="Hyperlink"/>
            <w:rFonts w:hint="cs"/>
            <w:color w:val="auto"/>
            <w:u w:val="none"/>
            <w:rtl/>
          </w:rPr>
          <w:t>ُ</w:t>
        </w:r>
        <w:r w:rsidR="00A51F87" w:rsidRPr="006C66BB">
          <w:rPr>
            <w:rStyle w:val="Hyperlink"/>
            <w:color w:val="auto"/>
            <w:u w:val="none"/>
            <w:rtl/>
          </w:rPr>
          <w:t>ل الترشيد</w:t>
        </w:r>
      </w:hyperlink>
    </w:p>
    <w:p w:rsidR="002929DC" w:rsidRPr="00A84D88" w:rsidRDefault="00DB2356" w:rsidP="00E63CAC">
      <w:pPr>
        <w:pStyle w:val="32"/>
        <w:rPr>
          <w:rStyle w:val="Hyperlink"/>
          <w:sz w:val="27"/>
          <w:szCs w:val="27"/>
          <w:u w:val="none"/>
        </w:rPr>
      </w:pPr>
      <w:hyperlink w:anchor="_Toc114164544" w:history="1">
        <w:r w:rsidR="00C44259" w:rsidRPr="00A84D88">
          <w:rPr>
            <w:rStyle w:val="Hyperlink"/>
            <w:sz w:val="27"/>
            <w:szCs w:val="27"/>
            <w:u w:val="none"/>
            <w:rtl/>
          </w:rPr>
          <w:t>الشيخ حسن موسى الص</w:t>
        </w:r>
        <w:r w:rsidR="00C44259" w:rsidRPr="00A84D88">
          <w:rPr>
            <w:rStyle w:val="Hyperlink"/>
            <w:rFonts w:hint="cs"/>
            <w:sz w:val="27"/>
            <w:szCs w:val="27"/>
            <w:u w:val="none"/>
            <w:rtl/>
          </w:rPr>
          <w:t>فّ</w:t>
        </w:r>
        <w:r w:rsidR="00C44259" w:rsidRPr="00A84D88">
          <w:rPr>
            <w:rStyle w:val="Hyperlink"/>
            <w:sz w:val="27"/>
            <w:szCs w:val="27"/>
            <w:u w:val="none"/>
            <w:rtl/>
          </w:rPr>
          <w:t>ا</w:t>
        </w:r>
        <w:r w:rsidR="00E63CAC">
          <w:rPr>
            <w:rStyle w:val="Hyperlink"/>
            <w:rFonts w:hint="cs"/>
            <w:sz w:val="27"/>
            <w:szCs w:val="27"/>
            <w:u w:val="none"/>
            <w:rtl/>
          </w:rPr>
          <w:t>ر</w:t>
        </w:r>
        <w:r w:rsidR="00E63CAC">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_Toc114164544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77</w:t>
        </w:r>
        <w:r w:rsidR="002929DC" w:rsidRPr="00A84D88">
          <w:rPr>
            <w:rStyle w:val="Hyperlink"/>
            <w:sz w:val="27"/>
            <w:szCs w:val="27"/>
            <w:u w:val="none"/>
            <w:rtl/>
          </w:rPr>
          <w:fldChar w:fldCharType="end"/>
        </w:r>
      </w:hyperlink>
    </w:p>
    <w:p w:rsidR="002929DC" w:rsidRPr="006C66BB" w:rsidRDefault="007A4AF0" w:rsidP="00EA0A42">
      <w:pPr>
        <w:pStyle w:val="13"/>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564" w:history="1">
        <w:r w:rsidR="002929DC" w:rsidRPr="006C66BB">
          <w:rPr>
            <w:rStyle w:val="Hyperlink"/>
            <w:color w:val="auto"/>
            <w:u w:val="none"/>
            <w:rtl/>
          </w:rPr>
          <w:t>قرينة السياق</w:t>
        </w:r>
        <w:r w:rsidR="00A51F87" w:rsidRPr="006C66BB">
          <w:rPr>
            <w:rStyle w:val="Hyperlink"/>
            <w:rFonts w:hint="cs"/>
            <w:color w:val="auto"/>
            <w:u w:val="none"/>
            <w:rtl/>
          </w:rPr>
          <w:t xml:space="preserve"> </w:t>
        </w:r>
        <w:r w:rsidR="00A51F87" w:rsidRPr="006C66BB">
          <w:rPr>
            <w:rStyle w:val="Hyperlink"/>
            <w:color w:val="auto"/>
            <w:u w:val="none"/>
            <w:rtl/>
          </w:rPr>
          <w:t>ودَوْرها في استنباط الأحكام الشرعيّة</w:t>
        </w:r>
      </w:hyperlink>
    </w:p>
    <w:p w:rsidR="002929DC" w:rsidRPr="00A84D88" w:rsidRDefault="00DB2356" w:rsidP="00A84D88">
      <w:pPr>
        <w:pStyle w:val="32"/>
        <w:rPr>
          <w:rStyle w:val="Hyperlink"/>
          <w:sz w:val="27"/>
          <w:u w:val="none"/>
        </w:rPr>
      </w:pPr>
      <w:hyperlink w:anchor="_Toc114164565" w:history="1">
        <w:r w:rsidR="00C44259" w:rsidRPr="00A84D88">
          <w:rPr>
            <w:rStyle w:val="Hyperlink"/>
            <w:rFonts w:hint="cs"/>
            <w:sz w:val="27"/>
            <w:szCs w:val="27"/>
            <w:u w:val="none"/>
            <w:rtl/>
          </w:rPr>
          <w:t xml:space="preserve">الشيخ محمد حسن </w:t>
        </w:r>
        <w:r w:rsidR="00C44259" w:rsidRPr="0080612C">
          <w:rPr>
            <w:rFonts w:ascii="Mosawi" w:eastAsiaTheme="minorHAnsi" w:hAnsi="Mosawi" w:cs="Abz-3 (Yagut)" w:hint="cs"/>
            <w:szCs w:val="24"/>
            <w:rtl/>
            <w:lang w:eastAsia="en-US" w:bidi="ar-SA"/>
          </w:rPr>
          <w:t>گلي</w:t>
        </w:r>
        <w:r w:rsidR="00C44259" w:rsidRPr="00A84D88">
          <w:rPr>
            <w:rStyle w:val="Hyperlink"/>
            <w:rFonts w:hint="cs"/>
            <w:sz w:val="27"/>
            <w:szCs w:val="27"/>
            <w:u w:val="none"/>
            <w:rtl/>
          </w:rPr>
          <w:t xml:space="preserve"> شيردار / الشيخ </w:t>
        </w:r>
        <w:r w:rsidR="00C44259" w:rsidRPr="0080612C">
          <w:rPr>
            <w:rFonts w:ascii="Mosawi" w:eastAsiaTheme="minorHAnsi" w:hAnsi="Mosawi" w:cs="Abz-3 (Yagut)" w:hint="cs"/>
            <w:szCs w:val="24"/>
            <w:rtl/>
            <w:lang w:eastAsia="en-US" w:bidi="ar-SA"/>
          </w:rPr>
          <w:t>سپهر</w:t>
        </w:r>
        <w:r w:rsidR="00C44259" w:rsidRPr="00A84D88">
          <w:rPr>
            <w:rStyle w:val="Hyperlink"/>
            <w:rFonts w:hint="cs"/>
            <w:sz w:val="27"/>
            <w:szCs w:val="27"/>
            <w:u w:val="none"/>
            <w:rtl/>
          </w:rPr>
          <w:t xml:space="preserve"> كرد</w:t>
        </w:r>
        <w:r w:rsidR="00C44259" w:rsidRPr="00A84D88">
          <w:rPr>
            <w:rStyle w:val="Hyperlink"/>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_Toc114164565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105</w:t>
        </w:r>
        <w:r w:rsidR="002929DC" w:rsidRPr="00A84D88">
          <w:rPr>
            <w:rStyle w:val="Hyperlink"/>
            <w:sz w:val="27"/>
            <w:szCs w:val="27"/>
            <w:u w:val="none"/>
            <w:rtl/>
          </w:rPr>
          <w:fldChar w:fldCharType="end"/>
        </w:r>
      </w:hyperlink>
    </w:p>
    <w:p w:rsidR="002929DC" w:rsidRPr="006C66BB" w:rsidRDefault="007A4AF0" w:rsidP="00920AC9">
      <w:pPr>
        <w:pStyle w:val="13"/>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596" w:history="1">
        <w:r w:rsidR="002929DC" w:rsidRPr="006C66BB">
          <w:rPr>
            <w:rStyle w:val="Hyperlink"/>
            <w:color w:val="auto"/>
            <w:u w:val="none"/>
            <w:rtl/>
            <w:lang w:bidi="ar-IQ"/>
          </w:rPr>
          <w:t>عقد الصلح الابتدائي</w:t>
        </w:r>
        <w:r w:rsidR="00EA0A42">
          <w:rPr>
            <w:rStyle w:val="Hyperlink"/>
            <w:rFonts w:hint="cs"/>
            <w:color w:val="auto"/>
            <w:u w:val="none"/>
            <w:rtl/>
            <w:lang w:bidi="ar-IQ"/>
          </w:rPr>
          <w:t>ّ</w:t>
        </w:r>
        <w:r w:rsidR="00A51F87" w:rsidRPr="006C66BB">
          <w:rPr>
            <w:rStyle w:val="Hyperlink"/>
            <w:rFonts w:hint="cs"/>
            <w:color w:val="auto"/>
            <w:u w:val="none"/>
            <w:rtl/>
          </w:rPr>
          <w:t xml:space="preserve">، </w:t>
        </w:r>
        <w:r w:rsidR="00A51F87" w:rsidRPr="006C66BB">
          <w:rPr>
            <w:rStyle w:val="Hyperlink"/>
            <w:color w:val="auto"/>
            <w:u w:val="none"/>
            <w:rtl/>
          </w:rPr>
          <w:t>نظراتٌ في أدلّة المشروعيّة وعدمها</w:t>
        </w:r>
      </w:hyperlink>
    </w:p>
    <w:p w:rsidR="002929DC" w:rsidRPr="00A84D88" w:rsidRDefault="00DB2356" w:rsidP="00A84D88">
      <w:pPr>
        <w:pStyle w:val="32"/>
        <w:rPr>
          <w:rStyle w:val="Hyperlink"/>
          <w:sz w:val="27"/>
          <w:u w:val="none"/>
        </w:rPr>
      </w:pPr>
      <w:hyperlink w:anchor="_Toc114164597" w:history="1">
        <w:r w:rsidR="00C44259" w:rsidRPr="00A84D88">
          <w:rPr>
            <w:rStyle w:val="Hyperlink"/>
            <w:rFonts w:hint="cs"/>
            <w:sz w:val="27"/>
            <w:szCs w:val="27"/>
            <w:u w:val="none"/>
            <w:rtl/>
          </w:rPr>
          <w:t>الشيخ مسلم الداوري / الشيخ مجتبى المسعودي</w:t>
        </w:r>
        <w:r w:rsidR="00C44259" w:rsidRPr="00A84D88">
          <w:rPr>
            <w:rStyle w:val="Hyperlink"/>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_Toc114164597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133</w:t>
        </w:r>
        <w:r w:rsidR="002929DC" w:rsidRPr="00A84D88">
          <w:rPr>
            <w:rStyle w:val="Hyperlink"/>
            <w:sz w:val="27"/>
            <w:szCs w:val="27"/>
            <w:u w:val="none"/>
            <w:rtl/>
          </w:rPr>
          <w:fldChar w:fldCharType="end"/>
        </w:r>
      </w:hyperlink>
    </w:p>
    <w:p w:rsidR="002929DC" w:rsidRPr="006C66BB" w:rsidRDefault="007A4AF0" w:rsidP="00920AC9">
      <w:pPr>
        <w:pStyle w:val="13"/>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635" w:history="1">
        <w:r w:rsidR="002929DC" w:rsidRPr="006C66BB">
          <w:rPr>
            <w:rStyle w:val="Hyperlink"/>
            <w:color w:val="auto"/>
            <w:u w:val="none"/>
            <w:rtl/>
          </w:rPr>
          <w:t>آية التبليغ وأسباب نزولها</w:t>
        </w:r>
        <w:r w:rsidR="00A51F87" w:rsidRPr="006C66BB">
          <w:rPr>
            <w:rStyle w:val="Hyperlink"/>
            <w:rFonts w:hint="cs"/>
            <w:color w:val="auto"/>
            <w:u w:val="none"/>
            <w:rtl/>
          </w:rPr>
          <w:t xml:space="preserve">، </w:t>
        </w:r>
        <w:r w:rsidR="00A51F87" w:rsidRPr="006C66BB">
          <w:rPr>
            <w:rStyle w:val="Hyperlink"/>
            <w:color w:val="auto"/>
            <w:u w:val="none"/>
            <w:rtl/>
          </w:rPr>
          <w:t>دراسةٌ تحليليّة مقارنة</w:t>
        </w:r>
      </w:hyperlink>
    </w:p>
    <w:p w:rsidR="002929DC" w:rsidRPr="00A84D88" w:rsidRDefault="00DB2356" w:rsidP="00A84D88">
      <w:pPr>
        <w:pStyle w:val="32"/>
        <w:rPr>
          <w:rStyle w:val="Hyperlink"/>
          <w:sz w:val="27"/>
          <w:u w:val="none"/>
        </w:rPr>
      </w:pPr>
      <w:hyperlink w:anchor="_Toc114164636" w:history="1">
        <w:r w:rsidR="00C44259" w:rsidRPr="00A84D88">
          <w:rPr>
            <w:rStyle w:val="Hyperlink"/>
            <w:rFonts w:hint="cs"/>
            <w:sz w:val="27"/>
            <w:szCs w:val="27"/>
            <w:u w:val="none"/>
            <w:rtl/>
          </w:rPr>
          <w:t xml:space="preserve">د. الشيخ </w:t>
        </w:r>
        <w:r w:rsidR="00C44259" w:rsidRPr="00A84D88">
          <w:rPr>
            <w:rStyle w:val="Hyperlink"/>
            <w:sz w:val="27"/>
            <w:szCs w:val="27"/>
            <w:u w:val="none"/>
            <w:rtl/>
          </w:rPr>
          <w:t xml:space="preserve">كامران </w:t>
        </w:r>
        <w:r w:rsidR="00C44259" w:rsidRPr="00A84D88">
          <w:rPr>
            <w:rStyle w:val="Hyperlink"/>
            <w:rFonts w:hint="cs"/>
            <w:sz w:val="27"/>
            <w:szCs w:val="27"/>
            <w:u w:val="none"/>
            <w:rtl/>
          </w:rPr>
          <w:t>أ</w:t>
        </w:r>
        <w:r w:rsidR="00C44259" w:rsidRPr="00A84D88">
          <w:rPr>
            <w:rStyle w:val="Hyperlink"/>
            <w:sz w:val="27"/>
            <w:szCs w:val="27"/>
            <w:u w:val="none"/>
            <w:rtl/>
          </w:rPr>
          <w:t>ويسي</w:t>
        </w:r>
        <w:r w:rsidR="00C44259" w:rsidRPr="00A84D88">
          <w:rPr>
            <w:rStyle w:val="Hyperlink"/>
            <w:rFonts w:hint="cs"/>
            <w:sz w:val="27"/>
            <w:szCs w:val="27"/>
            <w:u w:val="none"/>
            <w:rtl/>
          </w:rPr>
          <w:t xml:space="preserve"> / الشيخ </w:t>
        </w:r>
        <w:r w:rsidR="00C44259" w:rsidRPr="00A84D88">
          <w:rPr>
            <w:rStyle w:val="Hyperlink"/>
            <w:sz w:val="27"/>
            <w:szCs w:val="27"/>
            <w:u w:val="none"/>
            <w:rtl/>
          </w:rPr>
          <w:t>عيس</w:t>
        </w:r>
        <w:r w:rsidR="00C44259" w:rsidRPr="00A84D88">
          <w:rPr>
            <w:rStyle w:val="Hyperlink"/>
            <w:rFonts w:hint="cs"/>
            <w:sz w:val="27"/>
            <w:szCs w:val="27"/>
            <w:u w:val="none"/>
            <w:rtl/>
          </w:rPr>
          <w:t>ى</w:t>
        </w:r>
        <w:r w:rsidR="00C44259" w:rsidRPr="00A84D88">
          <w:rPr>
            <w:rStyle w:val="Hyperlink"/>
            <w:sz w:val="27"/>
            <w:szCs w:val="27"/>
            <w:u w:val="none"/>
            <w:rtl/>
          </w:rPr>
          <w:t xml:space="preserve"> محسني</w:t>
        </w:r>
        <w:r w:rsidR="00C44259" w:rsidRPr="00A84D88">
          <w:rPr>
            <w:rStyle w:val="Hyperlink"/>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_Toc114164636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173</w:t>
        </w:r>
        <w:r w:rsidR="002929DC" w:rsidRPr="00A84D88">
          <w:rPr>
            <w:rStyle w:val="Hyperlink"/>
            <w:sz w:val="27"/>
            <w:szCs w:val="27"/>
            <w:u w:val="none"/>
            <w:rtl/>
          </w:rPr>
          <w:fldChar w:fldCharType="end"/>
        </w:r>
      </w:hyperlink>
    </w:p>
    <w:p w:rsidR="002929DC" w:rsidRPr="00313610" w:rsidRDefault="007A4AF0" w:rsidP="00920AC9">
      <w:pPr>
        <w:pStyle w:val="13"/>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661" w:history="1">
        <w:r w:rsidR="002929DC" w:rsidRPr="00313610">
          <w:rPr>
            <w:rStyle w:val="Hyperlink"/>
            <w:u w:val="none"/>
            <w:rtl/>
          </w:rPr>
          <w:t>مقدار المهر وتحديده</w:t>
        </w:r>
        <w:r w:rsidR="00A51F87" w:rsidRPr="00313610">
          <w:rPr>
            <w:rStyle w:val="Hyperlink"/>
            <w:rFonts w:hint="cs"/>
            <w:u w:val="none"/>
            <w:rtl/>
          </w:rPr>
          <w:t xml:space="preserve">، </w:t>
        </w:r>
        <w:r w:rsidR="00A51F87" w:rsidRPr="00313610">
          <w:rPr>
            <w:rStyle w:val="Hyperlink"/>
            <w:u w:val="none"/>
            <w:rtl/>
          </w:rPr>
          <w:t>مقارنةٌ بين الفقه الإماميّ والقانون المدنيّ الإيرانيّ</w:t>
        </w:r>
      </w:hyperlink>
    </w:p>
    <w:p w:rsidR="002929DC" w:rsidRPr="00A84D88" w:rsidRDefault="00DB2356" w:rsidP="00A84D88">
      <w:pPr>
        <w:pStyle w:val="32"/>
        <w:rPr>
          <w:rStyle w:val="Hyperlink"/>
          <w:sz w:val="27"/>
          <w:u w:val="none"/>
        </w:rPr>
      </w:pPr>
      <w:hyperlink w:anchor="_Toc114164662" w:history="1">
        <w:r w:rsidR="00C44259" w:rsidRPr="00A84D88">
          <w:rPr>
            <w:rStyle w:val="Hyperlink"/>
            <w:rFonts w:hint="cs"/>
            <w:sz w:val="27"/>
            <w:szCs w:val="27"/>
            <w:u w:val="none"/>
            <w:rtl/>
          </w:rPr>
          <w:t>أ. شروق فقيه / د. الشيخ محسن ملك أفضلي الأردكاني</w:t>
        </w:r>
        <w:r w:rsidR="00C44259" w:rsidRPr="00A84D88">
          <w:rPr>
            <w:rStyle w:val="Hyperlink"/>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_Toc114164662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203</w:t>
        </w:r>
        <w:r w:rsidR="002929DC" w:rsidRPr="00A84D88">
          <w:rPr>
            <w:rStyle w:val="Hyperlink"/>
            <w:sz w:val="27"/>
            <w:szCs w:val="27"/>
            <w:u w:val="none"/>
            <w:rtl/>
          </w:rPr>
          <w:fldChar w:fldCharType="end"/>
        </w:r>
      </w:hyperlink>
    </w:p>
    <w:p w:rsidR="002929DC" w:rsidRPr="00313610" w:rsidRDefault="007A4AF0" w:rsidP="00920AC9">
      <w:pPr>
        <w:pStyle w:val="13"/>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724" w:history="1">
        <w:r w:rsidR="002929DC" w:rsidRPr="00313610">
          <w:rPr>
            <w:rStyle w:val="Hyperlink"/>
            <w:u w:val="none"/>
            <w:rtl/>
            <w:lang w:bidi="ar-LB"/>
          </w:rPr>
          <w:t>استنطاق الآيات القرآنيّة</w:t>
        </w:r>
        <w:r w:rsidR="00A51F87" w:rsidRPr="00313610">
          <w:rPr>
            <w:rStyle w:val="Hyperlink"/>
            <w:rFonts w:hint="cs"/>
            <w:u w:val="none"/>
            <w:rtl/>
            <w:lang w:bidi="ar-LB"/>
          </w:rPr>
          <w:t xml:space="preserve">، </w:t>
        </w:r>
        <w:r w:rsidR="00A51F87" w:rsidRPr="00313610">
          <w:rPr>
            <w:rStyle w:val="Hyperlink"/>
            <w:u w:val="none"/>
            <w:rtl/>
            <w:lang w:bidi="ar-LB"/>
          </w:rPr>
          <w:t>كشفٌ لأسباب الافتراق بين العلاّمتين الطباطبائي وفضل الله</w:t>
        </w:r>
      </w:hyperlink>
    </w:p>
    <w:p w:rsidR="002929DC" w:rsidRPr="00A84D88" w:rsidRDefault="00DB2356" w:rsidP="00A84D88">
      <w:pPr>
        <w:pStyle w:val="32"/>
        <w:rPr>
          <w:rStyle w:val="Hyperlink"/>
          <w:sz w:val="27"/>
          <w:szCs w:val="27"/>
          <w:u w:val="none"/>
        </w:rPr>
      </w:pPr>
      <w:hyperlink w:anchor="_Toc114164725" w:history="1">
        <w:r w:rsidR="00C44259" w:rsidRPr="00A84D88">
          <w:rPr>
            <w:rStyle w:val="Hyperlink"/>
            <w:rFonts w:hint="cs"/>
            <w:sz w:val="27"/>
            <w:szCs w:val="27"/>
            <w:u w:val="none"/>
            <w:rtl/>
          </w:rPr>
          <w:t>الشيخ حسين جهجاه</w:t>
        </w:r>
        <w:r w:rsidR="00C44259"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_Toc114164725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230</w:t>
        </w:r>
        <w:r w:rsidR="002929DC" w:rsidRPr="00A84D88">
          <w:rPr>
            <w:rStyle w:val="Hyperlink"/>
            <w:sz w:val="27"/>
            <w:szCs w:val="27"/>
            <w:u w:val="none"/>
            <w:rtl/>
          </w:rPr>
          <w:fldChar w:fldCharType="end"/>
        </w:r>
      </w:hyperlink>
    </w:p>
    <w:p w:rsidR="002929DC" w:rsidRPr="00313610" w:rsidRDefault="007A4AF0" w:rsidP="00920AC9">
      <w:pPr>
        <w:pStyle w:val="13"/>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732" w:history="1">
        <w:r w:rsidR="002929DC" w:rsidRPr="00313610">
          <w:rPr>
            <w:rStyle w:val="Hyperlink"/>
            <w:u w:val="none"/>
            <w:rtl/>
            <w:lang w:bidi="ar-IQ"/>
          </w:rPr>
          <w:t>«حديث المقاتَلة» وأثره في توليد التطرُّف الديني</w:t>
        </w:r>
        <w:r w:rsidR="002929DC" w:rsidRPr="00313610">
          <w:rPr>
            <w:rStyle w:val="Hyperlink"/>
            <w:u w:val="none"/>
            <w:rtl/>
            <w:lang w:bidi="ar-LB"/>
          </w:rPr>
          <w:t>ّ</w:t>
        </w:r>
        <w:r w:rsidR="00A51F87" w:rsidRPr="00313610">
          <w:rPr>
            <w:rStyle w:val="Hyperlink"/>
            <w:rFonts w:hint="cs"/>
            <w:u w:val="none"/>
            <w:rtl/>
            <w:lang w:bidi="ar-LB"/>
          </w:rPr>
          <w:t xml:space="preserve">، </w:t>
        </w:r>
        <w:r w:rsidR="00A51F87" w:rsidRPr="00313610">
          <w:rPr>
            <w:rStyle w:val="Hyperlink"/>
            <w:u w:val="none"/>
            <w:rtl/>
            <w:lang w:bidi="ar-LB"/>
          </w:rPr>
          <w:t>إثاراتٌ نقديّة في السند والدلالة</w:t>
        </w:r>
      </w:hyperlink>
    </w:p>
    <w:p w:rsidR="002929DC" w:rsidRPr="00A84D88" w:rsidRDefault="00DB2356" w:rsidP="00A84D88">
      <w:pPr>
        <w:pStyle w:val="32"/>
        <w:rPr>
          <w:rStyle w:val="Hyperlink"/>
          <w:sz w:val="27"/>
          <w:szCs w:val="27"/>
          <w:u w:val="none"/>
        </w:rPr>
      </w:pPr>
      <w:hyperlink w:anchor="_Toc114164733" w:history="1">
        <w:r w:rsidR="00313610" w:rsidRPr="00A84D88">
          <w:rPr>
            <w:rStyle w:val="Hyperlink"/>
            <w:rFonts w:hint="cs"/>
            <w:sz w:val="27"/>
            <w:szCs w:val="27"/>
            <w:u w:val="none"/>
            <w:rtl/>
          </w:rPr>
          <w:t xml:space="preserve">د. </w:t>
        </w:r>
        <w:r w:rsidR="00313610" w:rsidRPr="00A84D88">
          <w:rPr>
            <w:rStyle w:val="Hyperlink"/>
            <w:sz w:val="27"/>
            <w:szCs w:val="27"/>
            <w:u w:val="none"/>
            <w:rtl/>
          </w:rPr>
          <w:t>السيد زين العابدين المقد</w:t>
        </w:r>
        <w:r w:rsidR="00EA0A42">
          <w:rPr>
            <w:rStyle w:val="Hyperlink"/>
            <w:rFonts w:hint="cs"/>
            <w:sz w:val="27"/>
            <w:szCs w:val="27"/>
            <w:u w:val="none"/>
            <w:rtl/>
          </w:rPr>
          <w:t>َّ</w:t>
        </w:r>
        <w:r w:rsidR="00313610" w:rsidRPr="00A84D88">
          <w:rPr>
            <w:rStyle w:val="Hyperlink"/>
            <w:sz w:val="27"/>
            <w:szCs w:val="27"/>
            <w:u w:val="none"/>
            <w:rtl/>
          </w:rPr>
          <w:t>س الغريفـي</w:t>
        </w:r>
        <w:r w:rsidR="00313610"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_Toc114164733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248</w:t>
        </w:r>
        <w:r w:rsidR="002929DC" w:rsidRPr="00A84D88">
          <w:rPr>
            <w:rStyle w:val="Hyperlink"/>
            <w:sz w:val="27"/>
            <w:szCs w:val="27"/>
            <w:u w:val="none"/>
            <w:rtl/>
          </w:rPr>
          <w:fldChar w:fldCharType="end"/>
        </w:r>
      </w:hyperlink>
    </w:p>
    <w:p w:rsidR="002929DC" w:rsidRPr="00313610" w:rsidRDefault="007A4AF0" w:rsidP="00111008">
      <w:pPr>
        <w:pStyle w:val="13"/>
        <w:rPr>
          <w:rFonts w:asciiTheme="minorHAnsi" w:eastAsiaTheme="minorEastAsia" w:hAnsiTheme="minorHAnsi" w:cstheme="minorBidi"/>
          <w:sz w:val="22"/>
          <w:szCs w:val="22"/>
          <w:lang w:eastAsia="en-US"/>
        </w:rPr>
      </w:pPr>
      <w:r w:rsidRPr="007A4AF0">
        <w:rPr>
          <w:rFonts w:cs="Abz-2 (Badr)"/>
          <w:b/>
          <w:bCs/>
          <w:sz w:val="26"/>
          <w:szCs w:val="26"/>
          <w:rtl/>
        </w:rPr>
        <w:lastRenderedPageBreak/>
        <w:sym w:font="Webdings" w:char="F033"/>
      </w:r>
      <w:hyperlink w:anchor="_Toc114164751" w:history="1">
        <w:r w:rsidR="002929DC" w:rsidRPr="00313610">
          <w:rPr>
            <w:rStyle w:val="Hyperlink"/>
            <w:u w:val="none"/>
            <w:rtl/>
            <w:lang w:bidi="ar-LB"/>
          </w:rPr>
          <w:t>مباني فهم النصّ</w:t>
        </w:r>
        <w:r w:rsidR="00A51F87" w:rsidRPr="00313610">
          <w:rPr>
            <w:rStyle w:val="Hyperlink"/>
            <w:rFonts w:hint="cs"/>
            <w:u w:val="none"/>
            <w:rtl/>
            <w:lang w:bidi="ar-LB"/>
          </w:rPr>
          <w:t xml:space="preserve"> </w:t>
        </w:r>
        <w:r w:rsidR="00A51F87" w:rsidRPr="00313610">
          <w:rPr>
            <w:rStyle w:val="Hyperlink"/>
            <w:u w:val="none"/>
            <w:rtl/>
            <w:lang w:bidi="ar-LB"/>
          </w:rPr>
          <w:t>في الفكر الأصوليّ للسيّد محمّد باقر الصدر</w:t>
        </w:r>
      </w:hyperlink>
    </w:p>
    <w:p w:rsidR="002929DC" w:rsidRPr="00A84D88" w:rsidRDefault="00DB2356" w:rsidP="00A84D88">
      <w:pPr>
        <w:pStyle w:val="32"/>
        <w:rPr>
          <w:rStyle w:val="Hyperlink"/>
          <w:sz w:val="27"/>
          <w:szCs w:val="27"/>
          <w:u w:val="none"/>
        </w:rPr>
      </w:pPr>
      <w:hyperlink w:anchor="_Toc114164752" w:history="1">
        <w:r w:rsidR="00313610" w:rsidRPr="00A84D88">
          <w:rPr>
            <w:rStyle w:val="Hyperlink"/>
            <w:rFonts w:hint="cs"/>
            <w:sz w:val="27"/>
            <w:szCs w:val="27"/>
            <w:u w:val="none"/>
            <w:rtl/>
          </w:rPr>
          <w:t xml:space="preserve">الشيخ </w:t>
        </w:r>
        <w:r w:rsidR="00313610" w:rsidRPr="00A84D88">
          <w:rPr>
            <w:rStyle w:val="Hyperlink"/>
            <w:sz w:val="27"/>
            <w:szCs w:val="27"/>
            <w:u w:val="none"/>
            <w:rtl/>
          </w:rPr>
          <w:t>حسنين الج</w:t>
        </w:r>
        <w:r w:rsidR="00313610" w:rsidRPr="00A84D88">
          <w:rPr>
            <w:rStyle w:val="Hyperlink"/>
            <w:rFonts w:hint="cs"/>
            <w:sz w:val="27"/>
            <w:szCs w:val="27"/>
            <w:u w:val="none"/>
            <w:rtl/>
          </w:rPr>
          <w:t>مّ</w:t>
        </w:r>
        <w:r w:rsidR="00313610" w:rsidRPr="00A84D88">
          <w:rPr>
            <w:rStyle w:val="Hyperlink"/>
            <w:sz w:val="27"/>
            <w:szCs w:val="27"/>
            <w:u w:val="none"/>
            <w:rtl/>
          </w:rPr>
          <w:t>ال</w:t>
        </w:r>
        <w:r w:rsidR="00313610"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_Toc114164752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266</w:t>
        </w:r>
        <w:r w:rsidR="002929DC" w:rsidRPr="00A84D88">
          <w:rPr>
            <w:rStyle w:val="Hyperlink"/>
            <w:sz w:val="27"/>
            <w:szCs w:val="27"/>
            <w:u w:val="none"/>
            <w:rtl/>
          </w:rPr>
          <w:fldChar w:fldCharType="end"/>
        </w:r>
      </w:hyperlink>
    </w:p>
    <w:p w:rsidR="002929DC" w:rsidRPr="00313610" w:rsidRDefault="007A4AF0" w:rsidP="00956F59">
      <w:pPr>
        <w:pStyle w:val="13"/>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790" w:history="1">
        <w:r w:rsidR="002929DC" w:rsidRPr="00313610">
          <w:rPr>
            <w:rStyle w:val="Hyperlink"/>
            <w:u w:val="none"/>
            <w:rtl/>
            <w:lang w:bidi="ar-MA"/>
          </w:rPr>
          <w:t>معالم منهجيّة في فقه الأقلِّيات المسلمة</w:t>
        </w:r>
        <w:r w:rsidR="00A51F87" w:rsidRPr="00313610">
          <w:rPr>
            <w:rStyle w:val="Hyperlink"/>
            <w:rFonts w:hint="cs"/>
            <w:u w:val="none"/>
            <w:rtl/>
            <w:lang w:bidi="ar-LB"/>
          </w:rPr>
          <w:t xml:space="preserve">، </w:t>
        </w:r>
        <w:r w:rsidR="00A51F87" w:rsidRPr="00313610">
          <w:rPr>
            <w:rStyle w:val="Hyperlink"/>
            <w:u w:val="none"/>
            <w:rtl/>
            <w:lang w:bidi="ar-LB"/>
          </w:rPr>
          <w:t>وبحثٌ في آفاقه ومآلاته الاستراتيجيّة</w:t>
        </w:r>
      </w:hyperlink>
    </w:p>
    <w:p w:rsidR="002929DC" w:rsidRPr="00A84D88" w:rsidRDefault="00DB2356" w:rsidP="00A84D88">
      <w:pPr>
        <w:pStyle w:val="32"/>
        <w:rPr>
          <w:rStyle w:val="Hyperlink"/>
          <w:sz w:val="27"/>
          <w:szCs w:val="27"/>
          <w:u w:val="none"/>
        </w:rPr>
      </w:pPr>
      <w:hyperlink w:anchor="_Toc114164791" w:history="1">
        <w:r w:rsidR="00313610" w:rsidRPr="00A84D88">
          <w:rPr>
            <w:rStyle w:val="Hyperlink"/>
            <w:rFonts w:hint="cs"/>
            <w:sz w:val="27"/>
            <w:szCs w:val="27"/>
            <w:u w:val="none"/>
            <w:rtl/>
          </w:rPr>
          <w:t>د. العربي إدناصر</w:t>
        </w:r>
        <w:r w:rsidR="00313610"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_Toc114164791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299</w:t>
        </w:r>
        <w:r w:rsidR="002929DC" w:rsidRPr="00A84D88">
          <w:rPr>
            <w:rStyle w:val="Hyperlink"/>
            <w:sz w:val="27"/>
            <w:szCs w:val="27"/>
            <w:u w:val="none"/>
            <w:rtl/>
          </w:rPr>
          <w:fldChar w:fldCharType="end"/>
        </w:r>
      </w:hyperlink>
    </w:p>
    <w:p w:rsidR="002929DC" w:rsidRPr="00313610" w:rsidRDefault="007A4AF0" w:rsidP="00956F59">
      <w:pPr>
        <w:pStyle w:val="13"/>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02" w:history="1">
        <w:r w:rsidR="002929DC" w:rsidRPr="00313610">
          <w:rPr>
            <w:rStyle w:val="Hyperlink"/>
            <w:u w:val="none"/>
            <w:rtl/>
          </w:rPr>
          <w:t>قاعدة نفي خلوّ الوقائع من الحكم الشرعيّ</w:t>
        </w:r>
        <w:r w:rsidR="00A51F87" w:rsidRPr="00313610">
          <w:rPr>
            <w:rStyle w:val="Hyperlink"/>
            <w:rFonts w:hint="cs"/>
            <w:u w:val="none"/>
            <w:rtl/>
          </w:rPr>
          <w:t xml:space="preserve">، </w:t>
        </w:r>
        <w:r w:rsidR="00A51F87" w:rsidRPr="00313610">
          <w:rPr>
            <w:rStyle w:val="Hyperlink"/>
            <w:u w:val="none"/>
            <w:rtl/>
          </w:rPr>
          <w:t>وأثرها في علم أصول الفقه</w:t>
        </w:r>
        <w:r w:rsidR="00A51F87" w:rsidRPr="00313610">
          <w:rPr>
            <w:rStyle w:val="Hyperlink"/>
            <w:rFonts w:hint="cs"/>
            <w:u w:val="none"/>
            <w:rtl/>
          </w:rPr>
          <w:t xml:space="preserve"> / القسم الثاني</w:t>
        </w:r>
      </w:hyperlink>
    </w:p>
    <w:p w:rsidR="002929DC" w:rsidRPr="00A84D88" w:rsidRDefault="00DB2356" w:rsidP="00A84D88">
      <w:pPr>
        <w:pStyle w:val="32"/>
        <w:rPr>
          <w:rStyle w:val="Hyperlink"/>
          <w:sz w:val="27"/>
          <w:szCs w:val="27"/>
          <w:u w:val="none"/>
        </w:rPr>
      </w:pPr>
      <w:hyperlink w:anchor="_Toc114164803" w:history="1">
        <w:r w:rsidR="00313610" w:rsidRPr="00A84D88">
          <w:rPr>
            <w:rStyle w:val="Hyperlink"/>
            <w:sz w:val="27"/>
            <w:szCs w:val="27"/>
            <w:u w:val="none"/>
            <w:rtl/>
          </w:rPr>
          <w:t>ا</w:t>
        </w:r>
        <w:r w:rsidR="00313610" w:rsidRPr="00A84D88">
          <w:rPr>
            <w:rStyle w:val="Hyperlink"/>
            <w:rFonts w:hint="cs"/>
            <w:sz w:val="27"/>
            <w:szCs w:val="27"/>
            <w:u w:val="none"/>
            <w:rtl/>
          </w:rPr>
          <w:t>لشيخ صادق اللاريجاني، بقلم: ا</w:t>
        </w:r>
        <w:r w:rsidR="00313610" w:rsidRPr="00A84D88">
          <w:rPr>
            <w:rStyle w:val="Hyperlink"/>
            <w:sz w:val="27"/>
            <w:szCs w:val="27"/>
            <w:u w:val="none"/>
            <w:rtl/>
          </w:rPr>
          <w:t>لشيخ محمد حسن القم</w:t>
        </w:r>
        <w:r w:rsidR="00313610" w:rsidRPr="00A84D88">
          <w:rPr>
            <w:rStyle w:val="Hyperlink"/>
            <w:rFonts w:hint="cs"/>
            <w:sz w:val="27"/>
            <w:szCs w:val="27"/>
            <w:u w:val="none"/>
            <w:rtl/>
          </w:rPr>
          <w:t>ّ</w:t>
        </w:r>
        <w:r w:rsidR="00313610" w:rsidRPr="00A84D88">
          <w:rPr>
            <w:rStyle w:val="Hyperlink"/>
            <w:sz w:val="27"/>
            <w:szCs w:val="27"/>
            <w:u w:val="none"/>
            <w:rtl/>
          </w:rPr>
          <w:t>ي</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_Toc114164803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317</w:t>
        </w:r>
        <w:r w:rsidR="002929DC" w:rsidRPr="00A84D88">
          <w:rPr>
            <w:rStyle w:val="Hyperlink"/>
            <w:sz w:val="27"/>
            <w:szCs w:val="27"/>
            <w:u w:val="none"/>
            <w:rtl/>
          </w:rPr>
          <w:fldChar w:fldCharType="end"/>
        </w:r>
      </w:hyperlink>
    </w:p>
    <w:p w:rsidR="002929DC" w:rsidRPr="00313610" w:rsidRDefault="007A4AF0" w:rsidP="00956F59">
      <w:pPr>
        <w:pStyle w:val="13"/>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08" w:history="1">
        <w:r w:rsidR="002929DC" w:rsidRPr="00313610">
          <w:rPr>
            <w:rStyle w:val="Hyperlink"/>
            <w:u w:val="none"/>
            <w:rtl/>
            <w:lang w:bidi="ar-LB"/>
          </w:rPr>
          <w:t>قاعدة التسامح في أدلّة السُّنَن</w:t>
        </w:r>
        <w:r w:rsidR="00A51F87" w:rsidRPr="00313610">
          <w:rPr>
            <w:rStyle w:val="Hyperlink"/>
            <w:rFonts w:hint="cs"/>
            <w:u w:val="none"/>
            <w:rtl/>
            <w:lang w:bidi="ar-LB"/>
          </w:rPr>
          <w:t xml:space="preserve">، </w:t>
        </w:r>
        <w:r w:rsidR="00A51F87" w:rsidRPr="00313610">
          <w:rPr>
            <w:rStyle w:val="Hyperlink"/>
            <w:u w:val="none"/>
            <w:rtl/>
            <w:lang w:bidi="ar-LB"/>
          </w:rPr>
          <w:t>ودَوْرها في تسرُّب الموضوعات</w:t>
        </w:r>
        <w:r w:rsidR="00A51F87" w:rsidRPr="00313610">
          <w:rPr>
            <w:rStyle w:val="Hyperlink"/>
            <w:rFonts w:hint="cs"/>
            <w:u w:val="none"/>
            <w:rtl/>
            <w:lang w:bidi="ar-LB"/>
          </w:rPr>
          <w:t xml:space="preserve"> / القسم الثاني</w:t>
        </w:r>
      </w:hyperlink>
    </w:p>
    <w:p w:rsidR="002929DC" w:rsidRPr="00A84D88" w:rsidRDefault="00DB2356" w:rsidP="00B50E72">
      <w:pPr>
        <w:pStyle w:val="32"/>
        <w:rPr>
          <w:rStyle w:val="Hyperlink"/>
          <w:sz w:val="27"/>
          <w:szCs w:val="27"/>
          <w:u w:val="none"/>
          <w:rtl/>
        </w:rPr>
      </w:pPr>
      <w:hyperlink w:anchor="_Toc114164809" w:history="1">
        <w:r w:rsidR="00313610" w:rsidRPr="00A84D88">
          <w:rPr>
            <w:rStyle w:val="Hyperlink"/>
            <w:sz w:val="27"/>
            <w:szCs w:val="27"/>
            <w:u w:val="none"/>
            <w:rtl/>
          </w:rPr>
          <w:t>د. الشيخ حسين الخشن</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_Toc114164809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337</w:t>
        </w:r>
        <w:r w:rsidR="002929DC" w:rsidRPr="00A84D88">
          <w:rPr>
            <w:rStyle w:val="Hyperlink"/>
            <w:sz w:val="27"/>
            <w:szCs w:val="27"/>
            <w:u w:val="none"/>
            <w:rtl/>
          </w:rPr>
          <w:fldChar w:fldCharType="end"/>
        </w:r>
      </w:hyperlink>
    </w:p>
    <w:p w:rsidR="002929DC" w:rsidRPr="00313610" w:rsidRDefault="007A4AF0" w:rsidP="00EA0A42">
      <w:pPr>
        <w:pStyle w:val="13"/>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20" w:history="1">
        <w:r w:rsidR="002929DC" w:rsidRPr="00313610">
          <w:rPr>
            <w:rStyle w:val="Hyperlink"/>
            <w:u w:val="none"/>
            <w:rtl/>
          </w:rPr>
          <w:t>فلسفة الأخلاق في فكر الشهيد مطهَّري</w:t>
        </w:r>
        <w:r w:rsidR="00EA0A42">
          <w:rPr>
            <w:rStyle w:val="Hyperlink"/>
            <w:rFonts w:hint="cs"/>
            <w:u w:val="none"/>
            <w:rtl/>
          </w:rPr>
          <w:t>:</w:t>
        </w:r>
        <w:r w:rsidR="00B50E72">
          <w:rPr>
            <w:rStyle w:val="Hyperlink"/>
            <w:rFonts w:hint="cs"/>
            <w:u w:val="none"/>
            <w:rtl/>
          </w:rPr>
          <w:t xml:space="preserve"> ا</w:t>
        </w:r>
        <w:r w:rsidR="00A51F87" w:rsidRPr="00313610">
          <w:rPr>
            <w:rStyle w:val="Hyperlink"/>
            <w:u w:val="none"/>
            <w:rtl/>
          </w:rPr>
          <w:t>لذات بين الألم والسعادة، ومرجعيّة الضبط الأخلاقيّ</w:t>
        </w:r>
      </w:hyperlink>
    </w:p>
    <w:p w:rsidR="002929DC" w:rsidRPr="00A84D88" w:rsidRDefault="00DB2356" w:rsidP="00A84D88">
      <w:pPr>
        <w:pStyle w:val="32"/>
        <w:rPr>
          <w:rStyle w:val="Hyperlink"/>
          <w:sz w:val="27"/>
          <w:szCs w:val="27"/>
          <w:u w:val="none"/>
        </w:rPr>
      </w:pPr>
      <w:hyperlink w:anchor="_Toc114164821" w:history="1">
        <w:r w:rsidR="00313610" w:rsidRPr="00A84D88">
          <w:rPr>
            <w:rStyle w:val="Hyperlink"/>
            <w:rFonts w:hint="cs"/>
            <w:sz w:val="27"/>
            <w:szCs w:val="27"/>
            <w:u w:val="none"/>
            <w:rtl/>
          </w:rPr>
          <w:t>أ. إيمان شمس الدين</w:t>
        </w:r>
        <w:r w:rsidR="00B50E72">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_Toc114164821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356</w:t>
        </w:r>
        <w:r w:rsidR="002929DC" w:rsidRPr="00A84D88">
          <w:rPr>
            <w:rStyle w:val="Hyperlink"/>
            <w:sz w:val="27"/>
            <w:szCs w:val="27"/>
            <w:u w:val="none"/>
            <w:rtl/>
          </w:rPr>
          <w:fldChar w:fldCharType="end"/>
        </w:r>
      </w:hyperlink>
    </w:p>
    <w:p w:rsidR="002929DC" w:rsidRPr="00313610" w:rsidRDefault="0011008D" w:rsidP="00956F59">
      <w:pPr>
        <w:pStyle w:val="13"/>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42" w:history="1">
        <w:r w:rsidR="002929DC" w:rsidRPr="00313610">
          <w:rPr>
            <w:rStyle w:val="Hyperlink"/>
            <w:u w:val="none"/>
            <w:rtl/>
            <w:lang w:bidi="ar-SY"/>
          </w:rPr>
          <w:t>التربية الاجتماعيّة والنفسيّة للفرد المسلم</w:t>
        </w:r>
        <w:r w:rsidR="00A51F87" w:rsidRPr="00313610">
          <w:rPr>
            <w:rStyle w:val="Hyperlink"/>
            <w:rFonts w:hint="cs"/>
            <w:u w:val="none"/>
            <w:rtl/>
            <w:lang w:bidi="ar-SY"/>
          </w:rPr>
          <w:t xml:space="preserve">، </w:t>
        </w:r>
        <w:r w:rsidR="00A51F87" w:rsidRPr="00313610">
          <w:rPr>
            <w:rStyle w:val="Hyperlink"/>
            <w:u w:val="none"/>
            <w:rtl/>
            <w:lang w:bidi="ar-SY"/>
          </w:rPr>
          <w:t>مطالعةٌ في المقوِّمات والوظيفة والدَّوْر</w:t>
        </w:r>
      </w:hyperlink>
    </w:p>
    <w:p w:rsidR="002929DC" w:rsidRPr="00A84D88" w:rsidRDefault="00DB2356" w:rsidP="00A84D88">
      <w:pPr>
        <w:pStyle w:val="32"/>
        <w:rPr>
          <w:rStyle w:val="Hyperlink"/>
          <w:sz w:val="27"/>
          <w:szCs w:val="27"/>
          <w:u w:val="none"/>
        </w:rPr>
      </w:pPr>
      <w:hyperlink w:anchor="_Toc114164843" w:history="1">
        <w:r w:rsidR="00313610" w:rsidRPr="00A84D88">
          <w:rPr>
            <w:rStyle w:val="Hyperlink"/>
            <w:rFonts w:hint="cs"/>
            <w:sz w:val="27"/>
            <w:szCs w:val="27"/>
            <w:u w:val="none"/>
            <w:rtl/>
          </w:rPr>
          <w:t>أ. نبيل علي صالح</w:t>
        </w:r>
        <w:r w:rsidR="00313610"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_Toc114164843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384</w:t>
        </w:r>
        <w:r w:rsidR="002929DC" w:rsidRPr="00A84D88">
          <w:rPr>
            <w:rStyle w:val="Hyperlink"/>
            <w:sz w:val="27"/>
            <w:szCs w:val="27"/>
            <w:u w:val="none"/>
            <w:rtl/>
          </w:rPr>
          <w:fldChar w:fldCharType="end"/>
        </w:r>
      </w:hyperlink>
    </w:p>
    <w:p w:rsidR="002929DC" w:rsidRPr="00313610" w:rsidRDefault="0011008D" w:rsidP="00956F59">
      <w:pPr>
        <w:pStyle w:val="13"/>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44" w:history="1">
        <w:r w:rsidR="002929DC" w:rsidRPr="00313610">
          <w:rPr>
            <w:rStyle w:val="Hyperlink"/>
            <w:u w:val="none"/>
            <w:rtl/>
          </w:rPr>
          <w:t>العلوم الإنسانيّة في التراث العربيّ الإسلاميّ</w:t>
        </w:r>
        <w:r w:rsidR="00A51F87" w:rsidRPr="00313610">
          <w:rPr>
            <w:rStyle w:val="Hyperlink"/>
            <w:rFonts w:hint="cs"/>
            <w:u w:val="none"/>
            <w:rtl/>
          </w:rPr>
          <w:t xml:space="preserve">، </w:t>
        </w:r>
        <w:r w:rsidR="00A51F87" w:rsidRPr="00313610">
          <w:rPr>
            <w:rStyle w:val="Hyperlink"/>
            <w:u w:val="none"/>
            <w:rtl/>
          </w:rPr>
          <w:t>بين دعوى الغياب واعتراف الحضور</w:t>
        </w:r>
      </w:hyperlink>
    </w:p>
    <w:p w:rsidR="002929DC" w:rsidRPr="00A84D88" w:rsidRDefault="00DB2356" w:rsidP="00A84D88">
      <w:pPr>
        <w:pStyle w:val="32"/>
        <w:rPr>
          <w:rStyle w:val="Hyperlink"/>
          <w:sz w:val="27"/>
          <w:szCs w:val="27"/>
          <w:u w:val="none"/>
        </w:rPr>
      </w:pPr>
      <w:hyperlink w:anchor="_Toc114164845" w:history="1">
        <w:r w:rsidR="00313610" w:rsidRPr="00A84D88">
          <w:rPr>
            <w:rStyle w:val="Hyperlink"/>
            <w:rFonts w:hint="cs"/>
            <w:sz w:val="27"/>
            <w:szCs w:val="27"/>
            <w:u w:val="none"/>
            <w:rtl/>
          </w:rPr>
          <w:t>د. محمد بنعمر</w:t>
        </w:r>
        <w:r w:rsidR="00313610"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_Toc114164845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396</w:t>
        </w:r>
        <w:r w:rsidR="002929DC" w:rsidRPr="00A84D88">
          <w:rPr>
            <w:rStyle w:val="Hyperlink"/>
            <w:sz w:val="27"/>
            <w:szCs w:val="27"/>
            <w:u w:val="none"/>
            <w:rtl/>
          </w:rPr>
          <w:fldChar w:fldCharType="end"/>
        </w:r>
      </w:hyperlink>
    </w:p>
    <w:p w:rsidR="00AB6AB0" w:rsidRPr="00313610" w:rsidRDefault="00F30936" w:rsidP="003E6CFE">
      <w:pPr>
        <w:pStyle w:val="13"/>
        <w:spacing w:before="420" w:line="340" w:lineRule="exact"/>
        <w:ind w:left="0" w:firstLine="0"/>
        <w:rPr>
          <w:rStyle w:val="Hyperlink"/>
          <w:u w:val="none"/>
          <w:rtl/>
        </w:rPr>
      </w:pPr>
      <w:r w:rsidRPr="00282AC9">
        <w:rPr>
          <w:szCs w:val="24"/>
        </w:rPr>
        <w:sym w:font="Wingdings" w:char="F072"/>
      </w:r>
      <w:r w:rsidRPr="00111008">
        <w:rPr>
          <w:rFonts w:ascii="Times" w:hAnsi="Times" w:cs="PT Bold Heading" w:hint="cs"/>
          <w:bCs/>
          <w:sz w:val="28"/>
          <w:rtl/>
          <w:lang w:eastAsia="en-US"/>
        </w:rPr>
        <w:t xml:space="preserve"> قراءات</w:t>
      </w:r>
    </w:p>
    <w:p w:rsidR="002929DC" w:rsidRPr="00313610" w:rsidRDefault="0011008D" w:rsidP="004D4737">
      <w:pPr>
        <w:pStyle w:val="13"/>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60" w:history="1">
        <w:r w:rsidR="002929DC" w:rsidRPr="00313610">
          <w:rPr>
            <w:rStyle w:val="Hyperlink"/>
            <w:u w:val="none"/>
            <w:rtl/>
          </w:rPr>
          <w:t>أحاديث «وسائل الشيعة»</w:t>
        </w:r>
        <w:r w:rsidR="00C44259" w:rsidRPr="00313610">
          <w:rPr>
            <w:rStyle w:val="Hyperlink"/>
            <w:rFonts w:hint="cs"/>
            <w:u w:val="none"/>
            <w:rtl/>
          </w:rPr>
          <w:t xml:space="preserve">، </w:t>
        </w:r>
        <w:r w:rsidR="00C44259" w:rsidRPr="00313610">
          <w:rPr>
            <w:rStyle w:val="Hyperlink"/>
            <w:u w:val="none"/>
            <w:rtl/>
          </w:rPr>
          <w:t>تأمُّلاتٌ في خصائص الأسانيد والمتون</w:t>
        </w:r>
      </w:hyperlink>
    </w:p>
    <w:p w:rsidR="002929DC" w:rsidRPr="00A84D88" w:rsidRDefault="00DB2356" w:rsidP="00A84D88">
      <w:pPr>
        <w:pStyle w:val="32"/>
        <w:rPr>
          <w:rStyle w:val="Hyperlink"/>
          <w:sz w:val="27"/>
          <w:szCs w:val="27"/>
          <w:u w:val="none"/>
        </w:rPr>
      </w:pPr>
      <w:hyperlink w:anchor="_Toc114164861" w:history="1">
        <w:r w:rsidR="00B51824" w:rsidRPr="00A84D88">
          <w:rPr>
            <w:rStyle w:val="Hyperlink"/>
            <w:rFonts w:hint="cs"/>
            <w:sz w:val="27"/>
            <w:szCs w:val="27"/>
            <w:u w:val="none"/>
            <w:rtl/>
          </w:rPr>
          <w:t xml:space="preserve">الشيخ محمد عبّاس دهيني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_Toc114164861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414</w:t>
        </w:r>
        <w:r w:rsidR="002929DC" w:rsidRPr="00A84D88">
          <w:rPr>
            <w:rStyle w:val="Hyperlink"/>
            <w:sz w:val="27"/>
            <w:szCs w:val="27"/>
            <w:u w:val="none"/>
            <w:rtl/>
          </w:rPr>
          <w:fldChar w:fldCharType="end"/>
        </w:r>
      </w:hyperlink>
    </w:p>
    <w:p w:rsidR="002929DC" w:rsidRPr="00313610" w:rsidRDefault="0011008D" w:rsidP="00956F59">
      <w:pPr>
        <w:pStyle w:val="13"/>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925" w:history="1">
        <w:r w:rsidR="002929DC" w:rsidRPr="00313610">
          <w:rPr>
            <w:rStyle w:val="Hyperlink"/>
            <w:u w:val="none"/>
            <w:rtl/>
          </w:rPr>
          <w:t>تأثير وتجديد كتاب «اقتصادنا»</w:t>
        </w:r>
        <w:r w:rsidR="00C44259" w:rsidRPr="00313610">
          <w:rPr>
            <w:rStyle w:val="Hyperlink"/>
            <w:rFonts w:hint="cs"/>
            <w:u w:val="none"/>
            <w:rtl/>
          </w:rPr>
          <w:t xml:space="preserve">، </w:t>
        </w:r>
        <w:r w:rsidR="00C44259" w:rsidRPr="00313610">
          <w:rPr>
            <w:rStyle w:val="Hyperlink"/>
            <w:u w:val="none"/>
            <w:rtl/>
          </w:rPr>
          <w:t>مناقشةٌ في ضوء تطوير منهجيّة الأبحاث الإسلاميّة</w:t>
        </w:r>
      </w:hyperlink>
    </w:p>
    <w:p w:rsidR="002929DC" w:rsidRPr="00A84D88" w:rsidRDefault="00DB2356" w:rsidP="00A84D88">
      <w:pPr>
        <w:pStyle w:val="32"/>
        <w:rPr>
          <w:rStyle w:val="Hyperlink"/>
          <w:sz w:val="27"/>
          <w:szCs w:val="27"/>
          <w:u w:val="none"/>
        </w:rPr>
      </w:pPr>
      <w:hyperlink w:anchor="_Toc114164926" w:history="1">
        <w:r w:rsidR="00B51824" w:rsidRPr="00A84D88">
          <w:rPr>
            <w:rStyle w:val="Hyperlink"/>
            <w:rFonts w:hint="cs"/>
            <w:sz w:val="27"/>
            <w:szCs w:val="27"/>
            <w:u w:val="none"/>
            <w:rtl/>
          </w:rPr>
          <w:t>د. مالك أبو حمدان</w:t>
        </w:r>
        <w:r w:rsidR="00B51824"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_Toc114164926 \h </w:instrText>
        </w:r>
        <w:r w:rsidR="002929DC" w:rsidRPr="00A84D88">
          <w:rPr>
            <w:rStyle w:val="Hyperlink"/>
            <w:sz w:val="27"/>
            <w:szCs w:val="27"/>
            <w:u w:val="none"/>
            <w:rtl/>
          </w:rPr>
        </w:r>
        <w:r w:rsidR="002929DC" w:rsidRPr="00A84D88">
          <w:rPr>
            <w:rStyle w:val="Hyperlink"/>
            <w:sz w:val="27"/>
            <w:szCs w:val="27"/>
            <w:u w:val="none"/>
            <w:rtl/>
          </w:rPr>
          <w:fldChar w:fldCharType="separate"/>
        </w:r>
        <w:r>
          <w:rPr>
            <w:rStyle w:val="Hyperlink"/>
            <w:webHidden/>
            <w:sz w:val="27"/>
            <w:szCs w:val="27"/>
            <w:u w:val="none"/>
            <w:rtl/>
          </w:rPr>
          <w:t>461</w:t>
        </w:r>
        <w:r w:rsidR="002929DC" w:rsidRPr="00A84D88">
          <w:rPr>
            <w:rStyle w:val="Hyperlink"/>
            <w:sz w:val="27"/>
            <w:szCs w:val="27"/>
            <w:u w:val="none"/>
            <w:rtl/>
          </w:rPr>
          <w:fldChar w:fldCharType="end"/>
        </w:r>
      </w:hyperlink>
    </w:p>
    <w:p w:rsidR="00475C40" w:rsidRPr="00282AC9" w:rsidRDefault="007C3EF7" w:rsidP="00475C40">
      <w:pPr>
        <w:rPr>
          <w:rtl/>
        </w:rPr>
        <w:sectPr w:rsidR="00475C40" w:rsidRPr="00282AC9" w:rsidSect="00286E74">
          <w:headerReference w:type="even" r:id="rId11"/>
          <w:headerReference w:type="default" r:id="rId12"/>
          <w:footerReference w:type="even" r:id="rId13"/>
          <w:footerReference w:type="default" r:id="rId14"/>
          <w:endnotePr>
            <w:numFmt w:val="decimal"/>
            <w:numRestart w:val="eachSect"/>
          </w:endnotePr>
          <w:pgSz w:w="11907" w:h="16840" w:code="9"/>
          <w:pgMar w:top="2637" w:right="2438" w:bottom="3686" w:left="2438" w:header="2268" w:footer="3119" w:gutter="0"/>
          <w:cols w:space="720"/>
          <w:titlePg/>
          <w:docGrid w:linePitch="360"/>
        </w:sectPr>
      </w:pPr>
      <w:r w:rsidRPr="00313610">
        <w:rPr>
          <w:color w:val="000000"/>
          <w:rtl/>
        </w:rPr>
        <w:fldChar w:fldCharType="end"/>
      </w:r>
      <w:bookmarkStart w:id="0" w:name="_Toc52453116"/>
    </w:p>
    <w:p w:rsidR="00475C40" w:rsidRPr="00282AC9" w:rsidRDefault="00475C40" w:rsidP="00475C40">
      <w:pPr>
        <w:pStyle w:val="10"/>
        <w:spacing w:line="216" w:lineRule="auto"/>
        <w:jc w:val="both"/>
        <w:rPr>
          <w:rtl/>
        </w:rPr>
        <w:sectPr w:rsidR="00475C40" w:rsidRPr="00282AC9" w:rsidSect="00E85587">
          <w:headerReference w:type="even" r:id="rId15"/>
          <w:headerReference w:type="default" r:id="rId16"/>
          <w:headerReference w:type="first" r:id="rId17"/>
          <w:footerReference w:type="first" r:id="rId18"/>
          <w:endnotePr>
            <w:numFmt w:val="decimal"/>
            <w:numRestart w:val="eachSect"/>
          </w:endnotePr>
          <w:type w:val="continuous"/>
          <w:pgSz w:w="11907" w:h="16840" w:code="9"/>
          <w:pgMar w:top="2637" w:right="2438" w:bottom="3686" w:left="2438" w:header="2268" w:footer="3119" w:gutter="0"/>
          <w:cols w:space="720"/>
          <w:titlePg/>
          <w:docGrid w:linePitch="360"/>
        </w:sectPr>
      </w:pPr>
      <w:bookmarkStart w:id="1" w:name="_Toc295112190"/>
      <w:bookmarkStart w:id="2" w:name="_Toc311796812"/>
    </w:p>
    <w:bookmarkEnd w:id="1"/>
    <w:bookmarkEnd w:id="2"/>
    <w:p w:rsidR="00475C40" w:rsidRPr="00475C40" w:rsidRDefault="00475C40" w:rsidP="00475C40">
      <w:pPr>
        <w:rPr>
          <w:sz w:val="27"/>
        </w:rPr>
      </w:pPr>
    </w:p>
    <w:p w:rsidR="00336016" w:rsidRPr="00475C40" w:rsidRDefault="00336016" w:rsidP="00475C40">
      <w:pPr>
        <w:rPr>
          <w:rtl/>
        </w:rPr>
      </w:pPr>
    </w:p>
    <w:bookmarkEnd w:id="0"/>
    <w:p w:rsidR="002E72EF" w:rsidRPr="009B3C8B" w:rsidRDefault="002E72EF" w:rsidP="002E72EF">
      <w:pPr>
        <w:pStyle w:val="10"/>
        <w:keepNext w:val="0"/>
        <w:keepLines w:val="0"/>
        <w:spacing w:line="216" w:lineRule="auto"/>
        <w:rPr>
          <w:rtl/>
        </w:rPr>
      </w:pPr>
      <w:r w:rsidRPr="009B3C8B">
        <w:rPr>
          <w:rFonts w:hint="cs"/>
          <w:rtl/>
          <w:lang w:bidi="ar-LB"/>
        </w:rPr>
        <w:t>الوحدة الإسلاميّة</w:t>
      </w:r>
    </w:p>
    <w:p w:rsidR="002E72EF" w:rsidRPr="009B3C8B" w:rsidRDefault="002E72EF" w:rsidP="002E72EF">
      <w:pPr>
        <w:pStyle w:val="10"/>
        <w:keepNext w:val="0"/>
        <w:keepLines w:val="0"/>
        <w:spacing w:line="216" w:lineRule="auto"/>
        <w:rPr>
          <w:sz w:val="40"/>
          <w:szCs w:val="40"/>
          <w:rtl/>
          <w:lang w:bidi="ar-LB"/>
        </w:rPr>
      </w:pPr>
      <w:r w:rsidRPr="009B3C8B">
        <w:rPr>
          <w:rFonts w:hint="cs"/>
          <w:sz w:val="40"/>
          <w:szCs w:val="40"/>
          <w:rtl/>
          <w:lang w:bidi="ar-LB"/>
        </w:rPr>
        <w:t>بين خوف التلاشي ورجاء التلاقي</w:t>
      </w:r>
    </w:p>
    <w:p w:rsidR="002E72EF" w:rsidRPr="009B3C8B" w:rsidRDefault="002E72EF" w:rsidP="002E72EF">
      <w:pPr>
        <w:rPr>
          <w:rtl/>
        </w:rPr>
      </w:pPr>
    </w:p>
    <w:p w:rsidR="002E72EF" w:rsidRPr="009B3C8B" w:rsidRDefault="002E72EF" w:rsidP="002E72EF">
      <w:pPr>
        <w:pStyle w:val="Author"/>
        <w:rPr>
          <w:rtl/>
        </w:rPr>
      </w:pPr>
      <w:bookmarkStart w:id="3" w:name="_Toc74301887"/>
      <w:r w:rsidRPr="009B3C8B">
        <w:rPr>
          <w:rFonts w:hint="cs"/>
          <w:rtl/>
        </w:rPr>
        <w:t>محمد عباس دهيني</w:t>
      </w:r>
      <w:bookmarkEnd w:id="3"/>
    </w:p>
    <w:p w:rsidR="002E72EF" w:rsidRPr="009B3C8B" w:rsidRDefault="002E72EF" w:rsidP="002E72EF">
      <w:pPr>
        <w:rPr>
          <w:rtl/>
        </w:rPr>
      </w:pPr>
    </w:p>
    <w:p w:rsidR="002E72EF" w:rsidRPr="009B3C8B" w:rsidRDefault="002E72EF" w:rsidP="002E72EF">
      <w:pPr>
        <w:rPr>
          <w:rFonts w:eastAsiaTheme="minorHAnsi"/>
          <w:sz w:val="27"/>
          <w:rtl/>
        </w:rPr>
      </w:pPr>
      <w:r w:rsidRPr="009B3C8B">
        <w:rPr>
          <w:rFonts w:eastAsiaTheme="minorHAnsi" w:hint="cs"/>
          <w:sz w:val="27"/>
          <w:rtl/>
        </w:rPr>
        <w:t>مهما غالى به بعضٌ أو استخفّ به آخرون</w:t>
      </w:r>
      <w:bookmarkStart w:id="4" w:name="_GoBack"/>
      <w:bookmarkEnd w:id="4"/>
      <w:r w:rsidRPr="009B3C8B">
        <w:rPr>
          <w:rFonts w:eastAsiaTheme="minorHAnsi" w:hint="cs"/>
          <w:sz w:val="27"/>
          <w:rtl/>
        </w:rPr>
        <w:t xml:space="preserve"> يبقى هو العنوان الأهمّ في مسار الحركات الإسلاميّة الواعية، والتائقة لنجاة وخلاص الأمّة. </w:t>
      </w:r>
      <w:r w:rsidRPr="009B3C8B">
        <w:rPr>
          <w:rFonts w:eastAsiaTheme="minorHAnsi" w:hint="cs"/>
          <w:sz w:val="27"/>
          <w:rtl/>
          <w:lang w:bidi="ar-LB"/>
        </w:rPr>
        <w:t>ففي حَمْأة التحريض الطائفيّ والمذهبيّ المُتبادَل، والذي توسَّعَتْ دائرتُه، ودخل إلى كلِّ بيتٍ، عبر شاشاتِ قنوات الفتنة وبثّ الفِرْقة بين المواطنين، على اختلاف أديانهم، بل بين المسلمين أنفسِهم، بل رُبَما وصل الأمر إلى تحريض الأخ على أخيه في المذهب الواحد؛ لتباينٍ في بعض الآراء والأفكار والرُّؤى هنا وهناك، في مثل هذه الظروف لا يَجِدُ الداعيةُ والمبلِّغ مَفَرّاً من التركيز في كلِّ مناسبةٍ على موضوع الوحدة بين المسلمين، والتعايش بين أهل الأديان السماويّة كافّةً، وصولاً إلى التواصل بين الأمم والشعوب على اختلاف انتماءاتها العَقْديّة والسُّلُوكيّة.</w:t>
      </w:r>
    </w:p>
    <w:p w:rsidR="002E72EF" w:rsidRPr="009B3C8B" w:rsidRDefault="002E72EF" w:rsidP="002E72EF">
      <w:pPr>
        <w:rPr>
          <w:rFonts w:eastAsiaTheme="minorHAnsi"/>
          <w:sz w:val="27"/>
          <w:rtl/>
          <w:lang w:bidi="ar-LB"/>
        </w:rPr>
      </w:pPr>
      <w:r w:rsidRPr="009B3C8B">
        <w:rPr>
          <w:rFonts w:eastAsiaTheme="minorHAnsi" w:hint="cs"/>
          <w:sz w:val="27"/>
          <w:rtl/>
          <w:lang w:bidi="ar-LB"/>
        </w:rPr>
        <w:t>أَلَمْ يقرأْ المسلمون في كتاب الله العزيز ما يدعوهم إلى الوحدة فيما بينهم؟! فلماذا يخشَوْن الوحدة الحقيقيّة الكاملة؟! لعلّهم يختلفون في ماهيَّتها ومفهومها. فماذا تعني الوحدة بين المسلمين؟</w:t>
      </w:r>
    </w:p>
    <w:p w:rsidR="002E72EF" w:rsidRPr="009B3C8B" w:rsidRDefault="002E72EF" w:rsidP="002E72EF">
      <w:pPr>
        <w:rPr>
          <w:rFonts w:eastAsiaTheme="minorHAnsi"/>
          <w:sz w:val="27"/>
          <w:rtl/>
          <w:lang w:bidi="ar-LB"/>
        </w:rPr>
      </w:pPr>
    </w:p>
    <w:p w:rsidR="002E72EF" w:rsidRPr="009B3C8B" w:rsidRDefault="002E72EF" w:rsidP="002E72EF">
      <w:pPr>
        <w:pStyle w:val="31"/>
        <w:rPr>
          <w:rFonts w:eastAsiaTheme="minorHAnsi"/>
          <w:color w:val="auto"/>
          <w:rtl/>
          <w:lang w:bidi="ar-LB"/>
        </w:rPr>
      </w:pPr>
      <w:bookmarkStart w:id="5" w:name="_Toc393704650"/>
      <w:bookmarkStart w:id="6" w:name="_Toc396757077"/>
      <w:r w:rsidRPr="009B3C8B">
        <w:rPr>
          <w:rFonts w:eastAsiaTheme="minorHAnsi" w:hint="cs"/>
          <w:color w:val="auto"/>
          <w:rtl/>
          <w:lang w:bidi="ar-LB"/>
        </w:rPr>
        <w:t>الوحدة بين المسلمين، الماهيّة والمفهوم</w:t>
      </w:r>
      <w:bookmarkEnd w:id="5"/>
      <w:bookmarkEnd w:id="6"/>
    </w:p>
    <w:p w:rsidR="002E72EF" w:rsidRPr="009B3C8B" w:rsidRDefault="002E72EF" w:rsidP="00DD205C">
      <w:pPr>
        <w:rPr>
          <w:rFonts w:eastAsiaTheme="minorHAnsi"/>
          <w:sz w:val="27"/>
          <w:rtl/>
        </w:rPr>
      </w:pPr>
      <w:r w:rsidRPr="00F655BA">
        <w:rPr>
          <w:rFonts w:eastAsiaTheme="minorHAnsi" w:hint="cs"/>
          <w:b/>
          <w:bCs/>
          <w:sz w:val="27"/>
          <w:rtl/>
          <w:lang w:bidi="ar-LB"/>
        </w:rPr>
        <w:t>تُتصوَّر للوحدة الإسلاميّة عدّةُ معانٍ</w:t>
      </w:r>
      <w:r w:rsidRPr="009B3C8B">
        <w:rPr>
          <w:rFonts w:eastAsiaTheme="minorHAnsi" w:hint="cs"/>
          <w:sz w:val="27"/>
          <w:rtl/>
          <w:lang w:bidi="ar-LB"/>
        </w:rPr>
        <w:t>:</w:t>
      </w:r>
      <w:r w:rsidRPr="009B3C8B">
        <w:rPr>
          <w:rFonts w:eastAsiaTheme="minorHAnsi" w:hint="cs"/>
          <w:sz w:val="27"/>
          <w:rtl/>
        </w:rPr>
        <w:t xml:space="preserve"> </w:t>
      </w:r>
    </w:p>
    <w:p w:rsidR="002E72EF" w:rsidRPr="009B3C8B" w:rsidRDefault="002E72EF" w:rsidP="00DD205C">
      <w:pPr>
        <w:rPr>
          <w:rFonts w:eastAsiaTheme="minorHAnsi"/>
          <w:sz w:val="27"/>
          <w:rtl/>
        </w:rPr>
      </w:pPr>
      <w:r w:rsidRPr="009B3C8B">
        <w:rPr>
          <w:rFonts w:eastAsiaTheme="minorHAnsi" w:hint="cs"/>
          <w:sz w:val="27"/>
          <w:rtl/>
        </w:rPr>
        <w:t xml:space="preserve">1ـ فالبعض يحاول ربط مفهوم الوحدة بمفهوم الأُخوّة، وكأنّه يستلهم ذلك من قوله تعالى: </w:t>
      </w:r>
      <w:r w:rsidRPr="009B3C8B">
        <w:rPr>
          <w:rFonts w:ascii="Mosawi" w:hAnsi="Mosawi" w:cs="Mosawi"/>
          <w:sz w:val="24"/>
          <w:szCs w:val="24"/>
          <w:rtl/>
        </w:rPr>
        <w:t>﴿</w:t>
      </w:r>
      <w:r w:rsidRPr="009B3C8B">
        <w:rPr>
          <w:rFonts w:eastAsiaTheme="minorHAnsi"/>
          <w:b/>
          <w:bCs/>
          <w:sz w:val="27"/>
          <w:rtl/>
        </w:rPr>
        <w:t>إِنَّمَا ال</w:t>
      </w:r>
      <w:r w:rsidRPr="009B3C8B">
        <w:rPr>
          <w:rFonts w:eastAsiaTheme="minorHAnsi" w:hint="cs"/>
          <w:b/>
          <w:bCs/>
          <w:sz w:val="27"/>
          <w:rtl/>
        </w:rPr>
        <w:t>مُ</w:t>
      </w:r>
      <w:r w:rsidRPr="009B3C8B">
        <w:rPr>
          <w:rFonts w:eastAsiaTheme="minorHAnsi"/>
          <w:b/>
          <w:bCs/>
          <w:sz w:val="27"/>
          <w:rtl/>
        </w:rPr>
        <w:t>ؤْمِنُونَ إِخْوَةٌ</w:t>
      </w:r>
      <w:r w:rsidRPr="009B3C8B">
        <w:rPr>
          <w:rFonts w:ascii="Mosawi" w:hAnsi="Mosawi" w:cs="Mosawi"/>
          <w:sz w:val="24"/>
          <w:szCs w:val="24"/>
          <w:rtl/>
        </w:rPr>
        <w:t>﴾</w:t>
      </w:r>
      <w:r w:rsidRPr="009B3C8B">
        <w:rPr>
          <w:rFonts w:eastAsiaTheme="minorHAnsi" w:hint="cs"/>
          <w:sz w:val="27"/>
          <w:rtl/>
        </w:rPr>
        <w:t xml:space="preserve"> (الحجرات: 10).</w:t>
      </w:r>
    </w:p>
    <w:p w:rsidR="002E72EF" w:rsidRDefault="002E72EF" w:rsidP="00DD205C">
      <w:pPr>
        <w:rPr>
          <w:rFonts w:eastAsiaTheme="minorHAnsi"/>
          <w:sz w:val="27"/>
          <w:rtl/>
        </w:rPr>
      </w:pPr>
      <w:r w:rsidRPr="009B3C8B">
        <w:rPr>
          <w:rFonts w:eastAsiaTheme="minorHAnsi" w:hint="cs"/>
          <w:sz w:val="27"/>
          <w:rtl/>
        </w:rPr>
        <w:t xml:space="preserve">وهذا المعنى يستلزم أن يكون المسلمُ سَنَد المسلم في المُلِمّات والشدائد، بعيداً </w:t>
      </w:r>
      <w:r w:rsidRPr="009B3C8B">
        <w:rPr>
          <w:rFonts w:eastAsiaTheme="minorHAnsi" w:hint="cs"/>
          <w:sz w:val="27"/>
          <w:rtl/>
        </w:rPr>
        <w:lastRenderedPageBreak/>
        <w:t xml:space="preserve">عن أيّ تحريضٍ وعداوةٍ وبغضاءَ وعصبيّةٍ وصراعٍ. </w:t>
      </w:r>
    </w:p>
    <w:p w:rsidR="002E72EF" w:rsidRPr="009B3C8B" w:rsidRDefault="002E72EF" w:rsidP="00DD205C">
      <w:pPr>
        <w:rPr>
          <w:rFonts w:eastAsiaTheme="minorHAnsi"/>
          <w:sz w:val="27"/>
          <w:rtl/>
        </w:rPr>
      </w:pPr>
      <w:r w:rsidRPr="009B3C8B">
        <w:rPr>
          <w:rFonts w:eastAsiaTheme="minorHAnsi" w:hint="cs"/>
          <w:sz w:val="27"/>
          <w:rtl/>
        </w:rPr>
        <w:t>2ـ ويذهب آخرون إلى اعتبار قوام الوحدة الإسلاميّة في أن يكون للمسلمين جميعاً نظامُ حكمٍ واحدٌ، سواء أسمَيْناه (الخلافة) أو (الدولة).</w:t>
      </w:r>
    </w:p>
    <w:p w:rsidR="002E72EF" w:rsidRPr="009B3C8B" w:rsidRDefault="002E72EF" w:rsidP="00DD205C">
      <w:pPr>
        <w:rPr>
          <w:rFonts w:eastAsiaTheme="minorHAnsi"/>
          <w:sz w:val="27"/>
          <w:rtl/>
        </w:rPr>
      </w:pPr>
      <w:r w:rsidRPr="009B3C8B">
        <w:rPr>
          <w:rFonts w:eastAsiaTheme="minorHAnsi" w:hint="cs"/>
          <w:sz w:val="27"/>
          <w:rtl/>
        </w:rPr>
        <w:t>3ـ ويشير قسمٌ ثالث إلى أنّ معنى الوحدة الإسلاميّة أن لا يكون هناك سُنِّيٌّ وشيعيّ، بل جمعٌ من المسلمين، لا يتميَّزون عن بعضهم.</w:t>
      </w:r>
    </w:p>
    <w:p w:rsidR="002E72EF" w:rsidRPr="009B3C8B" w:rsidRDefault="002E72EF" w:rsidP="00DD205C">
      <w:pPr>
        <w:rPr>
          <w:rFonts w:eastAsiaTheme="minorHAnsi"/>
          <w:sz w:val="27"/>
          <w:rtl/>
        </w:rPr>
      </w:pPr>
      <w:r w:rsidRPr="009B3C8B">
        <w:rPr>
          <w:rFonts w:eastAsiaTheme="minorHAnsi" w:hint="cs"/>
          <w:b/>
          <w:bCs/>
          <w:sz w:val="27"/>
          <w:rtl/>
        </w:rPr>
        <w:t>وأعتقد</w:t>
      </w:r>
      <w:r w:rsidRPr="009B3C8B">
        <w:rPr>
          <w:rFonts w:eastAsiaTheme="minorHAnsi" w:hint="cs"/>
          <w:sz w:val="27"/>
          <w:rtl/>
        </w:rPr>
        <w:t xml:space="preserve"> أنّ المعنيين الأخيرين هما اللذان شكَّلا ويشكِّلان مانعاً أمام السعي الجادّ للوحدة بين المسلمين. </w:t>
      </w:r>
    </w:p>
    <w:p w:rsidR="002E72EF" w:rsidRPr="009B3C8B" w:rsidRDefault="002E72EF" w:rsidP="00DD205C">
      <w:pPr>
        <w:rPr>
          <w:rFonts w:eastAsiaTheme="minorHAnsi"/>
          <w:sz w:val="27"/>
          <w:rtl/>
        </w:rPr>
      </w:pPr>
      <w:r>
        <w:rPr>
          <w:rFonts w:eastAsiaTheme="minorHAnsi" w:hint="cs"/>
          <w:sz w:val="27"/>
          <w:rtl/>
        </w:rPr>
        <w:t xml:space="preserve">ـ </w:t>
      </w:r>
      <w:r w:rsidRPr="009B3C8B">
        <w:rPr>
          <w:rFonts w:eastAsiaTheme="minorHAnsi" w:hint="cs"/>
          <w:sz w:val="27"/>
          <w:rtl/>
        </w:rPr>
        <w:t>ما معنى أن يكون للمسلمين جميعاً نظامُ حكمٍ واحدٌ؟ قد يكون هذا الطَّرْح   ـ للوَهْلة الأولى ـ جَذّاباً، ولكنّه بعد تأمُّلٍ وتفكير سيُشكِّل هاجساً مخيفاً لكلِّ مَنْ يرى أنّه أقلِّيّةٌ عَدَديّة يمكن أن تذوب وتتلاشى في مثل نظامٍ كهذا.</w:t>
      </w:r>
    </w:p>
    <w:p w:rsidR="002E72EF" w:rsidRPr="009B3C8B" w:rsidRDefault="002E72EF" w:rsidP="00DD205C">
      <w:pPr>
        <w:rPr>
          <w:rFonts w:eastAsiaTheme="minorHAnsi"/>
          <w:sz w:val="27"/>
          <w:rtl/>
        </w:rPr>
      </w:pPr>
      <w:r w:rsidRPr="009B3C8B">
        <w:rPr>
          <w:rFonts w:eastAsiaTheme="minorHAnsi" w:hint="cs"/>
          <w:sz w:val="27"/>
          <w:rtl/>
        </w:rPr>
        <w:t>إذن فَلْيَبْقَ الشِّعار، ولكنْ لا لأيِّ ترجمةٍ عمليّةٍ له.</w:t>
      </w:r>
    </w:p>
    <w:p w:rsidR="002E72EF" w:rsidRPr="009B3C8B" w:rsidRDefault="002E72EF" w:rsidP="00DD205C">
      <w:pPr>
        <w:rPr>
          <w:rFonts w:eastAsiaTheme="minorHAnsi"/>
          <w:sz w:val="27"/>
          <w:rtl/>
        </w:rPr>
      </w:pPr>
      <w:r>
        <w:rPr>
          <w:rFonts w:eastAsiaTheme="minorHAnsi" w:hint="cs"/>
          <w:sz w:val="27"/>
          <w:rtl/>
        </w:rPr>
        <w:t xml:space="preserve">ـ </w:t>
      </w:r>
      <w:r w:rsidRPr="009B3C8B">
        <w:rPr>
          <w:rFonts w:eastAsiaTheme="minorHAnsi" w:hint="cs"/>
          <w:sz w:val="27"/>
          <w:rtl/>
        </w:rPr>
        <w:t>ماذا يعني أن لا يكون هناك شيعيٌّ وسُنِّيّ؟ هذا يعني دعوةً غيرَ صريحة لتخلّي السنّيّ عن معتقداته والأحكام الشرعيّة التي نشأ عليها، وورثها عن أسلافه منذ زمنٍ بعيد.</w:t>
      </w:r>
    </w:p>
    <w:p w:rsidR="002E72EF" w:rsidRPr="009B3C8B" w:rsidRDefault="002E72EF" w:rsidP="00DD205C">
      <w:pPr>
        <w:rPr>
          <w:rFonts w:eastAsiaTheme="minorHAnsi"/>
          <w:sz w:val="27"/>
          <w:rtl/>
        </w:rPr>
      </w:pPr>
      <w:r w:rsidRPr="009B3C8B">
        <w:rPr>
          <w:rFonts w:eastAsiaTheme="minorHAnsi" w:hint="cs"/>
          <w:sz w:val="27"/>
          <w:rtl/>
        </w:rPr>
        <w:t>وهكذا هي دعوةٌ مبطَّنةٌ للشيعيّ كي يتخلّى عن منظومته الفكريّة، في العقيدة والشريعة، مُهْمِلاً كلَّ ما بذله العلماءُ الماضون من جُهْدٍ في تأسيس وتأصيل هذه الأفكار والمبادئ.</w:t>
      </w:r>
    </w:p>
    <w:p w:rsidR="002E72EF" w:rsidRPr="009B3C8B" w:rsidRDefault="002E72EF" w:rsidP="00DD205C">
      <w:pPr>
        <w:rPr>
          <w:rFonts w:eastAsiaTheme="minorHAnsi"/>
          <w:sz w:val="27"/>
          <w:rtl/>
        </w:rPr>
      </w:pPr>
      <w:r w:rsidRPr="009B3C8B">
        <w:rPr>
          <w:rFonts w:eastAsiaTheme="minorHAnsi" w:hint="cs"/>
          <w:sz w:val="27"/>
          <w:rtl/>
        </w:rPr>
        <w:t>إذن سيسود جرّاء هذا التفسير للوحدة الإسلاميّة هاجسُ الفناء والتلاشي والقضاء الاختياريّ على الذات، وبالتالي لم ولن نشهد جُهْداً كافياً لتحقيق الوحدة الواقعيّة بين المسلمين.</w:t>
      </w:r>
    </w:p>
    <w:p w:rsidR="002E72EF" w:rsidRPr="009B3C8B" w:rsidRDefault="002E72EF" w:rsidP="00DD205C">
      <w:pPr>
        <w:rPr>
          <w:rFonts w:eastAsiaTheme="minorHAnsi"/>
          <w:sz w:val="27"/>
          <w:rtl/>
        </w:rPr>
      </w:pPr>
      <w:r w:rsidRPr="009B3C8B">
        <w:rPr>
          <w:rFonts w:eastAsiaTheme="minorHAnsi" w:hint="cs"/>
          <w:b/>
          <w:bCs/>
          <w:sz w:val="27"/>
          <w:rtl/>
        </w:rPr>
        <w:t>والحَقُّ</w:t>
      </w:r>
      <w:r w:rsidRPr="009B3C8B">
        <w:rPr>
          <w:rFonts w:eastAsiaTheme="minorHAnsi" w:hint="cs"/>
          <w:sz w:val="27"/>
          <w:rtl/>
        </w:rPr>
        <w:t xml:space="preserve"> أنّ الوحدة الإسلاميّة ليست بالمعنيَيْن المذكورَيْن.</w:t>
      </w:r>
    </w:p>
    <w:p w:rsidR="002E72EF" w:rsidRPr="009B3C8B" w:rsidRDefault="002E72EF" w:rsidP="00DD205C">
      <w:pPr>
        <w:rPr>
          <w:rFonts w:eastAsiaTheme="minorHAnsi"/>
          <w:sz w:val="27"/>
          <w:rtl/>
        </w:rPr>
      </w:pPr>
      <w:r w:rsidRPr="009B3C8B">
        <w:rPr>
          <w:rFonts w:eastAsiaTheme="minorHAnsi" w:hint="cs"/>
          <w:sz w:val="27"/>
          <w:rtl/>
        </w:rPr>
        <w:t>فنحن اليوم نعيش عصر الدُّوَل المستقلّة، ولا أُفُقَ لأيِّ حديثٍ عن دولةٍ إسلاميّة واحدة، أو نظامِ خلافةٍ شاملٍ لكلِّ بلاد المسلمين.</w:t>
      </w:r>
    </w:p>
    <w:p w:rsidR="002E72EF" w:rsidRPr="009B3C8B" w:rsidRDefault="002E72EF" w:rsidP="00DD205C">
      <w:pPr>
        <w:rPr>
          <w:rFonts w:eastAsiaTheme="minorHAnsi"/>
          <w:sz w:val="27"/>
          <w:rtl/>
        </w:rPr>
      </w:pPr>
      <w:r w:rsidRPr="009B3C8B">
        <w:rPr>
          <w:rFonts w:eastAsiaTheme="minorHAnsi" w:hint="cs"/>
          <w:sz w:val="27"/>
          <w:rtl/>
        </w:rPr>
        <w:t>كما أنّ الشيعيّ لن يتخلّى عن تشيُّعه، وكذلك السُّنِّيّ. وليس مطلوباً منهما ذلك.</w:t>
      </w:r>
    </w:p>
    <w:p w:rsidR="002E72EF" w:rsidRPr="009B3C8B" w:rsidRDefault="002E72EF" w:rsidP="00DD205C">
      <w:pPr>
        <w:rPr>
          <w:rFonts w:eastAsiaTheme="minorHAnsi"/>
          <w:sz w:val="27"/>
          <w:rtl/>
        </w:rPr>
      </w:pPr>
      <w:r w:rsidRPr="009B3C8B">
        <w:rPr>
          <w:rFonts w:eastAsiaTheme="minorHAnsi" w:hint="cs"/>
          <w:sz w:val="27"/>
          <w:rtl/>
        </w:rPr>
        <w:t xml:space="preserve">وإنّما كانت الدعوة إلى الوحدة بين المسلمين، والتعايش بين أهل الأديان </w:t>
      </w:r>
      <w:r w:rsidRPr="009B3C8B">
        <w:rPr>
          <w:rFonts w:eastAsiaTheme="minorHAnsi" w:hint="cs"/>
          <w:sz w:val="27"/>
          <w:rtl/>
        </w:rPr>
        <w:lastRenderedPageBreak/>
        <w:t>كافّةً، والتواصل الحضاريّ بين البشر جميعاً، لبناء مجتمعٍ يقِلّ أو يكاد ينعدم فيه الخلاف، وإنْ بقي الاختلاف، وتزول منه الصراعات والحروب.</w:t>
      </w:r>
    </w:p>
    <w:p w:rsidR="002E72EF" w:rsidRPr="009B3C8B" w:rsidRDefault="002E72EF" w:rsidP="00DD205C">
      <w:pPr>
        <w:rPr>
          <w:rFonts w:eastAsiaTheme="minorHAnsi"/>
          <w:sz w:val="27"/>
          <w:rtl/>
        </w:rPr>
      </w:pPr>
      <w:r w:rsidRPr="009B3C8B">
        <w:rPr>
          <w:rFonts w:eastAsiaTheme="minorHAnsi" w:hint="cs"/>
          <w:sz w:val="27"/>
          <w:rtl/>
        </w:rPr>
        <w:t>إذن ليس المطلوب أن نتناسى ما نختلف فيه، كمسلمين، أو كأتباع مذهبٍ</w:t>
      </w:r>
      <w:r>
        <w:rPr>
          <w:rFonts w:eastAsiaTheme="minorHAnsi" w:hint="cs"/>
          <w:sz w:val="27"/>
          <w:rtl/>
        </w:rPr>
        <w:t xml:space="preserve"> واحدٍ نختلف في عقيدةٍ هنا وحكمٍ</w:t>
      </w:r>
      <w:r w:rsidRPr="009B3C8B">
        <w:rPr>
          <w:rFonts w:eastAsiaTheme="minorHAnsi" w:hint="cs"/>
          <w:sz w:val="27"/>
          <w:rtl/>
        </w:rPr>
        <w:t xml:space="preserve"> شرعيّ هناك، وإنّما المطلوبُ تنظيمُ هذا الاختلاف، بحيث لا يؤدّي إلى الخلاف والتقاتل، والتلاعن، والتكفير، والتضليل، والتراشق بالتُّهَم ـ وأغلبُها باطلٌ، وليس بثابتٍ على الطَّرَف الآخر، وإنّما هي نتاج الوَهْم والاشتباه والخطأ في الفَهْم؛ بسبب العصبيّة المقيتة ـ. </w:t>
      </w:r>
    </w:p>
    <w:p w:rsidR="002E72EF" w:rsidRPr="009B3C8B" w:rsidRDefault="002E72EF" w:rsidP="00DD205C">
      <w:pPr>
        <w:rPr>
          <w:rFonts w:eastAsiaTheme="minorHAnsi"/>
          <w:sz w:val="27"/>
          <w:rtl/>
          <w:lang w:bidi="ar-LB"/>
        </w:rPr>
      </w:pPr>
      <w:r w:rsidRPr="009B3C8B">
        <w:rPr>
          <w:rFonts w:eastAsiaTheme="minorHAnsi" w:hint="cs"/>
          <w:sz w:val="27"/>
          <w:rtl/>
        </w:rPr>
        <w:t>إنّ الاختلاف في الرأي والاجتهاد حقٌّ مشروعٌ، ما لم يكن قِبال نصٍّ إلهيّ أو نَبَويّ أو وَلَويّ معصومٍ، فينبغي أن يُتَّبَع.</w:t>
      </w:r>
    </w:p>
    <w:p w:rsidR="002E72EF" w:rsidRDefault="002E72EF" w:rsidP="00DD205C">
      <w:pPr>
        <w:rPr>
          <w:rFonts w:eastAsiaTheme="minorHAnsi"/>
          <w:sz w:val="27"/>
          <w:rtl/>
        </w:rPr>
      </w:pPr>
      <w:r w:rsidRPr="009B3C8B">
        <w:rPr>
          <w:rFonts w:eastAsiaTheme="minorHAnsi" w:hint="cs"/>
          <w:sz w:val="27"/>
          <w:rtl/>
        </w:rPr>
        <w:t>ولكنَّ الممنوع والمحظور أن يَصِلَ الاختلاف إلى حالةٍ من الخلاف والتخالف والتخلُّف، بحيث يتنافرون، ويتقطَّعون أمرهم، ويقتُل بعضُهم بعضاً</w:t>
      </w:r>
      <w:r w:rsidRPr="001621D3">
        <w:rPr>
          <w:rFonts w:eastAsiaTheme="minorHAnsi" w:hint="cs"/>
          <w:sz w:val="27"/>
          <w:rtl/>
        </w:rPr>
        <w:t>.</w:t>
      </w:r>
    </w:p>
    <w:p w:rsidR="002E72EF" w:rsidRPr="009B3C8B" w:rsidRDefault="002E72EF" w:rsidP="00DD205C">
      <w:pPr>
        <w:rPr>
          <w:rFonts w:eastAsiaTheme="minorHAnsi"/>
          <w:sz w:val="27"/>
          <w:rtl/>
          <w:lang w:bidi="ar-LB"/>
        </w:rPr>
      </w:pPr>
      <w:r w:rsidRPr="009B3C8B">
        <w:rPr>
          <w:rFonts w:eastAsiaTheme="minorHAnsi" w:hint="cs"/>
          <w:sz w:val="27"/>
          <w:rtl/>
          <w:lang w:bidi="ar-LB"/>
        </w:rPr>
        <w:t>وقد يسأل البعضُ: إلامَ تهدفون من الدعوة إلى الوحدة الإسلاميّة؟ أليس انتصارُ هذا المذهب أو ذاك، وكلٌّ يعتبر نفسه على حقٍّ وهدى، كافياً لبناء المجتمع الصالح المَرْضِيّ لله عزَّ وجلَّ؟</w:t>
      </w:r>
    </w:p>
    <w:p w:rsidR="002E72EF" w:rsidRPr="009B3C8B" w:rsidRDefault="002E72EF" w:rsidP="00D700CB">
      <w:pPr>
        <w:spacing w:line="430" w:lineRule="exact"/>
        <w:rPr>
          <w:rFonts w:eastAsiaTheme="minorHAnsi"/>
          <w:sz w:val="27"/>
          <w:rtl/>
          <w:lang w:bidi="ar-LB"/>
        </w:rPr>
      </w:pPr>
    </w:p>
    <w:p w:rsidR="002E72EF" w:rsidRPr="009B3C8B" w:rsidRDefault="002E72EF" w:rsidP="002E72EF">
      <w:pPr>
        <w:pStyle w:val="31"/>
        <w:rPr>
          <w:rFonts w:eastAsiaTheme="minorHAnsi"/>
          <w:color w:val="auto"/>
          <w:rtl/>
          <w:lang w:bidi="ar-LB"/>
        </w:rPr>
      </w:pPr>
      <w:bookmarkStart w:id="7" w:name="_Toc393704651"/>
      <w:bookmarkStart w:id="8" w:name="_Toc396757078"/>
      <w:r w:rsidRPr="009B3C8B">
        <w:rPr>
          <w:rFonts w:eastAsiaTheme="minorHAnsi" w:hint="cs"/>
          <w:color w:val="auto"/>
          <w:rtl/>
          <w:lang w:bidi="ar-LB"/>
        </w:rPr>
        <w:t>الهدف من تحقيق الوحدة الإسلاميّة</w:t>
      </w:r>
      <w:bookmarkEnd w:id="7"/>
      <w:bookmarkEnd w:id="8"/>
    </w:p>
    <w:p w:rsidR="002E72EF" w:rsidRPr="009B3C8B" w:rsidRDefault="002E72EF" w:rsidP="00DD205C">
      <w:pPr>
        <w:rPr>
          <w:rFonts w:eastAsiaTheme="minorHAnsi"/>
          <w:sz w:val="27"/>
          <w:rtl/>
        </w:rPr>
      </w:pPr>
      <w:r w:rsidRPr="009B3C8B">
        <w:rPr>
          <w:rFonts w:eastAsiaTheme="minorHAnsi" w:hint="cs"/>
          <w:sz w:val="27"/>
          <w:rtl/>
          <w:lang w:bidi="ar-LB"/>
        </w:rPr>
        <w:t>هي أهدافٌ كثيرةٌ</w:t>
      </w:r>
      <w:r w:rsidRPr="009B3C8B">
        <w:rPr>
          <w:rFonts w:eastAsiaTheme="minorHAnsi" w:hint="cs"/>
          <w:sz w:val="27"/>
          <w:rtl/>
        </w:rPr>
        <w:t xml:space="preserve">، ولكنَّنا سنتناول ثلاثةً منها على وجه الخصوص؛ </w:t>
      </w:r>
      <w:r>
        <w:rPr>
          <w:rFonts w:eastAsiaTheme="minorHAnsi" w:hint="cs"/>
          <w:sz w:val="27"/>
          <w:rtl/>
        </w:rPr>
        <w:t>لأهمّيتها:</w:t>
      </w:r>
    </w:p>
    <w:p w:rsidR="002E72EF" w:rsidRPr="009B3C8B" w:rsidRDefault="002E72EF" w:rsidP="00DD205C">
      <w:pPr>
        <w:rPr>
          <w:rFonts w:eastAsiaTheme="minorHAnsi"/>
          <w:sz w:val="27"/>
          <w:rtl/>
        </w:rPr>
      </w:pPr>
      <w:r w:rsidRPr="009B3C8B">
        <w:rPr>
          <w:rFonts w:eastAsiaTheme="minorHAnsi" w:hint="cs"/>
          <w:b/>
          <w:bCs/>
          <w:sz w:val="27"/>
          <w:rtl/>
        </w:rPr>
        <w:t>1ـ بناء الإنسان الصالح والمجتمع السويّ</w:t>
      </w:r>
      <w:r w:rsidRPr="009B3C8B">
        <w:rPr>
          <w:rFonts w:eastAsiaTheme="minorHAnsi" w:hint="cs"/>
          <w:sz w:val="27"/>
          <w:rtl/>
        </w:rPr>
        <w:t>: فمن النادر أن نشهد إنساناً صالحاً وَرِعاً في مجتمعٍ مليءٍ بالعداوة والحِقْد والعَصَبيّة، وصولاً إلى حدّ التلاعُن والتكفير والتضليل وتبادل التُّهَم، واختتاماً بالضَّرْب أو الجَرْح أو القَتْل.</w:t>
      </w:r>
    </w:p>
    <w:p w:rsidR="002E72EF" w:rsidRPr="009B3C8B" w:rsidRDefault="002E72EF" w:rsidP="00DD205C">
      <w:pPr>
        <w:rPr>
          <w:rFonts w:eastAsiaTheme="minorHAnsi"/>
          <w:sz w:val="27"/>
          <w:rtl/>
        </w:rPr>
      </w:pPr>
      <w:r w:rsidRPr="009B3C8B">
        <w:rPr>
          <w:rFonts w:eastAsiaTheme="minorHAnsi" w:hint="cs"/>
          <w:sz w:val="27"/>
          <w:rtl/>
        </w:rPr>
        <w:t>في مجتمعٍ كهذا يصعب أن يسلم للإنسان دينٌ أو خُلُقٌ أو فكرٌ. فالفعل سيقابله ردّةُ فعلٍ ـ وهذا طبعٌ إنسانيّ ـ، ثمّ تنجرُّ الأمور إلى ما لا تُحْمَد عُقْباه، في الدنيا والآخرة.</w:t>
      </w:r>
    </w:p>
    <w:p w:rsidR="002E72EF" w:rsidRDefault="002E72EF" w:rsidP="00DD205C">
      <w:pPr>
        <w:rPr>
          <w:rFonts w:eastAsiaTheme="minorHAnsi"/>
          <w:sz w:val="27"/>
          <w:rtl/>
        </w:rPr>
      </w:pPr>
      <w:r w:rsidRPr="009B3C8B">
        <w:rPr>
          <w:rFonts w:eastAsiaTheme="minorHAnsi" w:hint="cs"/>
          <w:sz w:val="27"/>
          <w:rtl/>
        </w:rPr>
        <w:t xml:space="preserve">حين يتمّ الافتراء على قومٍ، فيُنسَب إليهم ما لم يقولوه أو يفعلوه، أو تُحرَّف وتُقطَّع كلماتُهم، لتظهر في أبشع صورةٍ، وأقبح طَرْحٍ، فمن الطبيعيّ جدّاً أن تجد من هؤلاء كُثُراً يَسْعَوْن للبحث عن بعض السَّقَطات والزَّلاّت عند الطَّرَف الأوّل. وهكذا </w:t>
      </w:r>
      <w:r w:rsidRPr="009B3C8B">
        <w:rPr>
          <w:rFonts w:eastAsiaTheme="minorHAnsi" w:hint="cs"/>
          <w:sz w:val="27"/>
          <w:rtl/>
        </w:rPr>
        <w:lastRenderedPageBreak/>
        <w:t>تشتعل الحربُ الكلاميّة بينهم، ولا تخلو في أغلب الأحيان من تجريحٍ وتشكيكٍ ولَعْنٍ وشَتْمٍ. فهل هذا هو مظهر المجتمع الإسلاميّ الصالح؟!</w:t>
      </w:r>
    </w:p>
    <w:p w:rsidR="00120DE3" w:rsidRDefault="00120DE3" w:rsidP="00DD205C">
      <w:pPr>
        <w:rPr>
          <w:rFonts w:eastAsiaTheme="minorHAnsi"/>
          <w:sz w:val="27"/>
          <w:rtl/>
        </w:rPr>
      </w:pPr>
      <w:r w:rsidRPr="00D31A7D">
        <w:rPr>
          <w:rFonts w:eastAsiaTheme="minorHAnsi" w:hint="cs"/>
          <w:sz w:val="27"/>
          <w:rtl/>
        </w:rPr>
        <w:t xml:space="preserve">من هنا نفهم لماذا وقف </w:t>
      </w:r>
      <w:r>
        <w:rPr>
          <w:rFonts w:eastAsiaTheme="minorHAnsi" w:hint="cs"/>
          <w:sz w:val="27"/>
          <w:rtl/>
        </w:rPr>
        <w:t>أمير المؤمنين</w:t>
      </w:r>
      <w:r w:rsidRPr="00D31A7D">
        <w:rPr>
          <w:rFonts w:eastAsiaTheme="minorHAnsi" w:hint="cs"/>
          <w:sz w:val="27"/>
          <w:rtl/>
        </w:rPr>
        <w:t xml:space="preserve"> عليُّ بن أبي طالب</w:t>
      </w:r>
      <w:r w:rsidRPr="00F06B37">
        <w:rPr>
          <w:rFonts w:ascii="Mosawi" w:hAnsi="Mosawi" w:cs="Mosawi"/>
          <w:sz w:val="22"/>
          <w:szCs w:val="22"/>
          <w:rtl/>
        </w:rPr>
        <w:t>×</w:t>
      </w:r>
      <w:r w:rsidRPr="00D31A7D">
        <w:rPr>
          <w:rFonts w:eastAsiaTheme="minorHAnsi" w:hint="cs"/>
          <w:sz w:val="27"/>
          <w:rtl/>
        </w:rPr>
        <w:t>، وقد سمع بعضَ أصحابه في صِفِّين يَسُبُّون أهلَ الش</w:t>
      </w:r>
      <w:r>
        <w:rPr>
          <w:rFonts w:eastAsiaTheme="minorHAnsi" w:hint="cs"/>
          <w:sz w:val="27"/>
          <w:rtl/>
        </w:rPr>
        <w:t>ّ</w:t>
      </w:r>
      <w:r w:rsidRPr="00D31A7D">
        <w:rPr>
          <w:rFonts w:eastAsiaTheme="minorHAnsi" w:hint="cs"/>
          <w:sz w:val="27"/>
          <w:rtl/>
        </w:rPr>
        <w:t>ام، وقف لينهاهم عن فعلهم هذا. أَيُقاتلُهم ويمنعُ سبَّهم؟! نعم، لأنّ المعركة ستضع أوزارها عاجِلاً أو آجِلاً، وهو يريد أن يبقى لأفراد المجتمع الإسلاميّ بعد المعركة بقيّةٌ من صلاحٍ ووَرَع</w:t>
      </w:r>
      <w:r>
        <w:rPr>
          <w:rFonts w:eastAsiaTheme="minorHAnsi" w:hint="cs"/>
          <w:sz w:val="27"/>
          <w:rtl/>
        </w:rPr>
        <w:t>ٍ</w:t>
      </w:r>
      <w:r w:rsidRPr="00D31A7D">
        <w:rPr>
          <w:rFonts w:eastAsiaTheme="minorHAnsi" w:hint="cs"/>
          <w:sz w:val="27"/>
          <w:rtl/>
        </w:rPr>
        <w:t xml:space="preserve"> وأخلاق</w:t>
      </w:r>
      <w:r>
        <w:rPr>
          <w:rFonts w:eastAsiaTheme="minorHAnsi" w:hint="cs"/>
          <w:sz w:val="27"/>
          <w:rtl/>
        </w:rPr>
        <w:t>ٍ، و</w:t>
      </w:r>
      <w:r w:rsidRPr="00D31A7D">
        <w:rPr>
          <w:rFonts w:eastAsiaTheme="minorHAnsi" w:hint="cs"/>
          <w:sz w:val="27"/>
          <w:rtl/>
        </w:rPr>
        <w:t>لذلك قال</w:t>
      </w:r>
      <w:r w:rsidRPr="00F06B37">
        <w:rPr>
          <w:rFonts w:ascii="Mosawi" w:hAnsi="Mosawi" w:cs="Mosawi"/>
          <w:sz w:val="22"/>
          <w:szCs w:val="22"/>
          <w:rtl/>
        </w:rPr>
        <w:t>×</w:t>
      </w:r>
      <w:r w:rsidRPr="00D31A7D">
        <w:rPr>
          <w:rFonts w:eastAsiaTheme="minorHAnsi" w:hint="cs"/>
          <w:sz w:val="27"/>
          <w:rtl/>
        </w:rPr>
        <w:t xml:space="preserve"> لأصحابه: </w:t>
      </w:r>
      <w:r w:rsidRPr="00D31A7D">
        <w:rPr>
          <w:rFonts w:eastAsiaTheme="minorHAnsi"/>
          <w:sz w:val="27"/>
          <w:rtl/>
          <w:lang w:bidi="ar-LB"/>
        </w:rPr>
        <w:t>«</w:t>
      </w:r>
      <w:r w:rsidRPr="00D31A7D">
        <w:rPr>
          <w:rFonts w:eastAsiaTheme="minorHAnsi" w:hint="cs"/>
          <w:sz w:val="27"/>
          <w:rtl/>
        </w:rPr>
        <w:t>إنّي</w:t>
      </w:r>
      <w:r w:rsidRPr="00D31A7D">
        <w:rPr>
          <w:rFonts w:eastAsiaTheme="minorHAnsi"/>
          <w:sz w:val="27"/>
          <w:rtl/>
        </w:rPr>
        <w:t xml:space="preserve"> </w:t>
      </w:r>
      <w:r w:rsidRPr="00D31A7D">
        <w:rPr>
          <w:rFonts w:eastAsiaTheme="minorHAnsi" w:hint="cs"/>
          <w:sz w:val="27"/>
          <w:rtl/>
        </w:rPr>
        <w:t>أَكْرهُ</w:t>
      </w:r>
      <w:r w:rsidRPr="00D31A7D">
        <w:rPr>
          <w:rFonts w:eastAsiaTheme="minorHAnsi"/>
          <w:sz w:val="27"/>
          <w:rtl/>
        </w:rPr>
        <w:t xml:space="preserve"> </w:t>
      </w:r>
      <w:r w:rsidRPr="00D31A7D">
        <w:rPr>
          <w:rFonts w:eastAsiaTheme="minorHAnsi" w:hint="cs"/>
          <w:sz w:val="27"/>
          <w:rtl/>
        </w:rPr>
        <w:t>لكم</w:t>
      </w:r>
      <w:r w:rsidRPr="00D31A7D">
        <w:rPr>
          <w:rFonts w:eastAsiaTheme="minorHAnsi"/>
          <w:sz w:val="27"/>
          <w:rtl/>
        </w:rPr>
        <w:t xml:space="preserve"> </w:t>
      </w:r>
      <w:r w:rsidRPr="00D31A7D">
        <w:rPr>
          <w:rFonts w:eastAsiaTheme="minorHAnsi" w:hint="cs"/>
          <w:sz w:val="27"/>
          <w:rtl/>
        </w:rPr>
        <w:t>أن</w:t>
      </w:r>
      <w:r w:rsidRPr="00D31A7D">
        <w:rPr>
          <w:rFonts w:eastAsiaTheme="minorHAnsi"/>
          <w:sz w:val="27"/>
          <w:rtl/>
        </w:rPr>
        <w:t xml:space="preserve"> </w:t>
      </w:r>
      <w:r w:rsidRPr="00D31A7D">
        <w:rPr>
          <w:rFonts w:eastAsiaTheme="minorHAnsi" w:hint="cs"/>
          <w:sz w:val="27"/>
          <w:rtl/>
        </w:rPr>
        <w:t>تكونوا</w:t>
      </w:r>
      <w:r w:rsidRPr="00D31A7D">
        <w:rPr>
          <w:rFonts w:eastAsiaTheme="minorHAnsi"/>
          <w:sz w:val="27"/>
          <w:rtl/>
        </w:rPr>
        <w:t xml:space="preserve"> </w:t>
      </w:r>
      <w:r w:rsidRPr="00D31A7D">
        <w:rPr>
          <w:rFonts w:eastAsiaTheme="minorHAnsi" w:hint="cs"/>
          <w:sz w:val="27"/>
          <w:rtl/>
        </w:rPr>
        <w:t>سبّابين</w:t>
      </w:r>
      <w:r w:rsidRPr="00D31A7D">
        <w:rPr>
          <w:rFonts w:eastAsiaTheme="minorHAnsi"/>
          <w:sz w:val="27"/>
          <w:rtl/>
        </w:rPr>
        <w:t xml:space="preserve">، </w:t>
      </w:r>
      <w:r w:rsidRPr="00D31A7D">
        <w:rPr>
          <w:rFonts w:eastAsiaTheme="minorHAnsi" w:hint="cs"/>
          <w:sz w:val="27"/>
          <w:rtl/>
        </w:rPr>
        <w:t>ولكنّكم</w:t>
      </w:r>
      <w:r w:rsidRPr="00D31A7D">
        <w:rPr>
          <w:rFonts w:eastAsiaTheme="minorHAnsi"/>
          <w:sz w:val="27"/>
          <w:rtl/>
        </w:rPr>
        <w:t xml:space="preserve"> </w:t>
      </w:r>
      <w:r w:rsidRPr="00D31A7D">
        <w:rPr>
          <w:rFonts w:eastAsiaTheme="minorHAnsi" w:hint="cs"/>
          <w:sz w:val="27"/>
          <w:rtl/>
        </w:rPr>
        <w:t>لو</w:t>
      </w:r>
      <w:r w:rsidRPr="00D31A7D">
        <w:rPr>
          <w:rFonts w:eastAsiaTheme="minorHAnsi"/>
          <w:sz w:val="27"/>
          <w:rtl/>
        </w:rPr>
        <w:t xml:space="preserve"> </w:t>
      </w:r>
      <w:r w:rsidRPr="00D31A7D">
        <w:rPr>
          <w:rFonts w:eastAsiaTheme="minorHAnsi" w:hint="cs"/>
          <w:sz w:val="27"/>
          <w:rtl/>
        </w:rPr>
        <w:t>وصفتُم</w:t>
      </w:r>
      <w:r w:rsidRPr="00D31A7D">
        <w:rPr>
          <w:rFonts w:eastAsiaTheme="minorHAnsi"/>
          <w:sz w:val="27"/>
          <w:rtl/>
        </w:rPr>
        <w:t xml:space="preserve"> </w:t>
      </w:r>
      <w:r w:rsidRPr="00D31A7D">
        <w:rPr>
          <w:rFonts w:eastAsiaTheme="minorHAnsi" w:hint="cs"/>
          <w:sz w:val="27"/>
          <w:rtl/>
        </w:rPr>
        <w:t>أعمالَهم،</w:t>
      </w:r>
      <w:r w:rsidRPr="00D31A7D">
        <w:rPr>
          <w:rFonts w:eastAsiaTheme="minorHAnsi"/>
          <w:sz w:val="27"/>
          <w:rtl/>
        </w:rPr>
        <w:t xml:space="preserve"> </w:t>
      </w:r>
      <w:r w:rsidRPr="00D31A7D">
        <w:rPr>
          <w:rFonts w:eastAsiaTheme="minorHAnsi" w:hint="cs"/>
          <w:sz w:val="27"/>
          <w:rtl/>
        </w:rPr>
        <w:t>وذكرتُم</w:t>
      </w:r>
      <w:r w:rsidRPr="00D31A7D">
        <w:rPr>
          <w:rFonts w:eastAsiaTheme="minorHAnsi"/>
          <w:sz w:val="27"/>
          <w:rtl/>
        </w:rPr>
        <w:t xml:space="preserve"> </w:t>
      </w:r>
      <w:r w:rsidRPr="00D31A7D">
        <w:rPr>
          <w:rFonts w:eastAsiaTheme="minorHAnsi" w:hint="cs"/>
          <w:sz w:val="27"/>
          <w:rtl/>
        </w:rPr>
        <w:t>حالَهم،</w:t>
      </w:r>
      <w:r w:rsidRPr="00D31A7D">
        <w:rPr>
          <w:rFonts w:eastAsiaTheme="minorHAnsi"/>
          <w:sz w:val="27"/>
          <w:rtl/>
        </w:rPr>
        <w:t xml:space="preserve"> </w:t>
      </w:r>
      <w:r w:rsidRPr="00D31A7D">
        <w:rPr>
          <w:rFonts w:eastAsiaTheme="minorHAnsi" w:hint="cs"/>
          <w:sz w:val="27"/>
          <w:rtl/>
        </w:rPr>
        <w:t>كان</w:t>
      </w:r>
      <w:r w:rsidRPr="00D31A7D">
        <w:rPr>
          <w:rFonts w:eastAsiaTheme="minorHAnsi"/>
          <w:sz w:val="27"/>
          <w:rtl/>
        </w:rPr>
        <w:t xml:space="preserve"> </w:t>
      </w:r>
      <w:r w:rsidRPr="00D31A7D">
        <w:rPr>
          <w:rFonts w:eastAsiaTheme="minorHAnsi" w:hint="cs"/>
          <w:sz w:val="27"/>
          <w:rtl/>
        </w:rPr>
        <w:t>أصوبَ</w:t>
      </w:r>
      <w:r w:rsidRPr="00D31A7D">
        <w:rPr>
          <w:rFonts w:eastAsiaTheme="minorHAnsi"/>
          <w:sz w:val="27"/>
          <w:rtl/>
        </w:rPr>
        <w:t xml:space="preserve"> </w:t>
      </w:r>
      <w:r w:rsidRPr="00D31A7D">
        <w:rPr>
          <w:rFonts w:eastAsiaTheme="minorHAnsi" w:hint="cs"/>
          <w:sz w:val="27"/>
          <w:rtl/>
        </w:rPr>
        <w:t>في</w:t>
      </w:r>
      <w:r w:rsidRPr="00D31A7D">
        <w:rPr>
          <w:rFonts w:eastAsiaTheme="minorHAnsi"/>
          <w:sz w:val="27"/>
          <w:rtl/>
        </w:rPr>
        <w:t xml:space="preserve"> </w:t>
      </w:r>
      <w:r w:rsidRPr="00D31A7D">
        <w:rPr>
          <w:rFonts w:eastAsiaTheme="minorHAnsi" w:hint="cs"/>
          <w:sz w:val="27"/>
          <w:rtl/>
        </w:rPr>
        <w:t>القَوْل،</w:t>
      </w:r>
      <w:r w:rsidRPr="00D31A7D">
        <w:rPr>
          <w:rFonts w:eastAsiaTheme="minorHAnsi"/>
          <w:sz w:val="27"/>
          <w:rtl/>
        </w:rPr>
        <w:t xml:space="preserve"> </w:t>
      </w:r>
      <w:r w:rsidRPr="00D31A7D">
        <w:rPr>
          <w:rFonts w:eastAsiaTheme="minorHAnsi" w:hint="cs"/>
          <w:sz w:val="27"/>
          <w:rtl/>
        </w:rPr>
        <w:t>وأبلغَ</w:t>
      </w:r>
      <w:r w:rsidRPr="00D31A7D">
        <w:rPr>
          <w:rFonts w:eastAsiaTheme="minorHAnsi"/>
          <w:sz w:val="27"/>
          <w:rtl/>
        </w:rPr>
        <w:t xml:space="preserve"> </w:t>
      </w:r>
      <w:r w:rsidRPr="00D31A7D">
        <w:rPr>
          <w:rFonts w:eastAsiaTheme="minorHAnsi" w:hint="cs"/>
          <w:sz w:val="27"/>
          <w:rtl/>
        </w:rPr>
        <w:t>في</w:t>
      </w:r>
      <w:r w:rsidRPr="00D31A7D">
        <w:rPr>
          <w:rFonts w:eastAsiaTheme="minorHAnsi"/>
          <w:sz w:val="27"/>
          <w:rtl/>
        </w:rPr>
        <w:t xml:space="preserve"> </w:t>
      </w:r>
      <w:r w:rsidRPr="00D31A7D">
        <w:rPr>
          <w:rFonts w:eastAsiaTheme="minorHAnsi" w:hint="cs"/>
          <w:sz w:val="27"/>
          <w:rtl/>
        </w:rPr>
        <w:t>العُذْر</w:t>
      </w:r>
      <w:r w:rsidRPr="00D31A7D">
        <w:rPr>
          <w:rFonts w:eastAsiaTheme="minorHAnsi"/>
          <w:sz w:val="27"/>
          <w:rtl/>
        </w:rPr>
        <w:t xml:space="preserve">، </w:t>
      </w:r>
      <w:r w:rsidRPr="00D31A7D">
        <w:rPr>
          <w:rFonts w:eastAsiaTheme="minorHAnsi" w:hint="cs"/>
          <w:sz w:val="27"/>
          <w:rtl/>
        </w:rPr>
        <w:t>وقلتُمْ</w:t>
      </w:r>
      <w:r w:rsidRPr="00D31A7D">
        <w:rPr>
          <w:rFonts w:eastAsiaTheme="minorHAnsi"/>
          <w:sz w:val="27"/>
          <w:rtl/>
        </w:rPr>
        <w:t xml:space="preserve"> </w:t>
      </w:r>
      <w:r w:rsidRPr="00D31A7D">
        <w:rPr>
          <w:rFonts w:eastAsiaTheme="minorHAnsi" w:hint="cs"/>
          <w:sz w:val="27"/>
          <w:rtl/>
        </w:rPr>
        <w:t>مكانَ</w:t>
      </w:r>
      <w:r w:rsidRPr="00D31A7D">
        <w:rPr>
          <w:rFonts w:eastAsiaTheme="minorHAnsi"/>
          <w:sz w:val="27"/>
          <w:rtl/>
        </w:rPr>
        <w:t xml:space="preserve"> </w:t>
      </w:r>
      <w:r w:rsidRPr="00D31A7D">
        <w:rPr>
          <w:rFonts w:eastAsiaTheme="minorHAnsi" w:hint="cs"/>
          <w:sz w:val="27"/>
          <w:rtl/>
        </w:rPr>
        <w:t>سَبِّكم</w:t>
      </w:r>
      <w:r w:rsidRPr="00D31A7D">
        <w:rPr>
          <w:rFonts w:eastAsiaTheme="minorHAnsi"/>
          <w:sz w:val="27"/>
          <w:rtl/>
        </w:rPr>
        <w:t xml:space="preserve"> </w:t>
      </w:r>
      <w:r w:rsidRPr="00D31A7D">
        <w:rPr>
          <w:rFonts w:eastAsiaTheme="minorHAnsi" w:hint="cs"/>
          <w:sz w:val="27"/>
          <w:rtl/>
        </w:rPr>
        <w:t>إيّاهم:</w:t>
      </w:r>
      <w:r w:rsidRPr="00D31A7D">
        <w:rPr>
          <w:rFonts w:eastAsiaTheme="minorHAnsi"/>
          <w:sz w:val="27"/>
          <w:rtl/>
        </w:rPr>
        <w:t xml:space="preserve"> </w:t>
      </w:r>
      <w:r w:rsidRPr="00D31A7D">
        <w:rPr>
          <w:rFonts w:eastAsiaTheme="minorHAnsi" w:hint="cs"/>
          <w:sz w:val="27"/>
          <w:rtl/>
        </w:rPr>
        <w:t>اللهُمَّ</w:t>
      </w:r>
      <w:r w:rsidRPr="00D31A7D">
        <w:rPr>
          <w:rFonts w:eastAsiaTheme="minorHAnsi"/>
          <w:sz w:val="27"/>
          <w:rtl/>
        </w:rPr>
        <w:t xml:space="preserve"> </w:t>
      </w:r>
      <w:r w:rsidRPr="00D31A7D">
        <w:rPr>
          <w:rFonts w:eastAsiaTheme="minorHAnsi" w:hint="cs"/>
          <w:sz w:val="27"/>
          <w:rtl/>
        </w:rPr>
        <w:t>احقِنْ</w:t>
      </w:r>
      <w:r w:rsidRPr="00D31A7D">
        <w:rPr>
          <w:rFonts w:eastAsiaTheme="minorHAnsi"/>
          <w:sz w:val="27"/>
          <w:rtl/>
        </w:rPr>
        <w:t xml:space="preserve"> </w:t>
      </w:r>
      <w:r w:rsidRPr="00D31A7D">
        <w:rPr>
          <w:rFonts w:eastAsiaTheme="minorHAnsi" w:hint="cs"/>
          <w:sz w:val="27"/>
          <w:rtl/>
        </w:rPr>
        <w:t>دماءَنا</w:t>
      </w:r>
      <w:r w:rsidRPr="00D31A7D">
        <w:rPr>
          <w:rFonts w:eastAsiaTheme="minorHAnsi"/>
          <w:sz w:val="27"/>
          <w:rtl/>
        </w:rPr>
        <w:t xml:space="preserve"> </w:t>
      </w:r>
      <w:r w:rsidRPr="00D31A7D">
        <w:rPr>
          <w:rFonts w:eastAsiaTheme="minorHAnsi" w:hint="cs"/>
          <w:sz w:val="27"/>
          <w:rtl/>
        </w:rPr>
        <w:t>ودماءَهم</w:t>
      </w:r>
      <w:r w:rsidRPr="00D31A7D">
        <w:rPr>
          <w:rFonts w:eastAsiaTheme="minorHAnsi"/>
          <w:sz w:val="27"/>
          <w:rtl/>
        </w:rPr>
        <w:t xml:space="preserve">، </w:t>
      </w:r>
      <w:r w:rsidRPr="00D31A7D">
        <w:rPr>
          <w:rFonts w:eastAsiaTheme="minorHAnsi" w:hint="cs"/>
          <w:sz w:val="27"/>
          <w:rtl/>
        </w:rPr>
        <w:t>وأصلِحْ</w:t>
      </w:r>
      <w:r w:rsidRPr="00D31A7D">
        <w:rPr>
          <w:rFonts w:eastAsiaTheme="minorHAnsi"/>
          <w:sz w:val="27"/>
          <w:rtl/>
        </w:rPr>
        <w:t xml:space="preserve"> </w:t>
      </w:r>
      <w:r w:rsidRPr="00D31A7D">
        <w:rPr>
          <w:rFonts w:eastAsiaTheme="minorHAnsi" w:hint="cs"/>
          <w:sz w:val="27"/>
          <w:rtl/>
        </w:rPr>
        <w:t>ذاتَ</w:t>
      </w:r>
      <w:r w:rsidRPr="00D31A7D">
        <w:rPr>
          <w:rFonts w:eastAsiaTheme="minorHAnsi"/>
          <w:sz w:val="27"/>
          <w:rtl/>
        </w:rPr>
        <w:t xml:space="preserve"> </w:t>
      </w:r>
      <w:r w:rsidRPr="00D31A7D">
        <w:rPr>
          <w:rFonts w:eastAsiaTheme="minorHAnsi" w:hint="cs"/>
          <w:sz w:val="27"/>
          <w:rtl/>
        </w:rPr>
        <w:t>بيننا</w:t>
      </w:r>
      <w:r w:rsidRPr="00D31A7D">
        <w:rPr>
          <w:rFonts w:eastAsiaTheme="minorHAnsi"/>
          <w:sz w:val="27"/>
          <w:rtl/>
        </w:rPr>
        <w:t xml:space="preserve"> </w:t>
      </w:r>
      <w:r w:rsidRPr="00D31A7D">
        <w:rPr>
          <w:rFonts w:eastAsiaTheme="minorHAnsi" w:hint="cs"/>
          <w:sz w:val="27"/>
          <w:rtl/>
        </w:rPr>
        <w:t>وبينهم</w:t>
      </w:r>
      <w:r w:rsidRPr="00D31A7D">
        <w:rPr>
          <w:rFonts w:eastAsiaTheme="minorHAnsi"/>
          <w:sz w:val="27"/>
          <w:rtl/>
        </w:rPr>
        <w:t xml:space="preserve">، </w:t>
      </w:r>
      <w:r w:rsidRPr="00D31A7D">
        <w:rPr>
          <w:rFonts w:eastAsiaTheme="minorHAnsi" w:hint="cs"/>
          <w:sz w:val="27"/>
          <w:rtl/>
        </w:rPr>
        <w:t>واهْدِهم</w:t>
      </w:r>
      <w:r w:rsidRPr="00D31A7D">
        <w:rPr>
          <w:rFonts w:eastAsiaTheme="minorHAnsi"/>
          <w:sz w:val="27"/>
          <w:rtl/>
        </w:rPr>
        <w:t xml:space="preserve"> </w:t>
      </w:r>
      <w:r w:rsidRPr="00D31A7D">
        <w:rPr>
          <w:rFonts w:eastAsiaTheme="minorHAnsi" w:hint="cs"/>
          <w:sz w:val="27"/>
          <w:rtl/>
        </w:rPr>
        <w:t>من</w:t>
      </w:r>
      <w:r w:rsidRPr="00D31A7D">
        <w:rPr>
          <w:rFonts w:eastAsiaTheme="minorHAnsi"/>
          <w:sz w:val="27"/>
          <w:rtl/>
        </w:rPr>
        <w:t xml:space="preserve"> </w:t>
      </w:r>
      <w:r w:rsidRPr="00D31A7D">
        <w:rPr>
          <w:rFonts w:eastAsiaTheme="minorHAnsi" w:hint="cs"/>
          <w:sz w:val="27"/>
          <w:rtl/>
        </w:rPr>
        <w:t>ضلالتهم؛</w:t>
      </w:r>
      <w:r w:rsidRPr="00D31A7D">
        <w:rPr>
          <w:rFonts w:eastAsiaTheme="minorHAnsi"/>
          <w:sz w:val="27"/>
          <w:rtl/>
        </w:rPr>
        <w:t xml:space="preserve"> </w:t>
      </w:r>
      <w:r w:rsidRPr="00D31A7D">
        <w:rPr>
          <w:rFonts w:eastAsiaTheme="minorHAnsi" w:hint="cs"/>
          <w:sz w:val="27"/>
          <w:rtl/>
        </w:rPr>
        <w:t>حتّى</w:t>
      </w:r>
      <w:r w:rsidRPr="00D31A7D">
        <w:rPr>
          <w:rFonts w:eastAsiaTheme="minorHAnsi"/>
          <w:sz w:val="27"/>
          <w:rtl/>
        </w:rPr>
        <w:t xml:space="preserve"> </w:t>
      </w:r>
      <w:r w:rsidRPr="00D31A7D">
        <w:rPr>
          <w:rFonts w:eastAsiaTheme="minorHAnsi" w:hint="cs"/>
          <w:sz w:val="27"/>
          <w:rtl/>
        </w:rPr>
        <w:t>يعرف</w:t>
      </w:r>
      <w:r w:rsidRPr="00D31A7D">
        <w:rPr>
          <w:rFonts w:eastAsiaTheme="minorHAnsi"/>
          <w:sz w:val="27"/>
          <w:rtl/>
        </w:rPr>
        <w:t xml:space="preserve"> </w:t>
      </w:r>
      <w:r w:rsidRPr="00D31A7D">
        <w:rPr>
          <w:rFonts w:eastAsiaTheme="minorHAnsi" w:hint="cs"/>
          <w:sz w:val="27"/>
          <w:rtl/>
        </w:rPr>
        <w:t>الحقَّ</w:t>
      </w:r>
      <w:r w:rsidRPr="00D31A7D">
        <w:rPr>
          <w:rFonts w:eastAsiaTheme="minorHAnsi"/>
          <w:sz w:val="27"/>
          <w:rtl/>
        </w:rPr>
        <w:t xml:space="preserve"> </w:t>
      </w:r>
      <w:r w:rsidRPr="00D31A7D">
        <w:rPr>
          <w:rFonts w:eastAsiaTheme="minorHAnsi" w:hint="cs"/>
          <w:sz w:val="27"/>
          <w:rtl/>
        </w:rPr>
        <w:t>مَنْ</w:t>
      </w:r>
      <w:r w:rsidRPr="00D31A7D">
        <w:rPr>
          <w:rFonts w:eastAsiaTheme="minorHAnsi"/>
          <w:sz w:val="27"/>
          <w:rtl/>
        </w:rPr>
        <w:t xml:space="preserve"> </w:t>
      </w:r>
      <w:r w:rsidRPr="00D31A7D">
        <w:rPr>
          <w:rFonts w:eastAsiaTheme="minorHAnsi" w:hint="cs"/>
          <w:sz w:val="27"/>
          <w:rtl/>
        </w:rPr>
        <w:t>جَهِلَه،</w:t>
      </w:r>
      <w:r w:rsidRPr="00D31A7D">
        <w:rPr>
          <w:rFonts w:eastAsiaTheme="minorHAnsi"/>
          <w:sz w:val="27"/>
          <w:rtl/>
        </w:rPr>
        <w:t xml:space="preserve"> </w:t>
      </w:r>
      <w:r w:rsidRPr="00D31A7D">
        <w:rPr>
          <w:rFonts w:eastAsiaTheme="minorHAnsi" w:hint="cs"/>
          <w:sz w:val="27"/>
          <w:rtl/>
        </w:rPr>
        <w:t>ويَرْعَوي</w:t>
      </w:r>
      <w:r w:rsidRPr="00D31A7D">
        <w:rPr>
          <w:rFonts w:eastAsiaTheme="minorHAnsi"/>
          <w:sz w:val="27"/>
          <w:rtl/>
        </w:rPr>
        <w:t xml:space="preserve"> </w:t>
      </w:r>
      <w:r w:rsidRPr="00D31A7D">
        <w:rPr>
          <w:rFonts w:eastAsiaTheme="minorHAnsi" w:hint="cs"/>
          <w:sz w:val="27"/>
          <w:rtl/>
        </w:rPr>
        <w:t>عن</w:t>
      </w:r>
      <w:r w:rsidRPr="00D31A7D">
        <w:rPr>
          <w:rFonts w:eastAsiaTheme="minorHAnsi"/>
          <w:sz w:val="27"/>
          <w:rtl/>
        </w:rPr>
        <w:t xml:space="preserve"> </w:t>
      </w:r>
      <w:r w:rsidRPr="00D31A7D">
        <w:rPr>
          <w:rFonts w:eastAsiaTheme="minorHAnsi" w:hint="cs"/>
          <w:sz w:val="27"/>
          <w:rtl/>
        </w:rPr>
        <w:t>الغَيِّ</w:t>
      </w:r>
      <w:r w:rsidRPr="00D31A7D">
        <w:rPr>
          <w:rFonts w:eastAsiaTheme="minorHAnsi"/>
          <w:sz w:val="27"/>
          <w:rtl/>
        </w:rPr>
        <w:t xml:space="preserve"> </w:t>
      </w:r>
      <w:r w:rsidRPr="00D31A7D">
        <w:rPr>
          <w:rFonts w:eastAsiaTheme="minorHAnsi" w:hint="cs"/>
          <w:sz w:val="27"/>
          <w:rtl/>
        </w:rPr>
        <w:t>والعُدْوان</w:t>
      </w:r>
      <w:r w:rsidRPr="00D31A7D">
        <w:rPr>
          <w:rFonts w:eastAsiaTheme="minorHAnsi"/>
          <w:sz w:val="27"/>
          <w:rtl/>
        </w:rPr>
        <w:t xml:space="preserve"> </w:t>
      </w:r>
      <w:r w:rsidRPr="00D31A7D">
        <w:rPr>
          <w:rFonts w:eastAsiaTheme="minorHAnsi" w:hint="cs"/>
          <w:sz w:val="27"/>
          <w:rtl/>
        </w:rPr>
        <w:t>مَنْ</w:t>
      </w:r>
      <w:r w:rsidRPr="00D31A7D">
        <w:rPr>
          <w:rFonts w:eastAsiaTheme="minorHAnsi"/>
          <w:sz w:val="27"/>
          <w:rtl/>
        </w:rPr>
        <w:t xml:space="preserve"> </w:t>
      </w:r>
      <w:r w:rsidRPr="00D31A7D">
        <w:rPr>
          <w:rFonts w:eastAsiaTheme="minorHAnsi" w:hint="cs"/>
          <w:sz w:val="27"/>
          <w:rtl/>
        </w:rPr>
        <w:t>لَهِجَ</w:t>
      </w:r>
      <w:r w:rsidRPr="00D31A7D">
        <w:rPr>
          <w:rFonts w:eastAsiaTheme="minorHAnsi"/>
          <w:sz w:val="27"/>
          <w:rtl/>
        </w:rPr>
        <w:t xml:space="preserve"> </w:t>
      </w:r>
      <w:r w:rsidRPr="00D31A7D">
        <w:rPr>
          <w:rFonts w:eastAsiaTheme="minorHAnsi" w:hint="cs"/>
          <w:sz w:val="27"/>
          <w:rtl/>
        </w:rPr>
        <w:t>به</w:t>
      </w:r>
      <w:r w:rsidRPr="00D31A7D">
        <w:rPr>
          <w:rFonts w:eastAsiaTheme="minorHAnsi"/>
          <w:sz w:val="27"/>
          <w:rtl/>
          <w:lang w:bidi="ar-LB"/>
        </w:rPr>
        <w:t>»</w:t>
      </w:r>
      <w:r>
        <w:rPr>
          <w:rFonts w:eastAsiaTheme="minorHAnsi" w:hint="cs"/>
          <w:sz w:val="27"/>
          <w:rtl/>
          <w:lang w:bidi="ar-LB"/>
        </w:rPr>
        <w:t xml:space="preserve"> (</w:t>
      </w:r>
      <w:r w:rsidRPr="00595542">
        <w:rPr>
          <w:rFonts w:hint="cs"/>
          <w:rtl/>
          <w:lang w:bidi="ar-LB"/>
        </w:rPr>
        <w:t>نهج البلاغة 2: 185 ـ 186</w:t>
      </w:r>
      <w:r>
        <w:rPr>
          <w:rFonts w:eastAsiaTheme="minorHAnsi" w:hint="cs"/>
          <w:sz w:val="27"/>
          <w:rtl/>
          <w:lang w:bidi="ar-LB"/>
        </w:rPr>
        <w:t>)</w:t>
      </w:r>
      <w:r w:rsidRPr="00D31A7D">
        <w:rPr>
          <w:rFonts w:eastAsiaTheme="minorHAnsi" w:hint="cs"/>
          <w:sz w:val="27"/>
          <w:rtl/>
        </w:rPr>
        <w:t>.</w:t>
      </w:r>
    </w:p>
    <w:p w:rsidR="00120DE3" w:rsidRPr="00D31A7D" w:rsidRDefault="00120DE3" w:rsidP="00DD205C">
      <w:pPr>
        <w:rPr>
          <w:rFonts w:eastAsiaTheme="minorHAnsi"/>
          <w:sz w:val="27"/>
          <w:rtl/>
        </w:rPr>
      </w:pPr>
      <w:r>
        <w:rPr>
          <w:rFonts w:eastAsiaTheme="minorHAnsi" w:hint="cs"/>
          <w:sz w:val="27"/>
          <w:rtl/>
        </w:rPr>
        <w:t>وفي كلامه</w:t>
      </w:r>
      <w:r w:rsidRPr="00F06B37">
        <w:rPr>
          <w:rFonts w:ascii="Mosawi" w:hAnsi="Mosawi" w:cs="Mosawi"/>
          <w:sz w:val="22"/>
          <w:szCs w:val="22"/>
          <w:rtl/>
        </w:rPr>
        <w:t>×</w:t>
      </w:r>
      <w:r>
        <w:rPr>
          <w:rFonts w:eastAsiaTheme="minorHAnsi" w:hint="cs"/>
          <w:sz w:val="27"/>
          <w:rtl/>
        </w:rPr>
        <w:t xml:space="preserve"> هذا إشارةٌ إلى لزوم حَصْر الخلاف بالفعل، فلا يتعدّى إلى الفاعل، فالخصومة والمواجهة إنما هي للفعل نفسه، وأمّا الفاعل فهو امرؤٌ قد أخطأ، ونحاول إصلاحه، لا إسقاطه.   </w:t>
      </w:r>
    </w:p>
    <w:p w:rsidR="002E72EF" w:rsidRPr="009B3C8B" w:rsidRDefault="002E72EF" w:rsidP="00DD205C">
      <w:pPr>
        <w:rPr>
          <w:rFonts w:eastAsiaTheme="minorHAnsi"/>
          <w:sz w:val="27"/>
          <w:rtl/>
        </w:rPr>
      </w:pPr>
      <w:r w:rsidRPr="009B3C8B">
        <w:rPr>
          <w:rFonts w:eastAsiaTheme="minorHAnsi" w:hint="cs"/>
          <w:b/>
          <w:bCs/>
          <w:sz w:val="27"/>
          <w:rtl/>
        </w:rPr>
        <w:t>2ـ الحفاظ على الاحترام بين الأ</w:t>
      </w:r>
      <w:r>
        <w:rPr>
          <w:rFonts w:eastAsiaTheme="minorHAnsi" w:hint="cs"/>
          <w:b/>
          <w:bCs/>
          <w:sz w:val="27"/>
          <w:rtl/>
        </w:rPr>
        <w:t>ُ</w:t>
      </w:r>
      <w:r w:rsidRPr="009B3C8B">
        <w:rPr>
          <w:rFonts w:eastAsiaTheme="minorHAnsi" w:hint="cs"/>
          <w:b/>
          <w:bCs/>
          <w:sz w:val="27"/>
          <w:rtl/>
        </w:rPr>
        <w:t>م</w:t>
      </w:r>
      <w:r>
        <w:rPr>
          <w:rFonts w:eastAsiaTheme="minorHAnsi" w:hint="cs"/>
          <w:b/>
          <w:bCs/>
          <w:sz w:val="27"/>
          <w:rtl/>
        </w:rPr>
        <w:t>َ</w:t>
      </w:r>
      <w:r w:rsidRPr="009B3C8B">
        <w:rPr>
          <w:rFonts w:eastAsiaTheme="minorHAnsi" w:hint="cs"/>
          <w:b/>
          <w:bCs/>
          <w:sz w:val="27"/>
          <w:rtl/>
        </w:rPr>
        <w:t>م</w:t>
      </w:r>
      <w:r w:rsidRPr="009B3C8B">
        <w:rPr>
          <w:rFonts w:eastAsiaTheme="minorHAnsi" w:hint="cs"/>
          <w:sz w:val="27"/>
          <w:rtl/>
        </w:rPr>
        <w:t>: فلا يعتقدنّ أحدٌ أنّ سائر الأ</w:t>
      </w:r>
      <w:r>
        <w:rPr>
          <w:rFonts w:eastAsiaTheme="minorHAnsi" w:hint="cs"/>
          <w:sz w:val="27"/>
          <w:rtl/>
        </w:rPr>
        <w:t>ُ</w:t>
      </w:r>
      <w:r w:rsidRPr="009B3C8B">
        <w:rPr>
          <w:rFonts w:eastAsiaTheme="minorHAnsi" w:hint="cs"/>
          <w:sz w:val="27"/>
          <w:rtl/>
        </w:rPr>
        <w:t>م</w:t>
      </w:r>
      <w:r>
        <w:rPr>
          <w:rFonts w:eastAsiaTheme="minorHAnsi" w:hint="cs"/>
          <w:sz w:val="27"/>
          <w:rtl/>
        </w:rPr>
        <w:t>َ</w:t>
      </w:r>
      <w:r w:rsidRPr="009B3C8B">
        <w:rPr>
          <w:rFonts w:eastAsiaTheme="minorHAnsi" w:hint="cs"/>
          <w:sz w:val="27"/>
          <w:rtl/>
        </w:rPr>
        <w:t>م تميِّز بين مذهبٍ وآخر في الأمّة الإسلاميّة. فهم يتعاملون معنا على أنّنا واحدٌ لا يتجزّأ.</w:t>
      </w:r>
    </w:p>
    <w:p w:rsidR="002E72EF" w:rsidRPr="009B3C8B" w:rsidRDefault="002E72EF" w:rsidP="00DD205C">
      <w:pPr>
        <w:rPr>
          <w:rFonts w:eastAsiaTheme="minorHAnsi"/>
          <w:sz w:val="27"/>
          <w:rtl/>
        </w:rPr>
      </w:pPr>
      <w:r w:rsidRPr="009B3C8B">
        <w:rPr>
          <w:rFonts w:eastAsiaTheme="minorHAnsi" w:hint="cs"/>
          <w:sz w:val="27"/>
          <w:rtl/>
        </w:rPr>
        <w:t>وهذا ما شهدناه في ما قام به بعض الحاقدين من رسومٍ مسيئة للنبيّ</w:t>
      </w:r>
      <w:r w:rsidRPr="009B3C8B">
        <w:rPr>
          <w:rFonts w:ascii="Mosawi" w:hAnsi="Mosawi" w:cs="Mosawi"/>
          <w:sz w:val="22"/>
          <w:szCs w:val="22"/>
          <w:rtl/>
        </w:rPr>
        <w:t>|</w:t>
      </w:r>
      <w:r w:rsidRPr="009B3C8B">
        <w:rPr>
          <w:rFonts w:eastAsiaTheme="minorHAnsi" w:hint="cs"/>
          <w:sz w:val="27"/>
          <w:rtl/>
        </w:rPr>
        <w:t>، أو إنتاج أفلامٍ تخدش في سلوكه الشخصيّ والتبليغيّ.</w:t>
      </w:r>
    </w:p>
    <w:p w:rsidR="002E72EF" w:rsidRPr="009B3C8B" w:rsidRDefault="002E72EF" w:rsidP="00DD205C">
      <w:pPr>
        <w:rPr>
          <w:rFonts w:eastAsiaTheme="minorHAnsi"/>
          <w:sz w:val="27"/>
          <w:rtl/>
        </w:rPr>
      </w:pPr>
      <w:r w:rsidRPr="009B3C8B">
        <w:rPr>
          <w:rFonts w:eastAsiaTheme="minorHAnsi" w:hint="cs"/>
          <w:sz w:val="27"/>
          <w:rtl/>
        </w:rPr>
        <w:t>وبعض الذي ذكروه موجودٌ في بعض تراثنا الحديثيّ غير النقيّ، تراث السنّة والشيعة على السواء. ولكنْ هل ميَّز أولئك الحاقدون بين مذهبٍ وآخر، أو بين منظومةٍ فكريّة هنا وأخرى هناك؟ أبداً، فهذه بنظرهم سلوكيّاتُ نبيِّ الإسلام والمسلمين، بجميع مذاهبهم وفِرَقِهم. ولذلك شَنُّوا حملةً شَعْواء على كلِّ ما يَمُتُّ إلى الإسلام بِصِلَةٍ، ولو لم يكن يرتضي مثل تلك السلوكيّات المنسوبة كَذِباً وزُوراً إلى نبيِّنا الأكرم محمد</w:t>
      </w:r>
      <w:r w:rsidRPr="009B3C8B">
        <w:rPr>
          <w:rFonts w:ascii="Mosawi" w:hAnsi="Mosawi" w:cs="Mosawi"/>
          <w:sz w:val="22"/>
          <w:szCs w:val="22"/>
          <w:rtl/>
        </w:rPr>
        <w:t>|</w:t>
      </w:r>
      <w:r w:rsidRPr="009B3C8B">
        <w:rPr>
          <w:rFonts w:eastAsiaTheme="minorHAnsi" w:hint="cs"/>
          <w:sz w:val="27"/>
          <w:rtl/>
        </w:rPr>
        <w:t>.</w:t>
      </w:r>
    </w:p>
    <w:p w:rsidR="002E72EF" w:rsidRPr="009B3C8B" w:rsidRDefault="002E72EF" w:rsidP="00DD205C">
      <w:pPr>
        <w:rPr>
          <w:rFonts w:eastAsiaTheme="minorHAnsi"/>
          <w:sz w:val="27"/>
          <w:rtl/>
        </w:rPr>
      </w:pPr>
      <w:r w:rsidRPr="009B3C8B">
        <w:rPr>
          <w:rFonts w:eastAsiaTheme="minorHAnsi" w:hint="cs"/>
          <w:sz w:val="27"/>
          <w:rtl/>
        </w:rPr>
        <w:t xml:space="preserve">أمّا لو كانت الوحدة الإسلاميّة قائمةً بحقٍّ بين المسلمين، وكانوا قد تباحثوا وتحاوروا فيما بينهم، بهدوءٍ ورَوِيّةٍ، وبعيداً عن أيّ عَصَبيّةٍ، في صحّة نسبة هذه الأخبار </w:t>
      </w:r>
      <w:r w:rsidRPr="009B3C8B">
        <w:rPr>
          <w:rFonts w:eastAsiaTheme="minorHAnsi" w:hint="cs"/>
          <w:sz w:val="27"/>
          <w:rtl/>
        </w:rPr>
        <w:lastRenderedPageBreak/>
        <w:t xml:space="preserve">ـ التي لا نشكّ للحظةٍ أنّها موضوعةٌ مدسوسةٌ ـ، لكانوا قد أزالوها من الكتب، وسَدُّوا الباب مُحْكَماً أمام كلِّ حاقدٍ، يستهدف الإساءة للإسلام وأهله. </w:t>
      </w:r>
    </w:p>
    <w:p w:rsidR="002E72EF" w:rsidRPr="009B3C8B" w:rsidRDefault="002E72EF" w:rsidP="00DD205C">
      <w:pPr>
        <w:rPr>
          <w:rFonts w:eastAsiaTheme="minorHAnsi"/>
          <w:sz w:val="27"/>
          <w:rtl/>
        </w:rPr>
      </w:pPr>
      <w:r w:rsidRPr="009B3C8B">
        <w:rPr>
          <w:rFonts w:eastAsiaTheme="minorHAnsi" w:hint="cs"/>
          <w:b/>
          <w:bCs/>
          <w:sz w:val="27"/>
          <w:rtl/>
        </w:rPr>
        <w:t>3ـ تحقيق الانتصار على الأعداء</w:t>
      </w:r>
      <w:r w:rsidRPr="009B3C8B">
        <w:rPr>
          <w:rFonts w:eastAsiaTheme="minorHAnsi" w:hint="cs"/>
          <w:sz w:val="27"/>
          <w:rtl/>
        </w:rPr>
        <w:t>: وهذا لا يمكن أن يكون إلاّ بتضافر الجهود، ورَصِّ الصفوف، ووحدة الموقف في القضايا الكبرى، التي تمسّ أمن المجتمع الإسلاميّ أو اقتصاده أو سياسته.</w:t>
      </w:r>
    </w:p>
    <w:p w:rsidR="002E72EF" w:rsidRPr="009B3C8B" w:rsidRDefault="002E72EF" w:rsidP="00D700CB">
      <w:pPr>
        <w:spacing w:line="430" w:lineRule="exact"/>
        <w:rPr>
          <w:rFonts w:eastAsiaTheme="minorHAnsi"/>
          <w:sz w:val="27"/>
          <w:rtl/>
          <w:lang w:bidi="ar-LB"/>
        </w:rPr>
      </w:pPr>
    </w:p>
    <w:p w:rsidR="002E72EF" w:rsidRPr="009B3C8B" w:rsidRDefault="002E72EF" w:rsidP="002E72EF">
      <w:pPr>
        <w:pStyle w:val="31"/>
        <w:rPr>
          <w:rFonts w:eastAsiaTheme="minorHAnsi"/>
          <w:color w:val="auto"/>
          <w:rtl/>
          <w:lang w:bidi="ar-LB"/>
        </w:rPr>
      </w:pPr>
      <w:bookmarkStart w:id="9" w:name="_Toc393704652"/>
      <w:bookmarkStart w:id="10" w:name="_Toc396757079"/>
      <w:r w:rsidRPr="009B3C8B">
        <w:rPr>
          <w:rFonts w:eastAsiaTheme="minorHAnsi" w:hint="cs"/>
          <w:color w:val="auto"/>
          <w:rtl/>
          <w:lang w:bidi="ar-LB"/>
        </w:rPr>
        <w:t>آليّات ترسيخ الوحدة الإسلاميّة</w:t>
      </w:r>
      <w:bookmarkEnd w:id="9"/>
      <w:bookmarkEnd w:id="10"/>
    </w:p>
    <w:p w:rsidR="002E72EF" w:rsidRPr="009B3C8B" w:rsidRDefault="002E72EF" w:rsidP="00DD205C">
      <w:pPr>
        <w:rPr>
          <w:rFonts w:eastAsiaTheme="minorHAnsi"/>
          <w:sz w:val="27"/>
          <w:rtl/>
        </w:rPr>
      </w:pPr>
      <w:r w:rsidRPr="009B3C8B">
        <w:rPr>
          <w:rFonts w:eastAsiaTheme="minorHAnsi" w:hint="cs"/>
          <w:sz w:val="27"/>
          <w:rtl/>
          <w:lang w:bidi="ar-LB"/>
        </w:rPr>
        <w:t xml:space="preserve">لا يكفي أن ندعو إلى الوحدة بين المسلمين، وأن نعقد المؤتمرات بين فترةٍ وأخرى؛ إذ </w:t>
      </w:r>
      <w:r w:rsidRPr="009B3C8B">
        <w:rPr>
          <w:rFonts w:eastAsiaTheme="minorHAnsi" w:hint="cs"/>
          <w:sz w:val="27"/>
          <w:rtl/>
        </w:rPr>
        <w:t>ليس للدعوة إلى الوحدة الإسلاميّة أيُّ قيمةٍ ما لم تَقْترِنْ بالعَمَل الجادّ لتحقيق هذه الوحدة في الخارج.</w:t>
      </w:r>
    </w:p>
    <w:p w:rsidR="002E72EF" w:rsidRPr="002743EF" w:rsidRDefault="002E72EF" w:rsidP="00DD205C">
      <w:pPr>
        <w:rPr>
          <w:rFonts w:eastAsiaTheme="minorHAnsi"/>
          <w:sz w:val="27"/>
          <w:rtl/>
        </w:rPr>
      </w:pPr>
      <w:r w:rsidRPr="009B3C8B">
        <w:rPr>
          <w:rFonts w:eastAsiaTheme="minorHAnsi" w:hint="cs"/>
          <w:sz w:val="27"/>
          <w:rtl/>
        </w:rPr>
        <w:t xml:space="preserve">ولأجل تحقيق وترسيخ هذه الوحدة لا بُدّ من اعتماد آليّاتٍ خاصّة، تتوفَّر على حظٍّ من النجاح في هذا المجال. </w:t>
      </w:r>
      <w:r w:rsidRPr="009B3C8B">
        <w:rPr>
          <w:rFonts w:eastAsiaTheme="minorHAnsi" w:hint="cs"/>
          <w:b/>
          <w:bCs/>
          <w:sz w:val="27"/>
          <w:rtl/>
        </w:rPr>
        <w:t>وأهمُّ تلك السُّبُل:</w:t>
      </w:r>
    </w:p>
    <w:p w:rsidR="002E72EF" w:rsidRPr="009B3C8B" w:rsidRDefault="002E72EF" w:rsidP="00DD205C">
      <w:pPr>
        <w:rPr>
          <w:rFonts w:eastAsiaTheme="minorHAnsi"/>
          <w:rtl/>
        </w:rPr>
      </w:pPr>
      <w:r w:rsidRPr="009B3C8B">
        <w:rPr>
          <w:rFonts w:eastAsiaTheme="minorHAnsi" w:hint="cs"/>
          <w:b/>
          <w:bCs/>
          <w:rtl/>
        </w:rPr>
        <w:t>1ـ تصفية القلوب والنوايا</w:t>
      </w:r>
      <w:r>
        <w:rPr>
          <w:rFonts w:eastAsiaTheme="minorHAnsi" w:hint="cs"/>
          <w:rtl/>
        </w:rPr>
        <w:t xml:space="preserve">: </w:t>
      </w:r>
      <w:r w:rsidRPr="009B3C8B">
        <w:rPr>
          <w:rFonts w:eastAsiaTheme="minorHAnsi" w:hint="cs"/>
          <w:sz w:val="27"/>
          <w:rtl/>
        </w:rPr>
        <w:t xml:space="preserve">فمن المهمّ جدّاً أن يُحْسِن المسلمون الظنّ ببعضهم، ويحمل كلٌّ منهم أخاه على مئات المحامل الحَسَنة، التي لن يفقدها في كلّ موقفٍ وحَدَثٍ. </w:t>
      </w:r>
    </w:p>
    <w:p w:rsidR="002E72EF" w:rsidRPr="009B3C8B" w:rsidRDefault="002E72EF" w:rsidP="00DD205C">
      <w:pPr>
        <w:rPr>
          <w:rFonts w:eastAsiaTheme="minorHAnsi"/>
          <w:sz w:val="27"/>
          <w:rtl/>
          <w:lang w:bidi="ar-LB"/>
        </w:rPr>
      </w:pPr>
      <w:r w:rsidRPr="009B3C8B">
        <w:rPr>
          <w:rFonts w:eastAsiaTheme="minorHAnsi" w:hint="cs"/>
          <w:sz w:val="27"/>
          <w:rtl/>
        </w:rPr>
        <w:t>ومن المفيد جدّاً في مجال ترسيخ الوحدة الإسلاميّة أن يتحلَّى المسلمُ بصفة أن يُحِبَّ لأخيه ما يُحبُّ لنفسه، ويكره له ما يكره لها. فكما يكره كلُّ إنسانٍ أن يفتري عليه الآخرون ما لم يقُلْه أو يعمَلْه فعليه أن يتحرّى كاملَ الدِّقّة في ما ينقله عن الآخرين من قَوْلٍ أو فِعْل؛ كي لا يقع، ولو من حيث لا يريد؛ بسبب التعصُّب والرغبة في التشفّي وردِّ العدوان إذا كان، في محذور النَّقْل الخاطئ أو المجتزأ</w:t>
      </w:r>
      <w:r w:rsidRPr="009B3C8B">
        <w:rPr>
          <w:rFonts w:eastAsiaTheme="minorHAnsi" w:hint="cs"/>
          <w:sz w:val="27"/>
          <w:rtl/>
          <w:lang w:bidi="ar-LB"/>
        </w:rPr>
        <w:t>. وهو ما يزيد الشَّرْخ، ويعمِّق الهُوّة، ويثير البلابل والقلاقل، ورُبَما كانت فتنةٌ من كلمةٍ. فمَنْ يتحمَّل المسؤوليّة؟!</w:t>
      </w:r>
    </w:p>
    <w:p w:rsidR="002E72EF" w:rsidRPr="009B3C8B" w:rsidRDefault="002E72EF" w:rsidP="00DD205C">
      <w:pPr>
        <w:rPr>
          <w:rFonts w:eastAsiaTheme="minorHAnsi"/>
          <w:sz w:val="27"/>
          <w:rtl/>
        </w:rPr>
      </w:pPr>
      <w:r w:rsidRPr="009B3C8B">
        <w:rPr>
          <w:rFonts w:eastAsiaTheme="minorHAnsi" w:hint="cs"/>
          <w:b/>
          <w:bCs/>
          <w:rtl/>
          <w:lang w:bidi="ar-LB"/>
        </w:rPr>
        <w:t>2ـ العودة إلى ضوابط وحدود القرآن</w:t>
      </w:r>
      <w:r>
        <w:rPr>
          <w:rFonts w:eastAsiaTheme="minorHAnsi" w:hint="cs"/>
          <w:rtl/>
          <w:lang w:bidi="ar-LB"/>
        </w:rPr>
        <w:t xml:space="preserve">: </w:t>
      </w:r>
      <w:r w:rsidRPr="00D97435">
        <w:rPr>
          <w:rFonts w:eastAsiaTheme="minorHAnsi" w:hint="cs"/>
          <w:sz w:val="27"/>
          <w:rtl/>
        </w:rPr>
        <w:t>ف</w:t>
      </w:r>
      <w:r w:rsidRPr="009B3C8B">
        <w:rPr>
          <w:rFonts w:eastAsiaTheme="minorHAnsi" w:hint="cs"/>
          <w:sz w:val="27"/>
          <w:rtl/>
        </w:rPr>
        <w:t xml:space="preserve">عندما دعا القرآن الكريم للحوار بين الأديان، وهو أوّل مَنْ دعا إلى ذلك ـ وللأسف فقد انحرف اليوم عن مساره </w:t>
      </w:r>
      <w:r>
        <w:rPr>
          <w:rFonts w:eastAsiaTheme="minorHAnsi" w:hint="cs"/>
          <w:sz w:val="27"/>
          <w:rtl/>
        </w:rPr>
        <w:t xml:space="preserve"> </w:t>
      </w:r>
      <w:r w:rsidRPr="009B3C8B">
        <w:rPr>
          <w:rFonts w:eastAsiaTheme="minorHAnsi" w:hint="cs"/>
          <w:sz w:val="27"/>
          <w:rtl/>
        </w:rPr>
        <w:t xml:space="preserve">الصحيح ـ، وضع ضوابطَ لهذا الحوار، ومنع من تجاوزها، حيث قال: </w:t>
      </w:r>
      <w:r w:rsidRPr="009B3C8B">
        <w:rPr>
          <w:rFonts w:ascii="Mosawi" w:hAnsi="Mosawi" w:cs="Mosawi"/>
          <w:sz w:val="24"/>
          <w:szCs w:val="24"/>
          <w:rtl/>
        </w:rPr>
        <w:t>﴿</w:t>
      </w:r>
      <w:r w:rsidRPr="009B3C8B">
        <w:rPr>
          <w:rFonts w:eastAsiaTheme="minorHAnsi"/>
          <w:b/>
          <w:bCs/>
          <w:sz w:val="27"/>
          <w:rtl/>
        </w:rPr>
        <w:t>قُلْ يَا أَهْلَ الْكِتَابِ تَعَالَوْا إِلَى كَلِمَةٍ سَوَاءٍ بَيْنَنَا وَبَيْنَكُمْ أَ</w:t>
      </w:r>
      <w:r w:rsidRPr="009B3C8B">
        <w:rPr>
          <w:rFonts w:eastAsiaTheme="minorHAnsi" w:hint="cs"/>
          <w:b/>
          <w:bCs/>
          <w:sz w:val="27"/>
          <w:rtl/>
        </w:rPr>
        <w:t xml:space="preserve">نْ </w:t>
      </w:r>
      <w:r w:rsidRPr="009B3C8B">
        <w:rPr>
          <w:rFonts w:eastAsiaTheme="minorHAnsi"/>
          <w:b/>
          <w:bCs/>
          <w:sz w:val="27"/>
          <w:rtl/>
        </w:rPr>
        <w:t>ل</w:t>
      </w:r>
      <w:r w:rsidRPr="009B3C8B">
        <w:rPr>
          <w:rFonts w:eastAsiaTheme="minorHAnsi" w:hint="cs"/>
          <w:b/>
          <w:bCs/>
          <w:sz w:val="27"/>
          <w:rtl/>
        </w:rPr>
        <w:t>ا</w:t>
      </w:r>
      <w:r>
        <w:rPr>
          <w:rFonts w:eastAsiaTheme="minorHAnsi"/>
          <w:b/>
          <w:bCs/>
          <w:sz w:val="27"/>
          <w:rtl/>
        </w:rPr>
        <w:t xml:space="preserve"> نَعْبُدَ إِل</w:t>
      </w:r>
      <w:r w:rsidRPr="009B3C8B">
        <w:rPr>
          <w:rFonts w:eastAsiaTheme="minorHAnsi"/>
          <w:b/>
          <w:bCs/>
          <w:sz w:val="27"/>
          <w:rtl/>
        </w:rPr>
        <w:t>ا</w:t>
      </w:r>
      <w:r>
        <w:rPr>
          <w:rFonts w:eastAsiaTheme="minorHAnsi" w:hint="cs"/>
          <w:b/>
          <w:bCs/>
          <w:sz w:val="27"/>
          <w:rtl/>
        </w:rPr>
        <w:t>َّ</w:t>
      </w:r>
      <w:r w:rsidRPr="009B3C8B">
        <w:rPr>
          <w:rFonts w:eastAsiaTheme="minorHAnsi"/>
          <w:b/>
          <w:bCs/>
          <w:sz w:val="27"/>
          <w:rtl/>
        </w:rPr>
        <w:t xml:space="preserve"> اللهَ وَلاَ نُشْرِكَ بِهِ شَيْئاً وَلاَ يَتَّخِذَ بَعْضُنَا </w:t>
      </w:r>
      <w:r w:rsidRPr="009B3C8B">
        <w:rPr>
          <w:rFonts w:eastAsiaTheme="minorHAnsi"/>
          <w:b/>
          <w:bCs/>
          <w:sz w:val="27"/>
          <w:rtl/>
        </w:rPr>
        <w:lastRenderedPageBreak/>
        <w:t>بَعْضاً أَرْبَاباً مِنْ دُونِ اللهِ فَإِنْ تَوَلَّوْا فَقُولُوا اشْهَدُوا بِأَنَّا مُسْلِمُونَ</w:t>
      </w:r>
      <w:r w:rsidRPr="009B3C8B">
        <w:rPr>
          <w:rFonts w:ascii="Mosawi" w:hAnsi="Mosawi" w:cs="Mosawi"/>
          <w:sz w:val="24"/>
          <w:szCs w:val="24"/>
          <w:rtl/>
        </w:rPr>
        <w:t>﴾</w:t>
      </w:r>
      <w:r w:rsidRPr="009B3C8B">
        <w:rPr>
          <w:rFonts w:eastAsiaTheme="minorHAnsi" w:hint="cs"/>
          <w:sz w:val="27"/>
          <w:rtl/>
        </w:rPr>
        <w:t xml:space="preserve"> </w:t>
      </w:r>
      <w:r w:rsidRPr="009B3C8B">
        <w:rPr>
          <w:rFonts w:eastAsiaTheme="minorHAnsi"/>
          <w:sz w:val="27"/>
          <w:rtl/>
        </w:rPr>
        <w:t>(</w:t>
      </w:r>
      <w:r w:rsidRPr="009B3C8B">
        <w:rPr>
          <w:rFonts w:eastAsiaTheme="minorHAnsi" w:hint="cs"/>
          <w:sz w:val="27"/>
          <w:rtl/>
        </w:rPr>
        <w:t xml:space="preserve">آل عمران: </w:t>
      </w:r>
      <w:r w:rsidRPr="009B3C8B">
        <w:rPr>
          <w:rFonts w:eastAsiaTheme="minorHAnsi"/>
          <w:sz w:val="27"/>
          <w:rtl/>
        </w:rPr>
        <w:t>64)</w:t>
      </w:r>
      <w:r w:rsidRPr="009B3C8B">
        <w:rPr>
          <w:rFonts w:eastAsiaTheme="minorHAnsi" w:hint="cs"/>
          <w:sz w:val="27"/>
          <w:rtl/>
        </w:rPr>
        <w:t xml:space="preserve">، وقال أيضاً: </w:t>
      </w:r>
      <w:r w:rsidRPr="009B3C8B">
        <w:rPr>
          <w:rFonts w:ascii="Mosawi" w:hAnsi="Mosawi" w:cs="Mosawi"/>
          <w:sz w:val="24"/>
          <w:szCs w:val="24"/>
          <w:rtl/>
        </w:rPr>
        <w:t>﴿</w:t>
      </w:r>
      <w:r w:rsidRPr="009B3C8B">
        <w:rPr>
          <w:rFonts w:eastAsiaTheme="minorHAnsi"/>
          <w:b/>
          <w:bCs/>
          <w:sz w:val="27"/>
          <w:rtl/>
        </w:rPr>
        <w:t>وَلاَ تُجَادِلُوا أَهْلَ الْكِتَابِ إِلَّا بِالَّتِي هِيَ أَحْسَنُ إِلا</w:t>
      </w:r>
      <w:r w:rsidRPr="009B3C8B">
        <w:rPr>
          <w:rFonts w:eastAsiaTheme="minorHAnsi" w:hint="cs"/>
          <w:b/>
          <w:bCs/>
          <w:sz w:val="27"/>
          <w:rtl/>
        </w:rPr>
        <w:t>َّ</w:t>
      </w:r>
      <w:r w:rsidRPr="009B3C8B">
        <w:rPr>
          <w:rFonts w:eastAsiaTheme="minorHAnsi"/>
          <w:b/>
          <w:bCs/>
          <w:sz w:val="27"/>
          <w:rtl/>
        </w:rPr>
        <w:t xml:space="preserve"> الَّذِينَ ظَلَمُوا مِنْهُمْ وَقُولُوا آمَنَّا بِالَّذِي أُنْزِلَ إِلَيْنَا وَأُنْزِلَ إِلَيْكُمْ وَإِلَهُنَا وَإِلَهُكُمْ وَاحِدٌ وَنَحْنُ لَهُ مُسْلِمُونَ</w:t>
      </w:r>
      <w:r w:rsidRPr="009B3C8B">
        <w:rPr>
          <w:rFonts w:ascii="Mosawi" w:hAnsi="Mosawi" w:cs="Mosawi"/>
          <w:sz w:val="24"/>
          <w:szCs w:val="24"/>
          <w:rtl/>
        </w:rPr>
        <w:t>﴾</w:t>
      </w:r>
      <w:r w:rsidRPr="009B3C8B">
        <w:rPr>
          <w:rFonts w:eastAsiaTheme="minorHAnsi" w:hint="cs"/>
          <w:sz w:val="27"/>
          <w:rtl/>
        </w:rPr>
        <w:t xml:space="preserve"> </w:t>
      </w:r>
      <w:r w:rsidRPr="009B3C8B">
        <w:rPr>
          <w:rFonts w:eastAsiaTheme="minorHAnsi"/>
          <w:sz w:val="27"/>
          <w:rtl/>
        </w:rPr>
        <w:t>(</w:t>
      </w:r>
      <w:r w:rsidRPr="009B3C8B">
        <w:rPr>
          <w:rFonts w:eastAsiaTheme="minorHAnsi" w:hint="cs"/>
          <w:sz w:val="27"/>
          <w:rtl/>
        </w:rPr>
        <w:t xml:space="preserve">العنكبوت: </w:t>
      </w:r>
      <w:r w:rsidRPr="009B3C8B">
        <w:rPr>
          <w:rFonts w:eastAsiaTheme="minorHAnsi"/>
          <w:sz w:val="27"/>
          <w:rtl/>
        </w:rPr>
        <w:t>46)</w:t>
      </w:r>
      <w:r w:rsidRPr="009B3C8B">
        <w:rPr>
          <w:rFonts w:eastAsiaTheme="minorHAnsi" w:hint="cs"/>
          <w:sz w:val="27"/>
          <w:rtl/>
        </w:rPr>
        <w:t>.</w:t>
      </w:r>
    </w:p>
    <w:p w:rsidR="002E72EF" w:rsidRPr="009B3C8B" w:rsidRDefault="002E72EF" w:rsidP="00DD205C">
      <w:pPr>
        <w:rPr>
          <w:rFonts w:eastAsiaTheme="minorHAnsi"/>
          <w:sz w:val="27"/>
          <w:rtl/>
        </w:rPr>
      </w:pPr>
      <w:r w:rsidRPr="009B3C8B">
        <w:rPr>
          <w:rFonts w:eastAsiaTheme="minorHAnsi" w:hint="cs"/>
          <w:sz w:val="27"/>
          <w:rtl/>
        </w:rPr>
        <w:t xml:space="preserve">فلا بُدّ من الالتزام بهذه الضوابط، في حوار الأديان، وحوار المذاهب، وحوار الفِرَق والمِلَل والنِّحَل. </w:t>
      </w:r>
    </w:p>
    <w:p w:rsidR="00A54D8E" w:rsidRDefault="002E72EF" w:rsidP="00DD205C">
      <w:pPr>
        <w:rPr>
          <w:rtl/>
        </w:rPr>
      </w:pPr>
      <w:r w:rsidRPr="002743EF">
        <w:rPr>
          <w:rFonts w:eastAsiaTheme="minorHAnsi" w:hint="cs"/>
          <w:b/>
          <w:bCs/>
          <w:rtl/>
        </w:rPr>
        <w:t>3ـ إظهار المشتركات ومساحات التوافق</w:t>
      </w:r>
      <w:r>
        <w:rPr>
          <w:rFonts w:eastAsiaTheme="minorHAnsi" w:hint="cs"/>
          <w:rtl/>
        </w:rPr>
        <w:t xml:space="preserve">: </w:t>
      </w:r>
      <w:r w:rsidRPr="009B3C8B">
        <w:rPr>
          <w:rFonts w:eastAsiaTheme="minorHAnsi" w:hint="cs"/>
          <w:sz w:val="27"/>
          <w:rtl/>
        </w:rPr>
        <w:t>وهي كثيرةٌ جدّاً، فلا تقاربها ـ عدداً وسعةً ـ مواردُ الاختلاف، ولكنّ ذلك يحتاج إلى وَعْيٍ رساليٍّ، وبصيرةٍ إيمانيّةٍ، وتخطيطٍ هادفٍ، وجُهْدٍ كبيرٍ، ولا سيَّما في المجالات العلميّة، كالأبحاث والدراسات المقارنة، التي تسلِّط الضوء بوضوحٍ على مساحات التوافق في العقيدة والشريعة، والجذور المشتركة لكثيرٍ من القواعد والمبادئ التي يؤمن بها هذا الفريق أو ذاك.</w:t>
      </w:r>
    </w:p>
    <w:p w:rsidR="00DD205C" w:rsidRPr="00F656DD" w:rsidRDefault="00DD205C" w:rsidP="00DD205C">
      <w:pPr>
        <w:rPr>
          <w:rtl/>
          <w:lang w:bidi="ar-LB"/>
        </w:rPr>
      </w:pPr>
      <w:r w:rsidRPr="00F656DD">
        <w:rPr>
          <w:rFonts w:hint="cs"/>
          <w:b/>
          <w:bCs/>
          <w:rtl/>
          <w:lang w:bidi="ar-LB"/>
        </w:rPr>
        <w:t>وفي هذا السياق لا بُدّ من التنبيه والتحذير من أبواق الفتنة</w:t>
      </w:r>
      <w:r w:rsidRPr="00F656DD">
        <w:rPr>
          <w:rFonts w:hint="cs"/>
          <w:rtl/>
          <w:lang w:bidi="ar-LB"/>
        </w:rPr>
        <w:t>، سواءٌ كانوا أشخاصاً أو جمعيّاتٍ أو إذاعاتٍ أو قنواتٍ تلفزيونيّةً، الذين لا هَمَّ لهم، بل هي وظيفتُهم الحرام وغير الشرعيّة، التي يتقاضَوْن الأَجْر عليها، لإثارة النَّعَرات بين السُّنَّة والشيعة، وبين هذا المَرْجِع وذاك، وبين المسلمين والمسيحيّين، وبين الشَّرْق والغَرْب، وبين العَرَب والفُرْس، وما إلى ذلك.</w:t>
      </w:r>
    </w:p>
    <w:p w:rsidR="00DD205C" w:rsidRPr="006571AC" w:rsidRDefault="00DD205C" w:rsidP="00DD205C">
      <w:pPr>
        <w:rPr>
          <w:rtl/>
          <w:lang w:bidi="ar-LB"/>
        </w:rPr>
      </w:pPr>
      <w:r w:rsidRPr="00F656DD">
        <w:rPr>
          <w:rFonts w:hint="cs"/>
          <w:rtl/>
          <w:lang w:bidi="ar-LB"/>
        </w:rPr>
        <w:t xml:space="preserve">إنّهم أبواقُ الفتنة، إنّهم أعوانُ إبليس، فلا يجوز الاستماع إليهم، فـ </w:t>
      </w:r>
      <w:r w:rsidRPr="00C806D9">
        <w:rPr>
          <w:sz w:val="24"/>
          <w:szCs w:val="24"/>
          <w:rtl/>
          <w:lang w:bidi="ar-LB"/>
        </w:rPr>
        <w:t>«</w:t>
      </w:r>
      <w:r w:rsidRPr="00F656DD">
        <w:rPr>
          <w:rFonts w:hint="cs"/>
          <w:rtl/>
          <w:lang w:bidi="ar-LB"/>
        </w:rPr>
        <w:t>مَنْ</w:t>
      </w:r>
      <w:r w:rsidRPr="00F656DD">
        <w:rPr>
          <w:rtl/>
          <w:lang w:bidi="ar-LB"/>
        </w:rPr>
        <w:t xml:space="preserve"> </w:t>
      </w:r>
      <w:r w:rsidRPr="00F656DD">
        <w:rPr>
          <w:rFonts w:hint="cs"/>
          <w:rtl/>
          <w:lang w:bidi="ar-LB"/>
        </w:rPr>
        <w:t>أَصْغى</w:t>
      </w:r>
      <w:r w:rsidRPr="00F656DD">
        <w:rPr>
          <w:rtl/>
          <w:lang w:bidi="ar-LB"/>
        </w:rPr>
        <w:t xml:space="preserve"> </w:t>
      </w:r>
      <w:r w:rsidRPr="00F656DD">
        <w:rPr>
          <w:rFonts w:hint="cs"/>
          <w:rtl/>
          <w:lang w:bidi="ar-LB"/>
        </w:rPr>
        <w:t>إلى</w:t>
      </w:r>
      <w:r w:rsidRPr="00F656DD">
        <w:rPr>
          <w:rtl/>
          <w:lang w:bidi="ar-LB"/>
        </w:rPr>
        <w:t xml:space="preserve"> </w:t>
      </w:r>
      <w:r w:rsidRPr="00F656DD">
        <w:rPr>
          <w:rFonts w:hint="cs"/>
          <w:rtl/>
          <w:lang w:bidi="ar-LB"/>
        </w:rPr>
        <w:t>ناطقٍ</w:t>
      </w:r>
      <w:r w:rsidRPr="00F656DD">
        <w:rPr>
          <w:rtl/>
          <w:lang w:bidi="ar-LB"/>
        </w:rPr>
        <w:t xml:space="preserve"> </w:t>
      </w:r>
      <w:r w:rsidRPr="00F656DD">
        <w:rPr>
          <w:rFonts w:hint="cs"/>
          <w:rtl/>
          <w:lang w:bidi="ar-LB"/>
        </w:rPr>
        <w:t>فقد</w:t>
      </w:r>
      <w:r w:rsidRPr="00F656DD">
        <w:rPr>
          <w:rtl/>
          <w:lang w:bidi="ar-LB"/>
        </w:rPr>
        <w:t xml:space="preserve"> </w:t>
      </w:r>
      <w:r w:rsidRPr="00F656DD">
        <w:rPr>
          <w:rFonts w:hint="cs"/>
          <w:rtl/>
          <w:lang w:bidi="ar-LB"/>
        </w:rPr>
        <w:t>عَبَدَه؛</w:t>
      </w:r>
      <w:r w:rsidRPr="00F656DD">
        <w:rPr>
          <w:rtl/>
          <w:lang w:bidi="ar-LB"/>
        </w:rPr>
        <w:t xml:space="preserve"> </w:t>
      </w:r>
      <w:r w:rsidRPr="00F656DD">
        <w:rPr>
          <w:rFonts w:hint="cs"/>
          <w:rtl/>
          <w:lang w:bidi="ar-LB"/>
        </w:rPr>
        <w:t>فإنْ</w:t>
      </w:r>
      <w:r w:rsidRPr="00F656DD">
        <w:rPr>
          <w:rtl/>
          <w:lang w:bidi="ar-LB"/>
        </w:rPr>
        <w:t xml:space="preserve"> </w:t>
      </w:r>
      <w:r w:rsidRPr="00F656DD">
        <w:rPr>
          <w:rFonts w:hint="cs"/>
          <w:rtl/>
          <w:lang w:bidi="ar-LB"/>
        </w:rPr>
        <w:t>كان</w:t>
      </w:r>
      <w:r w:rsidRPr="00F656DD">
        <w:rPr>
          <w:rtl/>
          <w:lang w:bidi="ar-LB"/>
        </w:rPr>
        <w:t xml:space="preserve"> </w:t>
      </w:r>
      <w:r w:rsidRPr="00F656DD">
        <w:rPr>
          <w:rFonts w:hint="cs"/>
          <w:rtl/>
          <w:lang w:bidi="ar-LB"/>
        </w:rPr>
        <w:t>الناطقُ</w:t>
      </w:r>
      <w:r w:rsidRPr="00F656DD">
        <w:rPr>
          <w:rtl/>
          <w:lang w:bidi="ar-LB"/>
        </w:rPr>
        <w:t xml:space="preserve"> </w:t>
      </w:r>
      <w:r w:rsidRPr="00F656DD">
        <w:rPr>
          <w:rFonts w:hint="cs"/>
          <w:rtl/>
          <w:lang w:bidi="ar-LB"/>
        </w:rPr>
        <w:t>يُؤَدّي</w:t>
      </w:r>
      <w:r w:rsidRPr="00F656DD">
        <w:rPr>
          <w:rtl/>
          <w:lang w:bidi="ar-LB"/>
        </w:rPr>
        <w:t xml:space="preserve"> </w:t>
      </w:r>
      <w:r w:rsidRPr="00F656DD">
        <w:rPr>
          <w:rFonts w:hint="cs"/>
          <w:rtl/>
          <w:lang w:bidi="ar-LB"/>
        </w:rPr>
        <w:t>عن</w:t>
      </w:r>
      <w:r w:rsidRPr="00F656DD">
        <w:rPr>
          <w:rtl/>
          <w:lang w:bidi="ar-LB"/>
        </w:rPr>
        <w:t xml:space="preserve"> </w:t>
      </w:r>
      <w:r w:rsidRPr="00F656DD">
        <w:rPr>
          <w:rFonts w:hint="cs"/>
          <w:rtl/>
          <w:lang w:bidi="ar-LB"/>
        </w:rPr>
        <w:t>الله</w:t>
      </w:r>
      <w:r w:rsidRPr="00F656DD">
        <w:rPr>
          <w:rtl/>
          <w:lang w:bidi="ar-LB"/>
        </w:rPr>
        <w:t xml:space="preserve"> </w:t>
      </w:r>
      <w:r w:rsidRPr="00F656DD">
        <w:rPr>
          <w:rFonts w:hint="cs"/>
          <w:rtl/>
          <w:lang w:bidi="ar-LB"/>
        </w:rPr>
        <w:t>عزَّ</w:t>
      </w:r>
      <w:r w:rsidRPr="00F656DD">
        <w:rPr>
          <w:rtl/>
          <w:lang w:bidi="ar-LB"/>
        </w:rPr>
        <w:t xml:space="preserve"> </w:t>
      </w:r>
      <w:r w:rsidRPr="00F656DD">
        <w:rPr>
          <w:rFonts w:hint="cs"/>
          <w:rtl/>
          <w:lang w:bidi="ar-LB"/>
        </w:rPr>
        <w:t>وجلَّ</w:t>
      </w:r>
      <w:r w:rsidRPr="00F656DD">
        <w:rPr>
          <w:rtl/>
          <w:lang w:bidi="ar-LB"/>
        </w:rPr>
        <w:t xml:space="preserve"> </w:t>
      </w:r>
      <w:r w:rsidRPr="00F656DD">
        <w:rPr>
          <w:rFonts w:hint="cs"/>
          <w:rtl/>
          <w:lang w:bidi="ar-LB"/>
        </w:rPr>
        <w:t>فقد</w:t>
      </w:r>
      <w:r w:rsidRPr="00F656DD">
        <w:rPr>
          <w:rtl/>
          <w:lang w:bidi="ar-LB"/>
        </w:rPr>
        <w:t xml:space="preserve"> </w:t>
      </w:r>
      <w:r w:rsidRPr="00F656DD">
        <w:rPr>
          <w:rFonts w:hint="cs"/>
          <w:rtl/>
          <w:lang w:bidi="ar-LB"/>
        </w:rPr>
        <w:t>عَبَدَ</w:t>
      </w:r>
      <w:r w:rsidRPr="00F656DD">
        <w:rPr>
          <w:rtl/>
          <w:lang w:bidi="ar-LB"/>
        </w:rPr>
        <w:t xml:space="preserve"> </w:t>
      </w:r>
      <w:r w:rsidRPr="00F656DD">
        <w:rPr>
          <w:rFonts w:hint="cs"/>
          <w:rtl/>
          <w:lang w:bidi="ar-LB"/>
        </w:rPr>
        <w:t>الله؛</w:t>
      </w:r>
      <w:r w:rsidRPr="00F656DD">
        <w:rPr>
          <w:rtl/>
          <w:lang w:bidi="ar-LB"/>
        </w:rPr>
        <w:t xml:space="preserve"> </w:t>
      </w:r>
      <w:r w:rsidRPr="00F656DD">
        <w:rPr>
          <w:rFonts w:hint="cs"/>
          <w:rtl/>
          <w:lang w:bidi="ar-LB"/>
        </w:rPr>
        <w:t>وإنْ</w:t>
      </w:r>
      <w:r w:rsidRPr="00F656DD">
        <w:rPr>
          <w:rtl/>
          <w:lang w:bidi="ar-LB"/>
        </w:rPr>
        <w:t xml:space="preserve"> </w:t>
      </w:r>
      <w:r w:rsidRPr="00F656DD">
        <w:rPr>
          <w:rFonts w:hint="cs"/>
          <w:rtl/>
          <w:lang w:bidi="ar-LB"/>
        </w:rPr>
        <w:t>كان</w:t>
      </w:r>
      <w:r w:rsidRPr="00F656DD">
        <w:rPr>
          <w:rtl/>
          <w:lang w:bidi="ar-LB"/>
        </w:rPr>
        <w:t xml:space="preserve"> </w:t>
      </w:r>
      <w:r w:rsidRPr="00F656DD">
        <w:rPr>
          <w:rFonts w:hint="cs"/>
          <w:rtl/>
          <w:lang w:bidi="ar-LB"/>
        </w:rPr>
        <w:t>الناطقُ</w:t>
      </w:r>
      <w:r w:rsidRPr="00F656DD">
        <w:rPr>
          <w:rtl/>
          <w:lang w:bidi="ar-LB"/>
        </w:rPr>
        <w:t xml:space="preserve"> </w:t>
      </w:r>
      <w:r w:rsidRPr="00F656DD">
        <w:rPr>
          <w:rFonts w:hint="cs"/>
          <w:rtl/>
          <w:lang w:bidi="ar-LB"/>
        </w:rPr>
        <w:t>يُؤَدّي</w:t>
      </w:r>
      <w:r w:rsidRPr="00F656DD">
        <w:rPr>
          <w:rtl/>
          <w:lang w:bidi="ar-LB"/>
        </w:rPr>
        <w:t xml:space="preserve"> </w:t>
      </w:r>
      <w:r w:rsidRPr="00F656DD">
        <w:rPr>
          <w:rFonts w:hint="cs"/>
          <w:rtl/>
          <w:lang w:bidi="ar-LB"/>
        </w:rPr>
        <w:t>عن</w:t>
      </w:r>
      <w:r w:rsidRPr="00F656DD">
        <w:rPr>
          <w:rtl/>
          <w:lang w:bidi="ar-LB"/>
        </w:rPr>
        <w:t xml:space="preserve"> </w:t>
      </w:r>
      <w:r w:rsidRPr="00F656DD">
        <w:rPr>
          <w:rFonts w:hint="cs"/>
          <w:rtl/>
          <w:lang w:bidi="ar-LB"/>
        </w:rPr>
        <w:t>الشيطان</w:t>
      </w:r>
      <w:r w:rsidRPr="00F656DD">
        <w:rPr>
          <w:rtl/>
          <w:lang w:bidi="ar-LB"/>
        </w:rPr>
        <w:t xml:space="preserve"> </w:t>
      </w:r>
      <w:r w:rsidRPr="00F656DD">
        <w:rPr>
          <w:rFonts w:hint="cs"/>
          <w:rtl/>
          <w:lang w:bidi="ar-LB"/>
        </w:rPr>
        <w:t>فقد</w:t>
      </w:r>
      <w:r w:rsidRPr="00F656DD">
        <w:rPr>
          <w:rtl/>
          <w:lang w:bidi="ar-LB"/>
        </w:rPr>
        <w:t xml:space="preserve"> </w:t>
      </w:r>
      <w:r w:rsidRPr="00F656DD">
        <w:rPr>
          <w:rFonts w:hint="cs"/>
          <w:rtl/>
          <w:lang w:bidi="ar-LB"/>
        </w:rPr>
        <w:t>عَبَدَ</w:t>
      </w:r>
      <w:r w:rsidRPr="00F656DD">
        <w:rPr>
          <w:rtl/>
          <w:lang w:bidi="ar-LB"/>
        </w:rPr>
        <w:t xml:space="preserve"> </w:t>
      </w:r>
      <w:r w:rsidRPr="00F656DD">
        <w:rPr>
          <w:rFonts w:hint="cs"/>
          <w:rtl/>
          <w:lang w:bidi="ar-LB"/>
        </w:rPr>
        <w:t>الشيطان</w:t>
      </w:r>
      <w:r w:rsidRPr="00C806D9">
        <w:rPr>
          <w:sz w:val="24"/>
          <w:szCs w:val="24"/>
          <w:rtl/>
          <w:lang w:bidi="ar-LB"/>
        </w:rPr>
        <w:t>»</w:t>
      </w:r>
      <w:r w:rsidRPr="00C806D9">
        <w:rPr>
          <w:rFonts w:hint="cs"/>
          <w:rtl/>
          <w:lang w:bidi="ar-LB"/>
        </w:rPr>
        <w:t xml:space="preserve"> </w:t>
      </w:r>
      <w:r>
        <w:rPr>
          <w:rFonts w:hint="cs"/>
          <w:rtl/>
          <w:lang w:bidi="ar-LB"/>
        </w:rPr>
        <w:t>(</w:t>
      </w:r>
      <w:r w:rsidRPr="00595542">
        <w:rPr>
          <w:rFonts w:hint="cs"/>
          <w:rtl/>
          <w:lang w:bidi="ar-LB"/>
        </w:rPr>
        <w:t>الكليني</w:t>
      </w:r>
      <w:r>
        <w:rPr>
          <w:rFonts w:hint="cs"/>
          <w:rtl/>
          <w:lang w:bidi="ar-LB"/>
        </w:rPr>
        <w:t>،</w:t>
      </w:r>
      <w:r w:rsidRPr="00595542">
        <w:rPr>
          <w:rFonts w:hint="cs"/>
          <w:rtl/>
          <w:lang w:bidi="ar-LB"/>
        </w:rPr>
        <w:t xml:space="preserve"> الكافي 6: 434</w:t>
      </w:r>
      <w:r>
        <w:rPr>
          <w:rFonts w:hint="cs"/>
          <w:rtl/>
          <w:lang w:bidi="ar-LB"/>
        </w:rPr>
        <w:t>، حديث الإمام الجواد</w:t>
      </w:r>
      <w:r w:rsidRPr="00C806D9">
        <w:rPr>
          <w:rFonts w:ascii="Mosawi" w:hAnsi="Mosawi" w:cs="Mosawi"/>
          <w:sz w:val="22"/>
          <w:szCs w:val="22"/>
          <w:rtl/>
        </w:rPr>
        <w:t>×</w:t>
      </w:r>
      <w:r>
        <w:rPr>
          <w:rFonts w:hint="cs"/>
          <w:rtl/>
          <w:lang w:bidi="ar-LB"/>
        </w:rPr>
        <w:t>)</w:t>
      </w:r>
      <w:r w:rsidRPr="00F656DD">
        <w:rPr>
          <w:rtl/>
          <w:lang w:bidi="ar-LB"/>
        </w:rPr>
        <w:t>.</w:t>
      </w:r>
    </w:p>
    <w:p w:rsidR="007E3E4C" w:rsidRPr="006571AC" w:rsidRDefault="007E3E4C" w:rsidP="00DD205C">
      <w:pPr>
        <w:pStyle w:val="10"/>
        <w:spacing w:line="400" w:lineRule="exact"/>
        <w:rPr>
          <w:rtl/>
        </w:rPr>
        <w:sectPr w:rsidR="007E3E4C" w:rsidRPr="006571AC" w:rsidSect="00E85587">
          <w:footerReference w:type="even" r:id="rId19"/>
          <w:footerReference w:type="default" r:id="rId20"/>
          <w:endnotePr>
            <w:numFmt w:val="decimal"/>
            <w:numRestart w:val="eachSect"/>
          </w:endnotePr>
          <w:type w:val="continuous"/>
          <w:pgSz w:w="11907" w:h="16840" w:code="9"/>
          <w:pgMar w:top="2637" w:right="2438" w:bottom="3686" w:left="2438" w:header="2268" w:footer="3119" w:gutter="0"/>
          <w:cols w:space="720"/>
          <w:titlePg/>
          <w:docGrid w:linePitch="360"/>
        </w:sectPr>
      </w:pPr>
    </w:p>
    <w:p w:rsidR="007E3E4C" w:rsidRPr="006571AC" w:rsidRDefault="00A54D8E" w:rsidP="007E3E4C">
      <w:r w:rsidRPr="006571AC">
        <w:rPr>
          <w:rtl/>
        </w:rPr>
        <w:lastRenderedPageBreak/>
        <w:br w:type="page"/>
      </w:r>
    </w:p>
    <w:p w:rsidR="002C6212" w:rsidRPr="006571AC" w:rsidRDefault="002C6212" w:rsidP="007E3E4C">
      <w:pPr>
        <w:rPr>
          <w:rtl/>
        </w:rPr>
        <w:sectPr w:rsidR="002C6212" w:rsidRPr="006571AC" w:rsidSect="00E85587">
          <w:headerReference w:type="even" r:id="rId21"/>
          <w:headerReference w:type="default" r:id="rId22"/>
          <w:footerReference w:type="even" r:id="rId23"/>
          <w:footerReference w:type="default" r:id="rId24"/>
          <w:headerReference w:type="first" r:id="rId25"/>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6571AC" w:rsidRDefault="0032309E" w:rsidP="00CF1087">
      <w:pPr>
        <w:spacing w:line="280" w:lineRule="exact"/>
        <w:rPr>
          <w:rtl/>
        </w:rPr>
      </w:pPr>
    </w:p>
    <w:p w:rsidR="0032309E" w:rsidRPr="006571AC" w:rsidRDefault="0032309E" w:rsidP="00CF1087">
      <w:pPr>
        <w:spacing w:line="280" w:lineRule="exact"/>
        <w:rPr>
          <w:rtl/>
        </w:rPr>
      </w:pPr>
    </w:p>
    <w:p w:rsidR="008C542A" w:rsidRPr="006571AC" w:rsidRDefault="008C542A" w:rsidP="00823BDF">
      <w:pPr>
        <w:pStyle w:val="10"/>
        <w:spacing w:line="216" w:lineRule="auto"/>
        <w:rPr>
          <w:rtl/>
        </w:rPr>
      </w:pPr>
      <w:bookmarkStart w:id="11" w:name="_Toc114164501"/>
      <w:r w:rsidRPr="006571AC">
        <w:rPr>
          <w:rFonts w:hint="cs"/>
          <w:rtl/>
          <w:lang w:bidi="ar-LB"/>
        </w:rPr>
        <w:t>رأي الأكثريّة</w:t>
      </w:r>
      <w:bookmarkEnd w:id="11"/>
    </w:p>
    <w:p w:rsidR="008C542A" w:rsidRPr="006571AC" w:rsidRDefault="008C542A" w:rsidP="00823BDF">
      <w:pPr>
        <w:pStyle w:val="20"/>
        <w:spacing w:line="216" w:lineRule="auto"/>
        <w:rPr>
          <w:color w:val="auto"/>
          <w:rtl/>
          <w:lang w:bidi="ar-LB"/>
        </w:rPr>
      </w:pPr>
      <w:bookmarkStart w:id="12" w:name="_Toc114164502"/>
      <w:r w:rsidRPr="006571AC">
        <w:rPr>
          <w:rFonts w:hint="cs"/>
          <w:color w:val="auto"/>
          <w:rtl/>
          <w:lang w:bidi="ar-LB"/>
        </w:rPr>
        <w:t>بين</w:t>
      </w:r>
      <w:r w:rsidRPr="006571AC">
        <w:rPr>
          <w:rFonts w:cs="AL-Mohanad" w:hint="cs"/>
          <w:color w:val="auto"/>
          <w:szCs w:val="27"/>
          <w:rtl/>
          <w:lang w:bidi="ar-LB"/>
        </w:rPr>
        <w:t xml:space="preserve"> </w:t>
      </w:r>
      <w:r w:rsidRPr="006571AC">
        <w:rPr>
          <w:rFonts w:hint="cs"/>
          <w:color w:val="auto"/>
          <w:rtl/>
          <w:lang w:bidi="ar-LB"/>
        </w:rPr>
        <w:t>الاعتبار العقليّ والشرعيّ</w:t>
      </w:r>
      <w:bookmarkEnd w:id="12"/>
    </w:p>
    <w:p w:rsidR="008C542A" w:rsidRPr="006571AC" w:rsidRDefault="008C542A" w:rsidP="008C542A">
      <w:pPr>
        <w:pStyle w:val="20"/>
        <w:rPr>
          <w:rFonts w:cs="Ya-Ali"/>
          <w:b/>
          <w:bCs/>
          <w:color w:val="auto"/>
          <w:szCs w:val="30"/>
        </w:rPr>
      </w:pPr>
      <w:bookmarkStart w:id="13" w:name="_Toc313037588"/>
      <w:bookmarkStart w:id="14" w:name="_Toc114164503"/>
      <w:r w:rsidRPr="006571AC">
        <w:rPr>
          <w:rFonts w:cs="Ya-Ali" w:hint="cs"/>
          <w:color w:val="auto"/>
          <w:szCs w:val="30"/>
          <w:rtl/>
        </w:rPr>
        <w:t>ـ القسم الأول ـ</w:t>
      </w:r>
      <w:bookmarkEnd w:id="13"/>
      <w:bookmarkEnd w:id="14"/>
    </w:p>
    <w:p w:rsidR="008C542A" w:rsidRPr="006571AC" w:rsidRDefault="008C542A" w:rsidP="00017573">
      <w:pPr>
        <w:spacing w:line="290" w:lineRule="exact"/>
        <w:rPr>
          <w:sz w:val="10"/>
          <w:szCs w:val="14"/>
          <w:rtl/>
        </w:rPr>
      </w:pPr>
    </w:p>
    <w:p w:rsidR="008C542A" w:rsidRPr="006571AC" w:rsidRDefault="008C542A" w:rsidP="008C542A">
      <w:pPr>
        <w:pStyle w:val="Author"/>
        <w:rPr>
          <w:rtl/>
        </w:rPr>
      </w:pPr>
      <w:r w:rsidRPr="006571AC">
        <w:rPr>
          <w:rFonts w:hint="cs"/>
          <w:rtl/>
          <w:lang w:bidi="ar-LB"/>
        </w:rPr>
        <w:t>الشيخ مسعود إمامي</w:t>
      </w:r>
      <w:r w:rsidRPr="006571AC">
        <w:rPr>
          <w:rFonts w:ascii="Mosawi" w:hAnsi="Mosawi" w:cs="Taher"/>
          <w:szCs w:val="26"/>
          <w:vertAlign w:val="superscript"/>
          <w:rtl/>
        </w:rPr>
        <w:t>(</w:t>
      </w:r>
      <w:r w:rsidRPr="006571AC">
        <w:rPr>
          <w:rFonts w:ascii="Mosawi" w:hAnsi="Mosawi" w:cs="Taher"/>
          <w:szCs w:val="26"/>
          <w:vertAlign w:val="superscript"/>
          <w:rtl/>
        </w:rPr>
        <w:footnoteReference w:customMarkFollows="1" w:id="1"/>
        <w:t>*)</w:t>
      </w:r>
    </w:p>
    <w:p w:rsidR="008C542A" w:rsidRPr="006571AC" w:rsidRDefault="008C542A" w:rsidP="0061690A">
      <w:pPr>
        <w:pStyle w:val="Author"/>
        <w:rPr>
          <w:rtl/>
        </w:rPr>
      </w:pPr>
      <w:r w:rsidRPr="006571AC">
        <w:rPr>
          <w:rFonts w:hint="cs"/>
          <w:rtl/>
        </w:rPr>
        <w:t xml:space="preserve">ترجمة: </w:t>
      </w:r>
      <w:r w:rsidRPr="006571AC">
        <w:rPr>
          <w:rFonts w:hint="cs"/>
          <w:rtl/>
          <w:lang w:bidi="ar-LB"/>
        </w:rPr>
        <w:t xml:space="preserve">د. حسن طاهر </w:t>
      </w:r>
      <w:r w:rsidR="009B5DC6" w:rsidRPr="006571AC">
        <w:rPr>
          <w:rFonts w:hint="cs"/>
          <w:rtl/>
          <w:lang w:bidi="ar-LB"/>
        </w:rPr>
        <w:t xml:space="preserve">/ د. </w:t>
      </w:r>
      <w:r w:rsidR="003E6FEB" w:rsidRPr="006571AC">
        <w:rPr>
          <w:rFonts w:hint="cs"/>
          <w:rtl/>
          <w:lang w:bidi="ar-LB"/>
        </w:rPr>
        <w:t>علي الرضا عيسى</w:t>
      </w:r>
    </w:p>
    <w:p w:rsidR="008C542A" w:rsidRPr="006571AC" w:rsidRDefault="008C542A" w:rsidP="00CF1087">
      <w:pPr>
        <w:spacing w:line="300" w:lineRule="exact"/>
        <w:rPr>
          <w:sz w:val="10"/>
          <w:szCs w:val="14"/>
          <w:rtl/>
        </w:rPr>
      </w:pPr>
    </w:p>
    <w:p w:rsidR="008C542A" w:rsidRPr="006571AC" w:rsidRDefault="008C542A" w:rsidP="008C542A">
      <w:pPr>
        <w:pStyle w:val="31"/>
        <w:rPr>
          <w:color w:val="auto"/>
          <w:rtl/>
          <w:lang w:bidi="ar-LB"/>
        </w:rPr>
      </w:pPr>
      <w:bookmarkStart w:id="15" w:name="_Toc114164504"/>
      <w:r w:rsidRPr="006571AC">
        <w:rPr>
          <w:rFonts w:hint="cs"/>
          <w:color w:val="auto"/>
          <w:rtl/>
          <w:lang w:bidi="ar-LB"/>
        </w:rPr>
        <w:t>مقدّمة</w:t>
      </w:r>
      <w:r w:rsidR="00B90EA5" w:rsidRPr="006571AC">
        <w:rPr>
          <w:rFonts w:hint="cs"/>
          <w:color w:val="auto"/>
          <w:rtl/>
          <w:lang w:bidi="ar-LB"/>
        </w:rPr>
        <w:t>ٌ</w:t>
      </w:r>
      <w:bookmarkEnd w:id="15"/>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في عالم اليوم أصبح الرجوع إلى الرأي العام، وتفضيل رأي الأكثرية في اتّخاذ القرارات الجماعية، قيمةً عالمية. في أغلب الدول يتمّ اختيار نوع الحكومة، القانون الأساسي، أعلى منصب في الدولة، أعضاء مجلس النواب، بناءً على رأي الأكثرية. اتّخاذ القرار في المجالس والمجامع يتمّ </w:t>
      </w:r>
      <w:r w:rsidR="00B90EA5" w:rsidRPr="006571AC">
        <w:rPr>
          <w:rFonts w:hint="cs"/>
          <w:sz w:val="27"/>
          <w:rtl/>
          <w:lang w:bidi="ar-LB"/>
        </w:rPr>
        <w:t xml:space="preserve">أيضاً </w:t>
      </w:r>
      <w:r w:rsidRPr="006571AC">
        <w:rPr>
          <w:rFonts w:hint="cs"/>
          <w:sz w:val="27"/>
          <w:rtl/>
          <w:lang w:bidi="ar-LB"/>
        </w:rPr>
        <w:t>على أساس تفضيل رأي الأكثريّة. قاعدة اعتبار رأي الأكثرية ساريةٌ حتّى في الكثير من التجمُّعات الصغيرة والعائلية. وأعضاء مجمعٍ ما يعملون برأي الأكثرية في الأمور الخلافية التي تخصّ الأعضاء، وذلك بعد أخذ آراء الجميع.</w:t>
      </w:r>
    </w:p>
    <w:p w:rsidR="008C542A" w:rsidRPr="006571AC" w:rsidRDefault="008C542A" w:rsidP="00706E68">
      <w:pPr>
        <w:tabs>
          <w:tab w:val="right" w:pos="6930"/>
        </w:tabs>
        <w:suppressAutoHyphens/>
        <w:rPr>
          <w:sz w:val="27"/>
          <w:rtl/>
          <w:lang w:bidi="ar-LB"/>
        </w:rPr>
      </w:pPr>
      <w:r w:rsidRPr="006571AC">
        <w:rPr>
          <w:rFonts w:hint="cs"/>
          <w:sz w:val="27"/>
          <w:rtl/>
          <w:lang w:bidi="ar-LB"/>
        </w:rPr>
        <w:t>ونظام الجمهورية الإسلاميّة أيضاً ليس مستثنىً من هذه القاعدة. وتُتَّخذ أهمّ القرارات الجماعية فيها، مثل: اختيار نوع الحكومة، القانون الأساسي، الوليّ الفقيه، رئيس الجمهورية، ونواب مجلس الشورى الإسلامي</w:t>
      </w:r>
      <w:r w:rsidR="00B90EA5" w:rsidRPr="006571AC">
        <w:rPr>
          <w:rFonts w:hint="cs"/>
          <w:sz w:val="27"/>
          <w:rtl/>
          <w:lang w:bidi="ar-LB"/>
        </w:rPr>
        <w:t>ّ</w:t>
      </w:r>
      <w:r w:rsidRPr="006571AC">
        <w:rPr>
          <w:rFonts w:hint="cs"/>
          <w:sz w:val="27"/>
          <w:rtl/>
          <w:lang w:bidi="ar-LB"/>
        </w:rPr>
        <w:t xml:space="preserve"> ومجلس الخبراء، على أساس اعتبار رأي الأكثرية.</w:t>
      </w:r>
    </w:p>
    <w:p w:rsidR="008404D6" w:rsidRPr="006571AC" w:rsidRDefault="008C542A" w:rsidP="00706E68">
      <w:pPr>
        <w:tabs>
          <w:tab w:val="right" w:pos="6930"/>
        </w:tabs>
        <w:suppressAutoHyphens/>
        <w:rPr>
          <w:sz w:val="27"/>
          <w:rtl/>
          <w:lang w:bidi="ar-LB"/>
        </w:rPr>
      </w:pPr>
      <w:r w:rsidRPr="006571AC">
        <w:rPr>
          <w:rFonts w:hint="cs"/>
          <w:sz w:val="27"/>
          <w:rtl/>
          <w:lang w:bidi="ar-LB"/>
        </w:rPr>
        <w:t xml:space="preserve">واليوم، تعتبر وجهة نظر الإسلام حول الرجوع إلى الرأي العامّ، وتفضيل رأي الأكثرية، ومجال اعتمادها، الشغل الشاغل للكثير من المسلمين. وقد أنجز المفكِّرون المسلمون وغير المسلمين أبحاثاً مختلفة في هذا المجال، وقدَّموا وجهات </w:t>
      </w:r>
      <w:r w:rsidR="008404D6" w:rsidRPr="006571AC">
        <w:rPr>
          <w:rFonts w:hint="cs"/>
          <w:sz w:val="27"/>
          <w:rtl/>
          <w:lang w:bidi="ar-LB"/>
        </w:rPr>
        <w:t xml:space="preserve">نظر </w:t>
      </w:r>
      <w:r w:rsidR="008404D6" w:rsidRPr="006571AC">
        <w:rPr>
          <w:rFonts w:hint="cs"/>
          <w:sz w:val="27"/>
          <w:rtl/>
          <w:lang w:bidi="ar-LB"/>
        </w:rPr>
        <w:lastRenderedPageBreak/>
        <w:t>متباينة أيضاً في هذا الصدد.</w:t>
      </w:r>
    </w:p>
    <w:p w:rsidR="008C542A" w:rsidRPr="006571AC" w:rsidRDefault="008C542A" w:rsidP="00706E68">
      <w:pPr>
        <w:tabs>
          <w:tab w:val="right" w:pos="6930"/>
        </w:tabs>
        <w:suppressAutoHyphens/>
        <w:rPr>
          <w:sz w:val="27"/>
          <w:rtl/>
          <w:lang w:bidi="ar-LB"/>
        </w:rPr>
      </w:pPr>
      <w:r w:rsidRPr="006571AC">
        <w:rPr>
          <w:rFonts w:hint="cs"/>
          <w:sz w:val="27"/>
          <w:rtl/>
          <w:lang w:bidi="ar-LB"/>
        </w:rPr>
        <w:t>إن الوصول إلى وجهة نظر الإسلام في هذا الشأن مسألةٌ في غاية الأهمّية بالنسبة إلى الشعب الإيراني ونظام الجمهورية الإسلامية، الذين يحاولون أن يعيشوا في ظلّ حكومةٍ قائمة على تعاليم الإسلام.</w:t>
      </w:r>
    </w:p>
    <w:p w:rsidR="008C542A" w:rsidRPr="006571AC" w:rsidRDefault="008C542A" w:rsidP="00706E68">
      <w:pPr>
        <w:tabs>
          <w:tab w:val="right" w:pos="6930"/>
        </w:tabs>
        <w:suppressAutoHyphens/>
        <w:rPr>
          <w:sz w:val="27"/>
          <w:rtl/>
          <w:lang w:bidi="ar-LB"/>
        </w:rPr>
      </w:pPr>
      <w:r w:rsidRPr="006571AC">
        <w:rPr>
          <w:rFonts w:hint="cs"/>
          <w:sz w:val="27"/>
          <w:rtl/>
          <w:lang w:bidi="ar-LB"/>
        </w:rPr>
        <w:t>في ما يتعلَّق باعتبار أو عدم اعتبار رأي الأكثرية يوجد قولان على الأقلّ: مؤيّد</w:t>
      </w:r>
      <w:r w:rsidR="008404D6" w:rsidRPr="006571AC">
        <w:rPr>
          <w:rFonts w:hint="cs"/>
          <w:sz w:val="27"/>
          <w:rtl/>
          <w:lang w:bidi="ar-LB"/>
        </w:rPr>
        <w:t>ٌ</w:t>
      </w:r>
      <w:r w:rsidRPr="006571AC">
        <w:rPr>
          <w:rFonts w:hint="cs"/>
          <w:sz w:val="27"/>
          <w:rtl/>
          <w:lang w:bidi="ar-LB"/>
        </w:rPr>
        <w:t>؛ ومعار</w:t>
      </w:r>
      <w:r w:rsidR="008404D6" w:rsidRPr="006571AC">
        <w:rPr>
          <w:rFonts w:hint="cs"/>
          <w:sz w:val="27"/>
          <w:rtl/>
          <w:lang w:bidi="ar-LB"/>
        </w:rPr>
        <w:t>ِ</w:t>
      </w:r>
      <w:r w:rsidRPr="006571AC">
        <w:rPr>
          <w:rFonts w:hint="cs"/>
          <w:sz w:val="27"/>
          <w:rtl/>
          <w:lang w:bidi="ar-LB"/>
        </w:rPr>
        <w:t>ض</w:t>
      </w:r>
      <w:r w:rsidR="008404D6" w:rsidRPr="006571AC">
        <w:rPr>
          <w:rFonts w:hint="cs"/>
          <w:sz w:val="27"/>
          <w:rtl/>
          <w:lang w:bidi="ar-LB"/>
        </w:rPr>
        <w:t>ٌ</w:t>
      </w:r>
      <w:r w:rsidRPr="006571AC">
        <w:rPr>
          <w:rFonts w:hint="cs"/>
          <w:sz w:val="27"/>
          <w:rtl/>
          <w:lang w:bidi="ar-LB"/>
        </w:rPr>
        <w:t>. ولكنْ بتأمُّل وجهات نظر المؤيِّدين والمعارضين نستنتج أن لديهم قواعد مختلفة، ولا يمكن اعتبار جميع الموافقين أو المخالفين أصحاب نظريّةٍ واحدة. رُبَما بحَسَب رأي البعض يكون رأي الأكثرية معتبراً وصحيحاً من جهةٍ، وغير معتبرٍ من جهةٍ أو جهاتٍ أخرى. لذلك تلعب الأسس والمرتكزات التي يعتمدون عليها دَوْراً رئيساً في تحليل وجهات النظر، وما يتبعها من نقدٍ ودراسة لها. ومن هذا المنطلق يجب مناقشة وجهات النظر بناءً على المبادئ والمرتكزات.</w:t>
      </w:r>
    </w:p>
    <w:p w:rsidR="008C542A" w:rsidRPr="006571AC" w:rsidRDefault="008C542A" w:rsidP="00706E68">
      <w:pPr>
        <w:tabs>
          <w:tab w:val="right" w:pos="6930"/>
        </w:tabs>
        <w:suppressAutoHyphens/>
        <w:rPr>
          <w:sz w:val="27"/>
          <w:rtl/>
          <w:lang w:bidi="ar-LB"/>
        </w:rPr>
      </w:pPr>
      <w:r w:rsidRPr="006571AC">
        <w:rPr>
          <w:rFonts w:hint="cs"/>
          <w:sz w:val="27"/>
          <w:rtl/>
          <w:lang w:bidi="ar-LB"/>
        </w:rPr>
        <w:t>إن أهمّ الأسس التي تقوم عليها صحّة الأخذ برأي الأكثرية هي الحقّ في تقرير المصير، وتوضيح الحقائق، الشرعي</w:t>
      </w:r>
      <w:r w:rsidR="008404D6" w:rsidRPr="006571AC">
        <w:rPr>
          <w:rFonts w:hint="cs"/>
          <w:sz w:val="27"/>
          <w:rtl/>
          <w:lang w:bidi="ar-LB"/>
        </w:rPr>
        <w:t>ّ</w:t>
      </w:r>
      <w:r w:rsidRPr="006571AC">
        <w:rPr>
          <w:rFonts w:hint="cs"/>
          <w:sz w:val="27"/>
          <w:rtl/>
          <w:lang w:bidi="ar-LB"/>
        </w:rPr>
        <w:t xml:space="preserve">ة الدينية، المصلحة والقبول. ويمكن أن يكون مستند صحّة رأي الأكثرية، وفق كلّ واحدٍ من هذه الأسس، إمّا دليلاً عقليّاً أو دليلاً نقليّاً. </w:t>
      </w:r>
    </w:p>
    <w:p w:rsidR="008404D6" w:rsidRPr="006571AC" w:rsidRDefault="008C542A" w:rsidP="00706E68">
      <w:pPr>
        <w:tabs>
          <w:tab w:val="right" w:pos="6930"/>
        </w:tabs>
        <w:suppressAutoHyphens/>
        <w:rPr>
          <w:sz w:val="27"/>
          <w:rtl/>
          <w:lang w:bidi="ar-LB"/>
        </w:rPr>
      </w:pPr>
      <w:r w:rsidRPr="006571AC">
        <w:rPr>
          <w:sz w:val="27"/>
          <w:rtl/>
          <w:lang w:bidi="ar-LB"/>
        </w:rPr>
        <w:t>وقد سع</w:t>
      </w:r>
      <w:r w:rsidR="008404D6" w:rsidRPr="006571AC">
        <w:rPr>
          <w:rFonts w:hint="cs"/>
          <w:sz w:val="27"/>
          <w:rtl/>
          <w:lang w:bidi="ar-LB"/>
        </w:rPr>
        <w:t>َ</w:t>
      </w:r>
      <w:r w:rsidRPr="006571AC">
        <w:rPr>
          <w:sz w:val="27"/>
          <w:rtl/>
          <w:lang w:bidi="ar-LB"/>
        </w:rPr>
        <w:t>ي</w:t>
      </w:r>
      <w:r w:rsidR="008404D6" w:rsidRPr="006571AC">
        <w:rPr>
          <w:rFonts w:hint="cs"/>
          <w:sz w:val="27"/>
          <w:rtl/>
          <w:lang w:bidi="ar-LB"/>
        </w:rPr>
        <w:t>ْ</w:t>
      </w:r>
      <w:r w:rsidRPr="006571AC">
        <w:rPr>
          <w:sz w:val="27"/>
          <w:rtl/>
          <w:lang w:bidi="ar-LB"/>
        </w:rPr>
        <w:t xml:space="preserve">نا في هذه المقالة إلى </w:t>
      </w:r>
      <w:r w:rsidRPr="006571AC">
        <w:rPr>
          <w:rFonts w:hint="cs"/>
          <w:sz w:val="27"/>
          <w:rtl/>
          <w:lang w:bidi="ar-LB"/>
        </w:rPr>
        <w:t>إ</w:t>
      </w:r>
      <w:r w:rsidRPr="006571AC">
        <w:rPr>
          <w:sz w:val="27"/>
          <w:rtl/>
          <w:lang w:bidi="ar-LB"/>
        </w:rPr>
        <w:t>ثبات هذا ال</w:t>
      </w:r>
      <w:r w:rsidRPr="006571AC">
        <w:rPr>
          <w:rFonts w:hint="cs"/>
          <w:sz w:val="27"/>
          <w:rtl/>
          <w:lang w:bidi="ar-LB"/>
        </w:rPr>
        <w:t>ا</w:t>
      </w:r>
      <w:r w:rsidRPr="006571AC">
        <w:rPr>
          <w:sz w:val="27"/>
          <w:rtl/>
          <w:lang w:bidi="ar-LB"/>
        </w:rPr>
        <w:t>د</w:t>
      </w:r>
      <w:r w:rsidR="008404D6" w:rsidRPr="006571AC">
        <w:rPr>
          <w:rFonts w:hint="cs"/>
          <w:sz w:val="27"/>
          <w:rtl/>
          <w:lang w:bidi="ar-LB"/>
        </w:rPr>
        <w:t>ّ</w:t>
      </w:r>
      <w:r w:rsidRPr="006571AC">
        <w:rPr>
          <w:sz w:val="27"/>
          <w:rtl/>
          <w:lang w:bidi="ar-LB"/>
        </w:rPr>
        <w:t>عاء، وهو أن مبدأ حق</w:t>
      </w:r>
      <w:r w:rsidR="008404D6" w:rsidRPr="006571AC">
        <w:rPr>
          <w:rFonts w:hint="cs"/>
          <w:sz w:val="27"/>
          <w:rtl/>
          <w:lang w:bidi="ar-LB"/>
        </w:rPr>
        <w:t>ّ</w:t>
      </w:r>
      <w:r w:rsidRPr="006571AC">
        <w:rPr>
          <w:sz w:val="27"/>
          <w:rtl/>
          <w:lang w:bidi="ar-LB"/>
        </w:rPr>
        <w:t xml:space="preserve"> تقرير المصير</w:t>
      </w:r>
      <w:r w:rsidR="008404D6" w:rsidRPr="006571AC">
        <w:rPr>
          <w:rFonts w:hint="cs"/>
          <w:sz w:val="27"/>
          <w:rtl/>
          <w:lang w:bidi="ar-LB"/>
        </w:rPr>
        <w:t>،</w:t>
      </w:r>
      <w:r w:rsidRPr="006571AC">
        <w:rPr>
          <w:sz w:val="27"/>
          <w:rtl/>
          <w:lang w:bidi="ar-LB"/>
        </w:rPr>
        <w:t xml:space="preserve"> القائم على أدلة</w:t>
      </w:r>
      <w:r w:rsidR="008404D6" w:rsidRPr="006571AC">
        <w:rPr>
          <w:rFonts w:hint="cs"/>
          <w:sz w:val="27"/>
          <w:rtl/>
          <w:lang w:bidi="ar-LB"/>
        </w:rPr>
        <w:t>ٍ</w:t>
      </w:r>
      <w:r w:rsidRPr="006571AC">
        <w:rPr>
          <w:sz w:val="27"/>
          <w:rtl/>
          <w:lang w:bidi="ar-LB"/>
        </w:rPr>
        <w:t xml:space="preserve"> عقلية</w:t>
      </w:r>
      <w:r w:rsidR="008404D6" w:rsidRPr="006571AC">
        <w:rPr>
          <w:rFonts w:hint="cs"/>
          <w:sz w:val="27"/>
          <w:rtl/>
          <w:lang w:bidi="ar-LB"/>
        </w:rPr>
        <w:t>ٍ</w:t>
      </w:r>
      <w:r w:rsidRPr="006571AC">
        <w:rPr>
          <w:sz w:val="27"/>
          <w:rtl/>
          <w:lang w:bidi="ar-LB"/>
        </w:rPr>
        <w:t xml:space="preserve"> وشرعية</w:t>
      </w:r>
      <w:r w:rsidR="008404D6" w:rsidRPr="006571AC">
        <w:rPr>
          <w:rFonts w:hint="cs"/>
          <w:sz w:val="27"/>
          <w:rtl/>
          <w:lang w:bidi="ar-LB"/>
        </w:rPr>
        <w:t>ٍ</w:t>
      </w:r>
      <w:r w:rsidRPr="006571AC">
        <w:rPr>
          <w:sz w:val="27"/>
          <w:rtl/>
          <w:lang w:bidi="ar-LB"/>
        </w:rPr>
        <w:t xml:space="preserve"> محكمة</w:t>
      </w:r>
      <w:r w:rsidR="008404D6" w:rsidRPr="006571AC">
        <w:rPr>
          <w:rFonts w:hint="cs"/>
          <w:sz w:val="27"/>
          <w:rtl/>
          <w:lang w:bidi="ar-LB"/>
        </w:rPr>
        <w:t>،</w:t>
      </w:r>
      <w:r w:rsidRPr="006571AC">
        <w:rPr>
          <w:sz w:val="27"/>
          <w:rtl/>
          <w:lang w:bidi="ar-LB"/>
        </w:rPr>
        <w:t xml:space="preserve"> هو المبدأ المتين الوحيد الذي يستطيع تبرير أكثر حالات الاعتماد على الرأي العام</w:t>
      </w:r>
      <w:r w:rsidR="008404D6" w:rsidRPr="006571AC">
        <w:rPr>
          <w:rFonts w:hint="cs"/>
          <w:sz w:val="27"/>
          <w:rtl/>
          <w:lang w:bidi="ar-LB"/>
        </w:rPr>
        <w:t>ّ</w:t>
      </w:r>
      <w:r w:rsidRPr="006571AC">
        <w:rPr>
          <w:sz w:val="27"/>
          <w:rtl/>
          <w:lang w:bidi="ar-LB"/>
        </w:rPr>
        <w:t xml:space="preserve"> ف</w:t>
      </w:r>
      <w:r w:rsidRPr="006571AC">
        <w:rPr>
          <w:rFonts w:hint="cs"/>
          <w:sz w:val="27"/>
          <w:rtl/>
          <w:lang w:bidi="ar-LB"/>
        </w:rPr>
        <w:t>ي</w:t>
      </w:r>
      <w:r w:rsidRPr="006571AC">
        <w:rPr>
          <w:sz w:val="27"/>
          <w:rtl/>
          <w:lang w:bidi="ar-LB"/>
        </w:rPr>
        <w:t xml:space="preserve"> </w:t>
      </w:r>
      <w:r w:rsidRPr="006571AC">
        <w:rPr>
          <w:rFonts w:hint="cs"/>
          <w:sz w:val="27"/>
          <w:rtl/>
          <w:lang w:bidi="ar-LB"/>
        </w:rPr>
        <w:t xml:space="preserve">أغلب </w:t>
      </w:r>
      <w:r w:rsidRPr="006571AC">
        <w:rPr>
          <w:sz w:val="27"/>
          <w:rtl/>
          <w:lang w:bidi="ar-LB"/>
        </w:rPr>
        <w:t>مجتمعات اليوم</w:t>
      </w:r>
      <w:r w:rsidR="008404D6" w:rsidRPr="006571AC">
        <w:rPr>
          <w:rFonts w:hint="cs"/>
          <w:sz w:val="27"/>
          <w:rtl/>
          <w:lang w:bidi="ar-LB"/>
        </w:rPr>
        <w:t>،</w:t>
      </w:r>
      <w:r w:rsidRPr="006571AC">
        <w:rPr>
          <w:sz w:val="27"/>
          <w:rtl/>
          <w:lang w:bidi="ar-LB"/>
        </w:rPr>
        <w:t xml:space="preserve"> لا كل</w:t>
      </w:r>
      <w:r w:rsidR="008404D6" w:rsidRPr="006571AC">
        <w:rPr>
          <w:rFonts w:hint="cs"/>
          <w:sz w:val="27"/>
          <w:rtl/>
          <w:lang w:bidi="ar-LB"/>
        </w:rPr>
        <w:t>ّ</w:t>
      </w:r>
      <w:r w:rsidRPr="006571AC">
        <w:rPr>
          <w:sz w:val="27"/>
          <w:rtl/>
          <w:lang w:bidi="ar-LB"/>
        </w:rPr>
        <w:t>ها</w:t>
      </w:r>
      <w:r w:rsidR="008404D6" w:rsidRPr="006571AC">
        <w:rPr>
          <w:rFonts w:hint="cs"/>
          <w:sz w:val="27"/>
          <w:rtl/>
          <w:lang w:bidi="ar-LB"/>
        </w:rPr>
        <w:t>.</w:t>
      </w:r>
    </w:p>
    <w:p w:rsidR="00781B95" w:rsidRPr="006571AC" w:rsidRDefault="008C542A" w:rsidP="00706E68">
      <w:pPr>
        <w:tabs>
          <w:tab w:val="right" w:pos="6930"/>
        </w:tabs>
        <w:suppressAutoHyphens/>
        <w:rPr>
          <w:sz w:val="27"/>
          <w:rtl/>
          <w:lang w:bidi="ar-LB"/>
        </w:rPr>
      </w:pPr>
      <w:r w:rsidRPr="006571AC">
        <w:rPr>
          <w:rFonts w:hint="cs"/>
          <w:sz w:val="27"/>
          <w:rtl/>
          <w:lang w:bidi="ar-LB"/>
        </w:rPr>
        <w:t>كما سع</w:t>
      </w:r>
      <w:r w:rsidR="008404D6" w:rsidRPr="006571AC">
        <w:rPr>
          <w:rFonts w:hint="cs"/>
          <w:sz w:val="27"/>
          <w:rtl/>
          <w:lang w:bidi="ar-LB"/>
        </w:rPr>
        <w:t>َ</w:t>
      </w:r>
      <w:r w:rsidRPr="006571AC">
        <w:rPr>
          <w:rFonts w:hint="cs"/>
          <w:sz w:val="27"/>
          <w:rtl/>
          <w:lang w:bidi="ar-LB"/>
        </w:rPr>
        <w:t>ي</w:t>
      </w:r>
      <w:r w:rsidR="008404D6" w:rsidRPr="006571AC">
        <w:rPr>
          <w:rFonts w:hint="cs"/>
          <w:sz w:val="27"/>
          <w:rtl/>
          <w:lang w:bidi="ar-LB"/>
        </w:rPr>
        <w:t>ْ</w:t>
      </w:r>
      <w:r w:rsidRPr="006571AC">
        <w:rPr>
          <w:rFonts w:hint="cs"/>
          <w:sz w:val="27"/>
          <w:rtl/>
          <w:lang w:bidi="ar-LB"/>
        </w:rPr>
        <w:t xml:space="preserve">نا إلى بيان أن </w:t>
      </w:r>
      <w:r w:rsidRPr="006571AC">
        <w:rPr>
          <w:sz w:val="27"/>
          <w:rtl/>
          <w:lang w:bidi="ar-LB"/>
        </w:rPr>
        <w:t>عدم اهتمام أكثر أصحاب النَّظَر بهذا المبدأ</w:t>
      </w:r>
      <w:r w:rsidRPr="006571AC">
        <w:rPr>
          <w:rFonts w:hint="cs"/>
          <w:sz w:val="27"/>
          <w:rtl/>
          <w:lang w:bidi="ar-LB"/>
        </w:rPr>
        <w:t>،</w:t>
      </w:r>
      <w:r w:rsidRPr="006571AC">
        <w:rPr>
          <w:sz w:val="27"/>
          <w:rtl/>
          <w:lang w:bidi="ar-LB"/>
        </w:rPr>
        <w:t xml:space="preserve"> و</w:t>
      </w:r>
      <w:r w:rsidRPr="006571AC">
        <w:rPr>
          <w:rFonts w:hint="cs"/>
          <w:sz w:val="27"/>
          <w:rtl/>
          <w:lang w:bidi="ar-LB"/>
        </w:rPr>
        <w:t>أن إ</w:t>
      </w:r>
      <w:r w:rsidRPr="006571AC">
        <w:rPr>
          <w:sz w:val="27"/>
          <w:rtl/>
          <w:lang w:bidi="ar-LB"/>
        </w:rPr>
        <w:t>بدا</w:t>
      </w:r>
      <w:r w:rsidRPr="006571AC">
        <w:rPr>
          <w:rFonts w:hint="cs"/>
          <w:sz w:val="27"/>
          <w:rtl/>
          <w:lang w:bidi="ar-LB"/>
        </w:rPr>
        <w:t>ء</w:t>
      </w:r>
      <w:r w:rsidRPr="006571AC">
        <w:rPr>
          <w:sz w:val="27"/>
          <w:rtl/>
          <w:lang w:bidi="ar-LB"/>
        </w:rPr>
        <w:t>هم آرا</w:t>
      </w:r>
      <w:r w:rsidRPr="006571AC">
        <w:rPr>
          <w:rFonts w:hint="cs"/>
          <w:sz w:val="27"/>
          <w:rtl/>
          <w:lang w:bidi="ar-LB"/>
        </w:rPr>
        <w:t>ء</w:t>
      </w:r>
      <w:r w:rsidRPr="006571AC">
        <w:rPr>
          <w:sz w:val="27"/>
          <w:rtl/>
          <w:lang w:bidi="ar-LB"/>
        </w:rPr>
        <w:t>هم حول اعتبار رأي الأكثرية أو عدمه على أساس سائر المبادئ ـ وخصوص</w:t>
      </w:r>
      <w:r w:rsidRPr="006571AC">
        <w:rPr>
          <w:rFonts w:hint="cs"/>
          <w:sz w:val="27"/>
          <w:rtl/>
          <w:lang w:bidi="ar-LB"/>
        </w:rPr>
        <w:t>اً</w:t>
      </w:r>
      <w:r w:rsidRPr="006571AC">
        <w:rPr>
          <w:sz w:val="27"/>
          <w:rtl/>
          <w:lang w:bidi="ar-LB"/>
        </w:rPr>
        <w:t xml:space="preserve"> مبدأ كشف الحقيقة ـ</w:t>
      </w:r>
      <w:r w:rsidR="00781B95" w:rsidRPr="006571AC">
        <w:rPr>
          <w:rFonts w:hint="cs"/>
          <w:sz w:val="27"/>
          <w:rtl/>
          <w:lang w:bidi="ar-LB"/>
        </w:rPr>
        <w:t>،</w:t>
      </w:r>
      <w:r w:rsidRPr="006571AC">
        <w:rPr>
          <w:sz w:val="27"/>
          <w:rtl/>
          <w:lang w:bidi="ar-LB"/>
        </w:rPr>
        <w:t xml:space="preserve"> يتسب</w:t>
      </w:r>
      <w:r w:rsidR="00781B95" w:rsidRPr="006571AC">
        <w:rPr>
          <w:rFonts w:hint="cs"/>
          <w:sz w:val="27"/>
          <w:rtl/>
          <w:lang w:bidi="ar-LB"/>
        </w:rPr>
        <w:t>َّ</w:t>
      </w:r>
      <w:r w:rsidRPr="006571AC">
        <w:rPr>
          <w:sz w:val="27"/>
          <w:rtl/>
          <w:lang w:bidi="ar-LB"/>
        </w:rPr>
        <w:t xml:space="preserve">ب </w:t>
      </w:r>
      <w:r w:rsidRPr="006571AC">
        <w:rPr>
          <w:rFonts w:hint="cs"/>
          <w:sz w:val="27"/>
          <w:rtl/>
          <w:lang w:bidi="ar-LB"/>
        </w:rPr>
        <w:t xml:space="preserve">في </w:t>
      </w:r>
      <w:r w:rsidRPr="006571AC">
        <w:rPr>
          <w:sz w:val="27"/>
          <w:rtl/>
          <w:lang w:bidi="ar-LB"/>
        </w:rPr>
        <w:t>تشويش المباحث المتعل</w:t>
      </w:r>
      <w:r w:rsidR="00781B95" w:rsidRPr="006571AC">
        <w:rPr>
          <w:rFonts w:hint="cs"/>
          <w:sz w:val="27"/>
          <w:rtl/>
          <w:lang w:bidi="ar-LB"/>
        </w:rPr>
        <w:t>ِّ</w:t>
      </w:r>
      <w:r w:rsidRPr="006571AC">
        <w:rPr>
          <w:sz w:val="27"/>
          <w:rtl/>
          <w:lang w:bidi="ar-LB"/>
        </w:rPr>
        <w:t>قة بهذا الموضوع.</w:t>
      </w:r>
    </w:p>
    <w:p w:rsidR="008C542A" w:rsidRPr="006571AC" w:rsidRDefault="008C542A" w:rsidP="00706E68">
      <w:pPr>
        <w:tabs>
          <w:tab w:val="right" w:pos="6930"/>
        </w:tabs>
        <w:suppressAutoHyphens/>
        <w:rPr>
          <w:sz w:val="27"/>
          <w:rtl/>
          <w:lang w:bidi="ar-LB"/>
        </w:rPr>
      </w:pPr>
      <w:r w:rsidRPr="006571AC">
        <w:rPr>
          <w:sz w:val="27"/>
          <w:rtl/>
          <w:lang w:bidi="ar-LB"/>
        </w:rPr>
        <w:t>وعلى هذا الأساس، فإن تبيين المبادئ</w:t>
      </w:r>
      <w:r w:rsidR="00781B95" w:rsidRPr="006571AC">
        <w:rPr>
          <w:rFonts w:hint="cs"/>
          <w:sz w:val="27"/>
          <w:rtl/>
          <w:lang w:bidi="ar-LB"/>
        </w:rPr>
        <w:t xml:space="preserve"> والمنطلقات</w:t>
      </w:r>
      <w:r w:rsidRPr="006571AC">
        <w:rPr>
          <w:sz w:val="27"/>
          <w:rtl/>
          <w:lang w:bidi="ar-LB"/>
        </w:rPr>
        <w:t xml:space="preserve"> المختلفة لأصحاب الرأي حول اعتبار رأي الأكثرية أو عدمه</w:t>
      </w:r>
      <w:r w:rsidRPr="006571AC">
        <w:rPr>
          <w:rFonts w:hint="cs"/>
          <w:sz w:val="27"/>
          <w:rtl/>
          <w:lang w:bidi="ar-LB"/>
        </w:rPr>
        <w:t>،</w:t>
      </w:r>
      <w:r w:rsidRPr="006571AC">
        <w:rPr>
          <w:sz w:val="27"/>
          <w:rtl/>
          <w:lang w:bidi="ar-LB"/>
        </w:rPr>
        <w:t xml:space="preserve"> و</w:t>
      </w:r>
      <w:r w:rsidRPr="006571AC">
        <w:rPr>
          <w:rFonts w:hint="cs"/>
          <w:sz w:val="27"/>
          <w:rtl/>
          <w:lang w:bidi="ar-LB"/>
        </w:rPr>
        <w:t xml:space="preserve">تبيين </w:t>
      </w:r>
      <w:r w:rsidRPr="006571AC">
        <w:rPr>
          <w:sz w:val="27"/>
          <w:rtl/>
          <w:lang w:bidi="ar-LB"/>
        </w:rPr>
        <w:t>مقتضيات كل</w:t>
      </w:r>
      <w:r w:rsidR="00781B95" w:rsidRPr="006571AC">
        <w:rPr>
          <w:rFonts w:hint="cs"/>
          <w:sz w:val="27"/>
          <w:rtl/>
          <w:lang w:bidi="ar-LB"/>
        </w:rPr>
        <w:t>ّ</w:t>
      </w:r>
      <w:r w:rsidRPr="006571AC">
        <w:rPr>
          <w:sz w:val="27"/>
          <w:rtl/>
          <w:lang w:bidi="ar-LB"/>
        </w:rPr>
        <w:t xml:space="preserve"> واحد من هذه المبادئ</w:t>
      </w:r>
      <w:r w:rsidRPr="006571AC">
        <w:rPr>
          <w:rFonts w:hint="cs"/>
          <w:sz w:val="27"/>
          <w:rtl/>
          <w:lang w:bidi="ar-LB"/>
        </w:rPr>
        <w:t>،</w:t>
      </w:r>
      <w:r w:rsidRPr="006571AC">
        <w:rPr>
          <w:sz w:val="27"/>
          <w:rtl/>
          <w:lang w:bidi="ar-LB"/>
        </w:rPr>
        <w:t xml:space="preserve"> وتفكيكها</w:t>
      </w:r>
      <w:r w:rsidR="00781B95" w:rsidRPr="006571AC">
        <w:rPr>
          <w:rFonts w:hint="cs"/>
          <w:sz w:val="27"/>
          <w:rtl/>
          <w:lang w:bidi="ar-LB"/>
        </w:rPr>
        <w:t>؛</w:t>
      </w:r>
      <w:r w:rsidRPr="006571AC">
        <w:rPr>
          <w:sz w:val="27"/>
          <w:rtl/>
          <w:lang w:bidi="ar-LB"/>
        </w:rPr>
        <w:t xml:space="preserve"> تجنب</w:t>
      </w:r>
      <w:r w:rsidRPr="006571AC">
        <w:rPr>
          <w:rFonts w:hint="cs"/>
          <w:sz w:val="27"/>
          <w:rtl/>
          <w:lang w:bidi="ar-LB"/>
        </w:rPr>
        <w:t>اً</w:t>
      </w:r>
      <w:r w:rsidRPr="006571AC">
        <w:rPr>
          <w:sz w:val="27"/>
          <w:rtl/>
          <w:lang w:bidi="ar-LB"/>
        </w:rPr>
        <w:t xml:space="preserve"> لخلط المباحث العلمية </w:t>
      </w:r>
      <w:r w:rsidRPr="006571AC">
        <w:rPr>
          <w:rFonts w:hint="cs"/>
          <w:sz w:val="27"/>
          <w:rtl/>
          <w:lang w:bidi="ar-LB"/>
        </w:rPr>
        <w:t>بشأن</w:t>
      </w:r>
      <w:r w:rsidRPr="006571AC">
        <w:rPr>
          <w:sz w:val="27"/>
          <w:rtl/>
          <w:lang w:bidi="ar-LB"/>
        </w:rPr>
        <w:t xml:space="preserve"> هذا الموضوع</w:t>
      </w:r>
      <w:r w:rsidR="00781B95" w:rsidRPr="006571AC">
        <w:rPr>
          <w:rFonts w:hint="cs"/>
          <w:sz w:val="27"/>
          <w:rtl/>
          <w:lang w:bidi="ar-LB"/>
        </w:rPr>
        <w:t>،</w:t>
      </w:r>
      <w:r w:rsidRPr="006571AC">
        <w:rPr>
          <w:rFonts w:hint="cs"/>
          <w:sz w:val="27"/>
          <w:rtl/>
          <w:lang w:bidi="ar-LB"/>
        </w:rPr>
        <w:t xml:space="preserve"> </w:t>
      </w:r>
      <w:r w:rsidRPr="006571AC">
        <w:rPr>
          <w:sz w:val="27"/>
          <w:rtl/>
          <w:lang w:bidi="ar-LB"/>
        </w:rPr>
        <w:t>هدف</w:t>
      </w:r>
      <w:r w:rsidRPr="006571AC">
        <w:rPr>
          <w:rFonts w:hint="cs"/>
          <w:sz w:val="27"/>
          <w:rtl/>
          <w:lang w:bidi="ar-LB"/>
        </w:rPr>
        <w:t>ٌ</w:t>
      </w:r>
      <w:r w:rsidRPr="006571AC">
        <w:rPr>
          <w:sz w:val="27"/>
          <w:rtl/>
          <w:lang w:bidi="ar-LB"/>
        </w:rPr>
        <w:t xml:space="preserve"> مهم</w:t>
      </w:r>
      <w:r w:rsidRPr="006571AC">
        <w:rPr>
          <w:rFonts w:hint="cs"/>
          <w:sz w:val="27"/>
          <w:rtl/>
          <w:lang w:bidi="ar-LB"/>
        </w:rPr>
        <w:t>ٌ</w:t>
      </w:r>
      <w:r w:rsidRPr="006571AC">
        <w:rPr>
          <w:sz w:val="27"/>
          <w:rtl/>
          <w:lang w:bidi="ar-LB"/>
        </w:rPr>
        <w:t xml:space="preserve"> آخر نسعى لتحقيقه في هذه المقالة.</w:t>
      </w:r>
    </w:p>
    <w:p w:rsidR="008C542A" w:rsidRPr="006571AC" w:rsidRDefault="008C542A" w:rsidP="00365268">
      <w:pPr>
        <w:tabs>
          <w:tab w:val="right" w:pos="6930"/>
        </w:tabs>
        <w:suppressAutoHyphens/>
        <w:rPr>
          <w:sz w:val="27"/>
          <w:rtl/>
          <w:lang w:bidi="ar-LB"/>
        </w:rPr>
      </w:pPr>
      <w:r w:rsidRPr="006571AC">
        <w:rPr>
          <w:sz w:val="27"/>
          <w:rtl/>
          <w:lang w:bidi="ar-LB"/>
        </w:rPr>
        <w:lastRenderedPageBreak/>
        <w:t>والنقطة الأهم</w:t>
      </w:r>
      <w:r w:rsidR="00781B95" w:rsidRPr="006571AC">
        <w:rPr>
          <w:rFonts w:hint="cs"/>
          <w:sz w:val="27"/>
          <w:rtl/>
          <w:lang w:bidi="ar-LB"/>
        </w:rPr>
        <w:t>ّ</w:t>
      </w:r>
      <w:r w:rsidRPr="006571AC">
        <w:rPr>
          <w:sz w:val="27"/>
          <w:rtl/>
          <w:lang w:bidi="ar-LB"/>
        </w:rPr>
        <w:t xml:space="preserve"> التي تثبتها هذه المقالة</w:t>
      </w:r>
      <w:r w:rsidRPr="006571AC">
        <w:rPr>
          <w:rFonts w:hint="cs"/>
          <w:sz w:val="27"/>
          <w:rtl/>
          <w:lang w:bidi="ar-LB"/>
        </w:rPr>
        <w:t xml:space="preserve"> </w:t>
      </w:r>
      <w:r w:rsidRPr="006571AC">
        <w:rPr>
          <w:sz w:val="27"/>
          <w:rtl/>
          <w:lang w:bidi="ar-LB"/>
        </w:rPr>
        <w:t>أن معظم أصحاب النَّظَر في مجال الفقه والفكر الإسلام</w:t>
      </w:r>
      <w:r w:rsidRPr="006571AC">
        <w:rPr>
          <w:rFonts w:hint="cs"/>
          <w:sz w:val="27"/>
          <w:rtl/>
          <w:lang w:bidi="ar-LB"/>
        </w:rPr>
        <w:t>ي</w:t>
      </w:r>
      <w:r w:rsidRPr="006571AC">
        <w:rPr>
          <w:sz w:val="27"/>
          <w:rtl/>
          <w:lang w:bidi="ar-LB"/>
        </w:rPr>
        <w:t xml:space="preserve"> قاموا </w:t>
      </w:r>
      <w:r w:rsidRPr="006571AC">
        <w:rPr>
          <w:rFonts w:hint="cs"/>
          <w:sz w:val="27"/>
          <w:rtl/>
          <w:lang w:bidi="ar-LB"/>
        </w:rPr>
        <w:t xml:space="preserve">ـ </w:t>
      </w:r>
      <w:r w:rsidRPr="006571AC">
        <w:rPr>
          <w:sz w:val="27"/>
          <w:rtl/>
          <w:lang w:bidi="ar-LB"/>
        </w:rPr>
        <w:t>وفق</w:t>
      </w:r>
      <w:r w:rsidRPr="006571AC">
        <w:rPr>
          <w:rFonts w:hint="cs"/>
          <w:sz w:val="27"/>
          <w:rtl/>
          <w:lang w:bidi="ar-LB"/>
        </w:rPr>
        <w:t>اً</w:t>
      </w:r>
      <w:r w:rsidRPr="006571AC">
        <w:rPr>
          <w:sz w:val="27"/>
          <w:rtl/>
          <w:lang w:bidi="ar-LB"/>
        </w:rPr>
        <w:t xml:space="preserve"> لمبدأ كشف الحقيقة</w:t>
      </w:r>
      <w:r w:rsidRPr="006571AC">
        <w:rPr>
          <w:rFonts w:hint="cs"/>
          <w:sz w:val="27"/>
          <w:rtl/>
          <w:lang w:bidi="ar-LB"/>
        </w:rPr>
        <w:t xml:space="preserve"> ـ </w:t>
      </w:r>
      <w:r w:rsidRPr="006571AC">
        <w:rPr>
          <w:sz w:val="27"/>
          <w:rtl/>
          <w:lang w:bidi="ar-LB"/>
        </w:rPr>
        <w:t>بإنكار اعتبار رأي الأكثرية. واد</w:t>
      </w:r>
      <w:r w:rsidRPr="006571AC">
        <w:rPr>
          <w:rFonts w:hint="cs"/>
          <w:sz w:val="27"/>
          <w:rtl/>
          <w:lang w:bidi="ar-LB"/>
        </w:rPr>
        <w:t>ّ</w:t>
      </w:r>
      <w:r w:rsidRPr="006571AC">
        <w:rPr>
          <w:sz w:val="27"/>
          <w:rtl/>
          <w:lang w:bidi="ar-LB"/>
        </w:rPr>
        <w:t>عوا أن رأي الأكثرية لا يكشف عن الحقيقة، فقد تكون أقلي</w:t>
      </w:r>
      <w:r w:rsidR="00781B95" w:rsidRPr="006571AC">
        <w:rPr>
          <w:rFonts w:hint="cs"/>
          <w:sz w:val="27"/>
          <w:rtl/>
          <w:lang w:bidi="ar-LB"/>
        </w:rPr>
        <w:t>ّ</w:t>
      </w:r>
      <w:r w:rsidRPr="006571AC">
        <w:rPr>
          <w:sz w:val="27"/>
          <w:rtl/>
          <w:lang w:bidi="ar-LB"/>
        </w:rPr>
        <w:t>ة</w:t>
      </w:r>
      <w:r w:rsidR="00781B95" w:rsidRPr="006571AC">
        <w:rPr>
          <w:rFonts w:hint="cs"/>
          <w:sz w:val="27"/>
          <w:rtl/>
          <w:lang w:bidi="ar-LB"/>
        </w:rPr>
        <w:t>ُ</w:t>
      </w:r>
      <w:r w:rsidRPr="006571AC">
        <w:rPr>
          <w:sz w:val="27"/>
          <w:rtl/>
          <w:lang w:bidi="ar-LB"/>
        </w:rPr>
        <w:t xml:space="preserve"> مجتمع</w:t>
      </w:r>
      <w:r w:rsidR="00781B95" w:rsidRPr="006571AC">
        <w:rPr>
          <w:rFonts w:hint="cs"/>
          <w:sz w:val="27"/>
          <w:rtl/>
          <w:lang w:bidi="ar-LB"/>
        </w:rPr>
        <w:t>ٍ</w:t>
      </w:r>
      <w:r w:rsidRPr="006571AC">
        <w:rPr>
          <w:sz w:val="27"/>
          <w:rtl/>
          <w:lang w:bidi="ar-LB"/>
        </w:rPr>
        <w:t xml:space="preserve"> على حق</w:t>
      </w:r>
      <w:r w:rsidR="00781B95" w:rsidRPr="006571AC">
        <w:rPr>
          <w:rFonts w:hint="cs"/>
          <w:sz w:val="27"/>
          <w:rtl/>
          <w:lang w:bidi="ar-LB"/>
        </w:rPr>
        <w:t>ٍّ</w:t>
      </w:r>
      <w:r w:rsidRPr="006571AC">
        <w:rPr>
          <w:sz w:val="27"/>
          <w:rtl/>
          <w:lang w:bidi="ar-LB"/>
        </w:rPr>
        <w:t>، والأكثرية على باطل</w:t>
      </w:r>
      <w:r w:rsidR="00781B95" w:rsidRPr="006571AC">
        <w:rPr>
          <w:rFonts w:hint="cs"/>
          <w:sz w:val="27"/>
          <w:rtl/>
          <w:lang w:bidi="ar-LB"/>
        </w:rPr>
        <w:t>ٍ</w:t>
      </w:r>
      <w:r w:rsidRPr="006571AC">
        <w:rPr>
          <w:sz w:val="27"/>
          <w:rtl/>
          <w:lang w:bidi="ar-LB"/>
        </w:rPr>
        <w:t>، فلا يجدر في اتخاذ القرارات الجماعية</w:t>
      </w:r>
      <w:r w:rsidRPr="006571AC">
        <w:rPr>
          <w:sz w:val="27"/>
          <w:rtl/>
        </w:rPr>
        <w:t xml:space="preserve"> </w:t>
      </w:r>
      <w:r w:rsidRPr="006571AC">
        <w:rPr>
          <w:sz w:val="27"/>
          <w:rtl/>
          <w:lang w:bidi="ar-LB"/>
        </w:rPr>
        <w:t>العمل برأي الأكثرية. واد</w:t>
      </w:r>
      <w:r w:rsidR="00781B95" w:rsidRPr="006571AC">
        <w:rPr>
          <w:rFonts w:hint="cs"/>
          <w:sz w:val="27"/>
          <w:rtl/>
          <w:lang w:bidi="ar-LB"/>
        </w:rPr>
        <w:t>ّ</w:t>
      </w:r>
      <w:r w:rsidRPr="006571AC">
        <w:rPr>
          <w:sz w:val="27"/>
          <w:rtl/>
          <w:lang w:bidi="ar-LB"/>
        </w:rPr>
        <w:t>عاء هذه المجموعة من العلماء عدم اعتبار رأي الأكثرية</w:t>
      </w:r>
      <w:r w:rsidRPr="006571AC">
        <w:rPr>
          <w:rFonts w:hint="cs"/>
          <w:sz w:val="27"/>
          <w:rtl/>
          <w:lang w:bidi="ar-LB"/>
        </w:rPr>
        <w:t xml:space="preserve"> </w:t>
      </w:r>
      <w:r w:rsidRPr="006571AC">
        <w:rPr>
          <w:sz w:val="27"/>
          <w:rtl/>
          <w:lang w:bidi="ar-LB"/>
        </w:rPr>
        <w:t>قائمٌ على مبدأ كشف الحقيقة</w:t>
      </w:r>
      <w:r w:rsidR="00365268" w:rsidRPr="006571AC">
        <w:rPr>
          <w:rFonts w:hint="cs"/>
          <w:sz w:val="27"/>
          <w:rtl/>
          <w:lang w:bidi="ar-LB"/>
        </w:rPr>
        <w:t>.</w:t>
      </w:r>
      <w:r w:rsidRPr="006571AC">
        <w:rPr>
          <w:sz w:val="27"/>
          <w:rtl/>
          <w:lang w:bidi="ar-LB"/>
        </w:rPr>
        <w:t xml:space="preserve"> وهذا الاد</w:t>
      </w:r>
      <w:r w:rsidRPr="006571AC">
        <w:rPr>
          <w:rFonts w:hint="cs"/>
          <w:sz w:val="27"/>
          <w:rtl/>
          <w:lang w:bidi="ar-LB"/>
        </w:rPr>
        <w:t>ّ</w:t>
      </w:r>
      <w:r w:rsidRPr="006571AC">
        <w:rPr>
          <w:sz w:val="27"/>
          <w:rtl/>
          <w:lang w:bidi="ar-LB"/>
        </w:rPr>
        <w:t>عاء</w:t>
      </w:r>
      <w:r w:rsidR="00781B95" w:rsidRPr="006571AC">
        <w:rPr>
          <w:rFonts w:hint="cs"/>
          <w:sz w:val="27"/>
          <w:rtl/>
          <w:lang w:bidi="ar-LB"/>
        </w:rPr>
        <w:t>،</w:t>
      </w:r>
      <w:r w:rsidRPr="006571AC">
        <w:rPr>
          <w:sz w:val="27"/>
          <w:rtl/>
          <w:lang w:bidi="ar-LB"/>
        </w:rPr>
        <w:t xml:space="preserve"> عل</w:t>
      </w:r>
      <w:r w:rsidR="00781B95" w:rsidRPr="006571AC">
        <w:rPr>
          <w:rFonts w:hint="cs"/>
          <w:sz w:val="27"/>
          <w:rtl/>
          <w:lang w:bidi="ar-LB"/>
        </w:rPr>
        <w:t>ى</w:t>
      </w:r>
      <w:r w:rsidRPr="006571AC">
        <w:rPr>
          <w:sz w:val="27"/>
          <w:rtl/>
          <w:lang w:bidi="ar-LB"/>
        </w:rPr>
        <w:t xml:space="preserve"> أساس هذا المبدأ، صحيح</w:t>
      </w:r>
      <w:r w:rsidR="00781B95" w:rsidRPr="006571AC">
        <w:rPr>
          <w:rFonts w:hint="cs"/>
          <w:sz w:val="27"/>
          <w:rtl/>
          <w:lang w:bidi="ar-LB"/>
        </w:rPr>
        <w:t>ٌ</w:t>
      </w:r>
      <w:r w:rsidRPr="006571AC">
        <w:rPr>
          <w:sz w:val="27"/>
          <w:rtl/>
          <w:lang w:bidi="ar-LB"/>
        </w:rPr>
        <w:t xml:space="preserve"> ومنطقي</w:t>
      </w:r>
      <w:r w:rsidR="00781B95" w:rsidRPr="006571AC">
        <w:rPr>
          <w:rFonts w:hint="cs"/>
          <w:sz w:val="27"/>
          <w:rtl/>
          <w:lang w:bidi="ar-LB"/>
        </w:rPr>
        <w:t>؛</w:t>
      </w:r>
      <w:r w:rsidRPr="006571AC">
        <w:rPr>
          <w:sz w:val="27"/>
          <w:rtl/>
          <w:lang w:bidi="ar-LB"/>
        </w:rPr>
        <w:t xml:space="preserve"> إلا</w:t>
      </w:r>
      <w:r w:rsidR="00781B95" w:rsidRPr="006571AC">
        <w:rPr>
          <w:rFonts w:hint="cs"/>
          <w:sz w:val="27"/>
          <w:rtl/>
          <w:lang w:bidi="ar-LB"/>
        </w:rPr>
        <w:t>ّ</w:t>
      </w:r>
      <w:r w:rsidRPr="006571AC">
        <w:rPr>
          <w:sz w:val="27"/>
          <w:rtl/>
          <w:lang w:bidi="ar-LB"/>
        </w:rPr>
        <w:t xml:space="preserve"> أن الأمر الذي غفلوا عنه أن أكثر حالات الاعتماد على الرأي العام في مجتمعات اليوم ليست لأجل كشف الحقيقة</w:t>
      </w:r>
      <w:r w:rsidR="00365268" w:rsidRPr="006571AC">
        <w:rPr>
          <w:rFonts w:hint="cs"/>
          <w:sz w:val="27"/>
          <w:rtl/>
          <w:lang w:bidi="ar-LB"/>
        </w:rPr>
        <w:t>؛</w:t>
      </w:r>
      <w:r w:rsidRPr="006571AC">
        <w:rPr>
          <w:sz w:val="27"/>
          <w:rtl/>
          <w:lang w:bidi="ar-LB"/>
        </w:rPr>
        <w:t xml:space="preserve"> بل لأن الناس أنفسهم يجب أن يقر</w:t>
      </w:r>
      <w:r w:rsidR="00970232" w:rsidRPr="006571AC">
        <w:rPr>
          <w:rFonts w:hint="cs"/>
          <w:sz w:val="27"/>
          <w:rtl/>
          <w:lang w:bidi="ar-LB"/>
        </w:rPr>
        <w:t>ِّ</w:t>
      </w:r>
      <w:r w:rsidRPr="006571AC">
        <w:rPr>
          <w:sz w:val="27"/>
          <w:rtl/>
          <w:lang w:bidi="ar-LB"/>
        </w:rPr>
        <w:t>روا لحياتهم</w:t>
      </w:r>
      <w:r w:rsidRPr="006571AC">
        <w:rPr>
          <w:rFonts w:hint="cs"/>
          <w:sz w:val="27"/>
          <w:rtl/>
          <w:lang w:bidi="ar-LB"/>
        </w:rPr>
        <w:t>،</w:t>
      </w:r>
      <w:r w:rsidRPr="006571AC">
        <w:rPr>
          <w:sz w:val="27"/>
          <w:rtl/>
          <w:lang w:bidi="ar-LB"/>
        </w:rPr>
        <w:t xml:space="preserve"> ولا يمكن لشخص</w:t>
      </w:r>
      <w:r w:rsidR="00970232" w:rsidRPr="006571AC">
        <w:rPr>
          <w:rFonts w:hint="cs"/>
          <w:sz w:val="27"/>
          <w:rtl/>
          <w:lang w:bidi="ar-LB"/>
        </w:rPr>
        <w:t>ٍ</w:t>
      </w:r>
      <w:r w:rsidRPr="006571AC">
        <w:rPr>
          <w:sz w:val="27"/>
          <w:rtl/>
          <w:lang w:bidi="ar-LB"/>
        </w:rPr>
        <w:t xml:space="preserve"> ما إجبارهم على فعل ش</w:t>
      </w:r>
      <w:r w:rsidRPr="006571AC">
        <w:rPr>
          <w:rFonts w:hint="cs"/>
          <w:sz w:val="27"/>
          <w:rtl/>
          <w:lang w:bidi="ar-LB"/>
        </w:rPr>
        <w:t>ي</w:t>
      </w:r>
      <w:r w:rsidRPr="006571AC">
        <w:rPr>
          <w:sz w:val="27"/>
          <w:rtl/>
          <w:lang w:bidi="ar-LB"/>
        </w:rPr>
        <w:t>ء</w:t>
      </w:r>
      <w:r w:rsidR="00970232" w:rsidRPr="006571AC">
        <w:rPr>
          <w:rFonts w:hint="cs"/>
          <w:sz w:val="27"/>
          <w:rtl/>
          <w:lang w:bidi="ar-LB"/>
        </w:rPr>
        <w:t>ٍ</w:t>
      </w:r>
      <w:r w:rsidRPr="006571AC">
        <w:rPr>
          <w:sz w:val="27"/>
          <w:rtl/>
          <w:lang w:bidi="ar-LB"/>
        </w:rPr>
        <w:t xml:space="preserve"> ضد</w:t>
      </w:r>
      <w:r w:rsidR="00970232" w:rsidRPr="006571AC">
        <w:rPr>
          <w:rFonts w:hint="cs"/>
          <w:sz w:val="27"/>
          <w:rtl/>
          <w:lang w:bidi="ar-LB"/>
        </w:rPr>
        <w:t>ّ</w:t>
      </w:r>
      <w:r w:rsidRPr="006571AC">
        <w:rPr>
          <w:sz w:val="27"/>
          <w:rtl/>
          <w:lang w:bidi="ar-LB"/>
        </w:rPr>
        <w:t xml:space="preserve"> إرادتهم، وإن</w:t>
      </w:r>
      <w:r w:rsidR="00970232" w:rsidRPr="006571AC">
        <w:rPr>
          <w:rFonts w:hint="cs"/>
          <w:sz w:val="27"/>
          <w:rtl/>
          <w:lang w:bidi="ar-LB"/>
        </w:rPr>
        <w:t>ْ</w:t>
      </w:r>
      <w:r w:rsidRPr="006571AC">
        <w:rPr>
          <w:sz w:val="27"/>
          <w:rtl/>
          <w:lang w:bidi="ar-LB"/>
        </w:rPr>
        <w:t xml:space="preserve"> كان ما يقومون به غير صحيح. وقد عُبّ</w:t>
      </w:r>
      <w:r w:rsidR="00970232" w:rsidRPr="006571AC">
        <w:rPr>
          <w:rFonts w:hint="cs"/>
          <w:sz w:val="27"/>
          <w:rtl/>
          <w:lang w:bidi="ar-LB"/>
        </w:rPr>
        <w:t>ِ</w:t>
      </w:r>
      <w:r w:rsidRPr="006571AC">
        <w:rPr>
          <w:sz w:val="27"/>
          <w:rtl/>
          <w:lang w:bidi="ar-LB"/>
        </w:rPr>
        <w:t>ر عن هذا المبدأ بحق</w:t>
      </w:r>
      <w:r w:rsidR="00970232" w:rsidRPr="006571AC">
        <w:rPr>
          <w:rFonts w:hint="cs"/>
          <w:sz w:val="27"/>
          <w:rtl/>
          <w:lang w:bidi="ar-LB"/>
        </w:rPr>
        <w:t>ّ</w:t>
      </w:r>
      <w:r w:rsidRPr="006571AC">
        <w:rPr>
          <w:sz w:val="27"/>
          <w:rtl/>
          <w:lang w:bidi="ar-LB"/>
        </w:rPr>
        <w:t xml:space="preserve"> تقرير المصير، وآليته التنفيذية في اتخاذ القرارات الجماعية الاستفتاء</w:t>
      </w:r>
      <w:r w:rsidRPr="006571AC">
        <w:rPr>
          <w:rFonts w:hint="cs"/>
          <w:sz w:val="27"/>
          <w:rtl/>
          <w:lang w:bidi="ar-LB"/>
        </w:rPr>
        <w:t>ُ</w:t>
      </w:r>
      <w:r w:rsidRPr="006571AC">
        <w:rPr>
          <w:sz w:val="27"/>
          <w:rtl/>
          <w:lang w:bidi="ar-LB"/>
        </w:rPr>
        <w:t xml:space="preserve"> العام</w:t>
      </w:r>
      <w:r w:rsidRPr="006571AC">
        <w:rPr>
          <w:rFonts w:hint="cs"/>
          <w:sz w:val="27"/>
          <w:rtl/>
          <w:lang w:bidi="ar-LB"/>
        </w:rPr>
        <w:t>،</w:t>
      </w:r>
      <w:r w:rsidRPr="006571AC">
        <w:rPr>
          <w:sz w:val="27"/>
          <w:rtl/>
          <w:lang w:bidi="ar-LB"/>
        </w:rPr>
        <w:t xml:space="preserve"> وتفضيل صوت الأغلبي</w:t>
      </w:r>
      <w:r w:rsidR="00970232" w:rsidRPr="006571AC">
        <w:rPr>
          <w:rFonts w:hint="cs"/>
          <w:sz w:val="27"/>
          <w:rtl/>
          <w:lang w:bidi="ar-LB"/>
        </w:rPr>
        <w:t>ّ</w:t>
      </w:r>
      <w:r w:rsidRPr="006571AC">
        <w:rPr>
          <w:sz w:val="27"/>
          <w:rtl/>
          <w:lang w:bidi="ar-LB"/>
        </w:rPr>
        <w:t>ة.</w:t>
      </w:r>
    </w:p>
    <w:p w:rsidR="008C542A" w:rsidRPr="006571AC" w:rsidRDefault="008C542A" w:rsidP="00706E68">
      <w:pPr>
        <w:tabs>
          <w:tab w:val="right" w:pos="6930"/>
        </w:tabs>
        <w:suppressAutoHyphens/>
        <w:rPr>
          <w:sz w:val="27"/>
          <w:rtl/>
          <w:lang w:bidi="ar-LB"/>
        </w:rPr>
      </w:pPr>
      <w:r w:rsidRPr="006571AC">
        <w:rPr>
          <w:sz w:val="27"/>
          <w:rtl/>
          <w:lang w:bidi="ar-LB"/>
        </w:rPr>
        <w:t>و</w:t>
      </w:r>
      <w:r w:rsidRPr="006571AC">
        <w:rPr>
          <w:sz w:val="27"/>
          <w:rtl/>
        </w:rPr>
        <w:t>ل</w:t>
      </w:r>
      <w:r w:rsidR="00970232" w:rsidRPr="006571AC">
        <w:rPr>
          <w:rFonts w:hint="cs"/>
          <w:sz w:val="27"/>
          <w:rtl/>
        </w:rPr>
        <w:t>إ</w:t>
      </w:r>
      <w:r w:rsidRPr="006571AC">
        <w:rPr>
          <w:sz w:val="27"/>
          <w:rtl/>
        </w:rPr>
        <w:t>ثبات هذا الاد</w:t>
      </w:r>
      <w:r w:rsidR="00970232" w:rsidRPr="006571AC">
        <w:rPr>
          <w:rFonts w:hint="cs"/>
          <w:sz w:val="27"/>
          <w:rtl/>
        </w:rPr>
        <w:t>ّ</w:t>
      </w:r>
      <w:r w:rsidRPr="006571AC">
        <w:rPr>
          <w:sz w:val="27"/>
          <w:rtl/>
        </w:rPr>
        <w:t xml:space="preserve">عاء </w:t>
      </w:r>
      <w:r w:rsidRPr="006571AC">
        <w:rPr>
          <w:sz w:val="27"/>
          <w:rtl/>
          <w:lang w:bidi="ar-LB"/>
        </w:rPr>
        <w:t>سوف نتطرّ</w:t>
      </w:r>
      <w:r w:rsidR="00970232" w:rsidRPr="006571AC">
        <w:rPr>
          <w:rFonts w:hint="cs"/>
          <w:sz w:val="27"/>
          <w:rtl/>
          <w:lang w:bidi="ar-LB"/>
        </w:rPr>
        <w:t>َ</w:t>
      </w:r>
      <w:r w:rsidRPr="006571AC">
        <w:rPr>
          <w:sz w:val="27"/>
          <w:rtl/>
          <w:lang w:bidi="ar-LB"/>
        </w:rPr>
        <w:t>ق أو</w:t>
      </w:r>
      <w:r w:rsidR="00970232" w:rsidRPr="006571AC">
        <w:rPr>
          <w:rFonts w:hint="cs"/>
          <w:sz w:val="27"/>
          <w:rtl/>
          <w:lang w:bidi="ar-LB"/>
        </w:rPr>
        <w:t>ّ</w:t>
      </w:r>
      <w:r w:rsidRPr="006571AC">
        <w:rPr>
          <w:sz w:val="27"/>
          <w:rtl/>
          <w:lang w:bidi="ar-LB"/>
        </w:rPr>
        <w:t>ل</w:t>
      </w:r>
      <w:r w:rsidRPr="006571AC">
        <w:rPr>
          <w:rFonts w:hint="cs"/>
          <w:sz w:val="27"/>
          <w:rtl/>
          <w:lang w:bidi="ar-LB"/>
        </w:rPr>
        <w:t>اً</w:t>
      </w:r>
      <w:r w:rsidRPr="006571AC">
        <w:rPr>
          <w:sz w:val="27"/>
          <w:rtl/>
          <w:lang w:bidi="ar-LB"/>
        </w:rPr>
        <w:t xml:space="preserve"> إلى شرح المفاهيم ذات الصلة، ومن ثمّ نناقش هذه الأسس الخمسة بشكلٍ عقلانيّ. وسيتمّ شرح النتائج المنطقية لصحّة رأي الأكثرية بناءً على تلك الأسس. وفي المرحلة التالية سنثبت اعتبار رأي الأكثرية من وجهة نظر القرآن الكريم وسيرة المعصومين</w:t>
      </w:r>
      <w:r w:rsidRPr="006571AC">
        <w:rPr>
          <w:rFonts w:ascii="Mosawi" w:hAnsi="Mosawi" w:cs="Mosawi"/>
          <w:sz w:val="22"/>
          <w:szCs w:val="22"/>
          <w:rtl/>
        </w:rPr>
        <w:t>^</w:t>
      </w:r>
      <w:r w:rsidRPr="006571AC">
        <w:rPr>
          <w:sz w:val="27"/>
          <w:rtl/>
          <w:lang w:bidi="ar-LB"/>
        </w:rPr>
        <w:t xml:space="preserve"> على أساس مبدأ حق</w:t>
      </w:r>
      <w:r w:rsidR="00970232" w:rsidRPr="006571AC">
        <w:rPr>
          <w:rFonts w:hint="cs"/>
          <w:sz w:val="27"/>
          <w:rtl/>
          <w:lang w:bidi="ar-LB"/>
        </w:rPr>
        <w:t>ّ</w:t>
      </w:r>
      <w:r w:rsidRPr="006571AC">
        <w:rPr>
          <w:sz w:val="27"/>
          <w:rtl/>
          <w:lang w:bidi="ar-LB"/>
        </w:rPr>
        <w:t xml:space="preserve"> تقرير المصير</w:t>
      </w:r>
      <w:r w:rsidRPr="006571AC">
        <w:rPr>
          <w:rFonts w:hint="cs"/>
          <w:sz w:val="27"/>
          <w:rtl/>
          <w:lang w:bidi="ar-LB"/>
        </w:rPr>
        <w:t>،</w:t>
      </w:r>
      <w:r w:rsidRPr="006571AC">
        <w:rPr>
          <w:sz w:val="27"/>
          <w:rtl/>
          <w:lang w:bidi="ar-LB"/>
        </w:rPr>
        <w:t xml:space="preserve"> وعدم اعتباره على أساس مبدأ كشف الحقيقة.</w:t>
      </w:r>
    </w:p>
    <w:p w:rsidR="008C542A" w:rsidRPr="006571AC" w:rsidRDefault="008C542A" w:rsidP="00465B48">
      <w:pPr>
        <w:tabs>
          <w:tab w:val="right" w:pos="6930"/>
        </w:tabs>
        <w:suppressAutoHyphens/>
        <w:rPr>
          <w:sz w:val="27"/>
          <w:rtl/>
          <w:lang w:bidi="ar-LB"/>
        </w:rPr>
      </w:pPr>
    </w:p>
    <w:p w:rsidR="008C542A" w:rsidRPr="006571AC" w:rsidRDefault="008C542A" w:rsidP="008C542A">
      <w:pPr>
        <w:pStyle w:val="31"/>
        <w:rPr>
          <w:color w:val="auto"/>
          <w:lang w:bidi="ar-LB"/>
        </w:rPr>
      </w:pPr>
      <w:bookmarkStart w:id="16" w:name="_Toc114164505"/>
      <w:r w:rsidRPr="006571AC">
        <w:rPr>
          <w:rFonts w:hint="cs"/>
          <w:color w:val="auto"/>
          <w:rtl/>
          <w:lang w:bidi="ar-LB"/>
        </w:rPr>
        <w:t>مفاهيم</w:t>
      </w:r>
      <w:r w:rsidR="00637A1B" w:rsidRPr="006571AC">
        <w:rPr>
          <w:rFonts w:hint="cs"/>
          <w:color w:val="auto"/>
          <w:rtl/>
          <w:lang w:bidi="ar-LB"/>
        </w:rPr>
        <w:t xml:space="preserve"> البحث، شرحٌ وتوضيح</w:t>
      </w:r>
      <w:bookmarkEnd w:id="16"/>
    </w:p>
    <w:p w:rsidR="008C542A" w:rsidRPr="006571AC" w:rsidRDefault="008C542A" w:rsidP="00465B48">
      <w:pPr>
        <w:tabs>
          <w:tab w:val="right" w:pos="6930"/>
        </w:tabs>
        <w:suppressAutoHyphens/>
        <w:spacing w:line="420" w:lineRule="exact"/>
        <w:rPr>
          <w:sz w:val="27"/>
          <w:rtl/>
          <w:lang w:bidi="ar-LB"/>
        </w:rPr>
      </w:pPr>
      <w:r w:rsidRPr="006571AC">
        <w:rPr>
          <w:rFonts w:hint="cs"/>
          <w:sz w:val="27"/>
          <w:rtl/>
          <w:lang w:bidi="ar-LB"/>
        </w:rPr>
        <w:t>قبل طرح ودراسة المباني المختلفة حول اعتبار رأي الأكثرية من الضروريّ شرح بعض المفاهيم والمصطلحات، وأيضاً وصف بعض أبعاد البحث.</w:t>
      </w:r>
    </w:p>
    <w:p w:rsidR="008C542A" w:rsidRPr="006571AC" w:rsidRDefault="008C542A" w:rsidP="00465B48">
      <w:pPr>
        <w:tabs>
          <w:tab w:val="right" w:pos="6930"/>
        </w:tabs>
        <w:suppressAutoHyphens/>
        <w:spacing w:line="420" w:lineRule="exact"/>
        <w:rPr>
          <w:sz w:val="27"/>
          <w:rtl/>
          <w:lang w:bidi="ar-LB"/>
        </w:rPr>
      </w:pPr>
    </w:p>
    <w:p w:rsidR="008C542A" w:rsidRPr="006571AC" w:rsidRDefault="008C542A" w:rsidP="008C542A">
      <w:pPr>
        <w:pStyle w:val="31"/>
        <w:rPr>
          <w:color w:val="auto"/>
          <w:rtl/>
          <w:lang w:bidi="ar-LB"/>
        </w:rPr>
      </w:pPr>
      <w:bookmarkStart w:id="17" w:name="_Toc114164506"/>
      <w:r w:rsidRPr="006571AC">
        <w:rPr>
          <w:rFonts w:hint="cs"/>
          <w:color w:val="auto"/>
          <w:rtl/>
          <w:lang w:bidi="ar-LB"/>
        </w:rPr>
        <w:t>1ـ الحرّية التكوينيّة والحرّية التشريعيّة</w:t>
      </w:r>
      <w:bookmarkEnd w:id="17"/>
    </w:p>
    <w:p w:rsidR="008C542A" w:rsidRPr="006571AC" w:rsidRDefault="008C542A" w:rsidP="00365268">
      <w:pPr>
        <w:tabs>
          <w:tab w:val="right" w:pos="6930"/>
        </w:tabs>
        <w:suppressAutoHyphens/>
        <w:rPr>
          <w:sz w:val="27"/>
          <w:rtl/>
          <w:lang w:bidi="ar-LB"/>
        </w:rPr>
      </w:pPr>
      <w:r w:rsidRPr="006571AC">
        <w:rPr>
          <w:rFonts w:hint="cs"/>
          <w:sz w:val="27"/>
          <w:rtl/>
          <w:lang w:bidi="ar-LB"/>
        </w:rPr>
        <w:t>تواجه الإ</w:t>
      </w:r>
      <w:r w:rsidR="00365268" w:rsidRPr="006571AC">
        <w:rPr>
          <w:rFonts w:hint="cs"/>
          <w:sz w:val="27"/>
          <w:rtl/>
          <w:lang w:bidi="ar-LB"/>
        </w:rPr>
        <w:t>را</w:t>
      </w:r>
      <w:r w:rsidRPr="006571AC">
        <w:rPr>
          <w:rFonts w:hint="cs"/>
          <w:sz w:val="27"/>
          <w:rtl/>
          <w:lang w:bidi="ar-LB"/>
        </w:rPr>
        <w:t xml:space="preserve">دة الإنسانية نوعين من المنع والجبر: </w:t>
      </w:r>
      <w:r w:rsidRPr="006571AC">
        <w:rPr>
          <w:rFonts w:hint="cs"/>
          <w:b/>
          <w:bCs/>
          <w:sz w:val="27"/>
          <w:rtl/>
          <w:lang w:bidi="ar-LB"/>
        </w:rPr>
        <w:t>الأوّل</w:t>
      </w:r>
      <w:r w:rsidRPr="006571AC">
        <w:rPr>
          <w:rFonts w:hint="cs"/>
          <w:sz w:val="27"/>
          <w:rtl/>
          <w:lang w:bidi="ar-LB"/>
        </w:rPr>
        <w:t>: منع</w:t>
      </w:r>
      <w:r w:rsidR="00970232" w:rsidRPr="006571AC">
        <w:rPr>
          <w:rFonts w:hint="cs"/>
          <w:sz w:val="27"/>
          <w:rtl/>
          <w:lang w:bidi="ar-LB"/>
        </w:rPr>
        <w:t>ٌ</w:t>
      </w:r>
      <w:r w:rsidRPr="006571AC">
        <w:rPr>
          <w:rFonts w:hint="cs"/>
          <w:sz w:val="27"/>
          <w:rtl/>
          <w:lang w:bidi="ar-LB"/>
        </w:rPr>
        <w:t xml:space="preserve"> عيني وتكويني، يعيق الإنسان عن العمل وفق رغباته بالإكراه والإجبار. وهذا النوع من المنع يكون أحياناً بقطع طرق العمل الاختياري أمام الإنسان؛ وأحياناً أخرى بإجباره على عمل لم يختَرْه. وفي كلتا الحالتين يُقال له: إجبارٌ، حيث يكون الفاعل فاقداً للاختيار والقصد. </w:t>
      </w:r>
      <w:r w:rsidRPr="006571AC">
        <w:rPr>
          <w:rFonts w:hint="cs"/>
          <w:sz w:val="27"/>
          <w:rtl/>
          <w:lang w:bidi="ar-LB"/>
        </w:rPr>
        <w:lastRenderedPageBreak/>
        <w:t>وأحياناً يتحقَّق العائق الخارجي بالتهديد بالعقوبة. وفي هذه الحالة، ورغم أن الفاعل يتمتّع بإ</w:t>
      </w:r>
      <w:r w:rsidR="00365268" w:rsidRPr="006571AC">
        <w:rPr>
          <w:rFonts w:hint="cs"/>
          <w:sz w:val="27"/>
          <w:rtl/>
          <w:lang w:bidi="ar-LB"/>
        </w:rPr>
        <w:t>رادة</w:t>
      </w:r>
      <w:r w:rsidRPr="006571AC">
        <w:rPr>
          <w:rFonts w:hint="cs"/>
          <w:sz w:val="27"/>
          <w:rtl/>
          <w:lang w:bidi="ar-LB"/>
        </w:rPr>
        <w:t xml:space="preserve"> الاختيار، فإن القيام بالفعل أو تركه ليس ممّا يرغب فيه، ويُقال عن هذا المنع: </w:t>
      </w:r>
      <w:r w:rsidRPr="006571AC">
        <w:rPr>
          <w:rFonts w:hint="eastAsia"/>
          <w:sz w:val="24"/>
          <w:szCs w:val="24"/>
          <w:rtl/>
          <w:lang w:bidi="ar-LB"/>
        </w:rPr>
        <w:t>«</w:t>
      </w:r>
      <w:r w:rsidRPr="006571AC">
        <w:rPr>
          <w:rFonts w:hint="cs"/>
          <w:sz w:val="27"/>
          <w:rtl/>
          <w:lang w:bidi="ar-LB"/>
        </w:rPr>
        <w:t>إكراه</w:t>
      </w:r>
      <w:r w:rsidRPr="006571AC">
        <w:rPr>
          <w:rFonts w:hint="eastAsia"/>
          <w:sz w:val="24"/>
          <w:szCs w:val="24"/>
          <w:rtl/>
        </w:rPr>
        <w:t>»</w:t>
      </w:r>
      <w:r w:rsidRPr="006571AC">
        <w:rPr>
          <w:rFonts w:hint="cs"/>
          <w:sz w:val="27"/>
          <w:rtl/>
          <w:lang w:bidi="ar-LB"/>
        </w:rPr>
        <w:t>. وفي كلتا الحالتين تواجه حرّية الإنسان عائقاً خارجياً، وبعبارةٍ أخرى: يتمّ سلب حرّيته.</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القسم الثاني</w:t>
      </w:r>
      <w:r w:rsidRPr="006571AC">
        <w:rPr>
          <w:rFonts w:hint="cs"/>
          <w:sz w:val="27"/>
          <w:rtl/>
          <w:lang w:bidi="ar-LB"/>
        </w:rPr>
        <w:t xml:space="preserve"> من سلب الحرّية من الإنسان هو المنع والجبر القانوني</w:t>
      </w:r>
      <w:r w:rsidR="00970232" w:rsidRPr="006571AC">
        <w:rPr>
          <w:rFonts w:hint="cs"/>
          <w:sz w:val="27"/>
          <w:rtl/>
          <w:lang w:bidi="ar-LB"/>
        </w:rPr>
        <w:t>ّ</w:t>
      </w:r>
      <w:r w:rsidRPr="006571AC">
        <w:rPr>
          <w:rFonts w:hint="cs"/>
          <w:sz w:val="27"/>
          <w:rtl/>
          <w:lang w:bidi="ar-LB"/>
        </w:rPr>
        <w:t xml:space="preserve"> والاعتباري. وفي هذه الحالة قد لا يكون هناك أيّ مانعٍ خارجي وعي</w:t>
      </w:r>
      <w:r w:rsidR="00365268" w:rsidRPr="006571AC">
        <w:rPr>
          <w:rFonts w:hint="cs"/>
          <w:sz w:val="27"/>
          <w:rtl/>
          <w:lang w:bidi="ar-LB"/>
        </w:rPr>
        <w:t>ني، ويصدر الفعل طَوْعاً وعن رضا وقبولٍ</w:t>
      </w:r>
      <w:r w:rsidRPr="006571AC">
        <w:rPr>
          <w:rFonts w:hint="cs"/>
          <w:sz w:val="27"/>
          <w:rtl/>
          <w:lang w:bidi="ar-LB"/>
        </w:rPr>
        <w:t>، ولكنْ هناك قواعد وقوانين إجباري</w:t>
      </w:r>
      <w:r w:rsidR="00970232" w:rsidRPr="006571AC">
        <w:rPr>
          <w:rFonts w:hint="cs"/>
          <w:sz w:val="27"/>
          <w:rtl/>
          <w:lang w:bidi="ar-LB"/>
        </w:rPr>
        <w:t>ّ</w:t>
      </w:r>
      <w:r w:rsidRPr="006571AC">
        <w:rPr>
          <w:rFonts w:hint="cs"/>
          <w:sz w:val="27"/>
          <w:rtl/>
          <w:lang w:bidi="ar-LB"/>
        </w:rPr>
        <w:t>ة تقف عائقاً اعتبارياً وقانونياً لإرادة الإنسان الحرّة، وتأمره بالقيام بالأعمال أو عدم القيام بها. ومنشأ القوانين الإجبارية يمكن أن يكون العقل أو الشرع أو العُرْف أو الحكومة أو أيّ شيءٍ آخر.</w:t>
      </w:r>
    </w:p>
    <w:p w:rsidR="008C542A" w:rsidRPr="006571AC" w:rsidRDefault="008C542A" w:rsidP="00365268">
      <w:pPr>
        <w:tabs>
          <w:tab w:val="right" w:pos="6930"/>
        </w:tabs>
        <w:suppressAutoHyphens/>
        <w:rPr>
          <w:sz w:val="27"/>
          <w:rtl/>
          <w:lang w:bidi="ar-LB"/>
        </w:rPr>
      </w:pPr>
      <w:r w:rsidRPr="006571AC">
        <w:rPr>
          <w:rFonts w:hint="cs"/>
          <w:sz w:val="27"/>
          <w:rtl/>
          <w:lang w:bidi="ar-LB"/>
        </w:rPr>
        <w:t>وبالنظر إلى هذين النوعين من العوائق التي تعترض إ</w:t>
      </w:r>
      <w:r w:rsidR="00365268" w:rsidRPr="006571AC">
        <w:rPr>
          <w:rFonts w:hint="cs"/>
          <w:sz w:val="27"/>
          <w:rtl/>
          <w:lang w:bidi="ar-LB"/>
        </w:rPr>
        <w:t>رادة</w:t>
      </w:r>
      <w:r w:rsidRPr="006571AC">
        <w:rPr>
          <w:rFonts w:hint="cs"/>
          <w:sz w:val="27"/>
          <w:rtl/>
          <w:lang w:bidi="ar-LB"/>
        </w:rPr>
        <w:t xml:space="preserve"> الإنسان الحرّة يمكن تقسيم الحرّية إلى قسمين: حرّية تكوينية؛ وحرية تشريعية. النقطة المقابلة للحرّية التكوينية هي الإجبار والإكراه الواقعي والعيني؛ والنقطة المقابلة للحرّية التشريعية هي القانون والقواعد الموضوعة. </w:t>
      </w:r>
      <w:r w:rsidR="00731867" w:rsidRPr="006571AC">
        <w:rPr>
          <w:sz w:val="27"/>
          <w:rtl/>
          <w:lang w:bidi="ar-LB"/>
        </w:rPr>
        <w:t>إذن</w:t>
      </w:r>
      <w:r w:rsidRPr="006571AC">
        <w:rPr>
          <w:sz w:val="27"/>
          <w:rtl/>
          <w:lang w:bidi="ar-LB"/>
        </w:rPr>
        <w:t xml:space="preserve"> فالفرد أو المجتمع الذي لم ي</w:t>
      </w:r>
      <w:r w:rsidRPr="006571AC">
        <w:rPr>
          <w:rFonts w:hint="cs"/>
          <w:sz w:val="27"/>
          <w:rtl/>
          <w:lang w:bidi="ar-LB"/>
        </w:rPr>
        <w:t>ُ</w:t>
      </w:r>
      <w:r w:rsidRPr="006571AC">
        <w:rPr>
          <w:sz w:val="27"/>
          <w:rtl/>
          <w:lang w:bidi="ar-LB"/>
        </w:rPr>
        <w:t>ج</w:t>
      </w:r>
      <w:r w:rsidR="006A7F0C" w:rsidRPr="006571AC">
        <w:rPr>
          <w:rFonts w:hint="cs"/>
          <w:sz w:val="27"/>
          <w:rtl/>
          <w:lang w:bidi="ar-LB"/>
        </w:rPr>
        <w:t>ْ</w:t>
      </w:r>
      <w:r w:rsidRPr="006571AC">
        <w:rPr>
          <w:sz w:val="27"/>
          <w:rtl/>
          <w:lang w:bidi="ar-LB"/>
        </w:rPr>
        <w:t>ب</w:t>
      </w:r>
      <w:r w:rsidRPr="006571AC">
        <w:rPr>
          <w:rFonts w:hint="cs"/>
          <w:sz w:val="27"/>
          <w:rtl/>
          <w:lang w:bidi="ar-LB"/>
        </w:rPr>
        <w:t>َ</w:t>
      </w:r>
      <w:r w:rsidRPr="006571AC">
        <w:rPr>
          <w:sz w:val="27"/>
          <w:rtl/>
          <w:lang w:bidi="ar-LB"/>
        </w:rPr>
        <w:t>ر أو ي</w:t>
      </w:r>
      <w:r w:rsidRPr="006571AC">
        <w:rPr>
          <w:rFonts w:hint="cs"/>
          <w:sz w:val="27"/>
          <w:rtl/>
          <w:lang w:bidi="ar-LB"/>
        </w:rPr>
        <w:t>ُ</w:t>
      </w:r>
      <w:r w:rsidRPr="006571AC">
        <w:rPr>
          <w:sz w:val="27"/>
          <w:rtl/>
          <w:lang w:bidi="ar-LB"/>
        </w:rPr>
        <w:t>ك</w:t>
      </w:r>
      <w:r w:rsidR="006A7F0C" w:rsidRPr="006571AC">
        <w:rPr>
          <w:rFonts w:hint="cs"/>
          <w:sz w:val="27"/>
          <w:rtl/>
          <w:lang w:bidi="ar-LB"/>
        </w:rPr>
        <w:t>ْ</w:t>
      </w:r>
      <w:r w:rsidRPr="006571AC">
        <w:rPr>
          <w:sz w:val="27"/>
          <w:rtl/>
          <w:lang w:bidi="ar-LB"/>
        </w:rPr>
        <w:t>ر</w:t>
      </w:r>
      <w:r w:rsidRPr="006571AC">
        <w:rPr>
          <w:rFonts w:hint="cs"/>
          <w:sz w:val="27"/>
          <w:rtl/>
          <w:lang w:bidi="ar-LB"/>
        </w:rPr>
        <w:t>َ</w:t>
      </w:r>
      <w:r w:rsidRPr="006571AC">
        <w:rPr>
          <w:sz w:val="27"/>
          <w:rtl/>
          <w:lang w:bidi="ar-LB"/>
        </w:rPr>
        <w:t xml:space="preserve">ه على القيام بالفعل أو تركه لديه </w:t>
      </w:r>
      <w:r w:rsidRPr="006571AC">
        <w:rPr>
          <w:rFonts w:hint="cs"/>
          <w:sz w:val="27"/>
          <w:rtl/>
          <w:lang w:bidi="ar-LB"/>
        </w:rPr>
        <w:t>حر</w:t>
      </w:r>
      <w:r w:rsidR="006A7F0C" w:rsidRPr="006571AC">
        <w:rPr>
          <w:rFonts w:hint="cs"/>
          <w:sz w:val="27"/>
          <w:rtl/>
          <w:lang w:bidi="ar-LB"/>
        </w:rPr>
        <w:t>ّ</w:t>
      </w:r>
      <w:r w:rsidRPr="006571AC">
        <w:rPr>
          <w:rFonts w:hint="cs"/>
          <w:sz w:val="27"/>
          <w:rtl/>
          <w:lang w:bidi="ar-LB"/>
        </w:rPr>
        <w:t xml:space="preserve">ية تكوينية </w:t>
      </w:r>
      <w:r w:rsidRPr="006571AC">
        <w:rPr>
          <w:sz w:val="27"/>
          <w:rtl/>
          <w:lang w:bidi="ar-LB"/>
        </w:rPr>
        <w:t xml:space="preserve">بالنسبة </w:t>
      </w:r>
      <w:r w:rsidRPr="006571AC">
        <w:rPr>
          <w:rFonts w:hint="cs"/>
          <w:sz w:val="27"/>
          <w:rtl/>
          <w:lang w:bidi="ar-LB"/>
        </w:rPr>
        <w:t xml:space="preserve">إلى </w:t>
      </w:r>
      <w:r w:rsidRPr="006571AC">
        <w:rPr>
          <w:sz w:val="27"/>
          <w:rtl/>
          <w:lang w:bidi="ar-LB"/>
        </w:rPr>
        <w:t>هذا الفعل أو تركه، والفرد أو المجتمع الذي لم ي</w:t>
      </w:r>
      <w:r w:rsidRPr="006571AC">
        <w:rPr>
          <w:rFonts w:hint="cs"/>
          <w:sz w:val="27"/>
          <w:rtl/>
          <w:lang w:bidi="ar-LB"/>
        </w:rPr>
        <w:t>ُ</w:t>
      </w:r>
      <w:r w:rsidRPr="006571AC">
        <w:rPr>
          <w:sz w:val="27"/>
          <w:rtl/>
          <w:lang w:bidi="ar-LB"/>
        </w:rPr>
        <w:t>ل</w:t>
      </w:r>
      <w:r w:rsidR="006A7F0C" w:rsidRPr="006571AC">
        <w:rPr>
          <w:rFonts w:hint="cs"/>
          <w:sz w:val="27"/>
          <w:rtl/>
          <w:lang w:bidi="ar-LB"/>
        </w:rPr>
        <w:t>ْ</w:t>
      </w:r>
      <w:r w:rsidRPr="006571AC">
        <w:rPr>
          <w:sz w:val="27"/>
          <w:rtl/>
          <w:lang w:bidi="ar-LB"/>
        </w:rPr>
        <w:t>ز</w:t>
      </w:r>
      <w:r w:rsidRPr="006571AC">
        <w:rPr>
          <w:rFonts w:hint="cs"/>
          <w:sz w:val="27"/>
          <w:rtl/>
          <w:lang w:bidi="ar-LB"/>
        </w:rPr>
        <w:t>َ</w:t>
      </w:r>
      <w:r w:rsidRPr="006571AC">
        <w:rPr>
          <w:sz w:val="27"/>
          <w:rtl/>
          <w:lang w:bidi="ar-LB"/>
        </w:rPr>
        <w:t>م القيام بالفعل أو تركه وفق نظام</w:t>
      </w:r>
      <w:r w:rsidR="006A7F0C" w:rsidRPr="006571AC">
        <w:rPr>
          <w:rFonts w:hint="cs"/>
          <w:sz w:val="27"/>
          <w:rtl/>
          <w:lang w:bidi="ar-LB"/>
        </w:rPr>
        <w:t>ٍ</w:t>
      </w:r>
      <w:r w:rsidRPr="006571AC">
        <w:rPr>
          <w:sz w:val="27"/>
          <w:rtl/>
          <w:lang w:bidi="ar-LB"/>
        </w:rPr>
        <w:t xml:space="preserve"> اعتباري تشريع</w:t>
      </w:r>
      <w:r w:rsidRPr="006571AC">
        <w:rPr>
          <w:rFonts w:hint="cs"/>
          <w:sz w:val="27"/>
          <w:rtl/>
          <w:lang w:bidi="ar-LB"/>
        </w:rPr>
        <w:t>ي</w:t>
      </w:r>
      <w:r w:rsidRPr="006571AC">
        <w:rPr>
          <w:sz w:val="27"/>
          <w:rtl/>
          <w:lang w:bidi="ar-LB"/>
        </w:rPr>
        <w:t xml:space="preserve"> وقانون</w:t>
      </w:r>
      <w:r w:rsidRPr="006571AC">
        <w:rPr>
          <w:rFonts w:hint="cs"/>
          <w:sz w:val="27"/>
          <w:rtl/>
          <w:lang w:bidi="ar-LB"/>
        </w:rPr>
        <w:t xml:space="preserve">ي </w:t>
      </w:r>
      <w:r w:rsidRPr="006571AC">
        <w:rPr>
          <w:sz w:val="27"/>
          <w:rtl/>
          <w:lang w:bidi="ar-LB"/>
        </w:rPr>
        <w:t>لديه بالنسبة لهذا الفعل أو تركه حر</w:t>
      </w:r>
      <w:r w:rsidR="006A7F0C" w:rsidRPr="006571AC">
        <w:rPr>
          <w:rFonts w:hint="cs"/>
          <w:sz w:val="27"/>
          <w:rtl/>
          <w:lang w:bidi="ar-LB"/>
        </w:rPr>
        <w:t>ّ</w:t>
      </w:r>
      <w:r w:rsidRPr="006571AC">
        <w:rPr>
          <w:sz w:val="27"/>
          <w:rtl/>
          <w:lang w:bidi="ar-LB"/>
        </w:rPr>
        <w:t xml:space="preserve">ية تشريعية. </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إن الخلط الواقع بين هذين المفهومين لدى الكثير من أصحاب النَّظَر، وبالتَّبَع لدى عامّة الناس، أدّى إلى الكثير من سوء الفهم. وعلى سبيل المثال: إن كلمة </w:t>
      </w:r>
      <w:r w:rsidRPr="006571AC">
        <w:rPr>
          <w:rFonts w:hint="eastAsia"/>
          <w:sz w:val="24"/>
          <w:szCs w:val="24"/>
          <w:rtl/>
          <w:lang w:bidi="ar-LB"/>
        </w:rPr>
        <w:t>«</w:t>
      </w:r>
      <w:r w:rsidRPr="006571AC">
        <w:rPr>
          <w:rFonts w:hint="cs"/>
          <w:sz w:val="27"/>
          <w:rtl/>
          <w:lang w:bidi="ar-LB"/>
        </w:rPr>
        <w:t>حرّية</w:t>
      </w:r>
      <w:r w:rsidRPr="006571AC">
        <w:rPr>
          <w:rFonts w:hint="eastAsia"/>
          <w:sz w:val="24"/>
          <w:szCs w:val="24"/>
          <w:rtl/>
        </w:rPr>
        <w:t>»</w:t>
      </w:r>
      <w:r w:rsidRPr="006571AC">
        <w:rPr>
          <w:rFonts w:hint="cs"/>
          <w:sz w:val="27"/>
          <w:rtl/>
          <w:lang w:bidi="ar-LB"/>
        </w:rPr>
        <w:t xml:space="preserve"> في جملة </w:t>
      </w:r>
      <w:r w:rsidRPr="006571AC">
        <w:rPr>
          <w:rFonts w:hint="eastAsia"/>
          <w:sz w:val="24"/>
          <w:szCs w:val="24"/>
          <w:rtl/>
          <w:lang w:bidi="ar-LB"/>
        </w:rPr>
        <w:t>«</w:t>
      </w:r>
      <w:r w:rsidRPr="006571AC">
        <w:rPr>
          <w:rFonts w:hint="cs"/>
          <w:sz w:val="27"/>
          <w:rtl/>
          <w:lang w:bidi="ar-LB"/>
        </w:rPr>
        <w:t>الإسلام مع الحرّية</w:t>
      </w:r>
      <w:r w:rsidRPr="006571AC">
        <w:rPr>
          <w:rFonts w:hint="eastAsia"/>
          <w:sz w:val="24"/>
          <w:szCs w:val="24"/>
          <w:rtl/>
        </w:rPr>
        <w:t>»</w:t>
      </w:r>
      <w:r w:rsidRPr="006571AC">
        <w:rPr>
          <w:rFonts w:hint="cs"/>
          <w:sz w:val="27"/>
          <w:rtl/>
          <w:lang w:bidi="ar-LB"/>
        </w:rPr>
        <w:t xml:space="preserve"> مشتركٌ لفظيّ بين هذين المعنيين [أي الحرّية التكوينية والحرّية التشريعية]، ولذلك هي مُجْمَلةٌ، وبحاجة إلى تحديد أيّ المعنيين هو المقصود؟</w:t>
      </w:r>
      <w:r w:rsidR="006A7F0C" w:rsidRPr="006571AC">
        <w:rPr>
          <w:rFonts w:hint="cs"/>
          <w:sz w:val="27"/>
          <w:rtl/>
          <w:lang w:bidi="ar-LB"/>
        </w:rPr>
        <w:t xml:space="preserve"> </w:t>
      </w:r>
      <w:r w:rsidRPr="006571AC">
        <w:rPr>
          <w:rFonts w:hint="cs"/>
          <w:sz w:val="27"/>
          <w:rtl/>
          <w:lang w:bidi="ar-LB"/>
        </w:rPr>
        <w:t xml:space="preserve">فإذا كان المقصود من كلمة </w:t>
      </w:r>
      <w:r w:rsidRPr="006571AC">
        <w:rPr>
          <w:rFonts w:hint="eastAsia"/>
          <w:sz w:val="24"/>
          <w:szCs w:val="24"/>
          <w:rtl/>
          <w:lang w:bidi="ar-LB"/>
        </w:rPr>
        <w:t>«</w:t>
      </w:r>
      <w:r w:rsidRPr="006571AC">
        <w:rPr>
          <w:rFonts w:hint="cs"/>
          <w:sz w:val="27"/>
          <w:rtl/>
          <w:lang w:bidi="ar-LB"/>
        </w:rPr>
        <w:t>حرّية</w:t>
      </w:r>
      <w:r w:rsidRPr="006571AC">
        <w:rPr>
          <w:rFonts w:hint="eastAsia"/>
          <w:sz w:val="24"/>
          <w:szCs w:val="24"/>
          <w:rtl/>
        </w:rPr>
        <w:t>»</w:t>
      </w:r>
      <w:r w:rsidRPr="006571AC">
        <w:rPr>
          <w:rFonts w:hint="cs"/>
          <w:sz w:val="27"/>
          <w:rtl/>
          <w:lang w:bidi="ar-LB"/>
        </w:rPr>
        <w:t xml:space="preserve"> في هذه الجملة هي الحرّية التشريعية فمعنى ذلك أن الإسلام يفتقد إلى القوانين الإجبارية في كلّ المجالات الفردية والاجتماعية، أو في أكثرها؛ وإذا كان المقصود هو </w:t>
      </w:r>
      <w:r w:rsidRPr="006571AC">
        <w:rPr>
          <w:rFonts w:hint="eastAsia"/>
          <w:sz w:val="24"/>
          <w:szCs w:val="24"/>
          <w:rtl/>
          <w:lang w:bidi="ar-LB"/>
        </w:rPr>
        <w:t>«</w:t>
      </w:r>
      <w:r w:rsidRPr="006571AC">
        <w:rPr>
          <w:rFonts w:hint="cs"/>
          <w:sz w:val="27"/>
          <w:rtl/>
          <w:lang w:bidi="ar-LB"/>
        </w:rPr>
        <w:t>الحرّية التكوينية</w:t>
      </w:r>
      <w:r w:rsidRPr="006571AC">
        <w:rPr>
          <w:rFonts w:hint="eastAsia"/>
          <w:sz w:val="24"/>
          <w:szCs w:val="24"/>
          <w:rtl/>
        </w:rPr>
        <w:t>»</w:t>
      </w:r>
      <w:r w:rsidRPr="006571AC">
        <w:rPr>
          <w:rFonts w:hint="cs"/>
          <w:sz w:val="27"/>
          <w:rtl/>
          <w:lang w:bidi="ar-LB"/>
        </w:rPr>
        <w:t xml:space="preserve"> فمعنى ذلك أن الإسلام، ورغم توفُّره على قوانين إجبارية في كلّ المجالات الفردية والاجتماعية، أو في أكثرها، ولكن</w:t>
      </w:r>
      <w:r w:rsidR="006A7F0C" w:rsidRPr="006571AC">
        <w:rPr>
          <w:rFonts w:hint="cs"/>
          <w:sz w:val="27"/>
          <w:rtl/>
          <w:lang w:bidi="ar-LB"/>
        </w:rPr>
        <w:t>ّ</w:t>
      </w:r>
      <w:r w:rsidRPr="006571AC">
        <w:rPr>
          <w:rFonts w:hint="cs"/>
          <w:sz w:val="27"/>
          <w:rtl/>
          <w:lang w:bidi="ar-LB"/>
        </w:rPr>
        <w:t>ه لم يجبر الناس على اتّباعها.</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المعنى الثالث الذي يُراد من الحرّية أحياناً هو صفة الاختيار لدى الإنسان، وهو </w:t>
      </w:r>
      <w:r w:rsidRPr="006571AC">
        <w:rPr>
          <w:rFonts w:hint="cs"/>
          <w:sz w:val="27"/>
          <w:rtl/>
          <w:lang w:bidi="ar-LB"/>
        </w:rPr>
        <w:lastRenderedPageBreak/>
        <w:t xml:space="preserve">المقصود من هذه الجملة </w:t>
      </w:r>
      <w:r w:rsidRPr="006571AC">
        <w:rPr>
          <w:rFonts w:hint="eastAsia"/>
          <w:sz w:val="24"/>
          <w:szCs w:val="24"/>
          <w:rtl/>
          <w:lang w:bidi="ar-LB"/>
        </w:rPr>
        <w:t>«</w:t>
      </w:r>
      <w:r w:rsidRPr="006571AC">
        <w:rPr>
          <w:rFonts w:hint="cs"/>
          <w:sz w:val="27"/>
          <w:rtl/>
          <w:lang w:bidi="ar-LB"/>
        </w:rPr>
        <w:t>الإنسان خُلق حرّاً</w:t>
      </w:r>
      <w:r w:rsidRPr="006571AC">
        <w:rPr>
          <w:rFonts w:hint="eastAsia"/>
          <w:sz w:val="24"/>
          <w:szCs w:val="24"/>
          <w:rtl/>
        </w:rPr>
        <w:t>»</w:t>
      </w:r>
      <w:r w:rsidRPr="006571AC">
        <w:rPr>
          <w:rFonts w:hint="cs"/>
          <w:sz w:val="27"/>
          <w:rtl/>
          <w:lang w:bidi="ar-LB"/>
        </w:rPr>
        <w:t>. وأصحاب الجبر هم الذين يعترضون على هذا المعنى؛ إذ إنهم ينكرون صفة الاختيار لدى الإنسان. والحرّية بهذا المعنى لا يمكن لأحد</w:t>
      </w:r>
      <w:r w:rsidR="006A7F0C" w:rsidRPr="006571AC">
        <w:rPr>
          <w:rFonts w:hint="cs"/>
          <w:sz w:val="27"/>
          <w:rtl/>
          <w:lang w:bidi="ar-LB"/>
        </w:rPr>
        <w:t>ٍ</w:t>
      </w:r>
      <w:r w:rsidRPr="006571AC">
        <w:rPr>
          <w:rFonts w:hint="cs"/>
          <w:sz w:val="27"/>
          <w:rtl/>
          <w:lang w:bidi="ar-LB"/>
        </w:rPr>
        <w:t xml:space="preserve"> غير الله سلبها من الإنسان. الفرد أو النظام الطاغي يمكنه فقط أن يمنع الإنسان من العمل بمقتضى صفة الاختيار لديه، ويجبره على القيام بعملٍ ما، وبعبارةٍ أخرى: يسلب حرّيته التكويني</w:t>
      </w:r>
      <w:r w:rsidR="006A7F0C" w:rsidRPr="006571AC">
        <w:rPr>
          <w:rFonts w:hint="cs"/>
          <w:sz w:val="27"/>
          <w:rtl/>
          <w:lang w:bidi="ar-LB"/>
        </w:rPr>
        <w:t>ّ</w:t>
      </w:r>
      <w:r w:rsidRPr="006571AC">
        <w:rPr>
          <w:rFonts w:hint="cs"/>
          <w:sz w:val="27"/>
          <w:rtl/>
          <w:lang w:bidi="ar-LB"/>
        </w:rPr>
        <w:t>ة، ولكنه لا يستطيع أن يسلب منه هذه الصفة الكمالية، وهي الاختيار، ويحوِّله إلى كائنٍ غير مختار، كالجمادات.</w:t>
      </w:r>
    </w:p>
    <w:p w:rsidR="008C542A" w:rsidRPr="006571AC" w:rsidRDefault="008C542A" w:rsidP="00706E68">
      <w:pPr>
        <w:tabs>
          <w:tab w:val="right" w:pos="6930"/>
        </w:tabs>
        <w:suppressAutoHyphens/>
        <w:rPr>
          <w:sz w:val="27"/>
          <w:rtl/>
          <w:lang w:bidi="ar-LB"/>
        </w:rPr>
      </w:pPr>
      <w:r w:rsidRPr="006571AC">
        <w:rPr>
          <w:rFonts w:hint="cs"/>
          <w:sz w:val="27"/>
          <w:rtl/>
          <w:lang w:bidi="ar-LB"/>
        </w:rPr>
        <w:t>ولن يتمّ بحث هذا المعنى في هذا المقال، وإنما قبوله من الفرضيّات المسلَّمة له.</w:t>
      </w:r>
    </w:p>
    <w:p w:rsidR="008C542A" w:rsidRPr="006571AC" w:rsidRDefault="008C542A" w:rsidP="00AC023B">
      <w:pPr>
        <w:tabs>
          <w:tab w:val="right" w:pos="6930"/>
        </w:tabs>
        <w:suppressAutoHyphens/>
        <w:spacing w:line="420" w:lineRule="exact"/>
        <w:rPr>
          <w:sz w:val="27"/>
          <w:rtl/>
          <w:lang w:bidi="ar-LB"/>
        </w:rPr>
      </w:pPr>
    </w:p>
    <w:p w:rsidR="008C542A" w:rsidRPr="006571AC" w:rsidRDefault="008C542A" w:rsidP="008C542A">
      <w:pPr>
        <w:pStyle w:val="31"/>
        <w:rPr>
          <w:color w:val="auto"/>
          <w:rtl/>
          <w:lang w:bidi="ar-LB"/>
        </w:rPr>
      </w:pPr>
      <w:bookmarkStart w:id="18" w:name="_Toc114164507"/>
      <w:r w:rsidRPr="006571AC">
        <w:rPr>
          <w:rFonts w:hint="cs"/>
          <w:color w:val="auto"/>
          <w:rtl/>
          <w:lang w:bidi="ar-LB"/>
        </w:rPr>
        <w:t>2ـ الحكومة المنشودة والحكم النهائيّ</w:t>
      </w:r>
      <w:bookmarkEnd w:id="18"/>
    </w:p>
    <w:p w:rsidR="008C542A" w:rsidRPr="006571AC" w:rsidRDefault="008C542A" w:rsidP="00706E68">
      <w:pPr>
        <w:tabs>
          <w:tab w:val="right" w:pos="6930"/>
        </w:tabs>
        <w:suppressAutoHyphens/>
        <w:rPr>
          <w:sz w:val="27"/>
          <w:rtl/>
          <w:lang w:bidi="ar-LB"/>
        </w:rPr>
      </w:pPr>
      <w:r w:rsidRPr="006571AC">
        <w:rPr>
          <w:rFonts w:hint="cs"/>
          <w:sz w:val="27"/>
          <w:rtl/>
          <w:lang w:bidi="ar-LB"/>
        </w:rPr>
        <w:t>في مسألة تحديد الحاكمية السياسية لمجتمعٍ ما ينبغي الفصل بين مرحلتين:</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 هي تقديم نموذجٍ حكومي</w:t>
      </w:r>
      <w:r w:rsidR="00492B6F" w:rsidRPr="006571AC">
        <w:rPr>
          <w:rFonts w:hint="cs"/>
          <w:sz w:val="27"/>
          <w:rtl/>
          <w:lang w:bidi="ar-LB"/>
        </w:rPr>
        <w:t>ّ</w:t>
      </w:r>
      <w:r w:rsidRPr="006571AC">
        <w:rPr>
          <w:rFonts w:hint="cs"/>
          <w:sz w:val="27"/>
          <w:rtl/>
          <w:lang w:bidi="ar-LB"/>
        </w:rPr>
        <w:t xml:space="preserve"> ملائم.</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تعيين الحكم النهائي</w:t>
      </w:r>
      <w:r w:rsidR="00492B6F" w:rsidRPr="006571AC">
        <w:rPr>
          <w:rFonts w:hint="cs"/>
          <w:sz w:val="27"/>
          <w:rtl/>
          <w:lang w:bidi="ar-LB"/>
        </w:rPr>
        <w:t>ّ</w:t>
      </w:r>
      <w:r w:rsidRPr="006571AC">
        <w:rPr>
          <w:rFonts w:hint="cs"/>
          <w:sz w:val="27"/>
          <w:rtl/>
          <w:lang w:bidi="ar-LB"/>
        </w:rPr>
        <w:t xml:space="preserve"> في حالات اختلاف الناس في تحديد الحكومة المنشودة.</w:t>
      </w:r>
    </w:p>
    <w:p w:rsidR="008C542A" w:rsidRPr="006571AC" w:rsidRDefault="008C542A" w:rsidP="00706E68">
      <w:pPr>
        <w:tabs>
          <w:tab w:val="right" w:pos="6930"/>
        </w:tabs>
        <w:suppressAutoHyphens/>
        <w:rPr>
          <w:sz w:val="27"/>
          <w:rtl/>
          <w:lang w:bidi="ar-LB"/>
        </w:rPr>
      </w:pPr>
      <w:r w:rsidRPr="006571AC">
        <w:rPr>
          <w:rFonts w:hint="cs"/>
          <w:sz w:val="27"/>
          <w:rtl/>
          <w:lang w:bidi="ar-LB"/>
        </w:rPr>
        <w:t>في المرحلة الأولى يكون الحديث عن الحقّ والباطل، والجيّد والسيّئ، لنظريّةٍ ما في الحكومة. في هذه المرحلة من الممكن أن يقترح البعض الحكومة الإسلامية؛ والبعض الآخر نماذج أخرى للحكومة. ولكنْ ما من شَكٍّ في أنه من النادر أن يتّفق الجميع على حكومةٍ واحدة، أي يتمّ التوصُّل إلى نموذجٍ معيّن من الحكومة وكلّ ما يتعلّق بها من خلال الاتفاق بين الأطراف المختلفة.</w:t>
      </w:r>
    </w:p>
    <w:p w:rsidR="008C542A" w:rsidRPr="006571AC" w:rsidRDefault="008C542A" w:rsidP="00706E68">
      <w:pPr>
        <w:tabs>
          <w:tab w:val="right" w:pos="6930"/>
        </w:tabs>
        <w:suppressAutoHyphens/>
        <w:rPr>
          <w:sz w:val="27"/>
          <w:rtl/>
          <w:lang w:bidi="ar-LB"/>
        </w:rPr>
      </w:pPr>
      <w:r w:rsidRPr="006571AC">
        <w:rPr>
          <w:rFonts w:hint="cs"/>
          <w:sz w:val="27"/>
          <w:rtl/>
          <w:lang w:bidi="ar-LB"/>
        </w:rPr>
        <w:t>وهنا نكون بحاجةٍ إلى المرحلة الثانية، أي بعد وجود الاختلاف بين الناس في تحديد نموذجٍ مناسب للحكومة، أو أيّ شيءٍ يتعلّق بالسيادة على المجتمع، فنحن بحاجةٍ إلى حلٍّ عقلاني</w:t>
      </w:r>
      <w:r w:rsidR="00492B6F" w:rsidRPr="006571AC">
        <w:rPr>
          <w:rFonts w:hint="cs"/>
          <w:sz w:val="27"/>
          <w:rtl/>
          <w:lang w:bidi="ar-LB"/>
        </w:rPr>
        <w:t>ّ</w:t>
      </w:r>
      <w:r w:rsidRPr="006571AC">
        <w:rPr>
          <w:rFonts w:hint="cs"/>
          <w:sz w:val="27"/>
          <w:rtl/>
          <w:lang w:bidi="ar-LB"/>
        </w:rPr>
        <w:t xml:space="preserve"> وأخلاقي</w:t>
      </w:r>
      <w:r w:rsidR="00492B6F" w:rsidRPr="006571AC">
        <w:rPr>
          <w:rFonts w:hint="cs"/>
          <w:sz w:val="27"/>
          <w:rtl/>
          <w:lang w:bidi="ar-LB"/>
        </w:rPr>
        <w:t>ّ</w:t>
      </w:r>
      <w:r w:rsidRPr="006571AC">
        <w:rPr>
          <w:rFonts w:hint="cs"/>
          <w:sz w:val="27"/>
          <w:rtl/>
          <w:lang w:bidi="ar-LB"/>
        </w:rPr>
        <w:t xml:space="preserve"> للخروج من النزاعات، وتعيين تطبيق نموذجٍ حكومي من بين النماذج المتنازَع عليها. هذا الحلّ العمليّ هو (الحكم النهائيّ) في حالات الخلاف بين الناس. وهناك أيضاً فصلٌ بين هاتين المرحلتين في أيّ قرارٍ جماعي</w:t>
      </w:r>
      <w:r w:rsidR="00492B6F" w:rsidRPr="006571AC">
        <w:rPr>
          <w:rFonts w:hint="cs"/>
          <w:sz w:val="27"/>
          <w:rtl/>
          <w:lang w:bidi="ar-LB"/>
        </w:rPr>
        <w:t>ّ</w:t>
      </w:r>
      <w:r w:rsidRPr="006571AC">
        <w:rPr>
          <w:rFonts w:hint="cs"/>
          <w:sz w:val="27"/>
          <w:rtl/>
          <w:lang w:bidi="ar-LB"/>
        </w:rPr>
        <w:t xml:space="preserve"> محلّ نزاعٍ. تتمثَّل الخطوة الأولى من تحديد القرار الأفضل؛ والخطوة الثانية هي تحديد حلٍّ لتقديم أحد القرارات المعروضة من أجل تنفيذه.</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تحديد وقبول حكم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في القرارات الجماعية في المجتمع يدلّ </w:t>
      </w:r>
      <w:r w:rsidRPr="006571AC">
        <w:rPr>
          <w:rFonts w:hint="cs"/>
          <w:sz w:val="27"/>
          <w:rtl/>
          <w:lang w:bidi="ar-LB"/>
        </w:rPr>
        <w:lastRenderedPageBreak/>
        <w:t>على الالتزام بقواعد اللعبة في الحياة الاجتماعية. في لعبةٍ رياضية يتعلَّق الأمر أحياناً بالسلوك الصحيح أو الخاطئ للاعب. قد تكون هناك آراء مختلفة في هذه المرحلة، لكنّ التخطيط لهذه الآراء ومناقشتها لن يؤدّي بحدّ ذاته إلى تشكيل لعبة</w:t>
      </w:r>
      <w:r w:rsidR="00492B6F" w:rsidRPr="006571AC">
        <w:rPr>
          <w:rFonts w:hint="cs"/>
          <w:sz w:val="27"/>
          <w:rtl/>
          <w:lang w:bidi="ar-LB"/>
        </w:rPr>
        <w:t>ٍ</w:t>
      </w:r>
      <w:r w:rsidRPr="006571AC">
        <w:rPr>
          <w:rFonts w:hint="cs"/>
          <w:sz w:val="27"/>
          <w:rtl/>
          <w:lang w:bidi="ar-LB"/>
        </w:rPr>
        <w:t xml:space="preserve"> سياسية سلمية ومنضبطة، بل يحتاج إلى </w:t>
      </w:r>
      <w:r w:rsidRPr="006571AC">
        <w:rPr>
          <w:rFonts w:hint="eastAsia"/>
          <w:sz w:val="24"/>
          <w:szCs w:val="24"/>
          <w:rtl/>
          <w:lang w:bidi="ar-LB"/>
        </w:rPr>
        <w:t>«</w:t>
      </w:r>
      <w:r w:rsidRPr="006571AC">
        <w:rPr>
          <w:rFonts w:hint="cs"/>
          <w:sz w:val="27"/>
          <w:rtl/>
          <w:lang w:bidi="ar-LB"/>
        </w:rPr>
        <w:t>حَكَم</w:t>
      </w:r>
      <w:r w:rsidRPr="006571AC">
        <w:rPr>
          <w:rFonts w:hint="eastAsia"/>
          <w:sz w:val="24"/>
          <w:szCs w:val="24"/>
          <w:rtl/>
        </w:rPr>
        <w:t>»</w:t>
      </w:r>
      <w:r w:rsidRPr="006571AC">
        <w:rPr>
          <w:rFonts w:hint="cs"/>
          <w:sz w:val="27"/>
          <w:rtl/>
          <w:lang w:bidi="ar-LB"/>
        </w:rPr>
        <w:t xml:space="preserve"> حتّى يصبح حكمه </w:t>
      </w:r>
      <w:r w:rsidRPr="006571AC">
        <w:rPr>
          <w:sz w:val="27"/>
          <w:rtl/>
          <w:lang w:bidi="ar-LB"/>
        </w:rPr>
        <w:t>ـ</w:t>
      </w:r>
      <w:r w:rsidRPr="006571AC">
        <w:rPr>
          <w:rFonts w:hint="cs"/>
          <w:sz w:val="27"/>
          <w:rtl/>
          <w:lang w:bidi="ar-LB"/>
        </w:rPr>
        <w:t xml:space="preserve"> بغضّ النظر عما إذا كان مقبولاً من أيٍّ من الطرفين </w:t>
      </w:r>
      <w:r w:rsidRPr="006571AC">
        <w:rPr>
          <w:sz w:val="27"/>
          <w:rtl/>
          <w:lang w:bidi="ar-LB"/>
        </w:rPr>
        <w:t>ـ</w:t>
      </w:r>
      <w:r w:rsidRPr="006571AC">
        <w:rPr>
          <w:rFonts w:hint="cs"/>
          <w:sz w:val="27"/>
          <w:rtl/>
          <w:lang w:bidi="ar-LB"/>
        </w:rPr>
        <w:t>، ف</w:t>
      </w:r>
      <w:r w:rsidR="00492B6F" w:rsidRPr="006571AC">
        <w:rPr>
          <w:rFonts w:hint="cs"/>
          <w:sz w:val="27"/>
          <w:rtl/>
          <w:lang w:bidi="ar-LB"/>
        </w:rPr>
        <w:t>َ</w:t>
      </w:r>
      <w:r w:rsidRPr="006571AC">
        <w:rPr>
          <w:rFonts w:hint="cs"/>
          <w:sz w:val="27"/>
          <w:rtl/>
          <w:lang w:bidi="ar-LB"/>
        </w:rPr>
        <w:t>ص</w:t>
      </w:r>
      <w:r w:rsidR="00492B6F" w:rsidRPr="006571AC">
        <w:rPr>
          <w:rFonts w:hint="cs"/>
          <w:sz w:val="27"/>
          <w:rtl/>
          <w:lang w:bidi="ar-LB"/>
        </w:rPr>
        <w:t>ْ</w:t>
      </w:r>
      <w:r w:rsidRPr="006571AC">
        <w:rPr>
          <w:rFonts w:hint="cs"/>
          <w:sz w:val="27"/>
          <w:rtl/>
          <w:lang w:bidi="ar-LB"/>
        </w:rPr>
        <w:t>لاً في الخلافات.</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هدف الناس في الحياة الاجتماعية هو أيضاً التمتُّع بفوائد العيش مع الآخرين، وهذا لن يتشكَّل إلاّ في حياةٍ اجتماعية سلمية. ومن هذا المنطلق فإن المجتمع </w:t>
      </w:r>
      <w:r w:rsidRPr="006571AC">
        <w:rPr>
          <w:sz w:val="27"/>
          <w:rtl/>
          <w:lang w:bidi="ar-LB"/>
        </w:rPr>
        <w:t>ـ</w:t>
      </w:r>
      <w:r w:rsidRPr="006571AC">
        <w:rPr>
          <w:rFonts w:hint="cs"/>
          <w:sz w:val="27"/>
          <w:rtl/>
          <w:lang w:bidi="ar-LB"/>
        </w:rPr>
        <w:t xml:space="preserve"> وبغضّ النظر عن جميع الاختلافات الموجودة في رؤاه الاجتماعية </w:t>
      </w:r>
      <w:r w:rsidRPr="006571AC">
        <w:rPr>
          <w:sz w:val="27"/>
          <w:rtl/>
          <w:lang w:bidi="ar-LB"/>
        </w:rPr>
        <w:t>ـ</w:t>
      </w:r>
      <w:r w:rsidRPr="006571AC">
        <w:rPr>
          <w:rFonts w:hint="cs"/>
          <w:sz w:val="27"/>
          <w:rtl/>
          <w:lang w:bidi="ar-LB"/>
        </w:rPr>
        <w:t xml:space="preserve"> يحتاج إلى </w:t>
      </w:r>
      <w:r w:rsidRPr="006571AC">
        <w:rPr>
          <w:rFonts w:hint="eastAsia"/>
          <w:sz w:val="24"/>
          <w:szCs w:val="24"/>
          <w:rtl/>
          <w:lang w:bidi="ar-LB"/>
        </w:rPr>
        <w:t>«</w:t>
      </w:r>
      <w:r w:rsidRPr="006571AC">
        <w:rPr>
          <w:rFonts w:hint="cs"/>
          <w:sz w:val="27"/>
          <w:rtl/>
          <w:lang w:bidi="ar-LB"/>
        </w:rPr>
        <w:t>حَكَمٍ نهائي</w:t>
      </w:r>
      <w:r w:rsidRPr="006571AC">
        <w:rPr>
          <w:rFonts w:hint="eastAsia"/>
          <w:sz w:val="24"/>
          <w:szCs w:val="24"/>
          <w:rtl/>
        </w:rPr>
        <w:t>»</w:t>
      </w:r>
      <w:r w:rsidRPr="006571AC">
        <w:rPr>
          <w:rFonts w:hint="cs"/>
          <w:sz w:val="27"/>
          <w:rtl/>
          <w:lang w:bidi="ar-LB"/>
        </w:rPr>
        <w:t xml:space="preserve"> متَّفق عليه من قِبَل الجميع، ويكون رأيه فصل الخطاب في الاختلافات.</w:t>
      </w:r>
    </w:p>
    <w:p w:rsidR="008C542A" w:rsidRPr="006571AC" w:rsidRDefault="008C542A" w:rsidP="00706E68">
      <w:pPr>
        <w:tabs>
          <w:tab w:val="right" w:pos="6930"/>
        </w:tabs>
        <w:suppressAutoHyphens/>
        <w:rPr>
          <w:sz w:val="27"/>
          <w:rtl/>
          <w:lang w:bidi="ar-LB"/>
        </w:rPr>
      </w:pPr>
      <w:r w:rsidRPr="006571AC">
        <w:rPr>
          <w:rFonts w:hint="cs"/>
          <w:sz w:val="27"/>
          <w:rtl/>
          <w:lang w:bidi="ar-LB"/>
        </w:rPr>
        <w:t>يجب أن يتمتَّع الحَكَم النهائي لمجتمعٍ ما بخصلتين؛ حتّى لا تؤدّي الاختلافات الناشئة فيه إلى انهياره وتصدُّع النظام والحياة السلمية:</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w:t>
      </w:r>
      <w:r w:rsidRPr="006571AC">
        <w:rPr>
          <w:rFonts w:hint="cs"/>
          <w:rtl/>
        </w:rPr>
        <w:t xml:space="preserve"> </w:t>
      </w:r>
      <w:r w:rsidRPr="006571AC">
        <w:rPr>
          <w:rFonts w:hint="cs"/>
          <w:sz w:val="27"/>
          <w:rtl/>
          <w:lang w:bidi="ar-LB"/>
        </w:rPr>
        <w:t xml:space="preserve">أن يكون محلّ اتفاق الجميع، لأنه إذا لم تقبل جماعةٌ ما </w:t>
      </w:r>
      <w:r w:rsidRPr="006571AC">
        <w:rPr>
          <w:sz w:val="27"/>
          <w:rtl/>
          <w:lang w:bidi="ar-LB"/>
        </w:rPr>
        <w:t>ـ</w:t>
      </w:r>
      <w:r w:rsidRPr="006571AC">
        <w:rPr>
          <w:rFonts w:hint="cs"/>
          <w:sz w:val="27"/>
          <w:rtl/>
          <w:lang w:bidi="ar-LB"/>
        </w:rPr>
        <w:t xml:space="preserve"> وإنْ كانت أقلّيةً </w:t>
      </w:r>
      <w:r w:rsidRPr="006571AC">
        <w:rPr>
          <w:sz w:val="27"/>
          <w:rtl/>
          <w:lang w:bidi="ar-LB"/>
        </w:rPr>
        <w:t>ـ</w:t>
      </w:r>
      <w:r w:rsidRPr="006571AC">
        <w:rPr>
          <w:rFonts w:hint="cs"/>
          <w:sz w:val="27"/>
          <w:rtl/>
          <w:lang w:bidi="ar-LB"/>
        </w:rPr>
        <w:t xml:space="preserve"> بحكمه فإن معارضتها العملية لرأي الحَكَم قد تفسد الأمر، وتزعزع نظام المجتمع. لذلك في مجتمعٍ توجد فيه مذاهب مختلفة، وأفكار وأديان شتّى، لا يمكن لأيٍّ منها أن يكون حَكَماً نهائيّاً؛ لأن المختلفين مع ذلك المذهب والفكر لن يقبلوا بحكمه.</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يجب أن يكون رأي الحَكَم النهائي واضحاً ودقيقاً، بحيث لا يؤدّي تشخيص رأيه إلى حدوث اختلافٍ، وإلاّ فلن يكون هو الحَكَم ا</w:t>
      </w:r>
      <w:r w:rsidR="00365268" w:rsidRPr="006571AC">
        <w:rPr>
          <w:rFonts w:hint="cs"/>
          <w:sz w:val="27"/>
          <w:rtl/>
          <w:lang w:bidi="ar-LB"/>
        </w:rPr>
        <w:t>لنهائي، وستكون هناك حاجةٌ لحَكَمٍ</w:t>
      </w:r>
      <w:r w:rsidRPr="006571AC">
        <w:rPr>
          <w:rFonts w:hint="cs"/>
          <w:sz w:val="27"/>
          <w:rtl/>
          <w:lang w:bidi="ar-LB"/>
        </w:rPr>
        <w:t xml:space="preserve"> آخر حتّى يحدّ</w:t>
      </w:r>
      <w:r w:rsidR="004F53B1" w:rsidRPr="006571AC">
        <w:rPr>
          <w:rFonts w:hint="cs"/>
          <w:sz w:val="27"/>
          <w:rtl/>
          <w:lang w:bidi="ar-LB"/>
        </w:rPr>
        <w:t>ِ</w:t>
      </w:r>
      <w:r w:rsidRPr="006571AC">
        <w:rPr>
          <w:rFonts w:hint="cs"/>
          <w:sz w:val="27"/>
          <w:rtl/>
          <w:lang w:bidi="ar-LB"/>
        </w:rPr>
        <w:t>د رأيه.</w:t>
      </w:r>
    </w:p>
    <w:p w:rsidR="008C542A" w:rsidRPr="006571AC" w:rsidRDefault="008C542A" w:rsidP="00365268">
      <w:pPr>
        <w:tabs>
          <w:tab w:val="right" w:pos="6930"/>
        </w:tabs>
        <w:suppressAutoHyphens/>
        <w:rPr>
          <w:sz w:val="27"/>
          <w:rtl/>
          <w:lang w:bidi="ar-LB"/>
        </w:rPr>
      </w:pPr>
      <w:r w:rsidRPr="006571AC">
        <w:rPr>
          <w:rFonts w:hint="cs"/>
          <w:sz w:val="27"/>
          <w:rtl/>
          <w:lang w:bidi="ar-LB"/>
        </w:rPr>
        <w:t>لنفترض أن أفراد المجتمع كلّهم مسلمون، ويقبلون بالقرآن الكريم كحَكَمٍ بينهم، ولكنّهم يختلفون في فهمهم للقرآن، ففي هذه الحالة ستنشأ الخلافات مرّةً أخرى، وستكون هناك حاجةٌ لحَكَمٍ آخر؛ لحلّ مشكلة الخلافات بين أفراد المجتمع</w:t>
      </w:r>
      <w:r w:rsidRPr="006571AC">
        <w:rPr>
          <w:sz w:val="27"/>
          <w:vertAlign w:val="superscript"/>
          <w:rtl/>
          <w:lang w:bidi="ar-LB"/>
        </w:rPr>
        <w:t>(</w:t>
      </w:r>
      <w:r w:rsidRPr="006571AC">
        <w:rPr>
          <w:rStyle w:val="ac"/>
          <w:sz w:val="27"/>
          <w:rtl/>
          <w:lang w:bidi="ar-LB"/>
        </w:rPr>
        <w:endnoteReference w:id="1"/>
      </w:r>
      <w:r w:rsidRPr="006571AC">
        <w:rPr>
          <w:sz w:val="27"/>
          <w:vertAlign w:val="superscript"/>
          <w:rtl/>
          <w:lang w:bidi="ar-LB"/>
        </w:rPr>
        <w:t>)</w:t>
      </w:r>
      <w:r w:rsidRPr="006571AC">
        <w:rPr>
          <w:rFonts w:hint="cs"/>
          <w:sz w:val="27"/>
          <w:rtl/>
          <w:lang w:bidi="ar-LB"/>
        </w:rPr>
        <w:t>.</w:t>
      </w:r>
    </w:p>
    <w:p w:rsidR="008C542A" w:rsidRPr="006571AC" w:rsidRDefault="008C542A" w:rsidP="00AC023B">
      <w:pPr>
        <w:tabs>
          <w:tab w:val="right" w:pos="6930"/>
        </w:tabs>
        <w:suppressAutoHyphens/>
        <w:spacing w:line="420" w:lineRule="exact"/>
        <w:rPr>
          <w:sz w:val="27"/>
          <w:rtl/>
          <w:lang w:bidi="ar-LB"/>
        </w:rPr>
      </w:pPr>
    </w:p>
    <w:p w:rsidR="008C542A" w:rsidRPr="006571AC" w:rsidRDefault="008C542A" w:rsidP="008C542A">
      <w:pPr>
        <w:pStyle w:val="31"/>
        <w:rPr>
          <w:color w:val="auto"/>
          <w:rtl/>
          <w:lang w:bidi="ar-LB"/>
        </w:rPr>
      </w:pPr>
      <w:bookmarkStart w:id="19" w:name="_Toc114164508"/>
      <w:r w:rsidRPr="006571AC">
        <w:rPr>
          <w:rFonts w:hint="cs"/>
          <w:color w:val="auto"/>
          <w:rtl/>
          <w:lang w:bidi="ar-LB"/>
        </w:rPr>
        <w:t>3</w:t>
      </w:r>
      <w:r w:rsidRPr="006571AC">
        <w:rPr>
          <w:color w:val="auto"/>
          <w:rtl/>
          <w:lang w:bidi="ar-LB"/>
        </w:rPr>
        <w:t>ـ</w:t>
      </w:r>
      <w:r w:rsidRPr="006571AC">
        <w:rPr>
          <w:rFonts w:hint="cs"/>
          <w:color w:val="auto"/>
          <w:rtl/>
          <w:lang w:bidi="ar-LB"/>
        </w:rPr>
        <w:t xml:space="preserve"> الحدّان الأدنى والأقصى من الديمقراطية</w:t>
      </w:r>
      <w:bookmarkEnd w:id="19"/>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يرتبط مفهوم الديمقراطية في الثقافة السياسية لمجتمعات اليوم ارتباطاً وثيقاً </w:t>
      </w:r>
      <w:r w:rsidRPr="006571AC">
        <w:rPr>
          <w:rFonts w:hint="cs"/>
          <w:sz w:val="27"/>
          <w:rtl/>
          <w:lang w:bidi="ar-LB"/>
        </w:rPr>
        <w:lastRenderedPageBreak/>
        <w:t>بمسألة صلاحية وسيادة رأي الأكثرية. ومن هنا نشهد اليوم العديد من الحوارات العلمية بين المفكِّرين المسلمين التراثيّين والحداثويّين فيما بينهم من ناحيةٍ، وبينهم وبين الحداثويّين غير المتديِّنين من ناحيةٍ أخرى، حول قبول أو رفض الديمقراطية</w:t>
      </w:r>
      <w:r w:rsidR="004F53B1" w:rsidRPr="006571AC">
        <w:rPr>
          <w:rFonts w:hint="cs"/>
          <w:sz w:val="27"/>
          <w:rtl/>
          <w:lang w:bidi="ar-LB"/>
        </w:rPr>
        <w:t>،</w:t>
      </w:r>
      <w:r w:rsidRPr="006571AC">
        <w:rPr>
          <w:rFonts w:hint="cs"/>
          <w:sz w:val="27"/>
          <w:rtl/>
          <w:lang w:bidi="ar-LB"/>
        </w:rPr>
        <w:t xml:space="preserve"> وأيضاً حول موافقتها أو مخالفتها للإسلام. وترجع الكثير من هذه الاختلافات إلى غياب تفسيرٍ صحيح للمفاهيم المختلف عليها. ومن أجل الوصول إلى جوابٍ صحيح في هذا الشأن يحتاج مفهوما </w:t>
      </w:r>
      <w:r w:rsidRPr="006571AC">
        <w:rPr>
          <w:rFonts w:hint="eastAsia"/>
          <w:sz w:val="24"/>
          <w:szCs w:val="24"/>
          <w:rtl/>
          <w:lang w:bidi="ar-LB"/>
        </w:rPr>
        <w:t>«</w:t>
      </w:r>
      <w:r w:rsidRPr="006571AC">
        <w:rPr>
          <w:rFonts w:hint="cs"/>
          <w:sz w:val="27"/>
          <w:rtl/>
          <w:lang w:bidi="ar-LB"/>
        </w:rPr>
        <w:t>الإسلام</w:t>
      </w:r>
      <w:r w:rsidRPr="006571AC">
        <w:rPr>
          <w:rFonts w:hint="eastAsia"/>
          <w:sz w:val="24"/>
          <w:szCs w:val="24"/>
          <w:rtl/>
        </w:rPr>
        <w:t>»</w:t>
      </w:r>
      <w:r w:rsidRPr="006571AC">
        <w:rPr>
          <w:rFonts w:hint="cs"/>
          <w:sz w:val="27"/>
          <w:rtl/>
          <w:lang w:bidi="ar-LB"/>
        </w:rPr>
        <w:t xml:space="preserve"> و</w:t>
      </w:r>
      <w:r w:rsidRPr="006571AC">
        <w:rPr>
          <w:sz w:val="24"/>
          <w:szCs w:val="24"/>
          <w:rtl/>
        </w:rPr>
        <w:t>«</w:t>
      </w:r>
      <w:r w:rsidRPr="006571AC">
        <w:rPr>
          <w:rFonts w:hint="cs"/>
          <w:sz w:val="27"/>
          <w:rtl/>
          <w:lang w:bidi="ar-LB"/>
        </w:rPr>
        <w:t>الديمقراطية</w:t>
      </w:r>
      <w:r w:rsidRPr="006571AC">
        <w:rPr>
          <w:rFonts w:hint="eastAsia"/>
          <w:sz w:val="24"/>
          <w:szCs w:val="24"/>
          <w:rtl/>
        </w:rPr>
        <w:t>»</w:t>
      </w:r>
      <w:r w:rsidRPr="006571AC">
        <w:rPr>
          <w:rFonts w:hint="cs"/>
          <w:sz w:val="27"/>
          <w:rtl/>
          <w:lang w:bidi="ar-LB"/>
        </w:rPr>
        <w:t xml:space="preserve"> إلى شرحٍ وتفسير واضحين.</w:t>
      </w:r>
    </w:p>
    <w:p w:rsidR="008C542A" w:rsidRPr="006571AC" w:rsidRDefault="008C542A" w:rsidP="00706E68">
      <w:pPr>
        <w:tabs>
          <w:tab w:val="right" w:pos="6930"/>
        </w:tabs>
        <w:suppressAutoHyphens/>
        <w:rPr>
          <w:sz w:val="27"/>
          <w:rtl/>
          <w:lang w:bidi="ar-LB"/>
        </w:rPr>
      </w:pPr>
      <w:r w:rsidRPr="006571AC">
        <w:rPr>
          <w:rFonts w:hint="cs"/>
          <w:sz w:val="27"/>
          <w:rtl/>
          <w:lang w:bidi="ar-LB"/>
        </w:rPr>
        <w:t>فالإسلام في مقام الثبوت ظاهرة</w:t>
      </w:r>
      <w:r w:rsidR="004F53B1" w:rsidRPr="006571AC">
        <w:rPr>
          <w:rFonts w:hint="cs"/>
          <w:sz w:val="27"/>
          <w:rtl/>
          <w:lang w:bidi="ar-LB"/>
        </w:rPr>
        <w:t>ٌ</w:t>
      </w:r>
      <w:r w:rsidRPr="006571AC">
        <w:rPr>
          <w:rFonts w:hint="cs"/>
          <w:sz w:val="27"/>
          <w:rtl/>
          <w:lang w:bidi="ar-LB"/>
        </w:rPr>
        <w:t xml:space="preserve"> عينية وواحدة، ولا مجال للاختلاف فيه؛ أما في مقام الإثبات فقد قُدِّمت قراءات</w:t>
      </w:r>
      <w:r w:rsidR="004F53B1" w:rsidRPr="006571AC">
        <w:rPr>
          <w:rFonts w:hint="cs"/>
          <w:sz w:val="27"/>
          <w:rtl/>
          <w:lang w:bidi="ar-LB"/>
        </w:rPr>
        <w:t>ٌ</w:t>
      </w:r>
      <w:r w:rsidRPr="006571AC">
        <w:rPr>
          <w:rFonts w:hint="cs"/>
          <w:sz w:val="27"/>
          <w:rtl/>
          <w:lang w:bidi="ar-LB"/>
        </w:rPr>
        <w:t xml:space="preserve"> مختلفة. إن شرح مفهوم </w:t>
      </w:r>
      <w:r w:rsidRPr="006571AC">
        <w:rPr>
          <w:rFonts w:hint="eastAsia"/>
          <w:sz w:val="24"/>
          <w:szCs w:val="24"/>
          <w:rtl/>
          <w:lang w:bidi="ar-LB"/>
        </w:rPr>
        <w:t>«</w:t>
      </w:r>
      <w:r w:rsidRPr="006571AC">
        <w:rPr>
          <w:rFonts w:hint="cs"/>
          <w:sz w:val="27"/>
          <w:rtl/>
          <w:lang w:bidi="ar-LB"/>
        </w:rPr>
        <w:t>الإسلام</w:t>
      </w:r>
      <w:r w:rsidRPr="006571AC">
        <w:rPr>
          <w:rFonts w:hint="eastAsia"/>
          <w:sz w:val="24"/>
          <w:szCs w:val="24"/>
          <w:rtl/>
        </w:rPr>
        <w:t>»</w:t>
      </w:r>
      <w:r w:rsidRPr="006571AC">
        <w:rPr>
          <w:rFonts w:hint="cs"/>
          <w:sz w:val="27"/>
          <w:rtl/>
          <w:lang w:bidi="ar-LB"/>
        </w:rPr>
        <w:t xml:space="preserve"> في أبحاث توافق الإسلام والديمقراطية، مع الإشارة إلى تفسيراتٍ مختلفة للإسلام في العالم المعاصر، قد تمّ بشكلٍ أو بآخر، وبُذلَتْ جهودٌ في هذا الصدد.</w:t>
      </w:r>
    </w:p>
    <w:p w:rsidR="008C542A" w:rsidRPr="006571AC" w:rsidRDefault="008C542A" w:rsidP="001F32D2">
      <w:pPr>
        <w:tabs>
          <w:tab w:val="right" w:pos="6930"/>
        </w:tabs>
        <w:suppressAutoHyphens/>
        <w:rPr>
          <w:sz w:val="27"/>
          <w:rtl/>
          <w:lang w:bidi="ar-LB"/>
        </w:rPr>
      </w:pPr>
      <w:r w:rsidRPr="006571AC">
        <w:rPr>
          <w:rFonts w:hint="cs"/>
          <w:sz w:val="27"/>
          <w:rtl/>
          <w:lang w:bidi="ar-LB"/>
        </w:rPr>
        <w:t>تفتقر الديمقراطية إلى الواقع العينيّ والتاريخيّ، أو على الأقلّ في هذا البحث لا يقصد واقعها العينيّ والتاريخيّ، وفي مورد واقعها العلميّ أيضاً لا يمكن التوصُّل إلى مفهومٍ واحد متَّفق عليه. وفي هذا الجانب تتشابه مع الإسلام</w:t>
      </w:r>
      <w:r w:rsidRPr="006571AC">
        <w:rPr>
          <w:sz w:val="27"/>
          <w:vertAlign w:val="superscript"/>
          <w:rtl/>
          <w:lang w:bidi="ar-LB"/>
        </w:rPr>
        <w:t>(</w:t>
      </w:r>
      <w:r w:rsidRPr="006571AC">
        <w:rPr>
          <w:rStyle w:val="ac"/>
          <w:sz w:val="27"/>
          <w:rtl/>
          <w:lang w:bidi="ar-LB"/>
        </w:rPr>
        <w:endnoteReference w:id="2"/>
      </w:r>
      <w:r w:rsidRPr="006571AC">
        <w:rPr>
          <w:sz w:val="27"/>
          <w:vertAlign w:val="superscript"/>
          <w:rtl/>
          <w:lang w:bidi="ar-LB"/>
        </w:rPr>
        <w:t>)</w:t>
      </w:r>
      <w:r w:rsidRPr="006571AC">
        <w:rPr>
          <w:rFonts w:hint="cs"/>
          <w:sz w:val="27"/>
          <w:rtl/>
          <w:lang w:bidi="ar-LB"/>
        </w:rPr>
        <w:t xml:space="preserve">. ولعدم التوافق على معنىً واحد للديمقراطية </w:t>
      </w:r>
      <w:r w:rsidR="001F32D2" w:rsidRPr="006571AC">
        <w:rPr>
          <w:rFonts w:hint="cs"/>
          <w:sz w:val="27"/>
          <w:rtl/>
          <w:lang w:bidi="ar-LB"/>
        </w:rPr>
        <w:t xml:space="preserve">ـ </w:t>
      </w:r>
      <w:r w:rsidRPr="006571AC">
        <w:rPr>
          <w:rFonts w:hint="cs"/>
          <w:sz w:val="27"/>
          <w:rtl/>
          <w:lang w:bidi="ar-LB"/>
        </w:rPr>
        <w:t>جذورُه في العالم الغربيّ، المكان الذي نشأَتْ فيه</w:t>
      </w:r>
      <w:r w:rsidR="001F32D2" w:rsidRPr="006571AC">
        <w:rPr>
          <w:rFonts w:hint="cs"/>
          <w:sz w:val="27"/>
          <w:rtl/>
          <w:lang w:bidi="ar-LB"/>
        </w:rPr>
        <w:t xml:space="preserve"> ـ</w:t>
      </w:r>
      <w:r w:rsidRPr="006571AC">
        <w:rPr>
          <w:rFonts w:hint="cs"/>
          <w:sz w:val="27"/>
          <w:rtl/>
          <w:lang w:bidi="ar-LB"/>
        </w:rPr>
        <w:t xml:space="preserve"> يرى الغربيّون أيضاً أن عدم وجود تعريفٍ واضح للديمقراطية يمثِّل مشكلةً رئيسةً في الخطاب الأكاديمي</w:t>
      </w:r>
      <w:r w:rsidRPr="006571AC">
        <w:rPr>
          <w:sz w:val="27"/>
          <w:vertAlign w:val="superscript"/>
          <w:rtl/>
          <w:lang w:bidi="ar-LB"/>
        </w:rPr>
        <w:t>(</w:t>
      </w:r>
      <w:r w:rsidRPr="006571AC">
        <w:rPr>
          <w:rStyle w:val="ac"/>
          <w:sz w:val="27"/>
          <w:rtl/>
          <w:lang w:bidi="ar-LB"/>
        </w:rPr>
        <w:endnoteReference w:id="3"/>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إن أحد المصاديق الشائعة للاختلاف في معنى </w:t>
      </w:r>
      <w:r w:rsidRPr="006571AC">
        <w:rPr>
          <w:rFonts w:hint="eastAsia"/>
          <w:sz w:val="24"/>
          <w:szCs w:val="24"/>
          <w:rtl/>
          <w:lang w:bidi="ar-LB"/>
        </w:rPr>
        <w:t>«</w:t>
      </w:r>
      <w:r w:rsidRPr="006571AC">
        <w:rPr>
          <w:rFonts w:hint="cs"/>
          <w:sz w:val="27"/>
          <w:rtl/>
          <w:lang w:bidi="ar-LB"/>
        </w:rPr>
        <w:t>الديمقراطية</w:t>
      </w:r>
      <w:r w:rsidRPr="006571AC">
        <w:rPr>
          <w:rFonts w:hint="eastAsia"/>
          <w:sz w:val="24"/>
          <w:szCs w:val="24"/>
          <w:rtl/>
        </w:rPr>
        <w:t>»</w:t>
      </w:r>
      <w:r w:rsidRPr="006571AC">
        <w:rPr>
          <w:rFonts w:hint="cs"/>
          <w:sz w:val="27"/>
          <w:rtl/>
          <w:lang w:bidi="ar-LB"/>
        </w:rPr>
        <w:t xml:space="preserve"> هو التردُّد </w:t>
      </w:r>
      <w:r w:rsidR="000120E4" w:rsidRPr="006571AC">
        <w:rPr>
          <w:rFonts w:hint="cs"/>
          <w:sz w:val="27"/>
          <w:rtl/>
          <w:lang w:bidi="ar-LB"/>
        </w:rPr>
        <w:t>في</w:t>
      </w:r>
      <w:r w:rsidRPr="006571AC">
        <w:rPr>
          <w:rFonts w:hint="cs"/>
          <w:sz w:val="27"/>
          <w:rtl/>
          <w:lang w:bidi="ar-LB"/>
        </w:rPr>
        <w:t xml:space="preserve"> تحديد معناها بين الحدّ الأدنى، أي </w:t>
      </w:r>
      <w:r w:rsidRPr="006571AC">
        <w:rPr>
          <w:rFonts w:hint="eastAsia"/>
          <w:sz w:val="24"/>
          <w:szCs w:val="24"/>
          <w:rtl/>
          <w:lang w:bidi="ar-LB"/>
        </w:rPr>
        <w:t>«</w:t>
      </w:r>
      <w:r w:rsidRPr="006571AC">
        <w:rPr>
          <w:rFonts w:hint="cs"/>
          <w:sz w:val="27"/>
          <w:rtl/>
          <w:lang w:bidi="ar-LB"/>
        </w:rPr>
        <w:t>حكم رأي الأكثرية</w:t>
      </w:r>
      <w:r w:rsidRPr="006571AC">
        <w:rPr>
          <w:rFonts w:hint="eastAsia"/>
          <w:sz w:val="24"/>
          <w:szCs w:val="24"/>
          <w:rtl/>
        </w:rPr>
        <w:t>»</w:t>
      </w:r>
      <w:r w:rsidRPr="006571AC">
        <w:rPr>
          <w:rFonts w:hint="cs"/>
          <w:sz w:val="27"/>
          <w:rtl/>
          <w:lang w:bidi="ar-LB"/>
        </w:rPr>
        <w:t xml:space="preserve">، ومفاهيم الحدّ الأقصى، التي ظهرت كلواحق لـ </w:t>
      </w:r>
      <w:r w:rsidRPr="006571AC">
        <w:rPr>
          <w:rFonts w:hint="eastAsia"/>
          <w:sz w:val="24"/>
          <w:szCs w:val="24"/>
          <w:rtl/>
          <w:lang w:bidi="ar-LB"/>
        </w:rPr>
        <w:t>«</w:t>
      </w:r>
      <w:r w:rsidRPr="006571AC">
        <w:rPr>
          <w:rFonts w:hint="cs"/>
          <w:sz w:val="27"/>
          <w:rtl/>
          <w:lang w:bidi="ar-LB"/>
        </w:rPr>
        <w:t>حكم رأي الأكثرية</w:t>
      </w:r>
      <w:r w:rsidRPr="006571AC">
        <w:rPr>
          <w:rFonts w:hint="eastAsia"/>
          <w:sz w:val="24"/>
          <w:szCs w:val="24"/>
          <w:rtl/>
        </w:rPr>
        <w:t>»</w:t>
      </w:r>
      <w:r w:rsidRPr="006571AC">
        <w:rPr>
          <w:rFonts w:hint="cs"/>
          <w:sz w:val="27"/>
          <w:rtl/>
          <w:lang w:bidi="ar-LB"/>
        </w:rPr>
        <w:t xml:space="preserve">، وهي من قبيل: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و</w:t>
      </w:r>
      <w:r w:rsidRPr="006571AC">
        <w:rPr>
          <w:sz w:val="24"/>
          <w:szCs w:val="24"/>
          <w:rtl/>
        </w:rPr>
        <w:t>«</w:t>
      </w:r>
      <w:r w:rsidRPr="006571AC">
        <w:rPr>
          <w:rFonts w:hint="cs"/>
          <w:sz w:val="27"/>
          <w:rtl/>
          <w:lang w:bidi="ar-LB"/>
        </w:rPr>
        <w:t>الحرّية</w:t>
      </w:r>
      <w:r w:rsidRPr="006571AC">
        <w:rPr>
          <w:rFonts w:hint="eastAsia"/>
          <w:sz w:val="24"/>
          <w:szCs w:val="24"/>
          <w:rtl/>
        </w:rPr>
        <w:t>»</w:t>
      </w:r>
      <w:r w:rsidRPr="006571AC">
        <w:rPr>
          <w:rFonts w:hint="cs"/>
          <w:sz w:val="27"/>
          <w:rtl/>
          <w:lang w:bidi="ar-LB"/>
        </w:rPr>
        <w:t xml:space="preserve">، وخاصّة </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و</w:t>
      </w:r>
      <w:r w:rsidRPr="006571AC">
        <w:rPr>
          <w:rFonts w:hint="eastAsia"/>
          <w:sz w:val="24"/>
          <w:szCs w:val="24"/>
          <w:rtl/>
          <w:lang w:bidi="ar-LB"/>
        </w:rPr>
        <w:t>«</w:t>
      </w:r>
      <w:r w:rsidRPr="006571AC">
        <w:rPr>
          <w:rFonts w:hint="cs"/>
          <w:sz w:val="27"/>
          <w:rtl/>
          <w:lang w:bidi="ar-LB"/>
        </w:rPr>
        <w:t>احترام حقوق الأقلّيات</w:t>
      </w:r>
      <w:r w:rsidRPr="006571AC">
        <w:rPr>
          <w:rFonts w:hint="eastAsia"/>
          <w:sz w:val="24"/>
          <w:szCs w:val="24"/>
          <w:rtl/>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وقد ذكر بعض</w:t>
      </w:r>
      <w:r w:rsidR="000120E4" w:rsidRPr="006571AC">
        <w:rPr>
          <w:rFonts w:hint="cs"/>
          <w:sz w:val="27"/>
          <w:rtl/>
          <w:lang w:bidi="ar-LB"/>
        </w:rPr>
        <w:t>ٌ</w:t>
      </w:r>
      <w:r w:rsidRPr="006571AC">
        <w:rPr>
          <w:rFonts w:hint="cs"/>
          <w:sz w:val="27"/>
          <w:rtl/>
          <w:lang w:bidi="ar-LB"/>
        </w:rPr>
        <w:t xml:space="preserve"> الليبرالية؛ والبراغماتية؛ والنسبية؛ وأصالة العقود، وأصالة الموافقة العامّة؛ وأصالة المساواة، والاستقلاليّة الفردية، وأصالة القانون، والمواطنة، والسيادة، وحقوق الإنسان، باعتبارها الأسس الفكرية للديمقراطية</w:t>
      </w:r>
      <w:r w:rsidRPr="006571AC">
        <w:rPr>
          <w:sz w:val="27"/>
          <w:vertAlign w:val="superscript"/>
          <w:rtl/>
          <w:lang w:bidi="ar-LB"/>
        </w:rPr>
        <w:t>(</w:t>
      </w:r>
      <w:r w:rsidRPr="006571AC">
        <w:rPr>
          <w:rStyle w:val="ac"/>
          <w:sz w:val="27"/>
          <w:rtl/>
          <w:lang w:bidi="ar-LB"/>
        </w:rPr>
        <w:endnoteReference w:id="4"/>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هذا الشكّ في مفهوم الديمقراطية في كثيرٍ من الحالات تسبَّب في سوء فهمٍ في هذا البحث العلمي المهمّ. إيجاد مفهوم</w:t>
      </w:r>
      <w:r w:rsidR="001F32D2" w:rsidRPr="006571AC">
        <w:rPr>
          <w:rFonts w:hint="cs"/>
          <w:sz w:val="27"/>
          <w:rtl/>
          <w:lang w:bidi="ar-LB"/>
        </w:rPr>
        <w:t>َ</w:t>
      </w:r>
      <w:r w:rsidRPr="006571AC">
        <w:rPr>
          <w:rFonts w:hint="cs"/>
          <w:sz w:val="27"/>
          <w:rtl/>
          <w:lang w:bidi="ar-LB"/>
        </w:rPr>
        <w:t>ي</w:t>
      </w:r>
      <w:r w:rsidR="001F32D2" w:rsidRPr="006571AC">
        <w:rPr>
          <w:rFonts w:hint="cs"/>
          <w:sz w:val="27"/>
          <w:rtl/>
          <w:lang w:bidi="ar-LB"/>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الحدّ الأدنى من الديمقراطية</w:t>
      </w:r>
      <w:r w:rsidRPr="006571AC">
        <w:rPr>
          <w:rFonts w:hint="eastAsia"/>
          <w:sz w:val="24"/>
          <w:szCs w:val="24"/>
          <w:rtl/>
        </w:rPr>
        <w:t>»</w:t>
      </w:r>
      <w:r w:rsidRPr="006571AC">
        <w:rPr>
          <w:rFonts w:hint="cs"/>
          <w:sz w:val="27"/>
          <w:rtl/>
          <w:lang w:bidi="ar-LB"/>
        </w:rPr>
        <w:t>؛ و</w:t>
      </w:r>
      <w:r w:rsidRPr="006571AC">
        <w:rPr>
          <w:rFonts w:hint="eastAsia"/>
          <w:sz w:val="24"/>
          <w:szCs w:val="24"/>
          <w:rtl/>
          <w:lang w:bidi="ar-LB"/>
        </w:rPr>
        <w:t>«</w:t>
      </w:r>
      <w:r w:rsidRPr="006571AC">
        <w:rPr>
          <w:rFonts w:hint="cs"/>
          <w:sz w:val="27"/>
          <w:rtl/>
          <w:lang w:bidi="ar-LB"/>
        </w:rPr>
        <w:t>الحدّ الأقصى من الديمقراطية</w:t>
      </w:r>
      <w:r w:rsidRPr="006571AC">
        <w:rPr>
          <w:rFonts w:hint="eastAsia"/>
          <w:sz w:val="24"/>
          <w:szCs w:val="24"/>
          <w:rtl/>
        </w:rPr>
        <w:t>»</w:t>
      </w:r>
      <w:r w:rsidRPr="006571AC">
        <w:rPr>
          <w:rFonts w:hint="cs"/>
          <w:sz w:val="27"/>
          <w:rtl/>
          <w:lang w:bidi="ar-LB"/>
        </w:rPr>
        <w:t>، الذي شاع في هذه الأيام</w:t>
      </w:r>
      <w:r w:rsidRPr="006571AC">
        <w:rPr>
          <w:sz w:val="27"/>
          <w:vertAlign w:val="superscript"/>
          <w:rtl/>
          <w:lang w:bidi="ar-LB"/>
        </w:rPr>
        <w:t>(</w:t>
      </w:r>
      <w:r w:rsidRPr="006571AC">
        <w:rPr>
          <w:rStyle w:val="ac"/>
          <w:sz w:val="27"/>
          <w:rtl/>
          <w:lang w:bidi="ar-LB"/>
        </w:rPr>
        <w:endnoteReference w:id="5"/>
      </w:r>
      <w:r w:rsidRPr="006571AC">
        <w:rPr>
          <w:sz w:val="27"/>
          <w:vertAlign w:val="superscript"/>
          <w:rtl/>
          <w:lang w:bidi="ar-LB"/>
        </w:rPr>
        <w:t>)</w:t>
      </w:r>
      <w:r w:rsidRPr="006571AC">
        <w:rPr>
          <w:rFonts w:hint="cs"/>
          <w:sz w:val="27"/>
          <w:rtl/>
          <w:lang w:bidi="ar-LB"/>
        </w:rPr>
        <w:t xml:space="preserve">، يُعتبر جُهْداً جديراً بالاهتمام؛ </w:t>
      </w:r>
      <w:r w:rsidRPr="006571AC">
        <w:rPr>
          <w:rFonts w:hint="cs"/>
          <w:sz w:val="27"/>
          <w:rtl/>
          <w:lang w:bidi="ar-LB"/>
        </w:rPr>
        <w:lastRenderedPageBreak/>
        <w:t xml:space="preserve">لإزالة الغموض الموجود في مفهوم </w:t>
      </w:r>
      <w:r w:rsidRPr="006571AC">
        <w:rPr>
          <w:rFonts w:hint="eastAsia"/>
          <w:sz w:val="24"/>
          <w:szCs w:val="24"/>
          <w:rtl/>
          <w:lang w:bidi="ar-LB"/>
        </w:rPr>
        <w:t>«</w:t>
      </w:r>
      <w:r w:rsidRPr="006571AC">
        <w:rPr>
          <w:rFonts w:hint="cs"/>
          <w:sz w:val="27"/>
          <w:rtl/>
          <w:lang w:bidi="ar-LB"/>
        </w:rPr>
        <w:t>الديمقراطية</w:t>
      </w:r>
      <w:r w:rsidRPr="006571AC">
        <w:rPr>
          <w:rFonts w:hint="eastAsia"/>
          <w:sz w:val="24"/>
          <w:szCs w:val="24"/>
          <w:rtl/>
        </w:rPr>
        <w:t>»</w:t>
      </w:r>
      <w:r w:rsidRPr="006571AC">
        <w:rPr>
          <w:rFonts w:hint="cs"/>
          <w:sz w:val="27"/>
          <w:rtl/>
          <w:lang w:bidi="ar-LB"/>
        </w:rPr>
        <w:t xml:space="preserve">. يشير مصطلح </w:t>
      </w:r>
      <w:r w:rsidRPr="006571AC">
        <w:rPr>
          <w:rFonts w:hint="eastAsia"/>
          <w:sz w:val="24"/>
          <w:szCs w:val="24"/>
          <w:rtl/>
          <w:lang w:bidi="ar-LB"/>
        </w:rPr>
        <w:t>«</w:t>
      </w:r>
      <w:r w:rsidRPr="006571AC">
        <w:rPr>
          <w:rFonts w:hint="cs"/>
          <w:sz w:val="27"/>
          <w:rtl/>
          <w:lang w:bidi="ar-LB"/>
        </w:rPr>
        <w:t>الحدّ الأدنى من الديمقراطية</w:t>
      </w:r>
      <w:r w:rsidRPr="006571AC">
        <w:rPr>
          <w:rFonts w:hint="eastAsia"/>
          <w:sz w:val="24"/>
          <w:szCs w:val="24"/>
          <w:rtl/>
        </w:rPr>
        <w:t>»</w:t>
      </w:r>
      <w:r w:rsidRPr="006571AC">
        <w:rPr>
          <w:rFonts w:hint="cs"/>
          <w:sz w:val="27"/>
          <w:rtl/>
          <w:lang w:bidi="ar-LB"/>
        </w:rPr>
        <w:t xml:space="preserve"> إلى مجرد سيادة رأي الأكثرية، ويشير </w:t>
      </w:r>
      <w:r w:rsidRPr="006571AC">
        <w:rPr>
          <w:rFonts w:hint="eastAsia"/>
          <w:sz w:val="24"/>
          <w:szCs w:val="24"/>
          <w:rtl/>
          <w:lang w:bidi="ar-LB"/>
        </w:rPr>
        <w:t>«</w:t>
      </w:r>
      <w:r w:rsidRPr="006571AC">
        <w:rPr>
          <w:rFonts w:hint="cs"/>
          <w:sz w:val="27"/>
          <w:rtl/>
          <w:lang w:bidi="ar-LB"/>
        </w:rPr>
        <w:t>الحدّ الأقصى من الديمقراطية</w:t>
      </w:r>
      <w:r w:rsidRPr="006571AC">
        <w:rPr>
          <w:rFonts w:hint="eastAsia"/>
          <w:sz w:val="24"/>
          <w:szCs w:val="24"/>
          <w:rtl/>
        </w:rPr>
        <w:t>»</w:t>
      </w:r>
      <w:r w:rsidRPr="006571AC">
        <w:rPr>
          <w:rFonts w:hint="cs"/>
          <w:sz w:val="27"/>
          <w:rtl/>
          <w:lang w:bidi="ar-LB"/>
        </w:rPr>
        <w:t xml:space="preserve"> إلى سيادة رأي الأكثرية مع الالتزام بـ</w:t>
      </w:r>
      <w:r w:rsidRPr="006571AC">
        <w:rPr>
          <w:rFonts w:hint="cs"/>
          <w:rtl/>
        </w:rPr>
        <w:t xml:space="preserve">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احترام حقوق الأقلِّيات</w:t>
      </w:r>
      <w:r w:rsidRPr="006571AC">
        <w:rPr>
          <w:rFonts w:hint="eastAsia"/>
          <w:sz w:val="24"/>
          <w:szCs w:val="24"/>
          <w:rtl/>
        </w:rPr>
        <w:t>»</w:t>
      </w:r>
      <w:r w:rsidRPr="006571AC">
        <w:rPr>
          <w:rFonts w:hint="cs"/>
          <w:sz w:val="27"/>
          <w:rtl/>
          <w:lang w:bidi="ar-LB"/>
        </w:rPr>
        <w:t>، وغيرها من المفاهيم المماثلة.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إذا كانت أغلبية المجتمع تريد حكومةً متطرّفة وسلطوية، وجاءت هذه الحكومة وفقاً لإرادة الشعب، فهناك </w:t>
      </w:r>
      <w:r w:rsidRPr="006571AC">
        <w:rPr>
          <w:rFonts w:hint="eastAsia"/>
          <w:sz w:val="24"/>
          <w:szCs w:val="24"/>
          <w:rtl/>
          <w:lang w:bidi="ar-LB"/>
        </w:rPr>
        <w:t>«</w:t>
      </w:r>
      <w:r w:rsidRPr="006571AC">
        <w:rPr>
          <w:rFonts w:hint="cs"/>
          <w:sz w:val="27"/>
          <w:rtl/>
          <w:lang w:bidi="ar-LB"/>
        </w:rPr>
        <w:t>حدٌّ أدنى من الديمقراطية</w:t>
      </w:r>
      <w:r w:rsidRPr="006571AC">
        <w:rPr>
          <w:rFonts w:hint="eastAsia"/>
          <w:sz w:val="24"/>
          <w:szCs w:val="24"/>
          <w:rtl/>
        </w:rPr>
        <w:t>»</w:t>
      </w:r>
      <w:r w:rsidRPr="006571AC">
        <w:rPr>
          <w:rFonts w:hint="cs"/>
          <w:sz w:val="27"/>
          <w:rtl/>
          <w:lang w:bidi="ar-LB"/>
        </w:rPr>
        <w:t xml:space="preserve"> في ذلك المجتمع، أي سيادة رأي الأكثرية؛ </w:t>
      </w:r>
      <w:r w:rsidRPr="006571AC">
        <w:rPr>
          <w:sz w:val="27"/>
          <w:rtl/>
          <w:lang w:bidi="ar-LB"/>
        </w:rPr>
        <w:t xml:space="preserve">لكن </w:t>
      </w:r>
      <w:r w:rsidRPr="006571AC">
        <w:rPr>
          <w:sz w:val="24"/>
          <w:szCs w:val="24"/>
          <w:rtl/>
          <w:lang w:bidi="ar-LB"/>
        </w:rPr>
        <w:t>«</w:t>
      </w:r>
      <w:r w:rsidRPr="006571AC">
        <w:rPr>
          <w:sz w:val="27"/>
          <w:rtl/>
          <w:lang w:bidi="ar-LB"/>
        </w:rPr>
        <w:t>الحدّ الأقصى من الديمقراطية</w:t>
      </w:r>
      <w:r w:rsidRPr="006571AC">
        <w:rPr>
          <w:sz w:val="24"/>
          <w:szCs w:val="24"/>
          <w:rtl/>
        </w:rPr>
        <w:t>»</w:t>
      </w:r>
      <w:r w:rsidRPr="006571AC">
        <w:rPr>
          <w:sz w:val="27"/>
          <w:rtl/>
          <w:lang w:bidi="ar-LB"/>
        </w:rPr>
        <w:t xml:space="preserve"> يعني سيادة رأي الأكثرية</w:t>
      </w:r>
      <w:r w:rsidR="000120E4" w:rsidRPr="006571AC">
        <w:rPr>
          <w:rFonts w:hint="cs"/>
          <w:sz w:val="27"/>
          <w:rtl/>
          <w:lang w:bidi="ar-LB"/>
        </w:rPr>
        <w:t>،</w:t>
      </w:r>
      <w:r w:rsidRPr="006571AC">
        <w:rPr>
          <w:sz w:val="27"/>
          <w:rtl/>
          <w:lang w:bidi="ar-LB"/>
        </w:rPr>
        <w:t xml:space="preserve"> مع احترام حقوق الإنسان والحرّ</w:t>
      </w:r>
      <w:r w:rsidR="000120E4" w:rsidRPr="006571AC">
        <w:rPr>
          <w:rFonts w:hint="cs"/>
          <w:sz w:val="27"/>
          <w:rtl/>
          <w:lang w:bidi="ar-LB"/>
        </w:rPr>
        <w:t>ِ</w:t>
      </w:r>
      <w:r w:rsidRPr="006571AC">
        <w:rPr>
          <w:sz w:val="27"/>
          <w:rtl/>
          <w:lang w:bidi="ar-LB"/>
        </w:rPr>
        <w:t>يات الفردية وحقوق الأقلِّيات</w:t>
      </w:r>
      <w:r w:rsidRPr="006571AC">
        <w:rPr>
          <w:rFonts w:hint="cs"/>
          <w:sz w:val="27"/>
          <w:rtl/>
          <w:lang w:bidi="ar-LB"/>
        </w:rPr>
        <w:t>، وهو</w:t>
      </w:r>
      <w:r w:rsidRPr="006571AC">
        <w:rPr>
          <w:sz w:val="27"/>
          <w:rtl/>
          <w:lang w:bidi="ar-LB"/>
        </w:rPr>
        <w:t xml:space="preserve"> غير موجود</w:t>
      </w:r>
      <w:r w:rsidR="000120E4" w:rsidRPr="006571AC">
        <w:rPr>
          <w:rFonts w:hint="cs"/>
          <w:sz w:val="27"/>
          <w:rtl/>
          <w:lang w:bidi="ar-LB"/>
        </w:rPr>
        <w:t>ٍ</w:t>
      </w:r>
      <w:r w:rsidRPr="006571AC">
        <w:rPr>
          <w:sz w:val="27"/>
          <w:rtl/>
          <w:lang w:bidi="ar-LB"/>
        </w:rPr>
        <w:t xml:space="preserve">. ويُعبّر عن </w:t>
      </w:r>
      <w:r w:rsidRPr="006571AC">
        <w:rPr>
          <w:sz w:val="24"/>
          <w:szCs w:val="24"/>
          <w:rtl/>
          <w:lang w:bidi="ar-LB"/>
        </w:rPr>
        <w:t>«</w:t>
      </w:r>
      <w:r w:rsidRPr="006571AC">
        <w:rPr>
          <w:sz w:val="27"/>
          <w:rtl/>
          <w:lang w:bidi="ar-LB"/>
        </w:rPr>
        <w:t>الحدّ الأدنى من الديمقراطية</w:t>
      </w:r>
      <w:r w:rsidRPr="006571AC">
        <w:rPr>
          <w:sz w:val="24"/>
          <w:szCs w:val="24"/>
          <w:rtl/>
          <w:lang w:bidi="ar-LB"/>
        </w:rPr>
        <w:t>»</w:t>
      </w:r>
      <w:r w:rsidRPr="006571AC">
        <w:rPr>
          <w:sz w:val="27"/>
          <w:rtl/>
          <w:lang w:bidi="ar-LB"/>
        </w:rPr>
        <w:t xml:space="preserve"> بدون </w:t>
      </w:r>
      <w:r w:rsidRPr="006571AC">
        <w:rPr>
          <w:sz w:val="24"/>
          <w:szCs w:val="24"/>
          <w:rtl/>
          <w:lang w:bidi="ar-LB"/>
        </w:rPr>
        <w:t>«</w:t>
      </w:r>
      <w:r w:rsidRPr="006571AC">
        <w:rPr>
          <w:sz w:val="27"/>
          <w:rtl/>
          <w:lang w:bidi="ar-LB"/>
        </w:rPr>
        <w:t>الحدّ الأقصى من الديمقراطية</w:t>
      </w:r>
      <w:r w:rsidRPr="006571AC">
        <w:rPr>
          <w:sz w:val="24"/>
          <w:szCs w:val="24"/>
          <w:rtl/>
          <w:lang w:bidi="ar-LB"/>
        </w:rPr>
        <w:t>»</w:t>
      </w:r>
      <w:r w:rsidRPr="006571AC">
        <w:rPr>
          <w:sz w:val="27"/>
          <w:rtl/>
          <w:lang w:bidi="ar-LB"/>
        </w:rPr>
        <w:t xml:space="preserve"> بـ </w:t>
      </w:r>
      <w:r w:rsidRPr="006571AC">
        <w:rPr>
          <w:sz w:val="24"/>
          <w:szCs w:val="24"/>
          <w:rtl/>
          <w:lang w:bidi="ar-LB"/>
        </w:rPr>
        <w:t>«</w:t>
      </w:r>
      <w:r w:rsidRPr="006571AC">
        <w:rPr>
          <w:sz w:val="27"/>
          <w:rtl/>
          <w:lang w:bidi="ar-LB"/>
        </w:rPr>
        <w:t>استبداد الأكثري</w:t>
      </w:r>
      <w:r w:rsidR="000120E4"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هناك أبحاث وآراء مختلفة بين الفلاسفة الغربيين</w:t>
      </w:r>
      <w:r w:rsidR="000120E4" w:rsidRPr="006571AC">
        <w:rPr>
          <w:rFonts w:hint="cs"/>
          <w:sz w:val="27"/>
          <w:rtl/>
          <w:lang w:bidi="ar-LB"/>
        </w:rPr>
        <w:t>،</w:t>
      </w:r>
      <w:r w:rsidRPr="006571AC">
        <w:rPr>
          <w:sz w:val="27"/>
          <w:rtl/>
          <w:lang w:bidi="ar-LB"/>
        </w:rPr>
        <w:t xml:space="preserve"> من أمثال</w:t>
      </w:r>
      <w:r w:rsidR="000120E4" w:rsidRPr="006571AC">
        <w:rPr>
          <w:rFonts w:hint="cs"/>
          <w:sz w:val="27"/>
          <w:rtl/>
          <w:lang w:bidi="ar-LB"/>
        </w:rPr>
        <w:t>:</w:t>
      </w:r>
      <w:r w:rsidRPr="006571AC">
        <w:rPr>
          <w:sz w:val="27"/>
          <w:rtl/>
          <w:lang w:bidi="ar-LB"/>
        </w:rPr>
        <w:t xml:space="preserve"> كان</w:t>
      </w:r>
      <w:r w:rsidR="001F32D2" w:rsidRPr="006571AC">
        <w:rPr>
          <w:rFonts w:hint="cs"/>
          <w:sz w:val="27"/>
          <w:rtl/>
          <w:lang w:bidi="ar-LB"/>
        </w:rPr>
        <w:t>ْ</w:t>
      </w:r>
      <w:r w:rsidRPr="006571AC">
        <w:rPr>
          <w:rFonts w:hint="cs"/>
          <w:sz w:val="27"/>
          <w:rtl/>
          <w:lang w:bidi="ar-LB"/>
        </w:rPr>
        <w:t>ط</w:t>
      </w:r>
      <w:r w:rsidRPr="006571AC">
        <w:rPr>
          <w:sz w:val="27"/>
          <w:rtl/>
          <w:lang w:bidi="ar-LB"/>
        </w:rPr>
        <w:t>، روس</w:t>
      </w:r>
      <w:r w:rsidR="001F32D2" w:rsidRPr="006571AC">
        <w:rPr>
          <w:rFonts w:hint="cs"/>
          <w:sz w:val="27"/>
          <w:rtl/>
          <w:lang w:bidi="ar-LB"/>
        </w:rPr>
        <w:t>ُّ</w:t>
      </w:r>
      <w:r w:rsidRPr="006571AC">
        <w:rPr>
          <w:sz w:val="27"/>
          <w:rtl/>
          <w:lang w:bidi="ar-LB"/>
        </w:rPr>
        <w:t>و، جون رولز وهابرماس</w:t>
      </w:r>
      <w:r w:rsidR="000120E4" w:rsidRPr="006571AC">
        <w:rPr>
          <w:rFonts w:hint="cs"/>
          <w:sz w:val="27"/>
          <w:rtl/>
          <w:lang w:bidi="ar-LB"/>
        </w:rPr>
        <w:t>،</w:t>
      </w:r>
      <w:r w:rsidRPr="006571AC">
        <w:rPr>
          <w:sz w:val="27"/>
          <w:rtl/>
          <w:lang w:bidi="ar-LB"/>
        </w:rPr>
        <w:t xml:space="preserve"> حول تحد</w:t>
      </w:r>
      <w:r w:rsidR="000120E4" w:rsidRPr="006571AC">
        <w:rPr>
          <w:rFonts w:hint="cs"/>
          <w:sz w:val="27"/>
          <w:rtl/>
          <w:lang w:bidi="ar-LB"/>
        </w:rPr>
        <w:t>ّ</w:t>
      </w:r>
      <w:r w:rsidRPr="006571AC">
        <w:rPr>
          <w:sz w:val="27"/>
          <w:rtl/>
          <w:lang w:bidi="ar-LB"/>
        </w:rPr>
        <w:t xml:space="preserve">ي </w:t>
      </w:r>
      <w:r w:rsidRPr="006571AC">
        <w:rPr>
          <w:sz w:val="24"/>
          <w:szCs w:val="24"/>
          <w:rtl/>
          <w:lang w:bidi="ar-LB"/>
        </w:rPr>
        <w:t>«</w:t>
      </w:r>
      <w:r w:rsidRPr="006571AC">
        <w:rPr>
          <w:sz w:val="27"/>
          <w:rtl/>
          <w:lang w:bidi="ar-LB"/>
        </w:rPr>
        <w:t>استبداد الأكثرية</w:t>
      </w:r>
      <w:r w:rsidRPr="006571AC">
        <w:rPr>
          <w:sz w:val="24"/>
          <w:szCs w:val="24"/>
          <w:rtl/>
          <w:lang w:bidi="ar-LB"/>
        </w:rPr>
        <w:t>»</w:t>
      </w:r>
      <w:r w:rsidRPr="006571AC">
        <w:rPr>
          <w:sz w:val="27"/>
          <w:rtl/>
          <w:lang w:bidi="ar-LB"/>
        </w:rPr>
        <w:t>. برأي بعض المفك</w:t>
      </w:r>
      <w:r w:rsidR="000120E4" w:rsidRPr="006571AC">
        <w:rPr>
          <w:rFonts w:hint="cs"/>
          <w:sz w:val="27"/>
          <w:rtl/>
          <w:lang w:bidi="ar-LB"/>
        </w:rPr>
        <w:t>ِّ</w:t>
      </w:r>
      <w:r w:rsidRPr="006571AC">
        <w:rPr>
          <w:sz w:val="27"/>
          <w:rtl/>
          <w:lang w:bidi="ar-LB"/>
        </w:rPr>
        <w:t xml:space="preserve">رين الذين يميلون إلى </w:t>
      </w:r>
      <w:r w:rsidRPr="006571AC">
        <w:rPr>
          <w:rFonts w:hint="cs"/>
          <w:sz w:val="27"/>
          <w:rtl/>
          <w:lang w:bidi="ar-LB"/>
        </w:rPr>
        <w:t>ال</w:t>
      </w:r>
      <w:r w:rsidRPr="006571AC">
        <w:rPr>
          <w:sz w:val="27"/>
          <w:rtl/>
          <w:lang w:bidi="ar-LB"/>
        </w:rPr>
        <w:t>مدرسة الوضعية القانونية</w:t>
      </w:r>
      <w:r w:rsidR="000120E4" w:rsidRPr="006571AC">
        <w:rPr>
          <w:rFonts w:hint="cs"/>
          <w:sz w:val="27"/>
          <w:rtl/>
          <w:lang w:bidi="ar-LB"/>
        </w:rPr>
        <w:t>،</w:t>
      </w:r>
      <w:r w:rsidRPr="006571AC">
        <w:rPr>
          <w:sz w:val="27"/>
          <w:rtl/>
          <w:lang w:bidi="ar-LB"/>
        </w:rPr>
        <w:t xml:space="preserve"> ك</w:t>
      </w:r>
      <w:r w:rsidR="000120E4" w:rsidRPr="006571AC">
        <w:rPr>
          <w:rFonts w:hint="cs"/>
          <w:sz w:val="27"/>
          <w:rtl/>
          <w:lang w:bidi="ar-LB"/>
        </w:rPr>
        <w:t>ـ (</w:t>
      </w:r>
      <w:r w:rsidRPr="006571AC">
        <w:rPr>
          <w:sz w:val="27"/>
          <w:rtl/>
          <w:lang w:bidi="ar-LB"/>
        </w:rPr>
        <w:t>روس</w:t>
      </w:r>
      <w:r w:rsidR="001F32D2" w:rsidRPr="006571AC">
        <w:rPr>
          <w:rFonts w:hint="cs"/>
          <w:sz w:val="27"/>
          <w:rtl/>
          <w:lang w:bidi="ar-LB"/>
        </w:rPr>
        <w:t>ُّ</w:t>
      </w:r>
      <w:r w:rsidRPr="006571AC">
        <w:rPr>
          <w:sz w:val="27"/>
          <w:rtl/>
          <w:lang w:bidi="ar-LB"/>
        </w:rPr>
        <w:t>و</w:t>
      </w:r>
      <w:r w:rsidR="000120E4" w:rsidRPr="006571AC">
        <w:rPr>
          <w:rFonts w:hint="cs"/>
          <w:sz w:val="27"/>
          <w:rtl/>
          <w:lang w:bidi="ar-LB"/>
        </w:rPr>
        <w:t>)</w:t>
      </w:r>
      <w:r w:rsidRPr="006571AC">
        <w:rPr>
          <w:sz w:val="27"/>
          <w:rtl/>
          <w:lang w:bidi="ar-LB"/>
        </w:rPr>
        <w:t>، القوانين المعتبرة هي القوانين التي وضعها البشر</w:t>
      </w:r>
      <w:r w:rsidRPr="006571AC">
        <w:rPr>
          <w:rFonts w:hint="cs"/>
          <w:sz w:val="27"/>
          <w:rtl/>
          <w:lang w:bidi="ar-LB"/>
        </w:rPr>
        <w:t>،</w:t>
      </w:r>
      <w:r w:rsidRPr="006571AC">
        <w:rPr>
          <w:sz w:val="27"/>
          <w:rtl/>
          <w:lang w:bidi="ar-LB"/>
        </w:rPr>
        <w:t xml:space="preserve"> ووافقوا عليها</w:t>
      </w:r>
      <w:r w:rsidR="000120E4" w:rsidRPr="006571AC">
        <w:rPr>
          <w:rFonts w:hint="cs"/>
          <w:sz w:val="27"/>
          <w:rtl/>
          <w:lang w:bidi="ar-LB"/>
        </w:rPr>
        <w:t xml:space="preserve">، </w:t>
      </w:r>
      <w:r w:rsidRPr="006571AC">
        <w:rPr>
          <w:sz w:val="27"/>
          <w:rtl/>
          <w:lang w:bidi="ar-LB"/>
        </w:rPr>
        <w:t>وكل</w:t>
      </w:r>
      <w:r w:rsidR="000120E4" w:rsidRPr="006571AC">
        <w:rPr>
          <w:rFonts w:hint="cs"/>
          <w:sz w:val="27"/>
          <w:rtl/>
          <w:lang w:bidi="ar-LB"/>
        </w:rPr>
        <w:t>ّ</w:t>
      </w:r>
      <w:r w:rsidR="001F32D2" w:rsidRPr="006571AC">
        <w:rPr>
          <w:sz w:val="27"/>
          <w:rtl/>
          <w:lang w:bidi="ar-LB"/>
        </w:rPr>
        <w:t xml:space="preserve"> قاعد</w:t>
      </w:r>
      <w:r w:rsidR="001F32D2" w:rsidRPr="006571AC">
        <w:rPr>
          <w:rFonts w:hint="cs"/>
          <w:sz w:val="27"/>
          <w:rtl/>
          <w:lang w:bidi="ar-LB"/>
        </w:rPr>
        <w:t>ةٍ</w:t>
      </w:r>
      <w:r w:rsidRPr="006571AC">
        <w:rPr>
          <w:rFonts w:hint="cs"/>
          <w:sz w:val="27"/>
          <w:rtl/>
          <w:lang w:bidi="ar-LB"/>
        </w:rPr>
        <w:t xml:space="preserve"> أو</w:t>
      </w:r>
      <w:r w:rsidRPr="006571AC">
        <w:rPr>
          <w:sz w:val="27"/>
          <w:rtl/>
          <w:lang w:bidi="ar-LB"/>
        </w:rPr>
        <w:t xml:space="preserve"> قانون </w:t>
      </w:r>
      <w:r w:rsidRPr="006571AC">
        <w:rPr>
          <w:rFonts w:hint="cs"/>
          <w:sz w:val="27"/>
          <w:rtl/>
          <w:lang w:bidi="ar-LB"/>
        </w:rPr>
        <w:t>أ</w:t>
      </w:r>
      <w:r w:rsidRPr="006571AC">
        <w:rPr>
          <w:sz w:val="27"/>
          <w:rtl/>
          <w:lang w:bidi="ar-LB"/>
        </w:rPr>
        <w:t>و</w:t>
      </w:r>
      <w:r w:rsidRPr="006571AC">
        <w:rPr>
          <w:rFonts w:hint="cs"/>
          <w:sz w:val="27"/>
          <w:rtl/>
          <w:lang w:bidi="ar-LB"/>
        </w:rPr>
        <w:t xml:space="preserve"> </w:t>
      </w:r>
      <w:r w:rsidRPr="006571AC">
        <w:rPr>
          <w:sz w:val="27"/>
          <w:rtl/>
          <w:lang w:bidi="ar-LB"/>
        </w:rPr>
        <w:t xml:space="preserve">معيار خارج إطار إرادة الأكثرية </w:t>
      </w:r>
      <w:r w:rsidRPr="006571AC">
        <w:rPr>
          <w:rFonts w:hint="cs"/>
          <w:sz w:val="27"/>
          <w:rtl/>
          <w:lang w:bidi="ar-LB"/>
        </w:rPr>
        <w:t>ف</w:t>
      </w:r>
      <w:r w:rsidRPr="006571AC">
        <w:rPr>
          <w:sz w:val="27"/>
          <w:rtl/>
          <w:lang w:bidi="ar-LB"/>
        </w:rPr>
        <w:t xml:space="preserve">لا اعتبار له. </w:t>
      </w:r>
      <w:r w:rsidR="00731867" w:rsidRPr="006571AC">
        <w:rPr>
          <w:rFonts w:hint="cs"/>
          <w:sz w:val="27"/>
          <w:rtl/>
          <w:lang w:bidi="ar-LB"/>
        </w:rPr>
        <w:t>إذن</w:t>
      </w:r>
      <w:r w:rsidRPr="006571AC">
        <w:rPr>
          <w:rFonts w:hint="cs"/>
          <w:sz w:val="27"/>
          <w:rtl/>
          <w:lang w:bidi="ar-LB"/>
        </w:rPr>
        <w:t xml:space="preserve"> فإن </w:t>
      </w:r>
      <w:r w:rsidRPr="006571AC">
        <w:rPr>
          <w:sz w:val="27"/>
          <w:rtl/>
          <w:lang w:bidi="ar-LB"/>
        </w:rPr>
        <w:t>رأي روسو</w:t>
      </w:r>
      <w:r w:rsidRPr="006571AC">
        <w:rPr>
          <w:rFonts w:hint="cs"/>
          <w:sz w:val="27"/>
          <w:rtl/>
          <w:lang w:bidi="ar-LB"/>
        </w:rPr>
        <w:t xml:space="preserve"> </w:t>
      </w:r>
      <w:r w:rsidRPr="006571AC">
        <w:rPr>
          <w:sz w:val="27"/>
          <w:rtl/>
          <w:lang w:bidi="ar-LB"/>
        </w:rPr>
        <w:t>ه</w:t>
      </w:r>
      <w:r w:rsidRPr="006571AC">
        <w:rPr>
          <w:rFonts w:hint="cs"/>
          <w:sz w:val="27"/>
          <w:rtl/>
          <w:lang w:bidi="ar-LB"/>
        </w:rPr>
        <w:t>و</w:t>
      </w:r>
      <w:r w:rsidRPr="006571AC">
        <w:rPr>
          <w:sz w:val="27"/>
          <w:rtl/>
          <w:lang w:bidi="ar-LB"/>
        </w:rPr>
        <w:t xml:space="preserve"> مشروعي</w:t>
      </w:r>
      <w:r w:rsidR="00813131" w:rsidRPr="006571AC">
        <w:rPr>
          <w:rFonts w:hint="cs"/>
          <w:sz w:val="27"/>
          <w:rtl/>
          <w:lang w:bidi="ar-LB"/>
        </w:rPr>
        <w:t>ّ</w:t>
      </w:r>
      <w:r w:rsidRPr="006571AC">
        <w:rPr>
          <w:sz w:val="27"/>
          <w:rtl/>
          <w:lang w:bidi="ar-LB"/>
        </w:rPr>
        <w:t xml:space="preserve">ة </w:t>
      </w:r>
      <w:r w:rsidRPr="006571AC">
        <w:rPr>
          <w:sz w:val="24"/>
          <w:szCs w:val="24"/>
          <w:rtl/>
          <w:lang w:bidi="ar-LB"/>
        </w:rPr>
        <w:t>«</w:t>
      </w:r>
      <w:r w:rsidRPr="006571AC">
        <w:rPr>
          <w:sz w:val="27"/>
          <w:rtl/>
          <w:lang w:bidi="ar-LB"/>
        </w:rPr>
        <w:t>استبداد الأكثري</w:t>
      </w:r>
      <w:r w:rsidR="00813131"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 xml:space="preserve">. </w:t>
      </w:r>
      <w:r w:rsidRPr="006571AC">
        <w:rPr>
          <w:rFonts w:hint="cs"/>
          <w:sz w:val="27"/>
          <w:rtl/>
          <w:lang w:bidi="ar-LB"/>
        </w:rPr>
        <w:t>و</w:t>
      </w:r>
      <w:r w:rsidRPr="006571AC">
        <w:rPr>
          <w:sz w:val="27"/>
          <w:rtl/>
          <w:lang w:bidi="ar-LB"/>
        </w:rPr>
        <w:t>لكن</w:t>
      </w:r>
      <w:r w:rsidR="00813131" w:rsidRPr="006571AC">
        <w:rPr>
          <w:rFonts w:hint="cs"/>
          <w:sz w:val="27"/>
          <w:rtl/>
          <w:lang w:bidi="ar-LB"/>
        </w:rPr>
        <w:t>ْ</w:t>
      </w:r>
      <w:r w:rsidRPr="006571AC">
        <w:rPr>
          <w:sz w:val="27"/>
          <w:rtl/>
          <w:lang w:bidi="ar-LB"/>
        </w:rPr>
        <w:t xml:space="preserve"> ح</w:t>
      </w:r>
      <w:r w:rsidR="00813131" w:rsidRPr="006571AC">
        <w:rPr>
          <w:rFonts w:hint="cs"/>
          <w:sz w:val="27"/>
          <w:rtl/>
          <w:lang w:bidi="ar-LB"/>
        </w:rPr>
        <w:t>َ</w:t>
      </w:r>
      <w:r w:rsidRPr="006571AC">
        <w:rPr>
          <w:sz w:val="27"/>
          <w:rtl/>
          <w:lang w:bidi="ar-LB"/>
        </w:rPr>
        <w:t>س</w:t>
      </w:r>
      <w:r w:rsidR="00813131" w:rsidRPr="006571AC">
        <w:rPr>
          <w:rFonts w:hint="cs"/>
          <w:sz w:val="27"/>
          <w:rtl/>
          <w:lang w:bidi="ar-LB"/>
        </w:rPr>
        <w:t>ْ</w:t>
      </w:r>
      <w:r w:rsidRPr="006571AC">
        <w:rPr>
          <w:sz w:val="27"/>
          <w:rtl/>
          <w:lang w:bidi="ar-LB"/>
        </w:rPr>
        <w:t>ب رأي الفلاسفة الذين اختاروا مدرسة القانون الطبيعي</w:t>
      </w:r>
      <w:r w:rsidR="00813131" w:rsidRPr="006571AC">
        <w:rPr>
          <w:rFonts w:hint="cs"/>
          <w:sz w:val="27"/>
          <w:rtl/>
          <w:lang w:bidi="ar-LB"/>
        </w:rPr>
        <w:t>،</w:t>
      </w:r>
      <w:r w:rsidRPr="006571AC">
        <w:rPr>
          <w:sz w:val="27"/>
          <w:rtl/>
          <w:lang w:bidi="ar-LB"/>
        </w:rPr>
        <w:t xml:space="preserve"> ك</w:t>
      </w:r>
      <w:r w:rsidR="00813131" w:rsidRPr="006571AC">
        <w:rPr>
          <w:rFonts w:hint="cs"/>
          <w:sz w:val="27"/>
          <w:rtl/>
          <w:lang w:bidi="ar-LB"/>
        </w:rPr>
        <w:t>ـ (</w:t>
      </w:r>
      <w:r w:rsidRPr="006571AC">
        <w:rPr>
          <w:sz w:val="27"/>
          <w:rtl/>
          <w:lang w:bidi="ar-LB"/>
        </w:rPr>
        <w:t>كان</w:t>
      </w:r>
      <w:r w:rsidR="001F32D2" w:rsidRPr="006571AC">
        <w:rPr>
          <w:rFonts w:hint="cs"/>
          <w:sz w:val="27"/>
          <w:rtl/>
          <w:lang w:bidi="ar-LB"/>
        </w:rPr>
        <w:t>ْ</w:t>
      </w:r>
      <w:r w:rsidRPr="006571AC">
        <w:rPr>
          <w:rFonts w:hint="cs"/>
          <w:sz w:val="27"/>
          <w:rtl/>
          <w:lang w:bidi="ar-LB"/>
        </w:rPr>
        <w:t>ط</w:t>
      </w:r>
      <w:r w:rsidR="00813131" w:rsidRPr="006571AC">
        <w:rPr>
          <w:rFonts w:hint="cs"/>
          <w:sz w:val="27"/>
          <w:rtl/>
          <w:lang w:bidi="ar-LB"/>
        </w:rPr>
        <w:t>)،</w:t>
      </w:r>
      <w:r w:rsidRPr="006571AC">
        <w:rPr>
          <w:rFonts w:hint="cs"/>
          <w:sz w:val="27"/>
          <w:rtl/>
          <w:lang w:bidi="ar-LB"/>
        </w:rPr>
        <w:t xml:space="preserve"> فإن</w:t>
      </w:r>
      <w:r w:rsidRPr="006571AC">
        <w:rPr>
          <w:sz w:val="27"/>
          <w:rtl/>
          <w:lang w:bidi="ar-LB"/>
        </w:rPr>
        <w:t xml:space="preserve"> هناك قوانين من خارج إطار الإرادة العامة</w:t>
      </w:r>
      <w:r w:rsidR="00813131" w:rsidRPr="006571AC">
        <w:rPr>
          <w:rFonts w:hint="cs"/>
          <w:sz w:val="27"/>
          <w:rtl/>
          <w:lang w:bidi="ar-LB"/>
        </w:rPr>
        <w:t>،</w:t>
      </w:r>
      <w:r w:rsidRPr="006571AC">
        <w:rPr>
          <w:sz w:val="27"/>
          <w:rtl/>
          <w:lang w:bidi="ar-LB"/>
        </w:rPr>
        <w:t xml:space="preserve"> </w:t>
      </w:r>
      <w:r w:rsidRPr="006571AC">
        <w:rPr>
          <w:rFonts w:hint="cs"/>
          <w:sz w:val="27"/>
          <w:rtl/>
          <w:lang w:bidi="ar-LB"/>
        </w:rPr>
        <w:t>ولها</w:t>
      </w:r>
      <w:r w:rsidRPr="006571AC">
        <w:rPr>
          <w:sz w:val="27"/>
          <w:rtl/>
          <w:lang w:bidi="ar-LB"/>
        </w:rPr>
        <w:t xml:space="preserve"> اعتبار</w:t>
      </w:r>
      <w:r w:rsidR="00813131" w:rsidRPr="006571AC">
        <w:rPr>
          <w:rFonts w:hint="cs"/>
          <w:sz w:val="27"/>
          <w:rtl/>
          <w:lang w:bidi="ar-LB"/>
        </w:rPr>
        <w:t>ٌ</w:t>
      </w:r>
      <w:r w:rsidRPr="006571AC">
        <w:rPr>
          <w:sz w:val="27"/>
          <w:rtl/>
          <w:lang w:bidi="ar-LB"/>
        </w:rPr>
        <w:t xml:space="preserve"> ومشروعي</w:t>
      </w:r>
      <w:r w:rsidR="00813131" w:rsidRPr="006571AC">
        <w:rPr>
          <w:rFonts w:hint="cs"/>
          <w:sz w:val="27"/>
          <w:rtl/>
          <w:lang w:bidi="ar-LB"/>
        </w:rPr>
        <w:t>ّ</w:t>
      </w:r>
      <w:r w:rsidRPr="006571AC">
        <w:rPr>
          <w:sz w:val="27"/>
          <w:rtl/>
          <w:lang w:bidi="ar-LB"/>
        </w:rPr>
        <w:t>ة</w:t>
      </w:r>
      <w:r w:rsidR="00813131" w:rsidRPr="006571AC">
        <w:rPr>
          <w:rFonts w:hint="cs"/>
          <w:sz w:val="27"/>
          <w:rtl/>
          <w:lang w:bidi="ar-LB"/>
        </w:rPr>
        <w:t>ٌ</w:t>
      </w:r>
      <w:r w:rsidRPr="006571AC">
        <w:rPr>
          <w:sz w:val="27"/>
          <w:rtl/>
          <w:lang w:bidi="ar-LB"/>
        </w:rPr>
        <w:t>، ولا يحق</w:t>
      </w:r>
      <w:r w:rsidR="00813131" w:rsidRPr="006571AC">
        <w:rPr>
          <w:rFonts w:hint="cs"/>
          <w:sz w:val="27"/>
          <w:rtl/>
          <w:lang w:bidi="ar-LB"/>
        </w:rPr>
        <w:t>ّ</w:t>
      </w:r>
      <w:r w:rsidRPr="006571AC">
        <w:rPr>
          <w:sz w:val="27"/>
          <w:rtl/>
          <w:lang w:bidi="ar-LB"/>
        </w:rPr>
        <w:t xml:space="preserve"> للأكثرية نقض </w:t>
      </w:r>
      <w:r w:rsidRPr="006571AC">
        <w:rPr>
          <w:rFonts w:hint="cs"/>
          <w:sz w:val="27"/>
          <w:rtl/>
          <w:lang w:bidi="ar-LB"/>
        </w:rPr>
        <w:t>تلك</w:t>
      </w:r>
      <w:r w:rsidRPr="006571AC">
        <w:rPr>
          <w:sz w:val="27"/>
          <w:rtl/>
          <w:lang w:bidi="ar-LB"/>
        </w:rPr>
        <w:t xml:space="preserve"> القوانين. </w:t>
      </w:r>
      <w:r w:rsidRPr="006571AC">
        <w:rPr>
          <w:rFonts w:hint="cs"/>
          <w:sz w:val="27"/>
          <w:rtl/>
          <w:lang w:bidi="ar-LB"/>
        </w:rPr>
        <w:t xml:space="preserve">وعليه فإن </w:t>
      </w:r>
      <w:r w:rsidRPr="006571AC">
        <w:rPr>
          <w:sz w:val="27"/>
          <w:rtl/>
          <w:lang w:bidi="ar-LB"/>
        </w:rPr>
        <w:t>نتيجة هذا الرأي</w:t>
      </w:r>
      <w:r w:rsidRPr="006571AC">
        <w:rPr>
          <w:rFonts w:hint="cs"/>
          <w:sz w:val="27"/>
          <w:rtl/>
          <w:lang w:bidi="ar-LB"/>
        </w:rPr>
        <w:t xml:space="preserve"> </w:t>
      </w:r>
      <w:r w:rsidRPr="006571AC">
        <w:rPr>
          <w:sz w:val="27"/>
          <w:rtl/>
          <w:lang w:bidi="ar-LB"/>
        </w:rPr>
        <w:t>عدم مشروعي</w:t>
      </w:r>
      <w:r w:rsidR="00813131" w:rsidRPr="006571AC">
        <w:rPr>
          <w:rFonts w:hint="cs"/>
          <w:sz w:val="27"/>
          <w:rtl/>
          <w:lang w:bidi="ar-LB"/>
        </w:rPr>
        <w:t>ّ</w:t>
      </w:r>
      <w:r w:rsidRPr="006571AC">
        <w:rPr>
          <w:sz w:val="27"/>
          <w:rtl/>
          <w:lang w:bidi="ar-LB"/>
        </w:rPr>
        <w:t xml:space="preserve">ة </w:t>
      </w:r>
      <w:r w:rsidRPr="006571AC">
        <w:rPr>
          <w:sz w:val="24"/>
          <w:szCs w:val="24"/>
          <w:rtl/>
          <w:lang w:bidi="ar-LB"/>
        </w:rPr>
        <w:t>«</w:t>
      </w:r>
      <w:r w:rsidRPr="006571AC">
        <w:rPr>
          <w:sz w:val="27"/>
          <w:rtl/>
          <w:lang w:bidi="ar-LB"/>
        </w:rPr>
        <w:t>استبداد الأكثري</w:t>
      </w:r>
      <w:r w:rsidR="00813131" w:rsidRPr="006571AC">
        <w:rPr>
          <w:rFonts w:hint="cs"/>
          <w:sz w:val="27"/>
          <w:rtl/>
          <w:lang w:bidi="ar-LB"/>
        </w:rPr>
        <w:t>ّ</w:t>
      </w:r>
      <w:r w:rsidRPr="006571AC">
        <w:rPr>
          <w:sz w:val="27"/>
          <w:rtl/>
          <w:lang w:bidi="ar-LB"/>
        </w:rPr>
        <w:t>ة</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6"/>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وفي قبول أو عدم قبول </w:t>
      </w:r>
      <w:r w:rsidRPr="006571AC">
        <w:rPr>
          <w:rFonts w:hint="eastAsia"/>
          <w:sz w:val="24"/>
          <w:szCs w:val="24"/>
          <w:rtl/>
          <w:lang w:bidi="ar-LB"/>
        </w:rPr>
        <w:t>«</w:t>
      </w:r>
      <w:r w:rsidRPr="006571AC">
        <w:rPr>
          <w:rFonts w:hint="cs"/>
          <w:sz w:val="27"/>
          <w:rtl/>
          <w:lang w:bidi="ar-LB"/>
        </w:rPr>
        <w:t>الحدّ الأدنى من الديمقراطية</w:t>
      </w:r>
      <w:r w:rsidRPr="006571AC">
        <w:rPr>
          <w:rFonts w:hint="eastAsia"/>
          <w:sz w:val="24"/>
          <w:szCs w:val="24"/>
          <w:rtl/>
        </w:rPr>
        <w:t>»</w:t>
      </w:r>
      <w:r w:rsidRPr="006571AC">
        <w:rPr>
          <w:rFonts w:hint="cs"/>
          <w:sz w:val="27"/>
          <w:rtl/>
          <w:lang w:bidi="ar-LB"/>
        </w:rPr>
        <w:t xml:space="preserve"> أو </w:t>
      </w:r>
      <w:r w:rsidRPr="006571AC">
        <w:rPr>
          <w:rFonts w:hint="eastAsia"/>
          <w:sz w:val="24"/>
          <w:szCs w:val="24"/>
          <w:rtl/>
          <w:lang w:bidi="ar-LB"/>
        </w:rPr>
        <w:t>«</w:t>
      </w:r>
      <w:r w:rsidRPr="006571AC">
        <w:rPr>
          <w:rFonts w:hint="cs"/>
          <w:sz w:val="27"/>
          <w:rtl/>
          <w:lang w:bidi="ar-LB"/>
        </w:rPr>
        <w:t>الحدّ الأقصى من الديمقراطية</w:t>
      </w:r>
      <w:r w:rsidRPr="006571AC">
        <w:rPr>
          <w:rFonts w:hint="eastAsia"/>
          <w:sz w:val="24"/>
          <w:szCs w:val="24"/>
          <w:rtl/>
        </w:rPr>
        <w:t>»</w:t>
      </w:r>
      <w:r w:rsidRPr="006571AC">
        <w:rPr>
          <w:rFonts w:hint="cs"/>
          <w:sz w:val="27"/>
          <w:rtl/>
          <w:lang w:bidi="ar-LB"/>
        </w:rPr>
        <w:t xml:space="preserve"> يجب التمييز بين مرحلتي البحث التي تمَّتْ مناقشتهما في ما تقدَّم، وهما: </w:t>
      </w:r>
      <w:r w:rsidRPr="006571AC">
        <w:rPr>
          <w:rFonts w:hint="cs"/>
          <w:b/>
          <w:bCs/>
          <w:sz w:val="27"/>
          <w:rtl/>
          <w:lang w:bidi="ar-LB"/>
        </w:rPr>
        <w:t>أوّلاً</w:t>
      </w:r>
      <w:r w:rsidRPr="006571AC">
        <w:rPr>
          <w:rFonts w:hint="cs"/>
          <w:sz w:val="27"/>
          <w:rtl/>
          <w:lang w:bidi="ar-LB"/>
        </w:rPr>
        <w:t xml:space="preserve">: اختيار نموذج الحكم المرغوب فيه؛ </w:t>
      </w:r>
      <w:r w:rsidRPr="006571AC">
        <w:rPr>
          <w:rFonts w:hint="cs"/>
          <w:b/>
          <w:bCs/>
          <w:sz w:val="27"/>
          <w:rtl/>
          <w:lang w:bidi="ar-LB"/>
        </w:rPr>
        <w:t>وثانياً</w:t>
      </w:r>
      <w:r w:rsidRPr="006571AC">
        <w:rPr>
          <w:rFonts w:hint="cs"/>
          <w:sz w:val="27"/>
          <w:rtl/>
          <w:lang w:bidi="ar-LB"/>
        </w:rPr>
        <w:t>: إيجاد طريقة عملية للخروج من الاختلافات بين الناس في صنع القرار الجماعي، وبعبارةٍ أخرى: هناك فرقٌ بين ديمقراطيةٍ تمثِّل قيمةً ذات أهداف اجتماعية وتاريخية وديمقراطيةٍ تمثِّل طريقةً وآلية فاقدة لأيّ هدفٍ اجتماعي وتاريخي.</w:t>
      </w:r>
    </w:p>
    <w:p w:rsidR="008C542A" w:rsidRPr="006571AC" w:rsidRDefault="008C542A" w:rsidP="003345FE">
      <w:pPr>
        <w:tabs>
          <w:tab w:val="right" w:pos="6930"/>
        </w:tabs>
        <w:suppressAutoHyphens/>
        <w:rPr>
          <w:sz w:val="27"/>
          <w:rtl/>
          <w:lang w:bidi="ar-LB"/>
        </w:rPr>
      </w:pPr>
      <w:r w:rsidRPr="006571AC">
        <w:rPr>
          <w:rFonts w:hint="cs"/>
          <w:sz w:val="27"/>
          <w:rtl/>
          <w:lang w:bidi="ar-LB"/>
        </w:rPr>
        <w:t xml:space="preserve">إذا كانت </w:t>
      </w:r>
      <w:r w:rsidRPr="006571AC">
        <w:rPr>
          <w:rFonts w:hint="eastAsia"/>
          <w:sz w:val="24"/>
          <w:szCs w:val="24"/>
          <w:rtl/>
          <w:lang w:bidi="ar-LB"/>
        </w:rPr>
        <w:t>«</w:t>
      </w:r>
      <w:r w:rsidRPr="006571AC">
        <w:rPr>
          <w:rFonts w:hint="cs"/>
          <w:sz w:val="27"/>
          <w:rtl/>
          <w:lang w:bidi="ar-LB"/>
        </w:rPr>
        <w:t>الديمقراطية بحدّها الأقصى</w:t>
      </w:r>
      <w:r w:rsidRPr="006571AC">
        <w:rPr>
          <w:rFonts w:hint="eastAsia"/>
          <w:sz w:val="24"/>
          <w:szCs w:val="24"/>
          <w:rtl/>
        </w:rPr>
        <w:t>»</w:t>
      </w:r>
      <w:r w:rsidRPr="006571AC">
        <w:rPr>
          <w:rFonts w:hint="cs"/>
          <w:sz w:val="27"/>
          <w:rtl/>
          <w:lang w:bidi="ar-LB"/>
        </w:rPr>
        <w:t xml:space="preserve"> ـ وبغضّ النظر عن كون مفاهيمها الداخلية، كـ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حقوق الأقلِّيات</w:t>
      </w:r>
      <w:r w:rsidRPr="006571AC">
        <w:rPr>
          <w:rFonts w:hint="eastAsia"/>
          <w:sz w:val="24"/>
          <w:szCs w:val="24"/>
          <w:rtl/>
        </w:rPr>
        <w:t>»</w:t>
      </w:r>
      <w:r w:rsidRPr="006571AC">
        <w:rPr>
          <w:rFonts w:hint="cs"/>
          <w:sz w:val="27"/>
          <w:rtl/>
          <w:lang w:bidi="ar-LB"/>
        </w:rPr>
        <w:t xml:space="preserve"> ونحوها، مقبولةً </w:t>
      </w:r>
      <w:r w:rsidRPr="006571AC">
        <w:rPr>
          <w:rFonts w:hint="cs"/>
          <w:sz w:val="27"/>
          <w:rtl/>
          <w:lang w:bidi="ar-LB"/>
        </w:rPr>
        <w:lastRenderedPageBreak/>
        <w:t xml:space="preserve">ويمكن الدفاع عنها </w:t>
      </w:r>
      <w:r w:rsidRPr="006571AC">
        <w:rPr>
          <w:sz w:val="27"/>
          <w:rtl/>
          <w:lang w:bidi="ar-LB"/>
        </w:rPr>
        <w:t>ـ</w:t>
      </w:r>
      <w:r w:rsidRPr="006571AC">
        <w:rPr>
          <w:rFonts w:hint="cs"/>
          <w:sz w:val="27"/>
          <w:rtl/>
          <w:lang w:bidi="ar-LB"/>
        </w:rPr>
        <w:t xml:space="preserve"> إذا كانت </w:t>
      </w:r>
      <w:r w:rsidR="003345FE" w:rsidRPr="006571AC">
        <w:rPr>
          <w:rFonts w:hint="cs"/>
          <w:sz w:val="27"/>
          <w:rtl/>
          <w:lang w:bidi="ar-LB"/>
        </w:rPr>
        <w:t xml:space="preserve">في </w:t>
      </w:r>
      <w:r w:rsidRPr="006571AC">
        <w:rPr>
          <w:rFonts w:hint="cs"/>
          <w:sz w:val="27"/>
          <w:rtl/>
          <w:lang w:bidi="ar-LB"/>
        </w:rPr>
        <w:t xml:space="preserve">صدد نفي </w:t>
      </w:r>
      <w:r w:rsidRPr="006571AC">
        <w:rPr>
          <w:rFonts w:hint="eastAsia"/>
          <w:sz w:val="24"/>
          <w:szCs w:val="24"/>
          <w:rtl/>
          <w:lang w:bidi="ar-LB"/>
        </w:rPr>
        <w:t>«</w:t>
      </w:r>
      <w:r w:rsidRPr="006571AC">
        <w:rPr>
          <w:rFonts w:hint="cs"/>
          <w:sz w:val="27"/>
          <w:rtl/>
          <w:lang w:bidi="ar-LB"/>
        </w:rPr>
        <w:t>الديمقراطية في حدّها الأدنى</w:t>
      </w:r>
      <w:r w:rsidRPr="006571AC">
        <w:rPr>
          <w:rFonts w:hint="eastAsia"/>
          <w:sz w:val="24"/>
          <w:szCs w:val="24"/>
          <w:rtl/>
        </w:rPr>
        <w:t>»</w:t>
      </w:r>
      <w:r w:rsidRPr="006571AC">
        <w:rPr>
          <w:rFonts w:hint="cs"/>
          <w:sz w:val="27"/>
          <w:rtl/>
          <w:lang w:bidi="ar-LB"/>
        </w:rPr>
        <w:t xml:space="preserve"> بصفتها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فستكون في هذه الحالة نظريّةً غير عقلانيّة ومتناقضة بطبيعتها؛ بسبب الخلط الحاصل بين تلك المرحلتين اللتين سبق ذكرهما.</w:t>
      </w:r>
    </w:p>
    <w:p w:rsidR="008C542A" w:rsidRPr="006571AC" w:rsidRDefault="008C542A" w:rsidP="00706E68">
      <w:pPr>
        <w:tabs>
          <w:tab w:val="right" w:pos="6930"/>
        </w:tabs>
        <w:suppressAutoHyphens/>
        <w:rPr>
          <w:sz w:val="27"/>
          <w:rtl/>
          <w:lang w:bidi="ar-LB"/>
        </w:rPr>
      </w:pPr>
      <w:r w:rsidRPr="006571AC">
        <w:rPr>
          <w:rFonts w:hint="cs"/>
          <w:sz w:val="27"/>
          <w:rtl/>
          <w:lang w:bidi="ar-LB"/>
        </w:rPr>
        <w:t>لم يلتفِتْ بعضُ المدافعين عن هذا الرأي إلى حقيقة أنه من أجل إقامة حكومة</w:t>
      </w:r>
      <w:r w:rsidR="001F32D2" w:rsidRPr="006571AC">
        <w:rPr>
          <w:rFonts w:hint="cs"/>
          <w:sz w:val="27"/>
          <w:rtl/>
          <w:lang w:bidi="ar-LB"/>
        </w:rPr>
        <w:t>ٍ</w:t>
      </w:r>
      <w:r w:rsidRPr="006571AC">
        <w:rPr>
          <w:rFonts w:hint="cs"/>
          <w:sz w:val="27"/>
          <w:rtl/>
          <w:lang w:bidi="ar-LB"/>
        </w:rPr>
        <w:t xml:space="preserve"> صحيحة في المجتمع يجب الإجابة عن السؤالين المذكورين بجوابين منفصلين، لا أن نعطي جواباً واحداً لكلَيْهما.</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السؤال الأوّل</w:t>
      </w:r>
      <w:r w:rsidRPr="006571AC">
        <w:rPr>
          <w:rFonts w:hint="cs"/>
          <w:sz w:val="27"/>
          <w:rtl/>
          <w:lang w:bidi="ar-LB"/>
        </w:rPr>
        <w:t>: ما هو نموذج الحكم الصحيح والأجدر؟</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السؤال الثاني</w:t>
      </w:r>
      <w:r w:rsidRPr="006571AC">
        <w:rPr>
          <w:rFonts w:hint="cs"/>
          <w:sz w:val="27"/>
          <w:rtl/>
          <w:lang w:bidi="ar-LB"/>
        </w:rPr>
        <w:t>: ماذا يجب أن نفعل إذا لم يوافق أفراد المجتمع على قبول نماذج مختلفة من الحكم؟</w:t>
      </w:r>
    </w:p>
    <w:p w:rsidR="008C542A" w:rsidRPr="006571AC" w:rsidRDefault="008C542A" w:rsidP="00706E68">
      <w:pPr>
        <w:tabs>
          <w:tab w:val="right" w:pos="6930"/>
        </w:tabs>
        <w:suppressAutoHyphens/>
        <w:rPr>
          <w:sz w:val="27"/>
          <w:rtl/>
          <w:lang w:bidi="ar-LB"/>
        </w:rPr>
      </w:pPr>
      <w:r w:rsidRPr="006571AC">
        <w:rPr>
          <w:rFonts w:hint="cs"/>
          <w:sz w:val="27"/>
          <w:rtl/>
          <w:lang w:bidi="ar-LB"/>
        </w:rPr>
        <w:t>وللإجابة عن السؤال الأو</w:t>
      </w:r>
      <w:r w:rsidR="00813131" w:rsidRPr="006571AC">
        <w:rPr>
          <w:rFonts w:hint="cs"/>
          <w:sz w:val="27"/>
          <w:rtl/>
          <w:lang w:bidi="ar-LB"/>
        </w:rPr>
        <w:t>ّ</w:t>
      </w:r>
      <w:r w:rsidRPr="006571AC">
        <w:rPr>
          <w:rFonts w:hint="cs"/>
          <w:sz w:val="27"/>
          <w:rtl/>
          <w:lang w:bidi="ar-LB"/>
        </w:rPr>
        <w:t>ل يمكن للجميع التعبير عن وجهة نظرهم التي يرغبون بها.</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ولكنْ في الإجابة عن السؤال الثاني لا يحقّ لأحدٍ إقحام افتراضاته التي اختارها في نموذج الحكم في حال لم يوافق عليها الآخرون؛ لأنه في هذه الحالة سوف تتكرَّر الخلافات، ولا يمكن أن تكون الإجابة هي الحَكَم النهائي لحلّ النزاع. </w:t>
      </w:r>
      <w:r w:rsidRPr="006571AC">
        <w:rPr>
          <w:sz w:val="27"/>
          <w:rtl/>
          <w:lang w:bidi="ar-LB"/>
        </w:rPr>
        <w:t xml:space="preserve">وعليه يمكن أن تكون </w:t>
      </w:r>
      <w:r w:rsidRPr="006571AC">
        <w:rPr>
          <w:sz w:val="24"/>
          <w:szCs w:val="24"/>
          <w:rtl/>
          <w:lang w:bidi="ar-LB"/>
        </w:rPr>
        <w:t>«</w:t>
      </w:r>
      <w:r w:rsidRPr="006571AC">
        <w:rPr>
          <w:sz w:val="27"/>
          <w:rtl/>
          <w:lang w:bidi="ar-LB"/>
        </w:rPr>
        <w:t>الديمقراطية في حدّها الأقصى</w:t>
      </w:r>
      <w:r w:rsidRPr="006571AC">
        <w:rPr>
          <w:sz w:val="24"/>
          <w:szCs w:val="24"/>
          <w:rtl/>
        </w:rPr>
        <w:t>»</w:t>
      </w:r>
      <w:r w:rsidRPr="006571AC">
        <w:rPr>
          <w:sz w:val="27"/>
          <w:rtl/>
          <w:lang w:bidi="ar-LB"/>
        </w:rPr>
        <w:t xml:space="preserve"> إجابة</w:t>
      </w:r>
      <w:r w:rsidR="00813131" w:rsidRPr="006571AC">
        <w:rPr>
          <w:rFonts w:hint="cs"/>
          <w:sz w:val="27"/>
          <w:rtl/>
          <w:lang w:bidi="ar-LB"/>
        </w:rPr>
        <w:t>ً</w:t>
      </w:r>
      <w:r w:rsidRPr="006571AC">
        <w:rPr>
          <w:sz w:val="27"/>
          <w:rtl/>
          <w:lang w:bidi="ar-LB"/>
        </w:rPr>
        <w:t xml:space="preserve"> ع</w:t>
      </w:r>
      <w:r w:rsidR="00813131" w:rsidRPr="006571AC">
        <w:rPr>
          <w:rFonts w:hint="cs"/>
          <w:sz w:val="27"/>
          <w:rtl/>
          <w:lang w:bidi="ar-LB"/>
        </w:rPr>
        <w:t>ن</w:t>
      </w:r>
      <w:r w:rsidRPr="006571AC">
        <w:rPr>
          <w:sz w:val="27"/>
          <w:rtl/>
          <w:lang w:bidi="ar-LB"/>
        </w:rPr>
        <w:t xml:space="preserve"> السؤال الأو</w:t>
      </w:r>
      <w:r w:rsidR="00813131" w:rsidRPr="006571AC">
        <w:rPr>
          <w:rFonts w:hint="cs"/>
          <w:sz w:val="27"/>
          <w:rtl/>
          <w:lang w:bidi="ar-LB"/>
        </w:rPr>
        <w:t>ّ</w:t>
      </w:r>
      <w:r w:rsidRPr="006571AC">
        <w:rPr>
          <w:sz w:val="27"/>
          <w:rtl/>
          <w:lang w:bidi="ar-LB"/>
        </w:rPr>
        <w:t xml:space="preserve">ل، </w:t>
      </w:r>
      <w:r w:rsidRPr="006571AC">
        <w:rPr>
          <w:rFonts w:hint="cs"/>
          <w:sz w:val="27"/>
          <w:rtl/>
          <w:lang w:bidi="ar-LB"/>
        </w:rPr>
        <w:t>و</w:t>
      </w:r>
      <w:r w:rsidRPr="006571AC">
        <w:rPr>
          <w:sz w:val="27"/>
          <w:rtl/>
          <w:lang w:bidi="ar-LB"/>
        </w:rPr>
        <w:t>لكن</w:t>
      </w:r>
      <w:r w:rsidR="00813131" w:rsidRPr="006571AC">
        <w:rPr>
          <w:rFonts w:hint="cs"/>
          <w:sz w:val="27"/>
          <w:rtl/>
          <w:lang w:bidi="ar-LB"/>
        </w:rPr>
        <w:t>ْ</w:t>
      </w:r>
      <w:r w:rsidRPr="006571AC">
        <w:rPr>
          <w:sz w:val="27"/>
          <w:rtl/>
          <w:lang w:bidi="ar-LB"/>
        </w:rPr>
        <w:t xml:space="preserve"> لا يمكنها أن تكون إجابة</w:t>
      </w:r>
      <w:r w:rsidR="00813131" w:rsidRPr="006571AC">
        <w:rPr>
          <w:rFonts w:hint="cs"/>
          <w:sz w:val="27"/>
          <w:rtl/>
          <w:lang w:bidi="ar-LB"/>
        </w:rPr>
        <w:t>ً</w:t>
      </w:r>
      <w:r w:rsidRPr="006571AC">
        <w:rPr>
          <w:sz w:val="27"/>
          <w:rtl/>
          <w:lang w:bidi="ar-LB"/>
        </w:rPr>
        <w:t xml:space="preserve"> ع</w:t>
      </w:r>
      <w:r w:rsidR="00813131" w:rsidRPr="006571AC">
        <w:rPr>
          <w:rFonts w:hint="cs"/>
          <w:sz w:val="27"/>
          <w:rtl/>
          <w:lang w:bidi="ar-LB"/>
        </w:rPr>
        <w:t>ن</w:t>
      </w:r>
      <w:r w:rsidRPr="006571AC">
        <w:rPr>
          <w:sz w:val="27"/>
          <w:rtl/>
          <w:lang w:bidi="ar-LB"/>
        </w:rPr>
        <w:t xml:space="preserve"> السؤال الثاني.</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وبعبارةٍ أخرى: إذا كانت غالبيّة المجتمع لا تقبل مفاهيم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حقوق الأقلِّيات</w:t>
      </w:r>
      <w:r w:rsidRPr="006571AC">
        <w:rPr>
          <w:rFonts w:hint="eastAsia"/>
          <w:sz w:val="24"/>
          <w:szCs w:val="24"/>
          <w:rtl/>
        </w:rPr>
        <w:t>»</w:t>
      </w:r>
      <w:r w:rsidRPr="006571AC">
        <w:rPr>
          <w:rFonts w:hint="cs"/>
          <w:sz w:val="27"/>
          <w:rtl/>
          <w:lang w:bidi="ar-LB"/>
        </w:rPr>
        <w:t xml:space="preserve"> وفق تفسير العالم المعاصر فما العمل في هذه الحالة، بناءً على </w:t>
      </w:r>
      <w:r w:rsidRPr="006571AC">
        <w:rPr>
          <w:rFonts w:hint="eastAsia"/>
          <w:sz w:val="24"/>
          <w:szCs w:val="24"/>
          <w:rtl/>
          <w:lang w:bidi="ar-LB"/>
        </w:rPr>
        <w:t>«</w:t>
      </w:r>
      <w:r w:rsidRPr="006571AC">
        <w:rPr>
          <w:rFonts w:hint="cs"/>
          <w:sz w:val="27"/>
          <w:rtl/>
          <w:lang w:bidi="ar-LB"/>
        </w:rPr>
        <w:t>الديمقراطية في حدّها الأقصى</w:t>
      </w:r>
      <w:r w:rsidRPr="006571AC">
        <w:rPr>
          <w:rFonts w:hint="eastAsia"/>
          <w:sz w:val="24"/>
          <w:szCs w:val="24"/>
          <w:rtl/>
        </w:rPr>
        <w:t>»</w:t>
      </w:r>
      <w:r w:rsidRPr="006571AC">
        <w:rPr>
          <w:rFonts w:hint="cs"/>
          <w:sz w:val="27"/>
          <w:rtl/>
          <w:lang w:bidi="ar-LB"/>
        </w:rPr>
        <w:t xml:space="preserve">؟ هل يجب فرض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حقوق الأقلِّيات</w:t>
      </w:r>
      <w:r w:rsidRPr="006571AC">
        <w:rPr>
          <w:rFonts w:hint="eastAsia"/>
          <w:sz w:val="24"/>
          <w:szCs w:val="24"/>
          <w:rtl/>
        </w:rPr>
        <w:t>»</w:t>
      </w:r>
      <w:r w:rsidRPr="006571AC">
        <w:rPr>
          <w:rFonts w:hint="cs"/>
          <w:sz w:val="27"/>
          <w:rtl/>
          <w:lang w:bidi="ar-LB"/>
        </w:rPr>
        <w:t xml:space="preserve"> على الناس، إذا كانت تخالف ميولهم؟ في هذه الحالة ستضيع </w:t>
      </w:r>
      <w:r w:rsidRPr="006571AC">
        <w:rPr>
          <w:rFonts w:hint="eastAsia"/>
          <w:sz w:val="24"/>
          <w:szCs w:val="24"/>
          <w:rtl/>
          <w:lang w:bidi="ar-LB"/>
        </w:rPr>
        <w:t>«</w:t>
      </w:r>
      <w:r w:rsidRPr="006571AC">
        <w:rPr>
          <w:rFonts w:hint="cs"/>
          <w:sz w:val="27"/>
          <w:rtl/>
          <w:lang w:bidi="ar-LB"/>
        </w:rPr>
        <w:t>سيادة رأي الأكثرية</w:t>
      </w:r>
      <w:r w:rsidRPr="006571AC">
        <w:rPr>
          <w:rFonts w:hint="eastAsia"/>
          <w:sz w:val="24"/>
          <w:szCs w:val="24"/>
          <w:rtl/>
        </w:rPr>
        <w:t>»</w:t>
      </w:r>
      <w:r w:rsidRPr="006571AC">
        <w:rPr>
          <w:rFonts w:hint="cs"/>
          <w:sz w:val="27"/>
          <w:rtl/>
          <w:lang w:bidi="ar-LB"/>
        </w:rPr>
        <w:t>، التي هي جزءٌ من هذا الرأي، وسيتمّ تشكيل الحكم الديكتاتوري للأقلِّية، وبالنتيجة فقدان الديمقراطية، سواء كانت في حدّها الأقصى أو الأدنى.</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إذا كان جواب مؤيِّدي نظرية </w:t>
      </w:r>
      <w:r w:rsidRPr="006571AC">
        <w:rPr>
          <w:rFonts w:hint="eastAsia"/>
          <w:sz w:val="24"/>
          <w:szCs w:val="24"/>
          <w:rtl/>
          <w:lang w:bidi="ar-LB"/>
        </w:rPr>
        <w:t>«</w:t>
      </w:r>
      <w:r w:rsidRPr="006571AC">
        <w:rPr>
          <w:rFonts w:hint="cs"/>
          <w:sz w:val="27"/>
          <w:rtl/>
          <w:lang w:bidi="ar-LB"/>
        </w:rPr>
        <w:t>الديمقراطية في حدّها الأقصى</w:t>
      </w:r>
      <w:r w:rsidRPr="006571AC">
        <w:rPr>
          <w:rFonts w:hint="eastAsia"/>
          <w:sz w:val="24"/>
          <w:szCs w:val="24"/>
          <w:rtl/>
        </w:rPr>
        <w:t>»</w:t>
      </w:r>
      <w:r w:rsidRPr="006571AC">
        <w:rPr>
          <w:rFonts w:hint="cs"/>
          <w:sz w:val="27"/>
          <w:rtl/>
          <w:lang w:bidi="ar-LB"/>
        </w:rPr>
        <w:t xml:space="preserve"> هو أن هذه المفاهيم لن تُفْرَض على المجتمع، وسيتمّ تشكيل الحكومة بدون هذه المفاهيم، فإن نظريتهم هي نظرية </w:t>
      </w:r>
      <w:r w:rsidRPr="006571AC">
        <w:rPr>
          <w:rFonts w:hint="eastAsia"/>
          <w:sz w:val="24"/>
          <w:szCs w:val="24"/>
          <w:rtl/>
          <w:lang w:bidi="ar-LB"/>
        </w:rPr>
        <w:t>«</w:t>
      </w:r>
      <w:r w:rsidRPr="006571AC">
        <w:rPr>
          <w:rFonts w:hint="cs"/>
          <w:sz w:val="27"/>
          <w:rtl/>
          <w:lang w:bidi="ar-LB"/>
        </w:rPr>
        <w:t>الديمقراطية في حدّها الأدنى</w:t>
      </w:r>
      <w:r w:rsidRPr="006571AC">
        <w:rPr>
          <w:rFonts w:hint="eastAsia"/>
          <w:sz w:val="24"/>
          <w:szCs w:val="24"/>
          <w:rtl/>
        </w:rPr>
        <w:t>»</w:t>
      </w:r>
      <w:r w:rsidRPr="006571AC">
        <w:rPr>
          <w:rFonts w:hint="cs"/>
          <w:sz w:val="27"/>
          <w:rtl/>
          <w:lang w:bidi="ar-LB"/>
        </w:rPr>
        <w:t xml:space="preserve">، التي تجعل من رأي الأكثرية </w:t>
      </w:r>
      <w:r w:rsidRPr="006571AC">
        <w:rPr>
          <w:rFonts w:hint="cs"/>
          <w:sz w:val="27"/>
          <w:rtl/>
          <w:lang w:bidi="ar-LB"/>
        </w:rPr>
        <w:lastRenderedPageBreak/>
        <w:t>معياراً في قبول نماذج مختلفة من الحكم، مهما تكُنْ تلك الأكثرية معارضةً لـ</w:t>
      </w:r>
      <w:r w:rsidRPr="006571AC">
        <w:rPr>
          <w:rFonts w:hint="cs"/>
          <w:rtl/>
        </w:rPr>
        <w:t xml:space="preserve">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حقوق الأقلِّيات</w:t>
      </w:r>
      <w:r w:rsidRPr="006571AC">
        <w:rPr>
          <w:rFonts w:hint="eastAsia"/>
          <w:sz w:val="24"/>
          <w:szCs w:val="24"/>
          <w:rtl/>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المدافعون عن الحكومة الإسلامية أيضاً، في الجواب عن السؤال الثاني، لا يستطيعون منطقيّاً إدراج افتراضاتهم في نموذجٍ مؤاتٍ؛ لأن جوابهم في هذه الحالة لا يمكن أن يكون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في مواطن الاختلاف؛ فإذا أجابوا عن السؤال الثاني، أي قالوا ردّاً على مسألة تعيين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إن رأي الأكثرية معتبرٌ طالما أن </w:t>
      </w:r>
      <w:r w:rsidRPr="006571AC">
        <w:rPr>
          <w:rFonts w:hint="eastAsia"/>
          <w:sz w:val="24"/>
          <w:szCs w:val="24"/>
          <w:rtl/>
          <w:lang w:bidi="ar-LB"/>
        </w:rPr>
        <w:t>«</w:t>
      </w:r>
      <w:r w:rsidRPr="006571AC">
        <w:rPr>
          <w:rFonts w:hint="cs"/>
          <w:sz w:val="27"/>
          <w:rtl/>
          <w:lang w:bidi="ar-LB"/>
        </w:rPr>
        <w:t>الشريعة</w:t>
      </w:r>
      <w:r w:rsidRPr="006571AC">
        <w:rPr>
          <w:rFonts w:hint="eastAsia"/>
          <w:sz w:val="24"/>
          <w:szCs w:val="24"/>
          <w:rtl/>
        </w:rPr>
        <w:t>»</w:t>
      </w:r>
      <w:r w:rsidRPr="006571AC">
        <w:rPr>
          <w:rFonts w:hint="cs"/>
          <w:sz w:val="27"/>
          <w:rtl/>
          <w:lang w:bidi="ar-LB"/>
        </w:rPr>
        <w:t xml:space="preserve"> أو </w:t>
      </w:r>
      <w:r w:rsidRPr="006571AC">
        <w:rPr>
          <w:rFonts w:hint="eastAsia"/>
          <w:sz w:val="24"/>
          <w:szCs w:val="24"/>
          <w:rtl/>
          <w:lang w:bidi="ar-LB"/>
        </w:rPr>
        <w:t>«</w:t>
      </w:r>
      <w:r w:rsidRPr="006571AC">
        <w:rPr>
          <w:rFonts w:hint="cs"/>
          <w:sz w:val="27"/>
          <w:rtl/>
          <w:lang w:bidi="ar-LB"/>
        </w:rPr>
        <w:t>ضروريّات المذهب</w:t>
      </w:r>
      <w:r w:rsidRPr="006571AC">
        <w:rPr>
          <w:rFonts w:hint="eastAsia"/>
          <w:sz w:val="24"/>
          <w:szCs w:val="24"/>
          <w:rtl/>
        </w:rPr>
        <w:t>»</w:t>
      </w:r>
      <w:r w:rsidRPr="006571AC">
        <w:rPr>
          <w:rFonts w:hint="cs"/>
          <w:sz w:val="27"/>
          <w:rtl/>
          <w:lang w:bidi="ar-LB"/>
        </w:rPr>
        <w:t xml:space="preserve"> أو </w:t>
      </w:r>
      <w:r w:rsidRPr="006571AC">
        <w:rPr>
          <w:rFonts w:hint="eastAsia"/>
          <w:sz w:val="24"/>
          <w:szCs w:val="24"/>
          <w:rtl/>
          <w:lang w:bidi="ar-LB"/>
        </w:rPr>
        <w:t>«</w:t>
      </w:r>
      <w:r w:rsidRPr="006571AC">
        <w:rPr>
          <w:rFonts w:hint="cs"/>
          <w:sz w:val="27"/>
          <w:rtl/>
          <w:lang w:bidi="ar-LB"/>
        </w:rPr>
        <w:t>الحقوق الإلهيّة</w:t>
      </w:r>
      <w:r w:rsidRPr="006571AC">
        <w:rPr>
          <w:rFonts w:hint="eastAsia"/>
          <w:sz w:val="24"/>
          <w:szCs w:val="24"/>
          <w:rtl/>
        </w:rPr>
        <w:t>»</w:t>
      </w:r>
      <w:r w:rsidRPr="006571AC">
        <w:rPr>
          <w:rFonts w:hint="cs"/>
          <w:sz w:val="27"/>
          <w:rtl/>
          <w:lang w:bidi="ar-LB"/>
        </w:rPr>
        <w:t xml:space="preserve"> محفوظةٌ، ففي هذه الحالة سيكون السؤال: ما الذي يجب فعله إذا كانت الأكثريّة لا تقبل هذه المفاهيم، أو كان تفسيرها لها مختلفاً؟ وبعبارةٍ أخرى: يُطرح سؤال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مرّةً أخرى. وهذا يشي بأن جوابهم لم يكن جواباً من أجل تعيين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وإنّما كان من أجل تحديد نموذجٍ صحيح للحكم. وهذا جوابٌ عن السؤال الأول، وليس جواباً عن السؤال الثاني.</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يمكن للمدافعين عن الحكومة الإسلامية، مثلهم مثل المعارضين لها، أن يقبلوا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 xml:space="preserve"> كمعيارٍ في جوابهم عن السؤال الثاني، ولكنْ يجب عليهم أن يلتزموا بالنتيجة مهما كانت، ولو رأَوْها تتعارض مع نموذجهم المفضَّل للحكم. ويمكن أن يقبلوا معياراً عمليّاً آخر، مثل: </w:t>
      </w:r>
      <w:r w:rsidRPr="006571AC">
        <w:rPr>
          <w:rFonts w:hint="eastAsia"/>
          <w:sz w:val="24"/>
          <w:szCs w:val="24"/>
          <w:rtl/>
          <w:lang w:bidi="ar-LB"/>
        </w:rPr>
        <w:t>«</w:t>
      </w:r>
      <w:r w:rsidRPr="006571AC">
        <w:rPr>
          <w:rFonts w:hint="cs"/>
          <w:sz w:val="27"/>
          <w:rtl/>
          <w:lang w:bidi="ar-LB"/>
        </w:rPr>
        <w:t>سيادة السلطة والإكراه</w:t>
      </w:r>
      <w:r w:rsidRPr="006571AC">
        <w:rPr>
          <w:rFonts w:hint="eastAsia"/>
          <w:sz w:val="24"/>
          <w:szCs w:val="24"/>
          <w:rtl/>
        </w:rPr>
        <w:t>»</w:t>
      </w:r>
      <w:r w:rsidRPr="006571AC">
        <w:rPr>
          <w:rFonts w:hint="cs"/>
          <w:sz w:val="27"/>
          <w:rtl/>
          <w:lang w:bidi="ar-LB"/>
        </w:rPr>
        <w:t>. هذا المعيار هو إجابةٌ عن السؤال الثاني، ولا يتضمن إشكالاً منطقيّاً كهذا الذي كان في الأجوبة السابقة، التي لم تكن ردّاً عن السؤال الثاني، على الرغم من أنه ليس جواباً مناسباً من وجهة نظرٍ عقلانيّة وأخلاقيّة.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بالطبع فإن تطبيق استمرار طريقة سيادة رأي الأكثرية، وبعبارةٍ أخرى: </w:t>
      </w:r>
      <w:r w:rsidRPr="006571AC">
        <w:rPr>
          <w:rFonts w:hint="eastAsia"/>
          <w:sz w:val="24"/>
          <w:szCs w:val="24"/>
          <w:rtl/>
          <w:lang w:bidi="ar-LB"/>
        </w:rPr>
        <w:t>«</w:t>
      </w:r>
      <w:r w:rsidRPr="006571AC">
        <w:rPr>
          <w:rFonts w:hint="cs"/>
          <w:sz w:val="27"/>
          <w:rtl/>
          <w:lang w:bidi="ar-LB"/>
        </w:rPr>
        <w:t>الديمقراطية في حدّها الأدنى</w:t>
      </w:r>
      <w:r w:rsidRPr="006571AC">
        <w:rPr>
          <w:rFonts w:hint="eastAsia"/>
          <w:sz w:val="24"/>
          <w:szCs w:val="24"/>
          <w:rtl/>
        </w:rPr>
        <w:t>»</w:t>
      </w:r>
      <w:r w:rsidRPr="006571AC">
        <w:rPr>
          <w:rFonts w:hint="cs"/>
          <w:sz w:val="27"/>
          <w:rtl/>
          <w:lang w:bidi="ar-LB"/>
        </w:rPr>
        <w:t xml:space="preserve">، في أيّ مجتمعٍ تستلزم وجود ملحقاتٍ، في حال افتقادها لن تتشكَّل سيادة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 xml:space="preserve"> حدوثاً، ولا بقاءً.</w:t>
      </w:r>
    </w:p>
    <w:p w:rsidR="008C542A" w:rsidRPr="006571AC" w:rsidRDefault="008C542A" w:rsidP="00706E68">
      <w:pPr>
        <w:tabs>
          <w:tab w:val="right" w:pos="6930"/>
        </w:tabs>
        <w:suppressAutoHyphens/>
        <w:rPr>
          <w:sz w:val="27"/>
          <w:rtl/>
          <w:lang w:bidi="ar-LB"/>
        </w:rPr>
      </w:pPr>
      <w:r w:rsidRPr="006571AC">
        <w:rPr>
          <w:rFonts w:hint="cs"/>
          <w:sz w:val="27"/>
          <w:rtl/>
          <w:lang w:bidi="ar-LB"/>
        </w:rPr>
        <w:t>وهذه اللوازم والملحقات لا تشكِّل ق</w:t>
      </w:r>
      <w:r w:rsidR="001F32D2" w:rsidRPr="006571AC">
        <w:rPr>
          <w:rFonts w:hint="cs"/>
          <w:sz w:val="27"/>
          <w:rtl/>
          <w:lang w:bidi="ar-LB"/>
        </w:rPr>
        <w:t>َ</w:t>
      </w:r>
      <w:r w:rsidRPr="006571AC">
        <w:rPr>
          <w:rFonts w:hint="cs"/>
          <w:sz w:val="27"/>
          <w:rtl/>
          <w:lang w:bidi="ar-LB"/>
        </w:rPr>
        <w:t>ي</w:t>
      </w:r>
      <w:r w:rsidR="001F32D2" w:rsidRPr="006571AC">
        <w:rPr>
          <w:rFonts w:hint="cs"/>
          <w:sz w:val="27"/>
          <w:rtl/>
          <w:lang w:bidi="ar-LB"/>
        </w:rPr>
        <w:t>ْ</w:t>
      </w:r>
      <w:r w:rsidRPr="006571AC">
        <w:rPr>
          <w:rFonts w:hint="cs"/>
          <w:sz w:val="27"/>
          <w:rtl/>
          <w:lang w:bidi="ar-LB"/>
        </w:rPr>
        <w:t>داً إضافياً لـ</w:t>
      </w:r>
      <w:r w:rsidRPr="006571AC">
        <w:rPr>
          <w:rFonts w:hint="cs"/>
          <w:rtl/>
        </w:rPr>
        <w:t xml:space="preserve"> </w:t>
      </w:r>
      <w:r w:rsidRPr="006571AC">
        <w:rPr>
          <w:rFonts w:hint="eastAsia"/>
          <w:sz w:val="24"/>
          <w:szCs w:val="24"/>
          <w:rtl/>
          <w:lang w:bidi="ar-LB"/>
        </w:rPr>
        <w:t>«</w:t>
      </w:r>
      <w:r w:rsidRPr="006571AC">
        <w:rPr>
          <w:rFonts w:hint="cs"/>
          <w:sz w:val="27"/>
          <w:rtl/>
          <w:lang w:bidi="ar-LB"/>
        </w:rPr>
        <w:t>سيادة رأي الأكثرية</w:t>
      </w:r>
      <w:r w:rsidRPr="006571AC">
        <w:rPr>
          <w:rFonts w:hint="eastAsia"/>
          <w:sz w:val="24"/>
          <w:szCs w:val="24"/>
          <w:rtl/>
        </w:rPr>
        <w:t>»</w:t>
      </w:r>
      <w:r w:rsidRPr="006571AC">
        <w:rPr>
          <w:rFonts w:hint="cs"/>
          <w:sz w:val="27"/>
          <w:rtl/>
          <w:lang w:bidi="ar-LB"/>
        </w:rPr>
        <w:t>، حتّى يظهر الإشكال السابق، ولكنّها ملازمةٌ لها في التطبيق، أي إنه بدونها لا يمكن الحصول على رأي الأكثرية.</w:t>
      </w:r>
    </w:p>
    <w:p w:rsidR="008C542A" w:rsidRPr="006571AC" w:rsidRDefault="008C542A" w:rsidP="00E56C59">
      <w:pPr>
        <w:tabs>
          <w:tab w:val="right" w:pos="6930"/>
        </w:tabs>
        <w:suppressAutoHyphens/>
        <w:rPr>
          <w:sz w:val="27"/>
          <w:rtl/>
          <w:lang w:bidi="ar-LB"/>
        </w:rPr>
      </w:pPr>
      <w:r w:rsidRPr="006571AC">
        <w:rPr>
          <w:rFonts w:hint="cs"/>
          <w:sz w:val="27"/>
          <w:rtl/>
          <w:lang w:bidi="ar-LB"/>
        </w:rPr>
        <w:t xml:space="preserve">إحدى هذه الملحقات </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إذا لم يتمكَّن أصحاب العقائد والرؤى </w:t>
      </w:r>
      <w:r w:rsidRPr="006571AC">
        <w:rPr>
          <w:rFonts w:hint="cs"/>
          <w:sz w:val="27"/>
          <w:rtl/>
          <w:lang w:bidi="ar-LB"/>
        </w:rPr>
        <w:lastRenderedPageBreak/>
        <w:t xml:space="preserve">المختلفة من طرح أفكارهم في المجتمع فلن يتوفَّر الجوّ المناسب لاختيار الناس الحرّ. مجتمع الصوت الواحد، الذي </w:t>
      </w:r>
      <w:r w:rsidR="001F32D2" w:rsidRPr="006571AC">
        <w:rPr>
          <w:rFonts w:hint="cs"/>
          <w:sz w:val="27"/>
          <w:rtl/>
          <w:lang w:bidi="ar-LB"/>
        </w:rPr>
        <w:t>ي</w:t>
      </w:r>
      <w:r w:rsidRPr="006571AC">
        <w:rPr>
          <w:rFonts w:hint="cs"/>
          <w:sz w:val="27"/>
          <w:rtl/>
          <w:lang w:bidi="ar-LB"/>
        </w:rPr>
        <w:t xml:space="preserve">كون فيه للحكّام ومَنْ لهم نفس التفكير فقط الحقّ في الكلام، ويُحْرَم الآخرون من التعبير عن آرائهم ويُحْظَرون، مجتمعٌ كهذا لن تحفظ فيه سيادة رأي الأكثرية، ولن تستمرّ، ولن يتمّ الالتزام بها، مهما كانت الحكومة مبنيّةً على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 بل حتّى لو كان</w:t>
      </w:r>
      <w:r w:rsidR="001F32D2" w:rsidRPr="006571AC">
        <w:rPr>
          <w:rFonts w:hint="cs"/>
          <w:sz w:val="27"/>
          <w:rtl/>
          <w:lang w:bidi="ar-LB"/>
        </w:rPr>
        <w:t xml:space="preserve">ت </w:t>
      </w:r>
      <w:r w:rsidR="00E56C59" w:rsidRPr="006571AC">
        <w:rPr>
          <w:rFonts w:hint="cs"/>
          <w:sz w:val="27"/>
          <w:rtl/>
          <w:lang w:bidi="ar-LB"/>
        </w:rPr>
        <w:t>سلطة</w:t>
      </w:r>
      <w:r w:rsidRPr="006571AC">
        <w:rPr>
          <w:rFonts w:hint="cs"/>
          <w:sz w:val="27"/>
          <w:rtl/>
          <w:lang w:bidi="ar-LB"/>
        </w:rPr>
        <w:t xml:space="preserve"> الصوت الواحد وسلب </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قد تمّ</w:t>
      </w:r>
      <w:r w:rsidR="00E56C59" w:rsidRPr="006571AC">
        <w:rPr>
          <w:rFonts w:hint="cs"/>
          <w:sz w:val="27"/>
          <w:rtl/>
          <w:lang w:bidi="ar-LB"/>
        </w:rPr>
        <w:t>َ</w:t>
      </w:r>
      <w:r w:rsidRPr="006571AC">
        <w:rPr>
          <w:rFonts w:hint="cs"/>
          <w:sz w:val="27"/>
          <w:rtl/>
          <w:lang w:bidi="ar-LB"/>
        </w:rPr>
        <w:t>ت</w:t>
      </w:r>
      <w:r w:rsidR="00E56C59" w:rsidRPr="006571AC">
        <w:rPr>
          <w:rFonts w:hint="cs"/>
          <w:sz w:val="27"/>
          <w:rtl/>
          <w:lang w:bidi="ar-LB"/>
        </w:rPr>
        <w:t>ْ</w:t>
      </w:r>
      <w:r w:rsidRPr="006571AC">
        <w:rPr>
          <w:rFonts w:hint="cs"/>
          <w:sz w:val="27"/>
          <w:rtl/>
          <w:lang w:bidi="ar-LB"/>
        </w:rPr>
        <w:t xml:space="preserve"> وفق إرادة الأكثرية؛ إذ إن آراء الناس تتغيَّر، وللأجيال الجديدة مطالب مختلفة. إذن استمرار سيادة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 xml:space="preserve">، مثل حدوثه، منوطٌ بحفظ الأجواء الحرّة للمجتمع. والمجتمع الذي يفتقد إلى حرّية التعبير سوف يعدم الأرضية المناسبة لتقييم الآراء العامّة، وبالتالي ستضيع سيادة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وبعبارةٍ أخرى: يُعتبر وضع خيارات مختلفة أمام الناس مقدّمةً لاختيارهم الحرّ، وبالتالي سيادة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 وأما في المجتمع الذي يتمّ فيه اقتراح خيارٍ واحد فقط للناس، بدون أن يكون لهم علمٌ بوجود خياراتٍ أخرى؛ أو يكون مقدِّمو تلك الخيارات مؤيِّدين لخيارٍ واحد، وينظرون لغيره من الخيارات في أحسن الأحوال على أنها ناقدةٌ وتتصيَّد الأخطاء، أو أنها مُغْرِضةٌ، في مثل هذا المجتمع لا يوجد أرضيّةٌ للحرّية التكوينية للناس، واحترامٌ لحقّ تقرير مصيرهم، مهما كان ذلك الخيار هو الخيار الوحيد الذي يمتلك الحقّ.</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القرآن الكريم أيضاً يعتبر أن الاستماع للأقوال المختلفة يعتبر مقدّمةً للاختيار الحرّ والمقبول والعقلانيّ، الذي يهيِّئ الأرضية المناسبة للهداية الإلهيّة: </w:t>
      </w:r>
      <w:r w:rsidRPr="006571AC">
        <w:rPr>
          <w:rFonts w:ascii="Mosawi" w:hAnsi="Mosawi" w:cs="Mosawi"/>
          <w:sz w:val="24"/>
          <w:szCs w:val="24"/>
          <w:rtl/>
        </w:rPr>
        <w:t>﴿</w:t>
      </w:r>
      <w:r w:rsidRPr="006571AC">
        <w:rPr>
          <w:b/>
          <w:bCs/>
          <w:sz w:val="27"/>
          <w:rtl/>
        </w:rPr>
        <w:t xml:space="preserve">فَبَشِّرْ عِبَادِ </w:t>
      </w:r>
      <w:r w:rsidRPr="006571AC">
        <w:rPr>
          <w:rFonts w:hint="cs"/>
          <w:b/>
          <w:bCs/>
          <w:sz w:val="27"/>
          <w:rtl/>
        </w:rPr>
        <w:t>*</w:t>
      </w:r>
      <w:r w:rsidRPr="006571AC">
        <w:rPr>
          <w:b/>
          <w:bCs/>
          <w:sz w:val="27"/>
          <w:rtl/>
        </w:rPr>
        <w:t xml:space="preserve"> الَّذِينَ يَسْتَمِعُونَ الْقَوْلَ فَيَتَّبِعُونَ أَحْسَنَهُ أُوْلَئِكَ الَّذِينَ هَدَاهُمْ اللهُ وَأُوْلَئِكَ هُمْ أُوْلُو الأَلْبَابِ</w:t>
      </w:r>
      <w:r w:rsidRPr="006571AC">
        <w:rPr>
          <w:rFonts w:ascii="Mosawi" w:hAnsi="Mosawi" w:cs="Mosawi"/>
          <w:sz w:val="24"/>
          <w:szCs w:val="24"/>
          <w:rtl/>
        </w:rPr>
        <w:t>﴾</w:t>
      </w:r>
      <w:r w:rsidRPr="006571AC">
        <w:rPr>
          <w:rFonts w:hint="cs"/>
          <w:sz w:val="27"/>
          <w:rtl/>
          <w:lang w:bidi="ar-LB"/>
        </w:rPr>
        <w:t xml:space="preserve"> (الزمر: 17 ـ 18).</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إذن في المجتمع الذي تمّ فيه حرمان الناس من </w:t>
      </w:r>
      <w:r w:rsidRPr="006571AC">
        <w:rPr>
          <w:rFonts w:hint="eastAsia"/>
          <w:sz w:val="24"/>
          <w:szCs w:val="24"/>
          <w:rtl/>
          <w:lang w:bidi="ar-LB"/>
        </w:rPr>
        <w:t>«</w:t>
      </w:r>
      <w:r w:rsidRPr="006571AC">
        <w:rPr>
          <w:rFonts w:hint="cs"/>
          <w:sz w:val="27"/>
          <w:rtl/>
          <w:lang w:bidi="ar-LB"/>
        </w:rPr>
        <w:t>الاستماع</w:t>
      </w:r>
      <w:r w:rsidRPr="006571AC">
        <w:rPr>
          <w:rFonts w:hint="eastAsia"/>
          <w:sz w:val="24"/>
          <w:szCs w:val="24"/>
          <w:rtl/>
        </w:rPr>
        <w:t>»</w:t>
      </w:r>
      <w:r w:rsidRPr="006571AC">
        <w:rPr>
          <w:rFonts w:hint="cs"/>
          <w:sz w:val="27"/>
          <w:rtl/>
          <w:lang w:bidi="ar-LB"/>
        </w:rPr>
        <w:t xml:space="preserve"> أو </w:t>
      </w:r>
      <w:r w:rsidRPr="006571AC">
        <w:rPr>
          <w:rFonts w:hint="eastAsia"/>
          <w:sz w:val="24"/>
          <w:szCs w:val="24"/>
          <w:rtl/>
          <w:lang w:bidi="ar-LB"/>
        </w:rPr>
        <w:t>«</w:t>
      </w:r>
      <w:r w:rsidRPr="006571AC">
        <w:rPr>
          <w:rFonts w:hint="cs"/>
          <w:sz w:val="27"/>
          <w:rtl/>
          <w:lang w:bidi="ar-LB"/>
        </w:rPr>
        <w:t>الحقّ في الاستماع</w:t>
      </w:r>
      <w:r w:rsidRPr="006571AC">
        <w:rPr>
          <w:rFonts w:hint="eastAsia"/>
          <w:sz w:val="24"/>
          <w:szCs w:val="24"/>
          <w:rtl/>
        </w:rPr>
        <w:t>»</w:t>
      </w:r>
      <w:r w:rsidRPr="006571AC">
        <w:rPr>
          <w:rFonts w:hint="cs"/>
          <w:sz w:val="27"/>
          <w:rtl/>
          <w:lang w:bidi="ar-LB"/>
        </w:rPr>
        <w:t xml:space="preserve"> فقد سُلِب منهم أيضاً الحقّ في اختيار الطريق الأفضل، والحياة الحكيمة، والهداية الإلهية. وممّا </w:t>
      </w:r>
      <w:r w:rsidR="00731867" w:rsidRPr="006571AC">
        <w:rPr>
          <w:rFonts w:hint="cs"/>
          <w:sz w:val="27"/>
          <w:rtl/>
          <w:lang w:bidi="ar-LB"/>
        </w:rPr>
        <w:t>لا شَكَّ</w:t>
      </w:r>
      <w:r w:rsidRPr="006571AC">
        <w:rPr>
          <w:rFonts w:hint="cs"/>
          <w:sz w:val="27"/>
          <w:rtl/>
          <w:lang w:bidi="ar-LB"/>
        </w:rPr>
        <w:t xml:space="preserve"> فيه أن التأكيد على </w:t>
      </w:r>
      <w:r w:rsidRPr="006571AC">
        <w:rPr>
          <w:rFonts w:hint="eastAsia"/>
          <w:sz w:val="24"/>
          <w:szCs w:val="24"/>
          <w:rtl/>
          <w:lang w:bidi="ar-LB"/>
        </w:rPr>
        <w:t>«</w:t>
      </w:r>
      <w:r w:rsidRPr="006571AC">
        <w:rPr>
          <w:rFonts w:hint="cs"/>
          <w:sz w:val="27"/>
          <w:rtl/>
          <w:lang w:bidi="ar-LB"/>
        </w:rPr>
        <w:t>حقّ الاستماع</w:t>
      </w:r>
      <w:r w:rsidRPr="006571AC">
        <w:rPr>
          <w:rFonts w:hint="eastAsia"/>
          <w:sz w:val="24"/>
          <w:szCs w:val="24"/>
          <w:rtl/>
        </w:rPr>
        <w:t>»</w:t>
      </w:r>
      <w:r w:rsidRPr="006571AC">
        <w:rPr>
          <w:rFonts w:hint="cs"/>
          <w:sz w:val="27"/>
          <w:rtl/>
          <w:lang w:bidi="ar-LB"/>
        </w:rPr>
        <w:t xml:space="preserve"> مصحوبٌ بالتأكيد على </w:t>
      </w:r>
      <w:r w:rsidRPr="006571AC">
        <w:rPr>
          <w:rFonts w:hint="eastAsia"/>
          <w:sz w:val="24"/>
          <w:szCs w:val="24"/>
          <w:rtl/>
          <w:lang w:bidi="ar-LB"/>
        </w:rPr>
        <w:t>«</w:t>
      </w:r>
      <w:r w:rsidRPr="006571AC">
        <w:rPr>
          <w:rFonts w:hint="cs"/>
          <w:sz w:val="27"/>
          <w:rtl/>
          <w:lang w:bidi="ar-LB"/>
        </w:rPr>
        <w:t>حقّ التعبير</w:t>
      </w:r>
      <w:r w:rsidRPr="006571AC">
        <w:rPr>
          <w:rFonts w:hint="eastAsia"/>
          <w:sz w:val="24"/>
          <w:szCs w:val="24"/>
          <w:rtl/>
        </w:rPr>
        <w:t>»</w:t>
      </w:r>
      <w:r w:rsidRPr="006571AC">
        <w:rPr>
          <w:rFonts w:hint="cs"/>
          <w:sz w:val="27"/>
          <w:rtl/>
          <w:lang w:bidi="ar-LB"/>
        </w:rPr>
        <w:t xml:space="preserve">. وبالتالي فإنّ مقدّمة الحياة العقلانية والهداية الإلهيّة هي استماع الأقوال المختلفة. ومقدّمات هذا الاستماع هي حرّية التعبير. والالتزام بسيادة رأي الأكثريّة يصحبه أيضاً </w:t>
      </w:r>
      <w:r w:rsidRPr="006571AC">
        <w:rPr>
          <w:rFonts w:hint="eastAsia"/>
          <w:sz w:val="24"/>
          <w:szCs w:val="24"/>
          <w:rtl/>
          <w:lang w:bidi="ar-LB"/>
        </w:rPr>
        <w:t>«</w:t>
      </w:r>
      <w:r w:rsidRPr="006571AC">
        <w:rPr>
          <w:rFonts w:hint="cs"/>
          <w:sz w:val="27"/>
          <w:rtl/>
          <w:lang w:bidi="ar-LB"/>
        </w:rPr>
        <w:t>المساواة في حقّ إبداء الرأي</w:t>
      </w:r>
      <w:r w:rsidRPr="006571AC">
        <w:rPr>
          <w:rFonts w:hint="eastAsia"/>
          <w:sz w:val="24"/>
          <w:szCs w:val="24"/>
          <w:rtl/>
        </w:rPr>
        <w:t>»</w:t>
      </w:r>
      <w:r w:rsidRPr="006571AC">
        <w:rPr>
          <w:rFonts w:hint="cs"/>
          <w:sz w:val="27"/>
          <w:rtl/>
          <w:lang w:bidi="ar-LB"/>
        </w:rPr>
        <w:t>، والذي يجب أن يُبْحَث في مكانٍ آخر.</w:t>
      </w:r>
    </w:p>
    <w:p w:rsidR="008C542A" w:rsidRPr="006571AC" w:rsidRDefault="008C542A" w:rsidP="00465B48">
      <w:pPr>
        <w:tabs>
          <w:tab w:val="right" w:pos="6930"/>
        </w:tabs>
        <w:suppressAutoHyphens/>
        <w:spacing w:line="386" w:lineRule="exact"/>
        <w:rPr>
          <w:sz w:val="27"/>
          <w:rtl/>
          <w:lang w:bidi="ar-LB"/>
        </w:rPr>
      </w:pPr>
      <w:r w:rsidRPr="006571AC">
        <w:rPr>
          <w:rFonts w:hint="cs"/>
          <w:sz w:val="27"/>
          <w:rtl/>
          <w:lang w:bidi="ar-LB"/>
        </w:rPr>
        <w:lastRenderedPageBreak/>
        <w:t xml:space="preserve">إذا كان قصد المدافعين عن </w:t>
      </w:r>
      <w:r w:rsidRPr="006571AC">
        <w:rPr>
          <w:rFonts w:hint="eastAsia"/>
          <w:sz w:val="24"/>
          <w:szCs w:val="24"/>
          <w:rtl/>
          <w:lang w:bidi="ar-LB"/>
        </w:rPr>
        <w:t>«</w:t>
      </w:r>
      <w:r w:rsidRPr="006571AC">
        <w:rPr>
          <w:rFonts w:hint="cs"/>
          <w:sz w:val="27"/>
          <w:rtl/>
          <w:lang w:bidi="ar-LB"/>
        </w:rPr>
        <w:t>الديمقراطية في حدّها الأقصى</w:t>
      </w:r>
      <w:r w:rsidRPr="006571AC">
        <w:rPr>
          <w:rFonts w:hint="eastAsia"/>
          <w:sz w:val="24"/>
          <w:szCs w:val="24"/>
          <w:rtl/>
        </w:rPr>
        <w:t>»</w:t>
      </w:r>
      <w:r w:rsidRPr="006571AC">
        <w:rPr>
          <w:rFonts w:hint="cs"/>
          <w:sz w:val="27"/>
          <w:rtl/>
          <w:lang w:bidi="ar-LB"/>
        </w:rPr>
        <w:t xml:space="preserve"> من معارضتهم لـ</w:t>
      </w:r>
      <w:r w:rsidRPr="006571AC">
        <w:rPr>
          <w:rFonts w:hint="cs"/>
          <w:rtl/>
        </w:rPr>
        <w:t xml:space="preserve"> </w:t>
      </w:r>
      <w:r w:rsidRPr="006571AC">
        <w:rPr>
          <w:rFonts w:hint="eastAsia"/>
          <w:sz w:val="24"/>
          <w:szCs w:val="24"/>
          <w:rtl/>
          <w:lang w:bidi="ar-LB"/>
        </w:rPr>
        <w:t>«</w:t>
      </w:r>
      <w:r w:rsidRPr="006571AC">
        <w:rPr>
          <w:rFonts w:hint="cs"/>
          <w:sz w:val="27"/>
          <w:rtl/>
          <w:lang w:bidi="ar-LB"/>
        </w:rPr>
        <w:t>الديمقراطية في حدّها الأدنى</w:t>
      </w:r>
      <w:r w:rsidRPr="006571AC">
        <w:rPr>
          <w:rFonts w:hint="eastAsia"/>
          <w:sz w:val="24"/>
          <w:szCs w:val="24"/>
          <w:rtl/>
        </w:rPr>
        <w:t>»</w:t>
      </w:r>
      <w:r w:rsidRPr="006571AC">
        <w:rPr>
          <w:rFonts w:hint="cs"/>
          <w:sz w:val="27"/>
          <w:rtl/>
          <w:lang w:bidi="ar-LB"/>
        </w:rPr>
        <w:t xml:space="preserve"> وإضافة قيودٍ إلى سيادة رأي الأكثرية هو شرح الوسائل الخارجية للتطبيق والالتزام بسيادة رأي الأكثرية، وبعبارةٍ أخرى: ذكر الشروط الواجب توفُّرها لتحق</w:t>
      </w:r>
      <w:r w:rsidR="009B5DC6" w:rsidRPr="006571AC">
        <w:rPr>
          <w:rFonts w:hint="cs"/>
          <w:sz w:val="27"/>
          <w:rtl/>
          <w:lang w:bidi="ar-LB"/>
        </w:rPr>
        <w:t>ُّ</w:t>
      </w:r>
      <w:r w:rsidRPr="006571AC">
        <w:rPr>
          <w:rFonts w:hint="cs"/>
          <w:sz w:val="27"/>
          <w:rtl/>
          <w:lang w:bidi="ar-LB"/>
        </w:rPr>
        <w:t xml:space="preserve">ق سيادة رأي الأكثرية، وليس ذكر قيود على مفهوم الديمقراطية بصفتها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فإن الإشكال السابق لن يعرض لهم. ومع ذلك فإن هذا لا يعني أن كلّ ما أشاروا إليه على أنه قيودٌ على الديمقراطية سيتمّ بالضرورة قبوله بصفته لوازم خارجية للالتزام برأي سيادة رأي الأكثرية وتطبيقه عملياً.</w:t>
      </w:r>
    </w:p>
    <w:p w:rsidR="008C542A" w:rsidRPr="006571AC" w:rsidRDefault="008C542A" w:rsidP="00465B48">
      <w:pPr>
        <w:tabs>
          <w:tab w:val="right" w:pos="6930"/>
        </w:tabs>
        <w:suppressAutoHyphens/>
        <w:spacing w:line="386" w:lineRule="exact"/>
        <w:rPr>
          <w:sz w:val="27"/>
          <w:rtl/>
          <w:lang w:bidi="ar-LB"/>
        </w:rPr>
      </w:pPr>
      <w:r w:rsidRPr="006571AC">
        <w:rPr>
          <w:rFonts w:hint="cs"/>
          <w:sz w:val="27"/>
          <w:rtl/>
          <w:lang w:bidi="ar-LB"/>
        </w:rPr>
        <w:t xml:space="preserve">وأخيراً فإنّ الاختلاف في معنى الديمقراطية بين الباحثين، سواء كانوا غربيين أو شرقيين؛ وخلط المفاهيم حول هذا الموضوع؛ وكذلك العواقب السلبيّة للديمقراطية في العديد من البلدان، ممّا جعلها ذريعةً للسعي إلى السلطة وخداع العوامّ؛ وأيضاً الخلفيّة الجديدة أو السيّئة لمفهوم </w:t>
      </w:r>
      <w:r w:rsidRPr="006571AC">
        <w:rPr>
          <w:rFonts w:hint="eastAsia"/>
          <w:sz w:val="24"/>
          <w:szCs w:val="24"/>
          <w:rtl/>
          <w:lang w:bidi="ar-LB"/>
        </w:rPr>
        <w:t>«</w:t>
      </w:r>
      <w:r w:rsidRPr="006571AC">
        <w:rPr>
          <w:rFonts w:hint="cs"/>
          <w:sz w:val="27"/>
          <w:rtl/>
          <w:lang w:bidi="ar-LB"/>
        </w:rPr>
        <w:t>الديمقراطية</w:t>
      </w:r>
      <w:r w:rsidRPr="006571AC">
        <w:rPr>
          <w:rFonts w:hint="eastAsia"/>
          <w:sz w:val="24"/>
          <w:szCs w:val="24"/>
          <w:rtl/>
        </w:rPr>
        <w:t>»</w:t>
      </w:r>
      <w:r w:rsidRPr="006571AC">
        <w:rPr>
          <w:rFonts w:hint="cs"/>
          <w:sz w:val="27"/>
          <w:rtl/>
          <w:lang w:bidi="ar-LB"/>
        </w:rPr>
        <w:t xml:space="preserve"> لدى بعض القرّاء، كلُّ ذلك أدّى بالمؤلِّف إلى أن لا يجعل من </w:t>
      </w:r>
      <w:r w:rsidRPr="006571AC">
        <w:rPr>
          <w:rFonts w:hint="eastAsia"/>
          <w:sz w:val="24"/>
          <w:szCs w:val="24"/>
          <w:rtl/>
          <w:lang w:bidi="ar-LB"/>
        </w:rPr>
        <w:t>«</w:t>
      </w:r>
      <w:r w:rsidRPr="006571AC">
        <w:rPr>
          <w:rFonts w:hint="cs"/>
          <w:sz w:val="27"/>
          <w:rtl/>
          <w:lang w:bidi="ar-LB"/>
        </w:rPr>
        <w:t>الديمقراطية</w:t>
      </w:r>
      <w:r w:rsidRPr="006571AC">
        <w:rPr>
          <w:rFonts w:hint="eastAsia"/>
          <w:sz w:val="24"/>
          <w:szCs w:val="24"/>
          <w:rtl/>
        </w:rPr>
        <w:t>»</w:t>
      </w:r>
      <w:r w:rsidRPr="006571AC">
        <w:rPr>
          <w:rFonts w:hint="cs"/>
          <w:sz w:val="27"/>
          <w:rtl/>
          <w:lang w:bidi="ar-LB"/>
        </w:rPr>
        <w:t xml:space="preserve"> موضوعاً لمقاله. وبغضّ النظر عن معنى الديمقراطية، وهل هي مقبولة إسلامياً أم لا؟ توجَّه بشكلٍ مباشر إلى المعنى الذي يريده، أي اعتبار أو عدم اعتبار رأي الأكثريّة، ومدى اعتباره.</w:t>
      </w:r>
    </w:p>
    <w:p w:rsidR="008C542A" w:rsidRPr="006571AC" w:rsidRDefault="008C542A" w:rsidP="00AA4501">
      <w:pPr>
        <w:tabs>
          <w:tab w:val="right" w:pos="6930"/>
        </w:tabs>
        <w:suppressAutoHyphens/>
        <w:spacing w:line="380" w:lineRule="exact"/>
        <w:rPr>
          <w:sz w:val="27"/>
          <w:rtl/>
          <w:lang w:bidi="ar-LB"/>
        </w:rPr>
      </w:pPr>
    </w:p>
    <w:p w:rsidR="008C542A" w:rsidRPr="006571AC" w:rsidRDefault="00B728DF" w:rsidP="00B728DF">
      <w:pPr>
        <w:pStyle w:val="31"/>
        <w:rPr>
          <w:color w:val="auto"/>
          <w:rtl/>
        </w:rPr>
      </w:pPr>
      <w:bookmarkStart w:id="20" w:name="_Toc114164509"/>
      <w:r w:rsidRPr="006571AC">
        <w:rPr>
          <w:rFonts w:hint="cs"/>
          <w:color w:val="auto"/>
          <w:rtl/>
          <w:lang w:bidi="ar-LB"/>
        </w:rPr>
        <w:t xml:space="preserve">مبادئ اعتبار رأي الأكثريّة، </w:t>
      </w:r>
      <w:r w:rsidR="008C542A" w:rsidRPr="006571AC">
        <w:rPr>
          <w:rFonts w:hint="cs"/>
          <w:color w:val="auto"/>
          <w:rtl/>
          <w:lang w:bidi="ar-LB"/>
        </w:rPr>
        <w:t>دراسةٌ عقلانيّة</w:t>
      </w:r>
      <w:bookmarkEnd w:id="20"/>
      <w:r w:rsidR="008C542A" w:rsidRPr="006571AC">
        <w:rPr>
          <w:rFonts w:hint="cs"/>
          <w:color w:val="auto"/>
          <w:rtl/>
          <w:lang w:bidi="ar-LB"/>
        </w:rPr>
        <w:t xml:space="preserve"> </w:t>
      </w:r>
    </w:p>
    <w:p w:rsidR="008C542A" w:rsidRPr="006571AC" w:rsidRDefault="008C542A" w:rsidP="00465B48">
      <w:pPr>
        <w:tabs>
          <w:tab w:val="right" w:pos="6930"/>
        </w:tabs>
        <w:suppressAutoHyphens/>
        <w:spacing w:line="386" w:lineRule="exact"/>
        <w:rPr>
          <w:sz w:val="27"/>
          <w:rtl/>
          <w:lang w:bidi="ar-LB"/>
        </w:rPr>
      </w:pPr>
      <w:r w:rsidRPr="006571AC">
        <w:rPr>
          <w:rFonts w:hint="cs"/>
          <w:sz w:val="27"/>
          <w:rtl/>
          <w:lang w:bidi="ar-LB"/>
        </w:rPr>
        <w:t>من خلال دراسة وجهات النظر المختلفة حول اعتبار الرأي العامّ ورأي الأكثرية في اتّخاذ القرارات الجماعية يتَّضح أن هناك اختلافاً في الأ</w:t>
      </w:r>
      <w:r w:rsidR="003E6FEB" w:rsidRPr="006571AC">
        <w:rPr>
          <w:rFonts w:hint="cs"/>
          <w:sz w:val="27"/>
          <w:rtl/>
          <w:lang w:bidi="ar-LB"/>
        </w:rPr>
        <w:t>ُ</w:t>
      </w:r>
      <w:r w:rsidRPr="006571AC">
        <w:rPr>
          <w:rFonts w:hint="cs"/>
          <w:sz w:val="27"/>
          <w:rtl/>
          <w:lang w:bidi="ar-LB"/>
        </w:rPr>
        <w:t>س</w:t>
      </w:r>
      <w:r w:rsidR="003E6FEB" w:rsidRPr="006571AC">
        <w:rPr>
          <w:rFonts w:hint="cs"/>
          <w:sz w:val="27"/>
          <w:rtl/>
          <w:lang w:bidi="ar-LB"/>
        </w:rPr>
        <w:t>ُ</w:t>
      </w:r>
      <w:r w:rsidRPr="006571AC">
        <w:rPr>
          <w:rFonts w:hint="cs"/>
          <w:sz w:val="27"/>
          <w:rtl/>
          <w:lang w:bidi="ar-LB"/>
        </w:rPr>
        <w:t>س التي يعتمد عليها النقّاد في هذا الصدد. قد يكون رأي الأكثرية معتبراً من جهةٍ؛ وغير معتبرٍ من جهةٍ أخرى. لذلك لا يمكن التوصُّل إلى فهمٍ واضح في هذا الشأن إلاّ من خلال معرفة الأسس التي يقوم عليها رأي الأكثرية، وفصلها عن بعضها. ويناقش المؤلِّف المبادئ الخمسة، ويدرس آراء النقّاد والباحثين في هذا السياق، رغم أنه لا يدَّعي أنه جمع كلّ الأسس في هذا الصدد. وأخيراً يشرح النتائج العقلانية لكلٍّ من تلك المبادئ.</w:t>
      </w:r>
    </w:p>
    <w:p w:rsidR="008C542A" w:rsidRPr="006571AC" w:rsidRDefault="008C542A" w:rsidP="00AA4501">
      <w:pPr>
        <w:tabs>
          <w:tab w:val="right" w:pos="6930"/>
        </w:tabs>
        <w:suppressAutoHyphens/>
        <w:spacing w:line="380" w:lineRule="exact"/>
        <w:rPr>
          <w:sz w:val="27"/>
          <w:rtl/>
          <w:lang w:bidi="ar-LB"/>
        </w:rPr>
      </w:pPr>
    </w:p>
    <w:p w:rsidR="008C542A" w:rsidRPr="006571AC" w:rsidRDefault="008C542A" w:rsidP="008C542A">
      <w:pPr>
        <w:pStyle w:val="31"/>
        <w:rPr>
          <w:color w:val="auto"/>
          <w:rtl/>
        </w:rPr>
      </w:pPr>
      <w:bookmarkStart w:id="21" w:name="_Toc114164510"/>
      <w:r w:rsidRPr="006571AC">
        <w:rPr>
          <w:rFonts w:hint="cs"/>
          <w:color w:val="auto"/>
          <w:rtl/>
          <w:lang w:bidi="ar-LB"/>
        </w:rPr>
        <w:t>المبدأ الأوّل: حق</w:t>
      </w:r>
      <w:r w:rsidR="003E6FEB" w:rsidRPr="006571AC">
        <w:rPr>
          <w:rFonts w:hint="cs"/>
          <w:color w:val="auto"/>
          <w:rtl/>
          <w:lang w:bidi="ar-LB"/>
        </w:rPr>
        <w:t>ّ</w:t>
      </w:r>
      <w:r w:rsidRPr="006571AC">
        <w:rPr>
          <w:rFonts w:hint="cs"/>
          <w:color w:val="auto"/>
          <w:rtl/>
          <w:lang w:bidi="ar-LB"/>
        </w:rPr>
        <w:t xml:space="preserve"> تقرير المصير</w:t>
      </w:r>
      <w:bookmarkEnd w:id="21"/>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إن أحد أسس اعتبار رأي الأكثرية </w:t>
      </w:r>
      <w:r w:rsidRPr="006571AC">
        <w:rPr>
          <w:rFonts w:hint="eastAsia"/>
          <w:sz w:val="24"/>
          <w:szCs w:val="24"/>
          <w:rtl/>
          <w:lang w:bidi="ar-LB"/>
        </w:rPr>
        <w:t>«</w:t>
      </w:r>
      <w:r w:rsidRPr="006571AC">
        <w:rPr>
          <w:rFonts w:hint="cs"/>
          <w:sz w:val="27"/>
          <w:rtl/>
          <w:lang w:bidi="ar-LB"/>
        </w:rPr>
        <w:t xml:space="preserve">الحق الطبيعي والإلهي لأفراد النوع </w:t>
      </w:r>
      <w:r w:rsidRPr="006571AC">
        <w:rPr>
          <w:rFonts w:hint="cs"/>
          <w:sz w:val="27"/>
          <w:rtl/>
          <w:lang w:bidi="ar-LB"/>
        </w:rPr>
        <w:lastRenderedPageBreak/>
        <w:t>الإنساني في تعيين مصيرهم</w:t>
      </w:r>
      <w:r w:rsidRPr="006571AC">
        <w:rPr>
          <w:rFonts w:hint="eastAsia"/>
          <w:sz w:val="24"/>
          <w:szCs w:val="24"/>
          <w:rtl/>
        </w:rPr>
        <w:t>»</w:t>
      </w:r>
      <w:r w:rsidR="00E56C59" w:rsidRPr="006571AC">
        <w:rPr>
          <w:rFonts w:hint="cs"/>
          <w:sz w:val="27"/>
          <w:rtl/>
          <w:lang w:bidi="ar-LB"/>
        </w:rPr>
        <w:t>.</w:t>
      </w:r>
      <w:r w:rsidRPr="006571AC">
        <w:rPr>
          <w:rFonts w:hint="cs"/>
          <w:sz w:val="27"/>
          <w:rtl/>
          <w:lang w:bidi="ar-LB"/>
        </w:rPr>
        <w:t xml:space="preserve"> ويتطلب شرح هذا الأساس توض</w:t>
      </w:r>
      <w:r w:rsidR="00E56C59" w:rsidRPr="006571AC">
        <w:rPr>
          <w:rFonts w:hint="cs"/>
          <w:sz w:val="27"/>
          <w:rtl/>
          <w:lang w:bidi="ar-LB"/>
        </w:rPr>
        <w:t>ي</w:t>
      </w:r>
      <w:r w:rsidRPr="006571AC">
        <w:rPr>
          <w:rFonts w:hint="cs"/>
          <w:sz w:val="27"/>
          <w:rtl/>
          <w:lang w:bidi="ar-LB"/>
        </w:rPr>
        <w:t>ح ملاحظات مهم</w:t>
      </w:r>
      <w:r w:rsidR="00E56C59" w:rsidRPr="006571AC">
        <w:rPr>
          <w:rFonts w:hint="cs"/>
          <w:sz w:val="27"/>
          <w:rtl/>
          <w:lang w:bidi="ar-LB"/>
        </w:rPr>
        <w:t>ّ</w:t>
      </w:r>
      <w:r w:rsidRPr="006571AC">
        <w:rPr>
          <w:rFonts w:hint="cs"/>
          <w:sz w:val="27"/>
          <w:rtl/>
          <w:lang w:bidi="ar-LB"/>
        </w:rPr>
        <w:t>ة</w:t>
      </w:r>
      <w:r w:rsidR="00E56C59" w:rsidRPr="006571AC">
        <w:rPr>
          <w:rFonts w:hint="cs"/>
          <w:sz w:val="27"/>
          <w:rtl/>
          <w:lang w:bidi="ar-LB"/>
        </w:rPr>
        <w:t>،</w:t>
      </w:r>
      <w:r w:rsidRPr="006571AC">
        <w:rPr>
          <w:rFonts w:hint="cs"/>
          <w:sz w:val="27"/>
          <w:rtl/>
          <w:lang w:bidi="ar-LB"/>
        </w:rPr>
        <w:t xml:space="preserve"> بناء عليها يثبت هذا الأساس.</w:t>
      </w:r>
    </w:p>
    <w:p w:rsidR="008C542A" w:rsidRPr="006571AC" w:rsidRDefault="008C542A" w:rsidP="00AA4501">
      <w:pPr>
        <w:tabs>
          <w:tab w:val="right" w:pos="6930"/>
        </w:tabs>
        <w:suppressAutoHyphens/>
        <w:spacing w:line="420" w:lineRule="exact"/>
        <w:rPr>
          <w:sz w:val="27"/>
          <w:rtl/>
          <w:lang w:bidi="ar-LB"/>
        </w:rPr>
      </w:pPr>
    </w:p>
    <w:p w:rsidR="008C542A" w:rsidRPr="006571AC" w:rsidRDefault="008C542A" w:rsidP="008C542A">
      <w:pPr>
        <w:pStyle w:val="31"/>
        <w:rPr>
          <w:color w:val="auto"/>
          <w:rtl/>
          <w:lang w:bidi="ar-LB"/>
        </w:rPr>
      </w:pPr>
      <w:bookmarkStart w:id="22" w:name="_Toc114164511"/>
      <w:r w:rsidRPr="006571AC">
        <w:rPr>
          <w:rFonts w:hint="cs"/>
          <w:color w:val="auto"/>
          <w:rtl/>
          <w:lang w:bidi="ar-LB"/>
        </w:rPr>
        <w:t>1</w:t>
      </w:r>
      <w:r w:rsidRPr="006571AC">
        <w:rPr>
          <w:color w:val="auto"/>
          <w:rtl/>
          <w:lang w:bidi="ar-LB"/>
        </w:rPr>
        <w:t>ـ</w:t>
      </w:r>
      <w:r w:rsidRPr="006571AC">
        <w:rPr>
          <w:rFonts w:hint="cs"/>
          <w:color w:val="auto"/>
          <w:rtl/>
          <w:lang w:bidi="ar-LB"/>
        </w:rPr>
        <w:t xml:space="preserve"> الحرّية التكوينيّة مقدّمةٌ للرُّشد</w:t>
      </w:r>
      <w:bookmarkEnd w:id="22"/>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الإنسان كائنٌ يتمتَّع بإرادةٍ حرّة. والاختيار من صفاته الكمالية؛ وسببٌ لتفضيله على بقيّة الكائنات فاقدة الاختيار. لذلك </w:t>
      </w:r>
      <w:r w:rsidRPr="006571AC">
        <w:rPr>
          <w:rFonts w:hint="cs"/>
          <w:b/>
          <w:bCs/>
          <w:sz w:val="27"/>
          <w:rtl/>
          <w:lang w:bidi="ar-LB"/>
        </w:rPr>
        <w:t>أوّلاً</w:t>
      </w:r>
      <w:r w:rsidRPr="006571AC">
        <w:rPr>
          <w:rFonts w:hint="cs"/>
          <w:sz w:val="27"/>
          <w:rtl/>
          <w:lang w:bidi="ar-LB"/>
        </w:rPr>
        <w:t xml:space="preserve">: حقّ الإنسان الطبيعي هو التمتُّع بهذه الموهبة الإلهيّة؛ </w:t>
      </w:r>
      <w:r w:rsidRPr="006571AC">
        <w:rPr>
          <w:rFonts w:hint="cs"/>
          <w:b/>
          <w:bCs/>
          <w:sz w:val="27"/>
          <w:rtl/>
          <w:lang w:bidi="ar-LB"/>
        </w:rPr>
        <w:t>وثانياً</w:t>
      </w:r>
      <w:r w:rsidRPr="006571AC">
        <w:rPr>
          <w:rFonts w:hint="cs"/>
          <w:sz w:val="27"/>
          <w:rtl/>
          <w:lang w:bidi="ar-LB"/>
        </w:rPr>
        <w:t>: يتحقَّق الرشد الأخلاقي للبشر عندما يكون سلوكه الأخلاقي حرّاً، بدون جبرٍ، ولا إكراه. ولا يمكن أن يتحقَّق الإيمان والاعتقاد والخصال الأخلاقية الحميدة بدون اختيارٍ حُرّ.</w:t>
      </w:r>
    </w:p>
    <w:p w:rsidR="008C542A" w:rsidRPr="006571AC" w:rsidRDefault="008C542A" w:rsidP="00706E68">
      <w:pPr>
        <w:tabs>
          <w:tab w:val="right" w:pos="6930"/>
        </w:tabs>
        <w:suppressAutoHyphens/>
        <w:rPr>
          <w:sz w:val="27"/>
          <w:rtl/>
          <w:lang w:bidi="ar-LB"/>
        </w:rPr>
      </w:pPr>
      <w:r w:rsidRPr="006571AC">
        <w:rPr>
          <w:rFonts w:hint="cs"/>
          <w:sz w:val="27"/>
          <w:rtl/>
          <w:lang w:bidi="ar-LB"/>
        </w:rPr>
        <w:t>تصوَّروا أن هناك إنساناً لا يقول إلاّ الصدق في عمره كلّه، ولم يَجْرِ الكذب على لسانه قطّ، ولكنّه مُجْبَرٌ على الالتزام بالحقيقة والتورُّع عن الكذب، ولم يخت</w:t>
      </w:r>
      <w:r w:rsidR="0010794D" w:rsidRPr="006571AC">
        <w:rPr>
          <w:rFonts w:hint="cs"/>
          <w:sz w:val="27"/>
          <w:rtl/>
          <w:lang w:bidi="ar-LB"/>
        </w:rPr>
        <w:t>َ</w:t>
      </w:r>
      <w:r w:rsidRPr="006571AC">
        <w:rPr>
          <w:rFonts w:hint="cs"/>
          <w:sz w:val="27"/>
          <w:rtl/>
          <w:lang w:bidi="ar-LB"/>
        </w:rPr>
        <w:t>ر</w:t>
      </w:r>
      <w:r w:rsidR="0010794D" w:rsidRPr="006571AC">
        <w:rPr>
          <w:rFonts w:hint="cs"/>
          <w:sz w:val="27"/>
          <w:rtl/>
          <w:lang w:bidi="ar-LB"/>
        </w:rPr>
        <w:t>ْ</w:t>
      </w:r>
      <w:r w:rsidRPr="006571AC">
        <w:rPr>
          <w:rFonts w:hint="cs"/>
          <w:sz w:val="27"/>
          <w:rtl/>
          <w:lang w:bidi="ar-LB"/>
        </w:rPr>
        <w:t>هما بإرادته الحرّة، في هذه الحالة لا يمكننا القول: إنه يمتلك فضيلةً أخلاقية في ما يتعلّق بالصدق، وكذلك لا يمكن لأيّ ضميرٍ أخلاقي أن يعتبره متمتّعاً بهذه الصفة الأخلاقيّة؛ خلافاً لشخصٍ آخر، يتجنَّب الحقيقة باستمرارٍ، باختياره الحُرّ، وبعد حياةٍ كاملة من الكذب يقرِّر قول الحقيقة، وفي غمرة إغراء الكذب في لحظة الاختيار الحرّ يختار قول الصدق بحرّيةٍ كاملة. إنه أصبح يمتلك درجةً من الصفة النفسية للصدق نتيجة صدقه لهذه المرّة الواحدة.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وبعبارةٍ أخرى: لا تنمو الروح البشرية ولا تنشأ فيها الفضيلة الأخلاقية إلاّ بشرطين: </w:t>
      </w:r>
      <w:r w:rsidRPr="006571AC">
        <w:rPr>
          <w:rFonts w:hint="cs"/>
          <w:b/>
          <w:bCs/>
          <w:sz w:val="27"/>
          <w:rtl/>
          <w:lang w:bidi="ar-LB"/>
        </w:rPr>
        <w:t>الأوّل</w:t>
      </w:r>
      <w:r w:rsidRPr="006571AC">
        <w:rPr>
          <w:rFonts w:hint="cs"/>
          <w:sz w:val="27"/>
          <w:rtl/>
          <w:lang w:bidi="ar-LB"/>
        </w:rPr>
        <w:t xml:space="preserve">: هو أن ينشأ فعله النفسي والأخلاقي من اختياره وإرادته الحرّة، </w:t>
      </w:r>
      <w:r w:rsidRPr="006571AC">
        <w:rPr>
          <w:rFonts w:hint="cs"/>
          <w:b/>
          <w:bCs/>
          <w:sz w:val="27"/>
          <w:rtl/>
          <w:lang w:bidi="ar-LB"/>
        </w:rPr>
        <w:t>والثاني</w:t>
      </w:r>
      <w:r w:rsidRPr="006571AC">
        <w:rPr>
          <w:rFonts w:hint="cs"/>
          <w:sz w:val="27"/>
          <w:rtl/>
          <w:lang w:bidi="ar-LB"/>
        </w:rPr>
        <w:t>: اشتمال عملية الاختيار بين القيام بالفعل أو تركه على إغراءٍ بالمعصية.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والدليل على ضرورة واشتراط هذين الأمرين لرشد الإنسان وكماله، الذي هو الهَدَف الأصلي لخلقه، هو حكم العقل العمليّ والضمير الأخلاقي للبشر. والضمير الأخلاقي هو الأهمّ، بل المرجع الوحيد لتشخيص وتقييم الفضائل والرذائل الأخلاقية. يجد كلّ إنسان بضميره الأخلاقي أن أولئك الذين يتصرّفون بشكلٍ جيّد ظاهرياً إذا لم يستوفوا أحد هذين الشرطين فلن يتمّ الثناء عليهم أخلاقياً. الشخص الذي يتجنَّب المعاصي مُكْرَهاً ومُجْبَراً على ذلك، أو الذي يتجنَّب المعاصي بإرادته، لكنْ لا يوجد </w:t>
      </w:r>
      <w:r w:rsidRPr="006571AC">
        <w:rPr>
          <w:rFonts w:hint="cs"/>
          <w:sz w:val="27"/>
          <w:rtl/>
          <w:lang w:bidi="ar-LB"/>
        </w:rPr>
        <w:lastRenderedPageBreak/>
        <w:t>لديه أيّ ميولٍ أو إغراءٍ يدفعه لارتكاب المعاصي، هؤلاء لن يتمَّ الثناء عليهم أخلاقيّاً بحالٍ من الأحوال.</w:t>
      </w:r>
    </w:p>
    <w:p w:rsidR="008C542A" w:rsidRPr="006571AC" w:rsidRDefault="008C542A" w:rsidP="00706E68">
      <w:pPr>
        <w:tabs>
          <w:tab w:val="right" w:pos="6930"/>
        </w:tabs>
        <w:suppressAutoHyphens/>
        <w:rPr>
          <w:sz w:val="27"/>
          <w:rtl/>
          <w:lang w:bidi="ar-LB"/>
        </w:rPr>
      </w:pPr>
      <w:r w:rsidRPr="006571AC">
        <w:rPr>
          <w:rFonts w:hint="cs"/>
          <w:sz w:val="27"/>
          <w:rtl/>
          <w:lang w:bidi="ar-LB"/>
        </w:rPr>
        <w:t>فعلى سبيل المثال: إذا رفض النبيّ يوسف</w:t>
      </w:r>
      <w:r w:rsidRPr="006571AC">
        <w:rPr>
          <w:rFonts w:ascii="Mosawi" w:hAnsi="Mosawi" w:cs="Mosawi"/>
          <w:sz w:val="22"/>
          <w:szCs w:val="22"/>
          <w:rtl/>
        </w:rPr>
        <w:t>×</w:t>
      </w:r>
      <w:r w:rsidRPr="006571AC">
        <w:rPr>
          <w:rFonts w:hint="cs"/>
          <w:sz w:val="27"/>
          <w:rtl/>
          <w:lang w:bidi="ar-LB"/>
        </w:rPr>
        <w:t xml:space="preserve"> الرضوخ لإرادة زليخا اللامشروعة عن طريق إجبار شخصٍ آخر، أو أن تكون تلك المرأة التي دَعَتْه إلى نفسها عجوزاً قبيحة المنظر، بحيث لم يشعر النبيّ يوسف بأيّ ميلٍ نحوها، في تلك الحالتين لن يستحقّ النبيّ يوسف المدح الأخلاقي. هذا في حال كان حكم العقل العملي والضمير الأخلاقي للبشر كاشفاً في هذه الحالات عن وجود أو عدم وجود فضيلةٍ أخلاقية وروحية في الإنسان الذي يقوم بالعمل أو يحجم عنه.</w:t>
      </w:r>
    </w:p>
    <w:p w:rsidR="008C542A" w:rsidRPr="006571AC" w:rsidRDefault="008C542A" w:rsidP="00706E68">
      <w:pPr>
        <w:tabs>
          <w:tab w:val="right" w:pos="6930"/>
        </w:tabs>
        <w:suppressAutoHyphens/>
        <w:rPr>
          <w:sz w:val="27"/>
          <w:rtl/>
          <w:lang w:bidi="ar-LB"/>
        </w:rPr>
      </w:pPr>
      <w:r w:rsidRPr="006571AC">
        <w:rPr>
          <w:sz w:val="27"/>
          <w:rtl/>
          <w:lang w:bidi="ar-LB"/>
        </w:rPr>
        <w:t>و</w:t>
      </w:r>
      <w:r w:rsidRPr="006571AC">
        <w:rPr>
          <w:sz w:val="27"/>
          <w:rtl/>
        </w:rPr>
        <w:t xml:space="preserve">قد </w:t>
      </w:r>
      <w:r w:rsidRPr="006571AC">
        <w:rPr>
          <w:rFonts w:hint="cs"/>
          <w:sz w:val="27"/>
          <w:rtl/>
        </w:rPr>
        <w:t>وصف</w:t>
      </w:r>
      <w:r w:rsidRPr="006571AC">
        <w:rPr>
          <w:sz w:val="27"/>
          <w:rtl/>
        </w:rPr>
        <w:t xml:space="preserve"> القرآن الكريم في آيات</w:t>
      </w:r>
      <w:r w:rsidR="003E6FEB" w:rsidRPr="006571AC">
        <w:rPr>
          <w:rFonts w:hint="cs"/>
          <w:sz w:val="27"/>
          <w:rtl/>
        </w:rPr>
        <w:t>ٍ</w:t>
      </w:r>
      <w:r w:rsidRPr="006571AC">
        <w:rPr>
          <w:sz w:val="27"/>
          <w:rtl/>
        </w:rPr>
        <w:t xml:space="preserve"> كثيرة </w:t>
      </w:r>
      <w:r w:rsidRPr="006571AC">
        <w:rPr>
          <w:sz w:val="24"/>
          <w:szCs w:val="24"/>
          <w:rtl/>
          <w:lang w:bidi="ar-LB"/>
        </w:rPr>
        <w:t>«</w:t>
      </w:r>
      <w:r w:rsidRPr="006571AC">
        <w:rPr>
          <w:sz w:val="27"/>
          <w:rtl/>
        </w:rPr>
        <w:t>الابتلاءات</w:t>
      </w:r>
      <w:r w:rsidRPr="006571AC">
        <w:rPr>
          <w:sz w:val="24"/>
          <w:szCs w:val="24"/>
          <w:rtl/>
        </w:rPr>
        <w:t>»</w:t>
      </w:r>
      <w:r w:rsidRPr="006571AC">
        <w:rPr>
          <w:sz w:val="27"/>
          <w:rtl/>
        </w:rPr>
        <w:t xml:space="preserve"> و</w:t>
      </w:r>
      <w:r w:rsidRPr="006571AC">
        <w:rPr>
          <w:sz w:val="24"/>
          <w:szCs w:val="24"/>
          <w:rtl/>
          <w:lang w:bidi="ar-LB"/>
        </w:rPr>
        <w:t>«</w:t>
      </w:r>
      <w:r w:rsidRPr="006571AC">
        <w:rPr>
          <w:sz w:val="27"/>
          <w:rtl/>
        </w:rPr>
        <w:t>الفتن</w:t>
      </w:r>
      <w:r w:rsidRPr="006571AC">
        <w:rPr>
          <w:sz w:val="24"/>
          <w:szCs w:val="24"/>
          <w:rtl/>
        </w:rPr>
        <w:t>»</w:t>
      </w:r>
      <w:r w:rsidRPr="006571AC">
        <w:rPr>
          <w:sz w:val="27"/>
          <w:rtl/>
        </w:rPr>
        <w:t xml:space="preserve"> و</w:t>
      </w:r>
      <w:r w:rsidRPr="006571AC">
        <w:rPr>
          <w:sz w:val="24"/>
          <w:szCs w:val="24"/>
          <w:rtl/>
          <w:lang w:bidi="ar-LB"/>
        </w:rPr>
        <w:t>«</w:t>
      </w:r>
      <w:r w:rsidRPr="006571AC">
        <w:rPr>
          <w:sz w:val="27"/>
          <w:rtl/>
        </w:rPr>
        <w:t>الامتحانات</w:t>
      </w:r>
      <w:r w:rsidRPr="006571AC">
        <w:rPr>
          <w:sz w:val="24"/>
          <w:szCs w:val="24"/>
          <w:rtl/>
        </w:rPr>
        <w:t>»</w:t>
      </w:r>
      <w:r w:rsidRPr="006571AC">
        <w:rPr>
          <w:sz w:val="27"/>
          <w:rtl/>
        </w:rPr>
        <w:t xml:space="preserve"> </w:t>
      </w:r>
      <w:r w:rsidRPr="006571AC">
        <w:rPr>
          <w:rFonts w:hint="cs"/>
          <w:sz w:val="27"/>
          <w:rtl/>
        </w:rPr>
        <w:t xml:space="preserve">بأنها </w:t>
      </w:r>
      <w:r w:rsidRPr="006571AC">
        <w:rPr>
          <w:sz w:val="27"/>
          <w:rtl/>
        </w:rPr>
        <w:t>س</w:t>
      </w:r>
      <w:r w:rsidR="0010794D" w:rsidRPr="006571AC">
        <w:rPr>
          <w:rFonts w:hint="cs"/>
          <w:sz w:val="27"/>
          <w:rtl/>
        </w:rPr>
        <w:t>ُ</w:t>
      </w:r>
      <w:r w:rsidRPr="006571AC">
        <w:rPr>
          <w:sz w:val="27"/>
          <w:rtl/>
        </w:rPr>
        <w:t>ن</w:t>
      </w:r>
      <w:r w:rsidR="0010794D" w:rsidRPr="006571AC">
        <w:rPr>
          <w:rFonts w:hint="cs"/>
          <w:sz w:val="27"/>
          <w:rtl/>
        </w:rPr>
        <w:t>ّ</w:t>
      </w:r>
      <w:r w:rsidRPr="006571AC">
        <w:rPr>
          <w:sz w:val="27"/>
          <w:rtl/>
        </w:rPr>
        <w:t>ة</w:t>
      </w:r>
      <w:r w:rsidR="003E6FEB" w:rsidRPr="006571AC">
        <w:rPr>
          <w:rFonts w:hint="cs"/>
          <w:sz w:val="27"/>
          <w:rtl/>
        </w:rPr>
        <w:t>ٌ</w:t>
      </w:r>
      <w:r w:rsidRPr="006571AC">
        <w:rPr>
          <w:sz w:val="27"/>
          <w:rtl/>
        </w:rPr>
        <w:t xml:space="preserve"> من س</w:t>
      </w:r>
      <w:r w:rsidR="0010794D" w:rsidRPr="006571AC">
        <w:rPr>
          <w:rFonts w:hint="cs"/>
          <w:sz w:val="27"/>
          <w:rtl/>
        </w:rPr>
        <w:t>ُ</w:t>
      </w:r>
      <w:r w:rsidRPr="006571AC">
        <w:rPr>
          <w:sz w:val="27"/>
          <w:rtl/>
        </w:rPr>
        <w:t>ن</w:t>
      </w:r>
      <w:r w:rsidR="0010794D" w:rsidRPr="006571AC">
        <w:rPr>
          <w:rFonts w:hint="cs"/>
          <w:sz w:val="27"/>
          <w:rtl/>
        </w:rPr>
        <w:t>َ</w:t>
      </w:r>
      <w:r w:rsidRPr="006571AC">
        <w:rPr>
          <w:sz w:val="27"/>
          <w:rtl/>
        </w:rPr>
        <w:t>ن الله تعالى</w:t>
      </w:r>
      <w:r w:rsidR="003E6FEB" w:rsidRPr="006571AC">
        <w:rPr>
          <w:rFonts w:hint="cs"/>
          <w:sz w:val="27"/>
          <w:rtl/>
        </w:rPr>
        <w:t>،</w:t>
      </w:r>
      <w:r w:rsidRPr="006571AC">
        <w:rPr>
          <w:sz w:val="27"/>
          <w:rtl/>
        </w:rPr>
        <w:t xml:space="preserve"> التي لا تتبد</w:t>
      </w:r>
      <w:r w:rsidR="003E6FEB" w:rsidRPr="006571AC">
        <w:rPr>
          <w:rFonts w:hint="cs"/>
          <w:sz w:val="27"/>
          <w:rtl/>
        </w:rPr>
        <w:t>َّ</w:t>
      </w:r>
      <w:r w:rsidRPr="006571AC">
        <w:rPr>
          <w:sz w:val="27"/>
          <w:rtl/>
        </w:rPr>
        <w:t>ل ولا تتغي</w:t>
      </w:r>
      <w:r w:rsidR="003E6FEB" w:rsidRPr="006571AC">
        <w:rPr>
          <w:rFonts w:hint="cs"/>
          <w:sz w:val="27"/>
          <w:rtl/>
        </w:rPr>
        <w:t>َّ</w:t>
      </w:r>
      <w:r w:rsidRPr="006571AC">
        <w:rPr>
          <w:sz w:val="27"/>
          <w:rtl/>
        </w:rPr>
        <w:t>ر</w:t>
      </w:r>
      <w:r w:rsidRPr="006571AC">
        <w:rPr>
          <w:rFonts w:hint="cs"/>
          <w:sz w:val="27"/>
          <w:rtl/>
        </w:rPr>
        <w:t>، وقد</w:t>
      </w:r>
      <w:r w:rsidRPr="006571AC">
        <w:rPr>
          <w:sz w:val="27"/>
          <w:rtl/>
        </w:rPr>
        <w:t xml:space="preserve"> جعلها هدف</w:t>
      </w:r>
      <w:r w:rsidRPr="006571AC">
        <w:rPr>
          <w:rFonts w:hint="cs"/>
          <w:sz w:val="27"/>
          <w:rtl/>
        </w:rPr>
        <w:t>اً</w:t>
      </w:r>
      <w:r w:rsidRPr="006571AC">
        <w:rPr>
          <w:sz w:val="27"/>
          <w:rtl/>
        </w:rPr>
        <w:t xml:space="preserve"> لوصول الإنسان إلى الكمال والسعادة الأخروية</w:t>
      </w:r>
      <w:r w:rsidRPr="006571AC">
        <w:rPr>
          <w:sz w:val="27"/>
          <w:vertAlign w:val="superscript"/>
          <w:rtl/>
          <w:lang w:bidi="ar-LB"/>
        </w:rPr>
        <w:t>(</w:t>
      </w:r>
      <w:r w:rsidRPr="006571AC">
        <w:rPr>
          <w:sz w:val="27"/>
          <w:vertAlign w:val="superscript"/>
          <w:rtl/>
          <w:lang w:bidi="ar-LB"/>
        </w:rPr>
        <w:endnoteReference w:id="7"/>
      </w:r>
      <w:r w:rsidRPr="006571AC">
        <w:rPr>
          <w:sz w:val="27"/>
          <w:vertAlign w:val="superscript"/>
          <w:rtl/>
          <w:lang w:bidi="ar-LB"/>
        </w:rPr>
        <w:t>)</w:t>
      </w:r>
      <w:r w:rsidRPr="006571AC">
        <w:rPr>
          <w:sz w:val="27"/>
          <w:rtl/>
        </w:rPr>
        <w:t xml:space="preserve">. </w:t>
      </w:r>
      <w:r w:rsidRPr="006571AC">
        <w:rPr>
          <w:rFonts w:hint="cs"/>
          <w:sz w:val="27"/>
          <w:rtl/>
        </w:rPr>
        <w:t xml:space="preserve">كما عرّف </w:t>
      </w:r>
      <w:r w:rsidRPr="006571AC">
        <w:rPr>
          <w:sz w:val="24"/>
          <w:szCs w:val="24"/>
          <w:rtl/>
          <w:lang w:bidi="ar-LB"/>
        </w:rPr>
        <w:t>«</w:t>
      </w:r>
      <w:r w:rsidRPr="006571AC">
        <w:rPr>
          <w:sz w:val="27"/>
          <w:rtl/>
        </w:rPr>
        <w:t>الابتلاء</w:t>
      </w:r>
      <w:r w:rsidRPr="006571AC">
        <w:rPr>
          <w:sz w:val="24"/>
          <w:szCs w:val="24"/>
          <w:rtl/>
        </w:rPr>
        <w:t>»</w:t>
      </w:r>
      <w:r w:rsidRPr="006571AC">
        <w:rPr>
          <w:sz w:val="27"/>
          <w:rtl/>
        </w:rPr>
        <w:t xml:space="preserve"> </w:t>
      </w:r>
      <w:r w:rsidRPr="006571AC">
        <w:rPr>
          <w:rFonts w:hint="cs"/>
          <w:sz w:val="27"/>
          <w:rtl/>
        </w:rPr>
        <w:t>بأنه</w:t>
      </w:r>
      <w:r w:rsidRPr="006571AC">
        <w:rPr>
          <w:sz w:val="27"/>
          <w:rtl/>
        </w:rPr>
        <w:t xml:space="preserve"> إيجاد التحوّ</w:t>
      </w:r>
      <w:r w:rsidR="003E6FEB" w:rsidRPr="006571AC">
        <w:rPr>
          <w:rFonts w:hint="cs"/>
          <w:sz w:val="27"/>
          <w:rtl/>
        </w:rPr>
        <w:t>ُ</w:t>
      </w:r>
      <w:r w:rsidRPr="006571AC">
        <w:rPr>
          <w:sz w:val="27"/>
          <w:rtl/>
        </w:rPr>
        <w:t>ل، أي التقلب والتحويل لتحصيل نتيجة</w:t>
      </w:r>
      <w:r w:rsidR="003E6FEB" w:rsidRPr="006571AC">
        <w:rPr>
          <w:rFonts w:hint="cs"/>
          <w:sz w:val="27"/>
          <w:rtl/>
        </w:rPr>
        <w:t>ٍ</w:t>
      </w:r>
      <w:r w:rsidRPr="006571AC">
        <w:rPr>
          <w:sz w:val="27"/>
          <w:rtl/>
        </w:rPr>
        <w:t xml:space="preserve"> منظورة</w:t>
      </w:r>
      <w:r w:rsidRPr="006571AC">
        <w:rPr>
          <w:sz w:val="27"/>
          <w:vertAlign w:val="superscript"/>
          <w:rtl/>
          <w:lang w:bidi="ar-LB"/>
        </w:rPr>
        <w:t>(</w:t>
      </w:r>
      <w:r w:rsidRPr="006571AC">
        <w:rPr>
          <w:sz w:val="27"/>
          <w:vertAlign w:val="superscript"/>
          <w:rtl/>
          <w:lang w:bidi="ar-LB"/>
        </w:rPr>
        <w:endnoteReference w:id="8"/>
      </w:r>
      <w:r w:rsidRPr="006571AC">
        <w:rPr>
          <w:sz w:val="27"/>
          <w:vertAlign w:val="superscript"/>
          <w:rtl/>
          <w:lang w:bidi="ar-LB"/>
        </w:rPr>
        <w:t>)</w:t>
      </w:r>
      <w:r w:rsidRPr="006571AC">
        <w:rPr>
          <w:sz w:val="27"/>
          <w:rtl/>
          <w:lang w:bidi="ar-LB"/>
        </w:rPr>
        <w:t xml:space="preserve">. </w:t>
      </w:r>
      <w:r w:rsidRPr="006571AC">
        <w:rPr>
          <w:rFonts w:hint="cs"/>
          <w:sz w:val="27"/>
          <w:rtl/>
          <w:lang w:bidi="ar-LB"/>
        </w:rPr>
        <w:t xml:space="preserve">وعرّف </w:t>
      </w:r>
      <w:r w:rsidRPr="006571AC">
        <w:rPr>
          <w:sz w:val="24"/>
          <w:szCs w:val="24"/>
          <w:rtl/>
          <w:lang w:bidi="ar-LB"/>
        </w:rPr>
        <w:t>«</w:t>
      </w:r>
      <w:r w:rsidRPr="006571AC">
        <w:rPr>
          <w:sz w:val="27"/>
          <w:rtl/>
          <w:lang w:bidi="ar-LB"/>
        </w:rPr>
        <w:t>الفتنة</w:t>
      </w:r>
      <w:r w:rsidRPr="006571AC">
        <w:rPr>
          <w:sz w:val="24"/>
          <w:szCs w:val="24"/>
          <w:rtl/>
          <w:lang w:bidi="ar-LB"/>
        </w:rPr>
        <w:t>»</w:t>
      </w:r>
      <w:r w:rsidRPr="006571AC">
        <w:rPr>
          <w:sz w:val="27"/>
          <w:rtl/>
          <w:lang w:bidi="ar-LB"/>
        </w:rPr>
        <w:t xml:space="preserve"> </w:t>
      </w:r>
      <w:r w:rsidRPr="006571AC">
        <w:rPr>
          <w:rFonts w:hint="cs"/>
          <w:sz w:val="27"/>
          <w:rtl/>
          <w:lang w:bidi="ar-LB"/>
        </w:rPr>
        <w:t>بأنها</w:t>
      </w:r>
      <w:r w:rsidRPr="006571AC">
        <w:rPr>
          <w:sz w:val="27"/>
          <w:rtl/>
          <w:lang w:bidi="ar-LB"/>
        </w:rPr>
        <w:t xml:space="preserve"> ما يوجب اختلال</w:t>
      </w:r>
      <w:r w:rsidRPr="006571AC">
        <w:rPr>
          <w:rFonts w:hint="cs"/>
          <w:sz w:val="27"/>
          <w:rtl/>
          <w:lang w:bidi="ar-LB"/>
        </w:rPr>
        <w:t>اً</w:t>
      </w:r>
      <w:r w:rsidRPr="006571AC">
        <w:rPr>
          <w:sz w:val="27"/>
          <w:rtl/>
          <w:lang w:bidi="ar-LB"/>
        </w:rPr>
        <w:t xml:space="preserve"> مع اضطراب</w:t>
      </w:r>
      <w:r w:rsidRPr="006571AC">
        <w:rPr>
          <w:sz w:val="27"/>
          <w:vertAlign w:val="superscript"/>
          <w:rtl/>
          <w:lang w:bidi="ar-LB"/>
        </w:rPr>
        <w:t>(</w:t>
      </w:r>
      <w:r w:rsidRPr="006571AC">
        <w:rPr>
          <w:sz w:val="27"/>
          <w:vertAlign w:val="superscript"/>
          <w:rtl/>
          <w:lang w:bidi="ar-LB"/>
        </w:rPr>
        <w:endnoteReference w:id="9"/>
      </w:r>
      <w:r w:rsidRPr="006571AC">
        <w:rPr>
          <w:sz w:val="27"/>
          <w:vertAlign w:val="superscript"/>
          <w:rtl/>
          <w:lang w:bidi="ar-LB"/>
        </w:rPr>
        <w:t>)</w:t>
      </w:r>
      <w:r w:rsidR="003E6FEB" w:rsidRPr="006571AC">
        <w:rPr>
          <w:rFonts w:hint="cs"/>
          <w:sz w:val="27"/>
          <w:rtl/>
          <w:lang w:bidi="ar-LB"/>
        </w:rPr>
        <w:t>؛ و</w:t>
      </w:r>
      <w:r w:rsidRPr="006571AC">
        <w:rPr>
          <w:sz w:val="24"/>
          <w:szCs w:val="24"/>
          <w:rtl/>
          <w:lang w:bidi="ar-LB"/>
        </w:rPr>
        <w:t>«</w:t>
      </w:r>
      <w:r w:rsidRPr="006571AC">
        <w:rPr>
          <w:sz w:val="27"/>
          <w:rtl/>
          <w:lang w:bidi="ar-LB"/>
        </w:rPr>
        <w:t>الامتحان</w:t>
      </w:r>
      <w:r w:rsidRPr="006571AC">
        <w:rPr>
          <w:sz w:val="24"/>
          <w:szCs w:val="24"/>
          <w:rtl/>
          <w:lang w:bidi="ar-LB"/>
        </w:rPr>
        <w:t>»</w:t>
      </w:r>
      <w:r w:rsidRPr="006571AC">
        <w:rPr>
          <w:sz w:val="27"/>
          <w:rtl/>
          <w:lang w:bidi="ar-LB"/>
        </w:rPr>
        <w:t xml:space="preserve"> </w:t>
      </w:r>
      <w:r w:rsidRPr="006571AC">
        <w:rPr>
          <w:rFonts w:hint="cs"/>
          <w:sz w:val="27"/>
          <w:rtl/>
          <w:lang w:bidi="ar-LB"/>
        </w:rPr>
        <w:t xml:space="preserve">بأنه </w:t>
      </w:r>
      <w:r w:rsidRPr="006571AC">
        <w:rPr>
          <w:sz w:val="27"/>
          <w:rtl/>
          <w:lang w:bidi="ar-LB"/>
        </w:rPr>
        <w:t>اختبار نتيجة بالدأب والجدّ في العمل</w:t>
      </w:r>
      <w:r w:rsidRPr="006571AC">
        <w:rPr>
          <w:sz w:val="27"/>
          <w:vertAlign w:val="superscript"/>
          <w:rtl/>
          <w:lang w:bidi="ar-LB"/>
        </w:rPr>
        <w:t xml:space="preserve"> (</w:t>
      </w:r>
      <w:r w:rsidRPr="006571AC">
        <w:rPr>
          <w:sz w:val="27"/>
          <w:vertAlign w:val="superscript"/>
          <w:rtl/>
          <w:lang w:bidi="ar-LB"/>
        </w:rPr>
        <w:endnoteReference w:id="10"/>
      </w:r>
      <w:r w:rsidRPr="006571AC">
        <w:rPr>
          <w:sz w:val="27"/>
          <w:vertAlign w:val="superscript"/>
          <w:rtl/>
          <w:lang w:bidi="ar-LB"/>
        </w:rPr>
        <w:t>)</w:t>
      </w:r>
      <w:r w:rsidRPr="006571AC">
        <w:rPr>
          <w:sz w:val="27"/>
          <w:rtl/>
          <w:lang w:bidi="ar-LB"/>
        </w:rPr>
        <w:t xml:space="preserve">. </w:t>
      </w:r>
      <w:r w:rsidR="00731867" w:rsidRPr="006571AC">
        <w:rPr>
          <w:sz w:val="27"/>
          <w:rtl/>
          <w:lang w:bidi="ar-LB"/>
        </w:rPr>
        <w:t>إذن</w:t>
      </w:r>
      <w:r w:rsidRPr="006571AC">
        <w:rPr>
          <w:sz w:val="27"/>
          <w:rtl/>
          <w:lang w:bidi="ar-LB"/>
        </w:rPr>
        <w:t xml:space="preserve"> فالكلمات الثلاث</w:t>
      </w:r>
      <w:r w:rsidRPr="006571AC">
        <w:rPr>
          <w:rFonts w:hint="cs"/>
          <w:sz w:val="27"/>
          <w:rtl/>
          <w:lang w:bidi="ar-LB"/>
        </w:rPr>
        <w:t xml:space="preserve"> </w:t>
      </w:r>
      <w:r w:rsidRPr="006571AC">
        <w:rPr>
          <w:sz w:val="27"/>
          <w:rtl/>
          <w:lang w:bidi="ar-LB"/>
        </w:rPr>
        <w:t>تتضم</w:t>
      </w:r>
      <w:r w:rsidR="003E6FEB" w:rsidRPr="006571AC">
        <w:rPr>
          <w:rFonts w:hint="cs"/>
          <w:sz w:val="27"/>
          <w:rtl/>
          <w:lang w:bidi="ar-LB"/>
        </w:rPr>
        <w:t>َّ</w:t>
      </w:r>
      <w:r w:rsidRPr="006571AC">
        <w:rPr>
          <w:sz w:val="27"/>
          <w:rtl/>
          <w:lang w:bidi="ar-LB"/>
        </w:rPr>
        <w:t xml:space="preserve">ن معنى العسر والصعوبة. وعليه فإنه </w:t>
      </w:r>
      <w:r w:rsidRPr="006571AC">
        <w:rPr>
          <w:rFonts w:hint="cs"/>
          <w:sz w:val="27"/>
          <w:rtl/>
          <w:lang w:bidi="ar-LB"/>
        </w:rPr>
        <w:t xml:space="preserve">لا طريق ـ </w:t>
      </w:r>
      <w:r w:rsidRPr="006571AC">
        <w:rPr>
          <w:sz w:val="27"/>
          <w:rtl/>
          <w:lang w:bidi="ar-LB"/>
        </w:rPr>
        <w:t>من وجهة نظر القرآن الكريم</w:t>
      </w:r>
      <w:r w:rsidRPr="006571AC">
        <w:rPr>
          <w:rFonts w:hint="cs"/>
          <w:sz w:val="27"/>
          <w:rtl/>
          <w:lang w:bidi="ar-LB"/>
        </w:rPr>
        <w:t xml:space="preserve"> ـ</w:t>
      </w:r>
      <w:r w:rsidRPr="006571AC">
        <w:rPr>
          <w:sz w:val="27"/>
          <w:rtl/>
          <w:lang w:bidi="ar-LB"/>
        </w:rPr>
        <w:t xml:space="preserve"> للوصول إلى الكمال إلا</w:t>
      </w:r>
      <w:r w:rsidR="003E6FEB" w:rsidRPr="006571AC">
        <w:rPr>
          <w:rFonts w:hint="cs"/>
          <w:sz w:val="27"/>
          <w:rtl/>
          <w:lang w:bidi="ar-LB"/>
        </w:rPr>
        <w:t>ّ</w:t>
      </w:r>
      <w:r w:rsidRPr="006571AC">
        <w:rPr>
          <w:sz w:val="27"/>
          <w:rtl/>
          <w:lang w:bidi="ar-LB"/>
        </w:rPr>
        <w:t xml:space="preserve"> باختيار الإنسان حر</w:t>
      </w:r>
      <w:r w:rsidRPr="006571AC">
        <w:rPr>
          <w:rFonts w:hint="cs"/>
          <w:sz w:val="27"/>
          <w:rtl/>
          <w:lang w:bidi="ar-LB"/>
        </w:rPr>
        <w:t>ّاً</w:t>
      </w:r>
      <w:r w:rsidRPr="006571AC">
        <w:rPr>
          <w:sz w:val="27"/>
          <w:rtl/>
          <w:lang w:bidi="ar-LB"/>
        </w:rPr>
        <w:t xml:space="preserve"> طريق الصعوبات والمشق</w:t>
      </w:r>
      <w:r w:rsidR="003E6FEB" w:rsidRPr="006571AC">
        <w:rPr>
          <w:rFonts w:hint="cs"/>
          <w:sz w:val="27"/>
          <w:rtl/>
          <w:lang w:bidi="ar-LB"/>
        </w:rPr>
        <w:t>ّ</w:t>
      </w:r>
      <w:r w:rsidRPr="006571AC">
        <w:rPr>
          <w:sz w:val="27"/>
          <w:rtl/>
          <w:lang w:bidi="ar-LB"/>
        </w:rPr>
        <w:t>ات.</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وقد </w:t>
      </w:r>
      <w:r w:rsidRPr="006571AC">
        <w:rPr>
          <w:sz w:val="27"/>
          <w:rtl/>
          <w:lang w:bidi="ar-LB"/>
        </w:rPr>
        <w:t>أك</w:t>
      </w:r>
      <w:r w:rsidR="003E6FEB" w:rsidRPr="006571AC">
        <w:rPr>
          <w:rFonts w:hint="cs"/>
          <w:sz w:val="27"/>
          <w:rtl/>
          <w:lang w:bidi="ar-LB"/>
        </w:rPr>
        <w:t>َّ</w:t>
      </w:r>
      <w:r w:rsidRPr="006571AC">
        <w:rPr>
          <w:sz w:val="27"/>
          <w:rtl/>
          <w:lang w:bidi="ar-LB"/>
        </w:rPr>
        <w:t>د الإمام الرضا</w:t>
      </w:r>
      <w:r w:rsidRPr="006571AC">
        <w:rPr>
          <w:rFonts w:ascii="Mosawi" w:hAnsi="Mosawi" w:cs="Mosawi"/>
          <w:sz w:val="22"/>
          <w:szCs w:val="22"/>
          <w:rtl/>
        </w:rPr>
        <w:t>×</w:t>
      </w:r>
      <w:r w:rsidR="003E6FEB" w:rsidRPr="006571AC">
        <w:rPr>
          <w:rFonts w:hint="cs"/>
          <w:sz w:val="27"/>
          <w:rtl/>
          <w:lang w:bidi="ar-LB"/>
        </w:rPr>
        <w:t>،</w:t>
      </w:r>
      <w:r w:rsidRPr="006571AC">
        <w:rPr>
          <w:sz w:val="27"/>
          <w:rtl/>
          <w:lang w:bidi="ar-LB"/>
        </w:rPr>
        <w:t xml:space="preserve"> في جوابه ع</w:t>
      </w:r>
      <w:r w:rsidRPr="006571AC">
        <w:rPr>
          <w:rFonts w:hint="cs"/>
          <w:sz w:val="27"/>
          <w:rtl/>
          <w:lang w:bidi="ar-LB"/>
        </w:rPr>
        <w:t>ن</w:t>
      </w:r>
      <w:r w:rsidRPr="006571AC">
        <w:rPr>
          <w:sz w:val="27"/>
          <w:rtl/>
          <w:lang w:bidi="ar-LB"/>
        </w:rPr>
        <w:t xml:space="preserve"> سؤال الخليفة العب</w:t>
      </w:r>
      <w:r w:rsidR="003E6FEB" w:rsidRPr="006571AC">
        <w:rPr>
          <w:rFonts w:hint="cs"/>
          <w:sz w:val="27"/>
          <w:rtl/>
          <w:lang w:bidi="ar-LB"/>
        </w:rPr>
        <w:t>ّ</w:t>
      </w:r>
      <w:r w:rsidRPr="006571AC">
        <w:rPr>
          <w:sz w:val="27"/>
          <w:rtl/>
          <w:lang w:bidi="ar-LB"/>
        </w:rPr>
        <w:t>اسي المأمون حول الآية 99 من سورة يونس</w:t>
      </w:r>
      <w:r w:rsidRPr="006571AC">
        <w:rPr>
          <w:sz w:val="27"/>
          <w:vertAlign w:val="superscript"/>
          <w:rtl/>
          <w:lang w:bidi="ar-LB"/>
        </w:rPr>
        <w:t>(</w:t>
      </w:r>
      <w:r w:rsidRPr="006571AC">
        <w:rPr>
          <w:sz w:val="27"/>
          <w:vertAlign w:val="superscript"/>
          <w:rtl/>
          <w:lang w:bidi="ar-LB"/>
        </w:rPr>
        <w:endnoteReference w:id="11"/>
      </w:r>
      <w:r w:rsidRPr="006571AC">
        <w:rPr>
          <w:sz w:val="27"/>
          <w:vertAlign w:val="superscript"/>
          <w:rtl/>
          <w:lang w:bidi="ar-LB"/>
        </w:rPr>
        <w:t>)</w:t>
      </w:r>
      <w:r w:rsidR="003E6FEB" w:rsidRPr="006571AC">
        <w:rPr>
          <w:rFonts w:hint="cs"/>
          <w:sz w:val="27"/>
          <w:rtl/>
          <w:lang w:bidi="ar-LB"/>
        </w:rPr>
        <w:t>،</w:t>
      </w:r>
      <w:r w:rsidRPr="006571AC">
        <w:rPr>
          <w:rFonts w:hint="cs"/>
          <w:sz w:val="27"/>
          <w:rtl/>
          <w:lang w:bidi="ar-LB"/>
        </w:rPr>
        <w:t xml:space="preserve"> </w:t>
      </w:r>
      <w:r w:rsidRPr="006571AC">
        <w:rPr>
          <w:sz w:val="27"/>
          <w:rtl/>
          <w:lang w:bidi="ar-LB"/>
        </w:rPr>
        <w:t>الشرط الأو</w:t>
      </w:r>
      <w:r w:rsidR="003E6FEB" w:rsidRPr="006571AC">
        <w:rPr>
          <w:rFonts w:hint="cs"/>
          <w:sz w:val="27"/>
          <w:rtl/>
          <w:lang w:bidi="ar-LB"/>
        </w:rPr>
        <w:t>ّ</w:t>
      </w:r>
      <w:r w:rsidRPr="006571AC">
        <w:rPr>
          <w:sz w:val="27"/>
          <w:rtl/>
          <w:lang w:bidi="ar-LB"/>
        </w:rPr>
        <w:t>ل؛ أي ضرورة أن ينشأ سلوك الإنسان من اختياره و</w:t>
      </w:r>
      <w:r w:rsidRPr="006571AC">
        <w:rPr>
          <w:rFonts w:hint="cs"/>
          <w:sz w:val="27"/>
          <w:rtl/>
          <w:lang w:bidi="ar-LB"/>
        </w:rPr>
        <w:t>إ</w:t>
      </w:r>
      <w:r w:rsidRPr="006571AC">
        <w:rPr>
          <w:sz w:val="27"/>
          <w:rtl/>
          <w:lang w:bidi="ar-LB"/>
        </w:rPr>
        <w:t>رادته الحرّة</w:t>
      </w:r>
      <w:r w:rsidR="003E6FEB" w:rsidRPr="006571AC">
        <w:rPr>
          <w:rFonts w:hint="cs"/>
          <w:sz w:val="27"/>
          <w:rtl/>
          <w:lang w:bidi="ar-LB"/>
        </w:rPr>
        <w:t>؛</w:t>
      </w:r>
      <w:r w:rsidRPr="006571AC">
        <w:rPr>
          <w:sz w:val="27"/>
          <w:rtl/>
          <w:lang w:bidi="ar-LB"/>
        </w:rPr>
        <w:t xml:space="preserve"> ليصل إلى الكمال ويحص</w:t>
      </w:r>
      <w:r w:rsidR="003E6FEB" w:rsidRPr="006571AC">
        <w:rPr>
          <w:rFonts w:hint="cs"/>
          <w:sz w:val="27"/>
          <w:rtl/>
          <w:lang w:bidi="ar-LB"/>
        </w:rPr>
        <w:t>ِّ</w:t>
      </w:r>
      <w:r w:rsidRPr="006571AC">
        <w:rPr>
          <w:sz w:val="27"/>
          <w:rtl/>
          <w:lang w:bidi="ar-LB"/>
        </w:rPr>
        <w:t>ل الثواب. ينقل عن جدّه أمير المؤمنين</w:t>
      </w:r>
      <w:r w:rsidRPr="006571AC">
        <w:rPr>
          <w:rFonts w:ascii="Mosawi" w:hAnsi="Mosawi" w:cs="Mosawi"/>
          <w:sz w:val="22"/>
          <w:szCs w:val="22"/>
          <w:rtl/>
        </w:rPr>
        <w:t>×</w:t>
      </w:r>
      <w:r w:rsidRPr="006571AC">
        <w:rPr>
          <w:sz w:val="27"/>
          <w:rtl/>
          <w:lang w:bidi="ar-LB"/>
        </w:rPr>
        <w:t xml:space="preserve"> أنه قال في شأن نزول هذه الآية: </w:t>
      </w:r>
      <w:r w:rsidRPr="006571AC">
        <w:rPr>
          <w:rFonts w:hint="cs"/>
          <w:sz w:val="27"/>
          <w:rtl/>
          <w:lang w:bidi="ar-LB"/>
        </w:rPr>
        <w:t>إ</w:t>
      </w:r>
      <w:r w:rsidRPr="006571AC">
        <w:rPr>
          <w:sz w:val="27"/>
          <w:rtl/>
          <w:lang w:bidi="ar-LB"/>
        </w:rPr>
        <w:t>ن المسلمين قالوا لرسول الله</w:t>
      </w:r>
      <w:r w:rsidRPr="006571AC">
        <w:rPr>
          <w:rFonts w:ascii="Mosawi" w:hAnsi="Mosawi" w:cs="Mosawi"/>
          <w:sz w:val="22"/>
          <w:szCs w:val="22"/>
          <w:rtl/>
        </w:rPr>
        <w:t>|</w:t>
      </w:r>
      <w:r w:rsidRPr="006571AC">
        <w:rPr>
          <w:sz w:val="27"/>
          <w:rtl/>
          <w:lang w:bidi="ar-LB"/>
        </w:rPr>
        <w:t>: لو أكره</w:t>
      </w:r>
      <w:r w:rsidR="0010794D" w:rsidRPr="006571AC">
        <w:rPr>
          <w:rFonts w:hint="cs"/>
          <w:sz w:val="27"/>
          <w:rtl/>
          <w:lang w:bidi="ar-LB"/>
        </w:rPr>
        <w:t>ْ</w:t>
      </w:r>
      <w:r w:rsidRPr="006571AC">
        <w:rPr>
          <w:sz w:val="27"/>
          <w:rtl/>
          <w:lang w:bidi="ar-LB"/>
        </w:rPr>
        <w:t>ت</w:t>
      </w:r>
      <w:r w:rsidR="0010794D" w:rsidRPr="006571AC">
        <w:rPr>
          <w:rFonts w:hint="cs"/>
          <w:sz w:val="27"/>
          <w:rtl/>
          <w:lang w:bidi="ar-LB"/>
        </w:rPr>
        <w:t>َ</w:t>
      </w:r>
      <w:r w:rsidRPr="006571AC">
        <w:rPr>
          <w:sz w:val="27"/>
          <w:rtl/>
          <w:lang w:bidi="ar-LB"/>
        </w:rPr>
        <w:t xml:space="preserve"> يا رسول الله م</w:t>
      </w:r>
      <w:r w:rsidRPr="006571AC">
        <w:rPr>
          <w:rFonts w:hint="cs"/>
          <w:sz w:val="27"/>
          <w:rtl/>
          <w:lang w:bidi="ar-LB"/>
        </w:rPr>
        <w:t>َ</w:t>
      </w:r>
      <w:r w:rsidRPr="006571AC">
        <w:rPr>
          <w:sz w:val="27"/>
          <w:rtl/>
          <w:lang w:bidi="ar-LB"/>
        </w:rPr>
        <w:t>ن</w:t>
      </w:r>
      <w:r w:rsidR="003E6FEB" w:rsidRPr="006571AC">
        <w:rPr>
          <w:rFonts w:hint="cs"/>
          <w:sz w:val="27"/>
          <w:rtl/>
          <w:lang w:bidi="ar-LB"/>
        </w:rPr>
        <w:t>ْ</w:t>
      </w:r>
      <w:r w:rsidRPr="006571AC">
        <w:rPr>
          <w:sz w:val="27"/>
          <w:rtl/>
          <w:lang w:bidi="ar-LB"/>
        </w:rPr>
        <w:t xml:space="preserve"> قدرت عليه من الناس على الإسلام </w:t>
      </w:r>
      <w:r w:rsidRPr="006571AC">
        <w:rPr>
          <w:rFonts w:hint="cs"/>
          <w:sz w:val="27"/>
          <w:rtl/>
          <w:lang w:bidi="ar-LB"/>
        </w:rPr>
        <w:t>ل</w:t>
      </w:r>
      <w:r w:rsidRPr="006571AC">
        <w:rPr>
          <w:sz w:val="27"/>
          <w:rtl/>
          <w:lang w:bidi="ar-LB"/>
        </w:rPr>
        <w:t>كثر عددنا وقوينا على عدو</w:t>
      </w:r>
      <w:r w:rsidR="00E77862" w:rsidRPr="006571AC">
        <w:rPr>
          <w:rFonts w:hint="cs"/>
          <w:sz w:val="27"/>
          <w:rtl/>
          <w:lang w:bidi="ar-LB"/>
        </w:rPr>
        <w:t>ّ</w:t>
      </w:r>
      <w:r w:rsidRPr="006571AC">
        <w:rPr>
          <w:sz w:val="27"/>
          <w:rtl/>
          <w:lang w:bidi="ar-LB"/>
        </w:rPr>
        <w:t>نا، فقال رسول الله</w:t>
      </w:r>
      <w:r w:rsidRPr="006571AC">
        <w:rPr>
          <w:rFonts w:ascii="Mosawi" w:hAnsi="Mosawi" w:cs="Mosawi"/>
          <w:sz w:val="22"/>
          <w:szCs w:val="22"/>
          <w:rtl/>
        </w:rPr>
        <w:t>|</w:t>
      </w:r>
      <w:r w:rsidRPr="006571AC">
        <w:rPr>
          <w:sz w:val="27"/>
          <w:rtl/>
          <w:lang w:bidi="ar-LB"/>
        </w:rPr>
        <w:t>: ما كنت</w:t>
      </w:r>
      <w:r w:rsidR="00E77862" w:rsidRPr="006571AC">
        <w:rPr>
          <w:rFonts w:hint="cs"/>
          <w:sz w:val="27"/>
          <w:rtl/>
          <w:lang w:bidi="ar-LB"/>
        </w:rPr>
        <w:t>ُ</w:t>
      </w:r>
      <w:r w:rsidRPr="006571AC">
        <w:rPr>
          <w:sz w:val="27"/>
          <w:rtl/>
          <w:lang w:bidi="ar-LB"/>
        </w:rPr>
        <w:t xml:space="preserve"> لألقى الله عز</w:t>
      </w:r>
      <w:r w:rsidR="00E77862" w:rsidRPr="006571AC">
        <w:rPr>
          <w:rFonts w:hint="cs"/>
          <w:sz w:val="27"/>
          <w:rtl/>
          <w:lang w:bidi="ar-LB"/>
        </w:rPr>
        <w:t>َّ</w:t>
      </w:r>
      <w:r w:rsidRPr="006571AC">
        <w:rPr>
          <w:sz w:val="27"/>
          <w:rtl/>
          <w:lang w:bidi="ar-LB"/>
        </w:rPr>
        <w:t xml:space="preserve"> وجل</w:t>
      </w:r>
      <w:r w:rsidR="00E77862" w:rsidRPr="006571AC">
        <w:rPr>
          <w:rFonts w:hint="cs"/>
          <w:sz w:val="27"/>
          <w:rtl/>
          <w:lang w:bidi="ar-LB"/>
        </w:rPr>
        <w:t>َّ</w:t>
      </w:r>
      <w:r w:rsidRPr="006571AC">
        <w:rPr>
          <w:sz w:val="27"/>
          <w:rtl/>
          <w:lang w:bidi="ar-LB"/>
        </w:rPr>
        <w:t xml:space="preserve"> بب</w:t>
      </w:r>
      <w:r w:rsidR="00E77862" w:rsidRPr="006571AC">
        <w:rPr>
          <w:rFonts w:hint="cs"/>
          <w:sz w:val="27"/>
          <w:rtl/>
          <w:lang w:bidi="ar-LB"/>
        </w:rPr>
        <w:t>ِ</w:t>
      </w:r>
      <w:r w:rsidRPr="006571AC">
        <w:rPr>
          <w:sz w:val="27"/>
          <w:rtl/>
          <w:lang w:bidi="ar-LB"/>
        </w:rPr>
        <w:t>د</w:t>
      </w:r>
      <w:r w:rsidR="00E77862" w:rsidRPr="006571AC">
        <w:rPr>
          <w:rFonts w:hint="cs"/>
          <w:sz w:val="27"/>
          <w:rtl/>
          <w:lang w:bidi="ar-LB"/>
        </w:rPr>
        <w:t>ْ</w:t>
      </w:r>
      <w:r w:rsidRPr="006571AC">
        <w:rPr>
          <w:sz w:val="27"/>
          <w:rtl/>
          <w:lang w:bidi="ar-LB"/>
        </w:rPr>
        <w:t>عة</w:t>
      </w:r>
      <w:r w:rsidR="00E77862" w:rsidRPr="006571AC">
        <w:rPr>
          <w:rFonts w:hint="cs"/>
          <w:sz w:val="27"/>
          <w:rtl/>
          <w:lang w:bidi="ar-LB"/>
        </w:rPr>
        <w:t>ٍ</w:t>
      </w:r>
      <w:r w:rsidRPr="006571AC">
        <w:rPr>
          <w:sz w:val="27"/>
          <w:rtl/>
          <w:lang w:bidi="ar-LB"/>
        </w:rPr>
        <w:t xml:space="preserve"> لم يحدث إل</w:t>
      </w:r>
      <w:r w:rsidRPr="006571AC">
        <w:rPr>
          <w:rFonts w:hint="cs"/>
          <w:sz w:val="27"/>
          <w:rtl/>
          <w:lang w:bidi="ar-LB"/>
        </w:rPr>
        <w:t>يّ</w:t>
      </w:r>
      <w:r w:rsidRPr="006571AC">
        <w:rPr>
          <w:sz w:val="27"/>
          <w:rtl/>
          <w:lang w:bidi="ar-LB"/>
        </w:rPr>
        <w:t xml:space="preserve"> فيها شيئ</w:t>
      </w:r>
      <w:r w:rsidRPr="006571AC">
        <w:rPr>
          <w:rFonts w:hint="cs"/>
          <w:sz w:val="27"/>
          <w:rtl/>
          <w:lang w:bidi="ar-LB"/>
        </w:rPr>
        <w:t>اً</w:t>
      </w:r>
      <w:r w:rsidRPr="006571AC">
        <w:rPr>
          <w:sz w:val="27"/>
          <w:rtl/>
          <w:lang w:bidi="ar-LB"/>
        </w:rPr>
        <w:t>، وما أنا من المتكل</w:t>
      </w:r>
      <w:r w:rsidR="00E77862" w:rsidRPr="006571AC">
        <w:rPr>
          <w:rFonts w:hint="cs"/>
          <w:sz w:val="27"/>
          <w:rtl/>
          <w:lang w:bidi="ar-LB"/>
        </w:rPr>
        <w:t>ِّ</w:t>
      </w:r>
      <w:r w:rsidRPr="006571AC">
        <w:rPr>
          <w:sz w:val="27"/>
          <w:rtl/>
          <w:lang w:bidi="ar-LB"/>
        </w:rPr>
        <w:t xml:space="preserve">فين، فأنزل الله تبارك وتعالى: </w:t>
      </w:r>
      <w:r w:rsidRPr="006571AC">
        <w:rPr>
          <w:sz w:val="24"/>
          <w:szCs w:val="24"/>
          <w:rtl/>
          <w:lang w:bidi="ar-LB"/>
        </w:rPr>
        <w:t>«</w:t>
      </w:r>
      <w:r w:rsidRPr="006571AC">
        <w:rPr>
          <w:sz w:val="27"/>
          <w:rtl/>
          <w:lang w:bidi="ar-LB"/>
        </w:rPr>
        <w:t>يا محمد</w:t>
      </w:r>
      <w:r w:rsidR="0010794D" w:rsidRPr="006571AC">
        <w:rPr>
          <w:rFonts w:hint="cs"/>
          <w:sz w:val="27"/>
          <w:rtl/>
          <w:lang w:bidi="ar-LB"/>
        </w:rPr>
        <w:t>،</w:t>
      </w:r>
      <w:r w:rsidRPr="006571AC">
        <w:rPr>
          <w:sz w:val="27"/>
          <w:rtl/>
          <w:lang w:bidi="ar-LB"/>
        </w:rPr>
        <w:t xml:space="preserve"> </w:t>
      </w:r>
      <w:r w:rsidRPr="006571AC">
        <w:rPr>
          <w:rFonts w:ascii="Mosawi" w:hAnsi="Mosawi" w:cs="Mosawi"/>
          <w:sz w:val="24"/>
          <w:szCs w:val="24"/>
          <w:rtl/>
        </w:rPr>
        <w:t>﴿</w:t>
      </w:r>
      <w:r w:rsidR="00E77862" w:rsidRPr="006571AC">
        <w:rPr>
          <w:b/>
          <w:bCs/>
          <w:sz w:val="27"/>
          <w:rtl/>
          <w:lang w:bidi="ar-LB"/>
        </w:rPr>
        <w:t>وَلَوْ شَاءَ رَبُّكَ ل</w:t>
      </w:r>
      <w:r w:rsidRPr="006571AC">
        <w:rPr>
          <w:b/>
          <w:bCs/>
          <w:sz w:val="27"/>
          <w:rtl/>
          <w:lang w:bidi="ar-LB"/>
        </w:rPr>
        <w:t>آمَنَ مَنْ فِي الْأَرْضِ كُلُّهُمْ جَمِيعاً</w:t>
      </w:r>
      <w:r w:rsidRPr="006571AC">
        <w:rPr>
          <w:rFonts w:ascii="Mosawi" w:hAnsi="Mosawi" w:cs="Mosawi"/>
          <w:sz w:val="24"/>
          <w:szCs w:val="24"/>
          <w:rtl/>
        </w:rPr>
        <w:t>﴾</w:t>
      </w:r>
      <w:r w:rsidRPr="006571AC">
        <w:rPr>
          <w:sz w:val="27"/>
          <w:rtl/>
          <w:lang w:bidi="ar-LB"/>
        </w:rPr>
        <w:t xml:space="preserve"> على سبيل ال</w:t>
      </w:r>
      <w:r w:rsidRPr="006571AC">
        <w:rPr>
          <w:rFonts w:hint="cs"/>
          <w:sz w:val="27"/>
          <w:rtl/>
          <w:lang w:bidi="ar-LB"/>
        </w:rPr>
        <w:t>إ</w:t>
      </w:r>
      <w:r w:rsidRPr="006571AC">
        <w:rPr>
          <w:sz w:val="27"/>
          <w:rtl/>
          <w:lang w:bidi="ar-LB"/>
        </w:rPr>
        <w:t>لجاء والاضطرار في الدنيا</w:t>
      </w:r>
      <w:r w:rsidR="0010794D" w:rsidRPr="006571AC">
        <w:rPr>
          <w:rFonts w:hint="cs"/>
          <w:sz w:val="27"/>
          <w:rtl/>
          <w:lang w:bidi="ar-LB"/>
        </w:rPr>
        <w:t>،</w:t>
      </w:r>
      <w:r w:rsidRPr="006571AC">
        <w:rPr>
          <w:sz w:val="27"/>
          <w:rtl/>
          <w:lang w:bidi="ar-LB"/>
        </w:rPr>
        <w:t xml:space="preserve"> كما يؤمنون عند المعاينة ورؤية البأس في الآخرة، ولو فعلت</w:t>
      </w:r>
      <w:r w:rsidR="00E77862" w:rsidRPr="006571AC">
        <w:rPr>
          <w:rFonts w:hint="cs"/>
          <w:sz w:val="27"/>
          <w:rtl/>
          <w:lang w:bidi="ar-LB"/>
        </w:rPr>
        <w:t>ُ</w:t>
      </w:r>
      <w:r w:rsidRPr="006571AC">
        <w:rPr>
          <w:sz w:val="27"/>
          <w:rtl/>
          <w:lang w:bidi="ar-LB"/>
        </w:rPr>
        <w:t xml:space="preserve"> ذلك بهم لم يستحقوا مني ثواب</w:t>
      </w:r>
      <w:r w:rsidRPr="006571AC">
        <w:rPr>
          <w:rFonts w:hint="cs"/>
          <w:sz w:val="27"/>
          <w:rtl/>
          <w:lang w:bidi="ar-LB"/>
        </w:rPr>
        <w:t>اً</w:t>
      </w:r>
      <w:r w:rsidRPr="006571AC">
        <w:rPr>
          <w:sz w:val="27"/>
          <w:rtl/>
          <w:lang w:bidi="ar-LB"/>
        </w:rPr>
        <w:t xml:space="preserve"> ولا مدح</w:t>
      </w:r>
      <w:r w:rsidRPr="006571AC">
        <w:rPr>
          <w:rFonts w:hint="cs"/>
          <w:sz w:val="27"/>
          <w:rtl/>
          <w:lang w:bidi="ar-LB"/>
        </w:rPr>
        <w:t>اً</w:t>
      </w:r>
      <w:r w:rsidRPr="006571AC">
        <w:rPr>
          <w:sz w:val="27"/>
          <w:rtl/>
          <w:lang w:bidi="ar-LB"/>
        </w:rPr>
        <w:t xml:space="preserve">، </w:t>
      </w:r>
      <w:r w:rsidRPr="006571AC">
        <w:rPr>
          <w:rFonts w:hint="cs"/>
          <w:sz w:val="27"/>
          <w:rtl/>
          <w:lang w:bidi="ar-LB"/>
        </w:rPr>
        <w:t>و</w:t>
      </w:r>
      <w:r w:rsidRPr="006571AC">
        <w:rPr>
          <w:sz w:val="27"/>
          <w:rtl/>
          <w:lang w:bidi="ar-LB"/>
        </w:rPr>
        <w:t>لكن</w:t>
      </w:r>
      <w:r w:rsidRPr="006571AC">
        <w:rPr>
          <w:rFonts w:hint="cs"/>
          <w:sz w:val="27"/>
          <w:rtl/>
          <w:lang w:bidi="ar-LB"/>
        </w:rPr>
        <w:t>ي</w:t>
      </w:r>
      <w:r w:rsidRPr="006571AC">
        <w:rPr>
          <w:sz w:val="27"/>
          <w:rtl/>
          <w:lang w:bidi="ar-LB"/>
        </w:rPr>
        <w:t xml:space="preserve"> أريد منهم أن يؤمنوا مختارين غير مضطرين</w:t>
      </w:r>
      <w:r w:rsidR="00E77862" w:rsidRPr="006571AC">
        <w:rPr>
          <w:rFonts w:hint="cs"/>
          <w:sz w:val="27"/>
          <w:rtl/>
          <w:lang w:bidi="ar-LB"/>
        </w:rPr>
        <w:t>؛</w:t>
      </w:r>
      <w:r w:rsidRPr="006571AC">
        <w:rPr>
          <w:sz w:val="27"/>
          <w:rtl/>
          <w:lang w:bidi="ar-LB"/>
        </w:rPr>
        <w:t xml:space="preserve"> ليستحق</w:t>
      </w:r>
      <w:r w:rsidR="00E77862" w:rsidRPr="006571AC">
        <w:rPr>
          <w:rFonts w:hint="cs"/>
          <w:sz w:val="27"/>
          <w:rtl/>
          <w:lang w:bidi="ar-LB"/>
        </w:rPr>
        <w:t>ّ</w:t>
      </w:r>
      <w:r w:rsidRPr="006571AC">
        <w:rPr>
          <w:sz w:val="27"/>
          <w:rtl/>
          <w:lang w:bidi="ar-LB"/>
        </w:rPr>
        <w:t xml:space="preserve">وا مني الزلفى </w:t>
      </w:r>
      <w:r w:rsidRPr="006571AC">
        <w:rPr>
          <w:sz w:val="27"/>
          <w:rtl/>
          <w:lang w:bidi="ar-LB"/>
        </w:rPr>
        <w:lastRenderedPageBreak/>
        <w:t>والكرامة ودوام الخلود في جنة الخلد</w:t>
      </w:r>
      <w:r w:rsidR="00E77862" w:rsidRPr="006571AC">
        <w:rPr>
          <w:rFonts w:hint="cs"/>
          <w:sz w:val="27"/>
          <w:rtl/>
          <w:lang w:bidi="ar-LB"/>
        </w:rPr>
        <w:t>:</w:t>
      </w:r>
      <w:r w:rsidRPr="006571AC">
        <w:rPr>
          <w:sz w:val="27"/>
          <w:rtl/>
          <w:lang w:bidi="ar-LB"/>
        </w:rPr>
        <w:t xml:space="preserve"> </w:t>
      </w:r>
      <w:r w:rsidRPr="006571AC">
        <w:rPr>
          <w:rFonts w:ascii="Mosawi" w:hAnsi="Mosawi" w:cs="Mosawi"/>
          <w:sz w:val="24"/>
          <w:szCs w:val="24"/>
          <w:rtl/>
        </w:rPr>
        <w:t>﴿</w:t>
      </w:r>
      <w:r w:rsidRPr="006571AC">
        <w:rPr>
          <w:b/>
          <w:bCs/>
          <w:sz w:val="27"/>
          <w:rtl/>
          <w:lang w:bidi="ar-LB"/>
        </w:rPr>
        <w:t>أَفَأَنْتَ تُكْرِهُ النَّاسَ حَتَّى يَكُونُوا مُؤْمِنِينَ</w:t>
      </w:r>
      <w:r w:rsidRPr="006571AC">
        <w:rPr>
          <w:rFonts w:ascii="Mosawi" w:hAnsi="Mosawi" w:cs="Mosawi"/>
          <w:sz w:val="24"/>
          <w:szCs w:val="24"/>
          <w:rtl/>
        </w:rPr>
        <w:t>﴾</w:t>
      </w:r>
      <w:r w:rsidRPr="006571AC">
        <w:rPr>
          <w:sz w:val="27"/>
          <w:rtl/>
          <w:lang w:bidi="ar-LB"/>
        </w:rPr>
        <w:t>؟!</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12"/>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w:t>
      </w:r>
      <w:r w:rsidRPr="006571AC">
        <w:rPr>
          <w:sz w:val="27"/>
          <w:rtl/>
          <w:lang w:bidi="ar-LB"/>
        </w:rPr>
        <w:t>بيّن أمير المؤمنين علي</w:t>
      </w:r>
      <w:r w:rsidR="00E77862" w:rsidRPr="006571AC">
        <w:rPr>
          <w:rFonts w:hint="cs"/>
          <w:sz w:val="27"/>
          <w:rtl/>
          <w:lang w:bidi="ar-LB"/>
        </w:rPr>
        <w:t>ّ</w:t>
      </w:r>
      <w:r w:rsidRPr="006571AC">
        <w:rPr>
          <w:rFonts w:ascii="Mosawi" w:hAnsi="Mosawi" w:cs="Mosawi"/>
          <w:sz w:val="22"/>
          <w:szCs w:val="22"/>
          <w:rtl/>
        </w:rPr>
        <w:t>×</w:t>
      </w:r>
      <w:r w:rsidRPr="006571AC">
        <w:rPr>
          <w:sz w:val="27"/>
          <w:rtl/>
          <w:lang w:bidi="ar-LB"/>
        </w:rPr>
        <w:t xml:space="preserve"> أيض</w:t>
      </w:r>
      <w:r w:rsidRPr="006571AC">
        <w:rPr>
          <w:rFonts w:hint="cs"/>
          <w:sz w:val="27"/>
          <w:rtl/>
          <w:lang w:bidi="ar-LB"/>
        </w:rPr>
        <w:t>اً</w:t>
      </w:r>
      <w:r w:rsidRPr="006571AC">
        <w:rPr>
          <w:sz w:val="27"/>
          <w:rtl/>
          <w:lang w:bidi="ar-LB"/>
        </w:rPr>
        <w:t xml:space="preserve"> بوضوح</w:t>
      </w:r>
      <w:r w:rsidR="00E77862" w:rsidRPr="006571AC">
        <w:rPr>
          <w:rFonts w:hint="cs"/>
          <w:sz w:val="27"/>
          <w:rtl/>
          <w:lang w:bidi="ar-LB"/>
        </w:rPr>
        <w:t>ٍ،</w:t>
      </w:r>
      <w:r w:rsidRPr="006571AC">
        <w:rPr>
          <w:sz w:val="27"/>
          <w:rtl/>
          <w:lang w:bidi="ar-LB"/>
        </w:rPr>
        <w:t xml:space="preserve"> في الخطبة القاصعة</w:t>
      </w:r>
      <w:r w:rsidR="00E77862" w:rsidRPr="006571AC">
        <w:rPr>
          <w:rFonts w:hint="cs"/>
          <w:sz w:val="27"/>
          <w:rtl/>
          <w:lang w:bidi="ar-LB"/>
        </w:rPr>
        <w:t>،</w:t>
      </w:r>
      <w:r w:rsidRPr="006571AC">
        <w:rPr>
          <w:rFonts w:hint="cs"/>
          <w:sz w:val="27"/>
          <w:rtl/>
          <w:lang w:bidi="ar-LB"/>
        </w:rPr>
        <w:t xml:space="preserve"> </w:t>
      </w:r>
      <w:r w:rsidRPr="006571AC">
        <w:rPr>
          <w:sz w:val="27"/>
          <w:rtl/>
          <w:lang w:bidi="ar-LB"/>
        </w:rPr>
        <w:t>الشرط الثاني؛ أي ضرورة اشتمال عملية الاختيار بين القيام بالفعل أو تركه على إغراءٍ بالمعصية</w:t>
      </w:r>
      <w:r w:rsidR="00E77862" w:rsidRPr="006571AC">
        <w:rPr>
          <w:rFonts w:hint="cs"/>
          <w:sz w:val="27"/>
          <w:rtl/>
          <w:lang w:bidi="ar-LB"/>
        </w:rPr>
        <w:t>؛</w:t>
      </w:r>
      <w:r w:rsidRPr="006571AC">
        <w:rPr>
          <w:sz w:val="27"/>
          <w:rtl/>
          <w:lang w:bidi="ar-LB"/>
        </w:rPr>
        <w:t xml:space="preserve"> للوصول إلى الكمال والرشد في ثلاثة مصاديق: سجود الملائكة لآدم</w:t>
      </w:r>
      <w:r w:rsidRPr="006571AC">
        <w:rPr>
          <w:rFonts w:ascii="Mosawi" w:hAnsi="Mosawi" w:cs="Mosawi"/>
          <w:sz w:val="22"/>
          <w:szCs w:val="22"/>
          <w:rtl/>
        </w:rPr>
        <w:t>×</w:t>
      </w:r>
      <w:r w:rsidRPr="006571AC">
        <w:rPr>
          <w:sz w:val="27"/>
          <w:vertAlign w:val="superscript"/>
          <w:rtl/>
          <w:lang w:bidi="ar-LB"/>
        </w:rPr>
        <w:t>(</w:t>
      </w:r>
      <w:r w:rsidRPr="006571AC">
        <w:rPr>
          <w:sz w:val="27"/>
          <w:vertAlign w:val="superscript"/>
          <w:rtl/>
          <w:lang w:bidi="ar-LB"/>
        </w:rPr>
        <w:endnoteReference w:id="13"/>
      </w:r>
      <w:r w:rsidRPr="006571AC">
        <w:rPr>
          <w:sz w:val="27"/>
          <w:vertAlign w:val="superscript"/>
          <w:rtl/>
          <w:lang w:bidi="ar-LB"/>
        </w:rPr>
        <w:t>)</w:t>
      </w:r>
      <w:r w:rsidRPr="006571AC">
        <w:rPr>
          <w:sz w:val="27"/>
          <w:rtl/>
          <w:lang w:bidi="ar-LB"/>
        </w:rPr>
        <w:t>، وبعثة الأنبياء</w:t>
      </w:r>
      <w:r w:rsidRPr="006571AC">
        <w:rPr>
          <w:rFonts w:ascii="Mosawi" w:hAnsi="Mosawi" w:cs="Mosawi"/>
          <w:sz w:val="22"/>
          <w:szCs w:val="22"/>
          <w:rtl/>
        </w:rPr>
        <w:t>^</w:t>
      </w:r>
      <w:r w:rsidRPr="006571AC">
        <w:rPr>
          <w:sz w:val="27"/>
          <w:vertAlign w:val="superscript"/>
          <w:rtl/>
          <w:lang w:bidi="ar-LB"/>
        </w:rPr>
        <w:t>(</w:t>
      </w:r>
      <w:r w:rsidRPr="006571AC">
        <w:rPr>
          <w:sz w:val="27"/>
          <w:vertAlign w:val="superscript"/>
          <w:rtl/>
          <w:lang w:bidi="ar-LB"/>
        </w:rPr>
        <w:endnoteReference w:id="14"/>
      </w:r>
      <w:r w:rsidRPr="006571AC">
        <w:rPr>
          <w:sz w:val="27"/>
          <w:vertAlign w:val="superscript"/>
          <w:rtl/>
          <w:lang w:bidi="ar-LB"/>
        </w:rPr>
        <w:t>)</w:t>
      </w:r>
      <w:r w:rsidRPr="006571AC">
        <w:rPr>
          <w:sz w:val="27"/>
          <w:rtl/>
          <w:lang w:bidi="ar-LB"/>
        </w:rPr>
        <w:t xml:space="preserve"> وفريضة الحج</w:t>
      </w:r>
      <w:r w:rsidR="00E77862" w:rsidRPr="006571AC">
        <w:rPr>
          <w:rFonts w:hint="cs"/>
          <w:sz w:val="27"/>
          <w:rtl/>
          <w:lang w:bidi="ar-LB"/>
        </w:rPr>
        <w:t>ّ</w:t>
      </w:r>
      <w:r w:rsidRPr="006571AC">
        <w:rPr>
          <w:sz w:val="27"/>
          <w:vertAlign w:val="superscript"/>
          <w:rtl/>
          <w:lang w:bidi="ar-LB"/>
        </w:rPr>
        <w:t>(</w:t>
      </w:r>
      <w:r w:rsidRPr="006571AC">
        <w:rPr>
          <w:sz w:val="27"/>
          <w:vertAlign w:val="superscript"/>
          <w:rtl/>
          <w:lang w:bidi="ar-LB"/>
        </w:rPr>
        <w:endnoteReference w:id="15"/>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وقد صرّح كذلك علماء المسلمين بضرورة حر</w:t>
      </w:r>
      <w:r w:rsidR="00E77862" w:rsidRPr="006571AC">
        <w:rPr>
          <w:rFonts w:hint="cs"/>
          <w:sz w:val="27"/>
          <w:rtl/>
          <w:lang w:bidi="ar-LB"/>
        </w:rPr>
        <w:t>ّ</w:t>
      </w:r>
      <w:r w:rsidRPr="006571AC">
        <w:rPr>
          <w:sz w:val="27"/>
          <w:rtl/>
          <w:lang w:bidi="ar-LB"/>
        </w:rPr>
        <w:t>ية عمل الإنسان</w:t>
      </w:r>
      <w:r w:rsidR="00E77862" w:rsidRPr="006571AC">
        <w:rPr>
          <w:rFonts w:hint="cs"/>
          <w:sz w:val="27"/>
          <w:rtl/>
          <w:lang w:bidi="ar-LB"/>
        </w:rPr>
        <w:t>؛</w:t>
      </w:r>
      <w:r w:rsidRPr="006571AC">
        <w:rPr>
          <w:sz w:val="27"/>
          <w:rtl/>
          <w:lang w:bidi="ar-LB"/>
        </w:rPr>
        <w:t xml:space="preserve"> من أجل الوصول إلى الكمال</w:t>
      </w:r>
      <w:r w:rsidRPr="006571AC">
        <w:rPr>
          <w:rFonts w:hint="cs"/>
          <w:sz w:val="27"/>
          <w:rtl/>
          <w:lang w:bidi="ar-LB"/>
        </w:rPr>
        <w:t>، فقد</w:t>
      </w:r>
      <w:r w:rsidRPr="006571AC">
        <w:rPr>
          <w:sz w:val="27"/>
          <w:rtl/>
          <w:lang w:bidi="ar-LB"/>
        </w:rPr>
        <w:t xml:space="preserve"> جاء في رسائل إخوان الصفا: </w:t>
      </w:r>
      <w:r w:rsidRPr="006571AC">
        <w:rPr>
          <w:sz w:val="24"/>
          <w:szCs w:val="24"/>
          <w:rtl/>
          <w:lang w:bidi="ar-LB"/>
        </w:rPr>
        <w:t>«</w:t>
      </w:r>
      <w:r w:rsidRPr="006571AC">
        <w:rPr>
          <w:sz w:val="27"/>
          <w:rtl/>
          <w:lang w:bidi="ar-LB"/>
        </w:rPr>
        <w:t>فأما الدين فلا إكراه فيه، فإن</w:t>
      </w:r>
      <w:r w:rsidR="00E77862" w:rsidRPr="006571AC">
        <w:rPr>
          <w:rFonts w:hint="cs"/>
          <w:sz w:val="27"/>
          <w:rtl/>
          <w:lang w:bidi="ar-LB"/>
        </w:rPr>
        <w:t>ْ</w:t>
      </w:r>
      <w:r w:rsidRPr="006571AC">
        <w:rPr>
          <w:sz w:val="27"/>
          <w:rtl/>
          <w:lang w:bidi="ar-LB"/>
        </w:rPr>
        <w:t xml:space="preserve"> أُكره عليه لم ينفع الذين أكرهوا على قبوله</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16"/>
      </w:r>
      <w:r w:rsidRPr="006571AC">
        <w:rPr>
          <w:sz w:val="27"/>
          <w:vertAlign w:val="superscript"/>
          <w:rtl/>
          <w:lang w:bidi="ar-LB"/>
        </w:rPr>
        <w:t>)</w:t>
      </w:r>
      <w:r w:rsidR="00E77862" w:rsidRPr="006571AC">
        <w:rPr>
          <w:sz w:val="27"/>
          <w:rtl/>
          <w:lang w:bidi="ar-LB"/>
        </w:rPr>
        <w:t>. ويقول أمين الإسلام الطبرسي</w:t>
      </w:r>
      <w:r w:rsidRPr="006571AC">
        <w:rPr>
          <w:sz w:val="27"/>
          <w:rtl/>
          <w:lang w:bidi="ar-LB"/>
        </w:rPr>
        <w:t>(548هـ) أيض</w:t>
      </w:r>
      <w:r w:rsidRPr="006571AC">
        <w:rPr>
          <w:rFonts w:hint="cs"/>
          <w:sz w:val="27"/>
          <w:rtl/>
          <w:lang w:bidi="ar-LB"/>
        </w:rPr>
        <w:t>اً</w:t>
      </w:r>
      <w:r w:rsidR="00E77862" w:rsidRPr="006571AC">
        <w:rPr>
          <w:rFonts w:hint="cs"/>
          <w:sz w:val="27"/>
          <w:rtl/>
          <w:lang w:bidi="ar-LB"/>
        </w:rPr>
        <w:t>،</w:t>
      </w:r>
      <w:r w:rsidRPr="006571AC">
        <w:rPr>
          <w:sz w:val="27"/>
          <w:rtl/>
          <w:lang w:bidi="ar-LB"/>
        </w:rPr>
        <w:t xml:space="preserve"> في تفسيره: </w:t>
      </w:r>
      <w:r w:rsidRPr="006571AC">
        <w:rPr>
          <w:sz w:val="24"/>
          <w:szCs w:val="24"/>
          <w:rtl/>
          <w:lang w:bidi="ar-LB"/>
        </w:rPr>
        <w:t>«</w:t>
      </w:r>
      <w:r w:rsidRPr="006571AC">
        <w:rPr>
          <w:rFonts w:hint="cs"/>
          <w:sz w:val="27"/>
          <w:rtl/>
          <w:lang w:bidi="ar-LB"/>
        </w:rPr>
        <w:t>إ</w:t>
      </w:r>
      <w:r w:rsidRPr="006571AC">
        <w:rPr>
          <w:sz w:val="27"/>
          <w:rtl/>
          <w:lang w:bidi="ar-LB"/>
        </w:rPr>
        <w:t>ن إيمان الملجأ غير نافع، بي</w:t>
      </w:r>
      <w:r w:rsidRPr="006571AC">
        <w:rPr>
          <w:rFonts w:hint="cs"/>
          <w:sz w:val="27"/>
          <w:rtl/>
          <w:lang w:bidi="ar-LB"/>
        </w:rPr>
        <w:t>ّ</w:t>
      </w:r>
      <w:r w:rsidR="00E77862" w:rsidRPr="006571AC">
        <w:rPr>
          <w:rFonts w:hint="cs"/>
          <w:sz w:val="27"/>
          <w:rtl/>
          <w:lang w:bidi="ar-LB"/>
        </w:rPr>
        <w:t>َ</w:t>
      </w:r>
      <w:r w:rsidRPr="006571AC">
        <w:rPr>
          <w:sz w:val="27"/>
          <w:rtl/>
          <w:lang w:bidi="ar-LB"/>
        </w:rPr>
        <w:t>ن سبحانه أن ذلك لو كان ينفع لأكره أهل الأرض عليه</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17"/>
      </w:r>
      <w:r w:rsidRPr="006571AC">
        <w:rPr>
          <w:sz w:val="27"/>
          <w:vertAlign w:val="superscript"/>
          <w:rtl/>
          <w:lang w:bidi="ar-LB"/>
        </w:rPr>
        <w:t>)</w:t>
      </w:r>
      <w:r w:rsidRPr="006571AC">
        <w:rPr>
          <w:sz w:val="27"/>
          <w:rtl/>
          <w:lang w:bidi="ar-LB"/>
        </w:rPr>
        <w:t>. ومثيل هذه الكلمات م</w:t>
      </w:r>
      <w:r w:rsidRPr="006571AC">
        <w:rPr>
          <w:rFonts w:hint="cs"/>
          <w:sz w:val="27"/>
          <w:rtl/>
          <w:lang w:bidi="ar-LB"/>
        </w:rPr>
        <w:t>وجو</w:t>
      </w:r>
      <w:r w:rsidRPr="006571AC">
        <w:rPr>
          <w:sz w:val="27"/>
          <w:rtl/>
          <w:lang w:bidi="ar-LB"/>
        </w:rPr>
        <w:t>د</w:t>
      </w:r>
      <w:r w:rsidR="00E77862" w:rsidRPr="006571AC">
        <w:rPr>
          <w:rFonts w:hint="cs"/>
          <w:sz w:val="27"/>
          <w:rtl/>
          <w:lang w:bidi="ar-LB"/>
        </w:rPr>
        <w:t>ٌ</w:t>
      </w:r>
      <w:r w:rsidRPr="006571AC">
        <w:rPr>
          <w:sz w:val="27"/>
          <w:rtl/>
          <w:lang w:bidi="ar-LB"/>
        </w:rPr>
        <w:t xml:space="preserve"> بكثرة</w:t>
      </w:r>
      <w:r w:rsidR="00E77862" w:rsidRPr="006571AC">
        <w:rPr>
          <w:rFonts w:hint="cs"/>
          <w:sz w:val="27"/>
          <w:rtl/>
          <w:lang w:bidi="ar-LB"/>
        </w:rPr>
        <w:t>ٍ</w:t>
      </w:r>
      <w:r w:rsidRPr="006571AC">
        <w:rPr>
          <w:sz w:val="27"/>
          <w:rtl/>
          <w:lang w:bidi="ar-LB"/>
        </w:rPr>
        <w:t xml:space="preserve"> في ثنايا الكتب الإسلامي</w:t>
      </w:r>
      <w:r w:rsidR="00E77862" w:rsidRPr="006571AC">
        <w:rPr>
          <w:rFonts w:hint="cs"/>
          <w:sz w:val="27"/>
          <w:rtl/>
          <w:lang w:bidi="ar-LB"/>
        </w:rPr>
        <w:t>ّ</w:t>
      </w:r>
      <w:r w:rsidRPr="006571AC">
        <w:rPr>
          <w:sz w:val="27"/>
          <w:rtl/>
          <w:lang w:bidi="ar-LB"/>
        </w:rPr>
        <w:t>ة</w:t>
      </w:r>
      <w:r w:rsidRPr="006571AC">
        <w:rPr>
          <w:sz w:val="27"/>
          <w:vertAlign w:val="superscript"/>
          <w:rtl/>
          <w:lang w:bidi="ar-LB"/>
        </w:rPr>
        <w:t>(</w:t>
      </w:r>
      <w:r w:rsidRPr="006571AC">
        <w:rPr>
          <w:sz w:val="27"/>
          <w:vertAlign w:val="superscript"/>
          <w:rtl/>
          <w:lang w:bidi="ar-LB"/>
        </w:rPr>
        <w:endnoteReference w:id="18"/>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فالله تعالى الذي لا يريد سوى سموّ البشر ورشدهم قد خلق كلاًّ من هاتين المقدّمتين من أجل نَيْل الإنسان للكمال في نظام الخلق، وهما من فيض رحمة الله اللامتناهية. لذلك من المستحيل وغير المرغوب فيه محاولة إلغاء هاتين المقدّمتين الضروريّتين بدافع نجاة البشر، وبعبارةٍ أخرى: إنها فكرةٌ فجّة أن البشر يمكن إجبارهم على أن ينالوا الفوز ويدخلوا الجنّة، أو أن تتمّ تربيتهم في بيئةٍ خالية من إغراء الخطيئة.</w:t>
      </w:r>
    </w:p>
    <w:p w:rsidR="008C542A" w:rsidRPr="006571AC" w:rsidRDefault="008C542A" w:rsidP="00706E68">
      <w:pPr>
        <w:tabs>
          <w:tab w:val="right" w:pos="6930"/>
        </w:tabs>
        <w:suppressAutoHyphens/>
        <w:rPr>
          <w:sz w:val="27"/>
          <w:rtl/>
          <w:lang w:bidi="ar-LB"/>
        </w:rPr>
      </w:pPr>
      <w:r w:rsidRPr="006571AC">
        <w:rPr>
          <w:rFonts w:hint="cs"/>
          <w:sz w:val="27"/>
          <w:rtl/>
          <w:lang w:bidi="ar-LB"/>
        </w:rPr>
        <w:t>وهذه الخاص</w:t>
      </w:r>
      <w:r w:rsidR="00E77862" w:rsidRPr="006571AC">
        <w:rPr>
          <w:rFonts w:hint="cs"/>
          <w:sz w:val="27"/>
          <w:rtl/>
          <w:lang w:bidi="ar-LB"/>
        </w:rPr>
        <w:t>ّ</w:t>
      </w:r>
      <w:r w:rsidRPr="006571AC">
        <w:rPr>
          <w:rFonts w:hint="cs"/>
          <w:sz w:val="27"/>
          <w:rtl/>
          <w:lang w:bidi="ar-LB"/>
        </w:rPr>
        <w:t xml:space="preserve">ية في خلق الإنسان الذي يكون اختياره الحُرّ مقدّمةً لرشده الروحي والمعنوي يؤدّي بالأديان الإلهية والمذاهب الإنسانية التي تدعو إلى رشد وكمال الإنسان في ظلّ الالتزام بتعاليمها أن تقدِّم تعاليمها للناس في سياق الاختيار الحرّ. فالدين ولو أنه جاء بأحكام ذات التزامٍ تشريعي، ولكنّه لا يستطيع أن يجبر المكلَّفين في نظام التكوين على العمل بهذه الأحكام، ويسلبهم حقّ الاختيار الحُرّ في قبول الدين والعمل بأحكامه؛ لأنه لن يتمكَّن في هذه الحالة أن يصل إلى أهدافه في تحقيق الرُّشْد والسموّ الروحي للإنسان، وتتقوَّض غايته المنشودة، وسوف يتمّ الحديث عن أن وجود عقوباتٍ دنيوية وأخروية للمجرمين، الذي هو من مسلَّمات التعاليم </w:t>
      </w:r>
      <w:r w:rsidRPr="006571AC">
        <w:rPr>
          <w:rFonts w:hint="cs"/>
          <w:sz w:val="27"/>
          <w:rtl/>
          <w:lang w:bidi="ar-LB"/>
        </w:rPr>
        <w:lastRenderedPageBreak/>
        <w:t>الدينية، لا يتناقض مع هذا الادّعاء.</w:t>
      </w:r>
    </w:p>
    <w:p w:rsidR="008C542A" w:rsidRPr="006571AC" w:rsidRDefault="008C542A" w:rsidP="00706E68">
      <w:pPr>
        <w:tabs>
          <w:tab w:val="right" w:pos="6930"/>
        </w:tabs>
        <w:suppressAutoHyphens/>
        <w:rPr>
          <w:sz w:val="27"/>
          <w:rtl/>
          <w:lang w:bidi="ar-LB"/>
        </w:rPr>
      </w:pPr>
      <w:r w:rsidRPr="006571AC">
        <w:rPr>
          <w:rFonts w:hint="cs"/>
          <w:sz w:val="27"/>
          <w:rtl/>
          <w:lang w:bidi="ar-LB"/>
        </w:rPr>
        <w:t>لا يتناقض الوعد بالعذاب الأخروي في الأديان الإلهيّة مع إيجاد أرضيّةٍ حرّة للنموّ الأخلاقي للإنسان، ولا ينبغي الظنّ أن الوعد بالعذاب في الآخرة، مثل التهديد بالعقوبات الدنيوية، يمنع من تهيئة الأرض</w:t>
      </w:r>
      <w:r w:rsidR="0010794D" w:rsidRPr="006571AC">
        <w:rPr>
          <w:rFonts w:hint="cs"/>
          <w:sz w:val="27"/>
          <w:rtl/>
          <w:lang w:bidi="ar-LB"/>
        </w:rPr>
        <w:t>يّ</w:t>
      </w:r>
      <w:r w:rsidRPr="006571AC">
        <w:rPr>
          <w:rFonts w:hint="cs"/>
          <w:sz w:val="27"/>
          <w:rtl/>
          <w:lang w:bidi="ar-LB"/>
        </w:rPr>
        <w:t>ة اللازمة للرُّشْد الأخلاقيّ للبشر؛ لأن حقيقة الآخرة وعالم ما بعد الموت والجزاء والعقوبة فيه ليس سوى انعكاسٍ تكويني للأعمال الاختياريّة ا</w:t>
      </w:r>
      <w:r w:rsidR="0010794D" w:rsidRPr="006571AC">
        <w:rPr>
          <w:rFonts w:hint="cs"/>
          <w:sz w:val="27"/>
          <w:rtl/>
          <w:lang w:bidi="ar-LB"/>
        </w:rPr>
        <w:t>لتي قام بها الإنسان، بل هي باطن</w:t>
      </w:r>
      <w:r w:rsidRPr="006571AC">
        <w:rPr>
          <w:rFonts w:hint="cs"/>
          <w:sz w:val="27"/>
          <w:rtl/>
          <w:lang w:bidi="ar-LB"/>
        </w:rPr>
        <w:t xml:space="preserve"> وحقيقة تلك الأعمال</w:t>
      </w:r>
      <w:r w:rsidRPr="006571AC">
        <w:rPr>
          <w:sz w:val="27"/>
          <w:vertAlign w:val="superscript"/>
          <w:rtl/>
          <w:lang w:bidi="ar-LB"/>
        </w:rPr>
        <w:t>(</w:t>
      </w:r>
      <w:r w:rsidRPr="006571AC">
        <w:rPr>
          <w:rStyle w:val="ac"/>
          <w:sz w:val="27"/>
          <w:rtl/>
          <w:lang w:bidi="ar-LB"/>
        </w:rPr>
        <w:endnoteReference w:id="19"/>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وهكذا فإن حقيقة الوعد بالعذاب الأخروي ليس خلق تهديدٍ حتّى يتنافى مع الحرّية، ولكنّه إخبارٌ عن ظاهرةٍ واقعية سوف تحدث بعد الموت، وما من شَكٍّ أن إخبار الإنسان وإعلامه بنتائج سلوكه لا يتنافى مع إرادته الحرّة. </w:t>
      </w:r>
      <w:r w:rsidRPr="006571AC">
        <w:rPr>
          <w:sz w:val="27"/>
          <w:rtl/>
          <w:lang w:bidi="ar-LB"/>
        </w:rPr>
        <w:t>فإذا أخبر طبيب</w:t>
      </w:r>
      <w:r w:rsidR="00E77862" w:rsidRPr="006571AC">
        <w:rPr>
          <w:rFonts w:hint="cs"/>
          <w:sz w:val="27"/>
          <w:rtl/>
          <w:lang w:bidi="ar-LB"/>
        </w:rPr>
        <w:t>ٌ</w:t>
      </w:r>
      <w:r w:rsidRPr="006571AC">
        <w:rPr>
          <w:sz w:val="27"/>
          <w:rtl/>
          <w:lang w:bidi="ar-LB"/>
        </w:rPr>
        <w:t xml:space="preserve"> مريضه أنه في حال تناول بعض الأطعمة</w:t>
      </w:r>
      <w:r w:rsidR="00E77862" w:rsidRPr="006571AC">
        <w:rPr>
          <w:rFonts w:hint="cs"/>
          <w:sz w:val="27"/>
          <w:rtl/>
          <w:lang w:bidi="ar-LB"/>
        </w:rPr>
        <w:t>،</w:t>
      </w:r>
      <w:r w:rsidRPr="006571AC">
        <w:rPr>
          <w:sz w:val="27"/>
          <w:rtl/>
          <w:lang w:bidi="ar-LB"/>
        </w:rPr>
        <w:t xml:space="preserve"> و</w:t>
      </w:r>
      <w:r w:rsidRPr="006571AC">
        <w:rPr>
          <w:rFonts w:hint="cs"/>
          <w:sz w:val="27"/>
          <w:rtl/>
          <w:lang w:bidi="ar-LB"/>
        </w:rPr>
        <w:t>ل</w:t>
      </w:r>
      <w:r w:rsidRPr="006571AC">
        <w:rPr>
          <w:sz w:val="27"/>
          <w:rtl/>
          <w:lang w:bidi="ar-LB"/>
        </w:rPr>
        <w:t xml:space="preserve">م </w:t>
      </w:r>
      <w:r w:rsidRPr="006571AC">
        <w:rPr>
          <w:rFonts w:hint="cs"/>
          <w:sz w:val="27"/>
          <w:rtl/>
          <w:lang w:bidi="ar-LB"/>
        </w:rPr>
        <w:t xml:space="preserve">يلتزم </w:t>
      </w:r>
      <w:r w:rsidRPr="006571AC">
        <w:rPr>
          <w:sz w:val="27"/>
          <w:rtl/>
          <w:lang w:bidi="ar-LB"/>
        </w:rPr>
        <w:t>بالح</w:t>
      </w:r>
      <w:r w:rsidR="00E77862" w:rsidRPr="006571AC">
        <w:rPr>
          <w:rFonts w:hint="cs"/>
          <w:sz w:val="27"/>
          <w:rtl/>
          <w:lang w:bidi="ar-LB"/>
        </w:rPr>
        <w:t>ِ</w:t>
      </w:r>
      <w:r w:rsidRPr="006571AC">
        <w:rPr>
          <w:sz w:val="27"/>
          <w:rtl/>
          <w:lang w:bidi="ar-LB"/>
        </w:rPr>
        <w:t>م</w:t>
      </w:r>
      <w:r w:rsidR="00E77862" w:rsidRPr="006571AC">
        <w:rPr>
          <w:rFonts w:hint="cs"/>
          <w:sz w:val="27"/>
          <w:rtl/>
          <w:lang w:bidi="ar-LB"/>
        </w:rPr>
        <w:t>ْ</w:t>
      </w:r>
      <w:r w:rsidRPr="006571AC">
        <w:rPr>
          <w:sz w:val="27"/>
          <w:rtl/>
          <w:lang w:bidi="ar-LB"/>
        </w:rPr>
        <w:t>ية الغذائية</w:t>
      </w:r>
      <w:r w:rsidR="00E77862" w:rsidRPr="006571AC">
        <w:rPr>
          <w:rFonts w:hint="cs"/>
          <w:sz w:val="27"/>
          <w:rtl/>
          <w:lang w:bidi="ar-LB"/>
        </w:rPr>
        <w:t>،</w:t>
      </w:r>
      <w:r w:rsidRPr="006571AC">
        <w:rPr>
          <w:rFonts w:hint="cs"/>
          <w:sz w:val="27"/>
          <w:rtl/>
          <w:lang w:bidi="ar-LB"/>
        </w:rPr>
        <w:t xml:space="preserve"> ف</w:t>
      </w:r>
      <w:r w:rsidRPr="006571AC">
        <w:rPr>
          <w:sz w:val="27"/>
          <w:rtl/>
          <w:lang w:bidi="ar-LB"/>
        </w:rPr>
        <w:t xml:space="preserve">سوف يتفاقم مرضه، </w:t>
      </w:r>
      <w:r w:rsidRPr="006571AC">
        <w:rPr>
          <w:rFonts w:hint="cs"/>
          <w:sz w:val="27"/>
          <w:rtl/>
          <w:lang w:bidi="ar-LB"/>
        </w:rPr>
        <w:t>فإنه لا يكون مجبِراً أو مكرِهاً</w:t>
      </w:r>
      <w:r w:rsidRPr="006571AC">
        <w:rPr>
          <w:sz w:val="27"/>
          <w:rtl/>
          <w:lang w:bidi="ar-LB"/>
        </w:rPr>
        <w:t xml:space="preserve"> </w:t>
      </w:r>
      <w:r w:rsidRPr="006571AC">
        <w:rPr>
          <w:rFonts w:hint="cs"/>
          <w:sz w:val="27"/>
          <w:rtl/>
          <w:lang w:bidi="ar-LB"/>
        </w:rPr>
        <w:t>ل</w:t>
      </w:r>
      <w:r w:rsidRPr="006571AC">
        <w:rPr>
          <w:sz w:val="27"/>
          <w:rtl/>
          <w:lang w:bidi="ar-LB"/>
        </w:rPr>
        <w:t>ه على الالتزام بالح</w:t>
      </w:r>
      <w:r w:rsidR="00042369" w:rsidRPr="006571AC">
        <w:rPr>
          <w:rFonts w:hint="cs"/>
          <w:sz w:val="27"/>
          <w:rtl/>
          <w:lang w:bidi="ar-LB"/>
        </w:rPr>
        <w:t>ِ</w:t>
      </w:r>
      <w:r w:rsidRPr="006571AC">
        <w:rPr>
          <w:sz w:val="27"/>
          <w:rtl/>
          <w:lang w:bidi="ar-LB"/>
        </w:rPr>
        <w:t>م</w:t>
      </w:r>
      <w:r w:rsidR="00042369" w:rsidRPr="006571AC">
        <w:rPr>
          <w:rFonts w:hint="cs"/>
          <w:sz w:val="27"/>
          <w:rtl/>
          <w:lang w:bidi="ar-LB"/>
        </w:rPr>
        <w:t>ْ</w:t>
      </w:r>
      <w:r w:rsidRPr="006571AC">
        <w:rPr>
          <w:sz w:val="27"/>
          <w:rtl/>
          <w:lang w:bidi="ar-LB"/>
        </w:rPr>
        <w:t>ية الغذائية</w:t>
      </w:r>
      <w:r w:rsidRPr="006571AC">
        <w:rPr>
          <w:rFonts w:hint="cs"/>
          <w:sz w:val="27"/>
          <w:rtl/>
          <w:lang w:bidi="ar-LB"/>
        </w:rPr>
        <w:t>، ولا يكون مانعاً له</w:t>
      </w:r>
      <w:r w:rsidRPr="006571AC">
        <w:rPr>
          <w:sz w:val="27"/>
          <w:rtl/>
          <w:lang w:bidi="ar-LB"/>
        </w:rPr>
        <w:t xml:space="preserve"> من حر</w:t>
      </w:r>
      <w:r w:rsidR="00042369" w:rsidRPr="006571AC">
        <w:rPr>
          <w:rFonts w:hint="cs"/>
          <w:sz w:val="27"/>
          <w:rtl/>
          <w:lang w:bidi="ar-LB"/>
        </w:rPr>
        <w:t>ّ</w:t>
      </w:r>
      <w:r w:rsidRPr="006571AC">
        <w:rPr>
          <w:sz w:val="27"/>
          <w:rtl/>
          <w:lang w:bidi="ar-LB"/>
        </w:rPr>
        <w:t xml:space="preserve">يته التكوينية، بل </w:t>
      </w:r>
      <w:r w:rsidRPr="006571AC">
        <w:rPr>
          <w:rFonts w:hint="cs"/>
          <w:sz w:val="27"/>
          <w:rtl/>
          <w:lang w:bidi="ar-LB"/>
        </w:rPr>
        <w:t xml:space="preserve">إنّه قد </w:t>
      </w:r>
      <w:r w:rsidRPr="006571AC">
        <w:rPr>
          <w:sz w:val="27"/>
          <w:rtl/>
          <w:lang w:bidi="ar-LB"/>
        </w:rPr>
        <w:t>نب</w:t>
      </w:r>
      <w:r w:rsidRPr="006571AC">
        <w:rPr>
          <w:rFonts w:hint="cs"/>
          <w:sz w:val="27"/>
          <w:rtl/>
          <w:lang w:bidi="ar-LB"/>
        </w:rPr>
        <w:t>ّ</w:t>
      </w:r>
      <w:r w:rsidR="00042369" w:rsidRPr="006571AC">
        <w:rPr>
          <w:rFonts w:hint="cs"/>
          <w:sz w:val="27"/>
          <w:rtl/>
          <w:lang w:bidi="ar-LB"/>
        </w:rPr>
        <w:t>َ</w:t>
      </w:r>
      <w:r w:rsidRPr="006571AC">
        <w:rPr>
          <w:sz w:val="27"/>
          <w:rtl/>
          <w:lang w:bidi="ar-LB"/>
        </w:rPr>
        <w:t>ه</w:t>
      </w:r>
      <w:r w:rsidR="00042369" w:rsidRPr="006571AC">
        <w:rPr>
          <w:rFonts w:hint="cs"/>
          <w:sz w:val="27"/>
          <w:rtl/>
          <w:lang w:bidi="ar-LB"/>
        </w:rPr>
        <w:t>َ</w:t>
      </w:r>
      <w:r w:rsidRPr="006571AC">
        <w:rPr>
          <w:sz w:val="27"/>
          <w:rtl/>
          <w:lang w:bidi="ar-LB"/>
        </w:rPr>
        <w:t>ه فقط إلى عواقب سلوكه. والأنبياء الإلهيّ</w:t>
      </w:r>
      <w:r w:rsidRPr="006571AC">
        <w:rPr>
          <w:rFonts w:hint="cs"/>
          <w:sz w:val="27"/>
          <w:rtl/>
          <w:lang w:bidi="ar-LB"/>
        </w:rPr>
        <w:t>و</w:t>
      </w:r>
      <w:r w:rsidRPr="006571AC">
        <w:rPr>
          <w:sz w:val="27"/>
          <w:rtl/>
          <w:lang w:bidi="ar-LB"/>
        </w:rPr>
        <w:t>ن</w:t>
      </w:r>
      <w:r w:rsidR="00042369" w:rsidRPr="006571AC">
        <w:rPr>
          <w:rFonts w:hint="cs"/>
          <w:sz w:val="27"/>
          <w:rtl/>
          <w:lang w:bidi="ar-LB"/>
        </w:rPr>
        <w:t>،</w:t>
      </w:r>
      <w:r w:rsidRPr="006571AC">
        <w:rPr>
          <w:sz w:val="27"/>
          <w:rtl/>
          <w:lang w:bidi="ar-LB"/>
        </w:rPr>
        <w:t xml:space="preserve"> الذين تحدَّثوا باستمرارٍ عن عالم الآخرة</w:t>
      </w:r>
      <w:r w:rsidR="00042369" w:rsidRPr="006571AC">
        <w:rPr>
          <w:rFonts w:hint="cs"/>
          <w:sz w:val="27"/>
          <w:rtl/>
          <w:lang w:bidi="ar-LB"/>
        </w:rPr>
        <w:t>،</w:t>
      </w:r>
      <w:r w:rsidRPr="006571AC">
        <w:rPr>
          <w:rFonts w:hint="cs"/>
          <w:sz w:val="27"/>
          <w:rtl/>
          <w:lang w:bidi="ar-LB"/>
        </w:rPr>
        <w:t xml:space="preserve"> </w:t>
      </w:r>
      <w:r w:rsidRPr="006571AC">
        <w:rPr>
          <w:sz w:val="27"/>
          <w:rtl/>
          <w:lang w:bidi="ar-LB"/>
        </w:rPr>
        <w:t xml:space="preserve">كانوا يرومون إخبار الناس </w:t>
      </w:r>
      <w:r w:rsidRPr="006571AC">
        <w:rPr>
          <w:rFonts w:hint="cs"/>
          <w:sz w:val="27"/>
          <w:rtl/>
          <w:lang w:bidi="ar-LB"/>
        </w:rPr>
        <w:t xml:space="preserve">عن </w:t>
      </w:r>
      <w:r w:rsidRPr="006571AC">
        <w:rPr>
          <w:sz w:val="27"/>
          <w:rtl/>
          <w:lang w:bidi="ar-LB"/>
        </w:rPr>
        <w:t>النتائج التكويني</w:t>
      </w:r>
      <w:r w:rsidR="00042369" w:rsidRPr="006571AC">
        <w:rPr>
          <w:rFonts w:hint="cs"/>
          <w:sz w:val="27"/>
          <w:rtl/>
          <w:lang w:bidi="ar-LB"/>
        </w:rPr>
        <w:t>ّ</w:t>
      </w:r>
      <w:r w:rsidRPr="006571AC">
        <w:rPr>
          <w:sz w:val="27"/>
          <w:rtl/>
          <w:lang w:bidi="ar-LB"/>
        </w:rPr>
        <w:t>ة لسلوكهم في هذه الدنيا.</w:t>
      </w:r>
    </w:p>
    <w:p w:rsidR="008C542A" w:rsidRPr="006571AC" w:rsidRDefault="008C542A" w:rsidP="00AA4501">
      <w:pPr>
        <w:tabs>
          <w:tab w:val="right" w:pos="6930"/>
        </w:tabs>
        <w:suppressAutoHyphens/>
        <w:spacing w:line="420" w:lineRule="exact"/>
        <w:rPr>
          <w:sz w:val="27"/>
          <w:rtl/>
          <w:lang w:bidi="ar-LB"/>
        </w:rPr>
      </w:pPr>
    </w:p>
    <w:p w:rsidR="008C542A" w:rsidRPr="006571AC" w:rsidRDefault="008C542A" w:rsidP="008C542A">
      <w:pPr>
        <w:pStyle w:val="31"/>
        <w:rPr>
          <w:color w:val="auto"/>
          <w:rtl/>
          <w:lang w:bidi="ar-LB"/>
        </w:rPr>
      </w:pPr>
      <w:bookmarkStart w:id="23" w:name="_Toc114164512"/>
      <w:r w:rsidRPr="006571AC">
        <w:rPr>
          <w:rFonts w:hint="cs"/>
          <w:color w:val="auto"/>
          <w:rtl/>
          <w:lang w:bidi="ar-LB"/>
        </w:rPr>
        <w:t>2</w:t>
      </w:r>
      <w:r w:rsidRPr="006571AC">
        <w:rPr>
          <w:color w:val="auto"/>
          <w:rtl/>
          <w:lang w:bidi="ar-LB"/>
        </w:rPr>
        <w:t>ـ</w:t>
      </w:r>
      <w:r w:rsidRPr="006571AC">
        <w:rPr>
          <w:rFonts w:hint="cs"/>
          <w:color w:val="auto"/>
          <w:rtl/>
          <w:lang w:bidi="ar-LB"/>
        </w:rPr>
        <w:t xml:space="preserve"> حقّ تقرير المصير حكمٌ من خارج نطاق الدِّين</w:t>
      </w:r>
      <w:bookmarkEnd w:id="23"/>
    </w:p>
    <w:p w:rsidR="008C542A" w:rsidRPr="006571AC" w:rsidRDefault="008C542A" w:rsidP="00706E68">
      <w:pPr>
        <w:tabs>
          <w:tab w:val="right" w:pos="6930"/>
        </w:tabs>
        <w:suppressAutoHyphens/>
        <w:rPr>
          <w:sz w:val="27"/>
          <w:rtl/>
          <w:lang w:bidi="ar-LB"/>
        </w:rPr>
      </w:pPr>
      <w:r w:rsidRPr="006571AC">
        <w:rPr>
          <w:rFonts w:hint="cs"/>
          <w:sz w:val="27"/>
          <w:rtl/>
          <w:lang w:bidi="ar-LB"/>
        </w:rPr>
        <w:t>يُعتَبَر الحكم بالحرّية التكوينية، أو حقّ تقرير المصير لجميع البشر، حكماً من خارج النطاق الدينيّ، ومن خارج الفقه؛ وذلك لسببين:</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w:t>
      </w:r>
      <w:r w:rsidRPr="006571AC">
        <w:rPr>
          <w:rFonts w:hint="cs"/>
          <w:sz w:val="27"/>
          <w:rtl/>
          <w:lang w:bidi="ar-LB"/>
        </w:rPr>
        <w:t>: لأنه حكم العقل العملي؛ إذ إن رشد وكمال الإنسان يتضمّن حُسْناً ذاتياً من حيث النظر العقلي، وبالتالي فإن المقدّمات الضرورية لذك الرشد والكمال، والتي هي الحرّية التكوينية أيضاً، تتضمّن حُسْناً مقدّماتياً؛ ومن ناحيةٍ أخرى أحكام العقل العملي خارج دينية، والدين أيضاً يتبع تلك الأحكام. وهذا هو مقتضى القول بالحُسْن والقُبْح العقلي والذاتي للأفعال، الذي يعتقد به الكثير من العلماء المسلمين، بمَنْ فيهم فلاسفة الشيعة ومتكلِّميهم. لذلك من أجل إثبات هذا الحقّ للإنسان لا ينبغي للمرء أن يذهب إلى الحجج القرآنية والروائية في المقام الأوّل.</w:t>
      </w:r>
    </w:p>
    <w:p w:rsidR="008C542A" w:rsidRPr="006571AC" w:rsidRDefault="008C542A" w:rsidP="00706E68">
      <w:pPr>
        <w:tabs>
          <w:tab w:val="right" w:pos="6930"/>
        </w:tabs>
        <w:suppressAutoHyphens/>
        <w:rPr>
          <w:sz w:val="27"/>
          <w:rtl/>
          <w:lang w:bidi="ar-LB"/>
        </w:rPr>
      </w:pPr>
      <w:r w:rsidRPr="006571AC">
        <w:rPr>
          <w:rFonts w:hint="cs"/>
          <w:b/>
          <w:bCs/>
          <w:sz w:val="27"/>
          <w:rtl/>
          <w:lang w:bidi="ar-LB"/>
        </w:rPr>
        <w:t>والسبب الثاني</w:t>
      </w:r>
      <w:r w:rsidRPr="006571AC">
        <w:rPr>
          <w:rFonts w:hint="cs"/>
          <w:sz w:val="27"/>
          <w:rtl/>
          <w:lang w:bidi="ar-LB"/>
        </w:rPr>
        <w:t xml:space="preserve">، الذي يجعل هذا الحكم من خارج الدين، أن موضوع هذا </w:t>
      </w:r>
      <w:r w:rsidRPr="006571AC">
        <w:rPr>
          <w:rFonts w:hint="cs"/>
          <w:sz w:val="27"/>
          <w:rtl/>
          <w:lang w:bidi="ar-LB"/>
        </w:rPr>
        <w:lastRenderedPageBreak/>
        <w:t>الحكم هو الأحكام الشرعية. إذن هو يأتي في الدرجة الثانية في الصدور بعد الأحكام الشرعية، وبمعنى آخر: يفرض العقل في مواجهة ما يجب وما لا يجب فعله في الشريعة أن يتمتَّع جميع البشر بالحرّية التكوينية في العمل بالشريعة، ولو كانوا يفتقدون للحرّية التشريعية، أي إنهم مكلَّفون بالعمل وفقاً للشريعة في نظام التشريع، ولكنْ لا يحقّ لأحدٍ إجبارهم على التقيُّد بأحكام الدين وتشريعاته في نظام التكوين. وبالطبع؛ وفقاً لقاعدة تلازم حكم العقل والشرع، وكذلك الأدلّة القرآنية والروائية التي تشير إلى حقّ تقرير المصير، فإن الحكم بـ</w:t>
      </w:r>
      <w:r w:rsidRPr="006571AC">
        <w:rPr>
          <w:rFonts w:hint="cs"/>
          <w:rtl/>
        </w:rPr>
        <w:t xml:space="preserve"> </w:t>
      </w:r>
      <w:r w:rsidRPr="006571AC">
        <w:rPr>
          <w:rFonts w:hint="eastAsia"/>
          <w:sz w:val="24"/>
          <w:szCs w:val="24"/>
          <w:rtl/>
          <w:lang w:bidi="ar-LB"/>
        </w:rPr>
        <w:t>«</w:t>
      </w:r>
      <w:r w:rsidRPr="006571AC">
        <w:rPr>
          <w:rFonts w:hint="cs"/>
          <w:sz w:val="27"/>
          <w:rtl/>
          <w:lang w:bidi="ar-LB"/>
        </w:rPr>
        <w:t>الحرّية التكوينية</w:t>
      </w:r>
      <w:r w:rsidRPr="006571AC">
        <w:rPr>
          <w:rFonts w:hint="eastAsia"/>
          <w:sz w:val="24"/>
          <w:szCs w:val="24"/>
          <w:rtl/>
        </w:rPr>
        <w:t>»</w:t>
      </w:r>
      <w:r w:rsidRPr="006571AC">
        <w:rPr>
          <w:rFonts w:hint="cs"/>
          <w:sz w:val="27"/>
          <w:rtl/>
          <w:lang w:bidi="ar-LB"/>
        </w:rPr>
        <w:t xml:space="preserve"> أو </w:t>
      </w:r>
      <w:r w:rsidRPr="006571AC">
        <w:rPr>
          <w:rFonts w:hint="eastAsia"/>
          <w:sz w:val="24"/>
          <w:szCs w:val="24"/>
          <w:rtl/>
          <w:lang w:bidi="ar-LB"/>
        </w:rPr>
        <w:t>«</w:t>
      </w:r>
      <w:r w:rsidRPr="006571AC">
        <w:rPr>
          <w:rFonts w:hint="cs"/>
          <w:sz w:val="27"/>
          <w:rtl/>
          <w:lang w:bidi="ar-LB"/>
        </w:rPr>
        <w:t>حقّ تقرير المصير</w:t>
      </w:r>
      <w:r w:rsidRPr="006571AC">
        <w:rPr>
          <w:rFonts w:hint="eastAsia"/>
          <w:sz w:val="24"/>
          <w:szCs w:val="24"/>
          <w:rtl/>
        </w:rPr>
        <w:t>»</w:t>
      </w:r>
      <w:r w:rsidRPr="006571AC">
        <w:rPr>
          <w:rFonts w:hint="cs"/>
          <w:sz w:val="27"/>
          <w:rtl/>
          <w:lang w:bidi="ar-LB"/>
        </w:rPr>
        <w:t xml:space="preserve"> يكتسب أيضاً شرعيّةً دينية.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لهذا السبب فإن حكم العقل بحقّ تقرير المصير للبشر يُعتَبَر حكماً </w:t>
      </w:r>
      <w:r w:rsidRPr="006571AC">
        <w:rPr>
          <w:rFonts w:hint="eastAsia"/>
          <w:sz w:val="24"/>
          <w:szCs w:val="24"/>
          <w:rtl/>
          <w:lang w:bidi="ar-LB"/>
        </w:rPr>
        <w:t>«</w:t>
      </w:r>
      <w:r w:rsidRPr="006571AC">
        <w:rPr>
          <w:rFonts w:hint="cs"/>
          <w:sz w:val="27"/>
          <w:rtl/>
          <w:lang w:bidi="ar-LB"/>
        </w:rPr>
        <w:t>حاكما</w:t>
      </w:r>
      <w:r w:rsidRPr="006571AC">
        <w:rPr>
          <w:rFonts w:hint="cs"/>
          <w:sz w:val="27"/>
          <w:rtl/>
        </w:rPr>
        <w:t>ً</w:t>
      </w:r>
      <w:r w:rsidRPr="006571AC">
        <w:rPr>
          <w:rFonts w:hint="eastAsia"/>
          <w:sz w:val="24"/>
          <w:szCs w:val="24"/>
          <w:rtl/>
        </w:rPr>
        <w:t>»</w:t>
      </w:r>
      <w:r w:rsidRPr="006571AC">
        <w:rPr>
          <w:rFonts w:hint="cs"/>
          <w:rtl/>
        </w:rPr>
        <w:t xml:space="preserve"> بالنسبة إلى سائر أحكام العقل العملي</w:t>
      </w:r>
      <w:r w:rsidR="00042369" w:rsidRPr="006571AC">
        <w:rPr>
          <w:rFonts w:hint="cs"/>
          <w:sz w:val="27"/>
          <w:rtl/>
          <w:lang w:bidi="ar-LB"/>
        </w:rPr>
        <w:t>ّ</w:t>
      </w:r>
      <w:r w:rsidRPr="006571AC">
        <w:rPr>
          <w:rFonts w:hint="cs"/>
          <w:sz w:val="27"/>
          <w:rtl/>
          <w:lang w:bidi="ar-LB"/>
        </w:rPr>
        <w:t>؛ وذلك لأن كلّ ما يجب فعله وما لا يجب فعله هو موضوعُ هذا الحكم أيضاً. ويحكم العقل أنه على الرغم من أن البشر ملزمون بما يجب فعله وما لا يجب فعله من حيث النظر العقلي، فلا ينبغي لأحدٍ أن يجبرهم على القيام بما يجب فعله أو منعهم عمّا لا يجب فعله. لذلك نحن نتحدَّث عن مرحلتين في نظام التشريع ووضع القوانين:</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المرحلة الأولى</w:t>
      </w:r>
      <w:r w:rsidRPr="006571AC">
        <w:rPr>
          <w:rFonts w:hint="cs"/>
          <w:sz w:val="27"/>
          <w:rtl/>
          <w:lang w:bidi="ar-LB"/>
        </w:rPr>
        <w:t>: سنّ أو عدم سنّ قوانين إلزامية في مجال السلوك الإنساني؛</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المرحلة الثانية</w:t>
      </w:r>
      <w:r w:rsidRPr="006571AC">
        <w:rPr>
          <w:rFonts w:hint="cs"/>
          <w:sz w:val="27"/>
          <w:rtl/>
          <w:lang w:bidi="ar-LB"/>
        </w:rPr>
        <w:t>: هي سنّ أو عدم سنّ قوانين مفادها إجبار أو إكراه الآخرين على العمل وفق قوانين المرحلة الأولى.</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وعلى الرغم من ارتباط هذين الحكمين التشريعيّين ببعضهما، إلاّ أنهما يختلفان من حيث </w:t>
      </w:r>
      <w:r w:rsidRPr="006571AC">
        <w:rPr>
          <w:rFonts w:hint="eastAsia"/>
          <w:sz w:val="24"/>
          <w:szCs w:val="24"/>
          <w:rtl/>
          <w:lang w:bidi="ar-LB"/>
        </w:rPr>
        <w:t>«</w:t>
      </w:r>
      <w:r w:rsidRPr="006571AC">
        <w:rPr>
          <w:rFonts w:hint="cs"/>
          <w:sz w:val="27"/>
          <w:rtl/>
          <w:lang w:bidi="ar-LB"/>
        </w:rPr>
        <w:t>المكلَّف</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المكل</w:t>
      </w:r>
      <w:r w:rsidR="00042369" w:rsidRPr="006571AC">
        <w:rPr>
          <w:rFonts w:hint="cs"/>
          <w:sz w:val="27"/>
          <w:rtl/>
          <w:lang w:bidi="ar-LB"/>
        </w:rPr>
        <w:t>ّ</w:t>
      </w:r>
      <w:r w:rsidR="007C4886" w:rsidRPr="006571AC">
        <w:rPr>
          <w:rFonts w:hint="cs"/>
          <w:sz w:val="27"/>
          <w:rtl/>
          <w:lang w:bidi="ar-LB"/>
        </w:rPr>
        <w:t>َ</w:t>
      </w:r>
      <w:r w:rsidRPr="006571AC">
        <w:rPr>
          <w:rFonts w:hint="cs"/>
          <w:sz w:val="27"/>
          <w:rtl/>
          <w:lang w:bidi="ar-LB"/>
        </w:rPr>
        <w:t>ف ب</w:t>
      </w:r>
      <w:r w:rsidR="007C4886" w:rsidRPr="006571AC">
        <w:rPr>
          <w:rFonts w:hint="cs"/>
          <w:sz w:val="27"/>
          <w:rtl/>
          <w:lang w:bidi="ar-LB"/>
        </w:rPr>
        <w:t>ه</w:t>
      </w:r>
      <w:r w:rsidRPr="006571AC">
        <w:rPr>
          <w:rFonts w:hint="eastAsia"/>
          <w:sz w:val="24"/>
          <w:szCs w:val="24"/>
          <w:rtl/>
        </w:rPr>
        <w:t>»</w:t>
      </w:r>
      <w:r w:rsidRPr="006571AC">
        <w:rPr>
          <w:rFonts w:hint="cs"/>
          <w:sz w:val="27"/>
          <w:rtl/>
          <w:lang w:bidi="ar-LB"/>
        </w:rPr>
        <w:t xml:space="preserve">. فمثلاً: في حكم وجوب الصلاة على زيدٍ من الناس المكلَّف هو شخص زيد، والمكلَّف به هي الصلاة، ولكنْ ينشأ عن هذا الحكم حكمٌ آخر من العقل والشرع، وهو أنه لا يجوز للآخرين أن يجبروا زيداً على الصلاة، والمكلَّفون في هذا الحكم الأخير هم أشخاصٌ غير زيد، والمكلَّف به أيضاً هو </w:t>
      </w:r>
      <w:r w:rsidRPr="006571AC">
        <w:rPr>
          <w:rFonts w:hint="eastAsia"/>
          <w:sz w:val="24"/>
          <w:szCs w:val="24"/>
          <w:rtl/>
          <w:lang w:bidi="ar-LB"/>
        </w:rPr>
        <w:t>«</w:t>
      </w:r>
      <w:r w:rsidRPr="006571AC">
        <w:rPr>
          <w:rFonts w:hint="cs"/>
          <w:sz w:val="27"/>
          <w:rtl/>
          <w:lang w:bidi="ar-LB"/>
        </w:rPr>
        <w:t>عدم إجبار زيد على الصلاة</w:t>
      </w:r>
      <w:r w:rsidRPr="006571AC">
        <w:rPr>
          <w:rFonts w:hint="eastAsia"/>
          <w:sz w:val="24"/>
          <w:szCs w:val="24"/>
          <w:rtl/>
        </w:rPr>
        <w:t>»</w:t>
      </w:r>
      <w:r w:rsidRPr="006571AC">
        <w:rPr>
          <w:rFonts w:hint="cs"/>
          <w:sz w:val="27"/>
          <w:rtl/>
          <w:lang w:bidi="ar-LB"/>
        </w:rPr>
        <w:t xml:space="preserve">، ويُنْتَزَع من الحكم الثاني حقّ تقرير المصير في إقامة الصلاة بالنسبة إلى زيد. اختلاف </w:t>
      </w:r>
      <w:r w:rsidRPr="006571AC">
        <w:rPr>
          <w:rFonts w:hint="eastAsia"/>
          <w:sz w:val="24"/>
          <w:szCs w:val="24"/>
          <w:rtl/>
          <w:lang w:bidi="ar-LB"/>
        </w:rPr>
        <w:t>«</w:t>
      </w:r>
      <w:r w:rsidRPr="006571AC">
        <w:rPr>
          <w:rFonts w:hint="cs"/>
          <w:sz w:val="27"/>
          <w:rtl/>
          <w:lang w:bidi="ar-LB"/>
        </w:rPr>
        <w:t>المكلَّف</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المكلَّف ب</w:t>
      </w:r>
      <w:r w:rsidR="007C4886" w:rsidRPr="006571AC">
        <w:rPr>
          <w:rFonts w:hint="cs"/>
          <w:sz w:val="27"/>
          <w:rtl/>
          <w:lang w:bidi="ar-LB"/>
        </w:rPr>
        <w:t>ه</w:t>
      </w:r>
      <w:r w:rsidRPr="006571AC">
        <w:rPr>
          <w:rFonts w:hint="eastAsia"/>
          <w:sz w:val="24"/>
          <w:szCs w:val="24"/>
          <w:rtl/>
        </w:rPr>
        <w:t>»</w:t>
      </w:r>
      <w:r w:rsidRPr="006571AC">
        <w:rPr>
          <w:rFonts w:hint="cs"/>
          <w:sz w:val="27"/>
          <w:rtl/>
          <w:lang w:bidi="ar-LB"/>
        </w:rPr>
        <w:t xml:space="preserve"> في هذا الحكم يستتبع هذه النتيجة، وهي أن عدم التزام أيّ شخصٍ بتكليفه واقعٌ على عهدته ومسؤوليته. لذلك إذا لم يصلِّ زيد، وكان يمتلك حقّ تقرير المصير، فإنه يكون عاصياً ومستحقّاً </w:t>
      </w:r>
      <w:r w:rsidRPr="006571AC">
        <w:rPr>
          <w:rFonts w:hint="cs"/>
          <w:sz w:val="27"/>
          <w:rtl/>
          <w:lang w:bidi="ar-LB"/>
        </w:rPr>
        <w:lastRenderedPageBreak/>
        <w:t>للعقاب؛ وإذا أجبره عمرو على الصلاة يكون عمرو في هذه الحالة هو العاصي المستحقّ للعقاب.</w:t>
      </w:r>
    </w:p>
    <w:p w:rsidR="008C542A" w:rsidRPr="006571AC" w:rsidRDefault="008C542A" w:rsidP="00706E68">
      <w:pPr>
        <w:tabs>
          <w:tab w:val="right" w:pos="6930"/>
        </w:tabs>
        <w:suppressAutoHyphens/>
        <w:rPr>
          <w:sz w:val="27"/>
          <w:rtl/>
          <w:lang w:bidi="fa-IR"/>
        </w:rPr>
      </w:pPr>
      <w:r w:rsidRPr="006571AC">
        <w:rPr>
          <w:sz w:val="27"/>
          <w:rtl/>
          <w:lang w:bidi="ar-LB"/>
        </w:rPr>
        <w:t xml:space="preserve">قد يكون مصطلح </w:t>
      </w:r>
      <w:r w:rsidRPr="006571AC">
        <w:rPr>
          <w:sz w:val="24"/>
          <w:szCs w:val="24"/>
          <w:rtl/>
          <w:lang w:bidi="ar-LB"/>
        </w:rPr>
        <w:t>«</w:t>
      </w:r>
      <w:r w:rsidRPr="006571AC">
        <w:rPr>
          <w:sz w:val="27"/>
          <w:rtl/>
          <w:lang w:bidi="ar-LB"/>
        </w:rPr>
        <w:t>حقّ تقرير المصير</w:t>
      </w:r>
      <w:r w:rsidRPr="006571AC">
        <w:rPr>
          <w:sz w:val="24"/>
          <w:szCs w:val="24"/>
          <w:rtl/>
          <w:lang w:bidi="ar-LB"/>
        </w:rPr>
        <w:t>»</w:t>
      </w:r>
      <w:r w:rsidRPr="006571AC">
        <w:rPr>
          <w:sz w:val="27"/>
          <w:rtl/>
          <w:lang w:bidi="ar-LB"/>
        </w:rPr>
        <w:t xml:space="preserve"> م</w:t>
      </w:r>
      <w:r w:rsidRPr="006571AC">
        <w:rPr>
          <w:rFonts w:hint="cs"/>
          <w:sz w:val="27"/>
          <w:rtl/>
          <w:lang w:bidi="ar-LB"/>
        </w:rPr>
        <w:t>ُ</w:t>
      </w:r>
      <w:r w:rsidRPr="006571AC">
        <w:rPr>
          <w:sz w:val="27"/>
          <w:rtl/>
          <w:lang w:bidi="ar-LB"/>
        </w:rPr>
        <w:t>ض</w:t>
      </w:r>
      <w:r w:rsidRPr="006571AC">
        <w:rPr>
          <w:rFonts w:hint="cs"/>
          <w:sz w:val="27"/>
          <w:rtl/>
          <w:lang w:bidi="ar-LB"/>
        </w:rPr>
        <w:t>لِّ</w:t>
      </w:r>
      <w:r w:rsidRPr="006571AC">
        <w:rPr>
          <w:sz w:val="27"/>
          <w:rtl/>
          <w:lang w:bidi="ar-LB"/>
        </w:rPr>
        <w:t>ل</w:t>
      </w:r>
      <w:r w:rsidRPr="006571AC">
        <w:rPr>
          <w:rFonts w:hint="cs"/>
          <w:sz w:val="27"/>
          <w:rtl/>
          <w:lang w:bidi="ar-LB"/>
        </w:rPr>
        <w:t>اً</w:t>
      </w:r>
      <w:r w:rsidRPr="006571AC">
        <w:rPr>
          <w:sz w:val="27"/>
          <w:rtl/>
          <w:lang w:bidi="ar-LB"/>
        </w:rPr>
        <w:t xml:space="preserve"> لأذهان بعض</w:t>
      </w:r>
      <w:r w:rsidR="00726142" w:rsidRPr="006571AC">
        <w:rPr>
          <w:rFonts w:hint="cs"/>
          <w:sz w:val="27"/>
          <w:rtl/>
          <w:lang w:bidi="ar-LB"/>
        </w:rPr>
        <w:t>ٍ</w:t>
      </w:r>
      <w:r w:rsidRPr="006571AC">
        <w:rPr>
          <w:sz w:val="27"/>
          <w:rtl/>
          <w:lang w:bidi="ar-LB"/>
        </w:rPr>
        <w:t xml:space="preserve">، </w:t>
      </w:r>
      <w:r w:rsidRPr="006571AC">
        <w:rPr>
          <w:rFonts w:hint="cs"/>
          <w:sz w:val="27"/>
          <w:rtl/>
          <w:lang w:bidi="ar-LB"/>
        </w:rPr>
        <w:t>ف</w:t>
      </w:r>
      <w:r w:rsidRPr="006571AC">
        <w:rPr>
          <w:sz w:val="27"/>
          <w:rtl/>
          <w:lang w:bidi="ar-LB"/>
        </w:rPr>
        <w:t>يتصو</w:t>
      </w:r>
      <w:r w:rsidR="00726142" w:rsidRPr="006571AC">
        <w:rPr>
          <w:rFonts w:hint="cs"/>
          <w:sz w:val="27"/>
          <w:rtl/>
          <w:lang w:bidi="ar-LB"/>
        </w:rPr>
        <w:t>َّ</w:t>
      </w:r>
      <w:r w:rsidRPr="006571AC">
        <w:rPr>
          <w:sz w:val="27"/>
          <w:rtl/>
          <w:lang w:bidi="ar-LB"/>
        </w:rPr>
        <w:t>رو</w:t>
      </w:r>
      <w:r w:rsidRPr="006571AC">
        <w:rPr>
          <w:rFonts w:hint="cs"/>
          <w:sz w:val="27"/>
          <w:rtl/>
          <w:lang w:bidi="ar-LB"/>
        </w:rPr>
        <w:t>ن</w:t>
      </w:r>
      <w:r w:rsidRPr="006571AC">
        <w:rPr>
          <w:sz w:val="27"/>
          <w:rtl/>
          <w:lang w:bidi="ar-LB"/>
        </w:rPr>
        <w:t xml:space="preserve"> </w:t>
      </w:r>
      <w:r w:rsidRPr="006571AC">
        <w:rPr>
          <w:rFonts w:hint="cs"/>
          <w:sz w:val="27"/>
          <w:rtl/>
          <w:lang w:bidi="ar-LB"/>
        </w:rPr>
        <w:t xml:space="preserve">ـ </w:t>
      </w:r>
      <w:r w:rsidRPr="006571AC">
        <w:rPr>
          <w:sz w:val="27"/>
          <w:rtl/>
          <w:lang w:bidi="ar-LB"/>
        </w:rPr>
        <w:t xml:space="preserve">من خلال استخدام كلمة </w:t>
      </w:r>
      <w:r w:rsidRPr="006571AC">
        <w:rPr>
          <w:sz w:val="24"/>
          <w:szCs w:val="24"/>
          <w:rtl/>
          <w:lang w:bidi="ar-LB"/>
        </w:rPr>
        <w:t>«</w:t>
      </w:r>
      <w:r w:rsidRPr="006571AC">
        <w:rPr>
          <w:sz w:val="27"/>
          <w:rtl/>
          <w:lang w:bidi="ar-LB"/>
        </w:rPr>
        <w:t>حق</w:t>
      </w:r>
      <w:r w:rsidR="00726142" w:rsidRPr="006571AC">
        <w:rPr>
          <w:rFonts w:hint="cs"/>
          <w:sz w:val="27"/>
          <w:rtl/>
          <w:lang w:bidi="ar-LB"/>
        </w:rPr>
        <w:t>ّ</w:t>
      </w:r>
      <w:r w:rsidRPr="006571AC">
        <w:rPr>
          <w:sz w:val="24"/>
          <w:szCs w:val="24"/>
          <w:rtl/>
          <w:lang w:bidi="ar-LB"/>
        </w:rPr>
        <w:t>»</w:t>
      </w:r>
      <w:r w:rsidRPr="006571AC">
        <w:rPr>
          <w:sz w:val="27"/>
          <w:rtl/>
          <w:lang w:bidi="ar-LB"/>
        </w:rPr>
        <w:t xml:space="preserve"> في هذا المصطلح</w:t>
      </w:r>
      <w:r w:rsidR="00726142" w:rsidRPr="006571AC">
        <w:rPr>
          <w:rFonts w:hint="cs"/>
          <w:sz w:val="27"/>
          <w:rtl/>
          <w:lang w:bidi="ar-LB"/>
        </w:rPr>
        <w:t xml:space="preserve"> ـ</w:t>
      </w:r>
      <w:r w:rsidRPr="006571AC">
        <w:rPr>
          <w:sz w:val="27"/>
          <w:rtl/>
          <w:lang w:bidi="ar-LB"/>
        </w:rPr>
        <w:t xml:space="preserve"> التي غالب</w:t>
      </w:r>
      <w:r w:rsidRPr="006571AC">
        <w:rPr>
          <w:rFonts w:hint="cs"/>
          <w:sz w:val="27"/>
          <w:rtl/>
          <w:lang w:bidi="ar-LB"/>
        </w:rPr>
        <w:t>اً</w:t>
      </w:r>
      <w:r w:rsidRPr="006571AC">
        <w:rPr>
          <w:sz w:val="27"/>
          <w:rtl/>
          <w:lang w:bidi="ar-LB"/>
        </w:rPr>
        <w:t xml:space="preserve"> ما تأتي في نظام التشريع مترادفة</w:t>
      </w:r>
      <w:r w:rsidR="00726142" w:rsidRPr="006571AC">
        <w:rPr>
          <w:rFonts w:hint="cs"/>
          <w:sz w:val="27"/>
          <w:rtl/>
          <w:lang w:bidi="ar-LB"/>
        </w:rPr>
        <w:t>ً</w:t>
      </w:r>
      <w:r w:rsidRPr="006571AC">
        <w:rPr>
          <w:sz w:val="27"/>
          <w:rtl/>
          <w:lang w:bidi="ar-LB"/>
        </w:rPr>
        <w:t xml:space="preserve"> مع </w:t>
      </w:r>
      <w:r w:rsidRPr="006571AC">
        <w:rPr>
          <w:sz w:val="24"/>
          <w:szCs w:val="24"/>
          <w:rtl/>
          <w:lang w:bidi="ar-LB"/>
        </w:rPr>
        <w:t>«</w:t>
      </w:r>
      <w:r w:rsidRPr="006571AC">
        <w:rPr>
          <w:sz w:val="27"/>
          <w:rtl/>
          <w:lang w:bidi="ar-LB"/>
        </w:rPr>
        <w:t>الحر</w:t>
      </w:r>
      <w:r w:rsidR="00726142" w:rsidRPr="006571AC">
        <w:rPr>
          <w:rFonts w:hint="cs"/>
          <w:sz w:val="27"/>
          <w:rtl/>
          <w:lang w:bidi="ar-LB"/>
        </w:rPr>
        <w:t>ّ</w:t>
      </w:r>
      <w:r w:rsidRPr="006571AC">
        <w:rPr>
          <w:sz w:val="27"/>
          <w:rtl/>
          <w:lang w:bidi="ar-LB"/>
        </w:rPr>
        <w:t>ية التشريعي</w:t>
      </w:r>
      <w:r w:rsidR="00726142" w:rsidRPr="006571AC">
        <w:rPr>
          <w:rFonts w:hint="cs"/>
          <w:sz w:val="27"/>
          <w:rtl/>
          <w:lang w:bidi="ar-LB"/>
        </w:rPr>
        <w:t>ّ</w:t>
      </w:r>
      <w:r w:rsidRPr="006571AC">
        <w:rPr>
          <w:sz w:val="27"/>
          <w:rtl/>
          <w:lang w:bidi="ar-LB"/>
        </w:rPr>
        <w:t>ة</w:t>
      </w:r>
      <w:r w:rsidRPr="006571AC">
        <w:rPr>
          <w:sz w:val="24"/>
          <w:szCs w:val="24"/>
          <w:rtl/>
          <w:lang w:bidi="ar-LB"/>
        </w:rPr>
        <w:t>»</w:t>
      </w:r>
      <w:r w:rsidRPr="006571AC">
        <w:rPr>
          <w:rFonts w:hint="cs"/>
          <w:sz w:val="27"/>
          <w:rtl/>
          <w:lang w:bidi="ar-LB"/>
        </w:rPr>
        <w:t xml:space="preserve"> ـ</w:t>
      </w:r>
      <w:r w:rsidRPr="006571AC">
        <w:rPr>
          <w:sz w:val="27"/>
          <w:rtl/>
          <w:lang w:bidi="ar-LB"/>
        </w:rPr>
        <w:t xml:space="preserve"> أن ثبوت </w:t>
      </w:r>
      <w:r w:rsidRPr="006571AC">
        <w:rPr>
          <w:sz w:val="24"/>
          <w:szCs w:val="24"/>
          <w:rtl/>
          <w:lang w:bidi="ar-LB"/>
        </w:rPr>
        <w:t>«</w:t>
      </w:r>
      <w:r w:rsidRPr="006571AC">
        <w:rPr>
          <w:sz w:val="27"/>
          <w:rtl/>
          <w:lang w:bidi="ar-LB"/>
        </w:rPr>
        <w:t>حقّ تقرير المصير</w:t>
      </w:r>
      <w:r w:rsidRPr="006571AC">
        <w:rPr>
          <w:sz w:val="24"/>
          <w:szCs w:val="24"/>
          <w:rtl/>
          <w:lang w:bidi="ar-LB"/>
        </w:rPr>
        <w:t>»</w:t>
      </w:r>
      <w:r w:rsidRPr="006571AC">
        <w:rPr>
          <w:sz w:val="27"/>
          <w:rtl/>
          <w:lang w:bidi="ar-LB"/>
        </w:rPr>
        <w:t xml:space="preserve"> للإنسان هو بمعنى أنه يمتلك </w:t>
      </w:r>
      <w:r w:rsidRPr="006571AC">
        <w:rPr>
          <w:sz w:val="24"/>
          <w:szCs w:val="24"/>
          <w:rtl/>
          <w:lang w:bidi="ar-LB"/>
        </w:rPr>
        <w:t>«</w:t>
      </w:r>
      <w:r w:rsidRPr="006571AC">
        <w:rPr>
          <w:sz w:val="27"/>
          <w:rtl/>
          <w:lang w:bidi="ar-LB"/>
        </w:rPr>
        <w:t>حر</w:t>
      </w:r>
      <w:r w:rsidR="00726142" w:rsidRPr="006571AC">
        <w:rPr>
          <w:rFonts w:hint="cs"/>
          <w:sz w:val="27"/>
          <w:rtl/>
          <w:lang w:bidi="ar-LB"/>
        </w:rPr>
        <w:t>ّ</w:t>
      </w:r>
      <w:r w:rsidRPr="006571AC">
        <w:rPr>
          <w:sz w:val="27"/>
          <w:rtl/>
          <w:lang w:bidi="ar-LB"/>
        </w:rPr>
        <w:t>ية</w:t>
      </w:r>
      <w:r w:rsidR="00726142" w:rsidRPr="006571AC">
        <w:rPr>
          <w:rFonts w:hint="cs"/>
          <w:sz w:val="27"/>
          <w:rtl/>
          <w:lang w:bidi="ar-LB"/>
        </w:rPr>
        <w:t>ً</w:t>
      </w:r>
      <w:r w:rsidRPr="006571AC">
        <w:rPr>
          <w:sz w:val="27"/>
          <w:rtl/>
          <w:lang w:bidi="ar-LB"/>
        </w:rPr>
        <w:t xml:space="preserve"> تشريعي</w:t>
      </w:r>
      <w:r w:rsidR="00726142"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 xml:space="preserve"> </w:t>
      </w:r>
      <w:r w:rsidRPr="006571AC">
        <w:rPr>
          <w:rFonts w:hint="cs"/>
          <w:sz w:val="27"/>
          <w:rtl/>
          <w:lang w:bidi="ar-LB"/>
        </w:rPr>
        <w:t>ل</w:t>
      </w:r>
      <w:r w:rsidRPr="006571AC">
        <w:rPr>
          <w:sz w:val="27"/>
          <w:rtl/>
          <w:lang w:bidi="ar-LB"/>
        </w:rPr>
        <w:t>لعمل بأحكام الشريعة</w:t>
      </w:r>
      <w:r w:rsidRPr="006571AC">
        <w:rPr>
          <w:rFonts w:hint="cs"/>
          <w:sz w:val="27"/>
          <w:rtl/>
          <w:lang w:bidi="ar-LB"/>
        </w:rPr>
        <w:t>،</w:t>
      </w:r>
      <w:r w:rsidRPr="006571AC">
        <w:rPr>
          <w:sz w:val="27"/>
          <w:rtl/>
          <w:lang w:bidi="ar-LB"/>
        </w:rPr>
        <w:t xml:space="preserve"> و</w:t>
      </w:r>
      <w:r w:rsidRPr="006571AC">
        <w:rPr>
          <w:rFonts w:hint="cs"/>
          <w:sz w:val="27"/>
          <w:rtl/>
          <w:lang w:bidi="ar-LB"/>
        </w:rPr>
        <w:t xml:space="preserve">أنه </w:t>
      </w:r>
      <w:r w:rsidRPr="006571AC">
        <w:rPr>
          <w:sz w:val="27"/>
          <w:rtl/>
          <w:lang w:bidi="ar-LB"/>
        </w:rPr>
        <w:t>لا يوجد أي</w:t>
      </w:r>
      <w:r w:rsidR="00726142" w:rsidRPr="006571AC">
        <w:rPr>
          <w:rFonts w:hint="cs"/>
          <w:sz w:val="27"/>
          <w:rtl/>
          <w:lang w:bidi="ar-LB"/>
        </w:rPr>
        <w:t>ّ</w:t>
      </w:r>
      <w:r w:rsidRPr="006571AC">
        <w:rPr>
          <w:sz w:val="27"/>
          <w:rtl/>
          <w:lang w:bidi="ar-LB"/>
        </w:rPr>
        <w:t xml:space="preserve"> قانون</w:t>
      </w:r>
      <w:r w:rsidR="00726142" w:rsidRPr="006571AC">
        <w:rPr>
          <w:rFonts w:hint="cs"/>
          <w:sz w:val="27"/>
          <w:rtl/>
          <w:lang w:bidi="ar-LB"/>
        </w:rPr>
        <w:t>ٍ</w:t>
      </w:r>
      <w:r w:rsidRPr="006571AC">
        <w:rPr>
          <w:sz w:val="27"/>
          <w:rtl/>
          <w:lang w:bidi="ar-LB"/>
        </w:rPr>
        <w:t xml:space="preserve"> إلزامي</w:t>
      </w:r>
      <w:r w:rsidR="00726142" w:rsidRPr="006571AC">
        <w:rPr>
          <w:rFonts w:hint="cs"/>
          <w:sz w:val="27"/>
          <w:rtl/>
          <w:lang w:bidi="ar-LB"/>
        </w:rPr>
        <w:t>ّ</w:t>
      </w:r>
      <w:r w:rsidRPr="006571AC">
        <w:rPr>
          <w:sz w:val="27"/>
          <w:rtl/>
          <w:lang w:bidi="ar-LB"/>
        </w:rPr>
        <w:t xml:space="preserve"> ثابت بالنسبة له؛ بينما اتضح فيما تقد</w:t>
      </w:r>
      <w:r w:rsidR="00726142" w:rsidRPr="006571AC">
        <w:rPr>
          <w:rFonts w:hint="cs"/>
          <w:sz w:val="27"/>
          <w:rtl/>
          <w:lang w:bidi="ar-LB"/>
        </w:rPr>
        <w:t>َّ</w:t>
      </w:r>
      <w:r w:rsidRPr="006571AC">
        <w:rPr>
          <w:sz w:val="27"/>
          <w:rtl/>
          <w:lang w:bidi="ar-LB"/>
        </w:rPr>
        <w:t xml:space="preserve">م أن </w:t>
      </w:r>
      <w:r w:rsidRPr="006571AC">
        <w:rPr>
          <w:sz w:val="24"/>
          <w:szCs w:val="24"/>
          <w:rtl/>
          <w:lang w:bidi="ar-LB"/>
        </w:rPr>
        <w:t>«</w:t>
      </w:r>
      <w:r w:rsidRPr="006571AC">
        <w:rPr>
          <w:sz w:val="27"/>
          <w:rtl/>
          <w:lang w:bidi="ar-LB"/>
        </w:rPr>
        <w:t>حقّ تقرير المصير</w:t>
      </w:r>
      <w:r w:rsidRPr="006571AC">
        <w:rPr>
          <w:sz w:val="24"/>
          <w:szCs w:val="24"/>
          <w:rtl/>
          <w:lang w:bidi="ar-LB"/>
        </w:rPr>
        <w:t>»</w:t>
      </w:r>
      <w:r w:rsidRPr="006571AC">
        <w:rPr>
          <w:sz w:val="27"/>
          <w:rtl/>
          <w:lang w:bidi="ar-LB"/>
        </w:rPr>
        <w:t xml:space="preserve"> لا معنى آخر له سوى أن البشر</w:t>
      </w:r>
      <w:r w:rsidRPr="006571AC">
        <w:rPr>
          <w:rFonts w:hint="cs"/>
          <w:sz w:val="27"/>
          <w:rtl/>
          <w:lang w:bidi="ar-LB"/>
        </w:rPr>
        <w:t xml:space="preserve"> </w:t>
      </w:r>
      <w:r w:rsidRPr="006571AC">
        <w:rPr>
          <w:sz w:val="27"/>
          <w:rtl/>
          <w:lang w:bidi="ar-LB"/>
        </w:rPr>
        <w:t>مكل</w:t>
      </w:r>
      <w:r w:rsidR="00726142" w:rsidRPr="006571AC">
        <w:rPr>
          <w:rFonts w:hint="cs"/>
          <w:sz w:val="27"/>
          <w:rtl/>
          <w:lang w:bidi="ar-LB"/>
        </w:rPr>
        <w:t>َّ</w:t>
      </w:r>
      <w:r w:rsidRPr="006571AC">
        <w:rPr>
          <w:sz w:val="27"/>
          <w:rtl/>
          <w:lang w:bidi="ar-LB"/>
        </w:rPr>
        <w:t>ف</w:t>
      </w:r>
      <w:r w:rsidRPr="006571AC">
        <w:rPr>
          <w:rFonts w:hint="cs"/>
          <w:sz w:val="27"/>
          <w:rtl/>
          <w:lang w:bidi="ar-LB"/>
        </w:rPr>
        <w:t>و</w:t>
      </w:r>
      <w:r w:rsidRPr="006571AC">
        <w:rPr>
          <w:sz w:val="27"/>
          <w:rtl/>
          <w:lang w:bidi="ar-LB"/>
        </w:rPr>
        <w:t xml:space="preserve">ن، </w:t>
      </w:r>
      <w:r w:rsidRPr="006571AC">
        <w:rPr>
          <w:rFonts w:hint="cs"/>
          <w:sz w:val="27"/>
          <w:rtl/>
          <w:lang w:bidi="ar-LB"/>
        </w:rPr>
        <w:t>و</w:t>
      </w:r>
      <w:r w:rsidRPr="006571AC">
        <w:rPr>
          <w:sz w:val="27"/>
          <w:rtl/>
          <w:lang w:bidi="ar-LB"/>
        </w:rPr>
        <w:t xml:space="preserve">لا يملكون </w:t>
      </w:r>
      <w:r w:rsidRPr="006571AC">
        <w:rPr>
          <w:sz w:val="24"/>
          <w:szCs w:val="24"/>
          <w:rtl/>
          <w:lang w:bidi="ar-LB"/>
        </w:rPr>
        <w:t>«</w:t>
      </w:r>
      <w:r w:rsidRPr="006571AC">
        <w:rPr>
          <w:sz w:val="27"/>
          <w:rtl/>
          <w:lang w:bidi="ar-LB"/>
        </w:rPr>
        <w:t>حر</w:t>
      </w:r>
      <w:r w:rsidR="00726142" w:rsidRPr="006571AC">
        <w:rPr>
          <w:rFonts w:hint="cs"/>
          <w:sz w:val="27"/>
          <w:rtl/>
          <w:lang w:bidi="ar-LB"/>
        </w:rPr>
        <w:t>ّ</w:t>
      </w:r>
      <w:r w:rsidRPr="006571AC">
        <w:rPr>
          <w:sz w:val="27"/>
          <w:rtl/>
          <w:lang w:bidi="ar-LB"/>
        </w:rPr>
        <w:t>ية</w:t>
      </w:r>
      <w:r w:rsidR="00726142" w:rsidRPr="006571AC">
        <w:rPr>
          <w:rFonts w:hint="cs"/>
          <w:sz w:val="27"/>
          <w:rtl/>
          <w:lang w:bidi="ar-LB"/>
        </w:rPr>
        <w:t>ً</w:t>
      </w:r>
      <w:r w:rsidRPr="006571AC">
        <w:rPr>
          <w:sz w:val="27"/>
          <w:rtl/>
          <w:lang w:bidi="ar-LB"/>
        </w:rPr>
        <w:t xml:space="preserve"> تشريعي</w:t>
      </w:r>
      <w:r w:rsidR="00726142"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 إلا</w:t>
      </w:r>
      <w:r w:rsidR="00726142" w:rsidRPr="006571AC">
        <w:rPr>
          <w:rFonts w:hint="cs"/>
          <w:sz w:val="27"/>
          <w:rtl/>
          <w:lang w:bidi="ar-LB"/>
        </w:rPr>
        <w:t>ّ</w:t>
      </w:r>
      <w:r w:rsidRPr="006571AC">
        <w:rPr>
          <w:sz w:val="27"/>
          <w:rtl/>
          <w:lang w:bidi="ar-LB"/>
        </w:rPr>
        <w:t xml:space="preserve"> أنه لا يحق</w:t>
      </w:r>
      <w:r w:rsidR="00726142" w:rsidRPr="006571AC">
        <w:rPr>
          <w:rFonts w:hint="cs"/>
          <w:sz w:val="27"/>
          <w:rtl/>
          <w:lang w:bidi="ar-LB"/>
        </w:rPr>
        <w:t>ّ</w:t>
      </w:r>
      <w:r w:rsidRPr="006571AC">
        <w:rPr>
          <w:sz w:val="27"/>
          <w:rtl/>
          <w:lang w:bidi="ar-LB"/>
        </w:rPr>
        <w:t xml:space="preserve"> لأي</w:t>
      </w:r>
      <w:r w:rsidR="00726142" w:rsidRPr="006571AC">
        <w:rPr>
          <w:rFonts w:hint="cs"/>
          <w:sz w:val="27"/>
          <w:rtl/>
          <w:lang w:bidi="ar-LB"/>
        </w:rPr>
        <w:t>ٍّ</w:t>
      </w:r>
      <w:r w:rsidRPr="006571AC">
        <w:rPr>
          <w:sz w:val="27"/>
          <w:rtl/>
          <w:lang w:bidi="ar-LB"/>
        </w:rPr>
        <w:t xml:space="preserve"> أحد</w:t>
      </w:r>
      <w:r w:rsidR="00726142" w:rsidRPr="006571AC">
        <w:rPr>
          <w:rFonts w:hint="cs"/>
          <w:sz w:val="27"/>
          <w:rtl/>
          <w:lang w:bidi="ar-LB"/>
        </w:rPr>
        <w:t>ٍ</w:t>
      </w:r>
      <w:r w:rsidRPr="006571AC">
        <w:rPr>
          <w:sz w:val="27"/>
          <w:rtl/>
          <w:lang w:bidi="ar-LB"/>
        </w:rPr>
        <w:t xml:space="preserve"> أن يجبر أو يكره المكل</w:t>
      </w:r>
      <w:r w:rsidR="00726142" w:rsidRPr="006571AC">
        <w:rPr>
          <w:rFonts w:hint="cs"/>
          <w:sz w:val="27"/>
          <w:rtl/>
          <w:lang w:bidi="ar-LB"/>
        </w:rPr>
        <w:t>َّ</w:t>
      </w:r>
      <w:r w:rsidRPr="006571AC">
        <w:rPr>
          <w:sz w:val="27"/>
          <w:rtl/>
          <w:lang w:bidi="ar-LB"/>
        </w:rPr>
        <w:t xml:space="preserve">فين على العمل بتكاليفهم الشرعية، </w:t>
      </w:r>
      <w:r w:rsidRPr="006571AC">
        <w:rPr>
          <w:rFonts w:hint="cs"/>
          <w:sz w:val="27"/>
          <w:rtl/>
          <w:lang w:bidi="ar-LB"/>
        </w:rPr>
        <w:t xml:space="preserve">بل </w:t>
      </w:r>
      <w:r w:rsidRPr="006571AC">
        <w:rPr>
          <w:sz w:val="27"/>
          <w:rtl/>
          <w:lang w:bidi="ar-LB"/>
        </w:rPr>
        <w:t>يجب أن يتمت</w:t>
      </w:r>
      <w:r w:rsidR="00726142" w:rsidRPr="006571AC">
        <w:rPr>
          <w:rFonts w:hint="cs"/>
          <w:sz w:val="27"/>
          <w:rtl/>
          <w:lang w:bidi="ar-LB"/>
        </w:rPr>
        <w:t>َّ</w:t>
      </w:r>
      <w:r w:rsidRPr="006571AC">
        <w:rPr>
          <w:sz w:val="27"/>
          <w:rtl/>
          <w:lang w:bidi="ar-LB"/>
        </w:rPr>
        <w:t>عوا</w:t>
      </w:r>
      <w:r w:rsidRPr="006571AC">
        <w:rPr>
          <w:sz w:val="27"/>
          <w:rtl/>
        </w:rPr>
        <w:t xml:space="preserve"> </w:t>
      </w:r>
      <w:r w:rsidRPr="006571AC">
        <w:rPr>
          <w:rFonts w:hint="cs"/>
          <w:sz w:val="27"/>
          <w:rtl/>
          <w:lang w:bidi="ar-LB"/>
        </w:rPr>
        <w:t xml:space="preserve">عند </w:t>
      </w:r>
      <w:r w:rsidRPr="006571AC">
        <w:rPr>
          <w:sz w:val="27"/>
          <w:rtl/>
          <w:lang w:bidi="ar-LB"/>
        </w:rPr>
        <w:t xml:space="preserve">العمل بتكاليفهم الشرعية بـ </w:t>
      </w:r>
      <w:r w:rsidRPr="006571AC">
        <w:rPr>
          <w:sz w:val="24"/>
          <w:szCs w:val="24"/>
          <w:rtl/>
          <w:lang w:bidi="ar-LB"/>
        </w:rPr>
        <w:t>«</w:t>
      </w:r>
      <w:r w:rsidRPr="006571AC">
        <w:rPr>
          <w:sz w:val="27"/>
          <w:rtl/>
          <w:lang w:bidi="ar-LB"/>
        </w:rPr>
        <w:t>حرّية</w:t>
      </w:r>
      <w:r w:rsidR="00726142" w:rsidRPr="006571AC">
        <w:rPr>
          <w:rFonts w:hint="cs"/>
          <w:sz w:val="27"/>
          <w:rtl/>
          <w:lang w:bidi="ar-LB"/>
        </w:rPr>
        <w:t>ٍ</w:t>
      </w:r>
      <w:r w:rsidRPr="006571AC">
        <w:rPr>
          <w:sz w:val="27"/>
          <w:rtl/>
          <w:lang w:bidi="ar-LB"/>
        </w:rPr>
        <w:t xml:space="preserve"> تكويني</w:t>
      </w:r>
      <w:r w:rsidR="00726142"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w:t>
      </w:r>
    </w:p>
    <w:p w:rsidR="008C542A" w:rsidRPr="006571AC" w:rsidRDefault="008C542A" w:rsidP="00AA4501">
      <w:pPr>
        <w:tabs>
          <w:tab w:val="right" w:pos="6930"/>
        </w:tabs>
        <w:suppressAutoHyphens/>
        <w:spacing w:line="420" w:lineRule="exact"/>
        <w:rPr>
          <w:sz w:val="27"/>
          <w:rtl/>
          <w:lang w:bidi="fa-IR"/>
        </w:rPr>
      </w:pPr>
    </w:p>
    <w:p w:rsidR="008C542A" w:rsidRPr="006571AC" w:rsidRDefault="008C542A" w:rsidP="008C542A">
      <w:pPr>
        <w:pStyle w:val="31"/>
        <w:rPr>
          <w:color w:val="auto"/>
          <w:rtl/>
          <w:lang w:bidi="ar-LB"/>
        </w:rPr>
      </w:pPr>
      <w:bookmarkStart w:id="24" w:name="_Toc114164513"/>
      <w:r w:rsidRPr="006571AC">
        <w:rPr>
          <w:rFonts w:hint="cs"/>
          <w:color w:val="auto"/>
          <w:rtl/>
          <w:lang w:bidi="ar-LB"/>
        </w:rPr>
        <w:t>3</w:t>
      </w:r>
      <w:r w:rsidRPr="006571AC">
        <w:rPr>
          <w:color w:val="auto"/>
          <w:rtl/>
          <w:lang w:bidi="ar-LB"/>
        </w:rPr>
        <w:t>ـ</w:t>
      </w:r>
      <w:r w:rsidRPr="006571AC">
        <w:rPr>
          <w:rFonts w:hint="cs"/>
          <w:color w:val="auto"/>
          <w:rtl/>
          <w:lang w:bidi="ar-LB"/>
        </w:rPr>
        <w:t xml:space="preserve"> إطلاق حقّ تقرير المصير</w:t>
      </w:r>
      <w:bookmarkEnd w:id="24"/>
    </w:p>
    <w:p w:rsidR="008C542A" w:rsidRPr="006571AC" w:rsidRDefault="008C542A" w:rsidP="00706E68">
      <w:pPr>
        <w:tabs>
          <w:tab w:val="right" w:pos="6930"/>
        </w:tabs>
        <w:suppressAutoHyphens/>
        <w:rPr>
          <w:sz w:val="27"/>
          <w:rtl/>
          <w:lang w:bidi="ar-LB"/>
        </w:rPr>
      </w:pPr>
      <w:r w:rsidRPr="006571AC">
        <w:rPr>
          <w:rFonts w:hint="cs"/>
          <w:sz w:val="27"/>
          <w:rtl/>
          <w:lang w:bidi="ar-LB"/>
        </w:rPr>
        <w:t>بما أن هدف العقل والدِّين من كلّ الواجبات والمحرَّمات هو رشد البشر وسموّهم؛ ومن ناحيةٍ أخرى تُعتَبَر الحرّية التكوينية بمثابة مقدّمةٍ ضروريّة لذلك الرشد، إذن حقّ تقرير المصير، أي حقّ التمتُّع بالحرّية التكوينية، هو حقٌّ مطلق</w:t>
      </w:r>
      <w:r w:rsidR="00726142" w:rsidRPr="006571AC">
        <w:rPr>
          <w:rFonts w:hint="cs"/>
          <w:sz w:val="27"/>
          <w:rtl/>
          <w:lang w:bidi="ar-LB"/>
        </w:rPr>
        <w:t>ٌ</w:t>
      </w:r>
      <w:r w:rsidRPr="006571AC">
        <w:rPr>
          <w:rFonts w:hint="cs"/>
          <w:sz w:val="27"/>
          <w:rtl/>
          <w:lang w:bidi="ar-LB"/>
        </w:rPr>
        <w:t xml:space="preserve"> وشامل</w:t>
      </w:r>
      <w:r w:rsidR="00726142" w:rsidRPr="006571AC">
        <w:rPr>
          <w:rFonts w:hint="cs"/>
          <w:sz w:val="27"/>
          <w:rtl/>
          <w:lang w:bidi="ar-LB"/>
        </w:rPr>
        <w:t>ٌ</w:t>
      </w:r>
      <w:r w:rsidRPr="006571AC">
        <w:rPr>
          <w:rFonts w:hint="cs"/>
          <w:sz w:val="27"/>
          <w:rtl/>
          <w:lang w:bidi="ar-LB"/>
        </w:rPr>
        <w:t xml:space="preserve"> لجميع أعمال الإنسان الاختياريّة، الفردية منها والجماعية.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وبالتالي فإن تأسيس أيّ حكومةٍ وبقاءها </w:t>
      </w:r>
      <w:r w:rsidRPr="006571AC">
        <w:rPr>
          <w:sz w:val="27"/>
          <w:rtl/>
          <w:lang w:bidi="ar-LB"/>
        </w:rPr>
        <w:t>ـ</w:t>
      </w:r>
      <w:r w:rsidRPr="006571AC">
        <w:rPr>
          <w:rFonts w:hint="cs"/>
          <w:sz w:val="27"/>
          <w:rtl/>
          <w:lang w:bidi="ar-LB"/>
        </w:rPr>
        <w:t xml:space="preserve"> حتّى حكومة المعصومين</w:t>
      </w:r>
      <w:r w:rsidRPr="006571AC">
        <w:rPr>
          <w:rFonts w:ascii="Mosawi" w:hAnsi="Mosawi" w:cs="Mosawi"/>
          <w:sz w:val="22"/>
          <w:szCs w:val="22"/>
          <w:rtl/>
        </w:rPr>
        <w:t>^</w:t>
      </w:r>
      <w:r w:rsidRPr="006571AC">
        <w:rPr>
          <w:rFonts w:hint="cs"/>
          <w:sz w:val="27"/>
          <w:rtl/>
          <w:lang w:bidi="ar-LB"/>
        </w:rPr>
        <w:t xml:space="preserve"> </w:t>
      </w:r>
      <w:r w:rsidRPr="006571AC">
        <w:rPr>
          <w:sz w:val="27"/>
          <w:rtl/>
          <w:lang w:bidi="ar-LB"/>
        </w:rPr>
        <w:t>ـ</w:t>
      </w:r>
      <w:r w:rsidRPr="006571AC">
        <w:rPr>
          <w:rFonts w:hint="cs"/>
          <w:sz w:val="27"/>
          <w:rtl/>
          <w:lang w:bidi="ar-LB"/>
        </w:rPr>
        <w:t xml:space="preserve"> بدون رضا الناس وإرادتهم حرامٌ شَرْعاً وعَقْلاً. ولذلك تفتقر إلى الشرعية الع</w:t>
      </w:r>
      <w:r w:rsidR="0010794D" w:rsidRPr="006571AC">
        <w:rPr>
          <w:rFonts w:hint="cs"/>
          <w:sz w:val="27"/>
          <w:rtl/>
          <w:lang w:bidi="ar-LB"/>
        </w:rPr>
        <w:t>قلانية والديني</w:t>
      </w:r>
      <w:r w:rsidRPr="006571AC">
        <w:rPr>
          <w:rFonts w:hint="cs"/>
          <w:sz w:val="27"/>
          <w:rtl/>
          <w:lang w:bidi="ar-LB"/>
        </w:rPr>
        <w:t>ة. وبعبارةٍ أخرى: رضا الناس جزءٌ من العلّة الشرعية الحكوميّة، والجزء الأول لشرعية حكومةٍ ما تتحصَّل من مطابقتها مع حكم العقل والشرع في المرحلة الأولى من نظام التشريع؛ وجزؤها الآخر يتحصَّل من المطابقة مع حكم العقل والشرع بالحرّية التكوينية للناس وعدم إجبارهم على العمل بنظام التشر</w:t>
      </w:r>
      <w:r w:rsidR="0010794D" w:rsidRPr="006571AC">
        <w:rPr>
          <w:rFonts w:hint="cs"/>
          <w:sz w:val="27"/>
          <w:rtl/>
          <w:lang w:bidi="ar-LB"/>
        </w:rPr>
        <w:t>يع. وهذا الأخير أيضاً حكمٌ عقلي</w:t>
      </w:r>
      <w:r w:rsidRPr="006571AC">
        <w:rPr>
          <w:rFonts w:hint="cs"/>
          <w:sz w:val="27"/>
          <w:rtl/>
          <w:lang w:bidi="ar-LB"/>
        </w:rPr>
        <w:t xml:space="preserve"> وشرعي في المرحلة الثانية من نظام تشريع العقل والدين. إذن هناك ثلاث حكوما</w:t>
      </w:r>
      <w:r w:rsidR="0010794D" w:rsidRPr="006571AC">
        <w:rPr>
          <w:rFonts w:hint="cs"/>
          <w:sz w:val="27"/>
          <w:rtl/>
          <w:lang w:bidi="ar-LB"/>
        </w:rPr>
        <w:t>ت فاقدة للشرعية العقلية والديني</w:t>
      </w:r>
      <w:r w:rsidRPr="006571AC">
        <w:rPr>
          <w:rFonts w:hint="cs"/>
          <w:sz w:val="27"/>
          <w:rtl/>
          <w:lang w:bidi="ar-LB"/>
        </w:rPr>
        <w:t>ة:</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 هي الحكومة التي تفتقد لكلا مرحلتي الشرعية العقلية والدينية. مثل: حكومة الجب</w:t>
      </w:r>
      <w:r w:rsidR="00726142" w:rsidRPr="006571AC">
        <w:rPr>
          <w:rFonts w:hint="cs"/>
          <w:sz w:val="27"/>
          <w:rtl/>
          <w:lang w:bidi="ar-LB"/>
        </w:rPr>
        <w:t>ّ</w:t>
      </w:r>
      <w:r w:rsidRPr="006571AC">
        <w:rPr>
          <w:rFonts w:hint="cs"/>
          <w:sz w:val="27"/>
          <w:rtl/>
          <w:lang w:bidi="ar-LB"/>
        </w:rPr>
        <w:t>ارين والظلمة، التي تشكَّلت بدون رضا الناس.</w:t>
      </w:r>
    </w:p>
    <w:p w:rsidR="008C542A" w:rsidRPr="006571AC" w:rsidRDefault="008C542A" w:rsidP="00706E68">
      <w:pPr>
        <w:tabs>
          <w:tab w:val="right" w:pos="6930"/>
        </w:tabs>
        <w:suppressAutoHyphens/>
        <w:rPr>
          <w:sz w:val="27"/>
          <w:rtl/>
          <w:lang w:bidi="ar-LB"/>
        </w:rPr>
      </w:pPr>
      <w:r w:rsidRPr="006571AC">
        <w:rPr>
          <w:rFonts w:hint="cs"/>
          <w:b/>
          <w:bCs/>
          <w:sz w:val="27"/>
          <w:rtl/>
          <w:lang w:bidi="ar-LB"/>
        </w:rPr>
        <w:lastRenderedPageBreak/>
        <w:t>الثانية</w:t>
      </w:r>
      <w:r w:rsidRPr="006571AC">
        <w:rPr>
          <w:rFonts w:hint="cs"/>
          <w:sz w:val="27"/>
          <w:rtl/>
          <w:lang w:bidi="ar-LB"/>
        </w:rPr>
        <w:t>: هي الحكومة التي تمتلك شرعية المرحلة الأولى، ولكنها تفتقد لشرعية المرحلة الثانية، مثل: حكومة المعصومين</w:t>
      </w:r>
      <w:r w:rsidRPr="006571AC">
        <w:rPr>
          <w:rFonts w:ascii="Mosawi" w:hAnsi="Mosawi" w:cs="Mosawi"/>
          <w:sz w:val="22"/>
          <w:szCs w:val="22"/>
          <w:rtl/>
        </w:rPr>
        <w:t>^</w:t>
      </w:r>
      <w:r w:rsidRPr="006571AC">
        <w:rPr>
          <w:rFonts w:hint="cs"/>
          <w:sz w:val="27"/>
          <w:rtl/>
          <w:lang w:bidi="ar-LB"/>
        </w:rPr>
        <w:t xml:space="preserve"> ـ على فرض المَحَال </w:t>
      </w:r>
      <w:r w:rsidRPr="006571AC">
        <w:rPr>
          <w:sz w:val="27"/>
          <w:rtl/>
          <w:lang w:bidi="ar-LB"/>
        </w:rPr>
        <w:t>ـ</w:t>
      </w:r>
      <w:r w:rsidRPr="006571AC">
        <w:rPr>
          <w:rFonts w:hint="cs"/>
          <w:sz w:val="27"/>
          <w:rtl/>
          <w:lang w:bidi="ar-LB"/>
        </w:rPr>
        <w:t xml:space="preserve"> التي تتشكَّل بدون رضا الناس. وسبب استحالة هذا الفرض أن عدم التزام المعصوم</w:t>
      </w:r>
      <w:r w:rsidRPr="006571AC">
        <w:rPr>
          <w:rFonts w:ascii="Mosawi" w:hAnsi="Mosawi" w:cs="Mosawi"/>
          <w:sz w:val="22"/>
          <w:szCs w:val="22"/>
          <w:rtl/>
        </w:rPr>
        <w:t>×</w:t>
      </w:r>
      <w:r w:rsidRPr="006571AC">
        <w:rPr>
          <w:rFonts w:hint="cs"/>
          <w:sz w:val="27"/>
          <w:rtl/>
          <w:lang w:bidi="ar-LB"/>
        </w:rPr>
        <w:t xml:space="preserve"> بالحكم الثاني يتناقض مع فرضيّة عصمته.</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الثالثة</w:t>
      </w:r>
      <w:r w:rsidRPr="006571AC">
        <w:rPr>
          <w:rFonts w:hint="cs"/>
          <w:sz w:val="27"/>
          <w:rtl/>
          <w:lang w:bidi="ar-LB"/>
        </w:rPr>
        <w:t>: هي الحكومة التي تفتقد للشرعية الأولى، وتتوف</w:t>
      </w:r>
      <w:r w:rsidR="0010794D" w:rsidRPr="006571AC">
        <w:rPr>
          <w:rFonts w:hint="cs"/>
          <w:sz w:val="27"/>
          <w:rtl/>
          <w:lang w:bidi="ar-LB"/>
        </w:rPr>
        <w:t>َّ</w:t>
      </w:r>
      <w:r w:rsidRPr="006571AC">
        <w:rPr>
          <w:rFonts w:hint="cs"/>
          <w:sz w:val="27"/>
          <w:rtl/>
          <w:lang w:bidi="ar-LB"/>
        </w:rPr>
        <w:t>ر على الشرعية الثانية، مثل: حكومة م</w:t>
      </w:r>
      <w:r w:rsidR="00726142" w:rsidRPr="006571AC">
        <w:rPr>
          <w:rFonts w:hint="cs"/>
          <w:sz w:val="27"/>
          <w:rtl/>
          <w:lang w:bidi="ar-LB"/>
        </w:rPr>
        <w:t>َ</w:t>
      </w:r>
      <w:r w:rsidRPr="006571AC">
        <w:rPr>
          <w:rFonts w:hint="cs"/>
          <w:sz w:val="27"/>
          <w:rtl/>
          <w:lang w:bidi="ar-LB"/>
        </w:rPr>
        <w:t>ن</w:t>
      </w:r>
      <w:r w:rsidR="00726142" w:rsidRPr="006571AC">
        <w:rPr>
          <w:rFonts w:hint="cs"/>
          <w:sz w:val="27"/>
          <w:rtl/>
          <w:lang w:bidi="ar-LB"/>
        </w:rPr>
        <w:t>ْ</w:t>
      </w:r>
      <w:r w:rsidRPr="006571AC">
        <w:rPr>
          <w:rFonts w:hint="cs"/>
          <w:sz w:val="27"/>
          <w:rtl/>
          <w:lang w:bidi="ar-LB"/>
        </w:rPr>
        <w:t xml:space="preserve"> لا يليق بالحكم، إلا</w:t>
      </w:r>
      <w:r w:rsidR="00726142" w:rsidRPr="006571AC">
        <w:rPr>
          <w:rFonts w:hint="cs"/>
          <w:sz w:val="27"/>
          <w:rtl/>
          <w:lang w:bidi="ar-LB"/>
        </w:rPr>
        <w:t>ّ</w:t>
      </w:r>
      <w:r w:rsidRPr="006571AC">
        <w:rPr>
          <w:rFonts w:hint="cs"/>
          <w:sz w:val="27"/>
          <w:rtl/>
          <w:lang w:bidi="ar-LB"/>
        </w:rPr>
        <w:t xml:space="preserve"> أن الناس يريدونه أن يحكمهم، فحكمهم بناءً على إرادتهم.</w:t>
      </w:r>
    </w:p>
    <w:p w:rsidR="008C542A" w:rsidRPr="006571AC" w:rsidRDefault="008C542A" w:rsidP="00706E68">
      <w:pPr>
        <w:tabs>
          <w:tab w:val="right" w:pos="6930"/>
        </w:tabs>
        <w:suppressAutoHyphens/>
        <w:rPr>
          <w:sz w:val="27"/>
          <w:rtl/>
          <w:lang w:bidi="ar-LB"/>
        </w:rPr>
      </w:pPr>
      <w:r w:rsidRPr="006571AC">
        <w:rPr>
          <w:rFonts w:hint="cs"/>
          <w:sz w:val="27"/>
          <w:rtl/>
          <w:lang w:bidi="ar-LB"/>
        </w:rPr>
        <w:t>وهكذا فإن الأساس الأوّل لجميع أفعال الإنسان الاختيارية، التي هي بمثابة المقدّمة لرشده المعنوي، هو حقّ اختياره الحُرّ في تقرير مصيره. وهنا تكمن وظيفة الأنبياء وأوصيائهم</w:t>
      </w:r>
      <w:r w:rsidRPr="006571AC">
        <w:rPr>
          <w:rFonts w:ascii="Mosawi" w:hAnsi="Mosawi" w:cs="Mosawi"/>
          <w:sz w:val="22"/>
          <w:szCs w:val="22"/>
          <w:rtl/>
        </w:rPr>
        <w:t>^</w:t>
      </w:r>
      <w:r w:rsidRPr="006571AC">
        <w:rPr>
          <w:rFonts w:hint="cs"/>
          <w:sz w:val="27"/>
          <w:rtl/>
          <w:lang w:bidi="ar-LB"/>
        </w:rPr>
        <w:t xml:space="preserve"> وجميع المصلحين في إبلاغ رسالة الحقّ، وتوضيح طريق السعادة للبشر. والحكومة أيضاً ليست سوى ظهور الإرادة الجماعية للناس من أجل إدارة مجتمعاتهم.</w:t>
      </w:r>
    </w:p>
    <w:p w:rsidR="008C542A" w:rsidRPr="006571AC" w:rsidRDefault="008C542A" w:rsidP="00706E68">
      <w:pPr>
        <w:tabs>
          <w:tab w:val="right" w:pos="6930"/>
        </w:tabs>
        <w:suppressAutoHyphens/>
        <w:rPr>
          <w:sz w:val="27"/>
          <w:rtl/>
          <w:lang w:bidi="ar-LB"/>
        </w:rPr>
      </w:pPr>
      <w:r w:rsidRPr="006571AC">
        <w:rPr>
          <w:rFonts w:hint="cs"/>
          <w:sz w:val="27"/>
          <w:rtl/>
          <w:lang w:bidi="ar-LB"/>
        </w:rPr>
        <w:t>وهكذا فالحكّام ليسوا سوى ممثِّلين عن الناس؛ من أجل تحقيق مطالبهم. يتمتع الحكّام، مثل الناس، بالحقّ الطبيعي في الاختيار الحُرّ، وهم مثلهم في اتّباع الأحكام العقلية والشرعية. وإذا كان الحكّام هم المنفِّذون فقط لمطالب الشعب، وكانت مطالب الناس مخالفةً لقوانين العقل والشرع، فإن واجب الحكّام العقليّ والدينيّ هو التوقُّف عن تنفيذها، والتنازل عن السلطة وتمثيل الناس.</w:t>
      </w:r>
    </w:p>
    <w:p w:rsidR="008C542A" w:rsidRPr="006571AC" w:rsidRDefault="008C542A" w:rsidP="00706E68">
      <w:pPr>
        <w:tabs>
          <w:tab w:val="right" w:pos="6930"/>
        </w:tabs>
        <w:suppressAutoHyphens/>
        <w:rPr>
          <w:sz w:val="27"/>
          <w:rtl/>
          <w:lang w:bidi="ar-LB"/>
        </w:rPr>
      </w:pPr>
      <w:r w:rsidRPr="006571AC">
        <w:rPr>
          <w:rFonts w:hint="cs"/>
          <w:sz w:val="27"/>
          <w:rtl/>
          <w:lang w:bidi="ar-LB"/>
        </w:rPr>
        <w:t>وبعبارةٍ أخرى: إذا كانت مطالب الناس مخالفةً للعقل والشرع فأمام الحكّام ثلاث فرضيات:</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 أن يطبِّق أحكام العقل والشرع بناءً على تشخيصه للأمور، ولو كان ذلك مخالفاً لمطالب الناس. وهذه الفرضية مرفوضةٌ؛ لأنها مناقضةٌ للحقّ الطبيعي في الاختيار الفردي أو الجماعي.</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أن يعمل وفق المطالب اللاعقلانية واللاشرعية للناس. وهذه الفرضية أيضاً مرفوضةٌ؛ لأنها تناقض الأحكام العقلية والشرعية لشخص الحاكم.</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الثالثة</w:t>
      </w:r>
      <w:r w:rsidRPr="006571AC">
        <w:rPr>
          <w:rFonts w:hint="cs"/>
          <w:sz w:val="27"/>
          <w:rtl/>
          <w:lang w:bidi="ar-LB"/>
        </w:rPr>
        <w:t xml:space="preserve">: أن يعتزل الحاكم، ويترك مسند الحكومة، ولا يحول بين الناس وبين العمل الحرّ وفق مطالبهم. وهذه الفرضية هي الوحيدة المعقولة، التي تحترم حقّ حرّية </w:t>
      </w:r>
      <w:r w:rsidRPr="006571AC">
        <w:rPr>
          <w:rFonts w:hint="cs"/>
          <w:sz w:val="27"/>
          <w:rtl/>
          <w:lang w:bidi="ar-LB"/>
        </w:rPr>
        <w:lastRenderedPageBreak/>
        <w:t>الناس، وفي الوقت نفسه لا يصدر منها عملٌ مخالفٌ لأحكام العقل والشرع. وسوف يأتي لاحقاً أن سيرة المعصومين</w:t>
      </w:r>
      <w:r w:rsidRPr="006571AC">
        <w:rPr>
          <w:rFonts w:ascii="Mosawi" w:hAnsi="Mosawi" w:cs="Mosawi"/>
          <w:sz w:val="22"/>
          <w:szCs w:val="22"/>
          <w:rtl/>
        </w:rPr>
        <w:t>^</w:t>
      </w:r>
      <w:r w:rsidRPr="006571AC">
        <w:rPr>
          <w:rFonts w:hint="cs"/>
          <w:sz w:val="27"/>
          <w:rtl/>
          <w:lang w:bidi="ar-LB"/>
        </w:rPr>
        <w:t xml:space="preserve"> كانت دائماً موافقةً للفرضية الأخيرة.</w:t>
      </w:r>
    </w:p>
    <w:p w:rsidR="008C542A" w:rsidRPr="006571AC" w:rsidRDefault="008C542A" w:rsidP="00706E68">
      <w:pPr>
        <w:tabs>
          <w:tab w:val="right" w:pos="6930"/>
        </w:tabs>
        <w:suppressAutoHyphens/>
        <w:rPr>
          <w:sz w:val="27"/>
          <w:rtl/>
          <w:lang w:bidi="ar-LB"/>
        </w:rPr>
      </w:pPr>
      <w:r w:rsidRPr="006571AC">
        <w:rPr>
          <w:rFonts w:hint="cs"/>
          <w:sz w:val="27"/>
          <w:rtl/>
          <w:lang w:bidi="ar-LB"/>
        </w:rPr>
        <w:t>وهناك حالاتٌ، مثل: الإلزامات التربوية للأطفال قبل سنّ البلوغ أو قبل سنّ الرشد، تبدو للوَهْلة الأولى متناقضةً مع أصل الحرّية التكويني.</w:t>
      </w:r>
    </w:p>
    <w:p w:rsidR="008C542A" w:rsidRPr="006571AC" w:rsidRDefault="008C542A" w:rsidP="00706E68">
      <w:pPr>
        <w:tabs>
          <w:tab w:val="right" w:pos="6930"/>
        </w:tabs>
        <w:suppressAutoHyphens/>
        <w:rPr>
          <w:sz w:val="27"/>
          <w:rtl/>
          <w:lang w:bidi="ar-LB"/>
        </w:rPr>
      </w:pPr>
      <w:r w:rsidRPr="006571AC">
        <w:rPr>
          <w:rFonts w:hint="cs"/>
          <w:sz w:val="27"/>
          <w:rtl/>
          <w:lang w:bidi="ar-LB"/>
        </w:rPr>
        <w:t>واليوم نرى جميع الآباء الذين يريدون مصلحة أبنائهم، وكذلك غير الآباء، لا يشكّون في جواز بل ضرورة إجبار الأطفال على القيام ببعض الأعمال، مثل: التعليم والدراسة، والإقلاع عن بعضها الآخر. ويمكن القول: إن خروج مثل هذه الحالات عن القاعدة المطلقة للعقل العمليّ في الحرّية التكوينية هو خروجٌ تخصُّصي، وليس خروجاً تخصيصيّاً، ولذلك لا يضرّ بإطلاق وعموم هذا الأصل.</w:t>
      </w:r>
    </w:p>
    <w:p w:rsidR="008C542A" w:rsidRPr="006571AC" w:rsidRDefault="008C542A" w:rsidP="00706E68">
      <w:pPr>
        <w:tabs>
          <w:tab w:val="right" w:pos="6930"/>
        </w:tabs>
        <w:suppressAutoHyphens/>
        <w:rPr>
          <w:sz w:val="27"/>
          <w:rtl/>
          <w:lang w:bidi="ar-LB"/>
        </w:rPr>
      </w:pPr>
      <w:r w:rsidRPr="006571AC">
        <w:rPr>
          <w:rFonts w:hint="cs"/>
          <w:sz w:val="27"/>
          <w:rtl/>
          <w:lang w:bidi="ar-LB"/>
        </w:rPr>
        <w:t>وتوضيح هذا الادّعاء أنه أحياناً يكون الشخص على يقينٍ من أن شخصاً آخر غير قادر على اتّخاذ القرار الصائب؛ بسبب موقفٍ مؤقَّت ناتج عن الجهل والإهمال، وهو يحاول القيام بفعلٍ غير صائب، وهو متأكِّدٌ أنه سيندم لاحقاً على ما قام به من أعمال غير صحيحة، وحتّى أنه سيلوم نفسه ويلوم الآخرين الذين رأَوْه يقوم بتلك الأعمال الخاطئة؛ لأنهم لم ينهوه ولم يمنعوه عنها، في مثل هذه الحالات يملي العقل العملي للإنسان أن يأخذ الرغبات القطعية واللاحقة القائمة على رؤيةٍ مستنيرة للفاعل بعين الاعتبار، وأن يتمّ مساعدته ق</w:t>
      </w:r>
      <w:r w:rsidR="00CA5058" w:rsidRPr="006571AC">
        <w:rPr>
          <w:rFonts w:hint="cs"/>
          <w:sz w:val="27"/>
          <w:rtl/>
          <w:lang w:bidi="ar-LB"/>
        </w:rPr>
        <w:t>َ</w:t>
      </w:r>
      <w:r w:rsidRPr="006571AC">
        <w:rPr>
          <w:rFonts w:hint="cs"/>
          <w:sz w:val="27"/>
          <w:rtl/>
          <w:lang w:bidi="ar-LB"/>
        </w:rPr>
        <w:t>د</w:t>
      </w:r>
      <w:r w:rsidR="00CA5058" w:rsidRPr="006571AC">
        <w:rPr>
          <w:rFonts w:hint="cs"/>
          <w:sz w:val="27"/>
          <w:rtl/>
          <w:lang w:bidi="ar-LB"/>
        </w:rPr>
        <w:t>ْ</w:t>
      </w:r>
      <w:r w:rsidRPr="006571AC">
        <w:rPr>
          <w:rFonts w:hint="cs"/>
          <w:sz w:val="27"/>
          <w:rtl/>
          <w:lang w:bidi="ar-LB"/>
        </w:rPr>
        <w:t xml:space="preserve">ر المستطاع. في مثل هذه الحالات مساعدةُ الفاعل على اتّباع ما تمليه عليه إرادته الحرّة ما هي إلاّ منعه من الوصول إلى رغبته السابقة والجاهلة. وهكذا فإن أصل الحرّية التكوينية لم ينَلْه التخصيص، وإنّما هم الناس الذين يحبّون الخير لبعضهم البعض، يتعاونون فيما بينهم على القيام بالأعمال الحرّة الواعية، مثل: الشخص الذي يتّجه بإرادته نحو الهاوية في الظلام، والإنسان الواعي يعمل على منعه من الوقوع فيها. وبالطبع </w:t>
      </w:r>
      <w:r w:rsidR="00731867" w:rsidRPr="006571AC">
        <w:rPr>
          <w:rFonts w:hint="cs"/>
          <w:sz w:val="27"/>
          <w:rtl/>
          <w:lang w:bidi="ar-LB"/>
        </w:rPr>
        <w:t>لا شَكَّ</w:t>
      </w:r>
      <w:r w:rsidRPr="006571AC">
        <w:rPr>
          <w:rFonts w:hint="cs"/>
          <w:sz w:val="27"/>
          <w:rtl/>
          <w:lang w:bidi="ar-LB"/>
        </w:rPr>
        <w:t xml:space="preserve"> في أن هذا التبرير الأخلاقيّ والعقلانيّ يمكن أن يكون ذريعةً لخداع الآخرين من قِبَل الطغاة والظالمين.</w:t>
      </w:r>
    </w:p>
    <w:p w:rsidR="008C542A" w:rsidRPr="006571AC" w:rsidRDefault="008C542A" w:rsidP="00706E68">
      <w:pPr>
        <w:tabs>
          <w:tab w:val="right" w:pos="6930"/>
        </w:tabs>
        <w:suppressAutoHyphens/>
        <w:rPr>
          <w:sz w:val="27"/>
          <w:rtl/>
          <w:lang w:bidi="ar-LB"/>
        </w:rPr>
      </w:pPr>
      <w:r w:rsidRPr="006571AC">
        <w:rPr>
          <w:sz w:val="27"/>
          <w:rtl/>
          <w:lang w:bidi="ar-LB"/>
        </w:rPr>
        <w:t>وقد يورد بعض</w:t>
      </w:r>
      <w:r w:rsidR="00726142" w:rsidRPr="006571AC">
        <w:rPr>
          <w:rFonts w:hint="cs"/>
          <w:sz w:val="27"/>
          <w:rtl/>
          <w:lang w:bidi="ar-LB"/>
        </w:rPr>
        <w:t>ٌ</w:t>
      </w:r>
      <w:r w:rsidRPr="006571AC">
        <w:rPr>
          <w:sz w:val="27"/>
          <w:rtl/>
          <w:lang w:bidi="ar-LB"/>
        </w:rPr>
        <w:t xml:space="preserve"> هذا الإشكال</w:t>
      </w:r>
      <w:r w:rsidR="00726142" w:rsidRPr="006571AC">
        <w:rPr>
          <w:rFonts w:hint="cs"/>
          <w:sz w:val="27"/>
          <w:rtl/>
          <w:lang w:bidi="ar-LB"/>
        </w:rPr>
        <w:t>،</w:t>
      </w:r>
      <w:r w:rsidRPr="006571AC">
        <w:rPr>
          <w:rFonts w:hint="cs"/>
          <w:sz w:val="27"/>
          <w:rtl/>
          <w:lang w:bidi="ar-LB"/>
        </w:rPr>
        <w:t xml:space="preserve"> بأ</w:t>
      </w:r>
      <w:r w:rsidRPr="006571AC">
        <w:rPr>
          <w:sz w:val="27"/>
          <w:rtl/>
          <w:lang w:bidi="ar-LB"/>
        </w:rPr>
        <w:t>ن إجبار المكل</w:t>
      </w:r>
      <w:r w:rsidR="00726142" w:rsidRPr="006571AC">
        <w:rPr>
          <w:rFonts w:hint="cs"/>
          <w:sz w:val="27"/>
          <w:rtl/>
          <w:lang w:bidi="ar-LB"/>
        </w:rPr>
        <w:t>َّ</w:t>
      </w:r>
      <w:r w:rsidRPr="006571AC">
        <w:rPr>
          <w:sz w:val="27"/>
          <w:rtl/>
          <w:lang w:bidi="ar-LB"/>
        </w:rPr>
        <w:t>فين على القيام بالوظائف الدينية هو مصداق</w:t>
      </w:r>
      <w:r w:rsidR="00726142" w:rsidRPr="006571AC">
        <w:rPr>
          <w:rFonts w:hint="cs"/>
          <w:sz w:val="27"/>
          <w:rtl/>
          <w:lang w:bidi="ar-LB"/>
        </w:rPr>
        <w:t>ٌ</w:t>
      </w:r>
      <w:r w:rsidRPr="006571AC">
        <w:rPr>
          <w:sz w:val="27"/>
          <w:rtl/>
          <w:lang w:bidi="ar-LB"/>
        </w:rPr>
        <w:t xml:space="preserve"> لهذا المورد الأخير</w:t>
      </w:r>
      <w:r w:rsidRPr="006571AC">
        <w:rPr>
          <w:rFonts w:hint="cs"/>
          <w:sz w:val="27"/>
          <w:rtl/>
          <w:lang w:bidi="ar-LB"/>
        </w:rPr>
        <w:t xml:space="preserve"> </w:t>
      </w:r>
      <w:r w:rsidRPr="006571AC">
        <w:rPr>
          <w:sz w:val="27"/>
          <w:rtl/>
          <w:lang w:bidi="ar-LB"/>
        </w:rPr>
        <w:t>أيض</w:t>
      </w:r>
      <w:r w:rsidRPr="006571AC">
        <w:rPr>
          <w:rFonts w:hint="cs"/>
          <w:sz w:val="27"/>
          <w:rtl/>
          <w:lang w:bidi="ar-LB"/>
        </w:rPr>
        <w:t>اً</w:t>
      </w:r>
      <w:r w:rsidR="00726142" w:rsidRPr="006571AC">
        <w:rPr>
          <w:rFonts w:hint="cs"/>
          <w:sz w:val="27"/>
          <w:rtl/>
          <w:lang w:bidi="ar-LB"/>
        </w:rPr>
        <w:t>؛</w:t>
      </w:r>
      <w:r w:rsidRPr="006571AC">
        <w:rPr>
          <w:sz w:val="27"/>
          <w:rtl/>
          <w:lang w:bidi="ar-LB"/>
        </w:rPr>
        <w:t xml:space="preserve"> لأن المكل</w:t>
      </w:r>
      <w:r w:rsidR="00726142" w:rsidRPr="006571AC">
        <w:rPr>
          <w:rFonts w:hint="cs"/>
          <w:sz w:val="27"/>
          <w:rtl/>
          <w:lang w:bidi="ar-LB"/>
        </w:rPr>
        <w:t>َّ</w:t>
      </w:r>
      <w:r w:rsidRPr="006571AC">
        <w:rPr>
          <w:sz w:val="27"/>
          <w:rtl/>
          <w:lang w:bidi="ar-LB"/>
        </w:rPr>
        <w:t>فين سيفهمون بعد الموت أن إجبارهم على الوظائف الدينية كان يصب</w:t>
      </w:r>
      <w:r w:rsidR="00726142" w:rsidRPr="006571AC">
        <w:rPr>
          <w:rFonts w:hint="cs"/>
          <w:sz w:val="27"/>
          <w:rtl/>
          <w:lang w:bidi="ar-LB"/>
        </w:rPr>
        <w:t>ّ</w:t>
      </w:r>
      <w:r w:rsidRPr="006571AC">
        <w:rPr>
          <w:sz w:val="27"/>
          <w:rtl/>
          <w:lang w:bidi="ar-LB"/>
        </w:rPr>
        <w:t xml:space="preserve"> في مصلحتهم</w:t>
      </w:r>
      <w:r w:rsidRPr="006571AC">
        <w:rPr>
          <w:rFonts w:hint="cs"/>
          <w:sz w:val="27"/>
          <w:rtl/>
          <w:lang w:bidi="ar-LB"/>
        </w:rPr>
        <w:t>،</w:t>
      </w:r>
      <w:r w:rsidRPr="006571AC">
        <w:rPr>
          <w:sz w:val="27"/>
          <w:rtl/>
          <w:lang w:bidi="ar-LB"/>
        </w:rPr>
        <w:t xml:space="preserve"> </w:t>
      </w:r>
      <w:r w:rsidRPr="006571AC">
        <w:rPr>
          <w:rFonts w:hint="cs"/>
          <w:sz w:val="27"/>
          <w:rtl/>
          <w:lang w:bidi="ar-LB"/>
        </w:rPr>
        <w:t>و</w:t>
      </w:r>
      <w:r w:rsidRPr="006571AC">
        <w:rPr>
          <w:sz w:val="27"/>
          <w:rtl/>
          <w:lang w:bidi="ar-LB"/>
        </w:rPr>
        <w:t>لكن</w:t>
      </w:r>
      <w:r w:rsidR="00726142" w:rsidRPr="006571AC">
        <w:rPr>
          <w:rFonts w:hint="cs"/>
          <w:sz w:val="27"/>
          <w:rtl/>
          <w:lang w:bidi="ar-LB"/>
        </w:rPr>
        <w:t>ْ</w:t>
      </w:r>
      <w:r w:rsidRPr="006571AC">
        <w:rPr>
          <w:sz w:val="27"/>
          <w:rtl/>
          <w:lang w:bidi="ar-LB"/>
        </w:rPr>
        <w:t xml:space="preserve"> لأنهم كانوا غافلين عن حياة ما بعد الموت ونتائج أعمالهم </w:t>
      </w:r>
      <w:r w:rsidRPr="006571AC">
        <w:rPr>
          <w:rFonts w:hint="cs"/>
          <w:sz w:val="27"/>
          <w:rtl/>
          <w:lang w:bidi="ar-LB"/>
        </w:rPr>
        <w:t xml:space="preserve">فإنهم </w:t>
      </w:r>
      <w:r w:rsidRPr="006571AC">
        <w:rPr>
          <w:sz w:val="27"/>
          <w:rtl/>
          <w:lang w:bidi="ar-LB"/>
        </w:rPr>
        <w:t>كانوا يعصون أوامر الله</w:t>
      </w:r>
      <w:r w:rsidRPr="006571AC">
        <w:rPr>
          <w:rFonts w:hint="cs"/>
          <w:sz w:val="27"/>
          <w:rtl/>
          <w:lang w:bidi="ar-LB"/>
        </w:rPr>
        <w:t>،</w:t>
      </w:r>
      <w:r w:rsidRPr="006571AC">
        <w:rPr>
          <w:sz w:val="27"/>
          <w:rtl/>
          <w:lang w:bidi="ar-LB"/>
        </w:rPr>
        <w:t xml:space="preserve"> ففي هكذا </w:t>
      </w:r>
      <w:r w:rsidRPr="006571AC">
        <w:rPr>
          <w:sz w:val="27"/>
          <w:rtl/>
          <w:lang w:bidi="ar-LB"/>
        </w:rPr>
        <w:lastRenderedPageBreak/>
        <w:t>موارد أيض</w:t>
      </w:r>
      <w:r w:rsidRPr="006571AC">
        <w:rPr>
          <w:rFonts w:hint="cs"/>
          <w:sz w:val="27"/>
          <w:rtl/>
          <w:lang w:bidi="ar-LB"/>
        </w:rPr>
        <w:t>اً</w:t>
      </w:r>
      <w:r w:rsidRPr="006571AC">
        <w:rPr>
          <w:sz w:val="27"/>
          <w:rtl/>
          <w:lang w:bidi="ar-LB"/>
        </w:rPr>
        <w:t xml:space="preserve"> يحكم العقل العملي</w:t>
      </w:r>
      <w:r w:rsidR="00C108E0" w:rsidRPr="006571AC">
        <w:rPr>
          <w:rFonts w:hint="cs"/>
          <w:sz w:val="27"/>
          <w:rtl/>
          <w:lang w:bidi="ar-LB"/>
        </w:rPr>
        <w:t>ّ</w:t>
      </w:r>
      <w:r w:rsidRPr="006571AC">
        <w:rPr>
          <w:sz w:val="27"/>
          <w:rtl/>
          <w:lang w:bidi="ar-LB"/>
        </w:rPr>
        <w:t xml:space="preserve"> للإنسان أنه </w:t>
      </w:r>
      <w:r w:rsidR="00731867" w:rsidRPr="006571AC">
        <w:rPr>
          <w:sz w:val="27"/>
          <w:rtl/>
          <w:lang w:bidi="ar-LB"/>
        </w:rPr>
        <w:t>لا بُدَّ</w:t>
      </w:r>
      <w:r w:rsidRPr="006571AC">
        <w:rPr>
          <w:sz w:val="27"/>
          <w:rtl/>
          <w:lang w:bidi="ar-LB"/>
        </w:rPr>
        <w:t xml:space="preserve"> من أخذ الإرادة القطعي</w:t>
      </w:r>
      <w:r w:rsidR="00C108E0" w:rsidRPr="006571AC">
        <w:rPr>
          <w:rFonts w:hint="cs"/>
          <w:sz w:val="27"/>
          <w:rtl/>
          <w:lang w:bidi="ar-LB"/>
        </w:rPr>
        <w:t>ّ</w:t>
      </w:r>
      <w:r w:rsidRPr="006571AC">
        <w:rPr>
          <w:sz w:val="27"/>
          <w:rtl/>
          <w:lang w:bidi="ar-LB"/>
        </w:rPr>
        <w:t>ة واللاحقة للفاعل التي نشأ</w:t>
      </w:r>
      <w:r w:rsidR="00C108E0" w:rsidRPr="006571AC">
        <w:rPr>
          <w:rFonts w:hint="cs"/>
          <w:sz w:val="27"/>
          <w:rtl/>
          <w:lang w:bidi="ar-LB"/>
        </w:rPr>
        <w:t>َ</w:t>
      </w:r>
      <w:r w:rsidRPr="006571AC">
        <w:rPr>
          <w:sz w:val="27"/>
          <w:rtl/>
          <w:lang w:bidi="ar-LB"/>
        </w:rPr>
        <w:t>ت</w:t>
      </w:r>
      <w:r w:rsidR="00C108E0" w:rsidRPr="006571AC">
        <w:rPr>
          <w:rFonts w:hint="cs"/>
          <w:sz w:val="27"/>
          <w:rtl/>
          <w:lang w:bidi="ar-LB"/>
        </w:rPr>
        <w:t>ْ</w:t>
      </w:r>
      <w:r w:rsidRPr="006571AC">
        <w:rPr>
          <w:sz w:val="27"/>
          <w:rtl/>
          <w:lang w:bidi="ar-LB"/>
        </w:rPr>
        <w:t xml:space="preserve"> من تنويره بالاعتبار. وبعبارةٍ أخرى: الجحيم م</w:t>
      </w:r>
      <w:r w:rsidR="00C108E0" w:rsidRPr="006571AC">
        <w:rPr>
          <w:rFonts w:hint="cs"/>
          <w:sz w:val="27"/>
          <w:rtl/>
          <w:lang w:bidi="ar-LB"/>
        </w:rPr>
        <w:t>َهْ</w:t>
      </w:r>
      <w:r w:rsidRPr="006571AC">
        <w:rPr>
          <w:sz w:val="27"/>
          <w:rtl/>
          <w:lang w:bidi="ar-LB"/>
        </w:rPr>
        <w:t>ل</w:t>
      </w:r>
      <w:r w:rsidR="00C108E0" w:rsidRPr="006571AC">
        <w:rPr>
          <w:rFonts w:hint="cs"/>
          <w:sz w:val="27"/>
          <w:rtl/>
          <w:lang w:bidi="ar-LB"/>
        </w:rPr>
        <w:t>َ</w:t>
      </w:r>
      <w:r w:rsidRPr="006571AC">
        <w:rPr>
          <w:sz w:val="27"/>
          <w:rtl/>
          <w:lang w:bidi="ar-LB"/>
        </w:rPr>
        <w:t>كة</w:t>
      </w:r>
      <w:r w:rsidR="00C108E0" w:rsidRPr="006571AC">
        <w:rPr>
          <w:rFonts w:hint="cs"/>
          <w:sz w:val="27"/>
          <w:rtl/>
          <w:lang w:bidi="ar-LB"/>
        </w:rPr>
        <w:t>ٌ</w:t>
      </w:r>
      <w:r w:rsidRPr="006571AC">
        <w:rPr>
          <w:sz w:val="27"/>
          <w:rtl/>
          <w:lang w:bidi="ar-LB"/>
        </w:rPr>
        <w:t xml:space="preserve"> خطيرة جد</w:t>
      </w:r>
      <w:r w:rsidRPr="006571AC">
        <w:rPr>
          <w:rFonts w:hint="cs"/>
          <w:sz w:val="27"/>
          <w:rtl/>
          <w:lang w:bidi="ar-LB"/>
        </w:rPr>
        <w:t>اً</w:t>
      </w:r>
      <w:r w:rsidRPr="006571AC">
        <w:rPr>
          <w:sz w:val="27"/>
          <w:rtl/>
          <w:lang w:bidi="ar-LB"/>
        </w:rPr>
        <w:t>، والأجدر بالإنسان أن يُم</w:t>
      </w:r>
      <w:r w:rsidR="00C108E0" w:rsidRPr="006571AC">
        <w:rPr>
          <w:rFonts w:hint="cs"/>
          <w:sz w:val="27"/>
          <w:rtl/>
          <w:lang w:bidi="ar-LB"/>
        </w:rPr>
        <w:t>ْ</w:t>
      </w:r>
      <w:r w:rsidRPr="006571AC">
        <w:rPr>
          <w:sz w:val="27"/>
          <w:rtl/>
          <w:lang w:bidi="ar-LB"/>
        </w:rPr>
        <w:t>ن</w:t>
      </w:r>
      <w:r w:rsidR="00C108E0" w:rsidRPr="006571AC">
        <w:rPr>
          <w:rFonts w:hint="cs"/>
          <w:sz w:val="27"/>
          <w:rtl/>
          <w:lang w:bidi="ar-LB"/>
        </w:rPr>
        <w:t>َ</w:t>
      </w:r>
      <w:r w:rsidRPr="006571AC">
        <w:rPr>
          <w:sz w:val="27"/>
          <w:rtl/>
          <w:lang w:bidi="ar-LB"/>
        </w:rPr>
        <w:t>ع عن السقوط فيها ـ وإن</w:t>
      </w:r>
      <w:r w:rsidR="00C108E0" w:rsidRPr="006571AC">
        <w:rPr>
          <w:rFonts w:hint="cs"/>
          <w:sz w:val="27"/>
          <w:rtl/>
          <w:lang w:bidi="ar-LB"/>
        </w:rPr>
        <w:t>ْ</w:t>
      </w:r>
      <w:r w:rsidRPr="006571AC">
        <w:rPr>
          <w:sz w:val="27"/>
          <w:rtl/>
          <w:lang w:bidi="ar-LB"/>
        </w:rPr>
        <w:t xml:space="preserve"> كان ذلك بالقو</w:t>
      </w:r>
      <w:r w:rsidR="00C108E0" w:rsidRPr="006571AC">
        <w:rPr>
          <w:rFonts w:hint="cs"/>
          <w:sz w:val="27"/>
          <w:rtl/>
          <w:lang w:bidi="ar-LB"/>
        </w:rPr>
        <w:t>ّ</w:t>
      </w:r>
      <w:r w:rsidRPr="006571AC">
        <w:rPr>
          <w:sz w:val="27"/>
          <w:rtl/>
          <w:lang w:bidi="ar-LB"/>
        </w:rPr>
        <w:t>ة والإكراه</w:t>
      </w:r>
      <w:r w:rsidRPr="006571AC">
        <w:rPr>
          <w:rFonts w:hint="cs"/>
          <w:sz w:val="27"/>
          <w:rtl/>
          <w:lang w:bidi="ar-LB"/>
        </w:rPr>
        <w:t xml:space="preserve"> </w:t>
      </w:r>
      <w:r w:rsidRPr="006571AC">
        <w:rPr>
          <w:sz w:val="27"/>
          <w:rtl/>
          <w:lang w:bidi="ar-LB"/>
        </w:rPr>
        <w:t>ـ كما يمنع عن السقوط من المهالك الج</w:t>
      </w:r>
      <w:r w:rsidR="00C108E0" w:rsidRPr="006571AC">
        <w:rPr>
          <w:rFonts w:hint="cs"/>
          <w:sz w:val="27"/>
          <w:rtl/>
          <w:lang w:bidi="ar-LB"/>
        </w:rPr>
        <w:t>َ</w:t>
      </w:r>
      <w:r w:rsidRPr="006571AC">
        <w:rPr>
          <w:sz w:val="27"/>
          <w:rtl/>
          <w:lang w:bidi="ar-LB"/>
        </w:rPr>
        <w:t>س</w:t>
      </w:r>
      <w:r w:rsidR="00C108E0" w:rsidRPr="006571AC">
        <w:rPr>
          <w:rFonts w:hint="cs"/>
          <w:sz w:val="27"/>
          <w:rtl/>
          <w:lang w:bidi="ar-LB"/>
        </w:rPr>
        <w:t>َ</w:t>
      </w:r>
      <w:r w:rsidRPr="006571AC">
        <w:rPr>
          <w:sz w:val="27"/>
          <w:rtl/>
          <w:lang w:bidi="ar-LB"/>
        </w:rPr>
        <w:t>دية أو الماد</w:t>
      </w:r>
      <w:r w:rsidR="00C108E0" w:rsidRPr="006571AC">
        <w:rPr>
          <w:rFonts w:hint="cs"/>
          <w:sz w:val="27"/>
          <w:rtl/>
          <w:lang w:bidi="ar-LB"/>
        </w:rPr>
        <w:t>ّ</w:t>
      </w:r>
      <w:r w:rsidRPr="006571AC">
        <w:rPr>
          <w:sz w:val="27"/>
          <w:rtl/>
          <w:lang w:bidi="ar-LB"/>
        </w:rPr>
        <w:t>ية.</w:t>
      </w:r>
    </w:p>
    <w:p w:rsidR="008C542A" w:rsidRPr="006571AC" w:rsidRDefault="008C542A" w:rsidP="00706E68">
      <w:pPr>
        <w:tabs>
          <w:tab w:val="right" w:pos="6930"/>
        </w:tabs>
        <w:suppressAutoHyphens/>
        <w:rPr>
          <w:sz w:val="27"/>
          <w:rtl/>
          <w:lang w:bidi="ar-LB"/>
        </w:rPr>
      </w:pPr>
      <w:r w:rsidRPr="006571AC">
        <w:rPr>
          <w:sz w:val="27"/>
          <w:rtl/>
          <w:lang w:bidi="ar-LB"/>
        </w:rPr>
        <w:t>والجواب ع</w:t>
      </w:r>
      <w:r w:rsidRPr="006571AC">
        <w:rPr>
          <w:rFonts w:hint="cs"/>
          <w:sz w:val="27"/>
          <w:rtl/>
          <w:lang w:bidi="ar-LB"/>
        </w:rPr>
        <w:t>ن</w:t>
      </w:r>
      <w:r w:rsidRPr="006571AC">
        <w:rPr>
          <w:sz w:val="27"/>
          <w:rtl/>
          <w:lang w:bidi="ar-LB"/>
        </w:rPr>
        <w:t xml:space="preserve"> هذا الإشكال واضح</w:t>
      </w:r>
      <w:r w:rsidR="00C108E0" w:rsidRPr="006571AC">
        <w:rPr>
          <w:rFonts w:hint="cs"/>
          <w:sz w:val="27"/>
          <w:rtl/>
          <w:lang w:bidi="ar-LB"/>
        </w:rPr>
        <w:t>ٌ؛</w:t>
      </w:r>
      <w:r w:rsidRPr="006571AC">
        <w:rPr>
          <w:sz w:val="27"/>
          <w:rtl/>
          <w:lang w:bidi="ar-LB"/>
        </w:rPr>
        <w:t xml:space="preserve"> </w:t>
      </w:r>
      <w:r w:rsidRPr="006571AC">
        <w:rPr>
          <w:rFonts w:hint="cs"/>
          <w:sz w:val="27"/>
          <w:rtl/>
          <w:lang w:bidi="ar-LB"/>
        </w:rPr>
        <w:t>ف</w:t>
      </w:r>
      <w:r w:rsidRPr="006571AC">
        <w:rPr>
          <w:sz w:val="27"/>
          <w:rtl/>
          <w:lang w:bidi="ar-LB"/>
        </w:rPr>
        <w:t>مقارنة إجبار الأولاد على الدراسة أو إجبار الإنسان المعر</w:t>
      </w:r>
      <w:r w:rsidR="00C108E0" w:rsidRPr="006571AC">
        <w:rPr>
          <w:rFonts w:hint="cs"/>
          <w:sz w:val="27"/>
          <w:rtl/>
          <w:lang w:bidi="ar-LB"/>
        </w:rPr>
        <w:t>َّ</w:t>
      </w:r>
      <w:r w:rsidRPr="006571AC">
        <w:rPr>
          <w:sz w:val="27"/>
          <w:rtl/>
          <w:lang w:bidi="ar-LB"/>
        </w:rPr>
        <w:t>ض للسقوط من منحدر بالإجبار على القيام بالوظائف الديني</w:t>
      </w:r>
      <w:r w:rsidR="00C108E0" w:rsidRPr="006571AC">
        <w:rPr>
          <w:rFonts w:hint="cs"/>
          <w:sz w:val="27"/>
          <w:rtl/>
          <w:lang w:bidi="ar-LB"/>
        </w:rPr>
        <w:t>ّ</w:t>
      </w:r>
      <w:r w:rsidRPr="006571AC">
        <w:rPr>
          <w:sz w:val="27"/>
          <w:rtl/>
          <w:lang w:bidi="ar-LB"/>
        </w:rPr>
        <w:t>ة للنجاة من الهلاك في الآخرة</w:t>
      </w:r>
      <w:r w:rsidRPr="006571AC">
        <w:rPr>
          <w:rFonts w:hint="cs"/>
          <w:sz w:val="27"/>
          <w:rtl/>
          <w:lang w:bidi="ar-LB"/>
        </w:rPr>
        <w:t xml:space="preserve"> </w:t>
      </w:r>
      <w:r w:rsidRPr="006571AC">
        <w:rPr>
          <w:sz w:val="27"/>
          <w:rtl/>
          <w:lang w:bidi="ar-LB"/>
        </w:rPr>
        <w:t>قياس</w:t>
      </w:r>
      <w:r w:rsidR="00C108E0" w:rsidRPr="006571AC">
        <w:rPr>
          <w:rFonts w:hint="cs"/>
          <w:sz w:val="27"/>
          <w:rtl/>
          <w:lang w:bidi="ar-LB"/>
        </w:rPr>
        <w:t>ٌ</w:t>
      </w:r>
      <w:r w:rsidRPr="006571AC">
        <w:rPr>
          <w:sz w:val="27"/>
          <w:rtl/>
          <w:lang w:bidi="ar-LB"/>
        </w:rPr>
        <w:t xml:space="preserve"> مع الفارق؛ لأنه كما مر</w:t>
      </w:r>
      <w:r w:rsidR="00C108E0" w:rsidRPr="006571AC">
        <w:rPr>
          <w:rFonts w:hint="cs"/>
          <w:sz w:val="27"/>
          <w:rtl/>
          <w:lang w:bidi="ar-LB"/>
        </w:rPr>
        <w:t>ّ</w:t>
      </w:r>
      <w:r w:rsidRPr="006571AC">
        <w:rPr>
          <w:sz w:val="27"/>
          <w:rtl/>
          <w:lang w:bidi="ar-LB"/>
        </w:rPr>
        <w:t xml:space="preserve"> معنا أن الربح والخسارة في الآخرة مرتبط</w:t>
      </w:r>
      <w:r w:rsidRPr="006571AC">
        <w:rPr>
          <w:rFonts w:hint="cs"/>
          <w:sz w:val="27"/>
          <w:rtl/>
          <w:lang w:bidi="ar-LB"/>
        </w:rPr>
        <w:t>ان</w:t>
      </w:r>
      <w:r w:rsidRPr="006571AC">
        <w:rPr>
          <w:sz w:val="27"/>
          <w:rtl/>
          <w:lang w:bidi="ar-LB"/>
        </w:rPr>
        <w:t xml:space="preserve"> بالفعل الاختياري</w:t>
      </w:r>
      <w:r w:rsidR="00C108E0" w:rsidRPr="006571AC">
        <w:rPr>
          <w:rFonts w:hint="cs"/>
          <w:sz w:val="27"/>
          <w:rtl/>
          <w:lang w:bidi="ar-LB"/>
        </w:rPr>
        <w:t>ّ</w:t>
      </w:r>
      <w:r w:rsidRPr="006571AC">
        <w:rPr>
          <w:sz w:val="27"/>
          <w:rtl/>
          <w:lang w:bidi="ar-LB"/>
        </w:rPr>
        <w:t xml:space="preserve"> للإنسان. ومن ي</w:t>
      </w:r>
      <w:r w:rsidRPr="006571AC">
        <w:rPr>
          <w:rFonts w:hint="cs"/>
          <w:sz w:val="27"/>
          <w:rtl/>
          <w:lang w:bidi="ar-LB"/>
        </w:rPr>
        <w:t>ُ</w:t>
      </w:r>
      <w:r w:rsidRPr="006571AC">
        <w:rPr>
          <w:sz w:val="27"/>
          <w:rtl/>
          <w:lang w:bidi="ar-LB"/>
        </w:rPr>
        <w:t>ج</w:t>
      </w:r>
      <w:r w:rsidR="00C108E0" w:rsidRPr="006571AC">
        <w:rPr>
          <w:rFonts w:hint="cs"/>
          <w:sz w:val="27"/>
          <w:rtl/>
          <w:lang w:bidi="ar-LB"/>
        </w:rPr>
        <w:t>ْ</w:t>
      </w:r>
      <w:r w:rsidRPr="006571AC">
        <w:rPr>
          <w:sz w:val="27"/>
          <w:rtl/>
          <w:lang w:bidi="ar-LB"/>
        </w:rPr>
        <w:t>ب</w:t>
      </w:r>
      <w:r w:rsidRPr="006571AC">
        <w:rPr>
          <w:rFonts w:hint="cs"/>
          <w:sz w:val="27"/>
          <w:rtl/>
          <w:lang w:bidi="ar-LB"/>
        </w:rPr>
        <w:t>َ</w:t>
      </w:r>
      <w:r w:rsidRPr="006571AC">
        <w:rPr>
          <w:sz w:val="27"/>
          <w:rtl/>
          <w:lang w:bidi="ar-LB"/>
        </w:rPr>
        <w:t>ر أو ي</w:t>
      </w:r>
      <w:r w:rsidRPr="006571AC">
        <w:rPr>
          <w:rFonts w:hint="cs"/>
          <w:sz w:val="27"/>
          <w:rtl/>
          <w:lang w:bidi="ar-LB"/>
        </w:rPr>
        <w:t>ُ</w:t>
      </w:r>
      <w:r w:rsidRPr="006571AC">
        <w:rPr>
          <w:sz w:val="27"/>
          <w:rtl/>
          <w:lang w:bidi="ar-LB"/>
        </w:rPr>
        <w:t>ك</w:t>
      </w:r>
      <w:r w:rsidR="00C108E0" w:rsidRPr="006571AC">
        <w:rPr>
          <w:rFonts w:hint="cs"/>
          <w:sz w:val="27"/>
          <w:rtl/>
          <w:lang w:bidi="ar-LB"/>
        </w:rPr>
        <w:t>ْ</w:t>
      </w:r>
      <w:r w:rsidRPr="006571AC">
        <w:rPr>
          <w:sz w:val="27"/>
          <w:rtl/>
          <w:lang w:bidi="ar-LB"/>
        </w:rPr>
        <w:t>ر</w:t>
      </w:r>
      <w:r w:rsidRPr="006571AC">
        <w:rPr>
          <w:rFonts w:hint="cs"/>
          <w:sz w:val="27"/>
          <w:rtl/>
          <w:lang w:bidi="ar-LB"/>
        </w:rPr>
        <w:t>َ</w:t>
      </w:r>
      <w:r w:rsidRPr="006571AC">
        <w:rPr>
          <w:sz w:val="27"/>
          <w:rtl/>
          <w:lang w:bidi="ar-LB"/>
        </w:rPr>
        <w:t>ه على القيام بالوظائف الدينية من غير اختيار</w:t>
      </w:r>
      <w:r w:rsidRPr="006571AC">
        <w:rPr>
          <w:rFonts w:hint="cs"/>
          <w:sz w:val="27"/>
          <w:rtl/>
          <w:lang w:bidi="ar-LB"/>
        </w:rPr>
        <w:t>ٍ</w:t>
      </w:r>
      <w:r w:rsidRPr="006571AC">
        <w:rPr>
          <w:sz w:val="27"/>
          <w:rtl/>
          <w:lang w:bidi="ar-LB"/>
        </w:rPr>
        <w:t xml:space="preserve"> منه </w:t>
      </w:r>
      <w:r w:rsidRPr="006571AC">
        <w:rPr>
          <w:rFonts w:hint="cs"/>
          <w:sz w:val="27"/>
          <w:rtl/>
          <w:lang w:bidi="ar-LB"/>
        </w:rPr>
        <w:t>ف</w:t>
      </w:r>
      <w:r w:rsidRPr="006571AC">
        <w:rPr>
          <w:sz w:val="27"/>
          <w:rtl/>
          <w:lang w:bidi="ar-LB"/>
        </w:rPr>
        <w:t>لن يحص</w:t>
      </w:r>
      <w:r w:rsidR="00C108E0" w:rsidRPr="006571AC">
        <w:rPr>
          <w:rFonts w:hint="cs"/>
          <w:sz w:val="27"/>
          <w:rtl/>
          <w:lang w:bidi="ar-LB"/>
        </w:rPr>
        <w:t>ِّ</w:t>
      </w:r>
      <w:r w:rsidRPr="006571AC">
        <w:rPr>
          <w:sz w:val="27"/>
          <w:rtl/>
          <w:lang w:bidi="ar-LB"/>
        </w:rPr>
        <w:t>ل أي</w:t>
      </w:r>
      <w:r w:rsidR="00C108E0" w:rsidRPr="006571AC">
        <w:rPr>
          <w:rFonts w:hint="cs"/>
          <w:sz w:val="27"/>
          <w:rtl/>
          <w:lang w:bidi="ar-LB"/>
        </w:rPr>
        <w:t>ّ</w:t>
      </w:r>
      <w:r w:rsidRPr="006571AC">
        <w:rPr>
          <w:sz w:val="27"/>
          <w:rtl/>
          <w:lang w:bidi="ar-LB"/>
        </w:rPr>
        <w:t xml:space="preserve"> فائدة</w:t>
      </w:r>
      <w:r w:rsidR="00C108E0" w:rsidRPr="006571AC">
        <w:rPr>
          <w:rFonts w:hint="cs"/>
          <w:sz w:val="27"/>
          <w:rtl/>
          <w:lang w:bidi="ar-LB"/>
        </w:rPr>
        <w:t>ٍ</w:t>
      </w:r>
      <w:r w:rsidRPr="006571AC">
        <w:rPr>
          <w:sz w:val="27"/>
          <w:rtl/>
          <w:lang w:bidi="ar-LB"/>
        </w:rPr>
        <w:t xml:space="preserve"> في الآخرة. </w:t>
      </w:r>
      <w:r w:rsidR="00731867" w:rsidRPr="006571AC">
        <w:rPr>
          <w:sz w:val="27"/>
          <w:rtl/>
          <w:lang w:bidi="ar-LB"/>
        </w:rPr>
        <w:t>إذن</w:t>
      </w:r>
      <w:r w:rsidRPr="006571AC">
        <w:rPr>
          <w:rFonts w:hint="cs"/>
          <w:sz w:val="27"/>
          <w:rtl/>
          <w:lang w:bidi="ar-LB"/>
        </w:rPr>
        <w:t>،</w:t>
      </w:r>
      <w:r w:rsidRPr="006571AC">
        <w:rPr>
          <w:sz w:val="27"/>
          <w:rtl/>
          <w:lang w:bidi="ar-LB"/>
        </w:rPr>
        <w:t xml:space="preserve"> فتصو</w:t>
      </w:r>
      <w:r w:rsidR="00C108E0" w:rsidRPr="006571AC">
        <w:rPr>
          <w:rFonts w:hint="cs"/>
          <w:sz w:val="27"/>
          <w:rtl/>
          <w:lang w:bidi="ar-LB"/>
        </w:rPr>
        <w:t>ُّ</w:t>
      </w:r>
      <w:r w:rsidRPr="006571AC">
        <w:rPr>
          <w:sz w:val="27"/>
          <w:rtl/>
          <w:lang w:bidi="ar-LB"/>
        </w:rPr>
        <w:t>ر المُج</w:t>
      </w:r>
      <w:r w:rsidR="00C108E0" w:rsidRPr="006571AC">
        <w:rPr>
          <w:rFonts w:hint="cs"/>
          <w:sz w:val="27"/>
          <w:rtl/>
          <w:lang w:bidi="ar-LB"/>
        </w:rPr>
        <w:t>ْ</w:t>
      </w:r>
      <w:r w:rsidRPr="006571AC">
        <w:rPr>
          <w:sz w:val="27"/>
          <w:rtl/>
          <w:lang w:bidi="ar-LB"/>
        </w:rPr>
        <w:t>بِر أنه بفعله هذا ينج</w:t>
      </w:r>
      <w:r w:rsidR="00C108E0" w:rsidRPr="006571AC">
        <w:rPr>
          <w:rFonts w:hint="cs"/>
          <w:sz w:val="27"/>
          <w:rtl/>
          <w:lang w:bidi="ar-LB"/>
        </w:rPr>
        <w:t>ّ</w:t>
      </w:r>
      <w:r w:rsidRPr="006571AC">
        <w:rPr>
          <w:rFonts w:hint="cs"/>
          <w:sz w:val="27"/>
          <w:rtl/>
          <w:lang w:bidi="ar-LB"/>
        </w:rPr>
        <w:t>ي</w:t>
      </w:r>
      <w:r w:rsidRPr="006571AC">
        <w:rPr>
          <w:sz w:val="27"/>
          <w:rtl/>
          <w:lang w:bidi="ar-LB"/>
        </w:rPr>
        <w:t xml:space="preserve"> الآخرين معنو</w:t>
      </w:r>
      <w:r w:rsidRPr="006571AC">
        <w:rPr>
          <w:rFonts w:hint="cs"/>
          <w:sz w:val="27"/>
          <w:rtl/>
          <w:lang w:bidi="ar-LB"/>
        </w:rPr>
        <w:t>ي</w:t>
      </w:r>
      <w:r w:rsidR="00C108E0" w:rsidRPr="006571AC">
        <w:rPr>
          <w:rFonts w:hint="cs"/>
          <w:sz w:val="27"/>
          <w:rtl/>
          <w:lang w:bidi="ar-LB"/>
        </w:rPr>
        <w:t>ّ</w:t>
      </w:r>
      <w:r w:rsidRPr="006571AC">
        <w:rPr>
          <w:rFonts w:hint="cs"/>
          <w:sz w:val="27"/>
          <w:rtl/>
          <w:lang w:bidi="ar-LB"/>
        </w:rPr>
        <w:t>اً</w:t>
      </w:r>
      <w:r w:rsidRPr="006571AC">
        <w:rPr>
          <w:sz w:val="27"/>
          <w:rtl/>
          <w:lang w:bidi="ar-LB"/>
        </w:rPr>
        <w:t xml:space="preserve"> وأخروي</w:t>
      </w:r>
      <w:r w:rsidRPr="006571AC">
        <w:rPr>
          <w:rFonts w:hint="cs"/>
          <w:sz w:val="27"/>
          <w:rtl/>
          <w:lang w:bidi="ar-LB"/>
        </w:rPr>
        <w:t>اً</w:t>
      </w:r>
      <w:r w:rsidRPr="006571AC">
        <w:rPr>
          <w:sz w:val="27"/>
          <w:rtl/>
          <w:lang w:bidi="ar-LB"/>
        </w:rPr>
        <w:t xml:space="preserve"> لا يعدو كونه توه</w:t>
      </w:r>
      <w:r w:rsidRPr="006571AC">
        <w:rPr>
          <w:rFonts w:hint="cs"/>
          <w:sz w:val="27"/>
          <w:rtl/>
          <w:lang w:bidi="ar-LB"/>
        </w:rPr>
        <w:t>ُّ</w:t>
      </w:r>
      <w:r w:rsidRPr="006571AC">
        <w:rPr>
          <w:sz w:val="27"/>
          <w:rtl/>
          <w:lang w:bidi="ar-LB"/>
        </w:rPr>
        <w:t>م</w:t>
      </w:r>
      <w:r w:rsidRPr="006571AC">
        <w:rPr>
          <w:rFonts w:hint="cs"/>
          <w:sz w:val="27"/>
          <w:rtl/>
          <w:lang w:bidi="ar-LB"/>
        </w:rPr>
        <w:t>اً</w:t>
      </w:r>
      <w:r w:rsidRPr="006571AC">
        <w:rPr>
          <w:sz w:val="27"/>
          <w:rtl/>
          <w:lang w:bidi="ar-LB"/>
        </w:rPr>
        <w:t xml:space="preserve"> لا أساس له من الصح</w:t>
      </w:r>
      <w:r w:rsidRPr="006571AC">
        <w:rPr>
          <w:rFonts w:hint="cs"/>
          <w:sz w:val="27"/>
          <w:rtl/>
          <w:lang w:bidi="ar-LB"/>
        </w:rPr>
        <w:t>ّ</w:t>
      </w:r>
      <w:r w:rsidRPr="006571AC">
        <w:rPr>
          <w:sz w:val="27"/>
          <w:rtl/>
          <w:lang w:bidi="ar-LB"/>
        </w:rPr>
        <w:t>ة. والرواية التي نق</w:t>
      </w:r>
      <w:r w:rsidR="00C108E0" w:rsidRPr="006571AC">
        <w:rPr>
          <w:rFonts w:hint="cs"/>
          <w:sz w:val="27"/>
          <w:rtl/>
          <w:lang w:bidi="ar-LB"/>
        </w:rPr>
        <w:t>َ</w:t>
      </w:r>
      <w:r w:rsidRPr="006571AC">
        <w:rPr>
          <w:sz w:val="27"/>
          <w:rtl/>
          <w:lang w:bidi="ar-LB"/>
        </w:rPr>
        <w:t>ل</w:t>
      </w:r>
      <w:r w:rsidR="00C108E0" w:rsidRPr="006571AC">
        <w:rPr>
          <w:rFonts w:hint="cs"/>
          <w:sz w:val="27"/>
          <w:rtl/>
          <w:lang w:bidi="ar-LB"/>
        </w:rPr>
        <w:t>ْ</w:t>
      </w:r>
      <w:r w:rsidRPr="006571AC">
        <w:rPr>
          <w:sz w:val="27"/>
          <w:rtl/>
          <w:lang w:bidi="ar-LB"/>
        </w:rPr>
        <w:t>ناها عن الإمام الرضا</w:t>
      </w:r>
      <w:r w:rsidRPr="006571AC">
        <w:rPr>
          <w:rFonts w:ascii="Mosawi" w:hAnsi="Mosawi" w:cs="Mosawi"/>
          <w:sz w:val="22"/>
          <w:szCs w:val="22"/>
          <w:rtl/>
        </w:rPr>
        <w:t>×</w:t>
      </w:r>
      <w:r w:rsidRPr="006571AC">
        <w:rPr>
          <w:sz w:val="27"/>
          <w:rtl/>
          <w:lang w:bidi="ar-LB"/>
        </w:rPr>
        <w:t xml:space="preserve"> أك</w:t>
      </w:r>
      <w:r w:rsidR="00C108E0" w:rsidRPr="006571AC">
        <w:rPr>
          <w:rFonts w:hint="cs"/>
          <w:sz w:val="27"/>
          <w:rtl/>
          <w:lang w:bidi="ar-LB"/>
        </w:rPr>
        <w:t>َّ</w:t>
      </w:r>
      <w:r w:rsidRPr="006571AC">
        <w:rPr>
          <w:sz w:val="27"/>
          <w:rtl/>
          <w:lang w:bidi="ar-LB"/>
        </w:rPr>
        <w:t>د</w:t>
      </w:r>
      <w:r w:rsidR="00C108E0" w:rsidRPr="006571AC">
        <w:rPr>
          <w:rFonts w:hint="cs"/>
          <w:sz w:val="27"/>
          <w:rtl/>
          <w:lang w:bidi="ar-LB"/>
        </w:rPr>
        <w:t>َ</w:t>
      </w:r>
      <w:r w:rsidRPr="006571AC">
        <w:rPr>
          <w:sz w:val="27"/>
          <w:rtl/>
          <w:lang w:bidi="ar-LB"/>
        </w:rPr>
        <w:t>ت</w:t>
      </w:r>
      <w:r w:rsidR="00C108E0" w:rsidRPr="006571AC">
        <w:rPr>
          <w:rFonts w:hint="cs"/>
          <w:sz w:val="27"/>
          <w:rtl/>
          <w:lang w:bidi="ar-LB"/>
        </w:rPr>
        <w:t>ْ</w:t>
      </w:r>
      <w:r w:rsidRPr="006571AC">
        <w:rPr>
          <w:sz w:val="27"/>
          <w:rtl/>
          <w:lang w:bidi="ar-LB"/>
        </w:rPr>
        <w:t xml:space="preserve"> هذا الأمر</w:t>
      </w:r>
      <w:r w:rsidRPr="006571AC">
        <w:rPr>
          <w:rFonts w:hint="cs"/>
          <w:sz w:val="27"/>
          <w:rtl/>
          <w:lang w:bidi="ar-LB"/>
        </w:rPr>
        <w:t xml:space="preserve"> ب</w:t>
      </w:r>
      <w:r w:rsidRPr="006571AC">
        <w:rPr>
          <w:sz w:val="27"/>
          <w:rtl/>
          <w:lang w:bidi="ar-LB"/>
        </w:rPr>
        <w:t>أنه لو كان الإجبار والإكراه على الإيمان والقيام بالوظائف الديني</w:t>
      </w:r>
      <w:r w:rsidR="00C108E0" w:rsidRPr="006571AC">
        <w:rPr>
          <w:rFonts w:hint="cs"/>
          <w:sz w:val="27"/>
          <w:rtl/>
          <w:lang w:bidi="ar-LB"/>
        </w:rPr>
        <w:t>ّ</w:t>
      </w:r>
      <w:r w:rsidRPr="006571AC">
        <w:rPr>
          <w:sz w:val="27"/>
          <w:rtl/>
          <w:lang w:bidi="ar-LB"/>
        </w:rPr>
        <w:t>ة ينفع</w:t>
      </w:r>
      <w:r w:rsidRPr="006571AC">
        <w:rPr>
          <w:rFonts w:hint="cs"/>
          <w:sz w:val="27"/>
          <w:rtl/>
          <w:lang w:bidi="ar-LB"/>
        </w:rPr>
        <w:t xml:space="preserve"> </w:t>
      </w:r>
      <w:r w:rsidRPr="006571AC">
        <w:rPr>
          <w:sz w:val="27"/>
          <w:rtl/>
          <w:lang w:bidi="ar-LB"/>
        </w:rPr>
        <w:t>لأكره الله عباده عليه.</w:t>
      </w:r>
    </w:p>
    <w:p w:rsidR="00AA4501" w:rsidRPr="006571AC" w:rsidRDefault="00AA4501" w:rsidP="00AA4501">
      <w:pPr>
        <w:tabs>
          <w:tab w:val="right" w:pos="6930"/>
        </w:tabs>
        <w:suppressAutoHyphens/>
        <w:spacing w:line="420" w:lineRule="exact"/>
        <w:rPr>
          <w:sz w:val="27"/>
          <w:rtl/>
          <w:lang w:bidi="fa-IR"/>
        </w:rPr>
      </w:pPr>
    </w:p>
    <w:p w:rsidR="008C542A" w:rsidRPr="006571AC" w:rsidRDefault="008C542A" w:rsidP="008C542A">
      <w:pPr>
        <w:pStyle w:val="31"/>
        <w:rPr>
          <w:color w:val="auto"/>
          <w:rtl/>
          <w:lang w:bidi="ar-LB"/>
        </w:rPr>
      </w:pPr>
      <w:bookmarkStart w:id="25" w:name="_Toc114164514"/>
      <w:r w:rsidRPr="006571AC">
        <w:rPr>
          <w:rFonts w:hint="cs"/>
          <w:color w:val="auto"/>
          <w:rtl/>
          <w:lang w:bidi="ar-LB"/>
        </w:rPr>
        <w:t>4</w:t>
      </w:r>
      <w:r w:rsidRPr="006571AC">
        <w:rPr>
          <w:color w:val="auto"/>
          <w:rtl/>
          <w:lang w:bidi="ar-LB"/>
        </w:rPr>
        <w:t>ـ</w:t>
      </w:r>
      <w:r w:rsidRPr="006571AC">
        <w:rPr>
          <w:rFonts w:hint="cs"/>
          <w:color w:val="auto"/>
          <w:rtl/>
          <w:lang w:bidi="ar-LB"/>
        </w:rPr>
        <w:t xml:space="preserve"> حقّ تقرير المصير وضرورة القوانين الإجباري</w:t>
      </w:r>
      <w:r w:rsidR="00C108E0" w:rsidRPr="006571AC">
        <w:rPr>
          <w:rFonts w:hint="cs"/>
          <w:color w:val="auto"/>
          <w:rtl/>
          <w:lang w:bidi="ar-LB"/>
        </w:rPr>
        <w:t>ّ</w:t>
      </w:r>
      <w:r w:rsidRPr="006571AC">
        <w:rPr>
          <w:rFonts w:hint="cs"/>
          <w:color w:val="auto"/>
          <w:rtl/>
          <w:lang w:bidi="ar-LB"/>
        </w:rPr>
        <w:t>ة</w:t>
      </w:r>
      <w:bookmarkEnd w:id="25"/>
    </w:p>
    <w:p w:rsidR="008C542A" w:rsidRPr="006571AC" w:rsidRDefault="008C542A" w:rsidP="00706E68">
      <w:pPr>
        <w:tabs>
          <w:tab w:val="right" w:pos="6930"/>
        </w:tabs>
        <w:suppressAutoHyphens/>
        <w:rPr>
          <w:sz w:val="27"/>
          <w:rtl/>
          <w:lang w:bidi="ar-LB"/>
        </w:rPr>
      </w:pPr>
      <w:r w:rsidRPr="006571AC">
        <w:rPr>
          <w:rFonts w:hint="cs"/>
          <w:sz w:val="27"/>
          <w:rtl/>
          <w:lang w:bidi="ar-LB"/>
        </w:rPr>
        <w:t>يؤدّي أحياناً الحقّ في الاختيار الحرّ في الحياة الاجتماعية إلى تزاحم الإرادات والصراعات بين البشر، ويعطِّل نظام وتماسك المجتمع، أي إن الرغبات والتطلُّعات الإنسانيّة المنشودة، وهما: الحرّ</w:t>
      </w:r>
      <w:r w:rsidR="00C108E0" w:rsidRPr="006571AC">
        <w:rPr>
          <w:rFonts w:hint="cs"/>
          <w:sz w:val="27"/>
          <w:rtl/>
          <w:lang w:bidi="ar-LB"/>
        </w:rPr>
        <w:t>ِ</w:t>
      </w:r>
      <w:r w:rsidRPr="006571AC">
        <w:rPr>
          <w:rFonts w:hint="cs"/>
          <w:sz w:val="27"/>
          <w:rtl/>
          <w:lang w:bidi="ar-LB"/>
        </w:rPr>
        <w:t xml:space="preserve">ية في الاختيار؛ والحياة الاجتماعية، وكلاهما مقدّمة لرشد الإنسان ونضجه، تتزاحمان مع بعضهما. </w:t>
      </w:r>
      <w:r w:rsidRPr="006571AC">
        <w:rPr>
          <w:sz w:val="27"/>
          <w:rtl/>
          <w:lang w:bidi="ar-LB"/>
        </w:rPr>
        <w:t>وفي هذه الأثناء لا خيار أمامنا إلا تشكيل حكومة</w:t>
      </w:r>
      <w:r w:rsidRPr="006571AC">
        <w:rPr>
          <w:rFonts w:hint="cs"/>
          <w:sz w:val="27"/>
          <w:rtl/>
          <w:lang w:bidi="ar-LB"/>
        </w:rPr>
        <w:t>،</w:t>
      </w:r>
      <w:r w:rsidRPr="006571AC">
        <w:rPr>
          <w:sz w:val="27"/>
          <w:rtl/>
          <w:lang w:bidi="ar-LB"/>
        </w:rPr>
        <w:t xml:space="preserve"> ووضع قوانين إجبارية للحد</w:t>
      </w:r>
      <w:r w:rsidR="00C108E0" w:rsidRPr="006571AC">
        <w:rPr>
          <w:rFonts w:hint="cs"/>
          <w:sz w:val="27"/>
          <w:rtl/>
          <w:lang w:bidi="ar-LB"/>
        </w:rPr>
        <w:t>ّ</w:t>
      </w:r>
      <w:r w:rsidRPr="006571AC">
        <w:rPr>
          <w:sz w:val="27"/>
          <w:rtl/>
          <w:lang w:bidi="ar-LB"/>
        </w:rPr>
        <w:t xml:space="preserve"> من حر</w:t>
      </w:r>
      <w:r w:rsidR="00C108E0" w:rsidRPr="006571AC">
        <w:rPr>
          <w:rFonts w:hint="cs"/>
          <w:sz w:val="27"/>
          <w:rtl/>
          <w:lang w:bidi="ar-LB"/>
        </w:rPr>
        <w:t>ّ</w:t>
      </w:r>
      <w:r w:rsidRPr="006571AC">
        <w:rPr>
          <w:sz w:val="27"/>
          <w:rtl/>
          <w:lang w:bidi="ar-LB"/>
        </w:rPr>
        <w:t>يات الأفراد</w:t>
      </w:r>
      <w:r w:rsidR="00C108E0" w:rsidRPr="006571AC">
        <w:rPr>
          <w:rFonts w:hint="cs"/>
          <w:sz w:val="27"/>
          <w:rtl/>
          <w:lang w:bidi="ar-LB"/>
        </w:rPr>
        <w:t>؛</w:t>
      </w:r>
      <w:r w:rsidRPr="006571AC">
        <w:rPr>
          <w:sz w:val="27"/>
          <w:rtl/>
          <w:lang w:bidi="ar-LB"/>
        </w:rPr>
        <w:t xml:space="preserve"> بغرض الحفاظ على انسجام المجتمع ونظمه</w:t>
      </w:r>
      <w:r w:rsidRPr="006571AC">
        <w:rPr>
          <w:sz w:val="27"/>
          <w:vertAlign w:val="superscript"/>
          <w:rtl/>
          <w:lang w:bidi="ar-LB"/>
        </w:rPr>
        <w:t>(</w:t>
      </w:r>
      <w:r w:rsidRPr="006571AC">
        <w:rPr>
          <w:sz w:val="27"/>
          <w:vertAlign w:val="superscript"/>
          <w:rtl/>
          <w:lang w:bidi="ar-LB"/>
        </w:rPr>
        <w:endnoteReference w:id="20"/>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فوضع قوانين إجبارية في المجتمع</w:t>
      </w:r>
      <w:r w:rsidRPr="006571AC">
        <w:rPr>
          <w:rFonts w:hint="cs"/>
          <w:sz w:val="27"/>
          <w:rtl/>
          <w:lang w:bidi="ar-LB"/>
        </w:rPr>
        <w:t xml:space="preserve"> </w:t>
      </w:r>
      <w:r w:rsidRPr="006571AC">
        <w:rPr>
          <w:sz w:val="27"/>
          <w:rtl/>
          <w:lang w:bidi="ar-LB"/>
        </w:rPr>
        <w:t>ضرورة</w:t>
      </w:r>
      <w:r w:rsidR="00C108E0" w:rsidRPr="006571AC">
        <w:rPr>
          <w:rFonts w:hint="cs"/>
          <w:sz w:val="27"/>
          <w:rtl/>
          <w:lang w:bidi="ar-LB"/>
        </w:rPr>
        <w:t>ٌ</w:t>
      </w:r>
      <w:r w:rsidRPr="006571AC">
        <w:rPr>
          <w:sz w:val="27"/>
          <w:rtl/>
          <w:lang w:bidi="ar-LB"/>
        </w:rPr>
        <w:t xml:space="preserve"> لا يمكن الاستغناء عنها. ومن جهة</w:t>
      </w:r>
      <w:r w:rsidR="00C108E0" w:rsidRPr="006571AC">
        <w:rPr>
          <w:rFonts w:hint="cs"/>
          <w:sz w:val="27"/>
          <w:rtl/>
          <w:lang w:bidi="ar-LB"/>
        </w:rPr>
        <w:t>ٍ</w:t>
      </w:r>
      <w:r w:rsidRPr="006571AC">
        <w:rPr>
          <w:sz w:val="27"/>
          <w:rtl/>
          <w:lang w:bidi="ar-LB"/>
        </w:rPr>
        <w:t xml:space="preserve"> أخرى، طبق</w:t>
      </w:r>
      <w:r w:rsidR="00746077" w:rsidRPr="006571AC">
        <w:rPr>
          <w:rFonts w:hint="cs"/>
          <w:sz w:val="27"/>
          <w:rtl/>
          <w:lang w:bidi="ar-LB"/>
        </w:rPr>
        <w:t>اً</w:t>
      </w:r>
      <w:r w:rsidRPr="006571AC">
        <w:rPr>
          <w:sz w:val="27"/>
          <w:rtl/>
          <w:lang w:bidi="ar-LB"/>
        </w:rPr>
        <w:t xml:space="preserve"> </w:t>
      </w:r>
      <w:r w:rsidR="00746077" w:rsidRPr="006571AC">
        <w:rPr>
          <w:rFonts w:hint="cs"/>
          <w:sz w:val="27"/>
          <w:rtl/>
          <w:lang w:bidi="ar-LB"/>
        </w:rPr>
        <w:t>ل</w:t>
      </w:r>
      <w:r w:rsidRPr="006571AC">
        <w:rPr>
          <w:sz w:val="27"/>
          <w:rtl/>
          <w:lang w:bidi="ar-LB"/>
        </w:rPr>
        <w:t>لقاعدة العقلية</w:t>
      </w:r>
      <w:r w:rsidR="00746077" w:rsidRPr="006571AC">
        <w:rPr>
          <w:rFonts w:hint="cs"/>
          <w:sz w:val="27"/>
          <w:rtl/>
          <w:lang w:bidi="ar-LB"/>
        </w:rPr>
        <w:t>:</w:t>
      </w:r>
      <w:r w:rsidRPr="006571AC">
        <w:rPr>
          <w:sz w:val="27"/>
          <w:rtl/>
          <w:lang w:bidi="ar-LB"/>
        </w:rPr>
        <w:t xml:space="preserve"> </w:t>
      </w:r>
      <w:r w:rsidRPr="006571AC">
        <w:rPr>
          <w:sz w:val="24"/>
          <w:szCs w:val="24"/>
          <w:rtl/>
          <w:lang w:bidi="ar-LB"/>
        </w:rPr>
        <w:t>«</w:t>
      </w:r>
      <w:r w:rsidRPr="006571AC">
        <w:rPr>
          <w:sz w:val="27"/>
          <w:rtl/>
          <w:lang w:bidi="ar-LB"/>
        </w:rPr>
        <w:t>الضَرُوراتُ تُقَدَّرُ بِقَد</w:t>
      </w:r>
      <w:r w:rsidRPr="006571AC">
        <w:rPr>
          <w:rFonts w:hint="cs"/>
          <w:sz w:val="27"/>
          <w:rtl/>
          <w:lang w:bidi="ar-LB"/>
        </w:rPr>
        <w:t>رها</w:t>
      </w:r>
      <w:r w:rsidRPr="006571AC">
        <w:rPr>
          <w:sz w:val="24"/>
          <w:szCs w:val="24"/>
          <w:rtl/>
          <w:lang w:bidi="ar-LB"/>
        </w:rPr>
        <w:t>»</w:t>
      </w:r>
      <w:r w:rsidRPr="006571AC">
        <w:rPr>
          <w:sz w:val="27"/>
          <w:rtl/>
          <w:lang w:bidi="ar-LB"/>
        </w:rPr>
        <w:t xml:space="preserve"> يرخ</w:t>
      </w:r>
      <w:r w:rsidR="00C108E0" w:rsidRPr="006571AC">
        <w:rPr>
          <w:rFonts w:hint="cs"/>
          <w:sz w:val="27"/>
          <w:rtl/>
          <w:lang w:bidi="ar-LB"/>
        </w:rPr>
        <w:t>َّ</w:t>
      </w:r>
      <w:r w:rsidRPr="006571AC">
        <w:rPr>
          <w:sz w:val="27"/>
          <w:rtl/>
          <w:lang w:bidi="ar-LB"/>
        </w:rPr>
        <w:t>ص من الحكم والقاعدة الأو</w:t>
      </w:r>
      <w:r w:rsidR="00746077" w:rsidRPr="006571AC">
        <w:rPr>
          <w:rFonts w:hint="cs"/>
          <w:sz w:val="27"/>
          <w:rtl/>
          <w:lang w:bidi="ar-LB"/>
        </w:rPr>
        <w:t>ّ</w:t>
      </w:r>
      <w:r w:rsidRPr="006571AC">
        <w:rPr>
          <w:sz w:val="27"/>
          <w:rtl/>
          <w:lang w:bidi="ar-LB"/>
        </w:rPr>
        <w:t>لية الق</w:t>
      </w:r>
      <w:r w:rsidR="00746077" w:rsidRPr="006571AC">
        <w:rPr>
          <w:rFonts w:hint="cs"/>
          <w:sz w:val="27"/>
          <w:rtl/>
          <w:lang w:bidi="ar-LB"/>
        </w:rPr>
        <w:t>َ</w:t>
      </w:r>
      <w:r w:rsidRPr="006571AC">
        <w:rPr>
          <w:sz w:val="27"/>
          <w:rtl/>
          <w:lang w:bidi="ar-LB"/>
        </w:rPr>
        <w:t>د</w:t>
      </w:r>
      <w:r w:rsidR="00746077" w:rsidRPr="006571AC">
        <w:rPr>
          <w:rFonts w:hint="cs"/>
          <w:sz w:val="27"/>
          <w:rtl/>
          <w:lang w:bidi="ar-LB"/>
        </w:rPr>
        <w:t>ْ</w:t>
      </w:r>
      <w:r w:rsidRPr="006571AC">
        <w:rPr>
          <w:sz w:val="27"/>
          <w:rtl/>
          <w:lang w:bidi="ar-LB"/>
        </w:rPr>
        <w:t>ر الذي تندفع به الضرورة فح</w:t>
      </w:r>
      <w:r w:rsidR="00746077" w:rsidRPr="006571AC">
        <w:rPr>
          <w:rFonts w:hint="cs"/>
          <w:sz w:val="27"/>
          <w:rtl/>
          <w:lang w:bidi="ar-LB"/>
        </w:rPr>
        <w:t>َ</w:t>
      </w:r>
      <w:r w:rsidRPr="006571AC">
        <w:rPr>
          <w:sz w:val="27"/>
          <w:rtl/>
          <w:lang w:bidi="ar-LB"/>
        </w:rPr>
        <w:t>س</w:t>
      </w:r>
      <w:r w:rsidR="00746077" w:rsidRPr="006571AC">
        <w:rPr>
          <w:rFonts w:hint="cs"/>
          <w:sz w:val="27"/>
          <w:rtl/>
          <w:lang w:bidi="ar-LB"/>
        </w:rPr>
        <w:t>ْ</w:t>
      </w:r>
      <w:r w:rsidRPr="006571AC">
        <w:rPr>
          <w:sz w:val="27"/>
          <w:rtl/>
          <w:lang w:bidi="ar-LB"/>
        </w:rPr>
        <w:t xml:space="preserve">ب. </w:t>
      </w:r>
      <w:r w:rsidRPr="006571AC">
        <w:rPr>
          <w:rFonts w:hint="cs"/>
          <w:sz w:val="27"/>
          <w:rtl/>
          <w:lang w:bidi="ar-LB"/>
        </w:rPr>
        <w:t xml:space="preserve">وفي هذه الحال، وبقدر الإمكان، يجب الحفاظ على حقّ الاختيار الحُرّ لأفراد المجتمع أثناء الموازنة بين ضغط نظام المجتمع الذي يضمن استمرار الحياة الاجتماعية وبين مطالب الأفراد. أفضل خيارٍ لمثل هذا الهدف هو سنّ قوانين إلزاميّة في مجال التشريع، وإجباريّة في مجال التكوين؛ للحفاظ </w:t>
      </w:r>
      <w:r w:rsidRPr="006571AC">
        <w:rPr>
          <w:rFonts w:hint="cs"/>
          <w:sz w:val="27"/>
          <w:rtl/>
          <w:lang w:bidi="ar-LB"/>
        </w:rPr>
        <w:lastRenderedPageBreak/>
        <w:t xml:space="preserve">على نظام المجتمع والاختيار الحُرّ لأفراده. في هذه الحالة؛ وبسبب ضرورة الحياة الاجتماعية، وبقدر ما تتطلَّبه هذه الضرورات، نتخلّى عن المبدأ الأوّل الحرّية التكوينية لجميع البشر، </w:t>
      </w:r>
      <w:r w:rsidRPr="006571AC">
        <w:rPr>
          <w:sz w:val="27"/>
          <w:rtl/>
          <w:lang w:bidi="ar-LB"/>
        </w:rPr>
        <w:t>إلا</w:t>
      </w:r>
      <w:r w:rsidR="00746077" w:rsidRPr="006571AC">
        <w:rPr>
          <w:rFonts w:hint="cs"/>
          <w:sz w:val="27"/>
          <w:rtl/>
          <w:lang w:bidi="ar-LB"/>
        </w:rPr>
        <w:t>ّ</w:t>
      </w:r>
      <w:r w:rsidRPr="006571AC">
        <w:rPr>
          <w:sz w:val="27"/>
          <w:rtl/>
          <w:lang w:bidi="ar-LB"/>
        </w:rPr>
        <w:t xml:space="preserve"> أن هذه القوانين الإجبارية يجب أن تكون مستمدّة</w:t>
      </w:r>
      <w:r w:rsidR="00746077" w:rsidRPr="006571AC">
        <w:rPr>
          <w:rFonts w:hint="cs"/>
          <w:sz w:val="27"/>
          <w:rtl/>
          <w:lang w:bidi="ar-LB"/>
        </w:rPr>
        <w:t>ً</w:t>
      </w:r>
      <w:r w:rsidRPr="006571AC">
        <w:rPr>
          <w:sz w:val="27"/>
          <w:rtl/>
          <w:lang w:bidi="ar-LB"/>
        </w:rPr>
        <w:t xml:space="preserve"> من </w:t>
      </w:r>
      <w:r w:rsidRPr="006571AC">
        <w:rPr>
          <w:sz w:val="24"/>
          <w:szCs w:val="24"/>
          <w:rtl/>
          <w:lang w:bidi="ar-LB"/>
        </w:rPr>
        <w:t>«</w:t>
      </w:r>
      <w:r w:rsidRPr="006571AC">
        <w:rPr>
          <w:sz w:val="27"/>
          <w:rtl/>
          <w:lang w:bidi="ar-LB"/>
        </w:rPr>
        <w:t>إرادة الناس</w:t>
      </w:r>
      <w:r w:rsidRPr="006571AC">
        <w:rPr>
          <w:sz w:val="24"/>
          <w:szCs w:val="24"/>
          <w:rtl/>
          <w:lang w:bidi="ar-LB"/>
        </w:rPr>
        <w:t>»</w:t>
      </w:r>
      <w:r w:rsidR="00746077" w:rsidRPr="006571AC">
        <w:rPr>
          <w:rFonts w:hint="cs"/>
          <w:sz w:val="27"/>
          <w:rtl/>
          <w:lang w:bidi="ar-LB"/>
        </w:rPr>
        <w:t>؛</w:t>
      </w:r>
      <w:r w:rsidRPr="006571AC">
        <w:rPr>
          <w:sz w:val="27"/>
          <w:rtl/>
          <w:lang w:bidi="ar-LB"/>
        </w:rPr>
        <w:t xml:space="preserve"> لتقليل الض</w:t>
      </w:r>
      <w:r w:rsidR="00746077" w:rsidRPr="006571AC">
        <w:rPr>
          <w:rFonts w:hint="cs"/>
          <w:sz w:val="27"/>
          <w:rtl/>
          <w:lang w:bidi="ar-LB"/>
        </w:rPr>
        <w:t>َّ</w:t>
      </w:r>
      <w:r w:rsidRPr="006571AC">
        <w:rPr>
          <w:sz w:val="27"/>
          <w:rtl/>
          <w:lang w:bidi="ar-LB"/>
        </w:rPr>
        <w:t>ر</w:t>
      </w:r>
      <w:r w:rsidR="00746077" w:rsidRPr="006571AC">
        <w:rPr>
          <w:rFonts w:hint="cs"/>
          <w:sz w:val="27"/>
          <w:rtl/>
          <w:lang w:bidi="ar-LB"/>
        </w:rPr>
        <w:t>َ</w:t>
      </w:r>
      <w:r w:rsidRPr="006571AC">
        <w:rPr>
          <w:sz w:val="27"/>
          <w:rtl/>
          <w:lang w:bidi="ar-LB"/>
        </w:rPr>
        <w:t>ر اللاحق بمبدأ الحرّية التكويني</w:t>
      </w:r>
      <w:r w:rsidR="00746077" w:rsidRPr="006571AC">
        <w:rPr>
          <w:rFonts w:hint="cs"/>
          <w:sz w:val="27"/>
          <w:rtl/>
          <w:lang w:bidi="ar-LB"/>
        </w:rPr>
        <w:t>ّ</w:t>
      </w:r>
      <w:r w:rsidRPr="006571AC">
        <w:rPr>
          <w:sz w:val="27"/>
          <w:rtl/>
          <w:lang w:bidi="ar-LB"/>
        </w:rPr>
        <w:t>ة.</w:t>
      </w:r>
    </w:p>
    <w:p w:rsidR="008C542A" w:rsidRPr="006571AC" w:rsidRDefault="008C542A" w:rsidP="00706E68">
      <w:pPr>
        <w:tabs>
          <w:tab w:val="right" w:pos="6930"/>
        </w:tabs>
        <w:suppressAutoHyphens/>
        <w:rPr>
          <w:sz w:val="27"/>
          <w:rtl/>
          <w:lang w:bidi="ar-LB"/>
        </w:rPr>
      </w:pPr>
      <w:r w:rsidRPr="006571AC">
        <w:rPr>
          <w:sz w:val="27"/>
          <w:rtl/>
        </w:rPr>
        <w:t>وقد صر</w:t>
      </w:r>
      <w:r w:rsidR="00746077" w:rsidRPr="006571AC">
        <w:rPr>
          <w:rFonts w:hint="cs"/>
          <w:sz w:val="27"/>
          <w:rtl/>
        </w:rPr>
        <w:t>َّح</w:t>
      </w:r>
      <w:r w:rsidRPr="006571AC">
        <w:rPr>
          <w:sz w:val="27"/>
          <w:rtl/>
        </w:rPr>
        <w:t xml:space="preserve"> الفقهاء على الدوام بالأصل الأو</w:t>
      </w:r>
      <w:r w:rsidR="00746077" w:rsidRPr="006571AC">
        <w:rPr>
          <w:rFonts w:hint="cs"/>
          <w:sz w:val="27"/>
          <w:rtl/>
        </w:rPr>
        <w:t>ّ</w:t>
      </w:r>
      <w:r w:rsidRPr="006571AC">
        <w:rPr>
          <w:sz w:val="27"/>
          <w:rtl/>
        </w:rPr>
        <w:t xml:space="preserve">لي </w:t>
      </w:r>
      <w:r w:rsidRPr="006571AC">
        <w:rPr>
          <w:sz w:val="24"/>
          <w:szCs w:val="24"/>
          <w:rtl/>
        </w:rPr>
        <w:t>«</w:t>
      </w:r>
      <w:r w:rsidRPr="006571AC">
        <w:rPr>
          <w:sz w:val="27"/>
          <w:rtl/>
        </w:rPr>
        <w:t>عدم الإجبار</w:t>
      </w:r>
      <w:r w:rsidRPr="006571AC">
        <w:rPr>
          <w:sz w:val="24"/>
          <w:szCs w:val="24"/>
          <w:rtl/>
        </w:rPr>
        <w:t>»</w:t>
      </w:r>
      <w:r w:rsidRPr="006571AC">
        <w:rPr>
          <w:sz w:val="27"/>
          <w:rtl/>
        </w:rPr>
        <w:t xml:space="preserve"> بوصفه قاعدة</w:t>
      </w:r>
      <w:r w:rsidR="00746077" w:rsidRPr="006571AC">
        <w:rPr>
          <w:rFonts w:hint="cs"/>
          <w:sz w:val="27"/>
          <w:rtl/>
        </w:rPr>
        <w:t>ً</w:t>
      </w:r>
      <w:r w:rsidRPr="006571AC">
        <w:rPr>
          <w:sz w:val="27"/>
          <w:rtl/>
        </w:rPr>
        <w:t xml:space="preserve"> فقهي</w:t>
      </w:r>
      <w:r w:rsidR="00746077" w:rsidRPr="006571AC">
        <w:rPr>
          <w:rFonts w:hint="cs"/>
          <w:sz w:val="27"/>
          <w:rtl/>
        </w:rPr>
        <w:t>ّ</w:t>
      </w:r>
      <w:r w:rsidRPr="006571AC">
        <w:rPr>
          <w:sz w:val="27"/>
          <w:rtl/>
        </w:rPr>
        <w:t>ة. والأصل الأو</w:t>
      </w:r>
      <w:r w:rsidR="00746077" w:rsidRPr="006571AC">
        <w:rPr>
          <w:rFonts w:hint="cs"/>
          <w:sz w:val="27"/>
          <w:rtl/>
        </w:rPr>
        <w:t>ّ</w:t>
      </w:r>
      <w:r w:rsidRPr="006571AC">
        <w:rPr>
          <w:sz w:val="27"/>
          <w:rtl/>
        </w:rPr>
        <w:t>لي بنظرهم أن كل</w:t>
      </w:r>
      <w:r w:rsidR="00746077" w:rsidRPr="006571AC">
        <w:rPr>
          <w:rFonts w:hint="cs"/>
          <w:sz w:val="27"/>
          <w:rtl/>
        </w:rPr>
        <w:t>ّ</w:t>
      </w:r>
      <w:r w:rsidRPr="006571AC">
        <w:rPr>
          <w:sz w:val="27"/>
          <w:rtl/>
        </w:rPr>
        <w:t xml:space="preserve"> أحد</w:t>
      </w:r>
      <w:r w:rsidR="00746077" w:rsidRPr="006571AC">
        <w:rPr>
          <w:rFonts w:hint="cs"/>
          <w:sz w:val="27"/>
          <w:rtl/>
        </w:rPr>
        <w:t>ٍ</w:t>
      </w:r>
      <w:r w:rsidRPr="006571AC">
        <w:rPr>
          <w:sz w:val="27"/>
          <w:rtl/>
        </w:rPr>
        <w:t xml:space="preserve"> لا يملك إجبار غيره، إلا</w:t>
      </w:r>
      <w:r w:rsidR="00746077" w:rsidRPr="006571AC">
        <w:rPr>
          <w:rFonts w:hint="cs"/>
          <w:sz w:val="27"/>
          <w:rtl/>
        </w:rPr>
        <w:t>ّ</w:t>
      </w:r>
      <w:r w:rsidRPr="006571AC">
        <w:rPr>
          <w:sz w:val="27"/>
          <w:rtl/>
        </w:rPr>
        <w:t xml:space="preserve"> في مواضع مبر</w:t>
      </w:r>
      <w:r w:rsidR="00746077" w:rsidRPr="006571AC">
        <w:rPr>
          <w:rFonts w:hint="cs"/>
          <w:sz w:val="27"/>
          <w:rtl/>
        </w:rPr>
        <w:t>َّ</w:t>
      </w:r>
      <w:r w:rsidRPr="006571AC">
        <w:rPr>
          <w:sz w:val="27"/>
          <w:rtl/>
        </w:rPr>
        <w:t>رة</w:t>
      </w:r>
      <w:r w:rsidRPr="006571AC">
        <w:rPr>
          <w:sz w:val="27"/>
          <w:vertAlign w:val="superscript"/>
          <w:rtl/>
          <w:lang w:bidi="ar-LB"/>
        </w:rPr>
        <w:t>(</w:t>
      </w:r>
      <w:r w:rsidRPr="006571AC">
        <w:rPr>
          <w:sz w:val="27"/>
          <w:vertAlign w:val="superscript"/>
          <w:rtl/>
          <w:lang w:bidi="ar-LB"/>
        </w:rPr>
        <w:endnoteReference w:id="21"/>
      </w:r>
      <w:r w:rsidRPr="006571AC">
        <w:rPr>
          <w:sz w:val="27"/>
          <w:vertAlign w:val="superscript"/>
          <w:rtl/>
          <w:lang w:bidi="ar-LB"/>
        </w:rPr>
        <w:t>)</w:t>
      </w:r>
      <w:r w:rsidRPr="006571AC">
        <w:rPr>
          <w:sz w:val="27"/>
          <w:rtl/>
          <w:lang w:bidi="ar-LB"/>
        </w:rPr>
        <w:t>. واستند الفقهاء في أبواب الفقه المختلفة على الأصل الأو</w:t>
      </w:r>
      <w:r w:rsidR="00746077" w:rsidRPr="006571AC">
        <w:rPr>
          <w:rFonts w:hint="cs"/>
          <w:sz w:val="27"/>
          <w:rtl/>
          <w:lang w:bidi="ar-LB"/>
        </w:rPr>
        <w:t>ّ</w:t>
      </w:r>
      <w:r w:rsidRPr="006571AC">
        <w:rPr>
          <w:sz w:val="27"/>
          <w:rtl/>
          <w:lang w:bidi="ar-LB"/>
        </w:rPr>
        <w:t xml:space="preserve">لي </w:t>
      </w:r>
      <w:r w:rsidRPr="006571AC">
        <w:rPr>
          <w:sz w:val="24"/>
          <w:szCs w:val="24"/>
          <w:rtl/>
          <w:lang w:bidi="ar-LB"/>
        </w:rPr>
        <w:t>«</w:t>
      </w:r>
      <w:r w:rsidRPr="006571AC">
        <w:rPr>
          <w:sz w:val="27"/>
          <w:rtl/>
          <w:lang w:bidi="ar-LB"/>
        </w:rPr>
        <w:t>عدم الولاية على الغير</w:t>
      </w:r>
      <w:r w:rsidRPr="006571AC">
        <w:rPr>
          <w:sz w:val="24"/>
          <w:szCs w:val="24"/>
          <w:rtl/>
          <w:lang w:bidi="ar-LB"/>
        </w:rPr>
        <w:t>»</w:t>
      </w:r>
      <w:r w:rsidR="00746077" w:rsidRPr="006571AC">
        <w:rPr>
          <w:rFonts w:hint="cs"/>
          <w:sz w:val="27"/>
          <w:rtl/>
          <w:lang w:bidi="ar-LB"/>
        </w:rPr>
        <w:t>،</w:t>
      </w:r>
      <w:r w:rsidRPr="006571AC">
        <w:rPr>
          <w:sz w:val="27"/>
          <w:rtl/>
          <w:lang w:bidi="ar-LB"/>
        </w:rPr>
        <w:t xml:space="preserve"> الذي ي</w:t>
      </w:r>
      <w:r w:rsidR="00746077" w:rsidRPr="006571AC">
        <w:rPr>
          <w:rFonts w:hint="cs"/>
          <w:sz w:val="27"/>
          <w:rtl/>
          <w:lang w:bidi="ar-LB"/>
        </w:rPr>
        <w:t>ُ</w:t>
      </w:r>
      <w:r w:rsidRPr="006571AC">
        <w:rPr>
          <w:sz w:val="27"/>
          <w:rtl/>
          <w:lang w:bidi="ar-LB"/>
        </w:rPr>
        <w:t>ع</w:t>
      </w:r>
      <w:r w:rsidR="00746077" w:rsidRPr="006571AC">
        <w:rPr>
          <w:rFonts w:hint="cs"/>
          <w:sz w:val="27"/>
          <w:rtl/>
          <w:lang w:bidi="ar-LB"/>
        </w:rPr>
        <w:t>َ</w:t>
      </w:r>
      <w:r w:rsidRPr="006571AC">
        <w:rPr>
          <w:sz w:val="27"/>
          <w:rtl/>
          <w:lang w:bidi="ar-LB"/>
        </w:rPr>
        <w:t>د</w:t>
      </w:r>
      <w:r w:rsidR="00746077" w:rsidRPr="006571AC">
        <w:rPr>
          <w:rFonts w:hint="cs"/>
          <w:sz w:val="27"/>
          <w:rtl/>
          <w:lang w:bidi="ar-LB"/>
        </w:rPr>
        <w:t>ّ</w:t>
      </w:r>
      <w:r w:rsidRPr="006571AC">
        <w:rPr>
          <w:sz w:val="27"/>
          <w:rtl/>
          <w:lang w:bidi="ar-LB"/>
        </w:rPr>
        <w:t xml:space="preserve"> واحد</w:t>
      </w:r>
      <w:r w:rsidRPr="006571AC">
        <w:rPr>
          <w:rFonts w:hint="cs"/>
          <w:sz w:val="27"/>
          <w:rtl/>
          <w:lang w:bidi="ar-LB"/>
        </w:rPr>
        <w:t>اً</w:t>
      </w:r>
      <w:r w:rsidRPr="006571AC">
        <w:rPr>
          <w:sz w:val="27"/>
          <w:rtl/>
          <w:lang w:bidi="ar-LB"/>
        </w:rPr>
        <w:t xml:space="preserve"> من القواعد</w:t>
      </w:r>
      <w:r w:rsidRPr="006571AC">
        <w:rPr>
          <w:sz w:val="27"/>
          <w:rtl/>
        </w:rPr>
        <w:t xml:space="preserve"> </w:t>
      </w:r>
      <w:r w:rsidR="00746077" w:rsidRPr="006571AC">
        <w:rPr>
          <w:sz w:val="27"/>
          <w:rtl/>
          <w:lang w:bidi="ar-LB"/>
        </w:rPr>
        <w:t xml:space="preserve">الفقهية </w:t>
      </w:r>
      <w:r w:rsidRPr="006571AC">
        <w:rPr>
          <w:sz w:val="27"/>
          <w:rtl/>
          <w:lang w:bidi="ar-LB"/>
        </w:rPr>
        <w:t>المسلّ</w:t>
      </w:r>
      <w:r w:rsidR="00746077" w:rsidRPr="006571AC">
        <w:rPr>
          <w:rFonts w:hint="cs"/>
          <w:sz w:val="27"/>
          <w:rtl/>
          <w:lang w:bidi="ar-LB"/>
        </w:rPr>
        <w:t>َ</w:t>
      </w:r>
      <w:r w:rsidR="00746077" w:rsidRPr="006571AC">
        <w:rPr>
          <w:sz w:val="27"/>
          <w:rtl/>
          <w:lang w:bidi="ar-LB"/>
        </w:rPr>
        <w:t>مة</w:t>
      </w:r>
      <w:r w:rsidRPr="006571AC">
        <w:rPr>
          <w:sz w:val="27"/>
          <w:vertAlign w:val="superscript"/>
          <w:rtl/>
          <w:lang w:bidi="ar-LB"/>
        </w:rPr>
        <w:t>(</w:t>
      </w:r>
      <w:r w:rsidRPr="006571AC">
        <w:rPr>
          <w:sz w:val="27"/>
          <w:vertAlign w:val="superscript"/>
          <w:rtl/>
          <w:lang w:bidi="ar-LB"/>
        </w:rPr>
        <w:endnoteReference w:id="22"/>
      </w:r>
      <w:r w:rsidRPr="006571AC">
        <w:rPr>
          <w:sz w:val="27"/>
          <w:vertAlign w:val="superscript"/>
          <w:rtl/>
          <w:lang w:bidi="ar-LB"/>
        </w:rPr>
        <w:t>)</w:t>
      </w:r>
      <w:r w:rsidRPr="006571AC">
        <w:rPr>
          <w:sz w:val="27"/>
          <w:rtl/>
          <w:lang w:bidi="ar-LB"/>
        </w:rPr>
        <w:t>. وعلى أساس هذا الأصل لا يملك أحد</w:t>
      </w:r>
      <w:r w:rsidR="00746077" w:rsidRPr="006571AC">
        <w:rPr>
          <w:rFonts w:hint="cs"/>
          <w:sz w:val="27"/>
          <w:rtl/>
          <w:lang w:bidi="ar-LB"/>
        </w:rPr>
        <w:t>ٌ</w:t>
      </w:r>
      <w:r w:rsidRPr="006571AC">
        <w:rPr>
          <w:sz w:val="27"/>
          <w:rtl/>
          <w:lang w:bidi="ar-LB"/>
        </w:rPr>
        <w:t xml:space="preserve"> حق</w:t>
      </w:r>
      <w:r w:rsidR="00746077" w:rsidRPr="006571AC">
        <w:rPr>
          <w:rFonts w:hint="cs"/>
          <w:sz w:val="27"/>
          <w:rtl/>
          <w:lang w:bidi="ar-LB"/>
        </w:rPr>
        <w:t>َّ</w:t>
      </w:r>
      <w:r w:rsidRPr="006571AC">
        <w:rPr>
          <w:sz w:val="27"/>
          <w:rtl/>
          <w:lang w:bidi="ar-LB"/>
        </w:rPr>
        <w:t xml:space="preserve"> الولاية والإشراف على أحد</w:t>
      </w:r>
      <w:r w:rsidR="00746077" w:rsidRPr="006571AC">
        <w:rPr>
          <w:rFonts w:hint="cs"/>
          <w:sz w:val="27"/>
          <w:rtl/>
          <w:lang w:bidi="ar-LB"/>
        </w:rPr>
        <w:t>ٍ</w:t>
      </w:r>
      <w:r w:rsidRPr="006571AC">
        <w:rPr>
          <w:rFonts w:hint="cs"/>
          <w:sz w:val="27"/>
          <w:rtl/>
          <w:lang w:bidi="ar-LB"/>
        </w:rPr>
        <w:t xml:space="preserve">، ولا يمكنه </w:t>
      </w:r>
      <w:r w:rsidRPr="006571AC">
        <w:rPr>
          <w:sz w:val="27"/>
          <w:rtl/>
          <w:lang w:bidi="ar-LB"/>
        </w:rPr>
        <w:t>اتخاذ القرارت المتعل</w:t>
      </w:r>
      <w:r w:rsidR="00746077" w:rsidRPr="006571AC">
        <w:rPr>
          <w:rFonts w:hint="cs"/>
          <w:sz w:val="27"/>
          <w:rtl/>
          <w:lang w:bidi="ar-LB"/>
        </w:rPr>
        <w:t>ِّ</w:t>
      </w:r>
      <w:r w:rsidRPr="006571AC">
        <w:rPr>
          <w:sz w:val="27"/>
          <w:rtl/>
          <w:lang w:bidi="ar-LB"/>
        </w:rPr>
        <w:t>قة بشؤون حياته المختلفة مكانه، إلا</w:t>
      </w:r>
      <w:r w:rsidR="00746077" w:rsidRPr="006571AC">
        <w:rPr>
          <w:rFonts w:hint="cs"/>
          <w:sz w:val="27"/>
          <w:rtl/>
          <w:lang w:bidi="ar-LB"/>
        </w:rPr>
        <w:t>ّ</w:t>
      </w:r>
      <w:r w:rsidRPr="006571AC">
        <w:rPr>
          <w:sz w:val="27"/>
          <w:rtl/>
          <w:lang w:bidi="ar-LB"/>
        </w:rPr>
        <w:t xml:space="preserve"> إذا كان هناك دليل</w:t>
      </w:r>
      <w:r w:rsidR="00746077" w:rsidRPr="006571AC">
        <w:rPr>
          <w:rFonts w:hint="cs"/>
          <w:sz w:val="27"/>
          <w:rtl/>
          <w:lang w:bidi="ar-LB"/>
        </w:rPr>
        <w:t>ٌ</w:t>
      </w:r>
      <w:r w:rsidRPr="006571AC">
        <w:rPr>
          <w:sz w:val="27"/>
          <w:rtl/>
          <w:lang w:bidi="ar-LB"/>
        </w:rPr>
        <w:t xml:space="preserve"> معتبر على ذلك.</w:t>
      </w:r>
    </w:p>
    <w:p w:rsidR="008C542A" w:rsidRPr="006571AC" w:rsidRDefault="008C542A" w:rsidP="00706E68">
      <w:pPr>
        <w:tabs>
          <w:tab w:val="right" w:pos="6930"/>
        </w:tabs>
        <w:suppressAutoHyphens/>
        <w:rPr>
          <w:sz w:val="27"/>
          <w:rtl/>
          <w:lang w:bidi="ar-LB"/>
        </w:rPr>
      </w:pPr>
      <w:r w:rsidRPr="006571AC">
        <w:rPr>
          <w:sz w:val="27"/>
          <w:rtl/>
          <w:lang w:bidi="ar-LB"/>
        </w:rPr>
        <w:t>والمبدأ</w:t>
      </w:r>
      <w:r w:rsidR="00FB4C47" w:rsidRPr="006571AC">
        <w:rPr>
          <w:rFonts w:hint="cs"/>
          <w:sz w:val="27"/>
          <w:rtl/>
          <w:lang w:bidi="ar-LB"/>
        </w:rPr>
        <w:t>ُ</w:t>
      </w:r>
      <w:r w:rsidRPr="006571AC">
        <w:rPr>
          <w:sz w:val="27"/>
          <w:rtl/>
          <w:lang w:bidi="ar-LB"/>
        </w:rPr>
        <w:t xml:space="preserve"> العقلي والعقلائي على هذين الأصلين أصل</w:t>
      </w:r>
      <w:r w:rsidR="00FB4C47" w:rsidRPr="006571AC">
        <w:rPr>
          <w:rFonts w:hint="cs"/>
          <w:sz w:val="27"/>
          <w:rtl/>
          <w:lang w:bidi="ar-LB"/>
        </w:rPr>
        <w:t>ٌ</w:t>
      </w:r>
      <w:r w:rsidRPr="006571AC">
        <w:rPr>
          <w:sz w:val="27"/>
          <w:rtl/>
          <w:lang w:bidi="ar-LB"/>
        </w:rPr>
        <w:t xml:space="preserve"> وقاعدة أخرى، يعبّ</w:t>
      </w:r>
      <w:r w:rsidR="00746077" w:rsidRPr="006571AC">
        <w:rPr>
          <w:rFonts w:hint="cs"/>
          <w:sz w:val="27"/>
          <w:rtl/>
          <w:lang w:bidi="ar-LB"/>
        </w:rPr>
        <w:t>َ</w:t>
      </w:r>
      <w:r w:rsidRPr="006571AC">
        <w:rPr>
          <w:sz w:val="27"/>
          <w:rtl/>
          <w:lang w:bidi="ar-LB"/>
        </w:rPr>
        <w:t xml:space="preserve">ر عنها في الفقه بـ </w:t>
      </w:r>
      <w:r w:rsidRPr="006571AC">
        <w:rPr>
          <w:sz w:val="24"/>
          <w:szCs w:val="24"/>
          <w:rtl/>
          <w:lang w:bidi="ar-LB"/>
        </w:rPr>
        <w:t>«</w:t>
      </w:r>
      <w:r w:rsidRPr="006571AC">
        <w:rPr>
          <w:sz w:val="27"/>
          <w:rtl/>
          <w:lang w:bidi="ar-LB"/>
        </w:rPr>
        <w:t>قاعدة السلطنة</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23"/>
      </w:r>
      <w:r w:rsidRPr="006571AC">
        <w:rPr>
          <w:sz w:val="27"/>
          <w:vertAlign w:val="superscript"/>
          <w:rtl/>
          <w:lang w:bidi="ar-LB"/>
        </w:rPr>
        <w:t>)</w:t>
      </w:r>
      <w:r w:rsidRPr="006571AC">
        <w:rPr>
          <w:sz w:val="27"/>
          <w:rtl/>
          <w:lang w:bidi="ar-LB"/>
        </w:rPr>
        <w:t>. وبعبارةٍ أوضح: عل</w:t>
      </w:r>
      <w:r w:rsidR="00FB4C47" w:rsidRPr="006571AC">
        <w:rPr>
          <w:rFonts w:hint="cs"/>
          <w:sz w:val="27"/>
          <w:rtl/>
          <w:lang w:bidi="ar-LB"/>
        </w:rPr>
        <w:t>ّ</w:t>
      </w:r>
      <w:r w:rsidRPr="006571AC">
        <w:rPr>
          <w:sz w:val="27"/>
          <w:rtl/>
          <w:lang w:bidi="ar-LB"/>
        </w:rPr>
        <w:t>ة أنه لا ولاية لأحد</w:t>
      </w:r>
      <w:r w:rsidR="00FB4C47" w:rsidRPr="006571AC">
        <w:rPr>
          <w:rFonts w:hint="cs"/>
          <w:sz w:val="27"/>
          <w:rtl/>
          <w:lang w:bidi="ar-LB"/>
        </w:rPr>
        <w:t>ٍ</w:t>
      </w:r>
      <w:r w:rsidRPr="006571AC">
        <w:rPr>
          <w:sz w:val="27"/>
          <w:rtl/>
          <w:lang w:bidi="ar-LB"/>
        </w:rPr>
        <w:t xml:space="preserve"> على أحد</w:t>
      </w:r>
      <w:r w:rsidR="00FB4C47" w:rsidRPr="006571AC">
        <w:rPr>
          <w:rFonts w:hint="cs"/>
          <w:sz w:val="27"/>
          <w:rtl/>
          <w:lang w:bidi="ar-LB"/>
        </w:rPr>
        <w:t>ٍ</w:t>
      </w:r>
      <w:r w:rsidRPr="006571AC">
        <w:rPr>
          <w:rFonts w:hint="cs"/>
          <w:sz w:val="27"/>
          <w:rtl/>
          <w:lang w:bidi="ar-LB"/>
        </w:rPr>
        <w:t>،</w:t>
      </w:r>
      <w:r w:rsidRPr="006571AC">
        <w:rPr>
          <w:sz w:val="27"/>
          <w:rtl/>
          <w:lang w:bidi="ar-LB"/>
        </w:rPr>
        <w:t xml:space="preserve"> وأنه لا يحق</w:t>
      </w:r>
      <w:r w:rsidR="00FB4C47" w:rsidRPr="006571AC">
        <w:rPr>
          <w:rFonts w:hint="cs"/>
          <w:sz w:val="27"/>
          <w:rtl/>
          <w:lang w:bidi="ar-LB"/>
        </w:rPr>
        <w:t>ّ</w:t>
      </w:r>
      <w:r w:rsidRPr="006571AC">
        <w:rPr>
          <w:sz w:val="27"/>
          <w:rtl/>
          <w:lang w:bidi="ar-LB"/>
        </w:rPr>
        <w:t xml:space="preserve"> له إجباره على سلوك</w:t>
      </w:r>
      <w:r w:rsidR="00FB4C47" w:rsidRPr="006571AC">
        <w:rPr>
          <w:rFonts w:hint="cs"/>
          <w:sz w:val="27"/>
          <w:rtl/>
          <w:lang w:bidi="ar-LB"/>
        </w:rPr>
        <w:t>ٍ</w:t>
      </w:r>
      <w:r w:rsidRPr="006571AC">
        <w:rPr>
          <w:sz w:val="27"/>
          <w:rtl/>
          <w:lang w:bidi="ar-LB"/>
        </w:rPr>
        <w:t xml:space="preserve"> معين، أن كل</w:t>
      </w:r>
      <w:r w:rsidR="00FB4C47" w:rsidRPr="006571AC">
        <w:rPr>
          <w:rFonts w:hint="cs"/>
          <w:sz w:val="27"/>
          <w:rtl/>
          <w:lang w:bidi="ar-LB"/>
        </w:rPr>
        <w:t>َّ</w:t>
      </w:r>
      <w:r w:rsidRPr="006571AC">
        <w:rPr>
          <w:sz w:val="27"/>
          <w:rtl/>
          <w:lang w:bidi="ar-LB"/>
        </w:rPr>
        <w:t xml:space="preserve"> شخص</w:t>
      </w:r>
      <w:r w:rsidR="00FB4C47" w:rsidRPr="006571AC">
        <w:rPr>
          <w:rFonts w:hint="cs"/>
          <w:sz w:val="27"/>
          <w:rtl/>
          <w:lang w:bidi="ar-LB"/>
        </w:rPr>
        <w:t>ٍ</w:t>
      </w:r>
      <w:r w:rsidRPr="006571AC">
        <w:rPr>
          <w:sz w:val="27"/>
          <w:rtl/>
          <w:lang w:bidi="ar-LB"/>
        </w:rPr>
        <w:t xml:space="preserve"> له سلطة</w:t>
      </w:r>
      <w:r w:rsidR="00FB4C47" w:rsidRPr="006571AC">
        <w:rPr>
          <w:rFonts w:hint="cs"/>
          <w:sz w:val="27"/>
          <w:rtl/>
          <w:lang w:bidi="ar-LB"/>
        </w:rPr>
        <w:t>ٌ</w:t>
      </w:r>
      <w:r w:rsidRPr="006571AC">
        <w:rPr>
          <w:sz w:val="27"/>
          <w:rtl/>
          <w:lang w:bidi="ar-LB"/>
        </w:rPr>
        <w:t xml:space="preserve"> على نفسه وشؤون حياته المختلفة، واجبار وولاية الآخر يتناف</w:t>
      </w:r>
      <w:r w:rsidRPr="006571AC">
        <w:rPr>
          <w:rFonts w:hint="cs"/>
          <w:sz w:val="27"/>
          <w:rtl/>
          <w:lang w:bidi="ar-LB"/>
        </w:rPr>
        <w:t>يان</w:t>
      </w:r>
      <w:r w:rsidRPr="006571AC">
        <w:rPr>
          <w:sz w:val="27"/>
          <w:rtl/>
          <w:lang w:bidi="ar-LB"/>
        </w:rPr>
        <w:t xml:space="preserve"> مع هذه السلطنة.</w:t>
      </w:r>
    </w:p>
    <w:p w:rsidR="008C542A" w:rsidRPr="006571AC" w:rsidRDefault="008C542A" w:rsidP="00706E68">
      <w:pPr>
        <w:tabs>
          <w:tab w:val="right" w:pos="6930"/>
        </w:tabs>
        <w:suppressAutoHyphens/>
        <w:rPr>
          <w:sz w:val="27"/>
          <w:rtl/>
          <w:lang w:bidi="ar-LB"/>
        </w:rPr>
      </w:pPr>
      <w:r w:rsidRPr="006571AC">
        <w:rPr>
          <w:sz w:val="27"/>
          <w:rtl/>
          <w:lang w:bidi="ar-LB"/>
        </w:rPr>
        <w:t>والمدرك</w:t>
      </w:r>
      <w:r w:rsidR="00FB4C47" w:rsidRPr="006571AC">
        <w:rPr>
          <w:rFonts w:hint="cs"/>
          <w:sz w:val="27"/>
          <w:rtl/>
          <w:lang w:bidi="ar-LB"/>
        </w:rPr>
        <w:t>ُ</w:t>
      </w:r>
      <w:r w:rsidRPr="006571AC">
        <w:rPr>
          <w:sz w:val="27"/>
          <w:rtl/>
          <w:lang w:bidi="ar-LB"/>
        </w:rPr>
        <w:t xml:space="preserve"> النقلي</w:t>
      </w:r>
      <w:r w:rsidR="00FB4C47" w:rsidRPr="006571AC">
        <w:rPr>
          <w:rFonts w:hint="cs"/>
          <w:sz w:val="27"/>
          <w:rtl/>
          <w:lang w:bidi="ar-LB"/>
        </w:rPr>
        <w:t>ّ</w:t>
      </w:r>
      <w:r w:rsidRPr="006571AC">
        <w:rPr>
          <w:sz w:val="27"/>
          <w:rtl/>
          <w:lang w:bidi="ar-LB"/>
        </w:rPr>
        <w:t xml:space="preserve"> على قاعدة السلطنة رواية</w:t>
      </w:r>
      <w:r w:rsidR="00FB4C47" w:rsidRPr="006571AC">
        <w:rPr>
          <w:rFonts w:hint="cs"/>
          <w:sz w:val="27"/>
          <w:rtl/>
          <w:lang w:bidi="ar-LB"/>
        </w:rPr>
        <w:t>ُ</w:t>
      </w:r>
      <w:r w:rsidRPr="006571AC">
        <w:rPr>
          <w:sz w:val="27"/>
          <w:rtl/>
          <w:lang w:bidi="ar-LB"/>
        </w:rPr>
        <w:t xml:space="preserve"> النبي</w:t>
      </w:r>
      <w:r w:rsidRPr="006571AC">
        <w:rPr>
          <w:rFonts w:ascii="Mosawi" w:hAnsi="Mosawi" w:cs="Mosawi"/>
          <w:sz w:val="22"/>
          <w:szCs w:val="22"/>
          <w:rtl/>
        </w:rPr>
        <w:t>|</w:t>
      </w:r>
      <w:r w:rsidRPr="006571AC">
        <w:rPr>
          <w:sz w:val="27"/>
          <w:rtl/>
          <w:lang w:bidi="ar-LB"/>
        </w:rPr>
        <w:t xml:space="preserve">: </w:t>
      </w:r>
      <w:r w:rsidRPr="006571AC">
        <w:rPr>
          <w:sz w:val="24"/>
          <w:szCs w:val="24"/>
          <w:rtl/>
          <w:lang w:bidi="ar-LB"/>
        </w:rPr>
        <w:t>«</w:t>
      </w:r>
      <w:r w:rsidR="00CA5058" w:rsidRPr="006571AC">
        <w:rPr>
          <w:sz w:val="27"/>
          <w:rtl/>
          <w:lang w:bidi="ar-LB"/>
        </w:rPr>
        <w:t>الناسُ مُسل</w:t>
      </w:r>
      <w:r w:rsidR="00CA5058" w:rsidRPr="006571AC">
        <w:rPr>
          <w:rFonts w:hint="cs"/>
          <w:sz w:val="27"/>
          <w:rtl/>
          <w:lang w:bidi="ar-LB"/>
        </w:rPr>
        <w:t>َّ</w:t>
      </w:r>
      <w:r w:rsidR="00FB4C47" w:rsidRPr="006571AC">
        <w:rPr>
          <w:sz w:val="27"/>
          <w:rtl/>
          <w:lang w:bidi="ar-LB"/>
        </w:rPr>
        <w:t>ط</w:t>
      </w:r>
      <w:r w:rsidR="00CA5058" w:rsidRPr="006571AC">
        <w:rPr>
          <w:sz w:val="27"/>
          <w:rtl/>
          <w:lang w:bidi="ar-LB"/>
        </w:rPr>
        <w:t>ون</w:t>
      </w:r>
      <w:r w:rsidR="00FB4C47" w:rsidRPr="006571AC">
        <w:rPr>
          <w:sz w:val="27"/>
          <w:rtl/>
          <w:lang w:bidi="ar-LB"/>
        </w:rPr>
        <w:t xml:space="preserve"> عل</w:t>
      </w:r>
      <w:r w:rsidR="00FB4C47" w:rsidRPr="006571AC">
        <w:rPr>
          <w:rFonts w:hint="cs"/>
          <w:sz w:val="27"/>
          <w:rtl/>
          <w:lang w:bidi="ar-LB"/>
        </w:rPr>
        <w:t>ى</w:t>
      </w:r>
      <w:r w:rsidRPr="006571AC">
        <w:rPr>
          <w:sz w:val="27"/>
          <w:rtl/>
          <w:lang w:bidi="ar-LB"/>
        </w:rPr>
        <w:t xml:space="preserve"> أمو</w:t>
      </w:r>
      <w:r w:rsidR="00CA5058" w:rsidRPr="006571AC">
        <w:rPr>
          <w:sz w:val="27"/>
          <w:rtl/>
          <w:lang w:bidi="ar-LB"/>
        </w:rPr>
        <w:t>ا</w:t>
      </w:r>
      <w:r w:rsidR="00CA5058" w:rsidRPr="006571AC">
        <w:rPr>
          <w:rFonts w:hint="cs"/>
          <w:sz w:val="27"/>
          <w:rtl/>
          <w:lang w:bidi="ar-LB"/>
        </w:rPr>
        <w:t>له</w:t>
      </w:r>
      <w:r w:rsidRPr="006571AC">
        <w:rPr>
          <w:sz w:val="27"/>
          <w:rtl/>
          <w:lang w:bidi="ar-LB"/>
        </w:rPr>
        <w:t>م</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24"/>
      </w:r>
      <w:r w:rsidRPr="006571AC">
        <w:rPr>
          <w:sz w:val="27"/>
          <w:vertAlign w:val="superscript"/>
          <w:rtl/>
          <w:lang w:bidi="ar-LB"/>
        </w:rPr>
        <w:t>)</w:t>
      </w:r>
      <w:r w:rsidRPr="006571AC">
        <w:rPr>
          <w:sz w:val="27"/>
          <w:rtl/>
          <w:lang w:bidi="ar-LB"/>
        </w:rPr>
        <w:t>. وعلى رغم أن هذه الرواية مرسلة</w:t>
      </w:r>
      <w:r w:rsidR="00FB4C47" w:rsidRPr="006571AC">
        <w:rPr>
          <w:rFonts w:hint="cs"/>
          <w:sz w:val="27"/>
          <w:rtl/>
          <w:lang w:bidi="ar-LB"/>
        </w:rPr>
        <w:t>ٌ</w:t>
      </w:r>
      <w:r w:rsidRPr="006571AC">
        <w:rPr>
          <w:sz w:val="27"/>
          <w:rtl/>
          <w:lang w:bidi="ar-LB"/>
        </w:rPr>
        <w:t xml:space="preserve"> وضعيفة من حيث السند</w:t>
      </w:r>
      <w:r w:rsidRPr="006571AC">
        <w:rPr>
          <w:sz w:val="27"/>
          <w:vertAlign w:val="superscript"/>
          <w:rtl/>
          <w:lang w:bidi="ar-LB"/>
        </w:rPr>
        <w:t>(</w:t>
      </w:r>
      <w:r w:rsidRPr="006571AC">
        <w:rPr>
          <w:sz w:val="27"/>
          <w:vertAlign w:val="superscript"/>
          <w:rtl/>
          <w:lang w:bidi="ar-LB"/>
        </w:rPr>
        <w:endnoteReference w:id="25"/>
      </w:r>
      <w:r w:rsidRPr="006571AC">
        <w:rPr>
          <w:sz w:val="27"/>
          <w:vertAlign w:val="superscript"/>
          <w:rtl/>
          <w:lang w:bidi="ar-LB"/>
        </w:rPr>
        <w:t>)</w:t>
      </w:r>
      <w:r w:rsidRPr="006571AC">
        <w:rPr>
          <w:sz w:val="27"/>
          <w:rtl/>
          <w:lang w:bidi="ar-LB"/>
        </w:rPr>
        <w:t>؛ إلا أنها مع ذلك متناسبة</w:t>
      </w:r>
      <w:r w:rsidR="00FB4C47" w:rsidRPr="006571AC">
        <w:rPr>
          <w:rFonts w:hint="cs"/>
          <w:sz w:val="27"/>
          <w:rtl/>
          <w:lang w:bidi="ar-LB"/>
        </w:rPr>
        <w:t>ٌ</w:t>
      </w:r>
      <w:r w:rsidRPr="006571AC">
        <w:rPr>
          <w:sz w:val="27"/>
          <w:rtl/>
          <w:lang w:bidi="ar-LB"/>
        </w:rPr>
        <w:t xml:space="preserve"> مع الارتكازات العقلية والعقلائية للفقهاء</w:t>
      </w:r>
      <w:r w:rsidRPr="006571AC">
        <w:rPr>
          <w:rFonts w:hint="cs"/>
          <w:sz w:val="27"/>
          <w:rtl/>
          <w:lang w:bidi="ar-LB"/>
        </w:rPr>
        <w:t xml:space="preserve">، وقد </w:t>
      </w:r>
      <w:r w:rsidRPr="006571AC">
        <w:rPr>
          <w:sz w:val="27"/>
          <w:rtl/>
          <w:lang w:bidi="ar-LB"/>
        </w:rPr>
        <w:t>وقعت محل</w:t>
      </w:r>
      <w:r w:rsidR="00FB4C47" w:rsidRPr="006571AC">
        <w:rPr>
          <w:rFonts w:hint="cs"/>
          <w:sz w:val="27"/>
          <w:rtl/>
          <w:lang w:bidi="ar-LB"/>
        </w:rPr>
        <w:t>ّ</w:t>
      </w:r>
      <w:r w:rsidRPr="006571AC">
        <w:rPr>
          <w:sz w:val="27"/>
          <w:rtl/>
          <w:lang w:bidi="ar-LB"/>
        </w:rPr>
        <w:t xml:space="preserve"> تسالم</w:t>
      </w:r>
      <w:r w:rsidR="00FB4C47" w:rsidRPr="006571AC">
        <w:rPr>
          <w:rFonts w:hint="cs"/>
          <w:sz w:val="27"/>
          <w:rtl/>
          <w:lang w:bidi="ar-LB"/>
        </w:rPr>
        <w:t>ٍ</w:t>
      </w:r>
      <w:r w:rsidRPr="006571AC">
        <w:rPr>
          <w:sz w:val="27"/>
          <w:rtl/>
          <w:lang w:bidi="ar-LB"/>
        </w:rPr>
        <w:t xml:space="preserve"> في الفقه</w:t>
      </w:r>
      <w:r w:rsidRPr="006571AC">
        <w:rPr>
          <w:rFonts w:hint="cs"/>
          <w:sz w:val="27"/>
          <w:rtl/>
          <w:lang w:bidi="ar-LB"/>
        </w:rPr>
        <w:t>،</w:t>
      </w:r>
      <w:r w:rsidRPr="006571AC">
        <w:rPr>
          <w:sz w:val="27"/>
          <w:rtl/>
          <w:lang w:bidi="ar-LB"/>
        </w:rPr>
        <w:t xml:space="preserve"> وقبلوا بمفاد</w:t>
      </w:r>
      <w:r w:rsidRPr="006571AC">
        <w:rPr>
          <w:rFonts w:hint="cs"/>
          <w:sz w:val="27"/>
          <w:rtl/>
          <w:lang w:bidi="ar-LB"/>
        </w:rPr>
        <w:t xml:space="preserve">ها </w:t>
      </w:r>
      <w:r w:rsidRPr="006571AC">
        <w:rPr>
          <w:sz w:val="27"/>
          <w:rtl/>
          <w:lang w:bidi="ar-LB"/>
        </w:rPr>
        <w:t>بوصفه قاعدة</w:t>
      </w:r>
      <w:r w:rsidR="00FB4C47" w:rsidRPr="006571AC">
        <w:rPr>
          <w:rFonts w:hint="cs"/>
          <w:sz w:val="27"/>
          <w:rtl/>
          <w:lang w:bidi="ar-LB"/>
        </w:rPr>
        <w:t>ً</w:t>
      </w:r>
      <w:r w:rsidRPr="006571AC">
        <w:rPr>
          <w:sz w:val="27"/>
          <w:rtl/>
        </w:rPr>
        <w:t xml:space="preserve"> </w:t>
      </w:r>
      <w:r w:rsidR="00FB4C47" w:rsidRPr="006571AC">
        <w:rPr>
          <w:sz w:val="27"/>
          <w:rtl/>
          <w:lang w:bidi="ar-LB"/>
        </w:rPr>
        <w:t>فقهي</w:t>
      </w:r>
      <w:r w:rsidR="00FB4C47" w:rsidRPr="006571AC">
        <w:rPr>
          <w:rFonts w:hint="cs"/>
          <w:sz w:val="27"/>
          <w:rtl/>
          <w:lang w:bidi="ar-LB"/>
        </w:rPr>
        <w:t>ّ</w:t>
      </w:r>
      <w:r w:rsidR="00FB4C47" w:rsidRPr="006571AC">
        <w:rPr>
          <w:sz w:val="27"/>
          <w:rtl/>
          <w:lang w:bidi="ar-LB"/>
        </w:rPr>
        <w:t xml:space="preserve">ة </w:t>
      </w:r>
      <w:r w:rsidRPr="006571AC">
        <w:rPr>
          <w:sz w:val="27"/>
          <w:rtl/>
          <w:lang w:bidi="ar-LB"/>
        </w:rPr>
        <w:t>مسلّ</w:t>
      </w:r>
      <w:r w:rsidR="00FB4C47" w:rsidRPr="006571AC">
        <w:rPr>
          <w:rFonts w:hint="cs"/>
          <w:sz w:val="27"/>
          <w:rtl/>
          <w:lang w:bidi="ar-LB"/>
        </w:rPr>
        <w:t>َ</w:t>
      </w:r>
      <w:r w:rsidRPr="006571AC">
        <w:rPr>
          <w:sz w:val="27"/>
          <w:rtl/>
          <w:lang w:bidi="ar-LB"/>
        </w:rPr>
        <w:t>مة</w:t>
      </w:r>
      <w:r w:rsidR="00FB4C47" w:rsidRPr="006571AC">
        <w:rPr>
          <w:rFonts w:hint="cs"/>
          <w:sz w:val="27"/>
          <w:rtl/>
          <w:lang w:bidi="ar-LB"/>
        </w:rPr>
        <w:t>،</w:t>
      </w:r>
      <w:r w:rsidRPr="006571AC">
        <w:rPr>
          <w:sz w:val="27"/>
          <w:rtl/>
          <w:lang w:bidi="ar-LB"/>
        </w:rPr>
        <w:t xml:space="preserve"> واستدلوا بها كثير</w:t>
      </w:r>
      <w:r w:rsidRPr="006571AC">
        <w:rPr>
          <w:rFonts w:hint="cs"/>
          <w:sz w:val="27"/>
          <w:rtl/>
          <w:lang w:bidi="ar-LB"/>
        </w:rPr>
        <w:t>اً</w:t>
      </w:r>
      <w:r w:rsidRPr="006571AC">
        <w:rPr>
          <w:sz w:val="27"/>
          <w:vertAlign w:val="superscript"/>
          <w:rtl/>
          <w:lang w:bidi="ar-LB"/>
        </w:rPr>
        <w:t>(</w:t>
      </w:r>
      <w:r w:rsidRPr="006571AC">
        <w:rPr>
          <w:sz w:val="27"/>
          <w:vertAlign w:val="superscript"/>
          <w:rtl/>
          <w:lang w:bidi="ar-LB"/>
        </w:rPr>
        <w:endnoteReference w:id="26"/>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والدليل على أن الفقهاء قد قبلوا بهذه القاعدة على أساس المبادئ العقلية والعقلائية</w:t>
      </w:r>
      <w:r w:rsidR="00FB4C47" w:rsidRPr="006571AC">
        <w:rPr>
          <w:rFonts w:hint="cs"/>
          <w:sz w:val="27"/>
          <w:rtl/>
          <w:lang w:bidi="ar-LB"/>
        </w:rPr>
        <w:t>،</w:t>
      </w:r>
      <w:r w:rsidRPr="006571AC">
        <w:rPr>
          <w:sz w:val="27"/>
          <w:rtl/>
          <w:lang w:bidi="ar-LB"/>
        </w:rPr>
        <w:t xml:space="preserve"> لا مدركها النقلي</w:t>
      </w:r>
      <w:r w:rsidRPr="006571AC">
        <w:rPr>
          <w:rFonts w:hint="cs"/>
          <w:sz w:val="27"/>
          <w:rtl/>
          <w:lang w:bidi="ar-LB"/>
        </w:rPr>
        <w:t xml:space="preserve"> ـ فهي</w:t>
      </w:r>
      <w:r w:rsidRPr="006571AC">
        <w:rPr>
          <w:sz w:val="27"/>
          <w:rtl/>
          <w:lang w:bidi="ar-LB"/>
        </w:rPr>
        <w:t xml:space="preserve"> ضع</w:t>
      </w:r>
      <w:r w:rsidRPr="006571AC">
        <w:rPr>
          <w:rFonts w:hint="cs"/>
          <w:sz w:val="27"/>
          <w:rtl/>
          <w:lang w:bidi="ar-LB"/>
        </w:rPr>
        <w:t>ي</w:t>
      </w:r>
      <w:r w:rsidRPr="006571AC">
        <w:rPr>
          <w:sz w:val="27"/>
          <w:rtl/>
          <w:lang w:bidi="ar-LB"/>
        </w:rPr>
        <w:t>ف</w:t>
      </w:r>
      <w:r w:rsidRPr="006571AC">
        <w:rPr>
          <w:rFonts w:hint="cs"/>
          <w:sz w:val="27"/>
          <w:rtl/>
          <w:lang w:bidi="ar-LB"/>
        </w:rPr>
        <w:t>ة</w:t>
      </w:r>
      <w:r w:rsidRPr="006571AC">
        <w:rPr>
          <w:sz w:val="27"/>
          <w:rtl/>
          <w:lang w:bidi="ar-LB"/>
        </w:rPr>
        <w:t xml:space="preserve"> السند</w:t>
      </w:r>
      <w:r w:rsidRPr="006571AC">
        <w:rPr>
          <w:rFonts w:hint="cs"/>
          <w:sz w:val="27"/>
          <w:rtl/>
          <w:lang w:bidi="ar-LB"/>
        </w:rPr>
        <w:t>، ولم ت</w:t>
      </w:r>
      <w:r w:rsidR="00FB4C47" w:rsidRPr="006571AC">
        <w:rPr>
          <w:rFonts w:hint="cs"/>
          <w:sz w:val="27"/>
          <w:rtl/>
          <w:lang w:bidi="ar-LB"/>
        </w:rPr>
        <w:t>َ</w:t>
      </w:r>
      <w:r w:rsidRPr="006571AC">
        <w:rPr>
          <w:rFonts w:hint="cs"/>
          <w:sz w:val="27"/>
          <w:rtl/>
          <w:lang w:bidi="ar-LB"/>
        </w:rPr>
        <w:t>ر</w:t>
      </w:r>
      <w:r w:rsidR="00FB4C47" w:rsidRPr="006571AC">
        <w:rPr>
          <w:rFonts w:hint="cs"/>
          <w:sz w:val="27"/>
          <w:rtl/>
          <w:lang w:bidi="ar-LB"/>
        </w:rPr>
        <w:t>ِ</w:t>
      </w:r>
      <w:r w:rsidRPr="006571AC">
        <w:rPr>
          <w:rFonts w:hint="cs"/>
          <w:sz w:val="27"/>
          <w:rtl/>
          <w:lang w:bidi="ar-LB"/>
        </w:rPr>
        <w:t>د</w:t>
      </w:r>
      <w:r w:rsidR="00FB4C47" w:rsidRPr="006571AC">
        <w:rPr>
          <w:rFonts w:hint="cs"/>
          <w:sz w:val="27"/>
          <w:rtl/>
          <w:lang w:bidi="ar-LB"/>
        </w:rPr>
        <w:t>ْ</w:t>
      </w:r>
      <w:r w:rsidRPr="006571AC">
        <w:rPr>
          <w:sz w:val="27"/>
          <w:rtl/>
          <w:lang w:bidi="ar-LB"/>
        </w:rPr>
        <w:t xml:space="preserve"> في الكتب الروائية المعتبرة</w:t>
      </w:r>
      <w:r w:rsidRPr="006571AC">
        <w:rPr>
          <w:rFonts w:hint="cs"/>
          <w:sz w:val="27"/>
          <w:rtl/>
          <w:lang w:bidi="ar-LB"/>
        </w:rPr>
        <w:t xml:space="preserve"> ـ</w:t>
      </w:r>
      <w:r w:rsidR="00FB4C47" w:rsidRPr="006571AC">
        <w:rPr>
          <w:rFonts w:hint="cs"/>
          <w:sz w:val="27"/>
          <w:rtl/>
          <w:lang w:bidi="ar-LB"/>
        </w:rPr>
        <w:t>،</w:t>
      </w:r>
      <w:r w:rsidRPr="006571AC">
        <w:rPr>
          <w:sz w:val="27"/>
          <w:rtl/>
          <w:lang w:bidi="ar-LB"/>
        </w:rPr>
        <w:t xml:space="preserve"> إضافتهم لعبارة</w:t>
      </w:r>
      <w:r w:rsidR="00FB4C47" w:rsidRPr="006571AC">
        <w:rPr>
          <w:rFonts w:hint="cs"/>
          <w:sz w:val="27"/>
          <w:rtl/>
          <w:lang w:bidi="ar-LB"/>
        </w:rPr>
        <w:t>:</w:t>
      </w:r>
      <w:r w:rsidRPr="006571AC">
        <w:rPr>
          <w:sz w:val="27"/>
          <w:rtl/>
          <w:lang w:bidi="ar-LB"/>
        </w:rPr>
        <w:t xml:space="preserve"> </w:t>
      </w:r>
      <w:r w:rsidRPr="006571AC">
        <w:rPr>
          <w:sz w:val="24"/>
          <w:szCs w:val="24"/>
          <w:rtl/>
          <w:lang w:bidi="ar-LB"/>
        </w:rPr>
        <w:t>«</w:t>
      </w:r>
      <w:r w:rsidRPr="006571AC">
        <w:rPr>
          <w:sz w:val="27"/>
          <w:rtl/>
          <w:lang w:bidi="ar-LB"/>
        </w:rPr>
        <w:t>على أنفسهم</w:t>
      </w:r>
      <w:r w:rsidRPr="006571AC">
        <w:rPr>
          <w:sz w:val="24"/>
          <w:szCs w:val="24"/>
          <w:rtl/>
          <w:lang w:bidi="ar-LB"/>
        </w:rPr>
        <w:t>»</w:t>
      </w:r>
      <w:r w:rsidRPr="006571AC">
        <w:rPr>
          <w:sz w:val="27"/>
          <w:rtl/>
          <w:lang w:bidi="ar-LB"/>
        </w:rPr>
        <w:t xml:space="preserve"> في آخر القاعدة في الكثير من </w:t>
      </w:r>
      <w:r w:rsidR="00FB4C47" w:rsidRPr="006571AC">
        <w:rPr>
          <w:rFonts w:hint="cs"/>
          <w:sz w:val="27"/>
          <w:rtl/>
          <w:lang w:bidi="ar-LB"/>
        </w:rPr>
        <w:t>المصادر</w:t>
      </w:r>
      <w:r w:rsidRPr="006571AC">
        <w:rPr>
          <w:sz w:val="27"/>
          <w:rtl/>
          <w:lang w:bidi="ar-LB"/>
        </w:rPr>
        <w:t xml:space="preserve"> الفقهية</w:t>
      </w:r>
      <w:r w:rsidRPr="006571AC">
        <w:rPr>
          <w:sz w:val="27"/>
          <w:vertAlign w:val="superscript"/>
          <w:rtl/>
          <w:lang w:bidi="ar-LB"/>
        </w:rPr>
        <w:t>(</w:t>
      </w:r>
      <w:r w:rsidRPr="006571AC">
        <w:rPr>
          <w:sz w:val="27"/>
          <w:vertAlign w:val="superscript"/>
          <w:rtl/>
          <w:lang w:bidi="ar-LB"/>
        </w:rPr>
        <w:endnoteReference w:id="27"/>
      </w:r>
      <w:r w:rsidRPr="006571AC">
        <w:rPr>
          <w:sz w:val="27"/>
          <w:vertAlign w:val="superscript"/>
          <w:rtl/>
          <w:lang w:bidi="ar-LB"/>
        </w:rPr>
        <w:t>)</w:t>
      </w:r>
      <w:r w:rsidRPr="006571AC">
        <w:rPr>
          <w:sz w:val="27"/>
          <w:rtl/>
          <w:lang w:bidi="ar-LB"/>
        </w:rPr>
        <w:t>،لتصبح هذه القاعدة شاملة</w:t>
      </w:r>
      <w:r w:rsidR="00FB4C47" w:rsidRPr="006571AC">
        <w:rPr>
          <w:rFonts w:hint="cs"/>
          <w:sz w:val="27"/>
          <w:rtl/>
          <w:lang w:bidi="ar-LB"/>
        </w:rPr>
        <w:t>ً</w:t>
      </w:r>
      <w:r w:rsidRPr="006571AC">
        <w:rPr>
          <w:sz w:val="27"/>
          <w:rtl/>
          <w:lang w:bidi="ar-LB"/>
        </w:rPr>
        <w:t xml:space="preserve"> لكل</w:t>
      </w:r>
      <w:r w:rsidR="00FB4C47" w:rsidRPr="006571AC">
        <w:rPr>
          <w:rFonts w:hint="cs"/>
          <w:sz w:val="27"/>
          <w:rtl/>
          <w:lang w:bidi="ar-LB"/>
        </w:rPr>
        <w:t>ّ</w:t>
      </w:r>
      <w:r w:rsidRPr="006571AC">
        <w:rPr>
          <w:sz w:val="27"/>
          <w:rtl/>
          <w:lang w:bidi="ar-LB"/>
        </w:rPr>
        <w:t xml:space="preserve"> أعمال الإنسان المتعل</w:t>
      </w:r>
      <w:r w:rsidR="00FB4C47" w:rsidRPr="006571AC">
        <w:rPr>
          <w:rFonts w:hint="cs"/>
          <w:sz w:val="27"/>
          <w:rtl/>
          <w:lang w:bidi="ar-LB"/>
        </w:rPr>
        <w:t>ِّ</w:t>
      </w:r>
      <w:r w:rsidRPr="006571AC">
        <w:rPr>
          <w:sz w:val="27"/>
          <w:rtl/>
          <w:lang w:bidi="ar-LB"/>
        </w:rPr>
        <w:t>قة بمصيره</w:t>
      </w:r>
      <w:r w:rsidRPr="006571AC">
        <w:rPr>
          <w:rFonts w:hint="cs"/>
          <w:sz w:val="27"/>
          <w:rtl/>
          <w:lang w:bidi="ar-LB"/>
        </w:rPr>
        <w:t>،</w:t>
      </w:r>
      <w:r w:rsidRPr="006571AC">
        <w:rPr>
          <w:sz w:val="27"/>
          <w:rtl/>
          <w:lang w:bidi="ar-LB"/>
        </w:rPr>
        <w:t xml:space="preserve"> رغم أن هذه العبارة لم ت</w:t>
      </w:r>
      <w:r w:rsidR="00FB4C47" w:rsidRPr="006571AC">
        <w:rPr>
          <w:rFonts w:hint="cs"/>
          <w:sz w:val="27"/>
          <w:rtl/>
          <w:lang w:bidi="ar-LB"/>
        </w:rPr>
        <w:t>َ</w:t>
      </w:r>
      <w:r w:rsidRPr="006571AC">
        <w:rPr>
          <w:sz w:val="27"/>
          <w:rtl/>
          <w:lang w:bidi="ar-LB"/>
        </w:rPr>
        <w:t>ر</w:t>
      </w:r>
      <w:r w:rsidR="00FB4C47" w:rsidRPr="006571AC">
        <w:rPr>
          <w:rFonts w:hint="cs"/>
          <w:sz w:val="27"/>
          <w:rtl/>
          <w:lang w:bidi="ar-LB"/>
        </w:rPr>
        <w:t>ِ</w:t>
      </w:r>
      <w:r w:rsidRPr="006571AC">
        <w:rPr>
          <w:sz w:val="27"/>
          <w:rtl/>
          <w:lang w:bidi="ar-LB"/>
        </w:rPr>
        <w:t>د</w:t>
      </w:r>
      <w:r w:rsidR="00FB4C47" w:rsidRPr="006571AC">
        <w:rPr>
          <w:rFonts w:hint="cs"/>
          <w:sz w:val="27"/>
          <w:rtl/>
          <w:lang w:bidi="ar-LB"/>
        </w:rPr>
        <w:t>ْ</w:t>
      </w:r>
      <w:r w:rsidRPr="006571AC">
        <w:rPr>
          <w:sz w:val="27"/>
          <w:rtl/>
          <w:lang w:bidi="ar-LB"/>
        </w:rPr>
        <w:t xml:space="preserve"> في أي</w:t>
      </w:r>
      <w:r w:rsidR="00FB4C47" w:rsidRPr="006571AC">
        <w:rPr>
          <w:rFonts w:hint="cs"/>
          <w:sz w:val="27"/>
          <w:rtl/>
          <w:lang w:bidi="ar-LB"/>
        </w:rPr>
        <w:t>ّ</w:t>
      </w:r>
      <w:r w:rsidRPr="006571AC">
        <w:rPr>
          <w:sz w:val="27"/>
          <w:rtl/>
          <w:lang w:bidi="ar-LB"/>
        </w:rPr>
        <w:t xml:space="preserve"> رواية</w:t>
      </w:r>
      <w:r w:rsidR="00FB4C47" w:rsidRPr="006571AC">
        <w:rPr>
          <w:rFonts w:hint="cs"/>
          <w:sz w:val="27"/>
          <w:rtl/>
          <w:lang w:bidi="ar-LB"/>
        </w:rPr>
        <w:t>ٍ</w:t>
      </w:r>
      <w:r w:rsidRPr="006571AC">
        <w:rPr>
          <w:sz w:val="27"/>
          <w:vertAlign w:val="superscript"/>
          <w:rtl/>
          <w:lang w:bidi="ar-LB"/>
        </w:rPr>
        <w:t>(</w:t>
      </w:r>
      <w:r w:rsidRPr="006571AC">
        <w:rPr>
          <w:sz w:val="27"/>
          <w:vertAlign w:val="superscript"/>
          <w:rtl/>
          <w:lang w:bidi="ar-LB"/>
        </w:rPr>
        <w:endnoteReference w:id="28"/>
      </w:r>
      <w:r w:rsidRPr="006571AC">
        <w:rPr>
          <w:sz w:val="27"/>
          <w:vertAlign w:val="superscript"/>
          <w:rtl/>
          <w:lang w:bidi="ar-LB"/>
        </w:rPr>
        <w:t>)</w:t>
      </w:r>
      <w:r w:rsidRPr="006571AC">
        <w:rPr>
          <w:sz w:val="27"/>
          <w:rtl/>
          <w:lang w:bidi="ar-LB"/>
        </w:rPr>
        <w:t>. وهذا الأمر ينم</w:t>
      </w:r>
      <w:r w:rsidR="00FB4C47" w:rsidRPr="006571AC">
        <w:rPr>
          <w:rFonts w:hint="cs"/>
          <w:sz w:val="27"/>
          <w:rtl/>
          <w:lang w:bidi="ar-LB"/>
        </w:rPr>
        <w:t>ّ</w:t>
      </w:r>
      <w:r w:rsidRPr="006571AC">
        <w:rPr>
          <w:sz w:val="27"/>
          <w:rtl/>
          <w:lang w:bidi="ar-LB"/>
        </w:rPr>
        <w:t xml:space="preserve"> عن أن مستندهم الأصلي في هذه القاعدة هو حكم العقل والعقلاء</w:t>
      </w:r>
      <w:r w:rsidRPr="006571AC">
        <w:rPr>
          <w:rFonts w:hint="cs"/>
          <w:sz w:val="27"/>
          <w:rtl/>
          <w:lang w:bidi="ar-LB"/>
        </w:rPr>
        <w:t>،</w:t>
      </w:r>
      <w:r w:rsidRPr="006571AC">
        <w:rPr>
          <w:sz w:val="27"/>
          <w:rtl/>
          <w:lang w:bidi="ar-LB"/>
        </w:rPr>
        <w:t xml:space="preserve"> لا الرواية المنقولة. أض</w:t>
      </w:r>
      <w:r w:rsidR="001103F7" w:rsidRPr="006571AC">
        <w:rPr>
          <w:rFonts w:hint="cs"/>
          <w:sz w:val="27"/>
          <w:rtl/>
          <w:lang w:bidi="ar-LB"/>
        </w:rPr>
        <w:t>ِ</w:t>
      </w:r>
      <w:r w:rsidRPr="006571AC">
        <w:rPr>
          <w:sz w:val="27"/>
          <w:rtl/>
          <w:lang w:bidi="ar-LB"/>
        </w:rPr>
        <w:t>ف</w:t>
      </w:r>
      <w:r w:rsidR="001103F7" w:rsidRPr="006571AC">
        <w:rPr>
          <w:rFonts w:hint="cs"/>
          <w:sz w:val="27"/>
          <w:rtl/>
          <w:lang w:bidi="ar-LB"/>
        </w:rPr>
        <w:t>ْ</w:t>
      </w:r>
      <w:r w:rsidRPr="006571AC">
        <w:rPr>
          <w:sz w:val="27"/>
          <w:rtl/>
          <w:lang w:bidi="ar-LB"/>
        </w:rPr>
        <w:t xml:space="preserve"> إلى ذلك أن بعض الفقهاء قد صر</w:t>
      </w:r>
      <w:r w:rsidR="001103F7" w:rsidRPr="006571AC">
        <w:rPr>
          <w:rFonts w:hint="cs"/>
          <w:sz w:val="27"/>
          <w:rtl/>
          <w:lang w:bidi="ar-LB"/>
        </w:rPr>
        <w:t>َّ</w:t>
      </w:r>
      <w:r w:rsidRPr="006571AC">
        <w:rPr>
          <w:sz w:val="27"/>
          <w:rtl/>
          <w:lang w:bidi="ar-LB"/>
        </w:rPr>
        <w:t>حوا أن هذه القاعدة ترتكز على الدليل العقلي والعقلائي أكثر من ارتكازها على الأدل</w:t>
      </w:r>
      <w:r w:rsidR="001103F7" w:rsidRPr="006571AC">
        <w:rPr>
          <w:rFonts w:hint="cs"/>
          <w:sz w:val="27"/>
          <w:rtl/>
          <w:lang w:bidi="ar-LB"/>
        </w:rPr>
        <w:t>ّ</w:t>
      </w:r>
      <w:r w:rsidRPr="006571AC">
        <w:rPr>
          <w:sz w:val="27"/>
          <w:rtl/>
          <w:lang w:bidi="ar-LB"/>
        </w:rPr>
        <w:t>ة النقلية</w:t>
      </w:r>
      <w:r w:rsidRPr="006571AC">
        <w:rPr>
          <w:sz w:val="27"/>
          <w:vertAlign w:val="superscript"/>
          <w:rtl/>
          <w:lang w:bidi="ar-LB"/>
        </w:rPr>
        <w:t>(</w:t>
      </w:r>
      <w:r w:rsidRPr="006571AC">
        <w:rPr>
          <w:sz w:val="27"/>
          <w:vertAlign w:val="superscript"/>
          <w:rtl/>
          <w:lang w:bidi="ar-LB"/>
        </w:rPr>
        <w:endnoteReference w:id="29"/>
      </w:r>
      <w:r w:rsidRPr="006571AC">
        <w:rPr>
          <w:sz w:val="27"/>
          <w:vertAlign w:val="superscript"/>
          <w:rtl/>
          <w:lang w:bidi="ar-LB"/>
        </w:rPr>
        <w:t>)</w:t>
      </w:r>
      <w:r w:rsidRPr="006571AC">
        <w:rPr>
          <w:sz w:val="27"/>
          <w:rtl/>
          <w:lang w:bidi="ar-LB"/>
        </w:rPr>
        <w:t xml:space="preserve">. </w:t>
      </w:r>
      <w:r w:rsidR="00731867" w:rsidRPr="006571AC">
        <w:rPr>
          <w:sz w:val="27"/>
          <w:rtl/>
          <w:lang w:bidi="ar-LB"/>
        </w:rPr>
        <w:t>إذن</w:t>
      </w:r>
      <w:r w:rsidRPr="006571AC">
        <w:rPr>
          <w:sz w:val="27"/>
          <w:rtl/>
          <w:lang w:bidi="ar-LB"/>
        </w:rPr>
        <w:t xml:space="preserve"> فالفقهاء</w:t>
      </w:r>
      <w:r w:rsidRPr="006571AC">
        <w:rPr>
          <w:rFonts w:hint="cs"/>
          <w:sz w:val="27"/>
          <w:rtl/>
          <w:lang w:bidi="ar-LB"/>
        </w:rPr>
        <w:t xml:space="preserve"> اعتبروا</w:t>
      </w:r>
      <w:r w:rsidRPr="006571AC">
        <w:rPr>
          <w:sz w:val="27"/>
          <w:rtl/>
          <w:lang w:bidi="ar-LB"/>
        </w:rPr>
        <w:t xml:space="preserve"> ـ انطلاق</w:t>
      </w:r>
      <w:r w:rsidRPr="006571AC">
        <w:rPr>
          <w:rFonts w:hint="cs"/>
          <w:sz w:val="27"/>
          <w:rtl/>
          <w:lang w:bidi="ar-LB"/>
        </w:rPr>
        <w:t>اً</w:t>
      </w:r>
      <w:r w:rsidRPr="006571AC">
        <w:rPr>
          <w:sz w:val="27"/>
          <w:rtl/>
          <w:lang w:bidi="ar-LB"/>
        </w:rPr>
        <w:t xml:space="preserve"> من المبادئ العقلية والعقلائية</w:t>
      </w:r>
      <w:r w:rsidRPr="006571AC">
        <w:rPr>
          <w:rFonts w:hint="cs"/>
          <w:sz w:val="27"/>
          <w:rtl/>
          <w:lang w:bidi="ar-LB"/>
        </w:rPr>
        <w:t xml:space="preserve"> </w:t>
      </w:r>
      <w:r w:rsidRPr="006571AC">
        <w:rPr>
          <w:sz w:val="27"/>
          <w:rtl/>
          <w:lang w:bidi="ar-LB"/>
        </w:rPr>
        <w:t xml:space="preserve">ـ أن </w:t>
      </w:r>
      <w:r w:rsidRPr="006571AC">
        <w:rPr>
          <w:sz w:val="27"/>
          <w:rtl/>
          <w:lang w:bidi="ar-LB"/>
        </w:rPr>
        <w:lastRenderedPageBreak/>
        <w:t>الأصل الأو</w:t>
      </w:r>
      <w:r w:rsidR="001103F7" w:rsidRPr="006571AC">
        <w:rPr>
          <w:rFonts w:hint="cs"/>
          <w:sz w:val="27"/>
          <w:rtl/>
          <w:lang w:bidi="ar-LB"/>
        </w:rPr>
        <w:t>ّ</w:t>
      </w:r>
      <w:r w:rsidRPr="006571AC">
        <w:rPr>
          <w:sz w:val="27"/>
          <w:rtl/>
          <w:lang w:bidi="ar-LB"/>
        </w:rPr>
        <w:t>لي على الحرّية التكوينيّة للإنسان في أعماله المتعل</w:t>
      </w:r>
      <w:r w:rsidR="001103F7" w:rsidRPr="006571AC">
        <w:rPr>
          <w:rFonts w:hint="cs"/>
          <w:sz w:val="27"/>
          <w:rtl/>
          <w:lang w:bidi="ar-LB"/>
        </w:rPr>
        <w:t>ِّ</w:t>
      </w:r>
      <w:r w:rsidRPr="006571AC">
        <w:rPr>
          <w:sz w:val="27"/>
          <w:rtl/>
          <w:lang w:bidi="ar-LB"/>
        </w:rPr>
        <w:t>قة به وحده، وعب</w:t>
      </w:r>
      <w:r w:rsidR="001103F7" w:rsidRPr="006571AC">
        <w:rPr>
          <w:rFonts w:hint="cs"/>
          <w:sz w:val="27"/>
          <w:rtl/>
          <w:lang w:bidi="ar-LB"/>
        </w:rPr>
        <w:t>َّ</w:t>
      </w:r>
      <w:r w:rsidRPr="006571AC">
        <w:rPr>
          <w:sz w:val="27"/>
          <w:rtl/>
          <w:lang w:bidi="ar-LB"/>
        </w:rPr>
        <w:t>روا عن</w:t>
      </w:r>
      <w:r w:rsidRPr="006571AC">
        <w:rPr>
          <w:rFonts w:hint="cs"/>
          <w:sz w:val="27"/>
          <w:rtl/>
          <w:lang w:bidi="ar-LB"/>
        </w:rPr>
        <w:t xml:space="preserve"> ذلك</w:t>
      </w:r>
      <w:r w:rsidRPr="006571AC">
        <w:rPr>
          <w:sz w:val="27"/>
          <w:rtl/>
          <w:lang w:bidi="ar-LB"/>
        </w:rPr>
        <w:t xml:space="preserve"> بـ </w:t>
      </w:r>
      <w:r w:rsidRPr="006571AC">
        <w:rPr>
          <w:sz w:val="24"/>
          <w:szCs w:val="24"/>
          <w:rtl/>
          <w:lang w:bidi="ar-LB"/>
        </w:rPr>
        <w:t>«</w:t>
      </w:r>
      <w:r w:rsidRPr="006571AC">
        <w:rPr>
          <w:sz w:val="27"/>
          <w:rtl/>
          <w:lang w:bidi="ar-LB"/>
        </w:rPr>
        <w:t>قاعدة السلطنة</w:t>
      </w:r>
      <w:r w:rsidRPr="006571AC">
        <w:rPr>
          <w:sz w:val="24"/>
          <w:szCs w:val="24"/>
          <w:rtl/>
          <w:lang w:bidi="ar-LB"/>
        </w:rPr>
        <w:t>»</w:t>
      </w:r>
      <w:r w:rsidRPr="006571AC">
        <w:rPr>
          <w:sz w:val="27"/>
          <w:rtl/>
          <w:lang w:bidi="ar-LB"/>
        </w:rPr>
        <w:t xml:space="preserve">، </w:t>
      </w:r>
      <w:r w:rsidRPr="006571AC">
        <w:rPr>
          <w:rFonts w:hint="cs"/>
          <w:sz w:val="27"/>
          <w:rtl/>
          <w:lang w:bidi="ar-LB"/>
        </w:rPr>
        <w:t>و</w:t>
      </w:r>
      <w:r w:rsidRPr="006571AC">
        <w:rPr>
          <w:sz w:val="24"/>
          <w:szCs w:val="24"/>
          <w:rtl/>
          <w:lang w:bidi="ar-LB"/>
        </w:rPr>
        <w:t>«</w:t>
      </w:r>
      <w:r w:rsidRPr="006571AC">
        <w:rPr>
          <w:sz w:val="27"/>
          <w:rtl/>
          <w:lang w:bidi="ar-LB"/>
        </w:rPr>
        <w:t>أصل عدم الإجبار</w:t>
      </w:r>
      <w:r w:rsidRPr="006571AC">
        <w:rPr>
          <w:sz w:val="24"/>
          <w:szCs w:val="24"/>
          <w:rtl/>
          <w:lang w:bidi="ar-LB"/>
        </w:rPr>
        <w:t>»</w:t>
      </w:r>
      <w:r w:rsidRPr="006571AC">
        <w:rPr>
          <w:sz w:val="27"/>
          <w:rtl/>
          <w:lang w:bidi="ar-LB"/>
        </w:rPr>
        <w:t xml:space="preserve"> و </w:t>
      </w:r>
      <w:r w:rsidRPr="006571AC">
        <w:rPr>
          <w:sz w:val="24"/>
          <w:szCs w:val="24"/>
          <w:rtl/>
          <w:lang w:bidi="ar-LB"/>
        </w:rPr>
        <w:t>«</w:t>
      </w:r>
      <w:r w:rsidRPr="006571AC">
        <w:rPr>
          <w:sz w:val="27"/>
          <w:rtl/>
          <w:lang w:bidi="ar-LB"/>
        </w:rPr>
        <w:t>أصل عدم الولاية</w:t>
      </w:r>
      <w:r w:rsidRPr="006571AC">
        <w:rPr>
          <w:sz w:val="24"/>
          <w:szCs w:val="24"/>
          <w:rtl/>
          <w:lang w:bidi="ar-LB"/>
        </w:rPr>
        <w:t>»</w:t>
      </w:r>
      <w:r w:rsidRPr="006571AC">
        <w:rPr>
          <w:sz w:val="27"/>
          <w:rtl/>
          <w:lang w:bidi="ar-LB"/>
        </w:rPr>
        <w:t>.</w:t>
      </w:r>
    </w:p>
    <w:p w:rsidR="008C542A" w:rsidRPr="006571AC" w:rsidRDefault="008C542A" w:rsidP="00AA4501">
      <w:pPr>
        <w:tabs>
          <w:tab w:val="right" w:pos="6930"/>
        </w:tabs>
        <w:suppressAutoHyphens/>
        <w:spacing w:line="440" w:lineRule="exact"/>
        <w:rPr>
          <w:sz w:val="27"/>
          <w:rtl/>
          <w:lang w:bidi="ar-LB"/>
        </w:rPr>
      </w:pPr>
    </w:p>
    <w:p w:rsidR="008C542A" w:rsidRPr="006571AC" w:rsidRDefault="008C542A" w:rsidP="008C542A">
      <w:pPr>
        <w:pStyle w:val="31"/>
        <w:rPr>
          <w:color w:val="auto"/>
          <w:rtl/>
          <w:lang w:bidi="ar-LB"/>
        </w:rPr>
      </w:pPr>
      <w:bookmarkStart w:id="26" w:name="_Toc114164515"/>
      <w:r w:rsidRPr="006571AC">
        <w:rPr>
          <w:rFonts w:hint="cs"/>
          <w:color w:val="auto"/>
          <w:rtl/>
          <w:lang w:bidi="ar-LB"/>
        </w:rPr>
        <w:t>5</w:t>
      </w:r>
      <w:r w:rsidRPr="006571AC">
        <w:rPr>
          <w:color w:val="auto"/>
          <w:rtl/>
          <w:lang w:bidi="ar-LB"/>
        </w:rPr>
        <w:t>ـ</w:t>
      </w:r>
      <w:r w:rsidRPr="006571AC">
        <w:rPr>
          <w:rFonts w:hint="cs"/>
          <w:color w:val="auto"/>
          <w:rtl/>
          <w:lang w:bidi="ar-LB"/>
        </w:rPr>
        <w:t xml:space="preserve"> حقّ تقرير المصير واعتبار رأي الأكثري</w:t>
      </w:r>
      <w:r w:rsidR="007F5126" w:rsidRPr="006571AC">
        <w:rPr>
          <w:rFonts w:hint="cs"/>
          <w:color w:val="auto"/>
          <w:rtl/>
          <w:lang w:bidi="ar-LB"/>
        </w:rPr>
        <w:t>ّ</w:t>
      </w:r>
      <w:r w:rsidRPr="006571AC">
        <w:rPr>
          <w:rFonts w:hint="cs"/>
          <w:color w:val="auto"/>
          <w:rtl/>
          <w:lang w:bidi="ar-LB"/>
        </w:rPr>
        <w:t>ة</w:t>
      </w:r>
      <w:bookmarkEnd w:id="26"/>
    </w:p>
    <w:p w:rsidR="008C542A" w:rsidRPr="006571AC" w:rsidRDefault="008C542A" w:rsidP="00706E68">
      <w:pPr>
        <w:tabs>
          <w:tab w:val="right" w:pos="6930"/>
        </w:tabs>
        <w:suppressAutoHyphens/>
        <w:rPr>
          <w:sz w:val="27"/>
          <w:rtl/>
          <w:lang w:bidi="ar-LB"/>
        </w:rPr>
      </w:pPr>
      <w:r w:rsidRPr="006571AC">
        <w:rPr>
          <w:sz w:val="27"/>
          <w:rtl/>
        </w:rPr>
        <w:t>مرّ في بداية الفصل السابق أنه عند تزاحم مبدأ الحر</w:t>
      </w:r>
      <w:r w:rsidR="001103F7" w:rsidRPr="006571AC">
        <w:rPr>
          <w:rFonts w:hint="cs"/>
          <w:sz w:val="27"/>
          <w:rtl/>
        </w:rPr>
        <w:t>ّ</w:t>
      </w:r>
      <w:r w:rsidRPr="006571AC">
        <w:rPr>
          <w:sz w:val="27"/>
          <w:rtl/>
        </w:rPr>
        <w:t>ية التكوينية مع النظم الاجتماعي</w:t>
      </w:r>
      <w:r w:rsidRPr="006571AC">
        <w:rPr>
          <w:rFonts w:hint="cs"/>
          <w:sz w:val="27"/>
          <w:rtl/>
        </w:rPr>
        <w:t xml:space="preserve"> ف</w:t>
      </w:r>
      <w:r w:rsidR="00731867" w:rsidRPr="006571AC">
        <w:rPr>
          <w:rFonts w:hint="cs"/>
          <w:sz w:val="27"/>
          <w:rtl/>
        </w:rPr>
        <w:t>لا بُدَّ</w:t>
      </w:r>
      <w:r w:rsidRPr="006571AC">
        <w:rPr>
          <w:rFonts w:hint="cs"/>
          <w:sz w:val="27"/>
          <w:rtl/>
        </w:rPr>
        <w:t xml:space="preserve"> </w:t>
      </w:r>
      <w:r w:rsidRPr="006571AC">
        <w:rPr>
          <w:sz w:val="27"/>
          <w:rtl/>
        </w:rPr>
        <w:t xml:space="preserve">من وضع قوانين إجبارية </w:t>
      </w:r>
      <w:r w:rsidRPr="006571AC">
        <w:rPr>
          <w:rFonts w:hint="cs"/>
          <w:sz w:val="27"/>
          <w:rtl/>
        </w:rPr>
        <w:t>ل</w:t>
      </w:r>
      <w:r w:rsidRPr="006571AC">
        <w:rPr>
          <w:sz w:val="27"/>
          <w:rtl/>
        </w:rPr>
        <w:t>لحفاظ على النظم الاجتماعي</w:t>
      </w:r>
      <w:r w:rsidR="001103F7" w:rsidRPr="006571AC">
        <w:rPr>
          <w:rFonts w:hint="cs"/>
          <w:sz w:val="27"/>
          <w:rtl/>
        </w:rPr>
        <w:t>ّ</w:t>
      </w:r>
      <w:r w:rsidRPr="006571AC">
        <w:rPr>
          <w:rFonts w:hint="cs"/>
          <w:sz w:val="27"/>
          <w:rtl/>
        </w:rPr>
        <w:t xml:space="preserve">، ولتحقيق </w:t>
      </w:r>
      <w:r w:rsidRPr="006571AC">
        <w:rPr>
          <w:sz w:val="27"/>
          <w:rtl/>
        </w:rPr>
        <w:t>أقل</w:t>
      </w:r>
      <w:r w:rsidR="001103F7" w:rsidRPr="006571AC">
        <w:rPr>
          <w:rFonts w:hint="cs"/>
          <w:sz w:val="27"/>
          <w:rtl/>
        </w:rPr>
        <w:t>ّ</w:t>
      </w:r>
      <w:r w:rsidRPr="006571AC">
        <w:rPr>
          <w:sz w:val="27"/>
          <w:rtl/>
        </w:rPr>
        <w:t xml:space="preserve"> ضرر</w:t>
      </w:r>
      <w:r w:rsidR="001103F7" w:rsidRPr="006571AC">
        <w:rPr>
          <w:rFonts w:hint="cs"/>
          <w:sz w:val="27"/>
          <w:rtl/>
        </w:rPr>
        <w:t>ٍ</w:t>
      </w:r>
      <w:r w:rsidRPr="006571AC">
        <w:rPr>
          <w:sz w:val="27"/>
          <w:rtl/>
        </w:rPr>
        <w:t xml:space="preserve"> ممكن بمبدأ الحرّية التكويني</w:t>
      </w:r>
      <w:r w:rsidR="001103F7" w:rsidRPr="006571AC">
        <w:rPr>
          <w:rFonts w:hint="cs"/>
          <w:sz w:val="27"/>
          <w:rtl/>
        </w:rPr>
        <w:t>ّ</w:t>
      </w:r>
      <w:r w:rsidRPr="006571AC">
        <w:rPr>
          <w:sz w:val="27"/>
          <w:rtl/>
        </w:rPr>
        <w:t>ة</w:t>
      </w:r>
      <w:r w:rsidRPr="006571AC">
        <w:rPr>
          <w:rFonts w:hint="cs"/>
          <w:sz w:val="27"/>
          <w:rtl/>
        </w:rPr>
        <w:t xml:space="preserve">، وذلك من خلال </w:t>
      </w:r>
      <w:r w:rsidRPr="006571AC">
        <w:rPr>
          <w:sz w:val="27"/>
          <w:rtl/>
        </w:rPr>
        <w:t xml:space="preserve">القوانين الإجبارية </w:t>
      </w:r>
      <w:r w:rsidRPr="006571AC">
        <w:rPr>
          <w:rFonts w:hint="cs"/>
          <w:sz w:val="27"/>
          <w:rtl/>
        </w:rPr>
        <w:t>ال</w:t>
      </w:r>
      <w:r w:rsidRPr="006571AC">
        <w:rPr>
          <w:sz w:val="27"/>
          <w:rtl/>
        </w:rPr>
        <w:t xml:space="preserve">مستمدّة من </w:t>
      </w:r>
      <w:r w:rsidRPr="006571AC">
        <w:rPr>
          <w:sz w:val="24"/>
          <w:szCs w:val="24"/>
          <w:rtl/>
        </w:rPr>
        <w:t>«</w:t>
      </w:r>
      <w:r w:rsidRPr="006571AC">
        <w:rPr>
          <w:sz w:val="27"/>
          <w:rtl/>
        </w:rPr>
        <w:t>إرادة الناس</w:t>
      </w:r>
      <w:r w:rsidRPr="006571AC">
        <w:rPr>
          <w:sz w:val="24"/>
          <w:szCs w:val="24"/>
          <w:rtl/>
        </w:rPr>
        <w:t>»</w:t>
      </w:r>
      <w:r w:rsidRPr="006571AC">
        <w:rPr>
          <w:sz w:val="27"/>
          <w:rtl/>
        </w:rPr>
        <w:t xml:space="preserve">. </w:t>
      </w:r>
      <w:r w:rsidRPr="006571AC">
        <w:rPr>
          <w:rFonts w:hint="cs"/>
          <w:sz w:val="27"/>
          <w:rtl/>
          <w:lang w:bidi="ar-LB"/>
        </w:rPr>
        <w:t xml:space="preserve">في هذه الفرضية، وعلى الرغم من أن أفراد المجتمع مجبرون على القيام ببعض الأعمال أو التخلّي عن بعض الإجراءات، من خلال سنّ هذه القوانين، فإنّ سنّ هذه القوانين </w:t>
      </w:r>
      <w:r w:rsidRPr="006571AC">
        <w:rPr>
          <w:rFonts w:hint="cs"/>
          <w:b/>
          <w:bCs/>
          <w:sz w:val="27"/>
          <w:rtl/>
          <w:lang w:bidi="ar-LB"/>
        </w:rPr>
        <w:t>أوّلاً</w:t>
      </w:r>
      <w:r w:rsidRPr="006571AC">
        <w:rPr>
          <w:rFonts w:hint="cs"/>
          <w:sz w:val="27"/>
          <w:rtl/>
          <w:lang w:bidi="ar-LB"/>
        </w:rPr>
        <w:t xml:space="preserve">: ضروريٌّ للحفاظ على الحياة الاجتماعية، التي يطلبها جميع أفراد المجتمع؛ </w:t>
      </w:r>
      <w:r w:rsidRPr="006571AC">
        <w:rPr>
          <w:rFonts w:hint="cs"/>
          <w:b/>
          <w:bCs/>
          <w:sz w:val="27"/>
          <w:rtl/>
          <w:lang w:bidi="ar-LB"/>
        </w:rPr>
        <w:t>وثانياً</w:t>
      </w:r>
      <w:r w:rsidRPr="006571AC">
        <w:rPr>
          <w:rFonts w:hint="cs"/>
          <w:sz w:val="27"/>
          <w:rtl/>
          <w:lang w:bidi="ar-LB"/>
        </w:rPr>
        <w:t>: القوانين نفسها تمّ اختيارها من قِبَلهم، وبالتالي فإن هذا الإجبار متولِّدٌ عن الاختيار الحُرّ لأفراد المجتمع</w:t>
      </w:r>
      <w:r w:rsidRPr="006571AC">
        <w:rPr>
          <w:rFonts w:hint="eastAsia"/>
          <w:sz w:val="27"/>
          <w:rtl/>
          <w:lang w:bidi="ar-LB"/>
        </w:rPr>
        <w:t>؛</w:t>
      </w:r>
      <w:r w:rsidRPr="006571AC">
        <w:rPr>
          <w:rFonts w:hint="cs"/>
          <w:sz w:val="27"/>
          <w:rtl/>
          <w:lang w:bidi="ar-LB"/>
        </w:rPr>
        <w:t xml:space="preserve"> </w:t>
      </w:r>
      <w:r w:rsidRPr="006571AC">
        <w:rPr>
          <w:sz w:val="27"/>
          <w:rtl/>
          <w:lang w:bidi="ar-LB"/>
        </w:rPr>
        <w:t xml:space="preserve">أي </w:t>
      </w:r>
      <w:r w:rsidRPr="006571AC">
        <w:rPr>
          <w:rFonts w:hint="cs"/>
          <w:sz w:val="27"/>
          <w:rtl/>
          <w:lang w:bidi="ar-LB"/>
        </w:rPr>
        <w:t>إ</w:t>
      </w:r>
      <w:r w:rsidRPr="006571AC">
        <w:rPr>
          <w:sz w:val="27"/>
          <w:rtl/>
          <w:lang w:bidi="ar-LB"/>
        </w:rPr>
        <w:t>ن الناس هم م</w:t>
      </w:r>
      <w:r w:rsidRPr="006571AC">
        <w:rPr>
          <w:rFonts w:hint="cs"/>
          <w:sz w:val="27"/>
          <w:rtl/>
          <w:lang w:bidi="ar-LB"/>
        </w:rPr>
        <w:t>َ</w:t>
      </w:r>
      <w:r w:rsidRPr="006571AC">
        <w:rPr>
          <w:sz w:val="27"/>
          <w:rtl/>
          <w:lang w:bidi="ar-LB"/>
        </w:rPr>
        <w:t>ن</w:t>
      </w:r>
      <w:r w:rsidRPr="006571AC">
        <w:rPr>
          <w:rFonts w:hint="cs"/>
          <w:sz w:val="27"/>
          <w:rtl/>
          <w:lang w:bidi="ar-LB"/>
        </w:rPr>
        <w:t>ْ</w:t>
      </w:r>
      <w:r w:rsidRPr="006571AC">
        <w:rPr>
          <w:sz w:val="27"/>
          <w:rtl/>
          <w:lang w:bidi="ar-LB"/>
        </w:rPr>
        <w:t xml:space="preserve"> أرادوا وضع هكذا قوانين لأنفسهم</w:t>
      </w:r>
      <w:r w:rsidR="001103F7" w:rsidRPr="006571AC">
        <w:rPr>
          <w:rFonts w:hint="cs"/>
          <w:sz w:val="27"/>
          <w:rtl/>
          <w:lang w:bidi="ar-LB"/>
        </w:rPr>
        <w:t>؛</w:t>
      </w:r>
      <w:r w:rsidRPr="006571AC">
        <w:rPr>
          <w:sz w:val="27"/>
          <w:rtl/>
          <w:lang w:bidi="ar-LB"/>
        </w:rPr>
        <w:t xml:space="preserve"> من أجل أن يتخل</w:t>
      </w:r>
      <w:r w:rsidR="001103F7" w:rsidRPr="006571AC">
        <w:rPr>
          <w:rFonts w:hint="cs"/>
          <w:sz w:val="27"/>
          <w:rtl/>
          <w:lang w:bidi="ar-LB"/>
        </w:rPr>
        <w:t>َّ</w:t>
      </w:r>
      <w:r w:rsidRPr="006571AC">
        <w:rPr>
          <w:sz w:val="27"/>
          <w:rtl/>
          <w:lang w:bidi="ar-LB"/>
        </w:rPr>
        <w:t>ص المجتمع من الفوضى وانعدام النظام. ولذلك فهو</w:t>
      </w:r>
      <w:r w:rsidRPr="006571AC">
        <w:rPr>
          <w:rFonts w:hint="cs"/>
          <w:sz w:val="27"/>
          <w:rtl/>
          <w:lang w:bidi="ar-LB"/>
        </w:rPr>
        <w:t xml:space="preserve"> لا يؤثِّر بتاتاً على مبدأ حرّية الإرادة.</w:t>
      </w:r>
    </w:p>
    <w:p w:rsidR="008C542A" w:rsidRPr="006571AC" w:rsidRDefault="008C542A" w:rsidP="00706E68">
      <w:pPr>
        <w:tabs>
          <w:tab w:val="right" w:pos="6930"/>
        </w:tabs>
        <w:suppressAutoHyphens/>
        <w:rPr>
          <w:sz w:val="27"/>
          <w:rtl/>
        </w:rPr>
      </w:pPr>
      <w:r w:rsidRPr="006571AC">
        <w:rPr>
          <w:rFonts w:hint="cs"/>
          <w:sz w:val="27"/>
          <w:rtl/>
          <w:lang w:bidi="ar-LB"/>
        </w:rPr>
        <w:t>ولكنْ بما أن أفراد المجتمع قلَّما يتّفقون على قرارٍ واحد، وبالتالي يحدث الاختلاف في عملية سنّ القوانين الإلزامية، فإنّ أفضل حالٍ؛ للوصول إلى أقلّ الأضرار بمبدأ الاختيار الحُرّ للبشر، هي تفضيل رأي الأكثرية على الأقلّية. وفي هذه الحال تُجْبَر أقلِّيةٌ فقط على الامتثال لقوانين لا تحبّها، على الرغم من أن الأقلّية تقبل نوعاً ما إلزامية القوانين المختارة من قِبَل الأكثرية؛ بحكم أنها تقبل بقواعد الحياة الاجتماعية، كتفضيل رأي الأكثرية على الأقلِّية في اتخاذ القرارات الجماعية.</w:t>
      </w:r>
    </w:p>
    <w:p w:rsidR="008C542A" w:rsidRPr="006571AC" w:rsidRDefault="008C542A" w:rsidP="00AA4501">
      <w:pPr>
        <w:tabs>
          <w:tab w:val="right" w:pos="6930"/>
        </w:tabs>
        <w:suppressAutoHyphens/>
        <w:spacing w:line="420" w:lineRule="exact"/>
        <w:rPr>
          <w:sz w:val="27"/>
          <w:rtl/>
        </w:rPr>
      </w:pPr>
    </w:p>
    <w:p w:rsidR="008C542A" w:rsidRPr="006571AC" w:rsidRDefault="008C542A" w:rsidP="008C542A">
      <w:pPr>
        <w:pStyle w:val="31"/>
        <w:rPr>
          <w:color w:val="auto"/>
          <w:rtl/>
          <w:lang w:bidi="ar-LB"/>
        </w:rPr>
      </w:pPr>
      <w:bookmarkStart w:id="27" w:name="_Toc114164516"/>
      <w:r w:rsidRPr="006571AC">
        <w:rPr>
          <w:rFonts w:hint="cs"/>
          <w:color w:val="auto"/>
          <w:rtl/>
          <w:lang w:bidi="ar-LB"/>
        </w:rPr>
        <w:t>6</w:t>
      </w:r>
      <w:r w:rsidRPr="006571AC">
        <w:rPr>
          <w:color w:val="auto"/>
          <w:rtl/>
          <w:lang w:bidi="ar-LB"/>
        </w:rPr>
        <w:t>ـ</w:t>
      </w:r>
      <w:r w:rsidRPr="006571AC">
        <w:rPr>
          <w:rFonts w:hint="cs"/>
          <w:color w:val="auto"/>
          <w:rtl/>
          <w:lang w:bidi="ar-LB"/>
        </w:rPr>
        <w:t xml:space="preserve"> رأي الأكثريّة والحكم النهائيّ</w:t>
      </w:r>
      <w:bookmarkEnd w:id="27"/>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إن تفضيل رأي الأكثرية في القرارات الجماعية، بالإضافة إلى الحفاظ على مبدأ </w:t>
      </w:r>
      <w:r w:rsidRPr="006571AC">
        <w:rPr>
          <w:rFonts w:hint="eastAsia"/>
          <w:sz w:val="24"/>
          <w:szCs w:val="24"/>
          <w:rtl/>
          <w:lang w:bidi="ar-LB"/>
        </w:rPr>
        <w:t>«</w:t>
      </w:r>
      <w:r w:rsidRPr="006571AC">
        <w:rPr>
          <w:rFonts w:hint="cs"/>
          <w:sz w:val="27"/>
          <w:rtl/>
          <w:lang w:bidi="ar-LB"/>
        </w:rPr>
        <w:t>الحرّية</w:t>
      </w:r>
      <w:r w:rsidRPr="006571AC">
        <w:rPr>
          <w:rFonts w:hint="eastAsia"/>
          <w:sz w:val="24"/>
          <w:szCs w:val="24"/>
          <w:rtl/>
        </w:rPr>
        <w:t>»</w:t>
      </w:r>
      <w:r w:rsidRPr="006571AC">
        <w:rPr>
          <w:rFonts w:hint="cs"/>
          <w:sz w:val="27"/>
          <w:rtl/>
          <w:lang w:bidi="ar-LB"/>
        </w:rPr>
        <w:t xml:space="preserve">، هو وسيلةٌ واضحة ودقيقة لإرساء النظام في المجتمع. رأي الأكثرية هو أفضل خيار لحلِّ النزاعات بين الناس، والحفاظ على الانضباط الاجتماعيّ. إن أيَّ خيارٍ آخر، ما سوى رأي الأكثرية، إذا تمّ اختياره ليكون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لحلّ </w:t>
      </w:r>
      <w:r w:rsidRPr="006571AC">
        <w:rPr>
          <w:rFonts w:hint="cs"/>
          <w:sz w:val="27"/>
          <w:rtl/>
          <w:lang w:bidi="ar-LB"/>
        </w:rPr>
        <w:lastRenderedPageBreak/>
        <w:t>النزاعات بين أفراد المجتمع سيواجه مشكلتين رئيستين:</w:t>
      </w:r>
    </w:p>
    <w:p w:rsidR="008C542A" w:rsidRPr="006571AC" w:rsidRDefault="008C542A" w:rsidP="00AA4501">
      <w:pPr>
        <w:tabs>
          <w:tab w:val="right" w:pos="6930"/>
        </w:tabs>
        <w:suppressAutoHyphens/>
        <w:spacing w:line="420" w:lineRule="exact"/>
        <w:rPr>
          <w:sz w:val="27"/>
          <w:rtl/>
          <w:lang w:bidi="ar-LB"/>
        </w:rPr>
      </w:pPr>
      <w:r w:rsidRPr="006571AC">
        <w:rPr>
          <w:rFonts w:hint="cs"/>
          <w:b/>
          <w:bCs/>
          <w:sz w:val="27"/>
          <w:rtl/>
          <w:lang w:bidi="ar-LB"/>
        </w:rPr>
        <w:t>المشكلة الأولى</w:t>
      </w:r>
      <w:r w:rsidRPr="006571AC">
        <w:rPr>
          <w:rFonts w:hint="cs"/>
          <w:sz w:val="27"/>
          <w:rtl/>
          <w:lang w:bidi="ar-LB"/>
        </w:rPr>
        <w:t>: إن ما يقبله الحَكَم النهائي إما أنه يوافق رأي الأكثرية أو يختلف معها؛ فإذا وافقها فعندئذٍ يكون رأي الأغلبية هو السائد؛ وإذا خالفها يكون الرأي المخالف للأكثرية هو السائد، وفي هذه الحال يتعرّض مبدأ الإرادة الحُرّة للبشر، التي هي مقدّمة لرشدهم وسموّهم، إلى الكثير من الضَّرَر. بينما في حالة سيادة رأي الأكثرية لن يتعرّض سوى إلى أقلّ ضررٍ ممكن.</w:t>
      </w:r>
    </w:p>
    <w:p w:rsidR="008C542A" w:rsidRPr="006571AC" w:rsidRDefault="008C542A" w:rsidP="00AA4501">
      <w:pPr>
        <w:tabs>
          <w:tab w:val="right" w:pos="6930"/>
        </w:tabs>
        <w:suppressAutoHyphens/>
        <w:spacing w:line="420" w:lineRule="exact"/>
        <w:rPr>
          <w:sz w:val="27"/>
          <w:rtl/>
          <w:lang w:bidi="ar-LB"/>
        </w:rPr>
      </w:pPr>
      <w:r w:rsidRPr="006571AC">
        <w:rPr>
          <w:rFonts w:hint="cs"/>
          <w:b/>
          <w:bCs/>
          <w:sz w:val="27"/>
          <w:rtl/>
          <w:lang w:bidi="ar-LB"/>
        </w:rPr>
        <w:t>المشكلة الثانية</w:t>
      </w:r>
      <w:r w:rsidRPr="006571AC">
        <w:rPr>
          <w:rFonts w:hint="cs"/>
          <w:sz w:val="27"/>
          <w:rtl/>
          <w:lang w:bidi="ar-LB"/>
        </w:rPr>
        <w:t xml:space="preserve">: إن هذا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لا يمكن أن يضمن تطلُّعات الناس الآخرين، أي الحفاظ على النظام في المجتمع؛ لأن هذا الحكم النهائي قد تمّ قبوله باعتباره الح</w:t>
      </w:r>
      <w:r w:rsidR="00CA5058" w:rsidRPr="006571AC">
        <w:rPr>
          <w:rFonts w:hint="cs"/>
          <w:sz w:val="27"/>
          <w:rtl/>
          <w:lang w:bidi="ar-LB"/>
        </w:rPr>
        <w:t>َ</w:t>
      </w:r>
      <w:r w:rsidRPr="006571AC">
        <w:rPr>
          <w:rFonts w:hint="cs"/>
          <w:sz w:val="27"/>
          <w:rtl/>
          <w:lang w:bidi="ar-LB"/>
        </w:rPr>
        <w:t>ك</w:t>
      </w:r>
      <w:r w:rsidR="00CA5058" w:rsidRPr="006571AC">
        <w:rPr>
          <w:rFonts w:hint="cs"/>
          <w:sz w:val="27"/>
          <w:rtl/>
          <w:lang w:bidi="ar-LB"/>
        </w:rPr>
        <w:t>َ</w:t>
      </w:r>
      <w:r w:rsidRPr="006571AC">
        <w:rPr>
          <w:rFonts w:hint="cs"/>
          <w:sz w:val="27"/>
          <w:rtl/>
          <w:lang w:bidi="ar-LB"/>
        </w:rPr>
        <w:t>م من قِبَل غالبية المجتمع. وفي هذه الحال يكون الحكم النهائي في الواقع هو رأي الأكثرية؛ أما الذي لم يقبله فهي إرادة الأقلِّية. وفي هذه الحال فإن الأكثرية وكلّ الأقلِّيات الآخرين يمنحون لأنفسهم الحقّ في تعيين الحكم النهائي. وهذه بداية الفوضى، وغياب مطالب الناس الآخرين في النظام الاجتماعي.</w:t>
      </w:r>
    </w:p>
    <w:p w:rsidR="008C542A" w:rsidRPr="006571AC" w:rsidRDefault="008C542A" w:rsidP="00AA4501">
      <w:pPr>
        <w:tabs>
          <w:tab w:val="right" w:pos="6930"/>
        </w:tabs>
        <w:suppressAutoHyphens/>
        <w:spacing w:line="420" w:lineRule="exact"/>
        <w:rPr>
          <w:sz w:val="27"/>
          <w:rtl/>
          <w:lang w:bidi="ar-LB"/>
        </w:rPr>
      </w:pPr>
      <w:r w:rsidRPr="006571AC">
        <w:rPr>
          <w:rFonts w:hint="cs"/>
          <w:sz w:val="27"/>
          <w:rtl/>
          <w:lang w:bidi="ar-LB"/>
        </w:rPr>
        <w:t>ومن السمات الأخرى لرأي الأكثرية، التي تجعله يستحقّ الحكم في نزاعات المجتمع وضوحه وشفافيّته؛ فالحصول على رأي الأكثرية وتحديده بطريقةٍ لا يوجد بها نزاعٌ يكاد يكون أمراً طبيعياً، وبدون أدنى شَكٍّ.</w:t>
      </w:r>
    </w:p>
    <w:p w:rsidR="008C542A" w:rsidRPr="006571AC" w:rsidRDefault="008C542A" w:rsidP="00AA4501">
      <w:pPr>
        <w:tabs>
          <w:tab w:val="right" w:pos="6930"/>
        </w:tabs>
        <w:suppressAutoHyphens/>
        <w:spacing w:line="380" w:lineRule="exact"/>
        <w:rPr>
          <w:sz w:val="27"/>
          <w:rtl/>
          <w:lang w:bidi="ar-LB"/>
        </w:rPr>
      </w:pPr>
    </w:p>
    <w:p w:rsidR="008C542A" w:rsidRPr="006571AC" w:rsidRDefault="008C542A" w:rsidP="008C542A">
      <w:pPr>
        <w:pStyle w:val="31"/>
        <w:rPr>
          <w:color w:val="auto"/>
          <w:rtl/>
        </w:rPr>
      </w:pPr>
      <w:bookmarkStart w:id="28" w:name="_Toc114164517"/>
      <w:r w:rsidRPr="006571AC">
        <w:rPr>
          <w:rFonts w:hint="cs"/>
          <w:color w:val="auto"/>
          <w:rtl/>
          <w:lang w:bidi="ar-LB"/>
        </w:rPr>
        <w:t>7</w:t>
      </w:r>
      <w:r w:rsidRPr="006571AC">
        <w:rPr>
          <w:color w:val="auto"/>
          <w:rtl/>
          <w:lang w:bidi="ar-LB"/>
        </w:rPr>
        <w:t>ـ</w:t>
      </w:r>
      <w:r w:rsidRPr="006571AC">
        <w:rPr>
          <w:rFonts w:hint="cs"/>
          <w:color w:val="auto"/>
          <w:rtl/>
          <w:lang w:bidi="ar-LB"/>
        </w:rPr>
        <w:t xml:space="preserve"> حقّ تقرير المصير والمَثَل الأعلى للحرّية</w:t>
      </w:r>
      <w:bookmarkEnd w:id="28"/>
    </w:p>
    <w:p w:rsidR="008C542A" w:rsidRPr="006571AC" w:rsidRDefault="008C542A" w:rsidP="00AA4501">
      <w:pPr>
        <w:tabs>
          <w:tab w:val="right" w:pos="6930"/>
        </w:tabs>
        <w:suppressAutoHyphens/>
        <w:spacing w:line="420" w:lineRule="exact"/>
        <w:rPr>
          <w:sz w:val="27"/>
          <w:rtl/>
          <w:lang w:bidi="ar-LB"/>
        </w:rPr>
      </w:pPr>
      <w:r w:rsidRPr="006571AC">
        <w:rPr>
          <w:rFonts w:hint="cs"/>
          <w:sz w:val="27"/>
          <w:rtl/>
          <w:lang w:bidi="ar-LB"/>
        </w:rPr>
        <w:t>هذا الشكل من الدفاع عن حقّ الحرّية والرجوع إلى الرأي العامّ وسيادة رأي الأكثرية لا يعني بالضرورة قبول مثال الحرّية على أنها مستقلّةٌ بذاتها. يبدو أن حرّية الإرادة بالنسبة إلى البعض انقلبَتْ إلى الحصول على أفضل حالةٍ من أجل حياة الإنسان وكماله ومطلوبه النهائي، في حين أن هذا النوع من الحرّية، الذي يقوم على أساس حقّ تقرير المصير، يُعتَبَر بمثابة مقدّمة</w:t>
      </w:r>
      <w:r w:rsidR="00EF1BA5" w:rsidRPr="006571AC">
        <w:rPr>
          <w:rFonts w:hint="cs"/>
          <w:sz w:val="27"/>
          <w:rtl/>
          <w:lang w:bidi="ar-LB"/>
        </w:rPr>
        <w:t>ٍ</w:t>
      </w:r>
      <w:r w:rsidRPr="006571AC">
        <w:rPr>
          <w:rFonts w:hint="cs"/>
          <w:sz w:val="27"/>
          <w:rtl/>
          <w:lang w:bidi="ar-LB"/>
        </w:rPr>
        <w:t xml:space="preserve"> ضرورية وأرضيّة لازمة لرشد الإنسان وكماله. ويمكن للإنسان استخدام هذه المقدّمة الضرورية من أجل سعادته أو شقائه. وهكذا نرى فَرْقاً كبيراً بين الحرّية بمثابة </w:t>
      </w:r>
      <w:r w:rsidRPr="006571AC">
        <w:rPr>
          <w:rFonts w:hint="eastAsia"/>
          <w:sz w:val="24"/>
          <w:szCs w:val="24"/>
          <w:rtl/>
          <w:lang w:bidi="ar-LB"/>
        </w:rPr>
        <w:t>«</w:t>
      </w:r>
      <w:r w:rsidRPr="006571AC">
        <w:rPr>
          <w:rFonts w:hint="cs"/>
          <w:sz w:val="27"/>
          <w:rtl/>
          <w:lang w:bidi="ar-LB"/>
        </w:rPr>
        <w:t>الكمال النهائي للإنسان</w:t>
      </w:r>
      <w:r w:rsidRPr="006571AC">
        <w:rPr>
          <w:rFonts w:hint="eastAsia"/>
          <w:sz w:val="24"/>
          <w:szCs w:val="24"/>
          <w:rtl/>
        </w:rPr>
        <w:t>»</w:t>
      </w:r>
      <w:r w:rsidRPr="006571AC">
        <w:rPr>
          <w:rFonts w:hint="cs"/>
          <w:sz w:val="27"/>
          <w:rtl/>
          <w:lang w:bidi="ar-LB"/>
        </w:rPr>
        <w:t xml:space="preserve"> والحرّية التي هي </w:t>
      </w:r>
      <w:r w:rsidRPr="006571AC">
        <w:rPr>
          <w:rFonts w:hint="eastAsia"/>
          <w:sz w:val="24"/>
          <w:szCs w:val="24"/>
          <w:rtl/>
          <w:lang w:bidi="ar-LB"/>
        </w:rPr>
        <w:t>«</w:t>
      </w:r>
      <w:r w:rsidRPr="006571AC">
        <w:rPr>
          <w:rFonts w:hint="cs"/>
          <w:sz w:val="27"/>
          <w:rtl/>
          <w:lang w:bidi="ar-LB"/>
        </w:rPr>
        <w:t>مقدّمة من أجل الوصول إلى الكمال النهائي</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30"/>
      </w:r>
      <w:r w:rsidRPr="006571AC">
        <w:rPr>
          <w:sz w:val="27"/>
          <w:vertAlign w:val="superscript"/>
          <w:rtl/>
          <w:lang w:bidi="ar-LB"/>
        </w:rPr>
        <w:t>)</w:t>
      </w:r>
      <w:r w:rsidRPr="006571AC">
        <w:rPr>
          <w:rFonts w:hint="cs"/>
          <w:sz w:val="27"/>
          <w:rtl/>
          <w:lang w:bidi="ar-LB"/>
        </w:rPr>
        <w:t>.</w:t>
      </w:r>
    </w:p>
    <w:p w:rsidR="008C542A" w:rsidRPr="006571AC" w:rsidRDefault="008C542A" w:rsidP="008C542A">
      <w:pPr>
        <w:pStyle w:val="31"/>
        <w:rPr>
          <w:color w:val="auto"/>
          <w:rtl/>
          <w:lang w:bidi="ar-LB"/>
        </w:rPr>
      </w:pPr>
      <w:bookmarkStart w:id="29" w:name="_Toc114164518"/>
      <w:r w:rsidRPr="006571AC">
        <w:rPr>
          <w:rFonts w:hint="cs"/>
          <w:color w:val="auto"/>
          <w:rtl/>
          <w:lang w:bidi="ar-LB"/>
        </w:rPr>
        <w:lastRenderedPageBreak/>
        <w:t>8</w:t>
      </w:r>
      <w:r w:rsidRPr="006571AC">
        <w:rPr>
          <w:color w:val="auto"/>
          <w:rtl/>
          <w:lang w:bidi="ar-LB"/>
        </w:rPr>
        <w:t>ـ</w:t>
      </w:r>
      <w:r w:rsidRPr="006571AC">
        <w:rPr>
          <w:rFonts w:hint="cs"/>
          <w:color w:val="auto"/>
          <w:rtl/>
          <w:lang w:bidi="ar-LB"/>
        </w:rPr>
        <w:t xml:space="preserve"> حقّ تقرير المصير في نظام </w:t>
      </w:r>
      <w:r w:rsidRPr="006571AC">
        <w:rPr>
          <w:color w:val="auto"/>
          <w:rtl/>
          <w:lang w:bidi="ar-LB"/>
        </w:rPr>
        <w:t>جمهوري</w:t>
      </w:r>
      <w:r w:rsidR="007F5126" w:rsidRPr="006571AC">
        <w:rPr>
          <w:rFonts w:hint="cs"/>
          <w:color w:val="auto"/>
          <w:rtl/>
          <w:lang w:bidi="ar-LB"/>
        </w:rPr>
        <w:t>ّ</w:t>
      </w:r>
      <w:r w:rsidRPr="006571AC">
        <w:rPr>
          <w:color w:val="auto"/>
          <w:rtl/>
          <w:lang w:bidi="ar-LB"/>
        </w:rPr>
        <w:t>ة إيران الإسلامي</w:t>
      </w:r>
      <w:r w:rsidR="007F5126" w:rsidRPr="006571AC">
        <w:rPr>
          <w:rFonts w:hint="cs"/>
          <w:color w:val="auto"/>
          <w:rtl/>
          <w:lang w:bidi="ar-LB"/>
        </w:rPr>
        <w:t>ّ</w:t>
      </w:r>
      <w:r w:rsidRPr="006571AC">
        <w:rPr>
          <w:color w:val="auto"/>
          <w:rtl/>
          <w:lang w:bidi="ar-LB"/>
        </w:rPr>
        <w:t>ة</w:t>
      </w:r>
      <w:bookmarkEnd w:id="29"/>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تمّ إقرار حقّ تقرير المصير للناس </w:t>
      </w:r>
      <w:r w:rsidRPr="006571AC">
        <w:rPr>
          <w:sz w:val="27"/>
          <w:rtl/>
          <w:lang w:bidi="ar-LB"/>
        </w:rPr>
        <w:t>في إدارة الدولة في القانون الأساسي لجمهورية إيران الإسلامي</w:t>
      </w:r>
      <w:r w:rsidR="001103F7" w:rsidRPr="006571AC">
        <w:rPr>
          <w:rFonts w:hint="cs"/>
          <w:sz w:val="27"/>
          <w:rtl/>
          <w:lang w:bidi="ar-LB"/>
        </w:rPr>
        <w:t>ّ</w:t>
      </w:r>
      <w:r w:rsidRPr="006571AC">
        <w:rPr>
          <w:sz w:val="27"/>
          <w:rtl/>
          <w:lang w:bidi="ar-LB"/>
        </w:rPr>
        <w:t xml:space="preserve">ة في موارد </w:t>
      </w:r>
      <w:r w:rsidR="001103F7" w:rsidRPr="006571AC">
        <w:rPr>
          <w:rFonts w:hint="cs"/>
          <w:sz w:val="27"/>
          <w:rtl/>
          <w:lang w:bidi="ar-LB"/>
        </w:rPr>
        <w:t>عديدة</w:t>
      </w:r>
      <w:r w:rsidRPr="006571AC">
        <w:rPr>
          <w:sz w:val="27"/>
          <w:rtl/>
          <w:lang w:bidi="ar-LB"/>
        </w:rPr>
        <w:t>، سواء من باب التصريح أو الإشارة. ومن جملتها</w:t>
      </w:r>
      <w:r w:rsidR="001103F7" w:rsidRPr="006571AC">
        <w:rPr>
          <w:rFonts w:hint="cs"/>
          <w:sz w:val="27"/>
          <w:rtl/>
          <w:lang w:bidi="ar-LB"/>
        </w:rPr>
        <w:t>:</w:t>
      </w:r>
      <w:r w:rsidRPr="006571AC">
        <w:rPr>
          <w:sz w:val="27"/>
          <w:rtl/>
          <w:lang w:bidi="ar-LB"/>
        </w:rPr>
        <w:t xml:space="preserve"> ما جاء في مقد</w:t>
      </w:r>
      <w:r w:rsidR="001103F7" w:rsidRPr="006571AC">
        <w:rPr>
          <w:rFonts w:hint="cs"/>
          <w:sz w:val="27"/>
          <w:rtl/>
          <w:lang w:bidi="ar-LB"/>
        </w:rPr>
        <w:t>ّ</w:t>
      </w:r>
      <w:r w:rsidRPr="006571AC">
        <w:rPr>
          <w:sz w:val="27"/>
          <w:rtl/>
          <w:lang w:bidi="ar-LB"/>
        </w:rPr>
        <w:t>مة القانون الأساسي</w:t>
      </w:r>
      <w:r w:rsidR="001103F7" w:rsidRPr="006571AC">
        <w:rPr>
          <w:rFonts w:hint="cs"/>
          <w:sz w:val="27"/>
          <w:rtl/>
          <w:lang w:bidi="ar-LB"/>
        </w:rPr>
        <w:t>،</w:t>
      </w:r>
      <w:r w:rsidRPr="006571AC">
        <w:rPr>
          <w:sz w:val="27"/>
          <w:rtl/>
          <w:lang w:bidi="ar-LB"/>
        </w:rPr>
        <w:t xml:space="preserve"> من تأكيد أن الهدف من إقامة الثورة الإسلامية منح الشعب حق</w:t>
      </w:r>
      <w:r w:rsidR="001103F7" w:rsidRPr="006571AC">
        <w:rPr>
          <w:rFonts w:hint="cs"/>
          <w:sz w:val="27"/>
          <w:rtl/>
          <w:lang w:bidi="ar-LB"/>
        </w:rPr>
        <w:t>ّ</w:t>
      </w:r>
      <w:r w:rsidRPr="006571AC">
        <w:rPr>
          <w:sz w:val="27"/>
          <w:rtl/>
          <w:lang w:bidi="ar-LB"/>
        </w:rPr>
        <w:t xml:space="preserve"> تقرير مصيره بنفسه،</w:t>
      </w:r>
      <w:r w:rsidRPr="006571AC">
        <w:rPr>
          <w:sz w:val="27"/>
          <w:rtl/>
        </w:rPr>
        <w:t xml:space="preserve"> </w:t>
      </w:r>
      <w:r w:rsidRPr="006571AC">
        <w:rPr>
          <w:rFonts w:hint="cs"/>
          <w:sz w:val="27"/>
          <w:rtl/>
          <w:lang w:bidi="ar-LB"/>
        </w:rPr>
        <w:t xml:space="preserve">كما </w:t>
      </w:r>
      <w:r w:rsidRPr="006571AC">
        <w:rPr>
          <w:sz w:val="27"/>
          <w:rtl/>
          <w:lang w:bidi="ar-LB"/>
        </w:rPr>
        <w:t xml:space="preserve">يقوم </w:t>
      </w:r>
      <w:r w:rsidRPr="006571AC">
        <w:rPr>
          <w:rFonts w:hint="eastAsia"/>
          <w:sz w:val="27"/>
          <w:rtl/>
        </w:rPr>
        <w:t>القانون</w:t>
      </w:r>
      <w:r w:rsidRPr="006571AC">
        <w:rPr>
          <w:sz w:val="27"/>
          <w:rtl/>
        </w:rPr>
        <w:t xml:space="preserve"> </w:t>
      </w:r>
      <w:r w:rsidRPr="006571AC">
        <w:rPr>
          <w:rFonts w:hint="eastAsia"/>
          <w:sz w:val="27"/>
          <w:rtl/>
        </w:rPr>
        <w:t>الأساسي</w:t>
      </w:r>
      <w:r w:rsidRPr="006571AC">
        <w:rPr>
          <w:sz w:val="27"/>
          <w:rtl/>
          <w:lang w:bidi="ar-LB"/>
        </w:rPr>
        <w:t xml:space="preserve"> بتهيئة الظروف اللازمة لمشاركة جميع أفراد المجتمع في جميع مراحل اتخاذ القرارات السياسي</w:t>
      </w:r>
      <w:r w:rsidR="00E27187" w:rsidRPr="006571AC">
        <w:rPr>
          <w:rFonts w:hint="cs"/>
          <w:sz w:val="27"/>
          <w:rtl/>
          <w:lang w:bidi="ar-LB"/>
        </w:rPr>
        <w:t>ّ</w:t>
      </w:r>
      <w:r w:rsidRPr="006571AC">
        <w:rPr>
          <w:sz w:val="27"/>
          <w:rtl/>
          <w:lang w:bidi="ar-LB"/>
        </w:rPr>
        <w:t>ة والمصيري</w:t>
      </w:r>
      <w:r w:rsidR="00E27187" w:rsidRPr="006571AC">
        <w:rPr>
          <w:rFonts w:hint="cs"/>
          <w:sz w:val="27"/>
          <w:rtl/>
          <w:lang w:bidi="ar-LB"/>
        </w:rPr>
        <w:t>ّ</w:t>
      </w:r>
      <w:r w:rsidRPr="006571AC">
        <w:rPr>
          <w:sz w:val="27"/>
          <w:rtl/>
          <w:lang w:bidi="ar-LB"/>
        </w:rPr>
        <w:t>ة</w:t>
      </w:r>
      <w:r w:rsidRPr="006571AC">
        <w:rPr>
          <w:sz w:val="27"/>
          <w:vertAlign w:val="superscript"/>
          <w:rtl/>
          <w:lang w:bidi="ar-LB"/>
        </w:rPr>
        <w:t>(</w:t>
      </w:r>
      <w:r w:rsidRPr="006571AC">
        <w:rPr>
          <w:sz w:val="27"/>
          <w:vertAlign w:val="superscript"/>
          <w:rtl/>
          <w:lang w:bidi="ar-LB"/>
        </w:rPr>
        <w:endnoteReference w:id="31"/>
      </w:r>
      <w:r w:rsidRPr="006571AC">
        <w:rPr>
          <w:sz w:val="27"/>
          <w:vertAlign w:val="superscript"/>
          <w:rtl/>
          <w:lang w:bidi="ar-LB"/>
        </w:rPr>
        <w:t>)</w:t>
      </w:r>
      <w:r w:rsidRPr="006571AC">
        <w:rPr>
          <w:sz w:val="27"/>
          <w:rtl/>
          <w:lang w:bidi="ar-LB"/>
        </w:rPr>
        <w:t>.</w:t>
      </w:r>
    </w:p>
    <w:p w:rsidR="008C542A" w:rsidRPr="006571AC" w:rsidRDefault="008C542A" w:rsidP="007002FC">
      <w:pPr>
        <w:tabs>
          <w:tab w:val="right" w:pos="6930"/>
        </w:tabs>
        <w:suppressAutoHyphens/>
        <w:spacing w:line="410" w:lineRule="exact"/>
        <w:rPr>
          <w:sz w:val="27"/>
          <w:rtl/>
          <w:lang w:bidi="ar-LB"/>
        </w:rPr>
      </w:pPr>
      <w:r w:rsidRPr="006571AC">
        <w:rPr>
          <w:sz w:val="27"/>
          <w:rtl/>
          <w:lang w:bidi="ar-LB"/>
        </w:rPr>
        <w:t xml:space="preserve">وكذلك </w:t>
      </w:r>
      <w:r w:rsidRPr="006571AC">
        <w:rPr>
          <w:rFonts w:hint="cs"/>
          <w:sz w:val="27"/>
          <w:rtl/>
          <w:lang w:bidi="ar-LB"/>
        </w:rPr>
        <w:t>اعتبر</w:t>
      </w:r>
      <w:r w:rsidRPr="006571AC">
        <w:rPr>
          <w:sz w:val="27"/>
          <w:rtl/>
          <w:lang w:bidi="ar-LB"/>
        </w:rPr>
        <w:t xml:space="preserve"> البند الثامن من المادة الثالثة في القانون الأساسي</w:t>
      </w:r>
      <w:r w:rsidRPr="006571AC">
        <w:rPr>
          <w:rFonts w:hint="cs"/>
          <w:sz w:val="27"/>
          <w:rtl/>
          <w:lang w:bidi="ar-LB"/>
        </w:rPr>
        <w:t xml:space="preserve"> </w:t>
      </w:r>
      <w:r w:rsidRPr="006571AC">
        <w:rPr>
          <w:sz w:val="24"/>
          <w:szCs w:val="24"/>
          <w:rtl/>
        </w:rPr>
        <w:t>«</w:t>
      </w:r>
      <w:r w:rsidRPr="006571AC">
        <w:rPr>
          <w:sz w:val="27"/>
          <w:rtl/>
          <w:lang w:bidi="ar-LB"/>
        </w:rPr>
        <w:t>مشاركة جميع الناس في تقرير مصيرهم السياسي والاقتصادي والاجتماعي والثقافي</w:t>
      </w:r>
      <w:r w:rsidRPr="006571AC">
        <w:rPr>
          <w:sz w:val="24"/>
          <w:szCs w:val="24"/>
          <w:rtl/>
        </w:rPr>
        <w:t>»</w:t>
      </w:r>
      <w:r w:rsidRPr="006571AC">
        <w:rPr>
          <w:sz w:val="27"/>
          <w:rtl/>
          <w:lang w:bidi="ar-LB"/>
        </w:rPr>
        <w:t xml:space="preserve"> من وظائف حكومة الجمهورية الإسلامي</w:t>
      </w:r>
      <w:r w:rsidR="00E27187" w:rsidRPr="006571AC">
        <w:rPr>
          <w:rFonts w:hint="cs"/>
          <w:sz w:val="27"/>
          <w:rtl/>
          <w:lang w:bidi="ar-LB"/>
        </w:rPr>
        <w:t>ّ</w:t>
      </w:r>
      <w:r w:rsidRPr="006571AC">
        <w:rPr>
          <w:sz w:val="27"/>
          <w:rtl/>
          <w:lang w:bidi="ar-LB"/>
        </w:rPr>
        <w:t>ة.</w:t>
      </w:r>
    </w:p>
    <w:p w:rsidR="008C542A" w:rsidRPr="006571AC" w:rsidRDefault="008C542A" w:rsidP="00706E68">
      <w:pPr>
        <w:tabs>
          <w:tab w:val="right" w:pos="6930"/>
        </w:tabs>
        <w:suppressAutoHyphens/>
        <w:rPr>
          <w:sz w:val="27"/>
          <w:rtl/>
          <w:lang w:bidi="ar-LB"/>
        </w:rPr>
      </w:pPr>
      <w:r w:rsidRPr="006571AC">
        <w:rPr>
          <w:sz w:val="27"/>
          <w:rtl/>
          <w:lang w:bidi="ar-LB"/>
        </w:rPr>
        <w:t>وجاء في الماد</w:t>
      </w:r>
      <w:r w:rsidR="00E27187" w:rsidRPr="006571AC">
        <w:rPr>
          <w:rFonts w:hint="cs"/>
          <w:sz w:val="27"/>
          <w:rtl/>
          <w:lang w:bidi="ar-LB"/>
        </w:rPr>
        <w:t>ّ</w:t>
      </w:r>
      <w:r w:rsidRPr="006571AC">
        <w:rPr>
          <w:sz w:val="27"/>
          <w:rtl/>
          <w:lang w:bidi="ar-LB"/>
        </w:rPr>
        <w:t>ة السادسة أيض</w:t>
      </w:r>
      <w:r w:rsidRPr="006571AC">
        <w:rPr>
          <w:rFonts w:hint="cs"/>
          <w:sz w:val="27"/>
          <w:rtl/>
          <w:lang w:bidi="ar-LB"/>
        </w:rPr>
        <w:t>اً</w:t>
      </w:r>
      <w:r w:rsidRPr="006571AC">
        <w:rPr>
          <w:sz w:val="27"/>
          <w:rtl/>
          <w:lang w:bidi="ar-LB"/>
        </w:rPr>
        <w:t xml:space="preserve">: </w:t>
      </w:r>
      <w:r w:rsidRPr="006571AC">
        <w:rPr>
          <w:sz w:val="24"/>
          <w:szCs w:val="24"/>
          <w:rtl/>
          <w:lang w:bidi="ar-LB"/>
        </w:rPr>
        <w:t>«</w:t>
      </w:r>
      <w:r w:rsidRPr="006571AC">
        <w:rPr>
          <w:sz w:val="27"/>
          <w:rtl/>
          <w:lang w:bidi="ar-LB"/>
        </w:rPr>
        <w:t>تدار شؤون البلاد في جمهورية إيران الإسلامية بالاعتماد على رأي الأم</w:t>
      </w:r>
      <w:r w:rsidR="00E27187" w:rsidRPr="006571AC">
        <w:rPr>
          <w:rFonts w:hint="cs"/>
          <w:sz w:val="27"/>
          <w:rtl/>
          <w:lang w:bidi="ar-LB"/>
        </w:rPr>
        <w:t>ّ</w:t>
      </w:r>
      <w:r w:rsidRPr="006571AC">
        <w:rPr>
          <w:sz w:val="27"/>
          <w:rtl/>
          <w:lang w:bidi="ar-LB"/>
        </w:rPr>
        <w:t>ة الذي يتجس</w:t>
      </w:r>
      <w:r w:rsidR="00E27187" w:rsidRPr="006571AC">
        <w:rPr>
          <w:rFonts w:hint="cs"/>
          <w:sz w:val="27"/>
          <w:rtl/>
          <w:lang w:bidi="ar-LB"/>
        </w:rPr>
        <w:t>َّ</w:t>
      </w:r>
      <w:r w:rsidRPr="006571AC">
        <w:rPr>
          <w:sz w:val="27"/>
          <w:rtl/>
          <w:lang w:bidi="ar-LB"/>
        </w:rPr>
        <w:t>د في الانتخابات، بما فيها انتخاب رئيس الجمهورية، وأعضاء مجلس الشورى الإسلامي</w:t>
      </w:r>
      <w:r w:rsidR="00E27187" w:rsidRPr="006571AC">
        <w:rPr>
          <w:rFonts w:hint="cs"/>
          <w:sz w:val="27"/>
          <w:rtl/>
          <w:lang w:bidi="ar-LB"/>
        </w:rPr>
        <w:t>،</w:t>
      </w:r>
      <w:r w:rsidRPr="006571AC">
        <w:rPr>
          <w:sz w:val="27"/>
          <w:rtl/>
          <w:lang w:bidi="ar-LB"/>
        </w:rPr>
        <w:t xml:space="preserve"> وأعضاء سائر مجالس الشورى ونظائرها، أو عن طريق الاستفتاء العام</w:t>
      </w:r>
      <w:r w:rsidR="00E27187" w:rsidRPr="006571AC">
        <w:rPr>
          <w:rFonts w:hint="cs"/>
          <w:sz w:val="27"/>
          <w:rtl/>
          <w:lang w:bidi="ar-LB"/>
        </w:rPr>
        <w:t>ّ</w:t>
      </w:r>
      <w:r w:rsidRPr="006571AC">
        <w:rPr>
          <w:sz w:val="27"/>
          <w:rtl/>
          <w:lang w:bidi="ar-LB"/>
        </w:rPr>
        <w:t xml:space="preserve"> في الحالات التي ينص</w:t>
      </w:r>
      <w:r w:rsidR="00E27187" w:rsidRPr="006571AC">
        <w:rPr>
          <w:rFonts w:hint="cs"/>
          <w:sz w:val="27"/>
          <w:rtl/>
          <w:lang w:bidi="ar-LB"/>
        </w:rPr>
        <w:t>ّ</w:t>
      </w:r>
      <w:r w:rsidRPr="006571AC">
        <w:rPr>
          <w:sz w:val="27"/>
          <w:rtl/>
          <w:lang w:bidi="ar-LB"/>
        </w:rPr>
        <w:t xml:space="preserve"> عليها </w:t>
      </w:r>
      <w:r w:rsidRPr="006571AC">
        <w:rPr>
          <w:rFonts w:hint="eastAsia"/>
          <w:sz w:val="27"/>
          <w:rtl/>
        </w:rPr>
        <w:t>القانون</w:t>
      </w:r>
      <w:r w:rsidRPr="006571AC">
        <w:rPr>
          <w:sz w:val="27"/>
          <w:rtl/>
        </w:rPr>
        <w:t xml:space="preserve"> </w:t>
      </w:r>
      <w:r w:rsidRPr="006571AC">
        <w:rPr>
          <w:rFonts w:hint="eastAsia"/>
          <w:sz w:val="27"/>
          <w:rtl/>
        </w:rPr>
        <w:t>الأساسي</w:t>
      </w:r>
      <w:r w:rsidRPr="006571AC">
        <w:rPr>
          <w:sz w:val="24"/>
          <w:szCs w:val="24"/>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وأخير</w:t>
      </w:r>
      <w:r w:rsidRPr="006571AC">
        <w:rPr>
          <w:rFonts w:hint="cs"/>
          <w:sz w:val="27"/>
          <w:rtl/>
          <w:lang w:bidi="ar-LB"/>
        </w:rPr>
        <w:t>اً</w:t>
      </w:r>
      <w:r w:rsidRPr="006571AC">
        <w:rPr>
          <w:sz w:val="27"/>
          <w:rtl/>
          <w:lang w:bidi="ar-LB"/>
        </w:rPr>
        <w:t>، جاء في الفصل الخامس من القانون الأساسي</w:t>
      </w:r>
      <w:r w:rsidR="00E27187" w:rsidRPr="006571AC">
        <w:rPr>
          <w:rFonts w:hint="cs"/>
          <w:sz w:val="27"/>
          <w:rtl/>
          <w:lang w:bidi="ar-LB"/>
        </w:rPr>
        <w:t>،</w:t>
      </w:r>
      <w:r w:rsidRPr="006571AC">
        <w:rPr>
          <w:sz w:val="27"/>
          <w:rtl/>
          <w:lang w:bidi="ar-LB"/>
        </w:rPr>
        <w:t xml:space="preserve"> تحت عنوان </w:t>
      </w:r>
      <w:r w:rsidRPr="006571AC">
        <w:rPr>
          <w:sz w:val="24"/>
          <w:szCs w:val="24"/>
          <w:rtl/>
          <w:lang w:bidi="ar-LB"/>
        </w:rPr>
        <w:t>«</w:t>
      </w:r>
      <w:r w:rsidRPr="006571AC">
        <w:rPr>
          <w:sz w:val="27"/>
          <w:rtl/>
          <w:lang w:bidi="ar-LB"/>
        </w:rPr>
        <w:t>سيادة الشعب والسلطات الناشئة عنها</w:t>
      </w:r>
      <w:r w:rsidRPr="006571AC">
        <w:rPr>
          <w:sz w:val="24"/>
          <w:szCs w:val="24"/>
          <w:rtl/>
          <w:lang w:bidi="ar-LB"/>
        </w:rPr>
        <w:t>»</w:t>
      </w:r>
      <w:r w:rsidRPr="006571AC">
        <w:rPr>
          <w:sz w:val="27"/>
          <w:rtl/>
          <w:lang w:bidi="ar-LB"/>
        </w:rPr>
        <w:t>، في الماد</w:t>
      </w:r>
      <w:r w:rsidR="00E27187" w:rsidRPr="006571AC">
        <w:rPr>
          <w:rFonts w:hint="cs"/>
          <w:sz w:val="27"/>
          <w:rtl/>
          <w:lang w:bidi="ar-LB"/>
        </w:rPr>
        <w:t>ّ</w:t>
      </w:r>
      <w:r w:rsidRPr="006571AC">
        <w:rPr>
          <w:sz w:val="27"/>
          <w:rtl/>
          <w:lang w:bidi="ar-LB"/>
        </w:rPr>
        <w:t>ة السادسة والخمسين</w:t>
      </w:r>
      <w:r w:rsidR="00E27187" w:rsidRPr="006571AC">
        <w:rPr>
          <w:rFonts w:hint="cs"/>
          <w:sz w:val="27"/>
          <w:rtl/>
          <w:lang w:bidi="ar-LB"/>
        </w:rPr>
        <w:t>،</w:t>
      </w:r>
      <w:r w:rsidRPr="006571AC">
        <w:rPr>
          <w:sz w:val="27"/>
          <w:rtl/>
          <w:lang w:bidi="ar-LB"/>
        </w:rPr>
        <w:t xml:space="preserve"> ما يلي: </w:t>
      </w:r>
      <w:r w:rsidRPr="006571AC">
        <w:rPr>
          <w:sz w:val="24"/>
          <w:szCs w:val="24"/>
          <w:rtl/>
          <w:lang w:bidi="ar-LB"/>
        </w:rPr>
        <w:t>«</w:t>
      </w:r>
      <w:r w:rsidRPr="006571AC">
        <w:rPr>
          <w:sz w:val="27"/>
          <w:rtl/>
          <w:lang w:bidi="ar-LB"/>
        </w:rPr>
        <w:t xml:space="preserve">السيادة </w:t>
      </w:r>
      <w:r w:rsidRPr="006571AC">
        <w:rPr>
          <w:rFonts w:hint="cs"/>
          <w:sz w:val="27"/>
          <w:rtl/>
          <w:lang w:bidi="ar-LB"/>
        </w:rPr>
        <w:t>المطلقة على العالم والإنسان لله، وهو الذي جعل الإنسان سيّداً على مصيره الاجتماعي، ولا يحق</w:t>
      </w:r>
      <w:r w:rsidR="00E27187" w:rsidRPr="006571AC">
        <w:rPr>
          <w:rFonts w:hint="cs"/>
          <w:sz w:val="27"/>
          <w:rtl/>
          <w:lang w:bidi="ar-LB"/>
        </w:rPr>
        <w:t>ّ</w:t>
      </w:r>
      <w:r w:rsidRPr="006571AC">
        <w:rPr>
          <w:rFonts w:hint="cs"/>
          <w:sz w:val="27"/>
          <w:rtl/>
          <w:lang w:bidi="ar-LB"/>
        </w:rPr>
        <w:t xml:space="preserve"> لأحدٍ سلب هذا الحقّ الإلهي أو تسخيره في خدمة مصالح فردٍ أو جماعةٍ معينة. والشعب يمارس هذا الحقّ الممنوح من الله بالطرق المبي</w:t>
      </w:r>
      <w:r w:rsidR="00E27187" w:rsidRPr="006571AC">
        <w:rPr>
          <w:rFonts w:hint="cs"/>
          <w:sz w:val="27"/>
          <w:rtl/>
          <w:lang w:bidi="ar-LB"/>
        </w:rPr>
        <w:t>َّ</w:t>
      </w:r>
      <w:r w:rsidRPr="006571AC">
        <w:rPr>
          <w:rFonts w:hint="cs"/>
          <w:sz w:val="27"/>
          <w:rtl/>
          <w:lang w:bidi="ar-LB"/>
        </w:rPr>
        <w:t>نة في المواد اللاحقة</w:t>
      </w:r>
      <w:r w:rsidRPr="006571AC">
        <w:rPr>
          <w:sz w:val="24"/>
          <w:szCs w:val="24"/>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وفي ثنايا خطابات الإمام الخميني</w:t>
      </w:r>
      <w:r w:rsidR="00E27187" w:rsidRPr="006571AC">
        <w:rPr>
          <w:rFonts w:hint="cs"/>
          <w:sz w:val="27"/>
          <w:rtl/>
          <w:lang w:bidi="ar-LB"/>
        </w:rPr>
        <w:t>،</w:t>
      </w:r>
      <w:r w:rsidRPr="006571AC">
        <w:rPr>
          <w:rFonts w:hint="cs"/>
          <w:sz w:val="27"/>
          <w:rtl/>
          <w:lang w:bidi="ar-LB"/>
        </w:rPr>
        <w:t xml:space="preserve"> مؤس</w:t>
      </w:r>
      <w:r w:rsidR="00E27187" w:rsidRPr="006571AC">
        <w:rPr>
          <w:rFonts w:hint="cs"/>
          <w:sz w:val="27"/>
          <w:rtl/>
          <w:lang w:bidi="ar-LB"/>
        </w:rPr>
        <w:t>ِّ</w:t>
      </w:r>
      <w:r w:rsidRPr="006571AC">
        <w:rPr>
          <w:rFonts w:hint="cs"/>
          <w:sz w:val="27"/>
          <w:rtl/>
          <w:lang w:bidi="ar-LB"/>
        </w:rPr>
        <w:t>س الجمهورية الإسلامية</w:t>
      </w:r>
      <w:r w:rsidR="00E27187" w:rsidRPr="006571AC">
        <w:rPr>
          <w:rFonts w:hint="cs"/>
          <w:sz w:val="27"/>
          <w:rtl/>
          <w:lang w:bidi="ar-LB"/>
        </w:rPr>
        <w:t>،</w:t>
      </w:r>
      <w:r w:rsidRPr="006571AC">
        <w:rPr>
          <w:rFonts w:hint="cs"/>
          <w:sz w:val="27"/>
          <w:rtl/>
          <w:lang w:bidi="ar-LB"/>
        </w:rPr>
        <w:t xml:space="preserve"> تطالعنا حالاتٌ تمّ التأكيد فيها على هذا الأساس</w:t>
      </w:r>
      <w:r w:rsidR="00E35974" w:rsidRPr="006571AC">
        <w:rPr>
          <w:rFonts w:hint="cs"/>
          <w:sz w:val="27"/>
          <w:rtl/>
          <w:lang w:bidi="ar-LB"/>
        </w:rPr>
        <w:t>؛</w:t>
      </w:r>
      <w:r w:rsidRPr="006571AC">
        <w:rPr>
          <w:rFonts w:hint="cs"/>
          <w:sz w:val="27"/>
          <w:rtl/>
          <w:lang w:bidi="ar-LB"/>
        </w:rPr>
        <w:t xml:space="preserve"> من أجل الرجوع إلى الرأي العام؛ ففي عدّة مناسباتٍ، في خطاباته ومقابلاته قبل انتصار الثورة، وفي حالاتٍ كثيرة، كان يستدلّ على اللاشرعي</w:t>
      </w:r>
      <w:r w:rsidR="00E35974" w:rsidRPr="006571AC">
        <w:rPr>
          <w:rFonts w:hint="cs"/>
          <w:sz w:val="27"/>
          <w:rtl/>
          <w:lang w:bidi="ar-LB"/>
        </w:rPr>
        <w:t>ّ</w:t>
      </w:r>
      <w:r w:rsidRPr="006571AC">
        <w:rPr>
          <w:rFonts w:hint="cs"/>
          <w:sz w:val="27"/>
          <w:rtl/>
          <w:lang w:bidi="ar-LB"/>
        </w:rPr>
        <w:t>ة السياسي</w:t>
      </w:r>
      <w:r w:rsidR="00E35974" w:rsidRPr="006571AC">
        <w:rPr>
          <w:rFonts w:hint="cs"/>
          <w:sz w:val="27"/>
          <w:rtl/>
          <w:lang w:bidi="ar-LB"/>
        </w:rPr>
        <w:t>ّ</w:t>
      </w:r>
      <w:r w:rsidRPr="006571AC">
        <w:rPr>
          <w:rFonts w:hint="cs"/>
          <w:sz w:val="27"/>
          <w:rtl/>
          <w:lang w:bidi="ar-LB"/>
        </w:rPr>
        <w:t>ة للمَلَكي</w:t>
      </w:r>
      <w:r w:rsidR="00E35974" w:rsidRPr="006571AC">
        <w:rPr>
          <w:rFonts w:hint="cs"/>
          <w:sz w:val="27"/>
          <w:rtl/>
          <w:lang w:bidi="ar-LB"/>
        </w:rPr>
        <w:t>ّ</w:t>
      </w:r>
      <w:r w:rsidRPr="006571AC">
        <w:rPr>
          <w:rFonts w:hint="cs"/>
          <w:sz w:val="27"/>
          <w:rtl/>
          <w:lang w:bidi="ar-LB"/>
        </w:rPr>
        <w:t>ة بأن على الأمّة أن تقرِّر بنفسها، ولا يمكن للسابقين في أمّةٍ ما أن يقرِّروا بالنيابة عن اللاحقين، أو يجعلوا من أبناء فلان حكّاماً عليهم. يعترف الإمام الخميني أن القرار الخاطئ للماضين بقبول المَلَكي</w:t>
      </w:r>
      <w:r w:rsidR="00E35974" w:rsidRPr="006571AC">
        <w:rPr>
          <w:rFonts w:hint="cs"/>
          <w:sz w:val="27"/>
          <w:rtl/>
          <w:lang w:bidi="ar-LB"/>
        </w:rPr>
        <w:t>ّة</w:t>
      </w:r>
      <w:r w:rsidRPr="006571AC">
        <w:rPr>
          <w:rFonts w:hint="cs"/>
          <w:sz w:val="27"/>
          <w:rtl/>
          <w:lang w:bidi="ar-LB"/>
        </w:rPr>
        <w:t xml:space="preserve"> يسري عليهم </w:t>
      </w:r>
      <w:r w:rsidRPr="006571AC">
        <w:rPr>
          <w:rFonts w:hint="cs"/>
          <w:sz w:val="27"/>
          <w:rtl/>
          <w:lang w:bidi="ar-LB"/>
        </w:rPr>
        <w:lastRenderedPageBreak/>
        <w:t xml:space="preserve">فقط، ولا يحقّ لأحدٍ أن ينقضه، ولكنهم لا يستطيعون أن يقرِّروا عن الأجيال اللاحقة، ويجعلوا من أبناء ذلك المَلِك حاكماً عليهم، يقول: </w:t>
      </w:r>
      <w:r w:rsidRPr="006571AC">
        <w:rPr>
          <w:rFonts w:hint="eastAsia"/>
          <w:sz w:val="24"/>
          <w:szCs w:val="24"/>
          <w:rtl/>
          <w:lang w:bidi="ar-LB"/>
        </w:rPr>
        <w:t>«</w:t>
      </w:r>
      <w:r w:rsidRPr="006571AC">
        <w:rPr>
          <w:rFonts w:hint="cs"/>
          <w:sz w:val="27"/>
          <w:rtl/>
          <w:lang w:bidi="ar-LB"/>
        </w:rPr>
        <w:t xml:space="preserve">إذا افترضنا أنه تمّ تأسيس مجلسٍ وطني </w:t>
      </w:r>
      <w:r w:rsidRPr="006571AC">
        <w:rPr>
          <w:sz w:val="27"/>
          <w:rtl/>
          <w:lang w:bidi="ar-LB"/>
        </w:rPr>
        <w:t>ـ</w:t>
      </w:r>
      <w:r w:rsidRPr="006571AC">
        <w:rPr>
          <w:rFonts w:hint="cs"/>
          <w:sz w:val="27"/>
          <w:rtl/>
          <w:lang w:bidi="ar-LB"/>
        </w:rPr>
        <w:t xml:space="preserve"> مئة بالمئة وطني</w:t>
      </w:r>
      <w:r w:rsidR="00E35974" w:rsidRPr="006571AC">
        <w:rPr>
          <w:rFonts w:hint="cs"/>
          <w:sz w:val="27"/>
          <w:rtl/>
          <w:lang w:bidi="ar-LB"/>
        </w:rPr>
        <w:t>ّ</w:t>
      </w:r>
      <w:r w:rsidRPr="006571AC">
        <w:rPr>
          <w:rFonts w:hint="cs"/>
          <w:sz w:val="27"/>
          <w:rtl/>
          <w:lang w:bidi="ar-LB"/>
        </w:rPr>
        <w:t xml:space="preserve"> </w:t>
      </w:r>
      <w:r w:rsidRPr="006571AC">
        <w:rPr>
          <w:sz w:val="27"/>
          <w:rtl/>
          <w:lang w:bidi="ar-LB"/>
        </w:rPr>
        <w:t>ـ</w:t>
      </w:r>
      <w:r w:rsidRPr="006571AC">
        <w:rPr>
          <w:rFonts w:hint="cs"/>
          <w:sz w:val="27"/>
          <w:rtl/>
          <w:lang w:bidi="ar-LB"/>
        </w:rPr>
        <w:t>، ونصّب شخصاً ما مع نَسْله في السلطة، فإننا نقول لهذا المجلس التأسيسي: حسناً، أنتم يحقّ لكم أن تقرِّروا مصيركم بأيديكم حينما كنتم موجودين، ولكنْ بأيِّ مناسبةٍ تقرِّرون مصيرنا، نحن الذين جئنا إلى الدنيا بعدكم بمئتي سنة</w:t>
      </w:r>
      <w:r w:rsidR="00E35974" w:rsidRPr="006571AC">
        <w:rPr>
          <w:rFonts w:hint="cs"/>
          <w:sz w:val="27"/>
          <w:rtl/>
          <w:lang w:bidi="ar-LB"/>
        </w:rPr>
        <w:t>ٍ</w:t>
      </w:r>
      <w:r w:rsidRPr="006571AC">
        <w:rPr>
          <w:rFonts w:hint="cs"/>
          <w:sz w:val="27"/>
          <w:rtl/>
          <w:lang w:bidi="ar-LB"/>
        </w:rPr>
        <w:t>؟ أيّ قانونٍ وأيّ حقٍّ يخوّلكم تقرير مصيرنا نحن الذين نعيش في هذا الزمان؟ حقوق الإنسان تقتضي أن مصير كلّ إنسان في يد</w:t>
      </w:r>
      <w:r w:rsidR="00E35974" w:rsidRPr="006571AC">
        <w:rPr>
          <w:rFonts w:hint="cs"/>
          <w:sz w:val="27"/>
          <w:rtl/>
          <w:lang w:bidi="ar-LB"/>
        </w:rPr>
        <w:t>َ</w:t>
      </w:r>
      <w:r w:rsidRPr="006571AC">
        <w:rPr>
          <w:rFonts w:hint="cs"/>
          <w:sz w:val="27"/>
          <w:rtl/>
          <w:lang w:bidi="ar-LB"/>
        </w:rPr>
        <w:t>ي</w:t>
      </w:r>
      <w:r w:rsidR="00E35974" w:rsidRPr="006571AC">
        <w:rPr>
          <w:rFonts w:hint="cs"/>
          <w:sz w:val="27"/>
          <w:rtl/>
          <w:lang w:bidi="ar-LB"/>
        </w:rPr>
        <w:t>ْ</w:t>
      </w:r>
      <w:r w:rsidRPr="006571AC">
        <w:rPr>
          <w:rFonts w:hint="cs"/>
          <w:sz w:val="27"/>
          <w:rtl/>
          <w:lang w:bidi="ar-LB"/>
        </w:rPr>
        <w:t>ه. بمجرّد أن نكون جميعاً في إيران، بمجرّد أن نكون جميعاً مسلمين، فلا يمكننا تقرير مصير أيّ جماعةٍ غير موجودة</w:t>
      </w:r>
      <w:r w:rsidR="00E35974" w:rsidRPr="006571AC">
        <w:rPr>
          <w:rFonts w:hint="cs"/>
          <w:sz w:val="27"/>
          <w:rtl/>
          <w:lang w:bidi="ar-LB"/>
        </w:rPr>
        <w:t>ٍ</w:t>
      </w:r>
      <w:r w:rsidRPr="006571AC">
        <w:rPr>
          <w:rFonts w:hint="cs"/>
          <w:sz w:val="27"/>
          <w:rtl/>
          <w:lang w:bidi="ar-LB"/>
        </w:rPr>
        <w:t xml:space="preserve"> الآن، حتّى تكون مجبورةً على تعيين هذا السيّد بصفته جلالة المَلِك</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32"/>
      </w:r>
      <w:r w:rsidRPr="006571AC">
        <w:rPr>
          <w:sz w:val="27"/>
          <w:vertAlign w:val="superscript"/>
          <w:rtl/>
          <w:lang w:bidi="ar-LB"/>
        </w:rPr>
        <w:t>)</w:t>
      </w:r>
      <w:r w:rsidRPr="006571AC">
        <w:rPr>
          <w:rFonts w:hint="cs"/>
          <w:sz w:val="27"/>
          <w:rtl/>
          <w:lang w:bidi="ar-LB"/>
        </w:rPr>
        <w:t>.</w:t>
      </w:r>
    </w:p>
    <w:p w:rsidR="008C542A" w:rsidRPr="006571AC" w:rsidRDefault="008C542A" w:rsidP="00EF1BA5">
      <w:pPr>
        <w:tabs>
          <w:tab w:val="right" w:pos="6930"/>
        </w:tabs>
        <w:suppressAutoHyphens/>
        <w:rPr>
          <w:sz w:val="27"/>
          <w:rtl/>
          <w:lang w:bidi="ar-LB"/>
        </w:rPr>
      </w:pPr>
      <w:r w:rsidRPr="006571AC">
        <w:rPr>
          <w:rFonts w:hint="cs"/>
          <w:sz w:val="27"/>
          <w:rtl/>
          <w:lang w:bidi="ar-LB"/>
        </w:rPr>
        <w:t xml:space="preserve">وقال يوم 12 بهمن عام 1357هـ.ش، في </w:t>
      </w:r>
      <w:r w:rsidR="00EF1BA5" w:rsidRPr="006571AC">
        <w:rPr>
          <w:rFonts w:hint="cs"/>
          <w:sz w:val="27"/>
          <w:rtl/>
          <w:lang w:bidi="ar-LB"/>
        </w:rPr>
        <w:t>جنّة</w:t>
      </w:r>
      <w:r w:rsidRPr="006571AC">
        <w:rPr>
          <w:rFonts w:hint="cs"/>
          <w:sz w:val="27"/>
          <w:rtl/>
          <w:lang w:bidi="ar-LB"/>
        </w:rPr>
        <w:t xml:space="preserve"> </w:t>
      </w:r>
      <w:r w:rsidR="00EF1BA5" w:rsidRPr="006571AC">
        <w:rPr>
          <w:rFonts w:hint="cs"/>
          <w:sz w:val="27"/>
          <w:rtl/>
          <w:lang w:bidi="ar-LB"/>
        </w:rPr>
        <w:t>ال</w:t>
      </w:r>
      <w:r w:rsidRPr="006571AC">
        <w:rPr>
          <w:rFonts w:hint="cs"/>
          <w:sz w:val="27"/>
          <w:rtl/>
          <w:lang w:bidi="ar-LB"/>
        </w:rPr>
        <w:t xml:space="preserve">زهراء: </w:t>
      </w:r>
      <w:r w:rsidRPr="006571AC">
        <w:rPr>
          <w:rFonts w:hint="eastAsia"/>
          <w:sz w:val="24"/>
          <w:szCs w:val="24"/>
          <w:rtl/>
          <w:lang w:bidi="ar-LB"/>
        </w:rPr>
        <w:t>«</w:t>
      </w:r>
      <w:r w:rsidRPr="006571AC">
        <w:rPr>
          <w:rFonts w:hint="cs"/>
          <w:sz w:val="27"/>
          <w:rtl/>
          <w:lang w:bidi="ar-LB"/>
        </w:rPr>
        <w:t>لنفترض أن أمّةً بأكملها صوَّتَتْ لشخصٍ واحد</w:t>
      </w:r>
      <w:r w:rsidR="00E35974" w:rsidRPr="006571AC">
        <w:rPr>
          <w:rFonts w:hint="cs"/>
          <w:sz w:val="27"/>
          <w:rtl/>
          <w:lang w:bidi="ar-LB"/>
        </w:rPr>
        <w:t>؛</w:t>
      </w:r>
      <w:r w:rsidRPr="006571AC">
        <w:rPr>
          <w:rFonts w:hint="cs"/>
          <w:sz w:val="27"/>
          <w:rtl/>
          <w:lang w:bidi="ar-LB"/>
        </w:rPr>
        <w:t xml:space="preserve"> ليكون المَلِك. حسناً؛ لأنهم يتحكَّمون في مصيرهم، وهم أحرار في تعيين مصيرهم</w:t>
      </w:r>
      <w:r w:rsidR="00E35974" w:rsidRPr="006571AC">
        <w:rPr>
          <w:rFonts w:hint="cs"/>
          <w:sz w:val="27"/>
          <w:rtl/>
          <w:lang w:bidi="ar-LB"/>
        </w:rPr>
        <w:t>،</w:t>
      </w:r>
      <w:r w:rsidRPr="006571AC">
        <w:rPr>
          <w:rFonts w:hint="cs"/>
          <w:sz w:val="27"/>
          <w:rtl/>
          <w:lang w:bidi="ar-LB"/>
        </w:rPr>
        <w:t xml:space="preserve"> فإن تصويتهم صالحٌ لهم. ولكنْ إذا صوَّتَتْ أمّةٌ ما </w:t>
      </w:r>
      <w:r w:rsidRPr="006571AC">
        <w:rPr>
          <w:sz w:val="27"/>
          <w:rtl/>
          <w:lang w:bidi="ar-LB"/>
        </w:rPr>
        <w:t>ـ</w:t>
      </w:r>
      <w:r w:rsidRPr="006571AC">
        <w:rPr>
          <w:rFonts w:hint="cs"/>
          <w:sz w:val="27"/>
          <w:rtl/>
          <w:lang w:bidi="ar-LB"/>
        </w:rPr>
        <w:t xml:space="preserve"> ولو عن بكرة أبيها </w:t>
      </w:r>
      <w:r w:rsidRPr="006571AC">
        <w:rPr>
          <w:sz w:val="27"/>
          <w:rtl/>
          <w:lang w:bidi="ar-LB"/>
        </w:rPr>
        <w:t>ـ</w:t>
      </w:r>
      <w:r w:rsidRPr="006571AC">
        <w:rPr>
          <w:rFonts w:hint="cs"/>
          <w:sz w:val="27"/>
          <w:rtl/>
          <w:lang w:bidi="ar-LB"/>
        </w:rPr>
        <w:t xml:space="preserve"> على أن أبناء هذا المَلِك أيضاً ملوكٌ فما هو هذا الحقّ الذي يسمح لأمّةٍ قبل خمسين سنة من الآن أن تقرِّر مصير الأمّة التي تليها؟</w:t>
      </w:r>
      <w:r w:rsidR="00EF1BA5" w:rsidRPr="006571AC">
        <w:rPr>
          <w:rFonts w:hint="cs"/>
          <w:sz w:val="27"/>
          <w:rtl/>
          <w:lang w:bidi="ar-LB"/>
        </w:rPr>
        <w:t>!</w:t>
      </w:r>
      <w:r w:rsidRPr="006571AC">
        <w:rPr>
          <w:rFonts w:hint="cs"/>
          <w:sz w:val="27"/>
          <w:rtl/>
          <w:lang w:bidi="ar-LB"/>
        </w:rPr>
        <w:t xml:space="preserve"> مصيرُ كلّ أمّةٍ بيدها</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33"/>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كما قال، ردّاً على مَنْ اعتبر أن المشاركة في الانتخابات حقّاً فقط لرجال الدين والمجتهدين: </w:t>
      </w:r>
      <w:r w:rsidRPr="006571AC">
        <w:rPr>
          <w:rFonts w:hint="eastAsia"/>
          <w:sz w:val="24"/>
          <w:szCs w:val="24"/>
          <w:rtl/>
          <w:lang w:bidi="ar-LB"/>
        </w:rPr>
        <w:t>«</w:t>
      </w:r>
      <w:r w:rsidRPr="006571AC">
        <w:rPr>
          <w:rFonts w:hint="cs"/>
          <w:sz w:val="27"/>
          <w:rtl/>
          <w:lang w:bidi="ar-LB"/>
        </w:rPr>
        <w:t>الانتخابات ليست حِكْراً على أحدٍ، وليست حِكْراً على رجال الدين، وليست حِكْراً على الأحزاب، وليست حِكْراً على الجماعات. الانتخابات مُلْكٌ لكلّ الناس. مصير الناس بأيديهم هم أنفسهم. والانتخابات من أجل التأثير على مصيرك. سمعت</w:t>
      </w:r>
      <w:r w:rsidR="00E35974" w:rsidRPr="006571AC">
        <w:rPr>
          <w:rFonts w:hint="cs"/>
          <w:sz w:val="27"/>
          <w:rtl/>
          <w:lang w:bidi="ar-LB"/>
        </w:rPr>
        <w:t>ُ</w:t>
      </w:r>
      <w:r w:rsidRPr="006571AC">
        <w:rPr>
          <w:rFonts w:hint="cs"/>
          <w:sz w:val="27"/>
          <w:rtl/>
          <w:lang w:bidi="ar-LB"/>
        </w:rPr>
        <w:t xml:space="preserve"> أن بعض الناس ذهبوا إلى الجامعة، وقالوا: إن التدخُّل في الانتخابات تدخُّلٌ في السياسة، وهذا حقّ المجتهدين. حتّى الآن كانوا يقولون: لا ينبغي على المجتهدين التدخُّل في السياسة، وهذا يتعارض مع حقّ المجتهدين. لقد فشلوا هناك، والآن يقولون العكس تماماً. وفي المجال نفسه يقولون: إن الانتخابات من الأمور السياسيّة، والأمور السياسي</w:t>
      </w:r>
      <w:r w:rsidR="00E35974" w:rsidRPr="006571AC">
        <w:rPr>
          <w:rFonts w:hint="cs"/>
          <w:sz w:val="27"/>
          <w:rtl/>
          <w:lang w:bidi="ar-LB"/>
        </w:rPr>
        <w:t>ّ</w:t>
      </w:r>
      <w:r w:rsidRPr="006571AC">
        <w:rPr>
          <w:rFonts w:hint="cs"/>
          <w:sz w:val="27"/>
          <w:rtl/>
          <w:lang w:bidi="ar-LB"/>
        </w:rPr>
        <w:t xml:space="preserve">ة من حقّ المجتهدين. القولان خطأٌ؛ فالانتخابات تقرِّر مصير الأمم. وعلى فرض أن الانتخابات سياسيّةٌ، وهي كذلك، فإنّها تقرِّر مصير الشعب كلّه، أي إن مصير أفراد الأمّة وحياتهم في الدنيا والآخرة منوطٌ بهذه الانتخابات. ليس </w:t>
      </w:r>
      <w:r w:rsidRPr="006571AC">
        <w:rPr>
          <w:rFonts w:hint="cs"/>
          <w:sz w:val="27"/>
          <w:rtl/>
          <w:lang w:bidi="ar-LB"/>
        </w:rPr>
        <w:lastRenderedPageBreak/>
        <w:t>الأمر أنه ينبغي إجراء الانتخابات من قِبَل عددٍ قليل من المجتهدين. يجب أن يعلم الأكاديمي</w:t>
      </w:r>
      <w:r w:rsidR="00927149" w:rsidRPr="006571AC">
        <w:rPr>
          <w:rFonts w:hint="cs"/>
          <w:sz w:val="27"/>
          <w:rtl/>
          <w:lang w:bidi="ar-LB"/>
        </w:rPr>
        <w:t>ّ</w:t>
      </w:r>
      <w:r w:rsidRPr="006571AC">
        <w:rPr>
          <w:rFonts w:hint="cs"/>
          <w:sz w:val="27"/>
          <w:rtl/>
          <w:lang w:bidi="ar-LB"/>
        </w:rPr>
        <w:t>ون أنه مثلما يجب على المجتهد أن يتدخَّل في مصيره يجب على الطالب الشابّ أيضاً أن يتدخَّل في مصيره. لا فرق بين جامعيٍّ وطالبٍ ومدرِّسٍ وبين هؤلاء. هم جميعاً معاً</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34"/>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وخاطب نوّاب مجلس الشورى الإسلامي</w:t>
      </w:r>
      <w:r w:rsidR="00927149" w:rsidRPr="006571AC">
        <w:rPr>
          <w:rFonts w:hint="cs"/>
          <w:sz w:val="27"/>
          <w:rtl/>
          <w:lang w:bidi="ar-LB"/>
        </w:rPr>
        <w:t>،</w:t>
      </w:r>
      <w:r w:rsidRPr="006571AC">
        <w:rPr>
          <w:sz w:val="27"/>
          <w:rtl/>
          <w:lang w:bidi="ar-LB"/>
        </w:rPr>
        <w:t xml:space="preserve"> قائل</w:t>
      </w:r>
      <w:r w:rsidRPr="006571AC">
        <w:rPr>
          <w:rFonts w:hint="cs"/>
          <w:sz w:val="27"/>
          <w:rtl/>
          <w:lang w:bidi="ar-LB"/>
        </w:rPr>
        <w:t>اً</w:t>
      </w:r>
      <w:r w:rsidRPr="006571AC">
        <w:rPr>
          <w:sz w:val="27"/>
          <w:rtl/>
          <w:lang w:bidi="ar-LB"/>
        </w:rPr>
        <w:t xml:space="preserve">: </w:t>
      </w:r>
      <w:r w:rsidRPr="006571AC">
        <w:rPr>
          <w:sz w:val="24"/>
          <w:szCs w:val="24"/>
          <w:rtl/>
          <w:lang w:bidi="ar-LB"/>
        </w:rPr>
        <w:t>«</w:t>
      </w:r>
      <w:r w:rsidRPr="006571AC">
        <w:rPr>
          <w:sz w:val="27"/>
          <w:rtl/>
          <w:lang w:bidi="ar-LB"/>
        </w:rPr>
        <w:t>فما تقوله الأكثري</w:t>
      </w:r>
      <w:r w:rsidR="00927149" w:rsidRPr="006571AC">
        <w:rPr>
          <w:rFonts w:hint="cs"/>
          <w:sz w:val="27"/>
          <w:rtl/>
          <w:lang w:bidi="ar-LB"/>
        </w:rPr>
        <w:t>ّ</w:t>
      </w:r>
      <w:r w:rsidRPr="006571AC">
        <w:rPr>
          <w:sz w:val="27"/>
          <w:rtl/>
          <w:lang w:bidi="ar-LB"/>
        </w:rPr>
        <w:t>ة هو النافذ</w:t>
      </w:r>
      <w:r w:rsidR="00927149" w:rsidRPr="006571AC">
        <w:rPr>
          <w:rFonts w:hint="cs"/>
          <w:sz w:val="27"/>
          <w:rtl/>
          <w:lang w:bidi="ar-LB"/>
        </w:rPr>
        <w:t>،</w:t>
      </w:r>
      <w:r w:rsidRPr="006571AC">
        <w:rPr>
          <w:sz w:val="27"/>
          <w:rtl/>
          <w:lang w:bidi="ar-LB"/>
        </w:rPr>
        <w:t xml:space="preserve"> حت</w:t>
      </w:r>
      <w:r w:rsidR="00927149" w:rsidRPr="006571AC">
        <w:rPr>
          <w:rFonts w:hint="cs"/>
          <w:sz w:val="27"/>
          <w:rtl/>
          <w:lang w:bidi="ar-LB"/>
        </w:rPr>
        <w:t>ّ</w:t>
      </w:r>
      <w:r w:rsidRPr="006571AC">
        <w:rPr>
          <w:sz w:val="27"/>
          <w:rtl/>
          <w:lang w:bidi="ar-LB"/>
        </w:rPr>
        <w:t>ى لو كان مخالف</w:t>
      </w:r>
      <w:r w:rsidRPr="006571AC">
        <w:rPr>
          <w:rFonts w:hint="cs"/>
          <w:sz w:val="27"/>
          <w:rtl/>
          <w:lang w:bidi="ar-LB"/>
        </w:rPr>
        <w:t>اً</w:t>
      </w:r>
      <w:r w:rsidRPr="006571AC">
        <w:rPr>
          <w:sz w:val="27"/>
          <w:rtl/>
          <w:lang w:bidi="ar-LB"/>
        </w:rPr>
        <w:t xml:space="preserve"> أو مضر</w:t>
      </w:r>
      <w:r w:rsidR="00927149" w:rsidRPr="006571AC">
        <w:rPr>
          <w:rFonts w:hint="cs"/>
          <w:sz w:val="27"/>
          <w:rtl/>
          <w:lang w:bidi="ar-LB"/>
        </w:rPr>
        <w:t>ّ</w:t>
      </w:r>
      <w:r w:rsidRPr="006571AC">
        <w:rPr>
          <w:rFonts w:hint="cs"/>
          <w:sz w:val="27"/>
          <w:rtl/>
          <w:lang w:bidi="ar-LB"/>
        </w:rPr>
        <w:t>اً</w:t>
      </w:r>
      <w:r w:rsidRPr="006571AC">
        <w:rPr>
          <w:sz w:val="27"/>
          <w:rtl/>
          <w:lang w:bidi="ar-LB"/>
        </w:rPr>
        <w:t xml:space="preserve"> لهم، فأنتم لستم مخو</w:t>
      </w:r>
      <w:r w:rsidR="00927149" w:rsidRPr="006571AC">
        <w:rPr>
          <w:rFonts w:hint="cs"/>
          <w:sz w:val="27"/>
          <w:rtl/>
          <w:lang w:bidi="ar-LB"/>
        </w:rPr>
        <w:t>َّ</w:t>
      </w:r>
      <w:r w:rsidRPr="006571AC">
        <w:rPr>
          <w:sz w:val="27"/>
          <w:rtl/>
          <w:lang w:bidi="ar-LB"/>
        </w:rPr>
        <w:t>لين أن تقولوا</w:t>
      </w:r>
      <w:r w:rsidR="00927149" w:rsidRPr="006571AC">
        <w:rPr>
          <w:rFonts w:hint="cs"/>
          <w:sz w:val="27"/>
          <w:rtl/>
          <w:lang w:bidi="ar-LB"/>
        </w:rPr>
        <w:t>:</w:t>
      </w:r>
      <w:r w:rsidRPr="006571AC">
        <w:rPr>
          <w:sz w:val="27"/>
          <w:rtl/>
          <w:lang w:bidi="ar-LB"/>
        </w:rPr>
        <w:t xml:space="preserve"> </w:t>
      </w:r>
      <w:r w:rsidRPr="006571AC">
        <w:rPr>
          <w:rFonts w:hint="cs"/>
          <w:sz w:val="27"/>
          <w:rtl/>
          <w:lang w:bidi="ar-LB"/>
        </w:rPr>
        <w:t>إ</w:t>
      </w:r>
      <w:r w:rsidRPr="006571AC">
        <w:rPr>
          <w:sz w:val="27"/>
          <w:rtl/>
          <w:lang w:bidi="ar-LB"/>
        </w:rPr>
        <w:t>ن هذا يضر</w:t>
      </w:r>
      <w:r w:rsidR="00927149" w:rsidRPr="006571AC">
        <w:rPr>
          <w:rFonts w:hint="cs"/>
          <w:sz w:val="27"/>
          <w:rtl/>
          <w:lang w:bidi="ar-LB"/>
        </w:rPr>
        <w:t>ّ</w:t>
      </w:r>
      <w:r w:rsidRPr="006571AC">
        <w:rPr>
          <w:sz w:val="27"/>
          <w:rtl/>
          <w:lang w:bidi="ar-LB"/>
        </w:rPr>
        <w:t xml:space="preserve"> بالشعب</w:t>
      </w:r>
      <w:r w:rsidR="00927149" w:rsidRPr="006571AC">
        <w:rPr>
          <w:rFonts w:hint="cs"/>
          <w:sz w:val="27"/>
          <w:rtl/>
          <w:lang w:bidi="ar-LB"/>
        </w:rPr>
        <w:t>،</w:t>
      </w:r>
      <w:r w:rsidRPr="006571AC">
        <w:rPr>
          <w:sz w:val="27"/>
          <w:rtl/>
          <w:lang w:bidi="ar-LB"/>
        </w:rPr>
        <w:t xml:space="preserve"> ولا نريد تنفيذه، فأنتم وكلاء الشعب</w:t>
      </w:r>
      <w:r w:rsidR="00927149" w:rsidRPr="006571AC">
        <w:rPr>
          <w:rFonts w:hint="cs"/>
          <w:sz w:val="27"/>
          <w:rtl/>
          <w:lang w:bidi="ar-LB"/>
        </w:rPr>
        <w:t>،</w:t>
      </w:r>
      <w:r w:rsidRPr="006571AC">
        <w:rPr>
          <w:sz w:val="27"/>
          <w:rtl/>
          <w:lang w:bidi="ar-LB"/>
        </w:rPr>
        <w:t xml:space="preserve"> ولستم أولياء أمره</w:t>
      </w:r>
      <w:r w:rsidR="00927149" w:rsidRPr="006571AC">
        <w:rPr>
          <w:rFonts w:hint="cs"/>
          <w:sz w:val="27"/>
          <w:rtl/>
          <w:lang w:bidi="ar-LB"/>
        </w:rPr>
        <w:t>.</w:t>
      </w:r>
      <w:r w:rsidRPr="006571AC">
        <w:rPr>
          <w:sz w:val="27"/>
          <w:rtl/>
          <w:lang w:bidi="ar-LB"/>
        </w:rPr>
        <w:t xml:space="preserve"> وأنا أرجو من أولئك الذين يريدون طرح أمر</w:t>
      </w:r>
      <w:r w:rsidR="00927149" w:rsidRPr="006571AC">
        <w:rPr>
          <w:rFonts w:hint="cs"/>
          <w:sz w:val="27"/>
          <w:rtl/>
          <w:lang w:bidi="ar-LB"/>
        </w:rPr>
        <w:t>ٍ</w:t>
      </w:r>
      <w:r w:rsidRPr="006571AC">
        <w:rPr>
          <w:sz w:val="27"/>
          <w:rtl/>
          <w:lang w:bidi="ar-LB"/>
        </w:rPr>
        <w:t xml:space="preserve"> مخالف</w:t>
      </w:r>
      <w:r w:rsidR="00927149" w:rsidRPr="006571AC">
        <w:rPr>
          <w:rFonts w:hint="cs"/>
          <w:sz w:val="27"/>
          <w:rtl/>
          <w:lang w:bidi="ar-LB"/>
        </w:rPr>
        <w:t>ٍ</w:t>
      </w:r>
      <w:r w:rsidRPr="006571AC">
        <w:rPr>
          <w:sz w:val="27"/>
          <w:rtl/>
          <w:lang w:bidi="ar-LB"/>
        </w:rPr>
        <w:t xml:space="preserve"> لإرادة الشعب ومسير</w:t>
      </w:r>
      <w:r w:rsidRPr="006571AC">
        <w:rPr>
          <w:rFonts w:hint="cs"/>
          <w:sz w:val="27"/>
          <w:rtl/>
          <w:lang w:bidi="ar-LB"/>
        </w:rPr>
        <w:t>ته</w:t>
      </w:r>
      <w:r w:rsidRPr="006571AC">
        <w:rPr>
          <w:sz w:val="27"/>
          <w:rtl/>
          <w:lang w:bidi="ar-LB"/>
        </w:rPr>
        <w:t xml:space="preserve"> أ</w:t>
      </w:r>
      <w:r w:rsidR="00927149" w:rsidRPr="006571AC">
        <w:rPr>
          <w:rFonts w:hint="cs"/>
          <w:sz w:val="27"/>
          <w:rtl/>
          <w:lang w:bidi="ar-LB"/>
        </w:rPr>
        <w:t xml:space="preserve">ن </w:t>
      </w:r>
      <w:r w:rsidRPr="006571AC">
        <w:rPr>
          <w:sz w:val="27"/>
          <w:rtl/>
          <w:lang w:bidi="ar-LB"/>
        </w:rPr>
        <w:t>لا يطرحوه منذ البداية، فأنتم نو</w:t>
      </w:r>
      <w:r w:rsidR="00927149" w:rsidRPr="006571AC">
        <w:rPr>
          <w:rFonts w:hint="cs"/>
          <w:sz w:val="27"/>
          <w:rtl/>
          <w:lang w:bidi="ar-LB"/>
        </w:rPr>
        <w:t>ّ</w:t>
      </w:r>
      <w:r w:rsidRPr="006571AC">
        <w:rPr>
          <w:sz w:val="27"/>
          <w:rtl/>
          <w:lang w:bidi="ar-LB"/>
        </w:rPr>
        <w:t>اب</w:t>
      </w:r>
      <w:r w:rsidR="00927149" w:rsidRPr="006571AC">
        <w:rPr>
          <w:rFonts w:hint="cs"/>
          <w:sz w:val="27"/>
          <w:rtl/>
          <w:lang w:bidi="ar-LB"/>
        </w:rPr>
        <w:t>ٌ</w:t>
      </w:r>
      <w:r w:rsidRPr="006571AC">
        <w:rPr>
          <w:sz w:val="27"/>
          <w:rtl/>
          <w:lang w:bidi="ar-LB"/>
        </w:rPr>
        <w:t xml:space="preserve"> فقط بالأمور التي أ</w:t>
      </w:r>
      <w:r w:rsidR="00927149" w:rsidRPr="006571AC">
        <w:rPr>
          <w:rFonts w:hint="cs"/>
          <w:sz w:val="27"/>
          <w:rtl/>
          <w:lang w:bidi="ar-LB"/>
        </w:rPr>
        <w:t>ُ</w:t>
      </w:r>
      <w:r w:rsidRPr="006571AC">
        <w:rPr>
          <w:sz w:val="27"/>
          <w:rtl/>
          <w:lang w:bidi="ar-LB"/>
        </w:rPr>
        <w:t>عطي</w:t>
      </w:r>
      <w:r w:rsidR="00927149" w:rsidRPr="006571AC">
        <w:rPr>
          <w:rFonts w:hint="cs"/>
          <w:sz w:val="27"/>
          <w:rtl/>
          <w:lang w:bidi="ar-LB"/>
        </w:rPr>
        <w:t>َ</w:t>
      </w:r>
      <w:r w:rsidRPr="006571AC">
        <w:rPr>
          <w:sz w:val="27"/>
          <w:rtl/>
          <w:lang w:bidi="ar-LB"/>
        </w:rPr>
        <w:t>ت</w:t>
      </w:r>
      <w:r w:rsidR="00927149" w:rsidRPr="006571AC">
        <w:rPr>
          <w:rFonts w:hint="cs"/>
          <w:sz w:val="27"/>
          <w:rtl/>
          <w:lang w:bidi="ar-LB"/>
        </w:rPr>
        <w:t>ْ</w:t>
      </w:r>
      <w:r w:rsidRPr="006571AC">
        <w:rPr>
          <w:sz w:val="27"/>
          <w:rtl/>
          <w:lang w:bidi="ar-LB"/>
        </w:rPr>
        <w:t xml:space="preserve"> نيابتها لكم</w:t>
      </w:r>
      <w:r w:rsidRPr="006571AC">
        <w:rPr>
          <w:rFonts w:hint="cs"/>
          <w:sz w:val="27"/>
          <w:rtl/>
          <w:lang w:bidi="ar-LB"/>
        </w:rPr>
        <w:t>،</w:t>
      </w:r>
      <w:r w:rsidRPr="006571AC">
        <w:rPr>
          <w:sz w:val="27"/>
          <w:rtl/>
          <w:lang w:bidi="ar-LB"/>
        </w:rPr>
        <w:t xml:space="preserve"> والطريق الذي اختاره شعبنا هو الذي يجب أن نسير فيه جميع</w:t>
      </w:r>
      <w:r w:rsidRPr="006571AC">
        <w:rPr>
          <w:rFonts w:hint="cs"/>
          <w:sz w:val="27"/>
          <w:rtl/>
          <w:lang w:bidi="ar-LB"/>
        </w:rPr>
        <w:t>اً</w:t>
      </w:r>
      <w:r w:rsidRPr="006571AC">
        <w:rPr>
          <w:sz w:val="27"/>
          <w:rtl/>
          <w:lang w:bidi="ar-LB"/>
        </w:rPr>
        <w:t>، و</w:t>
      </w:r>
      <w:r w:rsidRPr="006571AC">
        <w:rPr>
          <w:rFonts w:hint="cs"/>
          <w:sz w:val="27"/>
          <w:rtl/>
          <w:lang w:bidi="ar-LB"/>
        </w:rPr>
        <w:t>إ</w:t>
      </w:r>
      <w:r w:rsidRPr="006571AC">
        <w:rPr>
          <w:sz w:val="27"/>
          <w:rtl/>
          <w:lang w:bidi="ar-LB"/>
        </w:rPr>
        <w:t>ن</w:t>
      </w:r>
      <w:r w:rsidR="00EF1BA5" w:rsidRPr="006571AC">
        <w:rPr>
          <w:rFonts w:hint="cs"/>
          <w:sz w:val="27"/>
          <w:rtl/>
          <w:lang w:bidi="ar-LB"/>
        </w:rPr>
        <w:t>ْ</w:t>
      </w:r>
      <w:r w:rsidRPr="006571AC">
        <w:rPr>
          <w:sz w:val="27"/>
          <w:rtl/>
          <w:lang w:bidi="ar-LB"/>
        </w:rPr>
        <w:t xml:space="preserve"> كنتم تعتقدون أن هذا الطريق لا يصلح. الشعب هو م</w:t>
      </w:r>
      <w:r w:rsidR="00927149" w:rsidRPr="006571AC">
        <w:rPr>
          <w:rFonts w:hint="cs"/>
          <w:sz w:val="27"/>
          <w:rtl/>
          <w:lang w:bidi="ar-LB"/>
        </w:rPr>
        <w:t>َ</w:t>
      </w:r>
      <w:r w:rsidRPr="006571AC">
        <w:rPr>
          <w:sz w:val="27"/>
          <w:rtl/>
          <w:lang w:bidi="ar-LB"/>
        </w:rPr>
        <w:t>ن</w:t>
      </w:r>
      <w:r w:rsidR="00927149" w:rsidRPr="006571AC">
        <w:rPr>
          <w:rFonts w:hint="cs"/>
          <w:sz w:val="27"/>
          <w:rtl/>
          <w:lang w:bidi="ar-LB"/>
        </w:rPr>
        <w:t>ْ</w:t>
      </w:r>
      <w:r w:rsidRPr="006571AC">
        <w:rPr>
          <w:sz w:val="27"/>
          <w:rtl/>
          <w:lang w:bidi="ar-LB"/>
        </w:rPr>
        <w:t xml:space="preserve"> يريد هذا، فلا دخل لي أو لكم به، هو أراد خلاف مصلحته. الشعب أبدى رأيه؛ والرأي الذي أبداه مُتّبَع</w:t>
      </w:r>
      <w:r w:rsidR="00927149" w:rsidRPr="006571AC">
        <w:rPr>
          <w:rFonts w:hint="cs"/>
          <w:sz w:val="27"/>
          <w:rtl/>
          <w:lang w:bidi="ar-LB"/>
        </w:rPr>
        <w:t>ٌ</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35"/>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وأوضح الإمام الخميني هذا الحقّ الشعبي في مواضع أخرى</w:t>
      </w:r>
      <w:r w:rsidRPr="006571AC">
        <w:rPr>
          <w:sz w:val="27"/>
          <w:vertAlign w:val="superscript"/>
          <w:rtl/>
          <w:lang w:bidi="ar-LB"/>
        </w:rPr>
        <w:t>(</w:t>
      </w:r>
      <w:r w:rsidRPr="006571AC">
        <w:rPr>
          <w:rStyle w:val="ac"/>
          <w:sz w:val="27"/>
          <w:rtl/>
          <w:lang w:bidi="ar-LB"/>
        </w:rPr>
        <w:endnoteReference w:id="36"/>
      </w:r>
      <w:r w:rsidRPr="006571AC">
        <w:rPr>
          <w:sz w:val="27"/>
          <w:vertAlign w:val="superscript"/>
          <w:rtl/>
          <w:lang w:bidi="ar-LB"/>
        </w:rPr>
        <w:t>)</w:t>
      </w:r>
      <w:r w:rsidRPr="006571AC">
        <w:rPr>
          <w:rFonts w:hint="cs"/>
          <w:sz w:val="27"/>
          <w:rtl/>
          <w:lang w:bidi="ar-LB"/>
        </w:rPr>
        <w:t>.</w:t>
      </w:r>
    </w:p>
    <w:p w:rsidR="007002FC" w:rsidRPr="006571AC" w:rsidRDefault="007002FC" w:rsidP="007002FC">
      <w:pPr>
        <w:tabs>
          <w:tab w:val="right" w:pos="6930"/>
        </w:tabs>
        <w:suppressAutoHyphens/>
        <w:spacing w:line="420" w:lineRule="exact"/>
        <w:rPr>
          <w:sz w:val="27"/>
          <w:rtl/>
          <w:lang w:bidi="fa-IR"/>
        </w:rPr>
      </w:pPr>
    </w:p>
    <w:p w:rsidR="008C542A" w:rsidRPr="006571AC" w:rsidRDefault="008C542A" w:rsidP="008C542A">
      <w:pPr>
        <w:pStyle w:val="31"/>
        <w:rPr>
          <w:color w:val="auto"/>
          <w:rtl/>
          <w:lang w:bidi="ar-LB"/>
        </w:rPr>
      </w:pPr>
      <w:bookmarkStart w:id="30" w:name="_Toc114164519"/>
      <w:r w:rsidRPr="006571AC">
        <w:rPr>
          <w:rFonts w:hint="cs"/>
          <w:color w:val="auto"/>
          <w:rtl/>
          <w:lang w:bidi="ar-LB"/>
        </w:rPr>
        <w:t>9</w:t>
      </w:r>
      <w:r w:rsidRPr="006571AC">
        <w:rPr>
          <w:color w:val="auto"/>
          <w:rtl/>
          <w:lang w:bidi="ar-LB"/>
        </w:rPr>
        <w:t>ـ</w:t>
      </w:r>
      <w:r w:rsidRPr="006571AC">
        <w:rPr>
          <w:rFonts w:hint="cs"/>
          <w:color w:val="auto"/>
          <w:rtl/>
          <w:lang w:bidi="ar-LB"/>
        </w:rPr>
        <w:t xml:space="preserve"> نتائج مبدأ حقّ تقرير المصير</w:t>
      </w:r>
      <w:bookmarkEnd w:id="30"/>
    </w:p>
    <w:p w:rsidR="00E036D4" w:rsidRPr="006571AC" w:rsidRDefault="008C542A" w:rsidP="00706E68">
      <w:pPr>
        <w:tabs>
          <w:tab w:val="right" w:pos="6930"/>
        </w:tabs>
        <w:suppressAutoHyphens/>
        <w:rPr>
          <w:sz w:val="27"/>
          <w:rtl/>
          <w:lang w:bidi="ar-LB"/>
        </w:rPr>
      </w:pPr>
      <w:r w:rsidRPr="006571AC">
        <w:rPr>
          <w:sz w:val="27"/>
          <w:rtl/>
          <w:lang w:bidi="ar-LB"/>
        </w:rPr>
        <w:t>ات</w:t>
      </w:r>
      <w:r w:rsidR="00927149" w:rsidRPr="006571AC">
        <w:rPr>
          <w:rFonts w:hint="cs"/>
          <w:sz w:val="27"/>
          <w:rtl/>
          <w:lang w:bidi="ar-LB"/>
        </w:rPr>
        <w:t>ّ</w:t>
      </w:r>
      <w:r w:rsidRPr="006571AC">
        <w:rPr>
          <w:sz w:val="27"/>
          <w:rtl/>
          <w:lang w:bidi="ar-LB"/>
        </w:rPr>
        <w:t>ضح مم</w:t>
      </w:r>
      <w:r w:rsidR="00927149" w:rsidRPr="006571AC">
        <w:rPr>
          <w:rFonts w:hint="cs"/>
          <w:sz w:val="27"/>
          <w:rtl/>
          <w:lang w:bidi="ar-LB"/>
        </w:rPr>
        <w:t>ّ</w:t>
      </w:r>
      <w:r w:rsidRPr="006571AC">
        <w:rPr>
          <w:sz w:val="27"/>
          <w:rtl/>
          <w:lang w:bidi="ar-LB"/>
        </w:rPr>
        <w:t>ا مر</w:t>
      </w:r>
      <w:r w:rsidR="00927149" w:rsidRPr="006571AC">
        <w:rPr>
          <w:rFonts w:hint="cs"/>
          <w:sz w:val="27"/>
          <w:rtl/>
          <w:lang w:bidi="ar-LB"/>
        </w:rPr>
        <w:t>ّ</w:t>
      </w:r>
      <w:r w:rsidRPr="006571AC">
        <w:rPr>
          <w:sz w:val="27"/>
          <w:rtl/>
          <w:lang w:bidi="ar-LB"/>
        </w:rPr>
        <w:t xml:space="preserve"> أن الاعتماد على الرأي العام</w:t>
      </w:r>
      <w:r w:rsidR="00927149" w:rsidRPr="006571AC">
        <w:rPr>
          <w:rFonts w:hint="cs"/>
          <w:sz w:val="27"/>
          <w:rtl/>
          <w:lang w:bidi="ar-LB"/>
        </w:rPr>
        <w:t>ّ</w:t>
      </w:r>
      <w:r w:rsidRPr="006571AC">
        <w:rPr>
          <w:sz w:val="27"/>
          <w:rtl/>
          <w:lang w:bidi="ar-LB"/>
        </w:rPr>
        <w:t xml:space="preserve"> انطلاق</w:t>
      </w:r>
      <w:r w:rsidRPr="006571AC">
        <w:rPr>
          <w:rFonts w:hint="cs"/>
          <w:sz w:val="27"/>
          <w:rtl/>
          <w:lang w:bidi="ar-LB"/>
        </w:rPr>
        <w:t>اً</w:t>
      </w:r>
      <w:r w:rsidRPr="006571AC">
        <w:rPr>
          <w:sz w:val="27"/>
          <w:rtl/>
          <w:lang w:bidi="ar-LB"/>
        </w:rPr>
        <w:t xml:space="preserve"> من حق</w:t>
      </w:r>
      <w:r w:rsidR="00927149" w:rsidRPr="006571AC">
        <w:rPr>
          <w:rFonts w:hint="cs"/>
          <w:sz w:val="27"/>
          <w:rtl/>
          <w:lang w:bidi="ar-LB"/>
        </w:rPr>
        <w:t>ّ</w:t>
      </w:r>
      <w:r w:rsidRPr="006571AC">
        <w:rPr>
          <w:sz w:val="27"/>
          <w:rtl/>
          <w:lang w:bidi="ar-LB"/>
        </w:rPr>
        <w:t xml:space="preserve"> تقرير المصير يرتكز على أدل</w:t>
      </w:r>
      <w:r w:rsidR="00927149" w:rsidRPr="006571AC">
        <w:rPr>
          <w:rFonts w:hint="cs"/>
          <w:sz w:val="27"/>
          <w:rtl/>
          <w:lang w:bidi="ar-LB"/>
        </w:rPr>
        <w:t>ّ</w:t>
      </w:r>
      <w:r w:rsidRPr="006571AC">
        <w:rPr>
          <w:sz w:val="27"/>
          <w:rtl/>
          <w:lang w:bidi="ar-LB"/>
        </w:rPr>
        <w:t>ة</w:t>
      </w:r>
      <w:r w:rsidR="00927149" w:rsidRPr="006571AC">
        <w:rPr>
          <w:rFonts w:hint="cs"/>
          <w:sz w:val="27"/>
          <w:rtl/>
          <w:lang w:bidi="ar-LB"/>
        </w:rPr>
        <w:t>ٍ</w:t>
      </w:r>
      <w:r w:rsidRPr="006571AC">
        <w:rPr>
          <w:sz w:val="27"/>
          <w:rtl/>
          <w:lang w:bidi="ar-LB"/>
        </w:rPr>
        <w:t xml:space="preserve"> عقلية</w:t>
      </w:r>
      <w:r w:rsidR="00927149" w:rsidRPr="006571AC">
        <w:rPr>
          <w:rFonts w:hint="cs"/>
          <w:sz w:val="27"/>
          <w:rtl/>
          <w:lang w:bidi="ar-LB"/>
        </w:rPr>
        <w:t>ّ</w:t>
      </w:r>
      <w:r w:rsidRPr="006571AC">
        <w:rPr>
          <w:sz w:val="27"/>
          <w:rtl/>
          <w:lang w:bidi="ar-LB"/>
        </w:rPr>
        <w:t xml:space="preserve"> م</w:t>
      </w:r>
      <w:r w:rsidR="00927149" w:rsidRPr="006571AC">
        <w:rPr>
          <w:rFonts w:hint="cs"/>
          <w:sz w:val="27"/>
          <w:rtl/>
          <w:lang w:bidi="ar-LB"/>
        </w:rPr>
        <w:t>ُ</w:t>
      </w:r>
      <w:r w:rsidRPr="006571AC">
        <w:rPr>
          <w:sz w:val="27"/>
          <w:rtl/>
          <w:lang w:bidi="ar-LB"/>
        </w:rPr>
        <w:t>ح</w:t>
      </w:r>
      <w:r w:rsidR="00927149" w:rsidRPr="006571AC">
        <w:rPr>
          <w:rFonts w:hint="cs"/>
          <w:sz w:val="27"/>
          <w:rtl/>
          <w:lang w:bidi="ar-LB"/>
        </w:rPr>
        <w:t>ْ</w:t>
      </w:r>
      <w:r w:rsidRPr="006571AC">
        <w:rPr>
          <w:sz w:val="27"/>
          <w:rtl/>
          <w:lang w:bidi="ar-LB"/>
        </w:rPr>
        <w:t>ك</w:t>
      </w:r>
      <w:r w:rsidR="00927149" w:rsidRPr="006571AC">
        <w:rPr>
          <w:rFonts w:hint="cs"/>
          <w:sz w:val="27"/>
          <w:rtl/>
          <w:lang w:bidi="ar-LB"/>
        </w:rPr>
        <w:t>َ</w:t>
      </w:r>
      <w:r w:rsidRPr="006571AC">
        <w:rPr>
          <w:sz w:val="27"/>
          <w:rtl/>
          <w:lang w:bidi="ar-LB"/>
        </w:rPr>
        <w:t>مة. كما سيأتي بحث الأدلة النقلي</w:t>
      </w:r>
      <w:r w:rsidR="00927149" w:rsidRPr="006571AC">
        <w:rPr>
          <w:rFonts w:hint="cs"/>
          <w:sz w:val="27"/>
          <w:rtl/>
          <w:lang w:bidi="ar-LB"/>
        </w:rPr>
        <w:t>ّ</w:t>
      </w:r>
      <w:r w:rsidRPr="006571AC">
        <w:rPr>
          <w:sz w:val="27"/>
          <w:rtl/>
          <w:lang w:bidi="ar-LB"/>
        </w:rPr>
        <w:t>ة فيما بعد</w:t>
      </w:r>
      <w:r w:rsidR="00E036D4" w:rsidRPr="006571AC">
        <w:rPr>
          <w:rFonts w:hint="cs"/>
          <w:sz w:val="27"/>
          <w:rtl/>
          <w:lang w:bidi="ar-LB"/>
        </w:rPr>
        <w:t>.</w:t>
      </w:r>
    </w:p>
    <w:p w:rsidR="008C542A" w:rsidRPr="006571AC" w:rsidRDefault="00E036D4" w:rsidP="00706E68">
      <w:pPr>
        <w:tabs>
          <w:tab w:val="right" w:pos="6930"/>
        </w:tabs>
        <w:suppressAutoHyphens/>
        <w:rPr>
          <w:sz w:val="27"/>
          <w:rtl/>
          <w:lang w:bidi="ar-LB"/>
        </w:rPr>
      </w:pPr>
      <w:r w:rsidRPr="006571AC">
        <w:rPr>
          <w:rFonts w:hint="cs"/>
          <w:sz w:val="27"/>
          <w:rtl/>
          <w:lang w:bidi="ar-LB"/>
        </w:rPr>
        <w:t>و</w:t>
      </w:r>
      <w:r w:rsidR="008C542A" w:rsidRPr="006571AC">
        <w:rPr>
          <w:rFonts w:hint="cs"/>
          <w:sz w:val="27"/>
          <w:rtl/>
          <w:lang w:bidi="ar-LB"/>
        </w:rPr>
        <w:t>لمبدأ حقّ تقرير المصير في اعتبار رأي الأكثري</w:t>
      </w:r>
      <w:r w:rsidR="0025487F" w:rsidRPr="006571AC">
        <w:rPr>
          <w:rFonts w:hint="cs"/>
          <w:sz w:val="27"/>
          <w:rtl/>
          <w:lang w:bidi="ar-LB"/>
        </w:rPr>
        <w:t>ّ</w:t>
      </w:r>
      <w:r w:rsidR="008C542A" w:rsidRPr="006571AC">
        <w:rPr>
          <w:rFonts w:hint="cs"/>
          <w:sz w:val="27"/>
          <w:rtl/>
          <w:lang w:bidi="ar-LB"/>
        </w:rPr>
        <w:t>ة في القرارات الجماعي</w:t>
      </w:r>
      <w:r w:rsidR="0025487F" w:rsidRPr="006571AC">
        <w:rPr>
          <w:rFonts w:hint="cs"/>
          <w:sz w:val="27"/>
          <w:rtl/>
          <w:lang w:bidi="ar-LB"/>
        </w:rPr>
        <w:t>ّ</w:t>
      </w:r>
      <w:r w:rsidR="008C542A" w:rsidRPr="006571AC">
        <w:rPr>
          <w:rFonts w:hint="cs"/>
          <w:sz w:val="27"/>
          <w:rtl/>
          <w:lang w:bidi="ar-LB"/>
        </w:rPr>
        <w:t>ة نتائج عقلي</w:t>
      </w:r>
      <w:r w:rsidRPr="006571AC">
        <w:rPr>
          <w:rFonts w:hint="cs"/>
          <w:sz w:val="27"/>
          <w:rtl/>
          <w:lang w:bidi="ar-LB"/>
        </w:rPr>
        <w:t>ّ</w:t>
      </w:r>
      <w:r w:rsidR="008C542A" w:rsidRPr="006571AC">
        <w:rPr>
          <w:rFonts w:hint="cs"/>
          <w:sz w:val="27"/>
          <w:rtl/>
          <w:lang w:bidi="ar-LB"/>
        </w:rPr>
        <w:t>ة، نستعرض بعضها على النحو التالي:</w:t>
      </w:r>
    </w:p>
    <w:p w:rsidR="008C542A" w:rsidRPr="006571AC" w:rsidRDefault="008C542A" w:rsidP="00706E68">
      <w:pPr>
        <w:tabs>
          <w:tab w:val="right" w:pos="6930"/>
        </w:tabs>
        <w:suppressAutoHyphens/>
        <w:rPr>
          <w:sz w:val="27"/>
          <w:rtl/>
          <w:lang w:bidi="ar-LB"/>
        </w:rPr>
      </w:pPr>
      <w:r w:rsidRPr="006571AC">
        <w:rPr>
          <w:rFonts w:hint="cs"/>
          <w:b/>
          <w:bCs/>
          <w:sz w:val="27"/>
          <w:rtl/>
          <w:lang w:bidi="ar-LB"/>
        </w:rPr>
        <w:t>أوّلاً</w:t>
      </w:r>
      <w:r w:rsidRPr="006571AC">
        <w:rPr>
          <w:rFonts w:hint="cs"/>
          <w:sz w:val="27"/>
          <w:rtl/>
          <w:lang w:bidi="ar-LB"/>
        </w:rPr>
        <w:t xml:space="preserve">: لا بُدَّ من الرجوع إلى الرأي العامّ في أيّ قرارٍ جماعي. وفي هذه الحالة لا تُقْبَل أيُّ استثناءاتٍ؛ لأنه </w:t>
      </w:r>
      <w:r w:rsidRPr="006571AC">
        <w:rPr>
          <w:sz w:val="27"/>
          <w:rtl/>
          <w:lang w:bidi="ar-LB"/>
        </w:rPr>
        <w:t>ـ</w:t>
      </w:r>
      <w:r w:rsidRPr="006571AC">
        <w:rPr>
          <w:rFonts w:hint="cs"/>
          <w:sz w:val="27"/>
          <w:rtl/>
          <w:lang w:bidi="ar-LB"/>
        </w:rPr>
        <w:t xml:space="preserve"> بغضّ النظر عمّا هو صوابٌ أو خطأٌ </w:t>
      </w:r>
      <w:r w:rsidRPr="006571AC">
        <w:rPr>
          <w:sz w:val="27"/>
          <w:rtl/>
          <w:lang w:bidi="ar-LB"/>
        </w:rPr>
        <w:t>ـ</w:t>
      </w:r>
      <w:r w:rsidRPr="006571AC">
        <w:rPr>
          <w:rFonts w:hint="cs"/>
          <w:sz w:val="27"/>
          <w:rtl/>
          <w:lang w:bidi="ar-LB"/>
        </w:rPr>
        <w:t xml:space="preserve"> يجب على الناس أن يقرِّروا عمليّاً فعل الصواب وترك الخطأ، أو العكس؛ من أجل رشدهم وكمالهم. وحتّى في عصر المعصومين</w:t>
      </w:r>
      <w:r w:rsidRPr="006571AC">
        <w:rPr>
          <w:rFonts w:ascii="Mosawi" w:hAnsi="Mosawi" w:cs="Mosawi"/>
          <w:sz w:val="22"/>
          <w:szCs w:val="22"/>
          <w:rtl/>
        </w:rPr>
        <w:t>^</w:t>
      </w:r>
      <w:r w:rsidRPr="006571AC">
        <w:rPr>
          <w:rFonts w:hint="cs"/>
          <w:sz w:val="27"/>
          <w:rtl/>
          <w:lang w:bidi="ar-LB"/>
        </w:rPr>
        <w:t xml:space="preserve"> كانت كلّ القرارات الجماعية في المجتمع مبنيّةً على إرادة الأكثرية.</w:t>
      </w:r>
    </w:p>
    <w:p w:rsidR="008C542A" w:rsidRPr="006571AC" w:rsidRDefault="008C542A" w:rsidP="00706E68">
      <w:pPr>
        <w:tabs>
          <w:tab w:val="right" w:pos="6930"/>
        </w:tabs>
        <w:suppressAutoHyphens/>
        <w:rPr>
          <w:sz w:val="27"/>
          <w:rtl/>
          <w:lang w:bidi="ar-LB"/>
        </w:rPr>
      </w:pPr>
      <w:r w:rsidRPr="006571AC">
        <w:rPr>
          <w:rFonts w:hint="cs"/>
          <w:b/>
          <w:bCs/>
          <w:sz w:val="27"/>
          <w:rtl/>
          <w:lang w:bidi="ar-LB"/>
        </w:rPr>
        <w:t>ثانياً</w:t>
      </w:r>
      <w:r w:rsidRPr="006571AC">
        <w:rPr>
          <w:rFonts w:hint="cs"/>
          <w:sz w:val="27"/>
          <w:rtl/>
          <w:lang w:bidi="ar-LB"/>
        </w:rPr>
        <w:t>: أصحاب القرار في الحكومة هم من آحاد الناس، والحكّام ممثِّلون عن الناس في تنفيذ قراراتهم.</w:t>
      </w:r>
    </w:p>
    <w:p w:rsidR="008C542A" w:rsidRPr="006571AC" w:rsidRDefault="008C542A" w:rsidP="00706E68">
      <w:pPr>
        <w:tabs>
          <w:tab w:val="right" w:pos="6930"/>
        </w:tabs>
        <w:suppressAutoHyphens/>
        <w:rPr>
          <w:sz w:val="27"/>
          <w:rtl/>
          <w:lang w:bidi="ar-LB"/>
        </w:rPr>
      </w:pPr>
      <w:r w:rsidRPr="006571AC">
        <w:rPr>
          <w:rFonts w:hint="cs"/>
          <w:b/>
          <w:bCs/>
          <w:sz w:val="27"/>
          <w:rtl/>
          <w:lang w:bidi="ar-LB"/>
        </w:rPr>
        <w:lastRenderedPageBreak/>
        <w:t>ثالثاً</w:t>
      </w:r>
      <w:r w:rsidRPr="006571AC">
        <w:rPr>
          <w:rFonts w:hint="cs"/>
          <w:sz w:val="27"/>
          <w:rtl/>
          <w:lang w:bidi="ar-LB"/>
        </w:rPr>
        <w:t>: لا تتعارض القوانين الإلزامية في المجتمع التي تطالب بها الأغلبيّة مع حقّ تقرير المصير والحرّية التكوينيّة للبشر.</w:t>
      </w:r>
    </w:p>
    <w:p w:rsidR="008C542A" w:rsidRPr="006571AC" w:rsidRDefault="008C542A" w:rsidP="00706E68">
      <w:pPr>
        <w:tabs>
          <w:tab w:val="right" w:pos="6930"/>
        </w:tabs>
        <w:suppressAutoHyphens/>
        <w:rPr>
          <w:sz w:val="27"/>
          <w:rtl/>
          <w:lang w:bidi="ar-LB"/>
        </w:rPr>
      </w:pPr>
      <w:r w:rsidRPr="006571AC">
        <w:rPr>
          <w:rFonts w:hint="cs"/>
          <w:b/>
          <w:bCs/>
          <w:sz w:val="27"/>
          <w:rtl/>
          <w:lang w:bidi="ar-LB"/>
        </w:rPr>
        <w:t>رابعاً</w:t>
      </w:r>
      <w:r w:rsidRPr="006571AC">
        <w:rPr>
          <w:rFonts w:hint="cs"/>
          <w:sz w:val="27"/>
          <w:rtl/>
          <w:lang w:bidi="ar-LB"/>
        </w:rPr>
        <w:t>: لكلّ فردٍ في المجتمع رأيٌ واحد فقط. وقيمة الآراء واحدةٌ. إيمان الأفراد وأخلاقهم وتخصُّصهم لا يزيد من قيمة آرائهم؛ لأن كلّ</w:t>
      </w:r>
      <w:r w:rsidR="0025487F" w:rsidRPr="006571AC">
        <w:rPr>
          <w:rFonts w:hint="cs"/>
          <w:sz w:val="27"/>
          <w:rtl/>
          <w:lang w:bidi="ar-LB"/>
        </w:rPr>
        <w:t>َ</w:t>
      </w:r>
      <w:r w:rsidRPr="006571AC">
        <w:rPr>
          <w:rFonts w:hint="cs"/>
          <w:sz w:val="27"/>
          <w:rtl/>
          <w:lang w:bidi="ar-LB"/>
        </w:rPr>
        <w:t xml:space="preserve"> الناس متساوون في الوصول إلى الكمال، وبالتالي في مقدّمته، التي هي الاختيار الحُرّ.</w:t>
      </w:r>
    </w:p>
    <w:p w:rsidR="008C542A" w:rsidRPr="006571AC" w:rsidRDefault="008C542A" w:rsidP="00AC023B">
      <w:pPr>
        <w:tabs>
          <w:tab w:val="right" w:pos="6930"/>
        </w:tabs>
        <w:suppressAutoHyphens/>
        <w:spacing w:line="430" w:lineRule="exact"/>
        <w:rPr>
          <w:sz w:val="27"/>
          <w:rtl/>
          <w:lang w:bidi="ar-LB"/>
        </w:rPr>
      </w:pPr>
    </w:p>
    <w:p w:rsidR="008C542A" w:rsidRPr="006571AC" w:rsidRDefault="008C542A" w:rsidP="008C542A">
      <w:pPr>
        <w:pStyle w:val="31"/>
        <w:rPr>
          <w:color w:val="auto"/>
          <w:rtl/>
          <w:lang w:bidi="ar-LB"/>
        </w:rPr>
      </w:pPr>
      <w:bookmarkStart w:id="31" w:name="_Toc114164520"/>
      <w:r w:rsidRPr="006571AC">
        <w:rPr>
          <w:rFonts w:hint="cs"/>
          <w:color w:val="auto"/>
          <w:rtl/>
          <w:lang w:bidi="ar-LB"/>
        </w:rPr>
        <w:t>المبدأ الثاني: كشف الحقيقة</w:t>
      </w:r>
      <w:bookmarkEnd w:id="31"/>
    </w:p>
    <w:p w:rsidR="008C542A" w:rsidRPr="006571AC" w:rsidRDefault="008C542A" w:rsidP="00706E68">
      <w:pPr>
        <w:tabs>
          <w:tab w:val="right" w:pos="6930"/>
        </w:tabs>
        <w:suppressAutoHyphens/>
        <w:rPr>
          <w:sz w:val="27"/>
          <w:rtl/>
          <w:lang w:bidi="fa-IR"/>
        </w:rPr>
      </w:pPr>
      <w:r w:rsidRPr="006571AC">
        <w:rPr>
          <w:sz w:val="27"/>
          <w:rtl/>
          <w:lang w:bidi="ar-LB"/>
        </w:rPr>
        <w:t>مبدأ كشف الحقيقة في اعتبار رأي الأكثرية، يعني أنه ف</w:t>
      </w:r>
      <w:r w:rsidRPr="006571AC">
        <w:rPr>
          <w:rFonts w:hint="cs"/>
          <w:sz w:val="27"/>
          <w:rtl/>
          <w:lang w:bidi="ar-LB"/>
        </w:rPr>
        <w:t xml:space="preserve">ي </w:t>
      </w:r>
      <w:r w:rsidRPr="006571AC">
        <w:rPr>
          <w:sz w:val="27"/>
          <w:rtl/>
          <w:lang w:bidi="ar-LB"/>
        </w:rPr>
        <w:t>الحالات التي تكون فيها الحقيقة متنازع</w:t>
      </w:r>
      <w:r w:rsidRPr="006571AC">
        <w:rPr>
          <w:rFonts w:hint="cs"/>
          <w:sz w:val="27"/>
          <w:rtl/>
          <w:lang w:bidi="ar-LB"/>
        </w:rPr>
        <w:t>اً</w:t>
      </w:r>
      <w:r w:rsidRPr="006571AC">
        <w:rPr>
          <w:sz w:val="27"/>
          <w:rtl/>
          <w:lang w:bidi="ar-LB"/>
        </w:rPr>
        <w:t xml:space="preserve"> عليها</w:t>
      </w:r>
      <w:r w:rsidR="0025487F" w:rsidRPr="006571AC">
        <w:rPr>
          <w:rFonts w:hint="cs"/>
          <w:sz w:val="27"/>
          <w:rtl/>
          <w:lang w:bidi="ar-LB"/>
        </w:rPr>
        <w:t>،</w:t>
      </w:r>
      <w:r w:rsidRPr="006571AC">
        <w:rPr>
          <w:sz w:val="27"/>
          <w:rtl/>
          <w:lang w:bidi="ar-LB"/>
        </w:rPr>
        <w:t xml:space="preserve"> وغير</w:t>
      </w:r>
      <w:r w:rsidR="0025487F" w:rsidRPr="006571AC">
        <w:rPr>
          <w:rFonts w:hint="cs"/>
          <w:sz w:val="27"/>
          <w:rtl/>
          <w:lang w:bidi="ar-LB"/>
        </w:rPr>
        <w:t>َ</w:t>
      </w:r>
      <w:r w:rsidRPr="006571AC">
        <w:rPr>
          <w:sz w:val="27"/>
          <w:rtl/>
          <w:lang w:bidi="ar-LB"/>
        </w:rPr>
        <w:t xml:space="preserve"> معروفة</w:t>
      </w:r>
      <w:r w:rsidR="0025487F" w:rsidRPr="006571AC">
        <w:rPr>
          <w:rFonts w:hint="cs"/>
          <w:sz w:val="27"/>
          <w:rtl/>
          <w:lang w:bidi="ar-LB"/>
        </w:rPr>
        <w:t>ٍ</w:t>
      </w:r>
      <w:r w:rsidRPr="006571AC">
        <w:rPr>
          <w:sz w:val="27"/>
          <w:rtl/>
          <w:lang w:bidi="ar-LB"/>
        </w:rPr>
        <w:t>، فإن رأي الأكثرية يكون كاشف</w:t>
      </w:r>
      <w:r w:rsidRPr="006571AC">
        <w:rPr>
          <w:rFonts w:hint="cs"/>
          <w:sz w:val="27"/>
          <w:rtl/>
          <w:lang w:bidi="ar-LB"/>
        </w:rPr>
        <w:t>اً</w:t>
      </w:r>
      <w:r w:rsidRPr="006571AC">
        <w:rPr>
          <w:sz w:val="27"/>
          <w:rtl/>
          <w:lang w:bidi="ar-LB"/>
        </w:rPr>
        <w:t xml:space="preserve"> عنها. وعليه كلما كانت الحقيقة بالنسبة لأصحاب القرار في الحياة الاجتماعية مجهولة</w:t>
      </w:r>
      <w:r w:rsidR="0025487F" w:rsidRPr="006571AC">
        <w:rPr>
          <w:rFonts w:hint="cs"/>
          <w:sz w:val="27"/>
          <w:rtl/>
          <w:lang w:bidi="ar-LB"/>
        </w:rPr>
        <w:t>ً</w:t>
      </w:r>
      <w:r w:rsidRPr="006571AC">
        <w:rPr>
          <w:rFonts w:hint="cs"/>
          <w:sz w:val="27"/>
          <w:rtl/>
          <w:lang w:bidi="ar-LB"/>
        </w:rPr>
        <w:t xml:space="preserve"> </w:t>
      </w:r>
      <w:r w:rsidRPr="006571AC">
        <w:rPr>
          <w:sz w:val="27"/>
          <w:rtl/>
          <w:lang w:bidi="ar-LB"/>
        </w:rPr>
        <w:t>فإنهم يرجعون إلى رأي جميع الناس</w:t>
      </w:r>
      <w:r w:rsidR="0025487F" w:rsidRPr="006571AC">
        <w:rPr>
          <w:rFonts w:hint="cs"/>
          <w:sz w:val="27"/>
          <w:rtl/>
          <w:lang w:bidi="ar-LB"/>
        </w:rPr>
        <w:t>،</w:t>
      </w:r>
      <w:r w:rsidRPr="006571AC">
        <w:rPr>
          <w:sz w:val="27"/>
          <w:rtl/>
          <w:lang w:bidi="ar-LB"/>
        </w:rPr>
        <w:t xml:space="preserve"> أو رأي جماعة</w:t>
      </w:r>
      <w:r w:rsidR="0025487F" w:rsidRPr="006571AC">
        <w:rPr>
          <w:rFonts w:hint="cs"/>
          <w:sz w:val="27"/>
          <w:rtl/>
          <w:lang w:bidi="ar-LB"/>
        </w:rPr>
        <w:t>ٍ</w:t>
      </w:r>
      <w:r w:rsidRPr="006571AC">
        <w:rPr>
          <w:sz w:val="27"/>
          <w:rtl/>
          <w:lang w:bidi="ar-LB"/>
        </w:rPr>
        <w:t xml:space="preserve"> من العلماء والمختص</w:t>
      </w:r>
      <w:r w:rsidR="0025487F" w:rsidRPr="006571AC">
        <w:rPr>
          <w:rFonts w:hint="cs"/>
          <w:sz w:val="27"/>
          <w:rtl/>
          <w:lang w:bidi="ar-LB"/>
        </w:rPr>
        <w:t>ّ</w:t>
      </w:r>
      <w:r w:rsidRPr="006571AC">
        <w:rPr>
          <w:sz w:val="27"/>
          <w:rtl/>
          <w:lang w:bidi="ar-LB"/>
        </w:rPr>
        <w:t>ين، والخيار الذي تتبن</w:t>
      </w:r>
      <w:r w:rsidR="0025487F" w:rsidRPr="006571AC">
        <w:rPr>
          <w:rFonts w:hint="cs"/>
          <w:sz w:val="27"/>
          <w:rtl/>
          <w:lang w:bidi="ar-LB"/>
        </w:rPr>
        <w:t>ّ</w:t>
      </w:r>
      <w:r w:rsidRPr="006571AC">
        <w:rPr>
          <w:sz w:val="27"/>
          <w:rtl/>
          <w:lang w:bidi="ar-LB"/>
        </w:rPr>
        <w:t>اه الأكثري</w:t>
      </w:r>
      <w:r w:rsidR="0025487F" w:rsidRPr="006571AC">
        <w:rPr>
          <w:rFonts w:hint="cs"/>
          <w:sz w:val="27"/>
          <w:rtl/>
          <w:lang w:bidi="ar-LB"/>
        </w:rPr>
        <w:t>ّ</w:t>
      </w:r>
      <w:r w:rsidRPr="006571AC">
        <w:rPr>
          <w:sz w:val="27"/>
          <w:rtl/>
          <w:lang w:bidi="ar-LB"/>
        </w:rPr>
        <w:t>ة يقبلون به على أنه الحقيقة</w:t>
      </w:r>
      <w:r w:rsidR="0025487F" w:rsidRPr="006571AC">
        <w:rPr>
          <w:rFonts w:hint="cs"/>
          <w:sz w:val="27"/>
          <w:rtl/>
          <w:lang w:bidi="ar-LB"/>
        </w:rPr>
        <w:t>،</w:t>
      </w:r>
      <w:r w:rsidRPr="006571AC">
        <w:rPr>
          <w:sz w:val="27"/>
          <w:rtl/>
          <w:lang w:bidi="ar-LB"/>
        </w:rPr>
        <w:t xml:space="preserve"> ويقر</w:t>
      </w:r>
      <w:r w:rsidR="0025487F" w:rsidRPr="006571AC">
        <w:rPr>
          <w:rFonts w:hint="cs"/>
          <w:sz w:val="27"/>
          <w:rtl/>
          <w:lang w:bidi="ar-LB"/>
        </w:rPr>
        <w:t>ِّ</w:t>
      </w:r>
      <w:r w:rsidRPr="006571AC">
        <w:rPr>
          <w:sz w:val="27"/>
          <w:rtl/>
          <w:lang w:bidi="ar-LB"/>
        </w:rPr>
        <w:t>رو</w:t>
      </w:r>
      <w:r w:rsidRPr="006571AC">
        <w:rPr>
          <w:rFonts w:hint="cs"/>
          <w:sz w:val="27"/>
          <w:rtl/>
          <w:lang w:bidi="ar-LB"/>
        </w:rPr>
        <w:t>ن</w:t>
      </w:r>
      <w:r w:rsidRPr="006571AC">
        <w:rPr>
          <w:sz w:val="27"/>
          <w:rtl/>
          <w:lang w:bidi="ar-LB"/>
        </w:rPr>
        <w:t xml:space="preserve"> بناءً عليه.</w:t>
      </w:r>
    </w:p>
    <w:p w:rsidR="008C542A" w:rsidRPr="006571AC" w:rsidRDefault="008C542A" w:rsidP="00706E68">
      <w:pPr>
        <w:tabs>
          <w:tab w:val="right" w:pos="6930"/>
        </w:tabs>
        <w:suppressAutoHyphens/>
        <w:rPr>
          <w:sz w:val="27"/>
          <w:rtl/>
          <w:lang w:bidi="ar-LB"/>
        </w:rPr>
      </w:pPr>
      <w:r w:rsidRPr="006571AC">
        <w:rPr>
          <w:rFonts w:hint="cs"/>
          <w:sz w:val="27"/>
          <w:rtl/>
          <w:lang w:bidi="ar-LB"/>
        </w:rPr>
        <w:t>ولمزيدٍ من التوضيح ننتقل الآن إلى تقرير وجهات النظر المطروحة من قِبَل المتخصِّصين المؤيِّدين والمعارضين لاعتبار رأي الأكثرية، القائم على أساس كشف الحقيقة.</w:t>
      </w:r>
    </w:p>
    <w:p w:rsidR="008C542A" w:rsidRPr="006571AC" w:rsidRDefault="008C542A" w:rsidP="007002FC">
      <w:pPr>
        <w:tabs>
          <w:tab w:val="right" w:pos="6930"/>
        </w:tabs>
        <w:suppressAutoHyphens/>
        <w:spacing w:line="420" w:lineRule="exact"/>
        <w:rPr>
          <w:sz w:val="27"/>
          <w:rtl/>
          <w:lang w:bidi="ar-LB"/>
        </w:rPr>
      </w:pPr>
    </w:p>
    <w:p w:rsidR="008C542A" w:rsidRPr="006571AC" w:rsidRDefault="008C542A" w:rsidP="007F5126">
      <w:pPr>
        <w:pStyle w:val="31"/>
        <w:rPr>
          <w:color w:val="auto"/>
          <w:rtl/>
          <w:lang w:bidi="ar-LB"/>
        </w:rPr>
      </w:pPr>
      <w:bookmarkStart w:id="32" w:name="_Toc114164521"/>
      <w:r w:rsidRPr="006571AC">
        <w:rPr>
          <w:rFonts w:hint="cs"/>
          <w:color w:val="auto"/>
          <w:rtl/>
          <w:lang w:bidi="ar-LB"/>
        </w:rPr>
        <w:t>1</w:t>
      </w:r>
      <w:r w:rsidRPr="006571AC">
        <w:rPr>
          <w:color w:val="auto"/>
          <w:rtl/>
          <w:lang w:bidi="ar-LB"/>
        </w:rPr>
        <w:t>ـ</w:t>
      </w:r>
      <w:r w:rsidRPr="006571AC">
        <w:rPr>
          <w:rFonts w:hint="cs"/>
          <w:color w:val="auto"/>
          <w:rtl/>
          <w:lang w:bidi="ar-LB"/>
        </w:rPr>
        <w:t xml:space="preserve"> تقرير رأي </w:t>
      </w:r>
      <w:r w:rsidR="007F5126" w:rsidRPr="006571AC">
        <w:rPr>
          <w:rFonts w:hint="cs"/>
          <w:color w:val="auto"/>
          <w:rtl/>
          <w:lang w:bidi="ar-LB"/>
        </w:rPr>
        <w:t>ال</w:t>
      </w:r>
      <w:r w:rsidRPr="006571AC">
        <w:rPr>
          <w:rFonts w:hint="cs"/>
          <w:color w:val="auto"/>
          <w:rtl/>
          <w:lang w:bidi="ar-LB"/>
        </w:rPr>
        <w:t>مؤيِّدي</w:t>
      </w:r>
      <w:r w:rsidR="007F5126" w:rsidRPr="006571AC">
        <w:rPr>
          <w:rFonts w:hint="cs"/>
          <w:color w:val="auto"/>
          <w:rtl/>
          <w:lang w:bidi="ar-LB"/>
        </w:rPr>
        <w:t>ن</w:t>
      </w:r>
      <w:r w:rsidRPr="006571AC">
        <w:rPr>
          <w:rFonts w:hint="cs"/>
          <w:color w:val="auto"/>
          <w:rtl/>
          <w:lang w:bidi="ar-LB"/>
        </w:rPr>
        <w:t xml:space="preserve"> و</w:t>
      </w:r>
      <w:r w:rsidR="007F5126" w:rsidRPr="006571AC">
        <w:rPr>
          <w:rFonts w:hint="cs"/>
          <w:color w:val="auto"/>
          <w:rtl/>
          <w:lang w:bidi="ar-LB"/>
        </w:rPr>
        <w:t>ال</w:t>
      </w:r>
      <w:r w:rsidRPr="006571AC">
        <w:rPr>
          <w:rFonts w:hint="cs"/>
          <w:color w:val="auto"/>
          <w:rtl/>
          <w:lang w:bidi="ar-LB"/>
        </w:rPr>
        <w:t>معارضي</w:t>
      </w:r>
      <w:r w:rsidR="007F5126" w:rsidRPr="006571AC">
        <w:rPr>
          <w:rFonts w:hint="cs"/>
          <w:color w:val="auto"/>
          <w:rtl/>
          <w:lang w:bidi="ar-LB"/>
        </w:rPr>
        <w:t>ن</w:t>
      </w:r>
      <w:bookmarkEnd w:id="32"/>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من خلال تفحُّص كلمات ذوي الخبرة يتَّضح أن معظم أولئك الذين يوافقون أو يعترضون على اعتبار رأي الأكثرية لديهم رأيٌ في مبدأ كشف الحقيقة، </w:t>
      </w:r>
      <w:r w:rsidRPr="006571AC">
        <w:rPr>
          <w:sz w:val="27"/>
          <w:rtl/>
          <w:lang w:bidi="ar-LB"/>
        </w:rPr>
        <w:t>وأنهم قد غفلوا عن مبدأ حق</w:t>
      </w:r>
      <w:r w:rsidR="0025487F" w:rsidRPr="006571AC">
        <w:rPr>
          <w:rFonts w:hint="cs"/>
          <w:sz w:val="27"/>
          <w:rtl/>
          <w:lang w:bidi="ar-LB"/>
        </w:rPr>
        <w:t>ّ</w:t>
      </w:r>
      <w:r w:rsidRPr="006571AC">
        <w:rPr>
          <w:sz w:val="27"/>
          <w:rtl/>
          <w:lang w:bidi="ar-LB"/>
        </w:rPr>
        <w:t xml:space="preserve"> تقرير المصير. وعلى هذا الأساس قد توص</w:t>
      </w:r>
      <w:r w:rsidR="0025487F" w:rsidRPr="006571AC">
        <w:rPr>
          <w:rFonts w:hint="cs"/>
          <w:sz w:val="27"/>
          <w:rtl/>
          <w:lang w:bidi="ar-LB"/>
        </w:rPr>
        <w:t>َّ</w:t>
      </w:r>
      <w:r w:rsidRPr="006571AC">
        <w:rPr>
          <w:sz w:val="27"/>
          <w:rtl/>
          <w:lang w:bidi="ar-LB"/>
        </w:rPr>
        <w:t>لوا جميع</w:t>
      </w:r>
      <w:r w:rsidRPr="006571AC">
        <w:rPr>
          <w:rFonts w:hint="cs"/>
          <w:sz w:val="27"/>
          <w:rtl/>
          <w:lang w:bidi="ar-LB"/>
        </w:rPr>
        <w:t>اً</w:t>
      </w:r>
      <w:r w:rsidRPr="006571AC">
        <w:rPr>
          <w:sz w:val="27"/>
          <w:rtl/>
          <w:lang w:bidi="ar-LB"/>
        </w:rPr>
        <w:t xml:space="preserve"> إلى هذه النتيجة الصحيحة</w:t>
      </w:r>
      <w:r w:rsidR="0025487F" w:rsidRPr="006571AC">
        <w:rPr>
          <w:rFonts w:hint="cs"/>
          <w:sz w:val="27"/>
          <w:rtl/>
          <w:lang w:bidi="ar-LB"/>
        </w:rPr>
        <w:t>،</w:t>
      </w:r>
      <w:r w:rsidRPr="006571AC">
        <w:rPr>
          <w:sz w:val="27"/>
          <w:rtl/>
          <w:lang w:bidi="ar-LB"/>
        </w:rPr>
        <w:t xml:space="preserve"> </w:t>
      </w:r>
      <w:r w:rsidRPr="006571AC">
        <w:rPr>
          <w:rFonts w:hint="cs"/>
          <w:sz w:val="27"/>
          <w:rtl/>
          <w:lang w:bidi="ar-LB"/>
        </w:rPr>
        <w:t>ب</w:t>
      </w:r>
      <w:r w:rsidRPr="006571AC">
        <w:rPr>
          <w:sz w:val="27"/>
          <w:rtl/>
          <w:lang w:bidi="ar-LB"/>
        </w:rPr>
        <w:t>أن رأي الأكثرية لا اعتبار له</w:t>
      </w:r>
      <w:r w:rsidR="0025487F" w:rsidRPr="006571AC">
        <w:rPr>
          <w:rFonts w:hint="cs"/>
          <w:sz w:val="27"/>
          <w:rtl/>
          <w:lang w:bidi="ar-LB"/>
        </w:rPr>
        <w:t>؛</w:t>
      </w:r>
      <w:r w:rsidRPr="006571AC">
        <w:rPr>
          <w:sz w:val="27"/>
          <w:rtl/>
          <w:lang w:bidi="ar-LB"/>
        </w:rPr>
        <w:t xml:space="preserve"> لأن</w:t>
      </w:r>
      <w:r w:rsidRPr="006571AC">
        <w:rPr>
          <w:rFonts w:hint="cs"/>
          <w:sz w:val="27"/>
          <w:rtl/>
          <w:lang w:bidi="ar-LB"/>
        </w:rPr>
        <w:t xml:space="preserve">ه </w:t>
      </w:r>
      <w:r w:rsidRPr="006571AC">
        <w:rPr>
          <w:sz w:val="27"/>
          <w:rtl/>
          <w:lang w:bidi="ar-LB"/>
        </w:rPr>
        <w:t>لا يكشف الحقيقة</w:t>
      </w:r>
      <w:r w:rsidR="0025487F" w:rsidRPr="006571AC">
        <w:rPr>
          <w:rFonts w:hint="cs"/>
          <w:sz w:val="27"/>
          <w:rtl/>
          <w:lang w:bidi="ar-LB"/>
        </w:rPr>
        <w:t>،</w:t>
      </w:r>
      <w:r w:rsidRPr="006571AC">
        <w:rPr>
          <w:sz w:val="27"/>
          <w:rtl/>
          <w:lang w:bidi="ar-LB"/>
        </w:rPr>
        <w:t xml:space="preserve"> بل قد يكون رأي الأقل</w:t>
      </w:r>
      <w:r w:rsidR="0025487F" w:rsidRPr="006571AC">
        <w:rPr>
          <w:rFonts w:hint="cs"/>
          <w:sz w:val="27"/>
          <w:rtl/>
          <w:lang w:bidi="ar-LB"/>
        </w:rPr>
        <w:t>ِّ</w:t>
      </w:r>
      <w:r w:rsidRPr="006571AC">
        <w:rPr>
          <w:sz w:val="27"/>
          <w:rtl/>
          <w:lang w:bidi="ar-LB"/>
        </w:rPr>
        <w:t>ية في المجتمع هو الذي يوافق الحقيقة.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ولأن </w:t>
      </w:r>
      <w:r w:rsidRPr="006571AC">
        <w:rPr>
          <w:sz w:val="27"/>
          <w:rtl/>
          <w:lang w:bidi="ar-LB"/>
        </w:rPr>
        <w:t>أكثري</w:t>
      </w:r>
      <w:r w:rsidR="0025487F" w:rsidRPr="006571AC">
        <w:rPr>
          <w:rFonts w:hint="cs"/>
          <w:sz w:val="27"/>
          <w:rtl/>
          <w:lang w:bidi="ar-LB"/>
        </w:rPr>
        <w:t>ّ</w:t>
      </w:r>
      <w:r w:rsidRPr="006571AC">
        <w:rPr>
          <w:sz w:val="27"/>
          <w:rtl/>
          <w:lang w:bidi="ar-LB"/>
        </w:rPr>
        <w:t>ة مجتمع</w:t>
      </w:r>
      <w:r w:rsidR="0025487F" w:rsidRPr="006571AC">
        <w:rPr>
          <w:rFonts w:hint="cs"/>
          <w:sz w:val="27"/>
          <w:rtl/>
          <w:lang w:bidi="ar-LB"/>
        </w:rPr>
        <w:t>ٍ</w:t>
      </w:r>
      <w:r w:rsidRPr="006571AC">
        <w:rPr>
          <w:sz w:val="27"/>
          <w:rtl/>
          <w:lang w:bidi="ar-LB"/>
        </w:rPr>
        <w:t xml:space="preserve"> ما قد ات</w:t>
      </w:r>
      <w:r w:rsidR="0025487F" w:rsidRPr="006571AC">
        <w:rPr>
          <w:rFonts w:hint="cs"/>
          <w:sz w:val="27"/>
          <w:rtl/>
          <w:lang w:bidi="ar-LB"/>
        </w:rPr>
        <w:t>َّ</w:t>
      </w:r>
      <w:r w:rsidRPr="006571AC">
        <w:rPr>
          <w:sz w:val="27"/>
          <w:rtl/>
          <w:lang w:bidi="ar-LB"/>
        </w:rPr>
        <w:t>فق</w:t>
      </w:r>
      <w:r w:rsidR="0025487F" w:rsidRPr="006571AC">
        <w:rPr>
          <w:rFonts w:hint="cs"/>
          <w:sz w:val="27"/>
          <w:rtl/>
          <w:lang w:bidi="ar-LB"/>
        </w:rPr>
        <w:t>َ</w:t>
      </w:r>
      <w:r w:rsidRPr="006571AC">
        <w:rPr>
          <w:sz w:val="27"/>
          <w:rtl/>
          <w:lang w:bidi="ar-LB"/>
        </w:rPr>
        <w:t>ت</w:t>
      </w:r>
      <w:r w:rsidR="0025487F" w:rsidRPr="006571AC">
        <w:rPr>
          <w:rFonts w:hint="cs"/>
          <w:sz w:val="27"/>
          <w:rtl/>
          <w:lang w:bidi="ar-LB"/>
        </w:rPr>
        <w:t>ْ</w:t>
      </w:r>
      <w:r w:rsidRPr="006571AC">
        <w:rPr>
          <w:sz w:val="27"/>
          <w:rtl/>
          <w:lang w:bidi="ar-LB"/>
        </w:rPr>
        <w:t xml:space="preserve"> على رأي</w:t>
      </w:r>
      <w:r w:rsidR="0025487F" w:rsidRPr="006571AC">
        <w:rPr>
          <w:rFonts w:hint="cs"/>
          <w:sz w:val="27"/>
          <w:rtl/>
          <w:lang w:bidi="ar-LB"/>
        </w:rPr>
        <w:t>ٍ</w:t>
      </w:r>
      <w:r w:rsidRPr="006571AC">
        <w:rPr>
          <w:sz w:val="27"/>
          <w:rtl/>
          <w:lang w:bidi="ar-LB"/>
        </w:rPr>
        <w:t xml:space="preserve"> معين</w:t>
      </w:r>
      <w:r w:rsidRPr="006571AC">
        <w:rPr>
          <w:rFonts w:hint="cs"/>
          <w:sz w:val="27"/>
          <w:rtl/>
          <w:lang w:bidi="ar-LB"/>
        </w:rPr>
        <w:t xml:space="preserve"> فهو</w:t>
      </w:r>
      <w:r w:rsidRPr="006571AC">
        <w:rPr>
          <w:sz w:val="27"/>
          <w:rtl/>
          <w:lang w:bidi="ar-LB"/>
        </w:rPr>
        <w:t xml:space="preserve"> لا يعني أن خيار</w:t>
      </w:r>
      <w:r w:rsidR="0025487F" w:rsidRPr="006571AC">
        <w:rPr>
          <w:rFonts w:hint="cs"/>
          <w:sz w:val="27"/>
          <w:rtl/>
          <w:lang w:bidi="ar-LB"/>
        </w:rPr>
        <w:t>َ</w:t>
      </w:r>
      <w:r w:rsidRPr="006571AC">
        <w:rPr>
          <w:sz w:val="27"/>
          <w:rtl/>
          <w:lang w:bidi="ar-LB"/>
        </w:rPr>
        <w:t>هم صحيح</w:t>
      </w:r>
      <w:r w:rsidR="0025487F" w:rsidRPr="006571AC">
        <w:rPr>
          <w:rFonts w:hint="cs"/>
          <w:sz w:val="27"/>
          <w:rtl/>
          <w:lang w:bidi="ar-LB"/>
        </w:rPr>
        <w:t>ٌ</w:t>
      </w:r>
      <w:r w:rsidRPr="006571AC">
        <w:rPr>
          <w:rFonts w:hint="cs"/>
          <w:sz w:val="27"/>
          <w:rtl/>
          <w:lang w:bidi="ar-LB"/>
        </w:rPr>
        <w:t>،</w:t>
      </w:r>
      <w:r w:rsidRPr="006571AC">
        <w:rPr>
          <w:sz w:val="27"/>
          <w:rtl/>
          <w:lang w:bidi="ar-LB"/>
        </w:rPr>
        <w:t xml:space="preserve"> وأنه لا بُدَّ من الرجوع إليه في أيّ قرارٍ جماعي</w:t>
      </w:r>
      <w:r w:rsidR="0025487F" w:rsidRPr="006571AC">
        <w:rPr>
          <w:rFonts w:hint="cs"/>
          <w:sz w:val="27"/>
          <w:rtl/>
          <w:lang w:bidi="ar-LB"/>
        </w:rPr>
        <w:t>ّ</w:t>
      </w:r>
      <w:r w:rsidRPr="006571AC">
        <w:rPr>
          <w:sz w:val="27"/>
          <w:rtl/>
          <w:lang w:bidi="ar-LB"/>
        </w:rPr>
        <w:t xml:space="preserve"> أو فردي</w:t>
      </w:r>
      <w:r w:rsidR="0025487F" w:rsidRPr="006571AC">
        <w:rPr>
          <w:rFonts w:hint="cs"/>
          <w:sz w:val="27"/>
          <w:rtl/>
          <w:lang w:bidi="ar-LB"/>
        </w:rPr>
        <w:t>ّ</w:t>
      </w:r>
      <w:r w:rsidRPr="006571AC">
        <w:rPr>
          <w:sz w:val="27"/>
          <w:rtl/>
          <w:lang w:bidi="ar-LB"/>
        </w:rPr>
        <w:t>. وهذه الجماعة من أصحاب النظر</w:t>
      </w:r>
      <w:r w:rsidR="0025487F" w:rsidRPr="006571AC">
        <w:rPr>
          <w:rFonts w:hint="cs"/>
          <w:sz w:val="27"/>
          <w:rtl/>
          <w:lang w:bidi="ar-LB"/>
        </w:rPr>
        <w:t>؛</w:t>
      </w:r>
      <w:r w:rsidRPr="006571AC">
        <w:rPr>
          <w:sz w:val="27"/>
          <w:rtl/>
          <w:lang w:bidi="ar-LB"/>
        </w:rPr>
        <w:t xml:space="preserve"> بسبب عدم توج</w:t>
      </w:r>
      <w:r w:rsidR="0025487F" w:rsidRPr="006571AC">
        <w:rPr>
          <w:rFonts w:hint="cs"/>
          <w:sz w:val="27"/>
          <w:rtl/>
          <w:lang w:bidi="ar-LB"/>
        </w:rPr>
        <w:t>ُّ</w:t>
      </w:r>
      <w:r w:rsidRPr="006571AC">
        <w:rPr>
          <w:sz w:val="27"/>
          <w:rtl/>
          <w:lang w:bidi="ar-LB"/>
        </w:rPr>
        <w:t>هها إلى مبدأ حق</w:t>
      </w:r>
      <w:r w:rsidR="0025487F" w:rsidRPr="006571AC">
        <w:rPr>
          <w:rFonts w:hint="cs"/>
          <w:sz w:val="27"/>
          <w:rtl/>
          <w:lang w:bidi="ar-LB"/>
        </w:rPr>
        <w:t>ّ</w:t>
      </w:r>
      <w:r w:rsidRPr="006571AC">
        <w:rPr>
          <w:sz w:val="27"/>
          <w:rtl/>
          <w:lang w:bidi="ar-LB"/>
        </w:rPr>
        <w:t xml:space="preserve"> تقرير المصير، قد وصلوا بالضرورة إلى عدم اعتبار رأي الأكثرية، وأن سيرة العقلاء في حياة البشر اليوم</w:t>
      </w:r>
      <w:r w:rsidR="0025487F" w:rsidRPr="006571AC">
        <w:rPr>
          <w:rFonts w:hint="cs"/>
          <w:sz w:val="27"/>
          <w:rtl/>
          <w:lang w:bidi="ar-LB"/>
        </w:rPr>
        <w:t>،</w:t>
      </w:r>
      <w:r w:rsidRPr="006571AC">
        <w:rPr>
          <w:sz w:val="27"/>
          <w:rtl/>
          <w:lang w:bidi="ar-LB"/>
        </w:rPr>
        <w:t xml:space="preserve"> من الرجوع إلى </w:t>
      </w:r>
      <w:r w:rsidRPr="006571AC">
        <w:rPr>
          <w:sz w:val="27"/>
          <w:rtl/>
          <w:lang w:bidi="ar-LB"/>
        </w:rPr>
        <w:lastRenderedPageBreak/>
        <w:t>الرأي العام في القرارات الجماعية، غير مبر</w:t>
      </w:r>
      <w:r w:rsidR="0025487F" w:rsidRPr="006571AC">
        <w:rPr>
          <w:rFonts w:hint="cs"/>
          <w:sz w:val="27"/>
          <w:rtl/>
          <w:lang w:bidi="ar-LB"/>
        </w:rPr>
        <w:t>َّ</w:t>
      </w:r>
      <w:r w:rsidRPr="006571AC">
        <w:rPr>
          <w:sz w:val="27"/>
          <w:rtl/>
          <w:lang w:bidi="ar-LB"/>
        </w:rPr>
        <w:t>رة</w:t>
      </w:r>
      <w:r w:rsidR="0025487F" w:rsidRPr="006571AC">
        <w:rPr>
          <w:rFonts w:hint="cs"/>
          <w:sz w:val="27"/>
          <w:rtl/>
          <w:lang w:bidi="ar-LB"/>
        </w:rPr>
        <w:t>ٍ</w:t>
      </w:r>
      <w:r w:rsidRPr="006571AC">
        <w:rPr>
          <w:sz w:val="27"/>
          <w:rtl/>
          <w:lang w:bidi="ar-LB"/>
        </w:rPr>
        <w:t xml:space="preserve"> وغير معقولة</w:t>
      </w:r>
      <w:r w:rsidR="0025487F" w:rsidRPr="006571AC">
        <w:rPr>
          <w:rFonts w:hint="cs"/>
          <w:sz w:val="27"/>
          <w:rtl/>
          <w:lang w:bidi="ar-LB"/>
        </w:rPr>
        <w:t>ٍ</w:t>
      </w:r>
      <w:r w:rsidRPr="006571AC">
        <w:rPr>
          <w:sz w:val="27"/>
          <w:rtl/>
          <w:lang w:bidi="ar-LB"/>
        </w:rPr>
        <w:t>.</w:t>
      </w:r>
    </w:p>
    <w:p w:rsidR="003D31C4" w:rsidRPr="006571AC" w:rsidRDefault="008C542A" w:rsidP="00706E68">
      <w:pPr>
        <w:tabs>
          <w:tab w:val="right" w:pos="6930"/>
        </w:tabs>
        <w:suppressAutoHyphens/>
        <w:rPr>
          <w:sz w:val="27"/>
          <w:rtl/>
          <w:lang w:bidi="ar-LB"/>
        </w:rPr>
      </w:pPr>
      <w:r w:rsidRPr="006571AC">
        <w:rPr>
          <w:sz w:val="27"/>
          <w:rtl/>
          <w:lang w:bidi="ar-LB"/>
        </w:rPr>
        <w:t>رأي هذه الجماعة المعارضة لاعتبار رأي الأكثرية القائم على أساس كشف الحقيقة صحيح</w:t>
      </w:r>
      <w:r w:rsidR="0025487F" w:rsidRPr="006571AC">
        <w:rPr>
          <w:rFonts w:hint="cs"/>
          <w:sz w:val="27"/>
          <w:rtl/>
          <w:lang w:bidi="ar-LB"/>
        </w:rPr>
        <w:t>ٌ</w:t>
      </w:r>
      <w:r w:rsidRPr="006571AC">
        <w:rPr>
          <w:sz w:val="27"/>
          <w:rtl/>
          <w:lang w:bidi="ar-LB"/>
        </w:rPr>
        <w:t>، إلا</w:t>
      </w:r>
      <w:r w:rsidR="0025487F" w:rsidRPr="006571AC">
        <w:rPr>
          <w:rFonts w:hint="cs"/>
          <w:sz w:val="27"/>
          <w:rtl/>
          <w:lang w:bidi="ar-LB"/>
        </w:rPr>
        <w:t>ّ</w:t>
      </w:r>
      <w:r w:rsidRPr="006571AC">
        <w:rPr>
          <w:sz w:val="27"/>
          <w:rtl/>
          <w:lang w:bidi="ar-LB"/>
        </w:rPr>
        <w:t xml:space="preserve"> أن الخ</w:t>
      </w:r>
      <w:r w:rsidR="00EF1BA5" w:rsidRPr="006571AC">
        <w:rPr>
          <w:rFonts w:hint="cs"/>
          <w:sz w:val="27"/>
          <w:rtl/>
          <w:lang w:bidi="ar-LB"/>
        </w:rPr>
        <w:t>َ</w:t>
      </w:r>
      <w:r w:rsidRPr="006571AC">
        <w:rPr>
          <w:sz w:val="27"/>
          <w:rtl/>
          <w:lang w:bidi="ar-LB"/>
        </w:rPr>
        <w:t>ل</w:t>
      </w:r>
      <w:r w:rsidR="00EF1BA5" w:rsidRPr="006571AC">
        <w:rPr>
          <w:rFonts w:hint="cs"/>
          <w:sz w:val="27"/>
          <w:rtl/>
          <w:lang w:bidi="ar-LB"/>
        </w:rPr>
        <w:t>َ</w:t>
      </w:r>
      <w:r w:rsidRPr="006571AC">
        <w:rPr>
          <w:sz w:val="27"/>
          <w:rtl/>
          <w:lang w:bidi="ar-LB"/>
        </w:rPr>
        <w:t>ل في نظريتهم أنهم لم ينتبهوا إلى مبدأ حق</w:t>
      </w:r>
      <w:r w:rsidR="0025487F" w:rsidRPr="006571AC">
        <w:rPr>
          <w:rFonts w:hint="cs"/>
          <w:sz w:val="27"/>
          <w:rtl/>
          <w:lang w:bidi="ar-LB"/>
        </w:rPr>
        <w:t>ّ</w:t>
      </w:r>
      <w:r w:rsidRPr="006571AC">
        <w:rPr>
          <w:sz w:val="27"/>
          <w:rtl/>
          <w:lang w:bidi="ar-LB"/>
        </w:rPr>
        <w:t xml:space="preserve"> تقرير المصير، أو أنهم انتبهوا له لكن</w:t>
      </w:r>
      <w:r w:rsidR="0025487F" w:rsidRPr="006571AC">
        <w:rPr>
          <w:rFonts w:hint="cs"/>
          <w:sz w:val="27"/>
          <w:rtl/>
          <w:lang w:bidi="ar-LB"/>
        </w:rPr>
        <w:t>ْ</w:t>
      </w:r>
      <w:r w:rsidR="003D31C4" w:rsidRPr="006571AC">
        <w:rPr>
          <w:sz w:val="27"/>
          <w:rtl/>
          <w:lang w:bidi="ar-LB"/>
        </w:rPr>
        <w:t xml:space="preserve"> لم يأخذوه بالاعتبار.</w:t>
      </w:r>
    </w:p>
    <w:p w:rsidR="003D31C4" w:rsidRPr="006571AC" w:rsidRDefault="00E03D5A" w:rsidP="00706E68">
      <w:pPr>
        <w:tabs>
          <w:tab w:val="right" w:pos="6930"/>
        </w:tabs>
        <w:suppressAutoHyphens/>
        <w:rPr>
          <w:sz w:val="27"/>
          <w:rtl/>
          <w:lang w:bidi="ar-LB"/>
        </w:rPr>
      </w:pPr>
      <w:r w:rsidRPr="006571AC">
        <w:rPr>
          <w:rFonts w:hint="cs"/>
          <w:sz w:val="27"/>
          <w:rtl/>
          <w:lang w:bidi="ar-LB"/>
        </w:rPr>
        <w:t>وقد سبق أن</w:t>
      </w:r>
      <w:r w:rsidR="008C542A" w:rsidRPr="006571AC">
        <w:rPr>
          <w:sz w:val="27"/>
          <w:rtl/>
          <w:lang w:bidi="ar-LB"/>
        </w:rPr>
        <w:t xml:space="preserve"> أثب</w:t>
      </w:r>
      <w:r w:rsidRPr="006571AC">
        <w:rPr>
          <w:rFonts w:hint="cs"/>
          <w:sz w:val="27"/>
          <w:rtl/>
          <w:lang w:bidi="ar-LB"/>
        </w:rPr>
        <w:t>َ</w:t>
      </w:r>
      <w:r w:rsidR="008C542A" w:rsidRPr="006571AC">
        <w:rPr>
          <w:sz w:val="27"/>
          <w:rtl/>
          <w:lang w:bidi="ar-LB"/>
        </w:rPr>
        <w:t>ت</w:t>
      </w:r>
      <w:r w:rsidRPr="006571AC">
        <w:rPr>
          <w:rFonts w:hint="cs"/>
          <w:sz w:val="27"/>
          <w:rtl/>
          <w:lang w:bidi="ar-LB"/>
        </w:rPr>
        <w:t>ْ</w:t>
      </w:r>
      <w:r w:rsidR="008C542A" w:rsidRPr="006571AC">
        <w:rPr>
          <w:sz w:val="27"/>
          <w:rtl/>
          <w:lang w:bidi="ar-LB"/>
        </w:rPr>
        <w:t>نا أن الاعتماد على الرأي العام</w:t>
      </w:r>
      <w:r w:rsidR="0025487F" w:rsidRPr="006571AC">
        <w:rPr>
          <w:rFonts w:hint="cs"/>
          <w:sz w:val="27"/>
          <w:rtl/>
          <w:lang w:bidi="ar-LB"/>
        </w:rPr>
        <w:t>ّ</w:t>
      </w:r>
      <w:r w:rsidR="008C542A" w:rsidRPr="006571AC">
        <w:rPr>
          <w:sz w:val="27"/>
          <w:rtl/>
          <w:lang w:bidi="ar-LB"/>
        </w:rPr>
        <w:t xml:space="preserve"> وترجيح رأي الأكثرية ليس لأجل كشف الحقيقة، بل لأن الناس أنفسهم ـ بغض</w:t>
      </w:r>
      <w:r w:rsidR="003D31C4" w:rsidRPr="006571AC">
        <w:rPr>
          <w:rFonts w:hint="cs"/>
          <w:sz w:val="27"/>
          <w:rtl/>
          <w:lang w:bidi="ar-LB"/>
        </w:rPr>
        <w:t>ّ</w:t>
      </w:r>
      <w:r w:rsidR="008C542A" w:rsidRPr="006571AC">
        <w:rPr>
          <w:sz w:val="27"/>
          <w:rtl/>
          <w:lang w:bidi="ar-LB"/>
        </w:rPr>
        <w:t xml:space="preserve"> النظر عن الحق</w:t>
      </w:r>
      <w:r w:rsidR="003D31C4" w:rsidRPr="006571AC">
        <w:rPr>
          <w:rFonts w:hint="cs"/>
          <w:sz w:val="27"/>
          <w:rtl/>
          <w:lang w:bidi="ar-LB"/>
        </w:rPr>
        <w:t>ّ</w:t>
      </w:r>
      <w:r w:rsidR="008C542A" w:rsidRPr="006571AC">
        <w:rPr>
          <w:sz w:val="27"/>
          <w:rtl/>
          <w:lang w:bidi="ar-LB"/>
        </w:rPr>
        <w:t xml:space="preserve"> والباطل</w:t>
      </w:r>
      <w:r w:rsidR="008C542A" w:rsidRPr="006571AC">
        <w:rPr>
          <w:rFonts w:hint="cs"/>
          <w:sz w:val="27"/>
          <w:rtl/>
          <w:lang w:bidi="ar-LB"/>
        </w:rPr>
        <w:t xml:space="preserve"> </w:t>
      </w:r>
      <w:r w:rsidR="008C542A" w:rsidRPr="006571AC">
        <w:rPr>
          <w:sz w:val="27"/>
          <w:rtl/>
          <w:lang w:bidi="ar-LB"/>
        </w:rPr>
        <w:t>ـ يجب أن يقر</w:t>
      </w:r>
      <w:r w:rsidR="003D31C4" w:rsidRPr="006571AC">
        <w:rPr>
          <w:rFonts w:hint="cs"/>
          <w:sz w:val="27"/>
          <w:rtl/>
          <w:lang w:bidi="ar-LB"/>
        </w:rPr>
        <w:t>ِّ</w:t>
      </w:r>
      <w:r w:rsidR="008C542A" w:rsidRPr="006571AC">
        <w:rPr>
          <w:sz w:val="27"/>
          <w:rtl/>
          <w:lang w:bidi="ar-LB"/>
        </w:rPr>
        <w:t>روا لحياتهم</w:t>
      </w:r>
      <w:r w:rsidR="003D31C4" w:rsidRPr="006571AC">
        <w:rPr>
          <w:rFonts w:hint="cs"/>
          <w:sz w:val="27"/>
          <w:rtl/>
          <w:lang w:bidi="ar-LB"/>
        </w:rPr>
        <w:t>؛</w:t>
      </w:r>
      <w:r w:rsidR="008C542A" w:rsidRPr="006571AC">
        <w:rPr>
          <w:sz w:val="27"/>
          <w:rtl/>
          <w:lang w:bidi="ar-LB"/>
        </w:rPr>
        <w:t xml:space="preserve"> ليصلوا إلى الرشد والكمال</w:t>
      </w:r>
      <w:r w:rsidR="003D31C4"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وننتقل الآن إلى تقريرٍ قصير</w:t>
      </w:r>
      <w:r w:rsidR="003D31C4" w:rsidRPr="006571AC">
        <w:rPr>
          <w:rFonts w:hint="cs"/>
          <w:sz w:val="27"/>
          <w:rtl/>
          <w:lang w:bidi="ar-LB"/>
        </w:rPr>
        <w:t>ٍ</w:t>
      </w:r>
      <w:r w:rsidRPr="006571AC">
        <w:rPr>
          <w:sz w:val="27"/>
          <w:rtl/>
          <w:lang w:bidi="ar-LB"/>
        </w:rPr>
        <w:t xml:space="preserve"> حول آراء أصحاب النظر بهذا الشأن:</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تعتقد مجموعةٌ من المفكِّرين الغربيين المؤيِّدين للديمقراطية أن أيّ نوعٍ من اتّخاذ القرارات الجماعية في نظامٍ ديمقراطي يتمّ تعيينه بشكلٍ مباشر أو غير مباشر من خلال الرجوع إلى رأي أفراد المجتمع، ثمّ في شكل البرهان الإنّي (الاستدلال من المعلول إلى العلّة) يصلون إلى هذه النتيجة، وهي أن الديمقراطية تقوم على النسبية، أي </w:t>
      </w:r>
      <w:r w:rsidRPr="006571AC">
        <w:rPr>
          <w:rFonts w:hint="eastAsia"/>
          <w:sz w:val="24"/>
          <w:szCs w:val="24"/>
          <w:rtl/>
          <w:lang w:bidi="ar-LB"/>
        </w:rPr>
        <w:t>«</w:t>
      </w:r>
      <w:r w:rsidRPr="006571AC">
        <w:rPr>
          <w:rFonts w:hint="cs"/>
          <w:sz w:val="27"/>
          <w:rtl/>
          <w:lang w:bidi="ar-LB"/>
        </w:rPr>
        <w:t>في حكم الأكثرية تُعتَبَر هذه الحقيقة من المُسلَّمات، وهي أن كلّ الأفراد يستطيعون تعيين مصالحهم، ولا يمكن لأيّ مجموعةٍ أن تدّعي احتكار الحقيقة أو التعقُّل السياسي. ولذلك فإن حكم الأكثرية لا ينسجم مع هذا الادّعاء الذي يقول: إن ثمّة حقيقة واحدة تخصّ ماهية الإنسان، الحياة الجيّدة السعيدة، أو المجتمع العادل بيد شخصٍ ما أو مجموعةٍ ما، ويمكن أن يطبِّقوه على الآخرين</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37"/>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في اعتقاد هذه الفئة من المفكِّرين الغربيين بما أن الحقيقة نسبيّةٌ، ولا يوجد أيّ حقيقةٍ مطلقة وواضحة، ينبغي الرجوع إلى الرأي العام في كلّ القرارات الجماعية. ومن الواضح أن أساس هذه الفئة من الدفاع عن اعتبار رأي الأكثرية هو الوصول إلى الحقيقة.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انتقد بعضٌ مسألة اعتماد فكرة الديمقراطية على النسبية، قائلين: إن </w:t>
      </w:r>
      <w:r w:rsidRPr="006571AC">
        <w:rPr>
          <w:rFonts w:hint="eastAsia"/>
          <w:sz w:val="24"/>
          <w:szCs w:val="24"/>
          <w:rtl/>
          <w:lang w:bidi="ar-LB"/>
        </w:rPr>
        <w:t>«</w:t>
      </w:r>
      <w:r w:rsidRPr="006571AC">
        <w:rPr>
          <w:rFonts w:hint="cs"/>
          <w:sz w:val="27"/>
          <w:rtl/>
          <w:lang w:bidi="ar-LB"/>
        </w:rPr>
        <w:t>النسبيّة المطلقة تؤدّي إلى هذه النتيجة، وهي أن الديمقراطية بصفتها مجموعةً من القِيَم السياسية ليست أفضل من الأنظمة الأخرى</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38"/>
      </w:r>
      <w:r w:rsidRPr="006571AC">
        <w:rPr>
          <w:sz w:val="27"/>
          <w:vertAlign w:val="superscript"/>
          <w:rtl/>
          <w:lang w:bidi="ar-LB"/>
        </w:rPr>
        <w:t>)</w:t>
      </w:r>
      <w:r w:rsidRPr="006571AC">
        <w:rPr>
          <w:rFonts w:hint="cs"/>
          <w:sz w:val="27"/>
          <w:rtl/>
          <w:lang w:bidi="ar-LB"/>
        </w:rPr>
        <w:t xml:space="preserve">. وبعبارةٍ أخرى: إن هذا النوع من النسبيّة سيشمل أيضاً فكرة الديمقراطية، ويُسقطها من الاعتبار. وهذا الإشكال على الرأي السابق يستند أيضاً على مبدأ أن سبب الرجوع إلى الرأي العامّ هو التوصُّل </w:t>
      </w:r>
      <w:r w:rsidRPr="006571AC">
        <w:rPr>
          <w:rFonts w:hint="cs"/>
          <w:sz w:val="27"/>
          <w:rtl/>
          <w:lang w:bidi="ar-LB"/>
        </w:rPr>
        <w:lastRenderedPageBreak/>
        <w:t>إلى الحقيقة.</w:t>
      </w:r>
    </w:p>
    <w:p w:rsidR="008C542A" w:rsidRPr="006571AC" w:rsidRDefault="008C542A" w:rsidP="00706E68">
      <w:pPr>
        <w:tabs>
          <w:tab w:val="right" w:pos="6930"/>
        </w:tabs>
        <w:suppressAutoHyphens/>
        <w:rPr>
          <w:sz w:val="27"/>
          <w:rtl/>
          <w:lang w:bidi="ar-LB"/>
        </w:rPr>
      </w:pPr>
      <w:r w:rsidRPr="006571AC">
        <w:rPr>
          <w:rFonts w:hint="cs"/>
          <w:sz w:val="27"/>
          <w:rtl/>
          <w:lang w:bidi="ar-LB"/>
        </w:rPr>
        <w:t>لقد برَّر بعضُ المعاصرين ادّعاءهم بـ</w:t>
      </w:r>
      <w:r w:rsidRPr="006571AC">
        <w:rPr>
          <w:rFonts w:hint="cs"/>
          <w:rtl/>
        </w:rPr>
        <w:t xml:space="preserve"> </w:t>
      </w:r>
      <w:r w:rsidRPr="006571AC">
        <w:rPr>
          <w:rFonts w:hint="eastAsia"/>
          <w:sz w:val="24"/>
          <w:szCs w:val="24"/>
          <w:rtl/>
          <w:lang w:bidi="ar-LB"/>
        </w:rPr>
        <w:t>«</w:t>
      </w:r>
      <w:r w:rsidRPr="006571AC">
        <w:rPr>
          <w:rFonts w:hint="cs"/>
          <w:sz w:val="27"/>
          <w:rtl/>
          <w:lang w:bidi="ar-LB"/>
        </w:rPr>
        <w:t>مفارقة الإسلام والديمقراطية</w:t>
      </w:r>
      <w:r w:rsidRPr="006571AC">
        <w:rPr>
          <w:rFonts w:hint="eastAsia"/>
          <w:sz w:val="24"/>
          <w:szCs w:val="24"/>
          <w:rtl/>
        </w:rPr>
        <w:t>»</w:t>
      </w:r>
      <w:r w:rsidRPr="006571AC">
        <w:rPr>
          <w:rFonts w:hint="cs"/>
          <w:sz w:val="27"/>
          <w:rtl/>
          <w:lang w:bidi="ar-LB"/>
        </w:rPr>
        <w:t xml:space="preserve"> بالقول: </w:t>
      </w:r>
      <w:r w:rsidRPr="006571AC">
        <w:rPr>
          <w:rFonts w:hint="eastAsia"/>
          <w:sz w:val="24"/>
          <w:szCs w:val="24"/>
          <w:rtl/>
          <w:lang w:bidi="ar-LB"/>
        </w:rPr>
        <w:t>«</w:t>
      </w:r>
      <w:r w:rsidRPr="006571AC">
        <w:rPr>
          <w:rFonts w:hint="cs"/>
          <w:sz w:val="27"/>
          <w:rtl/>
          <w:lang w:bidi="ar-LB"/>
        </w:rPr>
        <w:t>إن أحد الأسس المعرفية للديمقراطية هو غموض الحقيقة وتوزّعها على البشريّة جمعاء</w:t>
      </w:r>
      <w:r w:rsidRPr="006571AC">
        <w:rPr>
          <w:rFonts w:hint="eastAsia"/>
          <w:sz w:val="24"/>
          <w:szCs w:val="24"/>
          <w:rtl/>
        </w:rPr>
        <w:t>»</w:t>
      </w:r>
      <w:r w:rsidRPr="006571AC">
        <w:rPr>
          <w:rFonts w:hint="cs"/>
          <w:sz w:val="27"/>
          <w:rtl/>
          <w:lang w:bidi="ar-LB"/>
        </w:rPr>
        <w:t xml:space="preserve">؛ أما الإسلام فإنه يعتبر نفسه </w:t>
      </w:r>
      <w:r w:rsidRPr="006571AC">
        <w:rPr>
          <w:rFonts w:hint="eastAsia"/>
          <w:sz w:val="24"/>
          <w:szCs w:val="24"/>
          <w:rtl/>
          <w:lang w:bidi="ar-LB"/>
        </w:rPr>
        <w:t>«</w:t>
      </w:r>
      <w:r w:rsidRPr="006571AC">
        <w:rPr>
          <w:rFonts w:hint="cs"/>
          <w:sz w:val="27"/>
          <w:rtl/>
          <w:lang w:bidi="ar-LB"/>
        </w:rPr>
        <w:t>مظهر الحقّ والحقيقة، ويعتبر سواه من الأديان والمذاهب تجلّياً للكفر والشرك والضلال</w:t>
      </w:r>
      <w:r w:rsidRPr="006571AC">
        <w:rPr>
          <w:rFonts w:hint="eastAsia"/>
          <w:sz w:val="24"/>
          <w:szCs w:val="24"/>
          <w:rtl/>
        </w:rPr>
        <w:t>»</w:t>
      </w:r>
      <w:r w:rsidRPr="006571AC">
        <w:rPr>
          <w:rFonts w:hint="cs"/>
          <w:sz w:val="27"/>
          <w:rtl/>
          <w:lang w:bidi="ar-LB"/>
        </w:rPr>
        <w:t xml:space="preserve">، لذلك </w:t>
      </w:r>
      <w:r w:rsidRPr="006571AC">
        <w:rPr>
          <w:rFonts w:hint="eastAsia"/>
          <w:sz w:val="24"/>
          <w:szCs w:val="24"/>
          <w:rtl/>
          <w:lang w:bidi="ar-LB"/>
        </w:rPr>
        <w:t>«</w:t>
      </w:r>
      <w:r w:rsidRPr="006571AC">
        <w:rPr>
          <w:rFonts w:hint="cs"/>
          <w:sz w:val="27"/>
          <w:rtl/>
          <w:lang w:bidi="ar-LB"/>
        </w:rPr>
        <w:t>لن يكون مكانٌ للحكم الديمقراطي</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39"/>
      </w:r>
      <w:r w:rsidRPr="006571AC">
        <w:rPr>
          <w:sz w:val="27"/>
          <w:vertAlign w:val="superscript"/>
          <w:rtl/>
          <w:lang w:bidi="ar-LB"/>
        </w:rPr>
        <w:t>)</w:t>
      </w:r>
      <w:r w:rsidRPr="006571AC">
        <w:rPr>
          <w:rFonts w:hint="cs"/>
          <w:sz w:val="27"/>
          <w:rtl/>
          <w:lang w:bidi="ar-LB"/>
        </w:rPr>
        <w:t>. فهم هذه المجموعة لملاك قبول الديمقراطية والرجوع إلى الرأي العامّ هو الوصول إلى الحقيقة أيضاً.</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ومن الواضح، بناءً على هذا الاستدلال، أن أيّ فردٍ أو جماعةٍ توصّلوا إلى حكمٍ عقليّ وعلميّ واضح حول أيّ موضوعٍ سوف يعتبرون أن تطبيق الديمقراطية وأخذ آراء الناس حول ذلك الموضوع أمرٌ عبثيّ لا معنى له؛ لأن مبدأ وفرضية الديمقراطية </w:t>
      </w:r>
      <w:r w:rsidRPr="006571AC">
        <w:rPr>
          <w:rFonts w:hint="eastAsia"/>
          <w:sz w:val="24"/>
          <w:szCs w:val="24"/>
          <w:rtl/>
          <w:lang w:bidi="ar-LB"/>
        </w:rPr>
        <w:t>«</w:t>
      </w:r>
      <w:r w:rsidRPr="006571AC">
        <w:rPr>
          <w:rFonts w:hint="cs"/>
          <w:sz w:val="27"/>
          <w:rtl/>
          <w:lang w:bidi="ar-LB"/>
        </w:rPr>
        <w:t>عدم وضوح الحقيقة</w:t>
      </w:r>
      <w:r w:rsidRPr="006571AC">
        <w:rPr>
          <w:rFonts w:hint="eastAsia"/>
          <w:sz w:val="24"/>
          <w:szCs w:val="24"/>
          <w:rtl/>
        </w:rPr>
        <w:t>»</w:t>
      </w:r>
      <w:r w:rsidRPr="006571AC">
        <w:rPr>
          <w:rFonts w:hint="cs"/>
          <w:sz w:val="27"/>
          <w:rtl/>
          <w:lang w:bidi="ar-LB"/>
        </w:rPr>
        <w:t>. وعلى هذا الأساس يجب على المطالبين بالديمقراطية إمّا أن يعترفوا بأنهم لم يتوصّلوا إلى أيّ حقيقةٍ واضحة، وأنه لا يمكن الدفاع عن حقوق الإنسان وسواها من العناوين التي يدَّعيها العالم الحديث، ولا يمكن إثباتها علميّاً؛ أو أن يقرِّروا إمكان الدفاع عن هذه الأمور، وإثباتها علميّاً، ولكنْ لا يمكن تطبيق الديمقراطية عليها.</w:t>
      </w:r>
    </w:p>
    <w:p w:rsidR="003D31C4" w:rsidRPr="006571AC" w:rsidRDefault="008C542A" w:rsidP="00706E68">
      <w:pPr>
        <w:tabs>
          <w:tab w:val="right" w:pos="6930"/>
        </w:tabs>
        <w:suppressAutoHyphens/>
        <w:rPr>
          <w:sz w:val="27"/>
          <w:rtl/>
          <w:lang w:bidi="ar-LB"/>
        </w:rPr>
      </w:pPr>
      <w:r w:rsidRPr="006571AC">
        <w:rPr>
          <w:rFonts w:hint="cs"/>
          <w:sz w:val="27"/>
          <w:rtl/>
          <w:lang w:bidi="ar-LB"/>
        </w:rPr>
        <w:t>وهذا تهافتٌ واضح تقع فيه هذه المجموعة من المدافعين عن الديمقراطية وسيادة رأي الأكثرية بناءً على مبدأ كشف الحقيقة</w:t>
      </w:r>
      <w:r w:rsidR="003D31C4"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وقد تحد</w:t>
      </w:r>
      <w:r w:rsidR="003D31C4" w:rsidRPr="006571AC">
        <w:rPr>
          <w:rFonts w:hint="cs"/>
          <w:sz w:val="27"/>
          <w:rtl/>
          <w:lang w:bidi="ar-LB"/>
        </w:rPr>
        <w:t>َّ</w:t>
      </w:r>
      <w:r w:rsidRPr="006571AC">
        <w:rPr>
          <w:sz w:val="27"/>
          <w:rtl/>
          <w:lang w:bidi="ar-LB"/>
        </w:rPr>
        <w:t xml:space="preserve">ثنا فيما سبق </w:t>
      </w:r>
      <w:r w:rsidRPr="006571AC">
        <w:rPr>
          <w:rFonts w:hint="cs"/>
          <w:sz w:val="27"/>
          <w:rtl/>
          <w:lang w:bidi="ar-LB"/>
        </w:rPr>
        <w:t>عن</w:t>
      </w:r>
      <w:r w:rsidRPr="006571AC">
        <w:rPr>
          <w:sz w:val="27"/>
          <w:rtl/>
          <w:lang w:bidi="ar-LB"/>
        </w:rPr>
        <w:t xml:space="preserve"> هذا التحد</w:t>
      </w:r>
      <w:r w:rsidR="003D31C4" w:rsidRPr="006571AC">
        <w:rPr>
          <w:rFonts w:hint="cs"/>
          <w:sz w:val="27"/>
          <w:rtl/>
          <w:lang w:bidi="ar-LB"/>
        </w:rPr>
        <w:t>ّ</w:t>
      </w:r>
      <w:r w:rsidRPr="006571AC">
        <w:rPr>
          <w:sz w:val="27"/>
          <w:rtl/>
          <w:lang w:bidi="ar-LB"/>
        </w:rPr>
        <w:t>ي المهم</w:t>
      </w:r>
      <w:r w:rsidR="003D31C4" w:rsidRPr="006571AC">
        <w:rPr>
          <w:rFonts w:hint="cs"/>
          <w:sz w:val="27"/>
          <w:rtl/>
          <w:lang w:bidi="ar-LB"/>
        </w:rPr>
        <w:t>ّ</w:t>
      </w:r>
      <w:r w:rsidRPr="006571AC">
        <w:rPr>
          <w:sz w:val="27"/>
          <w:rtl/>
          <w:lang w:bidi="ar-LB"/>
        </w:rPr>
        <w:t xml:space="preserve"> للعالم الحديث تحت عنوان </w:t>
      </w:r>
      <w:r w:rsidRPr="006571AC">
        <w:rPr>
          <w:sz w:val="24"/>
          <w:szCs w:val="24"/>
          <w:rtl/>
          <w:lang w:bidi="ar-LB"/>
        </w:rPr>
        <w:t>«</w:t>
      </w:r>
      <w:r w:rsidRPr="006571AC">
        <w:rPr>
          <w:sz w:val="27"/>
          <w:rtl/>
          <w:lang w:bidi="ar-LB"/>
        </w:rPr>
        <w:t>الحدّان الأدنى والأقصى من الديمقراطية</w:t>
      </w:r>
      <w:r w:rsidRPr="006571AC">
        <w:rPr>
          <w:sz w:val="24"/>
          <w:szCs w:val="24"/>
          <w:rtl/>
          <w:lang w:bidi="ar-LB"/>
        </w:rPr>
        <w:t>»</w:t>
      </w:r>
      <w:r w:rsidRPr="006571AC">
        <w:rPr>
          <w:sz w:val="27"/>
          <w:rtl/>
          <w:lang w:bidi="ar-LB"/>
        </w:rPr>
        <w:t xml:space="preserve"> و</w:t>
      </w:r>
      <w:r w:rsidRPr="006571AC">
        <w:rPr>
          <w:sz w:val="24"/>
          <w:szCs w:val="24"/>
          <w:rtl/>
          <w:lang w:bidi="ar-LB"/>
        </w:rPr>
        <w:t>«</w:t>
      </w:r>
      <w:r w:rsidRPr="006571AC">
        <w:rPr>
          <w:sz w:val="27"/>
          <w:rtl/>
          <w:lang w:bidi="ar-LB"/>
        </w:rPr>
        <w:t>استبداد الأكثري</w:t>
      </w:r>
      <w:r w:rsidR="003D31C4"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لذلك فإن بعض المعاصرين الذين ينادون بالديمقراطية القائمة على كشف الحقيقة قد قيَّدوا من إطلاق الديمقراطية، ويعتقدون أنه في الأمور التي تكون فيها الحقيقة واضحة؛ أو هناك طريقةٌ لتحقيقها من خلال البحث العلميّ، من غير الجائز الرجوع إلى رأي الناس. وفي الحالات التي يتوجَّب فيها الرجوع إلى الرأي العامّ تكون الحقيقة غير واضحة</w:t>
      </w:r>
      <w:r w:rsidRPr="006571AC">
        <w:rPr>
          <w:sz w:val="27"/>
          <w:vertAlign w:val="superscript"/>
          <w:rtl/>
          <w:lang w:bidi="ar-LB"/>
        </w:rPr>
        <w:t>(</w:t>
      </w:r>
      <w:r w:rsidRPr="006571AC">
        <w:rPr>
          <w:rStyle w:val="ac"/>
          <w:sz w:val="27"/>
          <w:rtl/>
          <w:lang w:bidi="ar-LB"/>
        </w:rPr>
        <w:endnoteReference w:id="40"/>
      </w:r>
      <w:r w:rsidRPr="006571AC">
        <w:rPr>
          <w:sz w:val="27"/>
          <w:vertAlign w:val="superscript"/>
          <w:rtl/>
          <w:lang w:bidi="ar-LB"/>
        </w:rPr>
        <w:t>)</w:t>
      </w:r>
      <w:r w:rsidRPr="006571AC">
        <w:rPr>
          <w:rFonts w:hint="cs"/>
          <w:sz w:val="27"/>
          <w:rtl/>
          <w:lang w:bidi="ar-LB"/>
        </w:rPr>
        <w:t>.</w:t>
      </w:r>
    </w:p>
    <w:p w:rsidR="008C542A" w:rsidRPr="006571AC" w:rsidRDefault="00731867" w:rsidP="00706E68">
      <w:pPr>
        <w:tabs>
          <w:tab w:val="right" w:pos="6930"/>
        </w:tabs>
        <w:suppressAutoHyphens/>
        <w:rPr>
          <w:sz w:val="27"/>
          <w:rtl/>
          <w:lang w:bidi="ar-LB"/>
        </w:rPr>
      </w:pPr>
      <w:r w:rsidRPr="006571AC">
        <w:rPr>
          <w:sz w:val="27"/>
          <w:rtl/>
          <w:lang w:bidi="ar-LB"/>
        </w:rPr>
        <w:t>إذن</w:t>
      </w:r>
      <w:r w:rsidR="008C542A" w:rsidRPr="006571AC">
        <w:rPr>
          <w:rFonts w:hint="cs"/>
          <w:sz w:val="27"/>
          <w:rtl/>
          <w:lang w:bidi="ar-LB"/>
        </w:rPr>
        <w:t>،</w:t>
      </w:r>
      <w:r w:rsidR="008C542A" w:rsidRPr="006571AC">
        <w:rPr>
          <w:sz w:val="27"/>
          <w:rtl/>
          <w:lang w:bidi="ar-LB"/>
        </w:rPr>
        <w:t xml:space="preserve"> فالذين ينادون بالديمقراطية القائمة على كشف الحقيقة</w:t>
      </w:r>
      <w:r w:rsidR="003D31C4" w:rsidRPr="006571AC">
        <w:rPr>
          <w:rFonts w:hint="cs"/>
          <w:sz w:val="27"/>
          <w:rtl/>
          <w:lang w:bidi="ar-LB"/>
        </w:rPr>
        <w:t>؛</w:t>
      </w:r>
      <w:r w:rsidR="008C542A" w:rsidRPr="006571AC">
        <w:rPr>
          <w:sz w:val="27"/>
          <w:rtl/>
          <w:lang w:bidi="ar-LB"/>
        </w:rPr>
        <w:t xml:space="preserve"> إما أنهم بن</w:t>
      </w:r>
      <w:r w:rsidR="003D31C4" w:rsidRPr="006571AC">
        <w:rPr>
          <w:rFonts w:hint="cs"/>
          <w:sz w:val="27"/>
          <w:rtl/>
          <w:lang w:bidi="ar-LB"/>
        </w:rPr>
        <w:t>َ</w:t>
      </w:r>
      <w:r w:rsidR="008C542A" w:rsidRPr="006571AC">
        <w:rPr>
          <w:sz w:val="27"/>
          <w:rtl/>
          <w:lang w:bidi="ar-LB"/>
        </w:rPr>
        <w:t>و</w:t>
      </w:r>
      <w:r w:rsidR="003D31C4" w:rsidRPr="006571AC">
        <w:rPr>
          <w:rFonts w:hint="cs"/>
          <w:sz w:val="27"/>
          <w:rtl/>
          <w:lang w:bidi="ar-LB"/>
        </w:rPr>
        <w:t>ْ</w:t>
      </w:r>
      <w:r w:rsidR="008C542A" w:rsidRPr="006571AC">
        <w:rPr>
          <w:sz w:val="27"/>
          <w:rtl/>
          <w:lang w:bidi="ar-LB"/>
        </w:rPr>
        <w:t>ا نظامهم المعرفي على النسبي</w:t>
      </w:r>
      <w:r w:rsidR="003D31C4" w:rsidRPr="006571AC">
        <w:rPr>
          <w:rFonts w:hint="cs"/>
          <w:sz w:val="27"/>
          <w:rtl/>
          <w:lang w:bidi="ar-LB"/>
        </w:rPr>
        <w:t>ّ</w:t>
      </w:r>
      <w:r w:rsidR="008C542A" w:rsidRPr="006571AC">
        <w:rPr>
          <w:sz w:val="27"/>
          <w:rtl/>
          <w:lang w:bidi="ar-LB"/>
        </w:rPr>
        <w:t>ة</w:t>
      </w:r>
      <w:r w:rsidR="003D31C4" w:rsidRPr="006571AC">
        <w:rPr>
          <w:rFonts w:hint="cs"/>
          <w:sz w:val="27"/>
          <w:rtl/>
          <w:lang w:bidi="ar-LB"/>
        </w:rPr>
        <w:t>؛</w:t>
      </w:r>
      <w:r w:rsidR="008C542A" w:rsidRPr="006571AC">
        <w:rPr>
          <w:sz w:val="27"/>
          <w:rtl/>
          <w:lang w:bidi="ar-LB"/>
        </w:rPr>
        <w:t xml:space="preserve"> ليبرروا الرجوع إلى الرأي العام</w:t>
      </w:r>
      <w:r w:rsidR="003D31C4" w:rsidRPr="006571AC">
        <w:rPr>
          <w:rFonts w:hint="cs"/>
          <w:sz w:val="27"/>
          <w:rtl/>
          <w:lang w:bidi="ar-LB"/>
        </w:rPr>
        <w:t>؛</w:t>
      </w:r>
      <w:r w:rsidR="008C542A" w:rsidRPr="006571AC">
        <w:rPr>
          <w:sz w:val="27"/>
          <w:rtl/>
          <w:lang w:bidi="ar-LB"/>
        </w:rPr>
        <w:t xml:space="preserve"> أو أنهم قيَّدوا من إطلاق </w:t>
      </w:r>
      <w:r w:rsidR="008C542A" w:rsidRPr="006571AC">
        <w:rPr>
          <w:sz w:val="27"/>
          <w:rtl/>
          <w:lang w:bidi="ar-LB"/>
        </w:rPr>
        <w:lastRenderedPageBreak/>
        <w:t>الديمقراطية، واعتبروا أن الرجوع إلى الرأي العام محصور</w:t>
      </w:r>
      <w:r w:rsidR="003D31C4" w:rsidRPr="006571AC">
        <w:rPr>
          <w:rFonts w:hint="cs"/>
          <w:sz w:val="27"/>
          <w:rtl/>
          <w:lang w:bidi="ar-LB"/>
        </w:rPr>
        <w:t>ٌ</w:t>
      </w:r>
      <w:r w:rsidR="008C542A" w:rsidRPr="006571AC">
        <w:rPr>
          <w:sz w:val="27"/>
          <w:rtl/>
          <w:lang w:bidi="ar-LB"/>
        </w:rPr>
        <w:t xml:space="preserve"> في الأمور التي تكون فيها الحقيقة مجهولة</w:t>
      </w:r>
      <w:r w:rsidR="003D31C4" w:rsidRPr="006571AC">
        <w:rPr>
          <w:rFonts w:hint="cs"/>
          <w:sz w:val="27"/>
          <w:rtl/>
          <w:lang w:bidi="ar-LB"/>
        </w:rPr>
        <w:t>ً</w:t>
      </w:r>
      <w:r w:rsidR="008C542A"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ومن ناحيةٍ أخرى يعتقد بعضُ معارضي الديمقراطية أيضاً أن أساس الديمقراطية واعتبار رأي الأكثرية هو كشف الحقيقة. وبما أنهم لا يعتبرون أن رأي الأكثرية يمكن أن يؤدّي إلى كشف الحقيقة فإنهم يعتقدون أن الرجوع إلى الرأي العامّ من أجل اتّخاذ القرارات في الأمور الجماعية غير مقبول.</w:t>
      </w:r>
    </w:p>
    <w:p w:rsidR="008C542A" w:rsidRPr="006571AC" w:rsidRDefault="008C542A" w:rsidP="00706E68">
      <w:pPr>
        <w:tabs>
          <w:tab w:val="right" w:pos="6930"/>
        </w:tabs>
        <w:suppressAutoHyphens/>
        <w:rPr>
          <w:sz w:val="27"/>
          <w:rtl/>
          <w:lang w:bidi="ar-LB"/>
        </w:rPr>
      </w:pPr>
      <w:r w:rsidRPr="006571AC">
        <w:rPr>
          <w:rFonts w:hint="cs"/>
          <w:sz w:val="27"/>
          <w:rtl/>
          <w:lang w:bidi="ar-LB"/>
        </w:rPr>
        <w:t>وفي غضون ذلك كان الكثير من المعترضين على اعتبار رأي الأكثرية، وبعض المؤيِّدين لها من بين علماء الدين، يأخذون بعين الاعتبار مبدأ كشف الحقيقة كأساسٍ يستدلّون من خلاله على اعتبار رأي الأكثرية أو رفضه.</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خلال الثورة الدستوريّة الإيرانيّة (المشروطة) نشأت خلافاتٌ بين مجموعتين من علماء الدين الشيعة؛ للدفاع عن الدستورية أو معارضتها. وكان أهمّ زعيمٍ للمعارضة الشيخ فضل الله النوري، وأحد القادة المدافعين عن الدستورية في النجف الميرزا محمد حسين النائيني. كان من مطالب الدستوريين تشكيل البرلمان، وكان انتخاب أعضاء البرلمان من قِبَل الشعب على أساس إجراء انتخاباتٍ حُرّة واعتبار رأي الأكثرية، كما استندت القرارات البرلمانية على تصويت النوّاب واعتبار رأي الأكثرية. من هنا كان </w:t>
      </w:r>
      <w:r w:rsidRPr="006571AC">
        <w:rPr>
          <w:rFonts w:hint="eastAsia"/>
          <w:sz w:val="24"/>
          <w:szCs w:val="24"/>
          <w:rtl/>
          <w:lang w:bidi="ar-LB"/>
        </w:rPr>
        <w:t>«</w:t>
      </w:r>
      <w:r w:rsidRPr="006571AC">
        <w:rPr>
          <w:rFonts w:hint="cs"/>
          <w:sz w:val="27"/>
          <w:rtl/>
          <w:lang w:bidi="ar-LB"/>
        </w:rPr>
        <w:t>اعتبار رأي الأكثرية</w:t>
      </w:r>
      <w:r w:rsidRPr="006571AC">
        <w:rPr>
          <w:rFonts w:hint="eastAsia"/>
          <w:sz w:val="24"/>
          <w:szCs w:val="24"/>
          <w:rtl/>
        </w:rPr>
        <w:t>»</w:t>
      </w:r>
      <w:r w:rsidRPr="006571AC">
        <w:rPr>
          <w:rFonts w:hint="cs"/>
          <w:sz w:val="27"/>
          <w:rtl/>
          <w:lang w:bidi="ar-LB"/>
        </w:rPr>
        <w:t xml:space="preserve"> من نقاط الخلاف بين المؤيِّدين والمعارضين للدستوريّة. وبحَسَب الشيخ فضل الله النوري فإن </w:t>
      </w:r>
      <w:r w:rsidRPr="006571AC">
        <w:rPr>
          <w:rFonts w:hint="eastAsia"/>
          <w:sz w:val="24"/>
          <w:szCs w:val="24"/>
          <w:rtl/>
          <w:lang w:bidi="ar-LB"/>
        </w:rPr>
        <w:t>«</w:t>
      </w:r>
      <w:r w:rsidRPr="006571AC">
        <w:rPr>
          <w:rFonts w:hint="cs"/>
          <w:sz w:val="27"/>
          <w:rtl/>
          <w:lang w:bidi="ar-LB"/>
        </w:rPr>
        <w:t>اعتبار رأي الأكثرية غيرُ جائزٍ في مذهب الإمامية</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41"/>
      </w:r>
      <w:r w:rsidRPr="006571AC">
        <w:rPr>
          <w:sz w:val="27"/>
          <w:vertAlign w:val="superscript"/>
          <w:rtl/>
          <w:lang w:bidi="ar-LB"/>
        </w:rPr>
        <w:t>)</w:t>
      </w:r>
      <w:r w:rsidRPr="006571AC">
        <w:rPr>
          <w:rFonts w:hint="cs"/>
          <w:sz w:val="27"/>
          <w:rtl/>
          <w:lang w:bidi="ar-LB"/>
        </w:rPr>
        <w:t xml:space="preserve">. </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لم يقبَلْ النائيني هذا الرأي، وقال في جوابه: إن أساس الحكم في الإسلام قائمٌ على الشورى. وإذا اختلف أطراف الشورى فيما بينهم فإن أكثرية الآراء تكون </w:t>
      </w:r>
      <w:r w:rsidRPr="006571AC">
        <w:rPr>
          <w:rFonts w:hint="eastAsia"/>
          <w:sz w:val="24"/>
          <w:szCs w:val="24"/>
          <w:rtl/>
          <w:lang w:bidi="ar-LB"/>
        </w:rPr>
        <w:t>«</w:t>
      </w:r>
      <w:r w:rsidRPr="006571AC">
        <w:rPr>
          <w:rFonts w:hint="cs"/>
          <w:sz w:val="27"/>
          <w:rtl/>
          <w:lang w:bidi="ar-LB"/>
        </w:rPr>
        <w:t>أقوى المرجِّحات النوعيّة</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42"/>
      </w:r>
      <w:r w:rsidRPr="006571AC">
        <w:rPr>
          <w:sz w:val="27"/>
          <w:vertAlign w:val="superscript"/>
          <w:rtl/>
          <w:lang w:bidi="ar-LB"/>
        </w:rPr>
        <w:t>)</w:t>
      </w:r>
      <w:r w:rsidRPr="006571AC">
        <w:rPr>
          <w:rFonts w:hint="cs"/>
          <w:sz w:val="27"/>
          <w:rtl/>
          <w:lang w:bidi="ar-LB"/>
        </w:rPr>
        <w:t>.</w:t>
      </w:r>
    </w:p>
    <w:p w:rsidR="008C542A" w:rsidRPr="006571AC" w:rsidRDefault="008C542A" w:rsidP="00E16C05">
      <w:pPr>
        <w:tabs>
          <w:tab w:val="right" w:pos="6930"/>
        </w:tabs>
        <w:suppressAutoHyphens/>
        <w:rPr>
          <w:sz w:val="27"/>
          <w:rtl/>
          <w:lang w:bidi="ar-LB"/>
        </w:rPr>
      </w:pPr>
      <w:r w:rsidRPr="006571AC">
        <w:rPr>
          <w:rFonts w:hint="cs"/>
          <w:sz w:val="27"/>
          <w:rtl/>
          <w:lang w:bidi="ar-LB"/>
        </w:rPr>
        <w:t xml:space="preserve">رأي النائيني هذا قائمٌ على الرؤية التي تقول: إن الرجوع </w:t>
      </w:r>
      <w:r w:rsidR="00E16C05" w:rsidRPr="006571AC">
        <w:rPr>
          <w:rFonts w:hint="cs"/>
          <w:sz w:val="27"/>
          <w:rtl/>
          <w:lang w:bidi="ar-LB"/>
        </w:rPr>
        <w:t>إ</w:t>
      </w:r>
      <w:r w:rsidRPr="006571AC">
        <w:rPr>
          <w:rFonts w:hint="cs"/>
          <w:sz w:val="27"/>
          <w:rtl/>
          <w:lang w:bidi="ar-LB"/>
        </w:rPr>
        <w:t>لى الرأي العامّ أو آراء النوّاب المنتخبين من قِبَل عامّة الناس في القرارات الجماعية، وتفضيل رأي الأكثرية على الأقلِّية، إنما يعتمد على كشفه عن الواقع؛ بينما تتمّ الشورى في الحالات التي لا تكون فيها الحقيقة واضحةً، ويسعى المستشار للوصول إلى الحقيقة.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ويمكن القول؛ لتوضيح رأي النائيني: إن سيرة العقلاء تنصّ على أنه في الحالات التي يكونون فيها جاهلين بأمرٍ ما، ويحتاجون للرجوع إلى العالم، ولكنّ العلماء </w:t>
      </w:r>
      <w:r w:rsidRPr="006571AC">
        <w:rPr>
          <w:rFonts w:hint="cs"/>
          <w:sz w:val="27"/>
          <w:rtl/>
          <w:lang w:bidi="ar-LB"/>
        </w:rPr>
        <w:lastRenderedPageBreak/>
        <w:t xml:space="preserve">وأهل الاختصاص أيضاً مختلفون في ذلك الموضوع، فإنهم </w:t>
      </w:r>
      <w:r w:rsidRPr="006571AC">
        <w:rPr>
          <w:sz w:val="27"/>
          <w:rtl/>
          <w:lang w:bidi="ar-LB"/>
        </w:rPr>
        <w:t>ـ</w:t>
      </w:r>
      <w:r w:rsidRPr="006571AC">
        <w:rPr>
          <w:rFonts w:hint="cs"/>
          <w:sz w:val="27"/>
          <w:rtl/>
          <w:lang w:bidi="ar-LB"/>
        </w:rPr>
        <w:t xml:space="preserve"> أي العقلاء </w:t>
      </w:r>
      <w:r w:rsidRPr="006571AC">
        <w:rPr>
          <w:sz w:val="27"/>
          <w:rtl/>
          <w:lang w:bidi="ar-LB"/>
        </w:rPr>
        <w:t>ـ</w:t>
      </w:r>
      <w:r w:rsidRPr="006571AC">
        <w:rPr>
          <w:rFonts w:hint="cs"/>
          <w:sz w:val="27"/>
          <w:rtl/>
          <w:lang w:bidi="ar-LB"/>
        </w:rPr>
        <w:t xml:space="preserve"> يجعلون من رأي أكثرية العلماء مرجِّحاً ظنّياً لتقوية أحد الأقوال، مثل: المريض الذي يختلف الأطباء في طريقة علاجه، ولا خبرة للمريض أيضاً في أمور الطبّ، فإنه يختار رأي أكثرية الأطباء، فهو الاحتمال الأرجح بالنسبة لشخصٍ غير متخصِّص. كما سيأتي بحث رأي </w:t>
      </w:r>
      <w:r w:rsidRPr="006571AC">
        <w:rPr>
          <w:rFonts w:hint="eastAsia"/>
          <w:sz w:val="27"/>
          <w:rtl/>
          <w:lang w:bidi="ar-LB"/>
        </w:rPr>
        <w:t>النائيني</w:t>
      </w:r>
      <w:r w:rsidRPr="006571AC">
        <w:rPr>
          <w:rFonts w:hint="cs"/>
          <w:sz w:val="27"/>
          <w:rtl/>
          <w:lang w:bidi="ar-LB"/>
        </w:rPr>
        <w:t xml:space="preserve"> فيما بعد.</w:t>
      </w:r>
    </w:p>
    <w:p w:rsidR="008C542A" w:rsidRPr="006571AC" w:rsidRDefault="008C542A" w:rsidP="00706E68">
      <w:pPr>
        <w:tabs>
          <w:tab w:val="right" w:pos="6930"/>
        </w:tabs>
        <w:suppressAutoHyphens/>
        <w:rPr>
          <w:sz w:val="27"/>
          <w:rtl/>
          <w:lang w:bidi="ar-LB"/>
        </w:rPr>
      </w:pPr>
      <w:r w:rsidRPr="006571AC">
        <w:rPr>
          <w:rFonts w:hint="cs"/>
          <w:sz w:val="27"/>
          <w:rtl/>
          <w:lang w:bidi="ar-LB"/>
        </w:rPr>
        <w:t>إن أكثر الفقهاء وعلماء الإسلام المعاصرين الذين تناولوا مسألة الحكومة في الإسلام لا يرَوْن أن رأي الأكثرية معتبرٌ على أساس كشف الحقيقة. يعتبر العلاّمة السيد محمد حسين الطباطبائي أن الإسلام يعارض اتّباع رأي الأكثرية والديمقراطية. ويستدلّ على ادّعائه بهذه النقطة، وهي أن الإسلام يدافع عن اتّباع الحقّ، ورأي أكثرية الناس في كثيرٍ من الأحيان لا يتوافق مع الحقّ</w:t>
      </w:r>
      <w:r w:rsidRPr="006571AC">
        <w:rPr>
          <w:sz w:val="27"/>
          <w:vertAlign w:val="superscript"/>
          <w:rtl/>
          <w:lang w:bidi="ar-LB"/>
        </w:rPr>
        <w:t>(</w:t>
      </w:r>
      <w:r w:rsidRPr="006571AC">
        <w:rPr>
          <w:rStyle w:val="ac"/>
          <w:sz w:val="27"/>
          <w:rtl/>
          <w:lang w:bidi="ar-LB"/>
        </w:rPr>
        <w:endnoteReference w:id="43"/>
      </w:r>
      <w:r w:rsidRPr="006571AC">
        <w:rPr>
          <w:sz w:val="27"/>
          <w:vertAlign w:val="superscript"/>
          <w:rtl/>
          <w:lang w:bidi="ar-LB"/>
        </w:rPr>
        <w:t>)</w:t>
      </w:r>
      <w:r w:rsidRPr="006571AC">
        <w:rPr>
          <w:rFonts w:hint="cs"/>
          <w:sz w:val="27"/>
          <w:rtl/>
          <w:lang w:bidi="ar-LB"/>
        </w:rPr>
        <w:t>.</w:t>
      </w:r>
    </w:p>
    <w:p w:rsidR="008C542A" w:rsidRPr="006571AC" w:rsidRDefault="008C542A" w:rsidP="00E16C05">
      <w:pPr>
        <w:tabs>
          <w:tab w:val="right" w:pos="6930"/>
        </w:tabs>
        <w:suppressAutoHyphens/>
        <w:rPr>
          <w:sz w:val="27"/>
          <w:rtl/>
          <w:lang w:bidi="ar-LB"/>
        </w:rPr>
      </w:pPr>
      <w:r w:rsidRPr="006571AC">
        <w:rPr>
          <w:rFonts w:hint="cs"/>
          <w:sz w:val="27"/>
          <w:rtl/>
          <w:lang w:bidi="ar-LB"/>
        </w:rPr>
        <w:t>هذه الطريقة من الاستدلال تقول بوضوحٍ: ح</w:t>
      </w:r>
      <w:r w:rsidR="00E16C05" w:rsidRPr="006571AC">
        <w:rPr>
          <w:rFonts w:hint="cs"/>
          <w:sz w:val="27"/>
          <w:rtl/>
          <w:lang w:bidi="ar-LB"/>
        </w:rPr>
        <w:t>َ</w:t>
      </w:r>
      <w:r w:rsidRPr="006571AC">
        <w:rPr>
          <w:rFonts w:hint="cs"/>
          <w:sz w:val="27"/>
          <w:rtl/>
          <w:lang w:bidi="ar-LB"/>
        </w:rPr>
        <w:t>س</w:t>
      </w:r>
      <w:r w:rsidR="00E16C05" w:rsidRPr="006571AC">
        <w:rPr>
          <w:rFonts w:hint="cs"/>
          <w:sz w:val="27"/>
          <w:rtl/>
          <w:lang w:bidi="ar-LB"/>
        </w:rPr>
        <w:t>ْ</w:t>
      </w:r>
      <w:r w:rsidRPr="006571AC">
        <w:rPr>
          <w:rFonts w:hint="cs"/>
          <w:sz w:val="27"/>
          <w:rtl/>
          <w:lang w:bidi="ar-LB"/>
        </w:rPr>
        <w:t xml:space="preserve">ب رأيه، بما أن رأي </w:t>
      </w:r>
      <w:r w:rsidR="00E16C05" w:rsidRPr="006571AC">
        <w:rPr>
          <w:rFonts w:hint="cs"/>
          <w:sz w:val="27"/>
          <w:rtl/>
          <w:lang w:bidi="ar-LB"/>
        </w:rPr>
        <w:t xml:space="preserve">الأكثرية </w:t>
      </w:r>
      <w:r w:rsidRPr="006571AC">
        <w:rPr>
          <w:rFonts w:hint="cs"/>
          <w:sz w:val="27"/>
          <w:rtl/>
          <w:lang w:bidi="ar-LB"/>
        </w:rPr>
        <w:t>لا يكشف عن الحقيقة فهو فاقدٌ للاعتبار.</w:t>
      </w:r>
    </w:p>
    <w:p w:rsidR="008C542A" w:rsidRPr="006571AC" w:rsidRDefault="008C542A" w:rsidP="00706E68">
      <w:pPr>
        <w:tabs>
          <w:tab w:val="right" w:pos="6930"/>
        </w:tabs>
        <w:suppressAutoHyphens/>
        <w:rPr>
          <w:sz w:val="27"/>
          <w:rtl/>
          <w:lang w:bidi="ar-LB"/>
        </w:rPr>
      </w:pPr>
      <w:r w:rsidRPr="006571AC">
        <w:rPr>
          <w:sz w:val="27"/>
          <w:rtl/>
          <w:lang w:bidi="ar-LB"/>
        </w:rPr>
        <w:t xml:space="preserve">يقول الشيخ لطف الله الصافي </w:t>
      </w:r>
      <w:r w:rsidRPr="006571AC">
        <w:rPr>
          <w:rFonts w:ascii="Mosawi" w:eastAsiaTheme="minorHAnsi" w:hAnsi="Mosawi" w:cs="Abz-3 (Yagut)"/>
          <w:sz w:val="24"/>
          <w:szCs w:val="24"/>
          <w:rtl/>
        </w:rPr>
        <w:t>الگلبايگاني</w:t>
      </w:r>
      <w:r w:rsidRPr="006571AC">
        <w:rPr>
          <w:sz w:val="27"/>
          <w:rtl/>
          <w:lang w:bidi="ar-LB"/>
        </w:rPr>
        <w:t xml:space="preserve">: </w:t>
      </w:r>
      <w:r w:rsidRPr="006571AC">
        <w:rPr>
          <w:sz w:val="24"/>
          <w:szCs w:val="24"/>
          <w:rtl/>
          <w:lang w:bidi="ar-LB"/>
        </w:rPr>
        <w:t>«</w:t>
      </w:r>
      <w:r w:rsidRPr="006571AC">
        <w:rPr>
          <w:sz w:val="27"/>
          <w:rtl/>
          <w:lang w:bidi="ar-LB"/>
        </w:rPr>
        <w:t>من مساوئ الديمقراطية أن رأي الأكثرية</w:t>
      </w:r>
      <w:r w:rsidRPr="006571AC">
        <w:rPr>
          <w:rFonts w:hint="cs"/>
          <w:sz w:val="27"/>
          <w:rtl/>
          <w:lang w:bidi="ar-LB"/>
        </w:rPr>
        <w:t xml:space="preserve"> ـ</w:t>
      </w:r>
      <w:r w:rsidRPr="006571AC">
        <w:rPr>
          <w:sz w:val="27"/>
          <w:rtl/>
          <w:lang w:bidi="ar-LB"/>
        </w:rPr>
        <w:t xml:space="preserve"> سواء كان حزبي</w:t>
      </w:r>
      <w:r w:rsidR="007453F3" w:rsidRPr="006571AC">
        <w:rPr>
          <w:rFonts w:hint="cs"/>
          <w:sz w:val="27"/>
          <w:rtl/>
          <w:lang w:bidi="ar-LB"/>
        </w:rPr>
        <w:t>ّ</w:t>
      </w:r>
      <w:r w:rsidRPr="006571AC">
        <w:rPr>
          <w:rFonts w:hint="cs"/>
          <w:sz w:val="27"/>
          <w:rtl/>
          <w:lang w:bidi="ar-LB"/>
        </w:rPr>
        <w:t>اً</w:t>
      </w:r>
      <w:r w:rsidRPr="006571AC">
        <w:rPr>
          <w:sz w:val="27"/>
          <w:rtl/>
          <w:lang w:bidi="ar-LB"/>
        </w:rPr>
        <w:t xml:space="preserve"> أم غير حزبي</w:t>
      </w:r>
      <w:r w:rsidR="007453F3" w:rsidRPr="006571AC">
        <w:rPr>
          <w:rFonts w:hint="cs"/>
          <w:sz w:val="27"/>
          <w:rtl/>
          <w:lang w:bidi="ar-LB"/>
        </w:rPr>
        <w:t>ّ</w:t>
      </w:r>
      <w:r w:rsidRPr="006571AC">
        <w:rPr>
          <w:rFonts w:hint="cs"/>
          <w:sz w:val="27"/>
          <w:rtl/>
          <w:lang w:bidi="ar-LB"/>
        </w:rPr>
        <w:t xml:space="preserve"> ـ</w:t>
      </w:r>
      <w:r w:rsidRPr="006571AC">
        <w:rPr>
          <w:sz w:val="27"/>
          <w:rtl/>
          <w:lang w:bidi="ar-LB"/>
        </w:rPr>
        <w:t xml:space="preserve"> لا يت</w:t>
      </w:r>
      <w:r w:rsidR="007453F3" w:rsidRPr="006571AC">
        <w:rPr>
          <w:rFonts w:hint="cs"/>
          <w:sz w:val="27"/>
          <w:rtl/>
          <w:lang w:bidi="ar-LB"/>
        </w:rPr>
        <w:t>ّ</w:t>
      </w:r>
      <w:r w:rsidRPr="006571AC">
        <w:rPr>
          <w:sz w:val="27"/>
          <w:rtl/>
          <w:lang w:bidi="ar-LB"/>
        </w:rPr>
        <w:t>فق دائماً مع المصلحة؛ بل غالب</w:t>
      </w:r>
      <w:r w:rsidRPr="006571AC">
        <w:rPr>
          <w:rFonts w:hint="cs"/>
          <w:sz w:val="27"/>
          <w:rtl/>
          <w:lang w:bidi="ar-LB"/>
        </w:rPr>
        <w:t>اً</w:t>
      </w:r>
      <w:r w:rsidRPr="006571AC">
        <w:rPr>
          <w:sz w:val="27"/>
          <w:rtl/>
          <w:lang w:bidi="ar-LB"/>
        </w:rPr>
        <w:t xml:space="preserve"> ما يكون رأي الأقل</w:t>
      </w:r>
      <w:r w:rsidR="007453F3" w:rsidRPr="006571AC">
        <w:rPr>
          <w:rFonts w:hint="cs"/>
          <w:sz w:val="27"/>
          <w:rtl/>
          <w:lang w:bidi="ar-LB"/>
        </w:rPr>
        <w:t>ِّ</w:t>
      </w:r>
      <w:r w:rsidRPr="006571AC">
        <w:rPr>
          <w:sz w:val="27"/>
          <w:rtl/>
          <w:lang w:bidi="ar-LB"/>
        </w:rPr>
        <w:t>ية</w:t>
      </w:r>
      <w:r w:rsidRPr="006571AC">
        <w:rPr>
          <w:sz w:val="27"/>
          <w:lang w:bidi="ar-LB"/>
        </w:rPr>
        <w:t xml:space="preserve"> </w:t>
      </w:r>
      <w:r w:rsidRPr="006571AC">
        <w:rPr>
          <w:sz w:val="27"/>
          <w:rtl/>
          <w:lang w:bidi="ar-LB"/>
        </w:rPr>
        <w:t>أقرب للصواب</w:t>
      </w:r>
      <w:r w:rsidRPr="006571AC">
        <w:rPr>
          <w:sz w:val="27"/>
          <w:rtl/>
        </w:rPr>
        <w:t>،</w:t>
      </w:r>
      <w:r w:rsidRPr="006571AC">
        <w:rPr>
          <w:sz w:val="27"/>
          <w:rtl/>
          <w:lang w:bidi="ar-LB"/>
        </w:rPr>
        <w:t xml:space="preserve"> </w:t>
      </w:r>
      <w:r w:rsidR="007453F3" w:rsidRPr="006571AC">
        <w:rPr>
          <w:rFonts w:hint="cs"/>
          <w:sz w:val="27"/>
          <w:rtl/>
          <w:lang w:bidi="ar-LB"/>
        </w:rPr>
        <w:t>و</w:t>
      </w:r>
      <w:r w:rsidRPr="006571AC">
        <w:rPr>
          <w:sz w:val="27"/>
          <w:rtl/>
          <w:lang w:bidi="ar-LB"/>
        </w:rPr>
        <w:t>خاصّة عندما لا يكونون تابعين لحزب</w:t>
      </w:r>
      <w:r w:rsidR="007453F3" w:rsidRPr="006571AC">
        <w:rPr>
          <w:rFonts w:hint="cs"/>
          <w:sz w:val="27"/>
          <w:rtl/>
          <w:lang w:bidi="ar-LB"/>
        </w:rPr>
        <w:t>ٍ</w:t>
      </w:r>
      <w:r w:rsidRPr="006571AC">
        <w:rPr>
          <w:sz w:val="27"/>
          <w:rtl/>
          <w:lang w:bidi="ar-LB"/>
        </w:rPr>
        <w:t>، أو كانوا أكثر موثوقي</w:t>
      </w:r>
      <w:r w:rsidR="007453F3" w:rsidRPr="006571AC">
        <w:rPr>
          <w:rFonts w:hint="cs"/>
          <w:sz w:val="27"/>
          <w:rtl/>
          <w:lang w:bidi="ar-LB"/>
        </w:rPr>
        <w:t>ّ</w:t>
      </w:r>
      <w:r w:rsidRPr="006571AC">
        <w:rPr>
          <w:sz w:val="27"/>
          <w:rtl/>
          <w:lang w:bidi="ar-LB"/>
        </w:rPr>
        <w:t>ة من حيث الكيفي</w:t>
      </w:r>
      <w:r w:rsidR="007453F3" w:rsidRPr="006571AC">
        <w:rPr>
          <w:rFonts w:hint="cs"/>
          <w:sz w:val="27"/>
          <w:rtl/>
          <w:lang w:bidi="ar-LB"/>
        </w:rPr>
        <w:t>ّ</w:t>
      </w:r>
      <w:r w:rsidRPr="006571AC">
        <w:rPr>
          <w:sz w:val="27"/>
          <w:rtl/>
          <w:lang w:bidi="ar-LB"/>
        </w:rPr>
        <w:t>ة؛ كما لو كانوا مثلاً من المتخص</w:t>
      </w:r>
      <w:r w:rsidR="007453F3" w:rsidRPr="006571AC">
        <w:rPr>
          <w:rFonts w:hint="cs"/>
          <w:sz w:val="27"/>
          <w:rtl/>
          <w:lang w:bidi="ar-LB"/>
        </w:rPr>
        <w:t>ِّ</w:t>
      </w:r>
      <w:r w:rsidRPr="006571AC">
        <w:rPr>
          <w:sz w:val="27"/>
          <w:rtl/>
          <w:lang w:bidi="ar-LB"/>
        </w:rPr>
        <w:t>صين السياسيين والقانونيين</w:t>
      </w:r>
      <w:r w:rsidRPr="006571AC">
        <w:rPr>
          <w:rFonts w:hint="cs"/>
          <w:sz w:val="27"/>
          <w:rtl/>
          <w:lang w:bidi="ar-LB"/>
        </w:rPr>
        <w:t>،</w:t>
      </w:r>
      <w:r w:rsidRPr="006571AC">
        <w:rPr>
          <w:sz w:val="27"/>
          <w:rtl/>
          <w:lang w:bidi="ar-LB"/>
        </w:rPr>
        <w:t xml:space="preserve"> وأبد</w:t>
      </w:r>
      <w:r w:rsidR="007453F3" w:rsidRPr="006571AC">
        <w:rPr>
          <w:rFonts w:hint="cs"/>
          <w:sz w:val="27"/>
          <w:rtl/>
          <w:lang w:bidi="ar-LB"/>
        </w:rPr>
        <w:t>َ</w:t>
      </w:r>
      <w:r w:rsidRPr="006571AC">
        <w:rPr>
          <w:sz w:val="27"/>
          <w:rtl/>
          <w:lang w:bidi="ar-LB"/>
        </w:rPr>
        <w:t>و</w:t>
      </w:r>
      <w:r w:rsidR="007453F3" w:rsidRPr="006571AC">
        <w:rPr>
          <w:rFonts w:hint="cs"/>
          <w:sz w:val="27"/>
          <w:rtl/>
          <w:lang w:bidi="ar-LB"/>
        </w:rPr>
        <w:t>ْ</w:t>
      </w:r>
      <w:r w:rsidRPr="006571AC">
        <w:rPr>
          <w:sz w:val="27"/>
          <w:rtl/>
          <w:lang w:bidi="ar-LB"/>
        </w:rPr>
        <w:t xml:space="preserve">ا </w:t>
      </w:r>
      <w:r w:rsidR="007453F3" w:rsidRPr="006571AC">
        <w:rPr>
          <w:sz w:val="27"/>
          <w:rtl/>
          <w:lang w:bidi="ar-LB"/>
        </w:rPr>
        <w:t>في قضي</w:t>
      </w:r>
      <w:r w:rsidR="007453F3" w:rsidRPr="006571AC">
        <w:rPr>
          <w:rFonts w:hint="cs"/>
          <w:sz w:val="27"/>
          <w:rtl/>
          <w:lang w:bidi="ar-LB"/>
        </w:rPr>
        <w:t>ّ</w:t>
      </w:r>
      <w:r w:rsidR="007453F3" w:rsidRPr="006571AC">
        <w:rPr>
          <w:sz w:val="27"/>
          <w:rtl/>
          <w:lang w:bidi="ar-LB"/>
        </w:rPr>
        <w:t>ة</w:t>
      </w:r>
      <w:r w:rsidR="007453F3" w:rsidRPr="006571AC">
        <w:rPr>
          <w:rFonts w:hint="cs"/>
          <w:sz w:val="27"/>
          <w:rtl/>
          <w:lang w:bidi="ar-LB"/>
        </w:rPr>
        <w:t>ٍ</w:t>
      </w:r>
      <w:r w:rsidR="007453F3" w:rsidRPr="006571AC">
        <w:rPr>
          <w:sz w:val="27"/>
          <w:rtl/>
          <w:lang w:bidi="ar-LB"/>
        </w:rPr>
        <w:t xml:space="preserve"> سياسية أو قانونية </w:t>
      </w:r>
      <w:r w:rsidRPr="006571AC">
        <w:rPr>
          <w:sz w:val="27"/>
          <w:rtl/>
          <w:lang w:bidi="ar-LB"/>
        </w:rPr>
        <w:t>رأي</w:t>
      </w:r>
      <w:r w:rsidRPr="006571AC">
        <w:rPr>
          <w:rFonts w:hint="cs"/>
          <w:sz w:val="27"/>
          <w:rtl/>
          <w:lang w:bidi="ar-LB"/>
        </w:rPr>
        <w:t>اً</w:t>
      </w:r>
      <w:r w:rsidRPr="006571AC">
        <w:rPr>
          <w:sz w:val="27"/>
          <w:rtl/>
          <w:lang w:bidi="ar-LB"/>
        </w:rPr>
        <w:t xml:space="preserve"> مخالف</w:t>
      </w:r>
      <w:r w:rsidRPr="006571AC">
        <w:rPr>
          <w:rFonts w:hint="cs"/>
          <w:sz w:val="27"/>
          <w:rtl/>
          <w:lang w:bidi="ar-LB"/>
        </w:rPr>
        <w:t>اً</w:t>
      </w:r>
      <w:r w:rsidRPr="006571AC">
        <w:rPr>
          <w:sz w:val="27"/>
          <w:rtl/>
          <w:lang w:bidi="ar-LB"/>
        </w:rPr>
        <w:t xml:space="preserve"> لرأي الأكثرية</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44"/>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وأيضاً يعتمد الشيخ ناصر مكارم الشيرازي، في رفضه اعتبار رأي الأكثرية، على مبدأ كشف الحقيقة. وبحَسَب نظره </w:t>
      </w:r>
      <w:r w:rsidRPr="006571AC">
        <w:rPr>
          <w:rFonts w:hint="eastAsia"/>
          <w:sz w:val="24"/>
          <w:szCs w:val="24"/>
          <w:rtl/>
          <w:lang w:bidi="ar-LB"/>
        </w:rPr>
        <w:t>«</w:t>
      </w:r>
      <w:r w:rsidRPr="006571AC">
        <w:rPr>
          <w:rFonts w:hint="cs"/>
          <w:sz w:val="27"/>
          <w:rtl/>
          <w:lang w:bidi="ar-LB"/>
        </w:rPr>
        <w:t>بما أن برامج وأحكام الأنبياء الصادقين خاليةٌ من كلّ ع</w:t>
      </w:r>
      <w:r w:rsidR="00E16C05" w:rsidRPr="006571AC">
        <w:rPr>
          <w:rFonts w:hint="cs"/>
          <w:sz w:val="27"/>
          <w:rtl/>
          <w:lang w:bidi="ar-LB"/>
        </w:rPr>
        <w:t>َ</w:t>
      </w:r>
      <w:r w:rsidRPr="006571AC">
        <w:rPr>
          <w:rFonts w:hint="cs"/>
          <w:sz w:val="27"/>
          <w:rtl/>
          <w:lang w:bidi="ar-LB"/>
        </w:rPr>
        <w:t>ي</w:t>
      </w:r>
      <w:r w:rsidR="00E16C05" w:rsidRPr="006571AC">
        <w:rPr>
          <w:rFonts w:hint="cs"/>
          <w:sz w:val="27"/>
          <w:rtl/>
          <w:lang w:bidi="ar-LB"/>
        </w:rPr>
        <w:t>ْ</w:t>
      </w:r>
      <w:r w:rsidRPr="006571AC">
        <w:rPr>
          <w:rFonts w:hint="cs"/>
          <w:sz w:val="27"/>
          <w:rtl/>
          <w:lang w:bidi="ar-LB"/>
        </w:rPr>
        <w:t>بٍ ونقصٍ وخطأ</w:t>
      </w:r>
      <w:r w:rsidRPr="006571AC">
        <w:rPr>
          <w:rFonts w:hint="eastAsia"/>
          <w:sz w:val="24"/>
          <w:szCs w:val="24"/>
          <w:rtl/>
        </w:rPr>
        <w:t>»</w:t>
      </w:r>
      <w:r w:rsidRPr="006571AC">
        <w:rPr>
          <w:rFonts w:hint="cs"/>
          <w:sz w:val="27"/>
          <w:rtl/>
          <w:lang w:bidi="ar-LB"/>
        </w:rPr>
        <w:t xml:space="preserve">، ومن ناحيةٍ أخرى </w:t>
      </w:r>
      <w:r w:rsidRPr="006571AC">
        <w:rPr>
          <w:rFonts w:hint="eastAsia"/>
          <w:sz w:val="24"/>
          <w:szCs w:val="24"/>
          <w:rtl/>
          <w:lang w:bidi="ar-LB"/>
        </w:rPr>
        <w:t>«</w:t>
      </w:r>
      <w:r w:rsidRPr="006571AC">
        <w:rPr>
          <w:rFonts w:hint="cs"/>
          <w:sz w:val="27"/>
          <w:rtl/>
          <w:lang w:bidi="ar-LB"/>
        </w:rPr>
        <w:t>الأكثرية معرَّضةٌ للخطأ</w:t>
      </w:r>
      <w:r w:rsidRPr="006571AC">
        <w:rPr>
          <w:rFonts w:hint="eastAsia"/>
          <w:sz w:val="24"/>
          <w:szCs w:val="24"/>
          <w:rtl/>
        </w:rPr>
        <w:t>»</w:t>
      </w:r>
      <w:r w:rsidRPr="006571AC">
        <w:rPr>
          <w:rFonts w:hint="cs"/>
          <w:sz w:val="27"/>
          <w:rtl/>
          <w:lang w:bidi="ar-LB"/>
        </w:rPr>
        <w:t>، فالمجتمع المؤمن برسالة الأنبياء لا يرى في نفسه مُلْزَماً باتّباع رأي الأكثرية في سنّ القوانين</w:t>
      </w:r>
      <w:r w:rsidRPr="006571AC">
        <w:rPr>
          <w:rFonts w:hint="eastAsia"/>
          <w:sz w:val="24"/>
          <w:szCs w:val="24"/>
          <w:rtl/>
        </w:rPr>
        <w:t>»</w:t>
      </w:r>
      <w:r w:rsidRPr="006571AC">
        <w:rPr>
          <w:rFonts w:hint="cs"/>
          <w:sz w:val="27"/>
          <w:rtl/>
          <w:lang w:bidi="ar-LB"/>
        </w:rPr>
        <w:t>. وهو يعتقد أن استناد العالم المعاصر على الأكثرية هو في الحقيقة نوعٌ من الإكراه والإلزام الاجتماعي، وحَسَكةٌ في حَلْق المجتمعات</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45"/>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يقول السيد محمد حسين الطهراني: </w:t>
      </w:r>
      <w:r w:rsidRPr="006571AC">
        <w:rPr>
          <w:rFonts w:hint="eastAsia"/>
          <w:sz w:val="24"/>
          <w:szCs w:val="24"/>
          <w:rtl/>
          <w:lang w:bidi="ar-LB"/>
        </w:rPr>
        <w:t>«</w:t>
      </w:r>
      <w:r w:rsidRPr="006571AC">
        <w:rPr>
          <w:rFonts w:hint="cs"/>
          <w:sz w:val="27"/>
          <w:rtl/>
          <w:lang w:bidi="ar-LB"/>
        </w:rPr>
        <w:t>الرجوع إلى الرأي العامّ رجوعٌ إلى الأكثرية الجاهلة وغير المطَّلعة. يجب الرجوع الى أهل الخبرة والمتضلِّعين وأهل اليقين والدراسة</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46"/>
      </w:r>
      <w:r w:rsidRPr="006571AC">
        <w:rPr>
          <w:sz w:val="27"/>
          <w:vertAlign w:val="superscript"/>
          <w:rtl/>
          <w:lang w:bidi="ar-LB"/>
        </w:rPr>
        <w:t>)</w:t>
      </w:r>
      <w:r w:rsidRPr="006571AC">
        <w:rPr>
          <w:rFonts w:hint="cs"/>
          <w:sz w:val="27"/>
          <w:rtl/>
          <w:lang w:bidi="ar-LB"/>
        </w:rPr>
        <w:t xml:space="preserve">. إنه يعتبر أن رأي الأكثرية في انتخاب الحاكم والفقيه في عصر الغيبة </w:t>
      </w:r>
      <w:r w:rsidRPr="006571AC">
        <w:rPr>
          <w:rFonts w:hint="cs"/>
          <w:sz w:val="27"/>
          <w:rtl/>
          <w:lang w:bidi="ar-LB"/>
        </w:rPr>
        <w:lastRenderedPageBreak/>
        <w:t>لا قيمة له</w:t>
      </w:r>
      <w:r w:rsidRPr="006571AC">
        <w:rPr>
          <w:sz w:val="27"/>
          <w:vertAlign w:val="superscript"/>
          <w:rtl/>
          <w:lang w:bidi="ar-LB"/>
        </w:rPr>
        <w:t>(</w:t>
      </w:r>
      <w:r w:rsidRPr="006571AC">
        <w:rPr>
          <w:rStyle w:val="ac"/>
          <w:sz w:val="27"/>
          <w:rtl/>
          <w:lang w:bidi="ar-LB"/>
        </w:rPr>
        <w:endnoteReference w:id="47"/>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وفي قسمٍ آخر من كتابه يبحث بالتفصيل في بعض الآيات القرآنية التي تذمّ الأكثرية</w:t>
      </w:r>
      <w:r w:rsidRPr="006571AC">
        <w:rPr>
          <w:sz w:val="27"/>
          <w:vertAlign w:val="superscript"/>
          <w:rtl/>
          <w:lang w:bidi="ar-LB"/>
        </w:rPr>
        <w:t>(</w:t>
      </w:r>
      <w:r w:rsidRPr="006571AC">
        <w:rPr>
          <w:rStyle w:val="ac"/>
          <w:sz w:val="27"/>
          <w:rtl/>
          <w:lang w:bidi="ar-LB"/>
        </w:rPr>
        <w:endnoteReference w:id="48"/>
      </w:r>
      <w:r w:rsidRPr="006571AC">
        <w:rPr>
          <w:sz w:val="27"/>
          <w:vertAlign w:val="superscript"/>
          <w:rtl/>
          <w:lang w:bidi="ar-LB"/>
        </w:rPr>
        <w:t>)</w:t>
      </w:r>
      <w:r w:rsidRPr="006571AC">
        <w:rPr>
          <w:rFonts w:hint="cs"/>
          <w:sz w:val="27"/>
          <w:rtl/>
          <w:lang w:bidi="ar-LB"/>
        </w:rPr>
        <w:t>. ومن ثمّ يقسِّم الناس إلى: خواصّ؛ وعوامّ. ويوجِّه سؤالاً الى أتباع الديمقراطية الذين يمنحون الحقّ في اختيار الحاكم والإمام لجميع أفراد وجماهير الشعب</w:t>
      </w:r>
      <w:r w:rsidRPr="006571AC">
        <w:rPr>
          <w:rFonts w:hint="eastAsia"/>
          <w:sz w:val="24"/>
          <w:szCs w:val="24"/>
          <w:rtl/>
        </w:rPr>
        <w:t>»</w:t>
      </w:r>
      <w:r w:rsidRPr="006571AC">
        <w:rPr>
          <w:rFonts w:hint="cs"/>
          <w:sz w:val="27"/>
          <w:rtl/>
          <w:lang w:bidi="ar-LB"/>
        </w:rPr>
        <w:t xml:space="preserve">، قائلاً لهم: </w:t>
      </w:r>
      <w:r w:rsidRPr="006571AC">
        <w:rPr>
          <w:rFonts w:hint="eastAsia"/>
          <w:sz w:val="24"/>
          <w:szCs w:val="24"/>
          <w:rtl/>
          <w:lang w:bidi="ar-LB"/>
        </w:rPr>
        <w:t>«</w:t>
      </w:r>
      <w:r w:rsidRPr="006571AC">
        <w:rPr>
          <w:rFonts w:hint="cs"/>
          <w:sz w:val="27"/>
          <w:rtl/>
          <w:lang w:bidi="ar-LB"/>
        </w:rPr>
        <w:t>أنتم تمنحون الحقّ في التصويت بناءً على سواد الناس وتعداد الأفراد، سواء كان أحدهم فاضلاً وعالماً أو جاهلاً وأحمقاً، وسواء كان العقل المفكِّر للبلد أو ذا عقلٍ فارغ. وهذا خطأٌ في منطق العقل والدراية. هذا الإجراء والتقليد يقوِّض قيمة العقل والعقلاء، والعلم والعلماء. وفي ميزان القياس يساوي بين قيمة رأي وتبصُّر الحكيم والحكماء وعلماء الاجتماع ورأي شخصٍ جاهل غير مطَّلع. ويضيع أصحاب الدراية والبصيرة في صفٍّ واحد مع الناس العاديّين جدّاً... ولذلك فإن الذهاب إثر الأكثرية في كلّ مكانٍ باطلٌ. مثلاً: التصويت لأولئك الذين يذهبون إلى مجلس الشورى في الوضع الانتخابي الحالي لا أساس له من القرآن والأخبار</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49"/>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ومن ثمّ فإنه يعتبر أن الطريقة المحمودة في الإسلام هي </w:t>
      </w:r>
      <w:r w:rsidRPr="006571AC">
        <w:rPr>
          <w:rFonts w:hint="eastAsia"/>
          <w:sz w:val="24"/>
          <w:szCs w:val="24"/>
          <w:rtl/>
          <w:lang w:bidi="ar-LB"/>
        </w:rPr>
        <w:t>«</w:t>
      </w:r>
      <w:r w:rsidRPr="006571AC">
        <w:rPr>
          <w:rFonts w:hint="cs"/>
          <w:sz w:val="27"/>
          <w:rtl/>
          <w:lang w:bidi="ar-LB"/>
        </w:rPr>
        <w:t>التشاور مع أهل الحلّ والعقد</w:t>
      </w:r>
      <w:r w:rsidRPr="006571AC">
        <w:rPr>
          <w:rFonts w:hint="eastAsia"/>
          <w:sz w:val="24"/>
          <w:szCs w:val="24"/>
          <w:rtl/>
        </w:rPr>
        <w:t>»</w:t>
      </w:r>
      <w:r w:rsidRPr="006571AC">
        <w:rPr>
          <w:rFonts w:hint="cs"/>
          <w:sz w:val="27"/>
          <w:rtl/>
          <w:lang w:bidi="ar-LB"/>
        </w:rPr>
        <w:t xml:space="preserve">، وليس </w:t>
      </w:r>
      <w:r w:rsidRPr="006571AC">
        <w:rPr>
          <w:rFonts w:hint="eastAsia"/>
          <w:sz w:val="24"/>
          <w:szCs w:val="24"/>
          <w:rtl/>
          <w:lang w:bidi="ar-LB"/>
        </w:rPr>
        <w:t>«</w:t>
      </w:r>
      <w:r w:rsidRPr="006571AC">
        <w:rPr>
          <w:rFonts w:hint="cs"/>
          <w:sz w:val="27"/>
          <w:rtl/>
          <w:lang w:bidi="ar-LB"/>
        </w:rPr>
        <w:t>التشاور مع الأكثرية</w:t>
      </w:r>
      <w:r w:rsidRPr="006571AC">
        <w:rPr>
          <w:rFonts w:hint="eastAsia"/>
          <w:sz w:val="24"/>
          <w:szCs w:val="24"/>
          <w:rtl/>
        </w:rPr>
        <w:t>»</w:t>
      </w:r>
      <w:r w:rsidRPr="006571AC">
        <w:rPr>
          <w:rFonts w:hint="cs"/>
          <w:sz w:val="27"/>
          <w:rtl/>
          <w:lang w:bidi="ar-LB"/>
        </w:rPr>
        <w:t xml:space="preserve">. ولهذا السبب يعتبر أن الصحيح فقط هو رأي أكثرية أهل الخبرة عند الشكّ، كعلامةٍ من أجل كشف الواقع. </w:t>
      </w:r>
      <w:r w:rsidRPr="006571AC">
        <w:rPr>
          <w:sz w:val="27"/>
          <w:rtl/>
          <w:lang w:bidi="ar-LB"/>
        </w:rPr>
        <w:t>ورأيه هذا يشبه رأي النائيني في أن رأي الأكثرية كاشف</w:t>
      </w:r>
      <w:r w:rsidR="007453F3" w:rsidRPr="006571AC">
        <w:rPr>
          <w:rFonts w:hint="cs"/>
          <w:sz w:val="27"/>
          <w:rtl/>
          <w:lang w:bidi="ar-LB"/>
        </w:rPr>
        <w:t>ٌ</w:t>
      </w:r>
      <w:r w:rsidRPr="006571AC">
        <w:rPr>
          <w:sz w:val="27"/>
          <w:rtl/>
          <w:lang w:bidi="ar-LB"/>
        </w:rPr>
        <w:t xml:space="preserve"> ظنّي عن الحقيقة.</w:t>
      </w:r>
      <w:r w:rsidRPr="006571AC">
        <w:rPr>
          <w:rFonts w:hint="cs"/>
          <w:sz w:val="27"/>
          <w:rtl/>
          <w:lang w:bidi="ar-LB"/>
        </w:rPr>
        <w:t xml:space="preserve"> ومن هنا </w:t>
      </w:r>
      <w:r w:rsidRPr="006571AC">
        <w:rPr>
          <w:rFonts w:hint="eastAsia"/>
          <w:sz w:val="24"/>
          <w:szCs w:val="24"/>
          <w:rtl/>
          <w:lang w:bidi="ar-LB"/>
        </w:rPr>
        <w:t>«</w:t>
      </w:r>
      <w:r w:rsidRPr="006571AC">
        <w:rPr>
          <w:rFonts w:hint="cs"/>
          <w:sz w:val="27"/>
          <w:rtl/>
          <w:lang w:bidi="ar-LB"/>
        </w:rPr>
        <w:t>إذا صوَّتَتْ أغلبية مجلس النواب لشيءٍ ما فإن الوليّ الفقيه يستطيع أن يفضِّل رأي الأقلِّية، وإذا صوَّتَ جميع أعضاء البرلمان بالإجماع فيمكنه أن يعارضهم جميعاً، ويختار رأيه</w:t>
      </w:r>
      <w:r w:rsidRPr="006571AC">
        <w:rPr>
          <w:rFonts w:hint="eastAsia"/>
          <w:sz w:val="24"/>
          <w:szCs w:val="24"/>
          <w:rtl/>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ومن ثم يشير إلى طريقة مشورة النبيّ الأكرم</w:t>
      </w:r>
      <w:r w:rsidRPr="006571AC">
        <w:rPr>
          <w:rFonts w:ascii="Mosawi" w:hAnsi="Mosawi" w:cs="Mosawi"/>
          <w:sz w:val="22"/>
          <w:szCs w:val="22"/>
          <w:rtl/>
        </w:rPr>
        <w:t>|</w:t>
      </w:r>
      <w:r w:rsidRPr="006571AC">
        <w:rPr>
          <w:rFonts w:hint="cs"/>
          <w:sz w:val="27"/>
          <w:rtl/>
          <w:lang w:bidi="ar-LB"/>
        </w:rPr>
        <w:t>، فقد كانت عبارة عن مقدّمة</w:t>
      </w:r>
      <w:r w:rsidR="00E16C05" w:rsidRPr="006571AC">
        <w:rPr>
          <w:rFonts w:hint="cs"/>
          <w:sz w:val="27"/>
          <w:rtl/>
          <w:lang w:bidi="ar-LB"/>
        </w:rPr>
        <w:t>ٍ</w:t>
      </w:r>
      <w:r w:rsidRPr="006571AC">
        <w:rPr>
          <w:rFonts w:hint="cs"/>
          <w:sz w:val="27"/>
          <w:rtl/>
          <w:lang w:bidi="ar-LB"/>
        </w:rPr>
        <w:t xml:space="preserve"> لقراره النهائي. </w:t>
      </w:r>
      <w:r w:rsidRPr="006571AC">
        <w:rPr>
          <w:rFonts w:hint="eastAsia"/>
          <w:sz w:val="24"/>
          <w:szCs w:val="24"/>
          <w:rtl/>
          <w:lang w:bidi="ar-LB"/>
        </w:rPr>
        <w:t>«</w:t>
      </w:r>
      <w:r w:rsidRPr="006571AC">
        <w:rPr>
          <w:rFonts w:hint="cs"/>
          <w:sz w:val="27"/>
          <w:rtl/>
          <w:lang w:bidi="ar-LB"/>
        </w:rPr>
        <w:t>فالمشورة ليست تصويتاً واختياراً لرأي الأكثرية، إنما المشورة من أجل أن يكون الموضوع واضحاً بالنسبة إلى الإنسان نفسه، والرأيُ النهائي يكون لذلك الشخص الذي هو صاحب المشورة. وفي مقام الولاية لا يمكن لأيّ شخصٍ أن يساوي الوليّ فكراً ودرجةً، ويجعل من مشورته منافسةً له وفي ميزانٍ واحد</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50"/>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وكلام السيد محمد حسين الطهراني أيض</w:t>
      </w:r>
      <w:r w:rsidRPr="006571AC">
        <w:rPr>
          <w:rFonts w:hint="cs"/>
          <w:sz w:val="27"/>
          <w:rtl/>
          <w:lang w:bidi="ar-LB"/>
        </w:rPr>
        <w:t>اً</w:t>
      </w:r>
      <w:r w:rsidRPr="006571AC">
        <w:rPr>
          <w:sz w:val="27"/>
          <w:rtl/>
          <w:lang w:bidi="ar-LB"/>
        </w:rPr>
        <w:t xml:space="preserve"> يدلّ بوضوح</w:t>
      </w:r>
      <w:r w:rsidR="007453F3" w:rsidRPr="006571AC">
        <w:rPr>
          <w:rFonts w:hint="cs"/>
          <w:sz w:val="27"/>
          <w:rtl/>
          <w:lang w:bidi="ar-LB"/>
        </w:rPr>
        <w:t>ٍ</w:t>
      </w:r>
      <w:r w:rsidRPr="006571AC">
        <w:rPr>
          <w:sz w:val="27"/>
          <w:rtl/>
          <w:lang w:bidi="ar-LB"/>
        </w:rPr>
        <w:t xml:space="preserve"> على أن رأيه في الرجوع للرأي العام قائم</w:t>
      </w:r>
      <w:r w:rsidR="007453F3" w:rsidRPr="006571AC">
        <w:rPr>
          <w:rFonts w:hint="cs"/>
          <w:sz w:val="27"/>
          <w:rtl/>
          <w:lang w:bidi="ar-LB"/>
        </w:rPr>
        <w:t>ٌ</w:t>
      </w:r>
      <w:r w:rsidRPr="006571AC">
        <w:rPr>
          <w:sz w:val="27"/>
          <w:rtl/>
          <w:lang w:bidi="ar-LB"/>
        </w:rPr>
        <w:t xml:space="preserve"> على مبدأ كشف الحقيقة، وأنه لم ي</w:t>
      </w:r>
      <w:r w:rsidR="007453F3" w:rsidRPr="006571AC">
        <w:rPr>
          <w:rFonts w:hint="cs"/>
          <w:sz w:val="27"/>
          <w:rtl/>
          <w:lang w:bidi="ar-LB"/>
        </w:rPr>
        <w:t>ُبْدِ</w:t>
      </w:r>
      <w:r w:rsidRPr="006571AC">
        <w:rPr>
          <w:sz w:val="27"/>
          <w:rtl/>
          <w:lang w:bidi="ar-LB"/>
        </w:rPr>
        <w:t xml:space="preserve"> أي</w:t>
      </w:r>
      <w:r w:rsidR="007453F3" w:rsidRPr="006571AC">
        <w:rPr>
          <w:rFonts w:hint="cs"/>
          <w:sz w:val="27"/>
          <w:rtl/>
          <w:lang w:bidi="ar-LB"/>
        </w:rPr>
        <w:t>ّ</w:t>
      </w:r>
      <w:r w:rsidRPr="006571AC">
        <w:rPr>
          <w:sz w:val="27"/>
          <w:rtl/>
          <w:lang w:bidi="ar-LB"/>
        </w:rPr>
        <w:t xml:space="preserve"> اهتمام</w:t>
      </w:r>
      <w:r w:rsidR="007453F3" w:rsidRPr="006571AC">
        <w:rPr>
          <w:rFonts w:hint="cs"/>
          <w:sz w:val="27"/>
          <w:rtl/>
          <w:lang w:bidi="ar-LB"/>
        </w:rPr>
        <w:t>ٍ</w:t>
      </w:r>
      <w:r w:rsidRPr="006571AC">
        <w:rPr>
          <w:sz w:val="27"/>
          <w:rtl/>
          <w:lang w:bidi="ar-LB"/>
        </w:rPr>
        <w:t xml:space="preserve"> بمبدأ حق</w:t>
      </w:r>
      <w:r w:rsidR="007453F3" w:rsidRPr="006571AC">
        <w:rPr>
          <w:rFonts w:hint="cs"/>
          <w:sz w:val="27"/>
          <w:rtl/>
          <w:lang w:bidi="ar-LB"/>
        </w:rPr>
        <w:t>ّ</w:t>
      </w:r>
      <w:r w:rsidRPr="006571AC">
        <w:rPr>
          <w:sz w:val="27"/>
          <w:rtl/>
          <w:lang w:bidi="ar-LB"/>
        </w:rPr>
        <w:t xml:space="preserve"> تقرير المصير.</w:t>
      </w:r>
    </w:p>
    <w:p w:rsidR="008C542A" w:rsidRPr="006571AC" w:rsidRDefault="008C542A" w:rsidP="00E16C05">
      <w:pPr>
        <w:tabs>
          <w:tab w:val="right" w:pos="6930"/>
        </w:tabs>
        <w:suppressAutoHyphens/>
        <w:rPr>
          <w:sz w:val="27"/>
          <w:rtl/>
          <w:lang w:bidi="ar-LB"/>
        </w:rPr>
      </w:pPr>
      <w:r w:rsidRPr="006571AC">
        <w:rPr>
          <w:rFonts w:hint="cs"/>
          <w:sz w:val="27"/>
          <w:rtl/>
          <w:lang w:bidi="ar-LB"/>
        </w:rPr>
        <w:lastRenderedPageBreak/>
        <w:t xml:space="preserve">بعد إشكاله على الديمقراطية الغربية بأنها تقف بشكلٍ مطلق مع رأي الأكثرية، الأمر الذي جعلها تشرِّع أكثر القضايا اللاأخلاقية، يقدِّم أحد المعاصرين الإسلام على أنه معارِضٌ لهكذا ديمقراطيّة، ويقول: </w:t>
      </w:r>
      <w:r w:rsidRPr="006571AC">
        <w:rPr>
          <w:rFonts w:hint="eastAsia"/>
          <w:sz w:val="24"/>
          <w:szCs w:val="24"/>
          <w:rtl/>
          <w:lang w:bidi="ar-LB"/>
        </w:rPr>
        <w:t>«</w:t>
      </w:r>
      <w:r w:rsidRPr="006571AC">
        <w:rPr>
          <w:rFonts w:hint="cs"/>
          <w:sz w:val="27"/>
          <w:rtl/>
          <w:lang w:bidi="ar-LB"/>
        </w:rPr>
        <w:t xml:space="preserve">ما هو الدليل على أن الآراء المقبولة من قِبَل الأكثرية يجب أن تكون دائماً متطابقةً مع العقل والمنطق والضوابط الصحيحة؟ القرآن الكريم يعلِّمنا أن لا نعتبر آراء وعقائد ونظريات الأكثرية دائماً صحيحة: </w:t>
      </w:r>
      <w:r w:rsidRPr="006571AC">
        <w:rPr>
          <w:rFonts w:ascii="Mosawi" w:hAnsi="Mosawi" w:cs="Mosawi"/>
          <w:sz w:val="24"/>
          <w:szCs w:val="24"/>
          <w:rtl/>
        </w:rPr>
        <w:t>﴿</w:t>
      </w:r>
      <w:r w:rsidRPr="006571AC">
        <w:rPr>
          <w:b/>
          <w:bCs/>
          <w:sz w:val="27"/>
          <w:rtl/>
        </w:rPr>
        <w:t>بَلْ جَاءَهُمْ بِالْحَقِّ وَأَكْثَرُهُمْ لِلْحَقِّ كَارِهُونَ</w:t>
      </w:r>
      <w:r w:rsidRPr="006571AC">
        <w:rPr>
          <w:rFonts w:ascii="Mosawi" w:hAnsi="Mosawi" w:cs="Mosawi"/>
          <w:sz w:val="24"/>
          <w:szCs w:val="24"/>
          <w:rtl/>
        </w:rPr>
        <w:t>﴾</w:t>
      </w:r>
      <w:r w:rsidRPr="006571AC">
        <w:rPr>
          <w:rFonts w:hint="cs"/>
          <w:sz w:val="27"/>
          <w:rtl/>
          <w:lang w:bidi="ar-LB"/>
        </w:rPr>
        <w:t xml:space="preserve"> (المؤمنون: 70)</w:t>
      </w:r>
      <w:r w:rsidR="00E16C05" w:rsidRPr="006571AC">
        <w:rPr>
          <w:rFonts w:hint="eastAsia"/>
          <w:sz w:val="24"/>
          <w:szCs w:val="24"/>
          <w:rtl/>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ومن ثمّ يستنتج أنه </w:t>
      </w:r>
      <w:r w:rsidRPr="006571AC">
        <w:rPr>
          <w:rFonts w:hint="eastAsia"/>
          <w:sz w:val="24"/>
          <w:szCs w:val="24"/>
          <w:rtl/>
          <w:lang w:bidi="ar-LB"/>
        </w:rPr>
        <w:t>«</w:t>
      </w:r>
      <w:r w:rsidRPr="006571AC">
        <w:rPr>
          <w:rFonts w:hint="cs"/>
          <w:sz w:val="27"/>
          <w:rtl/>
          <w:lang w:bidi="ar-LB"/>
        </w:rPr>
        <w:t>في النظام الإسلامي المثالي يكون اتّباع الأكثرية شرعياً فقط إذا كان خاضعاً للحقّ، وإلاّ إذا كان جميع الناس أيضاً يؤيِّدون رأياً ما أنزل الله به من سلطانٍ فلا يمكن العمل به في الحكومة الإسلامية... وإذا كانت بعض مطالب الناس ليست ضدّ القِيَم الإسلامية، ولكنْ بحَسَب تشخيص المرشد الأعلى ومسؤولي النظام الإسلامي فإن العمل بهذه المطالب سيؤدّي إلى التضحية بمصالح كثيرة ومهمّة وأساسية لذلك المجتمع، هنا... لأن مسؤولي النظام الإسلامي مسؤولون أمام الله والناس فلا ينبغي أن يقعوا في خداع العوامّ، وإنّما عليهم أن يتَّخذوا الإجراءات الضرورية بشجاعةٍ</w:t>
      </w:r>
      <w:r w:rsidRPr="006571AC">
        <w:rPr>
          <w:rFonts w:hint="eastAsia"/>
          <w:sz w:val="24"/>
          <w:szCs w:val="24"/>
          <w:rtl/>
        </w:rPr>
        <w:t>»</w:t>
      </w:r>
      <w:r w:rsidRPr="006571AC">
        <w:rPr>
          <w:sz w:val="27"/>
          <w:vertAlign w:val="superscript"/>
          <w:rtl/>
          <w:lang w:bidi="ar-LB"/>
        </w:rPr>
        <w:t>(</w:t>
      </w:r>
      <w:r w:rsidRPr="006571AC">
        <w:rPr>
          <w:rStyle w:val="ac"/>
          <w:sz w:val="27"/>
          <w:rtl/>
          <w:lang w:bidi="ar-LB"/>
        </w:rPr>
        <w:endnoteReference w:id="51"/>
      </w:r>
      <w:r w:rsidRPr="006571AC">
        <w:rPr>
          <w:sz w:val="27"/>
          <w:vertAlign w:val="superscript"/>
          <w:rtl/>
          <w:lang w:bidi="ar-LB"/>
        </w:rPr>
        <w:t>)</w:t>
      </w:r>
      <w:r w:rsidRPr="006571AC">
        <w:rPr>
          <w:rFonts w:hint="cs"/>
          <w:sz w:val="27"/>
          <w:rtl/>
          <w:lang w:bidi="ar-LB"/>
        </w:rPr>
        <w:t>.</w:t>
      </w:r>
    </w:p>
    <w:p w:rsidR="007002FC" w:rsidRPr="006571AC" w:rsidRDefault="007002FC" w:rsidP="007002FC">
      <w:pPr>
        <w:tabs>
          <w:tab w:val="right" w:pos="6930"/>
        </w:tabs>
        <w:suppressAutoHyphens/>
        <w:spacing w:line="420" w:lineRule="exact"/>
        <w:rPr>
          <w:sz w:val="27"/>
          <w:rtl/>
          <w:lang w:bidi="fa-IR"/>
        </w:rPr>
      </w:pPr>
    </w:p>
    <w:p w:rsidR="008C542A" w:rsidRPr="006571AC" w:rsidRDefault="008C542A" w:rsidP="008C542A">
      <w:pPr>
        <w:pStyle w:val="31"/>
        <w:rPr>
          <w:color w:val="auto"/>
          <w:rtl/>
          <w:lang w:bidi="ar-LB"/>
        </w:rPr>
      </w:pPr>
      <w:bookmarkStart w:id="33" w:name="_Toc114164522"/>
      <w:r w:rsidRPr="006571AC">
        <w:rPr>
          <w:rFonts w:hint="cs"/>
          <w:color w:val="auto"/>
          <w:rtl/>
          <w:lang w:bidi="ar-LB"/>
        </w:rPr>
        <w:t>2</w:t>
      </w:r>
      <w:r w:rsidRPr="006571AC">
        <w:rPr>
          <w:color w:val="auto"/>
          <w:rtl/>
          <w:lang w:bidi="ar-LB"/>
        </w:rPr>
        <w:t>ـ</w:t>
      </w:r>
      <w:r w:rsidRPr="006571AC">
        <w:rPr>
          <w:rFonts w:hint="cs"/>
          <w:color w:val="auto"/>
          <w:rtl/>
          <w:lang w:bidi="ar-LB"/>
        </w:rPr>
        <w:t xml:space="preserve"> نتائج مبدأ كشف الحقيقة</w:t>
      </w:r>
      <w:bookmarkEnd w:id="33"/>
    </w:p>
    <w:p w:rsidR="008C542A" w:rsidRPr="006571AC" w:rsidRDefault="008C542A" w:rsidP="00706E68">
      <w:pPr>
        <w:tabs>
          <w:tab w:val="right" w:pos="6930"/>
        </w:tabs>
        <w:suppressAutoHyphens/>
        <w:rPr>
          <w:b/>
          <w:bCs/>
          <w:sz w:val="27"/>
          <w:rtl/>
          <w:lang w:bidi="ar-LB"/>
        </w:rPr>
      </w:pPr>
      <w:r w:rsidRPr="006571AC">
        <w:rPr>
          <w:sz w:val="27"/>
          <w:rtl/>
          <w:lang w:bidi="ar-LB"/>
        </w:rPr>
        <w:t>قد توصّ</w:t>
      </w:r>
      <w:r w:rsidR="007453F3" w:rsidRPr="006571AC">
        <w:rPr>
          <w:rFonts w:hint="cs"/>
          <w:sz w:val="27"/>
          <w:rtl/>
          <w:lang w:bidi="ar-LB"/>
        </w:rPr>
        <w:t>َ</w:t>
      </w:r>
      <w:r w:rsidRPr="006571AC">
        <w:rPr>
          <w:sz w:val="27"/>
          <w:rtl/>
          <w:lang w:bidi="ar-LB"/>
        </w:rPr>
        <w:t>ل</w:t>
      </w:r>
      <w:r w:rsidR="007453F3" w:rsidRPr="006571AC">
        <w:rPr>
          <w:rFonts w:hint="cs"/>
          <w:sz w:val="27"/>
          <w:rtl/>
          <w:lang w:bidi="ar-LB"/>
        </w:rPr>
        <w:t>ْ</w:t>
      </w:r>
      <w:r w:rsidRPr="006571AC">
        <w:rPr>
          <w:sz w:val="27"/>
          <w:rtl/>
          <w:lang w:bidi="ar-LB"/>
        </w:rPr>
        <w:t>نا حول اعتبار رأي الأكثري</w:t>
      </w:r>
      <w:r w:rsidR="007453F3" w:rsidRPr="006571AC">
        <w:rPr>
          <w:rFonts w:hint="cs"/>
          <w:sz w:val="27"/>
          <w:rtl/>
          <w:lang w:bidi="ar-LB"/>
        </w:rPr>
        <w:t>ّ</w:t>
      </w:r>
      <w:r w:rsidRPr="006571AC">
        <w:rPr>
          <w:sz w:val="27"/>
          <w:rtl/>
          <w:lang w:bidi="ar-LB"/>
        </w:rPr>
        <w:t>ة على أساس مبدأ كشف الحقيقة إلى هذه النتائج:</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 الرجوع إلى الرأي العامّ غير صحيح في الحالات التي تكون فيها الحقيقة واضحةً للمراجع، مهما كان الدليل الذي يعتمد عليه، سواء كان علمياً أو دينياً أو سوى ذلك.</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xml:space="preserve">: آراء الناس ليس أنها لا تقرِّر ما هو حقٌّ وما هو باطلٌ فحَسْب، بل إنها لا تكشف الحقّ والباطل بشكلٍ قاطع. الحقّ والباطل تابعٌ لعللٍ خارجية، والكشف عنه منوطٌ بالأدلة العلمية، ورأي الأكثرية ليس علّةً خارجية لإيجاد الحقّ والباطل، وفي أكثر الحالات يعجز عن الكشف المطمئن عن الحقيقة. وبالطبع فإن رأي الأكثرية؛ بالنظر إلى شخصيّة أصحاب الرأي، والحالات التي يدلون فيها بآرائهم، يمكن أن </w:t>
      </w:r>
      <w:r w:rsidRPr="006571AC">
        <w:rPr>
          <w:rFonts w:hint="cs"/>
          <w:sz w:val="27"/>
          <w:rtl/>
          <w:lang w:bidi="ar-LB"/>
        </w:rPr>
        <w:lastRenderedPageBreak/>
        <w:t>يكون قرنيةً احتماليّة ظنّية أو يدعو إلى الاطمئنان في سبيل الوصول إلى الحقيقة؛ ويمكن أن لا يكون كذلك أيضاً. لذلك لا يمكن الادّعاء أن رأي الأكثرية يكشف الحقيقة دائماً.</w:t>
      </w:r>
    </w:p>
    <w:p w:rsidR="008C542A" w:rsidRPr="006571AC" w:rsidRDefault="008C542A" w:rsidP="007002FC">
      <w:pPr>
        <w:tabs>
          <w:tab w:val="right" w:pos="6930"/>
        </w:tabs>
        <w:suppressAutoHyphens/>
        <w:spacing w:line="418" w:lineRule="exact"/>
        <w:rPr>
          <w:sz w:val="27"/>
          <w:rtl/>
          <w:lang w:bidi="ar-LB"/>
        </w:rPr>
      </w:pPr>
      <w:r w:rsidRPr="006571AC">
        <w:rPr>
          <w:rFonts w:hint="cs"/>
          <w:b/>
          <w:bCs/>
          <w:sz w:val="27"/>
          <w:rtl/>
          <w:lang w:bidi="ar-LB"/>
        </w:rPr>
        <w:t>الثالثة</w:t>
      </w:r>
      <w:r w:rsidRPr="006571AC">
        <w:rPr>
          <w:rFonts w:hint="cs"/>
          <w:sz w:val="27"/>
          <w:rtl/>
          <w:lang w:bidi="ar-LB"/>
        </w:rPr>
        <w:t>: بناءً على مبدأ كشف الحقيقة فإن صانع القرار أو صنّاع القرار يختلفون عن الأفراد الذين يُدْلُون بآرائهم. صانع القرار أو صنّاع القرار هم أفرادٌ أو مجموعات</w:t>
      </w:r>
      <w:r w:rsidR="00E16C05" w:rsidRPr="006571AC">
        <w:rPr>
          <w:rFonts w:hint="cs"/>
          <w:sz w:val="27"/>
          <w:rtl/>
          <w:lang w:bidi="ar-LB"/>
        </w:rPr>
        <w:t>ٌ</w:t>
      </w:r>
      <w:r w:rsidRPr="006571AC">
        <w:rPr>
          <w:rFonts w:hint="cs"/>
          <w:sz w:val="27"/>
          <w:rtl/>
          <w:lang w:bidi="ar-LB"/>
        </w:rPr>
        <w:t xml:space="preserve"> محدَّدة اعتراهم الشكّ في القرارات التي يريدون اتّخاذها، فطلبوا مشورة الآخرين؛ لاكتشاف الحقيقة واتّخاذ القرار الصحيح؛ خلافاً لمبدأ حقّ تقرير المصير، فإن الناس يكونون صنّاع القرار، وما الحكّام سوى ممثِّلين ومنفِّذين لقرارهم.</w:t>
      </w:r>
    </w:p>
    <w:p w:rsidR="008C542A" w:rsidRPr="006571AC" w:rsidRDefault="008C542A" w:rsidP="007002FC">
      <w:pPr>
        <w:tabs>
          <w:tab w:val="right" w:pos="6930"/>
        </w:tabs>
        <w:suppressAutoHyphens/>
        <w:spacing w:line="418" w:lineRule="exact"/>
        <w:rPr>
          <w:sz w:val="27"/>
          <w:rtl/>
          <w:lang w:bidi="ar-LB"/>
        </w:rPr>
      </w:pPr>
      <w:r w:rsidRPr="006571AC">
        <w:rPr>
          <w:rFonts w:hint="cs"/>
          <w:b/>
          <w:bCs/>
          <w:sz w:val="27"/>
          <w:rtl/>
          <w:lang w:bidi="ar-LB"/>
        </w:rPr>
        <w:t>الرابعة</w:t>
      </w:r>
      <w:r w:rsidRPr="006571AC">
        <w:rPr>
          <w:rFonts w:hint="cs"/>
          <w:sz w:val="27"/>
          <w:rtl/>
          <w:lang w:bidi="ar-LB"/>
        </w:rPr>
        <w:t xml:space="preserve">: أحياناً يستخدم العقلاء في الأنظمة الإدارية آليّة المجلس المعتمدة عقلاً وشرعاً من أجل التوصُّل إلى القرار الصحيح. الهدف من المجلس </w:t>
      </w:r>
      <w:r w:rsidRPr="006571AC">
        <w:rPr>
          <w:sz w:val="27"/>
          <w:rtl/>
          <w:lang w:bidi="ar-LB"/>
        </w:rPr>
        <w:t>ـ</w:t>
      </w:r>
      <w:r w:rsidRPr="006571AC">
        <w:rPr>
          <w:rFonts w:hint="cs"/>
          <w:sz w:val="27"/>
          <w:rtl/>
          <w:lang w:bidi="ar-LB"/>
        </w:rPr>
        <w:t xml:space="preserve"> كما سيأتي </w:t>
      </w:r>
      <w:r w:rsidRPr="006571AC">
        <w:rPr>
          <w:sz w:val="27"/>
          <w:rtl/>
          <w:lang w:bidi="ar-LB"/>
        </w:rPr>
        <w:t>ـ</w:t>
      </w:r>
      <w:r w:rsidRPr="006571AC">
        <w:rPr>
          <w:rFonts w:hint="cs"/>
          <w:sz w:val="27"/>
          <w:rtl/>
          <w:lang w:bidi="ar-LB"/>
        </w:rPr>
        <w:t xml:space="preserve"> هو الوصول إلى الحقيقة، بمعنى </w:t>
      </w:r>
      <w:r w:rsidRPr="006571AC">
        <w:rPr>
          <w:rFonts w:hint="eastAsia"/>
          <w:sz w:val="24"/>
          <w:szCs w:val="24"/>
          <w:rtl/>
          <w:lang w:bidi="ar-LB"/>
        </w:rPr>
        <w:t>«</w:t>
      </w:r>
      <w:r w:rsidRPr="006571AC">
        <w:rPr>
          <w:rFonts w:hint="cs"/>
          <w:sz w:val="27"/>
          <w:rtl/>
          <w:lang w:bidi="ar-LB"/>
        </w:rPr>
        <w:t>التشاور</w:t>
      </w:r>
      <w:r w:rsidRPr="006571AC">
        <w:rPr>
          <w:rFonts w:hint="eastAsia"/>
          <w:sz w:val="24"/>
          <w:szCs w:val="24"/>
          <w:rtl/>
        </w:rPr>
        <w:t>»</w:t>
      </w:r>
      <w:r w:rsidRPr="006571AC">
        <w:rPr>
          <w:rFonts w:hint="cs"/>
          <w:sz w:val="27"/>
          <w:rtl/>
          <w:lang w:bidi="ar-LB"/>
        </w:rPr>
        <w:t xml:space="preserve"> والاطلاع على آراء وحجج الآخرين واختيار أفضلها. وفي مثل هذه الأنظمة؛ ومن أجل الاستفادة الواضحة والمنهجية من آراء الاستشاريين، فإنهم يجعلون من رأي الأكثرية ملاكاً لاتّخاذ القرار، لكنّ الإدارة في المجموعة المذكورة تتحوَّل الى </w:t>
      </w:r>
      <w:r w:rsidRPr="006571AC">
        <w:rPr>
          <w:rFonts w:hint="eastAsia"/>
          <w:sz w:val="24"/>
          <w:szCs w:val="24"/>
          <w:rtl/>
          <w:lang w:bidi="ar-LB"/>
        </w:rPr>
        <w:t>«</w:t>
      </w:r>
      <w:r w:rsidRPr="006571AC">
        <w:rPr>
          <w:rFonts w:hint="cs"/>
          <w:sz w:val="27"/>
          <w:rtl/>
          <w:lang w:bidi="ar-LB"/>
        </w:rPr>
        <w:t>إدارة المجلس</w:t>
      </w:r>
      <w:r w:rsidRPr="006571AC">
        <w:rPr>
          <w:rFonts w:hint="eastAsia"/>
          <w:sz w:val="24"/>
          <w:szCs w:val="24"/>
          <w:rtl/>
        </w:rPr>
        <w:t>»</w:t>
      </w:r>
      <w:r w:rsidRPr="006571AC">
        <w:rPr>
          <w:rFonts w:hint="cs"/>
          <w:sz w:val="27"/>
          <w:rtl/>
          <w:lang w:bidi="ar-LB"/>
        </w:rPr>
        <w:t xml:space="preserve">، وتفوِّض حقّ اتّخاذ القرار إلى كلٍّ من أعضاء المجلس بمقدار حقّ الرأي الذي لديه. لذلك فإن الغرض من تشكيل </w:t>
      </w:r>
      <w:r w:rsidRPr="006571AC">
        <w:rPr>
          <w:rFonts w:hint="eastAsia"/>
          <w:sz w:val="24"/>
          <w:szCs w:val="24"/>
          <w:rtl/>
          <w:lang w:bidi="ar-LB"/>
        </w:rPr>
        <w:t>«</w:t>
      </w:r>
      <w:r w:rsidRPr="006571AC">
        <w:rPr>
          <w:rFonts w:hint="cs"/>
          <w:sz w:val="27"/>
          <w:rtl/>
          <w:lang w:bidi="ar-LB"/>
        </w:rPr>
        <w:t>إدارة المجلس</w:t>
      </w:r>
      <w:r w:rsidRPr="006571AC">
        <w:rPr>
          <w:rFonts w:hint="eastAsia"/>
          <w:sz w:val="24"/>
          <w:szCs w:val="24"/>
          <w:rtl/>
        </w:rPr>
        <w:t>»</w:t>
      </w:r>
      <w:r w:rsidRPr="006571AC">
        <w:rPr>
          <w:rFonts w:hint="cs"/>
          <w:sz w:val="27"/>
          <w:rtl/>
          <w:lang w:bidi="ar-LB"/>
        </w:rPr>
        <w:t xml:space="preserve"> هو كشف الحقيقة، وفي الوقت نفسه الاستفادة من آراء المستشارين بطريقةٍ منهجيّة ومنضبطة، ويتمّ منحهم الحقّ في اتّخاذ القرار وفقاً لنظام اعتبار رأي الأكثرية.</w:t>
      </w:r>
    </w:p>
    <w:p w:rsidR="008C542A" w:rsidRPr="006571AC" w:rsidRDefault="008C542A" w:rsidP="00166320">
      <w:pPr>
        <w:tabs>
          <w:tab w:val="right" w:pos="6930"/>
        </w:tabs>
        <w:suppressAutoHyphens/>
        <w:spacing w:line="416" w:lineRule="exact"/>
        <w:rPr>
          <w:sz w:val="27"/>
          <w:rtl/>
          <w:lang w:bidi="ar-LB"/>
        </w:rPr>
      </w:pPr>
      <w:r w:rsidRPr="006571AC">
        <w:rPr>
          <w:rFonts w:hint="cs"/>
          <w:b/>
          <w:bCs/>
          <w:sz w:val="27"/>
          <w:rtl/>
          <w:lang w:bidi="ar-LB"/>
        </w:rPr>
        <w:t>الخامسة</w:t>
      </w:r>
      <w:r w:rsidRPr="006571AC">
        <w:rPr>
          <w:rFonts w:hint="cs"/>
          <w:sz w:val="27"/>
          <w:rtl/>
          <w:lang w:bidi="ar-LB"/>
        </w:rPr>
        <w:t xml:space="preserve">: موافقة رأي الأكثرية في مبدأ كشف الحقيقة غالباً يكون قرينةً ظنّية، وسيرة العقلاء في التعامل مع القرائن الظنّية هي دراسة وتقييم القرائن الموافقة والمخالفة معاً، ففي النهاية إذا رجحَتْ بنظرهم قرائن اعتبار رأي الأقلِّية فسوف يتخلّون عن رأي الأكثرية، وبعبارةٍ أخرى: العقلاء يعملون بالظنّ على افتراض فقدان العلم. والقرائن الظنّية غير محصورةٍ في رأي أكثر العلماء؛ وإنّما توجد قرائن أخرى. إذن، بالإضافة إلى العلم </w:t>
      </w:r>
      <w:r w:rsidRPr="006571AC">
        <w:rPr>
          <w:sz w:val="27"/>
          <w:rtl/>
          <w:lang w:bidi="ar-LB"/>
        </w:rPr>
        <w:t>ـ</w:t>
      </w:r>
      <w:r w:rsidRPr="006571AC">
        <w:rPr>
          <w:rFonts w:hint="cs"/>
          <w:sz w:val="27"/>
          <w:rtl/>
          <w:lang w:bidi="ar-LB"/>
        </w:rPr>
        <w:t xml:space="preserve"> في بعض الحالات </w:t>
      </w:r>
      <w:r w:rsidRPr="006571AC">
        <w:rPr>
          <w:sz w:val="27"/>
          <w:rtl/>
          <w:lang w:bidi="ar-LB"/>
        </w:rPr>
        <w:t>ـ</w:t>
      </w:r>
      <w:r w:rsidRPr="006571AC">
        <w:rPr>
          <w:rFonts w:hint="cs"/>
          <w:sz w:val="27"/>
          <w:rtl/>
          <w:lang w:bidi="ar-LB"/>
        </w:rPr>
        <w:t xml:space="preserve"> بمخالفة رأي الأكثرية للحقيقة، توجد حالاتٌ أخرى أيضاً لا يتمّ العمل فيها وفقاً لرأي الأكثرية، وهي التي يحصل فيها الظنّ برأي </w:t>
      </w:r>
      <w:r w:rsidRPr="006571AC">
        <w:rPr>
          <w:rFonts w:hint="cs"/>
          <w:sz w:val="27"/>
          <w:rtl/>
          <w:lang w:bidi="ar-LB"/>
        </w:rPr>
        <w:lastRenderedPageBreak/>
        <w:t>الأقلِّية بعد تزاحم القرائن.</w:t>
      </w:r>
    </w:p>
    <w:p w:rsidR="008C542A" w:rsidRPr="006571AC" w:rsidRDefault="008C542A" w:rsidP="00166320">
      <w:pPr>
        <w:tabs>
          <w:tab w:val="right" w:pos="6930"/>
        </w:tabs>
        <w:suppressAutoHyphens/>
        <w:spacing w:line="416" w:lineRule="exact"/>
        <w:rPr>
          <w:sz w:val="27"/>
          <w:rtl/>
          <w:lang w:bidi="ar-LB"/>
        </w:rPr>
      </w:pPr>
      <w:r w:rsidRPr="006571AC">
        <w:rPr>
          <w:rFonts w:hint="cs"/>
          <w:b/>
          <w:bCs/>
          <w:sz w:val="27"/>
          <w:rtl/>
          <w:lang w:bidi="ar-LB"/>
        </w:rPr>
        <w:t>السادسة</w:t>
      </w:r>
      <w:r w:rsidRPr="006571AC">
        <w:rPr>
          <w:rFonts w:hint="cs"/>
          <w:sz w:val="27"/>
          <w:rtl/>
          <w:lang w:bidi="ar-LB"/>
        </w:rPr>
        <w:t xml:space="preserve">: يمكن لنوع المعرفة والالتزام الأخلاقي للأشخاص الذين يدلون بآرائهم، إلى جانب عددهم، أن يلعب دَوْراً حاسماً في كشف الحقيقة. ورُبَما يكون رأي أقلِّية عالمة ملتزمة أفضل لكشف الحقيقة من رأي أكثريةٍ من العوامّ، بل من الحكمة أن يتمّ الرجوع إلى الواعين والمتخصِّصين في الحالات التي يوجد فيها جهلٌ بموضوعٍ ما. وفي هذه الحالة يمكن لرأي أكثرية العلماء في ذلك الموضوع أن يكون قرينةً ظنّية أو تؤدّي إلى الاطمئنان في كشف الحقيقة. إذن بناءً على مبدأ كشف الحقيقة </w:t>
      </w:r>
      <w:r w:rsidRPr="006571AC">
        <w:rPr>
          <w:sz w:val="27"/>
          <w:rtl/>
          <w:lang w:bidi="ar-LB"/>
        </w:rPr>
        <w:t>ـ</w:t>
      </w:r>
      <w:r w:rsidRPr="006571AC">
        <w:rPr>
          <w:rFonts w:hint="cs"/>
          <w:sz w:val="27"/>
          <w:rtl/>
          <w:lang w:bidi="ar-LB"/>
        </w:rPr>
        <w:t xml:space="preserve"> وخلافاً لمبدأ حقّ تقرير المصير </w:t>
      </w:r>
      <w:r w:rsidRPr="006571AC">
        <w:rPr>
          <w:sz w:val="27"/>
          <w:rtl/>
          <w:lang w:bidi="ar-LB"/>
        </w:rPr>
        <w:t>ـ</w:t>
      </w:r>
      <w:r w:rsidRPr="006571AC">
        <w:rPr>
          <w:rFonts w:hint="cs"/>
          <w:sz w:val="27"/>
          <w:rtl/>
          <w:lang w:bidi="ar-LB"/>
        </w:rPr>
        <w:t xml:space="preserve"> قيمة آراء أفراد المجتمع ليست متساويةً، ورأي الخبراء وأهل الاختصاص يتمتَّع بقيمةٍ أكبر.</w:t>
      </w:r>
    </w:p>
    <w:p w:rsidR="008C542A" w:rsidRPr="006571AC" w:rsidRDefault="008C542A" w:rsidP="00166320">
      <w:pPr>
        <w:tabs>
          <w:tab w:val="right" w:pos="6930"/>
        </w:tabs>
        <w:suppressAutoHyphens/>
        <w:spacing w:line="416" w:lineRule="exact"/>
        <w:rPr>
          <w:sz w:val="27"/>
          <w:rtl/>
          <w:lang w:bidi="ar-LB"/>
        </w:rPr>
      </w:pPr>
      <w:r w:rsidRPr="006571AC">
        <w:rPr>
          <w:rFonts w:hint="cs"/>
          <w:b/>
          <w:bCs/>
          <w:sz w:val="27"/>
          <w:rtl/>
          <w:lang w:bidi="ar-LB"/>
        </w:rPr>
        <w:t>السابعة</w:t>
      </w:r>
      <w:r w:rsidRPr="006571AC">
        <w:rPr>
          <w:rFonts w:hint="cs"/>
          <w:sz w:val="27"/>
          <w:rtl/>
          <w:lang w:bidi="ar-LB"/>
        </w:rPr>
        <w:t>: على هذا الأساس لا يمكن أن يكون الرجوع إلى الرأي العامّ لكشف الحقيقة؛ فإنه يمكن الإقدام على ذلك في حال كان الطرفان أو الأطراف المختلفون يقرّون بجهلهم، ويعتبرون أن الرجوع إلى الرأي العامّ يشكِّل طريقاً لكشف الحقيقة؛ أما إذا كانوا يعتبرون أنفسهم، أو كان بعضهم يعتبر نفسه، عارفاً بالحقيقة، ولا يرى من سببٍ مقنع للرجوع إلى الرأي العامّ، فلا يمكن والحال هذه أن يتمّ بهذه الطريقة التوصُّل لحلّ النزاعات والخلافات بين الناس في إدارة المجتمع.</w:t>
      </w:r>
    </w:p>
    <w:p w:rsidR="008C542A" w:rsidRPr="006571AC" w:rsidRDefault="008C542A" w:rsidP="00166320">
      <w:pPr>
        <w:tabs>
          <w:tab w:val="right" w:pos="6930"/>
        </w:tabs>
        <w:suppressAutoHyphens/>
        <w:spacing w:line="416" w:lineRule="exact"/>
        <w:rPr>
          <w:sz w:val="27"/>
          <w:rtl/>
          <w:lang w:bidi="ar-LB"/>
        </w:rPr>
      </w:pPr>
      <w:r w:rsidRPr="006571AC">
        <w:rPr>
          <w:rFonts w:hint="cs"/>
          <w:b/>
          <w:bCs/>
          <w:sz w:val="27"/>
          <w:rtl/>
          <w:lang w:bidi="ar-LB"/>
        </w:rPr>
        <w:t>الثامنة</w:t>
      </w:r>
      <w:r w:rsidRPr="006571AC">
        <w:rPr>
          <w:rFonts w:hint="cs"/>
          <w:sz w:val="27"/>
          <w:rtl/>
          <w:lang w:bidi="ar-LB"/>
        </w:rPr>
        <w:t>: على هذا الأساس لا يمكن تبرير معظم الحالات الشائعة في الرجوع إلى الرأي العامّ في المجتمعات والدول المختلفة، ويتقلَّص كثيراً نطاق الرجوع إلى الرأي العامّ. فعلى سبيل المثال: لا يمكن تبرير أوّل انتخاباتٍ بعد انتصار الثورة الإسلاميّة في إيران بقبول الجمهوريّة الإسلامية أو عدم قبولها؛ لأن منظِّمي هذه الانتخابات لم يكونوا يشكّون في شرعيّة الجمهورية الإسلامية.</w:t>
      </w:r>
    </w:p>
    <w:p w:rsidR="008C542A" w:rsidRPr="006571AC" w:rsidRDefault="008C542A" w:rsidP="00166320">
      <w:pPr>
        <w:tabs>
          <w:tab w:val="right" w:pos="6930"/>
        </w:tabs>
        <w:suppressAutoHyphens/>
        <w:spacing w:line="416" w:lineRule="exact"/>
        <w:rPr>
          <w:sz w:val="27"/>
          <w:rtl/>
          <w:lang w:bidi="ar-LB"/>
        </w:rPr>
      </w:pPr>
      <w:r w:rsidRPr="006571AC">
        <w:rPr>
          <w:rFonts w:hint="cs"/>
          <w:b/>
          <w:bCs/>
          <w:sz w:val="27"/>
          <w:rtl/>
          <w:lang w:bidi="ar-LB"/>
        </w:rPr>
        <w:t>التاسعة</w:t>
      </w:r>
      <w:r w:rsidRPr="006571AC">
        <w:rPr>
          <w:rFonts w:hint="cs"/>
          <w:sz w:val="27"/>
          <w:rtl/>
          <w:lang w:bidi="ar-LB"/>
        </w:rPr>
        <w:t xml:space="preserve">: الكثير من الإشكالات التي أثارتها هذه المجموعة من علماء الدين على اعتبار رأي الأكثرية بناءً على مبدأ كشف الحقيقة صحيحةٌ. أما الإشكال ضدّهم فهو أنهم تجاهلوا سائر المبادئ لاعتبار رأي الأكثرية، وخاصّة حقّ تقرير المصير، ومن ثمّ بعد رفض اعتبار رأي الأكثرية بناءً على مبدأ كشف الحقيقة توصَّلوا إلى هذه النتيجة الخاطئة. إن الرجوع إلى الرأي العامّ وتفضيل رأي الأكثرية لا </w:t>
      </w:r>
      <w:r w:rsidRPr="006571AC">
        <w:rPr>
          <w:rFonts w:hint="cs"/>
          <w:sz w:val="27"/>
          <w:rtl/>
          <w:lang w:bidi="ar-LB"/>
        </w:rPr>
        <w:lastRenderedPageBreak/>
        <w:t>يملك أيّ أساسٍ قابلٍ للدفاع عنه.</w:t>
      </w:r>
    </w:p>
    <w:p w:rsidR="008C542A" w:rsidRPr="006571AC" w:rsidRDefault="008C542A" w:rsidP="00706E68">
      <w:pPr>
        <w:tabs>
          <w:tab w:val="right" w:pos="6930"/>
        </w:tabs>
        <w:suppressAutoHyphens/>
        <w:rPr>
          <w:sz w:val="27"/>
          <w:rtl/>
          <w:lang w:bidi="ar-LB"/>
        </w:rPr>
      </w:pPr>
    </w:p>
    <w:p w:rsidR="0009334C" w:rsidRPr="006571AC" w:rsidRDefault="008C542A" w:rsidP="00706E68">
      <w:pPr>
        <w:ind w:firstLine="0"/>
        <w:jc w:val="right"/>
        <w:rPr>
          <w:rtl/>
        </w:rPr>
      </w:pPr>
      <w:r w:rsidRPr="006571AC">
        <w:rPr>
          <w:rFonts w:hint="cs"/>
          <w:b/>
          <w:bCs/>
          <w:sz w:val="27"/>
          <w:rtl/>
          <w:lang w:bidi="ar-LB"/>
        </w:rPr>
        <w:t>ـ يتبع ـ</w:t>
      </w:r>
    </w:p>
    <w:p w:rsidR="00E94E45" w:rsidRPr="006571AC" w:rsidRDefault="00E94E45" w:rsidP="00AC023B">
      <w:pPr>
        <w:rPr>
          <w:rtl/>
        </w:rPr>
      </w:pPr>
    </w:p>
    <w:p w:rsidR="0009334C" w:rsidRPr="006571AC" w:rsidRDefault="0009334C" w:rsidP="00AC023B">
      <w:pPr>
        <w:rPr>
          <w:rtl/>
        </w:rPr>
      </w:pPr>
    </w:p>
    <w:p w:rsidR="00E94E45" w:rsidRPr="006571AC" w:rsidRDefault="00E94E45" w:rsidP="00D87709">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711BBB" w:rsidRPr="006571AC" w:rsidRDefault="00711BBB" w:rsidP="00D87709">
      <w:pPr>
        <w:pStyle w:val="34"/>
        <w:autoSpaceDE w:val="0"/>
        <w:autoSpaceDN w:val="0"/>
        <w:adjustRightInd w:val="0"/>
        <w:spacing w:line="418" w:lineRule="exact"/>
        <w:ind w:firstLine="0"/>
        <w:rPr>
          <w:rFonts w:cs="K Sina"/>
          <w:sz w:val="26"/>
          <w:rtl/>
          <w:lang w:eastAsia="ar-SA"/>
        </w:rPr>
        <w:sectPr w:rsidR="00711BBB" w:rsidRPr="006571AC" w:rsidSect="00E85587">
          <w:headerReference w:type="even" r:id="rId26"/>
          <w:headerReference w:type="default" r:id="rId27"/>
          <w:footerReference w:type="even" r:id="rId28"/>
          <w:footerReference w:type="default" r:id="rId2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Fonts w:cs="AL-Mateen"/>
          <w:b/>
          <w:sz w:val="32"/>
          <w:szCs w:val="48"/>
          <w:rtl/>
        </w:rPr>
        <w:lastRenderedPageBreak/>
        <w:br w:type="page"/>
      </w:r>
    </w:p>
    <w:p w:rsidR="00E83C22" w:rsidRPr="006571AC" w:rsidRDefault="00E83C22" w:rsidP="00E83C22">
      <w:pPr>
        <w:rPr>
          <w:rtl/>
        </w:rPr>
        <w:sectPr w:rsidR="00E83C22" w:rsidRPr="006571AC" w:rsidSect="00E85587">
          <w:headerReference w:type="even" r:id="rId30"/>
          <w:headerReference w:type="default" r:id="rId31"/>
          <w:footerReference w:type="even" r:id="rId32"/>
          <w:footerReference w:type="default" r:id="rId33"/>
          <w:headerReference w:type="first" r:id="rId3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166320">
      <w:pPr>
        <w:spacing w:line="420" w:lineRule="exact"/>
        <w:rPr>
          <w:rtl/>
        </w:rPr>
      </w:pPr>
    </w:p>
    <w:p w:rsidR="00E83C22" w:rsidRPr="006571AC" w:rsidRDefault="00E83C22" w:rsidP="00166320">
      <w:pPr>
        <w:spacing w:line="420" w:lineRule="exact"/>
        <w:rPr>
          <w:rtl/>
        </w:rPr>
      </w:pPr>
    </w:p>
    <w:p w:rsidR="00E83C22" w:rsidRPr="006571AC" w:rsidRDefault="0065120C" w:rsidP="00CF142F">
      <w:pPr>
        <w:pStyle w:val="10"/>
        <w:spacing w:line="216" w:lineRule="auto"/>
        <w:rPr>
          <w:rtl/>
        </w:rPr>
      </w:pPr>
      <w:bookmarkStart w:id="34" w:name="_Toc114164523"/>
      <w:r w:rsidRPr="006571AC">
        <w:rPr>
          <w:rtl/>
        </w:rPr>
        <w:t>حج</w:t>
      </w:r>
      <w:r w:rsidRPr="006571AC">
        <w:rPr>
          <w:rFonts w:hint="cs"/>
          <w:rtl/>
        </w:rPr>
        <w:t>ِّ</w:t>
      </w:r>
      <w:r w:rsidRPr="006571AC">
        <w:rPr>
          <w:rtl/>
        </w:rPr>
        <w:t>ية السيرة العقلائي</w:t>
      </w:r>
      <w:r w:rsidRPr="006571AC">
        <w:rPr>
          <w:rFonts w:hint="cs"/>
          <w:rtl/>
        </w:rPr>
        <w:t>ّ</w:t>
      </w:r>
      <w:r w:rsidRPr="006571AC">
        <w:rPr>
          <w:rtl/>
        </w:rPr>
        <w:t>ة</w:t>
      </w:r>
      <w:r w:rsidR="00CF142F" w:rsidRPr="006571AC">
        <w:rPr>
          <w:rFonts w:cs="AL-Mohanad"/>
          <w:b w:val="0"/>
          <w:sz w:val="26"/>
          <w:szCs w:val="42"/>
          <w:rtl/>
        </w:rPr>
        <w:t xml:space="preserve"> </w:t>
      </w:r>
      <w:r w:rsidR="00CF142F" w:rsidRPr="006571AC">
        <w:rPr>
          <w:rtl/>
        </w:rPr>
        <w:t>في غير العبادات</w:t>
      </w:r>
      <w:bookmarkEnd w:id="34"/>
    </w:p>
    <w:p w:rsidR="00E83C22" w:rsidRPr="006571AC" w:rsidRDefault="0065120C" w:rsidP="00CF142F">
      <w:pPr>
        <w:pStyle w:val="10"/>
        <w:spacing w:line="216" w:lineRule="auto"/>
        <w:rPr>
          <w:sz w:val="26"/>
          <w:szCs w:val="42"/>
          <w:rtl/>
        </w:rPr>
      </w:pPr>
      <w:bookmarkStart w:id="35" w:name="_Toc114164524"/>
      <w:r w:rsidRPr="006571AC">
        <w:rPr>
          <w:sz w:val="26"/>
          <w:szCs w:val="42"/>
          <w:rtl/>
        </w:rPr>
        <w:t>قاعدة</w:t>
      </w:r>
      <w:r w:rsidR="00CF142F" w:rsidRPr="006571AC">
        <w:rPr>
          <w:rFonts w:hint="cs"/>
          <w:sz w:val="26"/>
          <w:szCs w:val="42"/>
          <w:rtl/>
        </w:rPr>
        <w:t>ٌ</w:t>
      </w:r>
      <w:r w:rsidRPr="006571AC">
        <w:rPr>
          <w:sz w:val="26"/>
          <w:szCs w:val="42"/>
          <w:rtl/>
        </w:rPr>
        <w:t xml:space="preserve"> أو</w:t>
      </w:r>
      <w:r w:rsidRPr="006571AC">
        <w:rPr>
          <w:rFonts w:hint="cs"/>
          <w:sz w:val="26"/>
          <w:szCs w:val="42"/>
          <w:rtl/>
        </w:rPr>
        <w:t>ّ</w:t>
      </w:r>
      <w:r w:rsidRPr="006571AC">
        <w:rPr>
          <w:sz w:val="26"/>
          <w:szCs w:val="42"/>
          <w:rtl/>
        </w:rPr>
        <w:t xml:space="preserve">لية </w:t>
      </w:r>
      <w:r w:rsidR="00CF142F" w:rsidRPr="006571AC">
        <w:rPr>
          <w:rFonts w:hint="cs"/>
          <w:sz w:val="26"/>
          <w:szCs w:val="42"/>
          <w:rtl/>
        </w:rPr>
        <w:t>أو ثانويّة؟</w:t>
      </w:r>
      <w:bookmarkEnd w:id="35"/>
    </w:p>
    <w:p w:rsidR="00E83C22" w:rsidRPr="006571AC" w:rsidRDefault="00E83C22" w:rsidP="00E83C22">
      <w:pPr>
        <w:spacing w:line="300" w:lineRule="exact"/>
        <w:rPr>
          <w:rtl/>
        </w:rPr>
      </w:pPr>
    </w:p>
    <w:p w:rsidR="00E83C22" w:rsidRPr="006571AC" w:rsidRDefault="0065120C" w:rsidP="0065120C">
      <w:pPr>
        <w:pStyle w:val="Author"/>
        <w:rPr>
          <w:rtl/>
        </w:rPr>
      </w:pPr>
      <w:r w:rsidRPr="006571AC">
        <w:rPr>
          <w:rtl/>
        </w:rPr>
        <w:t>الشيخ سعيد ضيائي فر</w:t>
      </w:r>
      <w:r w:rsidR="00527634" w:rsidRPr="006571AC">
        <w:rPr>
          <w:rFonts w:cs="Taher" w:hint="cs"/>
          <w:vertAlign w:val="superscript"/>
          <w:rtl/>
        </w:rPr>
        <w:t>(</w:t>
      </w:r>
      <w:r w:rsidR="00527634" w:rsidRPr="006571AC">
        <w:rPr>
          <w:rFonts w:cs="Taher"/>
          <w:vertAlign w:val="superscript"/>
          <w:rtl/>
        </w:rPr>
        <w:footnoteReference w:customMarkFollows="1" w:id="2"/>
        <w:t>*)</w:t>
      </w:r>
    </w:p>
    <w:p w:rsidR="00E83C22" w:rsidRPr="006571AC" w:rsidRDefault="00E83C22" w:rsidP="0065120C">
      <w:pPr>
        <w:pStyle w:val="Author"/>
        <w:rPr>
          <w:rtl/>
        </w:rPr>
      </w:pPr>
      <w:r w:rsidRPr="006571AC">
        <w:rPr>
          <w:rFonts w:hint="cs"/>
          <w:rtl/>
        </w:rPr>
        <w:t xml:space="preserve">ترجمة: </w:t>
      </w:r>
      <w:r w:rsidR="0065120C" w:rsidRPr="006571AC">
        <w:rPr>
          <w:rtl/>
        </w:rPr>
        <w:t>مصطفى رئا</w:t>
      </w:r>
      <w:r w:rsidR="0065120C" w:rsidRPr="006571AC">
        <w:rPr>
          <w:rFonts w:hint="cs"/>
          <w:rtl/>
        </w:rPr>
        <w:t>ب</w:t>
      </w:r>
    </w:p>
    <w:p w:rsidR="00E83C22" w:rsidRPr="006571AC" w:rsidRDefault="00E83C22" w:rsidP="00E83C22">
      <w:pPr>
        <w:spacing w:line="300" w:lineRule="exact"/>
        <w:rPr>
          <w:rtl/>
        </w:rPr>
      </w:pPr>
    </w:p>
    <w:p w:rsidR="00C37790" w:rsidRPr="006571AC" w:rsidRDefault="0065120C" w:rsidP="0065120C">
      <w:pPr>
        <w:pStyle w:val="31"/>
        <w:rPr>
          <w:color w:val="auto"/>
          <w:rtl/>
        </w:rPr>
      </w:pPr>
      <w:bookmarkStart w:id="36" w:name="_Toc114164525"/>
      <w:r w:rsidRPr="006571AC">
        <w:rPr>
          <w:rFonts w:hint="cs"/>
          <w:color w:val="auto"/>
          <w:rtl/>
        </w:rPr>
        <w:t>مقدّ</w:t>
      </w:r>
      <w:r w:rsidR="00C37790" w:rsidRPr="006571AC">
        <w:rPr>
          <w:rFonts w:hint="cs"/>
          <w:color w:val="auto"/>
          <w:rtl/>
        </w:rPr>
        <w:t>مة</w:t>
      </w:r>
      <w:r w:rsidR="00780A47" w:rsidRPr="006571AC">
        <w:rPr>
          <w:rFonts w:hint="cs"/>
          <w:color w:val="auto"/>
          <w:rtl/>
        </w:rPr>
        <w:t>ٌ</w:t>
      </w:r>
      <w:bookmarkEnd w:id="36"/>
    </w:p>
    <w:p w:rsidR="00C37790" w:rsidRPr="006571AC" w:rsidRDefault="00C37790" w:rsidP="00F85FC2">
      <w:pPr>
        <w:rPr>
          <w:sz w:val="27"/>
          <w:rtl/>
        </w:rPr>
      </w:pPr>
      <w:r w:rsidRPr="006571AC">
        <w:rPr>
          <w:sz w:val="27"/>
          <w:rtl/>
        </w:rPr>
        <w:t>ي</w:t>
      </w:r>
      <w:r w:rsidR="0007483B" w:rsidRPr="006571AC">
        <w:rPr>
          <w:rFonts w:hint="cs"/>
          <w:sz w:val="27"/>
          <w:rtl/>
        </w:rPr>
        <w:t>ُ</w:t>
      </w:r>
      <w:r w:rsidRPr="006571AC">
        <w:rPr>
          <w:sz w:val="27"/>
          <w:rtl/>
        </w:rPr>
        <w:t>ع</w:t>
      </w:r>
      <w:r w:rsidR="0007483B" w:rsidRPr="006571AC">
        <w:rPr>
          <w:rFonts w:hint="cs"/>
          <w:sz w:val="27"/>
          <w:rtl/>
        </w:rPr>
        <w:t>َ</w:t>
      </w:r>
      <w:r w:rsidRPr="006571AC">
        <w:rPr>
          <w:sz w:val="27"/>
          <w:rtl/>
        </w:rPr>
        <w:t xml:space="preserve">دّ البحث عن سيرة العقلاء </w:t>
      </w:r>
      <w:r w:rsidR="0007483B" w:rsidRPr="006571AC">
        <w:rPr>
          <w:rFonts w:hint="cs"/>
          <w:sz w:val="27"/>
          <w:rtl/>
        </w:rPr>
        <w:t>أحد</w:t>
      </w:r>
      <w:r w:rsidRPr="006571AC">
        <w:rPr>
          <w:sz w:val="27"/>
          <w:rtl/>
        </w:rPr>
        <w:t xml:space="preserve"> البحوث </w:t>
      </w:r>
      <w:r w:rsidR="0007483B" w:rsidRPr="006571AC">
        <w:rPr>
          <w:rFonts w:hint="cs"/>
          <w:sz w:val="27"/>
          <w:rtl/>
        </w:rPr>
        <w:t>ال</w:t>
      </w:r>
      <w:r w:rsidR="0007483B" w:rsidRPr="006571AC">
        <w:rPr>
          <w:sz w:val="27"/>
          <w:rtl/>
        </w:rPr>
        <w:t xml:space="preserve">أكثر </w:t>
      </w:r>
      <w:r w:rsidRPr="006571AC">
        <w:rPr>
          <w:sz w:val="27"/>
          <w:rtl/>
        </w:rPr>
        <w:t xml:space="preserve">تداولاً في علم أصول الفقه. </w:t>
      </w:r>
      <w:r w:rsidR="0007483B" w:rsidRPr="006571AC">
        <w:rPr>
          <w:sz w:val="27"/>
          <w:rtl/>
        </w:rPr>
        <w:t>ور</w:t>
      </w:r>
      <w:r w:rsidR="0007483B" w:rsidRPr="006571AC">
        <w:rPr>
          <w:rFonts w:hint="cs"/>
          <w:sz w:val="27"/>
          <w:rtl/>
        </w:rPr>
        <w:t>ُ</w:t>
      </w:r>
      <w:r w:rsidR="0007483B" w:rsidRPr="006571AC">
        <w:rPr>
          <w:sz w:val="27"/>
          <w:rtl/>
        </w:rPr>
        <w:t>ب</w:t>
      </w:r>
      <w:r w:rsidR="0007483B" w:rsidRPr="006571AC">
        <w:rPr>
          <w:rFonts w:hint="cs"/>
          <w:sz w:val="27"/>
          <w:rtl/>
        </w:rPr>
        <w:t>َ</w:t>
      </w:r>
      <w:r w:rsidRPr="006571AC">
        <w:rPr>
          <w:sz w:val="27"/>
          <w:rtl/>
        </w:rPr>
        <w:t>ما أمكن أن يقال بأنّ الاستفادة من هذه المسألة في علم الأصول اليوم أكثر من أيّ مسألة</w:t>
      </w:r>
      <w:r w:rsidR="00154A07" w:rsidRPr="006571AC">
        <w:rPr>
          <w:rFonts w:hint="cs"/>
          <w:sz w:val="27"/>
          <w:rtl/>
        </w:rPr>
        <w:t>ٍ</w:t>
      </w:r>
      <w:r w:rsidRPr="006571AC">
        <w:rPr>
          <w:sz w:val="27"/>
          <w:rtl/>
        </w:rPr>
        <w:t xml:space="preserve"> أخرى</w:t>
      </w:r>
      <w:r w:rsidRPr="006571AC">
        <w:rPr>
          <w:rFonts w:hint="cs"/>
          <w:sz w:val="27"/>
          <w:vertAlign w:val="superscript"/>
          <w:rtl/>
        </w:rPr>
        <w:t>(</w:t>
      </w:r>
      <w:r w:rsidRPr="006571AC">
        <w:rPr>
          <w:rStyle w:val="ac"/>
          <w:sz w:val="27"/>
          <w:rtl/>
        </w:rPr>
        <w:endnoteReference w:id="52"/>
      </w:r>
      <w:r w:rsidRPr="006571AC">
        <w:rPr>
          <w:rFonts w:hint="cs"/>
          <w:sz w:val="27"/>
          <w:vertAlign w:val="superscript"/>
          <w:rtl/>
        </w:rPr>
        <w:t>)</w:t>
      </w:r>
      <w:r w:rsidRPr="006571AC">
        <w:rPr>
          <w:rFonts w:hint="cs"/>
          <w:sz w:val="27"/>
          <w:rtl/>
        </w:rPr>
        <w:t>،</w:t>
      </w:r>
      <w:r w:rsidRPr="006571AC">
        <w:rPr>
          <w:sz w:val="27"/>
          <w:rtl/>
        </w:rPr>
        <w:t xml:space="preserve"> ولكن</w:t>
      </w:r>
      <w:r w:rsidR="00154A07" w:rsidRPr="006571AC">
        <w:rPr>
          <w:rFonts w:hint="cs"/>
          <w:sz w:val="27"/>
          <w:rtl/>
        </w:rPr>
        <w:t>ْ</w:t>
      </w:r>
      <w:r w:rsidRPr="006571AC">
        <w:rPr>
          <w:sz w:val="27"/>
          <w:rtl/>
        </w:rPr>
        <w:t xml:space="preserve"> ليست الاستفادة من هذه المسألة في الفقه بهذا المستوى، وذلك راجع</w:t>
      </w:r>
      <w:r w:rsidR="00154A07" w:rsidRPr="006571AC">
        <w:rPr>
          <w:rFonts w:hint="cs"/>
          <w:sz w:val="27"/>
          <w:rtl/>
        </w:rPr>
        <w:t>ٌ</w:t>
      </w:r>
      <w:r w:rsidRPr="006571AC">
        <w:rPr>
          <w:sz w:val="27"/>
          <w:rtl/>
        </w:rPr>
        <w:t xml:space="preserve"> إلى الاختلاف في سيرة العقلاء بين الأصول والفقه؛ فإنّ أكثر الطرق الّتي تمّ إثبات حج</w:t>
      </w:r>
      <w:r w:rsidR="00154A07" w:rsidRPr="006571AC">
        <w:rPr>
          <w:rFonts w:hint="cs"/>
          <w:sz w:val="27"/>
          <w:rtl/>
        </w:rPr>
        <w:t>ِّ</w:t>
      </w:r>
      <w:r w:rsidRPr="006571AC">
        <w:rPr>
          <w:sz w:val="27"/>
          <w:rtl/>
        </w:rPr>
        <w:t>يتها بالسيرة في علم الأصول كانت حاضرة</w:t>
      </w:r>
      <w:r w:rsidR="00154A07" w:rsidRPr="006571AC">
        <w:rPr>
          <w:rFonts w:hint="cs"/>
          <w:sz w:val="27"/>
          <w:rtl/>
        </w:rPr>
        <w:t>ً</w:t>
      </w:r>
      <w:r w:rsidRPr="006571AC">
        <w:rPr>
          <w:sz w:val="27"/>
          <w:rtl/>
        </w:rPr>
        <w:t xml:space="preserve"> في عصر حضور المعصومين</w:t>
      </w:r>
      <w:r w:rsidR="00F85FC2" w:rsidRPr="006571AC">
        <w:rPr>
          <w:rFonts w:ascii="Mosawi" w:hAnsi="Mosawi" w:cs="Mosawi"/>
          <w:sz w:val="22"/>
          <w:szCs w:val="22"/>
          <w:rtl/>
        </w:rPr>
        <w:t>^</w:t>
      </w:r>
      <w:r w:rsidRPr="006571AC">
        <w:rPr>
          <w:sz w:val="27"/>
          <w:rtl/>
        </w:rPr>
        <w:t xml:space="preserve">، وهم لم يردعوا عنها. </w:t>
      </w:r>
    </w:p>
    <w:p w:rsidR="00C37790" w:rsidRPr="006571AC" w:rsidRDefault="00C37790" w:rsidP="00C0404B">
      <w:pPr>
        <w:rPr>
          <w:sz w:val="27"/>
          <w:rtl/>
        </w:rPr>
      </w:pPr>
      <w:r w:rsidRPr="006571AC">
        <w:rPr>
          <w:sz w:val="27"/>
          <w:rtl/>
        </w:rPr>
        <w:t>ومن هنا، فإنّ علماء الأصول عند تمسّ</w:t>
      </w:r>
      <w:r w:rsidR="00154A07" w:rsidRPr="006571AC">
        <w:rPr>
          <w:rFonts w:hint="cs"/>
          <w:sz w:val="27"/>
          <w:rtl/>
        </w:rPr>
        <w:t>ُ</w:t>
      </w:r>
      <w:r w:rsidRPr="006571AC">
        <w:rPr>
          <w:sz w:val="27"/>
          <w:rtl/>
        </w:rPr>
        <w:t>كهم بالسيرة لإثبات المسائل الأصولية المتعدّ</w:t>
      </w:r>
      <w:r w:rsidR="00154A07" w:rsidRPr="006571AC">
        <w:rPr>
          <w:rFonts w:hint="cs"/>
          <w:sz w:val="27"/>
          <w:rtl/>
        </w:rPr>
        <w:t>ِ</w:t>
      </w:r>
      <w:r w:rsidRPr="006571AC">
        <w:rPr>
          <w:sz w:val="27"/>
          <w:rtl/>
        </w:rPr>
        <w:t>دة يقولون بأنّ السيرة جارية</w:t>
      </w:r>
      <w:r w:rsidR="00154A07" w:rsidRPr="006571AC">
        <w:rPr>
          <w:rFonts w:hint="cs"/>
          <w:sz w:val="27"/>
          <w:rtl/>
        </w:rPr>
        <w:t>ٌ</w:t>
      </w:r>
      <w:r w:rsidRPr="006571AC">
        <w:rPr>
          <w:sz w:val="27"/>
          <w:rtl/>
        </w:rPr>
        <w:t xml:space="preserve"> على هذه المسألة في كلّ الأزمنة</w:t>
      </w:r>
      <w:r w:rsidRPr="006571AC">
        <w:rPr>
          <w:sz w:val="27"/>
          <w:vertAlign w:val="superscript"/>
          <w:rtl/>
        </w:rPr>
        <w:t>(</w:t>
      </w:r>
      <w:r w:rsidRPr="006571AC">
        <w:rPr>
          <w:rStyle w:val="ac"/>
          <w:sz w:val="27"/>
          <w:rtl/>
        </w:rPr>
        <w:endnoteReference w:id="53"/>
      </w:r>
      <w:r w:rsidRPr="006571AC">
        <w:rPr>
          <w:sz w:val="27"/>
          <w:vertAlign w:val="superscript"/>
          <w:rtl/>
        </w:rPr>
        <w:t>)</w:t>
      </w:r>
      <w:r w:rsidRPr="006571AC">
        <w:rPr>
          <w:sz w:val="27"/>
          <w:rtl/>
        </w:rPr>
        <w:t xml:space="preserve">، أو السيرة على هذه المسألة من صدر الإسلام إلى </w:t>
      </w:r>
      <w:r w:rsidR="00154A07" w:rsidRPr="006571AC">
        <w:rPr>
          <w:rFonts w:hint="cs"/>
          <w:sz w:val="27"/>
          <w:rtl/>
        </w:rPr>
        <w:t>اليوم</w:t>
      </w:r>
      <w:r w:rsidRPr="006571AC">
        <w:rPr>
          <w:sz w:val="27"/>
          <w:vertAlign w:val="superscript"/>
          <w:rtl/>
        </w:rPr>
        <w:t>(</w:t>
      </w:r>
      <w:r w:rsidRPr="006571AC">
        <w:rPr>
          <w:rStyle w:val="ac"/>
          <w:sz w:val="27"/>
          <w:rtl/>
        </w:rPr>
        <w:endnoteReference w:id="54"/>
      </w:r>
      <w:r w:rsidRPr="006571AC">
        <w:rPr>
          <w:sz w:val="27"/>
          <w:vertAlign w:val="superscript"/>
          <w:rtl/>
        </w:rPr>
        <w:t>)</w:t>
      </w:r>
      <w:r w:rsidRPr="006571AC">
        <w:rPr>
          <w:sz w:val="27"/>
          <w:rtl/>
        </w:rPr>
        <w:t xml:space="preserve">، أو السيرة قائمة على هذا من </w:t>
      </w:r>
      <w:r w:rsidR="00154A07" w:rsidRPr="006571AC">
        <w:rPr>
          <w:rFonts w:hint="cs"/>
          <w:sz w:val="27"/>
          <w:rtl/>
        </w:rPr>
        <w:t>اليوم</w:t>
      </w:r>
      <w:r w:rsidRPr="006571AC">
        <w:rPr>
          <w:sz w:val="27"/>
          <w:rtl/>
        </w:rPr>
        <w:t xml:space="preserve"> إلى عصر التشري</w:t>
      </w:r>
      <w:r w:rsidRPr="006571AC">
        <w:rPr>
          <w:rFonts w:hint="cs"/>
          <w:sz w:val="27"/>
          <w:rtl/>
        </w:rPr>
        <w:t>ع</w:t>
      </w:r>
      <w:r w:rsidRPr="006571AC">
        <w:rPr>
          <w:sz w:val="27"/>
          <w:vertAlign w:val="superscript"/>
          <w:rtl/>
        </w:rPr>
        <w:t>(</w:t>
      </w:r>
      <w:r w:rsidRPr="006571AC">
        <w:rPr>
          <w:rStyle w:val="ac"/>
          <w:sz w:val="27"/>
          <w:rtl/>
        </w:rPr>
        <w:endnoteReference w:id="55"/>
      </w:r>
      <w:r w:rsidRPr="006571AC">
        <w:rPr>
          <w:sz w:val="27"/>
          <w:vertAlign w:val="superscript"/>
          <w:rtl/>
        </w:rPr>
        <w:t>)</w:t>
      </w:r>
      <w:r w:rsidRPr="006571AC">
        <w:rPr>
          <w:sz w:val="27"/>
          <w:rtl/>
        </w:rPr>
        <w:t>.</w:t>
      </w:r>
      <w:r w:rsidRPr="006571AC">
        <w:rPr>
          <w:rFonts w:hint="cs"/>
          <w:sz w:val="27"/>
          <w:rtl/>
        </w:rPr>
        <w:t xml:space="preserve"> </w:t>
      </w:r>
    </w:p>
    <w:p w:rsidR="00C37790" w:rsidRPr="006571AC" w:rsidRDefault="00C37790" w:rsidP="00C0404B">
      <w:pPr>
        <w:rPr>
          <w:sz w:val="27"/>
          <w:rtl/>
        </w:rPr>
      </w:pPr>
      <w:r w:rsidRPr="006571AC">
        <w:rPr>
          <w:sz w:val="27"/>
          <w:rtl/>
        </w:rPr>
        <w:t>بينما المسائل الفقهية على نوعين</w:t>
      </w:r>
      <w:r w:rsidR="00154A07" w:rsidRPr="006571AC">
        <w:rPr>
          <w:rFonts w:hint="cs"/>
          <w:sz w:val="27"/>
          <w:rtl/>
        </w:rPr>
        <w:t>؛</w:t>
      </w:r>
      <w:r w:rsidRPr="006571AC">
        <w:rPr>
          <w:sz w:val="27"/>
          <w:rtl/>
        </w:rPr>
        <w:t xml:space="preserve"> فبعضها كانت سيرة العقلاء في زمن المعصومين جارية</w:t>
      </w:r>
      <w:r w:rsidR="00154A07" w:rsidRPr="006571AC">
        <w:rPr>
          <w:rFonts w:hint="cs"/>
          <w:sz w:val="27"/>
          <w:rtl/>
        </w:rPr>
        <w:t>ً</w:t>
      </w:r>
      <w:r w:rsidRPr="006571AC">
        <w:rPr>
          <w:sz w:val="27"/>
          <w:rtl/>
        </w:rPr>
        <w:t xml:space="preserve"> عليها</w:t>
      </w:r>
      <w:r w:rsidR="00154A07" w:rsidRPr="006571AC">
        <w:rPr>
          <w:rFonts w:hint="cs"/>
          <w:sz w:val="27"/>
          <w:rtl/>
        </w:rPr>
        <w:t>؛</w:t>
      </w:r>
      <w:r w:rsidRPr="006571AC">
        <w:rPr>
          <w:sz w:val="27"/>
          <w:rtl/>
        </w:rPr>
        <w:t xml:space="preserve"> وبعضها لم تكن السيرة عليها آنذاك، لكنّ سيرة العقلاء في العديد من المجتمعات البشرية المعاصرة قائمة</w:t>
      </w:r>
      <w:r w:rsidR="00154A07" w:rsidRPr="006571AC">
        <w:rPr>
          <w:rFonts w:hint="cs"/>
          <w:sz w:val="27"/>
          <w:rtl/>
        </w:rPr>
        <w:t>ٌ</w:t>
      </w:r>
      <w:r w:rsidRPr="006571AC">
        <w:rPr>
          <w:sz w:val="27"/>
          <w:rtl/>
        </w:rPr>
        <w:t xml:space="preserve"> على اعتبارها، دون أن تكون من الس</w:t>
      </w:r>
      <w:r w:rsidR="00154A07" w:rsidRPr="006571AC">
        <w:rPr>
          <w:rFonts w:hint="cs"/>
          <w:sz w:val="27"/>
          <w:rtl/>
        </w:rPr>
        <w:t>ِّ</w:t>
      </w:r>
      <w:r w:rsidRPr="006571AC">
        <w:rPr>
          <w:sz w:val="27"/>
          <w:rtl/>
        </w:rPr>
        <w:t>ي</w:t>
      </w:r>
      <w:r w:rsidR="00154A07" w:rsidRPr="006571AC">
        <w:rPr>
          <w:rFonts w:hint="cs"/>
          <w:sz w:val="27"/>
          <w:rtl/>
        </w:rPr>
        <w:t>َ</w:t>
      </w:r>
      <w:r w:rsidRPr="006571AC">
        <w:rPr>
          <w:sz w:val="27"/>
          <w:rtl/>
        </w:rPr>
        <w:t>ر المحدودة بمجتمع</w:t>
      </w:r>
      <w:r w:rsidR="00154A07" w:rsidRPr="006571AC">
        <w:rPr>
          <w:rFonts w:hint="cs"/>
          <w:sz w:val="27"/>
          <w:rtl/>
        </w:rPr>
        <w:t>ٍ</w:t>
      </w:r>
      <w:r w:rsidRPr="006571AC">
        <w:rPr>
          <w:sz w:val="27"/>
          <w:rtl/>
        </w:rPr>
        <w:t xml:space="preserve"> خاصّ. </w:t>
      </w:r>
    </w:p>
    <w:p w:rsidR="00C37790" w:rsidRPr="006571AC" w:rsidRDefault="00C37790" w:rsidP="00C0404B">
      <w:pPr>
        <w:rPr>
          <w:sz w:val="27"/>
          <w:rtl/>
        </w:rPr>
      </w:pPr>
      <w:r w:rsidRPr="006571AC">
        <w:rPr>
          <w:sz w:val="27"/>
          <w:rtl/>
        </w:rPr>
        <w:lastRenderedPageBreak/>
        <w:t>والسؤال الذي يطرح هنا هو: هل لنا أن نقول ـ بصورة</w:t>
      </w:r>
      <w:r w:rsidR="00154A07" w:rsidRPr="006571AC">
        <w:rPr>
          <w:rFonts w:hint="cs"/>
          <w:sz w:val="27"/>
          <w:rtl/>
        </w:rPr>
        <w:t>ٍ</w:t>
      </w:r>
      <w:r w:rsidRPr="006571AC">
        <w:rPr>
          <w:sz w:val="27"/>
          <w:rtl/>
        </w:rPr>
        <w:t xml:space="preserve"> مطلقة أو مشروطة ـ بحجّية المسائل والطرق التي تستقرّ عليها س</w:t>
      </w:r>
      <w:r w:rsidR="00154A07" w:rsidRPr="006571AC">
        <w:rPr>
          <w:rFonts w:hint="cs"/>
          <w:sz w:val="27"/>
          <w:rtl/>
        </w:rPr>
        <w:t>ِ</w:t>
      </w:r>
      <w:r w:rsidRPr="006571AC">
        <w:rPr>
          <w:sz w:val="27"/>
          <w:rtl/>
        </w:rPr>
        <w:t>ي</w:t>
      </w:r>
      <w:r w:rsidR="00154A07" w:rsidRPr="006571AC">
        <w:rPr>
          <w:rFonts w:hint="cs"/>
          <w:sz w:val="27"/>
          <w:rtl/>
        </w:rPr>
        <w:t>َ</w:t>
      </w:r>
      <w:r w:rsidRPr="006571AC">
        <w:rPr>
          <w:sz w:val="27"/>
          <w:rtl/>
        </w:rPr>
        <w:t>ر</w:t>
      </w:r>
      <w:r w:rsidR="00154A07" w:rsidRPr="006571AC">
        <w:rPr>
          <w:rFonts w:hint="cs"/>
          <w:sz w:val="27"/>
          <w:rtl/>
        </w:rPr>
        <w:t>ٌ</w:t>
      </w:r>
      <w:r w:rsidRPr="006571AC">
        <w:rPr>
          <w:sz w:val="27"/>
          <w:rtl/>
        </w:rPr>
        <w:t xml:space="preserve"> عقلائية عامّة جديدة</w:t>
      </w:r>
      <w:r w:rsidR="00154A07" w:rsidRPr="006571AC">
        <w:rPr>
          <w:rFonts w:hint="cs"/>
          <w:sz w:val="27"/>
          <w:rtl/>
        </w:rPr>
        <w:t>،</w:t>
      </w:r>
      <w:r w:rsidRPr="006571AC">
        <w:rPr>
          <w:sz w:val="27"/>
          <w:rtl/>
        </w:rPr>
        <w:t xml:space="preserve"> مثل</w:t>
      </w:r>
      <w:r w:rsidR="00154A07" w:rsidRPr="006571AC">
        <w:rPr>
          <w:rFonts w:hint="cs"/>
          <w:sz w:val="27"/>
          <w:rtl/>
        </w:rPr>
        <w:t>:</w:t>
      </w:r>
      <w:r w:rsidRPr="006571AC">
        <w:rPr>
          <w:sz w:val="27"/>
          <w:rtl/>
        </w:rPr>
        <w:t xml:space="preserve"> اعتبار حقوق التأليف، والأخذ بآراء الأغلبية في تنظيم الشؤون السياسية للدول، وفي انتخاب مسؤولي الحكومات؟ وبعبارة</w:t>
      </w:r>
      <w:r w:rsidR="00154A07" w:rsidRPr="006571AC">
        <w:rPr>
          <w:rFonts w:hint="cs"/>
          <w:sz w:val="27"/>
          <w:rtl/>
        </w:rPr>
        <w:t>ٍ</w:t>
      </w:r>
      <w:r w:rsidRPr="006571AC">
        <w:rPr>
          <w:sz w:val="27"/>
          <w:rtl/>
        </w:rPr>
        <w:t xml:space="preserve"> أخرى: هل يمكن الحصول على دليل</w:t>
      </w:r>
      <w:r w:rsidR="00154A07" w:rsidRPr="006571AC">
        <w:rPr>
          <w:rFonts w:hint="cs"/>
          <w:sz w:val="27"/>
          <w:rtl/>
        </w:rPr>
        <w:t>ٍ</w:t>
      </w:r>
      <w:r w:rsidRPr="006571AC">
        <w:rPr>
          <w:sz w:val="27"/>
          <w:rtl/>
        </w:rPr>
        <w:t xml:space="preserve"> معتبر على حجّية الس</w:t>
      </w:r>
      <w:r w:rsidR="00154A07" w:rsidRPr="006571AC">
        <w:rPr>
          <w:rFonts w:hint="cs"/>
          <w:sz w:val="27"/>
          <w:rtl/>
        </w:rPr>
        <w:t>ِّ</w:t>
      </w:r>
      <w:r w:rsidRPr="006571AC">
        <w:rPr>
          <w:sz w:val="27"/>
          <w:rtl/>
        </w:rPr>
        <w:t>ي</w:t>
      </w:r>
      <w:r w:rsidR="00154A07" w:rsidRPr="006571AC">
        <w:rPr>
          <w:rFonts w:hint="cs"/>
          <w:sz w:val="27"/>
          <w:rtl/>
        </w:rPr>
        <w:t>َ</w:t>
      </w:r>
      <w:r w:rsidRPr="006571AC">
        <w:rPr>
          <w:sz w:val="27"/>
          <w:rtl/>
        </w:rPr>
        <w:t>ر العقلائية الجديدة والمتشكّ</w:t>
      </w:r>
      <w:r w:rsidR="00154A07" w:rsidRPr="006571AC">
        <w:rPr>
          <w:rFonts w:hint="cs"/>
          <w:sz w:val="27"/>
          <w:rtl/>
        </w:rPr>
        <w:t>ِ</w:t>
      </w:r>
      <w:r w:rsidRPr="006571AC">
        <w:rPr>
          <w:sz w:val="27"/>
          <w:rtl/>
        </w:rPr>
        <w:t>لة بعد عصر حضور المعصومين</w:t>
      </w:r>
      <w:r w:rsidR="002A2C90" w:rsidRPr="006571AC">
        <w:rPr>
          <w:rFonts w:ascii="Mosawi" w:hAnsi="Mosawi" w:cs="Mosawi"/>
          <w:sz w:val="22"/>
          <w:szCs w:val="22"/>
          <w:rtl/>
        </w:rPr>
        <w:t>^</w:t>
      </w:r>
      <w:r w:rsidRPr="006571AC">
        <w:rPr>
          <w:sz w:val="27"/>
          <w:rtl/>
        </w:rPr>
        <w:t xml:space="preserve"> </w:t>
      </w:r>
      <w:r w:rsidR="00DE7402" w:rsidRPr="006571AC">
        <w:rPr>
          <w:sz w:val="27"/>
          <w:rtl/>
        </w:rPr>
        <w:t>أم أن</w:t>
      </w:r>
      <w:r w:rsidRPr="006571AC">
        <w:rPr>
          <w:sz w:val="27"/>
          <w:rtl/>
        </w:rPr>
        <w:t>ه لا يوجد دليل</w:t>
      </w:r>
      <w:r w:rsidR="00DE7402" w:rsidRPr="006571AC">
        <w:rPr>
          <w:rFonts w:hint="cs"/>
          <w:sz w:val="27"/>
          <w:rtl/>
        </w:rPr>
        <w:t>ٌ</w:t>
      </w:r>
      <w:r w:rsidRPr="006571AC">
        <w:rPr>
          <w:sz w:val="27"/>
          <w:rtl/>
        </w:rPr>
        <w:t xml:space="preserve"> معتبر على حجّية هذا القسم من الس</w:t>
      </w:r>
      <w:r w:rsidR="00DE7402" w:rsidRPr="006571AC">
        <w:rPr>
          <w:rFonts w:hint="cs"/>
          <w:sz w:val="27"/>
          <w:rtl/>
        </w:rPr>
        <w:t>ِّ</w:t>
      </w:r>
      <w:r w:rsidRPr="006571AC">
        <w:rPr>
          <w:sz w:val="27"/>
          <w:rtl/>
        </w:rPr>
        <w:t>ي</w:t>
      </w:r>
      <w:r w:rsidR="00DE7402" w:rsidRPr="006571AC">
        <w:rPr>
          <w:rFonts w:hint="cs"/>
          <w:sz w:val="27"/>
          <w:rtl/>
        </w:rPr>
        <w:t>َ</w:t>
      </w:r>
      <w:r w:rsidRPr="006571AC">
        <w:rPr>
          <w:sz w:val="27"/>
          <w:rtl/>
        </w:rPr>
        <w:t>ر العقلائية، لا بصورة</w:t>
      </w:r>
      <w:r w:rsidR="00DE7402" w:rsidRPr="006571AC">
        <w:rPr>
          <w:rFonts w:hint="cs"/>
          <w:sz w:val="27"/>
          <w:rtl/>
        </w:rPr>
        <w:t>ٍ</w:t>
      </w:r>
      <w:r w:rsidRPr="006571AC">
        <w:rPr>
          <w:sz w:val="27"/>
          <w:rtl/>
        </w:rPr>
        <w:t xml:space="preserve"> مطلقة ولا بصورة</w:t>
      </w:r>
      <w:r w:rsidR="00DE7402" w:rsidRPr="006571AC">
        <w:rPr>
          <w:rFonts w:hint="cs"/>
          <w:sz w:val="27"/>
          <w:rtl/>
        </w:rPr>
        <w:t>ٍ</w:t>
      </w:r>
      <w:r w:rsidRPr="006571AC">
        <w:rPr>
          <w:sz w:val="27"/>
          <w:rtl/>
        </w:rPr>
        <w:t xml:space="preserve"> مشروطة؟ </w:t>
      </w:r>
    </w:p>
    <w:p w:rsidR="00C37790" w:rsidRPr="006571AC" w:rsidRDefault="00C37790" w:rsidP="00C0404B">
      <w:pPr>
        <w:rPr>
          <w:sz w:val="27"/>
          <w:rtl/>
        </w:rPr>
      </w:pPr>
      <w:r w:rsidRPr="006571AC">
        <w:rPr>
          <w:sz w:val="27"/>
          <w:rtl/>
        </w:rPr>
        <w:t>وقد اتّخذت طرق متعدّدة لإثبات حجّية السيرة</w:t>
      </w:r>
      <w:r w:rsidR="00DE7402" w:rsidRPr="006571AC">
        <w:rPr>
          <w:rFonts w:hint="cs"/>
          <w:sz w:val="27"/>
          <w:rtl/>
        </w:rPr>
        <w:t>،</w:t>
      </w:r>
      <w:r w:rsidRPr="006571AC">
        <w:rPr>
          <w:sz w:val="27"/>
          <w:rtl/>
        </w:rPr>
        <w:t xml:space="preserve"> مثل</w:t>
      </w:r>
      <w:r w:rsidR="00DE7402" w:rsidRPr="006571AC">
        <w:rPr>
          <w:rFonts w:hint="cs"/>
          <w:sz w:val="27"/>
          <w:rtl/>
        </w:rPr>
        <w:t>:</w:t>
      </w:r>
      <w:r w:rsidRPr="006571AC">
        <w:rPr>
          <w:sz w:val="27"/>
          <w:rtl/>
        </w:rPr>
        <w:t xml:space="preserve"> الحجّية الذاتية للس</w:t>
      </w:r>
      <w:r w:rsidR="00DE7402" w:rsidRPr="006571AC">
        <w:rPr>
          <w:rFonts w:hint="cs"/>
          <w:sz w:val="27"/>
          <w:rtl/>
        </w:rPr>
        <w:t>ِّ</w:t>
      </w:r>
      <w:r w:rsidRPr="006571AC">
        <w:rPr>
          <w:sz w:val="27"/>
          <w:rtl/>
        </w:rPr>
        <w:t>ي</w:t>
      </w:r>
      <w:r w:rsidR="00DE7402" w:rsidRPr="006571AC">
        <w:rPr>
          <w:rFonts w:hint="cs"/>
          <w:sz w:val="27"/>
          <w:rtl/>
        </w:rPr>
        <w:t>َ</w:t>
      </w:r>
      <w:r w:rsidRPr="006571AC">
        <w:rPr>
          <w:sz w:val="27"/>
          <w:rtl/>
        </w:rPr>
        <w:t>ر العقلائية</w:t>
      </w:r>
      <w:r w:rsidRPr="006571AC">
        <w:rPr>
          <w:sz w:val="27"/>
          <w:vertAlign w:val="superscript"/>
          <w:rtl/>
        </w:rPr>
        <w:t>(</w:t>
      </w:r>
      <w:r w:rsidRPr="006571AC">
        <w:rPr>
          <w:rStyle w:val="ac"/>
          <w:sz w:val="27"/>
          <w:rtl/>
        </w:rPr>
        <w:endnoteReference w:id="56"/>
      </w:r>
      <w:r w:rsidRPr="006571AC">
        <w:rPr>
          <w:sz w:val="27"/>
          <w:vertAlign w:val="superscript"/>
          <w:rtl/>
        </w:rPr>
        <w:t>)</w:t>
      </w:r>
      <w:r w:rsidRPr="006571AC">
        <w:rPr>
          <w:sz w:val="27"/>
          <w:rtl/>
        </w:rPr>
        <w:t>، وحجّية الس</w:t>
      </w:r>
      <w:r w:rsidR="00DE7402" w:rsidRPr="006571AC">
        <w:rPr>
          <w:rFonts w:hint="cs"/>
          <w:sz w:val="27"/>
          <w:rtl/>
        </w:rPr>
        <w:t>ِّ</w:t>
      </w:r>
      <w:r w:rsidRPr="006571AC">
        <w:rPr>
          <w:sz w:val="27"/>
          <w:rtl/>
        </w:rPr>
        <w:t>ي</w:t>
      </w:r>
      <w:r w:rsidR="00DE7402" w:rsidRPr="006571AC">
        <w:rPr>
          <w:rFonts w:hint="cs"/>
          <w:sz w:val="27"/>
          <w:rtl/>
        </w:rPr>
        <w:t>َ</w:t>
      </w:r>
      <w:r w:rsidRPr="006571AC">
        <w:rPr>
          <w:sz w:val="27"/>
          <w:rtl/>
        </w:rPr>
        <w:t>ر التي علم المعصوم بتحقّ</w:t>
      </w:r>
      <w:r w:rsidR="00DE7402" w:rsidRPr="006571AC">
        <w:rPr>
          <w:rFonts w:hint="cs"/>
          <w:sz w:val="27"/>
          <w:rtl/>
        </w:rPr>
        <w:t>ُ</w:t>
      </w:r>
      <w:r w:rsidRPr="006571AC">
        <w:rPr>
          <w:sz w:val="27"/>
          <w:rtl/>
        </w:rPr>
        <w:t>قها وأخبر عنها</w:t>
      </w:r>
      <w:r w:rsidRPr="006571AC">
        <w:rPr>
          <w:sz w:val="27"/>
          <w:vertAlign w:val="superscript"/>
          <w:rtl/>
        </w:rPr>
        <w:t>(</w:t>
      </w:r>
      <w:r w:rsidRPr="006571AC">
        <w:rPr>
          <w:rStyle w:val="ac"/>
          <w:sz w:val="27"/>
          <w:rtl/>
        </w:rPr>
        <w:endnoteReference w:id="57"/>
      </w:r>
      <w:r w:rsidRPr="006571AC">
        <w:rPr>
          <w:sz w:val="27"/>
          <w:vertAlign w:val="superscript"/>
          <w:rtl/>
        </w:rPr>
        <w:t>)</w:t>
      </w:r>
      <w:r w:rsidR="00DE7402" w:rsidRPr="006571AC">
        <w:rPr>
          <w:rFonts w:hint="cs"/>
          <w:sz w:val="27"/>
          <w:rtl/>
        </w:rPr>
        <w:t>.</w:t>
      </w:r>
      <w:r w:rsidRPr="006571AC">
        <w:rPr>
          <w:sz w:val="27"/>
          <w:rtl/>
        </w:rPr>
        <w:t xml:space="preserve"> لكنّني لم أق</w:t>
      </w:r>
      <w:r w:rsidR="00DE7402" w:rsidRPr="006571AC">
        <w:rPr>
          <w:rFonts w:hint="cs"/>
          <w:sz w:val="27"/>
          <w:rtl/>
        </w:rPr>
        <w:t>ِ</w:t>
      </w:r>
      <w:r w:rsidRPr="006571AC">
        <w:rPr>
          <w:sz w:val="27"/>
          <w:rtl/>
        </w:rPr>
        <w:t>ف</w:t>
      </w:r>
      <w:r w:rsidR="00DE7402" w:rsidRPr="006571AC">
        <w:rPr>
          <w:rFonts w:hint="cs"/>
          <w:sz w:val="27"/>
          <w:rtl/>
        </w:rPr>
        <w:t>ْ</w:t>
      </w:r>
      <w:r w:rsidRPr="006571AC">
        <w:rPr>
          <w:sz w:val="27"/>
          <w:rtl/>
        </w:rPr>
        <w:t xml:space="preserve"> على م</w:t>
      </w:r>
      <w:r w:rsidR="00DE7402" w:rsidRPr="006571AC">
        <w:rPr>
          <w:rFonts w:hint="cs"/>
          <w:sz w:val="27"/>
          <w:rtl/>
        </w:rPr>
        <w:t>َ</w:t>
      </w:r>
      <w:r w:rsidRPr="006571AC">
        <w:rPr>
          <w:sz w:val="27"/>
          <w:rtl/>
        </w:rPr>
        <w:t>ن</w:t>
      </w:r>
      <w:r w:rsidR="00DE7402" w:rsidRPr="006571AC">
        <w:rPr>
          <w:rFonts w:hint="cs"/>
          <w:sz w:val="27"/>
          <w:rtl/>
        </w:rPr>
        <w:t>ْ</w:t>
      </w:r>
      <w:r w:rsidRPr="006571AC">
        <w:rPr>
          <w:sz w:val="27"/>
          <w:rtl/>
        </w:rPr>
        <w:t xml:space="preserve"> طرق الموضوع من هذه الجهة. لذلك فإنّ فكرة البحث تعتبر جديدة</w:t>
      </w:r>
      <w:r w:rsidR="00DE7402" w:rsidRPr="006571AC">
        <w:rPr>
          <w:rFonts w:hint="cs"/>
          <w:sz w:val="27"/>
          <w:rtl/>
        </w:rPr>
        <w:t>ً</w:t>
      </w:r>
      <w:r w:rsidRPr="006571AC">
        <w:rPr>
          <w:sz w:val="27"/>
          <w:rtl/>
        </w:rPr>
        <w:t xml:space="preserve">. </w:t>
      </w:r>
    </w:p>
    <w:p w:rsidR="00C37790" w:rsidRPr="006571AC" w:rsidRDefault="00C37790" w:rsidP="00166320">
      <w:pPr>
        <w:spacing w:line="440" w:lineRule="exact"/>
        <w:rPr>
          <w:sz w:val="27"/>
          <w:rtl/>
        </w:rPr>
      </w:pPr>
    </w:p>
    <w:p w:rsidR="00C37790" w:rsidRPr="006571AC" w:rsidRDefault="00C37790" w:rsidP="0065120C">
      <w:pPr>
        <w:pStyle w:val="31"/>
        <w:rPr>
          <w:color w:val="auto"/>
          <w:rtl/>
        </w:rPr>
      </w:pPr>
      <w:bookmarkStart w:id="37" w:name="_Toc114164526"/>
      <w:r w:rsidRPr="006571AC">
        <w:rPr>
          <w:color w:val="auto"/>
          <w:rtl/>
        </w:rPr>
        <w:t>تعريف السيرة</w:t>
      </w:r>
      <w:r w:rsidR="00780A47" w:rsidRPr="006571AC">
        <w:rPr>
          <w:rFonts w:hint="cs"/>
          <w:color w:val="auto"/>
          <w:rtl/>
        </w:rPr>
        <w:t xml:space="preserve"> العقلائيّة</w:t>
      </w:r>
      <w:bookmarkEnd w:id="37"/>
    </w:p>
    <w:p w:rsidR="00C37790" w:rsidRPr="006571AC" w:rsidRDefault="00C37790" w:rsidP="00C0404B">
      <w:pPr>
        <w:rPr>
          <w:sz w:val="27"/>
          <w:rtl/>
        </w:rPr>
      </w:pPr>
      <w:r w:rsidRPr="006571AC">
        <w:rPr>
          <w:sz w:val="27"/>
          <w:rtl/>
        </w:rPr>
        <w:t>تطلق السيرة العقلائية على طريقة</w:t>
      </w:r>
      <w:r w:rsidR="00DE7402" w:rsidRPr="006571AC">
        <w:rPr>
          <w:rFonts w:hint="cs"/>
          <w:sz w:val="27"/>
          <w:rtl/>
        </w:rPr>
        <w:t>ٍ</w:t>
      </w:r>
      <w:r w:rsidRPr="006571AC">
        <w:rPr>
          <w:sz w:val="27"/>
          <w:rtl/>
        </w:rPr>
        <w:t xml:space="preserve"> مستمرّة للناس في واقعهم العملي</w:t>
      </w:r>
      <w:r w:rsidR="00DE7402" w:rsidRPr="006571AC">
        <w:rPr>
          <w:rFonts w:hint="cs"/>
          <w:sz w:val="27"/>
          <w:rtl/>
        </w:rPr>
        <w:t>ّ</w:t>
      </w:r>
      <w:r w:rsidRPr="006571AC">
        <w:rPr>
          <w:sz w:val="27"/>
          <w:rtl/>
        </w:rPr>
        <w:t xml:space="preserve"> على فعل شيء</w:t>
      </w:r>
      <w:r w:rsidR="00DE7402" w:rsidRPr="006571AC">
        <w:rPr>
          <w:rFonts w:hint="cs"/>
          <w:sz w:val="27"/>
          <w:rtl/>
        </w:rPr>
        <w:t>ٍ</w:t>
      </w:r>
      <w:r w:rsidRPr="006571AC">
        <w:rPr>
          <w:sz w:val="27"/>
          <w:rtl/>
        </w:rPr>
        <w:t xml:space="preserve"> أو ترك شي</w:t>
      </w:r>
      <w:r w:rsidRPr="006571AC">
        <w:rPr>
          <w:rFonts w:hint="cs"/>
          <w:sz w:val="27"/>
          <w:rtl/>
        </w:rPr>
        <w:t>ء</w:t>
      </w:r>
      <w:r w:rsidR="00DE7402" w:rsidRPr="006571AC">
        <w:rPr>
          <w:rFonts w:hint="cs"/>
          <w:sz w:val="27"/>
          <w:rtl/>
        </w:rPr>
        <w:t>ٍ</w:t>
      </w:r>
      <w:r w:rsidRPr="006571AC">
        <w:rPr>
          <w:sz w:val="27"/>
          <w:vertAlign w:val="superscript"/>
          <w:rtl/>
        </w:rPr>
        <w:t>(</w:t>
      </w:r>
      <w:r w:rsidRPr="006571AC">
        <w:rPr>
          <w:rStyle w:val="ac"/>
          <w:sz w:val="27"/>
          <w:rtl/>
        </w:rPr>
        <w:endnoteReference w:id="58"/>
      </w:r>
      <w:r w:rsidRPr="006571AC">
        <w:rPr>
          <w:sz w:val="27"/>
          <w:vertAlign w:val="superscript"/>
          <w:rtl/>
        </w:rPr>
        <w:t>)</w:t>
      </w:r>
      <w:r w:rsidRPr="006571AC">
        <w:rPr>
          <w:sz w:val="27"/>
          <w:rtl/>
        </w:rPr>
        <w:t>.</w:t>
      </w:r>
      <w:r w:rsidRPr="006571AC">
        <w:rPr>
          <w:rFonts w:hint="cs"/>
          <w:sz w:val="27"/>
          <w:rtl/>
        </w:rPr>
        <w:t xml:space="preserve"> </w:t>
      </w:r>
      <w:r w:rsidRPr="006571AC">
        <w:rPr>
          <w:sz w:val="27"/>
          <w:rtl/>
        </w:rPr>
        <w:t>والسيرة العقلائية تفترق عن الارتكاز العقلائي؛ فإنّ السيرة يشترط فيها أن تكون متجسّدة</w:t>
      </w:r>
      <w:r w:rsidR="00DE7402" w:rsidRPr="006571AC">
        <w:rPr>
          <w:rFonts w:hint="cs"/>
          <w:sz w:val="27"/>
          <w:rtl/>
        </w:rPr>
        <w:t>ً</w:t>
      </w:r>
      <w:r w:rsidRPr="006571AC">
        <w:rPr>
          <w:sz w:val="27"/>
          <w:rtl/>
        </w:rPr>
        <w:t xml:space="preserve"> في السلوك الخارجي للناس، بينما الارتكاز أمر</w:t>
      </w:r>
      <w:r w:rsidR="00DE7402" w:rsidRPr="006571AC">
        <w:rPr>
          <w:rFonts w:hint="cs"/>
          <w:sz w:val="27"/>
          <w:rtl/>
        </w:rPr>
        <w:t>ٌ</w:t>
      </w:r>
      <w:r w:rsidRPr="006571AC">
        <w:rPr>
          <w:sz w:val="27"/>
          <w:rtl/>
        </w:rPr>
        <w:t xml:space="preserve"> ذهني، وليس له بنفسه تجسّ</w:t>
      </w:r>
      <w:r w:rsidR="00DE7402" w:rsidRPr="006571AC">
        <w:rPr>
          <w:rFonts w:hint="cs"/>
          <w:sz w:val="27"/>
          <w:rtl/>
        </w:rPr>
        <w:t>ُ</w:t>
      </w:r>
      <w:r w:rsidRPr="006571AC">
        <w:rPr>
          <w:sz w:val="27"/>
          <w:rtl/>
        </w:rPr>
        <w:t>د</w:t>
      </w:r>
      <w:r w:rsidR="00DE7402" w:rsidRPr="006571AC">
        <w:rPr>
          <w:rFonts w:hint="cs"/>
          <w:sz w:val="27"/>
          <w:rtl/>
        </w:rPr>
        <w:t>ٌ</w:t>
      </w:r>
      <w:r w:rsidRPr="006571AC">
        <w:rPr>
          <w:sz w:val="27"/>
          <w:rtl/>
        </w:rPr>
        <w:t xml:space="preserve"> خارجي. كما يوجد ف</w:t>
      </w:r>
      <w:r w:rsidR="00F85FC2" w:rsidRPr="006571AC">
        <w:rPr>
          <w:rFonts w:hint="cs"/>
          <w:sz w:val="27"/>
          <w:rtl/>
        </w:rPr>
        <w:t>َ</w:t>
      </w:r>
      <w:r w:rsidRPr="006571AC">
        <w:rPr>
          <w:sz w:val="27"/>
          <w:rtl/>
        </w:rPr>
        <w:t>ر</w:t>
      </w:r>
      <w:r w:rsidR="00F85FC2" w:rsidRPr="006571AC">
        <w:rPr>
          <w:rFonts w:hint="cs"/>
          <w:sz w:val="27"/>
          <w:rtl/>
        </w:rPr>
        <w:t>ْ</w:t>
      </w:r>
      <w:r w:rsidRPr="006571AC">
        <w:rPr>
          <w:sz w:val="27"/>
          <w:rtl/>
        </w:rPr>
        <w:t>ق</w:t>
      </w:r>
      <w:r w:rsidR="00F85FC2" w:rsidRPr="006571AC">
        <w:rPr>
          <w:rFonts w:hint="cs"/>
          <w:sz w:val="27"/>
          <w:rtl/>
        </w:rPr>
        <w:t>ٌ</w:t>
      </w:r>
      <w:r w:rsidRPr="006571AC">
        <w:rPr>
          <w:sz w:val="27"/>
          <w:rtl/>
        </w:rPr>
        <w:t xml:space="preserve"> بين السيرة العقلائية وسيرة المتشرّ</w:t>
      </w:r>
      <w:r w:rsidR="00DE7402" w:rsidRPr="006571AC">
        <w:rPr>
          <w:rFonts w:hint="cs"/>
          <w:sz w:val="27"/>
          <w:rtl/>
        </w:rPr>
        <w:t>ِ</w:t>
      </w:r>
      <w:r w:rsidRPr="006571AC">
        <w:rPr>
          <w:sz w:val="27"/>
          <w:rtl/>
        </w:rPr>
        <w:t>عة؛ لأنّها طريقة</w:t>
      </w:r>
      <w:r w:rsidR="00DE7402" w:rsidRPr="006571AC">
        <w:rPr>
          <w:rFonts w:hint="cs"/>
          <w:sz w:val="27"/>
          <w:rtl/>
        </w:rPr>
        <w:t>ٌ</w:t>
      </w:r>
      <w:r w:rsidRPr="006571AC">
        <w:rPr>
          <w:sz w:val="27"/>
          <w:rtl/>
        </w:rPr>
        <w:t xml:space="preserve"> مستمرّة للمتديّ</w:t>
      </w:r>
      <w:r w:rsidR="00DE7402" w:rsidRPr="006571AC">
        <w:rPr>
          <w:rFonts w:hint="cs"/>
          <w:sz w:val="27"/>
          <w:rtl/>
        </w:rPr>
        <w:t>ِ</w:t>
      </w:r>
      <w:r w:rsidRPr="006571AC">
        <w:rPr>
          <w:sz w:val="27"/>
          <w:rtl/>
        </w:rPr>
        <w:t>نين خاصّة، في أمورهم الشرعي</w:t>
      </w:r>
      <w:r w:rsidR="00DE7402" w:rsidRPr="006571AC">
        <w:rPr>
          <w:rFonts w:hint="cs"/>
          <w:sz w:val="27"/>
          <w:rtl/>
        </w:rPr>
        <w:t>ّ</w:t>
      </w:r>
      <w:r w:rsidRPr="006571AC">
        <w:rPr>
          <w:sz w:val="27"/>
          <w:rtl/>
        </w:rPr>
        <w:t>ة، قائمة</w:t>
      </w:r>
      <w:r w:rsidR="00DE7402" w:rsidRPr="006571AC">
        <w:rPr>
          <w:rFonts w:hint="cs"/>
          <w:sz w:val="27"/>
          <w:rtl/>
        </w:rPr>
        <w:t>ٌ</w:t>
      </w:r>
      <w:r w:rsidRPr="006571AC">
        <w:rPr>
          <w:sz w:val="27"/>
          <w:rtl/>
        </w:rPr>
        <w:t xml:space="preserve"> على فعل شيء</w:t>
      </w:r>
      <w:r w:rsidR="00DE7402" w:rsidRPr="006571AC">
        <w:rPr>
          <w:rFonts w:hint="cs"/>
          <w:sz w:val="27"/>
          <w:rtl/>
        </w:rPr>
        <w:t>ٍ</w:t>
      </w:r>
      <w:r w:rsidRPr="006571AC">
        <w:rPr>
          <w:sz w:val="27"/>
          <w:rtl/>
        </w:rPr>
        <w:t xml:space="preserve"> أو ترك شيء</w:t>
      </w:r>
      <w:r w:rsidR="00DE7402" w:rsidRPr="006571AC">
        <w:rPr>
          <w:rFonts w:hint="cs"/>
          <w:sz w:val="27"/>
          <w:rtl/>
        </w:rPr>
        <w:t>ٍ</w:t>
      </w:r>
      <w:r w:rsidRPr="006571AC">
        <w:rPr>
          <w:sz w:val="27"/>
          <w:rtl/>
        </w:rPr>
        <w:t>، في واقعهم العملي</w:t>
      </w:r>
      <w:r w:rsidR="00DE7402" w:rsidRPr="006571AC">
        <w:rPr>
          <w:rFonts w:hint="cs"/>
          <w:sz w:val="27"/>
          <w:rtl/>
        </w:rPr>
        <w:t>ّ</w:t>
      </w:r>
      <w:r w:rsidRPr="006571AC">
        <w:rPr>
          <w:sz w:val="27"/>
          <w:vertAlign w:val="superscript"/>
          <w:rtl/>
        </w:rPr>
        <w:t>(</w:t>
      </w:r>
      <w:r w:rsidRPr="006571AC">
        <w:rPr>
          <w:rStyle w:val="ac"/>
          <w:sz w:val="27"/>
          <w:rtl/>
        </w:rPr>
        <w:endnoteReference w:id="59"/>
      </w:r>
      <w:r w:rsidRPr="006571AC">
        <w:rPr>
          <w:sz w:val="27"/>
          <w:vertAlign w:val="superscript"/>
          <w:rtl/>
        </w:rPr>
        <w:t>)</w:t>
      </w:r>
      <w:r w:rsidRPr="006571AC">
        <w:rPr>
          <w:sz w:val="27"/>
          <w:rtl/>
        </w:rPr>
        <w:t xml:space="preserve">. </w:t>
      </w:r>
    </w:p>
    <w:p w:rsidR="00C37790" w:rsidRPr="006571AC" w:rsidRDefault="00C37790" w:rsidP="00166320">
      <w:pPr>
        <w:spacing w:line="420" w:lineRule="exact"/>
        <w:rPr>
          <w:sz w:val="27"/>
          <w:rtl/>
        </w:rPr>
      </w:pPr>
      <w:r w:rsidRPr="006571AC">
        <w:rPr>
          <w:rFonts w:hint="cs"/>
          <w:sz w:val="27"/>
          <w:rtl/>
        </w:rPr>
        <w:t xml:space="preserve"> </w:t>
      </w:r>
    </w:p>
    <w:p w:rsidR="00C37790" w:rsidRPr="006571AC" w:rsidRDefault="00C37790" w:rsidP="0065120C">
      <w:pPr>
        <w:pStyle w:val="31"/>
        <w:rPr>
          <w:color w:val="auto"/>
          <w:rtl/>
        </w:rPr>
      </w:pPr>
      <w:bookmarkStart w:id="38" w:name="_Toc114164527"/>
      <w:r w:rsidRPr="006571AC">
        <w:rPr>
          <w:color w:val="auto"/>
          <w:rtl/>
        </w:rPr>
        <w:t>أقسام سيرة العقلاء</w:t>
      </w:r>
      <w:bookmarkEnd w:id="38"/>
    </w:p>
    <w:p w:rsidR="00C37790" w:rsidRPr="006571AC" w:rsidRDefault="00C37790" w:rsidP="00F85FC2">
      <w:pPr>
        <w:rPr>
          <w:sz w:val="27"/>
          <w:rtl/>
        </w:rPr>
      </w:pPr>
      <w:r w:rsidRPr="006571AC">
        <w:rPr>
          <w:sz w:val="27"/>
          <w:rtl/>
        </w:rPr>
        <w:t>للسيرة العقلائية أقسام</w:t>
      </w:r>
      <w:r w:rsidR="00DE7402" w:rsidRPr="006571AC">
        <w:rPr>
          <w:rFonts w:hint="cs"/>
          <w:sz w:val="27"/>
          <w:rtl/>
        </w:rPr>
        <w:t>ٌ</w:t>
      </w:r>
      <w:r w:rsidRPr="006571AC">
        <w:rPr>
          <w:sz w:val="27"/>
          <w:rtl/>
        </w:rPr>
        <w:t xml:space="preserve"> متعدّ</w:t>
      </w:r>
      <w:r w:rsidR="00DE7402" w:rsidRPr="006571AC">
        <w:rPr>
          <w:rFonts w:hint="cs"/>
          <w:sz w:val="27"/>
          <w:rtl/>
        </w:rPr>
        <w:t>ِ</w:t>
      </w:r>
      <w:r w:rsidRPr="006571AC">
        <w:rPr>
          <w:sz w:val="27"/>
          <w:rtl/>
        </w:rPr>
        <w:t xml:space="preserve">دة، لسنا </w:t>
      </w:r>
      <w:r w:rsidR="00F85FC2" w:rsidRPr="006571AC">
        <w:rPr>
          <w:rFonts w:hint="cs"/>
          <w:sz w:val="27"/>
          <w:rtl/>
        </w:rPr>
        <w:t xml:space="preserve">في </w:t>
      </w:r>
      <w:r w:rsidRPr="006571AC">
        <w:rPr>
          <w:sz w:val="27"/>
          <w:rtl/>
        </w:rPr>
        <w:t>ص</w:t>
      </w:r>
      <w:r w:rsidR="00F85FC2" w:rsidRPr="006571AC">
        <w:rPr>
          <w:rFonts w:hint="cs"/>
          <w:sz w:val="27"/>
          <w:rtl/>
        </w:rPr>
        <w:t>َ</w:t>
      </w:r>
      <w:r w:rsidRPr="006571AC">
        <w:rPr>
          <w:sz w:val="27"/>
          <w:rtl/>
        </w:rPr>
        <w:t>د</w:t>
      </w:r>
      <w:r w:rsidR="00F85FC2" w:rsidRPr="006571AC">
        <w:rPr>
          <w:rFonts w:hint="cs"/>
          <w:sz w:val="27"/>
          <w:rtl/>
        </w:rPr>
        <w:t>َ</w:t>
      </w:r>
      <w:r w:rsidRPr="006571AC">
        <w:rPr>
          <w:sz w:val="27"/>
          <w:rtl/>
        </w:rPr>
        <w:t>د ذكرها جميعاً، وإنّما نكتفي بتقسيم</w:t>
      </w:r>
      <w:r w:rsidR="00DE7402" w:rsidRPr="006571AC">
        <w:rPr>
          <w:rFonts w:hint="cs"/>
          <w:sz w:val="27"/>
          <w:rtl/>
        </w:rPr>
        <w:t>ٍ</w:t>
      </w:r>
      <w:r w:rsidRPr="006571AC">
        <w:rPr>
          <w:sz w:val="27"/>
          <w:rtl/>
        </w:rPr>
        <w:t xml:space="preserve"> واحد منها، وهو انقسامها إلى: </w:t>
      </w:r>
    </w:p>
    <w:p w:rsidR="00C37790" w:rsidRPr="006571AC" w:rsidRDefault="00C37790" w:rsidP="00C0404B">
      <w:pPr>
        <w:rPr>
          <w:sz w:val="27"/>
          <w:rtl/>
        </w:rPr>
      </w:pPr>
      <w:r w:rsidRPr="006571AC">
        <w:rPr>
          <w:b/>
          <w:bCs/>
          <w:sz w:val="27"/>
          <w:rtl/>
        </w:rPr>
        <w:t>أـ السيرة المعاصرة</w:t>
      </w:r>
      <w:r w:rsidRPr="006571AC">
        <w:rPr>
          <w:sz w:val="27"/>
          <w:rtl/>
        </w:rPr>
        <w:t>: وهي السيرة الموجودة في زمن حضور المعصوم</w:t>
      </w:r>
      <w:r w:rsidR="002A2C90" w:rsidRPr="006571AC">
        <w:rPr>
          <w:rFonts w:ascii="Mosawi" w:hAnsi="Mosawi" w:cs="Mosawi"/>
          <w:sz w:val="22"/>
          <w:szCs w:val="22"/>
          <w:rtl/>
        </w:rPr>
        <w:t>×</w:t>
      </w:r>
      <w:r w:rsidRPr="006571AC">
        <w:rPr>
          <w:sz w:val="27"/>
          <w:rtl/>
        </w:rPr>
        <w:t xml:space="preserve">، </w:t>
      </w:r>
      <w:r w:rsidR="00DE7402" w:rsidRPr="006571AC">
        <w:rPr>
          <w:rFonts w:hint="cs"/>
          <w:sz w:val="27"/>
          <w:rtl/>
        </w:rPr>
        <w:t>وب</w:t>
      </w:r>
      <w:r w:rsidRPr="006571AC">
        <w:rPr>
          <w:sz w:val="27"/>
          <w:rtl/>
        </w:rPr>
        <w:t xml:space="preserve">مرآه وتحت نظره. </w:t>
      </w:r>
    </w:p>
    <w:p w:rsidR="00C37790" w:rsidRPr="006571AC" w:rsidRDefault="00C37790" w:rsidP="00C0404B">
      <w:pPr>
        <w:rPr>
          <w:sz w:val="27"/>
          <w:rtl/>
        </w:rPr>
      </w:pPr>
      <w:r w:rsidRPr="006571AC">
        <w:rPr>
          <w:b/>
          <w:bCs/>
          <w:sz w:val="27"/>
          <w:rtl/>
        </w:rPr>
        <w:t>ب ـ السير المست</w:t>
      </w:r>
      <w:r w:rsidR="00DE7402" w:rsidRPr="006571AC">
        <w:rPr>
          <w:rFonts w:hint="cs"/>
          <w:b/>
          <w:bCs/>
          <w:sz w:val="27"/>
          <w:rtl/>
        </w:rPr>
        <w:t>َ</w:t>
      </w:r>
      <w:r w:rsidRPr="006571AC">
        <w:rPr>
          <w:b/>
          <w:bCs/>
          <w:sz w:val="27"/>
          <w:rtl/>
        </w:rPr>
        <w:t>ح</w:t>
      </w:r>
      <w:r w:rsidR="00DE7402" w:rsidRPr="006571AC">
        <w:rPr>
          <w:rFonts w:hint="cs"/>
          <w:b/>
          <w:bCs/>
          <w:sz w:val="27"/>
          <w:rtl/>
        </w:rPr>
        <w:t>ْ</w:t>
      </w:r>
      <w:r w:rsidRPr="006571AC">
        <w:rPr>
          <w:b/>
          <w:bCs/>
          <w:sz w:val="27"/>
          <w:rtl/>
        </w:rPr>
        <w:t>د</w:t>
      </w:r>
      <w:r w:rsidR="00DE7402" w:rsidRPr="006571AC">
        <w:rPr>
          <w:rFonts w:hint="cs"/>
          <w:b/>
          <w:bCs/>
          <w:sz w:val="27"/>
          <w:rtl/>
        </w:rPr>
        <w:t>َ</w:t>
      </w:r>
      <w:r w:rsidRPr="006571AC">
        <w:rPr>
          <w:b/>
          <w:bCs/>
          <w:sz w:val="27"/>
          <w:rtl/>
        </w:rPr>
        <w:t>ثة</w:t>
      </w:r>
      <w:r w:rsidRPr="006571AC">
        <w:rPr>
          <w:sz w:val="27"/>
          <w:rtl/>
        </w:rPr>
        <w:t>: وهي السيرة التي تحصل بعد زمن حضور المعصوم</w:t>
      </w:r>
      <w:r w:rsidR="002A2C90" w:rsidRPr="006571AC">
        <w:rPr>
          <w:rFonts w:ascii="Mosawi" w:hAnsi="Mosawi" w:cs="Mosawi"/>
          <w:sz w:val="22"/>
          <w:szCs w:val="22"/>
          <w:rtl/>
        </w:rPr>
        <w:t>×</w:t>
      </w:r>
      <w:r w:rsidRPr="006571AC">
        <w:rPr>
          <w:sz w:val="27"/>
          <w:rtl/>
        </w:rPr>
        <w:t xml:space="preserve">، وبعيداً عن نظره. </w:t>
      </w:r>
    </w:p>
    <w:p w:rsidR="00C37790" w:rsidRPr="006571AC" w:rsidRDefault="00C37790" w:rsidP="00C0404B">
      <w:pPr>
        <w:rPr>
          <w:sz w:val="27"/>
          <w:rtl/>
        </w:rPr>
      </w:pPr>
      <w:r w:rsidRPr="006571AC">
        <w:rPr>
          <w:sz w:val="27"/>
          <w:rtl/>
        </w:rPr>
        <w:lastRenderedPageBreak/>
        <w:t>ومرادنا من السيرة في هذا البحث هو خصوص الس</w:t>
      </w:r>
      <w:r w:rsidR="00F90790" w:rsidRPr="006571AC">
        <w:rPr>
          <w:rFonts w:hint="cs"/>
          <w:sz w:val="27"/>
          <w:rtl/>
        </w:rPr>
        <w:t>ِّ</w:t>
      </w:r>
      <w:r w:rsidRPr="006571AC">
        <w:rPr>
          <w:sz w:val="27"/>
          <w:rtl/>
        </w:rPr>
        <w:t>ي</w:t>
      </w:r>
      <w:r w:rsidR="00F90790" w:rsidRPr="006571AC">
        <w:rPr>
          <w:rFonts w:hint="cs"/>
          <w:sz w:val="27"/>
          <w:rtl/>
        </w:rPr>
        <w:t>َ</w:t>
      </w:r>
      <w:r w:rsidRPr="006571AC">
        <w:rPr>
          <w:sz w:val="27"/>
          <w:rtl/>
        </w:rPr>
        <w:t xml:space="preserve">ر العقلائية الجديدة. </w:t>
      </w:r>
    </w:p>
    <w:p w:rsidR="00C37790" w:rsidRPr="006571AC" w:rsidRDefault="00C37790" w:rsidP="00B373C2">
      <w:pPr>
        <w:rPr>
          <w:sz w:val="27"/>
          <w:rtl/>
        </w:rPr>
      </w:pPr>
      <w:r w:rsidRPr="006571AC">
        <w:rPr>
          <w:sz w:val="27"/>
          <w:rtl/>
        </w:rPr>
        <w:t>وإذا جئنا إلى علماء الأصول والفقه فسنجد معظمهم قد اشترطوا في حجّية السيرة العقلائية إمضاء المعصوم</w:t>
      </w:r>
      <w:r w:rsidR="00B373C2" w:rsidRPr="006571AC">
        <w:rPr>
          <w:rFonts w:ascii="Mosawi" w:hAnsi="Mosawi" w:cs="Mosawi"/>
          <w:sz w:val="22"/>
          <w:szCs w:val="22"/>
          <w:rtl/>
        </w:rPr>
        <w:t>×</w:t>
      </w:r>
      <w:r w:rsidRPr="006571AC">
        <w:rPr>
          <w:sz w:val="27"/>
          <w:rtl/>
        </w:rPr>
        <w:t xml:space="preserve"> ل</w:t>
      </w:r>
      <w:r w:rsidRPr="006571AC">
        <w:rPr>
          <w:rFonts w:hint="cs"/>
          <w:sz w:val="27"/>
          <w:rtl/>
        </w:rPr>
        <w:t>ه</w:t>
      </w:r>
      <w:r w:rsidR="00F90790" w:rsidRPr="006571AC">
        <w:rPr>
          <w:rFonts w:hint="cs"/>
          <w:sz w:val="27"/>
          <w:rtl/>
        </w:rPr>
        <w:t>ا</w:t>
      </w:r>
      <w:r w:rsidRPr="006571AC">
        <w:rPr>
          <w:sz w:val="27"/>
          <w:vertAlign w:val="superscript"/>
          <w:rtl/>
        </w:rPr>
        <w:t>(</w:t>
      </w:r>
      <w:r w:rsidRPr="006571AC">
        <w:rPr>
          <w:rStyle w:val="ac"/>
          <w:sz w:val="27"/>
          <w:rtl/>
        </w:rPr>
        <w:endnoteReference w:id="60"/>
      </w:r>
      <w:r w:rsidRPr="006571AC">
        <w:rPr>
          <w:sz w:val="27"/>
          <w:vertAlign w:val="superscript"/>
          <w:rtl/>
        </w:rPr>
        <w:t>)</w:t>
      </w:r>
      <w:r w:rsidR="00F90790" w:rsidRPr="006571AC">
        <w:rPr>
          <w:rFonts w:hint="cs"/>
          <w:sz w:val="27"/>
          <w:rtl/>
        </w:rPr>
        <w:t>،</w:t>
      </w:r>
      <w:r w:rsidRPr="006571AC">
        <w:rPr>
          <w:sz w:val="27"/>
          <w:rtl/>
        </w:rPr>
        <w:t xml:space="preserve"> أو عدم ردعه عنها وإبطاله لاعتبارها</w:t>
      </w:r>
      <w:r w:rsidR="00F90790" w:rsidRPr="006571AC">
        <w:rPr>
          <w:rFonts w:hint="cs"/>
          <w:sz w:val="27"/>
          <w:rtl/>
        </w:rPr>
        <w:t>.</w:t>
      </w:r>
      <w:r w:rsidRPr="006571AC">
        <w:rPr>
          <w:sz w:val="27"/>
          <w:rtl/>
        </w:rPr>
        <w:t xml:space="preserve"> لذلك فقد ذكروا أنّه </w:t>
      </w:r>
      <w:r w:rsidR="00731867" w:rsidRPr="006571AC">
        <w:rPr>
          <w:sz w:val="27"/>
          <w:rtl/>
        </w:rPr>
        <w:t>لا بُدَّ</w:t>
      </w:r>
      <w:r w:rsidRPr="006571AC">
        <w:rPr>
          <w:sz w:val="27"/>
          <w:rtl/>
        </w:rPr>
        <w:t xml:space="preserve"> من وجود السيرة في زمان حضور المعصوم، دون أن يصدر منه ردع</w:t>
      </w:r>
      <w:r w:rsidR="00F90790" w:rsidRPr="006571AC">
        <w:rPr>
          <w:rFonts w:hint="cs"/>
          <w:sz w:val="27"/>
          <w:rtl/>
        </w:rPr>
        <w:t>ٌ</w:t>
      </w:r>
      <w:r w:rsidRPr="006571AC">
        <w:rPr>
          <w:sz w:val="27"/>
          <w:rtl/>
        </w:rPr>
        <w:t xml:space="preserve"> عنه</w:t>
      </w:r>
      <w:r w:rsidRPr="006571AC">
        <w:rPr>
          <w:rFonts w:hint="cs"/>
          <w:sz w:val="27"/>
          <w:rtl/>
        </w:rPr>
        <w:t>ا</w:t>
      </w:r>
      <w:r w:rsidRPr="006571AC">
        <w:rPr>
          <w:sz w:val="27"/>
          <w:vertAlign w:val="superscript"/>
          <w:rtl/>
        </w:rPr>
        <w:t>(</w:t>
      </w:r>
      <w:r w:rsidRPr="006571AC">
        <w:rPr>
          <w:rStyle w:val="ac"/>
          <w:sz w:val="27"/>
          <w:rtl/>
        </w:rPr>
        <w:endnoteReference w:id="61"/>
      </w:r>
      <w:r w:rsidRPr="006571AC">
        <w:rPr>
          <w:sz w:val="27"/>
          <w:vertAlign w:val="superscript"/>
          <w:rtl/>
        </w:rPr>
        <w:t>)</w:t>
      </w:r>
      <w:r w:rsidRPr="006571AC">
        <w:rPr>
          <w:sz w:val="27"/>
          <w:rtl/>
        </w:rPr>
        <w:t>.</w:t>
      </w:r>
      <w:r w:rsidRPr="006571AC">
        <w:rPr>
          <w:rFonts w:hint="cs"/>
          <w:sz w:val="27"/>
          <w:rtl/>
        </w:rPr>
        <w:t xml:space="preserve"> </w:t>
      </w:r>
      <w:r w:rsidRPr="006571AC">
        <w:rPr>
          <w:sz w:val="27"/>
          <w:rtl/>
        </w:rPr>
        <w:t>ومن هنا فهم لم يقولوا بحج</w:t>
      </w:r>
      <w:r w:rsidR="00F90790" w:rsidRPr="006571AC">
        <w:rPr>
          <w:rFonts w:hint="cs"/>
          <w:sz w:val="27"/>
          <w:rtl/>
        </w:rPr>
        <w:t>ّ</w:t>
      </w:r>
      <w:r w:rsidRPr="006571AC">
        <w:rPr>
          <w:sz w:val="27"/>
          <w:rtl/>
        </w:rPr>
        <w:t xml:space="preserve">ية </w:t>
      </w:r>
      <w:r w:rsidR="00F90790" w:rsidRPr="006571AC">
        <w:rPr>
          <w:rFonts w:hint="cs"/>
          <w:sz w:val="27"/>
          <w:rtl/>
        </w:rPr>
        <w:t>غير</w:t>
      </w:r>
      <w:r w:rsidRPr="006571AC">
        <w:rPr>
          <w:sz w:val="27"/>
          <w:rtl/>
        </w:rPr>
        <w:t xml:space="preserve"> الس</w:t>
      </w:r>
      <w:r w:rsidR="00F90790" w:rsidRPr="006571AC">
        <w:rPr>
          <w:rFonts w:hint="cs"/>
          <w:sz w:val="27"/>
          <w:rtl/>
        </w:rPr>
        <w:t>ِّ</w:t>
      </w:r>
      <w:r w:rsidRPr="006571AC">
        <w:rPr>
          <w:sz w:val="27"/>
          <w:rtl/>
        </w:rPr>
        <w:t>ي</w:t>
      </w:r>
      <w:r w:rsidR="00F90790" w:rsidRPr="006571AC">
        <w:rPr>
          <w:rFonts w:hint="cs"/>
          <w:sz w:val="27"/>
          <w:rtl/>
        </w:rPr>
        <w:t>َ</w:t>
      </w:r>
      <w:r w:rsidRPr="006571AC">
        <w:rPr>
          <w:sz w:val="27"/>
          <w:rtl/>
        </w:rPr>
        <w:t>ر المعاصرة للمعصوم. كذلك نلاحظ أنّ غالب العلماء لم يقدّموا دليلاً على حجّية الس</w:t>
      </w:r>
      <w:r w:rsidR="00F90790" w:rsidRPr="006571AC">
        <w:rPr>
          <w:rFonts w:hint="cs"/>
          <w:sz w:val="27"/>
          <w:rtl/>
        </w:rPr>
        <w:t>ِّ</w:t>
      </w:r>
      <w:r w:rsidRPr="006571AC">
        <w:rPr>
          <w:sz w:val="27"/>
          <w:rtl/>
        </w:rPr>
        <w:t>ي</w:t>
      </w:r>
      <w:r w:rsidR="00F90790" w:rsidRPr="006571AC">
        <w:rPr>
          <w:rFonts w:hint="cs"/>
          <w:sz w:val="27"/>
          <w:rtl/>
        </w:rPr>
        <w:t>َ</w:t>
      </w:r>
      <w:r w:rsidRPr="006571AC">
        <w:rPr>
          <w:sz w:val="27"/>
          <w:rtl/>
        </w:rPr>
        <w:t>ر العقلائية الجديدة والمست</w:t>
      </w:r>
      <w:r w:rsidR="00F90790" w:rsidRPr="006571AC">
        <w:rPr>
          <w:rFonts w:hint="cs"/>
          <w:sz w:val="27"/>
          <w:rtl/>
        </w:rPr>
        <w:t>َ</w:t>
      </w:r>
      <w:r w:rsidRPr="006571AC">
        <w:rPr>
          <w:sz w:val="27"/>
          <w:rtl/>
        </w:rPr>
        <w:t>ح</w:t>
      </w:r>
      <w:r w:rsidR="00F90790" w:rsidRPr="006571AC">
        <w:rPr>
          <w:rFonts w:hint="cs"/>
          <w:sz w:val="27"/>
          <w:rtl/>
        </w:rPr>
        <w:t>ْ</w:t>
      </w:r>
      <w:r w:rsidRPr="006571AC">
        <w:rPr>
          <w:sz w:val="27"/>
          <w:rtl/>
        </w:rPr>
        <w:t>د</w:t>
      </w:r>
      <w:r w:rsidR="00F90790" w:rsidRPr="006571AC">
        <w:rPr>
          <w:rFonts w:hint="cs"/>
          <w:sz w:val="27"/>
          <w:rtl/>
        </w:rPr>
        <w:t>َ</w:t>
      </w:r>
      <w:r w:rsidRPr="006571AC">
        <w:rPr>
          <w:sz w:val="27"/>
          <w:rtl/>
        </w:rPr>
        <w:t>ثة، التي تشكّ</w:t>
      </w:r>
      <w:r w:rsidR="00F90790" w:rsidRPr="006571AC">
        <w:rPr>
          <w:rFonts w:hint="cs"/>
          <w:sz w:val="27"/>
          <w:rtl/>
        </w:rPr>
        <w:t>َ</w:t>
      </w:r>
      <w:r w:rsidRPr="006571AC">
        <w:rPr>
          <w:sz w:val="27"/>
          <w:rtl/>
        </w:rPr>
        <w:t>لت بعد زمان حضور المعصومين</w:t>
      </w:r>
      <w:r w:rsidR="00B373C2" w:rsidRPr="006571AC">
        <w:rPr>
          <w:rFonts w:ascii="Mosawi" w:hAnsi="Mosawi" w:cs="Mosawi"/>
          <w:sz w:val="22"/>
          <w:szCs w:val="22"/>
          <w:rtl/>
        </w:rPr>
        <w:t>^</w:t>
      </w:r>
      <w:r w:rsidRPr="006571AC">
        <w:rPr>
          <w:sz w:val="27"/>
          <w:rtl/>
        </w:rPr>
        <w:t>. وهناك مج</w:t>
      </w:r>
      <w:r w:rsidR="00F90790" w:rsidRPr="006571AC">
        <w:rPr>
          <w:rFonts w:hint="cs"/>
          <w:sz w:val="27"/>
          <w:rtl/>
        </w:rPr>
        <w:t>م</w:t>
      </w:r>
      <w:r w:rsidRPr="006571AC">
        <w:rPr>
          <w:sz w:val="27"/>
          <w:rtl/>
        </w:rPr>
        <w:t>وعة منهم قد طرحوا أدلّة</w:t>
      </w:r>
      <w:r w:rsidR="00F90790" w:rsidRPr="006571AC">
        <w:rPr>
          <w:rFonts w:hint="cs"/>
          <w:sz w:val="27"/>
          <w:rtl/>
        </w:rPr>
        <w:t>ً</w:t>
      </w:r>
      <w:r w:rsidRPr="006571AC">
        <w:rPr>
          <w:sz w:val="27"/>
          <w:rtl/>
        </w:rPr>
        <w:t xml:space="preserve"> على الحجّية، وناقشوها</w:t>
      </w:r>
      <w:r w:rsidRPr="006571AC">
        <w:rPr>
          <w:sz w:val="27"/>
          <w:vertAlign w:val="superscript"/>
          <w:rtl/>
        </w:rPr>
        <w:t>(</w:t>
      </w:r>
      <w:r w:rsidRPr="006571AC">
        <w:rPr>
          <w:rStyle w:val="ac"/>
          <w:sz w:val="27"/>
          <w:rtl/>
        </w:rPr>
        <w:endnoteReference w:id="62"/>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sz w:val="27"/>
          <w:rtl/>
        </w:rPr>
        <w:t xml:space="preserve">وسنسعى في هذه المقالة </w:t>
      </w:r>
      <w:r w:rsidR="00F90790" w:rsidRPr="006571AC">
        <w:rPr>
          <w:rFonts w:hint="cs"/>
          <w:sz w:val="27"/>
          <w:rtl/>
        </w:rPr>
        <w:t xml:space="preserve">إلى </w:t>
      </w:r>
      <w:r w:rsidRPr="006571AC">
        <w:rPr>
          <w:sz w:val="27"/>
          <w:rtl/>
        </w:rPr>
        <w:t>أن نبحث الأدلّة التي قدّمها عدد</w:t>
      </w:r>
      <w:r w:rsidR="00F90790" w:rsidRPr="006571AC">
        <w:rPr>
          <w:rFonts w:hint="cs"/>
          <w:sz w:val="27"/>
          <w:rtl/>
        </w:rPr>
        <w:t>ٌ</w:t>
      </w:r>
      <w:r w:rsidRPr="006571AC">
        <w:rPr>
          <w:sz w:val="27"/>
          <w:rtl/>
        </w:rPr>
        <w:t xml:space="preserve"> قليل من علماء الأصول، كما سنقدّم أدلّة</w:t>
      </w:r>
      <w:r w:rsidR="00F90790" w:rsidRPr="006571AC">
        <w:rPr>
          <w:rFonts w:hint="cs"/>
          <w:sz w:val="27"/>
          <w:rtl/>
        </w:rPr>
        <w:t>ً</w:t>
      </w:r>
      <w:r w:rsidRPr="006571AC">
        <w:rPr>
          <w:sz w:val="27"/>
          <w:rtl/>
        </w:rPr>
        <w:t xml:space="preserve"> أخرى على حجّية الس</w:t>
      </w:r>
      <w:r w:rsidR="00F90790" w:rsidRPr="006571AC">
        <w:rPr>
          <w:rFonts w:hint="cs"/>
          <w:sz w:val="27"/>
          <w:rtl/>
        </w:rPr>
        <w:t>ِّ</w:t>
      </w:r>
      <w:r w:rsidRPr="006571AC">
        <w:rPr>
          <w:sz w:val="27"/>
          <w:rtl/>
        </w:rPr>
        <w:t>ي</w:t>
      </w:r>
      <w:r w:rsidR="00F90790" w:rsidRPr="006571AC">
        <w:rPr>
          <w:rFonts w:hint="cs"/>
          <w:sz w:val="27"/>
          <w:rtl/>
        </w:rPr>
        <w:t>َ</w:t>
      </w:r>
      <w:r w:rsidRPr="006571AC">
        <w:rPr>
          <w:sz w:val="27"/>
          <w:rtl/>
        </w:rPr>
        <w:t xml:space="preserve">ر العقلائية العامّة والجديدة. </w:t>
      </w:r>
    </w:p>
    <w:p w:rsidR="00C37790" w:rsidRPr="006571AC" w:rsidRDefault="00C37790" w:rsidP="00166320">
      <w:pPr>
        <w:spacing w:line="420" w:lineRule="exact"/>
        <w:rPr>
          <w:sz w:val="27"/>
          <w:rtl/>
        </w:rPr>
      </w:pPr>
    </w:p>
    <w:p w:rsidR="00C37790" w:rsidRPr="006571AC" w:rsidRDefault="00C37790" w:rsidP="00C0404B">
      <w:pPr>
        <w:pStyle w:val="31"/>
        <w:spacing w:line="400" w:lineRule="exact"/>
        <w:rPr>
          <w:color w:val="auto"/>
          <w:rtl/>
        </w:rPr>
      </w:pPr>
      <w:bookmarkStart w:id="39" w:name="_Toc114164528"/>
      <w:r w:rsidRPr="006571AC">
        <w:rPr>
          <w:rFonts w:hint="cs"/>
          <w:color w:val="auto"/>
          <w:rtl/>
        </w:rPr>
        <w:t>المراد</w:t>
      </w:r>
      <w:r w:rsidRPr="006571AC">
        <w:rPr>
          <w:color w:val="auto"/>
          <w:rtl/>
        </w:rPr>
        <w:t xml:space="preserve"> من العبادة</w:t>
      </w:r>
      <w:bookmarkEnd w:id="39"/>
    </w:p>
    <w:p w:rsidR="00C37790" w:rsidRPr="006571AC" w:rsidRDefault="00C37790" w:rsidP="00C0404B">
      <w:pPr>
        <w:rPr>
          <w:sz w:val="27"/>
          <w:rtl/>
        </w:rPr>
      </w:pPr>
      <w:r w:rsidRPr="006571AC">
        <w:rPr>
          <w:sz w:val="27"/>
          <w:rtl/>
        </w:rPr>
        <w:t>للعبادات والمعاملات استعمالات</w:t>
      </w:r>
      <w:r w:rsidR="00F90790" w:rsidRPr="006571AC">
        <w:rPr>
          <w:rFonts w:hint="cs"/>
          <w:sz w:val="27"/>
          <w:rtl/>
        </w:rPr>
        <w:t>ٌ</w:t>
      </w:r>
      <w:r w:rsidRPr="006571AC">
        <w:rPr>
          <w:sz w:val="27"/>
          <w:rtl/>
        </w:rPr>
        <w:t xml:space="preserve"> عديدة</w:t>
      </w:r>
      <w:r w:rsidR="00F90790" w:rsidRPr="006571AC">
        <w:rPr>
          <w:rFonts w:hint="cs"/>
          <w:sz w:val="27"/>
          <w:rtl/>
        </w:rPr>
        <w:t>.</w:t>
      </w:r>
      <w:r w:rsidRPr="006571AC">
        <w:rPr>
          <w:sz w:val="27"/>
          <w:rtl/>
        </w:rPr>
        <w:t xml:space="preserve"> ومرادنا من العبادة هنا هو كلّ عمل</w:t>
      </w:r>
      <w:r w:rsidR="00F90790" w:rsidRPr="006571AC">
        <w:rPr>
          <w:rFonts w:hint="cs"/>
          <w:sz w:val="27"/>
          <w:rtl/>
        </w:rPr>
        <w:t>ٍ</w:t>
      </w:r>
      <w:r w:rsidRPr="006571AC">
        <w:rPr>
          <w:sz w:val="27"/>
          <w:rtl/>
        </w:rPr>
        <w:t xml:space="preserve"> يحتوي على مصلحة</w:t>
      </w:r>
      <w:r w:rsidR="00F90790" w:rsidRPr="006571AC">
        <w:rPr>
          <w:rFonts w:hint="cs"/>
          <w:sz w:val="27"/>
          <w:rtl/>
        </w:rPr>
        <w:t>ٍ</w:t>
      </w:r>
      <w:r w:rsidRPr="006571AC">
        <w:rPr>
          <w:sz w:val="27"/>
          <w:rtl/>
        </w:rPr>
        <w:t xml:space="preserve"> توجب محبوبيّته عند الله تعالى، ويشترط في صحّته قصد القربة بأدائه</w:t>
      </w:r>
      <w:r w:rsidRPr="006571AC">
        <w:rPr>
          <w:sz w:val="27"/>
          <w:vertAlign w:val="superscript"/>
          <w:rtl/>
        </w:rPr>
        <w:t>(</w:t>
      </w:r>
      <w:r w:rsidRPr="006571AC">
        <w:rPr>
          <w:rStyle w:val="ac"/>
          <w:sz w:val="27"/>
          <w:rtl/>
        </w:rPr>
        <w:endnoteReference w:id="63"/>
      </w:r>
      <w:r w:rsidRPr="006571AC">
        <w:rPr>
          <w:sz w:val="27"/>
          <w:vertAlign w:val="superscript"/>
          <w:rtl/>
        </w:rPr>
        <w:t>)</w:t>
      </w:r>
      <w:r w:rsidRPr="006571AC">
        <w:rPr>
          <w:sz w:val="27"/>
          <w:rtl/>
        </w:rPr>
        <w:t>. فالب</w:t>
      </w:r>
      <w:r w:rsidR="00F90790" w:rsidRPr="006571AC">
        <w:rPr>
          <w:rFonts w:hint="cs"/>
          <w:sz w:val="27"/>
          <w:rtl/>
        </w:rPr>
        <w:t>ُ</w:t>
      </w:r>
      <w:r w:rsidRPr="006571AC">
        <w:rPr>
          <w:sz w:val="27"/>
          <w:rtl/>
        </w:rPr>
        <w:t>ع</w:t>
      </w:r>
      <w:r w:rsidR="00F90790" w:rsidRPr="006571AC">
        <w:rPr>
          <w:rFonts w:hint="cs"/>
          <w:sz w:val="27"/>
          <w:rtl/>
        </w:rPr>
        <w:t>ْ</w:t>
      </w:r>
      <w:r w:rsidRPr="006571AC">
        <w:rPr>
          <w:sz w:val="27"/>
          <w:rtl/>
        </w:rPr>
        <w:t>د الأصلي للعبادة علاقة العبد بربّه، والدين هو أساسها، ومن أمثلتها</w:t>
      </w:r>
      <w:r w:rsidR="00F90790" w:rsidRPr="006571AC">
        <w:rPr>
          <w:rFonts w:hint="cs"/>
          <w:sz w:val="27"/>
          <w:rtl/>
        </w:rPr>
        <w:t>:</w:t>
      </w:r>
      <w:r w:rsidRPr="006571AC">
        <w:rPr>
          <w:sz w:val="27"/>
          <w:rtl/>
        </w:rPr>
        <w:t xml:space="preserve"> الصلاة والحج</w:t>
      </w:r>
      <w:r w:rsidR="00F90790" w:rsidRPr="006571AC">
        <w:rPr>
          <w:rFonts w:hint="cs"/>
          <w:sz w:val="27"/>
          <w:rtl/>
        </w:rPr>
        <w:t>ّ</w:t>
      </w:r>
      <w:r w:rsidRPr="006571AC">
        <w:rPr>
          <w:sz w:val="27"/>
          <w:rtl/>
        </w:rPr>
        <w:t xml:space="preserve"> والصوم وغيرها. </w:t>
      </w:r>
    </w:p>
    <w:p w:rsidR="00C37790" w:rsidRPr="006571AC" w:rsidRDefault="00C37790" w:rsidP="00C0404B">
      <w:pPr>
        <w:rPr>
          <w:sz w:val="27"/>
          <w:rtl/>
        </w:rPr>
      </w:pPr>
      <w:r w:rsidRPr="006571AC">
        <w:rPr>
          <w:sz w:val="27"/>
          <w:rtl/>
        </w:rPr>
        <w:t>وفي المقابل فإنّ المراد من المعاملة كلّ عمل</w:t>
      </w:r>
      <w:r w:rsidR="00F90790" w:rsidRPr="006571AC">
        <w:rPr>
          <w:rFonts w:hint="cs"/>
          <w:sz w:val="27"/>
          <w:rtl/>
        </w:rPr>
        <w:t>ٍ</w:t>
      </w:r>
      <w:r w:rsidRPr="006571AC">
        <w:rPr>
          <w:sz w:val="27"/>
          <w:rtl/>
        </w:rPr>
        <w:t xml:space="preserve"> لا يحتوي مصلحة</w:t>
      </w:r>
      <w:r w:rsidR="00F90790" w:rsidRPr="006571AC">
        <w:rPr>
          <w:rFonts w:hint="cs"/>
          <w:sz w:val="27"/>
          <w:rtl/>
        </w:rPr>
        <w:t>ٍ</w:t>
      </w:r>
      <w:r w:rsidRPr="006571AC">
        <w:rPr>
          <w:sz w:val="27"/>
          <w:rtl/>
        </w:rPr>
        <w:t xml:space="preserve"> موجبة لمحبوبيته عند الله تعالى، ولا يشترط في صحّته قصد القربة، مثل</w:t>
      </w:r>
      <w:r w:rsidR="00F90790" w:rsidRPr="006571AC">
        <w:rPr>
          <w:rFonts w:hint="cs"/>
          <w:sz w:val="27"/>
          <w:rtl/>
        </w:rPr>
        <w:t>:</w:t>
      </w:r>
      <w:r w:rsidRPr="006571AC">
        <w:rPr>
          <w:sz w:val="27"/>
          <w:rtl/>
        </w:rPr>
        <w:t xml:space="preserve"> البيع، والإجارة، والتأمين، حيث يكون </w:t>
      </w:r>
      <w:r w:rsidR="00EA38F1" w:rsidRPr="006571AC">
        <w:rPr>
          <w:sz w:val="27"/>
          <w:rtl/>
        </w:rPr>
        <w:t>دَوْر</w:t>
      </w:r>
      <w:r w:rsidRPr="006571AC">
        <w:rPr>
          <w:sz w:val="27"/>
          <w:rtl/>
        </w:rPr>
        <w:t xml:space="preserve"> الشريعة بالنسبة </w:t>
      </w:r>
      <w:r w:rsidR="00F16B10" w:rsidRPr="006571AC">
        <w:rPr>
          <w:rFonts w:hint="cs"/>
          <w:sz w:val="27"/>
          <w:rtl/>
        </w:rPr>
        <w:t xml:space="preserve">إلى </w:t>
      </w:r>
      <w:r w:rsidRPr="006571AC">
        <w:rPr>
          <w:sz w:val="27"/>
          <w:rtl/>
        </w:rPr>
        <w:t xml:space="preserve">هذه الموارد هو الإمضاء والتأييد، وفي بعضها يكون له </w:t>
      </w:r>
      <w:r w:rsidR="00EA38F1" w:rsidRPr="006571AC">
        <w:rPr>
          <w:sz w:val="27"/>
          <w:rtl/>
        </w:rPr>
        <w:t>دَوْر</w:t>
      </w:r>
      <w:r w:rsidR="00F16B10" w:rsidRPr="006571AC">
        <w:rPr>
          <w:rFonts w:hint="cs"/>
          <w:sz w:val="27"/>
          <w:rtl/>
        </w:rPr>
        <w:t>ٌ</w:t>
      </w:r>
      <w:r w:rsidRPr="006571AC">
        <w:rPr>
          <w:sz w:val="27"/>
          <w:rtl/>
        </w:rPr>
        <w:t xml:space="preserve"> إصلاحي وتوجيهي. </w:t>
      </w:r>
    </w:p>
    <w:p w:rsidR="00C37790" w:rsidRPr="006571AC" w:rsidRDefault="00C37790" w:rsidP="00266070">
      <w:pPr>
        <w:spacing w:line="410" w:lineRule="exact"/>
        <w:rPr>
          <w:sz w:val="27"/>
          <w:rtl/>
        </w:rPr>
      </w:pPr>
    </w:p>
    <w:p w:rsidR="00C37790" w:rsidRPr="006571AC" w:rsidRDefault="00C37790" w:rsidP="0065120C">
      <w:pPr>
        <w:pStyle w:val="31"/>
        <w:rPr>
          <w:color w:val="auto"/>
          <w:rtl/>
        </w:rPr>
      </w:pPr>
      <w:bookmarkStart w:id="40" w:name="_Toc114164529"/>
      <w:r w:rsidRPr="006571AC">
        <w:rPr>
          <w:color w:val="auto"/>
          <w:rtl/>
        </w:rPr>
        <w:t>قبليّات البحث</w:t>
      </w:r>
      <w:bookmarkEnd w:id="40"/>
    </w:p>
    <w:p w:rsidR="00C37790" w:rsidRPr="006571AC" w:rsidRDefault="00C37790" w:rsidP="00C0404B">
      <w:pPr>
        <w:rPr>
          <w:sz w:val="27"/>
          <w:rtl/>
        </w:rPr>
      </w:pPr>
      <w:r w:rsidRPr="006571AC">
        <w:rPr>
          <w:sz w:val="27"/>
          <w:rtl/>
        </w:rPr>
        <w:t>فرضية البحث والفكرة المدّعاة فيه تعتمد على مجموعة</w:t>
      </w:r>
      <w:r w:rsidR="00F16B10" w:rsidRPr="006571AC">
        <w:rPr>
          <w:rFonts w:hint="cs"/>
          <w:sz w:val="27"/>
          <w:rtl/>
        </w:rPr>
        <w:t>ٍ</w:t>
      </w:r>
      <w:r w:rsidRPr="006571AC">
        <w:rPr>
          <w:sz w:val="27"/>
          <w:rtl/>
        </w:rPr>
        <w:t> من المباني والأسس والأصول الموضوعة، تتميّ</w:t>
      </w:r>
      <w:r w:rsidR="00F16B10" w:rsidRPr="006571AC">
        <w:rPr>
          <w:rFonts w:hint="cs"/>
          <w:sz w:val="27"/>
          <w:rtl/>
        </w:rPr>
        <w:t>َ</w:t>
      </w:r>
      <w:r w:rsidRPr="006571AC">
        <w:rPr>
          <w:sz w:val="27"/>
          <w:rtl/>
        </w:rPr>
        <w:t xml:space="preserve">ز بالوضوح، وقد تمّ إثباتها في محلّها، وهي: </w:t>
      </w:r>
    </w:p>
    <w:p w:rsidR="00C37790" w:rsidRPr="006571AC" w:rsidRDefault="00C37790" w:rsidP="00C0404B">
      <w:pPr>
        <w:rPr>
          <w:sz w:val="27"/>
          <w:rtl/>
        </w:rPr>
      </w:pPr>
      <w:r w:rsidRPr="006571AC">
        <w:rPr>
          <w:rFonts w:hint="cs"/>
          <w:sz w:val="27"/>
          <w:rtl/>
        </w:rPr>
        <w:t>1ـ المشرّ</w:t>
      </w:r>
      <w:r w:rsidR="00F16B10" w:rsidRPr="006571AC">
        <w:rPr>
          <w:rFonts w:hint="cs"/>
          <w:sz w:val="27"/>
          <w:rtl/>
        </w:rPr>
        <w:t>ِ</w:t>
      </w:r>
      <w:r w:rsidRPr="006571AC">
        <w:rPr>
          <w:rFonts w:hint="cs"/>
          <w:sz w:val="27"/>
          <w:rtl/>
        </w:rPr>
        <w:t>ع</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الإسلام</w:t>
      </w:r>
      <w:r w:rsidRPr="006571AC">
        <w:rPr>
          <w:sz w:val="27"/>
          <w:rtl/>
        </w:rPr>
        <w:t xml:space="preserve"> </w:t>
      </w:r>
      <w:r w:rsidRPr="006571AC">
        <w:rPr>
          <w:rFonts w:hint="cs"/>
          <w:sz w:val="27"/>
          <w:rtl/>
        </w:rPr>
        <w:t>بالأصالة</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تعالى</w:t>
      </w:r>
      <w:r w:rsidRPr="006571AC">
        <w:rPr>
          <w:sz w:val="27"/>
          <w:vertAlign w:val="superscript"/>
          <w:rtl/>
        </w:rPr>
        <w:t>(</w:t>
      </w:r>
      <w:r w:rsidRPr="006571AC">
        <w:rPr>
          <w:rStyle w:val="ac"/>
          <w:sz w:val="27"/>
          <w:rtl/>
        </w:rPr>
        <w:endnoteReference w:id="64"/>
      </w:r>
      <w:r w:rsidRPr="006571AC">
        <w:rPr>
          <w:sz w:val="27"/>
          <w:vertAlign w:val="superscript"/>
          <w:rtl/>
        </w:rPr>
        <w:t>)</w:t>
      </w:r>
      <w:r w:rsidRPr="006571AC">
        <w:rPr>
          <w:sz w:val="27"/>
          <w:rtl/>
        </w:rPr>
        <w:t>. ويعتبر الرسول</w:t>
      </w:r>
      <w:r w:rsidR="002A2C90" w:rsidRPr="006571AC">
        <w:rPr>
          <w:rFonts w:ascii="Mosawi" w:hAnsi="Mosawi" w:cs="Mosawi"/>
          <w:sz w:val="22"/>
          <w:szCs w:val="22"/>
          <w:rtl/>
        </w:rPr>
        <w:t>|</w:t>
      </w:r>
      <w:r w:rsidRPr="006571AC">
        <w:rPr>
          <w:sz w:val="27"/>
          <w:rtl/>
        </w:rPr>
        <w:t xml:space="preserve"> مشرّ</w:t>
      </w:r>
      <w:r w:rsidR="00F16B10" w:rsidRPr="006571AC">
        <w:rPr>
          <w:rFonts w:hint="cs"/>
          <w:sz w:val="27"/>
          <w:rtl/>
        </w:rPr>
        <w:t>ِ</w:t>
      </w:r>
      <w:r w:rsidRPr="006571AC">
        <w:rPr>
          <w:sz w:val="27"/>
          <w:rtl/>
        </w:rPr>
        <w:t>عاً بالتفويض وبالت</w:t>
      </w:r>
      <w:r w:rsidR="00F16B10" w:rsidRPr="006571AC">
        <w:rPr>
          <w:rFonts w:hint="cs"/>
          <w:sz w:val="27"/>
          <w:rtl/>
        </w:rPr>
        <w:t>َّ</w:t>
      </w:r>
      <w:r w:rsidRPr="006571AC">
        <w:rPr>
          <w:sz w:val="27"/>
          <w:rtl/>
        </w:rPr>
        <w:t>ب</w:t>
      </w:r>
      <w:r w:rsidR="00F16B10" w:rsidRPr="006571AC">
        <w:rPr>
          <w:rFonts w:hint="cs"/>
          <w:sz w:val="27"/>
          <w:rtl/>
        </w:rPr>
        <w:t>َ</w:t>
      </w:r>
      <w:r w:rsidRPr="006571AC">
        <w:rPr>
          <w:sz w:val="27"/>
          <w:rtl/>
        </w:rPr>
        <w:t>ع</w:t>
      </w:r>
      <w:r w:rsidRPr="006571AC">
        <w:rPr>
          <w:sz w:val="27"/>
          <w:vertAlign w:val="superscript"/>
          <w:rtl/>
        </w:rPr>
        <w:t>(</w:t>
      </w:r>
      <w:r w:rsidRPr="006571AC">
        <w:rPr>
          <w:rStyle w:val="ac"/>
          <w:sz w:val="27"/>
          <w:rtl/>
        </w:rPr>
        <w:endnoteReference w:id="65"/>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rFonts w:hint="cs"/>
          <w:sz w:val="27"/>
          <w:rtl/>
        </w:rPr>
        <w:lastRenderedPageBreak/>
        <w:t>2ـ لا</w:t>
      </w:r>
      <w:r w:rsidRPr="006571AC">
        <w:rPr>
          <w:sz w:val="27"/>
          <w:rtl/>
        </w:rPr>
        <w:t xml:space="preserve"> </w:t>
      </w:r>
      <w:r w:rsidRPr="006571AC">
        <w:rPr>
          <w:rFonts w:hint="cs"/>
          <w:sz w:val="27"/>
          <w:rtl/>
        </w:rPr>
        <w:t>يوجد</w:t>
      </w:r>
      <w:r w:rsidRPr="006571AC">
        <w:rPr>
          <w:sz w:val="27"/>
          <w:rtl/>
        </w:rPr>
        <w:t xml:space="preserve"> </w:t>
      </w:r>
      <w:r w:rsidRPr="006571AC">
        <w:rPr>
          <w:rFonts w:hint="cs"/>
          <w:sz w:val="27"/>
          <w:rtl/>
        </w:rPr>
        <w:t>دليل</w:t>
      </w:r>
      <w:r w:rsidR="00F16B10" w:rsidRPr="006571AC">
        <w:rPr>
          <w:rFonts w:hint="cs"/>
          <w:sz w:val="27"/>
          <w:rtl/>
        </w:rPr>
        <w:t>ٌ</w:t>
      </w:r>
      <w:r w:rsidRPr="006571AC">
        <w:rPr>
          <w:sz w:val="27"/>
          <w:rtl/>
        </w:rPr>
        <w:t xml:space="preserve"> </w:t>
      </w:r>
      <w:r w:rsidRPr="006571AC">
        <w:rPr>
          <w:rFonts w:hint="cs"/>
          <w:sz w:val="27"/>
          <w:rtl/>
        </w:rPr>
        <w:t>معتبر</w:t>
      </w:r>
      <w:r w:rsidRPr="006571AC">
        <w:rPr>
          <w:sz w:val="27"/>
          <w:rtl/>
        </w:rPr>
        <w:t xml:space="preserve"> </w:t>
      </w:r>
      <w:r w:rsidRPr="006571AC">
        <w:rPr>
          <w:rFonts w:hint="cs"/>
          <w:sz w:val="27"/>
          <w:rtl/>
        </w:rPr>
        <w:t>يثبت</w:t>
      </w:r>
      <w:r w:rsidRPr="006571AC">
        <w:rPr>
          <w:sz w:val="27"/>
          <w:rtl/>
        </w:rPr>
        <w:t xml:space="preserve"> </w:t>
      </w:r>
      <w:r w:rsidRPr="006571AC">
        <w:rPr>
          <w:rFonts w:hint="cs"/>
          <w:sz w:val="27"/>
          <w:rtl/>
        </w:rPr>
        <w:t>لغير</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سبحانه</w:t>
      </w:r>
      <w:r w:rsidRPr="006571AC">
        <w:rPr>
          <w:sz w:val="27"/>
          <w:rtl/>
        </w:rPr>
        <w:t xml:space="preserve"> </w:t>
      </w:r>
      <w:r w:rsidRPr="006571AC">
        <w:rPr>
          <w:rFonts w:hint="cs"/>
          <w:sz w:val="27"/>
          <w:rtl/>
        </w:rPr>
        <w:t>ورسوله</w:t>
      </w:r>
      <w:r w:rsidRPr="006571AC">
        <w:rPr>
          <w:sz w:val="27"/>
          <w:rtl/>
        </w:rPr>
        <w:t xml:space="preserve"> </w:t>
      </w:r>
      <w:r w:rsidRPr="006571AC">
        <w:rPr>
          <w:rFonts w:hint="cs"/>
          <w:sz w:val="27"/>
          <w:rtl/>
        </w:rPr>
        <w:t>الأكرم</w:t>
      </w:r>
      <w:r w:rsidR="002A2C90" w:rsidRPr="006571AC">
        <w:rPr>
          <w:rFonts w:ascii="Mosawi" w:hAnsi="Mosawi" w:cs="Mosawi"/>
          <w:sz w:val="22"/>
          <w:szCs w:val="22"/>
          <w:rtl/>
        </w:rPr>
        <w:t>|</w:t>
      </w:r>
      <w:r w:rsidRPr="006571AC">
        <w:rPr>
          <w:sz w:val="27"/>
          <w:rtl/>
        </w:rPr>
        <w:t xml:space="preserve"> </w:t>
      </w:r>
      <w:r w:rsidRPr="006571AC">
        <w:rPr>
          <w:rFonts w:hint="cs"/>
          <w:sz w:val="27"/>
          <w:rtl/>
        </w:rPr>
        <w:t>ولاية</w:t>
      </w:r>
      <w:r w:rsidR="00F16B10" w:rsidRPr="006571AC">
        <w:rPr>
          <w:rFonts w:hint="cs"/>
          <w:sz w:val="27"/>
          <w:rtl/>
        </w:rPr>
        <w:t>ً</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تشريع</w:t>
      </w:r>
      <w:r w:rsidRPr="006571AC">
        <w:rPr>
          <w:sz w:val="27"/>
          <w:rtl/>
        </w:rPr>
        <w:t xml:space="preserve"> </w:t>
      </w:r>
      <w:r w:rsidRPr="006571AC">
        <w:rPr>
          <w:rFonts w:hint="cs"/>
          <w:sz w:val="27"/>
          <w:rtl/>
        </w:rPr>
        <w:t>الأحكام</w:t>
      </w:r>
      <w:r w:rsidRPr="006571AC">
        <w:rPr>
          <w:sz w:val="27"/>
          <w:rtl/>
        </w:rPr>
        <w:t xml:space="preserve"> </w:t>
      </w:r>
      <w:r w:rsidRPr="006571AC">
        <w:rPr>
          <w:rFonts w:hint="cs"/>
          <w:sz w:val="27"/>
          <w:rtl/>
        </w:rPr>
        <w:t>الدائمة</w:t>
      </w:r>
      <w:r w:rsidRPr="006571AC">
        <w:rPr>
          <w:sz w:val="27"/>
          <w:rtl/>
        </w:rPr>
        <w:t xml:space="preserve"> </w:t>
      </w:r>
      <w:r w:rsidRPr="006571AC">
        <w:rPr>
          <w:rFonts w:hint="cs"/>
          <w:sz w:val="27"/>
          <w:rtl/>
        </w:rPr>
        <w:t>والأبدية</w:t>
      </w:r>
      <w:r w:rsidRPr="006571AC">
        <w:rPr>
          <w:sz w:val="27"/>
          <w:vertAlign w:val="superscript"/>
          <w:rtl/>
        </w:rPr>
        <w:t>(</w:t>
      </w:r>
      <w:r w:rsidRPr="006571AC">
        <w:rPr>
          <w:rStyle w:val="ac"/>
          <w:sz w:val="27"/>
          <w:rtl/>
        </w:rPr>
        <w:endnoteReference w:id="66"/>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rFonts w:hint="cs"/>
          <w:sz w:val="27"/>
          <w:rtl/>
        </w:rPr>
        <w:t>3ـ تمّ</w:t>
      </w:r>
      <w:r w:rsidRPr="006571AC">
        <w:rPr>
          <w:sz w:val="27"/>
          <w:rtl/>
        </w:rPr>
        <w:t xml:space="preserve"> </w:t>
      </w:r>
      <w:r w:rsidRPr="006571AC">
        <w:rPr>
          <w:rFonts w:hint="cs"/>
          <w:sz w:val="27"/>
          <w:rtl/>
        </w:rPr>
        <w:t>اكتمال</w:t>
      </w:r>
      <w:r w:rsidRPr="006571AC">
        <w:rPr>
          <w:sz w:val="27"/>
          <w:rtl/>
        </w:rPr>
        <w:t xml:space="preserve"> </w:t>
      </w:r>
      <w:r w:rsidRPr="006571AC">
        <w:rPr>
          <w:rFonts w:hint="cs"/>
          <w:sz w:val="27"/>
          <w:rtl/>
        </w:rPr>
        <w:t>الدين</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ز</w:t>
      </w:r>
      <w:r w:rsidRPr="006571AC">
        <w:rPr>
          <w:sz w:val="27"/>
          <w:rtl/>
        </w:rPr>
        <w:t>من الرسول الأك</w:t>
      </w:r>
      <w:r w:rsidRPr="006571AC">
        <w:rPr>
          <w:rFonts w:hint="cs"/>
          <w:sz w:val="27"/>
          <w:rtl/>
        </w:rPr>
        <w:t>رم</w:t>
      </w:r>
      <w:r w:rsidRPr="006571AC">
        <w:rPr>
          <w:sz w:val="27"/>
          <w:vertAlign w:val="superscript"/>
          <w:rtl/>
        </w:rPr>
        <w:t>(</w:t>
      </w:r>
      <w:r w:rsidRPr="006571AC">
        <w:rPr>
          <w:rStyle w:val="ac"/>
          <w:sz w:val="27"/>
          <w:rtl/>
        </w:rPr>
        <w:endnoteReference w:id="67"/>
      </w:r>
      <w:r w:rsidRPr="006571AC">
        <w:rPr>
          <w:sz w:val="27"/>
          <w:vertAlign w:val="superscript"/>
          <w:rtl/>
        </w:rPr>
        <w:t>)</w:t>
      </w:r>
      <w:r w:rsidRPr="006571AC">
        <w:rPr>
          <w:sz w:val="27"/>
          <w:rtl/>
        </w:rPr>
        <w:t>، وبالطبع فالشريعة كاملة</w:t>
      </w:r>
      <w:r w:rsidR="00F16B10" w:rsidRPr="006571AC">
        <w:rPr>
          <w:rFonts w:hint="cs"/>
          <w:sz w:val="27"/>
          <w:rtl/>
        </w:rPr>
        <w:t>ٌ</w:t>
      </w:r>
      <w:r w:rsidRPr="006571AC">
        <w:rPr>
          <w:sz w:val="27"/>
          <w:rtl/>
        </w:rPr>
        <w:t xml:space="preserve"> أيضاً. والشارع قد بيّ</w:t>
      </w:r>
      <w:r w:rsidR="00F16B10" w:rsidRPr="006571AC">
        <w:rPr>
          <w:rFonts w:hint="cs"/>
          <w:sz w:val="27"/>
          <w:rtl/>
        </w:rPr>
        <w:t>َ</w:t>
      </w:r>
      <w:r w:rsidRPr="006571AC">
        <w:rPr>
          <w:sz w:val="27"/>
          <w:rtl/>
        </w:rPr>
        <w:t>ن رأيه في كلّ أمر</w:t>
      </w:r>
      <w:r w:rsidR="00F16B10" w:rsidRPr="006571AC">
        <w:rPr>
          <w:rFonts w:hint="cs"/>
          <w:sz w:val="27"/>
          <w:rtl/>
        </w:rPr>
        <w:t>ٍ</w:t>
      </w:r>
      <w:r w:rsidRPr="006571AC">
        <w:rPr>
          <w:sz w:val="27"/>
          <w:rtl/>
        </w:rPr>
        <w:t xml:space="preserve"> له موقف</w:t>
      </w:r>
      <w:r w:rsidR="00F16B10" w:rsidRPr="006571AC">
        <w:rPr>
          <w:rFonts w:hint="cs"/>
          <w:sz w:val="27"/>
          <w:rtl/>
        </w:rPr>
        <w:t>ٌ</w:t>
      </w:r>
      <w:r w:rsidRPr="006571AC">
        <w:rPr>
          <w:sz w:val="27"/>
          <w:rtl/>
        </w:rPr>
        <w:t xml:space="preserve"> سلبي</w:t>
      </w:r>
      <w:r w:rsidR="00F16B10" w:rsidRPr="006571AC">
        <w:rPr>
          <w:rFonts w:hint="cs"/>
          <w:sz w:val="27"/>
          <w:rtl/>
        </w:rPr>
        <w:t>ّ</w:t>
      </w:r>
      <w:r w:rsidRPr="006571AC">
        <w:rPr>
          <w:sz w:val="27"/>
          <w:rtl/>
        </w:rPr>
        <w:t xml:space="preserve"> تجاه</w:t>
      </w:r>
      <w:r w:rsidRPr="006571AC">
        <w:rPr>
          <w:rFonts w:hint="cs"/>
          <w:sz w:val="27"/>
          <w:rtl/>
        </w:rPr>
        <w:t>ه</w:t>
      </w:r>
      <w:r w:rsidRPr="006571AC">
        <w:rPr>
          <w:sz w:val="27"/>
          <w:vertAlign w:val="superscript"/>
          <w:rtl/>
        </w:rPr>
        <w:t>(</w:t>
      </w:r>
      <w:r w:rsidRPr="006571AC">
        <w:rPr>
          <w:rStyle w:val="ac"/>
          <w:sz w:val="27"/>
          <w:rtl/>
        </w:rPr>
        <w:endnoteReference w:id="68"/>
      </w:r>
      <w:r w:rsidRPr="006571AC">
        <w:rPr>
          <w:sz w:val="27"/>
          <w:vertAlign w:val="superscript"/>
          <w:rtl/>
        </w:rPr>
        <w:t>)</w:t>
      </w:r>
      <w:r w:rsidRPr="006571AC">
        <w:rPr>
          <w:sz w:val="27"/>
          <w:rtl/>
        </w:rPr>
        <w:t>.</w:t>
      </w:r>
      <w:r w:rsidRPr="006571AC">
        <w:rPr>
          <w:rFonts w:hint="cs"/>
          <w:sz w:val="27"/>
          <w:rtl/>
        </w:rPr>
        <w:t xml:space="preserve"> </w:t>
      </w:r>
    </w:p>
    <w:p w:rsidR="00C37790" w:rsidRPr="006571AC" w:rsidRDefault="00C37790" w:rsidP="00C0404B">
      <w:pPr>
        <w:rPr>
          <w:sz w:val="27"/>
          <w:rtl/>
        </w:rPr>
      </w:pPr>
      <w:r w:rsidRPr="006571AC">
        <w:rPr>
          <w:rFonts w:hint="cs"/>
          <w:sz w:val="27"/>
          <w:rtl/>
        </w:rPr>
        <w:t>4ـ القوانين</w:t>
      </w:r>
      <w:r w:rsidRPr="006571AC">
        <w:rPr>
          <w:sz w:val="27"/>
          <w:rtl/>
        </w:rPr>
        <w:t xml:space="preserve"> </w:t>
      </w:r>
      <w:r w:rsidRPr="006571AC">
        <w:rPr>
          <w:rFonts w:hint="cs"/>
          <w:sz w:val="27"/>
          <w:rtl/>
        </w:rPr>
        <w:t>التي</w:t>
      </w:r>
      <w:r w:rsidRPr="006571AC">
        <w:rPr>
          <w:sz w:val="27"/>
          <w:rtl/>
        </w:rPr>
        <w:t xml:space="preserve"> </w:t>
      </w:r>
      <w:r w:rsidRPr="006571AC">
        <w:rPr>
          <w:rFonts w:hint="cs"/>
          <w:sz w:val="27"/>
          <w:rtl/>
        </w:rPr>
        <w:t>يضعها</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الإسلامي</w:t>
      </w:r>
      <w:r w:rsidRPr="006571AC">
        <w:rPr>
          <w:sz w:val="27"/>
          <w:rtl/>
        </w:rPr>
        <w:t xml:space="preserve"> </w:t>
      </w:r>
      <w:r w:rsidRPr="006571AC">
        <w:rPr>
          <w:rFonts w:hint="cs"/>
          <w:sz w:val="27"/>
          <w:rtl/>
        </w:rPr>
        <w:t>ليست</w:t>
      </w:r>
      <w:r w:rsidRPr="006571AC">
        <w:rPr>
          <w:sz w:val="27"/>
          <w:rtl/>
        </w:rPr>
        <w:t xml:space="preserve"> </w:t>
      </w:r>
      <w:r w:rsidRPr="006571AC">
        <w:rPr>
          <w:rFonts w:hint="cs"/>
          <w:sz w:val="27"/>
          <w:rtl/>
        </w:rPr>
        <w:t>موجّهة</w:t>
      </w:r>
      <w:r w:rsidR="00F16B10" w:rsidRPr="006571AC">
        <w:rPr>
          <w:rFonts w:hint="cs"/>
          <w:sz w:val="27"/>
          <w:rtl/>
        </w:rPr>
        <w:t>ً</w:t>
      </w:r>
      <w:r w:rsidRPr="006571AC">
        <w:rPr>
          <w:sz w:val="27"/>
          <w:rtl/>
        </w:rPr>
        <w:t xml:space="preserve"> </w:t>
      </w:r>
      <w:r w:rsidR="00F16B10" w:rsidRPr="006571AC">
        <w:rPr>
          <w:rFonts w:hint="cs"/>
          <w:sz w:val="27"/>
          <w:rtl/>
        </w:rPr>
        <w:t>للن</w:t>
      </w:r>
      <w:r w:rsidRPr="006571AC">
        <w:rPr>
          <w:rFonts w:hint="cs"/>
          <w:sz w:val="27"/>
          <w:rtl/>
        </w:rPr>
        <w:t>اس</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صدر</w:t>
      </w:r>
      <w:r w:rsidRPr="006571AC">
        <w:rPr>
          <w:sz w:val="27"/>
          <w:rtl/>
        </w:rPr>
        <w:t xml:space="preserve"> </w:t>
      </w:r>
      <w:r w:rsidRPr="006571AC">
        <w:rPr>
          <w:rFonts w:hint="cs"/>
          <w:sz w:val="27"/>
          <w:rtl/>
        </w:rPr>
        <w:t>الإسلام، بل</w:t>
      </w:r>
      <w:r w:rsidRPr="006571AC">
        <w:rPr>
          <w:sz w:val="27"/>
          <w:rtl/>
        </w:rPr>
        <w:t xml:space="preserve"> </w:t>
      </w:r>
      <w:r w:rsidRPr="006571AC">
        <w:rPr>
          <w:rFonts w:hint="cs"/>
          <w:sz w:val="27"/>
          <w:rtl/>
        </w:rPr>
        <w:t>للبشر</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يوم</w:t>
      </w:r>
      <w:r w:rsidRPr="006571AC">
        <w:rPr>
          <w:sz w:val="27"/>
          <w:rtl/>
        </w:rPr>
        <w:t xml:space="preserve"> </w:t>
      </w:r>
      <w:r w:rsidRPr="006571AC">
        <w:rPr>
          <w:rFonts w:hint="cs"/>
          <w:sz w:val="27"/>
          <w:rtl/>
        </w:rPr>
        <w:t>القيامة</w:t>
      </w:r>
      <w:r w:rsidRPr="006571AC">
        <w:rPr>
          <w:sz w:val="27"/>
          <w:vertAlign w:val="superscript"/>
          <w:rtl/>
        </w:rPr>
        <w:t>(</w:t>
      </w:r>
      <w:r w:rsidRPr="006571AC">
        <w:rPr>
          <w:rStyle w:val="ac"/>
          <w:sz w:val="27"/>
          <w:rtl/>
        </w:rPr>
        <w:endnoteReference w:id="69"/>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rFonts w:hint="cs"/>
          <w:sz w:val="27"/>
          <w:rtl/>
        </w:rPr>
        <w:t>5ـ الشارع</w:t>
      </w:r>
      <w:r w:rsidRPr="006571AC">
        <w:rPr>
          <w:sz w:val="27"/>
          <w:rtl/>
        </w:rPr>
        <w:t xml:space="preserve"> </w:t>
      </w:r>
      <w:r w:rsidRPr="006571AC">
        <w:rPr>
          <w:rFonts w:hint="cs"/>
          <w:sz w:val="27"/>
          <w:rtl/>
        </w:rPr>
        <w:t>الإسلامي</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وضع</w:t>
      </w:r>
      <w:r w:rsidRPr="006571AC">
        <w:rPr>
          <w:sz w:val="27"/>
          <w:rtl/>
        </w:rPr>
        <w:t xml:space="preserve"> </w:t>
      </w:r>
      <w:r w:rsidRPr="006571AC">
        <w:rPr>
          <w:rFonts w:hint="cs"/>
          <w:sz w:val="27"/>
          <w:rtl/>
        </w:rPr>
        <w:t>القوانين</w:t>
      </w:r>
      <w:r w:rsidRPr="006571AC">
        <w:rPr>
          <w:sz w:val="27"/>
          <w:rtl/>
        </w:rPr>
        <w:t xml:space="preserve"> </w:t>
      </w:r>
      <w:r w:rsidRPr="006571AC">
        <w:rPr>
          <w:rFonts w:hint="cs"/>
          <w:sz w:val="27"/>
          <w:rtl/>
        </w:rPr>
        <w:t>للناس</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يوم</w:t>
      </w:r>
      <w:r w:rsidRPr="006571AC">
        <w:rPr>
          <w:sz w:val="27"/>
          <w:rtl/>
        </w:rPr>
        <w:t xml:space="preserve"> القيامة لديه اطّلاع</w:t>
      </w:r>
      <w:r w:rsidR="00F16B10" w:rsidRPr="006571AC">
        <w:rPr>
          <w:rFonts w:hint="cs"/>
          <w:sz w:val="27"/>
          <w:rtl/>
        </w:rPr>
        <w:t>ٌ</w:t>
      </w:r>
      <w:r w:rsidRPr="006571AC">
        <w:rPr>
          <w:sz w:val="27"/>
          <w:rtl/>
        </w:rPr>
        <w:t xml:space="preserve"> على المستقبل</w:t>
      </w:r>
      <w:r w:rsidRPr="006571AC">
        <w:rPr>
          <w:sz w:val="27"/>
          <w:vertAlign w:val="superscript"/>
          <w:rtl/>
        </w:rPr>
        <w:t>(</w:t>
      </w:r>
      <w:r w:rsidRPr="006571AC">
        <w:rPr>
          <w:rStyle w:val="ac"/>
          <w:sz w:val="27"/>
          <w:rtl/>
        </w:rPr>
        <w:endnoteReference w:id="70"/>
      </w:r>
      <w:r w:rsidRPr="006571AC">
        <w:rPr>
          <w:sz w:val="27"/>
          <w:vertAlign w:val="superscript"/>
          <w:rtl/>
        </w:rPr>
        <w:t>)</w:t>
      </w:r>
      <w:r w:rsidRPr="006571AC">
        <w:rPr>
          <w:sz w:val="27"/>
          <w:rtl/>
        </w:rPr>
        <w:t>، وهو اطّلاع</w:t>
      </w:r>
      <w:r w:rsidR="00F16B10" w:rsidRPr="006571AC">
        <w:rPr>
          <w:rFonts w:hint="cs"/>
          <w:sz w:val="27"/>
          <w:rtl/>
        </w:rPr>
        <w:t>ٌ</w:t>
      </w:r>
      <w:r w:rsidRPr="006571AC">
        <w:rPr>
          <w:sz w:val="27"/>
          <w:rtl/>
        </w:rPr>
        <w:t xml:space="preserve"> عامّ يشمل الس</w:t>
      </w:r>
      <w:r w:rsidR="00F16B10" w:rsidRPr="006571AC">
        <w:rPr>
          <w:rFonts w:hint="cs"/>
          <w:sz w:val="27"/>
          <w:rtl/>
        </w:rPr>
        <w:t>ِّ</w:t>
      </w:r>
      <w:r w:rsidRPr="006571AC">
        <w:rPr>
          <w:sz w:val="27"/>
          <w:rtl/>
        </w:rPr>
        <w:t>ي</w:t>
      </w:r>
      <w:r w:rsidR="00F16B10" w:rsidRPr="006571AC">
        <w:rPr>
          <w:rFonts w:hint="cs"/>
          <w:sz w:val="27"/>
          <w:rtl/>
        </w:rPr>
        <w:t>َ</w:t>
      </w:r>
      <w:r w:rsidRPr="006571AC">
        <w:rPr>
          <w:sz w:val="27"/>
          <w:rtl/>
        </w:rPr>
        <w:t>ر المستقبلية، وإ</w:t>
      </w:r>
      <w:r w:rsidR="003C2639" w:rsidRPr="006571AC">
        <w:rPr>
          <w:sz w:val="27"/>
          <w:rtl/>
        </w:rPr>
        <w:t>لاّ</w:t>
      </w:r>
      <w:r w:rsidRPr="006571AC">
        <w:rPr>
          <w:sz w:val="27"/>
          <w:rtl/>
        </w:rPr>
        <w:t xml:space="preserve"> لزم الخ</w:t>
      </w:r>
      <w:r w:rsidR="00F16B10" w:rsidRPr="006571AC">
        <w:rPr>
          <w:rFonts w:hint="cs"/>
          <w:sz w:val="27"/>
          <w:rtl/>
        </w:rPr>
        <w:t>ُ</w:t>
      </w:r>
      <w:r w:rsidRPr="006571AC">
        <w:rPr>
          <w:sz w:val="27"/>
          <w:rtl/>
        </w:rPr>
        <w:t>ل</w:t>
      </w:r>
      <w:r w:rsidR="00F16B10" w:rsidRPr="006571AC">
        <w:rPr>
          <w:rFonts w:hint="cs"/>
          <w:sz w:val="27"/>
          <w:rtl/>
        </w:rPr>
        <w:t>ْ</w:t>
      </w:r>
      <w:r w:rsidRPr="006571AC">
        <w:rPr>
          <w:sz w:val="27"/>
          <w:rtl/>
        </w:rPr>
        <w:t>ف</w:t>
      </w:r>
      <w:r w:rsidRPr="006571AC">
        <w:rPr>
          <w:sz w:val="27"/>
          <w:vertAlign w:val="superscript"/>
          <w:rtl/>
        </w:rPr>
        <w:t>(</w:t>
      </w:r>
      <w:r w:rsidRPr="006571AC">
        <w:rPr>
          <w:rStyle w:val="ac"/>
          <w:sz w:val="27"/>
          <w:rtl/>
        </w:rPr>
        <w:endnoteReference w:id="71"/>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sz w:val="27"/>
          <w:rtl/>
        </w:rPr>
        <w:t>وإنّ مقصودنا من هذا البحث هو أنّه إذا و</w:t>
      </w:r>
      <w:r w:rsidR="00F16B10" w:rsidRPr="006571AC">
        <w:rPr>
          <w:rFonts w:hint="cs"/>
          <w:sz w:val="27"/>
          <w:rtl/>
        </w:rPr>
        <w:t>ُ</w:t>
      </w:r>
      <w:r w:rsidRPr="006571AC">
        <w:rPr>
          <w:sz w:val="27"/>
          <w:rtl/>
        </w:rPr>
        <w:t>جد دليل</w:t>
      </w:r>
      <w:r w:rsidR="00F16B10" w:rsidRPr="006571AC">
        <w:rPr>
          <w:rFonts w:hint="cs"/>
          <w:sz w:val="27"/>
          <w:rtl/>
        </w:rPr>
        <w:t>ٌ</w:t>
      </w:r>
      <w:r w:rsidRPr="006571AC">
        <w:rPr>
          <w:sz w:val="27"/>
          <w:rtl/>
        </w:rPr>
        <w:t xml:space="preserve"> تامّ</w:t>
      </w:r>
      <w:r w:rsidR="00F16B10" w:rsidRPr="006571AC">
        <w:rPr>
          <w:rFonts w:hint="cs"/>
          <w:sz w:val="27"/>
          <w:rtl/>
        </w:rPr>
        <w:t>،</w:t>
      </w:r>
      <w:r w:rsidRPr="006571AC">
        <w:rPr>
          <w:sz w:val="27"/>
          <w:rtl/>
        </w:rPr>
        <w:t xml:space="preserve"> صدوراً ودلالةً وجهةً</w:t>
      </w:r>
      <w:r w:rsidR="00F16B10" w:rsidRPr="006571AC">
        <w:rPr>
          <w:rFonts w:hint="cs"/>
          <w:sz w:val="27"/>
          <w:rtl/>
        </w:rPr>
        <w:t>،</w:t>
      </w:r>
      <w:r w:rsidRPr="006571AC">
        <w:rPr>
          <w:sz w:val="27"/>
          <w:rtl/>
        </w:rPr>
        <w:t xml:space="preserve"> على نفي اعتبار سيرة</w:t>
      </w:r>
      <w:r w:rsidR="00F16B10" w:rsidRPr="006571AC">
        <w:rPr>
          <w:rFonts w:hint="cs"/>
          <w:sz w:val="27"/>
          <w:rtl/>
        </w:rPr>
        <w:t>ٍ</w:t>
      </w:r>
      <w:r w:rsidRPr="006571AC">
        <w:rPr>
          <w:sz w:val="27"/>
          <w:rtl/>
        </w:rPr>
        <w:t xml:space="preserve"> من الس</w:t>
      </w:r>
      <w:r w:rsidR="00F16B10" w:rsidRPr="006571AC">
        <w:rPr>
          <w:rFonts w:hint="cs"/>
          <w:sz w:val="27"/>
          <w:rtl/>
        </w:rPr>
        <w:t>ِّ</w:t>
      </w:r>
      <w:r w:rsidRPr="006571AC">
        <w:rPr>
          <w:sz w:val="27"/>
          <w:rtl/>
        </w:rPr>
        <w:t>ي</w:t>
      </w:r>
      <w:r w:rsidR="00F16B10" w:rsidRPr="006571AC">
        <w:rPr>
          <w:rFonts w:hint="cs"/>
          <w:sz w:val="27"/>
          <w:rtl/>
        </w:rPr>
        <w:t>َ</w:t>
      </w:r>
      <w:r w:rsidRPr="006571AC">
        <w:rPr>
          <w:sz w:val="27"/>
          <w:rtl/>
        </w:rPr>
        <w:t>ر العقلائية فإنّها تكون غير معتبرة</w:t>
      </w:r>
      <w:r w:rsidR="00F16B10" w:rsidRPr="006571AC">
        <w:rPr>
          <w:rFonts w:hint="cs"/>
          <w:sz w:val="27"/>
          <w:rtl/>
        </w:rPr>
        <w:t>ٍ</w:t>
      </w:r>
      <w:r w:rsidRPr="006571AC">
        <w:rPr>
          <w:sz w:val="27"/>
          <w:rtl/>
        </w:rPr>
        <w:t>، وتدخل ضمن دائرة الاستثناء من الحجّية، وفي غير هذه الحالة لا يكون موقف الشارع تجاه السيرة سلبياً، وتدخل في الدائرة المقابلة للاستثناء، وبالتالي تشملها القاعدة الأوّلية، وتكون معتبرة</w:t>
      </w:r>
      <w:r w:rsidR="00F16B10" w:rsidRPr="006571AC">
        <w:rPr>
          <w:rFonts w:hint="cs"/>
          <w:sz w:val="27"/>
          <w:rtl/>
        </w:rPr>
        <w:t>ً</w:t>
      </w:r>
      <w:r w:rsidRPr="006571AC">
        <w:rPr>
          <w:sz w:val="27"/>
          <w:rtl/>
        </w:rPr>
        <w:t xml:space="preserve"> وحجّة</w:t>
      </w:r>
      <w:r w:rsidR="00F16B10" w:rsidRPr="006571AC">
        <w:rPr>
          <w:rFonts w:hint="cs"/>
          <w:sz w:val="27"/>
          <w:rtl/>
        </w:rPr>
        <w:t>ً</w:t>
      </w:r>
      <w:r w:rsidRPr="006571AC">
        <w:rPr>
          <w:sz w:val="27"/>
          <w:rtl/>
        </w:rPr>
        <w:t xml:space="preserve">. </w:t>
      </w:r>
    </w:p>
    <w:p w:rsidR="00C37790" w:rsidRPr="006571AC" w:rsidRDefault="00C37790" w:rsidP="00C0404B">
      <w:pPr>
        <w:rPr>
          <w:sz w:val="27"/>
          <w:rtl/>
        </w:rPr>
      </w:pPr>
      <w:r w:rsidRPr="006571AC">
        <w:rPr>
          <w:sz w:val="27"/>
          <w:rtl/>
        </w:rPr>
        <w:t>والدليل المعتبر الذي نقصده هنا أعمّ من الدليل القطعي</w:t>
      </w:r>
      <w:r w:rsidR="008975CE" w:rsidRPr="006571AC">
        <w:rPr>
          <w:rFonts w:hint="cs"/>
          <w:sz w:val="27"/>
          <w:rtl/>
        </w:rPr>
        <w:t>ّ،</w:t>
      </w:r>
      <w:r w:rsidRPr="006571AC">
        <w:rPr>
          <w:sz w:val="27"/>
          <w:rtl/>
        </w:rPr>
        <w:t xml:space="preserve"> عقلياً كان أو شرعياً، والأمارة قطعي</w:t>
      </w:r>
      <w:r w:rsidR="008975CE" w:rsidRPr="006571AC">
        <w:rPr>
          <w:rFonts w:hint="cs"/>
          <w:sz w:val="27"/>
          <w:rtl/>
        </w:rPr>
        <w:t>ّ</w:t>
      </w:r>
      <w:r w:rsidRPr="006571AC">
        <w:rPr>
          <w:sz w:val="27"/>
          <w:rtl/>
        </w:rPr>
        <w:t>ة الاعتبار، والأصل العملي</w:t>
      </w:r>
      <w:r w:rsidR="008975CE" w:rsidRPr="006571AC">
        <w:rPr>
          <w:rFonts w:hint="cs"/>
          <w:sz w:val="27"/>
          <w:rtl/>
        </w:rPr>
        <w:t>ّ</w:t>
      </w:r>
      <w:r w:rsidRPr="006571AC">
        <w:rPr>
          <w:sz w:val="27"/>
          <w:rtl/>
        </w:rPr>
        <w:t xml:space="preserve">. </w:t>
      </w:r>
    </w:p>
    <w:p w:rsidR="00C37790" w:rsidRPr="006571AC" w:rsidRDefault="00C37790" w:rsidP="00C0404B">
      <w:pPr>
        <w:rPr>
          <w:sz w:val="27"/>
          <w:rtl/>
        </w:rPr>
      </w:pPr>
      <w:r w:rsidRPr="006571AC">
        <w:rPr>
          <w:sz w:val="27"/>
          <w:rtl/>
        </w:rPr>
        <w:t>وليس مرادنا من القاعدة الأوّلية لحجّية سيرة العقلاء أن نعتبرها دليلاً مستق</w:t>
      </w:r>
      <w:r w:rsidR="008975CE" w:rsidRPr="006571AC">
        <w:rPr>
          <w:sz w:val="27"/>
          <w:rtl/>
        </w:rPr>
        <w:t>لا</w:t>
      </w:r>
      <w:r w:rsidR="008975CE" w:rsidRPr="006571AC">
        <w:rPr>
          <w:rFonts w:hint="cs"/>
          <w:sz w:val="27"/>
          <w:rtl/>
        </w:rPr>
        <w:t>ًّ،</w:t>
      </w:r>
      <w:r w:rsidRPr="006571AC">
        <w:rPr>
          <w:sz w:val="27"/>
          <w:rtl/>
        </w:rPr>
        <w:t xml:space="preserve"> في عرض الكتاب والسنّة، وأن يكون لها موضوعي</w:t>
      </w:r>
      <w:r w:rsidR="008975CE" w:rsidRPr="006571AC">
        <w:rPr>
          <w:rFonts w:hint="cs"/>
          <w:sz w:val="27"/>
          <w:rtl/>
        </w:rPr>
        <w:t>ّ</w:t>
      </w:r>
      <w:r w:rsidRPr="006571AC">
        <w:rPr>
          <w:sz w:val="27"/>
          <w:rtl/>
        </w:rPr>
        <w:t>ة، بل نقول بأنّنا نستنتج من الأدلّة التي سنقدّ</w:t>
      </w:r>
      <w:r w:rsidR="008975CE" w:rsidRPr="006571AC">
        <w:rPr>
          <w:rFonts w:hint="cs"/>
          <w:sz w:val="27"/>
          <w:rtl/>
        </w:rPr>
        <w:t>ِ</w:t>
      </w:r>
      <w:r w:rsidRPr="006571AC">
        <w:rPr>
          <w:sz w:val="27"/>
          <w:rtl/>
        </w:rPr>
        <w:t>مها في هذا البحث أنّه لا حجّة للشارع ضدّنا في عملنا بمقتضى أيّ سيرة</w:t>
      </w:r>
      <w:r w:rsidR="008975CE" w:rsidRPr="006571AC">
        <w:rPr>
          <w:rFonts w:hint="cs"/>
          <w:sz w:val="27"/>
          <w:rtl/>
        </w:rPr>
        <w:t>ٍ</w:t>
      </w:r>
      <w:r w:rsidRPr="006571AC">
        <w:rPr>
          <w:sz w:val="27"/>
          <w:rtl/>
        </w:rPr>
        <w:t xml:space="preserve"> إذا لم يق</w:t>
      </w:r>
      <w:r w:rsidR="008975CE" w:rsidRPr="006571AC">
        <w:rPr>
          <w:rFonts w:hint="cs"/>
          <w:sz w:val="27"/>
          <w:rtl/>
        </w:rPr>
        <w:t>ُ</w:t>
      </w:r>
      <w:r w:rsidRPr="006571AC">
        <w:rPr>
          <w:sz w:val="27"/>
          <w:rtl/>
        </w:rPr>
        <w:t>م</w:t>
      </w:r>
      <w:r w:rsidR="008975CE" w:rsidRPr="006571AC">
        <w:rPr>
          <w:rFonts w:hint="cs"/>
          <w:sz w:val="27"/>
          <w:rtl/>
        </w:rPr>
        <w:t>ْ</w:t>
      </w:r>
      <w:r w:rsidRPr="006571AC">
        <w:rPr>
          <w:sz w:val="27"/>
          <w:rtl/>
        </w:rPr>
        <w:t xml:space="preserve"> دليل</w:t>
      </w:r>
      <w:r w:rsidR="008975CE" w:rsidRPr="006571AC">
        <w:rPr>
          <w:rFonts w:hint="cs"/>
          <w:sz w:val="27"/>
          <w:rtl/>
        </w:rPr>
        <w:t>ٌ</w:t>
      </w:r>
      <w:r w:rsidRPr="006571AC">
        <w:rPr>
          <w:sz w:val="27"/>
          <w:rtl/>
        </w:rPr>
        <w:t xml:space="preserve"> على نفي اعتبارها</w:t>
      </w:r>
      <w:r w:rsidR="008975CE" w:rsidRPr="006571AC">
        <w:rPr>
          <w:rFonts w:hint="cs"/>
          <w:sz w:val="27"/>
          <w:rtl/>
        </w:rPr>
        <w:t>،</w:t>
      </w:r>
      <w:r w:rsidRPr="006571AC">
        <w:rPr>
          <w:sz w:val="27"/>
          <w:rtl/>
        </w:rPr>
        <w:t xml:space="preserve"> ولذا نكون معذورين في ذلك. إذن؛ بهذه الأدلّة</w:t>
      </w:r>
      <w:r w:rsidR="008975CE" w:rsidRPr="006571AC">
        <w:rPr>
          <w:rFonts w:hint="cs"/>
          <w:sz w:val="27"/>
          <w:rtl/>
        </w:rPr>
        <w:t>،</w:t>
      </w:r>
      <w:r w:rsidRPr="006571AC">
        <w:rPr>
          <w:sz w:val="27"/>
          <w:rtl/>
        </w:rPr>
        <w:t xml:space="preserve"> نحن نستكشف موقف الشارع من السيرة</w:t>
      </w:r>
      <w:r w:rsidR="008975CE" w:rsidRPr="006571AC">
        <w:rPr>
          <w:rFonts w:hint="cs"/>
          <w:sz w:val="27"/>
          <w:rtl/>
        </w:rPr>
        <w:t>.</w:t>
      </w:r>
      <w:r w:rsidRPr="006571AC">
        <w:rPr>
          <w:sz w:val="27"/>
          <w:rtl/>
        </w:rPr>
        <w:t xml:space="preserve"> وهذا نظير الإجماع الذي له ـ بناءً على رأي الإماميّة ـ طريقي</w:t>
      </w:r>
      <w:r w:rsidR="008975CE" w:rsidRPr="006571AC">
        <w:rPr>
          <w:rFonts w:hint="cs"/>
          <w:sz w:val="27"/>
          <w:rtl/>
        </w:rPr>
        <w:t>ّ</w:t>
      </w:r>
      <w:r w:rsidRPr="006571AC">
        <w:rPr>
          <w:sz w:val="27"/>
          <w:rtl/>
        </w:rPr>
        <w:t>ة، وليس له موضوعي</w:t>
      </w:r>
      <w:r w:rsidR="008975CE" w:rsidRPr="006571AC">
        <w:rPr>
          <w:rFonts w:hint="cs"/>
          <w:sz w:val="27"/>
          <w:rtl/>
        </w:rPr>
        <w:t>ّ</w:t>
      </w:r>
      <w:r w:rsidRPr="006571AC">
        <w:rPr>
          <w:sz w:val="27"/>
          <w:rtl/>
        </w:rPr>
        <w:t xml:space="preserve">ة. </w:t>
      </w:r>
    </w:p>
    <w:p w:rsidR="00C37790" w:rsidRPr="006571AC" w:rsidRDefault="00C37790" w:rsidP="00C0404B">
      <w:pPr>
        <w:rPr>
          <w:sz w:val="27"/>
          <w:rtl/>
        </w:rPr>
      </w:pPr>
      <w:r w:rsidRPr="006571AC">
        <w:rPr>
          <w:sz w:val="27"/>
          <w:rtl/>
        </w:rPr>
        <w:t>وإنّني</w:t>
      </w:r>
      <w:r w:rsidR="008975CE" w:rsidRPr="006571AC">
        <w:rPr>
          <w:rFonts w:hint="cs"/>
          <w:sz w:val="27"/>
          <w:rtl/>
        </w:rPr>
        <w:t xml:space="preserve"> أ</w:t>
      </w:r>
      <w:r w:rsidRPr="006571AC">
        <w:rPr>
          <w:sz w:val="27"/>
          <w:rtl/>
        </w:rPr>
        <w:t>عتقد بأنّ كلّ سيرة</w:t>
      </w:r>
      <w:r w:rsidR="008975CE" w:rsidRPr="006571AC">
        <w:rPr>
          <w:rFonts w:hint="cs"/>
          <w:sz w:val="27"/>
          <w:rtl/>
        </w:rPr>
        <w:t>ٍ</w:t>
      </w:r>
      <w:r w:rsidRPr="006571AC">
        <w:rPr>
          <w:sz w:val="27"/>
          <w:rtl/>
        </w:rPr>
        <w:t xml:space="preserve"> عقلائية مستجدّة حجّة</w:t>
      </w:r>
      <w:r w:rsidR="008975CE" w:rsidRPr="006571AC">
        <w:rPr>
          <w:rFonts w:hint="cs"/>
          <w:sz w:val="27"/>
          <w:rtl/>
        </w:rPr>
        <w:t>ٌ</w:t>
      </w:r>
      <w:r w:rsidRPr="006571AC">
        <w:rPr>
          <w:sz w:val="27"/>
          <w:rtl/>
        </w:rPr>
        <w:t>، إ</w:t>
      </w:r>
      <w:r w:rsidR="003C2639" w:rsidRPr="006571AC">
        <w:rPr>
          <w:sz w:val="27"/>
          <w:rtl/>
        </w:rPr>
        <w:t>لاّ</w:t>
      </w:r>
      <w:r w:rsidRPr="006571AC">
        <w:rPr>
          <w:sz w:val="27"/>
          <w:rtl/>
        </w:rPr>
        <w:t xml:space="preserve"> إذا قام دليل</w:t>
      </w:r>
      <w:r w:rsidR="008975CE" w:rsidRPr="006571AC">
        <w:rPr>
          <w:rFonts w:hint="cs"/>
          <w:sz w:val="27"/>
          <w:rtl/>
        </w:rPr>
        <w:t>ٌ</w:t>
      </w:r>
      <w:r w:rsidRPr="006571AC">
        <w:rPr>
          <w:sz w:val="27"/>
          <w:rtl/>
        </w:rPr>
        <w:t xml:space="preserve"> عقلي أو نقلي معت</w:t>
      </w:r>
      <w:r w:rsidR="008975CE" w:rsidRPr="006571AC">
        <w:rPr>
          <w:rFonts w:hint="cs"/>
          <w:sz w:val="27"/>
          <w:rtl/>
        </w:rPr>
        <w:t>َ</w:t>
      </w:r>
      <w:r w:rsidRPr="006571AC">
        <w:rPr>
          <w:sz w:val="27"/>
          <w:rtl/>
        </w:rPr>
        <w:t>ب</w:t>
      </w:r>
      <w:r w:rsidR="008975CE" w:rsidRPr="006571AC">
        <w:rPr>
          <w:rFonts w:hint="cs"/>
          <w:sz w:val="27"/>
          <w:rtl/>
        </w:rPr>
        <w:t>َ</w:t>
      </w:r>
      <w:r w:rsidRPr="006571AC">
        <w:rPr>
          <w:sz w:val="27"/>
          <w:rtl/>
        </w:rPr>
        <w:t>ر على خلاف ذلك، مثلما اعتبر بعضٌ الأصل</w:t>
      </w:r>
      <w:r w:rsidR="00B710B1" w:rsidRPr="006571AC">
        <w:rPr>
          <w:rFonts w:hint="cs"/>
          <w:sz w:val="27"/>
          <w:rtl/>
        </w:rPr>
        <w:t>َ</w:t>
      </w:r>
      <w:r w:rsidRPr="006571AC">
        <w:rPr>
          <w:sz w:val="27"/>
          <w:rtl/>
        </w:rPr>
        <w:t xml:space="preserve"> الحاكم</w:t>
      </w:r>
      <w:r w:rsidR="00B710B1" w:rsidRPr="006571AC">
        <w:rPr>
          <w:rFonts w:hint="cs"/>
          <w:sz w:val="27"/>
          <w:rtl/>
        </w:rPr>
        <w:t>َ</w:t>
      </w:r>
      <w:r w:rsidRPr="006571AC">
        <w:rPr>
          <w:sz w:val="27"/>
          <w:rtl/>
        </w:rPr>
        <w:t xml:space="preserve"> على طريقة الشارع في غير العبادات هو الإمضاء وتصحيح بناءات الناس ومبانيهم، إلا</w:t>
      </w:r>
      <w:r w:rsidR="008975CE" w:rsidRPr="006571AC">
        <w:rPr>
          <w:rFonts w:hint="cs"/>
          <w:sz w:val="27"/>
          <w:rtl/>
        </w:rPr>
        <w:t>ّ</w:t>
      </w:r>
      <w:r w:rsidRPr="006571AC">
        <w:rPr>
          <w:sz w:val="27"/>
          <w:rtl/>
        </w:rPr>
        <w:t xml:space="preserve"> إذا ثبت خلاف ذلك بطريق</w:t>
      </w:r>
      <w:r w:rsidR="00B710B1" w:rsidRPr="006571AC">
        <w:rPr>
          <w:rFonts w:hint="cs"/>
          <w:sz w:val="27"/>
          <w:rtl/>
        </w:rPr>
        <w:t>ٍ</w:t>
      </w:r>
      <w:r w:rsidRPr="006571AC">
        <w:rPr>
          <w:sz w:val="27"/>
          <w:rtl/>
        </w:rPr>
        <w:t xml:space="preserve"> معتبر، وإن</w:t>
      </w:r>
      <w:r w:rsidR="00B710B1" w:rsidRPr="006571AC">
        <w:rPr>
          <w:rFonts w:hint="cs"/>
          <w:sz w:val="27"/>
          <w:rtl/>
        </w:rPr>
        <w:t>ْ</w:t>
      </w:r>
      <w:r w:rsidRPr="006571AC">
        <w:rPr>
          <w:sz w:val="27"/>
          <w:rtl/>
        </w:rPr>
        <w:t xml:space="preserve"> لم يستدلّوا على مدّعاهم</w:t>
      </w:r>
      <w:r w:rsidRPr="006571AC">
        <w:rPr>
          <w:sz w:val="27"/>
          <w:vertAlign w:val="superscript"/>
          <w:rtl/>
        </w:rPr>
        <w:t>(</w:t>
      </w:r>
      <w:r w:rsidRPr="006571AC">
        <w:rPr>
          <w:rStyle w:val="ac"/>
          <w:sz w:val="27"/>
          <w:rtl/>
        </w:rPr>
        <w:endnoteReference w:id="72"/>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sz w:val="27"/>
          <w:rtl/>
        </w:rPr>
        <w:t>وبناءً على هذا الرأي، فإنّ على الفقيه حين يواجه سيرة</w:t>
      </w:r>
      <w:r w:rsidR="00B710B1" w:rsidRPr="006571AC">
        <w:rPr>
          <w:rFonts w:hint="cs"/>
          <w:sz w:val="27"/>
          <w:rtl/>
        </w:rPr>
        <w:t>ً</w:t>
      </w:r>
      <w:r w:rsidRPr="006571AC">
        <w:rPr>
          <w:sz w:val="27"/>
          <w:rtl/>
        </w:rPr>
        <w:t xml:space="preserve"> عقلائية عامّة جديدة أن </w:t>
      </w:r>
      <w:r w:rsidRPr="006571AC">
        <w:rPr>
          <w:sz w:val="27"/>
          <w:rtl/>
        </w:rPr>
        <w:lastRenderedPageBreak/>
        <w:t>يبذل قصارى جهده للحصول من بين الأدلّة العقلية والنقلية على دليل</w:t>
      </w:r>
      <w:r w:rsidR="00B710B1" w:rsidRPr="006571AC">
        <w:rPr>
          <w:rFonts w:hint="cs"/>
          <w:sz w:val="27"/>
          <w:rtl/>
        </w:rPr>
        <w:t>ٍ</w:t>
      </w:r>
      <w:r w:rsidRPr="006571AC">
        <w:rPr>
          <w:sz w:val="27"/>
          <w:rtl/>
        </w:rPr>
        <w:t xml:space="preserve"> معتبر رادع</w:t>
      </w:r>
      <w:r w:rsidR="00B710B1" w:rsidRPr="006571AC">
        <w:rPr>
          <w:rFonts w:hint="cs"/>
          <w:sz w:val="27"/>
          <w:rtl/>
        </w:rPr>
        <w:t>ٍ</w:t>
      </w:r>
      <w:r w:rsidRPr="006571AC">
        <w:rPr>
          <w:sz w:val="27"/>
          <w:rtl/>
        </w:rPr>
        <w:t xml:space="preserve"> عن هذه السيرة </w:t>
      </w:r>
      <w:r w:rsidR="00B710B1" w:rsidRPr="006571AC">
        <w:rPr>
          <w:rFonts w:hint="eastAsia"/>
          <w:sz w:val="24"/>
          <w:szCs w:val="24"/>
          <w:rtl/>
        </w:rPr>
        <w:t>«</w:t>
      </w:r>
      <w:r w:rsidRPr="006571AC">
        <w:rPr>
          <w:sz w:val="27"/>
          <w:rtl/>
        </w:rPr>
        <w:t>دليل قطعي أو أمارة أو أصل عملي</w:t>
      </w:r>
      <w:r w:rsidR="00B710B1" w:rsidRPr="006571AC">
        <w:rPr>
          <w:rFonts w:hint="eastAsia"/>
          <w:sz w:val="24"/>
          <w:szCs w:val="24"/>
          <w:rtl/>
        </w:rPr>
        <w:t>»</w:t>
      </w:r>
      <w:r w:rsidRPr="006571AC">
        <w:rPr>
          <w:sz w:val="27"/>
          <w:rtl/>
        </w:rPr>
        <w:t>، وعندما لا يعثر على دليل</w:t>
      </w:r>
      <w:r w:rsidR="00B710B1" w:rsidRPr="006571AC">
        <w:rPr>
          <w:rFonts w:hint="cs"/>
          <w:sz w:val="27"/>
          <w:rtl/>
        </w:rPr>
        <w:t>ٍ</w:t>
      </w:r>
      <w:r w:rsidRPr="006571AC">
        <w:rPr>
          <w:sz w:val="27"/>
          <w:rtl/>
        </w:rPr>
        <w:t xml:space="preserve"> معتبر فله أن يفتي بالحكم التكليفي </w:t>
      </w:r>
      <w:r w:rsidR="00B710B1" w:rsidRPr="006571AC">
        <w:rPr>
          <w:rFonts w:hint="eastAsia"/>
          <w:sz w:val="24"/>
          <w:szCs w:val="24"/>
          <w:rtl/>
        </w:rPr>
        <w:t>«</w:t>
      </w:r>
      <w:r w:rsidRPr="006571AC">
        <w:rPr>
          <w:sz w:val="27"/>
          <w:rtl/>
        </w:rPr>
        <w:t>الجواز</w:t>
      </w:r>
      <w:r w:rsidR="00B710B1" w:rsidRPr="006571AC">
        <w:rPr>
          <w:rFonts w:hint="eastAsia"/>
          <w:sz w:val="24"/>
          <w:szCs w:val="24"/>
          <w:rtl/>
        </w:rPr>
        <w:t>»</w:t>
      </w:r>
      <w:r w:rsidRPr="006571AC">
        <w:rPr>
          <w:sz w:val="27"/>
          <w:rtl/>
        </w:rPr>
        <w:t>، والحكم الوضعي المتناسب معه، ك</w:t>
      </w:r>
      <w:r w:rsidR="00B710B1" w:rsidRPr="006571AC">
        <w:rPr>
          <w:rFonts w:hint="cs"/>
          <w:sz w:val="27"/>
          <w:rtl/>
        </w:rPr>
        <w:t xml:space="preserve">ـ </w:t>
      </w:r>
      <w:r w:rsidR="00B710B1" w:rsidRPr="006571AC">
        <w:rPr>
          <w:rFonts w:hint="eastAsia"/>
          <w:sz w:val="24"/>
          <w:szCs w:val="24"/>
          <w:rtl/>
        </w:rPr>
        <w:t>«</w:t>
      </w:r>
      <w:r w:rsidRPr="006571AC">
        <w:rPr>
          <w:sz w:val="27"/>
          <w:rtl/>
        </w:rPr>
        <w:t>الصحّة أو الملكية وغيرهما</w:t>
      </w:r>
      <w:r w:rsidR="00B710B1" w:rsidRPr="006571AC">
        <w:rPr>
          <w:rFonts w:hint="eastAsia"/>
          <w:sz w:val="24"/>
          <w:szCs w:val="24"/>
          <w:rtl/>
        </w:rPr>
        <w:t>»</w:t>
      </w:r>
      <w:r w:rsidRPr="006571AC">
        <w:rPr>
          <w:sz w:val="27"/>
          <w:rtl/>
        </w:rPr>
        <w:t xml:space="preserve">. </w:t>
      </w:r>
    </w:p>
    <w:p w:rsidR="00C37790" w:rsidRPr="006571AC" w:rsidRDefault="00C37790" w:rsidP="00C0404B">
      <w:pPr>
        <w:rPr>
          <w:sz w:val="27"/>
          <w:rtl/>
        </w:rPr>
      </w:pPr>
      <w:r w:rsidRPr="006571AC">
        <w:rPr>
          <w:sz w:val="27"/>
          <w:rtl/>
        </w:rPr>
        <w:t>ومن وجهة نظري فإنّ المباني الكلامية للشريعة كافية</w:t>
      </w:r>
      <w:r w:rsidR="00B710B1" w:rsidRPr="006571AC">
        <w:rPr>
          <w:rFonts w:hint="cs"/>
          <w:sz w:val="27"/>
          <w:rtl/>
        </w:rPr>
        <w:t>ٌ</w:t>
      </w:r>
      <w:r w:rsidRPr="006571AC">
        <w:rPr>
          <w:sz w:val="27"/>
          <w:rtl/>
        </w:rPr>
        <w:t xml:space="preserve"> لإثبات مدّعى وفرضية البحث</w:t>
      </w:r>
      <w:r w:rsidR="00B710B1" w:rsidRPr="006571AC">
        <w:rPr>
          <w:rFonts w:hint="cs"/>
          <w:sz w:val="27"/>
          <w:rtl/>
        </w:rPr>
        <w:t>.</w:t>
      </w:r>
      <w:r w:rsidRPr="006571AC">
        <w:rPr>
          <w:sz w:val="27"/>
          <w:rtl/>
        </w:rPr>
        <w:t xml:space="preserve"> والإشكالات التي يمكن أن تطرأ على الذهن ناشئة</w:t>
      </w:r>
      <w:r w:rsidR="00B710B1" w:rsidRPr="006571AC">
        <w:rPr>
          <w:rFonts w:hint="cs"/>
          <w:sz w:val="27"/>
          <w:rtl/>
        </w:rPr>
        <w:t>ٌ</w:t>
      </w:r>
      <w:r w:rsidRPr="006571AC">
        <w:rPr>
          <w:sz w:val="27"/>
          <w:rtl/>
        </w:rPr>
        <w:t xml:space="preserve"> من عدم التأمّ</w:t>
      </w:r>
      <w:r w:rsidR="00B710B1" w:rsidRPr="006571AC">
        <w:rPr>
          <w:rFonts w:hint="cs"/>
          <w:sz w:val="27"/>
          <w:rtl/>
        </w:rPr>
        <w:t>ُ</w:t>
      </w:r>
      <w:r w:rsidRPr="006571AC">
        <w:rPr>
          <w:sz w:val="27"/>
          <w:rtl/>
        </w:rPr>
        <w:t>ل والتدقيق اللازم في المباني الكلامية للشريعة، وعدم الالتفات التامّ إلى لوازمها. لذلك فإنّ أكثر الأدلّة راجعة</w:t>
      </w:r>
      <w:r w:rsidR="00B710B1" w:rsidRPr="006571AC">
        <w:rPr>
          <w:rFonts w:hint="cs"/>
          <w:sz w:val="27"/>
          <w:rtl/>
        </w:rPr>
        <w:t>ٌ</w:t>
      </w:r>
      <w:r w:rsidRPr="006571AC">
        <w:rPr>
          <w:sz w:val="27"/>
          <w:rtl/>
        </w:rPr>
        <w:t xml:space="preserve"> إلى تلك المباني والأسس، ومع ذلك فقد أض</w:t>
      </w:r>
      <w:r w:rsidR="00B710B1" w:rsidRPr="006571AC">
        <w:rPr>
          <w:rFonts w:hint="cs"/>
          <w:sz w:val="27"/>
          <w:rtl/>
        </w:rPr>
        <w:t>َ</w:t>
      </w:r>
      <w:r w:rsidRPr="006571AC">
        <w:rPr>
          <w:sz w:val="27"/>
          <w:rtl/>
        </w:rPr>
        <w:t>ف</w:t>
      </w:r>
      <w:r w:rsidR="00B710B1" w:rsidRPr="006571AC">
        <w:rPr>
          <w:rFonts w:hint="cs"/>
          <w:sz w:val="27"/>
          <w:rtl/>
        </w:rPr>
        <w:t>ْ</w:t>
      </w:r>
      <w:r w:rsidRPr="006571AC">
        <w:rPr>
          <w:sz w:val="27"/>
          <w:rtl/>
        </w:rPr>
        <w:t>نا أدلّة</w:t>
      </w:r>
      <w:r w:rsidR="00B710B1" w:rsidRPr="006571AC">
        <w:rPr>
          <w:rFonts w:hint="cs"/>
          <w:sz w:val="27"/>
          <w:rtl/>
        </w:rPr>
        <w:t>ً</w:t>
      </w:r>
      <w:r w:rsidRPr="006571AC">
        <w:rPr>
          <w:sz w:val="27"/>
          <w:rtl/>
        </w:rPr>
        <w:t xml:space="preserve"> أخرى إليها أيضاً. </w:t>
      </w:r>
    </w:p>
    <w:p w:rsidR="00C37790" w:rsidRPr="006571AC" w:rsidRDefault="00C37790" w:rsidP="00266070">
      <w:pPr>
        <w:spacing w:line="440" w:lineRule="exact"/>
        <w:rPr>
          <w:sz w:val="27"/>
          <w:rtl/>
        </w:rPr>
      </w:pPr>
    </w:p>
    <w:p w:rsidR="00C37790" w:rsidRPr="006571AC" w:rsidRDefault="00C37790" w:rsidP="0065120C">
      <w:pPr>
        <w:pStyle w:val="31"/>
        <w:rPr>
          <w:color w:val="auto"/>
          <w:rtl/>
        </w:rPr>
      </w:pPr>
      <w:bookmarkStart w:id="41" w:name="_Toc114164530"/>
      <w:r w:rsidRPr="006571AC">
        <w:rPr>
          <w:color w:val="auto"/>
          <w:rtl/>
        </w:rPr>
        <w:t>أدلّة حجّية الس</w:t>
      </w:r>
      <w:r w:rsidR="00B710B1" w:rsidRPr="006571AC">
        <w:rPr>
          <w:rFonts w:hint="cs"/>
          <w:color w:val="auto"/>
          <w:rtl/>
        </w:rPr>
        <w:t>ِّ</w:t>
      </w:r>
      <w:r w:rsidRPr="006571AC">
        <w:rPr>
          <w:color w:val="auto"/>
          <w:rtl/>
        </w:rPr>
        <w:t>ي</w:t>
      </w:r>
      <w:r w:rsidR="00B710B1" w:rsidRPr="006571AC">
        <w:rPr>
          <w:rFonts w:hint="cs"/>
          <w:color w:val="auto"/>
          <w:rtl/>
        </w:rPr>
        <w:t>َ</w:t>
      </w:r>
      <w:r w:rsidRPr="006571AC">
        <w:rPr>
          <w:color w:val="auto"/>
          <w:rtl/>
        </w:rPr>
        <w:t>ر العقلائي</w:t>
      </w:r>
      <w:r w:rsidR="00780A47" w:rsidRPr="006571AC">
        <w:rPr>
          <w:rFonts w:hint="cs"/>
          <w:color w:val="auto"/>
          <w:rtl/>
        </w:rPr>
        <w:t>ّ</w:t>
      </w:r>
      <w:r w:rsidRPr="006571AC">
        <w:rPr>
          <w:color w:val="auto"/>
          <w:rtl/>
        </w:rPr>
        <w:t>ة الجديدة غير المردوعة</w:t>
      </w:r>
      <w:bookmarkEnd w:id="41"/>
    </w:p>
    <w:p w:rsidR="00C37790" w:rsidRPr="006571AC" w:rsidRDefault="00780A47" w:rsidP="0065120C">
      <w:pPr>
        <w:pStyle w:val="31"/>
        <w:rPr>
          <w:color w:val="auto"/>
          <w:rtl/>
        </w:rPr>
      </w:pPr>
      <w:bookmarkStart w:id="42" w:name="_Toc114164531"/>
      <w:r w:rsidRPr="006571AC">
        <w:rPr>
          <w:rFonts w:hint="cs"/>
          <w:color w:val="auto"/>
          <w:rtl/>
        </w:rPr>
        <w:t>1ـ</w:t>
      </w:r>
      <w:r w:rsidR="00C37790" w:rsidRPr="006571AC">
        <w:rPr>
          <w:color w:val="auto"/>
          <w:rtl/>
        </w:rPr>
        <w:t xml:space="preserve"> مقتضى شمولي</w:t>
      </w:r>
      <w:r w:rsidRPr="006571AC">
        <w:rPr>
          <w:rFonts w:hint="cs"/>
          <w:color w:val="auto"/>
          <w:rtl/>
        </w:rPr>
        <w:t>ّ</w:t>
      </w:r>
      <w:r w:rsidR="00C37790" w:rsidRPr="006571AC">
        <w:rPr>
          <w:color w:val="auto"/>
          <w:rtl/>
        </w:rPr>
        <w:t>ة الشريعة الإسلامي</w:t>
      </w:r>
      <w:r w:rsidRPr="006571AC">
        <w:rPr>
          <w:rFonts w:hint="cs"/>
          <w:color w:val="auto"/>
          <w:rtl/>
        </w:rPr>
        <w:t>ّ</w:t>
      </w:r>
      <w:r w:rsidR="00C37790" w:rsidRPr="006571AC">
        <w:rPr>
          <w:color w:val="auto"/>
          <w:rtl/>
        </w:rPr>
        <w:t>ة</w:t>
      </w:r>
      <w:bookmarkEnd w:id="42"/>
    </w:p>
    <w:p w:rsidR="00C37790" w:rsidRPr="006571AC" w:rsidRDefault="00C37790" w:rsidP="00C0404B">
      <w:pPr>
        <w:rPr>
          <w:sz w:val="27"/>
          <w:rtl/>
        </w:rPr>
      </w:pPr>
      <w:r w:rsidRPr="006571AC">
        <w:rPr>
          <w:sz w:val="27"/>
          <w:rtl/>
        </w:rPr>
        <w:t>إنّ معنى شمولية الشريعة هو وجود موقف للشارع من كلّ شيء</w:t>
      </w:r>
      <w:r w:rsidR="00B710B1" w:rsidRPr="006571AC">
        <w:rPr>
          <w:rFonts w:hint="cs"/>
          <w:sz w:val="27"/>
          <w:rtl/>
        </w:rPr>
        <w:t>ٍ</w:t>
      </w:r>
      <w:r w:rsidRPr="006571AC">
        <w:rPr>
          <w:sz w:val="27"/>
          <w:rtl/>
        </w:rPr>
        <w:t xml:space="preserve">، وهذا لا يخرج عن احتمالين دائرين بين النفي والإثبات: </w:t>
      </w:r>
    </w:p>
    <w:p w:rsidR="00C37790" w:rsidRPr="006571AC" w:rsidRDefault="00C37790" w:rsidP="00C0404B">
      <w:pPr>
        <w:rPr>
          <w:sz w:val="27"/>
          <w:rtl/>
        </w:rPr>
      </w:pPr>
      <w:r w:rsidRPr="006571AC">
        <w:rPr>
          <w:sz w:val="27"/>
          <w:rtl/>
        </w:rPr>
        <w:t>أـ أن يكون للشارع موقف</w:t>
      </w:r>
      <w:r w:rsidR="00B710B1" w:rsidRPr="006571AC">
        <w:rPr>
          <w:rFonts w:hint="cs"/>
          <w:sz w:val="27"/>
          <w:rtl/>
        </w:rPr>
        <w:t>ٌ</w:t>
      </w:r>
      <w:r w:rsidRPr="006571AC">
        <w:rPr>
          <w:sz w:val="27"/>
          <w:rtl/>
        </w:rPr>
        <w:t xml:space="preserve"> سلبي. وهذه الحالة أيضاً لا تخرج عن فرضين دائرين بين النفي والإثبات؛ فإمّا أن يكون موقف الشارع السلبي قد وصل إلينا</w:t>
      </w:r>
      <w:r w:rsidR="00C44B2D" w:rsidRPr="006571AC">
        <w:rPr>
          <w:rFonts w:hint="cs"/>
          <w:sz w:val="27"/>
          <w:rtl/>
        </w:rPr>
        <w:t>،</w:t>
      </w:r>
      <w:r w:rsidRPr="006571AC">
        <w:rPr>
          <w:sz w:val="27"/>
          <w:rtl/>
        </w:rPr>
        <w:t xml:space="preserve"> وفي هذا الفرض نقول بعدم اعتبار السيرة، فتدخل ضمن دائرة الاستثناء من الحجّية</w:t>
      </w:r>
      <w:r w:rsidR="00C44B2D" w:rsidRPr="006571AC">
        <w:rPr>
          <w:rFonts w:hint="cs"/>
          <w:sz w:val="27"/>
          <w:rtl/>
        </w:rPr>
        <w:t>؛</w:t>
      </w:r>
      <w:r w:rsidRPr="006571AC">
        <w:rPr>
          <w:sz w:val="27"/>
          <w:rtl/>
        </w:rPr>
        <w:t xml:space="preserve"> وإما أن يكون الموقف السلبي لم يص</w:t>
      </w:r>
      <w:r w:rsidR="00C44B2D" w:rsidRPr="006571AC">
        <w:rPr>
          <w:rFonts w:hint="cs"/>
          <w:sz w:val="27"/>
          <w:rtl/>
        </w:rPr>
        <w:t>ِلْ</w:t>
      </w:r>
      <w:r w:rsidRPr="006571AC">
        <w:rPr>
          <w:sz w:val="27"/>
          <w:rtl/>
        </w:rPr>
        <w:t xml:space="preserve"> إلينا، وفي هذا الفرض تجري البراءة. </w:t>
      </w:r>
    </w:p>
    <w:p w:rsidR="00C44B2D" w:rsidRPr="006571AC" w:rsidRDefault="00C37790" w:rsidP="00C0404B">
      <w:pPr>
        <w:rPr>
          <w:sz w:val="27"/>
          <w:rtl/>
        </w:rPr>
      </w:pPr>
      <w:r w:rsidRPr="006571AC">
        <w:rPr>
          <w:sz w:val="27"/>
          <w:rtl/>
        </w:rPr>
        <w:t>ب ـ أن لا يكون للشارع موقف</w:t>
      </w:r>
      <w:r w:rsidR="00C44B2D" w:rsidRPr="006571AC">
        <w:rPr>
          <w:rFonts w:hint="cs"/>
          <w:sz w:val="27"/>
          <w:rtl/>
        </w:rPr>
        <w:t>ٌ</w:t>
      </w:r>
      <w:r w:rsidRPr="006571AC">
        <w:rPr>
          <w:sz w:val="27"/>
          <w:rtl/>
        </w:rPr>
        <w:t xml:space="preserve"> سلبي، وفي هذه الصورة يثبت مطلوبنا، وهو الحجّية. </w:t>
      </w:r>
    </w:p>
    <w:p w:rsidR="00326182" w:rsidRPr="006571AC" w:rsidRDefault="00326182" w:rsidP="00266070">
      <w:pPr>
        <w:spacing w:line="440" w:lineRule="exact"/>
        <w:rPr>
          <w:sz w:val="27"/>
          <w:rtl/>
        </w:rPr>
      </w:pPr>
    </w:p>
    <w:p w:rsidR="00326182" w:rsidRPr="006571AC" w:rsidRDefault="00326182" w:rsidP="00326182">
      <w:pPr>
        <w:pStyle w:val="31"/>
        <w:rPr>
          <w:color w:val="auto"/>
          <w:rtl/>
        </w:rPr>
      </w:pPr>
      <w:bookmarkStart w:id="43" w:name="_Toc114164532"/>
      <w:r w:rsidRPr="006571AC">
        <w:rPr>
          <w:rFonts w:hint="cs"/>
          <w:color w:val="auto"/>
          <w:rtl/>
        </w:rPr>
        <w:t>إيراداتٌ غير تامّة</w:t>
      </w:r>
      <w:bookmarkEnd w:id="43"/>
    </w:p>
    <w:p w:rsidR="00C37790" w:rsidRPr="006571AC" w:rsidRDefault="00C44B2D" w:rsidP="00C0404B">
      <w:pPr>
        <w:rPr>
          <w:sz w:val="27"/>
          <w:rtl/>
        </w:rPr>
      </w:pPr>
      <w:r w:rsidRPr="006571AC">
        <w:rPr>
          <w:rFonts w:hint="cs"/>
          <w:b/>
          <w:bCs/>
          <w:sz w:val="27"/>
          <w:rtl/>
        </w:rPr>
        <w:t>ف</w:t>
      </w:r>
      <w:r w:rsidR="00C37790" w:rsidRPr="006571AC">
        <w:rPr>
          <w:b/>
          <w:bCs/>
          <w:sz w:val="27"/>
          <w:rtl/>
        </w:rPr>
        <w:t>إن</w:t>
      </w:r>
      <w:r w:rsidRPr="006571AC">
        <w:rPr>
          <w:rFonts w:hint="cs"/>
          <w:b/>
          <w:bCs/>
          <w:sz w:val="27"/>
          <w:rtl/>
        </w:rPr>
        <w:t>ْ</w:t>
      </w:r>
      <w:r w:rsidR="00C37790" w:rsidRPr="006571AC">
        <w:rPr>
          <w:b/>
          <w:bCs/>
          <w:sz w:val="27"/>
          <w:rtl/>
        </w:rPr>
        <w:t xml:space="preserve"> قيل</w:t>
      </w:r>
      <w:r w:rsidR="00C37790" w:rsidRPr="006571AC">
        <w:rPr>
          <w:sz w:val="27"/>
          <w:rtl/>
        </w:rPr>
        <w:t>: الأصل في المعاملات بالمعنى الأخصّ هو الفساد وعدم ترتّ</w:t>
      </w:r>
      <w:r w:rsidRPr="006571AC">
        <w:rPr>
          <w:rFonts w:hint="cs"/>
          <w:sz w:val="27"/>
          <w:rtl/>
        </w:rPr>
        <w:t>ُ</w:t>
      </w:r>
      <w:r w:rsidR="00C37790" w:rsidRPr="006571AC">
        <w:rPr>
          <w:sz w:val="27"/>
          <w:rtl/>
        </w:rPr>
        <w:t>ب الأثر، كما ذكر ذلك كثير</w:t>
      </w:r>
      <w:r w:rsidRPr="006571AC">
        <w:rPr>
          <w:rFonts w:hint="cs"/>
          <w:sz w:val="27"/>
          <w:rtl/>
        </w:rPr>
        <w:t>ٌ</w:t>
      </w:r>
      <w:r w:rsidR="00C37790" w:rsidRPr="006571AC">
        <w:rPr>
          <w:sz w:val="27"/>
          <w:rtl/>
        </w:rPr>
        <w:t xml:space="preserve"> من الفقهاء</w:t>
      </w:r>
      <w:r w:rsidR="00C37790" w:rsidRPr="006571AC">
        <w:rPr>
          <w:sz w:val="27"/>
          <w:vertAlign w:val="superscript"/>
          <w:rtl/>
        </w:rPr>
        <w:t>(</w:t>
      </w:r>
      <w:r w:rsidR="00C37790" w:rsidRPr="006571AC">
        <w:rPr>
          <w:rStyle w:val="ac"/>
          <w:sz w:val="27"/>
          <w:rtl/>
        </w:rPr>
        <w:endnoteReference w:id="73"/>
      </w:r>
      <w:r w:rsidR="00C37790" w:rsidRPr="006571AC">
        <w:rPr>
          <w:sz w:val="27"/>
          <w:vertAlign w:val="superscript"/>
          <w:rtl/>
        </w:rPr>
        <w:t>)</w:t>
      </w:r>
      <w:r w:rsidR="00C37790" w:rsidRPr="006571AC">
        <w:rPr>
          <w:sz w:val="27"/>
          <w:rtl/>
        </w:rPr>
        <w:t xml:space="preserve">. </w:t>
      </w:r>
    </w:p>
    <w:p w:rsidR="00C37790" w:rsidRPr="006571AC" w:rsidRDefault="00C37790" w:rsidP="00C0404B">
      <w:pPr>
        <w:rPr>
          <w:sz w:val="27"/>
          <w:rtl/>
        </w:rPr>
      </w:pPr>
      <w:r w:rsidRPr="006571AC">
        <w:rPr>
          <w:b/>
          <w:bCs/>
          <w:sz w:val="27"/>
          <w:rtl/>
        </w:rPr>
        <w:t>نقول في الجواب</w:t>
      </w:r>
      <w:r w:rsidRPr="006571AC">
        <w:rPr>
          <w:sz w:val="27"/>
          <w:rtl/>
        </w:rPr>
        <w:t xml:space="preserve">: </w:t>
      </w:r>
    </w:p>
    <w:p w:rsidR="00C37790" w:rsidRPr="006571AC" w:rsidRDefault="00C37790" w:rsidP="00C0404B">
      <w:pPr>
        <w:rPr>
          <w:sz w:val="27"/>
          <w:rtl/>
        </w:rPr>
      </w:pPr>
      <w:r w:rsidRPr="006571AC">
        <w:rPr>
          <w:b/>
          <w:bCs/>
          <w:sz w:val="27"/>
          <w:rtl/>
        </w:rPr>
        <w:t>أوّلاً</w:t>
      </w:r>
      <w:r w:rsidRPr="006571AC">
        <w:rPr>
          <w:sz w:val="27"/>
          <w:rtl/>
        </w:rPr>
        <w:t>: إذا كانت المعاملة عقلائية ففساد</w:t>
      </w:r>
      <w:r w:rsidR="00C44B2D" w:rsidRPr="006571AC">
        <w:rPr>
          <w:rFonts w:hint="cs"/>
          <w:sz w:val="27"/>
          <w:rtl/>
        </w:rPr>
        <w:t>ُ</w:t>
      </w:r>
      <w:r w:rsidRPr="006571AC">
        <w:rPr>
          <w:sz w:val="27"/>
          <w:rtl/>
        </w:rPr>
        <w:t>ها يحتاج إلى دليل</w:t>
      </w:r>
      <w:r w:rsidR="00C44B2D" w:rsidRPr="006571AC">
        <w:rPr>
          <w:rFonts w:hint="cs"/>
          <w:sz w:val="27"/>
          <w:rtl/>
        </w:rPr>
        <w:t>ٍ</w:t>
      </w:r>
      <w:r w:rsidRPr="006571AC">
        <w:rPr>
          <w:sz w:val="27"/>
          <w:rtl/>
        </w:rPr>
        <w:t xml:space="preserve"> معتبر، كما ذكر ذلك أيضاً مجموعة</w:t>
      </w:r>
      <w:r w:rsidR="00C44B2D" w:rsidRPr="006571AC">
        <w:rPr>
          <w:rFonts w:hint="cs"/>
          <w:sz w:val="27"/>
          <w:rtl/>
        </w:rPr>
        <w:t>ٌ</w:t>
      </w:r>
      <w:r w:rsidRPr="006571AC">
        <w:rPr>
          <w:sz w:val="27"/>
          <w:rtl/>
        </w:rPr>
        <w:t xml:space="preserve"> كبيرة من الفقهاء</w:t>
      </w:r>
      <w:r w:rsidRPr="006571AC">
        <w:rPr>
          <w:sz w:val="27"/>
          <w:vertAlign w:val="superscript"/>
          <w:rtl/>
        </w:rPr>
        <w:t>(</w:t>
      </w:r>
      <w:r w:rsidRPr="006571AC">
        <w:rPr>
          <w:rStyle w:val="ac"/>
          <w:sz w:val="27"/>
          <w:rtl/>
        </w:rPr>
        <w:endnoteReference w:id="74"/>
      </w:r>
      <w:r w:rsidRPr="006571AC">
        <w:rPr>
          <w:sz w:val="27"/>
          <w:vertAlign w:val="superscript"/>
          <w:rtl/>
        </w:rPr>
        <w:t>)</w:t>
      </w:r>
      <w:r w:rsidRPr="006571AC">
        <w:rPr>
          <w:sz w:val="27"/>
          <w:rtl/>
        </w:rPr>
        <w:t xml:space="preserve">؛ لأنّ الشارع في مجال المعاملات ليس </w:t>
      </w:r>
      <w:r w:rsidRPr="006571AC">
        <w:rPr>
          <w:sz w:val="27"/>
          <w:rtl/>
        </w:rPr>
        <w:lastRenderedPageBreak/>
        <w:t>مؤسّ</w:t>
      </w:r>
      <w:r w:rsidR="00C44B2D" w:rsidRPr="006571AC">
        <w:rPr>
          <w:rFonts w:hint="cs"/>
          <w:sz w:val="27"/>
          <w:rtl/>
        </w:rPr>
        <w:t>ِ</w:t>
      </w:r>
      <w:r w:rsidRPr="006571AC">
        <w:rPr>
          <w:sz w:val="27"/>
          <w:rtl/>
        </w:rPr>
        <w:t>ساً، بل موجّه</w:t>
      </w:r>
      <w:r w:rsidR="00C44B2D" w:rsidRPr="006571AC">
        <w:rPr>
          <w:rFonts w:hint="cs"/>
          <w:sz w:val="27"/>
          <w:rtl/>
        </w:rPr>
        <w:t>ٌ</w:t>
      </w:r>
      <w:r w:rsidRPr="006571AC">
        <w:rPr>
          <w:sz w:val="27"/>
          <w:rtl/>
        </w:rPr>
        <w:t xml:space="preserve"> ورادع</w:t>
      </w:r>
      <w:r w:rsidR="00C44B2D" w:rsidRPr="006571AC">
        <w:rPr>
          <w:rFonts w:hint="cs"/>
          <w:sz w:val="27"/>
          <w:rtl/>
        </w:rPr>
        <w:t>ٌ</w:t>
      </w:r>
      <w:r w:rsidRPr="006571AC">
        <w:rPr>
          <w:sz w:val="27"/>
          <w:rtl/>
        </w:rPr>
        <w:t>، وردع ونفي اعتبار أمر</w:t>
      </w:r>
      <w:r w:rsidR="00C44B2D" w:rsidRPr="006571AC">
        <w:rPr>
          <w:rFonts w:hint="cs"/>
          <w:sz w:val="27"/>
          <w:rtl/>
        </w:rPr>
        <w:t>ٍ</w:t>
      </w:r>
      <w:r w:rsidRPr="006571AC">
        <w:rPr>
          <w:sz w:val="27"/>
          <w:rtl/>
        </w:rPr>
        <w:t xml:space="preserve"> رائج بين العقلاء يحتاج إلى دليل</w:t>
      </w:r>
      <w:r w:rsidR="00C44B2D" w:rsidRPr="006571AC">
        <w:rPr>
          <w:rFonts w:hint="cs"/>
          <w:sz w:val="27"/>
          <w:rtl/>
        </w:rPr>
        <w:t>ٍ</w:t>
      </w:r>
      <w:r w:rsidRPr="006571AC">
        <w:rPr>
          <w:sz w:val="27"/>
          <w:rtl/>
        </w:rPr>
        <w:t xml:space="preserve"> معتبر. </w:t>
      </w:r>
    </w:p>
    <w:p w:rsidR="00C37790" w:rsidRPr="006571AC" w:rsidRDefault="00C37790" w:rsidP="00C0404B">
      <w:pPr>
        <w:rPr>
          <w:sz w:val="27"/>
          <w:rtl/>
        </w:rPr>
      </w:pPr>
      <w:r w:rsidRPr="006571AC">
        <w:rPr>
          <w:b/>
          <w:bCs/>
          <w:sz w:val="27"/>
          <w:rtl/>
        </w:rPr>
        <w:t>ثانياً</w:t>
      </w:r>
      <w:r w:rsidRPr="006571AC">
        <w:rPr>
          <w:sz w:val="27"/>
          <w:rtl/>
        </w:rPr>
        <w:t>: إذا فرضنا أنّ أحداً ق</w:t>
      </w:r>
      <w:r w:rsidR="00C44B2D" w:rsidRPr="006571AC">
        <w:rPr>
          <w:rFonts w:hint="cs"/>
          <w:sz w:val="27"/>
          <w:rtl/>
        </w:rPr>
        <w:t>َ</w:t>
      </w:r>
      <w:r w:rsidRPr="006571AC">
        <w:rPr>
          <w:sz w:val="27"/>
          <w:rtl/>
        </w:rPr>
        <w:t>ب</w:t>
      </w:r>
      <w:r w:rsidR="00C44B2D" w:rsidRPr="006571AC">
        <w:rPr>
          <w:rFonts w:hint="cs"/>
          <w:sz w:val="27"/>
          <w:rtl/>
        </w:rPr>
        <w:t>ِ</w:t>
      </w:r>
      <w:r w:rsidRPr="006571AC">
        <w:rPr>
          <w:sz w:val="27"/>
          <w:rtl/>
        </w:rPr>
        <w:t>ل بأصالة الفساد في المعاملات بالمعنى الأخصّ فنتيجة رأيه عدم اعتبار السيرة العقلائية في المعاملات بالمعنى الأخصّ فقط، ولكن</w:t>
      </w:r>
      <w:r w:rsidR="00C44B2D" w:rsidRPr="006571AC">
        <w:rPr>
          <w:rFonts w:hint="cs"/>
          <w:sz w:val="27"/>
          <w:rtl/>
        </w:rPr>
        <w:t>ْ</w:t>
      </w:r>
      <w:r w:rsidRPr="006571AC">
        <w:rPr>
          <w:sz w:val="27"/>
          <w:rtl/>
        </w:rPr>
        <w:t xml:space="preserve"> في غير هذا المجال لا يوجد دليل</w:t>
      </w:r>
      <w:r w:rsidR="00C44B2D" w:rsidRPr="006571AC">
        <w:rPr>
          <w:rFonts w:hint="cs"/>
          <w:sz w:val="27"/>
          <w:rtl/>
        </w:rPr>
        <w:t>ٌ</w:t>
      </w:r>
      <w:r w:rsidRPr="006571AC">
        <w:rPr>
          <w:sz w:val="27"/>
          <w:rtl/>
        </w:rPr>
        <w:t xml:space="preserve"> على نفي الاعتبار. </w:t>
      </w:r>
    </w:p>
    <w:p w:rsidR="00C37790" w:rsidRPr="006571AC" w:rsidRDefault="00C37790" w:rsidP="00C0404B">
      <w:pPr>
        <w:rPr>
          <w:sz w:val="27"/>
          <w:rtl/>
        </w:rPr>
      </w:pPr>
      <w:r w:rsidRPr="006571AC">
        <w:rPr>
          <w:b/>
          <w:bCs/>
          <w:sz w:val="27"/>
          <w:rtl/>
        </w:rPr>
        <w:t>وهنا قد يطرح سؤال</w:t>
      </w:r>
      <w:r w:rsidR="00C44B2D" w:rsidRPr="006571AC">
        <w:rPr>
          <w:rFonts w:hint="cs"/>
          <w:b/>
          <w:bCs/>
          <w:sz w:val="27"/>
          <w:rtl/>
        </w:rPr>
        <w:t>ٌ</w:t>
      </w:r>
      <w:r w:rsidRPr="006571AC">
        <w:rPr>
          <w:b/>
          <w:bCs/>
          <w:sz w:val="27"/>
          <w:rtl/>
        </w:rPr>
        <w:t xml:space="preserve"> مفاده</w:t>
      </w:r>
      <w:r w:rsidRPr="006571AC">
        <w:rPr>
          <w:sz w:val="27"/>
          <w:rtl/>
        </w:rPr>
        <w:t>: نوافقكم على قولكم بكون الفساد وعدم الاعتبار محتاجاً إلى دليل</w:t>
      </w:r>
      <w:r w:rsidR="00C44B2D" w:rsidRPr="006571AC">
        <w:rPr>
          <w:rFonts w:hint="cs"/>
          <w:sz w:val="27"/>
          <w:rtl/>
        </w:rPr>
        <w:t>ٍ</w:t>
      </w:r>
      <w:r w:rsidRPr="006571AC">
        <w:rPr>
          <w:sz w:val="27"/>
          <w:rtl/>
        </w:rPr>
        <w:t>، ولكنّ الأصل العملي دليل</w:t>
      </w:r>
      <w:r w:rsidR="00C44B2D" w:rsidRPr="006571AC">
        <w:rPr>
          <w:rFonts w:hint="cs"/>
          <w:sz w:val="27"/>
          <w:rtl/>
        </w:rPr>
        <w:t>ٌ</w:t>
      </w:r>
      <w:r w:rsidRPr="006571AC">
        <w:rPr>
          <w:sz w:val="27"/>
          <w:rtl/>
        </w:rPr>
        <w:t xml:space="preserve"> معتبر. </w:t>
      </w:r>
    </w:p>
    <w:p w:rsidR="00C37790" w:rsidRPr="006571AC" w:rsidRDefault="00C37790" w:rsidP="00C0404B">
      <w:pPr>
        <w:rPr>
          <w:sz w:val="27"/>
          <w:rtl/>
        </w:rPr>
      </w:pPr>
      <w:r w:rsidRPr="006571AC">
        <w:rPr>
          <w:b/>
          <w:bCs/>
          <w:sz w:val="27"/>
          <w:rtl/>
        </w:rPr>
        <w:t>وجوابه بأن نقول</w:t>
      </w:r>
      <w:r w:rsidRPr="006571AC">
        <w:rPr>
          <w:sz w:val="27"/>
          <w:rtl/>
        </w:rPr>
        <w:t>: الأصل العملي يعتبر دليلاً في الحالة التي لا يوجد فيها دليل</w:t>
      </w:r>
      <w:r w:rsidR="00C44B2D" w:rsidRPr="006571AC">
        <w:rPr>
          <w:rFonts w:hint="cs"/>
          <w:sz w:val="27"/>
          <w:rtl/>
        </w:rPr>
        <w:t>ٌ</w:t>
      </w:r>
      <w:r w:rsidRPr="006571AC">
        <w:rPr>
          <w:sz w:val="27"/>
          <w:rtl/>
        </w:rPr>
        <w:t xml:space="preserve"> معتبر</w:t>
      </w:r>
      <w:r w:rsidR="00C44B2D" w:rsidRPr="006571AC">
        <w:rPr>
          <w:rFonts w:hint="cs"/>
          <w:sz w:val="27"/>
          <w:rtl/>
        </w:rPr>
        <w:t>،</w:t>
      </w:r>
      <w:r w:rsidRPr="006571AC">
        <w:rPr>
          <w:sz w:val="27"/>
          <w:rtl/>
        </w:rPr>
        <w:t xml:space="preserve"> من دليل قطعي أو أما</w:t>
      </w:r>
      <w:r w:rsidRPr="006571AC">
        <w:rPr>
          <w:rFonts w:hint="cs"/>
          <w:sz w:val="27"/>
          <w:rtl/>
        </w:rPr>
        <w:t>رة</w:t>
      </w:r>
      <w:r w:rsidRPr="006571AC">
        <w:rPr>
          <w:sz w:val="27"/>
          <w:vertAlign w:val="superscript"/>
          <w:rtl/>
        </w:rPr>
        <w:t>(</w:t>
      </w:r>
      <w:r w:rsidRPr="006571AC">
        <w:rPr>
          <w:rStyle w:val="ac"/>
          <w:sz w:val="27"/>
          <w:rtl/>
        </w:rPr>
        <w:endnoteReference w:id="75"/>
      </w:r>
      <w:r w:rsidRPr="006571AC">
        <w:rPr>
          <w:sz w:val="27"/>
          <w:vertAlign w:val="superscript"/>
          <w:rtl/>
        </w:rPr>
        <w:t>)</w:t>
      </w:r>
      <w:r w:rsidRPr="006571AC">
        <w:rPr>
          <w:sz w:val="27"/>
          <w:rtl/>
        </w:rPr>
        <w:t>. وفي محلّ كلامنا يوجد دليل</w:t>
      </w:r>
      <w:r w:rsidR="00C44B2D" w:rsidRPr="006571AC">
        <w:rPr>
          <w:rFonts w:hint="cs"/>
          <w:sz w:val="27"/>
          <w:rtl/>
        </w:rPr>
        <w:t>ٌ</w:t>
      </w:r>
      <w:r w:rsidRPr="006571AC">
        <w:rPr>
          <w:sz w:val="27"/>
          <w:rtl/>
        </w:rPr>
        <w:t xml:space="preserve"> معتبر، وهو مقدّ</w:t>
      </w:r>
      <w:r w:rsidR="00C44B2D" w:rsidRPr="006571AC">
        <w:rPr>
          <w:rFonts w:hint="cs"/>
          <w:sz w:val="27"/>
          <w:rtl/>
        </w:rPr>
        <w:t>َ</w:t>
      </w:r>
      <w:r w:rsidRPr="006571AC">
        <w:rPr>
          <w:sz w:val="27"/>
          <w:rtl/>
        </w:rPr>
        <w:t>م</w:t>
      </w:r>
      <w:r w:rsidR="00C44B2D" w:rsidRPr="006571AC">
        <w:rPr>
          <w:rFonts w:hint="cs"/>
          <w:sz w:val="27"/>
          <w:rtl/>
        </w:rPr>
        <w:t>ٌ</w:t>
      </w:r>
      <w:r w:rsidRPr="006571AC">
        <w:rPr>
          <w:sz w:val="27"/>
          <w:rtl/>
        </w:rPr>
        <w:t xml:space="preserve"> على الأصل العملي. </w:t>
      </w:r>
    </w:p>
    <w:p w:rsidR="00C37790" w:rsidRPr="006571AC" w:rsidRDefault="00C44B2D" w:rsidP="00C0404B">
      <w:pPr>
        <w:rPr>
          <w:sz w:val="27"/>
          <w:rtl/>
        </w:rPr>
      </w:pPr>
      <w:r w:rsidRPr="006571AC">
        <w:rPr>
          <w:rFonts w:hint="cs"/>
          <w:b/>
          <w:bCs/>
          <w:sz w:val="27"/>
          <w:rtl/>
        </w:rPr>
        <w:t>و</w:t>
      </w:r>
      <w:r w:rsidR="00C37790" w:rsidRPr="006571AC">
        <w:rPr>
          <w:b/>
          <w:bCs/>
          <w:sz w:val="27"/>
          <w:rtl/>
        </w:rPr>
        <w:t>قد ي</w:t>
      </w:r>
      <w:r w:rsidRPr="006571AC">
        <w:rPr>
          <w:rFonts w:hint="cs"/>
          <w:b/>
          <w:bCs/>
          <w:sz w:val="27"/>
          <w:rtl/>
        </w:rPr>
        <w:t>ُ</w:t>
      </w:r>
      <w:r w:rsidR="00C37790" w:rsidRPr="006571AC">
        <w:rPr>
          <w:b/>
          <w:bCs/>
          <w:sz w:val="27"/>
          <w:rtl/>
        </w:rPr>
        <w:t>قال</w:t>
      </w:r>
      <w:r w:rsidR="00C37790" w:rsidRPr="006571AC">
        <w:rPr>
          <w:sz w:val="27"/>
          <w:rtl/>
        </w:rPr>
        <w:t>: المراد من الأصل هنا هو القاعدة، لا الأصل العملي، حتّى يقال بأنّ اعتباره يكون في حالة عدم وجود دليل</w:t>
      </w:r>
      <w:r w:rsidRPr="006571AC">
        <w:rPr>
          <w:rFonts w:hint="cs"/>
          <w:sz w:val="27"/>
          <w:rtl/>
        </w:rPr>
        <w:t>ٍ</w:t>
      </w:r>
      <w:r w:rsidR="00C37790" w:rsidRPr="006571AC">
        <w:rPr>
          <w:sz w:val="27"/>
          <w:rtl/>
        </w:rPr>
        <w:t xml:space="preserve"> معتبر. </w:t>
      </w:r>
    </w:p>
    <w:p w:rsidR="00C37790" w:rsidRPr="006571AC" w:rsidRDefault="00C37790" w:rsidP="00C0404B">
      <w:pPr>
        <w:rPr>
          <w:sz w:val="27"/>
          <w:rtl/>
        </w:rPr>
      </w:pPr>
      <w:r w:rsidRPr="006571AC">
        <w:rPr>
          <w:b/>
          <w:bCs/>
          <w:sz w:val="27"/>
          <w:rtl/>
        </w:rPr>
        <w:t>والجواب ع</w:t>
      </w:r>
      <w:r w:rsidR="00326182" w:rsidRPr="006571AC">
        <w:rPr>
          <w:rFonts w:hint="cs"/>
          <w:b/>
          <w:bCs/>
          <w:sz w:val="27"/>
          <w:rtl/>
        </w:rPr>
        <w:t>ن</w:t>
      </w:r>
      <w:r w:rsidRPr="006571AC">
        <w:rPr>
          <w:b/>
          <w:bCs/>
          <w:sz w:val="27"/>
          <w:rtl/>
        </w:rPr>
        <w:t xml:space="preserve"> هذا الإشكال</w:t>
      </w:r>
      <w:r w:rsidRPr="006571AC">
        <w:rPr>
          <w:sz w:val="27"/>
          <w:rtl/>
        </w:rPr>
        <w:t xml:space="preserve"> يتّضح عبر نقاط: </w:t>
      </w:r>
    </w:p>
    <w:p w:rsidR="00C37790" w:rsidRPr="006571AC" w:rsidRDefault="00C44B2D" w:rsidP="00C0404B">
      <w:pPr>
        <w:rPr>
          <w:sz w:val="27"/>
          <w:rtl/>
        </w:rPr>
      </w:pPr>
      <w:r w:rsidRPr="006571AC">
        <w:rPr>
          <w:b/>
          <w:bCs/>
          <w:sz w:val="27"/>
          <w:rtl/>
        </w:rPr>
        <w:t>أوّل</w:t>
      </w:r>
      <w:r w:rsidRPr="006571AC">
        <w:rPr>
          <w:rFonts w:hint="cs"/>
          <w:b/>
          <w:bCs/>
          <w:sz w:val="27"/>
          <w:rtl/>
        </w:rPr>
        <w:t>اً</w:t>
      </w:r>
      <w:r w:rsidR="00C37790" w:rsidRPr="006571AC">
        <w:rPr>
          <w:sz w:val="27"/>
          <w:rtl/>
        </w:rPr>
        <w:t xml:space="preserve">: المراد من الأصل هنا هو الأصل العملي، لا القاعدة. </w:t>
      </w:r>
    </w:p>
    <w:p w:rsidR="00C37790" w:rsidRPr="006571AC" w:rsidRDefault="00C37790" w:rsidP="00C0404B">
      <w:pPr>
        <w:rPr>
          <w:sz w:val="27"/>
          <w:rtl/>
        </w:rPr>
      </w:pPr>
      <w:r w:rsidRPr="006571AC">
        <w:rPr>
          <w:b/>
          <w:bCs/>
          <w:sz w:val="27"/>
          <w:rtl/>
        </w:rPr>
        <w:t>ثانياً</w:t>
      </w:r>
      <w:r w:rsidRPr="006571AC">
        <w:rPr>
          <w:sz w:val="27"/>
          <w:rtl/>
        </w:rPr>
        <w:t>: لو فرضنا أنّ المراد من الأصل هنا هو القاعدة فمبنى وأساس اعتبارها هو الأصل العملي، كما صرّح بذلك القائلون بأصالة الفساد</w:t>
      </w:r>
      <w:r w:rsidRPr="006571AC">
        <w:rPr>
          <w:sz w:val="27"/>
          <w:vertAlign w:val="superscript"/>
          <w:rtl/>
        </w:rPr>
        <w:t>(</w:t>
      </w:r>
      <w:r w:rsidRPr="006571AC">
        <w:rPr>
          <w:rStyle w:val="ac"/>
          <w:sz w:val="27"/>
          <w:rtl/>
        </w:rPr>
        <w:endnoteReference w:id="76"/>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b/>
          <w:bCs/>
          <w:sz w:val="27"/>
          <w:rtl/>
        </w:rPr>
        <w:t>ثالثاً</w:t>
      </w:r>
      <w:r w:rsidRPr="006571AC">
        <w:rPr>
          <w:sz w:val="27"/>
          <w:rtl/>
        </w:rPr>
        <w:t>: لو فرضنا أنّ المراد من الأصل هنا هو القاعدة، وأنّ مبنى اعتبارها ليس هو الأصل العملي، فسيكون أساسها دليلاً مقابلاً للدليل المتقن على سيرة وطريقة الشارع في مجال المعاملات، ومن المسلّ</w:t>
      </w:r>
      <w:r w:rsidR="00C337DC" w:rsidRPr="006571AC">
        <w:rPr>
          <w:rFonts w:hint="cs"/>
          <w:sz w:val="27"/>
          <w:rtl/>
        </w:rPr>
        <w:t>َ</w:t>
      </w:r>
      <w:r w:rsidRPr="006571AC">
        <w:rPr>
          <w:sz w:val="27"/>
          <w:rtl/>
        </w:rPr>
        <w:t xml:space="preserve">م به تقديم سيرة الشارع على ذلك الدليل المفترض. </w:t>
      </w:r>
    </w:p>
    <w:p w:rsidR="00C37790" w:rsidRPr="006571AC" w:rsidRDefault="00C37790" w:rsidP="00C0404B">
      <w:pPr>
        <w:rPr>
          <w:sz w:val="27"/>
          <w:rtl/>
        </w:rPr>
      </w:pPr>
      <w:r w:rsidRPr="006571AC">
        <w:rPr>
          <w:b/>
          <w:bCs/>
          <w:sz w:val="27"/>
          <w:rtl/>
        </w:rPr>
        <w:t>رابعاً</w:t>
      </w:r>
      <w:r w:rsidRPr="006571AC">
        <w:rPr>
          <w:sz w:val="27"/>
          <w:rtl/>
        </w:rPr>
        <w:t>: وإذا جرى هنا استصحاب عدم ترتّ</w:t>
      </w:r>
      <w:r w:rsidR="00C337DC" w:rsidRPr="006571AC">
        <w:rPr>
          <w:rFonts w:hint="cs"/>
          <w:sz w:val="27"/>
          <w:rtl/>
        </w:rPr>
        <w:t>ُ</w:t>
      </w:r>
      <w:r w:rsidRPr="006571AC">
        <w:rPr>
          <w:sz w:val="27"/>
          <w:rtl/>
        </w:rPr>
        <w:t>ب الأثر فإنّه لا تتأثّ</w:t>
      </w:r>
      <w:r w:rsidR="00C337DC" w:rsidRPr="006571AC">
        <w:rPr>
          <w:rFonts w:hint="cs"/>
          <w:sz w:val="27"/>
          <w:rtl/>
        </w:rPr>
        <w:t>َ</w:t>
      </w:r>
      <w:r w:rsidRPr="006571AC">
        <w:rPr>
          <w:sz w:val="27"/>
          <w:rtl/>
        </w:rPr>
        <w:t>ر القاعدة الأوّلية ح</w:t>
      </w:r>
      <w:r w:rsidR="00C337DC" w:rsidRPr="006571AC">
        <w:rPr>
          <w:rFonts w:hint="cs"/>
          <w:sz w:val="27"/>
          <w:rtl/>
        </w:rPr>
        <w:t>َ</w:t>
      </w:r>
      <w:r w:rsidRPr="006571AC">
        <w:rPr>
          <w:sz w:val="27"/>
          <w:rtl/>
        </w:rPr>
        <w:t>س</w:t>
      </w:r>
      <w:r w:rsidR="00C337DC" w:rsidRPr="006571AC">
        <w:rPr>
          <w:rFonts w:hint="cs"/>
          <w:sz w:val="27"/>
          <w:rtl/>
        </w:rPr>
        <w:t>ْ</w:t>
      </w:r>
      <w:r w:rsidRPr="006571AC">
        <w:rPr>
          <w:sz w:val="27"/>
          <w:rtl/>
        </w:rPr>
        <w:t xml:space="preserve">ب ادّعائنا، بل يخرج هذا المورد عن القاعدة الأوّلية، ويدخل في دائرة الاستثناء. </w:t>
      </w:r>
    </w:p>
    <w:p w:rsidR="00C37790" w:rsidRPr="006571AC" w:rsidRDefault="00C37790" w:rsidP="00266070">
      <w:pPr>
        <w:spacing w:line="420" w:lineRule="exact"/>
        <w:rPr>
          <w:sz w:val="27"/>
          <w:rtl/>
        </w:rPr>
      </w:pPr>
    </w:p>
    <w:p w:rsidR="00C37790" w:rsidRPr="006571AC" w:rsidRDefault="00780A47" w:rsidP="0065120C">
      <w:pPr>
        <w:pStyle w:val="31"/>
        <w:rPr>
          <w:color w:val="auto"/>
          <w:rtl/>
        </w:rPr>
      </w:pPr>
      <w:bookmarkStart w:id="44" w:name="_Toc114164533"/>
      <w:r w:rsidRPr="006571AC">
        <w:rPr>
          <w:rFonts w:hint="cs"/>
          <w:color w:val="auto"/>
          <w:rtl/>
        </w:rPr>
        <w:t>2ـ</w:t>
      </w:r>
      <w:r w:rsidR="00C37790" w:rsidRPr="006571AC">
        <w:rPr>
          <w:color w:val="auto"/>
          <w:rtl/>
        </w:rPr>
        <w:t xml:space="preserve"> سيرة الشارع وطريقته في غير العبادات</w:t>
      </w:r>
      <w:bookmarkEnd w:id="44"/>
    </w:p>
    <w:p w:rsidR="00C37790" w:rsidRPr="006571AC" w:rsidRDefault="00C37790" w:rsidP="00C0404B">
      <w:pPr>
        <w:rPr>
          <w:sz w:val="27"/>
          <w:rtl/>
        </w:rPr>
      </w:pPr>
      <w:r w:rsidRPr="006571AC">
        <w:rPr>
          <w:sz w:val="27"/>
          <w:rtl/>
        </w:rPr>
        <w:t>ويمكن بيان هذا الدليل عبر مقدّمات</w:t>
      </w:r>
      <w:r w:rsidR="00C337DC" w:rsidRPr="006571AC">
        <w:rPr>
          <w:rFonts w:hint="cs"/>
          <w:sz w:val="27"/>
          <w:rtl/>
        </w:rPr>
        <w:t>ٍ</w:t>
      </w:r>
      <w:r w:rsidRPr="006571AC">
        <w:rPr>
          <w:sz w:val="27"/>
          <w:rtl/>
        </w:rPr>
        <w:t xml:space="preserve">: </w:t>
      </w:r>
    </w:p>
    <w:p w:rsidR="00C37790" w:rsidRPr="006571AC" w:rsidRDefault="00C37790" w:rsidP="005B3156">
      <w:pPr>
        <w:rPr>
          <w:sz w:val="27"/>
          <w:rtl/>
        </w:rPr>
      </w:pPr>
      <w:r w:rsidRPr="006571AC">
        <w:rPr>
          <w:rFonts w:hint="cs"/>
          <w:sz w:val="27"/>
          <w:rtl/>
        </w:rPr>
        <w:t>1ـ الشارع</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مجال</w:t>
      </w:r>
      <w:r w:rsidRPr="006571AC">
        <w:rPr>
          <w:sz w:val="27"/>
          <w:rtl/>
        </w:rPr>
        <w:t xml:space="preserve"> </w:t>
      </w:r>
      <w:r w:rsidRPr="006571AC">
        <w:rPr>
          <w:rFonts w:hint="cs"/>
          <w:sz w:val="27"/>
          <w:rtl/>
        </w:rPr>
        <w:t>العبادات</w:t>
      </w:r>
      <w:r w:rsidRPr="006571AC">
        <w:rPr>
          <w:sz w:val="27"/>
          <w:rtl/>
        </w:rPr>
        <w:t xml:space="preserve"> </w:t>
      </w:r>
      <w:r w:rsidRPr="006571AC">
        <w:rPr>
          <w:rFonts w:hint="cs"/>
          <w:sz w:val="27"/>
          <w:rtl/>
        </w:rPr>
        <w:t>مؤسّ</w:t>
      </w:r>
      <w:r w:rsidR="00C337DC" w:rsidRPr="006571AC">
        <w:rPr>
          <w:rFonts w:hint="cs"/>
          <w:sz w:val="27"/>
          <w:rtl/>
        </w:rPr>
        <w:t>ِ</w:t>
      </w:r>
      <w:r w:rsidRPr="006571AC">
        <w:rPr>
          <w:rFonts w:hint="cs"/>
          <w:sz w:val="27"/>
          <w:rtl/>
        </w:rPr>
        <w:t>س</w:t>
      </w:r>
      <w:r w:rsidR="00C337DC" w:rsidRPr="006571AC">
        <w:rPr>
          <w:rFonts w:hint="cs"/>
          <w:sz w:val="27"/>
          <w:rtl/>
        </w:rPr>
        <w:t>ٌ</w:t>
      </w:r>
      <w:r w:rsidRPr="006571AC">
        <w:rPr>
          <w:rFonts w:hint="cs"/>
          <w:sz w:val="27"/>
          <w:rtl/>
        </w:rPr>
        <w:t>، و</w:t>
      </w:r>
      <w:r w:rsidR="00731867" w:rsidRPr="006571AC">
        <w:rPr>
          <w:rFonts w:hint="cs"/>
          <w:sz w:val="27"/>
          <w:rtl/>
        </w:rPr>
        <w:t>لا بُدَّ</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تكون</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مواقف</w:t>
      </w:r>
      <w:r w:rsidRPr="006571AC">
        <w:rPr>
          <w:sz w:val="27"/>
          <w:rtl/>
        </w:rPr>
        <w:t xml:space="preserve"> </w:t>
      </w:r>
      <w:r w:rsidRPr="006571AC">
        <w:rPr>
          <w:rFonts w:hint="cs"/>
          <w:sz w:val="27"/>
          <w:rtl/>
        </w:rPr>
        <w:t>إيجابية، ولذا</w:t>
      </w:r>
      <w:r w:rsidRPr="006571AC">
        <w:rPr>
          <w:sz w:val="27"/>
          <w:rtl/>
        </w:rPr>
        <w:t xml:space="preserve"> </w:t>
      </w:r>
      <w:r w:rsidRPr="006571AC">
        <w:rPr>
          <w:rFonts w:hint="cs"/>
          <w:sz w:val="27"/>
          <w:rtl/>
        </w:rPr>
        <w:lastRenderedPageBreak/>
        <w:t>فهو</w:t>
      </w:r>
      <w:r w:rsidRPr="006571AC">
        <w:rPr>
          <w:sz w:val="27"/>
          <w:rtl/>
        </w:rPr>
        <w:t xml:space="preserve"> </w:t>
      </w:r>
      <w:r w:rsidRPr="006571AC">
        <w:rPr>
          <w:rFonts w:hint="cs"/>
          <w:sz w:val="27"/>
          <w:rtl/>
        </w:rPr>
        <w:t>قد</w:t>
      </w:r>
      <w:r w:rsidRPr="006571AC">
        <w:rPr>
          <w:sz w:val="27"/>
          <w:rtl/>
        </w:rPr>
        <w:t xml:space="preserve"> </w:t>
      </w:r>
      <w:r w:rsidRPr="006571AC">
        <w:rPr>
          <w:rFonts w:hint="cs"/>
          <w:sz w:val="27"/>
          <w:rtl/>
        </w:rPr>
        <w:t>أمر</w:t>
      </w:r>
      <w:r w:rsidRPr="006571AC">
        <w:rPr>
          <w:sz w:val="27"/>
          <w:rtl/>
        </w:rPr>
        <w:t xml:space="preserve"> </w:t>
      </w:r>
      <w:r w:rsidRPr="006571AC">
        <w:rPr>
          <w:rFonts w:hint="cs"/>
          <w:sz w:val="27"/>
          <w:rtl/>
        </w:rPr>
        <w:t>بأن</w:t>
      </w:r>
      <w:r w:rsidRPr="006571AC">
        <w:rPr>
          <w:sz w:val="27"/>
          <w:rtl/>
        </w:rPr>
        <w:t xml:space="preserve"> </w:t>
      </w:r>
      <w:r w:rsidRPr="006571AC">
        <w:rPr>
          <w:rFonts w:hint="cs"/>
          <w:sz w:val="27"/>
          <w:rtl/>
        </w:rPr>
        <w:t>نرجع</w:t>
      </w:r>
      <w:r w:rsidRPr="006571AC">
        <w:rPr>
          <w:sz w:val="27"/>
          <w:rtl/>
        </w:rPr>
        <w:t xml:space="preserve"> </w:t>
      </w:r>
      <w:r w:rsidRPr="006571AC">
        <w:rPr>
          <w:rFonts w:hint="cs"/>
          <w:sz w:val="27"/>
          <w:rtl/>
        </w:rPr>
        <w:t>إليه، ونأخذ</w:t>
      </w:r>
      <w:r w:rsidRPr="006571AC">
        <w:rPr>
          <w:sz w:val="27"/>
          <w:rtl/>
        </w:rPr>
        <w:t xml:space="preserve"> </w:t>
      </w:r>
      <w:r w:rsidRPr="006571AC">
        <w:rPr>
          <w:rFonts w:hint="cs"/>
          <w:sz w:val="27"/>
          <w:rtl/>
        </w:rPr>
        <w:t>منه</w:t>
      </w:r>
      <w:r w:rsidRPr="006571AC">
        <w:rPr>
          <w:sz w:val="27"/>
          <w:rtl/>
        </w:rPr>
        <w:t xml:space="preserve"> </w:t>
      </w:r>
      <w:r w:rsidRPr="006571AC">
        <w:rPr>
          <w:rFonts w:hint="cs"/>
          <w:sz w:val="27"/>
          <w:rtl/>
        </w:rPr>
        <w:t>تفاصيل</w:t>
      </w:r>
      <w:r w:rsidRPr="006571AC">
        <w:rPr>
          <w:sz w:val="27"/>
          <w:rtl/>
        </w:rPr>
        <w:t xml:space="preserve"> </w:t>
      </w:r>
      <w:r w:rsidRPr="006571AC">
        <w:rPr>
          <w:rFonts w:hint="cs"/>
          <w:sz w:val="27"/>
          <w:rtl/>
        </w:rPr>
        <w:t>المناسك، كما</w:t>
      </w:r>
      <w:r w:rsidRPr="006571AC">
        <w:rPr>
          <w:sz w:val="27"/>
          <w:rtl/>
        </w:rPr>
        <w:t xml:space="preserve"> </w:t>
      </w:r>
      <w:r w:rsidRPr="006571AC">
        <w:rPr>
          <w:rFonts w:hint="cs"/>
          <w:sz w:val="27"/>
          <w:rtl/>
        </w:rPr>
        <w:t>جاء</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روايات</w:t>
      </w:r>
      <w:r w:rsidR="00C337DC" w:rsidRPr="006571AC">
        <w:rPr>
          <w:rFonts w:hint="cs"/>
          <w:sz w:val="27"/>
          <w:rtl/>
        </w:rPr>
        <w:t>:</w:t>
      </w:r>
      <w:r w:rsidRPr="006571AC">
        <w:rPr>
          <w:sz w:val="27"/>
          <w:rtl/>
        </w:rPr>
        <w:t xml:space="preserve"> </w:t>
      </w:r>
      <w:r w:rsidR="007715EC" w:rsidRPr="006571AC">
        <w:rPr>
          <w:rFonts w:hint="eastAsia"/>
          <w:sz w:val="24"/>
          <w:szCs w:val="24"/>
          <w:rtl/>
        </w:rPr>
        <w:t>«</w:t>
      </w:r>
      <w:r w:rsidRPr="006571AC">
        <w:rPr>
          <w:rFonts w:hint="cs"/>
          <w:sz w:val="27"/>
          <w:rtl/>
        </w:rPr>
        <w:t>خذوا</w:t>
      </w:r>
      <w:r w:rsidRPr="006571AC">
        <w:rPr>
          <w:sz w:val="27"/>
          <w:rtl/>
        </w:rPr>
        <w:t xml:space="preserve"> </w:t>
      </w:r>
      <w:r w:rsidRPr="006571AC">
        <w:rPr>
          <w:rFonts w:hint="cs"/>
          <w:sz w:val="27"/>
          <w:rtl/>
        </w:rPr>
        <w:t>عنّي</w:t>
      </w:r>
      <w:r w:rsidRPr="006571AC">
        <w:rPr>
          <w:sz w:val="27"/>
          <w:rtl/>
        </w:rPr>
        <w:t xml:space="preserve"> </w:t>
      </w:r>
      <w:r w:rsidRPr="006571AC">
        <w:rPr>
          <w:rFonts w:hint="cs"/>
          <w:sz w:val="27"/>
          <w:rtl/>
        </w:rPr>
        <w:t>مناسككم</w:t>
      </w:r>
      <w:r w:rsidR="007715EC" w:rsidRPr="006571AC">
        <w:rPr>
          <w:rFonts w:hint="eastAsia"/>
          <w:sz w:val="24"/>
          <w:szCs w:val="24"/>
          <w:rtl/>
        </w:rPr>
        <w:t>»</w:t>
      </w:r>
      <w:r w:rsidRPr="006571AC">
        <w:rPr>
          <w:sz w:val="27"/>
          <w:vertAlign w:val="superscript"/>
          <w:rtl/>
        </w:rPr>
        <w:t>(</w:t>
      </w:r>
      <w:r w:rsidRPr="006571AC">
        <w:rPr>
          <w:rStyle w:val="ac"/>
          <w:sz w:val="27"/>
          <w:rtl/>
        </w:rPr>
        <w:endnoteReference w:id="77"/>
      </w:r>
      <w:r w:rsidRPr="006571AC">
        <w:rPr>
          <w:sz w:val="27"/>
          <w:vertAlign w:val="superscript"/>
          <w:rtl/>
        </w:rPr>
        <w:t>)</w:t>
      </w:r>
      <w:r w:rsidRPr="006571AC">
        <w:rPr>
          <w:sz w:val="27"/>
          <w:rtl/>
        </w:rPr>
        <w:t>، و</w:t>
      </w:r>
      <w:r w:rsidR="007715EC" w:rsidRPr="006571AC">
        <w:rPr>
          <w:rFonts w:hint="eastAsia"/>
          <w:sz w:val="24"/>
          <w:szCs w:val="24"/>
          <w:rtl/>
        </w:rPr>
        <w:t>«</w:t>
      </w:r>
      <w:r w:rsidRPr="006571AC">
        <w:rPr>
          <w:sz w:val="27"/>
          <w:rtl/>
        </w:rPr>
        <w:t>صلّوا كما رأيتموني أصلّي</w:t>
      </w:r>
      <w:r w:rsidR="007715EC" w:rsidRPr="006571AC">
        <w:rPr>
          <w:rFonts w:hint="eastAsia"/>
          <w:sz w:val="24"/>
          <w:szCs w:val="24"/>
          <w:rtl/>
        </w:rPr>
        <w:t>»</w:t>
      </w:r>
      <w:r w:rsidRPr="006571AC">
        <w:rPr>
          <w:sz w:val="27"/>
          <w:vertAlign w:val="superscript"/>
          <w:rtl/>
        </w:rPr>
        <w:t>(</w:t>
      </w:r>
      <w:r w:rsidRPr="006571AC">
        <w:rPr>
          <w:rStyle w:val="ac"/>
          <w:sz w:val="27"/>
          <w:rtl/>
        </w:rPr>
        <w:endnoteReference w:id="78"/>
      </w:r>
      <w:r w:rsidRPr="006571AC">
        <w:rPr>
          <w:sz w:val="27"/>
          <w:vertAlign w:val="superscript"/>
          <w:rtl/>
        </w:rPr>
        <w:t>)</w:t>
      </w:r>
      <w:r w:rsidR="00C337DC" w:rsidRPr="006571AC">
        <w:rPr>
          <w:rFonts w:hint="cs"/>
          <w:sz w:val="27"/>
          <w:rtl/>
        </w:rPr>
        <w:t>.</w:t>
      </w:r>
      <w:r w:rsidRPr="006571AC">
        <w:rPr>
          <w:sz w:val="27"/>
          <w:rtl/>
        </w:rPr>
        <w:t xml:space="preserve"> ولكنّ الشارع في غير مجال العبادات ليس مؤسّ</w:t>
      </w:r>
      <w:r w:rsidR="00C337DC" w:rsidRPr="006571AC">
        <w:rPr>
          <w:rFonts w:hint="cs"/>
          <w:sz w:val="27"/>
          <w:rtl/>
        </w:rPr>
        <w:t>ِ</w:t>
      </w:r>
      <w:r w:rsidRPr="006571AC">
        <w:rPr>
          <w:sz w:val="27"/>
          <w:rtl/>
        </w:rPr>
        <w:t>ساً. لذا فسيرة الشارع وطريقته في غير العبادات سلبية، وكلّ ما كان منتشراً بين العقلاء ولم يكن يقبله فقد ردع عنه</w:t>
      </w:r>
      <w:r w:rsidR="00C337DC" w:rsidRPr="006571AC">
        <w:rPr>
          <w:rFonts w:hint="cs"/>
          <w:sz w:val="27"/>
          <w:rtl/>
        </w:rPr>
        <w:t>،</w:t>
      </w:r>
      <w:r w:rsidRPr="006571AC">
        <w:rPr>
          <w:sz w:val="27"/>
          <w:rtl/>
        </w:rPr>
        <w:t xml:space="preserve"> مثل</w:t>
      </w:r>
      <w:r w:rsidR="00C337DC" w:rsidRPr="006571AC">
        <w:rPr>
          <w:rFonts w:hint="cs"/>
          <w:sz w:val="27"/>
          <w:rtl/>
        </w:rPr>
        <w:t>:</w:t>
      </w:r>
      <w:r w:rsidRPr="006571AC">
        <w:rPr>
          <w:sz w:val="27"/>
          <w:rtl/>
        </w:rPr>
        <w:t xml:space="preserve"> البيع الربوي، والمعاملة الغ</w:t>
      </w:r>
      <w:r w:rsidR="00C337DC" w:rsidRPr="006571AC">
        <w:rPr>
          <w:rFonts w:hint="cs"/>
          <w:sz w:val="27"/>
          <w:rtl/>
        </w:rPr>
        <w:t>َ</w:t>
      </w:r>
      <w:r w:rsidRPr="006571AC">
        <w:rPr>
          <w:sz w:val="27"/>
          <w:rtl/>
        </w:rPr>
        <w:t>ر</w:t>
      </w:r>
      <w:r w:rsidR="00C337DC" w:rsidRPr="006571AC">
        <w:rPr>
          <w:rFonts w:hint="cs"/>
          <w:sz w:val="27"/>
          <w:rtl/>
        </w:rPr>
        <w:t>َ</w:t>
      </w:r>
      <w:r w:rsidRPr="006571AC">
        <w:rPr>
          <w:sz w:val="27"/>
          <w:rtl/>
        </w:rPr>
        <w:t>رية، وغيرهما، ولم ينقل عنه</w:t>
      </w:r>
      <w:r w:rsidR="00C337DC" w:rsidRPr="006571AC">
        <w:rPr>
          <w:rFonts w:hint="cs"/>
          <w:sz w:val="27"/>
          <w:rtl/>
        </w:rPr>
        <w:t xml:space="preserve"> ـ</w:t>
      </w:r>
      <w:r w:rsidRPr="006571AC">
        <w:rPr>
          <w:sz w:val="27"/>
          <w:rtl/>
        </w:rPr>
        <w:t xml:space="preserve"> ولو في روايات ضعيفة</w:t>
      </w:r>
      <w:r w:rsidR="00C337DC" w:rsidRPr="006571AC">
        <w:rPr>
          <w:rFonts w:hint="cs"/>
          <w:sz w:val="27"/>
          <w:rtl/>
        </w:rPr>
        <w:t xml:space="preserve"> ـ أنه قال:</w:t>
      </w:r>
      <w:r w:rsidRPr="006571AC">
        <w:rPr>
          <w:sz w:val="27"/>
          <w:rtl/>
        </w:rPr>
        <w:t xml:space="preserve"> </w:t>
      </w:r>
      <w:r w:rsidR="005B3156" w:rsidRPr="006571AC">
        <w:rPr>
          <w:rFonts w:hint="eastAsia"/>
          <w:sz w:val="24"/>
          <w:szCs w:val="24"/>
          <w:rtl/>
        </w:rPr>
        <w:t>«</w:t>
      </w:r>
      <w:r w:rsidRPr="006571AC">
        <w:rPr>
          <w:sz w:val="27"/>
          <w:rtl/>
        </w:rPr>
        <w:t>خذوا عنّي معاملاتكم</w:t>
      </w:r>
      <w:r w:rsidR="005B3156" w:rsidRPr="006571AC">
        <w:rPr>
          <w:rFonts w:hint="eastAsia"/>
          <w:sz w:val="24"/>
          <w:szCs w:val="24"/>
          <w:rtl/>
        </w:rPr>
        <w:t>»</w:t>
      </w:r>
      <w:r w:rsidRPr="006571AC">
        <w:rPr>
          <w:sz w:val="27"/>
          <w:rtl/>
        </w:rPr>
        <w:t xml:space="preserve">، ومثله من التعبيرات. </w:t>
      </w:r>
    </w:p>
    <w:p w:rsidR="00C37790" w:rsidRPr="006571AC" w:rsidRDefault="00C37790" w:rsidP="00C0404B">
      <w:pPr>
        <w:rPr>
          <w:sz w:val="27"/>
          <w:rtl/>
        </w:rPr>
      </w:pPr>
      <w:r w:rsidRPr="006571AC">
        <w:rPr>
          <w:rFonts w:hint="cs"/>
          <w:sz w:val="27"/>
          <w:rtl/>
        </w:rPr>
        <w:t>2ـ معنى</w:t>
      </w:r>
      <w:r w:rsidRPr="006571AC">
        <w:rPr>
          <w:sz w:val="27"/>
          <w:rtl/>
        </w:rPr>
        <w:t xml:space="preserve"> </w:t>
      </w:r>
      <w:r w:rsidRPr="006571AC">
        <w:rPr>
          <w:rFonts w:hint="cs"/>
          <w:sz w:val="27"/>
          <w:rtl/>
        </w:rPr>
        <w:t>سلبية</w:t>
      </w:r>
      <w:r w:rsidRPr="006571AC">
        <w:rPr>
          <w:sz w:val="27"/>
          <w:rtl/>
        </w:rPr>
        <w:t xml:space="preserve"> </w:t>
      </w:r>
      <w:r w:rsidRPr="006571AC">
        <w:rPr>
          <w:rFonts w:hint="cs"/>
          <w:sz w:val="27"/>
          <w:rtl/>
        </w:rPr>
        <w:t>مواقف</w:t>
      </w:r>
      <w:r w:rsidRPr="006571AC">
        <w:rPr>
          <w:sz w:val="27"/>
          <w:rtl/>
        </w:rPr>
        <w:t xml:space="preserve"> الشارع في غير العبادات هو قبول وإمضاء الس</w:t>
      </w:r>
      <w:r w:rsidR="00C337DC" w:rsidRPr="006571AC">
        <w:rPr>
          <w:rFonts w:hint="cs"/>
          <w:sz w:val="27"/>
          <w:rtl/>
        </w:rPr>
        <w:t>ِّ</w:t>
      </w:r>
      <w:r w:rsidRPr="006571AC">
        <w:rPr>
          <w:sz w:val="27"/>
          <w:rtl/>
        </w:rPr>
        <w:t>ي</w:t>
      </w:r>
      <w:r w:rsidR="00C337DC" w:rsidRPr="006571AC">
        <w:rPr>
          <w:rFonts w:hint="cs"/>
          <w:sz w:val="27"/>
          <w:rtl/>
        </w:rPr>
        <w:t>َ</w:t>
      </w:r>
      <w:r w:rsidRPr="006571AC">
        <w:rPr>
          <w:sz w:val="27"/>
          <w:rtl/>
        </w:rPr>
        <w:t>ر العقلائية، إ</w:t>
      </w:r>
      <w:r w:rsidR="003C2639" w:rsidRPr="006571AC">
        <w:rPr>
          <w:sz w:val="27"/>
          <w:rtl/>
        </w:rPr>
        <w:t>لاّ</w:t>
      </w:r>
      <w:r w:rsidRPr="006571AC">
        <w:rPr>
          <w:sz w:val="27"/>
          <w:rtl/>
        </w:rPr>
        <w:t xml:space="preserve"> في حالة إحراز ردعه عنها بالطرق المعتبرة. </w:t>
      </w:r>
    </w:p>
    <w:p w:rsidR="00C37790" w:rsidRPr="006571AC" w:rsidRDefault="00C37790" w:rsidP="00C0404B">
      <w:pPr>
        <w:rPr>
          <w:sz w:val="27"/>
          <w:rtl/>
        </w:rPr>
      </w:pPr>
      <w:r w:rsidRPr="006571AC">
        <w:rPr>
          <w:rFonts w:hint="cs"/>
          <w:sz w:val="27"/>
          <w:rtl/>
        </w:rPr>
        <w:t>3ـ استمرار</w:t>
      </w:r>
      <w:r w:rsidRPr="006571AC">
        <w:rPr>
          <w:sz w:val="27"/>
          <w:rtl/>
        </w:rPr>
        <w:t xml:space="preserve"> </w:t>
      </w:r>
      <w:r w:rsidRPr="006571AC">
        <w:rPr>
          <w:rFonts w:hint="cs"/>
          <w:sz w:val="27"/>
          <w:rtl/>
        </w:rPr>
        <w:t>اعتبار</w:t>
      </w:r>
      <w:r w:rsidRPr="006571AC">
        <w:rPr>
          <w:sz w:val="27"/>
          <w:rtl/>
        </w:rPr>
        <w:t xml:space="preserve"> </w:t>
      </w:r>
      <w:r w:rsidRPr="006571AC">
        <w:rPr>
          <w:rFonts w:hint="cs"/>
          <w:sz w:val="27"/>
          <w:rtl/>
        </w:rPr>
        <w:t>شريعة</w:t>
      </w:r>
      <w:r w:rsidRPr="006571AC">
        <w:rPr>
          <w:sz w:val="27"/>
          <w:rtl/>
        </w:rPr>
        <w:t xml:space="preserve"> </w:t>
      </w:r>
      <w:r w:rsidRPr="006571AC">
        <w:rPr>
          <w:rFonts w:hint="cs"/>
          <w:sz w:val="27"/>
          <w:rtl/>
        </w:rPr>
        <w:t>الإسلام</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يوم</w:t>
      </w:r>
      <w:r w:rsidRPr="006571AC">
        <w:rPr>
          <w:sz w:val="27"/>
          <w:rtl/>
        </w:rPr>
        <w:t xml:space="preserve"> </w:t>
      </w:r>
      <w:r w:rsidRPr="006571AC">
        <w:rPr>
          <w:rFonts w:hint="cs"/>
          <w:sz w:val="27"/>
          <w:rtl/>
        </w:rPr>
        <w:t>القيامة</w:t>
      </w:r>
      <w:r w:rsidRPr="006571AC">
        <w:rPr>
          <w:sz w:val="27"/>
          <w:rtl/>
        </w:rPr>
        <w:t xml:space="preserve"> </w:t>
      </w:r>
      <w:r w:rsidRPr="006571AC">
        <w:rPr>
          <w:rFonts w:hint="cs"/>
          <w:sz w:val="27"/>
          <w:rtl/>
        </w:rPr>
        <w:t>يقتضي</w:t>
      </w:r>
      <w:r w:rsidRPr="006571AC">
        <w:rPr>
          <w:sz w:val="27"/>
          <w:rtl/>
        </w:rPr>
        <w:t xml:space="preserve"> </w:t>
      </w:r>
      <w:r w:rsidRPr="006571AC">
        <w:rPr>
          <w:rFonts w:hint="cs"/>
          <w:sz w:val="27"/>
          <w:rtl/>
        </w:rPr>
        <w:t>اطّلاع</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الإسلامي</w:t>
      </w:r>
      <w:r w:rsidR="00B61FA5" w:rsidRPr="006571AC">
        <w:rPr>
          <w:rFonts w:hint="cs"/>
          <w:sz w:val="27"/>
          <w:rtl/>
        </w:rPr>
        <w:t xml:space="preserve">، وإلى يوم القيامة، </w:t>
      </w:r>
      <w:r w:rsidRPr="006571AC">
        <w:rPr>
          <w:rFonts w:hint="cs"/>
          <w:sz w:val="27"/>
          <w:rtl/>
        </w:rPr>
        <w:t>على</w:t>
      </w:r>
      <w:r w:rsidRPr="006571AC">
        <w:rPr>
          <w:sz w:val="27"/>
          <w:rtl/>
        </w:rPr>
        <w:t xml:space="preserve"> </w:t>
      </w:r>
      <w:r w:rsidRPr="006571AC">
        <w:rPr>
          <w:rFonts w:hint="cs"/>
          <w:sz w:val="27"/>
          <w:rtl/>
        </w:rPr>
        <w:t>كل</w:t>
      </w:r>
      <w:r w:rsidR="00C337DC" w:rsidRPr="006571AC">
        <w:rPr>
          <w:rFonts w:hint="cs"/>
          <w:sz w:val="27"/>
          <w:rtl/>
        </w:rPr>
        <w:t>ّ</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سيقع</w:t>
      </w:r>
      <w:r w:rsidRPr="006571AC">
        <w:rPr>
          <w:sz w:val="27"/>
          <w:rtl/>
        </w:rPr>
        <w:t xml:space="preserve"> </w:t>
      </w:r>
      <w:r w:rsidR="00B61FA5" w:rsidRPr="006571AC">
        <w:rPr>
          <w:rFonts w:hint="cs"/>
          <w:sz w:val="27"/>
          <w:rtl/>
        </w:rPr>
        <w:t>و</w:t>
      </w:r>
      <w:r w:rsidRPr="006571AC">
        <w:rPr>
          <w:rFonts w:hint="cs"/>
          <w:sz w:val="27"/>
          <w:rtl/>
        </w:rPr>
        <w:t>لا</w:t>
      </w:r>
      <w:r w:rsidRPr="006571AC">
        <w:rPr>
          <w:sz w:val="27"/>
          <w:rtl/>
        </w:rPr>
        <w:t xml:space="preserve"> </w:t>
      </w:r>
      <w:r w:rsidRPr="006571AC">
        <w:rPr>
          <w:rFonts w:hint="cs"/>
          <w:sz w:val="27"/>
          <w:rtl/>
        </w:rPr>
        <w:t>يقبله؛ حتّى</w:t>
      </w:r>
      <w:r w:rsidRPr="006571AC">
        <w:rPr>
          <w:sz w:val="27"/>
          <w:rtl/>
        </w:rPr>
        <w:t xml:space="preserve"> </w:t>
      </w:r>
      <w:r w:rsidRPr="006571AC">
        <w:rPr>
          <w:rFonts w:hint="cs"/>
          <w:sz w:val="27"/>
          <w:rtl/>
        </w:rPr>
        <w:t>يردع</w:t>
      </w:r>
      <w:r w:rsidRPr="006571AC">
        <w:rPr>
          <w:sz w:val="27"/>
          <w:rtl/>
        </w:rPr>
        <w:t xml:space="preserve"> </w:t>
      </w:r>
      <w:r w:rsidRPr="006571AC">
        <w:rPr>
          <w:rFonts w:hint="cs"/>
          <w:sz w:val="27"/>
          <w:rtl/>
        </w:rPr>
        <w:t>عنه</w:t>
      </w:r>
      <w:r w:rsidRPr="006571AC">
        <w:rPr>
          <w:sz w:val="27"/>
          <w:rtl/>
        </w:rPr>
        <w:t xml:space="preserve">. </w:t>
      </w:r>
    </w:p>
    <w:p w:rsidR="00C37790" w:rsidRPr="006571AC" w:rsidRDefault="00C37790" w:rsidP="005B3156">
      <w:pPr>
        <w:rPr>
          <w:sz w:val="27"/>
          <w:rtl/>
        </w:rPr>
      </w:pPr>
      <w:r w:rsidRPr="006571AC">
        <w:rPr>
          <w:rFonts w:hint="cs"/>
          <w:sz w:val="27"/>
          <w:rtl/>
        </w:rPr>
        <w:t>4ـ ويلزم</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يردع</w:t>
      </w:r>
      <w:r w:rsidRPr="006571AC">
        <w:rPr>
          <w:sz w:val="27"/>
          <w:rtl/>
        </w:rPr>
        <w:t xml:space="preserve"> [في زمان حضوره] عن كلّ سيرة</w:t>
      </w:r>
      <w:r w:rsidR="00B61FA5" w:rsidRPr="006571AC">
        <w:rPr>
          <w:rFonts w:hint="cs"/>
          <w:sz w:val="27"/>
          <w:rtl/>
        </w:rPr>
        <w:t>ٍ</w:t>
      </w:r>
      <w:r w:rsidRPr="006571AC">
        <w:rPr>
          <w:sz w:val="27"/>
          <w:rtl/>
        </w:rPr>
        <w:t xml:space="preserve"> عقلائية ستستجدّ إذا لم تكن مقبولة</w:t>
      </w:r>
      <w:r w:rsidR="00B61FA5" w:rsidRPr="006571AC">
        <w:rPr>
          <w:rFonts w:hint="cs"/>
          <w:sz w:val="27"/>
          <w:rtl/>
        </w:rPr>
        <w:t>ً</w:t>
      </w:r>
      <w:r w:rsidRPr="006571AC">
        <w:rPr>
          <w:sz w:val="27"/>
          <w:rtl/>
        </w:rPr>
        <w:t xml:space="preserve"> عنده، ولو بعناوين عامّة، مثل</w:t>
      </w:r>
      <w:r w:rsidR="00B61FA5" w:rsidRPr="006571AC">
        <w:rPr>
          <w:rFonts w:hint="cs"/>
          <w:sz w:val="27"/>
          <w:rtl/>
        </w:rPr>
        <w:t>:</w:t>
      </w:r>
      <w:r w:rsidRPr="006571AC">
        <w:rPr>
          <w:sz w:val="27"/>
          <w:rtl/>
        </w:rPr>
        <w:t xml:space="preserve"> </w:t>
      </w:r>
      <w:r w:rsidR="005B3156" w:rsidRPr="006571AC">
        <w:rPr>
          <w:rFonts w:ascii="Mosawi" w:hAnsi="Mosawi" w:cs="Mosawi"/>
          <w:sz w:val="24"/>
          <w:szCs w:val="24"/>
          <w:rtl/>
        </w:rPr>
        <w:t>﴿</w:t>
      </w:r>
      <w:r w:rsidRPr="006571AC">
        <w:rPr>
          <w:sz w:val="27"/>
          <w:rtl/>
        </w:rPr>
        <w:t>و</w:t>
      </w:r>
      <w:r w:rsidR="005B3156" w:rsidRPr="006571AC">
        <w:rPr>
          <w:rFonts w:hint="cs"/>
          <w:sz w:val="27"/>
          <w:rtl/>
        </w:rPr>
        <w:t>َ</w:t>
      </w:r>
      <w:r w:rsidRPr="006571AC">
        <w:rPr>
          <w:sz w:val="27"/>
          <w:rtl/>
        </w:rPr>
        <w:t>لا</w:t>
      </w:r>
      <w:r w:rsidR="005B3156" w:rsidRPr="006571AC">
        <w:rPr>
          <w:rFonts w:hint="cs"/>
          <w:sz w:val="27"/>
          <w:rtl/>
        </w:rPr>
        <w:t>َ</w:t>
      </w:r>
      <w:r w:rsidRPr="006571AC">
        <w:rPr>
          <w:sz w:val="27"/>
          <w:rtl/>
        </w:rPr>
        <w:t xml:space="preserve"> ت</w:t>
      </w:r>
      <w:r w:rsidR="005B3156" w:rsidRPr="006571AC">
        <w:rPr>
          <w:rFonts w:hint="cs"/>
          <w:sz w:val="27"/>
          <w:rtl/>
        </w:rPr>
        <w:t>َ</w:t>
      </w:r>
      <w:r w:rsidRPr="006571AC">
        <w:rPr>
          <w:sz w:val="27"/>
          <w:rtl/>
        </w:rPr>
        <w:t>أ</w:t>
      </w:r>
      <w:r w:rsidR="005B3156" w:rsidRPr="006571AC">
        <w:rPr>
          <w:rFonts w:hint="cs"/>
          <w:sz w:val="27"/>
          <w:rtl/>
        </w:rPr>
        <w:t>ْ</w:t>
      </w:r>
      <w:r w:rsidRPr="006571AC">
        <w:rPr>
          <w:sz w:val="27"/>
          <w:rtl/>
        </w:rPr>
        <w:t>ك</w:t>
      </w:r>
      <w:r w:rsidR="005B3156" w:rsidRPr="006571AC">
        <w:rPr>
          <w:rFonts w:hint="cs"/>
          <w:sz w:val="27"/>
          <w:rtl/>
        </w:rPr>
        <w:t>ُ</w:t>
      </w:r>
      <w:r w:rsidRPr="006571AC">
        <w:rPr>
          <w:sz w:val="27"/>
          <w:rtl/>
        </w:rPr>
        <w:t>ل</w:t>
      </w:r>
      <w:r w:rsidR="005B3156" w:rsidRPr="006571AC">
        <w:rPr>
          <w:rFonts w:hint="cs"/>
          <w:sz w:val="27"/>
          <w:rtl/>
        </w:rPr>
        <w:t>ُ</w:t>
      </w:r>
      <w:r w:rsidRPr="006571AC">
        <w:rPr>
          <w:sz w:val="27"/>
          <w:rtl/>
        </w:rPr>
        <w:t>وا أ</w:t>
      </w:r>
      <w:r w:rsidR="005B3156" w:rsidRPr="006571AC">
        <w:rPr>
          <w:rFonts w:hint="cs"/>
          <w:sz w:val="27"/>
          <w:rtl/>
        </w:rPr>
        <w:t>َ</w:t>
      </w:r>
      <w:r w:rsidRPr="006571AC">
        <w:rPr>
          <w:sz w:val="27"/>
          <w:rtl/>
        </w:rPr>
        <w:t>م</w:t>
      </w:r>
      <w:r w:rsidR="005B3156" w:rsidRPr="006571AC">
        <w:rPr>
          <w:rFonts w:hint="cs"/>
          <w:sz w:val="27"/>
          <w:rtl/>
        </w:rPr>
        <w:t>ْ</w:t>
      </w:r>
      <w:r w:rsidRPr="006571AC">
        <w:rPr>
          <w:sz w:val="27"/>
          <w:rtl/>
        </w:rPr>
        <w:t>و</w:t>
      </w:r>
      <w:r w:rsidR="005B3156" w:rsidRPr="006571AC">
        <w:rPr>
          <w:rFonts w:hint="cs"/>
          <w:sz w:val="27"/>
          <w:rtl/>
        </w:rPr>
        <w:t>َ</w:t>
      </w:r>
      <w:r w:rsidRPr="006571AC">
        <w:rPr>
          <w:sz w:val="27"/>
          <w:rtl/>
        </w:rPr>
        <w:t>ال</w:t>
      </w:r>
      <w:r w:rsidR="005B3156" w:rsidRPr="006571AC">
        <w:rPr>
          <w:rFonts w:hint="cs"/>
          <w:sz w:val="27"/>
          <w:rtl/>
        </w:rPr>
        <w:t>َ</w:t>
      </w:r>
      <w:r w:rsidRPr="006571AC">
        <w:rPr>
          <w:sz w:val="27"/>
          <w:rtl/>
        </w:rPr>
        <w:t>ك</w:t>
      </w:r>
      <w:r w:rsidR="005B3156" w:rsidRPr="006571AC">
        <w:rPr>
          <w:rFonts w:hint="cs"/>
          <w:sz w:val="27"/>
          <w:rtl/>
        </w:rPr>
        <w:t>ُ</w:t>
      </w:r>
      <w:r w:rsidRPr="006571AC">
        <w:rPr>
          <w:sz w:val="27"/>
          <w:rtl/>
        </w:rPr>
        <w:t>م</w:t>
      </w:r>
      <w:r w:rsidR="005B3156" w:rsidRPr="006571AC">
        <w:rPr>
          <w:rFonts w:hint="cs"/>
          <w:sz w:val="27"/>
          <w:rtl/>
        </w:rPr>
        <w:t>ْ</w:t>
      </w:r>
      <w:r w:rsidRPr="006571AC">
        <w:rPr>
          <w:sz w:val="27"/>
          <w:rtl/>
        </w:rPr>
        <w:t xml:space="preserve"> ب</w:t>
      </w:r>
      <w:r w:rsidR="005B3156" w:rsidRPr="006571AC">
        <w:rPr>
          <w:rFonts w:hint="cs"/>
          <w:sz w:val="27"/>
          <w:rtl/>
        </w:rPr>
        <w:t>َ</w:t>
      </w:r>
      <w:r w:rsidRPr="006571AC">
        <w:rPr>
          <w:sz w:val="27"/>
          <w:rtl/>
        </w:rPr>
        <w:t>ي</w:t>
      </w:r>
      <w:r w:rsidR="005B3156" w:rsidRPr="006571AC">
        <w:rPr>
          <w:rFonts w:hint="cs"/>
          <w:sz w:val="27"/>
          <w:rtl/>
        </w:rPr>
        <w:t>ْ</w:t>
      </w:r>
      <w:r w:rsidRPr="006571AC">
        <w:rPr>
          <w:sz w:val="27"/>
          <w:rtl/>
        </w:rPr>
        <w:t>ن</w:t>
      </w:r>
      <w:r w:rsidR="005B3156" w:rsidRPr="006571AC">
        <w:rPr>
          <w:rFonts w:hint="cs"/>
          <w:sz w:val="27"/>
          <w:rtl/>
        </w:rPr>
        <w:t>َ</w:t>
      </w:r>
      <w:r w:rsidRPr="006571AC">
        <w:rPr>
          <w:sz w:val="27"/>
          <w:rtl/>
        </w:rPr>
        <w:t>ك</w:t>
      </w:r>
      <w:r w:rsidR="005B3156" w:rsidRPr="006571AC">
        <w:rPr>
          <w:rFonts w:hint="cs"/>
          <w:sz w:val="27"/>
          <w:rtl/>
        </w:rPr>
        <w:t>ُ</w:t>
      </w:r>
      <w:r w:rsidRPr="006571AC">
        <w:rPr>
          <w:sz w:val="27"/>
          <w:rtl/>
        </w:rPr>
        <w:t>م</w:t>
      </w:r>
      <w:r w:rsidR="005B3156" w:rsidRPr="006571AC">
        <w:rPr>
          <w:rFonts w:hint="cs"/>
          <w:sz w:val="27"/>
          <w:rtl/>
        </w:rPr>
        <w:t>ْ</w:t>
      </w:r>
      <w:r w:rsidRPr="006571AC">
        <w:rPr>
          <w:sz w:val="27"/>
          <w:rtl/>
        </w:rPr>
        <w:t xml:space="preserve"> ب</w:t>
      </w:r>
      <w:r w:rsidR="005B3156" w:rsidRPr="006571AC">
        <w:rPr>
          <w:rFonts w:hint="cs"/>
          <w:sz w:val="27"/>
          <w:rtl/>
        </w:rPr>
        <w:t>ِ</w:t>
      </w:r>
      <w:r w:rsidRPr="006571AC">
        <w:rPr>
          <w:sz w:val="27"/>
          <w:rtl/>
        </w:rPr>
        <w:t>ال</w:t>
      </w:r>
      <w:r w:rsidR="005B3156" w:rsidRPr="006571AC">
        <w:rPr>
          <w:rFonts w:hint="cs"/>
          <w:sz w:val="27"/>
          <w:rtl/>
        </w:rPr>
        <w:t>ْ</w:t>
      </w:r>
      <w:r w:rsidRPr="006571AC">
        <w:rPr>
          <w:sz w:val="27"/>
          <w:rtl/>
        </w:rPr>
        <w:t>ب</w:t>
      </w:r>
      <w:r w:rsidR="005B3156" w:rsidRPr="006571AC">
        <w:rPr>
          <w:rFonts w:hint="cs"/>
          <w:sz w:val="27"/>
          <w:rtl/>
        </w:rPr>
        <w:t>َ</w:t>
      </w:r>
      <w:r w:rsidRPr="006571AC">
        <w:rPr>
          <w:sz w:val="27"/>
          <w:rtl/>
        </w:rPr>
        <w:t>اط</w:t>
      </w:r>
      <w:r w:rsidR="005B3156" w:rsidRPr="006571AC">
        <w:rPr>
          <w:rFonts w:hint="cs"/>
          <w:sz w:val="27"/>
          <w:rtl/>
        </w:rPr>
        <w:t>ِلِ</w:t>
      </w:r>
      <w:r w:rsidR="005B3156" w:rsidRPr="006571AC">
        <w:rPr>
          <w:rFonts w:ascii="Mosawi" w:hAnsi="Mosawi" w:cs="Mosawi"/>
          <w:sz w:val="24"/>
          <w:szCs w:val="24"/>
          <w:rtl/>
        </w:rPr>
        <w:t>﴾</w:t>
      </w:r>
      <w:r w:rsidRPr="006571AC">
        <w:rPr>
          <w:sz w:val="27"/>
          <w:rtl/>
        </w:rPr>
        <w:t xml:space="preserve">، أو بأصول عملية. </w:t>
      </w:r>
    </w:p>
    <w:p w:rsidR="00C37790" w:rsidRPr="006571AC" w:rsidRDefault="00C37790" w:rsidP="00C0404B">
      <w:pPr>
        <w:rPr>
          <w:sz w:val="27"/>
          <w:rtl/>
        </w:rPr>
      </w:pPr>
      <w:r w:rsidRPr="006571AC">
        <w:rPr>
          <w:sz w:val="27"/>
          <w:rtl/>
        </w:rPr>
        <w:t>وبناءً على هذا في غير العبادات إذا لم يوجد دليل</w:t>
      </w:r>
      <w:r w:rsidR="00B61FA5" w:rsidRPr="006571AC">
        <w:rPr>
          <w:rFonts w:hint="cs"/>
          <w:sz w:val="27"/>
          <w:rtl/>
        </w:rPr>
        <w:t>ٌ</w:t>
      </w:r>
      <w:r w:rsidRPr="006571AC">
        <w:rPr>
          <w:sz w:val="27"/>
          <w:rtl/>
        </w:rPr>
        <w:t xml:space="preserve"> معتبر على ردع</w:t>
      </w:r>
      <w:r w:rsidR="00B61FA5" w:rsidRPr="006571AC">
        <w:rPr>
          <w:rFonts w:hint="cs"/>
          <w:sz w:val="27"/>
          <w:rtl/>
        </w:rPr>
        <w:t>ٍ عن</w:t>
      </w:r>
      <w:r w:rsidRPr="006571AC">
        <w:rPr>
          <w:sz w:val="27"/>
          <w:rtl/>
        </w:rPr>
        <w:t xml:space="preserve"> أمر</w:t>
      </w:r>
      <w:r w:rsidR="00B61FA5" w:rsidRPr="006571AC">
        <w:rPr>
          <w:rFonts w:hint="cs"/>
          <w:sz w:val="27"/>
          <w:rtl/>
        </w:rPr>
        <w:t>ٍ</w:t>
      </w:r>
      <w:r w:rsidR="005B3156" w:rsidRPr="006571AC">
        <w:rPr>
          <w:sz w:val="27"/>
          <w:rtl/>
        </w:rPr>
        <w:t xml:space="preserve"> وعم</w:t>
      </w:r>
      <w:r w:rsidR="005B3156" w:rsidRPr="006571AC">
        <w:rPr>
          <w:rFonts w:hint="cs"/>
          <w:sz w:val="27"/>
          <w:rtl/>
        </w:rPr>
        <w:t>لٍ</w:t>
      </w:r>
      <w:r w:rsidRPr="006571AC">
        <w:rPr>
          <w:sz w:val="27"/>
          <w:rtl/>
        </w:rPr>
        <w:t xml:space="preserve"> ما فنقول بأنّ ذلك العمل غير ممنوع</w:t>
      </w:r>
      <w:r w:rsidR="00B61FA5" w:rsidRPr="006571AC">
        <w:rPr>
          <w:rFonts w:hint="cs"/>
          <w:sz w:val="27"/>
          <w:rtl/>
        </w:rPr>
        <w:t>ٍ</w:t>
      </w:r>
      <w:r w:rsidRPr="006571AC">
        <w:rPr>
          <w:sz w:val="27"/>
          <w:rtl/>
        </w:rPr>
        <w:t xml:space="preserve"> شرعاً. </w:t>
      </w:r>
    </w:p>
    <w:p w:rsidR="00266070" w:rsidRPr="006571AC" w:rsidRDefault="00266070" w:rsidP="00266070">
      <w:pPr>
        <w:spacing w:line="420" w:lineRule="exact"/>
        <w:rPr>
          <w:sz w:val="27"/>
          <w:rtl/>
        </w:rPr>
      </w:pPr>
    </w:p>
    <w:p w:rsidR="00C37790" w:rsidRPr="006571AC" w:rsidRDefault="00780A47" w:rsidP="0065120C">
      <w:pPr>
        <w:pStyle w:val="31"/>
        <w:rPr>
          <w:color w:val="auto"/>
          <w:rtl/>
        </w:rPr>
      </w:pPr>
      <w:bookmarkStart w:id="45" w:name="_Toc114164534"/>
      <w:r w:rsidRPr="006571AC">
        <w:rPr>
          <w:rFonts w:hint="cs"/>
          <w:color w:val="auto"/>
          <w:rtl/>
        </w:rPr>
        <w:t>3ـ</w:t>
      </w:r>
      <w:r w:rsidR="00C37790" w:rsidRPr="006571AC">
        <w:rPr>
          <w:color w:val="auto"/>
          <w:rtl/>
        </w:rPr>
        <w:t xml:space="preserve"> اعتبار القاعدة الأوّلية في زمان الحضور</w:t>
      </w:r>
      <w:bookmarkEnd w:id="45"/>
    </w:p>
    <w:p w:rsidR="00C37790" w:rsidRPr="006571AC" w:rsidRDefault="00C37790" w:rsidP="00C0404B">
      <w:pPr>
        <w:rPr>
          <w:sz w:val="27"/>
          <w:rtl/>
        </w:rPr>
      </w:pPr>
      <w:r w:rsidRPr="006571AC">
        <w:rPr>
          <w:sz w:val="27"/>
          <w:rtl/>
        </w:rPr>
        <w:t>ويمكن أن نقرّ</w:t>
      </w:r>
      <w:r w:rsidR="00B61FA5" w:rsidRPr="006571AC">
        <w:rPr>
          <w:rFonts w:hint="cs"/>
          <w:sz w:val="27"/>
          <w:rtl/>
        </w:rPr>
        <w:t>ِ</w:t>
      </w:r>
      <w:r w:rsidRPr="006571AC">
        <w:rPr>
          <w:sz w:val="27"/>
          <w:rtl/>
        </w:rPr>
        <w:t>ب هذا الدليل من خلال عدّة مقدّمات</w:t>
      </w:r>
      <w:r w:rsidR="00B61FA5" w:rsidRPr="006571AC">
        <w:rPr>
          <w:rFonts w:hint="cs"/>
          <w:sz w:val="27"/>
          <w:rtl/>
        </w:rPr>
        <w:t>،</w:t>
      </w:r>
      <w:r w:rsidRPr="006571AC">
        <w:rPr>
          <w:sz w:val="27"/>
          <w:rtl/>
        </w:rPr>
        <w:t xml:space="preserve"> هي: </w:t>
      </w:r>
    </w:p>
    <w:p w:rsidR="00C37790" w:rsidRPr="006571AC" w:rsidRDefault="00C37790" w:rsidP="00C0404B">
      <w:pPr>
        <w:rPr>
          <w:sz w:val="27"/>
          <w:rtl/>
        </w:rPr>
      </w:pPr>
      <w:r w:rsidRPr="006571AC">
        <w:rPr>
          <w:rFonts w:hint="cs"/>
          <w:sz w:val="27"/>
          <w:rtl/>
        </w:rPr>
        <w:t>1ـ كان</w:t>
      </w:r>
      <w:r w:rsidRPr="006571AC">
        <w:rPr>
          <w:sz w:val="27"/>
          <w:rtl/>
        </w:rPr>
        <w:t xml:space="preserve"> </w:t>
      </w:r>
      <w:r w:rsidRPr="006571AC">
        <w:rPr>
          <w:rFonts w:hint="cs"/>
          <w:sz w:val="27"/>
          <w:rtl/>
        </w:rPr>
        <w:t>النّاس</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عصر</w:t>
      </w:r>
      <w:r w:rsidRPr="006571AC">
        <w:rPr>
          <w:sz w:val="27"/>
          <w:rtl/>
        </w:rPr>
        <w:t xml:space="preserve"> </w:t>
      </w:r>
      <w:r w:rsidRPr="006571AC">
        <w:rPr>
          <w:rFonts w:hint="cs"/>
          <w:sz w:val="27"/>
          <w:rtl/>
        </w:rPr>
        <w:t>الحضور</w:t>
      </w:r>
      <w:r w:rsidRPr="006571AC">
        <w:rPr>
          <w:sz w:val="27"/>
          <w:rtl/>
        </w:rPr>
        <w:t xml:space="preserve"> </w:t>
      </w:r>
      <w:r w:rsidRPr="006571AC">
        <w:rPr>
          <w:rFonts w:hint="cs"/>
          <w:sz w:val="27"/>
          <w:rtl/>
        </w:rPr>
        <w:t>يعملون</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غير</w:t>
      </w:r>
      <w:r w:rsidRPr="006571AC">
        <w:rPr>
          <w:sz w:val="27"/>
          <w:rtl/>
        </w:rPr>
        <w:t xml:space="preserve"> </w:t>
      </w:r>
      <w:r w:rsidRPr="006571AC">
        <w:rPr>
          <w:rFonts w:hint="cs"/>
          <w:sz w:val="27"/>
          <w:rtl/>
        </w:rPr>
        <w:t>مجال</w:t>
      </w:r>
      <w:r w:rsidRPr="006571AC">
        <w:rPr>
          <w:sz w:val="27"/>
          <w:rtl/>
        </w:rPr>
        <w:t xml:space="preserve"> </w:t>
      </w:r>
      <w:r w:rsidRPr="006571AC">
        <w:rPr>
          <w:rFonts w:hint="cs"/>
          <w:sz w:val="27"/>
          <w:rtl/>
        </w:rPr>
        <w:t>العبادات</w:t>
      </w:r>
      <w:r w:rsidRPr="006571AC">
        <w:rPr>
          <w:sz w:val="27"/>
          <w:rtl/>
        </w:rPr>
        <w:t xml:space="preserve"> </w:t>
      </w:r>
      <w:r w:rsidRPr="006571AC">
        <w:rPr>
          <w:rFonts w:hint="cs"/>
          <w:sz w:val="27"/>
          <w:rtl/>
        </w:rPr>
        <w:t>بالقاعدة</w:t>
      </w:r>
      <w:r w:rsidRPr="006571AC">
        <w:rPr>
          <w:sz w:val="27"/>
          <w:rtl/>
        </w:rPr>
        <w:t xml:space="preserve"> </w:t>
      </w:r>
      <w:r w:rsidRPr="006571AC">
        <w:rPr>
          <w:rFonts w:hint="cs"/>
          <w:sz w:val="27"/>
          <w:rtl/>
        </w:rPr>
        <w:t>الأوّلية، فلم</w:t>
      </w:r>
      <w:r w:rsidRPr="006571AC">
        <w:rPr>
          <w:sz w:val="27"/>
          <w:rtl/>
        </w:rPr>
        <w:t xml:space="preserve"> </w:t>
      </w:r>
      <w:r w:rsidRPr="006571AC">
        <w:rPr>
          <w:rFonts w:hint="cs"/>
          <w:sz w:val="27"/>
          <w:rtl/>
        </w:rPr>
        <w:t>يكونوا</w:t>
      </w:r>
      <w:r w:rsidRPr="006571AC">
        <w:rPr>
          <w:sz w:val="27"/>
          <w:rtl/>
        </w:rPr>
        <w:t xml:space="preserve"> </w:t>
      </w:r>
      <w:r w:rsidRPr="006571AC">
        <w:rPr>
          <w:rFonts w:hint="cs"/>
          <w:sz w:val="27"/>
          <w:rtl/>
        </w:rPr>
        <w:t>يرجعون</w:t>
      </w:r>
      <w:r w:rsidRPr="006571AC">
        <w:rPr>
          <w:sz w:val="27"/>
          <w:rtl/>
        </w:rPr>
        <w:t xml:space="preserve"> </w:t>
      </w:r>
      <w:r w:rsidRPr="006571AC">
        <w:rPr>
          <w:rFonts w:hint="cs"/>
          <w:sz w:val="27"/>
          <w:rtl/>
        </w:rPr>
        <w:t xml:space="preserve">فيها </w:t>
      </w:r>
      <w:r w:rsidRPr="006571AC">
        <w:rPr>
          <w:sz w:val="27"/>
          <w:rtl/>
        </w:rPr>
        <w:t>للشارع أو الكتاب أو السن</w:t>
      </w:r>
      <w:r w:rsidR="00B61FA5" w:rsidRPr="006571AC">
        <w:rPr>
          <w:rFonts w:hint="cs"/>
          <w:sz w:val="27"/>
          <w:rtl/>
        </w:rPr>
        <w:t>ّ</w:t>
      </w:r>
      <w:r w:rsidRPr="006571AC">
        <w:rPr>
          <w:sz w:val="27"/>
          <w:rtl/>
        </w:rPr>
        <w:t>ة؛ لكي يحصلوا على إمضاء وتأييد للس</w:t>
      </w:r>
      <w:r w:rsidR="00B61FA5" w:rsidRPr="006571AC">
        <w:rPr>
          <w:rFonts w:hint="cs"/>
          <w:sz w:val="27"/>
          <w:rtl/>
        </w:rPr>
        <w:t>ِّ</w:t>
      </w:r>
      <w:r w:rsidRPr="006571AC">
        <w:rPr>
          <w:sz w:val="27"/>
          <w:rtl/>
        </w:rPr>
        <w:t>ي</w:t>
      </w:r>
      <w:r w:rsidR="00B61FA5" w:rsidRPr="006571AC">
        <w:rPr>
          <w:rFonts w:hint="cs"/>
          <w:sz w:val="27"/>
          <w:rtl/>
        </w:rPr>
        <w:t>َ</w:t>
      </w:r>
      <w:r w:rsidRPr="006571AC">
        <w:rPr>
          <w:sz w:val="27"/>
          <w:rtl/>
        </w:rPr>
        <w:t>ر العقلائية، بل كانوا ي</w:t>
      </w:r>
      <w:r w:rsidR="005B3156" w:rsidRPr="006571AC">
        <w:rPr>
          <w:rFonts w:hint="cs"/>
          <w:sz w:val="27"/>
          <w:rtl/>
        </w:rPr>
        <w:t>َ</w:t>
      </w:r>
      <w:r w:rsidRPr="006571AC">
        <w:rPr>
          <w:sz w:val="27"/>
          <w:rtl/>
        </w:rPr>
        <w:t>ج</w:t>
      </w:r>
      <w:r w:rsidR="005B3156" w:rsidRPr="006571AC">
        <w:rPr>
          <w:rFonts w:hint="cs"/>
          <w:sz w:val="27"/>
          <w:rtl/>
        </w:rPr>
        <w:t>ْ</w:t>
      </w:r>
      <w:r w:rsidRPr="006571AC">
        <w:rPr>
          <w:sz w:val="27"/>
          <w:rtl/>
        </w:rPr>
        <w:t>ر</w:t>
      </w:r>
      <w:r w:rsidR="005B3156" w:rsidRPr="006571AC">
        <w:rPr>
          <w:rFonts w:hint="cs"/>
          <w:sz w:val="27"/>
          <w:rtl/>
        </w:rPr>
        <w:t>ُ</w:t>
      </w:r>
      <w:r w:rsidRPr="006571AC">
        <w:rPr>
          <w:sz w:val="27"/>
          <w:rtl/>
        </w:rPr>
        <w:t>ون وفقها، إ</w:t>
      </w:r>
      <w:r w:rsidR="003C2639" w:rsidRPr="006571AC">
        <w:rPr>
          <w:sz w:val="27"/>
          <w:rtl/>
        </w:rPr>
        <w:t>لاّ</w:t>
      </w:r>
      <w:r w:rsidRPr="006571AC">
        <w:rPr>
          <w:sz w:val="27"/>
          <w:rtl/>
        </w:rPr>
        <w:t xml:space="preserve"> إذا ردعهم المعصوم عنها، أو وجدوا في الكتاب والسنّة دليلاً على الردع عنها. </w:t>
      </w:r>
    </w:p>
    <w:p w:rsidR="00C37790" w:rsidRPr="006571AC" w:rsidRDefault="00C37790" w:rsidP="00C0404B">
      <w:pPr>
        <w:rPr>
          <w:sz w:val="27"/>
          <w:rtl/>
        </w:rPr>
      </w:pPr>
      <w:r w:rsidRPr="006571AC">
        <w:rPr>
          <w:rFonts w:hint="cs"/>
          <w:sz w:val="27"/>
          <w:rtl/>
        </w:rPr>
        <w:t>2ـ العمل</w:t>
      </w:r>
      <w:r w:rsidRPr="006571AC">
        <w:rPr>
          <w:sz w:val="27"/>
          <w:rtl/>
        </w:rPr>
        <w:t xml:space="preserve"> </w:t>
      </w:r>
      <w:r w:rsidRPr="006571AC">
        <w:rPr>
          <w:rFonts w:hint="cs"/>
          <w:sz w:val="27"/>
          <w:rtl/>
        </w:rPr>
        <w:t>بالقاعدة</w:t>
      </w:r>
      <w:r w:rsidRPr="006571AC">
        <w:rPr>
          <w:sz w:val="27"/>
          <w:rtl/>
        </w:rPr>
        <w:t xml:space="preserve"> </w:t>
      </w:r>
      <w:r w:rsidRPr="006571AC">
        <w:rPr>
          <w:rFonts w:hint="cs"/>
          <w:sz w:val="27"/>
          <w:rtl/>
        </w:rPr>
        <w:t>الأوّلية</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بمرأى</w:t>
      </w:r>
      <w:r w:rsidR="00B61FA5" w:rsidRPr="006571AC">
        <w:rPr>
          <w:rFonts w:hint="cs"/>
          <w:sz w:val="27"/>
          <w:rtl/>
        </w:rPr>
        <w:t>ً</w:t>
      </w:r>
      <w:r w:rsidRPr="006571AC">
        <w:rPr>
          <w:sz w:val="27"/>
          <w:rtl/>
        </w:rPr>
        <w:t xml:space="preserve"> </w:t>
      </w:r>
      <w:r w:rsidRPr="006571AC">
        <w:rPr>
          <w:rFonts w:hint="cs"/>
          <w:sz w:val="27"/>
          <w:rtl/>
        </w:rPr>
        <w:t>ونظر</w:t>
      </w:r>
      <w:r w:rsidR="00B61FA5"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المعصومين</w:t>
      </w:r>
      <w:r w:rsidR="002A2C90" w:rsidRPr="006571AC">
        <w:rPr>
          <w:rFonts w:ascii="Mosawi" w:hAnsi="Mosawi" w:cs="Mosawi"/>
          <w:sz w:val="22"/>
          <w:szCs w:val="22"/>
          <w:rtl/>
        </w:rPr>
        <w:t>^</w:t>
      </w:r>
      <w:r w:rsidRPr="006571AC">
        <w:rPr>
          <w:sz w:val="27"/>
          <w:rtl/>
        </w:rPr>
        <w:t>،</w:t>
      </w:r>
      <w:r w:rsidRPr="006571AC">
        <w:rPr>
          <w:rFonts w:hint="cs"/>
          <w:sz w:val="27"/>
          <w:rtl/>
        </w:rPr>
        <w:t xml:space="preserve"> ولم</w:t>
      </w:r>
      <w:r w:rsidRPr="006571AC">
        <w:rPr>
          <w:sz w:val="27"/>
          <w:rtl/>
        </w:rPr>
        <w:t xml:space="preserve"> </w:t>
      </w:r>
      <w:r w:rsidRPr="006571AC">
        <w:rPr>
          <w:rFonts w:hint="cs"/>
          <w:sz w:val="27"/>
          <w:rtl/>
        </w:rPr>
        <w:t>يثبت</w:t>
      </w:r>
      <w:r w:rsidRPr="006571AC">
        <w:rPr>
          <w:sz w:val="27"/>
          <w:rtl/>
        </w:rPr>
        <w:t xml:space="preserve"> </w:t>
      </w:r>
      <w:r w:rsidRPr="006571AC">
        <w:rPr>
          <w:rFonts w:hint="cs"/>
          <w:sz w:val="27"/>
          <w:rtl/>
        </w:rPr>
        <w:t>بطريق</w:t>
      </w:r>
      <w:r w:rsidR="00B61FA5" w:rsidRPr="006571AC">
        <w:rPr>
          <w:rFonts w:hint="cs"/>
          <w:sz w:val="27"/>
          <w:rtl/>
        </w:rPr>
        <w:t>ٍ</w:t>
      </w:r>
      <w:r w:rsidRPr="006571AC">
        <w:rPr>
          <w:sz w:val="27"/>
          <w:rtl/>
        </w:rPr>
        <w:t xml:space="preserve"> </w:t>
      </w:r>
      <w:r w:rsidRPr="006571AC">
        <w:rPr>
          <w:rFonts w:hint="cs"/>
          <w:sz w:val="27"/>
          <w:rtl/>
        </w:rPr>
        <w:t>معتبر</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واحداً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المعصومين</w:t>
      </w:r>
      <w:r w:rsidRPr="006571AC">
        <w:rPr>
          <w:sz w:val="27"/>
          <w:rtl/>
        </w:rPr>
        <w:t xml:space="preserve"> </w:t>
      </w:r>
      <w:r w:rsidRPr="006571AC">
        <w:rPr>
          <w:rFonts w:hint="cs"/>
          <w:sz w:val="27"/>
          <w:rtl/>
        </w:rPr>
        <w:t>قد</w:t>
      </w:r>
      <w:r w:rsidRPr="006571AC">
        <w:rPr>
          <w:sz w:val="27"/>
          <w:rtl/>
        </w:rPr>
        <w:t xml:space="preserve"> </w:t>
      </w:r>
      <w:r w:rsidRPr="006571AC">
        <w:rPr>
          <w:rFonts w:hint="cs"/>
          <w:sz w:val="27"/>
          <w:rtl/>
        </w:rPr>
        <w:t>ردع</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ذ</w:t>
      </w:r>
      <w:r w:rsidRPr="006571AC">
        <w:rPr>
          <w:sz w:val="27"/>
          <w:rtl/>
        </w:rPr>
        <w:t xml:space="preserve">لك. </w:t>
      </w:r>
    </w:p>
    <w:p w:rsidR="00C37790" w:rsidRPr="006571AC" w:rsidRDefault="00C37790" w:rsidP="00C0404B">
      <w:pPr>
        <w:rPr>
          <w:sz w:val="27"/>
          <w:rtl/>
        </w:rPr>
      </w:pPr>
      <w:r w:rsidRPr="006571AC">
        <w:rPr>
          <w:rFonts w:hint="cs"/>
          <w:sz w:val="27"/>
          <w:rtl/>
        </w:rPr>
        <w:t>3ـ لا</w:t>
      </w:r>
      <w:r w:rsidRPr="006571AC">
        <w:rPr>
          <w:sz w:val="27"/>
          <w:rtl/>
        </w:rPr>
        <w:t xml:space="preserve"> </w:t>
      </w:r>
      <w:r w:rsidRPr="006571AC">
        <w:rPr>
          <w:rFonts w:hint="cs"/>
          <w:sz w:val="27"/>
          <w:rtl/>
        </w:rPr>
        <w:t>دليل</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انحصار</w:t>
      </w:r>
      <w:r w:rsidRPr="006571AC">
        <w:rPr>
          <w:sz w:val="27"/>
          <w:rtl/>
        </w:rPr>
        <w:t xml:space="preserve"> </w:t>
      </w:r>
      <w:r w:rsidRPr="006571AC">
        <w:rPr>
          <w:rFonts w:hint="cs"/>
          <w:sz w:val="27"/>
          <w:rtl/>
        </w:rPr>
        <w:t>اعتبار</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القاعدة</w:t>
      </w:r>
      <w:r w:rsidRPr="006571AC">
        <w:rPr>
          <w:sz w:val="27"/>
          <w:rtl/>
        </w:rPr>
        <w:t xml:space="preserve"> </w:t>
      </w:r>
      <w:r w:rsidRPr="006571AC">
        <w:rPr>
          <w:rFonts w:hint="cs"/>
          <w:sz w:val="27"/>
          <w:rtl/>
        </w:rPr>
        <w:t>بزمن</w:t>
      </w:r>
      <w:r w:rsidRPr="006571AC">
        <w:rPr>
          <w:sz w:val="27"/>
          <w:rtl/>
        </w:rPr>
        <w:t xml:space="preserve"> </w:t>
      </w:r>
      <w:r w:rsidRPr="006571AC">
        <w:rPr>
          <w:rFonts w:hint="cs"/>
          <w:sz w:val="27"/>
          <w:rtl/>
        </w:rPr>
        <w:t>الحضور، وعلى</w:t>
      </w:r>
      <w:r w:rsidRPr="006571AC">
        <w:rPr>
          <w:sz w:val="27"/>
          <w:rtl/>
        </w:rPr>
        <w:t xml:space="preserve"> </w:t>
      </w:r>
      <w:r w:rsidRPr="006571AC">
        <w:rPr>
          <w:rFonts w:hint="cs"/>
          <w:sz w:val="27"/>
          <w:rtl/>
        </w:rPr>
        <w:t>م</w:t>
      </w:r>
      <w:r w:rsidR="00130971" w:rsidRPr="006571AC">
        <w:rPr>
          <w:rFonts w:hint="cs"/>
          <w:sz w:val="27"/>
          <w:rtl/>
        </w:rPr>
        <w:t>َ</w:t>
      </w:r>
      <w:r w:rsidRPr="006571AC">
        <w:rPr>
          <w:rFonts w:hint="cs"/>
          <w:sz w:val="27"/>
          <w:rtl/>
        </w:rPr>
        <w:t>ن</w:t>
      </w:r>
      <w:r w:rsidR="00130971" w:rsidRPr="006571AC">
        <w:rPr>
          <w:rFonts w:hint="cs"/>
          <w:sz w:val="27"/>
          <w:rtl/>
        </w:rPr>
        <w:t>ْ</w:t>
      </w:r>
      <w:r w:rsidRPr="006571AC">
        <w:rPr>
          <w:sz w:val="27"/>
          <w:rtl/>
        </w:rPr>
        <w:t xml:space="preserve"> </w:t>
      </w:r>
      <w:r w:rsidRPr="006571AC">
        <w:rPr>
          <w:rFonts w:hint="cs"/>
          <w:sz w:val="27"/>
          <w:rtl/>
        </w:rPr>
        <w:t>يدّعي</w:t>
      </w:r>
      <w:r w:rsidRPr="006571AC">
        <w:rPr>
          <w:sz w:val="27"/>
          <w:rtl/>
        </w:rPr>
        <w:t xml:space="preserve"> </w:t>
      </w:r>
      <w:r w:rsidRPr="006571AC">
        <w:rPr>
          <w:rFonts w:hint="cs"/>
          <w:sz w:val="27"/>
          <w:rtl/>
        </w:rPr>
        <w:t>الانحصار</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يأتي</w:t>
      </w:r>
      <w:r w:rsidRPr="006571AC">
        <w:rPr>
          <w:sz w:val="27"/>
          <w:rtl/>
        </w:rPr>
        <w:t xml:space="preserve"> </w:t>
      </w:r>
      <w:r w:rsidRPr="006571AC">
        <w:rPr>
          <w:rFonts w:hint="cs"/>
          <w:sz w:val="27"/>
          <w:rtl/>
        </w:rPr>
        <w:t>بدليل</w:t>
      </w:r>
      <w:r w:rsidR="00130971" w:rsidRPr="006571AC">
        <w:rPr>
          <w:rFonts w:hint="cs"/>
          <w:sz w:val="27"/>
          <w:rtl/>
        </w:rPr>
        <w:t>ٍ</w:t>
      </w:r>
      <w:r w:rsidRPr="006571AC">
        <w:rPr>
          <w:sz w:val="27"/>
          <w:rtl/>
        </w:rPr>
        <w:t xml:space="preserve">. </w:t>
      </w:r>
      <w:r w:rsidRPr="006571AC">
        <w:rPr>
          <w:rFonts w:hint="cs"/>
          <w:sz w:val="27"/>
          <w:rtl/>
        </w:rPr>
        <w:t>بل</w:t>
      </w:r>
      <w:r w:rsidRPr="006571AC">
        <w:rPr>
          <w:sz w:val="27"/>
          <w:rtl/>
        </w:rPr>
        <w:t xml:space="preserve"> </w:t>
      </w:r>
      <w:r w:rsidRPr="006571AC">
        <w:rPr>
          <w:rFonts w:hint="cs"/>
          <w:sz w:val="27"/>
          <w:rtl/>
        </w:rPr>
        <w:t>لو</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تكن</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القاعدة</w:t>
      </w:r>
      <w:r w:rsidRPr="006571AC">
        <w:rPr>
          <w:sz w:val="27"/>
          <w:rtl/>
        </w:rPr>
        <w:t xml:space="preserve"> </w:t>
      </w:r>
      <w:r w:rsidRPr="006571AC">
        <w:rPr>
          <w:rFonts w:hint="cs"/>
          <w:sz w:val="27"/>
          <w:rtl/>
        </w:rPr>
        <w:t>معتبرة</w:t>
      </w:r>
      <w:r w:rsidR="00130971"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زمن</w:t>
      </w:r>
      <w:r w:rsidRPr="006571AC">
        <w:rPr>
          <w:sz w:val="27"/>
          <w:rtl/>
        </w:rPr>
        <w:t xml:space="preserve"> </w:t>
      </w:r>
      <w:r w:rsidRPr="006571AC">
        <w:rPr>
          <w:rFonts w:hint="cs"/>
          <w:sz w:val="27"/>
          <w:rtl/>
        </w:rPr>
        <w:t>الغيبة للزم</w:t>
      </w:r>
      <w:r w:rsidRPr="006571AC">
        <w:rPr>
          <w:sz w:val="27"/>
          <w:rtl/>
        </w:rPr>
        <w:t xml:space="preserve"> </w:t>
      </w:r>
      <w:r w:rsidRPr="006571AC">
        <w:rPr>
          <w:rFonts w:hint="cs"/>
          <w:sz w:val="27"/>
          <w:rtl/>
        </w:rPr>
        <w:lastRenderedPageBreak/>
        <w:t>المعصوم</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يعلن</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عدم</w:t>
      </w:r>
      <w:r w:rsidRPr="006571AC">
        <w:rPr>
          <w:sz w:val="27"/>
          <w:rtl/>
        </w:rPr>
        <w:t xml:space="preserve"> </w:t>
      </w:r>
      <w:r w:rsidRPr="006571AC">
        <w:rPr>
          <w:rFonts w:hint="cs"/>
          <w:sz w:val="27"/>
          <w:rtl/>
        </w:rPr>
        <w:t>اعتبارها؛ حيث</w:t>
      </w:r>
      <w:r w:rsidRPr="006571AC">
        <w:rPr>
          <w:sz w:val="27"/>
          <w:rtl/>
        </w:rPr>
        <w:t xml:space="preserve"> </w:t>
      </w:r>
      <w:r w:rsidRPr="006571AC">
        <w:rPr>
          <w:rFonts w:hint="cs"/>
          <w:sz w:val="27"/>
          <w:rtl/>
        </w:rPr>
        <w:t>إنّها</w:t>
      </w:r>
      <w:r w:rsidRPr="006571AC">
        <w:rPr>
          <w:sz w:val="27"/>
          <w:rtl/>
        </w:rPr>
        <w:t xml:space="preserve"> </w:t>
      </w:r>
      <w:r w:rsidRPr="006571AC">
        <w:rPr>
          <w:rFonts w:hint="cs"/>
          <w:sz w:val="27"/>
          <w:rtl/>
        </w:rPr>
        <w:t>تشكّ</w:t>
      </w:r>
      <w:r w:rsidR="00130971" w:rsidRPr="006571AC">
        <w:rPr>
          <w:rFonts w:hint="cs"/>
          <w:sz w:val="27"/>
          <w:rtl/>
        </w:rPr>
        <w:t>ِ</w:t>
      </w:r>
      <w:r w:rsidRPr="006571AC">
        <w:rPr>
          <w:rFonts w:hint="cs"/>
          <w:sz w:val="27"/>
          <w:rtl/>
        </w:rPr>
        <w:t>ل</w:t>
      </w:r>
      <w:r w:rsidRPr="006571AC">
        <w:rPr>
          <w:sz w:val="27"/>
          <w:rtl/>
        </w:rPr>
        <w:t xml:space="preserve"> </w:t>
      </w:r>
      <w:r w:rsidRPr="006571AC">
        <w:rPr>
          <w:rFonts w:hint="cs"/>
          <w:sz w:val="27"/>
          <w:rtl/>
        </w:rPr>
        <w:t>خطراً</w:t>
      </w:r>
      <w:r w:rsidRPr="006571AC">
        <w:rPr>
          <w:sz w:val="27"/>
          <w:rtl/>
        </w:rPr>
        <w:t xml:space="preserve"> </w:t>
      </w:r>
      <w:r w:rsidRPr="006571AC">
        <w:rPr>
          <w:rFonts w:hint="cs"/>
          <w:sz w:val="27"/>
          <w:rtl/>
        </w:rPr>
        <w:t>بالنسبة</w:t>
      </w:r>
      <w:r w:rsidRPr="006571AC">
        <w:rPr>
          <w:sz w:val="27"/>
          <w:rtl/>
        </w:rPr>
        <w:t xml:space="preserve"> </w:t>
      </w:r>
      <w:r w:rsidRPr="006571AC">
        <w:rPr>
          <w:rFonts w:hint="cs"/>
          <w:sz w:val="27"/>
          <w:rtl/>
        </w:rPr>
        <w:t>لأحكام</w:t>
      </w:r>
      <w:r w:rsidRPr="006571AC">
        <w:rPr>
          <w:sz w:val="27"/>
          <w:rtl/>
        </w:rPr>
        <w:t xml:space="preserve"> </w:t>
      </w:r>
      <w:r w:rsidRPr="006571AC">
        <w:rPr>
          <w:rFonts w:hint="cs"/>
          <w:sz w:val="27"/>
          <w:rtl/>
        </w:rPr>
        <w:t>وغايات</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فمن</w:t>
      </w:r>
      <w:r w:rsidRPr="006571AC">
        <w:rPr>
          <w:sz w:val="27"/>
          <w:rtl/>
        </w:rPr>
        <w:t xml:space="preserve"> </w:t>
      </w:r>
      <w:r w:rsidR="00130971" w:rsidRPr="006571AC">
        <w:rPr>
          <w:rFonts w:hint="cs"/>
          <w:sz w:val="27"/>
          <w:rtl/>
        </w:rPr>
        <w:t>المقرَّ</w:t>
      </w:r>
      <w:r w:rsidRPr="006571AC">
        <w:rPr>
          <w:rFonts w:hint="cs"/>
          <w:sz w:val="27"/>
          <w:rtl/>
        </w:rPr>
        <w:t>ر</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محل</w:t>
      </w:r>
      <w:r w:rsidRPr="006571AC">
        <w:rPr>
          <w:sz w:val="27"/>
          <w:rtl/>
        </w:rPr>
        <w:t>ّه</w:t>
      </w:r>
      <w:r w:rsidR="00130971" w:rsidRPr="006571AC">
        <w:rPr>
          <w:rFonts w:hint="cs"/>
          <w:sz w:val="27"/>
          <w:rtl/>
        </w:rPr>
        <w:t xml:space="preserve"> </w:t>
      </w:r>
      <w:r w:rsidR="00130971" w:rsidRPr="006571AC">
        <w:rPr>
          <w:sz w:val="27"/>
          <w:rtl/>
        </w:rPr>
        <w:t>أن</w:t>
      </w:r>
      <w:r w:rsidRPr="006571AC">
        <w:rPr>
          <w:sz w:val="27"/>
          <w:rtl/>
        </w:rPr>
        <w:t>ه من اللازم عقلاً ونقلاً على المعصوم أن ينبّ</w:t>
      </w:r>
      <w:r w:rsidR="00130971" w:rsidRPr="006571AC">
        <w:rPr>
          <w:rFonts w:hint="cs"/>
          <w:sz w:val="27"/>
          <w:rtl/>
        </w:rPr>
        <w:t>ِ</w:t>
      </w:r>
      <w:r w:rsidRPr="006571AC">
        <w:rPr>
          <w:sz w:val="27"/>
          <w:rtl/>
        </w:rPr>
        <w:t>ه ويحذّ</w:t>
      </w:r>
      <w:r w:rsidR="00130971" w:rsidRPr="006571AC">
        <w:rPr>
          <w:rFonts w:hint="cs"/>
          <w:sz w:val="27"/>
          <w:rtl/>
        </w:rPr>
        <w:t>ِ</w:t>
      </w:r>
      <w:r w:rsidRPr="006571AC">
        <w:rPr>
          <w:sz w:val="27"/>
          <w:rtl/>
        </w:rPr>
        <w:t>ر من كلّ ما يهدّ</w:t>
      </w:r>
      <w:r w:rsidR="00130971" w:rsidRPr="006571AC">
        <w:rPr>
          <w:rFonts w:hint="cs"/>
          <w:sz w:val="27"/>
          <w:rtl/>
        </w:rPr>
        <w:t>ِ</w:t>
      </w:r>
      <w:r w:rsidRPr="006571AC">
        <w:rPr>
          <w:sz w:val="27"/>
          <w:rtl/>
        </w:rPr>
        <w:t>د أهداف الشريعة وأحكامها؛ باعتباره حافظاً لها</w:t>
      </w:r>
      <w:r w:rsidRPr="006571AC">
        <w:rPr>
          <w:sz w:val="27"/>
          <w:vertAlign w:val="superscript"/>
          <w:rtl/>
        </w:rPr>
        <w:t>(</w:t>
      </w:r>
      <w:r w:rsidRPr="006571AC">
        <w:rPr>
          <w:rStyle w:val="ac"/>
          <w:sz w:val="27"/>
          <w:rtl/>
        </w:rPr>
        <w:endnoteReference w:id="79"/>
      </w:r>
      <w:r w:rsidRPr="006571AC">
        <w:rPr>
          <w:sz w:val="27"/>
          <w:vertAlign w:val="superscript"/>
          <w:rtl/>
        </w:rPr>
        <w:t>)</w:t>
      </w:r>
      <w:r w:rsidRPr="006571AC">
        <w:rPr>
          <w:sz w:val="27"/>
          <w:rtl/>
        </w:rPr>
        <w:t>، مثلما نبّه إلى عدم اعتبار القياس والتفسير بالر</w:t>
      </w:r>
      <w:r w:rsidR="00130971" w:rsidRPr="006571AC">
        <w:rPr>
          <w:rFonts w:hint="cs"/>
          <w:sz w:val="27"/>
          <w:rtl/>
        </w:rPr>
        <w:t>أ</w:t>
      </w:r>
      <w:r w:rsidRPr="006571AC">
        <w:rPr>
          <w:sz w:val="27"/>
          <w:rtl/>
        </w:rPr>
        <w:t>ي، وحذّ</w:t>
      </w:r>
      <w:r w:rsidR="00130971" w:rsidRPr="006571AC">
        <w:rPr>
          <w:rFonts w:hint="cs"/>
          <w:sz w:val="27"/>
          <w:rtl/>
        </w:rPr>
        <w:t>َ</w:t>
      </w:r>
      <w:r w:rsidRPr="006571AC">
        <w:rPr>
          <w:sz w:val="27"/>
          <w:rtl/>
        </w:rPr>
        <w:t>ر منهما</w:t>
      </w:r>
      <w:r w:rsidRPr="006571AC">
        <w:rPr>
          <w:sz w:val="27"/>
          <w:vertAlign w:val="superscript"/>
          <w:rtl/>
        </w:rPr>
        <w:t>(</w:t>
      </w:r>
      <w:r w:rsidRPr="006571AC">
        <w:rPr>
          <w:rStyle w:val="ac"/>
          <w:sz w:val="27"/>
          <w:rtl/>
        </w:rPr>
        <w:endnoteReference w:id="80"/>
      </w:r>
      <w:r w:rsidRPr="006571AC">
        <w:rPr>
          <w:sz w:val="27"/>
          <w:vertAlign w:val="superscript"/>
          <w:rtl/>
        </w:rPr>
        <w:t>)</w:t>
      </w:r>
      <w:r w:rsidRPr="006571AC">
        <w:rPr>
          <w:sz w:val="27"/>
          <w:rtl/>
        </w:rPr>
        <w:t>. إذن فهذه القاعدة الأوّلية معتبرة</w:t>
      </w:r>
      <w:r w:rsidR="00130971" w:rsidRPr="006571AC">
        <w:rPr>
          <w:rFonts w:hint="cs"/>
          <w:sz w:val="27"/>
          <w:rtl/>
        </w:rPr>
        <w:t>ٌ</w:t>
      </w:r>
      <w:r w:rsidRPr="006571AC">
        <w:rPr>
          <w:sz w:val="27"/>
          <w:rtl/>
        </w:rPr>
        <w:t xml:space="preserve"> في زمن الغيبة، ولا مانع من العمل بها. ومن الجدير بالذكر أنّ البعض قد تمسّ</w:t>
      </w:r>
      <w:r w:rsidR="00130971" w:rsidRPr="006571AC">
        <w:rPr>
          <w:rFonts w:hint="cs"/>
          <w:sz w:val="27"/>
          <w:rtl/>
        </w:rPr>
        <w:t>َ</w:t>
      </w:r>
      <w:r w:rsidRPr="006571AC">
        <w:rPr>
          <w:sz w:val="27"/>
          <w:rtl/>
        </w:rPr>
        <w:t>ك بما يشبه هذا الدليل لإثبات البراءة</w:t>
      </w:r>
      <w:r w:rsidRPr="006571AC">
        <w:rPr>
          <w:sz w:val="27"/>
          <w:vertAlign w:val="superscript"/>
          <w:rtl/>
        </w:rPr>
        <w:t>(</w:t>
      </w:r>
      <w:r w:rsidRPr="006571AC">
        <w:rPr>
          <w:rStyle w:val="ac"/>
          <w:sz w:val="27"/>
          <w:rtl/>
        </w:rPr>
        <w:endnoteReference w:id="81"/>
      </w:r>
      <w:r w:rsidRPr="006571AC">
        <w:rPr>
          <w:sz w:val="27"/>
          <w:vertAlign w:val="superscript"/>
          <w:rtl/>
        </w:rPr>
        <w:t>)</w:t>
      </w:r>
      <w:r w:rsidRPr="006571AC">
        <w:rPr>
          <w:sz w:val="27"/>
          <w:rtl/>
        </w:rPr>
        <w:t xml:space="preserve">. </w:t>
      </w:r>
    </w:p>
    <w:p w:rsidR="00326182" w:rsidRPr="006571AC" w:rsidRDefault="00326182" w:rsidP="00266070">
      <w:pPr>
        <w:spacing w:line="420" w:lineRule="exact"/>
        <w:rPr>
          <w:sz w:val="27"/>
          <w:rtl/>
        </w:rPr>
      </w:pPr>
    </w:p>
    <w:p w:rsidR="00326182" w:rsidRPr="006571AC" w:rsidRDefault="00326182" w:rsidP="00326182">
      <w:pPr>
        <w:pStyle w:val="31"/>
        <w:rPr>
          <w:color w:val="auto"/>
          <w:rtl/>
        </w:rPr>
      </w:pPr>
      <w:bookmarkStart w:id="46" w:name="_Toc114164535"/>
      <w:r w:rsidRPr="006571AC">
        <w:rPr>
          <w:rFonts w:hint="cs"/>
          <w:color w:val="auto"/>
          <w:rtl/>
        </w:rPr>
        <w:t>شبهاتٌ وردود</w:t>
      </w:r>
      <w:bookmarkEnd w:id="46"/>
    </w:p>
    <w:p w:rsidR="00C37790" w:rsidRPr="006571AC" w:rsidRDefault="00C37790" w:rsidP="00C0404B">
      <w:pPr>
        <w:rPr>
          <w:sz w:val="27"/>
          <w:rtl/>
        </w:rPr>
      </w:pPr>
      <w:r w:rsidRPr="006571AC">
        <w:rPr>
          <w:b/>
          <w:bCs/>
          <w:sz w:val="27"/>
          <w:rtl/>
        </w:rPr>
        <w:t>وإذا قيل</w:t>
      </w:r>
      <w:r w:rsidR="00130971" w:rsidRPr="006571AC">
        <w:rPr>
          <w:rFonts w:hint="cs"/>
          <w:sz w:val="27"/>
          <w:rtl/>
        </w:rPr>
        <w:t>:</w:t>
      </w:r>
      <w:r w:rsidRPr="006571AC">
        <w:rPr>
          <w:sz w:val="27"/>
          <w:rtl/>
        </w:rPr>
        <w:t xml:space="preserve"> </w:t>
      </w:r>
      <w:r w:rsidR="00130971" w:rsidRPr="006571AC">
        <w:rPr>
          <w:rFonts w:hint="cs"/>
          <w:sz w:val="27"/>
          <w:rtl/>
        </w:rPr>
        <w:t>إنه</w:t>
      </w:r>
      <w:r w:rsidRPr="006571AC">
        <w:rPr>
          <w:sz w:val="27"/>
          <w:rtl/>
        </w:rPr>
        <w:t xml:space="preserve"> يحتمل اختلاف الحال في اعتبار القاعدة الأوّلية بين زماني الحضور والغيبة؛ حيث يستطيع المعصوم في عصر الحضور أن يردع عن السيرة المخالفة للشريعة، بينما هو غير ظاهر</w:t>
      </w:r>
      <w:r w:rsidR="00130971" w:rsidRPr="006571AC">
        <w:rPr>
          <w:rFonts w:hint="cs"/>
          <w:sz w:val="27"/>
          <w:rtl/>
        </w:rPr>
        <w:t>ٍ</w:t>
      </w:r>
      <w:r w:rsidRPr="006571AC">
        <w:rPr>
          <w:sz w:val="27"/>
          <w:rtl/>
        </w:rPr>
        <w:t xml:space="preserve"> في عصر الغيبة؛ حتّى يمكنه أن يردع عنها. </w:t>
      </w:r>
    </w:p>
    <w:p w:rsidR="0065120C" w:rsidRPr="006571AC" w:rsidRDefault="00C37790" w:rsidP="00C0404B">
      <w:pPr>
        <w:rPr>
          <w:sz w:val="27"/>
          <w:rtl/>
        </w:rPr>
      </w:pPr>
      <w:r w:rsidRPr="006571AC">
        <w:rPr>
          <w:b/>
          <w:bCs/>
          <w:sz w:val="27"/>
          <w:rtl/>
        </w:rPr>
        <w:t>نقول في الجواب</w:t>
      </w:r>
      <w:r w:rsidRPr="006571AC">
        <w:rPr>
          <w:sz w:val="27"/>
          <w:rtl/>
        </w:rPr>
        <w:t>: صحيح</w:t>
      </w:r>
      <w:r w:rsidR="00130971" w:rsidRPr="006571AC">
        <w:rPr>
          <w:rFonts w:hint="cs"/>
          <w:sz w:val="27"/>
          <w:rtl/>
        </w:rPr>
        <w:t>ٌ</w:t>
      </w:r>
      <w:r w:rsidRPr="006571AC">
        <w:rPr>
          <w:sz w:val="27"/>
          <w:rtl/>
        </w:rPr>
        <w:t xml:space="preserve"> أنّ المعصوم غير ظاهر</w:t>
      </w:r>
      <w:r w:rsidR="00640A3A" w:rsidRPr="006571AC">
        <w:rPr>
          <w:rFonts w:hint="cs"/>
          <w:sz w:val="27"/>
          <w:rtl/>
        </w:rPr>
        <w:t>ٍ</w:t>
      </w:r>
      <w:r w:rsidRPr="006571AC">
        <w:rPr>
          <w:sz w:val="27"/>
          <w:rtl/>
        </w:rPr>
        <w:t>، ولكنّ هذه القاعدة كانت موجودة</w:t>
      </w:r>
      <w:r w:rsidR="00640A3A" w:rsidRPr="006571AC">
        <w:rPr>
          <w:rFonts w:hint="cs"/>
          <w:sz w:val="27"/>
          <w:rtl/>
        </w:rPr>
        <w:t>ً</w:t>
      </w:r>
      <w:r w:rsidRPr="006571AC">
        <w:rPr>
          <w:sz w:val="27"/>
          <w:rtl/>
        </w:rPr>
        <w:t xml:space="preserve"> في زمان حضوره، فلو كان يراها منافية</w:t>
      </w:r>
      <w:r w:rsidR="00640A3A" w:rsidRPr="006571AC">
        <w:rPr>
          <w:rFonts w:hint="cs"/>
          <w:sz w:val="27"/>
          <w:rtl/>
        </w:rPr>
        <w:t>ً</w:t>
      </w:r>
      <w:r w:rsidRPr="006571AC">
        <w:rPr>
          <w:sz w:val="27"/>
          <w:rtl/>
        </w:rPr>
        <w:t xml:space="preserve"> لأحكامه وأهدافه لكان قد ردع عنها آنذاك. </w:t>
      </w:r>
    </w:p>
    <w:p w:rsidR="00640A3A" w:rsidRPr="006571AC" w:rsidRDefault="00C37790" w:rsidP="00C0404B">
      <w:pPr>
        <w:rPr>
          <w:sz w:val="27"/>
          <w:rtl/>
        </w:rPr>
      </w:pPr>
      <w:r w:rsidRPr="006571AC">
        <w:rPr>
          <w:b/>
          <w:bCs/>
          <w:sz w:val="27"/>
          <w:rtl/>
        </w:rPr>
        <w:t>ولو قيل أيضاً</w:t>
      </w:r>
      <w:r w:rsidR="00640A3A" w:rsidRPr="006571AC">
        <w:rPr>
          <w:rFonts w:hint="cs"/>
          <w:sz w:val="27"/>
          <w:rtl/>
        </w:rPr>
        <w:t>:</w:t>
      </w:r>
      <w:r w:rsidRPr="006571AC">
        <w:rPr>
          <w:sz w:val="27"/>
          <w:rtl/>
        </w:rPr>
        <w:t xml:space="preserve"> </w:t>
      </w:r>
      <w:r w:rsidR="00640A3A" w:rsidRPr="006571AC">
        <w:rPr>
          <w:rFonts w:hint="cs"/>
          <w:sz w:val="27"/>
          <w:rtl/>
        </w:rPr>
        <w:t>إن</w:t>
      </w:r>
      <w:r w:rsidRPr="006571AC">
        <w:rPr>
          <w:sz w:val="27"/>
          <w:rtl/>
        </w:rPr>
        <w:t>ه يحتمل أن يكون عند المعصوم عذر</w:t>
      </w:r>
      <w:r w:rsidR="00640A3A" w:rsidRPr="006571AC">
        <w:rPr>
          <w:rFonts w:hint="cs"/>
          <w:sz w:val="27"/>
          <w:rtl/>
        </w:rPr>
        <w:t>ٌ</w:t>
      </w:r>
      <w:r w:rsidRPr="006571AC">
        <w:rPr>
          <w:sz w:val="27"/>
          <w:rtl/>
        </w:rPr>
        <w:t xml:space="preserve"> مبرّ</w:t>
      </w:r>
      <w:r w:rsidR="00640A3A" w:rsidRPr="006571AC">
        <w:rPr>
          <w:rFonts w:hint="cs"/>
          <w:sz w:val="27"/>
          <w:rtl/>
        </w:rPr>
        <w:t>ِ</w:t>
      </w:r>
      <w:r w:rsidRPr="006571AC">
        <w:rPr>
          <w:sz w:val="27"/>
          <w:rtl/>
        </w:rPr>
        <w:t>ر لعدم الإبلاغ والتبيين، من قبيل</w:t>
      </w:r>
      <w:r w:rsidR="00640A3A" w:rsidRPr="006571AC">
        <w:rPr>
          <w:rFonts w:hint="cs"/>
          <w:sz w:val="27"/>
          <w:rtl/>
        </w:rPr>
        <w:t>:</w:t>
      </w:r>
      <w:r w:rsidRPr="006571AC">
        <w:rPr>
          <w:sz w:val="27"/>
          <w:rtl/>
        </w:rPr>
        <w:t xml:space="preserve"> طروّ عنوان ثانوي</w:t>
      </w:r>
      <w:r w:rsidR="00640A3A" w:rsidRPr="006571AC">
        <w:rPr>
          <w:rFonts w:hint="cs"/>
          <w:sz w:val="27"/>
          <w:rtl/>
        </w:rPr>
        <w:t>ّ</w:t>
      </w:r>
      <w:r w:rsidRPr="006571AC">
        <w:rPr>
          <w:sz w:val="27"/>
          <w:rtl/>
        </w:rPr>
        <w:t>، أو حصول تزاحم</w:t>
      </w:r>
      <w:r w:rsidR="00640A3A" w:rsidRPr="006571AC">
        <w:rPr>
          <w:rFonts w:hint="cs"/>
          <w:sz w:val="27"/>
          <w:rtl/>
        </w:rPr>
        <w:t>ٍ</w:t>
      </w:r>
      <w:r w:rsidR="005B3156" w:rsidRPr="006571AC">
        <w:rPr>
          <w:sz w:val="27"/>
          <w:rtl/>
        </w:rPr>
        <w:t xml:space="preserve"> مع واج</w:t>
      </w:r>
      <w:r w:rsidR="005B3156" w:rsidRPr="006571AC">
        <w:rPr>
          <w:rFonts w:hint="cs"/>
          <w:sz w:val="27"/>
          <w:rtl/>
        </w:rPr>
        <w:t>بٍ</w:t>
      </w:r>
      <w:r w:rsidRPr="006571AC">
        <w:rPr>
          <w:sz w:val="27"/>
          <w:rtl/>
        </w:rPr>
        <w:t xml:space="preserve"> أهمّ.</w:t>
      </w:r>
    </w:p>
    <w:p w:rsidR="00C37790" w:rsidRPr="006571AC" w:rsidRDefault="00C37790" w:rsidP="00C0404B">
      <w:pPr>
        <w:rPr>
          <w:sz w:val="27"/>
          <w:rtl/>
        </w:rPr>
      </w:pPr>
      <w:r w:rsidRPr="006571AC">
        <w:rPr>
          <w:b/>
          <w:bCs/>
          <w:sz w:val="27"/>
          <w:rtl/>
        </w:rPr>
        <w:t>فنقول في هذه الصورة أيضاً</w:t>
      </w:r>
      <w:r w:rsidRPr="006571AC">
        <w:rPr>
          <w:sz w:val="27"/>
          <w:rtl/>
        </w:rPr>
        <w:t>: إن احتمال حصول هذا الأمر وتحقّ</w:t>
      </w:r>
      <w:r w:rsidR="00640A3A" w:rsidRPr="006571AC">
        <w:rPr>
          <w:rFonts w:hint="cs"/>
          <w:sz w:val="27"/>
          <w:rtl/>
        </w:rPr>
        <w:t>ُ</w:t>
      </w:r>
      <w:r w:rsidRPr="006571AC">
        <w:rPr>
          <w:sz w:val="27"/>
          <w:rtl/>
        </w:rPr>
        <w:t>ق هذه الحالة في وقت</w:t>
      </w:r>
      <w:r w:rsidR="00640A3A" w:rsidRPr="006571AC">
        <w:rPr>
          <w:rFonts w:hint="cs"/>
          <w:sz w:val="27"/>
          <w:rtl/>
        </w:rPr>
        <w:t>ٍ</w:t>
      </w:r>
      <w:r w:rsidRPr="006571AC">
        <w:rPr>
          <w:sz w:val="27"/>
          <w:rtl/>
        </w:rPr>
        <w:t xml:space="preserve"> قصير ممكن</w:t>
      </w:r>
      <w:r w:rsidR="00640A3A" w:rsidRPr="006571AC">
        <w:rPr>
          <w:rFonts w:hint="cs"/>
          <w:sz w:val="27"/>
          <w:rtl/>
        </w:rPr>
        <w:t>ٌ</w:t>
      </w:r>
      <w:r w:rsidRPr="006571AC">
        <w:rPr>
          <w:sz w:val="27"/>
          <w:rtl/>
        </w:rPr>
        <w:t xml:space="preserve"> عقلائياً، لكنّ احتمال حصوله بالنسبة إلى مدّة</w:t>
      </w:r>
      <w:r w:rsidR="00640A3A" w:rsidRPr="006571AC">
        <w:rPr>
          <w:rFonts w:hint="cs"/>
          <w:sz w:val="27"/>
          <w:rtl/>
        </w:rPr>
        <w:t>ٍ</w:t>
      </w:r>
      <w:r w:rsidRPr="006571AC">
        <w:rPr>
          <w:sz w:val="27"/>
          <w:rtl/>
        </w:rPr>
        <w:t xml:space="preserve"> زمانية طويلة</w:t>
      </w:r>
      <w:r w:rsidR="00640A3A" w:rsidRPr="006571AC">
        <w:rPr>
          <w:rFonts w:hint="cs"/>
          <w:sz w:val="27"/>
          <w:rtl/>
        </w:rPr>
        <w:t>،</w:t>
      </w:r>
      <w:r w:rsidRPr="006571AC">
        <w:rPr>
          <w:sz w:val="27"/>
          <w:rtl/>
        </w:rPr>
        <w:t xml:space="preserve"> تمتدّ إلى</w:t>
      </w:r>
      <w:r w:rsidRPr="006571AC">
        <w:rPr>
          <w:rFonts w:hint="cs"/>
          <w:sz w:val="27"/>
          <w:rtl/>
        </w:rPr>
        <w:t xml:space="preserve"> 270 سنة، هو</w:t>
      </w:r>
      <w:r w:rsidRPr="006571AC">
        <w:rPr>
          <w:sz w:val="27"/>
          <w:rtl/>
        </w:rPr>
        <w:t xml:space="preserve"> </w:t>
      </w:r>
      <w:r w:rsidRPr="006571AC">
        <w:rPr>
          <w:rFonts w:hint="cs"/>
          <w:sz w:val="27"/>
          <w:rtl/>
        </w:rPr>
        <w:t>اح</w:t>
      </w:r>
      <w:r w:rsidRPr="006571AC">
        <w:rPr>
          <w:sz w:val="27"/>
          <w:rtl/>
        </w:rPr>
        <w:t>تمال</w:t>
      </w:r>
      <w:r w:rsidR="00640A3A" w:rsidRPr="006571AC">
        <w:rPr>
          <w:rFonts w:hint="cs"/>
          <w:sz w:val="27"/>
          <w:rtl/>
        </w:rPr>
        <w:t>ٌ</w:t>
      </w:r>
      <w:r w:rsidRPr="006571AC">
        <w:rPr>
          <w:sz w:val="27"/>
          <w:rtl/>
        </w:rPr>
        <w:t xml:space="preserve"> ضعيف</w:t>
      </w:r>
      <w:r w:rsidR="00640A3A" w:rsidRPr="006571AC">
        <w:rPr>
          <w:rFonts w:hint="cs"/>
          <w:sz w:val="27"/>
          <w:rtl/>
        </w:rPr>
        <w:t>ٌ</w:t>
      </w:r>
      <w:r w:rsidRPr="006571AC">
        <w:rPr>
          <w:sz w:val="27"/>
          <w:rtl/>
        </w:rPr>
        <w:t xml:space="preserve"> جدّاً، لا يعتدّ به العقلاء. </w:t>
      </w:r>
    </w:p>
    <w:p w:rsidR="00C37790" w:rsidRPr="006571AC" w:rsidRDefault="00C37790" w:rsidP="00266070">
      <w:pPr>
        <w:spacing w:line="430" w:lineRule="exact"/>
        <w:rPr>
          <w:sz w:val="27"/>
          <w:rtl/>
        </w:rPr>
      </w:pPr>
    </w:p>
    <w:p w:rsidR="00C37790" w:rsidRPr="006571AC" w:rsidRDefault="00C10651" w:rsidP="0065120C">
      <w:pPr>
        <w:pStyle w:val="31"/>
        <w:rPr>
          <w:color w:val="auto"/>
          <w:rtl/>
        </w:rPr>
      </w:pPr>
      <w:bookmarkStart w:id="47" w:name="_Toc114164536"/>
      <w:r w:rsidRPr="006571AC">
        <w:rPr>
          <w:rFonts w:hint="cs"/>
          <w:color w:val="auto"/>
          <w:rtl/>
        </w:rPr>
        <w:t>4ـ</w:t>
      </w:r>
      <w:r w:rsidR="00C37790" w:rsidRPr="006571AC">
        <w:rPr>
          <w:color w:val="auto"/>
          <w:rtl/>
        </w:rPr>
        <w:t xml:space="preserve"> خطبة الرسول الأكرم</w:t>
      </w:r>
      <w:r w:rsidRPr="006571AC">
        <w:rPr>
          <w:rFonts w:ascii="Mosawi" w:hAnsi="Mosawi" w:cs="Mosawi"/>
          <w:color w:val="auto"/>
          <w:sz w:val="22"/>
          <w:szCs w:val="22"/>
          <w:rtl/>
        </w:rPr>
        <w:t>|</w:t>
      </w:r>
      <w:r w:rsidR="00C37790" w:rsidRPr="006571AC">
        <w:rPr>
          <w:color w:val="auto"/>
          <w:rtl/>
        </w:rPr>
        <w:t xml:space="preserve"> في حجّة الوداع</w:t>
      </w:r>
      <w:bookmarkEnd w:id="47"/>
    </w:p>
    <w:p w:rsidR="0065120C" w:rsidRPr="006571AC" w:rsidRDefault="00C37790" w:rsidP="005B3156">
      <w:pPr>
        <w:rPr>
          <w:sz w:val="27"/>
          <w:rtl/>
        </w:rPr>
      </w:pPr>
      <w:r w:rsidRPr="006571AC">
        <w:rPr>
          <w:sz w:val="27"/>
          <w:rtl/>
        </w:rPr>
        <w:t>خَطَبَ رَسُولُ الله</w:t>
      </w:r>
      <w:r w:rsidR="00C10651" w:rsidRPr="006571AC">
        <w:rPr>
          <w:rFonts w:ascii="Mosawi" w:hAnsi="Mosawi" w:cs="Mosawi"/>
          <w:sz w:val="22"/>
          <w:szCs w:val="22"/>
          <w:rtl/>
        </w:rPr>
        <w:t>|</w:t>
      </w:r>
      <w:r w:rsidR="004459D6" w:rsidRPr="006571AC">
        <w:rPr>
          <w:sz w:val="27"/>
          <w:rtl/>
        </w:rPr>
        <w:t xml:space="preserve"> </w:t>
      </w:r>
      <w:r w:rsidRPr="006571AC">
        <w:rPr>
          <w:sz w:val="27"/>
          <w:rtl/>
        </w:rPr>
        <w:t>فِي حَجَّةِ الْوَدَاعِ فَقَالَ</w:t>
      </w:r>
      <w:r w:rsidRPr="006571AC">
        <w:rPr>
          <w:rFonts w:hint="cs"/>
          <w:sz w:val="27"/>
          <w:rtl/>
        </w:rPr>
        <w:t>:</w:t>
      </w:r>
      <w:r w:rsidRPr="006571AC">
        <w:rPr>
          <w:sz w:val="27"/>
          <w:rtl/>
        </w:rPr>
        <w:t xml:space="preserve"> </w:t>
      </w:r>
      <w:r w:rsidRPr="006571AC">
        <w:rPr>
          <w:rFonts w:hint="eastAsia"/>
          <w:sz w:val="24"/>
          <w:szCs w:val="24"/>
          <w:rtl/>
        </w:rPr>
        <w:t>«</w:t>
      </w:r>
      <w:r w:rsidRPr="006571AC">
        <w:rPr>
          <w:sz w:val="27"/>
          <w:rtl/>
        </w:rPr>
        <w:t>يَا أَيُّهَا النَّاسُ</w:t>
      </w:r>
      <w:r w:rsidR="00640A3A" w:rsidRPr="006571AC">
        <w:rPr>
          <w:rFonts w:hint="cs"/>
          <w:sz w:val="27"/>
          <w:rtl/>
        </w:rPr>
        <w:t>،</w:t>
      </w:r>
      <w:r w:rsidRPr="006571AC">
        <w:rPr>
          <w:sz w:val="27"/>
          <w:rtl/>
        </w:rPr>
        <w:t xml:space="preserve"> و</w:t>
      </w:r>
      <w:r w:rsidR="0097633B" w:rsidRPr="006571AC">
        <w:rPr>
          <w:sz w:val="27"/>
          <w:rtl/>
        </w:rPr>
        <w:t>الل</w:t>
      </w:r>
      <w:r w:rsidRPr="006571AC">
        <w:rPr>
          <w:sz w:val="27"/>
          <w:rtl/>
        </w:rPr>
        <w:t>هِ مَا مِنْ شَيْ‌ءٍ يُقَرِّبُكُمْ مِنَ الْجَنَّةِ ويُبَاعِدُكُمْ مِنَ النَّارِ إِ</w:t>
      </w:r>
      <w:r w:rsidR="003C2639" w:rsidRPr="006571AC">
        <w:rPr>
          <w:sz w:val="27"/>
          <w:rtl/>
        </w:rPr>
        <w:t>لاّ</w:t>
      </w:r>
      <w:r w:rsidRPr="006571AC">
        <w:rPr>
          <w:sz w:val="27"/>
          <w:rtl/>
        </w:rPr>
        <w:t xml:space="preserve"> وقَدْ أَمَرْتُكُمْ بِهِ</w:t>
      </w:r>
      <w:r w:rsidR="00640A3A" w:rsidRPr="006571AC">
        <w:rPr>
          <w:rFonts w:hint="cs"/>
          <w:sz w:val="27"/>
          <w:rtl/>
        </w:rPr>
        <w:t>،</w:t>
      </w:r>
      <w:r w:rsidRPr="006571AC">
        <w:rPr>
          <w:sz w:val="27"/>
          <w:rtl/>
        </w:rPr>
        <w:t xml:space="preserve"> ومَا مِنْ شَيْ‌ءٍ يُقَرِّبُكُمْ مِنَ النَّارِ ويُبَاعِدُكُمْ مِنَ الْجَنَّةِ إِ</w:t>
      </w:r>
      <w:r w:rsidR="003C2639" w:rsidRPr="006571AC">
        <w:rPr>
          <w:sz w:val="27"/>
          <w:rtl/>
        </w:rPr>
        <w:t>لاّ</w:t>
      </w:r>
      <w:r w:rsidRPr="006571AC">
        <w:rPr>
          <w:sz w:val="27"/>
          <w:rtl/>
        </w:rPr>
        <w:t xml:space="preserve"> وقَدْ نَهَيْتُكُمْ عَنْهُ</w:t>
      </w:r>
      <w:r w:rsidRPr="006571AC">
        <w:rPr>
          <w:rFonts w:hint="eastAsia"/>
          <w:sz w:val="24"/>
          <w:szCs w:val="24"/>
          <w:rtl/>
        </w:rPr>
        <w:t>»</w:t>
      </w:r>
      <w:r w:rsidRPr="006571AC">
        <w:rPr>
          <w:sz w:val="27"/>
          <w:vertAlign w:val="superscript"/>
          <w:rtl/>
        </w:rPr>
        <w:t>(</w:t>
      </w:r>
      <w:r w:rsidRPr="006571AC">
        <w:rPr>
          <w:rStyle w:val="ac"/>
          <w:sz w:val="27"/>
          <w:rtl/>
        </w:rPr>
        <w:endnoteReference w:id="82"/>
      </w:r>
      <w:r w:rsidRPr="006571AC">
        <w:rPr>
          <w:sz w:val="27"/>
          <w:vertAlign w:val="superscript"/>
          <w:rtl/>
        </w:rPr>
        <w:t>)</w:t>
      </w:r>
      <w:r w:rsidR="005B3156" w:rsidRPr="006571AC">
        <w:rPr>
          <w:rFonts w:hint="cs"/>
          <w:sz w:val="27"/>
          <w:rtl/>
        </w:rPr>
        <w:t xml:space="preserve">. </w:t>
      </w:r>
      <w:r w:rsidRPr="006571AC">
        <w:rPr>
          <w:sz w:val="27"/>
          <w:rtl/>
        </w:rPr>
        <w:t>وقد ورد هذا الحديث في عدد</w:t>
      </w:r>
      <w:r w:rsidR="00640A3A" w:rsidRPr="006571AC">
        <w:rPr>
          <w:rFonts w:hint="cs"/>
          <w:sz w:val="27"/>
          <w:rtl/>
        </w:rPr>
        <w:t>ٍ</w:t>
      </w:r>
      <w:r w:rsidRPr="006571AC">
        <w:rPr>
          <w:sz w:val="27"/>
          <w:rtl/>
        </w:rPr>
        <w:t xml:space="preserve"> من الجوامع الحديثية الشيعية القديمة، وبأسانيد معتبرة غالباً، كالمحاسن</w:t>
      </w:r>
      <w:r w:rsidRPr="006571AC">
        <w:rPr>
          <w:sz w:val="27"/>
          <w:vertAlign w:val="superscript"/>
          <w:rtl/>
        </w:rPr>
        <w:t>(</w:t>
      </w:r>
      <w:r w:rsidRPr="006571AC">
        <w:rPr>
          <w:rStyle w:val="ac"/>
          <w:sz w:val="27"/>
          <w:rtl/>
        </w:rPr>
        <w:endnoteReference w:id="83"/>
      </w:r>
      <w:r w:rsidRPr="006571AC">
        <w:rPr>
          <w:sz w:val="27"/>
          <w:vertAlign w:val="superscript"/>
          <w:rtl/>
        </w:rPr>
        <w:t>)</w:t>
      </w:r>
      <w:r w:rsidRPr="006571AC">
        <w:rPr>
          <w:sz w:val="27"/>
          <w:rtl/>
        </w:rPr>
        <w:t>، ودعائم الإسلام</w:t>
      </w:r>
      <w:r w:rsidRPr="006571AC">
        <w:rPr>
          <w:sz w:val="27"/>
          <w:vertAlign w:val="superscript"/>
          <w:rtl/>
        </w:rPr>
        <w:t>(</w:t>
      </w:r>
      <w:r w:rsidRPr="006571AC">
        <w:rPr>
          <w:rStyle w:val="ac"/>
          <w:sz w:val="27"/>
          <w:rtl/>
        </w:rPr>
        <w:endnoteReference w:id="84"/>
      </w:r>
      <w:r w:rsidRPr="006571AC">
        <w:rPr>
          <w:sz w:val="27"/>
          <w:vertAlign w:val="superscript"/>
          <w:rtl/>
        </w:rPr>
        <w:t>)</w:t>
      </w:r>
      <w:r w:rsidR="005B3156" w:rsidRPr="006571AC">
        <w:rPr>
          <w:rFonts w:hint="cs"/>
          <w:sz w:val="27"/>
          <w:rtl/>
        </w:rPr>
        <w:t>؛</w:t>
      </w:r>
      <w:r w:rsidRPr="006571AC">
        <w:rPr>
          <w:sz w:val="27"/>
          <w:rtl/>
        </w:rPr>
        <w:t xml:space="preserve"> وكذلك تمّ نقله في كتب أهل السنّة</w:t>
      </w:r>
      <w:r w:rsidRPr="006571AC">
        <w:rPr>
          <w:sz w:val="27"/>
          <w:vertAlign w:val="superscript"/>
          <w:rtl/>
        </w:rPr>
        <w:t>(</w:t>
      </w:r>
      <w:r w:rsidRPr="006571AC">
        <w:rPr>
          <w:rStyle w:val="ac"/>
          <w:sz w:val="27"/>
          <w:rtl/>
        </w:rPr>
        <w:endnoteReference w:id="85"/>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sz w:val="27"/>
          <w:rtl/>
        </w:rPr>
        <w:lastRenderedPageBreak/>
        <w:t>ومفاد هذا الحديث أنّ النبي</w:t>
      </w:r>
      <w:r w:rsidR="002A2C90" w:rsidRPr="006571AC">
        <w:rPr>
          <w:rFonts w:ascii="Mosawi" w:hAnsi="Mosawi" w:cs="Mosawi"/>
          <w:sz w:val="22"/>
          <w:szCs w:val="22"/>
          <w:rtl/>
        </w:rPr>
        <w:t>|</w:t>
      </w:r>
      <w:r w:rsidRPr="006571AC">
        <w:rPr>
          <w:sz w:val="27"/>
          <w:rtl/>
        </w:rPr>
        <w:t xml:space="preserve"> قد بيّ</w:t>
      </w:r>
      <w:r w:rsidR="00640A3A" w:rsidRPr="006571AC">
        <w:rPr>
          <w:rFonts w:hint="cs"/>
          <w:sz w:val="27"/>
          <w:rtl/>
        </w:rPr>
        <w:t>َ</w:t>
      </w:r>
      <w:r w:rsidRPr="006571AC">
        <w:rPr>
          <w:sz w:val="27"/>
          <w:rtl/>
        </w:rPr>
        <w:t>ن كلّ الأوامر والنواهي المؤثّ</w:t>
      </w:r>
      <w:r w:rsidR="00640A3A" w:rsidRPr="006571AC">
        <w:rPr>
          <w:rFonts w:hint="cs"/>
          <w:sz w:val="27"/>
          <w:rtl/>
        </w:rPr>
        <w:t>ِ</w:t>
      </w:r>
      <w:r w:rsidRPr="006571AC">
        <w:rPr>
          <w:sz w:val="27"/>
          <w:rtl/>
        </w:rPr>
        <w:t>رة في سعادة الإنسان</w:t>
      </w:r>
      <w:r w:rsidR="00640A3A" w:rsidRPr="006571AC">
        <w:rPr>
          <w:rFonts w:hint="cs"/>
          <w:sz w:val="27"/>
          <w:rtl/>
        </w:rPr>
        <w:t>.</w:t>
      </w:r>
      <w:r w:rsidRPr="006571AC">
        <w:rPr>
          <w:sz w:val="27"/>
          <w:rtl/>
        </w:rPr>
        <w:t xml:space="preserve"> وهذه القضية غير منحصرة بالناس في ذلك الزمان، ويتّضح ذلك جدّاً من خلال القرائن والدلالات التالية: </w:t>
      </w:r>
    </w:p>
    <w:p w:rsidR="00C37790" w:rsidRPr="006571AC" w:rsidRDefault="00C37790" w:rsidP="00C0404B">
      <w:pPr>
        <w:rPr>
          <w:sz w:val="27"/>
          <w:rtl/>
        </w:rPr>
      </w:pPr>
      <w:r w:rsidRPr="006571AC">
        <w:rPr>
          <w:rFonts w:hint="cs"/>
          <w:sz w:val="27"/>
          <w:rtl/>
        </w:rPr>
        <w:t>1ـ جاءت</w:t>
      </w:r>
      <w:r w:rsidRPr="006571AC">
        <w:rPr>
          <w:sz w:val="27"/>
          <w:rtl/>
        </w:rPr>
        <w:t xml:space="preserve"> </w:t>
      </w:r>
      <w:r w:rsidRPr="006571AC">
        <w:rPr>
          <w:rFonts w:hint="cs"/>
          <w:sz w:val="27"/>
          <w:rtl/>
        </w:rPr>
        <w:t>رسالة</w:t>
      </w:r>
      <w:r w:rsidRPr="006571AC">
        <w:rPr>
          <w:sz w:val="27"/>
          <w:rtl/>
        </w:rPr>
        <w:t xml:space="preserve"> </w:t>
      </w:r>
      <w:r w:rsidRPr="006571AC">
        <w:rPr>
          <w:rFonts w:hint="cs"/>
          <w:sz w:val="27"/>
          <w:rtl/>
        </w:rPr>
        <w:t>الإسلام</w:t>
      </w:r>
      <w:r w:rsidRPr="006571AC">
        <w:rPr>
          <w:sz w:val="27"/>
          <w:rtl/>
        </w:rPr>
        <w:t xml:space="preserve"> </w:t>
      </w:r>
      <w:r w:rsidRPr="006571AC">
        <w:rPr>
          <w:rFonts w:hint="cs"/>
          <w:sz w:val="27"/>
          <w:rtl/>
        </w:rPr>
        <w:t>لهداية</w:t>
      </w:r>
      <w:r w:rsidRPr="006571AC">
        <w:rPr>
          <w:sz w:val="27"/>
          <w:rtl/>
        </w:rPr>
        <w:t xml:space="preserve"> </w:t>
      </w:r>
      <w:r w:rsidRPr="006571AC">
        <w:rPr>
          <w:rFonts w:hint="cs"/>
          <w:sz w:val="27"/>
          <w:rtl/>
        </w:rPr>
        <w:t>كلّ</w:t>
      </w:r>
      <w:r w:rsidRPr="006571AC">
        <w:rPr>
          <w:sz w:val="27"/>
          <w:rtl/>
        </w:rPr>
        <w:t xml:space="preserve"> الناس، إلى يوم القيامة، لا لهداية خصوص الناس الحاضرين والمستمعين لخطبة الرسول</w:t>
      </w:r>
      <w:r w:rsidR="002A2C90" w:rsidRPr="006571AC">
        <w:rPr>
          <w:rFonts w:ascii="Mosawi" w:hAnsi="Mosawi" w:cs="Mosawi"/>
          <w:sz w:val="22"/>
          <w:szCs w:val="22"/>
          <w:rtl/>
        </w:rPr>
        <w:t>|</w:t>
      </w:r>
      <w:r w:rsidRPr="006571AC">
        <w:rPr>
          <w:sz w:val="27"/>
          <w:rtl/>
        </w:rPr>
        <w:t xml:space="preserve"> الم</w:t>
      </w:r>
      <w:r w:rsidR="00640A3A" w:rsidRPr="006571AC">
        <w:rPr>
          <w:rFonts w:hint="cs"/>
          <w:sz w:val="27"/>
          <w:rtl/>
        </w:rPr>
        <w:t>ُ</w:t>
      </w:r>
      <w:r w:rsidRPr="006571AC">
        <w:rPr>
          <w:sz w:val="27"/>
          <w:rtl/>
        </w:rPr>
        <w:t xml:space="preserve">شار إليها. </w:t>
      </w:r>
    </w:p>
    <w:p w:rsidR="00C37790" w:rsidRPr="006571AC" w:rsidRDefault="00C37790" w:rsidP="00C0404B">
      <w:pPr>
        <w:rPr>
          <w:sz w:val="27"/>
          <w:rtl/>
        </w:rPr>
      </w:pPr>
      <w:r w:rsidRPr="006571AC">
        <w:rPr>
          <w:rFonts w:hint="cs"/>
          <w:sz w:val="27"/>
          <w:rtl/>
        </w:rPr>
        <w:t>2ـ ألقى</w:t>
      </w:r>
      <w:r w:rsidRPr="006571AC">
        <w:rPr>
          <w:sz w:val="27"/>
          <w:rtl/>
        </w:rPr>
        <w:t xml:space="preserve"> </w:t>
      </w:r>
      <w:r w:rsidRPr="006571AC">
        <w:rPr>
          <w:rFonts w:hint="cs"/>
          <w:sz w:val="27"/>
          <w:rtl/>
        </w:rPr>
        <w:t>النبيّ</w:t>
      </w:r>
      <w:r w:rsidR="002A2C90" w:rsidRPr="006571AC">
        <w:rPr>
          <w:rFonts w:ascii="Mosawi" w:hAnsi="Mosawi" w:cs="Mosawi"/>
          <w:sz w:val="22"/>
          <w:szCs w:val="22"/>
          <w:rtl/>
        </w:rPr>
        <w:t>|</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الخطبة</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حال</w:t>
      </w:r>
      <w:r w:rsidRPr="006571AC">
        <w:rPr>
          <w:sz w:val="27"/>
          <w:rtl/>
        </w:rPr>
        <w:t xml:space="preserve"> </w:t>
      </w:r>
      <w:r w:rsidRPr="006571AC">
        <w:rPr>
          <w:rFonts w:hint="cs"/>
          <w:sz w:val="27"/>
          <w:rtl/>
        </w:rPr>
        <w:t>وداعه</w:t>
      </w:r>
      <w:r w:rsidRPr="006571AC">
        <w:rPr>
          <w:sz w:val="27"/>
          <w:rtl/>
        </w:rPr>
        <w:t xml:space="preserve"> </w:t>
      </w:r>
      <w:r w:rsidRPr="006571AC">
        <w:rPr>
          <w:rFonts w:hint="cs"/>
          <w:sz w:val="27"/>
          <w:rtl/>
        </w:rPr>
        <w:t>للمسلمين، فهذا</w:t>
      </w:r>
      <w:r w:rsidRPr="006571AC">
        <w:rPr>
          <w:sz w:val="27"/>
          <w:rtl/>
        </w:rPr>
        <w:t xml:space="preserve"> </w:t>
      </w:r>
      <w:r w:rsidRPr="006571AC">
        <w:rPr>
          <w:rFonts w:hint="cs"/>
          <w:sz w:val="27"/>
          <w:rtl/>
        </w:rPr>
        <w:t>خطاب</w:t>
      </w:r>
      <w:r w:rsidR="00640A3A" w:rsidRPr="006571AC">
        <w:rPr>
          <w:rFonts w:hint="cs"/>
          <w:sz w:val="27"/>
          <w:rtl/>
        </w:rPr>
        <w:t>ٌ</w:t>
      </w:r>
      <w:r w:rsidRPr="006571AC">
        <w:rPr>
          <w:sz w:val="27"/>
          <w:rtl/>
        </w:rPr>
        <w:t xml:space="preserve"> </w:t>
      </w:r>
      <w:r w:rsidRPr="006571AC">
        <w:rPr>
          <w:rFonts w:hint="cs"/>
          <w:sz w:val="27"/>
          <w:rtl/>
        </w:rPr>
        <w:t>يشمل</w:t>
      </w:r>
      <w:r w:rsidRPr="006571AC">
        <w:rPr>
          <w:sz w:val="27"/>
          <w:rtl/>
        </w:rPr>
        <w:t xml:space="preserve"> </w:t>
      </w:r>
      <w:r w:rsidRPr="006571AC">
        <w:rPr>
          <w:rFonts w:hint="cs"/>
          <w:sz w:val="27"/>
          <w:rtl/>
        </w:rPr>
        <w:t>الأجيال</w:t>
      </w:r>
      <w:r w:rsidRPr="006571AC">
        <w:rPr>
          <w:sz w:val="27"/>
          <w:rtl/>
        </w:rPr>
        <w:t xml:space="preserve"> </w:t>
      </w:r>
      <w:r w:rsidRPr="006571AC">
        <w:rPr>
          <w:rFonts w:hint="cs"/>
          <w:sz w:val="27"/>
          <w:rtl/>
        </w:rPr>
        <w:t>اللاحقة، كما</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المتعارف</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وداع</w:t>
      </w:r>
      <w:r w:rsidRPr="006571AC">
        <w:rPr>
          <w:sz w:val="27"/>
          <w:rtl/>
        </w:rPr>
        <w:t xml:space="preserve"> </w:t>
      </w:r>
      <w:r w:rsidRPr="006571AC">
        <w:rPr>
          <w:rFonts w:hint="cs"/>
          <w:sz w:val="27"/>
          <w:rtl/>
        </w:rPr>
        <w:t>القادة</w:t>
      </w:r>
      <w:r w:rsidRPr="006571AC">
        <w:rPr>
          <w:sz w:val="27"/>
          <w:rtl/>
        </w:rPr>
        <w:t xml:space="preserve"> </w:t>
      </w:r>
      <w:r w:rsidRPr="006571AC">
        <w:rPr>
          <w:rFonts w:hint="cs"/>
          <w:sz w:val="27"/>
          <w:rtl/>
        </w:rPr>
        <w:t>والشخصيات</w:t>
      </w:r>
      <w:r w:rsidRPr="006571AC">
        <w:rPr>
          <w:sz w:val="27"/>
          <w:rtl/>
        </w:rPr>
        <w:t xml:space="preserve"> </w:t>
      </w:r>
      <w:r w:rsidRPr="006571AC">
        <w:rPr>
          <w:rFonts w:hint="cs"/>
          <w:sz w:val="27"/>
          <w:rtl/>
        </w:rPr>
        <w:t>الاجتماعية</w:t>
      </w:r>
      <w:r w:rsidRPr="006571AC">
        <w:rPr>
          <w:sz w:val="27"/>
          <w:rtl/>
        </w:rPr>
        <w:t xml:space="preserve">. </w:t>
      </w:r>
    </w:p>
    <w:p w:rsidR="00C37790" w:rsidRPr="006571AC" w:rsidRDefault="00C37790" w:rsidP="00C0404B">
      <w:pPr>
        <w:rPr>
          <w:sz w:val="27"/>
          <w:rtl/>
        </w:rPr>
      </w:pPr>
      <w:r w:rsidRPr="006571AC">
        <w:rPr>
          <w:rFonts w:hint="cs"/>
          <w:sz w:val="27"/>
          <w:rtl/>
        </w:rPr>
        <w:t>3ـ النبيّ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مقام</w:t>
      </w:r>
      <w:r w:rsidRPr="006571AC">
        <w:rPr>
          <w:sz w:val="27"/>
          <w:rtl/>
        </w:rPr>
        <w:t xml:space="preserve"> </w:t>
      </w:r>
      <w:r w:rsidRPr="006571AC">
        <w:rPr>
          <w:rFonts w:hint="cs"/>
          <w:sz w:val="27"/>
          <w:rtl/>
        </w:rPr>
        <w:t>بيان</w:t>
      </w:r>
      <w:r w:rsidRPr="006571AC">
        <w:rPr>
          <w:sz w:val="27"/>
          <w:rtl/>
        </w:rPr>
        <w:t xml:space="preserve"> الأفعال المؤدّية إلى اقتراب الإنسان من الجنّة وابتعاده عن النار، ولا يحتمل الاختلاف في ذلك بين الناس في زمن صدر الإسلام </w:t>
      </w:r>
      <w:r w:rsidR="00640A3A" w:rsidRPr="006571AC">
        <w:rPr>
          <w:rFonts w:hint="cs"/>
          <w:sz w:val="27"/>
          <w:rtl/>
        </w:rPr>
        <w:t>و</w:t>
      </w:r>
      <w:r w:rsidRPr="006571AC">
        <w:rPr>
          <w:sz w:val="27"/>
          <w:rtl/>
        </w:rPr>
        <w:t>الناس في</w:t>
      </w:r>
      <w:r w:rsidR="00B10C5F" w:rsidRPr="006571AC">
        <w:rPr>
          <w:rFonts w:hint="cs"/>
          <w:sz w:val="27"/>
          <w:rtl/>
        </w:rPr>
        <w:t xml:space="preserve"> </w:t>
      </w:r>
      <w:r w:rsidRPr="006571AC">
        <w:rPr>
          <w:sz w:val="27"/>
          <w:rtl/>
        </w:rPr>
        <w:t>ما بعده من أزمنة</w:t>
      </w:r>
      <w:r w:rsidR="00640A3A" w:rsidRPr="006571AC">
        <w:rPr>
          <w:rFonts w:hint="cs"/>
          <w:sz w:val="27"/>
          <w:rtl/>
        </w:rPr>
        <w:t>ٍ</w:t>
      </w:r>
      <w:r w:rsidRPr="006571AC">
        <w:rPr>
          <w:sz w:val="27"/>
          <w:rtl/>
        </w:rPr>
        <w:t>؛ فلا يحتمل مثلاً أن تكون الغ</w:t>
      </w:r>
      <w:r w:rsidR="00F268A9" w:rsidRPr="006571AC">
        <w:rPr>
          <w:rFonts w:hint="cs"/>
          <w:sz w:val="27"/>
          <w:rtl/>
        </w:rPr>
        <w:t>ِ</w:t>
      </w:r>
      <w:r w:rsidRPr="006571AC">
        <w:rPr>
          <w:sz w:val="27"/>
          <w:rtl/>
        </w:rPr>
        <w:t>يبة في صدر الإسلام مؤدّية</w:t>
      </w:r>
      <w:r w:rsidR="00F268A9" w:rsidRPr="006571AC">
        <w:rPr>
          <w:rFonts w:hint="cs"/>
          <w:sz w:val="27"/>
          <w:rtl/>
        </w:rPr>
        <w:t>ً</w:t>
      </w:r>
      <w:r w:rsidRPr="006571AC">
        <w:rPr>
          <w:sz w:val="27"/>
          <w:rtl/>
        </w:rPr>
        <w:t xml:space="preserve"> إلى الابتعاد عن الجنّة والاقتراب من النار، بينما لا تكون الغ</w:t>
      </w:r>
      <w:r w:rsidR="00F268A9" w:rsidRPr="006571AC">
        <w:rPr>
          <w:rFonts w:hint="cs"/>
          <w:sz w:val="27"/>
          <w:rtl/>
        </w:rPr>
        <w:t>ِ</w:t>
      </w:r>
      <w:r w:rsidRPr="006571AC">
        <w:rPr>
          <w:sz w:val="27"/>
          <w:rtl/>
        </w:rPr>
        <w:t>يبة كذلك في العصور اللاحقة</w:t>
      </w:r>
      <w:r w:rsidR="00F268A9" w:rsidRPr="006571AC">
        <w:rPr>
          <w:rFonts w:hint="cs"/>
          <w:sz w:val="27"/>
          <w:rtl/>
        </w:rPr>
        <w:t>؛</w:t>
      </w:r>
      <w:r w:rsidRPr="006571AC">
        <w:rPr>
          <w:sz w:val="27"/>
          <w:rtl/>
        </w:rPr>
        <w:t xml:space="preserve"> أو أن يكون القيام بالأمانة مؤدّياً إلى الابتعاد عن النار والاقتراب من الجنّة في صدر الإسلام</w:t>
      </w:r>
      <w:r w:rsidR="00F268A9" w:rsidRPr="006571AC">
        <w:rPr>
          <w:rFonts w:hint="cs"/>
          <w:sz w:val="27"/>
          <w:rtl/>
        </w:rPr>
        <w:t>،</w:t>
      </w:r>
      <w:r w:rsidRPr="006571AC">
        <w:rPr>
          <w:sz w:val="27"/>
          <w:rtl/>
        </w:rPr>
        <w:t xml:space="preserve"> دون غيره من العصور</w:t>
      </w:r>
      <w:r w:rsidR="00F268A9" w:rsidRPr="006571AC">
        <w:rPr>
          <w:rFonts w:hint="cs"/>
          <w:sz w:val="27"/>
          <w:rtl/>
        </w:rPr>
        <w:t>؛</w:t>
      </w:r>
      <w:r w:rsidRPr="006571AC">
        <w:rPr>
          <w:sz w:val="27"/>
          <w:rtl/>
        </w:rPr>
        <w:t xml:space="preserve"> وهكذا بقيّة الأفعال التي أمر بها النبيّ</w:t>
      </w:r>
      <w:r w:rsidR="002A2C90" w:rsidRPr="006571AC">
        <w:rPr>
          <w:rFonts w:ascii="Mosawi" w:hAnsi="Mosawi" w:cs="Mosawi"/>
          <w:sz w:val="22"/>
          <w:szCs w:val="22"/>
          <w:rtl/>
        </w:rPr>
        <w:t>|</w:t>
      </w:r>
      <w:r w:rsidRPr="006571AC">
        <w:rPr>
          <w:sz w:val="27"/>
          <w:rtl/>
        </w:rPr>
        <w:t xml:space="preserve"> أمراً إلزامياً، باعتباره شارعاً، أو نهى عنها نهياً إلزامياً</w:t>
      </w:r>
      <w:r w:rsidR="00F268A9" w:rsidRPr="006571AC">
        <w:rPr>
          <w:rFonts w:hint="cs"/>
          <w:sz w:val="27"/>
          <w:rtl/>
        </w:rPr>
        <w:t>،</w:t>
      </w:r>
      <w:r w:rsidRPr="006571AC">
        <w:rPr>
          <w:sz w:val="27"/>
          <w:rtl/>
        </w:rPr>
        <w:t xml:space="preserve"> كذلك. </w:t>
      </w:r>
    </w:p>
    <w:p w:rsidR="00C37790" w:rsidRPr="006571AC" w:rsidRDefault="00F268A9" w:rsidP="00C0404B">
      <w:pPr>
        <w:rPr>
          <w:sz w:val="27"/>
          <w:rtl/>
        </w:rPr>
      </w:pPr>
      <w:r w:rsidRPr="006571AC">
        <w:rPr>
          <w:rFonts w:hint="cs"/>
          <w:sz w:val="27"/>
          <w:rtl/>
        </w:rPr>
        <w:t>ومضافاً</w:t>
      </w:r>
      <w:r w:rsidR="00C37790" w:rsidRPr="006571AC">
        <w:rPr>
          <w:sz w:val="27"/>
          <w:rtl/>
        </w:rPr>
        <w:t xml:space="preserve"> إلى ذلك لدينا روايات مفادها أنّ الرسول الأكرم</w:t>
      </w:r>
      <w:r w:rsidR="002A2C90" w:rsidRPr="006571AC">
        <w:rPr>
          <w:rFonts w:ascii="Mosawi" w:hAnsi="Mosawi" w:cs="Mosawi"/>
          <w:sz w:val="22"/>
          <w:szCs w:val="22"/>
          <w:rtl/>
        </w:rPr>
        <w:t>|</w:t>
      </w:r>
      <w:r w:rsidR="00C37790" w:rsidRPr="006571AC">
        <w:rPr>
          <w:sz w:val="27"/>
          <w:rtl/>
        </w:rPr>
        <w:t xml:space="preserve"> بيّ</w:t>
      </w:r>
      <w:r w:rsidRPr="006571AC">
        <w:rPr>
          <w:rFonts w:hint="cs"/>
          <w:sz w:val="27"/>
          <w:rtl/>
        </w:rPr>
        <w:t>َ</w:t>
      </w:r>
      <w:r w:rsidR="00C37790" w:rsidRPr="006571AC">
        <w:rPr>
          <w:sz w:val="27"/>
          <w:rtl/>
        </w:rPr>
        <w:t>ن جميع ما يحتاجه أبناء جيله والأجيال اللاحقة، إلى يوم القيامة</w:t>
      </w:r>
      <w:r w:rsidR="00C37790" w:rsidRPr="006571AC">
        <w:rPr>
          <w:sz w:val="27"/>
          <w:vertAlign w:val="superscript"/>
          <w:rtl/>
        </w:rPr>
        <w:t>(</w:t>
      </w:r>
      <w:r w:rsidR="00C37790" w:rsidRPr="006571AC">
        <w:rPr>
          <w:rStyle w:val="ac"/>
          <w:sz w:val="27"/>
          <w:rtl/>
        </w:rPr>
        <w:endnoteReference w:id="86"/>
      </w:r>
      <w:r w:rsidR="00C37790" w:rsidRPr="006571AC">
        <w:rPr>
          <w:sz w:val="27"/>
          <w:vertAlign w:val="superscript"/>
          <w:rtl/>
        </w:rPr>
        <w:t>)</w:t>
      </w:r>
      <w:r w:rsidR="00C37790" w:rsidRPr="006571AC">
        <w:rPr>
          <w:sz w:val="27"/>
          <w:rtl/>
        </w:rPr>
        <w:t xml:space="preserve">. </w:t>
      </w:r>
      <w:r w:rsidRPr="006571AC">
        <w:rPr>
          <w:sz w:val="27"/>
          <w:rtl/>
        </w:rPr>
        <w:t>وهذ</w:t>
      </w:r>
      <w:r w:rsidRPr="006571AC">
        <w:rPr>
          <w:rFonts w:hint="cs"/>
          <w:sz w:val="27"/>
          <w:rtl/>
        </w:rPr>
        <w:t>ا ي</w:t>
      </w:r>
      <w:r w:rsidR="00C37790" w:rsidRPr="006571AC">
        <w:rPr>
          <w:rFonts w:hint="cs"/>
          <w:sz w:val="27"/>
          <w:rtl/>
        </w:rPr>
        <w:t>دلّ</w:t>
      </w:r>
      <w:r w:rsidR="00C37790" w:rsidRPr="006571AC">
        <w:rPr>
          <w:sz w:val="27"/>
          <w:rtl/>
        </w:rPr>
        <w:t xml:space="preserve"> </w:t>
      </w:r>
      <w:r w:rsidR="00C37790" w:rsidRPr="006571AC">
        <w:rPr>
          <w:rFonts w:hint="cs"/>
          <w:sz w:val="27"/>
          <w:rtl/>
        </w:rPr>
        <w:t>على</w:t>
      </w:r>
      <w:r w:rsidR="00C37790" w:rsidRPr="006571AC">
        <w:rPr>
          <w:sz w:val="27"/>
          <w:rtl/>
        </w:rPr>
        <w:t xml:space="preserve"> </w:t>
      </w:r>
      <w:r w:rsidR="00C37790" w:rsidRPr="006571AC">
        <w:rPr>
          <w:rFonts w:hint="cs"/>
          <w:sz w:val="27"/>
          <w:rtl/>
        </w:rPr>
        <w:t>أنّ</w:t>
      </w:r>
      <w:r w:rsidR="00C37790" w:rsidRPr="006571AC">
        <w:rPr>
          <w:sz w:val="27"/>
          <w:rtl/>
        </w:rPr>
        <w:t xml:space="preserve"> </w:t>
      </w:r>
      <w:r w:rsidR="00C37790" w:rsidRPr="006571AC">
        <w:rPr>
          <w:rFonts w:hint="cs"/>
          <w:sz w:val="27"/>
          <w:rtl/>
        </w:rPr>
        <w:t>الشارع</w:t>
      </w:r>
      <w:r w:rsidR="00C37790" w:rsidRPr="006571AC">
        <w:rPr>
          <w:sz w:val="27"/>
          <w:rtl/>
        </w:rPr>
        <w:t xml:space="preserve"> </w:t>
      </w:r>
      <w:r w:rsidR="00C37790" w:rsidRPr="006571AC">
        <w:rPr>
          <w:rFonts w:hint="cs"/>
          <w:sz w:val="27"/>
          <w:rtl/>
        </w:rPr>
        <w:t>الإسلامي</w:t>
      </w:r>
      <w:r w:rsidR="00C37790" w:rsidRPr="006571AC">
        <w:rPr>
          <w:sz w:val="27"/>
          <w:rtl/>
        </w:rPr>
        <w:t xml:space="preserve"> </w:t>
      </w:r>
      <w:r w:rsidR="00C37790" w:rsidRPr="006571AC">
        <w:rPr>
          <w:rFonts w:hint="cs"/>
          <w:sz w:val="27"/>
          <w:rtl/>
        </w:rPr>
        <w:t>المقدّس</w:t>
      </w:r>
      <w:r w:rsidR="00C37790" w:rsidRPr="006571AC">
        <w:rPr>
          <w:sz w:val="27"/>
          <w:rtl/>
        </w:rPr>
        <w:t xml:space="preserve"> </w:t>
      </w:r>
      <w:r w:rsidR="00C37790" w:rsidRPr="006571AC">
        <w:rPr>
          <w:rFonts w:hint="cs"/>
          <w:sz w:val="27"/>
          <w:rtl/>
        </w:rPr>
        <w:t>قد</w:t>
      </w:r>
      <w:r w:rsidR="00C37790" w:rsidRPr="006571AC">
        <w:rPr>
          <w:sz w:val="27"/>
          <w:rtl/>
        </w:rPr>
        <w:t xml:space="preserve"> </w:t>
      </w:r>
      <w:r w:rsidR="00C37790" w:rsidRPr="006571AC">
        <w:rPr>
          <w:rFonts w:hint="cs"/>
          <w:sz w:val="27"/>
          <w:rtl/>
        </w:rPr>
        <w:t>قال</w:t>
      </w:r>
      <w:r w:rsidR="00C37790" w:rsidRPr="006571AC">
        <w:rPr>
          <w:sz w:val="27"/>
          <w:rtl/>
        </w:rPr>
        <w:t xml:space="preserve"> </w:t>
      </w:r>
      <w:r w:rsidR="00C37790" w:rsidRPr="006571AC">
        <w:rPr>
          <w:rFonts w:hint="cs"/>
          <w:sz w:val="27"/>
          <w:rtl/>
        </w:rPr>
        <w:t>كلّ</w:t>
      </w:r>
      <w:r w:rsidRPr="006571AC">
        <w:rPr>
          <w:rFonts w:hint="cs"/>
          <w:sz w:val="27"/>
          <w:rtl/>
        </w:rPr>
        <w:t>َ</w:t>
      </w:r>
      <w:r w:rsidR="00C37790" w:rsidRPr="006571AC">
        <w:rPr>
          <w:sz w:val="27"/>
          <w:rtl/>
        </w:rPr>
        <w:t xml:space="preserve"> </w:t>
      </w:r>
      <w:r w:rsidR="00C37790" w:rsidRPr="006571AC">
        <w:rPr>
          <w:rFonts w:hint="cs"/>
          <w:sz w:val="27"/>
          <w:rtl/>
        </w:rPr>
        <w:t>ما</w:t>
      </w:r>
      <w:r w:rsidR="00C37790" w:rsidRPr="006571AC">
        <w:rPr>
          <w:sz w:val="27"/>
          <w:rtl/>
        </w:rPr>
        <w:t xml:space="preserve"> </w:t>
      </w:r>
      <w:r w:rsidR="00C37790" w:rsidRPr="006571AC">
        <w:rPr>
          <w:rFonts w:hint="cs"/>
          <w:sz w:val="27"/>
          <w:rtl/>
        </w:rPr>
        <w:t>ينبغي</w:t>
      </w:r>
      <w:r w:rsidR="00C37790" w:rsidRPr="006571AC">
        <w:rPr>
          <w:sz w:val="27"/>
          <w:rtl/>
        </w:rPr>
        <w:t xml:space="preserve"> </w:t>
      </w:r>
      <w:r w:rsidR="00C37790" w:rsidRPr="006571AC">
        <w:rPr>
          <w:rFonts w:hint="cs"/>
          <w:sz w:val="27"/>
          <w:rtl/>
        </w:rPr>
        <w:t>قوله</w:t>
      </w:r>
      <w:r w:rsidR="00C37790" w:rsidRPr="006571AC">
        <w:rPr>
          <w:sz w:val="27"/>
          <w:rtl/>
        </w:rPr>
        <w:t xml:space="preserve">. </w:t>
      </w:r>
    </w:p>
    <w:p w:rsidR="00C37790" w:rsidRPr="006571AC" w:rsidRDefault="00C37790" w:rsidP="00C0404B">
      <w:pPr>
        <w:rPr>
          <w:sz w:val="27"/>
          <w:rtl/>
        </w:rPr>
      </w:pPr>
      <w:r w:rsidRPr="006571AC">
        <w:rPr>
          <w:rFonts w:hint="cs"/>
          <w:sz w:val="27"/>
          <w:rtl/>
        </w:rPr>
        <w:t>إذن، فإذا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المقدّ</w:t>
      </w:r>
      <w:r w:rsidR="00F268A9" w:rsidRPr="006571AC">
        <w:rPr>
          <w:rFonts w:hint="cs"/>
          <w:sz w:val="27"/>
          <w:rtl/>
        </w:rPr>
        <w:t>َ</w:t>
      </w:r>
      <w:r w:rsidRPr="006571AC">
        <w:rPr>
          <w:rFonts w:hint="cs"/>
          <w:sz w:val="27"/>
          <w:rtl/>
        </w:rPr>
        <w:t>س</w:t>
      </w:r>
      <w:r w:rsidRPr="006571AC">
        <w:rPr>
          <w:sz w:val="27"/>
          <w:rtl/>
        </w:rPr>
        <w:t xml:space="preserve"> </w:t>
      </w:r>
      <w:r w:rsidRPr="006571AC">
        <w:rPr>
          <w:rFonts w:hint="cs"/>
          <w:sz w:val="27"/>
          <w:rtl/>
        </w:rPr>
        <w:t>قد</w:t>
      </w:r>
      <w:r w:rsidRPr="006571AC">
        <w:rPr>
          <w:sz w:val="27"/>
          <w:rtl/>
        </w:rPr>
        <w:t xml:space="preserve"> </w:t>
      </w:r>
      <w:r w:rsidRPr="006571AC">
        <w:rPr>
          <w:rFonts w:hint="cs"/>
          <w:sz w:val="27"/>
          <w:rtl/>
        </w:rPr>
        <w:t>بيّ</w:t>
      </w:r>
      <w:r w:rsidR="00F268A9" w:rsidRPr="006571AC">
        <w:rPr>
          <w:rFonts w:hint="cs"/>
          <w:sz w:val="27"/>
          <w:rtl/>
        </w:rPr>
        <w:t>َ</w:t>
      </w:r>
      <w:r w:rsidRPr="006571AC">
        <w:rPr>
          <w:rFonts w:hint="cs"/>
          <w:sz w:val="27"/>
          <w:rtl/>
        </w:rPr>
        <w:t>ن</w:t>
      </w:r>
      <w:r w:rsidRPr="006571AC">
        <w:rPr>
          <w:sz w:val="27"/>
          <w:rtl/>
        </w:rPr>
        <w:t xml:space="preserve"> </w:t>
      </w:r>
      <w:r w:rsidRPr="006571AC">
        <w:rPr>
          <w:rFonts w:hint="cs"/>
          <w:sz w:val="27"/>
          <w:rtl/>
        </w:rPr>
        <w:t>كلّ</w:t>
      </w:r>
      <w:r w:rsidRPr="006571AC">
        <w:rPr>
          <w:sz w:val="27"/>
          <w:rtl/>
        </w:rPr>
        <w:t xml:space="preserve"> </w:t>
      </w:r>
      <w:r w:rsidRPr="006571AC">
        <w:rPr>
          <w:rFonts w:hint="cs"/>
          <w:sz w:val="27"/>
          <w:rtl/>
        </w:rPr>
        <w:t>الأحكام</w:t>
      </w:r>
      <w:r w:rsidR="00F268A9" w:rsidRPr="006571AC">
        <w:rPr>
          <w:rFonts w:hint="cs"/>
          <w:sz w:val="27"/>
          <w:rtl/>
        </w:rPr>
        <w:t>،</w:t>
      </w:r>
      <w:r w:rsidRPr="006571AC">
        <w:rPr>
          <w:sz w:val="27"/>
          <w:rtl/>
        </w:rPr>
        <w:t xml:space="preserve"> </w:t>
      </w:r>
      <w:r w:rsidRPr="006571AC">
        <w:rPr>
          <w:rFonts w:hint="cs"/>
          <w:sz w:val="27"/>
          <w:rtl/>
        </w:rPr>
        <w:t>بعناوين</w:t>
      </w:r>
      <w:r w:rsidRPr="006571AC">
        <w:rPr>
          <w:sz w:val="27"/>
          <w:rtl/>
        </w:rPr>
        <w:t xml:space="preserve"> </w:t>
      </w:r>
      <w:r w:rsidRPr="006571AC">
        <w:rPr>
          <w:rFonts w:hint="cs"/>
          <w:sz w:val="27"/>
          <w:rtl/>
        </w:rPr>
        <w:t>عا</w:t>
      </w:r>
      <w:r w:rsidRPr="006571AC">
        <w:rPr>
          <w:sz w:val="27"/>
          <w:rtl/>
        </w:rPr>
        <w:t>مّة أو خاصّة، أو حدّ</w:t>
      </w:r>
      <w:r w:rsidR="00F268A9" w:rsidRPr="006571AC">
        <w:rPr>
          <w:rFonts w:hint="cs"/>
          <w:sz w:val="27"/>
          <w:rtl/>
        </w:rPr>
        <w:t>َ</w:t>
      </w:r>
      <w:r w:rsidRPr="006571AC">
        <w:rPr>
          <w:sz w:val="27"/>
          <w:rtl/>
        </w:rPr>
        <w:t>د الوظيفة العملية تجاهها، ووج</w:t>
      </w:r>
      <w:r w:rsidR="00F268A9" w:rsidRPr="006571AC">
        <w:rPr>
          <w:rFonts w:hint="cs"/>
          <w:sz w:val="27"/>
          <w:rtl/>
        </w:rPr>
        <w:t>َ</w:t>
      </w:r>
      <w:r w:rsidRPr="006571AC">
        <w:rPr>
          <w:sz w:val="27"/>
          <w:rtl/>
        </w:rPr>
        <w:t>د</w:t>
      </w:r>
      <w:r w:rsidR="00F268A9" w:rsidRPr="006571AC">
        <w:rPr>
          <w:rFonts w:hint="cs"/>
          <w:sz w:val="27"/>
          <w:rtl/>
        </w:rPr>
        <w:t>ْ</w:t>
      </w:r>
      <w:r w:rsidRPr="006571AC">
        <w:rPr>
          <w:sz w:val="27"/>
          <w:rtl/>
        </w:rPr>
        <w:t>نا طريقة</w:t>
      </w:r>
      <w:r w:rsidR="00B10C5F" w:rsidRPr="006571AC">
        <w:rPr>
          <w:rFonts w:hint="cs"/>
          <w:sz w:val="27"/>
          <w:rtl/>
        </w:rPr>
        <w:t>ً</w:t>
      </w:r>
      <w:r w:rsidRPr="006571AC">
        <w:rPr>
          <w:sz w:val="27"/>
          <w:rtl/>
        </w:rPr>
        <w:t xml:space="preserve"> قد راج</w:t>
      </w:r>
      <w:r w:rsidR="00F268A9" w:rsidRPr="006571AC">
        <w:rPr>
          <w:rFonts w:hint="cs"/>
          <w:sz w:val="27"/>
          <w:rtl/>
        </w:rPr>
        <w:t>َ</w:t>
      </w:r>
      <w:r w:rsidRPr="006571AC">
        <w:rPr>
          <w:sz w:val="27"/>
          <w:rtl/>
        </w:rPr>
        <w:t>ت</w:t>
      </w:r>
      <w:r w:rsidR="00F268A9" w:rsidRPr="006571AC">
        <w:rPr>
          <w:rFonts w:hint="cs"/>
          <w:sz w:val="27"/>
          <w:rtl/>
        </w:rPr>
        <w:t>ْ</w:t>
      </w:r>
      <w:r w:rsidRPr="006571AC">
        <w:rPr>
          <w:sz w:val="27"/>
          <w:rtl/>
        </w:rPr>
        <w:t xml:space="preserve"> بين العقلاء في عصرنا، ولم تكن موجودة</w:t>
      </w:r>
      <w:r w:rsidR="00F268A9" w:rsidRPr="006571AC">
        <w:rPr>
          <w:rFonts w:hint="cs"/>
          <w:sz w:val="27"/>
          <w:rtl/>
        </w:rPr>
        <w:t>ً</w:t>
      </w:r>
      <w:r w:rsidRPr="006571AC">
        <w:rPr>
          <w:sz w:val="27"/>
          <w:rtl/>
        </w:rPr>
        <w:t xml:space="preserve"> في عصر المعصوم، فإنّ الفقيه يمكنه أن يستنبط الحكم بالجواز التكليفي والوضعي، إذا وصل ـ بعد التتبّ</w:t>
      </w:r>
      <w:r w:rsidR="00F268A9" w:rsidRPr="006571AC">
        <w:rPr>
          <w:rFonts w:hint="cs"/>
          <w:sz w:val="27"/>
          <w:rtl/>
        </w:rPr>
        <w:t>ُ</w:t>
      </w:r>
      <w:r w:rsidRPr="006571AC">
        <w:rPr>
          <w:sz w:val="27"/>
          <w:rtl/>
        </w:rPr>
        <w:t>ع التامّ والدقيق ـ إلى عدم انطباق نهي</w:t>
      </w:r>
      <w:r w:rsidR="00F268A9" w:rsidRPr="006571AC">
        <w:rPr>
          <w:rFonts w:hint="cs"/>
          <w:sz w:val="27"/>
          <w:rtl/>
        </w:rPr>
        <w:t>ٍ</w:t>
      </w:r>
      <w:r w:rsidRPr="006571AC">
        <w:rPr>
          <w:sz w:val="27"/>
          <w:rtl/>
        </w:rPr>
        <w:t xml:space="preserve"> عامّ أو خاصّ على هذه الطريقة، ولم يوج</w:t>
      </w:r>
      <w:r w:rsidR="00F268A9" w:rsidRPr="006571AC">
        <w:rPr>
          <w:rFonts w:hint="cs"/>
          <w:sz w:val="27"/>
          <w:rtl/>
        </w:rPr>
        <w:t>َ</w:t>
      </w:r>
      <w:r w:rsidRPr="006571AC">
        <w:rPr>
          <w:sz w:val="27"/>
          <w:rtl/>
        </w:rPr>
        <w:t>د</w:t>
      </w:r>
      <w:r w:rsidR="00F268A9" w:rsidRPr="006571AC">
        <w:rPr>
          <w:rFonts w:hint="cs"/>
          <w:sz w:val="27"/>
          <w:rtl/>
        </w:rPr>
        <w:t>ْ</w:t>
      </w:r>
      <w:r w:rsidRPr="006571AC">
        <w:rPr>
          <w:sz w:val="27"/>
          <w:rtl/>
        </w:rPr>
        <w:t xml:space="preserve"> أصل</w:t>
      </w:r>
      <w:r w:rsidR="00F268A9" w:rsidRPr="006571AC">
        <w:rPr>
          <w:rFonts w:hint="cs"/>
          <w:sz w:val="27"/>
          <w:rtl/>
        </w:rPr>
        <w:t>ٌ</w:t>
      </w:r>
      <w:r w:rsidRPr="006571AC">
        <w:rPr>
          <w:sz w:val="27"/>
          <w:rtl/>
        </w:rPr>
        <w:t xml:space="preserve"> عمليّ يقتضي عدم اعتبارها. </w:t>
      </w:r>
    </w:p>
    <w:p w:rsidR="00266070" w:rsidRPr="006571AC" w:rsidRDefault="00266070" w:rsidP="00266070">
      <w:pPr>
        <w:spacing w:line="420" w:lineRule="exact"/>
        <w:rPr>
          <w:sz w:val="27"/>
          <w:rtl/>
        </w:rPr>
      </w:pPr>
    </w:p>
    <w:p w:rsidR="00C10651" w:rsidRPr="006571AC" w:rsidRDefault="00C10651" w:rsidP="00C10651">
      <w:pPr>
        <w:pStyle w:val="31"/>
        <w:rPr>
          <w:color w:val="auto"/>
          <w:rtl/>
        </w:rPr>
      </w:pPr>
      <w:bookmarkStart w:id="48" w:name="_Toc114164537"/>
      <w:r w:rsidRPr="006571AC">
        <w:rPr>
          <w:rFonts w:hint="cs"/>
          <w:color w:val="auto"/>
          <w:rtl/>
        </w:rPr>
        <w:t>إشكالاتٌ وأجوبة</w:t>
      </w:r>
      <w:bookmarkEnd w:id="48"/>
    </w:p>
    <w:p w:rsidR="00F268A9" w:rsidRPr="006571AC" w:rsidRDefault="00C37790" w:rsidP="00C0404B">
      <w:pPr>
        <w:rPr>
          <w:sz w:val="27"/>
          <w:rtl/>
        </w:rPr>
      </w:pPr>
      <w:r w:rsidRPr="006571AC">
        <w:rPr>
          <w:b/>
          <w:bCs/>
          <w:sz w:val="27"/>
          <w:rtl/>
        </w:rPr>
        <w:t>وإذا أُشكل</w:t>
      </w:r>
      <w:r w:rsidRPr="006571AC">
        <w:rPr>
          <w:sz w:val="27"/>
          <w:rtl/>
        </w:rPr>
        <w:t xml:space="preserve"> بأنّ غاية ما يثبته هذا الدليل هو عدم الحرمة التكليفية، فكيف </w:t>
      </w:r>
      <w:r w:rsidRPr="006571AC">
        <w:rPr>
          <w:sz w:val="27"/>
          <w:rtl/>
        </w:rPr>
        <w:lastRenderedPageBreak/>
        <w:t>يتمّ إثبات عدم الحرمة الوضعية</w:t>
      </w:r>
      <w:r w:rsidR="00F268A9" w:rsidRPr="006571AC">
        <w:rPr>
          <w:rFonts w:hint="cs"/>
          <w:sz w:val="27"/>
          <w:rtl/>
        </w:rPr>
        <w:t>؟!</w:t>
      </w:r>
    </w:p>
    <w:p w:rsidR="00C37790" w:rsidRPr="006571AC" w:rsidRDefault="00C37790" w:rsidP="00C0404B">
      <w:pPr>
        <w:rPr>
          <w:sz w:val="27"/>
          <w:rtl/>
        </w:rPr>
      </w:pPr>
      <w:r w:rsidRPr="006571AC">
        <w:rPr>
          <w:b/>
          <w:bCs/>
          <w:sz w:val="27"/>
          <w:rtl/>
        </w:rPr>
        <w:t>فنقول</w:t>
      </w:r>
      <w:r w:rsidRPr="006571AC">
        <w:rPr>
          <w:sz w:val="27"/>
          <w:rtl/>
        </w:rPr>
        <w:t>: إذا كانت ظاهرة</w:t>
      </w:r>
      <w:r w:rsidR="00F268A9" w:rsidRPr="006571AC">
        <w:rPr>
          <w:rFonts w:hint="cs"/>
          <w:sz w:val="27"/>
          <w:rtl/>
        </w:rPr>
        <w:t>ٌ</w:t>
      </w:r>
      <w:r w:rsidRPr="006571AC">
        <w:rPr>
          <w:sz w:val="27"/>
          <w:rtl/>
        </w:rPr>
        <w:t xml:space="preserve"> ستوجد في المستقبل، وهي باطلة</w:t>
      </w:r>
      <w:r w:rsidR="00F268A9" w:rsidRPr="006571AC">
        <w:rPr>
          <w:rFonts w:hint="cs"/>
          <w:sz w:val="27"/>
          <w:rtl/>
        </w:rPr>
        <w:t>ٌ</w:t>
      </w:r>
      <w:r w:rsidRPr="006571AC">
        <w:rPr>
          <w:sz w:val="27"/>
          <w:rtl/>
        </w:rPr>
        <w:t xml:space="preserve"> بنظر الشارع، ف</w:t>
      </w:r>
      <w:r w:rsidR="00731867" w:rsidRPr="006571AC">
        <w:rPr>
          <w:sz w:val="27"/>
          <w:rtl/>
        </w:rPr>
        <w:t>لا بُدَّ</w:t>
      </w:r>
      <w:r w:rsidRPr="006571AC">
        <w:rPr>
          <w:sz w:val="27"/>
          <w:rtl/>
        </w:rPr>
        <w:t xml:space="preserve"> من جعل وبيان بطلانها؛ لأنّ عدم ذلك يؤدّي إلى تصوّ</w:t>
      </w:r>
      <w:r w:rsidR="00F268A9" w:rsidRPr="006571AC">
        <w:rPr>
          <w:rFonts w:hint="cs"/>
          <w:sz w:val="27"/>
          <w:rtl/>
        </w:rPr>
        <w:t>ُ</w:t>
      </w:r>
      <w:r w:rsidRPr="006571AC">
        <w:rPr>
          <w:sz w:val="27"/>
          <w:rtl/>
        </w:rPr>
        <w:t>ر صحّتها، وتصوّ</w:t>
      </w:r>
      <w:r w:rsidR="00F268A9" w:rsidRPr="006571AC">
        <w:rPr>
          <w:rFonts w:hint="cs"/>
          <w:sz w:val="27"/>
          <w:rtl/>
        </w:rPr>
        <w:t>ُ</w:t>
      </w:r>
      <w:r w:rsidRPr="006571AC">
        <w:rPr>
          <w:sz w:val="27"/>
          <w:rtl/>
        </w:rPr>
        <w:t>ر الصحّة يؤدّي إلى التصرّ</w:t>
      </w:r>
      <w:r w:rsidR="00F268A9" w:rsidRPr="006571AC">
        <w:rPr>
          <w:rFonts w:hint="cs"/>
          <w:sz w:val="27"/>
          <w:rtl/>
        </w:rPr>
        <w:t>ُ</w:t>
      </w:r>
      <w:r w:rsidRPr="006571AC">
        <w:rPr>
          <w:sz w:val="27"/>
          <w:rtl/>
        </w:rPr>
        <w:t>ف في الأشياء التي تنتقل إلى الإنسان بواسطة الاعتماد على تلك الطريقة العقلائية المستجدّة، مع كون هذا التصرّ</w:t>
      </w:r>
      <w:r w:rsidR="008F53E1" w:rsidRPr="006571AC">
        <w:rPr>
          <w:rFonts w:hint="cs"/>
          <w:sz w:val="27"/>
          <w:rtl/>
        </w:rPr>
        <w:t>ُ</w:t>
      </w:r>
      <w:r w:rsidRPr="006571AC">
        <w:rPr>
          <w:sz w:val="27"/>
          <w:rtl/>
        </w:rPr>
        <w:t>ف غير جائز</w:t>
      </w:r>
      <w:r w:rsidR="008F53E1" w:rsidRPr="006571AC">
        <w:rPr>
          <w:rFonts w:hint="cs"/>
          <w:sz w:val="27"/>
          <w:rtl/>
        </w:rPr>
        <w:t>ٍ</w:t>
      </w:r>
      <w:r w:rsidRPr="006571AC">
        <w:rPr>
          <w:sz w:val="27"/>
          <w:rtl/>
        </w:rPr>
        <w:t xml:space="preserve"> شرعاً. إذن</w:t>
      </w:r>
      <w:r w:rsidR="008F53E1" w:rsidRPr="006571AC">
        <w:rPr>
          <w:rFonts w:hint="cs"/>
          <w:sz w:val="27"/>
          <w:rtl/>
        </w:rPr>
        <w:t>،</w:t>
      </w:r>
      <w:r w:rsidRPr="006571AC">
        <w:rPr>
          <w:sz w:val="27"/>
          <w:rtl/>
        </w:rPr>
        <w:t xml:space="preserve"> فحيث ينتهي البطلان الوضعي إلى ارتكاب الحرمة التكل</w:t>
      </w:r>
      <w:r w:rsidR="008F53E1" w:rsidRPr="006571AC">
        <w:rPr>
          <w:rFonts w:hint="cs"/>
          <w:sz w:val="27"/>
          <w:rtl/>
        </w:rPr>
        <w:t>ي</w:t>
      </w:r>
      <w:r w:rsidRPr="006571AC">
        <w:rPr>
          <w:sz w:val="27"/>
          <w:rtl/>
        </w:rPr>
        <w:t xml:space="preserve">فية يمكننا أيضاً استنتاج الصحّة الوضعية. </w:t>
      </w:r>
    </w:p>
    <w:p w:rsidR="008F53E1" w:rsidRPr="006571AC" w:rsidRDefault="00C37790" w:rsidP="00C0404B">
      <w:pPr>
        <w:rPr>
          <w:sz w:val="27"/>
          <w:rtl/>
        </w:rPr>
      </w:pPr>
      <w:r w:rsidRPr="006571AC">
        <w:rPr>
          <w:sz w:val="27"/>
          <w:rtl/>
        </w:rPr>
        <w:t>وإذا تمّ الإشكال على الأدلّة السابقة بأنّه يحتمل أن يكون المعصومون</w:t>
      </w:r>
      <w:r w:rsidR="002A2C90" w:rsidRPr="006571AC">
        <w:rPr>
          <w:rFonts w:ascii="Mosawi" w:hAnsi="Mosawi" w:cs="Mosawi"/>
          <w:sz w:val="22"/>
          <w:szCs w:val="22"/>
          <w:rtl/>
        </w:rPr>
        <w:t>^</w:t>
      </w:r>
      <w:r w:rsidRPr="006571AC">
        <w:rPr>
          <w:sz w:val="27"/>
          <w:rtl/>
        </w:rPr>
        <w:t xml:space="preserve"> قد بيّ</w:t>
      </w:r>
      <w:r w:rsidR="008F53E1" w:rsidRPr="006571AC">
        <w:rPr>
          <w:rFonts w:hint="cs"/>
          <w:sz w:val="27"/>
          <w:rtl/>
        </w:rPr>
        <w:t>َ</w:t>
      </w:r>
      <w:r w:rsidRPr="006571AC">
        <w:rPr>
          <w:sz w:val="27"/>
          <w:rtl/>
        </w:rPr>
        <w:t>نوا مطلباً [يفهم من هذا المطلب عدم حجّية هذه الطريقة العقلائي</w:t>
      </w:r>
      <w:r w:rsidR="008F53E1" w:rsidRPr="006571AC">
        <w:rPr>
          <w:rFonts w:hint="cs"/>
          <w:sz w:val="27"/>
          <w:rtl/>
        </w:rPr>
        <w:t>ّ</w:t>
      </w:r>
      <w:r w:rsidRPr="006571AC">
        <w:rPr>
          <w:sz w:val="27"/>
          <w:rtl/>
        </w:rPr>
        <w:t>ة] لكنّه لم يص</w:t>
      </w:r>
      <w:r w:rsidR="008F53E1" w:rsidRPr="006571AC">
        <w:rPr>
          <w:rFonts w:hint="cs"/>
          <w:sz w:val="27"/>
          <w:rtl/>
        </w:rPr>
        <w:t>ِ</w:t>
      </w:r>
      <w:r w:rsidRPr="006571AC">
        <w:rPr>
          <w:sz w:val="27"/>
          <w:rtl/>
        </w:rPr>
        <w:t>ل</w:t>
      </w:r>
      <w:r w:rsidR="008F53E1" w:rsidRPr="006571AC">
        <w:rPr>
          <w:rFonts w:hint="cs"/>
          <w:sz w:val="27"/>
          <w:rtl/>
        </w:rPr>
        <w:t>ْ</w:t>
      </w:r>
      <w:r w:rsidRPr="006571AC">
        <w:rPr>
          <w:sz w:val="27"/>
          <w:rtl/>
        </w:rPr>
        <w:t xml:space="preserve"> إلى الأجيال اللاحقة أو الحاضرة، فلذلك لا يمكن أن ننتقل من عدم الوجدان إلى عدم الوجود، ومجرّد احتمال عدم الحجّية كاف</w:t>
      </w:r>
      <w:r w:rsidR="008F53E1" w:rsidRPr="006571AC">
        <w:rPr>
          <w:rFonts w:hint="cs"/>
          <w:sz w:val="27"/>
          <w:rtl/>
        </w:rPr>
        <w:t>ٍ</w:t>
      </w:r>
      <w:r w:rsidRPr="006571AC">
        <w:rPr>
          <w:sz w:val="27"/>
          <w:rtl/>
        </w:rPr>
        <w:t xml:space="preserve"> هنا؛ لأنّ الحجّية تحتاج إلى دليل</w:t>
      </w:r>
      <w:r w:rsidR="008F53E1" w:rsidRPr="006571AC">
        <w:rPr>
          <w:rFonts w:hint="cs"/>
          <w:sz w:val="27"/>
          <w:rtl/>
        </w:rPr>
        <w:t>ٍ</w:t>
      </w:r>
      <w:r w:rsidRPr="006571AC">
        <w:rPr>
          <w:sz w:val="27"/>
          <w:rtl/>
        </w:rPr>
        <w:t xml:space="preserve"> معتبر.</w:t>
      </w:r>
    </w:p>
    <w:p w:rsidR="00C37790" w:rsidRPr="006571AC" w:rsidRDefault="00C37790" w:rsidP="00C0404B">
      <w:pPr>
        <w:rPr>
          <w:sz w:val="27"/>
          <w:rtl/>
        </w:rPr>
      </w:pPr>
      <w:r w:rsidRPr="006571AC">
        <w:rPr>
          <w:b/>
          <w:bCs/>
          <w:sz w:val="27"/>
          <w:rtl/>
        </w:rPr>
        <w:t>نقول في الجواب</w:t>
      </w:r>
      <w:r w:rsidRPr="006571AC">
        <w:rPr>
          <w:sz w:val="27"/>
          <w:rtl/>
        </w:rPr>
        <w:t xml:space="preserve">: </w:t>
      </w:r>
    </w:p>
    <w:p w:rsidR="00C37790" w:rsidRPr="006571AC" w:rsidRDefault="00C37790" w:rsidP="00C0404B">
      <w:pPr>
        <w:rPr>
          <w:sz w:val="27"/>
          <w:rtl/>
        </w:rPr>
      </w:pPr>
      <w:r w:rsidRPr="006571AC">
        <w:rPr>
          <w:b/>
          <w:bCs/>
          <w:sz w:val="27"/>
          <w:rtl/>
        </w:rPr>
        <w:t>أوّلاً</w:t>
      </w:r>
      <w:r w:rsidRPr="006571AC">
        <w:rPr>
          <w:sz w:val="27"/>
          <w:rtl/>
        </w:rPr>
        <w:t>: إنّ هذا الأمر لا يُحتمل بالنسبة إلى دين</w:t>
      </w:r>
      <w:r w:rsidR="008F53E1" w:rsidRPr="006571AC">
        <w:rPr>
          <w:rFonts w:hint="cs"/>
          <w:sz w:val="27"/>
          <w:rtl/>
        </w:rPr>
        <w:t>ٍ</w:t>
      </w:r>
      <w:r w:rsidRPr="006571AC">
        <w:rPr>
          <w:sz w:val="27"/>
          <w:rtl/>
        </w:rPr>
        <w:t xml:space="preserve"> متكفّ</w:t>
      </w:r>
      <w:r w:rsidR="008F53E1" w:rsidRPr="006571AC">
        <w:rPr>
          <w:rFonts w:hint="cs"/>
          <w:sz w:val="27"/>
          <w:rtl/>
        </w:rPr>
        <w:t>ِ</w:t>
      </w:r>
      <w:r w:rsidRPr="006571AC">
        <w:rPr>
          <w:sz w:val="27"/>
          <w:rtl/>
        </w:rPr>
        <w:t>ل</w:t>
      </w:r>
      <w:r w:rsidR="008F53E1" w:rsidRPr="006571AC">
        <w:rPr>
          <w:rFonts w:hint="cs"/>
          <w:sz w:val="27"/>
          <w:rtl/>
        </w:rPr>
        <w:t>ٍ</w:t>
      </w:r>
      <w:r w:rsidRPr="006571AC">
        <w:rPr>
          <w:sz w:val="27"/>
          <w:rtl/>
        </w:rPr>
        <w:t xml:space="preserve"> بهداية البشر في كلّ العالَم، وإلى يوم القيامة، كما ذكر ذلك بعض المتكلّ</w:t>
      </w:r>
      <w:r w:rsidR="008F53E1" w:rsidRPr="006571AC">
        <w:rPr>
          <w:rFonts w:hint="cs"/>
          <w:sz w:val="27"/>
          <w:rtl/>
        </w:rPr>
        <w:t>ِ</w:t>
      </w:r>
      <w:r w:rsidRPr="006571AC">
        <w:rPr>
          <w:sz w:val="27"/>
          <w:rtl/>
        </w:rPr>
        <w:t>مين والفقهاء</w:t>
      </w:r>
      <w:r w:rsidRPr="006571AC">
        <w:rPr>
          <w:sz w:val="27"/>
          <w:vertAlign w:val="superscript"/>
          <w:rtl/>
        </w:rPr>
        <w:t>(</w:t>
      </w:r>
      <w:r w:rsidRPr="006571AC">
        <w:rPr>
          <w:rStyle w:val="ac"/>
          <w:sz w:val="27"/>
          <w:rtl/>
        </w:rPr>
        <w:endnoteReference w:id="87"/>
      </w:r>
      <w:r w:rsidRPr="006571AC">
        <w:rPr>
          <w:sz w:val="27"/>
          <w:vertAlign w:val="superscript"/>
          <w:rtl/>
        </w:rPr>
        <w:t>)</w:t>
      </w:r>
      <w:r w:rsidR="008F53E1" w:rsidRPr="006571AC">
        <w:rPr>
          <w:rFonts w:hint="cs"/>
          <w:sz w:val="27"/>
          <w:rtl/>
        </w:rPr>
        <w:t xml:space="preserve">، </w:t>
      </w:r>
      <w:r w:rsidRPr="006571AC">
        <w:rPr>
          <w:sz w:val="27"/>
          <w:rtl/>
        </w:rPr>
        <w:t>ومن هنا فإنّ الرسول الأكرم</w:t>
      </w:r>
      <w:r w:rsidR="002A2C90" w:rsidRPr="006571AC">
        <w:rPr>
          <w:rFonts w:ascii="Mosawi" w:hAnsi="Mosawi" w:cs="Mosawi"/>
          <w:sz w:val="22"/>
          <w:szCs w:val="22"/>
          <w:rtl/>
        </w:rPr>
        <w:t>|</w:t>
      </w:r>
      <w:r w:rsidRPr="006571AC">
        <w:rPr>
          <w:sz w:val="27"/>
          <w:rtl/>
        </w:rPr>
        <w:t xml:space="preserve"> وأئمّة أهل البيت</w:t>
      </w:r>
      <w:r w:rsidR="002A2C90" w:rsidRPr="006571AC">
        <w:rPr>
          <w:rFonts w:ascii="Mosawi" w:hAnsi="Mosawi" w:cs="Mosawi"/>
          <w:sz w:val="22"/>
          <w:szCs w:val="22"/>
          <w:rtl/>
        </w:rPr>
        <w:t>^</w:t>
      </w:r>
      <w:r w:rsidRPr="006571AC">
        <w:rPr>
          <w:sz w:val="27"/>
          <w:rtl/>
        </w:rPr>
        <w:t xml:space="preserve"> قد أبلغوا لكلّ الناس كلّ الأحكام والتعاليم اللازمة بصورة</w:t>
      </w:r>
      <w:r w:rsidR="008F53E1" w:rsidRPr="006571AC">
        <w:rPr>
          <w:rFonts w:hint="cs"/>
          <w:sz w:val="27"/>
          <w:rtl/>
        </w:rPr>
        <w:t>ٍ</w:t>
      </w:r>
      <w:r w:rsidRPr="006571AC">
        <w:rPr>
          <w:sz w:val="27"/>
          <w:rtl/>
        </w:rPr>
        <w:t xml:space="preserve"> عامّة</w:t>
      </w:r>
      <w:r w:rsidRPr="006571AC">
        <w:rPr>
          <w:sz w:val="27"/>
          <w:vertAlign w:val="superscript"/>
          <w:rtl/>
        </w:rPr>
        <w:t>(</w:t>
      </w:r>
      <w:r w:rsidRPr="006571AC">
        <w:rPr>
          <w:rStyle w:val="ac"/>
          <w:sz w:val="27"/>
          <w:rtl/>
        </w:rPr>
        <w:endnoteReference w:id="88"/>
      </w:r>
      <w:r w:rsidRPr="006571AC">
        <w:rPr>
          <w:sz w:val="27"/>
          <w:vertAlign w:val="superscript"/>
          <w:rtl/>
        </w:rPr>
        <w:t>)</w:t>
      </w:r>
      <w:r w:rsidR="008F53E1" w:rsidRPr="006571AC">
        <w:rPr>
          <w:rFonts w:hint="cs"/>
          <w:sz w:val="27"/>
          <w:rtl/>
        </w:rPr>
        <w:t>،</w:t>
      </w:r>
      <w:r w:rsidRPr="006571AC">
        <w:rPr>
          <w:sz w:val="27"/>
          <w:rtl/>
        </w:rPr>
        <w:t xml:space="preserve"> </w:t>
      </w:r>
      <w:r w:rsidR="008F53E1" w:rsidRPr="006571AC">
        <w:rPr>
          <w:sz w:val="27"/>
          <w:rtl/>
        </w:rPr>
        <w:t>بل قد حث</w:t>
      </w:r>
      <w:r w:rsidR="008F53E1" w:rsidRPr="006571AC">
        <w:rPr>
          <w:rFonts w:hint="cs"/>
          <w:sz w:val="27"/>
          <w:rtl/>
        </w:rPr>
        <w:t>ّ</w:t>
      </w:r>
      <w:r w:rsidR="008F53E1" w:rsidRPr="006571AC">
        <w:rPr>
          <w:sz w:val="27"/>
          <w:rtl/>
        </w:rPr>
        <w:t>وا الن</w:t>
      </w:r>
      <w:r w:rsidRPr="006571AC">
        <w:rPr>
          <w:sz w:val="27"/>
          <w:rtl/>
        </w:rPr>
        <w:t>اس على تبليغ الأحكام إلى الآخرين، بعدد</w:t>
      </w:r>
      <w:r w:rsidR="008F53E1" w:rsidRPr="006571AC">
        <w:rPr>
          <w:rFonts w:hint="cs"/>
          <w:sz w:val="27"/>
          <w:rtl/>
        </w:rPr>
        <w:t>ٍ</w:t>
      </w:r>
      <w:r w:rsidRPr="006571AC">
        <w:rPr>
          <w:sz w:val="27"/>
          <w:rtl/>
        </w:rPr>
        <w:t xml:space="preserve"> من الأساليب</w:t>
      </w:r>
      <w:r w:rsidR="008F53E1" w:rsidRPr="006571AC">
        <w:rPr>
          <w:rFonts w:hint="cs"/>
          <w:sz w:val="27"/>
          <w:rtl/>
        </w:rPr>
        <w:t>،</w:t>
      </w:r>
      <w:r w:rsidRPr="006571AC">
        <w:rPr>
          <w:sz w:val="27"/>
          <w:rtl/>
        </w:rPr>
        <w:t xml:space="preserve"> كإيصال كلمات النبيّ</w:t>
      </w:r>
      <w:r w:rsidR="002A2C90" w:rsidRPr="006571AC">
        <w:rPr>
          <w:rFonts w:ascii="Mosawi" w:hAnsi="Mosawi" w:cs="Mosawi"/>
          <w:sz w:val="22"/>
          <w:szCs w:val="22"/>
          <w:rtl/>
        </w:rPr>
        <w:t>|</w:t>
      </w:r>
      <w:r w:rsidRPr="006571AC">
        <w:rPr>
          <w:sz w:val="27"/>
          <w:rtl/>
        </w:rPr>
        <w:t xml:space="preserve"> وأهل بيته</w:t>
      </w:r>
      <w:r w:rsidR="008F53E1" w:rsidRPr="006571AC">
        <w:rPr>
          <w:rFonts w:ascii="Mosawi" w:hAnsi="Mosawi" w:cs="Mosawi"/>
          <w:sz w:val="22"/>
          <w:szCs w:val="22"/>
          <w:rtl/>
        </w:rPr>
        <w:t>^</w:t>
      </w:r>
      <w:r w:rsidRPr="006571AC">
        <w:rPr>
          <w:sz w:val="27"/>
          <w:rtl/>
        </w:rPr>
        <w:t xml:space="preserve"> إلى الجميع</w:t>
      </w:r>
      <w:r w:rsidRPr="006571AC">
        <w:rPr>
          <w:sz w:val="27"/>
          <w:vertAlign w:val="superscript"/>
          <w:rtl/>
        </w:rPr>
        <w:t>(</w:t>
      </w:r>
      <w:r w:rsidRPr="006571AC">
        <w:rPr>
          <w:rStyle w:val="ac"/>
          <w:sz w:val="27"/>
          <w:rtl/>
        </w:rPr>
        <w:endnoteReference w:id="89"/>
      </w:r>
      <w:r w:rsidRPr="006571AC">
        <w:rPr>
          <w:sz w:val="27"/>
          <w:vertAlign w:val="superscript"/>
          <w:rtl/>
        </w:rPr>
        <w:t>)</w:t>
      </w:r>
      <w:r w:rsidRPr="006571AC">
        <w:rPr>
          <w:sz w:val="27"/>
          <w:rtl/>
        </w:rPr>
        <w:t xml:space="preserve">. </w:t>
      </w:r>
    </w:p>
    <w:p w:rsidR="00657D34" w:rsidRPr="006571AC" w:rsidRDefault="00C37790" w:rsidP="00C0404B">
      <w:pPr>
        <w:rPr>
          <w:sz w:val="27"/>
          <w:rtl/>
        </w:rPr>
      </w:pPr>
      <w:r w:rsidRPr="006571AC">
        <w:rPr>
          <w:b/>
          <w:bCs/>
          <w:sz w:val="27"/>
          <w:rtl/>
        </w:rPr>
        <w:t>ثانياً</w:t>
      </w:r>
      <w:r w:rsidRPr="006571AC">
        <w:rPr>
          <w:sz w:val="27"/>
          <w:rtl/>
        </w:rPr>
        <w:t>: ولو احتمل أحد</w:t>
      </w:r>
      <w:r w:rsidR="008F53E1" w:rsidRPr="006571AC">
        <w:rPr>
          <w:rFonts w:hint="cs"/>
          <w:sz w:val="27"/>
          <w:rtl/>
        </w:rPr>
        <w:t>ٌ</w:t>
      </w:r>
      <w:r w:rsidRPr="006571AC">
        <w:rPr>
          <w:sz w:val="27"/>
          <w:rtl/>
        </w:rPr>
        <w:t xml:space="preserve"> أنّ المعصوم</w:t>
      </w:r>
      <w:r w:rsidR="008F53E1" w:rsidRPr="006571AC">
        <w:rPr>
          <w:rFonts w:ascii="Mosawi" w:hAnsi="Mosawi" w:cs="Mosawi"/>
          <w:sz w:val="22"/>
          <w:szCs w:val="22"/>
          <w:rtl/>
        </w:rPr>
        <w:t>×</w:t>
      </w:r>
      <w:r w:rsidRPr="006571AC">
        <w:rPr>
          <w:sz w:val="27"/>
          <w:rtl/>
        </w:rPr>
        <w:t xml:space="preserve"> بيّ</w:t>
      </w:r>
      <w:r w:rsidR="008F53E1" w:rsidRPr="006571AC">
        <w:rPr>
          <w:rFonts w:hint="cs"/>
          <w:sz w:val="27"/>
          <w:rtl/>
        </w:rPr>
        <w:t>َ</w:t>
      </w:r>
      <w:r w:rsidRPr="006571AC">
        <w:rPr>
          <w:sz w:val="27"/>
          <w:rtl/>
        </w:rPr>
        <w:t>ن، لكن</w:t>
      </w:r>
      <w:r w:rsidR="008F53E1" w:rsidRPr="006571AC">
        <w:rPr>
          <w:rFonts w:hint="cs"/>
          <w:sz w:val="27"/>
          <w:rtl/>
        </w:rPr>
        <w:t>ْ</w:t>
      </w:r>
      <w:r w:rsidRPr="006571AC">
        <w:rPr>
          <w:sz w:val="27"/>
          <w:rtl/>
        </w:rPr>
        <w:t xml:space="preserve"> لم يص</w:t>
      </w:r>
      <w:r w:rsidR="008F53E1" w:rsidRPr="006571AC">
        <w:rPr>
          <w:rFonts w:hint="cs"/>
          <w:sz w:val="27"/>
          <w:rtl/>
        </w:rPr>
        <w:t>ِ</w:t>
      </w:r>
      <w:r w:rsidRPr="006571AC">
        <w:rPr>
          <w:sz w:val="27"/>
          <w:rtl/>
        </w:rPr>
        <w:t>ل</w:t>
      </w:r>
      <w:r w:rsidR="008F53E1" w:rsidRPr="006571AC">
        <w:rPr>
          <w:rFonts w:hint="cs"/>
          <w:sz w:val="27"/>
          <w:rtl/>
        </w:rPr>
        <w:t>ْ</w:t>
      </w:r>
      <w:r w:rsidRPr="006571AC">
        <w:rPr>
          <w:sz w:val="27"/>
          <w:rtl/>
        </w:rPr>
        <w:t xml:space="preserve"> بيانه إلينا، فيرتفع بأدلّة البراءة تنجيز ذلك الحكم؛ فلو نهى الشارع واقعاً عن السيرة</w:t>
      </w:r>
      <w:r w:rsidR="00953E70" w:rsidRPr="006571AC">
        <w:rPr>
          <w:rFonts w:hint="cs"/>
          <w:sz w:val="27"/>
          <w:rtl/>
        </w:rPr>
        <w:t xml:space="preserve">، </w:t>
      </w:r>
      <w:r w:rsidRPr="006571AC">
        <w:rPr>
          <w:sz w:val="27"/>
          <w:rtl/>
        </w:rPr>
        <w:t>ونفى اعتبارها، فما</w:t>
      </w:r>
      <w:r w:rsidR="00953E70" w:rsidRPr="006571AC">
        <w:rPr>
          <w:rFonts w:hint="cs"/>
          <w:sz w:val="27"/>
          <w:rtl/>
        </w:rPr>
        <w:t xml:space="preserve"> </w:t>
      </w:r>
      <w:r w:rsidRPr="006571AC">
        <w:rPr>
          <w:sz w:val="27"/>
          <w:rtl/>
        </w:rPr>
        <w:t>دام بيانه غير واصل</w:t>
      </w:r>
      <w:r w:rsidR="00953E70" w:rsidRPr="006571AC">
        <w:rPr>
          <w:rFonts w:hint="cs"/>
          <w:sz w:val="27"/>
          <w:rtl/>
        </w:rPr>
        <w:t>ٍ</w:t>
      </w:r>
      <w:r w:rsidRPr="006571AC">
        <w:rPr>
          <w:sz w:val="27"/>
          <w:rtl/>
        </w:rPr>
        <w:t xml:space="preserve"> فإنّ البراءة جارية</w:t>
      </w:r>
      <w:r w:rsidR="00953E70" w:rsidRPr="006571AC">
        <w:rPr>
          <w:rFonts w:hint="cs"/>
          <w:sz w:val="27"/>
          <w:rtl/>
        </w:rPr>
        <w:t>ٌ</w:t>
      </w:r>
      <w:r w:rsidRPr="006571AC">
        <w:rPr>
          <w:sz w:val="27"/>
          <w:rtl/>
        </w:rPr>
        <w:t xml:space="preserve"> هنا. </w:t>
      </w:r>
      <w:r w:rsidR="00953E70" w:rsidRPr="006571AC">
        <w:rPr>
          <w:rFonts w:hint="cs"/>
          <w:sz w:val="27"/>
          <w:rtl/>
        </w:rPr>
        <w:t>ومضافاً إ</w:t>
      </w:r>
      <w:r w:rsidRPr="006571AC">
        <w:rPr>
          <w:sz w:val="27"/>
          <w:rtl/>
        </w:rPr>
        <w:t>لى ذلك فإنّ أدلّة البراءة تشمل الأحكام الوضعي</w:t>
      </w:r>
      <w:r w:rsidR="00953E70" w:rsidRPr="006571AC">
        <w:rPr>
          <w:rFonts w:hint="cs"/>
          <w:sz w:val="27"/>
          <w:rtl/>
        </w:rPr>
        <w:t>ّ</w:t>
      </w:r>
      <w:r w:rsidRPr="006571AC">
        <w:rPr>
          <w:sz w:val="27"/>
          <w:rtl/>
        </w:rPr>
        <w:t>ة كما تشمل الأحكام التكليفية</w:t>
      </w:r>
      <w:r w:rsidRPr="006571AC">
        <w:rPr>
          <w:sz w:val="27"/>
          <w:vertAlign w:val="superscript"/>
          <w:rtl/>
        </w:rPr>
        <w:t>(</w:t>
      </w:r>
      <w:r w:rsidRPr="006571AC">
        <w:rPr>
          <w:rStyle w:val="ac"/>
          <w:sz w:val="27"/>
          <w:rtl/>
        </w:rPr>
        <w:endnoteReference w:id="90"/>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b/>
          <w:bCs/>
          <w:sz w:val="27"/>
          <w:rtl/>
        </w:rPr>
        <w:t>ويمكن أن ي</w:t>
      </w:r>
      <w:r w:rsidR="00953E70" w:rsidRPr="006571AC">
        <w:rPr>
          <w:rFonts w:hint="cs"/>
          <w:b/>
          <w:bCs/>
          <w:sz w:val="27"/>
          <w:rtl/>
        </w:rPr>
        <w:t>ُ</w:t>
      </w:r>
      <w:r w:rsidRPr="006571AC">
        <w:rPr>
          <w:b/>
          <w:bCs/>
          <w:sz w:val="27"/>
          <w:rtl/>
        </w:rPr>
        <w:t>قال</w:t>
      </w:r>
      <w:r w:rsidR="00953E70" w:rsidRPr="006571AC">
        <w:rPr>
          <w:rFonts w:hint="cs"/>
          <w:sz w:val="27"/>
          <w:rtl/>
        </w:rPr>
        <w:t>:</w:t>
      </w:r>
      <w:r w:rsidRPr="006571AC">
        <w:rPr>
          <w:sz w:val="27"/>
          <w:rtl/>
        </w:rPr>
        <w:t xml:space="preserve"> ليس المراد بيان النبيّ</w:t>
      </w:r>
      <w:r w:rsidR="002A2C90" w:rsidRPr="006571AC">
        <w:rPr>
          <w:rFonts w:ascii="Mosawi" w:hAnsi="Mosawi" w:cs="Mosawi"/>
          <w:sz w:val="22"/>
          <w:szCs w:val="22"/>
          <w:rtl/>
        </w:rPr>
        <w:t>|</w:t>
      </w:r>
      <w:r w:rsidRPr="006571AC">
        <w:rPr>
          <w:sz w:val="27"/>
          <w:rtl/>
        </w:rPr>
        <w:t xml:space="preserve"> جميع الأفعال المؤدّية إلى السعادة أو الشقاء لكلّ الناس، بل بعضها قد ذكره للإمام عليّ</w:t>
      </w:r>
      <w:r w:rsidR="00953E70" w:rsidRPr="006571AC">
        <w:rPr>
          <w:rFonts w:ascii="Mosawi" w:hAnsi="Mosawi" w:cs="Mosawi"/>
          <w:sz w:val="22"/>
          <w:szCs w:val="22"/>
          <w:rtl/>
        </w:rPr>
        <w:t>×</w:t>
      </w:r>
      <w:r w:rsidRPr="006571AC">
        <w:rPr>
          <w:sz w:val="27"/>
          <w:rtl/>
        </w:rPr>
        <w:t>، حتّى يبيّ</w:t>
      </w:r>
      <w:r w:rsidR="00953E70" w:rsidRPr="006571AC">
        <w:rPr>
          <w:rFonts w:hint="cs"/>
          <w:sz w:val="27"/>
          <w:rtl/>
        </w:rPr>
        <w:t>ِ</w:t>
      </w:r>
      <w:r w:rsidR="00953E70" w:rsidRPr="006571AC">
        <w:rPr>
          <w:sz w:val="27"/>
          <w:rtl/>
        </w:rPr>
        <w:t>نه للن</w:t>
      </w:r>
      <w:r w:rsidRPr="006571AC">
        <w:rPr>
          <w:sz w:val="27"/>
          <w:rtl/>
        </w:rPr>
        <w:t>اس</w:t>
      </w:r>
      <w:r w:rsidR="00953E70" w:rsidRPr="006571AC">
        <w:rPr>
          <w:rFonts w:hint="cs"/>
          <w:sz w:val="27"/>
          <w:rtl/>
        </w:rPr>
        <w:t>،</w:t>
      </w:r>
      <w:r w:rsidRPr="006571AC">
        <w:rPr>
          <w:sz w:val="27"/>
          <w:rtl/>
        </w:rPr>
        <w:t xml:space="preserve"> هو وبقيّة الأئمّة</w:t>
      </w:r>
      <w:r w:rsidR="002A2C90" w:rsidRPr="006571AC">
        <w:rPr>
          <w:rFonts w:ascii="Mosawi" w:hAnsi="Mosawi" w:cs="Mosawi"/>
          <w:sz w:val="22"/>
          <w:szCs w:val="22"/>
          <w:rtl/>
        </w:rPr>
        <w:t>^</w:t>
      </w:r>
      <w:r w:rsidRPr="006571AC">
        <w:rPr>
          <w:sz w:val="27"/>
          <w:vertAlign w:val="superscript"/>
          <w:rtl/>
        </w:rPr>
        <w:t>(</w:t>
      </w:r>
      <w:r w:rsidRPr="006571AC">
        <w:rPr>
          <w:rStyle w:val="ac"/>
          <w:sz w:val="27"/>
          <w:rtl/>
        </w:rPr>
        <w:endnoteReference w:id="91"/>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b/>
          <w:bCs/>
          <w:sz w:val="27"/>
          <w:rtl/>
        </w:rPr>
        <w:t>فنقول في الجواب</w:t>
      </w:r>
      <w:r w:rsidRPr="006571AC">
        <w:rPr>
          <w:sz w:val="27"/>
          <w:rtl/>
        </w:rPr>
        <w:t xml:space="preserve">: </w:t>
      </w:r>
    </w:p>
    <w:p w:rsidR="00C37790" w:rsidRPr="006571AC" w:rsidRDefault="00C37790" w:rsidP="00266070">
      <w:pPr>
        <w:spacing w:line="386" w:lineRule="exact"/>
        <w:rPr>
          <w:sz w:val="27"/>
          <w:rtl/>
        </w:rPr>
      </w:pPr>
      <w:r w:rsidRPr="006571AC">
        <w:rPr>
          <w:b/>
          <w:bCs/>
          <w:sz w:val="27"/>
          <w:rtl/>
        </w:rPr>
        <w:lastRenderedPageBreak/>
        <w:t>أوّلاً</w:t>
      </w:r>
      <w:r w:rsidRPr="006571AC">
        <w:rPr>
          <w:sz w:val="27"/>
          <w:rtl/>
        </w:rPr>
        <w:t>: دعوى كون النبيّ</w:t>
      </w:r>
      <w:r w:rsidR="00953E70" w:rsidRPr="006571AC">
        <w:rPr>
          <w:rFonts w:ascii="Mosawi" w:hAnsi="Mosawi" w:cs="Mosawi"/>
          <w:sz w:val="22"/>
          <w:szCs w:val="22"/>
          <w:rtl/>
        </w:rPr>
        <w:t>|</w:t>
      </w:r>
      <w:r w:rsidR="00953E70" w:rsidRPr="006571AC">
        <w:rPr>
          <w:rFonts w:hint="cs"/>
          <w:sz w:val="27"/>
          <w:rtl/>
        </w:rPr>
        <w:t xml:space="preserve"> </w:t>
      </w:r>
      <w:r w:rsidRPr="006571AC">
        <w:rPr>
          <w:sz w:val="27"/>
          <w:rtl/>
        </w:rPr>
        <w:t>ذكر بعض الأحكام لأمير المؤمنين</w:t>
      </w:r>
      <w:r w:rsidR="002A2C90" w:rsidRPr="006571AC">
        <w:rPr>
          <w:rFonts w:ascii="Mosawi" w:hAnsi="Mosawi" w:cs="Mosawi"/>
          <w:sz w:val="22"/>
          <w:szCs w:val="22"/>
          <w:rtl/>
        </w:rPr>
        <w:t>×</w:t>
      </w:r>
      <w:r w:rsidR="004459D6" w:rsidRPr="006571AC">
        <w:rPr>
          <w:sz w:val="27"/>
          <w:rtl/>
        </w:rPr>
        <w:t xml:space="preserve"> </w:t>
      </w:r>
      <w:r w:rsidRPr="006571AC">
        <w:rPr>
          <w:sz w:val="27"/>
          <w:rtl/>
        </w:rPr>
        <w:t>وحده بحاجة</w:t>
      </w:r>
      <w:r w:rsidR="00953E70" w:rsidRPr="006571AC">
        <w:rPr>
          <w:rFonts w:hint="cs"/>
          <w:sz w:val="27"/>
          <w:rtl/>
        </w:rPr>
        <w:t>ٍ</w:t>
      </w:r>
      <w:r w:rsidRPr="006571AC">
        <w:rPr>
          <w:sz w:val="27"/>
          <w:rtl/>
        </w:rPr>
        <w:t xml:space="preserve"> إلى دليل</w:t>
      </w:r>
      <w:r w:rsidR="00953E70" w:rsidRPr="006571AC">
        <w:rPr>
          <w:rFonts w:hint="cs"/>
          <w:sz w:val="27"/>
          <w:rtl/>
        </w:rPr>
        <w:t>ٍ</w:t>
      </w:r>
      <w:r w:rsidRPr="006571AC">
        <w:rPr>
          <w:sz w:val="27"/>
          <w:rtl/>
        </w:rPr>
        <w:t>، بل هو بيّ</w:t>
      </w:r>
      <w:r w:rsidR="00953E70" w:rsidRPr="006571AC">
        <w:rPr>
          <w:rFonts w:hint="cs"/>
          <w:sz w:val="27"/>
          <w:rtl/>
        </w:rPr>
        <w:t>َ</w:t>
      </w:r>
      <w:r w:rsidRPr="006571AC">
        <w:rPr>
          <w:sz w:val="27"/>
          <w:rtl/>
        </w:rPr>
        <w:t>ن</w:t>
      </w:r>
      <w:r w:rsidR="00953E70" w:rsidRPr="006571AC">
        <w:rPr>
          <w:rFonts w:hint="cs"/>
          <w:sz w:val="27"/>
          <w:rtl/>
        </w:rPr>
        <w:t>َ</w:t>
      </w:r>
      <w:r w:rsidRPr="006571AC">
        <w:rPr>
          <w:sz w:val="27"/>
          <w:rtl/>
        </w:rPr>
        <w:t xml:space="preserve"> كلّ الأحكام لجميع الناس؛ </w:t>
      </w:r>
      <w:r w:rsidR="00953E70" w:rsidRPr="006571AC">
        <w:rPr>
          <w:sz w:val="27"/>
          <w:rtl/>
        </w:rPr>
        <w:t>لأن</w:t>
      </w:r>
      <w:r w:rsidRPr="006571AC">
        <w:rPr>
          <w:sz w:val="27"/>
          <w:rtl/>
        </w:rPr>
        <w:t>ها تكاليفهم جميعاً</w:t>
      </w:r>
      <w:r w:rsidRPr="006571AC">
        <w:rPr>
          <w:sz w:val="27"/>
          <w:vertAlign w:val="superscript"/>
          <w:rtl/>
        </w:rPr>
        <w:t>(</w:t>
      </w:r>
      <w:r w:rsidRPr="006571AC">
        <w:rPr>
          <w:rStyle w:val="ac"/>
          <w:sz w:val="27"/>
          <w:rtl/>
        </w:rPr>
        <w:endnoteReference w:id="92"/>
      </w:r>
      <w:r w:rsidRPr="006571AC">
        <w:rPr>
          <w:sz w:val="27"/>
          <w:vertAlign w:val="superscript"/>
          <w:rtl/>
        </w:rPr>
        <w:t>)</w:t>
      </w:r>
      <w:r w:rsidRPr="006571AC">
        <w:rPr>
          <w:sz w:val="27"/>
          <w:rtl/>
        </w:rPr>
        <w:t xml:space="preserve">. </w:t>
      </w:r>
    </w:p>
    <w:p w:rsidR="00C37790" w:rsidRPr="006571AC" w:rsidRDefault="00C37790" w:rsidP="00B10C5F">
      <w:pPr>
        <w:spacing w:line="386" w:lineRule="exact"/>
        <w:rPr>
          <w:sz w:val="27"/>
          <w:rtl/>
        </w:rPr>
      </w:pPr>
      <w:r w:rsidRPr="006571AC">
        <w:rPr>
          <w:b/>
          <w:bCs/>
          <w:sz w:val="27"/>
          <w:rtl/>
        </w:rPr>
        <w:t>ثانياً</w:t>
      </w:r>
      <w:r w:rsidRPr="006571AC">
        <w:rPr>
          <w:sz w:val="27"/>
          <w:rtl/>
        </w:rPr>
        <w:t>: ولو سلّ</w:t>
      </w:r>
      <w:r w:rsidR="00953E70" w:rsidRPr="006571AC">
        <w:rPr>
          <w:rFonts w:hint="cs"/>
          <w:sz w:val="27"/>
          <w:rtl/>
        </w:rPr>
        <w:t>َ</w:t>
      </w:r>
      <w:r w:rsidRPr="006571AC">
        <w:rPr>
          <w:sz w:val="27"/>
          <w:rtl/>
        </w:rPr>
        <w:t>منا بهذه الدعوى فإنّ أمير المؤمنين</w:t>
      </w:r>
      <w:r w:rsidR="004459D6" w:rsidRPr="006571AC">
        <w:rPr>
          <w:sz w:val="27"/>
          <w:rtl/>
        </w:rPr>
        <w:t xml:space="preserve"> </w:t>
      </w:r>
      <w:r w:rsidRPr="006571AC">
        <w:rPr>
          <w:sz w:val="27"/>
          <w:rtl/>
        </w:rPr>
        <w:t>وبقيّة المعصومين</w:t>
      </w:r>
      <w:r w:rsidR="00953E70" w:rsidRPr="006571AC">
        <w:rPr>
          <w:rFonts w:ascii="Mosawi" w:hAnsi="Mosawi" w:cs="Mosawi"/>
          <w:sz w:val="22"/>
          <w:szCs w:val="22"/>
          <w:rtl/>
        </w:rPr>
        <w:t>^</w:t>
      </w:r>
      <w:r w:rsidR="004459D6" w:rsidRPr="006571AC">
        <w:rPr>
          <w:sz w:val="27"/>
          <w:rtl/>
        </w:rPr>
        <w:t xml:space="preserve"> </w:t>
      </w:r>
      <w:r w:rsidRPr="006571AC">
        <w:rPr>
          <w:sz w:val="27"/>
          <w:rtl/>
        </w:rPr>
        <w:t>قد بيّ</w:t>
      </w:r>
      <w:r w:rsidR="00B10C5F" w:rsidRPr="006571AC">
        <w:rPr>
          <w:rFonts w:hint="cs"/>
          <w:sz w:val="27"/>
          <w:rtl/>
        </w:rPr>
        <w:t>َ</w:t>
      </w:r>
      <w:r w:rsidRPr="006571AC">
        <w:rPr>
          <w:sz w:val="27"/>
          <w:rtl/>
        </w:rPr>
        <w:t>نوا للناس تلك الأحكام [التي ذكرها النبيّ</w:t>
      </w:r>
      <w:r w:rsidR="006C51DB" w:rsidRPr="006571AC">
        <w:rPr>
          <w:rFonts w:ascii="Mosawi" w:hAnsi="Mosawi" w:cs="Mosawi"/>
          <w:sz w:val="22"/>
          <w:szCs w:val="22"/>
          <w:rtl/>
        </w:rPr>
        <w:t>|</w:t>
      </w:r>
      <w:r w:rsidRPr="006571AC">
        <w:rPr>
          <w:sz w:val="27"/>
          <w:rtl/>
        </w:rPr>
        <w:t xml:space="preserve"> لهم]. </w:t>
      </w:r>
    </w:p>
    <w:p w:rsidR="00C37790" w:rsidRPr="006571AC" w:rsidRDefault="00C37790" w:rsidP="00ED1ECC">
      <w:pPr>
        <w:spacing w:line="380" w:lineRule="exact"/>
        <w:rPr>
          <w:sz w:val="27"/>
          <w:rtl/>
        </w:rPr>
      </w:pPr>
      <w:r w:rsidRPr="006571AC">
        <w:rPr>
          <w:b/>
          <w:bCs/>
          <w:sz w:val="27"/>
          <w:rtl/>
        </w:rPr>
        <w:t>وإذا تمّ الإشكال</w:t>
      </w:r>
      <w:r w:rsidRPr="006571AC">
        <w:rPr>
          <w:sz w:val="27"/>
          <w:rtl/>
        </w:rPr>
        <w:t xml:space="preserve"> علينا بقطعية عدم بيان الرسول</w:t>
      </w:r>
      <w:r w:rsidR="002A2C90" w:rsidRPr="006571AC">
        <w:rPr>
          <w:rFonts w:ascii="Mosawi" w:hAnsi="Mosawi" w:cs="Mosawi"/>
          <w:sz w:val="22"/>
          <w:szCs w:val="22"/>
          <w:rtl/>
        </w:rPr>
        <w:t>|</w:t>
      </w:r>
      <w:r w:rsidRPr="006571AC">
        <w:rPr>
          <w:sz w:val="27"/>
          <w:rtl/>
        </w:rPr>
        <w:t xml:space="preserve"> الأحكام الشرعية لتمام الناس </w:t>
      </w:r>
      <w:r w:rsidR="006C51DB" w:rsidRPr="006571AC">
        <w:rPr>
          <w:rFonts w:hint="cs"/>
          <w:b/>
          <w:bCs/>
          <w:sz w:val="27"/>
          <w:rtl/>
        </w:rPr>
        <w:t>ف</w:t>
      </w:r>
      <w:r w:rsidRPr="006571AC">
        <w:rPr>
          <w:b/>
          <w:bCs/>
          <w:sz w:val="27"/>
          <w:rtl/>
        </w:rPr>
        <w:t>الجواب</w:t>
      </w:r>
      <w:r w:rsidRPr="006571AC">
        <w:rPr>
          <w:sz w:val="27"/>
          <w:rtl/>
        </w:rPr>
        <w:t xml:space="preserve">: </w:t>
      </w:r>
    </w:p>
    <w:p w:rsidR="00657D34" w:rsidRPr="006571AC" w:rsidRDefault="00C37790" w:rsidP="00B10C5F">
      <w:pPr>
        <w:spacing w:line="386" w:lineRule="exact"/>
        <w:rPr>
          <w:sz w:val="27"/>
          <w:rtl/>
        </w:rPr>
      </w:pPr>
      <w:r w:rsidRPr="006571AC">
        <w:rPr>
          <w:b/>
          <w:bCs/>
          <w:sz w:val="27"/>
          <w:rtl/>
        </w:rPr>
        <w:t>أوّلاً</w:t>
      </w:r>
      <w:r w:rsidRPr="006571AC">
        <w:rPr>
          <w:sz w:val="27"/>
          <w:rtl/>
        </w:rPr>
        <w:t>: بيان جميع فروع وتطبيقات الأحكام الكلّية بعيد</w:t>
      </w:r>
      <w:r w:rsidR="006C51DB" w:rsidRPr="006571AC">
        <w:rPr>
          <w:rFonts w:hint="cs"/>
          <w:sz w:val="27"/>
          <w:rtl/>
        </w:rPr>
        <w:t>ٌ</w:t>
      </w:r>
      <w:r w:rsidRPr="006571AC">
        <w:rPr>
          <w:sz w:val="27"/>
          <w:rtl/>
        </w:rPr>
        <w:t xml:space="preserve"> جدّاً، لكن</w:t>
      </w:r>
      <w:r w:rsidR="006C51DB" w:rsidRPr="006571AC">
        <w:rPr>
          <w:rFonts w:hint="cs"/>
          <w:sz w:val="27"/>
          <w:rtl/>
        </w:rPr>
        <w:t>ْ</w:t>
      </w:r>
      <w:r w:rsidRPr="006571AC">
        <w:rPr>
          <w:sz w:val="27"/>
          <w:rtl/>
        </w:rPr>
        <w:t xml:space="preserve"> لا يوجد أيّ ب</w:t>
      </w:r>
      <w:r w:rsidR="006C51DB" w:rsidRPr="006571AC">
        <w:rPr>
          <w:rFonts w:hint="cs"/>
          <w:sz w:val="27"/>
          <w:rtl/>
        </w:rPr>
        <w:t>ُ</w:t>
      </w:r>
      <w:r w:rsidRPr="006571AC">
        <w:rPr>
          <w:sz w:val="27"/>
          <w:rtl/>
        </w:rPr>
        <w:t>ع</w:t>
      </w:r>
      <w:r w:rsidR="006C51DB" w:rsidRPr="006571AC">
        <w:rPr>
          <w:rFonts w:hint="cs"/>
          <w:sz w:val="27"/>
          <w:rtl/>
        </w:rPr>
        <w:t>ْ</w:t>
      </w:r>
      <w:r w:rsidRPr="006571AC">
        <w:rPr>
          <w:sz w:val="27"/>
          <w:rtl/>
        </w:rPr>
        <w:t>د</w:t>
      </w:r>
      <w:r w:rsidR="006C51DB" w:rsidRPr="006571AC">
        <w:rPr>
          <w:rFonts w:hint="cs"/>
          <w:sz w:val="27"/>
          <w:rtl/>
        </w:rPr>
        <w:t>ٍ</w:t>
      </w:r>
      <w:r w:rsidRPr="006571AC">
        <w:rPr>
          <w:sz w:val="27"/>
          <w:rtl/>
        </w:rPr>
        <w:t xml:space="preserve"> في بيان جميع القواعد الكلّية، مثل</w:t>
      </w:r>
      <w:r w:rsidR="006C51DB" w:rsidRPr="006571AC">
        <w:rPr>
          <w:rFonts w:hint="cs"/>
          <w:sz w:val="27"/>
          <w:rtl/>
        </w:rPr>
        <w:t>:</w:t>
      </w:r>
      <w:r w:rsidRPr="006571AC">
        <w:rPr>
          <w:sz w:val="27"/>
          <w:rtl/>
        </w:rPr>
        <w:t xml:space="preserve"> </w:t>
      </w:r>
      <w:r w:rsidR="00B10C5F" w:rsidRPr="006571AC">
        <w:rPr>
          <w:rFonts w:hint="eastAsia"/>
          <w:sz w:val="24"/>
          <w:szCs w:val="24"/>
          <w:rtl/>
        </w:rPr>
        <w:t>«</w:t>
      </w:r>
      <w:r w:rsidRPr="006571AC">
        <w:rPr>
          <w:sz w:val="27"/>
          <w:rtl/>
        </w:rPr>
        <w:t>الناس مسلّ</w:t>
      </w:r>
      <w:r w:rsidR="006C51DB" w:rsidRPr="006571AC">
        <w:rPr>
          <w:rFonts w:hint="cs"/>
          <w:sz w:val="27"/>
          <w:rtl/>
        </w:rPr>
        <w:t>َ</w:t>
      </w:r>
      <w:r w:rsidRPr="006571AC">
        <w:rPr>
          <w:sz w:val="27"/>
          <w:rtl/>
        </w:rPr>
        <w:t>طون على أموالهم</w:t>
      </w:r>
      <w:r w:rsidR="00B10C5F" w:rsidRPr="006571AC">
        <w:rPr>
          <w:rFonts w:hint="eastAsia"/>
          <w:sz w:val="24"/>
          <w:szCs w:val="24"/>
          <w:rtl/>
        </w:rPr>
        <w:t>»</w:t>
      </w:r>
      <w:r w:rsidRPr="006571AC">
        <w:rPr>
          <w:sz w:val="27"/>
          <w:rtl/>
        </w:rPr>
        <w:t>، وكذلك الاستثناءات الكلّ</w:t>
      </w:r>
      <w:r w:rsidR="006C51DB" w:rsidRPr="006571AC">
        <w:rPr>
          <w:rFonts w:hint="cs"/>
          <w:sz w:val="27"/>
          <w:rtl/>
        </w:rPr>
        <w:t>ِ</w:t>
      </w:r>
      <w:r w:rsidRPr="006571AC">
        <w:rPr>
          <w:sz w:val="27"/>
          <w:rtl/>
        </w:rPr>
        <w:t>ية، مثل</w:t>
      </w:r>
      <w:r w:rsidR="006C51DB" w:rsidRPr="006571AC">
        <w:rPr>
          <w:rFonts w:hint="cs"/>
          <w:sz w:val="27"/>
          <w:rtl/>
        </w:rPr>
        <w:t>:</w:t>
      </w:r>
      <w:r w:rsidRPr="006571AC">
        <w:rPr>
          <w:sz w:val="27"/>
          <w:rtl/>
        </w:rPr>
        <w:t xml:space="preserve"> </w:t>
      </w:r>
      <w:r w:rsidR="00B10C5F" w:rsidRPr="006571AC">
        <w:rPr>
          <w:rFonts w:hint="eastAsia"/>
          <w:sz w:val="24"/>
          <w:szCs w:val="24"/>
          <w:rtl/>
        </w:rPr>
        <w:t>«</w:t>
      </w:r>
      <w:r w:rsidRPr="006571AC">
        <w:rPr>
          <w:sz w:val="27"/>
          <w:rtl/>
        </w:rPr>
        <w:t>لا ض</w:t>
      </w:r>
      <w:r w:rsidR="006C51DB" w:rsidRPr="006571AC">
        <w:rPr>
          <w:rFonts w:hint="cs"/>
          <w:sz w:val="27"/>
          <w:rtl/>
        </w:rPr>
        <w:t>َ</w:t>
      </w:r>
      <w:r w:rsidRPr="006571AC">
        <w:rPr>
          <w:sz w:val="27"/>
          <w:rtl/>
        </w:rPr>
        <w:t>ر</w:t>
      </w:r>
      <w:r w:rsidR="006C51DB" w:rsidRPr="006571AC">
        <w:rPr>
          <w:rFonts w:hint="cs"/>
          <w:sz w:val="27"/>
          <w:rtl/>
        </w:rPr>
        <w:t>َ</w:t>
      </w:r>
      <w:r w:rsidRPr="006571AC">
        <w:rPr>
          <w:sz w:val="27"/>
          <w:rtl/>
        </w:rPr>
        <w:t>ر</w:t>
      </w:r>
      <w:r w:rsidR="00B10C5F" w:rsidRPr="006571AC">
        <w:rPr>
          <w:rFonts w:hint="eastAsia"/>
          <w:sz w:val="24"/>
          <w:szCs w:val="24"/>
          <w:rtl/>
        </w:rPr>
        <w:t>»</w:t>
      </w:r>
      <w:r w:rsidRPr="006571AC">
        <w:rPr>
          <w:sz w:val="27"/>
          <w:vertAlign w:val="superscript"/>
          <w:rtl/>
        </w:rPr>
        <w:t>(</w:t>
      </w:r>
      <w:r w:rsidRPr="006571AC">
        <w:rPr>
          <w:rStyle w:val="ac"/>
          <w:sz w:val="27"/>
          <w:rtl/>
        </w:rPr>
        <w:endnoteReference w:id="93"/>
      </w:r>
      <w:r w:rsidRPr="006571AC">
        <w:rPr>
          <w:sz w:val="27"/>
          <w:vertAlign w:val="superscript"/>
          <w:rtl/>
        </w:rPr>
        <w:t>)</w:t>
      </w:r>
      <w:r w:rsidRPr="006571AC">
        <w:rPr>
          <w:sz w:val="27"/>
          <w:rtl/>
        </w:rPr>
        <w:t xml:space="preserve">. </w:t>
      </w:r>
    </w:p>
    <w:p w:rsidR="00C37790" w:rsidRPr="006571AC" w:rsidRDefault="00C37790" w:rsidP="00266070">
      <w:pPr>
        <w:spacing w:line="386" w:lineRule="exact"/>
        <w:rPr>
          <w:sz w:val="27"/>
          <w:rtl/>
        </w:rPr>
      </w:pPr>
      <w:r w:rsidRPr="006571AC">
        <w:rPr>
          <w:b/>
          <w:bCs/>
          <w:sz w:val="27"/>
          <w:rtl/>
        </w:rPr>
        <w:t>ثانياً</w:t>
      </w:r>
      <w:r w:rsidRPr="006571AC">
        <w:rPr>
          <w:sz w:val="27"/>
          <w:rtl/>
        </w:rPr>
        <w:t>: دعوانا ليست متوق</w:t>
      </w:r>
      <w:r w:rsidR="006C51DB" w:rsidRPr="006571AC">
        <w:rPr>
          <w:rFonts w:hint="cs"/>
          <w:sz w:val="27"/>
          <w:rtl/>
        </w:rPr>
        <w:t>ِّ</w:t>
      </w:r>
      <w:r w:rsidRPr="006571AC">
        <w:rPr>
          <w:sz w:val="27"/>
          <w:rtl/>
        </w:rPr>
        <w:t>فة</w:t>
      </w:r>
      <w:r w:rsidR="00B10C5F" w:rsidRPr="006571AC">
        <w:rPr>
          <w:rFonts w:hint="cs"/>
          <w:sz w:val="27"/>
          <w:rtl/>
        </w:rPr>
        <w:t>ً</w:t>
      </w:r>
      <w:r w:rsidRPr="006571AC">
        <w:rPr>
          <w:sz w:val="27"/>
          <w:rtl/>
        </w:rPr>
        <w:t xml:space="preserve"> على بيان الأحكام كلّها للناس جميعهم من ق</w:t>
      </w:r>
      <w:r w:rsidR="006C51DB" w:rsidRPr="006571AC">
        <w:rPr>
          <w:rFonts w:hint="cs"/>
          <w:sz w:val="27"/>
          <w:rtl/>
        </w:rPr>
        <w:t>ِ</w:t>
      </w:r>
      <w:r w:rsidRPr="006571AC">
        <w:rPr>
          <w:sz w:val="27"/>
          <w:rtl/>
        </w:rPr>
        <w:t>ب</w:t>
      </w:r>
      <w:r w:rsidR="006C51DB" w:rsidRPr="006571AC">
        <w:rPr>
          <w:rFonts w:hint="cs"/>
          <w:sz w:val="27"/>
          <w:rtl/>
        </w:rPr>
        <w:t>َ</w:t>
      </w:r>
      <w:r w:rsidRPr="006571AC">
        <w:rPr>
          <w:sz w:val="27"/>
          <w:rtl/>
        </w:rPr>
        <w:t>ل النبيّ</w:t>
      </w:r>
      <w:r w:rsidR="006C51DB" w:rsidRPr="006571AC">
        <w:rPr>
          <w:rFonts w:ascii="Mosawi" w:hAnsi="Mosawi" w:cs="Mosawi"/>
          <w:sz w:val="22"/>
          <w:szCs w:val="22"/>
          <w:rtl/>
        </w:rPr>
        <w:t>|</w:t>
      </w:r>
      <w:r w:rsidR="006C51DB" w:rsidRPr="006571AC">
        <w:rPr>
          <w:rFonts w:hint="cs"/>
          <w:sz w:val="27"/>
          <w:rtl/>
        </w:rPr>
        <w:t xml:space="preserve"> </w:t>
      </w:r>
      <w:r w:rsidRPr="006571AC">
        <w:rPr>
          <w:sz w:val="27"/>
          <w:rtl/>
        </w:rPr>
        <w:t>نفسه، بل يكفي أن يكون قد بيّ</w:t>
      </w:r>
      <w:r w:rsidR="006C51DB" w:rsidRPr="006571AC">
        <w:rPr>
          <w:rFonts w:hint="cs"/>
          <w:sz w:val="27"/>
          <w:rtl/>
        </w:rPr>
        <w:t>َ</w:t>
      </w:r>
      <w:r w:rsidRPr="006571AC">
        <w:rPr>
          <w:sz w:val="27"/>
          <w:rtl/>
        </w:rPr>
        <w:t>نها أهل</w:t>
      </w:r>
      <w:r w:rsidR="006C51DB" w:rsidRPr="006571AC">
        <w:rPr>
          <w:rFonts w:hint="cs"/>
          <w:sz w:val="27"/>
          <w:rtl/>
        </w:rPr>
        <w:t>ُ</w:t>
      </w:r>
      <w:r w:rsidRPr="006571AC">
        <w:rPr>
          <w:sz w:val="27"/>
          <w:rtl/>
        </w:rPr>
        <w:t xml:space="preserve"> البيت</w:t>
      </w:r>
      <w:r w:rsidR="002A2C90" w:rsidRPr="006571AC">
        <w:rPr>
          <w:rFonts w:ascii="Mosawi" w:hAnsi="Mosawi" w:cs="Mosawi"/>
          <w:sz w:val="22"/>
          <w:szCs w:val="22"/>
          <w:rtl/>
        </w:rPr>
        <w:t>^</w:t>
      </w:r>
      <w:r w:rsidRPr="006571AC">
        <w:rPr>
          <w:sz w:val="27"/>
          <w:rtl/>
        </w:rPr>
        <w:t xml:space="preserve">. </w:t>
      </w:r>
    </w:p>
    <w:p w:rsidR="00C37790" w:rsidRPr="006571AC" w:rsidRDefault="00C37790" w:rsidP="00B10C5F">
      <w:pPr>
        <w:spacing w:line="386" w:lineRule="exact"/>
        <w:rPr>
          <w:sz w:val="27"/>
          <w:rtl/>
        </w:rPr>
      </w:pPr>
      <w:r w:rsidRPr="006571AC">
        <w:rPr>
          <w:b/>
          <w:bCs/>
          <w:sz w:val="27"/>
          <w:rtl/>
        </w:rPr>
        <w:t>وإذا قيل</w:t>
      </w:r>
      <w:r w:rsidR="006C51DB" w:rsidRPr="006571AC">
        <w:rPr>
          <w:rFonts w:hint="cs"/>
          <w:sz w:val="27"/>
          <w:rtl/>
        </w:rPr>
        <w:t>:</w:t>
      </w:r>
      <w:r w:rsidRPr="006571AC">
        <w:rPr>
          <w:sz w:val="27"/>
          <w:rtl/>
        </w:rPr>
        <w:t xml:space="preserve"> </w:t>
      </w:r>
      <w:r w:rsidR="006C51DB" w:rsidRPr="006571AC">
        <w:rPr>
          <w:rFonts w:hint="cs"/>
          <w:sz w:val="27"/>
          <w:rtl/>
        </w:rPr>
        <w:t>إنه</w:t>
      </w:r>
      <w:r w:rsidRPr="006571AC">
        <w:rPr>
          <w:sz w:val="27"/>
          <w:rtl/>
        </w:rPr>
        <w:t xml:space="preserve"> جاء في بعض الروايات أنّ الإمام الحجّة يأتي بأحكام</w:t>
      </w:r>
      <w:r w:rsidR="006C51DB" w:rsidRPr="006571AC">
        <w:rPr>
          <w:rFonts w:hint="cs"/>
          <w:sz w:val="27"/>
          <w:rtl/>
        </w:rPr>
        <w:t>ٍ</w:t>
      </w:r>
      <w:r w:rsidRPr="006571AC">
        <w:rPr>
          <w:sz w:val="27"/>
          <w:rtl/>
        </w:rPr>
        <w:t xml:space="preserve"> جديدة</w:t>
      </w:r>
      <w:r w:rsidR="00B10C5F" w:rsidRPr="006571AC">
        <w:rPr>
          <w:rFonts w:hint="cs"/>
          <w:sz w:val="27"/>
          <w:rtl/>
        </w:rPr>
        <w:t>:</w:t>
      </w:r>
      <w:r w:rsidRPr="006571AC">
        <w:rPr>
          <w:sz w:val="27"/>
          <w:rtl/>
        </w:rPr>
        <w:t xml:space="preserve"> </w:t>
      </w:r>
      <w:r w:rsidR="00B10C5F" w:rsidRPr="006571AC">
        <w:rPr>
          <w:rFonts w:hint="eastAsia"/>
          <w:sz w:val="24"/>
          <w:szCs w:val="24"/>
          <w:rtl/>
        </w:rPr>
        <w:t>«</w:t>
      </w:r>
      <w:r w:rsidRPr="006571AC">
        <w:rPr>
          <w:sz w:val="27"/>
          <w:rtl/>
        </w:rPr>
        <w:t>إذا قام القائم جاء بأمر</w:t>
      </w:r>
      <w:r w:rsidR="006C51DB" w:rsidRPr="006571AC">
        <w:rPr>
          <w:rFonts w:hint="cs"/>
          <w:sz w:val="27"/>
          <w:rtl/>
        </w:rPr>
        <w:t>ٍ</w:t>
      </w:r>
      <w:r w:rsidRPr="006571AC">
        <w:rPr>
          <w:sz w:val="27"/>
          <w:rtl/>
        </w:rPr>
        <w:t xml:space="preserve"> جديد</w:t>
      </w:r>
      <w:r w:rsidR="00B10C5F" w:rsidRPr="006571AC">
        <w:rPr>
          <w:rFonts w:hint="eastAsia"/>
          <w:sz w:val="24"/>
          <w:szCs w:val="24"/>
          <w:rtl/>
        </w:rPr>
        <w:t>»</w:t>
      </w:r>
      <w:r w:rsidRPr="006571AC">
        <w:rPr>
          <w:sz w:val="27"/>
          <w:vertAlign w:val="superscript"/>
          <w:rtl/>
        </w:rPr>
        <w:t>(</w:t>
      </w:r>
      <w:r w:rsidRPr="006571AC">
        <w:rPr>
          <w:rStyle w:val="ac"/>
          <w:sz w:val="27"/>
          <w:rtl/>
        </w:rPr>
        <w:endnoteReference w:id="94"/>
      </w:r>
      <w:r w:rsidRPr="006571AC">
        <w:rPr>
          <w:sz w:val="27"/>
          <w:vertAlign w:val="superscript"/>
          <w:rtl/>
        </w:rPr>
        <w:t>)</w:t>
      </w:r>
      <w:r w:rsidRPr="006571AC">
        <w:rPr>
          <w:sz w:val="27"/>
          <w:rtl/>
        </w:rPr>
        <w:t>، ومنه ي</w:t>
      </w:r>
      <w:r w:rsidR="006C51DB" w:rsidRPr="006571AC">
        <w:rPr>
          <w:rFonts w:hint="cs"/>
          <w:sz w:val="27"/>
          <w:rtl/>
        </w:rPr>
        <w:t>ُ</w:t>
      </w:r>
      <w:r w:rsidRPr="006571AC">
        <w:rPr>
          <w:sz w:val="27"/>
          <w:rtl/>
        </w:rPr>
        <w:t>ع</w:t>
      </w:r>
      <w:r w:rsidR="006C51DB" w:rsidRPr="006571AC">
        <w:rPr>
          <w:rFonts w:hint="cs"/>
          <w:sz w:val="27"/>
          <w:rtl/>
        </w:rPr>
        <w:t>ْ</w:t>
      </w:r>
      <w:r w:rsidRPr="006571AC">
        <w:rPr>
          <w:sz w:val="27"/>
          <w:rtl/>
        </w:rPr>
        <w:t>ل</w:t>
      </w:r>
      <w:r w:rsidR="006C51DB" w:rsidRPr="006571AC">
        <w:rPr>
          <w:rFonts w:hint="cs"/>
          <w:sz w:val="27"/>
          <w:rtl/>
        </w:rPr>
        <w:t>َ</w:t>
      </w:r>
      <w:r w:rsidRPr="006571AC">
        <w:rPr>
          <w:sz w:val="27"/>
          <w:rtl/>
        </w:rPr>
        <w:t>م بكون بعض الأحكام قد أودعت عند أهل البيت</w:t>
      </w:r>
      <w:r w:rsidR="006C51DB" w:rsidRPr="006571AC">
        <w:rPr>
          <w:rFonts w:ascii="Mosawi" w:hAnsi="Mosawi" w:cs="Mosawi"/>
          <w:sz w:val="22"/>
          <w:szCs w:val="22"/>
          <w:rtl/>
        </w:rPr>
        <w:t>^</w:t>
      </w:r>
      <w:r w:rsidR="006C51DB" w:rsidRPr="006571AC">
        <w:rPr>
          <w:rFonts w:hint="cs"/>
          <w:sz w:val="27"/>
          <w:rtl/>
        </w:rPr>
        <w:t>،</w:t>
      </w:r>
      <w:r w:rsidR="004459D6" w:rsidRPr="006571AC">
        <w:rPr>
          <w:sz w:val="27"/>
          <w:rtl/>
        </w:rPr>
        <w:t xml:space="preserve"> </w:t>
      </w:r>
      <w:r w:rsidRPr="006571AC">
        <w:rPr>
          <w:sz w:val="27"/>
          <w:rtl/>
        </w:rPr>
        <w:t>ولم تبلّ</w:t>
      </w:r>
      <w:r w:rsidR="006C51DB" w:rsidRPr="006571AC">
        <w:rPr>
          <w:rFonts w:hint="cs"/>
          <w:sz w:val="27"/>
          <w:rtl/>
        </w:rPr>
        <w:t>َ</w:t>
      </w:r>
      <w:r w:rsidRPr="006571AC">
        <w:rPr>
          <w:sz w:val="27"/>
          <w:rtl/>
        </w:rPr>
        <w:t>غ للناس ب</w:t>
      </w:r>
      <w:r w:rsidR="006C51DB" w:rsidRPr="006571AC">
        <w:rPr>
          <w:rFonts w:hint="cs"/>
          <w:sz w:val="27"/>
          <w:rtl/>
        </w:rPr>
        <w:t>َ</w:t>
      </w:r>
      <w:r w:rsidRPr="006571AC">
        <w:rPr>
          <w:sz w:val="27"/>
          <w:rtl/>
        </w:rPr>
        <w:t>ع</w:t>
      </w:r>
      <w:r w:rsidR="006C51DB" w:rsidRPr="006571AC">
        <w:rPr>
          <w:rFonts w:hint="cs"/>
          <w:sz w:val="27"/>
          <w:rtl/>
        </w:rPr>
        <w:t>ْ</w:t>
      </w:r>
      <w:r w:rsidRPr="006571AC">
        <w:rPr>
          <w:sz w:val="27"/>
          <w:rtl/>
        </w:rPr>
        <w:t>دُ</w:t>
      </w:r>
      <w:r w:rsidRPr="006571AC">
        <w:rPr>
          <w:sz w:val="27"/>
          <w:vertAlign w:val="superscript"/>
          <w:rtl/>
        </w:rPr>
        <w:t>(</w:t>
      </w:r>
      <w:r w:rsidRPr="006571AC">
        <w:rPr>
          <w:rStyle w:val="ac"/>
          <w:sz w:val="27"/>
          <w:rtl/>
        </w:rPr>
        <w:endnoteReference w:id="95"/>
      </w:r>
      <w:r w:rsidRPr="006571AC">
        <w:rPr>
          <w:sz w:val="27"/>
          <w:vertAlign w:val="superscript"/>
          <w:rtl/>
        </w:rPr>
        <w:t>)</w:t>
      </w:r>
      <w:r w:rsidR="006C51DB" w:rsidRPr="006571AC">
        <w:rPr>
          <w:rFonts w:hint="cs"/>
          <w:sz w:val="27"/>
          <w:rtl/>
        </w:rPr>
        <w:t>.</w:t>
      </w:r>
      <w:r w:rsidRPr="006571AC">
        <w:rPr>
          <w:sz w:val="27"/>
          <w:rtl/>
        </w:rPr>
        <w:t xml:space="preserve"> ولعلّ بعض تلك الأحكام مرتبطة</w:t>
      </w:r>
      <w:r w:rsidR="006C51DB" w:rsidRPr="006571AC">
        <w:rPr>
          <w:rFonts w:hint="cs"/>
          <w:sz w:val="27"/>
          <w:rtl/>
        </w:rPr>
        <w:t>ٌ</w:t>
      </w:r>
      <w:r w:rsidRPr="006571AC">
        <w:rPr>
          <w:sz w:val="27"/>
          <w:rtl/>
        </w:rPr>
        <w:t xml:space="preserve"> بالس</w:t>
      </w:r>
      <w:r w:rsidR="006C51DB" w:rsidRPr="006571AC">
        <w:rPr>
          <w:rFonts w:hint="cs"/>
          <w:sz w:val="27"/>
          <w:rtl/>
        </w:rPr>
        <w:t>ِّ</w:t>
      </w:r>
      <w:r w:rsidRPr="006571AC">
        <w:rPr>
          <w:sz w:val="27"/>
          <w:rtl/>
        </w:rPr>
        <w:t>ي</w:t>
      </w:r>
      <w:r w:rsidR="006C51DB" w:rsidRPr="006571AC">
        <w:rPr>
          <w:rFonts w:hint="cs"/>
          <w:sz w:val="27"/>
          <w:rtl/>
        </w:rPr>
        <w:t>َ</w:t>
      </w:r>
      <w:r w:rsidRPr="006571AC">
        <w:rPr>
          <w:sz w:val="27"/>
          <w:rtl/>
        </w:rPr>
        <w:t>ر العقلائية المستجدّة</w:t>
      </w:r>
      <w:r w:rsidR="006C51DB" w:rsidRPr="006571AC">
        <w:rPr>
          <w:rFonts w:hint="cs"/>
          <w:sz w:val="27"/>
          <w:rtl/>
        </w:rPr>
        <w:t>.</w:t>
      </w:r>
      <w:r w:rsidRPr="006571AC">
        <w:rPr>
          <w:sz w:val="27"/>
          <w:rtl/>
        </w:rPr>
        <w:t xml:space="preserve"> وهذا الاحتمال كافٍ في نفي الحجّية عنها. </w:t>
      </w:r>
    </w:p>
    <w:p w:rsidR="00C37790" w:rsidRPr="006571AC" w:rsidRDefault="00C37790" w:rsidP="00ED1ECC">
      <w:pPr>
        <w:spacing w:line="380" w:lineRule="exact"/>
        <w:rPr>
          <w:sz w:val="27"/>
          <w:rtl/>
        </w:rPr>
      </w:pPr>
      <w:r w:rsidRPr="006571AC">
        <w:rPr>
          <w:b/>
          <w:bCs/>
          <w:sz w:val="27"/>
          <w:rtl/>
        </w:rPr>
        <w:t>فنقول في الجواب</w:t>
      </w:r>
      <w:r w:rsidRPr="006571AC">
        <w:rPr>
          <w:sz w:val="27"/>
          <w:rtl/>
        </w:rPr>
        <w:t xml:space="preserve">: </w:t>
      </w:r>
    </w:p>
    <w:p w:rsidR="00657D34" w:rsidRPr="006571AC" w:rsidRDefault="00C37790" w:rsidP="00266070">
      <w:pPr>
        <w:spacing w:line="386" w:lineRule="exact"/>
        <w:rPr>
          <w:sz w:val="27"/>
          <w:rtl/>
        </w:rPr>
      </w:pPr>
      <w:r w:rsidRPr="006571AC">
        <w:rPr>
          <w:b/>
          <w:bCs/>
          <w:sz w:val="27"/>
          <w:rtl/>
        </w:rPr>
        <w:t>أوّلاً</w:t>
      </w:r>
      <w:r w:rsidRPr="006571AC">
        <w:rPr>
          <w:sz w:val="27"/>
          <w:rtl/>
        </w:rPr>
        <w:t>: ظاهر هذه الروايات كون تلك الأحكام مرتبطة</w:t>
      </w:r>
      <w:r w:rsidR="007F36F3" w:rsidRPr="006571AC">
        <w:rPr>
          <w:rFonts w:hint="cs"/>
          <w:sz w:val="27"/>
          <w:rtl/>
        </w:rPr>
        <w:t>ً</w:t>
      </w:r>
      <w:r w:rsidRPr="006571AC">
        <w:rPr>
          <w:sz w:val="27"/>
          <w:rtl/>
        </w:rPr>
        <w:t xml:space="preserve"> بما بعد ظهوره</w:t>
      </w:r>
      <w:r w:rsidR="002A2C90" w:rsidRPr="006571AC">
        <w:rPr>
          <w:rFonts w:ascii="Mosawi" w:hAnsi="Mosawi" w:cs="Mosawi"/>
          <w:sz w:val="22"/>
          <w:szCs w:val="22"/>
          <w:rtl/>
        </w:rPr>
        <w:t>×</w:t>
      </w:r>
      <w:r w:rsidRPr="006571AC">
        <w:rPr>
          <w:sz w:val="27"/>
          <w:rtl/>
        </w:rPr>
        <w:t>، لا بزمننا، أي زمن الغيبة وما قبل الظهور. وعليه فلا يتنافى مفاد</w:t>
      </w:r>
      <w:r w:rsidR="007F36F3" w:rsidRPr="006571AC">
        <w:rPr>
          <w:rFonts w:hint="cs"/>
          <w:sz w:val="27"/>
          <w:rtl/>
        </w:rPr>
        <w:t>ُ</w:t>
      </w:r>
      <w:r w:rsidRPr="006571AC">
        <w:rPr>
          <w:sz w:val="27"/>
          <w:rtl/>
        </w:rPr>
        <w:t>ها مع القاعدة الأوّلية المرتبطة بعصر الغيبة، وما قبل ظهوره</w:t>
      </w:r>
      <w:r w:rsidR="002A2C90" w:rsidRPr="006571AC">
        <w:rPr>
          <w:rFonts w:ascii="Mosawi" w:hAnsi="Mosawi" w:cs="Mosawi"/>
          <w:sz w:val="22"/>
          <w:szCs w:val="22"/>
          <w:rtl/>
        </w:rPr>
        <w:t>×</w:t>
      </w:r>
      <w:r w:rsidRPr="006571AC">
        <w:rPr>
          <w:sz w:val="27"/>
          <w:rtl/>
        </w:rPr>
        <w:t xml:space="preserve">. </w:t>
      </w:r>
    </w:p>
    <w:p w:rsidR="00C37790" w:rsidRPr="006571AC" w:rsidRDefault="00C37790" w:rsidP="00266070">
      <w:pPr>
        <w:spacing w:line="386" w:lineRule="exact"/>
        <w:rPr>
          <w:sz w:val="27"/>
          <w:rtl/>
        </w:rPr>
      </w:pPr>
      <w:r w:rsidRPr="006571AC">
        <w:rPr>
          <w:b/>
          <w:bCs/>
          <w:sz w:val="27"/>
          <w:rtl/>
        </w:rPr>
        <w:t>ثانياً</w:t>
      </w:r>
      <w:r w:rsidRPr="006571AC">
        <w:rPr>
          <w:sz w:val="27"/>
          <w:rtl/>
        </w:rPr>
        <w:t>: لو سلّ</w:t>
      </w:r>
      <w:r w:rsidR="007F36F3" w:rsidRPr="006571AC">
        <w:rPr>
          <w:rFonts w:hint="cs"/>
          <w:sz w:val="27"/>
          <w:rtl/>
        </w:rPr>
        <w:t>َ</w:t>
      </w:r>
      <w:r w:rsidRPr="006571AC">
        <w:rPr>
          <w:sz w:val="27"/>
          <w:rtl/>
        </w:rPr>
        <w:t>منا كون هذه الروايات مرتبطة</w:t>
      </w:r>
      <w:r w:rsidR="007F36F3" w:rsidRPr="006571AC">
        <w:rPr>
          <w:rFonts w:hint="cs"/>
          <w:sz w:val="27"/>
          <w:rtl/>
        </w:rPr>
        <w:t>ً</w:t>
      </w:r>
      <w:r w:rsidRPr="006571AC">
        <w:rPr>
          <w:sz w:val="27"/>
          <w:rtl/>
        </w:rPr>
        <w:t xml:space="preserve"> بما قبل الظهور فهي لا تخلّ بمدّ</w:t>
      </w:r>
      <w:r w:rsidR="007F36F3" w:rsidRPr="006571AC">
        <w:rPr>
          <w:rFonts w:hint="cs"/>
          <w:sz w:val="27"/>
          <w:rtl/>
        </w:rPr>
        <w:t>َ</w:t>
      </w:r>
      <w:r w:rsidRPr="006571AC">
        <w:rPr>
          <w:sz w:val="27"/>
          <w:rtl/>
        </w:rPr>
        <w:t>عانا؛ لأنّها ستدخل في دائرة الاستثناء من القاعدة الأوّلية، ونحن قد قبلنا بالأخذ بالدليل المعتبر إذا دلّ على الردع عن السيرة، واستثنائها من الاعتبار. وعليه، فإذا دلّ</w:t>
      </w:r>
      <w:r w:rsidR="00B10C5F" w:rsidRPr="006571AC">
        <w:rPr>
          <w:rFonts w:hint="cs"/>
          <w:sz w:val="27"/>
          <w:rtl/>
        </w:rPr>
        <w:t>َتْ</w:t>
      </w:r>
      <w:r w:rsidRPr="006571AC">
        <w:rPr>
          <w:sz w:val="27"/>
          <w:rtl/>
        </w:rPr>
        <w:t xml:space="preserve"> رواية</w:t>
      </w:r>
      <w:r w:rsidR="007F36F3" w:rsidRPr="006571AC">
        <w:rPr>
          <w:rFonts w:hint="cs"/>
          <w:sz w:val="27"/>
          <w:rtl/>
        </w:rPr>
        <w:t>ٌ</w:t>
      </w:r>
      <w:r w:rsidRPr="006571AC">
        <w:rPr>
          <w:sz w:val="27"/>
          <w:rtl/>
        </w:rPr>
        <w:t xml:space="preserve"> من تلك الروايات على الردع عن سيرة</w:t>
      </w:r>
      <w:r w:rsidR="007F36F3" w:rsidRPr="006571AC">
        <w:rPr>
          <w:rFonts w:hint="cs"/>
          <w:sz w:val="27"/>
          <w:rtl/>
        </w:rPr>
        <w:t>ٍ</w:t>
      </w:r>
      <w:r w:rsidRPr="006571AC">
        <w:rPr>
          <w:sz w:val="27"/>
          <w:rtl/>
        </w:rPr>
        <w:t xml:space="preserve"> خاصّة فسوف تصبح تلك السيرة فاقدة</w:t>
      </w:r>
      <w:r w:rsidR="007F36F3" w:rsidRPr="006571AC">
        <w:rPr>
          <w:rFonts w:hint="cs"/>
          <w:sz w:val="27"/>
          <w:rtl/>
        </w:rPr>
        <w:t>ً</w:t>
      </w:r>
      <w:r w:rsidRPr="006571AC">
        <w:rPr>
          <w:sz w:val="27"/>
          <w:rtl/>
        </w:rPr>
        <w:t xml:space="preserve"> للاعتبار. </w:t>
      </w:r>
    </w:p>
    <w:p w:rsidR="00C37790" w:rsidRPr="006571AC" w:rsidRDefault="00C37790" w:rsidP="00266070">
      <w:pPr>
        <w:spacing w:line="380" w:lineRule="exact"/>
        <w:rPr>
          <w:sz w:val="27"/>
          <w:rtl/>
        </w:rPr>
      </w:pPr>
    </w:p>
    <w:p w:rsidR="00C37790" w:rsidRPr="006571AC" w:rsidRDefault="00C10651" w:rsidP="00657D34">
      <w:pPr>
        <w:pStyle w:val="31"/>
        <w:rPr>
          <w:color w:val="auto"/>
          <w:rtl/>
        </w:rPr>
      </w:pPr>
      <w:bookmarkStart w:id="49" w:name="_Toc114164538"/>
      <w:r w:rsidRPr="006571AC">
        <w:rPr>
          <w:rFonts w:hint="cs"/>
          <w:color w:val="auto"/>
          <w:rtl/>
        </w:rPr>
        <w:t>5ـ</w:t>
      </w:r>
      <w:r w:rsidR="00C37790" w:rsidRPr="006571AC">
        <w:rPr>
          <w:color w:val="auto"/>
          <w:rtl/>
        </w:rPr>
        <w:t xml:space="preserve"> مقتضى خلود الشريعة الإسلامي</w:t>
      </w:r>
      <w:r w:rsidRPr="006571AC">
        <w:rPr>
          <w:rFonts w:hint="cs"/>
          <w:color w:val="auto"/>
          <w:rtl/>
        </w:rPr>
        <w:t>ّ</w:t>
      </w:r>
      <w:r w:rsidR="00C37790" w:rsidRPr="006571AC">
        <w:rPr>
          <w:color w:val="auto"/>
          <w:rtl/>
        </w:rPr>
        <w:t>ة</w:t>
      </w:r>
      <w:bookmarkEnd w:id="49"/>
    </w:p>
    <w:p w:rsidR="00C37790" w:rsidRPr="006571AC" w:rsidRDefault="00C37790" w:rsidP="00C0404B">
      <w:pPr>
        <w:rPr>
          <w:sz w:val="27"/>
          <w:rtl/>
        </w:rPr>
      </w:pPr>
      <w:r w:rsidRPr="006571AC">
        <w:rPr>
          <w:sz w:val="27"/>
          <w:rtl/>
        </w:rPr>
        <w:t xml:space="preserve">إنّ مقتضى خلود الشريعة الإسلامية هو أن يكون أفق نظر الشارع ممتدّاً إلى </w:t>
      </w:r>
      <w:r w:rsidRPr="006571AC">
        <w:rPr>
          <w:sz w:val="27"/>
          <w:rtl/>
        </w:rPr>
        <w:lastRenderedPageBreak/>
        <w:t>يوم القيامة. وبتعبير</w:t>
      </w:r>
      <w:r w:rsidR="009D18F9" w:rsidRPr="006571AC">
        <w:rPr>
          <w:rFonts w:hint="cs"/>
          <w:sz w:val="27"/>
          <w:rtl/>
        </w:rPr>
        <w:t>ٍ</w:t>
      </w:r>
      <w:r w:rsidRPr="006571AC">
        <w:rPr>
          <w:sz w:val="27"/>
          <w:rtl/>
        </w:rPr>
        <w:t xml:space="preserve"> آخر</w:t>
      </w:r>
      <w:r w:rsidR="009D18F9" w:rsidRPr="006571AC">
        <w:rPr>
          <w:rFonts w:hint="cs"/>
          <w:sz w:val="27"/>
          <w:rtl/>
        </w:rPr>
        <w:t>:</w:t>
      </w:r>
      <w:r w:rsidRPr="006571AC">
        <w:rPr>
          <w:sz w:val="27"/>
          <w:rtl/>
        </w:rPr>
        <w:t xml:space="preserve"> إنّ نظرة الشارع تجاه الأمور الباطلة والمبغوضة ليست منحصرة</w:t>
      </w:r>
      <w:r w:rsidR="009D18F9" w:rsidRPr="006571AC">
        <w:rPr>
          <w:rFonts w:hint="cs"/>
          <w:sz w:val="27"/>
          <w:rtl/>
        </w:rPr>
        <w:t>ً</w:t>
      </w:r>
      <w:r w:rsidRPr="006571AC">
        <w:rPr>
          <w:sz w:val="27"/>
          <w:rtl/>
        </w:rPr>
        <w:t xml:space="preserve"> بمدّة حياته الظاهرية، بل المبغوضات والأمور الباطلة كلّها قد تمّ تشخيصها، وجعلت لها أحكام</w:t>
      </w:r>
      <w:r w:rsidR="009D18F9" w:rsidRPr="006571AC">
        <w:rPr>
          <w:rFonts w:hint="cs"/>
          <w:sz w:val="27"/>
          <w:rtl/>
        </w:rPr>
        <w:t>ٌ</w:t>
      </w:r>
      <w:r w:rsidRPr="006571AC">
        <w:rPr>
          <w:sz w:val="27"/>
          <w:rtl/>
        </w:rPr>
        <w:t xml:space="preserve"> تكليفية ووضعية، وإ</w:t>
      </w:r>
      <w:r w:rsidR="003C2639" w:rsidRPr="006571AC">
        <w:rPr>
          <w:sz w:val="27"/>
          <w:rtl/>
        </w:rPr>
        <w:t>لاّ</w:t>
      </w:r>
      <w:r w:rsidRPr="006571AC">
        <w:rPr>
          <w:sz w:val="27"/>
          <w:rtl/>
        </w:rPr>
        <w:t xml:space="preserve"> لزم أن لا يكون جعل الشارع ناشئاً عن و</w:t>
      </w:r>
      <w:r w:rsidR="009D18F9" w:rsidRPr="006571AC">
        <w:rPr>
          <w:rFonts w:hint="cs"/>
          <w:sz w:val="27"/>
          <w:rtl/>
        </w:rPr>
        <w:t>َ</w:t>
      </w:r>
      <w:r w:rsidRPr="006571AC">
        <w:rPr>
          <w:sz w:val="27"/>
          <w:rtl/>
        </w:rPr>
        <w:t>ع</w:t>
      </w:r>
      <w:r w:rsidR="009D18F9" w:rsidRPr="006571AC">
        <w:rPr>
          <w:rFonts w:hint="cs"/>
          <w:sz w:val="27"/>
          <w:rtl/>
        </w:rPr>
        <w:t>ْ</w:t>
      </w:r>
      <w:r w:rsidRPr="006571AC">
        <w:rPr>
          <w:sz w:val="27"/>
          <w:rtl/>
        </w:rPr>
        <w:t>ي</w:t>
      </w:r>
      <w:r w:rsidR="009D18F9" w:rsidRPr="006571AC">
        <w:rPr>
          <w:rFonts w:hint="cs"/>
          <w:sz w:val="27"/>
          <w:rtl/>
        </w:rPr>
        <w:t>ٍ</w:t>
      </w:r>
      <w:r w:rsidRPr="006571AC">
        <w:rPr>
          <w:sz w:val="27"/>
          <w:rtl/>
        </w:rPr>
        <w:t xml:space="preserve"> والتفات</w:t>
      </w:r>
      <w:r w:rsidR="009D18F9" w:rsidRPr="006571AC">
        <w:rPr>
          <w:rFonts w:hint="cs"/>
          <w:sz w:val="27"/>
          <w:rtl/>
        </w:rPr>
        <w:t>ٍ</w:t>
      </w:r>
      <w:r w:rsidRPr="006571AC">
        <w:rPr>
          <w:sz w:val="27"/>
          <w:rtl/>
        </w:rPr>
        <w:t>، وهذا خ</w:t>
      </w:r>
      <w:r w:rsidR="009D18F9" w:rsidRPr="006571AC">
        <w:rPr>
          <w:rFonts w:hint="cs"/>
          <w:sz w:val="27"/>
          <w:rtl/>
        </w:rPr>
        <w:t>ُ</w:t>
      </w:r>
      <w:r w:rsidRPr="006571AC">
        <w:rPr>
          <w:sz w:val="27"/>
          <w:rtl/>
        </w:rPr>
        <w:t>ل</w:t>
      </w:r>
      <w:r w:rsidR="009D18F9" w:rsidRPr="006571AC">
        <w:rPr>
          <w:rFonts w:hint="cs"/>
          <w:sz w:val="27"/>
          <w:rtl/>
        </w:rPr>
        <w:t>ْ</w:t>
      </w:r>
      <w:r w:rsidRPr="006571AC">
        <w:rPr>
          <w:sz w:val="27"/>
          <w:rtl/>
        </w:rPr>
        <w:t>ف</w:t>
      </w:r>
      <w:r w:rsidR="009D18F9" w:rsidRPr="006571AC">
        <w:rPr>
          <w:rFonts w:hint="cs"/>
          <w:sz w:val="27"/>
          <w:rtl/>
        </w:rPr>
        <w:t>ٌ</w:t>
      </w:r>
      <w:r w:rsidRPr="006571AC">
        <w:rPr>
          <w:sz w:val="27"/>
          <w:rtl/>
        </w:rPr>
        <w:t xml:space="preserve">. </w:t>
      </w:r>
    </w:p>
    <w:p w:rsidR="00C37790" w:rsidRPr="006571AC" w:rsidRDefault="00C37790" w:rsidP="00C0404B">
      <w:pPr>
        <w:rPr>
          <w:sz w:val="27"/>
          <w:rtl/>
        </w:rPr>
      </w:pPr>
      <w:r w:rsidRPr="006571AC">
        <w:rPr>
          <w:sz w:val="27"/>
          <w:rtl/>
        </w:rPr>
        <w:t>ولا يخرج ما بعد الج</w:t>
      </w:r>
      <w:r w:rsidR="00326182" w:rsidRPr="006571AC">
        <w:rPr>
          <w:rFonts w:hint="cs"/>
          <w:sz w:val="27"/>
          <w:rtl/>
        </w:rPr>
        <w:t>َ</w:t>
      </w:r>
      <w:r w:rsidRPr="006571AC">
        <w:rPr>
          <w:sz w:val="27"/>
          <w:rtl/>
        </w:rPr>
        <w:t>ع</w:t>
      </w:r>
      <w:r w:rsidR="00326182" w:rsidRPr="006571AC">
        <w:rPr>
          <w:rFonts w:hint="cs"/>
          <w:sz w:val="27"/>
          <w:rtl/>
        </w:rPr>
        <w:t>ْ</w:t>
      </w:r>
      <w:r w:rsidRPr="006571AC">
        <w:rPr>
          <w:sz w:val="27"/>
          <w:rtl/>
        </w:rPr>
        <w:t xml:space="preserve">ل أيضاً عن حالتين دائرتين بين النفي والإثبات: </w:t>
      </w:r>
    </w:p>
    <w:p w:rsidR="00C37790" w:rsidRPr="006571AC" w:rsidRDefault="00C37790" w:rsidP="00C0404B">
      <w:pPr>
        <w:rPr>
          <w:sz w:val="27"/>
          <w:rtl/>
        </w:rPr>
      </w:pPr>
      <w:r w:rsidRPr="006571AC">
        <w:rPr>
          <w:sz w:val="27"/>
          <w:rtl/>
        </w:rPr>
        <w:t>أ</w:t>
      </w:r>
      <w:r w:rsidRPr="006571AC">
        <w:rPr>
          <w:rFonts w:hint="cs"/>
          <w:sz w:val="27"/>
          <w:rtl/>
        </w:rPr>
        <w:t xml:space="preserve">ـ </w:t>
      </w:r>
      <w:r w:rsidRPr="006571AC">
        <w:rPr>
          <w:sz w:val="27"/>
          <w:rtl/>
        </w:rPr>
        <w:t xml:space="preserve">إمّا أن يكون الحكم قد تمّ تبليغه بعد جعله. </w:t>
      </w:r>
    </w:p>
    <w:p w:rsidR="00C37790" w:rsidRPr="006571AC" w:rsidRDefault="00C37790" w:rsidP="00C0404B">
      <w:pPr>
        <w:rPr>
          <w:sz w:val="27"/>
          <w:rtl/>
        </w:rPr>
      </w:pPr>
      <w:r w:rsidRPr="006571AC">
        <w:rPr>
          <w:sz w:val="27"/>
          <w:rtl/>
        </w:rPr>
        <w:t xml:space="preserve">ب </w:t>
      </w:r>
      <w:r w:rsidRPr="006571AC">
        <w:rPr>
          <w:rFonts w:hint="cs"/>
          <w:sz w:val="27"/>
          <w:rtl/>
        </w:rPr>
        <w:t xml:space="preserve">ـ </w:t>
      </w:r>
      <w:r w:rsidRPr="006571AC">
        <w:rPr>
          <w:sz w:val="27"/>
          <w:rtl/>
        </w:rPr>
        <w:t xml:space="preserve">أو لا يكون الحكم قد تمّ تبليغه بعد جعله. </w:t>
      </w:r>
    </w:p>
    <w:p w:rsidR="009D18F9" w:rsidRPr="006571AC" w:rsidRDefault="00C37790" w:rsidP="00C0404B">
      <w:pPr>
        <w:rPr>
          <w:sz w:val="27"/>
          <w:rtl/>
        </w:rPr>
      </w:pPr>
      <w:r w:rsidRPr="006571AC">
        <w:rPr>
          <w:sz w:val="27"/>
          <w:rtl/>
        </w:rPr>
        <w:t>والحالة الأولى لا تخرج عن صورتين أيضاً، دائرتين بين النفي والإثبات</w:t>
      </w:r>
      <w:r w:rsidR="009D18F9" w:rsidRPr="006571AC">
        <w:rPr>
          <w:sz w:val="27"/>
          <w:rtl/>
        </w:rPr>
        <w:t>:</w:t>
      </w:r>
    </w:p>
    <w:p w:rsidR="009D18F9" w:rsidRPr="006571AC" w:rsidRDefault="00C37790" w:rsidP="00C0404B">
      <w:pPr>
        <w:rPr>
          <w:sz w:val="27"/>
          <w:rtl/>
        </w:rPr>
      </w:pPr>
      <w:r w:rsidRPr="006571AC">
        <w:rPr>
          <w:sz w:val="27"/>
          <w:rtl/>
        </w:rPr>
        <w:t>إمّا أن يكون الحكم قد جعل وتمّ تبليغه، لكن</w:t>
      </w:r>
      <w:r w:rsidR="009D18F9" w:rsidRPr="006571AC">
        <w:rPr>
          <w:rFonts w:hint="cs"/>
          <w:sz w:val="27"/>
          <w:rtl/>
        </w:rPr>
        <w:t>ْ</w:t>
      </w:r>
      <w:r w:rsidRPr="006571AC">
        <w:rPr>
          <w:sz w:val="27"/>
          <w:rtl/>
        </w:rPr>
        <w:t xml:space="preserve"> لم يص</w:t>
      </w:r>
      <w:r w:rsidR="009D18F9" w:rsidRPr="006571AC">
        <w:rPr>
          <w:rFonts w:hint="cs"/>
          <w:sz w:val="27"/>
          <w:rtl/>
        </w:rPr>
        <w:t>ِ</w:t>
      </w:r>
      <w:r w:rsidRPr="006571AC">
        <w:rPr>
          <w:sz w:val="27"/>
          <w:rtl/>
        </w:rPr>
        <w:t>ل</w:t>
      </w:r>
      <w:r w:rsidR="009D18F9" w:rsidRPr="006571AC">
        <w:rPr>
          <w:rFonts w:hint="cs"/>
          <w:sz w:val="27"/>
          <w:rtl/>
        </w:rPr>
        <w:t>ْ</w:t>
      </w:r>
      <w:r w:rsidRPr="006571AC">
        <w:rPr>
          <w:sz w:val="27"/>
          <w:rtl/>
        </w:rPr>
        <w:t xml:space="preserve"> إلينا. وفي هذه الصورة تجري البراءة.</w:t>
      </w:r>
    </w:p>
    <w:p w:rsidR="00C37790" w:rsidRPr="006571AC" w:rsidRDefault="00C37790" w:rsidP="00C0404B">
      <w:pPr>
        <w:rPr>
          <w:sz w:val="27"/>
          <w:rtl/>
        </w:rPr>
      </w:pPr>
      <w:r w:rsidRPr="006571AC">
        <w:rPr>
          <w:sz w:val="27"/>
          <w:rtl/>
        </w:rPr>
        <w:t>وإمّا أن يكون الحكم قد وصل إلينا، وحينئذ</w:t>
      </w:r>
      <w:r w:rsidR="009D18F9" w:rsidRPr="006571AC">
        <w:rPr>
          <w:rFonts w:hint="cs"/>
          <w:sz w:val="27"/>
          <w:rtl/>
        </w:rPr>
        <w:t>ٍ</w:t>
      </w:r>
      <w:r w:rsidRPr="006571AC">
        <w:rPr>
          <w:sz w:val="27"/>
          <w:rtl/>
        </w:rPr>
        <w:t xml:space="preserve"> سيقع في دائرة الاستثناء من القاعدة الأوّلية. </w:t>
      </w:r>
    </w:p>
    <w:p w:rsidR="009D18F9" w:rsidRPr="006571AC" w:rsidRDefault="00C37790" w:rsidP="00C0404B">
      <w:pPr>
        <w:rPr>
          <w:sz w:val="27"/>
          <w:rtl/>
        </w:rPr>
      </w:pPr>
      <w:r w:rsidRPr="006571AC">
        <w:rPr>
          <w:sz w:val="27"/>
          <w:rtl/>
        </w:rPr>
        <w:t xml:space="preserve">والحالة الثانية </w:t>
      </w:r>
      <w:r w:rsidRPr="006571AC">
        <w:rPr>
          <w:rFonts w:hint="eastAsia"/>
          <w:sz w:val="24"/>
          <w:szCs w:val="24"/>
          <w:rtl/>
        </w:rPr>
        <w:t>«</w:t>
      </w:r>
      <w:r w:rsidRPr="006571AC">
        <w:rPr>
          <w:sz w:val="27"/>
          <w:rtl/>
        </w:rPr>
        <w:t>ب</w:t>
      </w:r>
      <w:r w:rsidRPr="006571AC">
        <w:rPr>
          <w:rFonts w:hint="eastAsia"/>
          <w:sz w:val="24"/>
          <w:szCs w:val="24"/>
          <w:rtl/>
        </w:rPr>
        <w:t>»</w:t>
      </w:r>
      <w:r w:rsidRPr="006571AC">
        <w:rPr>
          <w:rFonts w:hint="cs"/>
          <w:sz w:val="27"/>
          <w:rtl/>
        </w:rPr>
        <w:t xml:space="preserve"> </w:t>
      </w:r>
      <w:r w:rsidRPr="006571AC">
        <w:rPr>
          <w:sz w:val="27"/>
          <w:rtl/>
        </w:rPr>
        <w:t>لا تخرج عن صورتين كذلك</w:t>
      </w:r>
      <w:r w:rsidR="009D18F9" w:rsidRPr="006571AC">
        <w:rPr>
          <w:sz w:val="27"/>
          <w:rtl/>
        </w:rPr>
        <w:t>:</w:t>
      </w:r>
    </w:p>
    <w:p w:rsidR="009D18F9" w:rsidRPr="006571AC" w:rsidRDefault="00C37790" w:rsidP="00C0404B">
      <w:pPr>
        <w:rPr>
          <w:sz w:val="27"/>
          <w:rtl/>
        </w:rPr>
      </w:pPr>
      <w:r w:rsidRPr="006571AC">
        <w:rPr>
          <w:sz w:val="27"/>
          <w:rtl/>
        </w:rPr>
        <w:t>إمّا أن لا يكون لعدم تبليغه مبرّ</w:t>
      </w:r>
      <w:r w:rsidR="009D18F9" w:rsidRPr="006571AC">
        <w:rPr>
          <w:rFonts w:hint="cs"/>
          <w:sz w:val="27"/>
          <w:rtl/>
        </w:rPr>
        <w:t>ِ</w:t>
      </w:r>
      <w:r w:rsidRPr="006571AC">
        <w:rPr>
          <w:sz w:val="27"/>
          <w:rtl/>
        </w:rPr>
        <w:t>ر</w:t>
      </w:r>
      <w:r w:rsidR="009D18F9" w:rsidRPr="006571AC">
        <w:rPr>
          <w:rFonts w:hint="cs"/>
          <w:sz w:val="27"/>
          <w:rtl/>
        </w:rPr>
        <w:t>ٌ</w:t>
      </w:r>
      <w:r w:rsidRPr="006571AC">
        <w:rPr>
          <w:sz w:val="27"/>
          <w:rtl/>
        </w:rPr>
        <w:t>، وهذا غير متناسب</w:t>
      </w:r>
      <w:r w:rsidR="009D18F9" w:rsidRPr="006571AC">
        <w:rPr>
          <w:rFonts w:hint="cs"/>
          <w:sz w:val="27"/>
          <w:rtl/>
        </w:rPr>
        <w:t>ٍ</w:t>
      </w:r>
      <w:r w:rsidRPr="006571AC">
        <w:rPr>
          <w:sz w:val="27"/>
          <w:rtl/>
        </w:rPr>
        <w:t xml:space="preserve"> مع حكمة الشارع</w:t>
      </w:r>
      <w:r w:rsidR="009D18F9" w:rsidRPr="006571AC">
        <w:rPr>
          <w:rFonts w:hint="cs"/>
          <w:sz w:val="27"/>
          <w:rtl/>
        </w:rPr>
        <w:t>.</w:t>
      </w:r>
    </w:p>
    <w:p w:rsidR="00C37790" w:rsidRPr="006571AC" w:rsidRDefault="00C37790" w:rsidP="00C0404B">
      <w:pPr>
        <w:rPr>
          <w:sz w:val="27"/>
          <w:rtl/>
        </w:rPr>
      </w:pPr>
      <w:r w:rsidRPr="006571AC">
        <w:rPr>
          <w:sz w:val="27"/>
          <w:rtl/>
        </w:rPr>
        <w:t>وإمّا أن يكون له مبرّ</w:t>
      </w:r>
      <w:r w:rsidR="009D18F9" w:rsidRPr="006571AC">
        <w:rPr>
          <w:rFonts w:hint="cs"/>
          <w:sz w:val="27"/>
          <w:rtl/>
        </w:rPr>
        <w:t>ِ</w:t>
      </w:r>
      <w:r w:rsidRPr="006571AC">
        <w:rPr>
          <w:sz w:val="27"/>
          <w:rtl/>
        </w:rPr>
        <w:t>ر</w:t>
      </w:r>
      <w:r w:rsidR="009D18F9" w:rsidRPr="006571AC">
        <w:rPr>
          <w:rFonts w:hint="cs"/>
          <w:sz w:val="27"/>
          <w:rtl/>
        </w:rPr>
        <w:t>ٌ</w:t>
      </w:r>
      <w:r w:rsidRPr="006571AC">
        <w:rPr>
          <w:sz w:val="27"/>
          <w:rtl/>
        </w:rPr>
        <w:t xml:space="preserve">، وفي هذه الصورة لم يتمّ تبليغ الحكم حتّى يكون منجّزاً. </w:t>
      </w:r>
    </w:p>
    <w:p w:rsidR="00C37790" w:rsidRPr="006571AC" w:rsidRDefault="00C37790" w:rsidP="00C0404B">
      <w:pPr>
        <w:rPr>
          <w:sz w:val="27"/>
          <w:rtl/>
        </w:rPr>
      </w:pPr>
      <w:r w:rsidRPr="006571AC">
        <w:rPr>
          <w:sz w:val="27"/>
          <w:rtl/>
        </w:rPr>
        <w:t>وبناءً عليه، إذا لم يعثر الفقيه بعد التتبّ</w:t>
      </w:r>
      <w:r w:rsidR="00454D39" w:rsidRPr="006571AC">
        <w:rPr>
          <w:rFonts w:hint="cs"/>
          <w:sz w:val="27"/>
          <w:rtl/>
        </w:rPr>
        <w:t>ُ</w:t>
      </w:r>
      <w:r w:rsidRPr="006571AC">
        <w:rPr>
          <w:sz w:val="27"/>
          <w:rtl/>
        </w:rPr>
        <w:t>ع والتأمّ</w:t>
      </w:r>
      <w:r w:rsidR="00454D39" w:rsidRPr="006571AC">
        <w:rPr>
          <w:rFonts w:hint="cs"/>
          <w:sz w:val="27"/>
          <w:rtl/>
        </w:rPr>
        <w:t>ُ</w:t>
      </w:r>
      <w:r w:rsidRPr="006571AC">
        <w:rPr>
          <w:sz w:val="27"/>
          <w:rtl/>
        </w:rPr>
        <w:t>ل على دليل</w:t>
      </w:r>
      <w:r w:rsidR="00454D39" w:rsidRPr="006571AC">
        <w:rPr>
          <w:rFonts w:hint="cs"/>
          <w:sz w:val="27"/>
          <w:rtl/>
        </w:rPr>
        <w:t>ٍ</w:t>
      </w:r>
      <w:r w:rsidRPr="006571AC">
        <w:rPr>
          <w:sz w:val="27"/>
          <w:rtl/>
        </w:rPr>
        <w:t xml:space="preserve"> معتبر يفيد البطلان فإنّه يستنتج من عدم وجود دليل</w:t>
      </w:r>
      <w:r w:rsidR="00454D39" w:rsidRPr="006571AC">
        <w:rPr>
          <w:rFonts w:hint="cs"/>
          <w:sz w:val="27"/>
          <w:rtl/>
        </w:rPr>
        <w:t>ٍ</w:t>
      </w:r>
      <w:r w:rsidRPr="006571AC">
        <w:rPr>
          <w:sz w:val="27"/>
          <w:rtl/>
        </w:rPr>
        <w:t xml:space="preserve"> معتبر على البطلان، واستناداً إلى الأسس السابقة، كون هذه السيرة معتبرة</w:t>
      </w:r>
      <w:r w:rsidR="00454D39" w:rsidRPr="006571AC">
        <w:rPr>
          <w:rFonts w:hint="cs"/>
          <w:sz w:val="27"/>
          <w:rtl/>
        </w:rPr>
        <w:t>ً</w:t>
      </w:r>
      <w:r w:rsidRPr="006571AC">
        <w:rPr>
          <w:sz w:val="27"/>
          <w:rtl/>
        </w:rPr>
        <w:t xml:space="preserve">. </w:t>
      </w:r>
    </w:p>
    <w:p w:rsidR="00C37790" w:rsidRPr="006571AC" w:rsidRDefault="00454D39" w:rsidP="00C0404B">
      <w:pPr>
        <w:rPr>
          <w:sz w:val="27"/>
          <w:rtl/>
        </w:rPr>
      </w:pPr>
      <w:r w:rsidRPr="006571AC">
        <w:rPr>
          <w:rFonts w:hint="cs"/>
          <w:sz w:val="27"/>
          <w:rtl/>
        </w:rPr>
        <w:t>ومضافاً</w:t>
      </w:r>
      <w:r w:rsidR="00C37790" w:rsidRPr="006571AC">
        <w:rPr>
          <w:sz w:val="27"/>
          <w:rtl/>
        </w:rPr>
        <w:t xml:space="preserve"> إلى ذلك لدينا روايات</w:t>
      </w:r>
      <w:r w:rsidRPr="006571AC">
        <w:rPr>
          <w:rFonts w:hint="cs"/>
          <w:sz w:val="27"/>
          <w:rtl/>
        </w:rPr>
        <w:t>ٌ</w:t>
      </w:r>
      <w:r w:rsidR="00C37790" w:rsidRPr="006571AC">
        <w:rPr>
          <w:sz w:val="27"/>
          <w:rtl/>
        </w:rPr>
        <w:t xml:space="preserve"> ذكر فيها المعصومون</w:t>
      </w:r>
      <w:r w:rsidRPr="006571AC">
        <w:rPr>
          <w:rFonts w:ascii="Mosawi" w:hAnsi="Mosawi" w:cs="Mosawi"/>
          <w:sz w:val="22"/>
          <w:szCs w:val="22"/>
          <w:rtl/>
        </w:rPr>
        <w:t>^</w:t>
      </w:r>
      <w:r w:rsidR="004459D6" w:rsidRPr="006571AC">
        <w:rPr>
          <w:sz w:val="27"/>
          <w:rtl/>
        </w:rPr>
        <w:t xml:space="preserve"> </w:t>
      </w:r>
      <w:r w:rsidR="00C37790" w:rsidRPr="006571AC">
        <w:rPr>
          <w:sz w:val="27"/>
          <w:rtl/>
        </w:rPr>
        <w:t>رأيهم السلبي الرافض لأمور</w:t>
      </w:r>
      <w:r w:rsidR="00724354" w:rsidRPr="006571AC">
        <w:rPr>
          <w:rFonts w:hint="cs"/>
          <w:sz w:val="27"/>
          <w:rtl/>
        </w:rPr>
        <w:t>ٍ</w:t>
      </w:r>
      <w:r w:rsidR="00C37790" w:rsidRPr="006571AC">
        <w:rPr>
          <w:sz w:val="27"/>
          <w:rtl/>
        </w:rPr>
        <w:t xml:space="preserve"> مبغوضة، ستحصل في المستقبل</w:t>
      </w:r>
      <w:r w:rsidR="00C37790" w:rsidRPr="006571AC">
        <w:rPr>
          <w:sz w:val="27"/>
          <w:vertAlign w:val="superscript"/>
          <w:rtl/>
        </w:rPr>
        <w:t>(</w:t>
      </w:r>
      <w:r w:rsidR="00C37790" w:rsidRPr="006571AC">
        <w:rPr>
          <w:rStyle w:val="ac"/>
          <w:sz w:val="27"/>
          <w:rtl/>
        </w:rPr>
        <w:endnoteReference w:id="96"/>
      </w:r>
      <w:r w:rsidR="00C37790" w:rsidRPr="006571AC">
        <w:rPr>
          <w:sz w:val="27"/>
          <w:vertAlign w:val="superscript"/>
          <w:rtl/>
        </w:rPr>
        <w:t>)</w:t>
      </w:r>
      <w:r w:rsidR="00C37790" w:rsidRPr="006571AC">
        <w:rPr>
          <w:sz w:val="27"/>
          <w:rtl/>
        </w:rPr>
        <w:t xml:space="preserve">. </w:t>
      </w:r>
    </w:p>
    <w:p w:rsidR="00ED1ECC" w:rsidRPr="006571AC" w:rsidRDefault="00ED1ECC" w:rsidP="00ED1ECC">
      <w:pPr>
        <w:spacing w:line="420" w:lineRule="exact"/>
        <w:rPr>
          <w:sz w:val="27"/>
          <w:rtl/>
        </w:rPr>
      </w:pPr>
    </w:p>
    <w:p w:rsidR="00C37790" w:rsidRPr="006571AC" w:rsidRDefault="00326182" w:rsidP="00657D34">
      <w:pPr>
        <w:pStyle w:val="31"/>
        <w:rPr>
          <w:color w:val="auto"/>
          <w:rtl/>
        </w:rPr>
      </w:pPr>
      <w:bookmarkStart w:id="50" w:name="_Toc114164539"/>
      <w:r w:rsidRPr="006571AC">
        <w:rPr>
          <w:rFonts w:hint="cs"/>
          <w:color w:val="auto"/>
          <w:rtl/>
        </w:rPr>
        <w:t>6ـ</w:t>
      </w:r>
      <w:r w:rsidR="00C37790" w:rsidRPr="006571AC">
        <w:rPr>
          <w:color w:val="auto"/>
          <w:rtl/>
        </w:rPr>
        <w:t xml:space="preserve"> المسؤولي</w:t>
      </w:r>
      <w:r w:rsidRPr="006571AC">
        <w:rPr>
          <w:rFonts w:hint="cs"/>
          <w:color w:val="auto"/>
          <w:rtl/>
        </w:rPr>
        <w:t>ّ</w:t>
      </w:r>
      <w:r w:rsidR="00C37790" w:rsidRPr="006571AC">
        <w:rPr>
          <w:color w:val="auto"/>
          <w:rtl/>
        </w:rPr>
        <w:t>ة الدائمة لهداية البشريّة</w:t>
      </w:r>
      <w:bookmarkEnd w:id="50"/>
      <w:r w:rsidR="00C37790" w:rsidRPr="006571AC">
        <w:rPr>
          <w:color w:val="auto"/>
          <w:rtl/>
        </w:rPr>
        <w:t xml:space="preserve"> </w:t>
      </w:r>
    </w:p>
    <w:p w:rsidR="00C37790" w:rsidRPr="006571AC" w:rsidRDefault="00C37790" w:rsidP="00C0404B">
      <w:pPr>
        <w:rPr>
          <w:sz w:val="27"/>
          <w:rtl/>
        </w:rPr>
      </w:pPr>
      <w:r w:rsidRPr="006571AC">
        <w:rPr>
          <w:sz w:val="27"/>
          <w:rtl/>
        </w:rPr>
        <w:t xml:space="preserve">ويمكننا توضيح هذا الدليل عبر المقدّمات التالية: </w:t>
      </w:r>
    </w:p>
    <w:p w:rsidR="00C37790" w:rsidRPr="006571AC" w:rsidRDefault="00C37790" w:rsidP="00C0404B">
      <w:pPr>
        <w:rPr>
          <w:sz w:val="27"/>
          <w:rtl/>
        </w:rPr>
      </w:pPr>
      <w:r w:rsidRPr="006571AC">
        <w:rPr>
          <w:rFonts w:hint="cs"/>
          <w:sz w:val="27"/>
          <w:rtl/>
        </w:rPr>
        <w:t>1ـ لم</w:t>
      </w:r>
      <w:r w:rsidRPr="006571AC">
        <w:rPr>
          <w:sz w:val="27"/>
          <w:rtl/>
        </w:rPr>
        <w:t xml:space="preserve"> </w:t>
      </w:r>
      <w:r w:rsidRPr="006571AC">
        <w:rPr>
          <w:rFonts w:hint="cs"/>
          <w:sz w:val="27"/>
          <w:rtl/>
        </w:rPr>
        <w:t>يكن</w:t>
      </w:r>
      <w:r w:rsidRPr="006571AC">
        <w:rPr>
          <w:sz w:val="27"/>
          <w:rtl/>
        </w:rPr>
        <w:t xml:space="preserve"> </w:t>
      </w:r>
      <w:r w:rsidR="00EA38F1" w:rsidRPr="006571AC">
        <w:rPr>
          <w:rFonts w:hint="cs"/>
          <w:sz w:val="27"/>
          <w:rtl/>
        </w:rPr>
        <w:t>دَوْر</w:t>
      </w:r>
      <w:r w:rsidRPr="006571AC">
        <w:rPr>
          <w:sz w:val="27"/>
          <w:rtl/>
        </w:rPr>
        <w:t xml:space="preserve"> </w:t>
      </w:r>
      <w:r w:rsidRPr="006571AC">
        <w:rPr>
          <w:rFonts w:hint="cs"/>
          <w:sz w:val="27"/>
          <w:rtl/>
        </w:rPr>
        <w:t>أيّ</w:t>
      </w:r>
      <w:r w:rsidRPr="006571AC">
        <w:rPr>
          <w:sz w:val="27"/>
          <w:rtl/>
        </w:rPr>
        <w:t xml:space="preserve"> </w:t>
      </w:r>
      <w:r w:rsidRPr="006571AC">
        <w:rPr>
          <w:rFonts w:hint="cs"/>
          <w:sz w:val="27"/>
          <w:rtl/>
        </w:rPr>
        <w:t>دين</w:t>
      </w:r>
      <w:r w:rsidR="00724354" w:rsidRPr="006571AC">
        <w:rPr>
          <w:rFonts w:hint="cs"/>
          <w:sz w:val="27"/>
          <w:rtl/>
        </w:rPr>
        <w:t xml:space="preserve">ٍ </w:t>
      </w:r>
      <w:r w:rsidRPr="006571AC">
        <w:rPr>
          <w:rFonts w:hint="cs"/>
          <w:sz w:val="27"/>
          <w:rtl/>
        </w:rPr>
        <w:t>من</w:t>
      </w:r>
      <w:r w:rsidRPr="006571AC">
        <w:rPr>
          <w:sz w:val="27"/>
          <w:rtl/>
        </w:rPr>
        <w:t xml:space="preserve"> </w:t>
      </w:r>
      <w:r w:rsidRPr="006571AC">
        <w:rPr>
          <w:rFonts w:hint="cs"/>
          <w:sz w:val="27"/>
          <w:rtl/>
        </w:rPr>
        <w:t>الأديان</w:t>
      </w:r>
      <w:r w:rsidRPr="006571AC">
        <w:rPr>
          <w:sz w:val="27"/>
          <w:rtl/>
        </w:rPr>
        <w:t xml:space="preserve"> </w:t>
      </w:r>
      <w:r w:rsidRPr="006571AC">
        <w:rPr>
          <w:rFonts w:hint="cs"/>
          <w:sz w:val="27"/>
          <w:rtl/>
        </w:rPr>
        <w:t>السماوية</w:t>
      </w:r>
      <w:r w:rsidRPr="006571AC">
        <w:rPr>
          <w:sz w:val="27"/>
          <w:rtl/>
        </w:rPr>
        <w:t xml:space="preserve"> </w:t>
      </w:r>
      <w:r w:rsidRPr="006571AC">
        <w:rPr>
          <w:rFonts w:hint="cs"/>
          <w:sz w:val="27"/>
          <w:rtl/>
        </w:rPr>
        <w:t>هداية</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زمنه</w:t>
      </w:r>
      <w:r w:rsidRPr="006571AC">
        <w:rPr>
          <w:sz w:val="27"/>
          <w:rtl/>
        </w:rPr>
        <w:t xml:space="preserve"> </w:t>
      </w:r>
      <w:r w:rsidRPr="006571AC">
        <w:rPr>
          <w:rFonts w:hint="cs"/>
          <w:sz w:val="27"/>
          <w:rtl/>
        </w:rPr>
        <w:t>فح</w:t>
      </w:r>
      <w:r w:rsidR="00724354" w:rsidRPr="006571AC">
        <w:rPr>
          <w:rFonts w:hint="cs"/>
          <w:sz w:val="27"/>
          <w:rtl/>
        </w:rPr>
        <w:t>َ</w:t>
      </w:r>
      <w:r w:rsidRPr="006571AC">
        <w:rPr>
          <w:rFonts w:hint="cs"/>
          <w:sz w:val="27"/>
          <w:rtl/>
        </w:rPr>
        <w:t>س</w:t>
      </w:r>
      <w:r w:rsidR="00724354" w:rsidRPr="006571AC">
        <w:rPr>
          <w:rFonts w:hint="cs"/>
          <w:sz w:val="27"/>
          <w:rtl/>
        </w:rPr>
        <w:t>ْ</w:t>
      </w:r>
      <w:r w:rsidRPr="006571AC">
        <w:rPr>
          <w:rFonts w:hint="cs"/>
          <w:sz w:val="27"/>
          <w:rtl/>
        </w:rPr>
        <w:t>ب، بل</w:t>
      </w:r>
      <w:r w:rsidRPr="006571AC">
        <w:rPr>
          <w:sz w:val="27"/>
          <w:rtl/>
        </w:rPr>
        <w:t xml:space="preserve"> </w:t>
      </w:r>
      <w:r w:rsidRPr="006571AC">
        <w:rPr>
          <w:rFonts w:hint="cs"/>
          <w:sz w:val="27"/>
          <w:rtl/>
        </w:rPr>
        <w:t>كلّ</w:t>
      </w:r>
      <w:r w:rsidRPr="006571AC">
        <w:rPr>
          <w:sz w:val="27"/>
          <w:rtl/>
        </w:rPr>
        <w:t xml:space="preserve"> </w:t>
      </w:r>
      <w:r w:rsidRPr="006571AC">
        <w:rPr>
          <w:rFonts w:hint="cs"/>
          <w:sz w:val="27"/>
          <w:rtl/>
        </w:rPr>
        <w:t>الأديان</w:t>
      </w:r>
      <w:r w:rsidRPr="006571AC">
        <w:rPr>
          <w:sz w:val="27"/>
          <w:rtl/>
        </w:rPr>
        <w:t xml:space="preserve"> </w:t>
      </w:r>
      <w:r w:rsidRPr="006571AC">
        <w:rPr>
          <w:rFonts w:hint="cs"/>
          <w:sz w:val="27"/>
          <w:rtl/>
        </w:rPr>
        <w:t>كانت</w:t>
      </w:r>
      <w:r w:rsidRPr="006571AC">
        <w:rPr>
          <w:sz w:val="27"/>
          <w:rtl/>
        </w:rPr>
        <w:t xml:space="preserve"> </w:t>
      </w:r>
      <w:r w:rsidRPr="006571AC">
        <w:rPr>
          <w:rFonts w:hint="cs"/>
          <w:sz w:val="27"/>
          <w:rtl/>
        </w:rPr>
        <w:t>تتحمّل</w:t>
      </w:r>
      <w:r w:rsidRPr="006571AC">
        <w:rPr>
          <w:sz w:val="27"/>
          <w:rtl/>
        </w:rPr>
        <w:t xml:space="preserve"> </w:t>
      </w:r>
      <w:r w:rsidRPr="006571AC">
        <w:rPr>
          <w:rFonts w:hint="cs"/>
          <w:sz w:val="27"/>
          <w:rtl/>
        </w:rPr>
        <w:t>مسؤ</w:t>
      </w:r>
      <w:r w:rsidR="00724354" w:rsidRPr="006571AC">
        <w:rPr>
          <w:rFonts w:hint="cs"/>
          <w:sz w:val="27"/>
          <w:rtl/>
        </w:rPr>
        <w:t>و</w:t>
      </w:r>
      <w:r w:rsidRPr="006571AC">
        <w:rPr>
          <w:rFonts w:hint="cs"/>
          <w:sz w:val="27"/>
          <w:rtl/>
        </w:rPr>
        <w:t>لية</w:t>
      </w:r>
      <w:r w:rsidRPr="006571AC">
        <w:rPr>
          <w:sz w:val="27"/>
          <w:rtl/>
        </w:rPr>
        <w:t xml:space="preserve"> </w:t>
      </w:r>
      <w:r w:rsidRPr="006571AC">
        <w:rPr>
          <w:rFonts w:hint="cs"/>
          <w:sz w:val="27"/>
          <w:rtl/>
        </w:rPr>
        <w:t>هداية</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أزمانها، وم</w:t>
      </w:r>
      <w:r w:rsidR="00724354" w:rsidRPr="006571AC">
        <w:rPr>
          <w:rFonts w:hint="cs"/>
          <w:sz w:val="27"/>
          <w:rtl/>
        </w:rPr>
        <w:t>َ</w:t>
      </w:r>
      <w:r w:rsidRPr="006571AC">
        <w:rPr>
          <w:rFonts w:hint="cs"/>
          <w:sz w:val="27"/>
          <w:rtl/>
        </w:rPr>
        <w:t>ن</w:t>
      </w:r>
      <w:r w:rsidR="00724354" w:rsidRPr="006571AC">
        <w:rPr>
          <w:rFonts w:hint="cs"/>
          <w:sz w:val="27"/>
          <w:rtl/>
        </w:rPr>
        <w:t>ْ</w:t>
      </w:r>
      <w:r w:rsidRPr="006571AC">
        <w:rPr>
          <w:sz w:val="27"/>
          <w:rtl/>
        </w:rPr>
        <w:t xml:space="preserve"> </w:t>
      </w:r>
      <w:r w:rsidRPr="006571AC">
        <w:rPr>
          <w:rFonts w:hint="cs"/>
          <w:sz w:val="27"/>
          <w:rtl/>
        </w:rPr>
        <w:t>بعدهم</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أجيال</w:t>
      </w:r>
      <w:r w:rsidR="00724354" w:rsidRPr="006571AC">
        <w:rPr>
          <w:rFonts w:hint="cs"/>
          <w:sz w:val="27"/>
          <w:rtl/>
        </w:rPr>
        <w:t>ٍ</w:t>
      </w:r>
      <w:r w:rsidRPr="006571AC">
        <w:rPr>
          <w:rFonts w:hint="cs"/>
          <w:sz w:val="27"/>
          <w:rtl/>
        </w:rPr>
        <w:t>، إلى</w:t>
      </w:r>
      <w:r w:rsidRPr="006571AC">
        <w:rPr>
          <w:sz w:val="27"/>
          <w:rtl/>
        </w:rPr>
        <w:t xml:space="preserve"> </w:t>
      </w:r>
      <w:r w:rsidRPr="006571AC">
        <w:rPr>
          <w:rFonts w:hint="cs"/>
          <w:sz w:val="27"/>
          <w:rtl/>
        </w:rPr>
        <w:t>حين</w:t>
      </w:r>
      <w:r w:rsidRPr="006571AC">
        <w:rPr>
          <w:sz w:val="27"/>
          <w:rtl/>
        </w:rPr>
        <w:t xml:space="preserve"> </w:t>
      </w:r>
      <w:r w:rsidRPr="006571AC">
        <w:rPr>
          <w:rFonts w:hint="cs"/>
          <w:sz w:val="27"/>
          <w:rtl/>
        </w:rPr>
        <w:lastRenderedPageBreak/>
        <w:t>بعثة</w:t>
      </w:r>
      <w:r w:rsidRPr="006571AC">
        <w:rPr>
          <w:sz w:val="27"/>
          <w:rtl/>
        </w:rPr>
        <w:t xml:space="preserve"> </w:t>
      </w:r>
      <w:r w:rsidRPr="006571AC">
        <w:rPr>
          <w:rFonts w:hint="cs"/>
          <w:sz w:val="27"/>
          <w:rtl/>
        </w:rPr>
        <w:t>نبيّ</w:t>
      </w:r>
      <w:r w:rsidR="00724354" w:rsidRPr="006571AC">
        <w:rPr>
          <w:rFonts w:hint="cs"/>
          <w:sz w:val="27"/>
          <w:rtl/>
        </w:rPr>
        <w:t>ٍ</w:t>
      </w:r>
      <w:r w:rsidRPr="006571AC">
        <w:rPr>
          <w:sz w:val="27"/>
          <w:rtl/>
        </w:rPr>
        <w:t xml:space="preserve"> </w:t>
      </w:r>
      <w:r w:rsidRPr="006571AC">
        <w:rPr>
          <w:rFonts w:hint="cs"/>
          <w:sz w:val="27"/>
          <w:rtl/>
        </w:rPr>
        <w:t>جديد</w:t>
      </w:r>
      <w:r w:rsidRPr="006571AC">
        <w:rPr>
          <w:sz w:val="27"/>
          <w:rtl/>
        </w:rPr>
        <w:t xml:space="preserve">. </w:t>
      </w:r>
    </w:p>
    <w:p w:rsidR="00C37790" w:rsidRPr="006571AC" w:rsidRDefault="00C37790" w:rsidP="00C0404B">
      <w:pPr>
        <w:rPr>
          <w:sz w:val="27"/>
          <w:rtl/>
        </w:rPr>
      </w:pPr>
      <w:r w:rsidRPr="006571AC">
        <w:rPr>
          <w:rFonts w:hint="cs"/>
          <w:sz w:val="27"/>
          <w:rtl/>
        </w:rPr>
        <w:t>2ـ توجد</w:t>
      </w:r>
      <w:r w:rsidRPr="006571AC">
        <w:rPr>
          <w:sz w:val="27"/>
          <w:rtl/>
        </w:rPr>
        <w:t xml:space="preserve"> </w:t>
      </w:r>
      <w:r w:rsidRPr="006571AC">
        <w:rPr>
          <w:rFonts w:hint="cs"/>
          <w:sz w:val="27"/>
          <w:rtl/>
        </w:rPr>
        <w:t>أدلّة</w:t>
      </w:r>
      <w:r w:rsidR="00F37ED9" w:rsidRPr="006571AC">
        <w:rPr>
          <w:rFonts w:hint="cs"/>
          <w:sz w:val="27"/>
          <w:rtl/>
        </w:rPr>
        <w:t>ٌ</w:t>
      </w:r>
      <w:r w:rsidRPr="006571AC">
        <w:rPr>
          <w:sz w:val="27"/>
          <w:rtl/>
        </w:rPr>
        <w:t xml:space="preserve"> </w:t>
      </w:r>
      <w:r w:rsidRPr="006571AC">
        <w:rPr>
          <w:rFonts w:hint="cs"/>
          <w:sz w:val="27"/>
          <w:rtl/>
        </w:rPr>
        <w:t>متعدّ</w:t>
      </w:r>
      <w:r w:rsidR="00F37ED9" w:rsidRPr="006571AC">
        <w:rPr>
          <w:rFonts w:hint="cs"/>
          <w:sz w:val="27"/>
          <w:rtl/>
        </w:rPr>
        <w:t>ِ</w:t>
      </w:r>
      <w:r w:rsidRPr="006571AC">
        <w:rPr>
          <w:rFonts w:hint="cs"/>
          <w:sz w:val="27"/>
          <w:rtl/>
        </w:rPr>
        <w:t>دة</w:t>
      </w:r>
      <w:r w:rsidRPr="006571AC">
        <w:rPr>
          <w:sz w:val="27"/>
          <w:rtl/>
        </w:rPr>
        <w:t xml:space="preserve"> </w:t>
      </w:r>
      <w:r w:rsidRPr="006571AC">
        <w:rPr>
          <w:rFonts w:hint="cs"/>
          <w:sz w:val="27"/>
          <w:rtl/>
        </w:rPr>
        <w:t>وم</w:t>
      </w:r>
      <w:r w:rsidR="00F37ED9" w:rsidRPr="006571AC">
        <w:rPr>
          <w:rFonts w:hint="cs"/>
          <w:sz w:val="27"/>
          <w:rtl/>
        </w:rPr>
        <w:t>ُ</w:t>
      </w:r>
      <w:r w:rsidRPr="006571AC">
        <w:rPr>
          <w:rFonts w:hint="cs"/>
          <w:sz w:val="27"/>
          <w:rtl/>
        </w:rPr>
        <w:t>ح</w:t>
      </w:r>
      <w:r w:rsidR="00F37ED9" w:rsidRPr="006571AC">
        <w:rPr>
          <w:rFonts w:hint="cs"/>
          <w:sz w:val="27"/>
          <w:rtl/>
        </w:rPr>
        <w:t>ْ</w:t>
      </w:r>
      <w:r w:rsidRPr="006571AC">
        <w:rPr>
          <w:rFonts w:hint="cs"/>
          <w:sz w:val="27"/>
          <w:rtl/>
        </w:rPr>
        <w:t>ك</w:t>
      </w:r>
      <w:r w:rsidR="00F37ED9" w:rsidRPr="006571AC">
        <w:rPr>
          <w:rFonts w:hint="cs"/>
          <w:sz w:val="27"/>
          <w:rtl/>
        </w:rPr>
        <w:t>َ</w:t>
      </w:r>
      <w:r w:rsidRPr="006571AC">
        <w:rPr>
          <w:rFonts w:hint="cs"/>
          <w:sz w:val="27"/>
          <w:rtl/>
        </w:rPr>
        <w:t>مة</w:t>
      </w:r>
      <w:r w:rsidRPr="006571AC">
        <w:rPr>
          <w:sz w:val="27"/>
          <w:rtl/>
        </w:rPr>
        <w:t xml:space="preserve"> </w:t>
      </w:r>
      <w:r w:rsidRPr="006571AC">
        <w:rPr>
          <w:rFonts w:hint="cs"/>
          <w:sz w:val="27"/>
          <w:rtl/>
        </w:rPr>
        <w:t>تدلّ</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نبيّ</w:t>
      </w:r>
      <w:r w:rsidRPr="006571AC">
        <w:rPr>
          <w:sz w:val="27"/>
          <w:rtl/>
        </w:rPr>
        <w:t xml:space="preserve"> </w:t>
      </w:r>
      <w:r w:rsidRPr="006571AC">
        <w:rPr>
          <w:rFonts w:hint="cs"/>
          <w:sz w:val="27"/>
          <w:rtl/>
        </w:rPr>
        <w:t>الإسلام</w:t>
      </w:r>
      <w:r w:rsidRPr="006571AC">
        <w:rPr>
          <w:sz w:val="27"/>
          <w:rtl/>
        </w:rPr>
        <w:t xml:space="preserve"> </w:t>
      </w:r>
      <w:r w:rsidRPr="006571AC">
        <w:rPr>
          <w:rFonts w:hint="cs"/>
          <w:sz w:val="27"/>
          <w:rtl/>
        </w:rPr>
        <w:t>الأعظم</w:t>
      </w:r>
      <w:r w:rsidR="00A022D4" w:rsidRPr="006571AC">
        <w:rPr>
          <w:rFonts w:ascii="Mosawi" w:hAnsi="Mosawi" w:cs="Mosawi"/>
          <w:sz w:val="22"/>
          <w:szCs w:val="22"/>
          <w:rtl/>
        </w:rPr>
        <w:t>|</w:t>
      </w:r>
      <w:r w:rsidRPr="006571AC">
        <w:rPr>
          <w:sz w:val="27"/>
          <w:rtl/>
        </w:rPr>
        <w:t xml:space="preserve"> </w:t>
      </w:r>
      <w:r w:rsidRPr="006571AC">
        <w:rPr>
          <w:rFonts w:hint="cs"/>
          <w:sz w:val="27"/>
          <w:rtl/>
        </w:rPr>
        <w:t>آخر</w:t>
      </w:r>
      <w:r w:rsidRPr="006571AC">
        <w:rPr>
          <w:sz w:val="27"/>
          <w:rtl/>
        </w:rPr>
        <w:t xml:space="preserve"> </w:t>
      </w:r>
      <w:r w:rsidRPr="006571AC">
        <w:rPr>
          <w:rFonts w:hint="cs"/>
          <w:sz w:val="27"/>
          <w:rtl/>
        </w:rPr>
        <w:t>الأنبياء</w:t>
      </w:r>
      <w:r w:rsidRPr="006571AC">
        <w:rPr>
          <w:sz w:val="27"/>
          <w:rtl/>
        </w:rPr>
        <w:t xml:space="preserve"> </w:t>
      </w:r>
      <w:r w:rsidRPr="006571AC">
        <w:rPr>
          <w:rFonts w:hint="cs"/>
          <w:sz w:val="27"/>
          <w:rtl/>
        </w:rPr>
        <w:t>الإلهيين، وأ</w:t>
      </w:r>
      <w:r w:rsidRPr="006571AC">
        <w:rPr>
          <w:sz w:val="27"/>
          <w:rtl/>
        </w:rPr>
        <w:t>نّ هداية الناس إلى يوم القيامة كانت مسؤوليته وفي عهدته، كقوله تعالى</w:t>
      </w:r>
      <w:r w:rsidRPr="006571AC">
        <w:rPr>
          <w:rFonts w:hint="cs"/>
          <w:sz w:val="27"/>
          <w:rtl/>
        </w:rPr>
        <w:t>:</w:t>
      </w:r>
      <w:r w:rsidRPr="006571AC">
        <w:rPr>
          <w:sz w:val="27"/>
          <w:rtl/>
        </w:rPr>
        <w:t xml:space="preserve"> </w:t>
      </w:r>
      <w:r w:rsidRPr="006571AC">
        <w:rPr>
          <w:rFonts w:ascii="Mosawi" w:hAnsi="Mosawi" w:cs="Mosawi"/>
          <w:sz w:val="24"/>
          <w:szCs w:val="24"/>
          <w:rtl/>
        </w:rPr>
        <w:t>﴿</w:t>
      </w:r>
      <w:r w:rsidRPr="006571AC">
        <w:rPr>
          <w:b/>
          <w:bCs/>
          <w:sz w:val="27"/>
          <w:rtl/>
        </w:rPr>
        <w:t>م</w:t>
      </w:r>
      <w:r w:rsidR="008F777D" w:rsidRPr="006571AC">
        <w:rPr>
          <w:rFonts w:hint="cs"/>
          <w:b/>
          <w:bCs/>
          <w:sz w:val="27"/>
          <w:rtl/>
        </w:rPr>
        <w:t>َ</w:t>
      </w:r>
      <w:r w:rsidRPr="006571AC">
        <w:rPr>
          <w:b/>
          <w:bCs/>
          <w:sz w:val="27"/>
          <w:rtl/>
        </w:rPr>
        <w:t>ا ك</w:t>
      </w:r>
      <w:r w:rsidR="008F777D" w:rsidRPr="006571AC">
        <w:rPr>
          <w:rFonts w:hint="cs"/>
          <w:b/>
          <w:bCs/>
          <w:sz w:val="27"/>
          <w:rtl/>
        </w:rPr>
        <w:t>َ</w:t>
      </w:r>
      <w:r w:rsidRPr="006571AC">
        <w:rPr>
          <w:b/>
          <w:bCs/>
          <w:sz w:val="27"/>
          <w:rtl/>
        </w:rPr>
        <w:t>ان</w:t>
      </w:r>
      <w:r w:rsidR="008F777D" w:rsidRPr="006571AC">
        <w:rPr>
          <w:rFonts w:hint="cs"/>
          <w:b/>
          <w:bCs/>
          <w:sz w:val="27"/>
          <w:rtl/>
        </w:rPr>
        <w:t>َ</w:t>
      </w:r>
      <w:r w:rsidRPr="006571AC">
        <w:rPr>
          <w:b/>
          <w:bCs/>
          <w:sz w:val="27"/>
          <w:rtl/>
        </w:rPr>
        <w:t xml:space="preserve"> م</w:t>
      </w:r>
      <w:r w:rsidR="008F777D" w:rsidRPr="006571AC">
        <w:rPr>
          <w:rFonts w:hint="cs"/>
          <w:b/>
          <w:bCs/>
          <w:sz w:val="27"/>
          <w:rtl/>
        </w:rPr>
        <w:t>ُ</w:t>
      </w:r>
      <w:r w:rsidRPr="006571AC">
        <w:rPr>
          <w:b/>
          <w:bCs/>
          <w:sz w:val="27"/>
          <w:rtl/>
        </w:rPr>
        <w:t>ح</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د</w:t>
      </w:r>
      <w:r w:rsidR="008F777D" w:rsidRPr="006571AC">
        <w:rPr>
          <w:rFonts w:hint="cs"/>
          <w:b/>
          <w:bCs/>
          <w:sz w:val="27"/>
          <w:rtl/>
        </w:rPr>
        <w:t>ٌ</w:t>
      </w:r>
      <w:r w:rsidRPr="006571AC">
        <w:rPr>
          <w:b/>
          <w:bCs/>
          <w:sz w:val="27"/>
          <w:rtl/>
        </w:rPr>
        <w:t xml:space="preserve"> أ</w:t>
      </w:r>
      <w:r w:rsidR="008F777D" w:rsidRPr="006571AC">
        <w:rPr>
          <w:rFonts w:hint="cs"/>
          <w:b/>
          <w:bCs/>
          <w:sz w:val="27"/>
          <w:rtl/>
        </w:rPr>
        <w:t>َ</w:t>
      </w:r>
      <w:r w:rsidRPr="006571AC">
        <w:rPr>
          <w:b/>
          <w:bCs/>
          <w:sz w:val="27"/>
          <w:rtl/>
        </w:rPr>
        <w:t>ب</w:t>
      </w:r>
      <w:r w:rsidR="008F777D" w:rsidRPr="006571AC">
        <w:rPr>
          <w:rFonts w:hint="cs"/>
          <w:b/>
          <w:bCs/>
          <w:sz w:val="27"/>
          <w:rtl/>
        </w:rPr>
        <w:t>َ</w:t>
      </w:r>
      <w:r w:rsidRPr="006571AC">
        <w:rPr>
          <w:b/>
          <w:bCs/>
          <w:sz w:val="27"/>
          <w:rtl/>
        </w:rPr>
        <w:t>ا أ</w:t>
      </w:r>
      <w:r w:rsidR="008F777D" w:rsidRPr="006571AC">
        <w:rPr>
          <w:rFonts w:hint="cs"/>
          <w:b/>
          <w:bCs/>
          <w:sz w:val="27"/>
          <w:rtl/>
        </w:rPr>
        <w:t>َ</w:t>
      </w:r>
      <w:r w:rsidRPr="006571AC">
        <w:rPr>
          <w:b/>
          <w:bCs/>
          <w:sz w:val="27"/>
          <w:rtl/>
        </w:rPr>
        <w:t>ح</w:t>
      </w:r>
      <w:r w:rsidR="008F777D" w:rsidRPr="006571AC">
        <w:rPr>
          <w:rFonts w:hint="cs"/>
          <w:b/>
          <w:bCs/>
          <w:sz w:val="27"/>
          <w:rtl/>
        </w:rPr>
        <w:t>َ</w:t>
      </w:r>
      <w:r w:rsidRPr="006571AC">
        <w:rPr>
          <w:b/>
          <w:bCs/>
          <w:sz w:val="27"/>
          <w:rtl/>
        </w:rPr>
        <w:t>د</w:t>
      </w:r>
      <w:r w:rsidR="008F777D" w:rsidRPr="006571AC">
        <w:rPr>
          <w:rFonts w:hint="cs"/>
          <w:b/>
          <w:bCs/>
          <w:sz w:val="27"/>
          <w:rtl/>
        </w:rPr>
        <w:t>ٍ</w:t>
      </w:r>
      <w:r w:rsidRPr="006571AC">
        <w:rPr>
          <w:b/>
          <w:bCs/>
          <w:sz w:val="27"/>
          <w:rtl/>
        </w:rPr>
        <w:t xml:space="preserve"> م</w:t>
      </w:r>
      <w:r w:rsidR="008F777D" w:rsidRPr="006571AC">
        <w:rPr>
          <w:rFonts w:hint="cs"/>
          <w:b/>
          <w:bCs/>
          <w:sz w:val="27"/>
          <w:rtl/>
        </w:rPr>
        <w:t>ِ</w:t>
      </w:r>
      <w:r w:rsidRPr="006571AC">
        <w:rPr>
          <w:b/>
          <w:bCs/>
          <w:sz w:val="27"/>
          <w:rtl/>
        </w:rPr>
        <w:t>ن</w:t>
      </w:r>
      <w:r w:rsidR="008F777D" w:rsidRPr="006571AC">
        <w:rPr>
          <w:rFonts w:hint="cs"/>
          <w:b/>
          <w:bCs/>
          <w:sz w:val="27"/>
          <w:rtl/>
        </w:rPr>
        <w:t>ْ</w:t>
      </w:r>
      <w:r w:rsidRPr="006571AC">
        <w:rPr>
          <w:b/>
          <w:bCs/>
          <w:sz w:val="27"/>
          <w:rtl/>
        </w:rPr>
        <w:t xml:space="preserve"> ر</w:t>
      </w:r>
      <w:r w:rsidR="008F777D" w:rsidRPr="006571AC">
        <w:rPr>
          <w:rFonts w:hint="cs"/>
          <w:b/>
          <w:bCs/>
          <w:sz w:val="27"/>
          <w:rtl/>
        </w:rPr>
        <w:t>ِ</w:t>
      </w:r>
      <w:r w:rsidRPr="006571AC">
        <w:rPr>
          <w:b/>
          <w:bCs/>
          <w:sz w:val="27"/>
          <w:rtl/>
        </w:rPr>
        <w:t>ج</w:t>
      </w:r>
      <w:r w:rsidR="008F777D" w:rsidRPr="006571AC">
        <w:rPr>
          <w:rFonts w:hint="cs"/>
          <w:b/>
          <w:bCs/>
          <w:sz w:val="27"/>
          <w:rtl/>
        </w:rPr>
        <w:t>َ</w:t>
      </w:r>
      <w:r w:rsidRPr="006571AC">
        <w:rPr>
          <w:b/>
          <w:bCs/>
          <w:sz w:val="27"/>
          <w:rtl/>
        </w:rPr>
        <w:t>ال</w:t>
      </w:r>
      <w:r w:rsidR="008F777D" w:rsidRPr="006571AC">
        <w:rPr>
          <w:rFonts w:hint="cs"/>
          <w:b/>
          <w:bCs/>
          <w:sz w:val="27"/>
          <w:rtl/>
        </w:rPr>
        <w:t>ِ</w:t>
      </w:r>
      <w:r w:rsidRPr="006571AC">
        <w:rPr>
          <w:b/>
          <w:bCs/>
          <w:sz w:val="27"/>
          <w:rtl/>
        </w:rPr>
        <w:t>ك</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 xml:space="preserve"> و</w:t>
      </w:r>
      <w:r w:rsidR="008F777D" w:rsidRPr="006571AC">
        <w:rPr>
          <w:rFonts w:hint="cs"/>
          <w:b/>
          <w:bCs/>
          <w:sz w:val="27"/>
          <w:rtl/>
        </w:rPr>
        <w:t>َ</w:t>
      </w:r>
      <w:r w:rsidRPr="006571AC">
        <w:rPr>
          <w:b/>
          <w:bCs/>
          <w:sz w:val="27"/>
          <w:rtl/>
        </w:rPr>
        <w:t>ل</w:t>
      </w:r>
      <w:r w:rsidR="008F777D" w:rsidRPr="006571AC">
        <w:rPr>
          <w:rFonts w:hint="cs"/>
          <w:b/>
          <w:bCs/>
          <w:sz w:val="27"/>
          <w:rtl/>
        </w:rPr>
        <w:t>َ</w:t>
      </w:r>
      <w:r w:rsidRPr="006571AC">
        <w:rPr>
          <w:b/>
          <w:bCs/>
          <w:sz w:val="27"/>
          <w:rtl/>
        </w:rPr>
        <w:t>ك</w:t>
      </w:r>
      <w:r w:rsidR="008F777D" w:rsidRPr="006571AC">
        <w:rPr>
          <w:rFonts w:hint="cs"/>
          <w:b/>
          <w:bCs/>
          <w:sz w:val="27"/>
          <w:rtl/>
        </w:rPr>
        <w:t>ِ</w:t>
      </w:r>
      <w:r w:rsidRPr="006571AC">
        <w:rPr>
          <w:b/>
          <w:bCs/>
          <w:sz w:val="27"/>
          <w:rtl/>
        </w:rPr>
        <w:t>ن</w:t>
      </w:r>
      <w:r w:rsidR="008F777D" w:rsidRPr="006571AC">
        <w:rPr>
          <w:rFonts w:hint="cs"/>
          <w:b/>
          <w:bCs/>
          <w:sz w:val="27"/>
          <w:rtl/>
        </w:rPr>
        <w:t>ْ</w:t>
      </w:r>
      <w:r w:rsidRPr="006571AC">
        <w:rPr>
          <w:b/>
          <w:bCs/>
          <w:sz w:val="27"/>
          <w:rtl/>
        </w:rPr>
        <w:t xml:space="preserve"> ر</w:t>
      </w:r>
      <w:r w:rsidR="008F777D" w:rsidRPr="006571AC">
        <w:rPr>
          <w:rFonts w:hint="cs"/>
          <w:b/>
          <w:bCs/>
          <w:sz w:val="27"/>
          <w:rtl/>
        </w:rPr>
        <w:t>َ</w:t>
      </w:r>
      <w:r w:rsidRPr="006571AC">
        <w:rPr>
          <w:b/>
          <w:bCs/>
          <w:sz w:val="27"/>
          <w:rtl/>
        </w:rPr>
        <w:t>س</w:t>
      </w:r>
      <w:r w:rsidR="008F777D" w:rsidRPr="006571AC">
        <w:rPr>
          <w:rFonts w:hint="cs"/>
          <w:b/>
          <w:bCs/>
          <w:sz w:val="27"/>
          <w:rtl/>
        </w:rPr>
        <w:t>ُ</w:t>
      </w:r>
      <w:r w:rsidRPr="006571AC">
        <w:rPr>
          <w:b/>
          <w:bCs/>
          <w:sz w:val="27"/>
          <w:rtl/>
        </w:rPr>
        <w:t>ول</w:t>
      </w:r>
      <w:r w:rsidR="008F777D" w:rsidRPr="006571AC">
        <w:rPr>
          <w:rFonts w:hint="cs"/>
          <w:b/>
          <w:bCs/>
          <w:sz w:val="27"/>
          <w:rtl/>
        </w:rPr>
        <w:t>َ</w:t>
      </w:r>
      <w:r w:rsidRPr="006571AC">
        <w:rPr>
          <w:b/>
          <w:bCs/>
          <w:sz w:val="27"/>
          <w:rtl/>
        </w:rPr>
        <w:t xml:space="preserve"> الله</w:t>
      </w:r>
      <w:r w:rsidR="008F777D" w:rsidRPr="006571AC">
        <w:rPr>
          <w:rFonts w:hint="cs"/>
          <w:b/>
          <w:bCs/>
          <w:sz w:val="27"/>
          <w:rtl/>
        </w:rPr>
        <w:t>ِ</w:t>
      </w:r>
      <w:r w:rsidRPr="006571AC">
        <w:rPr>
          <w:b/>
          <w:bCs/>
          <w:sz w:val="27"/>
          <w:rtl/>
        </w:rPr>
        <w:t xml:space="preserve"> و</w:t>
      </w:r>
      <w:r w:rsidR="008F777D" w:rsidRPr="006571AC">
        <w:rPr>
          <w:rFonts w:hint="cs"/>
          <w:b/>
          <w:bCs/>
          <w:sz w:val="27"/>
          <w:rtl/>
        </w:rPr>
        <w:t>َ</w:t>
      </w:r>
      <w:r w:rsidRPr="006571AC">
        <w:rPr>
          <w:b/>
          <w:bCs/>
          <w:sz w:val="27"/>
          <w:rtl/>
        </w:rPr>
        <w:t>خ</w:t>
      </w:r>
      <w:r w:rsidR="008F777D" w:rsidRPr="006571AC">
        <w:rPr>
          <w:rFonts w:hint="cs"/>
          <w:b/>
          <w:bCs/>
          <w:sz w:val="27"/>
          <w:rtl/>
        </w:rPr>
        <w:t>َ</w:t>
      </w:r>
      <w:r w:rsidRPr="006571AC">
        <w:rPr>
          <w:b/>
          <w:bCs/>
          <w:sz w:val="27"/>
          <w:rtl/>
        </w:rPr>
        <w:t>ات</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 xml:space="preserve"> الن</w:t>
      </w:r>
      <w:r w:rsidR="008F777D" w:rsidRPr="006571AC">
        <w:rPr>
          <w:rFonts w:hint="cs"/>
          <w:b/>
          <w:bCs/>
          <w:sz w:val="27"/>
          <w:rtl/>
        </w:rPr>
        <w:t>َّ</w:t>
      </w:r>
      <w:r w:rsidRPr="006571AC">
        <w:rPr>
          <w:b/>
          <w:bCs/>
          <w:sz w:val="27"/>
          <w:rtl/>
        </w:rPr>
        <w:t>ب</w:t>
      </w:r>
      <w:r w:rsidR="008F777D" w:rsidRPr="006571AC">
        <w:rPr>
          <w:rFonts w:hint="cs"/>
          <w:b/>
          <w:bCs/>
          <w:sz w:val="27"/>
          <w:rtl/>
        </w:rPr>
        <w:t>ِ</w:t>
      </w:r>
      <w:r w:rsidRPr="006571AC">
        <w:rPr>
          <w:b/>
          <w:bCs/>
          <w:sz w:val="27"/>
          <w:rtl/>
        </w:rPr>
        <w:t>يّ</w:t>
      </w:r>
      <w:r w:rsidR="008F777D" w:rsidRPr="006571AC">
        <w:rPr>
          <w:rFonts w:hint="cs"/>
          <w:b/>
          <w:bCs/>
          <w:sz w:val="27"/>
          <w:rtl/>
        </w:rPr>
        <w:t>ِ</w:t>
      </w:r>
      <w:r w:rsidRPr="006571AC">
        <w:rPr>
          <w:b/>
          <w:bCs/>
          <w:sz w:val="27"/>
          <w:rtl/>
        </w:rPr>
        <w:t>ين</w:t>
      </w:r>
      <w:r w:rsidR="008F777D" w:rsidRPr="006571AC">
        <w:rPr>
          <w:rFonts w:hint="cs"/>
          <w:b/>
          <w:bCs/>
          <w:sz w:val="27"/>
          <w:rtl/>
        </w:rPr>
        <w:t>َ</w:t>
      </w:r>
      <w:r w:rsidRPr="006571AC">
        <w:rPr>
          <w:rFonts w:ascii="Mosawi" w:hAnsi="Mosawi" w:cs="Mosawi"/>
          <w:sz w:val="24"/>
          <w:szCs w:val="24"/>
          <w:rtl/>
        </w:rPr>
        <w:t>﴾</w:t>
      </w:r>
      <w:r w:rsidRPr="006571AC">
        <w:rPr>
          <w:rFonts w:hint="cs"/>
          <w:sz w:val="27"/>
          <w:rtl/>
        </w:rPr>
        <w:t xml:space="preserve"> (الأحزاب: 40)</w:t>
      </w:r>
      <w:r w:rsidRPr="006571AC">
        <w:rPr>
          <w:sz w:val="27"/>
          <w:rtl/>
        </w:rPr>
        <w:t>، والحديث النبويّ المرويّ في كتب الفريقين</w:t>
      </w:r>
      <w:r w:rsidR="008F777D" w:rsidRPr="006571AC">
        <w:rPr>
          <w:rFonts w:hint="cs"/>
          <w:sz w:val="27"/>
          <w:rtl/>
        </w:rPr>
        <w:t>:</w:t>
      </w:r>
      <w:r w:rsidRPr="006571AC">
        <w:rPr>
          <w:sz w:val="27"/>
          <w:rtl/>
        </w:rPr>
        <w:t xml:space="preserve"> </w:t>
      </w:r>
      <w:r w:rsidRPr="006571AC">
        <w:rPr>
          <w:rFonts w:hint="eastAsia"/>
          <w:sz w:val="24"/>
          <w:szCs w:val="24"/>
          <w:rtl/>
        </w:rPr>
        <w:t>«</w:t>
      </w:r>
      <w:r w:rsidRPr="006571AC">
        <w:rPr>
          <w:sz w:val="27"/>
          <w:rtl/>
        </w:rPr>
        <w:t>أيّها الناس</w:t>
      </w:r>
      <w:r w:rsidR="008F777D" w:rsidRPr="006571AC">
        <w:rPr>
          <w:rFonts w:hint="cs"/>
          <w:sz w:val="27"/>
          <w:rtl/>
        </w:rPr>
        <w:t>،</w:t>
      </w:r>
      <w:r w:rsidRPr="006571AC">
        <w:rPr>
          <w:sz w:val="27"/>
          <w:rtl/>
        </w:rPr>
        <w:t xml:space="preserve"> إنّ عليّاً منّي كهارون من موسى</w:t>
      </w:r>
      <w:r w:rsidR="008F777D" w:rsidRPr="006571AC">
        <w:rPr>
          <w:rFonts w:hint="cs"/>
          <w:sz w:val="27"/>
          <w:rtl/>
        </w:rPr>
        <w:t>،</w:t>
      </w:r>
      <w:r w:rsidRPr="006571AC">
        <w:rPr>
          <w:sz w:val="27"/>
          <w:rtl/>
        </w:rPr>
        <w:t xml:space="preserve"> إ</w:t>
      </w:r>
      <w:r w:rsidR="003C2639" w:rsidRPr="006571AC">
        <w:rPr>
          <w:sz w:val="27"/>
          <w:rtl/>
        </w:rPr>
        <w:t>لاّ</w:t>
      </w:r>
      <w:r w:rsidRPr="006571AC">
        <w:rPr>
          <w:sz w:val="27"/>
          <w:rtl/>
        </w:rPr>
        <w:t xml:space="preserve"> أنّه لا نبيّ</w:t>
      </w:r>
      <w:r w:rsidR="008F777D" w:rsidRPr="006571AC">
        <w:rPr>
          <w:rFonts w:hint="cs"/>
          <w:sz w:val="27"/>
          <w:rtl/>
        </w:rPr>
        <w:t>َ</w:t>
      </w:r>
      <w:r w:rsidRPr="006571AC">
        <w:rPr>
          <w:sz w:val="27"/>
          <w:rtl/>
        </w:rPr>
        <w:t xml:space="preserve"> بعدي</w:t>
      </w:r>
      <w:r w:rsidRPr="006571AC">
        <w:rPr>
          <w:rFonts w:hint="eastAsia"/>
          <w:sz w:val="24"/>
          <w:szCs w:val="24"/>
          <w:rtl/>
        </w:rPr>
        <w:t>»</w:t>
      </w:r>
      <w:r w:rsidRPr="006571AC">
        <w:rPr>
          <w:sz w:val="27"/>
          <w:vertAlign w:val="superscript"/>
          <w:rtl/>
        </w:rPr>
        <w:t>(</w:t>
      </w:r>
      <w:r w:rsidRPr="006571AC">
        <w:rPr>
          <w:rStyle w:val="ac"/>
          <w:sz w:val="27"/>
          <w:rtl/>
        </w:rPr>
        <w:endnoteReference w:id="97"/>
      </w:r>
      <w:r w:rsidRPr="006571AC">
        <w:rPr>
          <w:sz w:val="27"/>
          <w:vertAlign w:val="superscript"/>
          <w:rtl/>
        </w:rPr>
        <w:t>)</w:t>
      </w:r>
      <w:r w:rsidRPr="006571AC">
        <w:rPr>
          <w:sz w:val="27"/>
          <w:rtl/>
        </w:rPr>
        <w:t>.</w:t>
      </w:r>
      <w:r w:rsidRPr="006571AC">
        <w:rPr>
          <w:rFonts w:hint="cs"/>
          <w:sz w:val="27"/>
          <w:rtl/>
        </w:rPr>
        <w:t xml:space="preserve"> </w:t>
      </w:r>
      <w:r w:rsidRPr="006571AC">
        <w:rPr>
          <w:sz w:val="27"/>
          <w:rtl/>
        </w:rPr>
        <w:t xml:space="preserve">كما تدلّ آية </w:t>
      </w:r>
      <w:r w:rsidRPr="006571AC">
        <w:rPr>
          <w:rFonts w:ascii="Mosawi" w:hAnsi="Mosawi" w:cs="Mosawi"/>
          <w:sz w:val="24"/>
          <w:szCs w:val="24"/>
          <w:rtl/>
        </w:rPr>
        <w:t>﴿</w:t>
      </w:r>
      <w:r w:rsidRPr="006571AC">
        <w:rPr>
          <w:b/>
          <w:bCs/>
          <w:sz w:val="27"/>
          <w:rtl/>
        </w:rPr>
        <w:t>ال</w:t>
      </w:r>
      <w:r w:rsidR="008F777D" w:rsidRPr="006571AC">
        <w:rPr>
          <w:rFonts w:hint="cs"/>
          <w:b/>
          <w:bCs/>
          <w:sz w:val="27"/>
          <w:rtl/>
        </w:rPr>
        <w:t>ْ</w:t>
      </w:r>
      <w:r w:rsidRPr="006571AC">
        <w:rPr>
          <w:b/>
          <w:bCs/>
          <w:sz w:val="27"/>
          <w:rtl/>
        </w:rPr>
        <w:t>ي</w:t>
      </w:r>
      <w:r w:rsidR="008F777D" w:rsidRPr="006571AC">
        <w:rPr>
          <w:rFonts w:hint="cs"/>
          <w:b/>
          <w:bCs/>
          <w:sz w:val="27"/>
          <w:rtl/>
        </w:rPr>
        <w:t>َ</w:t>
      </w:r>
      <w:r w:rsidRPr="006571AC">
        <w:rPr>
          <w:b/>
          <w:bCs/>
          <w:sz w:val="27"/>
          <w:rtl/>
        </w:rPr>
        <w:t>و</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 xml:space="preserve"> أ</w:t>
      </w:r>
      <w:r w:rsidR="008F777D" w:rsidRPr="006571AC">
        <w:rPr>
          <w:rFonts w:hint="cs"/>
          <w:b/>
          <w:bCs/>
          <w:sz w:val="27"/>
          <w:rtl/>
        </w:rPr>
        <w:t>َ</w:t>
      </w:r>
      <w:r w:rsidRPr="006571AC">
        <w:rPr>
          <w:b/>
          <w:bCs/>
          <w:sz w:val="27"/>
          <w:rtl/>
        </w:rPr>
        <w:t>ك</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ل</w:t>
      </w:r>
      <w:r w:rsidR="008F777D" w:rsidRPr="006571AC">
        <w:rPr>
          <w:rFonts w:hint="cs"/>
          <w:b/>
          <w:bCs/>
          <w:sz w:val="27"/>
          <w:rtl/>
        </w:rPr>
        <w:t>ْ</w:t>
      </w:r>
      <w:r w:rsidRPr="006571AC">
        <w:rPr>
          <w:b/>
          <w:bCs/>
          <w:sz w:val="27"/>
          <w:rtl/>
        </w:rPr>
        <w:t>ت</w:t>
      </w:r>
      <w:r w:rsidR="008F777D" w:rsidRPr="006571AC">
        <w:rPr>
          <w:rFonts w:hint="cs"/>
          <w:b/>
          <w:bCs/>
          <w:sz w:val="27"/>
          <w:rtl/>
        </w:rPr>
        <w:t>ُ</w:t>
      </w:r>
      <w:r w:rsidRPr="006571AC">
        <w:rPr>
          <w:b/>
          <w:bCs/>
          <w:sz w:val="27"/>
          <w:rtl/>
        </w:rPr>
        <w:t xml:space="preserve"> ل</w:t>
      </w:r>
      <w:r w:rsidR="008F777D" w:rsidRPr="006571AC">
        <w:rPr>
          <w:rFonts w:hint="cs"/>
          <w:b/>
          <w:bCs/>
          <w:sz w:val="27"/>
          <w:rtl/>
        </w:rPr>
        <w:t>َ</w:t>
      </w:r>
      <w:r w:rsidRPr="006571AC">
        <w:rPr>
          <w:b/>
          <w:bCs/>
          <w:sz w:val="27"/>
          <w:rtl/>
        </w:rPr>
        <w:t>ك</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 xml:space="preserve"> د</w:t>
      </w:r>
      <w:r w:rsidR="008F777D" w:rsidRPr="006571AC">
        <w:rPr>
          <w:rFonts w:hint="cs"/>
          <w:b/>
          <w:bCs/>
          <w:sz w:val="27"/>
          <w:rtl/>
        </w:rPr>
        <w:t>ِ</w:t>
      </w:r>
      <w:r w:rsidRPr="006571AC">
        <w:rPr>
          <w:b/>
          <w:bCs/>
          <w:sz w:val="27"/>
          <w:rtl/>
        </w:rPr>
        <w:t>ين</w:t>
      </w:r>
      <w:r w:rsidR="008F777D" w:rsidRPr="006571AC">
        <w:rPr>
          <w:rFonts w:hint="cs"/>
          <w:b/>
          <w:bCs/>
          <w:sz w:val="27"/>
          <w:rtl/>
        </w:rPr>
        <w:t>َ</w:t>
      </w:r>
      <w:r w:rsidRPr="006571AC">
        <w:rPr>
          <w:b/>
          <w:bCs/>
          <w:sz w:val="27"/>
          <w:rtl/>
        </w:rPr>
        <w:t>ك</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rFonts w:ascii="Mosawi" w:hAnsi="Mosawi" w:cs="Mosawi"/>
          <w:sz w:val="24"/>
          <w:szCs w:val="24"/>
          <w:rtl/>
        </w:rPr>
        <w:t>﴾</w:t>
      </w:r>
      <w:r w:rsidRPr="006571AC">
        <w:rPr>
          <w:rFonts w:hint="cs"/>
          <w:sz w:val="27"/>
          <w:rtl/>
        </w:rPr>
        <w:t xml:space="preserve"> (المائدة: 3)</w:t>
      </w:r>
      <w:r w:rsidRPr="006571AC">
        <w:rPr>
          <w:sz w:val="27"/>
          <w:rtl/>
        </w:rPr>
        <w:t xml:space="preserve"> على اكت</w:t>
      </w:r>
      <w:r w:rsidR="008F777D" w:rsidRPr="006571AC">
        <w:rPr>
          <w:sz w:val="27"/>
          <w:rtl/>
        </w:rPr>
        <w:t>مال الدين الذي بلّغه النبيّ محم</w:t>
      </w:r>
      <w:r w:rsidRPr="006571AC">
        <w:rPr>
          <w:sz w:val="27"/>
          <w:rtl/>
        </w:rPr>
        <w:t>د</w:t>
      </w:r>
      <w:r w:rsidR="008F777D" w:rsidRPr="006571AC">
        <w:rPr>
          <w:rFonts w:ascii="Mosawi" w:hAnsi="Mosawi" w:cs="Mosawi"/>
          <w:sz w:val="22"/>
          <w:szCs w:val="22"/>
          <w:rtl/>
        </w:rPr>
        <w:t>|</w:t>
      </w:r>
      <w:r w:rsidR="008F777D" w:rsidRPr="006571AC">
        <w:rPr>
          <w:sz w:val="27"/>
          <w:rtl/>
        </w:rPr>
        <w:t xml:space="preserve"> للن</w:t>
      </w:r>
      <w:r w:rsidRPr="006571AC">
        <w:rPr>
          <w:sz w:val="27"/>
          <w:rtl/>
        </w:rPr>
        <w:t>اس. ومن هنا فإنّ كل ما له دخل</w:t>
      </w:r>
      <w:r w:rsidR="00566CCF" w:rsidRPr="006571AC">
        <w:rPr>
          <w:rFonts w:hint="cs"/>
          <w:sz w:val="27"/>
          <w:rtl/>
        </w:rPr>
        <w:t>ٌ</w:t>
      </w:r>
      <w:r w:rsidRPr="006571AC">
        <w:rPr>
          <w:sz w:val="27"/>
          <w:rtl/>
        </w:rPr>
        <w:t xml:space="preserve"> في سعادة وشقاء البشر إلى يوم القيامة قد تمّ بيانه، بشكل</w:t>
      </w:r>
      <w:r w:rsidR="00566CCF" w:rsidRPr="006571AC">
        <w:rPr>
          <w:rFonts w:hint="cs"/>
          <w:sz w:val="27"/>
          <w:rtl/>
        </w:rPr>
        <w:t>ٍ</w:t>
      </w:r>
      <w:r w:rsidRPr="006571AC">
        <w:rPr>
          <w:sz w:val="27"/>
          <w:rtl/>
        </w:rPr>
        <w:t xml:space="preserve"> تكون معه الحجّة على النّاس تامّة</w:t>
      </w:r>
      <w:r w:rsidR="00566CCF" w:rsidRPr="006571AC">
        <w:rPr>
          <w:rFonts w:hint="cs"/>
          <w:sz w:val="27"/>
          <w:rtl/>
        </w:rPr>
        <w:t>ً</w:t>
      </w:r>
      <w:r w:rsidRPr="006571AC">
        <w:rPr>
          <w:sz w:val="27"/>
          <w:rtl/>
        </w:rPr>
        <w:t xml:space="preserve">. </w:t>
      </w:r>
    </w:p>
    <w:p w:rsidR="00C37790" w:rsidRPr="006571AC" w:rsidRDefault="00C37790" w:rsidP="00C0404B">
      <w:pPr>
        <w:rPr>
          <w:sz w:val="27"/>
          <w:rtl/>
        </w:rPr>
      </w:pPr>
      <w:r w:rsidRPr="006571AC">
        <w:rPr>
          <w:rFonts w:hint="cs"/>
          <w:sz w:val="27"/>
          <w:rtl/>
        </w:rPr>
        <w:t>3ـ إذا</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تعلن</w:t>
      </w:r>
      <w:r w:rsidRPr="006571AC">
        <w:rPr>
          <w:sz w:val="27"/>
          <w:rtl/>
        </w:rPr>
        <w:t xml:space="preserve"> </w:t>
      </w:r>
      <w:r w:rsidRPr="006571AC">
        <w:rPr>
          <w:rFonts w:hint="cs"/>
          <w:sz w:val="27"/>
          <w:rtl/>
        </w:rPr>
        <w:t>الشريعة</w:t>
      </w:r>
      <w:r w:rsidRPr="006571AC">
        <w:rPr>
          <w:sz w:val="27"/>
          <w:rtl/>
        </w:rPr>
        <w:t xml:space="preserve"> </w:t>
      </w:r>
      <w:r w:rsidRPr="006571AC">
        <w:rPr>
          <w:rFonts w:hint="cs"/>
          <w:sz w:val="27"/>
          <w:rtl/>
        </w:rPr>
        <w:t>الإسلامية</w:t>
      </w:r>
      <w:r w:rsidRPr="006571AC">
        <w:rPr>
          <w:sz w:val="27"/>
          <w:rtl/>
        </w:rPr>
        <w:t xml:space="preserve"> </w:t>
      </w:r>
      <w:r w:rsidRPr="006571AC">
        <w:rPr>
          <w:rFonts w:hint="cs"/>
          <w:sz w:val="27"/>
          <w:rtl/>
        </w:rPr>
        <w:t>موقفاً</w:t>
      </w:r>
      <w:r w:rsidRPr="006571AC">
        <w:rPr>
          <w:sz w:val="27"/>
          <w:rtl/>
        </w:rPr>
        <w:t xml:space="preserve"> </w:t>
      </w:r>
      <w:r w:rsidRPr="006571AC">
        <w:rPr>
          <w:rFonts w:hint="cs"/>
          <w:sz w:val="27"/>
          <w:rtl/>
        </w:rPr>
        <w:t>سلبياً</w:t>
      </w:r>
      <w:r w:rsidRPr="006571AC">
        <w:rPr>
          <w:sz w:val="27"/>
          <w:rtl/>
        </w:rPr>
        <w:t xml:space="preserve"> </w:t>
      </w:r>
      <w:r w:rsidRPr="006571AC">
        <w:rPr>
          <w:rFonts w:hint="cs"/>
          <w:sz w:val="27"/>
          <w:rtl/>
        </w:rPr>
        <w:t>ورافضاً</w:t>
      </w:r>
      <w:r w:rsidRPr="006571AC">
        <w:rPr>
          <w:sz w:val="27"/>
          <w:rtl/>
        </w:rPr>
        <w:t xml:space="preserve"> </w:t>
      </w:r>
      <w:r w:rsidRPr="006571AC">
        <w:rPr>
          <w:rFonts w:hint="cs"/>
          <w:sz w:val="27"/>
          <w:rtl/>
        </w:rPr>
        <w:t>لأمر</w:t>
      </w:r>
      <w:r w:rsidR="00566CCF" w:rsidRPr="006571AC">
        <w:rPr>
          <w:rFonts w:hint="cs"/>
          <w:sz w:val="27"/>
          <w:rtl/>
        </w:rPr>
        <w:t>ٍ</w:t>
      </w:r>
      <w:r w:rsidRPr="006571AC">
        <w:rPr>
          <w:sz w:val="27"/>
          <w:rtl/>
        </w:rPr>
        <w:t xml:space="preserve"> </w:t>
      </w:r>
      <w:r w:rsidRPr="006571AC">
        <w:rPr>
          <w:rFonts w:hint="cs"/>
          <w:sz w:val="27"/>
          <w:rtl/>
        </w:rPr>
        <w:t xml:space="preserve">ما </w:t>
      </w:r>
      <w:r w:rsidRPr="006571AC">
        <w:rPr>
          <w:sz w:val="27"/>
          <w:rtl/>
        </w:rPr>
        <w:t xml:space="preserve">فيحصل لدينا العلم بعدم ممنوعيّته شرعاً. </w:t>
      </w:r>
    </w:p>
    <w:p w:rsidR="00657D34" w:rsidRPr="006571AC" w:rsidRDefault="00C37790" w:rsidP="00C0404B">
      <w:pPr>
        <w:rPr>
          <w:sz w:val="27"/>
          <w:rtl/>
        </w:rPr>
      </w:pPr>
      <w:r w:rsidRPr="006571AC">
        <w:rPr>
          <w:rFonts w:hint="cs"/>
          <w:sz w:val="27"/>
          <w:rtl/>
        </w:rPr>
        <w:t>4ـ الس</w:t>
      </w:r>
      <w:r w:rsidR="00566CCF" w:rsidRPr="006571AC">
        <w:rPr>
          <w:rFonts w:hint="cs"/>
          <w:sz w:val="27"/>
          <w:rtl/>
        </w:rPr>
        <w:t>ِّ</w:t>
      </w:r>
      <w:r w:rsidRPr="006571AC">
        <w:rPr>
          <w:rFonts w:hint="cs"/>
          <w:sz w:val="27"/>
          <w:rtl/>
        </w:rPr>
        <w:t>ي</w:t>
      </w:r>
      <w:r w:rsidR="00566CCF" w:rsidRPr="006571AC">
        <w:rPr>
          <w:rFonts w:hint="cs"/>
          <w:sz w:val="27"/>
          <w:rtl/>
        </w:rPr>
        <w:t>َ</w:t>
      </w:r>
      <w:r w:rsidRPr="006571AC">
        <w:rPr>
          <w:rFonts w:hint="cs"/>
          <w:sz w:val="27"/>
          <w:rtl/>
        </w:rPr>
        <w:t>ر</w:t>
      </w:r>
      <w:r w:rsidRPr="006571AC">
        <w:rPr>
          <w:sz w:val="27"/>
          <w:rtl/>
        </w:rPr>
        <w:t xml:space="preserve"> </w:t>
      </w:r>
      <w:r w:rsidRPr="006571AC">
        <w:rPr>
          <w:rFonts w:hint="cs"/>
          <w:sz w:val="27"/>
          <w:rtl/>
        </w:rPr>
        <w:t>العقلائية</w:t>
      </w:r>
      <w:r w:rsidRPr="006571AC">
        <w:rPr>
          <w:sz w:val="27"/>
          <w:rtl/>
        </w:rPr>
        <w:t xml:space="preserve"> </w:t>
      </w:r>
      <w:r w:rsidRPr="006571AC">
        <w:rPr>
          <w:rFonts w:hint="cs"/>
          <w:sz w:val="27"/>
          <w:rtl/>
        </w:rPr>
        <w:t>المست</w:t>
      </w:r>
      <w:r w:rsidR="00566CCF" w:rsidRPr="006571AC">
        <w:rPr>
          <w:rFonts w:hint="cs"/>
          <w:sz w:val="27"/>
          <w:rtl/>
        </w:rPr>
        <w:t>َ</w:t>
      </w:r>
      <w:r w:rsidRPr="006571AC">
        <w:rPr>
          <w:rFonts w:hint="cs"/>
          <w:sz w:val="27"/>
          <w:rtl/>
        </w:rPr>
        <w:t>ح</w:t>
      </w:r>
      <w:r w:rsidR="00566CCF" w:rsidRPr="006571AC">
        <w:rPr>
          <w:rFonts w:hint="cs"/>
          <w:sz w:val="27"/>
          <w:rtl/>
        </w:rPr>
        <w:t>ْ</w:t>
      </w:r>
      <w:r w:rsidRPr="006571AC">
        <w:rPr>
          <w:rFonts w:hint="cs"/>
          <w:sz w:val="27"/>
          <w:rtl/>
        </w:rPr>
        <w:t>د</w:t>
      </w:r>
      <w:r w:rsidR="00566CCF" w:rsidRPr="006571AC">
        <w:rPr>
          <w:rFonts w:hint="cs"/>
          <w:sz w:val="27"/>
          <w:rtl/>
        </w:rPr>
        <w:t>َ</w:t>
      </w:r>
      <w:r w:rsidRPr="006571AC">
        <w:rPr>
          <w:rFonts w:hint="cs"/>
          <w:sz w:val="27"/>
          <w:rtl/>
        </w:rPr>
        <w:t>ثة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الأمور</w:t>
      </w:r>
      <w:r w:rsidRPr="006571AC">
        <w:rPr>
          <w:sz w:val="27"/>
          <w:rtl/>
        </w:rPr>
        <w:t xml:space="preserve"> </w:t>
      </w:r>
      <w:r w:rsidRPr="006571AC">
        <w:rPr>
          <w:rFonts w:hint="cs"/>
          <w:sz w:val="27"/>
          <w:rtl/>
        </w:rPr>
        <w:t>التي</w:t>
      </w:r>
      <w:r w:rsidRPr="006571AC">
        <w:rPr>
          <w:sz w:val="27"/>
          <w:rtl/>
        </w:rPr>
        <w:t xml:space="preserve"> </w:t>
      </w:r>
      <w:r w:rsidRPr="006571AC">
        <w:rPr>
          <w:rFonts w:hint="cs"/>
          <w:sz w:val="27"/>
          <w:rtl/>
        </w:rPr>
        <w:t>يحتمل</w:t>
      </w:r>
      <w:r w:rsidRPr="006571AC">
        <w:rPr>
          <w:sz w:val="27"/>
          <w:rtl/>
        </w:rPr>
        <w:t xml:space="preserve"> </w:t>
      </w:r>
      <w:r w:rsidRPr="006571AC">
        <w:rPr>
          <w:rFonts w:hint="cs"/>
          <w:sz w:val="27"/>
          <w:rtl/>
        </w:rPr>
        <w:t>عدم</w:t>
      </w:r>
      <w:r w:rsidRPr="006571AC">
        <w:rPr>
          <w:sz w:val="27"/>
          <w:rtl/>
        </w:rPr>
        <w:t xml:space="preserve"> </w:t>
      </w:r>
      <w:r w:rsidRPr="006571AC">
        <w:rPr>
          <w:rFonts w:hint="cs"/>
          <w:sz w:val="27"/>
          <w:rtl/>
        </w:rPr>
        <w:t>وجود</w:t>
      </w:r>
      <w:r w:rsidRPr="006571AC">
        <w:rPr>
          <w:sz w:val="27"/>
          <w:rtl/>
        </w:rPr>
        <w:t xml:space="preserve"> </w:t>
      </w:r>
      <w:r w:rsidRPr="006571AC">
        <w:rPr>
          <w:rFonts w:hint="cs"/>
          <w:sz w:val="27"/>
          <w:rtl/>
        </w:rPr>
        <w:t>موقف</w:t>
      </w:r>
      <w:r w:rsidR="00D15D6D" w:rsidRPr="006571AC">
        <w:rPr>
          <w:rFonts w:hint="cs"/>
          <w:sz w:val="27"/>
          <w:rtl/>
        </w:rPr>
        <w:t>ٍ</w:t>
      </w:r>
      <w:r w:rsidRPr="006571AC">
        <w:rPr>
          <w:sz w:val="27"/>
          <w:rtl/>
        </w:rPr>
        <w:t xml:space="preserve"> </w:t>
      </w:r>
      <w:r w:rsidRPr="006571AC">
        <w:rPr>
          <w:rFonts w:hint="cs"/>
          <w:sz w:val="27"/>
          <w:rtl/>
        </w:rPr>
        <w:t>سلبي</w:t>
      </w:r>
      <w:r w:rsidRPr="006571AC">
        <w:rPr>
          <w:sz w:val="27"/>
          <w:rtl/>
        </w:rPr>
        <w:t xml:space="preserve"> </w:t>
      </w:r>
      <w:r w:rsidRPr="006571AC">
        <w:rPr>
          <w:rFonts w:hint="cs"/>
          <w:sz w:val="27"/>
          <w:rtl/>
        </w:rPr>
        <w:t>تجاهها، ونتيجة</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استنباط</w:t>
      </w:r>
      <w:r w:rsidRPr="006571AC">
        <w:rPr>
          <w:sz w:val="27"/>
          <w:rtl/>
        </w:rPr>
        <w:t xml:space="preserve"> </w:t>
      </w:r>
      <w:r w:rsidRPr="006571AC">
        <w:rPr>
          <w:rFonts w:hint="cs"/>
          <w:sz w:val="27"/>
          <w:rtl/>
        </w:rPr>
        <w:t>حجّية</w:t>
      </w:r>
      <w:r w:rsidRPr="006571AC">
        <w:rPr>
          <w:sz w:val="27"/>
          <w:rtl/>
        </w:rPr>
        <w:t xml:space="preserve"> </w:t>
      </w:r>
      <w:r w:rsidRPr="006571AC">
        <w:rPr>
          <w:rFonts w:hint="cs"/>
          <w:sz w:val="27"/>
          <w:rtl/>
        </w:rPr>
        <w:t>السيرة</w:t>
      </w:r>
      <w:r w:rsidRPr="006571AC">
        <w:rPr>
          <w:sz w:val="27"/>
          <w:rtl/>
        </w:rPr>
        <w:t xml:space="preserve"> </w:t>
      </w:r>
      <w:r w:rsidRPr="006571AC">
        <w:rPr>
          <w:rFonts w:hint="cs"/>
          <w:sz w:val="27"/>
          <w:rtl/>
        </w:rPr>
        <w:t>التي</w:t>
      </w:r>
      <w:r w:rsidRPr="006571AC">
        <w:rPr>
          <w:sz w:val="27"/>
          <w:rtl/>
        </w:rPr>
        <w:t xml:space="preserve"> </w:t>
      </w:r>
      <w:r w:rsidRPr="006571AC">
        <w:rPr>
          <w:rFonts w:hint="cs"/>
          <w:sz w:val="27"/>
          <w:rtl/>
        </w:rPr>
        <w:t>يرى</w:t>
      </w:r>
      <w:r w:rsidRPr="006571AC">
        <w:rPr>
          <w:sz w:val="27"/>
          <w:rtl/>
        </w:rPr>
        <w:t xml:space="preserve"> </w:t>
      </w:r>
      <w:r w:rsidRPr="006571AC">
        <w:rPr>
          <w:rFonts w:hint="cs"/>
          <w:sz w:val="27"/>
          <w:rtl/>
        </w:rPr>
        <w:t>الفقيه</w:t>
      </w:r>
      <w:r w:rsidRPr="006571AC">
        <w:rPr>
          <w:sz w:val="27"/>
          <w:rtl/>
        </w:rPr>
        <w:t xml:space="preserve"> ـ </w:t>
      </w:r>
      <w:r w:rsidRPr="006571AC">
        <w:rPr>
          <w:rFonts w:hint="cs"/>
          <w:sz w:val="27"/>
          <w:rtl/>
        </w:rPr>
        <w:t>بعد</w:t>
      </w:r>
      <w:r w:rsidRPr="006571AC">
        <w:rPr>
          <w:sz w:val="27"/>
          <w:rtl/>
        </w:rPr>
        <w:t xml:space="preserve"> </w:t>
      </w:r>
      <w:r w:rsidRPr="006571AC">
        <w:rPr>
          <w:rFonts w:hint="cs"/>
          <w:sz w:val="27"/>
          <w:rtl/>
        </w:rPr>
        <w:t>بحثه</w:t>
      </w:r>
      <w:r w:rsidRPr="006571AC">
        <w:rPr>
          <w:sz w:val="27"/>
          <w:rtl/>
        </w:rPr>
        <w:t xml:space="preserve"> </w:t>
      </w:r>
      <w:r w:rsidRPr="006571AC">
        <w:rPr>
          <w:rFonts w:hint="cs"/>
          <w:sz w:val="27"/>
          <w:rtl/>
        </w:rPr>
        <w:t>وتحقيقه</w:t>
      </w:r>
      <w:r w:rsidRPr="006571AC">
        <w:rPr>
          <w:sz w:val="27"/>
          <w:rtl/>
        </w:rPr>
        <w:t xml:space="preserve"> ـ </w:t>
      </w:r>
      <w:r w:rsidRPr="006571AC">
        <w:rPr>
          <w:rFonts w:hint="cs"/>
          <w:sz w:val="27"/>
          <w:rtl/>
        </w:rPr>
        <w:t>عدم</w:t>
      </w:r>
      <w:r w:rsidRPr="006571AC">
        <w:rPr>
          <w:sz w:val="27"/>
          <w:rtl/>
        </w:rPr>
        <w:t xml:space="preserve"> </w:t>
      </w:r>
      <w:r w:rsidRPr="006571AC">
        <w:rPr>
          <w:rFonts w:hint="cs"/>
          <w:sz w:val="27"/>
          <w:rtl/>
        </w:rPr>
        <w:t>وجود</w:t>
      </w:r>
      <w:r w:rsidRPr="006571AC">
        <w:rPr>
          <w:sz w:val="27"/>
          <w:rtl/>
        </w:rPr>
        <w:t xml:space="preserve"> </w:t>
      </w:r>
      <w:r w:rsidRPr="006571AC">
        <w:rPr>
          <w:rFonts w:hint="cs"/>
          <w:sz w:val="27"/>
          <w:rtl/>
        </w:rPr>
        <w:t>دليل</w:t>
      </w:r>
      <w:r w:rsidR="001B0C40" w:rsidRPr="006571AC">
        <w:rPr>
          <w:rFonts w:hint="cs"/>
          <w:sz w:val="27"/>
          <w:rtl/>
        </w:rPr>
        <w:t>ٍ</w:t>
      </w:r>
      <w:r w:rsidRPr="006571AC">
        <w:rPr>
          <w:sz w:val="27"/>
          <w:rtl/>
        </w:rPr>
        <w:t xml:space="preserve"> </w:t>
      </w:r>
      <w:r w:rsidRPr="006571AC">
        <w:rPr>
          <w:rFonts w:hint="cs"/>
          <w:sz w:val="27"/>
          <w:rtl/>
        </w:rPr>
        <w:t>معتبر</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نفي</w:t>
      </w:r>
      <w:r w:rsidRPr="006571AC">
        <w:rPr>
          <w:sz w:val="27"/>
          <w:rtl/>
        </w:rPr>
        <w:t xml:space="preserve"> </w:t>
      </w:r>
      <w:r w:rsidRPr="006571AC">
        <w:rPr>
          <w:rFonts w:hint="cs"/>
          <w:sz w:val="27"/>
          <w:rtl/>
        </w:rPr>
        <w:t>حجّيتها</w:t>
      </w:r>
      <w:r w:rsidRPr="006571AC">
        <w:rPr>
          <w:sz w:val="27"/>
          <w:rtl/>
        </w:rPr>
        <w:t xml:space="preserve">. </w:t>
      </w:r>
    </w:p>
    <w:p w:rsidR="00C37790" w:rsidRPr="006571AC" w:rsidRDefault="00657D34" w:rsidP="00C0404B">
      <w:pPr>
        <w:rPr>
          <w:sz w:val="27"/>
          <w:rtl/>
        </w:rPr>
      </w:pPr>
      <w:r w:rsidRPr="006571AC">
        <w:rPr>
          <w:rFonts w:hint="cs"/>
          <w:b/>
          <w:bCs/>
          <w:sz w:val="27"/>
          <w:rtl/>
        </w:rPr>
        <w:t>ورُبَ</w:t>
      </w:r>
      <w:r w:rsidR="00C37790" w:rsidRPr="006571AC">
        <w:rPr>
          <w:rFonts w:hint="cs"/>
          <w:b/>
          <w:bCs/>
          <w:sz w:val="27"/>
          <w:rtl/>
        </w:rPr>
        <w:t>ما</w:t>
      </w:r>
      <w:r w:rsidR="00C37790" w:rsidRPr="006571AC">
        <w:rPr>
          <w:b/>
          <w:bCs/>
          <w:sz w:val="27"/>
          <w:rtl/>
        </w:rPr>
        <w:t xml:space="preserve"> </w:t>
      </w:r>
      <w:r w:rsidR="00C37790" w:rsidRPr="006571AC">
        <w:rPr>
          <w:rFonts w:hint="cs"/>
          <w:b/>
          <w:bCs/>
          <w:sz w:val="27"/>
          <w:rtl/>
        </w:rPr>
        <w:t>ي</w:t>
      </w:r>
      <w:r w:rsidR="001B0C40" w:rsidRPr="006571AC">
        <w:rPr>
          <w:rFonts w:hint="cs"/>
          <w:b/>
          <w:bCs/>
          <w:sz w:val="27"/>
          <w:rtl/>
        </w:rPr>
        <w:t>ُ</w:t>
      </w:r>
      <w:r w:rsidR="00C37790" w:rsidRPr="006571AC">
        <w:rPr>
          <w:rFonts w:hint="cs"/>
          <w:b/>
          <w:bCs/>
          <w:sz w:val="27"/>
          <w:rtl/>
        </w:rPr>
        <w:t>قال</w:t>
      </w:r>
      <w:r w:rsidR="00C37790" w:rsidRPr="006571AC">
        <w:rPr>
          <w:sz w:val="27"/>
          <w:rtl/>
        </w:rPr>
        <w:t xml:space="preserve">: </w:t>
      </w:r>
      <w:r w:rsidR="00C37790" w:rsidRPr="006571AC">
        <w:rPr>
          <w:rFonts w:hint="cs"/>
          <w:sz w:val="27"/>
          <w:rtl/>
        </w:rPr>
        <w:t>كما</w:t>
      </w:r>
      <w:r w:rsidR="00C37790" w:rsidRPr="006571AC">
        <w:rPr>
          <w:sz w:val="27"/>
          <w:rtl/>
        </w:rPr>
        <w:t xml:space="preserve"> </w:t>
      </w:r>
      <w:r w:rsidR="00C37790" w:rsidRPr="006571AC">
        <w:rPr>
          <w:rFonts w:hint="cs"/>
          <w:sz w:val="27"/>
          <w:rtl/>
        </w:rPr>
        <w:t>أنّ</w:t>
      </w:r>
      <w:r w:rsidR="00C37790" w:rsidRPr="006571AC">
        <w:rPr>
          <w:sz w:val="27"/>
          <w:rtl/>
        </w:rPr>
        <w:t xml:space="preserve"> </w:t>
      </w:r>
      <w:r w:rsidR="00C37790" w:rsidRPr="006571AC">
        <w:rPr>
          <w:rFonts w:hint="cs"/>
          <w:sz w:val="27"/>
          <w:rtl/>
        </w:rPr>
        <w:t>الأصل</w:t>
      </w:r>
      <w:r w:rsidR="00C37790" w:rsidRPr="006571AC">
        <w:rPr>
          <w:sz w:val="27"/>
          <w:rtl/>
        </w:rPr>
        <w:t xml:space="preserve"> </w:t>
      </w:r>
      <w:r w:rsidR="00C37790" w:rsidRPr="006571AC">
        <w:rPr>
          <w:rFonts w:hint="cs"/>
          <w:sz w:val="27"/>
          <w:rtl/>
        </w:rPr>
        <w:t>اللفظي</w:t>
      </w:r>
      <w:r w:rsidR="00C37790" w:rsidRPr="006571AC">
        <w:rPr>
          <w:sz w:val="27"/>
          <w:rtl/>
        </w:rPr>
        <w:t xml:space="preserve"> </w:t>
      </w:r>
      <w:r w:rsidR="00C37790" w:rsidRPr="006571AC">
        <w:rPr>
          <w:rFonts w:hint="cs"/>
          <w:sz w:val="27"/>
          <w:rtl/>
        </w:rPr>
        <w:t>دل</w:t>
      </w:r>
      <w:r w:rsidR="00C37790" w:rsidRPr="006571AC">
        <w:rPr>
          <w:sz w:val="27"/>
          <w:rtl/>
        </w:rPr>
        <w:t>يل</w:t>
      </w:r>
      <w:r w:rsidR="001B0C40" w:rsidRPr="006571AC">
        <w:rPr>
          <w:rFonts w:hint="cs"/>
          <w:sz w:val="27"/>
          <w:rtl/>
        </w:rPr>
        <w:t>ٌ</w:t>
      </w:r>
      <w:r w:rsidR="00C37790" w:rsidRPr="006571AC">
        <w:rPr>
          <w:sz w:val="27"/>
          <w:rtl/>
        </w:rPr>
        <w:t xml:space="preserve"> معتبر فالأصل العملي دليل</w:t>
      </w:r>
      <w:r w:rsidR="001B0C40" w:rsidRPr="006571AC">
        <w:rPr>
          <w:rFonts w:hint="cs"/>
          <w:sz w:val="27"/>
          <w:rtl/>
        </w:rPr>
        <w:t>ٌ</w:t>
      </w:r>
      <w:r w:rsidR="00C37790" w:rsidRPr="006571AC">
        <w:rPr>
          <w:sz w:val="27"/>
          <w:rtl/>
        </w:rPr>
        <w:t xml:space="preserve"> معتبر أيضاً، وهنا يكون استصحاب عدم ترتّ</w:t>
      </w:r>
      <w:r w:rsidR="001B0C40" w:rsidRPr="006571AC">
        <w:rPr>
          <w:rFonts w:hint="cs"/>
          <w:sz w:val="27"/>
          <w:rtl/>
        </w:rPr>
        <w:t>ُ</w:t>
      </w:r>
      <w:r w:rsidR="00C37790" w:rsidRPr="006571AC">
        <w:rPr>
          <w:sz w:val="27"/>
          <w:rtl/>
        </w:rPr>
        <w:t>ب ال</w:t>
      </w:r>
      <w:r w:rsidR="001B0C40" w:rsidRPr="006571AC">
        <w:rPr>
          <w:rFonts w:hint="cs"/>
          <w:sz w:val="27"/>
          <w:rtl/>
        </w:rPr>
        <w:t>أ</w:t>
      </w:r>
      <w:r w:rsidR="00C37790" w:rsidRPr="006571AC">
        <w:rPr>
          <w:sz w:val="27"/>
          <w:rtl/>
        </w:rPr>
        <w:t xml:space="preserve">ثر مؤدّياً إلى فساد المعاملة. </w:t>
      </w:r>
    </w:p>
    <w:p w:rsidR="00C37790" w:rsidRPr="006571AC" w:rsidRDefault="001B0C40" w:rsidP="00C0404B">
      <w:pPr>
        <w:rPr>
          <w:sz w:val="27"/>
          <w:rtl/>
        </w:rPr>
      </w:pPr>
      <w:r w:rsidRPr="006571AC">
        <w:rPr>
          <w:rFonts w:hint="cs"/>
          <w:b/>
          <w:bCs/>
          <w:sz w:val="27"/>
          <w:rtl/>
        </w:rPr>
        <w:t>و</w:t>
      </w:r>
      <w:r w:rsidR="00C37790" w:rsidRPr="006571AC">
        <w:rPr>
          <w:b/>
          <w:bCs/>
          <w:sz w:val="27"/>
          <w:rtl/>
        </w:rPr>
        <w:t>نجيب ع</w:t>
      </w:r>
      <w:r w:rsidR="005D11D0" w:rsidRPr="006571AC">
        <w:rPr>
          <w:rFonts w:hint="cs"/>
          <w:b/>
          <w:bCs/>
          <w:sz w:val="27"/>
          <w:rtl/>
        </w:rPr>
        <w:t>ن</w:t>
      </w:r>
      <w:r w:rsidR="00C37790" w:rsidRPr="006571AC">
        <w:rPr>
          <w:b/>
          <w:bCs/>
          <w:sz w:val="27"/>
          <w:rtl/>
        </w:rPr>
        <w:t xml:space="preserve"> ذلك</w:t>
      </w:r>
      <w:r w:rsidR="00C37790" w:rsidRPr="006571AC">
        <w:rPr>
          <w:sz w:val="27"/>
          <w:rtl/>
        </w:rPr>
        <w:t xml:space="preserve"> بأنّ الأصل العملي معتبر</w:t>
      </w:r>
      <w:r w:rsidRPr="006571AC">
        <w:rPr>
          <w:rFonts w:hint="cs"/>
          <w:sz w:val="27"/>
          <w:rtl/>
        </w:rPr>
        <w:t>ٌ</w:t>
      </w:r>
      <w:r w:rsidR="00C37790" w:rsidRPr="006571AC">
        <w:rPr>
          <w:sz w:val="27"/>
          <w:rtl/>
        </w:rPr>
        <w:t xml:space="preserve"> في حالة عدم وجود دليل</w:t>
      </w:r>
      <w:r w:rsidRPr="006571AC">
        <w:rPr>
          <w:rFonts w:hint="cs"/>
          <w:sz w:val="27"/>
          <w:rtl/>
        </w:rPr>
        <w:t>ٍ</w:t>
      </w:r>
      <w:r w:rsidR="00C37790" w:rsidRPr="006571AC">
        <w:rPr>
          <w:sz w:val="27"/>
          <w:rtl/>
        </w:rPr>
        <w:t>، وهنا يوجد لدينا دليل</w:t>
      </w:r>
      <w:r w:rsidRPr="006571AC">
        <w:rPr>
          <w:rFonts w:hint="cs"/>
          <w:sz w:val="27"/>
          <w:rtl/>
        </w:rPr>
        <w:t>ٌ</w:t>
      </w:r>
      <w:r w:rsidR="00C37790" w:rsidRPr="006571AC">
        <w:rPr>
          <w:sz w:val="27"/>
          <w:rtl/>
        </w:rPr>
        <w:t xml:space="preserve"> مقدّ</w:t>
      </w:r>
      <w:r w:rsidRPr="006571AC">
        <w:rPr>
          <w:rFonts w:hint="cs"/>
          <w:sz w:val="27"/>
          <w:rtl/>
        </w:rPr>
        <w:t>َ</w:t>
      </w:r>
      <w:r w:rsidR="00C37790" w:rsidRPr="006571AC">
        <w:rPr>
          <w:sz w:val="27"/>
          <w:rtl/>
        </w:rPr>
        <w:t xml:space="preserve">م على الأصل العملي، وهو سيرة وطريقة الشارع في غير مجال العبادات، واعتبار القاعدة الأوّلية، كما مرّ معنا في الأدلّة المتقدّمة. </w:t>
      </w:r>
    </w:p>
    <w:p w:rsidR="00ED1ECC" w:rsidRPr="006571AC" w:rsidRDefault="00ED1ECC" w:rsidP="00ED1ECC">
      <w:pPr>
        <w:spacing w:line="420" w:lineRule="exact"/>
        <w:rPr>
          <w:sz w:val="27"/>
          <w:rtl/>
        </w:rPr>
      </w:pPr>
    </w:p>
    <w:p w:rsidR="00C37790" w:rsidRPr="006571AC" w:rsidRDefault="00326182" w:rsidP="00657D34">
      <w:pPr>
        <w:pStyle w:val="31"/>
        <w:rPr>
          <w:color w:val="auto"/>
          <w:rtl/>
        </w:rPr>
      </w:pPr>
      <w:bookmarkStart w:id="51" w:name="_Toc114164540"/>
      <w:r w:rsidRPr="006571AC">
        <w:rPr>
          <w:rFonts w:hint="cs"/>
          <w:color w:val="auto"/>
          <w:rtl/>
        </w:rPr>
        <w:t>7ـ</w:t>
      </w:r>
      <w:r w:rsidR="00C37790" w:rsidRPr="006571AC">
        <w:rPr>
          <w:color w:val="auto"/>
          <w:rtl/>
        </w:rPr>
        <w:t xml:space="preserve"> وجوب دفع المنكرات المستقبلي</w:t>
      </w:r>
      <w:r w:rsidRPr="006571AC">
        <w:rPr>
          <w:rFonts w:hint="cs"/>
          <w:color w:val="auto"/>
          <w:rtl/>
        </w:rPr>
        <w:t>ّ</w:t>
      </w:r>
      <w:r w:rsidR="00C37790" w:rsidRPr="006571AC">
        <w:rPr>
          <w:color w:val="auto"/>
          <w:rtl/>
        </w:rPr>
        <w:t>ة</w:t>
      </w:r>
      <w:bookmarkEnd w:id="51"/>
    </w:p>
    <w:p w:rsidR="00C37790" w:rsidRPr="006571AC" w:rsidRDefault="00C37790" w:rsidP="00C0404B">
      <w:pPr>
        <w:rPr>
          <w:sz w:val="27"/>
          <w:rtl/>
        </w:rPr>
      </w:pPr>
      <w:r w:rsidRPr="006571AC">
        <w:rPr>
          <w:sz w:val="27"/>
          <w:rtl/>
        </w:rPr>
        <w:t>ونقرّب هذا الدليل بذكر عدد</w:t>
      </w:r>
      <w:r w:rsidR="001B0C40" w:rsidRPr="006571AC">
        <w:rPr>
          <w:rFonts w:hint="cs"/>
          <w:sz w:val="27"/>
          <w:rtl/>
        </w:rPr>
        <w:t>ٍ</w:t>
      </w:r>
      <w:r w:rsidRPr="006571AC">
        <w:rPr>
          <w:sz w:val="27"/>
          <w:rtl/>
        </w:rPr>
        <w:t xml:space="preserve"> من المقدّمات، هي: </w:t>
      </w:r>
    </w:p>
    <w:p w:rsidR="00C37790" w:rsidRPr="006571AC" w:rsidRDefault="00C37790" w:rsidP="00C0404B">
      <w:pPr>
        <w:rPr>
          <w:sz w:val="27"/>
          <w:rtl/>
        </w:rPr>
      </w:pPr>
      <w:r w:rsidRPr="006571AC">
        <w:rPr>
          <w:rFonts w:hint="cs"/>
          <w:sz w:val="27"/>
          <w:rtl/>
        </w:rPr>
        <w:t xml:space="preserve">1ـ </w:t>
      </w:r>
      <w:r w:rsidR="001B0C40" w:rsidRPr="006571AC">
        <w:rPr>
          <w:rFonts w:hint="cs"/>
          <w:sz w:val="27"/>
          <w:rtl/>
        </w:rPr>
        <w:t xml:space="preserve">يُعَدّ </w:t>
      </w:r>
      <w:r w:rsidRPr="006571AC">
        <w:rPr>
          <w:rFonts w:hint="cs"/>
          <w:sz w:val="27"/>
          <w:rtl/>
        </w:rPr>
        <w:t>النهي</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المنكر</w:t>
      </w:r>
      <w:r w:rsidRPr="006571AC">
        <w:rPr>
          <w:sz w:val="27"/>
          <w:rtl/>
        </w:rPr>
        <w:t xml:space="preserve"> </w:t>
      </w:r>
      <w:r w:rsidR="001B0C40" w:rsidRPr="006571AC">
        <w:rPr>
          <w:rFonts w:hint="cs"/>
          <w:sz w:val="27"/>
          <w:rtl/>
        </w:rPr>
        <w:t>أحد</w:t>
      </w:r>
      <w:r w:rsidRPr="006571AC">
        <w:rPr>
          <w:sz w:val="27"/>
          <w:rtl/>
        </w:rPr>
        <w:t xml:space="preserve"> </w:t>
      </w:r>
      <w:r w:rsidRPr="006571AC">
        <w:rPr>
          <w:rFonts w:hint="cs"/>
          <w:sz w:val="27"/>
          <w:rtl/>
        </w:rPr>
        <w:t>الواجبات</w:t>
      </w:r>
      <w:r w:rsidRPr="006571AC">
        <w:rPr>
          <w:sz w:val="27"/>
          <w:rtl/>
        </w:rPr>
        <w:t xml:space="preserve"> </w:t>
      </w:r>
      <w:r w:rsidRPr="006571AC">
        <w:rPr>
          <w:rFonts w:hint="cs"/>
          <w:sz w:val="27"/>
          <w:rtl/>
        </w:rPr>
        <w:t>الإسلامية</w:t>
      </w:r>
      <w:r w:rsidRPr="006571AC">
        <w:rPr>
          <w:sz w:val="27"/>
          <w:rtl/>
        </w:rPr>
        <w:t xml:space="preserve"> </w:t>
      </w:r>
      <w:r w:rsidRPr="006571AC">
        <w:rPr>
          <w:rFonts w:hint="cs"/>
          <w:sz w:val="27"/>
          <w:rtl/>
        </w:rPr>
        <w:t>الواضحة</w:t>
      </w:r>
      <w:r w:rsidRPr="006571AC">
        <w:rPr>
          <w:sz w:val="27"/>
          <w:rtl/>
        </w:rPr>
        <w:t xml:space="preserve">. </w:t>
      </w:r>
    </w:p>
    <w:p w:rsidR="00C37790" w:rsidRPr="006571AC" w:rsidRDefault="00C37790" w:rsidP="00C0404B">
      <w:pPr>
        <w:rPr>
          <w:sz w:val="27"/>
          <w:rtl/>
        </w:rPr>
      </w:pPr>
      <w:r w:rsidRPr="006571AC">
        <w:rPr>
          <w:rFonts w:hint="cs"/>
          <w:sz w:val="27"/>
          <w:rtl/>
        </w:rPr>
        <w:t>2ـ إذا</w:t>
      </w:r>
      <w:r w:rsidRPr="006571AC">
        <w:rPr>
          <w:sz w:val="27"/>
          <w:rtl/>
        </w:rPr>
        <w:t xml:space="preserve"> </w:t>
      </w:r>
      <w:r w:rsidRPr="006571AC">
        <w:rPr>
          <w:rFonts w:hint="cs"/>
          <w:sz w:val="27"/>
          <w:rtl/>
        </w:rPr>
        <w:t>علم</w:t>
      </w:r>
      <w:r w:rsidRPr="006571AC">
        <w:rPr>
          <w:sz w:val="27"/>
          <w:rtl/>
        </w:rPr>
        <w:t xml:space="preserve"> </w:t>
      </w:r>
      <w:r w:rsidRPr="006571AC">
        <w:rPr>
          <w:rFonts w:hint="cs"/>
          <w:sz w:val="27"/>
          <w:rtl/>
        </w:rPr>
        <w:t>أحد</w:t>
      </w:r>
      <w:r w:rsidR="001B0C40" w:rsidRPr="006571AC">
        <w:rPr>
          <w:rFonts w:hint="cs"/>
          <w:sz w:val="27"/>
          <w:rtl/>
        </w:rPr>
        <w:t>ٌ</w:t>
      </w:r>
      <w:r w:rsidRPr="006571AC">
        <w:rPr>
          <w:sz w:val="27"/>
          <w:rtl/>
        </w:rPr>
        <w:t xml:space="preserve"> </w:t>
      </w:r>
      <w:r w:rsidRPr="006571AC">
        <w:rPr>
          <w:rFonts w:hint="cs"/>
          <w:sz w:val="27"/>
          <w:rtl/>
        </w:rPr>
        <w:t>بحصول</w:t>
      </w:r>
      <w:r w:rsidRPr="006571AC">
        <w:rPr>
          <w:sz w:val="27"/>
          <w:rtl/>
        </w:rPr>
        <w:t xml:space="preserve"> </w:t>
      </w:r>
      <w:r w:rsidRPr="006571AC">
        <w:rPr>
          <w:rFonts w:hint="cs"/>
          <w:sz w:val="27"/>
          <w:rtl/>
        </w:rPr>
        <w:t>م</w:t>
      </w:r>
      <w:r w:rsidR="0069431E" w:rsidRPr="006571AC">
        <w:rPr>
          <w:rFonts w:hint="cs"/>
          <w:sz w:val="27"/>
          <w:rtl/>
        </w:rPr>
        <w:t>ُ</w:t>
      </w:r>
      <w:r w:rsidRPr="006571AC">
        <w:rPr>
          <w:rFonts w:hint="cs"/>
          <w:sz w:val="27"/>
          <w:rtl/>
        </w:rPr>
        <w:t>ن</w:t>
      </w:r>
      <w:r w:rsidR="0069431E" w:rsidRPr="006571AC">
        <w:rPr>
          <w:rFonts w:hint="cs"/>
          <w:sz w:val="27"/>
          <w:rtl/>
        </w:rPr>
        <w:t>ْ</w:t>
      </w:r>
      <w:r w:rsidRPr="006571AC">
        <w:rPr>
          <w:rFonts w:hint="cs"/>
          <w:sz w:val="27"/>
          <w:rtl/>
        </w:rPr>
        <w:t>ك</w:t>
      </w:r>
      <w:r w:rsidR="0069431E" w:rsidRPr="006571AC">
        <w:rPr>
          <w:rFonts w:hint="cs"/>
          <w:sz w:val="27"/>
          <w:rtl/>
        </w:rPr>
        <w:t>َ</w:t>
      </w:r>
      <w:r w:rsidRPr="006571AC">
        <w:rPr>
          <w:rFonts w:hint="cs"/>
          <w:sz w:val="27"/>
          <w:rtl/>
        </w:rPr>
        <w:t>ر</w:t>
      </w:r>
      <w:r w:rsidR="0069431E"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المستقبل فيجب</w:t>
      </w:r>
      <w:r w:rsidRPr="006571AC">
        <w:rPr>
          <w:sz w:val="27"/>
          <w:rtl/>
        </w:rPr>
        <w:t xml:space="preserve"> </w:t>
      </w:r>
      <w:r w:rsidRPr="006571AC">
        <w:rPr>
          <w:rFonts w:hint="cs"/>
          <w:sz w:val="27"/>
          <w:rtl/>
        </w:rPr>
        <w:t>عليه</w:t>
      </w:r>
      <w:r w:rsidRPr="006571AC">
        <w:rPr>
          <w:sz w:val="27"/>
          <w:rtl/>
        </w:rPr>
        <w:t xml:space="preserve"> دفع ذلك المنكر</w:t>
      </w:r>
      <w:r w:rsidRPr="006571AC">
        <w:rPr>
          <w:sz w:val="27"/>
          <w:vertAlign w:val="superscript"/>
          <w:rtl/>
        </w:rPr>
        <w:t>(</w:t>
      </w:r>
      <w:r w:rsidRPr="006571AC">
        <w:rPr>
          <w:rStyle w:val="ac"/>
          <w:sz w:val="27"/>
          <w:rtl/>
        </w:rPr>
        <w:endnoteReference w:id="98"/>
      </w:r>
      <w:r w:rsidRPr="006571AC">
        <w:rPr>
          <w:sz w:val="27"/>
          <w:vertAlign w:val="superscript"/>
          <w:rtl/>
        </w:rPr>
        <w:t>)</w:t>
      </w:r>
      <w:r w:rsidRPr="006571AC">
        <w:rPr>
          <w:sz w:val="27"/>
          <w:rtl/>
        </w:rPr>
        <w:t xml:space="preserve">، كوجوب النهي عنه؛ </w:t>
      </w:r>
      <w:r w:rsidR="001B0C40" w:rsidRPr="006571AC">
        <w:rPr>
          <w:sz w:val="27"/>
          <w:rtl/>
        </w:rPr>
        <w:t>فلو كان أحد المك</w:t>
      </w:r>
      <w:r w:rsidRPr="006571AC">
        <w:rPr>
          <w:sz w:val="27"/>
          <w:rtl/>
        </w:rPr>
        <w:t>ل</w:t>
      </w:r>
      <w:r w:rsidR="001B0C40" w:rsidRPr="006571AC">
        <w:rPr>
          <w:rFonts w:hint="cs"/>
          <w:sz w:val="27"/>
          <w:rtl/>
        </w:rPr>
        <w:t>َّ</w:t>
      </w:r>
      <w:r w:rsidRPr="006571AC">
        <w:rPr>
          <w:sz w:val="27"/>
          <w:rtl/>
        </w:rPr>
        <w:t>فين يعلم بأنّ شخصاً ينوي قتل شخص</w:t>
      </w:r>
      <w:r w:rsidR="001B0C40" w:rsidRPr="006571AC">
        <w:rPr>
          <w:rFonts w:hint="cs"/>
          <w:sz w:val="27"/>
          <w:rtl/>
        </w:rPr>
        <w:t>ٍ</w:t>
      </w:r>
      <w:r w:rsidRPr="006571AC">
        <w:rPr>
          <w:sz w:val="27"/>
          <w:rtl/>
        </w:rPr>
        <w:t xml:space="preserve"> آخر فيجب عليه حينئذ</w:t>
      </w:r>
      <w:r w:rsidR="001B0C40" w:rsidRPr="006571AC">
        <w:rPr>
          <w:rFonts w:hint="cs"/>
          <w:sz w:val="27"/>
          <w:rtl/>
        </w:rPr>
        <w:t>ٍ</w:t>
      </w:r>
      <w:r w:rsidRPr="006571AC">
        <w:rPr>
          <w:sz w:val="27"/>
          <w:rtl/>
        </w:rPr>
        <w:t xml:space="preserve"> دفع ذلك القتل، والحيلولة دون وقوعه. </w:t>
      </w:r>
    </w:p>
    <w:p w:rsidR="001B0C40" w:rsidRPr="006571AC" w:rsidRDefault="00C37790" w:rsidP="00C0404B">
      <w:pPr>
        <w:rPr>
          <w:sz w:val="27"/>
          <w:rtl/>
        </w:rPr>
      </w:pPr>
      <w:r w:rsidRPr="006571AC">
        <w:rPr>
          <w:rFonts w:hint="cs"/>
          <w:sz w:val="27"/>
          <w:rtl/>
        </w:rPr>
        <w:lastRenderedPageBreak/>
        <w:t>3ـ لدى</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العلم</w:t>
      </w:r>
      <w:r w:rsidRPr="006571AC">
        <w:rPr>
          <w:sz w:val="27"/>
          <w:rtl/>
        </w:rPr>
        <w:t xml:space="preserve"> </w:t>
      </w:r>
      <w:r w:rsidRPr="006571AC">
        <w:rPr>
          <w:rFonts w:hint="cs"/>
          <w:sz w:val="27"/>
          <w:rtl/>
        </w:rPr>
        <w:t>بحصول</w:t>
      </w:r>
      <w:r w:rsidRPr="006571AC">
        <w:rPr>
          <w:sz w:val="27"/>
          <w:rtl/>
        </w:rPr>
        <w:t xml:space="preserve"> </w:t>
      </w:r>
      <w:r w:rsidRPr="006571AC">
        <w:rPr>
          <w:rFonts w:hint="cs"/>
          <w:sz w:val="27"/>
          <w:rtl/>
        </w:rPr>
        <w:t>الس</w:t>
      </w:r>
      <w:r w:rsidR="001B0C40" w:rsidRPr="006571AC">
        <w:rPr>
          <w:rFonts w:hint="cs"/>
          <w:sz w:val="27"/>
          <w:rtl/>
        </w:rPr>
        <w:t>ِّ</w:t>
      </w:r>
      <w:r w:rsidRPr="006571AC">
        <w:rPr>
          <w:rFonts w:hint="cs"/>
          <w:sz w:val="27"/>
          <w:rtl/>
        </w:rPr>
        <w:t>ي</w:t>
      </w:r>
      <w:r w:rsidR="001B0C40" w:rsidRPr="006571AC">
        <w:rPr>
          <w:rFonts w:hint="cs"/>
          <w:sz w:val="27"/>
          <w:rtl/>
        </w:rPr>
        <w:t>َ</w:t>
      </w:r>
      <w:r w:rsidRPr="006571AC">
        <w:rPr>
          <w:rFonts w:hint="cs"/>
          <w:sz w:val="27"/>
          <w:rtl/>
        </w:rPr>
        <w:t>ر</w:t>
      </w:r>
      <w:r w:rsidRPr="006571AC">
        <w:rPr>
          <w:sz w:val="27"/>
          <w:rtl/>
        </w:rPr>
        <w:t xml:space="preserve"> </w:t>
      </w:r>
      <w:r w:rsidRPr="006571AC">
        <w:rPr>
          <w:rFonts w:hint="cs"/>
          <w:sz w:val="27"/>
          <w:rtl/>
        </w:rPr>
        <w:t>المنكرة</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المستقبل، فيجب</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النهي</w:t>
      </w:r>
      <w:r w:rsidRPr="006571AC">
        <w:rPr>
          <w:sz w:val="27"/>
          <w:rtl/>
        </w:rPr>
        <w:t xml:space="preserve"> </w:t>
      </w:r>
      <w:r w:rsidRPr="006571AC">
        <w:rPr>
          <w:rFonts w:hint="cs"/>
          <w:sz w:val="27"/>
          <w:rtl/>
        </w:rPr>
        <w:t>عنها</w:t>
      </w:r>
      <w:r w:rsidRPr="006571AC">
        <w:rPr>
          <w:sz w:val="27"/>
          <w:rtl/>
        </w:rPr>
        <w:t xml:space="preserve">. </w:t>
      </w:r>
    </w:p>
    <w:p w:rsidR="00C37790" w:rsidRPr="006571AC" w:rsidRDefault="00C37790" w:rsidP="00C0404B">
      <w:pPr>
        <w:rPr>
          <w:sz w:val="27"/>
          <w:rtl/>
        </w:rPr>
      </w:pPr>
      <w:r w:rsidRPr="006571AC">
        <w:rPr>
          <w:rFonts w:hint="cs"/>
          <w:sz w:val="27"/>
          <w:rtl/>
        </w:rPr>
        <w:t>وبناء</w:t>
      </w:r>
      <w:r w:rsidR="001B0C40" w:rsidRPr="006571AC">
        <w:rPr>
          <w:rFonts w:hint="cs"/>
          <w:sz w:val="27"/>
          <w:rtl/>
        </w:rPr>
        <w:t>ً</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تقدّم نستنتج</w:t>
      </w:r>
      <w:r w:rsidRPr="006571AC">
        <w:rPr>
          <w:sz w:val="27"/>
          <w:rtl/>
        </w:rPr>
        <w:t xml:space="preserve"> </w:t>
      </w:r>
      <w:r w:rsidRPr="006571AC">
        <w:rPr>
          <w:rFonts w:hint="cs"/>
          <w:sz w:val="27"/>
          <w:rtl/>
        </w:rPr>
        <w:t>عدم</w:t>
      </w:r>
      <w:r w:rsidRPr="006571AC">
        <w:rPr>
          <w:sz w:val="27"/>
          <w:rtl/>
        </w:rPr>
        <w:t xml:space="preserve"> </w:t>
      </w:r>
      <w:r w:rsidRPr="006571AC">
        <w:rPr>
          <w:rFonts w:hint="cs"/>
          <w:sz w:val="27"/>
          <w:rtl/>
        </w:rPr>
        <w:t>مخ</w:t>
      </w:r>
      <w:r w:rsidRPr="006571AC">
        <w:rPr>
          <w:sz w:val="27"/>
          <w:rtl/>
        </w:rPr>
        <w:t>الفة الس</w:t>
      </w:r>
      <w:r w:rsidR="001B0C40" w:rsidRPr="006571AC">
        <w:rPr>
          <w:rFonts w:hint="cs"/>
          <w:sz w:val="27"/>
          <w:rtl/>
        </w:rPr>
        <w:t>ِّ</w:t>
      </w:r>
      <w:r w:rsidRPr="006571AC">
        <w:rPr>
          <w:sz w:val="27"/>
          <w:rtl/>
        </w:rPr>
        <w:t>يرة للشرع إذا لم تكن داخلة</w:t>
      </w:r>
      <w:r w:rsidR="001B0C40" w:rsidRPr="006571AC">
        <w:rPr>
          <w:rFonts w:hint="cs"/>
          <w:sz w:val="27"/>
          <w:rtl/>
        </w:rPr>
        <w:t>ً</w:t>
      </w:r>
      <w:r w:rsidRPr="006571AC">
        <w:rPr>
          <w:sz w:val="27"/>
          <w:rtl/>
        </w:rPr>
        <w:t xml:space="preserve"> تحت أحد عناوين </w:t>
      </w:r>
      <w:r w:rsidR="001B0C40" w:rsidRPr="006571AC">
        <w:rPr>
          <w:rFonts w:hint="cs"/>
          <w:sz w:val="27"/>
          <w:rtl/>
        </w:rPr>
        <w:t>النواهي</w:t>
      </w:r>
      <w:r w:rsidRPr="006571AC">
        <w:rPr>
          <w:sz w:val="27"/>
          <w:rtl/>
        </w:rPr>
        <w:t xml:space="preserve"> الشرعية، ولم يكن العقل يحكم بق</w:t>
      </w:r>
      <w:r w:rsidR="001B0C40" w:rsidRPr="006571AC">
        <w:rPr>
          <w:rFonts w:hint="cs"/>
          <w:sz w:val="27"/>
          <w:rtl/>
        </w:rPr>
        <w:t>ُ</w:t>
      </w:r>
      <w:r w:rsidRPr="006571AC">
        <w:rPr>
          <w:sz w:val="27"/>
          <w:rtl/>
        </w:rPr>
        <w:t>ب</w:t>
      </w:r>
      <w:r w:rsidR="001B0C40" w:rsidRPr="006571AC">
        <w:rPr>
          <w:rFonts w:hint="cs"/>
          <w:sz w:val="27"/>
          <w:rtl/>
        </w:rPr>
        <w:t>ْ</w:t>
      </w:r>
      <w:r w:rsidRPr="006571AC">
        <w:rPr>
          <w:sz w:val="27"/>
          <w:rtl/>
        </w:rPr>
        <w:t xml:space="preserve">حها. </w:t>
      </w:r>
    </w:p>
    <w:p w:rsidR="00ED1ECC" w:rsidRPr="006571AC" w:rsidRDefault="00ED1ECC" w:rsidP="00ED1ECC">
      <w:pPr>
        <w:spacing w:line="420" w:lineRule="exact"/>
        <w:rPr>
          <w:sz w:val="27"/>
          <w:rtl/>
        </w:rPr>
      </w:pPr>
    </w:p>
    <w:p w:rsidR="00C37790" w:rsidRPr="006571AC" w:rsidRDefault="004647CD" w:rsidP="00657D34">
      <w:pPr>
        <w:pStyle w:val="31"/>
        <w:rPr>
          <w:color w:val="auto"/>
          <w:rtl/>
        </w:rPr>
      </w:pPr>
      <w:bookmarkStart w:id="52" w:name="_Toc114164541"/>
      <w:r w:rsidRPr="006571AC">
        <w:rPr>
          <w:rFonts w:hint="cs"/>
          <w:color w:val="auto"/>
          <w:rtl/>
        </w:rPr>
        <w:t>تساؤلاتٌ مردودة</w:t>
      </w:r>
      <w:bookmarkEnd w:id="52"/>
      <w:r w:rsidR="00C37790" w:rsidRPr="006571AC">
        <w:rPr>
          <w:color w:val="auto"/>
          <w:rtl/>
        </w:rPr>
        <w:t xml:space="preserve"> </w:t>
      </w:r>
    </w:p>
    <w:p w:rsidR="00C37790" w:rsidRPr="006571AC" w:rsidRDefault="00C37790" w:rsidP="00C0404B">
      <w:pPr>
        <w:rPr>
          <w:sz w:val="27"/>
          <w:rtl/>
        </w:rPr>
      </w:pPr>
      <w:r w:rsidRPr="006571AC">
        <w:rPr>
          <w:sz w:val="27"/>
          <w:rtl/>
        </w:rPr>
        <w:t>أ</w:t>
      </w:r>
      <w:r w:rsidRPr="006571AC">
        <w:rPr>
          <w:rFonts w:hint="cs"/>
          <w:sz w:val="27"/>
          <w:rtl/>
        </w:rPr>
        <w:t xml:space="preserve">ـ </w:t>
      </w:r>
      <w:r w:rsidRPr="006571AC">
        <w:rPr>
          <w:sz w:val="27"/>
          <w:rtl/>
        </w:rPr>
        <w:t>يوجد سؤال</w:t>
      </w:r>
      <w:r w:rsidR="00650613" w:rsidRPr="006571AC">
        <w:rPr>
          <w:rFonts w:hint="cs"/>
          <w:sz w:val="27"/>
          <w:rtl/>
        </w:rPr>
        <w:t>ٌ</w:t>
      </w:r>
      <w:r w:rsidRPr="006571AC">
        <w:rPr>
          <w:sz w:val="27"/>
          <w:rtl/>
        </w:rPr>
        <w:t xml:space="preserve"> مرتبط بالمقدّمة الثانية، وهو</w:t>
      </w:r>
      <w:r w:rsidR="00650613" w:rsidRPr="006571AC">
        <w:rPr>
          <w:rFonts w:hint="cs"/>
          <w:sz w:val="27"/>
          <w:rtl/>
        </w:rPr>
        <w:t>:</w:t>
      </w:r>
      <w:r w:rsidRPr="006571AC">
        <w:rPr>
          <w:sz w:val="27"/>
          <w:rtl/>
        </w:rPr>
        <w:t xml:space="preserve"> هل أنّ</w:t>
      </w:r>
      <w:r w:rsidRPr="006571AC">
        <w:rPr>
          <w:rFonts w:hint="cs"/>
          <w:sz w:val="27"/>
          <w:rtl/>
        </w:rPr>
        <w:t xml:space="preserve"> </w:t>
      </w:r>
      <w:r w:rsidRPr="006571AC">
        <w:rPr>
          <w:sz w:val="27"/>
          <w:rtl/>
        </w:rPr>
        <w:t>وجوب دفع المنكر ثابت</w:t>
      </w:r>
      <w:r w:rsidR="00650613" w:rsidRPr="006571AC">
        <w:rPr>
          <w:rFonts w:hint="cs"/>
          <w:sz w:val="27"/>
          <w:rtl/>
        </w:rPr>
        <w:t>ٌ</w:t>
      </w:r>
      <w:r w:rsidRPr="006571AC">
        <w:rPr>
          <w:sz w:val="27"/>
          <w:rtl/>
        </w:rPr>
        <w:t xml:space="preserve"> بالنسبة لجميع المحرّ</w:t>
      </w:r>
      <w:r w:rsidR="00650613" w:rsidRPr="006571AC">
        <w:rPr>
          <w:rFonts w:hint="cs"/>
          <w:sz w:val="27"/>
          <w:rtl/>
        </w:rPr>
        <w:t>َ</w:t>
      </w:r>
      <w:r w:rsidRPr="006571AC">
        <w:rPr>
          <w:sz w:val="27"/>
          <w:rtl/>
        </w:rPr>
        <w:t>مات أم هو مختصّ</w:t>
      </w:r>
      <w:r w:rsidR="00650613" w:rsidRPr="006571AC">
        <w:rPr>
          <w:rFonts w:hint="cs"/>
          <w:sz w:val="27"/>
          <w:rtl/>
        </w:rPr>
        <w:t>ٌ</w:t>
      </w:r>
      <w:r w:rsidRPr="006571AC">
        <w:rPr>
          <w:sz w:val="27"/>
          <w:rtl/>
        </w:rPr>
        <w:t xml:space="preserve"> بالمحرّ</w:t>
      </w:r>
      <w:r w:rsidR="00650613" w:rsidRPr="006571AC">
        <w:rPr>
          <w:rFonts w:hint="cs"/>
          <w:sz w:val="27"/>
          <w:rtl/>
        </w:rPr>
        <w:t>َ</w:t>
      </w:r>
      <w:r w:rsidRPr="006571AC">
        <w:rPr>
          <w:sz w:val="27"/>
          <w:rtl/>
        </w:rPr>
        <w:t>مات المهمّة</w:t>
      </w:r>
      <w:r w:rsidR="00650613" w:rsidRPr="006571AC">
        <w:rPr>
          <w:rFonts w:hint="cs"/>
          <w:sz w:val="27"/>
          <w:rtl/>
        </w:rPr>
        <w:t>،</w:t>
      </w:r>
      <w:r w:rsidRPr="006571AC">
        <w:rPr>
          <w:sz w:val="27"/>
          <w:rtl/>
        </w:rPr>
        <w:t xml:space="preserve"> مثل</w:t>
      </w:r>
      <w:r w:rsidR="00650613" w:rsidRPr="006571AC">
        <w:rPr>
          <w:rFonts w:hint="cs"/>
          <w:sz w:val="27"/>
          <w:rtl/>
        </w:rPr>
        <w:t>:</w:t>
      </w:r>
      <w:r w:rsidRPr="006571AC">
        <w:rPr>
          <w:sz w:val="27"/>
          <w:rtl/>
        </w:rPr>
        <w:t xml:space="preserve"> قتل النفس المحترمة، والهتك، وإتلاف الممتلكات المشروعة، وهدم أساس الدين، وتضعيف شوكة المسلمين، وترويج ب</w:t>
      </w:r>
      <w:r w:rsidR="00650613" w:rsidRPr="006571AC">
        <w:rPr>
          <w:rFonts w:hint="cs"/>
          <w:sz w:val="27"/>
          <w:rtl/>
        </w:rPr>
        <w:t>ِ</w:t>
      </w:r>
      <w:r w:rsidRPr="006571AC">
        <w:rPr>
          <w:sz w:val="27"/>
          <w:rtl/>
        </w:rPr>
        <w:t>د</w:t>
      </w:r>
      <w:r w:rsidR="00650613" w:rsidRPr="006571AC">
        <w:rPr>
          <w:rFonts w:hint="cs"/>
          <w:sz w:val="27"/>
          <w:rtl/>
        </w:rPr>
        <w:t>َ</w:t>
      </w:r>
      <w:r w:rsidRPr="006571AC">
        <w:rPr>
          <w:sz w:val="27"/>
          <w:rtl/>
        </w:rPr>
        <w:t>ع المضلّلين</w:t>
      </w:r>
      <w:r w:rsidR="00650613" w:rsidRPr="006571AC">
        <w:rPr>
          <w:sz w:val="27"/>
          <w:rtl/>
        </w:rPr>
        <w:t>؟</w:t>
      </w:r>
      <w:r w:rsidRPr="006571AC">
        <w:rPr>
          <w:sz w:val="27"/>
          <w:vertAlign w:val="superscript"/>
          <w:rtl/>
        </w:rPr>
        <w:t>(</w:t>
      </w:r>
      <w:r w:rsidRPr="006571AC">
        <w:rPr>
          <w:rStyle w:val="ac"/>
          <w:sz w:val="27"/>
          <w:rtl/>
        </w:rPr>
        <w:endnoteReference w:id="99"/>
      </w:r>
      <w:r w:rsidRPr="006571AC">
        <w:rPr>
          <w:sz w:val="27"/>
          <w:vertAlign w:val="superscript"/>
          <w:rtl/>
        </w:rPr>
        <w:t>)</w:t>
      </w:r>
      <w:r w:rsidR="00650613" w:rsidRPr="006571AC">
        <w:rPr>
          <w:rFonts w:hint="cs"/>
          <w:sz w:val="27"/>
          <w:rtl/>
        </w:rPr>
        <w:t xml:space="preserve">، </w:t>
      </w:r>
      <w:r w:rsidRPr="006571AC">
        <w:rPr>
          <w:sz w:val="27"/>
          <w:rtl/>
        </w:rPr>
        <w:t>ففي الصورة الثانية ستكون هذه المقدّمة من الاستدلال غير تامّة</w:t>
      </w:r>
      <w:r w:rsidR="00650613" w:rsidRPr="006571AC">
        <w:rPr>
          <w:rFonts w:hint="cs"/>
          <w:sz w:val="27"/>
          <w:rtl/>
        </w:rPr>
        <w:t>ٍ</w:t>
      </w:r>
      <w:r w:rsidRPr="006571AC">
        <w:rPr>
          <w:sz w:val="27"/>
          <w:rtl/>
        </w:rPr>
        <w:t xml:space="preserve">. </w:t>
      </w:r>
    </w:p>
    <w:p w:rsidR="00C37790" w:rsidRPr="006571AC" w:rsidRDefault="00C37790" w:rsidP="00C0404B">
      <w:pPr>
        <w:rPr>
          <w:sz w:val="27"/>
          <w:rtl/>
        </w:rPr>
      </w:pPr>
      <w:r w:rsidRPr="006571AC">
        <w:rPr>
          <w:b/>
          <w:bCs/>
          <w:sz w:val="27"/>
          <w:rtl/>
        </w:rPr>
        <w:t>وينبغي أن ي</w:t>
      </w:r>
      <w:r w:rsidR="00650613" w:rsidRPr="006571AC">
        <w:rPr>
          <w:rFonts w:hint="cs"/>
          <w:b/>
          <w:bCs/>
          <w:sz w:val="27"/>
          <w:rtl/>
        </w:rPr>
        <w:t>ُ</w:t>
      </w:r>
      <w:r w:rsidRPr="006571AC">
        <w:rPr>
          <w:b/>
          <w:bCs/>
          <w:sz w:val="27"/>
          <w:rtl/>
        </w:rPr>
        <w:t>قال في الجواب</w:t>
      </w:r>
      <w:r w:rsidRPr="006571AC">
        <w:rPr>
          <w:sz w:val="27"/>
          <w:rtl/>
        </w:rPr>
        <w:t xml:space="preserve"> بأنّ وجوب دفع كلّ محرّم</w:t>
      </w:r>
      <w:r w:rsidR="00650613" w:rsidRPr="006571AC">
        <w:rPr>
          <w:rFonts w:hint="cs"/>
          <w:sz w:val="27"/>
          <w:rtl/>
        </w:rPr>
        <w:t>ٍ</w:t>
      </w:r>
      <w:r w:rsidRPr="006571AC">
        <w:rPr>
          <w:sz w:val="27"/>
          <w:rtl/>
        </w:rPr>
        <w:t xml:space="preserve"> بحاجة</w:t>
      </w:r>
      <w:r w:rsidR="00650613" w:rsidRPr="006571AC">
        <w:rPr>
          <w:rFonts w:hint="cs"/>
          <w:sz w:val="27"/>
          <w:rtl/>
        </w:rPr>
        <w:t>ٍ</w:t>
      </w:r>
      <w:r w:rsidRPr="006571AC">
        <w:rPr>
          <w:sz w:val="27"/>
          <w:rtl/>
        </w:rPr>
        <w:t xml:space="preserve"> إلى دليل</w:t>
      </w:r>
      <w:r w:rsidR="00650613" w:rsidRPr="006571AC">
        <w:rPr>
          <w:rFonts w:hint="cs"/>
          <w:sz w:val="27"/>
          <w:rtl/>
        </w:rPr>
        <w:t>ٍ</w:t>
      </w:r>
      <w:r w:rsidRPr="006571AC">
        <w:rPr>
          <w:sz w:val="27"/>
          <w:rtl/>
        </w:rPr>
        <w:t xml:space="preserve"> معتبر، كتنقيح المناط القطعي</w:t>
      </w:r>
      <w:r w:rsidRPr="006571AC">
        <w:rPr>
          <w:sz w:val="27"/>
          <w:vertAlign w:val="superscript"/>
          <w:rtl/>
        </w:rPr>
        <w:t>(</w:t>
      </w:r>
      <w:r w:rsidRPr="006571AC">
        <w:rPr>
          <w:rStyle w:val="ac"/>
          <w:sz w:val="27"/>
          <w:rtl/>
        </w:rPr>
        <w:endnoteReference w:id="100"/>
      </w:r>
      <w:r w:rsidRPr="006571AC">
        <w:rPr>
          <w:sz w:val="27"/>
          <w:vertAlign w:val="superscript"/>
          <w:rtl/>
        </w:rPr>
        <w:t>)</w:t>
      </w:r>
      <w:r w:rsidRPr="006571AC">
        <w:rPr>
          <w:sz w:val="27"/>
          <w:rtl/>
        </w:rPr>
        <w:t>، ولكن</w:t>
      </w:r>
      <w:r w:rsidR="00650613" w:rsidRPr="006571AC">
        <w:rPr>
          <w:rFonts w:hint="cs"/>
          <w:sz w:val="27"/>
          <w:rtl/>
        </w:rPr>
        <w:t>ْ</w:t>
      </w:r>
      <w:r w:rsidRPr="006571AC">
        <w:rPr>
          <w:sz w:val="27"/>
          <w:rtl/>
        </w:rPr>
        <w:t xml:space="preserve"> يمكن ذكر ملاك على وجوب دفع المنكر في هذا المجال، وهو أنّه من الممكن في بعض الأحيان أن </w:t>
      </w:r>
      <w:r w:rsidR="00650613" w:rsidRPr="006571AC">
        <w:rPr>
          <w:rFonts w:hint="cs"/>
          <w:sz w:val="27"/>
          <w:rtl/>
        </w:rPr>
        <w:t xml:space="preserve">لا </w:t>
      </w:r>
      <w:r w:rsidRPr="006571AC">
        <w:rPr>
          <w:sz w:val="27"/>
          <w:rtl/>
        </w:rPr>
        <w:t xml:space="preserve">يكون </w:t>
      </w:r>
      <w:r w:rsidR="00650613" w:rsidRPr="006571AC">
        <w:rPr>
          <w:rFonts w:hint="cs"/>
          <w:sz w:val="27"/>
          <w:rtl/>
        </w:rPr>
        <w:t>ل</w:t>
      </w:r>
      <w:r w:rsidRPr="006571AC">
        <w:rPr>
          <w:sz w:val="27"/>
          <w:rtl/>
        </w:rPr>
        <w:t>أحد المحرّ</w:t>
      </w:r>
      <w:r w:rsidR="00650613" w:rsidRPr="006571AC">
        <w:rPr>
          <w:rFonts w:hint="cs"/>
          <w:sz w:val="27"/>
          <w:rtl/>
        </w:rPr>
        <w:t>َ</w:t>
      </w:r>
      <w:r w:rsidRPr="006571AC">
        <w:rPr>
          <w:sz w:val="27"/>
          <w:rtl/>
        </w:rPr>
        <w:t>مات أهمّية شديدة، ويريد شخص</w:t>
      </w:r>
      <w:r w:rsidR="00650613" w:rsidRPr="006571AC">
        <w:rPr>
          <w:rFonts w:hint="cs"/>
          <w:sz w:val="27"/>
          <w:rtl/>
        </w:rPr>
        <w:t>ٌ</w:t>
      </w:r>
      <w:r w:rsidRPr="006571AC">
        <w:rPr>
          <w:sz w:val="27"/>
          <w:rtl/>
        </w:rPr>
        <w:t xml:space="preserve"> في المستقبل أن يرتكبه بشكل</w:t>
      </w:r>
      <w:r w:rsidR="00650613" w:rsidRPr="006571AC">
        <w:rPr>
          <w:rFonts w:hint="cs"/>
          <w:sz w:val="27"/>
          <w:rtl/>
        </w:rPr>
        <w:t>ٍ</w:t>
      </w:r>
      <w:r w:rsidRPr="006571AC">
        <w:rPr>
          <w:sz w:val="27"/>
          <w:rtl/>
        </w:rPr>
        <w:t xml:space="preserve"> شخصي وجزئي، ووجوب دفع المنكر في هذه الصورة يحتاج إلى دليل</w:t>
      </w:r>
      <w:r w:rsidR="00650613" w:rsidRPr="006571AC">
        <w:rPr>
          <w:rFonts w:hint="cs"/>
          <w:sz w:val="27"/>
          <w:rtl/>
        </w:rPr>
        <w:t>ٍ</w:t>
      </w:r>
      <w:r w:rsidRPr="006571AC">
        <w:rPr>
          <w:sz w:val="27"/>
          <w:rtl/>
        </w:rPr>
        <w:t xml:space="preserve"> م</w:t>
      </w:r>
      <w:r w:rsidR="00650613" w:rsidRPr="006571AC">
        <w:rPr>
          <w:rFonts w:hint="cs"/>
          <w:sz w:val="27"/>
          <w:rtl/>
        </w:rPr>
        <w:t>ُ</w:t>
      </w:r>
      <w:r w:rsidRPr="006571AC">
        <w:rPr>
          <w:sz w:val="27"/>
          <w:rtl/>
        </w:rPr>
        <w:t>ح</w:t>
      </w:r>
      <w:r w:rsidR="00650613" w:rsidRPr="006571AC">
        <w:rPr>
          <w:rFonts w:hint="cs"/>
          <w:sz w:val="27"/>
          <w:rtl/>
        </w:rPr>
        <w:t>ْ</w:t>
      </w:r>
      <w:r w:rsidRPr="006571AC">
        <w:rPr>
          <w:sz w:val="27"/>
          <w:rtl/>
        </w:rPr>
        <w:t>ك</w:t>
      </w:r>
      <w:r w:rsidR="00650613" w:rsidRPr="006571AC">
        <w:rPr>
          <w:rFonts w:hint="cs"/>
          <w:sz w:val="27"/>
          <w:rtl/>
        </w:rPr>
        <w:t>َ</w:t>
      </w:r>
      <w:r w:rsidRPr="006571AC">
        <w:rPr>
          <w:sz w:val="27"/>
          <w:rtl/>
        </w:rPr>
        <w:t>م، ولكن</w:t>
      </w:r>
      <w:r w:rsidR="00650613" w:rsidRPr="006571AC">
        <w:rPr>
          <w:rFonts w:hint="cs"/>
          <w:sz w:val="27"/>
          <w:rtl/>
        </w:rPr>
        <w:t>ّ</w:t>
      </w:r>
      <w:r w:rsidRPr="006571AC">
        <w:rPr>
          <w:sz w:val="27"/>
          <w:rtl/>
        </w:rPr>
        <w:t xml:space="preserve"> هذا المنكر نفسه ر</w:t>
      </w:r>
      <w:r w:rsidR="00650613" w:rsidRPr="006571AC">
        <w:rPr>
          <w:rFonts w:hint="cs"/>
          <w:sz w:val="27"/>
          <w:rtl/>
        </w:rPr>
        <w:t>ُ</w:t>
      </w:r>
      <w:r w:rsidR="00650613" w:rsidRPr="006571AC">
        <w:rPr>
          <w:sz w:val="27"/>
          <w:rtl/>
        </w:rPr>
        <w:t>ب</w:t>
      </w:r>
      <w:r w:rsidR="00650613" w:rsidRPr="006571AC">
        <w:rPr>
          <w:rFonts w:hint="cs"/>
          <w:sz w:val="27"/>
          <w:rtl/>
        </w:rPr>
        <w:t>َ</w:t>
      </w:r>
      <w:r w:rsidRPr="006571AC">
        <w:rPr>
          <w:sz w:val="27"/>
          <w:rtl/>
        </w:rPr>
        <w:t>ما يريد شخص</w:t>
      </w:r>
      <w:r w:rsidR="00650613" w:rsidRPr="006571AC">
        <w:rPr>
          <w:rFonts w:hint="cs"/>
          <w:sz w:val="27"/>
          <w:rtl/>
        </w:rPr>
        <w:t>ٌ</w:t>
      </w:r>
      <w:r w:rsidRPr="006571AC">
        <w:rPr>
          <w:sz w:val="27"/>
          <w:rtl/>
        </w:rPr>
        <w:t xml:space="preserve"> أحياناً أن يطلقه ويروّ</w:t>
      </w:r>
      <w:r w:rsidR="00650613" w:rsidRPr="006571AC">
        <w:rPr>
          <w:rFonts w:hint="cs"/>
          <w:sz w:val="27"/>
          <w:rtl/>
        </w:rPr>
        <w:t>ِ</w:t>
      </w:r>
      <w:r w:rsidRPr="006571AC">
        <w:rPr>
          <w:sz w:val="27"/>
          <w:rtl/>
        </w:rPr>
        <w:t>جه كس</w:t>
      </w:r>
      <w:r w:rsidR="0069431E" w:rsidRPr="006571AC">
        <w:rPr>
          <w:rFonts w:hint="cs"/>
          <w:sz w:val="27"/>
          <w:rtl/>
        </w:rPr>
        <w:t>ُ</w:t>
      </w:r>
      <w:r w:rsidRPr="006571AC">
        <w:rPr>
          <w:sz w:val="27"/>
          <w:rtl/>
        </w:rPr>
        <w:t>نّة</w:t>
      </w:r>
      <w:r w:rsidR="00650613" w:rsidRPr="006571AC">
        <w:rPr>
          <w:rFonts w:hint="cs"/>
          <w:sz w:val="27"/>
          <w:rtl/>
        </w:rPr>
        <w:t>ٍ</w:t>
      </w:r>
      <w:r w:rsidRPr="006571AC">
        <w:rPr>
          <w:sz w:val="27"/>
          <w:rtl/>
        </w:rPr>
        <w:t xml:space="preserve"> سيّئة في المجتمع، وفي هذه الصورة يمكن ذكر أدلّة</w:t>
      </w:r>
      <w:r w:rsidR="00133BA1" w:rsidRPr="006571AC">
        <w:rPr>
          <w:rFonts w:hint="cs"/>
          <w:sz w:val="27"/>
          <w:rtl/>
        </w:rPr>
        <w:t>ٍ</w:t>
      </w:r>
      <w:r w:rsidRPr="006571AC">
        <w:rPr>
          <w:sz w:val="27"/>
          <w:rtl/>
        </w:rPr>
        <w:t xml:space="preserve"> على وجوب دفع هذا المنكر، ومن ضمنها الحديث النبويّ القائل: </w:t>
      </w:r>
      <w:r w:rsidR="00133BA1" w:rsidRPr="006571AC">
        <w:rPr>
          <w:rFonts w:hint="eastAsia"/>
          <w:sz w:val="24"/>
          <w:szCs w:val="24"/>
          <w:rtl/>
        </w:rPr>
        <w:t>«</w:t>
      </w:r>
      <w:r w:rsidRPr="006571AC">
        <w:rPr>
          <w:sz w:val="27"/>
          <w:rtl/>
        </w:rPr>
        <w:t>مَنْ سنّ سنّة</w:t>
      </w:r>
      <w:r w:rsidR="00133BA1" w:rsidRPr="006571AC">
        <w:rPr>
          <w:rFonts w:hint="cs"/>
          <w:sz w:val="27"/>
          <w:rtl/>
        </w:rPr>
        <w:t>ً</w:t>
      </w:r>
      <w:r w:rsidRPr="006571AC">
        <w:rPr>
          <w:sz w:val="27"/>
          <w:rtl/>
        </w:rPr>
        <w:t xml:space="preserve"> حَسَنَةً فَلَهُ أَجْرُهَا وأَجْرُ مَنْ عَمِلَ بِهَا إِلَى يَوْمِ اَلْقِيَامَةِ، ومَنْ سنّ سنّة</w:t>
      </w:r>
      <w:r w:rsidR="00133BA1" w:rsidRPr="006571AC">
        <w:rPr>
          <w:rFonts w:hint="cs"/>
          <w:sz w:val="27"/>
          <w:rtl/>
        </w:rPr>
        <w:t>ً</w:t>
      </w:r>
      <w:r w:rsidRPr="006571AC">
        <w:rPr>
          <w:sz w:val="27"/>
          <w:rtl/>
        </w:rPr>
        <w:t xml:space="preserve"> سيّئة</w:t>
      </w:r>
      <w:r w:rsidR="00133BA1" w:rsidRPr="006571AC">
        <w:rPr>
          <w:rFonts w:hint="cs"/>
          <w:sz w:val="27"/>
          <w:rtl/>
        </w:rPr>
        <w:t>ً</w:t>
      </w:r>
      <w:r w:rsidRPr="006571AC">
        <w:rPr>
          <w:sz w:val="27"/>
          <w:rtl/>
        </w:rPr>
        <w:t xml:space="preserve"> كَانَ عَلَيْهِ وِزْرُهَا ووِزْرُ مَنْ عَمِلَ بِهَا إِلَى يَوْمِ اَلْقِيَامَة</w:t>
      </w:r>
      <w:r w:rsidR="00133BA1" w:rsidRPr="006571AC">
        <w:rPr>
          <w:rFonts w:hint="eastAsia"/>
          <w:sz w:val="24"/>
          <w:szCs w:val="24"/>
          <w:rtl/>
        </w:rPr>
        <w:t>»</w:t>
      </w:r>
      <w:r w:rsidRPr="006571AC">
        <w:rPr>
          <w:sz w:val="27"/>
          <w:vertAlign w:val="superscript"/>
          <w:rtl/>
        </w:rPr>
        <w:t>(</w:t>
      </w:r>
      <w:r w:rsidRPr="006571AC">
        <w:rPr>
          <w:rStyle w:val="ac"/>
          <w:sz w:val="27"/>
          <w:rtl/>
        </w:rPr>
        <w:endnoteReference w:id="101"/>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sz w:val="27"/>
          <w:rtl/>
        </w:rPr>
        <w:t>ويستفاد من إطلاق هذا الحديث أنّ مبغوضية تأسيس المنكر [وترويجه</w:t>
      </w:r>
      <w:r w:rsidR="00133BA1" w:rsidRPr="006571AC">
        <w:rPr>
          <w:rFonts w:hint="cs"/>
          <w:sz w:val="27"/>
          <w:rtl/>
        </w:rPr>
        <w:t>]</w:t>
      </w:r>
      <w:r w:rsidRPr="006571AC">
        <w:rPr>
          <w:sz w:val="27"/>
          <w:rtl/>
        </w:rPr>
        <w:t xml:space="preserve"> بمستوى</w:t>
      </w:r>
      <w:r w:rsidR="00133BA1" w:rsidRPr="006571AC">
        <w:rPr>
          <w:rFonts w:hint="cs"/>
          <w:sz w:val="27"/>
          <w:rtl/>
        </w:rPr>
        <w:t>ً</w:t>
      </w:r>
      <w:r w:rsidRPr="006571AC">
        <w:rPr>
          <w:sz w:val="27"/>
          <w:rtl/>
        </w:rPr>
        <w:t xml:space="preserve"> من الشد</w:t>
      </w:r>
      <w:r w:rsidR="00133BA1" w:rsidRPr="006571AC">
        <w:rPr>
          <w:rFonts w:hint="cs"/>
          <w:sz w:val="27"/>
          <w:rtl/>
        </w:rPr>
        <w:t>ّ</w:t>
      </w:r>
      <w:r w:rsidRPr="006571AC">
        <w:rPr>
          <w:sz w:val="27"/>
          <w:rtl/>
        </w:rPr>
        <w:t>ة تجعل آثام وأوزار المرتكبين لذلك المنكر في رقبة مؤسّ</w:t>
      </w:r>
      <w:r w:rsidR="00133BA1" w:rsidRPr="006571AC">
        <w:rPr>
          <w:rFonts w:hint="cs"/>
          <w:sz w:val="27"/>
          <w:rtl/>
        </w:rPr>
        <w:t>ِ</w:t>
      </w:r>
      <w:r w:rsidRPr="006571AC">
        <w:rPr>
          <w:sz w:val="27"/>
          <w:rtl/>
        </w:rPr>
        <w:t>سه [ومروّ</w:t>
      </w:r>
      <w:r w:rsidR="00133BA1" w:rsidRPr="006571AC">
        <w:rPr>
          <w:rFonts w:hint="cs"/>
          <w:sz w:val="27"/>
          <w:rtl/>
        </w:rPr>
        <w:t>ِ</w:t>
      </w:r>
      <w:r w:rsidRPr="006571AC">
        <w:rPr>
          <w:sz w:val="27"/>
          <w:rtl/>
        </w:rPr>
        <w:t>جه]، حتّى لو لم تكن تلك السيّئة والمعصية شديدة الأهمّية. و</w:t>
      </w:r>
      <w:r w:rsidR="00133BA1" w:rsidRPr="006571AC">
        <w:rPr>
          <w:rFonts w:hint="cs"/>
          <w:sz w:val="27"/>
          <w:rtl/>
        </w:rPr>
        <w:t>مضافاً</w:t>
      </w:r>
      <w:r w:rsidRPr="006571AC">
        <w:rPr>
          <w:sz w:val="27"/>
          <w:rtl/>
        </w:rPr>
        <w:t xml:space="preserve"> إلى ذلك فإنّ العقل يحكم بلزوم الحؤول دون رواج المنكر، ومنع نشره كس</w:t>
      </w:r>
      <w:r w:rsidR="0069431E" w:rsidRPr="006571AC">
        <w:rPr>
          <w:rFonts w:hint="cs"/>
          <w:sz w:val="27"/>
          <w:rtl/>
        </w:rPr>
        <w:t>ُ</w:t>
      </w:r>
      <w:r w:rsidRPr="006571AC">
        <w:rPr>
          <w:sz w:val="27"/>
          <w:rtl/>
        </w:rPr>
        <w:t>نّة</w:t>
      </w:r>
      <w:r w:rsidR="00133BA1" w:rsidRPr="006571AC">
        <w:rPr>
          <w:rFonts w:hint="cs"/>
          <w:sz w:val="27"/>
          <w:rtl/>
        </w:rPr>
        <w:t>ٍ</w:t>
      </w:r>
      <w:r w:rsidRPr="006571AC">
        <w:rPr>
          <w:sz w:val="27"/>
          <w:rtl/>
        </w:rPr>
        <w:t xml:space="preserve"> في المجتمع. </w:t>
      </w:r>
    </w:p>
    <w:p w:rsidR="00133BA1" w:rsidRPr="006571AC" w:rsidRDefault="00C37790" w:rsidP="00C0404B">
      <w:pPr>
        <w:rPr>
          <w:sz w:val="27"/>
          <w:rtl/>
        </w:rPr>
      </w:pPr>
      <w:r w:rsidRPr="006571AC">
        <w:rPr>
          <w:sz w:val="27"/>
          <w:rtl/>
        </w:rPr>
        <w:t xml:space="preserve">ب </w:t>
      </w:r>
      <w:r w:rsidRPr="006571AC">
        <w:rPr>
          <w:rFonts w:hint="cs"/>
          <w:sz w:val="27"/>
          <w:rtl/>
        </w:rPr>
        <w:t xml:space="preserve">ـ </w:t>
      </w:r>
      <w:r w:rsidRPr="006571AC">
        <w:rPr>
          <w:sz w:val="27"/>
          <w:rtl/>
        </w:rPr>
        <w:t>ويوجد سؤال متعلّ</w:t>
      </w:r>
      <w:r w:rsidR="00133BA1" w:rsidRPr="006571AC">
        <w:rPr>
          <w:rFonts w:hint="cs"/>
          <w:sz w:val="27"/>
          <w:rtl/>
        </w:rPr>
        <w:t>ِ</w:t>
      </w:r>
      <w:r w:rsidRPr="006571AC">
        <w:rPr>
          <w:sz w:val="27"/>
          <w:rtl/>
        </w:rPr>
        <w:t>ق</w:t>
      </w:r>
      <w:r w:rsidR="00133BA1" w:rsidRPr="006571AC">
        <w:rPr>
          <w:rFonts w:hint="cs"/>
          <w:sz w:val="27"/>
          <w:rtl/>
        </w:rPr>
        <w:t>ٌ</w:t>
      </w:r>
      <w:r w:rsidRPr="006571AC">
        <w:rPr>
          <w:sz w:val="27"/>
          <w:rtl/>
        </w:rPr>
        <w:t xml:space="preserve"> بالمقدّمة الثالثة من الاستدلال، مفاد</w:t>
      </w:r>
      <w:r w:rsidR="00133BA1" w:rsidRPr="006571AC">
        <w:rPr>
          <w:rFonts w:hint="cs"/>
          <w:sz w:val="27"/>
          <w:rtl/>
        </w:rPr>
        <w:t>ُ</w:t>
      </w:r>
      <w:r w:rsidRPr="006571AC">
        <w:rPr>
          <w:sz w:val="27"/>
          <w:rtl/>
        </w:rPr>
        <w:t>ه: إذا كان علم ا</w:t>
      </w:r>
      <w:r w:rsidR="0069431E" w:rsidRPr="006571AC">
        <w:rPr>
          <w:sz w:val="27"/>
          <w:rtl/>
        </w:rPr>
        <w:t>لإنسان ـ بما يشمل المعصوم ـ بشي</w:t>
      </w:r>
      <w:r w:rsidR="0069431E" w:rsidRPr="006571AC">
        <w:rPr>
          <w:rFonts w:hint="cs"/>
          <w:sz w:val="27"/>
          <w:rtl/>
        </w:rPr>
        <w:t>ءٍ</w:t>
      </w:r>
      <w:r w:rsidRPr="006571AC">
        <w:rPr>
          <w:sz w:val="27"/>
          <w:rtl/>
        </w:rPr>
        <w:t xml:space="preserve"> حاصلاً عن طريق</w:t>
      </w:r>
      <w:r w:rsidR="00133BA1" w:rsidRPr="006571AC">
        <w:rPr>
          <w:rFonts w:hint="cs"/>
          <w:sz w:val="27"/>
          <w:rtl/>
        </w:rPr>
        <w:t>ٍ</w:t>
      </w:r>
      <w:r w:rsidRPr="006571AC">
        <w:rPr>
          <w:sz w:val="27"/>
          <w:rtl/>
        </w:rPr>
        <w:t xml:space="preserve"> غير متعارف فهل يؤدّي ذلك </w:t>
      </w:r>
      <w:r w:rsidRPr="006571AC">
        <w:rPr>
          <w:sz w:val="27"/>
          <w:rtl/>
        </w:rPr>
        <w:lastRenderedPageBreak/>
        <w:t>العلم إلى مسؤولية العالم عن التكليف المرتبط به</w:t>
      </w:r>
      <w:r w:rsidR="00133BA1" w:rsidRPr="006571AC">
        <w:rPr>
          <w:rFonts w:hint="cs"/>
          <w:sz w:val="27"/>
          <w:rtl/>
        </w:rPr>
        <w:t>؟</w:t>
      </w:r>
      <w:r w:rsidRPr="006571AC">
        <w:rPr>
          <w:sz w:val="27"/>
          <w:rtl/>
        </w:rPr>
        <w:t xml:space="preserve"> فقد ي</w:t>
      </w:r>
      <w:r w:rsidR="00133BA1" w:rsidRPr="006571AC">
        <w:rPr>
          <w:rFonts w:hint="cs"/>
          <w:sz w:val="27"/>
          <w:rtl/>
        </w:rPr>
        <w:t>ُ</w:t>
      </w:r>
      <w:r w:rsidRPr="006571AC">
        <w:rPr>
          <w:sz w:val="27"/>
          <w:rtl/>
        </w:rPr>
        <w:t>قال بأنّ المعصوم غير مكلّ</w:t>
      </w:r>
      <w:r w:rsidR="00133BA1" w:rsidRPr="006571AC">
        <w:rPr>
          <w:rFonts w:hint="cs"/>
          <w:sz w:val="27"/>
          <w:rtl/>
        </w:rPr>
        <w:t>َ</w:t>
      </w:r>
      <w:r w:rsidRPr="006571AC">
        <w:rPr>
          <w:sz w:val="27"/>
          <w:rtl/>
        </w:rPr>
        <w:t>ف</w:t>
      </w:r>
      <w:r w:rsidR="00133BA1" w:rsidRPr="006571AC">
        <w:rPr>
          <w:rFonts w:hint="cs"/>
          <w:sz w:val="27"/>
          <w:rtl/>
        </w:rPr>
        <w:t>ٍ</w:t>
      </w:r>
      <w:r w:rsidRPr="006571AC">
        <w:rPr>
          <w:sz w:val="27"/>
          <w:rtl/>
        </w:rPr>
        <w:t xml:space="preserve"> بتأدية ما يعلمه بطريق</w:t>
      </w:r>
      <w:r w:rsidR="00133BA1" w:rsidRPr="006571AC">
        <w:rPr>
          <w:rFonts w:hint="cs"/>
          <w:sz w:val="27"/>
          <w:rtl/>
        </w:rPr>
        <w:t>ٍ</w:t>
      </w:r>
      <w:r w:rsidRPr="006571AC">
        <w:rPr>
          <w:sz w:val="27"/>
          <w:rtl/>
        </w:rPr>
        <w:t xml:space="preserve"> غير متعارف</w:t>
      </w:r>
      <w:r w:rsidRPr="006571AC">
        <w:rPr>
          <w:sz w:val="27"/>
          <w:vertAlign w:val="superscript"/>
          <w:rtl/>
        </w:rPr>
        <w:t>(</w:t>
      </w:r>
      <w:r w:rsidRPr="006571AC">
        <w:rPr>
          <w:rStyle w:val="ac"/>
          <w:sz w:val="27"/>
          <w:rtl/>
        </w:rPr>
        <w:endnoteReference w:id="102"/>
      </w:r>
      <w:r w:rsidRPr="006571AC">
        <w:rPr>
          <w:sz w:val="27"/>
          <w:vertAlign w:val="superscript"/>
          <w:rtl/>
        </w:rPr>
        <w:t>)</w:t>
      </w:r>
      <w:r w:rsidRPr="006571AC">
        <w:rPr>
          <w:sz w:val="27"/>
          <w:rtl/>
        </w:rPr>
        <w:t>.</w:t>
      </w:r>
    </w:p>
    <w:p w:rsidR="00133BA1" w:rsidRPr="006571AC" w:rsidRDefault="00C37790" w:rsidP="00C0404B">
      <w:pPr>
        <w:rPr>
          <w:sz w:val="27"/>
          <w:rtl/>
        </w:rPr>
      </w:pPr>
      <w:r w:rsidRPr="006571AC">
        <w:rPr>
          <w:sz w:val="27"/>
          <w:rtl/>
        </w:rPr>
        <w:t>ولكنّ عموم وإطلاق الأدلّة يؤدّيان إلى ثبوت التكليف، وعلى م</w:t>
      </w:r>
      <w:r w:rsidR="00133BA1" w:rsidRPr="006571AC">
        <w:rPr>
          <w:rFonts w:hint="cs"/>
          <w:sz w:val="27"/>
          <w:rtl/>
        </w:rPr>
        <w:t>َ</w:t>
      </w:r>
      <w:r w:rsidRPr="006571AC">
        <w:rPr>
          <w:sz w:val="27"/>
          <w:rtl/>
        </w:rPr>
        <w:t>ن</w:t>
      </w:r>
      <w:r w:rsidR="00133BA1" w:rsidRPr="006571AC">
        <w:rPr>
          <w:rFonts w:hint="cs"/>
          <w:sz w:val="27"/>
          <w:rtl/>
        </w:rPr>
        <w:t>ْ</w:t>
      </w:r>
      <w:r w:rsidRPr="006571AC">
        <w:rPr>
          <w:sz w:val="27"/>
          <w:rtl/>
        </w:rPr>
        <w:t xml:space="preserve"> يدّعي عدم الثبوت إقامة دليل معتبر. </w:t>
      </w:r>
    </w:p>
    <w:p w:rsidR="00C37790" w:rsidRPr="006571AC" w:rsidRDefault="00C37790" w:rsidP="00C0404B">
      <w:pPr>
        <w:rPr>
          <w:sz w:val="27"/>
          <w:rtl/>
        </w:rPr>
      </w:pPr>
      <w:r w:rsidRPr="006571AC">
        <w:rPr>
          <w:b/>
          <w:bCs/>
          <w:sz w:val="27"/>
          <w:rtl/>
        </w:rPr>
        <w:t>وما ي</w:t>
      </w:r>
      <w:r w:rsidR="00133BA1" w:rsidRPr="006571AC">
        <w:rPr>
          <w:rFonts w:hint="cs"/>
          <w:b/>
          <w:bCs/>
          <w:sz w:val="27"/>
          <w:rtl/>
        </w:rPr>
        <w:t>ُ</w:t>
      </w:r>
      <w:r w:rsidRPr="006571AC">
        <w:rPr>
          <w:b/>
          <w:bCs/>
          <w:sz w:val="27"/>
          <w:rtl/>
        </w:rPr>
        <w:t>قال</w:t>
      </w:r>
      <w:r w:rsidRPr="006571AC">
        <w:rPr>
          <w:sz w:val="27"/>
          <w:rtl/>
        </w:rPr>
        <w:t xml:space="preserve"> من أنّ المعصوم كان يعلم بكفر المنافقين، لكن</w:t>
      </w:r>
      <w:r w:rsidR="00133BA1" w:rsidRPr="006571AC">
        <w:rPr>
          <w:rFonts w:hint="cs"/>
          <w:sz w:val="27"/>
          <w:rtl/>
        </w:rPr>
        <w:t>ْ</w:t>
      </w:r>
      <w:r w:rsidRPr="006571AC">
        <w:rPr>
          <w:sz w:val="27"/>
          <w:rtl/>
        </w:rPr>
        <w:t xml:space="preserve"> لم يكن من مسؤولياته وواجباته اجتنابهم وقطع علاقته وارتباطه بهم، أو قتلهم، ولو كان علمه بذلك عن طريق</w:t>
      </w:r>
      <w:r w:rsidR="0066157D" w:rsidRPr="006571AC">
        <w:rPr>
          <w:rFonts w:hint="cs"/>
          <w:sz w:val="27"/>
          <w:rtl/>
        </w:rPr>
        <w:t>ٍ</w:t>
      </w:r>
      <w:r w:rsidRPr="006571AC">
        <w:rPr>
          <w:sz w:val="27"/>
          <w:rtl/>
        </w:rPr>
        <w:t xml:space="preserve"> عاديّ لكانت تلك الأمور من واجباته</w:t>
      </w:r>
      <w:r w:rsidRPr="006571AC">
        <w:rPr>
          <w:sz w:val="27"/>
          <w:vertAlign w:val="superscript"/>
          <w:rtl/>
        </w:rPr>
        <w:t>(</w:t>
      </w:r>
      <w:r w:rsidRPr="006571AC">
        <w:rPr>
          <w:rStyle w:val="ac"/>
          <w:sz w:val="27"/>
          <w:rtl/>
        </w:rPr>
        <w:endnoteReference w:id="103"/>
      </w:r>
      <w:r w:rsidRPr="006571AC">
        <w:rPr>
          <w:sz w:val="27"/>
          <w:vertAlign w:val="superscript"/>
          <w:rtl/>
        </w:rPr>
        <w:t>)</w:t>
      </w:r>
      <w:r w:rsidRPr="006571AC">
        <w:rPr>
          <w:sz w:val="27"/>
          <w:rtl/>
        </w:rPr>
        <w:t xml:space="preserve">، </w:t>
      </w:r>
      <w:r w:rsidRPr="006571AC">
        <w:rPr>
          <w:b/>
          <w:bCs/>
          <w:sz w:val="27"/>
          <w:rtl/>
        </w:rPr>
        <w:t>فهي دعوى</w:t>
      </w:r>
      <w:r w:rsidRPr="006571AC">
        <w:rPr>
          <w:sz w:val="27"/>
          <w:rtl/>
        </w:rPr>
        <w:t xml:space="preserve"> تحتاج إلى إثبات</w:t>
      </w:r>
      <w:r w:rsidR="0066157D" w:rsidRPr="006571AC">
        <w:rPr>
          <w:rFonts w:hint="cs"/>
          <w:sz w:val="27"/>
          <w:rtl/>
        </w:rPr>
        <w:t>ٍ</w:t>
      </w:r>
      <w:r w:rsidRPr="006571AC">
        <w:rPr>
          <w:sz w:val="27"/>
          <w:rtl/>
        </w:rPr>
        <w:t>؛ إذ لعلّ عدم إقدام المعصوم على تلك الأمور سببه تحقّ</w:t>
      </w:r>
      <w:r w:rsidR="0066157D" w:rsidRPr="006571AC">
        <w:rPr>
          <w:rFonts w:hint="cs"/>
          <w:sz w:val="27"/>
          <w:rtl/>
        </w:rPr>
        <w:t>ُ</w:t>
      </w:r>
      <w:r w:rsidRPr="006571AC">
        <w:rPr>
          <w:sz w:val="27"/>
          <w:rtl/>
        </w:rPr>
        <w:t>ق بعض العناوين</w:t>
      </w:r>
      <w:r w:rsidR="0066157D" w:rsidRPr="006571AC">
        <w:rPr>
          <w:rFonts w:hint="cs"/>
          <w:sz w:val="27"/>
          <w:rtl/>
        </w:rPr>
        <w:t>،</w:t>
      </w:r>
      <w:r w:rsidRPr="006571AC">
        <w:rPr>
          <w:sz w:val="27"/>
          <w:rtl/>
        </w:rPr>
        <w:t xml:space="preserve"> كعنوان الأهمّ، ولذا لعلّه لم يكن يقدم على تلك الأمور، حتّى لو حصل له العلم بطريق</w:t>
      </w:r>
      <w:r w:rsidR="0066157D" w:rsidRPr="006571AC">
        <w:rPr>
          <w:rFonts w:hint="cs"/>
          <w:sz w:val="27"/>
          <w:rtl/>
        </w:rPr>
        <w:t>ٍ</w:t>
      </w:r>
      <w:r w:rsidRPr="006571AC">
        <w:rPr>
          <w:sz w:val="27"/>
          <w:rtl/>
        </w:rPr>
        <w:t xml:space="preserve"> عاديّ؛ لوجود ذلك العنوان الأهمّ. </w:t>
      </w:r>
    </w:p>
    <w:p w:rsidR="0066157D" w:rsidRPr="006571AC" w:rsidRDefault="00C37790" w:rsidP="00C0404B">
      <w:pPr>
        <w:rPr>
          <w:sz w:val="27"/>
          <w:rtl/>
        </w:rPr>
      </w:pPr>
      <w:r w:rsidRPr="006571AC">
        <w:rPr>
          <w:sz w:val="27"/>
          <w:rtl/>
        </w:rPr>
        <w:t xml:space="preserve">ج </w:t>
      </w:r>
      <w:r w:rsidRPr="006571AC">
        <w:rPr>
          <w:rFonts w:hint="cs"/>
          <w:sz w:val="27"/>
          <w:rtl/>
        </w:rPr>
        <w:t xml:space="preserve">ـ </w:t>
      </w:r>
      <w:r w:rsidRPr="006571AC">
        <w:rPr>
          <w:sz w:val="27"/>
          <w:rtl/>
        </w:rPr>
        <w:t>وهناك سؤال</w:t>
      </w:r>
      <w:r w:rsidR="0066157D" w:rsidRPr="006571AC">
        <w:rPr>
          <w:rFonts w:hint="cs"/>
          <w:sz w:val="27"/>
          <w:rtl/>
        </w:rPr>
        <w:t>ٌ</w:t>
      </w:r>
      <w:r w:rsidRPr="006571AC">
        <w:rPr>
          <w:sz w:val="27"/>
          <w:rtl/>
        </w:rPr>
        <w:t xml:space="preserve"> آخر مرتبط</w:t>
      </w:r>
      <w:r w:rsidR="0069431E" w:rsidRPr="006571AC">
        <w:rPr>
          <w:rFonts w:hint="cs"/>
          <w:sz w:val="27"/>
          <w:rtl/>
        </w:rPr>
        <w:t>ٌ</w:t>
      </w:r>
      <w:r w:rsidRPr="006571AC">
        <w:rPr>
          <w:sz w:val="27"/>
          <w:rtl/>
        </w:rPr>
        <w:t xml:space="preserve"> بالمقدّمة الثالثة أيضاً، وهو: هل كانت طريقة الشارع في بيان الأحكام قائمة</w:t>
      </w:r>
      <w:r w:rsidR="0066157D" w:rsidRPr="006571AC">
        <w:rPr>
          <w:rFonts w:hint="cs"/>
          <w:sz w:val="27"/>
          <w:rtl/>
        </w:rPr>
        <w:t>ً</w:t>
      </w:r>
      <w:r w:rsidRPr="006571AC">
        <w:rPr>
          <w:sz w:val="27"/>
          <w:rtl/>
        </w:rPr>
        <w:t xml:space="preserve"> على الحديث الغيبي والإخبار عن المستقبل أم لا؟</w:t>
      </w:r>
      <w:r w:rsidRPr="006571AC">
        <w:rPr>
          <w:sz w:val="27"/>
          <w:vertAlign w:val="superscript"/>
          <w:rtl/>
        </w:rPr>
        <w:t>(</w:t>
      </w:r>
      <w:r w:rsidRPr="006571AC">
        <w:rPr>
          <w:rStyle w:val="ac"/>
          <w:sz w:val="27"/>
          <w:rtl/>
        </w:rPr>
        <w:endnoteReference w:id="104"/>
      </w:r>
      <w:r w:rsidRPr="006571AC">
        <w:rPr>
          <w:sz w:val="27"/>
          <w:vertAlign w:val="superscript"/>
          <w:rtl/>
        </w:rPr>
        <w:t>)</w:t>
      </w:r>
      <w:r w:rsidR="0066157D" w:rsidRPr="006571AC">
        <w:rPr>
          <w:rFonts w:hint="cs"/>
          <w:sz w:val="27"/>
          <w:rtl/>
        </w:rPr>
        <w:t>.</w:t>
      </w:r>
    </w:p>
    <w:p w:rsidR="00C37790" w:rsidRPr="006571AC" w:rsidRDefault="00C37790" w:rsidP="00C0404B">
      <w:pPr>
        <w:rPr>
          <w:sz w:val="27"/>
          <w:rtl/>
        </w:rPr>
      </w:pPr>
      <w:r w:rsidRPr="006571AC">
        <w:rPr>
          <w:sz w:val="27"/>
          <w:rtl/>
        </w:rPr>
        <w:t>ولكن</w:t>
      </w:r>
      <w:r w:rsidR="0066157D" w:rsidRPr="006571AC">
        <w:rPr>
          <w:rFonts w:hint="cs"/>
          <w:sz w:val="27"/>
          <w:rtl/>
        </w:rPr>
        <w:t>ْ</w:t>
      </w:r>
      <w:r w:rsidRPr="006571AC">
        <w:rPr>
          <w:sz w:val="27"/>
          <w:rtl/>
        </w:rPr>
        <w:t xml:space="preserve"> أيّ دليل</w:t>
      </w:r>
      <w:r w:rsidR="0066157D" w:rsidRPr="006571AC">
        <w:rPr>
          <w:rFonts w:hint="cs"/>
          <w:sz w:val="27"/>
          <w:rtl/>
        </w:rPr>
        <w:t>ٍ</w:t>
      </w:r>
      <w:r w:rsidRPr="006571AC">
        <w:rPr>
          <w:sz w:val="27"/>
          <w:rtl/>
        </w:rPr>
        <w:t xml:space="preserve"> على نفي ذلك بعدما كان أصل النبوّة وأساس الشريعة معتمداً على الحديث الغيبي</w:t>
      </w:r>
      <w:r w:rsidR="0066157D" w:rsidRPr="006571AC">
        <w:rPr>
          <w:rFonts w:hint="cs"/>
          <w:sz w:val="27"/>
          <w:rtl/>
        </w:rPr>
        <w:t>ّ</w:t>
      </w:r>
      <w:r w:rsidRPr="006571AC">
        <w:rPr>
          <w:sz w:val="27"/>
          <w:rtl/>
        </w:rPr>
        <w:t>، وحيث تمّ الإخبار عن المستقبل في مواضع متعدّدة من المصادر الدينية؟</w:t>
      </w:r>
      <w:r w:rsidR="0066157D" w:rsidRPr="006571AC">
        <w:rPr>
          <w:rFonts w:hint="cs"/>
          <w:sz w:val="27"/>
          <w:rtl/>
        </w:rPr>
        <w:t>!</w:t>
      </w:r>
      <w:r w:rsidRPr="006571AC">
        <w:rPr>
          <w:sz w:val="27"/>
          <w:rtl/>
        </w:rPr>
        <w:t xml:space="preserve"> وعلى مدّ</w:t>
      </w:r>
      <w:r w:rsidR="0066157D" w:rsidRPr="006571AC">
        <w:rPr>
          <w:rFonts w:hint="cs"/>
          <w:sz w:val="27"/>
          <w:rtl/>
        </w:rPr>
        <w:t>َ</w:t>
      </w:r>
      <w:r w:rsidRPr="006571AC">
        <w:rPr>
          <w:sz w:val="27"/>
          <w:rtl/>
        </w:rPr>
        <w:t>عي خلاف ذلك أن يأتي بدليل</w:t>
      </w:r>
      <w:r w:rsidR="0066157D" w:rsidRPr="006571AC">
        <w:rPr>
          <w:rFonts w:hint="cs"/>
          <w:sz w:val="27"/>
          <w:rtl/>
        </w:rPr>
        <w:t>ٍ</w:t>
      </w:r>
      <w:r w:rsidRPr="006571AC">
        <w:rPr>
          <w:sz w:val="27"/>
          <w:rtl/>
        </w:rPr>
        <w:t>. نعم، يمكن أن ي</w:t>
      </w:r>
      <w:r w:rsidR="0066157D" w:rsidRPr="006571AC">
        <w:rPr>
          <w:rFonts w:hint="cs"/>
          <w:sz w:val="27"/>
          <w:rtl/>
        </w:rPr>
        <w:t>ُ</w:t>
      </w:r>
      <w:r w:rsidRPr="006571AC">
        <w:rPr>
          <w:sz w:val="27"/>
          <w:rtl/>
        </w:rPr>
        <w:t>قال ـ كما قيل فعلاً ـ بأنّ المعصومين</w:t>
      </w:r>
      <w:r w:rsidR="002A2C90" w:rsidRPr="006571AC">
        <w:rPr>
          <w:rFonts w:ascii="Mosawi" w:hAnsi="Mosawi" w:cs="Mosawi"/>
          <w:sz w:val="22"/>
          <w:szCs w:val="22"/>
          <w:rtl/>
        </w:rPr>
        <w:t>×</w:t>
      </w:r>
      <w:r w:rsidR="004459D6" w:rsidRPr="006571AC">
        <w:rPr>
          <w:sz w:val="27"/>
          <w:rtl/>
        </w:rPr>
        <w:t xml:space="preserve"> </w:t>
      </w:r>
      <w:r w:rsidRPr="006571AC">
        <w:rPr>
          <w:sz w:val="27"/>
          <w:rtl/>
        </w:rPr>
        <w:t>لم يكن تعاطيهم مع موضوعات الأحكام معتمداً على إعمال الغيب</w:t>
      </w:r>
      <w:r w:rsidRPr="006571AC">
        <w:rPr>
          <w:sz w:val="27"/>
          <w:vertAlign w:val="superscript"/>
          <w:rtl/>
        </w:rPr>
        <w:t>(</w:t>
      </w:r>
      <w:r w:rsidRPr="006571AC">
        <w:rPr>
          <w:rStyle w:val="ac"/>
          <w:sz w:val="27"/>
          <w:rtl/>
        </w:rPr>
        <w:endnoteReference w:id="105"/>
      </w:r>
      <w:r w:rsidRPr="006571AC">
        <w:rPr>
          <w:sz w:val="27"/>
          <w:vertAlign w:val="superscript"/>
          <w:rtl/>
        </w:rPr>
        <w:t>)</w:t>
      </w:r>
      <w:r w:rsidRPr="006571AC">
        <w:rPr>
          <w:sz w:val="27"/>
          <w:rtl/>
        </w:rPr>
        <w:t xml:space="preserve">. </w:t>
      </w:r>
    </w:p>
    <w:p w:rsidR="0066157D" w:rsidRPr="006571AC" w:rsidRDefault="00C37790" w:rsidP="00C0404B">
      <w:pPr>
        <w:rPr>
          <w:sz w:val="27"/>
          <w:rtl/>
        </w:rPr>
      </w:pPr>
      <w:r w:rsidRPr="006571AC">
        <w:rPr>
          <w:sz w:val="27"/>
          <w:rtl/>
        </w:rPr>
        <w:t xml:space="preserve">د </w:t>
      </w:r>
      <w:r w:rsidRPr="006571AC">
        <w:rPr>
          <w:rFonts w:hint="cs"/>
          <w:sz w:val="27"/>
          <w:rtl/>
        </w:rPr>
        <w:t xml:space="preserve">ـ </w:t>
      </w:r>
      <w:r w:rsidRPr="006571AC">
        <w:rPr>
          <w:sz w:val="27"/>
          <w:rtl/>
        </w:rPr>
        <w:t>وجوب النهي عن المنكر مشروط</w:t>
      </w:r>
      <w:r w:rsidR="0066157D" w:rsidRPr="006571AC">
        <w:rPr>
          <w:rFonts w:hint="cs"/>
          <w:sz w:val="27"/>
          <w:rtl/>
        </w:rPr>
        <w:t>ٌ</w:t>
      </w:r>
      <w:r w:rsidRPr="006571AC">
        <w:rPr>
          <w:sz w:val="27"/>
          <w:rtl/>
        </w:rPr>
        <w:t xml:space="preserve"> بعدّة شروط، ومنها</w:t>
      </w:r>
      <w:r w:rsidR="0066157D" w:rsidRPr="006571AC">
        <w:rPr>
          <w:rFonts w:hint="cs"/>
          <w:sz w:val="27"/>
          <w:rtl/>
        </w:rPr>
        <w:t>:</w:t>
      </w:r>
      <w:r w:rsidRPr="006571AC">
        <w:rPr>
          <w:sz w:val="27"/>
          <w:rtl/>
        </w:rPr>
        <w:t xml:space="preserve"> تنجّ</w:t>
      </w:r>
      <w:r w:rsidR="0066157D" w:rsidRPr="006571AC">
        <w:rPr>
          <w:rFonts w:hint="cs"/>
          <w:sz w:val="27"/>
          <w:rtl/>
        </w:rPr>
        <w:t>ُ</w:t>
      </w:r>
      <w:r w:rsidRPr="006571AC">
        <w:rPr>
          <w:sz w:val="27"/>
          <w:rtl/>
        </w:rPr>
        <w:t>ز التكليف. فإذا غفل المؤمنون عن حرمة بعض المنكرات، وجر</w:t>
      </w:r>
      <w:r w:rsidR="0066157D" w:rsidRPr="006571AC">
        <w:rPr>
          <w:rFonts w:hint="cs"/>
          <w:sz w:val="27"/>
          <w:rtl/>
        </w:rPr>
        <w:t>َ</w:t>
      </w:r>
      <w:r w:rsidRPr="006571AC">
        <w:rPr>
          <w:sz w:val="27"/>
          <w:rtl/>
        </w:rPr>
        <w:t>و</w:t>
      </w:r>
      <w:r w:rsidR="0066157D" w:rsidRPr="006571AC">
        <w:rPr>
          <w:rFonts w:hint="cs"/>
          <w:sz w:val="27"/>
          <w:rtl/>
        </w:rPr>
        <w:t>ْ</w:t>
      </w:r>
      <w:r w:rsidRPr="006571AC">
        <w:rPr>
          <w:sz w:val="27"/>
          <w:rtl/>
        </w:rPr>
        <w:t>ا على سيرة</w:t>
      </w:r>
      <w:r w:rsidR="0066157D" w:rsidRPr="006571AC">
        <w:rPr>
          <w:rFonts w:hint="cs"/>
          <w:sz w:val="27"/>
          <w:rtl/>
        </w:rPr>
        <w:t>ٍ</w:t>
      </w:r>
      <w:r w:rsidRPr="006571AC">
        <w:rPr>
          <w:sz w:val="27"/>
          <w:rtl/>
        </w:rPr>
        <w:t xml:space="preserve"> معيّ</w:t>
      </w:r>
      <w:r w:rsidR="0066157D" w:rsidRPr="006571AC">
        <w:rPr>
          <w:rFonts w:hint="cs"/>
          <w:sz w:val="27"/>
          <w:rtl/>
        </w:rPr>
        <w:t>َ</w:t>
      </w:r>
      <w:r w:rsidRPr="006571AC">
        <w:rPr>
          <w:sz w:val="27"/>
          <w:rtl/>
        </w:rPr>
        <w:t>نة، كغيرهم من العقلاء، فإنّ غفلتهم تؤدّي إلى عدم تنجّ</w:t>
      </w:r>
      <w:r w:rsidR="0066157D" w:rsidRPr="006571AC">
        <w:rPr>
          <w:rFonts w:hint="cs"/>
          <w:sz w:val="27"/>
          <w:rtl/>
        </w:rPr>
        <w:t>ُ</w:t>
      </w:r>
      <w:r w:rsidRPr="006571AC">
        <w:rPr>
          <w:sz w:val="27"/>
          <w:rtl/>
        </w:rPr>
        <w:t>ز التكليف عليهم، وبالتالي لا يكون النهي عن المنكر ودفعه واجباً</w:t>
      </w:r>
      <w:r w:rsidRPr="006571AC">
        <w:rPr>
          <w:sz w:val="27"/>
          <w:vertAlign w:val="superscript"/>
          <w:rtl/>
        </w:rPr>
        <w:t>(</w:t>
      </w:r>
      <w:r w:rsidRPr="006571AC">
        <w:rPr>
          <w:rStyle w:val="ac"/>
          <w:sz w:val="27"/>
          <w:rtl/>
        </w:rPr>
        <w:endnoteReference w:id="106"/>
      </w:r>
      <w:r w:rsidRPr="006571AC">
        <w:rPr>
          <w:sz w:val="27"/>
          <w:vertAlign w:val="superscript"/>
          <w:rtl/>
        </w:rPr>
        <w:t>)</w:t>
      </w:r>
      <w:r w:rsidRPr="006571AC">
        <w:rPr>
          <w:sz w:val="27"/>
          <w:rtl/>
        </w:rPr>
        <w:t>.</w:t>
      </w:r>
    </w:p>
    <w:p w:rsidR="00C37790" w:rsidRPr="006571AC" w:rsidRDefault="00C37790" w:rsidP="00C0404B">
      <w:pPr>
        <w:rPr>
          <w:sz w:val="27"/>
          <w:rtl/>
        </w:rPr>
      </w:pPr>
      <w:r w:rsidRPr="006571AC">
        <w:rPr>
          <w:sz w:val="27"/>
          <w:rtl/>
        </w:rPr>
        <w:t>ولكن</w:t>
      </w:r>
      <w:r w:rsidR="0066157D" w:rsidRPr="006571AC">
        <w:rPr>
          <w:rFonts w:hint="cs"/>
          <w:sz w:val="27"/>
          <w:rtl/>
        </w:rPr>
        <w:t>ْ</w:t>
      </w:r>
      <w:r w:rsidRPr="006571AC">
        <w:rPr>
          <w:sz w:val="27"/>
          <w:rtl/>
        </w:rPr>
        <w:t xml:space="preserve"> لا يمكن قبول هذا المطلب في الأمور المهمّة؛ لأنّ الأحكام المهمّة تستلزم الاحتياط. </w:t>
      </w:r>
    </w:p>
    <w:p w:rsidR="00C37790" w:rsidRPr="006571AC" w:rsidRDefault="00C37790" w:rsidP="00C0404B">
      <w:pPr>
        <w:rPr>
          <w:sz w:val="27"/>
          <w:rtl/>
        </w:rPr>
      </w:pPr>
      <w:r w:rsidRPr="006571AC">
        <w:rPr>
          <w:sz w:val="27"/>
          <w:rtl/>
        </w:rPr>
        <w:t>ه</w:t>
      </w:r>
      <w:r w:rsidRPr="006571AC">
        <w:rPr>
          <w:rFonts w:hint="cs"/>
          <w:sz w:val="27"/>
          <w:rtl/>
        </w:rPr>
        <w:t>ـ</w:t>
      </w:r>
      <w:r w:rsidRPr="006571AC">
        <w:rPr>
          <w:sz w:val="27"/>
          <w:rtl/>
        </w:rPr>
        <w:t xml:space="preserve"> </w:t>
      </w:r>
      <w:r w:rsidRPr="006571AC">
        <w:rPr>
          <w:rFonts w:hint="cs"/>
          <w:sz w:val="27"/>
          <w:rtl/>
        </w:rPr>
        <w:t xml:space="preserve">ـ </w:t>
      </w:r>
      <w:r w:rsidRPr="006571AC">
        <w:rPr>
          <w:sz w:val="27"/>
          <w:rtl/>
        </w:rPr>
        <w:t>دفع المنكر واجب</w:t>
      </w:r>
      <w:r w:rsidR="0066157D" w:rsidRPr="006571AC">
        <w:rPr>
          <w:rFonts w:hint="cs"/>
          <w:sz w:val="27"/>
          <w:rtl/>
        </w:rPr>
        <w:t>ٌ</w:t>
      </w:r>
      <w:r w:rsidRPr="006571AC">
        <w:rPr>
          <w:sz w:val="27"/>
          <w:rtl/>
        </w:rPr>
        <w:t xml:space="preserve"> تجاه الشخص العالم بالمنكر، لا الجاهل به. لذلك ذكر الفقهاء العلم ضمن شرائط الوجوب</w:t>
      </w:r>
      <w:r w:rsidRPr="006571AC">
        <w:rPr>
          <w:sz w:val="27"/>
          <w:vertAlign w:val="superscript"/>
          <w:rtl/>
        </w:rPr>
        <w:t>(</w:t>
      </w:r>
      <w:r w:rsidRPr="006571AC">
        <w:rPr>
          <w:rStyle w:val="ac"/>
          <w:sz w:val="27"/>
          <w:rtl/>
        </w:rPr>
        <w:endnoteReference w:id="107"/>
      </w:r>
      <w:r w:rsidRPr="006571AC">
        <w:rPr>
          <w:sz w:val="27"/>
          <w:vertAlign w:val="superscript"/>
          <w:rtl/>
        </w:rPr>
        <w:t>)</w:t>
      </w:r>
      <w:r w:rsidRPr="006571AC">
        <w:rPr>
          <w:sz w:val="27"/>
          <w:rtl/>
        </w:rPr>
        <w:t>. وهذا يختلف عن إرشاد الجاهل، لذلك لا يمكن الاستناد في هذه المسألة إلى أدلّة وجوب دفع المنكر، بل ينبغي التمسّ</w:t>
      </w:r>
      <w:r w:rsidR="0066157D" w:rsidRPr="006571AC">
        <w:rPr>
          <w:rFonts w:hint="cs"/>
          <w:sz w:val="27"/>
          <w:rtl/>
        </w:rPr>
        <w:t>ُ</w:t>
      </w:r>
      <w:r w:rsidRPr="006571AC">
        <w:rPr>
          <w:sz w:val="27"/>
          <w:rtl/>
        </w:rPr>
        <w:t xml:space="preserve">ك فيها </w:t>
      </w:r>
      <w:r w:rsidRPr="006571AC">
        <w:rPr>
          <w:sz w:val="27"/>
          <w:rtl/>
        </w:rPr>
        <w:lastRenderedPageBreak/>
        <w:t xml:space="preserve">بأدلّة وجوب إرشاد الجاهل. </w:t>
      </w:r>
    </w:p>
    <w:p w:rsidR="00C37790" w:rsidRPr="006571AC" w:rsidRDefault="00C37790" w:rsidP="00C0404B">
      <w:pPr>
        <w:rPr>
          <w:sz w:val="27"/>
          <w:rtl/>
        </w:rPr>
      </w:pPr>
      <w:r w:rsidRPr="006571AC">
        <w:rPr>
          <w:b/>
          <w:bCs/>
          <w:sz w:val="27"/>
          <w:rtl/>
        </w:rPr>
        <w:t>وهنا سؤال</w:t>
      </w:r>
      <w:r w:rsidR="0066157D" w:rsidRPr="006571AC">
        <w:rPr>
          <w:rFonts w:hint="cs"/>
          <w:b/>
          <w:bCs/>
          <w:sz w:val="27"/>
          <w:rtl/>
        </w:rPr>
        <w:t>ٌ</w:t>
      </w:r>
      <w:r w:rsidRPr="006571AC">
        <w:rPr>
          <w:sz w:val="27"/>
          <w:rtl/>
        </w:rPr>
        <w:t>: مقتضى الأدلّة المذكورة في البحث ـ باستثناء دليل</w:t>
      </w:r>
      <w:r w:rsidR="0066157D" w:rsidRPr="006571AC">
        <w:rPr>
          <w:rFonts w:hint="cs"/>
          <w:sz w:val="27"/>
          <w:rtl/>
        </w:rPr>
        <w:t>ٍ</w:t>
      </w:r>
      <w:r w:rsidRPr="006571AC">
        <w:rPr>
          <w:sz w:val="27"/>
          <w:rtl/>
        </w:rPr>
        <w:t xml:space="preserve"> واحد ـ حجّية الس</w:t>
      </w:r>
      <w:r w:rsidR="0066157D" w:rsidRPr="006571AC">
        <w:rPr>
          <w:rFonts w:hint="cs"/>
          <w:sz w:val="27"/>
          <w:rtl/>
        </w:rPr>
        <w:t>ِّ</w:t>
      </w:r>
      <w:r w:rsidRPr="006571AC">
        <w:rPr>
          <w:sz w:val="27"/>
          <w:rtl/>
        </w:rPr>
        <w:t>ي</w:t>
      </w:r>
      <w:r w:rsidR="0066157D" w:rsidRPr="006571AC">
        <w:rPr>
          <w:rFonts w:hint="cs"/>
          <w:sz w:val="27"/>
          <w:rtl/>
        </w:rPr>
        <w:t>َ</w:t>
      </w:r>
      <w:r w:rsidRPr="006571AC">
        <w:rPr>
          <w:sz w:val="27"/>
          <w:rtl/>
        </w:rPr>
        <w:t>ر العقلائية بصورة</w:t>
      </w:r>
      <w:r w:rsidR="0066157D" w:rsidRPr="006571AC">
        <w:rPr>
          <w:rFonts w:hint="cs"/>
          <w:sz w:val="27"/>
          <w:rtl/>
        </w:rPr>
        <w:t>ٍ</w:t>
      </w:r>
      <w:r w:rsidRPr="006571AC">
        <w:rPr>
          <w:sz w:val="27"/>
          <w:rtl/>
        </w:rPr>
        <w:t xml:space="preserve"> مطلقة؛ فهل يوجد دليل</w:t>
      </w:r>
      <w:r w:rsidR="0066157D" w:rsidRPr="006571AC">
        <w:rPr>
          <w:rFonts w:hint="cs"/>
          <w:sz w:val="27"/>
          <w:rtl/>
        </w:rPr>
        <w:t>ٌ</w:t>
      </w:r>
      <w:r w:rsidRPr="006571AC">
        <w:rPr>
          <w:sz w:val="27"/>
          <w:rtl/>
        </w:rPr>
        <w:t xml:space="preserve"> آخر يثبت عدم حجّ</w:t>
      </w:r>
      <w:r w:rsidR="0066157D" w:rsidRPr="006571AC">
        <w:rPr>
          <w:rFonts w:hint="cs"/>
          <w:sz w:val="27"/>
          <w:rtl/>
        </w:rPr>
        <w:t>ِ</w:t>
      </w:r>
      <w:r w:rsidRPr="006571AC">
        <w:rPr>
          <w:sz w:val="27"/>
          <w:rtl/>
        </w:rPr>
        <w:t xml:space="preserve">ية هذه القاعدة في مجال العبادات؟ </w:t>
      </w:r>
    </w:p>
    <w:p w:rsidR="00C37790" w:rsidRPr="006571AC" w:rsidRDefault="00C37790" w:rsidP="00C0404B">
      <w:pPr>
        <w:rPr>
          <w:sz w:val="27"/>
          <w:rtl/>
        </w:rPr>
      </w:pPr>
      <w:r w:rsidRPr="006571AC">
        <w:rPr>
          <w:b/>
          <w:bCs/>
          <w:sz w:val="27"/>
          <w:rtl/>
        </w:rPr>
        <w:t>وجوابه</w:t>
      </w:r>
      <w:r w:rsidRPr="006571AC">
        <w:rPr>
          <w:sz w:val="27"/>
          <w:rtl/>
        </w:rPr>
        <w:t xml:space="preserve">: </w:t>
      </w:r>
      <w:r w:rsidRPr="006571AC">
        <w:rPr>
          <w:b/>
          <w:bCs/>
          <w:sz w:val="27"/>
          <w:rtl/>
        </w:rPr>
        <w:t>أوّلاً</w:t>
      </w:r>
      <w:r w:rsidRPr="006571AC">
        <w:rPr>
          <w:sz w:val="27"/>
          <w:rtl/>
        </w:rPr>
        <w:t>: يطلق مصطلح الس</w:t>
      </w:r>
      <w:r w:rsidR="00821C9F" w:rsidRPr="006571AC">
        <w:rPr>
          <w:rFonts w:hint="cs"/>
          <w:sz w:val="27"/>
          <w:rtl/>
        </w:rPr>
        <w:t>ِّ</w:t>
      </w:r>
      <w:r w:rsidRPr="006571AC">
        <w:rPr>
          <w:sz w:val="27"/>
          <w:rtl/>
        </w:rPr>
        <w:t>يرة العقلائية على الس</w:t>
      </w:r>
      <w:r w:rsidR="00821C9F" w:rsidRPr="006571AC">
        <w:rPr>
          <w:rFonts w:hint="cs"/>
          <w:sz w:val="27"/>
          <w:rtl/>
        </w:rPr>
        <w:t>ِّ</w:t>
      </w:r>
      <w:r w:rsidRPr="006571AC">
        <w:rPr>
          <w:sz w:val="27"/>
          <w:rtl/>
        </w:rPr>
        <w:t>يرة التي يجري عليها العقلاء بما هم عقلاء، وإذا تشكّ</w:t>
      </w:r>
      <w:r w:rsidR="00821C9F" w:rsidRPr="006571AC">
        <w:rPr>
          <w:rFonts w:hint="cs"/>
          <w:sz w:val="27"/>
          <w:rtl/>
        </w:rPr>
        <w:t>َ</w:t>
      </w:r>
      <w:r w:rsidRPr="006571AC">
        <w:rPr>
          <w:sz w:val="27"/>
          <w:rtl/>
        </w:rPr>
        <w:t>ل</w:t>
      </w:r>
      <w:r w:rsidR="00821C9F" w:rsidRPr="006571AC">
        <w:rPr>
          <w:rFonts w:hint="cs"/>
          <w:sz w:val="27"/>
          <w:rtl/>
        </w:rPr>
        <w:t>َ</w:t>
      </w:r>
      <w:r w:rsidRPr="006571AC">
        <w:rPr>
          <w:sz w:val="27"/>
          <w:rtl/>
        </w:rPr>
        <w:t>ت</w:t>
      </w:r>
      <w:r w:rsidR="00821C9F" w:rsidRPr="006571AC">
        <w:rPr>
          <w:rFonts w:hint="cs"/>
          <w:sz w:val="27"/>
          <w:rtl/>
        </w:rPr>
        <w:t>ْ</w:t>
      </w:r>
      <w:r w:rsidRPr="006571AC">
        <w:rPr>
          <w:sz w:val="27"/>
          <w:rtl/>
        </w:rPr>
        <w:t xml:space="preserve"> سيرة</w:t>
      </w:r>
      <w:r w:rsidR="00821C9F" w:rsidRPr="006571AC">
        <w:rPr>
          <w:rFonts w:hint="cs"/>
          <w:sz w:val="27"/>
          <w:rtl/>
        </w:rPr>
        <w:t>ٌ</w:t>
      </w:r>
      <w:r w:rsidRPr="006571AC">
        <w:rPr>
          <w:sz w:val="27"/>
          <w:rtl/>
        </w:rPr>
        <w:t xml:space="preserve"> في أبواب العبادات والتعبّ</w:t>
      </w:r>
      <w:r w:rsidR="00821C9F" w:rsidRPr="006571AC">
        <w:rPr>
          <w:rFonts w:hint="cs"/>
          <w:sz w:val="27"/>
          <w:rtl/>
        </w:rPr>
        <w:t>ُ</w:t>
      </w:r>
      <w:r w:rsidRPr="006571AC">
        <w:rPr>
          <w:sz w:val="27"/>
          <w:rtl/>
        </w:rPr>
        <w:t>ديات فستكون سيرة متشرّ</w:t>
      </w:r>
      <w:r w:rsidR="00821C9F" w:rsidRPr="006571AC">
        <w:rPr>
          <w:rFonts w:hint="cs"/>
          <w:sz w:val="27"/>
          <w:rtl/>
        </w:rPr>
        <w:t>ِ</w:t>
      </w:r>
      <w:r w:rsidRPr="006571AC">
        <w:rPr>
          <w:sz w:val="27"/>
          <w:rtl/>
        </w:rPr>
        <w:t>عة، لا سيرة عقلائية</w:t>
      </w:r>
      <w:r w:rsidRPr="006571AC">
        <w:rPr>
          <w:sz w:val="27"/>
          <w:vertAlign w:val="superscript"/>
          <w:rtl/>
        </w:rPr>
        <w:t>(</w:t>
      </w:r>
      <w:r w:rsidRPr="006571AC">
        <w:rPr>
          <w:rStyle w:val="ac"/>
          <w:sz w:val="27"/>
          <w:rtl/>
        </w:rPr>
        <w:endnoteReference w:id="108"/>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b/>
          <w:bCs/>
          <w:sz w:val="27"/>
          <w:rtl/>
        </w:rPr>
        <w:t>ثانياً</w:t>
      </w:r>
      <w:r w:rsidRPr="006571AC">
        <w:rPr>
          <w:sz w:val="27"/>
          <w:rtl/>
        </w:rPr>
        <w:t>: لو قلنا بأنّ العقلاء في مجال العبادات أيضاً لديهم س</w:t>
      </w:r>
      <w:r w:rsidR="00821C9F" w:rsidRPr="006571AC">
        <w:rPr>
          <w:rFonts w:hint="cs"/>
          <w:sz w:val="27"/>
          <w:rtl/>
        </w:rPr>
        <w:t>ِ</w:t>
      </w:r>
      <w:r w:rsidRPr="006571AC">
        <w:rPr>
          <w:sz w:val="27"/>
          <w:rtl/>
        </w:rPr>
        <w:t>ي</w:t>
      </w:r>
      <w:r w:rsidR="00821C9F" w:rsidRPr="006571AC">
        <w:rPr>
          <w:rFonts w:hint="cs"/>
          <w:sz w:val="27"/>
          <w:rtl/>
        </w:rPr>
        <w:t>َ</w:t>
      </w:r>
      <w:r w:rsidRPr="006571AC">
        <w:rPr>
          <w:sz w:val="27"/>
          <w:rtl/>
        </w:rPr>
        <w:t>ر</w:t>
      </w:r>
      <w:r w:rsidR="00821C9F" w:rsidRPr="006571AC">
        <w:rPr>
          <w:rFonts w:hint="cs"/>
          <w:sz w:val="27"/>
          <w:rtl/>
        </w:rPr>
        <w:t>ٌ</w:t>
      </w:r>
      <w:r w:rsidRPr="006571AC">
        <w:rPr>
          <w:sz w:val="27"/>
          <w:rtl/>
        </w:rPr>
        <w:t xml:space="preserve"> يجرون عليها بما هم عقلاء فحينئذ</w:t>
      </w:r>
      <w:r w:rsidR="00821C9F" w:rsidRPr="006571AC">
        <w:rPr>
          <w:rFonts w:hint="cs"/>
          <w:sz w:val="27"/>
          <w:rtl/>
        </w:rPr>
        <w:t>ٍ</w:t>
      </w:r>
      <w:r w:rsidRPr="006571AC">
        <w:rPr>
          <w:sz w:val="27"/>
          <w:rtl/>
        </w:rPr>
        <w:t xml:space="preserve"> سيصدق عليها عنوان السيرة العقلائية، لكنّ الأصل في العبادة هو الفساد وعدم المشروعية، ونحتاج في إثبات الصحّة إلى دليل</w:t>
      </w:r>
      <w:r w:rsidR="00AC4AB2" w:rsidRPr="006571AC">
        <w:rPr>
          <w:rFonts w:hint="cs"/>
          <w:sz w:val="27"/>
          <w:rtl/>
        </w:rPr>
        <w:t>ٍ</w:t>
      </w:r>
      <w:r w:rsidRPr="006571AC">
        <w:rPr>
          <w:sz w:val="27"/>
          <w:rtl/>
        </w:rPr>
        <w:t>. وهذا من الأمور المتّ</w:t>
      </w:r>
      <w:r w:rsidR="00AC4AB2" w:rsidRPr="006571AC">
        <w:rPr>
          <w:rFonts w:hint="cs"/>
          <w:sz w:val="27"/>
          <w:rtl/>
        </w:rPr>
        <w:t>َ</w:t>
      </w:r>
      <w:r w:rsidRPr="006571AC">
        <w:rPr>
          <w:sz w:val="27"/>
          <w:rtl/>
        </w:rPr>
        <w:t>فق عليها لدى الجميع</w:t>
      </w:r>
      <w:r w:rsidRPr="006571AC">
        <w:rPr>
          <w:sz w:val="27"/>
          <w:vertAlign w:val="superscript"/>
          <w:rtl/>
        </w:rPr>
        <w:t>(</w:t>
      </w:r>
      <w:r w:rsidRPr="006571AC">
        <w:rPr>
          <w:rStyle w:val="ac"/>
          <w:sz w:val="27"/>
          <w:rtl/>
        </w:rPr>
        <w:endnoteReference w:id="109"/>
      </w:r>
      <w:r w:rsidRPr="006571AC">
        <w:rPr>
          <w:sz w:val="27"/>
          <w:vertAlign w:val="superscript"/>
          <w:rtl/>
        </w:rPr>
        <w:t>)</w:t>
      </w:r>
      <w:r w:rsidRPr="006571AC">
        <w:rPr>
          <w:sz w:val="27"/>
          <w:rtl/>
        </w:rPr>
        <w:t>؛ لأنّ الشارع في مجال العبادات مؤسّ</w:t>
      </w:r>
      <w:r w:rsidR="00AC4AB2" w:rsidRPr="006571AC">
        <w:rPr>
          <w:rFonts w:hint="cs"/>
          <w:sz w:val="27"/>
          <w:rtl/>
        </w:rPr>
        <w:t>ِ</w:t>
      </w:r>
      <w:r w:rsidRPr="006571AC">
        <w:rPr>
          <w:sz w:val="27"/>
          <w:rtl/>
        </w:rPr>
        <w:t>س</w:t>
      </w:r>
      <w:r w:rsidR="00AC4AB2" w:rsidRPr="006571AC">
        <w:rPr>
          <w:rFonts w:hint="cs"/>
          <w:sz w:val="27"/>
          <w:rtl/>
        </w:rPr>
        <w:t>ٌ</w:t>
      </w:r>
      <w:r w:rsidRPr="006571AC">
        <w:rPr>
          <w:sz w:val="27"/>
          <w:rtl/>
        </w:rPr>
        <w:t>، ف</w:t>
      </w:r>
      <w:r w:rsidR="00731867" w:rsidRPr="006571AC">
        <w:rPr>
          <w:sz w:val="27"/>
          <w:rtl/>
        </w:rPr>
        <w:t>لا بُدَّ</w:t>
      </w:r>
      <w:r w:rsidRPr="006571AC">
        <w:rPr>
          <w:sz w:val="27"/>
          <w:rtl/>
        </w:rPr>
        <w:t xml:space="preserve"> أن يُرجع إليه، ويُؤخ</w:t>
      </w:r>
      <w:r w:rsidR="00AC4AB2" w:rsidRPr="006571AC">
        <w:rPr>
          <w:rFonts w:hint="cs"/>
          <w:sz w:val="27"/>
          <w:rtl/>
        </w:rPr>
        <w:t>َ</w:t>
      </w:r>
      <w:r w:rsidRPr="006571AC">
        <w:rPr>
          <w:sz w:val="27"/>
          <w:rtl/>
        </w:rPr>
        <w:t xml:space="preserve">ذ منه التأييد والإمضاء، ولا يكفي مجرّد عدم الردع. </w:t>
      </w:r>
    </w:p>
    <w:p w:rsidR="00ED1ECC" w:rsidRPr="006571AC" w:rsidRDefault="00ED1ECC" w:rsidP="00ED1ECC">
      <w:pPr>
        <w:spacing w:line="420" w:lineRule="exact"/>
        <w:rPr>
          <w:sz w:val="27"/>
          <w:rtl/>
        </w:rPr>
      </w:pPr>
    </w:p>
    <w:p w:rsidR="00C37790" w:rsidRPr="006571AC" w:rsidRDefault="00C37790" w:rsidP="00657D34">
      <w:pPr>
        <w:pStyle w:val="31"/>
        <w:rPr>
          <w:color w:val="auto"/>
          <w:rtl/>
        </w:rPr>
      </w:pPr>
      <w:bookmarkStart w:id="53" w:name="_Toc114164542"/>
      <w:r w:rsidRPr="006571AC">
        <w:rPr>
          <w:color w:val="auto"/>
          <w:rtl/>
        </w:rPr>
        <w:t>النتيجة</w:t>
      </w:r>
      <w:bookmarkEnd w:id="53"/>
    </w:p>
    <w:p w:rsidR="00C37790" w:rsidRPr="006571AC" w:rsidRDefault="00C37790" w:rsidP="0069431E">
      <w:pPr>
        <w:rPr>
          <w:sz w:val="27"/>
          <w:rtl/>
        </w:rPr>
      </w:pPr>
      <w:r w:rsidRPr="006571AC">
        <w:rPr>
          <w:sz w:val="27"/>
          <w:rtl/>
        </w:rPr>
        <w:t>لقد تبيّ</w:t>
      </w:r>
      <w:r w:rsidR="00AC4AB2" w:rsidRPr="006571AC">
        <w:rPr>
          <w:rFonts w:hint="cs"/>
          <w:sz w:val="27"/>
          <w:rtl/>
        </w:rPr>
        <w:t>َ</w:t>
      </w:r>
      <w:r w:rsidRPr="006571AC">
        <w:rPr>
          <w:sz w:val="27"/>
          <w:rtl/>
        </w:rPr>
        <w:t>ن في هذا البحث أنّ السيرة العقلائية هي ج</w:t>
      </w:r>
      <w:r w:rsidR="00AC4AB2" w:rsidRPr="006571AC">
        <w:rPr>
          <w:rFonts w:hint="cs"/>
          <w:sz w:val="27"/>
          <w:rtl/>
        </w:rPr>
        <w:t>َ</w:t>
      </w:r>
      <w:r w:rsidRPr="006571AC">
        <w:rPr>
          <w:sz w:val="27"/>
          <w:rtl/>
        </w:rPr>
        <w:t>ر</w:t>
      </w:r>
      <w:r w:rsidR="00AC4AB2" w:rsidRPr="006571AC">
        <w:rPr>
          <w:rFonts w:hint="cs"/>
          <w:sz w:val="27"/>
          <w:rtl/>
        </w:rPr>
        <w:t>ْ</w:t>
      </w:r>
      <w:r w:rsidRPr="006571AC">
        <w:rPr>
          <w:sz w:val="27"/>
          <w:rtl/>
        </w:rPr>
        <w:t>ي العقلاء المستمرّ على أمر</w:t>
      </w:r>
      <w:r w:rsidR="00AC4AB2" w:rsidRPr="006571AC">
        <w:rPr>
          <w:rFonts w:hint="cs"/>
          <w:sz w:val="27"/>
          <w:rtl/>
        </w:rPr>
        <w:t>ٍ</w:t>
      </w:r>
      <w:r w:rsidRPr="006571AC">
        <w:rPr>
          <w:sz w:val="27"/>
          <w:rtl/>
        </w:rPr>
        <w:t xml:space="preserve"> من جهة حيثيّتهم العقلائية، </w:t>
      </w:r>
      <w:r w:rsidR="0069431E" w:rsidRPr="006571AC">
        <w:rPr>
          <w:rFonts w:hint="cs"/>
          <w:sz w:val="27"/>
          <w:rtl/>
        </w:rPr>
        <w:t>وأ</w:t>
      </w:r>
      <w:r w:rsidRPr="006571AC">
        <w:rPr>
          <w:sz w:val="27"/>
          <w:rtl/>
        </w:rPr>
        <w:t>م</w:t>
      </w:r>
      <w:r w:rsidR="0069431E" w:rsidRPr="006571AC">
        <w:rPr>
          <w:rFonts w:hint="cs"/>
          <w:sz w:val="27"/>
          <w:rtl/>
        </w:rPr>
        <w:t>ّ</w:t>
      </w:r>
      <w:r w:rsidRPr="006571AC">
        <w:rPr>
          <w:sz w:val="27"/>
          <w:rtl/>
        </w:rPr>
        <w:t>ا سيرة المتشرّ</w:t>
      </w:r>
      <w:r w:rsidR="00AC4AB2" w:rsidRPr="006571AC">
        <w:rPr>
          <w:rFonts w:hint="cs"/>
          <w:sz w:val="27"/>
          <w:rtl/>
        </w:rPr>
        <w:t>ِ</w:t>
      </w:r>
      <w:r w:rsidRPr="006571AC">
        <w:rPr>
          <w:sz w:val="27"/>
          <w:rtl/>
        </w:rPr>
        <w:t>عة فهي عملهم المستمرّ المنطلق من جهة تديّ</w:t>
      </w:r>
      <w:r w:rsidR="00AC4AB2" w:rsidRPr="006571AC">
        <w:rPr>
          <w:rFonts w:hint="cs"/>
          <w:sz w:val="27"/>
          <w:rtl/>
        </w:rPr>
        <w:t>ُ</w:t>
      </w:r>
      <w:r w:rsidRPr="006571AC">
        <w:rPr>
          <w:sz w:val="27"/>
          <w:rtl/>
        </w:rPr>
        <w:t>نهم وتمسّ</w:t>
      </w:r>
      <w:r w:rsidR="00AC4AB2" w:rsidRPr="006571AC">
        <w:rPr>
          <w:rFonts w:hint="cs"/>
          <w:sz w:val="27"/>
          <w:rtl/>
        </w:rPr>
        <w:t>ُ</w:t>
      </w:r>
      <w:r w:rsidRPr="006571AC">
        <w:rPr>
          <w:sz w:val="27"/>
          <w:rtl/>
        </w:rPr>
        <w:t xml:space="preserve">كهم بالشريعة. </w:t>
      </w:r>
      <w:r w:rsidR="00AC4AB2" w:rsidRPr="006571AC">
        <w:rPr>
          <w:sz w:val="27"/>
          <w:rtl/>
        </w:rPr>
        <w:t>وبما أن</w:t>
      </w:r>
      <w:r w:rsidRPr="006571AC">
        <w:rPr>
          <w:sz w:val="27"/>
          <w:rtl/>
        </w:rPr>
        <w:t xml:space="preserve"> غير العبادات والأمور الإمضائية هي أمور عقلائية، كانت موجودة</w:t>
      </w:r>
      <w:r w:rsidR="00AC4AB2" w:rsidRPr="006571AC">
        <w:rPr>
          <w:rFonts w:hint="cs"/>
          <w:sz w:val="27"/>
          <w:rtl/>
        </w:rPr>
        <w:t>ً</w:t>
      </w:r>
      <w:r w:rsidRPr="006571AC">
        <w:rPr>
          <w:sz w:val="27"/>
          <w:rtl/>
        </w:rPr>
        <w:t xml:space="preserve"> حتّى قبل مجيء الشريعة، والشارع في هذا المجال ليس بمؤسّ</w:t>
      </w:r>
      <w:r w:rsidR="00AC4AB2" w:rsidRPr="006571AC">
        <w:rPr>
          <w:rFonts w:hint="cs"/>
          <w:sz w:val="27"/>
          <w:rtl/>
        </w:rPr>
        <w:t>ِ</w:t>
      </w:r>
      <w:r w:rsidRPr="006571AC">
        <w:rPr>
          <w:sz w:val="27"/>
          <w:rtl/>
        </w:rPr>
        <w:t>س</w:t>
      </w:r>
      <w:r w:rsidR="00AC4AB2" w:rsidRPr="006571AC">
        <w:rPr>
          <w:rFonts w:hint="cs"/>
          <w:sz w:val="27"/>
          <w:rtl/>
        </w:rPr>
        <w:t>ٍ</w:t>
      </w:r>
      <w:r w:rsidRPr="006571AC">
        <w:rPr>
          <w:sz w:val="27"/>
          <w:rtl/>
        </w:rPr>
        <w:t>؛ حتّى يلزم عليه إبداء تأييده ورأيه الموافق لها، بل هو مصلح</w:t>
      </w:r>
      <w:r w:rsidR="00AC4AB2" w:rsidRPr="006571AC">
        <w:rPr>
          <w:rFonts w:hint="cs"/>
          <w:sz w:val="27"/>
          <w:rtl/>
        </w:rPr>
        <w:t>ٌ</w:t>
      </w:r>
      <w:r w:rsidRPr="006571AC">
        <w:rPr>
          <w:sz w:val="27"/>
          <w:rtl/>
        </w:rPr>
        <w:t xml:space="preserve"> وموجّ</w:t>
      </w:r>
      <w:r w:rsidR="00AC4AB2" w:rsidRPr="006571AC">
        <w:rPr>
          <w:rFonts w:hint="cs"/>
          <w:sz w:val="27"/>
          <w:rtl/>
        </w:rPr>
        <w:t>ِ</w:t>
      </w:r>
      <w:r w:rsidRPr="006571AC">
        <w:rPr>
          <w:sz w:val="27"/>
          <w:rtl/>
        </w:rPr>
        <w:t>ه</w:t>
      </w:r>
      <w:r w:rsidR="00AC4AB2" w:rsidRPr="006571AC">
        <w:rPr>
          <w:rFonts w:hint="cs"/>
          <w:sz w:val="27"/>
          <w:rtl/>
        </w:rPr>
        <w:t>ٌ</w:t>
      </w:r>
      <w:r w:rsidR="00FE6982" w:rsidRPr="006571AC">
        <w:rPr>
          <w:rFonts w:hint="cs"/>
          <w:sz w:val="27"/>
          <w:rtl/>
        </w:rPr>
        <w:t>،</w:t>
      </w:r>
      <w:r w:rsidRPr="006571AC">
        <w:rPr>
          <w:sz w:val="27"/>
          <w:rtl/>
        </w:rPr>
        <w:t xml:space="preserve"> من هنا فإنّ طريقة الشارع كانت بحيث يبيّ</w:t>
      </w:r>
      <w:r w:rsidR="00FE6982" w:rsidRPr="006571AC">
        <w:rPr>
          <w:rFonts w:hint="cs"/>
          <w:sz w:val="27"/>
          <w:rtl/>
        </w:rPr>
        <w:t>ِ</w:t>
      </w:r>
      <w:r w:rsidRPr="006571AC">
        <w:rPr>
          <w:sz w:val="27"/>
          <w:rtl/>
        </w:rPr>
        <w:t>ن رأيه في كل</w:t>
      </w:r>
      <w:r w:rsidR="00FE6982" w:rsidRPr="006571AC">
        <w:rPr>
          <w:rFonts w:hint="cs"/>
          <w:sz w:val="27"/>
          <w:rtl/>
        </w:rPr>
        <w:t>ّ</w:t>
      </w:r>
      <w:r w:rsidRPr="006571AC">
        <w:rPr>
          <w:sz w:val="27"/>
          <w:rtl/>
        </w:rPr>
        <w:t xml:space="preserve"> مورد</w:t>
      </w:r>
      <w:r w:rsidR="00FE6982" w:rsidRPr="006571AC">
        <w:rPr>
          <w:rFonts w:hint="cs"/>
          <w:sz w:val="27"/>
          <w:rtl/>
        </w:rPr>
        <w:t>ٍ</w:t>
      </w:r>
      <w:r w:rsidRPr="006571AC">
        <w:rPr>
          <w:sz w:val="27"/>
          <w:rtl/>
        </w:rPr>
        <w:t xml:space="preserve"> يختلف موقفه بالنسبة إليه مع رأي وموقف العقلاء. </w:t>
      </w:r>
    </w:p>
    <w:p w:rsidR="00657D34" w:rsidRPr="006571AC" w:rsidRDefault="00C37790" w:rsidP="00C0404B">
      <w:pPr>
        <w:rPr>
          <w:sz w:val="27"/>
          <w:rtl/>
        </w:rPr>
      </w:pPr>
      <w:r w:rsidRPr="006571AC">
        <w:rPr>
          <w:sz w:val="27"/>
          <w:rtl/>
        </w:rPr>
        <w:t xml:space="preserve">وانطلاقاً من كون الشريعة الإسلامية خاتمة الشرائع، </w:t>
      </w:r>
      <w:r w:rsidR="00FE6982" w:rsidRPr="006571AC">
        <w:rPr>
          <w:sz w:val="27"/>
          <w:rtl/>
        </w:rPr>
        <w:t>ورسالتها هي هداية الن</w:t>
      </w:r>
      <w:r w:rsidRPr="006571AC">
        <w:rPr>
          <w:sz w:val="27"/>
          <w:rtl/>
        </w:rPr>
        <w:t xml:space="preserve">اس إلى يوم القيامة؛ </w:t>
      </w:r>
      <w:r w:rsidR="00FE6982" w:rsidRPr="006571AC">
        <w:rPr>
          <w:sz w:val="27"/>
          <w:rtl/>
        </w:rPr>
        <w:t>فإن</w:t>
      </w:r>
      <w:r w:rsidRPr="006571AC">
        <w:rPr>
          <w:sz w:val="27"/>
          <w:rtl/>
        </w:rPr>
        <w:t xml:space="preserve"> أفق رؤية الشارع ونظره ممتدّ</w:t>
      </w:r>
      <w:r w:rsidR="00FE6982" w:rsidRPr="006571AC">
        <w:rPr>
          <w:rFonts w:hint="cs"/>
          <w:sz w:val="27"/>
          <w:rtl/>
        </w:rPr>
        <w:t>ٌ</w:t>
      </w:r>
      <w:r w:rsidRPr="006571AC">
        <w:rPr>
          <w:sz w:val="27"/>
          <w:rtl/>
        </w:rPr>
        <w:t xml:space="preserve"> إلى يوم القيامة، وكلّ ما لم يكن يتمتّ</w:t>
      </w:r>
      <w:r w:rsidR="00FE6982" w:rsidRPr="006571AC">
        <w:rPr>
          <w:rFonts w:hint="cs"/>
          <w:sz w:val="27"/>
          <w:rtl/>
        </w:rPr>
        <w:t>َ</w:t>
      </w:r>
      <w:r w:rsidRPr="006571AC">
        <w:rPr>
          <w:sz w:val="27"/>
          <w:rtl/>
        </w:rPr>
        <w:t>ع برضا الشارع الإسلامي وقبوله على امتداد الزمن فقد بيّ</w:t>
      </w:r>
      <w:r w:rsidR="00FE6982" w:rsidRPr="006571AC">
        <w:rPr>
          <w:rFonts w:hint="cs"/>
          <w:sz w:val="27"/>
          <w:rtl/>
        </w:rPr>
        <w:t>َ</w:t>
      </w:r>
      <w:r w:rsidRPr="006571AC">
        <w:rPr>
          <w:sz w:val="27"/>
          <w:rtl/>
        </w:rPr>
        <w:t>نه بنحو</w:t>
      </w:r>
      <w:r w:rsidR="00FE6982" w:rsidRPr="006571AC">
        <w:rPr>
          <w:rFonts w:hint="cs"/>
          <w:sz w:val="27"/>
          <w:rtl/>
        </w:rPr>
        <w:t>ٍ</w:t>
      </w:r>
      <w:r w:rsidRPr="006571AC">
        <w:rPr>
          <w:sz w:val="27"/>
          <w:rtl/>
        </w:rPr>
        <w:t xml:space="preserve"> ما، كما جاء في الروايات المعتبرة. </w:t>
      </w:r>
    </w:p>
    <w:p w:rsidR="00657D34" w:rsidRPr="006571AC" w:rsidRDefault="00C37790" w:rsidP="00C0404B">
      <w:pPr>
        <w:rPr>
          <w:sz w:val="27"/>
          <w:rtl/>
        </w:rPr>
      </w:pPr>
      <w:r w:rsidRPr="006571AC">
        <w:rPr>
          <w:sz w:val="27"/>
          <w:rtl/>
        </w:rPr>
        <w:t>لذلك ف</w:t>
      </w:r>
      <w:r w:rsidR="00731867" w:rsidRPr="006571AC">
        <w:rPr>
          <w:sz w:val="27"/>
          <w:rtl/>
        </w:rPr>
        <w:t>لا بُدَّ</w:t>
      </w:r>
      <w:r w:rsidRPr="006571AC">
        <w:rPr>
          <w:sz w:val="27"/>
          <w:rtl/>
        </w:rPr>
        <w:t xml:space="preserve"> للفقيه في غير مجال العبادات من أن يتتبّ</w:t>
      </w:r>
      <w:r w:rsidR="00FE6982" w:rsidRPr="006571AC">
        <w:rPr>
          <w:rFonts w:hint="cs"/>
          <w:sz w:val="27"/>
          <w:rtl/>
        </w:rPr>
        <w:t>َ</w:t>
      </w:r>
      <w:r w:rsidRPr="006571AC">
        <w:rPr>
          <w:sz w:val="27"/>
          <w:rtl/>
        </w:rPr>
        <w:t>ع الأدلّة بدقّة</w:t>
      </w:r>
      <w:r w:rsidR="00FE6982" w:rsidRPr="006571AC">
        <w:rPr>
          <w:rFonts w:hint="cs"/>
          <w:sz w:val="27"/>
          <w:rtl/>
        </w:rPr>
        <w:t>ٍ؛</w:t>
      </w:r>
      <w:r w:rsidRPr="006571AC">
        <w:rPr>
          <w:sz w:val="27"/>
          <w:rtl/>
        </w:rPr>
        <w:t xml:space="preserve"> ليحصل </w:t>
      </w:r>
      <w:r w:rsidRPr="006571AC">
        <w:rPr>
          <w:sz w:val="27"/>
          <w:rtl/>
        </w:rPr>
        <w:lastRenderedPageBreak/>
        <w:t>على دليل</w:t>
      </w:r>
      <w:r w:rsidR="00FE6982" w:rsidRPr="006571AC">
        <w:rPr>
          <w:rFonts w:hint="cs"/>
          <w:sz w:val="27"/>
          <w:rtl/>
        </w:rPr>
        <w:t>ٍ</w:t>
      </w:r>
      <w:r w:rsidRPr="006571AC">
        <w:rPr>
          <w:sz w:val="27"/>
          <w:rtl/>
        </w:rPr>
        <w:t xml:space="preserve"> معتبر</w:t>
      </w:r>
      <w:r w:rsidR="00FE6982" w:rsidRPr="006571AC">
        <w:rPr>
          <w:rFonts w:hint="cs"/>
          <w:sz w:val="27"/>
          <w:rtl/>
        </w:rPr>
        <w:t>،</w:t>
      </w:r>
      <w:r w:rsidRPr="006571AC">
        <w:rPr>
          <w:sz w:val="27"/>
          <w:rtl/>
        </w:rPr>
        <w:t xml:space="preserve"> صدوراً ودلالةً وجهةً</w:t>
      </w:r>
      <w:r w:rsidR="00FE6982" w:rsidRPr="006571AC">
        <w:rPr>
          <w:rFonts w:hint="cs"/>
          <w:sz w:val="27"/>
          <w:rtl/>
        </w:rPr>
        <w:t>،</w:t>
      </w:r>
      <w:r w:rsidRPr="006571AC">
        <w:rPr>
          <w:sz w:val="27"/>
          <w:rtl/>
        </w:rPr>
        <w:t xml:space="preserve"> على خلاف السيرة. وإذا لم يقف على دليل</w:t>
      </w:r>
      <w:r w:rsidR="00FE6982" w:rsidRPr="006571AC">
        <w:rPr>
          <w:rFonts w:hint="cs"/>
          <w:sz w:val="27"/>
          <w:rtl/>
        </w:rPr>
        <w:t>ٍ</w:t>
      </w:r>
      <w:r w:rsidRPr="006571AC">
        <w:rPr>
          <w:sz w:val="27"/>
          <w:rtl/>
        </w:rPr>
        <w:t xml:space="preserve"> معتبر</w:t>
      </w:r>
      <w:r w:rsidR="00FE6982" w:rsidRPr="006571AC">
        <w:rPr>
          <w:rFonts w:hint="cs"/>
          <w:sz w:val="27"/>
          <w:rtl/>
        </w:rPr>
        <w:t>ٍ</w:t>
      </w:r>
      <w:r w:rsidRPr="006571AC">
        <w:rPr>
          <w:sz w:val="27"/>
          <w:rtl/>
        </w:rPr>
        <w:t xml:space="preserve"> من النواحي الثلاث</w:t>
      </w:r>
      <w:r w:rsidR="0069431E" w:rsidRPr="006571AC">
        <w:rPr>
          <w:rFonts w:hint="cs"/>
          <w:sz w:val="27"/>
          <w:rtl/>
        </w:rPr>
        <w:t>ة</w:t>
      </w:r>
      <w:r w:rsidRPr="006571AC">
        <w:rPr>
          <w:sz w:val="27"/>
          <w:rtl/>
        </w:rPr>
        <w:t xml:space="preserve"> المذكورة، يكون مخالفاً للسيرة العقلائية العامّة، ولم يكن هناك أصل</w:t>
      </w:r>
      <w:r w:rsidR="00FE6982" w:rsidRPr="006571AC">
        <w:rPr>
          <w:rFonts w:hint="cs"/>
          <w:sz w:val="27"/>
          <w:rtl/>
        </w:rPr>
        <w:t>ٌ</w:t>
      </w:r>
      <w:r w:rsidRPr="006571AC">
        <w:rPr>
          <w:sz w:val="27"/>
          <w:rtl/>
        </w:rPr>
        <w:t xml:space="preserve"> عملي مخالف أيضاً، فسوف تثبت حجّ</w:t>
      </w:r>
      <w:r w:rsidR="00FE6982" w:rsidRPr="006571AC">
        <w:rPr>
          <w:rFonts w:hint="cs"/>
          <w:sz w:val="27"/>
          <w:rtl/>
        </w:rPr>
        <w:t>ِ</w:t>
      </w:r>
      <w:r w:rsidRPr="006571AC">
        <w:rPr>
          <w:sz w:val="27"/>
          <w:rtl/>
        </w:rPr>
        <w:t>ية تلك الس</w:t>
      </w:r>
      <w:r w:rsidR="00FE6982" w:rsidRPr="006571AC">
        <w:rPr>
          <w:rFonts w:hint="cs"/>
          <w:sz w:val="27"/>
          <w:rtl/>
        </w:rPr>
        <w:t>ِّ</w:t>
      </w:r>
      <w:r w:rsidRPr="006571AC">
        <w:rPr>
          <w:sz w:val="27"/>
          <w:rtl/>
        </w:rPr>
        <w:t xml:space="preserve">يرة. </w:t>
      </w:r>
    </w:p>
    <w:p w:rsidR="00E83C22" w:rsidRPr="006571AC" w:rsidRDefault="00C37790" w:rsidP="0069431E">
      <w:pPr>
        <w:rPr>
          <w:rtl/>
        </w:rPr>
      </w:pPr>
      <w:r w:rsidRPr="006571AC">
        <w:rPr>
          <w:sz w:val="27"/>
          <w:rtl/>
        </w:rPr>
        <w:t>ولقد تمّ في هذا البحث ذكر عدّة أدلّة على هذا المدّ</w:t>
      </w:r>
      <w:r w:rsidR="00FE6982" w:rsidRPr="006571AC">
        <w:rPr>
          <w:rFonts w:hint="cs"/>
          <w:sz w:val="27"/>
          <w:rtl/>
        </w:rPr>
        <w:t>َ</w:t>
      </w:r>
      <w:r w:rsidRPr="006571AC">
        <w:rPr>
          <w:sz w:val="27"/>
          <w:rtl/>
        </w:rPr>
        <w:t>عى، وإن</w:t>
      </w:r>
      <w:r w:rsidR="00FE6982" w:rsidRPr="006571AC">
        <w:rPr>
          <w:rFonts w:hint="cs"/>
          <w:sz w:val="27"/>
          <w:rtl/>
        </w:rPr>
        <w:t>ْ</w:t>
      </w:r>
      <w:r w:rsidRPr="006571AC">
        <w:rPr>
          <w:sz w:val="27"/>
          <w:rtl/>
        </w:rPr>
        <w:t xml:space="preserve"> كان بعض الأدلّة ـ كدليل وجوب دفع المنكر ـ لا </w:t>
      </w:r>
      <w:r w:rsidR="0069431E" w:rsidRPr="006571AC">
        <w:rPr>
          <w:rFonts w:hint="cs"/>
          <w:sz w:val="27"/>
          <w:rtl/>
        </w:rPr>
        <w:t>ي</w:t>
      </w:r>
      <w:r w:rsidRPr="006571AC">
        <w:rPr>
          <w:sz w:val="27"/>
          <w:rtl/>
        </w:rPr>
        <w:t>خلو من مناقشة</w:t>
      </w:r>
      <w:r w:rsidR="00FE6982" w:rsidRPr="006571AC">
        <w:rPr>
          <w:rFonts w:hint="cs"/>
          <w:sz w:val="27"/>
          <w:rtl/>
        </w:rPr>
        <w:t>ٍ</w:t>
      </w:r>
      <w:r w:rsidRPr="006571AC">
        <w:rPr>
          <w:sz w:val="27"/>
          <w:rtl/>
        </w:rPr>
        <w:t>. ولكنّ أغلب تلك الأدلّة محكمة</w:t>
      </w:r>
      <w:r w:rsidR="00FE6982" w:rsidRPr="006571AC">
        <w:rPr>
          <w:rFonts w:hint="cs"/>
          <w:sz w:val="27"/>
          <w:rtl/>
        </w:rPr>
        <w:t>ٌ</w:t>
      </w:r>
      <w:r w:rsidRPr="006571AC">
        <w:rPr>
          <w:sz w:val="27"/>
          <w:rtl/>
        </w:rPr>
        <w:t xml:space="preserve"> ومتقنة</w:t>
      </w:r>
      <w:r w:rsidR="00FE6982" w:rsidRPr="006571AC">
        <w:rPr>
          <w:rFonts w:hint="cs"/>
          <w:sz w:val="27"/>
          <w:rtl/>
        </w:rPr>
        <w:t>ٌ</w:t>
      </w:r>
      <w:r w:rsidRPr="006571AC">
        <w:rPr>
          <w:sz w:val="27"/>
          <w:rtl/>
        </w:rPr>
        <w:t>، مثل</w:t>
      </w:r>
      <w:r w:rsidR="00FE6982" w:rsidRPr="006571AC">
        <w:rPr>
          <w:rFonts w:hint="cs"/>
          <w:sz w:val="27"/>
          <w:rtl/>
        </w:rPr>
        <w:t>:</w:t>
      </w:r>
      <w:r w:rsidRPr="006571AC">
        <w:rPr>
          <w:sz w:val="27"/>
          <w:rtl/>
        </w:rPr>
        <w:t xml:space="preserve"> مقتضى شمولية الشريعة، ومقتضى خلودها، ومسؤولية هداية جميع الأجيال، وخطبة الوداع، وطريقة الشارع في غير العبادات، واعتبار القاعدة الأوّلية في عصر الحضور.</w:t>
      </w:r>
    </w:p>
    <w:p w:rsidR="00E83C22" w:rsidRPr="006571AC" w:rsidRDefault="00E83C22" w:rsidP="00ED1ECC">
      <w:pPr>
        <w:spacing w:line="490" w:lineRule="exact"/>
        <w:rPr>
          <w:rtl/>
        </w:rPr>
      </w:pPr>
    </w:p>
    <w:p w:rsidR="00E83C22" w:rsidRPr="006571AC" w:rsidRDefault="00E83C22" w:rsidP="00ED1ECC">
      <w:pPr>
        <w:spacing w:line="480" w:lineRule="exact"/>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35"/>
          <w:headerReference w:type="default" r:id="rId36"/>
          <w:footerReference w:type="even" r:id="rId37"/>
          <w:footerReference w:type="default" r:id="rId3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39"/>
          <w:headerReference w:type="default" r:id="rId40"/>
          <w:footerReference w:type="even" r:id="rId41"/>
          <w:footerReference w:type="default" r:id="rId42"/>
          <w:headerReference w:type="first" r:id="rId4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pPr>
        <w:rPr>
          <w:rtl/>
        </w:rPr>
      </w:pPr>
    </w:p>
    <w:p w:rsidR="00E83C22" w:rsidRPr="006571AC" w:rsidRDefault="00E83C22" w:rsidP="00E83C22">
      <w:pPr>
        <w:rPr>
          <w:rtl/>
        </w:rPr>
      </w:pPr>
    </w:p>
    <w:p w:rsidR="00E83C22" w:rsidRPr="006571AC" w:rsidRDefault="007C76F0" w:rsidP="003360C3">
      <w:pPr>
        <w:pStyle w:val="10"/>
        <w:spacing w:line="216" w:lineRule="auto"/>
        <w:rPr>
          <w:rtl/>
        </w:rPr>
      </w:pPr>
      <w:bookmarkStart w:id="54" w:name="_Toc114164543"/>
      <w:r w:rsidRPr="006571AC">
        <w:rPr>
          <w:rtl/>
        </w:rPr>
        <w:t>الخطاب الديني</w:t>
      </w:r>
      <w:r w:rsidR="008438AC" w:rsidRPr="006571AC">
        <w:rPr>
          <w:rFonts w:hint="cs"/>
          <w:rtl/>
        </w:rPr>
        <w:t>ّ</w:t>
      </w:r>
      <w:r w:rsidRPr="006571AC">
        <w:rPr>
          <w:rtl/>
        </w:rPr>
        <w:t xml:space="preserve"> والوظيفة الاجتماعي</w:t>
      </w:r>
      <w:r w:rsidR="008438AC" w:rsidRPr="006571AC">
        <w:rPr>
          <w:rFonts w:hint="cs"/>
          <w:rtl/>
        </w:rPr>
        <w:t>ّ</w:t>
      </w:r>
      <w:r w:rsidRPr="006571AC">
        <w:rPr>
          <w:rtl/>
        </w:rPr>
        <w:t>ة</w:t>
      </w:r>
      <w:bookmarkEnd w:id="54"/>
    </w:p>
    <w:p w:rsidR="00B961B5" w:rsidRPr="006571AC" w:rsidRDefault="00B961B5" w:rsidP="003360C3">
      <w:pPr>
        <w:pStyle w:val="10"/>
        <w:spacing w:line="216" w:lineRule="auto"/>
        <w:rPr>
          <w:sz w:val="42"/>
          <w:szCs w:val="42"/>
          <w:rtl/>
        </w:rPr>
      </w:pPr>
      <w:bookmarkStart w:id="55" w:name="_Toc114164544"/>
      <w:r w:rsidRPr="006571AC">
        <w:rPr>
          <w:rFonts w:hint="cs"/>
          <w:sz w:val="42"/>
          <w:szCs w:val="42"/>
          <w:rtl/>
        </w:rPr>
        <w:t>الأساليب والضوابط وس</w:t>
      </w:r>
      <w:r w:rsidR="00B419B8" w:rsidRPr="006571AC">
        <w:rPr>
          <w:rFonts w:hint="cs"/>
          <w:sz w:val="42"/>
          <w:szCs w:val="42"/>
          <w:rtl/>
        </w:rPr>
        <w:t>ُ</w:t>
      </w:r>
      <w:r w:rsidRPr="006571AC">
        <w:rPr>
          <w:rFonts w:hint="cs"/>
          <w:sz w:val="42"/>
          <w:szCs w:val="42"/>
          <w:rtl/>
        </w:rPr>
        <w:t>ب</w:t>
      </w:r>
      <w:r w:rsidR="00B419B8" w:rsidRPr="006571AC">
        <w:rPr>
          <w:rFonts w:hint="cs"/>
          <w:sz w:val="42"/>
          <w:szCs w:val="42"/>
          <w:rtl/>
        </w:rPr>
        <w:t>ُ</w:t>
      </w:r>
      <w:r w:rsidRPr="006571AC">
        <w:rPr>
          <w:rFonts w:hint="cs"/>
          <w:sz w:val="42"/>
          <w:szCs w:val="42"/>
          <w:rtl/>
        </w:rPr>
        <w:t>ل الترشيد</w:t>
      </w:r>
      <w:bookmarkEnd w:id="55"/>
    </w:p>
    <w:p w:rsidR="00E83C22" w:rsidRPr="006571AC" w:rsidRDefault="00E83C22" w:rsidP="00E83C22">
      <w:pPr>
        <w:spacing w:line="300" w:lineRule="exact"/>
        <w:rPr>
          <w:rtl/>
        </w:rPr>
      </w:pPr>
    </w:p>
    <w:p w:rsidR="00E83C22" w:rsidRPr="006571AC" w:rsidRDefault="00C44259" w:rsidP="007C76F0">
      <w:pPr>
        <w:pStyle w:val="Author"/>
        <w:rPr>
          <w:rtl/>
        </w:rPr>
      </w:pPr>
      <w:r w:rsidRPr="006571AC">
        <w:rPr>
          <w:rFonts w:hint="cs"/>
          <w:rtl/>
        </w:rPr>
        <w:t>ا</w:t>
      </w:r>
      <w:r w:rsidR="007C76F0" w:rsidRPr="006571AC">
        <w:rPr>
          <w:rtl/>
        </w:rPr>
        <w:t>لشيخ حسن موسى الص</w:t>
      </w:r>
      <w:r w:rsidR="004647CD" w:rsidRPr="006571AC">
        <w:rPr>
          <w:rFonts w:hint="cs"/>
          <w:rtl/>
        </w:rPr>
        <w:t>ف</w:t>
      </w:r>
      <w:r w:rsidR="008438AC" w:rsidRPr="006571AC">
        <w:rPr>
          <w:rFonts w:hint="cs"/>
          <w:rtl/>
        </w:rPr>
        <w:t>ّ</w:t>
      </w:r>
      <w:r w:rsidR="007C76F0" w:rsidRPr="006571AC">
        <w:rPr>
          <w:rtl/>
        </w:rPr>
        <w:t>ار</w:t>
      </w:r>
      <w:r w:rsidR="00527634" w:rsidRPr="006571AC">
        <w:rPr>
          <w:rFonts w:cs="Taher" w:hint="cs"/>
          <w:vertAlign w:val="superscript"/>
          <w:rtl/>
        </w:rPr>
        <w:t>(</w:t>
      </w:r>
      <w:r w:rsidR="00527634" w:rsidRPr="006571AC">
        <w:rPr>
          <w:rFonts w:cs="Taher"/>
          <w:vertAlign w:val="superscript"/>
          <w:rtl/>
        </w:rPr>
        <w:footnoteReference w:customMarkFollows="1" w:id="3"/>
        <w:t>*)</w:t>
      </w:r>
    </w:p>
    <w:p w:rsidR="00E83C22" w:rsidRPr="006571AC" w:rsidRDefault="00E83C22" w:rsidP="00E83C22">
      <w:pPr>
        <w:spacing w:line="300" w:lineRule="exact"/>
        <w:rPr>
          <w:rtl/>
        </w:rPr>
      </w:pPr>
    </w:p>
    <w:p w:rsidR="007C76F0" w:rsidRPr="006571AC" w:rsidRDefault="007C76F0" w:rsidP="0073003A">
      <w:pPr>
        <w:pStyle w:val="31"/>
        <w:rPr>
          <w:color w:val="auto"/>
          <w:rtl/>
        </w:rPr>
      </w:pPr>
      <w:bookmarkStart w:id="56" w:name="_Toc114164545"/>
      <w:r w:rsidRPr="006571AC">
        <w:rPr>
          <w:color w:val="auto"/>
          <w:rtl/>
        </w:rPr>
        <w:t>تقويم الخطاب الديني</w:t>
      </w:r>
      <w:bookmarkEnd w:id="56"/>
    </w:p>
    <w:p w:rsidR="007C76F0" w:rsidRPr="006571AC" w:rsidRDefault="007C76F0" w:rsidP="00F22B89">
      <w:pPr>
        <w:rPr>
          <w:sz w:val="27"/>
          <w:rtl/>
        </w:rPr>
      </w:pPr>
      <w:r w:rsidRPr="006571AC">
        <w:rPr>
          <w:sz w:val="27"/>
          <w:rtl/>
        </w:rPr>
        <w:t>الخطابُ الديني جزءٌ لا يتجز</w:t>
      </w:r>
      <w:r w:rsidR="00CB2DFB" w:rsidRPr="006571AC">
        <w:rPr>
          <w:rFonts w:hint="cs"/>
          <w:sz w:val="27"/>
          <w:rtl/>
        </w:rPr>
        <w:t>ّ</w:t>
      </w:r>
      <w:r w:rsidRPr="006571AC">
        <w:rPr>
          <w:sz w:val="27"/>
          <w:rtl/>
        </w:rPr>
        <w:t>أ من حياة مجتمعاتنا الإسلامية، وهو ركن</w:t>
      </w:r>
      <w:r w:rsidR="00CB2DFB" w:rsidRPr="006571AC">
        <w:rPr>
          <w:rFonts w:hint="cs"/>
          <w:sz w:val="27"/>
          <w:rtl/>
        </w:rPr>
        <w:t>ٌ</w:t>
      </w:r>
      <w:r w:rsidRPr="006571AC">
        <w:rPr>
          <w:sz w:val="27"/>
          <w:rtl/>
        </w:rPr>
        <w:t xml:space="preserve"> في بعضِ العبادات الدينية، كما هو الحال في صلاة الجمعة وصلاة العيدين الواجبتين، فالخطبة واجبة</w:t>
      </w:r>
      <w:r w:rsidR="00CB2DFB" w:rsidRPr="006571AC">
        <w:rPr>
          <w:rFonts w:hint="cs"/>
          <w:sz w:val="27"/>
          <w:rtl/>
        </w:rPr>
        <w:t>ٌ</w:t>
      </w:r>
      <w:r w:rsidRPr="006571AC">
        <w:rPr>
          <w:sz w:val="27"/>
          <w:rtl/>
        </w:rPr>
        <w:t xml:space="preserve"> وجزءٌ من الصلاة فيهما. كما أن الحث</w:t>
      </w:r>
      <w:r w:rsidR="00CB2DFB" w:rsidRPr="006571AC">
        <w:rPr>
          <w:rFonts w:hint="cs"/>
          <w:sz w:val="27"/>
          <w:rtl/>
        </w:rPr>
        <w:t>ّ</w:t>
      </w:r>
      <w:r w:rsidRPr="006571AC">
        <w:rPr>
          <w:sz w:val="27"/>
          <w:rtl/>
        </w:rPr>
        <w:t xml:space="preserve"> على دعوة الناس إلى الخير، وإرشادهم إلى الحق</w:t>
      </w:r>
      <w:r w:rsidR="00CB2DFB" w:rsidRPr="006571AC">
        <w:rPr>
          <w:rFonts w:hint="cs"/>
          <w:sz w:val="27"/>
          <w:rtl/>
        </w:rPr>
        <w:t>ّ</w:t>
      </w:r>
      <w:r w:rsidRPr="006571AC">
        <w:rPr>
          <w:sz w:val="27"/>
          <w:rtl/>
        </w:rPr>
        <w:t>، وهدايتهم إلى الدين، والأمر بالمعروف والنهي عن المنكر، وإحياء أمر أهل البيت</w:t>
      </w:r>
      <w:r w:rsidR="00CB2DFB" w:rsidRPr="006571AC">
        <w:rPr>
          <w:rFonts w:ascii="Mosawi" w:hAnsi="Mosawi" w:cs="Mosawi"/>
          <w:sz w:val="22"/>
          <w:szCs w:val="22"/>
          <w:rtl/>
        </w:rPr>
        <w:t>^</w:t>
      </w:r>
      <w:r w:rsidRPr="006571AC">
        <w:rPr>
          <w:sz w:val="27"/>
          <w:rtl/>
        </w:rPr>
        <w:t xml:space="preserve">، كلُّها مفاهيم توجِب وجودَ خطابٍ ديني في المجتمع الإسلامي. </w:t>
      </w:r>
    </w:p>
    <w:p w:rsidR="007C76F0" w:rsidRPr="006571AC" w:rsidRDefault="007C76F0" w:rsidP="00F22B89">
      <w:pPr>
        <w:rPr>
          <w:sz w:val="27"/>
          <w:rtl/>
        </w:rPr>
      </w:pPr>
      <w:r w:rsidRPr="006571AC">
        <w:rPr>
          <w:sz w:val="27"/>
          <w:rtl/>
        </w:rPr>
        <w:t>وللخطاب الديني مساحةٌ لا تُن</w:t>
      </w:r>
      <w:r w:rsidR="00CB2DFB" w:rsidRPr="006571AC">
        <w:rPr>
          <w:rFonts w:hint="cs"/>
          <w:sz w:val="27"/>
          <w:rtl/>
        </w:rPr>
        <w:t>ْ</w:t>
      </w:r>
      <w:r w:rsidRPr="006571AC">
        <w:rPr>
          <w:sz w:val="27"/>
          <w:rtl/>
        </w:rPr>
        <w:t>ك</w:t>
      </w:r>
      <w:r w:rsidR="00CB2DFB" w:rsidRPr="006571AC">
        <w:rPr>
          <w:rFonts w:hint="cs"/>
          <w:sz w:val="27"/>
          <w:rtl/>
        </w:rPr>
        <w:t>َ</w:t>
      </w:r>
      <w:r w:rsidRPr="006571AC">
        <w:rPr>
          <w:sz w:val="27"/>
          <w:rtl/>
        </w:rPr>
        <w:t>ر من التأثير، فهو جزءٌ من الشأن العام، لذا ينبغي أن يهتم</w:t>
      </w:r>
      <w:r w:rsidR="00CB2DFB" w:rsidRPr="006571AC">
        <w:rPr>
          <w:rFonts w:hint="cs"/>
          <w:sz w:val="27"/>
          <w:rtl/>
        </w:rPr>
        <w:t>ّ</w:t>
      </w:r>
      <w:r w:rsidRPr="006571AC">
        <w:rPr>
          <w:sz w:val="27"/>
          <w:rtl/>
        </w:rPr>
        <w:t xml:space="preserve"> به كلُّ أفراد المجتمع، تماماً كما يهتم</w:t>
      </w:r>
      <w:r w:rsidR="00CB2DFB" w:rsidRPr="006571AC">
        <w:rPr>
          <w:rFonts w:hint="cs"/>
          <w:sz w:val="27"/>
          <w:rtl/>
        </w:rPr>
        <w:t>ّ</w:t>
      </w:r>
      <w:r w:rsidRPr="006571AC">
        <w:rPr>
          <w:sz w:val="27"/>
          <w:rtl/>
        </w:rPr>
        <w:t>ون بسائر الشؤون المرتبطة بحياتهم، وينبغي أن يكون لهم رأيٌ وموقفٌ فيه وتجاهه</w:t>
      </w:r>
      <w:r w:rsidR="00CB2DFB" w:rsidRPr="006571AC">
        <w:rPr>
          <w:rFonts w:hint="cs"/>
          <w:sz w:val="27"/>
          <w:rtl/>
        </w:rPr>
        <w:t>،</w:t>
      </w:r>
      <w:r w:rsidR="00B419B8" w:rsidRPr="006571AC">
        <w:rPr>
          <w:sz w:val="27"/>
          <w:rtl/>
        </w:rPr>
        <w:t xml:space="preserve"> </w:t>
      </w:r>
      <w:r w:rsidR="00B419B8" w:rsidRPr="006571AC">
        <w:rPr>
          <w:rFonts w:hint="cs"/>
          <w:sz w:val="27"/>
          <w:rtl/>
        </w:rPr>
        <w:t>سَ</w:t>
      </w:r>
      <w:r w:rsidRPr="006571AC">
        <w:rPr>
          <w:sz w:val="27"/>
          <w:rtl/>
        </w:rPr>
        <w:t>ل</w:t>
      </w:r>
      <w:r w:rsidR="00B419B8" w:rsidRPr="006571AC">
        <w:rPr>
          <w:rFonts w:hint="cs"/>
          <w:sz w:val="27"/>
          <w:rtl/>
        </w:rPr>
        <w:t>ْ</w:t>
      </w:r>
      <w:r w:rsidRPr="006571AC">
        <w:rPr>
          <w:sz w:val="27"/>
          <w:rtl/>
        </w:rPr>
        <w:t>باً أو إيجاباً، فليس صحيحاً أن ي</w:t>
      </w:r>
      <w:r w:rsidR="00CB2DFB" w:rsidRPr="006571AC">
        <w:rPr>
          <w:rFonts w:hint="cs"/>
          <w:sz w:val="27"/>
          <w:rtl/>
        </w:rPr>
        <w:t>ُ</w:t>
      </w:r>
      <w:r w:rsidRPr="006571AC">
        <w:rPr>
          <w:sz w:val="27"/>
          <w:rtl/>
        </w:rPr>
        <w:t>قال: أن الاهتمام بالخطاب الديني ينحصر في دائرة منتجيه، وبقية الناس لا شأن لهم به، وليس من حقّهم أن ي</w:t>
      </w:r>
      <w:r w:rsidR="00CB2DFB" w:rsidRPr="006571AC">
        <w:rPr>
          <w:rFonts w:hint="cs"/>
          <w:sz w:val="27"/>
          <w:rtl/>
        </w:rPr>
        <w:t>ُ</w:t>
      </w:r>
      <w:r w:rsidRPr="006571AC">
        <w:rPr>
          <w:sz w:val="27"/>
          <w:rtl/>
        </w:rPr>
        <w:t>ب</w:t>
      </w:r>
      <w:r w:rsidR="00CB2DFB" w:rsidRPr="006571AC">
        <w:rPr>
          <w:rFonts w:hint="cs"/>
          <w:sz w:val="27"/>
          <w:rtl/>
        </w:rPr>
        <w:t>ْ</w:t>
      </w:r>
      <w:r w:rsidR="00B419B8" w:rsidRPr="006571AC">
        <w:rPr>
          <w:sz w:val="27"/>
          <w:rtl/>
        </w:rPr>
        <w:t>دوا رأياً تجاهه، بل على العكس من ذلك، ما دام</w:t>
      </w:r>
      <w:r w:rsidRPr="006571AC">
        <w:rPr>
          <w:sz w:val="27"/>
          <w:rtl/>
        </w:rPr>
        <w:t xml:space="preserve"> الخطاب من قضايا الشأن العام، ويؤث</w:t>
      </w:r>
      <w:r w:rsidR="00CB2DFB" w:rsidRPr="006571AC">
        <w:rPr>
          <w:rFonts w:hint="cs"/>
          <w:sz w:val="27"/>
          <w:rtl/>
        </w:rPr>
        <w:t>ِّ</w:t>
      </w:r>
      <w:r w:rsidRPr="006571AC">
        <w:rPr>
          <w:sz w:val="27"/>
          <w:rtl/>
        </w:rPr>
        <w:t>ر في حياة الناس، فمن واجب الناس ومن حق</w:t>
      </w:r>
      <w:r w:rsidR="00CB2DFB" w:rsidRPr="006571AC">
        <w:rPr>
          <w:rFonts w:hint="cs"/>
          <w:sz w:val="27"/>
          <w:rtl/>
        </w:rPr>
        <w:t>ِّ</w:t>
      </w:r>
      <w:r w:rsidRPr="006571AC">
        <w:rPr>
          <w:sz w:val="27"/>
          <w:rtl/>
        </w:rPr>
        <w:t>هم أن يهتم</w:t>
      </w:r>
      <w:r w:rsidR="00CB2DFB" w:rsidRPr="006571AC">
        <w:rPr>
          <w:rFonts w:hint="cs"/>
          <w:sz w:val="27"/>
          <w:rtl/>
        </w:rPr>
        <w:t>ّ</w:t>
      </w:r>
      <w:r w:rsidRPr="006571AC">
        <w:rPr>
          <w:sz w:val="27"/>
          <w:rtl/>
        </w:rPr>
        <w:t xml:space="preserve">وا بهذا الخطاب. </w:t>
      </w:r>
    </w:p>
    <w:p w:rsidR="007C76F0" w:rsidRPr="006571AC" w:rsidRDefault="007C76F0" w:rsidP="00F22B89">
      <w:pPr>
        <w:rPr>
          <w:sz w:val="27"/>
          <w:rtl/>
        </w:rPr>
      </w:pPr>
      <w:r w:rsidRPr="006571AC">
        <w:rPr>
          <w:sz w:val="27"/>
          <w:rtl/>
        </w:rPr>
        <w:t>ولو رج</w:t>
      </w:r>
      <w:r w:rsidR="008438AC" w:rsidRPr="006571AC">
        <w:rPr>
          <w:rFonts w:hint="cs"/>
          <w:sz w:val="27"/>
          <w:rtl/>
        </w:rPr>
        <w:t>َ</w:t>
      </w:r>
      <w:r w:rsidRPr="006571AC">
        <w:rPr>
          <w:sz w:val="27"/>
          <w:rtl/>
        </w:rPr>
        <w:t>ع</w:t>
      </w:r>
      <w:r w:rsidR="008438AC" w:rsidRPr="006571AC">
        <w:rPr>
          <w:rFonts w:hint="cs"/>
          <w:sz w:val="27"/>
          <w:rtl/>
        </w:rPr>
        <w:t>ْ</w:t>
      </w:r>
      <w:r w:rsidRPr="006571AC">
        <w:rPr>
          <w:sz w:val="27"/>
          <w:rtl/>
        </w:rPr>
        <w:t>نا إلى واقع الحياة الاجتماعية سابقاً نجد أن عام</w:t>
      </w:r>
      <w:r w:rsidR="00CB2DFB" w:rsidRPr="006571AC">
        <w:rPr>
          <w:rFonts w:hint="cs"/>
          <w:sz w:val="27"/>
          <w:rtl/>
        </w:rPr>
        <w:t>ّ</w:t>
      </w:r>
      <w:r w:rsidRPr="006571AC">
        <w:rPr>
          <w:sz w:val="27"/>
          <w:rtl/>
        </w:rPr>
        <w:t>ة الناس تهمهم حياتهم الخاصة، ولا ير</w:t>
      </w:r>
      <w:r w:rsidR="00CB2DFB" w:rsidRPr="006571AC">
        <w:rPr>
          <w:rFonts w:hint="cs"/>
          <w:sz w:val="27"/>
          <w:rtl/>
        </w:rPr>
        <w:t>َ</w:t>
      </w:r>
      <w:r w:rsidRPr="006571AC">
        <w:rPr>
          <w:sz w:val="27"/>
          <w:rtl/>
        </w:rPr>
        <w:t>و</w:t>
      </w:r>
      <w:r w:rsidR="00CB2DFB" w:rsidRPr="006571AC">
        <w:rPr>
          <w:rFonts w:hint="cs"/>
          <w:sz w:val="27"/>
          <w:rtl/>
        </w:rPr>
        <w:t>ْ</w:t>
      </w:r>
      <w:r w:rsidRPr="006571AC">
        <w:rPr>
          <w:sz w:val="27"/>
          <w:rtl/>
        </w:rPr>
        <w:t>ن أنفسهم معنيين بالشأن العام، عدا فئة خاص</w:t>
      </w:r>
      <w:r w:rsidR="00CB2DFB" w:rsidRPr="006571AC">
        <w:rPr>
          <w:rFonts w:hint="cs"/>
          <w:sz w:val="27"/>
          <w:rtl/>
        </w:rPr>
        <w:t>ّ</w:t>
      </w:r>
      <w:r w:rsidRPr="006571AC">
        <w:rPr>
          <w:sz w:val="27"/>
          <w:rtl/>
        </w:rPr>
        <w:t xml:space="preserve">ة من كبار المجتمع </w:t>
      </w:r>
      <w:r w:rsidRPr="006571AC">
        <w:rPr>
          <w:sz w:val="27"/>
          <w:rtl/>
        </w:rPr>
        <w:lastRenderedPageBreak/>
        <w:t>وزعامته، فإنهم ير</w:t>
      </w:r>
      <w:r w:rsidR="00CB2DFB" w:rsidRPr="006571AC">
        <w:rPr>
          <w:rFonts w:hint="cs"/>
          <w:sz w:val="27"/>
          <w:rtl/>
        </w:rPr>
        <w:t>َ</w:t>
      </w:r>
      <w:r w:rsidRPr="006571AC">
        <w:rPr>
          <w:sz w:val="27"/>
          <w:rtl/>
        </w:rPr>
        <w:t>و</w:t>
      </w:r>
      <w:r w:rsidR="00CB2DFB" w:rsidRPr="006571AC">
        <w:rPr>
          <w:rFonts w:hint="cs"/>
          <w:sz w:val="27"/>
          <w:rtl/>
        </w:rPr>
        <w:t>ْ</w:t>
      </w:r>
      <w:r w:rsidRPr="006571AC">
        <w:rPr>
          <w:sz w:val="27"/>
          <w:rtl/>
        </w:rPr>
        <w:t>ن أنفسهم المعنيين بذلك، أمّا الآن فقد تغيّ</w:t>
      </w:r>
      <w:r w:rsidR="00CB2DFB" w:rsidRPr="006571AC">
        <w:rPr>
          <w:rFonts w:hint="cs"/>
          <w:sz w:val="27"/>
          <w:rtl/>
        </w:rPr>
        <w:t>َ</w:t>
      </w:r>
      <w:r w:rsidRPr="006571AC">
        <w:rPr>
          <w:sz w:val="27"/>
          <w:rtl/>
        </w:rPr>
        <w:t>ر الواقع الاجتماعي، وأصبحنا نرى أنّ الاهتمام بالشأن العام اتسعت رقعته في المجتمعات</w:t>
      </w:r>
      <w:r w:rsidR="00CB2DFB" w:rsidRPr="006571AC">
        <w:rPr>
          <w:rFonts w:hint="cs"/>
          <w:sz w:val="27"/>
          <w:rtl/>
        </w:rPr>
        <w:t>؛</w:t>
      </w:r>
      <w:r w:rsidRPr="006571AC">
        <w:rPr>
          <w:sz w:val="27"/>
          <w:rtl/>
        </w:rPr>
        <w:t xml:space="preserve"> بسبب ارتفاع مستوى التعليم، وانتشار المعرفة، وزيادة ثقة الناس بأنفسهم، وقدرتهم على التعبير عن آرائهم، عبر وسائل الأعلام والتواصل الحديثة، التي أتاح</w:t>
      </w:r>
      <w:r w:rsidR="00B419B8" w:rsidRPr="006571AC">
        <w:rPr>
          <w:rFonts w:hint="cs"/>
          <w:sz w:val="27"/>
          <w:rtl/>
        </w:rPr>
        <w:t>َ</w:t>
      </w:r>
      <w:r w:rsidRPr="006571AC">
        <w:rPr>
          <w:sz w:val="27"/>
          <w:rtl/>
        </w:rPr>
        <w:t>ت</w:t>
      </w:r>
      <w:r w:rsidR="00B419B8" w:rsidRPr="006571AC">
        <w:rPr>
          <w:rFonts w:hint="cs"/>
          <w:sz w:val="27"/>
          <w:rtl/>
        </w:rPr>
        <w:t>ْ</w:t>
      </w:r>
      <w:r w:rsidRPr="006571AC">
        <w:rPr>
          <w:sz w:val="27"/>
          <w:rtl/>
        </w:rPr>
        <w:t xml:space="preserve"> لكلّ إنسان</w:t>
      </w:r>
      <w:r w:rsidR="006256AB" w:rsidRPr="006571AC">
        <w:rPr>
          <w:rFonts w:hint="cs"/>
          <w:sz w:val="27"/>
          <w:rtl/>
        </w:rPr>
        <w:t>ٍ</w:t>
      </w:r>
      <w:r w:rsidRPr="006571AC">
        <w:rPr>
          <w:sz w:val="27"/>
          <w:rtl/>
        </w:rPr>
        <w:t xml:space="preserve"> أن يعبّ</w:t>
      </w:r>
      <w:r w:rsidR="006256AB" w:rsidRPr="006571AC">
        <w:rPr>
          <w:rFonts w:hint="cs"/>
          <w:sz w:val="27"/>
          <w:rtl/>
        </w:rPr>
        <w:t>ِ</w:t>
      </w:r>
      <w:r w:rsidRPr="006571AC">
        <w:rPr>
          <w:sz w:val="27"/>
          <w:rtl/>
        </w:rPr>
        <w:t>ر عن رأيه وينشره في أوسع نطاق</w:t>
      </w:r>
      <w:r w:rsidR="006256AB" w:rsidRPr="006571AC">
        <w:rPr>
          <w:rFonts w:hint="cs"/>
          <w:sz w:val="27"/>
          <w:rtl/>
        </w:rPr>
        <w:t>ٍ</w:t>
      </w:r>
      <w:r w:rsidRPr="006571AC">
        <w:rPr>
          <w:sz w:val="27"/>
          <w:rtl/>
        </w:rPr>
        <w:t xml:space="preserve">، وهذا يعني أنّه من الطبيعي حصول </w:t>
      </w:r>
      <w:r w:rsidR="006256AB" w:rsidRPr="006571AC">
        <w:rPr>
          <w:sz w:val="27"/>
          <w:rtl/>
        </w:rPr>
        <w:t>حالة النقد والتقويم للخطاب</w:t>
      </w:r>
      <w:r w:rsidRPr="006571AC">
        <w:rPr>
          <w:sz w:val="27"/>
          <w:rtl/>
        </w:rPr>
        <w:t xml:space="preserve"> الديني. </w:t>
      </w:r>
    </w:p>
    <w:p w:rsidR="007C76F0" w:rsidRPr="006571AC" w:rsidRDefault="007C76F0" w:rsidP="00F22B89">
      <w:pPr>
        <w:rPr>
          <w:sz w:val="27"/>
          <w:rtl/>
        </w:rPr>
      </w:pPr>
      <w:r w:rsidRPr="006571AC">
        <w:rPr>
          <w:sz w:val="27"/>
          <w:rtl/>
        </w:rPr>
        <w:t xml:space="preserve"> </w:t>
      </w:r>
      <w:r w:rsidR="006256AB" w:rsidRPr="006571AC">
        <w:rPr>
          <w:rFonts w:hint="cs"/>
          <w:sz w:val="27"/>
          <w:rtl/>
        </w:rPr>
        <w:t>ومضافاً إلى ذلك</w:t>
      </w:r>
      <w:r w:rsidRPr="006571AC">
        <w:rPr>
          <w:sz w:val="27"/>
          <w:rtl/>
        </w:rPr>
        <w:t xml:space="preserve"> </w:t>
      </w:r>
      <w:r w:rsidR="006256AB" w:rsidRPr="006571AC">
        <w:rPr>
          <w:sz w:val="27"/>
          <w:rtl/>
        </w:rPr>
        <w:t>هناك قِوى</w:t>
      </w:r>
      <w:r w:rsidR="006256AB" w:rsidRPr="006571AC">
        <w:rPr>
          <w:rFonts w:hint="cs"/>
          <w:sz w:val="27"/>
          <w:rtl/>
        </w:rPr>
        <w:t>ً</w:t>
      </w:r>
      <w:r w:rsidRPr="006571AC">
        <w:rPr>
          <w:sz w:val="27"/>
          <w:rtl/>
        </w:rPr>
        <w:t xml:space="preserve"> وتياراتٌ مخالفة للاتجاه الديني</w:t>
      </w:r>
      <w:r w:rsidR="006256AB" w:rsidRPr="006571AC">
        <w:rPr>
          <w:rFonts w:hint="cs"/>
          <w:sz w:val="27"/>
          <w:rtl/>
        </w:rPr>
        <w:t>ّ</w:t>
      </w:r>
      <w:r w:rsidR="006256AB" w:rsidRPr="006571AC">
        <w:rPr>
          <w:sz w:val="27"/>
          <w:rtl/>
        </w:rPr>
        <w:t xml:space="preserve"> تترص</w:t>
      </w:r>
      <w:r w:rsidR="00B419B8" w:rsidRPr="006571AC">
        <w:rPr>
          <w:rFonts w:hint="cs"/>
          <w:sz w:val="27"/>
          <w:rtl/>
        </w:rPr>
        <w:t>َّ</w:t>
      </w:r>
      <w:r w:rsidR="00B419B8" w:rsidRPr="006571AC">
        <w:rPr>
          <w:sz w:val="27"/>
          <w:rtl/>
        </w:rPr>
        <w:t>د ما تراه</w:t>
      </w:r>
      <w:r w:rsidR="006256AB" w:rsidRPr="006571AC">
        <w:rPr>
          <w:sz w:val="27"/>
          <w:rtl/>
        </w:rPr>
        <w:t xml:space="preserve"> أخطاء</w:t>
      </w:r>
      <w:r w:rsidR="003C4A6B" w:rsidRPr="006571AC">
        <w:rPr>
          <w:rFonts w:hint="cs"/>
          <w:sz w:val="27"/>
          <w:rtl/>
        </w:rPr>
        <w:t>ً</w:t>
      </w:r>
      <w:r w:rsidRPr="006571AC">
        <w:rPr>
          <w:sz w:val="27"/>
          <w:rtl/>
        </w:rPr>
        <w:t xml:space="preserve"> وثغراتٍ في الخطاب الديني، وتبث</w:t>
      </w:r>
      <w:r w:rsidR="006256AB" w:rsidRPr="006571AC">
        <w:rPr>
          <w:rFonts w:hint="cs"/>
          <w:sz w:val="27"/>
          <w:rtl/>
        </w:rPr>
        <w:t>ّ</w:t>
      </w:r>
      <w:r w:rsidRPr="006571AC">
        <w:rPr>
          <w:sz w:val="27"/>
          <w:rtl/>
        </w:rPr>
        <w:t>ها في المجتمع</w:t>
      </w:r>
      <w:r w:rsidR="006256AB" w:rsidRPr="006571AC">
        <w:rPr>
          <w:rFonts w:hint="cs"/>
          <w:sz w:val="27"/>
          <w:rtl/>
        </w:rPr>
        <w:t>؛</w:t>
      </w:r>
      <w:r w:rsidRPr="006571AC">
        <w:rPr>
          <w:sz w:val="27"/>
          <w:rtl/>
        </w:rPr>
        <w:t xml:space="preserve"> من أجل إضعاف تأثيره</w:t>
      </w:r>
      <w:r w:rsidR="006256AB" w:rsidRPr="006571AC">
        <w:rPr>
          <w:rFonts w:hint="cs"/>
          <w:sz w:val="27"/>
          <w:rtl/>
        </w:rPr>
        <w:t>،</w:t>
      </w:r>
      <w:r w:rsidRPr="006571AC">
        <w:rPr>
          <w:sz w:val="27"/>
          <w:rtl/>
        </w:rPr>
        <w:t xml:space="preserve"> وإضعاف ثقة الناس به، وهذا أمرٌ طبيعي</w:t>
      </w:r>
      <w:r w:rsidR="006256AB" w:rsidRPr="006571AC">
        <w:rPr>
          <w:rFonts w:hint="cs"/>
          <w:sz w:val="27"/>
          <w:rtl/>
        </w:rPr>
        <w:t>ّ</w:t>
      </w:r>
      <w:r w:rsidRPr="006571AC">
        <w:rPr>
          <w:sz w:val="27"/>
          <w:rtl/>
        </w:rPr>
        <w:t xml:space="preserve"> في ساحات الصراع والمنافسة بين التوج</w:t>
      </w:r>
      <w:r w:rsidR="003C4A6B" w:rsidRPr="006571AC">
        <w:rPr>
          <w:rFonts w:hint="cs"/>
          <w:sz w:val="27"/>
          <w:rtl/>
        </w:rPr>
        <w:t>ُّ</w:t>
      </w:r>
      <w:r w:rsidRPr="006571AC">
        <w:rPr>
          <w:sz w:val="27"/>
          <w:rtl/>
        </w:rPr>
        <w:t xml:space="preserve">هات والتيارات. </w:t>
      </w:r>
    </w:p>
    <w:p w:rsidR="00781D00" w:rsidRPr="006571AC" w:rsidRDefault="007C76F0" w:rsidP="00F22B89">
      <w:pPr>
        <w:rPr>
          <w:sz w:val="27"/>
          <w:rtl/>
        </w:rPr>
      </w:pPr>
      <w:r w:rsidRPr="006571AC">
        <w:rPr>
          <w:sz w:val="27"/>
          <w:rtl/>
        </w:rPr>
        <w:t>وأساساً فإن الخطاب الديني أداءٌ بشري في مضمونه وأسلوبه، وما دام كذلك فهو غير معصوم</w:t>
      </w:r>
      <w:r w:rsidR="006256AB" w:rsidRPr="006571AC">
        <w:rPr>
          <w:rFonts w:hint="cs"/>
          <w:sz w:val="27"/>
          <w:rtl/>
        </w:rPr>
        <w:t>ٍ</w:t>
      </w:r>
      <w:r w:rsidRPr="006571AC">
        <w:rPr>
          <w:sz w:val="27"/>
          <w:rtl/>
        </w:rPr>
        <w:t xml:space="preserve"> عن الخطأ والضعف</w:t>
      </w:r>
      <w:r w:rsidR="006256AB" w:rsidRPr="006571AC">
        <w:rPr>
          <w:rFonts w:hint="cs"/>
          <w:sz w:val="27"/>
          <w:rtl/>
        </w:rPr>
        <w:t>؛</w:t>
      </w:r>
      <w:r w:rsidRPr="006571AC">
        <w:rPr>
          <w:sz w:val="27"/>
          <w:rtl/>
        </w:rPr>
        <w:t xml:space="preserve"> لأن العصمة محصورةٌ في القرآن الكريم، والنص</w:t>
      </w:r>
      <w:r w:rsidR="006256AB" w:rsidRPr="006571AC">
        <w:rPr>
          <w:rFonts w:hint="cs"/>
          <w:sz w:val="27"/>
          <w:rtl/>
        </w:rPr>
        <w:t>ّ</w:t>
      </w:r>
      <w:r w:rsidRPr="006571AC">
        <w:rPr>
          <w:sz w:val="27"/>
          <w:rtl/>
        </w:rPr>
        <w:t xml:space="preserve"> الثابت عن المعصوم</w:t>
      </w:r>
      <w:r w:rsidR="006256AB" w:rsidRPr="006571AC">
        <w:rPr>
          <w:rFonts w:hint="cs"/>
          <w:sz w:val="27"/>
          <w:rtl/>
        </w:rPr>
        <w:t>.</w:t>
      </w:r>
      <w:r w:rsidRPr="006571AC">
        <w:rPr>
          <w:sz w:val="27"/>
          <w:rtl/>
        </w:rPr>
        <w:t xml:space="preserve"> أمّا مَن</w:t>
      </w:r>
      <w:r w:rsidR="006256AB" w:rsidRPr="006571AC">
        <w:rPr>
          <w:rFonts w:hint="cs"/>
          <w:sz w:val="27"/>
          <w:rtl/>
        </w:rPr>
        <w:t>ْ</w:t>
      </w:r>
      <w:r w:rsidRPr="006571AC">
        <w:rPr>
          <w:sz w:val="27"/>
          <w:rtl/>
        </w:rPr>
        <w:t xml:space="preserve"> ينتج الخطاب الديني فهو يجتهد، وح</w:t>
      </w:r>
      <w:r w:rsidR="006256AB" w:rsidRPr="006571AC">
        <w:rPr>
          <w:rFonts w:hint="cs"/>
          <w:sz w:val="27"/>
          <w:rtl/>
        </w:rPr>
        <w:t>َ</w:t>
      </w:r>
      <w:r w:rsidRPr="006571AC">
        <w:rPr>
          <w:sz w:val="27"/>
          <w:rtl/>
        </w:rPr>
        <w:t>س</w:t>
      </w:r>
      <w:r w:rsidR="006256AB" w:rsidRPr="006571AC">
        <w:rPr>
          <w:rFonts w:hint="cs"/>
          <w:sz w:val="27"/>
          <w:rtl/>
        </w:rPr>
        <w:t>ْ</w:t>
      </w:r>
      <w:r w:rsidRPr="006571AC">
        <w:rPr>
          <w:sz w:val="27"/>
          <w:rtl/>
        </w:rPr>
        <w:t>ب اجتهاده ورأيه يتحد</w:t>
      </w:r>
      <w:r w:rsidR="006256AB" w:rsidRPr="006571AC">
        <w:rPr>
          <w:rFonts w:hint="cs"/>
          <w:sz w:val="27"/>
          <w:rtl/>
        </w:rPr>
        <w:t>َّ</w:t>
      </w:r>
      <w:r w:rsidRPr="006571AC">
        <w:rPr>
          <w:sz w:val="27"/>
          <w:rtl/>
        </w:rPr>
        <w:t>ث ويخطُب ويكتُب، وكل</w:t>
      </w:r>
      <w:r w:rsidR="006256AB" w:rsidRPr="006571AC">
        <w:rPr>
          <w:rFonts w:hint="cs"/>
          <w:sz w:val="27"/>
          <w:rtl/>
        </w:rPr>
        <w:t>ّ</w:t>
      </w:r>
      <w:r w:rsidRPr="006571AC">
        <w:rPr>
          <w:sz w:val="27"/>
          <w:rtl/>
        </w:rPr>
        <w:t xml:space="preserve"> أدا</w:t>
      </w:r>
      <w:r w:rsidR="006256AB" w:rsidRPr="006571AC">
        <w:rPr>
          <w:rFonts w:hint="cs"/>
          <w:sz w:val="27"/>
          <w:rtl/>
        </w:rPr>
        <w:t>ئ</w:t>
      </w:r>
      <w:r w:rsidRPr="006571AC">
        <w:rPr>
          <w:sz w:val="27"/>
          <w:rtl/>
        </w:rPr>
        <w:t>ه بشري</w:t>
      </w:r>
      <w:r w:rsidR="006256AB" w:rsidRPr="006571AC">
        <w:rPr>
          <w:rFonts w:hint="cs"/>
          <w:sz w:val="27"/>
          <w:rtl/>
        </w:rPr>
        <w:t>ٌّ</w:t>
      </w:r>
      <w:r w:rsidRPr="006571AC">
        <w:rPr>
          <w:sz w:val="27"/>
          <w:rtl/>
        </w:rPr>
        <w:t xml:space="preserve"> مُعرّ</w:t>
      </w:r>
      <w:r w:rsidR="006256AB" w:rsidRPr="006571AC">
        <w:rPr>
          <w:rFonts w:hint="cs"/>
          <w:sz w:val="27"/>
          <w:rtl/>
        </w:rPr>
        <w:t>َ</w:t>
      </w:r>
      <w:r w:rsidRPr="006571AC">
        <w:rPr>
          <w:sz w:val="27"/>
          <w:rtl/>
        </w:rPr>
        <w:t>ض للنقص والخطأ، لذلك يُخطّئ العلماء بعضهم بعضاً في مختلف المسائل العَق</w:t>
      </w:r>
      <w:r w:rsidR="006256AB" w:rsidRPr="006571AC">
        <w:rPr>
          <w:rFonts w:hint="cs"/>
          <w:sz w:val="27"/>
          <w:rtl/>
        </w:rPr>
        <w:t>ْ</w:t>
      </w:r>
      <w:r w:rsidR="00781D00" w:rsidRPr="006571AC">
        <w:rPr>
          <w:sz w:val="27"/>
          <w:rtl/>
        </w:rPr>
        <w:t>دية والفقهية.</w:t>
      </w:r>
    </w:p>
    <w:p w:rsidR="00781D00" w:rsidRPr="006571AC" w:rsidRDefault="007C76F0" w:rsidP="00F22B89">
      <w:pPr>
        <w:rPr>
          <w:sz w:val="27"/>
          <w:rtl/>
        </w:rPr>
      </w:pPr>
      <w:r w:rsidRPr="006571AC">
        <w:rPr>
          <w:sz w:val="27"/>
          <w:rtl/>
        </w:rPr>
        <w:t>ومن الأمثلة على ذلك</w:t>
      </w:r>
      <w:r w:rsidR="006256AB" w:rsidRPr="006571AC">
        <w:rPr>
          <w:rFonts w:hint="cs"/>
          <w:sz w:val="27"/>
          <w:rtl/>
        </w:rPr>
        <w:t>:</w:t>
      </w:r>
      <w:r w:rsidRPr="006571AC">
        <w:rPr>
          <w:sz w:val="27"/>
          <w:rtl/>
        </w:rPr>
        <w:t xml:space="preserve"> نجد </w:t>
      </w:r>
      <w:r w:rsidR="006256AB" w:rsidRPr="006571AC">
        <w:rPr>
          <w:rFonts w:hint="cs"/>
          <w:sz w:val="27"/>
          <w:rtl/>
        </w:rPr>
        <w:t>أ</w:t>
      </w:r>
      <w:r w:rsidRPr="006571AC">
        <w:rPr>
          <w:sz w:val="27"/>
          <w:rtl/>
        </w:rPr>
        <w:t>ن الشيخ المفيد رأى عدم صحة رأي الشيخ الصدوق في ثلاث وأربعين مسألة ع</w:t>
      </w:r>
      <w:r w:rsidR="006256AB" w:rsidRPr="006571AC">
        <w:rPr>
          <w:rFonts w:hint="cs"/>
          <w:sz w:val="27"/>
          <w:rtl/>
        </w:rPr>
        <w:t>َ</w:t>
      </w:r>
      <w:r w:rsidRPr="006571AC">
        <w:rPr>
          <w:sz w:val="27"/>
          <w:rtl/>
        </w:rPr>
        <w:t>ق</w:t>
      </w:r>
      <w:r w:rsidR="006256AB" w:rsidRPr="006571AC">
        <w:rPr>
          <w:rFonts w:hint="cs"/>
          <w:sz w:val="27"/>
          <w:rtl/>
        </w:rPr>
        <w:t>ْ</w:t>
      </w:r>
      <w:r w:rsidRPr="006571AC">
        <w:rPr>
          <w:sz w:val="27"/>
          <w:rtl/>
        </w:rPr>
        <w:t xml:space="preserve">دية، ذكرها في كتابه </w:t>
      </w:r>
      <w:r w:rsidRPr="006571AC">
        <w:rPr>
          <w:rFonts w:hint="eastAsia"/>
          <w:sz w:val="24"/>
          <w:szCs w:val="24"/>
          <w:rtl/>
        </w:rPr>
        <w:t>«</w:t>
      </w:r>
      <w:r w:rsidRPr="006571AC">
        <w:rPr>
          <w:sz w:val="27"/>
          <w:rtl/>
        </w:rPr>
        <w:t>الاعتقاد</w:t>
      </w:r>
      <w:r w:rsidRPr="006571AC">
        <w:rPr>
          <w:rFonts w:hint="eastAsia"/>
          <w:sz w:val="24"/>
          <w:szCs w:val="24"/>
          <w:rtl/>
        </w:rPr>
        <w:t>»</w:t>
      </w:r>
      <w:r w:rsidRPr="006571AC">
        <w:rPr>
          <w:sz w:val="27"/>
          <w:rtl/>
        </w:rPr>
        <w:t xml:space="preserve">، فكتب المفيد كتاباً بعنوان </w:t>
      </w:r>
      <w:r w:rsidRPr="006571AC">
        <w:rPr>
          <w:rFonts w:hint="eastAsia"/>
          <w:sz w:val="24"/>
          <w:szCs w:val="24"/>
          <w:rtl/>
        </w:rPr>
        <w:t>«</w:t>
      </w:r>
      <w:r w:rsidRPr="006571AC">
        <w:rPr>
          <w:sz w:val="27"/>
          <w:rtl/>
        </w:rPr>
        <w:t>تصحيح الاعتقاد</w:t>
      </w:r>
      <w:r w:rsidRPr="006571AC">
        <w:rPr>
          <w:rFonts w:hint="eastAsia"/>
          <w:sz w:val="24"/>
          <w:szCs w:val="24"/>
          <w:rtl/>
        </w:rPr>
        <w:t>»</w:t>
      </w:r>
      <w:r w:rsidR="006256AB" w:rsidRPr="006571AC">
        <w:rPr>
          <w:rFonts w:hint="cs"/>
          <w:sz w:val="27"/>
          <w:rtl/>
        </w:rPr>
        <w:t>.</w:t>
      </w:r>
    </w:p>
    <w:p w:rsidR="00781D00" w:rsidRPr="006571AC" w:rsidRDefault="007C76F0" w:rsidP="00F22B89">
      <w:pPr>
        <w:rPr>
          <w:sz w:val="27"/>
          <w:rtl/>
        </w:rPr>
      </w:pPr>
      <w:r w:rsidRPr="006571AC">
        <w:rPr>
          <w:sz w:val="27"/>
          <w:rtl/>
        </w:rPr>
        <w:t xml:space="preserve">ونجد ذلك أيضاً في تعليقات الفقهاء على كتب الفتاوى الفقهية، ككتاب </w:t>
      </w:r>
      <w:r w:rsidRPr="006571AC">
        <w:rPr>
          <w:rFonts w:hint="eastAsia"/>
          <w:sz w:val="24"/>
          <w:szCs w:val="24"/>
          <w:rtl/>
        </w:rPr>
        <w:t>«</w:t>
      </w:r>
      <w:r w:rsidRPr="006571AC">
        <w:rPr>
          <w:sz w:val="27"/>
          <w:rtl/>
        </w:rPr>
        <w:t>العروة الوثقى</w:t>
      </w:r>
      <w:r w:rsidRPr="006571AC">
        <w:rPr>
          <w:rFonts w:hint="eastAsia"/>
          <w:sz w:val="24"/>
          <w:szCs w:val="24"/>
          <w:rtl/>
        </w:rPr>
        <w:t>»</w:t>
      </w:r>
      <w:r w:rsidR="006256AB" w:rsidRPr="006571AC">
        <w:rPr>
          <w:rFonts w:hint="cs"/>
          <w:sz w:val="27"/>
          <w:rtl/>
        </w:rPr>
        <w:t>،</w:t>
      </w:r>
      <w:r w:rsidRPr="006571AC">
        <w:rPr>
          <w:sz w:val="27"/>
          <w:rtl/>
        </w:rPr>
        <w:t xml:space="preserve"> وهي فتاوى السيد محمد كاظم اليزدي، حيث يسج</w:t>
      </w:r>
      <w:r w:rsidR="006256AB" w:rsidRPr="006571AC">
        <w:rPr>
          <w:rFonts w:hint="cs"/>
          <w:sz w:val="27"/>
          <w:rtl/>
        </w:rPr>
        <w:t>ِّ</w:t>
      </w:r>
      <w:r w:rsidRPr="006571AC">
        <w:rPr>
          <w:sz w:val="27"/>
          <w:rtl/>
        </w:rPr>
        <w:t>ل كل</w:t>
      </w:r>
      <w:r w:rsidR="006256AB" w:rsidRPr="006571AC">
        <w:rPr>
          <w:rFonts w:hint="cs"/>
          <w:sz w:val="27"/>
          <w:rtl/>
        </w:rPr>
        <w:t>ّ</w:t>
      </w:r>
      <w:r w:rsidRPr="006571AC">
        <w:rPr>
          <w:sz w:val="27"/>
          <w:rtl/>
        </w:rPr>
        <w:t xml:space="preserve"> فقيه</w:t>
      </w:r>
      <w:r w:rsidR="006256AB" w:rsidRPr="006571AC">
        <w:rPr>
          <w:rFonts w:hint="cs"/>
          <w:sz w:val="27"/>
          <w:rtl/>
        </w:rPr>
        <w:t>ٍ</w:t>
      </w:r>
      <w:r w:rsidRPr="006571AC">
        <w:rPr>
          <w:sz w:val="27"/>
          <w:rtl/>
        </w:rPr>
        <w:t xml:space="preserve"> في حاشيته على الكتاب موارد مخالفته لآراء السيد اليزدي، بمعنى عدم تصويبه لتلك الآراء، و</w:t>
      </w:r>
      <w:r w:rsidR="006256AB" w:rsidRPr="006571AC">
        <w:rPr>
          <w:rFonts w:hint="cs"/>
          <w:sz w:val="27"/>
          <w:rtl/>
        </w:rPr>
        <w:t>إ</w:t>
      </w:r>
      <w:r w:rsidRPr="006571AC">
        <w:rPr>
          <w:sz w:val="27"/>
          <w:rtl/>
        </w:rPr>
        <w:t>ن</w:t>
      </w:r>
      <w:r w:rsidR="006256AB" w:rsidRPr="006571AC">
        <w:rPr>
          <w:rFonts w:hint="cs"/>
          <w:sz w:val="27"/>
          <w:rtl/>
        </w:rPr>
        <w:t>ْ</w:t>
      </w:r>
      <w:r w:rsidRPr="006571AC">
        <w:rPr>
          <w:sz w:val="27"/>
          <w:rtl/>
        </w:rPr>
        <w:t xml:space="preserve"> كان كل</w:t>
      </w:r>
      <w:r w:rsidR="006256AB" w:rsidRPr="006571AC">
        <w:rPr>
          <w:rFonts w:hint="cs"/>
          <w:sz w:val="27"/>
          <w:rtl/>
        </w:rPr>
        <w:t>ّ</w:t>
      </w:r>
      <w:r w:rsidRPr="006571AC">
        <w:rPr>
          <w:sz w:val="27"/>
          <w:rtl/>
        </w:rPr>
        <w:t xml:space="preserve"> فقيه</w:t>
      </w:r>
      <w:r w:rsidR="006256AB" w:rsidRPr="006571AC">
        <w:rPr>
          <w:rFonts w:hint="cs"/>
          <w:sz w:val="27"/>
          <w:rtl/>
        </w:rPr>
        <w:t>ٍ</w:t>
      </w:r>
      <w:r w:rsidRPr="006571AC">
        <w:rPr>
          <w:sz w:val="27"/>
          <w:rtl/>
        </w:rPr>
        <w:t xml:space="preserve"> معذوراً في</w:t>
      </w:r>
      <w:r w:rsidR="006256AB" w:rsidRPr="006571AC">
        <w:rPr>
          <w:rFonts w:hint="cs"/>
          <w:sz w:val="27"/>
          <w:rtl/>
        </w:rPr>
        <w:t xml:space="preserve"> </w:t>
      </w:r>
      <w:r w:rsidRPr="006571AC">
        <w:rPr>
          <w:sz w:val="27"/>
          <w:rtl/>
        </w:rPr>
        <w:t>ما يذهب إليه</w:t>
      </w:r>
      <w:r w:rsidR="006256AB" w:rsidRPr="006571AC">
        <w:rPr>
          <w:rFonts w:hint="cs"/>
          <w:sz w:val="27"/>
          <w:rtl/>
        </w:rPr>
        <w:t>؛</w:t>
      </w:r>
      <w:r w:rsidR="00781D00" w:rsidRPr="006571AC">
        <w:rPr>
          <w:sz w:val="27"/>
          <w:rtl/>
        </w:rPr>
        <w:t xml:space="preserve"> انطلاقاً من مشروعية الاجتهاد.</w:t>
      </w:r>
    </w:p>
    <w:p w:rsidR="007C76F0" w:rsidRPr="006571AC" w:rsidRDefault="007C76F0" w:rsidP="003C4A6B">
      <w:pPr>
        <w:rPr>
          <w:sz w:val="27"/>
          <w:rtl/>
        </w:rPr>
      </w:pPr>
      <w:r w:rsidRPr="006571AC">
        <w:rPr>
          <w:sz w:val="27"/>
          <w:rtl/>
        </w:rPr>
        <w:t>بل قد يكتشف الفقيه أنه كان مخطئاً في رأيه الع</w:t>
      </w:r>
      <w:r w:rsidR="006256AB" w:rsidRPr="006571AC">
        <w:rPr>
          <w:rFonts w:hint="cs"/>
          <w:sz w:val="27"/>
          <w:rtl/>
        </w:rPr>
        <w:t>َ</w:t>
      </w:r>
      <w:r w:rsidRPr="006571AC">
        <w:rPr>
          <w:sz w:val="27"/>
          <w:rtl/>
        </w:rPr>
        <w:t>ق</w:t>
      </w:r>
      <w:r w:rsidR="006256AB" w:rsidRPr="006571AC">
        <w:rPr>
          <w:rFonts w:hint="cs"/>
          <w:sz w:val="27"/>
          <w:rtl/>
        </w:rPr>
        <w:t>ْ</w:t>
      </w:r>
      <w:r w:rsidRPr="006571AC">
        <w:rPr>
          <w:sz w:val="27"/>
          <w:rtl/>
        </w:rPr>
        <w:t xml:space="preserve">دي أو الفقهي فيعدل عنه </w:t>
      </w:r>
      <w:r w:rsidR="003C4A6B" w:rsidRPr="006571AC">
        <w:rPr>
          <w:rFonts w:hint="cs"/>
          <w:sz w:val="27"/>
          <w:rtl/>
        </w:rPr>
        <w:t>إ</w:t>
      </w:r>
      <w:r w:rsidRPr="006571AC">
        <w:rPr>
          <w:sz w:val="27"/>
          <w:rtl/>
        </w:rPr>
        <w:t xml:space="preserve">لى رأي جديد. </w:t>
      </w:r>
    </w:p>
    <w:p w:rsidR="007C76F0" w:rsidRPr="006571AC" w:rsidRDefault="00781D00" w:rsidP="003C4A6B">
      <w:pPr>
        <w:rPr>
          <w:sz w:val="27"/>
        </w:rPr>
      </w:pPr>
      <w:r w:rsidRPr="006571AC">
        <w:rPr>
          <w:rFonts w:hint="cs"/>
          <w:sz w:val="27"/>
          <w:rtl/>
        </w:rPr>
        <w:t>و</w:t>
      </w:r>
      <w:r w:rsidR="007C76F0" w:rsidRPr="006571AC">
        <w:rPr>
          <w:sz w:val="27"/>
          <w:rtl/>
        </w:rPr>
        <w:t xml:space="preserve">من جهةٍ أخرى، وبعيداً عن مسألة الخطأ والصواب، فإن الخطاب الديني بحاجةٍ </w:t>
      </w:r>
      <w:r w:rsidR="003C4A6B" w:rsidRPr="006571AC">
        <w:rPr>
          <w:rFonts w:hint="cs"/>
          <w:sz w:val="27"/>
          <w:rtl/>
        </w:rPr>
        <w:t>إ</w:t>
      </w:r>
      <w:r w:rsidR="007C76F0" w:rsidRPr="006571AC">
        <w:rPr>
          <w:sz w:val="27"/>
          <w:rtl/>
        </w:rPr>
        <w:t xml:space="preserve">لى التطوير ومواكبة التغيرات الثقافية والاجتماعية، خصوصاً مع تطوّر الحياة </w:t>
      </w:r>
      <w:r w:rsidR="007C76F0" w:rsidRPr="006571AC">
        <w:rPr>
          <w:sz w:val="27"/>
          <w:rtl/>
        </w:rPr>
        <w:lastRenderedPageBreak/>
        <w:t>وتقدُّم العلم</w:t>
      </w:r>
      <w:r w:rsidRPr="006571AC">
        <w:rPr>
          <w:rFonts w:hint="cs"/>
          <w:sz w:val="27"/>
          <w:rtl/>
        </w:rPr>
        <w:t>،</w:t>
      </w:r>
      <w:r w:rsidR="007C76F0" w:rsidRPr="006571AC">
        <w:rPr>
          <w:sz w:val="27"/>
          <w:rtl/>
        </w:rPr>
        <w:t xml:space="preserve"> وبالنقد والتقويم يحصل التطوير والتغيير، فقد يكون خطاب</w:t>
      </w:r>
      <w:r w:rsidRPr="006571AC">
        <w:rPr>
          <w:rFonts w:hint="cs"/>
          <w:sz w:val="27"/>
          <w:rtl/>
        </w:rPr>
        <w:t>ٌ</w:t>
      </w:r>
      <w:r w:rsidR="007C76F0" w:rsidRPr="006571AC">
        <w:rPr>
          <w:sz w:val="27"/>
          <w:rtl/>
        </w:rPr>
        <w:t xml:space="preserve"> ديني صحيحاً ومناسباً في وقتٍ من الأوقات وزمنٍ من الأزمنة، إلا</w:t>
      </w:r>
      <w:r w:rsidRPr="006571AC">
        <w:rPr>
          <w:rFonts w:hint="cs"/>
          <w:sz w:val="27"/>
          <w:rtl/>
        </w:rPr>
        <w:t>ّ</w:t>
      </w:r>
      <w:r w:rsidRPr="006571AC">
        <w:rPr>
          <w:sz w:val="27"/>
          <w:rtl/>
        </w:rPr>
        <w:t xml:space="preserve"> أنه قد لا يكون</w:t>
      </w:r>
      <w:r w:rsidR="007C76F0" w:rsidRPr="006571AC">
        <w:rPr>
          <w:sz w:val="27"/>
          <w:rtl/>
        </w:rPr>
        <w:t xml:space="preserve"> كذلك في زمنٍ آخر</w:t>
      </w:r>
      <w:r w:rsidRPr="006571AC">
        <w:rPr>
          <w:rFonts w:hint="cs"/>
          <w:sz w:val="27"/>
          <w:rtl/>
        </w:rPr>
        <w:t>؛</w:t>
      </w:r>
      <w:r w:rsidR="007C76F0" w:rsidRPr="006571AC">
        <w:rPr>
          <w:sz w:val="27"/>
          <w:rtl/>
        </w:rPr>
        <w:t xml:space="preserve"> نظراً لحصول تطوّ</w:t>
      </w:r>
      <w:r w:rsidR="003C4A6B" w:rsidRPr="006571AC">
        <w:rPr>
          <w:rFonts w:hint="cs"/>
          <w:sz w:val="27"/>
          <w:rtl/>
        </w:rPr>
        <w:t>ُ</w:t>
      </w:r>
      <w:r w:rsidR="007C76F0" w:rsidRPr="006571AC">
        <w:rPr>
          <w:sz w:val="27"/>
          <w:rtl/>
        </w:rPr>
        <w:t xml:space="preserve">ر وتغيير في الواقع الاجتماعي. </w:t>
      </w:r>
    </w:p>
    <w:p w:rsidR="007C76F0" w:rsidRPr="006571AC" w:rsidRDefault="007C76F0" w:rsidP="00F22B89">
      <w:pPr>
        <w:rPr>
          <w:sz w:val="27"/>
          <w:rtl/>
        </w:rPr>
      </w:pPr>
      <w:r w:rsidRPr="006571AC">
        <w:rPr>
          <w:sz w:val="27"/>
          <w:rtl/>
        </w:rPr>
        <w:t>ويشير الشيخ مرتضى مطهري إلى ملاحظة</w:t>
      </w:r>
      <w:r w:rsidR="00781D00" w:rsidRPr="006571AC">
        <w:rPr>
          <w:rFonts w:hint="cs"/>
          <w:sz w:val="27"/>
          <w:rtl/>
        </w:rPr>
        <w:t>ٍ</w:t>
      </w:r>
      <w:r w:rsidRPr="006571AC">
        <w:rPr>
          <w:sz w:val="27"/>
          <w:rtl/>
        </w:rPr>
        <w:t xml:space="preserve"> مهم</w:t>
      </w:r>
      <w:r w:rsidR="00781D00" w:rsidRPr="006571AC">
        <w:rPr>
          <w:rFonts w:hint="cs"/>
          <w:sz w:val="27"/>
          <w:rtl/>
        </w:rPr>
        <w:t>ّ</w:t>
      </w:r>
      <w:r w:rsidRPr="006571AC">
        <w:rPr>
          <w:sz w:val="27"/>
          <w:rtl/>
        </w:rPr>
        <w:t>ة</w:t>
      </w:r>
      <w:r w:rsidR="00781D00" w:rsidRPr="006571AC">
        <w:rPr>
          <w:rFonts w:hint="cs"/>
          <w:sz w:val="27"/>
          <w:rtl/>
        </w:rPr>
        <w:t>؛</w:t>
      </w:r>
      <w:r w:rsidR="00781D00" w:rsidRPr="006571AC">
        <w:rPr>
          <w:sz w:val="27"/>
          <w:rtl/>
        </w:rPr>
        <w:t xml:space="preserve"> إذ يقول في أحد كتب</w:t>
      </w:r>
      <w:r w:rsidRPr="006571AC">
        <w:rPr>
          <w:sz w:val="27"/>
          <w:rtl/>
        </w:rPr>
        <w:t xml:space="preserve">ه: </w:t>
      </w:r>
      <w:r w:rsidRPr="006571AC">
        <w:rPr>
          <w:rFonts w:hint="eastAsia"/>
          <w:sz w:val="24"/>
          <w:szCs w:val="24"/>
          <w:rtl/>
        </w:rPr>
        <w:t>«</w:t>
      </w:r>
      <w:r w:rsidRPr="006571AC">
        <w:rPr>
          <w:sz w:val="27"/>
          <w:rtl/>
        </w:rPr>
        <w:t>قد يكون شيء</w:t>
      </w:r>
      <w:r w:rsidR="00781D00" w:rsidRPr="006571AC">
        <w:rPr>
          <w:rFonts w:hint="cs"/>
          <w:sz w:val="27"/>
          <w:rtl/>
        </w:rPr>
        <w:t>ٌ</w:t>
      </w:r>
      <w:r w:rsidRPr="006571AC">
        <w:rPr>
          <w:sz w:val="27"/>
          <w:rtl/>
        </w:rPr>
        <w:t xml:space="preserve"> ما وسيلة</w:t>
      </w:r>
      <w:r w:rsidR="00781D00" w:rsidRPr="006571AC">
        <w:rPr>
          <w:rFonts w:hint="cs"/>
          <w:sz w:val="27"/>
          <w:rtl/>
        </w:rPr>
        <w:t>ً</w:t>
      </w:r>
      <w:r w:rsidRPr="006571AC">
        <w:rPr>
          <w:sz w:val="27"/>
          <w:rtl/>
        </w:rPr>
        <w:t xml:space="preserve"> للهداية، ثم</w:t>
      </w:r>
      <w:r w:rsidR="00781D00" w:rsidRPr="006571AC">
        <w:rPr>
          <w:rFonts w:hint="cs"/>
          <w:sz w:val="27"/>
          <w:rtl/>
        </w:rPr>
        <w:t>ّ</w:t>
      </w:r>
      <w:r w:rsidRPr="006571AC">
        <w:rPr>
          <w:sz w:val="27"/>
          <w:rtl/>
        </w:rPr>
        <w:t xml:space="preserve"> قد يصبح الشيء نفسه في مكان</w:t>
      </w:r>
      <w:r w:rsidR="00781D00" w:rsidRPr="006571AC">
        <w:rPr>
          <w:rFonts w:hint="cs"/>
          <w:sz w:val="27"/>
          <w:rtl/>
        </w:rPr>
        <w:t>ٍ</w:t>
      </w:r>
      <w:r w:rsidRPr="006571AC">
        <w:rPr>
          <w:sz w:val="27"/>
          <w:rtl/>
        </w:rPr>
        <w:t xml:space="preserve"> آخر وسيلة</w:t>
      </w:r>
      <w:r w:rsidR="00781D00" w:rsidRPr="006571AC">
        <w:rPr>
          <w:rFonts w:hint="cs"/>
          <w:sz w:val="27"/>
          <w:rtl/>
        </w:rPr>
        <w:t>ً</w:t>
      </w:r>
      <w:r w:rsidRPr="006571AC">
        <w:rPr>
          <w:sz w:val="27"/>
          <w:rtl/>
        </w:rPr>
        <w:t xml:space="preserve"> للضلالة والضياع. إن المنطق الذي جعل امرأة</w:t>
      </w:r>
      <w:r w:rsidR="00781D00" w:rsidRPr="006571AC">
        <w:rPr>
          <w:rFonts w:hint="cs"/>
          <w:sz w:val="27"/>
          <w:rtl/>
        </w:rPr>
        <w:t>ً</w:t>
      </w:r>
      <w:r w:rsidR="00781D00" w:rsidRPr="006571AC">
        <w:rPr>
          <w:sz w:val="27"/>
          <w:rtl/>
        </w:rPr>
        <w:t xml:space="preserve"> مؤمنة</w:t>
      </w:r>
      <w:r w:rsidR="00781D00" w:rsidRPr="006571AC">
        <w:rPr>
          <w:rFonts w:hint="cs"/>
          <w:sz w:val="27"/>
          <w:rtl/>
        </w:rPr>
        <w:t>ً</w:t>
      </w:r>
      <w:r w:rsidRPr="006571AC">
        <w:rPr>
          <w:sz w:val="27"/>
          <w:rtl/>
        </w:rPr>
        <w:t xml:space="preserve"> قد يُض</w:t>
      </w:r>
      <w:r w:rsidR="00781D00" w:rsidRPr="006571AC">
        <w:rPr>
          <w:rFonts w:hint="cs"/>
          <w:sz w:val="27"/>
          <w:rtl/>
        </w:rPr>
        <w:t>ِ</w:t>
      </w:r>
      <w:r w:rsidRPr="006571AC">
        <w:rPr>
          <w:sz w:val="27"/>
          <w:rtl/>
        </w:rPr>
        <w:t>لّ</w:t>
      </w:r>
      <w:r w:rsidR="00781D00" w:rsidRPr="006571AC">
        <w:rPr>
          <w:rFonts w:hint="cs"/>
          <w:sz w:val="27"/>
          <w:rtl/>
        </w:rPr>
        <w:t>ُ</w:t>
      </w:r>
      <w:r w:rsidRPr="006571AC">
        <w:rPr>
          <w:sz w:val="27"/>
          <w:rtl/>
        </w:rPr>
        <w:t xml:space="preserve"> المثق</w:t>
      </w:r>
      <w:r w:rsidR="00781D00" w:rsidRPr="006571AC">
        <w:rPr>
          <w:rFonts w:hint="cs"/>
          <w:sz w:val="27"/>
          <w:rtl/>
        </w:rPr>
        <w:t>َّ</w:t>
      </w:r>
      <w:r w:rsidRPr="006571AC">
        <w:rPr>
          <w:sz w:val="27"/>
          <w:rtl/>
        </w:rPr>
        <w:t>ف، ور</w:t>
      </w:r>
      <w:r w:rsidR="00781D00" w:rsidRPr="006571AC">
        <w:rPr>
          <w:rFonts w:hint="cs"/>
          <w:sz w:val="27"/>
          <w:rtl/>
        </w:rPr>
        <w:t>ُ</w:t>
      </w:r>
      <w:r w:rsidRPr="006571AC">
        <w:rPr>
          <w:sz w:val="27"/>
          <w:rtl/>
        </w:rPr>
        <w:t>بّ</w:t>
      </w:r>
      <w:r w:rsidR="00781D00" w:rsidRPr="006571AC">
        <w:rPr>
          <w:rFonts w:hint="cs"/>
          <w:sz w:val="27"/>
          <w:rtl/>
        </w:rPr>
        <w:t>َ</w:t>
      </w:r>
      <w:r w:rsidRPr="006571AC">
        <w:rPr>
          <w:sz w:val="27"/>
          <w:rtl/>
        </w:rPr>
        <w:t xml:space="preserve"> كتاب</w:t>
      </w:r>
      <w:r w:rsidR="00781D00" w:rsidRPr="006571AC">
        <w:rPr>
          <w:rFonts w:hint="cs"/>
          <w:sz w:val="27"/>
          <w:rtl/>
        </w:rPr>
        <w:t>ٍ</w:t>
      </w:r>
      <w:r w:rsidR="003C4A6B" w:rsidRPr="006571AC">
        <w:rPr>
          <w:sz w:val="27"/>
          <w:rtl/>
        </w:rPr>
        <w:t xml:space="preserve"> متناسق مع ذوق عص</w:t>
      </w:r>
      <w:r w:rsidR="003C4A6B" w:rsidRPr="006571AC">
        <w:rPr>
          <w:rFonts w:hint="cs"/>
          <w:sz w:val="27"/>
          <w:rtl/>
        </w:rPr>
        <w:t>رٍ</w:t>
      </w:r>
      <w:r w:rsidRPr="006571AC">
        <w:rPr>
          <w:sz w:val="27"/>
          <w:rtl/>
        </w:rPr>
        <w:t xml:space="preserve"> من العصور، ومنسجم</w:t>
      </w:r>
      <w:r w:rsidR="00781D00" w:rsidRPr="006571AC">
        <w:rPr>
          <w:rFonts w:hint="cs"/>
          <w:sz w:val="27"/>
          <w:rtl/>
        </w:rPr>
        <w:t>ٍ</w:t>
      </w:r>
      <w:r w:rsidRPr="006571AC">
        <w:rPr>
          <w:sz w:val="27"/>
          <w:rtl/>
        </w:rPr>
        <w:t xml:space="preserve"> مع مستواه الفكري، كان وسيلة</w:t>
      </w:r>
      <w:r w:rsidR="00781D00" w:rsidRPr="006571AC">
        <w:rPr>
          <w:rFonts w:hint="cs"/>
          <w:sz w:val="27"/>
          <w:rtl/>
        </w:rPr>
        <w:t>ً</w:t>
      </w:r>
      <w:r w:rsidRPr="006571AC">
        <w:rPr>
          <w:sz w:val="27"/>
          <w:rtl/>
        </w:rPr>
        <w:t xml:space="preserve"> في حينه لهداية الناس، ثم</w:t>
      </w:r>
      <w:r w:rsidR="00781D00" w:rsidRPr="006571AC">
        <w:rPr>
          <w:rFonts w:hint="cs"/>
          <w:sz w:val="27"/>
          <w:rtl/>
        </w:rPr>
        <w:t>ّ</w:t>
      </w:r>
      <w:r w:rsidRPr="006571AC">
        <w:rPr>
          <w:sz w:val="27"/>
          <w:rtl/>
        </w:rPr>
        <w:t xml:space="preserve"> كان في وقت</w:t>
      </w:r>
      <w:r w:rsidR="00781D00" w:rsidRPr="006571AC">
        <w:rPr>
          <w:rFonts w:hint="cs"/>
          <w:sz w:val="27"/>
          <w:rtl/>
        </w:rPr>
        <w:t>ٍ</w:t>
      </w:r>
      <w:r w:rsidRPr="006571AC">
        <w:rPr>
          <w:sz w:val="27"/>
          <w:rtl/>
        </w:rPr>
        <w:t xml:space="preserve"> آخر سبباً لضلالهم</w:t>
      </w:r>
      <w:r w:rsidR="00781D00" w:rsidRPr="006571AC">
        <w:rPr>
          <w:rFonts w:hint="cs"/>
          <w:sz w:val="27"/>
          <w:rtl/>
        </w:rPr>
        <w:t>.</w:t>
      </w:r>
      <w:r w:rsidRPr="006571AC">
        <w:rPr>
          <w:sz w:val="27"/>
          <w:rtl/>
        </w:rPr>
        <w:t xml:space="preserve"> لدينا كتب سبق لها أن أدَّت</w:t>
      </w:r>
      <w:r w:rsidR="00781D00" w:rsidRPr="006571AC">
        <w:rPr>
          <w:rFonts w:hint="cs"/>
          <w:sz w:val="27"/>
          <w:rtl/>
        </w:rPr>
        <w:t>ْ</w:t>
      </w:r>
      <w:r w:rsidRPr="006571AC">
        <w:rPr>
          <w:sz w:val="27"/>
          <w:rtl/>
        </w:rPr>
        <w:t xml:space="preserve"> وظيفتها في الماضي، وأرشد</w:t>
      </w:r>
      <w:r w:rsidR="00781D00" w:rsidRPr="006571AC">
        <w:rPr>
          <w:rFonts w:hint="cs"/>
          <w:sz w:val="27"/>
          <w:rtl/>
        </w:rPr>
        <w:t>َ</w:t>
      </w:r>
      <w:r w:rsidRPr="006571AC">
        <w:rPr>
          <w:sz w:val="27"/>
          <w:rtl/>
        </w:rPr>
        <w:t>ت</w:t>
      </w:r>
      <w:r w:rsidR="00781D00" w:rsidRPr="006571AC">
        <w:rPr>
          <w:rFonts w:hint="cs"/>
          <w:sz w:val="27"/>
          <w:rtl/>
        </w:rPr>
        <w:t>ْ</w:t>
      </w:r>
      <w:r w:rsidRPr="006571AC">
        <w:rPr>
          <w:sz w:val="27"/>
          <w:rtl/>
        </w:rPr>
        <w:t xml:space="preserve"> إلى سبيل الهداية آلاف الناس</w:t>
      </w:r>
      <w:r w:rsidR="00781D00" w:rsidRPr="006571AC">
        <w:rPr>
          <w:rFonts w:hint="cs"/>
          <w:sz w:val="27"/>
          <w:rtl/>
        </w:rPr>
        <w:t>؛</w:t>
      </w:r>
      <w:r w:rsidRPr="006571AC">
        <w:rPr>
          <w:sz w:val="27"/>
          <w:rtl/>
        </w:rPr>
        <w:t xml:space="preserve"> إلا</w:t>
      </w:r>
      <w:r w:rsidR="00781D00" w:rsidRPr="006571AC">
        <w:rPr>
          <w:rFonts w:hint="cs"/>
          <w:sz w:val="27"/>
          <w:rtl/>
        </w:rPr>
        <w:t>ّ</w:t>
      </w:r>
      <w:r w:rsidRPr="006571AC">
        <w:rPr>
          <w:sz w:val="27"/>
          <w:rtl/>
        </w:rPr>
        <w:t xml:space="preserve"> أن هذه الكتب نفسها</w:t>
      </w:r>
      <w:r w:rsidR="00781D00" w:rsidRPr="006571AC">
        <w:rPr>
          <w:rFonts w:hint="cs"/>
          <w:sz w:val="27"/>
          <w:rtl/>
        </w:rPr>
        <w:t>،</w:t>
      </w:r>
      <w:r w:rsidRPr="006571AC">
        <w:rPr>
          <w:sz w:val="27"/>
          <w:rtl/>
        </w:rPr>
        <w:t xml:space="preserve"> فضلاً عن كونها لم تع</w:t>
      </w:r>
      <w:r w:rsidR="00781D00" w:rsidRPr="006571AC">
        <w:rPr>
          <w:rFonts w:hint="cs"/>
          <w:sz w:val="27"/>
          <w:rtl/>
        </w:rPr>
        <w:t>ُ</w:t>
      </w:r>
      <w:r w:rsidRPr="006571AC">
        <w:rPr>
          <w:sz w:val="27"/>
          <w:rtl/>
        </w:rPr>
        <w:t>د</w:t>
      </w:r>
      <w:r w:rsidR="00781D00" w:rsidRPr="006571AC">
        <w:rPr>
          <w:rFonts w:hint="cs"/>
          <w:sz w:val="27"/>
          <w:rtl/>
        </w:rPr>
        <w:t>ْ</w:t>
      </w:r>
      <w:r w:rsidRPr="006571AC">
        <w:rPr>
          <w:sz w:val="27"/>
          <w:rtl/>
        </w:rPr>
        <w:t xml:space="preserve"> تهدي أحداً، فإنها أصبح</w:t>
      </w:r>
      <w:r w:rsidR="00781D00" w:rsidRPr="006571AC">
        <w:rPr>
          <w:rFonts w:hint="cs"/>
          <w:sz w:val="27"/>
          <w:rtl/>
        </w:rPr>
        <w:t>َ</w:t>
      </w:r>
      <w:r w:rsidRPr="006571AC">
        <w:rPr>
          <w:sz w:val="27"/>
          <w:rtl/>
        </w:rPr>
        <w:t>ت</w:t>
      </w:r>
      <w:r w:rsidR="00781D00" w:rsidRPr="006571AC">
        <w:rPr>
          <w:rFonts w:hint="cs"/>
          <w:sz w:val="27"/>
          <w:rtl/>
        </w:rPr>
        <w:t>ْ</w:t>
      </w:r>
      <w:r w:rsidRPr="006571AC">
        <w:rPr>
          <w:sz w:val="27"/>
          <w:rtl/>
        </w:rPr>
        <w:t xml:space="preserve"> سبباً لضلال عدد</w:t>
      </w:r>
      <w:r w:rsidR="00781D00" w:rsidRPr="006571AC">
        <w:rPr>
          <w:rFonts w:hint="cs"/>
          <w:sz w:val="27"/>
          <w:rtl/>
        </w:rPr>
        <w:t>ٍ</w:t>
      </w:r>
      <w:r w:rsidRPr="006571AC">
        <w:rPr>
          <w:sz w:val="27"/>
          <w:rtl/>
        </w:rPr>
        <w:t xml:space="preserve"> من الناس وشك</w:t>
      </w:r>
      <w:r w:rsidR="00781D00" w:rsidRPr="006571AC">
        <w:rPr>
          <w:rFonts w:hint="cs"/>
          <w:sz w:val="27"/>
          <w:rtl/>
        </w:rPr>
        <w:t>ِّ</w:t>
      </w:r>
      <w:r w:rsidRPr="006571AC">
        <w:rPr>
          <w:sz w:val="27"/>
          <w:rtl/>
        </w:rPr>
        <w:t>هم وحيرتهم</w:t>
      </w:r>
      <w:r w:rsidRPr="006571AC">
        <w:rPr>
          <w:rFonts w:hint="eastAsia"/>
          <w:sz w:val="24"/>
          <w:szCs w:val="24"/>
          <w:rtl/>
        </w:rPr>
        <w:t>»</w:t>
      </w:r>
      <w:r w:rsidRPr="006571AC">
        <w:rPr>
          <w:sz w:val="27"/>
          <w:vertAlign w:val="superscript"/>
          <w:rtl/>
        </w:rPr>
        <w:t>(</w:t>
      </w:r>
      <w:r w:rsidRPr="006571AC">
        <w:rPr>
          <w:sz w:val="27"/>
          <w:vertAlign w:val="superscript"/>
          <w:rtl/>
        </w:rPr>
        <w:endnoteReference w:id="110"/>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لذا ينبغي أن يكون هناك تقويم</w:t>
      </w:r>
      <w:r w:rsidR="00781D00" w:rsidRPr="006571AC">
        <w:rPr>
          <w:rFonts w:hint="cs"/>
          <w:sz w:val="27"/>
          <w:rtl/>
        </w:rPr>
        <w:t>ٌ</w:t>
      </w:r>
      <w:r w:rsidRPr="006571AC">
        <w:rPr>
          <w:sz w:val="27"/>
          <w:rtl/>
        </w:rPr>
        <w:t xml:space="preserve"> ومراجعة للخطاب الديني، وهذا ما ينسجم مع تعاليم وتوجيهات الدين، التي تحث</w:t>
      </w:r>
      <w:r w:rsidR="0067742E" w:rsidRPr="006571AC">
        <w:rPr>
          <w:rFonts w:hint="cs"/>
          <w:sz w:val="27"/>
          <w:rtl/>
        </w:rPr>
        <w:t>ُّ</w:t>
      </w:r>
      <w:r w:rsidRPr="006571AC">
        <w:rPr>
          <w:sz w:val="27"/>
          <w:rtl/>
        </w:rPr>
        <w:t>نا على النقد الذاتي والمحاسبة في مختلف المجالات</w:t>
      </w:r>
      <w:r w:rsidR="001D0F33" w:rsidRPr="006571AC">
        <w:rPr>
          <w:rFonts w:hint="cs"/>
          <w:sz w:val="27"/>
          <w:rtl/>
        </w:rPr>
        <w:t>؛</w:t>
      </w:r>
      <w:r w:rsidRPr="006571AC">
        <w:rPr>
          <w:sz w:val="27"/>
          <w:rtl/>
        </w:rPr>
        <w:t xml:space="preserve"> من أجل الارتقاء إلى الأفضل، ففي الرواية الواردة عن الإمام جعفر الصادق</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003C4A6B" w:rsidRPr="006571AC">
        <w:rPr>
          <w:sz w:val="27"/>
          <w:rtl/>
        </w:rPr>
        <w:t>مَنِ ا</w:t>
      </w:r>
      <w:r w:rsidRPr="006571AC">
        <w:rPr>
          <w:sz w:val="27"/>
          <w:rtl/>
        </w:rPr>
        <w:t>سْتَوَى يَوْمَاهُ فَهُوَ مَغْبُونٌ، وَمَنْ كَانَ آخِرُ يَوْمَيْهِ خَيْرَهُمَا فَهُوَ مَغْبُوطٌ، وَمَنْ كَانَ آخِرُ يَوْمَيْهِ شَرَّهُمَا فَهُوَ مَلْعُونٌ، وَمَنْ لَمْ يَرَ اَلزِّيَادَةَ فِي نَفْسِهِ فَهُوَ إِلَى اَلنُّقْصَانِ، وَمَنْ كَانَ إِلَى اَلنُّقْصَانِ فَالْمَوْتُ خَيْرٌ لَهُ مِنَ اَلْحَيَاةِ</w:t>
      </w:r>
      <w:r w:rsidRPr="006571AC">
        <w:rPr>
          <w:rFonts w:hint="eastAsia"/>
          <w:sz w:val="24"/>
          <w:szCs w:val="24"/>
          <w:rtl/>
        </w:rPr>
        <w:t>»</w:t>
      </w:r>
      <w:r w:rsidRPr="006571AC">
        <w:rPr>
          <w:sz w:val="27"/>
          <w:vertAlign w:val="superscript"/>
          <w:rtl/>
        </w:rPr>
        <w:t>(</w:t>
      </w:r>
      <w:r w:rsidRPr="006571AC">
        <w:rPr>
          <w:sz w:val="27"/>
          <w:vertAlign w:val="superscript"/>
          <w:rtl/>
        </w:rPr>
        <w:endnoteReference w:id="111"/>
      </w:r>
      <w:r w:rsidRPr="006571AC">
        <w:rPr>
          <w:sz w:val="27"/>
          <w:vertAlign w:val="superscript"/>
          <w:rtl/>
        </w:rPr>
        <w:t>)</w:t>
      </w:r>
      <w:r w:rsidRPr="006571AC">
        <w:rPr>
          <w:sz w:val="27"/>
          <w:rtl/>
        </w:rPr>
        <w:t xml:space="preserve">. </w:t>
      </w:r>
    </w:p>
    <w:p w:rsidR="00ED1ECC" w:rsidRPr="006571AC" w:rsidRDefault="00ED1ECC" w:rsidP="00ED1ECC">
      <w:pPr>
        <w:spacing w:line="420" w:lineRule="exact"/>
        <w:rPr>
          <w:sz w:val="27"/>
          <w:rtl/>
        </w:rPr>
      </w:pPr>
    </w:p>
    <w:p w:rsidR="007C76F0" w:rsidRPr="006571AC" w:rsidRDefault="007C76F0" w:rsidP="0073003A">
      <w:pPr>
        <w:pStyle w:val="31"/>
        <w:rPr>
          <w:color w:val="auto"/>
          <w:rtl/>
        </w:rPr>
      </w:pPr>
      <w:bookmarkStart w:id="57" w:name="_Toc114164546"/>
      <w:r w:rsidRPr="006571AC">
        <w:rPr>
          <w:color w:val="auto"/>
          <w:rtl/>
        </w:rPr>
        <w:t>لماذا يرفضون النقد والتقويم؟</w:t>
      </w:r>
      <w:bookmarkEnd w:id="57"/>
      <w:r w:rsidRPr="006571AC">
        <w:rPr>
          <w:color w:val="auto"/>
          <w:rtl/>
        </w:rPr>
        <w:t xml:space="preserve"> </w:t>
      </w:r>
    </w:p>
    <w:p w:rsidR="007C76F0" w:rsidRPr="006571AC" w:rsidRDefault="007C76F0" w:rsidP="00F22B89">
      <w:pPr>
        <w:rPr>
          <w:sz w:val="27"/>
        </w:rPr>
      </w:pPr>
      <w:r w:rsidRPr="006571AC">
        <w:rPr>
          <w:sz w:val="27"/>
          <w:rtl/>
        </w:rPr>
        <w:t>نرى في بعض أوساط المتدي</w:t>
      </w:r>
      <w:r w:rsidR="001D0F33" w:rsidRPr="006571AC">
        <w:rPr>
          <w:rFonts w:hint="cs"/>
          <w:sz w:val="27"/>
          <w:rtl/>
        </w:rPr>
        <w:t>ِّ</w:t>
      </w:r>
      <w:r w:rsidRPr="006571AC">
        <w:rPr>
          <w:sz w:val="27"/>
          <w:rtl/>
        </w:rPr>
        <w:t>نين مَن</w:t>
      </w:r>
      <w:r w:rsidR="001D0F33" w:rsidRPr="006571AC">
        <w:rPr>
          <w:rFonts w:hint="cs"/>
          <w:sz w:val="27"/>
          <w:rtl/>
        </w:rPr>
        <w:t>ْ</w:t>
      </w:r>
      <w:r w:rsidRPr="006571AC">
        <w:rPr>
          <w:sz w:val="27"/>
          <w:rtl/>
        </w:rPr>
        <w:t xml:space="preserve"> يزعجهم النقد والتقويم لكل</w:t>
      </w:r>
      <w:r w:rsidR="001D0F33" w:rsidRPr="006571AC">
        <w:rPr>
          <w:rFonts w:hint="cs"/>
          <w:sz w:val="27"/>
          <w:rtl/>
        </w:rPr>
        <w:t>ّ</w:t>
      </w:r>
      <w:r w:rsidRPr="006571AC">
        <w:rPr>
          <w:sz w:val="27"/>
          <w:rtl/>
        </w:rPr>
        <w:t xml:space="preserve"> ما يرتبط بالخطاب الديني، أو أي</w:t>
      </w:r>
      <w:r w:rsidR="001D0F33" w:rsidRPr="006571AC">
        <w:rPr>
          <w:rFonts w:hint="cs"/>
          <w:sz w:val="27"/>
          <w:rtl/>
        </w:rPr>
        <w:t>ّ</w:t>
      </w:r>
      <w:r w:rsidRPr="006571AC">
        <w:rPr>
          <w:sz w:val="27"/>
          <w:rtl/>
        </w:rPr>
        <w:t xml:space="preserve"> شأن</w:t>
      </w:r>
      <w:r w:rsidR="001D0F33" w:rsidRPr="006571AC">
        <w:rPr>
          <w:rFonts w:hint="cs"/>
          <w:sz w:val="27"/>
          <w:rtl/>
        </w:rPr>
        <w:t>ٍ</w:t>
      </w:r>
      <w:r w:rsidRPr="006571AC">
        <w:rPr>
          <w:sz w:val="27"/>
          <w:rtl/>
        </w:rPr>
        <w:t xml:space="preserve"> من الشؤون الدينية، وكأن</w:t>
      </w:r>
      <w:r w:rsidR="001D0F33" w:rsidRPr="006571AC">
        <w:rPr>
          <w:rFonts w:hint="cs"/>
          <w:sz w:val="27"/>
          <w:rtl/>
        </w:rPr>
        <w:t>ّ</w:t>
      </w:r>
      <w:r w:rsidRPr="006571AC">
        <w:rPr>
          <w:sz w:val="27"/>
          <w:rtl/>
        </w:rPr>
        <w:t xml:space="preserve"> كل</w:t>
      </w:r>
      <w:r w:rsidR="001D0F33" w:rsidRPr="006571AC">
        <w:rPr>
          <w:rFonts w:hint="cs"/>
          <w:sz w:val="27"/>
          <w:rtl/>
        </w:rPr>
        <w:t>ّ</w:t>
      </w:r>
      <w:r w:rsidRPr="006571AC">
        <w:rPr>
          <w:sz w:val="27"/>
          <w:rtl/>
        </w:rPr>
        <w:t xml:space="preserve"> شيء</w:t>
      </w:r>
      <w:r w:rsidR="001D0F33" w:rsidRPr="006571AC">
        <w:rPr>
          <w:rFonts w:hint="cs"/>
          <w:sz w:val="27"/>
          <w:rtl/>
        </w:rPr>
        <w:t>ٍ</w:t>
      </w:r>
      <w:r w:rsidRPr="006571AC">
        <w:rPr>
          <w:sz w:val="27"/>
          <w:rtl/>
        </w:rPr>
        <w:t xml:space="preserve"> فيها من الثوابت والمقد</w:t>
      </w:r>
      <w:r w:rsidR="001D0F33" w:rsidRPr="006571AC">
        <w:rPr>
          <w:rFonts w:hint="cs"/>
          <w:sz w:val="27"/>
          <w:rtl/>
        </w:rPr>
        <w:t>َّ</w:t>
      </w:r>
      <w:r w:rsidRPr="006571AC">
        <w:rPr>
          <w:sz w:val="27"/>
          <w:rtl/>
        </w:rPr>
        <w:t xml:space="preserve">سات. </w:t>
      </w:r>
    </w:p>
    <w:p w:rsidR="00E217E3" w:rsidRPr="006571AC" w:rsidRDefault="007C76F0" w:rsidP="00F22B89">
      <w:pPr>
        <w:rPr>
          <w:sz w:val="27"/>
          <w:rtl/>
        </w:rPr>
      </w:pPr>
      <w:r w:rsidRPr="006571AC">
        <w:rPr>
          <w:sz w:val="27"/>
          <w:rtl/>
        </w:rPr>
        <w:t>فنجد</w:t>
      </w:r>
      <w:r w:rsidR="001D0F33" w:rsidRPr="006571AC">
        <w:rPr>
          <w:rFonts w:hint="cs"/>
          <w:sz w:val="27"/>
          <w:rtl/>
        </w:rPr>
        <w:t>،</w:t>
      </w:r>
      <w:r w:rsidRPr="006571AC">
        <w:rPr>
          <w:sz w:val="27"/>
          <w:rtl/>
        </w:rPr>
        <w:t xml:space="preserve"> على سبيل المثال</w:t>
      </w:r>
      <w:r w:rsidR="001D0F33" w:rsidRPr="006571AC">
        <w:rPr>
          <w:rFonts w:hint="cs"/>
          <w:sz w:val="27"/>
          <w:rtl/>
        </w:rPr>
        <w:t>،</w:t>
      </w:r>
      <w:r w:rsidRPr="006571AC">
        <w:rPr>
          <w:sz w:val="27"/>
          <w:rtl/>
        </w:rPr>
        <w:t xml:space="preserve"> </w:t>
      </w:r>
      <w:r w:rsidR="001D0F33" w:rsidRPr="006571AC">
        <w:rPr>
          <w:sz w:val="27"/>
          <w:rtl/>
        </w:rPr>
        <w:t>أن</w:t>
      </w:r>
      <w:r w:rsidRPr="006571AC">
        <w:rPr>
          <w:sz w:val="27"/>
          <w:rtl/>
        </w:rPr>
        <w:t xml:space="preserve"> أحد العلماء يحذّ</w:t>
      </w:r>
      <w:r w:rsidR="001D0F33" w:rsidRPr="006571AC">
        <w:rPr>
          <w:rFonts w:hint="cs"/>
          <w:sz w:val="27"/>
          <w:rtl/>
        </w:rPr>
        <w:t>ِ</w:t>
      </w:r>
      <w:r w:rsidRPr="006571AC">
        <w:rPr>
          <w:sz w:val="27"/>
          <w:rtl/>
        </w:rPr>
        <w:t>ر من نقد أي</w:t>
      </w:r>
      <w:r w:rsidR="001D0F33" w:rsidRPr="006571AC">
        <w:rPr>
          <w:rFonts w:hint="cs"/>
          <w:sz w:val="27"/>
          <w:rtl/>
        </w:rPr>
        <w:t>ّ</w:t>
      </w:r>
      <w:r w:rsidRPr="006571AC">
        <w:rPr>
          <w:sz w:val="27"/>
          <w:rtl/>
        </w:rPr>
        <w:t xml:space="preserve"> شيء</w:t>
      </w:r>
      <w:r w:rsidR="001D0F33" w:rsidRPr="006571AC">
        <w:rPr>
          <w:rFonts w:hint="cs"/>
          <w:sz w:val="27"/>
          <w:rtl/>
        </w:rPr>
        <w:t>ٍ</w:t>
      </w:r>
      <w:r w:rsidRPr="006571AC">
        <w:rPr>
          <w:sz w:val="27"/>
          <w:rtl/>
        </w:rPr>
        <w:t xml:space="preserve"> يتعل</w:t>
      </w:r>
      <w:r w:rsidR="001D0F33" w:rsidRPr="006571AC">
        <w:rPr>
          <w:rFonts w:hint="cs"/>
          <w:sz w:val="27"/>
          <w:rtl/>
        </w:rPr>
        <w:t>َّ</w:t>
      </w:r>
      <w:r w:rsidRPr="006571AC">
        <w:rPr>
          <w:sz w:val="27"/>
          <w:rtl/>
        </w:rPr>
        <w:t>ق بالمجالس الحسينية، ويؤي</w:t>
      </w:r>
      <w:r w:rsidR="001D0F33" w:rsidRPr="006571AC">
        <w:rPr>
          <w:rFonts w:hint="cs"/>
          <w:sz w:val="27"/>
          <w:rtl/>
        </w:rPr>
        <w:t>ِّ</w:t>
      </w:r>
      <w:r w:rsidRPr="006571AC">
        <w:rPr>
          <w:sz w:val="27"/>
          <w:rtl/>
        </w:rPr>
        <w:t>د قوله بنقل قص</w:t>
      </w:r>
      <w:r w:rsidR="001D0F33" w:rsidRPr="006571AC">
        <w:rPr>
          <w:rFonts w:hint="cs"/>
          <w:sz w:val="27"/>
          <w:rtl/>
        </w:rPr>
        <w:t>ّ</w:t>
      </w:r>
      <w:r w:rsidRPr="006571AC">
        <w:rPr>
          <w:sz w:val="27"/>
          <w:rtl/>
        </w:rPr>
        <w:t xml:space="preserve">ةٍ عن الأثر الخطير لذلك في الآخرة، </w:t>
      </w:r>
      <w:r w:rsidR="001D0F33" w:rsidRPr="006571AC">
        <w:rPr>
          <w:rFonts w:hint="cs"/>
          <w:sz w:val="27"/>
          <w:rtl/>
        </w:rPr>
        <w:t>و</w:t>
      </w:r>
      <w:r w:rsidRPr="006571AC">
        <w:rPr>
          <w:sz w:val="27"/>
          <w:rtl/>
        </w:rPr>
        <w:t xml:space="preserve">مفادها: </w:t>
      </w:r>
      <w:r w:rsidR="001D0F33" w:rsidRPr="006571AC">
        <w:rPr>
          <w:rFonts w:hint="cs"/>
          <w:sz w:val="27"/>
          <w:rtl/>
        </w:rPr>
        <w:t>إ</w:t>
      </w:r>
      <w:r w:rsidRPr="006571AC">
        <w:rPr>
          <w:sz w:val="27"/>
          <w:rtl/>
        </w:rPr>
        <w:t>نّ إنساناً مؤمناً حضر مجلساً حسينياً، ولما خرج من المجلس انتقد شيئاً مما دار في المجلس، وفي الليل رأى كأنّ القيامة قد قام</w:t>
      </w:r>
      <w:r w:rsidR="00E217E3" w:rsidRPr="006571AC">
        <w:rPr>
          <w:rFonts w:hint="cs"/>
          <w:sz w:val="27"/>
          <w:rtl/>
        </w:rPr>
        <w:t>َ</w:t>
      </w:r>
      <w:r w:rsidRPr="006571AC">
        <w:rPr>
          <w:sz w:val="27"/>
          <w:rtl/>
        </w:rPr>
        <w:t>ت</w:t>
      </w:r>
      <w:r w:rsidR="00E217E3" w:rsidRPr="006571AC">
        <w:rPr>
          <w:rFonts w:hint="cs"/>
          <w:sz w:val="27"/>
          <w:rtl/>
        </w:rPr>
        <w:t>ْ</w:t>
      </w:r>
      <w:r w:rsidRPr="006571AC">
        <w:rPr>
          <w:sz w:val="27"/>
          <w:rtl/>
        </w:rPr>
        <w:t>، وكان هو من المؤه</w:t>
      </w:r>
      <w:r w:rsidR="00E217E3" w:rsidRPr="006571AC">
        <w:rPr>
          <w:rFonts w:hint="cs"/>
          <w:sz w:val="27"/>
          <w:rtl/>
        </w:rPr>
        <w:t>َّ</w:t>
      </w:r>
      <w:r w:rsidRPr="006571AC">
        <w:rPr>
          <w:sz w:val="27"/>
          <w:rtl/>
        </w:rPr>
        <w:t xml:space="preserve">لين لدخول الجنة، </w:t>
      </w:r>
      <w:r w:rsidRPr="006571AC">
        <w:rPr>
          <w:sz w:val="27"/>
          <w:rtl/>
        </w:rPr>
        <w:lastRenderedPageBreak/>
        <w:t>وحين نظر الملائكة في صحيفته تركوه آخر الناس، ولم يسمحوا له بالدخول إلى الجنة إلا</w:t>
      </w:r>
      <w:r w:rsidR="00E217E3" w:rsidRPr="006571AC">
        <w:rPr>
          <w:rFonts w:hint="cs"/>
          <w:sz w:val="27"/>
          <w:rtl/>
        </w:rPr>
        <w:t>ّ</w:t>
      </w:r>
      <w:r w:rsidRPr="006571AC">
        <w:rPr>
          <w:sz w:val="27"/>
          <w:rtl/>
        </w:rPr>
        <w:t xml:space="preserve"> بعد انتظار</w:t>
      </w:r>
      <w:r w:rsidR="00E217E3" w:rsidRPr="006571AC">
        <w:rPr>
          <w:rFonts w:hint="cs"/>
          <w:sz w:val="27"/>
          <w:rtl/>
        </w:rPr>
        <w:t>ٍ</w:t>
      </w:r>
      <w:r w:rsidRPr="006571AC">
        <w:rPr>
          <w:sz w:val="27"/>
          <w:rtl/>
        </w:rPr>
        <w:t xml:space="preserve"> طويل. وقالوا له: هذا بسبب نقدك لشيءٍ في المجلس الحسيني</w:t>
      </w:r>
      <w:r w:rsidR="00E217E3" w:rsidRPr="006571AC">
        <w:rPr>
          <w:rFonts w:hint="cs"/>
          <w:sz w:val="27"/>
          <w:rtl/>
        </w:rPr>
        <w:t>ّ</w:t>
      </w:r>
      <w:r w:rsidRPr="006571AC">
        <w:rPr>
          <w:sz w:val="27"/>
          <w:rtl/>
        </w:rPr>
        <w:t>!</w:t>
      </w:r>
    </w:p>
    <w:p w:rsidR="007C76F0" w:rsidRPr="006571AC" w:rsidRDefault="007C76F0" w:rsidP="00F22B89">
      <w:pPr>
        <w:rPr>
          <w:sz w:val="27"/>
          <w:rtl/>
        </w:rPr>
      </w:pPr>
      <w:r w:rsidRPr="006571AC">
        <w:rPr>
          <w:sz w:val="27"/>
          <w:rtl/>
        </w:rPr>
        <w:t xml:space="preserve">إن </w:t>
      </w:r>
      <w:r w:rsidR="00E217E3" w:rsidRPr="006571AC">
        <w:rPr>
          <w:rFonts w:hint="cs"/>
          <w:sz w:val="27"/>
          <w:rtl/>
        </w:rPr>
        <w:t xml:space="preserve">في </w:t>
      </w:r>
      <w:r w:rsidRPr="006571AC">
        <w:rPr>
          <w:sz w:val="27"/>
          <w:rtl/>
        </w:rPr>
        <w:t>هذا التحذير مبالغة</w:t>
      </w:r>
      <w:r w:rsidR="00E217E3" w:rsidRPr="006571AC">
        <w:rPr>
          <w:rFonts w:hint="cs"/>
          <w:sz w:val="27"/>
          <w:rtl/>
        </w:rPr>
        <w:t>ً</w:t>
      </w:r>
      <w:r w:rsidRPr="006571AC">
        <w:rPr>
          <w:sz w:val="27"/>
          <w:rtl/>
        </w:rPr>
        <w:t xml:space="preserve"> شديدة</w:t>
      </w:r>
      <w:r w:rsidR="00E217E3" w:rsidRPr="006571AC">
        <w:rPr>
          <w:rFonts w:hint="cs"/>
          <w:sz w:val="27"/>
          <w:rtl/>
        </w:rPr>
        <w:t>ً</w:t>
      </w:r>
      <w:r w:rsidRPr="006571AC">
        <w:rPr>
          <w:sz w:val="27"/>
          <w:rtl/>
        </w:rPr>
        <w:t>، كما أن الاستدلال بأطيافٍ وأحلامٍ منقولةٍ ليس منهجي</w:t>
      </w:r>
      <w:r w:rsidR="00E217E3" w:rsidRPr="006571AC">
        <w:rPr>
          <w:rFonts w:hint="cs"/>
          <w:sz w:val="27"/>
          <w:rtl/>
        </w:rPr>
        <w:t>ّ</w:t>
      </w:r>
      <w:r w:rsidRPr="006571AC">
        <w:rPr>
          <w:sz w:val="27"/>
          <w:rtl/>
        </w:rPr>
        <w:t>ة</w:t>
      </w:r>
      <w:r w:rsidR="00E217E3" w:rsidRPr="006571AC">
        <w:rPr>
          <w:rFonts w:hint="cs"/>
          <w:sz w:val="27"/>
          <w:rtl/>
        </w:rPr>
        <w:t>ً</w:t>
      </w:r>
      <w:r w:rsidRPr="006571AC">
        <w:rPr>
          <w:sz w:val="27"/>
          <w:rtl/>
        </w:rPr>
        <w:t xml:space="preserve"> علمية موضوعية. </w:t>
      </w:r>
    </w:p>
    <w:p w:rsidR="00E217E3" w:rsidRPr="006571AC" w:rsidRDefault="007C76F0" w:rsidP="00F22B89">
      <w:pPr>
        <w:rPr>
          <w:sz w:val="27"/>
          <w:rtl/>
        </w:rPr>
      </w:pPr>
      <w:r w:rsidRPr="006571AC">
        <w:rPr>
          <w:sz w:val="27"/>
          <w:rtl/>
        </w:rPr>
        <w:t>وقد يكون التخوّف من نقد الخطاب الديني راجعاً إلى احتمال أنه يتم</w:t>
      </w:r>
      <w:r w:rsidR="00E217E3" w:rsidRPr="006571AC">
        <w:rPr>
          <w:rFonts w:hint="cs"/>
          <w:sz w:val="27"/>
          <w:rtl/>
        </w:rPr>
        <w:t>ّ</w:t>
      </w:r>
      <w:r w:rsidRPr="006571AC">
        <w:rPr>
          <w:sz w:val="27"/>
          <w:rtl/>
        </w:rPr>
        <w:t xml:space="preserve"> بتحريضٍ من الأعداء، الذين يتّخذون النقد وسيلةً لإضعاف الدين</w:t>
      </w:r>
      <w:r w:rsidR="00E217E3" w:rsidRPr="006571AC">
        <w:rPr>
          <w:rFonts w:hint="cs"/>
          <w:sz w:val="27"/>
          <w:rtl/>
        </w:rPr>
        <w:t>.</w:t>
      </w:r>
    </w:p>
    <w:p w:rsidR="007C76F0" w:rsidRPr="006571AC" w:rsidRDefault="007C76F0" w:rsidP="00F22B89">
      <w:pPr>
        <w:rPr>
          <w:sz w:val="27"/>
          <w:rtl/>
        </w:rPr>
      </w:pPr>
      <w:r w:rsidRPr="006571AC">
        <w:rPr>
          <w:sz w:val="27"/>
          <w:rtl/>
        </w:rPr>
        <w:t>ولا ننكر وجود أعداءٍ يسع</w:t>
      </w:r>
      <w:r w:rsidR="00E217E3" w:rsidRPr="006571AC">
        <w:rPr>
          <w:rFonts w:hint="cs"/>
          <w:sz w:val="27"/>
          <w:rtl/>
        </w:rPr>
        <w:t>َ</w:t>
      </w:r>
      <w:r w:rsidRPr="006571AC">
        <w:rPr>
          <w:sz w:val="27"/>
          <w:rtl/>
        </w:rPr>
        <w:t>و</w:t>
      </w:r>
      <w:r w:rsidR="00E217E3" w:rsidRPr="006571AC">
        <w:rPr>
          <w:rFonts w:hint="cs"/>
          <w:sz w:val="27"/>
          <w:rtl/>
        </w:rPr>
        <w:t>ْ</w:t>
      </w:r>
      <w:r w:rsidRPr="006571AC">
        <w:rPr>
          <w:sz w:val="27"/>
          <w:rtl/>
        </w:rPr>
        <w:t>ن بمختلف الطرق لإضعاف الدين، وإضعاف ثقة الناس بالمؤسسة الدينية، ولكن</w:t>
      </w:r>
      <w:r w:rsidR="00E217E3" w:rsidRPr="006571AC">
        <w:rPr>
          <w:rFonts w:hint="cs"/>
          <w:sz w:val="27"/>
          <w:rtl/>
        </w:rPr>
        <w:t>ْ</w:t>
      </w:r>
      <w:r w:rsidRPr="006571AC">
        <w:rPr>
          <w:sz w:val="27"/>
          <w:rtl/>
        </w:rPr>
        <w:t xml:space="preserve"> مع ذلك لا يمكن منع النقد والتقويم، و</w:t>
      </w:r>
      <w:r w:rsidR="00E217E3" w:rsidRPr="006571AC">
        <w:rPr>
          <w:rFonts w:hint="cs"/>
          <w:sz w:val="27"/>
          <w:rtl/>
        </w:rPr>
        <w:t>إ</w:t>
      </w:r>
      <w:r w:rsidRPr="006571AC">
        <w:rPr>
          <w:sz w:val="27"/>
          <w:rtl/>
        </w:rPr>
        <w:t xml:space="preserve">نما ينبغي أن نتعامل معه </w:t>
      </w:r>
      <w:r w:rsidR="00E217E3" w:rsidRPr="006571AC">
        <w:rPr>
          <w:sz w:val="27"/>
          <w:rtl/>
        </w:rPr>
        <w:t>تعاملاً إيجابياً مهما كانت جهته ومصدره، وذلك بسد</w:t>
      </w:r>
      <w:r w:rsidR="00E217E3" w:rsidRPr="006571AC">
        <w:rPr>
          <w:rFonts w:hint="cs"/>
          <w:sz w:val="27"/>
          <w:rtl/>
        </w:rPr>
        <w:t>ّ</w:t>
      </w:r>
      <w:r w:rsidR="00E217E3" w:rsidRPr="006571AC">
        <w:rPr>
          <w:sz w:val="27"/>
          <w:rtl/>
        </w:rPr>
        <w:t xml:space="preserve"> الثغرات</w:t>
      </w:r>
      <w:r w:rsidRPr="006571AC">
        <w:rPr>
          <w:sz w:val="27"/>
          <w:rtl/>
        </w:rPr>
        <w:t xml:space="preserve"> والأخطاء في الخطاب والممارسات الدينية، وكشف المغالطات الموجودة في مقولات الناقدين. </w:t>
      </w:r>
    </w:p>
    <w:p w:rsidR="007C76F0" w:rsidRPr="006571AC" w:rsidRDefault="007C76F0" w:rsidP="00F22B89">
      <w:pPr>
        <w:rPr>
          <w:sz w:val="27"/>
        </w:rPr>
      </w:pPr>
      <w:r w:rsidRPr="006571AC">
        <w:rPr>
          <w:sz w:val="27"/>
          <w:rtl/>
        </w:rPr>
        <w:t>كما أنه لا يصح</w:t>
      </w:r>
      <w:r w:rsidR="00E217E3" w:rsidRPr="006571AC">
        <w:rPr>
          <w:rFonts w:hint="cs"/>
          <w:sz w:val="27"/>
          <w:rtl/>
        </w:rPr>
        <w:t>ّ</w:t>
      </w:r>
      <w:r w:rsidRPr="006571AC">
        <w:rPr>
          <w:sz w:val="27"/>
          <w:rtl/>
        </w:rPr>
        <w:t xml:space="preserve"> اتهام كل</w:t>
      </w:r>
      <w:r w:rsidR="00E217E3" w:rsidRPr="006571AC">
        <w:rPr>
          <w:rFonts w:hint="cs"/>
          <w:sz w:val="27"/>
          <w:rtl/>
        </w:rPr>
        <w:t>ّ</w:t>
      </w:r>
      <w:r w:rsidRPr="006571AC">
        <w:rPr>
          <w:sz w:val="27"/>
          <w:rtl/>
        </w:rPr>
        <w:t xml:space="preserve"> ناقد بأنه ينطلق من خلفي</w:t>
      </w:r>
      <w:r w:rsidR="00E217E3" w:rsidRPr="006571AC">
        <w:rPr>
          <w:rFonts w:hint="cs"/>
          <w:sz w:val="27"/>
          <w:rtl/>
        </w:rPr>
        <w:t>ّ</w:t>
      </w:r>
      <w:r w:rsidRPr="006571AC">
        <w:rPr>
          <w:sz w:val="27"/>
          <w:rtl/>
        </w:rPr>
        <w:t>ة</w:t>
      </w:r>
      <w:r w:rsidR="00E217E3" w:rsidRPr="006571AC">
        <w:rPr>
          <w:rFonts w:hint="cs"/>
          <w:sz w:val="27"/>
          <w:rtl/>
        </w:rPr>
        <w:t>ٍ</w:t>
      </w:r>
      <w:r w:rsidRPr="006571AC">
        <w:rPr>
          <w:sz w:val="27"/>
          <w:rtl/>
        </w:rPr>
        <w:t xml:space="preserve"> عدائية، فهناك ناقدون من داخل الوسط الديني، ينطلقون من دافع الحرص على سمعة الدين، والإخلاص للحقيقة والمعرفة. </w:t>
      </w:r>
    </w:p>
    <w:p w:rsidR="007C76F0" w:rsidRPr="006571AC" w:rsidRDefault="007C76F0" w:rsidP="00F22B89">
      <w:pPr>
        <w:rPr>
          <w:sz w:val="27"/>
        </w:rPr>
      </w:pPr>
      <w:r w:rsidRPr="006571AC">
        <w:rPr>
          <w:sz w:val="27"/>
          <w:rtl/>
        </w:rPr>
        <w:t>وجديرٌ بالذكر استحضار ما جاء في خطبةٍ لأمير المؤمنين علي</w:t>
      </w:r>
      <w:r w:rsidR="00E217E3" w:rsidRPr="006571AC">
        <w:rPr>
          <w:rFonts w:hint="cs"/>
          <w:sz w:val="27"/>
          <w:rtl/>
        </w:rPr>
        <w:t>ّ</w:t>
      </w:r>
      <w:r w:rsidR="00E217E3" w:rsidRPr="006571AC">
        <w:rPr>
          <w:sz w:val="27"/>
          <w:rtl/>
        </w:rPr>
        <w:t xml:space="preserve"> بن أبي طالب</w:t>
      </w:r>
      <w:r w:rsidR="00E217E3" w:rsidRPr="006571AC">
        <w:rPr>
          <w:rFonts w:ascii="Mosawi" w:hAnsi="Mosawi" w:cs="Mosawi"/>
          <w:sz w:val="22"/>
          <w:szCs w:val="22"/>
          <w:rtl/>
        </w:rPr>
        <w:t>×</w:t>
      </w:r>
      <w:r w:rsidR="00E217E3" w:rsidRPr="006571AC">
        <w:rPr>
          <w:sz w:val="27"/>
          <w:rtl/>
        </w:rPr>
        <w:t>، يحث</w:t>
      </w:r>
      <w:r w:rsidR="00E217E3" w:rsidRPr="006571AC">
        <w:rPr>
          <w:rFonts w:hint="cs"/>
          <w:sz w:val="27"/>
          <w:rtl/>
        </w:rPr>
        <w:t>ّ</w:t>
      </w:r>
      <w:r w:rsidRPr="006571AC">
        <w:rPr>
          <w:sz w:val="27"/>
          <w:rtl/>
        </w:rPr>
        <w:t xml:space="preserve"> فيها من حوله على النقد والتقويم تجاه سياساته ومواقفه، يقول</w:t>
      </w:r>
      <w:r w:rsidR="00E217E3" w:rsidRPr="006571AC">
        <w:rPr>
          <w:rFonts w:ascii="Mosawi" w:hAnsi="Mosawi" w:cs="Mosawi"/>
          <w:sz w:val="22"/>
          <w:szCs w:val="22"/>
          <w:rtl/>
        </w:rPr>
        <w:t>×</w:t>
      </w:r>
      <w:r w:rsidRPr="006571AC">
        <w:rPr>
          <w:sz w:val="27"/>
          <w:rtl/>
        </w:rPr>
        <w:t xml:space="preserve">: </w:t>
      </w:r>
      <w:r w:rsidRPr="006571AC">
        <w:rPr>
          <w:rFonts w:hint="eastAsia"/>
          <w:sz w:val="24"/>
          <w:szCs w:val="24"/>
          <w:rtl/>
        </w:rPr>
        <w:t>«</w:t>
      </w:r>
      <w:r w:rsidR="00E217E3" w:rsidRPr="006571AC">
        <w:rPr>
          <w:sz w:val="27"/>
          <w:rtl/>
        </w:rPr>
        <w:t>فَل</w:t>
      </w:r>
      <w:r w:rsidRPr="006571AC">
        <w:rPr>
          <w:sz w:val="27"/>
          <w:rtl/>
        </w:rPr>
        <w:t xml:space="preserve">ا تُكَلِّمُونِي بِمَا تُكَلَّمُ بِهِ الْجَبَابِرَةُ، وَلا تَتَحَفَّظُوا مِنِّي بِمَا يُتَحَفَّظُ بِهِ </w:t>
      </w:r>
      <w:r w:rsidR="00E217E3" w:rsidRPr="006571AC">
        <w:rPr>
          <w:sz w:val="27"/>
          <w:rtl/>
        </w:rPr>
        <w:t>عِنْدَ أَهْلِ الْبَادِرَةِ، وَل</w:t>
      </w:r>
      <w:r w:rsidRPr="006571AC">
        <w:rPr>
          <w:sz w:val="27"/>
          <w:rtl/>
        </w:rPr>
        <w:t>ا تُخَ</w:t>
      </w:r>
      <w:r w:rsidR="00E217E3" w:rsidRPr="006571AC">
        <w:rPr>
          <w:sz w:val="27"/>
          <w:rtl/>
        </w:rPr>
        <w:t>الِطُونِي بِالْمُصَانَعَةِ، وَل</w:t>
      </w:r>
      <w:r w:rsidRPr="006571AC">
        <w:rPr>
          <w:sz w:val="27"/>
          <w:rtl/>
        </w:rPr>
        <w:t>ا تَظُنُّوا بِيَ اسْتِثْ</w:t>
      </w:r>
      <w:r w:rsidR="00E217E3" w:rsidRPr="006571AC">
        <w:rPr>
          <w:sz w:val="27"/>
          <w:rtl/>
        </w:rPr>
        <w:t>قَالاً فِي حَقٍّ قِيلَ لِي، وَل</w:t>
      </w:r>
      <w:r w:rsidRPr="006571AC">
        <w:rPr>
          <w:sz w:val="27"/>
          <w:rtl/>
        </w:rPr>
        <w:t>ا الِتمَاسَ إِعْظَامٍ لِنَفْسِي، فَإِنَّهُ مَنِ اسْتَثْقَلَ الْحَقَّ أَنْ يُقَالَ لَهُ</w:t>
      </w:r>
      <w:r w:rsidR="00E217E3" w:rsidRPr="006571AC">
        <w:rPr>
          <w:rFonts w:hint="cs"/>
          <w:sz w:val="27"/>
          <w:rtl/>
        </w:rPr>
        <w:t>،</w:t>
      </w:r>
      <w:r w:rsidRPr="006571AC">
        <w:rPr>
          <w:sz w:val="27"/>
          <w:rtl/>
        </w:rPr>
        <w:t xml:space="preserve"> أَو الْعَدْلَ أَنْ يُعْرَضَ عَلَيْهِ</w:t>
      </w:r>
      <w:r w:rsidR="00E217E3" w:rsidRPr="006571AC">
        <w:rPr>
          <w:rFonts w:hint="cs"/>
          <w:sz w:val="27"/>
          <w:rtl/>
        </w:rPr>
        <w:t>،</w:t>
      </w:r>
      <w:r w:rsidRPr="006571AC">
        <w:rPr>
          <w:sz w:val="27"/>
          <w:rtl/>
        </w:rPr>
        <w:t xml:space="preserve"> كَانَ الْعَمَلُ بِهِمَا أَثْقَلَ عَلَيْهِ</w:t>
      </w:r>
      <w:r w:rsidR="00E217E3" w:rsidRPr="006571AC">
        <w:rPr>
          <w:rFonts w:hint="cs"/>
          <w:sz w:val="27"/>
          <w:rtl/>
        </w:rPr>
        <w:t xml:space="preserve">، </w:t>
      </w:r>
      <w:r w:rsidRPr="006571AC">
        <w:rPr>
          <w:sz w:val="27"/>
          <w:rtl/>
        </w:rPr>
        <w:t>ف</w:t>
      </w:r>
      <w:r w:rsidR="003C4A6B" w:rsidRPr="006571AC">
        <w:rPr>
          <w:rFonts w:hint="cs"/>
          <w:sz w:val="27"/>
          <w:rtl/>
        </w:rPr>
        <w:t>َ</w:t>
      </w:r>
      <w:r w:rsidRPr="006571AC">
        <w:rPr>
          <w:sz w:val="27"/>
          <w:rtl/>
        </w:rPr>
        <w:t>لا ت</w:t>
      </w:r>
      <w:r w:rsidR="003C4A6B" w:rsidRPr="006571AC">
        <w:rPr>
          <w:rFonts w:hint="cs"/>
          <w:sz w:val="27"/>
          <w:rtl/>
        </w:rPr>
        <w:t>َ</w:t>
      </w:r>
      <w:r w:rsidRPr="006571AC">
        <w:rPr>
          <w:sz w:val="27"/>
          <w:rtl/>
        </w:rPr>
        <w:t>ك</w:t>
      </w:r>
      <w:r w:rsidR="003C4A6B" w:rsidRPr="006571AC">
        <w:rPr>
          <w:rFonts w:hint="cs"/>
          <w:sz w:val="27"/>
          <w:rtl/>
        </w:rPr>
        <w:t>ُ</w:t>
      </w:r>
      <w:r w:rsidRPr="006571AC">
        <w:rPr>
          <w:sz w:val="27"/>
          <w:rtl/>
        </w:rPr>
        <w:t>ف</w:t>
      </w:r>
      <w:r w:rsidR="003C4A6B" w:rsidRPr="006571AC">
        <w:rPr>
          <w:rFonts w:hint="cs"/>
          <w:sz w:val="27"/>
          <w:rtl/>
        </w:rPr>
        <w:t>ُّ</w:t>
      </w:r>
      <w:r w:rsidRPr="006571AC">
        <w:rPr>
          <w:sz w:val="27"/>
          <w:rtl/>
        </w:rPr>
        <w:t>وا ع</w:t>
      </w:r>
      <w:r w:rsidR="003C4A6B" w:rsidRPr="006571AC">
        <w:rPr>
          <w:rFonts w:hint="cs"/>
          <w:sz w:val="27"/>
          <w:rtl/>
        </w:rPr>
        <w:t>َ</w:t>
      </w:r>
      <w:r w:rsidRPr="006571AC">
        <w:rPr>
          <w:sz w:val="27"/>
          <w:rtl/>
        </w:rPr>
        <w:t>ن</w:t>
      </w:r>
      <w:r w:rsidR="003C4A6B" w:rsidRPr="006571AC">
        <w:rPr>
          <w:rFonts w:hint="cs"/>
          <w:sz w:val="27"/>
          <w:rtl/>
        </w:rPr>
        <w:t>ْ</w:t>
      </w:r>
      <w:r w:rsidRPr="006571AC">
        <w:rPr>
          <w:sz w:val="27"/>
          <w:rtl/>
        </w:rPr>
        <w:t xml:space="preserve"> م</w:t>
      </w:r>
      <w:r w:rsidR="003C4A6B" w:rsidRPr="006571AC">
        <w:rPr>
          <w:rFonts w:hint="cs"/>
          <w:sz w:val="27"/>
          <w:rtl/>
        </w:rPr>
        <w:t>َ</w:t>
      </w:r>
      <w:r w:rsidRPr="006571AC">
        <w:rPr>
          <w:sz w:val="27"/>
          <w:rtl/>
        </w:rPr>
        <w:t>ق</w:t>
      </w:r>
      <w:r w:rsidR="003C4A6B" w:rsidRPr="006571AC">
        <w:rPr>
          <w:rFonts w:hint="cs"/>
          <w:sz w:val="27"/>
          <w:rtl/>
        </w:rPr>
        <w:t>ُ</w:t>
      </w:r>
      <w:r w:rsidRPr="006571AC">
        <w:rPr>
          <w:sz w:val="27"/>
          <w:rtl/>
        </w:rPr>
        <w:t>ول</w:t>
      </w:r>
      <w:r w:rsidR="003C4A6B" w:rsidRPr="006571AC">
        <w:rPr>
          <w:rFonts w:hint="cs"/>
          <w:sz w:val="27"/>
          <w:rtl/>
        </w:rPr>
        <w:t>َ</w:t>
      </w:r>
      <w:r w:rsidRPr="006571AC">
        <w:rPr>
          <w:sz w:val="27"/>
          <w:rtl/>
        </w:rPr>
        <w:t>ةٍ ب</w:t>
      </w:r>
      <w:r w:rsidR="003C4A6B" w:rsidRPr="006571AC">
        <w:rPr>
          <w:rFonts w:hint="cs"/>
          <w:sz w:val="27"/>
          <w:rtl/>
        </w:rPr>
        <w:t>ِ</w:t>
      </w:r>
      <w:r w:rsidRPr="006571AC">
        <w:rPr>
          <w:sz w:val="27"/>
          <w:rtl/>
        </w:rPr>
        <w:t>ح</w:t>
      </w:r>
      <w:r w:rsidR="003C4A6B" w:rsidRPr="006571AC">
        <w:rPr>
          <w:rFonts w:hint="cs"/>
          <w:sz w:val="27"/>
          <w:rtl/>
        </w:rPr>
        <w:t>َ</w:t>
      </w:r>
      <w:r w:rsidRPr="006571AC">
        <w:rPr>
          <w:sz w:val="27"/>
          <w:rtl/>
        </w:rPr>
        <w:t>ق</w:t>
      </w:r>
      <w:r w:rsidR="00E217E3" w:rsidRPr="006571AC">
        <w:rPr>
          <w:rFonts w:hint="cs"/>
          <w:sz w:val="27"/>
          <w:rtl/>
        </w:rPr>
        <w:t>ٍّ</w:t>
      </w:r>
      <w:r w:rsidRPr="006571AC">
        <w:rPr>
          <w:rFonts w:hint="eastAsia"/>
          <w:sz w:val="24"/>
          <w:szCs w:val="24"/>
          <w:rtl/>
        </w:rPr>
        <w:t>»</w:t>
      </w:r>
      <w:r w:rsidRPr="006571AC">
        <w:rPr>
          <w:sz w:val="27"/>
          <w:vertAlign w:val="superscript"/>
          <w:rtl/>
        </w:rPr>
        <w:t>(</w:t>
      </w:r>
      <w:r w:rsidRPr="006571AC">
        <w:rPr>
          <w:sz w:val="27"/>
          <w:vertAlign w:val="superscript"/>
          <w:rtl/>
        </w:rPr>
        <w:endnoteReference w:id="112"/>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ونستنتج من ذلك </w:t>
      </w:r>
      <w:r w:rsidR="00E16C99" w:rsidRPr="006571AC">
        <w:rPr>
          <w:sz w:val="27"/>
          <w:rtl/>
        </w:rPr>
        <w:t>أن</w:t>
      </w:r>
      <w:r w:rsidR="00E16C99" w:rsidRPr="006571AC">
        <w:rPr>
          <w:rFonts w:hint="cs"/>
          <w:sz w:val="27"/>
          <w:rtl/>
        </w:rPr>
        <w:t>ه ليس</w:t>
      </w:r>
      <w:r w:rsidRPr="006571AC">
        <w:rPr>
          <w:sz w:val="27"/>
          <w:rtl/>
        </w:rPr>
        <w:t xml:space="preserve"> على المتدينين أنْ لا يرفضوا النقد</w:t>
      </w:r>
      <w:r w:rsidR="00E16C99" w:rsidRPr="006571AC">
        <w:rPr>
          <w:rFonts w:hint="cs"/>
          <w:sz w:val="27"/>
          <w:rtl/>
        </w:rPr>
        <w:t xml:space="preserve"> فحَسْب</w:t>
      </w:r>
      <w:r w:rsidR="00E16C99" w:rsidRPr="006571AC">
        <w:rPr>
          <w:sz w:val="27"/>
          <w:rtl/>
        </w:rPr>
        <w:t>، وإنما أن</w:t>
      </w:r>
      <w:r w:rsidRPr="006571AC">
        <w:rPr>
          <w:sz w:val="27"/>
          <w:rtl/>
        </w:rPr>
        <w:t xml:space="preserve"> يبادروا إلى النقد الذاتي، وتقويم الخطاب الديني، في كل</w:t>
      </w:r>
      <w:r w:rsidR="00E16C99" w:rsidRPr="006571AC">
        <w:rPr>
          <w:rFonts w:hint="cs"/>
          <w:sz w:val="27"/>
          <w:rtl/>
        </w:rPr>
        <w:t>ّ</w:t>
      </w:r>
      <w:r w:rsidRPr="006571AC">
        <w:rPr>
          <w:sz w:val="27"/>
          <w:rtl/>
        </w:rPr>
        <w:t xml:space="preserve"> مناسبة</w:t>
      </w:r>
      <w:r w:rsidR="00E16C99" w:rsidRPr="006571AC">
        <w:rPr>
          <w:rFonts w:hint="cs"/>
          <w:sz w:val="27"/>
          <w:rtl/>
        </w:rPr>
        <w:t>ٍ</w:t>
      </w:r>
      <w:r w:rsidRPr="006571AC">
        <w:rPr>
          <w:sz w:val="27"/>
          <w:rtl/>
        </w:rPr>
        <w:t xml:space="preserve"> وكل</w:t>
      </w:r>
      <w:r w:rsidR="00E16C99" w:rsidRPr="006571AC">
        <w:rPr>
          <w:rFonts w:hint="cs"/>
          <w:sz w:val="27"/>
          <w:rtl/>
        </w:rPr>
        <w:t>ّ</w:t>
      </w:r>
      <w:r w:rsidRPr="006571AC">
        <w:rPr>
          <w:sz w:val="27"/>
          <w:rtl/>
        </w:rPr>
        <w:t xml:space="preserve"> موسم</w:t>
      </w:r>
      <w:r w:rsidR="00E16C99" w:rsidRPr="006571AC">
        <w:rPr>
          <w:rFonts w:hint="cs"/>
          <w:sz w:val="27"/>
          <w:rtl/>
        </w:rPr>
        <w:t>ٍ</w:t>
      </w:r>
      <w:r w:rsidRPr="006571AC">
        <w:rPr>
          <w:sz w:val="27"/>
          <w:rtl/>
        </w:rPr>
        <w:t>، وأن يشج</w:t>
      </w:r>
      <w:r w:rsidR="00E16C99" w:rsidRPr="006571AC">
        <w:rPr>
          <w:rFonts w:hint="cs"/>
          <w:sz w:val="27"/>
          <w:rtl/>
        </w:rPr>
        <w:t>ِّ</w:t>
      </w:r>
      <w:r w:rsidRPr="006571AC">
        <w:rPr>
          <w:sz w:val="27"/>
          <w:rtl/>
        </w:rPr>
        <w:t>عوا من حولهم على ممارسته والترحيب به، كما جاء في كلام الإمام علي</w:t>
      </w:r>
      <w:r w:rsidR="00E16C99" w:rsidRPr="006571AC">
        <w:rPr>
          <w:rFonts w:hint="cs"/>
          <w:sz w:val="27"/>
          <w:rtl/>
        </w:rPr>
        <w:t>ّ</w:t>
      </w:r>
      <w:r w:rsidR="00E16C99" w:rsidRPr="006571AC">
        <w:rPr>
          <w:rFonts w:ascii="Mosawi" w:hAnsi="Mosawi" w:cs="Mosawi"/>
          <w:sz w:val="22"/>
          <w:szCs w:val="22"/>
          <w:rtl/>
        </w:rPr>
        <w:t>×</w:t>
      </w:r>
      <w:r w:rsidRPr="006571AC">
        <w:rPr>
          <w:sz w:val="27"/>
          <w:rtl/>
        </w:rPr>
        <w:t xml:space="preserve">. </w:t>
      </w:r>
    </w:p>
    <w:p w:rsidR="007C76F0" w:rsidRPr="006571AC" w:rsidRDefault="007C76F0" w:rsidP="00F22B89">
      <w:pPr>
        <w:rPr>
          <w:sz w:val="27"/>
          <w:rtl/>
        </w:rPr>
      </w:pPr>
      <w:r w:rsidRPr="006571AC">
        <w:rPr>
          <w:sz w:val="27"/>
          <w:rtl/>
        </w:rPr>
        <w:t>ونستحضر هنا بعض المبادرات النقدية الجريئة التي قام بها علماء أجلا</w:t>
      </w:r>
      <w:r w:rsidR="00E16C99" w:rsidRPr="006571AC">
        <w:rPr>
          <w:rFonts w:hint="cs"/>
          <w:sz w:val="27"/>
          <w:rtl/>
        </w:rPr>
        <w:t>ّ</w:t>
      </w:r>
      <w:r w:rsidRPr="006571AC">
        <w:rPr>
          <w:sz w:val="27"/>
          <w:rtl/>
        </w:rPr>
        <w:t xml:space="preserve">ء لهم مكانتهم في الساحة الشيعية، ومنهم: </w:t>
      </w:r>
    </w:p>
    <w:p w:rsidR="007C76F0" w:rsidRPr="006571AC" w:rsidRDefault="00E16C99" w:rsidP="00F22B89">
      <w:pPr>
        <w:rPr>
          <w:sz w:val="27"/>
        </w:rPr>
      </w:pPr>
      <w:r w:rsidRPr="006571AC">
        <w:rPr>
          <w:rFonts w:hint="cs"/>
          <w:sz w:val="27"/>
          <w:rtl/>
        </w:rPr>
        <w:t>1</w:t>
      </w:r>
      <w:r w:rsidR="007C76F0" w:rsidRPr="006571AC">
        <w:rPr>
          <w:rFonts w:hint="cs"/>
          <w:sz w:val="27"/>
          <w:rtl/>
        </w:rPr>
        <w:t xml:space="preserve">ـ </w:t>
      </w:r>
      <w:r w:rsidR="007C76F0" w:rsidRPr="006571AC">
        <w:rPr>
          <w:sz w:val="27"/>
          <w:rtl/>
        </w:rPr>
        <w:t>المحد</w:t>
      </w:r>
      <w:r w:rsidRPr="006571AC">
        <w:rPr>
          <w:rFonts w:hint="cs"/>
          <w:sz w:val="27"/>
          <w:rtl/>
        </w:rPr>
        <w:t>ِّ</w:t>
      </w:r>
      <w:r w:rsidR="007C76F0" w:rsidRPr="006571AC">
        <w:rPr>
          <w:sz w:val="27"/>
          <w:rtl/>
        </w:rPr>
        <w:t>ث الشيخ حسين النوري</w:t>
      </w:r>
      <w:r w:rsidRPr="006571AC">
        <w:rPr>
          <w:rFonts w:hint="cs"/>
          <w:sz w:val="27"/>
          <w:rtl/>
        </w:rPr>
        <w:t>،</w:t>
      </w:r>
      <w:r w:rsidR="007C76F0" w:rsidRPr="006571AC">
        <w:rPr>
          <w:sz w:val="27"/>
          <w:rtl/>
        </w:rPr>
        <w:t xml:space="preserve"> صاحب مستدرك الوسائل، والذي ألّف كتاباً بعنوان (اللؤلؤ والمرجان في آداب أهل المنبر)</w:t>
      </w:r>
      <w:r w:rsidRPr="006571AC">
        <w:rPr>
          <w:rFonts w:hint="cs"/>
          <w:sz w:val="27"/>
          <w:rtl/>
        </w:rPr>
        <w:t>،</w:t>
      </w:r>
      <w:r w:rsidR="007C76F0" w:rsidRPr="006571AC">
        <w:rPr>
          <w:sz w:val="27"/>
          <w:rtl/>
        </w:rPr>
        <w:t xml:space="preserve"> سل</w:t>
      </w:r>
      <w:r w:rsidRPr="006571AC">
        <w:rPr>
          <w:rFonts w:hint="cs"/>
          <w:sz w:val="27"/>
          <w:rtl/>
        </w:rPr>
        <w:t>َّ</w:t>
      </w:r>
      <w:r w:rsidR="007C76F0" w:rsidRPr="006571AC">
        <w:rPr>
          <w:sz w:val="27"/>
          <w:rtl/>
        </w:rPr>
        <w:t xml:space="preserve">ط فيه الأضواء على الممارسات </w:t>
      </w:r>
      <w:r w:rsidR="007C76F0" w:rsidRPr="006571AC">
        <w:rPr>
          <w:sz w:val="27"/>
          <w:rtl/>
        </w:rPr>
        <w:lastRenderedPageBreak/>
        <w:t>الخطابية الرائجة المخالفة للضوابط الشرعية، وفنّ</w:t>
      </w:r>
      <w:r w:rsidRPr="006571AC">
        <w:rPr>
          <w:rFonts w:hint="cs"/>
          <w:sz w:val="27"/>
          <w:rtl/>
        </w:rPr>
        <w:t>َ</w:t>
      </w:r>
      <w:r w:rsidR="007C76F0" w:rsidRPr="006571AC">
        <w:rPr>
          <w:sz w:val="27"/>
          <w:rtl/>
        </w:rPr>
        <w:t>د كل</w:t>
      </w:r>
      <w:r w:rsidRPr="006571AC">
        <w:rPr>
          <w:rFonts w:hint="cs"/>
          <w:sz w:val="27"/>
          <w:rtl/>
        </w:rPr>
        <w:t>ّ</w:t>
      </w:r>
      <w:r w:rsidR="007C76F0" w:rsidRPr="006571AC">
        <w:rPr>
          <w:sz w:val="27"/>
          <w:rtl/>
        </w:rPr>
        <w:t xml:space="preserve"> مبر</w:t>
      </w:r>
      <w:r w:rsidRPr="006571AC">
        <w:rPr>
          <w:rFonts w:hint="cs"/>
          <w:sz w:val="27"/>
          <w:rtl/>
        </w:rPr>
        <w:t>ِّ</w:t>
      </w:r>
      <w:r w:rsidR="007C76F0" w:rsidRPr="006571AC">
        <w:rPr>
          <w:sz w:val="27"/>
          <w:rtl/>
        </w:rPr>
        <w:t xml:space="preserve">راتها الزائفة. </w:t>
      </w:r>
    </w:p>
    <w:p w:rsidR="007C76F0" w:rsidRPr="006571AC" w:rsidRDefault="00E16C99" w:rsidP="00F22B89">
      <w:pPr>
        <w:rPr>
          <w:sz w:val="27"/>
          <w:rtl/>
        </w:rPr>
      </w:pPr>
      <w:r w:rsidRPr="006571AC">
        <w:rPr>
          <w:rFonts w:hint="cs"/>
          <w:sz w:val="27"/>
          <w:rtl/>
        </w:rPr>
        <w:t>2</w:t>
      </w:r>
      <w:r w:rsidR="007C76F0" w:rsidRPr="006571AC">
        <w:rPr>
          <w:rFonts w:hint="cs"/>
          <w:sz w:val="27"/>
          <w:rtl/>
        </w:rPr>
        <w:t xml:space="preserve">ـ </w:t>
      </w:r>
      <w:r w:rsidR="007C76F0" w:rsidRPr="006571AC">
        <w:rPr>
          <w:sz w:val="27"/>
          <w:rtl/>
        </w:rPr>
        <w:t>السيد محسن الأمين</w:t>
      </w:r>
      <w:r w:rsidRPr="006571AC">
        <w:rPr>
          <w:rFonts w:hint="cs"/>
          <w:sz w:val="27"/>
          <w:rtl/>
        </w:rPr>
        <w:t>،</w:t>
      </w:r>
      <w:r w:rsidR="007C76F0" w:rsidRPr="006571AC">
        <w:rPr>
          <w:sz w:val="27"/>
          <w:rtl/>
        </w:rPr>
        <w:t xml:space="preserve"> في كتابه (المجالس السني</w:t>
      </w:r>
      <w:r w:rsidRPr="006571AC">
        <w:rPr>
          <w:rFonts w:hint="cs"/>
          <w:sz w:val="27"/>
          <w:rtl/>
        </w:rPr>
        <w:t>ّ</w:t>
      </w:r>
      <w:r w:rsidR="007C76F0" w:rsidRPr="006571AC">
        <w:rPr>
          <w:sz w:val="27"/>
          <w:rtl/>
        </w:rPr>
        <w:t>ة في مناقب ومصائب العترة النبوية)، وهو من عد</w:t>
      </w:r>
      <w:r w:rsidRPr="006571AC">
        <w:rPr>
          <w:rFonts w:hint="cs"/>
          <w:sz w:val="27"/>
          <w:rtl/>
        </w:rPr>
        <w:t>ّ</w:t>
      </w:r>
      <w:r w:rsidR="007C76F0" w:rsidRPr="006571AC">
        <w:rPr>
          <w:sz w:val="27"/>
          <w:rtl/>
        </w:rPr>
        <w:t>ة أجزاء</w:t>
      </w:r>
      <w:r w:rsidRPr="006571AC">
        <w:rPr>
          <w:rFonts w:hint="cs"/>
          <w:sz w:val="27"/>
          <w:rtl/>
        </w:rPr>
        <w:t>.</w:t>
      </w:r>
      <w:r w:rsidR="007C76F0" w:rsidRPr="006571AC">
        <w:rPr>
          <w:sz w:val="27"/>
          <w:rtl/>
        </w:rPr>
        <w:t xml:space="preserve"> ويسج</w:t>
      </w:r>
      <w:r w:rsidRPr="006571AC">
        <w:rPr>
          <w:rFonts w:hint="cs"/>
          <w:sz w:val="27"/>
          <w:rtl/>
        </w:rPr>
        <w:t>ِّ</w:t>
      </w:r>
      <w:r w:rsidR="007C76F0" w:rsidRPr="006571AC">
        <w:rPr>
          <w:sz w:val="27"/>
          <w:rtl/>
        </w:rPr>
        <w:t>ل السيد الأمين في مقد</w:t>
      </w:r>
      <w:r w:rsidRPr="006571AC">
        <w:rPr>
          <w:rFonts w:hint="cs"/>
          <w:sz w:val="27"/>
          <w:rtl/>
        </w:rPr>
        <w:t>ّ</w:t>
      </w:r>
      <w:r w:rsidR="007C76F0" w:rsidRPr="006571AC">
        <w:rPr>
          <w:sz w:val="27"/>
          <w:rtl/>
        </w:rPr>
        <w:t>مة هذا الكتاب نقداً شديداً لخطابة كثير</w:t>
      </w:r>
      <w:r w:rsidRPr="006571AC">
        <w:rPr>
          <w:rFonts w:hint="cs"/>
          <w:sz w:val="27"/>
          <w:rtl/>
        </w:rPr>
        <w:t>ٍ</w:t>
      </w:r>
      <w:r w:rsidR="007C76F0" w:rsidRPr="006571AC">
        <w:rPr>
          <w:sz w:val="27"/>
          <w:rtl/>
        </w:rPr>
        <w:t xml:space="preserve"> من الذاكرين في مناسبات أهل البيت</w:t>
      </w:r>
      <w:r w:rsidRPr="006571AC">
        <w:rPr>
          <w:rFonts w:ascii="Mosawi" w:hAnsi="Mosawi" w:cs="Mosawi"/>
          <w:sz w:val="22"/>
          <w:szCs w:val="22"/>
          <w:rtl/>
        </w:rPr>
        <w:t>^</w:t>
      </w:r>
      <w:r w:rsidRPr="006571AC">
        <w:rPr>
          <w:rFonts w:hint="cs"/>
          <w:sz w:val="27"/>
          <w:rtl/>
        </w:rPr>
        <w:t>،</w:t>
      </w:r>
      <w:r w:rsidR="007C76F0" w:rsidRPr="006571AC">
        <w:rPr>
          <w:sz w:val="27"/>
          <w:rtl/>
        </w:rPr>
        <w:t xml:space="preserve"> ويصفها أنها مخالفة لنهج أهل البيت وتعاليمهم</w:t>
      </w:r>
      <w:r w:rsidR="007C76F0" w:rsidRPr="006571AC">
        <w:rPr>
          <w:sz w:val="27"/>
          <w:vertAlign w:val="superscript"/>
          <w:rtl/>
        </w:rPr>
        <w:t>(</w:t>
      </w:r>
      <w:r w:rsidR="007C76F0" w:rsidRPr="006571AC">
        <w:rPr>
          <w:sz w:val="27"/>
          <w:vertAlign w:val="superscript"/>
          <w:rtl/>
        </w:rPr>
        <w:endnoteReference w:id="113"/>
      </w:r>
      <w:r w:rsidR="007C76F0" w:rsidRPr="006571AC">
        <w:rPr>
          <w:sz w:val="27"/>
          <w:vertAlign w:val="superscript"/>
          <w:rtl/>
        </w:rPr>
        <w:t>)</w:t>
      </w:r>
      <w:r w:rsidR="007C76F0" w:rsidRPr="006571AC">
        <w:rPr>
          <w:sz w:val="27"/>
          <w:rtl/>
        </w:rPr>
        <w:t xml:space="preserve">. </w:t>
      </w:r>
    </w:p>
    <w:p w:rsidR="007C76F0" w:rsidRPr="006571AC" w:rsidRDefault="00E16C99" w:rsidP="00F22B89">
      <w:pPr>
        <w:rPr>
          <w:sz w:val="27"/>
          <w:rtl/>
        </w:rPr>
      </w:pPr>
      <w:r w:rsidRPr="006571AC">
        <w:rPr>
          <w:rFonts w:hint="cs"/>
          <w:sz w:val="27"/>
          <w:rtl/>
        </w:rPr>
        <w:t>3</w:t>
      </w:r>
      <w:r w:rsidR="007C76F0" w:rsidRPr="006571AC">
        <w:rPr>
          <w:rFonts w:hint="cs"/>
          <w:sz w:val="27"/>
          <w:rtl/>
        </w:rPr>
        <w:t xml:space="preserve">ـ </w:t>
      </w:r>
      <w:r w:rsidR="007C76F0" w:rsidRPr="006571AC">
        <w:rPr>
          <w:sz w:val="27"/>
          <w:rtl/>
        </w:rPr>
        <w:t>الشيخ محمد جواد مغنية</w:t>
      </w:r>
      <w:r w:rsidRPr="006571AC">
        <w:rPr>
          <w:rFonts w:hint="cs"/>
          <w:sz w:val="27"/>
          <w:rtl/>
        </w:rPr>
        <w:t>،</w:t>
      </w:r>
      <w:r w:rsidR="007C76F0" w:rsidRPr="006571AC">
        <w:rPr>
          <w:sz w:val="27"/>
          <w:rtl/>
        </w:rPr>
        <w:t xml:space="preserve"> الذي قدّ</w:t>
      </w:r>
      <w:r w:rsidRPr="006571AC">
        <w:rPr>
          <w:rFonts w:hint="cs"/>
          <w:sz w:val="27"/>
          <w:rtl/>
        </w:rPr>
        <w:t>َ</w:t>
      </w:r>
      <w:r w:rsidR="007C76F0" w:rsidRPr="006571AC">
        <w:rPr>
          <w:sz w:val="27"/>
          <w:rtl/>
        </w:rPr>
        <w:t>م نقداً لكثيرٍ من مجالات الحالة الدينية، والخطاب الديني، في عددٍ من مؤل</w:t>
      </w:r>
      <w:r w:rsidRPr="006571AC">
        <w:rPr>
          <w:rFonts w:hint="cs"/>
          <w:sz w:val="27"/>
          <w:rtl/>
        </w:rPr>
        <w:t>َّ</w:t>
      </w:r>
      <w:r w:rsidR="007C76F0" w:rsidRPr="006571AC">
        <w:rPr>
          <w:sz w:val="27"/>
          <w:rtl/>
        </w:rPr>
        <w:t xml:space="preserve">فاته وكتاباته. </w:t>
      </w:r>
    </w:p>
    <w:p w:rsidR="007C76F0" w:rsidRPr="006571AC" w:rsidRDefault="00E16C99" w:rsidP="00F22B89">
      <w:pPr>
        <w:rPr>
          <w:sz w:val="27"/>
          <w:rtl/>
        </w:rPr>
      </w:pPr>
      <w:r w:rsidRPr="006571AC">
        <w:rPr>
          <w:rFonts w:hint="cs"/>
          <w:sz w:val="27"/>
          <w:rtl/>
        </w:rPr>
        <w:t>4</w:t>
      </w:r>
      <w:r w:rsidR="007C76F0" w:rsidRPr="006571AC">
        <w:rPr>
          <w:rFonts w:hint="cs"/>
          <w:sz w:val="27"/>
          <w:rtl/>
        </w:rPr>
        <w:t xml:space="preserve">ـ </w:t>
      </w:r>
      <w:r w:rsidR="007C76F0" w:rsidRPr="006571AC">
        <w:rPr>
          <w:sz w:val="27"/>
          <w:rtl/>
        </w:rPr>
        <w:t>الشيخ مرتضى مُطهّ</w:t>
      </w:r>
      <w:r w:rsidRPr="006571AC">
        <w:rPr>
          <w:rFonts w:hint="cs"/>
          <w:sz w:val="27"/>
          <w:rtl/>
        </w:rPr>
        <w:t>َ</w:t>
      </w:r>
      <w:r w:rsidR="007C76F0" w:rsidRPr="006571AC">
        <w:rPr>
          <w:sz w:val="27"/>
          <w:rtl/>
        </w:rPr>
        <w:t>ري</w:t>
      </w:r>
      <w:r w:rsidR="001B245C" w:rsidRPr="006571AC">
        <w:rPr>
          <w:rFonts w:hint="cs"/>
          <w:sz w:val="27"/>
          <w:rtl/>
        </w:rPr>
        <w:t>، الذي</w:t>
      </w:r>
      <w:r w:rsidR="007C76F0" w:rsidRPr="006571AC">
        <w:rPr>
          <w:sz w:val="27"/>
          <w:rtl/>
        </w:rPr>
        <w:t xml:space="preserve"> نجد في عددٍ من كتبه نقداً مفصّ</w:t>
      </w:r>
      <w:r w:rsidR="001B245C" w:rsidRPr="006571AC">
        <w:rPr>
          <w:rFonts w:hint="cs"/>
          <w:sz w:val="27"/>
          <w:rtl/>
        </w:rPr>
        <w:t>َ</w:t>
      </w:r>
      <w:r w:rsidR="007C76F0" w:rsidRPr="006571AC">
        <w:rPr>
          <w:sz w:val="27"/>
          <w:rtl/>
        </w:rPr>
        <w:t>لاً للمؤسسة الدينية</w:t>
      </w:r>
      <w:r w:rsidR="001B245C" w:rsidRPr="006571AC">
        <w:rPr>
          <w:rFonts w:hint="cs"/>
          <w:sz w:val="27"/>
          <w:rtl/>
        </w:rPr>
        <w:t xml:space="preserve">. </w:t>
      </w:r>
      <w:r w:rsidR="007C76F0" w:rsidRPr="006571AC">
        <w:rPr>
          <w:sz w:val="27"/>
          <w:rtl/>
        </w:rPr>
        <w:t>وقد ط</w:t>
      </w:r>
      <w:r w:rsidR="001B245C" w:rsidRPr="006571AC">
        <w:rPr>
          <w:rFonts w:hint="cs"/>
          <w:sz w:val="27"/>
          <w:rtl/>
        </w:rPr>
        <w:t>ُ</w:t>
      </w:r>
      <w:r w:rsidR="007C76F0" w:rsidRPr="006571AC">
        <w:rPr>
          <w:sz w:val="27"/>
          <w:rtl/>
        </w:rPr>
        <w:t>بعت محاضراته النقدية حول ما يطرحه الخطباء من السيرة الحسينية في ثلاثة مجل</w:t>
      </w:r>
      <w:r w:rsidR="001B245C" w:rsidRPr="006571AC">
        <w:rPr>
          <w:rFonts w:hint="cs"/>
          <w:sz w:val="27"/>
          <w:rtl/>
        </w:rPr>
        <w:t>َّ</w:t>
      </w:r>
      <w:r w:rsidR="007C76F0" w:rsidRPr="006571AC">
        <w:rPr>
          <w:sz w:val="27"/>
          <w:rtl/>
        </w:rPr>
        <w:t>دات بعنوان (الملحمة الحسينية)</w:t>
      </w:r>
      <w:r w:rsidR="001B245C" w:rsidRPr="006571AC">
        <w:rPr>
          <w:rFonts w:hint="cs"/>
          <w:sz w:val="27"/>
          <w:rtl/>
        </w:rPr>
        <w:t>.</w:t>
      </w:r>
      <w:r w:rsidR="007C76F0" w:rsidRPr="006571AC">
        <w:rPr>
          <w:sz w:val="27"/>
          <w:rtl/>
        </w:rPr>
        <w:t xml:space="preserve"> وله كتابات</w:t>
      </w:r>
      <w:r w:rsidR="001B245C" w:rsidRPr="006571AC">
        <w:rPr>
          <w:rFonts w:hint="cs"/>
          <w:sz w:val="27"/>
          <w:rtl/>
        </w:rPr>
        <w:t>ٌ</w:t>
      </w:r>
      <w:r w:rsidR="007C76F0" w:rsidRPr="006571AC">
        <w:rPr>
          <w:sz w:val="27"/>
          <w:rtl/>
        </w:rPr>
        <w:t xml:space="preserve"> في نقد بعض أوضاع الحوزات العلمية، وممارسات المنتمين إلى سلكها، مثل: (إحياء الفكر الديني في الإسلام</w:t>
      </w:r>
      <w:r w:rsidR="001B245C" w:rsidRPr="006571AC">
        <w:rPr>
          <w:rFonts w:hint="cs"/>
          <w:sz w:val="27"/>
          <w:rtl/>
        </w:rPr>
        <w:t>)</w:t>
      </w:r>
      <w:r w:rsidR="007C76F0" w:rsidRPr="006571AC">
        <w:rPr>
          <w:sz w:val="27"/>
          <w:rtl/>
        </w:rPr>
        <w:t xml:space="preserve">، </w:t>
      </w:r>
      <w:r w:rsidR="001B245C" w:rsidRPr="006571AC">
        <w:rPr>
          <w:rFonts w:hint="cs"/>
          <w:sz w:val="27"/>
          <w:rtl/>
        </w:rPr>
        <w:t>(</w:t>
      </w:r>
      <w:r w:rsidR="007C76F0" w:rsidRPr="006571AC">
        <w:rPr>
          <w:sz w:val="27"/>
          <w:rtl/>
        </w:rPr>
        <w:t>نقد الفكر الديني</w:t>
      </w:r>
      <w:r w:rsidR="001B245C" w:rsidRPr="006571AC">
        <w:rPr>
          <w:rFonts w:hint="cs"/>
          <w:sz w:val="27"/>
          <w:rtl/>
        </w:rPr>
        <w:t>)</w:t>
      </w:r>
      <w:r w:rsidR="007C76F0" w:rsidRPr="006571AC">
        <w:rPr>
          <w:sz w:val="27"/>
          <w:rtl/>
        </w:rPr>
        <w:t xml:space="preserve">، </w:t>
      </w:r>
      <w:r w:rsidR="001B245C" w:rsidRPr="006571AC">
        <w:rPr>
          <w:rFonts w:hint="cs"/>
          <w:sz w:val="27"/>
          <w:rtl/>
        </w:rPr>
        <w:t>(</w:t>
      </w:r>
      <w:r w:rsidR="007C76F0" w:rsidRPr="006571AC">
        <w:rPr>
          <w:sz w:val="27"/>
          <w:rtl/>
        </w:rPr>
        <w:t xml:space="preserve">محاضرات في الدين والاجتماع). </w:t>
      </w:r>
    </w:p>
    <w:p w:rsidR="007C76F0" w:rsidRPr="006571AC" w:rsidRDefault="00E16C99" w:rsidP="00F22B89">
      <w:pPr>
        <w:rPr>
          <w:sz w:val="27"/>
        </w:rPr>
      </w:pPr>
      <w:r w:rsidRPr="006571AC">
        <w:rPr>
          <w:rFonts w:hint="cs"/>
          <w:sz w:val="27"/>
          <w:rtl/>
        </w:rPr>
        <w:t>5</w:t>
      </w:r>
      <w:r w:rsidR="007C76F0" w:rsidRPr="006571AC">
        <w:rPr>
          <w:rFonts w:hint="cs"/>
          <w:sz w:val="27"/>
          <w:rtl/>
        </w:rPr>
        <w:t xml:space="preserve">ـ </w:t>
      </w:r>
      <w:r w:rsidR="007C76F0" w:rsidRPr="006571AC">
        <w:rPr>
          <w:sz w:val="27"/>
          <w:rtl/>
        </w:rPr>
        <w:t>الشهيد السيد محمد باقر الصدر</w:t>
      </w:r>
      <w:r w:rsidR="001B245C" w:rsidRPr="006571AC">
        <w:rPr>
          <w:rFonts w:hint="cs"/>
          <w:sz w:val="27"/>
          <w:rtl/>
        </w:rPr>
        <w:t>،</w:t>
      </w:r>
      <w:r w:rsidR="007C76F0" w:rsidRPr="006571AC">
        <w:rPr>
          <w:sz w:val="27"/>
          <w:rtl/>
        </w:rPr>
        <w:t xml:space="preserve"> الذي نقد ال</w:t>
      </w:r>
      <w:r w:rsidR="001B245C" w:rsidRPr="006571AC">
        <w:rPr>
          <w:sz w:val="27"/>
          <w:rtl/>
        </w:rPr>
        <w:t>رسائل العملية للفقهاء، ورأى أن</w:t>
      </w:r>
      <w:r w:rsidR="007C76F0" w:rsidRPr="006571AC">
        <w:rPr>
          <w:sz w:val="27"/>
          <w:rtl/>
        </w:rPr>
        <w:t xml:space="preserve"> الأسلوب المتداول فيها لم يع</w:t>
      </w:r>
      <w:r w:rsidR="001B245C" w:rsidRPr="006571AC">
        <w:rPr>
          <w:rFonts w:hint="cs"/>
          <w:sz w:val="27"/>
          <w:rtl/>
        </w:rPr>
        <w:t>ُ</w:t>
      </w:r>
      <w:r w:rsidR="007C76F0" w:rsidRPr="006571AC">
        <w:rPr>
          <w:sz w:val="27"/>
          <w:rtl/>
        </w:rPr>
        <w:t>د</w:t>
      </w:r>
      <w:r w:rsidR="001B245C" w:rsidRPr="006571AC">
        <w:rPr>
          <w:rFonts w:hint="cs"/>
          <w:sz w:val="27"/>
          <w:rtl/>
        </w:rPr>
        <w:t>ْ</w:t>
      </w:r>
      <w:r w:rsidR="007C76F0" w:rsidRPr="006571AC">
        <w:rPr>
          <w:sz w:val="27"/>
          <w:rtl/>
        </w:rPr>
        <w:t xml:space="preserve"> يناسب لغة العصر، وثقافة الناس المكلّ</w:t>
      </w:r>
      <w:r w:rsidR="001B245C" w:rsidRPr="006571AC">
        <w:rPr>
          <w:rFonts w:hint="cs"/>
          <w:sz w:val="27"/>
          <w:rtl/>
        </w:rPr>
        <w:t>َ</w:t>
      </w:r>
      <w:r w:rsidR="007C76F0" w:rsidRPr="006571AC">
        <w:rPr>
          <w:sz w:val="27"/>
          <w:rtl/>
        </w:rPr>
        <w:t>فين، فعرض رأيه صريحاً في مقد</w:t>
      </w:r>
      <w:r w:rsidR="001B245C" w:rsidRPr="006571AC">
        <w:rPr>
          <w:rFonts w:hint="cs"/>
          <w:sz w:val="27"/>
          <w:rtl/>
        </w:rPr>
        <w:t>ّ</w:t>
      </w:r>
      <w:r w:rsidR="007C76F0" w:rsidRPr="006571AC">
        <w:rPr>
          <w:sz w:val="27"/>
          <w:rtl/>
        </w:rPr>
        <w:t>مة رسالته (الفتاوى الواضحة)</w:t>
      </w:r>
      <w:r w:rsidR="001B245C" w:rsidRPr="006571AC">
        <w:rPr>
          <w:rFonts w:hint="cs"/>
          <w:sz w:val="27"/>
          <w:rtl/>
        </w:rPr>
        <w:t>.</w:t>
      </w:r>
      <w:r w:rsidR="007C76F0" w:rsidRPr="006571AC">
        <w:rPr>
          <w:sz w:val="27"/>
          <w:rtl/>
        </w:rPr>
        <w:t xml:space="preserve"> وله أيضاً نقد عميق تجاه مناهج الحوزة العلمية ودروسها، كتبه في مقد</w:t>
      </w:r>
      <w:r w:rsidR="001B245C" w:rsidRPr="006571AC">
        <w:rPr>
          <w:rFonts w:hint="cs"/>
          <w:sz w:val="27"/>
          <w:rtl/>
        </w:rPr>
        <w:t>ّ</w:t>
      </w:r>
      <w:r w:rsidR="007C76F0" w:rsidRPr="006571AC">
        <w:rPr>
          <w:sz w:val="27"/>
          <w:rtl/>
        </w:rPr>
        <w:t>مات حلقاته في علم الأصول</w:t>
      </w:r>
      <w:r w:rsidR="001B245C" w:rsidRPr="006571AC">
        <w:rPr>
          <w:rFonts w:hint="cs"/>
          <w:sz w:val="27"/>
          <w:rtl/>
        </w:rPr>
        <w:t>.</w:t>
      </w:r>
      <w:r w:rsidR="007C76F0" w:rsidRPr="006571AC">
        <w:rPr>
          <w:sz w:val="27"/>
          <w:rtl/>
        </w:rPr>
        <w:t xml:space="preserve"> كما انتقد أسلوب تعامل الحوزة العلمية مع المجتمع في محاضرات سج</w:t>
      </w:r>
      <w:r w:rsidR="001B245C" w:rsidRPr="006571AC">
        <w:rPr>
          <w:rFonts w:hint="cs"/>
          <w:sz w:val="27"/>
          <w:rtl/>
        </w:rPr>
        <w:t>َّ</w:t>
      </w:r>
      <w:r w:rsidR="007C76F0" w:rsidRPr="006571AC">
        <w:rPr>
          <w:sz w:val="27"/>
          <w:rtl/>
        </w:rPr>
        <w:t xml:space="preserve">لها في آخر أيام حياته، وصدرت في كتاب بعنوان (المحنة). </w:t>
      </w:r>
    </w:p>
    <w:p w:rsidR="007C76F0" w:rsidRPr="006571AC" w:rsidRDefault="007C76F0" w:rsidP="00F22B89">
      <w:pPr>
        <w:rPr>
          <w:sz w:val="27"/>
          <w:rtl/>
        </w:rPr>
      </w:pPr>
      <w:r w:rsidRPr="006571AC">
        <w:rPr>
          <w:sz w:val="27"/>
          <w:rtl/>
        </w:rPr>
        <w:t>وهكذا سائر العلماء الذين بادروا إلى نقد الخطاب الديني</w:t>
      </w:r>
      <w:r w:rsidR="001B245C" w:rsidRPr="006571AC">
        <w:rPr>
          <w:rFonts w:hint="cs"/>
          <w:sz w:val="27"/>
          <w:rtl/>
        </w:rPr>
        <w:t>،</w:t>
      </w:r>
      <w:r w:rsidRPr="006571AC">
        <w:rPr>
          <w:sz w:val="27"/>
          <w:rtl/>
        </w:rPr>
        <w:t xml:space="preserve"> كلٌّ في مجاله، وضمن الزاوية التي نظر اليها. </w:t>
      </w:r>
    </w:p>
    <w:p w:rsidR="007C76F0" w:rsidRPr="006571AC" w:rsidRDefault="001B245C" w:rsidP="00F22B89">
      <w:pPr>
        <w:rPr>
          <w:sz w:val="27"/>
          <w:rtl/>
        </w:rPr>
      </w:pPr>
      <w:r w:rsidRPr="006571AC">
        <w:rPr>
          <w:sz w:val="27"/>
          <w:rtl/>
        </w:rPr>
        <w:t>ولا يعني ذلك أنّ كلّ رأي</w:t>
      </w:r>
      <w:r w:rsidRPr="006571AC">
        <w:rPr>
          <w:rFonts w:hint="cs"/>
          <w:sz w:val="27"/>
          <w:rtl/>
        </w:rPr>
        <w:t>ٍ</w:t>
      </w:r>
      <w:r w:rsidR="007C76F0" w:rsidRPr="006571AC">
        <w:rPr>
          <w:sz w:val="27"/>
          <w:rtl/>
        </w:rPr>
        <w:t xml:space="preserve"> من الآراء الناقدة صحيح</w:t>
      </w:r>
      <w:r w:rsidRPr="006571AC">
        <w:rPr>
          <w:rFonts w:hint="cs"/>
          <w:sz w:val="27"/>
          <w:rtl/>
        </w:rPr>
        <w:t>ٌ</w:t>
      </w:r>
      <w:r w:rsidR="007C76F0" w:rsidRPr="006571AC">
        <w:rPr>
          <w:sz w:val="27"/>
          <w:rtl/>
        </w:rPr>
        <w:t xml:space="preserve"> بالمطلق، فآراء هؤلاء العلماء تقبل النقاش، والمجال مفتوح</w:t>
      </w:r>
      <w:r w:rsidRPr="006571AC">
        <w:rPr>
          <w:rFonts w:hint="cs"/>
          <w:sz w:val="27"/>
          <w:rtl/>
        </w:rPr>
        <w:t>ٌ</w:t>
      </w:r>
      <w:r w:rsidR="007C76F0" w:rsidRPr="006571AC">
        <w:rPr>
          <w:sz w:val="27"/>
          <w:rtl/>
        </w:rPr>
        <w:t xml:space="preserve"> للبحث، والمبادرات قائمة</w:t>
      </w:r>
      <w:r w:rsidR="003C4A6B" w:rsidRPr="006571AC">
        <w:rPr>
          <w:rFonts w:hint="cs"/>
          <w:sz w:val="27"/>
          <w:rtl/>
        </w:rPr>
        <w:t>ٌ</w:t>
      </w:r>
      <w:r w:rsidR="007C76F0" w:rsidRPr="006571AC">
        <w:rPr>
          <w:sz w:val="27"/>
          <w:rtl/>
        </w:rPr>
        <w:t>. وخلاصة القول</w:t>
      </w:r>
      <w:r w:rsidRPr="006571AC">
        <w:rPr>
          <w:rFonts w:hint="cs"/>
          <w:sz w:val="27"/>
          <w:rtl/>
        </w:rPr>
        <w:t>:</w:t>
      </w:r>
      <w:r w:rsidR="007C76F0" w:rsidRPr="006571AC">
        <w:rPr>
          <w:sz w:val="27"/>
          <w:rtl/>
        </w:rPr>
        <w:t xml:space="preserve"> إن النقد والتقويم للخطاب الديني مشروعٌ ومفيدٌ للحالة الدينية. </w:t>
      </w:r>
    </w:p>
    <w:p w:rsidR="00CA4C79" w:rsidRPr="006571AC" w:rsidRDefault="007C76F0" w:rsidP="00F22B89">
      <w:pPr>
        <w:rPr>
          <w:sz w:val="27"/>
          <w:rtl/>
        </w:rPr>
      </w:pPr>
      <w:r w:rsidRPr="006571AC">
        <w:rPr>
          <w:sz w:val="27"/>
          <w:rtl/>
        </w:rPr>
        <w:t xml:space="preserve">ونُشيد هنا ببيان المرجعية الدينية العُليا </w:t>
      </w:r>
      <w:r w:rsidR="001B245C" w:rsidRPr="006571AC">
        <w:rPr>
          <w:rFonts w:hint="cs"/>
          <w:sz w:val="27"/>
          <w:rtl/>
        </w:rPr>
        <w:t>(</w:t>
      </w:r>
      <w:r w:rsidRPr="006571AC">
        <w:rPr>
          <w:sz w:val="27"/>
          <w:rtl/>
        </w:rPr>
        <w:t>السيد علي السيستاني</w:t>
      </w:r>
      <w:r w:rsidR="001B245C" w:rsidRPr="006571AC">
        <w:rPr>
          <w:rFonts w:hint="cs"/>
          <w:sz w:val="27"/>
          <w:rtl/>
        </w:rPr>
        <w:t>)،</w:t>
      </w:r>
      <w:r w:rsidRPr="006571AC">
        <w:rPr>
          <w:sz w:val="27"/>
          <w:rtl/>
        </w:rPr>
        <w:t xml:space="preserve"> الذي صدر بمناسبة قرب حلول شهر محر</w:t>
      </w:r>
      <w:r w:rsidR="00CA4C79" w:rsidRPr="006571AC">
        <w:rPr>
          <w:rFonts w:hint="cs"/>
          <w:sz w:val="27"/>
          <w:rtl/>
        </w:rPr>
        <w:t>َّ</w:t>
      </w:r>
      <w:r w:rsidRPr="006571AC">
        <w:rPr>
          <w:sz w:val="27"/>
          <w:rtl/>
        </w:rPr>
        <w:t>م 1441هـ</w:t>
      </w:r>
      <w:r w:rsidR="00CA4C79" w:rsidRPr="006571AC">
        <w:rPr>
          <w:rFonts w:hint="cs"/>
          <w:sz w:val="27"/>
          <w:rtl/>
        </w:rPr>
        <w:t>،</w:t>
      </w:r>
      <w:r w:rsidRPr="006571AC">
        <w:rPr>
          <w:sz w:val="27"/>
          <w:rtl/>
        </w:rPr>
        <w:t xml:space="preserve"> كوصايا للخطباء والمبلّ</w:t>
      </w:r>
      <w:r w:rsidR="001B245C" w:rsidRPr="006571AC">
        <w:rPr>
          <w:rFonts w:hint="cs"/>
          <w:sz w:val="27"/>
          <w:rtl/>
        </w:rPr>
        <w:t>ِ</w:t>
      </w:r>
      <w:r w:rsidRPr="006571AC">
        <w:rPr>
          <w:sz w:val="27"/>
          <w:rtl/>
        </w:rPr>
        <w:t>غين، تضم</w:t>
      </w:r>
      <w:r w:rsidR="001B245C" w:rsidRPr="006571AC">
        <w:rPr>
          <w:rFonts w:hint="cs"/>
          <w:sz w:val="27"/>
          <w:rtl/>
        </w:rPr>
        <w:t>َّ</w:t>
      </w:r>
      <w:r w:rsidRPr="006571AC">
        <w:rPr>
          <w:sz w:val="27"/>
          <w:rtl/>
        </w:rPr>
        <w:t>نت اثن</w:t>
      </w:r>
      <w:r w:rsidR="003C4A6B" w:rsidRPr="006571AC">
        <w:rPr>
          <w:rFonts w:hint="cs"/>
          <w:sz w:val="27"/>
          <w:rtl/>
        </w:rPr>
        <w:t>ت</w:t>
      </w:r>
      <w:r w:rsidRPr="006571AC">
        <w:rPr>
          <w:sz w:val="27"/>
          <w:rtl/>
        </w:rPr>
        <w:t>ي عشر</w:t>
      </w:r>
      <w:r w:rsidR="003C4A6B" w:rsidRPr="006571AC">
        <w:rPr>
          <w:rFonts w:hint="cs"/>
          <w:sz w:val="27"/>
          <w:rtl/>
        </w:rPr>
        <w:t>ة</w:t>
      </w:r>
      <w:r w:rsidRPr="006571AC">
        <w:rPr>
          <w:sz w:val="27"/>
          <w:rtl/>
        </w:rPr>
        <w:t xml:space="preserve"> حكمة، فيها توجيهات مهم</w:t>
      </w:r>
      <w:r w:rsidR="00CA4C79" w:rsidRPr="006571AC">
        <w:rPr>
          <w:rFonts w:hint="cs"/>
          <w:sz w:val="27"/>
          <w:rtl/>
        </w:rPr>
        <w:t>ّ</w:t>
      </w:r>
      <w:r w:rsidRPr="006571AC">
        <w:rPr>
          <w:sz w:val="27"/>
          <w:rtl/>
        </w:rPr>
        <w:t xml:space="preserve">ة وملاحظات دقيقة، تعالج بعض ثغرات الخطاب </w:t>
      </w:r>
      <w:r w:rsidRPr="006571AC">
        <w:rPr>
          <w:sz w:val="27"/>
          <w:rtl/>
        </w:rPr>
        <w:lastRenderedPageBreak/>
        <w:t xml:space="preserve">الديني المعاصر، ومن </w:t>
      </w:r>
      <w:r w:rsidR="00CA4C79" w:rsidRPr="006571AC">
        <w:rPr>
          <w:rFonts w:hint="cs"/>
          <w:sz w:val="27"/>
          <w:rtl/>
        </w:rPr>
        <w:t>أ</w:t>
      </w:r>
      <w:r w:rsidRPr="006571AC">
        <w:rPr>
          <w:sz w:val="27"/>
          <w:rtl/>
        </w:rPr>
        <w:t>هم</w:t>
      </w:r>
      <w:r w:rsidR="00CA4C79" w:rsidRPr="006571AC">
        <w:rPr>
          <w:rFonts w:hint="cs"/>
          <w:sz w:val="27"/>
          <w:rtl/>
        </w:rPr>
        <w:t>ّ</w:t>
      </w:r>
      <w:r w:rsidRPr="006571AC">
        <w:rPr>
          <w:sz w:val="27"/>
          <w:rtl/>
        </w:rPr>
        <w:t xml:space="preserve"> نقاط الضعف التي عالجها هذا البيان المهم</w:t>
      </w:r>
      <w:r w:rsidR="00CA4C79" w:rsidRPr="006571AC">
        <w:rPr>
          <w:rFonts w:hint="cs"/>
          <w:sz w:val="27"/>
          <w:rtl/>
        </w:rPr>
        <w:t>ّ</w:t>
      </w:r>
      <w:r w:rsidRPr="006571AC">
        <w:rPr>
          <w:sz w:val="27"/>
          <w:rtl/>
        </w:rPr>
        <w:t>، وسل</w:t>
      </w:r>
      <w:r w:rsidR="00CA4C79" w:rsidRPr="006571AC">
        <w:rPr>
          <w:rFonts w:hint="cs"/>
          <w:sz w:val="27"/>
          <w:rtl/>
        </w:rPr>
        <w:t>َّ</w:t>
      </w:r>
      <w:r w:rsidRPr="006571AC">
        <w:rPr>
          <w:sz w:val="27"/>
          <w:rtl/>
        </w:rPr>
        <w:t>ط عليها الأضواء، ما ننقله من النص</w:t>
      </w:r>
      <w:r w:rsidR="00CA4C79" w:rsidRPr="006571AC">
        <w:rPr>
          <w:rFonts w:hint="cs"/>
          <w:sz w:val="27"/>
          <w:rtl/>
        </w:rPr>
        <w:t>ّ</w:t>
      </w:r>
      <w:r w:rsidRPr="006571AC">
        <w:rPr>
          <w:sz w:val="27"/>
          <w:rtl/>
        </w:rPr>
        <w:t xml:space="preserve"> الصادر من مكتب سماحته</w:t>
      </w:r>
      <w:r w:rsidR="00CA4C79" w:rsidRPr="006571AC">
        <w:rPr>
          <w:rFonts w:hint="cs"/>
          <w:sz w:val="27"/>
          <w:rtl/>
        </w:rPr>
        <w:t>.</w:t>
      </w:r>
    </w:p>
    <w:p w:rsidR="007C76F0" w:rsidRPr="006571AC" w:rsidRDefault="00CA4C79" w:rsidP="00F22B89">
      <w:pPr>
        <w:rPr>
          <w:sz w:val="27"/>
          <w:rtl/>
        </w:rPr>
      </w:pPr>
      <w:r w:rsidRPr="006571AC">
        <w:rPr>
          <w:rFonts w:hint="cs"/>
          <w:sz w:val="27"/>
          <w:rtl/>
        </w:rPr>
        <w:t xml:space="preserve">ـ </w:t>
      </w:r>
      <w:r w:rsidR="007C76F0" w:rsidRPr="006571AC">
        <w:rPr>
          <w:sz w:val="27"/>
          <w:rtl/>
        </w:rPr>
        <w:t>فقد جاء في الحكمة السادسة:</w:t>
      </w:r>
      <w:r w:rsidR="007C76F0" w:rsidRPr="006571AC">
        <w:rPr>
          <w:rFonts w:hint="cs"/>
          <w:sz w:val="27"/>
          <w:rtl/>
        </w:rPr>
        <w:t xml:space="preserve"> </w:t>
      </w:r>
      <w:r w:rsidRPr="006571AC">
        <w:rPr>
          <w:rFonts w:hint="eastAsia"/>
          <w:sz w:val="24"/>
          <w:szCs w:val="24"/>
          <w:rtl/>
        </w:rPr>
        <w:t>«</w:t>
      </w:r>
      <w:r w:rsidR="007C76F0" w:rsidRPr="006571AC">
        <w:rPr>
          <w:sz w:val="27"/>
          <w:rtl/>
        </w:rPr>
        <w:t>تجنّ</w:t>
      </w:r>
      <w:r w:rsidRPr="006571AC">
        <w:rPr>
          <w:rFonts w:hint="cs"/>
          <w:sz w:val="27"/>
          <w:rtl/>
        </w:rPr>
        <w:t>ُ</w:t>
      </w:r>
      <w:r w:rsidR="007C76F0" w:rsidRPr="006571AC">
        <w:rPr>
          <w:sz w:val="27"/>
          <w:rtl/>
        </w:rPr>
        <w:t>ب طرح ما يثير الفرقة بين المؤمنين والاختلاف فيهم، والاهتمام بالحفاظ على وحدتهم وتآزرهم والتوادّ بينهم. ومن وجوه ذلك تجنّ</w:t>
      </w:r>
      <w:r w:rsidRPr="006571AC">
        <w:rPr>
          <w:rFonts w:hint="cs"/>
          <w:sz w:val="27"/>
          <w:rtl/>
        </w:rPr>
        <w:t>ُ</w:t>
      </w:r>
      <w:r w:rsidR="007C76F0" w:rsidRPr="006571AC">
        <w:rPr>
          <w:sz w:val="27"/>
          <w:rtl/>
        </w:rPr>
        <w:t>ب التركيز على جهات التمايز بينهم</w:t>
      </w:r>
      <w:r w:rsidRPr="006571AC">
        <w:rPr>
          <w:rFonts w:hint="cs"/>
          <w:sz w:val="27"/>
          <w:rtl/>
        </w:rPr>
        <w:t>،</w:t>
      </w:r>
      <w:r w:rsidR="007C76F0" w:rsidRPr="006571AC">
        <w:rPr>
          <w:sz w:val="27"/>
          <w:rtl/>
        </w:rPr>
        <w:t xml:space="preserve"> مثل</w:t>
      </w:r>
      <w:r w:rsidRPr="006571AC">
        <w:rPr>
          <w:rFonts w:hint="cs"/>
          <w:sz w:val="27"/>
          <w:rtl/>
        </w:rPr>
        <w:t>:</w:t>
      </w:r>
      <w:r w:rsidR="007C76F0" w:rsidRPr="006571AC">
        <w:rPr>
          <w:sz w:val="27"/>
          <w:rtl/>
        </w:rPr>
        <w:t xml:space="preserve"> اختلافهم في التقليد، وفيما يختلف المجتهدون فيه من تفاصيل بعض المعتقدات، بل كلّ خلاف بينهم لا يـُخ</w:t>
      </w:r>
      <w:r w:rsidRPr="006571AC">
        <w:rPr>
          <w:rFonts w:hint="cs"/>
          <w:sz w:val="27"/>
          <w:rtl/>
        </w:rPr>
        <w:t>ْ</w:t>
      </w:r>
      <w:r w:rsidR="007C76F0" w:rsidRPr="006571AC">
        <w:rPr>
          <w:sz w:val="27"/>
          <w:rtl/>
        </w:rPr>
        <w:t>رِج بعضهم عن التمسّك بالكتاب والعترة، حتّى لو نشأ عن الاختلاف في درجات إيمانهم أو بصيرتهم، أو التزامهم أو رشدهم، بل حتّى لو كان عن زلّة</w:t>
      </w:r>
      <w:r w:rsidRPr="006571AC">
        <w:rPr>
          <w:rFonts w:hint="cs"/>
          <w:sz w:val="27"/>
          <w:rtl/>
        </w:rPr>
        <w:t>ٍ</w:t>
      </w:r>
      <w:r w:rsidR="007C76F0" w:rsidRPr="006571AC">
        <w:rPr>
          <w:sz w:val="27"/>
          <w:rtl/>
        </w:rPr>
        <w:t xml:space="preserve"> صادرة من بعضهم. </w:t>
      </w:r>
    </w:p>
    <w:p w:rsidR="007C76F0" w:rsidRPr="006571AC" w:rsidRDefault="007C76F0" w:rsidP="000E1C71">
      <w:pPr>
        <w:rPr>
          <w:sz w:val="27"/>
          <w:rtl/>
        </w:rPr>
      </w:pPr>
      <w:r w:rsidRPr="006571AC">
        <w:rPr>
          <w:sz w:val="27"/>
          <w:rtl/>
        </w:rPr>
        <w:t>ولا ينبغي إشهار الزلّة والتشهير بصاحبها</w:t>
      </w:r>
      <w:r w:rsidR="00CA4C79" w:rsidRPr="006571AC">
        <w:rPr>
          <w:rFonts w:hint="cs"/>
          <w:sz w:val="27"/>
          <w:rtl/>
        </w:rPr>
        <w:t xml:space="preserve">؛ </w:t>
      </w:r>
      <w:r w:rsidRPr="006571AC">
        <w:rPr>
          <w:sz w:val="27"/>
          <w:rtl/>
        </w:rPr>
        <w:t>فإنّ في ذلك ما يؤدّي إلى مزيد اشتهارها، وإلى إصرار صاحبها وم</w:t>
      </w:r>
      <w:r w:rsidR="00DC3B12" w:rsidRPr="006571AC">
        <w:rPr>
          <w:rFonts w:hint="cs"/>
          <w:sz w:val="27"/>
          <w:rtl/>
        </w:rPr>
        <w:t>َ</w:t>
      </w:r>
      <w:r w:rsidRPr="006571AC">
        <w:rPr>
          <w:sz w:val="27"/>
          <w:rtl/>
        </w:rPr>
        <w:t>ن</w:t>
      </w:r>
      <w:r w:rsidR="00DC3B12" w:rsidRPr="006571AC">
        <w:rPr>
          <w:rFonts w:hint="cs"/>
          <w:sz w:val="27"/>
          <w:rtl/>
        </w:rPr>
        <w:t>ْ</w:t>
      </w:r>
      <w:r w:rsidRPr="006571AC">
        <w:rPr>
          <w:sz w:val="27"/>
          <w:rtl/>
        </w:rPr>
        <w:t xml:space="preserve"> قد يتأثّ</w:t>
      </w:r>
      <w:r w:rsidR="00DC3B12" w:rsidRPr="006571AC">
        <w:rPr>
          <w:rFonts w:hint="cs"/>
          <w:sz w:val="27"/>
          <w:rtl/>
        </w:rPr>
        <w:t>َ</w:t>
      </w:r>
      <w:r w:rsidRPr="006571AC">
        <w:rPr>
          <w:sz w:val="27"/>
          <w:rtl/>
        </w:rPr>
        <w:t>ر به عليها، ويوجب و</w:t>
      </w:r>
      <w:r w:rsidR="003C4A6B" w:rsidRPr="006571AC">
        <w:rPr>
          <w:rFonts w:hint="cs"/>
          <w:sz w:val="27"/>
          <w:rtl/>
        </w:rPr>
        <w:t>َ</w:t>
      </w:r>
      <w:r w:rsidRPr="006571AC">
        <w:rPr>
          <w:sz w:val="27"/>
          <w:rtl/>
        </w:rPr>
        <w:t>ه</w:t>
      </w:r>
      <w:r w:rsidR="003C4A6B" w:rsidRPr="006571AC">
        <w:rPr>
          <w:rFonts w:hint="cs"/>
          <w:sz w:val="27"/>
          <w:rtl/>
        </w:rPr>
        <w:t>ْ</w:t>
      </w:r>
      <w:r w:rsidRPr="006571AC">
        <w:rPr>
          <w:sz w:val="27"/>
          <w:rtl/>
        </w:rPr>
        <w:t>ن الحقيقة التي يُراد الحفاظ عليها</w:t>
      </w:r>
      <w:r w:rsidR="00DC3B12" w:rsidRPr="006571AC">
        <w:rPr>
          <w:rFonts w:hint="cs"/>
          <w:sz w:val="27"/>
          <w:rtl/>
        </w:rPr>
        <w:t>،</w:t>
      </w:r>
      <w:r w:rsidRPr="006571AC">
        <w:rPr>
          <w:sz w:val="27"/>
          <w:rtl/>
        </w:rPr>
        <w:t xml:space="preserve"> فضلاً عن عدم جواز التشهير بالمؤمن وتسقيطه بزلّة</w:t>
      </w:r>
      <w:r w:rsidR="00DC3B12" w:rsidRPr="006571AC">
        <w:rPr>
          <w:rFonts w:hint="cs"/>
          <w:sz w:val="27"/>
          <w:rtl/>
        </w:rPr>
        <w:t>ٍ</w:t>
      </w:r>
      <w:r w:rsidRPr="006571AC">
        <w:rPr>
          <w:sz w:val="27"/>
          <w:rtl/>
        </w:rPr>
        <w:t xml:space="preserve"> صدر</w:t>
      </w:r>
      <w:r w:rsidR="000E1C71" w:rsidRPr="006571AC">
        <w:rPr>
          <w:rFonts w:hint="cs"/>
          <w:sz w:val="27"/>
          <w:rtl/>
        </w:rPr>
        <w:t>َ</w:t>
      </w:r>
      <w:r w:rsidRPr="006571AC">
        <w:rPr>
          <w:sz w:val="27"/>
          <w:rtl/>
        </w:rPr>
        <w:t>ت</w:t>
      </w:r>
      <w:r w:rsidR="000E1C71" w:rsidRPr="006571AC">
        <w:rPr>
          <w:rFonts w:hint="cs"/>
          <w:sz w:val="27"/>
          <w:rtl/>
        </w:rPr>
        <w:t>ْ</w:t>
      </w:r>
      <w:r w:rsidRPr="006571AC">
        <w:rPr>
          <w:sz w:val="27"/>
          <w:rtl/>
        </w:rPr>
        <w:t xml:space="preserve"> منه</w:t>
      </w:r>
      <w:r w:rsidR="000E1C71" w:rsidRPr="006571AC">
        <w:rPr>
          <w:rFonts w:hint="cs"/>
          <w:sz w:val="27"/>
          <w:rtl/>
        </w:rPr>
        <w:t>،</w:t>
      </w:r>
      <w:r w:rsidRPr="006571AC">
        <w:rPr>
          <w:sz w:val="27"/>
          <w:rtl/>
        </w:rPr>
        <w:t xml:space="preserve"> </w:t>
      </w:r>
      <w:r w:rsidR="000E1C71" w:rsidRPr="006571AC">
        <w:rPr>
          <w:rFonts w:hint="cs"/>
          <w:sz w:val="27"/>
          <w:rtl/>
        </w:rPr>
        <w:t>و</w:t>
      </w:r>
      <w:r w:rsidRPr="006571AC">
        <w:rPr>
          <w:sz w:val="27"/>
          <w:rtl/>
        </w:rPr>
        <w:t>لا سيّ</w:t>
      </w:r>
      <w:r w:rsidR="00DC3B12" w:rsidRPr="006571AC">
        <w:rPr>
          <w:rFonts w:hint="cs"/>
          <w:sz w:val="27"/>
          <w:rtl/>
        </w:rPr>
        <w:t>َ</w:t>
      </w:r>
      <w:r w:rsidRPr="006571AC">
        <w:rPr>
          <w:sz w:val="27"/>
          <w:rtl/>
        </w:rPr>
        <w:t xml:space="preserve">ما </w:t>
      </w:r>
      <w:r w:rsidR="000E1C71" w:rsidRPr="006571AC">
        <w:rPr>
          <w:rFonts w:hint="cs"/>
          <w:sz w:val="27"/>
          <w:rtl/>
        </w:rPr>
        <w:t>لو</w:t>
      </w:r>
      <w:r w:rsidRPr="006571AC">
        <w:rPr>
          <w:sz w:val="27"/>
          <w:rtl/>
        </w:rPr>
        <w:t xml:space="preserve"> أوحى ذلك بعدم تقدير سائر خصائصه ومزاياه، ورُبّ زلّة</w:t>
      </w:r>
      <w:r w:rsidR="00DC3B12" w:rsidRPr="006571AC">
        <w:rPr>
          <w:rFonts w:hint="cs"/>
          <w:sz w:val="27"/>
          <w:rtl/>
        </w:rPr>
        <w:t>ٍ</w:t>
      </w:r>
      <w:r w:rsidRPr="006571AC">
        <w:rPr>
          <w:sz w:val="27"/>
          <w:rtl/>
        </w:rPr>
        <w:t xml:space="preserve"> خمد</w:t>
      </w:r>
      <w:r w:rsidR="000E1C71" w:rsidRPr="006571AC">
        <w:rPr>
          <w:rFonts w:hint="cs"/>
          <w:sz w:val="27"/>
          <w:rtl/>
        </w:rPr>
        <w:t>َ</w:t>
      </w:r>
      <w:r w:rsidRPr="006571AC">
        <w:rPr>
          <w:sz w:val="27"/>
          <w:rtl/>
        </w:rPr>
        <w:t>ت</w:t>
      </w:r>
      <w:r w:rsidR="000E1C71" w:rsidRPr="006571AC">
        <w:rPr>
          <w:rFonts w:hint="cs"/>
          <w:sz w:val="27"/>
          <w:rtl/>
        </w:rPr>
        <w:t>ْ</w:t>
      </w:r>
      <w:r w:rsidRPr="006571AC">
        <w:rPr>
          <w:sz w:val="27"/>
          <w:rtl/>
        </w:rPr>
        <w:t xml:space="preserve"> بالسكوت عنها وترك ذكرها، واتّقد</w:t>
      </w:r>
      <w:r w:rsidR="000E1C71" w:rsidRPr="006571AC">
        <w:rPr>
          <w:rFonts w:hint="cs"/>
          <w:sz w:val="27"/>
          <w:rtl/>
        </w:rPr>
        <w:t>َ</w:t>
      </w:r>
      <w:r w:rsidRPr="006571AC">
        <w:rPr>
          <w:sz w:val="27"/>
          <w:rtl/>
        </w:rPr>
        <w:t>ت</w:t>
      </w:r>
      <w:r w:rsidR="000E1C71" w:rsidRPr="006571AC">
        <w:rPr>
          <w:rFonts w:hint="cs"/>
          <w:sz w:val="27"/>
          <w:rtl/>
        </w:rPr>
        <w:t>ْ</w:t>
      </w:r>
      <w:r w:rsidRPr="006571AC">
        <w:rPr>
          <w:sz w:val="27"/>
          <w:rtl/>
        </w:rPr>
        <w:t xml:space="preserve"> ببيانها والحديث عنها، ورُبّ</w:t>
      </w:r>
      <w:r w:rsidR="00DC3B12" w:rsidRPr="006571AC">
        <w:rPr>
          <w:rFonts w:hint="cs"/>
          <w:sz w:val="27"/>
          <w:rtl/>
        </w:rPr>
        <w:t>َ</w:t>
      </w:r>
      <w:r w:rsidRPr="006571AC">
        <w:rPr>
          <w:sz w:val="27"/>
          <w:rtl/>
        </w:rPr>
        <w:t xml:space="preserve"> صمت</w:t>
      </w:r>
      <w:r w:rsidR="00DC3B12" w:rsidRPr="006571AC">
        <w:rPr>
          <w:rFonts w:hint="cs"/>
          <w:sz w:val="27"/>
          <w:rtl/>
        </w:rPr>
        <w:t>ٍ</w:t>
      </w:r>
      <w:r w:rsidRPr="006571AC">
        <w:rPr>
          <w:sz w:val="27"/>
          <w:rtl/>
        </w:rPr>
        <w:t xml:space="preserve"> عن شيء</w:t>
      </w:r>
      <w:r w:rsidR="00DC3B12" w:rsidRPr="006571AC">
        <w:rPr>
          <w:rFonts w:hint="cs"/>
          <w:sz w:val="27"/>
          <w:rtl/>
        </w:rPr>
        <w:t>ٍ</w:t>
      </w:r>
      <w:r w:rsidRPr="006571AC">
        <w:rPr>
          <w:sz w:val="27"/>
          <w:rtl/>
        </w:rPr>
        <w:t xml:space="preserve"> خير</w:t>
      </w:r>
      <w:r w:rsidR="00DC3B12" w:rsidRPr="006571AC">
        <w:rPr>
          <w:rFonts w:hint="cs"/>
          <w:sz w:val="27"/>
          <w:rtl/>
        </w:rPr>
        <w:t>ٌ</w:t>
      </w:r>
      <w:r w:rsidRPr="006571AC">
        <w:rPr>
          <w:sz w:val="27"/>
          <w:rtl/>
        </w:rPr>
        <w:t xml:space="preserve"> من كلام</w:t>
      </w:r>
      <w:r w:rsidR="00DC3B12" w:rsidRPr="006571AC">
        <w:rPr>
          <w:rFonts w:hint="cs"/>
          <w:sz w:val="27"/>
          <w:rtl/>
        </w:rPr>
        <w:t>ٍ</w:t>
      </w:r>
      <w:r w:rsidRPr="006571AC">
        <w:rPr>
          <w:sz w:val="27"/>
          <w:rtl/>
        </w:rPr>
        <w:t xml:space="preserve">. </w:t>
      </w:r>
    </w:p>
    <w:p w:rsidR="007C76F0" w:rsidRPr="006571AC" w:rsidRDefault="007C76F0" w:rsidP="00F22B89">
      <w:pPr>
        <w:rPr>
          <w:sz w:val="27"/>
        </w:rPr>
      </w:pPr>
      <w:r w:rsidRPr="006571AC">
        <w:rPr>
          <w:sz w:val="27"/>
          <w:rtl/>
        </w:rPr>
        <w:t>بل ينبغي تجنّ</w:t>
      </w:r>
      <w:r w:rsidR="00DC3B12" w:rsidRPr="006571AC">
        <w:rPr>
          <w:rFonts w:hint="cs"/>
          <w:sz w:val="27"/>
          <w:rtl/>
        </w:rPr>
        <w:t>ُ</w:t>
      </w:r>
      <w:r w:rsidRPr="006571AC">
        <w:rPr>
          <w:sz w:val="27"/>
          <w:rtl/>
        </w:rPr>
        <w:t>ب ما يثير الفرقة بين المسلمين</w:t>
      </w:r>
      <w:r w:rsidR="00DC3B12" w:rsidRPr="006571AC">
        <w:rPr>
          <w:rFonts w:hint="cs"/>
          <w:sz w:val="27"/>
          <w:rtl/>
        </w:rPr>
        <w:t>،</w:t>
      </w:r>
      <w:r w:rsidRPr="006571AC">
        <w:rPr>
          <w:sz w:val="27"/>
          <w:rtl/>
        </w:rPr>
        <w:t xml:space="preserve"> ويوجب الضغينة وسوء الظنّ فيما بينهم، فإنّ ذلك خلاف تعاليمهم وسيرتهم حيث كانوا (صلوات الله عليهم) يحرصون فيها على ح</w:t>
      </w:r>
      <w:r w:rsidR="000E1C71" w:rsidRPr="006571AC">
        <w:rPr>
          <w:rFonts w:hint="cs"/>
          <w:sz w:val="27"/>
          <w:rtl/>
        </w:rPr>
        <w:t>ُ</w:t>
      </w:r>
      <w:r w:rsidRPr="006571AC">
        <w:rPr>
          <w:sz w:val="27"/>
          <w:rtl/>
        </w:rPr>
        <w:t>س</w:t>
      </w:r>
      <w:r w:rsidR="000E1C71" w:rsidRPr="006571AC">
        <w:rPr>
          <w:rFonts w:hint="cs"/>
          <w:sz w:val="27"/>
          <w:rtl/>
        </w:rPr>
        <w:t>ْ</w:t>
      </w:r>
      <w:r w:rsidRPr="006571AC">
        <w:rPr>
          <w:sz w:val="27"/>
          <w:rtl/>
        </w:rPr>
        <w:t>ن التعامل مع الآخر</w:t>
      </w:r>
      <w:r w:rsidR="00DC3B12" w:rsidRPr="006571AC">
        <w:rPr>
          <w:rFonts w:hint="cs"/>
          <w:sz w:val="27"/>
          <w:rtl/>
        </w:rPr>
        <w:t>،</w:t>
      </w:r>
      <w:r w:rsidRPr="006571AC">
        <w:rPr>
          <w:sz w:val="27"/>
          <w:rtl/>
        </w:rPr>
        <w:t xml:space="preserve"> وعدم إبراز الاختلاف على وجه</w:t>
      </w:r>
      <w:r w:rsidR="00DC3B12" w:rsidRPr="006571AC">
        <w:rPr>
          <w:rFonts w:hint="cs"/>
          <w:sz w:val="27"/>
          <w:rtl/>
        </w:rPr>
        <w:t>ٍ</w:t>
      </w:r>
      <w:r w:rsidRPr="006571AC">
        <w:rPr>
          <w:sz w:val="27"/>
          <w:rtl/>
        </w:rPr>
        <w:t xml:space="preserve"> يوجب و</w:t>
      </w:r>
      <w:r w:rsidR="00DC3B12" w:rsidRPr="006571AC">
        <w:rPr>
          <w:rFonts w:hint="cs"/>
          <w:sz w:val="27"/>
          <w:rtl/>
        </w:rPr>
        <w:t>َ</w:t>
      </w:r>
      <w:r w:rsidRPr="006571AC">
        <w:rPr>
          <w:sz w:val="27"/>
          <w:rtl/>
        </w:rPr>
        <w:t>ه</w:t>
      </w:r>
      <w:r w:rsidR="00DC3B12" w:rsidRPr="006571AC">
        <w:rPr>
          <w:rFonts w:hint="cs"/>
          <w:sz w:val="27"/>
          <w:rtl/>
        </w:rPr>
        <w:t>ْ</w:t>
      </w:r>
      <w:r w:rsidRPr="006571AC">
        <w:rPr>
          <w:sz w:val="27"/>
          <w:rtl/>
        </w:rPr>
        <w:t>ن الإسلام أو تشويه الحقّ، حتّى وردت التوصية بالصلاة معهم</w:t>
      </w:r>
      <w:r w:rsidR="00DC3B12" w:rsidRPr="006571AC">
        <w:rPr>
          <w:rFonts w:hint="cs"/>
          <w:sz w:val="27"/>
          <w:rtl/>
        </w:rPr>
        <w:t>،</w:t>
      </w:r>
      <w:r w:rsidRPr="006571AC">
        <w:rPr>
          <w:sz w:val="27"/>
          <w:rtl/>
        </w:rPr>
        <w:t xml:space="preserve"> والكفّ عنهم</w:t>
      </w:r>
      <w:r w:rsidR="00DC3B12" w:rsidRPr="006571AC">
        <w:rPr>
          <w:rFonts w:hint="cs"/>
          <w:sz w:val="27"/>
          <w:rtl/>
        </w:rPr>
        <w:t>،</w:t>
      </w:r>
      <w:r w:rsidRPr="006571AC">
        <w:rPr>
          <w:sz w:val="27"/>
          <w:rtl/>
        </w:rPr>
        <w:t xml:space="preserve"> وحضور مجالسهم</w:t>
      </w:r>
      <w:r w:rsidR="00DC3B12" w:rsidRPr="006571AC">
        <w:rPr>
          <w:rFonts w:hint="cs"/>
          <w:sz w:val="27"/>
          <w:rtl/>
        </w:rPr>
        <w:t>،</w:t>
      </w:r>
      <w:r w:rsidRPr="006571AC">
        <w:rPr>
          <w:sz w:val="27"/>
          <w:rtl/>
        </w:rPr>
        <w:t xml:space="preserve"> وتشييع جنائزهم، وذلك أمر</w:t>
      </w:r>
      <w:r w:rsidR="00DC3B12" w:rsidRPr="006571AC">
        <w:rPr>
          <w:rFonts w:hint="cs"/>
          <w:sz w:val="27"/>
          <w:rtl/>
        </w:rPr>
        <w:t>ٌ</w:t>
      </w:r>
      <w:r w:rsidRPr="006571AC">
        <w:rPr>
          <w:sz w:val="27"/>
          <w:rtl/>
        </w:rPr>
        <w:t xml:space="preserve"> مؤكّ</w:t>
      </w:r>
      <w:r w:rsidR="00DC3B12" w:rsidRPr="006571AC">
        <w:rPr>
          <w:rFonts w:hint="cs"/>
          <w:sz w:val="27"/>
          <w:rtl/>
        </w:rPr>
        <w:t>َ</w:t>
      </w:r>
      <w:r w:rsidRPr="006571AC">
        <w:rPr>
          <w:sz w:val="27"/>
          <w:rtl/>
        </w:rPr>
        <w:t>د</w:t>
      </w:r>
      <w:r w:rsidR="00DC3B12" w:rsidRPr="006571AC">
        <w:rPr>
          <w:rFonts w:hint="cs"/>
          <w:sz w:val="27"/>
          <w:rtl/>
        </w:rPr>
        <w:t>ٌ</w:t>
      </w:r>
      <w:r w:rsidRPr="006571AC">
        <w:rPr>
          <w:sz w:val="27"/>
          <w:rtl/>
        </w:rPr>
        <w:t xml:space="preserve"> وواضح</w:t>
      </w:r>
      <w:r w:rsidR="00DC3B12" w:rsidRPr="006571AC">
        <w:rPr>
          <w:rFonts w:hint="cs"/>
          <w:sz w:val="27"/>
          <w:rtl/>
        </w:rPr>
        <w:t>ٌ</w:t>
      </w:r>
      <w:r w:rsidRPr="006571AC">
        <w:rPr>
          <w:sz w:val="27"/>
          <w:rtl/>
        </w:rPr>
        <w:t xml:space="preserve"> في التاريخ بالنظر إلى أحاديثهم وسيرتهم، ومن ثَمّ كانوا</w:t>
      </w:r>
      <w:r w:rsidR="00DC3B12" w:rsidRPr="006571AC">
        <w:rPr>
          <w:rFonts w:ascii="Mosawi" w:hAnsi="Mosawi" w:cs="Mosawi"/>
          <w:sz w:val="22"/>
          <w:szCs w:val="22"/>
          <w:rtl/>
        </w:rPr>
        <w:t>^</w:t>
      </w:r>
      <w:r w:rsidRPr="006571AC">
        <w:rPr>
          <w:sz w:val="27"/>
          <w:rtl/>
        </w:rPr>
        <w:t xml:space="preserve"> موضع احترام الآخرين وثنائهم</w:t>
      </w:r>
      <w:r w:rsidR="00E6674B" w:rsidRPr="006571AC">
        <w:rPr>
          <w:rFonts w:hint="cs"/>
          <w:sz w:val="27"/>
          <w:rtl/>
        </w:rPr>
        <w:t>،</w:t>
      </w:r>
      <w:r w:rsidRPr="006571AC">
        <w:rPr>
          <w:sz w:val="27"/>
          <w:rtl/>
        </w:rPr>
        <w:t xml:space="preserve"> بل اهتمّوا بالتعلّ</w:t>
      </w:r>
      <w:r w:rsidR="000E1C71" w:rsidRPr="006571AC">
        <w:rPr>
          <w:rFonts w:hint="cs"/>
          <w:sz w:val="27"/>
          <w:rtl/>
        </w:rPr>
        <w:t>ُ</w:t>
      </w:r>
      <w:r w:rsidRPr="006571AC">
        <w:rPr>
          <w:sz w:val="27"/>
          <w:rtl/>
        </w:rPr>
        <w:t>م منهم والتفقّ</w:t>
      </w:r>
      <w:r w:rsidR="000E1C71" w:rsidRPr="006571AC">
        <w:rPr>
          <w:rFonts w:hint="cs"/>
          <w:sz w:val="27"/>
          <w:rtl/>
        </w:rPr>
        <w:t>ُ</w:t>
      </w:r>
      <w:r w:rsidRPr="006571AC">
        <w:rPr>
          <w:sz w:val="27"/>
          <w:rtl/>
        </w:rPr>
        <w:t>ه لديهم</w:t>
      </w:r>
      <w:r w:rsidR="00CA4C79" w:rsidRPr="006571AC">
        <w:rPr>
          <w:rFonts w:hint="eastAsia"/>
          <w:sz w:val="24"/>
          <w:szCs w:val="24"/>
          <w:rtl/>
        </w:rPr>
        <w:t>»</w:t>
      </w:r>
      <w:r w:rsidRPr="006571AC">
        <w:rPr>
          <w:sz w:val="27"/>
          <w:rtl/>
        </w:rPr>
        <w:t xml:space="preserve">. </w:t>
      </w:r>
    </w:p>
    <w:p w:rsidR="007C76F0" w:rsidRPr="006571AC" w:rsidRDefault="007C76F0" w:rsidP="000E1C71">
      <w:pPr>
        <w:rPr>
          <w:sz w:val="27"/>
          <w:rtl/>
        </w:rPr>
      </w:pPr>
      <w:r w:rsidRPr="006571AC">
        <w:rPr>
          <w:rFonts w:hint="cs"/>
          <w:sz w:val="27"/>
          <w:rtl/>
        </w:rPr>
        <w:t xml:space="preserve">ـ </w:t>
      </w:r>
      <w:r w:rsidRPr="006571AC">
        <w:rPr>
          <w:sz w:val="27"/>
          <w:rtl/>
        </w:rPr>
        <w:t xml:space="preserve">ومما جاء في الحكمة السابعة: </w:t>
      </w:r>
      <w:r w:rsidR="00E6674B" w:rsidRPr="006571AC">
        <w:rPr>
          <w:rFonts w:hint="eastAsia"/>
          <w:sz w:val="24"/>
          <w:szCs w:val="24"/>
          <w:rtl/>
        </w:rPr>
        <w:t>«</w:t>
      </w:r>
      <w:r w:rsidR="000E1C71" w:rsidRPr="006571AC">
        <w:rPr>
          <w:sz w:val="27"/>
          <w:rtl/>
        </w:rPr>
        <w:t>تجنّب القول بغير عل</w:t>
      </w:r>
      <w:r w:rsidR="000E1C71" w:rsidRPr="006571AC">
        <w:rPr>
          <w:rFonts w:hint="cs"/>
          <w:sz w:val="27"/>
          <w:rtl/>
        </w:rPr>
        <w:t>مٍ</w:t>
      </w:r>
      <w:r w:rsidRPr="006571AC">
        <w:rPr>
          <w:sz w:val="27"/>
          <w:rtl/>
        </w:rPr>
        <w:t xml:space="preserve"> وبصيرة</w:t>
      </w:r>
      <w:r w:rsidR="000E1C71" w:rsidRPr="006571AC">
        <w:rPr>
          <w:rFonts w:hint="cs"/>
          <w:sz w:val="27"/>
          <w:rtl/>
        </w:rPr>
        <w:t>؛</w:t>
      </w:r>
      <w:r w:rsidRPr="006571AC">
        <w:rPr>
          <w:sz w:val="27"/>
          <w:rtl/>
        </w:rPr>
        <w:t xml:space="preserve"> فإنّ ذلك محرّم في الدين</w:t>
      </w:r>
      <w:r w:rsidR="000E1C71" w:rsidRPr="006571AC">
        <w:rPr>
          <w:rFonts w:hint="cs"/>
          <w:sz w:val="27"/>
          <w:rtl/>
        </w:rPr>
        <w:t>،</w:t>
      </w:r>
      <w:r w:rsidRPr="006571AC">
        <w:rPr>
          <w:sz w:val="27"/>
          <w:rtl/>
        </w:rPr>
        <w:t xml:space="preserve"> أيّاً كان مضمون القول، كما قال تعالى: </w:t>
      </w:r>
      <w:r w:rsidRPr="006571AC">
        <w:rPr>
          <w:rFonts w:ascii="Mosawi" w:hAnsi="Mosawi" w:cs="Mosawi"/>
          <w:sz w:val="24"/>
          <w:szCs w:val="24"/>
          <w:rtl/>
        </w:rPr>
        <w:t>﴿</w:t>
      </w:r>
      <w:r w:rsidR="00E6674B" w:rsidRPr="006571AC">
        <w:rPr>
          <w:b/>
          <w:bCs/>
          <w:sz w:val="27"/>
          <w:rtl/>
        </w:rPr>
        <w:t>وَل</w:t>
      </w:r>
      <w:r w:rsidRPr="006571AC">
        <w:rPr>
          <w:b/>
          <w:bCs/>
          <w:sz w:val="27"/>
          <w:rtl/>
        </w:rPr>
        <w:t>ا</w:t>
      </w:r>
      <w:r w:rsidR="00E6674B" w:rsidRPr="006571AC">
        <w:rPr>
          <w:rFonts w:hint="cs"/>
          <w:b/>
          <w:bCs/>
          <w:sz w:val="27"/>
          <w:rtl/>
        </w:rPr>
        <w:t>َ</w:t>
      </w:r>
      <w:r w:rsidRPr="006571AC">
        <w:rPr>
          <w:b/>
          <w:bCs/>
          <w:sz w:val="27"/>
          <w:rtl/>
        </w:rPr>
        <w:t xml:space="preserve"> تَقْفُ مَا لَيْسَ لَكَ بِهِ عِلْمٌ إِنَّ السَّمْعَ وَالْبَصَرَ وَالْفُؤَادَ كُلُّ أُولَئِكَ كَانَ عَنْهُ مَسْ</w:t>
      </w:r>
      <w:r w:rsidR="00E6674B" w:rsidRPr="006571AC">
        <w:rPr>
          <w:rFonts w:hint="cs"/>
          <w:b/>
          <w:bCs/>
          <w:sz w:val="27"/>
          <w:rtl/>
        </w:rPr>
        <w:t>ؤُ</w:t>
      </w:r>
      <w:r w:rsidRPr="006571AC">
        <w:rPr>
          <w:b/>
          <w:bCs/>
          <w:sz w:val="27"/>
          <w:rtl/>
        </w:rPr>
        <w:t>ولاً</w:t>
      </w:r>
      <w:r w:rsidRPr="006571AC">
        <w:rPr>
          <w:rFonts w:ascii="Mosawi" w:hAnsi="Mosawi" w:cs="Mosawi"/>
          <w:sz w:val="24"/>
          <w:szCs w:val="24"/>
          <w:rtl/>
        </w:rPr>
        <w:t>﴾</w:t>
      </w:r>
      <w:r w:rsidRPr="006571AC">
        <w:rPr>
          <w:rFonts w:hint="cs"/>
          <w:sz w:val="27"/>
          <w:rtl/>
        </w:rPr>
        <w:t>(</w:t>
      </w:r>
      <w:r w:rsidRPr="006571AC">
        <w:rPr>
          <w:sz w:val="27"/>
          <w:rtl/>
        </w:rPr>
        <w:t>الإسراء: 36)، وليس في ح</w:t>
      </w:r>
      <w:r w:rsidR="000E1C71" w:rsidRPr="006571AC">
        <w:rPr>
          <w:rFonts w:hint="cs"/>
          <w:sz w:val="27"/>
          <w:rtl/>
        </w:rPr>
        <w:t>ُ</w:t>
      </w:r>
      <w:r w:rsidRPr="006571AC">
        <w:rPr>
          <w:sz w:val="27"/>
          <w:rtl/>
        </w:rPr>
        <w:t>س</w:t>
      </w:r>
      <w:r w:rsidR="000E1C71" w:rsidRPr="006571AC">
        <w:rPr>
          <w:rFonts w:hint="cs"/>
          <w:sz w:val="27"/>
          <w:rtl/>
        </w:rPr>
        <w:t>ْ</w:t>
      </w:r>
      <w:r w:rsidRPr="006571AC">
        <w:rPr>
          <w:sz w:val="27"/>
          <w:rtl/>
        </w:rPr>
        <w:t xml:space="preserve">ن قصد المرء وسلامة غايته ما يبيح ذلك، كما لا يقيه من محاذير ذلك ومضاعفاته. </w:t>
      </w:r>
    </w:p>
    <w:p w:rsidR="007C76F0" w:rsidRPr="006571AC" w:rsidRDefault="007C76F0" w:rsidP="00F22B89">
      <w:pPr>
        <w:rPr>
          <w:sz w:val="27"/>
          <w:rtl/>
        </w:rPr>
      </w:pPr>
      <w:r w:rsidRPr="006571AC">
        <w:rPr>
          <w:sz w:val="27"/>
          <w:rtl/>
        </w:rPr>
        <w:t>وليحذر المرء من الابتداع والب</w:t>
      </w:r>
      <w:r w:rsidR="00E6674B" w:rsidRPr="006571AC">
        <w:rPr>
          <w:rFonts w:hint="cs"/>
          <w:sz w:val="27"/>
          <w:rtl/>
        </w:rPr>
        <w:t>ِ</w:t>
      </w:r>
      <w:r w:rsidRPr="006571AC">
        <w:rPr>
          <w:sz w:val="27"/>
          <w:rtl/>
        </w:rPr>
        <w:t>د</w:t>
      </w:r>
      <w:r w:rsidR="00E6674B" w:rsidRPr="006571AC">
        <w:rPr>
          <w:rFonts w:hint="cs"/>
          <w:sz w:val="27"/>
          <w:rtl/>
        </w:rPr>
        <w:t>َ</w:t>
      </w:r>
      <w:r w:rsidRPr="006571AC">
        <w:rPr>
          <w:sz w:val="27"/>
          <w:rtl/>
        </w:rPr>
        <w:t>ع، وهي إضافة شيء إلى الدين ليس منه</w:t>
      </w:r>
      <w:r w:rsidR="00E6674B" w:rsidRPr="006571AC">
        <w:rPr>
          <w:rFonts w:hint="cs"/>
          <w:sz w:val="27"/>
          <w:rtl/>
        </w:rPr>
        <w:t>،</w:t>
      </w:r>
      <w:r w:rsidRPr="006571AC">
        <w:rPr>
          <w:sz w:val="27"/>
          <w:rtl/>
        </w:rPr>
        <w:t xml:space="preserve"> ولا </w:t>
      </w:r>
      <w:r w:rsidR="006936E8" w:rsidRPr="006571AC">
        <w:rPr>
          <w:sz w:val="27"/>
          <w:rtl/>
        </w:rPr>
        <w:lastRenderedPageBreak/>
        <w:t>حجّة موثوقة</w:t>
      </w:r>
      <w:r w:rsidRPr="006571AC">
        <w:rPr>
          <w:sz w:val="27"/>
          <w:rtl/>
        </w:rPr>
        <w:t xml:space="preserve"> عليه فيه</w:t>
      </w:r>
      <w:r w:rsidR="00E6674B" w:rsidRPr="006571AC">
        <w:rPr>
          <w:rFonts w:hint="cs"/>
          <w:sz w:val="27"/>
          <w:rtl/>
        </w:rPr>
        <w:t>؛</w:t>
      </w:r>
      <w:r w:rsidRPr="006571AC">
        <w:rPr>
          <w:sz w:val="27"/>
          <w:rtl/>
        </w:rPr>
        <w:t xml:space="preserve"> فإنّ الابتداع في الدين م</w:t>
      </w:r>
      <w:r w:rsidR="00E6674B" w:rsidRPr="006571AC">
        <w:rPr>
          <w:rFonts w:hint="cs"/>
          <w:sz w:val="27"/>
          <w:rtl/>
        </w:rPr>
        <w:t>َ</w:t>
      </w:r>
      <w:r w:rsidRPr="006571AC">
        <w:rPr>
          <w:sz w:val="27"/>
          <w:rtl/>
        </w:rPr>
        <w:t>ن</w:t>
      </w:r>
      <w:r w:rsidR="00E6674B" w:rsidRPr="006571AC">
        <w:rPr>
          <w:rFonts w:hint="cs"/>
          <w:sz w:val="27"/>
          <w:rtl/>
        </w:rPr>
        <w:t>ْ</w:t>
      </w:r>
      <w:r w:rsidRPr="006571AC">
        <w:rPr>
          <w:sz w:val="27"/>
          <w:rtl/>
        </w:rPr>
        <w:t xml:space="preserve"> أضرّ وجوه الضلالة فيه، وهي تؤدّي إلى تشعّ</w:t>
      </w:r>
      <w:r w:rsidR="007228F1" w:rsidRPr="006571AC">
        <w:rPr>
          <w:rFonts w:hint="cs"/>
          <w:sz w:val="27"/>
          <w:rtl/>
        </w:rPr>
        <w:t>ُ</w:t>
      </w:r>
      <w:r w:rsidRPr="006571AC">
        <w:rPr>
          <w:sz w:val="27"/>
          <w:rtl/>
        </w:rPr>
        <w:t>ب الدين إلى عقائد متعدّدة</w:t>
      </w:r>
      <w:r w:rsidR="007228F1" w:rsidRPr="006571AC">
        <w:rPr>
          <w:rFonts w:hint="cs"/>
          <w:sz w:val="27"/>
          <w:rtl/>
        </w:rPr>
        <w:t>،</w:t>
      </w:r>
      <w:r w:rsidRPr="006571AC">
        <w:rPr>
          <w:sz w:val="27"/>
          <w:rtl/>
        </w:rPr>
        <w:t xml:space="preserve"> وانقسام أهله إلى ف</w:t>
      </w:r>
      <w:r w:rsidR="006936E8" w:rsidRPr="006571AC">
        <w:rPr>
          <w:rFonts w:hint="cs"/>
          <w:sz w:val="27"/>
          <w:rtl/>
        </w:rPr>
        <w:t>ِ</w:t>
      </w:r>
      <w:r w:rsidRPr="006571AC">
        <w:rPr>
          <w:sz w:val="27"/>
          <w:rtl/>
        </w:rPr>
        <w:t>ر</w:t>
      </w:r>
      <w:r w:rsidR="006936E8" w:rsidRPr="006571AC">
        <w:rPr>
          <w:rFonts w:hint="cs"/>
          <w:sz w:val="27"/>
          <w:rtl/>
        </w:rPr>
        <w:t>َ</w:t>
      </w:r>
      <w:r w:rsidRPr="006571AC">
        <w:rPr>
          <w:sz w:val="27"/>
          <w:rtl/>
        </w:rPr>
        <w:t>ق وأحزاب مختلفة ومتقاطعة ـ كما نشهده في كثير من الأديان والمذاهب ـ، وقد جاء عن النبيّ</w:t>
      </w:r>
      <w:r w:rsidR="00E6674B" w:rsidRPr="006571AC">
        <w:rPr>
          <w:rFonts w:ascii="Mosawi" w:hAnsi="Mosawi" w:cs="Mosawi"/>
          <w:sz w:val="22"/>
          <w:szCs w:val="22"/>
          <w:rtl/>
        </w:rPr>
        <w:t>|</w:t>
      </w:r>
      <w:r w:rsidRPr="006571AC">
        <w:rPr>
          <w:sz w:val="27"/>
          <w:rtl/>
        </w:rPr>
        <w:t xml:space="preserve"> التحذير من الب</w:t>
      </w:r>
      <w:r w:rsidR="006936E8" w:rsidRPr="006571AC">
        <w:rPr>
          <w:rFonts w:hint="cs"/>
          <w:sz w:val="27"/>
          <w:rtl/>
        </w:rPr>
        <w:t>ِ</w:t>
      </w:r>
      <w:r w:rsidRPr="006571AC">
        <w:rPr>
          <w:sz w:val="27"/>
          <w:rtl/>
        </w:rPr>
        <w:t>د</w:t>
      </w:r>
      <w:r w:rsidR="006936E8" w:rsidRPr="006571AC">
        <w:rPr>
          <w:rFonts w:hint="cs"/>
          <w:sz w:val="27"/>
          <w:rtl/>
        </w:rPr>
        <w:t>ْ</w:t>
      </w:r>
      <w:r w:rsidRPr="006571AC">
        <w:rPr>
          <w:sz w:val="27"/>
          <w:rtl/>
        </w:rPr>
        <w:t>عة</w:t>
      </w:r>
      <w:r w:rsidR="007228F1" w:rsidRPr="006571AC">
        <w:rPr>
          <w:rFonts w:hint="cs"/>
          <w:sz w:val="27"/>
          <w:rtl/>
        </w:rPr>
        <w:t>،</w:t>
      </w:r>
      <w:r w:rsidRPr="006571AC">
        <w:rPr>
          <w:sz w:val="27"/>
          <w:rtl/>
        </w:rPr>
        <w:t xml:space="preserve"> وأنّ شرّ الأمور م</w:t>
      </w:r>
      <w:r w:rsidR="006936E8" w:rsidRPr="006571AC">
        <w:rPr>
          <w:rFonts w:hint="cs"/>
          <w:sz w:val="27"/>
          <w:rtl/>
        </w:rPr>
        <w:t>ُ</w:t>
      </w:r>
      <w:r w:rsidRPr="006571AC">
        <w:rPr>
          <w:sz w:val="27"/>
          <w:rtl/>
        </w:rPr>
        <w:t>ح</w:t>
      </w:r>
      <w:r w:rsidR="006936E8" w:rsidRPr="006571AC">
        <w:rPr>
          <w:rFonts w:hint="cs"/>
          <w:sz w:val="27"/>
          <w:rtl/>
        </w:rPr>
        <w:t>ْ</w:t>
      </w:r>
      <w:r w:rsidRPr="006571AC">
        <w:rPr>
          <w:sz w:val="27"/>
          <w:rtl/>
        </w:rPr>
        <w:t>د</w:t>
      </w:r>
      <w:r w:rsidR="006936E8" w:rsidRPr="006571AC">
        <w:rPr>
          <w:rFonts w:hint="cs"/>
          <w:sz w:val="27"/>
          <w:rtl/>
        </w:rPr>
        <w:t>َ</w:t>
      </w:r>
      <w:r w:rsidRPr="006571AC">
        <w:rPr>
          <w:sz w:val="27"/>
          <w:rtl/>
        </w:rPr>
        <w:t>ثاتها</w:t>
      </w:r>
      <w:r w:rsidR="007228F1" w:rsidRPr="006571AC">
        <w:rPr>
          <w:rFonts w:hint="cs"/>
          <w:sz w:val="27"/>
          <w:rtl/>
        </w:rPr>
        <w:t>،</w:t>
      </w:r>
      <w:r w:rsidRPr="006571AC">
        <w:rPr>
          <w:sz w:val="27"/>
          <w:rtl/>
        </w:rPr>
        <w:t xml:space="preserve"> وكلّ ب</w:t>
      </w:r>
      <w:r w:rsidR="006936E8" w:rsidRPr="006571AC">
        <w:rPr>
          <w:rFonts w:hint="cs"/>
          <w:sz w:val="27"/>
          <w:rtl/>
        </w:rPr>
        <w:t>ِ</w:t>
      </w:r>
      <w:r w:rsidRPr="006571AC">
        <w:rPr>
          <w:sz w:val="27"/>
          <w:rtl/>
        </w:rPr>
        <w:t>د</w:t>
      </w:r>
      <w:r w:rsidR="006936E8" w:rsidRPr="006571AC">
        <w:rPr>
          <w:rFonts w:hint="cs"/>
          <w:sz w:val="27"/>
          <w:rtl/>
        </w:rPr>
        <w:t>ْ</w:t>
      </w:r>
      <w:r w:rsidRPr="006571AC">
        <w:rPr>
          <w:sz w:val="27"/>
          <w:rtl/>
        </w:rPr>
        <w:t>عة ضلالة</w:t>
      </w:r>
      <w:r w:rsidR="007228F1" w:rsidRPr="006571AC">
        <w:rPr>
          <w:rFonts w:hint="cs"/>
          <w:sz w:val="27"/>
          <w:rtl/>
        </w:rPr>
        <w:t>،</w:t>
      </w:r>
      <w:r w:rsidRPr="006571AC">
        <w:rPr>
          <w:sz w:val="27"/>
          <w:rtl/>
        </w:rPr>
        <w:t xml:space="preserve"> وكلّ ضلالة</w:t>
      </w:r>
      <w:r w:rsidR="007228F1" w:rsidRPr="006571AC">
        <w:rPr>
          <w:rFonts w:hint="cs"/>
          <w:sz w:val="27"/>
          <w:rtl/>
        </w:rPr>
        <w:t>ٍ</w:t>
      </w:r>
      <w:r w:rsidRPr="006571AC">
        <w:rPr>
          <w:sz w:val="27"/>
          <w:rtl/>
        </w:rPr>
        <w:t xml:space="preserve"> في النار. </w:t>
      </w:r>
    </w:p>
    <w:p w:rsidR="007C76F0" w:rsidRPr="006571AC" w:rsidRDefault="007C76F0" w:rsidP="00F22B89">
      <w:pPr>
        <w:rPr>
          <w:sz w:val="27"/>
        </w:rPr>
      </w:pPr>
      <w:r w:rsidRPr="006571AC">
        <w:rPr>
          <w:sz w:val="27"/>
          <w:rtl/>
        </w:rPr>
        <w:t>ومن القول بغير علم</w:t>
      </w:r>
      <w:r w:rsidR="007228F1" w:rsidRPr="006571AC">
        <w:rPr>
          <w:rFonts w:hint="cs"/>
          <w:sz w:val="27"/>
          <w:rtl/>
        </w:rPr>
        <w:t>ٍ</w:t>
      </w:r>
      <w:r w:rsidRPr="006571AC">
        <w:rPr>
          <w:sz w:val="27"/>
          <w:rtl/>
        </w:rPr>
        <w:t xml:space="preserve"> وبصيرة المبالغة في الشيء والتجاوز به عن حدّ</w:t>
      </w:r>
      <w:r w:rsidR="007228F1" w:rsidRPr="006571AC">
        <w:rPr>
          <w:rFonts w:hint="cs"/>
          <w:sz w:val="27"/>
          <w:rtl/>
        </w:rPr>
        <w:t>ِ</w:t>
      </w:r>
      <w:r w:rsidRPr="006571AC">
        <w:rPr>
          <w:sz w:val="27"/>
          <w:rtl/>
        </w:rPr>
        <w:t>ه، كأن</w:t>
      </w:r>
      <w:r w:rsidR="006936E8" w:rsidRPr="006571AC">
        <w:rPr>
          <w:rFonts w:hint="cs"/>
          <w:sz w:val="27"/>
          <w:rtl/>
        </w:rPr>
        <w:t>ْ</w:t>
      </w:r>
      <w:r w:rsidRPr="006571AC">
        <w:rPr>
          <w:sz w:val="27"/>
          <w:rtl/>
        </w:rPr>
        <w:t xml:space="preserve"> يجعل الأمر النظريّ المتوقّف على الاجتهاد واضحاً وبديهيّاً، أو يجعل الأمر المختلف فيه بين وجوه أهل العلم متّفقاً عليه بينهم</w:t>
      </w:r>
      <w:r w:rsidR="007228F1" w:rsidRPr="006571AC">
        <w:rPr>
          <w:rFonts w:hint="cs"/>
          <w:sz w:val="27"/>
          <w:rtl/>
        </w:rPr>
        <w:t>،</w:t>
      </w:r>
      <w:r w:rsidRPr="006571AC">
        <w:rPr>
          <w:sz w:val="27"/>
          <w:rtl/>
        </w:rPr>
        <w:t xml:space="preserve"> تصريحاً أو تلويحاً</w:t>
      </w:r>
      <w:r w:rsidR="007228F1" w:rsidRPr="006571AC">
        <w:rPr>
          <w:rFonts w:hint="cs"/>
          <w:sz w:val="27"/>
          <w:rtl/>
        </w:rPr>
        <w:t>،</w:t>
      </w:r>
      <w:r w:rsidR="006936E8" w:rsidRPr="006571AC">
        <w:rPr>
          <w:sz w:val="27"/>
          <w:rtl/>
        </w:rPr>
        <w:t xml:space="preserve"> وينز</w:t>
      </w:r>
      <w:r w:rsidR="006936E8" w:rsidRPr="006571AC">
        <w:rPr>
          <w:rFonts w:hint="cs"/>
          <w:sz w:val="27"/>
          <w:rtl/>
        </w:rPr>
        <w:t>ِّ</w:t>
      </w:r>
      <w:r w:rsidRPr="006571AC">
        <w:rPr>
          <w:sz w:val="27"/>
          <w:rtl/>
        </w:rPr>
        <w:t>له منزلته، أو يجعل المظنون مقطوعاً، أو يجعل المحتمل مظنوناً، أو يجعل بعض الوظائف الشرعيّة فوق درجاتها</w:t>
      </w:r>
      <w:r w:rsidR="00AB3A71" w:rsidRPr="006571AC">
        <w:rPr>
          <w:rFonts w:hint="cs"/>
          <w:sz w:val="27"/>
          <w:rtl/>
        </w:rPr>
        <w:t>،</w:t>
      </w:r>
      <w:r w:rsidRPr="006571AC">
        <w:rPr>
          <w:sz w:val="27"/>
          <w:rtl/>
        </w:rPr>
        <w:t xml:space="preserve"> فيبلغ بالمستحبّ درجة الواجب ـ من غير عنوان ثانويّ واجب ينطبق عليه ـ</w:t>
      </w:r>
      <w:r w:rsidR="00AB3A71" w:rsidRPr="006571AC">
        <w:rPr>
          <w:rFonts w:hint="cs"/>
          <w:sz w:val="27"/>
          <w:rtl/>
        </w:rPr>
        <w:t>،</w:t>
      </w:r>
      <w:r w:rsidRPr="006571AC">
        <w:rPr>
          <w:sz w:val="27"/>
          <w:rtl/>
        </w:rPr>
        <w:t xml:space="preserve"> وبالواجب من غير الدعائم درجة دعائم الدين</w:t>
      </w:r>
      <w:r w:rsidR="00AB3A71" w:rsidRPr="006571AC">
        <w:rPr>
          <w:rFonts w:hint="cs"/>
          <w:sz w:val="27"/>
          <w:rtl/>
        </w:rPr>
        <w:t>،</w:t>
      </w:r>
      <w:r w:rsidRPr="006571AC">
        <w:rPr>
          <w:sz w:val="27"/>
          <w:rtl/>
        </w:rPr>
        <w:t xml:space="preserve"> أو يعكس ذلك، فإنّ ذلك كلّه أمر</w:t>
      </w:r>
      <w:r w:rsidR="006936E8" w:rsidRPr="006571AC">
        <w:rPr>
          <w:rFonts w:hint="cs"/>
          <w:sz w:val="27"/>
          <w:rtl/>
        </w:rPr>
        <w:t>ٌ</w:t>
      </w:r>
      <w:r w:rsidRPr="006571AC">
        <w:rPr>
          <w:sz w:val="27"/>
          <w:rtl/>
        </w:rPr>
        <w:t xml:space="preserve"> غير مقبول ش</w:t>
      </w:r>
      <w:r w:rsidR="006936E8" w:rsidRPr="006571AC">
        <w:rPr>
          <w:rFonts w:hint="cs"/>
          <w:sz w:val="27"/>
          <w:rtl/>
        </w:rPr>
        <w:t>َ</w:t>
      </w:r>
      <w:r w:rsidRPr="006571AC">
        <w:rPr>
          <w:sz w:val="27"/>
          <w:rtl/>
        </w:rPr>
        <w:t>ر</w:t>
      </w:r>
      <w:r w:rsidR="006936E8" w:rsidRPr="006571AC">
        <w:rPr>
          <w:rFonts w:hint="cs"/>
          <w:sz w:val="27"/>
          <w:rtl/>
        </w:rPr>
        <w:t>ْ</w:t>
      </w:r>
      <w:r w:rsidRPr="006571AC">
        <w:rPr>
          <w:sz w:val="27"/>
          <w:rtl/>
        </w:rPr>
        <w:t>عاً</w:t>
      </w:r>
      <w:r w:rsidR="00E6674B" w:rsidRPr="006571AC">
        <w:rPr>
          <w:rFonts w:hint="eastAsia"/>
          <w:sz w:val="24"/>
          <w:szCs w:val="24"/>
          <w:rtl/>
        </w:rPr>
        <w:t>»</w:t>
      </w:r>
      <w:r w:rsidRPr="006571AC">
        <w:rPr>
          <w:sz w:val="27"/>
          <w:rtl/>
        </w:rPr>
        <w:t xml:space="preserve">. </w:t>
      </w:r>
    </w:p>
    <w:p w:rsidR="007C76F0" w:rsidRPr="006571AC" w:rsidRDefault="007C76F0" w:rsidP="00F22B89">
      <w:pPr>
        <w:rPr>
          <w:sz w:val="27"/>
        </w:rPr>
      </w:pPr>
      <w:r w:rsidRPr="006571AC">
        <w:rPr>
          <w:rFonts w:hint="cs"/>
          <w:sz w:val="27"/>
          <w:rtl/>
        </w:rPr>
        <w:t xml:space="preserve">ـ </w:t>
      </w:r>
      <w:r w:rsidRPr="006571AC">
        <w:rPr>
          <w:sz w:val="27"/>
          <w:rtl/>
        </w:rPr>
        <w:t xml:space="preserve">وجاء في الحكمة الثامنة: </w:t>
      </w:r>
      <w:r w:rsidR="00AB3A71" w:rsidRPr="006571AC">
        <w:rPr>
          <w:rFonts w:hint="eastAsia"/>
          <w:sz w:val="24"/>
          <w:szCs w:val="24"/>
          <w:rtl/>
        </w:rPr>
        <w:t>«</w:t>
      </w:r>
      <w:r w:rsidRPr="006571AC">
        <w:rPr>
          <w:sz w:val="27"/>
          <w:rtl/>
        </w:rPr>
        <w:t>ليحذر المبلّ</w:t>
      </w:r>
      <w:r w:rsidR="00AB3A71" w:rsidRPr="006571AC">
        <w:rPr>
          <w:rFonts w:hint="cs"/>
          <w:sz w:val="27"/>
          <w:rtl/>
        </w:rPr>
        <w:t>ِ</w:t>
      </w:r>
      <w:r w:rsidRPr="006571AC">
        <w:rPr>
          <w:sz w:val="27"/>
          <w:rtl/>
        </w:rPr>
        <w:t>غون والشعراء والرواديد أشدّ الحذر عن بيان الحقّ بما يوهم الغلوّ في شأن النبيّ وعترته (صلوات الله عليهم)، والغلوّ على نوعين: إسباغ الصفات الألوهيّة على غير الله سبحانه</w:t>
      </w:r>
      <w:r w:rsidR="00AB3A71" w:rsidRPr="006571AC">
        <w:rPr>
          <w:rFonts w:hint="cs"/>
          <w:sz w:val="27"/>
          <w:rtl/>
        </w:rPr>
        <w:t>؛</w:t>
      </w:r>
      <w:r w:rsidRPr="006571AC">
        <w:rPr>
          <w:sz w:val="27"/>
          <w:rtl/>
        </w:rPr>
        <w:t xml:space="preserve"> وإثبات أمور ومعانٍ لم تقم حجّة</w:t>
      </w:r>
      <w:r w:rsidR="006936E8" w:rsidRPr="006571AC">
        <w:rPr>
          <w:rFonts w:hint="cs"/>
          <w:sz w:val="27"/>
          <w:rtl/>
        </w:rPr>
        <w:t>ٌ</w:t>
      </w:r>
      <w:r w:rsidRPr="006571AC">
        <w:rPr>
          <w:sz w:val="27"/>
          <w:rtl/>
        </w:rPr>
        <w:t xml:space="preserve"> موثوقة عليها</w:t>
      </w:r>
      <w:r w:rsidR="00AB3A71" w:rsidRPr="006571AC">
        <w:rPr>
          <w:rFonts w:hint="cs"/>
          <w:sz w:val="27"/>
          <w:rtl/>
        </w:rPr>
        <w:t>.</w:t>
      </w:r>
      <w:r w:rsidRPr="006571AC">
        <w:rPr>
          <w:sz w:val="27"/>
          <w:rtl/>
        </w:rPr>
        <w:t xml:space="preserve"> ومذهب أهل البيت</w:t>
      </w:r>
      <w:r w:rsidR="00DC3B12" w:rsidRPr="006571AC">
        <w:rPr>
          <w:rFonts w:ascii="Mosawi" w:hAnsi="Mosawi" w:cs="Mosawi"/>
          <w:sz w:val="22"/>
          <w:szCs w:val="22"/>
          <w:rtl/>
        </w:rPr>
        <w:t>^</w:t>
      </w:r>
      <w:r w:rsidRPr="006571AC">
        <w:rPr>
          <w:sz w:val="27"/>
          <w:rtl/>
        </w:rPr>
        <w:t xml:space="preserve"> خالٍ عن الغلوّ بنوع</w:t>
      </w:r>
      <w:r w:rsidR="00AB3A71" w:rsidRPr="006571AC">
        <w:rPr>
          <w:rFonts w:hint="cs"/>
          <w:sz w:val="27"/>
          <w:rtl/>
        </w:rPr>
        <w:t>َ</w:t>
      </w:r>
      <w:r w:rsidRPr="006571AC">
        <w:rPr>
          <w:sz w:val="27"/>
          <w:rtl/>
        </w:rPr>
        <w:t>ي</w:t>
      </w:r>
      <w:r w:rsidR="00AB3A71" w:rsidRPr="006571AC">
        <w:rPr>
          <w:rFonts w:hint="cs"/>
          <w:sz w:val="27"/>
          <w:rtl/>
        </w:rPr>
        <w:t>ْ</w:t>
      </w:r>
      <w:r w:rsidRPr="006571AC">
        <w:rPr>
          <w:sz w:val="27"/>
          <w:rtl/>
        </w:rPr>
        <w:t>ه، بل هو أبعد ما يكون عنه، وإنّما يشتمل على الإذعان للنبيّ وعترته (صلوات الله عليهم) بمواضعهم التي وضعهم الله تعالى فيها</w:t>
      </w:r>
      <w:r w:rsidR="0030581F" w:rsidRPr="006571AC">
        <w:rPr>
          <w:rFonts w:hint="cs"/>
          <w:sz w:val="27"/>
          <w:rtl/>
        </w:rPr>
        <w:t>،</w:t>
      </w:r>
      <w:r w:rsidRPr="006571AC">
        <w:rPr>
          <w:sz w:val="27"/>
          <w:rtl/>
        </w:rPr>
        <w:t xml:space="preserve"> من دون زيادة</w:t>
      </w:r>
      <w:r w:rsidR="0030581F" w:rsidRPr="006571AC">
        <w:rPr>
          <w:rFonts w:hint="cs"/>
          <w:sz w:val="27"/>
          <w:rtl/>
        </w:rPr>
        <w:t>ٍ</w:t>
      </w:r>
      <w:r w:rsidRPr="006571AC">
        <w:rPr>
          <w:sz w:val="27"/>
          <w:rtl/>
        </w:rPr>
        <w:t xml:space="preserve"> ولا إفراط</w:t>
      </w:r>
      <w:r w:rsidR="0030581F" w:rsidRPr="006571AC">
        <w:rPr>
          <w:rFonts w:hint="cs"/>
          <w:sz w:val="27"/>
          <w:rtl/>
        </w:rPr>
        <w:t>ٍ</w:t>
      </w:r>
      <w:r w:rsidRPr="006571AC">
        <w:rPr>
          <w:sz w:val="27"/>
          <w:rtl/>
        </w:rPr>
        <w:t>، بل مع تحذّر في مواضع الاشتباه، وو</w:t>
      </w:r>
      <w:r w:rsidR="0030581F" w:rsidRPr="006571AC">
        <w:rPr>
          <w:rFonts w:hint="cs"/>
          <w:sz w:val="27"/>
          <w:rtl/>
        </w:rPr>
        <w:t>َ</w:t>
      </w:r>
      <w:r w:rsidRPr="006571AC">
        <w:rPr>
          <w:sz w:val="27"/>
          <w:rtl/>
        </w:rPr>
        <w:t>ر</w:t>
      </w:r>
      <w:r w:rsidR="0030581F" w:rsidRPr="006571AC">
        <w:rPr>
          <w:rFonts w:hint="cs"/>
          <w:sz w:val="27"/>
          <w:rtl/>
        </w:rPr>
        <w:t>َ</w:t>
      </w:r>
      <w:r w:rsidRPr="006571AC">
        <w:rPr>
          <w:sz w:val="27"/>
          <w:rtl/>
        </w:rPr>
        <w:t>عٍ عن إثبات ما لم تقم به الحجّة الموثوقة</w:t>
      </w:r>
      <w:r w:rsidR="00AB3A71" w:rsidRPr="006571AC">
        <w:rPr>
          <w:rFonts w:hint="eastAsia"/>
          <w:sz w:val="24"/>
          <w:szCs w:val="24"/>
          <w:rtl/>
        </w:rPr>
        <w:t>»</w:t>
      </w:r>
      <w:r w:rsidRPr="006571AC">
        <w:rPr>
          <w:sz w:val="27"/>
          <w:vertAlign w:val="superscript"/>
          <w:rtl/>
        </w:rPr>
        <w:t>(</w:t>
      </w:r>
      <w:r w:rsidRPr="006571AC">
        <w:rPr>
          <w:sz w:val="27"/>
          <w:vertAlign w:val="superscript"/>
          <w:rtl/>
        </w:rPr>
        <w:endnoteReference w:id="114"/>
      </w:r>
      <w:r w:rsidRPr="006571AC">
        <w:rPr>
          <w:sz w:val="27"/>
          <w:vertAlign w:val="superscript"/>
          <w:rtl/>
        </w:rPr>
        <w:t>)</w:t>
      </w:r>
      <w:r w:rsidRPr="006571AC">
        <w:rPr>
          <w:sz w:val="27"/>
          <w:rtl/>
        </w:rPr>
        <w:t xml:space="preserve">. </w:t>
      </w:r>
    </w:p>
    <w:p w:rsidR="00ED1ECC" w:rsidRPr="006571AC" w:rsidRDefault="00ED1ECC" w:rsidP="00ED1ECC">
      <w:pPr>
        <w:spacing w:line="420" w:lineRule="exact"/>
        <w:rPr>
          <w:sz w:val="27"/>
          <w:rtl/>
        </w:rPr>
      </w:pPr>
    </w:p>
    <w:p w:rsidR="007C76F0" w:rsidRPr="006571AC" w:rsidRDefault="007C76F0" w:rsidP="006C79DA">
      <w:pPr>
        <w:pStyle w:val="31"/>
        <w:rPr>
          <w:color w:val="auto"/>
          <w:rtl/>
        </w:rPr>
      </w:pPr>
      <w:bookmarkStart w:id="58" w:name="_Toc114164547"/>
      <w:r w:rsidRPr="006571AC">
        <w:rPr>
          <w:color w:val="auto"/>
          <w:rtl/>
        </w:rPr>
        <w:t>معاييرُ النقد والتقويم</w:t>
      </w:r>
      <w:bookmarkEnd w:id="58"/>
    </w:p>
    <w:p w:rsidR="007C76F0" w:rsidRPr="006571AC" w:rsidRDefault="007C76F0" w:rsidP="00F22B89">
      <w:pPr>
        <w:rPr>
          <w:sz w:val="27"/>
          <w:rtl/>
        </w:rPr>
      </w:pPr>
      <w:r w:rsidRPr="006571AC">
        <w:rPr>
          <w:sz w:val="27"/>
          <w:rtl/>
        </w:rPr>
        <w:t>لا بُدّ للنقد والتقويم من معايير موضوعية صحيحة</w:t>
      </w:r>
      <w:r w:rsidR="0030581F" w:rsidRPr="006571AC">
        <w:rPr>
          <w:rFonts w:hint="cs"/>
          <w:sz w:val="27"/>
          <w:rtl/>
        </w:rPr>
        <w:t>؛</w:t>
      </w:r>
      <w:r w:rsidRPr="006571AC">
        <w:rPr>
          <w:sz w:val="27"/>
          <w:rtl/>
        </w:rPr>
        <w:t xml:space="preserve"> فهناك م</w:t>
      </w:r>
      <w:r w:rsidR="0030581F" w:rsidRPr="006571AC">
        <w:rPr>
          <w:rFonts w:hint="cs"/>
          <w:sz w:val="27"/>
          <w:rtl/>
        </w:rPr>
        <w:t>َ</w:t>
      </w:r>
      <w:r w:rsidRPr="006571AC">
        <w:rPr>
          <w:sz w:val="27"/>
          <w:rtl/>
        </w:rPr>
        <w:t>ن</w:t>
      </w:r>
      <w:r w:rsidR="0030581F" w:rsidRPr="006571AC">
        <w:rPr>
          <w:rFonts w:hint="cs"/>
          <w:sz w:val="27"/>
          <w:rtl/>
        </w:rPr>
        <w:t>ْ</w:t>
      </w:r>
      <w:r w:rsidRPr="006571AC">
        <w:rPr>
          <w:sz w:val="27"/>
          <w:rtl/>
        </w:rPr>
        <w:t xml:space="preserve"> يستخدم التهريج والتجريح والألفاظ المسيئة في نقده لآراء الآخرين، أو يعمّ</w:t>
      </w:r>
      <w:r w:rsidR="0030581F" w:rsidRPr="006571AC">
        <w:rPr>
          <w:rFonts w:hint="cs"/>
          <w:sz w:val="27"/>
          <w:rtl/>
        </w:rPr>
        <w:t>ِ</w:t>
      </w:r>
      <w:r w:rsidRPr="006571AC">
        <w:rPr>
          <w:sz w:val="27"/>
          <w:rtl/>
        </w:rPr>
        <w:t>م الأخطاء</w:t>
      </w:r>
      <w:r w:rsidR="0030581F" w:rsidRPr="006571AC">
        <w:rPr>
          <w:rFonts w:hint="cs"/>
          <w:sz w:val="27"/>
          <w:rtl/>
        </w:rPr>
        <w:t>.</w:t>
      </w:r>
      <w:r w:rsidRPr="006571AC">
        <w:rPr>
          <w:sz w:val="27"/>
          <w:rtl/>
        </w:rPr>
        <w:t xml:space="preserve"> وهذا أسلوب</w:t>
      </w:r>
      <w:r w:rsidR="006936E8" w:rsidRPr="006571AC">
        <w:rPr>
          <w:rFonts w:hint="cs"/>
          <w:sz w:val="27"/>
          <w:rtl/>
        </w:rPr>
        <w:t>ٌ</w:t>
      </w:r>
      <w:r w:rsidRPr="006571AC">
        <w:rPr>
          <w:sz w:val="27"/>
          <w:rtl/>
        </w:rPr>
        <w:t xml:space="preserve"> خطأ</w:t>
      </w:r>
      <w:r w:rsidR="0030581F" w:rsidRPr="006571AC">
        <w:rPr>
          <w:rFonts w:hint="cs"/>
          <w:sz w:val="27"/>
          <w:rtl/>
        </w:rPr>
        <w:t>ٌ</w:t>
      </w:r>
      <w:r w:rsidRPr="006571AC">
        <w:rPr>
          <w:sz w:val="27"/>
          <w:rtl/>
        </w:rPr>
        <w:t>، يضر</w:t>
      </w:r>
      <w:r w:rsidR="0030581F" w:rsidRPr="006571AC">
        <w:rPr>
          <w:rFonts w:hint="cs"/>
          <w:sz w:val="27"/>
          <w:rtl/>
        </w:rPr>
        <w:t>ّ</w:t>
      </w:r>
      <w:r w:rsidRPr="006571AC">
        <w:rPr>
          <w:sz w:val="27"/>
          <w:rtl/>
        </w:rPr>
        <w:t xml:space="preserve"> ولا ينفع، ويُفقد صاحبه المصداقية،</w:t>
      </w:r>
      <w:r w:rsidR="0030581F" w:rsidRPr="006571AC">
        <w:rPr>
          <w:sz w:val="27"/>
          <w:rtl/>
        </w:rPr>
        <w:t xml:space="preserve"> وقد يُظ</w:t>
      </w:r>
      <w:r w:rsidR="006936E8" w:rsidRPr="006571AC">
        <w:rPr>
          <w:rFonts w:hint="cs"/>
          <w:sz w:val="27"/>
          <w:rtl/>
        </w:rPr>
        <w:t>َ</w:t>
      </w:r>
      <w:r w:rsidR="0030581F" w:rsidRPr="006571AC">
        <w:rPr>
          <w:sz w:val="27"/>
          <w:rtl/>
        </w:rPr>
        <w:t>ن</w:t>
      </w:r>
      <w:r w:rsidR="006936E8" w:rsidRPr="006571AC">
        <w:rPr>
          <w:rFonts w:hint="cs"/>
          <w:sz w:val="27"/>
          <w:rtl/>
        </w:rPr>
        <w:t>ّ</w:t>
      </w:r>
      <w:r w:rsidR="0030581F" w:rsidRPr="006571AC">
        <w:rPr>
          <w:sz w:val="27"/>
          <w:rtl/>
        </w:rPr>
        <w:t xml:space="preserve"> بصاحب هذا الأسلوب أن</w:t>
      </w:r>
      <w:r w:rsidRPr="006571AC">
        <w:rPr>
          <w:sz w:val="27"/>
          <w:rtl/>
        </w:rPr>
        <w:t>ه يريد إلفات الناس إلى ذاته، أو تصفية حسابات مع هذه الجهة أو تلك، ويُشغل الناس بقضايا جانبية هامشية، ويُشوّ</w:t>
      </w:r>
      <w:r w:rsidR="0030581F" w:rsidRPr="006571AC">
        <w:rPr>
          <w:rFonts w:hint="cs"/>
          <w:sz w:val="27"/>
          <w:rtl/>
        </w:rPr>
        <w:t>ِ</w:t>
      </w:r>
      <w:r w:rsidRPr="006571AC">
        <w:rPr>
          <w:sz w:val="27"/>
          <w:rtl/>
        </w:rPr>
        <w:t>ه عملية الإصلاح والتطوير</w:t>
      </w:r>
      <w:r w:rsidR="0030581F" w:rsidRPr="006571AC">
        <w:rPr>
          <w:rFonts w:hint="cs"/>
          <w:sz w:val="27"/>
          <w:rtl/>
        </w:rPr>
        <w:t>.</w:t>
      </w:r>
      <w:r w:rsidRPr="006571AC">
        <w:rPr>
          <w:sz w:val="27"/>
          <w:rtl/>
        </w:rPr>
        <w:t xml:space="preserve"> فالنقد بهذه الكيفية ليس في محلّه</w:t>
      </w:r>
      <w:r w:rsidR="0030581F" w:rsidRPr="006571AC">
        <w:rPr>
          <w:rFonts w:hint="cs"/>
          <w:sz w:val="27"/>
          <w:rtl/>
        </w:rPr>
        <w:t>،</w:t>
      </w:r>
      <w:r w:rsidRPr="006571AC">
        <w:rPr>
          <w:sz w:val="27"/>
          <w:rtl/>
        </w:rPr>
        <w:t xml:space="preserve"> ولا يُع</w:t>
      </w:r>
      <w:r w:rsidR="0030581F" w:rsidRPr="006571AC">
        <w:rPr>
          <w:rFonts w:hint="cs"/>
          <w:sz w:val="27"/>
          <w:rtl/>
        </w:rPr>
        <w:t>َ</w:t>
      </w:r>
      <w:r w:rsidR="0030581F" w:rsidRPr="006571AC">
        <w:rPr>
          <w:sz w:val="27"/>
          <w:rtl/>
        </w:rPr>
        <w:t>دّ</w:t>
      </w:r>
      <w:r w:rsidRPr="006571AC">
        <w:rPr>
          <w:sz w:val="27"/>
          <w:rtl/>
        </w:rPr>
        <w:t xml:space="preserve"> أسلوباً سليماً. </w:t>
      </w:r>
    </w:p>
    <w:p w:rsidR="007C76F0" w:rsidRPr="006571AC" w:rsidRDefault="007C76F0" w:rsidP="00F22B89">
      <w:pPr>
        <w:rPr>
          <w:sz w:val="27"/>
          <w:rtl/>
        </w:rPr>
      </w:pPr>
      <w:r w:rsidRPr="006571AC">
        <w:rPr>
          <w:sz w:val="27"/>
          <w:rtl/>
        </w:rPr>
        <w:lastRenderedPageBreak/>
        <w:t>من الجانب الآخر هناك تقويم</w:t>
      </w:r>
      <w:r w:rsidR="0030581F" w:rsidRPr="006571AC">
        <w:rPr>
          <w:rFonts w:hint="cs"/>
          <w:sz w:val="27"/>
          <w:rtl/>
        </w:rPr>
        <w:t>ٌ</w:t>
      </w:r>
      <w:r w:rsidRPr="006571AC">
        <w:rPr>
          <w:sz w:val="27"/>
          <w:rtl/>
        </w:rPr>
        <w:t xml:space="preserve"> ونقد على أساس</w:t>
      </w:r>
      <w:r w:rsidR="0030581F" w:rsidRPr="006571AC">
        <w:rPr>
          <w:rFonts w:hint="cs"/>
          <w:sz w:val="27"/>
          <w:rtl/>
        </w:rPr>
        <w:t>ٍ</w:t>
      </w:r>
      <w:r w:rsidRPr="006571AC">
        <w:rPr>
          <w:sz w:val="27"/>
          <w:rtl/>
        </w:rPr>
        <w:t xml:space="preserve"> علمي، ينطلق من حالة فكرية علمية، فكل</w:t>
      </w:r>
      <w:r w:rsidR="0030581F" w:rsidRPr="006571AC">
        <w:rPr>
          <w:rFonts w:hint="cs"/>
          <w:sz w:val="27"/>
          <w:rtl/>
        </w:rPr>
        <w:t>ّ</w:t>
      </w:r>
      <w:r w:rsidRPr="006571AC">
        <w:rPr>
          <w:sz w:val="27"/>
          <w:rtl/>
        </w:rPr>
        <w:t xml:space="preserve"> إنسان لديه فكر ومعرفة فيما يحدث حوله من حق</w:t>
      </w:r>
      <w:r w:rsidR="0030581F" w:rsidRPr="006571AC">
        <w:rPr>
          <w:rFonts w:hint="cs"/>
          <w:sz w:val="27"/>
          <w:rtl/>
        </w:rPr>
        <w:t>ِّ</w:t>
      </w:r>
      <w:r w:rsidRPr="006571AC">
        <w:rPr>
          <w:sz w:val="27"/>
          <w:rtl/>
        </w:rPr>
        <w:t>ه أن ينتقد ويُقوّ</w:t>
      </w:r>
      <w:r w:rsidR="0030581F" w:rsidRPr="006571AC">
        <w:rPr>
          <w:rFonts w:hint="cs"/>
          <w:sz w:val="27"/>
          <w:rtl/>
        </w:rPr>
        <w:t>ِ</w:t>
      </w:r>
      <w:r w:rsidRPr="006571AC">
        <w:rPr>
          <w:sz w:val="27"/>
          <w:rtl/>
        </w:rPr>
        <w:t xml:space="preserve">م. </w:t>
      </w:r>
    </w:p>
    <w:p w:rsidR="007C76F0" w:rsidRPr="006571AC" w:rsidRDefault="007C76F0" w:rsidP="00F22B89">
      <w:pPr>
        <w:rPr>
          <w:sz w:val="27"/>
          <w:rtl/>
        </w:rPr>
      </w:pPr>
      <w:r w:rsidRPr="006571AC">
        <w:rPr>
          <w:sz w:val="27"/>
          <w:rtl/>
        </w:rPr>
        <w:t>ومهم</w:t>
      </w:r>
      <w:r w:rsidR="0030581F" w:rsidRPr="006571AC">
        <w:rPr>
          <w:rFonts w:hint="cs"/>
          <w:sz w:val="27"/>
          <w:rtl/>
        </w:rPr>
        <w:t>ٌّ</w:t>
      </w:r>
      <w:r w:rsidRPr="006571AC">
        <w:rPr>
          <w:sz w:val="27"/>
          <w:rtl/>
        </w:rPr>
        <w:t xml:space="preserve"> جداً في مسألة التقويم أن نلتفت إلى مسألة الاتفاق على المرجعية الفكرية</w:t>
      </w:r>
      <w:r w:rsidR="0030581F" w:rsidRPr="006571AC">
        <w:rPr>
          <w:rFonts w:hint="cs"/>
          <w:sz w:val="27"/>
          <w:rtl/>
        </w:rPr>
        <w:t>؛</w:t>
      </w:r>
      <w:r w:rsidRPr="006571AC">
        <w:rPr>
          <w:sz w:val="27"/>
          <w:rtl/>
        </w:rPr>
        <w:t xml:space="preserve"> إذ حين تختلف المرجعية من الطبيعي أن تختلف الآراء والمواقف، فكل اتجاه له مرجعيته الفكرية</w:t>
      </w:r>
      <w:r w:rsidR="0030581F" w:rsidRPr="006571AC">
        <w:rPr>
          <w:rFonts w:hint="cs"/>
          <w:sz w:val="27"/>
          <w:rtl/>
        </w:rPr>
        <w:t>؛</w:t>
      </w:r>
      <w:r w:rsidRPr="006571AC">
        <w:rPr>
          <w:sz w:val="27"/>
          <w:rtl/>
        </w:rPr>
        <w:t xml:space="preserve"> فإذا جاء شخص من خارج الفضاء الديني يريد أن يحاكم الخطاب الديني وفق مرجعيته العلمانية مثلاً فهذا خطأ</w:t>
      </w:r>
      <w:r w:rsidR="0030581F" w:rsidRPr="006571AC">
        <w:rPr>
          <w:rFonts w:hint="cs"/>
          <w:sz w:val="27"/>
          <w:rtl/>
        </w:rPr>
        <w:t>ٌ؛</w:t>
      </w:r>
      <w:r w:rsidRPr="006571AC">
        <w:rPr>
          <w:sz w:val="27"/>
          <w:rtl/>
        </w:rPr>
        <w:t xml:space="preserve"> لأنّ محاكمة الخطاب لا بُدّ أن تنطلق من المرجعية التي يقبلها، أو من خلال المبادئ العقلية والإنسانية العامة المت</w:t>
      </w:r>
      <w:r w:rsidR="0030581F" w:rsidRPr="006571AC">
        <w:rPr>
          <w:rFonts w:hint="cs"/>
          <w:sz w:val="27"/>
          <w:rtl/>
        </w:rPr>
        <w:t>َّ</w:t>
      </w:r>
      <w:r w:rsidRPr="006571AC">
        <w:rPr>
          <w:sz w:val="27"/>
          <w:rtl/>
        </w:rPr>
        <w:t>فق عليها، دون فرض مرجعي</w:t>
      </w:r>
      <w:r w:rsidR="0030581F" w:rsidRPr="006571AC">
        <w:rPr>
          <w:rFonts w:hint="cs"/>
          <w:sz w:val="27"/>
          <w:rtl/>
        </w:rPr>
        <w:t>ّ</w:t>
      </w:r>
      <w:r w:rsidRPr="006571AC">
        <w:rPr>
          <w:sz w:val="27"/>
          <w:rtl/>
        </w:rPr>
        <w:t>ة</w:t>
      </w:r>
      <w:r w:rsidR="0030581F" w:rsidRPr="006571AC">
        <w:rPr>
          <w:rFonts w:hint="cs"/>
          <w:sz w:val="27"/>
          <w:rtl/>
        </w:rPr>
        <w:t>ٍ</w:t>
      </w:r>
      <w:r w:rsidRPr="006571AC">
        <w:rPr>
          <w:sz w:val="27"/>
          <w:rtl/>
        </w:rPr>
        <w:t xml:space="preserve"> وقناعة</w:t>
      </w:r>
      <w:r w:rsidR="0030581F" w:rsidRPr="006571AC">
        <w:rPr>
          <w:rFonts w:hint="cs"/>
          <w:sz w:val="27"/>
          <w:rtl/>
        </w:rPr>
        <w:t>ٍ</w:t>
      </w:r>
      <w:r w:rsidR="0030581F" w:rsidRPr="006571AC">
        <w:rPr>
          <w:sz w:val="27"/>
          <w:rtl/>
        </w:rPr>
        <w:t xml:space="preserve"> أ</w:t>
      </w:r>
      <w:r w:rsidRPr="006571AC">
        <w:rPr>
          <w:sz w:val="27"/>
          <w:rtl/>
        </w:rPr>
        <w:t xml:space="preserve">خرى على الخطاب الديني. </w:t>
      </w:r>
    </w:p>
    <w:p w:rsidR="00ED1ECC" w:rsidRPr="006571AC" w:rsidRDefault="00ED1ECC" w:rsidP="00ED1ECC">
      <w:pPr>
        <w:spacing w:line="420" w:lineRule="exact"/>
        <w:rPr>
          <w:sz w:val="27"/>
          <w:rtl/>
        </w:rPr>
      </w:pPr>
    </w:p>
    <w:p w:rsidR="007C76F0" w:rsidRPr="006571AC" w:rsidRDefault="007C76F0" w:rsidP="006C79DA">
      <w:pPr>
        <w:pStyle w:val="31"/>
        <w:rPr>
          <w:color w:val="auto"/>
          <w:rtl/>
        </w:rPr>
      </w:pPr>
      <w:bookmarkStart w:id="59" w:name="_Toc114164548"/>
      <w:r w:rsidRPr="006571AC">
        <w:rPr>
          <w:color w:val="auto"/>
          <w:rtl/>
        </w:rPr>
        <w:t>انعكاسات الخطاب الديني ومخرجاته الاجتماعي</w:t>
      </w:r>
      <w:r w:rsidR="00791067" w:rsidRPr="006571AC">
        <w:rPr>
          <w:rFonts w:hint="cs"/>
          <w:color w:val="auto"/>
          <w:rtl/>
        </w:rPr>
        <w:t>ّ</w:t>
      </w:r>
      <w:r w:rsidRPr="006571AC">
        <w:rPr>
          <w:color w:val="auto"/>
          <w:rtl/>
        </w:rPr>
        <w:t>ة</w:t>
      </w:r>
      <w:bookmarkEnd w:id="59"/>
      <w:r w:rsidRPr="006571AC">
        <w:rPr>
          <w:color w:val="auto"/>
          <w:rtl/>
        </w:rPr>
        <w:t xml:space="preserve"> </w:t>
      </w:r>
    </w:p>
    <w:p w:rsidR="007C76F0" w:rsidRPr="006571AC" w:rsidRDefault="0030581F" w:rsidP="00F22B89">
      <w:pPr>
        <w:rPr>
          <w:sz w:val="27"/>
          <w:rtl/>
        </w:rPr>
      </w:pPr>
      <w:r w:rsidRPr="006571AC">
        <w:rPr>
          <w:sz w:val="27"/>
          <w:rtl/>
        </w:rPr>
        <w:t>إن من أهم</w:t>
      </w:r>
      <w:r w:rsidR="006936E8" w:rsidRPr="006571AC">
        <w:rPr>
          <w:rFonts w:hint="cs"/>
          <w:sz w:val="27"/>
          <w:rtl/>
        </w:rPr>
        <w:t>ّ</w:t>
      </w:r>
      <w:r w:rsidRPr="006571AC">
        <w:rPr>
          <w:sz w:val="27"/>
          <w:rtl/>
        </w:rPr>
        <w:t xml:space="preserve"> مناهج النقد</w:t>
      </w:r>
      <w:r w:rsidR="007C76F0" w:rsidRPr="006571AC">
        <w:rPr>
          <w:sz w:val="27"/>
          <w:rtl/>
        </w:rPr>
        <w:t xml:space="preserve"> والتقويم لأي</w:t>
      </w:r>
      <w:r w:rsidRPr="006571AC">
        <w:rPr>
          <w:rFonts w:hint="cs"/>
          <w:sz w:val="27"/>
          <w:rtl/>
        </w:rPr>
        <w:t>ّ</w:t>
      </w:r>
      <w:r w:rsidR="007C76F0" w:rsidRPr="006571AC">
        <w:rPr>
          <w:sz w:val="27"/>
          <w:rtl/>
        </w:rPr>
        <w:t xml:space="preserve"> خطاب قراءة المخرجات والنتائج، وملاحظة انعكاس الخطاب على المجتمع س</w:t>
      </w:r>
      <w:r w:rsidR="00C96510" w:rsidRPr="006571AC">
        <w:rPr>
          <w:rFonts w:hint="cs"/>
          <w:sz w:val="27"/>
          <w:rtl/>
        </w:rPr>
        <w:t>َ</w:t>
      </w:r>
      <w:r w:rsidR="007C76F0" w:rsidRPr="006571AC">
        <w:rPr>
          <w:sz w:val="27"/>
          <w:rtl/>
        </w:rPr>
        <w:t>ل</w:t>
      </w:r>
      <w:r w:rsidR="00C96510" w:rsidRPr="006571AC">
        <w:rPr>
          <w:rFonts w:hint="cs"/>
          <w:sz w:val="27"/>
          <w:rtl/>
        </w:rPr>
        <w:t>ْ</w:t>
      </w:r>
      <w:r w:rsidR="007C76F0" w:rsidRPr="006571AC">
        <w:rPr>
          <w:sz w:val="27"/>
          <w:rtl/>
        </w:rPr>
        <w:t>باً وإيجاباً. فمثلاً: حين نجد أنّ الخطاب الديني ساهم في انتاج مجتمعٍ متقد</w:t>
      </w:r>
      <w:r w:rsidR="00C96510" w:rsidRPr="006571AC">
        <w:rPr>
          <w:rFonts w:hint="cs"/>
          <w:sz w:val="27"/>
          <w:rtl/>
        </w:rPr>
        <w:t>ّ</w:t>
      </w:r>
      <w:r w:rsidR="007C76F0" w:rsidRPr="006571AC">
        <w:rPr>
          <w:sz w:val="27"/>
          <w:rtl/>
        </w:rPr>
        <w:t>مٍ متحضّرٍ فهذا يدل</w:t>
      </w:r>
      <w:r w:rsidR="00C96510" w:rsidRPr="006571AC">
        <w:rPr>
          <w:rFonts w:hint="cs"/>
          <w:sz w:val="27"/>
          <w:rtl/>
        </w:rPr>
        <w:t>ّ</w:t>
      </w:r>
      <w:r w:rsidR="007C76F0" w:rsidRPr="006571AC">
        <w:rPr>
          <w:sz w:val="27"/>
          <w:rtl/>
        </w:rPr>
        <w:t xml:space="preserve"> على سلامة ورقي</w:t>
      </w:r>
      <w:r w:rsidR="00C96510" w:rsidRPr="006571AC">
        <w:rPr>
          <w:rFonts w:hint="cs"/>
          <w:sz w:val="27"/>
          <w:rtl/>
        </w:rPr>
        <w:t>ّ</w:t>
      </w:r>
      <w:r w:rsidR="007C76F0" w:rsidRPr="006571AC">
        <w:rPr>
          <w:sz w:val="27"/>
          <w:rtl/>
        </w:rPr>
        <w:t xml:space="preserve"> هذا </w:t>
      </w:r>
      <w:r w:rsidR="00C96510" w:rsidRPr="006571AC">
        <w:rPr>
          <w:sz w:val="27"/>
          <w:rtl/>
        </w:rPr>
        <w:t>الخطاب، بينما حين نجد أن</w:t>
      </w:r>
      <w:r w:rsidR="00C96510" w:rsidRPr="006571AC">
        <w:rPr>
          <w:rFonts w:hint="cs"/>
          <w:sz w:val="27"/>
          <w:rtl/>
        </w:rPr>
        <w:t>ّ</w:t>
      </w:r>
      <w:r w:rsidR="007C76F0" w:rsidRPr="006571AC">
        <w:rPr>
          <w:sz w:val="27"/>
          <w:rtl/>
        </w:rPr>
        <w:t xml:space="preserve"> النتيجة كانت تكريس واقعٍ متخلّفٍ ووضعٍ سي</w:t>
      </w:r>
      <w:r w:rsidR="00C96510" w:rsidRPr="006571AC">
        <w:rPr>
          <w:rFonts w:hint="cs"/>
          <w:sz w:val="27"/>
          <w:rtl/>
        </w:rPr>
        <w:t>ّئ</w:t>
      </w:r>
      <w:r w:rsidR="007C76F0" w:rsidRPr="006571AC">
        <w:rPr>
          <w:sz w:val="27"/>
          <w:rtl/>
        </w:rPr>
        <w:t xml:space="preserve"> </w:t>
      </w:r>
      <w:r w:rsidR="00C96510" w:rsidRPr="006571AC">
        <w:rPr>
          <w:rFonts w:hint="cs"/>
          <w:sz w:val="27"/>
          <w:rtl/>
        </w:rPr>
        <w:t>ف</w:t>
      </w:r>
      <w:r w:rsidR="007C76F0" w:rsidRPr="006571AC">
        <w:rPr>
          <w:sz w:val="27"/>
          <w:rtl/>
        </w:rPr>
        <w:t xml:space="preserve">هنا لا يُمكن أن نحكم بصوابية ذلك النهج من الخطاب. فعلى أساس النتائج والانعكاسات التي صنعها الخطاب في المجتمع يكون النقد والتقويم. </w:t>
      </w:r>
    </w:p>
    <w:p w:rsidR="007C76F0" w:rsidRPr="006571AC" w:rsidRDefault="007C76F0" w:rsidP="00F22B89">
      <w:pPr>
        <w:rPr>
          <w:sz w:val="27"/>
        </w:rPr>
      </w:pPr>
      <w:r w:rsidRPr="006571AC">
        <w:rPr>
          <w:sz w:val="27"/>
          <w:rtl/>
        </w:rPr>
        <w:t xml:space="preserve">وحين ننظر إلى الواقع الاجتماعي في عالمنا الإسلامي نجد واقعاً </w:t>
      </w:r>
      <w:r w:rsidR="00C96510" w:rsidRPr="006571AC">
        <w:rPr>
          <w:rFonts w:hint="cs"/>
          <w:sz w:val="27"/>
          <w:rtl/>
        </w:rPr>
        <w:t>غير</w:t>
      </w:r>
      <w:r w:rsidRPr="006571AC">
        <w:rPr>
          <w:sz w:val="27"/>
          <w:rtl/>
        </w:rPr>
        <w:t xml:space="preserve"> إيجابي</w:t>
      </w:r>
      <w:r w:rsidR="00C96510" w:rsidRPr="006571AC">
        <w:rPr>
          <w:rFonts w:hint="cs"/>
          <w:sz w:val="27"/>
          <w:rtl/>
        </w:rPr>
        <w:t>ّ</w:t>
      </w:r>
      <w:r w:rsidRPr="006571AC">
        <w:rPr>
          <w:sz w:val="27"/>
          <w:rtl/>
        </w:rPr>
        <w:t xml:space="preserve">، فيه ظواهر سلبية خطيرة، ومن أبرزها: </w:t>
      </w:r>
    </w:p>
    <w:p w:rsidR="007C76F0" w:rsidRPr="006571AC" w:rsidRDefault="007C76F0" w:rsidP="00F22B89">
      <w:pPr>
        <w:rPr>
          <w:sz w:val="27"/>
          <w:rtl/>
        </w:rPr>
      </w:pPr>
      <w:r w:rsidRPr="006571AC">
        <w:rPr>
          <w:b/>
          <w:bCs/>
          <w:sz w:val="27"/>
          <w:rtl/>
        </w:rPr>
        <w:t>أو</w:t>
      </w:r>
      <w:r w:rsidR="00C96510" w:rsidRPr="006571AC">
        <w:rPr>
          <w:rFonts w:hint="cs"/>
          <w:b/>
          <w:bCs/>
          <w:sz w:val="27"/>
          <w:rtl/>
        </w:rPr>
        <w:t>ّ</w:t>
      </w:r>
      <w:r w:rsidRPr="006571AC">
        <w:rPr>
          <w:b/>
          <w:bCs/>
          <w:sz w:val="27"/>
          <w:rtl/>
        </w:rPr>
        <w:t>لاً</w:t>
      </w:r>
      <w:r w:rsidRPr="006571AC">
        <w:rPr>
          <w:sz w:val="27"/>
          <w:rtl/>
        </w:rPr>
        <w:t>: عدم رسوخ الق</w:t>
      </w:r>
      <w:r w:rsidR="00C96510" w:rsidRPr="006571AC">
        <w:rPr>
          <w:rFonts w:hint="cs"/>
          <w:sz w:val="27"/>
          <w:rtl/>
        </w:rPr>
        <w:t>ِ</w:t>
      </w:r>
      <w:r w:rsidRPr="006571AC">
        <w:rPr>
          <w:sz w:val="27"/>
          <w:rtl/>
        </w:rPr>
        <w:t>ي</w:t>
      </w:r>
      <w:r w:rsidR="00C96510" w:rsidRPr="006571AC">
        <w:rPr>
          <w:rFonts w:hint="cs"/>
          <w:sz w:val="27"/>
          <w:rtl/>
        </w:rPr>
        <w:t>َ</w:t>
      </w:r>
      <w:r w:rsidRPr="006571AC">
        <w:rPr>
          <w:sz w:val="27"/>
          <w:rtl/>
        </w:rPr>
        <w:t>م الأساس للدين في نفوس أبناء المجتمع، وغياب الالتزام بها في سلوكهم، كقيمة الحر</w:t>
      </w:r>
      <w:r w:rsidR="00C96510" w:rsidRPr="006571AC">
        <w:rPr>
          <w:rFonts w:hint="cs"/>
          <w:sz w:val="27"/>
          <w:rtl/>
        </w:rPr>
        <w:t>ّ</w:t>
      </w:r>
      <w:r w:rsidRPr="006571AC">
        <w:rPr>
          <w:sz w:val="27"/>
          <w:rtl/>
        </w:rPr>
        <w:t>ية والعدالة وحقوق الإنسان، وضعف الالتزام بالأخلاق الفاضلة</w:t>
      </w:r>
      <w:r w:rsidR="00C96510" w:rsidRPr="006571AC">
        <w:rPr>
          <w:rFonts w:hint="cs"/>
          <w:sz w:val="27"/>
          <w:rtl/>
        </w:rPr>
        <w:t>،</w:t>
      </w:r>
      <w:r w:rsidRPr="006571AC">
        <w:rPr>
          <w:sz w:val="27"/>
          <w:rtl/>
        </w:rPr>
        <w:t xml:space="preserve"> كالصدق والأمانة ومراعاة النظام</w:t>
      </w:r>
      <w:r w:rsidR="00C96510" w:rsidRPr="006571AC">
        <w:rPr>
          <w:rFonts w:hint="cs"/>
          <w:sz w:val="27"/>
          <w:rtl/>
        </w:rPr>
        <w:t>.</w:t>
      </w:r>
      <w:r w:rsidRPr="006571AC">
        <w:rPr>
          <w:sz w:val="27"/>
          <w:rtl/>
        </w:rPr>
        <w:t xml:space="preserve"> فهذه الق</w:t>
      </w:r>
      <w:r w:rsidR="006936E8" w:rsidRPr="006571AC">
        <w:rPr>
          <w:rFonts w:hint="cs"/>
          <w:sz w:val="27"/>
          <w:rtl/>
        </w:rPr>
        <w:t>ِ</w:t>
      </w:r>
      <w:r w:rsidRPr="006571AC">
        <w:rPr>
          <w:sz w:val="27"/>
          <w:rtl/>
        </w:rPr>
        <w:t>ي</w:t>
      </w:r>
      <w:r w:rsidR="006936E8" w:rsidRPr="006571AC">
        <w:rPr>
          <w:rFonts w:hint="cs"/>
          <w:sz w:val="27"/>
          <w:rtl/>
        </w:rPr>
        <w:t>َ</w:t>
      </w:r>
      <w:r w:rsidRPr="006571AC">
        <w:rPr>
          <w:sz w:val="27"/>
          <w:rtl/>
        </w:rPr>
        <w:t>م غير راسخة</w:t>
      </w:r>
      <w:r w:rsidR="00C96510" w:rsidRPr="006571AC">
        <w:rPr>
          <w:rFonts w:hint="cs"/>
          <w:sz w:val="27"/>
          <w:rtl/>
        </w:rPr>
        <w:t>ٍ</w:t>
      </w:r>
      <w:r w:rsidRPr="006571AC">
        <w:rPr>
          <w:sz w:val="27"/>
          <w:rtl/>
        </w:rPr>
        <w:t xml:space="preserve"> في النفوس، وغير منعكسة</w:t>
      </w:r>
      <w:r w:rsidR="00C96510" w:rsidRPr="006571AC">
        <w:rPr>
          <w:rFonts w:hint="cs"/>
          <w:sz w:val="27"/>
          <w:rtl/>
        </w:rPr>
        <w:t>ٍ</w:t>
      </w:r>
      <w:r w:rsidRPr="006571AC">
        <w:rPr>
          <w:sz w:val="27"/>
          <w:rtl/>
        </w:rPr>
        <w:t xml:space="preserve"> على السلوك</w:t>
      </w:r>
      <w:r w:rsidR="00C96510" w:rsidRPr="006571AC">
        <w:rPr>
          <w:rFonts w:hint="cs"/>
          <w:sz w:val="27"/>
          <w:rtl/>
        </w:rPr>
        <w:t>،</w:t>
      </w:r>
      <w:r w:rsidRPr="006571AC">
        <w:rPr>
          <w:sz w:val="27"/>
          <w:rtl/>
        </w:rPr>
        <w:t xml:space="preserve"> في مساحة</w:t>
      </w:r>
      <w:r w:rsidR="00C96510" w:rsidRPr="006571AC">
        <w:rPr>
          <w:rFonts w:hint="cs"/>
          <w:sz w:val="27"/>
          <w:rtl/>
        </w:rPr>
        <w:t>ٍ</w:t>
      </w:r>
      <w:r w:rsidRPr="006571AC">
        <w:rPr>
          <w:sz w:val="27"/>
          <w:rtl/>
        </w:rPr>
        <w:t xml:space="preserve"> واسعة من هذه المجتمعات. </w:t>
      </w:r>
    </w:p>
    <w:p w:rsidR="007C76F0" w:rsidRPr="006571AC" w:rsidRDefault="007C76F0" w:rsidP="00F22B89">
      <w:pPr>
        <w:rPr>
          <w:sz w:val="27"/>
          <w:rtl/>
        </w:rPr>
      </w:pPr>
      <w:r w:rsidRPr="006571AC">
        <w:rPr>
          <w:b/>
          <w:bCs/>
          <w:sz w:val="27"/>
          <w:rtl/>
        </w:rPr>
        <w:t>ثانياً</w:t>
      </w:r>
      <w:r w:rsidRPr="006571AC">
        <w:rPr>
          <w:sz w:val="27"/>
          <w:rtl/>
        </w:rPr>
        <w:t>: ضعف الاهتمام العلمي والثقافي، وغياب الإبداع في علوم الطبيعة والحياة</w:t>
      </w:r>
      <w:r w:rsidR="00C96510" w:rsidRPr="006571AC">
        <w:rPr>
          <w:rFonts w:hint="cs"/>
          <w:sz w:val="27"/>
          <w:rtl/>
        </w:rPr>
        <w:t>.</w:t>
      </w:r>
      <w:r w:rsidRPr="006571AC">
        <w:rPr>
          <w:sz w:val="27"/>
          <w:rtl/>
        </w:rPr>
        <w:t xml:space="preserve"> فالعالَم يتقدَّم كل</w:t>
      </w:r>
      <w:r w:rsidR="00C96510" w:rsidRPr="006571AC">
        <w:rPr>
          <w:rFonts w:hint="cs"/>
          <w:sz w:val="27"/>
          <w:rtl/>
        </w:rPr>
        <w:t>ّ</w:t>
      </w:r>
      <w:r w:rsidRPr="006571AC">
        <w:rPr>
          <w:sz w:val="27"/>
          <w:rtl/>
        </w:rPr>
        <w:t xml:space="preserve"> يوم</w:t>
      </w:r>
      <w:r w:rsidR="00C96510" w:rsidRPr="006571AC">
        <w:rPr>
          <w:rFonts w:hint="cs"/>
          <w:sz w:val="27"/>
          <w:rtl/>
        </w:rPr>
        <w:t>ٍ</w:t>
      </w:r>
      <w:r w:rsidRPr="006571AC">
        <w:rPr>
          <w:sz w:val="27"/>
          <w:rtl/>
        </w:rPr>
        <w:t xml:space="preserve"> في مختلف مجالات العلوم، ومساهمة مجتمعاتنا الإسلامية في هذا التقد</w:t>
      </w:r>
      <w:r w:rsidR="00ED1ECC" w:rsidRPr="006571AC">
        <w:rPr>
          <w:rFonts w:hint="cs"/>
          <w:sz w:val="27"/>
          <w:rtl/>
        </w:rPr>
        <w:t>ُّ</w:t>
      </w:r>
      <w:r w:rsidRPr="006571AC">
        <w:rPr>
          <w:sz w:val="27"/>
          <w:rtl/>
        </w:rPr>
        <w:t>م العلمي لا تكاد ت</w:t>
      </w:r>
      <w:r w:rsidR="00C96510" w:rsidRPr="006571AC">
        <w:rPr>
          <w:rFonts w:hint="cs"/>
          <w:sz w:val="27"/>
          <w:rtl/>
        </w:rPr>
        <w:t>ُ</w:t>
      </w:r>
      <w:r w:rsidRPr="006571AC">
        <w:rPr>
          <w:sz w:val="27"/>
          <w:rtl/>
        </w:rPr>
        <w:t>ذ</w:t>
      </w:r>
      <w:r w:rsidR="00C96510" w:rsidRPr="006571AC">
        <w:rPr>
          <w:rFonts w:hint="cs"/>
          <w:sz w:val="27"/>
          <w:rtl/>
        </w:rPr>
        <w:t>ْ</w:t>
      </w:r>
      <w:r w:rsidRPr="006571AC">
        <w:rPr>
          <w:sz w:val="27"/>
          <w:rtl/>
        </w:rPr>
        <w:t>ك</w:t>
      </w:r>
      <w:r w:rsidR="00C96510" w:rsidRPr="006571AC">
        <w:rPr>
          <w:rFonts w:hint="cs"/>
          <w:sz w:val="27"/>
          <w:rtl/>
        </w:rPr>
        <w:t>َ</w:t>
      </w:r>
      <w:r w:rsidRPr="006571AC">
        <w:rPr>
          <w:sz w:val="27"/>
          <w:rtl/>
        </w:rPr>
        <w:t>ر</w:t>
      </w:r>
      <w:r w:rsidR="00C96510" w:rsidRPr="006571AC">
        <w:rPr>
          <w:rFonts w:hint="cs"/>
          <w:sz w:val="27"/>
          <w:rtl/>
        </w:rPr>
        <w:t>.</w:t>
      </w:r>
      <w:r w:rsidRPr="006571AC">
        <w:rPr>
          <w:sz w:val="27"/>
          <w:rtl/>
        </w:rPr>
        <w:t xml:space="preserve"> وحين نُسلّ</w:t>
      </w:r>
      <w:r w:rsidR="00C96510" w:rsidRPr="006571AC">
        <w:rPr>
          <w:rFonts w:hint="cs"/>
          <w:sz w:val="27"/>
          <w:rtl/>
        </w:rPr>
        <w:t>ِ</w:t>
      </w:r>
      <w:r w:rsidRPr="006571AC">
        <w:rPr>
          <w:sz w:val="27"/>
          <w:rtl/>
        </w:rPr>
        <w:t>ط الضوء على بعض المبادرات العالمية للإشادة بالمبدعين والمتميزين في إنتاجهم العلمي، مثل</w:t>
      </w:r>
      <w:r w:rsidR="00C96510" w:rsidRPr="006571AC">
        <w:rPr>
          <w:rFonts w:hint="cs"/>
          <w:sz w:val="27"/>
          <w:rtl/>
        </w:rPr>
        <w:t>:</w:t>
      </w:r>
      <w:r w:rsidRPr="006571AC">
        <w:rPr>
          <w:sz w:val="27"/>
          <w:rtl/>
        </w:rPr>
        <w:t xml:space="preserve"> جائزة الملك فيصل العالمية، نجد </w:t>
      </w:r>
      <w:r w:rsidRPr="006571AC">
        <w:rPr>
          <w:sz w:val="27"/>
          <w:rtl/>
        </w:rPr>
        <w:lastRenderedPageBreak/>
        <w:t>أنه قد فاز بالجائزة في مجال العلوم المختلفة</w:t>
      </w:r>
      <w:r w:rsidR="00C96510" w:rsidRPr="006571AC">
        <w:rPr>
          <w:rFonts w:hint="cs"/>
          <w:sz w:val="27"/>
          <w:rtl/>
        </w:rPr>
        <w:t>،</w:t>
      </w:r>
      <w:r w:rsidRPr="006571AC">
        <w:rPr>
          <w:sz w:val="27"/>
          <w:rtl/>
        </w:rPr>
        <w:t xml:space="preserve"> حت</w:t>
      </w:r>
      <w:r w:rsidR="00C96510" w:rsidRPr="006571AC">
        <w:rPr>
          <w:rFonts w:hint="cs"/>
          <w:sz w:val="27"/>
          <w:rtl/>
        </w:rPr>
        <w:t>ّ</w:t>
      </w:r>
      <w:r w:rsidRPr="006571AC">
        <w:rPr>
          <w:sz w:val="27"/>
          <w:rtl/>
        </w:rPr>
        <w:t>ى 2019م، 59 عالماً من 14 جنسيّة، وليس فيهم م</w:t>
      </w:r>
      <w:r w:rsidR="00C96510" w:rsidRPr="006571AC">
        <w:rPr>
          <w:rFonts w:hint="cs"/>
          <w:sz w:val="27"/>
          <w:rtl/>
        </w:rPr>
        <w:t>َ</w:t>
      </w:r>
      <w:r w:rsidRPr="006571AC">
        <w:rPr>
          <w:sz w:val="27"/>
          <w:rtl/>
        </w:rPr>
        <w:t>ن</w:t>
      </w:r>
      <w:r w:rsidR="00C96510" w:rsidRPr="006571AC">
        <w:rPr>
          <w:rFonts w:hint="cs"/>
          <w:sz w:val="27"/>
          <w:rtl/>
        </w:rPr>
        <w:t>ْ</w:t>
      </w:r>
      <w:r w:rsidRPr="006571AC">
        <w:rPr>
          <w:sz w:val="27"/>
          <w:rtl/>
        </w:rPr>
        <w:t xml:space="preserve"> يحمل جنسي</w:t>
      </w:r>
      <w:r w:rsidR="00C96510" w:rsidRPr="006571AC">
        <w:rPr>
          <w:rFonts w:hint="cs"/>
          <w:sz w:val="27"/>
          <w:rtl/>
        </w:rPr>
        <w:t>ّ</w:t>
      </w:r>
      <w:r w:rsidRPr="006571AC">
        <w:rPr>
          <w:sz w:val="27"/>
          <w:rtl/>
        </w:rPr>
        <w:t>ة بلد</w:t>
      </w:r>
      <w:r w:rsidR="00C96510" w:rsidRPr="006571AC">
        <w:rPr>
          <w:rFonts w:hint="cs"/>
          <w:sz w:val="27"/>
          <w:rtl/>
        </w:rPr>
        <w:t>ٍ</w:t>
      </w:r>
      <w:r w:rsidRPr="006571AC">
        <w:rPr>
          <w:sz w:val="27"/>
          <w:rtl/>
        </w:rPr>
        <w:t xml:space="preserve"> إسلامي، عدا الفائزين في مجال الأدب وخدمة الإسلام. </w:t>
      </w:r>
    </w:p>
    <w:p w:rsidR="007C76F0" w:rsidRPr="006571AC" w:rsidRDefault="007C76F0" w:rsidP="00F22B89">
      <w:pPr>
        <w:rPr>
          <w:sz w:val="27"/>
          <w:rtl/>
        </w:rPr>
      </w:pPr>
      <w:r w:rsidRPr="006571AC">
        <w:rPr>
          <w:sz w:val="27"/>
          <w:rtl/>
        </w:rPr>
        <w:t>نعم</w:t>
      </w:r>
      <w:r w:rsidR="00C96510" w:rsidRPr="006571AC">
        <w:rPr>
          <w:rFonts w:hint="cs"/>
          <w:sz w:val="27"/>
          <w:rtl/>
        </w:rPr>
        <w:t>،</w:t>
      </w:r>
      <w:r w:rsidRPr="006571AC">
        <w:rPr>
          <w:sz w:val="27"/>
          <w:rtl/>
        </w:rPr>
        <w:t xml:space="preserve"> نجد في المسلمين م</w:t>
      </w:r>
      <w:r w:rsidR="000240DD" w:rsidRPr="006571AC">
        <w:rPr>
          <w:rFonts w:hint="cs"/>
          <w:sz w:val="27"/>
          <w:rtl/>
        </w:rPr>
        <w:t>َ</w:t>
      </w:r>
      <w:r w:rsidRPr="006571AC">
        <w:rPr>
          <w:sz w:val="27"/>
          <w:rtl/>
        </w:rPr>
        <w:t>ن</w:t>
      </w:r>
      <w:r w:rsidR="000240DD" w:rsidRPr="006571AC">
        <w:rPr>
          <w:rFonts w:hint="cs"/>
          <w:sz w:val="27"/>
          <w:rtl/>
        </w:rPr>
        <w:t>ْ</w:t>
      </w:r>
      <w:r w:rsidRPr="006571AC">
        <w:rPr>
          <w:sz w:val="27"/>
          <w:rtl/>
        </w:rPr>
        <w:t xml:space="preserve"> حصل على جائزة نوبل</w:t>
      </w:r>
      <w:r w:rsidR="000240DD" w:rsidRPr="006571AC">
        <w:rPr>
          <w:rFonts w:hint="cs"/>
          <w:sz w:val="27"/>
          <w:rtl/>
        </w:rPr>
        <w:t>،</w:t>
      </w:r>
      <w:r w:rsidRPr="006571AC">
        <w:rPr>
          <w:sz w:val="27"/>
          <w:rtl/>
        </w:rPr>
        <w:t xml:space="preserve"> لكنهم يعدّون على الأصابع، ولا يُقاسون عدداً بم</w:t>
      </w:r>
      <w:r w:rsidR="000240DD" w:rsidRPr="006571AC">
        <w:rPr>
          <w:rFonts w:hint="cs"/>
          <w:sz w:val="27"/>
          <w:rtl/>
        </w:rPr>
        <w:t>َ</w:t>
      </w:r>
      <w:r w:rsidRPr="006571AC">
        <w:rPr>
          <w:sz w:val="27"/>
          <w:rtl/>
        </w:rPr>
        <w:t>ن</w:t>
      </w:r>
      <w:r w:rsidR="000240DD" w:rsidRPr="006571AC">
        <w:rPr>
          <w:rFonts w:hint="cs"/>
          <w:sz w:val="27"/>
          <w:rtl/>
        </w:rPr>
        <w:t>ْ</w:t>
      </w:r>
      <w:r w:rsidRPr="006571AC">
        <w:rPr>
          <w:sz w:val="27"/>
          <w:rtl/>
        </w:rPr>
        <w:t xml:space="preserve"> فازوا بالجائزة من اليهود والمسيحيين والديانات الأخرى، فلماذا نجد ضعف الاهتمام العلمي والإبداع المعرفي في مجتمعاتنا الإسلامية؟</w:t>
      </w:r>
      <w:r w:rsidR="000240DD" w:rsidRPr="006571AC">
        <w:rPr>
          <w:rFonts w:hint="cs"/>
          <w:sz w:val="27"/>
          <w:rtl/>
        </w:rPr>
        <w:t>!</w:t>
      </w:r>
      <w:r w:rsidRPr="006571AC">
        <w:rPr>
          <w:sz w:val="27"/>
          <w:rtl/>
        </w:rPr>
        <w:t xml:space="preserve"> </w:t>
      </w:r>
    </w:p>
    <w:p w:rsidR="007C76F0" w:rsidRPr="006571AC" w:rsidRDefault="007C76F0" w:rsidP="00F22B89">
      <w:pPr>
        <w:rPr>
          <w:sz w:val="27"/>
          <w:rtl/>
        </w:rPr>
      </w:pPr>
      <w:r w:rsidRPr="006571AC">
        <w:rPr>
          <w:b/>
          <w:bCs/>
          <w:sz w:val="27"/>
          <w:rtl/>
        </w:rPr>
        <w:t>ثالثاً</w:t>
      </w:r>
      <w:r w:rsidRPr="006571AC">
        <w:rPr>
          <w:sz w:val="27"/>
          <w:rtl/>
        </w:rPr>
        <w:t>: انخفاض مستوى الفاعلية والإنتاج ومستوى جودة الحياة، كالإنتاج الصناعي والزراعي والتكنولوجي، وفي مختلف المجالات. وقد أصبح لجودة الحياة معايير ومقاييس عالمية في</w:t>
      </w:r>
      <w:r w:rsidR="000240DD" w:rsidRPr="006571AC">
        <w:rPr>
          <w:rFonts w:hint="cs"/>
          <w:sz w:val="27"/>
          <w:rtl/>
        </w:rPr>
        <w:t xml:space="preserve"> </w:t>
      </w:r>
      <w:r w:rsidRPr="006571AC">
        <w:rPr>
          <w:sz w:val="27"/>
          <w:rtl/>
        </w:rPr>
        <w:t>ما يرتبط بالخدمات الصح</w:t>
      </w:r>
      <w:r w:rsidR="000240DD" w:rsidRPr="006571AC">
        <w:rPr>
          <w:rFonts w:hint="cs"/>
          <w:sz w:val="27"/>
          <w:rtl/>
        </w:rPr>
        <w:t>ّ</w:t>
      </w:r>
      <w:r w:rsidRPr="006571AC">
        <w:rPr>
          <w:sz w:val="27"/>
          <w:rtl/>
        </w:rPr>
        <w:t>ية، وفرص التعليم، والعمل، والأمن الاجتماعي، والتخطيط العمراني، والحوكمة</w:t>
      </w:r>
      <w:r w:rsidR="00284653" w:rsidRPr="006571AC">
        <w:rPr>
          <w:rFonts w:hint="cs"/>
          <w:sz w:val="27"/>
          <w:rtl/>
        </w:rPr>
        <w:t>،</w:t>
      </w:r>
      <w:r w:rsidRPr="006571AC">
        <w:rPr>
          <w:sz w:val="27"/>
          <w:rtl/>
        </w:rPr>
        <w:t xml:space="preserve"> والشفافية، ومجالات الترفيه</w:t>
      </w:r>
      <w:r w:rsidR="000240DD" w:rsidRPr="006571AC">
        <w:rPr>
          <w:rFonts w:hint="cs"/>
          <w:sz w:val="27"/>
          <w:rtl/>
        </w:rPr>
        <w:t xml:space="preserve">...، </w:t>
      </w:r>
      <w:r w:rsidRPr="006571AC">
        <w:rPr>
          <w:sz w:val="27"/>
          <w:rtl/>
        </w:rPr>
        <w:t>وتتنافس الدول والمجتمعات الأخرى على تحقيق أعلى الدرجات فيها، بينما لا تزال معظم مجتمعاتنا الإسلامية تحتل</w:t>
      </w:r>
      <w:r w:rsidR="000240DD" w:rsidRPr="006571AC">
        <w:rPr>
          <w:rFonts w:hint="cs"/>
          <w:sz w:val="27"/>
          <w:rtl/>
        </w:rPr>
        <w:t>ّ</w:t>
      </w:r>
      <w:r w:rsidRPr="006571AC">
        <w:rPr>
          <w:sz w:val="27"/>
          <w:rtl/>
        </w:rPr>
        <w:t xml:space="preserve"> أدنى المراتب في المؤش</w:t>
      </w:r>
      <w:r w:rsidR="000240DD" w:rsidRPr="006571AC">
        <w:rPr>
          <w:rFonts w:hint="cs"/>
          <w:sz w:val="27"/>
          <w:rtl/>
        </w:rPr>
        <w:t>ِّ</w:t>
      </w:r>
      <w:r w:rsidRPr="006571AC">
        <w:rPr>
          <w:sz w:val="27"/>
          <w:rtl/>
        </w:rPr>
        <w:t xml:space="preserve">رات والتقارير الدولية لجودة الحياة. </w:t>
      </w:r>
    </w:p>
    <w:p w:rsidR="007C76F0" w:rsidRPr="006571AC" w:rsidRDefault="007C76F0" w:rsidP="00F22B89">
      <w:pPr>
        <w:rPr>
          <w:sz w:val="27"/>
          <w:rtl/>
        </w:rPr>
      </w:pPr>
      <w:r w:rsidRPr="006571AC">
        <w:rPr>
          <w:b/>
          <w:bCs/>
          <w:sz w:val="27"/>
          <w:rtl/>
        </w:rPr>
        <w:t>رابعاً</w:t>
      </w:r>
      <w:r w:rsidRPr="006571AC">
        <w:rPr>
          <w:sz w:val="27"/>
          <w:rtl/>
        </w:rPr>
        <w:t>: ضعف المشاركة وال</w:t>
      </w:r>
      <w:r w:rsidR="000240DD" w:rsidRPr="006571AC">
        <w:rPr>
          <w:rFonts w:hint="cs"/>
          <w:sz w:val="27"/>
          <w:rtl/>
        </w:rPr>
        <w:t>إ</w:t>
      </w:r>
      <w:r w:rsidRPr="006571AC">
        <w:rPr>
          <w:sz w:val="27"/>
          <w:rtl/>
        </w:rPr>
        <w:t>قبال على العمل التطو</w:t>
      </w:r>
      <w:r w:rsidR="000240DD" w:rsidRPr="006571AC">
        <w:rPr>
          <w:rFonts w:hint="cs"/>
          <w:sz w:val="27"/>
          <w:rtl/>
        </w:rPr>
        <w:t>ُّ</w:t>
      </w:r>
      <w:r w:rsidRPr="006571AC">
        <w:rPr>
          <w:sz w:val="27"/>
          <w:rtl/>
        </w:rPr>
        <w:t>عي الإنساني، في مقابل الإقبال الأكثر على الأعمال الدينية، كبناء المساجد والحسينيات، وأداء الحج</w:t>
      </w:r>
      <w:r w:rsidR="00284653" w:rsidRPr="006571AC">
        <w:rPr>
          <w:rFonts w:hint="cs"/>
          <w:sz w:val="27"/>
          <w:rtl/>
        </w:rPr>
        <w:t>ّ</w:t>
      </w:r>
      <w:r w:rsidRPr="006571AC">
        <w:rPr>
          <w:sz w:val="27"/>
          <w:rtl/>
        </w:rPr>
        <w:t xml:space="preserve"> والعمرة، وزيارة العتبات المقد</w:t>
      </w:r>
      <w:r w:rsidR="000240DD" w:rsidRPr="006571AC">
        <w:rPr>
          <w:rFonts w:hint="cs"/>
          <w:sz w:val="27"/>
          <w:rtl/>
        </w:rPr>
        <w:t>ّ</w:t>
      </w:r>
      <w:r w:rsidRPr="006571AC">
        <w:rPr>
          <w:sz w:val="27"/>
          <w:rtl/>
        </w:rPr>
        <w:t>سة، وحضور المآتم وإقامة الشعائر</w:t>
      </w:r>
      <w:r w:rsidR="000240DD" w:rsidRPr="006571AC">
        <w:rPr>
          <w:rFonts w:hint="cs"/>
          <w:sz w:val="27"/>
          <w:rtl/>
        </w:rPr>
        <w:t>.</w:t>
      </w:r>
      <w:r w:rsidRPr="006571AC">
        <w:rPr>
          <w:sz w:val="27"/>
          <w:rtl/>
        </w:rPr>
        <w:t xml:space="preserve"> وهي أعمالٌ ح</w:t>
      </w:r>
      <w:r w:rsidR="00284653" w:rsidRPr="006571AC">
        <w:rPr>
          <w:rFonts w:hint="cs"/>
          <w:sz w:val="27"/>
          <w:rtl/>
        </w:rPr>
        <w:t>َ</w:t>
      </w:r>
      <w:r w:rsidRPr="006571AC">
        <w:rPr>
          <w:sz w:val="27"/>
          <w:rtl/>
        </w:rPr>
        <w:t>س</w:t>
      </w:r>
      <w:r w:rsidR="00284653" w:rsidRPr="006571AC">
        <w:rPr>
          <w:rFonts w:hint="cs"/>
          <w:sz w:val="27"/>
          <w:rtl/>
        </w:rPr>
        <w:t>َ</w:t>
      </w:r>
      <w:r w:rsidRPr="006571AC">
        <w:rPr>
          <w:sz w:val="27"/>
          <w:rtl/>
        </w:rPr>
        <w:t>نة مرضيّة عند الله تعالى، إلا</w:t>
      </w:r>
      <w:r w:rsidR="000240DD" w:rsidRPr="006571AC">
        <w:rPr>
          <w:rFonts w:hint="cs"/>
          <w:sz w:val="27"/>
          <w:rtl/>
        </w:rPr>
        <w:t>ّ</w:t>
      </w:r>
      <w:r w:rsidRPr="006571AC">
        <w:rPr>
          <w:sz w:val="27"/>
          <w:rtl/>
        </w:rPr>
        <w:t xml:space="preserve"> أننا نتطلع لمثل هذا الإقبال والتفاعل مع الجمعيات الخيرية، والأندية الرياضية، ولجان الاهتمام بالبيئة، وبذوي الاحتياجات الخاص</w:t>
      </w:r>
      <w:r w:rsidR="000240DD" w:rsidRPr="006571AC">
        <w:rPr>
          <w:rFonts w:hint="cs"/>
          <w:sz w:val="27"/>
          <w:rtl/>
        </w:rPr>
        <w:t>ّ</w:t>
      </w:r>
      <w:r w:rsidRPr="006571AC">
        <w:rPr>
          <w:sz w:val="27"/>
          <w:rtl/>
        </w:rPr>
        <w:t>ة، ومراكز البحث العلمي والإبداع الفني</w:t>
      </w:r>
      <w:r w:rsidR="000240DD" w:rsidRPr="006571AC">
        <w:rPr>
          <w:rFonts w:hint="cs"/>
          <w:sz w:val="27"/>
          <w:rtl/>
        </w:rPr>
        <w:t>؛</w:t>
      </w:r>
      <w:r w:rsidRPr="006571AC">
        <w:rPr>
          <w:sz w:val="27"/>
          <w:rtl/>
        </w:rPr>
        <w:t xml:space="preserve"> فالإقبال على هذه المجالات ضعيفٌ جد</w:t>
      </w:r>
      <w:r w:rsidR="000240DD" w:rsidRPr="006571AC">
        <w:rPr>
          <w:rFonts w:hint="cs"/>
          <w:sz w:val="27"/>
          <w:rtl/>
        </w:rPr>
        <w:t>ّ</w:t>
      </w:r>
      <w:r w:rsidRPr="006571AC">
        <w:rPr>
          <w:sz w:val="27"/>
          <w:rtl/>
        </w:rPr>
        <w:t>اً مقارنةً بالمجتمعات الأخرى، حيث تشير مثلاً الإحصائية التي صدر</w:t>
      </w:r>
      <w:r w:rsidR="00284653" w:rsidRPr="006571AC">
        <w:rPr>
          <w:rFonts w:hint="cs"/>
          <w:sz w:val="27"/>
          <w:rtl/>
        </w:rPr>
        <w:t>َ</w:t>
      </w:r>
      <w:r w:rsidRPr="006571AC">
        <w:rPr>
          <w:sz w:val="27"/>
          <w:rtl/>
        </w:rPr>
        <w:t>ت</w:t>
      </w:r>
      <w:r w:rsidR="00284653" w:rsidRPr="006571AC">
        <w:rPr>
          <w:rFonts w:hint="cs"/>
          <w:sz w:val="27"/>
          <w:rtl/>
        </w:rPr>
        <w:t>ْ</w:t>
      </w:r>
      <w:r w:rsidRPr="006571AC">
        <w:rPr>
          <w:sz w:val="27"/>
          <w:rtl/>
        </w:rPr>
        <w:t xml:space="preserve"> قبل سنوات</w:t>
      </w:r>
      <w:r w:rsidR="000240DD" w:rsidRPr="006571AC">
        <w:rPr>
          <w:rFonts w:hint="cs"/>
          <w:sz w:val="27"/>
          <w:rtl/>
        </w:rPr>
        <w:t>ٍ</w:t>
      </w:r>
      <w:r w:rsidRPr="006571AC">
        <w:rPr>
          <w:sz w:val="27"/>
          <w:rtl/>
        </w:rPr>
        <w:t xml:space="preserve"> قليلة في المملكة العربية السعودية عن العمل التطو</w:t>
      </w:r>
      <w:r w:rsidR="000240DD" w:rsidRPr="006571AC">
        <w:rPr>
          <w:rFonts w:hint="cs"/>
          <w:sz w:val="27"/>
          <w:rtl/>
        </w:rPr>
        <w:t>ّ</w:t>
      </w:r>
      <w:r w:rsidRPr="006571AC">
        <w:rPr>
          <w:sz w:val="27"/>
          <w:rtl/>
        </w:rPr>
        <w:t>عي إلى أن عدد المسج</w:t>
      </w:r>
      <w:r w:rsidR="000240DD" w:rsidRPr="006571AC">
        <w:rPr>
          <w:rFonts w:hint="cs"/>
          <w:sz w:val="27"/>
          <w:rtl/>
        </w:rPr>
        <w:t>ّ</w:t>
      </w:r>
      <w:r w:rsidRPr="006571AC">
        <w:rPr>
          <w:sz w:val="27"/>
          <w:rtl/>
        </w:rPr>
        <w:t>لين رسمياً كمتطو</w:t>
      </w:r>
      <w:r w:rsidR="00284653" w:rsidRPr="006571AC">
        <w:rPr>
          <w:rFonts w:hint="cs"/>
          <w:sz w:val="27"/>
          <w:rtl/>
        </w:rPr>
        <w:t>ِّ</w:t>
      </w:r>
      <w:r w:rsidRPr="006571AC">
        <w:rPr>
          <w:sz w:val="27"/>
          <w:rtl/>
        </w:rPr>
        <w:t>عين في المملكة لا يتجاوز 23 ألفاً فقط</w:t>
      </w:r>
      <w:r w:rsidR="000240DD" w:rsidRPr="006571AC">
        <w:rPr>
          <w:rFonts w:hint="cs"/>
          <w:sz w:val="27"/>
          <w:rtl/>
        </w:rPr>
        <w:t>،</w:t>
      </w:r>
      <w:r w:rsidRPr="006571AC">
        <w:rPr>
          <w:sz w:val="27"/>
          <w:rtl/>
        </w:rPr>
        <w:t xml:space="preserve"> في وطن تعداد سكانه يقارب الثلاثين مليوناً</w:t>
      </w:r>
      <w:r w:rsidR="000240DD" w:rsidRPr="006571AC">
        <w:rPr>
          <w:rFonts w:hint="cs"/>
          <w:sz w:val="27"/>
          <w:rtl/>
        </w:rPr>
        <w:t>!</w:t>
      </w:r>
      <w:r w:rsidRPr="006571AC">
        <w:rPr>
          <w:sz w:val="27"/>
          <w:rtl/>
        </w:rPr>
        <w:t xml:space="preserve"> وهناك الآن تطل</w:t>
      </w:r>
      <w:r w:rsidR="000240DD" w:rsidRPr="006571AC">
        <w:rPr>
          <w:rFonts w:hint="cs"/>
          <w:sz w:val="27"/>
          <w:rtl/>
        </w:rPr>
        <w:t>ُّ</w:t>
      </w:r>
      <w:r w:rsidRPr="006571AC">
        <w:rPr>
          <w:sz w:val="27"/>
          <w:rtl/>
        </w:rPr>
        <w:t>ع لرفع عدد المتطو</w:t>
      </w:r>
      <w:r w:rsidR="00284653" w:rsidRPr="006571AC">
        <w:rPr>
          <w:rFonts w:hint="cs"/>
          <w:sz w:val="27"/>
          <w:rtl/>
        </w:rPr>
        <w:t>ِّ</w:t>
      </w:r>
      <w:r w:rsidRPr="006571AC">
        <w:rPr>
          <w:sz w:val="27"/>
          <w:rtl/>
        </w:rPr>
        <w:t>عين على مستوى المملكة إلى مليون متطو</w:t>
      </w:r>
      <w:r w:rsidR="000240DD" w:rsidRPr="006571AC">
        <w:rPr>
          <w:rFonts w:hint="cs"/>
          <w:sz w:val="27"/>
          <w:rtl/>
        </w:rPr>
        <w:t>ّ</w:t>
      </w:r>
      <w:r w:rsidR="00284653" w:rsidRPr="006571AC">
        <w:rPr>
          <w:rFonts w:hint="cs"/>
          <w:sz w:val="27"/>
          <w:rtl/>
        </w:rPr>
        <w:t>ِ</w:t>
      </w:r>
      <w:r w:rsidRPr="006571AC">
        <w:rPr>
          <w:sz w:val="27"/>
          <w:rtl/>
        </w:rPr>
        <w:t xml:space="preserve">ع بحلول سنة 2030م في سياق الرؤية المعتمدة. </w:t>
      </w:r>
    </w:p>
    <w:p w:rsidR="007C76F0" w:rsidRPr="006571AC" w:rsidRDefault="007C76F0" w:rsidP="00F22B89">
      <w:pPr>
        <w:rPr>
          <w:sz w:val="27"/>
          <w:rtl/>
        </w:rPr>
      </w:pPr>
      <w:r w:rsidRPr="006571AC">
        <w:rPr>
          <w:b/>
          <w:bCs/>
          <w:sz w:val="27"/>
          <w:rtl/>
        </w:rPr>
        <w:t>خامساً</w:t>
      </w:r>
      <w:r w:rsidRPr="006571AC">
        <w:rPr>
          <w:sz w:val="27"/>
          <w:rtl/>
        </w:rPr>
        <w:t>: كثرة الخلافات والنزاعات في المجتمعات الإسلامية</w:t>
      </w:r>
      <w:r w:rsidR="000240DD" w:rsidRPr="006571AC">
        <w:rPr>
          <w:rFonts w:hint="cs"/>
          <w:sz w:val="27"/>
          <w:rtl/>
        </w:rPr>
        <w:t>،</w:t>
      </w:r>
      <w:r w:rsidRPr="006571AC">
        <w:rPr>
          <w:sz w:val="27"/>
          <w:rtl/>
        </w:rPr>
        <w:t xml:space="preserve"> وخاصةً في الأوساط الدينية، حتى أن البعض يستخدم الخطاب الديني والأمور العبادية في إذكاء </w:t>
      </w:r>
      <w:r w:rsidRPr="006571AC">
        <w:rPr>
          <w:sz w:val="27"/>
          <w:rtl/>
        </w:rPr>
        <w:lastRenderedPageBreak/>
        <w:t>حالة الصراع والخلاف</w:t>
      </w:r>
      <w:r w:rsidR="000240DD" w:rsidRPr="006571AC">
        <w:rPr>
          <w:rFonts w:hint="cs"/>
          <w:sz w:val="27"/>
          <w:rtl/>
        </w:rPr>
        <w:t>.</w:t>
      </w:r>
      <w:r w:rsidRPr="006571AC">
        <w:rPr>
          <w:sz w:val="27"/>
          <w:rtl/>
        </w:rPr>
        <w:t xml:space="preserve"> ومما يُنقل في التاريخ الماضي: أنه حصل نزاعٌ بين قريتين، فأوقف أحدهم مزرعة نخيل من أجل استخدام (جريد النخل) في النزاع قربة</w:t>
      </w:r>
      <w:r w:rsidR="00F97DEB" w:rsidRPr="006571AC">
        <w:rPr>
          <w:rFonts w:hint="cs"/>
          <w:sz w:val="27"/>
          <w:rtl/>
        </w:rPr>
        <w:t>ً</w:t>
      </w:r>
      <w:r w:rsidRPr="006571AC">
        <w:rPr>
          <w:sz w:val="27"/>
          <w:rtl/>
        </w:rPr>
        <w:t xml:space="preserve"> </w:t>
      </w:r>
      <w:r w:rsidR="00F97DEB" w:rsidRPr="006571AC">
        <w:rPr>
          <w:rFonts w:hint="cs"/>
          <w:sz w:val="27"/>
          <w:rtl/>
        </w:rPr>
        <w:t>إ</w:t>
      </w:r>
      <w:r w:rsidRPr="006571AC">
        <w:rPr>
          <w:sz w:val="27"/>
          <w:rtl/>
        </w:rPr>
        <w:t>لى الله تعالى</w:t>
      </w:r>
      <w:r w:rsidR="00F97DEB" w:rsidRPr="006571AC">
        <w:rPr>
          <w:rFonts w:hint="cs"/>
          <w:sz w:val="27"/>
          <w:rtl/>
        </w:rPr>
        <w:t>،</w:t>
      </w:r>
      <w:r w:rsidRPr="006571AC">
        <w:rPr>
          <w:sz w:val="27"/>
          <w:rtl/>
        </w:rPr>
        <w:t xml:space="preserve"> وكأنّ النزاع والصراع في بعض الأوساط جزء</w:t>
      </w:r>
      <w:r w:rsidR="00F97DEB" w:rsidRPr="006571AC">
        <w:rPr>
          <w:rFonts w:hint="cs"/>
          <w:sz w:val="27"/>
          <w:rtl/>
        </w:rPr>
        <w:t>ٌ</w:t>
      </w:r>
      <w:r w:rsidRPr="006571AC">
        <w:rPr>
          <w:sz w:val="27"/>
          <w:rtl/>
        </w:rPr>
        <w:t xml:space="preserve"> من الحالة الدينية والأعمال العبادية التي ي</w:t>
      </w:r>
      <w:r w:rsidR="00F97DEB" w:rsidRPr="006571AC">
        <w:rPr>
          <w:rFonts w:hint="cs"/>
          <w:sz w:val="27"/>
          <w:rtl/>
        </w:rPr>
        <w:t>ُ</w:t>
      </w:r>
      <w:r w:rsidRPr="006571AC">
        <w:rPr>
          <w:sz w:val="27"/>
          <w:rtl/>
        </w:rPr>
        <w:t>تقر</w:t>
      </w:r>
      <w:r w:rsidR="00F97DEB" w:rsidRPr="006571AC">
        <w:rPr>
          <w:rFonts w:hint="cs"/>
          <w:sz w:val="27"/>
          <w:rtl/>
        </w:rPr>
        <w:t>َّ</w:t>
      </w:r>
      <w:r w:rsidRPr="006571AC">
        <w:rPr>
          <w:sz w:val="27"/>
          <w:rtl/>
        </w:rPr>
        <w:t xml:space="preserve">ب بها إلى الله تعالى. </w:t>
      </w:r>
    </w:p>
    <w:p w:rsidR="007C76F0" w:rsidRPr="006571AC" w:rsidRDefault="00F97DEB" w:rsidP="00284653">
      <w:pPr>
        <w:rPr>
          <w:sz w:val="27"/>
          <w:rtl/>
        </w:rPr>
      </w:pPr>
      <w:r w:rsidRPr="006571AC">
        <w:rPr>
          <w:sz w:val="27"/>
          <w:rtl/>
        </w:rPr>
        <w:t>هذه بعض</w:t>
      </w:r>
      <w:r w:rsidR="007C76F0" w:rsidRPr="006571AC">
        <w:rPr>
          <w:sz w:val="27"/>
          <w:rtl/>
        </w:rPr>
        <w:t xml:space="preserve"> الظواهر الموجودة في معظم مجتمعاتنا الإسلامية، على سبيل المثال لا الحصر، وقد تجد م</w:t>
      </w:r>
      <w:r w:rsidRPr="006571AC">
        <w:rPr>
          <w:rFonts w:hint="cs"/>
          <w:sz w:val="27"/>
          <w:rtl/>
        </w:rPr>
        <w:t>َ</w:t>
      </w:r>
      <w:r w:rsidR="007C76F0" w:rsidRPr="006571AC">
        <w:rPr>
          <w:sz w:val="27"/>
          <w:rtl/>
        </w:rPr>
        <w:t>ن</w:t>
      </w:r>
      <w:r w:rsidRPr="006571AC">
        <w:rPr>
          <w:rFonts w:hint="cs"/>
          <w:sz w:val="27"/>
          <w:rtl/>
        </w:rPr>
        <w:t>ْ</w:t>
      </w:r>
      <w:r w:rsidR="007C76F0" w:rsidRPr="006571AC">
        <w:rPr>
          <w:sz w:val="27"/>
          <w:rtl/>
        </w:rPr>
        <w:t xml:space="preserve"> يُق</w:t>
      </w:r>
      <w:r w:rsidR="00284653" w:rsidRPr="006571AC">
        <w:rPr>
          <w:rFonts w:hint="cs"/>
          <w:sz w:val="27"/>
          <w:rtl/>
        </w:rPr>
        <w:t>يِّ</w:t>
      </w:r>
      <w:r w:rsidR="007C76F0" w:rsidRPr="006571AC">
        <w:rPr>
          <w:sz w:val="27"/>
          <w:rtl/>
        </w:rPr>
        <w:t xml:space="preserve">م الخطاب الديني من خلال هذا الواقع الاجتماعي. </w:t>
      </w:r>
    </w:p>
    <w:p w:rsidR="002C27BC" w:rsidRPr="006571AC" w:rsidRDefault="002C27BC" w:rsidP="002C27BC">
      <w:pPr>
        <w:spacing w:line="420" w:lineRule="exact"/>
        <w:rPr>
          <w:sz w:val="27"/>
          <w:rtl/>
        </w:rPr>
      </w:pPr>
    </w:p>
    <w:p w:rsidR="007C76F0" w:rsidRPr="006571AC" w:rsidRDefault="007C76F0" w:rsidP="006C79DA">
      <w:pPr>
        <w:pStyle w:val="31"/>
        <w:rPr>
          <w:color w:val="auto"/>
          <w:rtl/>
        </w:rPr>
      </w:pPr>
      <w:bookmarkStart w:id="60" w:name="_Toc114164549"/>
      <w:r w:rsidRPr="006571AC">
        <w:rPr>
          <w:color w:val="auto"/>
          <w:rtl/>
        </w:rPr>
        <w:t>مدى مسؤولية الخطاب الديني</w:t>
      </w:r>
      <w:bookmarkEnd w:id="60"/>
    </w:p>
    <w:p w:rsidR="007C76F0" w:rsidRPr="006571AC" w:rsidRDefault="007C76F0" w:rsidP="00F22B89">
      <w:pPr>
        <w:rPr>
          <w:sz w:val="27"/>
        </w:rPr>
      </w:pPr>
      <w:r w:rsidRPr="006571AC">
        <w:rPr>
          <w:sz w:val="27"/>
          <w:rtl/>
        </w:rPr>
        <w:t xml:space="preserve">وهنا نتساءل عن مدى مسؤولية الخطاب الديني عن هذا الواقع؟ </w:t>
      </w:r>
    </w:p>
    <w:p w:rsidR="007C76F0" w:rsidRPr="006571AC" w:rsidRDefault="007C76F0" w:rsidP="00F22B89">
      <w:pPr>
        <w:rPr>
          <w:sz w:val="27"/>
          <w:rtl/>
        </w:rPr>
      </w:pPr>
      <w:r w:rsidRPr="006571AC">
        <w:rPr>
          <w:sz w:val="27"/>
          <w:rtl/>
        </w:rPr>
        <w:t>يبدو جلي</w:t>
      </w:r>
      <w:r w:rsidR="00F97DEB" w:rsidRPr="006571AC">
        <w:rPr>
          <w:rFonts w:hint="cs"/>
          <w:sz w:val="27"/>
          <w:rtl/>
        </w:rPr>
        <w:t>ّ</w:t>
      </w:r>
      <w:r w:rsidRPr="006571AC">
        <w:rPr>
          <w:sz w:val="27"/>
          <w:rtl/>
        </w:rPr>
        <w:t>اً أنّ هناك م</w:t>
      </w:r>
      <w:r w:rsidR="00F97DEB" w:rsidRPr="006571AC">
        <w:rPr>
          <w:rFonts w:hint="cs"/>
          <w:sz w:val="27"/>
          <w:rtl/>
        </w:rPr>
        <w:t>َ</w:t>
      </w:r>
      <w:r w:rsidRPr="006571AC">
        <w:rPr>
          <w:sz w:val="27"/>
          <w:rtl/>
        </w:rPr>
        <w:t>ن</w:t>
      </w:r>
      <w:r w:rsidR="00F97DEB" w:rsidRPr="006571AC">
        <w:rPr>
          <w:rFonts w:hint="cs"/>
          <w:sz w:val="27"/>
          <w:rtl/>
        </w:rPr>
        <w:t>ْ</w:t>
      </w:r>
      <w:r w:rsidRPr="006571AC">
        <w:rPr>
          <w:sz w:val="27"/>
          <w:rtl/>
        </w:rPr>
        <w:t xml:space="preserve"> يحمّل الخطاب الديني فوق طاقته وقدرته، فالتخل</w:t>
      </w:r>
      <w:r w:rsidR="00F97DEB" w:rsidRPr="006571AC">
        <w:rPr>
          <w:rFonts w:hint="cs"/>
          <w:sz w:val="27"/>
          <w:rtl/>
        </w:rPr>
        <w:t>ّ</w:t>
      </w:r>
      <w:r w:rsidRPr="006571AC">
        <w:rPr>
          <w:sz w:val="27"/>
          <w:rtl/>
        </w:rPr>
        <w:t>ف في المجتمعات الإسلامية نتاج عد</w:t>
      </w:r>
      <w:r w:rsidR="00F97DEB" w:rsidRPr="006571AC">
        <w:rPr>
          <w:rFonts w:hint="cs"/>
          <w:sz w:val="27"/>
          <w:rtl/>
        </w:rPr>
        <w:t>ّ</w:t>
      </w:r>
      <w:r w:rsidRPr="006571AC">
        <w:rPr>
          <w:sz w:val="27"/>
          <w:rtl/>
        </w:rPr>
        <w:t>ة عوامل وأسباب، سياسية واقتصادية وتعليمية واجتماعية، ولا يصح</w:t>
      </w:r>
      <w:r w:rsidR="00F97DEB" w:rsidRPr="006571AC">
        <w:rPr>
          <w:rFonts w:hint="cs"/>
          <w:sz w:val="27"/>
          <w:rtl/>
        </w:rPr>
        <w:t>ّ</w:t>
      </w:r>
      <w:r w:rsidRPr="006571AC">
        <w:rPr>
          <w:sz w:val="27"/>
          <w:rtl/>
        </w:rPr>
        <w:t xml:space="preserve"> أبداً ترك كل</w:t>
      </w:r>
      <w:r w:rsidR="00F97DEB" w:rsidRPr="006571AC">
        <w:rPr>
          <w:rFonts w:hint="cs"/>
          <w:sz w:val="27"/>
          <w:rtl/>
        </w:rPr>
        <w:t>ّ</w:t>
      </w:r>
      <w:r w:rsidRPr="006571AC">
        <w:rPr>
          <w:sz w:val="27"/>
          <w:rtl/>
        </w:rPr>
        <w:t xml:space="preserve"> هذه العوامل جانباً، وتحميل الخطاب الديني والمؤس</w:t>
      </w:r>
      <w:r w:rsidR="00F97DEB" w:rsidRPr="006571AC">
        <w:rPr>
          <w:rFonts w:hint="cs"/>
          <w:sz w:val="27"/>
          <w:rtl/>
        </w:rPr>
        <w:t>ّ</w:t>
      </w:r>
      <w:r w:rsidRPr="006571AC">
        <w:rPr>
          <w:sz w:val="27"/>
          <w:rtl/>
        </w:rPr>
        <w:t>سة الدينية مسؤولية الواقع الذي تعيشه هذه المجتمعات</w:t>
      </w:r>
      <w:r w:rsidR="00F97DEB" w:rsidRPr="006571AC">
        <w:rPr>
          <w:rFonts w:hint="cs"/>
          <w:sz w:val="27"/>
          <w:rtl/>
        </w:rPr>
        <w:t>؛</w:t>
      </w:r>
      <w:r w:rsidRPr="006571AC">
        <w:rPr>
          <w:sz w:val="27"/>
          <w:rtl/>
        </w:rPr>
        <w:t xml:space="preserve"> لأن هذا الواقع </w:t>
      </w:r>
      <w:r w:rsidR="00F97DEB" w:rsidRPr="006571AC">
        <w:rPr>
          <w:rFonts w:hint="cs"/>
          <w:sz w:val="27"/>
          <w:rtl/>
        </w:rPr>
        <w:t>إ</w:t>
      </w:r>
      <w:r w:rsidRPr="006571AC">
        <w:rPr>
          <w:sz w:val="27"/>
          <w:rtl/>
        </w:rPr>
        <w:t>نما يُعالج ضمن مسار سياسي واقتصادي واجتماعي شامل، وهذه المشاكل تحتاج إلى مؤس</w:t>
      </w:r>
      <w:r w:rsidR="00F97DEB" w:rsidRPr="006571AC">
        <w:rPr>
          <w:rFonts w:hint="cs"/>
          <w:sz w:val="27"/>
          <w:rtl/>
        </w:rPr>
        <w:t>ّ</w:t>
      </w:r>
      <w:r w:rsidRPr="006571AC">
        <w:rPr>
          <w:sz w:val="27"/>
          <w:rtl/>
        </w:rPr>
        <w:t>سات ذات قدرة وسلطة</w:t>
      </w:r>
      <w:r w:rsidR="00F97DEB" w:rsidRPr="006571AC">
        <w:rPr>
          <w:rFonts w:hint="cs"/>
          <w:sz w:val="27"/>
          <w:rtl/>
        </w:rPr>
        <w:t>؛</w:t>
      </w:r>
      <w:r w:rsidRPr="006571AC">
        <w:rPr>
          <w:sz w:val="27"/>
          <w:rtl/>
        </w:rPr>
        <w:t xml:space="preserve"> للتصد</w:t>
      </w:r>
      <w:r w:rsidR="00F97DEB" w:rsidRPr="006571AC">
        <w:rPr>
          <w:rFonts w:hint="cs"/>
          <w:sz w:val="27"/>
          <w:rtl/>
        </w:rPr>
        <w:t>ّ</w:t>
      </w:r>
      <w:r w:rsidRPr="006571AC">
        <w:rPr>
          <w:sz w:val="27"/>
          <w:rtl/>
        </w:rPr>
        <w:t xml:space="preserve">ي لمعالجتها. </w:t>
      </w:r>
    </w:p>
    <w:p w:rsidR="007C76F0" w:rsidRPr="006571AC" w:rsidRDefault="007C76F0" w:rsidP="00F22B89">
      <w:pPr>
        <w:rPr>
          <w:sz w:val="27"/>
          <w:rtl/>
        </w:rPr>
      </w:pPr>
      <w:r w:rsidRPr="006571AC">
        <w:rPr>
          <w:sz w:val="27"/>
          <w:rtl/>
        </w:rPr>
        <w:t>نعم</w:t>
      </w:r>
      <w:r w:rsidR="00F97DEB" w:rsidRPr="006571AC">
        <w:rPr>
          <w:rFonts w:hint="cs"/>
          <w:sz w:val="27"/>
          <w:rtl/>
        </w:rPr>
        <w:t>،</w:t>
      </w:r>
      <w:r w:rsidRPr="006571AC">
        <w:rPr>
          <w:sz w:val="27"/>
          <w:rtl/>
        </w:rPr>
        <w:t xml:space="preserve"> إن الخطاب الديني يتحم</w:t>
      </w:r>
      <w:r w:rsidR="00F97DEB" w:rsidRPr="006571AC">
        <w:rPr>
          <w:rFonts w:hint="cs"/>
          <w:sz w:val="27"/>
          <w:rtl/>
        </w:rPr>
        <w:t>ّ</w:t>
      </w:r>
      <w:r w:rsidRPr="006571AC">
        <w:rPr>
          <w:sz w:val="27"/>
          <w:rtl/>
        </w:rPr>
        <w:t>ل مسؤولية</w:t>
      </w:r>
      <w:r w:rsidR="00F97DEB" w:rsidRPr="006571AC">
        <w:rPr>
          <w:rFonts w:hint="cs"/>
          <w:sz w:val="27"/>
          <w:rtl/>
        </w:rPr>
        <w:t>ً،</w:t>
      </w:r>
      <w:r w:rsidRPr="006571AC">
        <w:rPr>
          <w:sz w:val="27"/>
          <w:rtl/>
        </w:rPr>
        <w:t xml:space="preserve"> بحجم إمكاناته</w:t>
      </w:r>
      <w:r w:rsidR="00F97DEB" w:rsidRPr="006571AC">
        <w:rPr>
          <w:rFonts w:hint="cs"/>
          <w:sz w:val="27"/>
          <w:rtl/>
        </w:rPr>
        <w:t>،</w:t>
      </w:r>
      <w:r w:rsidRPr="006571AC">
        <w:rPr>
          <w:sz w:val="27"/>
          <w:rtl/>
        </w:rPr>
        <w:t xml:space="preserve"> ضمن حدودٍ معي</w:t>
      </w:r>
      <w:r w:rsidR="00F97DEB" w:rsidRPr="006571AC">
        <w:rPr>
          <w:rFonts w:hint="cs"/>
          <w:sz w:val="27"/>
          <w:rtl/>
        </w:rPr>
        <w:t>ّ</w:t>
      </w:r>
      <w:r w:rsidRPr="006571AC">
        <w:rPr>
          <w:sz w:val="27"/>
          <w:rtl/>
        </w:rPr>
        <w:t>نة، ولا يُمكن تحميله كل</w:t>
      </w:r>
      <w:r w:rsidR="00284653" w:rsidRPr="006571AC">
        <w:rPr>
          <w:rFonts w:hint="cs"/>
          <w:sz w:val="27"/>
          <w:rtl/>
        </w:rPr>
        <w:t>ّ</w:t>
      </w:r>
      <w:r w:rsidRPr="006571AC">
        <w:rPr>
          <w:sz w:val="27"/>
          <w:rtl/>
        </w:rPr>
        <w:t xml:space="preserve"> مآسي الأمة والمجتمع</w:t>
      </w:r>
      <w:r w:rsidR="00F97DEB" w:rsidRPr="006571AC">
        <w:rPr>
          <w:rFonts w:hint="cs"/>
          <w:sz w:val="27"/>
          <w:rtl/>
        </w:rPr>
        <w:t>.</w:t>
      </w:r>
      <w:r w:rsidRPr="006571AC">
        <w:rPr>
          <w:sz w:val="27"/>
          <w:rtl/>
        </w:rPr>
        <w:t xml:space="preserve"> لذا نجد أن الله تعالى لم يكلّ</w:t>
      </w:r>
      <w:r w:rsidR="00F97DEB" w:rsidRPr="006571AC">
        <w:rPr>
          <w:rFonts w:hint="cs"/>
          <w:sz w:val="27"/>
          <w:rtl/>
        </w:rPr>
        <w:t>ِ</w:t>
      </w:r>
      <w:r w:rsidRPr="006571AC">
        <w:rPr>
          <w:sz w:val="27"/>
          <w:rtl/>
        </w:rPr>
        <w:t>ف الأنبياء بتغيير مجتمعاتهم</w:t>
      </w:r>
      <w:r w:rsidR="00F97DEB" w:rsidRPr="006571AC">
        <w:rPr>
          <w:rFonts w:hint="cs"/>
          <w:sz w:val="27"/>
          <w:rtl/>
        </w:rPr>
        <w:t>؛</w:t>
      </w:r>
      <w:r w:rsidRPr="006571AC">
        <w:rPr>
          <w:sz w:val="27"/>
          <w:rtl/>
        </w:rPr>
        <w:t xml:space="preserve"> لأن عملية التغيير تحتاج إلى استجابة الناس في مختلف مجالات الحياة</w:t>
      </w:r>
      <w:r w:rsidR="00F97DEB" w:rsidRPr="006571AC">
        <w:rPr>
          <w:rFonts w:hint="cs"/>
          <w:sz w:val="27"/>
          <w:rtl/>
        </w:rPr>
        <w:t>.</w:t>
      </w:r>
      <w:r w:rsidRPr="006571AC">
        <w:rPr>
          <w:sz w:val="27"/>
          <w:rtl/>
        </w:rPr>
        <w:t xml:space="preserve"> وآيات القرآن الحكيم في مواضع عديدة تؤك</w:t>
      </w:r>
      <w:r w:rsidR="00F97DEB" w:rsidRPr="006571AC">
        <w:rPr>
          <w:rFonts w:hint="cs"/>
          <w:sz w:val="27"/>
          <w:rtl/>
        </w:rPr>
        <w:t>ِّ</w:t>
      </w:r>
      <w:r w:rsidRPr="006571AC">
        <w:rPr>
          <w:sz w:val="27"/>
          <w:rtl/>
        </w:rPr>
        <w:t>د أنّ الأنبياء ليسوا مسؤولين عن واقع مجتمعاتهم، إلا</w:t>
      </w:r>
      <w:r w:rsidR="00F97DEB" w:rsidRPr="006571AC">
        <w:rPr>
          <w:rFonts w:hint="cs"/>
          <w:sz w:val="27"/>
          <w:rtl/>
        </w:rPr>
        <w:t>ّ</w:t>
      </w:r>
      <w:r w:rsidRPr="006571AC">
        <w:rPr>
          <w:sz w:val="27"/>
          <w:rtl/>
        </w:rPr>
        <w:t xml:space="preserve"> ضمن حدود التبليغ وتوجيه الناس </w:t>
      </w:r>
      <w:r w:rsidR="00F97DEB" w:rsidRPr="006571AC">
        <w:rPr>
          <w:rFonts w:hint="cs"/>
          <w:sz w:val="27"/>
          <w:rtl/>
        </w:rPr>
        <w:t>إ</w:t>
      </w:r>
      <w:r w:rsidRPr="006571AC">
        <w:rPr>
          <w:sz w:val="27"/>
          <w:rtl/>
        </w:rPr>
        <w:t>لى طريق الهداية والصواب، أما التغيير الفعلي فهو ر</w:t>
      </w:r>
      <w:r w:rsidR="00284653" w:rsidRPr="006571AC">
        <w:rPr>
          <w:rFonts w:hint="cs"/>
          <w:sz w:val="27"/>
          <w:rtl/>
        </w:rPr>
        <w:t>َ</w:t>
      </w:r>
      <w:r w:rsidRPr="006571AC">
        <w:rPr>
          <w:sz w:val="27"/>
          <w:rtl/>
        </w:rPr>
        <w:t>ه</w:t>
      </w:r>
      <w:r w:rsidR="00284653" w:rsidRPr="006571AC">
        <w:rPr>
          <w:rFonts w:hint="cs"/>
          <w:sz w:val="27"/>
          <w:rtl/>
        </w:rPr>
        <w:t>ْ</w:t>
      </w:r>
      <w:r w:rsidRPr="006571AC">
        <w:rPr>
          <w:sz w:val="27"/>
          <w:rtl/>
        </w:rPr>
        <w:t>ن</w:t>
      </w:r>
      <w:r w:rsidR="00F97DEB" w:rsidRPr="006571AC">
        <w:rPr>
          <w:rFonts w:hint="cs"/>
          <w:sz w:val="27"/>
          <w:rtl/>
        </w:rPr>
        <w:t>ٌ</w:t>
      </w:r>
      <w:r w:rsidRPr="006571AC">
        <w:rPr>
          <w:sz w:val="27"/>
          <w:rtl/>
        </w:rPr>
        <w:t xml:space="preserve"> بمدى استجابة المجتمع وانقياده، يقول تعالى: </w:t>
      </w:r>
      <w:r w:rsidRPr="006571AC">
        <w:rPr>
          <w:rFonts w:ascii="Mosawi" w:hAnsi="Mosawi" w:cs="Mosawi"/>
          <w:sz w:val="24"/>
          <w:szCs w:val="24"/>
          <w:rtl/>
        </w:rPr>
        <w:t>﴿</w:t>
      </w:r>
      <w:r w:rsidRPr="006571AC">
        <w:rPr>
          <w:b/>
          <w:bCs/>
          <w:sz w:val="27"/>
          <w:rtl/>
        </w:rPr>
        <w:t xml:space="preserve">وَأَطِيعُوا الله وَأَطِيعُوا الرَّسُولَ وَاحْذَرُوا فَإِن تَوَلَّيْتُمْ فَاعْلَمُوا أَنَّمَا عَلَى </w:t>
      </w:r>
      <w:r w:rsidRPr="006571AC">
        <w:rPr>
          <w:rFonts w:hint="cs"/>
          <w:b/>
          <w:bCs/>
          <w:sz w:val="27"/>
          <w:rtl/>
        </w:rPr>
        <w:t>رَسُولِنَا</w:t>
      </w:r>
      <w:r w:rsidRPr="006571AC">
        <w:rPr>
          <w:b/>
          <w:bCs/>
          <w:sz w:val="27"/>
          <w:rtl/>
        </w:rPr>
        <w:t xml:space="preserve"> </w:t>
      </w:r>
      <w:r w:rsidRPr="006571AC">
        <w:rPr>
          <w:rFonts w:hint="cs"/>
          <w:b/>
          <w:bCs/>
          <w:sz w:val="27"/>
          <w:rtl/>
        </w:rPr>
        <w:t>ا</w:t>
      </w:r>
      <w:r w:rsidR="00F97DEB" w:rsidRPr="006571AC">
        <w:rPr>
          <w:rFonts w:hint="cs"/>
          <w:b/>
          <w:bCs/>
          <w:sz w:val="27"/>
          <w:rtl/>
        </w:rPr>
        <w:t>لْبَل</w:t>
      </w:r>
      <w:r w:rsidRPr="006571AC">
        <w:rPr>
          <w:rFonts w:hint="cs"/>
          <w:b/>
          <w:bCs/>
          <w:sz w:val="27"/>
          <w:rtl/>
        </w:rPr>
        <w:t>ا</w:t>
      </w:r>
      <w:r w:rsidR="00F97DEB" w:rsidRPr="006571AC">
        <w:rPr>
          <w:rFonts w:hint="cs"/>
          <w:b/>
          <w:bCs/>
          <w:sz w:val="27"/>
          <w:rtl/>
        </w:rPr>
        <w:t>َ</w:t>
      </w:r>
      <w:r w:rsidRPr="006571AC">
        <w:rPr>
          <w:rFonts w:hint="cs"/>
          <w:b/>
          <w:bCs/>
          <w:sz w:val="27"/>
          <w:rtl/>
        </w:rPr>
        <w:t>غُ</w:t>
      </w:r>
      <w:r w:rsidRPr="006571AC">
        <w:rPr>
          <w:b/>
          <w:bCs/>
          <w:sz w:val="27"/>
          <w:rtl/>
        </w:rPr>
        <w:t xml:space="preserve"> </w:t>
      </w:r>
      <w:r w:rsidRPr="006571AC">
        <w:rPr>
          <w:rFonts w:hint="cs"/>
          <w:b/>
          <w:bCs/>
          <w:sz w:val="27"/>
          <w:rtl/>
        </w:rPr>
        <w:t>الْمُبِينُ</w:t>
      </w:r>
      <w:r w:rsidRPr="006571AC">
        <w:rPr>
          <w:rFonts w:ascii="Mosawi" w:hAnsi="Mosawi" w:cs="Mosawi"/>
          <w:sz w:val="24"/>
          <w:szCs w:val="24"/>
          <w:rtl/>
        </w:rPr>
        <w:t>﴾</w:t>
      </w:r>
      <w:r w:rsidRPr="006571AC">
        <w:rPr>
          <w:rFonts w:hint="cs"/>
          <w:sz w:val="27"/>
          <w:rtl/>
        </w:rPr>
        <w:t xml:space="preserve"> </w:t>
      </w:r>
      <w:r w:rsidRPr="006571AC">
        <w:rPr>
          <w:sz w:val="27"/>
          <w:rtl/>
        </w:rPr>
        <w:t>(المائدة: 92)،</w:t>
      </w:r>
      <w:r w:rsidRPr="006571AC">
        <w:rPr>
          <w:rFonts w:ascii="Mosawi" w:hAnsi="Mosawi" w:cs="Mosawi"/>
          <w:sz w:val="24"/>
          <w:szCs w:val="24"/>
          <w:rtl/>
        </w:rPr>
        <w:t>﴿</w:t>
      </w:r>
      <w:r w:rsidR="00F97DEB" w:rsidRPr="006571AC">
        <w:rPr>
          <w:b/>
          <w:bCs/>
          <w:sz w:val="27"/>
          <w:rtl/>
        </w:rPr>
        <w:t>م</w:t>
      </w:r>
      <w:r w:rsidR="00F97DEB" w:rsidRPr="006571AC">
        <w:rPr>
          <w:rFonts w:hint="cs"/>
          <w:b/>
          <w:bCs/>
          <w:sz w:val="27"/>
          <w:rtl/>
        </w:rPr>
        <w:t>َ</w:t>
      </w:r>
      <w:r w:rsidRPr="006571AC">
        <w:rPr>
          <w:b/>
          <w:bCs/>
          <w:sz w:val="27"/>
          <w:rtl/>
        </w:rPr>
        <w:t>ا</w:t>
      </w:r>
      <w:r w:rsidR="00F97DEB" w:rsidRPr="006571AC">
        <w:rPr>
          <w:b/>
          <w:bCs/>
          <w:sz w:val="27"/>
          <w:rtl/>
        </w:rPr>
        <w:t xml:space="preserve"> عَلَى الرَّسُولِ إِل</w:t>
      </w:r>
      <w:r w:rsidR="00F97DEB" w:rsidRPr="006571AC">
        <w:rPr>
          <w:rFonts w:hint="cs"/>
          <w:b/>
          <w:bCs/>
          <w:sz w:val="27"/>
          <w:rtl/>
        </w:rPr>
        <w:t>اَّ</w:t>
      </w:r>
      <w:r w:rsidR="00F97DEB" w:rsidRPr="006571AC">
        <w:rPr>
          <w:b/>
          <w:bCs/>
          <w:sz w:val="27"/>
          <w:rtl/>
        </w:rPr>
        <w:t xml:space="preserve"> الْبَل</w:t>
      </w:r>
      <w:r w:rsidRPr="006571AC">
        <w:rPr>
          <w:b/>
          <w:bCs/>
          <w:sz w:val="27"/>
          <w:rtl/>
        </w:rPr>
        <w:t>اغُ وَالله يَعْلَمُ مَا تُبْدُونَ وَمَا تَكْتُمُونَ</w:t>
      </w:r>
      <w:r w:rsidRPr="006571AC">
        <w:rPr>
          <w:rFonts w:ascii="Mosawi" w:hAnsi="Mosawi" w:cs="Mosawi"/>
          <w:sz w:val="24"/>
          <w:szCs w:val="24"/>
          <w:rtl/>
        </w:rPr>
        <w:t>﴾</w:t>
      </w:r>
      <w:r w:rsidRPr="006571AC">
        <w:rPr>
          <w:sz w:val="27"/>
          <w:rtl/>
        </w:rPr>
        <w:t xml:space="preserve"> (المائدة: 99)</w:t>
      </w:r>
      <w:r w:rsidRPr="006571AC">
        <w:rPr>
          <w:rFonts w:hint="cs"/>
          <w:sz w:val="27"/>
          <w:rtl/>
        </w:rPr>
        <w:t>.</w:t>
      </w:r>
      <w:r w:rsidRPr="006571AC">
        <w:rPr>
          <w:sz w:val="27"/>
          <w:rtl/>
        </w:rPr>
        <w:t xml:space="preserve"> </w:t>
      </w:r>
    </w:p>
    <w:p w:rsidR="007C76F0" w:rsidRPr="006571AC" w:rsidRDefault="007C76F0" w:rsidP="00284653">
      <w:pPr>
        <w:rPr>
          <w:sz w:val="27"/>
          <w:rtl/>
        </w:rPr>
      </w:pPr>
      <w:r w:rsidRPr="006571AC">
        <w:rPr>
          <w:sz w:val="27"/>
          <w:rtl/>
        </w:rPr>
        <w:t>فانطلاقاً من الآيات الكريمة تتجل</w:t>
      </w:r>
      <w:r w:rsidR="00F97DEB" w:rsidRPr="006571AC">
        <w:rPr>
          <w:rFonts w:hint="cs"/>
          <w:sz w:val="27"/>
          <w:rtl/>
        </w:rPr>
        <w:t>ّ</w:t>
      </w:r>
      <w:r w:rsidRPr="006571AC">
        <w:rPr>
          <w:sz w:val="27"/>
          <w:rtl/>
        </w:rPr>
        <w:t>ى لنا مسؤولية الخطاب الديني</w:t>
      </w:r>
      <w:r w:rsidR="00F97DEB" w:rsidRPr="006571AC">
        <w:rPr>
          <w:rFonts w:hint="cs"/>
          <w:sz w:val="27"/>
          <w:rtl/>
        </w:rPr>
        <w:t>،</w:t>
      </w:r>
      <w:r w:rsidRPr="006571AC">
        <w:rPr>
          <w:sz w:val="27"/>
          <w:rtl/>
        </w:rPr>
        <w:t xml:space="preserve"> وهي البلاغ المبين، بإيصال التعاليم والرسالة الإلهية بوضوح</w:t>
      </w:r>
      <w:r w:rsidR="00F97DEB" w:rsidRPr="006571AC">
        <w:rPr>
          <w:rFonts w:hint="cs"/>
          <w:sz w:val="27"/>
          <w:rtl/>
        </w:rPr>
        <w:t>ٍ</w:t>
      </w:r>
      <w:r w:rsidRPr="006571AC">
        <w:rPr>
          <w:sz w:val="27"/>
          <w:rtl/>
        </w:rPr>
        <w:t xml:space="preserve"> </w:t>
      </w:r>
      <w:r w:rsidR="00F97DEB" w:rsidRPr="006571AC">
        <w:rPr>
          <w:rFonts w:hint="cs"/>
          <w:sz w:val="27"/>
          <w:rtl/>
        </w:rPr>
        <w:t>إلى ا</w:t>
      </w:r>
      <w:r w:rsidRPr="006571AC">
        <w:rPr>
          <w:sz w:val="27"/>
          <w:rtl/>
        </w:rPr>
        <w:t xml:space="preserve">لمجتمع، ودعوة الناس إلى مواجهة </w:t>
      </w:r>
      <w:r w:rsidRPr="006571AC">
        <w:rPr>
          <w:sz w:val="27"/>
          <w:rtl/>
        </w:rPr>
        <w:lastRenderedPageBreak/>
        <w:t>الانحراف والفساد في حياتهم، وإرشادهم إلى طريق الخير والصلاح، وبذلك يكون تق</w:t>
      </w:r>
      <w:r w:rsidR="00284653" w:rsidRPr="006571AC">
        <w:rPr>
          <w:rFonts w:hint="cs"/>
          <w:sz w:val="27"/>
          <w:rtl/>
        </w:rPr>
        <w:t>ي</w:t>
      </w:r>
      <w:r w:rsidRPr="006571AC">
        <w:rPr>
          <w:sz w:val="27"/>
          <w:rtl/>
        </w:rPr>
        <w:t>يم الخطاب الديني على أساس مدى تحم</w:t>
      </w:r>
      <w:r w:rsidR="00CD5995" w:rsidRPr="006571AC">
        <w:rPr>
          <w:rFonts w:hint="cs"/>
          <w:sz w:val="27"/>
          <w:rtl/>
        </w:rPr>
        <w:t>ُّ</w:t>
      </w:r>
      <w:r w:rsidRPr="006571AC">
        <w:rPr>
          <w:sz w:val="27"/>
          <w:rtl/>
        </w:rPr>
        <w:t>له لهذه المسؤولية وأدائها، أما تحميل الخطاب الديني واقع المجتمع ومآسيه ومشاكله فهذا ليس نقداً موضوعي</w:t>
      </w:r>
      <w:r w:rsidR="00CD5995" w:rsidRPr="006571AC">
        <w:rPr>
          <w:rFonts w:hint="cs"/>
          <w:sz w:val="27"/>
          <w:rtl/>
        </w:rPr>
        <w:t>ّ</w:t>
      </w:r>
      <w:r w:rsidRPr="006571AC">
        <w:rPr>
          <w:sz w:val="27"/>
          <w:rtl/>
        </w:rPr>
        <w:t xml:space="preserve">اً. </w:t>
      </w:r>
    </w:p>
    <w:p w:rsidR="002C27BC" w:rsidRPr="006571AC" w:rsidRDefault="002C27BC" w:rsidP="002C27BC">
      <w:pPr>
        <w:spacing w:line="420" w:lineRule="exact"/>
        <w:rPr>
          <w:sz w:val="27"/>
          <w:rtl/>
        </w:rPr>
      </w:pPr>
    </w:p>
    <w:p w:rsidR="007C76F0" w:rsidRPr="006571AC" w:rsidRDefault="00791067" w:rsidP="00791067">
      <w:pPr>
        <w:pStyle w:val="31"/>
        <w:rPr>
          <w:color w:val="auto"/>
          <w:rtl/>
        </w:rPr>
      </w:pPr>
      <w:bookmarkStart w:id="61" w:name="_Toc114164550"/>
      <w:r w:rsidRPr="006571AC">
        <w:rPr>
          <w:color w:val="auto"/>
          <w:rtl/>
        </w:rPr>
        <w:t xml:space="preserve">الخطاب الديني </w:t>
      </w:r>
      <w:r w:rsidRPr="006571AC">
        <w:rPr>
          <w:rFonts w:hint="cs"/>
          <w:color w:val="auto"/>
          <w:rtl/>
        </w:rPr>
        <w:t>وس</w:t>
      </w:r>
      <w:r w:rsidR="00284653" w:rsidRPr="006571AC">
        <w:rPr>
          <w:rFonts w:hint="cs"/>
          <w:color w:val="auto"/>
          <w:rtl/>
        </w:rPr>
        <w:t>ُ</w:t>
      </w:r>
      <w:r w:rsidRPr="006571AC">
        <w:rPr>
          <w:rFonts w:hint="cs"/>
          <w:color w:val="auto"/>
          <w:rtl/>
        </w:rPr>
        <w:t>ب</w:t>
      </w:r>
      <w:r w:rsidR="00284653" w:rsidRPr="006571AC">
        <w:rPr>
          <w:rFonts w:hint="cs"/>
          <w:color w:val="auto"/>
          <w:rtl/>
        </w:rPr>
        <w:t>ُ</w:t>
      </w:r>
      <w:r w:rsidRPr="006571AC">
        <w:rPr>
          <w:rFonts w:hint="cs"/>
          <w:color w:val="auto"/>
          <w:rtl/>
        </w:rPr>
        <w:t xml:space="preserve">ل </w:t>
      </w:r>
      <w:r w:rsidR="007C76F0" w:rsidRPr="006571AC">
        <w:rPr>
          <w:color w:val="auto"/>
          <w:rtl/>
        </w:rPr>
        <w:t>ترشيد</w:t>
      </w:r>
      <w:r w:rsidRPr="006571AC">
        <w:rPr>
          <w:rFonts w:hint="cs"/>
          <w:color w:val="auto"/>
          <w:rtl/>
        </w:rPr>
        <w:t>ه</w:t>
      </w:r>
      <w:r w:rsidR="007C76F0" w:rsidRPr="006571AC">
        <w:rPr>
          <w:color w:val="auto"/>
          <w:rtl/>
        </w:rPr>
        <w:t xml:space="preserve"> وتطوير</w:t>
      </w:r>
      <w:r w:rsidRPr="006571AC">
        <w:rPr>
          <w:rFonts w:hint="cs"/>
          <w:color w:val="auto"/>
          <w:rtl/>
        </w:rPr>
        <w:t>ه</w:t>
      </w:r>
      <w:bookmarkEnd w:id="61"/>
      <w:r w:rsidR="007C76F0" w:rsidRPr="006571AC">
        <w:rPr>
          <w:color w:val="auto"/>
          <w:rtl/>
        </w:rPr>
        <w:t xml:space="preserve"> </w:t>
      </w:r>
    </w:p>
    <w:p w:rsidR="007C76F0" w:rsidRPr="006571AC" w:rsidRDefault="007C76F0" w:rsidP="00F22B89">
      <w:pPr>
        <w:rPr>
          <w:sz w:val="27"/>
          <w:rtl/>
        </w:rPr>
      </w:pPr>
      <w:r w:rsidRPr="006571AC">
        <w:rPr>
          <w:sz w:val="27"/>
          <w:rtl/>
        </w:rPr>
        <w:t>الخطاب الديني مؤث</w:t>
      </w:r>
      <w:r w:rsidR="00CD5995" w:rsidRPr="006571AC">
        <w:rPr>
          <w:rFonts w:hint="cs"/>
          <w:sz w:val="27"/>
          <w:rtl/>
        </w:rPr>
        <w:t>ِّ</w:t>
      </w:r>
      <w:r w:rsidRPr="006571AC">
        <w:rPr>
          <w:sz w:val="27"/>
          <w:rtl/>
        </w:rPr>
        <w:t>ر</w:t>
      </w:r>
      <w:r w:rsidR="00CD5995" w:rsidRPr="006571AC">
        <w:rPr>
          <w:rFonts w:hint="cs"/>
          <w:sz w:val="27"/>
          <w:rtl/>
        </w:rPr>
        <w:t>ٌ</w:t>
      </w:r>
      <w:r w:rsidRPr="006571AC">
        <w:rPr>
          <w:sz w:val="27"/>
          <w:rtl/>
        </w:rPr>
        <w:t xml:space="preserve"> في المجتمع، بل ليس هناك خطابٌ أكثر منه تأثيراً في نفوس المتدي</w:t>
      </w:r>
      <w:r w:rsidR="00CD5995" w:rsidRPr="006571AC">
        <w:rPr>
          <w:rFonts w:hint="cs"/>
          <w:sz w:val="27"/>
          <w:rtl/>
        </w:rPr>
        <w:t>ِّ</w:t>
      </w:r>
      <w:r w:rsidRPr="006571AC">
        <w:rPr>
          <w:sz w:val="27"/>
          <w:rtl/>
        </w:rPr>
        <w:t>نين</w:t>
      </w:r>
      <w:r w:rsidR="00CD5995" w:rsidRPr="006571AC">
        <w:rPr>
          <w:rFonts w:hint="cs"/>
          <w:sz w:val="27"/>
          <w:rtl/>
        </w:rPr>
        <w:t>.</w:t>
      </w:r>
      <w:r w:rsidRPr="006571AC">
        <w:rPr>
          <w:sz w:val="27"/>
          <w:rtl/>
        </w:rPr>
        <w:t xml:space="preserve"> ويمكن للخطاب الديني أن يؤد</w:t>
      </w:r>
      <w:r w:rsidR="00CD5995" w:rsidRPr="006571AC">
        <w:rPr>
          <w:rFonts w:hint="cs"/>
          <w:sz w:val="27"/>
          <w:rtl/>
        </w:rPr>
        <w:t>ّ</w:t>
      </w:r>
      <w:r w:rsidRPr="006571AC">
        <w:rPr>
          <w:sz w:val="27"/>
          <w:rtl/>
        </w:rPr>
        <w:t>ي د</w:t>
      </w:r>
      <w:r w:rsidR="00CD5995" w:rsidRPr="006571AC">
        <w:rPr>
          <w:rFonts w:hint="cs"/>
          <w:sz w:val="27"/>
          <w:rtl/>
        </w:rPr>
        <w:t>َ</w:t>
      </w:r>
      <w:r w:rsidRPr="006571AC">
        <w:rPr>
          <w:sz w:val="27"/>
          <w:rtl/>
        </w:rPr>
        <w:t>و</w:t>
      </w:r>
      <w:r w:rsidR="00CD5995" w:rsidRPr="006571AC">
        <w:rPr>
          <w:rFonts w:hint="cs"/>
          <w:sz w:val="27"/>
          <w:rtl/>
        </w:rPr>
        <w:t>ْ</w:t>
      </w:r>
      <w:r w:rsidRPr="006571AC">
        <w:rPr>
          <w:sz w:val="27"/>
          <w:rtl/>
        </w:rPr>
        <w:t>راً كبيراً في نهوض مجتمعاتنا، وإنجاز التنمية في أوطاننا</w:t>
      </w:r>
      <w:r w:rsidR="00CD5995" w:rsidRPr="006571AC">
        <w:rPr>
          <w:rFonts w:hint="cs"/>
          <w:sz w:val="27"/>
          <w:rtl/>
        </w:rPr>
        <w:t>؛</w:t>
      </w:r>
      <w:r w:rsidRPr="006571AC">
        <w:rPr>
          <w:sz w:val="27"/>
          <w:rtl/>
        </w:rPr>
        <w:t xml:space="preserve"> لأنه يحر</w:t>
      </w:r>
      <w:r w:rsidR="00CD5995" w:rsidRPr="006571AC">
        <w:rPr>
          <w:rFonts w:hint="cs"/>
          <w:sz w:val="27"/>
          <w:rtl/>
        </w:rPr>
        <w:t>ّ</w:t>
      </w:r>
      <w:r w:rsidRPr="006571AC">
        <w:rPr>
          <w:sz w:val="27"/>
          <w:rtl/>
        </w:rPr>
        <w:t>ك الدوافع الذاتية للإنسان، ويجعله أكثر التزاما</w:t>
      </w:r>
      <w:r w:rsidR="00CD5995" w:rsidRPr="006571AC">
        <w:rPr>
          <w:rFonts w:hint="cs"/>
          <w:sz w:val="27"/>
          <w:rtl/>
        </w:rPr>
        <w:t>ً</w:t>
      </w:r>
      <w:r w:rsidRPr="006571AC">
        <w:rPr>
          <w:sz w:val="27"/>
          <w:rtl/>
        </w:rPr>
        <w:t xml:space="preserve"> بالق</w:t>
      </w:r>
      <w:r w:rsidR="00CD5995" w:rsidRPr="006571AC">
        <w:rPr>
          <w:rFonts w:hint="cs"/>
          <w:sz w:val="27"/>
          <w:rtl/>
        </w:rPr>
        <w:t>ِيَ</w:t>
      </w:r>
      <w:r w:rsidRPr="006571AC">
        <w:rPr>
          <w:sz w:val="27"/>
          <w:rtl/>
        </w:rPr>
        <w:t>م والمبادئ، وأكثر ح</w:t>
      </w:r>
      <w:r w:rsidR="00284653" w:rsidRPr="006571AC">
        <w:rPr>
          <w:rFonts w:hint="cs"/>
          <w:sz w:val="27"/>
          <w:rtl/>
        </w:rPr>
        <w:t>ِ</w:t>
      </w:r>
      <w:r w:rsidRPr="006571AC">
        <w:rPr>
          <w:sz w:val="27"/>
          <w:rtl/>
        </w:rPr>
        <w:t>ر</w:t>
      </w:r>
      <w:r w:rsidR="00284653" w:rsidRPr="006571AC">
        <w:rPr>
          <w:rFonts w:hint="cs"/>
          <w:sz w:val="27"/>
          <w:rtl/>
        </w:rPr>
        <w:t>ْ</w:t>
      </w:r>
      <w:r w:rsidRPr="006571AC">
        <w:rPr>
          <w:sz w:val="27"/>
          <w:rtl/>
        </w:rPr>
        <w:t>صاً على العمل والعطاء</w:t>
      </w:r>
      <w:r w:rsidR="00CD5995" w:rsidRPr="006571AC">
        <w:rPr>
          <w:rFonts w:hint="cs"/>
          <w:sz w:val="27"/>
          <w:rtl/>
        </w:rPr>
        <w:t>.</w:t>
      </w:r>
      <w:r w:rsidRPr="006571AC">
        <w:rPr>
          <w:sz w:val="27"/>
          <w:rtl/>
        </w:rPr>
        <w:t xml:space="preserve"> ويتوق</w:t>
      </w:r>
      <w:r w:rsidR="00CD5995" w:rsidRPr="006571AC">
        <w:rPr>
          <w:rFonts w:hint="cs"/>
          <w:sz w:val="27"/>
          <w:rtl/>
        </w:rPr>
        <w:t>َّ</w:t>
      </w:r>
      <w:r w:rsidRPr="006571AC">
        <w:rPr>
          <w:sz w:val="27"/>
          <w:rtl/>
        </w:rPr>
        <w:t>ف ذلك على مستوى هذا الخطاب وتوج</w:t>
      </w:r>
      <w:r w:rsidR="00CD5995" w:rsidRPr="006571AC">
        <w:rPr>
          <w:rFonts w:hint="cs"/>
          <w:sz w:val="27"/>
          <w:rtl/>
        </w:rPr>
        <w:t>ّ</w:t>
      </w:r>
      <w:r w:rsidRPr="006571AC">
        <w:rPr>
          <w:sz w:val="27"/>
          <w:rtl/>
        </w:rPr>
        <w:t>هاته واهتماماته، بأن يكون في مستوى الاستجابة للتحد</w:t>
      </w:r>
      <w:r w:rsidR="00CD5995" w:rsidRPr="006571AC">
        <w:rPr>
          <w:rFonts w:hint="cs"/>
          <w:sz w:val="27"/>
          <w:rtl/>
        </w:rPr>
        <w:t>ّ</w:t>
      </w:r>
      <w:r w:rsidRPr="006571AC">
        <w:rPr>
          <w:sz w:val="27"/>
          <w:rtl/>
        </w:rPr>
        <w:t>يات والهموم التي تعيشها هذه المجتمعات، وأن يكون رشيداً، وبلغة</w:t>
      </w:r>
      <w:r w:rsidR="00CD5995" w:rsidRPr="006571AC">
        <w:rPr>
          <w:rFonts w:hint="cs"/>
          <w:sz w:val="27"/>
          <w:rtl/>
        </w:rPr>
        <w:t>ٍ</w:t>
      </w:r>
      <w:r w:rsidRPr="006571AC">
        <w:rPr>
          <w:sz w:val="27"/>
          <w:rtl/>
        </w:rPr>
        <w:t xml:space="preserve"> معاصرة يفهمها ويتفاعل معها إنسان اليوم، وبذلك يستحق</w:t>
      </w:r>
      <w:r w:rsidR="00CD5995" w:rsidRPr="006571AC">
        <w:rPr>
          <w:rFonts w:hint="cs"/>
          <w:sz w:val="27"/>
          <w:rtl/>
        </w:rPr>
        <w:t>ّ</w:t>
      </w:r>
      <w:r w:rsidRPr="006571AC">
        <w:rPr>
          <w:sz w:val="27"/>
          <w:rtl/>
        </w:rPr>
        <w:t xml:space="preserve"> هذا الخطاب صفة (البلاغ المبين)</w:t>
      </w:r>
      <w:r w:rsidR="00CD5995" w:rsidRPr="006571AC">
        <w:rPr>
          <w:rFonts w:hint="cs"/>
          <w:sz w:val="27"/>
          <w:rtl/>
        </w:rPr>
        <w:t xml:space="preserve">، </w:t>
      </w:r>
      <w:r w:rsidRPr="006571AC">
        <w:rPr>
          <w:sz w:val="27"/>
          <w:rtl/>
        </w:rPr>
        <w:t>ح</w:t>
      </w:r>
      <w:r w:rsidR="00CD5995" w:rsidRPr="006571AC">
        <w:rPr>
          <w:rFonts w:hint="cs"/>
          <w:sz w:val="27"/>
          <w:rtl/>
        </w:rPr>
        <w:t>َ</w:t>
      </w:r>
      <w:r w:rsidRPr="006571AC">
        <w:rPr>
          <w:sz w:val="27"/>
          <w:rtl/>
        </w:rPr>
        <w:t>س</w:t>
      </w:r>
      <w:r w:rsidR="00CD5995" w:rsidRPr="006571AC">
        <w:rPr>
          <w:rFonts w:hint="cs"/>
          <w:sz w:val="27"/>
          <w:rtl/>
        </w:rPr>
        <w:t>ْ</w:t>
      </w:r>
      <w:r w:rsidRPr="006571AC">
        <w:rPr>
          <w:sz w:val="27"/>
          <w:rtl/>
        </w:rPr>
        <w:t xml:space="preserve">ب تعبير القرآن الكريم. </w:t>
      </w:r>
    </w:p>
    <w:p w:rsidR="007C76F0" w:rsidRPr="006571AC" w:rsidRDefault="007C76F0" w:rsidP="00F22B89">
      <w:pPr>
        <w:rPr>
          <w:sz w:val="27"/>
          <w:rtl/>
        </w:rPr>
      </w:pPr>
      <w:r w:rsidRPr="006571AC">
        <w:rPr>
          <w:sz w:val="27"/>
          <w:rtl/>
        </w:rPr>
        <w:t>ويكون للخطاب الديني د</w:t>
      </w:r>
      <w:r w:rsidR="00CD5995" w:rsidRPr="006571AC">
        <w:rPr>
          <w:rFonts w:hint="cs"/>
          <w:sz w:val="27"/>
          <w:rtl/>
        </w:rPr>
        <w:t>َ</w:t>
      </w:r>
      <w:r w:rsidRPr="006571AC">
        <w:rPr>
          <w:sz w:val="27"/>
          <w:rtl/>
        </w:rPr>
        <w:t>و</w:t>
      </w:r>
      <w:r w:rsidR="00CD5995" w:rsidRPr="006571AC">
        <w:rPr>
          <w:rFonts w:hint="cs"/>
          <w:sz w:val="27"/>
          <w:rtl/>
        </w:rPr>
        <w:t>ْ</w:t>
      </w:r>
      <w:r w:rsidRPr="006571AC">
        <w:rPr>
          <w:sz w:val="27"/>
          <w:rtl/>
        </w:rPr>
        <w:t>ر</w:t>
      </w:r>
      <w:r w:rsidR="00CD5995" w:rsidRPr="006571AC">
        <w:rPr>
          <w:rFonts w:hint="cs"/>
          <w:sz w:val="27"/>
          <w:rtl/>
        </w:rPr>
        <w:t>ٌ</w:t>
      </w:r>
      <w:r w:rsidRPr="006571AC">
        <w:rPr>
          <w:sz w:val="27"/>
          <w:rtl/>
        </w:rPr>
        <w:t xml:space="preserve"> سلبي</w:t>
      </w:r>
      <w:r w:rsidR="00CD5995" w:rsidRPr="006571AC">
        <w:rPr>
          <w:rFonts w:hint="cs"/>
          <w:sz w:val="27"/>
          <w:rtl/>
        </w:rPr>
        <w:t>ّ</w:t>
      </w:r>
      <w:r w:rsidRPr="006571AC">
        <w:rPr>
          <w:sz w:val="27"/>
          <w:rtl/>
        </w:rPr>
        <w:t xml:space="preserve"> خطير حين يصدر من جهات</w:t>
      </w:r>
      <w:r w:rsidR="00CD5995" w:rsidRPr="006571AC">
        <w:rPr>
          <w:rFonts w:hint="cs"/>
          <w:sz w:val="27"/>
          <w:rtl/>
        </w:rPr>
        <w:t>ٍ</w:t>
      </w:r>
      <w:r w:rsidRPr="006571AC">
        <w:rPr>
          <w:sz w:val="27"/>
          <w:rtl/>
        </w:rPr>
        <w:t xml:space="preserve"> متطر</w:t>
      </w:r>
      <w:r w:rsidR="00CD5995" w:rsidRPr="006571AC">
        <w:rPr>
          <w:rFonts w:hint="cs"/>
          <w:sz w:val="27"/>
          <w:rtl/>
        </w:rPr>
        <w:t>ّ</w:t>
      </w:r>
      <w:r w:rsidRPr="006571AC">
        <w:rPr>
          <w:sz w:val="27"/>
          <w:rtl/>
        </w:rPr>
        <w:t>فة متزم</w:t>
      </w:r>
      <w:r w:rsidR="00CD5995" w:rsidRPr="006571AC">
        <w:rPr>
          <w:rFonts w:hint="cs"/>
          <w:sz w:val="27"/>
          <w:rtl/>
        </w:rPr>
        <w:t>ّ</w:t>
      </w:r>
      <w:r w:rsidRPr="006571AC">
        <w:rPr>
          <w:sz w:val="27"/>
          <w:rtl/>
        </w:rPr>
        <w:t>تة، وقد عانت الأُمّة منذ بداية تاريخها من د</w:t>
      </w:r>
      <w:r w:rsidR="00CD5995" w:rsidRPr="006571AC">
        <w:rPr>
          <w:rFonts w:hint="cs"/>
          <w:sz w:val="27"/>
          <w:rtl/>
        </w:rPr>
        <w:t>َ</w:t>
      </w:r>
      <w:r w:rsidRPr="006571AC">
        <w:rPr>
          <w:sz w:val="27"/>
          <w:rtl/>
        </w:rPr>
        <w:t>و</w:t>
      </w:r>
      <w:r w:rsidR="00CD5995" w:rsidRPr="006571AC">
        <w:rPr>
          <w:rFonts w:hint="cs"/>
          <w:sz w:val="27"/>
          <w:rtl/>
        </w:rPr>
        <w:t>ْ</w:t>
      </w:r>
      <w:r w:rsidRPr="006571AC">
        <w:rPr>
          <w:sz w:val="27"/>
          <w:rtl/>
        </w:rPr>
        <w:t>ر هذه الجهات المغالية في الدين، وهو ما حذ</w:t>
      </w:r>
      <w:r w:rsidR="00CD5995" w:rsidRPr="006571AC">
        <w:rPr>
          <w:rFonts w:hint="cs"/>
          <w:sz w:val="27"/>
          <w:rtl/>
        </w:rPr>
        <w:t>َّ</w:t>
      </w:r>
      <w:r w:rsidRPr="006571AC">
        <w:rPr>
          <w:sz w:val="27"/>
          <w:rtl/>
        </w:rPr>
        <w:t>ر منه القرآن الكريم</w:t>
      </w:r>
      <w:r w:rsidR="00284653" w:rsidRPr="006571AC">
        <w:rPr>
          <w:rFonts w:hint="cs"/>
          <w:sz w:val="27"/>
          <w:rtl/>
        </w:rPr>
        <w:t>،</w:t>
      </w:r>
      <w:r w:rsidRPr="006571AC">
        <w:rPr>
          <w:sz w:val="27"/>
          <w:rtl/>
        </w:rPr>
        <w:t xml:space="preserve"> </w:t>
      </w:r>
      <w:r w:rsidR="00CD5995" w:rsidRPr="006571AC">
        <w:rPr>
          <w:rFonts w:hint="cs"/>
          <w:sz w:val="27"/>
          <w:rtl/>
        </w:rPr>
        <w:t>حيث يقول</w:t>
      </w:r>
      <w:r w:rsidRPr="006571AC">
        <w:rPr>
          <w:sz w:val="27"/>
          <w:rtl/>
        </w:rPr>
        <w:t xml:space="preserve">: </w:t>
      </w:r>
      <w:r w:rsidRPr="006571AC">
        <w:rPr>
          <w:rFonts w:ascii="Mosawi" w:hAnsi="Mosawi" w:cs="Mosawi"/>
          <w:sz w:val="24"/>
          <w:szCs w:val="24"/>
          <w:rtl/>
        </w:rPr>
        <w:t>﴿</w:t>
      </w:r>
      <w:r w:rsidR="00CD5995" w:rsidRPr="006571AC">
        <w:rPr>
          <w:b/>
          <w:bCs/>
          <w:sz w:val="27"/>
          <w:rtl/>
        </w:rPr>
        <w:t>يَا أَهْلَ الْكِتَابِ ل</w:t>
      </w:r>
      <w:r w:rsidRPr="006571AC">
        <w:rPr>
          <w:b/>
          <w:bCs/>
          <w:sz w:val="27"/>
          <w:rtl/>
        </w:rPr>
        <w:t>ا</w:t>
      </w:r>
      <w:r w:rsidR="00CD5995" w:rsidRPr="006571AC">
        <w:rPr>
          <w:rFonts w:hint="cs"/>
          <w:b/>
          <w:bCs/>
          <w:sz w:val="27"/>
          <w:rtl/>
        </w:rPr>
        <w:t>َ</w:t>
      </w:r>
      <w:r w:rsidRPr="006571AC">
        <w:rPr>
          <w:b/>
          <w:bCs/>
          <w:sz w:val="27"/>
          <w:rtl/>
        </w:rPr>
        <w:t xml:space="preserve"> تَغْ</w:t>
      </w:r>
      <w:r w:rsidR="00CD5995" w:rsidRPr="006571AC">
        <w:rPr>
          <w:b/>
          <w:bCs/>
          <w:sz w:val="27"/>
          <w:rtl/>
        </w:rPr>
        <w:t>لُوا فِي دِينِكُمْ وَل</w:t>
      </w:r>
      <w:r w:rsidRPr="006571AC">
        <w:rPr>
          <w:b/>
          <w:bCs/>
          <w:sz w:val="27"/>
          <w:rtl/>
        </w:rPr>
        <w:t>ا</w:t>
      </w:r>
      <w:r w:rsidR="00CD5995" w:rsidRPr="006571AC">
        <w:rPr>
          <w:rFonts w:hint="cs"/>
          <w:b/>
          <w:bCs/>
          <w:sz w:val="27"/>
          <w:rtl/>
        </w:rPr>
        <w:t>َ</w:t>
      </w:r>
      <w:r w:rsidR="00CD5995" w:rsidRPr="006571AC">
        <w:rPr>
          <w:b/>
          <w:bCs/>
          <w:sz w:val="27"/>
          <w:rtl/>
        </w:rPr>
        <w:t xml:space="preserve"> تَقُولُوا عَلَى الله إِل</w:t>
      </w:r>
      <w:r w:rsidRPr="006571AC">
        <w:rPr>
          <w:b/>
          <w:bCs/>
          <w:sz w:val="27"/>
          <w:rtl/>
        </w:rPr>
        <w:t>ا</w:t>
      </w:r>
      <w:r w:rsidR="00CD5995" w:rsidRPr="006571AC">
        <w:rPr>
          <w:rFonts w:hint="cs"/>
          <w:b/>
          <w:bCs/>
          <w:sz w:val="27"/>
          <w:rtl/>
        </w:rPr>
        <w:t>َّ</w:t>
      </w:r>
      <w:r w:rsidRPr="006571AC">
        <w:rPr>
          <w:b/>
          <w:bCs/>
          <w:sz w:val="27"/>
          <w:rtl/>
        </w:rPr>
        <w:t xml:space="preserve"> الْحَقَّ</w:t>
      </w:r>
      <w:r w:rsidRPr="006571AC">
        <w:rPr>
          <w:rFonts w:ascii="Mosawi" w:hAnsi="Mosawi" w:cs="Mosawi"/>
          <w:sz w:val="24"/>
          <w:szCs w:val="24"/>
          <w:rtl/>
        </w:rPr>
        <w:t>﴾</w:t>
      </w:r>
      <w:r w:rsidRPr="006571AC">
        <w:rPr>
          <w:sz w:val="27"/>
          <w:rtl/>
        </w:rPr>
        <w:t xml:space="preserve"> (النساء: 171)</w:t>
      </w:r>
      <w:r w:rsidR="00CD5995" w:rsidRPr="006571AC">
        <w:rPr>
          <w:rFonts w:hint="cs"/>
          <w:sz w:val="27"/>
          <w:rtl/>
        </w:rPr>
        <w:t>.</w:t>
      </w:r>
      <w:r w:rsidRPr="006571AC">
        <w:rPr>
          <w:sz w:val="27"/>
          <w:rtl/>
        </w:rPr>
        <w:t xml:space="preserve"> ومن هؤلاء الغلاة: الخوارج في الماضي، والجماعات المتطر</w:t>
      </w:r>
      <w:r w:rsidR="00CD5995" w:rsidRPr="006571AC">
        <w:rPr>
          <w:rFonts w:hint="cs"/>
          <w:sz w:val="27"/>
          <w:rtl/>
        </w:rPr>
        <w:t>ِّ</w:t>
      </w:r>
      <w:r w:rsidRPr="006571AC">
        <w:rPr>
          <w:sz w:val="27"/>
          <w:rtl/>
        </w:rPr>
        <w:t xml:space="preserve">فة المنتسبة </w:t>
      </w:r>
      <w:r w:rsidR="00CD5995" w:rsidRPr="006571AC">
        <w:rPr>
          <w:rFonts w:hint="cs"/>
          <w:sz w:val="27"/>
          <w:rtl/>
        </w:rPr>
        <w:t>إلى ا</w:t>
      </w:r>
      <w:r w:rsidRPr="006571AC">
        <w:rPr>
          <w:sz w:val="27"/>
          <w:rtl/>
        </w:rPr>
        <w:t>لدين في الحاضر</w:t>
      </w:r>
      <w:r w:rsidR="00CD5995" w:rsidRPr="006571AC">
        <w:rPr>
          <w:rFonts w:hint="cs"/>
          <w:sz w:val="27"/>
          <w:rtl/>
        </w:rPr>
        <w:t>؛</w:t>
      </w:r>
      <w:r w:rsidRPr="006571AC">
        <w:rPr>
          <w:sz w:val="27"/>
          <w:rtl/>
        </w:rPr>
        <w:t xml:space="preserve"> فقد كان خطابهم مدمّ</w:t>
      </w:r>
      <w:r w:rsidR="00CD5995" w:rsidRPr="006571AC">
        <w:rPr>
          <w:rFonts w:hint="cs"/>
          <w:sz w:val="27"/>
          <w:rtl/>
        </w:rPr>
        <w:t>ِ</w:t>
      </w:r>
      <w:r w:rsidRPr="006571AC">
        <w:rPr>
          <w:sz w:val="27"/>
          <w:rtl/>
        </w:rPr>
        <w:t xml:space="preserve">راً للمجتمعات والأوطان. </w:t>
      </w:r>
    </w:p>
    <w:p w:rsidR="007C76F0" w:rsidRPr="006571AC" w:rsidRDefault="007C76F0" w:rsidP="00F22B89">
      <w:pPr>
        <w:rPr>
          <w:sz w:val="27"/>
        </w:rPr>
      </w:pPr>
      <w:r w:rsidRPr="006571AC">
        <w:rPr>
          <w:sz w:val="27"/>
          <w:rtl/>
        </w:rPr>
        <w:t xml:space="preserve">وتكمن المشكلة </w:t>
      </w:r>
      <w:r w:rsidR="00284653" w:rsidRPr="006571AC">
        <w:rPr>
          <w:rFonts w:hint="cs"/>
          <w:sz w:val="27"/>
          <w:rtl/>
        </w:rPr>
        <w:t xml:space="preserve">في </w:t>
      </w:r>
      <w:r w:rsidRPr="006571AC">
        <w:rPr>
          <w:sz w:val="27"/>
          <w:rtl/>
        </w:rPr>
        <w:t>أن بعض مَن</w:t>
      </w:r>
      <w:r w:rsidR="00CD5995" w:rsidRPr="006571AC">
        <w:rPr>
          <w:rFonts w:hint="cs"/>
          <w:sz w:val="27"/>
          <w:rtl/>
        </w:rPr>
        <w:t>ْ</w:t>
      </w:r>
      <w:r w:rsidRPr="006571AC">
        <w:rPr>
          <w:sz w:val="27"/>
          <w:rtl/>
        </w:rPr>
        <w:t xml:space="preserve"> يُنتجون الخطاب الديني يرك</w:t>
      </w:r>
      <w:r w:rsidR="00CD5995" w:rsidRPr="006571AC">
        <w:rPr>
          <w:rFonts w:hint="cs"/>
          <w:sz w:val="27"/>
          <w:rtl/>
        </w:rPr>
        <w:t>ِّ</w:t>
      </w:r>
      <w:r w:rsidRPr="006571AC">
        <w:rPr>
          <w:sz w:val="27"/>
          <w:rtl/>
        </w:rPr>
        <w:t>زون على بعض النصوص الدينية، بعيداً عن المنظومة المتكاملة للدين، فتتضخ</w:t>
      </w:r>
      <w:r w:rsidR="00CD5995" w:rsidRPr="006571AC">
        <w:rPr>
          <w:rFonts w:hint="cs"/>
          <w:sz w:val="27"/>
          <w:rtl/>
        </w:rPr>
        <w:t>َّ</w:t>
      </w:r>
      <w:r w:rsidRPr="006571AC">
        <w:rPr>
          <w:sz w:val="27"/>
          <w:rtl/>
        </w:rPr>
        <w:t>م لديهم بعض الجوانب في الفكر الديني، ويفهمونها بخلاف حقيقتها</w:t>
      </w:r>
      <w:r w:rsidR="00CD5995" w:rsidRPr="006571AC">
        <w:rPr>
          <w:rFonts w:hint="cs"/>
          <w:sz w:val="27"/>
          <w:rtl/>
        </w:rPr>
        <w:t>،</w:t>
      </w:r>
      <w:r w:rsidRPr="006571AC">
        <w:rPr>
          <w:sz w:val="27"/>
          <w:rtl/>
        </w:rPr>
        <w:t xml:space="preserve"> وخارج سياقها، ويرك</w:t>
      </w:r>
      <w:r w:rsidR="00CD5995" w:rsidRPr="006571AC">
        <w:rPr>
          <w:rFonts w:hint="cs"/>
          <w:sz w:val="27"/>
          <w:rtl/>
        </w:rPr>
        <w:t>ِّ</w:t>
      </w:r>
      <w:r w:rsidRPr="006571AC">
        <w:rPr>
          <w:sz w:val="27"/>
          <w:rtl/>
        </w:rPr>
        <w:t>زون عليها، متغافلين عن الجوانب الأخرى في الدين</w:t>
      </w:r>
      <w:r w:rsidR="00CD5995" w:rsidRPr="006571AC">
        <w:rPr>
          <w:rFonts w:hint="cs"/>
          <w:sz w:val="27"/>
          <w:rtl/>
        </w:rPr>
        <w:t>؛</w:t>
      </w:r>
      <w:r w:rsidRPr="006571AC">
        <w:rPr>
          <w:sz w:val="27"/>
          <w:rtl/>
        </w:rPr>
        <w:t xml:space="preserve"> لذلك ورد عن النبي</w:t>
      </w:r>
      <w:r w:rsidR="00CD5995" w:rsidRPr="006571AC">
        <w:rPr>
          <w:rFonts w:hint="cs"/>
          <w:sz w:val="27"/>
          <w:rtl/>
        </w:rPr>
        <w:t>ّ</w:t>
      </w:r>
      <w:r w:rsidR="00B06F3D"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لَيْسَ يَقُومُ بِدِينِ الله عَزَّ وَجَلَّ إِلاَّ مَنْ حَاطَهُ مِنْ جَمِيعِ جَوَانِبِهِ</w:t>
      </w:r>
      <w:r w:rsidRPr="006571AC">
        <w:rPr>
          <w:rFonts w:hint="eastAsia"/>
          <w:sz w:val="24"/>
          <w:szCs w:val="24"/>
          <w:rtl/>
        </w:rPr>
        <w:t>»</w:t>
      </w:r>
      <w:r w:rsidRPr="006571AC">
        <w:rPr>
          <w:sz w:val="27"/>
          <w:vertAlign w:val="superscript"/>
          <w:rtl/>
        </w:rPr>
        <w:t>(</w:t>
      </w:r>
      <w:r w:rsidRPr="006571AC">
        <w:rPr>
          <w:sz w:val="27"/>
          <w:vertAlign w:val="superscript"/>
          <w:rtl/>
        </w:rPr>
        <w:endnoteReference w:id="115"/>
      </w:r>
      <w:r w:rsidRPr="006571AC">
        <w:rPr>
          <w:sz w:val="27"/>
          <w:vertAlign w:val="superscript"/>
          <w:rtl/>
        </w:rPr>
        <w:t>)</w:t>
      </w:r>
      <w:r w:rsidRPr="006571AC">
        <w:rPr>
          <w:sz w:val="27"/>
          <w:rtl/>
        </w:rPr>
        <w:t>، وعنه</w:t>
      </w:r>
      <w:r w:rsidR="00B06F3D"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إنَّ دي</w:t>
      </w:r>
      <w:r w:rsidR="00B06F3D" w:rsidRPr="006571AC">
        <w:rPr>
          <w:sz w:val="27"/>
          <w:rtl/>
        </w:rPr>
        <w:t>نَ الله تَع</w:t>
      </w:r>
      <w:r w:rsidR="00284653" w:rsidRPr="006571AC">
        <w:rPr>
          <w:rFonts w:hint="cs"/>
          <w:sz w:val="27"/>
          <w:rtl/>
        </w:rPr>
        <w:t>َ</w:t>
      </w:r>
      <w:r w:rsidR="00B06F3D" w:rsidRPr="006571AC">
        <w:rPr>
          <w:sz w:val="27"/>
          <w:rtl/>
        </w:rPr>
        <w:t>ال</w:t>
      </w:r>
      <w:r w:rsidR="00284653" w:rsidRPr="006571AC">
        <w:rPr>
          <w:rFonts w:hint="cs"/>
          <w:sz w:val="27"/>
          <w:rtl/>
        </w:rPr>
        <w:t>َ</w:t>
      </w:r>
      <w:r w:rsidR="00B06F3D" w:rsidRPr="006571AC">
        <w:rPr>
          <w:sz w:val="27"/>
          <w:rtl/>
        </w:rPr>
        <w:t>ى لَن</w:t>
      </w:r>
      <w:r w:rsidR="00284653" w:rsidRPr="006571AC">
        <w:rPr>
          <w:rFonts w:hint="cs"/>
          <w:sz w:val="27"/>
          <w:rtl/>
        </w:rPr>
        <w:t>ْ</w:t>
      </w:r>
      <w:r w:rsidR="00B06F3D" w:rsidRPr="006571AC">
        <w:rPr>
          <w:sz w:val="27"/>
          <w:rtl/>
        </w:rPr>
        <w:t xml:space="preserve"> يَن</w:t>
      </w:r>
      <w:r w:rsidR="00284653" w:rsidRPr="006571AC">
        <w:rPr>
          <w:rFonts w:hint="cs"/>
          <w:sz w:val="27"/>
          <w:rtl/>
        </w:rPr>
        <w:t>ْ</w:t>
      </w:r>
      <w:r w:rsidR="00B06F3D" w:rsidRPr="006571AC">
        <w:rPr>
          <w:sz w:val="27"/>
          <w:rtl/>
        </w:rPr>
        <w:t>صُرَهُ إ</w:t>
      </w:r>
      <w:r w:rsidR="00284653" w:rsidRPr="006571AC">
        <w:rPr>
          <w:rFonts w:hint="cs"/>
          <w:sz w:val="27"/>
          <w:rtl/>
        </w:rPr>
        <w:t>ِ</w:t>
      </w:r>
      <w:r w:rsidR="00B06F3D" w:rsidRPr="006571AC">
        <w:rPr>
          <w:sz w:val="27"/>
          <w:rtl/>
        </w:rPr>
        <w:t>ل</w:t>
      </w:r>
      <w:r w:rsidRPr="006571AC">
        <w:rPr>
          <w:sz w:val="27"/>
          <w:rtl/>
        </w:rPr>
        <w:t>ا</w:t>
      </w:r>
      <w:r w:rsidR="00B06F3D" w:rsidRPr="006571AC">
        <w:rPr>
          <w:rFonts w:hint="cs"/>
          <w:sz w:val="27"/>
          <w:rtl/>
        </w:rPr>
        <w:t>ّ</w:t>
      </w:r>
      <w:r w:rsidR="00284653" w:rsidRPr="006571AC">
        <w:rPr>
          <w:rFonts w:hint="cs"/>
          <w:sz w:val="27"/>
          <w:rtl/>
        </w:rPr>
        <w:t>َ</w:t>
      </w:r>
      <w:r w:rsidRPr="006571AC">
        <w:rPr>
          <w:sz w:val="27"/>
          <w:rtl/>
        </w:rPr>
        <w:t xml:space="preserve"> مَن</w:t>
      </w:r>
      <w:r w:rsidR="00284653" w:rsidRPr="006571AC">
        <w:rPr>
          <w:rFonts w:hint="cs"/>
          <w:sz w:val="27"/>
          <w:rtl/>
        </w:rPr>
        <w:t>ْ</w:t>
      </w:r>
      <w:r w:rsidRPr="006571AC">
        <w:rPr>
          <w:sz w:val="27"/>
          <w:rtl/>
        </w:rPr>
        <w:t xml:space="preserve"> ح</w:t>
      </w:r>
      <w:r w:rsidR="00284653" w:rsidRPr="006571AC">
        <w:rPr>
          <w:rFonts w:hint="cs"/>
          <w:sz w:val="27"/>
          <w:rtl/>
        </w:rPr>
        <w:t>َ</w:t>
      </w:r>
      <w:r w:rsidRPr="006571AC">
        <w:rPr>
          <w:sz w:val="27"/>
          <w:rtl/>
        </w:rPr>
        <w:t>اطَهُ مِن</w:t>
      </w:r>
      <w:r w:rsidR="00B06F3D" w:rsidRPr="006571AC">
        <w:rPr>
          <w:rFonts w:hint="cs"/>
          <w:sz w:val="27"/>
          <w:rtl/>
        </w:rPr>
        <w:t>ْ</w:t>
      </w:r>
      <w:r w:rsidRPr="006571AC">
        <w:rPr>
          <w:sz w:val="27"/>
          <w:rtl/>
        </w:rPr>
        <w:t xml:space="preserve"> جَميعِ جَوانِبِهِ</w:t>
      </w:r>
      <w:r w:rsidRPr="006571AC">
        <w:rPr>
          <w:rFonts w:hint="eastAsia"/>
          <w:sz w:val="24"/>
          <w:szCs w:val="24"/>
          <w:rtl/>
        </w:rPr>
        <w:t>»</w:t>
      </w:r>
      <w:r w:rsidRPr="006571AC">
        <w:rPr>
          <w:sz w:val="27"/>
          <w:vertAlign w:val="superscript"/>
          <w:rtl/>
        </w:rPr>
        <w:t>(</w:t>
      </w:r>
      <w:r w:rsidRPr="006571AC">
        <w:rPr>
          <w:sz w:val="27"/>
          <w:vertAlign w:val="superscript"/>
          <w:rtl/>
        </w:rPr>
        <w:endnoteReference w:id="116"/>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فتجد مثلاً م</w:t>
      </w:r>
      <w:r w:rsidR="00B06F3D" w:rsidRPr="006571AC">
        <w:rPr>
          <w:rFonts w:hint="cs"/>
          <w:sz w:val="27"/>
          <w:rtl/>
        </w:rPr>
        <w:t>َ</w:t>
      </w:r>
      <w:r w:rsidRPr="006571AC">
        <w:rPr>
          <w:sz w:val="27"/>
          <w:rtl/>
        </w:rPr>
        <w:t>ن</w:t>
      </w:r>
      <w:r w:rsidR="00B06F3D" w:rsidRPr="006571AC">
        <w:rPr>
          <w:rFonts w:hint="cs"/>
          <w:sz w:val="27"/>
          <w:rtl/>
        </w:rPr>
        <w:t>ْ</w:t>
      </w:r>
      <w:r w:rsidRPr="006571AC">
        <w:rPr>
          <w:sz w:val="27"/>
          <w:rtl/>
        </w:rPr>
        <w:t xml:space="preserve"> يهتم بموضوع الآخرة</w:t>
      </w:r>
      <w:r w:rsidR="00B06F3D" w:rsidRPr="006571AC">
        <w:rPr>
          <w:rFonts w:hint="cs"/>
          <w:sz w:val="27"/>
          <w:rtl/>
        </w:rPr>
        <w:t>،</w:t>
      </w:r>
      <w:r w:rsidRPr="006571AC">
        <w:rPr>
          <w:sz w:val="27"/>
          <w:rtl/>
        </w:rPr>
        <w:t xml:space="preserve"> مرك</w:t>
      </w:r>
      <w:r w:rsidR="00B06F3D" w:rsidRPr="006571AC">
        <w:rPr>
          <w:rFonts w:hint="cs"/>
          <w:sz w:val="27"/>
          <w:rtl/>
        </w:rPr>
        <w:t>ِّ</w:t>
      </w:r>
      <w:r w:rsidRPr="006571AC">
        <w:rPr>
          <w:sz w:val="27"/>
          <w:rtl/>
        </w:rPr>
        <w:t xml:space="preserve">زاً عليه اهتمامه، وفي كلِّ مجلسٍ </w:t>
      </w:r>
      <w:r w:rsidRPr="006571AC">
        <w:rPr>
          <w:sz w:val="27"/>
          <w:rtl/>
        </w:rPr>
        <w:lastRenderedPageBreak/>
        <w:t>يتحد</w:t>
      </w:r>
      <w:r w:rsidR="00B06F3D" w:rsidRPr="006571AC">
        <w:rPr>
          <w:rFonts w:hint="cs"/>
          <w:sz w:val="27"/>
          <w:rtl/>
        </w:rPr>
        <w:t>َّ</w:t>
      </w:r>
      <w:r w:rsidRPr="006571AC">
        <w:rPr>
          <w:sz w:val="27"/>
          <w:rtl/>
        </w:rPr>
        <w:t xml:space="preserve">ث عن الموت والقبر والحساب والصراط، دون التطرُّق </w:t>
      </w:r>
      <w:r w:rsidR="00B06F3D" w:rsidRPr="006571AC">
        <w:rPr>
          <w:rFonts w:hint="cs"/>
          <w:sz w:val="27"/>
          <w:rtl/>
        </w:rPr>
        <w:t xml:space="preserve">إلى </w:t>
      </w:r>
      <w:r w:rsidRPr="006571AC">
        <w:rPr>
          <w:sz w:val="27"/>
          <w:rtl/>
        </w:rPr>
        <w:t xml:space="preserve">أمور الدنيا التي يوليها الدين اهتماماً موازياً، يقول تعالى: </w:t>
      </w:r>
      <w:r w:rsidRPr="006571AC">
        <w:rPr>
          <w:rFonts w:ascii="Mosawi" w:hAnsi="Mosawi" w:cs="Mosawi"/>
          <w:sz w:val="24"/>
          <w:szCs w:val="24"/>
          <w:rtl/>
        </w:rPr>
        <w:t>﴿</w:t>
      </w:r>
      <w:r w:rsidRPr="006571AC">
        <w:rPr>
          <w:b/>
          <w:bCs/>
          <w:sz w:val="27"/>
          <w:rtl/>
        </w:rPr>
        <w:t>وَابْتَغِ فِي</w:t>
      </w:r>
      <w:r w:rsidR="00B06F3D" w:rsidRPr="006571AC">
        <w:rPr>
          <w:rFonts w:hint="cs"/>
          <w:b/>
          <w:bCs/>
          <w:sz w:val="27"/>
          <w:rtl/>
        </w:rPr>
        <w:t xml:space="preserve"> </w:t>
      </w:r>
      <w:r w:rsidR="00B06F3D" w:rsidRPr="006571AC">
        <w:rPr>
          <w:b/>
          <w:bCs/>
          <w:sz w:val="27"/>
          <w:rtl/>
        </w:rPr>
        <w:t>مَا آتَاكَ الله الدَّارَ الآخِرَةَ وَل</w:t>
      </w:r>
      <w:r w:rsidRPr="006571AC">
        <w:rPr>
          <w:b/>
          <w:bCs/>
          <w:sz w:val="27"/>
          <w:rtl/>
        </w:rPr>
        <w:t>ا</w:t>
      </w:r>
      <w:r w:rsidR="00B06F3D" w:rsidRPr="006571AC">
        <w:rPr>
          <w:rFonts w:hint="cs"/>
          <w:b/>
          <w:bCs/>
          <w:sz w:val="27"/>
          <w:rtl/>
        </w:rPr>
        <w:t>َ</w:t>
      </w:r>
      <w:r w:rsidRPr="006571AC">
        <w:rPr>
          <w:b/>
          <w:bCs/>
          <w:sz w:val="27"/>
          <w:rtl/>
        </w:rPr>
        <w:t xml:space="preserve"> تَنسَ نَصِيبَكَ مِنَ الدُّنْيَا</w:t>
      </w:r>
      <w:r w:rsidRPr="006571AC">
        <w:rPr>
          <w:rFonts w:ascii="Mosawi" w:hAnsi="Mosawi" w:cs="Mosawi"/>
          <w:sz w:val="24"/>
          <w:szCs w:val="24"/>
          <w:rtl/>
        </w:rPr>
        <w:t>﴾</w:t>
      </w:r>
      <w:r w:rsidR="00B06F3D" w:rsidRPr="006571AC">
        <w:rPr>
          <w:sz w:val="27"/>
          <w:rtl/>
        </w:rPr>
        <w:t xml:space="preserve"> (القصص: 77)</w:t>
      </w:r>
      <w:r w:rsidR="00B06F3D" w:rsidRPr="006571AC">
        <w:rPr>
          <w:rFonts w:hint="cs"/>
          <w:sz w:val="27"/>
          <w:rtl/>
        </w:rPr>
        <w:t>.</w:t>
      </w:r>
    </w:p>
    <w:p w:rsidR="007C76F0" w:rsidRPr="006571AC" w:rsidRDefault="007C76F0" w:rsidP="00F22B89">
      <w:pPr>
        <w:rPr>
          <w:sz w:val="27"/>
          <w:rtl/>
        </w:rPr>
      </w:pPr>
      <w:r w:rsidRPr="006571AC">
        <w:rPr>
          <w:sz w:val="27"/>
          <w:rtl/>
        </w:rPr>
        <w:t>وورد عن الإمام موسى الكاظم</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اعْمَلْ لِدُنْيَاكَ</w:t>
      </w:r>
      <w:r w:rsidR="00B06F3D" w:rsidRPr="006571AC">
        <w:rPr>
          <w:sz w:val="27"/>
          <w:rtl/>
        </w:rPr>
        <w:t xml:space="preserve"> كَأَنَّكَ تَعِيشُ أَبَداً، وَا</w:t>
      </w:r>
      <w:r w:rsidRPr="006571AC">
        <w:rPr>
          <w:sz w:val="27"/>
          <w:rtl/>
        </w:rPr>
        <w:t>عْمَلْ لآِخِرَتِكَ كَأَنَّكَ تَمُوتُ غَداً</w:t>
      </w:r>
      <w:r w:rsidRPr="006571AC">
        <w:rPr>
          <w:rFonts w:hint="eastAsia"/>
          <w:sz w:val="24"/>
          <w:szCs w:val="24"/>
          <w:rtl/>
        </w:rPr>
        <w:t>»</w:t>
      </w:r>
      <w:r w:rsidRPr="006571AC">
        <w:rPr>
          <w:sz w:val="27"/>
          <w:vertAlign w:val="superscript"/>
          <w:rtl/>
        </w:rPr>
        <w:t>(</w:t>
      </w:r>
      <w:r w:rsidRPr="006571AC">
        <w:rPr>
          <w:sz w:val="27"/>
          <w:vertAlign w:val="superscript"/>
          <w:rtl/>
        </w:rPr>
        <w:endnoteReference w:id="117"/>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وحين نتحد</w:t>
      </w:r>
      <w:r w:rsidR="00B06F3D" w:rsidRPr="006571AC">
        <w:rPr>
          <w:rFonts w:hint="cs"/>
          <w:sz w:val="27"/>
          <w:rtl/>
        </w:rPr>
        <w:t>َّ</w:t>
      </w:r>
      <w:r w:rsidRPr="006571AC">
        <w:rPr>
          <w:sz w:val="27"/>
          <w:rtl/>
        </w:rPr>
        <w:t>ث عن حقوق الله على العباد ينبغي أ</w:t>
      </w:r>
      <w:r w:rsidR="00B06F3D" w:rsidRPr="006571AC">
        <w:rPr>
          <w:rFonts w:hint="cs"/>
          <w:sz w:val="27"/>
          <w:rtl/>
        </w:rPr>
        <w:t xml:space="preserve">ن </w:t>
      </w:r>
      <w:r w:rsidRPr="006571AC">
        <w:rPr>
          <w:sz w:val="27"/>
          <w:rtl/>
        </w:rPr>
        <w:t>لا نغفل حقوق الناس</w:t>
      </w:r>
      <w:r w:rsidR="00B06F3D" w:rsidRPr="006571AC">
        <w:rPr>
          <w:rFonts w:hint="cs"/>
          <w:sz w:val="27"/>
          <w:rtl/>
        </w:rPr>
        <w:t>؛</w:t>
      </w:r>
      <w:r w:rsidRPr="006571AC">
        <w:rPr>
          <w:sz w:val="27"/>
          <w:rtl/>
        </w:rPr>
        <w:t xml:space="preserve"> لأنها من الدين أيضاً، فهذا أمير المؤمنين علي</w:t>
      </w:r>
      <w:r w:rsidR="00B06F3D" w:rsidRPr="006571AC">
        <w:rPr>
          <w:rFonts w:hint="cs"/>
          <w:sz w:val="27"/>
          <w:rtl/>
        </w:rPr>
        <w:t>ّ</w:t>
      </w:r>
      <w:r w:rsidR="00DC3B12" w:rsidRPr="006571AC">
        <w:rPr>
          <w:rFonts w:ascii="Mosawi" w:hAnsi="Mosawi" w:cs="Mosawi"/>
          <w:sz w:val="22"/>
          <w:szCs w:val="22"/>
          <w:rtl/>
        </w:rPr>
        <w:t>×</w:t>
      </w:r>
      <w:r w:rsidRPr="006571AC">
        <w:rPr>
          <w:sz w:val="27"/>
          <w:rtl/>
        </w:rPr>
        <w:t xml:space="preserve"> يقول: </w:t>
      </w:r>
      <w:r w:rsidRPr="006571AC">
        <w:rPr>
          <w:rFonts w:hint="eastAsia"/>
          <w:sz w:val="24"/>
          <w:szCs w:val="24"/>
          <w:rtl/>
        </w:rPr>
        <w:t>«</w:t>
      </w:r>
      <w:r w:rsidRPr="006571AC">
        <w:rPr>
          <w:sz w:val="27"/>
          <w:rtl/>
        </w:rPr>
        <w:t>جَعَلَ الله سُبْحَانَهُ حُقُوقَ عِبَادِهِ مُقَدِّمَةً لِحُقُ</w:t>
      </w:r>
      <w:r w:rsidR="00B06F3D" w:rsidRPr="006571AC">
        <w:rPr>
          <w:sz w:val="27"/>
          <w:rtl/>
        </w:rPr>
        <w:t>وقِهِ، فَمَنْ قَامَ بِحُقُوقِ عب</w:t>
      </w:r>
      <w:r w:rsidRPr="006571AC">
        <w:rPr>
          <w:sz w:val="27"/>
          <w:rtl/>
        </w:rPr>
        <w:t>ادِ الله كَانَ ذَلِكَ مُؤَدِّياً إِلَى اَلْقِيَامِ بِحُقُوقِ الله</w:t>
      </w:r>
      <w:r w:rsidRPr="006571AC">
        <w:rPr>
          <w:rFonts w:hint="eastAsia"/>
          <w:sz w:val="24"/>
          <w:szCs w:val="24"/>
          <w:rtl/>
        </w:rPr>
        <w:t>»</w:t>
      </w:r>
      <w:r w:rsidRPr="006571AC">
        <w:rPr>
          <w:sz w:val="27"/>
          <w:vertAlign w:val="superscript"/>
          <w:rtl/>
        </w:rPr>
        <w:t>(</w:t>
      </w:r>
      <w:r w:rsidRPr="006571AC">
        <w:rPr>
          <w:sz w:val="27"/>
          <w:vertAlign w:val="superscript"/>
          <w:rtl/>
        </w:rPr>
        <w:endnoteReference w:id="118"/>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إن ديننا الحنيف شاملٌ لكلِّ </w:t>
      </w:r>
      <w:r w:rsidR="00B06F3D" w:rsidRPr="006571AC">
        <w:rPr>
          <w:rFonts w:hint="cs"/>
          <w:sz w:val="27"/>
          <w:rtl/>
        </w:rPr>
        <w:t>نواحي</w:t>
      </w:r>
      <w:r w:rsidRPr="006571AC">
        <w:rPr>
          <w:sz w:val="27"/>
          <w:rtl/>
        </w:rPr>
        <w:t xml:space="preserve"> الحياة بتوازن</w:t>
      </w:r>
      <w:r w:rsidR="00B06F3D" w:rsidRPr="006571AC">
        <w:rPr>
          <w:rFonts w:hint="cs"/>
          <w:sz w:val="27"/>
          <w:rtl/>
        </w:rPr>
        <w:t>ٍ</w:t>
      </w:r>
      <w:r w:rsidRPr="006571AC">
        <w:rPr>
          <w:sz w:val="27"/>
          <w:rtl/>
        </w:rPr>
        <w:t xml:space="preserve"> واعتدال</w:t>
      </w:r>
      <w:r w:rsidR="00B06F3D" w:rsidRPr="006571AC">
        <w:rPr>
          <w:rFonts w:hint="cs"/>
          <w:sz w:val="27"/>
          <w:rtl/>
        </w:rPr>
        <w:t>؛</w:t>
      </w:r>
      <w:r w:rsidRPr="006571AC">
        <w:rPr>
          <w:sz w:val="27"/>
          <w:rtl/>
        </w:rPr>
        <w:t xml:space="preserve"> </w:t>
      </w:r>
      <w:r w:rsidR="00B06F3D" w:rsidRPr="006571AC">
        <w:rPr>
          <w:rFonts w:hint="cs"/>
          <w:sz w:val="27"/>
          <w:rtl/>
        </w:rPr>
        <w:t>ف</w:t>
      </w:r>
      <w:r w:rsidRPr="006571AC">
        <w:rPr>
          <w:sz w:val="27"/>
          <w:rtl/>
        </w:rPr>
        <w:t>كما أك</w:t>
      </w:r>
      <w:r w:rsidR="00B06F3D" w:rsidRPr="006571AC">
        <w:rPr>
          <w:rFonts w:hint="cs"/>
          <w:sz w:val="27"/>
          <w:rtl/>
        </w:rPr>
        <w:t>َّ</w:t>
      </w:r>
      <w:r w:rsidRPr="006571AC">
        <w:rPr>
          <w:sz w:val="27"/>
          <w:rtl/>
        </w:rPr>
        <w:t>د على التوحيد لله تعالى أك</w:t>
      </w:r>
      <w:r w:rsidR="00B06F3D" w:rsidRPr="006571AC">
        <w:rPr>
          <w:rFonts w:hint="cs"/>
          <w:sz w:val="27"/>
          <w:rtl/>
        </w:rPr>
        <w:t>َّ</w:t>
      </w:r>
      <w:r w:rsidR="00B06F3D" w:rsidRPr="006571AC">
        <w:rPr>
          <w:sz w:val="27"/>
          <w:rtl/>
        </w:rPr>
        <w:t>د</w:t>
      </w:r>
      <w:r w:rsidRPr="006571AC">
        <w:rPr>
          <w:sz w:val="27"/>
          <w:rtl/>
        </w:rPr>
        <w:t xml:space="preserve"> على حر</w:t>
      </w:r>
      <w:r w:rsidR="00B06F3D" w:rsidRPr="006571AC">
        <w:rPr>
          <w:rFonts w:hint="cs"/>
          <w:sz w:val="27"/>
          <w:rtl/>
        </w:rPr>
        <w:t>ّ</w:t>
      </w:r>
      <w:r w:rsidRPr="006571AC">
        <w:rPr>
          <w:sz w:val="27"/>
          <w:rtl/>
        </w:rPr>
        <w:t>ية الإنسان، وحين فرض الجهاد وضع أساس السلم والسلام، وحين حثَّ على التبر</w:t>
      </w:r>
      <w:r w:rsidR="00B06F3D" w:rsidRPr="006571AC">
        <w:rPr>
          <w:rFonts w:hint="cs"/>
          <w:sz w:val="27"/>
          <w:rtl/>
        </w:rPr>
        <w:t>ّ</w:t>
      </w:r>
      <w:r w:rsidR="00B06F3D" w:rsidRPr="006571AC">
        <w:rPr>
          <w:sz w:val="27"/>
          <w:rtl/>
        </w:rPr>
        <w:t>ي من أعداء</w:t>
      </w:r>
      <w:r w:rsidRPr="006571AC">
        <w:rPr>
          <w:sz w:val="27"/>
          <w:rtl/>
        </w:rPr>
        <w:t xml:space="preserve"> الله وأعداء رسوله وأعداء أهل البيت حثَّ على حفظ وحدة الأم</w:t>
      </w:r>
      <w:r w:rsidR="00B06F3D" w:rsidRPr="006571AC">
        <w:rPr>
          <w:rFonts w:hint="cs"/>
          <w:sz w:val="27"/>
          <w:rtl/>
        </w:rPr>
        <w:t>ّ</w:t>
      </w:r>
      <w:r w:rsidRPr="006571AC">
        <w:rPr>
          <w:sz w:val="27"/>
          <w:rtl/>
        </w:rPr>
        <w:t>ة، وعلى التقيّة والمداراة والتعامل بع</w:t>
      </w:r>
      <w:r w:rsidR="004C78D2" w:rsidRPr="006571AC">
        <w:rPr>
          <w:rFonts w:hint="cs"/>
          <w:sz w:val="27"/>
          <w:rtl/>
        </w:rPr>
        <w:t>َ</w:t>
      </w:r>
      <w:r w:rsidRPr="006571AC">
        <w:rPr>
          <w:sz w:val="27"/>
          <w:rtl/>
        </w:rPr>
        <w:t>د</w:t>
      </w:r>
      <w:r w:rsidR="004C78D2" w:rsidRPr="006571AC">
        <w:rPr>
          <w:rFonts w:hint="cs"/>
          <w:sz w:val="27"/>
          <w:rtl/>
        </w:rPr>
        <w:t>ْ</w:t>
      </w:r>
      <w:r w:rsidRPr="006571AC">
        <w:rPr>
          <w:sz w:val="27"/>
          <w:rtl/>
        </w:rPr>
        <w:t>ل</w:t>
      </w:r>
      <w:r w:rsidR="004C78D2" w:rsidRPr="006571AC">
        <w:rPr>
          <w:rFonts w:hint="cs"/>
          <w:sz w:val="27"/>
          <w:rtl/>
        </w:rPr>
        <w:t>ٍ</w:t>
      </w:r>
      <w:r w:rsidRPr="006571AC">
        <w:rPr>
          <w:sz w:val="27"/>
          <w:rtl/>
        </w:rPr>
        <w:t xml:space="preserve"> وإحسان</w:t>
      </w:r>
      <w:r w:rsidR="004C78D2" w:rsidRPr="006571AC">
        <w:rPr>
          <w:rFonts w:hint="cs"/>
          <w:sz w:val="27"/>
          <w:rtl/>
        </w:rPr>
        <w:t>ٍ</w:t>
      </w:r>
      <w:r w:rsidRPr="006571AC">
        <w:rPr>
          <w:sz w:val="27"/>
          <w:rtl/>
        </w:rPr>
        <w:t xml:space="preserve"> مع الآخرين، وكما أك</w:t>
      </w:r>
      <w:r w:rsidR="004C78D2" w:rsidRPr="006571AC">
        <w:rPr>
          <w:rFonts w:hint="cs"/>
          <w:sz w:val="27"/>
          <w:rtl/>
        </w:rPr>
        <w:t>َّ</w:t>
      </w:r>
      <w:r w:rsidR="004C78D2" w:rsidRPr="006571AC">
        <w:rPr>
          <w:sz w:val="27"/>
          <w:rtl/>
        </w:rPr>
        <w:t>د</w:t>
      </w:r>
      <w:r w:rsidRPr="006571AC">
        <w:rPr>
          <w:sz w:val="27"/>
          <w:rtl/>
        </w:rPr>
        <w:t xml:space="preserve"> على الاهتمام بالآخرة فقد أك</w:t>
      </w:r>
      <w:r w:rsidR="004C78D2" w:rsidRPr="006571AC">
        <w:rPr>
          <w:rFonts w:hint="cs"/>
          <w:sz w:val="27"/>
          <w:rtl/>
        </w:rPr>
        <w:t>َّ</w:t>
      </w:r>
      <w:r w:rsidRPr="006571AC">
        <w:rPr>
          <w:sz w:val="27"/>
          <w:rtl/>
        </w:rPr>
        <w:t xml:space="preserve">د على إصلاح شؤون الدنيا. </w:t>
      </w:r>
    </w:p>
    <w:p w:rsidR="007C76F0" w:rsidRPr="006571AC" w:rsidRDefault="007C76F0" w:rsidP="00F22B89">
      <w:pPr>
        <w:rPr>
          <w:sz w:val="27"/>
          <w:rtl/>
        </w:rPr>
      </w:pPr>
      <w:r w:rsidRPr="006571AC">
        <w:rPr>
          <w:sz w:val="27"/>
          <w:rtl/>
        </w:rPr>
        <w:t>لذا ينبغي على الخطاب الديني التركيز على المواضيع التي ترتقي بحياة الناس، ومن ذلك التركيز على طلب العلم والمعرفة، فأو</w:t>
      </w:r>
      <w:r w:rsidR="004C78D2" w:rsidRPr="006571AC">
        <w:rPr>
          <w:rFonts w:hint="cs"/>
          <w:sz w:val="27"/>
          <w:rtl/>
        </w:rPr>
        <w:t>ّ</w:t>
      </w:r>
      <w:r w:rsidRPr="006571AC">
        <w:rPr>
          <w:sz w:val="27"/>
          <w:rtl/>
        </w:rPr>
        <w:t>ل ما نزل من القرآن ليس الأمر بالصلاة أو الصوم أو الحج</w:t>
      </w:r>
      <w:r w:rsidR="004C78D2" w:rsidRPr="006571AC">
        <w:rPr>
          <w:rFonts w:hint="cs"/>
          <w:sz w:val="27"/>
          <w:rtl/>
        </w:rPr>
        <w:t>ّ</w:t>
      </w:r>
      <w:r w:rsidRPr="006571AC">
        <w:rPr>
          <w:sz w:val="27"/>
          <w:rtl/>
        </w:rPr>
        <w:t xml:space="preserve">، بل الأمر بالمعرفة، في قوله تعالى: </w:t>
      </w:r>
      <w:r w:rsidRPr="006571AC">
        <w:rPr>
          <w:rFonts w:ascii="Mosawi" w:hAnsi="Mosawi" w:cs="Mosawi"/>
          <w:sz w:val="24"/>
          <w:szCs w:val="24"/>
          <w:rtl/>
        </w:rPr>
        <w:t>﴿</w:t>
      </w:r>
      <w:r w:rsidRPr="006571AC">
        <w:rPr>
          <w:b/>
          <w:bCs/>
          <w:sz w:val="27"/>
          <w:rtl/>
        </w:rPr>
        <w:t>اقْرَأْ بِاسْمِ رَبِّكَ الَّذِي خَلَقَ</w:t>
      </w:r>
      <w:r w:rsidRPr="006571AC">
        <w:rPr>
          <w:rFonts w:ascii="Mosawi" w:hAnsi="Mosawi" w:cs="Mosawi"/>
          <w:sz w:val="24"/>
          <w:szCs w:val="24"/>
          <w:rtl/>
        </w:rPr>
        <w:t>﴾</w:t>
      </w:r>
      <w:r w:rsidRPr="006571AC">
        <w:rPr>
          <w:sz w:val="27"/>
          <w:rtl/>
        </w:rPr>
        <w:t xml:space="preserve"> (العلق: 1)، فالمعرفة هي الأساس</w:t>
      </w:r>
      <w:r w:rsidR="004C78D2" w:rsidRPr="006571AC">
        <w:rPr>
          <w:rFonts w:hint="cs"/>
          <w:sz w:val="27"/>
          <w:rtl/>
        </w:rPr>
        <w:t>،</w:t>
      </w:r>
      <w:r w:rsidRPr="006571AC">
        <w:rPr>
          <w:sz w:val="27"/>
          <w:rtl/>
        </w:rPr>
        <w:t xml:space="preserve"> ويجب التركيز عليها قبل التركيز على العبادة. </w:t>
      </w:r>
    </w:p>
    <w:p w:rsidR="007C76F0" w:rsidRPr="006571AC" w:rsidRDefault="007C76F0" w:rsidP="00F22B89">
      <w:pPr>
        <w:rPr>
          <w:sz w:val="27"/>
          <w:rtl/>
        </w:rPr>
      </w:pPr>
      <w:r w:rsidRPr="006571AC">
        <w:rPr>
          <w:sz w:val="27"/>
          <w:rtl/>
        </w:rPr>
        <w:t>ونسوق هنا مثالاً: ما نقله الشيخ عباس القم</w:t>
      </w:r>
      <w:r w:rsidR="004C78D2" w:rsidRPr="006571AC">
        <w:rPr>
          <w:rFonts w:hint="cs"/>
          <w:sz w:val="27"/>
          <w:rtl/>
        </w:rPr>
        <w:t>ّ</w:t>
      </w:r>
      <w:r w:rsidRPr="006571AC">
        <w:rPr>
          <w:sz w:val="27"/>
          <w:rtl/>
        </w:rPr>
        <w:t>ي في كتابه (مفاتيح الجنان) عن أفضلية التفكير وطلب العلم في ليلة القدر على سائر الأعمال العبادية المستحب</w:t>
      </w:r>
      <w:r w:rsidR="004C78D2" w:rsidRPr="006571AC">
        <w:rPr>
          <w:rFonts w:hint="cs"/>
          <w:sz w:val="27"/>
          <w:rtl/>
        </w:rPr>
        <w:t>ّ</w:t>
      </w:r>
      <w:r w:rsidR="004C78D2" w:rsidRPr="006571AC">
        <w:rPr>
          <w:sz w:val="27"/>
          <w:rtl/>
        </w:rPr>
        <w:t>ة، وينقل ذلك عن الشيخ الصد</w:t>
      </w:r>
      <w:r w:rsidRPr="006571AC">
        <w:rPr>
          <w:sz w:val="27"/>
          <w:rtl/>
        </w:rPr>
        <w:t>وق</w:t>
      </w:r>
      <w:r w:rsidR="004C78D2" w:rsidRPr="006571AC">
        <w:rPr>
          <w:rFonts w:hint="cs"/>
          <w:sz w:val="27"/>
          <w:rtl/>
        </w:rPr>
        <w:t>،</w:t>
      </w:r>
      <w:r w:rsidRPr="006571AC">
        <w:rPr>
          <w:sz w:val="27"/>
          <w:rtl/>
        </w:rPr>
        <w:t xml:space="preserve"> ففي آخر حديثه عن الصلوات والأدعية الواردة في أعمال ليلة الحادي والعشرين من شهر رمضان</w:t>
      </w:r>
      <w:r w:rsidR="004C78D2" w:rsidRPr="006571AC">
        <w:rPr>
          <w:rFonts w:hint="cs"/>
          <w:sz w:val="27"/>
          <w:rtl/>
        </w:rPr>
        <w:t>،</w:t>
      </w:r>
      <w:r w:rsidRPr="006571AC">
        <w:rPr>
          <w:sz w:val="27"/>
          <w:rtl/>
        </w:rPr>
        <w:t xml:space="preserve"> وهي الليلة الثانية من ليالي القدر، يقول: </w:t>
      </w:r>
      <w:r w:rsidRPr="006571AC">
        <w:rPr>
          <w:rFonts w:hint="eastAsia"/>
          <w:sz w:val="24"/>
          <w:szCs w:val="24"/>
          <w:rtl/>
        </w:rPr>
        <w:t>«</w:t>
      </w:r>
      <w:r w:rsidR="004C78D2" w:rsidRPr="006571AC">
        <w:rPr>
          <w:sz w:val="27"/>
          <w:rtl/>
        </w:rPr>
        <w:t>وقد قال شيخنا الصد</w:t>
      </w:r>
      <w:r w:rsidRPr="006571AC">
        <w:rPr>
          <w:sz w:val="27"/>
          <w:rtl/>
        </w:rPr>
        <w:t>وق</w:t>
      </w:r>
      <w:r w:rsidR="004C78D2" w:rsidRPr="006571AC">
        <w:rPr>
          <w:rFonts w:hint="cs"/>
          <w:sz w:val="27"/>
          <w:rtl/>
        </w:rPr>
        <w:t>:</w:t>
      </w:r>
      <w:r w:rsidRPr="006571AC">
        <w:rPr>
          <w:sz w:val="27"/>
          <w:rtl/>
        </w:rPr>
        <w:t xml:space="preserve"> إن إحياء هاتين الليلتين ـ واحد وعشرين وثلاثة وعشرين ـ بمذاكرة العلم أفضل من كل</w:t>
      </w:r>
      <w:r w:rsidR="004C78D2" w:rsidRPr="006571AC">
        <w:rPr>
          <w:rFonts w:hint="cs"/>
          <w:sz w:val="27"/>
          <w:rtl/>
        </w:rPr>
        <w:t>ّ</w:t>
      </w:r>
      <w:r w:rsidRPr="006571AC">
        <w:rPr>
          <w:sz w:val="27"/>
          <w:rtl/>
        </w:rPr>
        <w:t xml:space="preserve"> ذلك</w:t>
      </w:r>
      <w:r w:rsidRPr="006571AC">
        <w:rPr>
          <w:rFonts w:hint="eastAsia"/>
          <w:sz w:val="24"/>
          <w:szCs w:val="24"/>
          <w:rtl/>
        </w:rPr>
        <w:t>»</w:t>
      </w:r>
      <w:r w:rsidRPr="006571AC">
        <w:rPr>
          <w:sz w:val="27"/>
          <w:vertAlign w:val="superscript"/>
          <w:rtl/>
        </w:rPr>
        <w:t>(</w:t>
      </w:r>
      <w:r w:rsidRPr="006571AC">
        <w:rPr>
          <w:sz w:val="27"/>
          <w:vertAlign w:val="superscript"/>
          <w:rtl/>
        </w:rPr>
        <w:endnoteReference w:id="119"/>
      </w:r>
      <w:r w:rsidRPr="006571AC">
        <w:rPr>
          <w:sz w:val="27"/>
          <w:vertAlign w:val="superscript"/>
          <w:rtl/>
        </w:rPr>
        <w:t>)</w:t>
      </w:r>
      <w:r w:rsidRPr="006571AC">
        <w:rPr>
          <w:sz w:val="27"/>
          <w:rtl/>
        </w:rPr>
        <w:t xml:space="preserve">. </w:t>
      </w:r>
    </w:p>
    <w:p w:rsidR="007C76F0" w:rsidRPr="006571AC" w:rsidRDefault="007C76F0" w:rsidP="00F22B89">
      <w:pPr>
        <w:rPr>
          <w:sz w:val="27"/>
        </w:rPr>
      </w:pPr>
      <w:r w:rsidRPr="006571AC">
        <w:rPr>
          <w:sz w:val="27"/>
          <w:rtl/>
        </w:rPr>
        <w:t>ومثالٌ آخر: ما جاء في الحديث عن صلاة ليلة الدفن</w:t>
      </w:r>
      <w:r w:rsidR="004C78D2" w:rsidRPr="006571AC">
        <w:rPr>
          <w:rFonts w:hint="cs"/>
          <w:sz w:val="27"/>
          <w:rtl/>
        </w:rPr>
        <w:t>،</w:t>
      </w:r>
      <w:r w:rsidRPr="006571AC">
        <w:rPr>
          <w:sz w:val="27"/>
          <w:rtl/>
        </w:rPr>
        <w:t xml:space="preserve"> في العروة الوثقى</w:t>
      </w:r>
      <w:r w:rsidR="004C78D2" w:rsidRPr="006571AC">
        <w:rPr>
          <w:rFonts w:hint="cs"/>
          <w:sz w:val="27"/>
          <w:rtl/>
        </w:rPr>
        <w:t>،</w:t>
      </w:r>
      <w:r w:rsidRPr="006571AC">
        <w:rPr>
          <w:sz w:val="27"/>
          <w:rtl/>
        </w:rPr>
        <w:t xml:space="preserve"> حيث نقل الحديث المروي</w:t>
      </w:r>
      <w:r w:rsidR="004C78D2" w:rsidRPr="006571AC">
        <w:rPr>
          <w:rFonts w:hint="cs"/>
          <w:sz w:val="27"/>
          <w:rtl/>
        </w:rPr>
        <w:t>ّ</w:t>
      </w:r>
      <w:r w:rsidRPr="006571AC">
        <w:rPr>
          <w:sz w:val="27"/>
          <w:rtl/>
        </w:rPr>
        <w:t xml:space="preserve"> عن رسول الله</w:t>
      </w:r>
      <w:r w:rsidR="00791067"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لا يأتي على الميت أشدّ من أو</w:t>
      </w:r>
      <w:r w:rsidR="004C78D2" w:rsidRPr="006571AC">
        <w:rPr>
          <w:rFonts w:hint="cs"/>
          <w:sz w:val="27"/>
          <w:rtl/>
        </w:rPr>
        <w:t>ّ</w:t>
      </w:r>
      <w:r w:rsidRPr="006571AC">
        <w:rPr>
          <w:sz w:val="27"/>
          <w:rtl/>
        </w:rPr>
        <w:t>ل ليلة</w:t>
      </w:r>
      <w:r w:rsidR="004C78D2" w:rsidRPr="006571AC">
        <w:rPr>
          <w:rFonts w:hint="cs"/>
          <w:sz w:val="27"/>
          <w:rtl/>
        </w:rPr>
        <w:t>ٍ،</w:t>
      </w:r>
      <w:r w:rsidRPr="006571AC">
        <w:rPr>
          <w:sz w:val="27"/>
          <w:rtl/>
        </w:rPr>
        <w:t xml:space="preserve"> فارحموا </w:t>
      </w:r>
      <w:r w:rsidRPr="006571AC">
        <w:rPr>
          <w:sz w:val="27"/>
          <w:rtl/>
        </w:rPr>
        <w:lastRenderedPageBreak/>
        <w:t>موتاكم بالصدقة، فإن</w:t>
      </w:r>
      <w:r w:rsidR="004C78D2" w:rsidRPr="006571AC">
        <w:rPr>
          <w:rFonts w:hint="cs"/>
          <w:sz w:val="27"/>
          <w:rtl/>
        </w:rPr>
        <w:t>ْ</w:t>
      </w:r>
      <w:r w:rsidRPr="006571AC">
        <w:rPr>
          <w:sz w:val="27"/>
          <w:rtl/>
        </w:rPr>
        <w:t xml:space="preserve"> لم تجدوا فليصل</w:t>
      </w:r>
      <w:r w:rsidR="004C78D2" w:rsidRPr="006571AC">
        <w:rPr>
          <w:rFonts w:hint="cs"/>
          <w:sz w:val="27"/>
          <w:rtl/>
        </w:rPr>
        <w:t>ٍّ</w:t>
      </w:r>
      <w:r w:rsidRPr="006571AC">
        <w:rPr>
          <w:sz w:val="27"/>
          <w:rtl/>
        </w:rPr>
        <w:t xml:space="preserve"> أحدكم</w:t>
      </w:r>
      <w:r w:rsidR="004C78D2" w:rsidRPr="006571AC">
        <w:rPr>
          <w:rFonts w:hint="cs"/>
          <w:sz w:val="27"/>
          <w:rtl/>
        </w:rPr>
        <w:t xml:space="preserve"> ركعتين،</w:t>
      </w:r>
      <w:r w:rsidRPr="006571AC">
        <w:rPr>
          <w:sz w:val="27"/>
          <w:rtl/>
        </w:rPr>
        <w:t xml:space="preserve"> يقرأ في الأولى الحمد وآية الكرسي، وفي الثانية الحمد والقدر عشراً</w:t>
      </w:r>
      <w:r w:rsidRPr="006571AC">
        <w:rPr>
          <w:rFonts w:hint="eastAsia"/>
          <w:sz w:val="24"/>
          <w:szCs w:val="24"/>
          <w:rtl/>
        </w:rPr>
        <w:t>»</w:t>
      </w:r>
      <w:r w:rsidRPr="006571AC">
        <w:rPr>
          <w:sz w:val="27"/>
          <w:rtl/>
        </w:rPr>
        <w:t>، ثم عقّ</w:t>
      </w:r>
      <w:r w:rsidR="004C78D2" w:rsidRPr="006571AC">
        <w:rPr>
          <w:rFonts w:hint="cs"/>
          <w:sz w:val="27"/>
          <w:rtl/>
        </w:rPr>
        <w:t>َ</w:t>
      </w:r>
      <w:r w:rsidRPr="006571AC">
        <w:rPr>
          <w:sz w:val="27"/>
          <w:rtl/>
        </w:rPr>
        <w:t xml:space="preserve">ب السيد اليزدي بقوله: </w:t>
      </w:r>
      <w:r w:rsidRPr="006571AC">
        <w:rPr>
          <w:rFonts w:hint="eastAsia"/>
          <w:sz w:val="24"/>
          <w:szCs w:val="24"/>
          <w:rtl/>
        </w:rPr>
        <w:t>«</w:t>
      </w:r>
      <w:r w:rsidRPr="006571AC">
        <w:rPr>
          <w:sz w:val="27"/>
          <w:rtl/>
        </w:rPr>
        <w:t>ومقتضى هذه الرواية أن الصلاة بعد عدم وجدان ما يتصد</w:t>
      </w:r>
      <w:r w:rsidR="004C78D2" w:rsidRPr="006571AC">
        <w:rPr>
          <w:rFonts w:hint="cs"/>
          <w:sz w:val="27"/>
          <w:rtl/>
        </w:rPr>
        <w:t>َّ</w:t>
      </w:r>
      <w:r w:rsidRPr="006571AC">
        <w:rPr>
          <w:sz w:val="27"/>
          <w:rtl/>
        </w:rPr>
        <w:t>ق به</w:t>
      </w:r>
      <w:r w:rsidRPr="006571AC">
        <w:rPr>
          <w:rFonts w:hint="eastAsia"/>
          <w:sz w:val="24"/>
          <w:szCs w:val="24"/>
          <w:rtl/>
        </w:rPr>
        <w:t>»</w:t>
      </w:r>
      <w:r w:rsidRPr="006571AC">
        <w:rPr>
          <w:sz w:val="27"/>
          <w:vertAlign w:val="superscript"/>
          <w:rtl/>
        </w:rPr>
        <w:t>(</w:t>
      </w:r>
      <w:r w:rsidRPr="006571AC">
        <w:rPr>
          <w:sz w:val="27"/>
          <w:vertAlign w:val="superscript"/>
          <w:rtl/>
        </w:rPr>
        <w:endnoteReference w:id="120"/>
      </w:r>
      <w:r w:rsidRPr="006571AC">
        <w:rPr>
          <w:sz w:val="27"/>
          <w:vertAlign w:val="superscript"/>
          <w:rtl/>
        </w:rPr>
        <w:t>)</w:t>
      </w:r>
      <w:r w:rsidRPr="006571AC">
        <w:rPr>
          <w:sz w:val="27"/>
          <w:rtl/>
        </w:rPr>
        <w:t xml:space="preserve">، والشاهد هنا أولوية العطاء والصدقة، والاهتمام بحاجات الناس. </w:t>
      </w:r>
    </w:p>
    <w:p w:rsidR="007C76F0" w:rsidRPr="006571AC" w:rsidRDefault="007C76F0" w:rsidP="00F22B89">
      <w:pPr>
        <w:rPr>
          <w:sz w:val="27"/>
          <w:rtl/>
        </w:rPr>
      </w:pPr>
      <w:r w:rsidRPr="006571AC">
        <w:rPr>
          <w:sz w:val="27"/>
          <w:rtl/>
        </w:rPr>
        <w:t>ومهم</w:t>
      </w:r>
      <w:r w:rsidR="004C78D2" w:rsidRPr="006571AC">
        <w:rPr>
          <w:rFonts w:hint="cs"/>
          <w:sz w:val="27"/>
          <w:rtl/>
        </w:rPr>
        <w:t>ٌّ</w:t>
      </w:r>
      <w:r w:rsidRPr="006571AC">
        <w:rPr>
          <w:sz w:val="27"/>
          <w:rtl/>
        </w:rPr>
        <w:t xml:space="preserve"> جدّاً التركيز على هذه التوج</w:t>
      </w:r>
      <w:r w:rsidR="004C78D2" w:rsidRPr="006571AC">
        <w:rPr>
          <w:rFonts w:hint="cs"/>
          <w:sz w:val="27"/>
          <w:rtl/>
        </w:rPr>
        <w:t>ُّ</w:t>
      </w:r>
      <w:r w:rsidRPr="006571AC">
        <w:rPr>
          <w:sz w:val="27"/>
          <w:rtl/>
        </w:rPr>
        <w:t xml:space="preserve">هات، وعلى النخب في المجتمع أن تساعد في ترشيد وتطوير الخطاب الديني، وعلى الجمهور التفاعل مع الخطاب التوعوي التنويري. </w:t>
      </w:r>
    </w:p>
    <w:p w:rsidR="007C76F0" w:rsidRPr="006571AC" w:rsidRDefault="007C76F0" w:rsidP="00457526">
      <w:pPr>
        <w:rPr>
          <w:sz w:val="27"/>
          <w:rtl/>
        </w:rPr>
      </w:pPr>
      <w:r w:rsidRPr="006571AC">
        <w:rPr>
          <w:sz w:val="27"/>
          <w:rtl/>
        </w:rPr>
        <w:t>وفي بعض الأحيان لا يميل مزاج الجمهور إلى الخطاب الإصلاحي التغييري، ويراه ثقيلاً عليه</w:t>
      </w:r>
      <w:r w:rsidR="004C78D2" w:rsidRPr="006571AC">
        <w:rPr>
          <w:rFonts w:hint="cs"/>
          <w:sz w:val="27"/>
          <w:rtl/>
        </w:rPr>
        <w:t>؛</w:t>
      </w:r>
      <w:r w:rsidRPr="006571AC">
        <w:rPr>
          <w:sz w:val="27"/>
          <w:rtl/>
        </w:rPr>
        <w:t xml:space="preserve"> لتذكيره بالمسؤوليات الاجتماعية، فيبحث هذا الجمهور عن خطاب</w:t>
      </w:r>
      <w:r w:rsidR="004C78D2" w:rsidRPr="006571AC">
        <w:rPr>
          <w:rFonts w:hint="cs"/>
          <w:sz w:val="27"/>
          <w:rtl/>
        </w:rPr>
        <w:t>ٍ</w:t>
      </w:r>
      <w:r w:rsidRPr="006571AC">
        <w:rPr>
          <w:sz w:val="27"/>
          <w:rtl/>
        </w:rPr>
        <w:t xml:space="preserve"> يدغدغ عواطفه، ويسلّ</w:t>
      </w:r>
      <w:r w:rsidR="004C78D2" w:rsidRPr="006571AC">
        <w:rPr>
          <w:rFonts w:hint="cs"/>
          <w:sz w:val="27"/>
          <w:rtl/>
        </w:rPr>
        <w:t>ِ</w:t>
      </w:r>
      <w:r w:rsidRPr="006571AC">
        <w:rPr>
          <w:sz w:val="27"/>
          <w:rtl/>
        </w:rPr>
        <w:t>يه بقصص التاريخ الماضي، لكن</w:t>
      </w:r>
      <w:r w:rsidR="004C78D2" w:rsidRPr="006571AC">
        <w:rPr>
          <w:rFonts w:hint="cs"/>
          <w:sz w:val="27"/>
          <w:rtl/>
        </w:rPr>
        <w:t>ْ</w:t>
      </w:r>
      <w:r w:rsidRPr="006571AC">
        <w:rPr>
          <w:sz w:val="27"/>
          <w:rtl/>
        </w:rPr>
        <w:t xml:space="preserve"> في المقا</w:t>
      </w:r>
      <w:r w:rsidR="004C78D2" w:rsidRPr="006571AC">
        <w:rPr>
          <w:sz w:val="27"/>
          <w:rtl/>
        </w:rPr>
        <w:t xml:space="preserve">بل تفيدنا التجارب المعاصرة أن </w:t>
      </w:r>
      <w:r w:rsidR="00457526" w:rsidRPr="006571AC">
        <w:rPr>
          <w:rFonts w:hint="cs"/>
          <w:sz w:val="27"/>
          <w:rtl/>
        </w:rPr>
        <w:t>بعض</w:t>
      </w:r>
      <w:r w:rsidRPr="006571AC">
        <w:rPr>
          <w:sz w:val="27"/>
          <w:rtl/>
        </w:rPr>
        <w:t xml:space="preserve"> العلماء استطاعوا بخطابهم الديني الواعي أن يغي</w:t>
      </w:r>
      <w:r w:rsidR="004C78D2" w:rsidRPr="006571AC">
        <w:rPr>
          <w:rFonts w:hint="cs"/>
          <w:sz w:val="27"/>
          <w:rtl/>
        </w:rPr>
        <w:t>ِّ</w:t>
      </w:r>
      <w:r w:rsidRPr="006571AC">
        <w:rPr>
          <w:sz w:val="27"/>
          <w:rtl/>
        </w:rPr>
        <w:t>روا حياة مجتمعاتهم، وأن يوج</w:t>
      </w:r>
      <w:r w:rsidR="004C78D2" w:rsidRPr="006571AC">
        <w:rPr>
          <w:rFonts w:hint="cs"/>
          <w:sz w:val="27"/>
          <w:rtl/>
        </w:rPr>
        <w:t>ِّ</w:t>
      </w:r>
      <w:r w:rsidRPr="006571AC">
        <w:rPr>
          <w:sz w:val="27"/>
          <w:rtl/>
        </w:rPr>
        <w:t xml:space="preserve">هوهم </w:t>
      </w:r>
      <w:r w:rsidR="004C78D2" w:rsidRPr="006571AC">
        <w:rPr>
          <w:rFonts w:hint="cs"/>
          <w:sz w:val="27"/>
          <w:rtl/>
        </w:rPr>
        <w:t>إلى ا</w:t>
      </w:r>
      <w:r w:rsidRPr="006571AC">
        <w:rPr>
          <w:sz w:val="27"/>
          <w:rtl/>
        </w:rPr>
        <w:t>لاهتمام بطلب العلم والمعرفة، ومضاعفة الفاعلية وال</w:t>
      </w:r>
      <w:r w:rsidR="004C78D2" w:rsidRPr="006571AC">
        <w:rPr>
          <w:rFonts w:hint="cs"/>
          <w:sz w:val="27"/>
          <w:rtl/>
        </w:rPr>
        <w:t>إ</w:t>
      </w:r>
      <w:r w:rsidRPr="006571AC">
        <w:rPr>
          <w:sz w:val="27"/>
          <w:rtl/>
        </w:rPr>
        <w:t>نجاز، والس</w:t>
      </w:r>
      <w:r w:rsidR="004C78D2" w:rsidRPr="006571AC">
        <w:rPr>
          <w:rFonts w:hint="cs"/>
          <w:sz w:val="27"/>
          <w:rtl/>
        </w:rPr>
        <w:t>َّ</w:t>
      </w:r>
      <w:r w:rsidRPr="006571AC">
        <w:rPr>
          <w:sz w:val="27"/>
          <w:rtl/>
        </w:rPr>
        <w:t>ي</w:t>
      </w:r>
      <w:r w:rsidR="004C78D2" w:rsidRPr="006571AC">
        <w:rPr>
          <w:rFonts w:hint="cs"/>
          <w:sz w:val="27"/>
          <w:rtl/>
        </w:rPr>
        <w:t>ْ</w:t>
      </w:r>
      <w:r w:rsidRPr="006571AC">
        <w:rPr>
          <w:sz w:val="27"/>
          <w:rtl/>
        </w:rPr>
        <w:t>ر في طريق التنمية والتقد</w:t>
      </w:r>
      <w:r w:rsidR="004C78D2" w:rsidRPr="006571AC">
        <w:rPr>
          <w:rFonts w:hint="cs"/>
          <w:sz w:val="27"/>
          <w:rtl/>
        </w:rPr>
        <w:t>ُّ</w:t>
      </w:r>
      <w:r w:rsidRPr="006571AC">
        <w:rPr>
          <w:sz w:val="27"/>
          <w:rtl/>
        </w:rPr>
        <w:t xml:space="preserve">م. </w:t>
      </w:r>
    </w:p>
    <w:p w:rsidR="002C27BC" w:rsidRPr="006571AC" w:rsidRDefault="002C27BC" w:rsidP="002C27BC">
      <w:pPr>
        <w:spacing w:line="420" w:lineRule="exact"/>
        <w:rPr>
          <w:sz w:val="27"/>
          <w:rtl/>
        </w:rPr>
      </w:pPr>
    </w:p>
    <w:p w:rsidR="007C76F0" w:rsidRPr="006571AC" w:rsidRDefault="007C76F0" w:rsidP="006C79DA">
      <w:pPr>
        <w:pStyle w:val="31"/>
        <w:rPr>
          <w:color w:val="auto"/>
          <w:rtl/>
        </w:rPr>
      </w:pPr>
      <w:bookmarkStart w:id="62" w:name="_Toc114164551"/>
      <w:r w:rsidRPr="006571AC">
        <w:rPr>
          <w:color w:val="auto"/>
          <w:rtl/>
        </w:rPr>
        <w:t>اتجاه</w:t>
      </w:r>
      <w:r w:rsidR="004C78D2" w:rsidRPr="006571AC">
        <w:rPr>
          <w:rFonts w:hint="cs"/>
          <w:color w:val="auto"/>
          <w:rtl/>
        </w:rPr>
        <w:t>ٌ</w:t>
      </w:r>
      <w:r w:rsidRPr="006571AC">
        <w:rPr>
          <w:color w:val="auto"/>
          <w:rtl/>
        </w:rPr>
        <w:t xml:space="preserve"> طقوسي</w:t>
      </w:r>
      <w:bookmarkEnd w:id="62"/>
    </w:p>
    <w:p w:rsidR="007C76F0" w:rsidRPr="006571AC" w:rsidRDefault="007C76F0" w:rsidP="00F22B89">
      <w:pPr>
        <w:rPr>
          <w:sz w:val="27"/>
        </w:rPr>
      </w:pPr>
      <w:r w:rsidRPr="006571AC">
        <w:rPr>
          <w:sz w:val="27"/>
          <w:rtl/>
        </w:rPr>
        <w:t>يتعاطى البعض مع الخطاب الديني كط</w:t>
      </w:r>
      <w:r w:rsidR="005C3176" w:rsidRPr="006571AC">
        <w:rPr>
          <w:rFonts w:hint="cs"/>
          <w:sz w:val="27"/>
          <w:rtl/>
        </w:rPr>
        <w:t>َ</w:t>
      </w:r>
      <w:r w:rsidRPr="006571AC">
        <w:rPr>
          <w:sz w:val="27"/>
          <w:rtl/>
        </w:rPr>
        <w:t>ق</w:t>
      </w:r>
      <w:r w:rsidR="005C3176" w:rsidRPr="006571AC">
        <w:rPr>
          <w:rFonts w:hint="cs"/>
          <w:sz w:val="27"/>
          <w:rtl/>
        </w:rPr>
        <w:t>ْ</w:t>
      </w:r>
      <w:r w:rsidR="005C3176" w:rsidRPr="006571AC">
        <w:rPr>
          <w:sz w:val="27"/>
          <w:rtl/>
        </w:rPr>
        <w:t>س و</w:t>
      </w:r>
      <w:r w:rsidRPr="006571AC">
        <w:rPr>
          <w:sz w:val="27"/>
          <w:rtl/>
        </w:rPr>
        <w:t xml:space="preserve">(بروتوكول) في المناسبات الدينية. </w:t>
      </w:r>
    </w:p>
    <w:p w:rsidR="007C76F0" w:rsidRPr="006571AC" w:rsidRDefault="007C76F0" w:rsidP="00F22B89">
      <w:pPr>
        <w:rPr>
          <w:sz w:val="27"/>
          <w:rtl/>
        </w:rPr>
      </w:pPr>
      <w:r w:rsidRPr="006571AC">
        <w:rPr>
          <w:sz w:val="27"/>
          <w:rtl/>
        </w:rPr>
        <w:t>والطقس الديني: مصطلح</w:t>
      </w:r>
      <w:r w:rsidR="005C3176" w:rsidRPr="006571AC">
        <w:rPr>
          <w:rFonts w:hint="cs"/>
          <w:sz w:val="27"/>
          <w:rtl/>
        </w:rPr>
        <w:t>ٌ</w:t>
      </w:r>
      <w:r w:rsidRPr="006571AC">
        <w:rPr>
          <w:sz w:val="27"/>
          <w:rtl/>
        </w:rPr>
        <w:t xml:space="preserve"> ي</w:t>
      </w:r>
      <w:r w:rsidR="005C3176" w:rsidRPr="006571AC">
        <w:rPr>
          <w:rFonts w:hint="cs"/>
          <w:sz w:val="27"/>
          <w:rtl/>
        </w:rPr>
        <w:t>ُ</w:t>
      </w:r>
      <w:r w:rsidRPr="006571AC">
        <w:rPr>
          <w:sz w:val="27"/>
          <w:rtl/>
        </w:rPr>
        <w:t>ط</w:t>
      </w:r>
      <w:r w:rsidR="005C3176" w:rsidRPr="006571AC">
        <w:rPr>
          <w:rFonts w:hint="cs"/>
          <w:sz w:val="27"/>
          <w:rtl/>
        </w:rPr>
        <w:t>ْ</w:t>
      </w:r>
      <w:r w:rsidRPr="006571AC">
        <w:rPr>
          <w:sz w:val="27"/>
          <w:rtl/>
        </w:rPr>
        <w:t>ل</w:t>
      </w:r>
      <w:r w:rsidR="005C3176" w:rsidRPr="006571AC">
        <w:rPr>
          <w:rFonts w:hint="cs"/>
          <w:sz w:val="27"/>
          <w:rtl/>
        </w:rPr>
        <w:t>َ</w:t>
      </w:r>
      <w:r w:rsidRPr="006571AC">
        <w:rPr>
          <w:sz w:val="27"/>
          <w:rtl/>
        </w:rPr>
        <w:t>ق عند غير المسلمين على أفعال العبادة التي يؤد</w:t>
      </w:r>
      <w:r w:rsidR="005C3176" w:rsidRPr="006571AC">
        <w:rPr>
          <w:rFonts w:hint="cs"/>
          <w:sz w:val="27"/>
          <w:rtl/>
        </w:rPr>
        <w:t>ِّ</w:t>
      </w:r>
      <w:r w:rsidRPr="006571AC">
        <w:rPr>
          <w:sz w:val="27"/>
          <w:rtl/>
        </w:rPr>
        <w:t>يها أعضاء جماعة</w:t>
      </w:r>
      <w:r w:rsidR="005C3176" w:rsidRPr="006571AC">
        <w:rPr>
          <w:rFonts w:hint="cs"/>
          <w:sz w:val="27"/>
          <w:rtl/>
        </w:rPr>
        <w:t>ٍ</w:t>
      </w:r>
      <w:r w:rsidRPr="006571AC">
        <w:rPr>
          <w:sz w:val="27"/>
          <w:rtl/>
        </w:rPr>
        <w:t xml:space="preserve"> دينية. </w:t>
      </w:r>
    </w:p>
    <w:p w:rsidR="007C76F0" w:rsidRPr="006571AC" w:rsidRDefault="007C76F0" w:rsidP="00F22B89">
      <w:pPr>
        <w:rPr>
          <w:sz w:val="27"/>
        </w:rPr>
      </w:pPr>
      <w:r w:rsidRPr="006571AC">
        <w:rPr>
          <w:sz w:val="27"/>
          <w:rtl/>
        </w:rPr>
        <w:t>ولمعظم الأديان طقوسها الدينية الخاص</w:t>
      </w:r>
      <w:r w:rsidR="005C3176" w:rsidRPr="006571AC">
        <w:rPr>
          <w:rFonts w:hint="cs"/>
          <w:sz w:val="27"/>
          <w:rtl/>
        </w:rPr>
        <w:t>ّ</w:t>
      </w:r>
      <w:r w:rsidRPr="006571AC">
        <w:rPr>
          <w:sz w:val="27"/>
          <w:rtl/>
        </w:rPr>
        <w:t xml:space="preserve">ة بها. </w:t>
      </w:r>
    </w:p>
    <w:p w:rsidR="007C76F0" w:rsidRPr="006571AC" w:rsidRDefault="007C76F0" w:rsidP="00457526">
      <w:pPr>
        <w:rPr>
          <w:sz w:val="27"/>
        </w:rPr>
      </w:pPr>
      <w:r w:rsidRPr="006571AC">
        <w:rPr>
          <w:rFonts w:hint="eastAsia"/>
          <w:sz w:val="24"/>
          <w:szCs w:val="24"/>
          <w:rtl/>
        </w:rPr>
        <w:t>«</w:t>
      </w:r>
      <w:r w:rsidRPr="006571AC">
        <w:rPr>
          <w:sz w:val="27"/>
          <w:rtl/>
        </w:rPr>
        <w:t>والطقوس هي مجموعة</w:t>
      </w:r>
      <w:r w:rsidR="005C3176" w:rsidRPr="006571AC">
        <w:rPr>
          <w:rFonts w:hint="cs"/>
          <w:sz w:val="27"/>
          <w:rtl/>
        </w:rPr>
        <w:t>ٌ</w:t>
      </w:r>
      <w:r w:rsidRPr="006571AC">
        <w:rPr>
          <w:sz w:val="27"/>
          <w:rtl/>
        </w:rPr>
        <w:t xml:space="preserve"> من الإجراءات التي يؤد</w:t>
      </w:r>
      <w:r w:rsidR="005C3176" w:rsidRPr="006571AC">
        <w:rPr>
          <w:rFonts w:hint="cs"/>
          <w:sz w:val="27"/>
          <w:rtl/>
        </w:rPr>
        <w:t>ِّ</w:t>
      </w:r>
      <w:r w:rsidRPr="006571AC">
        <w:rPr>
          <w:sz w:val="27"/>
          <w:rtl/>
        </w:rPr>
        <w:t>يها بعض الأشخاص، والتي تُقام أساساً لقيمتها الرمزية</w:t>
      </w:r>
      <w:r w:rsidR="005C3176" w:rsidRPr="006571AC">
        <w:rPr>
          <w:rFonts w:hint="cs"/>
          <w:sz w:val="27"/>
          <w:rtl/>
        </w:rPr>
        <w:t>.</w:t>
      </w:r>
      <w:r w:rsidRPr="006571AC">
        <w:rPr>
          <w:sz w:val="27"/>
          <w:rtl/>
        </w:rPr>
        <w:t xml:space="preserve"> وقد يحد</w:t>
      </w:r>
      <w:r w:rsidR="005C3176" w:rsidRPr="006571AC">
        <w:rPr>
          <w:rFonts w:hint="cs"/>
          <w:sz w:val="27"/>
          <w:rtl/>
        </w:rPr>
        <w:t>ّ</w:t>
      </w:r>
      <w:r w:rsidRPr="006571AC">
        <w:rPr>
          <w:sz w:val="27"/>
          <w:rtl/>
        </w:rPr>
        <w:t>د تلك الطقوس أو المراسم تراث الجماعة المشتركة</w:t>
      </w:r>
      <w:r w:rsidR="005C3176" w:rsidRPr="006571AC">
        <w:rPr>
          <w:rFonts w:hint="cs"/>
          <w:sz w:val="27"/>
          <w:rtl/>
        </w:rPr>
        <w:t>.</w:t>
      </w:r>
      <w:r w:rsidRPr="006571AC">
        <w:rPr>
          <w:sz w:val="27"/>
          <w:rtl/>
        </w:rPr>
        <w:t xml:space="preserve"> وتعتبر المراسم والطقوس بأنواعها المختلفة </w:t>
      </w:r>
      <w:r w:rsidR="00457526" w:rsidRPr="006571AC">
        <w:rPr>
          <w:rFonts w:hint="cs"/>
          <w:sz w:val="27"/>
          <w:rtl/>
        </w:rPr>
        <w:t>إ</w:t>
      </w:r>
      <w:r w:rsidRPr="006571AC">
        <w:rPr>
          <w:sz w:val="27"/>
          <w:rtl/>
        </w:rPr>
        <w:t>حد</w:t>
      </w:r>
      <w:r w:rsidR="00457526" w:rsidRPr="006571AC">
        <w:rPr>
          <w:rFonts w:hint="cs"/>
          <w:sz w:val="27"/>
          <w:rtl/>
        </w:rPr>
        <w:t>ى</w:t>
      </w:r>
      <w:r w:rsidRPr="006571AC">
        <w:rPr>
          <w:sz w:val="27"/>
          <w:rtl/>
        </w:rPr>
        <w:t xml:space="preserve"> س</w:t>
      </w:r>
      <w:r w:rsidR="00457526" w:rsidRPr="006571AC">
        <w:rPr>
          <w:rFonts w:hint="cs"/>
          <w:sz w:val="27"/>
          <w:rtl/>
        </w:rPr>
        <w:t>ِ</w:t>
      </w:r>
      <w:r w:rsidRPr="006571AC">
        <w:rPr>
          <w:sz w:val="27"/>
          <w:rtl/>
        </w:rPr>
        <w:t>م</w:t>
      </w:r>
      <w:r w:rsidR="00457526" w:rsidRPr="006571AC">
        <w:rPr>
          <w:rFonts w:hint="cs"/>
          <w:sz w:val="27"/>
          <w:rtl/>
        </w:rPr>
        <w:t>َ</w:t>
      </w:r>
      <w:r w:rsidRPr="006571AC">
        <w:rPr>
          <w:sz w:val="27"/>
          <w:rtl/>
        </w:rPr>
        <w:t>ات المجتمعات الإنسانية، سواء في الماضي أو الحاضر</w:t>
      </w:r>
      <w:r w:rsidR="005C3176" w:rsidRPr="006571AC">
        <w:rPr>
          <w:rFonts w:hint="cs"/>
          <w:sz w:val="27"/>
          <w:rtl/>
        </w:rPr>
        <w:t>.</w:t>
      </w:r>
      <w:r w:rsidRPr="006571AC">
        <w:rPr>
          <w:sz w:val="27"/>
          <w:rtl/>
        </w:rPr>
        <w:t xml:space="preserve"> وتشمل إلى جانب طقوس العبادة مختلف العادات والتقاليد الاجتماعية، كقسم الولاء ومراسم التتويج، ومراسم الزواج والجنازات، وتقاليد الدراسة والتخر</w:t>
      </w:r>
      <w:r w:rsidR="005C3176" w:rsidRPr="006571AC">
        <w:rPr>
          <w:rFonts w:hint="cs"/>
          <w:sz w:val="27"/>
          <w:rtl/>
        </w:rPr>
        <w:t>ُّ</w:t>
      </w:r>
      <w:r w:rsidRPr="006571AC">
        <w:rPr>
          <w:sz w:val="27"/>
          <w:rtl/>
        </w:rPr>
        <w:t>ج، والاجتماعات، والأحداث الرياضية</w:t>
      </w:r>
      <w:r w:rsidRPr="006571AC">
        <w:rPr>
          <w:rFonts w:hint="eastAsia"/>
          <w:sz w:val="24"/>
          <w:szCs w:val="24"/>
          <w:rtl/>
        </w:rPr>
        <w:t>»</w:t>
      </w:r>
      <w:r w:rsidRPr="006571AC">
        <w:rPr>
          <w:sz w:val="27"/>
          <w:vertAlign w:val="superscript"/>
          <w:rtl/>
        </w:rPr>
        <w:t>(</w:t>
      </w:r>
      <w:r w:rsidRPr="006571AC">
        <w:rPr>
          <w:sz w:val="27"/>
          <w:vertAlign w:val="superscript"/>
          <w:rtl/>
        </w:rPr>
        <w:endnoteReference w:id="121"/>
      </w:r>
      <w:r w:rsidRPr="006571AC">
        <w:rPr>
          <w:sz w:val="27"/>
          <w:vertAlign w:val="superscript"/>
          <w:rtl/>
        </w:rPr>
        <w:t>)</w:t>
      </w:r>
      <w:r w:rsidRPr="006571AC">
        <w:rPr>
          <w:sz w:val="27"/>
          <w:rtl/>
        </w:rPr>
        <w:t xml:space="preserve">. </w:t>
      </w:r>
    </w:p>
    <w:p w:rsidR="007C76F0" w:rsidRPr="006571AC" w:rsidRDefault="007C76F0" w:rsidP="00F22B89">
      <w:pPr>
        <w:rPr>
          <w:sz w:val="27"/>
        </w:rPr>
      </w:pPr>
      <w:r w:rsidRPr="006571AC">
        <w:rPr>
          <w:sz w:val="27"/>
          <w:rtl/>
        </w:rPr>
        <w:t>وهناك رأي</w:t>
      </w:r>
      <w:r w:rsidR="005C3176" w:rsidRPr="006571AC">
        <w:rPr>
          <w:rFonts w:hint="cs"/>
          <w:sz w:val="27"/>
          <w:rtl/>
        </w:rPr>
        <w:t>ٌ</w:t>
      </w:r>
      <w:r w:rsidRPr="006571AC">
        <w:rPr>
          <w:sz w:val="27"/>
          <w:rtl/>
        </w:rPr>
        <w:t xml:space="preserve"> فقهي يظهر منه تبن</w:t>
      </w:r>
      <w:r w:rsidR="005C3176" w:rsidRPr="006571AC">
        <w:rPr>
          <w:rFonts w:hint="cs"/>
          <w:sz w:val="27"/>
          <w:rtl/>
        </w:rPr>
        <w:t>ّ</w:t>
      </w:r>
      <w:r w:rsidRPr="006571AC">
        <w:rPr>
          <w:sz w:val="27"/>
          <w:rtl/>
        </w:rPr>
        <w:t xml:space="preserve">ي ما يقارب هذا الاتجاه الطقوسي بعنوان </w:t>
      </w:r>
      <w:r w:rsidRPr="006571AC">
        <w:rPr>
          <w:sz w:val="27"/>
          <w:rtl/>
        </w:rPr>
        <w:lastRenderedPageBreak/>
        <w:t>(التعب</w:t>
      </w:r>
      <w:r w:rsidR="005C3176" w:rsidRPr="006571AC">
        <w:rPr>
          <w:rFonts w:hint="cs"/>
          <w:sz w:val="27"/>
          <w:rtl/>
        </w:rPr>
        <w:t>ُّ</w:t>
      </w:r>
      <w:r w:rsidRPr="006571AC">
        <w:rPr>
          <w:sz w:val="27"/>
          <w:rtl/>
        </w:rPr>
        <w:t>دية في توجيه الخطاب الديني)، حت</w:t>
      </w:r>
      <w:r w:rsidR="00457526" w:rsidRPr="006571AC">
        <w:rPr>
          <w:rFonts w:hint="cs"/>
          <w:sz w:val="27"/>
          <w:rtl/>
        </w:rPr>
        <w:t>ّ</w:t>
      </w:r>
      <w:r w:rsidRPr="006571AC">
        <w:rPr>
          <w:sz w:val="27"/>
          <w:rtl/>
        </w:rPr>
        <w:t>ى وإن</w:t>
      </w:r>
      <w:r w:rsidR="005C3176" w:rsidRPr="006571AC">
        <w:rPr>
          <w:rFonts w:hint="cs"/>
          <w:sz w:val="27"/>
          <w:rtl/>
        </w:rPr>
        <w:t>ْ</w:t>
      </w:r>
      <w:r w:rsidRPr="006571AC">
        <w:rPr>
          <w:sz w:val="27"/>
          <w:rtl/>
        </w:rPr>
        <w:t xml:space="preserve"> لم يكن له فائدة</w:t>
      </w:r>
      <w:r w:rsidR="005C3176" w:rsidRPr="006571AC">
        <w:rPr>
          <w:rFonts w:hint="cs"/>
          <w:sz w:val="27"/>
          <w:rtl/>
        </w:rPr>
        <w:t>ٌ</w:t>
      </w:r>
      <w:r w:rsidRPr="006571AC">
        <w:rPr>
          <w:sz w:val="27"/>
          <w:rtl/>
        </w:rPr>
        <w:t xml:space="preserve"> للمستمعين، كما إذا كان بغير لغتهم، حيث ناقش الفقهاء من السن</w:t>
      </w:r>
      <w:r w:rsidR="005C3176" w:rsidRPr="006571AC">
        <w:rPr>
          <w:rFonts w:hint="cs"/>
          <w:sz w:val="27"/>
          <w:rtl/>
        </w:rPr>
        <w:t>ّ</w:t>
      </w:r>
      <w:r w:rsidRPr="006571AC">
        <w:rPr>
          <w:sz w:val="27"/>
          <w:rtl/>
        </w:rPr>
        <w:t>ة والشيعة شرط العربية في خطبت</w:t>
      </w:r>
      <w:r w:rsidR="00457526" w:rsidRPr="006571AC">
        <w:rPr>
          <w:rFonts w:hint="cs"/>
          <w:sz w:val="27"/>
          <w:rtl/>
        </w:rPr>
        <w:t>َ</w:t>
      </w:r>
      <w:r w:rsidRPr="006571AC">
        <w:rPr>
          <w:sz w:val="27"/>
          <w:rtl/>
        </w:rPr>
        <w:t>ي</w:t>
      </w:r>
      <w:r w:rsidR="00457526" w:rsidRPr="006571AC">
        <w:rPr>
          <w:rFonts w:hint="cs"/>
          <w:sz w:val="27"/>
          <w:rtl/>
        </w:rPr>
        <w:t>ْ</w:t>
      </w:r>
      <w:r w:rsidRPr="006571AC">
        <w:rPr>
          <w:sz w:val="27"/>
          <w:rtl/>
        </w:rPr>
        <w:t xml:space="preserve"> صلاة الجمعة</w:t>
      </w:r>
      <w:r w:rsidR="005C3176" w:rsidRPr="006571AC">
        <w:rPr>
          <w:rFonts w:hint="cs"/>
          <w:sz w:val="27"/>
          <w:rtl/>
        </w:rPr>
        <w:t>؛</w:t>
      </w:r>
      <w:r w:rsidRPr="006571AC">
        <w:rPr>
          <w:sz w:val="27"/>
          <w:rtl/>
        </w:rPr>
        <w:t xml:space="preserve"> </w:t>
      </w:r>
      <w:r w:rsidRPr="006571AC">
        <w:rPr>
          <w:rFonts w:hint="eastAsia"/>
          <w:sz w:val="24"/>
          <w:szCs w:val="24"/>
          <w:rtl/>
        </w:rPr>
        <w:t>«</w:t>
      </w:r>
      <w:r w:rsidRPr="006571AC">
        <w:rPr>
          <w:sz w:val="27"/>
          <w:rtl/>
        </w:rPr>
        <w:t>فذهب جمهور فقهاء السن</w:t>
      </w:r>
      <w:r w:rsidR="005C3176" w:rsidRPr="006571AC">
        <w:rPr>
          <w:rFonts w:hint="cs"/>
          <w:sz w:val="27"/>
          <w:rtl/>
        </w:rPr>
        <w:t>ّ</w:t>
      </w:r>
      <w:r w:rsidRPr="006571AC">
        <w:rPr>
          <w:sz w:val="27"/>
          <w:rtl/>
        </w:rPr>
        <w:t>ة إلى اشتراط كون خطبة الجمعة بالعربية تعب</w:t>
      </w:r>
      <w:r w:rsidR="005C3176" w:rsidRPr="006571AC">
        <w:rPr>
          <w:rFonts w:hint="cs"/>
          <w:sz w:val="27"/>
          <w:rtl/>
        </w:rPr>
        <w:t>ُّ</w:t>
      </w:r>
      <w:r w:rsidRPr="006571AC">
        <w:rPr>
          <w:sz w:val="27"/>
          <w:rtl/>
        </w:rPr>
        <w:t>داً</w:t>
      </w:r>
      <w:r w:rsidR="005C3176" w:rsidRPr="006571AC">
        <w:rPr>
          <w:rFonts w:hint="cs"/>
          <w:sz w:val="27"/>
          <w:rtl/>
        </w:rPr>
        <w:t>؛</w:t>
      </w:r>
      <w:r w:rsidRPr="006571AC">
        <w:rPr>
          <w:sz w:val="27"/>
          <w:rtl/>
        </w:rPr>
        <w:t xml:space="preserve"> للات</w:t>
      </w:r>
      <w:r w:rsidR="00457526" w:rsidRPr="006571AC">
        <w:rPr>
          <w:rFonts w:hint="cs"/>
          <w:sz w:val="27"/>
          <w:rtl/>
        </w:rPr>
        <w:t>ِّ</w:t>
      </w:r>
      <w:r w:rsidRPr="006571AC">
        <w:rPr>
          <w:sz w:val="27"/>
          <w:rtl/>
        </w:rPr>
        <w:t>باع</w:t>
      </w:r>
      <w:r w:rsidR="005C3176" w:rsidRPr="006571AC">
        <w:rPr>
          <w:rFonts w:hint="cs"/>
          <w:sz w:val="27"/>
          <w:rtl/>
        </w:rPr>
        <w:t>؛</w:t>
      </w:r>
      <w:r w:rsidRPr="006571AC">
        <w:rPr>
          <w:sz w:val="27"/>
          <w:rtl/>
        </w:rPr>
        <w:t xml:space="preserve"> ولأنها ذكر</w:t>
      </w:r>
      <w:r w:rsidR="005C3176" w:rsidRPr="006571AC">
        <w:rPr>
          <w:rFonts w:hint="cs"/>
          <w:sz w:val="27"/>
          <w:rtl/>
        </w:rPr>
        <w:t>ٌ</w:t>
      </w:r>
      <w:r w:rsidRPr="006571AC">
        <w:rPr>
          <w:sz w:val="27"/>
          <w:rtl/>
        </w:rPr>
        <w:t xml:space="preserve"> مفروض، فاشترط فيه ذلك، كتكبيرة الإحرام</w:t>
      </w:r>
      <w:r w:rsidR="005C3176" w:rsidRPr="006571AC">
        <w:rPr>
          <w:rFonts w:hint="cs"/>
          <w:sz w:val="27"/>
          <w:rtl/>
        </w:rPr>
        <w:t>،</w:t>
      </w:r>
      <w:r w:rsidRPr="006571AC">
        <w:rPr>
          <w:sz w:val="27"/>
          <w:rtl/>
        </w:rPr>
        <w:t xml:space="preserve"> ولو كان الجماعة ع</w:t>
      </w:r>
      <w:r w:rsidR="005C3176" w:rsidRPr="006571AC">
        <w:rPr>
          <w:rFonts w:hint="cs"/>
          <w:sz w:val="27"/>
          <w:rtl/>
        </w:rPr>
        <w:t>َ</w:t>
      </w:r>
      <w:r w:rsidRPr="006571AC">
        <w:rPr>
          <w:sz w:val="27"/>
          <w:rtl/>
        </w:rPr>
        <w:t>ج</w:t>
      </w:r>
      <w:r w:rsidR="005C3176" w:rsidRPr="006571AC">
        <w:rPr>
          <w:rFonts w:hint="cs"/>
          <w:sz w:val="27"/>
          <w:rtl/>
        </w:rPr>
        <w:t>َ</w:t>
      </w:r>
      <w:r w:rsidRPr="006571AC">
        <w:rPr>
          <w:sz w:val="27"/>
          <w:rtl/>
        </w:rPr>
        <w:t>ماً لا يعرفون العربية</w:t>
      </w:r>
      <w:r w:rsidRPr="006571AC">
        <w:rPr>
          <w:rFonts w:hint="eastAsia"/>
          <w:sz w:val="24"/>
          <w:szCs w:val="24"/>
          <w:rtl/>
        </w:rPr>
        <w:t>»</w:t>
      </w:r>
      <w:r w:rsidRPr="006571AC">
        <w:rPr>
          <w:sz w:val="27"/>
          <w:vertAlign w:val="superscript"/>
          <w:rtl/>
        </w:rPr>
        <w:t>(</w:t>
      </w:r>
      <w:r w:rsidRPr="006571AC">
        <w:rPr>
          <w:sz w:val="27"/>
          <w:vertAlign w:val="superscript"/>
          <w:rtl/>
        </w:rPr>
        <w:endnoteReference w:id="122"/>
      </w:r>
      <w:r w:rsidRPr="006571AC">
        <w:rPr>
          <w:sz w:val="27"/>
          <w:vertAlign w:val="superscript"/>
          <w:rtl/>
        </w:rPr>
        <w:t>)</w:t>
      </w:r>
      <w:r w:rsidRPr="006571AC">
        <w:rPr>
          <w:sz w:val="27"/>
          <w:rtl/>
        </w:rPr>
        <w:t xml:space="preserve">. </w:t>
      </w:r>
    </w:p>
    <w:p w:rsidR="007C76F0" w:rsidRPr="006571AC" w:rsidRDefault="007C76F0" w:rsidP="00F22B89">
      <w:pPr>
        <w:rPr>
          <w:sz w:val="27"/>
        </w:rPr>
      </w:pPr>
      <w:r w:rsidRPr="006571AC">
        <w:rPr>
          <w:sz w:val="27"/>
          <w:rtl/>
        </w:rPr>
        <w:t>كما ذهب مشهور فقهاء الشيعة أيضاً إلى اعتبار العربية في خطبتي الجمعة</w:t>
      </w:r>
      <w:r w:rsidRPr="006571AC">
        <w:rPr>
          <w:sz w:val="27"/>
          <w:vertAlign w:val="superscript"/>
          <w:rtl/>
        </w:rPr>
        <w:t>(</w:t>
      </w:r>
      <w:r w:rsidRPr="006571AC">
        <w:rPr>
          <w:sz w:val="27"/>
          <w:vertAlign w:val="superscript"/>
          <w:rtl/>
        </w:rPr>
        <w:endnoteReference w:id="123"/>
      </w:r>
      <w:r w:rsidRPr="006571AC">
        <w:rPr>
          <w:sz w:val="27"/>
          <w:vertAlign w:val="superscript"/>
          <w:rtl/>
        </w:rPr>
        <w:t>)</w:t>
      </w:r>
      <w:r w:rsidR="005C3176" w:rsidRPr="006571AC">
        <w:rPr>
          <w:rFonts w:hint="cs"/>
          <w:sz w:val="27"/>
          <w:rtl/>
        </w:rPr>
        <w:t xml:space="preserve">، </w:t>
      </w:r>
      <w:r w:rsidRPr="006571AC">
        <w:rPr>
          <w:sz w:val="27"/>
          <w:rtl/>
        </w:rPr>
        <w:t>ومنع أكثرهم إجراء الخطبة بغير العربية</w:t>
      </w:r>
      <w:r w:rsidR="005C3176" w:rsidRPr="006571AC">
        <w:rPr>
          <w:rFonts w:hint="cs"/>
          <w:sz w:val="27"/>
          <w:rtl/>
        </w:rPr>
        <w:t>؛</w:t>
      </w:r>
      <w:r w:rsidRPr="006571AC">
        <w:rPr>
          <w:sz w:val="27"/>
          <w:rtl/>
        </w:rPr>
        <w:t xml:space="preserve"> للتأس</w:t>
      </w:r>
      <w:r w:rsidR="00457526" w:rsidRPr="006571AC">
        <w:rPr>
          <w:rFonts w:hint="cs"/>
          <w:sz w:val="27"/>
          <w:rtl/>
        </w:rPr>
        <w:t>ّ</w:t>
      </w:r>
      <w:r w:rsidRPr="006571AC">
        <w:rPr>
          <w:sz w:val="27"/>
          <w:rtl/>
        </w:rPr>
        <w:t xml:space="preserve">ي. </w:t>
      </w:r>
    </w:p>
    <w:p w:rsidR="007C76F0" w:rsidRPr="006571AC" w:rsidRDefault="007C76F0" w:rsidP="00F22B89">
      <w:pPr>
        <w:rPr>
          <w:sz w:val="27"/>
          <w:rtl/>
        </w:rPr>
      </w:pPr>
      <w:r w:rsidRPr="006571AC">
        <w:rPr>
          <w:sz w:val="27"/>
          <w:rtl/>
        </w:rPr>
        <w:t>وفرّ</w:t>
      </w:r>
      <w:r w:rsidR="005C3176" w:rsidRPr="006571AC">
        <w:rPr>
          <w:rFonts w:hint="cs"/>
          <w:sz w:val="27"/>
          <w:rtl/>
        </w:rPr>
        <w:t>َ</w:t>
      </w:r>
      <w:r w:rsidRPr="006571AC">
        <w:rPr>
          <w:sz w:val="27"/>
          <w:rtl/>
        </w:rPr>
        <w:t>ق صاحب الجواهر بين الحمد والصلاة وبين الو</w:t>
      </w:r>
      <w:r w:rsidR="00457526" w:rsidRPr="006571AC">
        <w:rPr>
          <w:rFonts w:hint="cs"/>
          <w:sz w:val="27"/>
          <w:rtl/>
        </w:rPr>
        <w:t>َ</w:t>
      </w:r>
      <w:r w:rsidRPr="006571AC">
        <w:rPr>
          <w:sz w:val="27"/>
          <w:rtl/>
        </w:rPr>
        <w:t>ع</w:t>
      </w:r>
      <w:r w:rsidR="00457526" w:rsidRPr="006571AC">
        <w:rPr>
          <w:rFonts w:hint="cs"/>
          <w:sz w:val="27"/>
          <w:rtl/>
        </w:rPr>
        <w:t>ْ</w:t>
      </w:r>
      <w:r w:rsidRPr="006571AC">
        <w:rPr>
          <w:sz w:val="27"/>
          <w:rtl/>
        </w:rPr>
        <w:t>ظ، ففيه يجوز بغيرها اختياراً، بخلاف الحمد والصلاة فلا يجوز بغيرها؛ لظهور الأدلة في إرادة اللفظ فيها، والمعنى في الو</w:t>
      </w:r>
      <w:r w:rsidR="00457526" w:rsidRPr="006571AC">
        <w:rPr>
          <w:rFonts w:hint="cs"/>
          <w:sz w:val="27"/>
          <w:rtl/>
        </w:rPr>
        <w:t>َ</w:t>
      </w:r>
      <w:r w:rsidRPr="006571AC">
        <w:rPr>
          <w:sz w:val="27"/>
          <w:rtl/>
        </w:rPr>
        <w:t>ع</w:t>
      </w:r>
      <w:r w:rsidR="00457526" w:rsidRPr="006571AC">
        <w:rPr>
          <w:rFonts w:hint="cs"/>
          <w:sz w:val="27"/>
          <w:rtl/>
        </w:rPr>
        <w:t>ْ</w:t>
      </w:r>
      <w:r w:rsidRPr="006571AC">
        <w:rPr>
          <w:sz w:val="27"/>
          <w:rtl/>
        </w:rPr>
        <w:t>ظ، وإن</w:t>
      </w:r>
      <w:r w:rsidR="005C3176" w:rsidRPr="006571AC">
        <w:rPr>
          <w:rFonts w:hint="cs"/>
          <w:sz w:val="27"/>
          <w:rtl/>
        </w:rPr>
        <w:t>ْ</w:t>
      </w:r>
      <w:r w:rsidRPr="006571AC">
        <w:rPr>
          <w:sz w:val="27"/>
          <w:rtl/>
        </w:rPr>
        <w:t xml:space="preserve"> كان الواقع منه</w:t>
      </w:r>
      <w:r w:rsidR="005C3176" w:rsidRPr="006571AC">
        <w:rPr>
          <w:rFonts w:ascii="Mosawi" w:hAnsi="Mosawi" w:cs="Mosawi"/>
          <w:sz w:val="22"/>
          <w:szCs w:val="22"/>
          <w:rtl/>
        </w:rPr>
        <w:t>×</w:t>
      </w:r>
      <w:r w:rsidRPr="006571AC">
        <w:rPr>
          <w:sz w:val="27"/>
          <w:rtl/>
        </w:rPr>
        <w:t xml:space="preserve"> العربية في الو</w:t>
      </w:r>
      <w:r w:rsidR="00457526" w:rsidRPr="006571AC">
        <w:rPr>
          <w:rFonts w:hint="cs"/>
          <w:sz w:val="27"/>
          <w:rtl/>
        </w:rPr>
        <w:t>َ</w:t>
      </w:r>
      <w:r w:rsidRPr="006571AC">
        <w:rPr>
          <w:sz w:val="27"/>
          <w:rtl/>
        </w:rPr>
        <w:t>ع</w:t>
      </w:r>
      <w:r w:rsidR="00457526" w:rsidRPr="006571AC">
        <w:rPr>
          <w:rFonts w:hint="cs"/>
          <w:sz w:val="27"/>
          <w:rtl/>
        </w:rPr>
        <w:t>ْ</w:t>
      </w:r>
      <w:r w:rsidRPr="006571AC">
        <w:rPr>
          <w:sz w:val="27"/>
          <w:rtl/>
        </w:rPr>
        <w:t>ظ أيضاً</w:t>
      </w:r>
      <w:r w:rsidR="005A6AF6" w:rsidRPr="006571AC">
        <w:rPr>
          <w:rFonts w:hint="cs"/>
          <w:sz w:val="27"/>
          <w:rtl/>
        </w:rPr>
        <w:t>؛</w:t>
      </w:r>
      <w:r w:rsidRPr="006571AC">
        <w:rPr>
          <w:sz w:val="27"/>
          <w:rtl/>
        </w:rPr>
        <w:t xml:space="preserve"> لكن</w:t>
      </w:r>
      <w:r w:rsidR="005C3176" w:rsidRPr="006571AC">
        <w:rPr>
          <w:rFonts w:hint="cs"/>
          <w:sz w:val="27"/>
          <w:rtl/>
        </w:rPr>
        <w:t>ْ</w:t>
      </w:r>
      <w:r w:rsidRPr="006571AC">
        <w:rPr>
          <w:sz w:val="27"/>
          <w:rtl/>
        </w:rPr>
        <w:t xml:space="preserve"> لعل</w:t>
      </w:r>
      <w:r w:rsidR="005C3176" w:rsidRPr="006571AC">
        <w:rPr>
          <w:rFonts w:hint="cs"/>
          <w:sz w:val="27"/>
          <w:rtl/>
        </w:rPr>
        <w:t>ّ</w:t>
      </w:r>
      <w:r w:rsidR="005C3176" w:rsidRPr="006571AC">
        <w:rPr>
          <w:sz w:val="27"/>
          <w:rtl/>
        </w:rPr>
        <w:t>ه لأنه</w:t>
      </w:r>
      <w:r w:rsidR="005C3176" w:rsidRPr="006571AC">
        <w:rPr>
          <w:rFonts w:ascii="Mosawi" w:hAnsi="Mosawi" w:cs="Mosawi"/>
          <w:sz w:val="22"/>
          <w:szCs w:val="22"/>
          <w:rtl/>
        </w:rPr>
        <w:t>×</w:t>
      </w:r>
      <w:r w:rsidR="005C3176" w:rsidRPr="006571AC">
        <w:rPr>
          <w:rFonts w:hint="cs"/>
          <w:sz w:val="27"/>
          <w:rtl/>
        </w:rPr>
        <w:t xml:space="preserve"> </w:t>
      </w:r>
      <w:r w:rsidRPr="006571AC">
        <w:rPr>
          <w:sz w:val="27"/>
          <w:rtl/>
        </w:rPr>
        <w:t>عربي</w:t>
      </w:r>
      <w:r w:rsidR="005C3176" w:rsidRPr="006571AC">
        <w:rPr>
          <w:rFonts w:hint="cs"/>
          <w:sz w:val="27"/>
          <w:rtl/>
        </w:rPr>
        <w:t>ّ</w:t>
      </w:r>
      <w:r w:rsidR="00457526" w:rsidRPr="006571AC">
        <w:rPr>
          <w:rFonts w:hint="cs"/>
          <w:sz w:val="27"/>
          <w:rtl/>
        </w:rPr>
        <w:t>ٌ</w:t>
      </w:r>
      <w:r w:rsidRPr="006571AC">
        <w:rPr>
          <w:sz w:val="27"/>
          <w:rtl/>
        </w:rPr>
        <w:t xml:space="preserve"> يتكل</w:t>
      </w:r>
      <w:r w:rsidR="005C3176" w:rsidRPr="006571AC">
        <w:rPr>
          <w:rFonts w:hint="cs"/>
          <w:sz w:val="27"/>
          <w:rtl/>
        </w:rPr>
        <w:t>َّ</w:t>
      </w:r>
      <w:r w:rsidRPr="006571AC">
        <w:rPr>
          <w:sz w:val="27"/>
          <w:rtl/>
        </w:rPr>
        <w:t>م بلسانه</w:t>
      </w:r>
      <w:r w:rsidR="005C3176" w:rsidRPr="006571AC">
        <w:rPr>
          <w:rFonts w:hint="cs"/>
          <w:sz w:val="27"/>
          <w:rtl/>
        </w:rPr>
        <w:t>،</w:t>
      </w:r>
      <w:r w:rsidRPr="006571AC">
        <w:rPr>
          <w:sz w:val="27"/>
          <w:rtl/>
        </w:rPr>
        <w:t xml:space="preserve"> لا لوجوبه</w:t>
      </w:r>
      <w:r w:rsidRPr="006571AC">
        <w:rPr>
          <w:sz w:val="27"/>
          <w:vertAlign w:val="superscript"/>
          <w:rtl/>
        </w:rPr>
        <w:t>(</w:t>
      </w:r>
      <w:r w:rsidRPr="006571AC">
        <w:rPr>
          <w:sz w:val="27"/>
          <w:vertAlign w:val="superscript"/>
          <w:rtl/>
        </w:rPr>
        <w:endnoteReference w:id="124"/>
      </w:r>
      <w:r w:rsidRPr="006571AC">
        <w:rPr>
          <w:sz w:val="27"/>
          <w:vertAlign w:val="superscript"/>
          <w:rtl/>
        </w:rPr>
        <w:t>)</w:t>
      </w:r>
      <w:r w:rsidRPr="006571AC">
        <w:rPr>
          <w:sz w:val="27"/>
          <w:rtl/>
        </w:rPr>
        <w:t xml:space="preserve">. </w:t>
      </w:r>
    </w:p>
    <w:p w:rsidR="007C76F0" w:rsidRPr="006571AC" w:rsidRDefault="007C76F0" w:rsidP="00F22B89">
      <w:pPr>
        <w:rPr>
          <w:sz w:val="27"/>
        </w:rPr>
      </w:pPr>
      <w:r w:rsidRPr="006571AC">
        <w:rPr>
          <w:sz w:val="27"/>
          <w:rtl/>
        </w:rPr>
        <w:t>ويرى الشيخ يوسف البحراني لزوم العربية في خطبة الجمعة، وإن</w:t>
      </w:r>
      <w:r w:rsidR="005A6AF6" w:rsidRPr="006571AC">
        <w:rPr>
          <w:rFonts w:hint="cs"/>
          <w:sz w:val="27"/>
          <w:rtl/>
        </w:rPr>
        <w:t>ْ</w:t>
      </w:r>
      <w:r w:rsidRPr="006571AC">
        <w:rPr>
          <w:sz w:val="27"/>
          <w:rtl/>
        </w:rPr>
        <w:t xml:space="preserve"> لم يفهمها المستمعون</w:t>
      </w:r>
      <w:r w:rsidR="005A6AF6" w:rsidRPr="006571AC">
        <w:rPr>
          <w:rFonts w:hint="cs"/>
          <w:sz w:val="27"/>
          <w:rtl/>
        </w:rPr>
        <w:t>؛</w:t>
      </w:r>
      <w:r w:rsidRPr="006571AC">
        <w:rPr>
          <w:sz w:val="27"/>
          <w:rtl/>
        </w:rPr>
        <w:t xml:space="preserve"> لأنها عبادة</w:t>
      </w:r>
      <w:r w:rsidR="00457526" w:rsidRPr="006571AC">
        <w:rPr>
          <w:rFonts w:hint="cs"/>
          <w:sz w:val="27"/>
          <w:rtl/>
        </w:rPr>
        <w:t>ٌ</w:t>
      </w:r>
      <w:r w:rsidRPr="006571AC">
        <w:rPr>
          <w:sz w:val="27"/>
          <w:rtl/>
        </w:rPr>
        <w:t xml:space="preserve"> توقيفية، قال في (الحدائق الناضرة): يمكن أن ي</w:t>
      </w:r>
      <w:r w:rsidR="005A6AF6" w:rsidRPr="006571AC">
        <w:rPr>
          <w:rFonts w:hint="cs"/>
          <w:sz w:val="27"/>
          <w:rtl/>
        </w:rPr>
        <w:t>ُ</w:t>
      </w:r>
      <w:r w:rsidRPr="006571AC">
        <w:rPr>
          <w:sz w:val="27"/>
          <w:rtl/>
        </w:rPr>
        <w:t>قال</w:t>
      </w:r>
      <w:r w:rsidR="005A6AF6" w:rsidRPr="006571AC">
        <w:rPr>
          <w:rFonts w:hint="cs"/>
          <w:sz w:val="27"/>
          <w:rtl/>
        </w:rPr>
        <w:t>:</w:t>
      </w:r>
      <w:r w:rsidRPr="006571AC">
        <w:rPr>
          <w:sz w:val="27"/>
          <w:rtl/>
        </w:rPr>
        <w:t xml:space="preserve"> إن يقين البراءة موقوف</w:t>
      </w:r>
      <w:r w:rsidR="005A6AF6" w:rsidRPr="006571AC">
        <w:rPr>
          <w:rFonts w:hint="cs"/>
          <w:sz w:val="27"/>
          <w:rtl/>
        </w:rPr>
        <w:t>ٌ</w:t>
      </w:r>
      <w:r w:rsidRPr="006571AC">
        <w:rPr>
          <w:sz w:val="27"/>
          <w:rtl/>
        </w:rPr>
        <w:t xml:space="preserve"> على ذلك</w:t>
      </w:r>
      <w:r w:rsidR="005A6AF6" w:rsidRPr="006571AC">
        <w:rPr>
          <w:rFonts w:hint="cs"/>
          <w:sz w:val="27"/>
          <w:rtl/>
        </w:rPr>
        <w:t>،</w:t>
      </w:r>
      <w:r w:rsidRPr="006571AC">
        <w:rPr>
          <w:sz w:val="27"/>
          <w:rtl/>
        </w:rPr>
        <w:t xml:space="preserve"> وأنها عبادة</w:t>
      </w:r>
      <w:r w:rsidR="005A6AF6" w:rsidRPr="006571AC">
        <w:rPr>
          <w:rFonts w:hint="cs"/>
          <w:sz w:val="27"/>
          <w:rtl/>
        </w:rPr>
        <w:t>ٌ،</w:t>
      </w:r>
      <w:r w:rsidRPr="006571AC">
        <w:rPr>
          <w:sz w:val="27"/>
          <w:rtl/>
        </w:rPr>
        <w:t xml:space="preserve"> والعبادات توقيفية</w:t>
      </w:r>
      <w:r w:rsidR="005A6AF6" w:rsidRPr="006571AC">
        <w:rPr>
          <w:rFonts w:hint="cs"/>
          <w:sz w:val="27"/>
          <w:rtl/>
        </w:rPr>
        <w:t>،</w:t>
      </w:r>
      <w:r w:rsidRPr="006571AC">
        <w:rPr>
          <w:sz w:val="27"/>
          <w:rtl/>
        </w:rPr>
        <w:t xml:space="preserve"> يتبع فيها ما رسمه صاحب الشريعة، وهذا هو الذي جاء عنهم</w:t>
      </w:r>
      <w:r w:rsidR="00DC3B12" w:rsidRPr="006571AC">
        <w:rPr>
          <w:rFonts w:ascii="Mosawi" w:hAnsi="Mosawi" w:cs="Mosawi"/>
          <w:sz w:val="22"/>
          <w:szCs w:val="22"/>
          <w:rtl/>
        </w:rPr>
        <w:t>^</w:t>
      </w:r>
      <w:r w:rsidRPr="006571AC">
        <w:rPr>
          <w:sz w:val="27"/>
          <w:rtl/>
        </w:rPr>
        <w:t xml:space="preserve">. </w:t>
      </w:r>
    </w:p>
    <w:p w:rsidR="007C76F0" w:rsidRPr="006571AC" w:rsidRDefault="007C76F0" w:rsidP="00F22B89">
      <w:pPr>
        <w:rPr>
          <w:sz w:val="27"/>
          <w:rtl/>
        </w:rPr>
      </w:pPr>
      <w:r w:rsidRPr="006571AC">
        <w:rPr>
          <w:sz w:val="27"/>
          <w:rtl/>
        </w:rPr>
        <w:t>والتعليل بأن المقصود من الخطبة فهم العدد لمعانيها</w:t>
      </w:r>
      <w:r w:rsidR="005A6AF6" w:rsidRPr="006571AC">
        <w:rPr>
          <w:rFonts w:hint="cs"/>
          <w:sz w:val="27"/>
          <w:rtl/>
        </w:rPr>
        <w:t>،</w:t>
      </w:r>
      <w:r w:rsidRPr="006571AC">
        <w:rPr>
          <w:sz w:val="27"/>
          <w:rtl/>
        </w:rPr>
        <w:t xml:space="preserve"> مع تسليم وروده، لا يقتضي كونه كل</w:t>
      </w:r>
      <w:r w:rsidR="005A6AF6" w:rsidRPr="006571AC">
        <w:rPr>
          <w:rFonts w:hint="cs"/>
          <w:sz w:val="27"/>
          <w:rtl/>
        </w:rPr>
        <w:t>ّ</w:t>
      </w:r>
      <w:r w:rsidRPr="006571AC">
        <w:rPr>
          <w:sz w:val="27"/>
          <w:rtl/>
        </w:rPr>
        <w:t>ياً، فإن علل الشرع ليست عللاً حقيق</w:t>
      </w:r>
      <w:r w:rsidR="00457526" w:rsidRPr="006571AC">
        <w:rPr>
          <w:rFonts w:hint="cs"/>
          <w:sz w:val="27"/>
          <w:rtl/>
        </w:rPr>
        <w:t>ي</w:t>
      </w:r>
      <w:r w:rsidRPr="006571AC">
        <w:rPr>
          <w:sz w:val="27"/>
          <w:rtl/>
        </w:rPr>
        <w:t>ة</w:t>
      </w:r>
      <w:r w:rsidR="00457526" w:rsidRPr="006571AC">
        <w:rPr>
          <w:rFonts w:hint="cs"/>
          <w:sz w:val="27"/>
          <w:rtl/>
        </w:rPr>
        <w:t>ً،</w:t>
      </w:r>
      <w:r w:rsidRPr="006571AC">
        <w:rPr>
          <w:sz w:val="27"/>
          <w:rtl/>
        </w:rPr>
        <w:t xml:space="preserve"> يدور المعلول مدارها وجوداً وع</w:t>
      </w:r>
      <w:r w:rsidR="00457526" w:rsidRPr="006571AC">
        <w:rPr>
          <w:rFonts w:hint="cs"/>
          <w:sz w:val="27"/>
          <w:rtl/>
        </w:rPr>
        <w:t>َ</w:t>
      </w:r>
      <w:r w:rsidRPr="006571AC">
        <w:rPr>
          <w:sz w:val="27"/>
          <w:rtl/>
        </w:rPr>
        <w:t>د</w:t>
      </w:r>
      <w:r w:rsidR="00457526" w:rsidRPr="006571AC">
        <w:rPr>
          <w:rFonts w:hint="cs"/>
          <w:sz w:val="27"/>
          <w:rtl/>
        </w:rPr>
        <w:t>َ</w:t>
      </w:r>
      <w:r w:rsidRPr="006571AC">
        <w:rPr>
          <w:sz w:val="27"/>
          <w:rtl/>
        </w:rPr>
        <w:t>ماً، وإنما هي معر</w:t>
      </w:r>
      <w:r w:rsidR="005A6AF6" w:rsidRPr="006571AC">
        <w:rPr>
          <w:rFonts w:hint="cs"/>
          <w:sz w:val="27"/>
          <w:rtl/>
        </w:rPr>
        <w:t>ِّ</w:t>
      </w:r>
      <w:r w:rsidRPr="006571AC">
        <w:rPr>
          <w:sz w:val="27"/>
          <w:rtl/>
        </w:rPr>
        <w:t>فات وتقريبات إلى الأذهان. على أن البلدان التي ف</w:t>
      </w:r>
      <w:r w:rsidR="00457526" w:rsidRPr="006571AC">
        <w:rPr>
          <w:rFonts w:hint="cs"/>
          <w:sz w:val="27"/>
          <w:rtl/>
        </w:rPr>
        <w:t>ُ</w:t>
      </w:r>
      <w:r w:rsidRPr="006571AC">
        <w:rPr>
          <w:sz w:val="27"/>
          <w:rtl/>
        </w:rPr>
        <w:t>تح</w:t>
      </w:r>
      <w:r w:rsidR="00457526" w:rsidRPr="006571AC">
        <w:rPr>
          <w:rFonts w:hint="cs"/>
          <w:sz w:val="27"/>
          <w:rtl/>
        </w:rPr>
        <w:t>َ</w:t>
      </w:r>
      <w:r w:rsidRPr="006571AC">
        <w:rPr>
          <w:sz w:val="27"/>
          <w:rtl/>
        </w:rPr>
        <w:t>ت</w:t>
      </w:r>
      <w:r w:rsidR="00457526" w:rsidRPr="006571AC">
        <w:rPr>
          <w:rFonts w:hint="cs"/>
          <w:sz w:val="27"/>
          <w:rtl/>
        </w:rPr>
        <w:t>ْ</w:t>
      </w:r>
      <w:r w:rsidRPr="006571AC">
        <w:rPr>
          <w:sz w:val="27"/>
          <w:rtl/>
        </w:rPr>
        <w:t xml:space="preserve"> من العجم والروم ونحوهما</w:t>
      </w:r>
      <w:r w:rsidR="00457526" w:rsidRPr="006571AC">
        <w:rPr>
          <w:rFonts w:hint="cs"/>
          <w:sz w:val="27"/>
          <w:rtl/>
        </w:rPr>
        <w:t>،</w:t>
      </w:r>
      <w:r w:rsidRPr="006571AC">
        <w:rPr>
          <w:sz w:val="27"/>
          <w:rtl/>
        </w:rPr>
        <w:t xml:space="preserve"> وع</w:t>
      </w:r>
      <w:r w:rsidR="00457526" w:rsidRPr="006571AC">
        <w:rPr>
          <w:rFonts w:hint="cs"/>
          <w:sz w:val="27"/>
          <w:rtl/>
        </w:rPr>
        <w:t>ُ</w:t>
      </w:r>
      <w:r w:rsidRPr="006571AC">
        <w:rPr>
          <w:sz w:val="27"/>
          <w:rtl/>
        </w:rPr>
        <w:t>ي</w:t>
      </w:r>
      <w:r w:rsidR="005A6AF6" w:rsidRPr="006571AC">
        <w:rPr>
          <w:rFonts w:hint="cs"/>
          <w:sz w:val="27"/>
          <w:rtl/>
        </w:rPr>
        <w:t>ِّ</w:t>
      </w:r>
      <w:r w:rsidRPr="006571AC">
        <w:rPr>
          <w:sz w:val="27"/>
          <w:rtl/>
        </w:rPr>
        <w:t>ن</w:t>
      </w:r>
      <w:r w:rsidR="00457526" w:rsidRPr="006571AC">
        <w:rPr>
          <w:rFonts w:hint="cs"/>
          <w:sz w:val="27"/>
          <w:rtl/>
        </w:rPr>
        <w:t>َ</w:t>
      </w:r>
      <w:r w:rsidRPr="006571AC">
        <w:rPr>
          <w:sz w:val="27"/>
          <w:rtl/>
        </w:rPr>
        <w:t>ت</w:t>
      </w:r>
      <w:r w:rsidR="00457526" w:rsidRPr="006571AC">
        <w:rPr>
          <w:rFonts w:hint="cs"/>
          <w:sz w:val="27"/>
          <w:rtl/>
        </w:rPr>
        <w:t>ْ</w:t>
      </w:r>
      <w:r w:rsidRPr="006571AC">
        <w:rPr>
          <w:sz w:val="27"/>
          <w:rtl/>
        </w:rPr>
        <w:t xml:space="preserve"> فيها الأئم</w:t>
      </w:r>
      <w:r w:rsidR="005A6AF6" w:rsidRPr="006571AC">
        <w:rPr>
          <w:rFonts w:hint="cs"/>
          <w:sz w:val="27"/>
          <w:rtl/>
        </w:rPr>
        <w:t>ّ</w:t>
      </w:r>
      <w:r w:rsidRPr="006571AC">
        <w:rPr>
          <w:sz w:val="27"/>
          <w:rtl/>
        </w:rPr>
        <w:t>ة للج</w:t>
      </w:r>
      <w:r w:rsidR="00CD51B3" w:rsidRPr="006571AC">
        <w:rPr>
          <w:rFonts w:hint="cs"/>
          <w:sz w:val="27"/>
          <w:rtl/>
        </w:rPr>
        <w:t>ُ</w:t>
      </w:r>
      <w:r w:rsidRPr="006571AC">
        <w:rPr>
          <w:sz w:val="27"/>
          <w:rtl/>
        </w:rPr>
        <w:t>م</w:t>
      </w:r>
      <w:r w:rsidR="00CD51B3" w:rsidRPr="006571AC">
        <w:rPr>
          <w:rFonts w:hint="cs"/>
          <w:sz w:val="27"/>
          <w:rtl/>
        </w:rPr>
        <w:t>ُ</w:t>
      </w:r>
      <w:r w:rsidRPr="006571AC">
        <w:rPr>
          <w:sz w:val="27"/>
          <w:rtl/>
        </w:rPr>
        <w:t>عات والجماعات</w:t>
      </w:r>
      <w:r w:rsidR="00CD51B3" w:rsidRPr="006571AC">
        <w:rPr>
          <w:rFonts w:hint="cs"/>
          <w:sz w:val="27"/>
          <w:rtl/>
        </w:rPr>
        <w:t>،</w:t>
      </w:r>
      <w:r w:rsidRPr="006571AC">
        <w:rPr>
          <w:sz w:val="27"/>
          <w:rtl/>
        </w:rPr>
        <w:t xml:space="preserve"> لم ي</w:t>
      </w:r>
      <w:r w:rsidR="00CD51B3" w:rsidRPr="006571AC">
        <w:rPr>
          <w:rFonts w:hint="cs"/>
          <w:sz w:val="27"/>
          <w:rtl/>
        </w:rPr>
        <w:t>ُ</w:t>
      </w:r>
      <w:r w:rsidRPr="006571AC">
        <w:rPr>
          <w:sz w:val="27"/>
          <w:rtl/>
        </w:rPr>
        <w:t>ن</w:t>
      </w:r>
      <w:r w:rsidR="00CD51B3" w:rsidRPr="006571AC">
        <w:rPr>
          <w:rFonts w:hint="cs"/>
          <w:sz w:val="27"/>
          <w:rtl/>
        </w:rPr>
        <w:t>ْ</w:t>
      </w:r>
      <w:r w:rsidRPr="006571AC">
        <w:rPr>
          <w:sz w:val="27"/>
          <w:rtl/>
        </w:rPr>
        <w:t>ق</w:t>
      </w:r>
      <w:r w:rsidR="00CD51B3" w:rsidRPr="006571AC">
        <w:rPr>
          <w:rFonts w:hint="cs"/>
          <w:sz w:val="27"/>
          <w:rtl/>
        </w:rPr>
        <w:t>َ</w:t>
      </w:r>
      <w:r w:rsidRPr="006571AC">
        <w:rPr>
          <w:sz w:val="27"/>
          <w:rtl/>
        </w:rPr>
        <w:t>ل أنهم كانوا يترجمون لهم الخطب، ولو وقع لن</w:t>
      </w:r>
      <w:r w:rsidR="00CD51B3" w:rsidRPr="006571AC">
        <w:rPr>
          <w:rFonts w:hint="cs"/>
          <w:sz w:val="27"/>
          <w:rtl/>
        </w:rPr>
        <w:t>ُ</w:t>
      </w:r>
      <w:r w:rsidRPr="006571AC">
        <w:rPr>
          <w:sz w:val="27"/>
          <w:rtl/>
        </w:rPr>
        <w:t>قل، ومنه زمان خلافة أمير المؤمنين</w:t>
      </w:r>
      <w:r w:rsidR="00DC3B12" w:rsidRPr="006571AC">
        <w:rPr>
          <w:rFonts w:ascii="Mosawi" w:hAnsi="Mosawi" w:cs="Mosawi"/>
          <w:sz w:val="22"/>
          <w:szCs w:val="22"/>
          <w:rtl/>
        </w:rPr>
        <w:t>×</w:t>
      </w:r>
      <w:r w:rsidR="005A6AF6" w:rsidRPr="006571AC">
        <w:rPr>
          <w:rFonts w:hint="cs"/>
          <w:sz w:val="27"/>
          <w:rtl/>
        </w:rPr>
        <w:t>.</w:t>
      </w:r>
      <w:r w:rsidRPr="006571AC">
        <w:rPr>
          <w:sz w:val="27"/>
          <w:rtl/>
        </w:rPr>
        <w:t xml:space="preserve"> وكيف كان فالأحوط الخطبة بالعربية</w:t>
      </w:r>
      <w:r w:rsidR="005A6AF6" w:rsidRPr="006571AC">
        <w:rPr>
          <w:rFonts w:hint="cs"/>
          <w:sz w:val="27"/>
          <w:rtl/>
        </w:rPr>
        <w:t>،</w:t>
      </w:r>
      <w:r w:rsidRPr="006571AC">
        <w:rPr>
          <w:sz w:val="27"/>
          <w:rtl/>
        </w:rPr>
        <w:t xml:space="preserve"> وترجمة بعض الموارد التي يتوق</w:t>
      </w:r>
      <w:r w:rsidR="005A6AF6" w:rsidRPr="006571AC">
        <w:rPr>
          <w:rFonts w:hint="cs"/>
          <w:sz w:val="27"/>
          <w:rtl/>
        </w:rPr>
        <w:t>َّ</w:t>
      </w:r>
      <w:r w:rsidRPr="006571AC">
        <w:rPr>
          <w:sz w:val="27"/>
          <w:rtl/>
        </w:rPr>
        <w:t>ف عليها المقصود من الخطبة</w:t>
      </w:r>
      <w:r w:rsidRPr="006571AC">
        <w:rPr>
          <w:sz w:val="27"/>
          <w:vertAlign w:val="superscript"/>
          <w:rtl/>
        </w:rPr>
        <w:t>(</w:t>
      </w:r>
      <w:r w:rsidRPr="006571AC">
        <w:rPr>
          <w:sz w:val="27"/>
          <w:vertAlign w:val="superscript"/>
          <w:rtl/>
        </w:rPr>
        <w:endnoteReference w:id="125"/>
      </w:r>
      <w:r w:rsidRPr="006571AC">
        <w:rPr>
          <w:sz w:val="27"/>
          <w:vertAlign w:val="superscript"/>
          <w:rtl/>
        </w:rPr>
        <w:t>)</w:t>
      </w:r>
      <w:r w:rsidRPr="006571AC">
        <w:rPr>
          <w:sz w:val="27"/>
          <w:rtl/>
        </w:rPr>
        <w:t xml:space="preserve">. </w:t>
      </w:r>
    </w:p>
    <w:p w:rsidR="002C27BC" w:rsidRPr="006571AC" w:rsidRDefault="002C27BC" w:rsidP="002C27BC">
      <w:pPr>
        <w:spacing w:line="420" w:lineRule="exact"/>
        <w:rPr>
          <w:sz w:val="27"/>
          <w:rtl/>
        </w:rPr>
      </w:pPr>
    </w:p>
    <w:p w:rsidR="007C76F0" w:rsidRPr="006571AC" w:rsidRDefault="007C76F0" w:rsidP="006C79DA">
      <w:pPr>
        <w:pStyle w:val="31"/>
        <w:rPr>
          <w:color w:val="auto"/>
          <w:rtl/>
        </w:rPr>
      </w:pPr>
      <w:bookmarkStart w:id="63" w:name="_Toc114164552"/>
      <w:r w:rsidRPr="006571AC">
        <w:rPr>
          <w:color w:val="auto"/>
          <w:rtl/>
        </w:rPr>
        <w:t>الطقوسي</w:t>
      </w:r>
      <w:r w:rsidR="0089109D" w:rsidRPr="006571AC">
        <w:rPr>
          <w:rFonts w:hint="cs"/>
          <w:color w:val="auto"/>
          <w:rtl/>
        </w:rPr>
        <w:t>ّ</w:t>
      </w:r>
      <w:r w:rsidRPr="006571AC">
        <w:rPr>
          <w:color w:val="auto"/>
          <w:rtl/>
        </w:rPr>
        <w:t>ة والمضمون</w:t>
      </w:r>
      <w:bookmarkEnd w:id="63"/>
    </w:p>
    <w:p w:rsidR="007C76F0" w:rsidRPr="006571AC" w:rsidRDefault="007C76F0" w:rsidP="00F22B89">
      <w:pPr>
        <w:rPr>
          <w:sz w:val="27"/>
          <w:rtl/>
        </w:rPr>
      </w:pPr>
      <w:r w:rsidRPr="006571AC">
        <w:rPr>
          <w:sz w:val="27"/>
          <w:rtl/>
        </w:rPr>
        <w:t>وهناك حديث</w:t>
      </w:r>
      <w:r w:rsidR="005A6AF6" w:rsidRPr="006571AC">
        <w:rPr>
          <w:rFonts w:hint="cs"/>
          <w:sz w:val="27"/>
          <w:rtl/>
        </w:rPr>
        <w:t>ٌ</w:t>
      </w:r>
      <w:r w:rsidRPr="006571AC">
        <w:rPr>
          <w:sz w:val="27"/>
          <w:rtl/>
        </w:rPr>
        <w:t xml:space="preserve"> عن مضمون الخطبة</w:t>
      </w:r>
      <w:r w:rsidR="005A6AF6" w:rsidRPr="006571AC">
        <w:rPr>
          <w:rFonts w:hint="cs"/>
          <w:sz w:val="27"/>
          <w:rtl/>
        </w:rPr>
        <w:t>؛</w:t>
      </w:r>
      <w:r w:rsidRPr="006571AC">
        <w:rPr>
          <w:sz w:val="27"/>
          <w:rtl/>
        </w:rPr>
        <w:t xml:space="preserve"> فإن البعض يقرأ خطبته من كتب خطب الجمعة القديمة. </w:t>
      </w:r>
    </w:p>
    <w:p w:rsidR="007C76F0" w:rsidRPr="006571AC" w:rsidRDefault="007C76F0" w:rsidP="001E5689">
      <w:pPr>
        <w:spacing w:line="380" w:lineRule="exact"/>
        <w:rPr>
          <w:sz w:val="27"/>
        </w:rPr>
      </w:pPr>
      <w:r w:rsidRPr="006571AC">
        <w:rPr>
          <w:sz w:val="27"/>
          <w:rtl/>
        </w:rPr>
        <w:lastRenderedPageBreak/>
        <w:t>ذكر أحد الكت</w:t>
      </w:r>
      <w:r w:rsidR="005A6AF6" w:rsidRPr="006571AC">
        <w:rPr>
          <w:rFonts w:hint="cs"/>
          <w:sz w:val="27"/>
          <w:rtl/>
        </w:rPr>
        <w:t>ّ</w:t>
      </w:r>
      <w:r w:rsidRPr="006571AC">
        <w:rPr>
          <w:sz w:val="27"/>
          <w:rtl/>
        </w:rPr>
        <w:t>اب السوريين في مقال</w:t>
      </w:r>
      <w:r w:rsidR="005A6AF6" w:rsidRPr="006571AC">
        <w:rPr>
          <w:rFonts w:hint="cs"/>
          <w:sz w:val="27"/>
          <w:rtl/>
        </w:rPr>
        <w:t>ٍ</w:t>
      </w:r>
      <w:r w:rsidRPr="006571AC">
        <w:rPr>
          <w:sz w:val="27"/>
          <w:rtl/>
        </w:rPr>
        <w:t xml:space="preserve"> له ما يلي: وفي بلدتي التي عشت فيها طفولتي كان الإمام يخطب من كتاب (ابن أبي نباتة) من أي</w:t>
      </w:r>
      <w:r w:rsidR="005A6AF6" w:rsidRPr="006571AC">
        <w:rPr>
          <w:rFonts w:hint="cs"/>
          <w:sz w:val="27"/>
          <w:rtl/>
        </w:rPr>
        <w:t>ّ</w:t>
      </w:r>
      <w:r w:rsidRPr="006571AC">
        <w:rPr>
          <w:sz w:val="27"/>
          <w:rtl/>
        </w:rPr>
        <w:t>ام السلطان قلاوون (المنصور سيف الدين قلاوون الألفي الصالحي ـ توفي سنة 689هـ). وهناك 52 خطبة على مدار السنة، وحسب المواسم، وكن</w:t>
      </w:r>
      <w:r w:rsidR="005A6AF6" w:rsidRPr="006571AC">
        <w:rPr>
          <w:rFonts w:hint="cs"/>
          <w:sz w:val="27"/>
          <w:rtl/>
        </w:rPr>
        <w:t>ّ</w:t>
      </w:r>
      <w:r w:rsidRPr="006571AC">
        <w:rPr>
          <w:sz w:val="27"/>
          <w:rtl/>
        </w:rPr>
        <w:t>ا صياماً فتحد</w:t>
      </w:r>
      <w:r w:rsidR="005A6AF6" w:rsidRPr="006571AC">
        <w:rPr>
          <w:rFonts w:hint="cs"/>
          <w:sz w:val="27"/>
          <w:rtl/>
        </w:rPr>
        <w:t>َّ</w:t>
      </w:r>
      <w:r w:rsidRPr="006571AC">
        <w:rPr>
          <w:sz w:val="27"/>
          <w:rtl/>
        </w:rPr>
        <w:t>ث عن الحج</w:t>
      </w:r>
      <w:r w:rsidR="005A6AF6" w:rsidRPr="006571AC">
        <w:rPr>
          <w:rFonts w:hint="cs"/>
          <w:sz w:val="27"/>
          <w:rtl/>
        </w:rPr>
        <w:t>ّ</w:t>
      </w:r>
      <w:r w:rsidRPr="006571AC">
        <w:rPr>
          <w:sz w:val="27"/>
          <w:rtl/>
        </w:rPr>
        <w:t>، ثم</w:t>
      </w:r>
      <w:r w:rsidR="005A6AF6" w:rsidRPr="006571AC">
        <w:rPr>
          <w:rFonts w:hint="cs"/>
          <w:sz w:val="27"/>
          <w:rtl/>
        </w:rPr>
        <w:t>ّ</w:t>
      </w:r>
      <w:r w:rsidRPr="006571AC">
        <w:rPr>
          <w:sz w:val="27"/>
          <w:rtl/>
        </w:rPr>
        <w:t xml:space="preserve"> انتبه إلى أنه بد</w:t>
      </w:r>
      <w:r w:rsidR="005A6AF6" w:rsidRPr="006571AC">
        <w:rPr>
          <w:rFonts w:hint="cs"/>
          <w:sz w:val="27"/>
          <w:rtl/>
        </w:rPr>
        <w:t>ّ</w:t>
      </w:r>
      <w:r w:rsidRPr="006571AC">
        <w:rPr>
          <w:sz w:val="27"/>
          <w:rtl/>
        </w:rPr>
        <w:t>ل المواسم، فبدأ يقل</w:t>
      </w:r>
      <w:r w:rsidR="00CD51B3" w:rsidRPr="006571AC">
        <w:rPr>
          <w:rFonts w:hint="cs"/>
          <w:sz w:val="27"/>
          <w:rtl/>
        </w:rPr>
        <w:t>ِّ</w:t>
      </w:r>
      <w:r w:rsidRPr="006571AC">
        <w:rPr>
          <w:sz w:val="27"/>
          <w:rtl/>
        </w:rPr>
        <w:t>ب على عجل</w:t>
      </w:r>
      <w:r w:rsidR="005A6AF6" w:rsidRPr="006571AC">
        <w:rPr>
          <w:rFonts w:hint="cs"/>
          <w:sz w:val="27"/>
          <w:rtl/>
        </w:rPr>
        <w:t>ٍ</w:t>
      </w:r>
      <w:r w:rsidRPr="006571AC">
        <w:rPr>
          <w:sz w:val="27"/>
          <w:rtl/>
        </w:rPr>
        <w:t xml:space="preserve"> عن الخطبة المناسبة، بعد أن ضل</w:t>
      </w:r>
      <w:r w:rsidR="005A6AF6" w:rsidRPr="006571AC">
        <w:rPr>
          <w:rFonts w:hint="cs"/>
          <w:sz w:val="27"/>
          <w:rtl/>
        </w:rPr>
        <w:t>ّ</w:t>
      </w:r>
      <w:r w:rsidRPr="006571AC">
        <w:rPr>
          <w:sz w:val="27"/>
          <w:rtl/>
        </w:rPr>
        <w:t xml:space="preserve"> طريقه إليها</w:t>
      </w:r>
      <w:r w:rsidRPr="006571AC">
        <w:rPr>
          <w:sz w:val="27"/>
          <w:vertAlign w:val="superscript"/>
          <w:rtl/>
        </w:rPr>
        <w:t>(</w:t>
      </w:r>
      <w:r w:rsidRPr="006571AC">
        <w:rPr>
          <w:sz w:val="27"/>
          <w:vertAlign w:val="superscript"/>
          <w:rtl/>
        </w:rPr>
        <w:endnoteReference w:id="126"/>
      </w:r>
      <w:r w:rsidRPr="006571AC">
        <w:rPr>
          <w:sz w:val="27"/>
          <w:vertAlign w:val="superscript"/>
          <w:rtl/>
        </w:rPr>
        <w:t>)</w:t>
      </w:r>
      <w:r w:rsidRPr="006571AC">
        <w:rPr>
          <w:sz w:val="27"/>
          <w:rtl/>
        </w:rPr>
        <w:t xml:space="preserve">. </w:t>
      </w:r>
    </w:p>
    <w:p w:rsidR="007C76F0" w:rsidRPr="006571AC" w:rsidRDefault="007C76F0" w:rsidP="001E5689">
      <w:pPr>
        <w:spacing w:line="380" w:lineRule="exact"/>
        <w:rPr>
          <w:sz w:val="27"/>
        </w:rPr>
      </w:pPr>
      <w:r w:rsidRPr="006571AC">
        <w:rPr>
          <w:sz w:val="27"/>
          <w:rtl/>
        </w:rPr>
        <w:t>ونجد مثل هذه الطريقة عند البعض في إحياء المناسبات المرتبطة بأهل البيت</w:t>
      </w:r>
      <w:r w:rsidR="005A6AF6" w:rsidRPr="006571AC">
        <w:rPr>
          <w:rFonts w:ascii="Mosawi" w:hAnsi="Mosawi" w:cs="Mosawi"/>
          <w:sz w:val="22"/>
          <w:szCs w:val="22"/>
          <w:rtl/>
        </w:rPr>
        <w:t>^</w:t>
      </w:r>
      <w:r w:rsidRPr="006571AC">
        <w:rPr>
          <w:sz w:val="27"/>
          <w:rtl/>
        </w:rPr>
        <w:t>، فالمطلوب أن يكون الخطاب بنفس الصيغة والأسلوب والطريقة المتوارثة، وأي</w:t>
      </w:r>
      <w:r w:rsidR="00482FB1" w:rsidRPr="006571AC">
        <w:rPr>
          <w:rFonts w:hint="cs"/>
          <w:sz w:val="27"/>
          <w:rtl/>
        </w:rPr>
        <w:t>ّ</w:t>
      </w:r>
      <w:r w:rsidRPr="006571AC">
        <w:rPr>
          <w:sz w:val="27"/>
          <w:rtl/>
        </w:rPr>
        <w:t xml:space="preserve"> تطوير</w:t>
      </w:r>
      <w:r w:rsidR="00482FB1" w:rsidRPr="006571AC">
        <w:rPr>
          <w:rFonts w:hint="cs"/>
          <w:sz w:val="27"/>
          <w:rtl/>
        </w:rPr>
        <w:t>ٍ</w:t>
      </w:r>
      <w:r w:rsidRPr="006571AC">
        <w:rPr>
          <w:sz w:val="27"/>
          <w:rtl/>
        </w:rPr>
        <w:t xml:space="preserve"> أو تغيير فهو تحريف</w:t>
      </w:r>
      <w:r w:rsidR="00482FB1" w:rsidRPr="006571AC">
        <w:rPr>
          <w:rFonts w:hint="cs"/>
          <w:sz w:val="27"/>
          <w:rtl/>
        </w:rPr>
        <w:t>ٌ</w:t>
      </w:r>
      <w:r w:rsidRPr="006571AC">
        <w:rPr>
          <w:sz w:val="27"/>
          <w:rtl/>
        </w:rPr>
        <w:t xml:space="preserve"> للغ</w:t>
      </w:r>
      <w:r w:rsidR="00CD51B3" w:rsidRPr="006571AC">
        <w:rPr>
          <w:rFonts w:hint="cs"/>
          <w:sz w:val="27"/>
          <w:rtl/>
        </w:rPr>
        <w:t>َ</w:t>
      </w:r>
      <w:r w:rsidRPr="006571AC">
        <w:rPr>
          <w:sz w:val="27"/>
          <w:rtl/>
        </w:rPr>
        <w:t>ر</w:t>
      </w:r>
      <w:r w:rsidR="00CD51B3" w:rsidRPr="006571AC">
        <w:rPr>
          <w:rFonts w:hint="cs"/>
          <w:sz w:val="27"/>
          <w:rtl/>
        </w:rPr>
        <w:t>َ</w:t>
      </w:r>
      <w:r w:rsidRPr="006571AC">
        <w:rPr>
          <w:sz w:val="27"/>
          <w:rtl/>
        </w:rPr>
        <w:t>ض وتمييع</w:t>
      </w:r>
      <w:r w:rsidR="00CD51B3" w:rsidRPr="006571AC">
        <w:rPr>
          <w:rFonts w:hint="cs"/>
          <w:sz w:val="27"/>
          <w:rtl/>
        </w:rPr>
        <w:t>ٌ</w:t>
      </w:r>
      <w:r w:rsidRPr="006571AC">
        <w:rPr>
          <w:sz w:val="27"/>
          <w:rtl/>
        </w:rPr>
        <w:t xml:space="preserve"> لهوي</w:t>
      </w:r>
      <w:r w:rsidR="00CD51B3" w:rsidRPr="006571AC">
        <w:rPr>
          <w:rFonts w:hint="cs"/>
          <w:sz w:val="27"/>
          <w:rtl/>
        </w:rPr>
        <w:t>ّ</w:t>
      </w:r>
      <w:r w:rsidRPr="006571AC">
        <w:rPr>
          <w:sz w:val="27"/>
          <w:rtl/>
        </w:rPr>
        <w:t>ة المناسبة</w:t>
      </w:r>
      <w:r w:rsidR="00482FB1" w:rsidRPr="006571AC">
        <w:rPr>
          <w:rFonts w:hint="cs"/>
          <w:sz w:val="27"/>
          <w:rtl/>
        </w:rPr>
        <w:t>!</w:t>
      </w:r>
      <w:r w:rsidRPr="006571AC">
        <w:rPr>
          <w:sz w:val="27"/>
          <w:rtl/>
        </w:rPr>
        <w:t xml:space="preserve"> </w:t>
      </w:r>
    </w:p>
    <w:p w:rsidR="007C76F0" w:rsidRPr="006571AC" w:rsidRDefault="007C76F0" w:rsidP="001E5689">
      <w:pPr>
        <w:spacing w:line="380" w:lineRule="exact"/>
        <w:rPr>
          <w:sz w:val="27"/>
        </w:rPr>
      </w:pPr>
      <w:r w:rsidRPr="006571AC">
        <w:rPr>
          <w:sz w:val="27"/>
          <w:rtl/>
        </w:rPr>
        <w:t>فالمطلوب في موسم عاشوراء مثلاً هو السيرة فقط، وضمن رواية</w:t>
      </w:r>
      <w:r w:rsidR="00482FB1" w:rsidRPr="006571AC">
        <w:rPr>
          <w:rFonts w:hint="cs"/>
          <w:sz w:val="27"/>
          <w:rtl/>
        </w:rPr>
        <w:t>ٍ</w:t>
      </w:r>
      <w:r w:rsidRPr="006571AC">
        <w:rPr>
          <w:sz w:val="27"/>
          <w:rtl/>
        </w:rPr>
        <w:t xml:space="preserve"> معي</w:t>
      </w:r>
      <w:r w:rsidR="00482FB1" w:rsidRPr="006571AC">
        <w:rPr>
          <w:rFonts w:hint="cs"/>
          <w:sz w:val="27"/>
          <w:rtl/>
        </w:rPr>
        <w:t>َّ</w:t>
      </w:r>
      <w:r w:rsidRPr="006571AC">
        <w:rPr>
          <w:sz w:val="27"/>
          <w:rtl/>
        </w:rPr>
        <w:t>نة، وقد قرأنا بعض الكتابات التي تعترض على طرح مواضيع ثقافية واجتماعية في موسم عاشوراء، وترى أن ذلك مشروع</w:t>
      </w:r>
      <w:r w:rsidR="00CD51B3" w:rsidRPr="006571AC">
        <w:rPr>
          <w:rFonts w:hint="cs"/>
          <w:sz w:val="27"/>
          <w:rtl/>
        </w:rPr>
        <w:t>ٌ</w:t>
      </w:r>
      <w:r w:rsidRPr="006571AC">
        <w:rPr>
          <w:sz w:val="27"/>
          <w:rtl/>
        </w:rPr>
        <w:t xml:space="preserve"> واضح</w:t>
      </w:r>
      <w:r w:rsidR="00CD51B3" w:rsidRPr="006571AC">
        <w:rPr>
          <w:rFonts w:hint="cs"/>
          <w:sz w:val="27"/>
          <w:rtl/>
        </w:rPr>
        <w:t>ُ</w:t>
      </w:r>
      <w:r w:rsidRPr="006571AC">
        <w:rPr>
          <w:sz w:val="27"/>
          <w:rtl/>
        </w:rPr>
        <w:t xml:space="preserve"> المعالم في الحرب على الشعائر، لا مبر</w:t>
      </w:r>
      <w:r w:rsidR="00482FB1" w:rsidRPr="006571AC">
        <w:rPr>
          <w:rFonts w:hint="cs"/>
          <w:sz w:val="27"/>
          <w:rtl/>
        </w:rPr>
        <w:t>ِّ</w:t>
      </w:r>
      <w:r w:rsidRPr="006571AC">
        <w:rPr>
          <w:sz w:val="27"/>
          <w:rtl/>
        </w:rPr>
        <w:t>ر للمشاركة فيه</w:t>
      </w:r>
      <w:r w:rsidR="00482FB1" w:rsidRPr="006571AC">
        <w:rPr>
          <w:rFonts w:hint="cs"/>
          <w:sz w:val="27"/>
          <w:rtl/>
        </w:rPr>
        <w:t>،</w:t>
      </w:r>
      <w:r w:rsidRPr="006571AC">
        <w:rPr>
          <w:sz w:val="27"/>
          <w:rtl/>
        </w:rPr>
        <w:t xml:space="preserve"> ولا دعمه</w:t>
      </w:r>
      <w:r w:rsidR="00482FB1" w:rsidRPr="006571AC">
        <w:rPr>
          <w:rFonts w:hint="cs"/>
          <w:sz w:val="27"/>
          <w:rtl/>
        </w:rPr>
        <w:t>،</w:t>
      </w:r>
      <w:r w:rsidRPr="006571AC">
        <w:rPr>
          <w:sz w:val="27"/>
          <w:rtl/>
        </w:rPr>
        <w:t xml:space="preserve"> ولا إضفاء الشرعية عليه، وأن محر</w:t>
      </w:r>
      <w:r w:rsidR="00CD51B3" w:rsidRPr="006571AC">
        <w:rPr>
          <w:rFonts w:hint="cs"/>
          <w:sz w:val="27"/>
          <w:rtl/>
        </w:rPr>
        <w:t>َّ</w:t>
      </w:r>
      <w:r w:rsidRPr="006571AC">
        <w:rPr>
          <w:sz w:val="27"/>
          <w:rtl/>
        </w:rPr>
        <w:t>م موسم</w:t>
      </w:r>
      <w:r w:rsidR="00CD51B3" w:rsidRPr="006571AC">
        <w:rPr>
          <w:rFonts w:hint="cs"/>
          <w:sz w:val="27"/>
          <w:rtl/>
        </w:rPr>
        <w:t>ُ</w:t>
      </w:r>
      <w:r w:rsidRPr="006571AC">
        <w:rPr>
          <w:sz w:val="27"/>
          <w:rtl/>
        </w:rPr>
        <w:t xml:space="preserve"> عزاء</w:t>
      </w:r>
      <w:r w:rsidR="00CD51B3" w:rsidRPr="006571AC">
        <w:rPr>
          <w:rFonts w:hint="cs"/>
          <w:sz w:val="27"/>
          <w:rtl/>
        </w:rPr>
        <w:t>ٍ</w:t>
      </w:r>
      <w:r w:rsidR="00482FB1" w:rsidRPr="006571AC">
        <w:rPr>
          <w:rFonts w:hint="cs"/>
          <w:sz w:val="27"/>
          <w:rtl/>
        </w:rPr>
        <w:t>،</w:t>
      </w:r>
      <w:r w:rsidRPr="006571AC">
        <w:rPr>
          <w:sz w:val="27"/>
          <w:rtl/>
        </w:rPr>
        <w:t xml:space="preserve"> لا موسم ثقافة. </w:t>
      </w:r>
    </w:p>
    <w:p w:rsidR="007C76F0" w:rsidRPr="006571AC" w:rsidRDefault="007C76F0" w:rsidP="001E5689">
      <w:pPr>
        <w:spacing w:line="380" w:lineRule="exact"/>
        <w:rPr>
          <w:sz w:val="27"/>
          <w:rtl/>
        </w:rPr>
      </w:pPr>
      <w:r w:rsidRPr="006571AC">
        <w:rPr>
          <w:sz w:val="27"/>
          <w:rtl/>
        </w:rPr>
        <w:t>وكأن</w:t>
      </w:r>
      <w:r w:rsidR="00482FB1" w:rsidRPr="006571AC">
        <w:rPr>
          <w:rFonts w:hint="cs"/>
          <w:sz w:val="27"/>
          <w:rtl/>
        </w:rPr>
        <w:t>ّ</w:t>
      </w:r>
      <w:r w:rsidRPr="006571AC">
        <w:rPr>
          <w:sz w:val="27"/>
          <w:rtl/>
        </w:rPr>
        <w:t xml:space="preserve"> هؤلاء أحرص على المناسبة والولاء لأهل البيت</w:t>
      </w:r>
      <w:r w:rsidR="00482FB1" w:rsidRPr="006571AC">
        <w:rPr>
          <w:rFonts w:ascii="Mosawi" w:hAnsi="Mosawi" w:cs="Mosawi"/>
          <w:sz w:val="22"/>
          <w:szCs w:val="22"/>
          <w:rtl/>
        </w:rPr>
        <w:t>^</w:t>
      </w:r>
      <w:r w:rsidRPr="006571AC">
        <w:rPr>
          <w:sz w:val="27"/>
          <w:rtl/>
        </w:rPr>
        <w:t xml:space="preserve"> من الأئم</w:t>
      </w:r>
      <w:r w:rsidR="00482FB1" w:rsidRPr="006571AC">
        <w:rPr>
          <w:rFonts w:hint="cs"/>
          <w:sz w:val="27"/>
          <w:rtl/>
        </w:rPr>
        <w:t>ّ</w:t>
      </w:r>
      <w:r w:rsidRPr="006571AC">
        <w:rPr>
          <w:sz w:val="27"/>
          <w:rtl/>
        </w:rPr>
        <w:t>ة أنفسهم، الذين يؤك</w:t>
      </w:r>
      <w:r w:rsidR="00482FB1" w:rsidRPr="006571AC">
        <w:rPr>
          <w:rFonts w:hint="cs"/>
          <w:sz w:val="27"/>
          <w:rtl/>
        </w:rPr>
        <w:t>ِّ</w:t>
      </w:r>
      <w:r w:rsidRPr="006571AC">
        <w:rPr>
          <w:sz w:val="27"/>
          <w:rtl/>
        </w:rPr>
        <w:t>دون أن إحياء (أمرهم) هو ببث</w:t>
      </w:r>
      <w:r w:rsidR="00482FB1" w:rsidRPr="006571AC">
        <w:rPr>
          <w:rFonts w:hint="cs"/>
          <w:sz w:val="27"/>
          <w:rtl/>
        </w:rPr>
        <w:t>ّ</w:t>
      </w:r>
      <w:r w:rsidR="00482FB1" w:rsidRPr="006571AC">
        <w:rPr>
          <w:sz w:val="27"/>
          <w:rtl/>
        </w:rPr>
        <w:t xml:space="preserve"> علومهم، كما ورد عن عبد الس</w:t>
      </w:r>
      <w:r w:rsidRPr="006571AC">
        <w:rPr>
          <w:sz w:val="27"/>
          <w:rtl/>
        </w:rPr>
        <w:t>لام بن صالح الهرويّ قال: سَمِعتُ أبَا الحَسَنِ الرِّضا</w:t>
      </w:r>
      <w:r w:rsidR="00482FB1" w:rsidRPr="006571AC">
        <w:rPr>
          <w:rFonts w:ascii="Mosawi" w:hAnsi="Mosawi" w:cs="Mosawi"/>
          <w:sz w:val="22"/>
          <w:szCs w:val="22"/>
          <w:rtl/>
        </w:rPr>
        <w:t>×</w:t>
      </w:r>
      <w:r w:rsidRPr="006571AC">
        <w:rPr>
          <w:sz w:val="27"/>
          <w:rtl/>
        </w:rPr>
        <w:t xml:space="preserve"> يَقولُ: </w:t>
      </w:r>
      <w:r w:rsidRPr="006571AC">
        <w:rPr>
          <w:rFonts w:hint="eastAsia"/>
          <w:sz w:val="24"/>
          <w:szCs w:val="24"/>
          <w:rtl/>
        </w:rPr>
        <w:t>«</w:t>
      </w:r>
      <w:r w:rsidRPr="006571AC">
        <w:rPr>
          <w:sz w:val="27"/>
          <w:rtl/>
        </w:rPr>
        <w:t>رَحِمَ الله عَب</w:t>
      </w:r>
      <w:r w:rsidR="00CD51B3" w:rsidRPr="006571AC">
        <w:rPr>
          <w:rFonts w:hint="cs"/>
          <w:sz w:val="27"/>
          <w:rtl/>
        </w:rPr>
        <w:t>ْ</w:t>
      </w:r>
      <w:r w:rsidRPr="006571AC">
        <w:rPr>
          <w:sz w:val="27"/>
          <w:rtl/>
        </w:rPr>
        <w:t>دا</w:t>
      </w:r>
      <w:r w:rsidR="00482FB1" w:rsidRPr="006571AC">
        <w:rPr>
          <w:rFonts w:hint="cs"/>
          <w:sz w:val="27"/>
          <w:rtl/>
        </w:rPr>
        <w:t>ً</w:t>
      </w:r>
      <w:r w:rsidR="00482FB1" w:rsidRPr="006571AC">
        <w:rPr>
          <w:sz w:val="27"/>
          <w:rtl/>
        </w:rPr>
        <w:t xml:space="preserve"> أ</w:t>
      </w:r>
      <w:r w:rsidR="00CD51B3" w:rsidRPr="006571AC">
        <w:rPr>
          <w:rFonts w:hint="cs"/>
          <w:sz w:val="27"/>
          <w:rtl/>
        </w:rPr>
        <w:t>َ</w:t>
      </w:r>
      <w:r w:rsidR="00482FB1" w:rsidRPr="006571AC">
        <w:rPr>
          <w:sz w:val="27"/>
          <w:rtl/>
        </w:rPr>
        <w:t>ح</w:t>
      </w:r>
      <w:r w:rsidR="00CD51B3" w:rsidRPr="006571AC">
        <w:rPr>
          <w:rFonts w:hint="cs"/>
          <w:sz w:val="27"/>
          <w:rtl/>
        </w:rPr>
        <w:t>ْ</w:t>
      </w:r>
      <w:r w:rsidR="00482FB1" w:rsidRPr="006571AC">
        <w:rPr>
          <w:sz w:val="27"/>
          <w:rtl/>
        </w:rPr>
        <w:t>ي</w:t>
      </w:r>
      <w:r w:rsidR="00CD51B3" w:rsidRPr="006571AC">
        <w:rPr>
          <w:rFonts w:hint="cs"/>
          <w:sz w:val="27"/>
          <w:rtl/>
        </w:rPr>
        <w:t>َ</w:t>
      </w:r>
      <w:r w:rsidR="00482FB1" w:rsidRPr="006571AC">
        <w:rPr>
          <w:sz w:val="27"/>
          <w:rtl/>
        </w:rPr>
        <w:t>ا أ</w:t>
      </w:r>
      <w:r w:rsidR="00CD51B3" w:rsidRPr="006571AC">
        <w:rPr>
          <w:rFonts w:hint="cs"/>
          <w:sz w:val="27"/>
          <w:rtl/>
        </w:rPr>
        <w:t>َ</w:t>
      </w:r>
      <w:r w:rsidR="00482FB1" w:rsidRPr="006571AC">
        <w:rPr>
          <w:sz w:val="27"/>
          <w:rtl/>
        </w:rPr>
        <w:t>م</w:t>
      </w:r>
      <w:r w:rsidR="00CD51B3" w:rsidRPr="006571AC">
        <w:rPr>
          <w:rFonts w:hint="cs"/>
          <w:sz w:val="27"/>
          <w:rtl/>
        </w:rPr>
        <w:t>ْ</w:t>
      </w:r>
      <w:r w:rsidR="00482FB1" w:rsidRPr="006571AC">
        <w:rPr>
          <w:sz w:val="27"/>
          <w:rtl/>
        </w:rPr>
        <w:t>رَن</w:t>
      </w:r>
      <w:r w:rsidR="00CD51B3" w:rsidRPr="006571AC">
        <w:rPr>
          <w:rFonts w:hint="cs"/>
          <w:sz w:val="27"/>
          <w:rtl/>
        </w:rPr>
        <w:t>َ</w:t>
      </w:r>
      <w:r w:rsidR="00482FB1" w:rsidRPr="006571AC">
        <w:rPr>
          <w:sz w:val="27"/>
          <w:rtl/>
        </w:rPr>
        <w:t>ا</w:t>
      </w:r>
      <w:r w:rsidRPr="006571AC">
        <w:rPr>
          <w:rFonts w:hint="eastAsia"/>
          <w:sz w:val="24"/>
          <w:szCs w:val="24"/>
          <w:rtl/>
        </w:rPr>
        <w:t>»</w:t>
      </w:r>
      <w:r w:rsidR="00482FB1" w:rsidRPr="006571AC">
        <w:rPr>
          <w:rFonts w:hint="cs"/>
          <w:sz w:val="27"/>
          <w:rtl/>
        </w:rPr>
        <w:t>،</w:t>
      </w:r>
      <w:r w:rsidRPr="006571AC">
        <w:rPr>
          <w:sz w:val="27"/>
          <w:rtl/>
        </w:rPr>
        <w:t xml:space="preserve"> فَقُلتُ لَهُ: </w:t>
      </w:r>
      <w:r w:rsidR="00482FB1" w:rsidRPr="006571AC">
        <w:rPr>
          <w:sz w:val="27"/>
          <w:rtl/>
        </w:rPr>
        <w:t>فَكَيفَ يُح</w:t>
      </w:r>
      <w:r w:rsidR="00CD51B3" w:rsidRPr="006571AC">
        <w:rPr>
          <w:rFonts w:hint="cs"/>
          <w:sz w:val="27"/>
          <w:rtl/>
        </w:rPr>
        <w:t>ْ</w:t>
      </w:r>
      <w:r w:rsidR="00482FB1" w:rsidRPr="006571AC">
        <w:rPr>
          <w:sz w:val="27"/>
          <w:rtl/>
        </w:rPr>
        <w:t>ي</w:t>
      </w:r>
      <w:r w:rsidR="00CD51B3" w:rsidRPr="006571AC">
        <w:rPr>
          <w:rFonts w:hint="cs"/>
          <w:sz w:val="27"/>
          <w:rtl/>
        </w:rPr>
        <w:t>ِ</w:t>
      </w:r>
      <w:r w:rsidR="00482FB1" w:rsidRPr="006571AC">
        <w:rPr>
          <w:sz w:val="27"/>
          <w:rtl/>
        </w:rPr>
        <w:t>ي أ</w:t>
      </w:r>
      <w:r w:rsidR="00CD51B3" w:rsidRPr="006571AC">
        <w:rPr>
          <w:rFonts w:hint="cs"/>
          <w:sz w:val="27"/>
          <w:rtl/>
        </w:rPr>
        <w:t>َ</w:t>
      </w:r>
      <w:r w:rsidR="00482FB1" w:rsidRPr="006571AC">
        <w:rPr>
          <w:sz w:val="27"/>
          <w:rtl/>
        </w:rPr>
        <w:t>م</w:t>
      </w:r>
      <w:r w:rsidR="00CD51B3" w:rsidRPr="006571AC">
        <w:rPr>
          <w:rFonts w:hint="cs"/>
          <w:sz w:val="27"/>
          <w:rtl/>
        </w:rPr>
        <w:t>ْ</w:t>
      </w:r>
      <w:r w:rsidR="00482FB1" w:rsidRPr="006571AC">
        <w:rPr>
          <w:sz w:val="27"/>
          <w:rtl/>
        </w:rPr>
        <w:t>رَكُم</w:t>
      </w:r>
      <w:r w:rsidR="00CD51B3" w:rsidRPr="006571AC">
        <w:rPr>
          <w:rFonts w:hint="cs"/>
          <w:sz w:val="27"/>
          <w:rtl/>
        </w:rPr>
        <w:t>ْ</w:t>
      </w:r>
      <w:r w:rsidR="00482FB1" w:rsidRPr="006571AC">
        <w:rPr>
          <w:sz w:val="27"/>
          <w:rtl/>
        </w:rPr>
        <w:t>؟</w:t>
      </w:r>
      <w:r w:rsidR="00482FB1" w:rsidRPr="006571AC">
        <w:rPr>
          <w:rFonts w:hint="cs"/>
          <w:sz w:val="27"/>
          <w:rtl/>
        </w:rPr>
        <w:t xml:space="preserve"> </w:t>
      </w:r>
      <w:r w:rsidRPr="006571AC">
        <w:rPr>
          <w:sz w:val="27"/>
          <w:rtl/>
        </w:rPr>
        <w:t xml:space="preserve">قالَ: </w:t>
      </w:r>
      <w:r w:rsidRPr="006571AC">
        <w:rPr>
          <w:rFonts w:hint="eastAsia"/>
          <w:sz w:val="24"/>
          <w:szCs w:val="24"/>
          <w:rtl/>
        </w:rPr>
        <w:t>«</w:t>
      </w:r>
      <w:r w:rsidRPr="006571AC">
        <w:rPr>
          <w:sz w:val="27"/>
          <w:rtl/>
        </w:rPr>
        <w:t>يَتَعَلَّمُ عُل</w:t>
      </w:r>
      <w:r w:rsidR="00CD51B3" w:rsidRPr="006571AC">
        <w:rPr>
          <w:rFonts w:hint="cs"/>
          <w:sz w:val="27"/>
          <w:rtl/>
        </w:rPr>
        <w:t>ُ</w:t>
      </w:r>
      <w:r w:rsidRPr="006571AC">
        <w:rPr>
          <w:sz w:val="27"/>
          <w:rtl/>
        </w:rPr>
        <w:t>ومَنا</w:t>
      </w:r>
      <w:r w:rsidR="00482FB1" w:rsidRPr="006571AC">
        <w:rPr>
          <w:rFonts w:hint="cs"/>
          <w:sz w:val="27"/>
          <w:rtl/>
        </w:rPr>
        <w:t>،</w:t>
      </w:r>
      <w:r w:rsidRPr="006571AC">
        <w:rPr>
          <w:sz w:val="27"/>
          <w:rtl/>
        </w:rPr>
        <w:t xml:space="preserve"> ويُعَلِّمُهَا النّ</w:t>
      </w:r>
      <w:r w:rsidR="00CD51B3" w:rsidRPr="006571AC">
        <w:rPr>
          <w:rFonts w:hint="cs"/>
          <w:sz w:val="27"/>
          <w:rtl/>
        </w:rPr>
        <w:t>َ</w:t>
      </w:r>
      <w:r w:rsidRPr="006571AC">
        <w:rPr>
          <w:sz w:val="27"/>
          <w:rtl/>
        </w:rPr>
        <w:t>اسَ؛ فَإِنَّ النّ</w:t>
      </w:r>
      <w:r w:rsidR="00CD51B3" w:rsidRPr="006571AC">
        <w:rPr>
          <w:rFonts w:hint="cs"/>
          <w:sz w:val="27"/>
          <w:rtl/>
        </w:rPr>
        <w:t>َ</w:t>
      </w:r>
      <w:r w:rsidRPr="006571AC">
        <w:rPr>
          <w:sz w:val="27"/>
          <w:rtl/>
        </w:rPr>
        <w:t xml:space="preserve">اسَ </w:t>
      </w:r>
      <w:r w:rsidR="00482FB1" w:rsidRPr="006571AC">
        <w:rPr>
          <w:sz w:val="27"/>
          <w:rtl/>
        </w:rPr>
        <w:t>لَو</w:t>
      </w:r>
      <w:r w:rsidR="00CD51B3" w:rsidRPr="006571AC">
        <w:rPr>
          <w:rFonts w:hint="cs"/>
          <w:sz w:val="27"/>
          <w:rtl/>
        </w:rPr>
        <w:t>ْ</w:t>
      </w:r>
      <w:r w:rsidR="00482FB1" w:rsidRPr="006571AC">
        <w:rPr>
          <w:sz w:val="27"/>
          <w:rtl/>
        </w:rPr>
        <w:t xml:space="preserve"> عَلِم</w:t>
      </w:r>
      <w:r w:rsidR="00CD51B3" w:rsidRPr="006571AC">
        <w:rPr>
          <w:rFonts w:hint="cs"/>
          <w:sz w:val="27"/>
          <w:rtl/>
        </w:rPr>
        <w:t>ُ</w:t>
      </w:r>
      <w:r w:rsidR="00482FB1" w:rsidRPr="006571AC">
        <w:rPr>
          <w:sz w:val="27"/>
          <w:rtl/>
        </w:rPr>
        <w:t>وا مَح</w:t>
      </w:r>
      <w:r w:rsidR="00CD51B3" w:rsidRPr="006571AC">
        <w:rPr>
          <w:rFonts w:hint="cs"/>
          <w:sz w:val="27"/>
          <w:rtl/>
        </w:rPr>
        <w:t>َ</w:t>
      </w:r>
      <w:r w:rsidR="00482FB1" w:rsidRPr="006571AC">
        <w:rPr>
          <w:sz w:val="27"/>
          <w:rtl/>
        </w:rPr>
        <w:t>اسِنَ كَلامِن</w:t>
      </w:r>
      <w:r w:rsidR="00CD51B3" w:rsidRPr="006571AC">
        <w:rPr>
          <w:rFonts w:hint="cs"/>
          <w:sz w:val="27"/>
          <w:rtl/>
        </w:rPr>
        <w:t>َ</w:t>
      </w:r>
      <w:r w:rsidR="00482FB1" w:rsidRPr="006571AC">
        <w:rPr>
          <w:sz w:val="27"/>
          <w:rtl/>
        </w:rPr>
        <w:t>ا ل</w:t>
      </w:r>
      <w:r w:rsidRPr="006571AC">
        <w:rPr>
          <w:sz w:val="27"/>
          <w:rtl/>
        </w:rPr>
        <w:t>اتَّبَع</w:t>
      </w:r>
      <w:r w:rsidR="00CD51B3" w:rsidRPr="006571AC">
        <w:rPr>
          <w:rFonts w:hint="cs"/>
          <w:sz w:val="27"/>
          <w:rtl/>
        </w:rPr>
        <w:t>ُ</w:t>
      </w:r>
      <w:r w:rsidRPr="006571AC">
        <w:rPr>
          <w:sz w:val="27"/>
          <w:rtl/>
        </w:rPr>
        <w:t>ون</w:t>
      </w:r>
      <w:r w:rsidR="00CD51B3" w:rsidRPr="006571AC">
        <w:rPr>
          <w:rFonts w:hint="cs"/>
          <w:sz w:val="27"/>
          <w:rtl/>
        </w:rPr>
        <w:t>َ</w:t>
      </w:r>
      <w:r w:rsidRPr="006571AC">
        <w:rPr>
          <w:sz w:val="27"/>
          <w:rtl/>
        </w:rPr>
        <w:t>ا</w:t>
      </w:r>
      <w:r w:rsidRPr="006571AC">
        <w:rPr>
          <w:rFonts w:hint="eastAsia"/>
          <w:sz w:val="24"/>
          <w:szCs w:val="24"/>
          <w:rtl/>
        </w:rPr>
        <w:t>»</w:t>
      </w:r>
      <w:r w:rsidRPr="006571AC">
        <w:rPr>
          <w:sz w:val="27"/>
          <w:vertAlign w:val="superscript"/>
          <w:rtl/>
        </w:rPr>
        <w:t>(</w:t>
      </w:r>
      <w:r w:rsidRPr="006571AC">
        <w:rPr>
          <w:sz w:val="27"/>
          <w:vertAlign w:val="superscript"/>
          <w:rtl/>
        </w:rPr>
        <w:endnoteReference w:id="127"/>
      </w:r>
      <w:r w:rsidRPr="006571AC">
        <w:rPr>
          <w:sz w:val="27"/>
          <w:vertAlign w:val="superscript"/>
          <w:rtl/>
        </w:rPr>
        <w:t>)</w:t>
      </w:r>
      <w:r w:rsidRPr="006571AC">
        <w:rPr>
          <w:sz w:val="27"/>
          <w:rtl/>
        </w:rPr>
        <w:t xml:space="preserve">. </w:t>
      </w:r>
    </w:p>
    <w:p w:rsidR="007C76F0" w:rsidRPr="006571AC" w:rsidRDefault="007C76F0" w:rsidP="001E5689">
      <w:pPr>
        <w:spacing w:line="380" w:lineRule="exact"/>
        <w:rPr>
          <w:sz w:val="27"/>
          <w:rtl/>
        </w:rPr>
      </w:pPr>
      <w:r w:rsidRPr="006571AC">
        <w:rPr>
          <w:sz w:val="27"/>
          <w:rtl/>
        </w:rPr>
        <w:t>أما الاستشهاد بالروايات التي تتحد</w:t>
      </w:r>
      <w:r w:rsidR="00482FB1" w:rsidRPr="006571AC">
        <w:rPr>
          <w:rFonts w:hint="cs"/>
          <w:sz w:val="27"/>
          <w:rtl/>
        </w:rPr>
        <w:t>َّ</w:t>
      </w:r>
      <w:r w:rsidRPr="006571AC">
        <w:rPr>
          <w:sz w:val="27"/>
          <w:rtl/>
        </w:rPr>
        <w:t>ث عن بعض مشاهد العزاء عند الأئم</w:t>
      </w:r>
      <w:r w:rsidR="00482FB1" w:rsidRPr="006571AC">
        <w:rPr>
          <w:rFonts w:hint="cs"/>
          <w:sz w:val="27"/>
          <w:rtl/>
        </w:rPr>
        <w:t>ّ</w:t>
      </w:r>
      <w:r w:rsidRPr="006571AC">
        <w:rPr>
          <w:sz w:val="27"/>
          <w:rtl/>
        </w:rPr>
        <w:t>ة</w:t>
      </w:r>
      <w:r w:rsidR="00DC3B12" w:rsidRPr="006571AC">
        <w:rPr>
          <w:rFonts w:ascii="Mosawi" w:hAnsi="Mosawi" w:cs="Mosawi"/>
          <w:sz w:val="22"/>
          <w:szCs w:val="22"/>
          <w:rtl/>
        </w:rPr>
        <w:t>^</w:t>
      </w:r>
      <w:r w:rsidR="00482FB1" w:rsidRPr="006571AC">
        <w:rPr>
          <w:rFonts w:hint="cs"/>
          <w:sz w:val="27"/>
          <w:rtl/>
        </w:rPr>
        <w:t>،</w:t>
      </w:r>
      <w:r w:rsidRPr="006571AC">
        <w:rPr>
          <w:sz w:val="27"/>
          <w:rtl/>
        </w:rPr>
        <w:t xml:space="preserve"> كخبر أبي هارون المكفوف قال: قال لي أبو عبد الله</w:t>
      </w:r>
      <w:r w:rsidR="00482FB1" w:rsidRPr="006571AC">
        <w:rPr>
          <w:rFonts w:ascii="Mosawi" w:hAnsi="Mosawi" w:cs="Mosawi"/>
          <w:sz w:val="22"/>
          <w:szCs w:val="22"/>
          <w:rtl/>
        </w:rPr>
        <w:t>×</w:t>
      </w:r>
      <w:r w:rsidRPr="006571AC">
        <w:rPr>
          <w:sz w:val="27"/>
          <w:rtl/>
        </w:rPr>
        <w:t xml:space="preserve">‌: </w:t>
      </w:r>
      <w:r w:rsidRPr="006571AC">
        <w:rPr>
          <w:rFonts w:hint="eastAsia"/>
          <w:sz w:val="24"/>
          <w:szCs w:val="24"/>
          <w:rtl/>
        </w:rPr>
        <w:t>«</w:t>
      </w:r>
      <w:r w:rsidR="00482FB1" w:rsidRPr="006571AC">
        <w:rPr>
          <w:sz w:val="27"/>
          <w:rtl/>
        </w:rPr>
        <w:t>أنشدني في الحسي</w:t>
      </w:r>
      <w:r w:rsidR="00482FB1" w:rsidRPr="006571AC">
        <w:rPr>
          <w:rFonts w:hint="cs"/>
          <w:sz w:val="27"/>
          <w:rtl/>
        </w:rPr>
        <w:t>ن</w:t>
      </w:r>
      <w:r w:rsidR="00482FB1" w:rsidRPr="006571AC">
        <w:rPr>
          <w:rFonts w:ascii="Mosawi" w:hAnsi="Mosawi" w:cs="Mosawi"/>
          <w:sz w:val="22"/>
          <w:szCs w:val="22"/>
          <w:rtl/>
        </w:rPr>
        <w:t>×</w:t>
      </w:r>
      <w:r w:rsidRPr="006571AC">
        <w:rPr>
          <w:rFonts w:hint="eastAsia"/>
          <w:sz w:val="24"/>
          <w:szCs w:val="24"/>
          <w:rtl/>
        </w:rPr>
        <w:t>»</w:t>
      </w:r>
      <w:r w:rsidR="00482FB1" w:rsidRPr="006571AC">
        <w:rPr>
          <w:rFonts w:hint="cs"/>
          <w:sz w:val="27"/>
          <w:rtl/>
        </w:rPr>
        <w:t>،</w:t>
      </w:r>
      <w:r w:rsidRPr="006571AC">
        <w:rPr>
          <w:sz w:val="27"/>
          <w:rtl/>
        </w:rPr>
        <w:t xml:space="preserve"> فأنشدت</w:t>
      </w:r>
      <w:r w:rsidR="00482FB1" w:rsidRPr="006571AC">
        <w:rPr>
          <w:rFonts w:hint="cs"/>
          <w:sz w:val="27"/>
          <w:rtl/>
        </w:rPr>
        <w:t>ُ</w:t>
      </w:r>
      <w:r w:rsidR="00482FB1" w:rsidRPr="006571AC">
        <w:rPr>
          <w:sz w:val="27"/>
          <w:rtl/>
        </w:rPr>
        <w:t>ه</w:t>
      </w:r>
      <w:r w:rsidR="00482FB1" w:rsidRPr="006571AC">
        <w:rPr>
          <w:rFonts w:hint="cs"/>
          <w:sz w:val="27"/>
          <w:rtl/>
        </w:rPr>
        <w:t xml:space="preserve">، </w:t>
      </w:r>
      <w:r w:rsidRPr="006571AC">
        <w:rPr>
          <w:sz w:val="27"/>
          <w:rtl/>
        </w:rPr>
        <w:t xml:space="preserve">قال: </w:t>
      </w:r>
      <w:r w:rsidRPr="006571AC">
        <w:rPr>
          <w:rFonts w:hint="eastAsia"/>
          <w:sz w:val="24"/>
          <w:szCs w:val="24"/>
          <w:rtl/>
        </w:rPr>
        <w:t>«</w:t>
      </w:r>
      <w:r w:rsidRPr="006571AC">
        <w:rPr>
          <w:sz w:val="27"/>
          <w:rtl/>
        </w:rPr>
        <w:t>أنشدني كما تنشدون</w:t>
      </w:r>
      <w:r w:rsidRPr="006571AC">
        <w:rPr>
          <w:rFonts w:hint="eastAsia"/>
          <w:sz w:val="24"/>
          <w:szCs w:val="24"/>
          <w:rtl/>
        </w:rPr>
        <w:t>»</w:t>
      </w:r>
      <w:r w:rsidRPr="006571AC">
        <w:rPr>
          <w:sz w:val="27"/>
          <w:rtl/>
        </w:rPr>
        <w:t>، يعني بالرقّة، فأنش</w:t>
      </w:r>
      <w:r w:rsidR="00CD51B3" w:rsidRPr="006571AC">
        <w:rPr>
          <w:rFonts w:hint="cs"/>
          <w:sz w:val="27"/>
          <w:rtl/>
        </w:rPr>
        <w:t>َ</w:t>
      </w:r>
      <w:r w:rsidRPr="006571AC">
        <w:rPr>
          <w:sz w:val="27"/>
          <w:rtl/>
        </w:rPr>
        <w:t>د</w:t>
      </w:r>
      <w:r w:rsidR="00CD51B3" w:rsidRPr="006571AC">
        <w:rPr>
          <w:rFonts w:hint="cs"/>
          <w:sz w:val="27"/>
          <w:rtl/>
        </w:rPr>
        <w:t>ْ</w:t>
      </w:r>
      <w:r w:rsidRPr="006571AC">
        <w:rPr>
          <w:sz w:val="27"/>
          <w:rtl/>
        </w:rPr>
        <w:t>ت</w:t>
      </w:r>
      <w:r w:rsidR="00CD51B3" w:rsidRPr="006571AC">
        <w:rPr>
          <w:rFonts w:hint="cs"/>
          <w:sz w:val="27"/>
          <w:rtl/>
        </w:rPr>
        <w:t>ُ</w:t>
      </w:r>
      <w:r w:rsidRPr="006571AC">
        <w:rPr>
          <w:sz w:val="27"/>
          <w:rtl/>
        </w:rPr>
        <w:t xml:space="preserve">ه: </w:t>
      </w:r>
    </w:p>
    <w:tbl>
      <w:tblPr>
        <w:tblStyle w:val="1fc"/>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482FB1" w:rsidRPr="006571AC" w:rsidTr="001F1BD7">
        <w:trPr>
          <w:jc w:val="center"/>
        </w:trPr>
        <w:tc>
          <w:tcPr>
            <w:tcW w:w="3136" w:type="dxa"/>
          </w:tcPr>
          <w:p w:rsidR="00482FB1" w:rsidRPr="006571AC" w:rsidRDefault="001E5689" w:rsidP="002C27BC">
            <w:pPr>
              <w:spacing w:before="80" w:line="240" w:lineRule="auto"/>
              <w:ind w:firstLine="0"/>
              <w:jc w:val="lowKashida"/>
              <w:rPr>
                <w:sz w:val="2"/>
                <w:szCs w:val="2"/>
                <w:rtl/>
              </w:rPr>
            </w:pPr>
            <w:r w:rsidRPr="006571AC">
              <w:rPr>
                <w:rFonts w:hint="cs"/>
                <w:sz w:val="27"/>
                <w:rtl/>
              </w:rPr>
              <w:t>اُ</w:t>
            </w:r>
            <w:r w:rsidR="00482FB1" w:rsidRPr="006571AC">
              <w:rPr>
                <w:sz w:val="27"/>
                <w:rtl/>
              </w:rPr>
              <w:t>مْرُرْ عَلَىْ جَدَثِ الحُسَيْنِ</w:t>
            </w:r>
            <w:r w:rsidR="00482FB1" w:rsidRPr="006571AC">
              <w:rPr>
                <w:rFonts w:hint="cs"/>
                <w:sz w:val="27"/>
                <w:rtl/>
              </w:rPr>
              <w:br/>
            </w:r>
          </w:p>
        </w:tc>
        <w:tc>
          <w:tcPr>
            <w:tcW w:w="425" w:type="dxa"/>
          </w:tcPr>
          <w:p w:rsidR="00482FB1" w:rsidRPr="006571AC" w:rsidRDefault="00482FB1" w:rsidP="002C27BC">
            <w:pPr>
              <w:spacing w:before="60" w:line="240" w:lineRule="auto"/>
              <w:ind w:firstLine="0"/>
              <w:jc w:val="lowKashida"/>
              <w:rPr>
                <w:sz w:val="27"/>
                <w:rtl/>
              </w:rPr>
            </w:pPr>
          </w:p>
        </w:tc>
        <w:tc>
          <w:tcPr>
            <w:tcW w:w="3052" w:type="dxa"/>
          </w:tcPr>
          <w:p w:rsidR="00482FB1" w:rsidRPr="006571AC" w:rsidRDefault="00482FB1" w:rsidP="002C27BC">
            <w:pPr>
              <w:spacing w:before="60" w:line="240" w:lineRule="auto"/>
              <w:ind w:firstLine="0"/>
              <w:jc w:val="lowKashida"/>
              <w:rPr>
                <w:sz w:val="2"/>
                <w:szCs w:val="2"/>
                <w:rtl/>
              </w:rPr>
            </w:pPr>
            <w:r w:rsidRPr="006571AC">
              <w:rPr>
                <w:sz w:val="27"/>
                <w:rtl/>
              </w:rPr>
              <w:t>وُقُلْ لأَعْظُمِهِ الزَّكِيَّةْ</w:t>
            </w:r>
            <w:r w:rsidRPr="006571AC">
              <w:rPr>
                <w:sz w:val="27"/>
                <w:vertAlign w:val="superscript"/>
                <w:rtl/>
              </w:rPr>
              <w:t>(</w:t>
            </w:r>
            <w:r w:rsidRPr="006571AC">
              <w:rPr>
                <w:sz w:val="27"/>
                <w:vertAlign w:val="superscript"/>
                <w:rtl/>
              </w:rPr>
              <w:endnoteReference w:id="128"/>
            </w:r>
            <w:r w:rsidRPr="006571AC">
              <w:rPr>
                <w:sz w:val="27"/>
                <w:vertAlign w:val="superscript"/>
                <w:rtl/>
              </w:rPr>
              <w:t>)</w:t>
            </w:r>
            <w:r w:rsidRPr="006571AC">
              <w:rPr>
                <w:rFonts w:hint="cs"/>
                <w:sz w:val="27"/>
                <w:rtl/>
              </w:rPr>
              <w:br/>
            </w:r>
          </w:p>
        </w:tc>
      </w:tr>
    </w:tbl>
    <w:p w:rsidR="007C76F0" w:rsidRPr="006571AC" w:rsidRDefault="007C76F0" w:rsidP="001E5689">
      <w:pPr>
        <w:spacing w:line="380" w:lineRule="exact"/>
        <w:rPr>
          <w:sz w:val="27"/>
          <w:rtl/>
        </w:rPr>
      </w:pPr>
      <w:r w:rsidRPr="006571AC">
        <w:rPr>
          <w:sz w:val="27"/>
          <w:rtl/>
        </w:rPr>
        <w:t>فهو يفيد أمراً جوهري</w:t>
      </w:r>
      <w:r w:rsidR="00482FB1" w:rsidRPr="006571AC">
        <w:rPr>
          <w:rFonts w:hint="cs"/>
          <w:sz w:val="27"/>
          <w:rtl/>
        </w:rPr>
        <w:t>ّ</w:t>
      </w:r>
      <w:r w:rsidRPr="006571AC">
        <w:rPr>
          <w:sz w:val="27"/>
          <w:rtl/>
        </w:rPr>
        <w:t>اً</w:t>
      </w:r>
      <w:r w:rsidR="001E5689" w:rsidRPr="006571AC">
        <w:rPr>
          <w:rFonts w:hint="cs"/>
          <w:sz w:val="27"/>
          <w:rtl/>
        </w:rPr>
        <w:t>،</w:t>
      </w:r>
      <w:r w:rsidRPr="006571AC">
        <w:rPr>
          <w:sz w:val="27"/>
          <w:rtl/>
        </w:rPr>
        <w:t xml:space="preserve"> هو مواجهة التعتيم على مظلومية أهل البيت بذكرها وتداولها، ولكن</w:t>
      </w:r>
      <w:r w:rsidR="0077579E" w:rsidRPr="006571AC">
        <w:rPr>
          <w:rFonts w:hint="cs"/>
          <w:sz w:val="27"/>
          <w:rtl/>
        </w:rPr>
        <w:t>ّ</w:t>
      </w:r>
      <w:r w:rsidRPr="006571AC">
        <w:rPr>
          <w:sz w:val="27"/>
          <w:rtl/>
        </w:rPr>
        <w:t xml:space="preserve"> ذلك لا يقي</w:t>
      </w:r>
      <w:r w:rsidR="0077579E" w:rsidRPr="006571AC">
        <w:rPr>
          <w:rFonts w:hint="cs"/>
          <w:sz w:val="27"/>
          <w:rtl/>
        </w:rPr>
        <w:t>ِّ</w:t>
      </w:r>
      <w:r w:rsidRPr="006571AC">
        <w:rPr>
          <w:sz w:val="27"/>
          <w:rtl/>
        </w:rPr>
        <w:t>دها بأسلوب</w:t>
      </w:r>
      <w:r w:rsidR="0077579E" w:rsidRPr="006571AC">
        <w:rPr>
          <w:rFonts w:hint="cs"/>
          <w:sz w:val="27"/>
          <w:rtl/>
        </w:rPr>
        <w:t>ٍ</w:t>
      </w:r>
      <w:r w:rsidRPr="006571AC">
        <w:rPr>
          <w:sz w:val="27"/>
          <w:rtl/>
        </w:rPr>
        <w:t xml:space="preserve"> معين، ولا يحصرها في هذ الدائرة فقط. </w:t>
      </w:r>
    </w:p>
    <w:p w:rsidR="001E5689" w:rsidRPr="006571AC" w:rsidRDefault="001E5689" w:rsidP="001E5689">
      <w:pPr>
        <w:spacing w:line="360" w:lineRule="exact"/>
        <w:rPr>
          <w:sz w:val="27"/>
          <w:rtl/>
        </w:rPr>
      </w:pPr>
    </w:p>
    <w:p w:rsidR="007C76F0" w:rsidRPr="006571AC" w:rsidRDefault="007C76F0" w:rsidP="006C79DA">
      <w:pPr>
        <w:pStyle w:val="31"/>
        <w:rPr>
          <w:color w:val="auto"/>
        </w:rPr>
      </w:pPr>
      <w:bookmarkStart w:id="64" w:name="_Toc114164553"/>
      <w:r w:rsidRPr="006571AC">
        <w:rPr>
          <w:color w:val="auto"/>
          <w:rtl/>
        </w:rPr>
        <w:t>حين تكون الخطابة مهنة</w:t>
      </w:r>
      <w:r w:rsidR="0089109D" w:rsidRPr="006571AC">
        <w:rPr>
          <w:rFonts w:hint="cs"/>
          <w:color w:val="auto"/>
          <w:rtl/>
        </w:rPr>
        <w:t>ً</w:t>
      </w:r>
      <w:bookmarkEnd w:id="64"/>
      <w:r w:rsidRPr="006571AC">
        <w:rPr>
          <w:color w:val="auto"/>
          <w:rtl/>
        </w:rPr>
        <w:t xml:space="preserve"> </w:t>
      </w:r>
    </w:p>
    <w:p w:rsidR="007C76F0" w:rsidRPr="006571AC" w:rsidRDefault="007C76F0" w:rsidP="00F22B89">
      <w:pPr>
        <w:rPr>
          <w:sz w:val="27"/>
        </w:rPr>
      </w:pPr>
      <w:r w:rsidRPr="006571AC">
        <w:rPr>
          <w:sz w:val="27"/>
          <w:rtl/>
        </w:rPr>
        <w:t>لأن خطيب المناسبات الدينية في مجتمعاتنا الشيعية لا يعتمد على جهة</w:t>
      </w:r>
      <w:r w:rsidR="0077579E" w:rsidRPr="006571AC">
        <w:rPr>
          <w:rFonts w:hint="cs"/>
          <w:sz w:val="27"/>
          <w:rtl/>
        </w:rPr>
        <w:t>ٍ</w:t>
      </w:r>
      <w:r w:rsidRPr="006571AC">
        <w:rPr>
          <w:sz w:val="27"/>
          <w:rtl/>
        </w:rPr>
        <w:t xml:space="preserve"> في ت</w:t>
      </w:r>
      <w:r w:rsidR="0077579E" w:rsidRPr="006571AC">
        <w:rPr>
          <w:rFonts w:hint="cs"/>
          <w:sz w:val="27"/>
          <w:rtl/>
        </w:rPr>
        <w:t>أ</w:t>
      </w:r>
      <w:r w:rsidRPr="006571AC">
        <w:rPr>
          <w:sz w:val="27"/>
          <w:rtl/>
        </w:rPr>
        <w:t xml:space="preserve">مين </w:t>
      </w:r>
      <w:r w:rsidRPr="006571AC">
        <w:rPr>
          <w:sz w:val="27"/>
          <w:rtl/>
        </w:rPr>
        <w:lastRenderedPageBreak/>
        <w:t>نفقات حياته وحاجات أسرته فقد جرى الع</w:t>
      </w:r>
      <w:r w:rsidR="00922A9A" w:rsidRPr="006571AC">
        <w:rPr>
          <w:rFonts w:hint="cs"/>
          <w:sz w:val="27"/>
          <w:rtl/>
        </w:rPr>
        <w:t>ُ</w:t>
      </w:r>
      <w:r w:rsidRPr="006571AC">
        <w:rPr>
          <w:sz w:val="27"/>
          <w:rtl/>
        </w:rPr>
        <w:t>ر</w:t>
      </w:r>
      <w:r w:rsidR="00922A9A" w:rsidRPr="006571AC">
        <w:rPr>
          <w:rFonts w:hint="cs"/>
          <w:sz w:val="27"/>
          <w:rtl/>
        </w:rPr>
        <w:t>ْ</w:t>
      </w:r>
      <w:r w:rsidRPr="006571AC">
        <w:rPr>
          <w:sz w:val="27"/>
          <w:rtl/>
        </w:rPr>
        <w:t>ف أن تقد</w:t>
      </w:r>
      <w:r w:rsidR="0077579E" w:rsidRPr="006571AC">
        <w:rPr>
          <w:rFonts w:hint="cs"/>
          <w:sz w:val="27"/>
          <w:rtl/>
        </w:rPr>
        <w:t>َّ</w:t>
      </w:r>
      <w:r w:rsidRPr="006571AC">
        <w:rPr>
          <w:sz w:val="27"/>
          <w:rtl/>
        </w:rPr>
        <w:t>م له مكافأة في مقابل خطاباته وقراءاته. وذلك أمر</w:t>
      </w:r>
      <w:r w:rsidR="0077579E" w:rsidRPr="006571AC">
        <w:rPr>
          <w:rFonts w:hint="cs"/>
          <w:sz w:val="27"/>
          <w:rtl/>
        </w:rPr>
        <w:t>ٌ</w:t>
      </w:r>
      <w:r w:rsidRPr="006571AC">
        <w:rPr>
          <w:sz w:val="27"/>
          <w:rtl/>
        </w:rPr>
        <w:t xml:space="preserve"> طبيعي</w:t>
      </w:r>
      <w:r w:rsidR="00922A9A" w:rsidRPr="006571AC">
        <w:rPr>
          <w:rFonts w:hint="cs"/>
          <w:sz w:val="27"/>
          <w:rtl/>
        </w:rPr>
        <w:t>ّ</w:t>
      </w:r>
      <w:r w:rsidRPr="006571AC">
        <w:rPr>
          <w:sz w:val="27"/>
          <w:rtl/>
        </w:rPr>
        <w:t xml:space="preserve"> ومشروع، لا إشكال فيه من الناحية الشرعية. </w:t>
      </w:r>
    </w:p>
    <w:p w:rsidR="007C76F0" w:rsidRPr="006571AC" w:rsidRDefault="007C76F0" w:rsidP="00F22B89">
      <w:pPr>
        <w:rPr>
          <w:sz w:val="27"/>
        </w:rPr>
      </w:pPr>
      <w:r w:rsidRPr="006571AC">
        <w:rPr>
          <w:sz w:val="27"/>
          <w:rtl/>
        </w:rPr>
        <w:t>روى حمزة بن حمران: سَمِعتُ أبا عبد الله (جعفر الصادق)</w:t>
      </w:r>
      <w:r w:rsidR="00DC3B12" w:rsidRPr="006571AC">
        <w:rPr>
          <w:rFonts w:ascii="Mosawi" w:hAnsi="Mosawi" w:cs="Mosawi"/>
          <w:sz w:val="22"/>
          <w:szCs w:val="22"/>
          <w:rtl/>
        </w:rPr>
        <w:t>×</w:t>
      </w:r>
      <w:r w:rsidRPr="006571AC">
        <w:rPr>
          <w:sz w:val="27"/>
          <w:rtl/>
        </w:rPr>
        <w:t xml:space="preserve"> يقولُ: </w:t>
      </w:r>
      <w:r w:rsidRPr="006571AC">
        <w:rPr>
          <w:rFonts w:hint="eastAsia"/>
          <w:sz w:val="24"/>
          <w:szCs w:val="24"/>
          <w:rtl/>
        </w:rPr>
        <w:t>«</w:t>
      </w:r>
      <w:r w:rsidRPr="006571AC">
        <w:rPr>
          <w:sz w:val="27"/>
          <w:rtl/>
        </w:rPr>
        <w:t>مَنِ استَأكَلَ بِعِلمِهِ افتَقَرَ</w:t>
      </w:r>
      <w:r w:rsidRPr="006571AC">
        <w:rPr>
          <w:rFonts w:hint="eastAsia"/>
          <w:sz w:val="24"/>
          <w:szCs w:val="24"/>
          <w:rtl/>
        </w:rPr>
        <w:t>»</w:t>
      </w:r>
      <w:r w:rsidRPr="006571AC">
        <w:rPr>
          <w:sz w:val="27"/>
          <w:rtl/>
        </w:rPr>
        <w:t>، قُلتُ: إنَّ في شيعَتِكَ ومَواليكَ قَو</w:t>
      </w:r>
      <w:r w:rsidR="00922A9A" w:rsidRPr="006571AC">
        <w:rPr>
          <w:rFonts w:hint="cs"/>
          <w:sz w:val="27"/>
          <w:rtl/>
        </w:rPr>
        <w:t>ْ</w:t>
      </w:r>
      <w:r w:rsidRPr="006571AC">
        <w:rPr>
          <w:sz w:val="27"/>
          <w:rtl/>
        </w:rPr>
        <w:t xml:space="preserve">ماً </w:t>
      </w:r>
      <w:r w:rsidR="0077579E" w:rsidRPr="006571AC">
        <w:rPr>
          <w:sz w:val="27"/>
          <w:rtl/>
        </w:rPr>
        <w:t>يَتَحَمَّلونَ عُل</w:t>
      </w:r>
      <w:r w:rsidR="00922A9A" w:rsidRPr="006571AC">
        <w:rPr>
          <w:rFonts w:hint="cs"/>
          <w:sz w:val="27"/>
          <w:rtl/>
        </w:rPr>
        <w:t>ُ</w:t>
      </w:r>
      <w:r w:rsidR="0077579E" w:rsidRPr="006571AC">
        <w:rPr>
          <w:sz w:val="27"/>
          <w:rtl/>
        </w:rPr>
        <w:t>ومَكُم، ويَبُث</w:t>
      </w:r>
      <w:r w:rsidR="0077579E" w:rsidRPr="006571AC">
        <w:rPr>
          <w:rFonts w:hint="cs"/>
          <w:sz w:val="27"/>
          <w:rtl/>
        </w:rPr>
        <w:t>ُّ</w:t>
      </w:r>
      <w:r w:rsidRPr="006571AC">
        <w:rPr>
          <w:sz w:val="27"/>
          <w:rtl/>
        </w:rPr>
        <w:t>ونَها في شيعَتِكُم، فلا يُع</w:t>
      </w:r>
      <w:r w:rsidR="0077579E" w:rsidRPr="006571AC">
        <w:rPr>
          <w:rFonts w:hint="cs"/>
          <w:sz w:val="27"/>
          <w:rtl/>
        </w:rPr>
        <w:t>ْ</w:t>
      </w:r>
      <w:r w:rsidRPr="006571AC">
        <w:rPr>
          <w:sz w:val="27"/>
          <w:rtl/>
        </w:rPr>
        <w:t>دَم</w:t>
      </w:r>
      <w:r w:rsidR="00922A9A" w:rsidRPr="006571AC">
        <w:rPr>
          <w:rFonts w:hint="cs"/>
          <w:sz w:val="27"/>
          <w:rtl/>
        </w:rPr>
        <w:t>ُ</w:t>
      </w:r>
      <w:r w:rsidRPr="006571AC">
        <w:rPr>
          <w:sz w:val="27"/>
          <w:rtl/>
        </w:rPr>
        <w:t>ونَ مِنهُمُ البِرَّ والصِّلَةَ والإك</w:t>
      </w:r>
      <w:r w:rsidR="00922A9A" w:rsidRPr="006571AC">
        <w:rPr>
          <w:rFonts w:hint="cs"/>
          <w:sz w:val="27"/>
          <w:rtl/>
        </w:rPr>
        <w:t>ْ</w:t>
      </w:r>
      <w:r w:rsidRPr="006571AC">
        <w:rPr>
          <w:sz w:val="27"/>
          <w:rtl/>
        </w:rPr>
        <w:t>ر</w:t>
      </w:r>
      <w:r w:rsidR="00922A9A" w:rsidRPr="006571AC">
        <w:rPr>
          <w:rFonts w:hint="cs"/>
          <w:sz w:val="27"/>
          <w:rtl/>
        </w:rPr>
        <w:t>َ</w:t>
      </w:r>
      <w:r w:rsidR="00922A9A" w:rsidRPr="006571AC">
        <w:rPr>
          <w:sz w:val="27"/>
          <w:rtl/>
        </w:rPr>
        <w:t>امَ، فقال</w:t>
      </w:r>
      <w:r w:rsidR="0077579E" w:rsidRPr="006571AC">
        <w:rPr>
          <w:rFonts w:ascii="Mosawi" w:hAnsi="Mosawi" w:cs="Mosawi"/>
          <w:sz w:val="22"/>
          <w:szCs w:val="22"/>
          <w:rtl/>
        </w:rPr>
        <w:t>×</w:t>
      </w:r>
      <w:r w:rsidRPr="006571AC">
        <w:rPr>
          <w:sz w:val="27"/>
          <w:rtl/>
        </w:rPr>
        <w:t>: لَي</w:t>
      </w:r>
      <w:r w:rsidR="00922A9A" w:rsidRPr="006571AC">
        <w:rPr>
          <w:rFonts w:hint="cs"/>
          <w:sz w:val="27"/>
          <w:rtl/>
        </w:rPr>
        <w:t>ْ</w:t>
      </w:r>
      <w:r w:rsidRPr="006571AC">
        <w:rPr>
          <w:sz w:val="27"/>
          <w:rtl/>
        </w:rPr>
        <w:t xml:space="preserve">سَ </w:t>
      </w:r>
      <w:r w:rsidR="0077579E" w:rsidRPr="006571AC">
        <w:rPr>
          <w:rFonts w:hint="cs"/>
          <w:sz w:val="27"/>
          <w:rtl/>
        </w:rPr>
        <w:t>أُ</w:t>
      </w:r>
      <w:r w:rsidRPr="006571AC">
        <w:rPr>
          <w:sz w:val="27"/>
          <w:rtl/>
        </w:rPr>
        <w:t>ول</w:t>
      </w:r>
      <w:r w:rsidR="00922A9A" w:rsidRPr="006571AC">
        <w:rPr>
          <w:rFonts w:hint="cs"/>
          <w:sz w:val="27"/>
          <w:rtl/>
        </w:rPr>
        <w:t>َ</w:t>
      </w:r>
      <w:r w:rsidRPr="006571AC">
        <w:rPr>
          <w:sz w:val="27"/>
          <w:rtl/>
        </w:rPr>
        <w:t>ئ</w:t>
      </w:r>
      <w:r w:rsidR="00922A9A" w:rsidRPr="006571AC">
        <w:rPr>
          <w:rFonts w:hint="cs"/>
          <w:sz w:val="27"/>
          <w:rtl/>
        </w:rPr>
        <w:t>ِ</w:t>
      </w:r>
      <w:r w:rsidRPr="006571AC">
        <w:rPr>
          <w:sz w:val="27"/>
          <w:rtl/>
        </w:rPr>
        <w:t>ك</w:t>
      </w:r>
      <w:r w:rsidR="0077579E" w:rsidRPr="006571AC">
        <w:rPr>
          <w:sz w:val="27"/>
          <w:rtl/>
        </w:rPr>
        <w:t>َ بِمُس</w:t>
      </w:r>
      <w:r w:rsidR="00922A9A" w:rsidRPr="006571AC">
        <w:rPr>
          <w:rFonts w:hint="cs"/>
          <w:sz w:val="27"/>
          <w:rtl/>
        </w:rPr>
        <w:t>ْ</w:t>
      </w:r>
      <w:r w:rsidR="0077579E" w:rsidRPr="006571AC">
        <w:rPr>
          <w:sz w:val="27"/>
          <w:rtl/>
        </w:rPr>
        <w:t>تَأ</w:t>
      </w:r>
      <w:r w:rsidR="00922A9A" w:rsidRPr="006571AC">
        <w:rPr>
          <w:rFonts w:hint="cs"/>
          <w:sz w:val="27"/>
          <w:rtl/>
        </w:rPr>
        <w:t>ْ</w:t>
      </w:r>
      <w:r w:rsidR="0077579E" w:rsidRPr="006571AC">
        <w:rPr>
          <w:sz w:val="27"/>
          <w:rtl/>
        </w:rPr>
        <w:t>كِل</w:t>
      </w:r>
      <w:r w:rsidR="00922A9A" w:rsidRPr="006571AC">
        <w:rPr>
          <w:rFonts w:hint="cs"/>
          <w:sz w:val="27"/>
          <w:rtl/>
        </w:rPr>
        <w:t>ِ</w:t>
      </w:r>
      <w:r w:rsidR="0077579E" w:rsidRPr="006571AC">
        <w:rPr>
          <w:sz w:val="27"/>
          <w:rtl/>
        </w:rPr>
        <w:t>ينَ، إ</w:t>
      </w:r>
      <w:r w:rsidR="00922A9A" w:rsidRPr="006571AC">
        <w:rPr>
          <w:rFonts w:hint="cs"/>
          <w:sz w:val="27"/>
          <w:rtl/>
        </w:rPr>
        <w:t>ِ</w:t>
      </w:r>
      <w:r w:rsidR="0077579E" w:rsidRPr="006571AC">
        <w:rPr>
          <w:sz w:val="27"/>
          <w:rtl/>
        </w:rPr>
        <w:t>نَّم</w:t>
      </w:r>
      <w:r w:rsidR="00922A9A" w:rsidRPr="006571AC">
        <w:rPr>
          <w:rFonts w:hint="cs"/>
          <w:sz w:val="27"/>
          <w:rtl/>
        </w:rPr>
        <w:t>َ</w:t>
      </w:r>
      <w:r w:rsidR="0077579E" w:rsidRPr="006571AC">
        <w:rPr>
          <w:sz w:val="27"/>
          <w:rtl/>
        </w:rPr>
        <w:t>ا ذ</w:t>
      </w:r>
      <w:r w:rsidR="00922A9A" w:rsidRPr="006571AC">
        <w:rPr>
          <w:rFonts w:hint="cs"/>
          <w:sz w:val="27"/>
          <w:rtl/>
        </w:rPr>
        <w:t>َ</w:t>
      </w:r>
      <w:r w:rsidR="0077579E" w:rsidRPr="006571AC">
        <w:rPr>
          <w:sz w:val="27"/>
          <w:rtl/>
        </w:rPr>
        <w:t>اك</w:t>
      </w:r>
      <w:r w:rsidR="00922A9A" w:rsidRPr="006571AC">
        <w:rPr>
          <w:rFonts w:hint="cs"/>
          <w:sz w:val="27"/>
          <w:rtl/>
        </w:rPr>
        <w:t>َ</w:t>
      </w:r>
      <w:r w:rsidR="0077579E" w:rsidRPr="006571AC">
        <w:rPr>
          <w:sz w:val="27"/>
          <w:rtl/>
        </w:rPr>
        <w:t xml:space="preserve"> ال</w:t>
      </w:r>
      <w:r w:rsidR="0077579E" w:rsidRPr="006571AC">
        <w:rPr>
          <w:rFonts w:hint="cs"/>
          <w:sz w:val="27"/>
          <w:rtl/>
        </w:rPr>
        <w:t>َّ</w:t>
      </w:r>
      <w:r w:rsidRPr="006571AC">
        <w:rPr>
          <w:sz w:val="27"/>
          <w:rtl/>
        </w:rPr>
        <w:t>ذ</w:t>
      </w:r>
      <w:r w:rsidR="00922A9A" w:rsidRPr="006571AC">
        <w:rPr>
          <w:rFonts w:hint="cs"/>
          <w:sz w:val="27"/>
          <w:rtl/>
        </w:rPr>
        <w:t>ِ</w:t>
      </w:r>
      <w:r w:rsidRPr="006571AC">
        <w:rPr>
          <w:sz w:val="27"/>
          <w:rtl/>
        </w:rPr>
        <w:t>ي يُف</w:t>
      </w:r>
      <w:r w:rsidR="00922A9A" w:rsidRPr="006571AC">
        <w:rPr>
          <w:rFonts w:hint="cs"/>
          <w:sz w:val="27"/>
          <w:rtl/>
        </w:rPr>
        <w:t>ْ</w:t>
      </w:r>
      <w:r w:rsidRPr="006571AC">
        <w:rPr>
          <w:sz w:val="27"/>
          <w:rtl/>
        </w:rPr>
        <w:t>ت</w:t>
      </w:r>
      <w:r w:rsidR="00922A9A" w:rsidRPr="006571AC">
        <w:rPr>
          <w:rFonts w:hint="cs"/>
          <w:sz w:val="27"/>
          <w:rtl/>
        </w:rPr>
        <w:t>ِ</w:t>
      </w:r>
      <w:r w:rsidRPr="006571AC">
        <w:rPr>
          <w:sz w:val="27"/>
          <w:rtl/>
        </w:rPr>
        <w:t>ي بِغَي</w:t>
      </w:r>
      <w:r w:rsidR="00922A9A" w:rsidRPr="006571AC">
        <w:rPr>
          <w:rFonts w:hint="cs"/>
          <w:sz w:val="27"/>
          <w:rtl/>
        </w:rPr>
        <w:t>ْ</w:t>
      </w:r>
      <w:r w:rsidRPr="006571AC">
        <w:rPr>
          <w:sz w:val="27"/>
          <w:rtl/>
        </w:rPr>
        <w:t>رِ عِل</w:t>
      </w:r>
      <w:r w:rsidR="00791E7F" w:rsidRPr="006571AC">
        <w:rPr>
          <w:rFonts w:hint="cs"/>
          <w:sz w:val="27"/>
          <w:rtl/>
        </w:rPr>
        <w:t>ْ</w:t>
      </w:r>
      <w:r w:rsidRPr="006571AC">
        <w:rPr>
          <w:sz w:val="27"/>
          <w:rtl/>
        </w:rPr>
        <w:t>مٍ و</w:t>
      </w:r>
      <w:r w:rsidR="00791E7F" w:rsidRPr="006571AC">
        <w:rPr>
          <w:rFonts w:hint="cs"/>
          <w:sz w:val="27"/>
          <w:rtl/>
        </w:rPr>
        <w:t>َ</w:t>
      </w:r>
      <w:r w:rsidRPr="006571AC">
        <w:rPr>
          <w:sz w:val="27"/>
          <w:rtl/>
        </w:rPr>
        <w:t>لا هُدىً مِنَ الله ِ؛ لِيُب</w:t>
      </w:r>
      <w:r w:rsidR="00791E7F" w:rsidRPr="006571AC">
        <w:rPr>
          <w:rFonts w:hint="cs"/>
          <w:sz w:val="27"/>
          <w:rtl/>
        </w:rPr>
        <w:t>ْ</w:t>
      </w:r>
      <w:r w:rsidRPr="006571AC">
        <w:rPr>
          <w:sz w:val="27"/>
          <w:rtl/>
        </w:rPr>
        <w:t>طِلَ بِهِ الحُق</w:t>
      </w:r>
      <w:r w:rsidR="00791E7F" w:rsidRPr="006571AC">
        <w:rPr>
          <w:rFonts w:hint="cs"/>
          <w:sz w:val="27"/>
          <w:rtl/>
        </w:rPr>
        <w:t>ُ</w:t>
      </w:r>
      <w:r w:rsidRPr="006571AC">
        <w:rPr>
          <w:sz w:val="27"/>
          <w:rtl/>
        </w:rPr>
        <w:t>وقَ طَمَعاً في حُط</w:t>
      </w:r>
      <w:r w:rsidR="00791E7F" w:rsidRPr="006571AC">
        <w:rPr>
          <w:rFonts w:hint="cs"/>
          <w:sz w:val="27"/>
          <w:rtl/>
        </w:rPr>
        <w:t>َ</w:t>
      </w:r>
      <w:r w:rsidRPr="006571AC">
        <w:rPr>
          <w:sz w:val="27"/>
          <w:rtl/>
        </w:rPr>
        <w:t>امِ الدّ</w:t>
      </w:r>
      <w:r w:rsidR="00791E7F" w:rsidRPr="006571AC">
        <w:rPr>
          <w:rFonts w:hint="cs"/>
          <w:sz w:val="27"/>
          <w:rtl/>
        </w:rPr>
        <w:t>ُ</w:t>
      </w:r>
      <w:r w:rsidRPr="006571AC">
        <w:rPr>
          <w:sz w:val="27"/>
          <w:rtl/>
        </w:rPr>
        <w:t>ن</w:t>
      </w:r>
      <w:r w:rsidR="00791E7F" w:rsidRPr="006571AC">
        <w:rPr>
          <w:rFonts w:hint="cs"/>
          <w:sz w:val="27"/>
          <w:rtl/>
        </w:rPr>
        <w:t>ْ</w:t>
      </w:r>
      <w:r w:rsidRPr="006571AC">
        <w:rPr>
          <w:sz w:val="27"/>
          <w:rtl/>
        </w:rPr>
        <w:t>ي</w:t>
      </w:r>
      <w:r w:rsidR="00791E7F" w:rsidRPr="006571AC">
        <w:rPr>
          <w:rFonts w:hint="cs"/>
          <w:sz w:val="27"/>
          <w:rtl/>
        </w:rPr>
        <w:t>َ</w:t>
      </w:r>
      <w:r w:rsidRPr="006571AC">
        <w:rPr>
          <w:sz w:val="27"/>
          <w:rtl/>
        </w:rPr>
        <w:t>ا</w:t>
      </w:r>
      <w:r w:rsidRPr="006571AC">
        <w:rPr>
          <w:sz w:val="27"/>
          <w:vertAlign w:val="superscript"/>
          <w:rtl/>
        </w:rPr>
        <w:t>(</w:t>
      </w:r>
      <w:r w:rsidRPr="006571AC">
        <w:rPr>
          <w:sz w:val="27"/>
          <w:vertAlign w:val="superscript"/>
          <w:rtl/>
        </w:rPr>
        <w:endnoteReference w:id="129"/>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فالمستأكل بعلمه هو الذي يجي</w:t>
      </w:r>
      <w:r w:rsidR="00791E7F" w:rsidRPr="006571AC">
        <w:rPr>
          <w:rFonts w:hint="cs"/>
          <w:sz w:val="27"/>
          <w:rtl/>
        </w:rPr>
        <w:t>ِّ</w:t>
      </w:r>
      <w:r w:rsidRPr="006571AC">
        <w:rPr>
          <w:sz w:val="27"/>
          <w:rtl/>
        </w:rPr>
        <w:t>ر علمه لمصلحة م</w:t>
      </w:r>
      <w:r w:rsidR="0077579E" w:rsidRPr="006571AC">
        <w:rPr>
          <w:rFonts w:hint="cs"/>
          <w:sz w:val="27"/>
          <w:rtl/>
        </w:rPr>
        <w:t>َ</w:t>
      </w:r>
      <w:r w:rsidRPr="006571AC">
        <w:rPr>
          <w:sz w:val="27"/>
          <w:rtl/>
        </w:rPr>
        <w:t>ن</w:t>
      </w:r>
      <w:r w:rsidR="0077579E" w:rsidRPr="006571AC">
        <w:rPr>
          <w:rFonts w:hint="cs"/>
          <w:sz w:val="27"/>
          <w:rtl/>
        </w:rPr>
        <w:t>ْ</w:t>
      </w:r>
      <w:r w:rsidRPr="006571AC">
        <w:rPr>
          <w:sz w:val="27"/>
          <w:rtl/>
        </w:rPr>
        <w:t xml:space="preserve"> يطلب منه الخطاب، فيخالف الحق</w:t>
      </w:r>
      <w:r w:rsidR="00791E7F" w:rsidRPr="006571AC">
        <w:rPr>
          <w:rFonts w:hint="cs"/>
          <w:sz w:val="27"/>
          <w:rtl/>
        </w:rPr>
        <w:t>ّ</w:t>
      </w:r>
      <w:r w:rsidRPr="006571AC">
        <w:rPr>
          <w:sz w:val="27"/>
          <w:rtl/>
        </w:rPr>
        <w:t xml:space="preserve"> ط</w:t>
      </w:r>
      <w:r w:rsidR="00791E7F" w:rsidRPr="006571AC">
        <w:rPr>
          <w:rFonts w:hint="cs"/>
          <w:sz w:val="27"/>
          <w:rtl/>
        </w:rPr>
        <w:t>َ</w:t>
      </w:r>
      <w:r w:rsidRPr="006571AC">
        <w:rPr>
          <w:sz w:val="27"/>
          <w:rtl/>
        </w:rPr>
        <w:t>ل</w:t>
      </w:r>
      <w:r w:rsidR="00791E7F" w:rsidRPr="006571AC">
        <w:rPr>
          <w:rFonts w:hint="cs"/>
          <w:sz w:val="27"/>
          <w:rtl/>
        </w:rPr>
        <w:t>َ</w:t>
      </w:r>
      <w:r w:rsidRPr="006571AC">
        <w:rPr>
          <w:sz w:val="27"/>
          <w:rtl/>
        </w:rPr>
        <w:t xml:space="preserve">باً للمال، وهو </w:t>
      </w:r>
      <w:r w:rsidR="0077579E" w:rsidRPr="006571AC">
        <w:rPr>
          <w:rFonts w:hint="cs"/>
          <w:sz w:val="27"/>
          <w:rtl/>
        </w:rPr>
        <w:t>أ</w:t>
      </w:r>
      <w:r w:rsidRPr="006571AC">
        <w:rPr>
          <w:sz w:val="27"/>
          <w:rtl/>
        </w:rPr>
        <w:t>مر</w:t>
      </w:r>
      <w:r w:rsidR="0077579E" w:rsidRPr="006571AC">
        <w:rPr>
          <w:rFonts w:hint="cs"/>
          <w:sz w:val="27"/>
          <w:rtl/>
        </w:rPr>
        <w:t>ٌ</w:t>
      </w:r>
      <w:r w:rsidRPr="006571AC">
        <w:rPr>
          <w:sz w:val="27"/>
          <w:rtl/>
        </w:rPr>
        <w:t xml:space="preserve"> مذموم</w:t>
      </w:r>
      <w:r w:rsidR="0077579E" w:rsidRPr="006571AC">
        <w:rPr>
          <w:rFonts w:hint="cs"/>
          <w:sz w:val="27"/>
          <w:rtl/>
        </w:rPr>
        <w:t>ٌ</w:t>
      </w:r>
      <w:r w:rsidRPr="006571AC">
        <w:rPr>
          <w:sz w:val="27"/>
          <w:rtl/>
        </w:rPr>
        <w:t xml:space="preserve"> منهي</w:t>
      </w:r>
      <w:r w:rsidR="0077579E" w:rsidRPr="006571AC">
        <w:rPr>
          <w:rFonts w:hint="cs"/>
          <w:sz w:val="27"/>
          <w:rtl/>
        </w:rPr>
        <w:t>ّ</w:t>
      </w:r>
      <w:r w:rsidRPr="006571AC">
        <w:rPr>
          <w:sz w:val="27"/>
          <w:rtl/>
        </w:rPr>
        <w:t xml:space="preserve"> عنه شرعاً. </w:t>
      </w:r>
    </w:p>
    <w:p w:rsidR="007C76F0" w:rsidRPr="006571AC" w:rsidRDefault="007C76F0" w:rsidP="00791E7F">
      <w:pPr>
        <w:rPr>
          <w:sz w:val="27"/>
          <w:rtl/>
        </w:rPr>
      </w:pPr>
      <w:r w:rsidRPr="006571AC">
        <w:rPr>
          <w:sz w:val="27"/>
          <w:rtl/>
        </w:rPr>
        <w:t>أما أن يكون ال</w:t>
      </w:r>
      <w:r w:rsidR="00791E7F" w:rsidRPr="006571AC">
        <w:rPr>
          <w:rFonts w:hint="cs"/>
          <w:sz w:val="27"/>
          <w:rtl/>
        </w:rPr>
        <w:t>إ</w:t>
      </w:r>
      <w:r w:rsidRPr="006571AC">
        <w:rPr>
          <w:sz w:val="27"/>
          <w:rtl/>
        </w:rPr>
        <w:t>نسان مرشداً وموجّ</w:t>
      </w:r>
      <w:r w:rsidR="00791E7F" w:rsidRPr="006571AC">
        <w:rPr>
          <w:rFonts w:hint="cs"/>
          <w:sz w:val="27"/>
          <w:rtl/>
        </w:rPr>
        <w:t>ِ</w:t>
      </w:r>
      <w:r w:rsidRPr="006571AC">
        <w:rPr>
          <w:sz w:val="27"/>
          <w:rtl/>
        </w:rPr>
        <w:t>هاً، يحمل علوم أهل البيت إلى الناس، فيحصل على مكافأة</w:t>
      </w:r>
      <w:r w:rsidR="0077579E" w:rsidRPr="006571AC">
        <w:rPr>
          <w:rFonts w:hint="cs"/>
          <w:sz w:val="27"/>
          <w:rtl/>
        </w:rPr>
        <w:t>ٍ</w:t>
      </w:r>
      <w:r w:rsidRPr="006571AC">
        <w:rPr>
          <w:sz w:val="27"/>
          <w:rtl/>
        </w:rPr>
        <w:t xml:space="preserve"> مالية مقابل ذلك، فلا ض</w:t>
      </w:r>
      <w:r w:rsidR="0077579E" w:rsidRPr="006571AC">
        <w:rPr>
          <w:rFonts w:hint="cs"/>
          <w:sz w:val="27"/>
          <w:rtl/>
        </w:rPr>
        <w:t>َ</w:t>
      </w:r>
      <w:r w:rsidRPr="006571AC">
        <w:rPr>
          <w:sz w:val="27"/>
          <w:rtl/>
        </w:rPr>
        <w:t>ي</w:t>
      </w:r>
      <w:r w:rsidR="0077579E" w:rsidRPr="006571AC">
        <w:rPr>
          <w:rFonts w:hint="cs"/>
          <w:sz w:val="27"/>
          <w:rtl/>
        </w:rPr>
        <w:t>ْ</w:t>
      </w:r>
      <w:r w:rsidRPr="006571AC">
        <w:rPr>
          <w:sz w:val="27"/>
          <w:rtl/>
        </w:rPr>
        <w:t>ر</w:t>
      </w:r>
      <w:r w:rsidR="0077579E" w:rsidRPr="006571AC">
        <w:rPr>
          <w:rFonts w:hint="cs"/>
          <w:sz w:val="27"/>
          <w:rtl/>
        </w:rPr>
        <w:t>َ</w:t>
      </w:r>
      <w:r w:rsidRPr="006571AC">
        <w:rPr>
          <w:sz w:val="27"/>
          <w:rtl/>
        </w:rPr>
        <w:t xml:space="preserve"> ولا إشكال</w:t>
      </w:r>
      <w:r w:rsidR="0077579E" w:rsidRPr="006571AC">
        <w:rPr>
          <w:rFonts w:hint="cs"/>
          <w:sz w:val="27"/>
          <w:rtl/>
        </w:rPr>
        <w:t>َ</w:t>
      </w:r>
      <w:r w:rsidRPr="006571AC">
        <w:rPr>
          <w:sz w:val="27"/>
          <w:rtl/>
        </w:rPr>
        <w:t xml:space="preserve"> فيه. </w:t>
      </w:r>
    </w:p>
    <w:p w:rsidR="007C76F0" w:rsidRPr="006571AC" w:rsidRDefault="007C76F0" w:rsidP="00791E7F">
      <w:pPr>
        <w:rPr>
          <w:sz w:val="27"/>
        </w:rPr>
      </w:pPr>
      <w:r w:rsidRPr="006571AC">
        <w:rPr>
          <w:sz w:val="27"/>
          <w:rtl/>
        </w:rPr>
        <w:t>وقد ورد أن بعض الأئم</w:t>
      </w:r>
      <w:r w:rsidR="0077579E" w:rsidRPr="006571AC">
        <w:rPr>
          <w:rFonts w:hint="cs"/>
          <w:sz w:val="27"/>
          <w:rtl/>
        </w:rPr>
        <w:t>ّ</w:t>
      </w:r>
      <w:r w:rsidRPr="006571AC">
        <w:rPr>
          <w:sz w:val="27"/>
          <w:rtl/>
        </w:rPr>
        <w:t>ة كاف</w:t>
      </w:r>
      <w:r w:rsidR="0077579E" w:rsidRPr="006571AC">
        <w:rPr>
          <w:rFonts w:hint="cs"/>
          <w:sz w:val="27"/>
          <w:rtl/>
        </w:rPr>
        <w:t>أ</w:t>
      </w:r>
      <w:r w:rsidRPr="006571AC">
        <w:rPr>
          <w:sz w:val="27"/>
          <w:rtl/>
        </w:rPr>
        <w:t>وا الشعراء على مديحهم</w:t>
      </w:r>
      <w:r w:rsidR="0077579E" w:rsidRPr="006571AC">
        <w:rPr>
          <w:rFonts w:hint="cs"/>
          <w:sz w:val="27"/>
          <w:rtl/>
        </w:rPr>
        <w:t>؛</w:t>
      </w:r>
      <w:r w:rsidRPr="006571AC">
        <w:rPr>
          <w:sz w:val="27"/>
          <w:rtl/>
        </w:rPr>
        <w:t xml:space="preserve"> فقد مدح الفرزدق ال</w:t>
      </w:r>
      <w:r w:rsidR="00791E7F" w:rsidRPr="006571AC">
        <w:rPr>
          <w:rFonts w:hint="cs"/>
          <w:sz w:val="27"/>
          <w:rtl/>
        </w:rPr>
        <w:t>إ</w:t>
      </w:r>
      <w:r w:rsidRPr="006571AC">
        <w:rPr>
          <w:sz w:val="27"/>
          <w:rtl/>
        </w:rPr>
        <w:t>مام علي</w:t>
      </w:r>
      <w:r w:rsidR="00791E7F" w:rsidRPr="006571AC">
        <w:rPr>
          <w:rFonts w:hint="cs"/>
          <w:sz w:val="27"/>
          <w:rtl/>
        </w:rPr>
        <w:t>ّ</w:t>
      </w:r>
      <w:r w:rsidRPr="006571AC">
        <w:rPr>
          <w:sz w:val="27"/>
          <w:rtl/>
        </w:rPr>
        <w:t xml:space="preserve"> بن الحسين زين العابدين</w:t>
      </w:r>
      <w:r w:rsidR="00DC3B12" w:rsidRPr="006571AC">
        <w:rPr>
          <w:rFonts w:ascii="Mosawi" w:hAnsi="Mosawi" w:cs="Mosawi"/>
          <w:sz w:val="22"/>
          <w:szCs w:val="22"/>
          <w:rtl/>
        </w:rPr>
        <w:t>×</w:t>
      </w:r>
      <w:r w:rsidRPr="006571AC">
        <w:rPr>
          <w:sz w:val="27"/>
          <w:rtl/>
        </w:rPr>
        <w:t xml:space="preserve"> بقصيدته المعروفة: </w:t>
      </w:r>
    </w:p>
    <w:tbl>
      <w:tblPr>
        <w:tblStyle w:val="1fc"/>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77579E" w:rsidRPr="006571AC" w:rsidTr="001F1BD7">
        <w:trPr>
          <w:jc w:val="center"/>
        </w:trPr>
        <w:tc>
          <w:tcPr>
            <w:tcW w:w="3136" w:type="dxa"/>
          </w:tcPr>
          <w:p w:rsidR="0077579E" w:rsidRPr="006571AC" w:rsidRDefault="0077579E" w:rsidP="002C27BC">
            <w:pPr>
              <w:spacing w:before="60" w:line="240" w:lineRule="auto"/>
              <w:ind w:firstLine="0"/>
              <w:jc w:val="lowKashida"/>
              <w:rPr>
                <w:sz w:val="2"/>
                <w:szCs w:val="2"/>
                <w:rtl/>
              </w:rPr>
            </w:pPr>
            <w:r w:rsidRPr="006571AC">
              <w:rPr>
                <w:sz w:val="27"/>
                <w:rtl/>
              </w:rPr>
              <w:t>هَذَا ال</w:t>
            </w:r>
            <w:r w:rsidR="00791E7F" w:rsidRPr="006571AC">
              <w:rPr>
                <w:rFonts w:hint="cs"/>
                <w:sz w:val="27"/>
                <w:rtl/>
              </w:rPr>
              <w:t>َّ</w:t>
            </w:r>
            <w:r w:rsidRPr="006571AC">
              <w:rPr>
                <w:sz w:val="27"/>
                <w:rtl/>
              </w:rPr>
              <w:t>ذي‌ تَعْـرِفُ ال</w:t>
            </w:r>
            <w:r w:rsidR="00791E7F" w:rsidRPr="006571AC">
              <w:rPr>
                <w:rFonts w:hint="cs"/>
                <w:sz w:val="27"/>
                <w:rtl/>
              </w:rPr>
              <w:t>ْ</w:t>
            </w:r>
            <w:r w:rsidRPr="006571AC">
              <w:rPr>
                <w:sz w:val="27"/>
                <w:rtl/>
              </w:rPr>
              <w:t>بَطْـحَاءُ وَطْـأَتَـهُ</w:t>
            </w:r>
            <w:r w:rsidRPr="006571AC">
              <w:rPr>
                <w:rFonts w:hint="cs"/>
                <w:sz w:val="27"/>
                <w:rtl/>
              </w:rPr>
              <w:br/>
            </w:r>
          </w:p>
        </w:tc>
        <w:tc>
          <w:tcPr>
            <w:tcW w:w="425" w:type="dxa"/>
          </w:tcPr>
          <w:p w:rsidR="0077579E" w:rsidRPr="006571AC" w:rsidRDefault="0077579E" w:rsidP="002C27BC">
            <w:pPr>
              <w:spacing w:before="60" w:line="240" w:lineRule="auto"/>
              <w:ind w:firstLine="0"/>
              <w:jc w:val="lowKashida"/>
              <w:rPr>
                <w:sz w:val="27"/>
                <w:rtl/>
              </w:rPr>
            </w:pPr>
          </w:p>
        </w:tc>
        <w:tc>
          <w:tcPr>
            <w:tcW w:w="3052" w:type="dxa"/>
          </w:tcPr>
          <w:p w:rsidR="0077579E" w:rsidRPr="006571AC" w:rsidRDefault="0077579E" w:rsidP="002C27BC">
            <w:pPr>
              <w:spacing w:before="60" w:line="240" w:lineRule="auto"/>
              <w:ind w:firstLine="0"/>
              <w:jc w:val="lowKashida"/>
              <w:rPr>
                <w:sz w:val="2"/>
                <w:szCs w:val="2"/>
                <w:rtl/>
              </w:rPr>
            </w:pPr>
            <w:r w:rsidRPr="006571AC">
              <w:rPr>
                <w:sz w:val="27"/>
                <w:rtl/>
              </w:rPr>
              <w:t>وَال</w:t>
            </w:r>
            <w:r w:rsidR="00791E7F" w:rsidRPr="006571AC">
              <w:rPr>
                <w:rFonts w:hint="cs"/>
                <w:sz w:val="27"/>
                <w:rtl/>
              </w:rPr>
              <w:t>ْ</w:t>
            </w:r>
            <w:r w:rsidRPr="006571AC">
              <w:rPr>
                <w:sz w:val="27"/>
                <w:rtl/>
              </w:rPr>
              <w:t>بَـيْـتُ يَعْـرِفُـهُ وَال</w:t>
            </w:r>
            <w:r w:rsidR="00791E7F" w:rsidRPr="006571AC">
              <w:rPr>
                <w:rFonts w:hint="cs"/>
                <w:sz w:val="27"/>
                <w:rtl/>
              </w:rPr>
              <w:t>ْ</w:t>
            </w:r>
            <w:r w:rsidR="00791E7F" w:rsidRPr="006571AC">
              <w:rPr>
                <w:sz w:val="27"/>
                <w:rtl/>
              </w:rPr>
              <w:t>حِـل</w:t>
            </w:r>
            <w:r w:rsidR="00791E7F" w:rsidRPr="006571AC">
              <w:rPr>
                <w:rFonts w:hint="cs"/>
                <w:sz w:val="27"/>
                <w:rtl/>
              </w:rPr>
              <w:t>ُّ</w:t>
            </w:r>
            <w:r w:rsidRPr="006571AC">
              <w:rPr>
                <w:sz w:val="27"/>
                <w:rtl/>
              </w:rPr>
              <w:t xml:space="preserve"> وَال</w:t>
            </w:r>
            <w:r w:rsidR="00791E7F" w:rsidRPr="006571AC">
              <w:rPr>
                <w:rFonts w:hint="cs"/>
                <w:sz w:val="27"/>
                <w:rtl/>
              </w:rPr>
              <w:t>ْ</w:t>
            </w:r>
            <w:r w:rsidRPr="006571AC">
              <w:rPr>
                <w:sz w:val="27"/>
                <w:rtl/>
              </w:rPr>
              <w:t>حَـرَمُ</w:t>
            </w:r>
            <w:r w:rsidRPr="006571AC">
              <w:rPr>
                <w:rFonts w:hint="cs"/>
                <w:sz w:val="27"/>
                <w:rtl/>
              </w:rPr>
              <w:br/>
            </w:r>
          </w:p>
        </w:tc>
      </w:tr>
    </w:tbl>
    <w:p w:rsidR="007C76F0" w:rsidRPr="006571AC" w:rsidRDefault="007C76F0" w:rsidP="00F22B89">
      <w:pPr>
        <w:rPr>
          <w:sz w:val="27"/>
        </w:rPr>
      </w:pPr>
      <w:r w:rsidRPr="006571AC">
        <w:rPr>
          <w:sz w:val="27"/>
          <w:rtl/>
        </w:rPr>
        <w:t>فلما سمع هشام هذه القصيدة غضب</w:t>
      </w:r>
      <w:r w:rsidR="0077579E" w:rsidRPr="006571AC">
        <w:rPr>
          <w:rFonts w:hint="cs"/>
          <w:sz w:val="27"/>
          <w:rtl/>
        </w:rPr>
        <w:t>،</w:t>
      </w:r>
      <w:r w:rsidRPr="006571AC">
        <w:rPr>
          <w:sz w:val="27"/>
          <w:rtl/>
        </w:rPr>
        <w:t xml:space="preserve"> وحبس الفرزدق ـ بعسفان بين مكة والمدينة ـ</w:t>
      </w:r>
      <w:r w:rsidR="0077579E" w:rsidRPr="006571AC">
        <w:rPr>
          <w:rFonts w:hint="cs"/>
          <w:sz w:val="27"/>
          <w:rtl/>
        </w:rPr>
        <w:t>،</w:t>
      </w:r>
      <w:r w:rsidRPr="006571AC">
        <w:rPr>
          <w:sz w:val="27"/>
          <w:rtl/>
        </w:rPr>
        <w:t xml:space="preserve"> وأنفذ له الإمام اثني عشر ألف درهماً</w:t>
      </w:r>
      <w:r w:rsidR="006827F7" w:rsidRPr="006571AC">
        <w:rPr>
          <w:rFonts w:hint="cs"/>
          <w:sz w:val="27"/>
          <w:rtl/>
        </w:rPr>
        <w:t>،</w:t>
      </w:r>
      <w:r w:rsidRPr="006571AC">
        <w:rPr>
          <w:sz w:val="27"/>
          <w:rtl/>
        </w:rPr>
        <w:t xml:space="preserve"> فرد</w:t>
      </w:r>
      <w:r w:rsidR="006827F7" w:rsidRPr="006571AC">
        <w:rPr>
          <w:rFonts w:hint="cs"/>
          <w:sz w:val="27"/>
          <w:rtl/>
        </w:rPr>
        <w:t>َّ</w:t>
      </w:r>
      <w:r w:rsidRPr="006571AC">
        <w:rPr>
          <w:sz w:val="27"/>
          <w:rtl/>
        </w:rPr>
        <w:t>ها</w:t>
      </w:r>
      <w:r w:rsidR="00791E7F" w:rsidRPr="006571AC">
        <w:rPr>
          <w:rFonts w:hint="cs"/>
          <w:sz w:val="27"/>
          <w:rtl/>
        </w:rPr>
        <w:t>،</w:t>
      </w:r>
      <w:r w:rsidRPr="006571AC">
        <w:rPr>
          <w:sz w:val="27"/>
          <w:rtl/>
        </w:rPr>
        <w:t xml:space="preserve"> وقال: أنا م</w:t>
      </w:r>
      <w:r w:rsidR="00791E7F" w:rsidRPr="006571AC">
        <w:rPr>
          <w:rFonts w:hint="cs"/>
          <w:sz w:val="27"/>
          <w:rtl/>
        </w:rPr>
        <w:t>َ</w:t>
      </w:r>
      <w:r w:rsidRPr="006571AC">
        <w:rPr>
          <w:sz w:val="27"/>
          <w:rtl/>
        </w:rPr>
        <w:t>د</w:t>
      </w:r>
      <w:r w:rsidR="00791E7F" w:rsidRPr="006571AC">
        <w:rPr>
          <w:rFonts w:hint="cs"/>
          <w:sz w:val="27"/>
          <w:rtl/>
        </w:rPr>
        <w:t>َ</w:t>
      </w:r>
      <w:r w:rsidRPr="006571AC">
        <w:rPr>
          <w:sz w:val="27"/>
          <w:rtl/>
        </w:rPr>
        <w:t>ح</w:t>
      </w:r>
      <w:r w:rsidR="00791E7F" w:rsidRPr="006571AC">
        <w:rPr>
          <w:rFonts w:hint="cs"/>
          <w:sz w:val="27"/>
          <w:rtl/>
        </w:rPr>
        <w:t>ْ</w:t>
      </w:r>
      <w:r w:rsidRPr="006571AC">
        <w:rPr>
          <w:sz w:val="27"/>
          <w:rtl/>
        </w:rPr>
        <w:t>ت</w:t>
      </w:r>
      <w:r w:rsidR="00791E7F" w:rsidRPr="006571AC">
        <w:rPr>
          <w:rFonts w:hint="cs"/>
          <w:sz w:val="27"/>
          <w:rtl/>
        </w:rPr>
        <w:t>ُ</w:t>
      </w:r>
      <w:r w:rsidRPr="006571AC">
        <w:rPr>
          <w:sz w:val="27"/>
          <w:rtl/>
        </w:rPr>
        <w:t>ه لله تعالى</w:t>
      </w:r>
      <w:r w:rsidR="006827F7" w:rsidRPr="006571AC">
        <w:rPr>
          <w:rFonts w:hint="cs"/>
          <w:sz w:val="27"/>
          <w:rtl/>
        </w:rPr>
        <w:t>،</w:t>
      </w:r>
      <w:r w:rsidRPr="006571AC">
        <w:rPr>
          <w:sz w:val="27"/>
          <w:rtl/>
        </w:rPr>
        <w:t xml:space="preserve"> لا للعطاء، فقال</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إنّا أهل</w:t>
      </w:r>
      <w:r w:rsidR="00791E7F" w:rsidRPr="006571AC">
        <w:rPr>
          <w:rFonts w:hint="cs"/>
          <w:sz w:val="27"/>
          <w:rtl/>
        </w:rPr>
        <w:t>ُ</w:t>
      </w:r>
      <w:r w:rsidRPr="006571AC">
        <w:rPr>
          <w:sz w:val="27"/>
          <w:rtl/>
        </w:rPr>
        <w:t xml:space="preserve"> بيت</w:t>
      </w:r>
      <w:r w:rsidR="006827F7" w:rsidRPr="006571AC">
        <w:rPr>
          <w:rFonts w:hint="cs"/>
          <w:sz w:val="27"/>
          <w:rtl/>
        </w:rPr>
        <w:t>ٍ</w:t>
      </w:r>
      <w:r w:rsidRPr="006571AC">
        <w:rPr>
          <w:sz w:val="27"/>
          <w:rtl/>
        </w:rPr>
        <w:t xml:space="preserve"> إذا و</w:t>
      </w:r>
      <w:r w:rsidR="00791E7F" w:rsidRPr="006571AC">
        <w:rPr>
          <w:rFonts w:hint="cs"/>
          <w:sz w:val="27"/>
          <w:rtl/>
        </w:rPr>
        <w:t>َ</w:t>
      </w:r>
      <w:r w:rsidRPr="006571AC">
        <w:rPr>
          <w:sz w:val="27"/>
          <w:rtl/>
        </w:rPr>
        <w:t>ه</w:t>
      </w:r>
      <w:r w:rsidR="006827F7" w:rsidRPr="006571AC">
        <w:rPr>
          <w:rFonts w:hint="cs"/>
          <w:sz w:val="27"/>
          <w:rtl/>
        </w:rPr>
        <w:t>َ</w:t>
      </w:r>
      <w:r w:rsidRPr="006571AC">
        <w:rPr>
          <w:sz w:val="27"/>
          <w:rtl/>
        </w:rPr>
        <w:t>ب</w:t>
      </w:r>
      <w:r w:rsidR="006827F7" w:rsidRPr="006571AC">
        <w:rPr>
          <w:rFonts w:hint="cs"/>
          <w:sz w:val="27"/>
          <w:rtl/>
        </w:rPr>
        <w:t>ْ</w:t>
      </w:r>
      <w:r w:rsidRPr="006571AC">
        <w:rPr>
          <w:sz w:val="27"/>
          <w:rtl/>
        </w:rPr>
        <w:t>نا شيئاً لا نستعيده</w:t>
      </w:r>
      <w:r w:rsidRPr="006571AC">
        <w:rPr>
          <w:rFonts w:hint="eastAsia"/>
          <w:sz w:val="24"/>
          <w:szCs w:val="24"/>
          <w:rtl/>
        </w:rPr>
        <w:t>»</w:t>
      </w:r>
      <w:r w:rsidRPr="006571AC">
        <w:rPr>
          <w:rFonts w:hint="cs"/>
          <w:sz w:val="27"/>
          <w:rtl/>
        </w:rPr>
        <w:t xml:space="preserve">، </w:t>
      </w:r>
      <w:r w:rsidRPr="006571AC">
        <w:rPr>
          <w:sz w:val="27"/>
          <w:rtl/>
        </w:rPr>
        <w:t>فقبلها</w:t>
      </w:r>
      <w:r w:rsidRPr="006571AC">
        <w:rPr>
          <w:sz w:val="27"/>
          <w:vertAlign w:val="superscript"/>
          <w:rtl/>
        </w:rPr>
        <w:t>(</w:t>
      </w:r>
      <w:r w:rsidRPr="006571AC">
        <w:rPr>
          <w:sz w:val="27"/>
          <w:vertAlign w:val="superscript"/>
          <w:rtl/>
        </w:rPr>
        <w:endnoteReference w:id="130"/>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لكن</w:t>
      </w:r>
      <w:r w:rsidR="006827F7" w:rsidRPr="006571AC">
        <w:rPr>
          <w:rFonts w:hint="cs"/>
          <w:sz w:val="27"/>
          <w:rtl/>
        </w:rPr>
        <w:t>ّ</w:t>
      </w:r>
      <w:r w:rsidRPr="006571AC">
        <w:rPr>
          <w:sz w:val="27"/>
          <w:rtl/>
        </w:rPr>
        <w:t xml:space="preserve"> المشكلة ان تصبح المكافأة محوراً في د</w:t>
      </w:r>
      <w:r w:rsidR="006827F7" w:rsidRPr="006571AC">
        <w:rPr>
          <w:rFonts w:hint="cs"/>
          <w:sz w:val="27"/>
          <w:rtl/>
        </w:rPr>
        <w:t>َ</w:t>
      </w:r>
      <w:r w:rsidRPr="006571AC">
        <w:rPr>
          <w:sz w:val="27"/>
          <w:rtl/>
        </w:rPr>
        <w:t>و</w:t>
      </w:r>
      <w:r w:rsidR="006827F7" w:rsidRPr="006571AC">
        <w:rPr>
          <w:rFonts w:hint="cs"/>
          <w:sz w:val="27"/>
          <w:rtl/>
        </w:rPr>
        <w:t>ْ</w:t>
      </w:r>
      <w:r w:rsidRPr="006571AC">
        <w:rPr>
          <w:sz w:val="27"/>
          <w:rtl/>
        </w:rPr>
        <w:t>ر الخطيب، وعاملاً مؤث</w:t>
      </w:r>
      <w:r w:rsidR="006827F7" w:rsidRPr="006571AC">
        <w:rPr>
          <w:rFonts w:hint="cs"/>
          <w:sz w:val="27"/>
          <w:rtl/>
        </w:rPr>
        <w:t>ِّ</w:t>
      </w:r>
      <w:r w:rsidRPr="006571AC">
        <w:rPr>
          <w:sz w:val="27"/>
          <w:rtl/>
        </w:rPr>
        <w:t>راً في توجيه خطابته، فيقول ما ليس مقتنعا</w:t>
      </w:r>
      <w:r w:rsidR="006827F7" w:rsidRPr="006571AC">
        <w:rPr>
          <w:rFonts w:hint="cs"/>
          <w:sz w:val="27"/>
          <w:rtl/>
        </w:rPr>
        <w:t>ً</w:t>
      </w:r>
      <w:r w:rsidRPr="006571AC">
        <w:rPr>
          <w:sz w:val="27"/>
          <w:rtl/>
        </w:rPr>
        <w:t xml:space="preserve"> به</w:t>
      </w:r>
      <w:r w:rsidR="006827F7" w:rsidRPr="006571AC">
        <w:rPr>
          <w:rFonts w:hint="cs"/>
          <w:sz w:val="27"/>
          <w:rtl/>
        </w:rPr>
        <w:t>؛</w:t>
      </w:r>
      <w:r w:rsidRPr="006571AC">
        <w:rPr>
          <w:sz w:val="27"/>
          <w:rtl/>
        </w:rPr>
        <w:t xml:space="preserve"> ك</w:t>
      </w:r>
      <w:r w:rsidR="00791E7F" w:rsidRPr="006571AC">
        <w:rPr>
          <w:rFonts w:hint="cs"/>
          <w:sz w:val="27"/>
          <w:rtl/>
        </w:rPr>
        <w:t>َ</w:t>
      </w:r>
      <w:r w:rsidRPr="006571AC">
        <w:rPr>
          <w:sz w:val="27"/>
          <w:rtl/>
        </w:rPr>
        <w:t>س</w:t>
      </w:r>
      <w:r w:rsidR="00791E7F" w:rsidRPr="006571AC">
        <w:rPr>
          <w:rFonts w:hint="cs"/>
          <w:sz w:val="27"/>
          <w:rtl/>
        </w:rPr>
        <w:t>ْ</w:t>
      </w:r>
      <w:r w:rsidRPr="006571AC">
        <w:rPr>
          <w:sz w:val="27"/>
          <w:rtl/>
        </w:rPr>
        <w:t>باً للمال، حينئذٍ ينطبق عليه ما ورد سابقاً عن الإمام الصادق</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يُفتي بِغَ</w:t>
      </w:r>
      <w:r w:rsidR="006827F7" w:rsidRPr="006571AC">
        <w:rPr>
          <w:sz w:val="27"/>
          <w:rtl/>
        </w:rPr>
        <w:t>يرِ عِلمٍ ولا هُدىً مِنَ الله</w:t>
      </w:r>
      <w:r w:rsidR="006827F7" w:rsidRPr="006571AC">
        <w:rPr>
          <w:rFonts w:hint="cs"/>
          <w:sz w:val="27"/>
          <w:rtl/>
        </w:rPr>
        <w:t xml:space="preserve">ِ </w:t>
      </w:r>
      <w:r w:rsidRPr="006571AC">
        <w:rPr>
          <w:sz w:val="27"/>
          <w:rtl/>
        </w:rPr>
        <w:t>عَزَّ وجلَّ؛ لِيُب</w:t>
      </w:r>
      <w:r w:rsidR="00791E7F" w:rsidRPr="006571AC">
        <w:rPr>
          <w:rFonts w:hint="cs"/>
          <w:sz w:val="27"/>
          <w:rtl/>
        </w:rPr>
        <w:t>ْ</w:t>
      </w:r>
      <w:r w:rsidRPr="006571AC">
        <w:rPr>
          <w:sz w:val="27"/>
          <w:rtl/>
        </w:rPr>
        <w:t>طِلَ بِهِ الحُقوقَ</w:t>
      </w:r>
      <w:r w:rsidR="006827F7" w:rsidRPr="006571AC">
        <w:rPr>
          <w:rFonts w:hint="cs"/>
          <w:sz w:val="27"/>
          <w:rtl/>
        </w:rPr>
        <w:t>؛</w:t>
      </w:r>
      <w:r w:rsidRPr="006571AC">
        <w:rPr>
          <w:sz w:val="27"/>
          <w:rtl/>
        </w:rPr>
        <w:t xml:space="preserve"> طَمَعا</w:t>
      </w:r>
      <w:r w:rsidR="006827F7" w:rsidRPr="006571AC">
        <w:rPr>
          <w:rFonts w:hint="cs"/>
          <w:sz w:val="27"/>
          <w:rtl/>
        </w:rPr>
        <w:t>ً</w:t>
      </w:r>
      <w:r w:rsidRPr="006571AC">
        <w:rPr>
          <w:sz w:val="27"/>
          <w:rtl/>
        </w:rPr>
        <w:t xml:space="preserve"> في حُط</w:t>
      </w:r>
      <w:r w:rsidR="00791E7F" w:rsidRPr="006571AC">
        <w:rPr>
          <w:rFonts w:hint="cs"/>
          <w:sz w:val="27"/>
          <w:rtl/>
        </w:rPr>
        <w:t>َ</w:t>
      </w:r>
      <w:r w:rsidRPr="006571AC">
        <w:rPr>
          <w:sz w:val="27"/>
          <w:rtl/>
        </w:rPr>
        <w:t>امِ الدّ</w:t>
      </w:r>
      <w:r w:rsidR="006827F7" w:rsidRPr="006571AC">
        <w:rPr>
          <w:rFonts w:hint="cs"/>
          <w:sz w:val="27"/>
          <w:rtl/>
        </w:rPr>
        <w:t>ُ</w:t>
      </w:r>
      <w:r w:rsidRPr="006571AC">
        <w:rPr>
          <w:sz w:val="27"/>
          <w:rtl/>
        </w:rPr>
        <w:t>نيا</w:t>
      </w:r>
      <w:r w:rsidRPr="006571AC">
        <w:rPr>
          <w:rFonts w:hint="eastAsia"/>
          <w:sz w:val="24"/>
          <w:szCs w:val="24"/>
          <w:rtl/>
        </w:rPr>
        <w:t>»</w:t>
      </w:r>
      <w:r w:rsidRPr="006571AC">
        <w:rPr>
          <w:sz w:val="27"/>
          <w:rtl/>
        </w:rPr>
        <w:t xml:space="preserve">. </w:t>
      </w:r>
    </w:p>
    <w:p w:rsidR="007C76F0" w:rsidRPr="006571AC" w:rsidRDefault="007C76F0" w:rsidP="00922A9A">
      <w:pPr>
        <w:spacing w:line="340" w:lineRule="exact"/>
        <w:rPr>
          <w:sz w:val="27"/>
        </w:rPr>
      </w:pPr>
    </w:p>
    <w:p w:rsidR="007C76F0" w:rsidRPr="006571AC" w:rsidRDefault="007C76F0" w:rsidP="006C79DA">
      <w:pPr>
        <w:pStyle w:val="31"/>
        <w:rPr>
          <w:color w:val="auto"/>
        </w:rPr>
      </w:pPr>
      <w:bookmarkStart w:id="65" w:name="_Toc114164554"/>
      <w:r w:rsidRPr="006571AC">
        <w:rPr>
          <w:color w:val="auto"/>
          <w:rtl/>
        </w:rPr>
        <w:t>الرسالة الاجتماعي</w:t>
      </w:r>
      <w:r w:rsidR="0089109D" w:rsidRPr="006571AC">
        <w:rPr>
          <w:rFonts w:hint="cs"/>
          <w:color w:val="auto"/>
          <w:rtl/>
        </w:rPr>
        <w:t>ّ</w:t>
      </w:r>
      <w:r w:rsidRPr="006571AC">
        <w:rPr>
          <w:color w:val="auto"/>
          <w:rtl/>
        </w:rPr>
        <w:t>ة</w:t>
      </w:r>
      <w:r w:rsidR="0089109D" w:rsidRPr="006571AC">
        <w:rPr>
          <w:rFonts w:hint="cs"/>
          <w:color w:val="auto"/>
          <w:rtl/>
        </w:rPr>
        <w:t xml:space="preserve"> والدينيّة</w:t>
      </w:r>
      <w:bookmarkEnd w:id="65"/>
    </w:p>
    <w:p w:rsidR="007C76F0" w:rsidRPr="006571AC" w:rsidRDefault="007C76F0" w:rsidP="00922A9A">
      <w:pPr>
        <w:spacing w:line="390" w:lineRule="exact"/>
        <w:rPr>
          <w:sz w:val="27"/>
          <w:rtl/>
        </w:rPr>
      </w:pPr>
      <w:r w:rsidRPr="006571AC">
        <w:rPr>
          <w:sz w:val="27"/>
          <w:rtl/>
        </w:rPr>
        <w:t>الرسالة التي يحملها الخطاب الديني للمجتمع هي رسالة الدين، ولها ب</w:t>
      </w:r>
      <w:r w:rsidR="006827F7" w:rsidRPr="006571AC">
        <w:rPr>
          <w:rFonts w:hint="cs"/>
          <w:sz w:val="27"/>
          <w:rtl/>
        </w:rPr>
        <w:t>ُ</w:t>
      </w:r>
      <w:r w:rsidRPr="006571AC">
        <w:rPr>
          <w:sz w:val="27"/>
          <w:rtl/>
        </w:rPr>
        <w:t>ع</w:t>
      </w:r>
      <w:r w:rsidR="006827F7" w:rsidRPr="006571AC">
        <w:rPr>
          <w:rFonts w:hint="cs"/>
          <w:sz w:val="27"/>
          <w:rtl/>
        </w:rPr>
        <w:t>ْ</w:t>
      </w:r>
      <w:r w:rsidRPr="006571AC">
        <w:rPr>
          <w:sz w:val="27"/>
          <w:rtl/>
        </w:rPr>
        <w:t>دان أساس</w:t>
      </w:r>
      <w:r w:rsidR="00791E7F" w:rsidRPr="006571AC">
        <w:rPr>
          <w:rFonts w:hint="cs"/>
          <w:sz w:val="27"/>
          <w:rtl/>
        </w:rPr>
        <w:t>يّ</w:t>
      </w:r>
      <w:r w:rsidRPr="006571AC">
        <w:rPr>
          <w:sz w:val="27"/>
          <w:rtl/>
        </w:rPr>
        <w:t xml:space="preserve">ان: </w:t>
      </w:r>
    </w:p>
    <w:p w:rsidR="007C76F0" w:rsidRPr="006571AC" w:rsidRDefault="007C76F0" w:rsidP="00F22B89">
      <w:pPr>
        <w:rPr>
          <w:sz w:val="27"/>
        </w:rPr>
      </w:pPr>
      <w:r w:rsidRPr="006571AC">
        <w:rPr>
          <w:b/>
          <w:bCs/>
          <w:sz w:val="27"/>
          <w:rtl/>
        </w:rPr>
        <w:t>الأو</w:t>
      </w:r>
      <w:r w:rsidR="006827F7" w:rsidRPr="006571AC">
        <w:rPr>
          <w:rFonts w:hint="cs"/>
          <w:b/>
          <w:bCs/>
          <w:sz w:val="27"/>
          <w:rtl/>
        </w:rPr>
        <w:t>ّ</w:t>
      </w:r>
      <w:r w:rsidRPr="006571AC">
        <w:rPr>
          <w:b/>
          <w:bCs/>
          <w:sz w:val="27"/>
          <w:rtl/>
        </w:rPr>
        <w:t>ل</w:t>
      </w:r>
      <w:r w:rsidRPr="006571AC">
        <w:rPr>
          <w:sz w:val="27"/>
          <w:rtl/>
        </w:rPr>
        <w:t>: تذكير الناس بالله خالقهم ورب</w:t>
      </w:r>
      <w:r w:rsidR="006827F7" w:rsidRPr="006571AC">
        <w:rPr>
          <w:rFonts w:hint="cs"/>
          <w:sz w:val="27"/>
          <w:rtl/>
        </w:rPr>
        <w:t>ّ</w:t>
      </w:r>
      <w:r w:rsidRPr="006571AC">
        <w:rPr>
          <w:sz w:val="27"/>
          <w:rtl/>
        </w:rPr>
        <w:t xml:space="preserve">هم، والذي إليه مصيرهم، وأن عليهم </w:t>
      </w:r>
      <w:r w:rsidRPr="006571AC">
        <w:rPr>
          <w:sz w:val="27"/>
          <w:rtl/>
        </w:rPr>
        <w:lastRenderedPageBreak/>
        <w:t>طاعته وعبادته، والتطل</w:t>
      </w:r>
      <w:r w:rsidR="006827F7" w:rsidRPr="006571AC">
        <w:rPr>
          <w:rFonts w:hint="cs"/>
          <w:sz w:val="27"/>
          <w:rtl/>
        </w:rPr>
        <w:t>ُّ</w:t>
      </w:r>
      <w:r w:rsidRPr="006571AC">
        <w:rPr>
          <w:sz w:val="27"/>
          <w:rtl/>
        </w:rPr>
        <w:t>ع إلى رضاه، وما يرتبط بهذا الب</w:t>
      </w:r>
      <w:r w:rsidR="006827F7" w:rsidRPr="006571AC">
        <w:rPr>
          <w:rFonts w:hint="cs"/>
          <w:sz w:val="27"/>
          <w:rtl/>
        </w:rPr>
        <w:t>ُ</w:t>
      </w:r>
      <w:r w:rsidRPr="006571AC">
        <w:rPr>
          <w:sz w:val="27"/>
          <w:rtl/>
        </w:rPr>
        <w:t>ع</w:t>
      </w:r>
      <w:r w:rsidR="006827F7" w:rsidRPr="006571AC">
        <w:rPr>
          <w:rFonts w:hint="cs"/>
          <w:sz w:val="27"/>
          <w:rtl/>
        </w:rPr>
        <w:t>ْ</w:t>
      </w:r>
      <w:r w:rsidRPr="006571AC">
        <w:rPr>
          <w:sz w:val="27"/>
          <w:rtl/>
        </w:rPr>
        <w:t>د من قضايا عقدية وعبادية ووعظية، وكذلك تعزيز الولاء والمحبة للنبي وآله الكرام</w:t>
      </w:r>
      <w:r w:rsidR="006827F7" w:rsidRPr="006571AC">
        <w:rPr>
          <w:rFonts w:hint="cs"/>
          <w:sz w:val="27"/>
          <w:rtl/>
        </w:rPr>
        <w:t>،</w:t>
      </w:r>
      <w:r w:rsidRPr="006571AC">
        <w:rPr>
          <w:sz w:val="27"/>
          <w:rtl/>
        </w:rPr>
        <w:t xml:space="preserve"> بذكر سيرتهم العطرة، وما قد</w:t>
      </w:r>
      <w:r w:rsidR="006827F7" w:rsidRPr="006571AC">
        <w:rPr>
          <w:rFonts w:hint="cs"/>
          <w:sz w:val="27"/>
          <w:rtl/>
        </w:rPr>
        <w:t>َّ</w:t>
      </w:r>
      <w:r w:rsidRPr="006571AC">
        <w:rPr>
          <w:sz w:val="27"/>
          <w:rtl/>
        </w:rPr>
        <w:t>موا من تضحيات، وتحم</w:t>
      </w:r>
      <w:r w:rsidR="006827F7" w:rsidRPr="006571AC">
        <w:rPr>
          <w:rFonts w:hint="cs"/>
          <w:sz w:val="27"/>
          <w:rtl/>
        </w:rPr>
        <w:t>َّ</w:t>
      </w:r>
      <w:r w:rsidRPr="006571AC">
        <w:rPr>
          <w:sz w:val="27"/>
          <w:rtl/>
        </w:rPr>
        <w:t xml:space="preserve">لوا من آلام في حماية الدين وخدمة مصالح الأمة. </w:t>
      </w:r>
    </w:p>
    <w:p w:rsidR="006827F7" w:rsidRPr="006571AC" w:rsidRDefault="007C76F0" w:rsidP="00F22B89">
      <w:pPr>
        <w:rPr>
          <w:sz w:val="27"/>
          <w:rtl/>
        </w:rPr>
      </w:pPr>
      <w:r w:rsidRPr="006571AC">
        <w:rPr>
          <w:b/>
          <w:bCs/>
          <w:sz w:val="27"/>
          <w:rtl/>
        </w:rPr>
        <w:t>الثاني</w:t>
      </w:r>
      <w:r w:rsidRPr="006571AC">
        <w:rPr>
          <w:sz w:val="27"/>
          <w:rtl/>
        </w:rPr>
        <w:t>: إرشاد الناس لح</w:t>
      </w:r>
      <w:r w:rsidR="00791E7F" w:rsidRPr="006571AC">
        <w:rPr>
          <w:rFonts w:hint="cs"/>
          <w:sz w:val="27"/>
          <w:rtl/>
        </w:rPr>
        <w:t>ُ</w:t>
      </w:r>
      <w:r w:rsidRPr="006571AC">
        <w:rPr>
          <w:sz w:val="27"/>
          <w:rtl/>
        </w:rPr>
        <w:t>س</w:t>
      </w:r>
      <w:r w:rsidR="00791E7F" w:rsidRPr="006571AC">
        <w:rPr>
          <w:rFonts w:hint="cs"/>
          <w:sz w:val="27"/>
          <w:rtl/>
        </w:rPr>
        <w:t>ْ</w:t>
      </w:r>
      <w:r w:rsidRPr="006571AC">
        <w:rPr>
          <w:sz w:val="27"/>
          <w:rtl/>
        </w:rPr>
        <w:t>ن الإدارة والتدبير ف</w:t>
      </w:r>
      <w:r w:rsidR="006827F7" w:rsidRPr="006571AC">
        <w:rPr>
          <w:sz w:val="27"/>
          <w:rtl/>
        </w:rPr>
        <w:t>ي حياتهم المعيشية والاجتماعية.</w:t>
      </w:r>
    </w:p>
    <w:p w:rsidR="007C76F0" w:rsidRPr="006571AC" w:rsidRDefault="007C76F0" w:rsidP="00F22B89">
      <w:pPr>
        <w:rPr>
          <w:sz w:val="27"/>
        </w:rPr>
      </w:pPr>
      <w:r w:rsidRPr="006571AC">
        <w:rPr>
          <w:sz w:val="27"/>
          <w:rtl/>
        </w:rPr>
        <w:t xml:space="preserve">فالدين ليس مشروعاً للخلاص في الآخرة فقط، بل هو ـ إلى جانب ذلك ـ مشروع للحياة الأفضل في الدنيا، يقول تعالى: </w:t>
      </w:r>
      <w:r w:rsidRPr="006571AC">
        <w:rPr>
          <w:rFonts w:ascii="Mosawi" w:hAnsi="Mosawi" w:cs="Mosawi"/>
          <w:sz w:val="24"/>
          <w:szCs w:val="24"/>
          <w:rtl/>
        </w:rPr>
        <w:t>﴿</w:t>
      </w:r>
      <w:r w:rsidRPr="006571AC">
        <w:rPr>
          <w:b/>
          <w:bCs/>
          <w:sz w:val="27"/>
          <w:rtl/>
        </w:rPr>
        <w:t>يَا أَيُّهَا الَّ</w:t>
      </w:r>
      <w:r w:rsidR="006827F7" w:rsidRPr="006571AC">
        <w:rPr>
          <w:b/>
          <w:bCs/>
          <w:sz w:val="27"/>
          <w:rtl/>
        </w:rPr>
        <w:t xml:space="preserve">ذِينَ آمَنُوا اسْتَجِيبُوا </w:t>
      </w:r>
      <w:r w:rsidR="006827F7" w:rsidRPr="006571AC">
        <w:rPr>
          <w:rFonts w:hint="cs"/>
          <w:b/>
          <w:bCs/>
          <w:sz w:val="27"/>
          <w:rtl/>
        </w:rPr>
        <w:t>ل</w:t>
      </w:r>
      <w:r w:rsidR="006827F7" w:rsidRPr="006571AC">
        <w:rPr>
          <w:b/>
          <w:bCs/>
          <w:sz w:val="27"/>
          <w:rtl/>
        </w:rPr>
        <w:t>ل</w:t>
      </w:r>
      <w:r w:rsidRPr="006571AC">
        <w:rPr>
          <w:b/>
          <w:bCs/>
          <w:sz w:val="27"/>
          <w:rtl/>
        </w:rPr>
        <w:t>هِ وَلِلرَّسُولِ إِذَا دَعَاكُمْ لِمَا يُحْيِيكُمْ</w:t>
      </w:r>
      <w:r w:rsidRPr="006571AC">
        <w:rPr>
          <w:rFonts w:ascii="Mosawi" w:hAnsi="Mosawi" w:cs="Mosawi"/>
          <w:sz w:val="24"/>
          <w:szCs w:val="24"/>
          <w:rtl/>
        </w:rPr>
        <w:t>﴾</w:t>
      </w:r>
      <w:r w:rsidRPr="006571AC">
        <w:rPr>
          <w:sz w:val="27"/>
          <w:rtl/>
        </w:rPr>
        <w:t xml:space="preserve"> (</w:t>
      </w:r>
      <w:r w:rsidR="006827F7" w:rsidRPr="006571AC">
        <w:rPr>
          <w:rFonts w:hint="cs"/>
          <w:sz w:val="27"/>
          <w:rtl/>
        </w:rPr>
        <w:t xml:space="preserve">الأنفال: 24)، </w:t>
      </w:r>
      <w:r w:rsidRPr="006571AC">
        <w:rPr>
          <w:sz w:val="27"/>
          <w:rtl/>
        </w:rPr>
        <w:t xml:space="preserve">ويقول تعالى: </w:t>
      </w:r>
      <w:r w:rsidRPr="006571AC">
        <w:rPr>
          <w:rFonts w:ascii="Mosawi" w:hAnsi="Mosawi" w:cs="Mosawi"/>
          <w:sz w:val="24"/>
          <w:szCs w:val="24"/>
          <w:rtl/>
        </w:rPr>
        <w:t>﴿</w:t>
      </w:r>
      <w:r w:rsidRPr="006571AC">
        <w:rPr>
          <w:b/>
          <w:bCs/>
          <w:sz w:val="27"/>
          <w:rtl/>
        </w:rPr>
        <w:t>رَبَّنَا آتِنَا فِي الدُّنْيَا حَسَنَةً وَفِي الآخِرَةِ حَسَنَةً</w:t>
      </w:r>
      <w:r w:rsidRPr="006571AC">
        <w:rPr>
          <w:rFonts w:ascii="Mosawi" w:hAnsi="Mosawi" w:cs="Mosawi"/>
          <w:sz w:val="24"/>
          <w:szCs w:val="24"/>
          <w:rtl/>
        </w:rPr>
        <w:t>﴾</w:t>
      </w:r>
      <w:r w:rsidRPr="006571AC">
        <w:rPr>
          <w:sz w:val="27"/>
          <w:rtl/>
        </w:rPr>
        <w:t xml:space="preserve"> (</w:t>
      </w:r>
      <w:r w:rsidRPr="006571AC">
        <w:rPr>
          <w:rFonts w:hint="cs"/>
          <w:sz w:val="27"/>
          <w:rtl/>
        </w:rPr>
        <w:t>البقرة: 201).</w:t>
      </w:r>
      <w:r w:rsidRPr="006571AC">
        <w:rPr>
          <w:sz w:val="27"/>
          <w:rtl/>
        </w:rPr>
        <w:t xml:space="preserve"> </w:t>
      </w:r>
    </w:p>
    <w:p w:rsidR="007C76F0" w:rsidRPr="006571AC" w:rsidRDefault="007C76F0" w:rsidP="00F22B89">
      <w:pPr>
        <w:rPr>
          <w:sz w:val="27"/>
          <w:rtl/>
        </w:rPr>
      </w:pPr>
      <w:r w:rsidRPr="006571AC">
        <w:rPr>
          <w:sz w:val="27"/>
          <w:rtl/>
        </w:rPr>
        <w:t>ولعل</w:t>
      </w:r>
      <w:r w:rsidR="00053C5F" w:rsidRPr="006571AC">
        <w:rPr>
          <w:rFonts w:hint="cs"/>
          <w:sz w:val="27"/>
          <w:rtl/>
        </w:rPr>
        <w:t>ّ</w:t>
      </w:r>
      <w:r w:rsidRPr="006571AC">
        <w:rPr>
          <w:sz w:val="27"/>
          <w:rtl/>
        </w:rPr>
        <w:t xml:space="preserve"> من أهم</w:t>
      </w:r>
      <w:r w:rsidR="00791E7F" w:rsidRPr="006571AC">
        <w:rPr>
          <w:rFonts w:hint="cs"/>
          <w:sz w:val="27"/>
          <w:rtl/>
        </w:rPr>
        <w:t>ّ</w:t>
      </w:r>
      <w:r w:rsidRPr="006571AC">
        <w:rPr>
          <w:sz w:val="27"/>
          <w:rtl/>
        </w:rPr>
        <w:t xml:space="preserve"> أولويات رسالة الدين في الحياة الاجتماعية التي يجب أن يؤك</w:t>
      </w:r>
      <w:r w:rsidR="00053C5F" w:rsidRPr="006571AC">
        <w:rPr>
          <w:rFonts w:hint="cs"/>
          <w:sz w:val="27"/>
          <w:rtl/>
        </w:rPr>
        <w:t>ِّ</w:t>
      </w:r>
      <w:r w:rsidRPr="006571AC">
        <w:rPr>
          <w:sz w:val="27"/>
          <w:rtl/>
        </w:rPr>
        <w:t>د عليها الخطاب الديني هو تعزيز الق</w:t>
      </w:r>
      <w:r w:rsidR="00053C5F" w:rsidRPr="006571AC">
        <w:rPr>
          <w:rFonts w:hint="cs"/>
          <w:sz w:val="27"/>
          <w:rtl/>
        </w:rPr>
        <w:t>ِ</w:t>
      </w:r>
      <w:r w:rsidRPr="006571AC">
        <w:rPr>
          <w:sz w:val="27"/>
          <w:rtl/>
        </w:rPr>
        <w:t>ي</w:t>
      </w:r>
      <w:r w:rsidR="00053C5F" w:rsidRPr="006571AC">
        <w:rPr>
          <w:rFonts w:hint="cs"/>
          <w:sz w:val="27"/>
          <w:rtl/>
        </w:rPr>
        <w:t>َ</w:t>
      </w:r>
      <w:r w:rsidRPr="006571AC">
        <w:rPr>
          <w:sz w:val="27"/>
          <w:rtl/>
        </w:rPr>
        <w:t>م الأخلاقية في التعامل الاجتماعي</w:t>
      </w:r>
      <w:r w:rsidR="00053C5F" w:rsidRPr="006571AC">
        <w:rPr>
          <w:rFonts w:hint="cs"/>
          <w:sz w:val="27"/>
          <w:rtl/>
        </w:rPr>
        <w:t>؛</w:t>
      </w:r>
      <w:r w:rsidRPr="006571AC">
        <w:rPr>
          <w:sz w:val="27"/>
          <w:rtl/>
        </w:rPr>
        <w:t xml:space="preserve"> حيث يؤك</w:t>
      </w:r>
      <w:r w:rsidR="00053C5F" w:rsidRPr="006571AC">
        <w:rPr>
          <w:rFonts w:hint="cs"/>
          <w:sz w:val="27"/>
          <w:rtl/>
        </w:rPr>
        <w:t>ِّ</w:t>
      </w:r>
      <w:r w:rsidRPr="006571AC">
        <w:rPr>
          <w:sz w:val="27"/>
          <w:rtl/>
        </w:rPr>
        <w:t xml:space="preserve">د القرآن الكريم أن هدف بعثة الأنبياء وإنزال الشرائع الإلهية هو إقامة العدل بين البشر، وتبادل الإحسان فيما بينهم، يقول تعالى: </w:t>
      </w:r>
      <w:r w:rsidRPr="006571AC">
        <w:rPr>
          <w:rFonts w:ascii="Mosawi" w:hAnsi="Mosawi" w:cs="Mosawi"/>
          <w:sz w:val="24"/>
          <w:szCs w:val="24"/>
          <w:rtl/>
        </w:rPr>
        <w:t>﴿</w:t>
      </w:r>
      <w:r w:rsidRPr="006571AC">
        <w:rPr>
          <w:b/>
          <w:bCs/>
          <w:sz w:val="27"/>
          <w:rtl/>
        </w:rPr>
        <w:t>لَقَدْ أَرْسَلْنَا رُسُلَنَا بِالْبَيِّنَاتِ وَأَنْزَلْنَا مَعَهُمْ الْكِتَابَ وَالْمِيزَانَ لِيَقُومَ النَّاسُ بِالْقِسْطِ</w:t>
      </w:r>
      <w:r w:rsidRPr="006571AC">
        <w:rPr>
          <w:rFonts w:ascii="Mosawi" w:hAnsi="Mosawi" w:cs="Mosawi"/>
          <w:sz w:val="24"/>
          <w:szCs w:val="24"/>
          <w:rtl/>
        </w:rPr>
        <w:t>﴾</w:t>
      </w:r>
      <w:r w:rsidRPr="006571AC">
        <w:rPr>
          <w:sz w:val="27"/>
          <w:rtl/>
        </w:rPr>
        <w:t xml:space="preserve"> (</w:t>
      </w:r>
      <w:r w:rsidR="00053C5F" w:rsidRPr="006571AC">
        <w:rPr>
          <w:rFonts w:hint="cs"/>
          <w:sz w:val="27"/>
          <w:rtl/>
        </w:rPr>
        <w:t xml:space="preserve">الحديد: 25)، </w:t>
      </w:r>
      <w:r w:rsidRPr="006571AC">
        <w:rPr>
          <w:sz w:val="27"/>
          <w:rtl/>
        </w:rPr>
        <w:t xml:space="preserve">ويقول تعالى: </w:t>
      </w:r>
      <w:r w:rsidRPr="006571AC">
        <w:rPr>
          <w:rFonts w:ascii="Mosawi" w:hAnsi="Mosawi" w:cs="Mosawi"/>
          <w:sz w:val="24"/>
          <w:szCs w:val="24"/>
          <w:rtl/>
        </w:rPr>
        <w:t>﴿</w:t>
      </w:r>
      <w:r w:rsidRPr="006571AC">
        <w:rPr>
          <w:b/>
          <w:bCs/>
          <w:sz w:val="27"/>
          <w:rtl/>
        </w:rPr>
        <w:t>إِنَّ الله يَأْمُرُ بِالْعَدْلِ وَالإِحْسَانِ وَإِيتَاءِ ذِي الْقُرْبَى وَيَنْهَى عَنْ الْفَحْشَاءِ وَالْمُنكَرِ وَالْبَغْيِ يَعِظُكُمْ لَعَلَّكُمْ تَذَكَّرُونَ</w:t>
      </w:r>
      <w:r w:rsidRPr="006571AC">
        <w:rPr>
          <w:rFonts w:ascii="Mosawi" w:hAnsi="Mosawi" w:cs="Mosawi"/>
          <w:sz w:val="24"/>
          <w:szCs w:val="24"/>
          <w:rtl/>
        </w:rPr>
        <w:t>﴾</w:t>
      </w:r>
      <w:r w:rsidRPr="006571AC">
        <w:rPr>
          <w:sz w:val="27"/>
          <w:rtl/>
        </w:rPr>
        <w:t xml:space="preserve"> (النحل</w:t>
      </w:r>
      <w:r w:rsidRPr="006571AC">
        <w:rPr>
          <w:rFonts w:hint="cs"/>
          <w:sz w:val="27"/>
          <w:rtl/>
        </w:rPr>
        <w:t>:</w:t>
      </w:r>
      <w:r w:rsidRPr="006571AC">
        <w:rPr>
          <w:sz w:val="27"/>
          <w:rtl/>
        </w:rPr>
        <w:t xml:space="preserve"> 90). </w:t>
      </w:r>
    </w:p>
    <w:p w:rsidR="007C76F0" w:rsidRPr="006571AC" w:rsidRDefault="007C76F0" w:rsidP="00F22B89">
      <w:pPr>
        <w:rPr>
          <w:sz w:val="27"/>
        </w:rPr>
      </w:pPr>
      <w:r w:rsidRPr="006571AC">
        <w:rPr>
          <w:sz w:val="27"/>
          <w:rtl/>
        </w:rPr>
        <w:t>كما يحد</w:t>
      </w:r>
      <w:r w:rsidR="00053C5F" w:rsidRPr="006571AC">
        <w:rPr>
          <w:rFonts w:hint="cs"/>
          <w:sz w:val="27"/>
          <w:rtl/>
        </w:rPr>
        <w:t>ِّ</w:t>
      </w:r>
      <w:r w:rsidRPr="006571AC">
        <w:rPr>
          <w:sz w:val="27"/>
          <w:rtl/>
        </w:rPr>
        <w:t>د النبي</w:t>
      </w:r>
      <w:r w:rsidR="00DC3B12" w:rsidRPr="006571AC">
        <w:rPr>
          <w:rFonts w:ascii="Mosawi" w:hAnsi="Mosawi" w:cs="Mosawi"/>
          <w:sz w:val="22"/>
          <w:szCs w:val="22"/>
          <w:rtl/>
        </w:rPr>
        <w:t>|</w:t>
      </w:r>
      <w:r w:rsidRPr="006571AC">
        <w:rPr>
          <w:sz w:val="27"/>
          <w:rtl/>
        </w:rPr>
        <w:t xml:space="preserve"> مهمة رسالته الأساس بالارتقاء بمستوى الالتزام الأخلاقي في المجتمع الإنساني، حيث ورد عنه</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00053C5F" w:rsidRPr="006571AC">
        <w:rPr>
          <w:sz w:val="27"/>
          <w:rtl/>
        </w:rPr>
        <w:t>إنَّما بُعِثتُ ل</w:t>
      </w:r>
      <w:r w:rsidRPr="006571AC">
        <w:rPr>
          <w:sz w:val="27"/>
          <w:rtl/>
        </w:rPr>
        <w:t>أُتَمِّمَ مَكارِمَ الأ</w:t>
      </w:r>
      <w:r w:rsidR="00053C5F" w:rsidRPr="006571AC">
        <w:rPr>
          <w:rFonts w:hint="cs"/>
          <w:sz w:val="27"/>
          <w:rtl/>
        </w:rPr>
        <w:t>َ</w:t>
      </w:r>
      <w:r w:rsidRPr="006571AC">
        <w:rPr>
          <w:sz w:val="27"/>
          <w:rtl/>
        </w:rPr>
        <w:t>خ</w:t>
      </w:r>
      <w:r w:rsidR="00053C5F" w:rsidRPr="006571AC">
        <w:rPr>
          <w:rFonts w:hint="cs"/>
          <w:sz w:val="27"/>
          <w:rtl/>
        </w:rPr>
        <w:t>ْ</w:t>
      </w:r>
      <w:r w:rsidRPr="006571AC">
        <w:rPr>
          <w:sz w:val="27"/>
          <w:rtl/>
        </w:rPr>
        <w:t>لاقِ</w:t>
      </w:r>
      <w:r w:rsidRPr="006571AC">
        <w:rPr>
          <w:rFonts w:hint="eastAsia"/>
          <w:sz w:val="24"/>
          <w:szCs w:val="24"/>
          <w:rtl/>
        </w:rPr>
        <w:t>»</w:t>
      </w:r>
      <w:r w:rsidRPr="006571AC">
        <w:rPr>
          <w:sz w:val="27"/>
          <w:vertAlign w:val="superscript"/>
          <w:rtl/>
        </w:rPr>
        <w:t>(</w:t>
      </w:r>
      <w:r w:rsidRPr="006571AC">
        <w:rPr>
          <w:sz w:val="27"/>
          <w:vertAlign w:val="superscript"/>
          <w:rtl/>
        </w:rPr>
        <w:endnoteReference w:id="131"/>
      </w:r>
      <w:r w:rsidRPr="006571AC">
        <w:rPr>
          <w:sz w:val="27"/>
          <w:vertAlign w:val="superscript"/>
          <w:rtl/>
        </w:rPr>
        <w:t>)</w:t>
      </w:r>
      <w:r w:rsidRPr="006571AC">
        <w:rPr>
          <w:sz w:val="27"/>
          <w:rtl/>
        </w:rPr>
        <w:t>، من هذا المنطلق فإن الخطاب الديني يجب أن يركّ</w:t>
      </w:r>
      <w:r w:rsidR="00053C5F" w:rsidRPr="006571AC">
        <w:rPr>
          <w:rFonts w:hint="cs"/>
          <w:sz w:val="27"/>
          <w:rtl/>
        </w:rPr>
        <w:t>ِ</w:t>
      </w:r>
      <w:r w:rsidRPr="006571AC">
        <w:rPr>
          <w:sz w:val="27"/>
          <w:rtl/>
        </w:rPr>
        <w:t>ز على موضوع التعامل بين الناس، والتزام الق</w:t>
      </w:r>
      <w:r w:rsidR="00053C5F" w:rsidRPr="006571AC">
        <w:rPr>
          <w:rFonts w:hint="cs"/>
          <w:sz w:val="27"/>
          <w:rtl/>
        </w:rPr>
        <w:t>ِ</w:t>
      </w:r>
      <w:r w:rsidRPr="006571AC">
        <w:rPr>
          <w:sz w:val="27"/>
          <w:rtl/>
        </w:rPr>
        <w:t>ي</w:t>
      </w:r>
      <w:r w:rsidR="00053C5F" w:rsidRPr="006571AC">
        <w:rPr>
          <w:rFonts w:hint="cs"/>
          <w:sz w:val="27"/>
          <w:rtl/>
        </w:rPr>
        <w:t>َ</w:t>
      </w:r>
      <w:r w:rsidRPr="006571AC">
        <w:rPr>
          <w:sz w:val="27"/>
          <w:rtl/>
        </w:rPr>
        <w:t>م الأخلاقية في الحياة الأ</w:t>
      </w:r>
      <w:r w:rsidR="0080427F" w:rsidRPr="006571AC">
        <w:rPr>
          <w:rFonts w:hint="cs"/>
          <w:sz w:val="27"/>
          <w:rtl/>
        </w:rPr>
        <w:t>ُ</w:t>
      </w:r>
      <w:r w:rsidRPr="006571AC">
        <w:rPr>
          <w:sz w:val="27"/>
          <w:rtl/>
        </w:rPr>
        <w:t>س</w:t>
      </w:r>
      <w:r w:rsidR="0080427F" w:rsidRPr="006571AC">
        <w:rPr>
          <w:rFonts w:hint="cs"/>
          <w:sz w:val="27"/>
          <w:rtl/>
        </w:rPr>
        <w:t>َ</w:t>
      </w:r>
      <w:r w:rsidRPr="006571AC">
        <w:rPr>
          <w:sz w:val="27"/>
          <w:rtl/>
        </w:rPr>
        <w:t xml:space="preserve">رية والعلاقات الاجتماعية. </w:t>
      </w:r>
    </w:p>
    <w:p w:rsidR="007C76F0" w:rsidRPr="006571AC" w:rsidRDefault="007C76F0" w:rsidP="00F22B89">
      <w:pPr>
        <w:rPr>
          <w:sz w:val="27"/>
          <w:rtl/>
        </w:rPr>
      </w:pPr>
      <w:r w:rsidRPr="006571AC">
        <w:rPr>
          <w:sz w:val="27"/>
          <w:rtl/>
        </w:rPr>
        <w:t xml:space="preserve">وهذا ما يمكن استنتاجه من قوله تعالى: </w:t>
      </w:r>
      <w:r w:rsidRPr="006571AC">
        <w:rPr>
          <w:rFonts w:ascii="Mosawi" w:hAnsi="Mosawi" w:cs="Mosawi"/>
          <w:sz w:val="24"/>
          <w:szCs w:val="24"/>
          <w:rtl/>
        </w:rPr>
        <w:t>﴿</w:t>
      </w:r>
      <w:r w:rsidRPr="006571AC">
        <w:rPr>
          <w:b/>
          <w:bCs/>
          <w:sz w:val="27"/>
          <w:rtl/>
        </w:rPr>
        <w:t>لا</w:t>
      </w:r>
      <w:r w:rsidR="00053C5F" w:rsidRPr="006571AC">
        <w:rPr>
          <w:rFonts w:hint="cs"/>
          <w:b/>
          <w:bCs/>
          <w:sz w:val="27"/>
          <w:rtl/>
        </w:rPr>
        <w:t>َ</w:t>
      </w:r>
      <w:r w:rsidRPr="006571AC">
        <w:rPr>
          <w:b/>
          <w:bCs/>
          <w:sz w:val="27"/>
          <w:rtl/>
        </w:rPr>
        <w:t xml:space="preserve"> خَيْرَ فِي كَثِيرٍ مِنْ نَجْوَاهُمْ إِلاَّ مَنْ أَمَرَ بِصَدَقَةٍ أَوْ مَعْرُوفٍ أَوْ إِصْلا</w:t>
      </w:r>
      <w:r w:rsidR="00053C5F" w:rsidRPr="006571AC">
        <w:rPr>
          <w:rFonts w:hint="cs"/>
          <w:b/>
          <w:bCs/>
          <w:sz w:val="27"/>
          <w:rtl/>
        </w:rPr>
        <w:t>َ</w:t>
      </w:r>
      <w:r w:rsidRPr="006571AC">
        <w:rPr>
          <w:b/>
          <w:bCs/>
          <w:sz w:val="27"/>
          <w:rtl/>
        </w:rPr>
        <w:t>حٍ بَيْنَ النَّاسِ وَمَنْ يَفْعَلْ ذَلِكَ ابْتِغَاءَ مَرْضَاةِ الله فَسَوْفَ نُؤْتِيهِ أَجْراً عَظِيماً</w:t>
      </w:r>
      <w:r w:rsidRPr="006571AC">
        <w:rPr>
          <w:rFonts w:ascii="Mosawi" w:hAnsi="Mosawi" w:cs="Mosawi"/>
          <w:sz w:val="24"/>
          <w:szCs w:val="24"/>
          <w:rtl/>
        </w:rPr>
        <w:t>﴾</w:t>
      </w:r>
      <w:r w:rsidRPr="006571AC">
        <w:rPr>
          <w:sz w:val="27"/>
          <w:rtl/>
        </w:rPr>
        <w:t xml:space="preserve"> (النساء: 114). </w:t>
      </w:r>
    </w:p>
    <w:p w:rsidR="007C76F0" w:rsidRPr="006571AC" w:rsidRDefault="007C76F0" w:rsidP="00F22B89">
      <w:pPr>
        <w:rPr>
          <w:sz w:val="27"/>
          <w:rtl/>
        </w:rPr>
      </w:pPr>
      <w:r w:rsidRPr="006571AC">
        <w:rPr>
          <w:sz w:val="27"/>
          <w:rtl/>
        </w:rPr>
        <w:t>ويؤك</w:t>
      </w:r>
      <w:r w:rsidR="00053C5F" w:rsidRPr="006571AC">
        <w:rPr>
          <w:rFonts w:hint="cs"/>
          <w:sz w:val="27"/>
          <w:rtl/>
        </w:rPr>
        <w:t>ِّ</w:t>
      </w:r>
      <w:r w:rsidRPr="006571AC">
        <w:rPr>
          <w:sz w:val="27"/>
          <w:rtl/>
        </w:rPr>
        <w:t>د الإمام علي</w:t>
      </w:r>
      <w:r w:rsidR="00DC3B12" w:rsidRPr="006571AC">
        <w:rPr>
          <w:rFonts w:ascii="Mosawi" w:hAnsi="Mosawi" w:cs="Mosawi"/>
          <w:sz w:val="22"/>
          <w:szCs w:val="22"/>
          <w:rtl/>
        </w:rPr>
        <w:t>×</w:t>
      </w:r>
      <w:r w:rsidRPr="006571AC">
        <w:rPr>
          <w:sz w:val="27"/>
          <w:rtl/>
        </w:rPr>
        <w:t xml:space="preserve"> ما سمعه من رسول الله</w:t>
      </w:r>
      <w:r w:rsidR="00DC3B12" w:rsidRPr="006571AC">
        <w:rPr>
          <w:rFonts w:ascii="Mosawi" w:hAnsi="Mosawi" w:cs="Mosawi"/>
          <w:sz w:val="22"/>
          <w:szCs w:val="22"/>
          <w:rtl/>
        </w:rPr>
        <w:t>|</w:t>
      </w:r>
      <w:r w:rsidRPr="006571AC">
        <w:rPr>
          <w:sz w:val="27"/>
          <w:rtl/>
        </w:rPr>
        <w:t xml:space="preserve"> من أن الاهتمام بإصلاح العلاقات بين الناس هو خير</w:t>
      </w:r>
      <w:r w:rsidR="00053C5F" w:rsidRPr="006571AC">
        <w:rPr>
          <w:rFonts w:hint="cs"/>
          <w:sz w:val="27"/>
          <w:rtl/>
        </w:rPr>
        <w:t>ٌ</w:t>
      </w:r>
      <w:r w:rsidRPr="006571AC">
        <w:rPr>
          <w:sz w:val="27"/>
          <w:rtl/>
        </w:rPr>
        <w:t xml:space="preserve"> من سائر العبادات، قال</w:t>
      </w:r>
      <w:r w:rsidR="00DC3B12" w:rsidRPr="006571AC">
        <w:rPr>
          <w:rFonts w:ascii="Mosawi" w:hAnsi="Mosawi" w:cs="Mosawi"/>
          <w:sz w:val="22"/>
          <w:szCs w:val="22"/>
          <w:rtl/>
        </w:rPr>
        <w:t>×</w:t>
      </w:r>
      <w:r w:rsidRPr="006571AC">
        <w:rPr>
          <w:sz w:val="27"/>
          <w:rtl/>
        </w:rPr>
        <w:t xml:space="preserve"> في وصي</w:t>
      </w:r>
      <w:r w:rsidR="00053C5F" w:rsidRPr="006571AC">
        <w:rPr>
          <w:rFonts w:hint="cs"/>
          <w:sz w:val="27"/>
          <w:rtl/>
        </w:rPr>
        <w:t>ّ</w:t>
      </w:r>
      <w:r w:rsidRPr="006571AC">
        <w:rPr>
          <w:sz w:val="27"/>
          <w:rtl/>
        </w:rPr>
        <w:t>ته للحسن والحسين</w:t>
      </w:r>
      <w:r w:rsidR="00053C5F" w:rsidRPr="006571AC">
        <w:rPr>
          <w:rFonts w:ascii="Mosawi" w:hAnsi="Mosawi" w:cs="Mosawi"/>
          <w:sz w:val="24"/>
          <w:szCs w:val="24"/>
          <w:rtl/>
        </w:rPr>
        <w:t>’</w:t>
      </w:r>
      <w:r w:rsidRPr="006571AC">
        <w:rPr>
          <w:sz w:val="27"/>
          <w:rtl/>
        </w:rPr>
        <w:t xml:space="preserve">: </w:t>
      </w:r>
      <w:r w:rsidRPr="006571AC">
        <w:rPr>
          <w:rFonts w:hint="eastAsia"/>
          <w:sz w:val="24"/>
          <w:szCs w:val="24"/>
          <w:rtl/>
        </w:rPr>
        <w:t>«</w:t>
      </w:r>
      <w:r w:rsidRPr="006571AC">
        <w:rPr>
          <w:sz w:val="27"/>
          <w:rtl/>
        </w:rPr>
        <w:t>أُوصِيكُمَا وجَمِيعَ وَلَدِي وأَهْلِي ومَنْ بَلَغَه كِتَابِي ـ بِتَقْو</w:t>
      </w:r>
      <w:r w:rsidR="00053C5F" w:rsidRPr="006571AC">
        <w:rPr>
          <w:sz w:val="27"/>
          <w:rtl/>
        </w:rPr>
        <w:t>َى الله ونَظْمِ أَمْرِكُمْ وصَل</w:t>
      </w:r>
      <w:r w:rsidRPr="006571AC">
        <w:rPr>
          <w:sz w:val="27"/>
          <w:rtl/>
        </w:rPr>
        <w:t>ا</w:t>
      </w:r>
      <w:r w:rsidR="00053C5F" w:rsidRPr="006571AC">
        <w:rPr>
          <w:rFonts w:hint="cs"/>
          <w:sz w:val="27"/>
          <w:rtl/>
        </w:rPr>
        <w:t>َ</w:t>
      </w:r>
      <w:r w:rsidRPr="006571AC">
        <w:rPr>
          <w:sz w:val="27"/>
          <w:rtl/>
        </w:rPr>
        <w:t>حِ ذَاتِ بَيْنِكُمْ</w:t>
      </w:r>
      <w:r w:rsidR="00053C5F" w:rsidRPr="006571AC">
        <w:rPr>
          <w:rFonts w:hint="cs"/>
          <w:sz w:val="27"/>
          <w:rtl/>
        </w:rPr>
        <w:t>؛</w:t>
      </w:r>
      <w:r w:rsidRPr="006571AC">
        <w:rPr>
          <w:sz w:val="27"/>
          <w:rtl/>
        </w:rPr>
        <w:t xml:space="preserve"> فَإِنِّي سَمِعْتُ جَدَّكُمَا</w:t>
      </w:r>
      <w:r w:rsidR="00DC3B12" w:rsidRPr="006571AC">
        <w:rPr>
          <w:rFonts w:ascii="Mosawi" w:hAnsi="Mosawi" w:cs="Mosawi"/>
          <w:sz w:val="22"/>
          <w:szCs w:val="22"/>
          <w:rtl/>
        </w:rPr>
        <w:t>|</w:t>
      </w:r>
      <w:r w:rsidR="00053C5F" w:rsidRPr="006571AC">
        <w:rPr>
          <w:sz w:val="27"/>
          <w:rtl/>
        </w:rPr>
        <w:t xml:space="preserve"> يَقُولُ</w:t>
      </w:r>
      <w:r w:rsidR="00053C5F" w:rsidRPr="006571AC">
        <w:rPr>
          <w:rFonts w:hint="cs"/>
          <w:sz w:val="27"/>
          <w:rtl/>
        </w:rPr>
        <w:t>:</w:t>
      </w:r>
      <w:r w:rsidR="00053C5F" w:rsidRPr="006571AC">
        <w:rPr>
          <w:sz w:val="27"/>
          <w:rtl/>
        </w:rPr>
        <w:t xml:space="preserve"> صَل</w:t>
      </w:r>
      <w:r w:rsidRPr="006571AC">
        <w:rPr>
          <w:sz w:val="27"/>
          <w:rtl/>
        </w:rPr>
        <w:t>ا</w:t>
      </w:r>
      <w:r w:rsidR="00053C5F" w:rsidRPr="006571AC">
        <w:rPr>
          <w:rFonts w:hint="cs"/>
          <w:sz w:val="27"/>
          <w:rtl/>
        </w:rPr>
        <w:t>َ</w:t>
      </w:r>
      <w:r w:rsidRPr="006571AC">
        <w:rPr>
          <w:sz w:val="27"/>
          <w:rtl/>
        </w:rPr>
        <w:t>حُ ذَاتِ الْبَيْن</w:t>
      </w:r>
      <w:r w:rsidR="00053C5F" w:rsidRPr="006571AC">
        <w:rPr>
          <w:sz w:val="27"/>
          <w:rtl/>
        </w:rPr>
        <w:t xml:space="preserve">ِ أَفْضَلُ </w:t>
      </w:r>
      <w:r w:rsidR="00053C5F" w:rsidRPr="006571AC">
        <w:rPr>
          <w:sz w:val="27"/>
          <w:rtl/>
        </w:rPr>
        <w:lastRenderedPageBreak/>
        <w:t>مِنْ عَامَّةِ الصَّل</w:t>
      </w:r>
      <w:r w:rsidRPr="006571AC">
        <w:rPr>
          <w:sz w:val="27"/>
          <w:rtl/>
        </w:rPr>
        <w:t>ا</w:t>
      </w:r>
      <w:r w:rsidR="00053C5F" w:rsidRPr="006571AC">
        <w:rPr>
          <w:rFonts w:hint="cs"/>
          <w:sz w:val="27"/>
          <w:rtl/>
        </w:rPr>
        <w:t>َ</w:t>
      </w:r>
      <w:r w:rsidRPr="006571AC">
        <w:rPr>
          <w:sz w:val="27"/>
          <w:rtl/>
        </w:rPr>
        <w:t>ةِ والصِّيَامِ</w:t>
      </w:r>
      <w:r w:rsidRPr="006571AC">
        <w:rPr>
          <w:rFonts w:hint="eastAsia"/>
          <w:sz w:val="24"/>
          <w:szCs w:val="24"/>
          <w:rtl/>
        </w:rPr>
        <w:t>»</w:t>
      </w:r>
      <w:r w:rsidRPr="006571AC">
        <w:rPr>
          <w:sz w:val="27"/>
          <w:vertAlign w:val="superscript"/>
          <w:rtl/>
        </w:rPr>
        <w:t>(</w:t>
      </w:r>
      <w:r w:rsidRPr="006571AC">
        <w:rPr>
          <w:sz w:val="27"/>
          <w:vertAlign w:val="superscript"/>
        </w:rPr>
        <w:endnoteReference w:id="132"/>
      </w:r>
      <w:r w:rsidRPr="006571AC">
        <w:rPr>
          <w:sz w:val="27"/>
          <w:vertAlign w:val="superscript"/>
          <w:rtl/>
        </w:rPr>
        <w:t>)</w:t>
      </w:r>
      <w:r w:rsidRPr="006571AC">
        <w:rPr>
          <w:rFonts w:hint="cs"/>
          <w:sz w:val="27"/>
          <w:rtl/>
        </w:rPr>
        <w:t>.</w:t>
      </w:r>
    </w:p>
    <w:p w:rsidR="007C76F0" w:rsidRPr="006571AC" w:rsidRDefault="007C76F0" w:rsidP="00F22B89">
      <w:pPr>
        <w:rPr>
          <w:sz w:val="27"/>
        </w:rPr>
      </w:pPr>
      <w:r w:rsidRPr="006571AC">
        <w:rPr>
          <w:sz w:val="27"/>
          <w:rtl/>
        </w:rPr>
        <w:t>إن إغفال الخطاب الديني موضوع حقوق الناس يؤد</w:t>
      </w:r>
      <w:r w:rsidR="00053C5F" w:rsidRPr="006571AC">
        <w:rPr>
          <w:rFonts w:hint="cs"/>
          <w:sz w:val="27"/>
          <w:rtl/>
        </w:rPr>
        <w:t>ّ</w:t>
      </w:r>
      <w:r w:rsidRPr="006571AC">
        <w:rPr>
          <w:sz w:val="27"/>
          <w:rtl/>
        </w:rPr>
        <w:t>ي إلى وجود أشخاص متدي</w:t>
      </w:r>
      <w:r w:rsidR="00053C5F" w:rsidRPr="006571AC">
        <w:rPr>
          <w:rFonts w:hint="cs"/>
          <w:sz w:val="27"/>
          <w:rtl/>
        </w:rPr>
        <w:t>ِّ</w:t>
      </w:r>
      <w:r w:rsidRPr="006571AC">
        <w:rPr>
          <w:sz w:val="27"/>
          <w:rtl/>
        </w:rPr>
        <w:t>نين يهتم</w:t>
      </w:r>
      <w:r w:rsidR="0080427F" w:rsidRPr="006571AC">
        <w:rPr>
          <w:rFonts w:hint="cs"/>
          <w:sz w:val="27"/>
          <w:rtl/>
        </w:rPr>
        <w:t>ّ</w:t>
      </w:r>
      <w:r w:rsidRPr="006571AC">
        <w:rPr>
          <w:sz w:val="27"/>
          <w:rtl/>
        </w:rPr>
        <w:t>ون بأمور الصلاة والوضوء إلى حد</w:t>
      </w:r>
      <w:r w:rsidR="00053C5F" w:rsidRPr="006571AC">
        <w:rPr>
          <w:rFonts w:hint="cs"/>
          <w:sz w:val="27"/>
          <w:rtl/>
        </w:rPr>
        <w:t>ّ</w:t>
      </w:r>
      <w:r w:rsidRPr="006571AC">
        <w:rPr>
          <w:sz w:val="27"/>
          <w:rtl/>
        </w:rPr>
        <w:t xml:space="preserve"> اله</w:t>
      </w:r>
      <w:r w:rsidR="00053C5F" w:rsidRPr="006571AC">
        <w:rPr>
          <w:rFonts w:hint="cs"/>
          <w:sz w:val="27"/>
          <w:rtl/>
        </w:rPr>
        <w:t>َ</w:t>
      </w:r>
      <w:r w:rsidRPr="006571AC">
        <w:rPr>
          <w:sz w:val="27"/>
          <w:rtl/>
        </w:rPr>
        <w:t>و</w:t>
      </w:r>
      <w:r w:rsidR="00053C5F" w:rsidRPr="006571AC">
        <w:rPr>
          <w:rFonts w:hint="cs"/>
          <w:sz w:val="27"/>
          <w:rtl/>
        </w:rPr>
        <w:t>َ</w:t>
      </w:r>
      <w:r w:rsidRPr="006571AC">
        <w:rPr>
          <w:sz w:val="27"/>
          <w:rtl/>
        </w:rPr>
        <w:t xml:space="preserve">س، لكنهم يتهاونون بحقوق الآخرين ضمن حياتهم العائلية والاجتماعية، وذلك خلاف رسالة الدين. </w:t>
      </w:r>
    </w:p>
    <w:p w:rsidR="007C76F0" w:rsidRPr="006571AC" w:rsidRDefault="007C76F0" w:rsidP="00F22B89">
      <w:pPr>
        <w:rPr>
          <w:sz w:val="27"/>
          <w:rtl/>
        </w:rPr>
      </w:pPr>
      <w:r w:rsidRPr="006571AC">
        <w:rPr>
          <w:sz w:val="27"/>
          <w:rtl/>
        </w:rPr>
        <w:t>وكما ورد أنه قِيلَ لِرَسُولِ الله</w:t>
      </w:r>
      <w:r w:rsidR="00DC3B12" w:rsidRPr="006571AC">
        <w:rPr>
          <w:rFonts w:ascii="Mosawi" w:hAnsi="Mosawi" w:cs="Mosawi"/>
          <w:sz w:val="22"/>
          <w:szCs w:val="22"/>
          <w:rtl/>
        </w:rPr>
        <w:t>|</w:t>
      </w:r>
      <w:r w:rsidRPr="006571AC">
        <w:rPr>
          <w:sz w:val="27"/>
          <w:rtl/>
        </w:rPr>
        <w:t>: امْرَأَةٌ تَصُومُ النَّهَارَ، وَتَقُومُ اللَّيْلَ، وَتُؤْذِي جِيرَانَهَا بِلِسَانِهَا</w:t>
      </w:r>
      <w:r w:rsidR="00A34AB0" w:rsidRPr="006571AC">
        <w:rPr>
          <w:rFonts w:hint="cs"/>
          <w:sz w:val="27"/>
          <w:rtl/>
        </w:rPr>
        <w:t>؟</w:t>
      </w:r>
      <w:r w:rsidRPr="006571AC">
        <w:rPr>
          <w:sz w:val="27"/>
          <w:rtl/>
        </w:rPr>
        <w:t xml:space="preserve"> قَالَ: </w:t>
      </w:r>
      <w:r w:rsidRPr="006571AC">
        <w:rPr>
          <w:rFonts w:hint="eastAsia"/>
          <w:sz w:val="24"/>
          <w:szCs w:val="24"/>
          <w:rtl/>
        </w:rPr>
        <w:t>«</w:t>
      </w:r>
      <w:r w:rsidRPr="006571AC">
        <w:rPr>
          <w:sz w:val="27"/>
          <w:rtl/>
        </w:rPr>
        <w:t>لاَ خَيْرَ فِيهَا، هِيَ مِنْ أَهْلِ النَّ</w:t>
      </w:r>
      <w:r w:rsidR="00A34AB0" w:rsidRPr="006571AC">
        <w:rPr>
          <w:rFonts w:hint="cs"/>
          <w:sz w:val="27"/>
          <w:rtl/>
        </w:rPr>
        <w:t>َ</w:t>
      </w:r>
      <w:r w:rsidRPr="006571AC">
        <w:rPr>
          <w:sz w:val="27"/>
          <w:rtl/>
        </w:rPr>
        <w:t>ارِ</w:t>
      </w:r>
      <w:r w:rsidRPr="006571AC">
        <w:rPr>
          <w:rFonts w:hint="eastAsia"/>
          <w:sz w:val="24"/>
          <w:szCs w:val="24"/>
          <w:rtl/>
        </w:rPr>
        <w:t>»</w:t>
      </w:r>
      <w:r w:rsidRPr="006571AC">
        <w:rPr>
          <w:sz w:val="27"/>
          <w:vertAlign w:val="superscript"/>
          <w:rtl/>
        </w:rPr>
        <w:t>(</w:t>
      </w:r>
      <w:r w:rsidRPr="006571AC">
        <w:rPr>
          <w:sz w:val="27"/>
          <w:vertAlign w:val="superscript"/>
          <w:rtl/>
        </w:rPr>
        <w:endnoteReference w:id="133"/>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والأمر الآخر الذي يجب التركيز عليه في الخطاب الديني هو الاهتمام بجودة الحياة وتحسين مستوى المعيشة. </w:t>
      </w:r>
    </w:p>
    <w:p w:rsidR="007C76F0" w:rsidRPr="006571AC" w:rsidRDefault="007C76F0" w:rsidP="0080427F">
      <w:pPr>
        <w:rPr>
          <w:sz w:val="27"/>
        </w:rPr>
      </w:pPr>
      <w:r w:rsidRPr="006571AC">
        <w:rPr>
          <w:sz w:val="27"/>
          <w:rtl/>
        </w:rPr>
        <w:t xml:space="preserve"> حيث يبدو من النصوص والتعاليم الدينية، أن الدين لا يريد للإنسان أن يعيش في أدنى مستوى للحياة، بل يريد له الع</w:t>
      </w:r>
      <w:r w:rsidR="0080427F" w:rsidRPr="006571AC">
        <w:rPr>
          <w:rFonts w:hint="cs"/>
          <w:sz w:val="27"/>
          <w:rtl/>
        </w:rPr>
        <w:t>َ</w:t>
      </w:r>
      <w:r w:rsidRPr="006571AC">
        <w:rPr>
          <w:sz w:val="27"/>
          <w:rtl/>
        </w:rPr>
        <w:t>ي</w:t>
      </w:r>
      <w:r w:rsidR="0080427F" w:rsidRPr="006571AC">
        <w:rPr>
          <w:rFonts w:hint="cs"/>
          <w:sz w:val="27"/>
          <w:rtl/>
        </w:rPr>
        <w:t>ْ</w:t>
      </w:r>
      <w:r w:rsidRPr="006571AC">
        <w:rPr>
          <w:sz w:val="27"/>
          <w:rtl/>
        </w:rPr>
        <w:t>ش في المستوى الأفضل والأرقى، بخلاف النظرة التي يتداولها بعض</w:t>
      </w:r>
      <w:r w:rsidR="0080427F" w:rsidRPr="006571AC">
        <w:rPr>
          <w:rFonts w:hint="cs"/>
          <w:sz w:val="27"/>
          <w:rtl/>
        </w:rPr>
        <w:t>هم</w:t>
      </w:r>
      <w:r w:rsidRPr="006571AC">
        <w:rPr>
          <w:sz w:val="27"/>
          <w:rtl/>
        </w:rPr>
        <w:t>، بتفسير بعض المفاهيم الأخلاقية</w:t>
      </w:r>
      <w:r w:rsidR="00A34AB0" w:rsidRPr="006571AC">
        <w:rPr>
          <w:rFonts w:hint="cs"/>
          <w:sz w:val="27"/>
          <w:rtl/>
        </w:rPr>
        <w:t>،</w:t>
      </w:r>
      <w:r w:rsidRPr="006571AC">
        <w:rPr>
          <w:sz w:val="27"/>
          <w:rtl/>
        </w:rPr>
        <w:t xml:space="preserve"> كالزهد، والقناعة، والرضا، بأنها تعني تجن</w:t>
      </w:r>
      <w:r w:rsidR="00A34AB0" w:rsidRPr="006571AC">
        <w:rPr>
          <w:rFonts w:hint="cs"/>
          <w:sz w:val="27"/>
          <w:rtl/>
        </w:rPr>
        <w:t>ُّ</w:t>
      </w:r>
      <w:r w:rsidRPr="006571AC">
        <w:rPr>
          <w:sz w:val="27"/>
          <w:rtl/>
        </w:rPr>
        <w:t xml:space="preserve">ب الاستمتاع بالحياة، وإهمال الاستفادة من خيراتها! </w:t>
      </w:r>
    </w:p>
    <w:p w:rsidR="007C76F0" w:rsidRPr="006571AC" w:rsidRDefault="007C76F0" w:rsidP="00F22B89">
      <w:pPr>
        <w:rPr>
          <w:sz w:val="27"/>
          <w:rtl/>
        </w:rPr>
      </w:pPr>
      <w:r w:rsidRPr="006571AC">
        <w:rPr>
          <w:sz w:val="27"/>
          <w:rtl/>
        </w:rPr>
        <w:t>وبسبب هذه النظرة ترى أن بعض المتدي</w:t>
      </w:r>
      <w:r w:rsidR="00A34AB0" w:rsidRPr="006571AC">
        <w:rPr>
          <w:rFonts w:hint="cs"/>
          <w:sz w:val="27"/>
          <w:rtl/>
        </w:rPr>
        <w:t>ِّ</w:t>
      </w:r>
      <w:r w:rsidRPr="006571AC">
        <w:rPr>
          <w:sz w:val="27"/>
          <w:rtl/>
        </w:rPr>
        <w:t>نين يعيشون حياة الفقر والتخل</w:t>
      </w:r>
      <w:r w:rsidR="00A34AB0" w:rsidRPr="006571AC">
        <w:rPr>
          <w:rFonts w:hint="cs"/>
          <w:sz w:val="27"/>
          <w:rtl/>
        </w:rPr>
        <w:t>ُّ</w:t>
      </w:r>
      <w:r w:rsidRPr="006571AC">
        <w:rPr>
          <w:sz w:val="27"/>
          <w:rtl/>
        </w:rPr>
        <w:t xml:space="preserve">ف والفوضى! </w:t>
      </w:r>
    </w:p>
    <w:p w:rsidR="007C76F0" w:rsidRPr="006571AC" w:rsidRDefault="007C76F0" w:rsidP="00F22B89">
      <w:pPr>
        <w:rPr>
          <w:sz w:val="27"/>
          <w:rtl/>
        </w:rPr>
      </w:pPr>
      <w:r w:rsidRPr="006571AC">
        <w:rPr>
          <w:sz w:val="27"/>
          <w:rtl/>
        </w:rPr>
        <w:t>فإذا ذهب</w:t>
      </w:r>
      <w:r w:rsidR="00A34AB0" w:rsidRPr="006571AC">
        <w:rPr>
          <w:rFonts w:hint="cs"/>
          <w:sz w:val="27"/>
          <w:rtl/>
        </w:rPr>
        <w:t>ْ</w:t>
      </w:r>
      <w:r w:rsidRPr="006571AC">
        <w:rPr>
          <w:sz w:val="27"/>
          <w:rtl/>
        </w:rPr>
        <w:t>ت</w:t>
      </w:r>
      <w:r w:rsidR="00A34AB0" w:rsidRPr="006571AC">
        <w:rPr>
          <w:rFonts w:hint="cs"/>
          <w:sz w:val="27"/>
          <w:rtl/>
        </w:rPr>
        <w:t>َ</w:t>
      </w:r>
      <w:r w:rsidRPr="006571AC">
        <w:rPr>
          <w:sz w:val="27"/>
          <w:rtl/>
        </w:rPr>
        <w:t xml:space="preserve"> إلى بلد</w:t>
      </w:r>
      <w:r w:rsidR="00A34AB0" w:rsidRPr="006571AC">
        <w:rPr>
          <w:rFonts w:hint="cs"/>
          <w:sz w:val="27"/>
          <w:rtl/>
        </w:rPr>
        <w:t>ٍ</w:t>
      </w:r>
      <w:r w:rsidRPr="006571AC">
        <w:rPr>
          <w:sz w:val="27"/>
          <w:rtl/>
        </w:rPr>
        <w:t xml:space="preserve"> فيه مسلمون وغير مسلمين قد تجد أن حياة غيرهم أكثر ترتيباً وتقد</w:t>
      </w:r>
      <w:r w:rsidR="00A34AB0" w:rsidRPr="006571AC">
        <w:rPr>
          <w:rFonts w:hint="cs"/>
          <w:sz w:val="27"/>
          <w:rtl/>
        </w:rPr>
        <w:t>ُّ</w:t>
      </w:r>
      <w:r w:rsidRPr="006571AC">
        <w:rPr>
          <w:sz w:val="27"/>
          <w:rtl/>
        </w:rPr>
        <w:t xml:space="preserve">ماً من حياتهم. </w:t>
      </w:r>
    </w:p>
    <w:p w:rsidR="007C76F0" w:rsidRPr="006571AC" w:rsidRDefault="007C76F0" w:rsidP="00F22B89">
      <w:pPr>
        <w:rPr>
          <w:sz w:val="27"/>
        </w:rPr>
      </w:pPr>
      <w:r w:rsidRPr="006571AC">
        <w:rPr>
          <w:sz w:val="27"/>
          <w:rtl/>
        </w:rPr>
        <w:t xml:space="preserve">إن الله تعالى يقول: </w:t>
      </w:r>
      <w:r w:rsidRPr="006571AC">
        <w:rPr>
          <w:rFonts w:ascii="Mosawi" w:hAnsi="Mosawi" w:cs="Mosawi"/>
          <w:sz w:val="24"/>
          <w:szCs w:val="24"/>
          <w:rtl/>
        </w:rPr>
        <w:t>﴿</w:t>
      </w:r>
      <w:r w:rsidRPr="006571AC">
        <w:rPr>
          <w:b/>
          <w:bCs/>
          <w:sz w:val="27"/>
          <w:rtl/>
        </w:rPr>
        <w:t>مَنْ عَمِلَ صَالِحاً مِنْ ذَكَرٍ أَوْ أُنثَى وَهُوَ مُؤْمِنٌ فَلَنُحْيِيَنَّهُ حَيَاةً طَيِّبَةً وَلَنَجْزِيَنَّهُمْ أَجْرَهُمْ بِأَحْسَنِ مَا كَانُوا يَعْمَلُونَ</w:t>
      </w:r>
      <w:r w:rsidRPr="006571AC">
        <w:rPr>
          <w:rFonts w:ascii="Mosawi" w:hAnsi="Mosawi" w:cs="Mosawi"/>
          <w:sz w:val="24"/>
          <w:szCs w:val="24"/>
          <w:rtl/>
        </w:rPr>
        <w:t>﴾</w:t>
      </w:r>
      <w:r w:rsidRPr="006571AC">
        <w:rPr>
          <w:sz w:val="27"/>
          <w:rtl/>
        </w:rPr>
        <w:t xml:space="preserve"> (النحل: 97)، فأين الحياة الطي</w:t>
      </w:r>
      <w:r w:rsidR="00A34AB0" w:rsidRPr="006571AC">
        <w:rPr>
          <w:rFonts w:hint="cs"/>
          <w:sz w:val="27"/>
          <w:rtl/>
        </w:rPr>
        <w:t>ِّ</w:t>
      </w:r>
      <w:r w:rsidRPr="006571AC">
        <w:rPr>
          <w:sz w:val="27"/>
          <w:rtl/>
        </w:rPr>
        <w:t>بة في واقع كثير من مجتمعاتنا؟</w:t>
      </w:r>
      <w:r w:rsidR="00A34AB0" w:rsidRPr="006571AC">
        <w:rPr>
          <w:rFonts w:hint="cs"/>
          <w:sz w:val="27"/>
          <w:rtl/>
        </w:rPr>
        <w:t>!</w:t>
      </w:r>
      <w:r w:rsidRPr="006571AC">
        <w:rPr>
          <w:sz w:val="27"/>
          <w:rtl/>
        </w:rPr>
        <w:t xml:space="preserve"> </w:t>
      </w:r>
    </w:p>
    <w:p w:rsidR="007C76F0" w:rsidRPr="006571AC" w:rsidRDefault="007C76F0" w:rsidP="00F22B89">
      <w:pPr>
        <w:rPr>
          <w:sz w:val="27"/>
        </w:rPr>
      </w:pPr>
      <w:r w:rsidRPr="006571AC">
        <w:rPr>
          <w:sz w:val="27"/>
          <w:rtl/>
        </w:rPr>
        <w:t>لقد أصبح مفهوم جودة الحياة مفهوماً واسعاً، له مؤش</w:t>
      </w:r>
      <w:r w:rsidR="00A34AB0" w:rsidRPr="006571AC">
        <w:rPr>
          <w:rFonts w:hint="cs"/>
          <w:sz w:val="27"/>
          <w:rtl/>
        </w:rPr>
        <w:t>ِّ</w:t>
      </w:r>
      <w:r w:rsidRPr="006571AC">
        <w:rPr>
          <w:sz w:val="27"/>
          <w:rtl/>
        </w:rPr>
        <w:t>رات</w:t>
      </w:r>
      <w:r w:rsidR="0080427F" w:rsidRPr="006571AC">
        <w:rPr>
          <w:rFonts w:hint="cs"/>
          <w:sz w:val="27"/>
          <w:rtl/>
        </w:rPr>
        <w:t>ٌ</w:t>
      </w:r>
      <w:r w:rsidRPr="006571AC">
        <w:rPr>
          <w:sz w:val="27"/>
          <w:rtl/>
        </w:rPr>
        <w:t xml:space="preserve"> شاملة معتمدة عالمياً كمراجع أساسية</w:t>
      </w:r>
      <w:r w:rsidR="00A34AB0" w:rsidRPr="006571AC">
        <w:rPr>
          <w:rFonts w:hint="cs"/>
          <w:sz w:val="27"/>
          <w:rtl/>
        </w:rPr>
        <w:t>،</w:t>
      </w:r>
      <w:r w:rsidRPr="006571AC">
        <w:rPr>
          <w:sz w:val="27"/>
          <w:rtl/>
        </w:rPr>
        <w:t xml:space="preserve"> منها</w:t>
      </w:r>
      <w:r w:rsidR="00A34AB0" w:rsidRPr="006571AC">
        <w:rPr>
          <w:rFonts w:hint="cs"/>
          <w:sz w:val="27"/>
          <w:rtl/>
        </w:rPr>
        <w:t>:</w:t>
      </w:r>
      <w:r w:rsidRPr="006571AC">
        <w:rPr>
          <w:sz w:val="27"/>
          <w:rtl/>
        </w:rPr>
        <w:t xml:space="preserve"> (التصنيف العالمي لقابلية العيش)، وهو مؤش</w:t>
      </w:r>
      <w:r w:rsidR="00A34AB0" w:rsidRPr="006571AC">
        <w:rPr>
          <w:rFonts w:hint="cs"/>
          <w:sz w:val="27"/>
          <w:rtl/>
        </w:rPr>
        <w:t>ِّ</w:t>
      </w:r>
      <w:r w:rsidRPr="006571AC">
        <w:rPr>
          <w:sz w:val="27"/>
          <w:rtl/>
        </w:rPr>
        <w:t>ر</w:t>
      </w:r>
      <w:r w:rsidR="0080427F" w:rsidRPr="006571AC">
        <w:rPr>
          <w:rFonts w:hint="cs"/>
          <w:sz w:val="27"/>
          <w:rtl/>
        </w:rPr>
        <w:t>ٌ</w:t>
      </w:r>
      <w:r w:rsidRPr="006571AC">
        <w:rPr>
          <w:sz w:val="27"/>
          <w:rtl/>
        </w:rPr>
        <w:t xml:space="preserve"> سنوي يصن</w:t>
      </w:r>
      <w:r w:rsidR="00A34AB0" w:rsidRPr="006571AC">
        <w:rPr>
          <w:rFonts w:hint="cs"/>
          <w:sz w:val="27"/>
          <w:rtl/>
        </w:rPr>
        <w:t>ِّ</w:t>
      </w:r>
      <w:r w:rsidRPr="006571AC">
        <w:rPr>
          <w:sz w:val="27"/>
          <w:rtl/>
        </w:rPr>
        <w:t>ف المدن في 140 دولة</w:t>
      </w:r>
      <w:r w:rsidR="00A34AB0" w:rsidRPr="006571AC">
        <w:rPr>
          <w:rFonts w:hint="cs"/>
          <w:sz w:val="27"/>
          <w:rtl/>
        </w:rPr>
        <w:t>ٍ</w:t>
      </w:r>
      <w:r w:rsidRPr="006571AC">
        <w:rPr>
          <w:sz w:val="27"/>
          <w:rtl/>
        </w:rPr>
        <w:t xml:space="preserve"> ح</w:t>
      </w:r>
      <w:r w:rsidR="0080427F" w:rsidRPr="006571AC">
        <w:rPr>
          <w:rFonts w:hint="cs"/>
          <w:sz w:val="27"/>
          <w:rtl/>
        </w:rPr>
        <w:t>َ</w:t>
      </w:r>
      <w:r w:rsidRPr="006571AC">
        <w:rPr>
          <w:sz w:val="27"/>
          <w:rtl/>
        </w:rPr>
        <w:t>س</w:t>
      </w:r>
      <w:r w:rsidR="0080427F" w:rsidRPr="006571AC">
        <w:rPr>
          <w:rFonts w:hint="cs"/>
          <w:sz w:val="27"/>
          <w:rtl/>
        </w:rPr>
        <w:t>ْ</w:t>
      </w:r>
      <w:r w:rsidRPr="006571AC">
        <w:rPr>
          <w:sz w:val="27"/>
          <w:rtl/>
        </w:rPr>
        <w:t>ب جودة الحياة فيها، بناءً على تقييم الاستقرار والرعاية الصح</w:t>
      </w:r>
      <w:r w:rsidR="00A34AB0" w:rsidRPr="006571AC">
        <w:rPr>
          <w:rFonts w:hint="cs"/>
          <w:sz w:val="27"/>
          <w:rtl/>
        </w:rPr>
        <w:t>ّ</w:t>
      </w:r>
      <w:r w:rsidRPr="006571AC">
        <w:rPr>
          <w:sz w:val="27"/>
          <w:rtl/>
        </w:rPr>
        <w:t xml:space="preserve">ية والثقافة والبيئة والتعليم والرياضة والبنية التحتية. </w:t>
      </w:r>
    </w:p>
    <w:p w:rsidR="007C76F0" w:rsidRPr="006571AC" w:rsidRDefault="007C76F0" w:rsidP="00F22B89">
      <w:pPr>
        <w:rPr>
          <w:sz w:val="27"/>
        </w:rPr>
      </w:pPr>
      <w:r w:rsidRPr="006571AC">
        <w:rPr>
          <w:sz w:val="27"/>
          <w:rtl/>
        </w:rPr>
        <w:t>ومنها</w:t>
      </w:r>
      <w:r w:rsidR="00A34AB0" w:rsidRPr="006571AC">
        <w:rPr>
          <w:rFonts w:hint="cs"/>
          <w:sz w:val="27"/>
          <w:rtl/>
        </w:rPr>
        <w:t>:</w:t>
      </w:r>
      <w:r w:rsidRPr="006571AC">
        <w:rPr>
          <w:sz w:val="27"/>
          <w:rtl/>
        </w:rPr>
        <w:t xml:space="preserve"> (مؤش</w:t>
      </w:r>
      <w:r w:rsidR="00A34AB0" w:rsidRPr="006571AC">
        <w:rPr>
          <w:rFonts w:hint="cs"/>
          <w:sz w:val="27"/>
          <w:rtl/>
        </w:rPr>
        <w:t>ِّ</w:t>
      </w:r>
      <w:r w:rsidRPr="006571AC">
        <w:rPr>
          <w:sz w:val="27"/>
          <w:rtl/>
        </w:rPr>
        <w:t>ر السعادة العالمي)</w:t>
      </w:r>
      <w:r w:rsidR="00A34AB0" w:rsidRPr="006571AC">
        <w:rPr>
          <w:rFonts w:hint="cs"/>
          <w:sz w:val="27"/>
          <w:rtl/>
        </w:rPr>
        <w:t>،</w:t>
      </w:r>
      <w:r w:rsidRPr="006571AC">
        <w:rPr>
          <w:sz w:val="27"/>
          <w:rtl/>
        </w:rPr>
        <w:t xml:space="preserve"> الذي وضع سنة 2017م، والذي يصن</w:t>
      </w:r>
      <w:r w:rsidR="00A34AB0" w:rsidRPr="006571AC">
        <w:rPr>
          <w:rFonts w:hint="cs"/>
          <w:sz w:val="27"/>
          <w:rtl/>
        </w:rPr>
        <w:t>ِّ</w:t>
      </w:r>
      <w:r w:rsidRPr="006571AC">
        <w:rPr>
          <w:sz w:val="27"/>
          <w:rtl/>
        </w:rPr>
        <w:t xml:space="preserve">ف 155 دولة وفقاً لمستويات السعادة، وذلك بناءً على الجوانب </w:t>
      </w:r>
      <w:r w:rsidR="00A34AB0" w:rsidRPr="006571AC">
        <w:rPr>
          <w:rFonts w:hint="cs"/>
          <w:sz w:val="27"/>
          <w:rtl/>
        </w:rPr>
        <w:t>التالية</w:t>
      </w:r>
      <w:r w:rsidRPr="006571AC">
        <w:rPr>
          <w:sz w:val="27"/>
          <w:rtl/>
        </w:rPr>
        <w:t>: الفساد</w:t>
      </w:r>
      <w:r w:rsidR="0080427F" w:rsidRPr="006571AC">
        <w:rPr>
          <w:rFonts w:hint="cs"/>
          <w:sz w:val="27"/>
          <w:rtl/>
        </w:rPr>
        <w:t>،</w:t>
      </w:r>
      <w:r w:rsidRPr="006571AC">
        <w:rPr>
          <w:sz w:val="27"/>
          <w:rtl/>
        </w:rPr>
        <w:t xml:space="preserve"> وحر</w:t>
      </w:r>
      <w:r w:rsidR="00A34AB0" w:rsidRPr="006571AC">
        <w:rPr>
          <w:rFonts w:hint="cs"/>
          <w:sz w:val="27"/>
          <w:rtl/>
        </w:rPr>
        <w:t>ّ</w:t>
      </w:r>
      <w:r w:rsidRPr="006571AC">
        <w:rPr>
          <w:sz w:val="27"/>
          <w:rtl/>
        </w:rPr>
        <w:t>ية الاختيار، ومتوس</w:t>
      </w:r>
      <w:r w:rsidR="00A34AB0" w:rsidRPr="006571AC">
        <w:rPr>
          <w:rFonts w:hint="cs"/>
          <w:sz w:val="27"/>
          <w:rtl/>
        </w:rPr>
        <w:t>ّ</w:t>
      </w:r>
      <w:r w:rsidRPr="006571AC">
        <w:rPr>
          <w:sz w:val="27"/>
          <w:rtl/>
        </w:rPr>
        <w:t>ط العمر المتوق</w:t>
      </w:r>
      <w:r w:rsidR="00A34AB0" w:rsidRPr="006571AC">
        <w:rPr>
          <w:rFonts w:hint="cs"/>
          <w:sz w:val="27"/>
          <w:rtl/>
        </w:rPr>
        <w:t>ّ</w:t>
      </w:r>
      <w:r w:rsidRPr="006571AC">
        <w:rPr>
          <w:sz w:val="27"/>
          <w:rtl/>
        </w:rPr>
        <w:t>ع، وإجمالي الناتج المحل</w:t>
      </w:r>
      <w:r w:rsidR="00A34AB0" w:rsidRPr="006571AC">
        <w:rPr>
          <w:rFonts w:hint="cs"/>
          <w:sz w:val="27"/>
          <w:rtl/>
        </w:rPr>
        <w:t>ّ</w:t>
      </w:r>
      <w:r w:rsidRPr="006571AC">
        <w:rPr>
          <w:sz w:val="27"/>
          <w:rtl/>
        </w:rPr>
        <w:t xml:space="preserve">ي للفرد، والدعم الاجتماعي، </w:t>
      </w:r>
      <w:r w:rsidRPr="006571AC">
        <w:rPr>
          <w:sz w:val="27"/>
          <w:rtl/>
        </w:rPr>
        <w:lastRenderedPageBreak/>
        <w:t xml:space="preserve">والعطاء. </w:t>
      </w:r>
    </w:p>
    <w:p w:rsidR="007C76F0" w:rsidRPr="006571AC" w:rsidRDefault="007C76F0" w:rsidP="0080427F">
      <w:pPr>
        <w:rPr>
          <w:sz w:val="27"/>
          <w:rtl/>
        </w:rPr>
      </w:pPr>
      <w:r w:rsidRPr="006571AC">
        <w:rPr>
          <w:sz w:val="27"/>
          <w:rtl/>
        </w:rPr>
        <w:t>إن جودة الحياة مقصد</w:t>
      </w:r>
      <w:r w:rsidR="00A34AB0" w:rsidRPr="006571AC">
        <w:rPr>
          <w:rFonts w:hint="cs"/>
          <w:sz w:val="27"/>
          <w:rtl/>
        </w:rPr>
        <w:t>ٌ</w:t>
      </w:r>
      <w:r w:rsidRPr="006571AC">
        <w:rPr>
          <w:sz w:val="27"/>
          <w:rtl/>
        </w:rPr>
        <w:t xml:space="preserve"> ديني</w:t>
      </w:r>
      <w:r w:rsidR="00A34AB0" w:rsidRPr="006571AC">
        <w:rPr>
          <w:rFonts w:hint="cs"/>
          <w:sz w:val="27"/>
          <w:rtl/>
        </w:rPr>
        <w:t>ّ</w:t>
      </w:r>
      <w:r w:rsidRPr="006571AC">
        <w:rPr>
          <w:sz w:val="27"/>
          <w:rtl/>
        </w:rPr>
        <w:t xml:space="preserve"> تدعو له النصوص الدينية، يقول تعالى: </w:t>
      </w:r>
      <w:r w:rsidRPr="006571AC">
        <w:rPr>
          <w:rFonts w:ascii="Mosawi" w:hAnsi="Mosawi" w:cs="Mosawi"/>
          <w:sz w:val="24"/>
          <w:szCs w:val="24"/>
          <w:rtl/>
        </w:rPr>
        <w:t>﴿</w:t>
      </w:r>
      <w:r w:rsidRPr="006571AC">
        <w:rPr>
          <w:b/>
          <w:bCs/>
          <w:sz w:val="27"/>
          <w:rtl/>
        </w:rPr>
        <w:t xml:space="preserve">يَا بَنِي آدَمَ خُذُوا زِينَتَكُمْ عِنْدَ كُلِّ مَسْجِدٍ وَكُلُوا وَاشْرَبُوا وَلا تُسْرِفُوا إِنَّهُ لا يُحِبُّ الْمُسْرِفِينَ </w:t>
      </w:r>
      <w:r w:rsidR="00A34AB0" w:rsidRPr="006571AC">
        <w:rPr>
          <w:rFonts w:hint="cs"/>
          <w:b/>
          <w:bCs/>
          <w:sz w:val="27"/>
          <w:rtl/>
        </w:rPr>
        <w:t>*</w:t>
      </w:r>
      <w:r w:rsidRPr="006571AC">
        <w:rPr>
          <w:b/>
          <w:bCs/>
          <w:sz w:val="27"/>
          <w:rtl/>
        </w:rPr>
        <w:t xml:space="preserve"> قُلْ مَنْ حَرَّمَ زِينَةَ الله الَّتِي أَخْرَجَ لِعِبَادِهِ وَالطَّيِّبَاتِ مِنْ الرِّزْقِ قُلْ هِيَ لِلَّذِينَ آمَنُوا فِي الْحَيَاةِ الدُّنْيَا خَالِصَةً يَوْمَ الْقِيَامَةِ</w:t>
      </w:r>
      <w:r w:rsidRPr="006571AC">
        <w:rPr>
          <w:rFonts w:ascii="Mosawi" w:hAnsi="Mosawi" w:cs="Mosawi"/>
          <w:sz w:val="24"/>
          <w:szCs w:val="24"/>
          <w:rtl/>
        </w:rPr>
        <w:t>﴾</w:t>
      </w:r>
      <w:r w:rsidRPr="006571AC">
        <w:rPr>
          <w:sz w:val="27"/>
          <w:rtl/>
        </w:rPr>
        <w:t xml:space="preserve"> (الأعراف: 31 ـ 32). </w:t>
      </w:r>
    </w:p>
    <w:p w:rsidR="007C76F0" w:rsidRPr="006571AC" w:rsidRDefault="007C76F0" w:rsidP="0080427F">
      <w:pPr>
        <w:rPr>
          <w:sz w:val="27"/>
        </w:rPr>
      </w:pPr>
      <w:r w:rsidRPr="006571AC">
        <w:rPr>
          <w:sz w:val="27"/>
          <w:rtl/>
        </w:rPr>
        <w:t>يريد الله تعالى للإنسان المؤمن أن يستمتع بحياته، ويعيش الرفاهية، ويبدو من الآيات القرآنية أن الأصل في المؤمن أن يكون ثري</w:t>
      </w:r>
      <w:r w:rsidR="00113BB3" w:rsidRPr="006571AC">
        <w:rPr>
          <w:rFonts w:hint="cs"/>
          <w:sz w:val="27"/>
          <w:rtl/>
        </w:rPr>
        <w:t>ّ</w:t>
      </w:r>
      <w:r w:rsidRPr="006571AC">
        <w:rPr>
          <w:sz w:val="27"/>
          <w:rtl/>
        </w:rPr>
        <w:t>اً، فحين تتحد</w:t>
      </w:r>
      <w:r w:rsidR="00113BB3" w:rsidRPr="006571AC">
        <w:rPr>
          <w:rFonts w:hint="cs"/>
          <w:sz w:val="27"/>
          <w:rtl/>
        </w:rPr>
        <w:t>ّ</w:t>
      </w:r>
      <w:r w:rsidRPr="006571AC">
        <w:rPr>
          <w:sz w:val="27"/>
          <w:rtl/>
        </w:rPr>
        <w:t>ث عن ا</w:t>
      </w:r>
      <w:r w:rsidR="00113BB3" w:rsidRPr="006571AC">
        <w:rPr>
          <w:sz w:val="27"/>
          <w:rtl/>
        </w:rPr>
        <w:t>لصلاة غالباً ما تردفها بالزكاة</w:t>
      </w:r>
      <w:r w:rsidR="00113BB3" w:rsidRPr="006571AC">
        <w:rPr>
          <w:rFonts w:hint="cs"/>
          <w:sz w:val="27"/>
          <w:rtl/>
        </w:rPr>
        <w:t xml:space="preserve">، </w:t>
      </w:r>
      <w:r w:rsidRPr="006571AC">
        <w:rPr>
          <w:sz w:val="27"/>
          <w:rtl/>
        </w:rPr>
        <w:t xml:space="preserve">مثل: </w:t>
      </w:r>
      <w:r w:rsidRPr="006571AC">
        <w:rPr>
          <w:rFonts w:ascii="Mosawi" w:hAnsi="Mosawi" w:cs="Mosawi"/>
          <w:sz w:val="24"/>
          <w:szCs w:val="24"/>
          <w:rtl/>
        </w:rPr>
        <w:t>﴿</w:t>
      </w:r>
      <w:r w:rsidRPr="006571AC">
        <w:rPr>
          <w:b/>
          <w:bCs/>
          <w:sz w:val="27"/>
          <w:rtl/>
        </w:rPr>
        <w:t>وَأَقَامُوا الصَّلاةَ وَآتَوْا الزَّكَاةَ</w:t>
      </w:r>
      <w:r w:rsidRPr="006571AC">
        <w:rPr>
          <w:rFonts w:ascii="Mosawi" w:hAnsi="Mosawi" w:cs="Mosawi"/>
          <w:sz w:val="24"/>
          <w:szCs w:val="24"/>
          <w:rtl/>
        </w:rPr>
        <w:t>﴾</w:t>
      </w:r>
      <w:r w:rsidRPr="006571AC">
        <w:rPr>
          <w:sz w:val="27"/>
          <w:rtl/>
        </w:rPr>
        <w:t xml:space="preserve"> (</w:t>
      </w:r>
      <w:r w:rsidRPr="006571AC">
        <w:rPr>
          <w:rFonts w:hint="cs"/>
          <w:sz w:val="27"/>
          <w:rtl/>
        </w:rPr>
        <w:t>البقرة: 277)،</w:t>
      </w:r>
      <w:r w:rsidRPr="006571AC">
        <w:rPr>
          <w:rFonts w:ascii="Mosawi" w:hAnsi="Mosawi" w:cs="Mosawi"/>
          <w:sz w:val="24"/>
          <w:szCs w:val="24"/>
          <w:rtl/>
        </w:rPr>
        <w:t>﴿</w:t>
      </w:r>
      <w:r w:rsidRPr="006571AC">
        <w:rPr>
          <w:b/>
          <w:bCs/>
          <w:sz w:val="27"/>
          <w:rtl/>
        </w:rPr>
        <w:t>فَأَقِيمُوا الصَّلاةَ وَآتُوا الزَّكَاةَ</w:t>
      </w:r>
      <w:r w:rsidRPr="006571AC">
        <w:rPr>
          <w:rFonts w:ascii="Mosawi" w:hAnsi="Mosawi" w:cs="Mosawi"/>
          <w:sz w:val="24"/>
          <w:szCs w:val="24"/>
          <w:rtl/>
        </w:rPr>
        <w:t>﴾</w:t>
      </w:r>
      <w:r w:rsidRPr="006571AC">
        <w:rPr>
          <w:sz w:val="27"/>
          <w:rtl/>
        </w:rPr>
        <w:t xml:space="preserve"> (</w:t>
      </w:r>
      <w:r w:rsidRPr="006571AC">
        <w:rPr>
          <w:rFonts w:hint="cs"/>
          <w:sz w:val="27"/>
          <w:rtl/>
        </w:rPr>
        <w:t>الحج</w:t>
      </w:r>
      <w:r w:rsidR="0080427F" w:rsidRPr="006571AC">
        <w:rPr>
          <w:rFonts w:hint="cs"/>
          <w:sz w:val="27"/>
          <w:rtl/>
        </w:rPr>
        <w:t>ّ</w:t>
      </w:r>
      <w:r w:rsidRPr="006571AC">
        <w:rPr>
          <w:rFonts w:hint="cs"/>
          <w:sz w:val="27"/>
          <w:rtl/>
        </w:rPr>
        <w:t>: 78)،</w:t>
      </w:r>
      <w:r w:rsidRPr="006571AC">
        <w:rPr>
          <w:rFonts w:ascii="Mosawi" w:hAnsi="Mosawi" w:cs="Mosawi"/>
          <w:sz w:val="24"/>
          <w:szCs w:val="24"/>
          <w:rtl/>
        </w:rPr>
        <w:t>﴿</w:t>
      </w:r>
      <w:r w:rsidRPr="006571AC">
        <w:rPr>
          <w:b/>
          <w:bCs/>
          <w:sz w:val="27"/>
          <w:rtl/>
        </w:rPr>
        <w:t>الَّذِينَ يُقِيمُونَ الصَّلاةَ وَيُؤْتُونَ الزَّكَاةَ</w:t>
      </w:r>
      <w:r w:rsidRPr="006571AC">
        <w:rPr>
          <w:rFonts w:ascii="Mosawi" w:hAnsi="Mosawi" w:cs="Mosawi"/>
          <w:sz w:val="24"/>
          <w:szCs w:val="24"/>
          <w:rtl/>
        </w:rPr>
        <w:t>﴾</w:t>
      </w:r>
      <w:r w:rsidRPr="006571AC">
        <w:rPr>
          <w:sz w:val="27"/>
          <w:rtl/>
        </w:rPr>
        <w:t xml:space="preserve"> (</w:t>
      </w:r>
      <w:r w:rsidR="00113BB3" w:rsidRPr="006571AC">
        <w:rPr>
          <w:rFonts w:hint="cs"/>
          <w:sz w:val="27"/>
          <w:rtl/>
        </w:rPr>
        <w:t xml:space="preserve">المائدة: 55)، </w:t>
      </w:r>
      <w:r w:rsidRPr="006571AC">
        <w:rPr>
          <w:sz w:val="27"/>
          <w:rtl/>
        </w:rPr>
        <w:t>وذلك يعني أن الأصل في المؤمن أن يكون غنياً؛ لأن الزكاة ليست واجبة</w:t>
      </w:r>
      <w:r w:rsidR="00113BB3" w:rsidRPr="006571AC">
        <w:rPr>
          <w:rFonts w:hint="cs"/>
          <w:sz w:val="27"/>
          <w:rtl/>
        </w:rPr>
        <w:t>ً</w:t>
      </w:r>
      <w:r w:rsidRPr="006571AC">
        <w:rPr>
          <w:sz w:val="27"/>
          <w:rtl/>
        </w:rPr>
        <w:t xml:space="preserve"> على الفقراء. </w:t>
      </w:r>
    </w:p>
    <w:p w:rsidR="007C76F0" w:rsidRPr="006571AC" w:rsidRDefault="007C76F0" w:rsidP="0080427F">
      <w:pPr>
        <w:rPr>
          <w:sz w:val="27"/>
        </w:rPr>
      </w:pPr>
      <w:r w:rsidRPr="006571AC">
        <w:rPr>
          <w:sz w:val="27"/>
          <w:rtl/>
        </w:rPr>
        <w:t>وفي نص</w:t>
      </w:r>
      <w:r w:rsidR="00113BB3" w:rsidRPr="006571AC">
        <w:rPr>
          <w:rFonts w:hint="cs"/>
          <w:sz w:val="27"/>
          <w:rtl/>
        </w:rPr>
        <w:t>ٍّ</w:t>
      </w:r>
      <w:r w:rsidRPr="006571AC">
        <w:rPr>
          <w:sz w:val="27"/>
          <w:rtl/>
        </w:rPr>
        <w:t xml:space="preserve"> ورد عن الإمام علي</w:t>
      </w:r>
      <w:r w:rsidR="00113BB3" w:rsidRPr="006571AC">
        <w:rPr>
          <w:rFonts w:hint="cs"/>
          <w:sz w:val="27"/>
          <w:rtl/>
        </w:rPr>
        <w:t>ّ</w:t>
      </w:r>
      <w:r w:rsidR="00DC3B12" w:rsidRPr="006571AC">
        <w:rPr>
          <w:rFonts w:ascii="Mosawi" w:hAnsi="Mosawi" w:cs="Mosawi"/>
          <w:sz w:val="22"/>
          <w:szCs w:val="22"/>
          <w:rtl/>
        </w:rPr>
        <w:t>×</w:t>
      </w:r>
      <w:r w:rsidRPr="006571AC">
        <w:rPr>
          <w:sz w:val="27"/>
          <w:rtl/>
        </w:rPr>
        <w:t xml:space="preserve"> في نهج البلاغة يؤك</w:t>
      </w:r>
      <w:r w:rsidR="00113BB3" w:rsidRPr="006571AC">
        <w:rPr>
          <w:rFonts w:hint="cs"/>
          <w:sz w:val="27"/>
          <w:rtl/>
        </w:rPr>
        <w:t>ِّ</w:t>
      </w:r>
      <w:r w:rsidRPr="006571AC">
        <w:rPr>
          <w:sz w:val="27"/>
          <w:rtl/>
        </w:rPr>
        <w:t>د أن حياة المتدي</w:t>
      </w:r>
      <w:r w:rsidR="00113BB3" w:rsidRPr="006571AC">
        <w:rPr>
          <w:rFonts w:hint="cs"/>
          <w:sz w:val="27"/>
          <w:rtl/>
        </w:rPr>
        <w:t>ِّ</w:t>
      </w:r>
      <w:r w:rsidRPr="006571AC">
        <w:rPr>
          <w:sz w:val="27"/>
          <w:rtl/>
        </w:rPr>
        <w:t>نين المت</w:t>
      </w:r>
      <w:r w:rsidR="00113BB3" w:rsidRPr="006571AC">
        <w:rPr>
          <w:rFonts w:hint="cs"/>
          <w:sz w:val="27"/>
          <w:rtl/>
        </w:rPr>
        <w:t>َّ</w:t>
      </w:r>
      <w:r w:rsidRPr="006571AC">
        <w:rPr>
          <w:sz w:val="27"/>
          <w:rtl/>
        </w:rPr>
        <w:t>قين في سكنهم وأكلهم واستمتاعهم بالحياة هي في درجة</w:t>
      </w:r>
      <w:r w:rsidR="00113BB3" w:rsidRPr="006571AC">
        <w:rPr>
          <w:rFonts w:hint="cs"/>
          <w:sz w:val="27"/>
          <w:rtl/>
        </w:rPr>
        <w:t>ٍ</w:t>
      </w:r>
      <w:r w:rsidRPr="006571AC">
        <w:rPr>
          <w:sz w:val="27"/>
          <w:rtl/>
        </w:rPr>
        <w:t xml:space="preserve"> أرقى من حياة المترفين والمتجبّ</w:t>
      </w:r>
      <w:r w:rsidR="00113BB3" w:rsidRPr="006571AC">
        <w:rPr>
          <w:rFonts w:hint="cs"/>
          <w:sz w:val="27"/>
          <w:rtl/>
        </w:rPr>
        <w:t>ِ</w:t>
      </w:r>
      <w:r w:rsidRPr="006571AC">
        <w:rPr>
          <w:sz w:val="27"/>
          <w:rtl/>
        </w:rPr>
        <w:t>رين، حيث يقول</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واعْلَمُوا</w:t>
      </w:r>
      <w:r w:rsidR="00113BB3" w:rsidRPr="006571AC">
        <w:rPr>
          <w:rFonts w:hint="cs"/>
          <w:sz w:val="27"/>
          <w:rtl/>
        </w:rPr>
        <w:t>،</w:t>
      </w:r>
      <w:r w:rsidRPr="006571AC">
        <w:rPr>
          <w:sz w:val="27"/>
          <w:rtl/>
        </w:rPr>
        <w:t xml:space="preserve"> عِبَادَ الله</w:t>
      </w:r>
      <w:r w:rsidR="00113BB3" w:rsidRPr="006571AC">
        <w:rPr>
          <w:rFonts w:hint="cs"/>
          <w:sz w:val="27"/>
          <w:rtl/>
        </w:rPr>
        <w:t>،</w:t>
      </w:r>
      <w:r w:rsidRPr="006571AC">
        <w:rPr>
          <w:sz w:val="27"/>
          <w:rtl/>
        </w:rPr>
        <w:t xml:space="preserve"> أَنَّ الْمُتَّقِينَ ذَهَبُوا بِعَاجِلِ الدُّنْيَا وآجِلِ الآخِرَةِ</w:t>
      </w:r>
      <w:r w:rsidR="00113BB3" w:rsidRPr="006571AC">
        <w:rPr>
          <w:rFonts w:hint="cs"/>
          <w:sz w:val="27"/>
          <w:rtl/>
        </w:rPr>
        <w:t>،</w:t>
      </w:r>
      <w:r w:rsidRPr="006571AC">
        <w:rPr>
          <w:sz w:val="27"/>
          <w:rtl/>
        </w:rPr>
        <w:t xml:space="preserve"> فَشَارَكُوا أَهْلَ الدُّنْيَا فِي دُنْيَاهُمْ</w:t>
      </w:r>
      <w:r w:rsidR="00113BB3" w:rsidRPr="006571AC">
        <w:rPr>
          <w:rFonts w:hint="cs"/>
          <w:sz w:val="27"/>
          <w:rtl/>
        </w:rPr>
        <w:t>،</w:t>
      </w:r>
      <w:r w:rsidRPr="006571AC">
        <w:rPr>
          <w:sz w:val="27"/>
          <w:rtl/>
        </w:rPr>
        <w:t xml:space="preserve"> ولَمْ يُشَارِكُوا أَهْلَ الدُّنْيَا فِي آخِرَتِهِمْ</w:t>
      </w:r>
      <w:r w:rsidR="00113BB3" w:rsidRPr="006571AC">
        <w:rPr>
          <w:rFonts w:hint="cs"/>
          <w:sz w:val="27"/>
          <w:rtl/>
        </w:rPr>
        <w:t>،</w:t>
      </w:r>
      <w:r w:rsidRPr="006571AC">
        <w:rPr>
          <w:sz w:val="27"/>
          <w:rtl/>
        </w:rPr>
        <w:t xml:space="preserve"> سَكَنُوا الدُّنْيَا بِأَفْضَلِ مَا سُكِنَتْ</w:t>
      </w:r>
      <w:r w:rsidR="00113BB3" w:rsidRPr="006571AC">
        <w:rPr>
          <w:rFonts w:hint="cs"/>
          <w:sz w:val="27"/>
          <w:rtl/>
        </w:rPr>
        <w:t>،</w:t>
      </w:r>
      <w:r w:rsidRPr="006571AC">
        <w:rPr>
          <w:sz w:val="27"/>
          <w:rtl/>
        </w:rPr>
        <w:t xml:space="preserve"> وأَكَلُوهَا بِأَفْضَلِ مَا أُكِلَتْ</w:t>
      </w:r>
      <w:r w:rsidR="00113BB3" w:rsidRPr="006571AC">
        <w:rPr>
          <w:rFonts w:hint="cs"/>
          <w:sz w:val="27"/>
          <w:rtl/>
        </w:rPr>
        <w:t>،</w:t>
      </w:r>
      <w:r w:rsidRPr="006571AC">
        <w:rPr>
          <w:sz w:val="27"/>
          <w:rtl/>
        </w:rPr>
        <w:t xml:space="preserve"> فَحَظُوا مِنَ الدُّنْيَا بِمَا حَظِيَ بِه الْمُتْرَفُونَ، وأَخَذُوا مِنْهَا مَا أَخَذَه الْجَبَابِرَةُ الْمُتَكَبِّرُونَ</w:t>
      </w:r>
      <w:r w:rsidR="00113BB3" w:rsidRPr="006571AC">
        <w:rPr>
          <w:rFonts w:hint="cs"/>
          <w:sz w:val="27"/>
          <w:rtl/>
        </w:rPr>
        <w:t xml:space="preserve">، </w:t>
      </w:r>
      <w:r w:rsidRPr="006571AC">
        <w:rPr>
          <w:sz w:val="27"/>
          <w:rtl/>
        </w:rPr>
        <w:t>ثُمَّ انْقَلَبُوا عَنْهَا بِالزَّادِ الْمُبَلِّغِ والْمَتْجَرِ الرَّابِحِ</w:t>
      </w:r>
      <w:r w:rsidR="00113BB3" w:rsidRPr="006571AC">
        <w:rPr>
          <w:rFonts w:hint="cs"/>
          <w:sz w:val="27"/>
          <w:rtl/>
        </w:rPr>
        <w:t>،</w:t>
      </w:r>
      <w:r w:rsidRPr="006571AC">
        <w:rPr>
          <w:sz w:val="27"/>
          <w:rtl/>
        </w:rPr>
        <w:t xml:space="preserve"> أَصَابُوا لَذَّةَ زُهْدِ الدُّنْيَا فِي دُنْيَاهُمْ</w:t>
      </w:r>
      <w:r w:rsidR="00113BB3" w:rsidRPr="006571AC">
        <w:rPr>
          <w:rFonts w:hint="cs"/>
          <w:sz w:val="27"/>
          <w:rtl/>
        </w:rPr>
        <w:t>،</w:t>
      </w:r>
      <w:r w:rsidRPr="006571AC">
        <w:rPr>
          <w:sz w:val="27"/>
          <w:rtl/>
        </w:rPr>
        <w:t xml:space="preserve"> وتَيَقَّنُوا أَنَّهُمْ جِيرَانُ الله غَداً فِي آخِرَتِهِمْ</w:t>
      </w:r>
      <w:r w:rsidR="00113BB3" w:rsidRPr="006571AC">
        <w:rPr>
          <w:rFonts w:hint="cs"/>
          <w:sz w:val="27"/>
          <w:rtl/>
        </w:rPr>
        <w:t>،</w:t>
      </w:r>
      <w:r w:rsidR="00113BB3" w:rsidRPr="006571AC">
        <w:rPr>
          <w:sz w:val="27"/>
          <w:rtl/>
        </w:rPr>
        <w:t xml:space="preserve"> ل</w:t>
      </w:r>
      <w:r w:rsidRPr="006571AC">
        <w:rPr>
          <w:sz w:val="27"/>
          <w:rtl/>
        </w:rPr>
        <w:t>ا</w:t>
      </w:r>
      <w:r w:rsidR="00113BB3" w:rsidRPr="006571AC">
        <w:rPr>
          <w:rFonts w:hint="cs"/>
          <w:sz w:val="27"/>
          <w:rtl/>
        </w:rPr>
        <w:t>َ</w:t>
      </w:r>
      <w:r w:rsidR="00113BB3" w:rsidRPr="006571AC">
        <w:rPr>
          <w:sz w:val="27"/>
          <w:rtl/>
        </w:rPr>
        <w:t xml:space="preserve"> تُرَدُّ لَهُمْ دَعْوَةٌ</w:t>
      </w:r>
      <w:r w:rsidR="00113BB3" w:rsidRPr="006571AC">
        <w:rPr>
          <w:rFonts w:hint="cs"/>
          <w:sz w:val="27"/>
          <w:rtl/>
        </w:rPr>
        <w:t>،</w:t>
      </w:r>
      <w:r w:rsidR="00113BB3" w:rsidRPr="006571AC">
        <w:rPr>
          <w:sz w:val="27"/>
          <w:rtl/>
        </w:rPr>
        <w:t xml:space="preserve"> ول</w:t>
      </w:r>
      <w:r w:rsidRPr="006571AC">
        <w:rPr>
          <w:sz w:val="27"/>
          <w:rtl/>
        </w:rPr>
        <w:t>ا</w:t>
      </w:r>
      <w:r w:rsidR="00113BB3" w:rsidRPr="006571AC">
        <w:rPr>
          <w:rFonts w:hint="cs"/>
          <w:sz w:val="27"/>
          <w:rtl/>
        </w:rPr>
        <w:t>َ</w:t>
      </w:r>
      <w:r w:rsidRPr="006571AC">
        <w:rPr>
          <w:sz w:val="27"/>
          <w:rtl/>
        </w:rPr>
        <w:t xml:space="preserve"> يَنْقُصُ لَهُمْ نَصِيبٌ مِنْ لَذَّةٍ</w:t>
      </w:r>
      <w:r w:rsidRPr="006571AC">
        <w:rPr>
          <w:rFonts w:hint="eastAsia"/>
          <w:sz w:val="24"/>
          <w:szCs w:val="24"/>
          <w:rtl/>
        </w:rPr>
        <w:t>»</w:t>
      </w:r>
      <w:r w:rsidRPr="006571AC">
        <w:rPr>
          <w:sz w:val="27"/>
          <w:vertAlign w:val="superscript"/>
          <w:rtl/>
        </w:rPr>
        <w:t>(</w:t>
      </w:r>
      <w:r w:rsidRPr="006571AC">
        <w:rPr>
          <w:sz w:val="27"/>
          <w:vertAlign w:val="superscript"/>
          <w:rtl/>
        </w:rPr>
        <w:endnoteReference w:id="134"/>
      </w:r>
      <w:r w:rsidRPr="006571AC">
        <w:rPr>
          <w:sz w:val="27"/>
          <w:vertAlign w:val="superscript"/>
          <w:rtl/>
        </w:rPr>
        <w:t>)</w:t>
      </w:r>
      <w:r w:rsidRPr="006571AC">
        <w:rPr>
          <w:sz w:val="27"/>
          <w:rtl/>
        </w:rPr>
        <w:t xml:space="preserve">. </w:t>
      </w:r>
    </w:p>
    <w:p w:rsidR="007C76F0" w:rsidRPr="006571AC" w:rsidRDefault="007C76F0" w:rsidP="0080427F">
      <w:pPr>
        <w:rPr>
          <w:sz w:val="27"/>
          <w:rtl/>
        </w:rPr>
      </w:pPr>
      <w:r w:rsidRPr="006571AC">
        <w:rPr>
          <w:sz w:val="27"/>
          <w:rtl/>
        </w:rPr>
        <w:t>فرسالة الدين الارتقاء بالحياة وإصلاح المجتمع، والإمام الحسين</w:t>
      </w:r>
      <w:r w:rsidR="00DC3B12" w:rsidRPr="006571AC">
        <w:rPr>
          <w:rFonts w:ascii="Mosawi" w:hAnsi="Mosawi" w:cs="Mosawi"/>
          <w:sz w:val="22"/>
          <w:szCs w:val="22"/>
          <w:rtl/>
        </w:rPr>
        <w:t>×</w:t>
      </w:r>
      <w:r w:rsidRPr="006571AC">
        <w:rPr>
          <w:sz w:val="27"/>
          <w:rtl/>
        </w:rPr>
        <w:t xml:space="preserve"> جعل الإصلاح عنواناً لحركته ونهضته، ففي أول بيان</w:t>
      </w:r>
      <w:r w:rsidR="0080427F" w:rsidRPr="006571AC">
        <w:rPr>
          <w:rFonts w:hint="cs"/>
          <w:sz w:val="27"/>
          <w:rtl/>
        </w:rPr>
        <w:t>ٍ</w:t>
      </w:r>
      <w:r w:rsidRPr="006571AC">
        <w:rPr>
          <w:sz w:val="27"/>
          <w:rtl/>
        </w:rPr>
        <w:t xml:space="preserve"> صدر عنه في وصي</w:t>
      </w:r>
      <w:r w:rsidR="00113BB3" w:rsidRPr="006571AC">
        <w:rPr>
          <w:rFonts w:hint="cs"/>
          <w:sz w:val="27"/>
          <w:rtl/>
        </w:rPr>
        <w:t>ّ</w:t>
      </w:r>
      <w:r w:rsidRPr="006571AC">
        <w:rPr>
          <w:sz w:val="27"/>
          <w:rtl/>
        </w:rPr>
        <w:t>ته لأخيه محمد بن الحنفية يقول</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إنّي لم أَخرجْ أَشِراً ولا بَطِراً، ولا مُفسِداً ولا ظَالِماً، وإنّما خَرجْتُ لِطَلَبِ الإصلاحِ في أُمّةِ جدّي وأبي، أريدُ أن آمرَ بالمعروفِ، وأنهى عن المُن</w:t>
      </w:r>
      <w:r w:rsidR="00113BB3" w:rsidRPr="006571AC">
        <w:rPr>
          <w:rFonts w:hint="cs"/>
          <w:sz w:val="27"/>
          <w:rtl/>
        </w:rPr>
        <w:t>ْ</w:t>
      </w:r>
      <w:r w:rsidRPr="006571AC">
        <w:rPr>
          <w:sz w:val="27"/>
          <w:rtl/>
        </w:rPr>
        <w:t>كَرِ</w:t>
      </w:r>
      <w:r w:rsidRPr="006571AC">
        <w:rPr>
          <w:rFonts w:hint="eastAsia"/>
          <w:sz w:val="24"/>
          <w:szCs w:val="24"/>
          <w:rtl/>
        </w:rPr>
        <w:t>»</w:t>
      </w:r>
      <w:r w:rsidRPr="006571AC">
        <w:rPr>
          <w:sz w:val="27"/>
          <w:vertAlign w:val="superscript"/>
          <w:rtl/>
        </w:rPr>
        <w:t>(</w:t>
      </w:r>
      <w:r w:rsidRPr="006571AC">
        <w:rPr>
          <w:sz w:val="27"/>
          <w:vertAlign w:val="superscript"/>
          <w:rtl/>
        </w:rPr>
        <w:endnoteReference w:id="135"/>
      </w:r>
      <w:r w:rsidRPr="006571AC">
        <w:rPr>
          <w:sz w:val="27"/>
          <w:vertAlign w:val="superscript"/>
          <w:rtl/>
        </w:rPr>
        <w:t>)</w:t>
      </w:r>
      <w:r w:rsidRPr="006571AC">
        <w:rPr>
          <w:sz w:val="27"/>
          <w:rtl/>
        </w:rPr>
        <w:t xml:space="preserve">. </w:t>
      </w:r>
    </w:p>
    <w:p w:rsidR="007C76F0" w:rsidRPr="006571AC" w:rsidRDefault="007C76F0" w:rsidP="00110311">
      <w:pPr>
        <w:spacing w:line="440" w:lineRule="exact"/>
        <w:rPr>
          <w:sz w:val="27"/>
          <w:rtl/>
        </w:rPr>
      </w:pPr>
    </w:p>
    <w:p w:rsidR="007C76F0" w:rsidRPr="006571AC" w:rsidRDefault="007C76F0" w:rsidP="006C79DA">
      <w:pPr>
        <w:pStyle w:val="31"/>
        <w:rPr>
          <w:color w:val="auto"/>
          <w:rtl/>
        </w:rPr>
      </w:pPr>
      <w:bookmarkStart w:id="66" w:name="_Toc114164555"/>
      <w:r w:rsidRPr="006571AC">
        <w:rPr>
          <w:color w:val="auto"/>
          <w:rtl/>
        </w:rPr>
        <w:t>الخطاب الديني بين المسؤولي</w:t>
      </w:r>
      <w:r w:rsidR="0089109D" w:rsidRPr="006571AC">
        <w:rPr>
          <w:rFonts w:hint="cs"/>
          <w:color w:val="auto"/>
          <w:rtl/>
        </w:rPr>
        <w:t>ّ</w:t>
      </w:r>
      <w:r w:rsidRPr="006571AC">
        <w:rPr>
          <w:color w:val="auto"/>
          <w:rtl/>
        </w:rPr>
        <w:t>ة والشعبوي</w:t>
      </w:r>
      <w:r w:rsidR="0089109D" w:rsidRPr="006571AC">
        <w:rPr>
          <w:rFonts w:hint="cs"/>
          <w:color w:val="auto"/>
          <w:rtl/>
        </w:rPr>
        <w:t>ّ</w:t>
      </w:r>
      <w:r w:rsidRPr="006571AC">
        <w:rPr>
          <w:color w:val="auto"/>
          <w:rtl/>
        </w:rPr>
        <w:t>ة</w:t>
      </w:r>
      <w:bookmarkEnd w:id="66"/>
    </w:p>
    <w:p w:rsidR="007C76F0" w:rsidRPr="006571AC" w:rsidRDefault="007C76F0" w:rsidP="002521A6">
      <w:pPr>
        <w:spacing w:line="384" w:lineRule="exact"/>
        <w:rPr>
          <w:sz w:val="27"/>
          <w:rtl/>
        </w:rPr>
      </w:pPr>
      <w:r w:rsidRPr="006571AC">
        <w:rPr>
          <w:sz w:val="27"/>
          <w:rtl/>
        </w:rPr>
        <w:t>للخطاب الموج</w:t>
      </w:r>
      <w:r w:rsidR="00113BB3" w:rsidRPr="006571AC">
        <w:rPr>
          <w:rFonts w:hint="cs"/>
          <w:sz w:val="27"/>
          <w:rtl/>
        </w:rPr>
        <w:t>َّ</w:t>
      </w:r>
      <w:r w:rsidRPr="006571AC">
        <w:rPr>
          <w:sz w:val="27"/>
          <w:rtl/>
        </w:rPr>
        <w:t>ه للجمهور تأثير</w:t>
      </w:r>
      <w:r w:rsidR="00113BB3" w:rsidRPr="006571AC">
        <w:rPr>
          <w:rFonts w:hint="cs"/>
          <w:sz w:val="27"/>
          <w:rtl/>
        </w:rPr>
        <w:t>ٌ</w:t>
      </w:r>
      <w:r w:rsidRPr="006571AC">
        <w:rPr>
          <w:sz w:val="27"/>
          <w:rtl/>
        </w:rPr>
        <w:t xml:space="preserve"> على تشكيل ثقافة المجتمع، وتوجيه مواقف </w:t>
      </w:r>
      <w:r w:rsidRPr="006571AC">
        <w:rPr>
          <w:sz w:val="27"/>
          <w:rtl/>
        </w:rPr>
        <w:lastRenderedPageBreak/>
        <w:t xml:space="preserve">وسلوكيات أبنائه. </w:t>
      </w:r>
    </w:p>
    <w:p w:rsidR="007C76F0" w:rsidRPr="006571AC" w:rsidRDefault="007C76F0" w:rsidP="002521A6">
      <w:pPr>
        <w:spacing w:line="384" w:lineRule="exact"/>
        <w:rPr>
          <w:sz w:val="27"/>
          <w:rtl/>
        </w:rPr>
      </w:pPr>
      <w:r w:rsidRPr="006571AC">
        <w:rPr>
          <w:sz w:val="27"/>
          <w:rtl/>
        </w:rPr>
        <w:t xml:space="preserve"> كان هذا من قديم الزمان، حيث كانت خطب الزعماء والقيادات، وقصائد الشعراء والأدباء، تلهب المشاعر، وتحر</w:t>
      </w:r>
      <w:r w:rsidR="00184ACC" w:rsidRPr="006571AC">
        <w:rPr>
          <w:rFonts w:hint="cs"/>
          <w:sz w:val="27"/>
          <w:rtl/>
        </w:rPr>
        <w:t>ِّ</w:t>
      </w:r>
      <w:r w:rsidRPr="006571AC">
        <w:rPr>
          <w:sz w:val="27"/>
          <w:rtl/>
        </w:rPr>
        <w:t>ك الأحاسيس، وتصنع الرأي العام في مجتمعاتها، وتقودهم نحو التوج</w:t>
      </w:r>
      <w:r w:rsidR="00184ACC" w:rsidRPr="006571AC">
        <w:rPr>
          <w:rFonts w:hint="cs"/>
          <w:sz w:val="27"/>
          <w:rtl/>
        </w:rPr>
        <w:t>ُّ</w:t>
      </w:r>
      <w:r w:rsidRPr="006571AC">
        <w:rPr>
          <w:sz w:val="27"/>
          <w:rtl/>
        </w:rPr>
        <w:t xml:space="preserve">هات المطلوبة. </w:t>
      </w:r>
    </w:p>
    <w:p w:rsidR="007C76F0" w:rsidRPr="006571AC" w:rsidRDefault="007C76F0" w:rsidP="002521A6">
      <w:pPr>
        <w:spacing w:line="384" w:lineRule="exact"/>
        <w:rPr>
          <w:sz w:val="27"/>
          <w:rtl/>
        </w:rPr>
      </w:pPr>
      <w:r w:rsidRPr="006571AC">
        <w:rPr>
          <w:sz w:val="27"/>
          <w:rtl/>
        </w:rPr>
        <w:t>وفي المجتمعات الدينية يكون للخطاب الديني تأثير</w:t>
      </w:r>
      <w:r w:rsidR="00184ACC" w:rsidRPr="006571AC">
        <w:rPr>
          <w:rFonts w:hint="cs"/>
          <w:sz w:val="27"/>
          <w:rtl/>
        </w:rPr>
        <w:t>ٌ</w:t>
      </w:r>
      <w:r w:rsidRPr="006571AC">
        <w:rPr>
          <w:sz w:val="27"/>
          <w:rtl/>
        </w:rPr>
        <w:t xml:space="preserve"> أكبر من سائر الخطابات؛ لأنه في نظر المتدي</w:t>
      </w:r>
      <w:r w:rsidR="00184ACC" w:rsidRPr="006571AC">
        <w:rPr>
          <w:rFonts w:hint="cs"/>
          <w:sz w:val="27"/>
          <w:rtl/>
        </w:rPr>
        <w:t>ِّ</w:t>
      </w:r>
      <w:r w:rsidRPr="006571AC">
        <w:rPr>
          <w:sz w:val="27"/>
          <w:rtl/>
        </w:rPr>
        <w:t>نين يعبّ</w:t>
      </w:r>
      <w:r w:rsidR="00184ACC" w:rsidRPr="006571AC">
        <w:rPr>
          <w:rFonts w:hint="cs"/>
          <w:sz w:val="27"/>
          <w:rtl/>
        </w:rPr>
        <w:t>ِ</w:t>
      </w:r>
      <w:r w:rsidRPr="006571AC">
        <w:rPr>
          <w:sz w:val="27"/>
          <w:rtl/>
        </w:rPr>
        <w:t>ر عن مقاصد إلهية، وأوامر دينية، والاستجابة له تحق</w:t>
      </w:r>
      <w:r w:rsidR="00184ACC" w:rsidRPr="006571AC">
        <w:rPr>
          <w:rFonts w:hint="cs"/>
          <w:sz w:val="27"/>
          <w:rtl/>
        </w:rPr>
        <w:t>ِّ</w:t>
      </w:r>
      <w:r w:rsidRPr="006571AC">
        <w:rPr>
          <w:sz w:val="27"/>
          <w:rtl/>
        </w:rPr>
        <w:t>ق رضا الله</w:t>
      </w:r>
      <w:r w:rsidR="00184ACC" w:rsidRPr="006571AC">
        <w:rPr>
          <w:rFonts w:hint="cs"/>
          <w:sz w:val="27"/>
          <w:rtl/>
        </w:rPr>
        <w:t>،</w:t>
      </w:r>
      <w:r w:rsidRPr="006571AC">
        <w:rPr>
          <w:sz w:val="27"/>
          <w:rtl/>
        </w:rPr>
        <w:t xml:space="preserve"> وتنجي من سخطه. </w:t>
      </w:r>
    </w:p>
    <w:p w:rsidR="007C76F0" w:rsidRPr="006571AC" w:rsidRDefault="007C76F0" w:rsidP="002521A6">
      <w:pPr>
        <w:spacing w:line="384" w:lineRule="exact"/>
        <w:rPr>
          <w:sz w:val="27"/>
          <w:rtl/>
        </w:rPr>
      </w:pPr>
      <w:r w:rsidRPr="006571AC">
        <w:rPr>
          <w:sz w:val="27"/>
          <w:rtl/>
        </w:rPr>
        <w:t>من هنا كان لروايات المحد</w:t>
      </w:r>
      <w:r w:rsidR="00184ACC" w:rsidRPr="006571AC">
        <w:rPr>
          <w:rFonts w:hint="cs"/>
          <w:sz w:val="27"/>
          <w:rtl/>
        </w:rPr>
        <w:t>ِّ</w:t>
      </w:r>
      <w:r w:rsidRPr="006571AC">
        <w:rPr>
          <w:sz w:val="27"/>
          <w:rtl/>
        </w:rPr>
        <w:t>ثين، وفتاوى الفقهاء، وخطب الواعظين والد</w:t>
      </w:r>
      <w:r w:rsidR="00110311" w:rsidRPr="006571AC">
        <w:rPr>
          <w:rFonts w:hint="cs"/>
          <w:sz w:val="27"/>
          <w:rtl/>
        </w:rPr>
        <w:t>ُّ</w:t>
      </w:r>
      <w:r w:rsidRPr="006571AC">
        <w:rPr>
          <w:sz w:val="27"/>
          <w:rtl/>
        </w:rPr>
        <w:t>عاة، نفوذ</w:t>
      </w:r>
      <w:r w:rsidR="00184ACC" w:rsidRPr="006571AC">
        <w:rPr>
          <w:rFonts w:hint="cs"/>
          <w:sz w:val="27"/>
          <w:rtl/>
        </w:rPr>
        <w:t>ٌ</w:t>
      </w:r>
      <w:r w:rsidRPr="006571AC">
        <w:rPr>
          <w:sz w:val="27"/>
          <w:rtl/>
        </w:rPr>
        <w:t xml:space="preserve"> في نفوس الناس، وتأثير</w:t>
      </w:r>
      <w:r w:rsidR="00110311" w:rsidRPr="006571AC">
        <w:rPr>
          <w:rFonts w:hint="cs"/>
          <w:sz w:val="27"/>
          <w:rtl/>
        </w:rPr>
        <w:t>ٌ</w:t>
      </w:r>
      <w:r w:rsidRPr="006571AC">
        <w:rPr>
          <w:sz w:val="27"/>
          <w:rtl/>
        </w:rPr>
        <w:t xml:space="preserve"> على أفكارهم وسلوكهم. </w:t>
      </w:r>
    </w:p>
    <w:p w:rsidR="007C76F0" w:rsidRPr="006571AC" w:rsidRDefault="007C76F0" w:rsidP="002521A6">
      <w:pPr>
        <w:spacing w:line="384" w:lineRule="exact"/>
        <w:rPr>
          <w:sz w:val="27"/>
          <w:rtl/>
        </w:rPr>
      </w:pPr>
      <w:r w:rsidRPr="006571AC">
        <w:rPr>
          <w:sz w:val="27"/>
          <w:rtl/>
        </w:rPr>
        <w:t>وفي عصرنا الحاضر فإنّ تطوّر وسائل الإعلام، وتكنولوجيا التواصل الاجتماعي، أعطى للخطاب الديني أ</w:t>
      </w:r>
      <w:r w:rsidR="00110311" w:rsidRPr="006571AC">
        <w:rPr>
          <w:rFonts w:hint="cs"/>
          <w:sz w:val="27"/>
          <w:rtl/>
        </w:rPr>
        <w:t>ُ</w:t>
      </w:r>
      <w:r w:rsidRPr="006571AC">
        <w:rPr>
          <w:sz w:val="27"/>
          <w:rtl/>
        </w:rPr>
        <w:t>ف</w:t>
      </w:r>
      <w:r w:rsidR="00110311" w:rsidRPr="006571AC">
        <w:rPr>
          <w:rFonts w:hint="cs"/>
          <w:sz w:val="27"/>
          <w:rtl/>
        </w:rPr>
        <w:t>ُ</w:t>
      </w:r>
      <w:r w:rsidRPr="006571AC">
        <w:rPr>
          <w:sz w:val="27"/>
          <w:rtl/>
        </w:rPr>
        <w:t>قاً أوسع في الانتشار والتأثير، حيث الفضائيات، والبث</w:t>
      </w:r>
      <w:r w:rsidR="00184ACC" w:rsidRPr="006571AC">
        <w:rPr>
          <w:rFonts w:hint="cs"/>
          <w:sz w:val="27"/>
          <w:rtl/>
        </w:rPr>
        <w:t>ّ</w:t>
      </w:r>
      <w:r w:rsidRPr="006571AC">
        <w:rPr>
          <w:sz w:val="27"/>
          <w:rtl/>
        </w:rPr>
        <w:t xml:space="preserve"> المباشر، والشبكة العنكبوتية، والخدمات المتطو</w:t>
      </w:r>
      <w:r w:rsidR="00184ACC" w:rsidRPr="006571AC">
        <w:rPr>
          <w:rFonts w:hint="cs"/>
          <w:sz w:val="27"/>
          <w:rtl/>
        </w:rPr>
        <w:t>ّ</w:t>
      </w:r>
      <w:r w:rsidRPr="006571AC">
        <w:rPr>
          <w:sz w:val="27"/>
          <w:rtl/>
        </w:rPr>
        <w:t>رة للهواتف النق</w:t>
      </w:r>
      <w:r w:rsidR="00184ACC" w:rsidRPr="006571AC">
        <w:rPr>
          <w:rFonts w:hint="cs"/>
          <w:sz w:val="27"/>
          <w:rtl/>
        </w:rPr>
        <w:t>ّ</w:t>
      </w:r>
      <w:r w:rsidRPr="006571AC">
        <w:rPr>
          <w:sz w:val="27"/>
          <w:rtl/>
        </w:rPr>
        <w:t xml:space="preserve">الة. </w:t>
      </w:r>
    </w:p>
    <w:p w:rsidR="007C76F0" w:rsidRPr="006571AC" w:rsidRDefault="007C76F0" w:rsidP="002521A6">
      <w:pPr>
        <w:spacing w:line="384" w:lineRule="exact"/>
        <w:rPr>
          <w:sz w:val="27"/>
          <w:rtl/>
        </w:rPr>
      </w:pPr>
      <w:r w:rsidRPr="006571AC">
        <w:rPr>
          <w:sz w:val="27"/>
          <w:rtl/>
        </w:rPr>
        <w:t>وتوف</w:t>
      </w:r>
      <w:r w:rsidR="00184ACC" w:rsidRPr="006571AC">
        <w:rPr>
          <w:rFonts w:hint="cs"/>
          <w:sz w:val="27"/>
          <w:rtl/>
        </w:rPr>
        <w:t>ِّ</w:t>
      </w:r>
      <w:r w:rsidRPr="006571AC">
        <w:rPr>
          <w:sz w:val="27"/>
          <w:rtl/>
        </w:rPr>
        <w:t>ر المواسم الدينية ف</w:t>
      </w:r>
      <w:r w:rsidR="00110311" w:rsidRPr="006571AC">
        <w:rPr>
          <w:rFonts w:hint="cs"/>
          <w:sz w:val="27"/>
          <w:rtl/>
        </w:rPr>
        <w:t>ُ</w:t>
      </w:r>
      <w:r w:rsidRPr="006571AC">
        <w:rPr>
          <w:sz w:val="27"/>
          <w:rtl/>
        </w:rPr>
        <w:t>ر</w:t>
      </w:r>
      <w:r w:rsidR="00110311" w:rsidRPr="006571AC">
        <w:rPr>
          <w:rFonts w:hint="cs"/>
          <w:sz w:val="27"/>
          <w:rtl/>
        </w:rPr>
        <w:t>َ</w:t>
      </w:r>
      <w:r w:rsidRPr="006571AC">
        <w:rPr>
          <w:sz w:val="27"/>
          <w:rtl/>
        </w:rPr>
        <w:t>صاً مميزة للخطاب الديني، حيث يُقبل الناس على الإصغاء له، والتفاعل معه، بحكم طبيعة الأجواء الج</w:t>
      </w:r>
      <w:r w:rsidR="00110311" w:rsidRPr="006571AC">
        <w:rPr>
          <w:rFonts w:hint="cs"/>
          <w:sz w:val="27"/>
          <w:rtl/>
        </w:rPr>
        <w:t>َ</w:t>
      </w:r>
      <w:r w:rsidRPr="006571AC">
        <w:rPr>
          <w:sz w:val="27"/>
          <w:rtl/>
        </w:rPr>
        <w:t>م</w:t>
      </w:r>
      <w:r w:rsidR="00110311" w:rsidRPr="006571AC">
        <w:rPr>
          <w:rFonts w:hint="cs"/>
          <w:sz w:val="27"/>
          <w:rtl/>
        </w:rPr>
        <w:t>ْ</w:t>
      </w:r>
      <w:r w:rsidRPr="006571AC">
        <w:rPr>
          <w:sz w:val="27"/>
          <w:rtl/>
        </w:rPr>
        <w:t xml:space="preserve">عية الشعائرية. </w:t>
      </w:r>
    </w:p>
    <w:p w:rsidR="007C76F0" w:rsidRPr="006571AC" w:rsidRDefault="007C76F0" w:rsidP="002521A6">
      <w:pPr>
        <w:spacing w:line="384" w:lineRule="exact"/>
        <w:rPr>
          <w:sz w:val="27"/>
          <w:rtl/>
        </w:rPr>
      </w:pPr>
      <w:r w:rsidRPr="006571AC">
        <w:rPr>
          <w:sz w:val="27"/>
          <w:rtl/>
        </w:rPr>
        <w:t>إنّ تأثير الخطاب الديني هو مصدر أهم</w:t>
      </w:r>
      <w:r w:rsidR="00184ACC" w:rsidRPr="006571AC">
        <w:rPr>
          <w:rFonts w:hint="cs"/>
          <w:sz w:val="27"/>
          <w:rtl/>
        </w:rPr>
        <w:t>ّ</w:t>
      </w:r>
      <w:r w:rsidRPr="006571AC">
        <w:rPr>
          <w:sz w:val="27"/>
          <w:rtl/>
        </w:rPr>
        <w:t>يته، وفي الوقت ذاته مكمن خطورته، فإذا لم يكن في الاتجاه الصحيح فسيصيب الدين والأم</w:t>
      </w:r>
      <w:r w:rsidR="00184ACC" w:rsidRPr="006571AC">
        <w:rPr>
          <w:rFonts w:hint="cs"/>
          <w:sz w:val="27"/>
          <w:rtl/>
        </w:rPr>
        <w:t>ّ</w:t>
      </w:r>
      <w:r w:rsidRPr="006571AC">
        <w:rPr>
          <w:sz w:val="27"/>
          <w:rtl/>
        </w:rPr>
        <w:t>ة بأضرار جسيمة، وإذا لم يق</w:t>
      </w:r>
      <w:r w:rsidR="00184ACC" w:rsidRPr="006571AC">
        <w:rPr>
          <w:rFonts w:hint="cs"/>
          <w:sz w:val="27"/>
          <w:rtl/>
        </w:rPr>
        <w:t>ُ</w:t>
      </w:r>
      <w:r w:rsidRPr="006571AC">
        <w:rPr>
          <w:sz w:val="27"/>
          <w:rtl/>
        </w:rPr>
        <w:t>م</w:t>
      </w:r>
      <w:r w:rsidR="00184ACC" w:rsidRPr="006571AC">
        <w:rPr>
          <w:rFonts w:hint="cs"/>
          <w:sz w:val="27"/>
          <w:rtl/>
        </w:rPr>
        <w:t>ْ</w:t>
      </w:r>
      <w:r w:rsidRPr="006571AC">
        <w:rPr>
          <w:sz w:val="27"/>
          <w:rtl/>
        </w:rPr>
        <w:t xml:space="preserve"> بوظيفته المطلوبة فسيضيِّع على المجتمع أعظم الفرص والمكاسب. </w:t>
      </w:r>
    </w:p>
    <w:p w:rsidR="007C76F0" w:rsidRPr="006571AC" w:rsidRDefault="007C76F0" w:rsidP="002521A6">
      <w:pPr>
        <w:spacing w:line="384" w:lineRule="exact"/>
        <w:rPr>
          <w:sz w:val="27"/>
          <w:rtl/>
        </w:rPr>
      </w:pPr>
      <w:r w:rsidRPr="006571AC">
        <w:rPr>
          <w:sz w:val="27"/>
          <w:rtl/>
        </w:rPr>
        <w:t>ورد عن الإمام علي</w:t>
      </w:r>
      <w:r w:rsidR="00110311" w:rsidRPr="006571AC">
        <w:rPr>
          <w:rFonts w:hint="cs"/>
          <w:sz w:val="27"/>
          <w:rtl/>
        </w:rPr>
        <w:t>ّ</w:t>
      </w:r>
      <w:r w:rsidR="00DC3B12" w:rsidRPr="006571AC">
        <w:rPr>
          <w:rFonts w:ascii="Mosawi" w:hAnsi="Mosawi" w:cs="Mosawi"/>
          <w:sz w:val="22"/>
          <w:szCs w:val="22"/>
          <w:rtl/>
        </w:rPr>
        <w:t>×</w:t>
      </w:r>
      <w:r w:rsidRPr="006571AC">
        <w:rPr>
          <w:rFonts w:hint="cs"/>
          <w:sz w:val="27"/>
          <w:rtl/>
        </w:rPr>
        <w:t xml:space="preserve"> </w:t>
      </w:r>
      <w:r w:rsidRPr="006571AC">
        <w:rPr>
          <w:sz w:val="27"/>
          <w:rtl/>
        </w:rPr>
        <w:t>أنه قال: سمعت</w:t>
      </w:r>
      <w:r w:rsidR="00184ACC" w:rsidRPr="006571AC">
        <w:rPr>
          <w:rFonts w:hint="cs"/>
          <w:sz w:val="27"/>
          <w:rtl/>
        </w:rPr>
        <w:t>ُ</w:t>
      </w:r>
      <w:r w:rsidRPr="006571AC">
        <w:rPr>
          <w:sz w:val="27"/>
          <w:rtl/>
        </w:rPr>
        <w:t xml:space="preserve"> رسول الله</w:t>
      </w:r>
      <w:r w:rsidR="00DC3B12" w:rsidRPr="006571AC">
        <w:rPr>
          <w:rFonts w:ascii="Mosawi" w:hAnsi="Mosawi" w:cs="Mosawi"/>
          <w:sz w:val="22"/>
          <w:szCs w:val="22"/>
          <w:rtl/>
        </w:rPr>
        <w:t>|</w:t>
      </w:r>
      <w:r w:rsidRPr="006571AC">
        <w:rPr>
          <w:sz w:val="27"/>
          <w:rtl/>
        </w:rPr>
        <w:t xml:space="preserve"> يقول: </w:t>
      </w:r>
      <w:r w:rsidRPr="006571AC">
        <w:rPr>
          <w:rFonts w:hint="eastAsia"/>
          <w:sz w:val="24"/>
          <w:szCs w:val="24"/>
          <w:rtl/>
        </w:rPr>
        <w:t>«</w:t>
      </w:r>
      <w:r w:rsidRPr="006571AC">
        <w:rPr>
          <w:sz w:val="27"/>
          <w:rtl/>
        </w:rPr>
        <w:t>يا علي</w:t>
      </w:r>
      <w:r w:rsidR="00184ACC" w:rsidRPr="006571AC">
        <w:rPr>
          <w:rFonts w:hint="cs"/>
          <w:sz w:val="27"/>
          <w:rtl/>
        </w:rPr>
        <w:t>ّ</w:t>
      </w:r>
      <w:r w:rsidRPr="006571AC">
        <w:rPr>
          <w:sz w:val="27"/>
          <w:rtl/>
        </w:rPr>
        <w:t>، هلاك أمتي على يد</w:t>
      </w:r>
      <w:r w:rsidR="00110311" w:rsidRPr="006571AC">
        <w:rPr>
          <w:rFonts w:hint="cs"/>
          <w:sz w:val="27"/>
          <w:rtl/>
        </w:rPr>
        <w:t>َ</w:t>
      </w:r>
      <w:r w:rsidRPr="006571AC">
        <w:rPr>
          <w:sz w:val="27"/>
          <w:rtl/>
        </w:rPr>
        <w:t>ي</w:t>
      </w:r>
      <w:r w:rsidR="00110311" w:rsidRPr="006571AC">
        <w:rPr>
          <w:rFonts w:hint="cs"/>
          <w:sz w:val="27"/>
          <w:rtl/>
        </w:rPr>
        <w:t>ْ</w:t>
      </w:r>
      <w:r w:rsidRPr="006571AC">
        <w:rPr>
          <w:sz w:val="27"/>
          <w:rtl/>
        </w:rPr>
        <w:t xml:space="preserve"> كلّ منافق</w:t>
      </w:r>
      <w:r w:rsidR="00184ACC" w:rsidRPr="006571AC">
        <w:rPr>
          <w:rFonts w:hint="cs"/>
          <w:sz w:val="27"/>
          <w:rtl/>
        </w:rPr>
        <w:t>ٍ</w:t>
      </w:r>
      <w:r w:rsidRPr="006571AC">
        <w:rPr>
          <w:sz w:val="27"/>
          <w:rtl/>
        </w:rPr>
        <w:t xml:space="preserve"> عليم اللسان</w:t>
      </w:r>
      <w:r w:rsidRPr="006571AC">
        <w:rPr>
          <w:rFonts w:hint="eastAsia"/>
          <w:sz w:val="24"/>
          <w:szCs w:val="24"/>
          <w:rtl/>
        </w:rPr>
        <w:t>»</w:t>
      </w:r>
      <w:r w:rsidRPr="006571AC">
        <w:rPr>
          <w:sz w:val="27"/>
          <w:vertAlign w:val="superscript"/>
          <w:rtl/>
        </w:rPr>
        <w:t>(</w:t>
      </w:r>
      <w:r w:rsidRPr="006571AC">
        <w:rPr>
          <w:sz w:val="27"/>
          <w:vertAlign w:val="superscript"/>
          <w:rtl/>
        </w:rPr>
        <w:endnoteReference w:id="136"/>
      </w:r>
      <w:r w:rsidRPr="006571AC">
        <w:rPr>
          <w:sz w:val="27"/>
          <w:vertAlign w:val="superscript"/>
          <w:rtl/>
        </w:rPr>
        <w:t>)</w:t>
      </w:r>
      <w:r w:rsidRPr="006571AC">
        <w:rPr>
          <w:sz w:val="27"/>
          <w:rtl/>
        </w:rPr>
        <w:t xml:space="preserve">. </w:t>
      </w:r>
    </w:p>
    <w:p w:rsidR="007C76F0" w:rsidRPr="006571AC" w:rsidRDefault="007C76F0" w:rsidP="002521A6">
      <w:pPr>
        <w:spacing w:line="384" w:lineRule="exact"/>
        <w:rPr>
          <w:sz w:val="27"/>
          <w:rtl/>
        </w:rPr>
      </w:pPr>
      <w:r w:rsidRPr="006571AC">
        <w:rPr>
          <w:sz w:val="27"/>
          <w:rtl/>
        </w:rPr>
        <w:t>و(عليم اللسان) أي المتحد</w:t>
      </w:r>
      <w:r w:rsidR="00184ACC" w:rsidRPr="006571AC">
        <w:rPr>
          <w:rFonts w:hint="cs"/>
          <w:sz w:val="27"/>
          <w:rtl/>
        </w:rPr>
        <w:t>ِّ</w:t>
      </w:r>
      <w:r w:rsidRPr="006571AC">
        <w:rPr>
          <w:sz w:val="27"/>
          <w:rtl/>
        </w:rPr>
        <w:t>ث الذي له تأثير في مستمعيه</w:t>
      </w:r>
      <w:r w:rsidR="00184ACC" w:rsidRPr="006571AC">
        <w:rPr>
          <w:rFonts w:hint="cs"/>
          <w:sz w:val="27"/>
          <w:rtl/>
        </w:rPr>
        <w:t>؛</w:t>
      </w:r>
      <w:r w:rsidRPr="006571AC">
        <w:rPr>
          <w:sz w:val="27"/>
          <w:rtl/>
        </w:rPr>
        <w:t xml:space="preserve"> فإذا لم يكن مخلصاً صادقاً فإنّ هلاك الأمة يكون على يد</w:t>
      </w:r>
      <w:r w:rsidR="00184ACC" w:rsidRPr="006571AC">
        <w:rPr>
          <w:rFonts w:hint="cs"/>
          <w:sz w:val="27"/>
          <w:rtl/>
        </w:rPr>
        <w:t>َ</w:t>
      </w:r>
      <w:r w:rsidRPr="006571AC">
        <w:rPr>
          <w:sz w:val="27"/>
          <w:rtl/>
        </w:rPr>
        <w:t>ي</w:t>
      </w:r>
      <w:r w:rsidR="00184ACC" w:rsidRPr="006571AC">
        <w:rPr>
          <w:rFonts w:hint="cs"/>
          <w:sz w:val="27"/>
          <w:rtl/>
        </w:rPr>
        <w:t>ْ</w:t>
      </w:r>
      <w:r w:rsidRPr="006571AC">
        <w:rPr>
          <w:sz w:val="27"/>
          <w:rtl/>
        </w:rPr>
        <w:t>ه؛ لأنّ توجيهه قد يأخذ الناس إلى مسار</w:t>
      </w:r>
      <w:r w:rsidR="00110311" w:rsidRPr="006571AC">
        <w:rPr>
          <w:rFonts w:hint="cs"/>
          <w:sz w:val="27"/>
          <w:rtl/>
        </w:rPr>
        <w:t>ٍ</w:t>
      </w:r>
      <w:r w:rsidRPr="006571AC">
        <w:rPr>
          <w:sz w:val="27"/>
          <w:rtl/>
        </w:rPr>
        <w:t xml:space="preserve"> م</w:t>
      </w:r>
      <w:r w:rsidR="00110311" w:rsidRPr="006571AC">
        <w:rPr>
          <w:rFonts w:hint="cs"/>
          <w:sz w:val="27"/>
          <w:rtl/>
        </w:rPr>
        <w:t>ُ</w:t>
      </w:r>
      <w:r w:rsidRPr="006571AC">
        <w:rPr>
          <w:sz w:val="27"/>
          <w:rtl/>
        </w:rPr>
        <w:t>ه</w:t>
      </w:r>
      <w:r w:rsidR="00110311" w:rsidRPr="006571AC">
        <w:rPr>
          <w:rFonts w:hint="cs"/>
          <w:sz w:val="27"/>
          <w:rtl/>
        </w:rPr>
        <w:t>ْ</w:t>
      </w:r>
      <w:r w:rsidRPr="006571AC">
        <w:rPr>
          <w:sz w:val="27"/>
          <w:rtl/>
        </w:rPr>
        <w:t>ل</w:t>
      </w:r>
      <w:r w:rsidR="00110311" w:rsidRPr="006571AC">
        <w:rPr>
          <w:rFonts w:hint="cs"/>
          <w:sz w:val="27"/>
          <w:rtl/>
        </w:rPr>
        <w:t>ِ</w:t>
      </w:r>
      <w:r w:rsidRPr="006571AC">
        <w:rPr>
          <w:sz w:val="27"/>
          <w:rtl/>
        </w:rPr>
        <w:t xml:space="preserve">ك لهم. </w:t>
      </w:r>
    </w:p>
    <w:p w:rsidR="007C76F0" w:rsidRPr="006571AC" w:rsidRDefault="007C76F0" w:rsidP="002521A6">
      <w:pPr>
        <w:spacing w:line="384" w:lineRule="exact"/>
        <w:rPr>
          <w:sz w:val="27"/>
          <w:rtl/>
        </w:rPr>
      </w:pPr>
      <w:r w:rsidRPr="006571AC">
        <w:rPr>
          <w:sz w:val="27"/>
          <w:rtl/>
        </w:rPr>
        <w:t>إنّ للخطيب موقعاً خطيراً، وهو محاس</w:t>
      </w:r>
      <w:r w:rsidR="00184ACC" w:rsidRPr="006571AC">
        <w:rPr>
          <w:rFonts w:hint="cs"/>
          <w:sz w:val="27"/>
          <w:rtl/>
        </w:rPr>
        <w:t>َ</w:t>
      </w:r>
      <w:r w:rsidRPr="006571AC">
        <w:rPr>
          <w:sz w:val="27"/>
          <w:rtl/>
        </w:rPr>
        <w:t>ب</w:t>
      </w:r>
      <w:r w:rsidR="00184ACC" w:rsidRPr="006571AC">
        <w:rPr>
          <w:rFonts w:hint="cs"/>
          <w:sz w:val="27"/>
          <w:rtl/>
        </w:rPr>
        <w:t>ٌ</w:t>
      </w:r>
      <w:r w:rsidRPr="006571AC">
        <w:rPr>
          <w:sz w:val="27"/>
          <w:rtl/>
        </w:rPr>
        <w:t xml:space="preserve"> على تعامله مع هذا الموقع، وعليه أن يدرك ذلك، ويكون حريصاً على مراعاة الضوابط الشرعية والمصلحة العامة. </w:t>
      </w:r>
    </w:p>
    <w:p w:rsidR="007C76F0" w:rsidRPr="006571AC" w:rsidRDefault="007C76F0" w:rsidP="002521A6">
      <w:pPr>
        <w:spacing w:line="410" w:lineRule="exact"/>
        <w:rPr>
          <w:sz w:val="27"/>
          <w:rtl/>
        </w:rPr>
      </w:pPr>
    </w:p>
    <w:p w:rsidR="007C76F0" w:rsidRPr="006571AC" w:rsidRDefault="007C76F0" w:rsidP="006C79DA">
      <w:pPr>
        <w:pStyle w:val="31"/>
        <w:rPr>
          <w:color w:val="auto"/>
          <w:rtl/>
        </w:rPr>
      </w:pPr>
      <w:bookmarkStart w:id="67" w:name="_Toc114164556"/>
      <w:r w:rsidRPr="006571AC">
        <w:rPr>
          <w:color w:val="auto"/>
          <w:rtl/>
        </w:rPr>
        <w:t>ضوابط المسؤولي</w:t>
      </w:r>
      <w:r w:rsidR="0089109D" w:rsidRPr="006571AC">
        <w:rPr>
          <w:rFonts w:hint="cs"/>
          <w:color w:val="auto"/>
          <w:rtl/>
        </w:rPr>
        <w:t>ّ</w:t>
      </w:r>
      <w:r w:rsidRPr="006571AC">
        <w:rPr>
          <w:color w:val="auto"/>
          <w:rtl/>
        </w:rPr>
        <w:t>ة في الخطاب</w:t>
      </w:r>
      <w:bookmarkEnd w:id="67"/>
    </w:p>
    <w:p w:rsidR="007C76F0" w:rsidRPr="006571AC" w:rsidRDefault="007C76F0" w:rsidP="00F22B89">
      <w:pPr>
        <w:rPr>
          <w:sz w:val="27"/>
          <w:rtl/>
        </w:rPr>
      </w:pPr>
      <w:r w:rsidRPr="006571AC">
        <w:rPr>
          <w:sz w:val="27"/>
          <w:rtl/>
        </w:rPr>
        <w:t>يمكن الحديث عن أهم</w:t>
      </w:r>
      <w:r w:rsidR="00184ACC" w:rsidRPr="006571AC">
        <w:rPr>
          <w:rFonts w:hint="cs"/>
          <w:sz w:val="27"/>
          <w:rtl/>
        </w:rPr>
        <w:t>ّ</w:t>
      </w:r>
      <w:r w:rsidRPr="006571AC">
        <w:rPr>
          <w:sz w:val="27"/>
          <w:rtl/>
        </w:rPr>
        <w:t xml:space="preserve"> ضوابط المسؤولية في الخطاب الديني، وهما ضابطان: </w:t>
      </w:r>
    </w:p>
    <w:p w:rsidR="007C76F0" w:rsidRPr="006571AC" w:rsidRDefault="007C76F0" w:rsidP="00F22B89">
      <w:pPr>
        <w:rPr>
          <w:sz w:val="27"/>
          <w:rtl/>
        </w:rPr>
      </w:pPr>
      <w:r w:rsidRPr="006571AC">
        <w:rPr>
          <w:b/>
          <w:bCs/>
          <w:sz w:val="27"/>
          <w:rtl/>
        </w:rPr>
        <w:lastRenderedPageBreak/>
        <w:t>الأو</w:t>
      </w:r>
      <w:r w:rsidR="00184ACC" w:rsidRPr="006571AC">
        <w:rPr>
          <w:rFonts w:hint="cs"/>
          <w:b/>
          <w:bCs/>
          <w:sz w:val="27"/>
          <w:rtl/>
        </w:rPr>
        <w:t>ّ</w:t>
      </w:r>
      <w:r w:rsidRPr="006571AC">
        <w:rPr>
          <w:b/>
          <w:bCs/>
          <w:sz w:val="27"/>
          <w:rtl/>
        </w:rPr>
        <w:t>ل</w:t>
      </w:r>
      <w:r w:rsidRPr="006571AC">
        <w:rPr>
          <w:sz w:val="27"/>
          <w:rtl/>
        </w:rPr>
        <w:t>: الانطلاق من ق</w:t>
      </w:r>
      <w:r w:rsidR="00184ACC" w:rsidRPr="006571AC">
        <w:rPr>
          <w:rFonts w:hint="cs"/>
          <w:sz w:val="27"/>
          <w:rtl/>
        </w:rPr>
        <w:t>ِيَ</w:t>
      </w:r>
      <w:r w:rsidRPr="006571AC">
        <w:rPr>
          <w:sz w:val="27"/>
          <w:rtl/>
        </w:rPr>
        <w:t>م الدين وتعاليمه، فلا يصح</w:t>
      </w:r>
      <w:r w:rsidR="00184ACC" w:rsidRPr="006571AC">
        <w:rPr>
          <w:rFonts w:hint="cs"/>
          <w:sz w:val="27"/>
          <w:rtl/>
        </w:rPr>
        <w:t>ّ</w:t>
      </w:r>
      <w:r w:rsidRPr="006571AC">
        <w:rPr>
          <w:sz w:val="27"/>
          <w:rtl/>
        </w:rPr>
        <w:t xml:space="preserve"> الافتراء على الدين</w:t>
      </w:r>
      <w:r w:rsidR="00110311" w:rsidRPr="006571AC">
        <w:rPr>
          <w:rFonts w:hint="cs"/>
          <w:sz w:val="27"/>
          <w:rtl/>
        </w:rPr>
        <w:t>،</w:t>
      </w:r>
      <w:r w:rsidRPr="006571AC">
        <w:rPr>
          <w:sz w:val="27"/>
          <w:rtl/>
        </w:rPr>
        <w:t xml:space="preserve"> ولا تجييره لخدمة المصالح والأهواء. </w:t>
      </w:r>
    </w:p>
    <w:p w:rsidR="007C76F0" w:rsidRPr="006571AC" w:rsidRDefault="007C76F0" w:rsidP="00110311">
      <w:pPr>
        <w:rPr>
          <w:sz w:val="27"/>
          <w:rtl/>
        </w:rPr>
      </w:pPr>
      <w:r w:rsidRPr="006571AC">
        <w:rPr>
          <w:b/>
          <w:bCs/>
          <w:sz w:val="27"/>
          <w:rtl/>
        </w:rPr>
        <w:t>الثاني</w:t>
      </w:r>
      <w:r w:rsidRPr="006571AC">
        <w:rPr>
          <w:sz w:val="27"/>
          <w:rtl/>
        </w:rPr>
        <w:t>: رعاية المصلحة العامة للدين والمجتمع، وأخذ الظروف والأوضاع الحاضرة بعين الاعتبار، واختيار الأسلوب المناسب للطرح</w:t>
      </w:r>
      <w:r w:rsidR="00110311" w:rsidRPr="006571AC">
        <w:rPr>
          <w:rFonts w:hint="cs"/>
          <w:sz w:val="27"/>
          <w:rtl/>
        </w:rPr>
        <w:t>؛</w:t>
      </w:r>
      <w:r w:rsidRPr="006571AC">
        <w:rPr>
          <w:sz w:val="27"/>
          <w:rtl/>
        </w:rPr>
        <w:t xml:space="preserve"> حتى لا يكون منفّ</w:t>
      </w:r>
      <w:r w:rsidR="00184ACC" w:rsidRPr="006571AC">
        <w:rPr>
          <w:rFonts w:hint="cs"/>
          <w:sz w:val="27"/>
          <w:rtl/>
        </w:rPr>
        <w:t>ِ</w:t>
      </w:r>
      <w:r w:rsidRPr="006571AC">
        <w:rPr>
          <w:sz w:val="27"/>
          <w:rtl/>
        </w:rPr>
        <w:t xml:space="preserve">راً للناس من الدين. </w:t>
      </w:r>
    </w:p>
    <w:p w:rsidR="007C76F0" w:rsidRPr="006571AC" w:rsidRDefault="007C76F0" w:rsidP="00F22B89">
      <w:pPr>
        <w:rPr>
          <w:sz w:val="27"/>
          <w:rtl/>
        </w:rPr>
      </w:pPr>
      <w:r w:rsidRPr="006571AC">
        <w:rPr>
          <w:sz w:val="27"/>
          <w:rtl/>
        </w:rPr>
        <w:t>إنّ الدين منظومة</w:t>
      </w:r>
      <w:r w:rsidR="00184ACC" w:rsidRPr="006571AC">
        <w:rPr>
          <w:rFonts w:hint="cs"/>
          <w:sz w:val="27"/>
          <w:rtl/>
        </w:rPr>
        <w:t>ٌ</w:t>
      </w:r>
      <w:r w:rsidRPr="006571AC">
        <w:rPr>
          <w:sz w:val="27"/>
          <w:rtl/>
        </w:rPr>
        <w:t xml:space="preserve"> من العقائد والمفاهيم والأحكام والآداب، وفي التراث الديني قضايا ومواضيع كثيرة، لكن</w:t>
      </w:r>
      <w:r w:rsidR="00184ACC" w:rsidRPr="006571AC">
        <w:rPr>
          <w:rFonts w:hint="cs"/>
          <w:sz w:val="27"/>
          <w:rtl/>
        </w:rPr>
        <w:t>ّ</w:t>
      </w:r>
      <w:r w:rsidRPr="006571AC">
        <w:rPr>
          <w:sz w:val="27"/>
          <w:rtl/>
        </w:rPr>
        <w:t xml:space="preserve"> الخطاب يجب أن يراعي حاجات المجتمع المخاطب، وظروفه ومصالحه، فتكون هناك أولوية</w:t>
      </w:r>
      <w:r w:rsidR="00184ACC" w:rsidRPr="006571AC">
        <w:rPr>
          <w:rFonts w:hint="cs"/>
          <w:sz w:val="27"/>
          <w:rtl/>
        </w:rPr>
        <w:t>ٌ</w:t>
      </w:r>
      <w:r w:rsidRPr="006571AC">
        <w:rPr>
          <w:sz w:val="27"/>
          <w:rtl/>
        </w:rPr>
        <w:t xml:space="preserve"> لاختيار المواضيع التي تعالج القضايا المهمة الحاضرة، ولا يربك المجتمع بطرح القضايا الجانبية الفرعية، أو يستغرق الخطاب في س</w:t>
      </w:r>
      <w:r w:rsidR="00110311" w:rsidRPr="006571AC">
        <w:rPr>
          <w:rFonts w:hint="cs"/>
          <w:sz w:val="27"/>
          <w:rtl/>
        </w:rPr>
        <w:t>َ</w:t>
      </w:r>
      <w:r w:rsidRPr="006571AC">
        <w:rPr>
          <w:sz w:val="27"/>
          <w:rtl/>
        </w:rPr>
        <w:t>ر</w:t>
      </w:r>
      <w:r w:rsidR="00110311" w:rsidRPr="006571AC">
        <w:rPr>
          <w:rFonts w:hint="cs"/>
          <w:sz w:val="27"/>
          <w:rtl/>
        </w:rPr>
        <w:t>ْ</w:t>
      </w:r>
      <w:r w:rsidRPr="006571AC">
        <w:rPr>
          <w:sz w:val="27"/>
          <w:rtl/>
        </w:rPr>
        <w:t>دي</w:t>
      </w:r>
      <w:r w:rsidR="00110311" w:rsidRPr="006571AC">
        <w:rPr>
          <w:rFonts w:hint="cs"/>
          <w:sz w:val="27"/>
          <w:rtl/>
        </w:rPr>
        <w:t>ّ</w:t>
      </w:r>
      <w:r w:rsidRPr="006571AC">
        <w:rPr>
          <w:sz w:val="27"/>
          <w:rtl/>
        </w:rPr>
        <w:t>ات تاريخية، قد تشبع فضول المستمع</w:t>
      </w:r>
      <w:r w:rsidR="00184ACC" w:rsidRPr="006571AC">
        <w:rPr>
          <w:rFonts w:hint="cs"/>
          <w:sz w:val="27"/>
          <w:rtl/>
        </w:rPr>
        <w:t>،</w:t>
      </w:r>
      <w:r w:rsidRPr="006571AC">
        <w:rPr>
          <w:sz w:val="27"/>
          <w:rtl/>
        </w:rPr>
        <w:t xml:space="preserve"> لكن</w:t>
      </w:r>
      <w:r w:rsidR="00184ACC" w:rsidRPr="006571AC">
        <w:rPr>
          <w:rFonts w:hint="cs"/>
          <w:sz w:val="27"/>
          <w:rtl/>
        </w:rPr>
        <w:t>ّ</w:t>
      </w:r>
      <w:r w:rsidRPr="006571AC">
        <w:rPr>
          <w:sz w:val="27"/>
          <w:rtl/>
        </w:rPr>
        <w:t>ها لا تقد</w:t>
      </w:r>
      <w:r w:rsidR="00184ACC" w:rsidRPr="006571AC">
        <w:rPr>
          <w:rFonts w:hint="cs"/>
          <w:sz w:val="27"/>
          <w:rtl/>
        </w:rPr>
        <w:t>ِّ</w:t>
      </w:r>
      <w:r w:rsidRPr="006571AC">
        <w:rPr>
          <w:sz w:val="27"/>
          <w:rtl/>
        </w:rPr>
        <w:t xml:space="preserve">م له ما ينفعه في حياته. </w:t>
      </w:r>
    </w:p>
    <w:p w:rsidR="007C76F0" w:rsidRPr="006571AC" w:rsidRDefault="007C76F0" w:rsidP="00F22B89">
      <w:pPr>
        <w:rPr>
          <w:sz w:val="27"/>
          <w:rtl/>
        </w:rPr>
      </w:pPr>
      <w:r w:rsidRPr="006571AC">
        <w:rPr>
          <w:sz w:val="27"/>
          <w:rtl/>
        </w:rPr>
        <w:t>ورد عن الإمامِ الكاظمِ</w:t>
      </w:r>
      <w:r w:rsidR="00DC3B12" w:rsidRPr="006571AC">
        <w:rPr>
          <w:rFonts w:ascii="Mosawi" w:hAnsi="Mosawi" w:cs="Mosawi"/>
          <w:sz w:val="22"/>
          <w:szCs w:val="22"/>
          <w:rtl/>
        </w:rPr>
        <w:t>×</w:t>
      </w:r>
      <w:r w:rsidRPr="006571AC">
        <w:rPr>
          <w:rFonts w:hint="cs"/>
          <w:sz w:val="27"/>
          <w:rtl/>
        </w:rPr>
        <w:t xml:space="preserve"> </w:t>
      </w:r>
      <w:r w:rsidRPr="006571AC">
        <w:rPr>
          <w:sz w:val="27"/>
          <w:rtl/>
        </w:rPr>
        <w:t>أنه قال: دَخَلَ رَس</w:t>
      </w:r>
      <w:r w:rsidR="00DD544E" w:rsidRPr="006571AC">
        <w:rPr>
          <w:rFonts w:hint="cs"/>
          <w:sz w:val="27"/>
          <w:rtl/>
        </w:rPr>
        <w:t>ُ</w:t>
      </w:r>
      <w:r w:rsidRPr="006571AC">
        <w:rPr>
          <w:sz w:val="27"/>
          <w:rtl/>
        </w:rPr>
        <w:t>ولُ الله</w:t>
      </w:r>
      <w:r w:rsidR="00DC3B12" w:rsidRPr="006571AC">
        <w:rPr>
          <w:rFonts w:ascii="Mosawi" w:hAnsi="Mosawi" w:cs="Mosawi"/>
          <w:sz w:val="22"/>
          <w:szCs w:val="22"/>
          <w:rtl/>
        </w:rPr>
        <w:t>|</w:t>
      </w:r>
      <w:r w:rsidRPr="006571AC">
        <w:rPr>
          <w:sz w:val="27"/>
          <w:rtl/>
        </w:rPr>
        <w:t xml:space="preserve"> المَس</w:t>
      </w:r>
      <w:r w:rsidR="00DD544E" w:rsidRPr="006571AC">
        <w:rPr>
          <w:rFonts w:hint="cs"/>
          <w:sz w:val="27"/>
          <w:rtl/>
        </w:rPr>
        <w:t>ْ</w:t>
      </w:r>
      <w:r w:rsidRPr="006571AC">
        <w:rPr>
          <w:sz w:val="27"/>
          <w:rtl/>
        </w:rPr>
        <w:t>جِدَ ف</w:t>
      </w:r>
      <w:r w:rsidR="00DD544E" w:rsidRPr="006571AC">
        <w:rPr>
          <w:rFonts w:hint="cs"/>
          <w:sz w:val="27"/>
          <w:rtl/>
        </w:rPr>
        <w:t>َ</w:t>
      </w:r>
      <w:r w:rsidRPr="006571AC">
        <w:rPr>
          <w:sz w:val="27"/>
          <w:rtl/>
        </w:rPr>
        <w:t>إذ</w:t>
      </w:r>
      <w:r w:rsidR="00DD544E" w:rsidRPr="006571AC">
        <w:rPr>
          <w:rFonts w:hint="cs"/>
          <w:sz w:val="27"/>
          <w:rtl/>
        </w:rPr>
        <w:t>َ</w:t>
      </w:r>
      <w:r w:rsidRPr="006571AC">
        <w:rPr>
          <w:sz w:val="27"/>
          <w:rtl/>
        </w:rPr>
        <w:t>ا جَم</w:t>
      </w:r>
      <w:r w:rsidR="00DD544E" w:rsidRPr="006571AC">
        <w:rPr>
          <w:rFonts w:hint="cs"/>
          <w:sz w:val="27"/>
          <w:rtl/>
        </w:rPr>
        <w:t>َ</w:t>
      </w:r>
      <w:r w:rsidRPr="006571AC">
        <w:rPr>
          <w:sz w:val="27"/>
          <w:rtl/>
        </w:rPr>
        <w:t>اعَةٌ قَد</w:t>
      </w:r>
      <w:r w:rsidR="00DD544E" w:rsidRPr="006571AC">
        <w:rPr>
          <w:rFonts w:hint="cs"/>
          <w:sz w:val="27"/>
          <w:rtl/>
        </w:rPr>
        <w:t>ْ</w:t>
      </w:r>
      <w:r w:rsidRPr="006571AC">
        <w:rPr>
          <w:sz w:val="27"/>
          <w:rtl/>
        </w:rPr>
        <w:t xml:space="preserve"> أ</w:t>
      </w:r>
      <w:r w:rsidR="00DD544E" w:rsidRPr="006571AC">
        <w:rPr>
          <w:rFonts w:hint="cs"/>
          <w:sz w:val="27"/>
          <w:rtl/>
        </w:rPr>
        <w:t>َ</w:t>
      </w:r>
      <w:r w:rsidRPr="006571AC">
        <w:rPr>
          <w:sz w:val="27"/>
          <w:rtl/>
        </w:rPr>
        <w:t>ط</w:t>
      </w:r>
      <w:r w:rsidR="00DD544E" w:rsidRPr="006571AC">
        <w:rPr>
          <w:rFonts w:hint="cs"/>
          <w:sz w:val="27"/>
          <w:rtl/>
        </w:rPr>
        <w:t>َ</w:t>
      </w:r>
      <w:r w:rsidRPr="006571AC">
        <w:rPr>
          <w:sz w:val="27"/>
          <w:rtl/>
        </w:rPr>
        <w:t>اف</w:t>
      </w:r>
      <w:r w:rsidR="00DD544E" w:rsidRPr="006571AC">
        <w:rPr>
          <w:rFonts w:hint="cs"/>
          <w:sz w:val="27"/>
          <w:rtl/>
        </w:rPr>
        <w:t>ُ</w:t>
      </w:r>
      <w:r w:rsidR="00DD544E" w:rsidRPr="006571AC">
        <w:rPr>
          <w:sz w:val="27"/>
          <w:rtl/>
        </w:rPr>
        <w:t>وا بِرَجُلٍ، فقال</w:t>
      </w:r>
      <w:r w:rsidRPr="006571AC">
        <w:rPr>
          <w:sz w:val="27"/>
          <w:rtl/>
        </w:rPr>
        <w:t>: م</w:t>
      </w:r>
      <w:r w:rsidR="00DD544E" w:rsidRPr="006571AC">
        <w:rPr>
          <w:rFonts w:hint="cs"/>
          <w:sz w:val="27"/>
          <w:rtl/>
        </w:rPr>
        <w:t>َ</w:t>
      </w:r>
      <w:r w:rsidRPr="006571AC">
        <w:rPr>
          <w:sz w:val="27"/>
          <w:rtl/>
        </w:rPr>
        <w:t>ا ه</w:t>
      </w:r>
      <w:r w:rsidR="00DD544E" w:rsidRPr="006571AC">
        <w:rPr>
          <w:rFonts w:hint="cs"/>
          <w:sz w:val="27"/>
          <w:rtl/>
        </w:rPr>
        <w:t>َ</w:t>
      </w:r>
      <w:r w:rsidRPr="006571AC">
        <w:rPr>
          <w:sz w:val="27"/>
          <w:rtl/>
        </w:rPr>
        <w:t>ذ</w:t>
      </w:r>
      <w:r w:rsidR="00DD544E" w:rsidRPr="006571AC">
        <w:rPr>
          <w:rFonts w:hint="cs"/>
          <w:sz w:val="27"/>
          <w:rtl/>
        </w:rPr>
        <w:t>َ</w:t>
      </w:r>
      <w:r w:rsidR="00DD544E" w:rsidRPr="006571AC">
        <w:rPr>
          <w:sz w:val="27"/>
          <w:rtl/>
        </w:rPr>
        <w:t>ا؟ فقيل</w:t>
      </w:r>
      <w:r w:rsidRPr="006571AC">
        <w:rPr>
          <w:sz w:val="27"/>
          <w:rtl/>
        </w:rPr>
        <w:t>: عَلاّ</w:t>
      </w:r>
      <w:r w:rsidR="007B7552" w:rsidRPr="006571AC">
        <w:rPr>
          <w:rFonts w:hint="cs"/>
          <w:sz w:val="27"/>
          <w:rtl/>
        </w:rPr>
        <w:t>َ</w:t>
      </w:r>
      <w:r w:rsidR="00DD544E" w:rsidRPr="006571AC">
        <w:rPr>
          <w:sz w:val="27"/>
          <w:rtl/>
        </w:rPr>
        <w:t>مَةٌ، قال</w:t>
      </w:r>
      <w:r w:rsidRPr="006571AC">
        <w:rPr>
          <w:sz w:val="27"/>
          <w:rtl/>
        </w:rPr>
        <w:t>: و</w:t>
      </w:r>
      <w:r w:rsidR="00DD544E" w:rsidRPr="006571AC">
        <w:rPr>
          <w:rFonts w:hint="cs"/>
          <w:sz w:val="27"/>
          <w:rtl/>
        </w:rPr>
        <w:t>َ</w:t>
      </w:r>
      <w:r w:rsidRPr="006571AC">
        <w:rPr>
          <w:sz w:val="27"/>
          <w:rtl/>
        </w:rPr>
        <w:t>م</w:t>
      </w:r>
      <w:r w:rsidR="00DD544E" w:rsidRPr="006571AC">
        <w:rPr>
          <w:rFonts w:hint="cs"/>
          <w:sz w:val="27"/>
          <w:rtl/>
        </w:rPr>
        <w:t>َ</w:t>
      </w:r>
      <w:r w:rsidRPr="006571AC">
        <w:rPr>
          <w:sz w:val="27"/>
          <w:rtl/>
        </w:rPr>
        <w:t>ا العَلاّ</w:t>
      </w:r>
      <w:r w:rsidR="007B7552" w:rsidRPr="006571AC">
        <w:rPr>
          <w:rFonts w:hint="cs"/>
          <w:sz w:val="27"/>
          <w:rtl/>
        </w:rPr>
        <w:t>َ</w:t>
      </w:r>
      <w:r w:rsidRPr="006571AC">
        <w:rPr>
          <w:sz w:val="27"/>
          <w:rtl/>
        </w:rPr>
        <w:t>مَةُ؟ قالوا: أ</w:t>
      </w:r>
      <w:r w:rsidR="00DD544E" w:rsidRPr="006571AC">
        <w:rPr>
          <w:rFonts w:hint="cs"/>
          <w:sz w:val="27"/>
          <w:rtl/>
        </w:rPr>
        <w:t>َ</w:t>
      </w:r>
      <w:r w:rsidRPr="006571AC">
        <w:rPr>
          <w:sz w:val="27"/>
          <w:rtl/>
        </w:rPr>
        <w:t>ع</w:t>
      </w:r>
      <w:r w:rsidR="00DD544E" w:rsidRPr="006571AC">
        <w:rPr>
          <w:rFonts w:hint="cs"/>
          <w:sz w:val="27"/>
          <w:rtl/>
        </w:rPr>
        <w:t>ْ</w:t>
      </w:r>
      <w:r w:rsidRPr="006571AC">
        <w:rPr>
          <w:sz w:val="27"/>
          <w:rtl/>
        </w:rPr>
        <w:t>لَمُ النّ</w:t>
      </w:r>
      <w:r w:rsidR="00DD544E" w:rsidRPr="006571AC">
        <w:rPr>
          <w:rFonts w:hint="cs"/>
          <w:sz w:val="27"/>
          <w:rtl/>
        </w:rPr>
        <w:t>َ</w:t>
      </w:r>
      <w:r w:rsidRPr="006571AC">
        <w:rPr>
          <w:sz w:val="27"/>
          <w:rtl/>
        </w:rPr>
        <w:t>اسِ بِأ</w:t>
      </w:r>
      <w:r w:rsidR="00DD544E" w:rsidRPr="006571AC">
        <w:rPr>
          <w:rFonts w:hint="cs"/>
          <w:sz w:val="27"/>
          <w:rtl/>
        </w:rPr>
        <w:t>َ</w:t>
      </w:r>
      <w:r w:rsidRPr="006571AC">
        <w:rPr>
          <w:sz w:val="27"/>
          <w:rtl/>
        </w:rPr>
        <w:t>ن</w:t>
      </w:r>
      <w:r w:rsidR="00DD544E" w:rsidRPr="006571AC">
        <w:rPr>
          <w:rFonts w:hint="cs"/>
          <w:sz w:val="27"/>
          <w:rtl/>
        </w:rPr>
        <w:t>ْ</w:t>
      </w:r>
      <w:r w:rsidRPr="006571AC">
        <w:rPr>
          <w:sz w:val="27"/>
          <w:rtl/>
        </w:rPr>
        <w:t>س</w:t>
      </w:r>
      <w:r w:rsidR="00DD544E" w:rsidRPr="006571AC">
        <w:rPr>
          <w:rFonts w:hint="cs"/>
          <w:sz w:val="27"/>
          <w:rtl/>
        </w:rPr>
        <w:t>َ</w:t>
      </w:r>
      <w:r w:rsidRPr="006571AC">
        <w:rPr>
          <w:sz w:val="27"/>
          <w:rtl/>
        </w:rPr>
        <w:t>ابِ العَرَبِ ووَق</w:t>
      </w:r>
      <w:r w:rsidR="00DD544E" w:rsidRPr="006571AC">
        <w:rPr>
          <w:rFonts w:hint="cs"/>
          <w:sz w:val="27"/>
          <w:rtl/>
        </w:rPr>
        <w:t>َ</w:t>
      </w:r>
      <w:r w:rsidRPr="006571AC">
        <w:rPr>
          <w:sz w:val="27"/>
          <w:rtl/>
        </w:rPr>
        <w:t>ائ</w:t>
      </w:r>
      <w:r w:rsidR="00DD544E" w:rsidRPr="006571AC">
        <w:rPr>
          <w:rFonts w:hint="cs"/>
          <w:sz w:val="27"/>
          <w:rtl/>
        </w:rPr>
        <w:t>ِ</w:t>
      </w:r>
      <w:r w:rsidRPr="006571AC">
        <w:rPr>
          <w:sz w:val="27"/>
          <w:rtl/>
        </w:rPr>
        <w:t>عِه</w:t>
      </w:r>
      <w:r w:rsidR="00DD544E" w:rsidRPr="006571AC">
        <w:rPr>
          <w:rFonts w:hint="cs"/>
          <w:sz w:val="27"/>
          <w:rtl/>
        </w:rPr>
        <w:t>َ</w:t>
      </w:r>
      <w:r w:rsidRPr="006571AC">
        <w:rPr>
          <w:sz w:val="27"/>
          <w:rtl/>
        </w:rPr>
        <w:t>ا، و</w:t>
      </w:r>
      <w:r w:rsidR="00DD544E" w:rsidRPr="006571AC">
        <w:rPr>
          <w:rFonts w:hint="cs"/>
          <w:sz w:val="27"/>
          <w:rtl/>
        </w:rPr>
        <w:t>َ</w:t>
      </w:r>
      <w:r w:rsidRPr="006571AC">
        <w:rPr>
          <w:sz w:val="27"/>
          <w:rtl/>
        </w:rPr>
        <w:t>أ</w:t>
      </w:r>
      <w:r w:rsidR="00DD544E" w:rsidRPr="006571AC">
        <w:rPr>
          <w:rFonts w:hint="cs"/>
          <w:sz w:val="27"/>
          <w:rtl/>
        </w:rPr>
        <w:t>َ</w:t>
      </w:r>
      <w:r w:rsidRPr="006571AC">
        <w:rPr>
          <w:sz w:val="27"/>
          <w:rtl/>
        </w:rPr>
        <w:t>يّ</w:t>
      </w:r>
      <w:r w:rsidR="00DD544E" w:rsidRPr="006571AC">
        <w:rPr>
          <w:rFonts w:hint="cs"/>
          <w:sz w:val="27"/>
          <w:rtl/>
        </w:rPr>
        <w:t>َ</w:t>
      </w:r>
      <w:r w:rsidRPr="006571AC">
        <w:rPr>
          <w:sz w:val="27"/>
          <w:rtl/>
        </w:rPr>
        <w:t>امِ الج</w:t>
      </w:r>
      <w:r w:rsidR="00DD544E" w:rsidRPr="006571AC">
        <w:rPr>
          <w:rFonts w:hint="cs"/>
          <w:sz w:val="27"/>
          <w:rtl/>
        </w:rPr>
        <w:t>َ</w:t>
      </w:r>
      <w:r w:rsidRPr="006571AC">
        <w:rPr>
          <w:sz w:val="27"/>
          <w:rtl/>
        </w:rPr>
        <w:t>اهِلِيَّةِ، و</w:t>
      </w:r>
      <w:r w:rsidR="00DD544E" w:rsidRPr="006571AC">
        <w:rPr>
          <w:rFonts w:hint="cs"/>
          <w:sz w:val="27"/>
          <w:rtl/>
        </w:rPr>
        <w:t>َ</w:t>
      </w:r>
      <w:r w:rsidRPr="006571AC">
        <w:rPr>
          <w:sz w:val="27"/>
          <w:rtl/>
        </w:rPr>
        <w:t>بِالأ</w:t>
      </w:r>
      <w:r w:rsidR="00DD544E" w:rsidRPr="006571AC">
        <w:rPr>
          <w:rFonts w:hint="cs"/>
          <w:sz w:val="27"/>
          <w:rtl/>
        </w:rPr>
        <w:t>َ</w:t>
      </w:r>
      <w:r w:rsidRPr="006571AC">
        <w:rPr>
          <w:sz w:val="27"/>
          <w:rtl/>
        </w:rPr>
        <w:t>ش</w:t>
      </w:r>
      <w:r w:rsidR="00DD544E" w:rsidRPr="006571AC">
        <w:rPr>
          <w:rFonts w:hint="cs"/>
          <w:sz w:val="27"/>
          <w:rtl/>
        </w:rPr>
        <w:t>ْ</w:t>
      </w:r>
      <w:r w:rsidRPr="006571AC">
        <w:rPr>
          <w:sz w:val="27"/>
          <w:rtl/>
        </w:rPr>
        <w:t>ع</w:t>
      </w:r>
      <w:r w:rsidR="00DD544E" w:rsidRPr="006571AC">
        <w:rPr>
          <w:rFonts w:hint="cs"/>
          <w:sz w:val="27"/>
          <w:rtl/>
        </w:rPr>
        <w:t>َ</w:t>
      </w:r>
      <w:r w:rsidRPr="006571AC">
        <w:rPr>
          <w:sz w:val="27"/>
          <w:rtl/>
        </w:rPr>
        <w:t>ارِ و</w:t>
      </w:r>
      <w:r w:rsidR="00DD544E" w:rsidRPr="006571AC">
        <w:rPr>
          <w:rFonts w:hint="cs"/>
          <w:sz w:val="27"/>
          <w:rtl/>
        </w:rPr>
        <w:t>َ</w:t>
      </w:r>
      <w:r w:rsidR="00DD544E" w:rsidRPr="006571AC">
        <w:rPr>
          <w:sz w:val="27"/>
          <w:rtl/>
        </w:rPr>
        <w:t>العَرَبِيَّةِ، فقال النبِي</w:t>
      </w:r>
      <w:r w:rsidR="00DD544E" w:rsidRPr="006571AC">
        <w:rPr>
          <w:rFonts w:hint="cs"/>
          <w:sz w:val="27"/>
          <w:rtl/>
        </w:rPr>
        <w:t>ُّ</w:t>
      </w:r>
      <w:r w:rsidR="00DC3B12" w:rsidRPr="006571AC">
        <w:rPr>
          <w:rFonts w:ascii="Mosawi" w:hAnsi="Mosawi" w:cs="Mosawi"/>
          <w:sz w:val="22"/>
          <w:szCs w:val="22"/>
          <w:rtl/>
        </w:rPr>
        <w:t>|</w:t>
      </w:r>
      <w:r w:rsidRPr="006571AC">
        <w:rPr>
          <w:sz w:val="27"/>
          <w:rtl/>
        </w:rPr>
        <w:t>: ذ</w:t>
      </w:r>
      <w:r w:rsidR="00DD544E" w:rsidRPr="006571AC">
        <w:rPr>
          <w:rFonts w:hint="cs"/>
          <w:sz w:val="27"/>
          <w:rtl/>
        </w:rPr>
        <w:t>َ</w:t>
      </w:r>
      <w:r w:rsidRPr="006571AC">
        <w:rPr>
          <w:sz w:val="27"/>
          <w:rtl/>
        </w:rPr>
        <w:t>اكَ عِل</w:t>
      </w:r>
      <w:r w:rsidR="00DD544E" w:rsidRPr="006571AC">
        <w:rPr>
          <w:rFonts w:hint="cs"/>
          <w:sz w:val="27"/>
          <w:rtl/>
        </w:rPr>
        <w:t>ْ</w:t>
      </w:r>
      <w:r w:rsidRPr="006571AC">
        <w:rPr>
          <w:sz w:val="27"/>
          <w:rtl/>
        </w:rPr>
        <w:t>مٌ لا يَضُرُّ مَن</w:t>
      </w:r>
      <w:r w:rsidR="00DD544E" w:rsidRPr="006571AC">
        <w:rPr>
          <w:rFonts w:hint="cs"/>
          <w:sz w:val="27"/>
          <w:rtl/>
        </w:rPr>
        <w:t>ْ</w:t>
      </w:r>
      <w:r w:rsidRPr="006571AC">
        <w:rPr>
          <w:sz w:val="27"/>
          <w:rtl/>
        </w:rPr>
        <w:t xml:space="preserve"> جَهِلَهُ، و</w:t>
      </w:r>
      <w:r w:rsidR="00DD544E" w:rsidRPr="006571AC">
        <w:rPr>
          <w:rFonts w:hint="cs"/>
          <w:sz w:val="27"/>
          <w:rtl/>
        </w:rPr>
        <w:t>َ</w:t>
      </w:r>
      <w:r w:rsidRPr="006571AC">
        <w:rPr>
          <w:sz w:val="27"/>
          <w:rtl/>
        </w:rPr>
        <w:t>لا يَنفَعُ مَن</w:t>
      </w:r>
      <w:r w:rsidR="00DD544E" w:rsidRPr="006571AC">
        <w:rPr>
          <w:rFonts w:hint="cs"/>
          <w:sz w:val="27"/>
          <w:rtl/>
        </w:rPr>
        <w:t>ْ</w:t>
      </w:r>
      <w:r w:rsidRPr="006571AC">
        <w:rPr>
          <w:sz w:val="27"/>
          <w:rtl/>
        </w:rPr>
        <w:t xml:space="preserve"> عَلِمَهُ</w:t>
      </w:r>
      <w:r w:rsidRPr="006571AC">
        <w:rPr>
          <w:sz w:val="27"/>
          <w:vertAlign w:val="superscript"/>
          <w:rtl/>
        </w:rPr>
        <w:t>(</w:t>
      </w:r>
      <w:r w:rsidRPr="006571AC">
        <w:rPr>
          <w:sz w:val="27"/>
          <w:vertAlign w:val="superscript"/>
          <w:rtl/>
        </w:rPr>
        <w:endnoteReference w:id="137"/>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ويقول تعالى: </w:t>
      </w:r>
      <w:r w:rsidRPr="006571AC">
        <w:rPr>
          <w:rFonts w:ascii="Mosawi" w:hAnsi="Mosawi" w:cs="Mosawi"/>
          <w:sz w:val="24"/>
          <w:szCs w:val="24"/>
          <w:rtl/>
        </w:rPr>
        <w:t>﴿</w:t>
      </w:r>
      <w:r w:rsidRPr="006571AC">
        <w:rPr>
          <w:b/>
          <w:bCs/>
          <w:sz w:val="27"/>
          <w:rtl/>
        </w:rPr>
        <w:t>يَا أَيُّهَا الَّذِينَ آمَنُوا اتَّقُوا الله وَقُولُوا قَوْلاً سَدِيداً</w:t>
      </w:r>
      <w:r w:rsidRPr="006571AC">
        <w:rPr>
          <w:rFonts w:ascii="Mosawi" w:hAnsi="Mosawi" w:cs="Mosawi"/>
          <w:sz w:val="24"/>
          <w:szCs w:val="24"/>
          <w:rtl/>
        </w:rPr>
        <w:t>﴾</w:t>
      </w:r>
      <w:r w:rsidRPr="006571AC">
        <w:rPr>
          <w:sz w:val="27"/>
          <w:rtl/>
        </w:rPr>
        <w:t xml:space="preserve"> (الأحزاب</w:t>
      </w:r>
      <w:r w:rsidRPr="006571AC">
        <w:rPr>
          <w:rFonts w:hint="cs"/>
          <w:sz w:val="27"/>
          <w:rtl/>
        </w:rPr>
        <w:t>:</w:t>
      </w:r>
      <w:r w:rsidRPr="006571AC">
        <w:rPr>
          <w:sz w:val="27"/>
          <w:rtl/>
        </w:rPr>
        <w:t xml:space="preserve"> 70)، أي قولاً رصيناً م</w:t>
      </w:r>
      <w:r w:rsidR="007B7552" w:rsidRPr="006571AC">
        <w:rPr>
          <w:rFonts w:hint="cs"/>
          <w:sz w:val="27"/>
          <w:rtl/>
        </w:rPr>
        <w:t>ُ</w:t>
      </w:r>
      <w:r w:rsidRPr="006571AC">
        <w:rPr>
          <w:sz w:val="27"/>
          <w:rtl/>
        </w:rPr>
        <w:t>ح</w:t>
      </w:r>
      <w:r w:rsidR="007B7552" w:rsidRPr="006571AC">
        <w:rPr>
          <w:rFonts w:hint="cs"/>
          <w:sz w:val="27"/>
          <w:rtl/>
        </w:rPr>
        <w:t>ْ</w:t>
      </w:r>
      <w:r w:rsidRPr="006571AC">
        <w:rPr>
          <w:sz w:val="27"/>
          <w:rtl/>
        </w:rPr>
        <w:t>ك</w:t>
      </w:r>
      <w:r w:rsidR="007B7552" w:rsidRPr="006571AC">
        <w:rPr>
          <w:rFonts w:hint="cs"/>
          <w:sz w:val="27"/>
          <w:rtl/>
        </w:rPr>
        <w:t>َ</w:t>
      </w:r>
      <w:r w:rsidRPr="006571AC">
        <w:rPr>
          <w:sz w:val="27"/>
          <w:rtl/>
        </w:rPr>
        <w:t>ماً، لا تكون فيه ثغرات</w:t>
      </w:r>
      <w:r w:rsidR="00DD544E" w:rsidRPr="006571AC">
        <w:rPr>
          <w:rFonts w:hint="cs"/>
          <w:sz w:val="27"/>
          <w:rtl/>
        </w:rPr>
        <w:t>ٌ</w:t>
      </w:r>
      <w:r w:rsidRPr="006571AC">
        <w:rPr>
          <w:sz w:val="27"/>
          <w:rtl/>
        </w:rPr>
        <w:t xml:space="preserve"> تخلّ بمصالح الدين والمجتمع. </w:t>
      </w:r>
    </w:p>
    <w:p w:rsidR="007C76F0" w:rsidRPr="006571AC" w:rsidRDefault="007C76F0" w:rsidP="00F22B89">
      <w:pPr>
        <w:rPr>
          <w:sz w:val="27"/>
          <w:rtl/>
        </w:rPr>
      </w:pPr>
      <w:r w:rsidRPr="006571AC">
        <w:rPr>
          <w:sz w:val="27"/>
          <w:rtl/>
        </w:rPr>
        <w:t xml:space="preserve">ويقول تعالى: </w:t>
      </w:r>
      <w:r w:rsidRPr="006571AC">
        <w:rPr>
          <w:rFonts w:ascii="Mosawi" w:hAnsi="Mosawi" w:cs="Mosawi"/>
          <w:sz w:val="24"/>
          <w:szCs w:val="24"/>
          <w:rtl/>
        </w:rPr>
        <w:t>﴿</w:t>
      </w:r>
      <w:r w:rsidRPr="006571AC">
        <w:rPr>
          <w:b/>
          <w:bCs/>
          <w:sz w:val="27"/>
          <w:rtl/>
        </w:rPr>
        <w:t>ادْعُ إِلَى سَبِيلِ رَبِّكَ بِالْحِكْمَةِ وَالْمَوْعِظَةِ الْحَسَنَةِ</w:t>
      </w:r>
      <w:r w:rsidRPr="006571AC">
        <w:rPr>
          <w:rFonts w:ascii="Mosawi" w:hAnsi="Mosawi" w:cs="Mosawi"/>
          <w:sz w:val="24"/>
          <w:szCs w:val="24"/>
          <w:rtl/>
        </w:rPr>
        <w:t>﴾</w:t>
      </w:r>
      <w:r w:rsidRPr="006571AC">
        <w:rPr>
          <w:sz w:val="27"/>
          <w:rtl/>
        </w:rPr>
        <w:t xml:space="preserve"> (النحل</w:t>
      </w:r>
      <w:r w:rsidRPr="006571AC">
        <w:rPr>
          <w:rFonts w:hint="cs"/>
          <w:sz w:val="27"/>
          <w:rtl/>
        </w:rPr>
        <w:t>:</w:t>
      </w:r>
      <w:r w:rsidRPr="006571AC">
        <w:rPr>
          <w:sz w:val="27"/>
          <w:rtl/>
        </w:rPr>
        <w:t xml:space="preserve"> 125)، والحكمة تعني وضع الشيء المناسب في المكان المناسب. </w:t>
      </w:r>
    </w:p>
    <w:p w:rsidR="007C76F0" w:rsidRPr="006571AC" w:rsidRDefault="007C76F0" w:rsidP="00F22B89">
      <w:pPr>
        <w:rPr>
          <w:sz w:val="27"/>
          <w:rtl/>
        </w:rPr>
      </w:pPr>
      <w:r w:rsidRPr="006571AC">
        <w:rPr>
          <w:sz w:val="27"/>
          <w:rtl/>
        </w:rPr>
        <w:t>وجاء عن علي</w:t>
      </w:r>
      <w:r w:rsidR="007B7552" w:rsidRPr="006571AC">
        <w:rPr>
          <w:rFonts w:hint="cs"/>
          <w:sz w:val="27"/>
          <w:rtl/>
        </w:rPr>
        <w:t>ٍّ</w:t>
      </w:r>
      <w:r w:rsidR="00DC3B12" w:rsidRPr="006571AC">
        <w:rPr>
          <w:rFonts w:ascii="Mosawi" w:hAnsi="Mosawi" w:cs="Mosawi"/>
          <w:sz w:val="22"/>
          <w:szCs w:val="22"/>
          <w:rtl/>
        </w:rPr>
        <w:t>×</w:t>
      </w:r>
      <w:r w:rsidRPr="006571AC">
        <w:rPr>
          <w:sz w:val="27"/>
          <w:rtl/>
        </w:rPr>
        <w:t xml:space="preserve"> في ذكر النبي</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طَبِيبٌ</w:t>
      </w:r>
      <w:r w:rsidR="007B7552" w:rsidRPr="006571AC">
        <w:rPr>
          <w:rFonts w:hint="cs"/>
          <w:sz w:val="27"/>
          <w:rtl/>
        </w:rPr>
        <w:t>،</w:t>
      </w:r>
      <w:r w:rsidRPr="006571AC">
        <w:rPr>
          <w:sz w:val="27"/>
          <w:rtl/>
        </w:rPr>
        <w:t xml:space="preserve"> دَوَّارٌ بِطِبِّهِ</w:t>
      </w:r>
      <w:r w:rsidR="007B7552" w:rsidRPr="006571AC">
        <w:rPr>
          <w:rFonts w:hint="cs"/>
          <w:sz w:val="27"/>
          <w:rtl/>
        </w:rPr>
        <w:t>،</w:t>
      </w:r>
      <w:r w:rsidRPr="006571AC">
        <w:rPr>
          <w:sz w:val="27"/>
          <w:rtl/>
        </w:rPr>
        <w:t xml:space="preserve"> قَدْ أَحْكَمَ مَرَاهِمَهُ</w:t>
      </w:r>
      <w:r w:rsidR="007B7552" w:rsidRPr="006571AC">
        <w:rPr>
          <w:rFonts w:hint="cs"/>
          <w:sz w:val="27"/>
          <w:rtl/>
        </w:rPr>
        <w:t>،</w:t>
      </w:r>
      <w:r w:rsidRPr="006571AC">
        <w:rPr>
          <w:sz w:val="27"/>
          <w:rtl/>
        </w:rPr>
        <w:t xml:space="preserve"> وَأَحْمَى مَوَاسِمَهُ</w:t>
      </w:r>
      <w:r w:rsidR="007B7552" w:rsidRPr="006571AC">
        <w:rPr>
          <w:rFonts w:hint="cs"/>
          <w:sz w:val="27"/>
          <w:rtl/>
        </w:rPr>
        <w:t>،</w:t>
      </w:r>
      <w:r w:rsidRPr="006571AC">
        <w:rPr>
          <w:sz w:val="27"/>
          <w:rtl/>
        </w:rPr>
        <w:t xml:space="preserve"> يَضَعُ ذَلِكَ حَيْثُ الْحَاجَةُ إِلَيْهِ</w:t>
      </w:r>
      <w:r w:rsidRPr="006571AC">
        <w:rPr>
          <w:rFonts w:hint="eastAsia"/>
          <w:sz w:val="24"/>
          <w:szCs w:val="24"/>
          <w:rtl/>
        </w:rPr>
        <w:t>»</w:t>
      </w:r>
      <w:r w:rsidRPr="006571AC">
        <w:rPr>
          <w:sz w:val="27"/>
          <w:vertAlign w:val="superscript"/>
          <w:rtl/>
        </w:rPr>
        <w:t>(</w:t>
      </w:r>
      <w:r w:rsidRPr="006571AC">
        <w:rPr>
          <w:sz w:val="27"/>
          <w:vertAlign w:val="superscript"/>
          <w:rtl/>
        </w:rPr>
        <w:endnoteReference w:id="138"/>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 (مَرَاهِمَهُ) تعبير عن المداراة واللين. </w:t>
      </w:r>
    </w:p>
    <w:p w:rsidR="007C76F0" w:rsidRPr="006571AC" w:rsidRDefault="007C76F0" w:rsidP="00F22B89">
      <w:pPr>
        <w:rPr>
          <w:sz w:val="27"/>
          <w:rtl/>
        </w:rPr>
      </w:pPr>
      <w:r w:rsidRPr="006571AC">
        <w:rPr>
          <w:sz w:val="27"/>
          <w:rtl/>
        </w:rPr>
        <w:t xml:space="preserve"> (مَوَاسِمَهُ) ما يستخدم للكي</w:t>
      </w:r>
      <w:r w:rsidR="007B7552" w:rsidRPr="006571AC">
        <w:rPr>
          <w:rFonts w:hint="cs"/>
          <w:sz w:val="27"/>
          <w:rtl/>
        </w:rPr>
        <w:t>ّ</w:t>
      </w:r>
      <w:r w:rsidRPr="006571AC">
        <w:rPr>
          <w:sz w:val="27"/>
          <w:rtl/>
        </w:rPr>
        <w:t>، في الطب</w:t>
      </w:r>
      <w:r w:rsidR="007B7552" w:rsidRPr="006571AC">
        <w:rPr>
          <w:rFonts w:hint="cs"/>
          <w:sz w:val="27"/>
          <w:rtl/>
        </w:rPr>
        <w:t>ّ</w:t>
      </w:r>
      <w:r w:rsidRPr="006571AC">
        <w:rPr>
          <w:sz w:val="27"/>
          <w:rtl/>
        </w:rPr>
        <w:t xml:space="preserve"> القديم، كناية عن الشد</w:t>
      </w:r>
      <w:r w:rsidR="007B7552" w:rsidRPr="006571AC">
        <w:rPr>
          <w:rFonts w:hint="cs"/>
          <w:sz w:val="27"/>
          <w:rtl/>
        </w:rPr>
        <w:t>ّ</w:t>
      </w:r>
      <w:r w:rsidRPr="006571AC">
        <w:rPr>
          <w:sz w:val="27"/>
          <w:rtl/>
        </w:rPr>
        <w:t xml:space="preserve">ة، وكلٌّ في موضعه. </w:t>
      </w:r>
    </w:p>
    <w:p w:rsidR="007C76F0" w:rsidRPr="006571AC" w:rsidRDefault="007C76F0" w:rsidP="00F22B89">
      <w:pPr>
        <w:rPr>
          <w:sz w:val="27"/>
          <w:rtl/>
        </w:rPr>
      </w:pPr>
      <w:r w:rsidRPr="006571AC">
        <w:rPr>
          <w:sz w:val="27"/>
          <w:rtl/>
        </w:rPr>
        <w:t>وورد عن الإمام الصادق</w:t>
      </w:r>
      <w:r w:rsidR="00DC3B12" w:rsidRPr="006571AC">
        <w:rPr>
          <w:rFonts w:ascii="Mosawi" w:hAnsi="Mosawi" w:cs="Mosawi"/>
          <w:sz w:val="22"/>
          <w:szCs w:val="22"/>
          <w:rtl/>
        </w:rPr>
        <w:t>×</w:t>
      </w:r>
      <w:r w:rsidRPr="006571AC">
        <w:rPr>
          <w:rFonts w:hint="cs"/>
          <w:sz w:val="27"/>
          <w:rtl/>
        </w:rPr>
        <w:t xml:space="preserve">: </w:t>
      </w:r>
      <w:r w:rsidRPr="006571AC">
        <w:rPr>
          <w:rFonts w:hint="eastAsia"/>
          <w:sz w:val="24"/>
          <w:szCs w:val="24"/>
          <w:rtl/>
        </w:rPr>
        <w:t>«</w:t>
      </w:r>
      <w:r w:rsidRPr="006571AC">
        <w:rPr>
          <w:sz w:val="27"/>
          <w:rtl/>
        </w:rPr>
        <w:t>لا تَكَلَّم</w:t>
      </w:r>
      <w:r w:rsidR="001A54A8" w:rsidRPr="006571AC">
        <w:rPr>
          <w:rFonts w:hint="cs"/>
          <w:sz w:val="27"/>
          <w:rtl/>
        </w:rPr>
        <w:t>ْ</w:t>
      </w:r>
      <w:r w:rsidRPr="006571AC">
        <w:rPr>
          <w:sz w:val="27"/>
          <w:rtl/>
        </w:rPr>
        <w:t xml:space="preserve"> بِم</w:t>
      </w:r>
      <w:r w:rsidR="001A54A8" w:rsidRPr="006571AC">
        <w:rPr>
          <w:rFonts w:hint="cs"/>
          <w:sz w:val="27"/>
          <w:rtl/>
        </w:rPr>
        <w:t>َ</w:t>
      </w:r>
      <w:r w:rsidRPr="006571AC">
        <w:rPr>
          <w:sz w:val="27"/>
          <w:rtl/>
        </w:rPr>
        <w:t>ا لا يَع</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يكَ، و</w:t>
      </w:r>
      <w:r w:rsidR="001A54A8" w:rsidRPr="006571AC">
        <w:rPr>
          <w:rFonts w:hint="cs"/>
          <w:sz w:val="27"/>
          <w:rtl/>
        </w:rPr>
        <w:t>َ</w:t>
      </w:r>
      <w:r w:rsidRPr="006571AC">
        <w:rPr>
          <w:sz w:val="27"/>
          <w:rtl/>
        </w:rPr>
        <w:t>دَع</w:t>
      </w:r>
      <w:r w:rsidR="007B7552" w:rsidRPr="006571AC">
        <w:rPr>
          <w:rFonts w:hint="cs"/>
          <w:sz w:val="27"/>
          <w:rtl/>
        </w:rPr>
        <w:t>ْ</w:t>
      </w:r>
      <w:r w:rsidRPr="006571AC">
        <w:rPr>
          <w:sz w:val="27"/>
          <w:rtl/>
        </w:rPr>
        <w:t xml:space="preserve"> كَث</w:t>
      </w:r>
      <w:r w:rsidR="001A54A8" w:rsidRPr="006571AC">
        <w:rPr>
          <w:rFonts w:hint="cs"/>
          <w:sz w:val="27"/>
          <w:rtl/>
        </w:rPr>
        <w:t>ِ</w:t>
      </w:r>
      <w:r w:rsidRPr="006571AC">
        <w:rPr>
          <w:sz w:val="27"/>
          <w:rtl/>
        </w:rPr>
        <w:t>يراً مِنَ الكَلامِ في م</w:t>
      </w:r>
      <w:r w:rsidR="001A54A8" w:rsidRPr="006571AC">
        <w:rPr>
          <w:rFonts w:hint="cs"/>
          <w:sz w:val="27"/>
          <w:rtl/>
        </w:rPr>
        <w:t>َ</w:t>
      </w:r>
      <w:r w:rsidRPr="006571AC">
        <w:rPr>
          <w:sz w:val="27"/>
          <w:rtl/>
        </w:rPr>
        <w:t>ا يَع</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يكَ حَتّ</w:t>
      </w:r>
      <w:r w:rsidR="001A54A8" w:rsidRPr="006571AC">
        <w:rPr>
          <w:rFonts w:hint="cs"/>
          <w:sz w:val="27"/>
          <w:rtl/>
        </w:rPr>
        <w:t>َ</w:t>
      </w:r>
      <w:r w:rsidRPr="006571AC">
        <w:rPr>
          <w:sz w:val="27"/>
          <w:rtl/>
        </w:rPr>
        <w:t>ى تَجِدَ لَهُ مَو</w:t>
      </w:r>
      <w:r w:rsidR="001A54A8" w:rsidRPr="006571AC">
        <w:rPr>
          <w:rFonts w:hint="cs"/>
          <w:sz w:val="27"/>
          <w:rtl/>
        </w:rPr>
        <w:t>ْ</w:t>
      </w:r>
      <w:r w:rsidRPr="006571AC">
        <w:rPr>
          <w:sz w:val="27"/>
          <w:rtl/>
        </w:rPr>
        <w:t>ضِعاً؛ فَرُبَّ مُتَكَلِّمٍ تَكَلَّمَ بِالحَقِّ بِم</w:t>
      </w:r>
      <w:r w:rsidR="001A54A8" w:rsidRPr="006571AC">
        <w:rPr>
          <w:rFonts w:hint="cs"/>
          <w:sz w:val="27"/>
          <w:rtl/>
        </w:rPr>
        <w:t>َ</w:t>
      </w:r>
      <w:r w:rsidRPr="006571AC">
        <w:rPr>
          <w:sz w:val="27"/>
          <w:rtl/>
        </w:rPr>
        <w:t>ا يَع</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يهِ في غَي</w:t>
      </w:r>
      <w:r w:rsidR="001A54A8" w:rsidRPr="006571AC">
        <w:rPr>
          <w:rFonts w:hint="cs"/>
          <w:sz w:val="27"/>
          <w:rtl/>
        </w:rPr>
        <w:t>ْ</w:t>
      </w:r>
      <w:r w:rsidRPr="006571AC">
        <w:rPr>
          <w:sz w:val="27"/>
          <w:rtl/>
        </w:rPr>
        <w:t>رِ مَو</w:t>
      </w:r>
      <w:r w:rsidR="001A54A8" w:rsidRPr="006571AC">
        <w:rPr>
          <w:rFonts w:hint="cs"/>
          <w:sz w:val="27"/>
          <w:rtl/>
        </w:rPr>
        <w:t>ْ</w:t>
      </w:r>
      <w:r w:rsidRPr="006571AC">
        <w:rPr>
          <w:sz w:val="27"/>
          <w:rtl/>
        </w:rPr>
        <w:t>ضِعِهِ فَتَعِبَ</w:t>
      </w:r>
      <w:r w:rsidRPr="006571AC">
        <w:rPr>
          <w:rFonts w:hint="eastAsia"/>
          <w:sz w:val="24"/>
          <w:szCs w:val="24"/>
          <w:rtl/>
        </w:rPr>
        <w:t>»</w:t>
      </w:r>
      <w:r w:rsidRPr="006571AC">
        <w:rPr>
          <w:sz w:val="27"/>
          <w:vertAlign w:val="superscript"/>
          <w:rtl/>
        </w:rPr>
        <w:t>(</w:t>
      </w:r>
      <w:r w:rsidRPr="006571AC">
        <w:rPr>
          <w:sz w:val="27"/>
          <w:vertAlign w:val="superscript"/>
          <w:rtl/>
        </w:rPr>
        <w:endnoteReference w:id="139"/>
      </w:r>
      <w:r w:rsidRPr="006571AC">
        <w:rPr>
          <w:sz w:val="27"/>
          <w:vertAlign w:val="superscript"/>
          <w:rtl/>
        </w:rPr>
        <w:t>)</w:t>
      </w:r>
      <w:r w:rsidRPr="006571AC">
        <w:rPr>
          <w:sz w:val="27"/>
          <w:rtl/>
        </w:rPr>
        <w:t xml:space="preserve">. </w:t>
      </w:r>
    </w:p>
    <w:p w:rsidR="007C76F0" w:rsidRPr="006571AC" w:rsidRDefault="007C76F0" w:rsidP="002521A6">
      <w:pPr>
        <w:spacing w:line="384" w:lineRule="exact"/>
        <w:rPr>
          <w:sz w:val="27"/>
          <w:rtl/>
        </w:rPr>
      </w:pPr>
      <w:r w:rsidRPr="006571AC">
        <w:rPr>
          <w:sz w:val="27"/>
          <w:rtl/>
        </w:rPr>
        <w:lastRenderedPageBreak/>
        <w:t>فمقياس الحق</w:t>
      </w:r>
      <w:r w:rsidR="007B7552" w:rsidRPr="006571AC">
        <w:rPr>
          <w:rFonts w:hint="cs"/>
          <w:sz w:val="27"/>
          <w:rtl/>
        </w:rPr>
        <w:t>ّ</w:t>
      </w:r>
      <w:r w:rsidRPr="006571AC">
        <w:rPr>
          <w:sz w:val="27"/>
          <w:rtl/>
        </w:rPr>
        <w:t xml:space="preserve">انية ليس هو المقياس الوحيد لاختيار الكلام. </w:t>
      </w:r>
    </w:p>
    <w:p w:rsidR="007C76F0" w:rsidRPr="006571AC" w:rsidRDefault="007C76F0" w:rsidP="002521A6">
      <w:pPr>
        <w:spacing w:line="384" w:lineRule="exact"/>
        <w:rPr>
          <w:sz w:val="27"/>
          <w:rtl/>
        </w:rPr>
      </w:pPr>
      <w:r w:rsidRPr="006571AC">
        <w:rPr>
          <w:sz w:val="27"/>
          <w:rtl/>
        </w:rPr>
        <w:t xml:space="preserve">بل ينبغي التفكير والتساؤل: هل يناسب الظروف الراهنة أم لا؟! </w:t>
      </w:r>
    </w:p>
    <w:p w:rsidR="007C76F0" w:rsidRPr="006571AC" w:rsidRDefault="007C76F0" w:rsidP="002521A6">
      <w:pPr>
        <w:spacing w:line="384" w:lineRule="exact"/>
        <w:rPr>
          <w:sz w:val="27"/>
          <w:rtl/>
        </w:rPr>
      </w:pPr>
      <w:r w:rsidRPr="006571AC">
        <w:rPr>
          <w:sz w:val="27"/>
          <w:rtl/>
        </w:rPr>
        <w:t>وفي الحديث عنه</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إ</w:t>
      </w:r>
      <w:r w:rsidR="001A54A8" w:rsidRPr="006571AC">
        <w:rPr>
          <w:rFonts w:hint="cs"/>
          <w:sz w:val="27"/>
          <w:rtl/>
        </w:rPr>
        <w:t>ِ</w:t>
      </w:r>
      <w:r w:rsidRPr="006571AC">
        <w:rPr>
          <w:sz w:val="27"/>
          <w:rtl/>
        </w:rPr>
        <w:t>نَّا م</w:t>
      </w:r>
      <w:r w:rsidR="001A54A8" w:rsidRPr="006571AC">
        <w:rPr>
          <w:rFonts w:hint="cs"/>
          <w:sz w:val="27"/>
          <w:rtl/>
        </w:rPr>
        <w:t>َ</w:t>
      </w:r>
      <w:r w:rsidRPr="006571AC">
        <w:rPr>
          <w:sz w:val="27"/>
          <w:rtl/>
        </w:rPr>
        <w:t>ع</w:t>
      </w:r>
      <w:r w:rsidR="001A54A8" w:rsidRPr="006571AC">
        <w:rPr>
          <w:rFonts w:hint="cs"/>
          <w:sz w:val="27"/>
          <w:rtl/>
        </w:rPr>
        <w:t>َ</w:t>
      </w:r>
      <w:r w:rsidRPr="006571AC">
        <w:rPr>
          <w:sz w:val="27"/>
          <w:rtl/>
        </w:rPr>
        <w:t>اش</w:t>
      </w:r>
      <w:r w:rsidR="001A54A8" w:rsidRPr="006571AC">
        <w:rPr>
          <w:rFonts w:hint="cs"/>
          <w:sz w:val="27"/>
          <w:rtl/>
        </w:rPr>
        <w:t>ِ</w:t>
      </w:r>
      <w:r w:rsidRPr="006571AC">
        <w:rPr>
          <w:sz w:val="27"/>
          <w:rtl/>
        </w:rPr>
        <w:t>ر</w:t>
      </w:r>
      <w:r w:rsidR="001A54A8" w:rsidRPr="006571AC">
        <w:rPr>
          <w:rFonts w:hint="cs"/>
          <w:sz w:val="27"/>
          <w:rtl/>
        </w:rPr>
        <w:t>َ</w:t>
      </w:r>
      <w:r w:rsidRPr="006571AC">
        <w:rPr>
          <w:sz w:val="27"/>
          <w:rtl/>
        </w:rPr>
        <w:t xml:space="preserve"> الأ</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ب</w:t>
      </w:r>
      <w:r w:rsidR="001A54A8" w:rsidRPr="006571AC">
        <w:rPr>
          <w:rFonts w:hint="cs"/>
          <w:sz w:val="27"/>
          <w:rtl/>
        </w:rPr>
        <w:t>ِ</w:t>
      </w:r>
      <w:r w:rsidRPr="006571AC">
        <w:rPr>
          <w:sz w:val="27"/>
          <w:rtl/>
        </w:rPr>
        <w:t>ي</w:t>
      </w:r>
      <w:r w:rsidR="001A54A8" w:rsidRPr="006571AC">
        <w:rPr>
          <w:rFonts w:hint="cs"/>
          <w:sz w:val="27"/>
          <w:rtl/>
        </w:rPr>
        <w:t>َ</w:t>
      </w:r>
      <w:r w:rsidRPr="006571AC">
        <w:rPr>
          <w:sz w:val="27"/>
          <w:rtl/>
        </w:rPr>
        <w:t>اء</w:t>
      </w:r>
      <w:r w:rsidR="001A54A8" w:rsidRPr="006571AC">
        <w:rPr>
          <w:rFonts w:hint="cs"/>
          <w:sz w:val="27"/>
          <w:rtl/>
        </w:rPr>
        <w:t>ِ</w:t>
      </w:r>
      <w:r w:rsidRPr="006571AC">
        <w:rPr>
          <w:sz w:val="27"/>
          <w:rtl/>
        </w:rPr>
        <w:t xml:space="preserve"> أُم</w:t>
      </w:r>
      <w:r w:rsidR="001A54A8" w:rsidRPr="006571AC">
        <w:rPr>
          <w:rFonts w:hint="cs"/>
          <w:sz w:val="27"/>
          <w:rtl/>
        </w:rPr>
        <w:t>ِ</w:t>
      </w:r>
      <w:r w:rsidRPr="006571AC">
        <w:rPr>
          <w:sz w:val="27"/>
          <w:rtl/>
        </w:rPr>
        <w:t>ر</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ا أ</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 xml:space="preserve"> نُك</w:t>
      </w:r>
      <w:r w:rsidR="001A54A8" w:rsidRPr="006571AC">
        <w:rPr>
          <w:rFonts w:hint="cs"/>
          <w:sz w:val="27"/>
          <w:rtl/>
        </w:rPr>
        <w:t>َ</w:t>
      </w:r>
      <w:r w:rsidRPr="006571AC">
        <w:rPr>
          <w:sz w:val="27"/>
          <w:rtl/>
        </w:rPr>
        <w:t>لّ</w:t>
      </w:r>
      <w:r w:rsidR="007B7552" w:rsidRPr="006571AC">
        <w:rPr>
          <w:rFonts w:hint="cs"/>
          <w:sz w:val="27"/>
          <w:rtl/>
        </w:rPr>
        <w:t>ِ</w:t>
      </w:r>
      <w:r w:rsidRPr="006571AC">
        <w:rPr>
          <w:sz w:val="27"/>
          <w:rtl/>
        </w:rPr>
        <w:t>م</w:t>
      </w:r>
      <w:r w:rsidR="001A54A8" w:rsidRPr="006571AC">
        <w:rPr>
          <w:rFonts w:hint="cs"/>
          <w:sz w:val="27"/>
          <w:rtl/>
        </w:rPr>
        <w:t>َ</w:t>
      </w:r>
      <w:r w:rsidRPr="006571AC">
        <w:rPr>
          <w:sz w:val="27"/>
          <w:rtl/>
        </w:rPr>
        <w:t xml:space="preserve"> الن</w:t>
      </w:r>
      <w:r w:rsidR="001A54A8" w:rsidRPr="006571AC">
        <w:rPr>
          <w:rFonts w:hint="cs"/>
          <w:sz w:val="27"/>
          <w:rtl/>
        </w:rPr>
        <w:t>َّ</w:t>
      </w:r>
      <w:r w:rsidRPr="006571AC">
        <w:rPr>
          <w:sz w:val="27"/>
          <w:rtl/>
        </w:rPr>
        <w:t>اس</w:t>
      </w:r>
      <w:r w:rsidR="001A54A8" w:rsidRPr="006571AC">
        <w:rPr>
          <w:rFonts w:hint="cs"/>
          <w:sz w:val="27"/>
          <w:rtl/>
        </w:rPr>
        <w:t>َ</w:t>
      </w:r>
      <w:r w:rsidRPr="006571AC">
        <w:rPr>
          <w:sz w:val="27"/>
          <w:rtl/>
        </w:rPr>
        <w:t xml:space="preserve"> ع</w:t>
      </w:r>
      <w:r w:rsidR="001A54A8" w:rsidRPr="006571AC">
        <w:rPr>
          <w:rFonts w:hint="cs"/>
          <w:sz w:val="27"/>
          <w:rtl/>
        </w:rPr>
        <w:t>َ</w:t>
      </w:r>
      <w:r w:rsidRPr="006571AC">
        <w:rPr>
          <w:sz w:val="27"/>
          <w:rtl/>
        </w:rPr>
        <w:t>ل</w:t>
      </w:r>
      <w:r w:rsidR="001A54A8" w:rsidRPr="006571AC">
        <w:rPr>
          <w:rFonts w:hint="cs"/>
          <w:sz w:val="27"/>
          <w:rtl/>
        </w:rPr>
        <w:t>َ</w:t>
      </w:r>
      <w:r w:rsidRPr="006571AC">
        <w:rPr>
          <w:sz w:val="27"/>
          <w:rtl/>
        </w:rPr>
        <w:t>ى ق</w:t>
      </w:r>
      <w:r w:rsidR="001A54A8" w:rsidRPr="006571AC">
        <w:rPr>
          <w:rFonts w:hint="cs"/>
          <w:sz w:val="27"/>
          <w:rtl/>
        </w:rPr>
        <w:t>َ</w:t>
      </w:r>
      <w:r w:rsidRPr="006571AC">
        <w:rPr>
          <w:sz w:val="27"/>
          <w:rtl/>
        </w:rPr>
        <w:t>د</w:t>
      </w:r>
      <w:r w:rsidR="001A54A8" w:rsidRPr="006571AC">
        <w:rPr>
          <w:rFonts w:hint="cs"/>
          <w:sz w:val="27"/>
          <w:rtl/>
        </w:rPr>
        <w:t>ْ</w:t>
      </w:r>
      <w:r w:rsidRPr="006571AC">
        <w:rPr>
          <w:sz w:val="27"/>
          <w:rtl/>
        </w:rPr>
        <w:t>ر</w:t>
      </w:r>
      <w:r w:rsidR="001A54A8" w:rsidRPr="006571AC">
        <w:rPr>
          <w:rFonts w:hint="cs"/>
          <w:sz w:val="27"/>
          <w:rtl/>
        </w:rPr>
        <w:t>ِ</w:t>
      </w:r>
      <w:r w:rsidRPr="006571AC">
        <w:rPr>
          <w:sz w:val="27"/>
          <w:rtl/>
        </w:rPr>
        <w:t xml:space="preserve"> ع</w:t>
      </w:r>
      <w:r w:rsidR="001A54A8" w:rsidRPr="006571AC">
        <w:rPr>
          <w:rFonts w:hint="cs"/>
          <w:sz w:val="27"/>
          <w:rtl/>
        </w:rPr>
        <w:t>ُ</w:t>
      </w:r>
      <w:r w:rsidRPr="006571AC">
        <w:rPr>
          <w:sz w:val="27"/>
          <w:rtl/>
        </w:rPr>
        <w:t>ق</w:t>
      </w:r>
      <w:r w:rsidR="001A54A8" w:rsidRPr="006571AC">
        <w:rPr>
          <w:rFonts w:hint="cs"/>
          <w:sz w:val="27"/>
          <w:rtl/>
        </w:rPr>
        <w:t>ُ</w:t>
      </w:r>
      <w:r w:rsidRPr="006571AC">
        <w:rPr>
          <w:sz w:val="27"/>
          <w:rtl/>
        </w:rPr>
        <w:t>ول</w:t>
      </w:r>
      <w:r w:rsidR="001A54A8" w:rsidRPr="006571AC">
        <w:rPr>
          <w:rFonts w:hint="cs"/>
          <w:sz w:val="27"/>
          <w:rtl/>
        </w:rPr>
        <w:t>ِ</w:t>
      </w:r>
      <w:r w:rsidRPr="006571AC">
        <w:rPr>
          <w:sz w:val="27"/>
          <w:rtl/>
        </w:rPr>
        <w:t>ه</w:t>
      </w:r>
      <w:r w:rsidR="001A54A8" w:rsidRPr="006571AC">
        <w:rPr>
          <w:rFonts w:hint="cs"/>
          <w:sz w:val="27"/>
          <w:rtl/>
        </w:rPr>
        <w:t>ِ</w:t>
      </w:r>
      <w:r w:rsidRPr="006571AC">
        <w:rPr>
          <w:sz w:val="27"/>
          <w:rtl/>
        </w:rPr>
        <w:t>م</w:t>
      </w:r>
      <w:r w:rsidR="001A54A8" w:rsidRPr="006571AC">
        <w:rPr>
          <w:rFonts w:hint="cs"/>
          <w:sz w:val="27"/>
          <w:rtl/>
        </w:rPr>
        <w:t>ْ</w:t>
      </w:r>
      <w:r w:rsidRPr="006571AC">
        <w:rPr>
          <w:rFonts w:hint="eastAsia"/>
          <w:sz w:val="24"/>
          <w:szCs w:val="24"/>
          <w:rtl/>
        </w:rPr>
        <w:t>»</w:t>
      </w:r>
      <w:r w:rsidRPr="006571AC">
        <w:rPr>
          <w:sz w:val="27"/>
          <w:vertAlign w:val="superscript"/>
          <w:rtl/>
        </w:rPr>
        <w:t>(</w:t>
      </w:r>
      <w:r w:rsidRPr="006571AC">
        <w:rPr>
          <w:sz w:val="27"/>
          <w:vertAlign w:val="superscript"/>
          <w:rtl/>
        </w:rPr>
        <w:endnoteReference w:id="140"/>
      </w:r>
      <w:r w:rsidRPr="006571AC">
        <w:rPr>
          <w:sz w:val="27"/>
          <w:vertAlign w:val="superscript"/>
          <w:rtl/>
        </w:rPr>
        <w:t>)</w:t>
      </w:r>
      <w:r w:rsidRPr="006571AC">
        <w:rPr>
          <w:sz w:val="27"/>
          <w:rtl/>
        </w:rPr>
        <w:t xml:space="preserve">. </w:t>
      </w:r>
    </w:p>
    <w:p w:rsidR="007C76F0" w:rsidRPr="006571AC" w:rsidRDefault="007C76F0" w:rsidP="002521A6">
      <w:pPr>
        <w:spacing w:line="384" w:lineRule="exact"/>
        <w:rPr>
          <w:sz w:val="27"/>
          <w:rtl/>
        </w:rPr>
      </w:pPr>
      <w:r w:rsidRPr="006571AC">
        <w:rPr>
          <w:sz w:val="27"/>
          <w:rtl/>
        </w:rPr>
        <w:t>قال ابن القيّ</w:t>
      </w:r>
      <w:r w:rsidR="007B7552" w:rsidRPr="006571AC">
        <w:rPr>
          <w:rFonts w:hint="cs"/>
          <w:sz w:val="27"/>
          <w:rtl/>
        </w:rPr>
        <w:t>ِ</w:t>
      </w:r>
      <w:r w:rsidRPr="006571AC">
        <w:rPr>
          <w:sz w:val="27"/>
          <w:rtl/>
        </w:rPr>
        <w:t xml:space="preserve">م الجوزيّة: </w:t>
      </w:r>
      <w:r w:rsidRPr="006571AC">
        <w:rPr>
          <w:rFonts w:hint="eastAsia"/>
          <w:sz w:val="24"/>
          <w:szCs w:val="24"/>
          <w:rtl/>
        </w:rPr>
        <w:t>«</w:t>
      </w:r>
      <w:r w:rsidRPr="006571AC">
        <w:rPr>
          <w:sz w:val="27"/>
          <w:rtl/>
        </w:rPr>
        <w:t>كان رسول الله</w:t>
      </w:r>
      <w:r w:rsidR="00DC3B12" w:rsidRPr="006571AC">
        <w:rPr>
          <w:rFonts w:ascii="Mosawi" w:hAnsi="Mosawi" w:cs="Mosawi"/>
          <w:sz w:val="22"/>
          <w:szCs w:val="22"/>
          <w:rtl/>
        </w:rPr>
        <w:t>|</w:t>
      </w:r>
      <w:r w:rsidRPr="006571AC">
        <w:rPr>
          <w:sz w:val="27"/>
          <w:rtl/>
        </w:rPr>
        <w:t xml:space="preserve"> يخطب في كلّ وقت</w:t>
      </w:r>
      <w:r w:rsidR="007B7552" w:rsidRPr="006571AC">
        <w:rPr>
          <w:rFonts w:hint="cs"/>
          <w:sz w:val="27"/>
          <w:rtl/>
        </w:rPr>
        <w:t>ٍ</w:t>
      </w:r>
      <w:r w:rsidRPr="006571AC">
        <w:rPr>
          <w:sz w:val="27"/>
          <w:rtl/>
        </w:rPr>
        <w:t xml:space="preserve"> بما يقتضيه حاجة المخاطبين ومصلحتهم</w:t>
      </w:r>
      <w:r w:rsidRPr="006571AC">
        <w:rPr>
          <w:rFonts w:hint="eastAsia"/>
          <w:sz w:val="24"/>
          <w:szCs w:val="24"/>
          <w:rtl/>
        </w:rPr>
        <w:t>»</w:t>
      </w:r>
      <w:r w:rsidRPr="006571AC">
        <w:rPr>
          <w:sz w:val="27"/>
          <w:vertAlign w:val="superscript"/>
          <w:rtl/>
        </w:rPr>
        <w:t>(</w:t>
      </w:r>
      <w:r w:rsidRPr="006571AC">
        <w:rPr>
          <w:sz w:val="27"/>
          <w:vertAlign w:val="superscript"/>
          <w:rtl/>
        </w:rPr>
        <w:endnoteReference w:id="141"/>
      </w:r>
      <w:r w:rsidRPr="006571AC">
        <w:rPr>
          <w:sz w:val="27"/>
          <w:vertAlign w:val="superscript"/>
          <w:rtl/>
        </w:rPr>
        <w:t>)</w:t>
      </w:r>
      <w:r w:rsidRPr="006571AC">
        <w:rPr>
          <w:sz w:val="27"/>
          <w:rtl/>
        </w:rPr>
        <w:t xml:space="preserve">. </w:t>
      </w:r>
    </w:p>
    <w:p w:rsidR="007C76F0" w:rsidRPr="006571AC" w:rsidRDefault="007C76F0" w:rsidP="002521A6">
      <w:pPr>
        <w:spacing w:line="384" w:lineRule="exact"/>
        <w:rPr>
          <w:sz w:val="27"/>
          <w:rtl/>
        </w:rPr>
      </w:pPr>
      <w:r w:rsidRPr="006571AC">
        <w:rPr>
          <w:sz w:val="27"/>
          <w:rtl/>
        </w:rPr>
        <w:t>وكما قيل: ليس كلّ ما ي</w:t>
      </w:r>
      <w:r w:rsidR="007B7552" w:rsidRPr="006571AC">
        <w:rPr>
          <w:rFonts w:hint="cs"/>
          <w:sz w:val="27"/>
          <w:rtl/>
        </w:rPr>
        <w:t>ُ</w:t>
      </w:r>
      <w:r w:rsidRPr="006571AC">
        <w:rPr>
          <w:sz w:val="27"/>
          <w:rtl/>
        </w:rPr>
        <w:t>ع</w:t>
      </w:r>
      <w:r w:rsidR="007B7552" w:rsidRPr="006571AC">
        <w:rPr>
          <w:rFonts w:hint="cs"/>
          <w:sz w:val="27"/>
          <w:rtl/>
        </w:rPr>
        <w:t>ْ</w:t>
      </w:r>
      <w:r w:rsidRPr="006571AC">
        <w:rPr>
          <w:sz w:val="27"/>
          <w:rtl/>
        </w:rPr>
        <w:t>ر</w:t>
      </w:r>
      <w:r w:rsidR="007B7552" w:rsidRPr="006571AC">
        <w:rPr>
          <w:rFonts w:hint="cs"/>
          <w:sz w:val="27"/>
          <w:rtl/>
        </w:rPr>
        <w:t>َ</w:t>
      </w:r>
      <w:r w:rsidRPr="006571AC">
        <w:rPr>
          <w:sz w:val="27"/>
          <w:rtl/>
        </w:rPr>
        <w:t>ف ي</w:t>
      </w:r>
      <w:r w:rsidR="007B7552" w:rsidRPr="006571AC">
        <w:rPr>
          <w:rFonts w:hint="cs"/>
          <w:sz w:val="27"/>
          <w:rtl/>
        </w:rPr>
        <w:t>ُ</w:t>
      </w:r>
      <w:r w:rsidRPr="006571AC">
        <w:rPr>
          <w:sz w:val="27"/>
          <w:rtl/>
        </w:rPr>
        <w:t>قال، وليس كلّ ما ي</w:t>
      </w:r>
      <w:r w:rsidR="007B7552" w:rsidRPr="006571AC">
        <w:rPr>
          <w:rFonts w:hint="cs"/>
          <w:sz w:val="27"/>
          <w:rtl/>
        </w:rPr>
        <w:t>ُ</w:t>
      </w:r>
      <w:r w:rsidRPr="006571AC">
        <w:rPr>
          <w:sz w:val="27"/>
          <w:rtl/>
        </w:rPr>
        <w:t>قال حضر أهله، وليس كلّ ما حضر أهله حان وقته، وليس كلّ ما حان وقته صح</w:t>
      </w:r>
      <w:r w:rsidR="007B7552" w:rsidRPr="006571AC">
        <w:rPr>
          <w:rFonts w:hint="cs"/>
          <w:sz w:val="27"/>
          <w:rtl/>
        </w:rPr>
        <w:t>ّ</w:t>
      </w:r>
      <w:r w:rsidRPr="006571AC">
        <w:rPr>
          <w:sz w:val="27"/>
          <w:rtl/>
        </w:rPr>
        <w:t xml:space="preserve"> قوله. </w:t>
      </w:r>
    </w:p>
    <w:p w:rsidR="007C76F0" w:rsidRPr="006571AC" w:rsidRDefault="007C76F0" w:rsidP="002521A6">
      <w:pPr>
        <w:spacing w:line="384" w:lineRule="exact"/>
        <w:rPr>
          <w:sz w:val="27"/>
          <w:rtl/>
        </w:rPr>
      </w:pPr>
      <w:r w:rsidRPr="006571AC">
        <w:rPr>
          <w:sz w:val="27"/>
          <w:rtl/>
        </w:rPr>
        <w:t>إنّ المسألة لا تكمن فقط في أنّ القول صحيح</w:t>
      </w:r>
      <w:r w:rsidR="007B7552" w:rsidRPr="006571AC">
        <w:rPr>
          <w:rFonts w:hint="cs"/>
          <w:sz w:val="27"/>
          <w:rtl/>
        </w:rPr>
        <w:t>ٌ</w:t>
      </w:r>
      <w:r w:rsidRPr="006571AC">
        <w:rPr>
          <w:sz w:val="27"/>
          <w:rtl/>
        </w:rPr>
        <w:t xml:space="preserve"> أم لا</w:t>
      </w:r>
      <w:r w:rsidR="007B7552" w:rsidRPr="006571AC">
        <w:rPr>
          <w:rFonts w:hint="cs"/>
          <w:sz w:val="27"/>
          <w:rtl/>
        </w:rPr>
        <w:t>؛</w:t>
      </w:r>
      <w:r w:rsidRPr="006571AC">
        <w:rPr>
          <w:sz w:val="27"/>
          <w:rtl/>
        </w:rPr>
        <w:t xml:space="preserve"> فقد يكون صحيحاً لكن</w:t>
      </w:r>
      <w:r w:rsidR="007B7552" w:rsidRPr="006571AC">
        <w:rPr>
          <w:rFonts w:hint="cs"/>
          <w:sz w:val="27"/>
          <w:rtl/>
        </w:rPr>
        <w:t>ّ</w:t>
      </w:r>
      <w:r w:rsidRPr="006571AC">
        <w:rPr>
          <w:sz w:val="27"/>
          <w:rtl/>
        </w:rPr>
        <w:t xml:space="preserve"> توقيت الطرح قد يكون غير مناسب</w:t>
      </w:r>
      <w:r w:rsidR="007B7552" w:rsidRPr="006571AC">
        <w:rPr>
          <w:rFonts w:hint="cs"/>
          <w:sz w:val="27"/>
          <w:rtl/>
        </w:rPr>
        <w:t>ٍ</w:t>
      </w:r>
      <w:r w:rsidRPr="006571AC">
        <w:rPr>
          <w:sz w:val="27"/>
          <w:rtl/>
        </w:rPr>
        <w:t>، فيصبح الخطاب ضارّاً ب</w:t>
      </w:r>
      <w:r w:rsidR="007B7552" w:rsidRPr="006571AC">
        <w:rPr>
          <w:rFonts w:hint="cs"/>
          <w:sz w:val="27"/>
          <w:rtl/>
        </w:rPr>
        <w:t>َ</w:t>
      </w:r>
      <w:r w:rsidRPr="006571AC">
        <w:rPr>
          <w:sz w:val="27"/>
          <w:rtl/>
        </w:rPr>
        <w:t>د</w:t>
      </w:r>
      <w:r w:rsidR="007B7552" w:rsidRPr="006571AC">
        <w:rPr>
          <w:rFonts w:hint="cs"/>
          <w:sz w:val="27"/>
          <w:rtl/>
        </w:rPr>
        <w:t>َ</w:t>
      </w:r>
      <w:r w:rsidRPr="006571AC">
        <w:rPr>
          <w:sz w:val="27"/>
          <w:rtl/>
        </w:rPr>
        <w:t xml:space="preserve">ل أن يكون نافعاً. </w:t>
      </w:r>
    </w:p>
    <w:p w:rsidR="007C76F0" w:rsidRPr="006571AC" w:rsidRDefault="007C76F0" w:rsidP="00F83E2D">
      <w:pPr>
        <w:rPr>
          <w:sz w:val="27"/>
          <w:rtl/>
        </w:rPr>
      </w:pPr>
    </w:p>
    <w:p w:rsidR="007C76F0" w:rsidRPr="006571AC" w:rsidRDefault="007C76F0" w:rsidP="006C79DA">
      <w:pPr>
        <w:pStyle w:val="31"/>
        <w:rPr>
          <w:color w:val="auto"/>
          <w:rtl/>
        </w:rPr>
      </w:pPr>
      <w:bookmarkStart w:id="68" w:name="_Toc114164557"/>
      <w:r w:rsidRPr="006571AC">
        <w:rPr>
          <w:color w:val="auto"/>
          <w:rtl/>
        </w:rPr>
        <w:t>الاستجابة للميول الشعبي</w:t>
      </w:r>
      <w:r w:rsidR="0089109D" w:rsidRPr="006571AC">
        <w:rPr>
          <w:rFonts w:hint="cs"/>
          <w:color w:val="auto"/>
          <w:rtl/>
        </w:rPr>
        <w:t>ّ</w:t>
      </w:r>
      <w:r w:rsidRPr="006571AC">
        <w:rPr>
          <w:color w:val="auto"/>
          <w:rtl/>
        </w:rPr>
        <w:t>ة</w:t>
      </w:r>
      <w:bookmarkEnd w:id="68"/>
    </w:p>
    <w:p w:rsidR="007C76F0" w:rsidRPr="006571AC" w:rsidRDefault="007C76F0" w:rsidP="002521A6">
      <w:pPr>
        <w:spacing w:line="384" w:lineRule="exact"/>
        <w:rPr>
          <w:sz w:val="27"/>
          <w:rtl/>
        </w:rPr>
      </w:pPr>
      <w:r w:rsidRPr="006571AC">
        <w:rPr>
          <w:sz w:val="27"/>
          <w:rtl/>
        </w:rPr>
        <w:t>ليس خطأ</w:t>
      </w:r>
      <w:r w:rsidR="007B7552" w:rsidRPr="006571AC">
        <w:rPr>
          <w:rFonts w:hint="cs"/>
          <w:sz w:val="27"/>
          <w:rtl/>
        </w:rPr>
        <w:t>ً</w:t>
      </w:r>
      <w:r w:rsidRPr="006571AC">
        <w:rPr>
          <w:sz w:val="27"/>
          <w:rtl/>
        </w:rPr>
        <w:t xml:space="preserve"> أن يفك</w:t>
      </w:r>
      <w:r w:rsidR="007B7552" w:rsidRPr="006571AC">
        <w:rPr>
          <w:rFonts w:hint="cs"/>
          <w:sz w:val="27"/>
          <w:rtl/>
        </w:rPr>
        <w:t>ِّ</w:t>
      </w:r>
      <w:r w:rsidRPr="006571AC">
        <w:rPr>
          <w:sz w:val="27"/>
          <w:rtl/>
        </w:rPr>
        <w:t>ر الخطيب في استقطاب الجمهور ون</w:t>
      </w:r>
      <w:r w:rsidR="007B7552" w:rsidRPr="006571AC">
        <w:rPr>
          <w:rFonts w:hint="cs"/>
          <w:sz w:val="27"/>
          <w:rtl/>
        </w:rPr>
        <w:t>َ</w:t>
      </w:r>
      <w:r w:rsidRPr="006571AC">
        <w:rPr>
          <w:sz w:val="27"/>
          <w:rtl/>
        </w:rPr>
        <w:t>ي</w:t>
      </w:r>
      <w:r w:rsidR="007B7552" w:rsidRPr="006571AC">
        <w:rPr>
          <w:rFonts w:hint="cs"/>
          <w:sz w:val="27"/>
          <w:rtl/>
        </w:rPr>
        <w:t>ْ</w:t>
      </w:r>
      <w:r w:rsidRPr="006571AC">
        <w:rPr>
          <w:sz w:val="27"/>
          <w:rtl/>
        </w:rPr>
        <w:t>ل رضاه، ليحضروا خطابه، وليتفاعلوا مع أطروحاته، بل هو أمر</w:t>
      </w:r>
      <w:r w:rsidR="007B7552" w:rsidRPr="006571AC">
        <w:rPr>
          <w:rFonts w:hint="cs"/>
          <w:sz w:val="27"/>
          <w:rtl/>
        </w:rPr>
        <w:t>ٌ</w:t>
      </w:r>
      <w:r w:rsidRPr="006571AC">
        <w:rPr>
          <w:sz w:val="27"/>
          <w:rtl/>
        </w:rPr>
        <w:t xml:space="preserve"> مطلوب، وذلك يتم</w:t>
      </w:r>
      <w:r w:rsidR="007B7552" w:rsidRPr="006571AC">
        <w:rPr>
          <w:rFonts w:hint="cs"/>
          <w:sz w:val="27"/>
          <w:rtl/>
        </w:rPr>
        <w:t>ّ</w:t>
      </w:r>
      <w:r w:rsidRPr="006571AC">
        <w:rPr>
          <w:sz w:val="27"/>
          <w:rtl/>
        </w:rPr>
        <w:t xml:space="preserve"> عبر معالجة همومهم وقضاياهم، واختيار اللغة الجاذبة، والأسلوب المؤث</w:t>
      </w:r>
      <w:r w:rsidR="007B7552" w:rsidRPr="006571AC">
        <w:rPr>
          <w:rFonts w:hint="cs"/>
          <w:sz w:val="27"/>
          <w:rtl/>
        </w:rPr>
        <w:t>ِّ</w:t>
      </w:r>
      <w:r w:rsidRPr="006571AC">
        <w:rPr>
          <w:sz w:val="27"/>
          <w:rtl/>
        </w:rPr>
        <w:t>ر</w:t>
      </w:r>
      <w:r w:rsidR="007B7552" w:rsidRPr="006571AC">
        <w:rPr>
          <w:rFonts w:hint="cs"/>
          <w:sz w:val="27"/>
          <w:rtl/>
        </w:rPr>
        <w:t>.</w:t>
      </w:r>
      <w:r w:rsidRPr="006571AC">
        <w:rPr>
          <w:sz w:val="27"/>
          <w:rtl/>
        </w:rPr>
        <w:t xml:space="preserve"> لكن</w:t>
      </w:r>
      <w:r w:rsidR="007B7552" w:rsidRPr="006571AC">
        <w:rPr>
          <w:rFonts w:hint="cs"/>
          <w:sz w:val="27"/>
          <w:rtl/>
        </w:rPr>
        <w:t>ْ</w:t>
      </w:r>
      <w:r w:rsidRPr="006571AC">
        <w:rPr>
          <w:sz w:val="27"/>
          <w:rtl/>
        </w:rPr>
        <w:t xml:space="preserve"> يفترض أن تكون للخطيب رسالة</w:t>
      </w:r>
      <w:r w:rsidR="007B7552" w:rsidRPr="006571AC">
        <w:rPr>
          <w:rFonts w:hint="cs"/>
          <w:sz w:val="27"/>
          <w:rtl/>
        </w:rPr>
        <w:t>ٌ</w:t>
      </w:r>
      <w:r w:rsidRPr="006571AC">
        <w:rPr>
          <w:sz w:val="27"/>
          <w:rtl/>
        </w:rPr>
        <w:t xml:space="preserve"> يريد إيصالها للجمهور، وأن تكون لديه رؤية</w:t>
      </w:r>
      <w:r w:rsidR="007B7552" w:rsidRPr="006571AC">
        <w:rPr>
          <w:rFonts w:hint="cs"/>
          <w:sz w:val="27"/>
          <w:rtl/>
        </w:rPr>
        <w:t>ٌ</w:t>
      </w:r>
      <w:r w:rsidRPr="006571AC">
        <w:rPr>
          <w:sz w:val="27"/>
          <w:rtl/>
        </w:rPr>
        <w:t xml:space="preserve"> من و</w:t>
      </w:r>
      <w:r w:rsidR="007B7552" w:rsidRPr="006571AC">
        <w:rPr>
          <w:rFonts w:hint="cs"/>
          <w:sz w:val="27"/>
          <w:rtl/>
        </w:rPr>
        <w:t>َ</w:t>
      </w:r>
      <w:r w:rsidRPr="006571AC">
        <w:rPr>
          <w:sz w:val="27"/>
          <w:rtl/>
        </w:rPr>
        <w:t>ح</w:t>
      </w:r>
      <w:r w:rsidR="007B7552" w:rsidRPr="006571AC">
        <w:rPr>
          <w:rFonts w:hint="cs"/>
          <w:sz w:val="27"/>
          <w:rtl/>
        </w:rPr>
        <w:t>ْ</w:t>
      </w:r>
      <w:r w:rsidRPr="006571AC">
        <w:rPr>
          <w:sz w:val="27"/>
          <w:rtl/>
        </w:rPr>
        <w:t>ي التزامه بضوابط المسؤولية، لا أن يكون الاستقطاب ه</w:t>
      </w:r>
      <w:r w:rsidR="00FE3128" w:rsidRPr="006571AC">
        <w:rPr>
          <w:rFonts w:hint="cs"/>
          <w:sz w:val="27"/>
          <w:rtl/>
        </w:rPr>
        <w:t>َ</w:t>
      </w:r>
      <w:r w:rsidRPr="006571AC">
        <w:rPr>
          <w:sz w:val="27"/>
          <w:rtl/>
        </w:rPr>
        <w:t>د</w:t>
      </w:r>
      <w:r w:rsidR="00FE3128" w:rsidRPr="006571AC">
        <w:rPr>
          <w:rFonts w:hint="cs"/>
          <w:sz w:val="27"/>
          <w:rtl/>
        </w:rPr>
        <w:t>َ</w:t>
      </w:r>
      <w:r w:rsidRPr="006571AC">
        <w:rPr>
          <w:sz w:val="27"/>
          <w:rtl/>
        </w:rPr>
        <w:t>فاً بحدّ ذاته</w:t>
      </w:r>
      <w:r w:rsidR="001F1BD7" w:rsidRPr="006571AC">
        <w:rPr>
          <w:rFonts w:hint="cs"/>
          <w:sz w:val="27"/>
          <w:rtl/>
        </w:rPr>
        <w:t>؛</w:t>
      </w:r>
      <w:r w:rsidRPr="006571AC">
        <w:rPr>
          <w:sz w:val="27"/>
          <w:rtl/>
        </w:rPr>
        <w:t xml:space="preserve"> لتحقيق البروز، أو ك</w:t>
      </w:r>
      <w:r w:rsidR="00FE3128" w:rsidRPr="006571AC">
        <w:rPr>
          <w:rFonts w:hint="cs"/>
          <w:sz w:val="27"/>
          <w:rtl/>
        </w:rPr>
        <w:t>َ</w:t>
      </w:r>
      <w:r w:rsidRPr="006571AC">
        <w:rPr>
          <w:sz w:val="27"/>
          <w:rtl/>
        </w:rPr>
        <w:t>س</w:t>
      </w:r>
      <w:r w:rsidR="00FE3128" w:rsidRPr="006571AC">
        <w:rPr>
          <w:rFonts w:hint="cs"/>
          <w:sz w:val="27"/>
          <w:rtl/>
        </w:rPr>
        <w:t>ْ</w:t>
      </w:r>
      <w:r w:rsidRPr="006571AC">
        <w:rPr>
          <w:sz w:val="27"/>
          <w:rtl/>
        </w:rPr>
        <w:t xml:space="preserve">ب الجاه والنفوذ، وتحصيل المصالح، وليس الهدف إمتاع الجمهور، بل توعيته وتوجيهه. </w:t>
      </w:r>
    </w:p>
    <w:p w:rsidR="007C76F0" w:rsidRPr="006571AC" w:rsidRDefault="007C76F0" w:rsidP="002521A6">
      <w:pPr>
        <w:spacing w:line="384" w:lineRule="exact"/>
        <w:rPr>
          <w:sz w:val="27"/>
          <w:rtl/>
        </w:rPr>
      </w:pPr>
      <w:r w:rsidRPr="006571AC">
        <w:rPr>
          <w:sz w:val="27"/>
          <w:rtl/>
        </w:rPr>
        <w:t>ورد عن الإمام جعفر الصادق</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الشيعة ثلاث: محبّ</w:t>
      </w:r>
      <w:r w:rsidR="00FE3128" w:rsidRPr="006571AC">
        <w:rPr>
          <w:rFonts w:hint="cs"/>
          <w:sz w:val="27"/>
          <w:rtl/>
        </w:rPr>
        <w:t>ٌ</w:t>
      </w:r>
      <w:r w:rsidRPr="006571AC">
        <w:rPr>
          <w:sz w:val="27"/>
          <w:rtl/>
        </w:rPr>
        <w:t xml:space="preserve"> وادّ، فهو منّا</w:t>
      </w:r>
      <w:r w:rsidR="001F1BD7" w:rsidRPr="006571AC">
        <w:rPr>
          <w:rFonts w:hint="cs"/>
          <w:sz w:val="27"/>
          <w:rtl/>
        </w:rPr>
        <w:t>؛</w:t>
      </w:r>
      <w:r w:rsidRPr="006571AC">
        <w:rPr>
          <w:sz w:val="27"/>
          <w:rtl/>
        </w:rPr>
        <w:t xml:space="preserve"> ومتزيّ</w:t>
      </w:r>
      <w:r w:rsidR="001F1BD7" w:rsidRPr="006571AC">
        <w:rPr>
          <w:rFonts w:hint="cs"/>
          <w:sz w:val="27"/>
          <w:rtl/>
        </w:rPr>
        <w:t>ِ</w:t>
      </w:r>
      <w:r w:rsidRPr="006571AC">
        <w:rPr>
          <w:sz w:val="27"/>
          <w:rtl/>
        </w:rPr>
        <w:t>ن</w:t>
      </w:r>
      <w:r w:rsidR="00FE3128" w:rsidRPr="006571AC">
        <w:rPr>
          <w:rFonts w:hint="cs"/>
          <w:sz w:val="27"/>
          <w:rtl/>
        </w:rPr>
        <w:t>ٌ</w:t>
      </w:r>
      <w:r w:rsidRPr="006571AC">
        <w:rPr>
          <w:sz w:val="27"/>
          <w:rtl/>
        </w:rPr>
        <w:t xml:space="preserve"> بنا، ونحن ز</w:t>
      </w:r>
      <w:r w:rsidR="00FE3128" w:rsidRPr="006571AC">
        <w:rPr>
          <w:rFonts w:hint="cs"/>
          <w:sz w:val="27"/>
          <w:rtl/>
        </w:rPr>
        <w:t>َ</w:t>
      </w:r>
      <w:r w:rsidRPr="006571AC">
        <w:rPr>
          <w:sz w:val="27"/>
          <w:rtl/>
        </w:rPr>
        <w:t>ي</w:t>
      </w:r>
      <w:r w:rsidR="00FE3128" w:rsidRPr="006571AC">
        <w:rPr>
          <w:rFonts w:hint="cs"/>
          <w:sz w:val="27"/>
          <w:rtl/>
        </w:rPr>
        <w:t>ْ</w:t>
      </w:r>
      <w:r w:rsidRPr="006571AC">
        <w:rPr>
          <w:sz w:val="27"/>
          <w:rtl/>
        </w:rPr>
        <w:t>ن</w:t>
      </w:r>
      <w:r w:rsidR="001F1BD7" w:rsidRPr="006571AC">
        <w:rPr>
          <w:rFonts w:hint="cs"/>
          <w:sz w:val="27"/>
          <w:rtl/>
        </w:rPr>
        <w:t>ٌ</w:t>
      </w:r>
      <w:r w:rsidRPr="006571AC">
        <w:rPr>
          <w:sz w:val="27"/>
          <w:rtl/>
        </w:rPr>
        <w:t xml:space="preserve"> لم</w:t>
      </w:r>
      <w:r w:rsidR="001F1BD7" w:rsidRPr="006571AC">
        <w:rPr>
          <w:rFonts w:hint="cs"/>
          <w:sz w:val="27"/>
          <w:rtl/>
        </w:rPr>
        <w:t>َ</w:t>
      </w:r>
      <w:r w:rsidRPr="006571AC">
        <w:rPr>
          <w:sz w:val="27"/>
          <w:rtl/>
        </w:rPr>
        <w:t>ن</w:t>
      </w:r>
      <w:r w:rsidR="001F1BD7" w:rsidRPr="006571AC">
        <w:rPr>
          <w:rFonts w:hint="cs"/>
          <w:sz w:val="27"/>
          <w:rtl/>
        </w:rPr>
        <w:t>ْ</w:t>
      </w:r>
      <w:r w:rsidRPr="006571AC">
        <w:rPr>
          <w:sz w:val="27"/>
          <w:rtl/>
        </w:rPr>
        <w:t xml:space="preserve"> تزيّ</w:t>
      </w:r>
      <w:r w:rsidR="001F1BD7" w:rsidRPr="006571AC">
        <w:rPr>
          <w:rFonts w:hint="cs"/>
          <w:sz w:val="27"/>
          <w:rtl/>
        </w:rPr>
        <w:t>َ</w:t>
      </w:r>
      <w:r w:rsidRPr="006571AC">
        <w:rPr>
          <w:sz w:val="27"/>
          <w:rtl/>
        </w:rPr>
        <w:t>ن بنا</w:t>
      </w:r>
      <w:r w:rsidR="001F1BD7" w:rsidRPr="006571AC">
        <w:rPr>
          <w:rFonts w:hint="cs"/>
          <w:sz w:val="27"/>
          <w:rtl/>
        </w:rPr>
        <w:t>؛</w:t>
      </w:r>
      <w:r w:rsidRPr="006571AC">
        <w:rPr>
          <w:sz w:val="27"/>
          <w:rtl/>
        </w:rPr>
        <w:t xml:space="preserve"> ومستأكل</w:t>
      </w:r>
      <w:r w:rsidR="001F1BD7" w:rsidRPr="006571AC">
        <w:rPr>
          <w:rFonts w:hint="cs"/>
          <w:sz w:val="27"/>
          <w:rtl/>
        </w:rPr>
        <w:t>ٌ</w:t>
      </w:r>
      <w:r w:rsidRPr="006571AC">
        <w:rPr>
          <w:sz w:val="27"/>
          <w:rtl/>
        </w:rPr>
        <w:t xml:space="preserve"> بنا الناس، وم</w:t>
      </w:r>
      <w:r w:rsidR="001F1BD7" w:rsidRPr="006571AC">
        <w:rPr>
          <w:rFonts w:hint="cs"/>
          <w:sz w:val="27"/>
          <w:rtl/>
        </w:rPr>
        <w:t>َ</w:t>
      </w:r>
      <w:r w:rsidRPr="006571AC">
        <w:rPr>
          <w:sz w:val="27"/>
          <w:rtl/>
        </w:rPr>
        <w:t>ن</w:t>
      </w:r>
      <w:r w:rsidR="001F1BD7" w:rsidRPr="006571AC">
        <w:rPr>
          <w:rFonts w:hint="cs"/>
          <w:sz w:val="27"/>
          <w:rtl/>
        </w:rPr>
        <w:t>ْ</w:t>
      </w:r>
      <w:r w:rsidRPr="006571AC">
        <w:rPr>
          <w:sz w:val="27"/>
          <w:rtl/>
        </w:rPr>
        <w:t xml:space="preserve"> استأكل بنا افتقر</w:t>
      </w:r>
      <w:r w:rsidRPr="006571AC">
        <w:rPr>
          <w:rFonts w:hint="eastAsia"/>
          <w:sz w:val="24"/>
          <w:szCs w:val="24"/>
          <w:rtl/>
        </w:rPr>
        <w:t>»</w:t>
      </w:r>
      <w:r w:rsidRPr="006571AC">
        <w:rPr>
          <w:sz w:val="27"/>
          <w:vertAlign w:val="superscript"/>
          <w:rtl/>
        </w:rPr>
        <w:t>(</w:t>
      </w:r>
      <w:r w:rsidRPr="006571AC">
        <w:rPr>
          <w:sz w:val="27"/>
          <w:vertAlign w:val="superscript"/>
          <w:rtl/>
        </w:rPr>
        <w:endnoteReference w:id="142"/>
      </w:r>
      <w:r w:rsidRPr="006571AC">
        <w:rPr>
          <w:sz w:val="27"/>
          <w:vertAlign w:val="superscript"/>
          <w:rtl/>
        </w:rPr>
        <w:t>)</w:t>
      </w:r>
      <w:r w:rsidRPr="006571AC">
        <w:rPr>
          <w:sz w:val="27"/>
          <w:rtl/>
        </w:rPr>
        <w:t xml:space="preserve">. </w:t>
      </w:r>
    </w:p>
    <w:p w:rsidR="007C76F0" w:rsidRPr="006571AC" w:rsidRDefault="001F1BD7" w:rsidP="002521A6">
      <w:pPr>
        <w:spacing w:line="384" w:lineRule="exact"/>
        <w:rPr>
          <w:sz w:val="27"/>
          <w:rtl/>
        </w:rPr>
      </w:pPr>
      <w:r w:rsidRPr="006571AC">
        <w:rPr>
          <w:rFonts w:hint="cs"/>
          <w:sz w:val="27"/>
          <w:rtl/>
        </w:rPr>
        <w:t>و</w:t>
      </w:r>
      <w:r w:rsidR="007C76F0" w:rsidRPr="006571AC">
        <w:rPr>
          <w:sz w:val="27"/>
          <w:rtl/>
        </w:rPr>
        <w:t>يحذ</w:t>
      </w:r>
      <w:r w:rsidRPr="006571AC">
        <w:rPr>
          <w:rFonts w:hint="cs"/>
          <w:sz w:val="27"/>
          <w:rtl/>
        </w:rPr>
        <w:t>ِّ</w:t>
      </w:r>
      <w:r w:rsidR="007C76F0" w:rsidRPr="006571AC">
        <w:rPr>
          <w:sz w:val="27"/>
          <w:rtl/>
        </w:rPr>
        <w:t>ر الحديث من الارتزاق بذكر أهل البيت</w:t>
      </w:r>
      <w:r w:rsidR="00DC3B12" w:rsidRPr="006571AC">
        <w:rPr>
          <w:rFonts w:ascii="Mosawi" w:hAnsi="Mosawi" w:cs="Mosawi"/>
          <w:sz w:val="22"/>
          <w:szCs w:val="22"/>
          <w:rtl/>
        </w:rPr>
        <w:t>^</w:t>
      </w:r>
      <w:r w:rsidR="007C76F0" w:rsidRPr="006571AC">
        <w:rPr>
          <w:sz w:val="27"/>
          <w:rtl/>
        </w:rPr>
        <w:t>، فهو رسالة</w:t>
      </w:r>
      <w:r w:rsidRPr="006571AC">
        <w:rPr>
          <w:rFonts w:hint="cs"/>
          <w:sz w:val="27"/>
          <w:rtl/>
        </w:rPr>
        <w:t>ٌ،</w:t>
      </w:r>
      <w:r w:rsidR="007C76F0" w:rsidRPr="006571AC">
        <w:rPr>
          <w:sz w:val="27"/>
          <w:rtl/>
        </w:rPr>
        <w:t xml:space="preserve"> وليس مصدر رزق، أو دك</w:t>
      </w:r>
      <w:r w:rsidR="00FE3128" w:rsidRPr="006571AC">
        <w:rPr>
          <w:rFonts w:hint="cs"/>
          <w:sz w:val="27"/>
          <w:rtl/>
        </w:rPr>
        <w:t>ّ</w:t>
      </w:r>
      <w:r w:rsidR="007C76F0" w:rsidRPr="006571AC">
        <w:rPr>
          <w:sz w:val="27"/>
          <w:rtl/>
        </w:rPr>
        <w:t>ان تجارة، وم</w:t>
      </w:r>
      <w:r w:rsidRPr="006571AC">
        <w:rPr>
          <w:rFonts w:hint="cs"/>
          <w:sz w:val="27"/>
          <w:rtl/>
        </w:rPr>
        <w:t>َ</w:t>
      </w:r>
      <w:r w:rsidR="007C76F0" w:rsidRPr="006571AC">
        <w:rPr>
          <w:sz w:val="27"/>
          <w:rtl/>
        </w:rPr>
        <w:t>ن</w:t>
      </w:r>
      <w:r w:rsidRPr="006571AC">
        <w:rPr>
          <w:rFonts w:hint="cs"/>
          <w:sz w:val="27"/>
          <w:rtl/>
        </w:rPr>
        <w:t>ْ</w:t>
      </w:r>
      <w:r w:rsidR="007C76F0" w:rsidRPr="006571AC">
        <w:rPr>
          <w:sz w:val="27"/>
          <w:rtl/>
        </w:rPr>
        <w:t xml:space="preserve"> تعامل مع ذكر أهل البيت بهذه الطريقة فإنه يصاب بالفقر، وقد لا يكون الفقر الماد</w:t>
      </w:r>
      <w:r w:rsidRPr="006571AC">
        <w:rPr>
          <w:rFonts w:hint="cs"/>
          <w:sz w:val="27"/>
          <w:rtl/>
        </w:rPr>
        <w:t>ّ</w:t>
      </w:r>
      <w:r w:rsidR="007C76F0" w:rsidRPr="006571AC">
        <w:rPr>
          <w:sz w:val="27"/>
          <w:rtl/>
        </w:rPr>
        <w:t>ي، بل الفقر المعنوي، أو الفقر الأخروي، لذلك لا يصح</w:t>
      </w:r>
      <w:r w:rsidRPr="006571AC">
        <w:rPr>
          <w:rFonts w:hint="cs"/>
          <w:sz w:val="27"/>
          <w:rtl/>
        </w:rPr>
        <w:t>ّ</w:t>
      </w:r>
      <w:r w:rsidR="007C76F0" w:rsidRPr="006571AC">
        <w:rPr>
          <w:sz w:val="27"/>
          <w:rtl/>
        </w:rPr>
        <w:t xml:space="preserve"> أن يكون الهم</w:t>
      </w:r>
      <w:r w:rsidRPr="006571AC">
        <w:rPr>
          <w:rFonts w:hint="cs"/>
          <w:sz w:val="27"/>
          <w:rtl/>
        </w:rPr>
        <w:t>ّ</w:t>
      </w:r>
      <w:r w:rsidR="007C76F0" w:rsidRPr="006571AC">
        <w:rPr>
          <w:sz w:val="27"/>
          <w:rtl/>
        </w:rPr>
        <w:t xml:space="preserve"> الأو</w:t>
      </w:r>
      <w:r w:rsidRPr="006571AC">
        <w:rPr>
          <w:rFonts w:hint="cs"/>
          <w:sz w:val="27"/>
          <w:rtl/>
        </w:rPr>
        <w:t>ّ</w:t>
      </w:r>
      <w:r w:rsidR="007C76F0" w:rsidRPr="006571AC">
        <w:rPr>
          <w:sz w:val="27"/>
          <w:rtl/>
        </w:rPr>
        <w:t xml:space="preserve">ل للخطيب هو الحصول على المال أو النفوذ الاجتماعي. </w:t>
      </w:r>
    </w:p>
    <w:p w:rsidR="007C76F0" w:rsidRPr="006571AC" w:rsidRDefault="007C76F0" w:rsidP="00F83E2D">
      <w:pPr>
        <w:rPr>
          <w:sz w:val="27"/>
          <w:rtl/>
        </w:rPr>
      </w:pPr>
    </w:p>
    <w:p w:rsidR="007C76F0" w:rsidRPr="006571AC" w:rsidRDefault="007C76F0" w:rsidP="006C79DA">
      <w:pPr>
        <w:pStyle w:val="31"/>
        <w:rPr>
          <w:color w:val="auto"/>
          <w:rtl/>
        </w:rPr>
      </w:pPr>
      <w:bookmarkStart w:id="69" w:name="_Toc114164558"/>
      <w:r w:rsidRPr="006571AC">
        <w:rPr>
          <w:color w:val="auto"/>
          <w:rtl/>
        </w:rPr>
        <w:t>ماذا تعني الشعبوي</w:t>
      </w:r>
      <w:r w:rsidR="0089109D" w:rsidRPr="006571AC">
        <w:rPr>
          <w:rFonts w:hint="cs"/>
          <w:color w:val="auto"/>
          <w:rtl/>
        </w:rPr>
        <w:t>ّ</w:t>
      </w:r>
      <w:r w:rsidRPr="006571AC">
        <w:rPr>
          <w:color w:val="auto"/>
          <w:rtl/>
        </w:rPr>
        <w:t>ة؟</w:t>
      </w:r>
      <w:bookmarkEnd w:id="69"/>
      <w:r w:rsidRPr="006571AC">
        <w:rPr>
          <w:color w:val="auto"/>
          <w:rtl/>
        </w:rPr>
        <w:t xml:space="preserve"> </w:t>
      </w:r>
    </w:p>
    <w:p w:rsidR="007C76F0" w:rsidRPr="006571AC" w:rsidRDefault="007C76F0" w:rsidP="00F22B89">
      <w:pPr>
        <w:rPr>
          <w:sz w:val="27"/>
          <w:rtl/>
        </w:rPr>
      </w:pPr>
      <w:r w:rsidRPr="006571AC">
        <w:rPr>
          <w:sz w:val="27"/>
          <w:rtl/>
        </w:rPr>
        <w:t>يحد</w:t>
      </w:r>
      <w:r w:rsidR="001F1BD7" w:rsidRPr="006571AC">
        <w:rPr>
          <w:rFonts w:hint="cs"/>
          <w:sz w:val="27"/>
          <w:rtl/>
        </w:rPr>
        <w:t>ِّ</w:t>
      </w:r>
      <w:r w:rsidRPr="006571AC">
        <w:rPr>
          <w:sz w:val="27"/>
          <w:rtl/>
        </w:rPr>
        <w:t>د قاموس (بوتي روبير)</w:t>
      </w:r>
      <w:r w:rsidR="001F1BD7" w:rsidRPr="006571AC">
        <w:rPr>
          <w:rFonts w:hint="cs"/>
          <w:sz w:val="27"/>
          <w:rtl/>
        </w:rPr>
        <w:t>،</w:t>
      </w:r>
      <w:r w:rsidRPr="006571AC">
        <w:rPr>
          <w:sz w:val="27"/>
          <w:rtl/>
        </w:rPr>
        <w:t xml:space="preserve"> طبعة عام 2013م</w:t>
      </w:r>
      <w:r w:rsidR="001F1BD7" w:rsidRPr="006571AC">
        <w:rPr>
          <w:rFonts w:hint="cs"/>
          <w:sz w:val="27"/>
          <w:rtl/>
        </w:rPr>
        <w:t>،</w:t>
      </w:r>
      <w:r w:rsidRPr="006571AC">
        <w:rPr>
          <w:sz w:val="27"/>
          <w:rtl/>
        </w:rPr>
        <w:t xml:space="preserve"> الشعبوية </w:t>
      </w:r>
      <w:r w:rsidR="001F1BD7" w:rsidRPr="006571AC">
        <w:rPr>
          <w:rFonts w:hint="cs"/>
          <w:sz w:val="27"/>
          <w:rtl/>
        </w:rPr>
        <w:t>بأنها</w:t>
      </w:r>
      <w:r w:rsidRPr="006571AC">
        <w:rPr>
          <w:sz w:val="27"/>
          <w:rtl/>
        </w:rPr>
        <w:t xml:space="preserve">: </w:t>
      </w:r>
      <w:r w:rsidRPr="006571AC">
        <w:rPr>
          <w:rFonts w:hint="eastAsia"/>
          <w:sz w:val="24"/>
          <w:szCs w:val="24"/>
          <w:rtl/>
        </w:rPr>
        <w:t>«</w:t>
      </w:r>
      <w:r w:rsidRPr="006571AC">
        <w:rPr>
          <w:sz w:val="27"/>
          <w:rtl/>
        </w:rPr>
        <w:t>خطاب</w:t>
      </w:r>
      <w:r w:rsidR="001F1BD7" w:rsidRPr="006571AC">
        <w:rPr>
          <w:rFonts w:hint="cs"/>
          <w:sz w:val="27"/>
          <w:rtl/>
        </w:rPr>
        <w:t>ٌ</w:t>
      </w:r>
      <w:r w:rsidRPr="006571AC">
        <w:rPr>
          <w:sz w:val="27"/>
          <w:rtl/>
        </w:rPr>
        <w:t xml:space="preserve"> </w:t>
      </w:r>
      <w:r w:rsidRPr="006571AC">
        <w:rPr>
          <w:sz w:val="27"/>
          <w:rtl/>
        </w:rPr>
        <w:lastRenderedPageBreak/>
        <w:t>سياسي</w:t>
      </w:r>
      <w:r w:rsidR="001F1BD7" w:rsidRPr="006571AC">
        <w:rPr>
          <w:rFonts w:hint="cs"/>
          <w:sz w:val="27"/>
          <w:rtl/>
        </w:rPr>
        <w:t>،</w:t>
      </w:r>
      <w:r w:rsidRPr="006571AC">
        <w:rPr>
          <w:sz w:val="27"/>
          <w:rtl/>
        </w:rPr>
        <w:t xml:space="preserve"> موج</w:t>
      </w:r>
      <w:r w:rsidR="001F1BD7" w:rsidRPr="006571AC">
        <w:rPr>
          <w:rFonts w:hint="cs"/>
          <w:sz w:val="27"/>
          <w:rtl/>
        </w:rPr>
        <w:t>َّ</w:t>
      </w:r>
      <w:r w:rsidRPr="006571AC">
        <w:rPr>
          <w:sz w:val="27"/>
          <w:rtl/>
        </w:rPr>
        <w:t>ه</w:t>
      </w:r>
      <w:r w:rsidR="001F1BD7" w:rsidRPr="006571AC">
        <w:rPr>
          <w:rFonts w:hint="cs"/>
          <w:sz w:val="27"/>
          <w:rtl/>
        </w:rPr>
        <w:t>ٌ</w:t>
      </w:r>
      <w:r w:rsidRPr="006571AC">
        <w:rPr>
          <w:sz w:val="27"/>
          <w:rtl/>
        </w:rPr>
        <w:t xml:space="preserve"> إلى الطبقات الشعبية</w:t>
      </w:r>
      <w:r w:rsidR="001F1BD7" w:rsidRPr="006571AC">
        <w:rPr>
          <w:rFonts w:hint="cs"/>
          <w:sz w:val="27"/>
          <w:rtl/>
        </w:rPr>
        <w:t>،</w:t>
      </w:r>
      <w:r w:rsidRPr="006571AC">
        <w:rPr>
          <w:sz w:val="27"/>
          <w:rtl/>
        </w:rPr>
        <w:t xml:space="preserve"> قائم</w:t>
      </w:r>
      <w:r w:rsidR="001F1BD7" w:rsidRPr="006571AC">
        <w:rPr>
          <w:rFonts w:hint="cs"/>
          <w:sz w:val="27"/>
          <w:rtl/>
        </w:rPr>
        <w:t>ٌ</w:t>
      </w:r>
      <w:r w:rsidRPr="006571AC">
        <w:rPr>
          <w:sz w:val="27"/>
          <w:rtl/>
        </w:rPr>
        <w:t xml:space="preserve"> على انتقاد النظام ومسؤوليه والن</w:t>
      </w:r>
      <w:r w:rsidR="001F1BD7" w:rsidRPr="006571AC">
        <w:rPr>
          <w:rFonts w:hint="cs"/>
          <w:sz w:val="27"/>
          <w:rtl/>
        </w:rPr>
        <w:t>ُّ</w:t>
      </w:r>
      <w:r w:rsidRPr="006571AC">
        <w:rPr>
          <w:sz w:val="27"/>
          <w:rtl/>
        </w:rPr>
        <w:t>خ</w:t>
      </w:r>
      <w:r w:rsidR="001F1BD7" w:rsidRPr="006571AC">
        <w:rPr>
          <w:rFonts w:hint="cs"/>
          <w:sz w:val="27"/>
          <w:rtl/>
        </w:rPr>
        <w:t>َ</w:t>
      </w:r>
      <w:r w:rsidRPr="006571AC">
        <w:rPr>
          <w:sz w:val="27"/>
          <w:rtl/>
        </w:rPr>
        <w:t>ب</w:t>
      </w:r>
      <w:r w:rsidRPr="006571AC">
        <w:rPr>
          <w:rFonts w:hint="eastAsia"/>
          <w:sz w:val="24"/>
          <w:szCs w:val="24"/>
          <w:rtl/>
        </w:rPr>
        <w:t>»</w:t>
      </w:r>
      <w:r w:rsidRPr="006571AC">
        <w:rPr>
          <w:sz w:val="27"/>
          <w:vertAlign w:val="superscript"/>
          <w:rtl/>
        </w:rPr>
        <w:t>(</w:t>
      </w:r>
      <w:r w:rsidRPr="006571AC">
        <w:rPr>
          <w:sz w:val="27"/>
          <w:vertAlign w:val="superscript"/>
          <w:rtl/>
        </w:rPr>
        <w:endnoteReference w:id="143"/>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ويقول الباحث الأمريكي (مارك فلورباي) من جامعة برينستون: إنّ الشعبوية هي </w:t>
      </w:r>
      <w:r w:rsidRPr="006571AC">
        <w:rPr>
          <w:rFonts w:hint="eastAsia"/>
          <w:sz w:val="24"/>
          <w:szCs w:val="24"/>
          <w:rtl/>
        </w:rPr>
        <w:t>«</w:t>
      </w:r>
      <w:r w:rsidRPr="006571AC">
        <w:rPr>
          <w:sz w:val="27"/>
          <w:rtl/>
        </w:rPr>
        <w:t>البحث من ق</w:t>
      </w:r>
      <w:r w:rsidR="001F1BD7" w:rsidRPr="006571AC">
        <w:rPr>
          <w:rFonts w:hint="cs"/>
          <w:sz w:val="27"/>
          <w:rtl/>
        </w:rPr>
        <w:t>ِ</w:t>
      </w:r>
      <w:r w:rsidRPr="006571AC">
        <w:rPr>
          <w:sz w:val="27"/>
          <w:rtl/>
        </w:rPr>
        <w:t>ب</w:t>
      </w:r>
      <w:r w:rsidR="001F1BD7" w:rsidRPr="006571AC">
        <w:rPr>
          <w:rFonts w:hint="cs"/>
          <w:sz w:val="27"/>
          <w:rtl/>
        </w:rPr>
        <w:t>َ</w:t>
      </w:r>
      <w:r w:rsidRPr="006571AC">
        <w:rPr>
          <w:sz w:val="27"/>
          <w:rtl/>
        </w:rPr>
        <w:t>ل سياسيين يحظ</w:t>
      </w:r>
      <w:r w:rsidR="00FE3128" w:rsidRPr="006571AC">
        <w:rPr>
          <w:rFonts w:hint="cs"/>
          <w:sz w:val="27"/>
          <w:rtl/>
        </w:rPr>
        <w:t>َ</w:t>
      </w:r>
      <w:r w:rsidRPr="006571AC">
        <w:rPr>
          <w:sz w:val="27"/>
          <w:rtl/>
        </w:rPr>
        <w:t>و</w:t>
      </w:r>
      <w:r w:rsidR="00FE3128" w:rsidRPr="006571AC">
        <w:rPr>
          <w:rFonts w:hint="cs"/>
          <w:sz w:val="27"/>
          <w:rtl/>
        </w:rPr>
        <w:t>ْ</w:t>
      </w:r>
      <w:r w:rsidRPr="006571AC">
        <w:rPr>
          <w:sz w:val="27"/>
          <w:rtl/>
        </w:rPr>
        <w:t>ن بكاريزما عن دعم</w:t>
      </w:r>
      <w:r w:rsidR="001F1BD7" w:rsidRPr="006571AC">
        <w:rPr>
          <w:rFonts w:hint="cs"/>
          <w:sz w:val="27"/>
          <w:rtl/>
        </w:rPr>
        <w:t>ٍ</w:t>
      </w:r>
      <w:r w:rsidRPr="006571AC">
        <w:rPr>
          <w:sz w:val="27"/>
          <w:rtl/>
        </w:rPr>
        <w:t xml:space="preserve"> شعبي مباشر في خطاب</w:t>
      </w:r>
      <w:r w:rsidR="001F1BD7" w:rsidRPr="006571AC">
        <w:rPr>
          <w:rFonts w:hint="cs"/>
          <w:sz w:val="27"/>
          <w:rtl/>
        </w:rPr>
        <w:t>ٍ</w:t>
      </w:r>
      <w:r w:rsidRPr="006571AC">
        <w:rPr>
          <w:sz w:val="27"/>
          <w:rtl/>
        </w:rPr>
        <w:t xml:space="preserve"> عام</w:t>
      </w:r>
      <w:r w:rsidR="001F1BD7" w:rsidRPr="006571AC">
        <w:rPr>
          <w:rFonts w:hint="cs"/>
          <w:sz w:val="27"/>
          <w:rtl/>
        </w:rPr>
        <w:t>ّ</w:t>
      </w:r>
      <w:r w:rsidRPr="006571AC">
        <w:rPr>
          <w:sz w:val="27"/>
          <w:rtl/>
        </w:rPr>
        <w:t xml:space="preserve"> يتحد</w:t>
      </w:r>
      <w:r w:rsidR="001F1BD7" w:rsidRPr="006571AC">
        <w:rPr>
          <w:rFonts w:hint="cs"/>
          <w:sz w:val="27"/>
          <w:rtl/>
        </w:rPr>
        <w:t>ّ</w:t>
      </w:r>
      <w:r w:rsidRPr="006571AC">
        <w:rPr>
          <w:sz w:val="27"/>
          <w:rtl/>
        </w:rPr>
        <w:t>ى المؤس</w:t>
      </w:r>
      <w:r w:rsidR="001F1BD7" w:rsidRPr="006571AC">
        <w:rPr>
          <w:rFonts w:hint="cs"/>
          <w:sz w:val="27"/>
          <w:rtl/>
        </w:rPr>
        <w:t>َّ</w:t>
      </w:r>
      <w:r w:rsidRPr="006571AC">
        <w:rPr>
          <w:sz w:val="27"/>
          <w:rtl/>
        </w:rPr>
        <w:t>سات التقليدية والديموقراطية</w:t>
      </w:r>
      <w:r w:rsidRPr="006571AC">
        <w:rPr>
          <w:rFonts w:hint="eastAsia"/>
          <w:sz w:val="24"/>
          <w:szCs w:val="24"/>
          <w:rtl/>
        </w:rPr>
        <w:t>»</w:t>
      </w:r>
      <w:r w:rsidRPr="006571AC">
        <w:rPr>
          <w:sz w:val="27"/>
          <w:vertAlign w:val="superscript"/>
          <w:rtl/>
        </w:rPr>
        <w:t>(</w:t>
      </w:r>
      <w:r w:rsidRPr="006571AC">
        <w:rPr>
          <w:sz w:val="27"/>
          <w:vertAlign w:val="superscript"/>
          <w:rtl/>
        </w:rPr>
        <w:endnoteReference w:id="144"/>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لقد بات مصطلح الشعبوية يتكر</w:t>
      </w:r>
      <w:r w:rsidR="001F1BD7" w:rsidRPr="006571AC">
        <w:rPr>
          <w:rFonts w:hint="cs"/>
          <w:sz w:val="27"/>
          <w:rtl/>
        </w:rPr>
        <w:t>َّ</w:t>
      </w:r>
      <w:r w:rsidRPr="006571AC">
        <w:rPr>
          <w:sz w:val="27"/>
          <w:rtl/>
        </w:rPr>
        <w:t>ر مع كلّ عملية اقتراع</w:t>
      </w:r>
      <w:r w:rsidR="001F1BD7" w:rsidRPr="006571AC">
        <w:rPr>
          <w:rFonts w:hint="cs"/>
          <w:sz w:val="27"/>
          <w:rtl/>
        </w:rPr>
        <w:t>ٍ</w:t>
      </w:r>
      <w:r w:rsidRPr="006571AC">
        <w:rPr>
          <w:sz w:val="27"/>
          <w:rtl/>
        </w:rPr>
        <w:t xml:space="preserve">. </w:t>
      </w:r>
    </w:p>
    <w:p w:rsidR="007C76F0" w:rsidRPr="006571AC" w:rsidRDefault="007C76F0" w:rsidP="00F22B89">
      <w:pPr>
        <w:rPr>
          <w:sz w:val="27"/>
          <w:rtl/>
        </w:rPr>
      </w:pPr>
      <w:r w:rsidRPr="006571AC">
        <w:rPr>
          <w:sz w:val="27"/>
          <w:rtl/>
        </w:rPr>
        <w:t>والشعبوية في فرنسا م</w:t>
      </w:r>
      <w:r w:rsidR="001F1BD7" w:rsidRPr="006571AC">
        <w:rPr>
          <w:rFonts w:hint="cs"/>
          <w:sz w:val="27"/>
          <w:rtl/>
        </w:rPr>
        <w:t>َ</w:t>
      </w:r>
      <w:r w:rsidRPr="006571AC">
        <w:rPr>
          <w:sz w:val="27"/>
          <w:rtl/>
        </w:rPr>
        <w:t>ن</w:t>
      </w:r>
      <w:r w:rsidR="001F1BD7" w:rsidRPr="006571AC">
        <w:rPr>
          <w:rFonts w:hint="cs"/>
          <w:sz w:val="27"/>
          <w:rtl/>
        </w:rPr>
        <w:t>ْ</w:t>
      </w:r>
      <w:r w:rsidRPr="006571AC">
        <w:rPr>
          <w:sz w:val="27"/>
          <w:rtl/>
        </w:rPr>
        <w:t xml:space="preserve"> يتلاعب بأفكار الناس لغايات</w:t>
      </w:r>
      <w:r w:rsidR="001F1BD7" w:rsidRPr="006571AC">
        <w:rPr>
          <w:rFonts w:hint="cs"/>
          <w:sz w:val="27"/>
          <w:rtl/>
        </w:rPr>
        <w:t>ٍ</w:t>
      </w:r>
      <w:r w:rsidRPr="006571AC">
        <w:rPr>
          <w:sz w:val="27"/>
          <w:rtl/>
        </w:rPr>
        <w:t xml:space="preserve"> سياسية</w:t>
      </w:r>
      <w:r w:rsidR="001F1BD7" w:rsidRPr="006571AC">
        <w:rPr>
          <w:rFonts w:hint="cs"/>
          <w:sz w:val="27"/>
          <w:rtl/>
        </w:rPr>
        <w:t xml:space="preserve">، </w:t>
      </w:r>
      <w:r w:rsidRPr="006571AC">
        <w:rPr>
          <w:sz w:val="27"/>
          <w:rtl/>
        </w:rPr>
        <w:t>ح</w:t>
      </w:r>
      <w:r w:rsidR="001F1BD7" w:rsidRPr="006571AC">
        <w:rPr>
          <w:rFonts w:hint="cs"/>
          <w:sz w:val="27"/>
          <w:rtl/>
        </w:rPr>
        <w:t>َ</w:t>
      </w:r>
      <w:r w:rsidRPr="006571AC">
        <w:rPr>
          <w:sz w:val="27"/>
          <w:rtl/>
        </w:rPr>
        <w:t>س</w:t>
      </w:r>
      <w:r w:rsidR="001F1BD7" w:rsidRPr="006571AC">
        <w:rPr>
          <w:rFonts w:hint="cs"/>
          <w:sz w:val="27"/>
          <w:rtl/>
        </w:rPr>
        <w:t>ْ</w:t>
      </w:r>
      <w:r w:rsidRPr="006571AC">
        <w:rPr>
          <w:sz w:val="27"/>
          <w:rtl/>
        </w:rPr>
        <w:t xml:space="preserve">ب مدير مجلة </w:t>
      </w:r>
      <w:r w:rsidRPr="006571AC">
        <w:rPr>
          <w:rFonts w:hint="eastAsia"/>
          <w:sz w:val="24"/>
          <w:szCs w:val="24"/>
          <w:rtl/>
        </w:rPr>
        <w:t>«</w:t>
      </w:r>
      <w:r w:rsidRPr="006571AC">
        <w:rPr>
          <w:sz w:val="27"/>
          <w:rtl/>
        </w:rPr>
        <w:t>كريتيك</w:t>
      </w:r>
      <w:r w:rsidRPr="006571AC">
        <w:rPr>
          <w:rFonts w:hint="eastAsia"/>
          <w:sz w:val="24"/>
          <w:szCs w:val="24"/>
          <w:rtl/>
        </w:rPr>
        <w:t>»</w:t>
      </w:r>
      <w:r w:rsidRPr="006571AC">
        <w:rPr>
          <w:sz w:val="27"/>
          <w:rtl/>
        </w:rPr>
        <w:t xml:space="preserve"> فيليب روجيه</w:t>
      </w:r>
      <w:r w:rsidRPr="006571AC">
        <w:rPr>
          <w:sz w:val="27"/>
          <w:vertAlign w:val="superscript"/>
          <w:rtl/>
        </w:rPr>
        <w:t>(</w:t>
      </w:r>
      <w:r w:rsidRPr="006571AC">
        <w:rPr>
          <w:sz w:val="27"/>
          <w:vertAlign w:val="superscript"/>
          <w:rtl/>
        </w:rPr>
        <w:endnoteReference w:id="145"/>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وأخذ مصطلح الشعبوية طريقه إلى التداول</w:t>
      </w:r>
      <w:r w:rsidR="00821336" w:rsidRPr="006571AC">
        <w:rPr>
          <w:rFonts w:hint="cs"/>
          <w:sz w:val="27"/>
          <w:rtl/>
        </w:rPr>
        <w:t>،</w:t>
      </w:r>
      <w:r w:rsidRPr="006571AC">
        <w:rPr>
          <w:sz w:val="27"/>
          <w:rtl/>
        </w:rPr>
        <w:t xml:space="preserve"> في السنوات الأخيرة من القرن التاسع عشر</w:t>
      </w:r>
      <w:r w:rsidR="00821336" w:rsidRPr="006571AC">
        <w:rPr>
          <w:rFonts w:hint="cs"/>
          <w:sz w:val="27"/>
          <w:rtl/>
        </w:rPr>
        <w:t>،</w:t>
      </w:r>
      <w:r w:rsidRPr="006571AC">
        <w:rPr>
          <w:sz w:val="27"/>
          <w:rtl/>
        </w:rPr>
        <w:t xml:space="preserve"> إثر الاحتجاجات التي قام بها الفلاحون في روسيا</w:t>
      </w:r>
      <w:r w:rsidR="00821336" w:rsidRPr="006571AC">
        <w:rPr>
          <w:rFonts w:hint="cs"/>
          <w:sz w:val="27"/>
          <w:rtl/>
        </w:rPr>
        <w:t>؛</w:t>
      </w:r>
      <w:r w:rsidRPr="006571AC">
        <w:rPr>
          <w:sz w:val="27"/>
          <w:rtl/>
        </w:rPr>
        <w:t xml:space="preserve"> لأجل تحر</w:t>
      </w:r>
      <w:r w:rsidR="00821336" w:rsidRPr="006571AC">
        <w:rPr>
          <w:rFonts w:hint="cs"/>
          <w:sz w:val="27"/>
          <w:rtl/>
        </w:rPr>
        <w:t>ُّ</w:t>
      </w:r>
      <w:r w:rsidRPr="006571AC">
        <w:rPr>
          <w:sz w:val="27"/>
          <w:rtl/>
        </w:rPr>
        <w:t xml:space="preserve">رهم. </w:t>
      </w:r>
    </w:p>
    <w:p w:rsidR="007C76F0" w:rsidRPr="006571AC" w:rsidRDefault="007C76F0" w:rsidP="00F22B89">
      <w:pPr>
        <w:rPr>
          <w:sz w:val="27"/>
          <w:rtl/>
        </w:rPr>
      </w:pPr>
      <w:r w:rsidRPr="006571AC">
        <w:rPr>
          <w:sz w:val="27"/>
          <w:rtl/>
        </w:rPr>
        <w:t>ويتم</w:t>
      </w:r>
      <w:r w:rsidR="00821336" w:rsidRPr="006571AC">
        <w:rPr>
          <w:rFonts w:hint="cs"/>
          <w:sz w:val="27"/>
          <w:rtl/>
        </w:rPr>
        <w:t>ّ</w:t>
      </w:r>
      <w:r w:rsidRPr="006571AC">
        <w:rPr>
          <w:sz w:val="27"/>
          <w:rtl/>
        </w:rPr>
        <w:t xml:space="preserve"> توصيف الخطابات بالشعبوية للدلالة على أنها تثير المشاعر العامة للناس؛ لكونها تتوج</w:t>
      </w:r>
      <w:r w:rsidR="00821336" w:rsidRPr="006571AC">
        <w:rPr>
          <w:rFonts w:hint="cs"/>
          <w:sz w:val="27"/>
          <w:rtl/>
        </w:rPr>
        <w:t>َّ</w:t>
      </w:r>
      <w:r w:rsidRPr="006571AC">
        <w:rPr>
          <w:sz w:val="27"/>
          <w:rtl/>
        </w:rPr>
        <w:t>ه إليهم بطريقة غير منتظمة، تتخط</w:t>
      </w:r>
      <w:r w:rsidR="00821336" w:rsidRPr="006571AC">
        <w:rPr>
          <w:rFonts w:hint="cs"/>
          <w:sz w:val="27"/>
          <w:rtl/>
        </w:rPr>
        <w:t>ّ</w:t>
      </w:r>
      <w:r w:rsidRPr="006571AC">
        <w:rPr>
          <w:sz w:val="27"/>
          <w:rtl/>
        </w:rPr>
        <w:t>ى العقلانية والوقائع، وتعمد إلى تضخيم بعض الأمور</w:t>
      </w:r>
      <w:r w:rsidR="00821336" w:rsidRPr="006571AC">
        <w:rPr>
          <w:rFonts w:hint="cs"/>
          <w:sz w:val="27"/>
          <w:rtl/>
        </w:rPr>
        <w:t>؛</w:t>
      </w:r>
      <w:r w:rsidRPr="006571AC">
        <w:rPr>
          <w:sz w:val="27"/>
          <w:rtl/>
        </w:rPr>
        <w:t xml:space="preserve"> للوصول إلى نتائج تناسب الرغبات أو الأهداف المطروحة. </w:t>
      </w:r>
    </w:p>
    <w:p w:rsidR="007C76F0" w:rsidRPr="006571AC" w:rsidRDefault="007C76F0" w:rsidP="00F22B89">
      <w:pPr>
        <w:rPr>
          <w:sz w:val="27"/>
          <w:rtl/>
        </w:rPr>
      </w:pPr>
      <w:r w:rsidRPr="006571AC">
        <w:rPr>
          <w:sz w:val="27"/>
          <w:rtl/>
        </w:rPr>
        <w:t>وهناك مصطلح</w:t>
      </w:r>
      <w:r w:rsidR="00821336" w:rsidRPr="006571AC">
        <w:rPr>
          <w:rFonts w:hint="cs"/>
          <w:sz w:val="27"/>
          <w:rtl/>
        </w:rPr>
        <w:t>ٌ</w:t>
      </w:r>
      <w:r w:rsidRPr="006571AC">
        <w:rPr>
          <w:sz w:val="27"/>
          <w:rtl/>
        </w:rPr>
        <w:t xml:space="preserve"> في مصر: </w:t>
      </w:r>
      <w:r w:rsidRPr="006571AC">
        <w:rPr>
          <w:rFonts w:hint="eastAsia"/>
          <w:sz w:val="24"/>
          <w:szCs w:val="24"/>
          <w:rtl/>
        </w:rPr>
        <w:t>«</w:t>
      </w:r>
      <w:r w:rsidRPr="006571AC">
        <w:rPr>
          <w:sz w:val="27"/>
          <w:rtl/>
        </w:rPr>
        <w:t>الجمهور عايز ك</w:t>
      </w:r>
      <w:r w:rsidR="00FE3128" w:rsidRPr="006571AC">
        <w:rPr>
          <w:rFonts w:hint="cs"/>
          <w:sz w:val="27"/>
          <w:rtl/>
        </w:rPr>
        <w:t>ِ</w:t>
      </w:r>
      <w:r w:rsidRPr="006571AC">
        <w:rPr>
          <w:sz w:val="27"/>
          <w:rtl/>
        </w:rPr>
        <w:t>د</w:t>
      </w:r>
      <w:r w:rsidR="00FE3128" w:rsidRPr="006571AC">
        <w:rPr>
          <w:rFonts w:hint="cs"/>
          <w:sz w:val="27"/>
          <w:rtl/>
        </w:rPr>
        <w:t>َ</w:t>
      </w:r>
      <w:r w:rsidRPr="006571AC">
        <w:rPr>
          <w:sz w:val="27"/>
          <w:rtl/>
        </w:rPr>
        <w:t>ه</w:t>
      </w:r>
      <w:r w:rsidRPr="006571AC">
        <w:rPr>
          <w:rFonts w:hint="eastAsia"/>
          <w:sz w:val="24"/>
          <w:szCs w:val="24"/>
          <w:rtl/>
        </w:rPr>
        <w:t>»</w:t>
      </w:r>
      <w:r w:rsidR="00821336" w:rsidRPr="006571AC">
        <w:rPr>
          <w:rFonts w:hint="cs"/>
          <w:sz w:val="27"/>
          <w:rtl/>
        </w:rPr>
        <w:t>؛</w:t>
      </w:r>
      <w:r w:rsidRPr="006571AC">
        <w:rPr>
          <w:sz w:val="27"/>
          <w:rtl/>
        </w:rPr>
        <w:t xml:space="preserve"> للدفاع عن الانحطاط والهبوط الذي أصاب الإنتاج الفني في مصر من غناء</w:t>
      </w:r>
      <w:r w:rsidR="00821336" w:rsidRPr="006571AC">
        <w:rPr>
          <w:rFonts w:hint="cs"/>
          <w:sz w:val="27"/>
          <w:rtl/>
        </w:rPr>
        <w:t>ٍ</w:t>
      </w:r>
      <w:r w:rsidRPr="006571AC">
        <w:rPr>
          <w:sz w:val="27"/>
          <w:rtl/>
        </w:rPr>
        <w:t xml:space="preserve"> ومسرح</w:t>
      </w:r>
      <w:r w:rsidR="00821336" w:rsidRPr="006571AC">
        <w:rPr>
          <w:rFonts w:hint="cs"/>
          <w:sz w:val="27"/>
          <w:rtl/>
        </w:rPr>
        <w:t>ٍ</w:t>
      </w:r>
      <w:r w:rsidRPr="006571AC">
        <w:rPr>
          <w:sz w:val="27"/>
          <w:rtl/>
        </w:rPr>
        <w:t xml:space="preserve"> وأفلام</w:t>
      </w:r>
      <w:r w:rsidR="00821336" w:rsidRPr="006571AC">
        <w:rPr>
          <w:rFonts w:hint="cs"/>
          <w:sz w:val="27"/>
          <w:rtl/>
        </w:rPr>
        <w:t>ٍ</w:t>
      </w:r>
      <w:r w:rsidRPr="006571AC">
        <w:rPr>
          <w:sz w:val="27"/>
          <w:rtl/>
        </w:rPr>
        <w:t>، ثم س</w:t>
      </w:r>
      <w:r w:rsidR="00821336" w:rsidRPr="006571AC">
        <w:rPr>
          <w:rFonts w:hint="cs"/>
          <w:sz w:val="27"/>
          <w:rtl/>
        </w:rPr>
        <w:t>َ</w:t>
      </w:r>
      <w:r w:rsidRPr="006571AC">
        <w:rPr>
          <w:sz w:val="27"/>
          <w:rtl/>
        </w:rPr>
        <w:t>ر</w:t>
      </w:r>
      <w:r w:rsidR="00821336" w:rsidRPr="006571AC">
        <w:rPr>
          <w:rFonts w:hint="cs"/>
          <w:sz w:val="27"/>
          <w:rtl/>
        </w:rPr>
        <w:t>َ</w:t>
      </w:r>
      <w:r w:rsidRPr="006571AC">
        <w:rPr>
          <w:sz w:val="27"/>
          <w:rtl/>
        </w:rPr>
        <w:t>ت</w:t>
      </w:r>
      <w:r w:rsidR="00821336" w:rsidRPr="006571AC">
        <w:rPr>
          <w:rFonts w:hint="cs"/>
          <w:sz w:val="27"/>
          <w:rtl/>
        </w:rPr>
        <w:t>ْ</w:t>
      </w:r>
      <w:r w:rsidRPr="006571AC">
        <w:rPr>
          <w:sz w:val="27"/>
          <w:rtl/>
        </w:rPr>
        <w:t xml:space="preserve"> للكتابات والخطابات. </w:t>
      </w:r>
    </w:p>
    <w:p w:rsidR="007C76F0" w:rsidRPr="006571AC" w:rsidRDefault="007C76F0" w:rsidP="00F22B89">
      <w:pPr>
        <w:rPr>
          <w:sz w:val="27"/>
          <w:rtl/>
        </w:rPr>
      </w:pPr>
      <w:r w:rsidRPr="006571AC">
        <w:rPr>
          <w:sz w:val="27"/>
          <w:rtl/>
        </w:rPr>
        <w:t xml:space="preserve">وبعض الإذاعات لديها برنامج (ما يطلبه المستمعون). </w:t>
      </w:r>
    </w:p>
    <w:p w:rsidR="007C76F0" w:rsidRPr="006571AC" w:rsidRDefault="007C76F0" w:rsidP="00F22B89">
      <w:pPr>
        <w:rPr>
          <w:sz w:val="27"/>
          <w:rtl/>
        </w:rPr>
      </w:pPr>
      <w:r w:rsidRPr="006571AC">
        <w:rPr>
          <w:sz w:val="27"/>
          <w:rtl/>
        </w:rPr>
        <w:t>لكن</w:t>
      </w:r>
      <w:r w:rsidR="00821336" w:rsidRPr="006571AC">
        <w:rPr>
          <w:rFonts w:hint="cs"/>
          <w:sz w:val="27"/>
          <w:rtl/>
        </w:rPr>
        <w:t>ْ</w:t>
      </w:r>
      <w:r w:rsidRPr="006571AC">
        <w:rPr>
          <w:sz w:val="27"/>
          <w:rtl/>
        </w:rPr>
        <w:t xml:space="preserve"> </w:t>
      </w:r>
      <w:r w:rsidR="00821336" w:rsidRPr="006571AC">
        <w:rPr>
          <w:sz w:val="27"/>
          <w:rtl/>
        </w:rPr>
        <w:t>لا يصح</w:t>
      </w:r>
      <w:r w:rsidR="00821336" w:rsidRPr="006571AC">
        <w:rPr>
          <w:rFonts w:hint="cs"/>
          <w:sz w:val="27"/>
          <w:rtl/>
        </w:rPr>
        <w:t>ّ</w:t>
      </w:r>
      <w:r w:rsidR="00821336" w:rsidRPr="006571AC">
        <w:rPr>
          <w:sz w:val="27"/>
          <w:rtl/>
        </w:rPr>
        <w:t xml:space="preserve"> أن يكون </w:t>
      </w:r>
      <w:r w:rsidRPr="006571AC">
        <w:rPr>
          <w:sz w:val="27"/>
          <w:rtl/>
        </w:rPr>
        <w:t>الخطاب الديني</w:t>
      </w:r>
      <w:r w:rsidR="00821336" w:rsidRPr="006571AC">
        <w:rPr>
          <w:rFonts w:hint="cs"/>
          <w:sz w:val="27"/>
          <w:rtl/>
        </w:rPr>
        <w:t>ّ</w:t>
      </w:r>
      <w:r w:rsidRPr="006571AC">
        <w:rPr>
          <w:sz w:val="27"/>
          <w:rtl/>
        </w:rPr>
        <w:t xml:space="preserve"> شعبوياً، بمعنى استهدافه دغدغة المشاعر والعواطف على حساب الحقائق والمصالح الواقعية، ولا أن ينقاد لرغبات الجمهور على حساب الوظيفة الشرعية. </w:t>
      </w:r>
    </w:p>
    <w:p w:rsidR="007C76F0" w:rsidRPr="006571AC" w:rsidRDefault="007C76F0" w:rsidP="00F22B89">
      <w:pPr>
        <w:rPr>
          <w:sz w:val="27"/>
          <w:rtl/>
        </w:rPr>
      </w:pPr>
      <w:r w:rsidRPr="006571AC">
        <w:rPr>
          <w:sz w:val="27"/>
          <w:rtl/>
        </w:rPr>
        <w:t>ذكر الألباني</w:t>
      </w:r>
      <w:r w:rsidR="00821336" w:rsidRPr="006571AC">
        <w:rPr>
          <w:rFonts w:hint="cs"/>
          <w:sz w:val="27"/>
          <w:rtl/>
        </w:rPr>
        <w:t>،</w:t>
      </w:r>
      <w:r w:rsidRPr="006571AC">
        <w:rPr>
          <w:sz w:val="27"/>
          <w:rtl/>
        </w:rPr>
        <w:t xml:space="preserve"> في سلسلة الأحاديث الصحيحة</w:t>
      </w:r>
      <w:r w:rsidR="00821336" w:rsidRPr="006571AC">
        <w:rPr>
          <w:rFonts w:hint="cs"/>
          <w:sz w:val="27"/>
          <w:rtl/>
        </w:rPr>
        <w:t>،</w:t>
      </w:r>
      <w:r w:rsidRPr="006571AC">
        <w:rPr>
          <w:sz w:val="27"/>
          <w:rtl/>
        </w:rPr>
        <w:t xml:space="preserve"> أنّ رسول الله</w:t>
      </w:r>
      <w:r w:rsidR="00DC3B12" w:rsidRPr="006571AC">
        <w:rPr>
          <w:rFonts w:ascii="Mosawi" w:hAnsi="Mosawi" w:cs="Mosawi"/>
          <w:sz w:val="22"/>
          <w:szCs w:val="22"/>
          <w:rtl/>
        </w:rPr>
        <w:t>|</w:t>
      </w:r>
      <w:r w:rsidRPr="006571AC">
        <w:rPr>
          <w:sz w:val="27"/>
          <w:rtl/>
        </w:rPr>
        <w:t xml:space="preserve"> قال: </w:t>
      </w:r>
      <w:r w:rsidRPr="006571AC">
        <w:rPr>
          <w:rFonts w:hint="eastAsia"/>
          <w:sz w:val="24"/>
          <w:szCs w:val="24"/>
          <w:rtl/>
        </w:rPr>
        <w:t>«</w:t>
      </w:r>
      <w:r w:rsidRPr="006571AC">
        <w:rPr>
          <w:sz w:val="27"/>
          <w:rtl/>
        </w:rPr>
        <w:t>م</w:t>
      </w:r>
      <w:r w:rsidR="00821336" w:rsidRPr="006571AC">
        <w:rPr>
          <w:rFonts w:hint="cs"/>
          <w:sz w:val="27"/>
          <w:rtl/>
        </w:rPr>
        <w:t>َ</w:t>
      </w:r>
      <w:r w:rsidRPr="006571AC">
        <w:rPr>
          <w:sz w:val="27"/>
          <w:rtl/>
        </w:rPr>
        <w:t>ن</w:t>
      </w:r>
      <w:r w:rsidR="00821336" w:rsidRPr="006571AC">
        <w:rPr>
          <w:rFonts w:hint="cs"/>
          <w:sz w:val="27"/>
          <w:rtl/>
        </w:rPr>
        <w:t>ْ</w:t>
      </w:r>
      <w:r w:rsidRPr="006571AC">
        <w:rPr>
          <w:sz w:val="27"/>
          <w:rtl/>
        </w:rPr>
        <w:t xml:space="preserve"> أرضى الله بسخط الناس كفاه الله الناس، وم</w:t>
      </w:r>
      <w:r w:rsidR="00821336" w:rsidRPr="006571AC">
        <w:rPr>
          <w:rFonts w:hint="cs"/>
          <w:sz w:val="27"/>
          <w:rtl/>
        </w:rPr>
        <w:t>َ</w:t>
      </w:r>
      <w:r w:rsidRPr="006571AC">
        <w:rPr>
          <w:sz w:val="27"/>
          <w:rtl/>
        </w:rPr>
        <w:t>ن</w:t>
      </w:r>
      <w:r w:rsidR="00821336" w:rsidRPr="006571AC">
        <w:rPr>
          <w:rFonts w:hint="cs"/>
          <w:sz w:val="27"/>
          <w:rtl/>
        </w:rPr>
        <w:t>ْ</w:t>
      </w:r>
      <w:r w:rsidRPr="006571AC">
        <w:rPr>
          <w:sz w:val="27"/>
          <w:rtl/>
        </w:rPr>
        <w:t xml:space="preserve"> أسخط الله برض</w:t>
      </w:r>
      <w:r w:rsidR="00821336" w:rsidRPr="006571AC">
        <w:rPr>
          <w:rFonts w:hint="cs"/>
          <w:sz w:val="27"/>
          <w:rtl/>
        </w:rPr>
        <w:t>ا</w:t>
      </w:r>
      <w:r w:rsidRPr="006571AC">
        <w:rPr>
          <w:sz w:val="27"/>
          <w:rtl/>
        </w:rPr>
        <w:t xml:space="preserve"> الناس و</w:t>
      </w:r>
      <w:r w:rsidR="00821336" w:rsidRPr="006571AC">
        <w:rPr>
          <w:rFonts w:hint="cs"/>
          <w:sz w:val="27"/>
          <w:rtl/>
        </w:rPr>
        <w:t>َ</w:t>
      </w:r>
      <w:r w:rsidRPr="006571AC">
        <w:rPr>
          <w:sz w:val="27"/>
          <w:rtl/>
        </w:rPr>
        <w:t>ك</w:t>
      </w:r>
      <w:r w:rsidR="00821336" w:rsidRPr="006571AC">
        <w:rPr>
          <w:rFonts w:hint="cs"/>
          <w:sz w:val="27"/>
          <w:rtl/>
        </w:rPr>
        <w:t>َ</w:t>
      </w:r>
      <w:r w:rsidRPr="006571AC">
        <w:rPr>
          <w:sz w:val="27"/>
          <w:rtl/>
        </w:rPr>
        <w:t>له الله إلى الناس</w:t>
      </w:r>
      <w:r w:rsidRPr="006571AC">
        <w:rPr>
          <w:rFonts w:hint="eastAsia"/>
          <w:sz w:val="24"/>
          <w:szCs w:val="24"/>
          <w:rtl/>
        </w:rPr>
        <w:t>»</w:t>
      </w:r>
      <w:r w:rsidRPr="006571AC">
        <w:rPr>
          <w:sz w:val="27"/>
          <w:vertAlign w:val="superscript"/>
          <w:rtl/>
        </w:rPr>
        <w:t>(</w:t>
      </w:r>
      <w:r w:rsidRPr="006571AC">
        <w:rPr>
          <w:sz w:val="27"/>
          <w:vertAlign w:val="superscript"/>
          <w:rtl/>
        </w:rPr>
        <w:endnoteReference w:id="146"/>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أخرج الترمذي عن رسول الله</w:t>
      </w:r>
      <w:r w:rsidR="00DC3B12" w:rsidRPr="006571AC">
        <w:rPr>
          <w:rFonts w:ascii="Mosawi" w:hAnsi="Mosawi" w:cs="Mosawi"/>
          <w:sz w:val="22"/>
          <w:szCs w:val="22"/>
          <w:rtl/>
        </w:rPr>
        <w:t>|</w:t>
      </w:r>
      <w:r w:rsidRPr="006571AC">
        <w:rPr>
          <w:sz w:val="27"/>
          <w:rtl/>
        </w:rPr>
        <w:t xml:space="preserve"> أنه قال: </w:t>
      </w:r>
      <w:r w:rsidRPr="006571AC">
        <w:rPr>
          <w:rFonts w:hint="eastAsia"/>
          <w:sz w:val="24"/>
          <w:szCs w:val="24"/>
          <w:rtl/>
        </w:rPr>
        <w:t>«</w:t>
      </w:r>
      <w:r w:rsidRPr="006571AC">
        <w:rPr>
          <w:sz w:val="27"/>
          <w:rtl/>
        </w:rPr>
        <w:t>م</w:t>
      </w:r>
      <w:r w:rsidR="00821336" w:rsidRPr="006571AC">
        <w:rPr>
          <w:rFonts w:hint="cs"/>
          <w:sz w:val="27"/>
          <w:rtl/>
        </w:rPr>
        <w:t>َ</w:t>
      </w:r>
      <w:r w:rsidR="00821336" w:rsidRPr="006571AC">
        <w:rPr>
          <w:sz w:val="27"/>
          <w:rtl/>
        </w:rPr>
        <w:t>ن</w:t>
      </w:r>
      <w:r w:rsidR="00821336" w:rsidRPr="006571AC">
        <w:rPr>
          <w:rFonts w:hint="cs"/>
          <w:sz w:val="27"/>
          <w:rtl/>
        </w:rPr>
        <w:t>ْ</w:t>
      </w:r>
      <w:r w:rsidRPr="006571AC">
        <w:rPr>
          <w:sz w:val="27"/>
          <w:rtl/>
        </w:rPr>
        <w:t xml:space="preserve"> التمسَ رضا الله بسَخطِ النَّاسِ كفاهُ الله مؤنةَ النَّاسِ، وم</w:t>
      </w:r>
      <w:r w:rsidR="00821336" w:rsidRPr="006571AC">
        <w:rPr>
          <w:rFonts w:hint="cs"/>
          <w:sz w:val="27"/>
          <w:rtl/>
        </w:rPr>
        <w:t>َ</w:t>
      </w:r>
      <w:r w:rsidR="00821336" w:rsidRPr="006571AC">
        <w:rPr>
          <w:sz w:val="27"/>
          <w:rtl/>
        </w:rPr>
        <w:t>ن</w:t>
      </w:r>
      <w:r w:rsidR="00821336" w:rsidRPr="006571AC">
        <w:rPr>
          <w:rFonts w:hint="cs"/>
          <w:sz w:val="27"/>
          <w:rtl/>
        </w:rPr>
        <w:t>ْ</w:t>
      </w:r>
      <w:r w:rsidRPr="006571AC">
        <w:rPr>
          <w:sz w:val="27"/>
          <w:rtl/>
        </w:rPr>
        <w:t xml:space="preserve"> التمسَ رضا النَّاسِ بسخطِ الله وَك</w:t>
      </w:r>
      <w:r w:rsidR="00821336" w:rsidRPr="006571AC">
        <w:rPr>
          <w:rFonts w:hint="cs"/>
          <w:sz w:val="27"/>
          <w:rtl/>
        </w:rPr>
        <w:t>َ</w:t>
      </w:r>
      <w:r w:rsidRPr="006571AC">
        <w:rPr>
          <w:sz w:val="27"/>
          <w:rtl/>
        </w:rPr>
        <w:t>لَهُ الله إلى النَّاسِ</w:t>
      </w:r>
      <w:r w:rsidRPr="006571AC">
        <w:rPr>
          <w:rFonts w:hint="eastAsia"/>
          <w:sz w:val="24"/>
          <w:szCs w:val="24"/>
          <w:rtl/>
        </w:rPr>
        <w:t>»</w:t>
      </w:r>
      <w:r w:rsidRPr="006571AC">
        <w:rPr>
          <w:sz w:val="27"/>
          <w:vertAlign w:val="superscript"/>
          <w:rtl/>
        </w:rPr>
        <w:t>(</w:t>
      </w:r>
      <w:r w:rsidRPr="006571AC">
        <w:rPr>
          <w:sz w:val="27"/>
          <w:vertAlign w:val="superscript"/>
          <w:rtl/>
        </w:rPr>
        <w:endnoteReference w:id="147"/>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وورد عن الإمام علي</w:t>
      </w:r>
      <w:r w:rsidR="00821336" w:rsidRPr="006571AC">
        <w:rPr>
          <w:rFonts w:hint="cs"/>
          <w:sz w:val="27"/>
          <w:rtl/>
        </w:rPr>
        <w:t>ّ</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ما أعظم و</w:t>
      </w:r>
      <w:r w:rsidR="00FE3128" w:rsidRPr="006571AC">
        <w:rPr>
          <w:rFonts w:hint="cs"/>
          <w:sz w:val="27"/>
          <w:rtl/>
        </w:rPr>
        <w:t>ِ</w:t>
      </w:r>
      <w:r w:rsidRPr="006571AC">
        <w:rPr>
          <w:sz w:val="27"/>
          <w:rtl/>
        </w:rPr>
        <w:t>ز</w:t>
      </w:r>
      <w:r w:rsidR="00FE3128" w:rsidRPr="006571AC">
        <w:rPr>
          <w:rFonts w:hint="cs"/>
          <w:sz w:val="27"/>
          <w:rtl/>
        </w:rPr>
        <w:t>ْ</w:t>
      </w:r>
      <w:r w:rsidRPr="006571AC">
        <w:rPr>
          <w:sz w:val="27"/>
          <w:rtl/>
        </w:rPr>
        <w:t>ر م</w:t>
      </w:r>
      <w:r w:rsidR="00821336" w:rsidRPr="006571AC">
        <w:rPr>
          <w:rFonts w:hint="cs"/>
          <w:sz w:val="27"/>
          <w:rtl/>
        </w:rPr>
        <w:t>َ</w:t>
      </w:r>
      <w:r w:rsidRPr="006571AC">
        <w:rPr>
          <w:sz w:val="27"/>
          <w:rtl/>
        </w:rPr>
        <w:t>ن</w:t>
      </w:r>
      <w:r w:rsidR="00821336" w:rsidRPr="006571AC">
        <w:rPr>
          <w:rFonts w:hint="cs"/>
          <w:sz w:val="27"/>
          <w:rtl/>
        </w:rPr>
        <w:t>ْ</w:t>
      </w:r>
      <w:r w:rsidRPr="006571AC">
        <w:rPr>
          <w:sz w:val="27"/>
          <w:rtl/>
        </w:rPr>
        <w:t xml:space="preserve"> طلب رض</w:t>
      </w:r>
      <w:r w:rsidR="00821336" w:rsidRPr="006571AC">
        <w:rPr>
          <w:rFonts w:hint="cs"/>
          <w:sz w:val="27"/>
          <w:rtl/>
        </w:rPr>
        <w:t>ا</w:t>
      </w:r>
      <w:r w:rsidRPr="006571AC">
        <w:rPr>
          <w:sz w:val="27"/>
          <w:rtl/>
        </w:rPr>
        <w:t xml:space="preserve"> المخلوقين بسخط الخالق</w:t>
      </w:r>
      <w:r w:rsidRPr="006571AC">
        <w:rPr>
          <w:rFonts w:hint="eastAsia"/>
          <w:sz w:val="24"/>
          <w:szCs w:val="24"/>
          <w:rtl/>
        </w:rPr>
        <w:t>»</w:t>
      </w:r>
      <w:r w:rsidRPr="006571AC">
        <w:rPr>
          <w:sz w:val="27"/>
          <w:vertAlign w:val="superscript"/>
          <w:rtl/>
        </w:rPr>
        <w:t>(</w:t>
      </w:r>
      <w:r w:rsidRPr="006571AC">
        <w:rPr>
          <w:sz w:val="27"/>
          <w:vertAlign w:val="superscript"/>
          <w:rtl/>
        </w:rPr>
        <w:endnoteReference w:id="148"/>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lastRenderedPageBreak/>
        <w:t>كما ورد عن الإمام الحسين</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م</w:t>
      </w:r>
      <w:r w:rsidR="00821336" w:rsidRPr="006571AC">
        <w:rPr>
          <w:rFonts w:hint="cs"/>
          <w:sz w:val="27"/>
          <w:rtl/>
        </w:rPr>
        <w:t>َ</w:t>
      </w:r>
      <w:r w:rsidRPr="006571AC">
        <w:rPr>
          <w:sz w:val="27"/>
          <w:rtl/>
        </w:rPr>
        <w:t>ن</w:t>
      </w:r>
      <w:r w:rsidR="00821336" w:rsidRPr="006571AC">
        <w:rPr>
          <w:rFonts w:hint="cs"/>
          <w:sz w:val="27"/>
          <w:rtl/>
        </w:rPr>
        <w:t>ْ</w:t>
      </w:r>
      <w:r w:rsidRPr="006571AC">
        <w:rPr>
          <w:sz w:val="27"/>
          <w:rtl/>
        </w:rPr>
        <w:t xml:space="preserve"> طلب رضا الله بسخط الناس كفاه الله أمور الناس، وم</w:t>
      </w:r>
      <w:r w:rsidR="00821336" w:rsidRPr="006571AC">
        <w:rPr>
          <w:rFonts w:hint="cs"/>
          <w:sz w:val="27"/>
          <w:rtl/>
        </w:rPr>
        <w:t>َ</w:t>
      </w:r>
      <w:r w:rsidRPr="006571AC">
        <w:rPr>
          <w:sz w:val="27"/>
          <w:rtl/>
        </w:rPr>
        <w:t>ن</w:t>
      </w:r>
      <w:r w:rsidR="00821336" w:rsidRPr="006571AC">
        <w:rPr>
          <w:rFonts w:hint="cs"/>
          <w:sz w:val="27"/>
          <w:rtl/>
        </w:rPr>
        <w:t>ْ</w:t>
      </w:r>
      <w:r w:rsidRPr="006571AC">
        <w:rPr>
          <w:sz w:val="27"/>
          <w:rtl/>
        </w:rPr>
        <w:t xml:space="preserve"> طلب رضا الناس بسخط الله و</w:t>
      </w:r>
      <w:r w:rsidR="00821336" w:rsidRPr="006571AC">
        <w:rPr>
          <w:rFonts w:hint="cs"/>
          <w:sz w:val="27"/>
          <w:rtl/>
        </w:rPr>
        <w:t>َ</w:t>
      </w:r>
      <w:r w:rsidRPr="006571AC">
        <w:rPr>
          <w:sz w:val="27"/>
          <w:rtl/>
        </w:rPr>
        <w:t>ك</w:t>
      </w:r>
      <w:r w:rsidR="00821336" w:rsidRPr="006571AC">
        <w:rPr>
          <w:rFonts w:hint="cs"/>
          <w:sz w:val="27"/>
          <w:rtl/>
        </w:rPr>
        <w:t>َ</w:t>
      </w:r>
      <w:r w:rsidRPr="006571AC">
        <w:rPr>
          <w:sz w:val="27"/>
          <w:rtl/>
        </w:rPr>
        <w:t>ل</w:t>
      </w:r>
      <w:r w:rsidR="00821336" w:rsidRPr="006571AC">
        <w:rPr>
          <w:rFonts w:hint="cs"/>
          <w:sz w:val="27"/>
          <w:rtl/>
        </w:rPr>
        <w:t>َ</w:t>
      </w:r>
      <w:r w:rsidRPr="006571AC">
        <w:rPr>
          <w:sz w:val="27"/>
          <w:rtl/>
        </w:rPr>
        <w:t>ه الله إلى الناس</w:t>
      </w:r>
      <w:r w:rsidRPr="006571AC">
        <w:rPr>
          <w:rFonts w:hint="eastAsia"/>
          <w:sz w:val="24"/>
          <w:szCs w:val="24"/>
          <w:rtl/>
        </w:rPr>
        <w:t>»</w:t>
      </w:r>
      <w:r w:rsidRPr="006571AC">
        <w:rPr>
          <w:sz w:val="27"/>
          <w:vertAlign w:val="superscript"/>
          <w:rtl/>
        </w:rPr>
        <w:t>(</w:t>
      </w:r>
      <w:r w:rsidRPr="006571AC">
        <w:rPr>
          <w:sz w:val="27"/>
          <w:vertAlign w:val="superscript"/>
          <w:rtl/>
        </w:rPr>
        <w:endnoteReference w:id="149"/>
      </w:r>
      <w:r w:rsidRPr="006571AC">
        <w:rPr>
          <w:sz w:val="27"/>
          <w:vertAlign w:val="superscript"/>
          <w:rtl/>
        </w:rPr>
        <w:t>)</w:t>
      </w:r>
      <w:r w:rsidRPr="006571AC">
        <w:rPr>
          <w:sz w:val="27"/>
          <w:rtl/>
        </w:rPr>
        <w:t xml:space="preserve">. </w:t>
      </w:r>
    </w:p>
    <w:p w:rsidR="00B04672" w:rsidRPr="006571AC" w:rsidRDefault="00B04672" w:rsidP="00F83E2D">
      <w:pPr>
        <w:spacing w:line="420" w:lineRule="exact"/>
        <w:rPr>
          <w:sz w:val="27"/>
          <w:rtl/>
        </w:rPr>
      </w:pPr>
    </w:p>
    <w:p w:rsidR="00B04672" w:rsidRPr="006571AC" w:rsidRDefault="00B04672" w:rsidP="00B04672">
      <w:pPr>
        <w:pStyle w:val="31"/>
        <w:rPr>
          <w:color w:val="auto"/>
          <w:rtl/>
        </w:rPr>
      </w:pPr>
      <w:bookmarkStart w:id="70" w:name="_Toc114164559"/>
      <w:r w:rsidRPr="006571AC">
        <w:rPr>
          <w:rFonts w:hint="cs"/>
          <w:color w:val="auto"/>
          <w:rtl/>
        </w:rPr>
        <w:t>أساليب الخطاب الديني الشعبوي</w:t>
      </w:r>
      <w:bookmarkEnd w:id="70"/>
    </w:p>
    <w:p w:rsidR="00B04672" w:rsidRPr="006571AC" w:rsidRDefault="00B04672" w:rsidP="00F83E2D">
      <w:pPr>
        <w:spacing w:line="420" w:lineRule="exact"/>
        <w:rPr>
          <w:sz w:val="27"/>
          <w:rtl/>
        </w:rPr>
      </w:pPr>
      <w:r w:rsidRPr="006571AC">
        <w:rPr>
          <w:sz w:val="27"/>
          <w:rtl/>
        </w:rPr>
        <w:t>ويمكن رصد ثلاثة أساليب للخطاب الديني</w:t>
      </w:r>
      <w:r w:rsidRPr="006571AC">
        <w:rPr>
          <w:rFonts w:hint="cs"/>
          <w:sz w:val="27"/>
          <w:rtl/>
        </w:rPr>
        <w:t>ّ</w:t>
      </w:r>
      <w:r w:rsidRPr="006571AC">
        <w:rPr>
          <w:sz w:val="27"/>
          <w:rtl/>
        </w:rPr>
        <w:t xml:space="preserve"> الشعبوي</w:t>
      </w:r>
      <w:r w:rsidRPr="006571AC">
        <w:rPr>
          <w:rFonts w:hint="cs"/>
          <w:sz w:val="27"/>
          <w:rtl/>
        </w:rPr>
        <w:t>ّ</w:t>
      </w:r>
      <w:r w:rsidRPr="006571AC">
        <w:rPr>
          <w:sz w:val="27"/>
          <w:rtl/>
        </w:rPr>
        <w:t xml:space="preserve">: </w:t>
      </w:r>
    </w:p>
    <w:p w:rsidR="007C76F0" w:rsidRPr="006571AC" w:rsidRDefault="007C76F0" w:rsidP="00F83E2D">
      <w:pPr>
        <w:spacing w:line="420" w:lineRule="exact"/>
        <w:rPr>
          <w:sz w:val="27"/>
          <w:rtl/>
        </w:rPr>
      </w:pPr>
    </w:p>
    <w:p w:rsidR="007C76F0" w:rsidRPr="006571AC" w:rsidRDefault="00B04672" w:rsidP="006C79DA">
      <w:pPr>
        <w:pStyle w:val="31"/>
        <w:rPr>
          <w:color w:val="auto"/>
          <w:rtl/>
        </w:rPr>
      </w:pPr>
      <w:bookmarkStart w:id="71" w:name="_Toc114164560"/>
      <w:r w:rsidRPr="006571AC">
        <w:rPr>
          <w:rFonts w:hint="cs"/>
          <w:color w:val="auto"/>
          <w:rtl/>
        </w:rPr>
        <w:t>1ـ</w:t>
      </w:r>
      <w:r w:rsidR="007C76F0" w:rsidRPr="006571AC">
        <w:rPr>
          <w:color w:val="auto"/>
          <w:rtl/>
        </w:rPr>
        <w:t xml:space="preserve"> أسلوب التهييج السياسي</w:t>
      </w:r>
      <w:bookmarkEnd w:id="71"/>
      <w:r w:rsidR="007C76F0" w:rsidRPr="006571AC">
        <w:rPr>
          <w:color w:val="auto"/>
          <w:rtl/>
        </w:rPr>
        <w:t xml:space="preserve"> </w:t>
      </w:r>
    </w:p>
    <w:p w:rsidR="007C76F0" w:rsidRPr="006571AC" w:rsidRDefault="007C76F0" w:rsidP="00F22B89">
      <w:pPr>
        <w:rPr>
          <w:sz w:val="27"/>
          <w:rtl/>
        </w:rPr>
      </w:pPr>
      <w:r w:rsidRPr="006571AC">
        <w:rPr>
          <w:sz w:val="27"/>
          <w:rtl/>
        </w:rPr>
        <w:t>فللشعوب في كلّ البلدان قضايا ومطالب واهتمامات، وعادة</w:t>
      </w:r>
      <w:r w:rsidR="00A72E0E" w:rsidRPr="006571AC">
        <w:rPr>
          <w:rFonts w:hint="cs"/>
          <w:sz w:val="27"/>
          <w:rtl/>
        </w:rPr>
        <w:t>ً</w:t>
      </w:r>
      <w:r w:rsidRPr="006571AC">
        <w:rPr>
          <w:sz w:val="27"/>
          <w:rtl/>
        </w:rPr>
        <w:t xml:space="preserve"> ما يتفاعل الناس مع م</w:t>
      </w:r>
      <w:r w:rsidR="00A72E0E" w:rsidRPr="006571AC">
        <w:rPr>
          <w:rFonts w:hint="cs"/>
          <w:sz w:val="27"/>
          <w:rtl/>
        </w:rPr>
        <w:t>َ</w:t>
      </w:r>
      <w:r w:rsidRPr="006571AC">
        <w:rPr>
          <w:sz w:val="27"/>
          <w:rtl/>
        </w:rPr>
        <w:t>ن</w:t>
      </w:r>
      <w:r w:rsidR="00A72E0E" w:rsidRPr="006571AC">
        <w:rPr>
          <w:rFonts w:hint="cs"/>
          <w:sz w:val="27"/>
          <w:rtl/>
        </w:rPr>
        <w:t>ْ</w:t>
      </w:r>
      <w:r w:rsidRPr="006571AC">
        <w:rPr>
          <w:sz w:val="27"/>
          <w:rtl/>
        </w:rPr>
        <w:t xml:space="preserve"> يرفع صوت المعارضة والاحتجاج، وهنا لا بُدّ أن تؤخذ الظروف والأوضاع في كلّ بلد</w:t>
      </w:r>
      <w:r w:rsidR="00A72E0E" w:rsidRPr="006571AC">
        <w:rPr>
          <w:rFonts w:hint="cs"/>
          <w:sz w:val="27"/>
          <w:rtl/>
        </w:rPr>
        <w:t>ٍ</w:t>
      </w:r>
      <w:r w:rsidRPr="006571AC">
        <w:rPr>
          <w:sz w:val="27"/>
          <w:rtl/>
        </w:rPr>
        <w:t xml:space="preserve"> ومجتمع بعين الاعتبار، فما يكون مفيداً في بلد</w:t>
      </w:r>
      <w:r w:rsidR="00A72E0E" w:rsidRPr="006571AC">
        <w:rPr>
          <w:rFonts w:hint="cs"/>
          <w:sz w:val="27"/>
          <w:rtl/>
        </w:rPr>
        <w:t>ٍ</w:t>
      </w:r>
      <w:r w:rsidRPr="006571AC">
        <w:rPr>
          <w:sz w:val="27"/>
          <w:rtl/>
        </w:rPr>
        <w:t xml:space="preserve"> قد يكون مضرّاً في بلد</w:t>
      </w:r>
      <w:r w:rsidR="00A72E0E" w:rsidRPr="006571AC">
        <w:rPr>
          <w:rFonts w:hint="cs"/>
          <w:sz w:val="27"/>
          <w:rtl/>
        </w:rPr>
        <w:t>ٍ</w:t>
      </w:r>
      <w:r w:rsidRPr="006571AC">
        <w:rPr>
          <w:sz w:val="27"/>
          <w:rtl/>
        </w:rPr>
        <w:t xml:space="preserve"> آخر، وما يكون مناسباً لظرف</w:t>
      </w:r>
      <w:r w:rsidR="00A72E0E" w:rsidRPr="006571AC">
        <w:rPr>
          <w:rFonts w:hint="cs"/>
          <w:sz w:val="27"/>
          <w:rtl/>
        </w:rPr>
        <w:t>ٍ</w:t>
      </w:r>
      <w:r w:rsidRPr="006571AC">
        <w:rPr>
          <w:sz w:val="27"/>
          <w:rtl/>
        </w:rPr>
        <w:t xml:space="preserve"> وزمن</w:t>
      </w:r>
      <w:r w:rsidR="00A72E0E" w:rsidRPr="006571AC">
        <w:rPr>
          <w:rFonts w:hint="cs"/>
          <w:sz w:val="27"/>
          <w:rtl/>
        </w:rPr>
        <w:t>ٍ</w:t>
      </w:r>
      <w:r w:rsidRPr="006571AC">
        <w:rPr>
          <w:sz w:val="27"/>
          <w:rtl/>
        </w:rPr>
        <w:t xml:space="preserve"> قد لا يكون مناسباً في ظرف</w:t>
      </w:r>
      <w:r w:rsidR="00A72E0E" w:rsidRPr="006571AC">
        <w:rPr>
          <w:rFonts w:hint="cs"/>
          <w:sz w:val="27"/>
          <w:rtl/>
        </w:rPr>
        <w:t>ٍ</w:t>
      </w:r>
      <w:r w:rsidRPr="006571AC">
        <w:rPr>
          <w:sz w:val="27"/>
          <w:rtl/>
        </w:rPr>
        <w:t xml:space="preserve"> وزمن</w:t>
      </w:r>
      <w:r w:rsidR="00A72E0E" w:rsidRPr="006571AC">
        <w:rPr>
          <w:rFonts w:hint="cs"/>
          <w:sz w:val="27"/>
          <w:rtl/>
        </w:rPr>
        <w:t>ٍ</w:t>
      </w:r>
      <w:r w:rsidRPr="006571AC">
        <w:rPr>
          <w:sz w:val="27"/>
          <w:rtl/>
        </w:rPr>
        <w:t xml:space="preserve"> مختلف. </w:t>
      </w:r>
    </w:p>
    <w:p w:rsidR="007C76F0" w:rsidRPr="006571AC" w:rsidRDefault="007C76F0" w:rsidP="00F83E2D">
      <w:pPr>
        <w:spacing w:line="420" w:lineRule="exact"/>
        <w:rPr>
          <w:sz w:val="27"/>
          <w:rtl/>
        </w:rPr>
      </w:pPr>
    </w:p>
    <w:p w:rsidR="007C76F0" w:rsidRPr="006571AC" w:rsidRDefault="00B04672" w:rsidP="006C79DA">
      <w:pPr>
        <w:pStyle w:val="31"/>
        <w:rPr>
          <w:color w:val="auto"/>
          <w:rtl/>
        </w:rPr>
      </w:pPr>
      <w:bookmarkStart w:id="72" w:name="_Toc114164561"/>
      <w:r w:rsidRPr="006571AC">
        <w:rPr>
          <w:rFonts w:hint="cs"/>
          <w:color w:val="auto"/>
          <w:rtl/>
        </w:rPr>
        <w:t>2ـ</w:t>
      </w:r>
      <w:r w:rsidR="007C76F0" w:rsidRPr="006571AC">
        <w:rPr>
          <w:color w:val="auto"/>
          <w:rtl/>
        </w:rPr>
        <w:t xml:space="preserve"> أسلوب التعبئة المذهبي</w:t>
      </w:r>
      <w:r w:rsidRPr="006571AC">
        <w:rPr>
          <w:rFonts w:hint="cs"/>
          <w:color w:val="auto"/>
          <w:rtl/>
        </w:rPr>
        <w:t>ّ</w:t>
      </w:r>
      <w:r w:rsidR="007C76F0" w:rsidRPr="006571AC">
        <w:rPr>
          <w:color w:val="auto"/>
          <w:rtl/>
        </w:rPr>
        <w:t>ة</w:t>
      </w:r>
      <w:bookmarkEnd w:id="72"/>
    </w:p>
    <w:p w:rsidR="007C76F0" w:rsidRPr="006571AC" w:rsidRDefault="007C76F0" w:rsidP="00F22B89">
      <w:pPr>
        <w:rPr>
          <w:sz w:val="27"/>
          <w:rtl/>
        </w:rPr>
      </w:pPr>
      <w:r w:rsidRPr="006571AC">
        <w:rPr>
          <w:sz w:val="27"/>
          <w:rtl/>
        </w:rPr>
        <w:t>هناك أرضية</w:t>
      </w:r>
      <w:r w:rsidR="00A72E0E" w:rsidRPr="006571AC">
        <w:rPr>
          <w:rFonts w:hint="cs"/>
          <w:sz w:val="27"/>
          <w:rtl/>
        </w:rPr>
        <w:t>ٌ</w:t>
      </w:r>
      <w:r w:rsidRPr="006571AC">
        <w:rPr>
          <w:sz w:val="27"/>
          <w:rtl/>
        </w:rPr>
        <w:t xml:space="preserve"> خصبة في مجتمعاتنا للتفاعل مع الخطاب المذهبي والطائفي</w:t>
      </w:r>
      <w:r w:rsidR="00A72E0E" w:rsidRPr="006571AC">
        <w:rPr>
          <w:rFonts w:hint="cs"/>
          <w:sz w:val="27"/>
          <w:rtl/>
        </w:rPr>
        <w:t>؛</w:t>
      </w:r>
      <w:r w:rsidRPr="006571AC">
        <w:rPr>
          <w:sz w:val="27"/>
          <w:rtl/>
        </w:rPr>
        <w:t xml:space="preserve"> بسبب وجود تراث تاريخي وثقافي ضخم عند كلّ طائفة</w:t>
      </w:r>
      <w:r w:rsidR="00A72E0E" w:rsidRPr="006571AC">
        <w:rPr>
          <w:rFonts w:hint="cs"/>
          <w:sz w:val="27"/>
          <w:rtl/>
        </w:rPr>
        <w:t>ٍ</w:t>
      </w:r>
      <w:r w:rsidRPr="006571AC">
        <w:rPr>
          <w:sz w:val="27"/>
          <w:rtl/>
        </w:rPr>
        <w:t xml:space="preserve"> في السجال المذهبي</w:t>
      </w:r>
      <w:r w:rsidR="00A72E0E" w:rsidRPr="006571AC">
        <w:rPr>
          <w:rFonts w:hint="cs"/>
          <w:sz w:val="27"/>
          <w:rtl/>
        </w:rPr>
        <w:t>؛</w:t>
      </w:r>
      <w:r w:rsidRPr="006571AC">
        <w:rPr>
          <w:sz w:val="27"/>
          <w:rtl/>
        </w:rPr>
        <w:t xml:space="preserve"> وبسبب وجود خلل</w:t>
      </w:r>
      <w:r w:rsidR="00A72E0E" w:rsidRPr="006571AC">
        <w:rPr>
          <w:rFonts w:hint="cs"/>
          <w:sz w:val="27"/>
          <w:rtl/>
        </w:rPr>
        <w:t>ٍ</w:t>
      </w:r>
      <w:r w:rsidRPr="006571AC">
        <w:rPr>
          <w:sz w:val="27"/>
          <w:rtl/>
        </w:rPr>
        <w:t xml:space="preserve"> في العلاقات بين الطوائف، حيث تستعلي طائفة</w:t>
      </w:r>
      <w:r w:rsidR="00A72E0E" w:rsidRPr="006571AC">
        <w:rPr>
          <w:rFonts w:hint="cs"/>
          <w:sz w:val="27"/>
          <w:rtl/>
        </w:rPr>
        <w:t>ٌ</w:t>
      </w:r>
      <w:r w:rsidRPr="006571AC">
        <w:rPr>
          <w:sz w:val="27"/>
          <w:rtl/>
        </w:rPr>
        <w:t xml:space="preserve"> على أخرى، وتعاني طوائف من التهميش والإقصاء</w:t>
      </w:r>
      <w:r w:rsidR="00A72E0E" w:rsidRPr="006571AC">
        <w:rPr>
          <w:rFonts w:hint="cs"/>
          <w:sz w:val="27"/>
          <w:rtl/>
        </w:rPr>
        <w:t>،</w:t>
      </w:r>
      <w:r w:rsidRPr="006571AC">
        <w:rPr>
          <w:sz w:val="27"/>
          <w:rtl/>
        </w:rPr>
        <w:t xml:space="preserve"> وحيث تستعر نيران الفتن والصراعات الطائفية، فمن الطبيعي</w:t>
      </w:r>
      <w:r w:rsidR="00A72E0E" w:rsidRPr="006571AC">
        <w:rPr>
          <w:rFonts w:hint="cs"/>
          <w:sz w:val="27"/>
          <w:rtl/>
        </w:rPr>
        <w:t>ّ</w:t>
      </w:r>
      <w:r w:rsidRPr="006571AC">
        <w:rPr>
          <w:sz w:val="27"/>
          <w:rtl/>
        </w:rPr>
        <w:t xml:space="preserve"> أن يتفاعل الجمهور من مختلف الطوائف مع الطروحات المذهبية، ويصبح سوقها رائجاً</w:t>
      </w:r>
      <w:r w:rsidR="00A72E0E" w:rsidRPr="006571AC">
        <w:rPr>
          <w:rFonts w:hint="cs"/>
          <w:sz w:val="27"/>
          <w:rtl/>
        </w:rPr>
        <w:t>.</w:t>
      </w:r>
      <w:r w:rsidRPr="006571AC">
        <w:rPr>
          <w:sz w:val="27"/>
          <w:rtl/>
        </w:rPr>
        <w:t xml:space="preserve"> وأبرز شاهد على ذلك هذه الفضائيات الطائفية، وم</w:t>
      </w:r>
      <w:r w:rsidR="00A72E0E" w:rsidRPr="006571AC">
        <w:rPr>
          <w:rFonts w:hint="cs"/>
          <w:sz w:val="27"/>
          <w:rtl/>
        </w:rPr>
        <w:t>َ</w:t>
      </w:r>
      <w:r w:rsidRPr="006571AC">
        <w:rPr>
          <w:sz w:val="27"/>
          <w:rtl/>
        </w:rPr>
        <w:t>ن</w:t>
      </w:r>
      <w:r w:rsidR="00A72E0E" w:rsidRPr="006571AC">
        <w:rPr>
          <w:rFonts w:hint="cs"/>
          <w:sz w:val="27"/>
          <w:rtl/>
        </w:rPr>
        <w:t>ْ</w:t>
      </w:r>
      <w:r w:rsidRPr="006571AC">
        <w:rPr>
          <w:sz w:val="27"/>
          <w:rtl/>
        </w:rPr>
        <w:t xml:space="preserve"> يركب هذه الموجة يصبح نـجماً وبطلاً، كما رأينا أنّ أفراداً نكرات</w:t>
      </w:r>
      <w:r w:rsidR="00A72E0E" w:rsidRPr="006571AC">
        <w:rPr>
          <w:rFonts w:hint="cs"/>
          <w:sz w:val="27"/>
          <w:rtl/>
        </w:rPr>
        <w:t>ٍ</w:t>
      </w:r>
      <w:r w:rsidRPr="006571AC">
        <w:rPr>
          <w:sz w:val="27"/>
          <w:rtl/>
        </w:rPr>
        <w:t xml:space="preserve"> أصبحوا أرقاماً ي</w:t>
      </w:r>
      <w:r w:rsidR="00A72E0E" w:rsidRPr="006571AC">
        <w:rPr>
          <w:rFonts w:hint="cs"/>
          <w:sz w:val="27"/>
          <w:rtl/>
        </w:rPr>
        <w:t>ُ</w:t>
      </w:r>
      <w:r w:rsidRPr="006571AC">
        <w:rPr>
          <w:sz w:val="27"/>
          <w:rtl/>
        </w:rPr>
        <w:t>ح</w:t>
      </w:r>
      <w:r w:rsidR="00A72E0E" w:rsidRPr="006571AC">
        <w:rPr>
          <w:rFonts w:hint="cs"/>
          <w:sz w:val="27"/>
          <w:rtl/>
        </w:rPr>
        <w:t>ْ</w:t>
      </w:r>
      <w:r w:rsidRPr="006571AC">
        <w:rPr>
          <w:sz w:val="27"/>
          <w:rtl/>
        </w:rPr>
        <w:t>س</w:t>
      </w:r>
      <w:r w:rsidR="00A72E0E" w:rsidRPr="006571AC">
        <w:rPr>
          <w:rFonts w:hint="cs"/>
          <w:sz w:val="27"/>
          <w:rtl/>
        </w:rPr>
        <w:t>َ</w:t>
      </w:r>
      <w:r w:rsidRPr="006571AC">
        <w:rPr>
          <w:sz w:val="27"/>
          <w:rtl/>
        </w:rPr>
        <w:t>ب لهم حساب</w:t>
      </w:r>
      <w:r w:rsidR="00A72E0E" w:rsidRPr="006571AC">
        <w:rPr>
          <w:rFonts w:hint="cs"/>
          <w:sz w:val="27"/>
          <w:rtl/>
        </w:rPr>
        <w:t>ٌ</w:t>
      </w:r>
      <w:r w:rsidRPr="006571AC">
        <w:rPr>
          <w:sz w:val="27"/>
          <w:rtl/>
        </w:rPr>
        <w:t xml:space="preserve">! </w:t>
      </w:r>
    </w:p>
    <w:p w:rsidR="007C76F0" w:rsidRPr="006571AC" w:rsidRDefault="007C76F0" w:rsidP="00F22B89">
      <w:pPr>
        <w:rPr>
          <w:sz w:val="27"/>
          <w:rtl/>
        </w:rPr>
      </w:pPr>
      <w:r w:rsidRPr="006571AC">
        <w:rPr>
          <w:sz w:val="27"/>
          <w:rtl/>
        </w:rPr>
        <w:t>لكن</w:t>
      </w:r>
      <w:r w:rsidR="00A72E0E" w:rsidRPr="006571AC">
        <w:rPr>
          <w:rFonts w:hint="cs"/>
          <w:sz w:val="27"/>
          <w:rtl/>
        </w:rPr>
        <w:t>ّ</w:t>
      </w:r>
      <w:r w:rsidRPr="006571AC">
        <w:rPr>
          <w:sz w:val="27"/>
          <w:rtl/>
        </w:rPr>
        <w:t xml:space="preserve"> الخطيب الواعي هو م</w:t>
      </w:r>
      <w:r w:rsidR="00A72E0E" w:rsidRPr="006571AC">
        <w:rPr>
          <w:rFonts w:hint="cs"/>
          <w:sz w:val="27"/>
          <w:rtl/>
        </w:rPr>
        <w:t>َ</w:t>
      </w:r>
      <w:r w:rsidRPr="006571AC">
        <w:rPr>
          <w:sz w:val="27"/>
          <w:rtl/>
        </w:rPr>
        <w:t>ن</w:t>
      </w:r>
      <w:r w:rsidR="00A72E0E" w:rsidRPr="006571AC">
        <w:rPr>
          <w:rFonts w:hint="cs"/>
          <w:sz w:val="27"/>
          <w:rtl/>
        </w:rPr>
        <w:t>ْ</w:t>
      </w:r>
      <w:r w:rsidRPr="006571AC">
        <w:rPr>
          <w:sz w:val="27"/>
          <w:rtl/>
        </w:rPr>
        <w:t xml:space="preserve"> يجعل المصلحة العامة للدين والأمة والوطن ن</w:t>
      </w:r>
      <w:r w:rsidR="00FE3128" w:rsidRPr="006571AC">
        <w:rPr>
          <w:rFonts w:hint="cs"/>
          <w:sz w:val="27"/>
          <w:rtl/>
        </w:rPr>
        <w:t>َ</w:t>
      </w:r>
      <w:r w:rsidRPr="006571AC">
        <w:rPr>
          <w:sz w:val="27"/>
          <w:rtl/>
        </w:rPr>
        <w:t>ص</w:t>
      </w:r>
      <w:r w:rsidR="00FE3128" w:rsidRPr="006571AC">
        <w:rPr>
          <w:rFonts w:hint="cs"/>
          <w:sz w:val="27"/>
          <w:rtl/>
        </w:rPr>
        <w:t>ْ</w:t>
      </w:r>
      <w:r w:rsidRPr="006571AC">
        <w:rPr>
          <w:sz w:val="27"/>
          <w:rtl/>
        </w:rPr>
        <w:t>ب عين</w:t>
      </w:r>
      <w:r w:rsidR="00A72E0E" w:rsidRPr="006571AC">
        <w:rPr>
          <w:rFonts w:hint="cs"/>
          <w:sz w:val="27"/>
          <w:rtl/>
        </w:rPr>
        <w:t>َ</w:t>
      </w:r>
      <w:r w:rsidRPr="006571AC">
        <w:rPr>
          <w:sz w:val="27"/>
          <w:rtl/>
        </w:rPr>
        <w:t>ي</w:t>
      </w:r>
      <w:r w:rsidR="00A72E0E" w:rsidRPr="006571AC">
        <w:rPr>
          <w:rFonts w:hint="cs"/>
          <w:sz w:val="27"/>
          <w:rtl/>
        </w:rPr>
        <w:t>ْ</w:t>
      </w:r>
      <w:r w:rsidRPr="006571AC">
        <w:rPr>
          <w:sz w:val="27"/>
          <w:rtl/>
        </w:rPr>
        <w:t>ه، فيتقي الله في</w:t>
      </w:r>
      <w:r w:rsidR="00A72E0E" w:rsidRPr="006571AC">
        <w:rPr>
          <w:rFonts w:hint="cs"/>
          <w:sz w:val="27"/>
          <w:rtl/>
        </w:rPr>
        <w:t xml:space="preserve"> </w:t>
      </w:r>
      <w:r w:rsidRPr="006571AC">
        <w:rPr>
          <w:sz w:val="27"/>
          <w:rtl/>
        </w:rPr>
        <w:t>ما يطرح ويقول، فكثيراً ما تتأث</w:t>
      </w:r>
      <w:r w:rsidR="00A72E0E" w:rsidRPr="006571AC">
        <w:rPr>
          <w:rFonts w:hint="cs"/>
          <w:sz w:val="27"/>
          <w:rtl/>
        </w:rPr>
        <w:t>َّ</w:t>
      </w:r>
      <w:r w:rsidRPr="006571AC">
        <w:rPr>
          <w:sz w:val="27"/>
          <w:rtl/>
        </w:rPr>
        <w:t>ر العلاقة بين أبناء الوطن الواحد بخطب التعبئة الطائفية، وقد يدفع ذلك للفتنة وال</w:t>
      </w:r>
      <w:r w:rsidRPr="006571AC">
        <w:rPr>
          <w:rFonts w:hint="cs"/>
          <w:sz w:val="27"/>
          <w:rtl/>
        </w:rPr>
        <w:t>ا</w:t>
      </w:r>
      <w:r w:rsidRPr="006571AC">
        <w:rPr>
          <w:sz w:val="27"/>
          <w:rtl/>
        </w:rPr>
        <w:t xml:space="preserve">حتراب. </w:t>
      </w:r>
    </w:p>
    <w:p w:rsidR="007C76F0" w:rsidRPr="006571AC" w:rsidRDefault="007C76F0" w:rsidP="00F83E2D">
      <w:pPr>
        <w:spacing w:line="420" w:lineRule="exact"/>
        <w:rPr>
          <w:sz w:val="27"/>
          <w:rtl/>
        </w:rPr>
      </w:pPr>
    </w:p>
    <w:p w:rsidR="007C76F0" w:rsidRPr="006571AC" w:rsidRDefault="00B04672" w:rsidP="006C79DA">
      <w:pPr>
        <w:pStyle w:val="31"/>
        <w:rPr>
          <w:color w:val="auto"/>
          <w:rtl/>
        </w:rPr>
      </w:pPr>
      <w:bookmarkStart w:id="73" w:name="_Toc114164562"/>
      <w:r w:rsidRPr="006571AC">
        <w:rPr>
          <w:rFonts w:hint="cs"/>
          <w:color w:val="auto"/>
          <w:rtl/>
        </w:rPr>
        <w:t>3ـ</w:t>
      </w:r>
      <w:r w:rsidR="007C76F0" w:rsidRPr="006571AC">
        <w:rPr>
          <w:color w:val="auto"/>
          <w:rtl/>
        </w:rPr>
        <w:t xml:space="preserve"> أسلوب الإثارة العاطفي</w:t>
      </w:r>
      <w:r w:rsidRPr="006571AC">
        <w:rPr>
          <w:rFonts w:hint="cs"/>
          <w:color w:val="auto"/>
          <w:rtl/>
        </w:rPr>
        <w:t>ّ</w:t>
      </w:r>
      <w:r w:rsidR="007C76F0" w:rsidRPr="006571AC">
        <w:rPr>
          <w:color w:val="auto"/>
          <w:rtl/>
        </w:rPr>
        <w:t>ة</w:t>
      </w:r>
      <w:bookmarkEnd w:id="73"/>
      <w:r w:rsidR="007C76F0" w:rsidRPr="006571AC">
        <w:rPr>
          <w:color w:val="auto"/>
          <w:rtl/>
        </w:rPr>
        <w:t xml:space="preserve"> </w:t>
      </w:r>
    </w:p>
    <w:p w:rsidR="007C76F0" w:rsidRPr="006571AC" w:rsidRDefault="007C76F0" w:rsidP="00F22B89">
      <w:pPr>
        <w:rPr>
          <w:sz w:val="27"/>
          <w:rtl/>
        </w:rPr>
      </w:pPr>
      <w:r w:rsidRPr="006571AC">
        <w:rPr>
          <w:sz w:val="27"/>
          <w:rtl/>
        </w:rPr>
        <w:t>لا شك أنّ للعاطفة د</w:t>
      </w:r>
      <w:r w:rsidR="00A72E0E" w:rsidRPr="006571AC">
        <w:rPr>
          <w:rFonts w:hint="cs"/>
          <w:sz w:val="27"/>
          <w:rtl/>
        </w:rPr>
        <w:t>َ</w:t>
      </w:r>
      <w:r w:rsidRPr="006571AC">
        <w:rPr>
          <w:sz w:val="27"/>
          <w:rtl/>
        </w:rPr>
        <w:t>و</w:t>
      </w:r>
      <w:r w:rsidR="00A72E0E" w:rsidRPr="006571AC">
        <w:rPr>
          <w:rFonts w:hint="cs"/>
          <w:sz w:val="27"/>
          <w:rtl/>
        </w:rPr>
        <w:t>ْ</w:t>
      </w:r>
      <w:r w:rsidRPr="006571AC">
        <w:rPr>
          <w:sz w:val="27"/>
          <w:rtl/>
        </w:rPr>
        <w:t xml:space="preserve">راً ينبغي أن يستثمر في الخطاب الديني، بإثارة الخشية من </w:t>
      </w:r>
      <w:r w:rsidRPr="006571AC">
        <w:rPr>
          <w:sz w:val="27"/>
          <w:rtl/>
        </w:rPr>
        <w:lastRenderedPageBreak/>
        <w:t>الله والشوق إلى رضاه، والحبّ لأولياء الله، والتأث</w:t>
      </w:r>
      <w:r w:rsidR="00A72E0E" w:rsidRPr="006571AC">
        <w:rPr>
          <w:rFonts w:hint="cs"/>
          <w:sz w:val="27"/>
          <w:rtl/>
        </w:rPr>
        <w:t>ُّ</w:t>
      </w:r>
      <w:r w:rsidRPr="006571AC">
        <w:rPr>
          <w:sz w:val="27"/>
          <w:rtl/>
        </w:rPr>
        <w:t xml:space="preserve">ر لمصائبهم ومعاناتهم. </w:t>
      </w:r>
    </w:p>
    <w:p w:rsidR="007C76F0" w:rsidRPr="006571AC" w:rsidRDefault="007C76F0" w:rsidP="00F22B89">
      <w:pPr>
        <w:rPr>
          <w:sz w:val="27"/>
          <w:rtl/>
        </w:rPr>
      </w:pPr>
      <w:r w:rsidRPr="006571AC">
        <w:rPr>
          <w:sz w:val="27"/>
          <w:rtl/>
        </w:rPr>
        <w:t>لكن</w:t>
      </w:r>
      <w:r w:rsidR="00A72E0E" w:rsidRPr="006571AC">
        <w:rPr>
          <w:rFonts w:hint="cs"/>
          <w:sz w:val="27"/>
          <w:rtl/>
        </w:rPr>
        <w:t>ْ</w:t>
      </w:r>
      <w:r w:rsidRPr="006571AC">
        <w:rPr>
          <w:sz w:val="27"/>
          <w:rtl/>
        </w:rPr>
        <w:t xml:space="preserve"> لا ينبغي الاستغراق والمبالغة في الجانب العاطفي، بحيث يتجاوز الحدود المشروعة، بس</w:t>
      </w:r>
      <w:r w:rsidR="00B66DC2" w:rsidRPr="006571AC">
        <w:rPr>
          <w:rFonts w:hint="cs"/>
          <w:sz w:val="27"/>
          <w:rtl/>
        </w:rPr>
        <w:t>َ</w:t>
      </w:r>
      <w:r w:rsidRPr="006571AC">
        <w:rPr>
          <w:sz w:val="27"/>
          <w:rtl/>
        </w:rPr>
        <w:t>ر</w:t>
      </w:r>
      <w:r w:rsidR="00B66DC2" w:rsidRPr="006571AC">
        <w:rPr>
          <w:rFonts w:hint="cs"/>
          <w:sz w:val="27"/>
          <w:rtl/>
        </w:rPr>
        <w:t>ْ</w:t>
      </w:r>
      <w:r w:rsidRPr="006571AC">
        <w:rPr>
          <w:sz w:val="27"/>
          <w:rtl/>
        </w:rPr>
        <w:t>د قصص مخت</w:t>
      </w:r>
      <w:r w:rsidR="00A72E0E" w:rsidRPr="006571AC">
        <w:rPr>
          <w:rFonts w:hint="cs"/>
          <w:sz w:val="27"/>
          <w:rtl/>
        </w:rPr>
        <w:t>َ</w:t>
      </w:r>
      <w:r w:rsidRPr="006571AC">
        <w:rPr>
          <w:sz w:val="27"/>
          <w:rtl/>
        </w:rPr>
        <w:t>ل</w:t>
      </w:r>
      <w:r w:rsidR="00A72E0E" w:rsidRPr="006571AC">
        <w:rPr>
          <w:rFonts w:hint="cs"/>
          <w:sz w:val="27"/>
          <w:rtl/>
        </w:rPr>
        <w:t>َ</w:t>
      </w:r>
      <w:r w:rsidRPr="006571AC">
        <w:rPr>
          <w:sz w:val="27"/>
          <w:rtl/>
        </w:rPr>
        <w:t>قة، أو نسبة كذب لمقامات الأنبياء والأئم</w:t>
      </w:r>
      <w:r w:rsidR="00A72E0E" w:rsidRPr="006571AC">
        <w:rPr>
          <w:rFonts w:hint="cs"/>
          <w:sz w:val="27"/>
          <w:rtl/>
        </w:rPr>
        <w:t>ّ</w:t>
      </w:r>
      <w:r w:rsidRPr="006571AC">
        <w:rPr>
          <w:sz w:val="27"/>
          <w:rtl/>
        </w:rPr>
        <w:t xml:space="preserve">ة والأولياء. </w:t>
      </w:r>
    </w:p>
    <w:p w:rsidR="00A72E0E" w:rsidRPr="006571AC" w:rsidRDefault="007C76F0" w:rsidP="00F22B89">
      <w:pPr>
        <w:rPr>
          <w:sz w:val="27"/>
          <w:rtl/>
        </w:rPr>
      </w:pPr>
      <w:r w:rsidRPr="006571AC">
        <w:rPr>
          <w:sz w:val="27"/>
          <w:rtl/>
        </w:rPr>
        <w:t>قد يرى البعض أن غرض الإبكاء على الإمام الحسين مبر</w:t>
      </w:r>
      <w:r w:rsidR="00A72E0E" w:rsidRPr="006571AC">
        <w:rPr>
          <w:rFonts w:hint="cs"/>
          <w:sz w:val="27"/>
          <w:rtl/>
        </w:rPr>
        <w:t>ِّ</w:t>
      </w:r>
      <w:r w:rsidRPr="006571AC">
        <w:rPr>
          <w:sz w:val="27"/>
          <w:rtl/>
        </w:rPr>
        <w:t>ر</w:t>
      </w:r>
      <w:r w:rsidR="00A72E0E" w:rsidRPr="006571AC">
        <w:rPr>
          <w:rFonts w:hint="cs"/>
          <w:sz w:val="27"/>
          <w:rtl/>
        </w:rPr>
        <w:t>ٌ</w:t>
      </w:r>
      <w:r w:rsidRPr="006571AC">
        <w:rPr>
          <w:sz w:val="27"/>
          <w:rtl/>
        </w:rPr>
        <w:t xml:space="preserve"> لذكر ما لا أصل له، أو التصوير بلسان الحال لما لا يليق بمقام الأئم</w:t>
      </w:r>
      <w:r w:rsidR="00A72E0E" w:rsidRPr="006571AC">
        <w:rPr>
          <w:rFonts w:hint="cs"/>
          <w:sz w:val="27"/>
          <w:rtl/>
        </w:rPr>
        <w:t>ّ</w:t>
      </w:r>
      <w:r w:rsidRPr="006571AC">
        <w:rPr>
          <w:sz w:val="27"/>
          <w:rtl/>
        </w:rPr>
        <w:t>ة والأولياء</w:t>
      </w:r>
      <w:r w:rsidR="00A72E0E" w:rsidRPr="006571AC">
        <w:rPr>
          <w:rFonts w:hint="cs"/>
          <w:sz w:val="27"/>
          <w:rtl/>
        </w:rPr>
        <w:t>.</w:t>
      </w:r>
    </w:p>
    <w:p w:rsidR="007C76F0" w:rsidRPr="006571AC" w:rsidRDefault="007C76F0" w:rsidP="00F22B89">
      <w:pPr>
        <w:rPr>
          <w:sz w:val="27"/>
          <w:rtl/>
        </w:rPr>
      </w:pPr>
      <w:r w:rsidRPr="006571AC">
        <w:rPr>
          <w:sz w:val="27"/>
          <w:rtl/>
        </w:rPr>
        <w:t>وهذا خطأ</w:t>
      </w:r>
      <w:r w:rsidR="00A72E0E" w:rsidRPr="006571AC">
        <w:rPr>
          <w:rFonts w:hint="cs"/>
          <w:sz w:val="27"/>
          <w:rtl/>
        </w:rPr>
        <w:t>ٌ</w:t>
      </w:r>
      <w:r w:rsidRPr="006571AC">
        <w:rPr>
          <w:sz w:val="27"/>
          <w:rtl/>
        </w:rPr>
        <w:t xml:space="preserve"> لا ينبغي الوقوع فيه. </w:t>
      </w:r>
    </w:p>
    <w:p w:rsidR="007C76F0" w:rsidRPr="006571AC" w:rsidRDefault="007C76F0" w:rsidP="00F22B89">
      <w:pPr>
        <w:rPr>
          <w:sz w:val="27"/>
          <w:rtl/>
        </w:rPr>
      </w:pPr>
      <w:r w:rsidRPr="006571AC">
        <w:rPr>
          <w:sz w:val="27"/>
          <w:rtl/>
        </w:rPr>
        <w:t>ذكر السيد حسن القزويني</w:t>
      </w:r>
      <w:r w:rsidR="00B92C59" w:rsidRPr="006571AC">
        <w:rPr>
          <w:rFonts w:hint="cs"/>
          <w:sz w:val="27"/>
          <w:rtl/>
        </w:rPr>
        <w:t>،</w:t>
      </w:r>
      <w:r w:rsidRPr="006571AC">
        <w:rPr>
          <w:sz w:val="27"/>
          <w:rtl/>
        </w:rPr>
        <w:t xml:space="preserve"> من علماء الشيعة البارزين في الولايات المتحدة الأمريكية</w:t>
      </w:r>
      <w:r w:rsidR="00B92C59" w:rsidRPr="006571AC">
        <w:rPr>
          <w:rFonts w:hint="cs"/>
          <w:sz w:val="27"/>
          <w:rtl/>
        </w:rPr>
        <w:t>،</w:t>
      </w:r>
      <w:r w:rsidRPr="006571AC">
        <w:rPr>
          <w:sz w:val="27"/>
          <w:rtl/>
        </w:rPr>
        <w:t xml:space="preserve"> في كتاب</w:t>
      </w:r>
      <w:r w:rsidR="00B92C59" w:rsidRPr="006571AC">
        <w:rPr>
          <w:rFonts w:hint="cs"/>
          <w:sz w:val="27"/>
          <w:rtl/>
        </w:rPr>
        <w:t>ٍ</w:t>
      </w:r>
      <w:r w:rsidRPr="006571AC">
        <w:rPr>
          <w:sz w:val="27"/>
          <w:rtl/>
        </w:rPr>
        <w:t xml:space="preserve"> له عن تجربته التبليغية هناك</w:t>
      </w:r>
      <w:r w:rsidR="00B92C59" w:rsidRPr="006571AC">
        <w:rPr>
          <w:rFonts w:hint="cs"/>
          <w:sz w:val="27"/>
          <w:rtl/>
        </w:rPr>
        <w:t>،</w:t>
      </w:r>
      <w:r w:rsidRPr="006571AC">
        <w:rPr>
          <w:sz w:val="27"/>
          <w:rtl/>
        </w:rPr>
        <w:t xml:space="preserve"> تحت عنوان: (الشمس تشرق من المغرب)</w:t>
      </w:r>
      <w:r w:rsidR="00B92C59" w:rsidRPr="006571AC">
        <w:rPr>
          <w:rFonts w:hint="cs"/>
          <w:sz w:val="27"/>
          <w:rtl/>
        </w:rPr>
        <w:t>،</w:t>
      </w:r>
      <w:r w:rsidRPr="006571AC">
        <w:rPr>
          <w:sz w:val="27"/>
          <w:rtl/>
        </w:rPr>
        <w:t xml:space="preserve"> أنّ خطيباً في مسجد للجالية الباكستانية في كاليفورنيا كان مولعاً بذكر المعاجز والكرامات</w:t>
      </w:r>
      <w:r w:rsidR="00B92C59" w:rsidRPr="006571AC">
        <w:rPr>
          <w:rFonts w:hint="cs"/>
          <w:sz w:val="27"/>
          <w:rtl/>
        </w:rPr>
        <w:t>،</w:t>
      </w:r>
      <w:r w:rsidRPr="006571AC">
        <w:rPr>
          <w:sz w:val="27"/>
          <w:rtl/>
        </w:rPr>
        <w:t xml:space="preserve"> ليس للأئم</w:t>
      </w:r>
      <w:r w:rsidR="00B92C59" w:rsidRPr="006571AC">
        <w:rPr>
          <w:rFonts w:hint="cs"/>
          <w:sz w:val="27"/>
          <w:rtl/>
        </w:rPr>
        <w:t>ّ</w:t>
      </w:r>
      <w:r w:rsidRPr="006571AC">
        <w:rPr>
          <w:sz w:val="27"/>
          <w:rtl/>
        </w:rPr>
        <w:t>ة الطاهرين فح</w:t>
      </w:r>
      <w:r w:rsidR="00B92C59" w:rsidRPr="006571AC">
        <w:rPr>
          <w:rFonts w:hint="cs"/>
          <w:sz w:val="27"/>
          <w:rtl/>
        </w:rPr>
        <w:t>َ</w:t>
      </w:r>
      <w:r w:rsidRPr="006571AC">
        <w:rPr>
          <w:sz w:val="27"/>
          <w:rtl/>
        </w:rPr>
        <w:t>س</w:t>
      </w:r>
      <w:r w:rsidR="00B92C59" w:rsidRPr="006571AC">
        <w:rPr>
          <w:rFonts w:hint="cs"/>
          <w:sz w:val="27"/>
          <w:rtl/>
        </w:rPr>
        <w:t>ْ</w:t>
      </w:r>
      <w:r w:rsidRPr="006571AC">
        <w:rPr>
          <w:sz w:val="27"/>
          <w:rtl/>
        </w:rPr>
        <w:t>ب</w:t>
      </w:r>
      <w:r w:rsidR="00B92C59" w:rsidRPr="006571AC">
        <w:rPr>
          <w:rFonts w:hint="cs"/>
          <w:sz w:val="27"/>
          <w:rtl/>
        </w:rPr>
        <w:t>،</w:t>
      </w:r>
      <w:r w:rsidRPr="006571AC">
        <w:rPr>
          <w:sz w:val="27"/>
          <w:rtl/>
        </w:rPr>
        <w:t xml:space="preserve"> وإنما لف</w:t>
      </w:r>
      <w:r w:rsidR="00B92C59" w:rsidRPr="006571AC">
        <w:rPr>
          <w:rFonts w:hint="cs"/>
          <w:sz w:val="27"/>
          <w:rtl/>
        </w:rPr>
        <w:t>َ</w:t>
      </w:r>
      <w:r w:rsidRPr="006571AC">
        <w:rPr>
          <w:sz w:val="27"/>
          <w:rtl/>
        </w:rPr>
        <w:t>ر</w:t>
      </w:r>
      <w:r w:rsidR="00B92C59" w:rsidRPr="006571AC">
        <w:rPr>
          <w:rFonts w:hint="cs"/>
          <w:sz w:val="27"/>
          <w:rtl/>
        </w:rPr>
        <w:t>َ</w:t>
      </w:r>
      <w:r w:rsidRPr="006571AC">
        <w:rPr>
          <w:sz w:val="27"/>
          <w:rtl/>
        </w:rPr>
        <w:t>س الإمام الحسين</w:t>
      </w:r>
      <w:r w:rsidR="00DC3B12" w:rsidRPr="006571AC">
        <w:rPr>
          <w:rFonts w:ascii="Mosawi" w:hAnsi="Mosawi" w:cs="Mosawi"/>
          <w:sz w:val="22"/>
          <w:szCs w:val="22"/>
          <w:rtl/>
        </w:rPr>
        <w:t>×</w:t>
      </w:r>
      <w:r w:rsidRPr="006571AC">
        <w:rPr>
          <w:rFonts w:hint="cs"/>
          <w:sz w:val="27"/>
          <w:rtl/>
        </w:rPr>
        <w:t>،</w:t>
      </w:r>
      <w:r w:rsidRPr="006571AC">
        <w:rPr>
          <w:sz w:val="27"/>
          <w:rtl/>
        </w:rPr>
        <w:t xml:space="preserve"> ففي أكثر من ليلة</w:t>
      </w:r>
      <w:r w:rsidR="00B92C59" w:rsidRPr="006571AC">
        <w:rPr>
          <w:rFonts w:hint="cs"/>
          <w:sz w:val="27"/>
          <w:rtl/>
        </w:rPr>
        <w:t>ٍ</w:t>
      </w:r>
      <w:r w:rsidRPr="006571AC">
        <w:rPr>
          <w:sz w:val="27"/>
          <w:rtl/>
        </w:rPr>
        <w:t xml:space="preserve"> تحد</w:t>
      </w:r>
      <w:r w:rsidR="00B92C59" w:rsidRPr="006571AC">
        <w:rPr>
          <w:rFonts w:hint="cs"/>
          <w:sz w:val="27"/>
          <w:rtl/>
        </w:rPr>
        <w:t>َّ</w:t>
      </w:r>
      <w:r w:rsidRPr="006571AC">
        <w:rPr>
          <w:sz w:val="27"/>
          <w:rtl/>
        </w:rPr>
        <w:t>ث وبشكل</w:t>
      </w:r>
      <w:r w:rsidR="00B92C59" w:rsidRPr="006571AC">
        <w:rPr>
          <w:rFonts w:hint="cs"/>
          <w:sz w:val="27"/>
          <w:rtl/>
        </w:rPr>
        <w:t>ٍ</w:t>
      </w:r>
      <w:r w:rsidRPr="006571AC">
        <w:rPr>
          <w:sz w:val="27"/>
          <w:rtl/>
        </w:rPr>
        <w:t xml:space="preserve"> مسهب عن وجوه الإعجاز والكرامات لهذا الفرس</w:t>
      </w:r>
      <w:r w:rsidRPr="006571AC">
        <w:rPr>
          <w:sz w:val="27"/>
          <w:vertAlign w:val="superscript"/>
          <w:rtl/>
        </w:rPr>
        <w:t>(</w:t>
      </w:r>
      <w:r w:rsidRPr="006571AC">
        <w:rPr>
          <w:sz w:val="27"/>
          <w:vertAlign w:val="superscript"/>
          <w:rtl/>
        </w:rPr>
        <w:endnoteReference w:id="150"/>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وقد صنّ</w:t>
      </w:r>
      <w:r w:rsidR="00B92C59" w:rsidRPr="006571AC">
        <w:rPr>
          <w:rFonts w:hint="cs"/>
          <w:sz w:val="27"/>
          <w:rtl/>
        </w:rPr>
        <w:t>َ</w:t>
      </w:r>
      <w:r w:rsidRPr="006571AC">
        <w:rPr>
          <w:sz w:val="27"/>
          <w:rtl/>
        </w:rPr>
        <w:t>ف العلامة الشيخ حسين النوري</w:t>
      </w:r>
      <w:r w:rsidR="00B92C59" w:rsidRPr="006571AC">
        <w:rPr>
          <w:rFonts w:hint="cs"/>
          <w:sz w:val="27"/>
          <w:rtl/>
        </w:rPr>
        <w:t xml:space="preserve">(1330هـ)، </w:t>
      </w:r>
      <w:r w:rsidRPr="006571AC">
        <w:rPr>
          <w:sz w:val="27"/>
          <w:rtl/>
        </w:rPr>
        <w:t>صاحب مستدرك الوسائل</w:t>
      </w:r>
      <w:r w:rsidR="00B92C59" w:rsidRPr="006571AC">
        <w:rPr>
          <w:rFonts w:hint="cs"/>
          <w:sz w:val="27"/>
          <w:rtl/>
        </w:rPr>
        <w:t>،</w:t>
      </w:r>
      <w:r w:rsidRPr="006571AC">
        <w:rPr>
          <w:sz w:val="27"/>
          <w:rtl/>
        </w:rPr>
        <w:t xml:space="preserve"> </w:t>
      </w:r>
      <w:r w:rsidRPr="006571AC">
        <w:rPr>
          <w:rFonts w:hint="cs"/>
          <w:sz w:val="27"/>
          <w:rtl/>
        </w:rPr>
        <w:t>كتابه</w:t>
      </w:r>
      <w:r w:rsidRPr="006571AC">
        <w:rPr>
          <w:sz w:val="27"/>
          <w:rtl/>
        </w:rPr>
        <w:t xml:space="preserve"> (</w:t>
      </w:r>
      <w:r w:rsidRPr="006571AC">
        <w:rPr>
          <w:rFonts w:hint="cs"/>
          <w:sz w:val="27"/>
          <w:rtl/>
        </w:rPr>
        <w:t>اللؤلؤ</w:t>
      </w:r>
      <w:r w:rsidRPr="006571AC">
        <w:rPr>
          <w:sz w:val="27"/>
          <w:rtl/>
        </w:rPr>
        <w:t xml:space="preserve"> </w:t>
      </w:r>
      <w:r w:rsidRPr="006571AC">
        <w:rPr>
          <w:rFonts w:hint="cs"/>
          <w:sz w:val="27"/>
          <w:rtl/>
        </w:rPr>
        <w:t>والمرجان</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آداب</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المنبر</w:t>
      </w:r>
      <w:r w:rsidRPr="006571AC">
        <w:rPr>
          <w:sz w:val="27"/>
          <w:rtl/>
        </w:rPr>
        <w:t>)</w:t>
      </w:r>
      <w:r w:rsidR="00B92C59" w:rsidRPr="006571AC">
        <w:rPr>
          <w:rFonts w:hint="cs"/>
          <w:sz w:val="27"/>
          <w:rtl/>
        </w:rPr>
        <w:t>؛</w:t>
      </w:r>
      <w:r w:rsidRPr="006571AC">
        <w:rPr>
          <w:rFonts w:hint="cs"/>
          <w:sz w:val="27"/>
          <w:rtl/>
        </w:rPr>
        <w:t xml:space="preserve"> لمعالجة</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w:t>
      </w:r>
      <w:r w:rsidRPr="006571AC">
        <w:rPr>
          <w:sz w:val="27"/>
          <w:rtl/>
        </w:rPr>
        <w:t xml:space="preserve">مشكلة التي يعاني منها معظم الخطاب الديني في الساحة الشيعية. </w:t>
      </w:r>
    </w:p>
    <w:p w:rsidR="007C76F0" w:rsidRPr="006571AC" w:rsidRDefault="007C76F0" w:rsidP="00B66DC2">
      <w:pPr>
        <w:rPr>
          <w:sz w:val="27"/>
          <w:rtl/>
        </w:rPr>
      </w:pPr>
      <w:r w:rsidRPr="006571AC">
        <w:rPr>
          <w:sz w:val="27"/>
          <w:rtl/>
        </w:rPr>
        <w:t xml:space="preserve">ومما جاء فيه: </w:t>
      </w:r>
      <w:r w:rsidRPr="006571AC">
        <w:rPr>
          <w:rFonts w:hint="eastAsia"/>
          <w:sz w:val="24"/>
          <w:szCs w:val="24"/>
          <w:rtl/>
        </w:rPr>
        <w:t>«</w:t>
      </w:r>
      <w:r w:rsidRPr="006571AC">
        <w:rPr>
          <w:sz w:val="27"/>
          <w:rtl/>
        </w:rPr>
        <w:t>في ذكر بعض الشبهات التي حملت هذه الجماعة، بل بعض أرباب التأليف، على نقل الأخبار والحكايات التي لا أساس لها، والروايات التي لا يحتمل صدقها، أو التي يكون احتمال صدقها في غاية الضعف، وعلى افتراء الكذب، وج</w:t>
      </w:r>
      <w:r w:rsidR="00B66DC2" w:rsidRPr="006571AC">
        <w:rPr>
          <w:rFonts w:hint="cs"/>
          <w:sz w:val="27"/>
          <w:rtl/>
        </w:rPr>
        <w:t>َ</w:t>
      </w:r>
      <w:r w:rsidRPr="006571AC">
        <w:rPr>
          <w:sz w:val="27"/>
          <w:rtl/>
        </w:rPr>
        <w:t>ع</w:t>
      </w:r>
      <w:r w:rsidR="00B66DC2" w:rsidRPr="006571AC">
        <w:rPr>
          <w:rFonts w:hint="cs"/>
          <w:sz w:val="27"/>
          <w:rtl/>
        </w:rPr>
        <w:t>ْ</w:t>
      </w:r>
      <w:r w:rsidRPr="006571AC">
        <w:rPr>
          <w:sz w:val="27"/>
          <w:rtl/>
        </w:rPr>
        <w:t>ل الأخبار وو</w:t>
      </w:r>
      <w:r w:rsidR="00B66DC2" w:rsidRPr="006571AC">
        <w:rPr>
          <w:rFonts w:hint="cs"/>
          <w:sz w:val="27"/>
          <w:rtl/>
        </w:rPr>
        <w:t>َ</w:t>
      </w:r>
      <w:r w:rsidRPr="006571AC">
        <w:rPr>
          <w:sz w:val="27"/>
          <w:rtl/>
        </w:rPr>
        <w:t>ض</w:t>
      </w:r>
      <w:r w:rsidR="00B66DC2" w:rsidRPr="006571AC">
        <w:rPr>
          <w:rFonts w:hint="cs"/>
          <w:sz w:val="27"/>
          <w:rtl/>
        </w:rPr>
        <w:t>ْ</w:t>
      </w:r>
      <w:r w:rsidRPr="006571AC">
        <w:rPr>
          <w:sz w:val="27"/>
          <w:rtl/>
        </w:rPr>
        <w:t>عها، واختلاق الحكايات المتضم</w:t>
      </w:r>
      <w:r w:rsidR="00B92C59" w:rsidRPr="006571AC">
        <w:rPr>
          <w:rFonts w:hint="cs"/>
          <w:sz w:val="27"/>
          <w:rtl/>
        </w:rPr>
        <w:t>ّ</w:t>
      </w:r>
      <w:r w:rsidRPr="006571AC">
        <w:rPr>
          <w:sz w:val="27"/>
          <w:rtl/>
        </w:rPr>
        <w:t>نة للمصائب التي لا واقع لها</w:t>
      </w:r>
      <w:r w:rsidR="00B66DC2" w:rsidRPr="006571AC">
        <w:rPr>
          <w:rFonts w:hint="cs"/>
          <w:sz w:val="27"/>
          <w:rtl/>
        </w:rPr>
        <w:t>؛</w:t>
      </w:r>
      <w:r w:rsidRPr="006571AC">
        <w:rPr>
          <w:sz w:val="27"/>
          <w:rtl/>
        </w:rPr>
        <w:t xml:space="preserve"> من أجل إبكاء المؤمنين وإضفاء الر</w:t>
      </w:r>
      <w:r w:rsidR="00B66DC2" w:rsidRPr="006571AC">
        <w:rPr>
          <w:rFonts w:hint="cs"/>
          <w:sz w:val="27"/>
          <w:rtl/>
        </w:rPr>
        <w:t>َّ</w:t>
      </w:r>
      <w:r w:rsidRPr="006571AC">
        <w:rPr>
          <w:sz w:val="27"/>
          <w:rtl/>
        </w:rPr>
        <w:t>و</w:t>
      </w:r>
      <w:r w:rsidR="00B66DC2" w:rsidRPr="006571AC">
        <w:rPr>
          <w:rFonts w:hint="cs"/>
          <w:sz w:val="27"/>
          <w:rtl/>
        </w:rPr>
        <w:t>ْ</w:t>
      </w:r>
      <w:r w:rsidRPr="006571AC">
        <w:rPr>
          <w:sz w:val="27"/>
          <w:rtl/>
        </w:rPr>
        <w:t>نق على مجالس العزاء</w:t>
      </w:r>
      <w:r w:rsidRPr="006571AC">
        <w:rPr>
          <w:rFonts w:hint="eastAsia"/>
          <w:sz w:val="24"/>
          <w:szCs w:val="24"/>
          <w:rtl/>
        </w:rPr>
        <w:t>»</w:t>
      </w:r>
      <w:r w:rsidRPr="006571AC">
        <w:rPr>
          <w:sz w:val="27"/>
          <w:rtl/>
        </w:rPr>
        <w:t xml:space="preserve">. </w:t>
      </w:r>
    </w:p>
    <w:p w:rsidR="007C76F0" w:rsidRPr="006571AC" w:rsidRDefault="007C76F0" w:rsidP="00F22B89">
      <w:pPr>
        <w:rPr>
          <w:sz w:val="27"/>
          <w:rtl/>
        </w:rPr>
      </w:pPr>
      <w:r w:rsidRPr="006571AC">
        <w:rPr>
          <w:sz w:val="27"/>
          <w:rtl/>
        </w:rPr>
        <w:t xml:space="preserve">ويتابع: </w:t>
      </w:r>
      <w:r w:rsidRPr="006571AC">
        <w:rPr>
          <w:rFonts w:hint="eastAsia"/>
          <w:sz w:val="24"/>
          <w:szCs w:val="24"/>
          <w:rtl/>
        </w:rPr>
        <w:t>«</w:t>
      </w:r>
      <w:r w:rsidRPr="006571AC">
        <w:rPr>
          <w:sz w:val="27"/>
          <w:rtl/>
        </w:rPr>
        <w:t>ما نقل عن بعض مختلقي الكذب من الأخبار التي تمدح الإبكاء، وترغّ</w:t>
      </w:r>
      <w:r w:rsidR="00B92C59" w:rsidRPr="006571AC">
        <w:rPr>
          <w:rFonts w:hint="cs"/>
          <w:sz w:val="27"/>
          <w:rtl/>
        </w:rPr>
        <w:t>ِ</w:t>
      </w:r>
      <w:r w:rsidRPr="006571AC">
        <w:rPr>
          <w:sz w:val="27"/>
          <w:rtl/>
        </w:rPr>
        <w:t>ب فيه، وما سُطّ</w:t>
      </w:r>
      <w:r w:rsidR="00B92C59" w:rsidRPr="006571AC">
        <w:rPr>
          <w:rFonts w:hint="cs"/>
          <w:sz w:val="27"/>
          <w:rtl/>
        </w:rPr>
        <w:t>ِ</w:t>
      </w:r>
      <w:r w:rsidRPr="006571AC">
        <w:rPr>
          <w:sz w:val="27"/>
          <w:rtl/>
        </w:rPr>
        <w:t>ر في هذا المجال، مم</w:t>
      </w:r>
      <w:r w:rsidR="00B92C59" w:rsidRPr="006571AC">
        <w:rPr>
          <w:rFonts w:hint="cs"/>
          <w:sz w:val="27"/>
          <w:rtl/>
        </w:rPr>
        <w:t>ّ</w:t>
      </w:r>
      <w:r w:rsidRPr="006571AC">
        <w:rPr>
          <w:sz w:val="27"/>
          <w:rtl/>
        </w:rPr>
        <w:t>ا يوحي بأن كلّ ما يحمل على البكاء، وما هو وسيلة</w:t>
      </w:r>
      <w:r w:rsidR="00B66DC2" w:rsidRPr="006571AC">
        <w:rPr>
          <w:rFonts w:hint="cs"/>
          <w:sz w:val="27"/>
          <w:rtl/>
        </w:rPr>
        <w:t>ٌ</w:t>
      </w:r>
      <w:r w:rsidRPr="006571AC">
        <w:rPr>
          <w:sz w:val="27"/>
          <w:rtl/>
        </w:rPr>
        <w:t xml:space="preserve"> للتفجّ</w:t>
      </w:r>
      <w:r w:rsidR="00B92C59" w:rsidRPr="006571AC">
        <w:rPr>
          <w:rFonts w:hint="cs"/>
          <w:sz w:val="27"/>
          <w:rtl/>
        </w:rPr>
        <w:t>ُ</w:t>
      </w:r>
      <w:r w:rsidRPr="006571AC">
        <w:rPr>
          <w:sz w:val="27"/>
          <w:rtl/>
        </w:rPr>
        <w:t>ع وإسالة الدموع</w:t>
      </w:r>
      <w:r w:rsidR="00B92C59" w:rsidRPr="006571AC">
        <w:rPr>
          <w:rFonts w:hint="cs"/>
          <w:sz w:val="27"/>
          <w:rtl/>
        </w:rPr>
        <w:t>،</w:t>
      </w:r>
      <w:r w:rsidRPr="006571AC">
        <w:rPr>
          <w:sz w:val="27"/>
          <w:rtl/>
        </w:rPr>
        <w:t xml:space="preserve"> ممدوح</w:t>
      </w:r>
      <w:r w:rsidR="00B92C59" w:rsidRPr="006571AC">
        <w:rPr>
          <w:rFonts w:hint="cs"/>
          <w:sz w:val="27"/>
          <w:rtl/>
        </w:rPr>
        <w:t>ٌ</w:t>
      </w:r>
      <w:r w:rsidRPr="006571AC">
        <w:rPr>
          <w:sz w:val="27"/>
          <w:rtl/>
        </w:rPr>
        <w:t xml:space="preserve"> ومستحسن</w:t>
      </w:r>
      <w:r w:rsidR="00B92C59" w:rsidRPr="006571AC">
        <w:rPr>
          <w:rFonts w:hint="cs"/>
          <w:sz w:val="27"/>
          <w:rtl/>
        </w:rPr>
        <w:t>ٌ</w:t>
      </w:r>
      <w:r w:rsidRPr="006571AC">
        <w:rPr>
          <w:sz w:val="27"/>
          <w:rtl/>
        </w:rPr>
        <w:t>، ولو كان كذباً وافتراء</w:t>
      </w:r>
      <w:r w:rsidR="00B66DC2" w:rsidRPr="006571AC">
        <w:rPr>
          <w:rFonts w:hint="cs"/>
          <w:sz w:val="27"/>
          <w:rtl/>
        </w:rPr>
        <w:t>ً</w:t>
      </w:r>
      <w:r w:rsidRPr="006571AC">
        <w:rPr>
          <w:rFonts w:hint="eastAsia"/>
          <w:sz w:val="24"/>
          <w:szCs w:val="24"/>
          <w:rtl/>
        </w:rPr>
        <w:t>»</w:t>
      </w:r>
      <w:r w:rsidRPr="006571AC">
        <w:rPr>
          <w:sz w:val="27"/>
          <w:rtl/>
        </w:rPr>
        <w:t xml:space="preserve">. </w:t>
      </w:r>
    </w:p>
    <w:p w:rsidR="007C76F0" w:rsidRPr="006571AC" w:rsidRDefault="007C76F0" w:rsidP="00F22B89">
      <w:pPr>
        <w:rPr>
          <w:sz w:val="27"/>
          <w:rtl/>
        </w:rPr>
      </w:pPr>
      <w:r w:rsidRPr="006571AC">
        <w:rPr>
          <w:sz w:val="27"/>
          <w:rtl/>
        </w:rPr>
        <w:t xml:space="preserve">ويضيف: </w:t>
      </w:r>
      <w:r w:rsidRPr="006571AC">
        <w:rPr>
          <w:rFonts w:hint="eastAsia"/>
          <w:sz w:val="24"/>
          <w:szCs w:val="24"/>
          <w:rtl/>
        </w:rPr>
        <w:t>«</w:t>
      </w:r>
      <w:r w:rsidRPr="006571AC">
        <w:rPr>
          <w:sz w:val="27"/>
          <w:rtl/>
        </w:rPr>
        <w:t>ولا يخفى على كلّ ذي شعور</w:t>
      </w:r>
      <w:r w:rsidR="00B92C59" w:rsidRPr="006571AC">
        <w:rPr>
          <w:rFonts w:hint="cs"/>
          <w:sz w:val="27"/>
          <w:rtl/>
        </w:rPr>
        <w:t>ٍ</w:t>
      </w:r>
      <w:r w:rsidRPr="006571AC">
        <w:rPr>
          <w:sz w:val="27"/>
          <w:rtl/>
        </w:rPr>
        <w:t xml:space="preserve"> أنّ هذا الن</w:t>
      </w:r>
      <w:r w:rsidR="00B66DC2" w:rsidRPr="006571AC">
        <w:rPr>
          <w:rFonts w:hint="cs"/>
          <w:sz w:val="27"/>
          <w:rtl/>
        </w:rPr>
        <w:t>َّ</w:t>
      </w:r>
      <w:r w:rsidRPr="006571AC">
        <w:rPr>
          <w:sz w:val="27"/>
          <w:rtl/>
        </w:rPr>
        <w:t>م</w:t>
      </w:r>
      <w:r w:rsidR="00B66DC2" w:rsidRPr="006571AC">
        <w:rPr>
          <w:rFonts w:hint="cs"/>
          <w:sz w:val="27"/>
          <w:rtl/>
        </w:rPr>
        <w:t>َ</w:t>
      </w:r>
      <w:r w:rsidRPr="006571AC">
        <w:rPr>
          <w:sz w:val="27"/>
          <w:rtl/>
        </w:rPr>
        <w:t>ط من الكلام خلاف ضروريات الدين والمذهب، وخروج</w:t>
      </w:r>
      <w:r w:rsidR="00B92C59" w:rsidRPr="006571AC">
        <w:rPr>
          <w:rFonts w:hint="cs"/>
          <w:sz w:val="27"/>
          <w:rtl/>
        </w:rPr>
        <w:t>ٌ</w:t>
      </w:r>
      <w:r w:rsidRPr="006571AC">
        <w:rPr>
          <w:sz w:val="27"/>
          <w:rtl/>
        </w:rPr>
        <w:t xml:space="preserve"> عن المل</w:t>
      </w:r>
      <w:r w:rsidR="00B66DC2" w:rsidRPr="006571AC">
        <w:rPr>
          <w:rFonts w:hint="cs"/>
          <w:sz w:val="27"/>
          <w:rtl/>
        </w:rPr>
        <w:t>ّ</w:t>
      </w:r>
      <w:r w:rsidRPr="006571AC">
        <w:rPr>
          <w:sz w:val="27"/>
          <w:rtl/>
        </w:rPr>
        <w:t>ة والإسلام. وجواب أصل هذه الشبهة مشروح</w:t>
      </w:r>
      <w:r w:rsidR="00B92C59" w:rsidRPr="006571AC">
        <w:rPr>
          <w:rFonts w:hint="cs"/>
          <w:sz w:val="27"/>
          <w:rtl/>
        </w:rPr>
        <w:t>ٌ</w:t>
      </w:r>
      <w:r w:rsidRPr="006571AC">
        <w:rPr>
          <w:sz w:val="27"/>
          <w:rtl/>
        </w:rPr>
        <w:t xml:space="preserve"> في الفقه في كتاب المكاسب، ومجمله الذي يمكن إيراده هنا: </w:t>
      </w:r>
      <w:r w:rsidR="00B92C59" w:rsidRPr="006571AC">
        <w:rPr>
          <w:rFonts w:hint="cs"/>
          <w:sz w:val="27"/>
          <w:rtl/>
        </w:rPr>
        <w:t>إ</w:t>
      </w:r>
      <w:r w:rsidRPr="006571AC">
        <w:rPr>
          <w:sz w:val="27"/>
          <w:rtl/>
        </w:rPr>
        <w:t xml:space="preserve">نّ المستحب مهما </w:t>
      </w:r>
      <w:r w:rsidRPr="006571AC">
        <w:rPr>
          <w:sz w:val="27"/>
          <w:rtl/>
        </w:rPr>
        <w:lastRenderedPageBreak/>
        <w:t>كان عظيماً لا يمكنه أن يعارض الحرام مهما كان حقيراً، ولا ي</w:t>
      </w:r>
      <w:r w:rsidR="00B92C59" w:rsidRPr="006571AC">
        <w:rPr>
          <w:rFonts w:hint="cs"/>
          <w:sz w:val="27"/>
          <w:rtl/>
        </w:rPr>
        <w:t>ُ</w:t>
      </w:r>
      <w:r w:rsidRPr="006571AC">
        <w:rPr>
          <w:sz w:val="27"/>
          <w:rtl/>
        </w:rPr>
        <w:t>طاع الله من حيث ي</w:t>
      </w:r>
      <w:r w:rsidR="00B92C59" w:rsidRPr="006571AC">
        <w:rPr>
          <w:rFonts w:hint="cs"/>
          <w:sz w:val="27"/>
          <w:rtl/>
        </w:rPr>
        <w:t>ُ</w:t>
      </w:r>
      <w:r w:rsidRPr="006571AC">
        <w:rPr>
          <w:sz w:val="27"/>
          <w:rtl/>
        </w:rPr>
        <w:t>عصى، ولا يكون ما يوجب عقوبة الله وسخطه داعياً للتقر</w:t>
      </w:r>
      <w:r w:rsidR="00B92C59" w:rsidRPr="006571AC">
        <w:rPr>
          <w:rFonts w:hint="cs"/>
          <w:sz w:val="27"/>
          <w:rtl/>
        </w:rPr>
        <w:t>ُّ</w:t>
      </w:r>
      <w:r w:rsidRPr="006571AC">
        <w:rPr>
          <w:sz w:val="27"/>
          <w:rtl/>
        </w:rPr>
        <w:t>ب منه، و</w:t>
      </w:r>
      <w:r w:rsidR="00B92C59" w:rsidRPr="006571AC">
        <w:rPr>
          <w:rFonts w:hint="cs"/>
          <w:sz w:val="27"/>
          <w:rtl/>
        </w:rPr>
        <w:t>إ</w:t>
      </w:r>
      <w:r w:rsidRPr="006571AC">
        <w:rPr>
          <w:sz w:val="27"/>
          <w:rtl/>
        </w:rPr>
        <w:t>ن مورد كلّ المستحبات ما كان جائزاً في نفسه، مباحاً بذاته، أما إذا كان حراماً، وتترت</w:t>
      </w:r>
      <w:r w:rsidR="00B92C59" w:rsidRPr="006571AC">
        <w:rPr>
          <w:rFonts w:hint="cs"/>
          <w:sz w:val="27"/>
          <w:rtl/>
        </w:rPr>
        <w:t>َّ</w:t>
      </w:r>
      <w:r w:rsidRPr="006571AC">
        <w:rPr>
          <w:sz w:val="27"/>
          <w:rtl/>
        </w:rPr>
        <w:t>ب عليه مفسدة</w:t>
      </w:r>
      <w:r w:rsidR="00B92C59" w:rsidRPr="006571AC">
        <w:rPr>
          <w:rFonts w:hint="cs"/>
          <w:sz w:val="27"/>
          <w:rtl/>
        </w:rPr>
        <w:t>ٌ</w:t>
      </w:r>
      <w:r w:rsidRPr="006571AC">
        <w:rPr>
          <w:sz w:val="27"/>
          <w:rtl/>
        </w:rPr>
        <w:t xml:space="preserve"> عظيمة، تستوجب توج</w:t>
      </w:r>
      <w:r w:rsidR="00B92C59" w:rsidRPr="006571AC">
        <w:rPr>
          <w:rFonts w:hint="cs"/>
          <w:sz w:val="27"/>
          <w:rtl/>
        </w:rPr>
        <w:t>ُّ</w:t>
      </w:r>
      <w:r w:rsidRPr="006571AC">
        <w:rPr>
          <w:sz w:val="27"/>
          <w:rtl/>
        </w:rPr>
        <w:t>ه النهي عنه، لا يبقى لذلك المستحب</w:t>
      </w:r>
      <w:r w:rsidR="00B92C59" w:rsidRPr="006571AC">
        <w:rPr>
          <w:rFonts w:hint="cs"/>
          <w:sz w:val="27"/>
          <w:rtl/>
        </w:rPr>
        <w:t>ّ</w:t>
      </w:r>
      <w:r w:rsidRPr="006571AC">
        <w:rPr>
          <w:sz w:val="27"/>
          <w:rtl/>
        </w:rPr>
        <w:t xml:space="preserve"> محلّ</w:t>
      </w:r>
      <w:r w:rsidR="00B92C59" w:rsidRPr="006571AC">
        <w:rPr>
          <w:rFonts w:hint="cs"/>
          <w:sz w:val="27"/>
          <w:rtl/>
        </w:rPr>
        <w:t>ٌ</w:t>
      </w:r>
      <w:r w:rsidRPr="006571AC">
        <w:rPr>
          <w:sz w:val="27"/>
          <w:rtl/>
        </w:rPr>
        <w:t xml:space="preserve"> ولا مجال</w:t>
      </w:r>
      <w:r w:rsidR="00B66DC2" w:rsidRPr="006571AC">
        <w:rPr>
          <w:rFonts w:hint="cs"/>
          <w:sz w:val="27"/>
          <w:rtl/>
        </w:rPr>
        <w:t>ٌ</w:t>
      </w:r>
      <w:r w:rsidRPr="006571AC">
        <w:rPr>
          <w:rFonts w:hint="eastAsia"/>
          <w:sz w:val="24"/>
          <w:szCs w:val="24"/>
          <w:rtl/>
        </w:rPr>
        <w:t>»</w:t>
      </w:r>
      <w:r w:rsidRPr="006571AC">
        <w:rPr>
          <w:sz w:val="27"/>
          <w:vertAlign w:val="superscript"/>
          <w:rtl/>
        </w:rPr>
        <w:t>(</w:t>
      </w:r>
      <w:r w:rsidRPr="006571AC">
        <w:rPr>
          <w:sz w:val="27"/>
          <w:vertAlign w:val="superscript"/>
          <w:rtl/>
        </w:rPr>
        <w:endnoteReference w:id="151"/>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إنّ ذكر النصوص المعتبرة عن حادثة عاشوراء، وعن مصائب أهل البيت</w:t>
      </w:r>
      <w:r w:rsidR="00DC3B12" w:rsidRPr="006571AC">
        <w:rPr>
          <w:rFonts w:ascii="Mosawi" w:hAnsi="Mosawi" w:cs="Mosawi"/>
          <w:sz w:val="22"/>
          <w:szCs w:val="22"/>
          <w:rtl/>
        </w:rPr>
        <w:t>^</w:t>
      </w:r>
      <w:r w:rsidRPr="006571AC">
        <w:rPr>
          <w:sz w:val="27"/>
          <w:rtl/>
        </w:rPr>
        <w:t>، تكفي لإثارة المشاعر الولائية النبيلة</w:t>
      </w:r>
      <w:r w:rsidR="0011736A" w:rsidRPr="006571AC">
        <w:rPr>
          <w:rFonts w:hint="cs"/>
          <w:sz w:val="27"/>
          <w:rtl/>
        </w:rPr>
        <w:t>،</w:t>
      </w:r>
      <w:r w:rsidRPr="006571AC">
        <w:rPr>
          <w:sz w:val="27"/>
          <w:rtl/>
        </w:rPr>
        <w:t xml:space="preserve"> دون الحاجة </w:t>
      </w:r>
      <w:r w:rsidR="0011736A" w:rsidRPr="006571AC">
        <w:rPr>
          <w:rFonts w:hint="cs"/>
          <w:sz w:val="27"/>
          <w:rtl/>
        </w:rPr>
        <w:t>إلى ا</w:t>
      </w:r>
      <w:r w:rsidRPr="006571AC">
        <w:rPr>
          <w:sz w:val="27"/>
          <w:rtl/>
        </w:rPr>
        <w:t xml:space="preserve">لتلفيق والاختلاق. </w:t>
      </w:r>
    </w:p>
    <w:p w:rsidR="00F83E2D" w:rsidRPr="006571AC" w:rsidRDefault="00F83E2D" w:rsidP="00F83E2D">
      <w:pPr>
        <w:spacing w:line="420" w:lineRule="exact"/>
        <w:rPr>
          <w:sz w:val="27"/>
          <w:rtl/>
        </w:rPr>
      </w:pPr>
    </w:p>
    <w:p w:rsidR="007C76F0" w:rsidRPr="006571AC" w:rsidRDefault="007C76F0" w:rsidP="006C79DA">
      <w:pPr>
        <w:pStyle w:val="31"/>
        <w:rPr>
          <w:color w:val="auto"/>
          <w:rtl/>
        </w:rPr>
      </w:pPr>
      <w:bookmarkStart w:id="74" w:name="_Toc114164563"/>
      <w:r w:rsidRPr="006571AC">
        <w:rPr>
          <w:rFonts w:hint="cs"/>
          <w:color w:val="auto"/>
          <w:rtl/>
        </w:rPr>
        <w:t>نتائج وتوصيات</w:t>
      </w:r>
      <w:bookmarkEnd w:id="74"/>
      <w:r w:rsidRPr="006571AC">
        <w:rPr>
          <w:rFonts w:hint="cs"/>
          <w:color w:val="auto"/>
          <w:rtl/>
        </w:rPr>
        <w:t xml:space="preserve"> </w:t>
      </w:r>
    </w:p>
    <w:p w:rsidR="007C76F0" w:rsidRPr="006571AC" w:rsidRDefault="0011736A" w:rsidP="00F22B89">
      <w:pPr>
        <w:rPr>
          <w:sz w:val="27"/>
          <w:rtl/>
        </w:rPr>
      </w:pPr>
      <w:r w:rsidRPr="006571AC">
        <w:rPr>
          <w:rFonts w:hint="cs"/>
          <w:sz w:val="27"/>
          <w:rtl/>
        </w:rPr>
        <w:t>1</w:t>
      </w:r>
      <w:r w:rsidR="007C76F0" w:rsidRPr="006571AC">
        <w:rPr>
          <w:rFonts w:hint="cs"/>
          <w:sz w:val="27"/>
          <w:rtl/>
        </w:rPr>
        <w:t>ـ الخطاب الديني مصدر</w:t>
      </w:r>
      <w:r w:rsidRPr="006571AC">
        <w:rPr>
          <w:rFonts w:hint="cs"/>
          <w:sz w:val="27"/>
          <w:rtl/>
        </w:rPr>
        <w:t>ٌ</w:t>
      </w:r>
      <w:r w:rsidR="007C76F0" w:rsidRPr="006571AC">
        <w:rPr>
          <w:rFonts w:hint="cs"/>
          <w:sz w:val="27"/>
          <w:rtl/>
        </w:rPr>
        <w:t xml:space="preserve"> أساس لأبناء الأم</w:t>
      </w:r>
      <w:r w:rsidR="00B66DC2" w:rsidRPr="006571AC">
        <w:rPr>
          <w:rFonts w:hint="cs"/>
          <w:sz w:val="27"/>
          <w:rtl/>
        </w:rPr>
        <w:t>ّ</w:t>
      </w:r>
      <w:r w:rsidR="007C76F0" w:rsidRPr="006571AC">
        <w:rPr>
          <w:rFonts w:hint="cs"/>
          <w:sz w:val="27"/>
          <w:rtl/>
        </w:rPr>
        <w:t>ة في التعر</w:t>
      </w:r>
      <w:r w:rsidRPr="006571AC">
        <w:rPr>
          <w:rFonts w:hint="cs"/>
          <w:sz w:val="27"/>
          <w:rtl/>
        </w:rPr>
        <w:t>ُّ</w:t>
      </w:r>
      <w:r w:rsidR="007C76F0" w:rsidRPr="006571AC">
        <w:rPr>
          <w:rFonts w:hint="cs"/>
          <w:sz w:val="27"/>
          <w:rtl/>
        </w:rPr>
        <w:t>ف على مفاهيم الدين وتعاليمه، وله د</w:t>
      </w:r>
      <w:r w:rsidRPr="006571AC">
        <w:rPr>
          <w:rFonts w:hint="cs"/>
          <w:sz w:val="27"/>
          <w:rtl/>
        </w:rPr>
        <w:t>َ</w:t>
      </w:r>
      <w:r w:rsidR="007C76F0" w:rsidRPr="006571AC">
        <w:rPr>
          <w:rFonts w:hint="cs"/>
          <w:sz w:val="27"/>
          <w:rtl/>
        </w:rPr>
        <w:t>و</w:t>
      </w:r>
      <w:r w:rsidRPr="006571AC">
        <w:rPr>
          <w:rFonts w:hint="cs"/>
          <w:sz w:val="27"/>
          <w:rtl/>
        </w:rPr>
        <w:t>ْ</w:t>
      </w:r>
      <w:r w:rsidR="007C76F0" w:rsidRPr="006571AC">
        <w:rPr>
          <w:rFonts w:hint="cs"/>
          <w:sz w:val="27"/>
          <w:rtl/>
        </w:rPr>
        <w:t>ر</w:t>
      </w:r>
      <w:r w:rsidRPr="006571AC">
        <w:rPr>
          <w:rFonts w:hint="cs"/>
          <w:sz w:val="27"/>
          <w:rtl/>
        </w:rPr>
        <w:t>ٌ</w:t>
      </w:r>
      <w:r w:rsidR="007C76F0" w:rsidRPr="006571AC">
        <w:rPr>
          <w:rFonts w:hint="cs"/>
          <w:sz w:val="27"/>
          <w:rtl/>
        </w:rPr>
        <w:t xml:space="preserve"> رئيس في تشكيل ثقافتهم الدينية وسلوكهم الاجتماعي. </w:t>
      </w:r>
    </w:p>
    <w:p w:rsidR="007C76F0" w:rsidRPr="006571AC" w:rsidRDefault="0011736A" w:rsidP="00F22B89">
      <w:pPr>
        <w:rPr>
          <w:sz w:val="27"/>
        </w:rPr>
      </w:pPr>
      <w:r w:rsidRPr="006571AC">
        <w:rPr>
          <w:rFonts w:hint="cs"/>
          <w:sz w:val="27"/>
          <w:rtl/>
        </w:rPr>
        <w:t>2</w:t>
      </w:r>
      <w:r w:rsidR="007C76F0" w:rsidRPr="006571AC">
        <w:rPr>
          <w:rFonts w:hint="cs"/>
          <w:sz w:val="27"/>
          <w:rtl/>
        </w:rPr>
        <w:t>ـ على القيادات الواعية المخلصة في الأم</w:t>
      </w:r>
      <w:r w:rsidRPr="006571AC">
        <w:rPr>
          <w:rFonts w:hint="cs"/>
          <w:sz w:val="27"/>
          <w:rtl/>
        </w:rPr>
        <w:t>ّ</w:t>
      </w:r>
      <w:r w:rsidR="007C76F0" w:rsidRPr="006571AC">
        <w:rPr>
          <w:rFonts w:hint="cs"/>
          <w:sz w:val="27"/>
          <w:rtl/>
        </w:rPr>
        <w:t>ة أن تبدي أعلى درجات الاهتمام بشأن الخطاب الديني في مجتمعاتها؛ لأن أي</w:t>
      </w:r>
      <w:r w:rsidRPr="006571AC">
        <w:rPr>
          <w:rFonts w:hint="cs"/>
          <w:sz w:val="27"/>
          <w:rtl/>
        </w:rPr>
        <w:t>ّ</w:t>
      </w:r>
      <w:r w:rsidR="007C76F0" w:rsidRPr="006571AC">
        <w:rPr>
          <w:rFonts w:hint="cs"/>
          <w:sz w:val="27"/>
          <w:rtl/>
        </w:rPr>
        <w:t xml:space="preserve"> ضعف</w:t>
      </w:r>
      <w:r w:rsidRPr="006571AC">
        <w:rPr>
          <w:rFonts w:hint="cs"/>
          <w:sz w:val="27"/>
          <w:rtl/>
        </w:rPr>
        <w:t>ٍ</w:t>
      </w:r>
      <w:r w:rsidR="007C76F0" w:rsidRPr="006571AC">
        <w:rPr>
          <w:rFonts w:hint="cs"/>
          <w:sz w:val="27"/>
          <w:rtl/>
        </w:rPr>
        <w:t xml:space="preserve"> أو خ</w:t>
      </w:r>
      <w:r w:rsidR="00B66DC2" w:rsidRPr="006571AC">
        <w:rPr>
          <w:rFonts w:hint="cs"/>
          <w:sz w:val="27"/>
          <w:rtl/>
        </w:rPr>
        <w:t>َ</w:t>
      </w:r>
      <w:r w:rsidR="007C76F0" w:rsidRPr="006571AC">
        <w:rPr>
          <w:rFonts w:hint="cs"/>
          <w:sz w:val="27"/>
          <w:rtl/>
        </w:rPr>
        <w:t>ل</w:t>
      </w:r>
      <w:r w:rsidR="00B66DC2" w:rsidRPr="006571AC">
        <w:rPr>
          <w:rFonts w:hint="cs"/>
          <w:sz w:val="27"/>
          <w:rtl/>
        </w:rPr>
        <w:t>َ</w:t>
      </w:r>
      <w:r w:rsidR="007C76F0" w:rsidRPr="006571AC">
        <w:rPr>
          <w:rFonts w:hint="cs"/>
          <w:sz w:val="27"/>
          <w:rtl/>
        </w:rPr>
        <w:t>ل</w:t>
      </w:r>
      <w:r w:rsidRPr="006571AC">
        <w:rPr>
          <w:rFonts w:hint="cs"/>
          <w:sz w:val="27"/>
          <w:rtl/>
        </w:rPr>
        <w:t>ٍ</w:t>
      </w:r>
      <w:r w:rsidR="007C76F0" w:rsidRPr="006571AC">
        <w:rPr>
          <w:rFonts w:hint="cs"/>
          <w:sz w:val="27"/>
          <w:rtl/>
        </w:rPr>
        <w:t xml:space="preserve"> يتسل</w:t>
      </w:r>
      <w:r w:rsidRPr="006571AC">
        <w:rPr>
          <w:rFonts w:hint="cs"/>
          <w:sz w:val="27"/>
          <w:rtl/>
        </w:rPr>
        <w:t>َّ</w:t>
      </w:r>
      <w:r w:rsidR="007C76F0" w:rsidRPr="006571AC">
        <w:rPr>
          <w:rFonts w:hint="cs"/>
          <w:sz w:val="27"/>
          <w:rtl/>
        </w:rPr>
        <w:t xml:space="preserve">ل إلى هذا الخطاب ستكون نتائجه خطيرة على الدين والمجتمع. </w:t>
      </w:r>
    </w:p>
    <w:p w:rsidR="007C76F0" w:rsidRPr="006571AC" w:rsidRDefault="0011736A" w:rsidP="00B66DC2">
      <w:pPr>
        <w:rPr>
          <w:sz w:val="27"/>
          <w:rtl/>
        </w:rPr>
      </w:pPr>
      <w:r w:rsidRPr="006571AC">
        <w:rPr>
          <w:rFonts w:hint="cs"/>
          <w:sz w:val="27"/>
          <w:rtl/>
        </w:rPr>
        <w:t>3</w:t>
      </w:r>
      <w:r w:rsidR="007C76F0" w:rsidRPr="006571AC">
        <w:rPr>
          <w:rFonts w:hint="cs"/>
          <w:sz w:val="27"/>
          <w:rtl/>
        </w:rPr>
        <w:t>ـ دفع</w:t>
      </w:r>
      <w:r w:rsidRPr="006571AC">
        <w:rPr>
          <w:rFonts w:hint="cs"/>
          <w:sz w:val="27"/>
          <w:rtl/>
        </w:rPr>
        <w:t>َ</w:t>
      </w:r>
      <w:r w:rsidR="007C76F0" w:rsidRPr="006571AC">
        <w:rPr>
          <w:rFonts w:hint="cs"/>
          <w:sz w:val="27"/>
          <w:rtl/>
        </w:rPr>
        <w:t>ت</w:t>
      </w:r>
      <w:r w:rsidRPr="006571AC">
        <w:rPr>
          <w:rFonts w:hint="cs"/>
          <w:sz w:val="27"/>
          <w:rtl/>
        </w:rPr>
        <w:t>ْ</w:t>
      </w:r>
      <w:r w:rsidR="007C76F0" w:rsidRPr="006571AC">
        <w:rPr>
          <w:rFonts w:hint="cs"/>
          <w:sz w:val="27"/>
          <w:rtl/>
        </w:rPr>
        <w:t xml:space="preserve"> مجتمعاتنا ثمناً باهظاً لرواج خطابات</w:t>
      </w:r>
      <w:r w:rsidRPr="006571AC">
        <w:rPr>
          <w:rFonts w:hint="cs"/>
          <w:sz w:val="27"/>
          <w:rtl/>
        </w:rPr>
        <w:t>ٍ</w:t>
      </w:r>
      <w:r w:rsidR="007C76F0" w:rsidRPr="006571AC">
        <w:rPr>
          <w:rFonts w:hint="cs"/>
          <w:sz w:val="27"/>
          <w:rtl/>
        </w:rPr>
        <w:t xml:space="preserve"> ـ تنتسب إلى الدين ـ كرّ</w:t>
      </w:r>
      <w:r w:rsidRPr="006571AC">
        <w:rPr>
          <w:rFonts w:hint="cs"/>
          <w:sz w:val="27"/>
          <w:rtl/>
        </w:rPr>
        <w:t>َ</w:t>
      </w:r>
      <w:r w:rsidR="007C76F0" w:rsidRPr="006571AC">
        <w:rPr>
          <w:rFonts w:hint="cs"/>
          <w:sz w:val="27"/>
          <w:rtl/>
        </w:rPr>
        <w:t>ست التخل</w:t>
      </w:r>
      <w:r w:rsidRPr="006571AC">
        <w:rPr>
          <w:rFonts w:hint="cs"/>
          <w:sz w:val="27"/>
          <w:rtl/>
        </w:rPr>
        <w:t>ُّ</w:t>
      </w:r>
      <w:r w:rsidR="007C76F0" w:rsidRPr="006571AC">
        <w:rPr>
          <w:rFonts w:hint="cs"/>
          <w:sz w:val="27"/>
          <w:rtl/>
        </w:rPr>
        <w:t>ف، ونشرت الكراهية، وسب</w:t>
      </w:r>
      <w:r w:rsidRPr="006571AC">
        <w:rPr>
          <w:rFonts w:hint="cs"/>
          <w:sz w:val="27"/>
          <w:rtl/>
        </w:rPr>
        <w:t>َّ</w:t>
      </w:r>
      <w:r w:rsidR="007C76F0" w:rsidRPr="006571AC">
        <w:rPr>
          <w:rFonts w:hint="cs"/>
          <w:sz w:val="27"/>
          <w:rtl/>
        </w:rPr>
        <w:t>ب</w:t>
      </w:r>
      <w:r w:rsidRPr="006571AC">
        <w:rPr>
          <w:rFonts w:hint="cs"/>
          <w:sz w:val="27"/>
          <w:rtl/>
        </w:rPr>
        <w:t>َ</w:t>
      </w:r>
      <w:r w:rsidR="007C76F0" w:rsidRPr="006571AC">
        <w:rPr>
          <w:rFonts w:hint="cs"/>
          <w:sz w:val="27"/>
          <w:rtl/>
        </w:rPr>
        <w:t>ت</w:t>
      </w:r>
      <w:r w:rsidRPr="006571AC">
        <w:rPr>
          <w:rFonts w:hint="cs"/>
          <w:sz w:val="27"/>
          <w:rtl/>
        </w:rPr>
        <w:t>ْ</w:t>
      </w:r>
      <w:r w:rsidR="007C76F0" w:rsidRPr="006571AC">
        <w:rPr>
          <w:rFonts w:hint="cs"/>
          <w:sz w:val="27"/>
          <w:rtl/>
        </w:rPr>
        <w:t xml:space="preserve"> الخلافات والفتن، وأعط</w:t>
      </w:r>
      <w:r w:rsidRPr="006571AC">
        <w:rPr>
          <w:rFonts w:hint="cs"/>
          <w:sz w:val="27"/>
          <w:rtl/>
        </w:rPr>
        <w:t>َ</w:t>
      </w:r>
      <w:r w:rsidR="007C76F0" w:rsidRPr="006571AC">
        <w:rPr>
          <w:rFonts w:hint="cs"/>
          <w:sz w:val="27"/>
          <w:rtl/>
        </w:rPr>
        <w:t>ت</w:t>
      </w:r>
      <w:r w:rsidRPr="006571AC">
        <w:rPr>
          <w:rFonts w:hint="cs"/>
          <w:sz w:val="27"/>
          <w:rtl/>
        </w:rPr>
        <w:t>ْ</w:t>
      </w:r>
      <w:r w:rsidR="007C76F0" w:rsidRPr="006571AC">
        <w:rPr>
          <w:rFonts w:hint="cs"/>
          <w:sz w:val="27"/>
          <w:rtl/>
        </w:rPr>
        <w:t xml:space="preserve"> عن الدين صورة</w:t>
      </w:r>
      <w:r w:rsidRPr="006571AC">
        <w:rPr>
          <w:rFonts w:hint="cs"/>
          <w:sz w:val="27"/>
          <w:rtl/>
        </w:rPr>
        <w:t>ً</w:t>
      </w:r>
      <w:r w:rsidR="007C76F0" w:rsidRPr="006571AC">
        <w:rPr>
          <w:rFonts w:hint="cs"/>
          <w:sz w:val="27"/>
          <w:rtl/>
        </w:rPr>
        <w:t xml:space="preserve"> مشوّ</w:t>
      </w:r>
      <w:r w:rsidRPr="006571AC">
        <w:rPr>
          <w:rFonts w:hint="cs"/>
          <w:sz w:val="27"/>
          <w:rtl/>
        </w:rPr>
        <w:t>َ</w:t>
      </w:r>
      <w:r w:rsidR="007C76F0" w:rsidRPr="006571AC">
        <w:rPr>
          <w:rFonts w:hint="cs"/>
          <w:sz w:val="27"/>
          <w:rtl/>
        </w:rPr>
        <w:t>هة منفّ</w:t>
      </w:r>
      <w:r w:rsidRPr="006571AC">
        <w:rPr>
          <w:rFonts w:hint="cs"/>
          <w:sz w:val="27"/>
          <w:rtl/>
        </w:rPr>
        <w:t>ِ</w:t>
      </w:r>
      <w:r w:rsidR="007C76F0" w:rsidRPr="006571AC">
        <w:rPr>
          <w:rFonts w:hint="cs"/>
          <w:sz w:val="27"/>
          <w:rtl/>
        </w:rPr>
        <w:t>رة. لكن</w:t>
      </w:r>
      <w:r w:rsidRPr="006571AC">
        <w:rPr>
          <w:rFonts w:hint="cs"/>
          <w:sz w:val="27"/>
          <w:rtl/>
        </w:rPr>
        <w:t>ّ</w:t>
      </w:r>
      <w:r w:rsidR="007C76F0" w:rsidRPr="006571AC">
        <w:rPr>
          <w:rFonts w:hint="cs"/>
          <w:sz w:val="27"/>
          <w:rtl/>
        </w:rPr>
        <w:t xml:space="preserve"> ال</w:t>
      </w:r>
      <w:r w:rsidR="00B66DC2" w:rsidRPr="006571AC">
        <w:rPr>
          <w:rFonts w:hint="cs"/>
          <w:sz w:val="27"/>
          <w:rtl/>
        </w:rPr>
        <w:t>إ</w:t>
      </w:r>
      <w:r w:rsidR="007C76F0" w:rsidRPr="006571AC">
        <w:rPr>
          <w:rFonts w:hint="cs"/>
          <w:sz w:val="27"/>
          <w:rtl/>
        </w:rPr>
        <w:t>نصاف يقتضي الإشارة إلى أن ساحة الأم</w:t>
      </w:r>
      <w:r w:rsidRPr="006571AC">
        <w:rPr>
          <w:rFonts w:hint="cs"/>
          <w:sz w:val="27"/>
          <w:rtl/>
        </w:rPr>
        <w:t>ّ</w:t>
      </w:r>
      <w:r w:rsidR="007C76F0" w:rsidRPr="006571AC">
        <w:rPr>
          <w:rFonts w:hint="cs"/>
          <w:sz w:val="27"/>
          <w:rtl/>
        </w:rPr>
        <w:t>ة لم ت</w:t>
      </w:r>
      <w:r w:rsidRPr="006571AC">
        <w:rPr>
          <w:rFonts w:hint="cs"/>
          <w:sz w:val="27"/>
          <w:rtl/>
        </w:rPr>
        <w:t>َ</w:t>
      </w:r>
      <w:r w:rsidR="007C76F0" w:rsidRPr="006571AC">
        <w:rPr>
          <w:rFonts w:hint="cs"/>
          <w:sz w:val="27"/>
          <w:rtl/>
        </w:rPr>
        <w:t>خ</w:t>
      </w:r>
      <w:r w:rsidRPr="006571AC">
        <w:rPr>
          <w:rFonts w:hint="cs"/>
          <w:sz w:val="27"/>
          <w:rtl/>
        </w:rPr>
        <w:t>ْ</w:t>
      </w:r>
      <w:r w:rsidR="007C76F0" w:rsidRPr="006571AC">
        <w:rPr>
          <w:rFonts w:hint="cs"/>
          <w:sz w:val="27"/>
          <w:rtl/>
        </w:rPr>
        <w:t>ل</w:t>
      </w:r>
      <w:r w:rsidRPr="006571AC">
        <w:rPr>
          <w:rFonts w:hint="cs"/>
          <w:sz w:val="27"/>
          <w:rtl/>
        </w:rPr>
        <w:t>ُ</w:t>
      </w:r>
      <w:r w:rsidR="007C76F0" w:rsidRPr="006571AC">
        <w:rPr>
          <w:rFonts w:hint="cs"/>
          <w:sz w:val="27"/>
          <w:rtl/>
        </w:rPr>
        <w:t xml:space="preserve"> من وجود خطاب</w:t>
      </w:r>
      <w:r w:rsidRPr="006571AC">
        <w:rPr>
          <w:rFonts w:hint="cs"/>
          <w:sz w:val="27"/>
          <w:rtl/>
        </w:rPr>
        <w:t>ٍ</w:t>
      </w:r>
      <w:r w:rsidR="007C76F0" w:rsidRPr="006571AC">
        <w:rPr>
          <w:rFonts w:hint="cs"/>
          <w:sz w:val="27"/>
          <w:rtl/>
        </w:rPr>
        <w:t xml:space="preserve"> ديني أصيل، يبث</w:t>
      </w:r>
      <w:r w:rsidRPr="006571AC">
        <w:rPr>
          <w:rFonts w:hint="cs"/>
          <w:sz w:val="27"/>
          <w:rtl/>
        </w:rPr>
        <w:t>ّ</w:t>
      </w:r>
      <w:r w:rsidR="007C76F0" w:rsidRPr="006571AC">
        <w:rPr>
          <w:rFonts w:hint="cs"/>
          <w:sz w:val="27"/>
          <w:rtl/>
        </w:rPr>
        <w:t xml:space="preserve"> الو</w:t>
      </w:r>
      <w:r w:rsidRPr="006571AC">
        <w:rPr>
          <w:rFonts w:hint="cs"/>
          <w:sz w:val="27"/>
          <w:rtl/>
        </w:rPr>
        <w:t>َ</w:t>
      </w:r>
      <w:r w:rsidR="007C76F0" w:rsidRPr="006571AC">
        <w:rPr>
          <w:rFonts w:hint="cs"/>
          <w:sz w:val="27"/>
          <w:rtl/>
        </w:rPr>
        <w:t>ع</w:t>
      </w:r>
      <w:r w:rsidRPr="006571AC">
        <w:rPr>
          <w:rFonts w:hint="cs"/>
          <w:sz w:val="27"/>
          <w:rtl/>
        </w:rPr>
        <w:t>ْ</w:t>
      </w:r>
      <w:r w:rsidR="007C76F0" w:rsidRPr="006571AC">
        <w:rPr>
          <w:rFonts w:hint="cs"/>
          <w:sz w:val="27"/>
          <w:rtl/>
        </w:rPr>
        <w:t>ي، ويدعو إلى الوحدة</w:t>
      </w:r>
      <w:r w:rsidRPr="006571AC">
        <w:rPr>
          <w:rFonts w:hint="cs"/>
          <w:sz w:val="27"/>
          <w:rtl/>
        </w:rPr>
        <w:t>،</w:t>
      </w:r>
      <w:r w:rsidR="007C76F0" w:rsidRPr="006571AC">
        <w:rPr>
          <w:rFonts w:hint="cs"/>
          <w:sz w:val="27"/>
          <w:rtl/>
        </w:rPr>
        <w:t xml:space="preserve"> ويعز</w:t>
      </w:r>
      <w:r w:rsidRPr="006571AC">
        <w:rPr>
          <w:rFonts w:hint="cs"/>
          <w:sz w:val="27"/>
          <w:rtl/>
        </w:rPr>
        <w:t>ِّ</w:t>
      </w:r>
      <w:r w:rsidR="007C76F0" w:rsidRPr="006571AC">
        <w:rPr>
          <w:rFonts w:hint="cs"/>
          <w:sz w:val="27"/>
          <w:rtl/>
        </w:rPr>
        <w:t>ز الاستقرار والسلم المجتمعي، ويحفّ</w:t>
      </w:r>
      <w:r w:rsidRPr="006571AC">
        <w:rPr>
          <w:rFonts w:hint="cs"/>
          <w:sz w:val="27"/>
          <w:rtl/>
        </w:rPr>
        <w:t>ِ</w:t>
      </w:r>
      <w:r w:rsidR="007C76F0" w:rsidRPr="006571AC">
        <w:rPr>
          <w:rFonts w:hint="cs"/>
          <w:sz w:val="27"/>
          <w:rtl/>
        </w:rPr>
        <w:t>ز للتنمية والنهوض والتقد</w:t>
      </w:r>
      <w:r w:rsidRPr="006571AC">
        <w:rPr>
          <w:rFonts w:hint="cs"/>
          <w:sz w:val="27"/>
          <w:rtl/>
        </w:rPr>
        <w:t>ُّ</w:t>
      </w:r>
      <w:r w:rsidR="007C76F0" w:rsidRPr="006571AC">
        <w:rPr>
          <w:rFonts w:hint="cs"/>
          <w:sz w:val="27"/>
          <w:rtl/>
        </w:rPr>
        <w:t xml:space="preserve">م. </w:t>
      </w:r>
    </w:p>
    <w:p w:rsidR="007C76F0" w:rsidRPr="006571AC" w:rsidRDefault="0011736A" w:rsidP="00F22B89">
      <w:pPr>
        <w:rPr>
          <w:sz w:val="27"/>
          <w:rtl/>
        </w:rPr>
      </w:pPr>
      <w:r w:rsidRPr="006571AC">
        <w:rPr>
          <w:rFonts w:hint="cs"/>
          <w:sz w:val="27"/>
          <w:rtl/>
        </w:rPr>
        <w:t>4</w:t>
      </w:r>
      <w:r w:rsidR="007C76F0" w:rsidRPr="006571AC">
        <w:rPr>
          <w:rFonts w:hint="cs"/>
          <w:sz w:val="27"/>
          <w:rtl/>
        </w:rPr>
        <w:t>ـ لا بُدّ من الاهتمام بتأهيل وإعداد الخطباء والد</w:t>
      </w:r>
      <w:r w:rsidR="00B66DC2" w:rsidRPr="006571AC">
        <w:rPr>
          <w:rFonts w:hint="cs"/>
          <w:sz w:val="27"/>
          <w:rtl/>
        </w:rPr>
        <w:t>ُّ</w:t>
      </w:r>
      <w:r w:rsidR="007C76F0" w:rsidRPr="006571AC">
        <w:rPr>
          <w:rFonts w:hint="cs"/>
          <w:sz w:val="27"/>
          <w:rtl/>
        </w:rPr>
        <w:t>عاة والمبل</w:t>
      </w:r>
      <w:r w:rsidR="00B66DC2" w:rsidRPr="006571AC">
        <w:rPr>
          <w:rFonts w:hint="cs"/>
          <w:sz w:val="27"/>
          <w:rtl/>
        </w:rPr>
        <w:t>ِّ</w:t>
      </w:r>
      <w:r w:rsidR="007C76F0" w:rsidRPr="006571AC">
        <w:rPr>
          <w:rFonts w:hint="cs"/>
          <w:sz w:val="27"/>
          <w:rtl/>
        </w:rPr>
        <w:t>غين، علمياً وثقافياً وتربوياً</w:t>
      </w:r>
      <w:r w:rsidRPr="006571AC">
        <w:rPr>
          <w:rFonts w:hint="cs"/>
          <w:sz w:val="27"/>
          <w:rtl/>
        </w:rPr>
        <w:t>؛</w:t>
      </w:r>
      <w:r w:rsidR="007C76F0" w:rsidRPr="006571AC">
        <w:rPr>
          <w:rFonts w:hint="cs"/>
          <w:sz w:val="27"/>
          <w:rtl/>
        </w:rPr>
        <w:t xml:space="preserve"> ليكونوا في مستوى الكفاءة اللازمة لأداء مهمتهم الخطيرة. </w:t>
      </w:r>
    </w:p>
    <w:p w:rsidR="007C76F0" w:rsidRPr="006571AC" w:rsidRDefault="0011736A" w:rsidP="00F22B89">
      <w:pPr>
        <w:rPr>
          <w:sz w:val="27"/>
          <w:rtl/>
        </w:rPr>
      </w:pPr>
      <w:r w:rsidRPr="006571AC">
        <w:rPr>
          <w:rFonts w:hint="cs"/>
          <w:sz w:val="27"/>
          <w:rtl/>
        </w:rPr>
        <w:t>5</w:t>
      </w:r>
      <w:r w:rsidR="007C76F0" w:rsidRPr="006571AC">
        <w:rPr>
          <w:rFonts w:hint="cs"/>
          <w:sz w:val="27"/>
          <w:rtl/>
        </w:rPr>
        <w:t>ـ تجب المبادرة لتقديم رؤية</w:t>
      </w:r>
      <w:r w:rsidRPr="006571AC">
        <w:rPr>
          <w:rFonts w:hint="cs"/>
          <w:sz w:val="27"/>
          <w:rtl/>
        </w:rPr>
        <w:t>ٍ</w:t>
      </w:r>
      <w:r w:rsidR="007C76F0" w:rsidRPr="006571AC">
        <w:rPr>
          <w:rFonts w:hint="cs"/>
          <w:sz w:val="27"/>
          <w:rtl/>
        </w:rPr>
        <w:t xml:space="preserve"> مدروسة لتوجّ</w:t>
      </w:r>
      <w:r w:rsidRPr="006571AC">
        <w:rPr>
          <w:rFonts w:hint="cs"/>
          <w:sz w:val="27"/>
          <w:rtl/>
        </w:rPr>
        <w:t>ُ</w:t>
      </w:r>
      <w:r w:rsidR="007C76F0" w:rsidRPr="006571AC">
        <w:rPr>
          <w:rFonts w:hint="cs"/>
          <w:sz w:val="27"/>
          <w:rtl/>
        </w:rPr>
        <w:t>هات الخطاب الديني وأولوياته، ح</w:t>
      </w:r>
      <w:r w:rsidRPr="006571AC">
        <w:rPr>
          <w:rFonts w:hint="cs"/>
          <w:sz w:val="27"/>
          <w:rtl/>
        </w:rPr>
        <w:t>َ</w:t>
      </w:r>
      <w:r w:rsidR="007C76F0" w:rsidRPr="006571AC">
        <w:rPr>
          <w:rFonts w:hint="cs"/>
          <w:sz w:val="27"/>
          <w:rtl/>
        </w:rPr>
        <w:t>س</w:t>
      </w:r>
      <w:r w:rsidRPr="006571AC">
        <w:rPr>
          <w:rFonts w:hint="cs"/>
          <w:sz w:val="27"/>
          <w:rtl/>
        </w:rPr>
        <w:t>ْ</w:t>
      </w:r>
      <w:r w:rsidR="007C76F0" w:rsidRPr="006571AC">
        <w:rPr>
          <w:rFonts w:hint="cs"/>
          <w:sz w:val="27"/>
          <w:rtl/>
        </w:rPr>
        <w:t>ب حاجة كل</w:t>
      </w:r>
      <w:r w:rsidRPr="006571AC">
        <w:rPr>
          <w:rFonts w:hint="cs"/>
          <w:sz w:val="27"/>
          <w:rtl/>
        </w:rPr>
        <w:t>ّ</w:t>
      </w:r>
      <w:r w:rsidR="007C76F0" w:rsidRPr="006571AC">
        <w:rPr>
          <w:rFonts w:hint="cs"/>
          <w:sz w:val="27"/>
          <w:rtl/>
        </w:rPr>
        <w:t xml:space="preserve"> مجتمع</w:t>
      </w:r>
      <w:r w:rsidRPr="006571AC">
        <w:rPr>
          <w:rFonts w:hint="cs"/>
          <w:sz w:val="27"/>
          <w:rtl/>
        </w:rPr>
        <w:t>ٍ،</w:t>
      </w:r>
      <w:r w:rsidR="007C76F0" w:rsidRPr="006571AC">
        <w:rPr>
          <w:rFonts w:hint="cs"/>
          <w:sz w:val="27"/>
          <w:rtl/>
        </w:rPr>
        <w:t xml:space="preserve"> ومستلزمات كل</w:t>
      </w:r>
      <w:r w:rsidRPr="006571AC">
        <w:rPr>
          <w:rFonts w:hint="cs"/>
          <w:sz w:val="27"/>
          <w:rtl/>
        </w:rPr>
        <w:t>ّ</w:t>
      </w:r>
      <w:r w:rsidR="007C76F0" w:rsidRPr="006571AC">
        <w:rPr>
          <w:rFonts w:hint="cs"/>
          <w:sz w:val="27"/>
          <w:rtl/>
        </w:rPr>
        <w:t xml:space="preserve"> مرحلة</w:t>
      </w:r>
      <w:r w:rsidRPr="006571AC">
        <w:rPr>
          <w:rFonts w:hint="cs"/>
          <w:sz w:val="27"/>
          <w:rtl/>
        </w:rPr>
        <w:t>ٍ</w:t>
      </w:r>
      <w:r w:rsidR="007C76F0" w:rsidRPr="006571AC">
        <w:rPr>
          <w:rFonts w:hint="cs"/>
          <w:sz w:val="27"/>
          <w:rtl/>
        </w:rPr>
        <w:t xml:space="preserve"> وظرف، وذلك يقتضي وجود مراكز ومؤس</w:t>
      </w:r>
      <w:r w:rsidRPr="006571AC">
        <w:rPr>
          <w:rFonts w:hint="cs"/>
          <w:sz w:val="27"/>
          <w:rtl/>
        </w:rPr>
        <w:t>ّ</w:t>
      </w:r>
      <w:r w:rsidR="007C76F0" w:rsidRPr="006571AC">
        <w:rPr>
          <w:rFonts w:hint="cs"/>
          <w:sz w:val="27"/>
          <w:rtl/>
        </w:rPr>
        <w:t>سات أبحاث تهتم</w:t>
      </w:r>
      <w:r w:rsidRPr="006571AC">
        <w:rPr>
          <w:rFonts w:hint="cs"/>
          <w:sz w:val="27"/>
          <w:rtl/>
        </w:rPr>
        <w:t>ّ</w:t>
      </w:r>
      <w:r w:rsidR="007C76F0" w:rsidRPr="006571AC">
        <w:rPr>
          <w:rFonts w:hint="cs"/>
          <w:sz w:val="27"/>
          <w:rtl/>
        </w:rPr>
        <w:t xml:space="preserve"> بهذا الشأن. </w:t>
      </w:r>
    </w:p>
    <w:p w:rsidR="007C76F0" w:rsidRPr="006571AC" w:rsidRDefault="0011736A" w:rsidP="00F22B89">
      <w:pPr>
        <w:rPr>
          <w:sz w:val="27"/>
          <w:rtl/>
        </w:rPr>
      </w:pPr>
      <w:r w:rsidRPr="006571AC">
        <w:rPr>
          <w:rFonts w:hint="cs"/>
          <w:sz w:val="27"/>
          <w:rtl/>
        </w:rPr>
        <w:t>6</w:t>
      </w:r>
      <w:r w:rsidR="007C76F0" w:rsidRPr="006571AC">
        <w:rPr>
          <w:rFonts w:hint="cs"/>
          <w:sz w:val="27"/>
          <w:rtl/>
        </w:rPr>
        <w:t>ـ من الضرورة بمكان</w:t>
      </w:r>
      <w:r w:rsidRPr="006571AC">
        <w:rPr>
          <w:rFonts w:hint="cs"/>
          <w:sz w:val="27"/>
          <w:rtl/>
        </w:rPr>
        <w:t>ٍ</w:t>
      </w:r>
      <w:r w:rsidR="007C76F0" w:rsidRPr="006571AC">
        <w:rPr>
          <w:rFonts w:hint="cs"/>
          <w:sz w:val="27"/>
          <w:rtl/>
        </w:rPr>
        <w:t xml:space="preserve"> وجود متابعة</w:t>
      </w:r>
      <w:r w:rsidRPr="006571AC">
        <w:rPr>
          <w:rFonts w:hint="cs"/>
          <w:sz w:val="27"/>
          <w:rtl/>
        </w:rPr>
        <w:t>ٍ</w:t>
      </w:r>
      <w:r w:rsidR="007C76F0" w:rsidRPr="006571AC">
        <w:rPr>
          <w:rFonts w:hint="cs"/>
          <w:sz w:val="27"/>
          <w:rtl/>
        </w:rPr>
        <w:t xml:space="preserve"> ور</w:t>
      </w:r>
      <w:r w:rsidR="00B66DC2" w:rsidRPr="006571AC">
        <w:rPr>
          <w:rFonts w:hint="cs"/>
          <w:sz w:val="27"/>
          <w:rtl/>
        </w:rPr>
        <w:t>َ</w:t>
      </w:r>
      <w:r w:rsidR="007C76F0" w:rsidRPr="006571AC">
        <w:rPr>
          <w:rFonts w:hint="cs"/>
          <w:sz w:val="27"/>
          <w:rtl/>
        </w:rPr>
        <w:t>ص</w:t>
      </w:r>
      <w:r w:rsidR="00B66DC2" w:rsidRPr="006571AC">
        <w:rPr>
          <w:rFonts w:hint="cs"/>
          <w:sz w:val="27"/>
          <w:rtl/>
        </w:rPr>
        <w:t>ْ</w:t>
      </w:r>
      <w:r w:rsidR="007C76F0" w:rsidRPr="006571AC">
        <w:rPr>
          <w:rFonts w:hint="cs"/>
          <w:sz w:val="27"/>
          <w:rtl/>
        </w:rPr>
        <w:t>د</w:t>
      </w:r>
      <w:r w:rsidRPr="006571AC">
        <w:rPr>
          <w:rFonts w:hint="cs"/>
          <w:sz w:val="27"/>
          <w:rtl/>
        </w:rPr>
        <w:t>ٍ</w:t>
      </w:r>
      <w:r w:rsidR="007C76F0" w:rsidRPr="006571AC">
        <w:rPr>
          <w:rFonts w:hint="cs"/>
          <w:sz w:val="27"/>
          <w:rtl/>
        </w:rPr>
        <w:t xml:space="preserve"> للأداء الخطابي في كل</w:t>
      </w:r>
      <w:r w:rsidRPr="006571AC">
        <w:rPr>
          <w:rFonts w:hint="cs"/>
          <w:sz w:val="27"/>
          <w:rtl/>
        </w:rPr>
        <w:t>ّ</w:t>
      </w:r>
      <w:r w:rsidR="007C76F0" w:rsidRPr="006571AC">
        <w:rPr>
          <w:rFonts w:hint="cs"/>
          <w:sz w:val="27"/>
          <w:rtl/>
        </w:rPr>
        <w:t xml:space="preserve"> مناسبة</w:t>
      </w:r>
      <w:r w:rsidRPr="006571AC">
        <w:rPr>
          <w:rFonts w:hint="cs"/>
          <w:sz w:val="27"/>
          <w:rtl/>
        </w:rPr>
        <w:t>ٍ</w:t>
      </w:r>
      <w:r w:rsidR="007C76F0" w:rsidRPr="006571AC">
        <w:rPr>
          <w:rFonts w:hint="cs"/>
          <w:sz w:val="27"/>
          <w:rtl/>
        </w:rPr>
        <w:t xml:space="preserve"> وموسم</w:t>
      </w:r>
      <w:r w:rsidRPr="006571AC">
        <w:rPr>
          <w:rFonts w:hint="cs"/>
          <w:sz w:val="27"/>
          <w:rtl/>
        </w:rPr>
        <w:t>ٍ</w:t>
      </w:r>
      <w:r w:rsidR="007C76F0" w:rsidRPr="006571AC">
        <w:rPr>
          <w:rFonts w:hint="cs"/>
          <w:sz w:val="27"/>
          <w:rtl/>
        </w:rPr>
        <w:t xml:space="preserve"> ديني</w:t>
      </w:r>
      <w:r w:rsidRPr="006571AC">
        <w:rPr>
          <w:rFonts w:hint="cs"/>
          <w:sz w:val="27"/>
          <w:rtl/>
        </w:rPr>
        <w:t>؛</w:t>
      </w:r>
      <w:r w:rsidR="007C76F0" w:rsidRPr="006571AC">
        <w:rPr>
          <w:rFonts w:hint="cs"/>
          <w:sz w:val="27"/>
          <w:rtl/>
        </w:rPr>
        <w:t xml:space="preserve"> من أجل التقويم، وتدوير التجارب الناجحة، ومعالجة مناطق الضعف، وسدّ الثغرات. </w:t>
      </w:r>
    </w:p>
    <w:p w:rsidR="00A7083D" w:rsidRPr="006571AC" w:rsidRDefault="0011736A" w:rsidP="00F22B89">
      <w:pPr>
        <w:rPr>
          <w:sz w:val="27"/>
          <w:rtl/>
        </w:rPr>
      </w:pPr>
      <w:r w:rsidRPr="006571AC">
        <w:rPr>
          <w:rFonts w:hint="cs"/>
          <w:sz w:val="27"/>
          <w:rtl/>
        </w:rPr>
        <w:lastRenderedPageBreak/>
        <w:t>7</w:t>
      </w:r>
      <w:r w:rsidR="007C76F0" w:rsidRPr="006571AC">
        <w:rPr>
          <w:rFonts w:hint="cs"/>
          <w:sz w:val="27"/>
          <w:rtl/>
        </w:rPr>
        <w:t>ـ تحتاج الساحة الاجتماعية لرفع مستوى الو</w:t>
      </w:r>
      <w:r w:rsidRPr="006571AC">
        <w:rPr>
          <w:rFonts w:hint="cs"/>
          <w:sz w:val="27"/>
          <w:rtl/>
        </w:rPr>
        <w:t>َعْ</w:t>
      </w:r>
      <w:r w:rsidR="007C76F0" w:rsidRPr="006571AC">
        <w:rPr>
          <w:rFonts w:hint="cs"/>
          <w:sz w:val="27"/>
          <w:rtl/>
        </w:rPr>
        <w:t>ي بأهم</w:t>
      </w:r>
      <w:r w:rsidRPr="006571AC">
        <w:rPr>
          <w:rFonts w:hint="cs"/>
          <w:sz w:val="27"/>
          <w:rtl/>
        </w:rPr>
        <w:t>ّ</w:t>
      </w:r>
      <w:r w:rsidR="007C76F0" w:rsidRPr="006571AC">
        <w:rPr>
          <w:rFonts w:hint="cs"/>
          <w:sz w:val="27"/>
          <w:rtl/>
        </w:rPr>
        <w:t>ية الخطاب الديني، والتعامل معه بمسؤولية</w:t>
      </w:r>
      <w:r w:rsidRPr="006571AC">
        <w:rPr>
          <w:rFonts w:hint="cs"/>
          <w:sz w:val="27"/>
          <w:rtl/>
        </w:rPr>
        <w:t>ٍ</w:t>
      </w:r>
      <w:r w:rsidR="007C76F0" w:rsidRPr="006571AC">
        <w:rPr>
          <w:rFonts w:hint="cs"/>
          <w:sz w:val="27"/>
          <w:rtl/>
        </w:rPr>
        <w:t xml:space="preserve"> والتزام، والقيام تجاهه بد</w:t>
      </w:r>
      <w:r w:rsidRPr="006571AC">
        <w:rPr>
          <w:rFonts w:hint="cs"/>
          <w:sz w:val="27"/>
          <w:rtl/>
        </w:rPr>
        <w:t>َ</w:t>
      </w:r>
      <w:r w:rsidR="007C76F0" w:rsidRPr="006571AC">
        <w:rPr>
          <w:rFonts w:hint="cs"/>
          <w:sz w:val="27"/>
          <w:rtl/>
        </w:rPr>
        <w:t>و</w:t>
      </w:r>
      <w:r w:rsidRPr="006571AC">
        <w:rPr>
          <w:rFonts w:hint="cs"/>
          <w:sz w:val="27"/>
          <w:rtl/>
        </w:rPr>
        <w:t>ْ</w:t>
      </w:r>
      <w:r w:rsidR="007C76F0" w:rsidRPr="006571AC">
        <w:rPr>
          <w:rFonts w:hint="cs"/>
          <w:sz w:val="27"/>
          <w:rtl/>
        </w:rPr>
        <w:t>ر التقويم والنقد البنّاء لأدائه، انطلاقاً من المعايير والضوابط الصحيحة.</w:t>
      </w:r>
      <w:r w:rsidR="00A7083D" w:rsidRPr="006571AC">
        <w:rPr>
          <w:sz w:val="27"/>
          <w:rtl/>
        </w:rPr>
        <w:t xml:space="preserve">. </w:t>
      </w:r>
    </w:p>
    <w:p w:rsidR="00E83C22" w:rsidRPr="006571AC" w:rsidRDefault="00E83C22" w:rsidP="00F83E2D">
      <w:pPr>
        <w:spacing w:line="420" w:lineRule="exact"/>
        <w:rPr>
          <w:rtl/>
        </w:rPr>
      </w:pPr>
    </w:p>
    <w:p w:rsidR="00E83C22" w:rsidRPr="006571AC" w:rsidRDefault="00E83C22" w:rsidP="00F22B89">
      <w:pPr>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44"/>
          <w:headerReference w:type="default" r:id="rId45"/>
          <w:footerReference w:type="even" r:id="rId46"/>
          <w:footerReference w:type="default" r:id="rId4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48"/>
          <w:headerReference w:type="default" r:id="rId49"/>
          <w:footerReference w:type="even" r:id="rId50"/>
          <w:footerReference w:type="default" r:id="rId51"/>
          <w:headerReference w:type="first" r:id="rId5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453F43">
      <w:pPr>
        <w:spacing w:line="480" w:lineRule="exact"/>
        <w:rPr>
          <w:rtl/>
        </w:rPr>
      </w:pPr>
    </w:p>
    <w:p w:rsidR="00E83C22" w:rsidRPr="006571AC" w:rsidRDefault="00E83C22" w:rsidP="00453F43">
      <w:pPr>
        <w:spacing w:line="480" w:lineRule="exact"/>
        <w:rPr>
          <w:rtl/>
        </w:rPr>
      </w:pPr>
    </w:p>
    <w:p w:rsidR="00E83C22" w:rsidRPr="006571AC" w:rsidRDefault="00A75C8B" w:rsidP="00A75C8B">
      <w:pPr>
        <w:pStyle w:val="10"/>
        <w:spacing w:line="216" w:lineRule="auto"/>
        <w:rPr>
          <w:b w:val="0"/>
          <w:rtl/>
        </w:rPr>
      </w:pPr>
      <w:bookmarkStart w:id="75" w:name="_Toc114164564"/>
      <w:r w:rsidRPr="006571AC">
        <w:rPr>
          <w:rFonts w:hint="cs"/>
          <w:b w:val="0"/>
          <w:rtl/>
        </w:rPr>
        <w:t>قرينة السياق</w:t>
      </w:r>
      <w:bookmarkEnd w:id="75"/>
    </w:p>
    <w:p w:rsidR="00E83C22" w:rsidRPr="006571AC" w:rsidRDefault="00B04672" w:rsidP="00B04672">
      <w:pPr>
        <w:pStyle w:val="10"/>
        <w:spacing w:line="216" w:lineRule="auto"/>
        <w:rPr>
          <w:sz w:val="26"/>
          <w:szCs w:val="42"/>
          <w:rtl/>
        </w:rPr>
      </w:pPr>
      <w:bookmarkStart w:id="76" w:name="_Toc114164565"/>
      <w:r w:rsidRPr="006571AC">
        <w:rPr>
          <w:rFonts w:hint="cs"/>
          <w:sz w:val="42"/>
          <w:szCs w:val="42"/>
          <w:rtl/>
        </w:rPr>
        <w:t>و</w:t>
      </w:r>
      <w:r w:rsidRPr="006571AC">
        <w:rPr>
          <w:rFonts w:hint="cs"/>
          <w:b w:val="0"/>
          <w:sz w:val="42"/>
          <w:szCs w:val="42"/>
          <w:rtl/>
        </w:rPr>
        <w:t>دَوْرها</w:t>
      </w:r>
      <w:r w:rsidRPr="006571AC">
        <w:rPr>
          <w:rFonts w:hint="cs"/>
          <w:b w:val="0"/>
          <w:rtl/>
        </w:rPr>
        <w:t xml:space="preserve"> </w:t>
      </w:r>
      <w:r w:rsidR="00A75C8B" w:rsidRPr="006571AC">
        <w:rPr>
          <w:rFonts w:hint="cs"/>
          <w:sz w:val="26"/>
          <w:szCs w:val="42"/>
          <w:rtl/>
        </w:rPr>
        <w:t>في استنباط الأحكام الشرعي</w:t>
      </w:r>
      <w:r w:rsidRPr="006571AC">
        <w:rPr>
          <w:rFonts w:hint="cs"/>
          <w:sz w:val="26"/>
          <w:szCs w:val="42"/>
          <w:rtl/>
        </w:rPr>
        <w:t>ّ</w:t>
      </w:r>
      <w:r w:rsidR="00A75C8B" w:rsidRPr="006571AC">
        <w:rPr>
          <w:rFonts w:hint="cs"/>
          <w:sz w:val="26"/>
          <w:szCs w:val="42"/>
          <w:rtl/>
        </w:rPr>
        <w:t>ة</w:t>
      </w:r>
      <w:bookmarkEnd w:id="76"/>
    </w:p>
    <w:p w:rsidR="00E83C22" w:rsidRPr="006571AC" w:rsidRDefault="00E83C22" w:rsidP="00453F43">
      <w:pPr>
        <w:spacing w:line="320" w:lineRule="exact"/>
        <w:rPr>
          <w:rtl/>
        </w:rPr>
      </w:pPr>
    </w:p>
    <w:p w:rsidR="00E83C22" w:rsidRPr="006571AC" w:rsidRDefault="009C29A7" w:rsidP="009C29A7">
      <w:pPr>
        <w:pStyle w:val="Author"/>
        <w:rPr>
          <w:rtl/>
        </w:rPr>
      </w:pPr>
      <w:r w:rsidRPr="006571AC">
        <w:rPr>
          <w:rFonts w:hint="cs"/>
          <w:rtl/>
        </w:rPr>
        <w:t>الشيخ محمد حسن گلي شيردار</w:t>
      </w:r>
      <w:r w:rsidR="00527634" w:rsidRPr="006571AC">
        <w:rPr>
          <w:rFonts w:cs="Taher" w:hint="cs"/>
          <w:vertAlign w:val="superscript"/>
          <w:rtl/>
        </w:rPr>
        <w:t>(</w:t>
      </w:r>
      <w:r w:rsidR="00527634" w:rsidRPr="006571AC">
        <w:rPr>
          <w:rFonts w:cs="Taher"/>
          <w:vertAlign w:val="superscript"/>
          <w:rtl/>
        </w:rPr>
        <w:footnoteReference w:customMarkFollows="1" w:id="4"/>
        <w:t>*)</w:t>
      </w:r>
    </w:p>
    <w:p w:rsidR="00A75C8B" w:rsidRPr="006571AC" w:rsidRDefault="00403183" w:rsidP="009C29A7">
      <w:pPr>
        <w:pStyle w:val="Author"/>
        <w:rPr>
          <w:rtl/>
        </w:rPr>
      </w:pPr>
      <w:r w:rsidRPr="006571AC">
        <w:rPr>
          <w:rFonts w:hint="cs"/>
          <w:rtl/>
        </w:rPr>
        <w:t xml:space="preserve">الشيخ </w:t>
      </w:r>
      <w:r w:rsidR="009C29A7" w:rsidRPr="006571AC">
        <w:rPr>
          <w:rFonts w:hint="cs"/>
          <w:rtl/>
        </w:rPr>
        <w:t>سپهر كرد</w:t>
      </w:r>
      <w:r w:rsidR="00A75C8B" w:rsidRPr="006571AC">
        <w:rPr>
          <w:rFonts w:cs="Taher" w:hint="cs"/>
          <w:vertAlign w:val="superscript"/>
          <w:rtl/>
        </w:rPr>
        <w:t>(*</w:t>
      </w:r>
      <w:r w:rsidR="00A75C8B" w:rsidRPr="006571AC">
        <w:rPr>
          <w:rFonts w:cs="Taher"/>
          <w:vertAlign w:val="superscript"/>
          <w:rtl/>
        </w:rPr>
        <w:footnoteReference w:customMarkFollows="1" w:id="5"/>
        <w:t>*)</w:t>
      </w:r>
    </w:p>
    <w:p w:rsidR="00E83C22" w:rsidRPr="006571AC" w:rsidRDefault="00E83C22" w:rsidP="009C29A7">
      <w:pPr>
        <w:pStyle w:val="Author"/>
        <w:rPr>
          <w:rtl/>
        </w:rPr>
      </w:pPr>
      <w:r w:rsidRPr="006571AC">
        <w:rPr>
          <w:rFonts w:hint="cs"/>
          <w:rtl/>
        </w:rPr>
        <w:t xml:space="preserve">ترجمة: </w:t>
      </w:r>
      <w:r w:rsidR="009C29A7" w:rsidRPr="006571AC">
        <w:rPr>
          <w:rFonts w:hint="cs"/>
          <w:rtl/>
        </w:rPr>
        <w:t>حسن علي مطر الهاشمي</w:t>
      </w:r>
    </w:p>
    <w:p w:rsidR="00E83C22" w:rsidRPr="006571AC" w:rsidRDefault="00E83C22" w:rsidP="00453F43">
      <w:pPr>
        <w:spacing w:line="320" w:lineRule="exact"/>
        <w:rPr>
          <w:rtl/>
        </w:rPr>
      </w:pPr>
    </w:p>
    <w:p w:rsidR="00A75C8B" w:rsidRPr="006571AC" w:rsidRDefault="00A75C8B" w:rsidP="009C29A7">
      <w:pPr>
        <w:pStyle w:val="31"/>
        <w:rPr>
          <w:color w:val="auto"/>
          <w:rtl/>
        </w:rPr>
      </w:pPr>
      <w:bookmarkStart w:id="77" w:name="_Toc114164566"/>
      <w:r w:rsidRPr="006571AC">
        <w:rPr>
          <w:rFonts w:hint="cs"/>
          <w:color w:val="auto"/>
          <w:rtl/>
        </w:rPr>
        <w:t>مقدّمة</w:t>
      </w:r>
      <w:r w:rsidR="00342C3B" w:rsidRPr="006571AC">
        <w:rPr>
          <w:rFonts w:hint="cs"/>
          <w:color w:val="auto"/>
          <w:rtl/>
        </w:rPr>
        <w:t>ٌ</w:t>
      </w:r>
      <w:bookmarkEnd w:id="77"/>
      <w:r w:rsidRPr="006571AC">
        <w:rPr>
          <w:rFonts w:hint="cs"/>
          <w:color w:val="auto"/>
          <w:rtl/>
        </w:rPr>
        <w:t xml:space="preserve"> </w:t>
      </w:r>
    </w:p>
    <w:p w:rsidR="00A75C8B" w:rsidRPr="006571AC" w:rsidRDefault="00A75C8B" w:rsidP="00C95139">
      <w:pPr>
        <w:rPr>
          <w:sz w:val="27"/>
          <w:rtl/>
        </w:rPr>
      </w:pPr>
      <w:r w:rsidRPr="006571AC">
        <w:rPr>
          <w:rFonts w:hint="cs"/>
          <w:sz w:val="27"/>
          <w:rtl/>
        </w:rPr>
        <w:t>إن جميع الباحثين في الشأن الديني</w:t>
      </w:r>
      <w:r w:rsidR="00707FBC" w:rsidRPr="006571AC">
        <w:rPr>
          <w:rFonts w:hint="cs"/>
          <w:sz w:val="27"/>
          <w:rtl/>
        </w:rPr>
        <w:t>،</w:t>
      </w:r>
      <w:r w:rsidRPr="006571AC">
        <w:rPr>
          <w:rFonts w:hint="cs"/>
          <w:sz w:val="27"/>
          <w:rtl/>
        </w:rPr>
        <w:t xml:space="preserve"> بكاف</w:t>
      </w:r>
      <w:r w:rsidR="00707FBC" w:rsidRPr="006571AC">
        <w:rPr>
          <w:rFonts w:hint="cs"/>
          <w:sz w:val="27"/>
          <w:rtl/>
        </w:rPr>
        <w:t>ّ</w:t>
      </w:r>
      <w:r w:rsidRPr="006571AC">
        <w:rPr>
          <w:rFonts w:hint="cs"/>
          <w:sz w:val="27"/>
          <w:rtl/>
        </w:rPr>
        <w:t>ة الاتجاهات والأساليب التي يتبعونها في أبحاثهم</w:t>
      </w:r>
      <w:r w:rsidR="00707FBC" w:rsidRPr="006571AC">
        <w:rPr>
          <w:rFonts w:hint="cs"/>
          <w:sz w:val="27"/>
          <w:rtl/>
        </w:rPr>
        <w:t>،</w:t>
      </w:r>
      <w:r w:rsidRPr="006571AC">
        <w:rPr>
          <w:rFonts w:hint="cs"/>
          <w:sz w:val="27"/>
          <w:rtl/>
        </w:rPr>
        <w:t xml:space="preserve"> يحتاجون إلى مصدر</w:t>
      </w:r>
      <w:r w:rsidR="00707FBC" w:rsidRPr="006571AC">
        <w:rPr>
          <w:rFonts w:hint="cs"/>
          <w:sz w:val="27"/>
          <w:rtl/>
        </w:rPr>
        <w:t>ٍ</w:t>
      </w:r>
      <w:r w:rsidRPr="006571AC">
        <w:rPr>
          <w:rFonts w:hint="cs"/>
          <w:sz w:val="27"/>
          <w:rtl/>
        </w:rPr>
        <w:t xml:space="preserve"> روائي ونقلي، كما أنهم في الاستفادة من هذا المصدر النقلي يحتاجون إلى كشف الظهور</w:t>
      </w:r>
      <w:r w:rsidR="00707FBC" w:rsidRPr="006571AC">
        <w:rPr>
          <w:rFonts w:hint="cs"/>
          <w:sz w:val="27"/>
          <w:rtl/>
        </w:rPr>
        <w:t>،</w:t>
      </w:r>
      <w:r w:rsidRPr="006571AC">
        <w:rPr>
          <w:rFonts w:hint="cs"/>
          <w:sz w:val="27"/>
          <w:rtl/>
        </w:rPr>
        <w:t xml:space="preserve"> أكثر من حاجتهم إلى السند والجهة. </w:t>
      </w:r>
    </w:p>
    <w:p w:rsidR="00A75C8B" w:rsidRPr="006571AC" w:rsidRDefault="00A75C8B" w:rsidP="00C95139">
      <w:pPr>
        <w:rPr>
          <w:sz w:val="27"/>
          <w:rtl/>
        </w:rPr>
      </w:pPr>
      <w:r w:rsidRPr="006571AC">
        <w:rPr>
          <w:rFonts w:hint="cs"/>
          <w:sz w:val="27"/>
          <w:rtl/>
        </w:rPr>
        <w:t>وعلى هذا الأساس</w:t>
      </w:r>
      <w:r w:rsidR="00707FBC" w:rsidRPr="006571AC">
        <w:rPr>
          <w:rFonts w:hint="cs"/>
          <w:sz w:val="27"/>
          <w:rtl/>
        </w:rPr>
        <w:t>،</w:t>
      </w:r>
      <w:r w:rsidRPr="006571AC">
        <w:rPr>
          <w:rFonts w:hint="cs"/>
          <w:sz w:val="27"/>
          <w:rtl/>
        </w:rPr>
        <w:t xml:space="preserve"> فإن من بين أهم</w:t>
      </w:r>
      <w:r w:rsidR="004B6D9D" w:rsidRPr="006571AC">
        <w:rPr>
          <w:rFonts w:hint="cs"/>
          <w:sz w:val="27"/>
          <w:rtl/>
        </w:rPr>
        <w:t>ّ</w:t>
      </w:r>
      <w:r w:rsidRPr="006571AC">
        <w:rPr>
          <w:rFonts w:hint="cs"/>
          <w:sz w:val="27"/>
          <w:rtl/>
        </w:rPr>
        <w:t xml:space="preserve"> المسائل</w:t>
      </w:r>
      <w:r w:rsidR="00707FBC" w:rsidRPr="006571AC">
        <w:rPr>
          <w:rFonts w:hint="cs"/>
          <w:sz w:val="27"/>
          <w:rtl/>
        </w:rPr>
        <w:t>،</w:t>
      </w:r>
      <w:r w:rsidRPr="006571AC">
        <w:rPr>
          <w:rFonts w:hint="cs"/>
          <w:sz w:val="27"/>
          <w:rtl/>
        </w:rPr>
        <w:t xml:space="preserve"> التي يجب أن تقع مورد اهتمام العلماء في هذا ال</w:t>
      </w:r>
      <w:r w:rsidR="003C2639" w:rsidRPr="006571AC">
        <w:rPr>
          <w:rFonts w:hint="cs"/>
          <w:sz w:val="27"/>
          <w:rtl/>
        </w:rPr>
        <w:t>مجال</w:t>
      </w:r>
      <w:r w:rsidRPr="006571AC">
        <w:rPr>
          <w:rFonts w:hint="cs"/>
          <w:sz w:val="27"/>
          <w:rtl/>
        </w:rPr>
        <w:t xml:space="preserve"> في</w:t>
      </w:r>
      <w:r w:rsidR="00707FBC" w:rsidRPr="006571AC">
        <w:rPr>
          <w:rFonts w:hint="cs"/>
          <w:sz w:val="27"/>
          <w:rtl/>
        </w:rPr>
        <w:t xml:space="preserve"> </w:t>
      </w:r>
      <w:r w:rsidRPr="006571AC">
        <w:rPr>
          <w:rFonts w:hint="cs"/>
          <w:sz w:val="27"/>
          <w:rtl/>
        </w:rPr>
        <w:t>ما يتعل</w:t>
      </w:r>
      <w:r w:rsidR="00707FBC" w:rsidRPr="006571AC">
        <w:rPr>
          <w:rFonts w:hint="cs"/>
          <w:sz w:val="27"/>
          <w:rtl/>
        </w:rPr>
        <w:t>َّ</w:t>
      </w:r>
      <w:r w:rsidRPr="006571AC">
        <w:rPr>
          <w:rFonts w:hint="cs"/>
          <w:sz w:val="27"/>
          <w:rtl/>
        </w:rPr>
        <w:t>ق بفهم المصادر النقلية، تنقيح المسائل المؤث</w:t>
      </w:r>
      <w:r w:rsidR="00707FBC" w:rsidRPr="006571AC">
        <w:rPr>
          <w:rFonts w:hint="cs"/>
          <w:sz w:val="27"/>
          <w:rtl/>
        </w:rPr>
        <w:t>ِّ</w:t>
      </w:r>
      <w:r w:rsidRPr="006571AC">
        <w:rPr>
          <w:rFonts w:hint="cs"/>
          <w:sz w:val="27"/>
          <w:rtl/>
        </w:rPr>
        <w:t>رة في تشكيل الظهور. ومن الواضح جد</w:t>
      </w:r>
      <w:r w:rsidR="00707FBC" w:rsidRPr="006571AC">
        <w:rPr>
          <w:rFonts w:hint="cs"/>
          <w:sz w:val="27"/>
          <w:rtl/>
        </w:rPr>
        <w:t>ّ</w:t>
      </w:r>
      <w:r w:rsidRPr="006571AC">
        <w:rPr>
          <w:rFonts w:hint="cs"/>
          <w:sz w:val="27"/>
          <w:rtl/>
        </w:rPr>
        <w:t>اً أن القرائن المت</w:t>
      </w:r>
      <w:r w:rsidR="00707FBC" w:rsidRPr="006571AC">
        <w:rPr>
          <w:rFonts w:hint="cs"/>
          <w:sz w:val="27"/>
          <w:rtl/>
        </w:rPr>
        <w:t>ّ</w:t>
      </w:r>
      <w:r w:rsidRPr="006571AC">
        <w:rPr>
          <w:rFonts w:hint="cs"/>
          <w:sz w:val="27"/>
          <w:rtl/>
        </w:rPr>
        <w:t>صلة تحظى ب</w:t>
      </w:r>
      <w:r w:rsidR="00EA38F1" w:rsidRPr="006571AC">
        <w:rPr>
          <w:rFonts w:hint="cs"/>
          <w:sz w:val="27"/>
          <w:rtl/>
        </w:rPr>
        <w:t>دَوْر</w:t>
      </w:r>
      <w:r w:rsidR="00707FBC" w:rsidRPr="006571AC">
        <w:rPr>
          <w:rFonts w:hint="cs"/>
          <w:sz w:val="27"/>
          <w:rtl/>
        </w:rPr>
        <w:t>ٍ</w:t>
      </w:r>
      <w:r w:rsidRPr="006571AC">
        <w:rPr>
          <w:rFonts w:hint="cs"/>
          <w:sz w:val="27"/>
          <w:rtl/>
        </w:rPr>
        <w:t xml:space="preserve"> كبير فيما نحن فيه</w:t>
      </w:r>
      <w:r w:rsidR="00707FBC" w:rsidRPr="006571AC">
        <w:rPr>
          <w:rFonts w:hint="cs"/>
          <w:sz w:val="27"/>
          <w:rtl/>
        </w:rPr>
        <w:t>.</w:t>
      </w:r>
      <w:r w:rsidRPr="006571AC">
        <w:rPr>
          <w:rFonts w:hint="cs"/>
          <w:sz w:val="27"/>
          <w:rtl/>
        </w:rPr>
        <w:t xml:space="preserve"> ومن هنا فإن ال</w:t>
      </w:r>
      <w:r w:rsidR="00707FBC" w:rsidRPr="006571AC">
        <w:rPr>
          <w:rFonts w:hint="cs"/>
          <w:sz w:val="27"/>
          <w:rtl/>
        </w:rPr>
        <w:t>دَّ</w:t>
      </w:r>
      <w:r w:rsidR="00EA38F1" w:rsidRPr="006571AC">
        <w:rPr>
          <w:rFonts w:hint="cs"/>
          <w:sz w:val="27"/>
          <w:rtl/>
        </w:rPr>
        <w:t>وْر</w:t>
      </w:r>
      <w:r w:rsidRPr="006571AC">
        <w:rPr>
          <w:rFonts w:hint="cs"/>
          <w:sz w:val="27"/>
          <w:rtl/>
        </w:rPr>
        <w:t xml:space="preserve"> الصارخ للقرائن المتصلة في فهم الكلام</w:t>
      </w:r>
      <w:r w:rsidR="00707FBC" w:rsidRPr="006571AC">
        <w:rPr>
          <w:rFonts w:hint="cs"/>
          <w:sz w:val="27"/>
          <w:rtl/>
        </w:rPr>
        <w:t>،</w:t>
      </w:r>
      <w:r w:rsidRPr="006571AC">
        <w:rPr>
          <w:rFonts w:hint="cs"/>
          <w:sz w:val="27"/>
          <w:rtl/>
        </w:rPr>
        <w:t xml:space="preserve"> وتشكيل الظهور، يضاعف من أهم</w:t>
      </w:r>
      <w:r w:rsidR="00707FBC" w:rsidRPr="006571AC">
        <w:rPr>
          <w:rFonts w:hint="cs"/>
          <w:sz w:val="27"/>
          <w:rtl/>
        </w:rPr>
        <w:t>ِّ</w:t>
      </w:r>
      <w:r w:rsidRPr="006571AC">
        <w:rPr>
          <w:rFonts w:hint="cs"/>
          <w:sz w:val="27"/>
          <w:rtl/>
        </w:rPr>
        <w:t>ية وضرورة التحقيق حول أقسام وشرائط وحدود وثغ</w:t>
      </w:r>
      <w:r w:rsidR="00707FBC" w:rsidRPr="006571AC">
        <w:rPr>
          <w:rFonts w:hint="cs"/>
          <w:sz w:val="27"/>
          <w:rtl/>
        </w:rPr>
        <w:t>رات</w:t>
      </w:r>
      <w:r w:rsidRPr="006571AC">
        <w:rPr>
          <w:rFonts w:hint="cs"/>
          <w:sz w:val="27"/>
          <w:rtl/>
        </w:rPr>
        <w:t xml:space="preserve"> هذه القرائن. </w:t>
      </w:r>
    </w:p>
    <w:p w:rsidR="00A75C8B" w:rsidRPr="006571AC" w:rsidRDefault="00A75C8B" w:rsidP="00C95139">
      <w:pPr>
        <w:rPr>
          <w:sz w:val="27"/>
          <w:rtl/>
        </w:rPr>
      </w:pPr>
      <w:r w:rsidRPr="006571AC">
        <w:rPr>
          <w:rFonts w:hint="cs"/>
          <w:sz w:val="27"/>
          <w:rtl/>
        </w:rPr>
        <w:t>وعلى الرغم من الجهود المتواصلة من ق</w:t>
      </w:r>
      <w:r w:rsidR="00707FBC" w:rsidRPr="006571AC">
        <w:rPr>
          <w:rFonts w:hint="cs"/>
          <w:sz w:val="27"/>
          <w:rtl/>
        </w:rPr>
        <w:t>ِ</w:t>
      </w:r>
      <w:r w:rsidRPr="006571AC">
        <w:rPr>
          <w:rFonts w:hint="cs"/>
          <w:sz w:val="27"/>
          <w:rtl/>
        </w:rPr>
        <w:t>ب</w:t>
      </w:r>
      <w:r w:rsidR="00707FBC" w:rsidRPr="006571AC">
        <w:rPr>
          <w:rFonts w:hint="cs"/>
          <w:sz w:val="27"/>
          <w:rtl/>
        </w:rPr>
        <w:t>َ</w:t>
      </w:r>
      <w:r w:rsidRPr="006571AC">
        <w:rPr>
          <w:rFonts w:hint="cs"/>
          <w:sz w:val="27"/>
          <w:rtl/>
        </w:rPr>
        <w:t>ل العلماء العظام في إطار الوصول إلى ضوابط وقوانين الاستظهار، لا يزال هناك الكثير من القرائن التي لم يتم</w:t>
      </w:r>
      <w:r w:rsidR="00707FBC" w:rsidRPr="006571AC">
        <w:rPr>
          <w:rFonts w:hint="cs"/>
          <w:sz w:val="27"/>
          <w:rtl/>
        </w:rPr>
        <w:t>ّ</w:t>
      </w:r>
      <w:r w:rsidRPr="006571AC">
        <w:rPr>
          <w:rFonts w:hint="cs"/>
          <w:sz w:val="27"/>
          <w:rtl/>
        </w:rPr>
        <w:t xml:space="preserve"> بحثها بشكل</w:t>
      </w:r>
      <w:r w:rsidR="00707FBC" w:rsidRPr="006571AC">
        <w:rPr>
          <w:rFonts w:hint="cs"/>
          <w:sz w:val="27"/>
          <w:rtl/>
        </w:rPr>
        <w:t>ٍ</w:t>
      </w:r>
      <w:r w:rsidRPr="006571AC">
        <w:rPr>
          <w:rFonts w:hint="cs"/>
          <w:sz w:val="27"/>
          <w:rtl/>
        </w:rPr>
        <w:t xml:space="preserve"> جامع ومدوّ</w:t>
      </w:r>
      <w:r w:rsidR="00707FBC" w:rsidRPr="006571AC">
        <w:rPr>
          <w:rFonts w:hint="cs"/>
          <w:sz w:val="27"/>
          <w:rtl/>
        </w:rPr>
        <w:t>َ</w:t>
      </w:r>
      <w:r w:rsidRPr="006571AC">
        <w:rPr>
          <w:rFonts w:hint="cs"/>
          <w:sz w:val="27"/>
          <w:rtl/>
        </w:rPr>
        <w:t>ن، كما لم يتمّ إفراد فصل</w:t>
      </w:r>
      <w:r w:rsidR="00707FBC" w:rsidRPr="006571AC">
        <w:rPr>
          <w:rFonts w:hint="cs"/>
          <w:sz w:val="27"/>
          <w:rtl/>
        </w:rPr>
        <w:t>ٍ</w:t>
      </w:r>
      <w:r w:rsidRPr="006571AC">
        <w:rPr>
          <w:rFonts w:hint="cs"/>
          <w:sz w:val="27"/>
          <w:rtl/>
        </w:rPr>
        <w:t xml:space="preserve"> مستقل</w:t>
      </w:r>
      <w:r w:rsidR="00707FBC" w:rsidRPr="006571AC">
        <w:rPr>
          <w:rFonts w:hint="cs"/>
          <w:sz w:val="27"/>
          <w:rtl/>
        </w:rPr>
        <w:t>ّ</w:t>
      </w:r>
      <w:r w:rsidRPr="006571AC">
        <w:rPr>
          <w:rFonts w:hint="cs"/>
          <w:sz w:val="27"/>
          <w:rtl/>
        </w:rPr>
        <w:t xml:space="preserve"> لهذه الأبحاث. </w:t>
      </w:r>
    </w:p>
    <w:p w:rsidR="00A75C8B" w:rsidRPr="006571AC" w:rsidRDefault="00B01ECC" w:rsidP="00453F43">
      <w:pPr>
        <w:spacing w:line="416" w:lineRule="exact"/>
        <w:rPr>
          <w:sz w:val="27"/>
          <w:rtl/>
        </w:rPr>
      </w:pPr>
      <w:r w:rsidRPr="006571AC">
        <w:rPr>
          <w:rFonts w:hint="cs"/>
          <w:sz w:val="27"/>
          <w:rtl/>
        </w:rPr>
        <w:lastRenderedPageBreak/>
        <w:t>و</w:t>
      </w:r>
      <w:r w:rsidR="00A75C8B" w:rsidRPr="006571AC">
        <w:rPr>
          <w:rFonts w:hint="cs"/>
          <w:sz w:val="27"/>
          <w:rtl/>
        </w:rPr>
        <w:t>من ذلك</w:t>
      </w:r>
      <w:r w:rsidRPr="006571AC">
        <w:rPr>
          <w:rFonts w:hint="cs"/>
          <w:sz w:val="27"/>
          <w:rtl/>
        </w:rPr>
        <w:t>،</w:t>
      </w:r>
      <w:r w:rsidR="00A75C8B" w:rsidRPr="006571AC">
        <w:rPr>
          <w:rFonts w:hint="cs"/>
          <w:sz w:val="27"/>
          <w:rtl/>
        </w:rPr>
        <w:t xml:space="preserve"> على سبيل المثال</w:t>
      </w:r>
      <w:r w:rsidRPr="006571AC">
        <w:rPr>
          <w:rFonts w:hint="cs"/>
          <w:sz w:val="27"/>
          <w:rtl/>
        </w:rPr>
        <w:t>:</w:t>
      </w:r>
      <w:r w:rsidR="00A75C8B" w:rsidRPr="006571AC">
        <w:rPr>
          <w:rFonts w:hint="cs"/>
          <w:sz w:val="27"/>
          <w:rtl/>
        </w:rPr>
        <w:t xml:space="preserve"> لم يتم</w:t>
      </w:r>
      <w:r w:rsidRPr="006571AC">
        <w:rPr>
          <w:rFonts w:hint="cs"/>
          <w:sz w:val="27"/>
          <w:rtl/>
        </w:rPr>
        <w:t>ّ</w:t>
      </w:r>
      <w:r w:rsidR="00A75C8B" w:rsidRPr="006571AC">
        <w:rPr>
          <w:rFonts w:hint="cs"/>
          <w:sz w:val="27"/>
          <w:rtl/>
        </w:rPr>
        <w:t xml:space="preserve"> حتى الآن فتح أيّ باب للقرائن العامة في علم الأصول تحت عنوان: التعليل، والحكمة، ومناسبات الحكم والموضوع، والسياق، والتمثيل، وما إلى ذلك. هذا مع أن العلماء والمنظ</w:t>
      </w:r>
      <w:r w:rsidRPr="006571AC">
        <w:rPr>
          <w:rFonts w:hint="cs"/>
          <w:sz w:val="27"/>
          <w:rtl/>
        </w:rPr>
        <w:t>ِّ</w:t>
      </w:r>
      <w:r w:rsidR="00A75C8B" w:rsidRPr="006571AC">
        <w:rPr>
          <w:rFonts w:hint="cs"/>
          <w:sz w:val="27"/>
          <w:rtl/>
        </w:rPr>
        <w:t xml:space="preserve">رين في </w:t>
      </w:r>
      <w:r w:rsidR="003C2639" w:rsidRPr="006571AC">
        <w:rPr>
          <w:rFonts w:hint="cs"/>
          <w:sz w:val="27"/>
          <w:rtl/>
        </w:rPr>
        <w:t>مجال</w:t>
      </w:r>
      <w:r w:rsidR="00A75C8B" w:rsidRPr="006571AC">
        <w:rPr>
          <w:rFonts w:hint="cs"/>
          <w:sz w:val="27"/>
          <w:rtl/>
        </w:rPr>
        <w:t xml:space="preserve"> العلوم الإنسانية الإسلامية يتمس</w:t>
      </w:r>
      <w:r w:rsidRPr="006571AC">
        <w:rPr>
          <w:rFonts w:hint="cs"/>
          <w:sz w:val="27"/>
          <w:rtl/>
        </w:rPr>
        <w:t>ّ</w:t>
      </w:r>
      <w:r w:rsidR="00A75C8B" w:rsidRPr="006571AC">
        <w:rPr>
          <w:rFonts w:hint="cs"/>
          <w:sz w:val="27"/>
          <w:rtl/>
        </w:rPr>
        <w:t>كون بهذه العناوين من الناحية العملية، سواء في الأصول أو الفقه والقانون، بل ينتقدون بعضهم أحياناً بسبب أخطائهم في تشخيص وتوظيف هذه القرائن</w:t>
      </w:r>
      <w:r w:rsidRPr="006571AC">
        <w:rPr>
          <w:rFonts w:hint="cs"/>
          <w:sz w:val="27"/>
          <w:rtl/>
        </w:rPr>
        <w:t>.</w:t>
      </w:r>
      <w:r w:rsidR="00A75C8B" w:rsidRPr="006571AC">
        <w:rPr>
          <w:rFonts w:hint="cs"/>
          <w:sz w:val="27"/>
          <w:rtl/>
        </w:rPr>
        <w:t xml:space="preserve"> ومن هنا فإنهم يعمدون إلى طرح مباحث من قبيل: قرينة التعليل والحكمة، وقرينة السياق، وقرينة التمثيل</w:t>
      </w:r>
      <w:r w:rsidRPr="006571AC">
        <w:rPr>
          <w:rFonts w:hint="cs"/>
          <w:sz w:val="27"/>
          <w:rtl/>
        </w:rPr>
        <w:t>،</w:t>
      </w:r>
      <w:r w:rsidR="00A75C8B" w:rsidRPr="006571AC">
        <w:rPr>
          <w:rFonts w:hint="cs"/>
          <w:sz w:val="27"/>
          <w:rtl/>
        </w:rPr>
        <w:t xml:space="preserve"> وما إلى ذلك</w:t>
      </w:r>
      <w:r w:rsidRPr="006571AC">
        <w:rPr>
          <w:rFonts w:hint="cs"/>
          <w:sz w:val="27"/>
          <w:rtl/>
        </w:rPr>
        <w:t>؛</w:t>
      </w:r>
      <w:r w:rsidR="00A75C8B" w:rsidRPr="006571AC">
        <w:rPr>
          <w:rFonts w:hint="cs"/>
          <w:sz w:val="27"/>
          <w:rtl/>
        </w:rPr>
        <w:t xml:space="preserve"> ط</w:t>
      </w:r>
      <w:r w:rsidR="004B6D9D" w:rsidRPr="006571AC">
        <w:rPr>
          <w:rFonts w:hint="cs"/>
          <w:sz w:val="27"/>
          <w:rtl/>
        </w:rPr>
        <w:t>َ</w:t>
      </w:r>
      <w:r w:rsidR="00A75C8B" w:rsidRPr="006571AC">
        <w:rPr>
          <w:rFonts w:hint="cs"/>
          <w:sz w:val="27"/>
          <w:rtl/>
        </w:rPr>
        <w:t>ر</w:t>
      </w:r>
      <w:r w:rsidR="004B6D9D" w:rsidRPr="006571AC">
        <w:rPr>
          <w:rFonts w:hint="cs"/>
          <w:sz w:val="27"/>
          <w:rtl/>
        </w:rPr>
        <w:t>ْ</w:t>
      </w:r>
      <w:r w:rsidR="00A75C8B" w:rsidRPr="006571AC">
        <w:rPr>
          <w:rFonts w:hint="cs"/>
          <w:sz w:val="27"/>
          <w:rtl/>
        </w:rPr>
        <w:t>داً للباب</w:t>
      </w:r>
      <w:r w:rsidRPr="006571AC">
        <w:rPr>
          <w:rFonts w:hint="cs"/>
          <w:sz w:val="27"/>
          <w:rtl/>
        </w:rPr>
        <w:t>،</w:t>
      </w:r>
      <w:r w:rsidR="00A75C8B" w:rsidRPr="006571AC">
        <w:rPr>
          <w:rFonts w:hint="cs"/>
          <w:sz w:val="27"/>
          <w:rtl/>
        </w:rPr>
        <w:t xml:space="preserve"> وعلى نحو</w:t>
      </w:r>
      <w:r w:rsidRPr="006571AC">
        <w:rPr>
          <w:rFonts w:hint="cs"/>
          <w:sz w:val="27"/>
          <w:rtl/>
        </w:rPr>
        <w:t>ٍ</w:t>
      </w:r>
      <w:r w:rsidR="00A75C8B" w:rsidRPr="006571AC">
        <w:rPr>
          <w:rFonts w:hint="cs"/>
          <w:sz w:val="27"/>
          <w:rtl/>
        </w:rPr>
        <w:t xml:space="preserve"> غير منضبط. </w:t>
      </w:r>
    </w:p>
    <w:p w:rsidR="00A75C8B" w:rsidRPr="006571AC" w:rsidRDefault="00B01ECC" w:rsidP="00453F43">
      <w:pPr>
        <w:spacing w:line="416" w:lineRule="exact"/>
        <w:rPr>
          <w:sz w:val="27"/>
          <w:rtl/>
        </w:rPr>
      </w:pPr>
      <w:r w:rsidRPr="006571AC">
        <w:rPr>
          <w:rFonts w:hint="cs"/>
          <w:sz w:val="27"/>
          <w:rtl/>
        </w:rPr>
        <w:t>و</w:t>
      </w:r>
      <w:r w:rsidR="00A75C8B" w:rsidRPr="006571AC">
        <w:rPr>
          <w:rFonts w:hint="cs"/>
          <w:sz w:val="27"/>
          <w:rtl/>
        </w:rPr>
        <w:t>نسعى في هذه المقالة إلى بيان وشرح قرينة السياق المت</w:t>
      </w:r>
      <w:r w:rsidRPr="006571AC">
        <w:rPr>
          <w:rFonts w:hint="cs"/>
          <w:sz w:val="27"/>
          <w:rtl/>
        </w:rPr>
        <w:t>ّ</w:t>
      </w:r>
      <w:r w:rsidR="00A75C8B" w:rsidRPr="006571AC">
        <w:rPr>
          <w:rFonts w:hint="cs"/>
          <w:sz w:val="27"/>
          <w:rtl/>
        </w:rPr>
        <w:t>صلة بشكل</w:t>
      </w:r>
      <w:r w:rsidRPr="006571AC">
        <w:rPr>
          <w:rFonts w:hint="cs"/>
          <w:sz w:val="27"/>
          <w:rtl/>
        </w:rPr>
        <w:t>ٍ</w:t>
      </w:r>
      <w:r w:rsidR="00A75C8B" w:rsidRPr="006571AC">
        <w:rPr>
          <w:rFonts w:hint="cs"/>
          <w:sz w:val="27"/>
          <w:rtl/>
        </w:rPr>
        <w:t xml:space="preserve"> مدوّ</w:t>
      </w:r>
      <w:r w:rsidRPr="006571AC">
        <w:rPr>
          <w:rFonts w:hint="cs"/>
          <w:sz w:val="27"/>
          <w:rtl/>
        </w:rPr>
        <w:t>َ</w:t>
      </w:r>
      <w:r w:rsidR="00A75C8B" w:rsidRPr="006571AC">
        <w:rPr>
          <w:rFonts w:hint="cs"/>
          <w:sz w:val="27"/>
          <w:rtl/>
        </w:rPr>
        <w:t>ن وجامع. وعلى سبيل المثال</w:t>
      </w:r>
      <w:r w:rsidRPr="006571AC">
        <w:rPr>
          <w:rFonts w:hint="cs"/>
          <w:sz w:val="27"/>
          <w:rtl/>
        </w:rPr>
        <w:t>:</w:t>
      </w:r>
      <w:r w:rsidR="00A75C8B" w:rsidRPr="006571AC">
        <w:rPr>
          <w:rFonts w:hint="cs"/>
          <w:sz w:val="27"/>
          <w:rtl/>
        </w:rPr>
        <w:t xml:space="preserve"> نذكر في</w:t>
      </w:r>
      <w:r w:rsidRPr="006571AC">
        <w:rPr>
          <w:rFonts w:hint="cs"/>
          <w:sz w:val="27"/>
          <w:rtl/>
        </w:rPr>
        <w:t xml:space="preserve"> </w:t>
      </w:r>
      <w:r w:rsidR="00A75C8B" w:rsidRPr="006571AC">
        <w:rPr>
          <w:rFonts w:hint="cs"/>
          <w:sz w:val="27"/>
          <w:rtl/>
        </w:rPr>
        <w:t>ما يلي نموذجاً لتطبيقات هذه القرينة المت</w:t>
      </w:r>
      <w:r w:rsidRPr="006571AC">
        <w:rPr>
          <w:rFonts w:hint="cs"/>
          <w:sz w:val="27"/>
          <w:rtl/>
        </w:rPr>
        <w:t>ّ</w:t>
      </w:r>
      <w:r w:rsidR="00A75C8B" w:rsidRPr="006571AC">
        <w:rPr>
          <w:rFonts w:hint="cs"/>
          <w:sz w:val="27"/>
          <w:rtl/>
        </w:rPr>
        <w:t>صلة، والتمس</w:t>
      </w:r>
      <w:r w:rsidRPr="006571AC">
        <w:rPr>
          <w:rFonts w:hint="cs"/>
          <w:sz w:val="27"/>
          <w:rtl/>
        </w:rPr>
        <w:t>ُّ</w:t>
      </w:r>
      <w:r w:rsidR="00A75C8B" w:rsidRPr="006571AC">
        <w:rPr>
          <w:rFonts w:hint="cs"/>
          <w:sz w:val="27"/>
          <w:rtl/>
        </w:rPr>
        <w:t xml:space="preserve">ك بها في كلمات الفقهاء: </w:t>
      </w:r>
    </w:p>
    <w:p w:rsidR="00A75C8B" w:rsidRPr="006571AC" w:rsidRDefault="00A75C8B" w:rsidP="00453F43">
      <w:pPr>
        <w:spacing w:line="416" w:lineRule="exact"/>
        <w:rPr>
          <w:sz w:val="27"/>
          <w:rtl/>
        </w:rPr>
      </w:pPr>
      <w:r w:rsidRPr="006571AC">
        <w:rPr>
          <w:rFonts w:hint="cs"/>
          <w:sz w:val="27"/>
          <w:rtl/>
        </w:rPr>
        <w:t>إن من بين تطبيقات قرينة السياق</w:t>
      </w:r>
      <w:r w:rsidR="00B01ECC" w:rsidRPr="006571AC">
        <w:rPr>
          <w:rFonts w:hint="cs"/>
          <w:sz w:val="27"/>
          <w:rtl/>
        </w:rPr>
        <w:t xml:space="preserve"> </w:t>
      </w:r>
      <w:r w:rsidRPr="006571AC">
        <w:rPr>
          <w:rFonts w:hint="cs"/>
          <w:sz w:val="27"/>
          <w:rtl/>
        </w:rPr>
        <w:t>كشف</w:t>
      </w:r>
      <w:r w:rsidR="00B01ECC" w:rsidRPr="006571AC">
        <w:rPr>
          <w:rFonts w:hint="cs"/>
          <w:sz w:val="27"/>
          <w:rtl/>
        </w:rPr>
        <w:t>َ</w:t>
      </w:r>
      <w:r w:rsidRPr="006571AC">
        <w:rPr>
          <w:rFonts w:hint="cs"/>
          <w:sz w:val="27"/>
          <w:rtl/>
        </w:rPr>
        <w:t xml:space="preserve"> المراد الجد</w:t>
      </w:r>
      <w:r w:rsidR="00B01ECC" w:rsidRPr="006571AC">
        <w:rPr>
          <w:rFonts w:hint="cs"/>
          <w:sz w:val="27"/>
          <w:rtl/>
        </w:rPr>
        <w:t>ّ</w:t>
      </w:r>
      <w:r w:rsidRPr="006571AC">
        <w:rPr>
          <w:rFonts w:hint="cs"/>
          <w:sz w:val="27"/>
          <w:rtl/>
        </w:rPr>
        <w:t>ي دون التصرّ</w:t>
      </w:r>
      <w:r w:rsidR="00B01ECC" w:rsidRPr="006571AC">
        <w:rPr>
          <w:rFonts w:hint="cs"/>
          <w:sz w:val="27"/>
          <w:rtl/>
        </w:rPr>
        <w:t>ُ</w:t>
      </w:r>
      <w:r w:rsidRPr="006571AC">
        <w:rPr>
          <w:rFonts w:hint="cs"/>
          <w:sz w:val="27"/>
          <w:rtl/>
        </w:rPr>
        <w:t xml:space="preserve">ف والتغيير في المراد الاستعمالي. </w:t>
      </w:r>
      <w:r w:rsidR="00B01ECC" w:rsidRPr="006571AC">
        <w:rPr>
          <w:rFonts w:hint="cs"/>
          <w:sz w:val="27"/>
          <w:rtl/>
        </w:rPr>
        <w:t>و</w:t>
      </w:r>
      <w:r w:rsidRPr="006571AC">
        <w:rPr>
          <w:rFonts w:hint="cs"/>
          <w:sz w:val="27"/>
          <w:rtl/>
        </w:rPr>
        <w:t>من ذلك ـ على سبيل المثال ـ</w:t>
      </w:r>
      <w:r w:rsidR="00B01ECC" w:rsidRPr="006571AC">
        <w:rPr>
          <w:rFonts w:hint="cs"/>
          <w:sz w:val="27"/>
          <w:rtl/>
        </w:rPr>
        <w:t>:</w:t>
      </w:r>
      <w:r w:rsidRPr="006571AC">
        <w:rPr>
          <w:rFonts w:hint="cs"/>
          <w:sz w:val="27"/>
          <w:rtl/>
        </w:rPr>
        <w:t xml:space="preserve"> ما ذكره </w:t>
      </w:r>
      <w:r w:rsidR="00B01ECC" w:rsidRPr="006571AC">
        <w:rPr>
          <w:rFonts w:hint="cs"/>
          <w:sz w:val="27"/>
          <w:rtl/>
        </w:rPr>
        <w:t>السيد</w:t>
      </w:r>
      <w:r w:rsidRPr="006571AC">
        <w:rPr>
          <w:rFonts w:hint="cs"/>
          <w:sz w:val="27"/>
          <w:rtl/>
        </w:rPr>
        <w:t xml:space="preserve"> الخميني</w:t>
      </w:r>
      <w:r w:rsidR="002A2C90" w:rsidRPr="006571AC">
        <w:rPr>
          <w:rFonts w:ascii="Mosawi" w:hAnsi="Mosawi" w:cs="Mosawi"/>
          <w:sz w:val="22"/>
          <w:szCs w:val="22"/>
          <w:rtl/>
        </w:rPr>
        <w:t>&amp;</w:t>
      </w:r>
      <w:r w:rsidRPr="006571AC">
        <w:rPr>
          <w:rFonts w:hint="cs"/>
          <w:sz w:val="27"/>
          <w:rtl/>
        </w:rPr>
        <w:t xml:space="preserve"> في قوله تعالى: </w:t>
      </w:r>
      <w:r w:rsidRPr="006571AC">
        <w:rPr>
          <w:rFonts w:ascii="Mosawi" w:hAnsi="Mosawi" w:cs="Mosawi"/>
          <w:sz w:val="24"/>
          <w:szCs w:val="24"/>
          <w:rtl/>
        </w:rPr>
        <w:t>﴿</w:t>
      </w:r>
      <w:r w:rsidRPr="006571AC">
        <w:rPr>
          <w:b/>
          <w:bCs/>
          <w:sz w:val="27"/>
          <w:rtl/>
        </w:rPr>
        <w:t>وَمَا كُنَّا مُعَذِّبِينَ حَتَّى نَبْعَثَ رَسُولاً</w:t>
      </w:r>
      <w:r w:rsidRPr="006571AC">
        <w:rPr>
          <w:rFonts w:ascii="Mosawi" w:hAnsi="Mosawi" w:cs="Mosawi"/>
          <w:sz w:val="24"/>
          <w:szCs w:val="24"/>
          <w:rtl/>
        </w:rPr>
        <w:t>﴾</w:t>
      </w:r>
      <w:r w:rsidRPr="006571AC">
        <w:rPr>
          <w:rFonts w:hint="cs"/>
          <w:sz w:val="27"/>
          <w:rtl/>
        </w:rPr>
        <w:t xml:space="preserve"> (الإسراء: 15)، حيث قال [ما معناه]: </w:t>
      </w:r>
      <w:r w:rsidRPr="006571AC">
        <w:rPr>
          <w:rFonts w:hint="eastAsia"/>
          <w:sz w:val="24"/>
          <w:szCs w:val="24"/>
          <w:rtl/>
        </w:rPr>
        <w:t>«</w:t>
      </w:r>
      <w:r w:rsidRPr="006571AC">
        <w:rPr>
          <w:rFonts w:hint="cs"/>
          <w:sz w:val="27"/>
          <w:rtl/>
        </w:rPr>
        <w:t>إن المراد من العذاب في هذه الآية هو العذاب في الآخرة؛ لوروده في سياق آيات</w:t>
      </w:r>
      <w:r w:rsidR="00B01ECC" w:rsidRPr="006571AC">
        <w:rPr>
          <w:rFonts w:hint="cs"/>
          <w:sz w:val="27"/>
          <w:rtl/>
        </w:rPr>
        <w:t>ٍ</w:t>
      </w:r>
      <w:r w:rsidRPr="006571AC">
        <w:rPr>
          <w:rFonts w:hint="cs"/>
          <w:sz w:val="27"/>
          <w:rtl/>
        </w:rPr>
        <w:t xml:space="preserve"> ترتبط بيوم القيامة</w:t>
      </w:r>
      <w:r w:rsidRPr="006571AC">
        <w:rPr>
          <w:rFonts w:hint="eastAsia"/>
          <w:sz w:val="24"/>
          <w:szCs w:val="24"/>
          <w:rtl/>
        </w:rPr>
        <w:t>»</w:t>
      </w:r>
      <w:r w:rsidRPr="006571AC">
        <w:rPr>
          <w:sz w:val="27"/>
          <w:vertAlign w:val="superscript"/>
          <w:rtl/>
        </w:rPr>
        <w:t>(</w:t>
      </w:r>
      <w:r w:rsidRPr="006571AC">
        <w:rPr>
          <w:rStyle w:val="ac"/>
          <w:sz w:val="27"/>
          <w:rtl/>
        </w:rPr>
        <w:endnoteReference w:id="152"/>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16" w:lineRule="exact"/>
        <w:rPr>
          <w:sz w:val="27"/>
          <w:rtl/>
        </w:rPr>
      </w:pPr>
      <w:r w:rsidRPr="006571AC">
        <w:rPr>
          <w:rFonts w:hint="cs"/>
          <w:sz w:val="27"/>
          <w:rtl/>
        </w:rPr>
        <w:t>إن المراد الاستعمالي من كلمة العذاب هو مطلق العذاب قطعاً، وإلا</w:t>
      </w:r>
      <w:r w:rsidR="00B01ECC" w:rsidRPr="006571AC">
        <w:rPr>
          <w:rFonts w:hint="cs"/>
          <w:sz w:val="27"/>
          <w:rtl/>
        </w:rPr>
        <w:t>ّ</w:t>
      </w:r>
      <w:r w:rsidRPr="006571AC">
        <w:rPr>
          <w:rFonts w:hint="cs"/>
          <w:sz w:val="27"/>
          <w:rtl/>
        </w:rPr>
        <w:t xml:space="preserve"> كان من قبيل</w:t>
      </w:r>
      <w:r w:rsidR="00B01ECC" w:rsidRPr="006571AC">
        <w:rPr>
          <w:rFonts w:hint="cs"/>
          <w:sz w:val="27"/>
          <w:rtl/>
        </w:rPr>
        <w:t>:</w:t>
      </w:r>
      <w:r w:rsidRPr="006571AC">
        <w:rPr>
          <w:rFonts w:hint="cs"/>
          <w:sz w:val="27"/>
          <w:rtl/>
        </w:rPr>
        <w:t xml:space="preserve"> استعمال اللفظ في المصداق مجازاً، بل المراد الجدّي من العذاب ـ بالنظر إلى سياق الجملة العام</w:t>
      </w:r>
      <w:r w:rsidR="00B97E89" w:rsidRPr="006571AC">
        <w:rPr>
          <w:rFonts w:hint="cs"/>
          <w:sz w:val="27"/>
          <w:rtl/>
        </w:rPr>
        <w:t>ّ</w:t>
      </w:r>
      <w:r w:rsidRPr="006571AC">
        <w:rPr>
          <w:rFonts w:hint="cs"/>
          <w:sz w:val="27"/>
          <w:rtl/>
        </w:rPr>
        <w:t xml:space="preserve"> ـ قد اختص</w:t>
      </w:r>
      <w:r w:rsidR="00B97E89" w:rsidRPr="006571AC">
        <w:rPr>
          <w:rFonts w:hint="cs"/>
          <w:sz w:val="27"/>
          <w:rtl/>
        </w:rPr>
        <w:t>ّ</w:t>
      </w:r>
      <w:r w:rsidRPr="006571AC">
        <w:rPr>
          <w:rFonts w:hint="cs"/>
          <w:sz w:val="27"/>
          <w:rtl/>
        </w:rPr>
        <w:t xml:space="preserve"> بالعذاب الأخروي. </w:t>
      </w:r>
    </w:p>
    <w:p w:rsidR="00A75C8B" w:rsidRPr="006571AC" w:rsidRDefault="00B97E89" w:rsidP="004B6D9D">
      <w:pPr>
        <w:spacing w:line="416" w:lineRule="exact"/>
        <w:rPr>
          <w:sz w:val="27"/>
          <w:rtl/>
        </w:rPr>
      </w:pPr>
      <w:r w:rsidRPr="006571AC">
        <w:rPr>
          <w:rFonts w:hint="cs"/>
          <w:sz w:val="27"/>
          <w:rtl/>
        </w:rPr>
        <w:t>و</w:t>
      </w:r>
      <w:r w:rsidR="00A75C8B" w:rsidRPr="006571AC">
        <w:rPr>
          <w:rFonts w:hint="cs"/>
          <w:sz w:val="27"/>
          <w:rtl/>
        </w:rPr>
        <w:t>سوف نتعرّ</w:t>
      </w:r>
      <w:r w:rsidRPr="006571AC">
        <w:rPr>
          <w:rFonts w:hint="cs"/>
          <w:sz w:val="27"/>
          <w:rtl/>
        </w:rPr>
        <w:t>َ</w:t>
      </w:r>
      <w:r w:rsidR="00A75C8B" w:rsidRPr="006571AC">
        <w:rPr>
          <w:rFonts w:hint="cs"/>
          <w:sz w:val="27"/>
          <w:rtl/>
        </w:rPr>
        <w:t xml:space="preserve">ض في هذه المقالة </w:t>
      </w:r>
      <w:r w:rsidR="00A75C8B" w:rsidRPr="006571AC">
        <w:rPr>
          <w:rFonts w:hint="cs"/>
          <w:b/>
          <w:bCs/>
          <w:sz w:val="27"/>
          <w:rtl/>
        </w:rPr>
        <w:t>أو</w:t>
      </w:r>
      <w:r w:rsidRPr="006571AC">
        <w:rPr>
          <w:rFonts w:hint="cs"/>
          <w:b/>
          <w:bCs/>
          <w:sz w:val="27"/>
          <w:rtl/>
        </w:rPr>
        <w:t>ّ</w:t>
      </w:r>
      <w:r w:rsidR="00A75C8B" w:rsidRPr="006571AC">
        <w:rPr>
          <w:rFonts w:hint="cs"/>
          <w:b/>
          <w:bCs/>
          <w:sz w:val="27"/>
          <w:rtl/>
        </w:rPr>
        <w:t>لاً</w:t>
      </w:r>
      <w:r w:rsidR="004B6D9D" w:rsidRPr="006571AC">
        <w:rPr>
          <w:rFonts w:hint="cs"/>
          <w:sz w:val="27"/>
          <w:rtl/>
        </w:rPr>
        <w:t>:</w:t>
      </w:r>
      <w:r w:rsidR="00A75C8B" w:rsidRPr="006571AC">
        <w:rPr>
          <w:rFonts w:hint="cs"/>
          <w:sz w:val="27"/>
          <w:rtl/>
        </w:rPr>
        <w:t xml:space="preserve"> إلى بحث المفاهيم والأمور العامة المرتبطة بهذا الموضوع</w:t>
      </w:r>
      <w:r w:rsidRPr="006571AC">
        <w:rPr>
          <w:rFonts w:hint="cs"/>
          <w:sz w:val="27"/>
          <w:rtl/>
        </w:rPr>
        <w:t>؛</w:t>
      </w:r>
      <w:r w:rsidR="00A75C8B" w:rsidRPr="006571AC">
        <w:rPr>
          <w:rFonts w:hint="cs"/>
          <w:sz w:val="27"/>
          <w:rtl/>
        </w:rPr>
        <w:t xml:space="preserve"> ثم</w:t>
      </w:r>
      <w:r w:rsidRPr="006571AC">
        <w:rPr>
          <w:rFonts w:hint="cs"/>
          <w:sz w:val="27"/>
          <w:rtl/>
        </w:rPr>
        <w:t>ّ</w:t>
      </w:r>
      <w:r w:rsidR="00A75C8B" w:rsidRPr="006571AC">
        <w:rPr>
          <w:rFonts w:hint="cs"/>
          <w:sz w:val="27"/>
          <w:rtl/>
        </w:rPr>
        <w:t xml:space="preserve"> نعمل </w:t>
      </w:r>
      <w:r w:rsidR="004B6D9D" w:rsidRPr="006571AC">
        <w:rPr>
          <w:rFonts w:hint="cs"/>
          <w:b/>
          <w:bCs/>
          <w:sz w:val="27"/>
          <w:rtl/>
        </w:rPr>
        <w:t>ثانياً</w:t>
      </w:r>
      <w:r w:rsidR="004B6D9D" w:rsidRPr="006571AC">
        <w:rPr>
          <w:rFonts w:hint="cs"/>
          <w:sz w:val="27"/>
          <w:rtl/>
        </w:rPr>
        <w:t>:</w:t>
      </w:r>
      <w:r w:rsidR="00A75C8B" w:rsidRPr="006571AC">
        <w:rPr>
          <w:rFonts w:hint="cs"/>
          <w:sz w:val="27"/>
          <w:rtl/>
        </w:rPr>
        <w:t xml:space="preserve"> على بيان أقسام السياق (السياق الضمني، والسياق الترتيبي، وسياق التأخير، وسياق العدول، وسياق المقابلة، وسياق الانتخاب)، وأقسام كاشفيّتها (الكشف عن المراد الجد</w:t>
      </w:r>
      <w:r w:rsidRPr="006571AC">
        <w:rPr>
          <w:rFonts w:hint="cs"/>
          <w:sz w:val="27"/>
          <w:rtl/>
        </w:rPr>
        <w:t>ّ</w:t>
      </w:r>
      <w:r w:rsidR="00A75C8B" w:rsidRPr="006571AC">
        <w:rPr>
          <w:rFonts w:hint="cs"/>
          <w:sz w:val="27"/>
          <w:rtl/>
        </w:rPr>
        <w:t>ي، والكشف عن المراد الاستعمالي، وكشف الخصائص، والكشف المقدّ</w:t>
      </w:r>
      <w:r w:rsidRPr="006571AC">
        <w:rPr>
          <w:rFonts w:hint="cs"/>
          <w:sz w:val="27"/>
          <w:rtl/>
        </w:rPr>
        <w:t>َ</w:t>
      </w:r>
      <w:r w:rsidR="00A75C8B" w:rsidRPr="006571AC">
        <w:rPr>
          <w:rFonts w:hint="cs"/>
          <w:sz w:val="27"/>
          <w:rtl/>
        </w:rPr>
        <w:t>ر، وكشف المصداق، وكشف الداعي)</w:t>
      </w:r>
      <w:r w:rsidRPr="006571AC">
        <w:rPr>
          <w:rFonts w:hint="cs"/>
          <w:sz w:val="27"/>
          <w:rtl/>
        </w:rPr>
        <w:t>؛</w:t>
      </w:r>
      <w:r w:rsidR="00A75C8B" w:rsidRPr="006571AC">
        <w:rPr>
          <w:rFonts w:hint="cs"/>
          <w:sz w:val="27"/>
          <w:rtl/>
        </w:rPr>
        <w:t xml:space="preserve"> </w:t>
      </w:r>
      <w:r w:rsidR="004B6D9D" w:rsidRPr="006571AC">
        <w:rPr>
          <w:rFonts w:hint="cs"/>
          <w:sz w:val="27"/>
          <w:rtl/>
        </w:rPr>
        <w:t>و</w:t>
      </w:r>
      <w:r w:rsidR="00A75C8B" w:rsidRPr="006571AC">
        <w:rPr>
          <w:rFonts w:hint="cs"/>
          <w:sz w:val="27"/>
          <w:rtl/>
        </w:rPr>
        <w:t xml:space="preserve">نبحث </w:t>
      </w:r>
      <w:r w:rsidR="004B6D9D" w:rsidRPr="006571AC">
        <w:rPr>
          <w:rFonts w:hint="cs"/>
          <w:b/>
          <w:bCs/>
          <w:sz w:val="27"/>
          <w:rtl/>
        </w:rPr>
        <w:t>ثالثاً</w:t>
      </w:r>
      <w:r w:rsidR="004B6D9D" w:rsidRPr="006571AC">
        <w:rPr>
          <w:rFonts w:hint="cs"/>
          <w:sz w:val="27"/>
          <w:rtl/>
        </w:rPr>
        <w:t xml:space="preserve">: </w:t>
      </w:r>
      <w:r w:rsidR="00A75C8B" w:rsidRPr="006571AC">
        <w:rPr>
          <w:rFonts w:hint="cs"/>
          <w:sz w:val="27"/>
          <w:rtl/>
        </w:rPr>
        <w:t>شرائط إحراز هذه القرينة في قسم</w:t>
      </w:r>
      <w:r w:rsidRPr="006571AC">
        <w:rPr>
          <w:rFonts w:hint="cs"/>
          <w:sz w:val="27"/>
          <w:rtl/>
        </w:rPr>
        <w:t>َ</w:t>
      </w:r>
      <w:r w:rsidR="00A75C8B" w:rsidRPr="006571AC">
        <w:rPr>
          <w:rFonts w:hint="cs"/>
          <w:sz w:val="27"/>
          <w:rtl/>
        </w:rPr>
        <w:t>ي</w:t>
      </w:r>
      <w:r w:rsidRPr="006571AC">
        <w:rPr>
          <w:rFonts w:hint="cs"/>
          <w:sz w:val="27"/>
          <w:rtl/>
        </w:rPr>
        <w:t>ْ</w:t>
      </w:r>
      <w:r w:rsidR="00A75C8B" w:rsidRPr="006571AC">
        <w:rPr>
          <w:rFonts w:hint="cs"/>
          <w:sz w:val="27"/>
          <w:rtl/>
        </w:rPr>
        <w:t xml:space="preserve"> إحراز أطراف السياق، وإحراز محدودي</w:t>
      </w:r>
      <w:r w:rsidRPr="006571AC">
        <w:rPr>
          <w:rFonts w:hint="cs"/>
          <w:sz w:val="27"/>
          <w:rtl/>
        </w:rPr>
        <w:t>ّ</w:t>
      </w:r>
      <w:r w:rsidR="00A75C8B" w:rsidRPr="006571AC">
        <w:rPr>
          <w:rFonts w:hint="cs"/>
          <w:sz w:val="27"/>
          <w:rtl/>
        </w:rPr>
        <w:t xml:space="preserve">ة قرينية السياق. </w:t>
      </w:r>
    </w:p>
    <w:p w:rsidR="00A75C8B" w:rsidRPr="006571AC" w:rsidRDefault="00A75C8B" w:rsidP="009C29A7">
      <w:pPr>
        <w:pStyle w:val="31"/>
        <w:rPr>
          <w:color w:val="auto"/>
          <w:rtl/>
        </w:rPr>
      </w:pPr>
      <w:bookmarkStart w:id="78" w:name="_Toc114164567"/>
      <w:r w:rsidRPr="006571AC">
        <w:rPr>
          <w:rFonts w:hint="cs"/>
          <w:color w:val="auto"/>
          <w:rtl/>
        </w:rPr>
        <w:lastRenderedPageBreak/>
        <w:t>المفاهيم العام</w:t>
      </w:r>
      <w:r w:rsidR="00B97E89" w:rsidRPr="006571AC">
        <w:rPr>
          <w:rFonts w:hint="cs"/>
          <w:color w:val="auto"/>
          <w:rtl/>
        </w:rPr>
        <w:t>ّ</w:t>
      </w:r>
      <w:r w:rsidRPr="006571AC">
        <w:rPr>
          <w:rFonts w:hint="cs"/>
          <w:color w:val="auto"/>
          <w:rtl/>
        </w:rPr>
        <w:t>ة</w:t>
      </w:r>
      <w:r w:rsidR="00342C3B" w:rsidRPr="006571AC">
        <w:rPr>
          <w:rFonts w:hint="cs"/>
          <w:color w:val="auto"/>
          <w:rtl/>
        </w:rPr>
        <w:t>، عرضٌ وبيان</w:t>
      </w:r>
      <w:bookmarkEnd w:id="78"/>
    </w:p>
    <w:p w:rsidR="00A75C8B" w:rsidRPr="006571AC" w:rsidRDefault="00342C3B" w:rsidP="009C29A7">
      <w:pPr>
        <w:pStyle w:val="31"/>
        <w:rPr>
          <w:color w:val="auto"/>
          <w:rtl/>
        </w:rPr>
      </w:pPr>
      <w:bookmarkStart w:id="79" w:name="_Toc114164568"/>
      <w:r w:rsidRPr="006571AC">
        <w:rPr>
          <w:rFonts w:hint="cs"/>
          <w:color w:val="auto"/>
          <w:rtl/>
        </w:rPr>
        <w:t xml:space="preserve">1ـ </w:t>
      </w:r>
      <w:r w:rsidR="00A75C8B" w:rsidRPr="006571AC">
        <w:rPr>
          <w:rFonts w:hint="cs"/>
          <w:color w:val="auto"/>
          <w:rtl/>
        </w:rPr>
        <w:t>مفهوم القرينة المت</w:t>
      </w:r>
      <w:r w:rsidR="00B97E89" w:rsidRPr="006571AC">
        <w:rPr>
          <w:rFonts w:hint="cs"/>
          <w:color w:val="auto"/>
          <w:rtl/>
        </w:rPr>
        <w:t>ّ</w:t>
      </w:r>
      <w:r w:rsidR="00A75C8B" w:rsidRPr="006571AC">
        <w:rPr>
          <w:rFonts w:hint="cs"/>
          <w:color w:val="auto"/>
          <w:rtl/>
        </w:rPr>
        <w:t>صلة</w:t>
      </w:r>
      <w:bookmarkEnd w:id="79"/>
    </w:p>
    <w:p w:rsidR="00B97E89" w:rsidRPr="006571AC" w:rsidRDefault="00A75C8B" w:rsidP="00453F43">
      <w:pPr>
        <w:spacing w:line="406" w:lineRule="exact"/>
        <w:rPr>
          <w:sz w:val="27"/>
          <w:rtl/>
        </w:rPr>
      </w:pPr>
      <w:r w:rsidRPr="006571AC">
        <w:rPr>
          <w:rFonts w:hint="cs"/>
          <w:sz w:val="27"/>
          <w:rtl/>
        </w:rPr>
        <w:t xml:space="preserve">إن </w:t>
      </w:r>
      <w:r w:rsidRPr="006571AC">
        <w:rPr>
          <w:rFonts w:hint="eastAsia"/>
          <w:sz w:val="24"/>
          <w:szCs w:val="24"/>
          <w:rtl/>
        </w:rPr>
        <w:t>«</w:t>
      </w:r>
      <w:r w:rsidRPr="006571AC">
        <w:rPr>
          <w:rFonts w:hint="cs"/>
          <w:sz w:val="27"/>
          <w:rtl/>
        </w:rPr>
        <w:t>القرينة المتصلة</w:t>
      </w:r>
      <w:r w:rsidRPr="006571AC">
        <w:rPr>
          <w:rFonts w:hint="eastAsia"/>
          <w:sz w:val="24"/>
          <w:szCs w:val="24"/>
          <w:rtl/>
        </w:rPr>
        <w:t>»</w:t>
      </w:r>
      <w:r w:rsidRPr="006571AC">
        <w:rPr>
          <w:rFonts w:hint="cs"/>
          <w:sz w:val="27"/>
          <w:rtl/>
        </w:rPr>
        <w:t xml:space="preserve"> تعبير</w:t>
      </w:r>
      <w:r w:rsidR="00B97E89" w:rsidRPr="006571AC">
        <w:rPr>
          <w:rFonts w:hint="cs"/>
          <w:sz w:val="27"/>
          <w:rtl/>
        </w:rPr>
        <w:t>ٌ</w:t>
      </w:r>
      <w:r w:rsidRPr="006571AC">
        <w:rPr>
          <w:rFonts w:hint="cs"/>
          <w:sz w:val="27"/>
          <w:rtl/>
        </w:rPr>
        <w:t xml:space="preserve"> مركّ</w:t>
      </w:r>
      <w:r w:rsidR="00B97E89" w:rsidRPr="006571AC">
        <w:rPr>
          <w:rFonts w:hint="cs"/>
          <w:sz w:val="27"/>
          <w:rtl/>
        </w:rPr>
        <w:t>َ</w:t>
      </w:r>
      <w:r w:rsidRPr="006571AC">
        <w:rPr>
          <w:rFonts w:hint="cs"/>
          <w:sz w:val="27"/>
          <w:rtl/>
        </w:rPr>
        <w:t>ب من</w:t>
      </w:r>
      <w:r w:rsidR="00B97E89"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القرينة</w:t>
      </w:r>
      <w:r w:rsidRPr="006571AC">
        <w:rPr>
          <w:rFonts w:hint="eastAsia"/>
          <w:sz w:val="24"/>
          <w:szCs w:val="24"/>
          <w:rtl/>
        </w:rPr>
        <w:t>»</w:t>
      </w:r>
      <w:r w:rsidR="00B97E89" w:rsidRPr="006571AC">
        <w:rPr>
          <w:rFonts w:hint="cs"/>
          <w:sz w:val="27"/>
          <w:rtl/>
        </w:rPr>
        <w:t>؛</w:t>
      </w:r>
      <w:r w:rsidRPr="006571AC">
        <w:rPr>
          <w:rFonts w:hint="cs"/>
          <w:sz w:val="27"/>
          <w:rtl/>
        </w:rPr>
        <w:t xml:space="preserve"> و</w:t>
      </w:r>
      <w:r w:rsidRPr="006571AC">
        <w:rPr>
          <w:rFonts w:hint="eastAsia"/>
          <w:sz w:val="24"/>
          <w:szCs w:val="24"/>
          <w:rtl/>
        </w:rPr>
        <w:t>«</w:t>
      </w:r>
      <w:r w:rsidRPr="006571AC">
        <w:rPr>
          <w:rFonts w:hint="cs"/>
          <w:sz w:val="27"/>
          <w:rtl/>
        </w:rPr>
        <w:t>المتصلة</w:t>
      </w:r>
      <w:r w:rsidRPr="006571AC">
        <w:rPr>
          <w:rFonts w:hint="eastAsia"/>
          <w:sz w:val="24"/>
          <w:szCs w:val="24"/>
          <w:rtl/>
        </w:rPr>
        <w:t>»</w:t>
      </w:r>
      <w:r w:rsidR="00B97E89" w:rsidRPr="006571AC">
        <w:rPr>
          <w:rFonts w:hint="cs"/>
          <w:sz w:val="27"/>
          <w:rtl/>
        </w:rPr>
        <w:t>.</w:t>
      </w:r>
    </w:p>
    <w:p w:rsidR="00A75C8B" w:rsidRPr="006571AC" w:rsidRDefault="00A75C8B" w:rsidP="00453F43">
      <w:pPr>
        <w:spacing w:line="406" w:lineRule="exact"/>
        <w:rPr>
          <w:sz w:val="27"/>
          <w:rtl/>
        </w:rPr>
      </w:pPr>
      <w:r w:rsidRPr="006571AC">
        <w:rPr>
          <w:rFonts w:hint="cs"/>
          <w:sz w:val="27"/>
          <w:rtl/>
        </w:rPr>
        <w:t>والقرينة لغة</w:t>
      </w:r>
      <w:r w:rsidR="00B97E89" w:rsidRPr="006571AC">
        <w:rPr>
          <w:rFonts w:hint="cs"/>
          <w:sz w:val="27"/>
          <w:rtl/>
        </w:rPr>
        <w:t>ً</w:t>
      </w:r>
      <w:r w:rsidRPr="006571AC">
        <w:rPr>
          <w:rFonts w:hint="cs"/>
          <w:sz w:val="27"/>
          <w:rtl/>
        </w:rPr>
        <w:t xml:space="preserve"> مشتقة من ماد</w:t>
      </w:r>
      <w:r w:rsidR="00B97E89" w:rsidRPr="006571AC">
        <w:rPr>
          <w:rFonts w:hint="cs"/>
          <w:sz w:val="27"/>
          <w:rtl/>
        </w:rPr>
        <w:t>ّ</w:t>
      </w:r>
      <w:r w:rsidRPr="006571AC">
        <w:rPr>
          <w:rFonts w:hint="cs"/>
          <w:sz w:val="27"/>
          <w:rtl/>
        </w:rPr>
        <w:t>ة (ق ر ن)</w:t>
      </w:r>
      <w:r w:rsidR="00B97E89" w:rsidRPr="006571AC">
        <w:rPr>
          <w:rFonts w:hint="cs"/>
          <w:sz w:val="27"/>
          <w:rtl/>
        </w:rPr>
        <w:t>.</w:t>
      </w:r>
      <w:r w:rsidRPr="006571AC">
        <w:rPr>
          <w:rFonts w:hint="cs"/>
          <w:sz w:val="27"/>
          <w:rtl/>
        </w:rPr>
        <w:t xml:space="preserve"> قال ابن فارس: </w:t>
      </w:r>
      <w:r w:rsidRPr="006571AC">
        <w:rPr>
          <w:rFonts w:hint="eastAsia"/>
          <w:sz w:val="24"/>
          <w:szCs w:val="24"/>
          <w:rtl/>
        </w:rPr>
        <w:t>«</w:t>
      </w:r>
      <w:r w:rsidRPr="006571AC">
        <w:rPr>
          <w:sz w:val="27"/>
          <w:rtl/>
        </w:rPr>
        <w:t xml:space="preserve"> (قرن)</w:t>
      </w:r>
      <w:r w:rsidR="00B97E89" w:rsidRPr="006571AC">
        <w:rPr>
          <w:rFonts w:hint="cs"/>
          <w:sz w:val="27"/>
          <w:rtl/>
        </w:rPr>
        <w:t>:</w:t>
      </w:r>
      <w:r w:rsidRPr="006571AC">
        <w:rPr>
          <w:sz w:val="27"/>
          <w:rtl/>
        </w:rPr>
        <w:t xml:space="preserve"> القاف والراء والنون أصلان صحيحان</w:t>
      </w:r>
      <w:r w:rsidR="00B97E89" w:rsidRPr="006571AC">
        <w:rPr>
          <w:rFonts w:hint="cs"/>
          <w:sz w:val="27"/>
          <w:rtl/>
        </w:rPr>
        <w:t>؛</w:t>
      </w:r>
      <w:r w:rsidRPr="006571AC">
        <w:rPr>
          <w:sz w:val="27"/>
          <w:rtl/>
        </w:rPr>
        <w:t xml:space="preserve"> </w:t>
      </w:r>
      <w:r w:rsidRPr="006571AC">
        <w:rPr>
          <w:b/>
          <w:bCs/>
          <w:sz w:val="27"/>
          <w:rtl/>
        </w:rPr>
        <w:t>أحدهما</w:t>
      </w:r>
      <w:r w:rsidR="00B97E89" w:rsidRPr="006571AC">
        <w:rPr>
          <w:rFonts w:hint="cs"/>
          <w:sz w:val="27"/>
          <w:rtl/>
        </w:rPr>
        <w:t>:</w:t>
      </w:r>
      <w:r w:rsidRPr="006571AC">
        <w:rPr>
          <w:sz w:val="27"/>
          <w:rtl/>
        </w:rPr>
        <w:t xml:space="preserve"> يدلّ على جمع شيء</w:t>
      </w:r>
      <w:r w:rsidR="00B97E89" w:rsidRPr="006571AC">
        <w:rPr>
          <w:rFonts w:hint="cs"/>
          <w:sz w:val="27"/>
          <w:rtl/>
        </w:rPr>
        <w:t>ٍ</w:t>
      </w:r>
      <w:r w:rsidRPr="006571AC">
        <w:rPr>
          <w:sz w:val="27"/>
          <w:rtl/>
        </w:rPr>
        <w:t xml:space="preserve"> إلى شيء</w:t>
      </w:r>
      <w:r w:rsidR="00B97E89" w:rsidRPr="006571AC">
        <w:rPr>
          <w:rFonts w:hint="cs"/>
          <w:sz w:val="27"/>
          <w:rtl/>
        </w:rPr>
        <w:t>؛</w:t>
      </w:r>
      <w:r w:rsidRPr="006571AC">
        <w:rPr>
          <w:sz w:val="27"/>
          <w:rtl/>
        </w:rPr>
        <w:t xml:space="preserve"> </w:t>
      </w:r>
      <w:r w:rsidRPr="006571AC">
        <w:rPr>
          <w:b/>
          <w:bCs/>
          <w:sz w:val="27"/>
          <w:rtl/>
        </w:rPr>
        <w:t>والآخر</w:t>
      </w:r>
      <w:r w:rsidR="00B97E89" w:rsidRPr="006571AC">
        <w:rPr>
          <w:rFonts w:hint="cs"/>
          <w:sz w:val="27"/>
          <w:rtl/>
        </w:rPr>
        <w:t>:</w:t>
      </w:r>
      <w:r w:rsidRPr="006571AC">
        <w:rPr>
          <w:sz w:val="27"/>
          <w:rtl/>
        </w:rPr>
        <w:t xml:space="preserve"> شيء ينتأ بقوّة</w:t>
      </w:r>
      <w:r w:rsidR="00B97E89" w:rsidRPr="006571AC">
        <w:rPr>
          <w:rFonts w:hint="cs"/>
          <w:sz w:val="27"/>
          <w:rtl/>
        </w:rPr>
        <w:t>ٍ</w:t>
      </w:r>
      <w:r w:rsidRPr="006571AC">
        <w:rPr>
          <w:sz w:val="27"/>
          <w:rtl/>
        </w:rPr>
        <w:t xml:space="preserve"> وشدّة</w:t>
      </w:r>
      <w:r w:rsidRPr="006571AC">
        <w:rPr>
          <w:rFonts w:hint="eastAsia"/>
          <w:sz w:val="24"/>
          <w:szCs w:val="24"/>
          <w:rtl/>
        </w:rPr>
        <w:t>»</w:t>
      </w:r>
      <w:r w:rsidRPr="006571AC">
        <w:rPr>
          <w:rStyle w:val="ac"/>
          <w:sz w:val="27"/>
          <w:rtl/>
        </w:rPr>
        <w:t>(</w:t>
      </w:r>
      <w:r w:rsidRPr="006571AC">
        <w:rPr>
          <w:rStyle w:val="ac"/>
          <w:sz w:val="27"/>
          <w:rtl/>
        </w:rPr>
        <w:endnoteReference w:id="153"/>
      </w:r>
      <w:r w:rsidRPr="006571AC">
        <w:rPr>
          <w:rStyle w:val="ac"/>
          <w:sz w:val="27"/>
          <w:rtl/>
        </w:rPr>
        <w:t>)</w:t>
      </w:r>
      <w:r w:rsidRPr="006571AC">
        <w:rPr>
          <w:rStyle w:val="ac"/>
          <w:sz w:val="27"/>
          <w:vertAlign w:val="baseline"/>
          <w:rtl/>
        </w:rPr>
        <w:t>.</w:t>
      </w:r>
      <w:r w:rsidRPr="006571AC">
        <w:rPr>
          <w:rFonts w:hint="cs"/>
          <w:sz w:val="27"/>
          <w:rtl/>
        </w:rPr>
        <w:t xml:space="preserve"> كما تطلق على مصاحب القرين، ومن هنا ي</w:t>
      </w:r>
      <w:r w:rsidR="00B97E89" w:rsidRPr="006571AC">
        <w:rPr>
          <w:rFonts w:hint="cs"/>
          <w:sz w:val="27"/>
          <w:rtl/>
        </w:rPr>
        <w:t>ُ</w:t>
      </w:r>
      <w:r w:rsidRPr="006571AC">
        <w:rPr>
          <w:rFonts w:hint="cs"/>
          <w:sz w:val="27"/>
          <w:rtl/>
        </w:rPr>
        <w:t>ط</w:t>
      </w:r>
      <w:r w:rsidR="00B97E89" w:rsidRPr="006571AC">
        <w:rPr>
          <w:rFonts w:hint="cs"/>
          <w:sz w:val="27"/>
          <w:rtl/>
        </w:rPr>
        <w:t>ْ</w:t>
      </w:r>
      <w:r w:rsidRPr="006571AC">
        <w:rPr>
          <w:rFonts w:hint="cs"/>
          <w:sz w:val="27"/>
          <w:rtl/>
        </w:rPr>
        <w:t>ل</w:t>
      </w:r>
      <w:r w:rsidR="00B97E89" w:rsidRPr="006571AC">
        <w:rPr>
          <w:rFonts w:hint="cs"/>
          <w:sz w:val="27"/>
          <w:rtl/>
        </w:rPr>
        <w:t>َ</w:t>
      </w:r>
      <w:r w:rsidRPr="006571AC">
        <w:rPr>
          <w:rFonts w:hint="cs"/>
          <w:sz w:val="27"/>
          <w:rtl/>
        </w:rPr>
        <w:t xml:space="preserve">ق على زوجة الرجل </w:t>
      </w:r>
      <w:r w:rsidRPr="006571AC">
        <w:rPr>
          <w:rFonts w:hint="eastAsia"/>
          <w:sz w:val="24"/>
          <w:szCs w:val="24"/>
          <w:rtl/>
        </w:rPr>
        <w:t>«</w:t>
      </w:r>
      <w:r w:rsidRPr="006571AC">
        <w:rPr>
          <w:rFonts w:hint="cs"/>
          <w:sz w:val="27"/>
          <w:rtl/>
        </w:rPr>
        <w:t>قرينة</w:t>
      </w:r>
      <w:r w:rsidRPr="006571AC">
        <w:rPr>
          <w:rFonts w:hint="eastAsia"/>
          <w:sz w:val="24"/>
          <w:szCs w:val="24"/>
          <w:rtl/>
        </w:rPr>
        <w:t>»</w:t>
      </w:r>
      <w:r w:rsidRPr="006571AC">
        <w:rPr>
          <w:sz w:val="27"/>
          <w:vertAlign w:val="superscript"/>
          <w:rtl/>
        </w:rPr>
        <w:t>(</w:t>
      </w:r>
      <w:r w:rsidRPr="006571AC">
        <w:rPr>
          <w:rStyle w:val="ac"/>
          <w:sz w:val="27"/>
          <w:rtl/>
        </w:rPr>
        <w:endnoteReference w:id="154"/>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06" w:lineRule="exact"/>
        <w:rPr>
          <w:sz w:val="27"/>
          <w:rtl/>
        </w:rPr>
      </w:pPr>
      <w:r w:rsidRPr="006571AC">
        <w:rPr>
          <w:rFonts w:hint="cs"/>
          <w:sz w:val="27"/>
          <w:rtl/>
        </w:rPr>
        <w:t>و</w:t>
      </w:r>
      <w:r w:rsidRPr="006571AC">
        <w:rPr>
          <w:rFonts w:hint="eastAsia"/>
          <w:sz w:val="24"/>
          <w:szCs w:val="24"/>
          <w:rtl/>
        </w:rPr>
        <w:t>«</w:t>
      </w:r>
      <w:r w:rsidRPr="006571AC">
        <w:rPr>
          <w:rFonts w:hint="cs"/>
          <w:sz w:val="27"/>
          <w:rtl/>
        </w:rPr>
        <w:t>المت</w:t>
      </w:r>
      <w:r w:rsidR="00B97E89" w:rsidRPr="006571AC">
        <w:rPr>
          <w:rFonts w:hint="cs"/>
          <w:sz w:val="27"/>
          <w:rtl/>
        </w:rPr>
        <w:t>ّ</w:t>
      </w:r>
      <w:r w:rsidRPr="006571AC">
        <w:rPr>
          <w:rFonts w:hint="cs"/>
          <w:sz w:val="27"/>
          <w:rtl/>
        </w:rPr>
        <w:t>صلة</w:t>
      </w:r>
      <w:r w:rsidRPr="006571AC">
        <w:rPr>
          <w:rFonts w:hint="eastAsia"/>
          <w:sz w:val="24"/>
          <w:szCs w:val="24"/>
          <w:rtl/>
        </w:rPr>
        <w:t>»</w:t>
      </w:r>
      <w:r w:rsidRPr="006571AC">
        <w:rPr>
          <w:rFonts w:hint="cs"/>
          <w:sz w:val="27"/>
          <w:rtl/>
        </w:rPr>
        <w:t xml:space="preserve"> لغة</w:t>
      </w:r>
      <w:r w:rsidR="00B97E89" w:rsidRPr="006571AC">
        <w:rPr>
          <w:rFonts w:hint="cs"/>
          <w:sz w:val="27"/>
          <w:rtl/>
        </w:rPr>
        <w:t>ً</w:t>
      </w:r>
      <w:r w:rsidRPr="006571AC">
        <w:rPr>
          <w:rFonts w:hint="cs"/>
          <w:sz w:val="27"/>
          <w:rtl/>
        </w:rPr>
        <w:t xml:space="preserve"> مشتق</w:t>
      </w:r>
      <w:r w:rsidR="00B97E89" w:rsidRPr="006571AC">
        <w:rPr>
          <w:rFonts w:hint="cs"/>
          <w:sz w:val="27"/>
          <w:rtl/>
        </w:rPr>
        <w:t>ّ</w:t>
      </w:r>
      <w:r w:rsidRPr="006571AC">
        <w:rPr>
          <w:rFonts w:hint="cs"/>
          <w:sz w:val="27"/>
          <w:rtl/>
        </w:rPr>
        <w:t>ة من مادة (و ص ل)، بمعنى ضم</w:t>
      </w:r>
      <w:r w:rsidR="00B97E89" w:rsidRPr="006571AC">
        <w:rPr>
          <w:rFonts w:hint="cs"/>
          <w:sz w:val="27"/>
          <w:rtl/>
        </w:rPr>
        <w:t>ّ</w:t>
      </w:r>
      <w:r w:rsidRPr="006571AC">
        <w:rPr>
          <w:rFonts w:hint="cs"/>
          <w:sz w:val="27"/>
          <w:rtl/>
        </w:rPr>
        <w:t xml:space="preserve"> الشيء</w:t>
      </w:r>
      <w:r w:rsidR="00B97E89" w:rsidRPr="006571AC">
        <w:rPr>
          <w:rFonts w:hint="cs"/>
          <w:sz w:val="27"/>
          <w:rtl/>
        </w:rPr>
        <w:t>،</w:t>
      </w:r>
      <w:r w:rsidRPr="006571AC">
        <w:rPr>
          <w:rFonts w:hint="cs"/>
          <w:sz w:val="27"/>
          <w:rtl/>
        </w:rPr>
        <w:t xml:space="preserve"> بحيث يعلق الآخر به</w:t>
      </w:r>
      <w:r w:rsidRPr="006571AC">
        <w:rPr>
          <w:sz w:val="27"/>
          <w:vertAlign w:val="superscript"/>
          <w:rtl/>
        </w:rPr>
        <w:t>(</w:t>
      </w:r>
      <w:r w:rsidRPr="006571AC">
        <w:rPr>
          <w:rStyle w:val="ac"/>
          <w:sz w:val="27"/>
          <w:rtl/>
        </w:rPr>
        <w:endnoteReference w:id="155"/>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06" w:lineRule="exact"/>
        <w:rPr>
          <w:sz w:val="27"/>
          <w:rtl/>
        </w:rPr>
      </w:pPr>
      <w:r w:rsidRPr="006571AC">
        <w:rPr>
          <w:rFonts w:hint="cs"/>
          <w:sz w:val="27"/>
          <w:rtl/>
        </w:rPr>
        <w:t>كما تنقسم القرينة طبقاً للمصطلح الأصولي ـ بناء على بعض التقسيمات ـ إلى قسمين، وهما: القرينة المتصلة</w:t>
      </w:r>
      <w:r w:rsidR="00B97E89" w:rsidRPr="006571AC">
        <w:rPr>
          <w:rFonts w:hint="cs"/>
          <w:sz w:val="27"/>
          <w:rtl/>
        </w:rPr>
        <w:t>؛</w:t>
      </w:r>
      <w:r w:rsidRPr="006571AC">
        <w:rPr>
          <w:rFonts w:hint="cs"/>
          <w:sz w:val="27"/>
          <w:rtl/>
        </w:rPr>
        <w:t xml:space="preserve"> والقرينة المنفصلة. والقرينة المتصلة هي كل</w:t>
      </w:r>
      <w:r w:rsidR="00B97E89" w:rsidRPr="006571AC">
        <w:rPr>
          <w:rFonts w:hint="cs"/>
          <w:sz w:val="27"/>
          <w:rtl/>
        </w:rPr>
        <w:t>ّ</w:t>
      </w:r>
      <w:r w:rsidRPr="006571AC">
        <w:rPr>
          <w:rFonts w:hint="cs"/>
          <w:sz w:val="27"/>
          <w:rtl/>
        </w:rPr>
        <w:t xml:space="preserve"> شيء يت</w:t>
      </w:r>
      <w:r w:rsidR="00B97E89" w:rsidRPr="006571AC">
        <w:rPr>
          <w:rFonts w:hint="cs"/>
          <w:sz w:val="27"/>
          <w:rtl/>
        </w:rPr>
        <w:t>ّ</w:t>
      </w:r>
      <w:r w:rsidRPr="006571AC">
        <w:rPr>
          <w:rFonts w:hint="cs"/>
          <w:sz w:val="27"/>
          <w:rtl/>
        </w:rPr>
        <w:t>صل بكلمة</w:t>
      </w:r>
      <w:r w:rsidR="00B97E89" w:rsidRPr="006571AC">
        <w:rPr>
          <w:rFonts w:hint="cs"/>
          <w:sz w:val="27"/>
          <w:rtl/>
        </w:rPr>
        <w:t>ٍ</w:t>
      </w:r>
      <w:r w:rsidRPr="006571AC">
        <w:rPr>
          <w:rFonts w:hint="cs"/>
          <w:sz w:val="27"/>
          <w:rtl/>
        </w:rPr>
        <w:t xml:space="preserve"> أخرى، وتبطل ظهورها وتوجّه المعنى العام</w:t>
      </w:r>
      <w:r w:rsidR="00B97E89" w:rsidRPr="006571AC">
        <w:rPr>
          <w:rFonts w:hint="cs"/>
          <w:sz w:val="27"/>
          <w:rtl/>
        </w:rPr>
        <w:t>ّ</w:t>
      </w:r>
      <w:r w:rsidRPr="006571AC">
        <w:rPr>
          <w:rFonts w:hint="cs"/>
          <w:sz w:val="27"/>
          <w:rtl/>
        </w:rPr>
        <w:t xml:space="preserve"> إلى ما ينسجم مع سياق الكلام</w:t>
      </w:r>
      <w:r w:rsidRPr="006571AC">
        <w:rPr>
          <w:sz w:val="27"/>
          <w:vertAlign w:val="superscript"/>
          <w:rtl/>
        </w:rPr>
        <w:t>(</w:t>
      </w:r>
      <w:r w:rsidRPr="006571AC">
        <w:rPr>
          <w:rStyle w:val="ac"/>
          <w:sz w:val="27"/>
          <w:rtl/>
        </w:rPr>
        <w:endnoteReference w:id="156"/>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06" w:lineRule="exact"/>
        <w:rPr>
          <w:sz w:val="27"/>
          <w:rtl/>
        </w:rPr>
      </w:pPr>
      <w:r w:rsidRPr="006571AC">
        <w:rPr>
          <w:rFonts w:hint="cs"/>
          <w:sz w:val="27"/>
          <w:rtl/>
        </w:rPr>
        <w:t>إن الاختلاف المشهور بين هاتين القرينتين</w:t>
      </w:r>
      <w:r w:rsidR="00CD2EB0" w:rsidRPr="006571AC">
        <w:rPr>
          <w:rFonts w:hint="cs"/>
          <w:sz w:val="27"/>
          <w:rtl/>
        </w:rPr>
        <w:t xml:space="preserve"> هو الاختلاف التطبيقي؛ و</w:t>
      </w:r>
      <w:r w:rsidRPr="006571AC">
        <w:rPr>
          <w:rFonts w:hint="cs"/>
          <w:sz w:val="27"/>
          <w:rtl/>
        </w:rPr>
        <w:t>إن مشهور الأصوليين بالنسبة إلى القرينة المت</w:t>
      </w:r>
      <w:r w:rsidR="00CD2EB0" w:rsidRPr="006571AC">
        <w:rPr>
          <w:rFonts w:hint="cs"/>
          <w:sz w:val="27"/>
          <w:rtl/>
        </w:rPr>
        <w:t>ّ</w:t>
      </w:r>
      <w:r w:rsidRPr="006571AC">
        <w:rPr>
          <w:rFonts w:hint="cs"/>
          <w:sz w:val="27"/>
          <w:rtl/>
        </w:rPr>
        <w:t>صلة هو الاعتقاد بأنها هادمة</w:t>
      </w:r>
      <w:r w:rsidR="00CD2EB0" w:rsidRPr="006571AC">
        <w:rPr>
          <w:rFonts w:hint="cs"/>
          <w:sz w:val="27"/>
          <w:rtl/>
        </w:rPr>
        <w:t>ٌ</w:t>
      </w:r>
      <w:r w:rsidRPr="006571AC">
        <w:rPr>
          <w:rFonts w:hint="cs"/>
          <w:sz w:val="27"/>
          <w:rtl/>
        </w:rPr>
        <w:t xml:space="preserve"> لظهور الكلام</w:t>
      </w:r>
      <w:r w:rsidR="00CD2EB0" w:rsidRPr="006571AC">
        <w:rPr>
          <w:rFonts w:hint="cs"/>
          <w:sz w:val="27"/>
          <w:rtl/>
        </w:rPr>
        <w:t>؛</w:t>
      </w:r>
      <w:r w:rsidRPr="006571AC">
        <w:rPr>
          <w:rFonts w:hint="cs"/>
          <w:sz w:val="27"/>
          <w:rtl/>
        </w:rPr>
        <w:t xml:space="preserve"> وأما القرينة المنفصلة فلا ير</w:t>
      </w:r>
      <w:r w:rsidR="00CD2EB0" w:rsidRPr="006571AC">
        <w:rPr>
          <w:rFonts w:hint="cs"/>
          <w:sz w:val="27"/>
          <w:rtl/>
        </w:rPr>
        <w:t>َ</w:t>
      </w:r>
      <w:r w:rsidRPr="006571AC">
        <w:rPr>
          <w:rFonts w:hint="cs"/>
          <w:sz w:val="27"/>
          <w:rtl/>
        </w:rPr>
        <w:t>و</w:t>
      </w:r>
      <w:r w:rsidR="00CD2EB0" w:rsidRPr="006571AC">
        <w:rPr>
          <w:rFonts w:hint="cs"/>
          <w:sz w:val="27"/>
          <w:rtl/>
        </w:rPr>
        <w:t>ْ</w:t>
      </w:r>
      <w:r w:rsidRPr="006571AC">
        <w:rPr>
          <w:rFonts w:hint="cs"/>
          <w:sz w:val="27"/>
          <w:rtl/>
        </w:rPr>
        <w:t>ن فيها ذلك، وإنما ير</w:t>
      </w:r>
      <w:r w:rsidR="00CD2EB0" w:rsidRPr="006571AC">
        <w:rPr>
          <w:rFonts w:hint="cs"/>
          <w:sz w:val="27"/>
          <w:rtl/>
        </w:rPr>
        <w:t>َ</w:t>
      </w:r>
      <w:r w:rsidRPr="006571AC">
        <w:rPr>
          <w:rFonts w:hint="cs"/>
          <w:sz w:val="27"/>
          <w:rtl/>
        </w:rPr>
        <w:t>و</w:t>
      </w:r>
      <w:r w:rsidR="00CD2EB0" w:rsidRPr="006571AC">
        <w:rPr>
          <w:rFonts w:hint="cs"/>
          <w:sz w:val="27"/>
          <w:rtl/>
        </w:rPr>
        <w:t>ْ</w:t>
      </w:r>
      <w:r w:rsidRPr="006571AC">
        <w:rPr>
          <w:rFonts w:hint="cs"/>
          <w:sz w:val="27"/>
          <w:rtl/>
        </w:rPr>
        <w:t>نها مؤث</w:t>
      </w:r>
      <w:r w:rsidR="00CD2EB0" w:rsidRPr="006571AC">
        <w:rPr>
          <w:rFonts w:hint="cs"/>
          <w:sz w:val="27"/>
          <w:rtl/>
        </w:rPr>
        <w:t>ِّ</w:t>
      </w:r>
      <w:r w:rsidRPr="006571AC">
        <w:rPr>
          <w:rFonts w:hint="cs"/>
          <w:sz w:val="27"/>
          <w:rtl/>
        </w:rPr>
        <w:t>رة في الحجية فقط</w:t>
      </w:r>
      <w:r w:rsidRPr="006571AC">
        <w:rPr>
          <w:sz w:val="27"/>
          <w:vertAlign w:val="superscript"/>
          <w:rtl/>
        </w:rPr>
        <w:t>(</w:t>
      </w:r>
      <w:r w:rsidRPr="006571AC">
        <w:rPr>
          <w:rStyle w:val="ac"/>
          <w:sz w:val="27"/>
          <w:rtl/>
        </w:rPr>
        <w:endnoteReference w:id="157"/>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06" w:lineRule="exact"/>
        <w:rPr>
          <w:sz w:val="27"/>
          <w:rtl/>
        </w:rPr>
      </w:pPr>
      <w:r w:rsidRPr="006571AC">
        <w:rPr>
          <w:rFonts w:hint="cs"/>
          <w:sz w:val="27"/>
          <w:rtl/>
        </w:rPr>
        <w:t>إن التفاوت الذاتي للقرينة المتصلة عن القرينة المنفصلة يكمن في أنها ليست متصلة</w:t>
      </w:r>
      <w:r w:rsidR="00CD2EB0" w:rsidRPr="006571AC">
        <w:rPr>
          <w:rFonts w:hint="cs"/>
          <w:sz w:val="27"/>
          <w:rtl/>
        </w:rPr>
        <w:t>ً</w:t>
      </w:r>
      <w:r w:rsidRPr="006571AC">
        <w:rPr>
          <w:rFonts w:hint="cs"/>
          <w:sz w:val="27"/>
          <w:rtl/>
        </w:rPr>
        <w:t xml:space="preserve"> بالكلام، والتفاوت التطبيقي لها ـ على ما تقدّ</w:t>
      </w:r>
      <w:r w:rsidR="00CD2EB0" w:rsidRPr="006571AC">
        <w:rPr>
          <w:rFonts w:hint="cs"/>
          <w:sz w:val="27"/>
          <w:rtl/>
        </w:rPr>
        <w:t>َ</w:t>
      </w:r>
      <w:r w:rsidRPr="006571AC">
        <w:rPr>
          <w:rFonts w:hint="cs"/>
          <w:sz w:val="27"/>
          <w:rtl/>
        </w:rPr>
        <w:t>م ذكره ـ هو أنها لا تزيل الظهور، وإنما تؤث</w:t>
      </w:r>
      <w:r w:rsidR="00CD2EB0" w:rsidRPr="006571AC">
        <w:rPr>
          <w:rFonts w:hint="cs"/>
          <w:sz w:val="27"/>
          <w:rtl/>
        </w:rPr>
        <w:t>ِّ</w:t>
      </w:r>
      <w:r w:rsidRPr="006571AC">
        <w:rPr>
          <w:rFonts w:hint="cs"/>
          <w:sz w:val="27"/>
          <w:rtl/>
        </w:rPr>
        <w:t>ر في حج</w:t>
      </w:r>
      <w:r w:rsidR="00CD2EB0" w:rsidRPr="006571AC">
        <w:rPr>
          <w:rFonts w:hint="cs"/>
          <w:sz w:val="27"/>
          <w:rtl/>
        </w:rPr>
        <w:t>ِّ</w:t>
      </w:r>
      <w:r w:rsidRPr="006571AC">
        <w:rPr>
          <w:rFonts w:hint="cs"/>
          <w:sz w:val="27"/>
          <w:rtl/>
        </w:rPr>
        <w:t>يته فقط</w:t>
      </w:r>
      <w:r w:rsidRPr="006571AC">
        <w:rPr>
          <w:sz w:val="27"/>
          <w:vertAlign w:val="superscript"/>
          <w:rtl/>
        </w:rPr>
        <w:t>(</w:t>
      </w:r>
      <w:r w:rsidRPr="006571AC">
        <w:rPr>
          <w:rStyle w:val="ac"/>
          <w:sz w:val="27"/>
          <w:rtl/>
        </w:rPr>
        <w:endnoteReference w:id="158"/>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380" w:lineRule="exact"/>
        <w:rPr>
          <w:sz w:val="27"/>
          <w:rtl/>
        </w:rPr>
      </w:pPr>
    </w:p>
    <w:p w:rsidR="00A75C8B" w:rsidRPr="006571AC" w:rsidRDefault="00342C3B" w:rsidP="009C29A7">
      <w:pPr>
        <w:pStyle w:val="31"/>
        <w:rPr>
          <w:color w:val="auto"/>
          <w:rtl/>
        </w:rPr>
      </w:pPr>
      <w:bookmarkStart w:id="80" w:name="_Toc114164569"/>
      <w:r w:rsidRPr="006571AC">
        <w:rPr>
          <w:rFonts w:hint="cs"/>
          <w:color w:val="auto"/>
          <w:rtl/>
        </w:rPr>
        <w:t xml:space="preserve">2ـ </w:t>
      </w:r>
      <w:r w:rsidR="00A75C8B" w:rsidRPr="006571AC">
        <w:rPr>
          <w:rFonts w:hint="cs"/>
          <w:color w:val="auto"/>
          <w:rtl/>
        </w:rPr>
        <w:t>مفهوم الظهور</w:t>
      </w:r>
      <w:bookmarkEnd w:id="80"/>
    </w:p>
    <w:p w:rsidR="00A75C8B" w:rsidRPr="006571AC" w:rsidRDefault="00A75C8B" w:rsidP="004C74D9">
      <w:pPr>
        <w:rPr>
          <w:sz w:val="27"/>
          <w:rtl/>
        </w:rPr>
      </w:pPr>
      <w:r w:rsidRPr="006571AC">
        <w:rPr>
          <w:rFonts w:hint="cs"/>
          <w:sz w:val="27"/>
          <w:rtl/>
        </w:rPr>
        <w:t xml:space="preserve">إن </w:t>
      </w:r>
      <w:r w:rsidRPr="006571AC">
        <w:rPr>
          <w:rFonts w:hint="eastAsia"/>
          <w:sz w:val="24"/>
          <w:szCs w:val="24"/>
          <w:rtl/>
        </w:rPr>
        <w:t>«</w:t>
      </w:r>
      <w:r w:rsidRPr="006571AC">
        <w:rPr>
          <w:rFonts w:hint="cs"/>
          <w:sz w:val="27"/>
          <w:rtl/>
        </w:rPr>
        <w:t>الظهور</w:t>
      </w:r>
      <w:r w:rsidRPr="006571AC">
        <w:rPr>
          <w:rFonts w:hint="eastAsia"/>
          <w:sz w:val="24"/>
          <w:szCs w:val="24"/>
          <w:rtl/>
        </w:rPr>
        <w:t>»</w:t>
      </w:r>
      <w:r w:rsidRPr="006571AC">
        <w:rPr>
          <w:rFonts w:hint="cs"/>
          <w:sz w:val="27"/>
          <w:rtl/>
        </w:rPr>
        <w:t xml:space="preserve"> في اللغة مصدر</w:t>
      </w:r>
      <w:r w:rsidR="00CD2EB0" w:rsidRPr="006571AC">
        <w:rPr>
          <w:rFonts w:hint="cs"/>
          <w:sz w:val="27"/>
          <w:rtl/>
        </w:rPr>
        <w:t>ٌ</w:t>
      </w:r>
      <w:r w:rsidRPr="006571AC">
        <w:rPr>
          <w:rFonts w:hint="cs"/>
          <w:sz w:val="27"/>
          <w:rtl/>
        </w:rPr>
        <w:t xml:space="preserve"> مشتق</w:t>
      </w:r>
      <w:r w:rsidR="00CD2EB0" w:rsidRPr="006571AC">
        <w:rPr>
          <w:rFonts w:hint="cs"/>
          <w:sz w:val="27"/>
          <w:rtl/>
        </w:rPr>
        <w:t>ّ</w:t>
      </w:r>
      <w:r w:rsidRPr="006571AC">
        <w:rPr>
          <w:rFonts w:hint="cs"/>
          <w:sz w:val="27"/>
          <w:rtl/>
        </w:rPr>
        <w:t xml:space="preserve"> من مادة (ظهر / يظهر)، ضد</w:t>
      </w:r>
      <w:r w:rsidR="00CD2EB0" w:rsidRPr="006571AC">
        <w:rPr>
          <w:rFonts w:hint="cs"/>
          <w:sz w:val="27"/>
          <w:rtl/>
        </w:rPr>
        <w:t>ّ</w:t>
      </w:r>
      <w:r w:rsidRPr="006571AC">
        <w:rPr>
          <w:rFonts w:hint="cs"/>
          <w:sz w:val="27"/>
          <w:rtl/>
        </w:rPr>
        <w:t xml:space="preserve"> البطن؛ بمعنى ظهور الشيء بعد الخفاء. إنما تستعمل مادة هذه الكلمة حيث يزيح شيء</w:t>
      </w:r>
      <w:r w:rsidR="00CD2EB0" w:rsidRPr="006571AC">
        <w:rPr>
          <w:rFonts w:hint="cs"/>
          <w:sz w:val="27"/>
          <w:rtl/>
        </w:rPr>
        <w:t>ٌ</w:t>
      </w:r>
      <w:r w:rsidRPr="006571AC">
        <w:rPr>
          <w:rFonts w:hint="cs"/>
          <w:sz w:val="27"/>
          <w:rtl/>
        </w:rPr>
        <w:t xml:space="preserve"> الحجاب عن وجهه. ومن هنا يطلق على منتصف النهار </w:t>
      </w:r>
      <w:r w:rsidR="00CD2EB0" w:rsidRPr="006571AC">
        <w:rPr>
          <w:rFonts w:hint="cs"/>
          <w:sz w:val="27"/>
          <w:rtl/>
        </w:rPr>
        <w:t xml:space="preserve">أنه </w:t>
      </w:r>
      <w:r w:rsidRPr="006571AC">
        <w:rPr>
          <w:rFonts w:hint="cs"/>
          <w:sz w:val="27"/>
          <w:rtl/>
        </w:rPr>
        <w:t>ظهر</w:t>
      </w:r>
      <w:r w:rsidR="00CD2EB0" w:rsidRPr="006571AC">
        <w:rPr>
          <w:rFonts w:hint="cs"/>
          <w:sz w:val="27"/>
          <w:rtl/>
        </w:rPr>
        <w:t>ٌ</w:t>
      </w:r>
      <w:r w:rsidRPr="006571AC">
        <w:rPr>
          <w:rFonts w:hint="cs"/>
          <w:sz w:val="27"/>
          <w:rtl/>
        </w:rPr>
        <w:t xml:space="preserve">؛ إذ </w:t>
      </w:r>
      <w:r w:rsidR="004C74D9" w:rsidRPr="006571AC">
        <w:rPr>
          <w:rFonts w:hint="cs"/>
          <w:sz w:val="27"/>
          <w:rtl/>
        </w:rPr>
        <w:t>إ</w:t>
      </w:r>
      <w:r w:rsidRPr="006571AC">
        <w:rPr>
          <w:rFonts w:hint="cs"/>
          <w:sz w:val="27"/>
          <w:rtl/>
        </w:rPr>
        <w:t>نه أظهر وأوضح أوقات اليوم</w:t>
      </w:r>
      <w:r w:rsidRPr="006571AC">
        <w:rPr>
          <w:sz w:val="27"/>
          <w:vertAlign w:val="superscript"/>
          <w:rtl/>
        </w:rPr>
        <w:t>(</w:t>
      </w:r>
      <w:r w:rsidRPr="006571AC">
        <w:rPr>
          <w:rStyle w:val="ac"/>
          <w:sz w:val="27"/>
          <w:rtl/>
        </w:rPr>
        <w:endnoteReference w:id="159"/>
      </w:r>
      <w:r w:rsidRPr="006571AC">
        <w:rPr>
          <w:sz w:val="27"/>
          <w:vertAlign w:val="superscript"/>
          <w:rtl/>
        </w:rPr>
        <w:t>)</w:t>
      </w:r>
      <w:r w:rsidRPr="006571AC">
        <w:rPr>
          <w:sz w:val="27"/>
          <w:rtl/>
        </w:rPr>
        <w:t>.</w:t>
      </w:r>
      <w:r w:rsidRPr="006571AC">
        <w:rPr>
          <w:rFonts w:hint="cs"/>
          <w:sz w:val="27"/>
          <w:rtl/>
        </w:rPr>
        <w:t xml:space="preserve"> وبطبيعة الحال قد يكون الظهور في بعض الموارد جمعاً لـ </w:t>
      </w:r>
      <w:r w:rsidRPr="006571AC">
        <w:rPr>
          <w:rFonts w:hint="eastAsia"/>
          <w:sz w:val="24"/>
          <w:szCs w:val="24"/>
          <w:rtl/>
        </w:rPr>
        <w:t>«</w:t>
      </w:r>
      <w:r w:rsidRPr="006571AC">
        <w:rPr>
          <w:rFonts w:hint="cs"/>
          <w:sz w:val="27"/>
          <w:rtl/>
        </w:rPr>
        <w:t>ظَه</w:t>
      </w:r>
      <w:r w:rsidR="00CD2EB0" w:rsidRPr="006571AC">
        <w:rPr>
          <w:rFonts w:hint="cs"/>
          <w:sz w:val="27"/>
          <w:rtl/>
        </w:rPr>
        <w:t>َ</w:t>
      </w:r>
      <w:r w:rsidRPr="006571AC">
        <w:rPr>
          <w:rFonts w:hint="cs"/>
          <w:sz w:val="27"/>
          <w:rtl/>
        </w:rPr>
        <w:t>ر</w:t>
      </w:r>
      <w:r w:rsidRPr="006571AC">
        <w:rPr>
          <w:rFonts w:hint="eastAsia"/>
          <w:sz w:val="24"/>
          <w:szCs w:val="24"/>
          <w:rtl/>
        </w:rPr>
        <w:t>»</w:t>
      </w:r>
      <w:r w:rsidRPr="006571AC">
        <w:rPr>
          <w:sz w:val="27"/>
          <w:vertAlign w:val="superscript"/>
          <w:rtl/>
        </w:rPr>
        <w:t>(</w:t>
      </w:r>
      <w:r w:rsidRPr="006571AC">
        <w:rPr>
          <w:rStyle w:val="ac"/>
          <w:sz w:val="27"/>
          <w:rtl/>
        </w:rPr>
        <w:endnoteReference w:id="160"/>
      </w:r>
      <w:r w:rsidRPr="006571AC">
        <w:rPr>
          <w:sz w:val="27"/>
          <w:vertAlign w:val="superscript"/>
          <w:rtl/>
        </w:rPr>
        <w:t>)</w:t>
      </w:r>
      <w:r w:rsidRPr="006571AC">
        <w:rPr>
          <w:sz w:val="27"/>
          <w:rtl/>
        </w:rPr>
        <w:t>،</w:t>
      </w:r>
      <w:r w:rsidRPr="006571AC">
        <w:rPr>
          <w:rFonts w:hint="cs"/>
          <w:sz w:val="27"/>
          <w:rtl/>
        </w:rPr>
        <w:t xml:space="preserve"> ولكن</w:t>
      </w:r>
      <w:r w:rsidR="00CD2EB0" w:rsidRPr="006571AC">
        <w:rPr>
          <w:rFonts w:hint="cs"/>
          <w:sz w:val="27"/>
          <w:rtl/>
        </w:rPr>
        <w:t>ّ</w:t>
      </w:r>
      <w:r w:rsidRPr="006571AC">
        <w:rPr>
          <w:rFonts w:hint="cs"/>
          <w:sz w:val="27"/>
          <w:rtl/>
        </w:rPr>
        <w:t xml:space="preserve"> هذا خارج</w:t>
      </w:r>
      <w:r w:rsidR="00CD2EB0" w:rsidRPr="006571AC">
        <w:rPr>
          <w:rFonts w:hint="cs"/>
          <w:sz w:val="27"/>
          <w:rtl/>
        </w:rPr>
        <w:t>ٌ</w:t>
      </w:r>
      <w:r w:rsidRPr="006571AC">
        <w:rPr>
          <w:rFonts w:hint="cs"/>
          <w:sz w:val="27"/>
          <w:rtl/>
        </w:rPr>
        <w:t xml:space="preserve"> عن محل</w:t>
      </w:r>
      <w:r w:rsidR="00CD2EB0" w:rsidRPr="006571AC">
        <w:rPr>
          <w:rFonts w:hint="cs"/>
          <w:sz w:val="27"/>
          <w:rtl/>
        </w:rPr>
        <w:t>ّ</w:t>
      </w:r>
      <w:r w:rsidRPr="006571AC">
        <w:rPr>
          <w:rFonts w:hint="cs"/>
          <w:sz w:val="27"/>
          <w:rtl/>
        </w:rPr>
        <w:t xml:space="preserve"> بحثنا. </w:t>
      </w:r>
    </w:p>
    <w:p w:rsidR="00A75C8B" w:rsidRPr="006571AC" w:rsidRDefault="00A75C8B" w:rsidP="004C74D9">
      <w:pPr>
        <w:rPr>
          <w:sz w:val="27"/>
          <w:rtl/>
        </w:rPr>
      </w:pPr>
      <w:r w:rsidRPr="006571AC">
        <w:rPr>
          <w:rFonts w:hint="cs"/>
          <w:sz w:val="27"/>
          <w:rtl/>
        </w:rPr>
        <w:lastRenderedPageBreak/>
        <w:t>إن الظهور في المص</w:t>
      </w:r>
      <w:r w:rsidR="00CD2EB0" w:rsidRPr="006571AC">
        <w:rPr>
          <w:rFonts w:hint="cs"/>
          <w:sz w:val="27"/>
          <w:rtl/>
        </w:rPr>
        <w:t>ط</w:t>
      </w:r>
      <w:r w:rsidRPr="006571AC">
        <w:rPr>
          <w:rFonts w:hint="cs"/>
          <w:sz w:val="27"/>
          <w:rtl/>
        </w:rPr>
        <w:t>لح بمعنى أن يكون اللفظ ظاهراً في معنى</w:t>
      </w:r>
      <w:r w:rsidR="00CD2EB0" w:rsidRPr="006571AC">
        <w:rPr>
          <w:rFonts w:hint="cs"/>
          <w:sz w:val="27"/>
          <w:rtl/>
        </w:rPr>
        <w:t>ً</w:t>
      </w:r>
      <w:r w:rsidRPr="006571AC">
        <w:rPr>
          <w:rFonts w:hint="cs"/>
          <w:sz w:val="27"/>
          <w:rtl/>
        </w:rPr>
        <w:t xml:space="preserve"> خاص</w:t>
      </w:r>
      <w:r w:rsidR="00CD2EB0" w:rsidRPr="006571AC">
        <w:rPr>
          <w:rFonts w:hint="cs"/>
          <w:sz w:val="27"/>
          <w:rtl/>
        </w:rPr>
        <w:t>ّ</w:t>
      </w:r>
      <w:r w:rsidRPr="006571AC">
        <w:rPr>
          <w:rFonts w:hint="cs"/>
          <w:sz w:val="27"/>
          <w:rtl/>
        </w:rPr>
        <w:t xml:space="preserve"> بحيث لا يصل إلى حدود النص</w:t>
      </w:r>
      <w:r w:rsidR="00CD2EB0" w:rsidRPr="006571AC">
        <w:rPr>
          <w:rFonts w:hint="cs"/>
          <w:sz w:val="27"/>
          <w:rtl/>
        </w:rPr>
        <w:t>ّ</w:t>
      </w:r>
      <w:r w:rsidRPr="006571AC">
        <w:rPr>
          <w:rFonts w:hint="cs"/>
          <w:sz w:val="27"/>
          <w:rtl/>
        </w:rPr>
        <w:t>، ويكون هناك احتمال</w:t>
      </w:r>
      <w:r w:rsidR="00CD2EB0" w:rsidRPr="006571AC">
        <w:rPr>
          <w:rFonts w:hint="cs"/>
          <w:sz w:val="27"/>
          <w:rtl/>
        </w:rPr>
        <w:t>ٌ</w:t>
      </w:r>
      <w:r w:rsidRPr="006571AC">
        <w:rPr>
          <w:rFonts w:hint="cs"/>
          <w:sz w:val="27"/>
          <w:rtl/>
        </w:rPr>
        <w:t xml:space="preserve"> ضعيف في أن يكون المراد منه هو خلاف الظاهر</w:t>
      </w:r>
      <w:r w:rsidRPr="006571AC">
        <w:rPr>
          <w:sz w:val="27"/>
          <w:vertAlign w:val="superscript"/>
          <w:rtl/>
        </w:rPr>
        <w:t>(</w:t>
      </w:r>
      <w:r w:rsidRPr="006571AC">
        <w:rPr>
          <w:rStyle w:val="ac"/>
          <w:sz w:val="27"/>
          <w:rtl/>
        </w:rPr>
        <w:endnoteReference w:id="161"/>
      </w:r>
      <w:r w:rsidRPr="006571AC">
        <w:rPr>
          <w:sz w:val="27"/>
          <w:vertAlign w:val="superscript"/>
          <w:rtl/>
        </w:rPr>
        <w:t>)</w:t>
      </w:r>
      <w:r w:rsidRPr="006571AC">
        <w:rPr>
          <w:sz w:val="27"/>
          <w:rtl/>
        </w:rPr>
        <w:t>.</w:t>
      </w:r>
      <w:r w:rsidRPr="006571AC">
        <w:rPr>
          <w:rFonts w:hint="cs"/>
          <w:sz w:val="27"/>
          <w:rtl/>
        </w:rPr>
        <w:t xml:space="preserve"> ولكن</w:t>
      </w:r>
      <w:r w:rsidR="00CD2EB0" w:rsidRPr="006571AC">
        <w:rPr>
          <w:rFonts w:hint="cs"/>
          <w:sz w:val="27"/>
          <w:rtl/>
        </w:rPr>
        <w:t>ْ</w:t>
      </w:r>
      <w:r w:rsidRPr="006571AC">
        <w:rPr>
          <w:rFonts w:hint="cs"/>
          <w:sz w:val="27"/>
          <w:rtl/>
        </w:rPr>
        <w:t xml:space="preserve"> يبدو أن هذا التعريف ـ بالنظر إلى التعريف الذي سنذكره عن السيد الشهيد محمد باقر الصدر على هامش بيان الظهور التصو</w:t>
      </w:r>
      <w:r w:rsidR="00CD2EB0" w:rsidRPr="006571AC">
        <w:rPr>
          <w:rFonts w:hint="cs"/>
          <w:sz w:val="27"/>
          <w:rtl/>
        </w:rPr>
        <w:t>ّ</w:t>
      </w:r>
      <w:r w:rsidR="004C74D9" w:rsidRPr="006571AC">
        <w:rPr>
          <w:rFonts w:hint="cs"/>
          <w:sz w:val="27"/>
          <w:rtl/>
        </w:rPr>
        <w:t>ُ</w:t>
      </w:r>
      <w:r w:rsidRPr="006571AC">
        <w:rPr>
          <w:rFonts w:hint="cs"/>
          <w:sz w:val="27"/>
          <w:rtl/>
        </w:rPr>
        <w:t>ري والظهور التصديقي ـ أخص</w:t>
      </w:r>
      <w:r w:rsidR="00CD2EB0" w:rsidRPr="006571AC">
        <w:rPr>
          <w:rFonts w:hint="cs"/>
          <w:sz w:val="27"/>
          <w:rtl/>
        </w:rPr>
        <w:t>ّ</w:t>
      </w:r>
      <w:r w:rsidRPr="006571AC">
        <w:rPr>
          <w:rFonts w:hint="cs"/>
          <w:sz w:val="27"/>
          <w:rtl/>
        </w:rPr>
        <w:t xml:space="preserve"> من تعريف الظهور. وفي الحقيقة إنه إنما يبيّ</w:t>
      </w:r>
      <w:r w:rsidR="00CD2EB0" w:rsidRPr="006571AC">
        <w:rPr>
          <w:rFonts w:hint="cs"/>
          <w:sz w:val="27"/>
          <w:rtl/>
        </w:rPr>
        <w:t>ِ</w:t>
      </w:r>
      <w:r w:rsidRPr="006571AC">
        <w:rPr>
          <w:rFonts w:hint="cs"/>
          <w:sz w:val="27"/>
          <w:rtl/>
        </w:rPr>
        <w:t>ن مجر</w:t>
      </w:r>
      <w:r w:rsidR="004C74D9" w:rsidRPr="006571AC">
        <w:rPr>
          <w:rFonts w:hint="cs"/>
          <w:sz w:val="27"/>
          <w:rtl/>
        </w:rPr>
        <w:t>ّ</w:t>
      </w:r>
      <w:r w:rsidRPr="006571AC">
        <w:rPr>
          <w:rFonts w:hint="cs"/>
          <w:sz w:val="27"/>
          <w:rtl/>
        </w:rPr>
        <w:t>د ظهور التصو</w:t>
      </w:r>
      <w:r w:rsidR="00CD2EB0" w:rsidRPr="006571AC">
        <w:rPr>
          <w:rFonts w:hint="cs"/>
          <w:sz w:val="27"/>
          <w:rtl/>
        </w:rPr>
        <w:t>ّ</w:t>
      </w:r>
      <w:r w:rsidRPr="006571AC">
        <w:rPr>
          <w:rFonts w:hint="cs"/>
          <w:sz w:val="27"/>
          <w:rtl/>
        </w:rPr>
        <w:t xml:space="preserve">رات المقالية فقط، ولا يشمل الظهورات التصديقية ومطلق الظهورات الحالية. </w:t>
      </w:r>
    </w:p>
    <w:p w:rsidR="00A75C8B" w:rsidRPr="006571AC" w:rsidRDefault="00A75C8B" w:rsidP="00453F43">
      <w:pPr>
        <w:spacing w:line="440" w:lineRule="exact"/>
        <w:rPr>
          <w:sz w:val="27"/>
          <w:rtl/>
        </w:rPr>
      </w:pPr>
    </w:p>
    <w:p w:rsidR="00A75C8B" w:rsidRPr="006571AC" w:rsidRDefault="00342C3B" w:rsidP="009C29A7">
      <w:pPr>
        <w:pStyle w:val="31"/>
        <w:rPr>
          <w:color w:val="auto"/>
          <w:rtl/>
        </w:rPr>
      </w:pPr>
      <w:bookmarkStart w:id="81" w:name="_Toc114164570"/>
      <w:r w:rsidRPr="006571AC">
        <w:rPr>
          <w:rFonts w:hint="cs"/>
          <w:color w:val="auto"/>
          <w:rtl/>
        </w:rPr>
        <w:t xml:space="preserve">3ـ </w:t>
      </w:r>
      <w:r w:rsidR="00A75C8B" w:rsidRPr="006571AC">
        <w:rPr>
          <w:rFonts w:hint="cs"/>
          <w:color w:val="auto"/>
          <w:rtl/>
        </w:rPr>
        <w:t>أقسام الظهور</w:t>
      </w:r>
      <w:bookmarkEnd w:id="81"/>
    </w:p>
    <w:p w:rsidR="00A75C8B" w:rsidRPr="006571AC" w:rsidRDefault="00342C3B" w:rsidP="009C29A7">
      <w:pPr>
        <w:pStyle w:val="31"/>
        <w:rPr>
          <w:color w:val="auto"/>
          <w:rtl/>
        </w:rPr>
      </w:pPr>
      <w:bookmarkStart w:id="82" w:name="_Toc114164571"/>
      <w:r w:rsidRPr="006571AC">
        <w:rPr>
          <w:rFonts w:hint="cs"/>
          <w:color w:val="auto"/>
          <w:rtl/>
        </w:rPr>
        <w:t xml:space="preserve">أـ </w:t>
      </w:r>
      <w:r w:rsidR="00A75C8B" w:rsidRPr="006571AC">
        <w:rPr>
          <w:rFonts w:hint="cs"/>
          <w:color w:val="auto"/>
          <w:rtl/>
        </w:rPr>
        <w:t>الظهور التصو</w:t>
      </w:r>
      <w:r w:rsidR="00CD2EB0" w:rsidRPr="006571AC">
        <w:rPr>
          <w:rFonts w:hint="cs"/>
          <w:color w:val="auto"/>
          <w:rtl/>
        </w:rPr>
        <w:t>ُّ</w:t>
      </w:r>
      <w:r w:rsidR="00A75C8B" w:rsidRPr="006571AC">
        <w:rPr>
          <w:rFonts w:hint="cs"/>
          <w:color w:val="auto"/>
          <w:rtl/>
        </w:rPr>
        <w:t>ري والتصديقي</w:t>
      </w:r>
      <w:bookmarkEnd w:id="82"/>
    </w:p>
    <w:p w:rsidR="00A75C8B" w:rsidRPr="006571AC" w:rsidRDefault="00A75C8B" w:rsidP="00C95139">
      <w:pPr>
        <w:rPr>
          <w:sz w:val="27"/>
          <w:rtl/>
        </w:rPr>
      </w:pPr>
      <w:r w:rsidRPr="006571AC">
        <w:rPr>
          <w:rFonts w:hint="cs"/>
          <w:sz w:val="27"/>
          <w:rtl/>
        </w:rPr>
        <w:t>ينقسم الظهور في المصطلح إلى</w:t>
      </w:r>
      <w:r w:rsidR="003534B0" w:rsidRPr="006571AC">
        <w:rPr>
          <w:rFonts w:hint="cs"/>
          <w:sz w:val="27"/>
          <w:rtl/>
        </w:rPr>
        <w:t>:</w:t>
      </w:r>
      <w:r w:rsidRPr="006571AC">
        <w:rPr>
          <w:rFonts w:hint="cs"/>
          <w:sz w:val="27"/>
          <w:rtl/>
        </w:rPr>
        <w:t xml:space="preserve"> الظهور الناشئ من الدلالة التصو</w:t>
      </w:r>
      <w:r w:rsidR="003534B0" w:rsidRPr="006571AC">
        <w:rPr>
          <w:rFonts w:hint="cs"/>
          <w:sz w:val="27"/>
          <w:rtl/>
        </w:rPr>
        <w:t>ُّ</w:t>
      </w:r>
      <w:r w:rsidRPr="006571AC">
        <w:rPr>
          <w:rFonts w:hint="cs"/>
          <w:sz w:val="27"/>
          <w:rtl/>
        </w:rPr>
        <w:t>رية</w:t>
      </w:r>
      <w:r w:rsidR="003534B0" w:rsidRPr="006571AC">
        <w:rPr>
          <w:rFonts w:hint="cs"/>
          <w:sz w:val="27"/>
          <w:rtl/>
        </w:rPr>
        <w:t>؛</w:t>
      </w:r>
      <w:r w:rsidRPr="006571AC">
        <w:rPr>
          <w:rFonts w:hint="cs"/>
          <w:sz w:val="27"/>
          <w:rtl/>
        </w:rPr>
        <w:t xml:space="preserve"> والظهور الناشئ من الدلالة التصديقية. وقال السيد الشهيد الصدر في مقام تعريف هذين الظهورين: </w:t>
      </w:r>
      <w:r w:rsidRPr="006571AC">
        <w:rPr>
          <w:rFonts w:hint="eastAsia"/>
          <w:sz w:val="24"/>
          <w:szCs w:val="24"/>
          <w:rtl/>
        </w:rPr>
        <w:t>«</w:t>
      </w:r>
      <w:r w:rsidRPr="006571AC">
        <w:rPr>
          <w:b/>
          <w:bCs/>
          <w:sz w:val="27"/>
          <w:rtl/>
        </w:rPr>
        <w:t>أحدهما</w:t>
      </w:r>
      <w:r w:rsidR="003534B0" w:rsidRPr="006571AC">
        <w:rPr>
          <w:rFonts w:hint="cs"/>
          <w:sz w:val="27"/>
          <w:rtl/>
        </w:rPr>
        <w:t>:</w:t>
      </w:r>
      <w:r w:rsidRPr="006571AC">
        <w:rPr>
          <w:sz w:val="27"/>
          <w:rtl/>
        </w:rPr>
        <w:t xml:space="preserve"> ظهور اللفظ في مرحلة الدلالة التصورية في معنى معين</w:t>
      </w:r>
      <w:r w:rsidR="003534B0" w:rsidRPr="006571AC">
        <w:rPr>
          <w:rFonts w:hint="cs"/>
          <w:sz w:val="27"/>
          <w:rtl/>
        </w:rPr>
        <w:t>.</w:t>
      </w:r>
      <w:r w:rsidRPr="006571AC">
        <w:rPr>
          <w:sz w:val="27"/>
          <w:rtl/>
        </w:rPr>
        <w:t xml:space="preserve"> ومعنى الظهور في هذه المرحلة أن هذا المعنى أسرع </w:t>
      </w:r>
      <w:r w:rsidR="003534B0" w:rsidRPr="006571AC">
        <w:rPr>
          <w:rFonts w:hint="cs"/>
          <w:sz w:val="27"/>
          <w:rtl/>
        </w:rPr>
        <w:t>ا</w:t>
      </w:r>
      <w:r w:rsidRPr="006571AC">
        <w:rPr>
          <w:sz w:val="27"/>
          <w:rtl/>
        </w:rPr>
        <w:t>نسباقا</w:t>
      </w:r>
      <w:r w:rsidRPr="006571AC">
        <w:rPr>
          <w:rFonts w:hint="cs"/>
          <w:sz w:val="27"/>
          <w:rtl/>
        </w:rPr>
        <w:t>ً</w:t>
      </w:r>
      <w:r w:rsidRPr="006571AC">
        <w:rPr>
          <w:sz w:val="27"/>
          <w:rtl/>
        </w:rPr>
        <w:t xml:space="preserve"> إلى تصو</w:t>
      </w:r>
      <w:r w:rsidR="003534B0" w:rsidRPr="006571AC">
        <w:rPr>
          <w:rFonts w:hint="cs"/>
          <w:sz w:val="27"/>
          <w:rtl/>
        </w:rPr>
        <w:t>ُّ</w:t>
      </w:r>
      <w:r w:rsidRPr="006571AC">
        <w:rPr>
          <w:sz w:val="27"/>
          <w:rtl/>
        </w:rPr>
        <w:t>ر ال</w:t>
      </w:r>
      <w:r w:rsidRPr="006571AC">
        <w:rPr>
          <w:rFonts w:hint="cs"/>
          <w:sz w:val="27"/>
          <w:rtl/>
        </w:rPr>
        <w:t>إ</w:t>
      </w:r>
      <w:r w:rsidRPr="006571AC">
        <w:rPr>
          <w:sz w:val="27"/>
          <w:rtl/>
        </w:rPr>
        <w:t>نسان عند سماع اللفظ من غيره من المعاني</w:t>
      </w:r>
      <w:r w:rsidR="003534B0" w:rsidRPr="006571AC">
        <w:rPr>
          <w:rFonts w:hint="cs"/>
          <w:sz w:val="27"/>
          <w:rtl/>
        </w:rPr>
        <w:t xml:space="preserve">، </w:t>
      </w:r>
      <w:r w:rsidRPr="006571AC">
        <w:rPr>
          <w:sz w:val="27"/>
          <w:rtl/>
        </w:rPr>
        <w:t>فهو أقرب المعاني إلى اللفظ لغة</w:t>
      </w:r>
      <w:r w:rsidR="003534B0" w:rsidRPr="006571AC">
        <w:rPr>
          <w:rFonts w:hint="cs"/>
          <w:sz w:val="27"/>
          <w:rtl/>
        </w:rPr>
        <w:t xml:space="preserve">ً؛ </w:t>
      </w:r>
      <w:r w:rsidRPr="006571AC">
        <w:rPr>
          <w:b/>
          <w:bCs/>
          <w:sz w:val="27"/>
          <w:rtl/>
        </w:rPr>
        <w:t>والآخر</w:t>
      </w:r>
      <w:r w:rsidR="003534B0" w:rsidRPr="006571AC">
        <w:rPr>
          <w:rFonts w:hint="cs"/>
          <w:sz w:val="27"/>
          <w:rtl/>
        </w:rPr>
        <w:t>:</w:t>
      </w:r>
      <w:r w:rsidRPr="006571AC">
        <w:rPr>
          <w:sz w:val="27"/>
          <w:rtl/>
        </w:rPr>
        <w:t xml:space="preserve"> ظهور حال المتكل</w:t>
      </w:r>
      <w:r w:rsidR="003534B0" w:rsidRPr="006571AC">
        <w:rPr>
          <w:rFonts w:hint="cs"/>
          <w:sz w:val="27"/>
          <w:rtl/>
        </w:rPr>
        <w:t>ِّ</w:t>
      </w:r>
      <w:r w:rsidRPr="006571AC">
        <w:rPr>
          <w:sz w:val="27"/>
          <w:rtl/>
        </w:rPr>
        <w:t>م في أن ما يريده مطابق لظهور اللفظ في مرحلة الدلالة التصويرية</w:t>
      </w:r>
      <w:r w:rsidRPr="006571AC">
        <w:rPr>
          <w:rFonts w:hint="cs"/>
          <w:sz w:val="27"/>
          <w:rtl/>
        </w:rPr>
        <w:t xml:space="preserve">، </w:t>
      </w:r>
      <w:r w:rsidRPr="006571AC">
        <w:rPr>
          <w:sz w:val="27"/>
          <w:rtl/>
        </w:rPr>
        <w:t>أي</w:t>
      </w:r>
      <w:r w:rsidR="003534B0" w:rsidRPr="006571AC">
        <w:rPr>
          <w:rFonts w:hint="cs"/>
          <w:sz w:val="27"/>
          <w:rtl/>
        </w:rPr>
        <w:t xml:space="preserve"> إ</w:t>
      </w:r>
      <w:r w:rsidRPr="006571AC">
        <w:rPr>
          <w:sz w:val="27"/>
          <w:rtl/>
        </w:rPr>
        <w:t xml:space="preserve">نه يريد أقرب المعاني </w:t>
      </w:r>
      <w:r w:rsidR="003534B0" w:rsidRPr="006571AC">
        <w:rPr>
          <w:rFonts w:hint="cs"/>
          <w:sz w:val="27"/>
          <w:rtl/>
        </w:rPr>
        <w:t>إلى</w:t>
      </w:r>
      <w:r w:rsidRPr="006571AC">
        <w:rPr>
          <w:sz w:val="27"/>
          <w:rtl/>
        </w:rPr>
        <w:t xml:space="preserve"> اللفظ لغة</w:t>
      </w:r>
      <w:r w:rsidR="003534B0" w:rsidRPr="006571AC">
        <w:rPr>
          <w:rFonts w:hint="cs"/>
          <w:sz w:val="27"/>
          <w:rtl/>
        </w:rPr>
        <w:t>ً</w:t>
      </w:r>
      <w:r w:rsidRPr="006571AC">
        <w:rPr>
          <w:rFonts w:hint="cs"/>
          <w:sz w:val="27"/>
          <w:rtl/>
        </w:rPr>
        <w:t xml:space="preserve">، </w:t>
      </w:r>
      <w:r w:rsidRPr="006571AC">
        <w:rPr>
          <w:sz w:val="27"/>
          <w:rtl/>
        </w:rPr>
        <w:t>وهذا ما ي</w:t>
      </w:r>
      <w:r w:rsidR="003534B0" w:rsidRPr="006571AC">
        <w:rPr>
          <w:rFonts w:hint="cs"/>
          <w:sz w:val="27"/>
          <w:rtl/>
        </w:rPr>
        <w:t>ُ</w:t>
      </w:r>
      <w:r w:rsidRPr="006571AC">
        <w:rPr>
          <w:sz w:val="27"/>
          <w:rtl/>
        </w:rPr>
        <w:t>سم</w:t>
      </w:r>
      <w:r w:rsidR="004C74D9" w:rsidRPr="006571AC">
        <w:rPr>
          <w:rFonts w:hint="cs"/>
          <w:sz w:val="27"/>
          <w:rtl/>
        </w:rPr>
        <w:t>ّ</w:t>
      </w:r>
      <w:r w:rsidRPr="006571AC">
        <w:rPr>
          <w:sz w:val="27"/>
          <w:rtl/>
        </w:rPr>
        <w:t>ى بظهور التطابق بين مقام ال</w:t>
      </w:r>
      <w:r w:rsidRPr="006571AC">
        <w:rPr>
          <w:rFonts w:hint="cs"/>
          <w:sz w:val="27"/>
          <w:rtl/>
        </w:rPr>
        <w:t>إ</w:t>
      </w:r>
      <w:r w:rsidRPr="006571AC">
        <w:rPr>
          <w:sz w:val="27"/>
          <w:rtl/>
        </w:rPr>
        <w:t>ثبات ومقام الثبوت، ومن المقر</w:t>
      </w:r>
      <w:r w:rsidR="003534B0" w:rsidRPr="006571AC">
        <w:rPr>
          <w:rFonts w:hint="cs"/>
          <w:sz w:val="27"/>
          <w:rtl/>
        </w:rPr>
        <w:t>َّ</w:t>
      </w:r>
      <w:r w:rsidRPr="006571AC">
        <w:rPr>
          <w:sz w:val="27"/>
          <w:rtl/>
        </w:rPr>
        <w:t>ر في علم ال</w:t>
      </w:r>
      <w:r w:rsidRPr="006571AC">
        <w:rPr>
          <w:rFonts w:hint="cs"/>
          <w:sz w:val="27"/>
          <w:rtl/>
        </w:rPr>
        <w:t>أ</w:t>
      </w:r>
      <w:r w:rsidRPr="006571AC">
        <w:rPr>
          <w:sz w:val="27"/>
          <w:rtl/>
        </w:rPr>
        <w:t>صول أن ظهور حال المتكل</w:t>
      </w:r>
      <w:r w:rsidR="003534B0" w:rsidRPr="006571AC">
        <w:rPr>
          <w:rFonts w:hint="cs"/>
          <w:sz w:val="27"/>
          <w:rtl/>
        </w:rPr>
        <w:t>ِّ</w:t>
      </w:r>
      <w:r w:rsidRPr="006571AC">
        <w:rPr>
          <w:sz w:val="27"/>
          <w:rtl/>
        </w:rPr>
        <w:t xml:space="preserve">م في </w:t>
      </w:r>
      <w:r w:rsidRPr="006571AC">
        <w:rPr>
          <w:rFonts w:hint="cs"/>
          <w:sz w:val="27"/>
          <w:rtl/>
        </w:rPr>
        <w:t>إ</w:t>
      </w:r>
      <w:r w:rsidRPr="006571AC">
        <w:rPr>
          <w:sz w:val="27"/>
          <w:rtl/>
        </w:rPr>
        <w:t>رادة أقرب المعاني إلى اللفظ حج</w:t>
      </w:r>
      <w:r w:rsidR="003534B0" w:rsidRPr="006571AC">
        <w:rPr>
          <w:rFonts w:hint="cs"/>
          <w:sz w:val="27"/>
          <w:rtl/>
        </w:rPr>
        <w:t>ّ</w:t>
      </w:r>
      <w:r w:rsidRPr="006571AC">
        <w:rPr>
          <w:sz w:val="27"/>
          <w:rtl/>
        </w:rPr>
        <w:t>ة</w:t>
      </w:r>
      <w:r w:rsidR="003534B0" w:rsidRPr="006571AC">
        <w:rPr>
          <w:rFonts w:hint="cs"/>
          <w:sz w:val="27"/>
          <w:rtl/>
        </w:rPr>
        <w:t>ٌ</w:t>
      </w:r>
      <w:r w:rsidRPr="006571AC">
        <w:rPr>
          <w:rFonts w:hint="eastAsia"/>
          <w:sz w:val="24"/>
          <w:szCs w:val="24"/>
          <w:rtl/>
        </w:rPr>
        <w:t>»</w:t>
      </w:r>
      <w:r w:rsidRPr="006571AC">
        <w:rPr>
          <w:sz w:val="27"/>
          <w:vertAlign w:val="superscript"/>
          <w:rtl/>
        </w:rPr>
        <w:t>(</w:t>
      </w:r>
      <w:r w:rsidRPr="006571AC">
        <w:rPr>
          <w:rStyle w:val="ac"/>
          <w:sz w:val="27"/>
          <w:rtl/>
        </w:rPr>
        <w:endnoteReference w:id="162"/>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20" w:lineRule="exact"/>
        <w:rPr>
          <w:sz w:val="27"/>
          <w:rtl/>
        </w:rPr>
      </w:pPr>
    </w:p>
    <w:p w:rsidR="00A75C8B" w:rsidRPr="006571AC" w:rsidRDefault="00342C3B" w:rsidP="009C29A7">
      <w:pPr>
        <w:pStyle w:val="31"/>
        <w:rPr>
          <w:color w:val="auto"/>
          <w:rtl/>
        </w:rPr>
      </w:pPr>
      <w:bookmarkStart w:id="83" w:name="_Toc114164572"/>
      <w:r w:rsidRPr="006571AC">
        <w:rPr>
          <w:rFonts w:hint="cs"/>
          <w:color w:val="auto"/>
          <w:rtl/>
        </w:rPr>
        <w:t xml:space="preserve">ب ـ </w:t>
      </w:r>
      <w:r w:rsidR="00A75C8B" w:rsidRPr="006571AC">
        <w:rPr>
          <w:rFonts w:hint="cs"/>
          <w:color w:val="auto"/>
          <w:rtl/>
        </w:rPr>
        <w:t>الظهور المقالي والظهور الحالي</w:t>
      </w:r>
      <w:bookmarkEnd w:id="83"/>
    </w:p>
    <w:p w:rsidR="00A75C8B" w:rsidRPr="006571AC" w:rsidRDefault="00A75C8B" w:rsidP="00C95139">
      <w:pPr>
        <w:rPr>
          <w:sz w:val="27"/>
          <w:rtl/>
        </w:rPr>
      </w:pPr>
      <w:r w:rsidRPr="006571AC">
        <w:rPr>
          <w:rFonts w:hint="cs"/>
          <w:sz w:val="27"/>
          <w:rtl/>
        </w:rPr>
        <w:t xml:space="preserve">إن الظهور الذي يكون منشأ تبلوره هو اللفظ يسمّى بـ </w:t>
      </w:r>
      <w:r w:rsidRPr="006571AC">
        <w:rPr>
          <w:rFonts w:hint="eastAsia"/>
          <w:sz w:val="24"/>
          <w:szCs w:val="24"/>
          <w:rtl/>
        </w:rPr>
        <w:t>«</w:t>
      </w:r>
      <w:r w:rsidRPr="006571AC">
        <w:rPr>
          <w:rFonts w:hint="cs"/>
          <w:sz w:val="27"/>
          <w:rtl/>
        </w:rPr>
        <w:t>الظهور المقالي</w:t>
      </w:r>
      <w:r w:rsidRPr="006571AC">
        <w:rPr>
          <w:rFonts w:hint="eastAsia"/>
          <w:sz w:val="24"/>
          <w:szCs w:val="24"/>
          <w:rtl/>
        </w:rPr>
        <w:t>»</w:t>
      </w:r>
      <w:r w:rsidRPr="006571AC">
        <w:rPr>
          <w:rFonts w:hint="cs"/>
          <w:sz w:val="27"/>
          <w:rtl/>
        </w:rPr>
        <w:t>، والظهور الذي يكون منشأ تبلوره غير اللفظ، من قبيل: ما يدلّ على إلزامية أمر</w:t>
      </w:r>
      <w:r w:rsidR="003534B0" w:rsidRPr="006571AC">
        <w:rPr>
          <w:rFonts w:hint="cs"/>
          <w:sz w:val="27"/>
          <w:rtl/>
        </w:rPr>
        <w:t>ٍ</w:t>
      </w:r>
      <w:r w:rsidRPr="006571AC">
        <w:rPr>
          <w:rFonts w:hint="cs"/>
          <w:sz w:val="27"/>
          <w:rtl/>
        </w:rPr>
        <w:t xml:space="preserve"> أو عدم إلزاميته من خلال الإشارة أو نبرة الصوت، يُع</w:t>
      </w:r>
      <w:r w:rsidR="003534B0" w:rsidRPr="006571AC">
        <w:rPr>
          <w:rFonts w:hint="cs"/>
          <w:sz w:val="27"/>
          <w:rtl/>
        </w:rPr>
        <w:t>َ</w:t>
      </w:r>
      <w:r w:rsidRPr="006571AC">
        <w:rPr>
          <w:rFonts w:hint="cs"/>
          <w:sz w:val="27"/>
          <w:rtl/>
        </w:rPr>
        <w:t>دّ من الظهور الحالي</w:t>
      </w:r>
      <w:r w:rsidRPr="006571AC">
        <w:rPr>
          <w:sz w:val="27"/>
          <w:vertAlign w:val="superscript"/>
          <w:rtl/>
        </w:rPr>
        <w:t>(</w:t>
      </w:r>
      <w:r w:rsidRPr="006571AC">
        <w:rPr>
          <w:rStyle w:val="ac"/>
          <w:sz w:val="27"/>
          <w:rtl/>
        </w:rPr>
        <w:endnoteReference w:id="163"/>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40" w:lineRule="exact"/>
        <w:rPr>
          <w:sz w:val="27"/>
          <w:rtl/>
        </w:rPr>
      </w:pPr>
    </w:p>
    <w:p w:rsidR="00A75C8B" w:rsidRPr="006571AC" w:rsidRDefault="00342C3B" w:rsidP="009C29A7">
      <w:pPr>
        <w:pStyle w:val="31"/>
        <w:rPr>
          <w:color w:val="auto"/>
          <w:rtl/>
        </w:rPr>
      </w:pPr>
      <w:bookmarkStart w:id="84" w:name="_Toc114164573"/>
      <w:r w:rsidRPr="006571AC">
        <w:rPr>
          <w:rFonts w:hint="cs"/>
          <w:color w:val="auto"/>
          <w:rtl/>
        </w:rPr>
        <w:t xml:space="preserve">4ـ </w:t>
      </w:r>
      <w:r w:rsidR="00A75C8B" w:rsidRPr="006571AC">
        <w:rPr>
          <w:rFonts w:hint="cs"/>
          <w:color w:val="auto"/>
          <w:rtl/>
        </w:rPr>
        <w:t>مفهوم السياق</w:t>
      </w:r>
      <w:bookmarkEnd w:id="84"/>
    </w:p>
    <w:p w:rsidR="00A75C8B" w:rsidRPr="006571AC" w:rsidRDefault="00A75C8B" w:rsidP="005A3C1E">
      <w:pPr>
        <w:rPr>
          <w:sz w:val="27"/>
          <w:rtl/>
        </w:rPr>
      </w:pPr>
      <w:r w:rsidRPr="006571AC">
        <w:rPr>
          <w:rFonts w:hint="cs"/>
          <w:sz w:val="27"/>
          <w:rtl/>
        </w:rPr>
        <w:t xml:space="preserve">إن </w:t>
      </w:r>
      <w:r w:rsidRPr="006571AC">
        <w:rPr>
          <w:rFonts w:hint="eastAsia"/>
          <w:sz w:val="24"/>
          <w:szCs w:val="24"/>
          <w:rtl/>
        </w:rPr>
        <w:t>«</w:t>
      </w:r>
      <w:r w:rsidRPr="006571AC">
        <w:rPr>
          <w:rFonts w:hint="cs"/>
          <w:sz w:val="27"/>
          <w:rtl/>
        </w:rPr>
        <w:t>السياق</w:t>
      </w:r>
      <w:r w:rsidRPr="006571AC">
        <w:rPr>
          <w:rFonts w:hint="eastAsia"/>
          <w:sz w:val="24"/>
          <w:szCs w:val="24"/>
          <w:rtl/>
        </w:rPr>
        <w:t>»</w:t>
      </w:r>
      <w:r w:rsidRPr="006571AC">
        <w:rPr>
          <w:rFonts w:hint="cs"/>
          <w:sz w:val="27"/>
          <w:rtl/>
        </w:rPr>
        <w:t xml:space="preserve"> مصدر</w:t>
      </w:r>
      <w:r w:rsidR="003534B0" w:rsidRPr="006571AC">
        <w:rPr>
          <w:rFonts w:hint="cs"/>
          <w:sz w:val="27"/>
          <w:rtl/>
        </w:rPr>
        <w:t>ٌ</w:t>
      </w:r>
      <w:r w:rsidRPr="006571AC">
        <w:rPr>
          <w:rFonts w:hint="cs"/>
          <w:sz w:val="27"/>
          <w:rtl/>
        </w:rPr>
        <w:t xml:space="preserve"> مأخوذ من مادة (س و ق)، وهو مقلوب</w:t>
      </w:r>
      <w:r w:rsidR="003534B0" w:rsidRPr="006571AC">
        <w:rPr>
          <w:rFonts w:hint="cs"/>
          <w:sz w:val="27"/>
          <w:rtl/>
        </w:rPr>
        <w:t>ٌ</w:t>
      </w:r>
      <w:r w:rsidRPr="006571AC">
        <w:rPr>
          <w:rFonts w:hint="cs"/>
          <w:sz w:val="27"/>
          <w:rtl/>
        </w:rPr>
        <w:t xml:space="preserve"> عن </w:t>
      </w:r>
      <w:r w:rsidRPr="006571AC">
        <w:rPr>
          <w:rFonts w:hint="eastAsia"/>
          <w:sz w:val="24"/>
          <w:szCs w:val="24"/>
          <w:rtl/>
        </w:rPr>
        <w:t>«</w:t>
      </w:r>
      <w:r w:rsidRPr="006571AC">
        <w:rPr>
          <w:rFonts w:hint="cs"/>
          <w:sz w:val="27"/>
          <w:rtl/>
        </w:rPr>
        <w:t>سواق</w:t>
      </w:r>
      <w:r w:rsidRPr="006571AC">
        <w:rPr>
          <w:rFonts w:hint="eastAsia"/>
          <w:sz w:val="24"/>
          <w:szCs w:val="24"/>
          <w:rtl/>
        </w:rPr>
        <w:t>»</w:t>
      </w:r>
      <w:r w:rsidRPr="006571AC">
        <w:rPr>
          <w:sz w:val="27"/>
          <w:vertAlign w:val="superscript"/>
          <w:rtl/>
        </w:rPr>
        <w:t>(</w:t>
      </w:r>
      <w:r w:rsidRPr="006571AC">
        <w:rPr>
          <w:rStyle w:val="ac"/>
          <w:sz w:val="27"/>
          <w:rtl/>
        </w:rPr>
        <w:endnoteReference w:id="164"/>
      </w:r>
      <w:r w:rsidRPr="006571AC">
        <w:rPr>
          <w:sz w:val="27"/>
          <w:vertAlign w:val="superscript"/>
          <w:rtl/>
        </w:rPr>
        <w:t>)</w:t>
      </w:r>
      <w:r w:rsidRPr="006571AC">
        <w:rPr>
          <w:sz w:val="27"/>
          <w:rtl/>
        </w:rPr>
        <w:t>.</w:t>
      </w:r>
      <w:r w:rsidRPr="006571AC">
        <w:rPr>
          <w:rFonts w:hint="cs"/>
          <w:sz w:val="27"/>
          <w:rtl/>
        </w:rPr>
        <w:t xml:space="preserve"> إن </w:t>
      </w:r>
      <w:r w:rsidRPr="006571AC">
        <w:rPr>
          <w:rFonts w:hint="cs"/>
          <w:sz w:val="27"/>
          <w:rtl/>
        </w:rPr>
        <w:lastRenderedPageBreak/>
        <w:t xml:space="preserve">الأصل الواحد في هذه المادة هو بعث وتحريك الشيء. قال ابن فارس: </w:t>
      </w:r>
      <w:r w:rsidRPr="006571AC">
        <w:rPr>
          <w:rFonts w:hint="eastAsia"/>
          <w:sz w:val="24"/>
          <w:szCs w:val="24"/>
          <w:rtl/>
        </w:rPr>
        <w:t>«</w:t>
      </w:r>
      <w:r w:rsidRPr="006571AC">
        <w:rPr>
          <w:sz w:val="27"/>
          <w:rtl/>
        </w:rPr>
        <w:t>السين والواو والقاف أصل</w:t>
      </w:r>
      <w:r w:rsidR="003534B0" w:rsidRPr="006571AC">
        <w:rPr>
          <w:rFonts w:hint="cs"/>
          <w:sz w:val="27"/>
          <w:rtl/>
        </w:rPr>
        <w:t>ٌ</w:t>
      </w:r>
      <w:r w:rsidRPr="006571AC">
        <w:rPr>
          <w:sz w:val="27"/>
          <w:rtl/>
        </w:rPr>
        <w:t xml:space="preserve"> واحد، وهو حَدْوُ الشَّيء</w:t>
      </w:r>
      <w:r w:rsidRPr="006571AC">
        <w:rPr>
          <w:rFonts w:hint="eastAsia"/>
          <w:sz w:val="24"/>
          <w:szCs w:val="24"/>
          <w:rtl/>
        </w:rPr>
        <w:t>»</w:t>
      </w:r>
      <w:r w:rsidRPr="006571AC">
        <w:rPr>
          <w:sz w:val="27"/>
          <w:vertAlign w:val="superscript"/>
          <w:rtl/>
        </w:rPr>
        <w:t>(</w:t>
      </w:r>
      <w:r w:rsidRPr="006571AC">
        <w:rPr>
          <w:rStyle w:val="ac"/>
          <w:sz w:val="27"/>
          <w:rtl/>
        </w:rPr>
        <w:endnoteReference w:id="165"/>
      </w:r>
      <w:r w:rsidRPr="006571AC">
        <w:rPr>
          <w:sz w:val="27"/>
          <w:vertAlign w:val="superscript"/>
          <w:rtl/>
        </w:rPr>
        <w:t>)</w:t>
      </w:r>
      <w:r w:rsidRPr="006571AC">
        <w:rPr>
          <w:sz w:val="27"/>
          <w:rtl/>
        </w:rPr>
        <w:t>.</w:t>
      </w:r>
      <w:r w:rsidRPr="006571AC">
        <w:rPr>
          <w:rFonts w:hint="cs"/>
          <w:sz w:val="27"/>
          <w:rtl/>
        </w:rPr>
        <w:t xml:space="preserve"> ومع ذلك قد تستعمل مشتقاته في مختلف المعاني، من قبيل: نزع الروح والموت</w:t>
      </w:r>
      <w:r w:rsidRPr="006571AC">
        <w:rPr>
          <w:sz w:val="27"/>
          <w:vertAlign w:val="superscript"/>
          <w:rtl/>
        </w:rPr>
        <w:t>(</w:t>
      </w:r>
      <w:r w:rsidRPr="006571AC">
        <w:rPr>
          <w:rStyle w:val="ac"/>
          <w:sz w:val="27"/>
          <w:rtl/>
        </w:rPr>
        <w:endnoteReference w:id="166"/>
      </w:r>
      <w:r w:rsidRPr="006571AC">
        <w:rPr>
          <w:sz w:val="27"/>
          <w:vertAlign w:val="superscript"/>
          <w:rtl/>
        </w:rPr>
        <w:t>)</w:t>
      </w:r>
      <w:r w:rsidRPr="006571AC">
        <w:rPr>
          <w:sz w:val="27"/>
          <w:rtl/>
        </w:rPr>
        <w:t>،</w:t>
      </w:r>
      <w:r w:rsidRPr="006571AC">
        <w:rPr>
          <w:rFonts w:hint="cs"/>
          <w:sz w:val="27"/>
          <w:rtl/>
        </w:rPr>
        <w:t xml:space="preserve"> والتعاقب والتتابع</w:t>
      </w:r>
      <w:r w:rsidRPr="006571AC">
        <w:rPr>
          <w:sz w:val="27"/>
          <w:vertAlign w:val="superscript"/>
          <w:rtl/>
        </w:rPr>
        <w:t>(</w:t>
      </w:r>
      <w:r w:rsidRPr="006571AC">
        <w:rPr>
          <w:rStyle w:val="ac"/>
          <w:sz w:val="27"/>
          <w:rtl/>
        </w:rPr>
        <w:endnoteReference w:id="167"/>
      </w:r>
      <w:r w:rsidRPr="006571AC">
        <w:rPr>
          <w:sz w:val="27"/>
          <w:vertAlign w:val="superscript"/>
          <w:rtl/>
        </w:rPr>
        <w:t>)</w:t>
      </w:r>
      <w:r w:rsidRPr="006571AC">
        <w:rPr>
          <w:sz w:val="27"/>
          <w:rtl/>
        </w:rPr>
        <w:t>،</w:t>
      </w:r>
      <w:r w:rsidRPr="006571AC">
        <w:rPr>
          <w:rFonts w:hint="cs"/>
          <w:sz w:val="27"/>
          <w:rtl/>
        </w:rPr>
        <w:t xml:space="preserve"> والسحب</w:t>
      </w:r>
      <w:r w:rsidRPr="006571AC">
        <w:rPr>
          <w:sz w:val="27"/>
          <w:vertAlign w:val="superscript"/>
          <w:rtl/>
        </w:rPr>
        <w:t>(</w:t>
      </w:r>
      <w:r w:rsidRPr="006571AC">
        <w:rPr>
          <w:rStyle w:val="ac"/>
          <w:sz w:val="27"/>
          <w:rtl/>
        </w:rPr>
        <w:endnoteReference w:id="168"/>
      </w:r>
      <w:r w:rsidRPr="006571AC">
        <w:rPr>
          <w:sz w:val="27"/>
          <w:vertAlign w:val="superscript"/>
          <w:rtl/>
        </w:rPr>
        <w:t>)</w:t>
      </w:r>
      <w:r w:rsidRPr="006571AC">
        <w:rPr>
          <w:sz w:val="27"/>
          <w:rtl/>
        </w:rPr>
        <w:t>،</w:t>
      </w:r>
      <w:r w:rsidRPr="006571AC">
        <w:rPr>
          <w:rFonts w:hint="cs"/>
          <w:sz w:val="27"/>
          <w:rtl/>
        </w:rPr>
        <w:t xml:space="preserve"> والتحويل</w:t>
      </w:r>
      <w:r w:rsidRPr="006571AC">
        <w:rPr>
          <w:sz w:val="27"/>
          <w:vertAlign w:val="superscript"/>
          <w:rtl/>
        </w:rPr>
        <w:t>(</w:t>
      </w:r>
      <w:r w:rsidRPr="006571AC">
        <w:rPr>
          <w:rStyle w:val="ac"/>
          <w:sz w:val="27"/>
          <w:rtl/>
        </w:rPr>
        <w:endnoteReference w:id="169"/>
      </w:r>
      <w:r w:rsidRPr="006571AC">
        <w:rPr>
          <w:sz w:val="27"/>
          <w:vertAlign w:val="superscript"/>
          <w:rtl/>
        </w:rPr>
        <w:t>)</w:t>
      </w:r>
      <w:r w:rsidRPr="006571AC">
        <w:rPr>
          <w:sz w:val="27"/>
          <w:rtl/>
        </w:rPr>
        <w:t>؛</w:t>
      </w:r>
      <w:r w:rsidRPr="006571AC">
        <w:rPr>
          <w:rFonts w:hint="cs"/>
          <w:sz w:val="27"/>
          <w:rtl/>
        </w:rPr>
        <w:t xml:space="preserve"> إذ في جميع هذه المعاني هناك نوع</w:t>
      </w:r>
      <w:r w:rsidR="003534B0" w:rsidRPr="006571AC">
        <w:rPr>
          <w:rFonts w:hint="cs"/>
          <w:sz w:val="27"/>
          <w:rtl/>
        </w:rPr>
        <w:t>ٌ</w:t>
      </w:r>
      <w:r w:rsidRPr="006571AC">
        <w:rPr>
          <w:rFonts w:hint="cs"/>
          <w:sz w:val="27"/>
          <w:rtl/>
        </w:rPr>
        <w:t xml:space="preserve"> من الس</w:t>
      </w:r>
      <w:r w:rsidR="004C74D9" w:rsidRPr="006571AC">
        <w:rPr>
          <w:rFonts w:hint="cs"/>
          <w:sz w:val="27"/>
          <w:rtl/>
        </w:rPr>
        <w:t>َّ</w:t>
      </w:r>
      <w:r w:rsidRPr="006571AC">
        <w:rPr>
          <w:rFonts w:hint="cs"/>
          <w:sz w:val="27"/>
          <w:rtl/>
        </w:rPr>
        <w:t>و</w:t>
      </w:r>
      <w:r w:rsidR="004C74D9" w:rsidRPr="006571AC">
        <w:rPr>
          <w:rFonts w:hint="cs"/>
          <w:sz w:val="27"/>
          <w:rtl/>
        </w:rPr>
        <w:t>ْ</w:t>
      </w:r>
      <w:r w:rsidRPr="006571AC">
        <w:rPr>
          <w:rFonts w:hint="cs"/>
          <w:sz w:val="27"/>
          <w:rtl/>
        </w:rPr>
        <w:t>ق والبعث والح</w:t>
      </w:r>
      <w:r w:rsidR="003534B0" w:rsidRPr="006571AC">
        <w:rPr>
          <w:rFonts w:hint="cs"/>
          <w:sz w:val="27"/>
          <w:rtl/>
        </w:rPr>
        <w:t>َ</w:t>
      </w:r>
      <w:r w:rsidRPr="006571AC">
        <w:rPr>
          <w:rFonts w:hint="cs"/>
          <w:sz w:val="27"/>
          <w:rtl/>
        </w:rPr>
        <w:t>د</w:t>
      </w:r>
      <w:r w:rsidR="003534B0" w:rsidRPr="006571AC">
        <w:rPr>
          <w:rFonts w:hint="cs"/>
          <w:sz w:val="27"/>
          <w:rtl/>
        </w:rPr>
        <w:t>ْ</w:t>
      </w:r>
      <w:r w:rsidRPr="006571AC">
        <w:rPr>
          <w:rFonts w:hint="cs"/>
          <w:sz w:val="27"/>
          <w:rtl/>
        </w:rPr>
        <w:t xml:space="preserve">و. </w:t>
      </w:r>
      <w:r w:rsidR="003534B0" w:rsidRPr="006571AC">
        <w:rPr>
          <w:rFonts w:hint="cs"/>
          <w:sz w:val="27"/>
          <w:rtl/>
        </w:rPr>
        <w:t>و</w:t>
      </w:r>
      <w:r w:rsidRPr="006571AC">
        <w:rPr>
          <w:rFonts w:hint="cs"/>
          <w:sz w:val="27"/>
          <w:rtl/>
        </w:rPr>
        <w:t>من ذلك أن نزع الروح والم</w:t>
      </w:r>
      <w:r w:rsidR="004C74D9" w:rsidRPr="006571AC">
        <w:rPr>
          <w:rFonts w:hint="cs"/>
          <w:sz w:val="27"/>
          <w:rtl/>
        </w:rPr>
        <w:t>وت</w:t>
      </w:r>
      <w:r w:rsidRPr="006571AC">
        <w:rPr>
          <w:rFonts w:hint="cs"/>
          <w:sz w:val="27"/>
          <w:rtl/>
        </w:rPr>
        <w:t xml:space="preserve"> فيه نوع</w:t>
      </w:r>
      <w:r w:rsidR="003534B0" w:rsidRPr="006571AC">
        <w:rPr>
          <w:rFonts w:hint="cs"/>
          <w:sz w:val="27"/>
          <w:rtl/>
        </w:rPr>
        <w:t>ٌ</w:t>
      </w:r>
      <w:r w:rsidRPr="006571AC">
        <w:rPr>
          <w:rFonts w:hint="cs"/>
          <w:sz w:val="27"/>
          <w:rtl/>
        </w:rPr>
        <w:t xml:space="preserve"> من سَو</w:t>
      </w:r>
      <w:r w:rsidR="003534B0" w:rsidRPr="006571AC">
        <w:rPr>
          <w:rFonts w:hint="cs"/>
          <w:sz w:val="27"/>
          <w:rtl/>
        </w:rPr>
        <w:t>ْ</w:t>
      </w:r>
      <w:r w:rsidRPr="006571AC">
        <w:rPr>
          <w:rFonts w:hint="cs"/>
          <w:sz w:val="27"/>
          <w:rtl/>
        </w:rPr>
        <w:t>ق الروح وح</w:t>
      </w:r>
      <w:r w:rsidR="003534B0" w:rsidRPr="006571AC">
        <w:rPr>
          <w:rFonts w:hint="cs"/>
          <w:sz w:val="27"/>
          <w:rtl/>
        </w:rPr>
        <w:t>َ</w:t>
      </w:r>
      <w:r w:rsidRPr="006571AC">
        <w:rPr>
          <w:rFonts w:hint="cs"/>
          <w:sz w:val="27"/>
          <w:rtl/>
        </w:rPr>
        <w:t>د</w:t>
      </w:r>
      <w:r w:rsidR="003534B0" w:rsidRPr="006571AC">
        <w:rPr>
          <w:rFonts w:hint="cs"/>
          <w:sz w:val="27"/>
          <w:rtl/>
        </w:rPr>
        <w:t>ْ</w:t>
      </w:r>
      <w:r w:rsidRPr="006571AC">
        <w:rPr>
          <w:rFonts w:hint="cs"/>
          <w:sz w:val="27"/>
          <w:rtl/>
        </w:rPr>
        <w:t xml:space="preserve">وها من البدن، </w:t>
      </w:r>
      <w:r w:rsidR="005A3C1E" w:rsidRPr="006571AC">
        <w:rPr>
          <w:rFonts w:hint="cs"/>
          <w:sz w:val="27"/>
          <w:rtl/>
        </w:rPr>
        <w:t>و</w:t>
      </w:r>
      <w:r w:rsidRPr="006571AC">
        <w:rPr>
          <w:rFonts w:hint="cs"/>
          <w:sz w:val="27"/>
          <w:rtl/>
        </w:rPr>
        <w:t xml:space="preserve">التتابع والتعاقب </w:t>
      </w:r>
      <w:r w:rsidR="005A3C1E" w:rsidRPr="006571AC">
        <w:rPr>
          <w:rFonts w:hint="cs"/>
          <w:sz w:val="27"/>
          <w:rtl/>
        </w:rPr>
        <w:t xml:space="preserve">هو </w:t>
      </w:r>
      <w:r w:rsidRPr="006571AC">
        <w:rPr>
          <w:rFonts w:hint="cs"/>
          <w:sz w:val="27"/>
          <w:rtl/>
        </w:rPr>
        <w:t>نوع</w:t>
      </w:r>
      <w:r w:rsidR="003534B0" w:rsidRPr="006571AC">
        <w:rPr>
          <w:rFonts w:hint="cs"/>
          <w:sz w:val="27"/>
          <w:rtl/>
        </w:rPr>
        <w:t>ٌ</w:t>
      </w:r>
      <w:r w:rsidRPr="006571AC">
        <w:rPr>
          <w:rFonts w:hint="cs"/>
          <w:sz w:val="27"/>
          <w:rtl/>
        </w:rPr>
        <w:t xml:space="preserve"> من طرد الفرد اللاحق عن الفرد السابق. </w:t>
      </w:r>
    </w:p>
    <w:p w:rsidR="00A75C8B" w:rsidRPr="006571AC" w:rsidRDefault="00A75C8B" w:rsidP="00C95139">
      <w:pPr>
        <w:rPr>
          <w:sz w:val="27"/>
          <w:rtl/>
        </w:rPr>
      </w:pPr>
      <w:r w:rsidRPr="006571AC">
        <w:rPr>
          <w:rFonts w:hint="cs"/>
          <w:sz w:val="27"/>
          <w:rtl/>
        </w:rPr>
        <w:t xml:space="preserve">إن عبارة </w:t>
      </w:r>
      <w:r w:rsidRPr="006571AC">
        <w:rPr>
          <w:rFonts w:hint="eastAsia"/>
          <w:sz w:val="24"/>
          <w:szCs w:val="24"/>
          <w:rtl/>
        </w:rPr>
        <w:t>«</w:t>
      </w:r>
      <w:r w:rsidRPr="006571AC">
        <w:rPr>
          <w:rFonts w:hint="cs"/>
          <w:sz w:val="27"/>
          <w:rtl/>
        </w:rPr>
        <w:t>قرينة السياق</w:t>
      </w:r>
      <w:r w:rsidRPr="006571AC">
        <w:rPr>
          <w:rFonts w:hint="eastAsia"/>
          <w:sz w:val="24"/>
          <w:szCs w:val="24"/>
          <w:rtl/>
        </w:rPr>
        <w:t>»</w:t>
      </w:r>
      <w:r w:rsidRPr="006571AC">
        <w:rPr>
          <w:rFonts w:hint="cs"/>
          <w:sz w:val="27"/>
          <w:rtl/>
        </w:rPr>
        <w:t xml:space="preserve"> مؤل</w:t>
      </w:r>
      <w:r w:rsidR="003534B0" w:rsidRPr="006571AC">
        <w:rPr>
          <w:rFonts w:hint="cs"/>
          <w:sz w:val="27"/>
          <w:rtl/>
        </w:rPr>
        <w:t>َّ</w:t>
      </w:r>
      <w:r w:rsidRPr="006571AC">
        <w:rPr>
          <w:rFonts w:hint="cs"/>
          <w:sz w:val="27"/>
          <w:rtl/>
        </w:rPr>
        <w:t>فة من</w:t>
      </w:r>
      <w:r w:rsidR="003534B0"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القرينة</w:t>
      </w:r>
      <w:r w:rsidRPr="006571AC">
        <w:rPr>
          <w:rFonts w:hint="eastAsia"/>
          <w:sz w:val="24"/>
          <w:szCs w:val="24"/>
          <w:rtl/>
        </w:rPr>
        <w:t>»</w:t>
      </w:r>
      <w:r w:rsidR="003534B0" w:rsidRPr="006571AC">
        <w:rPr>
          <w:rFonts w:hint="cs"/>
          <w:sz w:val="27"/>
          <w:rtl/>
        </w:rPr>
        <w:t>؛</w:t>
      </w:r>
      <w:r w:rsidRPr="006571AC">
        <w:rPr>
          <w:rFonts w:hint="cs"/>
          <w:sz w:val="27"/>
          <w:rtl/>
        </w:rPr>
        <w:t xml:space="preserve"> و</w:t>
      </w:r>
      <w:r w:rsidRPr="006571AC">
        <w:rPr>
          <w:rFonts w:hint="eastAsia"/>
          <w:sz w:val="24"/>
          <w:szCs w:val="24"/>
          <w:rtl/>
        </w:rPr>
        <w:t>«</w:t>
      </w:r>
      <w:r w:rsidRPr="006571AC">
        <w:rPr>
          <w:rFonts w:hint="cs"/>
          <w:sz w:val="27"/>
          <w:rtl/>
        </w:rPr>
        <w:t>السياق</w:t>
      </w:r>
      <w:r w:rsidRPr="006571AC">
        <w:rPr>
          <w:rFonts w:hint="eastAsia"/>
          <w:sz w:val="24"/>
          <w:szCs w:val="24"/>
          <w:rtl/>
        </w:rPr>
        <w:t>»</w:t>
      </w:r>
      <w:r w:rsidRPr="006571AC">
        <w:rPr>
          <w:rFonts w:hint="cs"/>
          <w:sz w:val="27"/>
          <w:rtl/>
        </w:rPr>
        <w:t xml:space="preserve">. ومن هذه الناحية فإن بحث مصطلح </w:t>
      </w:r>
      <w:r w:rsidRPr="006571AC">
        <w:rPr>
          <w:rFonts w:hint="eastAsia"/>
          <w:sz w:val="24"/>
          <w:szCs w:val="24"/>
          <w:rtl/>
        </w:rPr>
        <w:t>«</w:t>
      </w:r>
      <w:r w:rsidRPr="006571AC">
        <w:rPr>
          <w:rFonts w:hint="cs"/>
          <w:sz w:val="27"/>
          <w:rtl/>
        </w:rPr>
        <w:t>السياق</w:t>
      </w:r>
      <w:r w:rsidRPr="006571AC">
        <w:rPr>
          <w:rFonts w:hint="eastAsia"/>
          <w:sz w:val="24"/>
          <w:szCs w:val="24"/>
          <w:rtl/>
        </w:rPr>
        <w:t>»</w:t>
      </w:r>
      <w:r w:rsidRPr="006571AC">
        <w:rPr>
          <w:rFonts w:hint="cs"/>
          <w:sz w:val="27"/>
          <w:rtl/>
        </w:rPr>
        <w:t xml:space="preserve"> يبيّ</w:t>
      </w:r>
      <w:r w:rsidR="00F25027" w:rsidRPr="006571AC">
        <w:rPr>
          <w:rFonts w:hint="cs"/>
          <w:sz w:val="27"/>
          <w:rtl/>
        </w:rPr>
        <w:t>ِ</w:t>
      </w:r>
      <w:r w:rsidRPr="006571AC">
        <w:rPr>
          <w:rFonts w:hint="cs"/>
          <w:sz w:val="27"/>
          <w:rtl/>
        </w:rPr>
        <w:t xml:space="preserve">ن المراد من قرينة السياق. وبالنظر إلى سعة استعمال السياق في العلوم المختلفة نجد أن تطبيقات </w:t>
      </w:r>
      <w:r w:rsidRPr="006571AC">
        <w:rPr>
          <w:rFonts w:hint="eastAsia"/>
          <w:sz w:val="24"/>
          <w:szCs w:val="24"/>
          <w:rtl/>
        </w:rPr>
        <w:t>«</w:t>
      </w:r>
      <w:r w:rsidRPr="006571AC">
        <w:rPr>
          <w:rFonts w:hint="cs"/>
          <w:sz w:val="27"/>
          <w:rtl/>
        </w:rPr>
        <w:t>السياق</w:t>
      </w:r>
      <w:r w:rsidRPr="006571AC">
        <w:rPr>
          <w:rFonts w:hint="eastAsia"/>
          <w:sz w:val="24"/>
          <w:szCs w:val="24"/>
          <w:rtl/>
        </w:rPr>
        <w:t>»</w:t>
      </w:r>
      <w:r w:rsidRPr="006571AC">
        <w:rPr>
          <w:rFonts w:hint="cs"/>
          <w:sz w:val="27"/>
          <w:rtl/>
        </w:rPr>
        <w:t xml:space="preserve"> ومشتق</w:t>
      </w:r>
      <w:r w:rsidR="00F25027" w:rsidRPr="006571AC">
        <w:rPr>
          <w:rFonts w:hint="cs"/>
          <w:sz w:val="27"/>
          <w:rtl/>
        </w:rPr>
        <w:t>ّ</w:t>
      </w:r>
      <w:r w:rsidRPr="006571AC">
        <w:rPr>
          <w:rFonts w:hint="cs"/>
          <w:sz w:val="27"/>
          <w:rtl/>
        </w:rPr>
        <w:t>اته كثيرة</w:t>
      </w:r>
      <w:r w:rsidR="00F25027" w:rsidRPr="006571AC">
        <w:rPr>
          <w:rFonts w:hint="cs"/>
          <w:sz w:val="27"/>
          <w:rtl/>
        </w:rPr>
        <w:t>ٌ</w:t>
      </w:r>
      <w:r w:rsidRPr="006571AC">
        <w:rPr>
          <w:rFonts w:hint="cs"/>
          <w:sz w:val="27"/>
          <w:rtl/>
        </w:rPr>
        <w:t xml:space="preserve"> جد</w:t>
      </w:r>
      <w:r w:rsidR="00F25027" w:rsidRPr="006571AC">
        <w:rPr>
          <w:rFonts w:hint="cs"/>
          <w:sz w:val="27"/>
          <w:rtl/>
        </w:rPr>
        <w:t>ّ</w:t>
      </w:r>
      <w:r w:rsidRPr="006571AC">
        <w:rPr>
          <w:rFonts w:hint="cs"/>
          <w:sz w:val="27"/>
          <w:rtl/>
        </w:rPr>
        <w:t xml:space="preserve">اً؛ </w:t>
      </w:r>
      <w:r w:rsidR="00731867" w:rsidRPr="006571AC">
        <w:rPr>
          <w:rFonts w:hint="cs"/>
          <w:sz w:val="27"/>
          <w:rtl/>
        </w:rPr>
        <w:t>بَيْدَ</w:t>
      </w:r>
      <w:r w:rsidRPr="006571AC">
        <w:rPr>
          <w:rFonts w:hint="cs"/>
          <w:sz w:val="27"/>
          <w:rtl/>
        </w:rPr>
        <w:t xml:space="preserve"> أن البيان الدقيق لحدود هذه الكلمة ومعانيها شحيح</w:t>
      </w:r>
      <w:r w:rsidR="00F25027" w:rsidRPr="006571AC">
        <w:rPr>
          <w:rFonts w:hint="cs"/>
          <w:sz w:val="27"/>
          <w:rtl/>
        </w:rPr>
        <w:t>ٌ</w:t>
      </w:r>
      <w:r w:rsidRPr="006571AC">
        <w:rPr>
          <w:rFonts w:hint="cs"/>
          <w:sz w:val="27"/>
          <w:rtl/>
        </w:rPr>
        <w:t xml:space="preserve"> للغاية. ولهذا السبب فإن بيان المعنى المصطلح لهذه الكلمة ر</w:t>
      </w:r>
      <w:r w:rsidR="00F25027" w:rsidRPr="006571AC">
        <w:rPr>
          <w:rFonts w:hint="cs"/>
          <w:sz w:val="27"/>
          <w:rtl/>
        </w:rPr>
        <w:t>َ</w:t>
      </w:r>
      <w:r w:rsidRPr="006571AC">
        <w:rPr>
          <w:rFonts w:hint="cs"/>
          <w:sz w:val="27"/>
          <w:rtl/>
        </w:rPr>
        <w:t>ه</w:t>
      </w:r>
      <w:r w:rsidR="00F25027" w:rsidRPr="006571AC">
        <w:rPr>
          <w:rFonts w:hint="cs"/>
          <w:sz w:val="27"/>
          <w:rtl/>
        </w:rPr>
        <w:t>ْ</w:t>
      </w:r>
      <w:r w:rsidRPr="006571AC">
        <w:rPr>
          <w:rFonts w:hint="cs"/>
          <w:sz w:val="27"/>
          <w:rtl/>
        </w:rPr>
        <w:t>ن</w:t>
      </w:r>
      <w:r w:rsidR="00F25027" w:rsidRPr="006571AC">
        <w:rPr>
          <w:rFonts w:hint="cs"/>
          <w:sz w:val="27"/>
          <w:rtl/>
        </w:rPr>
        <w:t>ٌ</w:t>
      </w:r>
      <w:r w:rsidRPr="006571AC">
        <w:rPr>
          <w:rFonts w:hint="cs"/>
          <w:sz w:val="27"/>
          <w:rtl/>
        </w:rPr>
        <w:t xml:space="preserve"> ببحث تطبيقاتها في المتون العلمية. </w:t>
      </w:r>
    </w:p>
    <w:p w:rsidR="00A75C8B" w:rsidRPr="006571AC" w:rsidRDefault="00A75C8B" w:rsidP="00C95139">
      <w:pPr>
        <w:rPr>
          <w:sz w:val="27"/>
          <w:rtl/>
        </w:rPr>
      </w:pPr>
      <w:r w:rsidRPr="006571AC">
        <w:rPr>
          <w:rFonts w:hint="cs"/>
          <w:sz w:val="27"/>
          <w:rtl/>
        </w:rPr>
        <w:t>وفي نظرة</w:t>
      </w:r>
      <w:r w:rsidR="00F25027" w:rsidRPr="006571AC">
        <w:rPr>
          <w:rFonts w:hint="cs"/>
          <w:sz w:val="27"/>
          <w:rtl/>
        </w:rPr>
        <w:t>ٍ</w:t>
      </w:r>
      <w:r w:rsidRPr="006571AC">
        <w:rPr>
          <w:rFonts w:hint="cs"/>
          <w:sz w:val="27"/>
          <w:rtl/>
        </w:rPr>
        <w:t xml:space="preserve"> إجمالية يمكن القول: إن الأصوليين والفقهاء لم يجمعوا على تقديم تعريف</w:t>
      </w:r>
      <w:r w:rsidR="00F25027" w:rsidRPr="006571AC">
        <w:rPr>
          <w:rFonts w:hint="cs"/>
          <w:sz w:val="27"/>
          <w:rtl/>
        </w:rPr>
        <w:t>ٍ</w:t>
      </w:r>
      <w:r w:rsidRPr="006571AC">
        <w:rPr>
          <w:rFonts w:hint="cs"/>
          <w:sz w:val="27"/>
          <w:rtl/>
        </w:rPr>
        <w:t xml:space="preserve"> اصطلاحي</w:t>
      </w:r>
      <w:r w:rsidR="00F25027" w:rsidRPr="006571AC">
        <w:rPr>
          <w:rFonts w:hint="cs"/>
          <w:sz w:val="27"/>
          <w:rtl/>
        </w:rPr>
        <w:t>ّ</w:t>
      </w:r>
      <w:r w:rsidRPr="006571AC">
        <w:rPr>
          <w:rFonts w:hint="cs"/>
          <w:sz w:val="27"/>
          <w:rtl/>
        </w:rPr>
        <w:t xml:space="preserve"> واحد للسياق. ومع ذلك فإن دراسة استعمالاتهم للسياق تثبت أن له مصطلحين</w:t>
      </w:r>
      <w:r w:rsidR="00F25027" w:rsidRPr="006571AC">
        <w:rPr>
          <w:rFonts w:hint="cs"/>
          <w:sz w:val="27"/>
          <w:rtl/>
        </w:rPr>
        <w:t>:</w:t>
      </w:r>
      <w:r w:rsidRPr="006571AC">
        <w:rPr>
          <w:rFonts w:hint="cs"/>
          <w:sz w:val="27"/>
          <w:rtl/>
        </w:rPr>
        <w:t xml:space="preserve"> </w:t>
      </w:r>
      <w:r w:rsidRPr="006571AC">
        <w:rPr>
          <w:rFonts w:hint="cs"/>
          <w:b/>
          <w:bCs/>
          <w:sz w:val="27"/>
          <w:rtl/>
        </w:rPr>
        <w:t>أحدهما</w:t>
      </w:r>
      <w:r w:rsidR="00F25027" w:rsidRPr="006571AC">
        <w:rPr>
          <w:rFonts w:hint="cs"/>
          <w:sz w:val="27"/>
          <w:rtl/>
        </w:rPr>
        <w:t>:</w:t>
      </w:r>
      <w:r w:rsidRPr="006571AC">
        <w:rPr>
          <w:rFonts w:hint="cs"/>
          <w:sz w:val="27"/>
          <w:rtl/>
        </w:rPr>
        <w:t xml:space="preserve"> أعم</w:t>
      </w:r>
      <w:r w:rsidR="00F25027" w:rsidRPr="006571AC">
        <w:rPr>
          <w:rFonts w:hint="cs"/>
          <w:sz w:val="27"/>
          <w:rtl/>
        </w:rPr>
        <w:t>ّ؛</w:t>
      </w:r>
      <w:r w:rsidRPr="006571AC">
        <w:rPr>
          <w:rFonts w:hint="cs"/>
          <w:sz w:val="27"/>
          <w:rtl/>
        </w:rPr>
        <w:t xml:space="preserve"> </w:t>
      </w:r>
      <w:r w:rsidRPr="006571AC">
        <w:rPr>
          <w:rFonts w:hint="cs"/>
          <w:b/>
          <w:bCs/>
          <w:sz w:val="27"/>
          <w:rtl/>
        </w:rPr>
        <w:t>والآخر</w:t>
      </w:r>
      <w:r w:rsidR="00F25027" w:rsidRPr="006571AC">
        <w:rPr>
          <w:rFonts w:hint="cs"/>
          <w:sz w:val="27"/>
          <w:rtl/>
        </w:rPr>
        <w:t xml:space="preserve">: </w:t>
      </w:r>
      <w:r w:rsidRPr="006571AC">
        <w:rPr>
          <w:rFonts w:hint="cs"/>
          <w:sz w:val="27"/>
          <w:rtl/>
        </w:rPr>
        <w:t>أخص</w:t>
      </w:r>
      <w:r w:rsidR="00F25027" w:rsidRPr="006571AC">
        <w:rPr>
          <w:rFonts w:hint="cs"/>
          <w:sz w:val="27"/>
          <w:rtl/>
        </w:rPr>
        <w:t>ّ</w:t>
      </w:r>
      <w:r w:rsidRPr="006571AC">
        <w:rPr>
          <w:rFonts w:hint="cs"/>
          <w:sz w:val="27"/>
          <w:rtl/>
        </w:rPr>
        <w:t>. والمصطلح الأعم</w:t>
      </w:r>
      <w:r w:rsidR="00F25027" w:rsidRPr="006571AC">
        <w:rPr>
          <w:rFonts w:hint="cs"/>
          <w:sz w:val="27"/>
          <w:rtl/>
        </w:rPr>
        <w:t>ّ</w:t>
      </w:r>
      <w:r w:rsidRPr="006571AC">
        <w:rPr>
          <w:rFonts w:hint="cs"/>
          <w:sz w:val="27"/>
          <w:rtl/>
        </w:rPr>
        <w:t xml:space="preserve"> يشمل القرائن الأخرى، من قبيل: السؤال، والتمثيل، والتعليل</w:t>
      </w:r>
      <w:r w:rsidR="00F25027" w:rsidRPr="006571AC">
        <w:rPr>
          <w:rFonts w:hint="cs"/>
          <w:sz w:val="27"/>
          <w:rtl/>
        </w:rPr>
        <w:t>،</w:t>
      </w:r>
      <w:r w:rsidRPr="006571AC">
        <w:rPr>
          <w:rFonts w:hint="cs"/>
          <w:sz w:val="27"/>
          <w:rtl/>
        </w:rPr>
        <w:t xml:space="preserve"> وما إلى ذلك، وأما المصطلح الأخص</w:t>
      </w:r>
      <w:r w:rsidR="00F25027" w:rsidRPr="006571AC">
        <w:rPr>
          <w:rFonts w:hint="cs"/>
          <w:sz w:val="27"/>
          <w:rtl/>
        </w:rPr>
        <w:t>ّ</w:t>
      </w:r>
      <w:r w:rsidRPr="006571AC">
        <w:rPr>
          <w:rFonts w:hint="cs"/>
          <w:sz w:val="27"/>
          <w:rtl/>
        </w:rPr>
        <w:t xml:space="preserve"> فيقع في عرضها. </w:t>
      </w:r>
    </w:p>
    <w:p w:rsidR="00453F43" w:rsidRPr="006571AC" w:rsidRDefault="00453F43" w:rsidP="00453F43">
      <w:pPr>
        <w:spacing w:line="420" w:lineRule="exact"/>
        <w:rPr>
          <w:sz w:val="27"/>
          <w:rtl/>
        </w:rPr>
      </w:pPr>
    </w:p>
    <w:p w:rsidR="00A75C8B" w:rsidRPr="006571AC" w:rsidRDefault="007E1680" w:rsidP="009C29A7">
      <w:pPr>
        <w:pStyle w:val="31"/>
        <w:rPr>
          <w:color w:val="auto"/>
          <w:rtl/>
        </w:rPr>
      </w:pPr>
      <w:bookmarkStart w:id="85" w:name="_Toc114164574"/>
      <w:r w:rsidRPr="006571AC">
        <w:rPr>
          <w:rFonts w:hint="cs"/>
          <w:color w:val="auto"/>
          <w:rtl/>
        </w:rPr>
        <w:t xml:space="preserve">أـ </w:t>
      </w:r>
      <w:r w:rsidR="00A75C8B" w:rsidRPr="006571AC">
        <w:rPr>
          <w:rFonts w:hint="cs"/>
          <w:color w:val="auto"/>
          <w:rtl/>
        </w:rPr>
        <w:t>المصطلح بالمعنى الأعم</w:t>
      </w:r>
      <w:r w:rsidR="00F25027" w:rsidRPr="006571AC">
        <w:rPr>
          <w:rFonts w:hint="cs"/>
          <w:color w:val="auto"/>
          <w:rtl/>
        </w:rPr>
        <w:t>ّ</w:t>
      </w:r>
      <w:bookmarkEnd w:id="85"/>
    </w:p>
    <w:p w:rsidR="00A75C8B" w:rsidRPr="006571AC" w:rsidRDefault="00A75C8B" w:rsidP="00C95139">
      <w:pPr>
        <w:rPr>
          <w:sz w:val="27"/>
          <w:rtl/>
        </w:rPr>
      </w:pPr>
      <w:r w:rsidRPr="006571AC">
        <w:rPr>
          <w:rFonts w:hint="cs"/>
          <w:sz w:val="27"/>
          <w:rtl/>
        </w:rPr>
        <w:t>من المعروف بين الفقهاء والأصوليين أن هناك أداتين لمعرفة النص</w:t>
      </w:r>
      <w:r w:rsidR="00F25027" w:rsidRPr="006571AC">
        <w:rPr>
          <w:rFonts w:hint="cs"/>
          <w:sz w:val="27"/>
          <w:rtl/>
        </w:rPr>
        <w:t>ّ</w:t>
      </w:r>
      <w:r w:rsidRPr="006571AC">
        <w:rPr>
          <w:rFonts w:hint="cs"/>
          <w:sz w:val="27"/>
          <w:rtl/>
        </w:rPr>
        <w:t>، وهما: السياق</w:t>
      </w:r>
      <w:r w:rsidR="00F25027" w:rsidRPr="006571AC">
        <w:rPr>
          <w:rFonts w:hint="cs"/>
          <w:sz w:val="27"/>
          <w:rtl/>
        </w:rPr>
        <w:t>؛</w:t>
      </w:r>
      <w:r w:rsidRPr="006571AC">
        <w:rPr>
          <w:rFonts w:hint="cs"/>
          <w:sz w:val="27"/>
          <w:rtl/>
        </w:rPr>
        <w:t xml:space="preserve"> والسباق. يقول </w:t>
      </w:r>
      <w:r w:rsidR="00F25027" w:rsidRPr="006571AC">
        <w:rPr>
          <w:rFonts w:hint="cs"/>
          <w:sz w:val="27"/>
          <w:rtl/>
        </w:rPr>
        <w:t>الشيخ</w:t>
      </w:r>
      <w:r w:rsidRPr="006571AC">
        <w:rPr>
          <w:rFonts w:hint="cs"/>
          <w:sz w:val="27"/>
          <w:rtl/>
        </w:rPr>
        <w:t xml:space="preserve"> جوادي </w:t>
      </w:r>
      <w:r w:rsidR="00F25027" w:rsidRPr="006571AC">
        <w:rPr>
          <w:rFonts w:hint="cs"/>
          <w:sz w:val="27"/>
          <w:rtl/>
        </w:rPr>
        <w:t>ال</w:t>
      </w:r>
      <w:r w:rsidRPr="006571AC">
        <w:rPr>
          <w:rFonts w:hint="cs"/>
          <w:sz w:val="27"/>
          <w:rtl/>
        </w:rPr>
        <w:t>آملي في هذا الشأن: لدينا عنصران لفهم النصوص</w:t>
      </w:r>
      <w:r w:rsidR="00F25027" w:rsidRPr="006571AC">
        <w:rPr>
          <w:rFonts w:hint="cs"/>
          <w:sz w:val="27"/>
          <w:rtl/>
        </w:rPr>
        <w:t>:</w:t>
      </w:r>
      <w:r w:rsidRPr="006571AC">
        <w:rPr>
          <w:rFonts w:hint="cs"/>
          <w:sz w:val="27"/>
          <w:rtl/>
        </w:rPr>
        <w:t xml:space="preserve"> </w:t>
      </w:r>
      <w:r w:rsidRPr="006571AC">
        <w:rPr>
          <w:rFonts w:hint="cs"/>
          <w:b/>
          <w:bCs/>
          <w:sz w:val="27"/>
          <w:rtl/>
        </w:rPr>
        <w:t>أحدهما</w:t>
      </w:r>
      <w:r w:rsidRPr="006571AC">
        <w:rPr>
          <w:rFonts w:hint="cs"/>
          <w:sz w:val="27"/>
          <w:rtl/>
        </w:rPr>
        <w:t>: السباق</w:t>
      </w:r>
      <w:r w:rsidR="00F25027" w:rsidRPr="006571AC">
        <w:rPr>
          <w:rFonts w:hint="cs"/>
          <w:sz w:val="27"/>
          <w:rtl/>
        </w:rPr>
        <w:t>؛</w:t>
      </w:r>
      <w:r w:rsidRPr="006571AC">
        <w:rPr>
          <w:rFonts w:hint="cs"/>
          <w:sz w:val="27"/>
          <w:rtl/>
        </w:rPr>
        <w:t xml:space="preserve"> </w:t>
      </w:r>
      <w:r w:rsidRPr="006571AC">
        <w:rPr>
          <w:rFonts w:hint="cs"/>
          <w:b/>
          <w:bCs/>
          <w:sz w:val="27"/>
          <w:rtl/>
        </w:rPr>
        <w:t>والآخر</w:t>
      </w:r>
      <w:r w:rsidRPr="006571AC">
        <w:rPr>
          <w:rFonts w:hint="cs"/>
          <w:sz w:val="27"/>
          <w:rtl/>
        </w:rPr>
        <w:t xml:space="preserve">: السياق. والسباق هو المعروف في الأصول بـ </w:t>
      </w:r>
      <w:r w:rsidRPr="006571AC">
        <w:rPr>
          <w:rFonts w:hint="eastAsia"/>
          <w:sz w:val="24"/>
          <w:szCs w:val="24"/>
          <w:rtl/>
        </w:rPr>
        <w:t>«</w:t>
      </w:r>
      <w:r w:rsidRPr="006571AC">
        <w:rPr>
          <w:rFonts w:hint="cs"/>
          <w:sz w:val="27"/>
          <w:rtl/>
        </w:rPr>
        <w:t>التبادر</w:t>
      </w:r>
      <w:r w:rsidRPr="006571AC">
        <w:rPr>
          <w:rFonts w:hint="eastAsia"/>
          <w:sz w:val="24"/>
          <w:szCs w:val="24"/>
          <w:rtl/>
        </w:rPr>
        <w:t>»</w:t>
      </w:r>
      <w:r w:rsidRPr="006571AC">
        <w:rPr>
          <w:rFonts w:hint="cs"/>
          <w:sz w:val="27"/>
          <w:rtl/>
        </w:rPr>
        <w:t>، والسياق هو كيفية ونوع صدر الكلام وذيله. فإذا أراد شخص</w:t>
      </w:r>
      <w:r w:rsidR="00F25027" w:rsidRPr="006571AC">
        <w:rPr>
          <w:rFonts w:hint="cs"/>
          <w:sz w:val="27"/>
          <w:rtl/>
        </w:rPr>
        <w:t>ٌ</w:t>
      </w:r>
      <w:r w:rsidRPr="006571AC">
        <w:rPr>
          <w:rFonts w:hint="cs"/>
          <w:sz w:val="27"/>
          <w:rtl/>
        </w:rPr>
        <w:t xml:space="preserve"> أن يفهم آية</w:t>
      </w:r>
      <w:r w:rsidR="00F25027" w:rsidRPr="006571AC">
        <w:rPr>
          <w:rFonts w:hint="cs"/>
          <w:sz w:val="27"/>
          <w:rtl/>
        </w:rPr>
        <w:t>ً</w:t>
      </w:r>
      <w:r w:rsidRPr="006571AC">
        <w:rPr>
          <w:rFonts w:hint="cs"/>
          <w:sz w:val="27"/>
          <w:rtl/>
        </w:rPr>
        <w:t xml:space="preserve"> أو رواية</w:t>
      </w:r>
      <w:r w:rsidR="005A3C1E" w:rsidRPr="006571AC">
        <w:rPr>
          <w:rFonts w:hint="cs"/>
          <w:sz w:val="27"/>
          <w:rtl/>
        </w:rPr>
        <w:t>ً</w:t>
      </w:r>
      <w:r w:rsidRPr="006571AC">
        <w:rPr>
          <w:rFonts w:hint="cs"/>
          <w:sz w:val="27"/>
          <w:rtl/>
        </w:rPr>
        <w:t xml:space="preserve"> وجب عليه أن يتزوّ</w:t>
      </w:r>
      <w:r w:rsidR="00F25027" w:rsidRPr="006571AC">
        <w:rPr>
          <w:rFonts w:hint="cs"/>
          <w:sz w:val="27"/>
          <w:rtl/>
        </w:rPr>
        <w:t>َ</w:t>
      </w:r>
      <w:r w:rsidRPr="006571AC">
        <w:rPr>
          <w:rFonts w:hint="cs"/>
          <w:sz w:val="27"/>
          <w:rtl/>
        </w:rPr>
        <w:t>د بهذين السراجين (السباق والسياق)</w:t>
      </w:r>
      <w:r w:rsidR="00F25027" w:rsidRPr="006571AC">
        <w:rPr>
          <w:rFonts w:hint="cs"/>
          <w:sz w:val="27"/>
          <w:rtl/>
        </w:rPr>
        <w:t>؛</w:t>
      </w:r>
      <w:r w:rsidRPr="006571AC">
        <w:rPr>
          <w:rFonts w:hint="cs"/>
          <w:sz w:val="27"/>
          <w:rtl/>
        </w:rPr>
        <w:t xml:space="preserve"> ليفهم ما الذي يريد طريقه قوله</w:t>
      </w:r>
      <w:r w:rsidRPr="006571AC">
        <w:rPr>
          <w:rFonts w:hint="eastAsia"/>
          <w:sz w:val="24"/>
          <w:szCs w:val="24"/>
          <w:rtl/>
        </w:rPr>
        <w:t>»</w:t>
      </w:r>
      <w:r w:rsidRPr="006571AC">
        <w:rPr>
          <w:sz w:val="27"/>
          <w:vertAlign w:val="superscript"/>
          <w:rtl/>
        </w:rPr>
        <w:t>(</w:t>
      </w:r>
      <w:r w:rsidRPr="006571AC">
        <w:rPr>
          <w:rStyle w:val="ac"/>
          <w:sz w:val="27"/>
          <w:rtl/>
        </w:rPr>
        <w:endnoteReference w:id="170"/>
      </w:r>
      <w:r w:rsidRPr="006571AC">
        <w:rPr>
          <w:sz w:val="27"/>
          <w:vertAlign w:val="superscript"/>
          <w:rtl/>
        </w:rPr>
        <w:t>)</w:t>
      </w:r>
      <w:r w:rsidRPr="006571AC">
        <w:rPr>
          <w:sz w:val="27"/>
          <w:rtl/>
        </w:rPr>
        <w:t>.</w:t>
      </w:r>
      <w:r w:rsidRPr="006571AC">
        <w:rPr>
          <w:rFonts w:hint="cs"/>
          <w:sz w:val="27"/>
          <w:rtl/>
        </w:rPr>
        <w:t xml:space="preserve"> وهذا المعنى من السياق واسع</w:t>
      </w:r>
      <w:r w:rsidR="00F25027" w:rsidRPr="006571AC">
        <w:rPr>
          <w:rFonts w:hint="cs"/>
          <w:sz w:val="27"/>
          <w:rtl/>
        </w:rPr>
        <w:t>ٌ</w:t>
      </w:r>
      <w:r w:rsidRPr="006571AC">
        <w:rPr>
          <w:rFonts w:hint="cs"/>
          <w:sz w:val="27"/>
          <w:rtl/>
        </w:rPr>
        <w:t xml:space="preserve"> جداً؛ بحيث </w:t>
      </w:r>
      <w:r w:rsidR="00F25027" w:rsidRPr="006571AC">
        <w:rPr>
          <w:rFonts w:hint="cs"/>
          <w:sz w:val="27"/>
          <w:rtl/>
        </w:rPr>
        <w:t>إ</w:t>
      </w:r>
      <w:r w:rsidRPr="006571AC">
        <w:rPr>
          <w:rFonts w:hint="cs"/>
          <w:sz w:val="27"/>
          <w:rtl/>
        </w:rPr>
        <w:t>نه يشمل مطلق القرائن المتصلة</w:t>
      </w:r>
      <w:r w:rsidR="00F25027" w:rsidRPr="006571AC">
        <w:rPr>
          <w:rFonts w:hint="cs"/>
          <w:sz w:val="27"/>
          <w:rtl/>
        </w:rPr>
        <w:t>،</w:t>
      </w:r>
      <w:r w:rsidRPr="006571AC">
        <w:rPr>
          <w:rFonts w:hint="cs"/>
          <w:sz w:val="27"/>
          <w:rtl/>
        </w:rPr>
        <w:t xml:space="preserve"> اللفظية والحالية. </w:t>
      </w:r>
    </w:p>
    <w:p w:rsidR="00A75C8B" w:rsidRPr="006571AC" w:rsidRDefault="00A75C8B" w:rsidP="00C95139">
      <w:pPr>
        <w:rPr>
          <w:sz w:val="27"/>
          <w:rtl/>
        </w:rPr>
      </w:pPr>
      <w:r w:rsidRPr="006571AC">
        <w:rPr>
          <w:rFonts w:hint="cs"/>
          <w:sz w:val="27"/>
          <w:rtl/>
        </w:rPr>
        <w:t xml:space="preserve">وقال السيد الشهيد محمد باقر الصدر: </w:t>
      </w:r>
      <w:r w:rsidRPr="006571AC">
        <w:rPr>
          <w:rFonts w:hint="eastAsia"/>
          <w:sz w:val="24"/>
          <w:szCs w:val="24"/>
          <w:rtl/>
        </w:rPr>
        <w:t>«</w:t>
      </w:r>
      <w:r w:rsidRPr="006571AC">
        <w:rPr>
          <w:sz w:val="27"/>
          <w:rtl/>
        </w:rPr>
        <w:t>ونريد ب</w:t>
      </w:r>
      <w:r w:rsidRPr="006571AC">
        <w:rPr>
          <w:rFonts w:hint="cs"/>
          <w:sz w:val="27"/>
          <w:rtl/>
        </w:rPr>
        <w:t xml:space="preserve">ـ </w:t>
      </w:r>
      <w:r w:rsidRPr="006571AC">
        <w:rPr>
          <w:rFonts w:hint="eastAsia"/>
          <w:sz w:val="24"/>
          <w:szCs w:val="24"/>
          <w:rtl/>
        </w:rPr>
        <w:t>«</w:t>
      </w:r>
      <w:r w:rsidRPr="006571AC">
        <w:rPr>
          <w:sz w:val="27"/>
          <w:rtl/>
        </w:rPr>
        <w:t>السياق</w:t>
      </w:r>
      <w:r w:rsidRPr="006571AC">
        <w:rPr>
          <w:rFonts w:hint="eastAsia"/>
          <w:sz w:val="24"/>
          <w:szCs w:val="24"/>
          <w:rtl/>
        </w:rPr>
        <w:t>»</w:t>
      </w:r>
      <w:r w:rsidRPr="006571AC">
        <w:rPr>
          <w:sz w:val="27"/>
          <w:rtl/>
        </w:rPr>
        <w:t xml:space="preserve"> كل</w:t>
      </w:r>
      <w:r w:rsidR="00F25027" w:rsidRPr="006571AC">
        <w:rPr>
          <w:rFonts w:hint="cs"/>
          <w:sz w:val="27"/>
          <w:rtl/>
        </w:rPr>
        <w:t>ّ</w:t>
      </w:r>
      <w:r w:rsidRPr="006571AC">
        <w:rPr>
          <w:sz w:val="27"/>
          <w:rtl/>
        </w:rPr>
        <w:t xml:space="preserve"> ما يكشف </w:t>
      </w:r>
      <w:r w:rsidRPr="006571AC">
        <w:rPr>
          <w:sz w:val="27"/>
          <w:rtl/>
        </w:rPr>
        <w:lastRenderedPageBreak/>
        <w:t>اللف</w:t>
      </w:r>
      <w:r w:rsidR="00F25027" w:rsidRPr="006571AC">
        <w:rPr>
          <w:rFonts w:hint="cs"/>
          <w:sz w:val="27"/>
          <w:rtl/>
        </w:rPr>
        <w:t>ظ</w:t>
      </w:r>
      <w:r w:rsidRPr="006571AC">
        <w:rPr>
          <w:sz w:val="27"/>
          <w:rtl/>
        </w:rPr>
        <w:t xml:space="preserve"> الذي نريد فهمه من دوال</w:t>
      </w:r>
      <w:r w:rsidR="00F25027" w:rsidRPr="006571AC">
        <w:rPr>
          <w:rFonts w:hint="cs"/>
          <w:sz w:val="27"/>
          <w:rtl/>
        </w:rPr>
        <w:t>ّ</w:t>
      </w:r>
      <w:r w:rsidRPr="006571AC">
        <w:rPr>
          <w:sz w:val="27"/>
          <w:rtl/>
        </w:rPr>
        <w:t xml:space="preserve"> أخرى، سواء كانت لفظية</w:t>
      </w:r>
      <w:r w:rsidR="003F56D3" w:rsidRPr="006571AC">
        <w:rPr>
          <w:rFonts w:hint="cs"/>
          <w:sz w:val="27"/>
          <w:rtl/>
        </w:rPr>
        <w:t>ً</w:t>
      </w:r>
      <w:r w:rsidR="00F25027" w:rsidRPr="006571AC">
        <w:rPr>
          <w:rFonts w:hint="cs"/>
          <w:sz w:val="27"/>
          <w:rtl/>
        </w:rPr>
        <w:t>،</w:t>
      </w:r>
      <w:r w:rsidRPr="006571AC">
        <w:rPr>
          <w:sz w:val="27"/>
          <w:rtl/>
        </w:rPr>
        <w:t xml:space="preserve"> كالكلمات التي تشك</w:t>
      </w:r>
      <w:r w:rsidR="00F25027" w:rsidRPr="006571AC">
        <w:rPr>
          <w:rFonts w:hint="cs"/>
          <w:sz w:val="27"/>
          <w:rtl/>
        </w:rPr>
        <w:t>ِّ</w:t>
      </w:r>
      <w:r w:rsidRPr="006571AC">
        <w:rPr>
          <w:sz w:val="27"/>
          <w:rtl/>
        </w:rPr>
        <w:t>ل مع اللفظ الذي نريد فهمه كلاما</w:t>
      </w:r>
      <w:r w:rsidRPr="006571AC">
        <w:rPr>
          <w:rFonts w:hint="cs"/>
          <w:sz w:val="27"/>
          <w:rtl/>
        </w:rPr>
        <w:t>ً</w:t>
      </w:r>
      <w:r w:rsidRPr="006571AC">
        <w:rPr>
          <w:sz w:val="27"/>
          <w:rtl/>
        </w:rPr>
        <w:t xml:space="preserve"> و</w:t>
      </w:r>
      <w:r w:rsidRPr="006571AC">
        <w:rPr>
          <w:rFonts w:hint="cs"/>
          <w:sz w:val="27"/>
          <w:rtl/>
        </w:rPr>
        <w:t>ا</w:t>
      </w:r>
      <w:r w:rsidRPr="006571AC">
        <w:rPr>
          <w:sz w:val="27"/>
          <w:rtl/>
        </w:rPr>
        <w:t>حدا</w:t>
      </w:r>
      <w:r w:rsidRPr="006571AC">
        <w:rPr>
          <w:rFonts w:hint="cs"/>
          <w:sz w:val="27"/>
          <w:rtl/>
        </w:rPr>
        <w:t>ً</w:t>
      </w:r>
      <w:r w:rsidRPr="006571AC">
        <w:rPr>
          <w:sz w:val="27"/>
          <w:rtl/>
        </w:rPr>
        <w:t xml:space="preserve"> مترابطا</w:t>
      </w:r>
      <w:r w:rsidRPr="006571AC">
        <w:rPr>
          <w:rFonts w:hint="cs"/>
          <w:sz w:val="27"/>
          <w:rtl/>
        </w:rPr>
        <w:t>ً</w:t>
      </w:r>
      <w:r w:rsidRPr="006571AC">
        <w:rPr>
          <w:sz w:val="27"/>
          <w:rtl/>
        </w:rPr>
        <w:t>، أو حالية</w:t>
      </w:r>
      <w:r w:rsidR="003F56D3" w:rsidRPr="006571AC">
        <w:rPr>
          <w:rFonts w:hint="cs"/>
          <w:sz w:val="27"/>
          <w:rtl/>
        </w:rPr>
        <w:t>ً،</w:t>
      </w:r>
      <w:r w:rsidRPr="006571AC">
        <w:rPr>
          <w:sz w:val="27"/>
          <w:rtl/>
        </w:rPr>
        <w:t xml:space="preserve"> كالظروف والملابسات التي تحيط بالكلام وتكون ذات دلالة</w:t>
      </w:r>
      <w:r w:rsidR="003F56D3" w:rsidRPr="006571AC">
        <w:rPr>
          <w:rFonts w:hint="cs"/>
          <w:sz w:val="27"/>
          <w:rtl/>
        </w:rPr>
        <w:t>ٍ</w:t>
      </w:r>
      <w:r w:rsidRPr="006571AC">
        <w:rPr>
          <w:sz w:val="27"/>
          <w:rtl/>
        </w:rPr>
        <w:t xml:space="preserve"> في الموضوع</w:t>
      </w:r>
      <w:r w:rsidRPr="006571AC">
        <w:rPr>
          <w:rFonts w:hint="eastAsia"/>
          <w:sz w:val="24"/>
          <w:szCs w:val="24"/>
          <w:rtl/>
        </w:rPr>
        <w:t>»</w:t>
      </w:r>
      <w:r w:rsidRPr="006571AC">
        <w:rPr>
          <w:sz w:val="27"/>
          <w:vertAlign w:val="superscript"/>
          <w:rtl/>
        </w:rPr>
        <w:t>(</w:t>
      </w:r>
      <w:r w:rsidRPr="006571AC">
        <w:rPr>
          <w:rStyle w:val="ac"/>
          <w:sz w:val="27"/>
          <w:rtl/>
        </w:rPr>
        <w:endnoteReference w:id="171"/>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والشاهد الآخر تطبيق السياق على القرائن اللفظية، من قبيل</w:t>
      </w:r>
      <w:r w:rsidR="003F56D3" w:rsidRPr="006571AC">
        <w:rPr>
          <w:rFonts w:hint="cs"/>
          <w:sz w:val="27"/>
          <w:rtl/>
        </w:rPr>
        <w:t>:</w:t>
      </w:r>
      <w:r w:rsidRPr="006571AC">
        <w:rPr>
          <w:rFonts w:hint="cs"/>
          <w:sz w:val="27"/>
          <w:rtl/>
        </w:rPr>
        <w:t xml:space="preserve"> سؤال السيد أبو القاسم الخوئي</w:t>
      </w:r>
      <w:r w:rsidR="002A2C90" w:rsidRPr="006571AC">
        <w:rPr>
          <w:rFonts w:ascii="Mosawi" w:hAnsi="Mosawi" w:cs="Mosawi"/>
          <w:sz w:val="22"/>
          <w:szCs w:val="22"/>
          <w:rtl/>
        </w:rPr>
        <w:t>&amp;</w:t>
      </w:r>
      <w:r w:rsidRPr="006571AC">
        <w:rPr>
          <w:rFonts w:hint="cs"/>
          <w:sz w:val="27"/>
          <w:rtl/>
        </w:rPr>
        <w:t>. حيث قال ضمن بيان رواية زيد الشح</w:t>
      </w:r>
      <w:r w:rsidR="003F56D3" w:rsidRPr="006571AC">
        <w:rPr>
          <w:rFonts w:hint="cs"/>
          <w:sz w:val="27"/>
          <w:rtl/>
        </w:rPr>
        <w:t>ّ</w:t>
      </w:r>
      <w:r w:rsidRPr="006571AC">
        <w:rPr>
          <w:rFonts w:hint="cs"/>
          <w:sz w:val="27"/>
          <w:rtl/>
        </w:rPr>
        <w:t>ام</w:t>
      </w:r>
      <w:r w:rsidR="003F56D3"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سألنا أبا عبد الله</w:t>
      </w:r>
      <w:r w:rsidR="002A2C90" w:rsidRPr="006571AC">
        <w:rPr>
          <w:rFonts w:ascii="Mosawi" w:hAnsi="Mosawi" w:cs="Mosawi"/>
          <w:sz w:val="22"/>
          <w:szCs w:val="22"/>
          <w:rtl/>
        </w:rPr>
        <w:t>×</w:t>
      </w:r>
      <w:r w:rsidRPr="006571AC">
        <w:rPr>
          <w:rFonts w:hint="cs"/>
          <w:sz w:val="27"/>
          <w:rtl/>
        </w:rPr>
        <w:t xml:space="preserve"> عن الشجّة المأمومة؟ فقال: فيها ثلث الدية، وفي الجائفة ثلث الدية، وفي الموضحة خمس من الإبل</w:t>
      </w:r>
      <w:r w:rsidRPr="006571AC">
        <w:rPr>
          <w:rFonts w:hint="eastAsia"/>
          <w:sz w:val="24"/>
          <w:szCs w:val="24"/>
          <w:rtl/>
        </w:rPr>
        <w:t>»</w:t>
      </w:r>
      <w:r w:rsidRPr="006571AC">
        <w:rPr>
          <w:sz w:val="27"/>
          <w:vertAlign w:val="superscript"/>
          <w:rtl/>
        </w:rPr>
        <w:t>(</w:t>
      </w:r>
      <w:r w:rsidRPr="006571AC">
        <w:rPr>
          <w:rStyle w:val="ac"/>
          <w:sz w:val="27"/>
          <w:rtl/>
        </w:rPr>
        <w:endnoteReference w:id="172"/>
      </w:r>
      <w:r w:rsidRPr="006571AC">
        <w:rPr>
          <w:sz w:val="27"/>
          <w:vertAlign w:val="superscript"/>
          <w:rtl/>
        </w:rPr>
        <w:t>)</w:t>
      </w:r>
      <w:r w:rsidRPr="006571AC">
        <w:rPr>
          <w:sz w:val="27"/>
          <w:rtl/>
        </w:rPr>
        <w:t xml:space="preserve">: </w:t>
      </w:r>
      <w:r w:rsidRPr="006571AC">
        <w:rPr>
          <w:rFonts w:hint="eastAsia"/>
          <w:sz w:val="24"/>
          <w:szCs w:val="24"/>
          <w:rtl/>
        </w:rPr>
        <w:t>«</w:t>
      </w:r>
      <w:r w:rsidRPr="006571AC">
        <w:rPr>
          <w:rFonts w:hint="cs"/>
          <w:sz w:val="27"/>
          <w:rtl/>
        </w:rPr>
        <w:t>إن المراد من الجائفة فيها: الشج</w:t>
      </w:r>
      <w:r w:rsidR="003F56D3" w:rsidRPr="006571AC">
        <w:rPr>
          <w:rFonts w:hint="cs"/>
          <w:sz w:val="27"/>
          <w:rtl/>
        </w:rPr>
        <w:t>ّ</w:t>
      </w:r>
      <w:r w:rsidRPr="006571AC">
        <w:rPr>
          <w:rFonts w:hint="cs"/>
          <w:sz w:val="27"/>
          <w:rtl/>
        </w:rPr>
        <w:t>ة الجائفة</w:t>
      </w:r>
      <w:r w:rsidR="003F56D3" w:rsidRPr="006571AC">
        <w:rPr>
          <w:rFonts w:hint="cs"/>
          <w:sz w:val="27"/>
          <w:rtl/>
        </w:rPr>
        <w:t>؛</w:t>
      </w:r>
      <w:r w:rsidRPr="006571AC">
        <w:rPr>
          <w:rFonts w:hint="cs"/>
          <w:sz w:val="27"/>
          <w:rtl/>
        </w:rPr>
        <w:t xml:space="preserve"> بقرينة السياق</w:t>
      </w:r>
      <w:r w:rsidRPr="006571AC">
        <w:rPr>
          <w:rFonts w:hint="eastAsia"/>
          <w:sz w:val="24"/>
          <w:szCs w:val="24"/>
          <w:rtl/>
        </w:rPr>
        <w:t>»</w:t>
      </w:r>
      <w:r w:rsidRPr="006571AC">
        <w:rPr>
          <w:sz w:val="27"/>
          <w:vertAlign w:val="superscript"/>
          <w:rtl/>
        </w:rPr>
        <w:t>(</w:t>
      </w:r>
      <w:r w:rsidRPr="006571AC">
        <w:rPr>
          <w:rStyle w:val="ac"/>
          <w:sz w:val="27"/>
          <w:rtl/>
        </w:rPr>
        <w:endnoteReference w:id="173"/>
      </w:r>
      <w:r w:rsidRPr="006571AC">
        <w:rPr>
          <w:sz w:val="27"/>
          <w:vertAlign w:val="superscript"/>
          <w:rtl/>
        </w:rPr>
        <w:t>)</w:t>
      </w:r>
      <w:r w:rsidRPr="006571AC">
        <w:rPr>
          <w:sz w:val="27"/>
          <w:rtl/>
        </w:rPr>
        <w:t>.</w:t>
      </w:r>
      <w:r w:rsidRPr="006571AC">
        <w:rPr>
          <w:rFonts w:hint="cs"/>
          <w:sz w:val="27"/>
          <w:rtl/>
        </w:rPr>
        <w:t xml:space="preserve"> </w:t>
      </w:r>
    </w:p>
    <w:p w:rsidR="00453F43" w:rsidRPr="006571AC" w:rsidRDefault="00453F43" w:rsidP="00453F43">
      <w:pPr>
        <w:spacing w:line="420" w:lineRule="exact"/>
        <w:rPr>
          <w:sz w:val="27"/>
          <w:rtl/>
        </w:rPr>
      </w:pPr>
    </w:p>
    <w:p w:rsidR="00A75C8B" w:rsidRPr="006571AC" w:rsidRDefault="007E1680" w:rsidP="009C29A7">
      <w:pPr>
        <w:pStyle w:val="31"/>
        <w:rPr>
          <w:color w:val="auto"/>
          <w:rtl/>
        </w:rPr>
      </w:pPr>
      <w:bookmarkStart w:id="86" w:name="_Toc114164575"/>
      <w:r w:rsidRPr="006571AC">
        <w:rPr>
          <w:rFonts w:hint="cs"/>
          <w:color w:val="auto"/>
          <w:rtl/>
        </w:rPr>
        <w:t xml:space="preserve">ب ـ </w:t>
      </w:r>
      <w:r w:rsidR="00A75C8B" w:rsidRPr="006571AC">
        <w:rPr>
          <w:rFonts w:hint="cs"/>
          <w:color w:val="auto"/>
          <w:rtl/>
        </w:rPr>
        <w:t>المصطلح بالمعنى الأخص</w:t>
      </w:r>
      <w:r w:rsidR="003F56D3" w:rsidRPr="006571AC">
        <w:rPr>
          <w:rFonts w:hint="cs"/>
          <w:color w:val="auto"/>
          <w:rtl/>
        </w:rPr>
        <w:t>ّ</w:t>
      </w:r>
      <w:bookmarkEnd w:id="86"/>
    </w:p>
    <w:p w:rsidR="00007D74" w:rsidRPr="006571AC" w:rsidRDefault="00A75C8B" w:rsidP="00C95139">
      <w:pPr>
        <w:rPr>
          <w:sz w:val="27"/>
          <w:rtl/>
        </w:rPr>
      </w:pPr>
      <w:r w:rsidRPr="006571AC">
        <w:rPr>
          <w:rFonts w:hint="cs"/>
          <w:sz w:val="27"/>
          <w:rtl/>
        </w:rPr>
        <w:t>تنقسم القرائن المت</w:t>
      </w:r>
      <w:r w:rsidR="003F56D3" w:rsidRPr="006571AC">
        <w:rPr>
          <w:rFonts w:hint="cs"/>
          <w:sz w:val="27"/>
          <w:rtl/>
        </w:rPr>
        <w:t>ّ</w:t>
      </w:r>
      <w:r w:rsidRPr="006571AC">
        <w:rPr>
          <w:rFonts w:hint="cs"/>
          <w:sz w:val="27"/>
          <w:rtl/>
        </w:rPr>
        <w:t>صلة إلى ثلاثة أ</w:t>
      </w:r>
      <w:r w:rsidR="00007D74" w:rsidRPr="006571AC">
        <w:rPr>
          <w:rFonts w:hint="cs"/>
          <w:sz w:val="27"/>
          <w:rtl/>
        </w:rPr>
        <w:t>قسام:</w:t>
      </w:r>
    </w:p>
    <w:p w:rsidR="00007D74" w:rsidRPr="006571AC" w:rsidRDefault="00A75C8B" w:rsidP="00C95139">
      <w:pPr>
        <w:rPr>
          <w:sz w:val="27"/>
          <w:rtl/>
        </w:rPr>
      </w:pPr>
      <w:r w:rsidRPr="006571AC">
        <w:rPr>
          <w:rFonts w:hint="cs"/>
          <w:sz w:val="27"/>
          <w:rtl/>
        </w:rPr>
        <w:t>فتارة</w:t>
      </w:r>
      <w:r w:rsidR="003F56D3" w:rsidRPr="006571AC">
        <w:rPr>
          <w:rFonts w:hint="cs"/>
          <w:sz w:val="27"/>
          <w:rtl/>
        </w:rPr>
        <w:t>ً</w:t>
      </w:r>
      <w:r w:rsidRPr="006571AC">
        <w:rPr>
          <w:rFonts w:hint="cs"/>
          <w:sz w:val="27"/>
          <w:rtl/>
        </w:rPr>
        <w:t xml:space="preserve"> تكون القرائن موجودة</w:t>
      </w:r>
      <w:r w:rsidR="005A3C1E" w:rsidRPr="006571AC">
        <w:rPr>
          <w:rFonts w:hint="cs"/>
          <w:sz w:val="27"/>
          <w:rtl/>
        </w:rPr>
        <w:t>ً</w:t>
      </w:r>
      <w:r w:rsidRPr="006571AC">
        <w:rPr>
          <w:rFonts w:hint="cs"/>
          <w:sz w:val="27"/>
          <w:rtl/>
        </w:rPr>
        <w:t xml:space="preserve"> في الكلام، وهذه ب</w:t>
      </w:r>
      <w:r w:rsidR="00EA38F1" w:rsidRPr="006571AC">
        <w:rPr>
          <w:rFonts w:hint="cs"/>
          <w:sz w:val="27"/>
          <w:rtl/>
        </w:rPr>
        <w:t>دَوْر</w:t>
      </w:r>
      <w:r w:rsidRPr="006571AC">
        <w:rPr>
          <w:rFonts w:hint="cs"/>
          <w:sz w:val="27"/>
          <w:rtl/>
        </w:rPr>
        <w:t>ها تنقسم إلى</w:t>
      </w:r>
      <w:r w:rsidR="003F56D3" w:rsidRPr="006571AC">
        <w:rPr>
          <w:rFonts w:hint="cs"/>
          <w:sz w:val="27"/>
          <w:rtl/>
        </w:rPr>
        <w:t>:</w:t>
      </w:r>
      <w:r w:rsidRPr="006571AC">
        <w:rPr>
          <w:rFonts w:hint="cs"/>
          <w:sz w:val="27"/>
          <w:rtl/>
        </w:rPr>
        <w:t xml:space="preserve"> لفظية</w:t>
      </w:r>
      <w:r w:rsidR="003F56D3" w:rsidRPr="006571AC">
        <w:rPr>
          <w:rFonts w:hint="cs"/>
          <w:sz w:val="27"/>
          <w:rtl/>
        </w:rPr>
        <w:t>؛</w:t>
      </w:r>
      <w:r w:rsidR="00007D74" w:rsidRPr="006571AC">
        <w:rPr>
          <w:rFonts w:hint="cs"/>
          <w:sz w:val="27"/>
          <w:rtl/>
        </w:rPr>
        <w:t xml:space="preserve"> وغير لفظية.</w:t>
      </w:r>
    </w:p>
    <w:p w:rsidR="00007D74" w:rsidRPr="006571AC" w:rsidRDefault="00A75C8B" w:rsidP="00C95139">
      <w:pPr>
        <w:rPr>
          <w:sz w:val="27"/>
          <w:rtl/>
        </w:rPr>
      </w:pPr>
      <w:r w:rsidRPr="006571AC">
        <w:rPr>
          <w:rFonts w:hint="cs"/>
          <w:sz w:val="27"/>
          <w:rtl/>
        </w:rPr>
        <w:t>وتارة</w:t>
      </w:r>
      <w:r w:rsidR="003F56D3" w:rsidRPr="006571AC">
        <w:rPr>
          <w:rFonts w:hint="cs"/>
          <w:sz w:val="27"/>
          <w:rtl/>
        </w:rPr>
        <w:t>ً</w:t>
      </w:r>
      <w:r w:rsidRPr="006571AC">
        <w:rPr>
          <w:rFonts w:hint="cs"/>
          <w:sz w:val="27"/>
          <w:rtl/>
        </w:rPr>
        <w:t xml:space="preserve"> أخرى تكون من خارج الكلام، وهي التي يتمّ التعبير عنها بالقرائن الحالية، وهي </w:t>
      </w:r>
      <w:r w:rsidR="00007D74" w:rsidRPr="006571AC">
        <w:rPr>
          <w:rFonts w:hint="cs"/>
          <w:sz w:val="27"/>
          <w:rtl/>
        </w:rPr>
        <w:t xml:space="preserve">ـ </w:t>
      </w:r>
      <w:r w:rsidRPr="006571AC">
        <w:rPr>
          <w:rFonts w:hint="cs"/>
          <w:sz w:val="27"/>
          <w:rtl/>
        </w:rPr>
        <w:t>على سبيل المثال</w:t>
      </w:r>
      <w:r w:rsidR="00007D74" w:rsidRPr="006571AC">
        <w:rPr>
          <w:rFonts w:hint="cs"/>
          <w:sz w:val="27"/>
          <w:rtl/>
        </w:rPr>
        <w:t xml:space="preserve"> ـ</w:t>
      </w:r>
      <w:r w:rsidRPr="006571AC">
        <w:rPr>
          <w:rFonts w:hint="cs"/>
          <w:sz w:val="27"/>
          <w:rtl/>
        </w:rPr>
        <w:t xml:space="preserve"> قرائن من قبيل: التعليل، والتشبيه، والسؤال</w:t>
      </w:r>
      <w:r w:rsidR="00007D74" w:rsidRPr="006571AC">
        <w:rPr>
          <w:rFonts w:hint="cs"/>
          <w:sz w:val="27"/>
          <w:rtl/>
        </w:rPr>
        <w:t>،</w:t>
      </w:r>
      <w:r w:rsidRPr="006571AC">
        <w:rPr>
          <w:rFonts w:hint="cs"/>
          <w:sz w:val="27"/>
          <w:rtl/>
        </w:rPr>
        <w:t xml:space="preserve"> وما إلى ذلك من القرائن اللفظية، وقرائن من قبيل: الفضاء التاريخي لصدور الكلام، وتاريخ المسألة، وخصائص المتكل</w:t>
      </w:r>
      <w:r w:rsidR="00007D74" w:rsidRPr="006571AC">
        <w:rPr>
          <w:rFonts w:hint="cs"/>
          <w:sz w:val="27"/>
          <w:rtl/>
        </w:rPr>
        <w:t>ِّ</w:t>
      </w:r>
      <w:r w:rsidRPr="006571AC">
        <w:rPr>
          <w:rFonts w:hint="cs"/>
          <w:sz w:val="27"/>
          <w:rtl/>
        </w:rPr>
        <w:t>م</w:t>
      </w:r>
      <w:r w:rsidR="00007D74" w:rsidRPr="006571AC">
        <w:rPr>
          <w:rFonts w:hint="cs"/>
          <w:sz w:val="27"/>
          <w:rtl/>
        </w:rPr>
        <w:t>،</w:t>
      </w:r>
      <w:r w:rsidRPr="006571AC">
        <w:rPr>
          <w:rFonts w:hint="cs"/>
          <w:sz w:val="27"/>
          <w:rtl/>
        </w:rPr>
        <w:t xml:space="preserve"> وما إلى ذلك من </w:t>
      </w:r>
      <w:r w:rsidR="00007D74" w:rsidRPr="006571AC">
        <w:rPr>
          <w:rFonts w:hint="cs"/>
          <w:sz w:val="27"/>
          <w:rtl/>
        </w:rPr>
        <w:t>القرائن الحالية.</w:t>
      </w:r>
    </w:p>
    <w:p w:rsidR="00007D74" w:rsidRPr="006571AC" w:rsidRDefault="00A75C8B" w:rsidP="00C95139">
      <w:pPr>
        <w:rPr>
          <w:sz w:val="27"/>
          <w:rtl/>
        </w:rPr>
      </w:pPr>
      <w:r w:rsidRPr="006571AC">
        <w:rPr>
          <w:rFonts w:hint="cs"/>
          <w:sz w:val="27"/>
          <w:rtl/>
        </w:rPr>
        <w:t>وفي المقابل هناك قرائن موجودة داخل الكلام</w:t>
      </w:r>
      <w:r w:rsidR="00007D74" w:rsidRPr="006571AC">
        <w:rPr>
          <w:rFonts w:hint="cs"/>
          <w:sz w:val="27"/>
          <w:rtl/>
        </w:rPr>
        <w:t>،</w:t>
      </w:r>
      <w:r w:rsidRPr="006571AC">
        <w:rPr>
          <w:rFonts w:hint="cs"/>
          <w:sz w:val="27"/>
          <w:rtl/>
        </w:rPr>
        <w:t xml:space="preserve"> ولكن</w:t>
      </w:r>
      <w:r w:rsidR="00007D74" w:rsidRPr="006571AC">
        <w:rPr>
          <w:rFonts w:hint="cs"/>
          <w:sz w:val="27"/>
          <w:rtl/>
        </w:rPr>
        <w:t>ْ</w:t>
      </w:r>
      <w:r w:rsidRPr="006571AC">
        <w:rPr>
          <w:rFonts w:hint="cs"/>
          <w:sz w:val="27"/>
          <w:rtl/>
        </w:rPr>
        <w:t xml:space="preserve"> لا يوجد لفظ</w:t>
      </w:r>
      <w:r w:rsidR="00007D74" w:rsidRPr="006571AC">
        <w:rPr>
          <w:rFonts w:hint="cs"/>
          <w:sz w:val="27"/>
          <w:rtl/>
        </w:rPr>
        <w:t>ٌ</w:t>
      </w:r>
      <w:r w:rsidRPr="006571AC">
        <w:rPr>
          <w:rFonts w:hint="cs"/>
          <w:sz w:val="27"/>
          <w:rtl/>
        </w:rPr>
        <w:t xml:space="preserve"> بإزائها. من قبيل</w:t>
      </w:r>
      <w:r w:rsidR="00007D74" w:rsidRPr="006571AC">
        <w:rPr>
          <w:rFonts w:hint="cs"/>
          <w:sz w:val="27"/>
          <w:rtl/>
        </w:rPr>
        <w:t>:</w:t>
      </w:r>
      <w:r w:rsidRPr="006571AC">
        <w:rPr>
          <w:rFonts w:hint="cs"/>
          <w:sz w:val="27"/>
          <w:rtl/>
        </w:rPr>
        <w:t xml:space="preserve"> بيان مسألة</w:t>
      </w:r>
      <w:r w:rsidR="00007D74" w:rsidRPr="006571AC">
        <w:rPr>
          <w:rFonts w:hint="cs"/>
          <w:sz w:val="27"/>
          <w:rtl/>
        </w:rPr>
        <w:t>ٍ</w:t>
      </w:r>
      <w:r w:rsidRPr="006571AC">
        <w:rPr>
          <w:rFonts w:hint="cs"/>
          <w:sz w:val="27"/>
          <w:rtl/>
        </w:rPr>
        <w:t xml:space="preserve"> إلى جانب مسألة</w:t>
      </w:r>
      <w:r w:rsidR="00007D74" w:rsidRPr="006571AC">
        <w:rPr>
          <w:rFonts w:hint="cs"/>
          <w:sz w:val="27"/>
          <w:rtl/>
        </w:rPr>
        <w:t>ٍ</w:t>
      </w:r>
      <w:r w:rsidRPr="006571AC">
        <w:rPr>
          <w:rFonts w:hint="cs"/>
          <w:sz w:val="27"/>
          <w:rtl/>
        </w:rPr>
        <w:t xml:space="preserve"> أخرى</w:t>
      </w:r>
      <w:r w:rsidR="00007D74" w:rsidRPr="006571AC">
        <w:rPr>
          <w:rFonts w:hint="cs"/>
          <w:sz w:val="27"/>
          <w:rtl/>
        </w:rPr>
        <w:t>،</w:t>
      </w:r>
      <w:r w:rsidRPr="006571AC">
        <w:rPr>
          <w:rFonts w:hint="cs"/>
          <w:sz w:val="27"/>
          <w:rtl/>
        </w:rPr>
        <w:t xml:space="preserve"> أو تكرار مطلب أو أحكام مطلب</w:t>
      </w:r>
      <w:r w:rsidR="00007D74" w:rsidRPr="006571AC">
        <w:rPr>
          <w:rFonts w:hint="cs"/>
          <w:sz w:val="27"/>
          <w:rtl/>
        </w:rPr>
        <w:t>،</w:t>
      </w:r>
      <w:r w:rsidRPr="006571AC">
        <w:rPr>
          <w:rFonts w:hint="cs"/>
          <w:sz w:val="27"/>
          <w:rtl/>
        </w:rPr>
        <w:t xml:space="preserve"> أو ما إلى ذل</w:t>
      </w:r>
      <w:r w:rsidR="00007D74" w:rsidRPr="006571AC">
        <w:rPr>
          <w:rFonts w:hint="cs"/>
          <w:sz w:val="27"/>
          <w:rtl/>
        </w:rPr>
        <w:t>ك.</w:t>
      </w:r>
    </w:p>
    <w:p w:rsidR="00A75C8B" w:rsidRPr="006571AC" w:rsidRDefault="00A75C8B" w:rsidP="00C95139">
      <w:pPr>
        <w:rPr>
          <w:sz w:val="27"/>
          <w:rtl/>
        </w:rPr>
      </w:pPr>
      <w:r w:rsidRPr="006571AC">
        <w:rPr>
          <w:rFonts w:hint="cs"/>
          <w:sz w:val="27"/>
          <w:rtl/>
        </w:rPr>
        <w:t>والاستعمالات تعبّ</w:t>
      </w:r>
      <w:r w:rsidR="00007D74" w:rsidRPr="006571AC">
        <w:rPr>
          <w:rFonts w:hint="cs"/>
          <w:sz w:val="27"/>
          <w:rtl/>
        </w:rPr>
        <w:t>ِ</w:t>
      </w:r>
      <w:r w:rsidRPr="006571AC">
        <w:rPr>
          <w:rFonts w:hint="cs"/>
          <w:sz w:val="27"/>
          <w:rtl/>
        </w:rPr>
        <w:t>ر عن وجود مصطلحات أخرى للسياق لا تطلق إلا</w:t>
      </w:r>
      <w:r w:rsidR="00007D74" w:rsidRPr="006571AC">
        <w:rPr>
          <w:rFonts w:hint="cs"/>
          <w:sz w:val="27"/>
          <w:rtl/>
        </w:rPr>
        <w:t>ّ</w:t>
      </w:r>
      <w:r w:rsidRPr="006571AC">
        <w:rPr>
          <w:rFonts w:hint="cs"/>
          <w:sz w:val="27"/>
          <w:rtl/>
        </w:rPr>
        <w:t xml:space="preserve"> على القرائن المتصلة وغير اللفظية داخل الكلام. وبعبارة</w:t>
      </w:r>
      <w:r w:rsidR="00007D74" w:rsidRPr="006571AC">
        <w:rPr>
          <w:rFonts w:hint="cs"/>
          <w:sz w:val="27"/>
          <w:rtl/>
        </w:rPr>
        <w:t>ٍ</w:t>
      </w:r>
      <w:r w:rsidRPr="006571AC">
        <w:rPr>
          <w:rFonts w:hint="cs"/>
          <w:sz w:val="27"/>
          <w:rtl/>
        </w:rPr>
        <w:t xml:space="preserve"> أخرى: إن السياق في هذا المصطلح قرينة</w:t>
      </w:r>
      <w:r w:rsidR="00007D74" w:rsidRPr="006571AC">
        <w:rPr>
          <w:rFonts w:hint="cs"/>
          <w:sz w:val="27"/>
          <w:rtl/>
        </w:rPr>
        <w:t>ٌ</w:t>
      </w:r>
      <w:r w:rsidRPr="006571AC">
        <w:rPr>
          <w:rFonts w:hint="cs"/>
          <w:sz w:val="27"/>
          <w:rtl/>
        </w:rPr>
        <w:t xml:space="preserve"> نحصل عليها من كيفية اختيار المتكل</w:t>
      </w:r>
      <w:r w:rsidR="00007D74" w:rsidRPr="006571AC">
        <w:rPr>
          <w:rFonts w:hint="cs"/>
          <w:sz w:val="27"/>
          <w:rtl/>
        </w:rPr>
        <w:t>ِّ</w:t>
      </w:r>
      <w:r w:rsidRPr="006571AC">
        <w:rPr>
          <w:rFonts w:hint="cs"/>
          <w:sz w:val="27"/>
          <w:rtl/>
        </w:rPr>
        <w:t xml:space="preserve">م بالنسبة إلى تبويب الكلام، وكذلك اختياره لألفاظ ومفردات الكلام. </w:t>
      </w:r>
    </w:p>
    <w:p w:rsidR="00A75C8B" w:rsidRPr="006571AC" w:rsidRDefault="00A75C8B" w:rsidP="00C95139">
      <w:pPr>
        <w:rPr>
          <w:sz w:val="27"/>
          <w:rtl/>
        </w:rPr>
      </w:pPr>
      <w:r w:rsidRPr="006571AC">
        <w:rPr>
          <w:rFonts w:hint="cs"/>
          <w:sz w:val="27"/>
          <w:rtl/>
        </w:rPr>
        <w:t>والشاهد الموجود على المصطلحية الثنائية للسياق هو التقابل بين القرائن اللفظية والسياق في عبارات العلماء. وإن السيد الشهيد الصدر ـ الذي يصرّ</w:t>
      </w:r>
      <w:r w:rsidR="00007D74" w:rsidRPr="006571AC">
        <w:rPr>
          <w:rFonts w:hint="cs"/>
          <w:sz w:val="27"/>
          <w:rtl/>
        </w:rPr>
        <w:t>ِ</w:t>
      </w:r>
      <w:r w:rsidRPr="006571AC">
        <w:rPr>
          <w:rFonts w:hint="cs"/>
          <w:sz w:val="27"/>
          <w:rtl/>
        </w:rPr>
        <w:t>ح بأن السياق أعم</w:t>
      </w:r>
      <w:r w:rsidR="00007D74" w:rsidRPr="006571AC">
        <w:rPr>
          <w:rFonts w:hint="cs"/>
          <w:sz w:val="27"/>
          <w:rtl/>
        </w:rPr>
        <w:t>ّ</w:t>
      </w:r>
      <w:r w:rsidRPr="006571AC">
        <w:rPr>
          <w:rFonts w:hint="cs"/>
          <w:sz w:val="27"/>
          <w:rtl/>
        </w:rPr>
        <w:t xml:space="preserve"> من القرائن اللفظية والحالية ـ قال في تحليل القرائن التي تثبت أن حديث الرفع </w:t>
      </w:r>
      <w:r w:rsidRPr="006571AC">
        <w:rPr>
          <w:rFonts w:hint="cs"/>
          <w:sz w:val="27"/>
          <w:rtl/>
        </w:rPr>
        <w:lastRenderedPageBreak/>
        <w:t xml:space="preserve">للامتنان [ما معناه]: </w:t>
      </w:r>
      <w:r w:rsidRPr="006571AC">
        <w:rPr>
          <w:rFonts w:hint="eastAsia"/>
          <w:sz w:val="24"/>
          <w:szCs w:val="24"/>
          <w:rtl/>
        </w:rPr>
        <w:t>«</w:t>
      </w:r>
      <w:r w:rsidRPr="006571AC">
        <w:rPr>
          <w:rFonts w:hint="cs"/>
          <w:sz w:val="27"/>
          <w:rtl/>
        </w:rPr>
        <w:t xml:space="preserve">أما القرينة اللفظية على الامتنان فهي كلمة </w:t>
      </w:r>
      <w:r w:rsidRPr="006571AC">
        <w:rPr>
          <w:rFonts w:hint="eastAsia"/>
          <w:sz w:val="24"/>
          <w:szCs w:val="24"/>
          <w:rtl/>
        </w:rPr>
        <w:t>«</w:t>
      </w:r>
      <w:r w:rsidRPr="006571AC">
        <w:rPr>
          <w:rFonts w:hint="cs"/>
          <w:sz w:val="27"/>
          <w:rtl/>
        </w:rPr>
        <w:t>عن</w:t>
      </w:r>
      <w:r w:rsidRPr="006571AC">
        <w:rPr>
          <w:rFonts w:hint="eastAsia"/>
          <w:sz w:val="24"/>
          <w:szCs w:val="24"/>
          <w:rtl/>
        </w:rPr>
        <w:t>»</w:t>
      </w:r>
      <w:r w:rsidRPr="006571AC">
        <w:rPr>
          <w:rFonts w:hint="cs"/>
          <w:sz w:val="27"/>
          <w:rtl/>
        </w:rPr>
        <w:t xml:space="preserve"> في [حديث] </w:t>
      </w:r>
      <w:r w:rsidRPr="006571AC">
        <w:rPr>
          <w:rFonts w:hint="eastAsia"/>
          <w:sz w:val="24"/>
          <w:szCs w:val="24"/>
          <w:rtl/>
        </w:rPr>
        <w:t>«</w:t>
      </w:r>
      <w:r w:rsidRPr="006571AC">
        <w:rPr>
          <w:rFonts w:hint="cs"/>
          <w:sz w:val="27"/>
          <w:rtl/>
        </w:rPr>
        <w:t>ر</w:t>
      </w:r>
      <w:r w:rsidR="00007D74" w:rsidRPr="006571AC">
        <w:rPr>
          <w:rFonts w:hint="cs"/>
          <w:sz w:val="27"/>
          <w:rtl/>
        </w:rPr>
        <w:t>ُ</w:t>
      </w:r>
      <w:r w:rsidRPr="006571AC">
        <w:rPr>
          <w:rFonts w:hint="cs"/>
          <w:sz w:val="27"/>
          <w:rtl/>
        </w:rPr>
        <w:t>فع عن أمتي</w:t>
      </w:r>
      <w:r w:rsidRPr="006571AC">
        <w:rPr>
          <w:rFonts w:hint="eastAsia"/>
          <w:sz w:val="24"/>
          <w:szCs w:val="24"/>
          <w:rtl/>
        </w:rPr>
        <w:t>»</w:t>
      </w:r>
      <w:r w:rsidRPr="006571AC">
        <w:rPr>
          <w:rFonts w:hint="cs"/>
          <w:sz w:val="27"/>
          <w:rtl/>
        </w:rPr>
        <w:t>... وأما القرينة السياقية على الامتنان فهي أن الرفع قد أ</w:t>
      </w:r>
      <w:r w:rsidR="00007D74" w:rsidRPr="006571AC">
        <w:rPr>
          <w:rFonts w:hint="cs"/>
          <w:sz w:val="27"/>
          <w:rtl/>
        </w:rPr>
        <w:t>ُ</w:t>
      </w:r>
      <w:r w:rsidRPr="006571AC">
        <w:rPr>
          <w:rFonts w:hint="cs"/>
          <w:sz w:val="27"/>
          <w:rtl/>
        </w:rPr>
        <w:t>ضيف إلى الأمّة. وهذا لسان</w:t>
      </w:r>
      <w:r w:rsidR="00007D74" w:rsidRPr="006571AC">
        <w:rPr>
          <w:rFonts w:hint="cs"/>
          <w:sz w:val="27"/>
          <w:rtl/>
        </w:rPr>
        <w:t>ُ</w:t>
      </w:r>
      <w:r w:rsidRPr="006571AC">
        <w:rPr>
          <w:rFonts w:hint="cs"/>
          <w:sz w:val="27"/>
          <w:rtl/>
        </w:rPr>
        <w:t xml:space="preserve"> لطف</w:t>
      </w:r>
      <w:r w:rsidR="00007D74" w:rsidRPr="006571AC">
        <w:rPr>
          <w:rFonts w:hint="cs"/>
          <w:sz w:val="27"/>
          <w:rtl/>
        </w:rPr>
        <w:t>ٍ</w:t>
      </w:r>
      <w:r w:rsidRPr="006571AC">
        <w:rPr>
          <w:rFonts w:hint="cs"/>
          <w:sz w:val="27"/>
          <w:rtl/>
        </w:rPr>
        <w:t xml:space="preserve"> ومحب</w:t>
      </w:r>
      <w:r w:rsidR="00007D74" w:rsidRPr="006571AC">
        <w:rPr>
          <w:rFonts w:hint="cs"/>
          <w:sz w:val="27"/>
          <w:rtl/>
        </w:rPr>
        <w:t>ّ</w:t>
      </w:r>
      <w:r w:rsidRPr="006571AC">
        <w:rPr>
          <w:rFonts w:hint="cs"/>
          <w:sz w:val="27"/>
          <w:rtl/>
        </w:rPr>
        <w:t>ة</w:t>
      </w:r>
      <w:r w:rsidR="00007D74" w:rsidRPr="006571AC">
        <w:rPr>
          <w:rFonts w:hint="cs"/>
          <w:sz w:val="27"/>
          <w:rtl/>
        </w:rPr>
        <w:t>ٍ</w:t>
      </w:r>
      <w:r w:rsidRPr="006571AC">
        <w:rPr>
          <w:rFonts w:hint="cs"/>
          <w:sz w:val="27"/>
          <w:rtl/>
        </w:rPr>
        <w:t xml:space="preserve"> وامتنان</w:t>
      </w:r>
      <w:r w:rsidR="00007D74" w:rsidRPr="006571AC">
        <w:rPr>
          <w:rFonts w:hint="cs"/>
          <w:sz w:val="27"/>
          <w:rtl/>
        </w:rPr>
        <w:t>ٍ</w:t>
      </w:r>
      <w:r w:rsidRPr="006571AC">
        <w:rPr>
          <w:rFonts w:hint="eastAsia"/>
          <w:sz w:val="24"/>
          <w:szCs w:val="24"/>
          <w:rtl/>
        </w:rPr>
        <w:t>»</w:t>
      </w:r>
      <w:r w:rsidRPr="006571AC">
        <w:rPr>
          <w:sz w:val="27"/>
          <w:vertAlign w:val="superscript"/>
          <w:rtl/>
        </w:rPr>
        <w:t>(</w:t>
      </w:r>
      <w:r w:rsidRPr="006571AC">
        <w:rPr>
          <w:rStyle w:val="ac"/>
          <w:sz w:val="27"/>
          <w:rtl/>
        </w:rPr>
        <w:endnoteReference w:id="174"/>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كما قال السيد الخوئي</w:t>
      </w:r>
      <w:r w:rsidR="002A2C90" w:rsidRPr="006571AC">
        <w:rPr>
          <w:rFonts w:ascii="Mosawi" w:hAnsi="Mosawi" w:cs="Mosawi"/>
          <w:sz w:val="22"/>
          <w:szCs w:val="22"/>
          <w:rtl/>
        </w:rPr>
        <w:t>&amp;</w:t>
      </w:r>
      <w:r w:rsidR="00007D74" w:rsidRPr="006571AC">
        <w:rPr>
          <w:rFonts w:hint="cs"/>
          <w:sz w:val="27"/>
          <w:rtl/>
        </w:rPr>
        <w:t>،</w:t>
      </w:r>
      <w:r w:rsidRPr="006571AC">
        <w:rPr>
          <w:rFonts w:hint="cs"/>
          <w:sz w:val="27"/>
          <w:rtl/>
        </w:rPr>
        <w:t xml:space="preserve"> الذي طبّق السياق على القرينة اللفظية: </w:t>
      </w:r>
      <w:r w:rsidRPr="006571AC">
        <w:rPr>
          <w:rFonts w:hint="eastAsia"/>
          <w:sz w:val="24"/>
          <w:szCs w:val="24"/>
          <w:rtl/>
        </w:rPr>
        <w:t>«</w:t>
      </w:r>
      <w:r w:rsidRPr="006571AC">
        <w:rPr>
          <w:sz w:val="27"/>
          <w:rtl/>
        </w:rPr>
        <w:t>وكون القضية خارجية</w:t>
      </w:r>
      <w:r w:rsidR="00007D74" w:rsidRPr="006571AC">
        <w:rPr>
          <w:rFonts w:hint="cs"/>
          <w:sz w:val="27"/>
          <w:rtl/>
        </w:rPr>
        <w:t>ً</w:t>
      </w:r>
      <w:r w:rsidRPr="006571AC">
        <w:rPr>
          <w:sz w:val="27"/>
          <w:rtl/>
        </w:rPr>
        <w:t xml:space="preserve"> أو حقيقية</w:t>
      </w:r>
      <w:r w:rsidR="00007D74" w:rsidRPr="006571AC">
        <w:rPr>
          <w:rFonts w:hint="cs"/>
          <w:sz w:val="27"/>
          <w:rtl/>
        </w:rPr>
        <w:t>ً</w:t>
      </w:r>
      <w:r w:rsidRPr="006571AC">
        <w:rPr>
          <w:sz w:val="27"/>
          <w:rtl/>
        </w:rPr>
        <w:t xml:space="preserve"> </w:t>
      </w:r>
      <w:r w:rsidRPr="006571AC">
        <w:rPr>
          <w:rFonts w:hint="cs"/>
          <w:sz w:val="27"/>
          <w:rtl/>
        </w:rPr>
        <w:t>إ</w:t>
      </w:r>
      <w:r w:rsidRPr="006571AC">
        <w:rPr>
          <w:sz w:val="27"/>
          <w:rtl/>
        </w:rPr>
        <w:t>نما ي</w:t>
      </w:r>
      <w:r w:rsidR="00007D74" w:rsidRPr="006571AC">
        <w:rPr>
          <w:rFonts w:hint="cs"/>
          <w:sz w:val="27"/>
          <w:rtl/>
        </w:rPr>
        <w:t>ُ</w:t>
      </w:r>
      <w:r w:rsidRPr="006571AC">
        <w:rPr>
          <w:sz w:val="27"/>
          <w:rtl/>
        </w:rPr>
        <w:t>ستفاد من سياق الكلام، ولا ربط له بمداليل ال</w:t>
      </w:r>
      <w:r w:rsidRPr="006571AC">
        <w:rPr>
          <w:rFonts w:hint="cs"/>
          <w:sz w:val="27"/>
          <w:rtl/>
        </w:rPr>
        <w:t>أل</w:t>
      </w:r>
      <w:r w:rsidRPr="006571AC">
        <w:rPr>
          <w:sz w:val="27"/>
          <w:rtl/>
        </w:rPr>
        <w:t>فاظ</w:t>
      </w:r>
      <w:r w:rsidRPr="006571AC">
        <w:rPr>
          <w:rFonts w:hint="cs"/>
          <w:sz w:val="27"/>
          <w:rtl/>
        </w:rPr>
        <w:t xml:space="preserve">، </w:t>
      </w:r>
      <w:r w:rsidRPr="006571AC">
        <w:rPr>
          <w:sz w:val="27"/>
          <w:rtl/>
        </w:rPr>
        <w:t>نظير</w:t>
      </w:r>
      <w:r w:rsidR="00007D74" w:rsidRPr="006571AC">
        <w:rPr>
          <w:rFonts w:hint="cs"/>
          <w:sz w:val="27"/>
          <w:rtl/>
        </w:rPr>
        <w:t>:</w:t>
      </w:r>
      <w:r w:rsidRPr="006571AC">
        <w:rPr>
          <w:sz w:val="27"/>
          <w:rtl/>
        </w:rPr>
        <w:t xml:space="preserve"> استفادة ال</w:t>
      </w:r>
      <w:r w:rsidRPr="006571AC">
        <w:rPr>
          <w:rFonts w:hint="cs"/>
          <w:sz w:val="27"/>
          <w:rtl/>
        </w:rPr>
        <w:t>إ</w:t>
      </w:r>
      <w:r w:rsidRPr="006571AC">
        <w:rPr>
          <w:sz w:val="27"/>
          <w:rtl/>
        </w:rPr>
        <w:t>خ</w:t>
      </w:r>
      <w:r w:rsidRPr="006571AC">
        <w:rPr>
          <w:rFonts w:hint="cs"/>
          <w:sz w:val="27"/>
          <w:rtl/>
        </w:rPr>
        <w:t>ب</w:t>
      </w:r>
      <w:r w:rsidRPr="006571AC">
        <w:rPr>
          <w:sz w:val="27"/>
          <w:rtl/>
        </w:rPr>
        <w:t>ار وال</w:t>
      </w:r>
      <w:r w:rsidRPr="006571AC">
        <w:rPr>
          <w:rFonts w:hint="cs"/>
          <w:sz w:val="27"/>
          <w:rtl/>
        </w:rPr>
        <w:t>إ</w:t>
      </w:r>
      <w:r w:rsidRPr="006571AC">
        <w:rPr>
          <w:sz w:val="27"/>
          <w:rtl/>
        </w:rPr>
        <w:t>نشاء من هيئة الفعل الماضي</w:t>
      </w:r>
      <w:r w:rsidRPr="006571AC">
        <w:rPr>
          <w:rFonts w:hint="eastAsia"/>
          <w:sz w:val="24"/>
          <w:szCs w:val="24"/>
          <w:rtl/>
        </w:rPr>
        <w:t>»</w:t>
      </w:r>
      <w:r w:rsidRPr="006571AC">
        <w:rPr>
          <w:sz w:val="27"/>
          <w:vertAlign w:val="superscript"/>
          <w:rtl/>
        </w:rPr>
        <w:t>(</w:t>
      </w:r>
      <w:r w:rsidRPr="006571AC">
        <w:rPr>
          <w:rStyle w:val="ac"/>
          <w:sz w:val="27"/>
          <w:rtl/>
        </w:rPr>
        <w:endnoteReference w:id="175"/>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 xml:space="preserve">وظاهر التقابل بين القرينة اللفظية والقرينة السياقية في العبارة أعلاه يثبت أن السياق يُطلق أحياناً على القرائن غير اللفظية أيضاً. </w:t>
      </w:r>
    </w:p>
    <w:p w:rsidR="00A75C8B" w:rsidRPr="006571AC" w:rsidRDefault="00A75C8B" w:rsidP="00C95139">
      <w:pPr>
        <w:rPr>
          <w:sz w:val="27"/>
          <w:rtl/>
        </w:rPr>
      </w:pPr>
      <w:r w:rsidRPr="006571AC">
        <w:rPr>
          <w:rFonts w:hint="cs"/>
          <w:sz w:val="27"/>
          <w:rtl/>
        </w:rPr>
        <w:t xml:space="preserve">والشاهد الآخر أن التعابير التفسيرية للعلماء ـ من قبيل: </w:t>
      </w:r>
      <w:r w:rsidRPr="006571AC">
        <w:rPr>
          <w:rFonts w:hint="eastAsia"/>
          <w:sz w:val="24"/>
          <w:szCs w:val="24"/>
          <w:rtl/>
        </w:rPr>
        <w:t>«</w:t>
      </w:r>
      <w:r w:rsidRPr="006571AC">
        <w:rPr>
          <w:rFonts w:hint="cs"/>
          <w:sz w:val="27"/>
          <w:rtl/>
        </w:rPr>
        <w:t>بقرينة السياق والمقام</w:t>
      </w:r>
      <w:r w:rsidRPr="006571AC">
        <w:rPr>
          <w:rFonts w:hint="eastAsia"/>
          <w:sz w:val="24"/>
          <w:szCs w:val="24"/>
          <w:rtl/>
        </w:rPr>
        <w:t>»</w:t>
      </w:r>
      <w:r w:rsidRPr="006571AC">
        <w:rPr>
          <w:sz w:val="27"/>
          <w:vertAlign w:val="superscript"/>
          <w:rtl/>
        </w:rPr>
        <w:t>(</w:t>
      </w:r>
      <w:r w:rsidRPr="006571AC">
        <w:rPr>
          <w:rStyle w:val="ac"/>
          <w:sz w:val="27"/>
          <w:rtl/>
        </w:rPr>
        <w:endnoteReference w:id="176"/>
      </w:r>
      <w:r w:rsidRPr="006571AC">
        <w:rPr>
          <w:sz w:val="27"/>
          <w:vertAlign w:val="superscript"/>
          <w:rtl/>
        </w:rPr>
        <w:t>)</w:t>
      </w:r>
      <w:r w:rsidRPr="006571AC">
        <w:rPr>
          <w:sz w:val="27"/>
          <w:rtl/>
        </w:rPr>
        <w:t>،</w:t>
      </w:r>
      <w:r w:rsidRPr="006571AC">
        <w:rPr>
          <w:rFonts w:hint="cs"/>
          <w:sz w:val="27"/>
          <w:rtl/>
        </w:rPr>
        <w:t xml:space="preserve"> و</w:t>
      </w:r>
      <w:r w:rsidRPr="006571AC">
        <w:rPr>
          <w:rFonts w:hint="eastAsia"/>
          <w:sz w:val="24"/>
          <w:szCs w:val="24"/>
          <w:rtl/>
        </w:rPr>
        <w:t>«</w:t>
      </w:r>
      <w:r w:rsidRPr="006571AC">
        <w:rPr>
          <w:rFonts w:hint="cs"/>
          <w:sz w:val="27"/>
          <w:rtl/>
        </w:rPr>
        <w:t>بقرينة السياق والمرادفة</w:t>
      </w:r>
      <w:r w:rsidRPr="006571AC">
        <w:rPr>
          <w:rFonts w:hint="eastAsia"/>
          <w:sz w:val="24"/>
          <w:szCs w:val="24"/>
          <w:rtl/>
        </w:rPr>
        <w:t>»</w:t>
      </w:r>
      <w:r w:rsidRPr="006571AC">
        <w:rPr>
          <w:sz w:val="27"/>
          <w:vertAlign w:val="superscript"/>
          <w:rtl/>
        </w:rPr>
        <w:t>(</w:t>
      </w:r>
      <w:r w:rsidRPr="006571AC">
        <w:rPr>
          <w:rStyle w:val="ac"/>
          <w:sz w:val="27"/>
          <w:rtl/>
        </w:rPr>
        <w:endnoteReference w:id="177"/>
      </w:r>
      <w:r w:rsidRPr="006571AC">
        <w:rPr>
          <w:sz w:val="27"/>
          <w:vertAlign w:val="superscript"/>
          <w:rtl/>
        </w:rPr>
        <w:t>)</w:t>
      </w:r>
      <w:r w:rsidRPr="006571AC">
        <w:rPr>
          <w:sz w:val="27"/>
          <w:rtl/>
        </w:rPr>
        <w:t>،</w:t>
      </w:r>
      <w:r w:rsidRPr="006571AC">
        <w:rPr>
          <w:rFonts w:hint="cs"/>
          <w:sz w:val="27"/>
          <w:rtl/>
        </w:rPr>
        <w:t xml:space="preserve"> و</w:t>
      </w:r>
      <w:r w:rsidRPr="006571AC">
        <w:rPr>
          <w:rFonts w:hint="eastAsia"/>
          <w:sz w:val="24"/>
          <w:szCs w:val="24"/>
          <w:rtl/>
        </w:rPr>
        <w:t>«</w:t>
      </w:r>
      <w:r w:rsidRPr="006571AC">
        <w:rPr>
          <w:rFonts w:hint="cs"/>
          <w:sz w:val="27"/>
          <w:rtl/>
        </w:rPr>
        <w:t>بقرينة السياق والتفريع</w:t>
      </w:r>
      <w:r w:rsidRPr="006571AC">
        <w:rPr>
          <w:rFonts w:hint="eastAsia"/>
          <w:sz w:val="24"/>
          <w:szCs w:val="24"/>
          <w:rtl/>
        </w:rPr>
        <w:t>»</w:t>
      </w:r>
      <w:r w:rsidRPr="006571AC">
        <w:rPr>
          <w:sz w:val="27"/>
          <w:vertAlign w:val="superscript"/>
          <w:rtl/>
        </w:rPr>
        <w:t>(</w:t>
      </w:r>
      <w:r w:rsidRPr="006571AC">
        <w:rPr>
          <w:rStyle w:val="ac"/>
          <w:sz w:val="27"/>
          <w:rtl/>
        </w:rPr>
        <w:endnoteReference w:id="178"/>
      </w:r>
      <w:r w:rsidRPr="006571AC">
        <w:rPr>
          <w:sz w:val="27"/>
          <w:vertAlign w:val="superscript"/>
          <w:rtl/>
        </w:rPr>
        <w:t>)</w:t>
      </w:r>
      <w:r w:rsidRPr="006571AC">
        <w:rPr>
          <w:sz w:val="27"/>
          <w:rtl/>
        </w:rPr>
        <w:t xml:space="preserve"> </w:t>
      </w:r>
      <w:r w:rsidRPr="006571AC">
        <w:rPr>
          <w:rFonts w:hint="cs"/>
          <w:sz w:val="27"/>
          <w:rtl/>
        </w:rPr>
        <w:t xml:space="preserve">ـ تثبت وحدة السياق والقرائن غير اللفظية داخل الكلام؛ وذلك لأن التعابير التفسيرية، من قبيل: </w:t>
      </w:r>
      <w:r w:rsidRPr="006571AC">
        <w:rPr>
          <w:rFonts w:hint="eastAsia"/>
          <w:sz w:val="24"/>
          <w:szCs w:val="24"/>
          <w:rtl/>
        </w:rPr>
        <w:t>«</w:t>
      </w:r>
      <w:r w:rsidRPr="006571AC">
        <w:rPr>
          <w:rFonts w:hint="cs"/>
          <w:sz w:val="27"/>
          <w:rtl/>
        </w:rPr>
        <w:t>بقرينة السياق والتعليل</w:t>
      </w:r>
      <w:r w:rsidRPr="006571AC">
        <w:rPr>
          <w:rFonts w:hint="eastAsia"/>
          <w:sz w:val="24"/>
          <w:szCs w:val="24"/>
          <w:rtl/>
        </w:rPr>
        <w:t>»</w:t>
      </w:r>
      <w:r w:rsidRPr="006571AC">
        <w:rPr>
          <w:rFonts w:hint="cs"/>
          <w:sz w:val="27"/>
          <w:rtl/>
        </w:rPr>
        <w:t xml:space="preserve">، أو </w:t>
      </w:r>
      <w:r w:rsidRPr="006571AC">
        <w:rPr>
          <w:rFonts w:hint="eastAsia"/>
          <w:sz w:val="24"/>
          <w:szCs w:val="24"/>
          <w:rtl/>
        </w:rPr>
        <w:t>«</w:t>
      </w:r>
      <w:r w:rsidRPr="006571AC">
        <w:rPr>
          <w:rFonts w:hint="cs"/>
          <w:sz w:val="27"/>
          <w:rtl/>
        </w:rPr>
        <w:t>بقرينة السياق والسؤال</w:t>
      </w:r>
      <w:r w:rsidRPr="006571AC">
        <w:rPr>
          <w:rFonts w:hint="eastAsia"/>
          <w:sz w:val="24"/>
          <w:szCs w:val="24"/>
          <w:rtl/>
        </w:rPr>
        <w:t>»</w:t>
      </w:r>
      <w:r w:rsidR="003A008F" w:rsidRPr="006571AC">
        <w:rPr>
          <w:rFonts w:hint="cs"/>
          <w:sz w:val="27"/>
          <w:rtl/>
        </w:rPr>
        <w:t>،</w:t>
      </w:r>
      <w:r w:rsidRPr="006571AC">
        <w:rPr>
          <w:rFonts w:hint="cs"/>
          <w:sz w:val="27"/>
          <w:rtl/>
        </w:rPr>
        <w:t xml:space="preserve"> أو ما إلى ذلك، ليست معهودة</w:t>
      </w:r>
      <w:r w:rsidR="003A008F" w:rsidRPr="006571AC">
        <w:rPr>
          <w:rFonts w:hint="cs"/>
          <w:sz w:val="27"/>
          <w:rtl/>
        </w:rPr>
        <w:t>ً</w:t>
      </w:r>
      <w:r w:rsidRPr="006571AC">
        <w:rPr>
          <w:rFonts w:hint="cs"/>
          <w:sz w:val="27"/>
          <w:rtl/>
        </w:rPr>
        <w:t xml:space="preserve"> في كلمات العلماء. </w:t>
      </w:r>
    </w:p>
    <w:p w:rsidR="00A75C8B" w:rsidRPr="006571AC" w:rsidRDefault="00A75C8B" w:rsidP="003345FE">
      <w:pPr>
        <w:rPr>
          <w:sz w:val="27"/>
          <w:rtl/>
        </w:rPr>
      </w:pPr>
      <w:r w:rsidRPr="006571AC">
        <w:rPr>
          <w:rFonts w:hint="cs"/>
          <w:sz w:val="27"/>
          <w:rtl/>
        </w:rPr>
        <w:t xml:space="preserve">إن هذه المقالة </w:t>
      </w:r>
      <w:r w:rsidR="003345FE" w:rsidRPr="006571AC">
        <w:rPr>
          <w:rFonts w:hint="cs"/>
          <w:sz w:val="27"/>
          <w:rtl/>
        </w:rPr>
        <w:t xml:space="preserve">في </w:t>
      </w:r>
      <w:r w:rsidRPr="006571AC">
        <w:rPr>
          <w:rFonts w:hint="cs"/>
          <w:sz w:val="27"/>
          <w:rtl/>
        </w:rPr>
        <w:t>صدد بحث السياق بمعناه الأخص</w:t>
      </w:r>
      <w:r w:rsidR="003A008F" w:rsidRPr="006571AC">
        <w:rPr>
          <w:rFonts w:hint="cs"/>
          <w:sz w:val="27"/>
          <w:rtl/>
        </w:rPr>
        <w:t>ّ</w:t>
      </w:r>
      <w:r w:rsidRPr="006571AC">
        <w:rPr>
          <w:rFonts w:hint="cs"/>
          <w:sz w:val="27"/>
          <w:rtl/>
        </w:rPr>
        <w:t>؛ وذلك لأن السياق بالمعنى الأعم</w:t>
      </w:r>
      <w:r w:rsidR="003A008F" w:rsidRPr="006571AC">
        <w:rPr>
          <w:rFonts w:hint="cs"/>
          <w:sz w:val="27"/>
          <w:rtl/>
        </w:rPr>
        <w:t>ّ</w:t>
      </w:r>
      <w:r w:rsidRPr="006571AC">
        <w:rPr>
          <w:rFonts w:hint="cs"/>
          <w:sz w:val="27"/>
          <w:rtl/>
        </w:rPr>
        <w:t xml:space="preserve"> ليس شيئاً آخر غير قرائن التعليل والتمثيل وما إلى ذلك. ومن هذه الناحية فإن البحث عن قرينة التعليل والتمثيل وما إليها هو ـ بنحو</w:t>
      </w:r>
      <w:r w:rsidR="003A008F" w:rsidRPr="006571AC">
        <w:rPr>
          <w:rFonts w:hint="cs"/>
          <w:sz w:val="27"/>
          <w:rtl/>
        </w:rPr>
        <w:t>ٍ</w:t>
      </w:r>
      <w:r w:rsidRPr="006571AC">
        <w:rPr>
          <w:rFonts w:hint="cs"/>
          <w:sz w:val="27"/>
          <w:rtl/>
        </w:rPr>
        <w:t xml:space="preserve"> من الأنحاء ـ بحث</w:t>
      </w:r>
      <w:r w:rsidR="003A008F" w:rsidRPr="006571AC">
        <w:rPr>
          <w:rFonts w:hint="cs"/>
          <w:sz w:val="27"/>
          <w:rtl/>
        </w:rPr>
        <w:t>ٌ</w:t>
      </w:r>
      <w:r w:rsidRPr="006571AC">
        <w:rPr>
          <w:rFonts w:hint="cs"/>
          <w:sz w:val="27"/>
          <w:rtl/>
        </w:rPr>
        <w:t xml:space="preserve"> عن قرينة السياق بالمعنى الأعم</w:t>
      </w:r>
      <w:r w:rsidR="003A008F" w:rsidRPr="006571AC">
        <w:rPr>
          <w:rFonts w:hint="cs"/>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 xml:space="preserve">ومن الجدير ذكره أننا سنبحث في هذه المقالة </w:t>
      </w:r>
      <w:r w:rsidR="00EA38F1" w:rsidRPr="006571AC">
        <w:rPr>
          <w:rFonts w:hint="cs"/>
          <w:sz w:val="27"/>
          <w:rtl/>
        </w:rPr>
        <w:t>دَوْر</w:t>
      </w:r>
      <w:r w:rsidRPr="006571AC">
        <w:rPr>
          <w:rFonts w:hint="cs"/>
          <w:sz w:val="27"/>
          <w:rtl/>
        </w:rPr>
        <w:t xml:space="preserve"> السياق في إيجاد الظهور. ومن هنا فإن الأبحاث التي هي من قبيل</w:t>
      </w:r>
      <w:r w:rsidR="003A008F" w:rsidRPr="006571AC">
        <w:rPr>
          <w:rFonts w:hint="cs"/>
          <w:sz w:val="27"/>
          <w:rtl/>
        </w:rPr>
        <w:t>:</w:t>
      </w:r>
      <w:r w:rsidRPr="006571AC">
        <w:rPr>
          <w:rFonts w:hint="cs"/>
          <w:sz w:val="27"/>
          <w:rtl/>
        </w:rPr>
        <w:t xml:space="preserve"> النكرة في سياق النفي والنهي تكون خارجة</w:t>
      </w:r>
      <w:r w:rsidR="003A008F" w:rsidRPr="006571AC">
        <w:rPr>
          <w:rFonts w:hint="cs"/>
          <w:sz w:val="27"/>
          <w:rtl/>
        </w:rPr>
        <w:t>ً</w:t>
      </w:r>
      <w:r w:rsidRPr="006571AC">
        <w:rPr>
          <w:rFonts w:hint="cs"/>
          <w:sz w:val="27"/>
          <w:rtl/>
        </w:rPr>
        <w:t xml:space="preserve"> عن محل</w:t>
      </w:r>
      <w:r w:rsidR="003A008F" w:rsidRPr="006571AC">
        <w:rPr>
          <w:rFonts w:hint="cs"/>
          <w:sz w:val="27"/>
          <w:rtl/>
        </w:rPr>
        <w:t>ّ</w:t>
      </w:r>
      <w:r w:rsidRPr="006571AC">
        <w:rPr>
          <w:rFonts w:hint="cs"/>
          <w:sz w:val="27"/>
          <w:rtl/>
        </w:rPr>
        <w:t xml:space="preserve"> بحثنا؛ إذ السياق في هذه الموارد لا يُنتج ظهوراً، بل يُشكّ</w:t>
      </w:r>
      <w:r w:rsidR="003A008F" w:rsidRPr="006571AC">
        <w:rPr>
          <w:rFonts w:hint="cs"/>
          <w:sz w:val="27"/>
          <w:rtl/>
        </w:rPr>
        <w:t>ِ</w:t>
      </w:r>
      <w:r w:rsidRPr="006571AC">
        <w:rPr>
          <w:rFonts w:hint="cs"/>
          <w:sz w:val="27"/>
          <w:rtl/>
        </w:rPr>
        <w:t>ل في حدّ ذاته صغرى لقاعدة</w:t>
      </w:r>
      <w:r w:rsidR="003A008F" w:rsidRPr="006571AC">
        <w:rPr>
          <w:rFonts w:hint="cs"/>
          <w:sz w:val="27"/>
          <w:rtl/>
        </w:rPr>
        <w:t>ٍ</w:t>
      </w:r>
      <w:r w:rsidRPr="006571AC">
        <w:rPr>
          <w:rFonts w:hint="cs"/>
          <w:sz w:val="27"/>
          <w:rtl/>
        </w:rPr>
        <w:t xml:space="preserve"> عقلية. إن النكرة في سياق النفي إنما تدل</w:t>
      </w:r>
      <w:r w:rsidR="003A008F" w:rsidRPr="006571AC">
        <w:rPr>
          <w:rFonts w:hint="cs"/>
          <w:sz w:val="27"/>
          <w:rtl/>
        </w:rPr>
        <w:t>ّ</w:t>
      </w:r>
      <w:r w:rsidRPr="006571AC">
        <w:rPr>
          <w:rFonts w:hint="cs"/>
          <w:sz w:val="27"/>
          <w:rtl/>
        </w:rPr>
        <w:t xml:space="preserve"> على العموم؛ لأنها تدل</w:t>
      </w:r>
      <w:r w:rsidR="003A008F" w:rsidRPr="006571AC">
        <w:rPr>
          <w:rFonts w:hint="cs"/>
          <w:sz w:val="27"/>
          <w:rtl/>
        </w:rPr>
        <w:t>ّ</w:t>
      </w:r>
      <w:r w:rsidRPr="006571AC">
        <w:rPr>
          <w:rFonts w:hint="cs"/>
          <w:sz w:val="27"/>
          <w:rtl/>
        </w:rPr>
        <w:t xml:space="preserve"> على نفي الطبيعة. ومن هذه الناحية فإنها تندرج ضمن قاعدة </w:t>
      </w:r>
      <w:r w:rsidRPr="006571AC">
        <w:rPr>
          <w:rFonts w:hint="eastAsia"/>
          <w:sz w:val="24"/>
          <w:szCs w:val="24"/>
          <w:rtl/>
        </w:rPr>
        <w:t>«</w:t>
      </w:r>
      <w:r w:rsidRPr="006571AC">
        <w:rPr>
          <w:rFonts w:hint="cs"/>
          <w:sz w:val="27"/>
          <w:rtl/>
        </w:rPr>
        <w:t>الطبيعة تنعدم بانعدام جميع أفرادها</w:t>
      </w:r>
      <w:r w:rsidRPr="006571AC">
        <w:rPr>
          <w:rFonts w:hint="eastAsia"/>
          <w:sz w:val="24"/>
          <w:szCs w:val="24"/>
          <w:rtl/>
        </w:rPr>
        <w:t>»</w:t>
      </w:r>
      <w:r w:rsidRPr="006571AC">
        <w:rPr>
          <w:rFonts w:hint="cs"/>
          <w:sz w:val="27"/>
          <w:rtl/>
        </w:rPr>
        <w:t>، وتدل</w:t>
      </w:r>
      <w:r w:rsidR="003A008F" w:rsidRPr="006571AC">
        <w:rPr>
          <w:rFonts w:hint="cs"/>
          <w:sz w:val="27"/>
          <w:rtl/>
        </w:rPr>
        <w:t>ّ</w:t>
      </w:r>
      <w:r w:rsidRPr="006571AC">
        <w:rPr>
          <w:rFonts w:hint="cs"/>
          <w:sz w:val="27"/>
          <w:rtl/>
        </w:rPr>
        <w:t xml:space="preserve"> بذلك على العموم. وعليه يت</w:t>
      </w:r>
      <w:r w:rsidR="003A008F" w:rsidRPr="006571AC">
        <w:rPr>
          <w:rFonts w:hint="cs"/>
          <w:sz w:val="27"/>
          <w:rtl/>
        </w:rPr>
        <w:t>ّ</w:t>
      </w:r>
      <w:r w:rsidRPr="006571AC">
        <w:rPr>
          <w:rFonts w:hint="cs"/>
          <w:sz w:val="27"/>
          <w:rtl/>
        </w:rPr>
        <w:t>ضح تماماً أن السياق لم يُنتج ظهوراً، بل إن مجرّد نفي الطبيعة بانضمام الحكم العقلي</w:t>
      </w:r>
      <w:r w:rsidR="003A008F" w:rsidRPr="006571AC">
        <w:rPr>
          <w:rFonts w:hint="cs"/>
          <w:sz w:val="27"/>
          <w:rtl/>
        </w:rPr>
        <w:t>ّ</w:t>
      </w:r>
      <w:r w:rsidRPr="006571AC">
        <w:rPr>
          <w:rFonts w:hint="cs"/>
          <w:sz w:val="27"/>
          <w:rtl/>
        </w:rPr>
        <w:t xml:space="preserve"> هو الذي أنتج الظهور وكان له مثل هذا الأثر. وبعبارة</w:t>
      </w:r>
      <w:r w:rsidR="003A008F" w:rsidRPr="006571AC">
        <w:rPr>
          <w:rFonts w:hint="cs"/>
          <w:sz w:val="27"/>
          <w:rtl/>
        </w:rPr>
        <w:t>ٍ</w:t>
      </w:r>
      <w:r w:rsidRPr="006571AC">
        <w:rPr>
          <w:rFonts w:hint="cs"/>
          <w:sz w:val="27"/>
          <w:rtl/>
        </w:rPr>
        <w:t xml:space="preserve"> أخرى: ليس مرادهم من النكرة في سياق النفي أكثر من إيصال مفهوم نفي الطبيعة. ومن الجدير ذكره ـ بطبيعة الحال ـ أن بعض العلماء</w:t>
      </w:r>
      <w:r w:rsidR="003A008F" w:rsidRPr="006571AC">
        <w:rPr>
          <w:rFonts w:hint="cs"/>
          <w:sz w:val="27"/>
          <w:rtl/>
        </w:rPr>
        <w:t>،</w:t>
      </w:r>
      <w:r w:rsidRPr="006571AC">
        <w:rPr>
          <w:rFonts w:hint="cs"/>
          <w:sz w:val="27"/>
          <w:rtl/>
        </w:rPr>
        <w:t xml:space="preserve"> من أمثال</w:t>
      </w:r>
      <w:r w:rsidR="003A008F" w:rsidRPr="006571AC">
        <w:rPr>
          <w:rFonts w:hint="cs"/>
          <w:sz w:val="27"/>
          <w:rtl/>
        </w:rPr>
        <w:t>:</w:t>
      </w:r>
      <w:r w:rsidRPr="006571AC">
        <w:rPr>
          <w:rFonts w:hint="cs"/>
          <w:sz w:val="27"/>
          <w:rtl/>
        </w:rPr>
        <w:t xml:space="preserve"> السيد </w:t>
      </w:r>
      <w:r w:rsidRPr="006571AC">
        <w:rPr>
          <w:rFonts w:hint="cs"/>
          <w:sz w:val="27"/>
          <w:rtl/>
        </w:rPr>
        <w:lastRenderedPageBreak/>
        <w:t>الشهيد محمد باقر الصدر، وإن</w:t>
      </w:r>
      <w:r w:rsidR="003A008F" w:rsidRPr="006571AC">
        <w:rPr>
          <w:rFonts w:hint="cs"/>
          <w:sz w:val="27"/>
          <w:rtl/>
        </w:rPr>
        <w:t>ْ</w:t>
      </w:r>
      <w:r w:rsidRPr="006571AC">
        <w:rPr>
          <w:rFonts w:hint="cs"/>
          <w:sz w:val="27"/>
          <w:rtl/>
        </w:rPr>
        <w:t xml:space="preserve"> كانوا ير</w:t>
      </w:r>
      <w:r w:rsidR="003A008F" w:rsidRPr="006571AC">
        <w:rPr>
          <w:rFonts w:hint="cs"/>
          <w:sz w:val="27"/>
          <w:rtl/>
        </w:rPr>
        <w:t>َ</w:t>
      </w:r>
      <w:r w:rsidRPr="006571AC">
        <w:rPr>
          <w:rFonts w:hint="cs"/>
          <w:sz w:val="27"/>
          <w:rtl/>
        </w:rPr>
        <w:t>و</w:t>
      </w:r>
      <w:r w:rsidR="003A008F" w:rsidRPr="006571AC">
        <w:rPr>
          <w:rFonts w:hint="cs"/>
          <w:sz w:val="27"/>
          <w:rtl/>
        </w:rPr>
        <w:t>ْ</w:t>
      </w:r>
      <w:r w:rsidRPr="006571AC">
        <w:rPr>
          <w:rFonts w:hint="cs"/>
          <w:sz w:val="27"/>
          <w:rtl/>
        </w:rPr>
        <w:t>ن ـ بح</w:t>
      </w:r>
      <w:r w:rsidR="003A008F" w:rsidRPr="006571AC">
        <w:rPr>
          <w:rFonts w:hint="cs"/>
          <w:sz w:val="27"/>
          <w:rtl/>
        </w:rPr>
        <w:t>َ</w:t>
      </w:r>
      <w:r w:rsidRPr="006571AC">
        <w:rPr>
          <w:rFonts w:hint="cs"/>
          <w:sz w:val="27"/>
          <w:rtl/>
        </w:rPr>
        <w:t>س</w:t>
      </w:r>
      <w:r w:rsidR="003A008F" w:rsidRPr="006571AC">
        <w:rPr>
          <w:rFonts w:hint="cs"/>
          <w:sz w:val="27"/>
          <w:rtl/>
        </w:rPr>
        <w:t>َ</w:t>
      </w:r>
      <w:r w:rsidRPr="006571AC">
        <w:rPr>
          <w:rFonts w:hint="cs"/>
          <w:sz w:val="27"/>
          <w:rtl/>
        </w:rPr>
        <w:t>ب القاعدة ـ أن الانحلال في النكرة في سياق النهي يجب أن يكون من باب حكم العقل؛ ولكن</w:t>
      </w:r>
      <w:r w:rsidR="003A008F" w:rsidRPr="006571AC">
        <w:rPr>
          <w:rFonts w:hint="cs"/>
          <w:sz w:val="27"/>
          <w:rtl/>
        </w:rPr>
        <w:t>ْ</w:t>
      </w:r>
      <w:r w:rsidRPr="006571AC">
        <w:rPr>
          <w:rFonts w:hint="cs"/>
          <w:sz w:val="27"/>
          <w:rtl/>
        </w:rPr>
        <w:t xml:space="preserve"> ر</w:t>
      </w:r>
      <w:r w:rsidR="003A008F" w:rsidRPr="006571AC">
        <w:rPr>
          <w:rFonts w:hint="cs"/>
          <w:sz w:val="27"/>
          <w:rtl/>
        </w:rPr>
        <w:t>ُ</w:t>
      </w:r>
      <w:r w:rsidRPr="006571AC">
        <w:rPr>
          <w:rFonts w:hint="cs"/>
          <w:sz w:val="27"/>
          <w:rtl/>
        </w:rPr>
        <w:t>ب</w:t>
      </w:r>
      <w:r w:rsidR="003A008F" w:rsidRPr="006571AC">
        <w:rPr>
          <w:rFonts w:hint="cs"/>
          <w:sz w:val="27"/>
          <w:rtl/>
        </w:rPr>
        <w:t>َ</w:t>
      </w:r>
      <w:r w:rsidRPr="006571AC">
        <w:rPr>
          <w:rFonts w:hint="cs"/>
          <w:sz w:val="27"/>
          <w:rtl/>
        </w:rPr>
        <w:t>ما أمكن القول: حيث يكون للمفاسد في النهي شمول</w:t>
      </w:r>
      <w:r w:rsidR="003A008F" w:rsidRPr="006571AC">
        <w:rPr>
          <w:rFonts w:hint="cs"/>
          <w:sz w:val="27"/>
          <w:rtl/>
        </w:rPr>
        <w:t>ٌ</w:t>
      </w:r>
      <w:r w:rsidRPr="006571AC">
        <w:rPr>
          <w:rFonts w:hint="cs"/>
          <w:sz w:val="27"/>
          <w:rtl/>
        </w:rPr>
        <w:t xml:space="preserve"> بشكل</w:t>
      </w:r>
      <w:r w:rsidR="003A008F" w:rsidRPr="006571AC">
        <w:rPr>
          <w:rFonts w:hint="cs"/>
          <w:sz w:val="27"/>
          <w:rtl/>
        </w:rPr>
        <w:t>ٍ</w:t>
      </w:r>
      <w:r w:rsidRPr="006571AC">
        <w:rPr>
          <w:rFonts w:hint="cs"/>
          <w:sz w:val="27"/>
          <w:rtl/>
        </w:rPr>
        <w:t xml:space="preserve"> عام</w:t>
      </w:r>
      <w:r w:rsidR="003A008F" w:rsidRPr="006571AC">
        <w:rPr>
          <w:rFonts w:hint="cs"/>
          <w:sz w:val="27"/>
          <w:rtl/>
        </w:rPr>
        <w:t>ّ</w:t>
      </w:r>
      <w:r w:rsidRPr="006571AC">
        <w:rPr>
          <w:rFonts w:hint="cs"/>
          <w:sz w:val="27"/>
          <w:rtl/>
        </w:rPr>
        <w:t xml:space="preserve"> فإن العُر</w:t>
      </w:r>
      <w:r w:rsidR="003A008F" w:rsidRPr="006571AC">
        <w:rPr>
          <w:rFonts w:hint="cs"/>
          <w:sz w:val="27"/>
          <w:rtl/>
        </w:rPr>
        <w:t>ْ</w:t>
      </w:r>
      <w:r w:rsidRPr="006571AC">
        <w:rPr>
          <w:rFonts w:hint="cs"/>
          <w:sz w:val="27"/>
          <w:rtl/>
        </w:rPr>
        <w:t>ف يدرك التعميم من هذا الإطار على شكل ظهور</w:t>
      </w:r>
      <w:r w:rsidR="003A008F" w:rsidRPr="006571AC">
        <w:rPr>
          <w:rFonts w:hint="cs"/>
          <w:sz w:val="27"/>
          <w:rtl/>
        </w:rPr>
        <w:t>ٍ</w:t>
      </w:r>
      <w:r w:rsidRPr="006571AC">
        <w:rPr>
          <w:rFonts w:hint="cs"/>
          <w:sz w:val="27"/>
          <w:rtl/>
        </w:rPr>
        <w:t xml:space="preserve"> كلامي</w:t>
      </w:r>
      <w:r w:rsidRPr="006571AC">
        <w:rPr>
          <w:sz w:val="27"/>
          <w:vertAlign w:val="superscript"/>
          <w:rtl/>
        </w:rPr>
        <w:t>(</w:t>
      </w:r>
      <w:r w:rsidRPr="006571AC">
        <w:rPr>
          <w:rStyle w:val="ac"/>
          <w:sz w:val="27"/>
          <w:rtl/>
        </w:rPr>
        <w:endnoteReference w:id="179"/>
      </w:r>
      <w:r w:rsidRPr="006571AC">
        <w:rPr>
          <w:sz w:val="27"/>
          <w:vertAlign w:val="superscript"/>
          <w:rtl/>
        </w:rPr>
        <w:t>)</w:t>
      </w:r>
      <w:r w:rsidRPr="006571AC">
        <w:rPr>
          <w:sz w:val="27"/>
          <w:rtl/>
        </w:rPr>
        <w:t>.</w:t>
      </w:r>
      <w:r w:rsidRPr="006571AC">
        <w:rPr>
          <w:rFonts w:hint="cs"/>
          <w:sz w:val="27"/>
          <w:rtl/>
        </w:rPr>
        <w:t xml:space="preserve"> فحتى إذا كان لدينا مثل هذا التحليل مع ذلك لا يكون هذا الأمر حاصلاً من السياق؛ وذلك لأنه ناشئ</w:t>
      </w:r>
      <w:r w:rsidR="00695A3C" w:rsidRPr="006571AC">
        <w:rPr>
          <w:rFonts w:hint="cs"/>
          <w:sz w:val="27"/>
          <w:rtl/>
        </w:rPr>
        <w:t>ٌ</w:t>
      </w:r>
      <w:r w:rsidRPr="006571AC">
        <w:rPr>
          <w:rFonts w:hint="cs"/>
          <w:sz w:val="27"/>
          <w:rtl/>
        </w:rPr>
        <w:t xml:space="preserve"> من مجرّد خاصية النفي والنهي، وليس سياق اختيار وترتيب الكلام. </w:t>
      </w:r>
    </w:p>
    <w:p w:rsidR="00A75C8B" w:rsidRPr="006571AC" w:rsidRDefault="00A75C8B" w:rsidP="009E7E1F">
      <w:pPr>
        <w:spacing w:line="440" w:lineRule="exact"/>
        <w:rPr>
          <w:sz w:val="27"/>
          <w:rtl/>
        </w:rPr>
      </w:pPr>
    </w:p>
    <w:p w:rsidR="00A75C8B" w:rsidRPr="006571AC" w:rsidRDefault="00A75C8B" w:rsidP="009C29A7">
      <w:pPr>
        <w:pStyle w:val="31"/>
        <w:rPr>
          <w:color w:val="auto"/>
          <w:rtl/>
        </w:rPr>
      </w:pPr>
      <w:bookmarkStart w:id="87" w:name="_Toc114164576"/>
      <w:r w:rsidRPr="006571AC">
        <w:rPr>
          <w:rFonts w:hint="cs"/>
          <w:color w:val="auto"/>
          <w:rtl/>
        </w:rPr>
        <w:t>أقسام الكاشفي</w:t>
      </w:r>
      <w:r w:rsidR="007E1680" w:rsidRPr="006571AC">
        <w:rPr>
          <w:rFonts w:hint="cs"/>
          <w:color w:val="auto"/>
          <w:rtl/>
        </w:rPr>
        <w:t>ّ</w:t>
      </w:r>
      <w:r w:rsidRPr="006571AC">
        <w:rPr>
          <w:rFonts w:hint="cs"/>
          <w:color w:val="auto"/>
          <w:rtl/>
        </w:rPr>
        <w:t>ة</w:t>
      </w:r>
      <w:r w:rsidR="007E1680" w:rsidRPr="006571AC">
        <w:rPr>
          <w:rFonts w:hint="cs"/>
          <w:color w:val="auto"/>
          <w:rtl/>
        </w:rPr>
        <w:t>،</w:t>
      </w:r>
      <w:r w:rsidRPr="006571AC">
        <w:rPr>
          <w:rFonts w:hint="cs"/>
          <w:color w:val="auto"/>
          <w:rtl/>
        </w:rPr>
        <w:t xml:space="preserve"> وشرائط قرينة السياق</w:t>
      </w:r>
      <w:bookmarkEnd w:id="87"/>
    </w:p>
    <w:p w:rsidR="00A75C8B" w:rsidRPr="006571AC" w:rsidRDefault="00A75C8B" w:rsidP="00C95139">
      <w:pPr>
        <w:rPr>
          <w:sz w:val="27"/>
          <w:rtl/>
        </w:rPr>
      </w:pPr>
      <w:r w:rsidRPr="006571AC">
        <w:rPr>
          <w:rFonts w:hint="cs"/>
          <w:sz w:val="27"/>
          <w:rtl/>
        </w:rPr>
        <w:t>قبل الخ</w:t>
      </w:r>
      <w:r w:rsidR="005A3C1E" w:rsidRPr="006571AC">
        <w:rPr>
          <w:rFonts w:hint="cs"/>
          <w:sz w:val="27"/>
          <w:rtl/>
        </w:rPr>
        <w:t>َ</w:t>
      </w:r>
      <w:r w:rsidRPr="006571AC">
        <w:rPr>
          <w:rFonts w:hint="cs"/>
          <w:sz w:val="27"/>
          <w:rtl/>
        </w:rPr>
        <w:t>و</w:t>
      </w:r>
      <w:r w:rsidR="005A3C1E" w:rsidRPr="006571AC">
        <w:rPr>
          <w:rFonts w:hint="cs"/>
          <w:sz w:val="27"/>
          <w:rtl/>
        </w:rPr>
        <w:t>ْ</w:t>
      </w:r>
      <w:r w:rsidRPr="006571AC">
        <w:rPr>
          <w:rFonts w:hint="cs"/>
          <w:sz w:val="27"/>
          <w:rtl/>
        </w:rPr>
        <w:t>ض في أقسام قرينة السياق سوف نخوض في أقسام السياق؛ لأن معرفة الأنواع المختلفة للسياق يُس</w:t>
      </w:r>
      <w:r w:rsidR="00695A3C" w:rsidRPr="006571AC">
        <w:rPr>
          <w:rFonts w:hint="cs"/>
          <w:sz w:val="27"/>
          <w:rtl/>
        </w:rPr>
        <w:t>ْ</w:t>
      </w:r>
      <w:r w:rsidRPr="006571AC">
        <w:rPr>
          <w:rFonts w:hint="cs"/>
          <w:sz w:val="27"/>
          <w:rtl/>
        </w:rPr>
        <w:t>ه</w:t>
      </w:r>
      <w:r w:rsidR="00695A3C" w:rsidRPr="006571AC">
        <w:rPr>
          <w:rFonts w:hint="cs"/>
          <w:sz w:val="27"/>
          <w:rtl/>
        </w:rPr>
        <w:t>ِ</w:t>
      </w:r>
      <w:r w:rsidRPr="006571AC">
        <w:rPr>
          <w:rFonts w:hint="cs"/>
          <w:sz w:val="27"/>
          <w:rtl/>
        </w:rPr>
        <w:t>م بشكل</w:t>
      </w:r>
      <w:r w:rsidR="00695A3C" w:rsidRPr="006571AC">
        <w:rPr>
          <w:rFonts w:hint="cs"/>
          <w:sz w:val="27"/>
          <w:rtl/>
        </w:rPr>
        <w:t>ٍ</w:t>
      </w:r>
      <w:r w:rsidRPr="006571AC">
        <w:rPr>
          <w:rFonts w:hint="cs"/>
          <w:sz w:val="27"/>
          <w:rtl/>
        </w:rPr>
        <w:t xml:space="preserve"> ملحوظ في تصديق القرينية</w:t>
      </w:r>
      <w:r w:rsidR="00695A3C" w:rsidRPr="006571AC">
        <w:rPr>
          <w:rFonts w:hint="cs"/>
          <w:sz w:val="27"/>
          <w:rtl/>
        </w:rPr>
        <w:t>،</w:t>
      </w:r>
      <w:r w:rsidRPr="006571AC">
        <w:rPr>
          <w:rFonts w:hint="cs"/>
          <w:sz w:val="27"/>
          <w:rtl/>
        </w:rPr>
        <w:t xml:space="preserve"> وفهم كيفية القرينية. </w:t>
      </w:r>
    </w:p>
    <w:p w:rsidR="00A75C8B" w:rsidRPr="006571AC" w:rsidRDefault="00A75C8B" w:rsidP="009E7E1F">
      <w:pPr>
        <w:spacing w:line="440" w:lineRule="exact"/>
        <w:rPr>
          <w:sz w:val="27"/>
          <w:rtl/>
        </w:rPr>
      </w:pPr>
    </w:p>
    <w:p w:rsidR="00A75C8B" w:rsidRPr="006571AC" w:rsidRDefault="007E1680" w:rsidP="009C29A7">
      <w:pPr>
        <w:pStyle w:val="31"/>
        <w:rPr>
          <w:color w:val="auto"/>
          <w:rtl/>
        </w:rPr>
      </w:pPr>
      <w:bookmarkStart w:id="88" w:name="_Toc114164577"/>
      <w:r w:rsidRPr="006571AC">
        <w:rPr>
          <w:rFonts w:hint="cs"/>
          <w:color w:val="auto"/>
          <w:rtl/>
        </w:rPr>
        <w:t xml:space="preserve">1ـ </w:t>
      </w:r>
      <w:r w:rsidR="00A75C8B" w:rsidRPr="006571AC">
        <w:rPr>
          <w:rFonts w:hint="cs"/>
          <w:color w:val="auto"/>
          <w:rtl/>
        </w:rPr>
        <w:t>أقسام السياق</w:t>
      </w:r>
      <w:bookmarkEnd w:id="88"/>
    </w:p>
    <w:p w:rsidR="00A75C8B" w:rsidRPr="006571AC" w:rsidRDefault="007E1680" w:rsidP="009C29A7">
      <w:pPr>
        <w:pStyle w:val="31"/>
        <w:rPr>
          <w:color w:val="auto"/>
          <w:rtl/>
        </w:rPr>
      </w:pPr>
      <w:bookmarkStart w:id="89" w:name="_Toc114164578"/>
      <w:r w:rsidRPr="006571AC">
        <w:rPr>
          <w:rFonts w:hint="cs"/>
          <w:color w:val="auto"/>
          <w:rtl/>
        </w:rPr>
        <w:t>أـ</w:t>
      </w:r>
      <w:r w:rsidR="00A75C8B" w:rsidRPr="006571AC">
        <w:rPr>
          <w:rFonts w:hint="cs"/>
          <w:color w:val="auto"/>
          <w:rtl/>
        </w:rPr>
        <w:t xml:space="preserve"> سياق الضمنية</w:t>
      </w:r>
      <w:bookmarkEnd w:id="89"/>
    </w:p>
    <w:p w:rsidR="00A75C8B" w:rsidRPr="006571AC" w:rsidRDefault="00A75C8B" w:rsidP="00C95139">
      <w:pPr>
        <w:rPr>
          <w:sz w:val="27"/>
          <w:rtl/>
        </w:rPr>
      </w:pPr>
      <w:r w:rsidRPr="006571AC">
        <w:rPr>
          <w:rFonts w:hint="cs"/>
          <w:sz w:val="27"/>
          <w:rtl/>
        </w:rPr>
        <w:t>كما ذك</w:t>
      </w:r>
      <w:r w:rsidR="00695A3C" w:rsidRPr="006571AC">
        <w:rPr>
          <w:rFonts w:hint="cs"/>
          <w:sz w:val="27"/>
          <w:rtl/>
        </w:rPr>
        <w:t>َ</w:t>
      </w:r>
      <w:r w:rsidRPr="006571AC">
        <w:rPr>
          <w:rFonts w:hint="cs"/>
          <w:sz w:val="27"/>
          <w:rtl/>
        </w:rPr>
        <w:t>ر</w:t>
      </w:r>
      <w:r w:rsidR="00695A3C" w:rsidRPr="006571AC">
        <w:rPr>
          <w:rFonts w:hint="cs"/>
          <w:sz w:val="27"/>
          <w:rtl/>
        </w:rPr>
        <w:t>ْ</w:t>
      </w:r>
      <w:r w:rsidRPr="006571AC">
        <w:rPr>
          <w:rFonts w:hint="cs"/>
          <w:sz w:val="27"/>
          <w:rtl/>
        </w:rPr>
        <w:t>نا</w:t>
      </w:r>
      <w:r w:rsidR="00695A3C" w:rsidRPr="006571AC">
        <w:rPr>
          <w:rFonts w:hint="cs"/>
          <w:sz w:val="27"/>
          <w:rtl/>
        </w:rPr>
        <w:t xml:space="preserve"> سابقاً</w:t>
      </w:r>
      <w:r w:rsidRPr="006571AC">
        <w:rPr>
          <w:rFonts w:hint="cs"/>
          <w:sz w:val="27"/>
          <w:rtl/>
        </w:rPr>
        <w:t xml:space="preserve"> فإن السياق بالمعنى الأخص</w:t>
      </w:r>
      <w:r w:rsidR="00695A3C" w:rsidRPr="006571AC">
        <w:rPr>
          <w:rFonts w:hint="cs"/>
          <w:sz w:val="27"/>
          <w:rtl/>
        </w:rPr>
        <w:t>ّ</w:t>
      </w:r>
      <w:r w:rsidRPr="006571AC">
        <w:rPr>
          <w:rFonts w:hint="cs"/>
          <w:sz w:val="27"/>
          <w:rtl/>
        </w:rPr>
        <w:t xml:space="preserve"> يعني كيفية ترتيب الكلام واختيار المفردات. وأما سياق الضمنية فهو عبارة</w:t>
      </w:r>
      <w:r w:rsidR="00695A3C" w:rsidRPr="006571AC">
        <w:rPr>
          <w:rFonts w:hint="cs"/>
          <w:sz w:val="27"/>
          <w:rtl/>
        </w:rPr>
        <w:t>ٌ</w:t>
      </w:r>
      <w:r w:rsidRPr="006571AC">
        <w:rPr>
          <w:rFonts w:hint="cs"/>
          <w:sz w:val="27"/>
          <w:rtl/>
        </w:rPr>
        <w:t xml:space="preserve"> عن ترتيب الكلام بحيث يتم</w:t>
      </w:r>
      <w:r w:rsidR="00695A3C" w:rsidRPr="006571AC">
        <w:rPr>
          <w:rFonts w:hint="cs"/>
          <w:sz w:val="27"/>
          <w:rtl/>
        </w:rPr>
        <w:t>ّ</w:t>
      </w:r>
      <w:r w:rsidRPr="006571AC">
        <w:rPr>
          <w:rFonts w:hint="cs"/>
          <w:sz w:val="27"/>
          <w:rtl/>
        </w:rPr>
        <w:t xml:space="preserve"> بيان مضمون</w:t>
      </w:r>
      <w:r w:rsidR="00695A3C" w:rsidRPr="006571AC">
        <w:rPr>
          <w:rFonts w:hint="cs"/>
          <w:sz w:val="27"/>
          <w:rtl/>
        </w:rPr>
        <w:t>ٍ</w:t>
      </w:r>
      <w:r w:rsidRPr="006571AC">
        <w:rPr>
          <w:rFonts w:hint="cs"/>
          <w:sz w:val="27"/>
          <w:rtl/>
        </w:rPr>
        <w:t xml:space="preserve"> ومحتوى</w:t>
      </w:r>
      <w:r w:rsidR="00695A3C" w:rsidRPr="006571AC">
        <w:rPr>
          <w:rFonts w:hint="cs"/>
          <w:sz w:val="27"/>
          <w:rtl/>
        </w:rPr>
        <w:t>ً</w:t>
      </w:r>
      <w:r w:rsidRPr="006571AC">
        <w:rPr>
          <w:rFonts w:hint="cs"/>
          <w:sz w:val="27"/>
          <w:rtl/>
        </w:rPr>
        <w:t xml:space="preserve"> ضمن مضمون</w:t>
      </w:r>
      <w:r w:rsidR="00695A3C" w:rsidRPr="006571AC">
        <w:rPr>
          <w:rFonts w:hint="cs"/>
          <w:sz w:val="27"/>
          <w:rtl/>
        </w:rPr>
        <w:t>ٍ</w:t>
      </w:r>
      <w:r w:rsidRPr="006571AC">
        <w:rPr>
          <w:rFonts w:hint="cs"/>
          <w:sz w:val="27"/>
          <w:rtl/>
        </w:rPr>
        <w:t xml:space="preserve"> ومحتوى</w:t>
      </w:r>
      <w:r w:rsidR="00695A3C" w:rsidRPr="006571AC">
        <w:rPr>
          <w:rFonts w:hint="cs"/>
          <w:sz w:val="27"/>
          <w:rtl/>
        </w:rPr>
        <w:t>ً</w:t>
      </w:r>
      <w:r w:rsidRPr="006571AC">
        <w:rPr>
          <w:rFonts w:hint="cs"/>
          <w:sz w:val="27"/>
          <w:rtl/>
        </w:rPr>
        <w:t xml:space="preserve"> آخر، أو ضمن حالة</w:t>
      </w:r>
      <w:r w:rsidR="00695A3C" w:rsidRPr="006571AC">
        <w:rPr>
          <w:rFonts w:hint="cs"/>
          <w:sz w:val="27"/>
          <w:rtl/>
        </w:rPr>
        <w:t>ٍ</w:t>
      </w:r>
      <w:r w:rsidRPr="006571AC">
        <w:rPr>
          <w:rFonts w:hint="cs"/>
          <w:sz w:val="27"/>
          <w:rtl/>
        </w:rPr>
        <w:t xml:space="preserve"> حاكمة على الكلام. </w:t>
      </w:r>
    </w:p>
    <w:p w:rsidR="00A75C8B" w:rsidRPr="006571AC" w:rsidRDefault="00A75C8B" w:rsidP="00C95139">
      <w:pPr>
        <w:rPr>
          <w:sz w:val="27"/>
          <w:rtl/>
        </w:rPr>
      </w:pPr>
      <w:r w:rsidRPr="006571AC">
        <w:rPr>
          <w:rFonts w:hint="cs"/>
          <w:sz w:val="27"/>
          <w:rtl/>
        </w:rPr>
        <w:t>إن ضمنية المضمون والمحتوى في مضمون</w:t>
      </w:r>
      <w:r w:rsidR="00695A3C" w:rsidRPr="006571AC">
        <w:rPr>
          <w:rFonts w:hint="cs"/>
          <w:sz w:val="27"/>
          <w:rtl/>
        </w:rPr>
        <w:t>ٍ</w:t>
      </w:r>
      <w:r w:rsidRPr="006571AC">
        <w:rPr>
          <w:rFonts w:hint="cs"/>
          <w:sz w:val="27"/>
          <w:rtl/>
        </w:rPr>
        <w:t xml:space="preserve"> آخر كثيرة الاستعمال. وقد أشار الآخوند في ذيل هذه الرواية: </w:t>
      </w:r>
      <w:r w:rsidRPr="006571AC">
        <w:rPr>
          <w:rFonts w:hint="eastAsia"/>
          <w:sz w:val="24"/>
          <w:szCs w:val="24"/>
          <w:rtl/>
        </w:rPr>
        <w:t>«</w:t>
      </w:r>
      <w:r w:rsidR="00695A3C" w:rsidRPr="006571AC">
        <w:rPr>
          <w:rFonts w:hint="cs"/>
          <w:sz w:val="27"/>
          <w:rtl/>
        </w:rPr>
        <w:t>...</w:t>
      </w:r>
      <w:r w:rsidRPr="006571AC">
        <w:rPr>
          <w:rFonts w:hint="cs"/>
          <w:sz w:val="27"/>
          <w:rtl/>
        </w:rPr>
        <w:t>البيّ</w:t>
      </w:r>
      <w:r w:rsidR="00695A3C" w:rsidRPr="006571AC">
        <w:rPr>
          <w:rFonts w:hint="cs"/>
          <w:sz w:val="27"/>
          <w:rtl/>
        </w:rPr>
        <w:t>ِ</w:t>
      </w:r>
      <w:r w:rsidRPr="006571AC">
        <w:rPr>
          <w:rFonts w:hint="cs"/>
          <w:sz w:val="27"/>
          <w:rtl/>
        </w:rPr>
        <w:t>عان بالخيار ما لم يفترقا...</w:t>
      </w:r>
      <w:r w:rsidRPr="006571AC">
        <w:rPr>
          <w:rFonts w:hint="eastAsia"/>
          <w:sz w:val="24"/>
          <w:szCs w:val="24"/>
          <w:rtl/>
        </w:rPr>
        <w:t>»</w:t>
      </w:r>
      <w:r w:rsidRPr="006571AC">
        <w:rPr>
          <w:sz w:val="27"/>
          <w:vertAlign w:val="superscript"/>
          <w:rtl/>
        </w:rPr>
        <w:t>(</w:t>
      </w:r>
      <w:r w:rsidRPr="006571AC">
        <w:rPr>
          <w:rStyle w:val="ac"/>
          <w:sz w:val="27"/>
          <w:rtl/>
        </w:rPr>
        <w:endnoteReference w:id="180"/>
      </w:r>
      <w:r w:rsidRPr="006571AC">
        <w:rPr>
          <w:sz w:val="27"/>
          <w:vertAlign w:val="superscript"/>
          <w:rtl/>
        </w:rPr>
        <w:t>)</w:t>
      </w:r>
      <w:r w:rsidRPr="006571AC">
        <w:rPr>
          <w:sz w:val="27"/>
          <w:rtl/>
        </w:rPr>
        <w:t xml:space="preserve"> </w:t>
      </w:r>
      <w:r w:rsidRPr="006571AC">
        <w:rPr>
          <w:rFonts w:hint="cs"/>
          <w:sz w:val="27"/>
          <w:rtl/>
        </w:rPr>
        <w:t>إلى هذه النقطة، وهي أن المراد من الافتراق هو الافتراق من المجلس الذي عقداه من أجل البيع، وليس المجلس الذي يعقده وكلاؤهما، ويكون لهما مجرّ</w:t>
      </w:r>
      <w:r w:rsidR="00695A3C" w:rsidRPr="006571AC">
        <w:rPr>
          <w:rFonts w:hint="cs"/>
          <w:sz w:val="27"/>
          <w:rtl/>
        </w:rPr>
        <w:t>َ</w:t>
      </w:r>
      <w:r w:rsidRPr="006571AC">
        <w:rPr>
          <w:rFonts w:hint="cs"/>
          <w:sz w:val="27"/>
          <w:rtl/>
        </w:rPr>
        <w:t>د حضور</w:t>
      </w:r>
      <w:r w:rsidR="00695A3C" w:rsidRPr="006571AC">
        <w:rPr>
          <w:rFonts w:hint="cs"/>
          <w:sz w:val="27"/>
          <w:rtl/>
        </w:rPr>
        <w:t>ٍ</w:t>
      </w:r>
      <w:r w:rsidRPr="006571AC">
        <w:rPr>
          <w:rFonts w:hint="cs"/>
          <w:sz w:val="27"/>
          <w:rtl/>
        </w:rPr>
        <w:t xml:space="preserve"> فيه، وقام بإسناد هذا الفهم على النحو </w:t>
      </w:r>
      <w:r w:rsidR="00695A3C" w:rsidRPr="006571AC">
        <w:rPr>
          <w:rFonts w:hint="cs"/>
          <w:sz w:val="27"/>
          <w:rtl/>
        </w:rPr>
        <w:t>التالي</w:t>
      </w:r>
      <w:r w:rsidRPr="006571AC">
        <w:rPr>
          <w:rFonts w:hint="cs"/>
          <w:sz w:val="27"/>
          <w:rtl/>
        </w:rPr>
        <w:t xml:space="preserve">: </w:t>
      </w:r>
      <w:r w:rsidRPr="006571AC">
        <w:rPr>
          <w:rFonts w:hint="eastAsia"/>
          <w:sz w:val="24"/>
          <w:szCs w:val="24"/>
          <w:rtl/>
        </w:rPr>
        <w:t>«</w:t>
      </w:r>
      <w:r w:rsidR="00695A3C" w:rsidRPr="006571AC">
        <w:rPr>
          <w:rFonts w:hint="cs"/>
          <w:sz w:val="27"/>
          <w:rtl/>
        </w:rPr>
        <w:t>...</w:t>
      </w:r>
      <w:r w:rsidRPr="006571AC">
        <w:rPr>
          <w:rFonts w:hint="cs"/>
          <w:sz w:val="27"/>
          <w:rtl/>
        </w:rPr>
        <w:t>إ</w:t>
      </w:r>
      <w:r w:rsidRPr="006571AC">
        <w:rPr>
          <w:sz w:val="27"/>
          <w:rtl/>
        </w:rPr>
        <w:t>ن المنساق</w:t>
      </w:r>
      <w:r w:rsidR="005A3C1E" w:rsidRPr="006571AC">
        <w:rPr>
          <w:rFonts w:hint="cs"/>
          <w:sz w:val="27"/>
          <w:rtl/>
        </w:rPr>
        <w:t>َ</w:t>
      </w:r>
      <w:r w:rsidRPr="006571AC">
        <w:rPr>
          <w:sz w:val="27"/>
          <w:rtl/>
        </w:rPr>
        <w:t xml:space="preserve"> منه</w:t>
      </w:r>
      <w:r w:rsidR="005A3C1E" w:rsidRPr="006571AC">
        <w:rPr>
          <w:rFonts w:hint="cs"/>
          <w:sz w:val="27"/>
          <w:rtl/>
        </w:rPr>
        <w:t>؛</w:t>
      </w:r>
      <w:r w:rsidRPr="006571AC">
        <w:rPr>
          <w:sz w:val="27"/>
          <w:rtl/>
        </w:rPr>
        <w:t xml:space="preserve"> بقرينة السياق</w:t>
      </w:r>
      <w:r w:rsidR="005A3C1E" w:rsidRPr="006571AC">
        <w:rPr>
          <w:rFonts w:hint="cs"/>
          <w:sz w:val="27"/>
          <w:rtl/>
        </w:rPr>
        <w:t>،</w:t>
      </w:r>
      <w:r w:rsidRPr="006571AC">
        <w:rPr>
          <w:sz w:val="27"/>
          <w:rtl/>
        </w:rPr>
        <w:t xml:space="preserve"> الافتراق</w:t>
      </w:r>
      <w:r w:rsidR="005A3C1E" w:rsidRPr="006571AC">
        <w:rPr>
          <w:rFonts w:hint="cs"/>
          <w:sz w:val="27"/>
          <w:rtl/>
        </w:rPr>
        <w:t>ُ</w:t>
      </w:r>
      <w:r w:rsidRPr="006571AC">
        <w:rPr>
          <w:sz w:val="27"/>
          <w:rtl/>
        </w:rPr>
        <w:t xml:space="preserve"> عن الاجتماع البيع</w:t>
      </w:r>
      <w:r w:rsidRPr="006571AC">
        <w:rPr>
          <w:rFonts w:hint="cs"/>
          <w:sz w:val="27"/>
          <w:rtl/>
        </w:rPr>
        <w:t>ي</w:t>
      </w:r>
      <w:r w:rsidR="00695A3C" w:rsidRPr="006571AC">
        <w:rPr>
          <w:rFonts w:hint="cs"/>
          <w:sz w:val="27"/>
          <w:rtl/>
        </w:rPr>
        <w:t>ّ...</w:t>
      </w:r>
      <w:r w:rsidRPr="006571AC">
        <w:rPr>
          <w:rFonts w:hint="eastAsia"/>
          <w:sz w:val="24"/>
          <w:szCs w:val="24"/>
          <w:rtl/>
        </w:rPr>
        <w:t>»</w:t>
      </w:r>
      <w:r w:rsidRPr="006571AC">
        <w:rPr>
          <w:sz w:val="27"/>
          <w:vertAlign w:val="superscript"/>
          <w:rtl/>
        </w:rPr>
        <w:t>(</w:t>
      </w:r>
      <w:r w:rsidRPr="006571AC">
        <w:rPr>
          <w:rStyle w:val="ac"/>
          <w:sz w:val="27"/>
          <w:rtl/>
        </w:rPr>
        <w:endnoteReference w:id="181"/>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 xml:space="preserve">وقال السيد </w:t>
      </w:r>
      <w:r w:rsidR="00695A3C" w:rsidRPr="006571AC">
        <w:rPr>
          <w:rFonts w:hint="cs"/>
          <w:sz w:val="27"/>
          <w:rtl/>
        </w:rPr>
        <w:t xml:space="preserve">الخميني، </w:t>
      </w:r>
      <w:r w:rsidRPr="006571AC">
        <w:rPr>
          <w:rFonts w:hint="cs"/>
          <w:sz w:val="27"/>
          <w:rtl/>
        </w:rPr>
        <w:t xml:space="preserve">في تفسير قوله تعالى: </w:t>
      </w:r>
      <w:r w:rsidRPr="006571AC">
        <w:rPr>
          <w:rFonts w:ascii="Mosawi" w:hAnsi="Mosawi" w:cs="Mosawi"/>
          <w:sz w:val="24"/>
          <w:szCs w:val="24"/>
          <w:rtl/>
        </w:rPr>
        <w:t>﴿</w:t>
      </w:r>
      <w:r w:rsidRPr="006571AC">
        <w:rPr>
          <w:b/>
          <w:bCs/>
          <w:sz w:val="27"/>
          <w:rtl/>
        </w:rPr>
        <w:t>وَمَا كُنَّا مُعَذِّبِينَ حَتَّى نَبْعَثَ رَسُولاً</w:t>
      </w:r>
      <w:r w:rsidRPr="006571AC">
        <w:rPr>
          <w:rFonts w:ascii="Mosawi" w:hAnsi="Mosawi" w:cs="Mosawi"/>
          <w:sz w:val="24"/>
          <w:szCs w:val="24"/>
          <w:rtl/>
        </w:rPr>
        <w:t>﴾</w:t>
      </w:r>
      <w:r w:rsidRPr="006571AC">
        <w:rPr>
          <w:rFonts w:hint="cs"/>
          <w:sz w:val="27"/>
          <w:rtl/>
        </w:rPr>
        <w:t xml:space="preserve"> (الإسراء: 15)</w:t>
      </w:r>
      <w:r w:rsidRPr="006571AC">
        <w:rPr>
          <w:sz w:val="27"/>
          <w:rtl/>
        </w:rPr>
        <w:t xml:space="preserve">: </w:t>
      </w:r>
      <w:r w:rsidRPr="006571AC">
        <w:rPr>
          <w:rFonts w:hint="eastAsia"/>
          <w:sz w:val="24"/>
          <w:szCs w:val="24"/>
          <w:rtl/>
        </w:rPr>
        <w:t>«</w:t>
      </w:r>
      <w:r w:rsidRPr="006571AC">
        <w:rPr>
          <w:rFonts w:hint="cs"/>
          <w:sz w:val="27"/>
          <w:rtl/>
        </w:rPr>
        <w:t>إن المراد من العذاب هو العذاب الأخروي؛ لوروده في سياق آيات</w:t>
      </w:r>
      <w:r w:rsidR="00695A3C" w:rsidRPr="006571AC">
        <w:rPr>
          <w:rFonts w:hint="cs"/>
          <w:sz w:val="27"/>
          <w:rtl/>
        </w:rPr>
        <w:t>ٍ</w:t>
      </w:r>
      <w:r w:rsidRPr="006571AC">
        <w:rPr>
          <w:rFonts w:hint="cs"/>
          <w:sz w:val="27"/>
          <w:rtl/>
        </w:rPr>
        <w:t xml:space="preserve"> ترتبط بيوم القيامة</w:t>
      </w:r>
      <w:r w:rsidRPr="006571AC">
        <w:rPr>
          <w:rFonts w:hint="eastAsia"/>
          <w:sz w:val="24"/>
          <w:szCs w:val="24"/>
          <w:rtl/>
        </w:rPr>
        <w:t>»</w:t>
      </w:r>
      <w:r w:rsidRPr="006571AC">
        <w:rPr>
          <w:sz w:val="27"/>
          <w:vertAlign w:val="superscript"/>
          <w:rtl/>
        </w:rPr>
        <w:t>(</w:t>
      </w:r>
      <w:r w:rsidRPr="006571AC">
        <w:rPr>
          <w:rStyle w:val="ac"/>
          <w:sz w:val="27"/>
          <w:rtl/>
        </w:rPr>
        <w:endnoteReference w:id="182"/>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lastRenderedPageBreak/>
        <w:t xml:space="preserve">وقد انتقد السيد الخوئي الذين فهموا من قوله تعالى: </w:t>
      </w:r>
      <w:r w:rsidRPr="006571AC">
        <w:rPr>
          <w:rFonts w:ascii="Mosawi" w:hAnsi="Mosawi" w:cs="Mosawi"/>
          <w:sz w:val="24"/>
          <w:szCs w:val="24"/>
          <w:rtl/>
        </w:rPr>
        <w:t>﴿</w:t>
      </w:r>
      <w:r w:rsidRPr="006571AC">
        <w:rPr>
          <w:b/>
          <w:bCs/>
          <w:sz w:val="27"/>
          <w:rtl/>
        </w:rPr>
        <w:t>وَمَا أُمِرُوا إِ</w:t>
      </w:r>
      <w:r w:rsidR="003C2639" w:rsidRPr="006571AC">
        <w:rPr>
          <w:b/>
          <w:bCs/>
          <w:sz w:val="27"/>
          <w:rtl/>
        </w:rPr>
        <w:t>لاّ</w:t>
      </w:r>
      <w:r w:rsidRPr="006571AC">
        <w:rPr>
          <w:b/>
          <w:bCs/>
          <w:sz w:val="27"/>
          <w:rtl/>
        </w:rPr>
        <w:t xml:space="preserve"> لِيَعْبُدُوا </w:t>
      </w:r>
      <w:r w:rsidR="0097633B" w:rsidRPr="006571AC">
        <w:rPr>
          <w:b/>
          <w:bCs/>
          <w:sz w:val="27"/>
          <w:rtl/>
        </w:rPr>
        <w:t>الل</w:t>
      </w:r>
      <w:r w:rsidRPr="006571AC">
        <w:rPr>
          <w:b/>
          <w:bCs/>
          <w:sz w:val="27"/>
          <w:rtl/>
        </w:rPr>
        <w:t>هَ مُخْلِصِينَ لَهُ الدِّينَ</w:t>
      </w:r>
      <w:r w:rsidRPr="006571AC">
        <w:rPr>
          <w:rFonts w:ascii="Mosawi" w:hAnsi="Mosawi" w:cs="Mosawi"/>
          <w:sz w:val="24"/>
          <w:szCs w:val="24"/>
          <w:rtl/>
        </w:rPr>
        <w:t>﴾</w:t>
      </w:r>
      <w:r w:rsidRPr="006571AC">
        <w:rPr>
          <w:rFonts w:hint="cs"/>
          <w:sz w:val="27"/>
          <w:rtl/>
        </w:rPr>
        <w:t xml:space="preserve"> (البيّ</w:t>
      </w:r>
      <w:r w:rsidR="00695A3C" w:rsidRPr="006571AC">
        <w:rPr>
          <w:rFonts w:hint="cs"/>
          <w:sz w:val="27"/>
          <w:rtl/>
        </w:rPr>
        <w:t>ِ</w:t>
      </w:r>
      <w:r w:rsidRPr="006571AC">
        <w:rPr>
          <w:rFonts w:hint="cs"/>
          <w:sz w:val="27"/>
          <w:rtl/>
        </w:rPr>
        <w:t>نة: 5)</w:t>
      </w:r>
      <w:r w:rsidRPr="006571AC">
        <w:rPr>
          <w:sz w:val="27"/>
          <w:rtl/>
        </w:rPr>
        <w:t xml:space="preserve"> </w:t>
      </w:r>
      <w:r w:rsidRPr="006571AC">
        <w:rPr>
          <w:rFonts w:hint="cs"/>
          <w:sz w:val="27"/>
          <w:rtl/>
        </w:rPr>
        <w:t>أن الأصل الأو</w:t>
      </w:r>
      <w:r w:rsidR="00695A3C" w:rsidRPr="006571AC">
        <w:rPr>
          <w:rFonts w:hint="cs"/>
          <w:sz w:val="27"/>
          <w:rtl/>
        </w:rPr>
        <w:t>ّ</w:t>
      </w:r>
      <w:r w:rsidRPr="006571AC">
        <w:rPr>
          <w:rFonts w:hint="cs"/>
          <w:sz w:val="27"/>
          <w:rtl/>
        </w:rPr>
        <w:t>لي في الأوامر الإلهية هو عبادي</w:t>
      </w:r>
      <w:r w:rsidR="00695A3C" w:rsidRPr="006571AC">
        <w:rPr>
          <w:rFonts w:hint="cs"/>
          <w:sz w:val="27"/>
          <w:rtl/>
        </w:rPr>
        <w:t>ّ</w:t>
      </w:r>
      <w:r w:rsidRPr="006571AC">
        <w:rPr>
          <w:rFonts w:hint="cs"/>
          <w:sz w:val="27"/>
          <w:rtl/>
        </w:rPr>
        <w:t xml:space="preserve">تها، فقال: </w:t>
      </w:r>
      <w:r w:rsidRPr="006571AC">
        <w:rPr>
          <w:rFonts w:hint="eastAsia"/>
          <w:sz w:val="24"/>
          <w:szCs w:val="24"/>
          <w:rtl/>
        </w:rPr>
        <w:t>«</w:t>
      </w:r>
      <w:r w:rsidRPr="006571AC">
        <w:rPr>
          <w:rFonts w:hint="cs"/>
          <w:sz w:val="27"/>
          <w:rtl/>
        </w:rPr>
        <w:t xml:space="preserve">إن ورود هذا الكلام في سياق قوله تعالى: </w:t>
      </w:r>
      <w:r w:rsidRPr="006571AC">
        <w:rPr>
          <w:rFonts w:ascii="Mosawi" w:hAnsi="Mosawi" w:cs="Mosawi"/>
          <w:sz w:val="24"/>
          <w:szCs w:val="24"/>
          <w:rtl/>
        </w:rPr>
        <w:t>﴿</w:t>
      </w:r>
      <w:r w:rsidRPr="006571AC">
        <w:rPr>
          <w:b/>
          <w:bCs/>
          <w:sz w:val="27"/>
          <w:rtl/>
        </w:rPr>
        <w:t>لَمْ يَكُنِ الَّذِينَ كَفَرُوا مِنْ أَهْلِ الْكِتَابِ وَالْمُشْرِكِينَ مُنْفَكِّينَ حَتَّى تَأْتِيَهُمُ الْبَيِّنَةُ</w:t>
      </w:r>
      <w:r w:rsidRPr="006571AC">
        <w:rPr>
          <w:rFonts w:ascii="Mosawi" w:hAnsi="Mosawi" w:cs="Mosawi"/>
          <w:sz w:val="24"/>
          <w:szCs w:val="24"/>
          <w:rtl/>
        </w:rPr>
        <w:t>﴾</w:t>
      </w:r>
      <w:r w:rsidRPr="006571AC">
        <w:rPr>
          <w:rFonts w:hint="cs"/>
          <w:sz w:val="27"/>
          <w:rtl/>
        </w:rPr>
        <w:t xml:space="preserve"> (البيّنة: 1)</w:t>
      </w:r>
      <w:r w:rsidRPr="006571AC">
        <w:rPr>
          <w:rFonts w:hint="eastAsia"/>
          <w:sz w:val="24"/>
          <w:szCs w:val="24"/>
          <w:rtl/>
        </w:rPr>
        <w:t>»</w:t>
      </w:r>
      <w:r w:rsidRPr="006571AC">
        <w:rPr>
          <w:sz w:val="27"/>
          <w:vertAlign w:val="superscript"/>
          <w:rtl/>
        </w:rPr>
        <w:t>(</w:t>
      </w:r>
      <w:r w:rsidRPr="006571AC">
        <w:rPr>
          <w:rStyle w:val="ac"/>
          <w:sz w:val="27"/>
          <w:rtl/>
        </w:rPr>
        <w:endnoteReference w:id="183"/>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ففي جميع هذه الموارد يُستفاد شيء</w:t>
      </w:r>
      <w:r w:rsidR="00A84B06" w:rsidRPr="006571AC">
        <w:rPr>
          <w:rFonts w:hint="cs"/>
          <w:sz w:val="27"/>
          <w:rtl/>
        </w:rPr>
        <w:t>ٌ</w:t>
      </w:r>
      <w:r w:rsidRPr="006571AC">
        <w:rPr>
          <w:rFonts w:hint="cs"/>
          <w:sz w:val="27"/>
          <w:rtl/>
        </w:rPr>
        <w:t xml:space="preserve"> من بيان مضمون</w:t>
      </w:r>
      <w:r w:rsidR="00A84B06" w:rsidRPr="006571AC">
        <w:rPr>
          <w:rFonts w:hint="cs"/>
          <w:sz w:val="27"/>
          <w:rtl/>
        </w:rPr>
        <w:t>ٍ</w:t>
      </w:r>
      <w:r w:rsidRPr="006571AC">
        <w:rPr>
          <w:rFonts w:hint="cs"/>
          <w:sz w:val="27"/>
          <w:rtl/>
        </w:rPr>
        <w:t xml:space="preserve"> ومحتوى</w:t>
      </w:r>
      <w:r w:rsidR="00A84B06" w:rsidRPr="006571AC">
        <w:rPr>
          <w:rFonts w:hint="cs"/>
          <w:sz w:val="27"/>
          <w:rtl/>
        </w:rPr>
        <w:t>ً</w:t>
      </w:r>
      <w:r w:rsidRPr="006571AC">
        <w:rPr>
          <w:rFonts w:hint="cs"/>
          <w:sz w:val="27"/>
          <w:rtl/>
        </w:rPr>
        <w:t>، من قبيل: الخيار، والعذاب، وانحصار الأمر، في ضمن مضمون</w:t>
      </w:r>
      <w:r w:rsidR="00A84B06" w:rsidRPr="006571AC">
        <w:rPr>
          <w:rFonts w:hint="cs"/>
          <w:sz w:val="27"/>
          <w:rtl/>
        </w:rPr>
        <w:t>ٍ</w:t>
      </w:r>
      <w:r w:rsidRPr="006571AC">
        <w:rPr>
          <w:rFonts w:hint="cs"/>
          <w:sz w:val="27"/>
          <w:rtl/>
        </w:rPr>
        <w:t xml:space="preserve"> ومحتوى</w:t>
      </w:r>
      <w:r w:rsidR="00A84B06" w:rsidRPr="006571AC">
        <w:rPr>
          <w:rFonts w:hint="cs"/>
          <w:sz w:val="27"/>
          <w:rtl/>
        </w:rPr>
        <w:t>ً</w:t>
      </w:r>
      <w:r w:rsidRPr="006571AC">
        <w:rPr>
          <w:rFonts w:hint="cs"/>
          <w:sz w:val="27"/>
          <w:rtl/>
        </w:rPr>
        <w:t xml:space="preserve"> آخر، من قبيل: البيع، وأحوال القيامة، وإتمام الحج</w:t>
      </w:r>
      <w:r w:rsidR="00A84B06" w:rsidRPr="006571AC">
        <w:rPr>
          <w:rFonts w:hint="cs"/>
          <w:sz w:val="27"/>
          <w:rtl/>
        </w:rPr>
        <w:t>ّ</w:t>
      </w:r>
      <w:r w:rsidRPr="006571AC">
        <w:rPr>
          <w:rFonts w:hint="cs"/>
          <w:sz w:val="27"/>
          <w:rtl/>
        </w:rPr>
        <w:t xml:space="preserve">ة على الكفار. </w:t>
      </w:r>
    </w:p>
    <w:p w:rsidR="00A75C8B" w:rsidRPr="006571AC" w:rsidRDefault="00A75C8B" w:rsidP="00C95139">
      <w:pPr>
        <w:rPr>
          <w:sz w:val="27"/>
          <w:rtl/>
        </w:rPr>
      </w:pPr>
      <w:r w:rsidRPr="006571AC">
        <w:rPr>
          <w:rFonts w:hint="cs"/>
          <w:sz w:val="27"/>
          <w:rtl/>
        </w:rPr>
        <w:t>إن موارد الضمنية لا تقتصر على بيان مضمون</w:t>
      </w:r>
      <w:r w:rsidR="00A84B06" w:rsidRPr="006571AC">
        <w:rPr>
          <w:rFonts w:hint="cs"/>
          <w:sz w:val="27"/>
          <w:rtl/>
        </w:rPr>
        <w:t>ٍ</w:t>
      </w:r>
      <w:r w:rsidRPr="006571AC">
        <w:rPr>
          <w:rFonts w:hint="cs"/>
          <w:sz w:val="27"/>
          <w:rtl/>
        </w:rPr>
        <w:t xml:space="preserve"> ومحتوى</w:t>
      </w:r>
      <w:r w:rsidR="00A84B06" w:rsidRPr="006571AC">
        <w:rPr>
          <w:rFonts w:hint="cs"/>
          <w:sz w:val="27"/>
          <w:rtl/>
        </w:rPr>
        <w:t>ً</w:t>
      </w:r>
      <w:r w:rsidRPr="006571AC">
        <w:rPr>
          <w:rFonts w:hint="cs"/>
          <w:sz w:val="27"/>
          <w:rtl/>
        </w:rPr>
        <w:t xml:space="preserve"> ضمن مضمون</w:t>
      </w:r>
      <w:r w:rsidR="00A84B06" w:rsidRPr="006571AC">
        <w:rPr>
          <w:rFonts w:hint="cs"/>
          <w:sz w:val="27"/>
          <w:rtl/>
        </w:rPr>
        <w:t>ٍ</w:t>
      </w:r>
      <w:r w:rsidRPr="006571AC">
        <w:rPr>
          <w:rFonts w:hint="cs"/>
          <w:sz w:val="27"/>
          <w:rtl/>
        </w:rPr>
        <w:t xml:space="preserve"> ومحتوى</w:t>
      </w:r>
      <w:r w:rsidR="00A84B06" w:rsidRPr="006571AC">
        <w:rPr>
          <w:rFonts w:hint="cs"/>
          <w:sz w:val="27"/>
          <w:rtl/>
        </w:rPr>
        <w:t>ً</w:t>
      </w:r>
      <w:r w:rsidRPr="006571AC">
        <w:rPr>
          <w:rFonts w:hint="cs"/>
          <w:sz w:val="27"/>
          <w:rtl/>
        </w:rPr>
        <w:t xml:space="preserve"> آخر. بل قد يتمّ في بعض الأحيان بيان محتوى</w:t>
      </w:r>
      <w:r w:rsidR="00A84B06" w:rsidRPr="006571AC">
        <w:rPr>
          <w:rFonts w:hint="cs"/>
          <w:sz w:val="27"/>
          <w:rtl/>
        </w:rPr>
        <w:t>ً</w:t>
      </w:r>
      <w:r w:rsidRPr="006571AC">
        <w:rPr>
          <w:rFonts w:hint="cs"/>
          <w:sz w:val="27"/>
          <w:rtl/>
        </w:rPr>
        <w:t xml:space="preserve"> ومضمون</w:t>
      </w:r>
      <w:r w:rsidR="00A84B06" w:rsidRPr="006571AC">
        <w:rPr>
          <w:rFonts w:hint="cs"/>
          <w:sz w:val="27"/>
          <w:rtl/>
        </w:rPr>
        <w:t>ٍ</w:t>
      </w:r>
      <w:r w:rsidRPr="006571AC">
        <w:rPr>
          <w:rFonts w:hint="cs"/>
          <w:sz w:val="27"/>
          <w:rtl/>
        </w:rPr>
        <w:t xml:space="preserve"> ضمن حالة</w:t>
      </w:r>
      <w:r w:rsidR="00A84B06" w:rsidRPr="006571AC">
        <w:rPr>
          <w:rFonts w:hint="cs"/>
          <w:sz w:val="27"/>
          <w:rtl/>
        </w:rPr>
        <w:t>ٍ</w:t>
      </w:r>
      <w:r w:rsidRPr="006571AC">
        <w:rPr>
          <w:rFonts w:hint="cs"/>
          <w:sz w:val="27"/>
          <w:rtl/>
        </w:rPr>
        <w:t xml:space="preserve"> حاكمة</w:t>
      </w:r>
      <w:r w:rsidR="00A84B06" w:rsidRPr="006571AC">
        <w:rPr>
          <w:rFonts w:hint="cs"/>
          <w:sz w:val="27"/>
          <w:rtl/>
        </w:rPr>
        <w:t>ٍ</w:t>
      </w:r>
      <w:r w:rsidRPr="006571AC">
        <w:rPr>
          <w:rFonts w:hint="cs"/>
          <w:sz w:val="27"/>
          <w:rtl/>
        </w:rPr>
        <w:t xml:space="preserve"> على الكلام. قال الشيخ الأنصاري</w:t>
      </w:r>
      <w:r w:rsidR="00A84B06" w:rsidRPr="006571AC">
        <w:rPr>
          <w:rFonts w:hint="cs"/>
          <w:sz w:val="27"/>
          <w:rtl/>
        </w:rPr>
        <w:t>،</w:t>
      </w:r>
      <w:r w:rsidRPr="006571AC">
        <w:rPr>
          <w:rFonts w:hint="cs"/>
          <w:sz w:val="27"/>
          <w:rtl/>
        </w:rPr>
        <w:t xml:space="preserve"> في ذيل قوله تعالى: </w:t>
      </w:r>
      <w:r w:rsidRPr="006571AC">
        <w:rPr>
          <w:rFonts w:ascii="Mosawi" w:hAnsi="Mosawi" w:cs="Mosawi"/>
          <w:sz w:val="24"/>
          <w:szCs w:val="24"/>
          <w:rtl/>
        </w:rPr>
        <w:t>﴿</w:t>
      </w:r>
      <w:r w:rsidRPr="006571AC">
        <w:rPr>
          <w:b/>
          <w:bCs/>
          <w:sz w:val="27"/>
          <w:rtl/>
        </w:rPr>
        <w:t>يَأْمُرُهُمْ بِالْمَعْرُوفِ وَيَنْهَاهُمْ عَنِ الْمُنْكَرِ</w:t>
      </w:r>
      <w:r w:rsidRPr="006571AC">
        <w:rPr>
          <w:rFonts w:ascii="Mosawi" w:hAnsi="Mosawi" w:cs="Mosawi"/>
          <w:sz w:val="24"/>
          <w:szCs w:val="24"/>
          <w:rtl/>
        </w:rPr>
        <w:t>﴾</w:t>
      </w:r>
      <w:r w:rsidRPr="006571AC">
        <w:rPr>
          <w:rFonts w:hint="cs"/>
          <w:sz w:val="27"/>
          <w:rtl/>
        </w:rPr>
        <w:t xml:space="preserve"> (الأعراف: 157)</w:t>
      </w:r>
      <w:r w:rsidR="00A84B06" w:rsidRPr="006571AC">
        <w:rPr>
          <w:rFonts w:hint="cs"/>
          <w:sz w:val="27"/>
          <w:rtl/>
        </w:rPr>
        <w:t>،</w:t>
      </w:r>
      <w:r w:rsidRPr="006571AC">
        <w:rPr>
          <w:sz w:val="27"/>
          <w:rtl/>
        </w:rPr>
        <w:t xml:space="preserve"> </w:t>
      </w:r>
      <w:r w:rsidRPr="006571AC">
        <w:rPr>
          <w:rFonts w:hint="cs"/>
          <w:sz w:val="27"/>
          <w:rtl/>
        </w:rPr>
        <w:t>في إثبات الملازمة بين حكم العقل وحكم الشرع في الحُس</w:t>
      </w:r>
      <w:r w:rsidR="00A84B06" w:rsidRPr="006571AC">
        <w:rPr>
          <w:rFonts w:hint="cs"/>
          <w:sz w:val="27"/>
          <w:rtl/>
        </w:rPr>
        <w:t>ْ</w:t>
      </w:r>
      <w:r w:rsidRPr="006571AC">
        <w:rPr>
          <w:rFonts w:hint="cs"/>
          <w:sz w:val="27"/>
          <w:rtl/>
        </w:rPr>
        <w:t>ن والق</w:t>
      </w:r>
      <w:r w:rsidR="005A3C1E" w:rsidRPr="006571AC">
        <w:rPr>
          <w:rFonts w:hint="cs"/>
          <w:sz w:val="27"/>
          <w:rtl/>
        </w:rPr>
        <w:t>ُ</w:t>
      </w:r>
      <w:r w:rsidRPr="006571AC">
        <w:rPr>
          <w:rFonts w:hint="cs"/>
          <w:sz w:val="27"/>
          <w:rtl/>
        </w:rPr>
        <w:t>ب</w:t>
      </w:r>
      <w:r w:rsidR="005A3C1E" w:rsidRPr="006571AC">
        <w:rPr>
          <w:rFonts w:hint="cs"/>
          <w:sz w:val="27"/>
          <w:rtl/>
        </w:rPr>
        <w:t>ْ</w:t>
      </w:r>
      <w:r w:rsidRPr="006571AC">
        <w:rPr>
          <w:rFonts w:hint="cs"/>
          <w:sz w:val="27"/>
          <w:rtl/>
        </w:rPr>
        <w:t xml:space="preserve">ح العقلي: </w:t>
      </w:r>
      <w:r w:rsidRPr="006571AC">
        <w:rPr>
          <w:rFonts w:hint="eastAsia"/>
          <w:sz w:val="24"/>
          <w:szCs w:val="24"/>
          <w:rtl/>
        </w:rPr>
        <w:t>«</w:t>
      </w:r>
      <w:r w:rsidR="00A84B06" w:rsidRPr="006571AC">
        <w:rPr>
          <w:rFonts w:hint="cs"/>
          <w:sz w:val="27"/>
          <w:rtl/>
        </w:rPr>
        <w:t>...</w:t>
      </w:r>
      <w:r w:rsidRPr="006571AC">
        <w:rPr>
          <w:rFonts w:hint="cs"/>
          <w:sz w:val="27"/>
          <w:rtl/>
        </w:rPr>
        <w:t>إن المعروف هو الحُس</w:t>
      </w:r>
      <w:r w:rsidR="00A84B06" w:rsidRPr="006571AC">
        <w:rPr>
          <w:rFonts w:hint="cs"/>
          <w:sz w:val="27"/>
          <w:rtl/>
        </w:rPr>
        <w:t>ْ</w:t>
      </w:r>
      <w:r w:rsidRPr="006571AC">
        <w:rPr>
          <w:rFonts w:hint="cs"/>
          <w:sz w:val="27"/>
          <w:rtl/>
        </w:rPr>
        <w:t>ن، والمنكر هو الق</w:t>
      </w:r>
      <w:r w:rsidR="00A84B06" w:rsidRPr="006571AC">
        <w:rPr>
          <w:rFonts w:hint="cs"/>
          <w:sz w:val="27"/>
          <w:rtl/>
        </w:rPr>
        <w:t>ُ</w:t>
      </w:r>
      <w:r w:rsidRPr="006571AC">
        <w:rPr>
          <w:rFonts w:hint="cs"/>
          <w:sz w:val="27"/>
          <w:rtl/>
        </w:rPr>
        <w:t>ب</w:t>
      </w:r>
      <w:r w:rsidR="00A84B06" w:rsidRPr="006571AC">
        <w:rPr>
          <w:rFonts w:hint="cs"/>
          <w:sz w:val="27"/>
          <w:rtl/>
        </w:rPr>
        <w:t>ْ</w:t>
      </w:r>
      <w:r w:rsidRPr="006571AC">
        <w:rPr>
          <w:rFonts w:hint="cs"/>
          <w:sz w:val="27"/>
          <w:rtl/>
        </w:rPr>
        <w:t>ح العقلي. والتعميم ب</w:t>
      </w:r>
      <w:r w:rsidR="00EA38F1" w:rsidRPr="006571AC">
        <w:rPr>
          <w:rFonts w:hint="cs"/>
          <w:sz w:val="27"/>
          <w:rtl/>
        </w:rPr>
        <w:t>دَوْر</w:t>
      </w:r>
      <w:r w:rsidRPr="006571AC">
        <w:rPr>
          <w:rFonts w:hint="cs"/>
          <w:sz w:val="27"/>
          <w:rtl/>
        </w:rPr>
        <w:t>ه يُستفاد من سياق مقام المدح</w:t>
      </w:r>
      <w:r w:rsidRPr="006571AC">
        <w:rPr>
          <w:rFonts w:hint="eastAsia"/>
          <w:sz w:val="24"/>
          <w:szCs w:val="24"/>
          <w:rtl/>
        </w:rPr>
        <w:t>»</w:t>
      </w:r>
      <w:r w:rsidRPr="006571AC">
        <w:rPr>
          <w:sz w:val="27"/>
          <w:vertAlign w:val="superscript"/>
          <w:rtl/>
        </w:rPr>
        <w:t>(</w:t>
      </w:r>
      <w:r w:rsidRPr="006571AC">
        <w:rPr>
          <w:rStyle w:val="ac"/>
          <w:sz w:val="27"/>
          <w:rtl/>
        </w:rPr>
        <w:endnoteReference w:id="184"/>
      </w:r>
      <w:r w:rsidRPr="006571AC">
        <w:rPr>
          <w:sz w:val="27"/>
          <w:vertAlign w:val="superscript"/>
          <w:rtl/>
        </w:rPr>
        <w:t>)</w:t>
      </w:r>
      <w:r w:rsidRPr="006571AC">
        <w:rPr>
          <w:sz w:val="27"/>
          <w:rtl/>
        </w:rPr>
        <w:t>.</w:t>
      </w:r>
      <w:r w:rsidRPr="006571AC">
        <w:rPr>
          <w:rFonts w:hint="cs"/>
          <w:sz w:val="27"/>
          <w:rtl/>
        </w:rPr>
        <w:t xml:space="preserve"> إن فضاء المدح الذي تمّ إيجاده لجهة خاص</w:t>
      </w:r>
      <w:r w:rsidR="00A84B06" w:rsidRPr="006571AC">
        <w:rPr>
          <w:rFonts w:hint="cs"/>
          <w:sz w:val="27"/>
          <w:rtl/>
        </w:rPr>
        <w:t>ّي</w:t>
      </w:r>
      <w:r w:rsidRPr="006571AC">
        <w:rPr>
          <w:rFonts w:hint="cs"/>
          <w:sz w:val="27"/>
          <w:rtl/>
        </w:rPr>
        <w:t>ة المحتوى في الكلام يؤد</w:t>
      </w:r>
      <w:r w:rsidR="00A84B06" w:rsidRPr="006571AC">
        <w:rPr>
          <w:rFonts w:hint="cs"/>
          <w:sz w:val="27"/>
          <w:rtl/>
        </w:rPr>
        <w:t>ّ</w:t>
      </w:r>
      <w:r w:rsidRPr="006571AC">
        <w:rPr>
          <w:rFonts w:hint="cs"/>
          <w:sz w:val="27"/>
          <w:rtl/>
        </w:rPr>
        <w:t xml:space="preserve">ي إلى تعميم المحتوى الذي تمّ بيانه ضمن الكلام. </w:t>
      </w:r>
    </w:p>
    <w:p w:rsidR="00A75C8B" w:rsidRPr="006571AC" w:rsidRDefault="00A84B06" w:rsidP="005A3C1E">
      <w:pPr>
        <w:rPr>
          <w:sz w:val="27"/>
          <w:rtl/>
        </w:rPr>
      </w:pPr>
      <w:r w:rsidRPr="006571AC">
        <w:rPr>
          <w:rFonts w:hint="cs"/>
          <w:sz w:val="27"/>
          <w:rtl/>
        </w:rPr>
        <w:t>و</w:t>
      </w:r>
      <w:r w:rsidR="00A75C8B" w:rsidRPr="006571AC">
        <w:rPr>
          <w:rFonts w:hint="cs"/>
          <w:sz w:val="27"/>
          <w:rtl/>
        </w:rPr>
        <w:t>من الجدير ذكره أن الذي يُع</w:t>
      </w:r>
      <w:r w:rsidRPr="006571AC">
        <w:rPr>
          <w:rFonts w:hint="cs"/>
          <w:sz w:val="27"/>
          <w:rtl/>
        </w:rPr>
        <w:t>َ</w:t>
      </w:r>
      <w:r w:rsidR="00A75C8B" w:rsidRPr="006571AC">
        <w:rPr>
          <w:rFonts w:hint="cs"/>
          <w:sz w:val="27"/>
          <w:rtl/>
        </w:rPr>
        <w:t>د</w:t>
      </w:r>
      <w:r w:rsidRPr="006571AC">
        <w:rPr>
          <w:rFonts w:hint="cs"/>
          <w:sz w:val="27"/>
          <w:rtl/>
        </w:rPr>
        <w:t>ّ</w:t>
      </w:r>
      <w:r w:rsidR="00A75C8B" w:rsidRPr="006571AC">
        <w:rPr>
          <w:rFonts w:hint="cs"/>
          <w:sz w:val="27"/>
          <w:rtl/>
        </w:rPr>
        <w:t xml:space="preserve"> على الألسنة بوصفه قرينة المورد يعود إلى هذا القسم. وفي الحقيقة إن من بين حالات الضمنية بيان الأمر ضمن مورد</w:t>
      </w:r>
      <w:r w:rsidRPr="006571AC">
        <w:rPr>
          <w:rFonts w:hint="cs"/>
          <w:sz w:val="27"/>
          <w:rtl/>
        </w:rPr>
        <w:t>ٍ</w:t>
      </w:r>
      <w:r w:rsidR="00A75C8B" w:rsidRPr="006571AC">
        <w:rPr>
          <w:rFonts w:hint="cs"/>
          <w:sz w:val="27"/>
          <w:rtl/>
        </w:rPr>
        <w:t xml:space="preserve">. </w:t>
      </w:r>
    </w:p>
    <w:p w:rsidR="009E7E1F" w:rsidRPr="006571AC" w:rsidRDefault="009E7E1F" w:rsidP="009E7E1F">
      <w:pPr>
        <w:spacing w:line="420" w:lineRule="exact"/>
        <w:rPr>
          <w:sz w:val="27"/>
          <w:rtl/>
        </w:rPr>
      </w:pPr>
    </w:p>
    <w:p w:rsidR="00A75C8B" w:rsidRPr="006571AC" w:rsidRDefault="007E1680" w:rsidP="009C29A7">
      <w:pPr>
        <w:pStyle w:val="31"/>
        <w:rPr>
          <w:color w:val="auto"/>
          <w:rtl/>
        </w:rPr>
      </w:pPr>
      <w:bookmarkStart w:id="90" w:name="_Toc114164579"/>
      <w:r w:rsidRPr="006571AC">
        <w:rPr>
          <w:rFonts w:hint="cs"/>
          <w:color w:val="auto"/>
          <w:rtl/>
        </w:rPr>
        <w:t>ب ـ</w:t>
      </w:r>
      <w:r w:rsidR="00A75C8B" w:rsidRPr="006571AC">
        <w:rPr>
          <w:rFonts w:hint="cs"/>
          <w:color w:val="auto"/>
          <w:rtl/>
        </w:rPr>
        <w:t xml:space="preserve"> سياق الترتّ</w:t>
      </w:r>
      <w:r w:rsidR="00A84B06" w:rsidRPr="006571AC">
        <w:rPr>
          <w:rFonts w:hint="cs"/>
          <w:color w:val="auto"/>
          <w:rtl/>
        </w:rPr>
        <w:t>ُ</w:t>
      </w:r>
      <w:r w:rsidR="00A75C8B" w:rsidRPr="006571AC">
        <w:rPr>
          <w:rFonts w:hint="cs"/>
          <w:color w:val="auto"/>
          <w:rtl/>
        </w:rPr>
        <w:t>ب</w:t>
      </w:r>
      <w:bookmarkEnd w:id="90"/>
    </w:p>
    <w:p w:rsidR="00416E97" w:rsidRPr="006571AC" w:rsidRDefault="00A75C8B" w:rsidP="00C95139">
      <w:pPr>
        <w:rPr>
          <w:sz w:val="27"/>
          <w:rtl/>
        </w:rPr>
      </w:pPr>
      <w:r w:rsidRPr="006571AC">
        <w:rPr>
          <w:rFonts w:hint="cs"/>
          <w:sz w:val="27"/>
          <w:rtl/>
        </w:rPr>
        <w:t>إن ترتيب الكلام في سياق الترتّ</w:t>
      </w:r>
      <w:r w:rsidR="00A84B06" w:rsidRPr="006571AC">
        <w:rPr>
          <w:rFonts w:hint="cs"/>
          <w:sz w:val="27"/>
          <w:rtl/>
        </w:rPr>
        <w:t>ُ</w:t>
      </w:r>
      <w:r w:rsidRPr="006571AC">
        <w:rPr>
          <w:rFonts w:hint="cs"/>
          <w:sz w:val="27"/>
          <w:rtl/>
        </w:rPr>
        <w:t>ب بحيث يكون لجزء</w:t>
      </w:r>
      <w:r w:rsidR="00A84B06" w:rsidRPr="006571AC">
        <w:rPr>
          <w:rFonts w:hint="cs"/>
          <w:sz w:val="27"/>
          <w:rtl/>
        </w:rPr>
        <w:t>ٍ</w:t>
      </w:r>
      <w:r w:rsidRPr="006571AC">
        <w:rPr>
          <w:rFonts w:hint="cs"/>
          <w:sz w:val="27"/>
          <w:rtl/>
        </w:rPr>
        <w:t xml:space="preserve"> من الكلام </w:t>
      </w:r>
      <w:r w:rsidR="00EA38F1" w:rsidRPr="006571AC">
        <w:rPr>
          <w:rFonts w:hint="cs"/>
          <w:sz w:val="27"/>
          <w:rtl/>
        </w:rPr>
        <w:t>دَوْر</w:t>
      </w:r>
      <w:r w:rsidRPr="006571AC">
        <w:rPr>
          <w:rFonts w:hint="cs"/>
          <w:sz w:val="27"/>
          <w:rtl/>
        </w:rPr>
        <w:t xml:space="preserve"> تركيب متساو مع الجزء الآخر منه</w:t>
      </w:r>
      <w:r w:rsidR="00A84B06" w:rsidRPr="006571AC">
        <w:rPr>
          <w:rFonts w:hint="cs"/>
          <w:sz w:val="27"/>
          <w:rtl/>
        </w:rPr>
        <w:t>،</w:t>
      </w:r>
      <w:r w:rsidRPr="006571AC">
        <w:rPr>
          <w:rFonts w:hint="cs"/>
          <w:sz w:val="27"/>
          <w:rtl/>
        </w:rPr>
        <w:t xml:space="preserve"> كأن</w:t>
      </w:r>
      <w:r w:rsidR="00A84B06" w:rsidRPr="006571AC">
        <w:rPr>
          <w:rFonts w:hint="cs"/>
          <w:sz w:val="27"/>
          <w:rtl/>
        </w:rPr>
        <w:t>ْ</w:t>
      </w:r>
      <w:r w:rsidRPr="006571AC">
        <w:rPr>
          <w:rFonts w:hint="cs"/>
          <w:sz w:val="27"/>
          <w:rtl/>
        </w:rPr>
        <w:t xml:space="preserve"> تكون جميع الكلمات فيه فواعل أو مفعولات أو عبارات مستأنفة وما إلى ذلك. وبعبارة</w:t>
      </w:r>
      <w:r w:rsidR="00A84B06" w:rsidRPr="006571AC">
        <w:rPr>
          <w:rFonts w:hint="cs"/>
          <w:sz w:val="27"/>
          <w:rtl/>
        </w:rPr>
        <w:t>ٍ</w:t>
      </w:r>
      <w:r w:rsidRPr="006571AC">
        <w:rPr>
          <w:rFonts w:hint="cs"/>
          <w:sz w:val="27"/>
          <w:rtl/>
        </w:rPr>
        <w:t xml:space="preserve"> أخرى: أن تكون العبارات في سياق</w:t>
      </w:r>
      <w:r w:rsidR="00A84B06" w:rsidRPr="006571AC">
        <w:rPr>
          <w:rFonts w:hint="cs"/>
          <w:sz w:val="27"/>
          <w:rtl/>
        </w:rPr>
        <w:t>ٍ</w:t>
      </w:r>
      <w:r w:rsidRPr="006571AC">
        <w:rPr>
          <w:rFonts w:hint="cs"/>
          <w:sz w:val="27"/>
          <w:rtl/>
        </w:rPr>
        <w:t xml:space="preserve"> مفهومي</w:t>
      </w:r>
      <w:r w:rsidR="00A84B06" w:rsidRPr="006571AC">
        <w:rPr>
          <w:rFonts w:hint="cs"/>
          <w:sz w:val="27"/>
          <w:rtl/>
        </w:rPr>
        <w:t>ّ</w:t>
      </w:r>
      <w:r w:rsidRPr="006571AC">
        <w:rPr>
          <w:rFonts w:hint="cs"/>
          <w:sz w:val="27"/>
          <w:rtl/>
        </w:rPr>
        <w:t xml:space="preserve"> مشترك. وأكثر هذا النوع من السياق يتحق</w:t>
      </w:r>
      <w:r w:rsidR="00416E97" w:rsidRPr="006571AC">
        <w:rPr>
          <w:rFonts w:hint="cs"/>
          <w:sz w:val="27"/>
          <w:rtl/>
        </w:rPr>
        <w:t>َّق بواسطة العطف.</w:t>
      </w:r>
    </w:p>
    <w:p w:rsidR="00416E97" w:rsidRPr="006571AC" w:rsidRDefault="00A75C8B" w:rsidP="00C95139">
      <w:pPr>
        <w:rPr>
          <w:sz w:val="27"/>
          <w:rtl/>
        </w:rPr>
      </w:pPr>
      <w:r w:rsidRPr="006571AC">
        <w:rPr>
          <w:rFonts w:hint="cs"/>
          <w:sz w:val="27"/>
          <w:rtl/>
        </w:rPr>
        <w:t>ولهذا النوع من السياق استعمالات</w:t>
      </w:r>
      <w:r w:rsidR="00416E97" w:rsidRPr="006571AC">
        <w:rPr>
          <w:rFonts w:hint="cs"/>
          <w:sz w:val="27"/>
          <w:rtl/>
        </w:rPr>
        <w:t>ٌ شائعة في الأصول والفقه.</w:t>
      </w:r>
    </w:p>
    <w:p w:rsidR="00416E97" w:rsidRPr="006571AC" w:rsidRDefault="00A75C8B" w:rsidP="00C95139">
      <w:pPr>
        <w:rPr>
          <w:sz w:val="27"/>
          <w:rtl/>
        </w:rPr>
      </w:pPr>
      <w:r w:rsidRPr="006571AC">
        <w:rPr>
          <w:rFonts w:hint="cs"/>
          <w:sz w:val="27"/>
          <w:rtl/>
        </w:rPr>
        <w:t>ومثاله الأصولي المعروف هو حديث الرفع</w:t>
      </w:r>
      <w:r w:rsidRPr="006571AC">
        <w:rPr>
          <w:sz w:val="27"/>
          <w:vertAlign w:val="superscript"/>
          <w:rtl/>
        </w:rPr>
        <w:t>(</w:t>
      </w:r>
      <w:r w:rsidRPr="006571AC">
        <w:rPr>
          <w:rStyle w:val="ac"/>
          <w:sz w:val="27"/>
          <w:rtl/>
        </w:rPr>
        <w:endnoteReference w:id="185"/>
      </w:r>
      <w:r w:rsidRPr="006571AC">
        <w:rPr>
          <w:sz w:val="27"/>
          <w:vertAlign w:val="superscript"/>
          <w:rtl/>
        </w:rPr>
        <w:t>)</w:t>
      </w:r>
      <w:r w:rsidRPr="006571AC">
        <w:rPr>
          <w:sz w:val="27"/>
          <w:rtl/>
        </w:rPr>
        <w:t>؛</w:t>
      </w:r>
      <w:r w:rsidRPr="006571AC">
        <w:rPr>
          <w:rFonts w:hint="cs"/>
          <w:sz w:val="27"/>
          <w:rtl/>
        </w:rPr>
        <w:t xml:space="preserve"> حيث بمقتضى ترت</w:t>
      </w:r>
      <w:r w:rsidR="00416E97" w:rsidRPr="006571AC">
        <w:rPr>
          <w:rFonts w:hint="cs"/>
          <w:sz w:val="27"/>
          <w:rtl/>
        </w:rPr>
        <w:t>ُّ</w:t>
      </w:r>
      <w:r w:rsidRPr="006571AC">
        <w:rPr>
          <w:rFonts w:hint="cs"/>
          <w:sz w:val="27"/>
          <w:rtl/>
        </w:rPr>
        <w:t xml:space="preserve">ب فقرة </w:t>
      </w:r>
      <w:r w:rsidRPr="006571AC">
        <w:rPr>
          <w:rFonts w:hint="eastAsia"/>
          <w:sz w:val="24"/>
          <w:szCs w:val="24"/>
          <w:rtl/>
        </w:rPr>
        <w:t>«</w:t>
      </w:r>
      <w:r w:rsidRPr="006571AC">
        <w:rPr>
          <w:rFonts w:hint="cs"/>
          <w:sz w:val="27"/>
          <w:rtl/>
        </w:rPr>
        <w:t>ما لا يعلمون</w:t>
      </w:r>
      <w:r w:rsidRPr="006571AC">
        <w:rPr>
          <w:rFonts w:hint="eastAsia"/>
          <w:sz w:val="24"/>
          <w:szCs w:val="24"/>
          <w:rtl/>
        </w:rPr>
        <w:t>»</w:t>
      </w:r>
      <w:r w:rsidRPr="006571AC">
        <w:rPr>
          <w:rFonts w:hint="cs"/>
          <w:sz w:val="27"/>
          <w:rtl/>
        </w:rPr>
        <w:t xml:space="preserve"> على سائر الفقرات يتمّ الحكم باتحاد مصداق الموصول فيها</w:t>
      </w:r>
      <w:r w:rsidRPr="006571AC">
        <w:rPr>
          <w:sz w:val="27"/>
          <w:vertAlign w:val="superscript"/>
          <w:rtl/>
        </w:rPr>
        <w:t>(</w:t>
      </w:r>
      <w:r w:rsidRPr="006571AC">
        <w:rPr>
          <w:rStyle w:val="ac"/>
          <w:sz w:val="27"/>
          <w:rtl/>
        </w:rPr>
        <w:endnoteReference w:id="186"/>
      </w:r>
      <w:r w:rsidRPr="006571AC">
        <w:rPr>
          <w:sz w:val="27"/>
          <w:vertAlign w:val="superscript"/>
          <w:rtl/>
        </w:rPr>
        <w:t>)</w:t>
      </w:r>
      <w:r w:rsidRPr="006571AC">
        <w:rPr>
          <w:sz w:val="27"/>
          <w:rtl/>
        </w:rPr>
        <w:t>.</w:t>
      </w:r>
    </w:p>
    <w:p w:rsidR="00416E97" w:rsidRPr="006571AC" w:rsidRDefault="00A75C8B" w:rsidP="00C95139">
      <w:pPr>
        <w:rPr>
          <w:sz w:val="27"/>
          <w:rtl/>
        </w:rPr>
      </w:pPr>
      <w:r w:rsidRPr="006571AC">
        <w:rPr>
          <w:rFonts w:hint="cs"/>
          <w:sz w:val="27"/>
          <w:rtl/>
        </w:rPr>
        <w:t>والمثال الآخر لهذا النوع من السياق بحث المرجّ</w:t>
      </w:r>
      <w:r w:rsidR="00416E97" w:rsidRPr="006571AC">
        <w:rPr>
          <w:rFonts w:hint="cs"/>
          <w:sz w:val="27"/>
          <w:rtl/>
        </w:rPr>
        <w:t>ِ</w:t>
      </w:r>
      <w:r w:rsidRPr="006571AC">
        <w:rPr>
          <w:rFonts w:hint="cs"/>
          <w:sz w:val="27"/>
          <w:rtl/>
        </w:rPr>
        <w:t>حات في ذيل الأخبار العلاجية</w:t>
      </w:r>
      <w:r w:rsidR="00416E97" w:rsidRPr="006571AC">
        <w:rPr>
          <w:rFonts w:hint="cs"/>
          <w:sz w:val="27"/>
          <w:rtl/>
        </w:rPr>
        <w:t>،</w:t>
      </w:r>
      <w:r w:rsidRPr="006571AC">
        <w:rPr>
          <w:rFonts w:hint="cs"/>
          <w:sz w:val="27"/>
          <w:rtl/>
        </w:rPr>
        <w:t xml:space="preserve"> </w:t>
      </w:r>
      <w:r w:rsidRPr="006571AC">
        <w:rPr>
          <w:rFonts w:hint="cs"/>
          <w:sz w:val="27"/>
          <w:rtl/>
        </w:rPr>
        <w:lastRenderedPageBreak/>
        <w:t>حيث قال الشيخ الأنصاري</w:t>
      </w:r>
      <w:r w:rsidR="002A2C90" w:rsidRPr="006571AC">
        <w:rPr>
          <w:rFonts w:ascii="Mosawi" w:hAnsi="Mosawi" w:cs="Mosawi"/>
          <w:sz w:val="22"/>
          <w:szCs w:val="22"/>
          <w:rtl/>
        </w:rPr>
        <w:t>&amp;</w:t>
      </w:r>
      <w:r w:rsidRPr="006571AC">
        <w:rPr>
          <w:rFonts w:hint="cs"/>
          <w:sz w:val="27"/>
          <w:rtl/>
        </w:rPr>
        <w:t xml:space="preserve"> في ذلك: </w:t>
      </w:r>
      <w:r w:rsidRPr="006571AC">
        <w:rPr>
          <w:rFonts w:hint="eastAsia"/>
          <w:sz w:val="24"/>
          <w:szCs w:val="24"/>
          <w:rtl/>
        </w:rPr>
        <w:t>«</w:t>
      </w:r>
      <w:r w:rsidRPr="006571AC">
        <w:rPr>
          <w:sz w:val="27"/>
          <w:rtl/>
        </w:rPr>
        <w:t>مع أن في سياق تلك المرج</w:t>
      </w:r>
      <w:r w:rsidR="00416E97" w:rsidRPr="006571AC">
        <w:rPr>
          <w:rFonts w:hint="cs"/>
          <w:sz w:val="27"/>
          <w:rtl/>
        </w:rPr>
        <w:t>ِّ</w:t>
      </w:r>
      <w:r w:rsidRPr="006571AC">
        <w:rPr>
          <w:sz w:val="27"/>
          <w:rtl/>
        </w:rPr>
        <w:t>حات موافقة الكتاب والسن</w:t>
      </w:r>
      <w:r w:rsidR="00416E97" w:rsidRPr="006571AC">
        <w:rPr>
          <w:rFonts w:hint="cs"/>
          <w:sz w:val="27"/>
          <w:rtl/>
        </w:rPr>
        <w:t>ّ</w:t>
      </w:r>
      <w:r w:rsidRPr="006571AC">
        <w:rPr>
          <w:sz w:val="27"/>
          <w:rtl/>
        </w:rPr>
        <w:t>ة ومخالفتهما</w:t>
      </w:r>
      <w:r w:rsidRPr="006571AC">
        <w:rPr>
          <w:rFonts w:hint="cs"/>
          <w:sz w:val="27"/>
          <w:rtl/>
        </w:rPr>
        <w:t xml:space="preserve">، </w:t>
      </w:r>
      <w:r w:rsidRPr="006571AC">
        <w:rPr>
          <w:sz w:val="27"/>
          <w:rtl/>
        </w:rPr>
        <w:t>ولا يمكن حمله على الاستحبا</w:t>
      </w:r>
      <w:r w:rsidRPr="006571AC">
        <w:rPr>
          <w:rFonts w:hint="cs"/>
          <w:sz w:val="27"/>
          <w:rtl/>
        </w:rPr>
        <w:t xml:space="preserve">ب، </w:t>
      </w:r>
      <w:r w:rsidRPr="006571AC">
        <w:rPr>
          <w:sz w:val="27"/>
          <w:rtl/>
        </w:rPr>
        <w:t>فلو حمل غيره عليه لزم التفكيك</w:t>
      </w:r>
      <w:r w:rsidRPr="006571AC">
        <w:rPr>
          <w:rFonts w:hint="eastAsia"/>
          <w:sz w:val="24"/>
          <w:szCs w:val="24"/>
          <w:rtl/>
        </w:rPr>
        <w:t>»</w:t>
      </w:r>
      <w:r w:rsidRPr="006571AC">
        <w:rPr>
          <w:sz w:val="27"/>
          <w:vertAlign w:val="superscript"/>
          <w:rtl/>
        </w:rPr>
        <w:t>(</w:t>
      </w:r>
      <w:r w:rsidRPr="006571AC">
        <w:rPr>
          <w:rStyle w:val="ac"/>
          <w:sz w:val="27"/>
          <w:rtl/>
        </w:rPr>
        <w:endnoteReference w:id="187"/>
      </w:r>
      <w:r w:rsidRPr="006571AC">
        <w:rPr>
          <w:sz w:val="27"/>
          <w:vertAlign w:val="superscript"/>
          <w:rtl/>
        </w:rPr>
        <w:t>)</w:t>
      </w:r>
      <w:r w:rsidRPr="006571AC">
        <w:rPr>
          <w:sz w:val="27"/>
          <w:rtl/>
        </w:rPr>
        <w:t>.</w:t>
      </w:r>
    </w:p>
    <w:p w:rsidR="00A75C8B" w:rsidRPr="006571AC" w:rsidRDefault="00A75C8B" w:rsidP="005A3C1E">
      <w:pPr>
        <w:rPr>
          <w:sz w:val="27"/>
          <w:rtl/>
        </w:rPr>
      </w:pPr>
      <w:r w:rsidRPr="006571AC">
        <w:rPr>
          <w:rFonts w:hint="cs"/>
          <w:sz w:val="27"/>
          <w:rtl/>
        </w:rPr>
        <w:t xml:space="preserve">وفي الفقه أيضاً </w:t>
      </w:r>
      <w:r w:rsidR="005A3C1E" w:rsidRPr="006571AC">
        <w:rPr>
          <w:rFonts w:hint="cs"/>
          <w:sz w:val="27"/>
          <w:rtl/>
        </w:rPr>
        <w:t>قال</w:t>
      </w:r>
      <w:r w:rsidRPr="006571AC">
        <w:rPr>
          <w:rFonts w:hint="cs"/>
          <w:sz w:val="27"/>
          <w:rtl/>
        </w:rPr>
        <w:t xml:space="preserve"> السيد الخوئي</w:t>
      </w:r>
      <w:r w:rsidR="002A2C90" w:rsidRPr="006571AC">
        <w:rPr>
          <w:rFonts w:ascii="Mosawi" w:hAnsi="Mosawi" w:cs="Mosawi"/>
          <w:sz w:val="22"/>
          <w:szCs w:val="22"/>
          <w:rtl/>
        </w:rPr>
        <w:t>&amp;</w:t>
      </w:r>
      <w:r w:rsidR="005A3C1E" w:rsidRPr="006571AC">
        <w:rPr>
          <w:rFonts w:hint="cs"/>
          <w:sz w:val="27"/>
          <w:rtl/>
        </w:rPr>
        <w:t>،</w:t>
      </w:r>
      <w:r w:rsidRPr="006571AC">
        <w:rPr>
          <w:rFonts w:hint="cs"/>
          <w:sz w:val="27"/>
          <w:rtl/>
        </w:rPr>
        <w:t xml:space="preserve"> في ذيل صحيحة حفص</w:t>
      </w:r>
      <w:r w:rsidR="00416E97" w:rsidRPr="006571AC">
        <w:rPr>
          <w:rFonts w:hint="cs"/>
          <w:sz w:val="27"/>
          <w:rtl/>
        </w:rPr>
        <w:t>،</w:t>
      </w:r>
      <w:r w:rsidRPr="006571AC">
        <w:rPr>
          <w:rFonts w:hint="cs"/>
          <w:sz w:val="27"/>
          <w:rtl/>
        </w:rPr>
        <w:t xml:space="preserve"> عن أبي عبد الله</w:t>
      </w:r>
      <w:r w:rsidR="002A2C90" w:rsidRPr="006571AC">
        <w:rPr>
          <w:rFonts w:ascii="Mosawi" w:hAnsi="Mosawi" w:cs="Mosawi"/>
          <w:sz w:val="22"/>
          <w:szCs w:val="22"/>
          <w:rtl/>
        </w:rPr>
        <w:t>×</w:t>
      </w:r>
      <w:r w:rsidRPr="006571AC">
        <w:rPr>
          <w:rFonts w:hint="cs"/>
          <w:sz w:val="27"/>
          <w:rtl/>
        </w:rPr>
        <w:t xml:space="preserve"> قال: </w:t>
      </w:r>
      <w:r w:rsidR="00416E97" w:rsidRPr="006571AC">
        <w:rPr>
          <w:rFonts w:hint="eastAsia"/>
          <w:sz w:val="24"/>
          <w:szCs w:val="24"/>
          <w:rtl/>
        </w:rPr>
        <w:t>«</w:t>
      </w:r>
      <w:r w:rsidRPr="006571AC">
        <w:rPr>
          <w:rFonts w:hint="cs"/>
          <w:sz w:val="27"/>
          <w:rtl/>
        </w:rPr>
        <w:t>ليس على الإمام سهو</w:t>
      </w:r>
      <w:r w:rsidR="00416E97" w:rsidRPr="006571AC">
        <w:rPr>
          <w:rFonts w:hint="cs"/>
          <w:sz w:val="27"/>
          <w:rtl/>
        </w:rPr>
        <w:t>ٌ</w:t>
      </w:r>
      <w:r w:rsidRPr="006571AC">
        <w:rPr>
          <w:rFonts w:hint="cs"/>
          <w:sz w:val="27"/>
          <w:rtl/>
        </w:rPr>
        <w:t>، ولا على م</w:t>
      </w:r>
      <w:r w:rsidR="00416E97" w:rsidRPr="006571AC">
        <w:rPr>
          <w:rFonts w:hint="cs"/>
          <w:sz w:val="27"/>
          <w:rtl/>
        </w:rPr>
        <w:t>َ</w:t>
      </w:r>
      <w:r w:rsidRPr="006571AC">
        <w:rPr>
          <w:rFonts w:hint="cs"/>
          <w:sz w:val="27"/>
          <w:rtl/>
        </w:rPr>
        <w:t>ن</w:t>
      </w:r>
      <w:r w:rsidR="00416E97" w:rsidRPr="006571AC">
        <w:rPr>
          <w:rFonts w:hint="cs"/>
          <w:sz w:val="27"/>
          <w:rtl/>
        </w:rPr>
        <w:t>ْ</w:t>
      </w:r>
      <w:r w:rsidRPr="006571AC">
        <w:rPr>
          <w:rFonts w:hint="cs"/>
          <w:sz w:val="27"/>
          <w:rtl/>
        </w:rPr>
        <w:t xml:space="preserve"> خلف الإمام سهو</w:t>
      </w:r>
      <w:r w:rsidR="00416E97" w:rsidRPr="006571AC">
        <w:rPr>
          <w:rFonts w:hint="cs"/>
          <w:sz w:val="27"/>
          <w:rtl/>
        </w:rPr>
        <w:t>ٌ</w:t>
      </w:r>
      <w:r w:rsidRPr="006571AC">
        <w:rPr>
          <w:rFonts w:hint="cs"/>
          <w:sz w:val="27"/>
          <w:rtl/>
        </w:rPr>
        <w:t>، ولا على السهو سهو</w:t>
      </w:r>
      <w:r w:rsidR="00416E97" w:rsidRPr="006571AC">
        <w:rPr>
          <w:rFonts w:hint="cs"/>
          <w:sz w:val="27"/>
          <w:rtl/>
        </w:rPr>
        <w:t>ٌ</w:t>
      </w:r>
      <w:r w:rsidRPr="006571AC">
        <w:rPr>
          <w:rFonts w:hint="cs"/>
          <w:sz w:val="27"/>
          <w:rtl/>
        </w:rPr>
        <w:t>، ولا على الإعادة إعادة</w:t>
      </w:r>
      <w:r w:rsidR="00416E97" w:rsidRPr="006571AC">
        <w:rPr>
          <w:rFonts w:hint="cs"/>
          <w:sz w:val="27"/>
          <w:rtl/>
        </w:rPr>
        <w:t>ٌ</w:t>
      </w:r>
      <w:r w:rsidRPr="006571AC">
        <w:rPr>
          <w:rFonts w:hint="eastAsia"/>
          <w:sz w:val="24"/>
          <w:szCs w:val="24"/>
          <w:rtl/>
        </w:rPr>
        <w:t>»</w:t>
      </w:r>
      <w:r w:rsidRPr="006571AC">
        <w:rPr>
          <w:sz w:val="27"/>
          <w:vertAlign w:val="superscript"/>
          <w:rtl/>
        </w:rPr>
        <w:t>(</w:t>
      </w:r>
      <w:r w:rsidRPr="006571AC">
        <w:rPr>
          <w:rStyle w:val="ac"/>
          <w:sz w:val="27"/>
          <w:rtl/>
        </w:rPr>
        <w:endnoteReference w:id="188"/>
      </w:r>
      <w:r w:rsidRPr="006571AC">
        <w:rPr>
          <w:sz w:val="27"/>
          <w:vertAlign w:val="superscript"/>
          <w:rtl/>
        </w:rPr>
        <w:t>)</w:t>
      </w:r>
      <w:r w:rsidRPr="006571AC">
        <w:rPr>
          <w:rFonts w:hint="cs"/>
          <w:sz w:val="27"/>
          <w:rtl/>
        </w:rPr>
        <w:t xml:space="preserve">: </w:t>
      </w:r>
      <w:r w:rsidRPr="006571AC">
        <w:rPr>
          <w:rFonts w:hint="eastAsia"/>
          <w:sz w:val="24"/>
          <w:szCs w:val="24"/>
          <w:rtl/>
        </w:rPr>
        <w:t>«</w:t>
      </w:r>
      <w:r w:rsidRPr="006571AC">
        <w:rPr>
          <w:sz w:val="27"/>
          <w:rtl/>
        </w:rPr>
        <w:t>ف</w:t>
      </w:r>
      <w:r w:rsidRPr="006571AC">
        <w:rPr>
          <w:rFonts w:hint="cs"/>
          <w:sz w:val="27"/>
          <w:rtl/>
        </w:rPr>
        <w:t>إ</w:t>
      </w:r>
      <w:r w:rsidRPr="006571AC">
        <w:rPr>
          <w:sz w:val="27"/>
          <w:rtl/>
        </w:rPr>
        <w:t>ن المراد من السهو في هذه ال</w:t>
      </w:r>
      <w:r w:rsidRPr="006571AC">
        <w:rPr>
          <w:rFonts w:hint="cs"/>
          <w:sz w:val="27"/>
          <w:rtl/>
        </w:rPr>
        <w:t>أ</w:t>
      </w:r>
      <w:r w:rsidRPr="006571AC">
        <w:rPr>
          <w:sz w:val="27"/>
          <w:rtl/>
        </w:rPr>
        <w:t>خبار هو الشك</w:t>
      </w:r>
      <w:r w:rsidR="00416E97" w:rsidRPr="006571AC">
        <w:rPr>
          <w:rFonts w:hint="cs"/>
          <w:sz w:val="27"/>
          <w:rtl/>
        </w:rPr>
        <w:t>ّ</w:t>
      </w:r>
      <w:r w:rsidRPr="006571AC">
        <w:rPr>
          <w:rFonts w:hint="cs"/>
          <w:sz w:val="27"/>
          <w:rtl/>
        </w:rPr>
        <w:t xml:space="preserve">، </w:t>
      </w:r>
      <w:r w:rsidRPr="006571AC">
        <w:rPr>
          <w:sz w:val="27"/>
          <w:rtl/>
        </w:rPr>
        <w:t xml:space="preserve">كما </w:t>
      </w:r>
      <w:r w:rsidRPr="006571AC">
        <w:rPr>
          <w:rFonts w:hint="cs"/>
          <w:sz w:val="27"/>
          <w:rtl/>
        </w:rPr>
        <w:t>أ</w:t>
      </w:r>
      <w:r w:rsidRPr="006571AC">
        <w:rPr>
          <w:sz w:val="27"/>
          <w:rtl/>
        </w:rPr>
        <w:t>طلق عليه في كثير من الروايات</w:t>
      </w:r>
      <w:r w:rsidR="00416E97" w:rsidRPr="006571AC">
        <w:rPr>
          <w:rFonts w:hint="cs"/>
          <w:sz w:val="27"/>
          <w:rtl/>
        </w:rPr>
        <w:t>،</w:t>
      </w:r>
      <w:r w:rsidRPr="006571AC">
        <w:rPr>
          <w:sz w:val="27"/>
          <w:rtl/>
        </w:rPr>
        <w:t xml:space="preserve"> و</w:t>
      </w:r>
      <w:r w:rsidR="00731867" w:rsidRPr="006571AC">
        <w:rPr>
          <w:sz w:val="27"/>
          <w:rtl/>
        </w:rPr>
        <w:t>لا سيَّما</w:t>
      </w:r>
      <w:r w:rsidRPr="006571AC">
        <w:rPr>
          <w:sz w:val="27"/>
          <w:rtl/>
        </w:rPr>
        <w:t xml:space="preserve"> في المقام</w:t>
      </w:r>
      <w:r w:rsidR="00416E97" w:rsidRPr="006571AC">
        <w:rPr>
          <w:rFonts w:hint="cs"/>
          <w:sz w:val="27"/>
          <w:rtl/>
        </w:rPr>
        <w:t>؛</w:t>
      </w:r>
      <w:r w:rsidRPr="006571AC">
        <w:rPr>
          <w:sz w:val="27"/>
          <w:rtl/>
        </w:rPr>
        <w:t xml:space="preserve"> بقرينة السياق</w:t>
      </w:r>
      <w:r w:rsidR="00416E97" w:rsidRPr="006571AC">
        <w:rPr>
          <w:rFonts w:hint="cs"/>
          <w:sz w:val="27"/>
          <w:rtl/>
        </w:rPr>
        <w:t>؛</w:t>
      </w:r>
      <w:r w:rsidRPr="006571AC">
        <w:rPr>
          <w:sz w:val="27"/>
          <w:rtl/>
        </w:rPr>
        <w:t xml:space="preserve"> ف</w:t>
      </w:r>
      <w:r w:rsidRPr="006571AC">
        <w:rPr>
          <w:rFonts w:hint="cs"/>
          <w:sz w:val="27"/>
          <w:rtl/>
        </w:rPr>
        <w:t>إ</w:t>
      </w:r>
      <w:r w:rsidRPr="006571AC">
        <w:rPr>
          <w:sz w:val="27"/>
          <w:rtl/>
        </w:rPr>
        <w:t>ن ال</w:t>
      </w:r>
      <w:r w:rsidRPr="006571AC">
        <w:rPr>
          <w:rFonts w:hint="cs"/>
          <w:sz w:val="27"/>
          <w:rtl/>
        </w:rPr>
        <w:t>إ</w:t>
      </w:r>
      <w:r w:rsidRPr="006571AC">
        <w:rPr>
          <w:sz w:val="27"/>
          <w:rtl/>
        </w:rPr>
        <w:t>مام أو المأموم لو سها جرى عليه حكم السهو، فلو تذك</w:t>
      </w:r>
      <w:r w:rsidR="00416E97" w:rsidRPr="006571AC">
        <w:rPr>
          <w:rFonts w:hint="cs"/>
          <w:sz w:val="27"/>
          <w:rtl/>
        </w:rPr>
        <w:t>َّ</w:t>
      </w:r>
      <w:r w:rsidRPr="006571AC">
        <w:rPr>
          <w:sz w:val="27"/>
          <w:rtl/>
        </w:rPr>
        <w:t>ر نقص التشه</w:t>
      </w:r>
      <w:r w:rsidR="00416E97" w:rsidRPr="006571AC">
        <w:rPr>
          <w:rFonts w:hint="cs"/>
          <w:sz w:val="27"/>
          <w:rtl/>
        </w:rPr>
        <w:t>ُّ</w:t>
      </w:r>
      <w:r w:rsidRPr="006571AC">
        <w:rPr>
          <w:sz w:val="27"/>
          <w:rtl/>
        </w:rPr>
        <w:t>د مثلا</w:t>
      </w:r>
      <w:r w:rsidRPr="006571AC">
        <w:rPr>
          <w:rFonts w:hint="cs"/>
          <w:sz w:val="27"/>
          <w:rtl/>
        </w:rPr>
        <w:t>ً</w:t>
      </w:r>
      <w:r w:rsidRPr="006571AC">
        <w:rPr>
          <w:sz w:val="27"/>
          <w:rtl/>
        </w:rPr>
        <w:t xml:space="preserve"> رجع للتدارك بلا </w:t>
      </w:r>
      <w:r w:rsidR="005A3C1E" w:rsidRPr="006571AC">
        <w:rPr>
          <w:rFonts w:hint="cs"/>
          <w:sz w:val="27"/>
          <w:rtl/>
        </w:rPr>
        <w:t>إ</w:t>
      </w:r>
      <w:r w:rsidRPr="006571AC">
        <w:rPr>
          <w:sz w:val="27"/>
          <w:rtl/>
        </w:rPr>
        <w:t>شكال، فالمراد به الشك</w:t>
      </w:r>
      <w:r w:rsidR="00416E97" w:rsidRPr="006571AC">
        <w:rPr>
          <w:rFonts w:hint="cs"/>
          <w:sz w:val="27"/>
          <w:rtl/>
        </w:rPr>
        <w:t>ّ</w:t>
      </w:r>
      <w:r w:rsidRPr="006571AC">
        <w:rPr>
          <w:sz w:val="27"/>
          <w:rtl/>
        </w:rPr>
        <w:t xml:space="preserve"> ج</w:t>
      </w:r>
      <w:r w:rsidR="00416E97" w:rsidRPr="006571AC">
        <w:rPr>
          <w:rFonts w:hint="cs"/>
          <w:sz w:val="27"/>
          <w:rtl/>
        </w:rPr>
        <w:t>َ</w:t>
      </w:r>
      <w:r w:rsidRPr="006571AC">
        <w:rPr>
          <w:sz w:val="27"/>
          <w:rtl/>
        </w:rPr>
        <w:t>ز</w:t>
      </w:r>
      <w:r w:rsidR="00416E97" w:rsidRPr="006571AC">
        <w:rPr>
          <w:rFonts w:hint="cs"/>
          <w:sz w:val="27"/>
          <w:rtl/>
        </w:rPr>
        <w:t>ْ</w:t>
      </w:r>
      <w:r w:rsidRPr="006571AC">
        <w:rPr>
          <w:sz w:val="27"/>
          <w:rtl/>
        </w:rPr>
        <w:t>ما</w:t>
      </w:r>
      <w:r w:rsidRPr="006571AC">
        <w:rPr>
          <w:rFonts w:hint="cs"/>
          <w:sz w:val="27"/>
          <w:rtl/>
        </w:rPr>
        <w:t>ً</w:t>
      </w:r>
      <w:r w:rsidRPr="006571AC">
        <w:rPr>
          <w:rFonts w:hint="eastAsia"/>
          <w:sz w:val="24"/>
          <w:szCs w:val="24"/>
          <w:rtl/>
        </w:rPr>
        <w:t>»</w:t>
      </w:r>
      <w:r w:rsidRPr="006571AC">
        <w:rPr>
          <w:sz w:val="27"/>
          <w:vertAlign w:val="superscript"/>
          <w:rtl/>
        </w:rPr>
        <w:t>(</w:t>
      </w:r>
      <w:r w:rsidRPr="006571AC">
        <w:rPr>
          <w:rStyle w:val="ac"/>
          <w:sz w:val="27"/>
          <w:rtl/>
        </w:rPr>
        <w:endnoteReference w:id="189"/>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ومن الجدير ذكره أن الكثير من الموارد التي يتمّ بيانها بوصفها شرائط لقرينية السياق ليست شرطاً للقرينية، بل هي شرائط لتحق</w:t>
      </w:r>
      <w:r w:rsidR="00416E97" w:rsidRPr="006571AC">
        <w:rPr>
          <w:rFonts w:hint="cs"/>
          <w:sz w:val="27"/>
          <w:rtl/>
        </w:rPr>
        <w:t>ُّ</w:t>
      </w:r>
      <w:r w:rsidRPr="006571AC">
        <w:rPr>
          <w:rFonts w:hint="cs"/>
          <w:sz w:val="27"/>
          <w:rtl/>
        </w:rPr>
        <w:t xml:space="preserve">ق السياق. </w:t>
      </w:r>
      <w:r w:rsidR="00416E97" w:rsidRPr="006571AC">
        <w:rPr>
          <w:rFonts w:hint="cs"/>
          <w:sz w:val="27"/>
          <w:rtl/>
        </w:rPr>
        <w:t>و</w:t>
      </w:r>
      <w:r w:rsidRPr="006571AC">
        <w:rPr>
          <w:rFonts w:hint="cs"/>
          <w:sz w:val="27"/>
          <w:rtl/>
        </w:rPr>
        <w:t>من ذلك</w:t>
      </w:r>
      <w:r w:rsidR="00416E97" w:rsidRPr="006571AC">
        <w:rPr>
          <w:rFonts w:hint="cs"/>
          <w:sz w:val="27"/>
          <w:rtl/>
        </w:rPr>
        <w:t>،</w:t>
      </w:r>
      <w:r w:rsidRPr="006571AC">
        <w:rPr>
          <w:rFonts w:hint="cs"/>
          <w:sz w:val="27"/>
          <w:rtl/>
        </w:rPr>
        <w:t xml:space="preserve"> على سبيل المثال</w:t>
      </w:r>
      <w:r w:rsidR="00416E97" w:rsidRPr="006571AC">
        <w:rPr>
          <w:rFonts w:hint="cs"/>
          <w:sz w:val="27"/>
          <w:rtl/>
        </w:rPr>
        <w:t>:</w:t>
      </w:r>
      <w:r w:rsidRPr="006571AC">
        <w:rPr>
          <w:rFonts w:hint="cs"/>
          <w:sz w:val="27"/>
          <w:rtl/>
        </w:rPr>
        <w:t xml:space="preserve"> عندما يلعب السياق </w:t>
      </w:r>
      <w:r w:rsidR="00EA38F1" w:rsidRPr="006571AC">
        <w:rPr>
          <w:rFonts w:hint="cs"/>
          <w:sz w:val="27"/>
          <w:rtl/>
        </w:rPr>
        <w:t>دَوْر</w:t>
      </w:r>
      <w:r w:rsidRPr="006571AC">
        <w:rPr>
          <w:rFonts w:hint="cs"/>
          <w:sz w:val="27"/>
          <w:rtl/>
        </w:rPr>
        <w:t xml:space="preserve"> الترت</w:t>
      </w:r>
      <w:r w:rsidR="00416E97" w:rsidRPr="006571AC">
        <w:rPr>
          <w:rFonts w:hint="cs"/>
          <w:sz w:val="27"/>
          <w:rtl/>
        </w:rPr>
        <w:t>ُّ</w:t>
      </w:r>
      <w:r w:rsidRPr="006571AC">
        <w:rPr>
          <w:rFonts w:hint="cs"/>
          <w:sz w:val="27"/>
          <w:rtl/>
        </w:rPr>
        <w:t>ب عموماً يعتبرون وحدة السياق شرطاً. إن وحدة السياق في الحقيقة والواقع هي ذات تحق</w:t>
      </w:r>
      <w:r w:rsidR="00416E97" w:rsidRPr="006571AC">
        <w:rPr>
          <w:rFonts w:hint="cs"/>
          <w:sz w:val="27"/>
          <w:rtl/>
        </w:rPr>
        <w:t>ُّ</w:t>
      </w:r>
      <w:r w:rsidRPr="006571AC">
        <w:rPr>
          <w:rFonts w:hint="cs"/>
          <w:sz w:val="27"/>
          <w:rtl/>
        </w:rPr>
        <w:t>ق الترتّ</w:t>
      </w:r>
      <w:r w:rsidR="00416E97" w:rsidRPr="006571AC">
        <w:rPr>
          <w:rFonts w:hint="cs"/>
          <w:sz w:val="27"/>
          <w:rtl/>
        </w:rPr>
        <w:t>ُ</w:t>
      </w:r>
      <w:r w:rsidRPr="006571AC">
        <w:rPr>
          <w:rFonts w:hint="cs"/>
          <w:sz w:val="27"/>
          <w:rtl/>
        </w:rPr>
        <w:t>ب. وبعبارة</w:t>
      </w:r>
      <w:r w:rsidR="00416E97" w:rsidRPr="006571AC">
        <w:rPr>
          <w:rFonts w:hint="cs"/>
          <w:sz w:val="27"/>
          <w:rtl/>
        </w:rPr>
        <w:t>ٍ</w:t>
      </w:r>
      <w:r w:rsidRPr="006571AC">
        <w:rPr>
          <w:rFonts w:hint="cs"/>
          <w:sz w:val="27"/>
          <w:rtl/>
        </w:rPr>
        <w:t xml:space="preserve"> أخرى: قد تمّ الخلط في هذه الموارد بين شرائط إحراز الموضوع وشرائط تحق</w:t>
      </w:r>
      <w:r w:rsidR="00416E97" w:rsidRPr="006571AC">
        <w:rPr>
          <w:rFonts w:hint="cs"/>
          <w:sz w:val="27"/>
          <w:rtl/>
        </w:rPr>
        <w:t>ُّ</w:t>
      </w:r>
      <w:r w:rsidRPr="006571AC">
        <w:rPr>
          <w:rFonts w:hint="cs"/>
          <w:sz w:val="27"/>
          <w:rtl/>
        </w:rPr>
        <w:t xml:space="preserve">ق الحكم. </w:t>
      </w:r>
    </w:p>
    <w:p w:rsidR="009E7E1F" w:rsidRPr="006571AC" w:rsidRDefault="009E7E1F" w:rsidP="009E7E1F">
      <w:pPr>
        <w:spacing w:line="420" w:lineRule="exact"/>
        <w:rPr>
          <w:sz w:val="27"/>
          <w:rtl/>
        </w:rPr>
      </w:pPr>
    </w:p>
    <w:p w:rsidR="00A75C8B" w:rsidRPr="006571AC" w:rsidRDefault="007E1680" w:rsidP="009C29A7">
      <w:pPr>
        <w:pStyle w:val="31"/>
        <w:rPr>
          <w:color w:val="auto"/>
          <w:rtl/>
        </w:rPr>
      </w:pPr>
      <w:bookmarkStart w:id="91" w:name="_Toc114164580"/>
      <w:r w:rsidRPr="006571AC">
        <w:rPr>
          <w:rFonts w:hint="cs"/>
          <w:color w:val="auto"/>
          <w:rtl/>
        </w:rPr>
        <w:t>ج ـ</w:t>
      </w:r>
      <w:r w:rsidR="00A75C8B" w:rsidRPr="006571AC">
        <w:rPr>
          <w:rFonts w:hint="cs"/>
          <w:color w:val="auto"/>
          <w:rtl/>
        </w:rPr>
        <w:t xml:space="preserve"> سياق التأخ</w:t>
      </w:r>
      <w:r w:rsidR="00416E97" w:rsidRPr="006571AC">
        <w:rPr>
          <w:rFonts w:hint="cs"/>
          <w:color w:val="auto"/>
          <w:rtl/>
        </w:rPr>
        <w:t>ُّ</w:t>
      </w:r>
      <w:r w:rsidR="00A75C8B" w:rsidRPr="006571AC">
        <w:rPr>
          <w:rFonts w:hint="cs"/>
          <w:color w:val="auto"/>
          <w:rtl/>
        </w:rPr>
        <w:t>ر</w:t>
      </w:r>
      <w:bookmarkEnd w:id="91"/>
    </w:p>
    <w:p w:rsidR="00A75C8B" w:rsidRPr="006571AC" w:rsidRDefault="00A75C8B" w:rsidP="00C95139">
      <w:pPr>
        <w:rPr>
          <w:sz w:val="27"/>
          <w:rtl/>
        </w:rPr>
      </w:pPr>
      <w:r w:rsidRPr="006571AC">
        <w:rPr>
          <w:rFonts w:hint="cs"/>
          <w:sz w:val="27"/>
          <w:rtl/>
        </w:rPr>
        <w:t>إن سياق التأخ</w:t>
      </w:r>
      <w:r w:rsidR="00416E97" w:rsidRPr="006571AC">
        <w:rPr>
          <w:rFonts w:hint="cs"/>
          <w:sz w:val="27"/>
          <w:rtl/>
        </w:rPr>
        <w:t>ُّ</w:t>
      </w:r>
      <w:r w:rsidRPr="006571AC">
        <w:rPr>
          <w:rFonts w:hint="cs"/>
          <w:sz w:val="27"/>
          <w:rtl/>
        </w:rPr>
        <w:t>ر عبارة</w:t>
      </w:r>
      <w:r w:rsidR="00416E97" w:rsidRPr="006571AC">
        <w:rPr>
          <w:rFonts w:hint="cs"/>
          <w:sz w:val="27"/>
          <w:rtl/>
        </w:rPr>
        <w:t>ٌ</w:t>
      </w:r>
      <w:r w:rsidRPr="006571AC">
        <w:rPr>
          <w:rFonts w:hint="cs"/>
          <w:sz w:val="27"/>
          <w:rtl/>
        </w:rPr>
        <w:t xml:space="preserve"> عن تأخ</w:t>
      </w:r>
      <w:r w:rsidR="00416E97" w:rsidRPr="006571AC">
        <w:rPr>
          <w:rFonts w:hint="cs"/>
          <w:sz w:val="27"/>
          <w:rtl/>
        </w:rPr>
        <w:t>ُّ</w:t>
      </w:r>
      <w:r w:rsidRPr="006571AC">
        <w:rPr>
          <w:rFonts w:hint="cs"/>
          <w:sz w:val="27"/>
          <w:rtl/>
        </w:rPr>
        <w:t>ر بيان مضمون ومحتوى بالنسبة إلى مضمون</w:t>
      </w:r>
      <w:r w:rsidR="00186355" w:rsidRPr="006571AC">
        <w:rPr>
          <w:rFonts w:hint="cs"/>
          <w:sz w:val="27"/>
          <w:rtl/>
        </w:rPr>
        <w:t>ٍ</w:t>
      </w:r>
      <w:r w:rsidRPr="006571AC">
        <w:rPr>
          <w:rFonts w:hint="cs"/>
          <w:sz w:val="27"/>
          <w:rtl/>
        </w:rPr>
        <w:t xml:space="preserve"> ومحتوى</w:t>
      </w:r>
      <w:r w:rsidR="00186355" w:rsidRPr="006571AC">
        <w:rPr>
          <w:rFonts w:hint="cs"/>
          <w:sz w:val="27"/>
          <w:rtl/>
        </w:rPr>
        <w:t>ً</w:t>
      </w:r>
      <w:r w:rsidRPr="006571AC">
        <w:rPr>
          <w:rFonts w:hint="cs"/>
          <w:sz w:val="27"/>
          <w:rtl/>
        </w:rPr>
        <w:t xml:space="preserve"> آخر. وبعبارة</w:t>
      </w:r>
      <w:r w:rsidR="00186355" w:rsidRPr="006571AC">
        <w:rPr>
          <w:rFonts w:hint="cs"/>
          <w:sz w:val="27"/>
          <w:rtl/>
        </w:rPr>
        <w:t>ٍ</w:t>
      </w:r>
      <w:r w:rsidRPr="006571AC">
        <w:rPr>
          <w:rFonts w:hint="cs"/>
          <w:sz w:val="27"/>
          <w:rtl/>
        </w:rPr>
        <w:t xml:space="preserve"> أخرى: عندما يختار المتكل</w:t>
      </w:r>
      <w:r w:rsidR="00186355" w:rsidRPr="006571AC">
        <w:rPr>
          <w:rFonts w:hint="cs"/>
          <w:sz w:val="27"/>
          <w:rtl/>
        </w:rPr>
        <w:t>ِّ</w:t>
      </w:r>
      <w:r w:rsidRPr="006571AC">
        <w:rPr>
          <w:rFonts w:hint="cs"/>
          <w:sz w:val="27"/>
          <w:rtl/>
        </w:rPr>
        <w:t>م نقطة</w:t>
      </w:r>
      <w:r w:rsidR="00186355" w:rsidRPr="006571AC">
        <w:rPr>
          <w:rFonts w:hint="cs"/>
          <w:sz w:val="27"/>
          <w:rtl/>
        </w:rPr>
        <w:t>ً</w:t>
      </w:r>
      <w:r w:rsidRPr="006571AC">
        <w:rPr>
          <w:rFonts w:hint="cs"/>
          <w:sz w:val="27"/>
          <w:rtl/>
        </w:rPr>
        <w:t xml:space="preserve"> ليقولها أو</w:t>
      </w:r>
      <w:r w:rsidR="00186355" w:rsidRPr="006571AC">
        <w:rPr>
          <w:rFonts w:hint="cs"/>
          <w:sz w:val="27"/>
          <w:rtl/>
        </w:rPr>
        <w:t>ّ</w:t>
      </w:r>
      <w:r w:rsidRPr="006571AC">
        <w:rPr>
          <w:rFonts w:hint="cs"/>
          <w:sz w:val="27"/>
          <w:rtl/>
        </w:rPr>
        <w:t>لاً</w:t>
      </w:r>
      <w:r w:rsidR="00186355" w:rsidRPr="006571AC">
        <w:rPr>
          <w:rFonts w:hint="cs"/>
          <w:sz w:val="27"/>
          <w:rtl/>
        </w:rPr>
        <w:t>،</w:t>
      </w:r>
      <w:r w:rsidRPr="006571AC">
        <w:rPr>
          <w:rFonts w:hint="cs"/>
          <w:sz w:val="27"/>
          <w:rtl/>
        </w:rPr>
        <w:t xml:space="preserve"> ثم</w:t>
      </w:r>
      <w:r w:rsidR="00186355" w:rsidRPr="006571AC">
        <w:rPr>
          <w:rFonts w:hint="cs"/>
          <w:sz w:val="27"/>
          <w:rtl/>
        </w:rPr>
        <w:t>ّ</w:t>
      </w:r>
      <w:r w:rsidRPr="006571AC">
        <w:rPr>
          <w:rFonts w:hint="cs"/>
          <w:sz w:val="27"/>
          <w:rtl/>
        </w:rPr>
        <w:t xml:space="preserve"> يردفها بنقطة</w:t>
      </w:r>
      <w:r w:rsidR="00186355" w:rsidRPr="006571AC">
        <w:rPr>
          <w:rFonts w:hint="cs"/>
          <w:sz w:val="27"/>
          <w:rtl/>
        </w:rPr>
        <w:t>ٍ</w:t>
      </w:r>
      <w:r w:rsidRPr="006571AC">
        <w:rPr>
          <w:rFonts w:hint="cs"/>
          <w:sz w:val="27"/>
          <w:rtl/>
        </w:rPr>
        <w:t xml:space="preserve"> أخرى، يكون هذا الاختيار قد أوجد سياقاً في الكلام</w:t>
      </w:r>
      <w:r w:rsidR="00186355" w:rsidRPr="006571AC">
        <w:rPr>
          <w:rFonts w:hint="cs"/>
          <w:sz w:val="27"/>
          <w:rtl/>
        </w:rPr>
        <w:t>،</w:t>
      </w:r>
      <w:r w:rsidRPr="006571AC">
        <w:rPr>
          <w:rFonts w:hint="cs"/>
          <w:sz w:val="27"/>
          <w:rtl/>
        </w:rPr>
        <w:t xml:space="preserve"> يكون منشأ</w:t>
      </w:r>
      <w:r w:rsidR="00186355" w:rsidRPr="006571AC">
        <w:rPr>
          <w:rFonts w:hint="cs"/>
          <w:sz w:val="27"/>
          <w:rtl/>
        </w:rPr>
        <w:t>ً</w:t>
      </w:r>
      <w:r w:rsidRPr="006571AC">
        <w:rPr>
          <w:rFonts w:hint="cs"/>
          <w:sz w:val="27"/>
          <w:rtl/>
        </w:rPr>
        <w:t xml:space="preserve"> للقرينية. </w:t>
      </w:r>
    </w:p>
    <w:p w:rsidR="00A75C8B" w:rsidRPr="006571AC" w:rsidRDefault="00A75C8B" w:rsidP="00C95139">
      <w:pPr>
        <w:rPr>
          <w:sz w:val="27"/>
          <w:rtl/>
        </w:rPr>
      </w:pPr>
      <w:r w:rsidRPr="006571AC">
        <w:rPr>
          <w:rFonts w:hint="cs"/>
          <w:sz w:val="27"/>
          <w:rtl/>
        </w:rPr>
        <w:t>قال المحق</w:t>
      </w:r>
      <w:r w:rsidR="00186355" w:rsidRPr="006571AC">
        <w:rPr>
          <w:rFonts w:hint="cs"/>
          <w:sz w:val="27"/>
          <w:rtl/>
        </w:rPr>
        <w:t>ِّ</w:t>
      </w:r>
      <w:r w:rsidRPr="006571AC">
        <w:rPr>
          <w:rFonts w:hint="cs"/>
          <w:sz w:val="27"/>
          <w:rtl/>
        </w:rPr>
        <w:t>ق الداماد</w:t>
      </w:r>
      <w:r w:rsidR="00186355" w:rsidRPr="006571AC">
        <w:rPr>
          <w:rFonts w:hint="cs"/>
          <w:sz w:val="27"/>
          <w:rtl/>
        </w:rPr>
        <w:t>،</w:t>
      </w:r>
      <w:r w:rsidRPr="006571AC">
        <w:rPr>
          <w:rFonts w:hint="cs"/>
          <w:sz w:val="27"/>
          <w:rtl/>
        </w:rPr>
        <w:t xml:space="preserve"> في بحث أدلة البراءة، في ذيل قوله تعالى: </w:t>
      </w:r>
      <w:r w:rsidRPr="006571AC">
        <w:rPr>
          <w:rFonts w:ascii="Mosawi" w:hAnsi="Mosawi" w:cs="Mosawi"/>
          <w:sz w:val="24"/>
          <w:szCs w:val="24"/>
          <w:rtl/>
        </w:rPr>
        <w:t>﴿</w:t>
      </w:r>
      <w:r w:rsidRPr="006571AC">
        <w:rPr>
          <w:b/>
          <w:bCs/>
          <w:sz w:val="27"/>
          <w:rtl/>
        </w:rPr>
        <w:t xml:space="preserve">...وَمَنْ قُدِرَ عَلَيْهِ رِزْقُهُ فَلْيُنْفِقْ مِمَّا آتَاهُ </w:t>
      </w:r>
      <w:r w:rsidR="0097633B" w:rsidRPr="006571AC">
        <w:rPr>
          <w:b/>
          <w:bCs/>
          <w:sz w:val="27"/>
          <w:rtl/>
        </w:rPr>
        <w:t>الل</w:t>
      </w:r>
      <w:r w:rsidR="00186355" w:rsidRPr="006571AC">
        <w:rPr>
          <w:b/>
          <w:bCs/>
          <w:sz w:val="27"/>
          <w:rtl/>
        </w:rPr>
        <w:t>هُ ل</w:t>
      </w:r>
      <w:r w:rsidRPr="006571AC">
        <w:rPr>
          <w:b/>
          <w:bCs/>
          <w:sz w:val="27"/>
          <w:rtl/>
        </w:rPr>
        <w:t>ا</w:t>
      </w:r>
      <w:r w:rsidR="00186355" w:rsidRPr="006571AC">
        <w:rPr>
          <w:rFonts w:hint="cs"/>
          <w:b/>
          <w:bCs/>
          <w:sz w:val="27"/>
          <w:rtl/>
        </w:rPr>
        <w:t>َ</w:t>
      </w:r>
      <w:r w:rsidRPr="006571AC">
        <w:rPr>
          <w:b/>
          <w:bCs/>
          <w:sz w:val="27"/>
          <w:rtl/>
        </w:rPr>
        <w:t xml:space="preserve"> يُكَلِّفُ </w:t>
      </w:r>
      <w:r w:rsidR="0097633B" w:rsidRPr="006571AC">
        <w:rPr>
          <w:b/>
          <w:bCs/>
          <w:sz w:val="27"/>
          <w:rtl/>
        </w:rPr>
        <w:t>الل</w:t>
      </w:r>
      <w:r w:rsidRPr="006571AC">
        <w:rPr>
          <w:b/>
          <w:bCs/>
          <w:sz w:val="27"/>
          <w:rtl/>
        </w:rPr>
        <w:t>هُ نَفْساً إِ</w:t>
      </w:r>
      <w:r w:rsidR="003C2639" w:rsidRPr="006571AC">
        <w:rPr>
          <w:b/>
          <w:bCs/>
          <w:sz w:val="27"/>
          <w:rtl/>
        </w:rPr>
        <w:t>لاّ</w:t>
      </w:r>
      <w:r w:rsidR="00186355" w:rsidRPr="006571AC">
        <w:rPr>
          <w:rFonts w:hint="cs"/>
          <w:b/>
          <w:bCs/>
          <w:sz w:val="27"/>
          <w:rtl/>
        </w:rPr>
        <w:t>َ</w:t>
      </w:r>
      <w:r w:rsidRPr="006571AC">
        <w:rPr>
          <w:b/>
          <w:bCs/>
          <w:sz w:val="27"/>
          <w:rtl/>
        </w:rPr>
        <w:t xml:space="preserve"> مَا آتَاهَا...</w:t>
      </w:r>
      <w:r w:rsidRPr="006571AC">
        <w:rPr>
          <w:rFonts w:ascii="Mosawi" w:hAnsi="Mosawi" w:cs="Mosawi"/>
          <w:sz w:val="24"/>
          <w:szCs w:val="24"/>
          <w:rtl/>
        </w:rPr>
        <w:t>﴾</w:t>
      </w:r>
      <w:r w:rsidRPr="006571AC">
        <w:rPr>
          <w:rFonts w:hint="cs"/>
          <w:sz w:val="27"/>
          <w:rtl/>
        </w:rPr>
        <w:t xml:space="preserve"> (الطلاق: 7)، في نقد الذين قالوا بأن المراد من قوله</w:t>
      </w:r>
      <w:r w:rsidR="00186355"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ما آتاها</w:t>
      </w:r>
      <w:r w:rsidRPr="006571AC">
        <w:rPr>
          <w:rFonts w:hint="eastAsia"/>
          <w:sz w:val="24"/>
          <w:szCs w:val="24"/>
          <w:rtl/>
        </w:rPr>
        <w:t>»</w:t>
      </w:r>
      <w:r w:rsidRPr="006571AC">
        <w:rPr>
          <w:rFonts w:hint="cs"/>
          <w:sz w:val="27"/>
          <w:rtl/>
        </w:rPr>
        <w:t xml:space="preserve"> هو المال الذي أعطاه الله لهم: </w:t>
      </w:r>
      <w:r w:rsidRPr="006571AC">
        <w:rPr>
          <w:rFonts w:hint="eastAsia"/>
          <w:sz w:val="24"/>
          <w:szCs w:val="24"/>
          <w:rtl/>
        </w:rPr>
        <w:t>«</w:t>
      </w:r>
      <w:r w:rsidRPr="006571AC">
        <w:rPr>
          <w:rFonts w:hint="cs"/>
          <w:sz w:val="27"/>
          <w:rtl/>
        </w:rPr>
        <w:t>إن هذا المعنى</w:t>
      </w:r>
      <w:r w:rsidR="00186355" w:rsidRPr="006571AC">
        <w:rPr>
          <w:rFonts w:hint="cs"/>
          <w:sz w:val="27"/>
          <w:rtl/>
        </w:rPr>
        <w:t>؛</w:t>
      </w:r>
      <w:r w:rsidRPr="006571AC">
        <w:rPr>
          <w:rFonts w:hint="cs"/>
          <w:sz w:val="27"/>
          <w:rtl/>
        </w:rPr>
        <w:t xml:space="preserve"> لجهة قرينة السياق، على خلاف ظاهر الآية؛ إذ ورد قبل هذه الآية قوله تعالى: </w:t>
      </w:r>
      <w:r w:rsidRPr="006571AC">
        <w:rPr>
          <w:rFonts w:ascii="Mosawi" w:hAnsi="Mosawi" w:cs="Mosawi"/>
          <w:sz w:val="24"/>
          <w:szCs w:val="24"/>
          <w:rtl/>
        </w:rPr>
        <w:t>﴿</w:t>
      </w:r>
      <w:r w:rsidRPr="006571AC">
        <w:rPr>
          <w:b/>
          <w:bCs/>
          <w:sz w:val="27"/>
          <w:rtl/>
        </w:rPr>
        <w:t>وَمَنْ قُدِرَ عَلَيْهِ رِزْقُهُ فَلْيُنْفِقْ</w:t>
      </w:r>
      <w:r w:rsidRPr="006571AC">
        <w:rPr>
          <w:rFonts w:hint="cs"/>
          <w:b/>
          <w:bCs/>
          <w:sz w:val="27"/>
          <w:rtl/>
        </w:rPr>
        <w:t xml:space="preserve"> </w:t>
      </w:r>
      <w:r w:rsidRPr="006571AC">
        <w:rPr>
          <w:b/>
          <w:bCs/>
          <w:sz w:val="27"/>
          <w:rtl/>
        </w:rPr>
        <w:t xml:space="preserve">مِمَّا آتَاهُ </w:t>
      </w:r>
      <w:r w:rsidR="0097633B" w:rsidRPr="006571AC">
        <w:rPr>
          <w:b/>
          <w:bCs/>
          <w:sz w:val="27"/>
          <w:rtl/>
        </w:rPr>
        <w:t>الل</w:t>
      </w:r>
      <w:r w:rsidRPr="006571AC">
        <w:rPr>
          <w:b/>
          <w:bCs/>
          <w:sz w:val="27"/>
          <w:rtl/>
        </w:rPr>
        <w:t>هُ</w:t>
      </w:r>
      <w:r w:rsidRPr="006571AC">
        <w:rPr>
          <w:rFonts w:ascii="Mosawi" w:hAnsi="Mosawi" w:cs="Mosawi"/>
          <w:sz w:val="24"/>
          <w:szCs w:val="24"/>
          <w:rtl/>
        </w:rPr>
        <w:t>﴾</w:t>
      </w:r>
      <w:r w:rsidRPr="006571AC">
        <w:rPr>
          <w:rFonts w:hint="cs"/>
          <w:sz w:val="27"/>
          <w:rtl/>
        </w:rPr>
        <w:t>، فإذا كان المراد من الموصول هو خصوص المال أو الإنفاق لزم من ذلك تكرار المضمون</w:t>
      </w:r>
      <w:r w:rsidRPr="006571AC">
        <w:rPr>
          <w:rFonts w:hint="eastAsia"/>
          <w:sz w:val="24"/>
          <w:szCs w:val="24"/>
          <w:rtl/>
        </w:rPr>
        <w:t>»</w:t>
      </w:r>
      <w:r w:rsidRPr="006571AC">
        <w:rPr>
          <w:sz w:val="27"/>
          <w:vertAlign w:val="superscript"/>
          <w:rtl/>
        </w:rPr>
        <w:t>(</w:t>
      </w:r>
      <w:r w:rsidRPr="006571AC">
        <w:rPr>
          <w:rStyle w:val="ac"/>
          <w:sz w:val="27"/>
          <w:rtl/>
        </w:rPr>
        <w:endnoteReference w:id="190"/>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والنقطة الجديرة بالذكر هي أن الأقسام المختلف</w:t>
      </w:r>
      <w:r w:rsidR="00186355" w:rsidRPr="006571AC">
        <w:rPr>
          <w:rFonts w:hint="cs"/>
          <w:sz w:val="27"/>
          <w:rtl/>
        </w:rPr>
        <w:t>ة</w:t>
      </w:r>
      <w:r w:rsidRPr="006571AC">
        <w:rPr>
          <w:rFonts w:hint="cs"/>
          <w:sz w:val="27"/>
          <w:rtl/>
        </w:rPr>
        <w:t xml:space="preserve"> للسياق تتماهى فيما بينها</w:t>
      </w:r>
      <w:r w:rsidR="00186355" w:rsidRPr="006571AC">
        <w:rPr>
          <w:rFonts w:hint="cs"/>
          <w:sz w:val="27"/>
          <w:rtl/>
        </w:rPr>
        <w:t>،</w:t>
      </w:r>
      <w:r w:rsidRPr="006571AC">
        <w:rPr>
          <w:rFonts w:hint="cs"/>
          <w:sz w:val="27"/>
          <w:rtl/>
        </w:rPr>
        <w:t xml:space="preserve"> </w:t>
      </w:r>
      <w:r w:rsidRPr="006571AC">
        <w:rPr>
          <w:rFonts w:hint="cs"/>
          <w:sz w:val="27"/>
          <w:rtl/>
        </w:rPr>
        <w:lastRenderedPageBreak/>
        <w:t>فقد تحتوي جملة</w:t>
      </w:r>
      <w:r w:rsidR="00186355" w:rsidRPr="006571AC">
        <w:rPr>
          <w:rFonts w:hint="cs"/>
          <w:sz w:val="27"/>
          <w:rtl/>
        </w:rPr>
        <w:t>ٌ</w:t>
      </w:r>
      <w:r w:rsidRPr="006571AC">
        <w:rPr>
          <w:rFonts w:hint="cs"/>
          <w:sz w:val="27"/>
          <w:rtl/>
        </w:rPr>
        <w:t xml:space="preserve"> واحدة على سياقين مختلفين. </w:t>
      </w:r>
      <w:r w:rsidR="00186355" w:rsidRPr="006571AC">
        <w:rPr>
          <w:rFonts w:hint="cs"/>
          <w:sz w:val="27"/>
          <w:rtl/>
        </w:rPr>
        <w:t>و</w:t>
      </w:r>
      <w:r w:rsidRPr="006571AC">
        <w:rPr>
          <w:rFonts w:hint="cs"/>
          <w:sz w:val="27"/>
          <w:rtl/>
        </w:rPr>
        <w:t>من ذلك ـ على سبيل المثال</w:t>
      </w:r>
      <w:r w:rsidR="00186355" w:rsidRPr="006571AC">
        <w:rPr>
          <w:rFonts w:hint="cs"/>
          <w:sz w:val="27"/>
          <w:rtl/>
        </w:rPr>
        <w:t>،</w:t>
      </w:r>
      <w:r w:rsidRPr="006571AC">
        <w:rPr>
          <w:rFonts w:hint="cs"/>
          <w:sz w:val="27"/>
          <w:rtl/>
        </w:rPr>
        <w:t xml:space="preserve"> أن </w:t>
      </w:r>
      <w:r w:rsidR="00186355" w:rsidRPr="006571AC">
        <w:rPr>
          <w:rFonts w:hint="cs"/>
          <w:sz w:val="27"/>
          <w:rtl/>
        </w:rPr>
        <w:t>الإمام</w:t>
      </w:r>
      <w:r w:rsidRPr="006571AC">
        <w:rPr>
          <w:rFonts w:hint="cs"/>
          <w:sz w:val="27"/>
          <w:rtl/>
        </w:rPr>
        <w:t xml:space="preserve"> الخميني في المثال </w:t>
      </w:r>
      <w:r w:rsidR="00186355" w:rsidRPr="006571AC">
        <w:rPr>
          <w:rFonts w:hint="cs"/>
          <w:sz w:val="27"/>
          <w:rtl/>
        </w:rPr>
        <w:t>المتقدِّم</w:t>
      </w:r>
      <w:r w:rsidRPr="006571AC">
        <w:rPr>
          <w:rFonts w:hint="cs"/>
          <w:sz w:val="27"/>
          <w:rtl/>
        </w:rPr>
        <w:t>، في مقام بيان الاحتمالات الثبوتية، قد ذهب إلى القول بذات الفهم والرؤية التي نفاها المحق</w:t>
      </w:r>
      <w:r w:rsidR="00186355" w:rsidRPr="006571AC">
        <w:rPr>
          <w:rFonts w:hint="cs"/>
          <w:sz w:val="27"/>
          <w:rtl/>
        </w:rPr>
        <w:t>ِّ</w:t>
      </w:r>
      <w:r w:rsidRPr="006571AC">
        <w:rPr>
          <w:rFonts w:hint="cs"/>
          <w:sz w:val="27"/>
          <w:rtl/>
        </w:rPr>
        <w:t>ق الداماد</w:t>
      </w:r>
      <w:r w:rsidR="00186355" w:rsidRPr="006571AC">
        <w:rPr>
          <w:rFonts w:hint="cs"/>
          <w:sz w:val="27"/>
          <w:rtl/>
        </w:rPr>
        <w:t>؛</w:t>
      </w:r>
      <w:r w:rsidRPr="006571AC">
        <w:rPr>
          <w:rFonts w:hint="cs"/>
          <w:sz w:val="27"/>
          <w:rtl/>
        </w:rPr>
        <w:t xml:space="preserve"> بسبب قرينية سياق التأخ</w:t>
      </w:r>
      <w:r w:rsidR="00186355" w:rsidRPr="006571AC">
        <w:rPr>
          <w:rFonts w:hint="cs"/>
          <w:sz w:val="27"/>
          <w:rtl/>
        </w:rPr>
        <w:t>ُّ</w:t>
      </w:r>
      <w:r w:rsidRPr="006571AC">
        <w:rPr>
          <w:rFonts w:hint="cs"/>
          <w:sz w:val="27"/>
          <w:rtl/>
        </w:rPr>
        <w:t>ر، وذلك من خلال التمسّ</w:t>
      </w:r>
      <w:r w:rsidR="00186355" w:rsidRPr="006571AC">
        <w:rPr>
          <w:rFonts w:hint="cs"/>
          <w:sz w:val="27"/>
          <w:rtl/>
        </w:rPr>
        <w:t>ُ</w:t>
      </w:r>
      <w:r w:rsidRPr="006571AC">
        <w:rPr>
          <w:rFonts w:hint="cs"/>
          <w:sz w:val="27"/>
          <w:rtl/>
        </w:rPr>
        <w:t>ك بقرينية سياق الترتّ</w:t>
      </w:r>
      <w:r w:rsidR="00186355" w:rsidRPr="006571AC">
        <w:rPr>
          <w:rFonts w:hint="cs"/>
          <w:sz w:val="27"/>
          <w:rtl/>
        </w:rPr>
        <w:t>ُ</w:t>
      </w:r>
      <w:r w:rsidRPr="006571AC">
        <w:rPr>
          <w:rFonts w:hint="cs"/>
          <w:sz w:val="27"/>
          <w:rtl/>
        </w:rPr>
        <w:t>ب</w:t>
      </w:r>
      <w:r w:rsidR="00186355" w:rsidRPr="006571AC">
        <w:rPr>
          <w:rFonts w:hint="cs"/>
          <w:sz w:val="27"/>
          <w:rtl/>
        </w:rPr>
        <w:t xml:space="preserve">، </w:t>
      </w:r>
      <w:r w:rsidRPr="006571AC">
        <w:rPr>
          <w:rFonts w:hint="cs"/>
          <w:sz w:val="27"/>
          <w:rtl/>
        </w:rPr>
        <w:t xml:space="preserve">حيث قال سماحته: </w:t>
      </w:r>
      <w:r w:rsidRPr="006571AC">
        <w:rPr>
          <w:rFonts w:hint="eastAsia"/>
          <w:sz w:val="24"/>
          <w:szCs w:val="24"/>
          <w:rtl/>
        </w:rPr>
        <w:t>«</w:t>
      </w:r>
      <w:r w:rsidRPr="006571AC">
        <w:rPr>
          <w:rFonts w:hint="cs"/>
          <w:sz w:val="27"/>
          <w:rtl/>
        </w:rPr>
        <w:t>الاحتمال الثالث في معنى هذه الآية الكريمة هو أن يكون المراد من الموصول</w:t>
      </w:r>
      <w:r w:rsidR="00D62E98" w:rsidRPr="006571AC">
        <w:rPr>
          <w:rFonts w:hint="cs"/>
          <w:sz w:val="27"/>
          <w:rtl/>
        </w:rPr>
        <w:t>؛</w:t>
      </w:r>
      <w:r w:rsidRPr="006571AC">
        <w:rPr>
          <w:rFonts w:hint="cs"/>
          <w:sz w:val="27"/>
          <w:rtl/>
        </w:rPr>
        <w:t xml:space="preserve"> بسبب قرينة السياق، المال</w:t>
      </w:r>
      <w:r w:rsidR="00D62E98" w:rsidRPr="006571AC">
        <w:rPr>
          <w:rFonts w:hint="cs"/>
          <w:sz w:val="27"/>
          <w:rtl/>
        </w:rPr>
        <w:t>،</w:t>
      </w:r>
      <w:r w:rsidRPr="006571AC">
        <w:rPr>
          <w:rFonts w:hint="cs"/>
          <w:sz w:val="27"/>
          <w:rtl/>
        </w:rPr>
        <w:t xml:space="preserve"> والإيتاء بمعنى الإعطاء</w:t>
      </w:r>
      <w:r w:rsidRPr="006571AC">
        <w:rPr>
          <w:rFonts w:hint="eastAsia"/>
          <w:sz w:val="24"/>
          <w:szCs w:val="24"/>
          <w:rtl/>
        </w:rPr>
        <w:t>»</w:t>
      </w:r>
      <w:r w:rsidRPr="006571AC">
        <w:rPr>
          <w:sz w:val="27"/>
          <w:vertAlign w:val="superscript"/>
          <w:rtl/>
        </w:rPr>
        <w:t>(</w:t>
      </w:r>
      <w:r w:rsidRPr="006571AC">
        <w:rPr>
          <w:rStyle w:val="ac"/>
          <w:sz w:val="27"/>
          <w:rtl/>
        </w:rPr>
        <w:endnoteReference w:id="191"/>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إن اختلاف هذا القسم من السياق عن سياق الضمنية يكمن في أن النكتة من بيان المحتوى تستفاد ضمن أمر</w:t>
      </w:r>
      <w:r w:rsidR="00D62E98" w:rsidRPr="006571AC">
        <w:rPr>
          <w:rFonts w:hint="cs"/>
          <w:sz w:val="27"/>
          <w:rtl/>
        </w:rPr>
        <w:t>ٍ</w:t>
      </w:r>
      <w:r w:rsidRPr="006571AC">
        <w:rPr>
          <w:rFonts w:hint="cs"/>
          <w:sz w:val="27"/>
          <w:rtl/>
        </w:rPr>
        <w:t xml:space="preserve"> آخر، وأما في سياق التأخ</w:t>
      </w:r>
      <w:r w:rsidR="00D62E98" w:rsidRPr="006571AC">
        <w:rPr>
          <w:rFonts w:hint="cs"/>
          <w:sz w:val="27"/>
          <w:rtl/>
        </w:rPr>
        <w:t>ُّ</w:t>
      </w:r>
      <w:r w:rsidRPr="006571AC">
        <w:rPr>
          <w:rFonts w:hint="cs"/>
          <w:sz w:val="27"/>
          <w:rtl/>
        </w:rPr>
        <w:t>ر فيتم</w:t>
      </w:r>
      <w:r w:rsidR="00D62E98" w:rsidRPr="006571AC">
        <w:rPr>
          <w:rFonts w:hint="cs"/>
          <w:sz w:val="27"/>
          <w:rtl/>
        </w:rPr>
        <w:t>ّ</w:t>
      </w:r>
      <w:r w:rsidRPr="006571AC">
        <w:rPr>
          <w:rFonts w:hint="cs"/>
          <w:sz w:val="27"/>
          <w:rtl/>
        </w:rPr>
        <w:t xml:space="preserve"> اصطياد النكتة من مجرّد تأخ</w:t>
      </w:r>
      <w:r w:rsidR="00D62E98" w:rsidRPr="006571AC">
        <w:rPr>
          <w:rFonts w:hint="cs"/>
          <w:sz w:val="27"/>
          <w:rtl/>
        </w:rPr>
        <w:t>ُّ</w:t>
      </w:r>
      <w:r w:rsidRPr="006571AC">
        <w:rPr>
          <w:rFonts w:hint="cs"/>
          <w:sz w:val="27"/>
          <w:rtl/>
        </w:rPr>
        <w:t>ر أمر</w:t>
      </w:r>
      <w:r w:rsidR="00D62E98" w:rsidRPr="006571AC">
        <w:rPr>
          <w:rFonts w:hint="cs"/>
          <w:sz w:val="27"/>
          <w:rtl/>
        </w:rPr>
        <w:t>ٍ</w:t>
      </w:r>
      <w:r w:rsidRPr="006571AC">
        <w:rPr>
          <w:rFonts w:hint="cs"/>
          <w:sz w:val="27"/>
          <w:rtl/>
        </w:rPr>
        <w:t xml:space="preserve"> عن أمر</w:t>
      </w:r>
      <w:r w:rsidR="00D62E98" w:rsidRPr="006571AC">
        <w:rPr>
          <w:rFonts w:hint="cs"/>
          <w:sz w:val="27"/>
          <w:rtl/>
        </w:rPr>
        <w:t>ٍ</w:t>
      </w:r>
      <w:r w:rsidRPr="006571AC">
        <w:rPr>
          <w:rFonts w:hint="cs"/>
          <w:sz w:val="27"/>
          <w:rtl/>
        </w:rPr>
        <w:t xml:space="preserve"> آخر. </w:t>
      </w:r>
    </w:p>
    <w:p w:rsidR="009E7E1F" w:rsidRPr="006571AC" w:rsidRDefault="009E7E1F" w:rsidP="009E7E1F">
      <w:pPr>
        <w:spacing w:line="420" w:lineRule="exact"/>
        <w:rPr>
          <w:sz w:val="27"/>
          <w:rtl/>
        </w:rPr>
      </w:pPr>
    </w:p>
    <w:p w:rsidR="00A75C8B" w:rsidRPr="006571AC" w:rsidRDefault="007E1680" w:rsidP="009C29A7">
      <w:pPr>
        <w:pStyle w:val="31"/>
        <w:rPr>
          <w:color w:val="auto"/>
          <w:rtl/>
        </w:rPr>
      </w:pPr>
      <w:bookmarkStart w:id="92" w:name="_Toc114164581"/>
      <w:r w:rsidRPr="006571AC">
        <w:rPr>
          <w:rFonts w:hint="cs"/>
          <w:color w:val="auto"/>
          <w:rtl/>
        </w:rPr>
        <w:t>د ـ</w:t>
      </w:r>
      <w:r w:rsidR="00A75C8B" w:rsidRPr="006571AC">
        <w:rPr>
          <w:rFonts w:hint="cs"/>
          <w:color w:val="auto"/>
          <w:rtl/>
        </w:rPr>
        <w:t xml:space="preserve"> سياق العدول</w:t>
      </w:r>
      <w:bookmarkEnd w:id="92"/>
    </w:p>
    <w:p w:rsidR="00A75C8B" w:rsidRPr="006571AC" w:rsidRDefault="00A75C8B" w:rsidP="005A3C1E">
      <w:pPr>
        <w:rPr>
          <w:sz w:val="27"/>
          <w:rtl/>
        </w:rPr>
      </w:pPr>
      <w:r w:rsidRPr="006571AC">
        <w:rPr>
          <w:rFonts w:hint="cs"/>
          <w:sz w:val="27"/>
          <w:rtl/>
        </w:rPr>
        <w:t>إن سياق العدول عبارة</w:t>
      </w:r>
      <w:r w:rsidR="00D62E98" w:rsidRPr="006571AC">
        <w:rPr>
          <w:rFonts w:hint="cs"/>
          <w:sz w:val="27"/>
          <w:rtl/>
        </w:rPr>
        <w:t>ٌ</w:t>
      </w:r>
      <w:r w:rsidRPr="006571AC">
        <w:rPr>
          <w:rFonts w:hint="cs"/>
          <w:sz w:val="27"/>
          <w:rtl/>
        </w:rPr>
        <w:t xml:space="preserve"> عن الانصراف عن بيان مسألة</w:t>
      </w:r>
      <w:r w:rsidR="00D62E98" w:rsidRPr="006571AC">
        <w:rPr>
          <w:rFonts w:hint="cs"/>
          <w:sz w:val="27"/>
          <w:rtl/>
        </w:rPr>
        <w:t>ٍ</w:t>
      </w:r>
      <w:r w:rsidRPr="006571AC">
        <w:rPr>
          <w:rFonts w:hint="cs"/>
          <w:sz w:val="27"/>
          <w:rtl/>
        </w:rPr>
        <w:t xml:space="preserve"> إلى بيان مسألة</w:t>
      </w:r>
      <w:r w:rsidR="00D62E98" w:rsidRPr="006571AC">
        <w:rPr>
          <w:rFonts w:hint="cs"/>
          <w:sz w:val="27"/>
          <w:rtl/>
        </w:rPr>
        <w:t>ٍ</w:t>
      </w:r>
      <w:r w:rsidRPr="006571AC">
        <w:rPr>
          <w:rFonts w:hint="cs"/>
          <w:sz w:val="27"/>
          <w:rtl/>
        </w:rPr>
        <w:t xml:space="preserve"> أخرى، سواء أكانت مرتبطة</w:t>
      </w:r>
      <w:r w:rsidR="00D62E98" w:rsidRPr="006571AC">
        <w:rPr>
          <w:rFonts w:hint="cs"/>
          <w:sz w:val="27"/>
          <w:rtl/>
        </w:rPr>
        <w:t>ً</w:t>
      </w:r>
      <w:r w:rsidRPr="006571AC">
        <w:rPr>
          <w:rFonts w:hint="cs"/>
          <w:sz w:val="27"/>
          <w:rtl/>
        </w:rPr>
        <w:t xml:space="preserve"> بما قبلها أو ليست مرتبطة</w:t>
      </w:r>
      <w:r w:rsidR="00D62E98" w:rsidRPr="006571AC">
        <w:rPr>
          <w:rFonts w:hint="cs"/>
          <w:sz w:val="27"/>
          <w:rtl/>
        </w:rPr>
        <w:t>ً</w:t>
      </w:r>
      <w:r w:rsidRPr="006571AC">
        <w:rPr>
          <w:rFonts w:hint="cs"/>
          <w:sz w:val="27"/>
          <w:rtl/>
        </w:rPr>
        <w:t xml:space="preserve"> بما قبلها. وبعبارة</w:t>
      </w:r>
      <w:r w:rsidR="00D62E98" w:rsidRPr="006571AC">
        <w:rPr>
          <w:rFonts w:hint="cs"/>
          <w:sz w:val="27"/>
          <w:rtl/>
        </w:rPr>
        <w:t>ٍ</w:t>
      </w:r>
      <w:r w:rsidRPr="006571AC">
        <w:rPr>
          <w:rFonts w:hint="cs"/>
          <w:sz w:val="27"/>
          <w:rtl/>
        </w:rPr>
        <w:t xml:space="preserve"> أخرى: حيث يتخل</w:t>
      </w:r>
      <w:r w:rsidR="00D62E98" w:rsidRPr="006571AC">
        <w:rPr>
          <w:rFonts w:hint="cs"/>
          <w:sz w:val="27"/>
          <w:rtl/>
        </w:rPr>
        <w:t>ّ</w:t>
      </w:r>
      <w:r w:rsidRPr="006571AC">
        <w:rPr>
          <w:rFonts w:hint="cs"/>
          <w:sz w:val="27"/>
          <w:rtl/>
        </w:rPr>
        <w:t>ى المتكل</w:t>
      </w:r>
      <w:r w:rsidR="00D62E98" w:rsidRPr="006571AC">
        <w:rPr>
          <w:rFonts w:hint="cs"/>
          <w:sz w:val="27"/>
          <w:rtl/>
        </w:rPr>
        <w:t>ِّ</w:t>
      </w:r>
      <w:r w:rsidRPr="006571AC">
        <w:rPr>
          <w:rFonts w:hint="cs"/>
          <w:sz w:val="27"/>
          <w:rtl/>
        </w:rPr>
        <w:t>م عن محتواه الأو</w:t>
      </w:r>
      <w:r w:rsidR="00D62E98" w:rsidRPr="006571AC">
        <w:rPr>
          <w:rFonts w:hint="cs"/>
          <w:sz w:val="27"/>
          <w:rtl/>
        </w:rPr>
        <w:t>ّ</w:t>
      </w:r>
      <w:r w:rsidRPr="006571AC">
        <w:rPr>
          <w:rFonts w:hint="cs"/>
          <w:sz w:val="27"/>
          <w:rtl/>
        </w:rPr>
        <w:t>ل، ويصير إلى محتوى</w:t>
      </w:r>
      <w:r w:rsidR="00D62E98" w:rsidRPr="006571AC">
        <w:rPr>
          <w:rFonts w:hint="cs"/>
          <w:sz w:val="27"/>
          <w:rtl/>
        </w:rPr>
        <w:t>ً</w:t>
      </w:r>
      <w:r w:rsidRPr="006571AC">
        <w:rPr>
          <w:rFonts w:hint="cs"/>
          <w:sz w:val="27"/>
          <w:rtl/>
        </w:rPr>
        <w:t xml:space="preserve"> آخر، يتبلور في الجملة سياق العدول. </w:t>
      </w:r>
    </w:p>
    <w:p w:rsidR="00A75C8B" w:rsidRPr="006571AC" w:rsidRDefault="00A75C8B" w:rsidP="00394350">
      <w:pPr>
        <w:rPr>
          <w:sz w:val="27"/>
          <w:rtl/>
        </w:rPr>
      </w:pPr>
      <w:r w:rsidRPr="006571AC">
        <w:rPr>
          <w:rFonts w:hint="cs"/>
          <w:sz w:val="27"/>
          <w:rtl/>
        </w:rPr>
        <w:t xml:space="preserve">وقد </w:t>
      </w:r>
      <w:r w:rsidR="00394350" w:rsidRPr="006571AC">
        <w:rPr>
          <w:rFonts w:hint="cs"/>
          <w:sz w:val="27"/>
          <w:rtl/>
        </w:rPr>
        <w:t>قال</w:t>
      </w:r>
      <w:r w:rsidRPr="006571AC">
        <w:rPr>
          <w:rFonts w:hint="cs"/>
          <w:sz w:val="27"/>
          <w:rtl/>
        </w:rPr>
        <w:t xml:space="preserve"> السيد الخوئي</w:t>
      </w:r>
      <w:r w:rsidR="002A2C90" w:rsidRPr="006571AC">
        <w:rPr>
          <w:rFonts w:ascii="Mosawi" w:hAnsi="Mosawi" w:cs="Mosawi"/>
          <w:sz w:val="22"/>
          <w:szCs w:val="22"/>
          <w:rtl/>
        </w:rPr>
        <w:t>&amp;</w:t>
      </w:r>
      <w:r w:rsidR="00D62E98" w:rsidRPr="006571AC">
        <w:rPr>
          <w:rFonts w:hint="cs"/>
          <w:sz w:val="27"/>
          <w:rtl/>
        </w:rPr>
        <w:t>،</w:t>
      </w:r>
      <w:r w:rsidRPr="006571AC">
        <w:rPr>
          <w:rFonts w:hint="cs"/>
          <w:sz w:val="27"/>
          <w:rtl/>
        </w:rPr>
        <w:t xml:space="preserve"> في بحث مقدار دية أنواع العطب في مفصل الفخذ، في ذيل معتبرة ظريف، عن أمير المؤمنين</w:t>
      </w:r>
      <w:r w:rsidR="002A2C90" w:rsidRPr="006571AC">
        <w:rPr>
          <w:rFonts w:ascii="Mosawi" w:hAnsi="Mosawi" w:cs="Mosawi"/>
          <w:sz w:val="22"/>
          <w:szCs w:val="22"/>
          <w:rtl/>
        </w:rPr>
        <w:t>×</w:t>
      </w:r>
      <w:r w:rsidRPr="006571AC">
        <w:rPr>
          <w:rFonts w:hint="cs"/>
          <w:sz w:val="27"/>
          <w:rtl/>
        </w:rPr>
        <w:t xml:space="preserve">: </w:t>
      </w:r>
      <w:r w:rsidRPr="006571AC">
        <w:rPr>
          <w:rFonts w:hint="eastAsia"/>
          <w:sz w:val="24"/>
          <w:szCs w:val="24"/>
          <w:rtl/>
        </w:rPr>
        <w:t>«</w:t>
      </w:r>
      <w:r w:rsidR="00D62E98" w:rsidRPr="006571AC">
        <w:rPr>
          <w:rFonts w:hint="cs"/>
          <w:sz w:val="27"/>
          <w:rtl/>
        </w:rPr>
        <w:t>...</w:t>
      </w:r>
      <w:r w:rsidRPr="006571AC">
        <w:rPr>
          <w:rFonts w:hint="cs"/>
          <w:sz w:val="27"/>
          <w:rtl/>
        </w:rPr>
        <w:t>في الورك إذا كُس</w:t>
      </w:r>
      <w:r w:rsidR="00D62E98" w:rsidRPr="006571AC">
        <w:rPr>
          <w:rFonts w:hint="cs"/>
          <w:sz w:val="27"/>
          <w:rtl/>
        </w:rPr>
        <w:t>ِ</w:t>
      </w:r>
      <w:r w:rsidRPr="006571AC">
        <w:rPr>
          <w:rFonts w:hint="cs"/>
          <w:sz w:val="27"/>
          <w:rtl/>
        </w:rPr>
        <w:t>ر فجبر على غير عثم ولا عيب خمس دية الرجل</w:t>
      </w:r>
      <w:r w:rsidR="00D62E98" w:rsidRPr="006571AC">
        <w:rPr>
          <w:rFonts w:hint="cs"/>
          <w:sz w:val="27"/>
          <w:rtl/>
        </w:rPr>
        <w:t>؛</w:t>
      </w:r>
      <w:r w:rsidRPr="006571AC">
        <w:rPr>
          <w:rFonts w:hint="cs"/>
          <w:sz w:val="27"/>
          <w:rtl/>
        </w:rPr>
        <w:t xml:space="preserve"> مئتا دينار...</w:t>
      </w:r>
      <w:r w:rsidR="00D62E98" w:rsidRPr="006571AC">
        <w:rPr>
          <w:rFonts w:hint="cs"/>
          <w:sz w:val="27"/>
          <w:rtl/>
        </w:rPr>
        <w:t>؛</w:t>
      </w:r>
      <w:r w:rsidRPr="006571AC">
        <w:rPr>
          <w:rFonts w:hint="cs"/>
          <w:sz w:val="27"/>
          <w:rtl/>
        </w:rPr>
        <w:t xml:space="preserve"> لكسرها مئة دينار</w:t>
      </w:r>
      <w:r w:rsidR="00D62E98" w:rsidRPr="006571AC">
        <w:rPr>
          <w:rFonts w:hint="cs"/>
          <w:sz w:val="27"/>
          <w:rtl/>
        </w:rPr>
        <w:t>،</w:t>
      </w:r>
      <w:r w:rsidRPr="006571AC">
        <w:rPr>
          <w:rFonts w:hint="cs"/>
          <w:sz w:val="27"/>
          <w:rtl/>
        </w:rPr>
        <w:t xml:space="preserve"> ولنقل عظامها خمسون ديناراً... فإن</w:t>
      </w:r>
      <w:r w:rsidR="00394350" w:rsidRPr="006571AC">
        <w:rPr>
          <w:rFonts w:hint="cs"/>
          <w:sz w:val="27"/>
          <w:rtl/>
        </w:rPr>
        <w:t>ْ</w:t>
      </w:r>
      <w:r w:rsidRPr="006571AC">
        <w:rPr>
          <w:rFonts w:hint="cs"/>
          <w:sz w:val="27"/>
          <w:rtl/>
        </w:rPr>
        <w:t xml:space="preserve"> رُضّ</w:t>
      </w:r>
      <w:r w:rsidR="00D62E98" w:rsidRPr="006571AC">
        <w:rPr>
          <w:rFonts w:hint="cs"/>
          <w:sz w:val="27"/>
          <w:rtl/>
        </w:rPr>
        <w:t>َ</w:t>
      </w:r>
      <w:r w:rsidRPr="006571AC">
        <w:rPr>
          <w:rFonts w:hint="cs"/>
          <w:sz w:val="27"/>
          <w:rtl/>
        </w:rPr>
        <w:t>ت</w:t>
      </w:r>
      <w:r w:rsidR="00D62E98" w:rsidRPr="006571AC">
        <w:rPr>
          <w:rFonts w:hint="cs"/>
          <w:sz w:val="27"/>
          <w:rtl/>
        </w:rPr>
        <w:t>ْ</w:t>
      </w:r>
      <w:r w:rsidRPr="006571AC">
        <w:rPr>
          <w:rFonts w:hint="cs"/>
          <w:sz w:val="27"/>
          <w:rtl/>
        </w:rPr>
        <w:t xml:space="preserve"> وعثمت فديتها ثلاثمئة وثلاثة وث</w:t>
      </w:r>
      <w:r w:rsidR="00D62E98" w:rsidRPr="006571AC">
        <w:rPr>
          <w:rFonts w:hint="cs"/>
          <w:sz w:val="27"/>
          <w:rtl/>
        </w:rPr>
        <w:t>لاثون ديناراً...</w:t>
      </w:r>
      <w:r w:rsidRPr="006571AC">
        <w:rPr>
          <w:rFonts w:hint="eastAsia"/>
          <w:sz w:val="24"/>
          <w:szCs w:val="24"/>
          <w:rtl/>
        </w:rPr>
        <w:t>»</w:t>
      </w:r>
      <w:r w:rsidRPr="006571AC">
        <w:rPr>
          <w:rFonts w:hint="cs"/>
          <w:sz w:val="27"/>
          <w:rtl/>
        </w:rPr>
        <w:t xml:space="preserve">: </w:t>
      </w:r>
      <w:r w:rsidRPr="006571AC">
        <w:rPr>
          <w:rFonts w:hint="eastAsia"/>
          <w:sz w:val="24"/>
          <w:szCs w:val="24"/>
          <w:rtl/>
        </w:rPr>
        <w:t>«</w:t>
      </w:r>
      <w:r w:rsidRPr="006571AC">
        <w:rPr>
          <w:sz w:val="27"/>
          <w:rtl/>
        </w:rPr>
        <w:t>ثم</w:t>
      </w:r>
      <w:r w:rsidR="00D62E98" w:rsidRPr="006571AC">
        <w:rPr>
          <w:rFonts w:hint="cs"/>
          <w:sz w:val="27"/>
          <w:rtl/>
        </w:rPr>
        <w:t>ّ</w:t>
      </w:r>
      <w:r w:rsidRPr="006571AC">
        <w:rPr>
          <w:sz w:val="27"/>
          <w:rtl/>
        </w:rPr>
        <w:t xml:space="preserve"> </w:t>
      </w:r>
      <w:r w:rsidRPr="006571AC">
        <w:rPr>
          <w:rFonts w:hint="cs"/>
          <w:sz w:val="27"/>
          <w:rtl/>
        </w:rPr>
        <w:t>إ</w:t>
      </w:r>
      <w:r w:rsidRPr="006571AC">
        <w:rPr>
          <w:sz w:val="27"/>
          <w:rtl/>
        </w:rPr>
        <w:t>ن المراد من الورك في صدر المعتبرة هو كلا ورك</w:t>
      </w:r>
      <w:r w:rsidR="00D62E98" w:rsidRPr="006571AC">
        <w:rPr>
          <w:rFonts w:hint="cs"/>
          <w:sz w:val="27"/>
          <w:rtl/>
        </w:rPr>
        <w:t>َ</w:t>
      </w:r>
      <w:r w:rsidRPr="006571AC">
        <w:rPr>
          <w:sz w:val="27"/>
          <w:rtl/>
        </w:rPr>
        <w:t>ي</w:t>
      </w:r>
      <w:r w:rsidR="00D62E98" w:rsidRPr="006571AC">
        <w:rPr>
          <w:rFonts w:hint="cs"/>
          <w:sz w:val="27"/>
          <w:rtl/>
        </w:rPr>
        <w:t>ْ</w:t>
      </w:r>
      <w:r w:rsidRPr="006571AC">
        <w:rPr>
          <w:sz w:val="27"/>
          <w:rtl/>
        </w:rPr>
        <w:t xml:space="preserve"> الرجلين</w:t>
      </w:r>
      <w:r w:rsidRPr="006571AC">
        <w:rPr>
          <w:rFonts w:hint="cs"/>
          <w:sz w:val="27"/>
          <w:rtl/>
        </w:rPr>
        <w:t xml:space="preserve"> [لا أحدهما]؛ </w:t>
      </w:r>
      <w:r w:rsidRPr="006571AC">
        <w:rPr>
          <w:sz w:val="27"/>
          <w:rtl/>
        </w:rPr>
        <w:t>ف</w:t>
      </w:r>
      <w:r w:rsidRPr="006571AC">
        <w:rPr>
          <w:rFonts w:hint="cs"/>
          <w:sz w:val="27"/>
          <w:rtl/>
        </w:rPr>
        <w:t>إ</w:t>
      </w:r>
      <w:r w:rsidRPr="006571AC">
        <w:rPr>
          <w:sz w:val="27"/>
          <w:rtl/>
        </w:rPr>
        <w:t xml:space="preserve">نه </w:t>
      </w:r>
      <w:r w:rsidR="00517740" w:rsidRPr="006571AC">
        <w:rPr>
          <w:rFonts w:hint="cs"/>
          <w:sz w:val="27"/>
          <w:rtl/>
        </w:rPr>
        <w:t xml:space="preserve">ـ </w:t>
      </w:r>
      <w:r w:rsidRPr="006571AC">
        <w:rPr>
          <w:sz w:val="27"/>
          <w:rtl/>
        </w:rPr>
        <w:t>مضافا</w:t>
      </w:r>
      <w:r w:rsidRPr="006571AC">
        <w:rPr>
          <w:rFonts w:hint="cs"/>
          <w:sz w:val="27"/>
          <w:rtl/>
        </w:rPr>
        <w:t>ً</w:t>
      </w:r>
      <w:r w:rsidRPr="006571AC">
        <w:rPr>
          <w:sz w:val="27"/>
          <w:rtl/>
        </w:rPr>
        <w:t xml:space="preserve"> إلى </w:t>
      </w:r>
      <w:r w:rsidRPr="006571AC">
        <w:rPr>
          <w:rFonts w:hint="cs"/>
          <w:sz w:val="27"/>
          <w:rtl/>
        </w:rPr>
        <w:t>أ</w:t>
      </w:r>
      <w:r w:rsidRPr="006571AC">
        <w:rPr>
          <w:sz w:val="27"/>
          <w:rtl/>
        </w:rPr>
        <w:t xml:space="preserve">ن في نسبة ديته إلى دية الرجلين دون دية النفس شهادة على ذلك </w:t>
      </w:r>
      <w:r w:rsidR="00517740" w:rsidRPr="006571AC">
        <w:rPr>
          <w:rFonts w:hint="cs"/>
          <w:sz w:val="27"/>
          <w:rtl/>
        </w:rPr>
        <w:t xml:space="preserve">ـ </w:t>
      </w:r>
      <w:r w:rsidRPr="006571AC">
        <w:rPr>
          <w:sz w:val="27"/>
          <w:rtl/>
        </w:rPr>
        <w:t>قد صر</w:t>
      </w:r>
      <w:r w:rsidR="00D62E98" w:rsidRPr="006571AC">
        <w:rPr>
          <w:rFonts w:hint="cs"/>
          <w:sz w:val="27"/>
          <w:rtl/>
        </w:rPr>
        <w:t>ّ</w:t>
      </w:r>
      <w:r w:rsidRPr="006571AC">
        <w:rPr>
          <w:sz w:val="27"/>
          <w:rtl/>
        </w:rPr>
        <w:t>ح في هذه المعتبرة بأن دية كسر أحد الوركين مئة دينار</w:t>
      </w:r>
      <w:r w:rsidR="00D62E98" w:rsidRPr="006571AC">
        <w:rPr>
          <w:rFonts w:hint="cs"/>
          <w:sz w:val="27"/>
          <w:rtl/>
        </w:rPr>
        <w:t>،</w:t>
      </w:r>
      <w:r w:rsidRPr="006571AC">
        <w:rPr>
          <w:sz w:val="27"/>
          <w:rtl/>
        </w:rPr>
        <w:t xml:space="preserve"> وهو قوله</w:t>
      </w:r>
      <w:r w:rsidR="002A2C90"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لكسرها مئة دينار</w:t>
      </w:r>
      <w:r w:rsidRPr="006571AC">
        <w:rPr>
          <w:rFonts w:hint="eastAsia"/>
          <w:sz w:val="24"/>
          <w:szCs w:val="24"/>
          <w:rtl/>
        </w:rPr>
        <w:t>»</w:t>
      </w:r>
      <w:r w:rsidRPr="006571AC">
        <w:rPr>
          <w:rFonts w:hint="cs"/>
          <w:sz w:val="27"/>
          <w:rtl/>
        </w:rPr>
        <w:t xml:space="preserve">؛ </w:t>
      </w:r>
      <w:r w:rsidRPr="006571AC">
        <w:rPr>
          <w:sz w:val="27"/>
          <w:rtl/>
        </w:rPr>
        <w:t>وعلى ذلك فالمراد من رض</w:t>
      </w:r>
      <w:r w:rsidR="00D62E98" w:rsidRPr="006571AC">
        <w:rPr>
          <w:rFonts w:hint="cs"/>
          <w:sz w:val="27"/>
          <w:rtl/>
        </w:rPr>
        <w:t>ّ</w:t>
      </w:r>
      <w:r w:rsidRPr="006571AC">
        <w:rPr>
          <w:sz w:val="27"/>
          <w:rtl/>
        </w:rPr>
        <w:t>ه مع العثم رض</w:t>
      </w:r>
      <w:r w:rsidRPr="006571AC">
        <w:rPr>
          <w:rFonts w:hint="cs"/>
          <w:sz w:val="27"/>
          <w:rtl/>
        </w:rPr>
        <w:t>ّ</w:t>
      </w:r>
      <w:r w:rsidRPr="006571AC">
        <w:rPr>
          <w:sz w:val="27"/>
          <w:rtl/>
        </w:rPr>
        <w:t xml:space="preserve"> أحدهما</w:t>
      </w:r>
      <w:r w:rsidR="00D62E98" w:rsidRPr="006571AC">
        <w:rPr>
          <w:rFonts w:hint="cs"/>
          <w:sz w:val="27"/>
          <w:rtl/>
        </w:rPr>
        <w:t>؛</w:t>
      </w:r>
      <w:r w:rsidRPr="006571AC">
        <w:rPr>
          <w:sz w:val="27"/>
          <w:rtl/>
        </w:rPr>
        <w:t xml:space="preserve"> بقرينة السياق</w:t>
      </w:r>
      <w:r w:rsidRPr="006571AC">
        <w:rPr>
          <w:rFonts w:hint="cs"/>
          <w:sz w:val="27"/>
          <w:rtl/>
        </w:rPr>
        <w:t xml:space="preserve">؛ </w:t>
      </w:r>
      <w:r w:rsidRPr="006571AC">
        <w:rPr>
          <w:sz w:val="27"/>
          <w:rtl/>
        </w:rPr>
        <w:t xml:space="preserve">حيث </w:t>
      </w:r>
      <w:r w:rsidR="00D62E98" w:rsidRPr="006571AC">
        <w:rPr>
          <w:rFonts w:hint="cs"/>
          <w:sz w:val="27"/>
          <w:rtl/>
        </w:rPr>
        <w:t>إ</w:t>
      </w:r>
      <w:r w:rsidRPr="006571AC">
        <w:rPr>
          <w:sz w:val="27"/>
          <w:rtl/>
        </w:rPr>
        <w:t>ن العدول في التعبير عن</w:t>
      </w:r>
      <w:r w:rsidRPr="006571AC">
        <w:rPr>
          <w:rFonts w:hint="cs"/>
          <w:sz w:val="27"/>
          <w:rtl/>
        </w:rPr>
        <w:t xml:space="preserve"> بيان الوركين إلى الورك الواحد يدل</w:t>
      </w:r>
      <w:r w:rsidR="00517740" w:rsidRPr="006571AC">
        <w:rPr>
          <w:rFonts w:hint="cs"/>
          <w:sz w:val="27"/>
          <w:rtl/>
        </w:rPr>
        <w:t>ّ</w:t>
      </w:r>
      <w:r w:rsidRPr="006571AC">
        <w:rPr>
          <w:rFonts w:hint="cs"/>
          <w:sz w:val="27"/>
          <w:rtl/>
        </w:rPr>
        <w:t xml:space="preserve"> على هذا الأمر</w:t>
      </w:r>
      <w:r w:rsidRPr="006571AC">
        <w:rPr>
          <w:rFonts w:hint="eastAsia"/>
          <w:sz w:val="24"/>
          <w:szCs w:val="24"/>
          <w:rtl/>
        </w:rPr>
        <w:t>»</w:t>
      </w:r>
      <w:r w:rsidRPr="006571AC">
        <w:rPr>
          <w:sz w:val="27"/>
          <w:vertAlign w:val="superscript"/>
          <w:rtl/>
        </w:rPr>
        <w:t>(</w:t>
      </w:r>
      <w:r w:rsidRPr="006571AC">
        <w:rPr>
          <w:rStyle w:val="ac"/>
          <w:sz w:val="27"/>
          <w:rtl/>
        </w:rPr>
        <w:endnoteReference w:id="192"/>
      </w:r>
      <w:r w:rsidRPr="006571AC">
        <w:rPr>
          <w:sz w:val="27"/>
          <w:vertAlign w:val="superscript"/>
          <w:rtl/>
        </w:rPr>
        <w:t>)</w:t>
      </w:r>
      <w:r w:rsidRPr="006571AC">
        <w:rPr>
          <w:sz w:val="27"/>
          <w:rtl/>
        </w:rPr>
        <w:t>.</w:t>
      </w:r>
      <w:r w:rsidRPr="006571AC">
        <w:rPr>
          <w:rFonts w:hint="cs"/>
          <w:sz w:val="27"/>
          <w:rtl/>
        </w:rPr>
        <w:t xml:space="preserve"> </w:t>
      </w:r>
    </w:p>
    <w:p w:rsidR="00517740" w:rsidRPr="006571AC" w:rsidRDefault="00517740" w:rsidP="00C95139">
      <w:pPr>
        <w:rPr>
          <w:sz w:val="27"/>
          <w:rtl/>
        </w:rPr>
      </w:pPr>
      <w:r w:rsidRPr="006571AC">
        <w:rPr>
          <w:rFonts w:hint="cs"/>
          <w:sz w:val="27"/>
          <w:rtl/>
        </w:rPr>
        <w:t>و</w:t>
      </w:r>
      <w:r w:rsidR="00A75C8B" w:rsidRPr="006571AC">
        <w:rPr>
          <w:rFonts w:hint="cs"/>
          <w:sz w:val="27"/>
          <w:rtl/>
        </w:rPr>
        <w:t xml:space="preserve">من الجدير ذكره أن السياق المذكور ليس هو سياق الضمنية؛ لأن كلا الأمرين قد تمّ بيانهما ضمن بحث الدية؛ </w:t>
      </w:r>
      <w:r w:rsidR="00731867" w:rsidRPr="006571AC">
        <w:rPr>
          <w:rFonts w:hint="cs"/>
          <w:sz w:val="27"/>
          <w:rtl/>
        </w:rPr>
        <w:t>بَيْدَ</w:t>
      </w:r>
      <w:r w:rsidR="00A75C8B" w:rsidRPr="006571AC">
        <w:rPr>
          <w:rFonts w:hint="cs"/>
          <w:sz w:val="27"/>
          <w:rtl/>
        </w:rPr>
        <w:t xml:space="preserve"> أن العدول من فرض</w:t>
      </w:r>
      <w:r w:rsidRPr="006571AC">
        <w:rPr>
          <w:rFonts w:hint="cs"/>
          <w:sz w:val="27"/>
          <w:rtl/>
        </w:rPr>
        <w:t>ٍ</w:t>
      </w:r>
      <w:r w:rsidR="00A75C8B" w:rsidRPr="006571AC">
        <w:rPr>
          <w:rFonts w:hint="cs"/>
          <w:sz w:val="27"/>
          <w:rtl/>
        </w:rPr>
        <w:t xml:space="preserve"> جزئي</w:t>
      </w:r>
      <w:r w:rsidRPr="006571AC">
        <w:rPr>
          <w:rFonts w:hint="cs"/>
          <w:sz w:val="27"/>
          <w:rtl/>
        </w:rPr>
        <w:t>ّ</w:t>
      </w:r>
      <w:r w:rsidR="00A75C8B" w:rsidRPr="006571AC">
        <w:rPr>
          <w:rFonts w:hint="cs"/>
          <w:sz w:val="27"/>
          <w:rtl/>
        </w:rPr>
        <w:t xml:space="preserve"> في الكلام يؤدّي إل</w:t>
      </w:r>
      <w:r w:rsidRPr="006571AC">
        <w:rPr>
          <w:rFonts w:hint="cs"/>
          <w:sz w:val="27"/>
          <w:rtl/>
        </w:rPr>
        <w:t>ى خروج أحد الطرفين من الاحتمال.</w:t>
      </w:r>
    </w:p>
    <w:p w:rsidR="00A75C8B" w:rsidRPr="006571AC" w:rsidRDefault="00A75C8B" w:rsidP="00C95139">
      <w:pPr>
        <w:rPr>
          <w:sz w:val="27"/>
          <w:rtl/>
        </w:rPr>
      </w:pPr>
      <w:r w:rsidRPr="006571AC">
        <w:rPr>
          <w:rFonts w:hint="cs"/>
          <w:sz w:val="27"/>
          <w:rtl/>
        </w:rPr>
        <w:lastRenderedPageBreak/>
        <w:t>كما يجب الالتفات إلى هذه النقطة، وهي أنه طبقاً لرؤية السيد الخوئي</w:t>
      </w:r>
      <w:r w:rsidR="002A2C90" w:rsidRPr="006571AC">
        <w:rPr>
          <w:rFonts w:ascii="Mosawi" w:hAnsi="Mosawi" w:cs="Mosawi"/>
          <w:sz w:val="22"/>
          <w:szCs w:val="22"/>
          <w:rtl/>
        </w:rPr>
        <w:t>&amp;</w:t>
      </w:r>
      <w:r w:rsidRPr="006571AC">
        <w:rPr>
          <w:rFonts w:hint="cs"/>
          <w:sz w:val="27"/>
          <w:rtl/>
        </w:rPr>
        <w:t xml:space="preserve"> لا يكون سياق العدول مجرّ</w:t>
      </w:r>
      <w:r w:rsidR="00517740" w:rsidRPr="006571AC">
        <w:rPr>
          <w:rFonts w:hint="cs"/>
          <w:sz w:val="27"/>
          <w:rtl/>
        </w:rPr>
        <w:t>َ</w:t>
      </w:r>
      <w:r w:rsidRPr="006571AC">
        <w:rPr>
          <w:rFonts w:hint="cs"/>
          <w:sz w:val="27"/>
          <w:rtl/>
        </w:rPr>
        <w:t>د هادم</w:t>
      </w:r>
      <w:r w:rsidR="00517740" w:rsidRPr="006571AC">
        <w:rPr>
          <w:rFonts w:hint="cs"/>
          <w:sz w:val="27"/>
          <w:rtl/>
        </w:rPr>
        <w:t>ٍ</w:t>
      </w:r>
      <w:r w:rsidRPr="006571AC">
        <w:rPr>
          <w:rFonts w:hint="cs"/>
          <w:sz w:val="27"/>
          <w:rtl/>
        </w:rPr>
        <w:t xml:space="preserve"> للظهور</w:t>
      </w:r>
      <w:r w:rsidR="00517740" w:rsidRPr="006571AC">
        <w:rPr>
          <w:rFonts w:hint="cs"/>
          <w:sz w:val="27"/>
          <w:rtl/>
        </w:rPr>
        <w:t>؛</w:t>
      </w:r>
      <w:r w:rsidRPr="006571AC">
        <w:rPr>
          <w:rFonts w:hint="cs"/>
          <w:sz w:val="27"/>
          <w:rtl/>
        </w:rPr>
        <w:t xml:space="preserve"> ليجعل الكلام مجملاً، بل إنه يغيّ</w:t>
      </w:r>
      <w:r w:rsidR="00517740" w:rsidRPr="006571AC">
        <w:rPr>
          <w:rFonts w:hint="cs"/>
          <w:sz w:val="27"/>
          <w:rtl/>
        </w:rPr>
        <w:t>ِ</w:t>
      </w:r>
      <w:r w:rsidRPr="006571AC">
        <w:rPr>
          <w:rFonts w:hint="cs"/>
          <w:sz w:val="27"/>
          <w:rtl/>
        </w:rPr>
        <w:t>ر اتجاه الظهور نحو المعدول إليه، وعليه لا يبعد أن يكون رأيه أنه إذا ورد</w:t>
      </w:r>
      <w:r w:rsidR="00517740" w:rsidRPr="006571AC">
        <w:rPr>
          <w:rFonts w:hint="cs"/>
          <w:sz w:val="27"/>
          <w:rtl/>
        </w:rPr>
        <w:t>َ</w:t>
      </w:r>
      <w:r w:rsidRPr="006571AC">
        <w:rPr>
          <w:rFonts w:hint="cs"/>
          <w:sz w:val="27"/>
          <w:rtl/>
        </w:rPr>
        <w:t>ت</w:t>
      </w:r>
      <w:r w:rsidR="00517740" w:rsidRPr="006571AC">
        <w:rPr>
          <w:rFonts w:hint="cs"/>
          <w:sz w:val="27"/>
          <w:rtl/>
        </w:rPr>
        <w:t>ْ</w:t>
      </w:r>
      <w:r w:rsidRPr="006571AC">
        <w:rPr>
          <w:rFonts w:hint="cs"/>
          <w:sz w:val="27"/>
          <w:rtl/>
        </w:rPr>
        <w:t xml:space="preserve"> في بعض الأحيان جملة</w:t>
      </w:r>
      <w:r w:rsidR="00517740" w:rsidRPr="006571AC">
        <w:rPr>
          <w:rFonts w:hint="cs"/>
          <w:sz w:val="27"/>
          <w:rtl/>
        </w:rPr>
        <w:t>ٌ</w:t>
      </w:r>
      <w:r w:rsidRPr="006571AC">
        <w:rPr>
          <w:rFonts w:hint="cs"/>
          <w:sz w:val="27"/>
          <w:rtl/>
        </w:rPr>
        <w:t xml:space="preserve"> مطلقة بعد سياق العدول تكون لسياق العدول القدرة على إيجاد الانصراف. </w:t>
      </w:r>
    </w:p>
    <w:p w:rsidR="009E7E1F" w:rsidRPr="006571AC" w:rsidRDefault="009E7E1F" w:rsidP="009E7E1F">
      <w:pPr>
        <w:spacing w:line="420" w:lineRule="exact"/>
        <w:rPr>
          <w:sz w:val="27"/>
          <w:rtl/>
        </w:rPr>
      </w:pPr>
    </w:p>
    <w:p w:rsidR="00A75C8B" w:rsidRPr="006571AC" w:rsidRDefault="007E1680" w:rsidP="009C29A7">
      <w:pPr>
        <w:pStyle w:val="31"/>
        <w:rPr>
          <w:color w:val="auto"/>
          <w:rtl/>
        </w:rPr>
      </w:pPr>
      <w:bookmarkStart w:id="93" w:name="_Toc114164582"/>
      <w:r w:rsidRPr="006571AC">
        <w:rPr>
          <w:rFonts w:hint="cs"/>
          <w:color w:val="auto"/>
          <w:rtl/>
        </w:rPr>
        <w:t>هـ ـ</w:t>
      </w:r>
      <w:r w:rsidR="00A75C8B" w:rsidRPr="006571AC">
        <w:rPr>
          <w:rFonts w:hint="cs"/>
          <w:color w:val="auto"/>
          <w:rtl/>
        </w:rPr>
        <w:t xml:space="preserve"> سياق المقابلة</w:t>
      </w:r>
      <w:bookmarkEnd w:id="93"/>
    </w:p>
    <w:p w:rsidR="00A75C8B" w:rsidRPr="006571AC" w:rsidRDefault="00A75C8B" w:rsidP="00C95139">
      <w:pPr>
        <w:rPr>
          <w:sz w:val="27"/>
          <w:rtl/>
        </w:rPr>
      </w:pPr>
      <w:r w:rsidRPr="006571AC">
        <w:rPr>
          <w:rFonts w:hint="cs"/>
          <w:sz w:val="27"/>
          <w:rtl/>
        </w:rPr>
        <w:t xml:space="preserve">إن سياق المقابلة يعني </w:t>
      </w:r>
      <w:r w:rsidRPr="006571AC">
        <w:rPr>
          <w:rFonts w:hint="eastAsia"/>
          <w:sz w:val="24"/>
          <w:szCs w:val="24"/>
          <w:rtl/>
        </w:rPr>
        <w:t>«</w:t>
      </w:r>
      <w:r w:rsidRPr="006571AC">
        <w:rPr>
          <w:rFonts w:hint="cs"/>
          <w:sz w:val="27"/>
          <w:rtl/>
        </w:rPr>
        <w:t>المقابلة والمواجهة بين جز</w:t>
      </w:r>
      <w:r w:rsidR="00517740" w:rsidRPr="006571AC">
        <w:rPr>
          <w:rFonts w:hint="cs"/>
          <w:sz w:val="27"/>
          <w:rtl/>
        </w:rPr>
        <w:t>ءَ</w:t>
      </w:r>
      <w:r w:rsidRPr="006571AC">
        <w:rPr>
          <w:rFonts w:hint="cs"/>
          <w:sz w:val="27"/>
          <w:rtl/>
        </w:rPr>
        <w:t>ي</w:t>
      </w:r>
      <w:r w:rsidR="00517740" w:rsidRPr="006571AC">
        <w:rPr>
          <w:rFonts w:hint="cs"/>
          <w:sz w:val="27"/>
          <w:rtl/>
        </w:rPr>
        <w:t>ْ</w:t>
      </w:r>
      <w:r w:rsidRPr="006571AC">
        <w:rPr>
          <w:rFonts w:hint="cs"/>
          <w:sz w:val="27"/>
          <w:rtl/>
        </w:rPr>
        <w:t>ن من الكلام، سواء أكانت هذه المقابلة لفظية</w:t>
      </w:r>
      <w:r w:rsidR="00517740" w:rsidRPr="006571AC">
        <w:rPr>
          <w:rFonts w:hint="cs"/>
          <w:sz w:val="27"/>
          <w:rtl/>
        </w:rPr>
        <w:t>ً</w:t>
      </w:r>
      <w:r w:rsidRPr="006571AC">
        <w:rPr>
          <w:rFonts w:hint="cs"/>
          <w:sz w:val="27"/>
          <w:rtl/>
        </w:rPr>
        <w:t xml:space="preserve"> أم معنوية</w:t>
      </w:r>
      <w:r w:rsidR="00517740" w:rsidRPr="006571AC">
        <w:rPr>
          <w:rFonts w:hint="cs"/>
          <w:sz w:val="27"/>
          <w:rtl/>
        </w:rPr>
        <w:t>ً</w:t>
      </w:r>
      <w:r w:rsidRPr="006571AC">
        <w:rPr>
          <w:rFonts w:hint="eastAsia"/>
          <w:sz w:val="24"/>
          <w:szCs w:val="24"/>
          <w:rtl/>
        </w:rPr>
        <w:t>»</w:t>
      </w:r>
      <w:r w:rsidRPr="006571AC">
        <w:rPr>
          <w:rFonts w:hint="cs"/>
          <w:sz w:val="27"/>
          <w:rtl/>
        </w:rPr>
        <w:t>. فتارة</w:t>
      </w:r>
      <w:r w:rsidR="00517740" w:rsidRPr="006571AC">
        <w:rPr>
          <w:rFonts w:hint="cs"/>
          <w:sz w:val="27"/>
          <w:rtl/>
        </w:rPr>
        <w:t>ً</w:t>
      </w:r>
      <w:r w:rsidRPr="006571AC">
        <w:rPr>
          <w:rFonts w:hint="cs"/>
          <w:sz w:val="27"/>
          <w:rtl/>
        </w:rPr>
        <w:t xml:space="preserve"> تكون المقابلة لفظية؛ وذلك حيث تقتضي المنزلة الكلامية لجزء من الكلام غير ما يقتضيه الجزء الآخر منه، من قبيل: </w:t>
      </w:r>
      <w:r w:rsidRPr="006571AC">
        <w:rPr>
          <w:rFonts w:hint="eastAsia"/>
          <w:sz w:val="24"/>
          <w:szCs w:val="24"/>
          <w:rtl/>
        </w:rPr>
        <w:t>«</w:t>
      </w:r>
      <w:r w:rsidRPr="006571AC">
        <w:rPr>
          <w:rFonts w:hint="cs"/>
          <w:sz w:val="27"/>
          <w:rtl/>
        </w:rPr>
        <w:t>الواو</w:t>
      </w:r>
      <w:r w:rsidRPr="006571AC">
        <w:rPr>
          <w:rFonts w:hint="eastAsia"/>
          <w:sz w:val="24"/>
          <w:szCs w:val="24"/>
          <w:rtl/>
        </w:rPr>
        <w:t>»</w:t>
      </w:r>
      <w:r w:rsidRPr="006571AC">
        <w:rPr>
          <w:rFonts w:hint="cs"/>
          <w:sz w:val="27"/>
          <w:rtl/>
        </w:rPr>
        <w:t xml:space="preserve"> (غير التفسيرية)، و</w:t>
      </w:r>
      <w:r w:rsidRPr="006571AC">
        <w:rPr>
          <w:rFonts w:hint="eastAsia"/>
          <w:sz w:val="24"/>
          <w:szCs w:val="24"/>
          <w:rtl/>
        </w:rPr>
        <w:t>«</w:t>
      </w:r>
      <w:r w:rsidRPr="006571AC">
        <w:rPr>
          <w:rFonts w:hint="cs"/>
          <w:sz w:val="27"/>
          <w:rtl/>
        </w:rPr>
        <w:t>أو</w:t>
      </w:r>
      <w:r w:rsidRPr="006571AC">
        <w:rPr>
          <w:rFonts w:hint="eastAsia"/>
          <w:sz w:val="24"/>
          <w:szCs w:val="24"/>
          <w:rtl/>
        </w:rPr>
        <w:t>»</w:t>
      </w:r>
      <w:r w:rsidRPr="006571AC">
        <w:rPr>
          <w:rFonts w:hint="cs"/>
          <w:sz w:val="27"/>
          <w:rtl/>
        </w:rPr>
        <w:t xml:space="preserve"> أو </w:t>
      </w:r>
      <w:r w:rsidRPr="006571AC">
        <w:rPr>
          <w:rFonts w:hint="eastAsia"/>
          <w:sz w:val="24"/>
          <w:szCs w:val="24"/>
          <w:rtl/>
        </w:rPr>
        <w:t>«</w:t>
      </w:r>
      <w:r w:rsidRPr="006571AC">
        <w:rPr>
          <w:rFonts w:hint="cs"/>
          <w:sz w:val="27"/>
          <w:rtl/>
        </w:rPr>
        <w:t>إم</w:t>
      </w:r>
      <w:r w:rsidR="00517740" w:rsidRPr="006571AC">
        <w:rPr>
          <w:rFonts w:hint="cs"/>
          <w:sz w:val="27"/>
          <w:rtl/>
        </w:rPr>
        <w:t>ّ</w:t>
      </w:r>
      <w:r w:rsidRPr="006571AC">
        <w:rPr>
          <w:rFonts w:hint="cs"/>
          <w:sz w:val="27"/>
          <w:rtl/>
        </w:rPr>
        <w:t>ا</w:t>
      </w:r>
      <w:r w:rsidRPr="006571AC">
        <w:rPr>
          <w:rFonts w:hint="eastAsia"/>
          <w:sz w:val="24"/>
          <w:szCs w:val="24"/>
          <w:rtl/>
        </w:rPr>
        <w:t>»</w:t>
      </w:r>
      <w:r w:rsidRPr="006571AC">
        <w:rPr>
          <w:rFonts w:hint="cs"/>
          <w:sz w:val="27"/>
          <w:rtl/>
        </w:rPr>
        <w:t>. ومن ناحية</w:t>
      </w:r>
      <w:r w:rsidR="00517740" w:rsidRPr="006571AC">
        <w:rPr>
          <w:rFonts w:hint="cs"/>
          <w:sz w:val="27"/>
          <w:rtl/>
        </w:rPr>
        <w:t>ٍ</w:t>
      </w:r>
      <w:r w:rsidRPr="006571AC">
        <w:rPr>
          <w:rFonts w:hint="cs"/>
          <w:sz w:val="27"/>
          <w:rtl/>
        </w:rPr>
        <w:t xml:space="preserve"> أخرى قد تكون المقابلة معنوية، وذلك حيث يكون المعنيين متضاد</w:t>
      </w:r>
      <w:r w:rsidR="00517740" w:rsidRPr="006571AC">
        <w:rPr>
          <w:rFonts w:hint="cs"/>
          <w:sz w:val="27"/>
          <w:rtl/>
        </w:rPr>
        <w:t>ّ</w:t>
      </w:r>
      <w:r w:rsidRPr="006571AC">
        <w:rPr>
          <w:rFonts w:hint="cs"/>
          <w:sz w:val="27"/>
          <w:rtl/>
        </w:rPr>
        <w:t>ين</w:t>
      </w:r>
      <w:r w:rsidR="00517740" w:rsidRPr="006571AC">
        <w:rPr>
          <w:rFonts w:hint="cs"/>
          <w:sz w:val="27"/>
          <w:rtl/>
        </w:rPr>
        <w:t>،</w:t>
      </w:r>
      <w:r w:rsidRPr="006571AC">
        <w:rPr>
          <w:rFonts w:hint="cs"/>
          <w:sz w:val="27"/>
          <w:rtl/>
        </w:rPr>
        <w:t xml:space="preserve"> أو يكون أحدهما مخالفاً للآخر، من قبيل: </w:t>
      </w:r>
      <w:r w:rsidRPr="006571AC">
        <w:rPr>
          <w:rFonts w:hint="eastAsia"/>
          <w:sz w:val="24"/>
          <w:szCs w:val="24"/>
          <w:rtl/>
        </w:rPr>
        <w:t>«</w:t>
      </w:r>
      <w:r w:rsidRPr="006571AC">
        <w:rPr>
          <w:rFonts w:hint="cs"/>
          <w:sz w:val="27"/>
          <w:rtl/>
        </w:rPr>
        <w:t>الرشد</w:t>
      </w:r>
      <w:r w:rsidRPr="006571AC">
        <w:rPr>
          <w:rFonts w:hint="eastAsia"/>
          <w:sz w:val="24"/>
          <w:szCs w:val="24"/>
          <w:rtl/>
        </w:rPr>
        <w:t>»</w:t>
      </w:r>
      <w:r w:rsidRPr="006571AC">
        <w:rPr>
          <w:rFonts w:hint="cs"/>
          <w:sz w:val="27"/>
          <w:rtl/>
        </w:rPr>
        <w:t xml:space="preserve"> الذي هو ضد</w:t>
      </w:r>
      <w:r w:rsidR="00517740"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الغيّ</w:t>
      </w:r>
      <w:r w:rsidRPr="006571AC">
        <w:rPr>
          <w:rFonts w:hint="eastAsia"/>
          <w:sz w:val="24"/>
          <w:szCs w:val="24"/>
          <w:rtl/>
        </w:rPr>
        <w:t>»</w:t>
      </w:r>
      <w:r w:rsidR="00517740" w:rsidRPr="006571AC">
        <w:rPr>
          <w:rFonts w:hint="cs"/>
          <w:sz w:val="27"/>
          <w:rtl/>
        </w:rPr>
        <w:t>،</w:t>
      </w:r>
      <w:r w:rsidRPr="006571AC">
        <w:rPr>
          <w:rFonts w:hint="cs"/>
          <w:sz w:val="27"/>
          <w:rtl/>
        </w:rPr>
        <w:t xml:space="preserve"> والمخالف لـ </w:t>
      </w:r>
      <w:r w:rsidRPr="006571AC">
        <w:rPr>
          <w:rFonts w:hint="eastAsia"/>
          <w:sz w:val="24"/>
          <w:szCs w:val="24"/>
          <w:rtl/>
        </w:rPr>
        <w:t>«</w:t>
      </w:r>
      <w:r w:rsidRPr="006571AC">
        <w:rPr>
          <w:rFonts w:hint="cs"/>
          <w:sz w:val="27"/>
          <w:rtl/>
        </w:rPr>
        <w:t>الشر</w:t>
      </w:r>
      <w:r w:rsidR="00517740" w:rsidRPr="006571AC">
        <w:rPr>
          <w:rFonts w:hint="cs"/>
          <w:sz w:val="27"/>
          <w:rtl/>
        </w:rPr>
        <w:t>ّ</w:t>
      </w:r>
      <w:r w:rsidRPr="006571AC">
        <w:rPr>
          <w:rFonts w:hint="eastAsia"/>
          <w:sz w:val="24"/>
          <w:szCs w:val="24"/>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إن المصطلح الأصولي للمقابلة لا يقتصر على المقابلة المعنوية فقط، بل يشمل المقابلة اللفظية أيضاً</w:t>
      </w:r>
      <w:r w:rsidR="00517740" w:rsidRPr="006571AC">
        <w:rPr>
          <w:rFonts w:hint="cs"/>
          <w:sz w:val="27"/>
          <w:rtl/>
        </w:rPr>
        <w:t>.</w:t>
      </w:r>
      <w:r w:rsidRPr="006571AC">
        <w:rPr>
          <w:rFonts w:hint="cs"/>
          <w:sz w:val="27"/>
          <w:rtl/>
        </w:rPr>
        <w:t xml:space="preserve"> وأما في المصطلح البلاغي فهناك موضوعي</w:t>
      </w:r>
      <w:r w:rsidR="00517740" w:rsidRPr="006571AC">
        <w:rPr>
          <w:rFonts w:hint="cs"/>
          <w:sz w:val="27"/>
          <w:rtl/>
        </w:rPr>
        <w:t>ّ</w:t>
      </w:r>
      <w:r w:rsidRPr="006571AC">
        <w:rPr>
          <w:rFonts w:hint="cs"/>
          <w:sz w:val="27"/>
          <w:rtl/>
        </w:rPr>
        <w:t>ة</w:t>
      </w:r>
      <w:r w:rsidR="00517740" w:rsidRPr="006571AC">
        <w:rPr>
          <w:rFonts w:hint="cs"/>
          <w:sz w:val="27"/>
          <w:rtl/>
        </w:rPr>
        <w:t>ٌ</w:t>
      </w:r>
      <w:r w:rsidRPr="006571AC">
        <w:rPr>
          <w:rFonts w:hint="cs"/>
          <w:sz w:val="27"/>
          <w:rtl/>
        </w:rPr>
        <w:t xml:space="preserve"> للمقابلة في المعنى. ومن هنا يكون المصطلح الأصولي أعم</w:t>
      </w:r>
      <w:r w:rsidR="00517740" w:rsidRPr="006571AC">
        <w:rPr>
          <w:rFonts w:hint="cs"/>
          <w:sz w:val="27"/>
          <w:rtl/>
        </w:rPr>
        <w:t>ّ</w:t>
      </w:r>
      <w:r w:rsidRPr="006571AC">
        <w:rPr>
          <w:rFonts w:hint="cs"/>
          <w:sz w:val="27"/>
          <w:rtl/>
        </w:rPr>
        <w:t xml:space="preserve"> من المصطلحين الآخرين. </w:t>
      </w:r>
      <w:r w:rsidR="00517740" w:rsidRPr="006571AC">
        <w:rPr>
          <w:rFonts w:hint="cs"/>
          <w:sz w:val="27"/>
          <w:rtl/>
        </w:rPr>
        <w:t>و</w:t>
      </w:r>
      <w:r w:rsidRPr="006571AC">
        <w:rPr>
          <w:rFonts w:hint="cs"/>
          <w:sz w:val="27"/>
          <w:rtl/>
        </w:rPr>
        <w:t>من ذلك</w:t>
      </w:r>
      <w:r w:rsidR="00517740" w:rsidRPr="006571AC">
        <w:rPr>
          <w:rFonts w:hint="cs"/>
          <w:sz w:val="27"/>
          <w:rtl/>
        </w:rPr>
        <w:t>،</w:t>
      </w:r>
      <w:r w:rsidRPr="006571AC">
        <w:rPr>
          <w:rFonts w:hint="cs"/>
          <w:sz w:val="27"/>
          <w:rtl/>
        </w:rPr>
        <w:t xml:space="preserve"> على سبيل المثال</w:t>
      </w:r>
      <w:r w:rsidR="00517740" w:rsidRPr="006571AC">
        <w:rPr>
          <w:rFonts w:hint="cs"/>
          <w:sz w:val="27"/>
          <w:rtl/>
        </w:rPr>
        <w:t>:</w:t>
      </w:r>
      <w:r w:rsidRPr="006571AC">
        <w:rPr>
          <w:rFonts w:hint="cs"/>
          <w:sz w:val="27"/>
          <w:rtl/>
        </w:rPr>
        <w:t xml:space="preserve"> لو قال دليل</w:t>
      </w:r>
      <w:r w:rsidR="00517740"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جاء علي</w:t>
      </w:r>
      <w:r w:rsidR="00517740" w:rsidRPr="006571AC">
        <w:rPr>
          <w:rFonts w:hint="cs"/>
          <w:sz w:val="27"/>
          <w:rtl/>
        </w:rPr>
        <w:t>ّ</w:t>
      </w:r>
      <w:r w:rsidRPr="006571AC">
        <w:rPr>
          <w:rFonts w:hint="cs"/>
          <w:sz w:val="27"/>
          <w:rtl/>
        </w:rPr>
        <w:t xml:space="preserve"> وابن أحمد</w:t>
      </w:r>
      <w:r w:rsidRPr="006571AC">
        <w:rPr>
          <w:rFonts w:hint="eastAsia"/>
          <w:sz w:val="24"/>
          <w:szCs w:val="24"/>
          <w:rtl/>
        </w:rPr>
        <w:t>»</w:t>
      </w:r>
      <w:r w:rsidRPr="006571AC">
        <w:rPr>
          <w:rFonts w:hint="cs"/>
          <w:sz w:val="27"/>
          <w:rtl/>
        </w:rPr>
        <w:t xml:space="preserve"> لا تكون هناك مقابلة</w:t>
      </w:r>
      <w:r w:rsidR="00517740" w:rsidRPr="006571AC">
        <w:rPr>
          <w:rFonts w:hint="cs"/>
          <w:sz w:val="27"/>
          <w:rtl/>
        </w:rPr>
        <w:t>ٌ</w:t>
      </w:r>
      <w:r w:rsidRPr="006571AC">
        <w:rPr>
          <w:rFonts w:hint="cs"/>
          <w:sz w:val="27"/>
          <w:rtl/>
        </w:rPr>
        <w:t xml:space="preserve"> من الناحية البلاغية؛ إذ لا توجد أيّ مقابلة</w:t>
      </w:r>
      <w:r w:rsidR="0064562F" w:rsidRPr="006571AC">
        <w:rPr>
          <w:rFonts w:hint="cs"/>
          <w:sz w:val="27"/>
          <w:rtl/>
        </w:rPr>
        <w:t>ٍ</w:t>
      </w:r>
      <w:r w:rsidRPr="006571AC">
        <w:rPr>
          <w:rFonts w:hint="cs"/>
          <w:sz w:val="27"/>
          <w:rtl/>
        </w:rPr>
        <w:t xml:space="preserve"> معنوية بين علي</w:t>
      </w:r>
      <w:r w:rsidR="0064562F" w:rsidRPr="006571AC">
        <w:rPr>
          <w:rFonts w:hint="cs"/>
          <w:sz w:val="27"/>
          <w:rtl/>
        </w:rPr>
        <w:t>ّ</w:t>
      </w:r>
      <w:r w:rsidRPr="006571AC">
        <w:rPr>
          <w:rFonts w:hint="cs"/>
          <w:sz w:val="27"/>
          <w:rtl/>
        </w:rPr>
        <w:t xml:space="preserve"> وابن أحمد. وأما من الناحية الأصولية، فحيث تكون هناك </w:t>
      </w:r>
      <w:r w:rsidRPr="006571AC">
        <w:rPr>
          <w:rFonts w:hint="eastAsia"/>
          <w:sz w:val="24"/>
          <w:szCs w:val="24"/>
          <w:rtl/>
        </w:rPr>
        <w:t>«</w:t>
      </w:r>
      <w:r w:rsidRPr="006571AC">
        <w:rPr>
          <w:rFonts w:hint="cs"/>
          <w:sz w:val="27"/>
          <w:rtl/>
        </w:rPr>
        <w:t>واو</w:t>
      </w:r>
      <w:r w:rsidRPr="006571AC">
        <w:rPr>
          <w:rFonts w:hint="eastAsia"/>
          <w:sz w:val="24"/>
          <w:szCs w:val="24"/>
          <w:rtl/>
        </w:rPr>
        <w:t>»</w:t>
      </w:r>
      <w:r w:rsidRPr="006571AC">
        <w:rPr>
          <w:rFonts w:hint="cs"/>
          <w:sz w:val="27"/>
          <w:rtl/>
        </w:rPr>
        <w:t xml:space="preserve"> في الجملة تكون المقابلة الأصولية متحق</w:t>
      </w:r>
      <w:r w:rsidR="0064562F" w:rsidRPr="006571AC">
        <w:rPr>
          <w:rFonts w:hint="cs"/>
          <w:sz w:val="27"/>
          <w:rtl/>
        </w:rPr>
        <w:t>ِّ</w:t>
      </w:r>
      <w:r w:rsidRPr="006571AC">
        <w:rPr>
          <w:rFonts w:hint="cs"/>
          <w:sz w:val="27"/>
          <w:rtl/>
        </w:rPr>
        <w:t>قة. ومن هنا لو صدف أن يكون اسم والد علي</w:t>
      </w:r>
      <w:r w:rsidR="0064562F" w:rsidRPr="006571AC">
        <w:rPr>
          <w:rFonts w:hint="cs"/>
          <w:sz w:val="27"/>
          <w:rtl/>
        </w:rPr>
        <w:t>ّ</w:t>
      </w:r>
      <w:r w:rsidRPr="006571AC">
        <w:rPr>
          <w:rFonts w:hint="cs"/>
          <w:sz w:val="27"/>
          <w:rtl/>
        </w:rPr>
        <w:t xml:space="preserve"> أحمد</w:t>
      </w:r>
      <w:r w:rsidR="0064562F" w:rsidRPr="006571AC">
        <w:rPr>
          <w:rFonts w:hint="cs"/>
          <w:sz w:val="27"/>
          <w:rtl/>
        </w:rPr>
        <w:t xml:space="preserve"> </w:t>
      </w:r>
      <w:r w:rsidRPr="006571AC">
        <w:rPr>
          <w:rFonts w:hint="cs"/>
          <w:sz w:val="27"/>
          <w:rtl/>
        </w:rPr>
        <w:t>فإن الأصولي</w:t>
      </w:r>
      <w:r w:rsidR="0064562F" w:rsidRPr="006571AC">
        <w:rPr>
          <w:rFonts w:hint="cs"/>
          <w:sz w:val="27"/>
          <w:rtl/>
        </w:rPr>
        <w:t>ّ؛</w:t>
      </w:r>
      <w:r w:rsidRPr="006571AC">
        <w:rPr>
          <w:rFonts w:hint="cs"/>
          <w:sz w:val="27"/>
          <w:rtl/>
        </w:rPr>
        <w:t xml:space="preserve"> من خلال توظيف قرينة المقابلة، سوف يرى ابن أحمد هو غير علي</w:t>
      </w:r>
      <w:r w:rsidR="0064562F" w:rsidRPr="006571AC">
        <w:rPr>
          <w:rFonts w:hint="cs"/>
          <w:sz w:val="27"/>
          <w:rtl/>
        </w:rPr>
        <w:t>ّ</w:t>
      </w:r>
      <w:r w:rsidRPr="006571AC">
        <w:rPr>
          <w:rFonts w:hint="cs"/>
          <w:sz w:val="27"/>
          <w:rtl/>
        </w:rPr>
        <w:t xml:space="preserve">. </w:t>
      </w:r>
    </w:p>
    <w:p w:rsidR="00A75C8B" w:rsidRPr="006571AC" w:rsidRDefault="00A75C8B" w:rsidP="00394350">
      <w:pPr>
        <w:rPr>
          <w:sz w:val="27"/>
          <w:rtl/>
        </w:rPr>
      </w:pPr>
      <w:r w:rsidRPr="006571AC">
        <w:rPr>
          <w:rFonts w:hint="cs"/>
          <w:sz w:val="27"/>
          <w:rtl/>
        </w:rPr>
        <w:t>وتجدر الإشارة إلى هذه النقطة</w:t>
      </w:r>
      <w:r w:rsidR="0064562F" w:rsidRPr="006571AC">
        <w:rPr>
          <w:rFonts w:hint="cs"/>
          <w:sz w:val="27"/>
          <w:rtl/>
        </w:rPr>
        <w:t>،</w:t>
      </w:r>
      <w:r w:rsidRPr="006571AC">
        <w:rPr>
          <w:rFonts w:hint="cs"/>
          <w:sz w:val="27"/>
          <w:rtl/>
        </w:rPr>
        <w:t xml:space="preserve"> وهي أن الكلام من وجهة نظر الأصولي حت</w:t>
      </w:r>
      <w:r w:rsidR="0064562F" w:rsidRPr="006571AC">
        <w:rPr>
          <w:rFonts w:hint="cs"/>
          <w:sz w:val="27"/>
          <w:rtl/>
        </w:rPr>
        <w:t>ّ</w:t>
      </w:r>
      <w:r w:rsidRPr="006571AC">
        <w:rPr>
          <w:rFonts w:hint="cs"/>
          <w:sz w:val="27"/>
          <w:rtl/>
        </w:rPr>
        <w:t>ى إذا لم يكن مشتملاً على أيّ أداة</w:t>
      </w:r>
      <w:r w:rsidR="0064562F" w:rsidRPr="006571AC">
        <w:rPr>
          <w:rFonts w:hint="cs"/>
          <w:sz w:val="27"/>
          <w:rtl/>
        </w:rPr>
        <w:t>ٍ</w:t>
      </w:r>
      <w:r w:rsidRPr="006571AC">
        <w:rPr>
          <w:rFonts w:hint="cs"/>
          <w:sz w:val="27"/>
          <w:rtl/>
        </w:rPr>
        <w:t xml:space="preserve"> ـ من قبيل: إما، وأو، والواو</w:t>
      </w:r>
      <w:r w:rsidR="0064562F" w:rsidRPr="006571AC">
        <w:rPr>
          <w:rFonts w:hint="cs"/>
          <w:sz w:val="27"/>
          <w:rtl/>
        </w:rPr>
        <w:t>،</w:t>
      </w:r>
      <w:r w:rsidRPr="006571AC">
        <w:rPr>
          <w:rFonts w:hint="cs"/>
          <w:sz w:val="27"/>
          <w:rtl/>
        </w:rPr>
        <w:t xml:space="preserve"> وما إلى ذلك ـ</w:t>
      </w:r>
      <w:r w:rsidR="0064562F" w:rsidRPr="006571AC">
        <w:rPr>
          <w:rFonts w:hint="cs"/>
          <w:sz w:val="27"/>
          <w:rtl/>
        </w:rPr>
        <w:t>،</w:t>
      </w:r>
      <w:r w:rsidRPr="006571AC">
        <w:rPr>
          <w:rFonts w:hint="cs"/>
          <w:sz w:val="27"/>
          <w:rtl/>
        </w:rPr>
        <w:t xml:space="preserve"> وإنما كان هناك مجرّد قرينة</w:t>
      </w:r>
      <w:r w:rsidR="0064562F" w:rsidRPr="006571AC">
        <w:rPr>
          <w:rFonts w:hint="cs"/>
          <w:sz w:val="27"/>
          <w:rtl/>
        </w:rPr>
        <w:t>ٍ</w:t>
      </w:r>
      <w:r w:rsidRPr="006571AC">
        <w:rPr>
          <w:rFonts w:hint="cs"/>
          <w:sz w:val="27"/>
          <w:rtl/>
        </w:rPr>
        <w:t xml:space="preserve"> معنوية تدل</w:t>
      </w:r>
      <w:r w:rsidR="0064562F" w:rsidRPr="006571AC">
        <w:rPr>
          <w:rFonts w:hint="cs"/>
          <w:sz w:val="27"/>
          <w:rtl/>
        </w:rPr>
        <w:t>ّ</w:t>
      </w:r>
      <w:r w:rsidRPr="006571AC">
        <w:rPr>
          <w:rFonts w:hint="cs"/>
          <w:sz w:val="27"/>
          <w:rtl/>
        </w:rPr>
        <w:t xml:space="preserve"> على أن جزءاً من الكلام غير جزئه الآخر، تكون المقابلة متحق</w:t>
      </w:r>
      <w:r w:rsidR="0064562F" w:rsidRPr="006571AC">
        <w:rPr>
          <w:rFonts w:hint="cs"/>
          <w:sz w:val="27"/>
          <w:rtl/>
        </w:rPr>
        <w:t>ِّ</w:t>
      </w:r>
      <w:r w:rsidRPr="006571AC">
        <w:rPr>
          <w:rFonts w:hint="cs"/>
          <w:sz w:val="27"/>
          <w:rtl/>
        </w:rPr>
        <w:t>قة</w:t>
      </w:r>
      <w:r w:rsidR="0064562F" w:rsidRPr="006571AC">
        <w:rPr>
          <w:rFonts w:hint="cs"/>
          <w:sz w:val="27"/>
          <w:rtl/>
        </w:rPr>
        <w:t>ً</w:t>
      </w:r>
      <w:r w:rsidRPr="006571AC">
        <w:rPr>
          <w:rFonts w:hint="cs"/>
          <w:sz w:val="27"/>
          <w:rtl/>
        </w:rPr>
        <w:t xml:space="preserve">. </w:t>
      </w:r>
      <w:r w:rsidR="0064562F" w:rsidRPr="006571AC">
        <w:rPr>
          <w:rFonts w:hint="cs"/>
          <w:sz w:val="27"/>
          <w:rtl/>
        </w:rPr>
        <w:t>و</w:t>
      </w:r>
      <w:r w:rsidRPr="006571AC">
        <w:rPr>
          <w:rFonts w:hint="cs"/>
          <w:sz w:val="27"/>
          <w:rtl/>
        </w:rPr>
        <w:t>من ذلك</w:t>
      </w:r>
      <w:r w:rsidR="0064562F" w:rsidRPr="006571AC">
        <w:rPr>
          <w:rFonts w:hint="cs"/>
          <w:sz w:val="27"/>
          <w:rtl/>
        </w:rPr>
        <w:t>،</w:t>
      </w:r>
      <w:r w:rsidRPr="006571AC">
        <w:rPr>
          <w:rFonts w:hint="cs"/>
          <w:sz w:val="27"/>
          <w:rtl/>
        </w:rPr>
        <w:t xml:space="preserve"> على سبيل المثال</w:t>
      </w:r>
      <w:r w:rsidR="0064562F" w:rsidRPr="006571AC">
        <w:rPr>
          <w:rFonts w:hint="cs"/>
          <w:sz w:val="27"/>
          <w:rtl/>
        </w:rPr>
        <w:t>،</w:t>
      </w:r>
      <w:r w:rsidRPr="006571AC">
        <w:rPr>
          <w:rFonts w:hint="cs"/>
          <w:sz w:val="27"/>
          <w:rtl/>
        </w:rPr>
        <w:t xml:space="preserve"> أن السيد الخوئي قد </w:t>
      </w:r>
      <w:r w:rsidR="00394350" w:rsidRPr="006571AC">
        <w:rPr>
          <w:rFonts w:hint="cs"/>
          <w:sz w:val="27"/>
          <w:rtl/>
        </w:rPr>
        <w:t>قال،</w:t>
      </w:r>
      <w:r w:rsidRPr="006571AC">
        <w:rPr>
          <w:rFonts w:hint="cs"/>
          <w:sz w:val="27"/>
          <w:rtl/>
        </w:rPr>
        <w:t xml:space="preserve"> في ذيل رواية أبي بصير، عن أبي عبد الله</w:t>
      </w:r>
      <w:r w:rsidR="002A2C90" w:rsidRPr="006571AC">
        <w:rPr>
          <w:rFonts w:ascii="Mosawi" w:hAnsi="Mosawi" w:cs="Mosawi"/>
          <w:sz w:val="22"/>
          <w:szCs w:val="22"/>
          <w:rtl/>
        </w:rPr>
        <w:t>×</w:t>
      </w:r>
      <w:r w:rsidR="0064562F"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في رجل</w:t>
      </w:r>
      <w:r w:rsidR="0064562F" w:rsidRPr="006571AC">
        <w:rPr>
          <w:rFonts w:hint="cs"/>
          <w:sz w:val="27"/>
          <w:rtl/>
        </w:rPr>
        <w:t>ٍ</w:t>
      </w:r>
      <w:r w:rsidRPr="006571AC">
        <w:rPr>
          <w:rFonts w:hint="cs"/>
          <w:sz w:val="27"/>
          <w:rtl/>
        </w:rPr>
        <w:t xml:space="preserve"> صل</w:t>
      </w:r>
      <w:r w:rsidR="0064562F" w:rsidRPr="006571AC">
        <w:rPr>
          <w:rFonts w:hint="cs"/>
          <w:sz w:val="27"/>
          <w:rtl/>
        </w:rPr>
        <w:t>ّ</w:t>
      </w:r>
      <w:r w:rsidRPr="006571AC">
        <w:rPr>
          <w:rFonts w:hint="cs"/>
          <w:sz w:val="27"/>
          <w:rtl/>
        </w:rPr>
        <w:t>ى في ثوب</w:t>
      </w:r>
      <w:r w:rsidR="0064562F" w:rsidRPr="006571AC">
        <w:rPr>
          <w:rFonts w:hint="cs"/>
          <w:sz w:val="27"/>
          <w:rtl/>
        </w:rPr>
        <w:t>ٍ</w:t>
      </w:r>
      <w:r w:rsidRPr="006571AC">
        <w:rPr>
          <w:rFonts w:hint="cs"/>
          <w:sz w:val="27"/>
          <w:rtl/>
        </w:rPr>
        <w:t xml:space="preserve"> فيه جنابة ركعتين، ثم</w:t>
      </w:r>
      <w:r w:rsidR="0064562F" w:rsidRPr="006571AC">
        <w:rPr>
          <w:rFonts w:hint="cs"/>
          <w:sz w:val="27"/>
          <w:rtl/>
        </w:rPr>
        <w:t>ّ</w:t>
      </w:r>
      <w:r w:rsidRPr="006571AC">
        <w:rPr>
          <w:rFonts w:hint="cs"/>
          <w:sz w:val="27"/>
          <w:rtl/>
        </w:rPr>
        <w:t xml:space="preserve"> علم به؟ قال</w:t>
      </w:r>
      <w:r w:rsidR="002A2C90" w:rsidRPr="006571AC">
        <w:rPr>
          <w:rFonts w:ascii="Mosawi" w:hAnsi="Mosawi" w:cs="Mosawi"/>
          <w:sz w:val="22"/>
          <w:szCs w:val="22"/>
          <w:rtl/>
        </w:rPr>
        <w:t>×</w:t>
      </w:r>
      <w:r w:rsidRPr="006571AC">
        <w:rPr>
          <w:rFonts w:hint="cs"/>
          <w:sz w:val="27"/>
          <w:rtl/>
        </w:rPr>
        <w:t>: عليه أن يبتدئ الصلاة. قال [الراوي]: وسألت</w:t>
      </w:r>
      <w:r w:rsidR="0064562F" w:rsidRPr="006571AC">
        <w:rPr>
          <w:rFonts w:hint="cs"/>
          <w:sz w:val="27"/>
          <w:rtl/>
        </w:rPr>
        <w:t>ُ</w:t>
      </w:r>
      <w:r w:rsidRPr="006571AC">
        <w:rPr>
          <w:rFonts w:hint="cs"/>
          <w:sz w:val="27"/>
          <w:rtl/>
        </w:rPr>
        <w:t>ه عن رجل</w:t>
      </w:r>
      <w:r w:rsidR="0064562F" w:rsidRPr="006571AC">
        <w:rPr>
          <w:rFonts w:hint="cs"/>
          <w:sz w:val="27"/>
          <w:rtl/>
        </w:rPr>
        <w:t>ٍ</w:t>
      </w:r>
      <w:r w:rsidRPr="006571AC">
        <w:rPr>
          <w:rFonts w:hint="cs"/>
          <w:sz w:val="27"/>
          <w:rtl/>
        </w:rPr>
        <w:t xml:space="preserve"> صلّى وفي ثوبه </w:t>
      </w:r>
      <w:r w:rsidRPr="006571AC">
        <w:rPr>
          <w:rFonts w:hint="cs"/>
          <w:sz w:val="27"/>
          <w:rtl/>
        </w:rPr>
        <w:lastRenderedPageBreak/>
        <w:t>جنابة</w:t>
      </w:r>
      <w:r w:rsidR="0064562F" w:rsidRPr="006571AC">
        <w:rPr>
          <w:rFonts w:hint="cs"/>
          <w:sz w:val="27"/>
          <w:rtl/>
        </w:rPr>
        <w:t>ٌ</w:t>
      </w:r>
      <w:r w:rsidRPr="006571AC">
        <w:rPr>
          <w:rFonts w:hint="cs"/>
          <w:sz w:val="27"/>
          <w:rtl/>
        </w:rPr>
        <w:t xml:space="preserve"> أو دم</w:t>
      </w:r>
      <w:r w:rsidR="0064562F" w:rsidRPr="006571AC">
        <w:rPr>
          <w:rFonts w:hint="cs"/>
          <w:sz w:val="27"/>
          <w:rtl/>
        </w:rPr>
        <w:t>ٌ</w:t>
      </w:r>
      <w:r w:rsidRPr="006571AC">
        <w:rPr>
          <w:rFonts w:hint="cs"/>
          <w:sz w:val="27"/>
          <w:rtl/>
        </w:rPr>
        <w:t xml:space="preserve"> حت</w:t>
      </w:r>
      <w:r w:rsidR="0064562F" w:rsidRPr="006571AC">
        <w:rPr>
          <w:rFonts w:hint="cs"/>
          <w:sz w:val="27"/>
          <w:rtl/>
        </w:rPr>
        <w:t>ّ</w:t>
      </w:r>
      <w:r w:rsidRPr="006571AC">
        <w:rPr>
          <w:rFonts w:hint="cs"/>
          <w:sz w:val="27"/>
          <w:rtl/>
        </w:rPr>
        <w:t>ى فرغ من صلاته، ثم</w:t>
      </w:r>
      <w:r w:rsidR="0064562F" w:rsidRPr="006571AC">
        <w:rPr>
          <w:rFonts w:hint="cs"/>
          <w:sz w:val="27"/>
          <w:rtl/>
        </w:rPr>
        <w:t>ّ</w:t>
      </w:r>
      <w:r w:rsidRPr="006571AC">
        <w:rPr>
          <w:rFonts w:hint="cs"/>
          <w:sz w:val="27"/>
          <w:rtl/>
        </w:rPr>
        <w:t xml:space="preserve"> علم؟ قال</w:t>
      </w:r>
      <w:r w:rsidR="002A2C90" w:rsidRPr="006571AC">
        <w:rPr>
          <w:rFonts w:ascii="Mosawi" w:hAnsi="Mosawi" w:cs="Mosawi"/>
          <w:sz w:val="22"/>
          <w:szCs w:val="22"/>
          <w:rtl/>
        </w:rPr>
        <w:t>×</w:t>
      </w:r>
      <w:r w:rsidRPr="006571AC">
        <w:rPr>
          <w:rFonts w:hint="cs"/>
          <w:sz w:val="27"/>
          <w:rtl/>
        </w:rPr>
        <w:t>: قد مض</w:t>
      </w:r>
      <w:r w:rsidR="0064562F" w:rsidRPr="006571AC">
        <w:rPr>
          <w:rFonts w:hint="cs"/>
          <w:sz w:val="27"/>
          <w:rtl/>
        </w:rPr>
        <w:t>َ</w:t>
      </w:r>
      <w:r w:rsidRPr="006571AC">
        <w:rPr>
          <w:rFonts w:hint="cs"/>
          <w:sz w:val="27"/>
          <w:rtl/>
        </w:rPr>
        <w:t>ت</w:t>
      </w:r>
      <w:r w:rsidR="0064562F" w:rsidRPr="006571AC">
        <w:rPr>
          <w:rFonts w:hint="cs"/>
          <w:sz w:val="27"/>
          <w:rtl/>
        </w:rPr>
        <w:t>ْ</w:t>
      </w:r>
      <w:r w:rsidRPr="006571AC">
        <w:rPr>
          <w:rFonts w:hint="cs"/>
          <w:sz w:val="27"/>
          <w:rtl/>
        </w:rPr>
        <w:t xml:space="preserve"> صلاته، ولا شيء عليه</w:t>
      </w:r>
      <w:r w:rsidRPr="006571AC">
        <w:rPr>
          <w:rFonts w:hint="eastAsia"/>
          <w:sz w:val="24"/>
          <w:szCs w:val="24"/>
          <w:rtl/>
        </w:rPr>
        <w:t>»</w:t>
      </w:r>
      <w:r w:rsidRPr="006571AC">
        <w:rPr>
          <w:sz w:val="27"/>
          <w:vertAlign w:val="superscript"/>
          <w:rtl/>
        </w:rPr>
        <w:t>(</w:t>
      </w:r>
      <w:r w:rsidRPr="006571AC">
        <w:rPr>
          <w:rStyle w:val="ac"/>
          <w:sz w:val="27"/>
          <w:rtl/>
        </w:rPr>
        <w:endnoteReference w:id="193"/>
      </w:r>
      <w:r w:rsidRPr="006571AC">
        <w:rPr>
          <w:sz w:val="27"/>
          <w:vertAlign w:val="superscript"/>
          <w:rtl/>
        </w:rPr>
        <w:t>)</w:t>
      </w:r>
      <w:r w:rsidRPr="006571AC">
        <w:rPr>
          <w:rFonts w:hint="cs"/>
          <w:sz w:val="27"/>
          <w:rtl/>
        </w:rPr>
        <w:t xml:space="preserve">: </w:t>
      </w:r>
      <w:r w:rsidRPr="006571AC">
        <w:rPr>
          <w:rFonts w:hint="eastAsia"/>
          <w:sz w:val="24"/>
          <w:szCs w:val="24"/>
          <w:rtl/>
        </w:rPr>
        <w:t>«</w:t>
      </w:r>
      <w:r w:rsidRPr="006571AC">
        <w:rPr>
          <w:rFonts w:hint="cs"/>
          <w:sz w:val="27"/>
          <w:rtl/>
        </w:rPr>
        <w:t>إن المراد من السؤال الأول ـ بالنظر إلى قرينة المقابلة مع [السؤال] الثاني ـ أنه علم بوجود المني [الجنابة] في الثوب أثناء الصلاة بعد إتمام الركعة الثانية</w:t>
      </w:r>
      <w:r w:rsidRPr="006571AC">
        <w:rPr>
          <w:rFonts w:hint="eastAsia"/>
          <w:sz w:val="24"/>
          <w:szCs w:val="24"/>
          <w:rtl/>
        </w:rPr>
        <w:t>»</w:t>
      </w:r>
      <w:r w:rsidRPr="006571AC">
        <w:rPr>
          <w:sz w:val="27"/>
          <w:vertAlign w:val="superscript"/>
          <w:rtl/>
        </w:rPr>
        <w:t>(</w:t>
      </w:r>
      <w:r w:rsidRPr="006571AC">
        <w:rPr>
          <w:rStyle w:val="ac"/>
          <w:sz w:val="27"/>
          <w:rtl/>
        </w:rPr>
        <w:endnoteReference w:id="194"/>
      </w:r>
      <w:r w:rsidRPr="006571AC">
        <w:rPr>
          <w:sz w:val="27"/>
          <w:vertAlign w:val="superscript"/>
          <w:rtl/>
        </w:rPr>
        <w:t>)</w:t>
      </w:r>
      <w:r w:rsidRPr="006571AC">
        <w:rPr>
          <w:sz w:val="27"/>
          <w:rtl/>
        </w:rPr>
        <w:t>.</w:t>
      </w:r>
      <w:r w:rsidRPr="006571AC">
        <w:rPr>
          <w:rFonts w:hint="cs"/>
          <w:sz w:val="27"/>
          <w:rtl/>
        </w:rPr>
        <w:t xml:space="preserve"> فإن سماحته قد استفاد هذا الأمر من مجرّ</w:t>
      </w:r>
      <w:r w:rsidR="0064562F" w:rsidRPr="006571AC">
        <w:rPr>
          <w:rFonts w:hint="cs"/>
          <w:sz w:val="27"/>
          <w:rtl/>
        </w:rPr>
        <w:t>َ</w:t>
      </w:r>
      <w:r w:rsidRPr="006571AC">
        <w:rPr>
          <w:rFonts w:hint="cs"/>
          <w:sz w:val="27"/>
          <w:rtl/>
        </w:rPr>
        <w:t>د أن يكون للسؤالين الصادرين عن شخص</w:t>
      </w:r>
      <w:r w:rsidR="0064562F" w:rsidRPr="006571AC">
        <w:rPr>
          <w:rFonts w:hint="cs"/>
          <w:sz w:val="27"/>
          <w:rtl/>
        </w:rPr>
        <w:t>ٍ</w:t>
      </w:r>
      <w:r w:rsidRPr="006571AC">
        <w:rPr>
          <w:rFonts w:hint="cs"/>
          <w:sz w:val="27"/>
          <w:rtl/>
        </w:rPr>
        <w:t xml:space="preserve"> واحد [في مقام</w:t>
      </w:r>
      <w:r w:rsidR="0064562F" w:rsidRPr="006571AC">
        <w:rPr>
          <w:rFonts w:hint="cs"/>
          <w:sz w:val="27"/>
          <w:rtl/>
        </w:rPr>
        <w:t>ٍ</w:t>
      </w:r>
      <w:r w:rsidRPr="006571AC">
        <w:rPr>
          <w:rFonts w:hint="cs"/>
          <w:sz w:val="27"/>
          <w:rtl/>
        </w:rPr>
        <w:t xml:space="preserve"> واحد] ظهوراً في المغايرة، وقال: إن مراده من </w:t>
      </w:r>
      <w:r w:rsidRPr="006571AC">
        <w:rPr>
          <w:rFonts w:hint="eastAsia"/>
          <w:sz w:val="24"/>
          <w:szCs w:val="24"/>
          <w:rtl/>
        </w:rPr>
        <w:t>«</w:t>
      </w:r>
      <w:r w:rsidRPr="006571AC">
        <w:rPr>
          <w:rFonts w:hint="cs"/>
          <w:sz w:val="27"/>
          <w:rtl/>
        </w:rPr>
        <w:t>صل</w:t>
      </w:r>
      <w:r w:rsidR="00394350" w:rsidRPr="006571AC">
        <w:rPr>
          <w:rFonts w:hint="cs"/>
          <w:sz w:val="27"/>
          <w:rtl/>
        </w:rPr>
        <w:t>ّ</w:t>
      </w:r>
      <w:r w:rsidRPr="006571AC">
        <w:rPr>
          <w:rFonts w:hint="cs"/>
          <w:sz w:val="27"/>
          <w:rtl/>
        </w:rPr>
        <w:t>ى ركعتين</w:t>
      </w:r>
      <w:r w:rsidRPr="006571AC">
        <w:rPr>
          <w:rFonts w:hint="eastAsia"/>
          <w:sz w:val="24"/>
          <w:szCs w:val="24"/>
          <w:rtl/>
        </w:rPr>
        <w:t>»</w:t>
      </w:r>
      <w:r w:rsidRPr="006571AC">
        <w:rPr>
          <w:rFonts w:hint="cs"/>
          <w:sz w:val="27"/>
          <w:rtl/>
        </w:rPr>
        <w:t xml:space="preserve"> أنه قد أكمل ركعتين من صلاة</w:t>
      </w:r>
      <w:r w:rsidR="0064562F" w:rsidRPr="006571AC">
        <w:rPr>
          <w:rFonts w:hint="cs"/>
          <w:sz w:val="27"/>
          <w:rtl/>
        </w:rPr>
        <w:t>ٍ</w:t>
      </w:r>
      <w:r w:rsidRPr="006571AC">
        <w:rPr>
          <w:rFonts w:hint="cs"/>
          <w:sz w:val="27"/>
          <w:rtl/>
        </w:rPr>
        <w:t xml:space="preserve"> رباعية أو ثلاثية، لا أنه أتم</w:t>
      </w:r>
      <w:r w:rsidR="0064562F" w:rsidRPr="006571AC">
        <w:rPr>
          <w:rFonts w:hint="cs"/>
          <w:sz w:val="27"/>
          <w:rtl/>
        </w:rPr>
        <w:t>ّ</w:t>
      </w:r>
      <w:r w:rsidRPr="006571AC">
        <w:rPr>
          <w:rFonts w:hint="cs"/>
          <w:sz w:val="27"/>
          <w:rtl/>
        </w:rPr>
        <w:t xml:space="preserve"> صلاة</w:t>
      </w:r>
      <w:r w:rsidR="0064562F" w:rsidRPr="006571AC">
        <w:rPr>
          <w:rFonts w:hint="cs"/>
          <w:sz w:val="27"/>
          <w:rtl/>
        </w:rPr>
        <w:t>ً</w:t>
      </w:r>
      <w:r w:rsidRPr="006571AC">
        <w:rPr>
          <w:rFonts w:hint="cs"/>
          <w:sz w:val="27"/>
          <w:rtl/>
        </w:rPr>
        <w:t xml:space="preserve"> كاملة من ركعتين، وقد أطلق على ذلك عنوان قرينة المقابلة. وهذا الاستعمال غير منحصر</w:t>
      </w:r>
      <w:r w:rsidR="0064562F" w:rsidRPr="006571AC">
        <w:rPr>
          <w:rFonts w:hint="cs"/>
          <w:sz w:val="27"/>
          <w:rtl/>
        </w:rPr>
        <w:t>ٍ</w:t>
      </w:r>
      <w:r w:rsidRPr="006571AC">
        <w:rPr>
          <w:rFonts w:hint="cs"/>
          <w:sz w:val="27"/>
          <w:rtl/>
        </w:rPr>
        <w:t xml:space="preserve"> بسماحته، بل العلماء الآخرون قد عبّ</w:t>
      </w:r>
      <w:r w:rsidR="0064562F" w:rsidRPr="006571AC">
        <w:rPr>
          <w:rFonts w:hint="cs"/>
          <w:sz w:val="27"/>
          <w:rtl/>
        </w:rPr>
        <w:t>َ</w:t>
      </w:r>
      <w:r w:rsidRPr="006571AC">
        <w:rPr>
          <w:rFonts w:hint="cs"/>
          <w:sz w:val="27"/>
          <w:rtl/>
        </w:rPr>
        <w:t>روا في الموارد المشابهة بالمقابلة أيضاً</w:t>
      </w:r>
      <w:r w:rsidRPr="006571AC">
        <w:rPr>
          <w:sz w:val="27"/>
          <w:vertAlign w:val="superscript"/>
          <w:rtl/>
        </w:rPr>
        <w:t>(</w:t>
      </w:r>
      <w:r w:rsidRPr="006571AC">
        <w:rPr>
          <w:rStyle w:val="ac"/>
          <w:sz w:val="27"/>
          <w:rtl/>
        </w:rPr>
        <w:endnoteReference w:id="195"/>
      </w:r>
      <w:r w:rsidRPr="006571AC">
        <w:rPr>
          <w:sz w:val="27"/>
          <w:vertAlign w:val="superscript"/>
          <w:rtl/>
        </w:rPr>
        <w:t>)</w:t>
      </w:r>
      <w:r w:rsidRPr="006571AC">
        <w:rPr>
          <w:sz w:val="27"/>
          <w:rtl/>
        </w:rPr>
        <w:t>.</w:t>
      </w:r>
      <w:r w:rsidRPr="006571AC">
        <w:rPr>
          <w:rFonts w:hint="cs"/>
          <w:sz w:val="27"/>
          <w:rtl/>
        </w:rPr>
        <w:t xml:space="preserve"> </w:t>
      </w:r>
    </w:p>
    <w:p w:rsidR="009E7E1F" w:rsidRPr="006571AC" w:rsidRDefault="009E7E1F" w:rsidP="009E7E1F">
      <w:pPr>
        <w:spacing w:line="420" w:lineRule="exact"/>
        <w:rPr>
          <w:sz w:val="27"/>
          <w:rtl/>
        </w:rPr>
      </w:pPr>
    </w:p>
    <w:p w:rsidR="00A75C8B" w:rsidRPr="006571AC" w:rsidRDefault="007E1680" w:rsidP="009C29A7">
      <w:pPr>
        <w:pStyle w:val="31"/>
        <w:rPr>
          <w:color w:val="auto"/>
        </w:rPr>
      </w:pPr>
      <w:bookmarkStart w:id="94" w:name="_Toc114164583"/>
      <w:r w:rsidRPr="006571AC">
        <w:rPr>
          <w:rFonts w:hint="cs"/>
          <w:color w:val="auto"/>
          <w:rtl/>
        </w:rPr>
        <w:t>و ـ</w:t>
      </w:r>
      <w:r w:rsidR="00A75C8B" w:rsidRPr="006571AC">
        <w:rPr>
          <w:rFonts w:hint="cs"/>
          <w:color w:val="auto"/>
          <w:rtl/>
        </w:rPr>
        <w:t xml:space="preserve"> سياق الاختيار</w:t>
      </w:r>
      <w:bookmarkEnd w:id="94"/>
    </w:p>
    <w:p w:rsidR="00A75C8B" w:rsidRPr="006571AC" w:rsidRDefault="00A75C8B" w:rsidP="00C95139">
      <w:pPr>
        <w:rPr>
          <w:sz w:val="27"/>
          <w:rtl/>
        </w:rPr>
      </w:pPr>
      <w:r w:rsidRPr="006571AC">
        <w:rPr>
          <w:rFonts w:hint="cs"/>
          <w:sz w:val="27"/>
          <w:rtl/>
        </w:rPr>
        <w:t>إن سياق الاختيار عبارة</w:t>
      </w:r>
      <w:r w:rsidR="002B7B81" w:rsidRPr="006571AC">
        <w:rPr>
          <w:rFonts w:hint="cs"/>
          <w:sz w:val="27"/>
          <w:rtl/>
        </w:rPr>
        <w:t>ٌ</w:t>
      </w:r>
      <w:r w:rsidRPr="006571AC">
        <w:rPr>
          <w:rFonts w:hint="cs"/>
          <w:sz w:val="27"/>
          <w:rtl/>
        </w:rPr>
        <w:t xml:space="preserve"> عن اختيار بيان للمضمون والمحتوى من بين الخيارات الأخرى. </w:t>
      </w:r>
      <w:r w:rsidR="002B7B81" w:rsidRPr="006571AC">
        <w:rPr>
          <w:rFonts w:hint="cs"/>
          <w:sz w:val="27"/>
          <w:rtl/>
        </w:rPr>
        <w:t>و</w:t>
      </w:r>
      <w:r w:rsidRPr="006571AC">
        <w:rPr>
          <w:rFonts w:hint="cs"/>
          <w:sz w:val="27"/>
          <w:rtl/>
        </w:rPr>
        <w:t>بعبارة</w:t>
      </w:r>
      <w:r w:rsidR="002B7B81" w:rsidRPr="006571AC">
        <w:rPr>
          <w:rFonts w:hint="cs"/>
          <w:sz w:val="27"/>
          <w:rtl/>
        </w:rPr>
        <w:t>ٍ</w:t>
      </w:r>
      <w:r w:rsidRPr="006571AC">
        <w:rPr>
          <w:rFonts w:hint="cs"/>
          <w:sz w:val="27"/>
          <w:rtl/>
        </w:rPr>
        <w:t xml:space="preserve"> أخرى: إن المتكل</w:t>
      </w:r>
      <w:r w:rsidR="002B7B81" w:rsidRPr="006571AC">
        <w:rPr>
          <w:rFonts w:hint="cs"/>
          <w:sz w:val="27"/>
          <w:rtl/>
        </w:rPr>
        <w:t>ِّ</w:t>
      </w:r>
      <w:r w:rsidRPr="006571AC">
        <w:rPr>
          <w:rFonts w:hint="cs"/>
          <w:sz w:val="27"/>
          <w:rtl/>
        </w:rPr>
        <w:t>م يستطيع أن يبيّ</w:t>
      </w:r>
      <w:r w:rsidR="002B7B81" w:rsidRPr="006571AC">
        <w:rPr>
          <w:rFonts w:hint="cs"/>
          <w:sz w:val="27"/>
          <w:rtl/>
        </w:rPr>
        <w:t>ِ</w:t>
      </w:r>
      <w:r w:rsidRPr="006571AC">
        <w:rPr>
          <w:rFonts w:hint="cs"/>
          <w:sz w:val="27"/>
          <w:rtl/>
        </w:rPr>
        <w:t>ن مراده بأساليب متعد</w:t>
      </w:r>
      <w:r w:rsidR="002B7B81" w:rsidRPr="006571AC">
        <w:rPr>
          <w:rFonts w:hint="cs"/>
          <w:sz w:val="27"/>
          <w:rtl/>
        </w:rPr>
        <w:t>ِّ</w:t>
      </w:r>
      <w:r w:rsidRPr="006571AC">
        <w:rPr>
          <w:rFonts w:hint="cs"/>
          <w:sz w:val="27"/>
          <w:rtl/>
        </w:rPr>
        <w:t xml:space="preserve">دة، ولكنه حيث يختار من بين جميع الأساليب أسلوباً واحداً يتبلور عندنا سياق الاختيار. </w:t>
      </w:r>
    </w:p>
    <w:p w:rsidR="00A75C8B" w:rsidRPr="006571AC" w:rsidRDefault="00A75C8B" w:rsidP="00394350">
      <w:pPr>
        <w:rPr>
          <w:sz w:val="27"/>
          <w:rtl/>
        </w:rPr>
      </w:pPr>
      <w:r w:rsidRPr="006571AC">
        <w:rPr>
          <w:rFonts w:hint="cs"/>
          <w:sz w:val="27"/>
          <w:rtl/>
        </w:rPr>
        <w:t xml:space="preserve">لقد </w:t>
      </w:r>
      <w:r w:rsidR="00394350" w:rsidRPr="006571AC">
        <w:rPr>
          <w:rFonts w:hint="cs"/>
          <w:sz w:val="27"/>
          <w:rtl/>
        </w:rPr>
        <w:t>قال</w:t>
      </w:r>
      <w:r w:rsidRPr="006571AC">
        <w:rPr>
          <w:rFonts w:hint="cs"/>
          <w:sz w:val="27"/>
          <w:rtl/>
        </w:rPr>
        <w:t xml:space="preserve"> الشيخ الآخوند</w:t>
      </w:r>
      <w:r w:rsidR="002A2C90" w:rsidRPr="006571AC">
        <w:rPr>
          <w:rFonts w:ascii="Mosawi" w:hAnsi="Mosawi" w:cs="Mosawi"/>
          <w:sz w:val="22"/>
          <w:szCs w:val="22"/>
          <w:rtl/>
        </w:rPr>
        <w:t>&amp;</w:t>
      </w:r>
      <w:r w:rsidR="002B7B81" w:rsidRPr="006571AC">
        <w:rPr>
          <w:rFonts w:hint="cs"/>
          <w:sz w:val="27"/>
          <w:rtl/>
        </w:rPr>
        <w:t>،</w:t>
      </w:r>
      <w:r w:rsidRPr="006571AC">
        <w:rPr>
          <w:rFonts w:hint="cs"/>
          <w:sz w:val="27"/>
          <w:rtl/>
        </w:rPr>
        <w:t xml:space="preserve"> في بحث الفور والتراخي، على هامش الآيتين الكريمتين: </w:t>
      </w:r>
      <w:r w:rsidRPr="006571AC">
        <w:rPr>
          <w:rFonts w:ascii="Mosawi" w:hAnsi="Mosawi" w:cs="Mosawi"/>
          <w:sz w:val="24"/>
          <w:szCs w:val="24"/>
          <w:rtl/>
        </w:rPr>
        <w:t>﴿</w:t>
      </w:r>
      <w:r w:rsidRPr="006571AC">
        <w:rPr>
          <w:b/>
          <w:bCs/>
          <w:sz w:val="27"/>
          <w:rtl/>
        </w:rPr>
        <w:t>وَسَارِعُوا إِلَى مَغْفِرَةٍ مِنْ رَبِّكُمْ</w:t>
      </w:r>
      <w:r w:rsidRPr="006571AC">
        <w:rPr>
          <w:rFonts w:ascii="Mosawi" w:hAnsi="Mosawi" w:cs="Mosawi"/>
          <w:sz w:val="24"/>
          <w:szCs w:val="24"/>
          <w:rtl/>
        </w:rPr>
        <w:t>﴾</w:t>
      </w:r>
      <w:r w:rsidRPr="006571AC">
        <w:rPr>
          <w:rFonts w:hint="cs"/>
          <w:sz w:val="27"/>
          <w:rtl/>
        </w:rPr>
        <w:t xml:space="preserve"> (آل عمران: 133)</w:t>
      </w:r>
      <w:r w:rsidR="002B7B81" w:rsidRPr="006571AC">
        <w:rPr>
          <w:rFonts w:hint="cs"/>
          <w:sz w:val="27"/>
          <w:rtl/>
        </w:rPr>
        <w:t>؛</w:t>
      </w:r>
      <w:r w:rsidRPr="006571AC">
        <w:rPr>
          <w:sz w:val="27"/>
          <w:rtl/>
        </w:rPr>
        <w:t xml:space="preserve"> </w:t>
      </w:r>
      <w:r w:rsidRPr="006571AC">
        <w:rPr>
          <w:rFonts w:hint="cs"/>
          <w:sz w:val="27"/>
          <w:rtl/>
        </w:rPr>
        <w:t>و</w:t>
      </w:r>
      <w:r w:rsidRPr="006571AC">
        <w:rPr>
          <w:rFonts w:ascii="Mosawi" w:hAnsi="Mosawi" w:cs="Mosawi"/>
          <w:sz w:val="24"/>
          <w:szCs w:val="24"/>
          <w:rtl/>
        </w:rPr>
        <w:t>﴿</w:t>
      </w:r>
      <w:r w:rsidRPr="006571AC">
        <w:rPr>
          <w:b/>
          <w:bCs/>
          <w:sz w:val="27"/>
          <w:rtl/>
        </w:rPr>
        <w:t>فَاسْتَبِقُوا الْخَيْرَاتِ</w:t>
      </w:r>
      <w:r w:rsidRPr="006571AC">
        <w:rPr>
          <w:rFonts w:ascii="Mosawi" w:hAnsi="Mosawi" w:cs="Mosawi"/>
          <w:sz w:val="24"/>
          <w:szCs w:val="24"/>
          <w:rtl/>
        </w:rPr>
        <w:t>﴾</w:t>
      </w:r>
      <w:r w:rsidRPr="006571AC">
        <w:rPr>
          <w:rFonts w:hint="cs"/>
          <w:sz w:val="27"/>
          <w:rtl/>
        </w:rPr>
        <w:t xml:space="preserve"> (</w:t>
      </w:r>
      <w:r w:rsidRPr="006571AC">
        <w:rPr>
          <w:sz w:val="27"/>
          <w:rtl/>
        </w:rPr>
        <w:t>البقرة: 148؛ المائدة: 48</w:t>
      </w:r>
      <w:r w:rsidRPr="006571AC">
        <w:rPr>
          <w:rFonts w:hint="cs"/>
          <w:sz w:val="27"/>
          <w:rtl/>
        </w:rPr>
        <w:t>)</w:t>
      </w:r>
      <w:r w:rsidRPr="006571AC">
        <w:rPr>
          <w:sz w:val="27"/>
          <w:rtl/>
        </w:rPr>
        <w:t xml:space="preserve"> </w:t>
      </w:r>
      <w:r w:rsidRPr="006571AC">
        <w:rPr>
          <w:rFonts w:hint="cs"/>
          <w:sz w:val="27"/>
          <w:rtl/>
        </w:rPr>
        <w:t xml:space="preserve">ـ في معرض نقد الذين استظهروا وجوب الفورية في الأوامر الإلهية من هاتين الآيتين ـ: </w:t>
      </w:r>
      <w:r w:rsidRPr="006571AC">
        <w:rPr>
          <w:rFonts w:hint="eastAsia"/>
          <w:sz w:val="24"/>
          <w:szCs w:val="24"/>
          <w:rtl/>
        </w:rPr>
        <w:t>«</w:t>
      </w:r>
      <w:r w:rsidRPr="006571AC">
        <w:rPr>
          <w:sz w:val="27"/>
          <w:rtl/>
        </w:rPr>
        <w:t>وفيه منع</w:t>
      </w:r>
      <w:r w:rsidR="002B7B81" w:rsidRPr="006571AC">
        <w:rPr>
          <w:rFonts w:hint="cs"/>
          <w:sz w:val="27"/>
          <w:rtl/>
        </w:rPr>
        <w:t>ٌ؛</w:t>
      </w:r>
      <w:r w:rsidRPr="006571AC">
        <w:rPr>
          <w:sz w:val="27"/>
          <w:rtl/>
        </w:rPr>
        <w:t xml:space="preserve"> ضرورة أن سياق </w:t>
      </w:r>
      <w:r w:rsidRPr="006571AC">
        <w:rPr>
          <w:rFonts w:hint="cs"/>
          <w:sz w:val="27"/>
          <w:rtl/>
        </w:rPr>
        <w:t xml:space="preserve">[هاتين الآيتين] </w:t>
      </w:r>
      <w:r w:rsidRPr="006571AC">
        <w:rPr>
          <w:sz w:val="27"/>
          <w:rtl/>
        </w:rPr>
        <w:t>إنما هو البعث نحو المسارعة إلى المغفرة والاستباق إلى الخير، من دون استتباع تركهما للغضب والشر</w:t>
      </w:r>
      <w:r w:rsidR="002B7B81" w:rsidRPr="006571AC">
        <w:rPr>
          <w:rFonts w:hint="cs"/>
          <w:sz w:val="27"/>
          <w:rtl/>
        </w:rPr>
        <w:t>ّ؛</w:t>
      </w:r>
      <w:r w:rsidRPr="006571AC">
        <w:rPr>
          <w:sz w:val="27"/>
          <w:rtl/>
        </w:rPr>
        <w:t xml:space="preserve"> ضرورة أن تركهما لو كان مستتبعا</w:t>
      </w:r>
      <w:r w:rsidRPr="006571AC">
        <w:rPr>
          <w:rFonts w:hint="cs"/>
          <w:sz w:val="27"/>
          <w:rtl/>
        </w:rPr>
        <w:t>ً</w:t>
      </w:r>
      <w:r w:rsidRPr="006571AC">
        <w:rPr>
          <w:sz w:val="27"/>
          <w:rtl/>
        </w:rPr>
        <w:t xml:space="preserve"> للغضب والشر</w:t>
      </w:r>
      <w:r w:rsidR="002B7B81" w:rsidRPr="006571AC">
        <w:rPr>
          <w:rFonts w:hint="cs"/>
          <w:sz w:val="27"/>
          <w:rtl/>
        </w:rPr>
        <w:t>ّ</w:t>
      </w:r>
      <w:r w:rsidRPr="006571AC">
        <w:rPr>
          <w:sz w:val="27"/>
          <w:rtl/>
        </w:rPr>
        <w:t xml:space="preserve"> كان البعث بالتحذير عنهما أنسب</w:t>
      </w:r>
      <w:r w:rsidRPr="006571AC">
        <w:rPr>
          <w:rFonts w:hint="eastAsia"/>
          <w:sz w:val="24"/>
          <w:szCs w:val="24"/>
          <w:rtl/>
        </w:rPr>
        <w:t>»</w:t>
      </w:r>
      <w:r w:rsidRPr="006571AC">
        <w:rPr>
          <w:sz w:val="27"/>
          <w:vertAlign w:val="superscript"/>
          <w:rtl/>
        </w:rPr>
        <w:t>(</w:t>
      </w:r>
      <w:r w:rsidRPr="006571AC">
        <w:rPr>
          <w:rStyle w:val="ac"/>
          <w:sz w:val="27"/>
          <w:rtl/>
        </w:rPr>
        <w:endnoteReference w:id="196"/>
      </w:r>
      <w:r w:rsidRPr="006571AC">
        <w:rPr>
          <w:sz w:val="27"/>
          <w:vertAlign w:val="superscript"/>
          <w:rtl/>
        </w:rPr>
        <w:t>)</w:t>
      </w:r>
      <w:r w:rsidRPr="006571AC">
        <w:rPr>
          <w:sz w:val="27"/>
          <w:rtl/>
        </w:rPr>
        <w:t>.</w:t>
      </w:r>
      <w:r w:rsidRPr="006571AC">
        <w:rPr>
          <w:rFonts w:hint="cs"/>
          <w:sz w:val="27"/>
          <w:rtl/>
        </w:rPr>
        <w:t xml:space="preserve"> إن المتكل</w:t>
      </w:r>
      <w:r w:rsidR="002B7B81" w:rsidRPr="006571AC">
        <w:rPr>
          <w:rFonts w:hint="cs"/>
          <w:sz w:val="27"/>
          <w:rtl/>
        </w:rPr>
        <w:t>ِّ</w:t>
      </w:r>
      <w:r w:rsidRPr="006571AC">
        <w:rPr>
          <w:rFonts w:hint="cs"/>
          <w:sz w:val="27"/>
          <w:rtl/>
        </w:rPr>
        <w:t>م في بيان كل</w:t>
      </w:r>
      <w:r w:rsidR="002B7B81" w:rsidRPr="006571AC">
        <w:rPr>
          <w:rFonts w:hint="cs"/>
          <w:sz w:val="27"/>
          <w:rtl/>
        </w:rPr>
        <w:t>ّ</w:t>
      </w:r>
      <w:r w:rsidRPr="006571AC">
        <w:rPr>
          <w:rFonts w:hint="cs"/>
          <w:sz w:val="27"/>
          <w:rtl/>
        </w:rPr>
        <w:t xml:space="preserve"> ما هو مطلوب</w:t>
      </w:r>
      <w:r w:rsidR="002B7B81" w:rsidRPr="006571AC">
        <w:rPr>
          <w:rFonts w:hint="cs"/>
          <w:sz w:val="27"/>
          <w:rtl/>
        </w:rPr>
        <w:t>ٌ</w:t>
      </w:r>
      <w:r w:rsidRPr="006571AC">
        <w:rPr>
          <w:rFonts w:hint="cs"/>
          <w:sz w:val="27"/>
          <w:rtl/>
        </w:rPr>
        <w:t xml:space="preserve"> في وجوده له طريقان في البيان</w:t>
      </w:r>
      <w:r w:rsidR="002B7B81" w:rsidRPr="006571AC">
        <w:rPr>
          <w:rFonts w:hint="cs"/>
          <w:sz w:val="27"/>
          <w:rtl/>
        </w:rPr>
        <w:t>:</w:t>
      </w:r>
      <w:r w:rsidRPr="006571AC">
        <w:rPr>
          <w:rFonts w:hint="cs"/>
          <w:sz w:val="27"/>
          <w:rtl/>
        </w:rPr>
        <w:t xml:space="preserve"> </w:t>
      </w:r>
      <w:r w:rsidRPr="006571AC">
        <w:rPr>
          <w:rFonts w:hint="cs"/>
          <w:b/>
          <w:bCs/>
          <w:sz w:val="27"/>
          <w:rtl/>
        </w:rPr>
        <w:t>أحدهما</w:t>
      </w:r>
      <w:r w:rsidRPr="006571AC">
        <w:rPr>
          <w:rFonts w:hint="cs"/>
          <w:sz w:val="27"/>
          <w:rtl/>
        </w:rPr>
        <w:t>: الأمر بذلك الشيء</w:t>
      </w:r>
      <w:r w:rsidR="002B7B81" w:rsidRPr="006571AC">
        <w:rPr>
          <w:rFonts w:hint="cs"/>
          <w:sz w:val="27"/>
          <w:rtl/>
        </w:rPr>
        <w:t>؛</w:t>
      </w:r>
      <w:r w:rsidRPr="006571AC">
        <w:rPr>
          <w:rFonts w:hint="cs"/>
          <w:sz w:val="27"/>
          <w:rtl/>
        </w:rPr>
        <w:t xml:space="preserve"> </w:t>
      </w:r>
      <w:r w:rsidRPr="006571AC">
        <w:rPr>
          <w:rFonts w:hint="cs"/>
          <w:b/>
          <w:bCs/>
          <w:sz w:val="27"/>
          <w:rtl/>
        </w:rPr>
        <w:t>والآخر</w:t>
      </w:r>
      <w:r w:rsidRPr="006571AC">
        <w:rPr>
          <w:rFonts w:hint="cs"/>
          <w:sz w:val="27"/>
          <w:rtl/>
        </w:rPr>
        <w:t xml:space="preserve">: النهي عن ضدّه. وحيث </w:t>
      </w:r>
      <w:r w:rsidR="002B7B81" w:rsidRPr="006571AC">
        <w:rPr>
          <w:rFonts w:hint="cs"/>
          <w:sz w:val="27"/>
          <w:rtl/>
        </w:rPr>
        <w:t>إ</w:t>
      </w:r>
      <w:r w:rsidRPr="006571AC">
        <w:rPr>
          <w:rFonts w:hint="cs"/>
          <w:sz w:val="27"/>
          <w:rtl/>
        </w:rPr>
        <w:t>ن الله سبحانه وتعالى قد اختار البيان الأو</w:t>
      </w:r>
      <w:r w:rsidR="002B7B81" w:rsidRPr="006571AC">
        <w:rPr>
          <w:rFonts w:hint="cs"/>
          <w:sz w:val="27"/>
          <w:rtl/>
        </w:rPr>
        <w:t>ّ</w:t>
      </w:r>
      <w:r w:rsidRPr="006571AC">
        <w:rPr>
          <w:rFonts w:hint="cs"/>
          <w:sz w:val="27"/>
          <w:rtl/>
        </w:rPr>
        <w:t>ل فقد ذهب</w:t>
      </w:r>
      <w:r w:rsidRPr="006571AC">
        <w:rPr>
          <w:sz w:val="27"/>
          <w:rtl/>
        </w:rPr>
        <w:t xml:space="preserve"> الشيخ الآخوند إلى ا</w:t>
      </w:r>
      <w:r w:rsidRPr="006571AC">
        <w:rPr>
          <w:rFonts w:hint="cs"/>
          <w:sz w:val="27"/>
          <w:rtl/>
        </w:rPr>
        <w:t xml:space="preserve">ستظهار عدم الوجوب، وأطلق على ذلك عنوان السياق. وبطبيعة الحال </w:t>
      </w:r>
      <w:r w:rsidR="00731867" w:rsidRPr="006571AC">
        <w:rPr>
          <w:rFonts w:hint="cs"/>
          <w:sz w:val="27"/>
          <w:rtl/>
        </w:rPr>
        <w:t>لا بُدَّ</w:t>
      </w:r>
      <w:r w:rsidRPr="006571AC">
        <w:rPr>
          <w:rFonts w:hint="cs"/>
          <w:sz w:val="27"/>
          <w:rtl/>
        </w:rPr>
        <w:t xml:space="preserve"> من التذكير بأن الشيخ الآخوند</w:t>
      </w:r>
      <w:r w:rsidR="002B7B81" w:rsidRPr="006571AC">
        <w:rPr>
          <w:rFonts w:hint="cs"/>
          <w:sz w:val="27"/>
          <w:rtl/>
        </w:rPr>
        <w:t>،</w:t>
      </w:r>
      <w:r w:rsidRPr="006571AC">
        <w:rPr>
          <w:rFonts w:hint="cs"/>
          <w:sz w:val="27"/>
          <w:rtl/>
        </w:rPr>
        <w:t xml:space="preserve"> بعد بيان هذا الاستظهار، ختم كلامه بعبارة: </w:t>
      </w:r>
      <w:r w:rsidRPr="006571AC">
        <w:rPr>
          <w:rFonts w:hint="eastAsia"/>
          <w:sz w:val="24"/>
          <w:szCs w:val="24"/>
          <w:rtl/>
        </w:rPr>
        <w:t>«</w:t>
      </w:r>
      <w:r w:rsidRPr="006571AC">
        <w:rPr>
          <w:rFonts w:hint="cs"/>
          <w:sz w:val="27"/>
          <w:rtl/>
        </w:rPr>
        <w:t>كما لا يخفى...</w:t>
      </w:r>
      <w:r w:rsidR="002B7B81" w:rsidRPr="006571AC">
        <w:rPr>
          <w:rFonts w:hint="cs"/>
          <w:sz w:val="27"/>
          <w:rtl/>
        </w:rPr>
        <w:t>،</w:t>
      </w:r>
      <w:r w:rsidRPr="006571AC">
        <w:rPr>
          <w:rFonts w:hint="cs"/>
          <w:sz w:val="27"/>
          <w:rtl/>
        </w:rPr>
        <w:t xml:space="preserve"> فافه</w:t>
      </w:r>
      <w:r w:rsidR="002B7B81" w:rsidRPr="006571AC">
        <w:rPr>
          <w:rFonts w:hint="cs"/>
          <w:sz w:val="27"/>
          <w:rtl/>
        </w:rPr>
        <w:t>َ</w:t>
      </w:r>
      <w:r w:rsidRPr="006571AC">
        <w:rPr>
          <w:rFonts w:hint="cs"/>
          <w:sz w:val="27"/>
          <w:rtl/>
        </w:rPr>
        <w:t>م</w:t>
      </w:r>
      <w:r w:rsidR="002B7B81" w:rsidRPr="006571AC">
        <w:rPr>
          <w:rFonts w:hint="cs"/>
          <w:sz w:val="27"/>
          <w:rtl/>
        </w:rPr>
        <w:t>ْ</w:t>
      </w:r>
      <w:r w:rsidRPr="006571AC">
        <w:rPr>
          <w:rFonts w:hint="eastAsia"/>
          <w:sz w:val="24"/>
          <w:szCs w:val="24"/>
          <w:rtl/>
        </w:rPr>
        <w:t>»</w:t>
      </w:r>
      <w:r w:rsidR="00CA7A6A" w:rsidRPr="006571AC">
        <w:rPr>
          <w:rFonts w:hint="cs"/>
          <w:sz w:val="27"/>
          <w:rtl/>
        </w:rPr>
        <w:t>.</w:t>
      </w:r>
      <w:r w:rsidRPr="006571AC">
        <w:rPr>
          <w:rFonts w:hint="cs"/>
          <w:sz w:val="27"/>
          <w:rtl/>
        </w:rPr>
        <w:t xml:space="preserve"> وقد فسَّر البعض ذلك في حاشية هذه العبارة بضعف هذا القول والفهم</w:t>
      </w:r>
      <w:r w:rsidRPr="006571AC">
        <w:rPr>
          <w:sz w:val="27"/>
          <w:vertAlign w:val="superscript"/>
          <w:rtl/>
        </w:rPr>
        <w:t>(</w:t>
      </w:r>
      <w:r w:rsidRPr="006571AC">
        <w:rPr>
          <w:rStyle w:val="ac"/>
          <w:sz w:val="27"/>
          <w:rtl/>
        </w:rPr>
        <w:endnoteReference w:id="197"/>
      </w:r>
      <w:r w:rsidRPr="006571AC">
        <w:rPr>
          <w:sz w:val="27"/>
          <w:vertAlign w:val="superscript"/>
          <w:rtl/>
        </w:rPr>
        <w:t>)</w:t>
      </w:r>
      <w:r w:rsidRPr="006571AC">
        <w:rPr>
          <w:sz w:val="27"/>
          <w:rtl/>
        </w:rPr>
        <w:t>.</w:t>
      </w:r>
      <w:r w:rsidRPr="006571AC">
        <w:rPr>
          <w:rFonts w:hint="cs"/>
          <w:sz w:val="27"/>
          <w:rtl/>
        </w:rPr>
        <w:t xml:space="preserve"> ولكن</w:t>
      </w:r>
      <w:r w:rsidR="00CA7A6A" w:rsidRPr="006571AC">
        <w:rPr>
          <w:rFonts w:hint="cs"/>
          <w:sz w:val="27"/>
          <w:rtl/>
        </w:rPr>
        <w:t>ْ</w:t>
      </w:r>
      <w:r w:rsidRPr="006571AC">
        <w:rPr>
          <w:rFonts w:hint="cs"/>
          <w:sz w:val="27"/>
          <w:rtl/>
        </w:rPr>
        <w:t xml:space="preserve"> بغض</w:t>
      </w:r>
      <w:r w:rsidR="00CA7A6A" w:rsidRPr="006571AC">
        <w:rPr>
          <w:rFonts w:hint="cs"/>
          <w:sz w:val="27"/>
          <w:rtl/>
        </w:rPr>
        <w:t>ّ</w:t>
      </w:r>
      <w:r w:rsidRPr="006571AC">
        <w:rPr>
          <w:rFonts w:hint="cs"/>
          <w:sz w:val="27"/>
          <w:rtl/>
        </w:rPr>
        <w:t xml:space="preserve"> النظر عن صح</w:t>
      </w:r>
      <w:r w:rsidR="00CA7A6A" w:rsidRPr="006571AC">
        <w:rPr>
          <w:rFonts w:hint="cs"/>
          <w:sz w:val="27"/>
          <w:rtl/>
        </w:rPr>
        <w:t>ّ</w:t>
      </w:r>
      <w:r w:rsidRPr="006571AC">
        <w:rPr>
          <w:rFonts w:hint="cs"/>
          <w:sz w:val="27"/>
          <w:rtl/>
        </w:rPr>
        <w:t xml:space="preserve">ة أو سقم هذا الفهم، </w:t>
      </w:r>
      <w:r w:rsidR="00731867" w:rsidRPr="006571AC">
        <w:rPr>
          <w:rFonts w:hint="cs"/>
          <w:sz w:val="27"/>
          <w:rtl/>
        </w:rPr>
        <w:t>لا شَكَّ</w:t>
      </w:r>
      <w:r w:rsidRPr="006571AC">
        <w:rPr>
          <w:rFonts w:hint="cs"/>
          <w:sz w:val="27"/>
          <w:rtl/>
        </w:rPr>
        <w:t xml:space="preserve"> في أصل وجود هذا السياق، وإن</w:t>
      </w:r>
      <w:r w:rsidR="00CA7A6A" w:rsidRPr="006571AC">
        <w:rPr>
          <w:rFonts w:hint="cs"/>
          <w:sz w:val="27"/>
          <w:rtl/>
        </w:rPr>
        <w:t>ْ</w:t>
      </w:r>
      <w:r w:rsidRPr="006571AC">
        <w:rPr>
          <w:rFonts w:hint="cs"/>
          <w:sz w:val="27"/>
          <w:rtl/>
        </w:rPr>
        <w:t xml:space="preserve"> كان هناك </w:t>
      </w:r>
      <w:r w:rsidRPr="006571AC">
        <w:rPr>
          <w:rFonts w:hint="cs"/>
          <w:sz w:val="27"/>
          <w:rtl/>
        </w:rPr>
        <w:lastRenderedPageBreak/>
        <w:t>إشكال</w:t>
      </w:r>
      <w:r w:rsidR="00CA7A6A" w:rsidRPr="006571AC">
        <w:rPr>
          <w:rFonts w:hint="cs"/>
          <w:sz w:val="27"/>
          <w:rtl/>
        </w:rPr>
        <w:t>ٌ</w:t>
      </w:r>
      <w:r w:rsidRPr="006571AC">
        <w:rPr>
          <w:rFonts w:hint="cs"/>
          <w:sz w:val="27"/>
          <w:rtl/>
        </w:rPr>
        <w:t xml:space="preserve"> في قرينيته في خصوص هذا المورد. </w:t>
      </w:r>
    </w:p>
    <w:p w:rsidR="00A75C8B" w:rsidRPr="006571AC" w:rsidRDefault="00A75C8B" w:rsidP="009E7E1F">
      <w:pPr>
        <w:spacing w:line="430" w:lineRule="exact"/>
        <w:rPr>
          <w:sz w:val="27"/>
          <w:rtl/>
        </w:rPr>
      </w:pPr>
    </w:p>
    <w:p w:rsidR="00A75C8B" w:rsidRPr="006571AC" w:rsidRDefault="007E1680" w:rsidP="009C29A7">
      <w:pPr>
        <w:pStyle w:val="31"/>
        <w:rPr>
          <w:color w:val="auto"/>
          <w:rtl/>
        </w:rPr>
      </w:pPr>
      <w:bookmarkStart w:id="95" w:name="_Toc114164584"/>
      <w:r w:rsidRPr="006571AC">
        <w:rPr>
          <w:rFonts w:hint="cs"/>
          <w:color w:val="auto"/>
          <w:rtl/>
        </w:rPr>
        <w:t xml:space="preserve">2ـ </w:t>
      </w:r>
      <w:r w:rsidR="00A75C8B" w:rsidRPr="006571AC">
        <w:rPr>
          <w:rFonts w:hint="cs"/>
          <w:color w:val="auto"/>
          <w:rtl/>
        </w:rPr>
        <w:t>أقسام قرينة السياق</w:t>
      </w:r>
      <w:bookmarkEnd w:id="95"/>
    </w:p>
    <w:p w:rsidR="00A75C8B" w:rsidRPr="006571AC" w:rsidRDefault="00A75C8B" w:rsidP="00A4785A">
      <w:pPr>
        <w:rPr>
          <w:sz w:val="27"/>
          <w:rtl/>
        </w:rPr>
      </w:pPr>
      <w:r w:rsidRPr="006571AC">
        <w:rPr>
          <w:rFonts w:hint="cs"/>
          <w:sz w:val="27"/>
          <w:rtl/>
        </w:rPr>
        <w:t>بعد التعرّ</w:t>
      </w:r>
      <w:r w:rsidR="00CA7A6A" w:rsidRPr="006571AC">
        <w:rPr>
          <w:rFonts w:hint="cs"/>
          <w:sz w:val="27"/>
          <w:rtl/>
        </w:rPr>
        <w:t>ُ</w:t>
      </w:r>
      <w:r w:rsidRPr="006571AC">
        <w:rPr>
          <w:rFonts w:hint="cs"/>
          <w:sz w:val="27"/>
          <w:rtl/>
        </w:rPr>
        <w:t>ف على مختلف أنواع السياق، نصل إلى البحث عن دلالات أنواعه المختلفة. وفي هذا القسم سوف نبحث مختلف أقسام قرينة السياق، حيث تدلّ عليها أنواع السياق</w:t>
      </w:r>
      <w:r w:rsidR="00A4785A" w:rsidRPr="006571AC">
        <w:rPr>
          <w:rFonts w:hint="cs"/>
          <w:sz w:val="27"/>
          <w:rtl/>
        </w:rPr>
        <w:t xml:space="preserve"> المختلفة</w:t>
      </w:r>
      <w:r w:rsidRPr="006571AC">
        <w:rPr>
          <w:rFonts w:hint="cs"/>
          <w:sz w:val="27"/>
          <w:rtl/>
        </w:rPr>
        <w:t xml:space="preserve">. </w:t>
      </w:r>
    </w:p>
    <w:p w:rsidR="00A75C8B" w:rsidRPr="006571AC" w:rsidRDefault="00A75C8B" w:rsidP="009E7E1F">
      <w:pPr>
        <w:spacing w:line="420" w:lineRule="exact"/>
        <w:rPr>
          <w:sz w:val="27"/>
          <w:rtl/>
        </w:rPr>
      </w:pPr>
    </w:p>
    <w:p w:rsidR="00A75C8B" w:rsidRPr="006571AC" w:rsidRDefault="007E1680" w:rsidP="009C29A7">
      <w:pPr>
        <w:pStyle w:val="31"/>
        <w:rPr>
          <w:color w:val="auto"/>
          <w:rtl/>
        </w:rPr>
      </w:pPr>
      <w:bookmarkStart w:id="96" w:name="_Toc114164585"/>
      <w:r w:rsidRPr="006571AC">
        <w:rPr>
          <w:rFonts w:hint="cs"/>
          <w:color w:val="auto"/>
          <w:rtl/>
        </w:rPr>
        <w:t>أـ</w:t>
      </w:r>
      <w:r w:rsidR="00A75C8B" w:rsidRPr="006571AC">
        <w:rPr>
          <w:rFonts w:hint="cs"/>
          <w:color w:val="auto"/>
          <w:rtl/>
        </w:rPr>
        <w:t xml:space="preserve"> الكشف عن المراد الاستعمالي</w:t>
      </w:r>
      <w:bookmarkEnd w:id="96"/>
    </w:p>
    <w:p w:rsidR="00A75C8B" w:rsidRPr="006571AC" w:rsidRDefault="00A75C8B" w:rsidP="00C95139">
      <w:pPr>
        <w:rPr>
          <w:sz w:val="27"/>
          <w:rtl/>
        </w:rPr>
      </w:pPr>
      <w:r w:rsidRPr="006571AC">
        <w:rPr>
          <w:rFonts w:hint="cs"/>
          <w:sz w:val="27"/>
          <w:rtl/>
        </w:rPr>
        <w:t>إن توظيف كشف المراد الاستعمالي واحد</w:t>
      </w:r>
      <w:r w:rsidR="00CA7A6A" w:rsidRPr="006571AC">
        <w:rPr>
          <w:rFonts w:hint="cs"/>
          <w:sz w:val="27"/>
          <w:rtl/>
        </w:rPr>
        <w:t>ٌ</w:t>
      </w:r>
      <w:r w:rsidRPr="006571AC">
        <w:rPr>
          <w:rFonts w:hint="cs"/>
          <w:sz w:val="27"/>
          <w:rtl/>
        </w:rPr>
        <w:t xml:space="preserve"> من أكثر استعمالات قرينة السياق شيوعاً. وفي دلالة المراد الاستعمالي يتم</w:t>
      </w:r>
      <w:r w:rsidR="00CA7A6A" w:rsidRPr="006571AC">
        <w:rPr>
          <w:rFonts w:hint="cs"/>
          <w:sz w:val="27"/>
          <w:rtl/>
        </w:rPr>
        <w:t>ّ</w:t>
      </w:r>
      <w:r w:rsidRPr="006571AC">
        <w:rPr>
          <w:rFonts w:hint="cs"/>
          <w:sz w:val="27"/>
          <w:rtl/>
        </w:rPr>
        <w:t xml:space="preserve"> الكشف عن مواد وهيئات الجملة بواسطة قرينة السياق. </w:t>
      </w:r>
    </w:p>
    <w:p w:rsidR="00A75C8B" w:rsidRPr="006571AC" w:rsidRDefault="00A75C8B" w:rsidP="00C95139">
      <w:pPr>
        <w:rPr>
          <w:sz w:val="27"/>
          <w:rtl/>
        </w:rPr>
      </w:pPr>
      <w:r w:rsidRPr="006571AC">
        <w:rPr>
          <w:rFonts w:hint="cs"/>
          <w:sz w:val="27"/>
          <w:rtl/>
        </w:rPr>
        <w:t>إن الاستفادة من قرينة السياق</w:t>
      </w:r>
      <w:r w:rsidR="00CA7A6A" w:rsidRPr="006571AC">
        <w:rPr>
          <w:rFonts w:hint="cs"/>
          <w:sz w:val="27"/>
          <w:rtl/>
        </w:rPr>
        <w:t>؛</w:t>
      </w:r>
      <w:r w:rsidRPr="006571AC">
        <w:rPr>
          <w:rFonts w:hint="cs"/>
          <w:sz w:val="27"/>
          <w:rtl/>
        </w:rPr>
        <w:t xml:space="preserve"> للكشف عن المراد الاستعمالي، إنما تستعمل إذا كانت الماد</w:t>
      </w:r>
      <w:r w:rsidR="00CA7A6A" w:rsidRPr="006571AC">
        <w:rPr>
          <w:rFonts w:hint="cs"/>
          <w:sz w:val="27"/>
          <w:rtl/>
        </w:rPr>
        <w:t>ّ</w:t>
      </w:r>
      <w:r w:rsidRPr="006571AC">
        <w:rPr>
          <w:rFonts w:hint="cs"/>
          <w:sz w:val="27"/>
          <w:rtl/>
        </w:rPr>
        <w:t>ة أو الهيئة تحتوي على معنيين بشكل</w:t>
      </w:r>
      <w:r w:rsidR="00CA7A6A" w:rsidRPr="006571AC">
        <w:rPr>
          <w:rFonts w:hint="cs"/>
          <w:sz w:val="27"/>
          <w:rtl/>
        </w:rPr>
        <w:t>ٍ</w:t>
      </w:r>
      <w:r w:rsidRPr="006571AC">
        <w:rPr>
          <w:rFonts w:hint="cs"/>
          <w:sz w:val="27"/>
          <w:rtl/>
        </w:rPr>
        <w:t xml:space="preserve"> مشترك على نحو</w:t>
      </w:r>
      <w:r w:rsidR="00CA7A6A" w:rsidRPr="006571AC">
        <w:rPr>
          <w:rFonts w:hint="cs"/>
          <w:sz w:val="27"/>
          <w:rtl/>
        </w:rPr>
        <w:t>ٍ</w:t>
      </w:r>
      <w:r w:rsidRPr="006571AC">
        <w:rPr>
          <w:rFonts w:hint="cs"/>
          <w:sz w:val="27"/>
          <w:rtl/>
        </w:rPr>
        <w:t xml:space="preserve"> لفظي</w:t>
      </w:r>
      <w:r w:rsidR="00CA7A6A" w:rsidRPr="006571AC">
        <w:rPr>
          <w:rFonts w:hint="cs"/>
          <w:sz w:val="27"/>
          <w:rtl/>
        </w:rPr>
        <w:t>ّ</w:t>
      </w:r>
      <w:r w:rsidRPr="006571AC">
        <w:rPr>
          <w:rFonts w:hint="cs"/>
          <w:sz w:val="27"/>
          <w:rtl/>
        </w:rPr>
        <w:t xml:space="preserve"> أو على سبيل الحقيقة والمجاز، فتأتي قرينة السياق لتعيّ</w:t>
      </w:r>
      <w:r w:rsidR="00CA7A6A" w:rsidRPr="006571AC">
        <w:rPr>
          <w:rFonts w:hint="cs"/>
          <w:sz w:val="27"/>
          <w:rtl/>
        </w:rPr>
        <w:t>ِ</w:t>
      </w:r>
      <w:r w:rsidRPr="006571AC">
        <w:rPr>
          <w:rFonts w:hint="cs"/>
          <w:sz w:val="27"/>
          <w:rtl/>
        </w:rPr>
        <w:t xml:space="preserve">ن الاستعمال في أحد المعنيين. </w:t>
      </w:r>
      <w:r w:rsidR="00CA7A6A" w:rsidRPr="006571AC">
        <w:rPr>
          <w:rFonts w:hint="cs"/>
          <w:sz w:val="27"/>
          <w:rtl/>
        </w:rPr>
        <w:t>و</w:t>
      </w:r>
      <w:r w:rsidRPr="006571AC">
        <w:rPr>
          <w:rFonts w:hint="cs"/>
          <w:sz w:val="27"/>
          <w:rtl/>
        </w:rPr>
        <w:t xml:space="preserve">من ذلك </w:t>
      </w:r>
      <w:r w:rsidR="00CA7A6A" w:rsidRPr="006571AC">
        <w:rPr>
          <w:rFonts w:hint="cs"/>
          <w:sz w:val="27"/>
          <w:rtl/>
        </w:rPr>
        <w:t>ـ على سبيل المثال ـ أن صاحب الفصول،</w:t>
      </w:r>
      <w:r w:rsidRPr="006571AC">
        <w:rPr>
          <w:rFonts w:hint="cs"/>
          <w:sz w:val="27"/>
          <w:rtl/>
        </w:rPr>
        <w:t xml:space="preserve"> في ذيل قوله تعالى: </w:t>
      </w:r>
      <w:r w:rsidRPr="006571AC">
        <w:rPr>
          <w:rFonts w:ascii="Mosawi" w:hAnsi="Mosawi" w:cs="Mosawi"/>
          <w:b/>
          <w:bCs/>
          <w:sz w:val="24"/>
          <w:szCs w:val="24"/>
          <w:rtl/>
        </w:rPr>
        <w:t>﴿</w:t>
      </w:r>
      <w:r w:rsidRPr="006571AC">
        <w:rPr>
          <w:rFonts w:hint="cs"/>
          <w:b/>
          <w:bCs/>
          <w:sz w:val="27"/>
          <w:rtl/>
        </w:rPr>
        <w:t>...</w:t>
      </w:r>
      <w:r w:rsidRPr="006571AC">
        <w:rPr>
          <w:b/>
          <w:bCs/>
          <w:sz w:val="27"/>
          <w:rtl/>
        </w:rPr>
        <w:t xml:space="preserve">فَأَتَاهُمُ </w:t>
      </w:r>
      <w:r w:rsidR="0097633B" w:rsidRPr="006571AC">
        <w:rPr>
          <w:b/>
          <w:bCs/>
          <w:sz w:val="27"/>
          <w:rtl/>
        </w:rPr>
        <w:t>الل</w:t>
      </w:r>
      <w:r w:rsidRPr="006571AC">
        <w:rPr>
          <w:b/>
          <w:bCs/>
          <w:sz w:val="27"/>
          <w:rtl/>
        </w:rPr>
        <w:t>هُ مِنْ حَيْثُ لَمْ يَحْتَسِبُوا وَقَذَفَ فِي قُلُوبِهِمُ الرُّعْبَ يُخْرِبُونَ بُيُوتَهُمْ بِأَيْدِيهِمْ وَأَيْدِي الْمُؤْمِنِ</w:t>
      </w:r>
      <w:r w:rsidR="00CA7A6A" w:rsidRPr="006571AC">
        <w:rPr>
          <w:b/>
          <w:bCs/>
          <w:sz w:val="27"/>
          <w:rtl/>
        </w:rPr>
        <w:t>ينَ فَاعْتَبِرُوا يَا أُولِي ال</w:t>
      </w:r>
      <w:r w:rsidRPr="006571AC">
        <w:rPr>
          <w:b/>
          <w:bCs/>
          <w:sz w:val="27"/>
          <w:rtl/>
        </w:rPr>
        <w:t>أَبْصَار</w:t>
      </w:r>
      <w:r w:rsidRPr="006571AC">
        <w:rPr>
          <w:sz w:val="27"/>
          <w:rtl/>
        </w:rPr>
        <w:t>ِ</w:t>
      </w:r>
      <w:r w:rsidRPr="006571AC">
        <w:rPr>
          <w:rFonts w:ascii="Mosawi" w:hAnsi="Mosawi" w:cs="Mosawi"/>
          <w:sz w:val="24"/>
          <w:szCs w:val="24"/>
          <w:rtl/>
        </w:rPr>
        <w:t>﴾</w:t>
      </w:r>
      <w:r w:rsidRPr="006571AC">
        <w:rPr>
          <w:rFonts w:hint="cs"/>
          <w:sz w:val="27"/>
          <w:rtl/>
        </w:rPr>
        <w:t xml:space="preserve"> (الحشر: 2)</w:t>
      </w:r>
      <w:r w:rsidRPr="006571AC">
        <w:rPr>
          <w:sz w:val="27"/>
          <w:rtl/>
        </w:rPr>
        <w:t xml:space="preserve"> </w:t>
      </w:r>
      <w:r w:rsidRPr="006571AC">
        <w:rPr>
          <w:rFonts w:hint="cs"/>
          <w:sz w:val="27"/>
          <w:rtl/>
        </w:rPr>
        <w:t>ـ في نقده لأولئك الذين فسّ</w:t>
      </w:r>
      <w:r w:rsidR="00CA7A6A" w:rsidRPr="006571AC">
        <w:rPr>
          <w:rFonts w:hint="cs"/>
          <w:sz w:val="27"/>
          <w:rtl/>
        </w:rPr>
        <w:t>َ</w:t>
      </w:r>
      <w:r w:rsidRPr="006571AC">
        <w:rPr>
          <w:rFonts w:hint="cs"/>
          <w:sz w:val="27"/>
          <w:rtl/>
        </w:rPr>
        <w:t>روا الاعتبار بمعنى العبور والتجاوز، مت</w:t>
      </w:r>
      <w:r w:rsidR="00CA7A6A" w:rsidRPr="006571AC">
        <w:rPr>
          <w:rFonts w:hint="cs"/>
          <w:sz w:val="27"/>
          <w:rtl/>
        </w:rPr>
        <w:t>َّ</w:t>
      </w:r>
      <w:r w:rsidRPr="006571AC">
        <w:rPr>
          <w:rFonts w:hint="cs"/>
          <w:sz w:val="27"/>
          <w:rtl/>
        </w:rPr>
        <w:t>خذين ذلك مستنداً للقول بحج</w:t>
      </w:r>
      <w:r w:rsidR="00CA7A6A" w:rsidRPr="006571AC">
        <w:rPr>
          <w:rFonts w:hint="cs"/>
          <w:sz w:val="27"/>
          <w:rtl/>
        </w:rPr>
        <w:t>ِّ</w:t>
      </w:r>
      <w:r w:rsidRPr="006571AC">
        <w:rPr>
          <w:rFonts w:hint="cs"/>
          <w:sz w:val="27"/>
          <w:rtl/>
        </w:rPr>
        <w:t>ية القياس (العبور من الحكم الأصلي إلى الحكم الفرعي) ـ</w:t>
      </w:r>
      <w:r w:rsidR="00CA7A6A" w:rsidRPr="006571AC">
        <w:rPr>
          <w:rFonts w:hint="cs"/>
          <w:sz w:val="27"/>
          <w:rtl/>
        </w:rPr>
        <w:t>،</w:t>
      </w:r>
      <w:r w:rsidRPr="006571AC">
        <w:rPr>
          <w:rFonts w:hint="cs"/>
          <w:sz w:val="27"/>
          <w:rtl/>
        </w:rPr>
        <w:t xml:space="preserve"> قال: </w:t>
      </w:r>
      <w:r w:rsidRPr="006571AC">
        <w:rPr>
          <w:rFonts w:hint="eastAsia"/>
          <w:sz w:val="24"/>
          <w:szCs w:val="24"/>
          <w:rtl/>
        </w:rPr>
        <w:t>«</w:t>
      </w:r>
      <w:r w:rsidRPr="006571AC">
        <w:rPr>
          <w:sz w:val="27"/>
          <w:rtl/>
        </w:rPr>
        <w:t>إن المراد من الاعتبار هنا</w:t>
      </w:r>
      <w:r w:rsidR="004E3D9F" w:rsidRPr="006571AC">
        <w:rPr>
          <w:rFonts w:hint="cs"/>
          <w:sz w:val="27"/>
          <w:rtl/>
        </w:rPr>
        <w:t>؛</w:t>
      </w:r>
      <w:r w:rsidRPr="006571AC">
        <w:rPr>
          <w:sz w:val="27"/>
          <w:rtl/>
        </w:rPr>
        <w:t xml:space="preserve"> بقرينة السياق والتفريع، هو الات</w:t>
      </w:r>
      <w:r w:rsidR="004E3D9F" w:rsidRPr="006571AC">
        <w:rPr>
          <w:rFonts w:hint="cs"/>
          <w:sz w:val="27"/>
          <w:rtl/>
        </w:rPr>
        <w:t>ِّ</w:t>
      </w:r>
      <w:r w:rsidR="004E3D9F" w:rsidRPr="006571AC">
        <w:rPr>
          <w:sz w:val="27"/>
          <w:rtl/>
        </w:rPr>
        <w:t>عاظ؛ إذ لو</w:t>
      </w:r>
      <w:r w:rsidRPr="006571AC">
        <w:rPr>
          <w:sz w:val="27"/>
          <w:rtl/>
        </w:rPr>
        <w:t>لا ذلك ما كان هناك محصّ</w:t>
      </w:r>
      <w:r w:rsidR="004E3D9F" w:rsidRPr="006571AC">
        <w:rPr>
          <w:rFonts w:hint="cs"/>
          <w:sz w:val="27"/>
          <w:rtl/>
        </w:rPr>
        <w:t>َ</w:t>
      </w:r>
      <w:r w:rsidRPr="006571AC">
        <w:rPr>
          <w:sz w:val="27"/>
          <w:rtl/>
        </w:rPr>
        <w:t>ل</w:t>
      </w:r>
      <w:r w:rsidR="004E3D9F" w:rsidRPr="006571AC">
        <w:rPr>
          <w:rFonts w:hint="cs"/>
          <w:sz w:val="27"/>
          <w:rtl/>
        </w:rPr>
        <w:t>ٌ</w:t>
      </w:r>
      <w:r w:rsidRPr="006571AC">
        <w:rPr>
          <w:sz w:val="27"/>
          <w:rtl/>
        </w:rPr>
        <w:t xml:space="preserve"> لقوله تعالى: </w:t>
      </w:r>
      <w:r w:rsidRPr="006571AC">
        <w:rPr>
          <w:rFonts w:ascii="Mosawi" w:hAnsi="Mosawi" w:cs="Mosawi"/>
          <w:sz w:val="24"/>
          <w:szCs w:val="24"/>
          <w:rtl/>
        </w:rPr>
        <w:t>﴿</w:t>
      </w:r>
      <w:r w:rsidRPr="006571AC">
        <w:rPr>
          <w:b/>
          <w:bCs/>
          <w:sz w:val="27"/>
          <w:rtl/>
        </w:rPr>
        <w:t>يُخْرِبُونَ بُيُوتَهُمْ بِأَيْدِيهِمْ وَأَيْدِي الْمُؤْمِنِينَ</w:t>
      </w:r>
      <w:r w:rsidRPr="006571AC">
        <w:rPr>
          <w:rFonts w:ascii="Mosawi" w:hAnsi="Mosawi" w:cs="Mosawi"/>
          <w:sz w:val="24"/>
          <w:szCs w:val="24"/>
          <w:rtl/>
        </w:rPr>
        <w:t>﴾</w:t>
      </w:r>
      <w:r w:rsidRPr="006571AC">
        <w:rPr>
          <w:rFonts w:hint="eastAsia"/>
          <w:sz w:val="24"/>
          <w:szCs w:val="24"/>
          <w:rtl/>
        </w:rPr>
        <w:t>»</w:t>
      </w:r>
      <w:r w:rsidRPr="006571AC">
        <w:rPr>
          <w:sz w:val="27"/>
          <w:vertAlign w:val="superscript"/>
          <w:rtl/>
        </w:rPr>
        <w:t>(</w:t>
      </w:r>
      <w:r w:rsidRPr="006571AC">
        <w:rPr>
          <w:rStyle w:val="ac"/>
          <w:sz w:val="27"/>
          <w:rtl/>
        </w:rPr>
        <w:endnoteReference w:id="198"/>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 xml:space="preserve">كما ذهب السيد الحكيم، في ذيل الحديث القائل: </w:t>
      </w:r>
      <w:r w:rsidRPr="006571AC">
        <w:rPr>
          <w:rFonts w:hint="eastAsia"/>
          <w:sz w:val="24"/>
          <w:szCs w:val="24"/>
          <w:rtl/>
        </w:rPr>
        <w:t>«</w:t>
      </w:r>
      <w:r w:rsidRPr="006571AC">
        <w:rPr>
          <w:rFonts w:hint="cs"/>
          <w:sz w:val="27"/>
          <w:rtl/>
        </w:rPr>
        <w:t>فإن الله تعالى جعل التراب طهوراً كما جعل الماء طهوراً</w:t>
      </w:r>
      <w:r w:rsidRPr="006571AC">
        <w:rPr>
          <w:rFonts w:hint="eastAsia"/>
          <w:sz w:val="24"/>
          <w:szCs w:val="24"/>
          <w:rtl/>
        </w:rPr>
        <w:t>»</w:t>
      </w:r>
      <w:r w:rsidRPr="006571AC">
        <w:rPr>
          <w:sz w:val="27"/>
          <w:vertAlign w:val="superscript"/>
          <w:rtl/>
        </w:rPr>
        <w:t>(</w:t>
      </w:r>
      <w:r w:rsidRPr="006571AC">
        <w:rPr>
          <w:rStyle w:val="ac"/>
          <w:sz w:val="27"/>
          <w:rtl/>
        </w:rPr>
        <w:endnoteReference w:id="199"/>
      </w:r>
      <w:r w:rsidRPr="006571AC">
        <w:rPr>
          <w:sz w:val="27"/>
          <w:vertAlign w:val="superscript"/>
          <w:rtl/>
        </w:rPr>
        <w:t>)</w:t>
      </w:r>
      <w:r w:rsidRPr="006571AC">
        <w:rPr>
          <w:sz w:val="27"/>
          <w:rtl/>
        </w:rPr>
        <w:t xml:space="preserve"> </w:t>
      </w:r>
      <w:r w:rsidRPr="006571AC">
        <w:rPr>
          <w:rFonts w:hint="cs"/>
          <w:sz w:val="27"/>
          <w:rtl/>
        </w:rPr>
        <w:t>ـ في سياق نفي احتمال الجعل التكويني لطهارة الماء ـ</w:t>
      </w:r>
      <w:r w:rsidR="004E3D9F" w:rsidRPr="006571AC">
        <w:rPr>
          <w:rFonts w:hint="cs"/>
          <w:sz w:val="27"/>
          <w:rtl/>
        </w:rPr>
        <w:t>،</w:t>
      </w:r>
      <w:r w:rsidRPr="006571AC">
        <w:rPr>
          <w:rFonts w:hint="cs"/>
          <w:sz w:val="27"/>
          <w:rtl/>
        </w:rPr>
        <w:t xml:space="preserve"> </w:t>
      </w:r>
      <w:r w:rsidR="004E3D9F" w:rsidRPr="006571AC">
        <w:rPr>
          <w:rFonts w:hint="cs"/>
          <w:sz w:val="27"/>
          <w:rtl/>
        </w:rPr>
        <w:t>إلى القول</w:t>
      </w:r>
      <w:r w:rsidRPr="006571AC">
        <w:rPr>
          <w:rFonts w:hint="cs"/>
          <w:sz w:val="27"/>
          <w:rtl/>
        </w:rPr>
        <w:t xml:space="preserve">: </w:t>
      </w:r>
      <w:r w:rsidRPr="006571AC">
        <w:rPr>
          <w:rFonts w:hint="eastAsia"/>
          <w:sz w:val="24"/>
          <w:szCs w:val="24"/>
          <w:rtl/>
        </w:rPr>
        <w:t>«</w:t>
      </w:r>
      <w:r w:rsidRPr="006571AC">
        <w:rPr>
          <w:rFonts w:hint="cs"/>
          <w:sz w:val="27"/>
          <w:rtl/>
        </w:rPr>
        <w:t>لقرينة السياق يجب حمل الجعل على الجعل التشريعي</w:t>
      </w:r>
      <w:r w:rsidR="004E3D9F" w:rsidRPr="006571AC">
        <w:rPr>
          <w:rFonts w:hint="cs"/>
          <w:sz w:val="27"/>
          <w:rtl/>
        </w:rPr>
        <w:t>،</w:t>
      </w:r>
      <w:r w:rsidRPr="006571AC">
        <w:rPr>
          <w:rFonts w:hint="cs"/>
          <w:sz w:val="27"/>
          <w:rtl/>
        </w:rPr>
        <w:t xml:space="preserve"> لا التكويني؛ وذلك لأن مطه</w:t>
      </w:r>
      <w:r w:rsidR="004E3D9F" w:rsidRPr="006571AC">
        <w:rPr>
          <w:rFonts w:hint="cs"/>
          <w:sz w:val="27"/>
          <w:rtl/>
        </w:rPr>
        <w:t>ِّ</w:t>
      </w:r>
      <w:r w:rsidRPr="006571AC">
        <w:rPr>
          <w:rFonts w:hint="cs"/>
          <w:sz w:val="27"/>
          <w:rtl/>
        </w:rPr>
        <w:t>رية التراب ـ كما يُف</w:t>
      </w:r>
      <w:r w:rsidR="004E3D9F" w:rsidRPr="006571AC">
        <w:rPr>
          <w:rFonts w:hint="cs"/>
          <w:sz w:val="27"/>
          <w:rtl/>
        </w:rPr>
        <w:t>ْ</w:t>
      </w:r>
      <w:r w:rsidRPr="006571AC">
        <w:rPr>
          <w:rFonts w:hint="cs"/>
          <w:sz w:val="27"/>
          <w:rtl/>
        </w:rPr>
        <w:t>ه</w:t>
      </w:r>
      <w:r w:rsidR="004E3D9F" w:rsidRPr="006571AC">
        <w:rPr>
          <w:rFonts w:hint="cs"/>
          <w:sz w:val="27"/>
          <w:rtl/>
        </w:rPr>
        <w:t>َ</w:t>
      </w:r>
      <w:r w:rsidRPr="006571AC">
        <w:rPr>
          <w:rFonts w:hint="cs"/>
          <w:sz w:val="27"/>
          <w:rtl/>
        </w:rPr>
        <w:t>م من النصوص الأخرى ـ تشريعية</w:t>
      </w:r>
      <w:r w:rsidR="004E3D9F" w:rsidRPr="006571AC">
        <w:rPr>
          <w:rFonts w:hint="cs"/>
          <w:sz w:val="27"/>
          <w:rtl/>
        </w:rPr>
        <w:t>،</w:t>
      </w:r>
      <w:r w:rsidRPr="006571AC">
        <w:rPr>
          <w:rFonts w:hint="cs"/>
          <w:sz w:val="27"/>
          <w:rtl/>
        </w:rPr>
        <w:t xml:space="preserve"> وليست تكوينية</w:t>
      </w:r>
      <w:r w:rsidRPr="006571AC">
        <w:rPr>
          <w:rFonts w:hint="eastAsia"/>
          <w:sz w:val="24"/>
          <w:szCs w:val="24"/>
          <w:rtl/>
        </w:rPr>
        <w:t>»</w:t>
      </w:r>
      <w:r w:rsidRPr="006571AC">
        <w:rPr>
          <w:sz w:val="27"/>
          <w:vertAlign w:val="superscript"/>
          <w:rtl/>
        </w:rPr>
        <w:t>(</w:t>
      </w:r>
      <w:r w:rsidRPr="006571AC">
        <w:rPr>
          <w:rStyle w:val="ac"/>
          <w:sz w:val="27"/>
          <w:rtl/>
        </w:rPr>
        <w:endnoteReference w:id="200"/>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083599" w:rsidP="009C29A7">
      <w:pPr>
        <w:pStyle w:val="31"/>
        <w:rPr>
          <w:color w:val="auto"/>
          <w:rtl/>
        </w:rPr>
      </w:pPr>
      <w:bookmarkStart w:id="97" w:name="_Toc114164586"/>
      <w:r w:rsidRPr="006571AC">
        <w:rPr>
          <w:rFonts w:hint="cs"/>
          <w:color w:val="auto"/>
          <w:rtl/>
        </w:rPr>
        <w:lastRenderedPageBreak/>
        <w:t>ب ـ</w:t>
      </w:r>
      <w:r w:rsidR="00A75C8B" w:rsidRPr="006571AC">
        <w:rPr>
          <w:rFonts w:hint="cs"/>
          <w:color w:val="auto"/>
          <w:rtl/>
        </w:rPr>
        <w:t xml:space="preserve"> الكشف عن المراد الج</w:t>
      </w:r>
      <w:r w:rsidR="004E3D9F" w:rsidRPr="006571AC">
        <w:rPr>
          <w:rFonts w:hint="cs"/>
          <w:color w:val="auto"/>
          <w:rtl/>
        </w:rPr>
        <w:t>ِ</w:t>
      </w:r>
      <w:r w:rsidR="00A75C8B" w:rsidRPr="006571AC">
        <w:rPr>
          <w:rFonts w:hint="cs"/>
          <w:color w:val="auto"/>
          <w:rtl/>
        </w:rPr>
        <w:t>د</w:t>
      </w:r>
      <w:r w:rsidR="004E3D9F" w:rsidRPr="006571AC">
        <w:rPr>
          <w:rFonts w:hint="cs"/>
          <w:color w:val="auto"/>
          <w:rtl/>
        </w:rPr>
        <w:t>ّ</w:t>
      </w:r>
      <w:r w:rsidR="00A75C8B" w:rsidRPr="006571AC">
        <w:rPr>
          <w:rFonts w:hint="cs"/>
          <w:color w:val="auto"/>
          <w:rtl/>
        </w:rPr>
        <w:t>ي</w:t>
      </w:r>
      <w:bookmarkEnd w:id="97"/>
    </w:p>
    <w:p w:rsidR="00A75C8B" w:rsidRPr="006571AC" w:rsidRDefault="00A75C8B" w:rsidP="00C95139">
      <w:pPr>
        <w:rPr>
          <w:sz w:val="27"/>
          <w:rtl/>
        </w:rPr>
      </w:pPr>
      <w:r w:rsidRPr="006571AC">
        <w:rPr>
          <w:rFonts w:hint="cs"/>
          <w:sz w:val="27"/>
          <w:rtl/>
        </w:rPr>
        <w:t>إن من بين الموارد الأخرى لاستعمال قرينة السياق هو الكشف عن المراد الج</w:t>
      </w:r>
      <w:r w:rsidR="004E3D9F" w:rsidRPr="006571AC">
        <w:rPr>
          <w:rFonts w:hint="cs"/>
          <w:sz w:val="27"/>
          <w:rtl/>
        </w:rPr>
        <w:t>ِ</w:t>
      </w:r>
      <w:r w:rsidRPr="006571AC">
        <w:rPr>
          <w:rFonts w:hint="cs"/>
          <w:sz w:val="27"/>
          <w:rtl/>
        </w:rPr>
        <w:t>د</w:t>
      </w:r>
      <w:r w:rsidR="004E3D9F" w:rsidRPr="006571AC">
        <w:rPr>
          <w:rFonts w:hint="cs"/>
          <w:sz w:val="27"/>
          <w:rtl/>
        </w:rPr>
        <w:t>ّ</w:t>
      </w:r>
      <w:r w:rsidRPr="006571AC">
        <w:rPr>
          <w:rFonts w:hint="cs"/>
          <w:sz w:val="27"/>
          <w:rtl/>
        </w:rPr>
        <w:t>ي</w:t>
      </w:r>
      <w:r w:rsidR="004E3D9F" w:rsidRPr="006571AC">
        <w:rPr>
          <w:rFonts w:hint="cs"/>
          <w:sz w:val="27"/>
          <w:rtl/>
        </w:rPr>
        <w:t>،</w:t>
      </w:r>
      <w:r w:rsidRPr="006571AC">
        <w:rPr>
          <w:rFonts w:hint="cs"/>
          <w:sz w:val="27"/>
          <w:rtl/>
        </w:rPr>
        <w:t xml:space="preserve"> دون التصرّف في المراد الاستعمالي. </w:t>
      </w:r>
      <w:r w:rsidR="004E3D9F" w:rsidRPr="006571AC">
        <w:rPr>
          <w:rFonts w:hint="cs"/>
          <w:sz w:val="27"/>
          <w:rtl/>
        </w:rPr>
        <w:t>و</w:t>
      </w:r>
      <w:r w:rsidRPr="006571AC">
        <w:rPr>
          <w:rFonts w:hint="cs"/>
          <w:sz w:val="27"/>
          <w:rtl/>
        </w:rPr>
        <w:t xml:space="preserve">من ذلك مثلاً أن السيد الخميني، في ذيل قوله تعالى: </w:t>
      </w:r>
      <w:r w:rsidRPr="006571AC">
        <w:rPr>
          <w:rFonts w:ascii="Mosawi" w:hAnsi="Mosawi" w:cs="Mosawi"/>
          <w:sz w:val="24"/>
          <w:szCs w:val="24"/>
          <w:rtl/>
        </w:rPr>
        <w:t>﴿</w:t>
      </w:r>
      <w:r w:rsidRPr="006571AC">
        <w:rPr>
          <w:b/>
          <w:bCs/>
          <w:sz w:val="27"/>
          <w:rtl/>
        </w:rPr>
        <w:t>وَمَا كُنَّا مُعَذِّبِينَ حَتَّى نَبْعَثَ رَسُولاً</w:t>
      </w:r>
      <w:r w:rsidRPr="006571AC">
        <w:rPr>
          <w:rFonts w:ascii="Mosawi" w:hAnsi="Mosawi" w:cs="Mosawi"/>
          <w:sz w:val="24"/>
          <w:szCs w:val="24"/>
          <w:rtl/>
        </w:rPr>
        <w:t>﴾</w:t>
      </w:r>
      <w:r w:rsidRPr="006571AC">
        <w:rPr>
          <w:rFonts w:hint="cs"/>
          <w:sz w:val="27"/>
          <w:rtl/>
        </w:rPr>
        <w:t xml:space="preserve"> (الإسراء: 15)</w:t>
      </w:r>
      <w:r w:rsidRPr="006571AC">
        <w:rPr>
          <w:sz w:val="27"/>
          <w:rtl/>
        </w:rPr>
        <w:t>،</w:t>
      </w:r>
      <w:r w:rsidRPr="006571AC">
        <w:rPr>
          <w:rFonts w:hint="cs"/>
          <w:sz w:val="27"/>
          <w:rtl/>
        </w:rPr>
        <w:t xml:space="preserve"> قال: </w:t>
      </w:r>
      <w:r w:rsidRPr="006571AC">
        <w:rPr>
          <w:rFonts w:hint="eastAsia"/>
          <w:sz w:val="24"/>
          <w:szCs w:val="24"/>
          <w:rtl/>
        </w:rPr>
        <w:t>«</w:t>
      </w:r>
      <w:r w:rsidRPr="006571AC">
        <w:rPr>
          <w:rFonts w:hint="cs"/>
          <w:sz w:val="27"/>
          <w:rtl/>
        </w:rPr>
        <w:t>إن المراد من العذاب هو العذاب الأخروي؛ لوروده في سياق الآيات المرتبطة بيوم القيامة</w:t>
      </w:r>
      <w:r w:rsidRPr="006571AC">
        <w:rPr>
          <w:rFonts w:hint="eastAsia"/>
          <w:sz w:val="24"/>
          <w:szCs w:val="24"/>
          <w:rtl/>
        </w:rPr>
        <w:t>»</w:t>
      </w:r>
      <w:r w:rsidRPr="006571AC">
        <w:rPr>
          <w:sz w:val="27"/>
          <w:vertAlign w:val="superscript"/>
          <w:rtl/>
        </w:rPr>
        <w:t>(</w:t>
      </w:r>
      <w:r w:rsidRPr="006571AC">
        <w:rPr>
          <w:rStyle w:val="ac"/>
          <w:sz w:val="27"/>
          <w:rtl/>
        </w:rPr>
        <w:endnoteReference w:id="201"/>
      </w:r>
      <w:r w:rsidRPr="006571AC">
        <w:rPr>
          <w:sz w:val="27"/>
          <w:vertAlign w:val="superscript"/>
          <w:rtl/>
        </w:rPr>
        <w:t>)</w:t>
      </w:r>
      <w:r w:rsidRPr="006571AC">
        <w:rPr>
          <w:sz w:val="27"/>
          <w:rtl/>
        </w:rPr>
        <w:t>.</w:t>
      </w:r>
      <w:r w:rsidRPr="006571AC">
        <w:rPr>
          <w:rFonts w:hint="cs"/>
          <w:sz w:val="27"/>
          <w:rtl/>
        </w:rPr>
        <w:t xml:space="preserve"> إن المراد الاستعمالي من كلمة العذاب هو مطلق العذاب قطعاً، وإلا</w:t>
      </w:r>
      <w:r w:rsidR="004E3D9F" w:rsidRPr="006571AC">
        <w:rPr>
          <w:rFonts w:hint="cs"/>
          <w:sz w:val="27"/>
          <w:rtl/>
        </w:rPr>
        <w:t>ّ</w:t>
      </w:r>
      <w:r w:rsidRPr="006571AC">
        <w:rPr>
          <w:rFonts w:hint="cs"/>
          <w:sz w:val="27"/>
          <w:rtl/>
        </w:rPr>
        <w:t xml:space="preserve"> كان من استعمال اللفظ في المصداق مجازاً، بل إن المراد الج</w:t>
      </w:r>
      <w:r w:rsidR="004E3D9F" w:rsidRPr="006571AC">
        <w:rPr>
          <w:rFonts w:hint="cs"/>
          <w:sz w:val="27"/>
          <w:rtl/>
        </w:rPr>
        <w:t>ِ</w:t>
      </w:r>
      <w:r w:rsidRPr="006571AC">
        <w:rPr>
          <w:rFonts w:hint="cs"/>
          <w:sz w:val="27"/>
          <w:rtl/>
        </w:rPr>
        <w:t>دّي من العذاب ـ بالنظر إلى مجموع الجملة ـ قد اختص</w:t>
      </w:r>
      <w:r w:rsidR="004E3D9F" w:rsidRPr="006571AC">
        <w:rPr>
          <w:rFonts w:hint="cs"/>
          <w:sz w:val="27"/>
          <w:rtl/>
        </w:rPr>
        <w:t>ّ</w:t>
      </w:r>
      <w:r w:rsidRPr="006571AC">
        <w:rPr>
          <w:rFonts w:hint="cs"/>
          <w:sz w:val="27"/>
          <w:rtl/>
        </w:rPr>
        <w:t xml:space="preserve"> بالعذاب الأخروي. </w:t>
      </w:r>
    </w:p>
    <w:p w:rsidR="00A75C8B" w:rsidRPr="006571AC" w:rsidRDefault="00A75C8B" w:rsidP="00A4785A">
      <w:pPr>
        <w:rPr>
          <w:sz w:val="27"/>
          <w:rtl/>
        </w:rPr>
      </w:pPr>
      <w:r w:rsidRPr="006571AC">
        <w:rPr>
          <w:rFonts w:hint="cs"/>
          <w:sz w:val="27"/>
          <w:rtl/>
        </w:rPr>
        <w:t xml:space="preserve">لقد بحث السيد الشهيد محمد باقر الصدر في أقسام السياق بمناسبة البحث </w:t>
      </w:r>
      <w:r w:rsidR="00A4785A" w:rsidRPr="006571AC">
        <w:rPr>
          <w:rFonts w:hint="cs"/>
          <w:sz w:val="27"/>
          <w:rtl/>
        </w:rPr>
        <w:t>في</w:t>
      </w:r>
      <w:r w:rsidRPr="006571AC">
        <w:rPr>
          <w:rFonts w:hint="cs"/>
          <w:sz w:val="27"/>
          <w:rtl/>
        </w:rPr>
        <w:t xml:space="preserve"> حديث الرفع. ور</w:t>
      </w:r>
      <w:r w:rsidR="004E3D9F" w:rsidRPr="006571AC">
        <w:rPr>
          <w:rFonts w:hint="cs"/>
          <w:sz w:val="27"/>
          <w:rtl/>
        </w:rPr>
        <w:t>ُ</w:t>
      </w:r>
      <w:r w:rsidRPr="006571AC">
        <w:rPr>
          <w:rFonts w:hint="cs"/>
          <w:sz w:val="27"/>
          <w:rtl/>
        </w:rPr>
        <w:t>ب</w:t>
      </w:r>
      <w:r w:rsidR="004E3D9F" w:rsidRPr="006571AC">
        <w:rPr>
          <w:rFonts w:hint="cs"/>
          <w:sz w:val="27"/>
          <w:rtl/>
        </w:rPr>
        <w:t>َ</w:t>
      </w:r>
      <w:r w:rsidRPr="006571AC">
        <w:rPr>
          <w:rFonts w:hint="cs"/>
          <w:sz w:val="27"/>
          <w:rtl/>
        </w:rPr>
        <w:t>ما أمكن القول: إن الم</w:t>
      </w:r>
      <w:r w:rsidR="00A4785A" w:rsidRPr="006571AC">
        <w:rPr>
          <w:rFonts w:hint="cs"/>
          <w:sz w:val="27"/>
          <w:rtl/>
        </w:rPr>
        <w:t>وضع</w:t>
      </w:r>
      <w:r w:rsidRPr="006571AC">
        <w:rPr>
          <w:rFonts w:hint="cs"/>
          <w:sz w:val="27"/>
          <w:rtl/>
        </w:rPr>
        <w:t xml:space="preserve"> الوحيد الذي ي</w:t>
      </w:r>
      <w:r w:rsidR="00A4785A" w:rsidRPr="006571AC">
        <w:rPr>
          <w:rFonts w:hint="cs"/>
          <w:sz w:val="27"/>
          <w:rtl/>
        </w:rPr>
        <w:t>تناول</w:t>
      </w:r>
      <w:r w:rsidRPr="006571AC">
        <w:rPr>
          <w:rFonts w:hint="cs"/>
          <w:sz w:val="27"/>
          <w:rtl/>
        </w:rPr>
        <w:t xml:space="preserve"> أقسام السياق في علم الأصول هو</w:t>
      </w:r>
      <w:r w:rsidRPr="006571AC">
        <w:rPr>
          <w:sz w:val="27"/>
          <w:rtl/>
        </w:rPr>
        <w:t xml:space="preserve"> هذا المورد</w:t>
      </w:r>
      <w:r w:rsidRPr="006571AC">
        <w:rPr>
          <w:rFonts w:hint="cs"/>
          <w:sz w:val="27"/>
          <w:rtl/>
        </w:rPr>
        <w:t>. فقد أشار سماحته إلى قسم</w:t>
      </w:r>
      <w:r w:rsidR="004E3D9F" w:rsidRPr="006571AC">
        <w:rPr>
          <w:rFonts w:hint="cs"/>
          <w:sz w:val="27"/>
          <w:rtl/>
        </w:rPr>
        <w:t>َ</w:t>
      </w:r>
      <w:r w:rsidRPr="006571AC">
        <w:rPr>
          <w:rFonts w:hint="cs"/>
          <w:sz w:val="27"/>
          <w:rtl/>
        </w:rPr>
        <w:t>ي</w:t>
      </w:r>
      <w:r w:rsidR="004E3D9F" w:rsidRPr="006571AC">
        <w:rPr>
          <w:rFonts w:hint="cs"/>
          <w:sz w:val="27"/>
          <w:rtl/>
        </w:rPr>
        <w:t>ْ</w:t>
      </w:r>
      <w:r w:rsidRPr="006571AC">
        <w:rPr>
          <w:rFonts w:hint="cs"/>
          <w:sz w:val="27"/>
          <w:rtl/>
        </w:rPr>
        <w:t xml:space="preserve"> الكشف عن المراد الاستعمالي والكشف عن المراد الج</w:t>
      </w:r>
      <w:r w:rsidR="004E3D9F" w:rsidRPr="006571AC">
        <w:rPr>
          <w:rFonts w:hint="cs"/>
          <w:sz w:val="27"/>
          <w:rtl/>
        </w:rPr>
        <w:t>ِ</w:t>
      </w:r>
      <w:r w:rsidRPr="006571AC">
        <w:rPr>
          <w:rFonts w:hint="cs"/>
          <w:sz w:val="27"/>
          <w:rtl/>
        </w:rPr>
        <w:t>د</w:t>
      </w:r>
      <w:r w:rsidR="004E3D9F" w:rsidRPr="006571AC">
        <w:rPr>
          <w:rFonts w:hint="cs"/>
          <w:sz w:val="27"/>
          <w:rtl/>
        </w:rPr>
        <w:t>ّ</w:t>
      </w:r>
      <w:r w:rsidRPr="006571AC">
        <w:rPr>
          <w:rFonts w:hint="cs"/>
          <w:sz w:val="27"/>
          <w:rtl/>
        </w:rPr>
        <w:t xml:space="preserve">ي، </w:t>
      </w:r>
      <w:r w:rsidR="00731867" w:rsidRPr="006571AC">
        <w:rPr>
          <w:rFonts w:hint="cs"/>
          <w:sz w:val="27"/>
          <w:rtl/>
        </w:rPr>
        <w:t>بَيْدَ</w:t>
      </w:r>
      <w:r w:rsidRPr="006571AC">
        <w:rPr>
          <w:rFonts w:hint="cs"/>
          <w:sz w:val="27"/>
          <w:rtl/>
        </w:rPr>
        <w:t xml:space="preserve"> أن كلام سماحته إنما هو في قسم السياق الترتّ</w:t>
      </w:r>
      <w:r w:rsidR="004E3D9F" w:rsidRPr="006571AC">
        <w:rPr>
          <w:rFonts w:hint="cs"/>
          <w:sz w:val="27"/>
          <w:rtl/>
        </w:rPr>
        <w:t>ُ</w:t>
      </w:r>
      <w:r w:rsidRPr="006571AC">
        <w:rPr>
          <w:rFonts w:hint="cs"/>
          <w:sz w:val="27"/>
          <w:rtl/>
        </w:rPr>
        <w:t>بي فقط. ثم في مقام بيان رأيه ق</w:t>
      </w:r>
      <w:r w:rsidR="00DE7692" w:rsidRPr="006571AC">
        <w:rPr>
          <w:rFonts w:hint="cs"/>
          <w:sz w:val="27"/>
          <w:rtl/>
        </w:rPr>
        <w:t>َ</w:t>
      </w:r>
      <w:r w:rsidRPr="006571AC">
        <w:rPr>
          <w:rFonts w:hint="cs"/>
          <w:sz w:val="27"/>
          <w:rtl/>
        </w:rPr>
        <w:t>ب</w:t>
      </w:r>
      <w:r w:rsidR="00DE7692" w:rsidRPr="006571AC">
        <w:rPr>
          <w:rFonts w:hint="cs"/>
          <w:sz w:val="27"/>
          <w:rtl/>
        </w:rPr>
        <w:t>ِ</w:t>
      </w:r>
      <w:r w:rsidRPr="006571AC">
        <w:rPr>
          <w:rFonts w:hint="cs"/>
          <w:sz w:val="27"/>
          <w:rtl/>
        </w:rPr>
        <w:t>ل</w:t>
      </w:r>
      <w:r w:rsidR="00DE7692" w:rsidRPr="006571AC">
        <w:rPr>
          <w:rFonts w:hint="cs"/>
          <w:sz w:val="27"/>
          <w:rtl/>
        </w:rPr>
        <w:t>َ</w:t>
      </w:r>
      <w:r w:rsidRPr="006571AC">
        <w:rPr>
          <w:rFonts w:hint="cs"/>
          <w:sz w:val="27"/>
          <w:rtl/>
        </w:rPr>
        <w:t xml:space="preserve"> بالكشف عن المراد في المراد الاستعمالي</w:t>
      </w:r>
      <w:r w:rsidR="00DE7692" w:rsidRPr="006571AC">
        <w:rPr>
          <w:rFonts w:hint="cs"/>
          <w:sz w:val="27"/>
          <w:rtl/>
        </w:rPr>
        <w:t>ّ</w:t>
      </w:r>
      <w:r w:rsidRPr="006571AC">
        <w:rPr>
          <w:rFonts w:hint="cs"/>
          <w:sz w:val="27"/>
          <w:rtl/>
        </w:rPr>
        <w:t>، ورفضه في المراد الج</w:t>
      </w:r>
      <w:r w:rsidR="00DE7692" w:rsidRPr="006571AC">
        <w:rPr>
          <w:rFonts w:hint="cs"/>
          <w:sz w:val="27"/>
          <w:rtl/>
        </w:rPr>
        <w:t>ِ</w:t>
      </w:r>
      <w:r w:rsidRPr="006571AC">
        <w:rPr>
          <w:rFonts w:hint="cs"/>
          <w:sz w:val="27"/>
          <w:rtl/>
        </w:rPr>
        <w:t>د</w:t>
      </w:r>
      <w:r w:rsidR="00DE7692" w:rsidRPr="006571AC">
        <w:rPr>
          <w:rFonts w:hint="cs"/>
          <w:sz w:val="27"/>
          <w:rtl/>
        </w:rPr>
        <w:t>ّ</w:t>
      </w:r>
      <w:r w:rsidRPr="006571AC">
        <w:rPr>
          <w:rFonts w:hint="cs"/>
          <w:sz w:val="27"/>
          <w:rtl/>
        </w:rPr>
        <w:t xml:space="preserve">ي. وقال في ذلك: </w:t>
      </w:r>
      <w:r w:rsidRPr="006571AC">
        <w:rPr>
          <w:rFonts w:hint="eastAsia"/>
          <w:sz w:val="24"/>
          <w:szCs w:val="24"/>
          <w:rtl/>
        </w:rPr>
        <w:t>«</w:t>
      </w:r>
      <w:r w:rsidRPr="006571AC">
        <w:rPr>
          <w:rFonts w:hint="cs"/>
          <w:sz w:val="27"/>
          <w:rtl/>
        </w:rPr>
        <w:t>إن الاختلاف بين مفادات الجمل المتعاقبة المتعاطفة الواقعة في سياق</w:t>
      </w:r>
      <w:r w:rsidR="00DE7692" w:rsidRPr="006571AC">
        <w:rPr>
          <w:rFonts w:hint="cs"/>
          <w:sz w:val="27"/>
          <w:rtl/>
        </w:rPr>
        <w:t>ٍ</w:t>
      </w:r>
      <w:r w:rsidRPr="006571AC">
        <w:rPr>
          <w:rFonts w:hint="cs"/>
          <w:sz w:val="27"/>
          <w:rtl/>
        </w:rPr>
        <w:t xml:space="preserve"> واحد</w:t>
      </w:r>
      <w:r w:rsidR="00DE7692" w:rsidRPr="006571AC">
        <w:rPr>
          <w:rFonts w:hint="cs"/>
          <w:sz w:val="27"/>
          <w:rtl/>
        </w:rPr>
        <w:t xml:space="preserve"> </w:t>
      </w:r>
      <w:r w:rsidRPr="006571AC">
        <w:rPr>
          <w:rFonts w:hint="cs"/>
          <w:sz w:val="27"/>
          <w:rtl/>
        </w:rPr>
        <w:t>يُتصوّ</w:t>
      </w:r>
      <w:r w:rsidR="00DE7692" w:rsidRPr="006571AC">
        <w:rPr>
          <w:rFonts w:hint="cs"/>
          <w:sz w:val="27"/>
          <w:rtl/>
        </w:rPr>
        <w:t>َ</w:t>
      </w:r>
      <w:r w:rsidRPr="006571AC">
        <w:rPr>
          <w:rFonts w:hint="cs"/>
          <w:sz w:val="27"/>
          <w:rtl/>
        </w:rPr>
        <w:t>ر على ثلاثة أنحاء</w:t>
      </w:r>
      <w:r w:rsidR="00DE7692" w:rsidRPr="006571AC">
        <w:rPr>
          <w:rFonts w:hint="cs"/>
          <w:sz w:val="27"/>
          <w:rtl/>
        </w:rPr>
        <w:t>:</w:t>
      </w:r>
      <w:r w:rsidRPr="006571AC">
        <w:rPr>
          <w:rFonts w:hint="cs"/>
          <w:sz w:val="27"/>
          <w:rtl/>
        </w:rPr>
        <w:t xml:space="preserve"> </w:t>
      </w:r>
      <w:r w:rsidRPr="006571AC">
        <w:rPr>
          <w:rFonts w:hint="cs"/>
          <w:b/>
          <w:bCs/>
          <w:sz w:val="27"/>
          <w:rtl/>
        </w:rPr>
        <w:t>النحو الأو</w:t>
      </w:r>
      <w:r w:rsidR="00DE7692" w:rsidRPr="006571AC">
        <w:rPr>
          <w:rFonts w:hint="cs"/>
          <w:b/>
          <w:bCs/>
          <w:sz w:val="27"/>
          <w:rtl/>
        </w:rPr>
        <w:t>ّ</w:t>
      </w:r>
      <w:r w:rsidRPr="006571AC">
        <w:rPr>
          <w:rFonts w:hint="cs"/>
          <w:b/>
          <w:bCs/>
          <w:sz w:val="27"/>
          <w:rtl/>
        </w:rPr>
        <w:t>ل</w:t>
      </w:r>
      <w:r w:rsidRPr="006571AC">
        <w:rPr>
          <w:rFonts w:hint="cs"/>
          <w:sz w:val="27"/>
          <w:rtl/>
        </w:rPr>
        <w:t>: هو أن يكون الاختلاف بين مفاداتها في مرحلة المدلول الاستعمالي، من قبيل</w:t>
      </w:r>
      <w:r w:rsidR="00DE7692" w:rsidRPr="006571AC">
        <w:rPr>
          <w:rFonts w:hint="cs"/>
          <w:sz w:val="27"/>
          <w:rtl/>
        </w:rPr>
        <w:t>:</w:t>
      </w:r>
      <w:r w:rsidRPr="006571AC">
        <w:rPr>
          <w:rFonts w:hint="cs"/>
          <w:sz w:val="27"/>
          <w:rtl/>
        </w:rPr>
        <w:t xml:space="preserve"> أن يُقال مثلاً: (صلّ</w:t>
      </w:r>
      <w:r w:rsidR="00DE7692" w:rsidRPr="006571AC">
        <w:rPr>
          <w:rFonts w:hint="cs"/>
          <w:sz w:val="27"/>
          <w:rtl/>
        </w:rPr>
        <w:t>ِ</w:t>
      </w:r>
      <w:r w:rsidRPr="006571AC">
        <w:rPr>
          <w:rFonts w:hint="cs"/>
          <w:sz w:val="27"/>
          <w:rtl/>
        </w:rPr>
        <w:t xml:space="preserve"> خلف الإمام، وزُر</w:t>
      </w:r>
      <w:r w:rsidR="00DE7692" w:rsidRPr="006571AC">
        <w:rPr>
          <w:rFonts w:hint="cs"/>
          <w:sz w:val="27"/>
          <w:rtl/>
        </w:rPr>
        <w:t>ْ</w:t>
      </w:r>
      <w:r w:rsidRPr="006571AC">
        <w:rPr>
          <w:rFonts w:hint="cs"/>
          <w:sz w:val="27"/>
          <w:rtl/>
        </w:rPr>
        <w:t xml:space="preserve"> الإمام)، فكلمة </w:t>
      </w:r>
      <w:r w:rsidRPr="006571AC">
        <w:rPr>
          <w:rFonts w:hint="eastAsia"/>
          <w:sz w:val="24"/>
          <w:szCs w:val="24"/>
          <w:rtl/>
        </w:rPr>
        <w:t>«</w:t>
      </w:r>
      <w:r w:rsidRPr="006571AC">
        <w:rPr>
          <w:rFonts w:hint="cs"/>
          <w:sz w:val="27"/>
          <w:rtl/>
        </w:rPr>
        <w:t>الإمام</w:t>
      </w:r>
      <w:r w:rsidRPr="006571AC">
        <w:rPr>
          <w:rFonts w:hint="eastAsia"/>
          <w:sz w:val="24"/>
          <w:szCs w:val="24"/>
          <w:rtl/>
        </w:rPr>
        <w:t>»</w:t>
      </w:r>
      <w:r w:rsidRPr="006571AC">
        <w:rPr>
          <w:rFonts w:hint="cs"/>
          <w:sz w:val="27"/>
          <w:rtl/>
        </w:rPr>
        <w:t xml:space="preserve"> في الجملة الأولى تُستعمل في إمام الجماعة، بينما كلمة </w:t>
      </w:r>
      <w:r w:rsidRPr="006571AC">
        <w:rPr>
          <w:rFonts w:hint="eastAsia"/>
          <w:sz w:val="24"/>
          <w:szCs w:val="24"/>
          <w:rtl/>
        </w:rPr>
        <w:t>«</w:t>
      </w:r>
      <w:r w:rsidRPr="006571AC">
        <w:rPr>
          <w:rFonts w:hint="cs"/>
          <w:sz w:val="27"/>
          <w:rtl/>
        </w:rPr>
        <w:t>الإمام</w:t>
      </w:r>
      <w:r w:rsidRPr="006571AC">
        <w:rPr>
          <w:rFonts w:hint="eastAsia"/>
          <w:sz w:val="24"/>
          <w:szCs w:val="24"/>
          <w:rtl/>
        </w:rPr>
        <w:t>»</w:t>
      </w:r>
      <w:r w:rsidRPr="006571AC">
        <w:rPr>
          <w:rFonts w:hint="cs"/>
          <w:sz w:val="27"/>
          <w:rtl/>
        </w:rPr>
        <w:t xml:space="preserve"> الثانية تستعمل في الإمام المعصوم</w:t>
      </w:r>
      <w:r w:rsidR="002A2C90" w:rsidRPr="006571AC">
        <w:rPr>
          <w:rFonts w:ascii="Mosawi" w:hAnsi="Mosawi" w:cs="Mosawi"/>
          <w:sz w:val="22"/>
          <w:szCs w:val="22"/>
          <w:rtl/>
        </w:rPr>
        <w:t>×</w:t>
      </w:r>
      <w:r w:rsidRPr="006571AC">
        <w:rPr>
          <w:rFonts w:hint="cs"/>
          <w:sz w:val="27"/>
          <w:rtl/>
        </w:rPr>
        <w:t>. و</w:t>
      </w:r>
      <w:r w:rsidR="00731867" w:rsidRPr="006571AC">
        <w:rPr>
          <w:rFonts w:hint="cs"/>
          <w:sz w:val="27"/>
          <w:rtl/>
        </w:rPr>
        <w:t>لا شَكَّ</w:t>
      </w:r>
      <w:r w:rsidRPr="006571AC">
        <w:rPr>
          <w:rFonts w:hint="cs"/>
          <w:sz w:val="27"/>
          <w:rtl/>
        </w:rPr>
        <w:t xml:space="preserve"> في أن هذا الاختلاف على خلاف ظاهر السياق ووحدته. إذن ف</w:t>
      </w:r>
      <w:r w:rsidR="00731867" w:rsidRPr="006571AC">
        <w:rPr>
          <w:rFonts w:hint="cs"/>
          <w:sz w:val="27"/>
          <w:rtl/>
        </w:rPr>
        <w:t>لا بُدَّ</w:t>
      </w:r>
      <w:r w:rsidRPr="006571AC">
        <w:rPr>
          <w:rFonts w:hint="cs"/>
          <w:sz w:val="27"/>
          <w:rtl/>
        </w:rPr>
        <w:t xml:space="preserve"> من حمل كلمة </w:t>
      </w:r>
      <w:r w:rsidRPr="006571AC">
        <w:rPr>
          <w:rFonts w:hint="eastAsia"/>
          <w:sz w:val="24"/>
          <w:szCs w:val="24"/>
          <w:rtl/>
        </w:rPr>
        <w:t>«</w:t>
      </w:r>
      <w:r w:rsidRPr="006571AC">
        <w:rPr>
          <w:rFonts w:hint="cs"/>
          <w:sz w:val="27"/>
          <w:rtl/>
        </w:rPr>
        <w:t>الإمام</w:t>
      </w:r>
      <w:r w:rsidRPr="006571AC">
        <w:rPr>
          <w:rFonts w:hint="eastAsia"/>
          <w:sz w:val="24"/>
          <w:szCs w:val="24"/>
          <w:rtl/>
        </w:rPr>
        <w:t>»</w:t>
      </w:r>
      <w:r w:rsidRPr="006571AC">
        <w:rPr>
          <w:rFonts w:hint="cs"/>
          <w:sz w:val="27"/>
          <w:rtl/>
        </w:rPr>
        <w:t xml:space="preserve"> الثانية على إمام الجماعة</w:t>
      </w:r>
      <w:r w:rsidR="00DE7692" w:rsidRPr="006571AC">
        <w:rPr>
          <w:rFonts w:hint="cs"/>
          <w:sz w:val="27"/>
          <w:rtl/>
        </w:rPr>
        <w:t>؛</w:t>
      </w:r>
      <w:r w:rsidRPr="006571AC">
        <w:rPr>
          <w:rFonts w:hint="cs"/>
          <w:sz w:val="27"/>
          <w:rtl/>
        </w:rPr>
        <w:t xml:space="preserve"> لوحدة السياق. </w:t>
      </w:r>
      <w:r w:rsidRPr="006571AC">
        <w:rPr>
          <w:rFonts w:hint="cs"/>
          <w:b/>
          <w:bCs/>
          <w:sz w:val="27"/>
          <w:rtl/>
        </w:rPr>
        <w:t>النحو الثاني</w:t>
      </w:r>
      <w:r w:rsidRPr="006571AC">
        <w:rPr>
          <w:rFonts w:hint="cs"/>
          <w:sz w:val="27"/>
          <w:rtl/>
        </w:rPr>
        <w:t>: هو أن يكون الاختلاف في مرحلة المدلول الج</w:t>
      </w:r>
      <w:r w:rsidR="00DE7692" w:rsidRPr="006571AC">
        <w:rPr>
          <w:rFonts w:hint="cs"/>
          <w:sz w:val="27"/>
          <w:rtl/>
        </w:rPr>
        <w:t>ِ</w:t>
      </w:r>
      <w:r w:rsidRPr="006571AC">
        <w:rPr>
          <w:rFonts w:hint="cs"/>
          <w:sz w:val="27"/>
          <w:rtl/>
        </w:rPr>
        <w:t>دّي، فمثلاً: لو قال: (أكرم العلماء، وقلّ</w:t>
      </w:r>
      <w:r w:rsidR="00DE7692" w:rsidRPr="006571AC">
        <w:rPr>
          <w:rFonts w:hint="cs"/>
          <w:sz w:val="27"/>
          <w:rtl/>
        </w:rPr>
        <w:t>ِ</w:t>
      </w:r>
      <w:r w:rsidRPr="006571AC">
        <w:rPr>
          <w:rFonts w:hint="cs"/>
          <w:sz w:val="27"/>
          <w:rtl/>
        </w:rPr>
        <w:t xml:space="preserve">د العلماء)، وكان يُراد من كلمة </w:t>
      </w:r>
      <w:r w:rsidRPr="006571AC">
        <w:rPr>
          <w:rFonts w:hint="eastAsia"/>
          <w:sz w:val="24"/>
          <w:szCs w:val="24"/>
          <w:rtl/>
        </w:rPr>
        <w:t>«</w:t>
      </w:r>
      <w:r w:rsidRPr="006571AC">
        <w:rPr>
          <w:rFonts w:hint="cs"/>
          <w:sz w:val="27"/>
          <w:rtl/>
        </w:rPr>
        <w:t>العلماء</w:t>
      </w:r>
      <w:r w:rsidRPr="006571AC">
        <w:rPr>
          <w:rFonts w:hint="eastAsia"/>
          <w:sz w:val="24"/>
          <w:szCs w:val="24"/>
          <w:rtl/>
        </w:rPr>
        <w:t>»</w:t>
      </w:r>
      <w:r w:rsidRPr="006571AC">
        <w:rPr>
          <w:rFonts w:hint="cs"/>
          <w:sz w:val="27"/>
          <w:rtl/>
        </w:rPr>
        <w:t xml:space="preserve"> الأولى على إطلاقها، بينما يُراد من الثانية خصوص العدول، فهنا ليس الاختلاف في مرحلة المدلول الاستعمالي</w:t>
      </w:r>
      <w:r w:rsidR="00DE7692" w:rsidRPr="006571AC">
        <w:rPr>
          <w:rFonts w:hint="cs"/>
          <w:sz w:val="27"/>
          <w:rtl/>
        </w:rPr>
        <w:t>،</w:t>
      </w:r>
      <w:r w:rsidRPr="006571AC">
        <w:rPr>
          <w:rFonts w:hint="cs"/>
          <w:sz w:val="27"/>
          <w:rtl/>
        </w:rPr>
        <w:t xml:space="preserve"> بناء</w:t>
      </w:r>
      <w:r w:rsidR="00DE7692" w:rsidRPr="006571AC">
        <w:rPr>
          <w:rFonts w:hint="cs"/>
          <w:sz w:val="27"/>
          <w:rtl/>
        </w:rPr>
        <w:t>ً</w:t>
      </w:r>
      <w:r w:rsidRPr="006571AC">
        <w:rPr>
          <w:rFonts w:hint="cs"/>
          <w:sz w:val="27"/>
          <w:rtl/>
        </w:rPr>
        <w:t xml:space="preserve"> على ما يُذ</w:t>
      </w:r>
      <w:r w:rsidR="00DE7692" w:rsidRPr="006571AC">
        <w:rPr>
          <w:rFonts w:hint="cs"/>
          <w:sz w:val="27"/>
          <w:rtl/>
        </w:rPr>
        <w:t>ْ</w:t>
      </w:r>
      <w:r w:rsidRPr="006571AC">
        <w:rPr>
          <w:rFonts w:hint="cs"/>
          <w:sz w:val="27"/>
          <w:rtl/>
        </w:rPr>
        <w:t>ك</w:t>
      </w:r>
      <w:r w:rsidR="00DE7692" w:rsidRPr="006571AC">
        <w:rPr>
          <w:rFonts w:hint="cs"/>
          <w:sz w:val="27"/>
          <w:rtl/>
        </w:rPr>
        <w:t>َ</w:t>
      </w:r>
      <w:r w:rsidRPr="006571AC">
        <w:rPr>
          <w:rFonts w:hint="cs"/>
          <w:sz w:val="27"/>
          <w:rtl/>
        </w:rPr>
        <w:t>ر في بحث العام</w:t>
      </w:r>
      <w:r w:rsidR="00DE7692" w:rsidRPr="006571AC">
        <w:rPr>
          <w:rFonts w:hint="cs"/>
          <w:sz w:val="27"/>
          <w:rtl/>
        </w:rPr>
        <w:t>ّ</w:t>
      </w:r>
      <w:r w:rsidRPr="006571AC">
        <w:rPr>
          <w:rFonts w:hint="cs"/>
          <w:sz w:val="27"/>
          <w:rtl/>
        </w:rPr>
        <w:t xml:space="preserve"> والخاص</w:t>
      </w:r>
      <w:r w:rsidR="00DE7692" w:rsidRPr="006571AC">
        <w:rPr>
          <w:rFonts w:hint="cs"/>
          <w:sz w:val="27"/>
          <w:rtl/>
        </w:rPr>
        <w:t>ّ</w:t>
      </w:r>
      <w:r w:rsidRPr="006571AC">
        <w:rPr>
          <w:rFonts w:hint="cs"/>
          <w:sz w:val="27"/>
          <w:rtl/>
        </w:rPr>
        <w:t>، من أن التخصيص لا يرتبط بمرتبة المدلول الاستعمالي، بل يرتبط بمرحلة المدلول الج</w:t>
      </w:r>
      <w:r w:rsidR="00DE7692" w:rsidRPr="006571AC">
        <w:rPr>
          <w:rFonts w:hint="cs"/>
          <w:sz w:val="27"/>
          <w:rtl/>
        </w:rPr>
        <w:t>ِ</w:t>
      </w:r>
      <w:r w:rsidRPr="006571AC">
        <w:rPr>
          <w:rFonts w:hint="cs"/>
          <w:sz w:val="27"/>
          <w:rtl/>
        </w:rPr>
        <w:t>دّي، ولهذا قالوا: لا يلزم منه التجو</w:t>
      </w:r>
      <w:r w:rsidR="00DE7692" w:rsidRPr="006571AC">
        <w:rPr>
          <w:rFonts w:hint="cs"/>
          <w:sz w:val="27"/>
          <w:rtl/>
        </w:rPr>
        <w:t>ُّ</w:t>
      </w:r>
      <w:r w:rsidRPr="006571AC">
        <w:rPr>
          <w:rFonts w:hint="cs"/>
          <w:sz w:val="27"/>
          <w:rtl/>
        </w:rPr>
        <w:t>ز بسبب التخصيص، غاية الأمر أن الاختلاف يكون في مرحلة المدلول الج</w:t>
      </w:r>
      <w:r w:rsidR="00DE7692" w:rsidRPr="006571AC">
        <w:rPr>
          <w:rFonts w:hint="cs"/>
          <w:sz w:val="27"/>
          <w:rtl/>
        </w:rPr>
        <w:t>ِ</w:t>
      </w:r>
      <w:r w:rsidRPr="006571AC">
        <w:rPr>
          <w:rFonts w:hint="cs"/>
          <w:sz w:val="27"/>
          <w:rtl/>
        </w:rPr>
        <w:t>د</w:t>
      </w:r>
      <w:r w:rsidR="00DE7692" w:rsidRPr="006571AC">
        <w:rPr>
          <w:rFonts w:hint="cs"/>
          <w:sz w:val="27"/>
          <w:rtl/>
        </w:rPr>
        <w:t>ّ</w:t>
      </w:r>
      <w:r w:rsidRPr="006571AC">
        <w:rPr>
          <w:rFonts w:hint="cs"/>
          <w:sz w:val="27"/>
          <w:rtl/>
        </w:rPr>
        <w:t xml:space="preserve">ي، وفي هذا النحو الأقرب عدم جريان وحدة السياق، </w:t>
      </w:r>
      <w:r w:rsidRPr="006571AC">
        <w:rPr>
          <w:rFonts w:hint="cs"/>
          <w:sz w:val="27"/>
          <w:rtl/>
        </w:rPr>
        <w:lastRenderedPageBreak/>
        <w:t>فلا يلزم إسراء التخصيص من الثاني إلى الأو</w:t>
      </w:r>
      <w:r w:rsidR="00DE7692" w:rsidRPr="006571AC">
        <w:rPr>
          <w:rFonts w:hint="cs"/>
          <w:sz w:val="27"/>
          <w:rtl/>
        </w:rPr>
        <w:t>ّ</w:t>
      </w:r>
      <w:r w:rsidRPr="006571AC">
        <w:rPr>
          <w:rFonts w:hint="cs"/>
          <w:sz w:val="27"/>
          <w:rtl/>
        </w:rPr>
        <w:t>ل</w:t>
      </w:r>
      <w:r w:rsidR="00DE7692" w:rsidRPr="006571AC">
        <w:rPr>
          <w:rFonts w:hint="cs"/>
          <w:sz w:val="27"/>
          <w:rtl/>
        </w:rPr>
        <w:t>؛</w:t>
      </w:r>
      <w:r w:rsidRPr="006571AC">
        <w:rPr>
          <w:rFonts w:hint="cs"/>
          <w:sz w:val="27"/>
          <w:rtl/>
        </w:rPr>
        <w:t xml:space="preserve"> لأن وحدة السياق إنما هي بلحاظ المدلول الاستعمالي للكلام</w:t>
      </w:r>
      <w:r w:rsidR="00DE7692" w:rsidRPr="006571AC">
        <w:rPr>
          <w:rFonts w:hint="cs"/>
          <w:sz w:val="27"/>
          <w:rtl/>
        </w:rPr>
        <w:t>،</w:t>
      </w:r>
      <w:r w:rsidRPr="006571AC">
        <w:rPr>
          <w:rFonts w:hint="cs"/>
          <w:sz w:val="27"/>
          <w:rtl/>
        </w:rPr>
        <w:t xml:space="preserve"> لا بلحاظ المدلول الج</w:t>
      </w:r>
      <w:r w:rsidR="00DE7692" w:rsidRPr="006571AC">
        <w:rPr>
          <w:rFonts w:hint="cs"/>
          <w:sz w:val="27"/>
          <w:rtl/>
        </w:rPr>
        <w:t>ِ</w:t>
      </w:r>
      <w:r w:rsidRPr="006571AC">
        <w:rPr>
          <w:rFonts w:hint="cs"/>
          <w:sz w:val="27"/>
          <w:rtl/>
        </w:rPr>
        <w:t xml:space="preserve">دّي. </w:t>
      </w:r>
      <w:r w:rsidRPr="006571AC">
        <w:rPr>
          <w:rFonts w:hint="cs"/>
          <w:b/>
          <w:bCs/>
          <w:sz w:val="27"/>
          <w:rtl/>
        </w:rPr>
        <w:t>النحو الثالث</w:t>
      </w:r>
      <w:r w:rsidRPr="006571AC">
        <w:rPr>
          <w:rFonts w:hint="cs"/>
          <w:sz w:val="27"/>
          <w:rtl/>
        </w:rPr>
        <w:t>: هو أن يكون الاختلاف من حيث مصاديق المفاهيم، من قبيل</w:t>
      </w:r>
      <w:r w:rsidR="00DE7692" w:rsidRPr="006571AC">
        <w:rPr>
          <w:rFonts w:hint="cs"/>
          <w:sz w:val="27"/>
          <w:rtl/>
        </w:rPr>
        <w:t>:</w:t>
      </w:r>
      <w:r w:rsidRPr="006571AC">
        <w:rPr>
          <w:rFonts w:hint="cs"/>
          <w:sz w:val="27"/>
          <w:rtl/>
        </w:rPr>
        <w:t xml:space="preserve"> أن يُقال: (لا يجوز أن تغصب ما تأكله، ولا أن تغصب ما تلبسه، ولا أن تغصب ما تقرأ فيه)؛ فإن هذا الكلام من حيث المدلول الاستعمالي الج</w:t>
      </w:r>
      <w:r w:rsidR="005D7D1D" w:rsidRPr="006571AC">
        <w:rPr>
          <w:rFonts w:hint="cs"/>
          <w:sz w:val="27"/>
          <w:rtl/>
        </w:rPr>
        <w:t>ِ</w:t>
      </w:r>
      <w:r w:rsidRPr="006571AC">
        <w:rPr>
          <w:rFonts w:hint="cs"/>
          <w:sz w:val="27"/>
          <w:rtl/>
        </w:rPr>
        <w:t>د</w:t>
      </w:r>
      <w:r w:rsidR="005D7D1D" w:rsidRPr="006571AC">
        <w:rPr>
          <w:rFonts w:hint="cs"/>
          <w:sz w:val="27"/>
          <w:rtl/>
        </w:rPr>
        <w:t>ّ</w:t>
      </w:r>
      <w:r w:rsidRPr="006571AC">
        <w:rPr>
          <w:rFonts w:hint="cs"/>
          <w:sz w:val="27"/>
          <w:rtl/>
        </w:rPr>
        <w:t>ي واحد</w:t>
      </w:r>
      <w:r w:rsidR="005D7D1D" w:rsidRPr="006571AC">
        <w:rPr>
          <w:rFonts w:hint="cs"/>
          <w:sz w:val="27"/>
          <w:rtl/>
        </w:rPr>
        <w:t>ٌ</w:t>
      </w:r>
      <w:r w:rsidRPr="006571AC">
        <w:rPr>
          <w:rFonts w:hint="cs"/>
          <w:sz w:val="27"/>
          <w:rtl/>
        </w:rPr>
        <w:t xml:space="preserve"> في هذه الجمل، ولكن</w:t>
      </w:r>
      <w:r w:rsidR="005D7D1D" w:rsidRPr="006571AC">
        <w:rPr>
          <w:rFonts w:hint="cs"/>
          <w:sz w:val="27"/>
          <w:rtl/>
        </w:rPr>
        <w:t>ْ</w:t>
      </w:r>
      <w:r w:rsidRPr="006571AC">
        <w:rPr>
          <w:rFonts w:hint="cs"/>
          <w:sz w:val="27"/>
          <w:rtl/>
        </w:rPr>
        <w:t xml:space="preserve"> من الواضح أن مصداق ما ي</w:t>
      </w:r>
      <w:r w:rsidR="005D7D1D" w:rsidRPr="006571AC">
        <w:rPr>
          <w:rFonts w:hint="cs"/>
          <w:sz w:val="27"/>
          <w:rtl/>
        </w:rPr>
        <w:t>ُ</w:t>
      </w:r>
      <w:r w:rsidRPr="006571AC">
        <w:rPr>
          <w:rFonts w:hint="cs"/>
          <w:sz w:val="27"/>
          <w:rtl/>
        </w:rPr>
        <w:t>ؤ</w:t>
      </w:r>
      <w:r w:rsidR="005D7D1D" w:rsidRPr="006571AC">
        <w:rPr>
          <w:rFonts w:hint="cs"/>
          <w:sz w:val="27"/>
          <w:rtl/>
        </w:rPr>
        <w:t>ْ</w:t>
      </w:r>
      <w:r w:rsidRPr="006571AC">
        <w:rPr>
          <w:rFonts w:hint="cs"/>
          <w:sz w:val="27"/>
          <w:rtl/>
        </w:rPr>
        <w:t>ك</w:t>
      </w:r>
      <w:r w:rsidR="005D7D1D" w:rsidRPr="006571AC">
        <w:rPr>
          <w:rFonts w:hint="cs"/>
          <w:sz w:val="27"/>
          <w:rtl/>
        </w:rPr>
        <w:t>َ</w:t>
      </w:r>
      <w:r w:rsidRPr="006571AC">
        <w:rPr>
          <w:rFonts w:hint="cs"/>
          <w:sz w:val="27"/>
          <w:rtl/>
        </w:rPr>
        <w:t>ل غير مصداق ما يُل</w:t>
      </w:r>
      <w:r w:rsidR="005D7D1D" w:rsidRPr="006571AC">
        <w:rPr>
          <w:rFonts w:hint="cs"/>
          <w:sz w:val="27"/>
          <w:rtl/>
        </w:rPr>
        <w:t>ْ</w:t>
      </w:r>
      <w:r w:rsidRPr="006571AC">
        <w:rPr>
          <w:rFonts w:hint="cs"/>
          <w:sz w:val="27"/>
          <w:rtl/>
        </w:rPr>
        <w:t>ب</w:t>
      </w:r>
      <w:r w:rsidR="005D7D1D" w:rsidRPr="006571AC">
        <w:rPr>
          <w:rFonts w:hint="cs"/>
          <w:sz w:val="27"/>
          <w:rtl/>
        </w:rPr>
        <w:t>َ</w:t>
      </w:r>
      <w:r w:rsidRPr="006571AC">
        <w:rPr>
          <w:rFonts w:hint="cs"/>
          <w:sz w:val="27"/>
          <w:rtl/>
        </w:rPr>
        <w:t>س، وغير مصداق ما يُق</w:t>
      </w:r>
      <w:r w:rsidR="005D7D1D" w:rsidRPr="006571AC">
        <w:rPr>
          <w:rFonts w:hint="cs"/>
          <w:sz w:val="27"/>
          <w:rtl/>
        </w:rPr>
        <w:t>ْ</w:t>
      </w:r>
      <w:r w:rsidRPr="006571AC">
        <w:rPr>
          <w:rFonts w:hint="cs"/>
          <w:sz w:val="27"/>
          <w:rtl/>
        </w:rPr>
        <w:t>ر</w:t>
      </w:r>
      <w:r w:rsidR="005D7D1D" w:rsidRPr="006571AC">
        <w:rPr>
          <w:rFonts w:hint="cs"/>
          <w:sz w:val="27"/>
          <w:rtl/>
        </w:rPr>
        <w:t>َ</w:t>
      </w:r>
      <w:r w:rsidRPr="006571AC">
        <w:rPr>
          <w:rFonts w:hint="cs"/>
          <w:sz w:val="27"/>
          <w:rtl/>
        </w:rPr>
        <w:t>أ فيه، وهذا الاختلاف ممّا لا إشكال في أنه لا يمكن ن</w:t>
      </w:r>
      <w:r w:rsidR="00A4785A" w:rsidRPr="006571AC">
        <w:rPr>
          <w:rFonts w:hint="cs"/>
          <w:sz w:val="27"/>
          <w:rtl/>
        </w:rPr>
        <w:t>َ</w:t>
      </w:r>
      <w:r w:rsidRPr="006571AC">
        <w:rPr>
          <w:rFonts w:hint="cs"/>
          <w:sz w:val="27"/>
          <w:rtl/>
        </w:rPr>
        <w:t>ف</w:t>
      </w:r>
      <w:r w:rsidR="00A4785A" w:rsidRPr="006571AC">
        <w:rPr>
          <w:rFonts w:hint="cs"/>
          <w:sz w:val="27"/>
          <w:rtl/>
        </w:rPr>
        <w:t>ْ</w:t>
      </w:r>
      <w:r w:rsidRPr="006571AC">
        <w:rPr>
          <w:rFonts w:hint="cs"/>
          <w:sz w:val="27"/>
          <w:rtl/>
        </w:rPr>
        <w:t>يه بوحدة السياق</w:t>
      </w:r>
      <w:r w:rsidR="005D7D1D" w:rsidRPr="006571AC">
        <w:rPr>
          <w:rFonts w:hint="cs"/>
          <w:sz w:val="27"/>
          <w:rtl/>
        </w:rPr>
        <w:t>؛</w:t>
      </w:r>
      <w:r w:rsidRPr="006571AC">
        <w:rPr>
          <w:rFonts w:hint="cs"/>
          <w:sz w:val="27"/>
          <w:rtl/>
        </w:rPr>
        <w:t xml:space="preserve"> لأن السياق شأن الكلام، وتطبيق المفاهيم على مصاديقه أجنبي</w:t>
      </w:r>
      <w:r w:rsidR="005D7D1D" w:rsidRPr="006571AC">
        <w:rPr>
          <w:rFonts w:hint="cs"/>
          <w:sz w:val="27"/>
          <w:rtl/>
        </w:rPr>
        <w:t>ٌّ</w:t>
      </w:r>
      <w:r w:rsidRPr="006571AC">
        <w:rPr>
          <w:rFonts w:hint="cs"/>
          <w:sz w:val="27"/>
          <w:rtl/>
        </w:rPr>
        <w:t xml:space="preserve"> عن الكلام</w:t>
      </w:r>
      <w:r w:rsidR="005D7D1D" w:rsidRPr="006571AC">
        <w:rPr>
          <w:rFonts w:hint="cs"/>
          <w:sz w:val="27"/>
          <w:rtl/>
        </w:rPr>
        <w:t>،</w:t>
      </w:r>
      <w:r w:rsidRPr="006571AC">
        <w:rPr>
          <w:rFonts w:hint="cs"/>
          <w:sz w:val="27"/>
          <w:rtl/>
        </w:rPr>
        <w:t xml:space="preserve"> ولا ر</w:t>
      </w:r>
      <w:r w:rsidR="00A4785A" w:rsidRPr="006571AC">
        <w:rPr>
          <w:rFonts w:hint="cs"/>
          <w:sz w:val="27"/>
          <w:rtl/>
        </w:rPr>
        <w:t>َ</w:t>
      </w:r>
      <w:r w:rsidRPr="006571AC">
        <w:rPr>
          <w:rFonts w:hint="cs"/>
          <w:sz w:val="27"/>
          <w:rtl/>
        </w:rPr>
        <w:t>ب</w:t>
      </w:r>
      <w:r w:rsidR="00A4785A" w:rsidRPr="006571AC">
        <w:rPr>
          <w:rFonts w:hint="cs"/>
          <w:sz w:val="27"/>
          <w:rtl/>
        </w:rPr>
        <w:t>ْ</w:t>
      </w:r>
      <w:r w:rsidRPr="006571AC">
        <w:rPr>
          <w:rFonts w:hint="cs"/>
          <w:sz w:val="27"/>
          <w:rtl/>
        </w:rPr>
        <w:t>ط له بوجه</w:t>
      </w:r>
      <w:r w:rsidR="005D7D1D" w:rsidRPr="006571AC">
        <w:rPr>
          <w:rFonts w:hint="cs"/>
          <w:sz w:val="27"/>
          <w:rtl/>
        </w:rPr>
        <w:t>ٍ</w:t>
      </w:r>
      <w:r w:rsidRPr="006571AC">
        <w:rPr>
          <w:rFonts w:hint="cs"/>
          <w:sz w:val="27"/>
          <w:rtl/>
        </w:rPr>
        <w:t xml:space="preserve"> من الوجوه</w:t>
      </w:r>
      <w:r w:rsidRPr="006571AC">
        <w:rPr>
          <w:rFonts w:hint="eastAsia"/>
          <w:sz w:val="24"/>
          <w:szCs w:val="24"/>
          <w:rtl/>
        </w:rPr>
        <w:t>»</w:t>
      </w:r>
      <w:r w:rsidRPr="006571AC">
        <w:rPr>
          <w:sz w:val="27"/>
          <w:vertAlign w:val="superscript"/>
          <w:rtl/>
        </w:rPr>
        <w:t>(</w:t>
      </w:r>
      <w:r w:rsidRPr="006571AC">
        <w:rPr>
          <w:rStyle w:val="ac"/>
          <w:sz w:val="27"/>
          <w:rtl/>
        </w:rPr>
        <w:endnoteReference w:id="202"/>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5D7D1D" w:rsidP="00C95139">
      <w:pPr>
        <w:rPr>
          <w:sz w:val="27"/>
          <w:rtl/>
        </w:rPr>
      </w:pPr>
      <w:r w:rsidRPr="006571AC">
        <w:rPr>
          <w:rFonts w:hint="cs"/>
          <w:sz w:val="27"/>
          <w:rtl/>
        </w:rPr>
        <w:t>و</w:t>
      </w:r>
      <w:r w:rsidR="00A75C8B" w:rsidRPr="006571AC">
        <w:rPr>
          <w:rFonts w:hint="cs"/>
          <w:sz w:val="27"/>
          <w:rtl/>
        </w:rPr>
        <w:t>من الجدير ذكره أن هذا الاستعمال لا يختص</w:t>
      </w:r>
      <w:r w:rsidRPr="006571AC">
        <w:rPr>
          <w:rFonts w:hint="cs"/>
          <w:sz w:val="27"/>
          <w:rtl/>
        </w:rPr>
        <w:t>ّ</w:t>
      </w:r>
      <w:r w:rsidR="00A75C8B" w:rsidRPr="006571AC">
        <w:rPr>
          <w:rFonts w:hint="cs"/>
          <w:sz w:val="27"/>
          <w:rtl/>
        </w:rPr>
        <w:t xml:space="preserve"> بالكلمة فقط، بل يجري في الهيئة أيضاً. </w:t>
      </w:r>
      <w:r w:rsidRPr="006571AC">
        <w:rPr>
          <w:rFonts w:hint="cs"/>
          <w:sz w:val="27"/>
          <w:rtl/>
        </w:rPr>
        <w:t>و</w:t>
      </w:r>
      <w:r w:rsidR="00A75C8B" w:rsidRPr="006571AC">
        <w:rPr>
          <w:rFonts w:hint="cs"/>
          <w:sz w:val="27"/>
          <w:rtl/>
        </w:rPr>
        <w:t>بعبارة</w:t>
      </w:r>
      <w:r w:rsidRPr="006571AC">
        <w:rPr>
          <w:rFonts w:hint="cs"/>
          <w:sz w:val="27"/>
          <w:rtl/>
        </w:rPr>
        <w:t>ٍ</w:t>
      </w:r>
      <w:r w:rsidR="00A75C8B" w:rsidRPr="006571AC">
        <w:rPr>
          <w:rFonts w:hint="cs"/>
          <w:sz w:val="27"/>
          <w:rtl/>
        </w:rPr>
        <w:t xml:space="preserve"> أخرى: إن الارتباطات المتنية ـ من قبيل: القيود ـ لها أنواع</w:t>
      </w:r>
      <w:r w:rsidRPr="006571AC">
        <w:rPr>
          <w:rFonts w:hint="cs"/>
          <w:sz w:val="27"/>
          <w:rtl/>
        </w:rPr>
        <w:t>ٌ</w:t>
      </w:r>
      <w:r w:rsidR="00A75C8B" w:rsidRPr="006571AC">
        <w:rPr>
          <w:rFonts w:hint="cs"/>
          <w:sz w:val="27"/>
          <w:rtl/>
        </w:rPr>
        <w:t xml:space="preserve"> مختلفة، من قبيل: القيود الاحترازية</w:t>
      </w:r>
      <w:r w:rsidRPr="006571AC">
        <w:rPr>
          <w:rFonts w:hint="cs"/>
          <w:sz w:val="27"/>
          <w:rtl/>
        </w:rPr>
        <w:t>؛</w:t>
      </w:r>
      <w:r w:rsidR="00A75C8B" w:rsidRPr="006571AC">
        <w:rPr>
          <w:rFonts w:hint="cs"/>
          <w:sz w:val="27"/>
          <w:rtl/>
        </w:rPr>
        <w:t xml:space="preserve"> والقيود التوضيحية. وإن قرينة السياق تساعد على اكتشاف نوع هذا الارتباط. قال صاحب الجواهر</w:t>
      </w:r>
      <w:r w:rsidRPr="006571AC">
        <w:rPr>
          <w:rFonts w:hint="cs"/>
          <w:sz w:val="27"/>
          <w:rtl/>
        </w:rPr>
        <w:t>،</w:t>
      </w:r>
      <w:r w:rsidR="00A75C8B" w:rsidRPr="006571AC">
        <w:rPr>
          <w:rFonts w:hint="cs"/>
          <w:sz w:val="27"/>
          <w:rtl/>
        </w:rPr>
        <w:t xml:space="preserve"> في ذيل هذه الآية الكريمة: </w:t>
      </w:r>
      <w:r w:rsidR="00A75C8B" w:rsidRPr="006571AC">
        <w:rPr>
          <w:rFonts w:ascii="Mosawi" w:hAnsi="Mosawi" w:cs="Mosawi"/>
          <w:sz w:val="24"/>
          <w:szCs w:val="24"/>
          <w:rtl/>
        </w:rPr>
        <w:t>﴿</w:t>
      </w:r>
      <w:r w:rsidR="00A75C8B" w:rsidRPr="006571AC">
        <w:rPr>
          <w:b/>
          <w:bCs/>
          <w:sz w:val="27"/>
          <w:rtl/>
        </w:rPr>
        <w:t xml:space="preserve">ضَرَبَ </w:t>
      </w:r>
      <w:r w:rsidR="0097633B" w:rsidRPr="006571AC">
        <w:rPr>
          <w:b/>
          <w:bCs/>
          <w:sz w:val="27"/>
          <w:rtl/>
        </w:rPr>
        <w:t>الل</w:t>
      </w:r>
      <w:r w:rsidRPr="006571AC">
        <w:rPr>
          <w:b/>
          <w:bCs/>
          <w:sz w:val="27"/>
          <w:rtl/>
        </w:rPr>
        <w:t>هُ مَثَلاً عَبْداً مَمْلُوكاً ل</w:t>
      </w:r>
      <w:r w:rsidR="00A75C8B" w:rsidRPr="006571AC">
        <w:rPr>
          <w:b/>
          <w:bCs/>
          <w:sz w:val="27"/>
          <w:rtl/>
        </w:rPr>
        <w:t>ا</w:t>
      </w:r>
      <w:r w:rsidRPr="006571AC">
        <w:rPr>
          <w:rFonts w:hint="cs"/>
          <w:b/>
          <w:bCs/>
          <w:sz w:val="27"/>
          <w:rtl/>
        </w:rPr>
        <w:t>َ</w:t>
      </w:r>
      <w:r w:rsidR="00A75C8B" w:rsidRPr="006571AC">
        <w:rPr>
          <w:b/>
          <w:bCs/>
          <w:sz w:val="27"/>
          <w:rtl/>
        </w:rPr>
        <w:t xml:space="preserve"> يَقْدِرُ عَلَى شَيْءٍ وَمَنْ رَزَقْنَاهُ مِنَّا رِزْقاً حَسَناً فَهُوَ يُنْفِقُ مِنْهُ سِرّاً وَجَهْراً هَلْ يَسْتَوُونَ</w:t>
      </w:r>
      <w:r w:rsidR="00A75C8B" w:rsidRPr="006571AC">
        <w:rPr>
          <w:rFonts w:ascii="Mosawi" w:hAnsi="Mosawi" w:cs="Mosawi"/>
          <w:sz w:val="24"/>
          <w:szCs w:val="24"/>
          <w:rtl/>
        </w:rPr>
        <w:t>﴾</w:t>
      </w:r>
      <w:r w:rsidR="00A75C8B" w:rsidRPr="006571AC">
        <w:rPr>
          <w:rFonts w:hint="cs"/>
          <w:sz w:val="27"/>
          <w:rtl/>
        </w:rPr>
        <w:t xml:space="preserve"> (النحل: 75)</w:t>
      </w:r>
      <w:r w:rsidR="00A75C8B" w:rsidRPr="006571AC">
        <w:rPr>
          <w:sz w:val="27"/>
          <w:rtl/>
        </w:rPr>
        <w:t>،</w:t>
      </w:r>
      <w:r w:rsidR="00A75C8B" w:rsidRPr="006571AC">
        <w:rPr>
          <w:rFonts w:hint="cs"/>
          <w:sz w:val="27"/>
          <w:rtl/>
        </w:rPr>
        <w:t xml:space="preserve"> في معرض إثبات أن العبد لا يملك شيئاً: </w:t>
      </w:r>
      <w:r w:rsidR="00A75C8B" w:rsidRPr="006571AC">
        <w:rPr>
          <w:rFonts w:hint="eastAsia"/>
          <w:sz w:val="24"/>
          <w:szCs w:val="24"/>
          <w:rtl/>
        </w:rPr>
        <w:t>«</w:t>
      </w:r>
      <w:r w:rsidR="00A75C8B" w:rsidRPr="006571AC">
        <w:rPr>
          <w:sz w:val="27"/>
          <w:rtl/>
        </w:rPr>
        <w:t>إن وصف العبد بعدم القدرة بمنزلة الحكم عليه بذلك</w:t>
      </w:r>
      <w:r w:rsidRPr="006571AC">
        <w:rPr>
          <w:rFonts w:hint="cs"/>
          <w:sz w:val="27"/>
          <w:rtl/>
        </w:rPr>
        <w:t>؛</w:t>
      </w:r>
      <w:r w:rsidR="00A75C8B" w:rsidRPr="006571AC">
        <w:rPr>
          <w:sz w:val="27"/>
          <w:rtl/>
        </w:rPr>
        <w:t xml:space="preserve"> ل</w:t>
      </w:r>
      <w:r w:rsidR="00A75C8B" w:rsidRPr="006571AC">
        <w:rPr>
          <w:rFonts w:hint="cs"/>
          <w:sz w:val="27"/>
          <w:rtl/>
        </w:rPr>
        <w:t>أ</w:t>
      </w:r>
      <w:r w:rsidR="00A75C8B" w:rsidRPr="006571AC">
        <w:rPr>
          <w:sz w:val="27"/>
          <w:rtl/>
        </w:rPr>
        <w:t>ن</w:t>
      </w:r>
      <w:r w:rsidR="00A75C8B" w:rsidRPr="006571AC">
        <w:rPr>
          <w:rFonts w:hint="cs"/>
          <w:sz w:val="27"/>
          <w:rtl/>
        </w:rPr>
        <w:t xml:space="preserve"> [الغاية من] </w:t>
      </w:r>
      <w:r w:rsidR="00A75C8B" w:rsidRPr="006571AC">
        <w:rPr>
          <w:sz w:val="27"/>
          <w:rtl/>
        </w:rPr>
        <w:t xml:space="preserve">الصفة </w:t>
      </w:r>
      <w:r w:rsidR="00A75C8B" w:rsidRPr="006571AC">
        <w:rPr>
          <w:rFonts w:hint="cs"/>
          <w:sz w:val="27"/>
          <w:rtl/>
        </w:rPr>
        <w:t xml:space="preserve">[هنا هي الـ] </w:t>
      </w:r>
      <w:r w:rsidR="00A75C8B" w:rsidRPr="006571AC">
        <w:rPr>
          <w:sz w:val="27"/>
          <w:rtl/>
        </w:rPr>
        <w:t>كاشفة بقرينة السياق والمقام</w:t>
      </w:r>
      <w:r w:rsidR="00A75C8B" w:rsidRPr="006571AC">
        <w:rPr>
          <w:rFonts w:hint="cs"/>
          <w:sz w:val="27"/>
          <w:rtl/>
        </w:rPr>
        <w:t xml:space="preserve"> [دون التخصيص]،</w:t>
      </w:r>
      <w:r w:rsidR="00A75C8B" w:rsidRPr="006571AC">
        <w:rPr>
          <w:sz w:val="27"/>
          <w:rtl/>
        </w:rPr>
        <w:t xml:space="preserve"> وإن</w:t>
      </w:r>
      <w:r w:rsidRPr="006571AC">
        <w:rPr>
          <w:rFonts w:hint="cs"/>
          <w:sz w:val="27"/>
          <w:rtl/>
        </w:rPr>
        <w:t>ْ</w:t>
      </w:r>
      <w:r w:rsidR="00A75C8B" w:rsidRPr="006571AC">
        <w:rPr>
          <w:sz w:val="27"/>
          <w:rtl/>
        </w:rPr>
        <w:t xml:space="preserve"> كان ال</w:t>
      </w:r>
      <w:r w:rsidR="00A75C8B" w:rsidRPr="006571AC">
        <w:rPr>
          <w:rFonts w:hint="cs"/>
          <w:sz w:val="27"/>
          <w:rtl/>
        </w:rPr>
        <w:t>أ</w:t>
      </w:r>
      <w:r w:rsidR="00A75C8B" w:rsidRPr="006571AC">
        <w:rPr>
          <w:sz w:val="27"/>
          <w:rtl/>
        </w:rPr>
        <w:t xml:space="preserve">صل فيها </w:t>
      </w:r>
      <w:r w:rsidR="00A75C8B" w:rsidRPr="006571AC">
        <w:rPr>
          <w:rFonts w:hint="cs"/>
          <w:sz w:val="27"/>
          <w:rtl/>
        </w:rPr>
        <w:t xml:space="preserve">[أي في الصفات هو] </w:t>
      </w:r>
      <w:r w:rsidR="00A75C8B" w:rsidRPr="006571AC">
        <w:rPr>
          <w:sz w:val="27"/>
          <w:rtl/>
        </w:rPr>
        <w:t>التخصيص</w:t>
      </w:r>
      <w:r w:rsidR="00A75C8B" w:rsidRPr="006571AC">
        <w:rPr>
          <w:rFonts w:hint="eastAsia"/>
          <w:sz w:val="24"/>
          <w:szCs w:val="24"/>
          <w:rtl/>
        </w:rPr>
        <w:t>»</w:t>
      </w:r>
      <w:r w:rsidR="00A75C8B" w:rsidRPr="006571AC">
        <w:rPr>
          <w:sz w:val="27"/>
          <w:vertAlign w:val="superscript"/>
          <w:rtl/>
        </w:rPr>
        <w:t>(</w:t>
      </w:r>
      <w:r w:rsidR="00A75C8B" w:rsidRPr="006571AC">
        <w:rPr>
          <w:rStyle w:val="ac"/>
          <w:sz w:val="27"/>
          <w:rtl/>
        </w:rPr>
        <w:endnoteReference w:id="203"/>
      </w:r>
      <w:r w:rsidR="00A75C8B" w:rsidRPr="006571AC">
        <w:rPr>
          <w:sz w:val="27"/>
          <w:vertAlign w:val="superscript"/>
          <w:rtl/>
        </w:rPr>
        <w:t>)</w:t>
      </w:r>
      <w:r w:rsidR="00A75C8B" w:rsidRPr="006571AC">
        <w:rPr>
          <w:sz w:val="27"/>
          <w:rtl/>
        </w:rPr>
        <w:t>.</w:t>
      </w:r>
      <w:r w:rsidR="00A75C8B" w:rsidRPr="006571AC">
        <w:rPr>
          <w:rFonts w:hint="cs"/>
          <w:sz w:val="27"/>
          <w:rtl/>
        </w:rPr>
        <w:t xml:space="preserve"> إن هذه الآية الكريمة واردة</w:t>
      </w:r>
      <w:r w:rsidRPr="006571AC">
        <w:rPr>
          <w:rFonts w:hint="cs"/>
          <w:sz w:val="27"/>
          <w:rtl/>
        </w:rPr>
        <w:t>ٌ</w:t>
      </w:r>
      <w:r w:rsidR="00A75C8B" w:rsidRPr="006571AC">
        <w:rPr>
          <w:rFonts w:hint="cs"/>
          <w:sz w:val="27"/>
          <w:rtl/>
        </w:rPr>
        <w:t xml:space="preserve"> ضمن بحث عدم مالكية غير الله سبحانه وتعالى، وهذا الأمر قد أدّى إلى إنتاج سياق الضمنية. وقد استفاد صاحب الجواهر الضمنية من السياق، وقال بأن قيد </w:t>
      </w:r>
      <w:r w:rsidR="00A75C8B" w:rsidRPr="006571AC">
        <w:rPr>
          <w:rFonts w:hint="eastAsia"/>
          <w:sz w:val="24"/>
          <w:szCs w:val="24"/>
          <w:rtl/>
        </w:rPr>
        <w:t>«</w:t>
      </w:r>
      <w:r w:rsidR="00A75C8B" w:rsidRPr="006571AC">
        <w:rPr>
          <w:rFonts w:hint="cs"/>
          <w:sz w:val="27"/>
          <w:rtl/>
        </w:rPr>
        <w:t>لا يقدر على شيء</w:t>
      </w:r>
      <w:r w:rsidRPr="006571AC">
        <w:rPr>
          <w:rFonts w:hint="cs"/>
          <w:sz w:val="27"/>
          <w:rtl/>
        </w:rPr>
        <w:t>ٍ</w:t>
      </w:r>
      <w:r w:rsidR="00A75C8B" w:rsidRPr="006571AC">
        <w:rPr>
          <w:rFonts w:hint="eastAsia"/>
          <w:sz w:val="24"/>
          <w:szCs w:val="24"/>
          <w:rtl/>
        </w:rPr>
        <w:t>»</w:t>
      </w:r>
      <w:r w:rsidR="00A75C8B" w:rsidRPr="006571AC">
        <w:rPr>
          <w:rFonts w:hint="cs"/>
          <w:sz w:val="27"/>
          <w:rtl/>
        </w:rPr>
        <w:t xml:space="preserve"> توضيحي</w:t>
      </w:r>
      <w:r w:rsidRPr="006571AC">
        <w:rPr>
          <w:rFonts w:hint="cs"/>
          <w:sz w:val="27"/>
          <w:rtl/>
        </w:rPr>
        <w:t>،</w:t>
      </w:r>
      <w:r w:rsidR="00A75C8B" w:rsidRPr="006571AC">
        <w:rPr>
          <w:rFonts w:hint="cs"/>
          <w:sz w:val="27"/>
          <w:rtl/>
        </w:rPr>
        <w:t xml:space="preserve"> وليس تخصيصياً. وعلى هذا الأساس فإن جميع العبيد </w:t>
      </w:r>
      <w:r w:rsidR="00A75C8B" w:rsidRPr="006571AC">
        <w:rPr>
          <w:rFonts w:hint="eastAsia"/>
          <w:sz w:val="24"/>
          <w:szCs w:val="24"/>
          <w:rtl/>
        </w:rPr>
        <w:t>«</w:t>
      </w:r>
      <w:r w:rsidR="00A75C8B" w:rsidRPr="006571AC">
        <w:rPr>
          <w:rFonts w:hint="cs"/>
          <w:sz w:val="27"/>
          <w:rtl/>
        </w:rPr>
        <w:t>لا يقدرون على شيء</w:t>
      </w:r>
      <w:r w:rsidRPr="006571AC">
        <w:rPr>
          <w:rFonts w:hint="cs"/>
          <w:sz w:val="27"/>
          <w:rtl/>
        </w:rPr>
        <w:t>ٍ</w:t>
      </w:r>
      <w:r w:rsidR="00A75C8B" w:rsidRPr="006571AC">
        <w:rPr>
          <w:rFonts w:hint="eastAsia"/>
          <w:sz w:val="24"/>
          <w:szCs w:val="24"/>
          <w:rtl/>
        </w:rPr>
        <w:t>»</w:t>
      </w:r>
      <w:r w:rsidR="00A75C8B" w:rsidRPr="006571AC">
        <w:rPr>
          <w:rFonts w:hint="cs"/>
          <w:sz w:val="27"/>
          <w:rtl/>
        </w:rPr>
        <w:t xml:space="preserve">. </w:t>
      </w:r>
    </w:p>
    <w:p w:rsidR="009E7E1F" w:rsidRPr="006571AC" w:rsidRDefault="009E7E1F" w:rsidP="009E7E1F">
      <w:pPr>
        <w:spacing w:line="420" w:lineRule="exact"/>
        <w:rPr>
          <w:sz w:val="27"/>
          <w:rtl/>
        </w:rPr>
      </w:pPr>
    </w:p>
    <w:p w:rsidR="00A75C8B" w:rsidRPr="006571AC" w:rsidRDefault="00083599" w:rsidP="009C29A7">
      <w:pPr>
        <w:pStyle w:val="31"/>
        <w:rPr>
          <w:color w:val="auto"/>
          <w:rtl/>
        </w:rPr>
      </w:pPr>
      <w:bookmarkStart w:id="98" w:name="_Toc114164587"/>
      <w:r w:rsidRPr="006571AC">
        <w:rPr>
          <w:rFonts w:hint="cs"/>
          <w:color w:val="auto"/>
          <w:rtl/>
        </w:rPr>
        <w:t>ج ـ</w:t>
      </w:r>
      <w:r w:rsidR="00A75C8B" w:rsidRPr="006571AC">
        <w:rPr>
          <w:rFonts w:hint="cs"/>
          <w:color w:val="auto"/>
          <w:rtl/>
        </w:rPr>
        <w:t xml:space="preserve"> </w:t>
      </w:r>
      <w:r w:rsidR="00A75C8B" w:rsidRPr="006571AC">
        <w:rPr>
          <w:color w:val="auto"/>
          <w:rtl/>
        </w:rPr>
        <w:t>الكشف عن</w:t>
      </w:r>
      <w:r w:rsidR="00A75C8B" w:rsidRPr="006571AC">
        <w:rPr>
          <w:rFonts w:hint="cs"/>
          <w:color w:val="auto"/>
          <w:rtl/>
        </w:rPr>
        <w:t xml:space="preserve"> الخصوصي</w:t>
      </w:r>
      <w:r w:rsidRPr="006571AC">
        <w:rPr>
          <w:rFonts w:hint="cs"/>
          <w:color w:val="auto"/>
          <w:rtl/>
        </w:rPr>
        <w:t>ّ</w:t>
      </w:r>
      <w:r w:rsidR="00A75C8B" w:rsidRPr="006571AC">
        <w:rPr>
          <w:rFonts w:hint="cs"/>
          <w:color w:val="auto"/>
          <w:rtl/>
        </w:rPr>
        <w:t>ات</w:t>
      </w:r>
      <w:bookmarkEnd w:id="98"/>
    </w:p>
    <w:p w:rsidR="00133B19" w:rsidRPr="006571AC" w:rsidRDefault="00A75C8B" w:rsidP="00C95139">
      <w:pPr>
        <w:rPr>
          <w:sz w:val="27"/>
          <w:rtl/>
        </w:rPr>
      </w:pPr>
      <w:r w:rsidRPr="006571AC">
        <w:rPr>
          <w:rFonts w:hint="cs"/>
          <w:sz w:val="27"/>
          <w:rtl/>
        </w:rPr>
        <w:t>إن من بين أهم</w:t>
      </w:r>
      <w:r w:rsidR="005D7D1D" w:rsidRPr="006571AC">
        <w:rPr>
          <w:rFonts w:hint="cs"/>
          <w:sz w:val="27"/>
          <w:rtl/>
        </w:rPr>
        <w:t>ّ</w:t>
      </w:r>
      <w:r w:rsidRPr="006571AC">
        <w:rPr>
          <w:rFonts w:hint="cs"/>
          <w:sz w:val="27"/>
          <w:rtl/>
        </w:rPr>
        <w:t xml:space="preserve"> استعمالات قرينة السياق</w:t>
      </w:r>
      <w:r w:rsidR="005D7D1D" w:rsidRPr="006571AC">
        <w:rPr>
          <w:rFonts w:hint="cs"/>
          <w:sz w:val="27"/>
          <w:rtl/>
        </w:rPr>
        <w:t>،</w:t>
      </w:r>
      <w:r w:rsidRPr="006571AC">
        <w:rPr>
          <w:rFonts w:hint="cs"/>
          <w:sz w:val="27"/>
          <w:rtl/>
        </w:rPr>
        <w:t xml:space="preserve"> وأكثرها تميّ</w:t>
      </w:r>
      <w:r w:rsidR="005D7D1D" w:rsidRPr="006571AC">
        <w:rPr>
          <w:rFonts w:hint="cs"/>
          <w:sz w:val="27"/>
          <w:rtl/>
        </w:rPr>
        <w:t>ُ</w:t>
      </w:r>
      <w:r w:rsidRPr="006571AC">
        <w:rPr>
          <w:rFonts w:hint="cs"/>
          <w:sz w:val="27"/>
          <w:rtl/>
        </w:rPr>
        <w:t>زاً، هو الكشف عن الخصوصيات</w:t>
      </w:r>
      <w:r w:rsidR="005D7D1D" w:rsidRPr="006571AC">
        <w:rPr>
          <w:rFonts w:hint="cs"/>
          <w:sz w:val="27"/>
          <w:rtl/>
        </w:rPr>
        <w:t>،</w:t>
      </w:r>
      <w:r w:rsidRPr="006571AC">
        <w:rPr>
          <w:rFonts w:hint="cs"/>
          <w:sz w:val="27"/>
          <w:rtl/>
        </w:rPr>
        <w:t xml:space="preserve"> والتي تستعمل في الغالب في السياق الترت</w:t>
      </w:r>
      <w:r w:rsidR="005D7D1D" w:rsidRPr="006571AC">
        <w:rPr>
          <w:rFonts w:hint="cs"/>
          <w:sz w:val="27"/>
          <w:rtl/>
        </w:rPr>
        <w:t>ُّ</w:t>
      </w:r>
      <w:r w:rsidRPr="006571AC">
        <w:rPr>
          <w:rFonts w:hint="cs"/>
          <w:sz w:val="27"/>
          <w:rtl/>
        </w:rPr>
        <w:t>بي. وبعبارة</w:t>
      </w:r>
      <w:r w:rsidR="005D7D1D" w:rsidRPr="006571AC">
        <w:rPr>
          <w:rFonts w:hint="cs"/>
          <w:sz w:val="27"/>
          <w:rtl/>
        </w:rPr>
        <w:t>ٍ</w:t>
      </w:r>
      <w:r w:rsidRPr="006571AC">
        <w:rPr>
          <w:rFonts w:hint="cs"/>
          <w:sz w:val="27"/>
          <w:rtl/>
        </w:rPr>
        <w:t xml:space="preserve"> أخرى: إن لجزء</w:t>
      </w:r>
      <w:r w:rsidR="005D7D1D" w:rsidRPr="006571AC">
        <w:rPr>
          <w:rFonts w:hint="cs"/>
          <w:sz w:val="27"/>
          <w:rtl/>
        </w:rPr>
        <w:t>ٍ</w:t>
      </w:r>
      <w:r w:rsidRPr="006571AC">
        <w:rPr>
          <w:rFonts w:hint="cs"/>
          <w:sz w:val="27"/>
          <w:rtl/>
        </w:rPr>
        <w:t xml:space="preserve"> من الكلام خصوصي</w:t>
      </w:r>
      <w:r w:rsidR="005D7D1D" w:rsidRPr="006571AC">
        <w:rPr>
          <w:rFonts w:hint="cs"/>
          <w:sz w:val="27"/>
          <w:rtl/>
        </w:rPr>
        <w:t>ّ</w:t>
      </w:r>
      <w:r w:rsidRPr="006571AC">
        <w:rPr>
          <w:rFonts w:hint="cs"/>
          <w:sz w:val="27"/>
          <w:rtl/>
        </w:rPr>
        <w:t>ة</w:t>
      </w:r>
      <w:r w:rsidR="005D7D1D" w:rsidRPr="006571AC">
        <w:rPr>
          <w:rFonts w:hint="cs"/>
          <w:sz w:val="27"/>
          <w:rtl/>
        </w:rPr>
        <w:t>ً</w:t>
      </w:r>
      <w:r w:rsidRPr="006571AC">
        <w:rPr>
          <w:rFonts w:hint="cs"/>
          <w:sz w:val="27"/>
          <w:rtl/>
        </w:rPr>
        <w:t xml:space="preserve"> تنتقل وتسري إلى الطرف الآخر لجهة الترت</w:t>
      </w:r>
      <w:r w:rsidR="00133B19" w:rsidRPr="006571AC">
        <w:rPr>
          <w:rFonts w:hint="cs"/>
          <w:sz w:val="27"/>
          <w:rtl/>
        </w:rPr>
        <w:t>ُّ</w:t>
      </w:r>
      <w:r w:rsidRPr="006571AC">
        <w:rPr>
          <w:rFonts w:hint="cs"/>
          <w:sz w:val="27"/>
          <w:rtl/>
        </w:rPr>
        <w:t>ب مع الجزء الآخر من الكلام. لو اعتب</w:t>
      </w:r>
      <w:r w:rsidR="00133B19" w:rsidRPr="006571AC">
        <w:rPr>
          <w:rFonts w:hint="cs"/>
          <w:sz w:val="27"/>
          <w:rtl/>
        </w:rPr>
        <w:t>َ</w:t>
      </w:r>
      <w:r w:rsidRPr="006571AC">
        <w:rPr>
          <w:rFonts w:hint="cs"/>
          <w:sz w:val="27"/>
          <w:rtl/>
        </w:rPr>
        <w:t>ر</w:t>
      </w:r>
      <w:r w:rsidR="00133B19" w:rsidRPr="006571AC">
        <w:rPr>
          <w:rFonts w:hint="cs"/>
          <w:sz w:val="27"/>
          <w:rtl/>
        </w:rPr>
        <w:t>ْ</w:t>
      </w:r>
      <w:r w:rsidRPr="006571AC">
        <w:rPr>
          <w:rFonts w:hint="cs"/>
          <w:sz w:val="27"/>
          <w:rtl/>
        </w:rPr>
        <w:t>نا اسم قسم</w:t>
      </w:r>
      <w:r w:rsidR="00133B19" w:rsidRPr="006571AC">
        <w:rPr>
          <w:rFonts w:hint="cs"/>
          <w:sz w:val="27"/>
          <w:rtl/>
        </w:rPr>
        <w:t>ٍ</w:t>
      </w:r>
      <w:r w:rsidRPr="006571AC">
        <w:rPr>
          <w:rFonts w:hint="cs"/>
          <w:sz w:val="27"/>
          <w:rtl/>
        </w:rPr>
        <w:t xml:space="preserve"> من الكلام الواجد لخصوصي</w:t>
      </w:r>
      <w:r w:rsidR="00133B19" w:rsidRPr="006571AC">
        <w:rPr>
          <w:rFonts w:hint="cs"/>
          <w:sz w:val="27"/>
          <w:rtl/>
        </w:rPr>
        <w:t>ّ</w:t>
      </w:r>
      <w:r w:rsidRPr="006571AC">
        <w:rPr>
          <w:rFonts w:hint="cs"/>
          <w:sz w:val="27"/>
          <w:rtl/>
        </w:rPr>
        <w:t>ة</w:t>
      </w:r>
      <w:r w:rsidR="00133B19" w:rsidRPr="006571AC">
        <w:rPr>
          <w:rFonts w:hint="cs"/>
          <w:sz w:val="27"/>
          <w:rtl/>
        </w:rPr>
        <w:t>ٍ</w:t>
      </w:r>
      <w:r w:rsidRPr="006571AC">
        <w:rPr>
          <w:rFonts w:hint="cs"/>
          <w:sz w:val="27"/>
          <w:rtl/>
        </w:rPr>
        <w:t xml:space="preserve"> قطعي</w:t>
      </w:r>
      <w:r w:rsidR="00133B19" w:rsidRPr="006571AC">
        <w:rPr>
          <w:rFonts w:hint="cs"/>
          <w:sz w:val="27"/>
          <w:rtl/>
        </w:rPr>
        <w:t>ّ</w:t>
      </w:r>
      <w:r w:rsidRPr="006571AC">
        <w:rPr>
          <w:rFonts w:hint="cs"/>
          <w:sz w:val="27"/>
          <w:rtl/>
        </w:rPr>
        <w:t>ة</w:t>
      </w:r>
      <w:r w:rsidR="00133B19" w:rsidRPr="006571AC">
        <w:rPr>
          <w:rFonts w:hint="cs"/>
          <w:sz w:val="27"/>
          <w:rtl/>
        </w:rPr>
        <w:t>ٍ</w:t>
      </w:r>
      <w:r w:rsidRPr="006571AC">
        <w:rPr>
          <w:rFonts w:hint="cs"/>
          <w:sz w:val="27"/>
          <w:rtl/>
        </w:rPr>
        <w:t xml:space="preserve"> أصلاً، واسم </w:t>
      </w:r>
      <w:r w:rsidRPr="006571AC">
        <w:rPr>
          <w:rFonts w:hint="cs"/>
          <w:sz w:val="27"/>
          <w:rtl/>
        </w:rPr>
        <w:lastRenderedPageBreak/>
        <w:t>قسم</w:t>
      </w:r>
      <w:r w:rsidR="00133B19" w:rsidRPr="006571AC">
        <w:rPr>
          <w:rFonts w:hint="cs"/>
          <w:sz w:val="27"/>
          <w:rtl/>
        </w:rPr>
        <w:t>ٍ</w:t>
      </w:r>
      <w:r w:rsidRPr="006571AC">
        <w:rPr>
          <w:rFonts w:hint="cs"/>
          <w:sz w:val="27"/>
          <w:rtl/>
        </w:rPr>
        <w:t xml:space="preserve"> من الكلام الذي تنتقل إليه تلك الخصوصية لجهة السياق فرعاً، سوف نحصل في تبويب</w:t>
      </w:r>
      <w:r w:rsidR="00133B19" w:rsidRPr="006571AC">
        <w:rPr>
          <w:rFonts w:hint="cs"/>
          <w:sz w:val="27"/>
          <w:rtl/>
        </w:rPr>
        <w:t>ٍ</w:t>
      </w:r>
      <w:r w:rsidRPr="006571AC">
        <w:rPr>
          <w:rFonts w:hint="cs"/>
          <w:sz w:val="27"/>
          <w:rtl/>
        </w:rPr>
        <w:t xml:space="preserve"> أو</w:t>
      </w:r>
      <w:r w:rsidR="00133B19" w:rsidRPr="006571AC">
        <w:rPr>
          <w:rFonts w:hint="cs"/>
          <w:sz w:val="27"/>
          <w:rtl/>
        </w:rPr>
        <w:t>ّ</w:t>
      </w:r>
      <w:r w:rsidRPr="006571AC">
        <w:rPr>
          <w:rFonts w:hint="cs"/>
          <w:sz w:val="27"/>
          <w:rtl/>
        </w:rPr>
        <w:t>لي على نوعين من الكاشفية، وهما: تارة</w:t>
      </w:r>
      <w:r w:rsidR="00133B19" w:rsidRPr="006571AC">
        <w:rPr>
          <w:rFonts w:hint="cs"/>
          <w:sz w:val="27"/>
          <w:rtl/>
        </w:rPr>
        <w:t xml:space="preserve">ً </w:t>
      </w:r>
      <w:r w:rsidRPr="006571AC">
        <w:rPr>
          <w:rFonts w:hint="cs"/>
          <w:sz w:val="27"/>
          <w:rtl/>
        </w:rPr>
        <w:t>تكون خصوصي</w:t>
      </w:r>
      <w:r w:rsidR="00133B19" w:rsidRPr="006571AC">
        <w:rPr>
          <w:rFonts w:hint="cs"/>
          <w:sz w:val="27"/>
          <w:rtl/>
        </w:rPr>
        <w:t>ّ</w:t>
      </w:r>
      <w:r w:rsidRPr="006571AC">
        <w:rPr>
          <w:rFonts w:hint="cs"/>
          <w:sz w:val="27"/>
          <w:rtl/>
        </w:rPr>
        <w:t>ة الأصل مبيّنة في الكلام، ويكون الكلام ناظراً إليها، وفي هذه الحالة تكون كاشفية السياق أكثر شهودي</w:t>
      </w:r>
      <w:r w:rsidR="00133B19" w:rsidRPr="006571AC">
        <w:rPr>
          <w:rFonts w:hint="cs"/>
          <w:sz w:val="27"/>
          <w:rtl/>
        </w:rPr>
        <w:t>ّ</w:t>
      </w:r>
      <w:r w:rsidRPr="006571AC">
        <w:rPr>
          <w:rFonts w:hint="cs"/>
          <w:sz w:val="27"/>
          <w:rtl/>
        </w:rPr>
        <w:t>ة</w:t>
      </w:r>
      <w:r w:rsidR="00133B19" w:rsidRPr="006571AC">
        <w:rPr>
          <w:rFonts w:hint="cs"/>
          <w:sz w:val="27"/>
          <w:rtl/>
        </w:rPr>
        <w:t>ً؛</w:t>
      </w:r>
      <w:r w:rsidRPr="006571AC">
        <w:rPr>
          <w:rFonts w:hint="cs"/>
          <w:sz w:val="27"/>
          <w:rtl/>
        </w:rPr>
        <w:t xml:space="preserve"> وتارة</w:t>
      </w:r>
      <w:r w:rsidR="00133B19" w:rsidRPr="006571AC">
        <w:rPr>
          <w:rFonts w:hint="cs"/>
          <w:sz w:val="27"/>
          <w:rtl/>
        </w:rPr>
        <w:t>ً</w:t>
      </w:r>
      <w:r w:rsidRPr="006571AC">
        <w:rPr>
          <w:rFonts w:hint="cs"/>
          <w:sz w:val="27"/>
          <w:rtl/>
        </w:rPr>
        <w:t xml:space="preserve"> لا تكون خصوصية الأصل مبيّ</w:t>
      </w:r>
      <w:r w:rsidR="00133B19" w:rsidRPr="006571AC">
        <w:rPr>
          <w:rFonts w:hint="cs"/>
          <w:sz w:val="27"/>
          <w:rtl/>
        </w:rPr>
        <w:t>َ</w:t>
      </w:r>
      <w:r w:rsidRPr="006571AC">
        <w:rPr>
          <w:rFonts w:hint="cs"/>
          <w:sz w:val="27"/>
          <w:rtl/>
        </w:rPr>
        <w:t>نة في الكلام، ولا يكون الكلام ناظراً إليها، بل</w:t>
      </w:r>
      <w:r w:rsidR="00133B19" w:rsidRPr="006571AC">
        <w:rPr>
          <w:rFonts w:hint="cs"/>
          <w:sz w:val="27"/>
          <w:rtl/>
        </w:rPr>
        <w:t xml:space="preserve"> الخصوصية الواقعية له هو الشيء.</w:t>
      </w:r>
    </w:p>
    <w:p w:rsidR="00A75C8B" w:rsidRPr="006571AC" w:rsidRDefault="00A75C8B" w:rsidP="00C95139">
      <w:pPr>
        <w:rPr>
          <w:sz w:val="27"/>
          <w:rtl/>
        </w:rPr>
      </w:pPr>
      <w:r w:rsidRPr="006571AC">
        <w:rPr>
          <w:rFonts w:hint="cs"/>
          <w:sz w:val="27"/>
          <w:rtl/>
        </w:rPr>
        <w:t>وفي هذا القسم نذكر مثالاً لكلا الموردين</w:t>
      </w:r>
      <w:r w:rsidR="00133B19" w:rsidRPr="006571AC">
        <w:rPr>
          <w:rFonts w:hint="cs"/>
          <w:sz w:val="27"/>
          <w:rtl/>
        </w:rPr>
        <w:t>،</w:t>
      </w:r>
      <w:r w:rsidRPr="006571AC">
        <w:rPr>
          <w:rFonts w:hint="cs"/>
          <w:sz w:val="27"/>
          <w:rtl/>
        </w:rPr>
        <w:t xml:space="preserve"> و</w:t>
      </w:r>
      <w:r w:rsidR="00133B19" w:rsidRPr="006571AC">
        <w:rPr>
          <w:rFonts w:hint="cs"/>
          <w:sz w:val="27"/>
          <w:rtl/>
        </w:rPr>
        <w:t>ن</w:t>
      </w:r>
      <w:r w:rsidRPr="006571AC">
        <w:rPr>
          <w:rFonts w:hint="cs"/>
          <w:sz w:val="27"/>
          <w:rtl/>
        </w:rPr>
        <w:t xml:space="preserve">بحث استعمال العلماء لهما. </w:t>
      </w:r>
    </w:p>
    <w:p w:rsidR="00A75C8B" w:rsidRPr="006571AC" w:rsidRDefault="00A75C8B" w:rsidP="00C95139">
      <w:pPr>
        <w:rPr>
          <w:sz w:val="27"/>
          <w:rtl/>
        </w:rPr>
      </w:pPr>
      <w:r w:rsidRPr="006571AC">
        <w:rPr>
          <w:rFonts w:hint="cs"/>
          <w:sz w:val="27"/>
          <w:rtl/>
        </w:rPr>
        <w:t>الموارد التي يكون الكلام فيها ناظراً إلى خصوصية الأصل، فنعمل على نقل الخصوصية ـ التي بي</w:t>
      </w:r>
      <w:r w:rsidR="00133B19" w:rsidRPr="006571AC">
        <w:rPr>
          <w:rFonts w:hint="cs"/>
          <w:sz w:val="27"/>
          <w:rtl/>
        </w:rPr>
        <w:t>َّ</w:t>
      </w:r>
      <w:r w:rsidRPr="006571AC">
        <w:rPr>
          <w:rFonts w:hint="cs"/>
          <w:sz w:val="27"/>
          <w:rtl/>
        </w:rPr>
        <w:t xml:space="preserve">نها الكلام في الأصل ـ إلى الفرع. </w:t>
      </w:r>
      <w:r w:rsidR="00133B19" w:rsidRPr="006571AC">
        <w:rPr>
          <w:rFonts w:hint="cs"/>
          <w:sz w:val="27"/>
          <w:rtl/>
        </w:rPr>
        <w:t>و</w:t>
      </w:r>
      <w:r w:rsidRPr="006571AC">
        <w:rPr>
          <w:rFonts w:hint="cs"/>
          <w:sz w:val="27"/>
          <w:rtl/>
        </w:rPr>
        <w:t>من ذلك</w:t>
      </w:r>
      <w:r w:rsidR="00133B19" w:rsidRPr="006571AC">
        <w:rPr>
          <w:rFonts w:hint="cs"/>
          <w:sz w:val="27"/>
          <w:rtl/>
        </w:rPr>
        <w:t>،</w:t>
      </w:r>
      <w:r w:rsidRPr="006571AC">
        <w:rPr>
          <w:rFonts w:hint="cs"/>
          <w:sz w:val="27"/>
          <w:rtl/>
        </w:rPr>
        <w:t xml:space="preserve"> على سبيل المثال</w:t>
      </w:r>
      <w:r w:rsidR="00133B19" w:rsidRPr="006571AC">
        <w:rPr>
          <w:rFonts w:hint="cs"/>
          <w:sz w:val="27"/>
          <w:rtl/>
        </w:rPr>
        <w:t>،</w:t>
      </w:r>
      <w:r w:rsidRPr="006571AC">
        <w:rPr>
          <w:rFonts w:hint="cs"/>
          <w:sz w:val="27"/>
          <w:rtl/>
        </w:rPr>
        <w:t xml:space="preserve"> أن السيد الحكيم، في ذيل قوله تعالى: </w:t>
      </w:r>
      <w:r w:rsidRPr="006571AC">
        <w:rPr>
          <w:rFonts w:ascii="Mosawi" w:hAnsi="Mosawi" w:cs="Mosawi"/>
          <w:sz w:val="24"/>
          <w:szCs w:val="24"/>
          <w:rtl/>
        </w:rPr>
        <w:t>﴿</w:t>
      </w:r>
      <w:r w:rsidRPr="006571AC">
        <w:rPr>
          <w:b/>
          <w:bCs/>
          <w:sz w:val="27"/>
          <w:rtl/>
        </w:rPr>
        <w:t xml:space="preserve">إِنَّهُ لَقُرْآَنٌ كَرِيمٌ </w:t>
      </w:r>
      <w:r w:rsidRPr="006571AC">
        <w:rPr>
          <w:rFonts w:hint="cs"/>
          <w:b/>
          <w:bCs/>
          <w:sz w:val="27"/>
          <w:rtl/>
        </w:rPr>
        <w:t>*</w:t>
      </w:r>
      <w:r w:rsidRPr="006571AC">
        <w:rPr>
          <w:b/>
          <w:bCs/>
          <w:sz w:val="27"/>
          <w:rtl/>
        </w:rPr>
        <w:t xml:space="preserve"> فِي كِتَابٍ مَكْنُونٍ </w:t>
      </w:r>
      <w:r w:rsidRPr="006571AC">
        <w:rPr>
          <w:rFonts w:hint="cs"/>
          <w:b/>
          <w:bCs/>
          <w:sz w:val="27"/>
          <w:rtl/>
        </w:rPr>
        <w:t>*</w:t>
      </w:r>
      <w:r w:rsidR="00133B19" w:rsidRPr="006571AC">
        <w:rPr>
          <w:b/>
          <w:bCs/>
          <w:sz w:val="27"/>
          <w:rtl/>
        </w:rPr>
        <w:t xml:space="preserve"> ل</w:t>
      </w:r>
      <w:r w:rsidRPr="006571AC">
        <w:rPr>
          <w:b/>
          <w:bCs/>
          <w:sz w:val="27"/>
          <w:rtl/>
        </w:rPr>
        <w:t>ا</w:t>
      </w:r>
      <w:r w:rsidR="00133B19" w:rsidRPr="006571AC">
        <w:rPr>
          <w:rFonts w:hint="cs"/>
          <w:b/>
          <w:bCs/>
          <w:sz w:val="27"/>
          <w:rtl/>
        </w:rPr>
        <w:t>َ</w:t>
      </w:r>
      <w:r w:rsidRPr="006571AC">
        <w:rPr>
          <w:b/>
          <w:bCs/>
          <w:sz w:val="27"/>
          <w:rtl/>
        </w:rPr>
        <w:t xml:space="preserve"> يَمَسُّهُ إِ</w:t>
      </w:r>
      <w:r w:rsidR="003C2639" w:rsidRPr="006571AC">
        <w:rPr>
          <w:b/>
          <w:bCs/>
          <w:sz w:val="27"/>
          <w:rtl/>
        </w:rPr>
        <w:t>لاّ</w:t>
      </w:r>
      <w:r w:rsidR="00133B19" w:rsidRPr="006571AC">
        <w:rPr>
          <w:rFonts w:hint="cs"/>
          <w:b/>
          <w:bCs/>
          <w:sz w:val="27"/>
          <w:rtl/>
        </w:rPr>
        <w:t>َ</w:t>
      </w:r>
      <w:r w:rsidRPr="006571AC">
        <w:rPr>
          <w:b/>
          <w:bCs/>
          <w:sz w:val="27"/>
          <w:rtl/>
        </w:rPr>
        <w:t xml:space="preserve"> الْمُطَهَّرُونَ</w:t>
      </w:r>
      <w:r w:rsidRPr="006571AC">
        <w:rPr>
          <w:rFonts w:ascii="Mosawi" w:hAnsi="Mosawi" w:cs="Mosawi"/>
          <w:sz w:val="24"/>
          <w:szCs w:val="24"/>
          <w:rtl/>
        </w:rPr>
        <w:t>﴾</w:t>
      </w:r>
      <w:r w:rsidRPr="006571AC">
        <w:rPr>
          <w:rFonts w:hint="cs"/>
          <w:sz w:val="27"/>
          <w:rtl/>
        </w:rPr>
        <w:t xml:space="preserve"> (الواقعة: 77 ـ 79)</w:t>
      </w:r>
      <w:r w:rsidRPr="006571AC">
        <w:rPr>
          <w:sz w:val="27"/>
          <w:rtl/>
        </w:rPr>
        <w:t>،</w:t>
      </w:r>
      <w:r w:rsidRPr="006571AC">
        <w:rPr>
          <w:rFonts w:hint="cs"/>
          <w:sz w:val="27"/>
          <w:rtl/>
        </w:rPr>
        <w:t xml:space="preserve"> قال في إطار نقد القول بشرطية الطهارة في جواز مسّ القرآن استناداً إلى هذه الآية: </w:t>
      </w:r>
      <w:r w:rsidRPr="006571AC">
        <w:rPr>
          <w:rFonts w:hint="eastAsia"/>
          <w:sz w:val="24"/>
          <w:szCs w:val="24"/>
          <w:rtl/>
        </w:rPr>
        <w:t>«</w:t>
      </w:r>
      <w:r w:rsidRPr="006571AC">
        <w:rPr>
          <w:sz w:val="27"/>
          <w:rtl/>
        </w:rPr>
        <w:t>ولكن</w:t>
      </w:r>
      <w:r w:rsidR="00133B19" w:rsidRPr="006571AC">
        <w:rPr>
          <w:rFonts w:hint="cs"/>
          <w:sz w:val="27"/>
          <w:rtl/>
        </w:rPr>
        <w:t>ْ</w:t>
      </w:r>
      <w:r w:rsidRPr="006571AC">
        <w:rPr>
          <w:sz w:val="27"/>
          <w:rtl/>
        </w:rPr>
        <w:t xml:space="preserve"> ي</w:t>
      </w:r>
      <w:r w:rsidR="00133B19" w:rsidRPr="006571AC">
        <w:rPr>
          <w:rFonts w:hint="cs"/>
          <w:sz w:val="27"/>
          <w:rtl/>
        </w:rPr>
        <w:t>ُ</w:t>
      </w:r>
      <w:r w:rsidRPr="006571AC">
        <w:rPr>
          <w:sz w:val="27"/>
          <w:rtl/>
        </w:rPr>
        <w:t>ش</w:t>
      </w:r>
      <w:r w:rsidR="00133B19" w:rsidRPr="006571AC">
        <w:rPr>
          <w:rFonts w:hint="cs"/>
          <w:sz w:val="27"/>
          <w:rtl/>
        </w:rPr>
        <w:t>ْ</w:t>
      </w:r>
      <w:r w:rsidRPr="006571AC">
        <w:rPr>
          <w:sz w:val="27"/>
          <w:rtl/>
        </w:rPr>
        <w:t>ك</w:t>
      </w:r>
      <w:r w:rsidR="00133B19" w:rsidRPr="006571AC">
        <w:rPr>
          <w:rFonts w:hint="cs"/>
          <w:sz w:val="27"/>
          <w:rtl/>
        </w:rPr>
        <w:t>َ</w:t>
      </w:r>
      <w:r w:rsidRPr="006571AC">
        <w:rPr>
          <w:sz w:val="27"/>
          <w:rtl/>
        </w:rPr>
        <w:t xml:space="preserve">ل بأن الظاهر منه </w:t>
      </w:r>
      <w:r w:rsidRPr="006571AC">
        <w:rPr>
          <w:rFonts w:hint="cs"/>
          <w:sz w:val="27"/>
          <w:rtl/>
        </w:rPr>
        <w:t>ـ</w:t>
      </w:r>
      <w:r w:rsidRPr="006571AC">
        <w:rPr>
          <w:sz w:val="27"/>
          <w:rtl/>
        </w:rPr>
        <w:t xml:space="preserve"> بقرينة السياق </w:t>
      </w:r>
      <w:r w:rsidRPr="006571AC">
        <w:rPr>
          <w:rFonts w:hint="cs"/>
          <w:sz w:val="27"/>
          <w:rtl/>
        </w:rPr>
        <w:t>ـ</w:t>
      </w:r>
      <w:r w:rsidRPr="006571AC">
        <w:rPr>
          <w:sz w:val="27"/>
          <w:rtl/>
        </w:rPr>
        <w:t xml:space="preserve"> كون</w:t>
      </w:r>
      <w:r w:rsidRPr="006571AC">
        <w:rPr>
          <w:rFonts w:hint="cs"/>
          <w:sz w:val="27"/>
          <w:rtl/>
        </w:rPr>
        <w:t>ه</w:t>
      </w:r>
      <w:r w:rsidRPr="006571AC">
        <w:rPr>
          <w:sz w:val="27"/>
          <w:rtl/>
        </w:rPr>
        <w:t xml:space="preserve"> حكاية</w:t>
      </w:r>
      <w:r w:rsidR="00133B19" w:rsidRPr="006571AC">
        <w:rPr>
          <w:rFonts w:hint="cs"/>
          <w:sz w:val="27"/>
          <w:rtl/>
        </w:rPr>
        <w:t>ً</w:t>
      </w:r>
      <w:r w:rsidRPr="006571AC">
        <w:rPr>
          <w:sz w:val="27"/>
          <w:rtl/>
        </w:rPr>
        <w:t xml:space="preserve"> عن وصف</w:t>
      </w:r>
      <w:r w:rsidR="00133B19" w:rsidRPr="006571AC">
        <w:rPr>
          <w:rFonts w:hint="cs"/>
          <w:sz w:val="27"/>
          <w:rtl/>
        </w:rPr>
        <w:t>ٍ</w:t>
      </w:r>
      <w:r w:rsidRPr="006571AC">
        <w:rPr>
          <w:sz w:val="27"/>
          <w:rtl/>
        </w:rPr>
        <w:t xml:space="preserve"> خارجي</w:t>
      </w:r>
      <w:r w:rsidR="00133B19" w:rsidRPr="006571AC">
        <w:rPr>
          <w:rFonts w:hint="cs"/>
          <w:sz w:val="27"/>
          <w:rtl/>
        </w:rPr>
        <w:t>ّ</w:t>
      </w:r>
      <w:r w:rsidRPr="006571AC">
        <w:rPr>
          <w:sz w:val="27"/>
          <w:rtl/>
        </w:rPr>
        <w:t xml:space="preserve"> للقرآن، لا</w:t>
      </w:r>
      <w:r w:rsidR="00D34E91" w:rsidRPr="006571AC">
        <w:rPr>
          <w:rFonts w:hint="cs"/>
          <w:sz w:val="27"/>
          <w:rtl/>
        </w:rPr>
        <w:t xml:space="preserve"> </w:t>
      </w:r>
      <w:r w:rsidRPr="006571AC">
        <w:rPr>
          <w:sz w:val="27"/>
          <w:rtl/>
        </w:rPr>
        <w:t>جعل حكم</w:t>
      </w:r>
      <w:r w:rsidR="00133B19" w:rsidRPr="006571AC">
        <w:rPr>
          <w:rFonts w:hint="cs"/>
          <w:sz w:val="27"/>
          <w:rtl/>
        </w:rPr>
        <w:t>ٍ</w:t>
      </w:r>
      <w:r w:rsidRPr="006571AC">
        <w:rPr>
          <w:sz w:val="27"/>
          <w:rtl/>
        </w:rPr>
        <w:t xml:space="preserve"> تشريعي</w:t>
      </w:r>
      <w:r w:rsidRPr="006571AC">
        <w:rPr>
          <w:rFonts w:hint="eastAsia"/>
          <w:sz w:val="24"/>
          <w:szCs w:val="24"/>
          <w:rtl/>
        </w:rPr>
        <w:t>»</w:t>
      </w:r>
      <w:r w:rsidRPr="006571AC">
        <w:rPr>
          <w:sz w:val="27"/>
          <w:vertAlign w:val="superscript"/>
          <w:rtl/>
        </w:rPr>
        <w:t>(</w:t>
      </w:r>
      <w:r w:rsidRPr="006571AC">
        <w:rPr>
          <w:rStyle w:val="ac"/>
          <w:sz w:val="27"/>
          <w:rtl/>
        </w:rPr>
        <w:endnoteReference w:id="204"/>
      </w:r>
      <w:r w:rsidRPr="006571AC">
        <w:rPr>
          <w:sz w:val="27"/>
          <w:vertAlign w:val="superscript"/>
          <w:rtl/>
        </w:rPr>
        <w:t>)</w:t>
      </w:r>
      <w:r w:rsidRPr="006571AC">
        <w:rPr>
          <w:sz w:val="27"/>
          <w:rtl/>
        </w:rPr>
        <w:t>.</w:t>
      </w:r>
      <w:r w:rsidRPr="006571AC">
        <w:rPr>
          <w:rFonts w:hint="cs"/>
          <w:sz w:val="27"/>
          <w:rtl/>
        </w:rPr>
        <w:t xml:space="preserve"> والكلام في فقرة</w:t>
      </w:r>
      <w:r w:rsidRPr="006571AC">
        <w:rPr>
          <w:rFonts w:ascii="Mosawi" w:hAnsi="Mosawi" w:cs="Mosawi" w:hint="cs"/>
          <w:sz w:val="24"/>
          <w:szCs w:val="24"/>
          <w:rtl/>
        </w:rPr>
        <w:t xml:space="preserve"> </w:t>
      </w:r>
      <w:r w:rsidRPr="006571AC">
        <w:rPr>
          <w:rFonts w:ascii="Mosawi" w:hAnsi="Mosawi" w:cs="Mosawi"/>
          <w:sz w:val="24"/>
          <w:szCs w:val="24"/>
          <w:rtl/>
        </w:rPr>
        <w:t>﴿</w:t>
      </w:r>
      <w:r w:rsidRPr="006571AC">
        <w:rPr>
          <w:b/>
          <w:bCs/>
          <w:sz w:val="27"/>
          <w:rtl/>
        </w:rPr>
        <w:t>إِنَّهُ لَقُرْآَنٌ كَرِيمٌ * فِي كِتَابٍ مَكْنُونٍ</w:t>
      </w:r>
      <w:r w:rsidRPr="006571AC">
        <w:rPr>
          <w:rFonts w:ascii="Mosawi" w:hAnsi="Mosawi" w:cs="Mosawi"/>
          <w:sz w:val="24"/>
          <w:szCs w:val="24"/>
          <w:rtl/>
        </w:rPr>
        <w:t>﴾</w:t>
      </w:r>
      <w:r w:rsidRPr="006571AC">
        <w:rPr>
          <w:rFonts w:hint="cs"/>
          <w:sz w:val="27"/>
          <w:rtl/>
        </w:rPr>
        <w:t xml:space="preserve"> ناظر</w:t>
      </w:r>
      <w:r w:rsidR="00133B19" w:rsidRPr="006571AC">
        <w:rPr>
          <w:rFonts w:hint="cs"/>
          <w:sz w:val="27"/>
          <w:rtl/>
        </w:rPr>
        <w:t>ٌ</w:t>
      </w:r>
      <w:r w:rsidRPr="006571AC">
        <w:rPr>
          <w:rFonts w:hint="cs"/>
          <w:sz w:val="27"/>
          <w:rtl/>
        </w:rPr>
        <w:t xml:space="preserve"> إلى الإخبار في مورد القرآن. </w:t>
      </w:r>
      <w:r w:rsidR="00DA4132" w:rsidRPr="006571AC">
        <w:rPr>
          <w:rFonts w:hint="cs"/>
          <w:sz w:val="27"/>
          <w:rtl/>
        </w:rPr>
        <w:t>وقد استفاد</w:t>
      </w:r>
      <w:r w:rsidRPr="006571AC">
        <w:rPr>
          <w:rFonts w:hint="cs"/>
          <w:sz w:val="27"/>
          <w:rtl/>
        </w:rPr>
        <w:t xml:space="preserve"> سماحته من ترتّ</w:t>
      </w:r>
      <w:r w:rsidR="00DA4132" w:rsidRPr="006571AC">
        <w:rPr>
          <w:rFonts w:hint="cs"/>
          <w:sz w:val="27"/>
          <w:rtl/>
        </w:rPr>
        <w:t>ُ</w:t>
      </w:r>
      <w:r w:rsidRPr="006571AC">
        <w:rPr>
          <w:rFonts w:hint="cs"/>
          <w:sz w:val="27"/>
          <w:rtl/>
        </w:rPr>
        <w:t>ب فقرة</w:t>
      </w:r>
      <w:r w:rsidRPr="006571AC">
        <w:rPr>
          <w:rFonts w:ascii="Mosawi" w:hAnsi="Mosawi" w:cs="Mosawi" w:hint="cs"/>
          <w:sz w:val="24"/>
          <w:szCs w:val="24"/>
          <w:rtl/>
        </w:rPr>
        <w:t xml:space="preserve"> </w:t>
      </w:r>
      <w:r w:rsidRPr="006571AC">
        <w:rPr>
          <w:rFonts w:ascii="Mosawi" w:hAnsi="Mosawi" w:cs="Mosawi"/>
          <w:sz w:val="24"/>
          <w:szCs w:val="24"/>
          <w:rtl/>
        </w:rPr>
        <w:t>﴿</w:t>
      </w:r>
      <w:r w:rsidR="00DA4132" w:rsidRPr="006571AC">
        <w:rPr>
          <w:b/>
          <w:bCs/>
          <w:sz w:val="27"/>
          <w:rtl/>
        </w:rPr>
        <w:t>ل</w:t>
      </w:r>
      <w:r w:rsidRPr="006571AC">
        <w:rPr>
          <w:b/>
          <w:bCs/>
          <w:sz w:val="27"/>
          <w:rtl/>
        </w:rPr>
        <w:t>ا</w:t>
      </w:r>
      <w:r w:rsidR="00DA4132" w:rsidRPr="006571AC">
        <w:rPr>
          <w:rFonts w:hint="cs"/>
          <w:b/>
          <w:bCs/>
          <w:sz w:val="27"/>
          <w:rtl/>
        </w:rPr>
        <w:t>َ</w:t>
      </w:r>
      <w:r w:rsidRPr="006571AC">
        <w:rPr>
          <w:b/>
          <w:bCs/>
          <w:sz w:val="27"/>
          <w:rtl/>
        </w:rPr>
        <w:t xml:space="preserve"> يَمَسُّهُ إِ</w:t>
      </w:r>
      <w:r w:rsidR="003C2639" w:rsidRPr="006571AC">
        <w:rPr>
          <w:b/>
          <w:bCs/>
          <w:sz w:val="27"/>
          <w:rtl/>
        </w:rPr>
        <w:t>لاّ</w:t>
      </w:r>
      <w:r w:rsidR="00DA4132" w:rsidRPr="006571AC">
        <w:rPr>
          <w:rFonts w:hint="cs"/>
          <w:b/>
          <w:bCs/>
          <w:sz w:val="27"/>
          <w:rtl/>
        </w:rPr>
        <w:t>َ</w:t>
      </w:r>
      <w:r w:rsidRPr="006571AC">
        <w:rPr>
          <w:b/>
          <w:bCs/>
          <w:sz w:val="27"/>
          <w:rtl/>
        </w:rPr>
        <w:t xml:space="preserve"> الْمُطَهَّرُونَ</w:t>
      </w:r>
      <w:r w:rsidRPr="006571AC">
        <w:rPr>
          <w:rFonts w:ascii="Mosawi" w:hAnsi="Mosawi" w:cs="Mosawi"/>
          <w:sz w:val="24"/>
          <w:szCs w:val="24"/>
          <w:rtl/>
        </w:rPr>
        <w:t>﴾</w:t>
      </w:r>
      <w:r w:rsidRPr="006571AC">
        <w:rPr>
          <w:rFonts w:hint="cs"/>
          <w:sz w:val="27"/>
          <w:rtl/>
        </w:rPr>
        <w:t xml:space="preserve"> معها أن هذه الآية ب</w:t>
      </w:r>
      <w:r w:rsidR="00EA38F1" w:rsidRPr="006571AC">
        <w:rPr>
          <w:rFonts w:hint="cs"/>
          <w:sz w:val="27"/>
          <w:rtl/>
        </w:rPr>
        <w:t>دَوْر</w:t>
      </w:r>
      <w:r w:rsidRPr="006571AC">
        <w:rPr>
          <w:rFonts w:hint="cs"/>
          <w:sz w:val="27"/>
          <w:rtl/>
        </w:rPr>
        <w:t>ها يجب أن تكون في مقام الإخبار أيضاً</w:t>
      </w:r>
      <w:r w:rsidR="00DA4132" w:rsidRPr="006571AC">
        <w:rPr>
          <w:rFonts w:hint="cs"/>
          <w:sz w:val="27"/>
          <w:rtl/>
        </w:rPr>
        <w:t>،</w:t>
      </w:r>
      <w:r w:rsidRPr="006571AC">
        <w:rPr>
          <w:rFonts w:hint="cs"/>
          <w:sz w:val="27"/>
          <w:rtl/>
        </w:rPr>
        <w:t xml:space="preserve"> دون الإنشاء. </w:t>
      </w:r>
    </w:p>
    <w:p w:rsidR="00A75C8B" w:rsidRPr="006571AC" w:rsidRDefault="00A75C8B" w:rsidP="00D34E91">
      <w:pPr>
        <w:rPr>
          <w:sz w:val="27"/>
          <w:rtl/>
        </w:rPr>
      </w:pPr>
      <w:r w:rsidRPr="006571AC">
        <w:rPr>
          <w:rFonts w:hint="cs"/>
          <w:sz w:val="27"/>
          <w:rtl/>
        </w:rPr>
        <w:t>إن الاستفادة من السياق</w:t>
      </w:r>
      <w:r w:rsidR="00DA4132" w:rsidRPr="006571AC">
        <w:rPr>
          <w:rFonts w:hint="cs"/>
          <w:sz w:val="27"/>
          <w:rtl/>
        </w:rPr>
        <w:t>؛</w:t>
      </w:r>
      <w:r w:rsidRPr="006571AC">
        <w:rPr>
          <w:rFonts w:hint="cs"/>
          <w:sz w:val="27"/>
          <w:rtl/>
        </w:rPr>
        <w:t xml:space="preserve"> لكشف الخصوصية</w:t>
      </w:r>
      <w:r w:rsidR="00DA4132" w:rsidRPr="006571AC">
        <w:rPr>
          <w:rFonts w:hint="cs"/>
          <w:sz w:val="27"/>
          <w:rtl/>
        </w:rPr>
        <w:t>،</w:t>
      </w:r>
      <w:r w:rsidRPr="006571AC">
        <w:rPr>
          <w:rFonts w:hint="cs"/>
          <w:sz w:val="27"/>
          <w:rtl/>
        </w:rPr>
        <w:t xml:space="preserve"> لا تقتصر على هذه الموارد</w:t>
      </w:r>
      <w:r w:rsidR="00DA4132" w:rsidRPr="006571AC">
        <w:rPr>
          <w:rFonts w:hint="cs"/>
          <w:sz w:val="27"/>
          <w:rtl/>
        </w:rPr>
        <w:t>،</w:t>
      </w:r>
      <w:r w:rsidRPr="006571AC">
        <w:rPr>
          <w:rFonts w:hint="cs"/>
          <w:sz w:val="27"/>
          <w:rtl/>
        </w:rPr>
        <w:t xml:space="preserve"> بل إن العلماء قد ذهبوا إلى أبعد من ذلك، حيث استفادوا من السياق في انتقال خصوصي</w:t>
      </w:r>
      <w:r w:rsidR="00DA4132" w:rsidRPr="006571AC">
        <w:rPr>
          <w:rFonts w:hint="cs"/>
          <w:sz w:val="27"/>
          <w:rtl/>
        </w:rPr>
        <w:t>ّ</w:t>
      </w:r>
      <w:r w:rsidRPr="006571AC">
        <w:rPr>
          <w:rFonts w:hint="cs"/>
          <w:sz w:val="27"/>
          <w:rtl/>
        </w:rPr>
        <w:t>ات</w:t>
      </w:r>
      <w:r w:rsidR="00DA4132" w:rsidRPr="006571AC">
        <w:rPr>
          <w:rFonts w:hint="cs"/>
          <w:sz w:val="27"/>
          <w:rtl/>
        </w:rPr>
        <w:t>ٍ</w:t>
      </w:r>
      <w:r w:rsidRPr="006571AC">
        <w:rPr>
          <w:rFonts w:hint="cs"/>
          <w:sz w:val="27"/>
          <w:rtl/>
        </w:rPr>
        <w:t xml:space="preserve"> ـ لا يكون الكلام ناظراً إليها بأيّ وجه</w:t>
      </w:r>
      <w:r w:rsidR="00DA4132" w:rsidRPr="006571AC">
        <w:rPr>
          <w:rFonts w:hint="cs"/>
          <w:sz w:val="27"/>
          <w:rtl/>
        </w:rPr>
        <w:t>ٍ</w:t>
      </w:r>
      <w:r w:rsidRPr="006571AC">
        <w:rPr>
          <w:rFonts w:hint="cs"/>
          <w:sz w:val="27"/>
          <w:rtl/>
        </w:rPr>
        <w:t xml:space="preserve"> من الوجوه، بل هي معلومة</w:t>
      </w:r>
      <w:r w:rsidR="00DA4132" w:rsidRPr="006571AC">
        <w:rPr>
          <w:rFonts w:hint="cs"/>
          <w:sz w:val="27"/>
          <w:rtl/>
        </w:rPr>
        <w:t>ٌ</w:t>
      </w:r>
      <w:r w:rsidRPr="006571AC">
        <w:rPr>
          <w:rFonts w:hint="cs"/>
          <w:sz w:val="27"/>
          <w:rtl/>
        </w:rPr>
        <w:t xml:space="preserve"> للأصل من الخارج ـ إلى الفرع. </w:t>
      </w:r>
      <w:r w:rsidR="00DA4132" w:rsidRPr="006571AC">
        <w:rPr>
          <w:rFonts w:hint="cs"/>
          <w:sz w:val="27"/>
          <w:rtl/>
        </w:rPr>
        <w:t>و</w:t>
      </w:r>
      <w:r w:rsidRPr="006571AC">
        <w:rPr>
          <w:rFonts w:hint="cs"/>
          <w:sz w:val="27"/>
          <w:rtl/>
        </w:rPr>
        <w:t>من ذلك ـ على سبيل المثال ـ</w:t>
      </w:r>
      <w:r w:rsidR="00DA4132" w:rsidRPr="006571AC">
        <w:rPr>
          <w:rFonts w:hint="cs"/>
          <w:sz w:val="27"/>
          <w:rtl/>
        </w:rPr>
        <w:t>:</w:t>
      </w:r>
      <w:r w:rsidRPr="006571AC">
        <w:rPr>
          <w:rFonts w:hint="cs"/>
          <w:sz w:val="27"/>
          <w:rtl/>
        </w:rPr>
        <w:t xml:space="preserve"> نجد المحق</w:t>
      </w:r>
      <w:r w:rsidR="00DA4132" w:rsidRPr="006571AC">
        <w:rPr>
          <w:rFonts w:hint="cs"/>
          <w:sz w:val="27"/>
          <w:rtl/>
        </w:rPr>
        <w:t>ِّ</w:t>
      </w:r>
      <w:r w:rsidRPr="006571AC">
        <w:rPr>
          <w:rFonts w:hint="cs"/>
          <w:sz w:val="27"/>
          <w:rtl/>
        </w:rPr>
        <w:t>ق الداماد</w:t>
      </w:r>
      <w:r w:rsidR="00DA4132" w:rsidRPr="006571AC">
        <w:rPr>
          <w:rFonts w:hint="cs"/>
          <w:sz w:val="27"/>
          <w:rtl/>
        </w:rPr>
        <w:t>،</w:t>
      </w:r>
      <w:r w:rsidRPr="006571AC">
        <w:rPr>
          <w:rFonts w:hint="cs"/>
          <w:sz w:val="27"/>
          <w:rtl/>
        </w:rPr>
        <w:t xml:space="preserve"> في ذيل رواية عمر بن يزيد</w:t>
      </w:r>
      <w:r w:rsidR="00DA4132" w:rsidRPr="006571AC">
        <w:rPr>
          <w:rFonts w:hint="cs"/>
          <w:sz w:val="27"/>
          <w:rtl/>
        </w:rPr>
        <w:t>،</w:t>
      </w:r>
      <w:r w:rsidRPr="006571AC">
        <w:rPr>
          <w:rFonts w:hint="cs"/>
          <w:sz w:val="27"/>
          <w:rtl/>
        </w:rPr>
        <w:t xml:space="preserve"> عن الإمام الصادق</w:t>
      </w:r>
      <w:r w:rsidR="002A2C90" w:rsidRPr="006571AC">
        <w:rPr>
          <w:rFonts w:ascii="Mosawi" w:hAnsi="Mosawi" w:cs="Mosawi"/>
          <w:sz w:val="22"/>
          <w:szCs w:val="22"/>
          <w:rtl/>
        </w:rPr>
        <w:t>×</w:t>
      </w:r>
      <w:r w:rsidRPr="006571AC">
        <w:rPr>
          <w:rFonts w:hint="cs"/>
          <w:sz w:val="27"/>
          <w:rtl/>
        </w:rPr>
        <w:t xml:space="preserve">: </w:t>
      </w:r>
      <w:r w:rsidRPr="006571AC">
        <w:rPr>
          <w:rFonts w:hint="eastAsia"/>
          <w:sz w:val="24"/>
          <w:szCs w:val="24"/>
          <w:rtl/>
        </w:rPr>
        <w:t>«</w:t>
      </w:r>
      <w:r w:rsidRPr="006571AC">
        <w:rPr>
          <w:rFonts w:hint="cs"/>
          <w:sz w:val="27"/>
          <w:rtl/>
        </w:rPr>
        <w:t>لا بأس بحك</w:t>
      </w:r>
      <w:r w:rsidR="00DA4132" w:rsidRPr="006571AC">
        <w:rPr>
          <w:rFonts w:hint="cs"/>
          <w:sz w:val="27"/>
          <w:rtl/>
        </w:rPr>
        <w:t>ّ</w:t>
      </w:r>
      <w:r w:rsidRPr="006571AC">
        <w:rPr>
          <w:rFonts w:hint="cs"/>
          <w:sz w:val="27"/>
          <w:rtl/>
        </w:rPr>
        <w:t xml:space="preserve"> الرأس واللحية، ما لم ي</w:t>
      </w:r>
      <w:r w:rsidR="00DA4132" w:rsidRPr="006571AC">
        <w:rPr>
          <w:rFonts w:hint="cs"/>
          <w:sz w:val="27"/>
          <w:rtl/>
        </w:rPr>
        <w:t>ُ</w:t>
      </w:r>
      <w:r w:rsidRPr="006571AC">
        <w:rPr>
          <w:rFonts w:hint="cs"/>
          <w:sz w:val="27"/>
          <w:rtl/>
        </w:rPr>
        <w:t>ل</w:t>
      </w:r>
      <w:r w:rsidR="00DA4132" w:rsidRPr="006571AC">
        <w:rPr>
          <w:rFonts w:hint="cs"/>
          <w:sz w:val="27"/>
          <w:rtl/>
        </w:rPr>
        <w:t>ْ</w:t>
      </w:r>
      <w:r w:rsidRPr="006571AC">
        <w:rPr>
          <w:rFonts w:hint="cs"/>
          <w:sz w:val="27"/>
          <w:rtl/>
        </w:rPr>
        <w:t>ق</w:t>
      </w:r>
      <w:r w:rsidR="00DA4132" w:rsidRPr="006571AC">
        <w:rPr>
          <w:rFonts w:hint="cs"/>
          <w:sz w:val="27"/>
          <w:rtl/>
        </w:rPr>
        <w:t>ِ</w:t>
      </w:r>
      <w:r w:rsidRPr="006571AC">
        <w:rPr>
          <w:rFonts w:hint="cs"/>
          <w:sz w:val="27"/>
          <w:rtl/>
        </w:rPr>
        <w:t xml:space="preserve"> الشعر</w:t>
      </w:r>
      <w:r w:rsidR="00DA4132" w:rsidRPr="006571AC">
        <w:rPr>
          <w:rFonts w:hint="cs"/>
          <w:sz w:val="27"/>
          <w:rtl/>
        </w:rPr>
        <w:t xml:space="preserve">؛ </w:t>
      </w:r>
      <w:r w:rsidRPr="006571AC">
        <w:rPr>
          <w:rFonts w:hint="cs"/>
          <w:sz w:val="27"/>
          <w:rtl/>
        </w:rPr>
        <w:t>وبحك</w:t>
      </w:r>
      <w:r w:rsidR="00DA4132" w:rsidRPr="006571AC">
        <w:rPr>
          <w:rFonts w:hint="cs"/>
          <w:sz w:val="27"/>
          <w:rtl/>
        </w:rPr>
        <w:t>ّ</w:t>
      </w:r>
      <w:r w:rsidRPr="006571AC">
        <w:rPr>
          <w:rFonts w:hint="cs"/>
          <w:sz w:val="27"/>
          <w:rtl/>
        </w:rPr>
        <w:t xml:space="preserve"> الجسد ما لم ي</w:t>
      </w:r>
      <w:r w:rsidR="00DA4132" w:rsidRPr="006571AC">
        <w:rPr>
          <w:rFonts w:hint="cs"/>
          <w:sz w:val="27"/>
          <w:rtl/>
        </w:rPr>
        <w:t>ُ</w:t>
      </w:r>
      <w:r w:rsidRPr="006571AC">
        <w:rPr>
          <w:rFonts w:hint="cs"/>
          <w:sz w:val="27"/>
          <w:rtl/>
        </w:rPr>
        <w:t>د</w:t>
      </w:r>
      <w:r w:rsidR="00DA4132" w:rsidRPr="006571AC">
        <w:rPr>
          <w:rFonts w:hint="cs"/>
          <w:sz w:val="27"/>
          <w:rtl/>
        </w:rPr>
        <w:t>ْ</w:t>
      </w:r>
      <w:r w:rsidRPr="006571AC">
        <w:rPr>
          <w:rFonts w:hint="cs"/>
          <w:sz w:val="27"/>
          <w:rtl/>
        </w:rPr>
        <w:t>م</w:t>
      </w:r>
      <w:r w:rsidR="00DA4132" w:rsidRPr="006571AC">
        <w:rPr>
          <w:rFonts w:hint="cs"/>
          <w:sz w:val="27"/>
          <w:rtl/>
        </w:rPr>
        <w:t>ِ</w:t>
      </w:r>
      <w:r w:rsidRPr="006571AC">
        <w:rPr>
          <w:rFonts w:hint="cs"/>
          <w:sz w:val="27"/>
          <w:rtl/>
        </w:rPr>
        <w:t>ه</w:t>
      </w:r>
      <w:r w:rsidRPr="006571AC">
        <w:rPr>
          <w:rFonts w:hint="eastAsia"/>
          <w:sz w:val="24"/>
          <w:szCs w:val="24"/>
          <w:rtl/>
        </w:rPr>
        <w:t>»</w:t>
      </w:r>
      <w:r w:rsidRPr="006571AC">
        <w:rPr>
          <w:sz w:val="27"/>
          <w:vertAlign w:val="superscript"/>
          <w:rtl/>
        </w:rPr>
        <w:t>(</w:t>
      </w:r>
      <w:r w:rsidRPr="006571AC">
        <w:rPr>
          <w:rStyle w:val="ac"/>
          <w:sz w:val="27"/>
          <w:rtl/>
        </w:rPr>
        <w:endnoteReference w:id="205"/>
      </w:r>
      <w:r w:rsidRPr="006571AC">
        <w:rPr>
          <w:sz w:val="27"/>
          <w:vertAlign w:val="superscript"/>
          <w:rtl/>
        </w:rPr>
        <w:t>)</w:t>
      </w:r>
      <w:r w:rsidRPr="006571AC">
        <w:rPr>
          <w:sz w:val="27"/>
          <w:rtl/>
        </w:rPr>
        <w:t>،</w:t>
      </w:r>
      <w:r w:rsidRPr="006571AC">
        <w:rPr>
          <w:rFonts w:hint="cs"/>
          <w:sz w:val="27"/>
          <w:rtl/>
        </w:rPr>
        <w:t xml:space="preserve"> يقول في إثبات موضوعي</w:t>
      </w:r>
      <w:r w:rsidR="00DA4132" w:rsidRPr="006571AC">
        <w:rPr>
          <w:rFonts w:hint="cs"/>
          <w:sz w:val="27"/>
          <w:rtl/>
        </w:rPr>
        <w:t>ّ</w:t>
      </w:r>
      <w:r w:rsidRPr="006571AC">
        <w:rPr>
          <w:rFonts w:hint="cs"/>
          <w:sz w:val="27"/>
          <w:rtl/>
        </w:rPr>
        <w:t xml:space="preserve">ة </w:t>
      </w:r>
      <w:r w:rsidRPr="006571AC">
        <w:rPr>
          <w:rFonts w:hint="eastAsia"/>
          <w:sz w:val="24"/>
          <w:szCs w:val="24"/>
          <w:rtl/>
        </w:rPr>
        <w:t>«</w:t>
      </w:r>
      <w:r w:rsidRPr="006571AC">
        <w:rPr>
          <w:rFonts w:hint="cs"/>
          <w:sz w:val="27"/>
          <w:rtl/>
        </w:rPr>
        <w:t>الإدماء</w:t>
      </w:r>
      <w:r w:rsidRPr="006571AC">
        <w:rPr>
          <w:rFonts w:hint="eastAsia"/>
          <w:sz w:val="24"/>
          <w:szCs w:val="24"/>
          <w:rtl/>
        </w:rPr>
        <w:t>»</w:t>
      </w:r>
      <w:r w:rsidRPr="006571AC">
        <w:rPr>
          <w:rFonts w:hint="cs"/>
          <w:sz w:val="27"/>
          <w:rtl/>
        </w:rPr>
        <w:t xml:space="preserve"> في الحرمة</w:t>
      </w:r>
      <w:r w:rsidR="00DA4132" w:rsidRPr="006571AC">
        <w:rPr>
          <w:rFonts w:hint="cs"/>
          <w:sz w:val="27"/>
          <w:rtl/>
        </w:rPr>
        <w:t>،</w:t>
      </w:r>
      <w:r w:rsidRPr="006571AC">
        <w:rPr>
          <w:rFonts w:hint="cs"/>
          <w:sz w:val="27"/>
          <w:rtl/>
        </w:rPr>
        <w:t xml:space="preserve"> ولو لم يكن من طريق الحك</w:t>
      </w:r>
      <w:r w:rsidR="00DA4132" w:rsidRPr="006571AC">
        <w:rPr>
          <w:rFonts w:hint="cs"/>
          <w:sz w:val="27"/>
          <w:rtl/>
        </w:rPr>
        <w:t>ّ</w:t>
      </w:r>
      <w:r w:rsidR="00D34E91" w:rsidRPr="006571AC">
        <w:rPr>
          <w:rFonts w:hint="cs"/>
          <w:sz w:val="27"/>
          <w:rtl/>
        </w:rPr>
        <w:t>،</w:t>
      </w:r>
      <w:r w:rsidRPr="006571AC">
        <w:rPr>
          <w:rFonts w:hint="cs"/>
          <w:sz w:val="27"/>
          <w:rtl/>
        </w:rPr>
        <w:t xml:space="preserve"> [ما معناه]: </w:t>
      </w:r>
      <w:r w:rsidRPr="006571AC">
        <w:rPr>
          <w:rFonts w:hint="eastAsia"/>
          <w:sz w:val="24"/>
          <w:szCs w:val="24"/>
          <w:rtl/>
        </w:rPr>
        <w:t>«</w:t>
      </w:r>
      <w:r w:rsidRPr="006571AC">
        <w:rPr>
          <w:rFonts w:hint="cs"/>
          <w:sz w:val="27"/>
          <w:rtl/>
        </w:rPr>
        <w:t>يظهر من هذه الرواية أمران</w:t>
      </w:r>
      <w:r w:rsidR="00DA4132" w:rsidRPr="006571AC">
        <w:rPr>
          <w:rFonts w:hint="cs"/>
          <w:sz w:val="27"/>
          <w:rtl/>
        </w:rPr>
        <w:t>:</w:t>
      </w:r>
      <w:r w:rsidRPr="006571AC">
        <w:rPr>
          <w:rFonts w:hint="cs"/>
          <w:sz w:val="27"/>
          <w:rtl/>
        </w:rPr>
        <w:t xml:space="preserve"> </w:t>
      </w:r>
      <w:r w:rsidRPr="006571AC">
        <w:rPr>
          <w:rFonts w:hint="cs"/>
          <w:b/>
          <w:bCs/>
          <w:sz w:val="27"/>
          <w:rtl/>
        </w:rPr>
        <w:t>الأو</w:t>
      </w:r>
      <w:r w:rsidR="00DA4132" w:rsidRPr="006571AC">
        <w:rPr>
          <w:rFonts w:hint="cs"/>
          <w:b/>
          <w:bCs/>
          <w:sz w:val="27"/>
          <w:rtl/>
        </w:rPr>
        <w:t>ّ</w:t>
      </w:r>
      <w:r w:rsidRPr="006571AC">
        <w:rPr>
          <w:rFonts w:hint="cs"/>
          <w:b/>
          <w:bCs/>
          <w:sz w:val="27"/>
          <w:rtl/>
        </w:rPr>
        <w:t>ل</w:t>
      </w:r>
      <w:r w:rsidRPr="006571AC">
        <w:rPr>
          <w:rFonts w:hint="cs"/>
          <w:sz w:val="27"/>
          <w:rtl/>
        </w:rPr>
        <w:t>: بيان حكم المنع</w:t>
      </w:r>
      <w:r w:rsidR="00DA4132" w:rsidRPr="006571AC">
        <w:rPr>
          <w:rFonts w:hint="cs"/>
          <w:sz w:val="27"/>
          <w:rtl/>
        </w:rPr>
        <w:t>؛</w:t>
      </w:r>
      <w:r w:rsidRPr="006571AC">
        <w:rPr>
          <w:rFonts w:hint="cs"/>
          <w:sz w:val="27"/>
          <w:rtl/>
        </w:rPr>
        <w:t xml:space="preserve"> </w:t>
      </w:r>
      <w:r w:rsidRPr="006571AC">
        <w:rPr>
          <w:rFonts w:hint="cs"/>
          <w:b/>
          <w:bCs/>
          <w:sz w:val="27"/>
          <w:rtl/>
        </w:rPr>
        <w:t>والثاني</w:t>
      </w:r>
      <w:r w:rsidRPr="006571AC">
        <w:rPr>
          <w:rFonts w:hint="cs"/>
          <w:sz w:val="27"/>
          <w:rtl/>
        </w:rPr>
        <w:t>: أن مصب</w:t>
      </w:r>
      <w:r w:rsidR="00DA4132" w:rsidRPr="006571AC">
        <w:rPr>
          <w:rFonts w:hint="cs"/>
          <w:sz w:val="27"/>
          <w:rtl/>
        </w:rPr>
        <w:t>ّ</w:t>
      </w:r>
      <w:r w:rsidRPr="006571AC">
        <w:rPr>
          <w:rFonts w:hint="cs"/>
          <w:sz w:val="27"/>
          <w:rtl/>
        </w:rPr>
        <w:t xml:space="preserve"> ومحل</w:t>
      </w:r>
      <w:r w:rsidR="00DA4132" w:rsidRPr="006571AC">
        <w:rPr>
          <w:rFonts w:hint="cs"/>
          <w:sz w:val="27"/>
          <w:rtl/>
        </w:rPr>
        <w:t>ّ</w:t>
      </w:r>
      <w:r w:rsidRPr="006571AC">
        <w:rPr>
          <w:rFonts w:hint="cs"/>
          <w:sz w:val="27"/>
          <w:rtl/>
        </w:rPr>
        <w:t xml:space="preserve"> انعقاد هذا المنع هو نفس الإدماء، لا أن يكون المصب</w:t>
      </w:r>
      <w:r w:rsidR="00DA4132" w:rsidRPr="006571AC">
        <w:rPr>
          <w:rFonts w:hint="cs"/>
          <w:sz w:val="27"/>
          <w:rtl/>
        </w:rPr>
        <w:t>ّ</w:t>
      </w:r>
      <w:r w:rsidRPr="006571AC">
        <w:rPr>
          <w:rFonts w:hint="cs"/>
          <w:sz w:val="27"/>
          <w:rtl/>
        </w:rPr>
        <w:t xml:space="preserve"> ما يؤد</w:t>
      </w:r>
      <w:r w:rsidR="00DA4132" w:rsidRPr="006571AC">
        <w:rPr>
          <w:rFonts w:hint="cs"/>
          <w:sz w:val="27"/>
          <w:rtl/>
        </w:rPr>
        <w:t>ّ</w:t>
      </w:r>
      <w:r w:rsidRPr="006571AC">
        <w:rPr>
          <w:rFonts w:hint="cs"/>
          <w:sz w:val="27"/>
          <w:rtl/>
        </w:rPr>
        <w:t>ي إلى الإدماء، أو المصب</w:t>
      </w:r>
      <w:r w:rsidR="00DA4132" w:rsidRPr="006571AC">
        <w:rPr>
          <w:rFonts w:hint="cs"/>
          <w:sz w:val="27"/>
          <w:rtl/>
        </w:rPr>
        <w:t>ّ</w:t>
      </w:r>
      <w:r w:rsidRPr="006571AC">
        <w:rPr>
          <w:rFonts w:hint="cs"/>
          <w:sz w:val="27"/>
          <w:rtl/>
        </w:rPr>
        <w:t xml:space="preserve"> نفس الإدماء المستند إلى الحك</w:t>
      </w:r>
      <w:r w:rsidR="00DA4132" w:rsidRPr="006571AC">
        <w:rPr>
          <w:rFonts w:hint="cs"/>
          <w:sz w:val="27"/>
          <w:rtl/>
        </w:rPr>
        <w:t>ّ</w:t>
      </w:r>
      <w:r w:rsidRPr="006571AC">
        <w:rPr>
          <w:rFonts w:hint="cs"/>
          <w:sz w:val="27"/>
          <w:rtl/>
        </w:rPr>
        <w:t>. والفهم الأول ـ المنع ـ بسبب الظهور الأو</w:t>
      </w:r>
      <w:r w:rsidR="000E56F4" w:rsidRPr="006571AC">
        <w:rPr>
          <w:rFonts w:hint="cs"/>
          <w:sz w:val="27"/>
          <w:rtl/>
        </w:rPr>
        <w:t>ّ</w:t>
      </w:r>
      <w:r w:rsidRPr="006571AC">
        <w:rPr>
          <w:rFonts w:hint="cs"/>
          <w:sz w:val="27"/>
          <w:rtl/>
        </w:rPr>
        <w:t>ل للكلام، والفهم الثاني لجهة قرينة السياق والترت</w:t>
      </w:r>
      <w:r w:rsidR="000E56F4" w:rsidRPr="006571AC">
        <w:rPr>
          <w:rFonts w:hint="cs"/>
          <w:sz w:val="27"/>
          <w:rtl/>
        </w:rPr>
        <w:t>ُّ</w:t>
      </w:r>
      <w:r w:rsidRPr="006571AC">
        <w:rPr>
          <w:rFonts w:hint="cs"/>
          <w:sz w:val="27"/>
          <w:rtl/>
        </w:rPr>
        <w:t>ب؛ لأن إلقاء الشعر موضوع</w:t>
      </w:r>
      <w:r w:rsidR="000E56F4" w:rsidRPr="006571AC">
        <w:rPr>
          <w:rFonts w:hint="cs"/>
          <w:sz w:val="27"/>
          <w:rtl/>
        </w:rPr>
        <w:t>ٌ</w:t>
      </w:r>
      <w:r w:rsidRPr="006571AC">
        <w:rPr>
          <w:rFonts w:hint="cs"/>
          <w:sz w:val="27"/>
          <w:rtl/>
        </w:rPr>
        <w:t xml:space="preserve"> في حدّ ذاته</w:t>
      </w:r>
      <w:r w:rsidRPr="006571AC">
        <w:rPr>
          <w:rFonts w:hint="eastAsia"/>
          <w:sz w:val="24"/>
          <w:szCs w:val="24"/>
          <w:rtl/>
        </w:rPr>
        <w:t>»</w:t>
      </w:r>
      <w:r w:rsidRPr="006571AC">
        <w:rPr>
          <w:sz w:val="27"/>
          <w:vertAlign w:val="superscript"/>
          <w:rtl/>
        </w:rPr>
        <w:t>(</w:t>
      </w:r>
      <w:r w:rsidRPr="006571AC">
        <w:rPr>
          <w:rStyle w:val="ac"/>
          <w:sz w:val="27"/>
          <w:rtl/>
        </w:rPr>
        <w:endnoteReference w:id="206"/>
      </w:r>
      <w:r w:rsidRPr="006571AC">
        <w:rPr>
          <w:sz w:val="27"/>
          <w:vertAlign w:val="superscript"/>
          <w:rtl/>
        </w:rPr>
        <w:t>)</w:t>
      </w:r>
      <w:r w:rsidRPr="006571AC">
        <w:rPr>
          <w:sz w:val="27"/>
          <w:rtl/>
        </w:rPr>
        <w:t>.</w:t>
      </w:r>
      <w:r w:rsidRPr="006571AC">
        <w:rPr>
          <w:rFonts w:hint="cs"/>
          <w:sz w:val="27"/>
          <w:rtl/>
        </w:rPr>
        <w:t xml:space="preserve"> في هذا المثال لا يكون الكلام </w:t>
      </w:r>
      <w:r w:rsidRPr="006571AC">
        <w:rPr>
          <w:rFonts w:hint="cs"/>
          <w:sz w:val="27"/>
          <w:rtl/>
        </w:rPr>
        <w:lastRenderedPageBreak/>
        <w:t>ناظراً إلى استقلال أو عدم استقلال إلقاء الشعر في الحرمة. ولكن</w:t>
      </w:r>
      <w:r w:rsidR="000E56F4" w:rsidRPr="006571AC">
        <w:rPr>
          <w:rFonts w:hint="cs"/>
          <w:sz w:val="27"/>
          <w:rtl/>
        </w:rPr>
        <w:t>ْ</w:t>
      </w:r>
      <w:r w:rsidRPr="006571AC">
        <w:rPr>
          <w:rFonts w:hint="cs"/>
          <w:sz w:val="27"/>
          <w:rtl/>
        </w:rPr>
        <w:t xml:space="preserve"> حيث يكون استقلال إلقاء الشعر في الحرمة معلوماً من الخارج فقد تمّ </w:t>
      </w:r>
      <w:r w:rsidR="00D34E91" w:rsidRPr="006571AC">
        <w:rPr>
          <w:rFonts w:hint="cs"/>
          <w:sz w:val="27"/>
          <w:rtl/>
        </w:rPr>
        <w:t>تسرية</w:t>
      </w:r>
      <w:r w:rsidRPr="006571AC">
        <w:rPr>
          <w:rFonts w:hint="cs"/>
          <w:sz w:val="27"/>
          <w:rtl/>
        </w:rPr>
        <w:t xml:space="preserve"> هذه الخصوصية إلى الإدماء أيضاً. </w:t>
      </w:r>
    </w:p>
    <w:p w:rsidR="00A75C8B" w:rsidRPr="006571AC" w:rsidRDefault="00A75C8B" w:rsidP="00C95139">
      <w:pPr>
        <w:rPr>
          <w:sz w:val="27"/>
          <w:rtl/>
        </w:rPr>
      </w:pPr>
      <w:r w:rsidRPr="006571AC">
        <w:rPr>
          <w:rFonts w:hint="cs"/>
          <w:sz w:val="27"/>
          <w:rtl/>
        </w:rPr>
        <w:t xml:space="preserve">وهكذا </w:t>
      </w:r>
      <w:r w:rsidR="000E56F4" w:rsidRPr="006571AC">
        <w:rPr>
          <w:rFonts w:hint="cs"/>
          <w:sz w:val="27"/>
          <w:rtl/>
        </w:rPr>
        <w:t xml:space="preserve">قال </w:t>
      </w:r>
      <w:r w:rsidRPr="006571AC">
        <w:rPr>
          <w:rFonts w:hint="cs"/>
          <w:sz w:val="27"/>
          <w:rtl/>
        </w:rPr>
        <w:t>المحق</w:t>
      </w:r>
      <w:r w:rsidR="000E56F4" w:rsidRPr="006571AC">
        <w:rPr>
          <w:rFonts w:hint="cs"/>
          <w:sz w:val="27"/>
          <w:rtl/>
        </w:rPr>
        <w:t>ِّ</w:t>
      </w:r>
      <w:r w:rsidRPr="006571AC">
        <w:rPr>
          <w:rFonts w:hint="cs"/>
          <w:sz w:val="27"/>
          <w:rtl/>
        </w:rPr>
        <w:t>ق اللاري</w:t>
      </w:r>
      <w:r w:rsidR="000E56F4" w:rsidRPr="006571AC">
        <w:rPr>
          <w:rFonts w:hint="cs"/>
          <w:sz w:val="27"/>
          <w:rtl/>
        </w:rPr>
        <w:t>،</w:t>
      </w:r>
      <w:r w:rsidRPr="006571AC">
        <w:rPr>
          <w:rFonts w:hint="cs"/>
          <w:sz w:val="27"/>
          <w:rtl/>
        </w:rPr>
        <w:t xml:space="preserve"> في ذيل رواية أمير المؤمنين</w:t>
      </w:r>
      <w:r w:rsidR="002A2C90" w:rsidRPr="006571AC">
        <w:rPr>
          <w:rFonts w:ascii="Mosawi" w:hAnsi="Mosawi" w:cs="Mosawi"/>
          <w:sz w:val="22"/>
          <w:szCs w:val="22"/>
          <w:rtl/>
        </w:rPr>
        <w:t>×</w:t>
      </w:r>
      <w:r w:rsidRPr="006571AC">
        <w:rPr>
          <w:rFonts w:hint="cs"/>
          <w:sz w:val="27"/>
          <w:rtl/>
        </w:rPr>
        <w:t xml:space="preserve">: </w:t>
      </w:r>
      <w:r w:rsidRPr="006571AC">
        <w:rPr>
          <w:rFonts w:hint="eastAsia"/>
          <w:sz w:val="24"/>
          <w:szCs w:val="24"/>
          <w:rtl/>
        </w:rPr>
        <w:t>«</w:t>
      </w:r>
      <w:r w:rsidRPr="006571AC">
        <w:rPr>
          <w:rFonts w:hint="cs"/>
          <w:sz w:val="27"/>
          <w:rtl/>
        </w:rPr>
        <w:t>المؤذ</w:t>
      </w:r>
      <w:r w:rsidR="000E56F4" w:rsidRPr="006571AC">
        <w:rPr>
          <w:rFonts w:hint="cs"/>
          <w:sz w:val="27"/>
          <w:rtl/>
        </w:rPr>
        <w:t>ِّ</w:t>
      </w:r>
      <w:r w:rsidRPr="006571AC">
        <w:rPr>
          <w:rFonts w:hint="cs"/>
          <w:sz w:val="27"/>
          <w:rtl/>
        </w:rPr>
        <w:t>ن مؤت</w:t>
      </w:r>
      <w:r w:rsidR="000E56F4" w:rsidRPr="006571AC">
        <w:rPr>
          <w:rFonts w:hint="cs"/>
          <w:sz w:val="27"/>
          <w:rtl/>
        </w:rPr>
        <w:t>َ</w:t>
      </w:r>
      <w:r w:rsidRPr="006571AC">
        <w:rPr>
          <w:rFonts w:hint="cs"/>
          <w:sz w:val="27"/>
          <w:rtl/>
        </w:rPr>
        <w:t>م</w:t>
      </w:r>
      <w:r w:rsidR="000E56F4" w:rsidRPr="006571AC">
        <w:rPr>
          <w:rFonts w:hint="cs"/>
          <w:sz w:val="27"/>
          <w:rtl/>
        </w:rPr>
        <w:t>َ</w:t>
      </w:r>
      <w:r w:rsidRPr="006571AC">
        <w:rPr>
          <w:rFonts w:hint="cs"/>
          <w:sz w:val="27"/>
          <w:rtl/>
        </w:rPr>
        <w:t>ن</w:t>
      </w:r>
      <w:r w:rsidR="000E56F4" w:rsidRPr="006571AC">
        <w:rPr>
          <w:rFonts w:hint="cs"/>
          <w:sz w:val="27"/>
          <w:rtl/>
        </w:rPr>
        <w:t>ٌ</w:t>
      </w:r>
      <w:r w:rsidRPr="006571AC">
        <w:rPr>
          <w:rFonts w:hint="cs"/>
          <w:sz w:val="27"/>
          <w:rtl/>
        </w:rPr>
        <w:t>، والإمام ضامن</w:t>
      </w:r>
      <w:r w:rsidR="000E56F4" w:rsidRPr="006571AC">
        <w:rPr>
          <w:rFonts w:hint="cs"/>
          <w:sz w:val="27"/>
          <w:rtl/>
        </w:rPr>
        <w:t>ٌ</w:t>
      </w:r>
      <w:r w:rsidRPr="006571AC">
        <w:rPr>
          <w:rFonts w:hint="eastAsia"/>
          <w:sz w:val="24"/>
          <w:szCs w:val="24"/>
          <w:rtl/>
        </w:rPr>
        <w:t>»</w:t>
      </w:r>
      <w:r w:rsidRPr="006571AC">
        <w:rPr>
          <w:sz w:val="27"/>
          <w:vertAlign w:val="superscript"/>
          <w:rtl/>
        </w:rPr>
        <w:t>(</w:t>
      </w:r>
      <w:r w:rsidRPr="006571AC">
        <w:rPr>
          <w:rStyle w:val="ac"/>
          <w:sz w:val="27"/>
          <w:rtl/>
        </w:rPr>
        <w:endnoteReference w:id="207"/>
      </w:r>
      <w:r w:rsidRPr="006571AC">
        <w:rPr>
          <w:sz w:val="27"/>
          <w:vertAlign w:val="superscript"/>
          <w:rtl/>
        </w:rPr>
        <w:t>)</w:t>
      </w:r>
      <w:r w:rsidRPr="006571AC">
        <w:rPr>
          <w:sz w:val="27"/>
          <w:rtl/>
        </w:rPr>
        <w:t>،</w:t>
      </w:r>
      <w:r w:rsidRPr="006571AC">
        <w:rPr>
          <w:rFonts w:hint="cs"/>
          <w:sz w:val="27"/>
          <w:rtl/>
        </w:rPr>
        <w:t xml:space="preserve"> في بيان إثبات شرطية العدالة في الاعتماد على المؤذ</w:t>
      </w:r>
      <w:r w:rsidR="000E56F4" w:rsidRPr="006571AC">
        <w:rPr>
          <w:rFonts w:hint="cs"/>
          <w:sz w:val="27"/>
          <w:rtl/>
        </w:rPr>
        <w:t>ِّ</w:t>
      </w:r>
      <w:r w:rsidRPr="006571AC">
        <w:rPr>
          <w:rFonts w:hint="cs"/>
          <w:sz w:val="27"/>
          <w:rtl/>
        </w:rPr>
        <w:t xml:space="preserve">ن [ما معناه]: </w:t>
      </w:r>
      <w:r w:rsidRPr="006571AC">
        <w:rPr>
          <w:rFonts w:hint="eastAsia"/>
          <w:sz w:val="24"/>
          <w:szCs w:val="24"/>
          <w:rtl/>
        </w:rPr>
        <w:t>«</w:t>
      </w:r>
      <w:r w:rsidRPr="006571AC">
        <w:rPr>
          <w:rFonts w:hint="cs"/>
          <w:sz w:val="27"/>
          <w:rtl/>
        </w:rPr>
        <w:t xml:space="preserve">هل يجوز الاعتماد على أذان العدول مطلقاً؛ لجهة ما ورد في الرواية: </w:t>
      </w:r>
      <w:r w:rsidRPr="006571AC">
        <w:rPr>
          <w:rFonts w:hint="eastAsia"/>
          <w:sz w:val="24"/>
          <w:szCs w:val="24"/>
          <w:rtl/>
        </w:rPr>
        <w:t>«</w:t>
      </w:r>
      <w:r w:rsidRPr="006571AC">
        <w:rPr>
          <w:sz w:val="27"/>
          <w:rtl/>
        </w:rPr>
        <w:t>المؤذ</w:t>
      </w:r>
      <w:r w:rsidR="000E56F4" w:rsidRPr="006571AC">
        <w:rPr>
          <w:rFonts w:hint="cs"/>
          <w:sz w:val="27"/>
          <w:rtl/>
        </w:rPr>
        <w:t>ِّ</w:t>
      </w:r>
      <w:r w:rsidRPr="006571AC">
        <w:rPr>
          <w:sz w:val="27"/>
          <w:rtl/>
        </w:rPr>
        <w:t>ن مؤت</w:t>
      </w:r>
      <w:r w:rsidR="000E56F4" w:rsidRPr="006571AC">
        <w:rPr>
          <w:rFonts w:hint="cs"/>
          <w:sz w:val="27"/>
          <w:rtl/>
        </w:rPr>
        <w:t>َ</w:t>
      </w:r>
      <w:r w:rsidRPr="006571AC">
        <w:rPr>
          <w:sz w:val="27"/>
          <w:rtl/>
        </w:rPr>
        <w:t>م</w:t>
      </w:r>
      <w:r w:rsidR="000E56F4" w:rsidRPr="006571AC">
        <w:rPr>
          <w:rFonts w:hint="cs"/>
          <w:sz w:val="27"/>
          <w:rtl/>
        </w:rPr>
        <w:t>َ</w:t>
      </w:r>
      <w:r w:rsidRPr="006571AC">
        <w:rPr>
          <w:sz w:val="27"/>
          <w:rtl/>
        </w:rPr>
        <w:t>ن</w:t>
      </w:r>
      <w:r w:rsidR="000E56F4" w:rsidRPr="006571AC">
        <w:rPr>
          <w:rFonts w:hint="cs"/>
          <w:sz w:val="27"/>
          <w:rtl/>
        </w:rPr>
        <w:t>ٌ</w:t>
      </w:r>
      <w:r w:rsidRPr="006571AC">
        <w:rPr>
          <w:sz w:val="27"/>
          <w:rtl/>
        </w:rPr>
        <w:t>، والإمام ضامن</w:t>
      </w:r>
      <w:r w:rsidR="000E56F4" w:rsidRPr="006571AC">
        <w:rPr>
          <w:rFonts w:hint="cs"/>
          <w:sz w:val="27"/>
          <w:rtl/>
        </w:rPr>
        <w:t>ٌ</w:t>
      </w:r>
      <w:r w:rsidRPr="006571AC">
        <w:rPr>
          <w:rFonts w:hint="eastAsia"/>
          <w:sz w:val="24"/>
          <w:szCs w:val="24"/>
          <w:rtl/>
        </w:rPr>
        <w:t>»</w:t>
      </w:r>
      <w:r w:rsidR="000E56F4" w:rsidRPr="006571AC">
        <w:rPr>
          <w:rFonts w:hint="cs"/>
          <w:sz w:val="27"/>
          <w:rtl/>
        </w:rPr>
        <w:t xml:space="preserve">، </w:t>
      </w:r>
      <w:r w:rsidR="00731867" w:rsidRPr="006571AC">
        <w:rPr>
          <w:rFonts w:hint="cs"/>
          <w:sz w:val="27"/>
          <w:rtl/>
        </w:rPr>
        <w:t>لا سيَّما</w:t>
      </w:r>
      <w:r w:rsidRPr="006571AC">
        <w:rPr>
          <w:rFonts w:hint="cs"/>
          <w:sz w:val="27"/>
          <w:rtl/>
        </w:rPr>
        <w:t xml:space="preserve"> بالنظر إلى قرينة السياق وحدها</w:t>
      </w:r>
      <w:r w:rsidR="000E56F4" w:rsidRPr="006571AC">
        <w:rPr>
          <w:rFonts w:hint="cs"/>
          <w:sz w:val="27"/>
          <w:rtl/>
        </w:rPr>
        <w:t>؟</w:t>
      </w:r>
      <w:r w:rsidRPr="006571AC">
        <w:rPr>
          <w:rFonts w:hint="eastAsia"/>
          <w:sz w:val="24"/>
          <w:szCs w:val="24"/>
          <w:rtl/>
        </w:rPr>
        <w:t>»</w:t>
      </w:r>
      <w:r w:rsidRPr="006571AC">
        <w:rPr>
          <w:sz w:val="27"/>
          <w:vertAlign w:val="superscript"/>
          <w:rtl/>
        </w:rPr>
        <w:t>(</w:t>
      </w:r>
      <w:r w:rsidRPr="006571AC">
        <w:rPr>
          <w:rStyle w:val="ac"/>
          <w:sz w:val="27"/>
          <w:rtl/>
        </w:rPr>
        <w:endnoteReference w:id="208"/>
      </w:r>
      <w:r w:rsidRPr="006571AC">
        <w:rPr>
          <w:sz w:val="27"/>
          <w:vertAlign w:val="superscript"/>
          <w:rtl/>
        </w:rPr>
        <w:t>)</w:t>
      </w:r>
      <w:r w:rsidRPr="006571AC">
        <w:rPr>
          <w:sz w:val="27"/>
          <w:rtl/>
        </w:rPr>
        <w:t>.</w:t>
      </w:r>
      <w:r w:rsidRPr="006571AC">
        <w:rPr>
          <w:rFonts w:hint="cs"/>
          <w:sz w:val="27"/>
          <w:rtl/>
        </w:rPr>
        <w:t xml:space="preserve"> إن الكلام في هذا المثال ليس ناظراً إلى شرطية العدالة بالنسبة إلى الإمام؛ ولكن</w:t>
      </w:r>
      <w:r w:rsidR="000E56F4" w:rsidRPr="006571AC">
        <w:rPr>
          <w:rFonts w:hint="cs"/>
          <w:sz w:val="27"/>
          <w:rtl/>
        </w:rPr>
        <w:t>ْ</w:t>
      </w:r>
      <w:r w:rsidRPr="006571AC">
        <w:rPr>
          <w:rFonts w:hint="cs"/>
          <w:sz w:val="27"/>
          <w:rtl/>
        </w:rPr>
        <w:t xml:space="preserve"> حيث تكون شرطية العدالة بالنسبة إلى الإمام معلومة</w:t>
      </w:r>
      <w:r w:rsidR="000E56F4" w:rsidRPr="006571AC">
        <w:rPr>
          <w:rFonts w:hint="cs"/>
          <w:sz w:val="27"/>
          <w:rtl/>
        </w:rPr>
        <w:t>ً</w:t>
      </w:r>
      <w:r w:rsidRPr="006571AC">
        <w:rPr>
          <w:rFonts w:hint="cs"/>
          <w:sz w:val="27"/>
          <w:rtl/>
        </w:rPr>
        <w:t xml:space="preserve"> من الخارج فقد تمّ</w:t>
      </w:r>
      <w:r w:rsidR="000E56F4" w:rsidRPr="006571AC">
        <w:rPr>
          <w:rFonts w:hint="cs"/>
          <w:sz w:val="27"/>
          <w:rtl/>
        </w:rPr>
        <w:t>َ</w:t>
      </w:r>
      <w:r w:rsidRPr="006571AC">
        <w:rPr>
          <w:rFonts w:hint="cs"/>
          <w:sz w:val="27"/>
          <w:rtl/>
        </w:rPr>
        <w:t>ت</w:t>
      </w:r>
      <w:r w:rsidR="000E56F4" w:rsidRPr="006571AC">
        <w:rPr>
          <w:rFonts w:hint="cs"/>
          <w:sz w:val="27"/>
          <w:rtl/>
        </w:rPr>
        <w:t>ْ</w:t>
      </w:r>
      <w:r w:rsidRPr="006571AC">
        <w:rPr>
          <w:rFonts w:hint="cs"/>
          <w:sz w:val="27"/>
          <w:rtl/>
        </w:rPr>
        <w:t xml:space="preserve"> تسريتها إلى المؤذ</w:t>
      </w:r>
      <w:r w:rsidR="000E56F4" w:rsidRPr="006571AC">
        <w:rPr>
          <w:rFonts w:hint="cs"/>
          <w:sz w:val="27"/>
          <w:rtl/>
        </w:rPr>
        <w:t>ِّ</w:t>
      </w:r>
      <w:r w:rsidRPr="006571AC">
        <w:rPr>
          <w:rFonts w:hint="cs"/>
          <w:sz w:val="27"/>
          <w:rtl/>
        </w:rPr>
        <w:t xml:space="preserve">ن أيضاً. </w:t>
      </w:r>
    </w:p>
    <w:p w:rsidR="00A75C8B" w:rsidRPr="006571AC" w:rsidRDefault="00A75C8B" w:rsidP="003345FE">
      <w:pPr>
        <w:rPr>
          <w:sz w:val="27"/>
          <w:rtl/>
        </w:rPr>
      </w:pPr>
      <w:r w:rsidRPr="006571AC">
        <w:rPr>
          <w:rFonts w:hint="cs"/>
          <w:sz w:val="27"/>
          <w:rtl/>
        </w:rPr>
        <w:t>إن القرينية في القسم الأو</w:t>
      </w:r>
      <w:r w:rsidR="000E56F4" w:rsidRPr="006571AC">
        <w:rPr>
          <w:rFonts w:hint="cs"/>
          <w:sz w:val="27"/>
          <w:rtl/>
        </w:rPr>
        <w:t>ّ</w:t>
      </w:r>
      <w:r w:rsidRPr="006571AC">
        <w:rPr>
          <w:rFonts w:hint="cs"/>
          <w:sz w:val="27"/>
          <w:rtl/>
        </w:rPr>
        <w:t>ل ـ انتقال الخصوصية التي يكون الكلام ناظراً إليها ـ أكثر شهودي</w:t>
      </w:r>
      <w:r w:rsidR="000E56F4" w:rsidRPr="006571AC">
        <w:rPr>
          <w:rFonts w:hint="cs"/>
          <w:sz w:val="27"/>
          <w:rtl/>
        </w:rPr>
        <w:t>ّ</w:t>
      </w:r>
      <w:r w:rsidRPr="006571AC">
        <w:rPr>
          <w:rFonts w:hint="cs"/>
          <w:sz w:val="27"/>
          <w:rtl/>
        </w:rPr>
        <w:t>ة</w:t>
      </w:r>
      <w:r w:rsidR="000E56F4" w:rsidRPr="006571AC">
        <w:rPr>
          <w:rFonts w:hint="cs"/>
          <w:sz w:val="27"/>
          <w:rtl/>
        </w:rPr>
        <w:t>ً</w:t>
      </w:r>
      <w:r w:rsidRPr="006571AC">
        <w:rPr>
          <w:rFonts w:hint="cs"/>
          <w:sz w:val="27"/>
          <w:rtl/>
        </w:rPr>
        <w:t>؛ وذلك لأن المتكل</w:t>
      </w:r>
      <w:r w:rsidR="000E56F4" w:rsidRPr="006571AC">
        <w:rPr>
          <w:rFonts w:hint="cs"/>
          <w:sz w:val="27"/>
          <w:rtl/>
        </w:rPr>
        <w:t>ِّ</w:t>
      </w:r>
      <w:r w:rsidRPr="006571AC">
        <w:rPr>
          <w:rFonts w:hint="cs"/>
          <w:sz w:val="27"/>
          <w:rtl/>
        </w:rPr>
        <w:t xml:space="preserve">م عندما يكون </w:t>
      </w:r>
      <w:r w:rsidR="003345FE" w:rsidRPr="006571AC">
        <w:rPr>
          <w:rFonts w:hint="cs"/>
          <w:sz w:val="27"/>
          <w:rtl/>
        </w:rPr>
        <w:t xml:space="preserve">في </w:t>
      </w:r>
      <w:r w:rsidRPr="006571AC">
        <w:rPr>
          <w:rFonts w:hint="cs"/>
          <w:sz w:val="27"/>
          <w:rtl/>
        </w:rPr>
        <w:t>صدد بيان أمر</w:t>
      </w:r>
      <w:r w:rsidR="000E56F4" w:rsidRPr="006571AC">
        <w:rPr>
          <w:rFonts w:hint="cs"/>
          <w:sz w:val="27"/>
          <w:rtl/>
        </w:rPr>
        <w:t>ٍ</w:t>
      </w:r>
      <w:r w:rsidRPr="006571AC">
        <w:rPr>
          <w:rFonts w:hint="cs"/>
          <w:sz w:val="27"/>
          <w:rtl/>
        </w:rPr>
        <w:t>، ثم</w:t>
      </w:r>
      <w:r w:rsidR="000E56F4" w:rsidRPr="006571AC">
        <w:rPr>
          <w:rFonts w:hint="cs"/>
          <w:sz w:val="27"/>
          <w:rtl/>
        </w:rPr>
        <w:t>ّ</w:t>
      </w:r>
      <w:r w:rsidRPr="006571AC">
        <w:rPr>
          <w:rFonts w:hint="cs"/>
          <w:sz w:val="27"/>
          <w:rtl/>
        </w:rPr>
        <w:t xml:space="preserve"> يربط به أمراً آخر في سياق</w:t>
      </w:r>
      <w:r w:rsidR="000E56F4" w:rsidRPr="006571AC">
        <w:rPr>
          <w:rFonts w:hint="cs"/>
          <w:sz w:val="27"/>
          <w:rtl/>
        </w:rPr>
        <w:t>ٍ</w:t>
      </w:r>
      <w:r w:rsidRPr="006571AC">
        <w:rPr>
          <w:rFonts w:hint="cs"/>
          <w:sz w:val="27"/>
          <w:rtl/>
        </w:rPr>
        <w:t xml:space="preserve"> واحد، سوف يعمل بذلك على إيجاد ظهور</w:t>
      </w:r>
      <w:r w:rsidR="000E56F4" w:rsidRPr="006571AC">
        <w:rPr>
          <w:rFonts w:hint="cs"/>
          <w:sz w:val="27"/>
          <w:rtl/>
        </w:rPr>
        <w:t>ٍ</w:t>
      </w:r>
      <w:r w:rsidRPr="006571AC">
        <w:rPr>
          <w:rFonts w:hint="cs"/>
          <w:sz w:val="27"/>
          <w:rtl/>
        </w:rPr>
        <w:t xml:space="preserve"> يكون الآخر مشتركاً فيه. وأما في خصوص القسم الثاني فلا يوجد مثل هذا الوضوح. وتشير التحقيقات إلى أن العالم الوحيد الذي أشار إلى هذا التفصيل تلويحاً هو الميرزا هاشم الآملي. فقد تحدّ</w:t>
      </w:r>
      <w:r w:rsidR="000E56F4" w:rsidRPr="006571AC">
        <w:rPr>
          <w:rFonts w:hint="cs"/>
          <w:sz w:val="27"/>
          <w:rtl/>
        </w:rPr>
        <w:t>َ</w:t>
      </w:r>
      <w:r w:rsidRPr="006571AC">
        <w:rPr>
          <w:rFonts w:hint="cs"/>
          <w:sz w:val="27"/>
          <w:rtl/>
        </w:rPr>
        <w:t>ث سماحته</w:t>
      </w:r>
      <w:r w:rsidR="00C37EAD" w:rsidRPr="006571AC">
        <w:rPr>
          <w:rFonts w:hint="cs"/>
          <w:sz w:val="27"/>
          <w:rtl/>
        </w:rPr>
        <w:t>،</w:t>
      </w:r>
      <w:r w:rsidRPr="006571AC">
        <w:rPr>
          <w:rFonts w:hint="cs"/>
          <w:sz w:val="27"/>
          <w:rtl/>
        </w:rPr>
        <w:t xml:space="preserve"> في ذيل رواية الإمام الصادق</w:t>
      </w:r>
      <w:r w:rsidR="002A2C90" w:rsidRPr="006571AC">
        <w:rPr>
          <w:rFonts w:ascii="Mosawi" w:hAnsi="Mosawi" w:cs="Mosawi"/>
          <w:sz w:val="22"/>
          <w:szCs w:val="22"/>
          <w:rtl/>
        </w:rPr>
        <w:t>×</w:t>
      </w:r>
      <w:r w:rsidRPr="006571AC">
        <w:rPr>
          <w:rFonts w:hint="cs"/>
          <w:sz w:val="27"/>
          <w:rtl/>
        </w:rPr>
        <w:t xml:space="preserve">: </w:t>
      </w:r>
      <w:r w:rsidRPr="006571AC">
        <w:rPr>
          <w:rFonts w:hint="eastAsia"/>
          <w:sz w:val="24"/>
          <w:szCs w:val="24"/>
          <w:rtl/>
        </w:rPr>
        <w:t>«</w:t>
      </w:r>
      <w:r w:rsidRPr="006571AC">
        <w:rPr>
          <w:rFonts w:hint="cs"/>
          <w:sz w:val="27"/>
          <w:rtl/>
        </w:rPr>
        <w:t>ج</w:t>
      </w:r>
      <w:r w:rsidR="000E56F4" w:rsidRPr="006571AC">
        <w:rPr>
          <w:rFonts w:hint="cs"/>
          <w:sz w:val="27"/>
          <w:rtl/>
        </w:rPr>
        <w:t>َ</w:t>
      </w:r>
      <w:r w:rsidRPr="006571AC">
        <w:rPr>
          <w:rFonts w:hint="cs"/>
          <w:sz w:val="27"/>
          <w:rtl/>
        </w:rPr>
        <w:t>ر</w:t>
      </w:r>
      <w:r w:rsidR="000E56F4" w:rsidRPr="006571AC">
        <w:rPr>
          <w:rFonts w:hint="cs"/>
          <w:sz w:val="27"/>
          <w:rtl/>
        </w:rPr>
        <w:t>َ</w:t>
      </w:r>
      <w:r w:rsidRPr="006571AC">
        <w:rPr>
          <w:rFonts w:hint="cs"/>
          <w:sz w:val="27"/>
          <w:rtl/>
        </w:rPr>
        <w:t>ت السن</w:t>
      </w:r>
      <w:r w:rsidR="000E56F4" w:rsidRPr="006571AC">
        <w:rPr>
          <w:rFonts w:hint="cs"/>
          <w:sz w:val="27"/>
          <w:rtl/>
        </w:rPr>
        <w:t>ّ</w:t>
      </w:r>
      <w:r w:rsidRPr="006571AC">
        <w:rPr>
          <w:rFonts w:hint="cs"/>
          <w:sz w:val="27"/>
          <w:rtl/>
        </w:rPr>
        <w:t>ة في الاستنجاء بثلاثة أحجار أبكار، ويتبع بالماء</w:t>
      </w:r>
      <w:r w:rsidRPr="006571AC">
        <w:rPr>
          <w:rFonts w:hint="eastAsia"/>
          <w:sz w:val="24"/>
          <w:szCs w:val="24"/>
          <w:rtl/>
        </w:rPr>
        <w:t>»</w:t>
      </w:r>
      <w:r w:rsidRPr="006571AC">
        <w:rPr>
          <w:sz w:val="27"/>
          <w:vertAlign w:val="superscript"/>
          <w:rtl/>
        </w:rPr>
        <w:t>(</w:t>
      </w:r>
      <w:r w:rsidRPr="006571AC">
        <w:rPr>
          <w:rStyle w:val="ac"/>
          <w:sz w:val="27"/>
          <w:rtl/>
        </w:rPr>
        <w:endnoteReference w:id="209"/>
      </w:r>
      <w:r w:rsidRPr="006571AC">
        <w:rPr>
          <w:sz w:val="27"/>
          <w:vertAlign w:val="superscript"/>
          <w:rtl/>
        </w:rPr>
        <w:t>)</w:t>
      </w:r>
      <w:r w:rsidRPr="006571AC">
        <w:rPr>
          <w:sz w:val="27"/>
          <w:rtl/>
        </w:rPr>
        <w:t>،</w:t>
      </w:r>
      <w:r w:rsidRPr="006571AC">
        <w:rPr>
          <w:rFonts w:hint="cs"/>
          <w:sz w:val="27"/>
          <w:rtl/>
        </w:rPr>
        <w:t xml:space="preserve"> بعد إقامة الإجماع على استحباب فقرة </w:t>
      </w:r>
      <w:r w:rsidRPr="006571AC">
        <w:rPr>
          <w:rFonts w:hint="eastAsia"/>
          <w:sz w:val="24"/>
          <w:szCs w:val="24"/>
          <w:rtl/>
        </w:rPr>
        <w:t>«</w:t>
      </w:r>
      <w:r w:rsidRPr="006571AC">
        <w:rPr>
          <w:rFonts w:hint="cs"/>
          <w:sz w:val="27"/>
          <w:rtl/>
        </w:rPr>
        <w:t>يتبع بالماء</w:t>
      </w:r>
      <w:r w:rsidRPr="006571AC">
        <w:rPr>
          <w:rFonts w:hint="eastAsia"/>
          <w:sz w:val="24"/>
          <w:szCs w:val="24"/>
          <w:rtl/>
        </w:rPr>
        <w:t>»</w:t>
      </w:r>
      <w:r w:rsidRPr="006571AC">
        <w:rPr>
          <w:rFonts w:hint="cs"/>
          <w:sz w:val="27"/>
          <w:rtl/>
        </w:rPr>
        <w:t xml:space="preserve">، </w:t>
      </w:r>
      <w:r w:rsidR="00C37EAD" w:rsidRPr="006571AC">
        <w:rPr>
          <w:rFonts w:hint="cs"/>
          <w:sz w:val="27"/>
          <w:rtl/>
        </w:rPr>
        <w:t>ف</w:t>
      </w:r>
      <w:r w:rsidRPr="006571AC">
        <w:rPr>
          <w:rFonts w:hint="cs"/>
          <w:sz w:val="27"/>
          <w:rtl/>
        </w:rPr>
        <w:t xml:space="preserve">قال في معرض نقد انتقال الاستحباب منها إلى </w:t>
      </w:r>
      <w:r w:rsidRPr="006571AC">
        <w:rPr>
          <w:rFonts w:hint="eastAsia"/>
          <w:sz w:val="24"/>
          <w:szCs w:val="24"/>
          <w:rtl/>
        </w:rPr>
        <w:t>«</w:t>
      </w:r>
      <w:r w:rsidRPr="006571AC">
        <w:rPr>
          <w:rFonts w:hint="cs"/>
          <w:sz w:val="27"/>
          <w:rtl/>
        </w:rPr>
        <w:t>ثلاثة أحجار أبكار</w:t>
      </w:r>
      <w:r w:rsidRPr="006571AC">
        <w:rPr>
          <w:rFonts w:hint="eastAsia"/>
          <w:sz w:val="24"/>
          <w:szCs w:val="24"/>
          <w:rtl/>
        </w:rPr>
        <w:t>»</w:t>
      </w:r>
      <w:r w:rsidRPr="006571AC">
        <w:rPr>
          <w:rFonts w:hint="cs"/>
          <w:sz w:val="27"/>
          <w:rtl/>
        </w:rPr>
        <w:t xml:space="preserve"> [ما معناه]: </w:t>
      </w:r>
      <w:r w:rsidRPr="006571AC">
        <w:rPr>
          <w:rFonts w:hint="eastAsia"/>
          <w:sz w:val="24"/>
          <w:szCs w:val="24"/>
          <w:rtl/>
        </w:rPr>
        <w:t>«</w:t>
      </w:r>
      <w:r w:rsidRPr="006571AC">
        <w:rPr>
          <w:rFonts w:hint="cs"/>
          <w:sz w:val="27"/>
          <w:rtl/>
        </w:rPr>
        <w:t>إن اشتمال الرواية على فقرة</w:t>
      </w:r>
      <w:r w:rsidR="00C37EAD" w:rsidRPr="006571AC">
        <w:rPr>
          <w:rFonts w:hint="cs"/>
          <w:sz w:val="27"/>
          <w:rtl/>
        </w:rPr>
        <w:t>ٍ</w:t>
      </w:r>
      <w:r w:rsidRPr="006571AC">
        <w:rPr>
          <w:rFonts w:hint="cs"/>
          <w:sz w:val="27"/>
          <w:rtl/>
        </w:rPr>
        <w:t xml:space="preserve"> تمّ حملها على الاستحباب بقرينة</w:t>
      </w:r>
      <w:r w:rsidR="00C37EAD" w:rsidRPr="006571AC">
        <w:rPr>
          <w:rFonts w:hint="cs"/>
          <w:sz w:val="27"/>
          <w:rtl/>
        </w:rPr>
        <w:t>ٍ</w:t>
      </w:r>
      <w:r w:rsidRPr="006571AC">
        <w:rPr>
          <w:rFonts w:hint="cs"/>
          <w:sz w:val="27"/>
          <w:rtl/>
        </w:rPr>
        <w:t xml:space="preserve"> خارجية لا يستوجب أن تكون جميع الفقرات كذلك</w:t>
      </w:r>
      <w:r w:rsidRPr="006571AC">
        <w:rPr>
          <w:rFonts w:hint="eastAsia"/>
          <w:sz w:val="24"/>
          <w:szCs w:val="24"/>
          <w:rtl/>
        </w:rPr>
        <w:t>»</w:t>
      </w:r>
      <w:r w:rsidRPr="006571AC">
        <w:rPr>
          <w:sz w:val="27"/>
          <w:vertAlign w:val="superscript"/>
          <w:rtl/>
        </w:rPr>
        <w:t>(</w:t>
      </w:r>
      <w:r w:rsidRPr="006571AC">
        <w:rPr>
          <w:rStyle w:val="ac"/>
          <w:sz w:val="27"/>
          <w:rtl/>
        </w:rPr>
        <w:endnoteReference w:id="210"/>
      </w:r>
      <w:r w:rsidRPr="006571AC">
        <w:rPr>
          <w:sz w:val="27"/>
          <w:vertAlign w:val="superscript"/>
          <w:rtl/>
        </w:rPr>
        <w:t>)</w:t>
      </w:r>
      <w:r w:rsidRPr="006571AC">
        <w:rPr>
          <w:sz w:val="27"/>
          <w:rtl/>
        </w:rPr>
        <w:t>.</w:t>
      </w:r>
      <w:r w:rsidRPr="006571AC">
        <w:rPr>
          <w:rFonts w:hint="cs"/>
          <w:sz w:val="27"/>
          <w:rtl/>
        </w:rPr>
        <w:t xml:space="preserve"> فإن تصريح سماحته بالقرينة الخارجية يدلّ على أن الكلام لم يكن ناظراً إليها، وإنما تمّ</w:t>
      </w:r>
      <w:r w:rsidR="00C37EAD" w:rsidRPr="006571AC">
        <w:rPr>
          <w:rFonts w:hint="cs"/>
          <w:sz w:val="27"/>
          <w:rtl/>
        </w:rPr>
        <w:t>َ</w:t>
      </w:r>
      <w:r w:rsidRPr="006571AC">
        <w:rPr>
          <w:rFonts w:hint="cs"/>
          <w:sz w:val="27"/>
          <w:rtl/>
        </w:rPr>
        <w:t>ت</w:t>
      </w:r>
      <w:r w:rsidR="00C37EAD" w:rsidRPr="006571AC">
        <w:rPr>
          <w:rFonts w:hint="cs"/>
          <w:sz w:val="27"/>
          <w:rtl/>
        </w:rPr>
        <w:t>ْ</w:t>
      </w:r>
      <w:r w:rsidRPr="006571AC">
        <w:rPr>
          <w:rFonts w:hint="cs"/>
          <w:sz w:val="27"/>
          <w:rtl/>
        </w:rPr>
        <w:t xml:space="preserve"> استفادتها من الخارج فقط. </w:t>
      </w:r>
    </w:p>
    <w:p w:rsidR="009E7E1F" w:rsidRPr="006571AC" w:rsidRDefault="009E7E1F" w:rsidP="009E7E1F">
      <w:pPr>
        <w:spacing w:line="420" w:lineRule="exact"/>
        <w:rPr>
          <w:sz w:val="27"/>
          <w:rtl/>
        </w:rPr>
      </w:pPr>
    </w:p>
    <w:p w:rsidR="00A75C8B" w:rsidRPr="006571AC" w:rsidRDefault="00083599" w:rsidP="009C29A7">
      <w:pPr>
        <w:pStyle w:val="31"/>
        <w:rPr>
          <w:color w:val="auto"/>
        </w:rPr>
      </w:pPr>
      <w:bookmarkStart w:id="99" w:name="_Toc114164588"/>
      <w:r w:rsidRPr="006571AC">
        <w:rPr>
          <w:rFonts w:hint="cs"/>
          <w:color w:val="auto"/>
          <w:rtl/>
        </w:rPr>
        <w:t>د ـ</w:t>
      </w:r>
      <w:r w:rsidR="00A75C8B" w:rsidRPr="006571AC">
        <w:rPr>
          <w:rFonts w:hint="cs"/>
          <w:color w:val="auto"/>
          <w:rtl/>
        </w:rPr>
        <w:t xml:space="preserve"> الكشف عن المقدّ</w:t>
      </w:r>
      <w:r w:rsidR="00C37EAD" w:rsidRPr="006571AC">
        <w:rPr>
          <w:rFonts w:hint="cs"/>
          <w:color w:val="auto"/>
          <w:rtl/>
        </w:rPr>
        <w:t>َ</w:t>
      </w:r>
      <w:r w:rsidR="00A75C8B" w:rsidRPr="006571AC">
        <w:rPr>
          <w:rFonts w:hint="cs"/>
          <w:color w:val="auto"/>
          <w:rtl/>
        </w:rPr>
        <w:t>ر</w:t>
      </w:r>
      <w:bookmarkEnd w:id="99"/>
    </w:p>
    <w:p w:rsidR="00A75C8B" w:rsidRPr="006571AC" w:rsidRDefault="00A75C8B" w:rsidP="00C95139">
      <w:pPr>
        <w:rPr>
          <w:sz w:val="27"/>
          <w:rtl/>
        </w:rPr>
      </w:pPr>
      <w:r w:rsidRPr="006571AC">
        <w:rPr>
          <w:rFonts w:hint="cs"/>
          <w:sz w:val="27"/>
          <w:rtl/>
        </w:rPr>
        <w:t>إن استعمال الكشف عن المقدّ</w:t>
      </w:r>
      <w:r w:rsidR="00C37EAD" w:rsidRPr="006571AC">
        <w:rPr>
          <w:rFonts w:hint="cs"/>
          <w:sz w:val="27"/>
          <w:rtl/>
        </w:rPr>
        <w:t>َ</w:t>
      </w:r>
      <w:r w:rsidRPr="006571AC">
        <w:rPr>
          <w:rFonts w:hint="cs"/>
          <w:sz w:val="27"/>
          <w:rtl/>
        </w:rPr>
        <w:t>ر إنما يُس</w:t>
      </w:r>
      <w:r w:rsidR="00C37EAD" w:rsidRPr="006571AC">
        <w:rPr>
          <w:rFonts w:hint="cs"/>
          <w:sz w:val="27"/>
          <w:rtl/>
        </w:rPr>
        <w:t>ت</w:t>
      </w:r>
      <w:r w:rsidRPr="006571AC">
        <w:rPr>
          <w:rFonts w:hint="cs"/>
          <w:sz w:val="27"/>
          <w:rtl/>
        </w:rPr>
        <w:t>فاد منه حيث يكون جزء</w:t>
      </w:r>
      <w:r w:rsidR="00C37EAD" w:rsidRPr="006571AC">
        <w:rPr>
          <w:rFonts w:hint="cs"/>
          <w:sz w:val="27"/>
          <w:rtl/>
        </w:rPr>
        <w:t>ٌ</w:t>
      </w:r>
      <w:r w:rsidRPr="006571AC">
        <w:rPr>
          <w:rFonts w:hint="cs"/>
          <w:sz w:val="27"/>
          <w:rtl/>
        </w:rPr>
        <w:t xml:space="preserve"> من الجملة ـ من قبيل: المفعول، أو المضاف إليه، أو المضاف</w:t>
      </w:r>
      <w:r w:rsidR="00C37EAD" w:rsidRPr="006571AC">
        <w:rPr>
          <w:rFonts w:hint="cs"/>
          <w:sz w:val="27"/>
          <w:rtl/>
        </w:rPr>
        <w:t>،</w:t>
      </w:r>
      <w:r w:rsidRPr="006571AC">
        <w:rPr>
          <w:rFonts w:hint="cs"/>
          <w:sz w:val="27"/>
          <w:rtl/>
        </w:rPr>
        <w:t xml:space="preserve"> وما إلى ذلك ـ محذوفاً، ويكون هناك في المحذوف عدّة احتمالات. وفي مثل هذه الحالة تأتي قرينة السياق لتساعد على كشف المقد</w:t>
      </w:r>
      <w:r w:rsidR="00C37EAD" w:rsidRPr="006571AC">
        <w:rPr>
          <w:rFonts w:hint="cs"/>
          <w:sz w:val="27"/>
          <w:rtl/>
        </w:rPr>
        <w:t>َّ</w:t>
      </w:r>
      <w:r w:rsidRPr="006571AC">
        <w:rPr>
          <w:rFonts w:hint="cs"/>
          <w:sz w:val="27"/>
          <w:rtl/>
        </w:rPr>
        <w:t xml:space="preserve">ر، فتعمل على تعيينه، أو تحدّ من سائر الاحتمالات في الحدّ الأدنى. </w:t>
      </w:r>
    </w:p>
    <w:p w:rsidR="00A75C8B" w:rsidRPr="006571AC" w:rsidRDefault="00A75C8B" w:rsidP="00C95139">
      <w:pPr>
        <w:rPr>
          <w:sz w:val="27"/>
          <w:rtl/>
        </w:rPr>
      </w:pPr>
      <w:r w:rsidRPr="006571AC">
        <w:rPr>
          <w:rFonts w:hint="cs"/>
          <w:sz w:val="27"/>
          <w:rtl/>
        </w:rPr>
        <w:lastRenderedPageBreak/>
        <w:t xml:space="preserve">قال </w:t>
      </w:r>
      <w:r w:rsidR="00C37EAD" w:rsidRPr="006571AC">
        <w:rPr>
          <w:rFonts w:hint="cs"/>
          <w:sz w:val="27"/>
          <w:rtl/>
        </w:rPr>
        <w:t>السيد</w:t>
      </w:r>
      <w:r w:rsidRPr="006571AC">
        <w:rPr>
          <w:rFonts w:hint="cs"/>
          <w:sz w:val="27"/>
          <w:rtl/>
        </w:rPr>
        <w:t xml:space="preserve"> الحكيم</w:t>
      </w:r>
      <w:r w:rsidR="00C37EAD" w:rsidRPr="006571AC">
        <w:rPr>
          <w:rFonts w:hint="cs"/>
          <w:sz w:val="27"/>
          <w:rtl/>
        </w:rPr>
        <w:t>،</w:t>
      </w:r>
      <w:r w:rsidRPr="006571AC">
        <w:rPr>
          <w:rFonts w:hint="cs"/>
          <w:sz w:val="27"/>
          <w:rtl/>
        </w:rPr>
        <w:t xml:space="preserve"> في ذيل قوله تعالى: </w:t>
      </w:r>
      <w:r w:rsidRPr="006571AC">
        <w:rPr>
          <w:rFonts w:ascii="Mosawi" w:hAnsi="Mosawi" w:cs="Mosawi"/>
          <w:sz w:val="24"/>
          <w:szCs w:val="24"/>
          <w:rtl/>
        </w:rPr>
        <w:t>﴿</w:t>
      </w:r>
      <w:r w:rsidRPr="006571AC">
        <w:rPr>
          <w:b/>
          <w:bCs/>
          <w:sz w:val="27"/>
          <w:rtl/>
        </w:rPr>
        <w:t>قُلْ لِلْمُؤْمِنِينَ يَغُضُّوا مِنْ أَبْصَارِهِمْ وَيَحْفَظُوا فُرُوجَهُمْ</w:t>
      </w:r>
      <w:r w:rsidRPr="006571AC">
        <w:rPr>
          <w:rFonts w:ascii="Mosawi" w:hAnsi="Mosawi" w:cs="Mosawi"/>
          <w:sz w:val="24"/>
          <w:szCs w:val="24"/>
          <w:rtl/>
        </w:rPr>
        <w:t>﴾</w:t>
      </w:r>
      <w:r w:rsidRPr="006571AC">
        <w:rPr>
          <w:rFonts w:hint="cs"/>
          <w:sz w:val="27"/>
          <w:rtl/>
        </w:rPr>
        <w:t xml:space="preserve"> (النور: 30)</w:t>
      </w:r>
      <w:r w:rsidRPr="006571AC">
        <w:rPr>
          <w:sz w:val="27"/>
          <w:rtl/>
        </w:rPr>
        <w:t>،</w:t>
      </w:r>
      <w:r w:rsidRPr="006571AC">
        <w:rPr>
          <w:rFonts w:hint="cs"/>
          <w:sz w:val="27"/>
          <w:rtl/>
        </w:rPr>
        <w:t xml:space="preserve"> في إطار نقد م</w:t>
      </w:r>
      <w:r w:rsidR="00C37EAD" w:rsidRPr="006571AC">
        <w:rPr>
          <w:rFonts w:hint="cs"/>
          <w:sz w:val="27"/>
          <w:rtl/>
        </w:rPr>
        <w:t>َ</w:t>
      </w:r>
      <w:r w:rsidRPr="006571AC">
        <w:rPr>
          <w:rFonts w:hint="cs"/>
          <w:sz w:val="27"/>
          <w:rtl/>
        </w:rPr>
        <w:t>ن</w:t>
      </w:r>
      <w:r w:rsidR="00C37EAD" w:rsidRPr="006571AC">
        <w:rPr>
          <w:rFonts w:hint="cs"/>
          <w:sz w:val="27"/>
          <w:rtl/>
        </w:rPr>
        <w:t>ْ</w:t>
      </w:r>
      <w:r w:rsidRPr="006571AC">
        <w:rPr>
          <w:rFonts w:hint="cs"/>
          <w:sz w:val="27"/>
          <w:rtl/>
        </w:rPr>
        <w:t xml:space="preserve"> فهم منها حرمة النظر إلى الأجنبية: </w:t>
      </w:r>
      <w:r w:rsidRPr="006571AC">
        <w:rPr>
          <w:rFonts w:hint="eastAsia"/>
          <w:sz w:val="24"/>
          <w:szCs w:val="24"/>
          <w:rtl/>
        </w:rPr>
        <w:t>«</w:t>
      </w:r>
      <w:r w:rsidRPr="006571AC">
        <w:rPr>
          <w:sz w:val="27"/>
          <w:rtl/>
        </w:rPr>
        <w:t>من المحتمل أن يكون المراد الفروج</w:t>
      </w:r>
      <w:r w:rsidRPr="006571AC">
        <w:rPr>
          <w:rFonts w:hint="cs"/>
          <w:sz w:val="27"/>
          <w:rtl/>
        </w:rPr>
        <w:t xml:space="preserve"> [خاصّة</w:t>
      </w:r>
      <w:r w:rsidR="00C37EAD" w:rsidRPr="006571AC">
        <w:rPr>
          <w:rFonts w:hint="cs"/>
          <w:sz w:val="27"/>
          <w:rtl/>
        </w:rPr>
        <w:t>ً</w:t>
      </w:r>
      <w:r w:rsidRPr="006571AC">
        <w:rPr>
          <w:rFonts w:hint="cs"/>
          <w:sz w:val="27"/>
          <w:rtl/>
        </w:rPr>
        <w:t>]</w:t>
      </w:r>
      <w:r w:rsidR="00C37EAD" w:rsidRPr="006571AC">
        <w:rPr>
          <w:rFonts w:hint="cs"/>
          <w:sz w:val="27"/>
          <w:rtl/>
        </w:rPr>
        <w:t>؛</w:t>
      </w:r>
      <w:r w:rsidRPr="006571AC">
        <w:rPr>
          <w:rFonts w:hint="cs"/>
          <w:sz w:val="27"/>
          <w:rtl/>
        </w:rPr>
        <w:t xml:space="preserve"> </w:t>
      </w:r>
      <w:r w:rsidRPr="006571AC">
        <w:rPr>
          <w:sz w:val="27"/>
          <w:rtl/>
        </w:rPr>
        <w:t>بقرينة السياق، لا العموم</w:t>
      </w:r>
      <w:r w:rsidRPr="006571AC">
        <w:rPr>
          <w:rFonts w:hint="cs"/>
          <w:sz w:val="27"/>
          <w:rtl/>
        </w:rPr>
        <w:t xml:space="preserve"> [بمعنى غضّ الطرف عن كل</w:t>
      </w:r>
      <w:r w:rsidR="00C37EAD" w:rsidRPr="006571AC">
        <w:rPr>
          <w:rFonts w:hint="cs"/>
          <w:sz w:val="27"/>
          <w:rtl/>
        </w:rPr>
        <w:t>ّ</w:t>
      </w:r>
      <w:r w:rsidRPr="006571AC">
        <w:rPr>
          <w:rFonts w:hint="cs"/>
          <w:sz w:val="27"/>
          <w:rtl/>
        </w:rPr>
        <w:t xml:space="preserve"> عضو</w:t>
      </w:r>
      <w:r w:rsidR="00C37EAD" w:rsidRPr="006571AC">
        <w:rPr>
          <w:rFonts w:hint="cs"/>
          <w:sz w:val="27"/>
          <w:rtl/>
        </w:rPr>
        <w:t>ٍ</w:t>
      </w:r>
      <w:r w:rsidRPr="006571AC">
        <w:rPr>
          <w:rFonts w:hint="cs"/>
          <w:sz w:val="27"/>
          <w:rtl/>
        </w:rPr>
        <w:t>].</w:t>
      </w:r>
      <w:r w:rsidRPr="006571AC">
        <w:rPr>
          <w:sz w:val="27"/>
          <w:rtl/>
        </w:rPr>
        <w:t xml:space="preserve"> مع أن إرادة العموم تقتضي الحمل على الحكم ال</w:t>
      </w:r>
      <w:r w:rsidRPr="006571AC">
        <w:rPr>
          <w:rFonts w:hint="cs"/>
          <w:sz w:val="27"/>
          <w:rtl/>
        </w:rPr>
        <w:t>أ</w:t>
      </w:r>
      <w:r w:rsidRPr="006571AC">
        <w:rPr>
          <w:sz w:val="27"/>
          <w:rtl/>
        </w:rPr>
        <w:t>و</w:t>
      </w:r>
      <w:r w:rsidR="00C37EAD" w:rsidRPr="006571AC">
        <w:rPr>
          <w:rFonts w:hint="cs"/>
          <w:sz w:val="27"/>
          <w:rtl/>
        </w:rPr>
        <w:t>ّ</w:t>
      </w:r>
      <w:r w:rsidRPr="006571AC">
        <w:rPr>
          <w:sz w:val="27"/>
          <w:rtl/>
        </w:rPr>
        <w:t>لي، وهو غض</w:t>
      </w:r>
      <w:r w:rsidR="00C37EAD" w:rsidRPr="006571AC">
        <w:rPr>
          <w:rFonts w:hint="cs"/>
          <w:sz w:val="27"/>
          <w:rtl/>
        </w:rPr>
        <w:t>ّ</w:t>
      </w:r>
      <w:r w:rsidRPr="006571AC">
        <w:rPr>
          <w:sz w:val="27"/>
          <w:rtl/>
        </w:rPr>
        <w:t xml:space="preserve"> النظر عن كل</w:t>
      </w:r>
      <w:r w:rsidR="00C37EAD" w:rsidRPr="006571AC">
        <w:rPr>
          <w:rFonts w:hint="cs"/>
          <w:sz w:val="27"/>
          <w:rtl/>
        </w:rPr>
        <w:t>ّ</w:t>
      </w:r>
      <w:r w:rsidRPr="006571AC">
        <w:rPr>
          <w:sz w:val="27"/>
          <w:rtl/>
        </w:rPr>
        <w:t xml:space="preserve"> ش</w:t>
      </w:r>
      <w:r w:rsidRPr="006571AC">
        <w:rPr>
          <w:rFonts w:hint="cs"/>
          <w:sz w:val="27"/>
          <w:rtl/>
        </w:rPr>
        <w:t>يء</w:t>
      </w:r>
      <w:r w:rsidR="00C37EAD" w:rsidRPr="006571AC">
        <w:rPr>
          <w:rFonts w:hint="cs"/>
          <w:sz w:val="27"/>
          <w:rtl/>
        </w:rPr>
        <w:t>ٍ</w:t>
      </w:r>
      <w:r w:rsidRPr="006571AC">
        <w:rPr>
          <w:rFonts w:hint="eastAsia"/>
          <w:sz w:val="24"/>
          <w:szCs w:val="24"/>
          <w:rtl/>
        </w:rPr>
        <w:t>»</w:t>
      </w:r>
      <w:r w:rsidRPr="006571AC">
        <w:rPr>
          <w:sz w:val="27"/>
          <w:vertAlign w:val="superscript"/>
          <w:rtl/>
        </w:rPr>
        <w:t>(</w:t>
      </w:r>
      <w:r w:rsidRPr="006571AC">
        <w:rPr>
          <w:rStyle w:val="ac"/>
          <w:sz w:val="27"/>
          <w:rtl/>
        </w:rPr>
        <w:endnoteReference w:id="211"/>
      </w:r>
      <w:r w:rsidRPr="006571AC">
        <w:rPr>
          <w:sz w:val="27"/>
          <w:vertAlign w:val="superscript"/>
          <w:rtl/>
        </w:rPr>
        <w:t>)</w:t>
      </w:r>
      <w:r w:rsidRPr="006571AC">
        <w:rPr>
          <w:sz w:val="27"/>
          <w:rtl/>
        </w:rPr>
        <w:t>.</w:t>
      </w:r>
      <w:r w:rsidRPr="006571AC">
        <w:rPr>
          <w:rFonts w:hint="cs"/>
          <w:sz w:val="27"/>
          <w:rtl/>
        </w:rPr>
        <w:t xml:space="preserve"> ففي هذا المثال نجد أن مفعول </w:t>
      </w:r>
      <w:r w:rsidRPr="006571AC">
        <w:rPr>
          <w:rFonts w:hint="eastAsia"/>
          <w:sz w:val="24"/>
          <w:szCs w:val="24"/>
          <w:rtl/>
        </w:rPr>
        <w:t>«</w:t>
      </w:r>
      <w:r w:rsidRPr="006571AC">
        <w:rPr>
          <w:rFonts w:hint="cs"/>
          <w:sz w:val="27"/>
          <w:rtl/>
        </w:rPr>
        <w:t>الغض</w:t>
      </w:r>
      <w:r w:rsidR="00C37EAD" w:rsidRPr="006571AC">
        <w:rPr>
          <w:rFonts w:hint="cs"/>
          <w:sz w:val="27"/>
          <w:rtl/>
        </w:rPr>
        <w:t>ّ</w:t>
      </w:r>
      <w:r w:rsidRPr="006571AC">
        <w:rPr>
          <w:rFonts w:hint="eastAsia"/>
          <w:sz w:val="24"/>
          <w:szCs w:val="24"/>
          <w:rtl/>
        </w:rPr>
        <w:t>»</w:t>
      </w:r>
      <w:r w:rsidRPr="006571AC">
        <w:rPr>
          <w:rFonts w:hint="cs"/>
          <w:sz w:val="27"/>
          <w:rtl/>
        </w:rPr>
        <w:t xml:space="preserve"> محذوف</w:t>
      </w:r>
      <w:r w:rsidR="00C37EAD" w:rsidRPr="006571AC">
        <w:rPr>
          <w:rFonts w:hint="cs"/>
          <w:sz w:val="27"/>
          <w:rtl/>
        </w:rPr>
        <w:t>ٌ</w:t>
      </w:r>
      <w:r w:rsidRPr="006571AC">
        <w:rPr>
          <w:rFonts w:hint="cs"/>
          <w:sz w:val="27"/>
          <w:rtl/>
        </w:rPr>
        <w:t>، وإن سماحته ـ من خلال الاستفادة من ترتّ</w:t>
      </w:r>
      <w:r w:rsidR="00C37EAD" w:rsidRPr="006571AC">
        <w:rPr>
          <w:rFonts w:hint="cs"/>
          <w:sz w:val="27"/>
          <w:rtl/>
        </w:rPr>
        <w:t>ُ</w:t>
      </w:r>
      <w:r w:rsidRPr="006571AC">
        <w:rPr>
          <w:rFonts w:hint="cs"/>
          <w:sz w:val="27"/>
          <w:rtl/>
        </w:rPr>
        <w:t xml:space="preserve">ب هذه الفقرة على فقرة </w:t>
      </w:r>
      <w:r w:rsidRPr="006571AC">
        <w:rPr>
          <w:rFonts w:hint="eastAsia"/>
          <w:sz w:val="24"/>
          <w:szCs w:val="24"/>
          <w:rtl/>
        </w:rPr>
        <w:t>«</w:t>
      </w:r>
      <w:r w:rsidRPr="006571AC">
        <w:rPr>
          <w:rFonts w:hint="cs"/>
          <w:sz w:val="27"/>
          <w:rtl/>
        </w:rPr>
        <w:t>يحفظوا فروجهم</w:t>
      </w:r>
      <w:r w:rsidRPr="006571AC">
        <w:rPr>
          <w:rFonts w:hint="eastAsia"/>
          <w:sz w:val="24"/>
          <w:szCs w:val="24"/>
          <w:rtl/>
        </w:rPr>
        <w:t>»</w:t>
      </w:r>
      <w:r w:rsidRPr="006571AC">
        <w:rPr>
          <w:rFonts w:hint="cs"/>
          <w:sz w:val="27"/>
          <w:rtl/>
        </w:rPr>
        <w:t>؛ حيث تم</w:t>
      </w:r>
      <w:r w:rsidR="00C37EAD" w:rsidRPr="006571AC">
        <w:rPr>
          <w:rFonts w:hint="cs"/>
          <w:sz w:val="27"/>
          <w:rtl/>
        </w:rPr>
        <w:t>ّ</w:t>
      </w:r>
      <w:r w:rsidRPr="006571AC">
        <w:rPr>
          <w:rFonts w:hint="cs"/>
          <w:sz w:val="27"/>
          <w:rtl/>
        </w:rPr>
        <w:t xml:space="preserve"> فيها بيان المفعول ـ عمل على اكتشاف المحذوف. </w:t>
      </w:r>
    </w:p>
    <w:p w:rsidR="009E7E1F" w:rsidRPr="006571AC" w:rsidRDefault="009E7E1F" w:rsidP="009E7E1F">
      <w:pPr>
        <w:spacing w:line="420" w:lineRule="exact"/>
        <w:rPr>
          <w:sz w:val="27"/>
          <w:rtl/>
        </w:rPr>
      </w:pPr>
    </w:p>
    <w:p w:rsidR="00A75C8B" w:rsidRPr="006571AC" w:rsidRDefault="00083599" w:rsidP="009C29A7">
      <w:pPr>
        <w:pStyle w:val="31"/>
        <w:rPr>
          <w:color w:val="auto"/>
          <w:rtl/>
        </w:rPr>
      </w:pPr>
      <w:bookmarkStart w:id="100" w:name="_Toc114164589"/>
      <w:r w:rsidRPr="006571AC">
        <w:rPr>
          <w:rFonts w:hint="cs"/>
          <w:color w:val="auto"/>
          <w:rtl/>
        </w:rPr>
        <w:t>هـ ـ</w:t>
      </w:r>
      <w:r w:rsidR="00A75C8B" w:rsidRPr="006571AC">
        <w:rPr>
          <w:rFonts w:hint="cs"/>
          <w:color w:val="auto"/>
          <w:rtl/>
        </w:rPr>
        <w:t xml:space="preserve"> الكشف عن المصداق</w:t>
      </w:r>
      <w:bookmarkEnd w:id="100"/>
    </w:p>
    <w:p w:rsidR="00A75C8B" w:rsidRPr="006571AC" w:rsidRDefault="00A75C8B" w:rsidP="00D34E91">
      <w:pPr>
        <w:rPr>
          <w:sz w:val="27"/>
          <w:rtl/>
        </w:rPr>
      </w:pPr>
      <w:r w:rsidRPr="006571AC">
        <w:rPr>
          <w:rFonts w:hint="cs"/>
          <w:sz w:val="27"/>
          <w:rtl/>
        </w:rPr>
        <w:t>إن الكشف عن المصداق يُع</w:t>
      </w:r>
      <w:r w:rsidR="00C37EAD" w:rsidRPr="006571AC">
        <w:rPr>
          <w:rFonts w:hint="cs"/>
          <w:sz w:val="27"/>
          <w:rtl/>
        </w:rPr>
        <w:t>َ</w:t>
      </w:r>
      <w:r w:rsidRPr="006571AC">
        <w:rPr>
          <w:rFonts w:hint="cs"/>
          <w:sz w:val="27"/>
          <w:rtl/>
        </w:rPr>
        <w:t>دّ واحداً من أكثر استعمالات</w:t>
      </w:r>
      <w:r w:rsidR="00D34E91" w:rsidRPr="006571AC">
        <w:rPr>
          <w:rFonts w:hint="cs"/>
          <w:sz w:val="27"/>
          <w:rtl/>
        </w:rPr>
        <w:t xml:space="preserve"> السياق</w:t>
      </w:r>
      <w:r w:rsidRPr="006571AC">
        <w:rPr>
          <w:rFonts w:hint="cs"/>
          <w:sz w:val="27"/>
          <w:rtl/>
        </w:rPr>
        <w:t xml:space="preserve"> المؤث</w:t>
      </w:r>
      <w:r w:rsidR="00C37EAD" w:rsidRPr="006571AC">
        <w:rPr>
          <w:rFonts w:hint="cs"/>
          <w:sz w:val="27"/>
          <w:rtl/>
        </w:rPr>
        <w:t>ِّ</w:t>
      </w:r>
      <w:r w:rsidRPr="006571AC">
        <w:rPr>
          <w:rFonts w:hint="cs"/>
          <w:sz w:val="27"/>
          <w:rtl/>
        </w:rPr>
        <w:t>رة في الفقه والأصول، والأبحاث الهامّة، من قبيل: حدود البراءة الشرعية؛ لتوق</w:t>
      </w:r>
      <w:r w:rsidR="00FE42C6" w:rsidRPr="006571AC">
        <w:rPr>
          <w:rFonts w:hint="cs"/>
          <w:sz w:val="27"/>
          <w:rtl/>
        </w:rPr>
        <w:t>ُّ</w:t>
      </w:r>
      <w:r w:rsidRPr="006571AC">
        <w:rPr>
          <w:rFonts w:hint="cs"/>
          <w:sz w:val="27"/>
          <w:rtl/>
        </w:rPr>
        <w:t>ف ذلك عليها. وسبب تسمية هذا الاستعمال بالكشف عن المصداق أن معنى الأسماء الم</w:t>
      </w:r>
      <w:r w:rsidR="00FE42C6" w:rsidRPr="006571AC">
        <w:rPr>
          <w:rFonts w:hint="cs"/>
          <w:sz w:val="27"/>
          <w:rtl/>
        </w:rPr>
        <w:t>ُ</w:t>
      </w:r>
      <w:r w:rsidRPr="006571AC">
        <w:rPr>
          <w:rFonts w:hint="cs"/>
          <w:sz w:val="27"/>
          <w:rtl/>
        </w:rPr>
        <w:t>ب</w:t>
      </w:r>
      <w:r w:rsidR="00FE42C6" w:rsidRPr="006571AC">
        <w:rPr>
          <w:rFonts w:hint="cs"/>
          <w:sz w:val="27"/>
          <w:rtl/>
        </w:rPr>
        <w:t>ْ</w:t>
      </w:r>
      <w:r w:rsidRPr="006571AC">
        <w:rPr>
          <w:rFonts w:hint="cs"/>
          <w:sz w:val="27"/>
          <w:rtl/>
        </w:rPr>
        <w:t>ه</w:t>
      </w:r>
      <w:r w:rsidR="00FE42C6" w:rsidRPr="006571AC">
        <w:rPr>
          <w:rFonts w:hint="cs"/>
          <w:sz w:val="27"/>
          <w:rtl/>
        </w:rPr>
        <w:t>َ</w:t>
      </w:r>
      <w:r w:rsidRPr="006571AC">
        <w:rPr>
          <w:rFonts w:hint="cs"/>
          <w:sz w:val="27"/>
          <w:rtl/>
        </w:rPr>
        <w:t>مة</w:t>
      </w:r>
      <w:r w:rsidR="00FE42C6" w:rsidRPr="006571AC">
        <w:rPr>
          <w:rFonts w:hint="cs"/>
          <w:sz w:val="27"/>
          <w:rtl/>
        </w:rPr>
        <w:t>،</w:t>
      </w:r>
      <w:r w:rsidRPr="006571AC">
        <w:rPr>
          <w:rFonts w:hint="cs"/>
          <w:sz w:val="27"/>
          <w:rtl/>
        </w:rPr>
        <w:t xml:space="preserve"> من قبيل</w:t>
      </w:r>
      <w:r w:rsidR="00FE42C6" w:rsidRPr="006571AC">
        <w:rPr>
          <w:rFonts w:hint="cs"/>
          <w:sz w:val="27"/>
          <w:rtl/>
        </w:rPr>
        <w:t>:</w:t>
      </w:r>
      <w:r w:rsidRPr="006571AC">
        <w:rPr>
          <w:rFonts w:hint="cs"/>
          <w:sz w:val="27"/>
          <w:rtl/>
        </w:rPr>
        <w:t xml:space="preserve"> الموصولات والشيء وما إلى ذلك، هو ذاك الأمر الم</w:t>
      </w:r>
      <w:r w:rsidR="00FE42C6" w:rsidRPr="006571AC">
        <w:rPr>
          <w:rFonts w:hint="cs"/>
          <w:sz w:val="27"/>
          <w:rtl/>
        </w:rPr>
        <w:t>ُ</w:t>
      </w:r>
      <w:r w:rsidRPr="006571AC">
        <w:rPr>
          <w:rFonts w:hint="cs"/>
          <w:sz w:val="27"/>
          <w:rtl/>
        </w:rPr>
        <w:t>ب</w:t>
      </w:r>
      <w:r w:rsidR="00FE42C6" w:rsidRPr="006571AC">
        <w:rPr>
          <w:rFonts w:hint="cs"/>
          <w:sz w:val="27"/>
          <w:rtl/>
        </w:rPr>
        <w:t>ْ</w:t>
      </w:r>
      <w:r w:rsidRPr="006571AC">
        <w:rPr>
          <w:rFonts w:hint="cs"/>
          <w:sz w:val="27"/>
          <w:rtl/>
        </w:rPr>
        <w:t>ه</w:t>
      </w:r>
      <w:r w:rsidR="00FE42C6" w:rsidRPr="006571AC">
        <w:rPr>
          <w:rFonts w:hint="cs"/>
          <w:sz w:val="27"/>
          <w:rtl/>
        </w:rPr>
        <w:t>َ</w:t>
      </w:r>
      <w:r w:rsidRPr="006571AC">
        <w:rPr>
          <w:rFonts w:hint="cs"/>
          <w:sz w:val="27"/>
          <w:rtl/>
        </w:rPr>
        <w:t>م والذي لا يتغيّ</w:t>
      </w:r>
      <w:r w:rsidR="00FE42C6" w:rsidRPr="006571AC">
        <w:rPr>
          <w:rFonts w:hint="cs"/>
          <w:sz w:val="27"/>
          <w:rtl/>
        </w:rPr>
        <w:t>َ</w:t>
      </w:r>
      <w:r w:rsidRPr="006571AC">
        <w:rPr>
          <w:rFonts w:hint="cs"/>
          <w:sz w:val="27"/>
          <w:rtl/>
        </w:rPr>
        <w:t>ر، ومن هنا يتم</w:t>
      </w:r>
      <w:r w:rsidR="00FE42C6" w:rsidRPr="006571AC">
        <w:rPr>
          <w:rFonts w:hint="cs"/>
          <w:sz w:val="27"/>
          <w:rtl/>
        </w:rPr>
        <w:t>ّ</w:t>
      </w:r>
      <w:r w:rsidRPr="006571AC">
        <w:rPr>
          <w:rFonts w:hint="cs"/>
          <w:sz w:val="27"/>
          <w:rtl/>
        </w:rPr>
        <w:t xml:space="preserve"> رفع الإبهام في ناحية مصداق ذلك الشيء. وقد عمد السيد الشهيد الصدر إلى بيان هذا القسم في سياق الترت</w:t>
      </w:r>
      <w:r w:rsidR="00FE42C6" w:rsidRPr="006571AC">
        <w:rPr>
          <w:rFonts w:hint="cs"/>
          <w:sz w:val="27"/>
          <w:rtl/>
        </w:rPr>
        <w:t>ُّ</w:t>
      </w:r>
      <w:r w:rsidRPr="006571AC">
        <w:rPr>
          <w:rFonts w:hint="cs"/>
          <w:sz w:val="27"/>
          <w:rtl/>
        </w:rPr>
        <w:t xml:space="preserve">ب قائلاً: </w:t>
      </w:r>
      <w:r w:rsidRPr="006571AC">
        <w:rPr>
          <w:rFonts w:hint="eastAsia"/>
          <w:sz w:val="24"/>
          <w:szCs w:val="24"/>
          <w:rtl/>
        </w:rPr>
        <w:t>«</w:t>
      </w:r>
      <w:r w:rsidRPr="006571AC">
        <w:rPr>
          <w:b/>
          <w:bCs/>
          <w:sz w:val="27"/>
          <w:rtl/>
        </w:rPr>
        <w:t>النحو الثالث</w:t>
      </w:r>
      <w:r w:rsidRPr="006571AC">
        <w:rPr>
          <w:sz w:val="27"/>
          <w:rtl/>
        </w:rPr>
        <w:t>: هو أن يكون الاختلاف من حيث مصاديق المفاهيم، من قبيل</w:t>
      </w:r>
      <w:r w:rsidR="00FE42C6" w:rsidRPr="006571AC">
        <w:rPr>
          <w:rFonts w:hint="cs"/>
          <w:sz w:val="27"/>
          <w:rtl/>
        </w:rPr>
        <w:t>:</w:t>
      </w:r>
      <w:r w:rsidRPr="006571AC">
        <w:rPr>
          <w:sz w:val="27"/>
          <w:rtl/>
        </w:rPr>
        <w:t xml:space="preserve"> أن يُقال: (لا يجوز أن تغصب ما تأكله، ولا أن تغصب ما تلبسه، ولا أن تغصب ما تقرأ فيه)؛</w:t>
      </w:r>
      <w:r w:rsidRPr="006571AC">
        <w:rPr>
          <w:rFonts w:hint="cs"/>
          <w:sz w:val="27"/>
          <w:rtl/>
        </w:rPr>
        <w:t xml:space="preserve"> </w:t>
      </w:r>
      <w:r w:rsidRPr="006571AC">
        <w:rPr>
          <w:sz w:val="27"/>
          <w:rtl/>
        </w:rPr>
        <w:t>فإن هذا الكلام من حيث المدلول الاستعمالي الج</w:t>
      </w:r>
      <w:r w:rsidR="00FE42C6" w:rsidRPr="006571AC">
        <w:rPr>
          <w:rFonts w:hint="cs"/>
          <w:sz w:val="27"/>
          <w:rtl/>
        </w:rPr>
        <w:t>ِ</w:t>
      </w:r>
      <w:r w:rsidRPr="006571AC">
        <w:rPr>
          <w:sz w:val="27"/>
          <w:rtl/>
        </w:rPr>
        <w:t>د</w:t>
      </w:r>
      <w:r w:rsidRPr="006571AC">
        <w:rPr>
          <w:rFonts w:hint="cs"/>
          <w:sz w:val="27"/>
          <w:rtl/>
        </w:rPr>
        <w:t>ّ</w:t>
      </w:r>
      <w:r w:rsidRPr="006571AC">
        <w:rPr>
          <w:sz w:val="27"/>
          <w:rtl/>
        </w:rPr>
        <w:t>ي واحد</w:t>
      </w:r>
      <w:r w:rsidR="00FE42C6" w:rsidRPr="006571AC">
        <w:rPr>
          <w:rFonts w:hint="cs"/>
          <w:sz w:val="27"/>
          <w:rtl/>
        </w:rPr>
        <w:t>ٌ</w:t>
      </w:r>
      <w:r w:rsidRPr="006571AC">
        <w:rPr>
          <w:sz w:val="27"/>
          <w:rtl/>
        </w:rPr>
        <w:t xml:space="preserve"> في هذه الجمل، ولكن</w:t>
      </w:r>
      <w:r w:rsidR="00FE42C6" w:rsidRPr="006571AC">
        <w:rPr>
          <w:rFonts w:hint="cs"/>
          <w:sz w:val="27"/>
          <w:rtl/>
        </w:rPr>
        <w:t>ْ</w:t>
      </w:r>
      <w:r w:rsidRPr="006571AC">
        <w:rPr>
          <w:sz w:val="27"/>
          <w:rtl/>
        </w:rPr>
        <w:t xml:space="preserve"> من الواضح أن مصداق ما ي</w:t>
      </w:r>
      <w:r w:rsidR="00FE42C6" w:rsidRPr="006571AC">
        <w:rPr>
          <w:rFonts w:hint="cs"/>
          <w:sz w:val="27"/>
          <w:rtl/>
        </w:rPr>
        <w:t>ُ</w:t>
      </w:r>
      <w:r w:rsidRPr="006571AC">
        <w:rPr>
          <w:sz w:val="27"/>
          <w:rtl/>
        </w:rPr>
        <w:t>ؤ</w:t>
      </w:r>
      <w:r w:rsidR="00FE42C6" w:rsidRPr="006571AC">
        <w:rPr>
          <w:rFonts w:hint="cs"/>
          <w:sz w:val="27"/>
          <w:rtl/>
        </w:rPr>
        <w:t>ْ</w:t>
      </w:r>
      <w:r w:rsidRPr="006571AC">
        <w:rPr>
          <w:sz w:val="27"/>
          <w:rtl/>
        </w:rPr>
        <w:t>ك</w:t>
      </w:r>
      <w:r w:rsidR="00FE42C6" w:rsidRPr="006571AC">
        <w:rPr>
          <w:rFonts w:hint="cs"/>
          <w:sz w:val="27"/>
          <w:rtl/>
        </w:rPr>
        <w:t>َ</w:t>
      </w:r>
      <w:r w:rsidRPr="006571AC">
        <w:rPr>
          <w:sz w:val="27"/>
          <w:rtl/>
        </w:rPr>
        <w:t>ل غير مصداق ما يُل</w:t>
      </w:r>
      <w:r w:rsidR="00FE42C6" w:rsidRPr="006571AC">
        <w:rPr>
          <w:rFonts w:hint="cs"/>
          <w:sz w:val="27"/>
          <w:rtl/>
        </w:rPr>
        <w:t>ْ</w:t>
      </w:r>
      <w:r w:rsidRPr="006571AC">
        <w:rPr>
          <w:sz w:val="27"/>
          <w:rtl/>
        </w:rPr>
        <w:t>ب</w:t>
      </w:r>
      <w:r w:rsidR="00FE42C6" w:rsidRPr="006571AC">
        <w:rPr>
          <w:rFonts w:hint="cs"/>
          <w:sz w:val="27"/>
          <w:rtl/>
        </w:rPr>
        <w:t>َ</w:t>
      </w:r>
      <w:r w:rsidRPr="006571AC">
        <w:rPr>
          <w:sz w:val="27"/>
          <w:rtl/>
        </w:rPr>
        <w:t>س، وغير مصداق ما يُق</w:t>
      </w:r>
      <w:r w:rsidR="00FE42C6" w:rsidRPr="006571AC">
        <w:rPr>
          <w:rFonts w:hint="cs"/>
          <w:sz w:val="27"/>
          <w:rtl/>
        </w:rPr>
        <w:t>ْ</w:t>
      </w:r>
      <w:r w:rsidRPr="006571AC">
        <w:rPr>
          <w:sz w:val="27"/>
          <w:rtl/>
        </w:rPr>
        <w:t>ر</w:t>
      </w:r>
      <w:r w:rsidR="00FE42C6" w:rsidRPr="006571AC">
        <w:rPr>
          <w:rFonts w:hint="cs"/>
          <w:sz w:val="27"/>
          <w:rtl/>
        </w:rPr>
        <w:t>َ</w:t>
      </w:r>
      <w:r w:rsidRPr="006571AC">
        <w:rPr>
          <w:sz w:val="27"/>
          <w:rtl/>
        </w:rPr>
        <w:t>أ فيه</w:t>
      </w:r>
      <w:r w:rsidRPr="006571AC">
        <w:rPr>
          <w:rFonts w:hint="eastAsia"/>
          <w:sz w:val="24"/>
          <w:szCs w:val="24"/>
          <w:rtl/>
        </w:rPr>
        <w:t>»</w:t>
      </w:r>
      <w:r w:rsidRPr="006571AC">
        <w:rPr>
          <w:sz w:val="27"/>
          <w:vertAlign w:val="superscript"/>
          <w:rtl/>
        </w:rPr>
        <w:t>(</w:t>
      </w:r>
      <w:r w:rsidRPr="006571AC">
        <w:rPr>
          <w:rStyle w:val="ac"/>
          <w:sz w:val="27"/>
          <w:rtl/>
        </w:rPr>
        <w:endnoteReference w:id="212"/>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إن المورد الأهم</w:t>
      </w:r>
      <w:r w:rsidR="00FE42C6" w:rsidRPr="006571AC">
        <w:rPr>
          <w:rFonts w:hint="cs"/>
          <w:sz w:val="27"/>
          <w:rtl/>
        </w:rPr>
        <w:t>ّ</w:t>
      </w:r>
      <w:r w:rsidRPr="006571AC">
        <w:rPr>
          <w:rFonts w:hint="cs"/>
          <w:sz w:val="27"/>
          <w:rtl/>
        </w:rPr>
        <w:t xml:space="preserve"> لهذا الاستعمال</w:t>
      </w:r>
      <w:r w:rsidR="00FE42C6" w:rsidRPr="006571AC">
        <w:rPr>
          <w:rFonts w:hint="cs"/>
          <w:sz w:val="27"/>
          <w:rtl/>
        </w:rPr>
        <w:t>،</w:t>
      </w:r>
      <w:r w:rsidRPr="006571AC">
        <w:rPr>
          <w:rFonts w:hint="cs"/>
          <w:sz w:val="27"/>
          <w:rtl/>
        </w:rPr>
        <w:t xml:space="preserve"> الذي تمّ</w:t>
      </w:r>
      <w:r w:rsidR="00FE42C6" w:rsidRPr="006571AC">
        <w:rPr>
          <w:rFonts w:hint="cs"/>
          <w:sz w:val="27"/>
          <w:rtl/>
        </w:rPr>
        <w:t>َ</w:t>
      </w:r>
      <w:r w:rsidRPr="006571AC">
        <w:rPr>
          <w:rFonts w:hint="cs"/>
          <w:sz w:val="27"/>
          <w:rtl/>
        </w:rPr>
        <w:t>ت الاستفادة منه في الأصول، هو البراءة الشرعية. قال الشيخ الأنصاري</w:t>
      </w:r>
      <w:r w:rsidR="00FE42C6" w:rsidRPr="006571AC">
        <w:rPr>
          <w:rFonts w:hint="cs"/>
          <w:sz w:val="27"/>
          <w:rtl/>
        </w:rPr>
        <w:t>،</w:t>
      </w:r>
      <w:r w:rsidRPr="006571AC">
        <w:rPr>
          <w:rFonts w:hint="cs"/>
          <w:sz w:val="27"/>
          <w:rtl/>
        </w:rPr>
        <w:t xml:space="preserve"> في نقد الاستفادة من حديث الرفع</w:t>
      </w:r>
      <w:r w:rsidRPr="006571AC">
        <w:rPr>
          <w:sz w:val="27"/>
          <w:vertAlign w:val="superscript"/>
          <w:rtl/>
        </w:rPr>
        <w:t>(</w:t>
      </w:r>
      <w:r w:rsidRPr="006571AC">
        <w:rPr>
          <w:rStyle w:val="ac"/>
          <w:sz w:val="27"/>
          <w:rtl/>
        </w:rPr>
        <w:endnoteReference w:id="213"/>
      </w:r>
      <w:r w:rsidRPr="006571AC">
        <w:rPr>
          <w:sz w:val="27"/>
          <w:vertAlign w:val="superscript"/>
          <w:rtl/>
        </w:rPr>
        <w:t>)</w:t>
      </w:r>
      <w:r w:rsidR="00FE42C6" w:rsidRPr="006571AC">
        <w:rPr>
          <w:rFonts w:hint="cs"/>
          <w:sz w:val="27"/>
          <w:rtl/>
        </w:rPr>
        <w:t>؛</w:t>
      </w:r>
      <w:r w:rsidRPr="006571AC">
        <w:rPr>
          <w:sz w:val="27"/>
          <w:rtl/>
        </w:rPr>
        <w:t xml:space="preserve"> </w:t>
      </w:r>
      <w:r w:rsidRPr="006571AC">
        <w:rPr>
          <w:rFonts w:hint="cs"/>
          <w:sz w:val="27"/>
          <w:rtl/>
        </w:rPr>
        <w:t>لإثبات البراءة في الشبهات الح</w:t>
      </w:r>
      <w:r w:rsidR="00D34E91" w:rsidRPr="006571AC">
        <w:rPr>
          <w:rFonts w:hint="cs"/>
          <w:sz w:val="27"/>
          <w:rtl/>
        </w:rPr>
        <w:t>ُ</w:t>
      </w:r>
      <w:r w:rsidRPr="006571AC">
        <w:rPr>
          <w:rFonts w:hint="cs"/>
          <w:sz w:val="27"/>
          <w:rtl/>
        </w:rPr>
        <w:t>ك</w:t>
      </w:r>
      <w:r w:rsidR="00D34E91" w:rsidRPr="006571AC">
        <w:rPr>
          <w:rFonts w:hint="cs"/>
          <w:sz w:val="27"/>
          <w:rtl/>
        </w:rPr>
        <w:t>ْ</w:t>
      </w:r>
      <w:r w:rsidRPr="006571AC">
        <w:rPr>
          <w:rFonts w:hint="cs"/>
          <w:sz w:val="27"/>
          <w:rtl/>
        </w:rPr>
        <w:t xml:space="preserve">مية: </w:t>
      </w:r>
      <w:r w:rsidRPr="006571AC">
        <w:rPr>
          <w:rFonts w:hint="eastAsia"/>
          <w:sz w:val="24"/>
          <w:szCs w:val="24"/>
          <w:rtl/>
        </w:rPr>
        <w:t>«</w:t>
      </w:r>
      <w:r w:rsidRPr="006571AC">
        <w:rPr>
          <w:sz w:val="27"/>
          <w:rtl/>
        </w:rPr>
        <w:t>يمكن أن ي</w:t>
      </w:r>
      <w:r w:rsidR="00FE42C6" w:rsidRPr="006571AC">
        <w:rPr>
          <w:rFonts w:hint="cs"/>
          <w:sz w:val="27"/>
          <w:rtl/>
        </w:rPr>
        <w:t>ُ</w:t>
      </w:r>
      <w:r w:rsidRPr="006571AC">
        <w:rPr>
          <w:sz w:val="27"/>
          <w:rtl/>
        </w:rPr>
        <w:t>ور</w:t>
      </w:r>
      <w:r w:rsidR="00FE42C6" w:rsidRPr="006571AC">
        <w:rPr>
          <w:rFonts w:hint="cs"/>
          <w:sz w:val="27"/>
          <w:rtl/>
        </w:rPr>
        <w:t>َ</w:t>
      </w:r>
      <w:r w:rsidRPr="006571AC">
        <w:rPr>
          <w:sz w:val="27"/>
          <w:rtl/>
        </w:rPr>
        <w:t>د عليه بأن الظاهر من الموصول في</w:t>
      </w:r>
      <w:r w:rsidR="00FE42C6" w:rsidRPr="006571AC">
        <w:rPr>
          <w:rFonts w:hint="cs"/>
          <w:sz w:val="27"/>
          <w:rtl/>
        </w:rPr>
        <w:t xml:space="preserve"> </w:t>
      </w:r>
      <w:r w:rsidRPr="006571AC">
        <w:rPr>
          <w:sz w:val="27"/>
          <w:rtl/>
        </w:rPr>
        <w:t>ما لا يعلمون</w:t>
      </w:r>
      <w:r w:rsidR="00FE42C6" w:rsidRPr="006571AC">
        <w:rPr>
          <w:rFonts w:hint="cs"/>
          <w:sz w:val="27"/>
          <w:rtl/>
        </w:rPr>
        <w:t>؛</w:t>
      </w:r>
      <w:r w:rsidRPr="006571AC">
        <w:rPr>
          <w:sz w:val="27"/>
          <w:rtl/>
        </w:rPr>
        <w:t xml:space="preserve"> بقرينة أخواتها، هو الموضوع</w:t>
      </w:r>
      <w:r w:rsidRPr="006571AC">
        <w:rPr>
          <w:rFonts w:hint="cs"/>
          <w:sz w:val="27"/>
          <w:rtl/>
        </w:rPr>
        <w:t xml:space="preserve"> ـ</w:t>
      </w:r>
      <w:r w:rsidRPr="006571AC">
        <w:rPr>
          <w:sz w:val="27"/>
          <w:rtl/>
        </w:rPr>
        <w:t xml:space="preserve"> أعني فعل المكل</w:t>
      </w:r>
      <w:r w:rsidR="00FE42C6" w:rsidRPr="006571AC">
        <w:rPr>
          <w:rFonts w:hint="cs"/>
          <w:sz w:val="27"/>
          <w:rtl/>
        </w:rPr>
        <w:t>َّ</w:t>
      </w:r>
      <w:r w:rsidRPr="006571AC">
        <w:rPr>
          <w:sz w:val="27"/>
          <w:rtl/>
        </w:rPr>
        <w:t>ف غير المعلوم</w:t>
      </w:r>
      <w:r w:rsidRPr="006571AC">
        <w:rPr>
          <w:rFonts w:hint="cs"/>
          <w:sz w:val="27"/>
          <w:rtl/>
        </w:rPr>
        <w:t xml:space="preserve"> ـ</w:t>
      </w:r>
      <w:r w:rsidR="00FE42C6" w:rsidRPr="006571AC">
        <w:rPr>
          <w:rFonts w:hint="cs"/>
          <w:sz w:val="27"/>
          <w:rtl/>
        </w:rPr>
        <w:t>،</w:t>
      </w:r>
      <w:r w:rsidRPr="006571AC">
        <w:rPr>
          <w:sz w:val="27"/>
          <w:rtl/>
        </w:rPr>
        <w:t xml:space="preserve"> كالفعل الذي لا يعلم أن</w:t>
      </w:r>
      <w:r w:rsidRPr="006571AC">
        <w:rPr>
          <w:rFonts w:hint="cs"/>
          <w:sz w:val="27"/>
          <w:rtl/>
        </w:rPr>
        <w:t xml:space="preserve"> [يكون من] </w:t>
      </w:r>
      <w:r w:rsidRPr="006571AC">
        <w:rPr>
          <w:sz w:val="27"/>
          <w:rtl/>
        </w:rPr>
        <w:t>شرب الخمر أو شرب الخل</w:t>
      </w:r>
      <w:r w:rsidR="00FE42C6" w:rsidRPr="006571AC">
        <w:rPr>
          <w:rFonts w:hint="cs"/>
          <w:sz w:val="27"/>
          <w:rtl/>
        </w:rPr>
        <w:t>ّ</w:t>
      </w:r>
      <w:r w:rsidRPr="006571AC">
        <w:rPr>
          <w:sz w:val="27"/>
          <w:rtl/>
        </w:rPr>
        <w:t>، وغير ذلك من الشبهات الموضوعية، فلا يشمل الحكم غير المعلوم</w:t>
      </w:r>
      <w:r w:rsidRPr="006571AC">
        <w:rPr>
          <w:rFonts w:hint="eastAsia"/>
          <w:sz w:val="24"/>
          <w:szCs w:val="24"/>
          <w:rtl/>
        </w:rPr>
        <w:t>»</w:t>
      </w:r>
      <w:r w:rsidRPr="006571AC">
        <w:rPr>
          <w:sz w:val="27"/>
          <w:vertAlign w:val="superscript"/>
          <w:rtl/>
        </w:rPr>
        <w:t>(</w:t>
      </w:r>
      <w:r w:rsidRPr="006571AC">
        <w:rPr>
          <w:rStyle w:val="ac"/>
          <w:sz w:val="27"/>
          <w:rtl/>
        </w:rPr>
        <w:endnoteReference w:id="214"/>
      </w:r>
      <w:r w:rsidRPr="006571AC">
        <w:rPr>
          <w:sz w:val="27"/>
          <w:vertAlign w:val="superscript"/>
          <w:rtl/>
        </w:rPr>
        <w:t>)</w:t>
      </w:r>
      <w:r w:rsidRPr="006571AC">
        <w:rPr>
          <w:sz w:val="27"/>
          <w:rtl/>
        </w:rPr>
        <w:t>.</w:t>
      </w:r>
      <w:r w:rsidRPr="006571AC">
        <w:rPr>
          <w:rFonts w:hint="cs"/>
          <w:sz w:val="27"/>
          <w:rtl/>
        </w:rPr>
        <w:t xml:space="preserve"> </w:t>
      </w:r>
    </w:p>
    <w:p w:rsidR="00867C5C" w:rsidRPr="006571AC" w:rsidRDefault="00A75C8B" w:rsidP="00C95139">
      <w:pPr>
        <w:rPr>
          <w:sz w:val="27"/>
          <w:rtl/>
        </w:rPr>
      </w:pPr>
      <w:r w:rsidRPr="006571AC">
        <w:rPr>
          <w:rFonts w:hint="cs"/>
          <w:sz w:val="27"/>
          <w:rtl/>
        </w:rPr>
        <w:t>إن هذا الاستعمال من السياق الترت</w:t>
      </w:r>
      <w:r w:rsidR="00FE42C6" w:rsidRPr="006571AC">
        <w:rPr>
          <w:rFonts w:hint="cs"/>
          <w:sz w:val="27"/>
          <w:rtl/>
        </w:rPr>
        <w:t>ُّ</w:t>
      </w:r>
      <w:r w:rsidRPr="006571AC">
        <w:rPr>
          <w:rFonts w:hint="cs"/>
          <w:sz w:val="27"/>
          <w:rtl/>
        </w:rPr>
        <w:t>بي تعرّض بعد الشيخ الأنصار</w:t>
      </w:r>
      <w:r w:rsidR="00FE42C6" w:rsidRPr="006571AC">
        <w:rPr>
          <w:rFonts w:hint="cs"/>
          <w:sz w:val="27"/>
          <w:rtl/>
        </w:rPr>
        <w:t>ي</w:t>
      </w:r>
      <w:r w:rsidR="002A2C90" w:rsidRPr="006571AC">
        <w:rPr>
          <w:rFonts w:ascii="Mosawi" w:hAnsi="Mosawi" w:cs="Mosawi"/>
          <w:sz w:val="22"/>
          <w:szCs w:val="22"/>
          <w:rtl/>
        </w:rPr>
        <w:t>&amp;</w:t>
      </w:r>
      <w:r w:rsidRPr="006571AC">
        <w:rPr>
          <w:rFonts w:hint="cs"/>
          <w:sz w:val="27"/>
          <w:rtl/>
        </w:rPr>
        <w:t xml:space="preserve"> للانتقاد </w:t>
      </w:r>
      <w:r w:rsidRPr="006571AC">
        <w:rPr>
          <w:rFonts w:hint="cs"/>
          <w:sz w:val="27"/>
          <w:rtl/>
        </w:rPr>
        <w:lastRenderedPageBreak/>
        <w:t>بشدّة</w:t>
      </w:r>
      <w:r w:rsidR="00FE42C6" w:rsidRPr="006571AC">
        <w:rPr>
          <w:rFonts w:hint="cs"/>
          <w:sz w:val="27"/>
          <w:rtl/>
        </w:rPr>
        <w:t>ٍ</w:t>
      </w:r>
      <w:r w:rsidR="00867C5C" w:rsidRPr="006571AC">
        <w:rPr>
          <w:rFonts w:hint="cs"/>
          <w:sz w:val="27"/>
          <w:rtl/>
        </w:rPr>
        <w:t>.</w:t>
      </w:r>
    </w:p>
    <w:p w:rsidR="00867C5C" w:rsidRPr="006571AC" w:rsidRDefault="00A75C8B" w:rsidP="00C95139">
      <w:pPr>
        <w:rPr>
          <w:sz w:val="27"/>
          <w:rtl/>
        </w:rPr>
      </w:pPr>
      <w:r w:rsidRPr="006571AC">
        <w:rPr>
          <w:rFonts w:hint="cs"/>
          <w:sz w:val="27"/>
          <w:rtl/>
        </w:rPr>
        <w:t>قال السيد الخوئي</w:t>
      </w:r>
      <w:r w:rsidR="002A2C90" w:rsidRPr="006571AC">
        <w:rPr>
          <w:rFonts w:ascii="Mosawi" w:hAnsi="Mosawi" w:cs="Mosawi"/>
          <w:sz w:val="22"/>
          <w:szCs w:val="22"/>
          <w:rtl/>
        </w:rPr>
        <w:t>&amp;</w:t>
      </w:r>
      <w:r w:rsidRPr="006571AC">
        <w:rPr>
          <w:rFonts w:hint="cs"/>
          <w:sz w:val="27"/>
          <w:rtl/>
        </w:rPr>
        <w:t xml:space="preserve"> في نقد هذه الرؤية: </w:t>
      </w:r>
      <w:r w:rsidRPr="006571AC">
        <w:rPr>
          <w:rFonts w:hint="eastAsia"/>
          <w:sz w:val="24"/>
          <w:szCs w:val="24"/>
          <w:rtl/>
        </w:rPr>
        <w:t>«</w:t>
      </w:r>
      <w:r w:rsidRPr="006571AC">
        <w:rPr>
          <w:sz w:val="27"/>
          <w:rtl/>
        </w:rPr>
        <w:t>والاختلاف في الانطباق من باب الاتفاق من جهة اختلاف الصلة لا يوجب اختلاف المعنى الذ</w:t>
      </w:r>
      <w:r w:rsidRPr="006571AC">
        <w:rPr>
          <w:rFonts w:hint="cs"/>
          <w:sz w:val="27"/>
          <w:rtl/>
        </w:rPr>
        <w:t>ي</w:t>
      </w:r>
      <w:r w:rsidRPr="006571AC">
        <w:rPr>
          <w:sz w:val="27"/>
          <w:rtl/>
        </w:rPr>
        <w:t xml:space="preserve"> استعمل فيه الموصول</w:t>
      </w:r>
      <w:r w:rsidR="00867C5C" w:rsidRPr="006571AC">
        <w:rPr>
          <w:rFonts w:hint="cs"/>
          <w:sz w:val="27"/>
          <w:rtl/>
        </w:rPr>
        <w:t>؛</w:t>
      </w:r>
      <w:r w:rsidRPr="006571AC">
        <w:rPr>
          <w:sz w:val="27"/>
          <w:rtl/>
        </w:rPr>
        <w:t xml:space="preserve"> كي يضر</w:t>
      </w:r>
      <w:r w:rsidRPr="006571AC">
        <w:rPr>
          <w:rFonts w:hint="cs"/>
          <w:sz w:val="27"/>
          <w:rtl/>
        </w:rPr>
        <w:t>ّ</w:t>
      </w:r>
      <w:r w:rsidRPr="006571AC">
        <w:rPr>
          <w:sz w:val="27"/>
          <w:rtl/>
        </w:rPr>
        <w:t xml:space="preserve"> بوحدة السياق، ف</w:t>
      </w:r>
      <w:r w:rsidRPr="006571AC">
        <w:rPr>
          <w:rFonts w:hint="cs"/>
          <w:sz w:val="27"/>
          <w:rtl/>
        </w:rPr>
        <w:t>إ</w:t>
      </w:r>
      <w:r w:rsidRPr="006571AC">
        <w:rPr>
          <w:sz w:val="27"/>
          <w:rtl/>
        </w:rPr>
        <w:t>ن المستعمل فيه في قولنا</w:t>
      </w:r>
      <w:r w:rsidRPr="006571AC">
        <w:rPr>
          <w:rFonts w:hint="cs"/>
          <w:sz w:val="27"/>
          <w:rtl/>
        </w:rPr>
        <w:t xml:space="preserve">: </w:t>
      </w:r>
      <w:r w:rsidRPr="006571AC">
        <w:rPr>
          <w:rFonts w:hint="eastAsia"/>
          <w:sz w:val="24"/>
          <w:szCs w:val="24"/>
          <w:rtl/>
        </w:rPr>
        <w:t>«</w:t>
      </w:r>
      <w:r w:rsidRPr="006571AC">
        <w:rPr>
          <w:sz w:val="27"/>
          <w:rtl/>
        </w:rPr>
        <w:t>ما ترك زيد</w:t>
      </w:r>
      <w:r w:rsidR="00867C5C" w:rsidRPr="006571AC">
        <w:rPr>
          <w:rFonts w:hint="cs"/>
          <w:sz w:val="27"/>
          <w:rtl/>
        </w:rPr>
        <w:t>ٌ</w:t>
      </w:r>
      <w:r w:rsidRPr="006571AC">
        <w:rPr>
          <w:sz w:val="27"/>
          <w:rtl/>
        </w:rPr>
        <w:t xml:space="preserve"> فهو لوارث</w:t>
      </w:r>
      <w:r w:rsidR="00867C5C" w:rsidRPr="006571AC">
        <w:rPr>
          <w:rFonts w:hint="cs"/>
          <w:sz w:val="27"/>
          <w:rtl/>
        </w:rPr>
        <w:t>ه</w:t>
      </w:r>
      <w:r w:rsidRPr="006571AC">
        <w:rPr>
          <w:rFonts w:hint="eastAsia"/>
          <w:sz w:val="24"/>
          <w:szCs w:val="24"/>
          <w:rtl/>
        </w:rPr>
        <w:t>»</w:t>
      </w:r>
      <w:r w:rsidRPr="006571AC">
        <w:rPr>
          <w:sz w:val="27"/>
          <w:rtl/>
        </w:rPr>
        <w:t xml:space="preserve"> و</w:t>
      </w:r>
      <w:r w:rsidRPr="006571AC">
        <w:rPr>
          <w:rFonts w:hint="eastAsia"/>
          <w:sz w:val="24"/>
          <w:szCs w:val="24"/>
          <w:rtl/>
        </w:rPr>
        <w:t>«</w:t>
      </w:r>
      <w:r w:rsidRPr="006571AC">
        <w:rPr>
          <w:sz w:val="27"/>
          <w:rtl/>
        </w:rPr>
        <w:t>ما ترك عمرو فهو لوارثه</w:t>
      </w:r>
      <w:r w:rsidRPr="006571AC">
        <w:rPr>
          <w:rFonts w:hint="eastAsia"/>
          <w:sz w:val="24"/>
          <w:szCs w:val="24"/>
          <w:rtl/>
        </w:rPr>
        <w:t>»</w:t>
      </w:r>
      <w:r w:rsidRPr="006571AC">
        <w:rPr>
          <w:sz w:val="27"/>
          <w:rtl/>
        </w:rPr>
        <w:t xml:space="preserve"> و</w:t>
      </w:r>
      <w:r w:rsidRPr="006571AC">
        <w:rPr>
          <w:rFonts w:hint="eastAsia"/>
          <w:sz w:val="24"/>
          <w:szCs w:val="24"/>
          <w:rtl/>
        </w:rPr>
        <w:t>«</w:t>
      </w:r>
      <w:r w:rsidRPr="006571AC">
        <w:rPr>
          <w:sz w:val="27"/>
          <w:rtl/>
        </w:rPr>
        <w:t>ما ترك خالد فهو لوارثة</w:t>
      </w:r>
      <w:r w:rsidRPr="006571AC">
        <w:rPr>
          <w:rFonts w:hint="eastAsia"/>
          <w:sz w:val="24"/>
          <w:szCs w:val="24"/>
          <w:rtl/>
        </w:rPr>
        <w:t>»</w:t>
      </w:r>
      <w:r w:rsidRPr="006571AC">
        <w:rPr>
          <w:rFonts w:hint="cs"/>
          <w:sz w:val="27"/>
          <w:rtl/>
        </w:rPr>
        <w:t xml:space="preserve"> </w:t>
      </w:r>
      <w:r w:rsidRPr="006571AC">
        <w:rPr>
          <w:sz w:val="27"/>
          <w:rtl/>
        </w:rPr>
        <w:t>ش</w:t>
      </w:r>
      <w:r w:rsidRPr="006571AC">
        <w:rPr>
          <w:rFonts w:hint="cs"/>
          <w:sz w:val="27"/>
          <w:rtl/>
        </w:rPr>
        <w:t>يء</w:t>
      </w:r>
      <w:r w:rsidR="00867C5C" w:rsidRPr="006571AC">
        <w:rPr>
          <w:rFonts w:hint="cs"/>
          <w:sz w:val="27"/>
          <w:rtl/>
        </w:rPr>
        <w:t>ٌ</w:t>
      </w:r>
      <w:r w:rsidRPr="006571AC">
        <w:rPr>
          <w:sz w:val="27"/>
          <w:rtl/>
        </w:rPr>
        <w:t xml:space="preserve"> واحد</w:t>
      </w:r>
      <w:r w:rsidR="00867C5C" w:rsidRPr="006571AC">
        <w:rPr>
          <w:rFonts w:hint="cs"/>
          <w:sz w:val="27"/>
          <w:rtl/>
        </w:rPr>
        <w:t>،</w:t>
      </w:r>
      <w:r w:rsidRPr="006571AC">
        <w:rPr>
          <w:rFonts w:hint="cs"/>
          <w:sz w:val="27"/>
          <w:rtl/>
        </w:rPr>
        <w:t xml:space="preserve"> </w:t>
      </w:r>
      <w:r w:rsidRPr="006571AC">
        <w:rPr>
          <w:sz w:val="27"/>
          <w:rtl/>
        </w:rPr>
        <w:t>فوحدة السياق محفوظة. ولو كان هذا المفهوم منطبقا</w:t>
      </w:r>
      <w:r w:rsidRPr="006571AC">
        <w:rPr>
          <w:rFonts w:hint="cs"/>
          <w:sz w:val="27"/>
          <w:rtl/>
        </w:rPr>
        <w:t>ً</w:t>
      </w:r>
      <w:r w:rsidRPr="006571AC">
        <w:rPr>
          <w:sz w:val="27"/>
          <w:rtl/>
        </w:rPr>
        <w:t xml:space="preserve"> على الدار في الجملة ال</w:t>
      </w:r>
      <w:r w:rsidRPr="006571AC">
        <w:rPr>
          <w:rFonts w:hint="cs"/>
          <w:sz w:val="27"/>
          <w:rtl/>
        </w:rPr>
        <w:t>أ</w:t>
      </w:r>
      <w:r w:rsidRPr="006571AC">
        <w:rPr>
          <w:sz w:val="27"/>
          <w:rtl/>
        </w:rPr>
        <w:t>ولى، وعلى العقار في الثانية، وعلى ال</w:t>
      </w:r>
      <w:r w:rsidRPr="006571AC">
        <w:rPr>
          <w:rFonts w:hint="cs"/>
          <w:sz w:val="27"/>
          <w:rtl/>
        </w:rPr>
        <w:t>أ</w:t>
      </w:r>
      <w:r w:rsidRPr="006571AC">
        <w:rPr>
          <w:sz w:val="27"/>
          <w:rtl/>
        </w:rPr>
        <w:t>شجار في الثالثة</w:t>
      </w:r>
      <w:r w:rsidRPr="006571AC">
        <w:rPr>
          <w:rFonts w:hint="cs"/>
          <w:sz w:val="27"/>
          <w:rtl/>
        </w:rPr>
        <w:t xml:space="preserve">، </w:t>
      </w:r>
      <w:r w:rsidRPr="006571AC">
        <w:rPr>
          <w:sz w:val="27"/>
          <w:rtl/>
        </w:rPr>
        <w:t>فلا شهادة لوحدة السياق على أن متروكات الجميع منطبقة</w:t>
      </w:r>
      <w:r w:rsidR="00867C5C" w:rsidRPr="006571AC">
        <w:rPr>
          <w:rFonts w:hint="cs"/>
          <w:sz w:val="27"/>
          <w:rtl/>
        </w:rPr>
        <w:t>ٌ</w:t>
      </w:r>
      <w:r w:rsidRPr="006571AC">
        <w:rPr>
          <w:sz w:val="27"/>
          <w:rtl/>
        </w:rPr>
        <w:t xml:space="preserve"> على جنس</w:t>
      </w:r>
      <w:r w:rsidR="00867C5C" w:rsidRPr="006571AC">
        <w:rPr>
          <w:rFonts w:hint="cs"/>
          <w:sz w:val="27"/>
          <w:rtl/>
        </w:rPr>
        <w:t>ٍ</w:t>
      </w:r>
      <w:r w:rsidRPr="006571AC">
        <w:rPr>
          <w:sz w:val="27"/>
          <w:rtl/>
        </w:rPr>
        <w:t xml:space="preserve"> واحد. والمقام</w:t>
      </w:r>
      <w:r w:rsidRPr="006571AC">
        <w:rPr>
          <w:rFonts w:hint="cs"/>
          <w:sz w:val="27"/>
          <w:rtl/>
        </w:rPr>
        <w:t xml:space="preserve"> [حديث الرفع] </w:t>
      </w:r>
      <w:r w:rsidRPr="006571AC">
        <w:rPr>
          <w:sz w:val="27"/>
          <w:rtl/>
        </w:rPr>
        <w:t>من هذا القبيل بع</w:t>
      </w:r>
      <w:r w:rsidR="00D34E91" w:rsidRPr="006571AC">
        <w:rPr>
          <w:rFonts w:hint="cs"/>
          <w:sz w:val="27"/>
          <w:rtl/>
        </w:rPr>
        <w:t>َ</w:t>
      </w:r>
      <w:r w:rsidRPr="006571AC">
        <w:rPr>
          <w:sz w:val="27"/>
          <w:rtl/>
        </w:rPr>
        <w:t>ي</w:t>
      </w:r>
      <w:r w:rsidR="00D34E91" w:rsidRPr="006571AC">
        <w:rPr>
          <w:rFonts w:hint="cs"/>
          <w:sz w:val="27"/>
          <w:rtl/>
        </w:rPr>
        <w:t>ْ</w:t>
      </w:r>
      <w:r w:rsidRPr="006571AC">
        <w:rPr>
          <w:sz w:val="27"/>
          <w:rtl/>
        </w:rPr>
        <w:t>نه</w:t>
      </w:r>
      <w:r w:rsidRPr="006571AC">
        <w:rPr>
          <w:rFonts w:hint="eastAsia"/>
          <w:sz w:val="24"/>
          <w:szCs w:val="24"/>
          <w:rtl/>
        </w:rPr>
        <w:t>»</w:t>
      </w:r>
      <w:r w:rsidRPr="006571AC">
        <w:rPr>
          <w:sz w:val="27"/>
          <w:vertAlign w:val="superscript"/>
          <w:rtl/>
        </w:rPr>
        <w:t>(</w:t>
      </w:r>
      <w:r w:rsidRPr="006571AC">
        <w:rPr>
          <w:rStyle w:val="ac"/>
          <w:sz w:val="27"/>
          <w:rtl/>
        </w:rPr>
        <w:endnoteReference w:id="215"/>
      </w:r>
      <w:r w:rsidRPr="006571AC">
        <w:rPr>
          <w:sz w:val="27"/>
          <w:vertAlign w:val="superscript"/>
          <w:rtl/>
        </w:rPr>
        <w:t>)</w:t>
      </w:r>
      <w:r w:rsidRPr="006571AC">
        <w:rPr>
          <w:sz w:val="27"/>
          <w:rtl/>
        </w:rPr>
        <w:t>.</w:t>
      </w:r>
    </w:p>
    <w:p w:rsidR="00A75C8B" w:rsidRPr="006571AC" w:rsidRDefault="00A75C8B" w:rsidP="00C95139">
      <w:pPr>
        <w:rPr>
          <w:sz w:val="27"/>
          <w:rtl/>
        </w:rPr>
      </w:pPr>
      <w:r w:rsidRPr="006571AC">
        <w:rPr>
          <w:rFonts w:hint="cs"/>
          <w:sz w:val="27"/>
          <w:rtl/>
        </w:rPr>
        <w:t>كما قال السيد الشهيد الصدر</w:t>
      </w:r>
      <w:r w:rsidR="002A2C90" w:rsidRPr="006571AC">
        <w:rPr>
          <w:rFonts w:ascii="Mosawi" w:hAnsi="Mosawi" w:cs="Mosawi"/>
          <w:sz w:val="22"/>
          <w:szCs w:val="22"/>
          <w:rtl/>
        </w:rPr>
        <w:t>&amp;</w:t>
      </w:r>
      <w:r w:rsidRPr="006571AC">
        <w:rPr>
          <w:rFonts w:hint="cs"/>
          <w:sz w:val="27"/>
          <w:rtl/>
        </w:rPr>
        <w:t xml:space="preserve"> في نقد هذا الفهم: </w:t>
      </w:r>
      <w:r w:rsidRPr="006571AC">
        <w:rPr>
          <w:rFonts w:hint="eastAsia"/>
          <w:sz w:val="24"/>
          <w:szCs w:val="24"/>
          <w:rtl/>
        </w:rPr>
        <w:t>«</w:t>
      </w:r>
      <w:r w:rsidRPr="006571AC">
        <w:rPr>
          <w:sz w:val="27"/>
          <w:rtl/>
        </w:rPr>
        <w:t>وهذا الاختلاف ممّا لا إشكال في أنه لا يمكن ن</w:t>
      </w:r>
      <w:r w:rsidR="00867C5C" w:rsidRPr="006571AC">
        <w:rPr>
          <w:rFonts w:hint="cs"/>
          <w:sz w:val="27"/>
          <w:rtl/>
        </w:rPr>
        <w:t>َ</w:t>
      </w:r>
      <w:r w:rsidRPr="006571AC">
        <w:rPr>
          <w:sz w:val="27"/>
          <w:rtl/>
        </w:rPr>
        <w:t>ف</w:t>
      </w:r>
      <w:r w:rsidR="00867C5C" w:rsidRPr="006571AC">
        <w:rPr>
          <w:rFonts w:hint="cs"/>
          <w:sz w:val="27"/>
          <w:rtl/>
        </w:rPr>
        <w:t>ْ</w:t>
      </w:r>
      <w:r w:rsidRPr="006571AC">
        <w:rPr>
          <w:sz w:val="27"/>
          <w:rtl/>
        </w:rPr>
        <w:t>يه بوحدة السياق</w:t>
      </w:r>
      <w:r w:rsidR="00867C5C" w:rsidRPr="006571AC">
        <w:rPr>
          <w:rFonts w:hint="cs"/>
          <w:sz w:val="27"/>
          <w:rtl/>
        </w:rPr>
        <w:t>؛</w:t>
      </w:r>
      <w:r w:rsidRPr="006571AC">
        <w:rPr>
          <w:sz w:val="27"/>
          <w:rtl/>
        </w:rPr>
        <w:t xml:space="preserve"> لأن السياق شأن الكلام، وتطبيق المفاهيم على مصاديقه أجنبي</w:t>
      </w:r>
      <w:r w:rsidR="00867C5C" w:rsidRPr="006571AC">
        <w:rPr>
          <w:rFonts w:hint="cs"/>
          <w:sz w:val="27"/>
          <w:rtl/>
        </w:rPr>
        <w:t>ٌّ</w:t>
      </w:r>
      <w:r w:rsidRPr="006571AC">
        <w:rPr>
          <w:sz w:val="27"/>
          <w:rtl/>
        </w:rPr>
        <w:t xml:space="preserve"> عن الكلام</w:t>
      </w:r>
      <w:r w:rsidR="00867C5C" w:rsidRPr="006571AC">
        <w:rPr>
          <w:rFonts w:hint="cs"/>
          <w:sz w:val="27"/>
          <w:rtl/>
        </w:rPr>
        <w:t>،</w:t>
      </w:r>
      <w:r w:rsidRPr="006571AC">
        <w:rPr>
          <w:sz w:val="27"/>
          <w:rtl/>
        </w:rPr>
        <w:t xml:space="preserve"> ولا ر</w:t>
      </w:r>
      <w:r w:rsidR="00D34E91" w:rsidRPr="006571AC">
        <w:rPr>
          <w:rFonts w:hint="cs"/>
          <w:sz w:val="27"/>
          <w:rtl/>
        </w:rPr>
        <w:t>َ</w:t>
      </w:r>
      <w:r w:rsidRPr="006571AC">
        <w:rPr>
          <w:sz w:val="27"/>
          <w:rtl/>
        </w:rPr>
        <w:t>ب</w:t>
      </w:r>
      <w:r w:rsidR="00D34E91" w:rsidRPr="006571AC">
        <w:rPr>
          <w:rFonts w:hint="cs"/>
          <w:sz w:val="27"/>
          <w:rtl/>
        </w:rPr>
        <w:t>ْ</w:t>
      </w:r>
      <w:r w:rsidRPr="006571AC">
        <w:rPr>
          <w:sz w:val="27"/>
          <w:rtl/>
        </w:rPr>
        <w:t>ط له بوجه</w:t>
      </w:r>
      <w:r w:rsidR="00867C5C" w:rsidRPr="006571AC">
        <w:rPr>
          <w:rFonts w:hint="cs"/>
          <w:sz w:val="27"/>
          <w:rtl/>
        </w:rPr>
        <w:t>ٍ</w:t>
      </w:r>
      <w:r w:rsidRPr="006571AC">
        <w:rPr>
          <w:sz w:val="27"/>
          <w:rtl/>
        </w:rPr>
        <w:t xml:space="preserve"> من الوجوه</w:t>
      </w:r>
      <w:r w:rsidRPr="006571AC">
        <w:rPr>
          <w:rFonts w:hint="eastAsia"/>
          <w:sz w:val="24"/>
          <w:szCs w:val="24"/>
          <w:rtl/>
        </w:rPr>
        <w:t>»</w:t>
      </w:r>
      <w:r w:rsidRPr="006571AC">
        <w:rPr>
          <w:sz w:val="27"/>
          <w:vertAlign w:val="superscript"/>
          <w:rtl/>
        </w:rPr>
        <w:t>(</w:t>
      </w:r>
      <w:r w:rsidRPr="006571AC">
        <w:rPr>
          <w:rStyle w:val="ac"/>
          <w:sz w:val="27"/>
          <w:rtl/>
        </w:rPr>
        <w:endnoteReference w:id="216"/>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867C5C" w:rsidP="00C95139">
      <w:pPr>
        <w:rPr>
          <w:sz w:val="27"/>
          <w:rtl/>
        </w:rPr>
      </w:pPr>
      <w:r w:rsidRPr="006571AC">
        <w:rPr>
          <w:rFonts w:hint="cs"/>
          <w:sz w:val="27"/>
          <w:rtl/>
        </w:rPr>
        <w:t>و</w:t>
      </w:r>
      <w:r w:rsidR="00A75C8B" w:rsidRPr="006571AC">
        <w:rPr>
          <w:rFonts w:hint="cs"/>
          <w:sz w:val="27"/>
          <w:rtl/>
        </w:rPr>
        <w:t>من الجدير ذكره أن الذي وقع مورداً للنقد والإنكار من ق</w:t>
      </w:r>
      <w:r w:rsidR="005A03FE" w:rsidRPr="006571AC">
        <w:rPr>
          <w:rFonts w:hint="cs"/>
          <w:sz w:val="27"/>
          <w:rtl/>
        </w:rPr>
        <w:t>ِ</w:t>
      </w:r>
      <w:r w:rsidR="00A75C8B" w:rsidRPr="006571AC">
        <w:rPr>
          <w:rFonts w:hint="cs"/>
          <w:sz w:val="27"/>
          <w:rtl/>
        </w:rPr>
        <w:t>ب</w:t>
      </w:r>
      <w:r w:rsidR="005A03FE" w:rsidRPr="006571AC">
        <w:rPr>
          <w:rFonts w:hint="cs"/>
          <w:sz w:val="27"/>
          <w:rtl/>
        </w:rPr>
        <w:t>َ</w:t>
      </w:r>
      <w:r w:rsidR="00A75C8B" w:rsidRPr="006571AC">
        <w:rPr>
          <w:rFonts w:hint="cs"/>
          <w:sz w:val="27"/>
          <w:rtl/>
        </w:rPr>
        <w:t>ل السيد الخوئي</w:t>
      </w:r>
      <w:r w:rsidR="002A2C90" w:rsidRPr="006571AC">
        <w:rPr>
          <w:rFonts w:ascii="Mosawi" w:hAnsi="Mosawi" w:cs="Mosawi"/>
          <w:sz w:val="22"/>
          <w:szCs w:val="22"/>
          <w:rtl/>
        </w:rPr>
        <w:t>&amp;</w:t>
      </w:r>
      <w:r w:rsidR="00A75C8B" w:rsidRPr="006571AC">
        <w:rPr>
          <w:rFonts w:hint="cs"/>
          <w:sz w:val="27"/>
          <w:rtl/>
        </w:rPr>
        <w:t xml:space="preserve"> والسيد الشهيد محمد باقر الصدر</w:t>
      </w:r>
      <w:r w:rsidR="002A2C90" w:rsidRPr="006571AC">
        <w:rPr>
          <w:rFonts w:ascii="Mosawi" w:hAnsi="Mosawi" w:cs="Mosawi"/>
          <w:sz w:val="22"/>
          <w:szCs w:val="22"/>
          <w:rtl/>
        </w:rPr>
        <w:t>&amp;</w:t>
      </w:r>
      <w:r w:rsidR="00A75C8B" w:rsidRPr="006571AC">
        <w:rPr>
          <w:rFonts w:hint="cs"/>
          <w:sz w:val="27"/>
          <w:rtl/>
        </w:rPr>
        <w:t xml:space="preserve"> هو الاستفادة من السياق الترت</w:t>
      </w:r>
      <w:r w:rsidR="005A03FE" w:rsidRPr="006571AC">
        <w:rPr>
          <w:rFonts w:hint="cs"/>
          <w:sz w:val="27"/>
          <w:rtl/>
        </w:rPr>
        <w:t>ُّ</w:t>
      </w:r>
      <w:r w:rsidR="00A75C8B" w:rsidRPr="006571AC">
        <w:rPr>
          <w:rFonts w:hint="cs"/>
          <w:sz w:val="27"/>
          <w:rtl/>
        </w:rPr>
        <w:t xml:space="preserve">بي لكشف المصداق. </w:t>
      </w:r>
      <w:r w:rsidR="00731867" w:rsidRPr="006571AC">
        <w:rPr>
          <w:rFonts w:hint="cs"/>
          <w:sz w:val="27"/>
          <w:rtl/>
        </w:rPr>
        <w:t>بَيْدَ</w:t>
      </w:r>
      <w:r w:rsidR="00A75C8B" w:rsidRPr="006571AC">
        <w:rPr>
          <w:rFonts w:hint="cs"/>
          <w:sz w:val="27"/>
          <w:rtl/>
        </w:rPr>
        <w:t xml:space="preserve"> أن هذا لا يعني أن السياق لا يكشف عن المصداق. </w:t>
      </w:r>
      <w:r w:rsidR="005A03FE" w:rsidRPr="006571AC">
        <w:rPr>
          <w:rFonts w:hint="cs"/>
          <w:sz w:val="27"/>
          <w:rtl/>
        </w:rPr>
        <w:t>و</w:t>
      </w:r>
      <w:r w:rsidR="00A75C8B" w:rsidRPr="006571AC">
        <w:rPr>
          <w:rFonts w:hint="cs"/>
          <w:sz w:val="27"/>
          <w:rtl/>
        </w:rPr>
        <w:t xml:space="preserve">من ذلك أن يقول الكاتب في بحث إرث المرأة من العقار مثلاً: </w:t>
      </w:r>
      <w:r w:rsidR="00A75C8B" w:rsidRPr="006571AC">
        <w:rPr>
          <w:rFonts w:hint="eastAsia"/>
          <w:sz w:val="24"/>
          <w:szCs w:val="24"/>
          <w:rtl/>
        </w:rPr>
        <w:t>«</w:t>
      </w:r>
      <w:r w:rsidR="00A75C8B" w:rsidRPr="006571AC">
        <w:rPr>
          <w:rFonts w:hint="cs"/>
          <w:sz w:val="27"/>
          <w:rtl/>
        </w:rPr>
        <w:t>إن ما يتركه الرجل لا ترثه المرأة</w:t>
      </w:r>
      <w:r w:rsidR="00A75C8B" w:rsidRPr="006571AC">
        <w:rPr>
          <w:rFonts w:hint="eastAsia"/>
          <w:sz w:val="24"/>
          <w:szCs w:val="24"/>
          <w:rtl/>
        </w:rPr>
        <w:t>»</w:t>
      </w:r>
      <w:r w:rsidR="005A03FE" w:rsidRPr="006571AC">
        <w:rPr>
          <w:rFonts w:hint="cs"/>
          <w:sz w:val="27"/>
          <w:rtl/>
        </w:rPr>
        <w:t>؛</w:t>
      </w:r>
      <w:r w:rsidR="00A75C8B" w:rsidRPr="006571AC">
        <w:rPr>
          <w:rFonts w:hint="cs"/>
          <w:sz w:val="27"/>
          <w:rtl/>
        </w:rPr>
        <w:t xml:space="preserve"> فإن سياق الضمنية في مثل هذا المورد أن يكون مصداق </w:t>
      </w:r>
      <w:r w:rsidR="00A75C8B" w:rsidRPr="006571AC">
        <w:rPr>
          <w:rFonts w:hint="eastAsia"/>
          <w:sz w:val="24"/>
          <w:szCs w:val="24"/>
          <w:rtl/>
        </w:rPr>
        <w:t>«</w:t>
      </w:r>
      <w:r w:rsidR="00A75C8B" w:rsidRPr="006571AC">
        <w:rPr>
          <w:rFonts w:hint="cs"/>
          <w:sz w:val="27"/>
          <w:rtl/>
        </w:rPr>
        <w:t>ما</w:t>
      </w:r>
      <w:r w:rsidR="00A75C8B" w:rsidRPr="006571AC">
        <w:rPr>
          <w:rFonts w:hint="eastAsia"/>
          <w:sz w:val="24"/>
          <w:szCs w:val="24"/>
          <w:rtl/>
        </w:rPr>
        <w:t>»</w:t>
      </w:r>
      <w:r w:rsidR="00A75C8B" w:rsidRPr="006571AC">
        <w:rPr>
          <w:rFonts w:hint="cs"/>
          <w:sz w:val="27"/>
          <w:rtl/>
        </w:rPr>
        <w:t xml:space="preserve"> هو العقار. </w:t>
      </w:r>
    </w:p>
    <w:p w:rsidR="009E7E1F" w:rsidRPr="006571AC" w:rsidRDefault="009E7E1F" w:rsidP="009E7E1F">
      <w:pPr>
        <w:spacing w:line="420" w:lineRule="exact"/>
        <w:rPr>
          <w:sz w:val="27"/>
          <w:rtl/>
        </w:rPr>
      </w:pPr>
    </w:p>
    <w:p w:rsidR="00A75C8B" w:rsidRPr="006571AC" w:rsidRDefault="00083599" w:rsidP="009C29A7">
      <w:pPr>
        <w:pStyle w:val="31"/>
        <w:rPr>
          <w:color w:val="auto"/>
          <w:rtl/>
        </w:rPr>
      </w:pPr>
      <w:bookmarkStart w:id="101" w:name="_Toc114164590"/>
      <w:r w:rsidRPr="006571AC">
        <w:rPr>
          <w:rFonts w:hint="cs"/>
          <w:color w:val="auto"/>
          <w:rtl/>
        </w:rPr>
        <w:t>و ـ</w:t>
      </w:r>
      <w:r w:rsidR="00A75C8B" w:rsidRPr="006571AC">
        <w:rPr>
          <w:rFonts w:hint="cs"/>
          <w:color w:val="auto"/>
          <w:rtl/>
        </w:rPr>
        <w:t xml:space="preserve"> الكشف عن الداعي</w:t>
      </w:r>
      <w:bookmarkEnd w:id="101"/>
    </w:p>
    <w:p w:rsidR="00A75C8B" w:rsidRPr="006571AC" w:rsidRDefault="00A75C8B" w:rsidP="00C95139">
      <w:pPr>
        <w:rPr>
          <w:sz w:val="27"/>
          <w:rtl/>
        </w:rPr>
      </w:pPr>
      <w:r w:rsidRPr="006571AC">
        <w:rPr>
          <w:rFonts w:hint="cs"/>
          <w:sz w:val="27"/>
          <w:rtl/>
        </w:rPr>
        <w:t>لقد تحدّ</w:t>
      </w:r>
      <w:r w:rsidR="005A03FE" w:rsidRPr="006571AC">
        <w:rPr>
          <w:rFonts w:hint="cs"/>
          <w:sz w:val="27"/>
          <w:rtl/>
        </w:rPr>
        <w:t>َ</w:t>
      </w:r>
      <w:r w:rsidRPr="006571AC">
        <w:rPr>
          <w:rFonts w:hint="cs"/>
          <w:sz w:val="27"/>
          <w:rtl/>
        </w:rPr>
        <w:t>ث السيد الحكيم</w:t>
      </w:r>
      <w:r w:rsidR="005A03FE" w:rsidRPr="006571AC">
        <w:rPr>
          <w:rFonts w:hint="cs"/>
          <w:sz w:val="27"/>
          <w:rtl/>
        </w:rPr>
        <w:t>،</w:t>
      </w:r>
      <w:r w:rsidRPr="006571AC">
        <w:rPr>
          <w:rFonts w:hint="cs"/>
          <w:sz w:val="27"/>
          <w:rtl/>
        </w:rPr>
        <w:t xml:space="preserve"> في ذيل قوله تعالى: </w:t>
      </w:r>
      <w:r w:rsidRPr="006571AC">
        <w:rPr>
          <w:rFonts w:ascii="Mosawi" w:hAnsi="Mosawi" w:cs="Mosawi"/>
          <w:sz w:val="24"/>
          <w:szCs w:val="24"/>
          <w:rtl/>
        </w:rPr>
        <w:t>﴿</w:t>
      </w:r>
      <w:r w:rsidRPr="006571AC">
        <w:rPr>
          <w:b/>
          <w:bCs/>
          <w:sz w:val="27"/>
          <w:rtl/>
        </w:rPr>
        <w:t>وَمَنْ لَمْ يَسْتَطِعْ مِنْكُمْ طَوْلاً أَنْ يَنْكِحَ الْمُحْصَنَاتِ الْمُؤْمِنَاتِ فَمِنْ مَا مَلَكَتْ أَيْمَانُكُمْ مِنْ فَتَيَاتِكُمُ الْمُؤْمِنَاتِ... ذَلِكَ لِمَنْ خَشِيَ الْعَنَتَ مِنْكُمْ...</w:t>
      </w:r>
      <w:r w:rsidRPr="006571AC">
        <w:rPr>
          <w:rFonts w:ascii="Mosawi" w:hAnsi="Mosawi" w:cs="Mosawi"/>
          <w:sz w:val="24"/>
          <w:szCs w:val="24"/>
          <w:rtl/>
        </w:rPr>
        <w:t>﴾</w:t>
      </w:r>
      <w:r w:rsidRPr="006571AC">
        <w:rPr>
          <w:rFonts w:hint="cs"/>
          <w:sz w:val="27"/>
          <w:rtl/>
        </w:rPr>
        <w:t xml:space="preserve"> (النساء: 25)، في إطار إثبات اشتراط عدم القدرة المالية والخوف من السقوط في المعصية لصحة الزواج من الأ</w:t>
      </w:r>
      <w:r w:rsidR="005A03FE" w:rsidRPr="006571AC">
        <w:rPr>
          <w:rFonts w:hint="cs"/>
          <w:sz w:val="27"/>
          <w:rtl/>
        </w:rPr>
        <w:t>َ</w:t>
      </w:r>
      <w:r w:rsidRPr="006571AC">
        <w:rPr>
          <w:rFonts w:hint="cs"/>
          <w:sz w:val="27"/>
          <w:rtl/>
        </w:rPr>
        <w:t>م</w:t>
      </w:r>
      <w:r w:rsidR="005A03FE" w:rsidRPr="006571AC">
        <w:rPr>
          <w:rFonts w:hint="cs"/>
          <w:sz w:val="27"/>
          <w:rtl/>
        </w:rPr>
        <w:t>َ</w:t>
      </w:r>
      <w:r w:rsidRPr="006571AC">
        <w:rPr>
          <w:rFonts w:hint="cs"/>
          <w:sz w:val="27"/>
          <w:rtl/>
        </w:rPr>
        <w:t xml:space="preserve">ة، قائلاً: </w:t>
      </w:r>
      <w:r w:rsidRPr="006571AC">
        <w:rPr>
          <w:rFonts w:hint="eastAsia"/>
          <w:sz w:val="24"/>
          <w:szCs w:val="24"/>
          <w:rtl/>
        </w:rPr>
        <w:t>«</w:t>
      </w:r>
      <w:r w:rsidRPr="006571AC">
        <w:rPr>
          <w:b/>
          <w:bCs/>
          <w:sz w:val="27"/>
          <w:rtl/>
        </w:rPr>
        <w:t>وثالثة</w:t>
      </w:r>
      <w:r w:rsidRPr="006571AC">
        <w:rPr>
          <w:sz w:val="27"/>
          <w:vertAlign w:val="superscript"/>
          <w:rtl/>
        </w:rPr>
        <w:t>(</w:t>
      </w:r>
      <w:r w:rsidRPr="006571AC">
        <w:rPr>
          <w:rStyle w:val="ac"/>
          <w:sz w:val="27"/>
          <w:rtl/>
        </w:rPr>
        <w:endnoteReference w:id="217"/>
      </w:r>
      <w:r w:rsidRPr="006571AC">
        <w:rPr>
          <w:sz w:val="27"/>
          <w:vertAlign w:val="superscript"/>
          <w:rtl/>
        </w:rPr>
        <w:t>)</w:t>
      </w:r>
      <w:r w:rsidRPr="006571AC">
        <w:rPr>
          <w:sz w:val="27"/>
          <w:rtl/>
        </w:rPr>
        <w:t>: بأن دلالة المفهوم</w:t>
      </w:r>
      <w:r w:rsidRPr="006571AC">
        <w:rPr>
          <w:rFonts w:hint="cs"/>
          <w:sz w:val="27"/>
          <w:rtl/>
        </w:rPr>
        <w:t xml:space="preserve"> [في الآية] </w:t>
      </w:r>
      <w:r w:rsidRPr="006571AC">
        <w:rPr>
          <w:sz w:val="27"/>
          <w:rtl/>
        </w:rPr>
        <w:t>على المنع بدون الشرط إذا لم يكن واردا</w:t>
      </w:r>
      <w:r w:rsidRPr="006571AC">
        <w:rPr>
          <w:rFonts w:hint="cs"/>
          <w:sz w:val="27"/>
          <w:rtl/>
        </w:rPr>
        <w:t>ً</w:t>
      </w:r>
      <w:r w:rsidRPr="006571AC">
        <w:rPr>
          <w:sz w:val="27"/>
          <w:rtl/>
        </w:rPr>
        <w:t xml:space="preserve"> مورد ال</w:t>
      </w:r>
      <w:r w:rsidRPr="006571AC">
        <w:rPr>
          <w:rFonts w:hint="cs"/>
          <w:sz w:val="27"/>
          <w:rtl/>
        </w:rPr>
        <w:t>إ</w:t>
      </w:r>
      <w:r w:rsidRPr="006571AC">
        <w:rPr>
          <w:sz w:val="27"/>
          <w:rtl/>
        </w:rPr>
        <w:t>رشاد إلى ما فيه مصلحة المكل</w:t>
      </w:r>
      <w:r w:rsidR="005A03FE" w:rsidRPr="006571AC">
        <w:rPr>
          <w:rFonts w:hint="cs"/>
          <w:sz w:val="27"/>
          <w:rtl/>
        </w:rPr>
        <w:t>َّ</w:t>
      </w:r>
      <w:r w:rsidRPr="006571AC">
        <w:rPr>
          <w:sz w:val="27"/>
          <w:rtl/>
        </w:rPr>
        <w:t>ف</w:t>
      </w:r>
      <w:r w:rsidRPr="006571AC">
        <w:rPr>
          <w:rFonts w:hint="cs"/>
          <w:sz w:val="27"/>
          <w:rtl/>
        </w:rPr>
        <w:t xml:space="preserve">، </w:t>
      </w:r>
      <w:r w:rsidRPr="006571AC">
        <w:rPr>
          <w:sz w:val="27"/>
          <w:rtl/>
        </w:rPr>
        <w:t>بل كان واردا</w:t>
      </w:r>
      <w:r w:rsidRPr="006571AC">
        <w:rPr>
          <w:rFonts w:hint="cs"/>
          <w:sz w:val="27"/>
          <w:rtl/>
        </w:rPr>
        <w:t>ً</w:t>
      </w:r>
      <w:r w:rsidRPr="006571AC">
        <w:rPr>
          <w:sz w:val="27"/>
          <w:rtl/>
        </w:rPr>
        <w:t xml:space="preserve"> في مقام جعل الحكم الشرعي</w:t>
      </w:r>
      <w:r w:rsidRPr="006571AC">
        <w:rPr>
          <w:rFonts w:hint="cs"/>
          <w:sz w:val="27"/>
          <w:rtl/>
        </w:rPr>
        <w:t>؛ [</w:t>
      </w:r>
      <w:r w:rsidR="00731867" w:rsidRPr="006571AC">
        <w:rPr>
          <w:rFonts w:hint="cs"/>
          <w:sz w:val="27"/>
          <w:rtl/>
        </w:rPr>
        <w:t>بَيْدَ</w:t>
      </w:r>
      <w:r w:rsidRPr="006571AC">
        <w:rPr>
          <w:rFonts w:hint="cs"/>
          <w:sz w:val="27"/>
          <w:rtl/>
        </w:rPr>
        <w:t xml:space="preserve"> أن الأمر ليس كذلك في</w:t>
      </w:r>
      <w:r w:rsidR="005A03FE" w:rsidRPr="006571AC">
        <w:rPr>
          <w:rFonts w:hint="cs"/>
          <w:sz w:val="27"/>
          <w:rtl/>
        </w:rPr>
        <w:t xml:space="preserve"> </w:t>
      </w:r>
      <w:r w:rsidRPr="006571AC">
        <w:rPr>
          <w:rFonts w:hint="cs"/>
          <w:sz w:val="27"/>
          <w:rtl/>
        </w:rPr>
        <w:t>ما نحن فيه؛ فقد يكون المراد من الآية مجرّ</w:t>
      </w:r>
      <w:r w:rsidR="005A03FE" w:rsidRPr="006571AC">
        <w:rPr>
          <w:rFonts w:hint="cs"/>
          <w:sz w:val="27"/>
          <w:rtl/>
        </w:rPr>
        <w:t>َ</w:t>
      </w:r>
      <w:r w:rsidRPr="006571AC">
        <w:rPr>
          <w:rFonts w:hint="cs"/>
          <w:sz w:val="27"/>
          <w:rtl/>
        </w:rPr>
        <w:t>د الإرشاد إلى مصلحة المكل</w:t>
      </w:r>
      <w:r w:rsidR="005A03FE" w:rsidRPr="006571AC">
        <w:rPr>
          <w:rFonts w:hint="cs"/>
          <w:sz w:val="27"/>
          <w:rtl/>
        </w:rPr>
        <w:t>َّ</w:t>
      </w:r>
      <w:r w:rsidRPr="006571AC">
        <w:rPr>
          <w:rFonts w:hint="cs"/>
          <w:sz w:val="27"/>
          <w:rtl/>
        </w:rPr>
        <w:t>ف، وتقول</w:t>
      </w:r>
      <w:r w:rsidR="005A03FE" w:rsidRPr="006571AC">
        <w:rPr>
          <w:rFonts w:hint="cs"/>
          <w:sz w:val="27"/>
          <w:rtl/>
        </w:rPr>
        <w:t>:</w:t>
      </w:r>
      <w:r w:rsidRPr="006571AC">
        <w:rPr>
          <w:rFonts w:hint="cs"/>
          <w:sz w:val="27"/>
          <w:rtl/>
        </w:rPr>
        <w:t xml:space="preserve"> إذا لم كان لديك الإمكانية الماد</w:t>
      </w:r>
      <w:r w:rsidR="005A03FE" w:rsidRPr="006571AC">
        <w:rPr>
          <w:rFonts w:hint="cs"/>
          <w:sz w:val="27"/>
          <w:rtl/>
        </w:rPr>
        <w:t>ّ</w:t>
      </w:r>
      <w:r w:rsidRPr="006571AC">
        <w:rPr>
          <w:rFonts w:hint="cs"/>
          <w:sz w:val="27"/>
          <w:rtl/>
        </w:rPr>
        <w:t>ية أو لم تخ</w:t>
      </w:r>
      <w:r w:rsidR="005A03FE" w:rsidRPr="006571AC">
        <w:rPr>
          <w:rFonts w:hint="cs"/>
          <w:sz w:val="27"/>
          <w:rtl/>
        </w:rPr>
        <w:t>َ</w:t>
      </w:r>
      <w:r w:rsidRPr="006571AC">
        <w:rPr>
          <w:rFonts w:hint="cs"/>
          <w:sz w:val="27"/>
          <w:rtl/>
        </w:rPr>
        <w:t>ف</w:t>
      </w:r>
      <w:r w:rsidR="005A03FE" w:rsidRPr="006571AC">
        <w:rPr>
          <w:rFonts w:hint="cs"/>
          <w:sz w:val="27"/>
          <w:rtl/>
        </w:rPr>
        <w:t>ْ</w:t>
      </w:r>
      <w:r w:rsidRPr="006571AC">
        <w:rPr>
          <w:rFonts w:hint="cs"/>
          <w:sz w:val="27"/>
          <w:rtl/>
        </w:rPr>
        <w:t xml:space="preserve"> من الوقوع في </w:t>
      </w:r>
      <w:r w:rsidRPr="006571AC">
        <w:rPr>
          <w:rFonts w:hint="cs"/>
          <w:sz w:val="27"/>
          <w:rtl/>
        </w:rPr>
        <w:lastRenderedPageBreak/>
        <w:t>المعصية، فالزواج من الأ</w:t>
      </w:r>
      <w:r w:rsidR="005A03FE" w:rsidRPr="006571AC">
        <w:rPr>
          <w:rFonts w:hint="cs"/>
          <w:sz w:val="27"/>
          <w:rtl/>
        </w:rPr>
        <w:t>َ</w:t>
      </w:r>
      <w:r w:rsidRPr="006571AC">
        <w:rPr>
          <w:rFonts w:hint="cs"/>
          <w:sz w:val="27"/>
          <w:rtl/>
        </w:rPr>
        <w:t>م</w:t>
      </w:r>
      <w:r w:rsidR="005A03FE" w:rsidRPr="006571AC">
        <w:rPr>
          <w:rFonts w:hint="cs"/>
          <w:sz w:val="27"/>
          <w:rtl/>
        </w:rPr>
        <w:t>َ</w:t>
      </w:r>
      <w:r w:rsidRPr="006571AC">
        <w:rPr>
          <w:rFonts w:hint="cs"/>
          <w:sz w:val="27"/>
          <w:rtl/>
        </w:rPr>
        <w:t xml:space="preserve">ة ليس صالحاً]. </w:t>
      </w:r>
      <w:r w:rsidRPr="006571AC">
        <w:rPr>
          <w:b/>
          <w:bCs/>
          <w:sz w:val="27"/>
          <w:rtl/>
        </w:rPr>
        <w:t>ويدفعها</w:t>
      </w:r>
      <w:r w:rsidR="005A03FE" w:rsidRPr="006571AC">
        <w:rPr>
          <w:rFonts w:hint="cs"/>
          <w:sz w:val="27"/>
          <w:rtl/>
        </w:rPr>
        <w:t xml:space="preserve"> أ</w:t>
      </w:r>
      <w:r w:rsidRPr="006571AC">
        <w:rPr>
          <w:sz w:val="27"/>
          <w:rtl/>
        </w:rPr>
        <w:t>ن قرينة سياق ال</w:t>
      </w:r>
      <w:r w:rsidRPr="006571AC">
        <w:rPr>
          <w:rFonts w:hint="cs"/>
          <w:sz w:val="27"/>
          <w:rtl/>
        </w:rPr>
        <w:t>آ</w:t>
      </w:r>
      <w:r w:rsidRPr="006571AC">
        <w:rPr>
          <w:sz w:val="27"/>
          <w:rtl/>
        </w:rPr>
        <w:t>ية في سياق آيات التحليل والتحريم يقتضي الثاني</w:t>
      </w:r>
      <w:r w:rsidRPr="006571AC">
        <w:rPr>
          <w:rFonts w:hint="eastAsia"/>
          <w:sz w:val="24"/>
          <w:szCs w:val="24"/>
          <w:rtl/>
        </w:rPr>
        <w:t>»</w:t>
      </w:r>
      <w:r w:rsidRPr="006571AC">
        <w:rPr>
          <w:sz w:val="27"/>
          <w:vertAlign w:val="superscript"/>
          <w:rtl/>
        </w:rPr>
        <w:t>(</w:t>
      </w:r>
      <w:r w:rsidRPr="006571AC">
        <w:rPr>
          <w:rStyle w:val="ac"/>
          <w:sz w:val="27"/>
          <w:rtl/>
        </w:rPr>
        <w:endnoteReference w:id="218"/>
      </w:r>
      <w:r w:rsidRPr="006571AC">
        <w:rPr>
          <w:sz w:val="27"/>
          <w:vertAlign w:val="superscript"/>
          <w:rtl/>
        </w:rPr>
        <w:t>)</w:t>
      </w:r>
      <w:r w:rsidRPr="006571AC">
        <w:rPr>
          <w:sz w:val="27"/>
          <w:rtl/>
        </w:rPr>
        <w:t>.</w:t>
      </w:r>
      <w:r w:rsidRPr="006571AC">
        <w:rPr>
          <w:rFonts w:hint="cs"/>
          <w:sz w:val="27"/>
          <w:rtl/>
        </w:rPr>
        <w:t xml:space="preserve"> ففي هذا المورد</w:t>
      </w:r>
      <w:r w:rsidR="00BB7687" w:rsidRPr="006571AC">
        <w:rPr>
          <w:rFonts w:hint="cs"/>
          <w:sz w:val="27"/>
          <w:rtl/>
        </w:rPr>
        <w:t>؛</w:t>
      </w:r>
      <w:r w:rsidRPr="006571AC">
        <w:rPr>
          <w:rFonts w:hint="cs"/>
          <w:sz w:val="27"/>
          <w:rtl/>
        </w:rPr>
        <w:t xml:space="preserve"> حيث كان الكلام ناظراً في الأصل إلى بيان حكم</w:t>
      </w:r>
      <w:r w:rsidR="00BB7687" w:rsidRPr="006571AC">
        <w:rPr>
          <w:rFonts w:hint="cs"/>
          <w:sz w:val="27"/>
          <w:rtl/>
        </w:rPr>
        <w:t>ٍ</w:t>
      </w:r>
      <w:r w:rsidRPr="006571AC">
        <w:rPr>
          <w:rFonts w:hint="cs"/>
          <w:sz w:val="27"/>
          <w:rtl/>
        </w:rPr>
        <w:t xml:space="preserve"> مولوي، استفاد سماحته أن الفرع يجب أن يكون مولوي</w:t>
      </w:r>
      <w:r w:rsidR="00BB7687" w:rsidRPr="006571AC">
        <w:rPr>
          <w:rFonts w:hint="cs"/>
          <w:sz w:val="27"/>
          <w:rtl/>
        </w:rPr>
        <w:t>ّ</w:t>
      </w:r>
      <w:r w:rsidRPr="006571AC">
        <w:rPr>
          <w:rFonts w:hint="cs"/>
          <w:sz w:val="27"/>
          <w:rtl/>
        </w:rPr>
        <w:t xml:space="preserve">اً أيضاً. </w:t>
      </w:r>
    </w:p>
    <w:p w:rsidR="009E7E1F" w:rsidRPr="006571AC" w:rsidRDefault="009E7E1F" w:rsidP="00302061">
      <w:pPr>
        <w:spacing w:line="410" w:lineRule="exact"/>
        <w:rPr>
          <w:sz w:val="27"/>
          <w:rtl/>
        </w:rPr>
      </w:pPr>
    </w:p>
    <w:p w:rsidR="00A75C8B" w:rsidRPr="006571AC" w:rsidRDefault="007E1680" w:rsidP="009C29A7">
      <w:pPr>
        <w:pStyle w:val="31"/>
        <w:rPr>
          <w:color w:val="auto"/>
          <w:rtl/>
        </w:rPr>
      </w:pPr>
      <w:bookmarkStart w:id="102" w:name="_Toc114164591"/>
      <w:r w:rsidRPr="006571AC">
        <w:rPr>
          <w:rFonts w:hint="cs"/>
          <w:color w:val="auto"/>
          <w:rtl/>
        </w:rPr>
        <w:t xml:space="preserve">3ـ </w:t>
      </w:r>
      <w:r w:rsidR="00A75C8B" w:rsidRPr="006571AC">
        <w:rPr>
          <w:rFonts w:hint="cs"/>
          <w:color w:val="auto"/>
          <w:rtl/>
        </w:rPr>
        <w:t>شرائط قرينة السياق</w:t>
      </w:r>
      <w:bookmarkEnd w:id="102"/>
    </w:p>
    <w:p w:rsidR="00A75C8B" w:rsidRPr="006571AC" w:rsidRDefault="00A75C8B" w:rsidP="00302061">
      <w:pPr>
        <w:spacing w:line="380" w:lineRule="exact"/>
        <w:rPr>
          <w:sz w:val="27"/>
          <w:rtl/>
        </w:rPr>
      </w:pPr>
      <w:r w:rsidRPr="006571AC">
        <w:rPr>
          <w:rFonts w:hint="cs"/>
          <w:sz w:val="27"/>
          <w:rtl/>
        </w:rPr>
        <w:t>يختص</w:t>
      </w:r>
      <w:r w:rsidR="00BB7687" w:rsidRPr="006571AC">
        <w:rPr>
          <w:rFonts w:hint="cs"/>
          <w:sz w:val="27"/>
          <w:rtl/>
        </w:rPr>
        <w:t>ّ</w:t>
      </w:r>
      <w:r w:rsidRPr="006571AC">
        <w:rPr>
          <w:rFonts w:hint="cs"/>
          <w:sz w:val="27"/>
          <w:rtl/>
        </w:rPr>
        <w:t xml:space="preserve"> هذا </w:t>
      </w:r>
      <w:r w:rsidR="00D34E91" w:rsidRPr="006571AC">
        <w:rPr>
          <w:rFonts w:hint="cs"/>
          <w:sz w:val="27"/>
          <w:rtl/>
        </w:rPr>
        <w:t>القسم</w:t>
      </w:r>
      <w:r w:rsidRPr="006571AC">
        <w:rPr>
          <w:rFonts w:hint="cs"/>
          <w:sz w:val="27"/>
          <w:rtl/>
        </w:rPr>
        <w:t xml:space="preserve"> ببحث الشرائط التي يستوجب إحرازها الحيلولة دون الوقوع في الأخطاء الاستظهارية من قرينة السياق</w:t>
      </w:r>
      <w:r w:rsidR="00BB7687" w:rsidRPr="006571AC">
        <w:rPr>
          <w:rFonts w:hint="cs"/>
          <w:sz w:val="27"/>
          <w:rtl/>
        </w:rPr>
        <w:t xml:space="preserve">. </w:t>
      </w:r>
      <w:r w:rsidRPr="006571AC">
        <w:rPr>
          <w:rFonts w:hint="cs"/>
          <w:sz w:val="27"/>
          <w:rtl/>
        </w:rPr>
        <w:t>وعليه فإن المراد من شرائط قرينة السياق تلك الشرائط التي يتعيّ</w:t>
      </w:r>
      <w:r w:rsidR="00BB7687" w:rsidRPr="006571AC">
        <w:rPr>
          <w:rFonts w:hint="cs"/>
          <w:sz w:val="27"/>
          <w:rtl/>
        </w:rPr>
        <w:t>َ</w:t>
      </w:r>
      <w:r w:rsidRPr="006571AC">
        <w:rPr>
          <w:rFonts w:hint="cs"/>
          <w:sz w:val="27"/>
          <w:rtl/>
        </w:rPr>
        <w:t>ن على المجتهد تحصيلها للاستفادة من قرينة التعليل. والطريق إلى معرفة هذه الشرائط يكمن في دراسة كلام العلماء، والانتقادات التي قاموا بتوجيهها إلى بعضهم في الاستظهار من قرينة السياق. وتكمن فائدة معرفتها في أنها تساعد المجتهد على الفهم الدقيق لموقع قرينة السياق، وتحول دون استعمالها بشكل</w:t>
      </w:r>
      <w:r w:rsidR="00BB7687" w:rsidRPr="006571AC">
        <w:rPr>
          <w:rFonts w:hint="cs"/>
          <w:sz w:val="27"/>
          <w:rtl/>
        </w:rPr>
        <w:t>ٍ</w:t>
      </w:r>
      <w:r w:rsidRPr="006571AC">
        <w:rPr>
          <w:rFonts w:hint="cs"/>
          <w:sz w:val="27"/>
          <w:rtl/>
        </w:rPr>
        <w:t xml:space="preserve"> خاطئ. </w:t>
      </w:r>
    </w:p>
    <w:p w:rsidR="009E7E1F" w:rsidRPr="006571AC" w:rsidRDefault="009E7E1F" w:rsidP="00302061">
      <w:pPr>
        <w:rPr>
          <w:sz w:val="27"/>
          <w:rtl/>
        </w:rPr>
      </w:pPr>
    </w:p>
    <w:p w:rsidR="00A75C8B" w:rsidRPr="006571AC" w:rsidRDefault="00083599" w:rsidP="009C29A7">
      <w:pPr>
        <w:pStyle w:val="31"/>
        <w:rPr>
          <w:color w:val="auto"/>
          <w:rtl/>
        </w:rPr>
      </w:pPr>
      <w:bookmarkStart w:id="103" w:name="_Toc114164592"/>
      <w:r w:rsidRPr="006571AC">
        <w:rPr>
          <w:rFonts w:hint="cs"/>
          <w:color w:val="auto"/>
          <w:rtl/>
        </w:rPr>
        <w:t>أـ</w:t>
      </w:r>
      <w:r w:rsidR="00A75C8B" w:rsidRPr="006571AC">
        <w:rPr>
          <w:rFonts w:hint="cs"/>
          <w:color w:val="auto"/>
          <w:rtl/>
        </w:rPr>
        <w:t xml:space="preserve"> إحراز أطراف السياق</w:t>
      </w:r>
      <w:bookmarkEnd w:id="103"/>
    </w:p>
    <w:p w:rsidR="00A75C8B" w:rsidRPr="006571AC" w:rsidRDefault="00A75C8B" w:rsidP="00302061">
      <w:pPr>
        <w:spacing w:line="380" w:lineRule="exact"/>
        <w:rPr>
          <w:sz w:val="27"/>
          <w:rtl/>
        </w:rPr>
      </w:pPr>
      <w:r w:rsidRPr="006571AC">
        <w:rPr>
          <w:rFonts w:hint="cs"/>
          <w:sz w:val="27"/>
          <w:rtl/>
        </w:rPr>
        <w:t>إن قريني</w:t>
      </w:r>
      <w:r w:rsidR="00BB7687" w:rsidRPr="006571AC">
        <w:rPr>
          <w:rFonts w:hint="cs"/>
          <w:sz w:val="27"/>
          <w:rtl/>
        </w:rPr>
        <w:t>ّ</w:t>
      </w:r>
      <w:r w:rsidRPr="006571AC">
        <w:rPr>
          <w:rFonts w:hint="cs"/>
          <w:sz w:val="27"/>
          <w:rtl/>
        </w:rPr>
        <w:t>ة بعض أقسام السياق ذات الأطراف، من قبيل: سياق المقابلة</w:t>
      </w:r>
      <w:r w:rsidR="00BB7687" w:rsidRPr="006571AC">
        <w:rPr>
          <w:rFonts w:hint="cs"/>
          <w:sz w:val="27"/>
          <w:rtl/>
        </w:rPr>
        <w:t>؛</w:t>
      </w:r>
      <w:r w:rsidRPr="006571AC">
        <w:rPr>
          <w:rFonts w:hint="cs"/>
          <w:sz w:val="27"/>
          <w:rtl/>
        </w:rPr>
        <w:t xml:space="preserve"> وسياق الترتّ</w:t>
      </w:r>
      <w:r w:rsidR="00BB7687" w:rsidRPr="006571AC">
        <w:rPr>
          <w:rFonts w:hint="cs"/>
          <w:sz w:val="27"/>
          <w:rtl/>
        </w:rPr>
        <w:t>ُ</w:t>
      </w:r>
      <w:r w:rsidRPr="006571AC">
        <w:rPr>
          <w:rFonts w:hint="cs"/>
          <w:sz w:val="27"/>
          <w:rtl/>
        </w:rPr>
        <w:t>ب</w:t>
      </w:r>
      <w:r w:rsidR="00BB7687" w:rsidRPr="006571AC">
        <w:rPr>
          <w:rFonts w:hint="cs"/>
          <w:sz w:val="27"/>
          <w:rtl/>
        </w:rPr>
        <w:t>،</w:t>
      </w:r>
      <w:r w:rsidRPr="006571AC">
        <w:rPr>
          <w:rFonts w:hint="cs"/>
          <w:sz w:val="27"/>
          <w:rtl/>
        </w:rPr>
        <w:t xml:space="preserve"> وما إلى ذلك، تواجه تحد</w:t>
      </w:r>
      <w:r w:rsidR="00BB7687" w:rsidRPr="006571AC">
        <w:rPr>
          <w:rFonts w:hint="cs"/>
          <w:sz w:val="27"/>
          <w:rtl/>
        </w:rPr>
        <w:t>ِّ</w:t>
      </w:r>
      <w:r w:rsidRPr="006571AC">
        <w:rPr>
          <w:rFonts w:hint="cs"/>
          <w:sz w:val="27"/>
          <w:rtl/>
        </w:rPr>
        <w:t xml:space="preserve">ياً في تشخيص أطراف السياق. </w:t>
      </w:r>
      <w:r w:rsidR="00BB7687" w:rsidRPr="006571AC">
        <w:rPr>
          <w:rFonts w:hint="cs"/>
          <w:sz w:val="27"/>
          <w:rtl/>
        </w:rPr>
        <w:t>و</w:t>
      </w:r>
      <w:r w:rsidRPr="006571AC">
        <w:rPr>
          <w:rFonts w:hint="cs"/>
          <w:sz w:val="27"/>
          <w:rtl/>
        </w:rPr>
        <w:t>من ذلك</w:t>
      </w:r>
      <w:r w:rsidR="00BB7687" w:rsidRPr="006571AC">
        <w:rPr>
          <w:rFonts w:hint="cs"/>
          <w:sz w:val="27"/>
          <w:rtl/>
        </w:rPr>
        <w:t>،</w:t>
      </w:r>
      <w:r w:rsidRPr="006571AC">
        <w:rPr>
          <w:rFonts w:hint="cs"/>
          <w:sz w:val="27"/>
          <w:rtl/>
        </w:rPr>
        <w:t xml:space="preserve"> على سبيل المثال</w:t>
      </w:r>
      <w:r w:rsidR="00BB7687" w:rsidRPr="006571AC">
        <w:rPr>
          <w:rFonts w:hint="cs"/>
          <w:sz w:val="27"/>
          <w:rtl/>
        </w:rPr>
        <w:t>،</w:t>
      </w:r>
      <w:r w:rsidRPr="006571AC">
        <w:rPr>
          <w:rFonts w:hint="cs"/>
          <w:sz w:val="27"/>
          <w:rtl/>
        </w:rPr>
        <w:t xml:space="preserve"> </w:t>
      </w:r>
      <w:r w:rsidR="00BB7687" w:rsidRPr="006571AC">
        <w:rPr>
          <w:rFonts w:hint="cs"/>
          <w:sz w:val="27"/>
          <w:rtl/>
        </w:rPr>
        <w:t>أنه</w:t>
      </w:r>
      <w:r w:rsidRPr="006571AC">
        <w:rPr>
          <w:rFonts w:hint="cs"/>
          <w:sz w:val="27"/>
          <w:rtl/>
        </w:rPr>
        <w:t xml:space="preserve"> في مثل عبارة: </w:t>
      </w:r>
      <w:r w:rsidRPr="006571AC">
        <w:rPr>
          <w:rFonts w:hint="eastAsia"/>
          <w:sz w:val="24"/>
          <w:szCs w:val="24"/>
          <w:rtl/>
        </w:rPr>
        <w:t>«</w:t>
      </w:r>
      <w:r w:rsidRPr="006571AC">
        <w:rPr>
          <w:rFonts w:hint="cs"/>
          <w:sz w:val="27"/>
          <w:rtl/>
        </w:rPr>
        <w:t>ذلك الرجل الواقف صالح</w:t>
      </w:r>
      <w:r w:rsidR="00BB7687" w:rsidRPr="006571AC">
        <w:rPr>
          <w:rFonts w:hint="cs"/>
          <w:sz w:val="27"/>
          <w:rtl/>
        </w:rPr>
        <w:t>ٌ</w:t>
      </w:r>
      <w:r w:rsidRPr="006571AC">
        <w:rPr>
          <w:rFonts w:hint="cs"/>
          <w:sz w:val="27"/>
          <w:rtl/>
        </w:rPr>
        <w:t>، وتلك المرأة الباكية طالحة</w:t>
      </w:r>
      <w:r w:rsidR="00BB7687" w:rsidRPr="006571AC">
        <w:rPr>
          <w:rFonts w:hint="cs"/>
          <w:sz w:val="27"/>
          <w:rtl/>
        </w:rPr>
        <w:t>ٌ</w:t>
      </w:r>
      <w:r w:rsidRPr="006571AC">
        <w:rPr>
          <w:rFonts w:hint="eastAsia"/>
          <w:sz w:val="24"/>
          <w:szCs w:val="24"/>
          <w:rtl/>
        </w:rPr>
        <w:t>»</w:t>
      </w:r>
      <w:r w:rsidRPr="006571AC">
        <w:rPr>
          <w:rFonts w:hint="cs"/>
          <w:sz w:val="27"/>
          <w:rtl/>
        </w:rPr>
        <w:t xml:space="preserve"> نجد أن المرأة والرجل واقعان في سياق المقابلة، وأن كلمة </w:t>
      </w:r>
      <w:r w:rsidRPr="006571AC">
        <w:rPr>
          <w:rFonts w:hint="eastAsia"/>
          <w:sz w:val="24"/>
          <w:szCs w:val="24"/>
          <w:rtl/>
        </w:rPr>
        <w:t>«</w:t>
      </w:r>
      <w:r w:rsidRPr="006571AC">
        <w:rPr>
          <w:rFonts w:hint="cs"/>
          <w:sz w:val="27"/>
          <w:rtl/>
        </w:rPr>
        <w:t>الواقف</w:t>
      </w:r>
      <w:r w:rsidRPr="006571AC">
        <w:rPr>
          <w:rFonts w:hint="eastAsia"/>
          <w:sz w:val="24"/>
          <w:szCs w:val="24"/>
          <w:rtl/>
        </w:rPr>
        <w:t>»</w:t>
      </w:r>
      <w:r w:rsidRPr="006571AC">
        <w:rPr>
          <w:rFonts w:hint="cs"/>
          <w:sz w:val="27"/>
          <w:rtl/>
        </w:rPr>
        <w:t xml:space="preserve"> و</w:t>
      </w:r>
      <w:r w:rsidRPr="006571AC">
        <w:rPr>
          <w:rFonts w:hint="eastAsia"/>
          <w:sz w:val="24"/>
          <w:szCs w:val="24"/>
          <w:rtl/>
        </w:rPr>
        <w:t>«</w:t>
      </w:r>
      <w:r w:rsidRPr="006571AC">
        <w:rPr>
          <w:rFonts w:hint="cs"/>
          <w:sz w:val="27"/>
          <w:rtl/>
        </w:rPr>
        <w:t>الباكية</w:t>
      </w:r>
      <w:r w:rsidRPr="006571AC">
        <w:rPr>
          <w:rFonts w:hint="eastAsia"/>
          <w:sz w:val="24"/>
          <w:szCs w:val="24"/>
          <w:rtl/>
        </w:rPr>
        <w:t>»</w:t>
      </w:r>
      <w:r w:rsidRPr="006571AC">
        <w:rPr>
          <w:rFonts w:hint="cs"/>
          <w:sz w:val="27"/>
          <w:rtl/>
        </w:rPr>
        <w:t xml:space="preserve"> لا د</w:t>
      </w:r>
      <w:r w:rsidR="00BB7687" w:rsidRPr="006571AC">
        <w:rPr>
          <w:rFonts w:hint="cs"/>
          <w:sz w:val="27"/>
          <w:rtl/>
        </w:rPr>
        <w:t>َ</w:t>
      </w:r>
      <w:r w:rsidRPr="006571AC">
        <w:rPr>
          <w:rFonts w:hint="cs"/>
          <w:sz w:val="27"/>
          <w:rtl/>
        </w:rPr>
        <w:t>خ</w:t>
      </w:r>
      <w:r w:rsidR="00BB7687" w:rsidRPr="006571AC">
        <w:rPr>
          <w:rFonts w:hint="cs"/>
          <w:sz w:val="27"/>
          <w:rtl/>
        </w:rPr>
        <w:t>ْ</w:t>
      </w:r>
      <w:r w:rsidRPr="006571AC">
        <w:rPr>
          <w:rFonts w:hint="cs"/>
          <w:sz w:val="27"/>
          <w:rtl/>
        </w:rPr>
        <w:t>ل لهما في سياق المقابلة، ولا تقعان جزءاً في أطراف المقابلة</w:t>
      </w:r>
      <w:r w:rsidR="00BB7687" w:rsidRPr="006571AC">
        <w:rPr>
          <w:rFonts w:hint="cs"/>
          <w:sz w:val="27"/>
          <w:rtl/>
        </w:rPr>
        <w:t xml:space="preserve">، </w:t>
      </w:r>
      <w:r w:rsidRPr="006571AC">
        <w:rPr>
          <w:rFonts w:hint="cs"/>
          <w:sz w:val="27"/>
          <w:rtl/>
        </w:rPr>
        <w:t xml:space="preserve">بخلاف السياق في عبارة: </w:t>
      </w:r>
      <w:r w:rsidRPr="006571AC">
        <w:rPr>
          <w:rFonts w:hint="eastAsia"/>
          <w:sz w:val="24"/>
          <w:szCs w:val="24"/>
          <w:rtl/>
        </w:rPr>
        <w:t>«</w:t>
      </w:r>
      <w:r w:rsidRPr="006571AC">
        <w:rPr>
          <w:rFonts w:hint="cs"/>
          <w:sz w:val="27"/>
          <w:rtl/>
        </w:rPr>
        <w:t>إن الرجل الذي يبكي خير</w:t>
      </w:r>
      <w:r w:rsidR="00915C0E" w:rsidRPr="006571AC">
        <w:rPr>
          <w:rFonts w:hint="cs"/>
          <w:sz w:val="27"/>
          <w:rtl/>
        </w:rPr>
        <w:t>ٌ</w:t>
      </w:r>
      <w:r w:rsidRPr="006571AC">
        <w:rPr>
          <w:rFonts w:hint="cs"/>
          <w:sz w:val="27"/>
          <w:rtl/>
        </w:rPr>
        <w:t xml:space="preserve"> من المرأة التي تضحك مقهقهة</w:t>
      </w:r>
      <w:r w:rsidR="00915C0E" w:rsidRPr="006571AC">
        <w:rPr>
          <w:rFonts w:hint="cs"/>
          <w:sz w:val="27"/>
          <w:rtl/>
        </w:rPr>
        <w:t>ً</w:t>
      </w:r>
      <w:r w:rsidRPr="006571AC">
        <w:rPr>
          <w:rFonts w:hint="cs"/>
          <w:sz w:val="27"/>
          <w:rtl/>
        </w:rPr>
        <w:t xml:space="preserve"> بحضور الأجانب</w:t>
      </w:r>
      <w:r w:rsidRPr="006571AC">
        <w:rPr>
          <w:rFonts w:hint="eastAsia"/>
          <w:sz w:val="24"/>
          <w:szCs w:val="24"/>
          <w:rtl/>
        </w:rPr>
        <w:t>»</w:t>
      </w:r>
      <w:r w:rsidR="00915C0E" w:rsidRPr="006571AC">
        <w:rPr>
          <w:rFonts w:hint="cs"/>
          <w:sz w:val="27"/>
          <w:rtl/>
        </w:rPr>
        <w:t>،</w:t>
      </w:r>
      <w:r w:rsidRPr="006571AC">
        <w:rPr>
          <w:rFonts w:hint="cs"/>
          <w:sz w:val="27"/>
          <w:rtl/>
        </w:rPr>
        <w:t xml:space="preserve"> ففي هذا المثال يكون كل</w:t>
      </w:r>
      <w:r w:rsidR="00915C0E" w:rsidRPr="006571AC">
        <w:rPr>
          <w:rFonts w:hint="cs"/>
          <w:sz w:val="27"/>
          <w:rtl/>
        </w:rPr>
        <w:t>ٌّ</w:t>
      </w:r>
      <w:r w:rsidRPr="006571AC">
        <w:rPr>
          <w:rFonts w:hint="cs"/>
          <w:sz w:val="27"/>
          <w:rtl/>
        </w:rPr>
        <w:t xml:space="preserve"> من الرجل والمرأة ط</w:t>
      </w:r>
      <w:r w:rsidR="00D34E91" w:rsidRPr="006571AC">
        <w:rPr>
          <w:rFonts w:hint="cs"/>
          <w:sz w:val="27"/>
          <w:rtl/>
        </w:rPr>
        <w:t>َ</w:t>
      </w:r>
      <w:r w:rsidRPr="006571AC">
        <w:rPr>
          <w:rFonts w:hint="cs"/>
          <w:sz w:val="27"/>
          <w:rtl/>
        </w:rPr>
        <w:t>ر</w:t>
      </w:r>
      <w:r w:rsidR="00D34E91" w:rsidRPr="006571AC">
        <w:rPr>
          <w:rFonts w:hint="cs"/>
          <w:sz w:val="27"/>
          <w:rtl/>
        </w:rPr>
        <w:t>َ</w:t>
      </w:r>
      <w:r w:rsidRPr="006571AC">
        <w:rPr>
          <w:rFonts w:hint="cs"/>
          <w:sz w:val="27"/>
          <w:rtl/>
        </w:rPr>
        <w:t>ف</w:t>
      </w:r>
      <w:r w:rsidR="00915C0E" w:rsidRPr="006571AC">
        <w:rPr>
          <w:rFonts w:hint="cs"/>
          <w:sz w:val="27"/>
          <w:rtl/>
        </w:rPr>
        <w:t>اً</w:t>
      </w:r>
      <w:r w:rsidRPr="006571AC">
        <w:rPr>
          <w:rFonts w:hint="cs"/>
          <w:sz w:val="27"/>
          <w:rtl/>
        </w:rPr>
        <w:t xml:space="preserve"> في المقابلة، وكذلك البكاء والقهقهة بحضور الأجنبي</w:t>
      </w:r>
      <w:r w:rsidR="00915C0E" w:rsidRPr="006571AC">
        <w:rPr>
          <w:rFonts w:hint="cs"/>
          <w:sz w:val="27"/>
          <w:rtl/>
        </w:rPr>
        <w:t>ّ</w:t>
      </w:r>
      <w:r w:rsidRPr="006571AC">
        <w:rPr>
          <w:rFonts w:hint="cs"/>
          <w:sz w:val="27"/>
          <w:rtl/>
        </w:rPr>
        <w:t xml:space="preserve"> أيضاً. </w:t>
      </w:r>
    </w:p>
    <w:p w:rsidR="00A75C8B" w:rsidRPr="006571AC" w:rsidRDefault="00A75C8B" w:rsidP="00302061">
      <w:pPr>
        <w:spacing w:line="380" w:lineRule="exact"/>
        <w:rPr>
          <w:sz w:val="27"/>
          <w:rtl/>
        </w:rPr>
      </w:pPr>
      <w:r w:rsidRPr="006571AC">
        <w:rPr>
          <w:rFonts w:hint="cs"/>
          <w:sz w:val="27"/>
          <w:rtl/>
        </w:rPr>
        <w:t>وعليه فإن إحراز أطراف السياق ر</w:t>
      </w:r>
      <w:r w:rsidR="00915C0E" w:rsidRPr="006571AC">
        <w:rPr>
          <w:rFonts w:hint="cs"/>
          <w:sz w:val="27"/>
          <w:rtl/>
        </w:rPr>
        <w:t>َ</w:t>
      </w:r>
      <w:r w:rsidRPr="006571AC">
        <w:rPr>
          <w:rFonts w:hint="cs"/>
          <w:sz w:val="27"/>
          <w:rtl/>
        </w:rPr>
        <w:t>ه</w:t>
      </w:r>
      <w:r w:rsidR="00915C0E" w:rsidRPr="006571AC">
        <w:rPr>
          <w:rFonts w:hint="cs"/>
          <w:sz w:val="27"/>
          <w:rtl/>
        </w:rPr>
        <w:t>ْ</w:t>
      </w:r>
      <w:r w:rsidRPr="006571AC">
        <w:rPr>
          <w:rFonts w:hint="cs"/>
          <w:sz w:val="27"/>
          <w:rtl/>
        </w:rPr>
        <w:t>ن</w:t>
      </w:r>
      <w:r w:rsidR="00915C0E" w:rsidRPr="006571AC">
        <w:rPr>
          <w:rFonts w:hint="cs"/>
          <w:sz w:val="27"/>
          <w:rtl/>
        </w:rPr>
        <w:t>ٌ</w:t>
      </w:r>
      <w:r w:rsidRPr="006571AC">
        <w:rPr>
          <w:rFonts w:hint="cs"/>
          <w:sz w:val="27"/>
          <w:rtl/>
        </w:rPr>
        <w:t xml:space="preserve"> بالتدقيق في مختلف العناصر، ومن أهم</w:t>
      </w:r>
      <w:r w:rsidR="00915C0E" w:rsidRPr="006571AC">
        <w:rPr>
          <w:rFonts w:hint="cs"/>
          <w:sz w:val="27"/>
          <w:rtl/>
        </w:rPr>
        <w:t>ّ</w:t>
      </w:r>
      <w:r w:rsidRPr="006571AC">
        <w:rPr>
          <w:rFonts w:hint="cs"/>
          <w:sz w:val="27"/>
          <w:rtl/>
        </w:rPr>
        <w:t>ها في المورد</w:t>
      </w:r>
      <w:r w:rsidR="00915C0E" w:rsidRPr="006571AC">
        <w:rPr>
          <w:rFonts w:hint="cs"/>
          <w:sz w:val="27"/>
          <w:rtl/>
        </w:rPr>
        <w:t>:</w:t>
      </w:r>
      <w:r w:rsidRPr="006571AC">
        <w:rPr>
          <w:rFonts w:hint="cs"/>
          <w:sz w:val="27"/>
          <w:rtl/>
        </w:rPr>
        <w:t xml:space="preserve"> التدقيق</w:t>
      </w:r>
      <w:r w:rsidR="00915C0E" w:rsidRPr="006571AC">
        <w:rPr>
          <w:rFonts w:hint="cs"/>
          <w:sz w:val="27"/>
          <w:rtl/>
        </w:rPr>
        <w:t>ُ</w:t>
      </w:r>
      <w:r w:rsidRPr="006571AC">
        <w:rPr>
          <w:rFonts w:hint="cs"/>
          <w:sz w:val="27"/>
          <w:rtl/>
        </w:rPr>
        <w:t xml:space="preserve"> في الهيئة</w:t>
      </w:r>
      <w:r w:rsidR="00915C0E" w:rsidRPr="006571AC">
        <w:rPr>
          <w:rFonts w:hint="cs"/>
          <w:sz w:val="27"/>
          <w:rtl/>
        </w:rPr>
        <w:t>،</w:t>
      </w:r>
      <w:r w:rsidRPr="006571AC">
        <w:rPr>
          <w:rFonts w:hint="cs"/>
          <w:sz w:val="27"/>
          <w:rtl/>
        </w:rPr>
        <w:t xml:space="preserve"> والتدقيق</w:t>
      </w:r>
      <w:r w:rsidR="00915C0E" w:rsidRPr="006571AC">
        <w:rPr>
          <w:rFonts w:hint="cs"/>
          <w:sz w:val="27"/>
          <w:rtl/>
        </w:rPr>
        <w:t>ُ</w:t>
      </w:r>
      <w:r w:rsidRPr="006571AC">
        <w:rPr>
          <w:rFonts w:hint="cs"/>
          <w:sz w:val="27"/>
          <w:rtl/>
        </w:rPr>
        <w:t xml:space="preserve"> في مثالي</w:t>
      </w:r>
      <w:r w:rsidR="00915C0E" w:rsidRPr="006571AC">
        <w:rPr>
          <w:rFonts w:hint="cs"/>
          <w:sz w:val="27"/>
          <w:rtl/>
        </w:rPr>
        <w:t>ّ</w:t>
      </w:r>
      <w:r w:rsidRPr="006571AC">
        <w:rPr>
          <w:rFonts w:hint="cs"/>
          <w:sz w:val="27"/>
          <w:rtl/>
        </w:rPr>
        <w:t>ة الط</w:t>
      </w:r>
      <w:r w:rsidR="00D34E91" w:rsidRPr="006571AC">
        <w:rPr>
          <w:rFonts w:hint="cs"/>
          <w:sz w:val="27"/>
          <w:rtl/>
        </w:rPr>
        <w:t>َّ</w:t>
      </w:r>
      <w:r w:rsidRPr="006571AC">
        <w:rPr>
          <w:rFonts w:hint="cs"/>
          <w:sz w:val="27"/>
          <w:rtl/>
        </w:rPr>
        <w:t>ر</w:t>
      </w:r>
      <w:r w:rsidR="00D34E91" w:rsidRPr="006571AC">
        <w:rPr>
          <w:rFonts w:hint="cs"/>
          <w:sz w:val="27"/>
          <w:rtl/>
        </w:rPr>
        <w:t>َ</w:t>
      </w:r>
      <w:r w:rsidRPr="006571AC">
        <w:rPr>
          <w:rFonts w:hint="cs"/>
          <w:sz w:val="27"/>
          <w:rtl/>
        </w:rPr>
        <w:t xml:space="preserve">ف المذكور في العبارة. </w:t>
      </w:r>
    </w:p>
    <w:p w:rsidR="00302061" w:rsidRPr="006571AC" w:rsidRDefault="00302061" w:rsidP="00302061">
      <w:pPr>
        <w:rPr>
          <w:sz w:val="27"/>
          <w:rtl/>
        </w:rPr>
      </w:pPr>
    </w:p>
    <w:p w:rsidR="00A75C8B" w:rsidRPr="006571AC" w:rsidRDefault="00EA38F1" w:rsidP="009C29A7">
      <w:pPr>
        <w:pStyle w:val="31"/>
        <w:rPr>
          <w:color w:val="auto"/>
          <w:rtl/>
        </w:rPr>
      </w:pPr>
      <w:bookmarkStart w:id="104" w:name="_Toc114164593"/>
      <w:r w:rsidRPr="006571AC">
        <w:rPr>
          <w:rFonts w:hint="cs"/>
          <w:color w:val="auto"/>
          <w:rtl/>
        </w:rPr>
        <w:t>دَوْر</w:t>
      </w:r>
      <w:r w:rsidR="00A75C8B" w:rsidRPr="006571AC">
        <w:rPr>
          <w:rFonts w:hint="cs"/>
          <w:color w:val="auto"/>
          <w:rtl/>
        </w:rPr>
        <w:t xml:space="preserve"> الهيئة في إحراز طرف السياق</w:t>
      </w:r>
      <w:bookmarkEnd w:id="104"/>
    </w:p>
    <w:p w:rsidR="00A75C8B" w:rsidRPr="006571AC" w:rsidRDefault="00A75C8B" w:rsidP="00127CAB">
      <w:pPr>
        <w:spacing w:line="404" w:lineRule="exact"/>
        <w:rPr>
          <w:sz w:val="27"/>
          <w:rtl/>
        </w:rPr>
      </w:pPr>
      <w:r w:rsidRPr="006571AC">
        <w:rPr>
          <w:rFonts w:hint="cs"/>
          <w:sz w:val="27"/>
          <w:rtl/>
        </w:rPr>
        <w:t>عند الاستظهار من السياقات ذات الأطراف يجب التدقيق والتأك</w:t>
      </w:r>
      <w:r w:rsidR="00915C0E" w:rsidRPr="006571AC">
        <w:rPr>
          <w:rFonts w:hint="cs"/>
          <w:sz w:val="27"/>
          <w:rtl/>
        </w:rPr>
        <w:t>ُّ</w:t>
      </w:r>
      <w:r w:rsidRPr="006571AC">
        <w:rPr>
          <w:rFonts w:hint="cs"/>
          <w:sz w:val="27"/>
          <w:rtl/>
        </w:rPr>
        <w:t xml:space="preserve">د من إحراز </w:t>
      </w:r>
      <w:r w:rsidRPr="006571AC">
        <w:rPr>
          <w:rFonts w:hint="cs"/>
          <w:sz w:val="27"/>
          <w:rtl/>
        </w:rPr>
        <w:lastRenderedPageBreak/>
        <w:t>الأطراف بشكل</w:t>
      </w:r>
      <w:r w:rsidR="00915C0E" w:rsidRPr="006571AC">
        <w:rPr>
          <w:rFonts w:hint="cs"/>
          <w:sz w:val="27"/>
          <w:rtl/>
        </w:rPr>
        <w:t>ٍ</w:t>
      </w:r>
      <w:r w:rsidRPr="006571AC">
        <w:rPr>
          <w:rFonts w:hint="cs"/>
          <w:sz w:val="27"/>
          <w:rtl/>
        </w:rPr>
        <w:t xml:space="preserve"> كامل، ثم</w:t>
      </w:r>
      <w:r w:rsidR="00915C0E" w:rsidRPr="006571AC">
        <w:rPr>
          <w:rFonts w:hint="cs"/>
          <w:sz w:val="27"/>
          <w:rtl/>
        </w:rPr>
        <w:t>ّ</w:t>
      </w:r>
      <w:r w:rsidRPr="006571AC">
        <w:rPr>
          <w:rFonts w:hint="cs"/>
          <w:sz w:val="27"/>
          <w:rtl/>
        </w:rPr>
        <w:t xml:space="preserve"> القيام بعد ذلك </w:t>
      </w:r>
      <w:r w:rsidR="00915C0E" w:rsidRPr="006571AC">
        <w:rPr>
          <w:rFonts w:hint="cs"/>
          <w:sz w:val="27"/>
          <w:rtl/>
        </w:rPr>
        <w:t>ب</w:t>
      </w:r>
      <w:r w:rsidRPr="006571AC">
        <w:rPr>
          <w:rFonts w:hint="cs"/>
          <w:sz w:val="27"/>
          <w:rtl/>
        </w:rPr>
        <w:t>توظيف القريني</w:t>
      </w:r>
      <w:r w:rsidR="00915C0E" w:rsidRPr="006571AC">
        <w:rPr>
          <w:rFonts w:hint="cs"/>
          <w:sz w:val="27"/>
          <w:rtl/>
        </w:rPr>
        <w:t>ّ</w:t>
      </w:r>
      <w:r w:rsidRPr="006571AC">
        <w:rPr>
          <w:rFonts w:hint="cs"/>
          <w:sz w:val="27"/>
          <w:rtl/>
        </w:rPr>
        <w:t>ة واستعمالها. وكما يمكن للماد</w:t>
      </w:r>
      <w:r w:rsidR="00915C0E" w:rsidRPr="006571AC">
        <w:rPr>
          <w:rFonts w:hint="cs"/>
          <w:sz w:val="27"/>
          <w:rtl/>
        </w:rPr>
        <w:t>ّ</w:t>
      </w:r>
      <w:r w:rsidRPr="006571AC">
        <w:rPr>
          <w:rFonts w:hint="cs"/>
          <w:sz w:val="27"/>
          <w:rtl/>
        </w:rPr>
        <w:t>ة أن تكون مؤث</w:t>
      </w:r>
      <w:r w:rsidR="00915C0E" w:rsidRPr="006571AC">
        <w:rPr>
          <w:rFonts w:hint="cs"/>
          <w:sz w:val="27"/>
          <w:rtl/>
        </w:rPr>
        <w:t>ِّ</w:t>
      </w:r>
      <w:r w:rsidRPr="006571AC">
        <w:rPr>
          <w:rFonts w:hint="cs"/>
          <w:sz w:val="27"/>
          <w:rtl/>
        </w:rPr>
        <w:t>رة</w:t>
      </w:r>
      <w:r w:rsidR="00915C0E" w:rsidRPr="006571AC">
        <w:rPr>
          <w:rFonts w:hint="cs"/>
          <w:sz w:val="27"/>
          <w:rtl/>
        </w:rPr>
        <w:t>ً</w:t>
      </w:r>
      <w:r w:rsidRPr="006571AC">
        <w:rPr>
          <w:rFonts w:hint="cs"/>
          <w:sz w:val="27"/>
          <w:rtl/>
        </w:rPr>
        <w:t xml:space="preserve"> لتكون طرفاً في السياق، كذلك يمكن للهيئة أن تكون طرفاً في السياق أيضاً، وعليه يمكن لكل</w:t>
      </w:r>
      <w:r w:rsidR="00915C0E" w:rsidRPr="006571AC">
        <w:rPr>
          <w:rFonts w:hint="cs"/>
          <w:sz w:val="27"/>
          <w:rtl/>
        </w:rPr>
        <w:t>ٍّ</w:t>
      </w:r>
      <w:r w:rsidRPr="006571AC">
        <w:rPr>
          <w:rFonts w:hint="cs"/>
          <w:sz w:val="27"/>
          <w:rtl/>
        </w:rPr>
        <w:t xml:space="preserve"> من الماد</w:t>
      </w:r>
      <w:r w:rsidR="00915C0E" w:rsidRPr="006571AC">
        <w:rPr>
          <w:rFonts w:hint="cs"/>
          <w:sz w:val="27"/>
          <w:rtl/>
        </w:rPr>
        <w:t>ّ</w:t>
      </w:r>
      <w:r w:rsidRPr="006571AC">
        <w:rPr>
          <w:rFonts w:hint="cs"/>
          <w:sz w:val="27"/>
          <w:rtl/>
        </w:rPr>
        <w:t xml:space="preserve">ة والهيئة أن تقعا مع بعضهما طرفاً في السياق. </w:t>
      </w:r>
    </w:p>
    <w:p w:rsidR="00A75C8B" w:rsidRPr="006571AC" w:rsidRDefault="00A75C8B" w:rsidP="00C95139">
      <w:pPr>
        <w:rPr>
          <w:sz w:val="27"/>
          <w:rtl/>
        </w:rPr>
      </w:pPr>
      <w:r w:rsidRPr="006571AC">
        <w:rPr>
          <w:rFonts w:hint="cs"/>
          <w:sz w:val="27"/>
          <w:rtl/>
        </w:rPr>
        <w:t>إن التحليل الناقص للأطراف أد</w:t>
      </w:r>
      <w:r w:rsidR="00915C0E" w:rsidRPr="006571AC">
        <w:rPr>
          <w:rFonts w:hint="cs"/>
          <w:sz w:val="27"/>
          <w:rtl/>
        </w:rPr>
        <w:t>ّ</w:t>
      </w:r>
      <w:r w:rsidRPr="006571AC">
        <w:rPr>
          <w:rFonts w:hint="cs"/>
          <w:sz w:val="27"/>
          <w:rtl/>
        </w:rPr>
        <w:t>ى إلى احتدام نزاع</w:t>
      </w:r>
      <w:r w:rsidR="00915C0E" w:rsidRPr="006571AC">
        <w:rPr>
          <w:rFonts w:hint="cs"/>
          <w:sz w:val="27"/>
          <w:rtl/>
        </w:rPr>
        <w:t>ٍ</w:t>
      </w:r>
      <w:r w:rsidRPr="006571AC">
        <w:rPr>
          <w:rFonts w:hint="cs"/>
          <w:sz w:val="27"/>
          <w:rtl/>
        </w:rPr>
        <w:t xml:space="preserve"> بين الشيخ النائيني</w:t>
      </w:r>
      <w:r w:rsidR="002A2C90" w:rsidRPr="006571AC">
        <w:rPr>
          <w:rFonts w:ascii="Mosawi" w:hAnsi="Mosawi" w:cs="Mosawi"/>
          <w:sz w:val="22"/>
          <w:szCs w:val="22"/>
          <w:rtl/>
        </w:rPr>
        <w:t>&amp;</w:t>
      </w:r>
      <w:r w:rsidRPr="006571AC">
        <w:rPr>
          <w:rFonts w:hint="cs"/>
          <w:sz w:val="27"/>
          <w:rtl/>
        </w:rPr>
        <w:t xml:space="preserve"> والسيد الخوئي</w:t>
      </w:r>
      <w:r w:rsidR="002A2C90" w:rsidRPr="006571AC">
        <w:rPr>
          <w:rFonts w:ascii="Mosawi" w:hAnsi="Mosawi" w:cs="Mosawi"/>
          <w:sz w:val="22"/>
          <w:szCs w:val="22"/>
          <w:rtl/>
        </w:rPr>
        <w:t>&amp;</w:t>
      </w:r>
      <w:r w:rsidR="00915C0E" w:rsidRPr="006571AC">
        <w:rPr>
          <w:rFonts w:hint="cs"/>
          <w:sz w:val="27"/>
          <w:rtl/>
        </w:rPr>
        <w:t>.</w:t>
      </w:r>
      <w:r w:rsidRPr="006571AC">
        <w:rPr>
          <w:rFonts w:hint="cs"/>
          <w:sz w:val="27"/>
          <w:rtl/>
        </w:rPr>
        <w:t xml:space="preserve"> </w:t>
      </w:r>
      <w:r w:rsidR="00915C0E" w:rsidRPr="006571AC">
        <w:rPr>
          <w:rFonts w:hint="cs"/>
          <w:sz w:val="27"/>
          <w:rtl/>
        </w:rPr>
        <w:t>ف</w:t>
      </w:r>
      <w:r w:rsidRPr="006571AC">
        <w:rPr>
          <w:rFonts w:hint="cs"/>
          <w:sz w:val="27"/>
          <w:rtl/>
        </w:rPr>
        <w:t>فيما لو كانت وظيفة المكل</w:t>
      </w:r>
      <w:r w:rsidR="00915C0E" w:rsidRPr="006571AC">
        <w:rPr>
          <w:rFonts w:hint="cs"/>
          <w:sz w:val="27"/>
          <w:rtl/>
        </w:rPr>
        <w:t>َّ</w:t>
      </w:r>
      <w:r w:rsidRPr="006571AC">
        <w:rPr>
          <w:rFonts w:hint="cs"/>
          <w:sz w:val="27"/>
          <w:rtl/>
        </w:rPr>
        <w:t>ف هي التيم</w:t>
      </w:r>
      <w:r w:rsidR="00915C0E" w:rsidRPr="006571AC">
        <w:rPr>
          <w:rFonts w:hint="cs"/>
          <w:sz w:val="27"/>
          <w:rtl/>
        </w:rPr>
        <w:t>ُّ</w:t>
      </w:r>
      <w:r w:rsidRPr="006571AC">
        <w:rPr>
          <w:rFonts w:hint="cs"/>
          <w:sz w:val="27"/>
          <w:rtl/>
        </w:rPr>
        <w:t>م في ظرف إمكان الوضوء ـ كما هو الحال في موارد الض</w:t>
      </w:r>
      <w:r w:rsidR="00915C0E" w:rsidRPr="006571AC">
        <w:rPr>
          <w:rFonts w:hint="cs"/>
          <w:sz w:val="27"/>
          <w:rtl/>
        </w:rPr>
        <w:t>َّ</w:t>
      </w:r>
      <w:r w:rsidRPr="006571AC">
        <w:rPr>
          <w:rFonts w:hint="cs"/>
          <w:sz w:val="27"/>
          <w:rtl/>
        </w:rPr>
        <w:t>ر</w:t>
      </w:r>
      <w:r w:rsidR="00915C0E" w:rsidRPr="006571AC">
        <w:rPr>
          <w:rFonts w:hint="cs"/>
          <w:sz w:val="27"/>
          <w:rtl/>
        </w:rPr>
        <w:t>َ</w:t>
      </w:r>
      <w:r w:rsidRPr="006571AC">
        <w:rPr>
          <w:rFonts w:hint="cs"/>
          <w:sz w:val="27"/>
          <w:rtl/>
        </w:rPr>
        <w:t>ر أو الح</w:t>
      </w:r>
      <w:r w:rsidR="00915C0E" w:rsidRPr="006571AC">
        <w:rPr>
          <w:rFonts w:hint="cs"/>
          <w:sz w:val="27"/>
          <w:rtl/>
        </w:rPr>
        <w:t>َ</w:t>
      </w:r>
      <w:r w:rsidRPr="006571AC">
        <w:rPr>
          <w:rFonts w:hint="cs"/>
          <w:sz w:val="27"/>
          <w:rtl/>
        </w:rPr>
        <w:t>ر</w:t>
      </w:r>
      <w:r w:rsidR="00915C0E" w:rsidRPr="006571AC">
        <w:rPr>
          <w:rFonts w:hint="cs"/>
          <w:sz w:val="27"/>
          <w:rtl/>
        </w:rPr>
        <w:t>َ</w:t>
      </w:r>
      <w:r w:rsidRPr="006571AC">
        <w:rPr>
          <w:rFonts w:hint="cs"/>
          <w:sz w:val="27"/>
          <w:rtl/>
        </w:rPr>
        <w:t>ج ـ ي</w:t>
      </w:r>
      <w:r w:rsidR="00915C0E" w:rsidRPr="006571AC">
        <w:rPr>
          <w:rFonts w:hint="cs"/>
          <w:sz w:val="27"/>
          <w:rtl/>
        </w:rPr>
        <w:t>َ</w:t>
      </w:r>
      <w:r w:rsidRPr="006571AC">
        <w:rPr>
          <w:rFonts w:hint="cs"/>
          <w:sz w:val="27"/>
          <w:rtl/>
        </w:rPr>
        <w:t>ر</w:t>
      </w:r>
      <w:r w:rsidR="00915C0E" w:rsidRPr="006571AC">
        <w:rPr>
          <w:rFonts w:hint="cs"/>
          <w:sz w:val="27"/>
          <w:rtl/>
        </w:rPr>
        <w:t>ِ</w:t>
      </w:r>
      <w:r w:rsidRPr="006571AC">
        <w:rPr>
          <w:rFonts w:hint="cs"/>
          <w:sz w:val="27"/>
          <w:rtl/>
        </w:rPr>
        <w:t>د</w:t>
      </w:r>
      <w:r w:rsidR="00915C0E" w:rsidRPr="006571AC">
        <w:rPr>
          <w:rFonts w:hint="cs"/>
          <w:sz w:val="27"/>
          <w:rtl/>
        </w:rPr>
        <w:t>ُ</w:t>
      </w:r>
      <w:r w:rsidRPr="006571AC">
        <w:rPr>
          <w:rFonts w:hint="cs"/>
          <w:sz w:val="27"/>
          <w:rtl/>
        </w:rPr>
        <w:t xml:space="preserve"> هذا السؤال القائل: لو أن المكلف توضّأ وضوءاً ض</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رياً أو ح</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جياً فهل يكون وضوؤه في مثل هذه الحالة صحيحاً أم لا؟ ذهب بعض العلماء إلى القول بأن الوضوء في الحالة العادية واجب</w:t>
      </w:r>
      <w:r w:rsidR="005E740F" w:rsidRPr="006571AC">
        <w:rPr>
          <w:rFonts w:hint="cs"/>
          <w:sz w:val="27"/>
          <w:rtl/>
        </w:rPr>
        <w:t>ٌ</w:t>
      </w:r>
      <w:r w:rsidRPr="006571AC">
        <w:rPr>
          <w:rFonts w:hint="cs"/>
          <w:sz w:val="27"/>
          <w:rtl/>
        </w:rPr>
        <w:t xml:space="preserve"> تعييناً، وفي حالة الض</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ر أو الح</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ج يكون الحكم هو التخيير بين الوضوء والتيم</w:t>
      </w:r>
      <w:r w:rsidR="005E740F" w:rsidRPr="006571AC">
        <w:rPr>
          <w:rFonts w:hint="cs"/>
          <w:sz w:val="27"/>
          <w:rtl/>
        </w:rPr>
        <w:t>ُّ</w:t>
      </w:r>
      <w:r w:rsidRPr="006571AC">
        <w:rPr>
          <w:rFonts w:hint="cs"/>
          <w:sz w:val="27"/>
          <w:rtl/>
        </w:rPr>
        <w:t>م. وعليه يكون وضوء المكل</w:t>
      </w:r>
      <w:r w:rsidR="005E740F" w:rsidRPr="006571AC">
        <w:rPr>
          <w:rFonts w:hint="cs"/>
          <w:sz w:val="27"/>
          <w:rtl/>
        </w:rPr>
        <w:t>َّ</w:t>
      </w:r>
      <w:r w:rsidRPr="006571AC">
        <w:rPr>
          <w:rFonts w:hint="cs"/>
          <w:sz w:val="27"/>
          <w:rtl/>
        </w:rPr>
        <w:t>ف في حالات الض</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ر والح</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 xml:space="preserve">ج صحيحاً. </w:t>
      </w:r>
    </w:p>
    <w:p w:rsidR="005E740F" w:rsidRPr="006571AC" w:rsidRDefault="00A75C8B" w:rsidP="00C95139">
      <w:pPr>
        <w:rPr>
          <w:sz w:val="27"/>
          <w:rtl/>
        </w:rPr>
      </w:pPr>
      <w:r w:rsidRPr="006571AC">
        <w:rPr>
          <w:rFonts w:hint="cs"/>
          <w:sz w:val="27"/>
          <w:rtl/>
        </w:rPr>
        <w:t xml:space="preserve">وقد أشكل الشيخ النائيني على هذا الرأي، وقال بأنه يستلزم اجتماع النقيضين في الآية، فإن الله سبحانه وتعالى يقول: </w:t>
      </w:r>
      <w:r w:rsidRPr="006571AC">
        <w:rPr>
          <w:rFonts w:ascii="Mosawi" w:hAnsi="Mosawi" w:cs="Mosawi"/>
          <w:sz w:val="24"/>
          <w:szCs w:val="24"/>
          <w:rtl/>
        </w:rPr>
        <w:t>﴿</w:t>
      </w:r>
      <w:r w:rsidRPr="006571AC">
        <w:rPr>
          <w:b/>
          <w:bCs/>
          <w:sz w:val="27"/>
          <w:rtl/>
        </w:rPr>
        <w:t>يَا</w:t>
      </w:r>
      <w:r w:rsidRPr="006571AC">
        <w:rPr>
          <w:rFonts w:hint="cs"/>
          <w:b/>
          <w:bCs/>
          <w:sz w:val="27"/>
          <w:rtl/>
        </w:rPr>
        <w:t xml:space="preserve"> </w:t>
      </w:r>
      <w:r w:rsidRPr="006571AC">
        <w:rPr>
          <w:b/>
          <w:bCs/>
          <w:sz w:val="27"/>
          <w:rtl/>
        </w:rPr>
        <w:t>أَيُّهَا الَّذِينَ آمَن</w:t>
      </w:r>
      <w:r w:rsidR="005E740F" w:rsidRPr="006571AC">
        <w:rPr>
          <w:b/>
          <w:bCs/>
          <w:sz w:val="27"/>
          <w:rtl/>
        </w:rPr>
        <w:t>ُوا إِذَا قُمْتُمْ إِلَى الصَّل</w:t>
      </w:r>
      <w:r w:rsidRPr="006571AC">
        <w:rPr>
          <w:b/>
          <w:bCs/>
          <w:sz w:val="27"/>
          <w:rtl/>
        </w:rPr>
        <w:t>ا</w:t>
      </w:r>
      <w:r w:rsidR="005E740F" w:rsidRPr="006571AC">
        <w:rPr>
          <w:rFonts w:hint="cs"/>
          <w:b/>
          <w:bCs/>
          <w:sz w:val="27"/>
          <w:rtl/>
        </w:rPr>
        <w:t>َ</w:t>
      </w:r>
      <w:r w:rsidRPr="006571AC">
        <w:rPr>
          <w:b/>
          <w:bCs/>
          <w:sz w:val="27"/>
          <w:rtl/>
        </w:rPr>
        <w:t>ةِ فَاغْسِلُوا وُجُوهَكُمْ... وَإِنْ كُنْتُمْ مَرْضَى أَوْ عَلَى سَفَرٍ أَوْ جَاءَ أَحَدٌ مِنْكُمْ م</w:t>
      </w:r>
      <w:r w:rsidR="005E740F" w:rsidRPr="006571AC">
        <w:rPr>
          <w:b/>
          <w:bCs/>
          <w:sz w:val="27"/>
          <w:rtl/>
        </w:rPr>
        <w:t>ِنَ الْغَائِطِ أَوْ ل</w:t>
      </w:r>
      <w:r w:rsidRPr="006571AC">
        <w:rPr>
          <w:b/>
          <w:bCs/>
          <w:sz w:val="27"/>
          <w:rtl/>
        </w:rPr>
        <w:t>ا</w:t>
      </w:r>
      <w:r w:rsidR="005E740F" w:rsidRPr="006571AC">
        <w:rPr>
          <w:rFonts w:hint="cs"/>
          <w:b/>
          <w:bCs/>
          <w:sz w:val="27"/>
          <w:rtl/>
        </w:rPr>
        <w:t>َ</w:t>
      </w:r>
      <w:r w:rsidRPr="006571AC">
        <w:rPr>
          <w:b/>
          <w:bCs/>
          <w:sz w:val="27"/>
          <w:rtl/>
        </w:rPr>
        <w:t>مَسْتُمُ النِّسَاءَ فَلَمْ تَجِدُوا مَاءً فَتَيَمَّمُوا صَعِيداً طَيِّباً</w:t>
      </w:r>
      <w:r w:rsidRPr="006571AC">
        <w:rPr>
          <w:rFonts w:ascii="Mosawi" w:hAnsi="Mosawi" w:cs="Mosawi"/>
          <w:sz w:val="24"/>
          <w:szCs w:val="24"/>
          <w:rtl/>
        </w:rPr>
        <w:t>﴾</w:t>
      </w:r>
      <w:r w:rsidRPr="006571AC">
        <w:rPr>
          <w:rFonts w:hint="cs"/>
          <w:sz w:val="27"/>
          <w:rtl/>
        </w:rPr>
        <w:t xml:space="preserve"> (المائدة: 6)</w:t>
      </w:r>
      <w:r w:rsidRPr="006571AC">
        <w:rPr>
          <w:sz w:val="27"/>
          <w:rtl/>
        </w:rPr>
        <w:t>؛</w:t>
      </w:r>
      <w:r w:rsidRPr="006571AC">
        <w:rPr>
          <w:rFonts w:hint="cs"/>
          <w:sz w:val="27"/>
          <w:rtl/>
        </w:rPr>
        <w:t xml:space="preserve"> إذ هناك في الو</w:t>
      </w:r>
      <w:r w:rsidR="005E740F" w:rsidRPr="006571AC">
        <w:rPr>
          <w:rFonts w:hint="cs"/>
          <w:sz w:val="27"/>
          <w:rtl/>
        </w:rPr>
        <w:t>َ</w:t>
      </w:r>
      <w:r w:rsidRPr="006571AC">
        <w:rPr>
          <w:rFonts w:hint="cs"/>
          <w:sz w:val="27"/>
          <w:rtl/>
        </w:rPr>
        <w:t>ه</w:t>
      </w:r>
      <w:r w:rsidR="005E740F" w:rsidRPr="006571AC">
        <w:rPr>
          <w:rFonts w:hint="cs"/>
          <w:sz w:val="27"/>
          <w:rtl/>
        </w:rPr>
        <w:t>ْ</w:t>
      </w:r>
      <w:r w:rsidRPr="006571AC">
        <w:rPr>
          <w:rFonts w:hint="cs"/>
          <w:sz w:val="27"/>
          <w:rtl/>
        </w:rPr>
        <w:t>لة الأولى تقابل</w:t>
      </w:r>
      <w:r w:rsidR="005E740F" w:rsidRPr="006571AC">
        <w:rPr>
          <w:rFonts w:hint="cs"/>
          <w:sz w:val="27"/>
          <w:rtl/>
        </w:rPr>
        <w:t>ٌ</w:t>
      </w:r>
      <w:r w:rsidRPr="006571AC">
        <w:rPr>
          <w:rFonts w:hint="cs"/>
          <w:sz w:val="27"/>
          <w:rtl/>
        </w:rPr>
        <w:t xml:space="preserve"> بين الوضوء والتيم</w:t>
      </w:r>
      <w:r w:rsidR="00302061" w:rsidRPr="006571AC">
        <w:rPr>
          <w:rFonts w:hint="cs"/>
          <w:sz w:val="27"/>
          <w:rtl/>
        </w:rPr>
        <w:t>ُّ</w:t>
      </w:r>
      <w:r w:rsidRPr="006571AC">
        <w:rPr>
          <w:rFonts w:hint="cs"/>
          <w:sz w:val="27"/>
          <w:rtl/>
        </w:rPr>
        <w:t>م. وقد عمد السيد الخوئي</w:t>
      </w:r>
      <w:r w:rsidR="002A2C90" w:rsidRPr="006571AC">
        <w:rPr>
          <w:rFonts w:ascii="Mosawi" w:hAnsi="Mosawi" w:cs="Mosawi"/>
          <w:sz w:val="22"/>
          <w:szCs w:val="22"/>
          <w:rtl/>
        </w:rPr>
        <w:t>&amp;</w:t>
      </w:r>
      <w:r w:rsidRPr="006571AC">
        <w:rPr>
          <w:rFonts w:hint="cs"/>
          <w:sz w:val="27"/>
          <w:rtl/>
        </w:rPr>
        <w:t xml:space="preserve"> إلى نقل هذا الإشكال الذي أو</w:t>
      </w:r>
      <w:r w:rsidR="005E740F" w:rsidRPr="006571AC">
        <w:rPr>
          <w:rFonts w:hint="cs"/>
          <w:sz w:val="27"/>
          <w:rtl/>
        </w:rPr>
        <w:t>رده الشيخ النائيني، وقام بنقده.</w:t>
      </w:r>
    </w:p>
    <w:p w:rsidR="005E740F" w:rsidRPr="006571AC" w:rsidRDefault="00A75C8B" w:rsidP="00C95139">
      <w:pPr>
        <w:rPr>
          <w:sz w:val="27"/>
          <w:rtl/>
        </w:rPr>
      </w:pPr>
      <w:r w:rsidRPr="006571AC">
        <w:rPr>
          <w:rFonts w:hint="cs"/>
          <w:sz w:val="27"/>
          <w:rtl/>
        </w:rPr>
        <w:t>قال الشيخ النائيني: حيث يوجد في الوضوء والتيم</w:t>
      </w:r>
      <w:r w:rsidR="00302061" w:rsidRPr="006571AC">
        <w:rPr>
          <w:rFonts w:hint="cs"/>
          <w:sz w:val="27"/>
          <w:rtl/>
        </w:rPr>
        <w:t>ُّ</w:t>
      </w:r>
      <w:r w:rsidRPr="006571AC">
        <w:rPr>
          <w:rFonts w:hint="cs"/>
          <w:sz w:val="27"/>
          <w:rtl/>
        </w:rPr>
        <w:t>م سياق التقابل إذن عندما يكون موضوع التيم</w:t>
      </w:r>
      <w:r w:rsidR="005E740F" w:rsidRPr="006571AC">
        <w:rPr>
          <w:rFonts w:hint="cs"/>
          <w:sz w:val="27"/>
          <w:rtl/>
        </w:rPr>
        <w:t>ُّ</w:t>
      </w:r>
      <w:r w:rsidRPr="006571AC">
        <w:rPr>
          <w:rFonts w:hint="cs"/>
          <w:sz w:val="27"/>
          <w:rtl/>
        </w:rPr>
        <w:t xml:space="preserve">م </w:t>
      </w:r>
      <w:r w:rsidRPr="006571AC">
        <w:rPr>
          <w:rFonts w:hint="eastAsia"/>
          <w:sz w:val="24"/>
          <w:szCs w:val="24"/>
          <w:rtl/>
        </w:rPr>
        <w:t>«</w:t>
      </w:r>
      <w:r w:rsidRPr="006571AC">
        <w:rPr>
          <w:rFonts w:hint="cs"/>
          <w:sz w:val="27"/>
          <w:rtl/>
        </w:rPr>
        <w:t>عدم وجدان الماء</w:t>
      </w:r>
      <w:r w:rsidRPr="006571AC">
        <w:rPr>
          <w:rFonts w:hint="eastAsia"/>
          <w:sz w:val="24"/>
          <w:szCs w:val="24"/>
          <w:rtl/>
        </w:rPr>
        <w:t>»</w:t>
      </w:r>
      <w:r w:rsidRPr="006571AC">
        <w:rPr>
          <w:rFonts w:hint="cs"/>
          <w:sz w:val="27"/>
          <w:rtl/>
        </w:rPr>
        <w:t xml:space="preserve"> يكون موضوع الوضوء </w:t>
      </w:r>
      <w:r w:rsidRPr="006571AC">
        <w:rPr>
          <w:rFonts w:hint="eastAsia"/>
          <w:sz w:val="24"/>
          <w:szCs w:val="24"/>
          <w:rtl/>
        </w:rPr>
        <w:t>«</w:t>
      </w:r>
      <w:r w:rsidRPr="006571AC">
        <w:rPr>
          <w:rFonts w:hint="cs"/>
          <w:sz w:val="27"/>
          <w:rtl/>
        </w:rPr>
        <w:t>وجدان الماء</w:t>
      </w:r>
      <w:r w:rsidRPr="006571AC">
        <w:rPr>
          <w:rFonts w:hint="eastAsia"/>
          <w:sz w:val="24"/>
          <w:szCs w:val="24"/>
          <w:rtl/>
        </w:rPr>
        <w:t>»</w:t>
      </w:r>
      <w:r w:rsidRPr="006571AC">
        <w:rPr>
          <w:rFonts w:hint="cs"/>
          <w:sz w:val="27"/>
          <w:rtl/>
        </w:rPr>
        <w:t>. ففي مثل هذه الحالة لو قلنا بأن الوضوء واجب تخييراً في حالة الض</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ر والح</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ج وجب علينا القول بوجوب الوضوء في حالة وجدان الماء وفي حالة عدم وجدان الماء، وهذا تعبير</w:t>
      </w:r>
      <w:r w:rsidR="005E740F" w:rsidRPr="006571AC">
        <w:rPr>
          <w:rFonts w:hint="cs"/>
          <w:sz w:val="27"/>
          <w:rtl/>
        </w:rPr>
        <w:t>ٌ آخر عن اجتماع النقيضين.</w:t>
      </w:r>
    </w:p>
    <w:p w:rsidR="00A75C8B" w:rsidRPr="006571AC" w:rsidRDefault="00A75C8B" w:rsidP="00C95139">
      <w:pPr>
        <w:rPr>
          <w:sz w:val="27"/>
          <w:rtl/>
        </w:rPr>
      </w:pPr>
      <w:r w:rsidRPr="006571AC">
        <w:rPr>
          <w:rFonts w:hint="cs"/>
          <w:sz w:val="27"/>
          <w:rtl/>
        </w:rPr>
        <w:t>وقد أشكل عليه السيد الخوئي</w:t>
      </w:r>
      <w:r w:rsidR="002A2C90" w:rsidRPr="006571AC">
        <w:rPr>
          <w:rFonts w:ascii="Mosawi" w:hAnsi="Mosawi" w:cs="Mosawi"/>
          <w:sz w:val="22"/>
          <w:szCs w:val="22"/>
          <w:rtl/>
        </w:rPr>
        <w:t>&amp;</w:t>
      </w:r>
      <w:r w:rsidRPr="006571AC">
        <w:rPr>
          <w:rFonts w:hint="cs"/>
          <w:sz w:val="27"/>
          <w:rtl/>
        </w:rPr>
        <w:t xml:space="preserve"> بالقول: إنك لم تعمل على تصوير أطراف سياق المقابلة بشكل</w:t>
      </w:r>
      <w:r w:rsidR="005E740F" w:rsidRPr="006571AC">
        <w:rPr>
          <w:rFonts w:hint="cs"/>
          <w:sz w:val="27"/>
          <w:rtl/>
        </w:rPr>
        <w:t>ٍ</w:t>
      </w:r>
      <w:r w:rsidRPr="006571AC">
        <w:rPr>
          <w:rFonts w:hint="cs"/>
          <w:sz w:val="27"/>
          <w:rtl/>
        </w:rPr>
        <w:t xml:space="preserve"> صحيح؛ فإن أطراف السياق ليست هي مجرّ</w:t>
      </w:r>
      <w:r w:rsidR="005E740F" w:rsidRPr="006571AC">
        <w:rPr>
          <w:rFonts w:hint="cs"/>
          <w:sz w:val="27"/>
          <w:rtl/>
        </w:rPr>
        <w:t>َ</w:t>
      </w:r>
      <w:r w:rsidRPr="006571AC">
        <w:rPr>
          <w:rFonts w:hint="cs"/>
          <w:sz w:val="27"/>
          <w:rtl/>
        </w:rPr>
        <w:t>د الوضوء والتيم</w:t>
      </w:r>
      <w:r w:rsidR="005E740F" w:rsidRPr="006571AC">
        <w:rPr>
          <w:rFonts w:hint="cs"/>
          <w:sz w:val="27"/>
          <w:rtl/>
        </w:rPr>
        <w:t>ُّ</w:t>
      </w:r>
      <w:r w:rsidRPr="006571AC">
        <w:rPr>
          <w:rFonts w:hint="cs"/>
          <w:sz w:val="27"/>
          <w:rtl/>
        </w:rPr>
        <w:t>م، بل الأطراف هنا عبارة</w:t>
      </w:r>
      <w:r w:rsidR="005E740F" w:rsidRPr="006571AC">
        <w:rPr>
          <w:rFonts w:hint="cs"/>
          <w:sz w:val="27"/>
          <w:rtl/>
        </w:rPr>
        <w:t>ٌ</w:t>
      </w:r>
      <w:r w:rsidRPr="006571AC">
        <w:rPr>
          <w:rFonts w:hint="cs"/>
          <w:sz w:val="27"/>
          <w:rtl/>
        </w:rPr>
        <w:t xml:space="preserve"> عن الوجوب التعييني للوضوء والوجوب التعييني للتيم</w:t>
      </w:r>
      <w:r w:rsidR="005E740F" w:rsidRPr="006571AC">
        <w:rPr>
          <w:rFonts w:hint="cs"/>
          <w:sz w:val="27"/>
          <w:rtl/>
        </w:rPr>
        <w:t>ُّ</w:t>
      </w:r>
      <w:r w:rsidRPr="006571AC">
        <w:rPr>
          <w:rFonts w:hint="cs"/>
          <w:sz w:val="27"/>
          <w:rtl/>
        </w:rPr>
        <w:t>م، و</w:t>
      </w:r>
      <w:r w:rsidR="00731867" w:rsidRPr="006571AC">
        <w:rPr>
          <w:rFonts w:hint="cs"/>
          <w:sz w:val="27"/>
          <w:rtl/>
        </w:rPr>
        <w:t>لا شَكَّ</w:t>
      </w:r>
      <w:r w:rsidRPr="006571AC">
        <w:rPr>
          <w:rFonts w:hint="cs"/>
          <w:sz w:val="27"/>
          <w:rtl/>
        </w:rPr>
        <w:t xml:space="preserve"> في أن موضوع الوجوب التعييني للوضوء هو وجدان الماء، والوجوب التعييني للتيم</w:t>
      </w:r>
      <w:r w:rsidR="005E740F" w:rsidRPr="006571AC">
        <w:rPr>
          <w:rFonts w:hint="cs"/>
          <w:sz w:val="27"/>
          <w:rtl/>
        </w:rPr>
        <w:t>ُّ</w:t>
      </w:r>
      <w:r w:rsidRPr="006571AC">
        <w:rPr>
          <w:rFonts w:hint="cs"/>
          <w:sz w:val="27"/>
          <w:rtl/>
        </w:rPr>
        <w:t xml:space="preserve">م هو </w:t>
      </w:r>
      <w:r w:rsidRPr="006571AC">
        <w:rPr>
          <w:rFonts w:hint="cs"/>
          <w:sz w:val="27"/>
          <w:rtl/>
        </w:rPr>
        <w:lastRenderedPageBreak/>
        <w:t>فقدان الماء</w:t>
      </w:r>
      <w:r w:rsidRPr="006571AC">
        <w:rPr>
          <w:sz w:val="27"/>
          <w:vertAlign w:val="superscript"/>
          <w:rtl/>
        </w:rPr>
        <w:t>(</w:t>
      </w:r>
      <w:r w:rsidRPr="006571AC">
        <w:rPr>
          <w:rStyle w:val="ac"/>
          <w:sz w:val="27"/>
          <w:rtl/>
        </w:rPr>
        <w:endnoteReference w:id="219"/>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إن تحليل هذا النزاع يُثبت أن الشيخ النائيني قد اعتبر سياق المقابلة بين مادة التيم</w:t>
      </w:r>
      <w:r w:rsidR="005E740F" w:rsidRPr="006571AC">
        <w:rPr>
          <w:rFonts w:hint="cs"/>
          <w:sz w:val="27"/>
          <w:rtl/>
        </w:rPr>
        <w:t>ُّ</w:t>
      </w:r>
      <w:r w:rsidRPr="006571AC">
        <w:rPr>
          <w:rFonts w:hint="cs"/>
          <w:sz w:val="27"/>
          <w:rtl/>
        </w:rPr>
        <w:t>م ومادة الغسل (غسل الوجه و... وهو الوضوء). وأما السيد الخوئي</w:t>
      </w:r>
      <w:r w:rsidR="002A2C90" w:rsidRPr="006571AC">
        <w:rPr>
          <w:rFonts w:ascii="Mosawi" w:hAnsi="Mosawi" w:cs="Mosawi"/>
          <w:sz w:val="22"/>
          <w:szCs w:val="22"/>
          <w:rtl/>
        </w:rPr>
        <w:t>&amp;</w:t>
      </w:r>
      <w:r w:rsidRPr="006571AC">
        <w:rPr>
          <w:rFonts w:hint="cs"/>
          <w:sz w:val="27"/>
          <w:rtl/>
        </w:rPr>
        <w:t xml:space="preserve"> فيقول: إن ظهور هيئة الأمر في التعيّ</w:t>
      </w:r>
      <w:r w:rsidR="005E740F" w:rsidRPr="006571AC">
        <w:rPr>
          <w:rFonts w:hint="cs"/>
          <w:sz w:val="27"/>
          <w:rtl/>
        </w:rPr>
        <w:t>ُ</w:t>
      </w:r>
      <w:r w:rsidRPr="006571AC">
        <w:rPr>
          <w:rFonts w:hint="cs"/>
          <w:sz w:val="27"/>
          <w:rtl/>
        </w:rPr>
        <w:t>نية داخل</w:t>
      </w:r>
      <w:r w:rsidR="005E740F" w:rsidRPr="006571AC">
        <w:rPr>
          <w:rFonts w:hint="cs"/>
          <w:sz w:val="27"/>
          <w:rtl/>
        </w:rPr>
        <w:t>ٌ</w:t>
      </w:r>
      <w:r w:rsidRPr="006571AC">
        <w:rPr>
          <w:rFonts w:hint="cs"/>
          <w:sz w:val="27"/>
          <w:rtl/>
        </w:rPr>
        <w:t xml:space="preserve"> في طرف سياق المقابلة أيضاً. </w:t>
      </w:r>
    </w:p>
    <w:p w:rsidR="00127CAB" w:rsidRPr="006571AC" w:rsidRDefault="00127CAB" w:rsidP="00127CAB">
      <w:pPr>
        <w:spacing w:line="420" w:lineRule="exact"/>
        <w:rPr>
          <w:sz w:val="27"/>
          <w:rtl/>
        </w:rPr>
      </w:pPr>
    </w:p>
    <w:p w:rsidR="00A75C8B" w:rsidRPr="006571AC" w:rsidRDefault="00EA38F1" w:rsidP="009C29A7">
      <w:pPr>
        <w:pStyle w:val="31"/>
        <w:rPr>
          <w:color w:val="auto"/>
          <w:rtl/>
        </w:rPr>
      </w:pPr>
      <w:bookmarkStart w:id="105" w:name="_Toc114164594"/>
      <w:r w:rsidRPr="006571AC">
        <w:rPr>
          <w:rFonts w:hint="cs"/>
          <w:color w:val="auto"/>
          <w:rtl/>
        </w:rPr>
        <w:t>دَوْر</w:t>
      </w:r>
      <w:r w:rsidR="00A75C8B" w:rsidRPr="006571AC">
        <w:rPr>
          <w:rFonts w:hint="cs"/>
          <w:color w:val="auto"/>
          <w:rtl/>
        </w:rPr>
        <w:t xml:space="preserve"> المثال في إحراز طرف السياق</w:t>
      </w:r>
      <w:bookmarkEnd w:id="105"/>
    </w:p>
    <w:p w:rsidR="00A75C8B" w:rsidRPr="006571AC" w:rsidRDefault="00A75C8B" w:rsidP="00C95139">
      <w:pPr>
        <w:rPr>
          <w:sz w:val="27"/>
          <w:rtl/>
        </w:rPr>
      </w:pPr>
      <w:r w:rsidRPr="006571AC">
        <w:rPr>
          <w:rFonts w:hint="cs"/>
          <w:sz w:val="27"/>
          <w:rtl/>
        </w:rPr>
        <w:t>قد لا يكون الطرفان الواقعان في سياق</w:t>
      </w:r>
      <w:r w:rsidR="006B3439" w:rsidRPr="006571AC">
        <w:rPr>
          <w:rFonts w:hint="cs"/>
          <w:sz w:val="27"/>
          <w:rtl/>
        </w:rPr>
        <w:t>ٍ</w:t>
      </w:r>
      <w:r w:rsidRPr="006571AC">
        <w:rPr>
          <w:rFonts w:hint="cs"/>
          <w:sz w:val="27"/>
          <w:rtl/>
        </w:rPr>
        <w:t xml:space="preserve"> واحد طرفين حقيقي</w:t>
      </w:r>
      <w:r w:rsidR="006B3439" w:rsidRPr="006571AC">
        <w:rPr>
          <w:rFonts w:hint="cs"/>
          <w:sz w:val="27"/>
          <w:rtl/>
        </w:rPr>
        <w:t>ّ</w:t>
      </w:r>
      <w:r w:rsidRPr="006571AC">
        <w:rPr>
          <w:rFonts w:hint="cs"/>
          <w:sz w:val="27"/>
          <w:rtl/>
        </w:rPr>
        <w:t>ين في بعض الأحيان</w:t>
      </w:r>
      <w:r w:rsidR="006B3439" w:rsidRPr="006571AC">
        <w:rPr>
          <w:rFonts w:hint="cs"/>
          <w:sz w:val="27"/>
          <w:rtl/>
        </w:rPr>
        <w:t>،</w:t>
      </w:r>
      <w:r w:rsidRPr="006571AC">
        <w:rPr>
          <w:rFonts w:hint="cs"/>
          <w:sz w:val="27"/>
          <w:rtl/>
        </w:rPr>
        <w:t xml:space="preserve"> بل قد يكونان أو أحدهما ـ في الحد</w:t>
      </w:r>
      <w:r w:rsidR="006B3439" w:rsidRPr="006571AC">
        <w:rPr>
          <w:rFonts w:hint="cs"/>
          <w:sz w:val="27"/>
          <w:rtl/>
        </w:rPr>
        <w:t>ّ</w:t>
      </w:r>
      <w:r w:rsidRPr="006571AC">
        <w:rPr>
          <w:rFonts w:hint="cs"/>
          <w:sz w:val="27"/>
          <w:rtl/>
        </w:rPr>
        <w:t xml:space="preserve"> الأدنى ـ مثالاً لأمر</w:t>
      </w:r>
      <w:r w:rsidR="006B3439" w:rsidRPr="006571AC">
        <w:rPr>
          <w:rFonts w:hint="cs"/>
          <w:sz w:val="27"/>
          <w:rtl/>
        </w:rPr>
        <w:t>ٍ</w:t>
      </w:r>
      <w:r w:rsidRPr="006571AC">
        <w:rPr>
          <w:rFonts w:hint="cs"/>
          <w:sz w:val="27"/>
          <w:rtl/>
        </w:rPr>
        <w:t xml:space="preserve"> آخر، حيث يكون ذلك الأمر في الحقيقة طرفاً في السياق، وإن المورد المصرّ</w:t>
      </w:r>
      <w:r w:rsidR="006B3439" w:rsidRPr="006571AC">
        <w:rPr>
          <w:rFonts w:hint="cs"/>
          <w:sz w:val="27"/>
          <w:rtl/>
        </w:rPr>
        <w:t>َ</w:t>
      </w:r>
      <w:r w:rsidRPr="006571AC">
        <w:rPr>
          <w:rFonts w:hint="cs"/>
          <w:sz w:val="27"/>
          <w:rtl/>
        </w:rPr>
        <w:t>ح به في الدليل هو مجرّ</w:t>
      </w:r>
      <w:r w:rsidR="006B3439" w:rsidRPr="006571AC">
        <w:rPr>
          <w:rFonts w:hint="cs"/>
          <w:sz w:val="27"/>
          <w:rtl/>
        </w:rPr>
        <w:t>َ</w:t>
      </w:r>
      <w:r w:rsidRPr="006571AC">
        <w:rPr>
          <w:rFonts w:hint="cs"/>
          <w:sz w:val="27"/>
          <w:rtl/>
        </w:rPr>
        <w:t>د مثال</w:t>
      </w:r>
      <w:r w:rsidR="006B3439" w:rsidRPr="006571AC">
        <w:rPr>
          <w:rFonts w:hint="cs"/>
          <w:sz w:val="27"/>
          <w:rtl/>
        </w:rPr>
        <w:t>ٍ</w:t>
      </w:r>
      <w:r w:rsidRPr="006571AC">
        <w:rPr>
          <w:rFonts w:hint="cs"/>
          <w:sz w:val="27"/>
          <w:rtl/>
        </w:rPr>
        <w:t xml:space="preserve"> له. </w:t>
      </w:r>
    </w:p>
    <w:p w:rsidR="00A75C8B" w:rsidRPr="006571AC" w:rsidRDefault="00A75C8B" w:rsidP="00C95139">
      <w:pPr>
        <w:rPr>
          <w:sz w:val="27"/>
          <w:rtl/>
        </w:rPr>
      </w:pPr>
      <w:r w:rsidRPr="006571AC">
        <w:rPr>
          <w:rFonts w:hint="cs"/>
          <w:sz w:val="27"/>
          <w:rtl/>
        </w:rPr>
        <w:t>قال صاحب الكفاية</w:t>
      </w:r>
      <w:r w:rsidR="002A2C90" w:rsidRPr="006571AC">
        <w:rPr>
          <w:rFonts w:ascii="Mosawi" w:hAnsi="Mosawi" w:cs="Mosawi"/>
          <w:sz w:val="22"/>
          <w:szCs w:val="22"/>
          <w:rtl/>
        </w:rPr>
        <w:t>&amp;</w:t>
      </w:r>
      <w:r w:rsidR="006B3439" w:rsidRPr="006571AC">
        <w:rPr>
          <w:rFonts w:hint="cs"/>
          <w:sz w:val="27"/>
          <w:rtl/>
        </w:rPr>
        <w:t>،</w:t>
      </w:r>
      <w:r w:rsidRPr="006571AC">
        <w:rPr>
          <w:rFonts w:hint="cs"/>
          <w:sz w:val="27"/>
          <w:rtl/>
        </w:rPr>
        <w:t xml:space="preserve"> في بحث جواز الوضوء بالماء المستعمل في الطهارة من الح</w:t>
      </w:r>
      <w:r w:rsidR="006B3439" w:rsidRPr="006571AC">
        <w:rPr>
          <w:rFonts w:hint="cs"/>
          <w:sz w:val="27"/>
          <w:rtl/>
        </w:rPr>
        <w:t>َ</w:t>
      </w:r>
      <w:r w:rsidRPr="006571AC">
        <w:rPr>
          <w:rFonts w:hint="cs"/>
          <w:sz w:val="27"/>
          <w:rtl/>
        </w:rPr>
        <w:t>د</w:t>
      </w:r>
      <w:r w:rsidR="006B3439" w:rsidRPr="006571AC">
        <w:rPr>
          <w:rFonts w:hint="cs"/>
          <w:sz w:val="27"/>
          <w:rtl/>
        </w:rPr>
        <w:t>َ</w:t>
      </w:r>
      <w:r w:rsidRPr="006571AC">
        <w:rPr>
          <w:rFonts w:hint="cs"/>
          <w:sz w:val="27"/>
          <w:rtl/>
        </w:rPr>
        <w:t xml:space="preserve">ث الأكبر، في ذيل رواية عبد الله بن سنان: </w:t>
      </w:r>
      <w:r w:rsidRPr="006571AC">
        <w:rPr>
          <w:sz w:val="27"/>
          <w:rtl/>
        </w:rPr>
        <w:t xml:space="preserve">ما أخبرني به الشيخ </w:t>
      </w:r>
      <w:r w:rsidRPr="006571AC">
        <w:rPr>
          <w:rFonts w:hint="cs"/>
          <w:sz w:val="27"/>
          <w:rtl/>
        </w:rPr>
        <w:t xml:space="preserve">ـ </w:t>
      </w:r>
      <w:r w:rsidRPr="006571AC">
        <w:rPr>
          <w:sz w:val="27"/>
          <w:rtl/>
        </w:rPr>
        <w:t>أي</w:t>
      </w:r>
      <w:r w:rsidR="006B3439" w:rsidRPr="006571AC">
        <w:rPr>
          <w:rFonts w:hint="cs"/>
          <w:sz w:val="27"/>
          <w:rtl/>
        </w:rPr>
        <w:t>َّ</w:t>
      </w:r>
      <w:r w:rsidRPr="006571AC">
        <w:rPr>
          <w:sz w:val="27"/>
          <w:rtl/>
        </w:rPr>
        <w:t xml:space="preserve">ده الله </w:t>
      </w:r>
      <w:r w:rsidR="002707B7" w:rsidRPr="006571AC">
        <w:rPr>
          <w:rFonts w:hint="cs"/>
          <w:sz w:val="27"/>
          <w:rtl/>
        </w:rPr>
        <w:t xml:space="preserve">   </w:t>
      </w:r>
      <w:r w:rsidRPr="006571AC">
        <w:rPr>
          <w:sz w:val="27"/>
          <w:rtl/>
        </w:rPr>
        <w:t>تعالى</w:t>
      </w:r>
      <w:r w:rsidR="00302061" w:rsidRPr="006571AC">
        <w:rPr>
          <w:rFonts w:hint="cs"/>
          <w:sz w:val="27"/>
          <w:rtl/>
        </w:rPr>
        <w:t xml:space="preserve"> </w:t>
      </w:r>
      <w:r w:rsidRPr="006571AC">
        <w:rPr>
          <w:rFonts w:hint="cs"/>
          <w:sz w:val="27"/>
          <w:rtl/>
        </w:rPr>
        <w:t>ـ</w:t>
      </w:r>
      <w:r w:rsidR="006B3439" w:rsidRPr="006571AC">
        <w:rPr>
          <w:rFonts w:hint="cs"/>
          <w:sz w:val="27"/>
          <w:rtl/>
        </w:rPr>
        <w:t>،</w:t>
      </w:r>
      <w:r w:rsidRPr="006571AC">
        <w:rPr>
          <w:sz w:val="27"/>
          <w:rtl/>
        </w:rPr>
        <w:t xml:space="preserve"> عن أبي القاسم جعفر بن محمد</w:t>
      </w:r>
      <w:r w:rsidRPr="006571AC">
        <w:rPr>
          <w:rFonts w:hint="cs"/>
          <w:sz w:val="27"/>
          <w:rtl/>
        </w:rPr>
        <w:t xml:space="preserve">، </w:t>
      </w:r>
      <w:r w:rsidRPr="006571AC">
        <w:rPr>
          <w:sz w:val="27"/>
          <w:rtl/>
        </w:rPr>
        <w:t>عن أبيه</w:t>
      </w:r>
      <w:r w:rsidRPr="006571AC">
        <w:rPr>
          <w:rFonts w:hint="cs"/>
          <w:sz w:val="27"/>
          <w:rtl/>
        </w:rPr>
        <w:t xml:space="preserve">، </w:t>
      </w:r>
      <w:r w:rsidRPr="006571AC">
        <w:rPr>
          <w:sz w:val="27"/>
          <w:rtl/>
        </w:rPr>
        <w:t>عن سعد بن عبد</w:t>
      </w:r>
      <w:r w:rsidRPr="006571AC">
        <w:rPr>
          <w:rFonts w:hint="cs"/>
          <w:sz w:val="27"/>
          <w:rtl/>
        </w:rPr>
        <w:t xml:space="preserve"> </w:t>
      </w:r>
      <w:r w:rsidRPr="006571AC">
        <w:rPr>
          <w:sz w:val="27"/>
          <w:rtl/>
        </w:rPr>
        <w:t>الله</w:t>
      </w:r>
      <w:r w:rsidRPr="006571AC">
        <w:rPr>
          <w:rFonts w:hint="cs"/>
          <w:sz w:val="27"/>
          <w:rtl/>
        </w:rPr>
        <w:t xml:space="preserve">، </w:t>
      </w:r>
      <w:r w:rsidRPr="006571AC">
        <w:rPr>
          <w:sz w:val="27"/>
          <w:rtl/>
        </w:rPr>
        <w:t>عن الحسن بن علي</w:t>
      </w:r>
      <w:r w:rsidR="006B3439" w:rsidRPr="006571AC">
        <w:rPr>
          <w:rFonts w:hint="cs"/>
          <w:sz w:val="27"/>
          <w:rtl/>
        </w:rPr>
        <w:t>ّ</w:t>
      </w:r>
      <w:r w:rsidRPr="006571AC">
        <w:rPr>
          <w:rFonts w:hint="cs"/>
          <w:sz w:val="27"/>
          <w:rtl/>
        </w:rPr>
        <w:t xml:space="preserve">، </w:t>
      </w:r>
      <w:r w:rsidRPr="006571AC">
        <w:rPr>
          <w:sz w:val="27"/>
          <w:rtl/>
        </w:rPr>
        <w:t>عن أحمد بن هلال</w:t>
      </w:r>
      <w:r w:rsidRPr="006571AC">
        <w:rPr>
          <w:rFonts w:hint="cs"/>
          <w:sz w:val="27"/>
          <w:rtl/>
        </w:rPr>
        <w:t xml:space="preserve">، </w:t>
      </w:r>
      <w:r w:rsidRPr="006571AC">
        <w:rPr>
          <w:sz w:val="27"/>
          <w:rtl/>
        </w:rPr>
        <w:t>عن الحسن بن محبوب</w:t>
      </w:r>
      <w:r w:rsidRPr="006571AC">
        <w:rPr>
          <w:rFonts w:hint="cs"/>
          <w:sz w:val="27"/>
          <w:rtl/>
        </w:rPr>
        <w:t xml:space="preserve">، </w:t>
      </w:r>
      <w:r w:rsidRPr="006571AC">
        <w:rPr>
          <w:sz w:val="27"/>
          <w:rtl/>
        </w:rPr>
        <w:t>عن عبد</w:t>
      </w:r>
      <w:r w:rsidRPr="006571AC">
        <w:rPr>
          <w:rFonts w:hint="cs"/>
          <w:sz w:val="27"/>
          <w:rtl/>
        </w:rPr>
        <w:t xml:space="preserve"> </w:t>
      </w:r>
      <w:r w:rsidRPr="006571AC">
        <w:rPr>
          <w:sz w:val="27"/>
          <w:rtl/>
        </w:rPr>
        <w:t>الله بن سنان</w:t>
      </w:r>
      <w:r w:rsidRPr="006571AC">
        <w:rPr>
          <w:rFonts w:hint="cs"/>
          <w:sz w:val="27"/>
          <w:rtl/>
        </w:rPr>
        <w:t xml:space="preserve">، </w:t>
      </w:r>
      <w:r w:rsidRPr="006571AC">
        <w:rPr>
          <w:sz w:val="27"/>
          <w:rtl/>
        </w:rPr>
        <w:t xml:space="preserve">عن </w:t>
      </w:r>
      <w:r w:rsidRPr="006571AC">
        <w:rPr>
          <w:rFonts w:hint="cs"/>
          <w:sz w:val="27"/>
          <w:rtl/>
        </w:rPr>
        <w:t>أ</w:t>
      </w:r>
      <w:r w:rsidRPr="006571AC">
        <w:rPr>
          <w:sz w:val="27"/>
          <w:rtl/>
        </w:rPr>
        <w:t>بي عبد</w:t>
      </w:r>
      <w:r w:rsidRPr="006571AC">
        <w:rPr>
          <w:rFonts w:hint="cs"/>
          <w:sz w:val="27"/>
          <w:rtl/>
        </w:rPr>
        <w:t xml:space="preserve"> </w:t>
      </w:r>
      <w:r w:rsidRPr="006571AC">
        <w:rPr>
          <w:sz w:val="27"/>
          <w:rtl/>
        </w:rPr>
        <w:t>الله</w:t>
      </w:r>
      <w:r w:rsidR="002A2C90" w:rsidRPr="006571AC">
        <w:rPr>
          <w:rFonts w:ascii="Mosawi" w:hAnsi="Mosawi" w:cs="Mosawi"/>
          <w:sz w:val="22"/>
          <w:szCs w:val="22"/>
          <w:rtl/>
        </w:rPr>
        <w:t>×</w:t>
      </w:r>
      <w:r w:rsidRPr="006571AC">
        <w:rPr>
          <w:rFonts w:hint="cs"/>
          <w:sz w:val="27"/>
          <w:rtl/>
        </w:rPr>
        <w:t xml:space="preserve"> </w:t>
      </w:r>
      <w:r w:rsidRPr="006571AC">
        <w:rPr>
          <w:sz w:val="27"/>
          <w:rtl/>
        </w:rPr>
        <w:t xml:space="preserve">قال: </w:t>
      </w:r>
      <w:r w:rsidRPr="006571AC">
        <w:rPr>
          <w:rFonts w:hint="eastAsia"/>
          <w:sz w:val="24"/>
          <w:szCs w:val="24"/>
          <w:rtl/>
        </w:rPr>
        <w:t>«</w:t>
      </w:r>
      <w:r w:rsidRPr="006571AC">
        <w:rPr>
          <w:sz w:val="27"/>
          <w:rtl/>
        </w:rPr>
        <w:t>لا</w:t>
      </w:r>
      <w:r w:rsidRPr="006571AC">
        <w:rPr>
          <w:rFonts w:hint="cs"/>
          <w:sz w:val="27"/>
          <w:rtl/>
        </w:rPr>
        <w:t xml:space="preserve"> </w:t>
      </w:r>
      <w:r w:rsidRPr="006571AC">
        <w:rPr>
          <w:sz w:val="27"/>
          <w:rtl/>
        </w:rPr>
        <w:t xml:space="preserve">بأس </w:t>
      </w:r>
      <w:r w:rsidRPr="006571AC">
        <w:rPr>
          <w:rFonts w:hint="cs"/>
          <w:sz w:val="27"/>
          <w:rtl/>
        </w:rPr>
        <w:t>أ</w:t>
      </w:r>
      <w:r w:rsidRPr="006571AC">
        <w:rPr>
          <w:sz w:val="27"/>
          <w:rtl/>
        </w:rPr>
        <w:t>ن يتوض</w:t>
      </w:r>
      <w:r w:rsidR="006B3439" w:rsidRPr="006571AC">
        <w:rPr>
          <w:rFonts w:hint="cs"/>
          <w:sz w:val="27"/>
          <w:rtl/>
        </w:rPr>
        <w:t>ّ</w:t>
      </w:r>
      <w:r w:rsidRPr="006571AC">
        <w:rPr>
          <w:sz w:val="27"/>
          <w:rtl/>
        </w:rPr>
        <w:t>أ بالماء المستعمل</w:t>
      </w:r>
      <w:r w:rsidRPr="006571AC">
        <w:rPr>
          <w:rFonts w:hint="eastAsia"/>
          <w:sz w:val="24"/>
          <w:szCs w:val="24"/>
          <w:rtl/>
        </w:rPr>
        <w:t>»</w:t>
      </w:r>
      <w:r w:rsidRPr="006571AC">
        <w:rPr>
          <w:rFonts w:hint="cs"/>
          <w:sz w:val="27"/>
          <w:rtl/>
        </w:rPr>
        <w:t xml:space="preserve">. </w:t>
      </w:r>
      <w:r w:rsidRPr="006571AC">
        <w:rPr>
          <w:sz w:val="27"/>
          <w:rtl/>
        </w:rPr>
        <w:t xml:space="preserve">وقال: </w:t>
      </w:r>
      <w:r w:rsidRPr="006571AC">
        <w:rPr>
          <w:rFonts w:hint="eastAsia"/>
          <w:sz w:val="24"/>
          <w:szCs w:val="24"/>
          <w:rtl/>
        </w:rPr>
        <w:t>«</w:t>
      </w:r>
      <w:r w:rsidRPr="006571AC">
        <w:rPr>
          <w:sz w:val="27"/>
          <w:rtl/>
        </w:rPr>
        <w:t>الماء الذي يغسل به الثوب أو يغتسل به الرجل من الجنابة</w:t>
      </w:r>
      <w:r w:rsidRPr="006571AC">
        <w:rPr>
          <w:rFonts w:hint="cs"/>
          <w:sz w:val="27"/>
          <w:rtl/>
        </w:rPr>
        <w:t xml:space="preserve"> </w:t>
      </w:r>
      <w:r w:rsidRPr="006571AC">
        <w:rPr>
          <w:sz w:val="27"/>
          <w:rtl/>
        </w:rPr>
        <w:t>لا يجوز أن يتوض</w:t>
      </w:r>
      <w:r w:rsidR="006B3439" w:rsidRPr="006571AC">
        <w:rPr>
          <w:rFonts w:hint="cs"/>
          <w:sz w:val="27"/>
          <w:rtl/>
        </w:rPr>
        <w:t>ّ</w:t>
      </w:r>
      <w:r w:rsidRPr="006571AC">
        <w:rPr>
          <w:sz w:val="27"/>
          <w:rtl/>
        </w:rPr>
        <w:t>أ منه وأشباهه، وأما الماء الذي يتوضأ الرجل به فيغسل به وجهه ويده في ش</w:t>
      </w:r>
      <w:r w:rsidRPr="006571AC">
        <w:rPr>
          <w:rFonts w:hint="cs"/>
          <w:sz w:val="27"/>
          <w:rtl/>
        </w:rPr>
        <w:t>يء</w:t>
      </w:r>
      <w:r w:rsidR="006B3439" w:rsidRPr="006571AC">
        <w:rPr>
          <w:rFonts w:hint="cs"/>
          <w:sz w:val="27"/>
          <w:rtl/>
        </w:rPr>
        <w:t>ٍ</w:t>
      </w:r>
      <w:r w:rsidRPr="006571AC">
        <w:rPr>
          <w:sz w:val="27"/>
          <w:rtl/>
        </w:rPr>
        <w:t xml:space="preserve"> نظيف</w:t>
      </w:r>
      <w:r w:rsidR="006B3439" w:rsidRPr="006571AC">
        <w:rPr>
          <w:rFonts w:hint="cs"/>
          <w:sz w:val="27"/>
          <w:rtl/>
        </w:rPr>
        <w:t>ٍ</w:t>
      </w:r>
      <w:r w:rsidRPr="006571AC">
        <w:rPr>
          <w:rFonts w:hint="cs"/>
          <w:sz w:val="27"/>
          <w:rtl/>
        </w:rPr>
        <w:t xml:space="preserve"> </w:t>
      </w:r>
      <w:r w:rsidRPr="006571AC">
        <w:rPr>
          <w:sz w:val="27"/>
          <w:rtl/>
        </w:rPr>
        <w:t xml:space="preserve">فلا بأس </w:t>
      </w:r>
      <w:r w:rsidRPr="006571AC">
        <w:rPr>
          <w:rFonts w:hint="cs"/>
          <w:sz w:val="27"/>
          <w:rtl/>
        </w:rPr>
        <w:t>أ</w:t>
      </w:r>
      <w:r w:rsidRPr="006571AC">
        <w:rPr>
          <w:sz w:val="27"/>
          <w:rtl/>
        </w:rPr>
        <w:t>ن يأخذه غيره ويتوض</w:t>
      </w:r>
      <w:r w:rsidR="006B3439" w:rsidRPr="006571AC">
        <w:rPr>
          <w:rFonts w:hint="cs"/>
          <w:sz w:val="27"/>
          <w:rtl/>
        </w:rPr>
        <w:t>ّ</w:t>
      </w:r>
      <w:r w:rsidRPr="006571AC">
        <w:rPr>
          <w:sz w:val="27"/>
          <w:rtl/>
        </w:rPr>
        <w:t>أ به</w:t>
      </w:r>
      <w:r w:rsidRPr="006571AC">
        <w:rPr>
          <w:rFonts w:hint="eastAsia"/>
          <w:sz w:val="24"/>
          <w:szCs w:val="24"/>
          <w:rtl/>
        </w:rPr>
        <w:t>»</w:t>
      </w:r>
      <w:r w:rsidRPr="006571AC">
        <w:rPr>
          <w:sz w:val="27"/>
          <w:vertAlign w:val="superscript"/>
          <w:rtl/>
        </w:rPr>
        <w:t>(</w:t>
      </w:r>
      <w:r w:rsidRPr="006571AC">
        <w:rPr>
          <w:rStyle w:val="ac"/>
          <w:sz w:val="27"/>
          <w:rtl/>
        </w:rPr>
        <w:endnoteReference w:id="220"/>
      </w:r>
      <w:r w:rsidRPr="006571AC">
        <w:rPr>
          <w:sz w:val="27"/>
          <w:vertAlign w:val="superscript"/>
          <w:rtl/>
        </w:rPr>
        <w:t>)</w:t>
      </w:r>
      <w:r w:rsidRPr="006571AC">
        <w:rPr>
          <w:sz w:val="27"/>
          <w:rtl/>
        </w:rPr>
        <w:t>،</w:t>
      </w:r>
      <w:r w:rsidRPr="006571AC">
        <w:rPr>
          <w:rFonts w:hint="cs"/>
          <w:sz w:val="27"/>
          <w:rtl/>
        </w:rPr>
        <w:t xml:space="preserve"> في معرض نقد أولئك الذين استفادوا التفصيل بين الح</w:t>
      </w:r>
      <w:r w:rsidR="00EF63DE" w:rsidRPr="006571AC">
        <w:rPr>
          <w:rFonts w:hint="cs"/>
          <w:sz w:val="27"/>
          <w:rtl/>
        </w:rPr>
        <w:t>َ</w:t>
      </w:r>
      <w:r w:rsidRPr="006571AC">
        <w:rPr>
          <w:rFonts w:hint="cs"/>
          <w:sz w:val="27"/>
          <w:rtl/>
        </w:rPr>
        <w:t>د</w:t>
      </w:r>
      <w:r w:rsidR="00EF63DE" w:rsidRPr="006571AC">
        <w:rPr>
          <w:rFonts w:hint="cs"/>
          <w:sz w:val="27"/>
          <w:rtl/>
        </w:rPr>
        <w:t>َ</w:t>
      </w:r>
      <w:r w:rsidRPr="006571AC">
        <w:rPr>
          <w:rFonts w:hint="cs"/>
          <w:sz w:val="27"/>
          <w:rtl/>
        </w:rPr>
        <w:t>ث الأكبر والح</w:t>
      </w:r>
      <w:r w:rsidR="00EF63DE" w:rsidRPr="006571AC">
        <w:rPr>
          <w:rFonts w:hint="cs"/>
          <w:sz w:val="27"/>
          <w:rtl/>
        </w:rPr>
        <w:t>َ</w:t>
      </w:r>
      <w:r w:rsidRPr="006571AC">
        <w:rPr>
          <w:rFonts w:hint="cs"/>
          <w:sz w:val="27"/>
          <w:rtl/>
        </w:rPr>
        <w:t>د</w:t>
      </w:r>
      <w:r w:rsidR="00EF63DE" w:rsidRPr="006571AC">
        <w:rPr>
          <w:rFonts w:hint="cs"/>
          <w:sz w:val="27"/>
          <w:rtl/>
        </w:rPr>
        <w:t>َ</w:t>
      </w:r>
      <w:r w:rsidRPr="006571AC">
        <w:rPr>
          <w:rFonts w:hint="cs"/>
          <w:sz w:val="27"/>
          <w:rtl/>
        </w:rPr>
        <w:t xml:space="preserve">ث الأصغر في جواز الوضوء من سياق المقابلة بين غسل الجنابة والوضوء: </w:t>
      </w:r>
      <w:r w:rsidRPr="006571AC">
        <w:rPr>
          <w:rFonts w:hint="eastAsia"/>
          <w:sz w:val="24"/>
          <w:szCs w:val="24"/>
          <w:rtl/>
        </w:rPr>
        <w:t>«</w:t>
      </w:r>
      <w:r w:rsidRPr="006571AC">
        <w:rPr>
          <w:rFonts w:hint="cs"/>
          <w:sz w:val="27"/>
          <w:rtl/>
        </w:rPr>
        <w:t>من القريب جد</w:t>
      </w:r>
      <w:r w:rsidR="00EF63DE" w:rsidRPr="006571AC">
        <w:rPr>
          <w:rFonts w:hint="cs"/>
          <w:sz w:val="27"/>
          <w:rtl/>
        </w:rPr>
        <w:t>ّ</w:t>
      </w:r>
      <w:r w:rsidRPr="006571AC">
        <w:rPr>
          <w:rFonts w:hint="cs"/>
          <w:sz w:val="27"/>
          <w:rtl/>
        </w:rPr>
        <w:t>اً أن يكون المنع عن التوضّ</w:t>
      </w:r>
      <w:r w:rsidR="00EF63DE" w:rsidRPr="006571AC">
        <w:rPr>
          <w:rFonts w:hint="cs"/>
          <w:sz w:val="27"/>
          <w:rtl/>
        </w:rPr>
        <w:t>ُ</w:t>
      </w:r>
      <w:r w:rsidRPr="006571AC">
        <w:rPr>
          <w:rFonts w:hint="cs"/>
          <w:sz w:val="27"/>
          <w:rtl/>
        </w:rPr>
        <w:t>ؤ بماء الغسل في الرواية، وعن الاغتسال بغسالة الحمّام في غيرها</w:t>
      </w:r>
      <w:r w:rsidR="00EF63DE" w:rsidRPr="006571AC">
        <w:rPr>
          <w:rFonts w:hint="cs"/>
          <w:sz w:val="27"/>
          <w:rtl/>
        </w:rPr>
        <w:t>،</w:t>
      </w:r>
      <w:r w:rsidRPr="006571AC">
        <w:rPr>
          <w:rFonts w:hint="cs"/>
          <w:sz w:val="27"/>
          <w:rtl/>
        </w:rPr>
        <w:t xml:space="preserve"> إنما كان لأجل تلوّ</w:t>
      </w:r>
      <w:r w:rsidR="00EF63DE" w:rsidRPr="006571AC">
        <w:rPr>
          <w:rFonts w:hint="cs"/>
          <w:sz w:val="27"/>
          <w:rtl/>
        </w:rPr>
        <w:t>ُ</w:t>
      </w:r>
      <w:r w:rsidRPr="006571AC">
        <w:rPr>
          <w:rFonts w:hint="cs"/>
          <w:sz w:val="27"/>
          <w:rtl/>
        </w:rPr>
        <w:t>ث بدن الجُنُب بالنجاسة؛ فإن الغالب إزالتها عند الغسل، بخلاف الوضوء في الإناء النظيف، فيكون مقابلة ماء الوضوء له في الرواية من حيث النظافة وعدمها، لا من حيث الاستعمال في رفع الح</w:t>
      </w:r>
      <w:r w:rsidR="00EF63DE" w:rsidRPr="006571AC">
        <w:rPr>
          <w:rFonts w:hint="cs"/>
          <w:sz w:val="27"/>
          <w:rtl/>
        </w:rPr>
        <w:t>َ</w:t>
      </w:r>
      <w:r w:rsidRPr="006571AC">
        <w:rPr>
          <w:rFonts w:hint="cs"/>
          <w:sz w:val="27"/>
          <w:rtl/>
        </w:rPr>
        <w:t>د</w:t>
      </w:r>
      <w:r w:rsidR="00EF63DE" w:rsidRPr="006571AC">
        <w:rPr>
          <w:rFonts w:hint="cs"/>
          <w:sz w:val="27"/>
          <w:rtl/>
        </w:rPr>
        <w:t>َ</w:t>
      </w:r>
      <w:r w:rsidRPr="006571AC">
        <w:rPr>
          <w:rFonts w:hint="cs"/>
          <w:sz w:val="27"/>
          <w:rtl/>
        </w:rPr>
        <w:t>ث الأصغر والأكبر</w:t>
      </w:r>
      <w:r w:rsidRPr="006571AC">
        <w:rPr>
          <w:rFonts w:hint="eastAsia"/>
          <w:sz w:val="24"/>
          <w:szCs w:val="24"/>
          <w:rtl/>
        </w:rPr>
        <w:t>»</w:t>
      </w:r>
      <w:r w:rsidRPr="006571AC">
        <w:rPr>
          <w:sz w:val="27"/>
          <w:vertAlign w:val="superscript"/>
          <w:rtl/>
        </w:rPr>
        <w:t>(</w:t>
      </w:r>
      <w:r w:rsidRPr="006571AC">
        <w:rPr>
          <w:rStyle w:val="ac"/>
          <w:sz w:val="27"/>
          <w:rtl/>
        </w:rPr>
        <w:endnoteReference w:id="221"/>
      </w:r>
      <w:r w:rsidRPr="006571AC">
        <w:rPr>
          <w:sz w:val="27"/>
          <w:vertAlign w:val="superscript"/>
          <w:rtl/>
        </w:rPr>
        <w:t>)</w:t>
      </w:r>
      <w:r w:rsidRPr="006571AC">
        <w:rPr>
          <w:sz w:val="27"/>
          <w:rtl/>
        </w:rPr>
        <w:t>.</w:t>
      </w:r>
      <w:r w:rsidRPr="006571AC">
        <w:rPr>
          <w:rFonts w:hint="cs"/>
          <w:sz w:val="27"/>
          <w:rtl/>
        </w:rPr>
        <w:t xml:space="preserve"> إن التدقيق في كلام صاحب الكفاية يثبت أنه يرى أن الماء المستعمل في غسل الجنابة مثال</w:t>
      </w:r>
      <w:r w:rsidR="00EF63DE" w:rsidRPr="006571AC">
        <w:rPr>
          <w:rFonts w:hint="cs"/>
          <w:sz w:val="27"/>
          <w:rtl/>
        </w:rPr>
        <w:t>ٌ</w:t>
      </w:r>
      <w:r w:rsidRPr="006571AC">
        <w:rPr>
          <w:rFonts w:hint="cs"/>
          <w:sz w:val="27"/>
          <w:rtl/>
        </w:rPr>
        <w:t xml:space="preserve"> للماء النجس، والماء المستعمل للوضوء في الإناء النظيف مثال</w:t>
      </w:r>
      <w:r w:rsidR="00EF63DE" w:rsidRPr="006571AC">
        <w:rPr>
          <w:rFonts w:hint="cs"/>
          <w:sz w:val="27"/>
          <w:rtl/>
        </w:rPr>
        <w:t>ٌ</w:t>
      </w:r>
      <w:r w:rsidRPr="006571AC">
        <w:rPr>
          <w:rFonts w:hint="cs"/>
          <w:sz w:val="27"/>
          <w:rtl/>
        </w:rPr>
        <w:t xml:space="preserve"> للماء الطاهر. وعليه فإن هذين الما</w:t>
      </w:r>
      <w:r w:rsidR="00EF63DE" w:rsidRPr="006571AC">
        <w:rPr>
          <w:rFonts w:hint="cs"/>
          <w:sz w:val="27"/>
          <w:rtl/>
        </w:rPr>
        <w:t>ءَ</w:t>
      </w:r>
      <w:r w:rsidRPr="006571AC">
        <w:rPr>
          <w:rFonts w:hint="cs"/>
          <w:sz w:val="27"/>
          <w:rtl/>
        </w:rPr>
        <w:t>ي</w:t>
      </w:r>
      <w:r w:rsidR="00EF63DE" w:rsidRPr="006571AC">
        <w:rPr>
          <w:rFonts w:hint="cs"/>
          <w:sz w:val="27"/>
          <w:rtl/>
        </w:rPr>
        <w:t>ْ</w:t>
      </w:r>
      <w:r w:rsidRPr="006571AC">
        <w:rPr>
          <w:rFonts w:hint="cs"/>
          <w:sz w:val="27"/>
          <w:rtl/>
        </w:rPr>
        <w:t xml:space="preserve">ن هما الطرف في سياق المقابلة، وإن تفصيل الحكم يقوم على أساسهما. وأما ما </w:t>
      </w:r>
      <w:r w:rsidRPr="006571AC">
        <w:rPr>
          <w:rFonts w:hint="cs"/>
          <w:sz w:val="27"/>
          <w:rtl/>
        </w:rPr>
        <w:lastRenderedPageBreak/>
        <w:t>ذكر في الكلام فهو مجر</w:t>
      </w:r>
      <w:r w:rsidR="00027B44" w:rsidRPr="006571AC">
        <w:rPr>
          <w:rFonts w:hint="cs"/>
          <w:sz w:val="27"/>
          <w:rtl/>
        </w:rPr>
        <w:t>ّ</w:t>
      </w:r>
      <w:r w:rsidRPr="006571AC">
        <w:rPr>
          <w:rFonts w:hint="cs"/>
          <w:sz w:val="27"/>
          <w:rtl/>
        </w:rPr>
        <w:t>د مثال</w:t>
      </w:r>
      <w:r w:rsidR="00027B44" w:rsidRPr="006571AC">
        <w:rPr>
          <w:rFonts w:hint="cs"/>
          <w:sz w:val="27"/>
          <w:rtl/>
        </w:rPr>
        <w:t>ٍ</w:t>
      </w:r>
      <w:r w:rsidRPr="006571AC">
        <w:rPr>
          <w:rFonts w:hint="cs"/>
          <w:sz w:val="27"/>
          <w:rtl/>
        </w:rPr>
        <w:t xml:space="preserve">، وليس طرفاً حقيقياً في سياق المقابلة. </w:t>
      </w:r>
    </w:p>
    <w:p w:rsidR="00127CAB" w:rsidRPr="006571AC" w:rsidRDefault="00127CAB" w:rsidP="00127CAB">
      <w:pPr>
        <w:spacing w:line="420" w:lineRule="exact"/>
        <w:rPr>
          <w:sz w:val="27"/>
          <w:rtl/>
        </w:rPr>
      </w:pPr>
    </w:p>
    <w:p w:rsidR="00A75C8B" w:rsidRPr="006571AC" w:rsidRDefault="00083599" w:rsidP="009C29A7">
      <w:pPr>
        <w:pStyle w:val="31"/>
        <w:rPr>
          <w:color w:val="auto"/>
        </w:rPr>
      </w:pPr>
      <w:bookmarkStart w:id="106" w:name="_Toc114164595"/>
      <w:r w:rsidRPr="006571AC">
        <w:rPr>
          <w:rFonts w:hint="cs"/>
          <w:color w:val="auto"/>
          <w:rtl/>
        </w:rPr>
        <w:t>ب ـ</w:t>
      </w:r>
      <w:r w:rsidR="00A75C8B" w:rsidRPr="006571AC">
        <w:rPr>
          <w:rFonts w:hint="cs"/>
          <w:color w:val="auto"/>
          <w:rtl/>
        </w:rPr>
        <w:t xml:space="preserve"> إحراز حدود قريني</w:t>
      </w:r>
      <w:r w:rsidR="00027B44" w:rsidRPr="006571AC">
        <w:rPr>
          <w:rFonts w:hint="cs"/>
          <w:color w:val="auto"/>
          <w:rtl/>
        </w:rPr>
        <w:t>ّ</w:t>
      </w:r>
      <w:r w:rsidR="00A75C8B" w:rsidRPr="006571AC">
        <w:rPr>
          <w:rFonts w:hint="cs"/>
          <w:color w:val="auto"/>
          <w:rtl/>
        </w:rPr>
        <w:t>ة السياق</w:t>
      </w:r>
      <w:bookmarkEnd w:id="106"/>
    </w:p>
    <w:p w:rsidR="00A75C8B" w:rsidRPr="006571AC" w:rsidRDefault="00A75C8B" w:rsidP="00C95139">
      <w:pPr>
        <w:rPr>
          <w:sz w:val="27"/>
          <w:rtl/>
        </w:rPr>
      </w:pPr>
      <w:r w:rsidRPr="006571AC">
        <w:rPr>
          <w:rFonts w:hint="cs"/>
          <w:sz w:val="27"/>
          <w:rtl/>
        </w:rPr>
        <w:t>إن من النقاط الهامّة جداً في استعمال القرينة معرفة حدود دلالتها</w:t>
      </w:r>
      <w:r w:rsidR="00027B44" w:rsidRPr="006571AC">
        <w:rPr>
          <w:rFonts w:hint="cs"/>
          <w:sz w:val="27"/>
          <w:rtl/>
        </w:rPr>
        <w:t>؛</w:t>
      </w:r>
      <w:r w:rsidRPr="006571AC">
        <w:rPr>
          <w:rFonts w:hint="cs"/>
          <w:sz w:val="27"/>
          <w:rtl/>
        </w:rPr>
        <w:t xml:space="preserve"> كي لا يتمّ اعتبار الأمر الذي لا يُستفاد من القرينة ضمن دائرة تلك القرينة لا شعورياً. </w:t>
      </w:r>
      <w:r w:rsidR="00027B44" w:rsidRPr="006571AC">
        <w:rPr>
          <w:rFonts w:hint="cs"/>
          <w:sz w:val="27"/>
          <w:rtl/>
        </w:rPr>
        <w:t>و</w:t>
      </w:r>
      <w:r w:rsidRPr="006571AC">
        <w:rPr>
          <w:rFonts w:hint="cs"/>
          <w:sz w:val="27"/>
          <w:rtl/>
        </w:rPr>
        <w:t xml:space="preserve">من ذلك أن سياق المقابلة يقتضي ـ على سبيل المثال ـ أن يكون الطرفان في </w:t>
      </w:r>
      <w:r w:rsidR="003C2639" w:rsidRPr="006571AC">
        <w:rPr>
          <w:rFonts w:hint="cs"/>
          <w:sz w:val="27"/>
          <w:rtl/>
        </w:rPr>
        <w:t>مقابل</w:t>
      </w:r>
      <w:r w:rsidRPr="006571AC">
        <w:rPr>
          <w:rFonts w:hint="cs"/>
          <w:sz w:val="27"/>
          <w:rtl/>
        </w:rPr>
        <w:t xml:space="preserve"> بعضهما، وأما أن يكون هذا التقابل على أساس أيّ شيء</w:t>
      </w:r>
      <w:r w:rsidR="00027B44" w:rsidRPr="006571AC">
        <w:rPr>
          <w:rFonts w:hint="cs"/>
          <w:sz w:val="27"/>
          <w:rtl/>
        </w:rPr>
        <w:t>ٍ</w:t>
      </w:r>
      <w:r w:rsidRPr="006571AC">
        <w:rPr>
          <w:rFonts w:hint="cs"/>
          <w:sz w:val="27"/>
          <w:rtl/>
        </w:rPr>
        <w:t xml:space="preserve"> فهذا ما لا تدلّ عليه قرينة السياق. وكذلك سياق الضمنية يقتضي أن تكون المسألة بحيث تنسجم ضمناً مع المسألة الأخرى، وأما ما هي هذه المسألة التي تنسجم معها فهذا ما لا تدلّ عليه قرينة السياق. وذات هذا الأمر بع</w:t>
      </w:r>
      <w:r w:rsidR="00731995" w:rsidRPr="006571AC">
        <w:rPr>
          <w:rFonts w:hint="cs"/>
          <w:sz w:val="27"/>
          <w:rtl/>
        </w:rPr>
        <w:t>َ</w:t>
      </w:r>
      <w:r w:rsidRPr="006571AC">
        <w:rPr>
          <w:rFonts w:hint="cs"/>
          <w:sz w:val="27"/>
          <w:rtl/>
        </w:rPr>
        <w:t>ي</w:t>
      </w:r>
      <w:r w:rsidR="00731995" w:rsidRPr="006571AC">
        <w:rPr>
          <w:rFonts w:hint="cs"/>
          <w:sz w:val="27"/>
          <w:rtl/>
        </w:rPr>
        <w:t>ْ</w:t>
      </w:r>
      <w:r w:rsidRPr="006571AC">
        <w:rPr>
          <w:rFonts w:hint="cs"/>
          <w:sz w:val="27"/>
          <w:rtl/>
        </w:rPr>
        <w:t xml:space="preserve">نه يجري بالنسبة إلى سائر أقسام السياق الأخرى. </w:t>
      </w:r>
    </w:p>
    <w:p w:rsidR="00E83C22" w:rsidRPr="006571AC" w:rsidRDefault="00A75C8B" w:rsidP="00C95139">
      <w:pPr>
        <w:rPr>
          <w:rtl/>
        </w:rPr>
      </w:pPr>
      <w:r w:rsidRPr="006571AC">
        <w:rPr>
          <w:rFonts w:hint="cs"/>
          <w:sz w:val="27"/>
          <w:rtl/>
        </w:rPr>
        <w:t>إن الشيخ الأنصاري</w:t>
      </w:r>
      <w:r w:rsidR="002A2C90" w:rsidRPr="006571AC">
        <w:rPr>
          <w:rFonts w:ascii="Mosawi" w:hAnsi="Mosawi" w:cs="Mosawi"/>
          <w:sz w:val="22"/>
          <w:szCs w:val="22"/>
          <w:rtl/>
        </w:rPr>
        <w:t>&amp;</w:t>
      </w:r>
      <w:r w:rsidR="00027B44" w:rsidRPr="006571AC">
        <w:rPr>
          <w:rFonts w:hint="cs"/>
          <w:sz w:val="27"/>
          <w:rtl/>
        </w:rPr>
        <w:t>،</w:t>
      </w:r>
      <w:r w:rsidRPr="006571AC">
        <w:rPr>
          <w:rFonts w:hint="cs"/>
          <w:sz w:val="27"/>
          <w:rtl/>
        </w:rPr>
        <w:t xml:space="preserve"> ضمن بحث مانعية الحائل الزجاجي من ات</w:t>
      </w:r>
      <w:r w:rsidR="00027B44" w:rsidRPr="006571AC">
        <w:rPr>
          <w:rFonts w:hint="cs"/>
          <w:sz w:val="27"/>
          <w:rtl/>
        </w:rPr>
        <w:t>ّ</w:t>
      </w:r>
      <w:r w:rsidRPr="006571AC">
        <w:rPr>
          <w:rFonts w:hint="cs"/>
          <w:sz w:val="27"/>
          <w:rtl/>
        </w:rPr>
        <w:t>صال المأموم بالإمام، رفض المانعية، وأشار في الأثناء إلى هذه النقطة. إن إحدى أهم</w:t>
      </w:r>
      <w:r w:rsidR="00027B44" w:rsidRPr="006571AC">
        <w:rPr>
          <w:rFonts w:hint="cs"/>
          <w:sz w:val="27"/>
          <w:rtl/>
        </w:rPr>
        <w:t>ّ</w:t>
      </w:r>
      <w:r w:rsidRPr="006571AC">
        <w:rPr>
          <w:rFonts w:hint="cs"/>
          <w:sz w:val="27"/>
          <w:rtl/>
        </w:rPr>
        <w:t xml:space="preserve"> مستندات مانعية الحائل في صلاة الجماعة</w:t>
      </w:r>
      <w:r w:rsidR="00027B44" w:rsidRPr="006571AC">
        <w:rPr>
          <w:rFonts w:hint="cs"/>
          <w:sz w:val="27"/>
          <w:rtl/>
        </w:rPr>
        <w:t xml:space="preserve"> </w:t>
      </w:r>
      <w:r w:rsidRPr="006571AC">
        <w:rPr>
          <w:rFonts w:hint="cs"/>
          <w:sz w:val="27"/>
          <w:rtl/>
        </w:rPr>
        <w:t>صحيحة زرارة؛ إذ يقول فيها: عن أبي جعفر</w:t>
      </w:r>
      <w:r w:rsidR="002A2C90" w:rsidRPr="006571AC">
        <w:rPr>
          <w:rFonts w:ascii="Mosawi" w:hAnsi="Mosawi" w:cs="Mosawi"/>
          <w:sz w:val="22"/>
          <w:szCs w:val="22"/>
          <w:rtl/>
        </w:rPr>
        <w:t>×</w:t>
      </w:r>
      <w:r w:rsidRPr="006571AC">
        <w:rPr>
          <w:rFonts w:hint="cs"/>
          <w:sz w:val="27"/>
          <w:rtl/>
        </w:rPr>
        <w:t xml:space="preserve"> قال: </w:t>
      </w:r>
      <w:r w:rsidRPr="006571AC">
        <w:rPr>
          <w:rFonts w:hint="eastAsia"/>
          <w:sz w:val="24"/>
          <w:szCs w:val="24"/>
          <w:rtl/>
        </w:rPr>
        <w:t>«</w:t>
      </w:r>
      <w:r w:rsidRPr="006571AC">
        <w:rPr>
          <w:rFonts w:hint="cs"/>
          <w:sz w:val="27"/>
          <w:rtl/>
        </w:rPr>
        <w:t>إن</w:t>
      </w:r>
      <w:r w:rsidR="00027B44" w:rsidRPr="006571AC">
        <w:rPr>
          <w:rFonts w:hint="cs"/>
          <w:sz w:val="27"/>
          <w:rtl/>
        </w:rPr>
        <w:t>ْ</w:t>
      </w:r>
      <w:r w:rsidRPr="006571AC">
        <w:rPr>
          <w:rFonts w:hint="cs"/>
          <w:sz w:val="27"/>
          <w:rtl/>
        </w:rPr>
        <w:t xml:space="preserve"> صلى قوم</w:t>
      </w:r>
      <w:r w:rsidR="00027B44" w:rsidRPr="006571AC">
        <w:rPr>
          <w:rFonts w:hint="cs"/>
          <w:sz w:val="27"/>
          <w:rtl/>
        </w:rPr>
        <w:t>ٌ</w:t>
      </w:r>
      <w:r w:rsidRPr="006571AC">
        <w:rPr>
          <w:rFonts w:hint="cs"/>
          <w:sz w:val="27"/>
          <w:rtl/>
        </w:rPr>
        <w:t xml:space="preserve"> وبينهم وبين الإمام ما لا يُتخطّى فليس ذلك الإمام لهم بإمام... فإن</w:t>
      </w:r>
      <w:r w:rsidR="00027B44" w:rsidRPr="006571AC">
        <w:rPr>
          <w:rFonts w:hint="cs"/>
          <w:sz w:val="27"/>
          <w:rtl/>
        </w:rPr>
        <w:t>ْ</w:t>
      </w:r>
      <w:r w:rsidRPr="006571AC">
        <w:rPr>
          <w:rFonts w:hint="cs"/>
          <w:sz w:val="27"/>
          <w:rtl/>
        </w:rPr>
        <w:t xml:space="preserve"> كان بينهم سُت</w:t>
      </w:r>
      <w:r w:rsidR="00027B44" w:rsidRPr="006571AC">
        <w:rPr>
          <w:rFonts w:hint="cs"/>
          <w:sz w:val="27"/>
          <w:rtl/>
        </w:rPr>
        <w:t>ْ</w:t>
      </w:r>
      <w:r w:rsidRPr="006571AC">
        <w:rPr>
          <w:rFonts w:hint="cs"/>
          <w:sz w:val="27"/>
          <w:rtl/>
        </w:rPr>
        <w:t>ر</w:t>
      </w:r>
      <w:r w:rsidR="00027B44" w:rsidRPr="006571AC">
        <w:rPr>
          <w:rFonts w:hint="cs"/>
          <w:sz w:val="27"/>
          <w:rtl/>
        </w:rPr>
        <w:t>َ</w:t>
      </w:r>
      <w:r w:rsidRPr="006571AC">
        <w:rPr>
          <w:rFonts w:hint="cs"/>
          <w:sz w:val="27"/>
          <w:rtl/>
        </w:rPr>
        <w:t>ة أو جدار</w:t>
      </w:r>
      <w:r w:rsidR="00027B44" w:rsidRPr="006571AC">
        <w:rPr>
          <w:rFonts w:hint="cs"/>
          <w:sz w:val="27"/>
          <w:rtl/>
        </w:rPr>
        <w:t>ٌ</w:t>
      </w:r>
      <w:r w:rsidRPr="006571AC">
        <w:rPr>
          <w:rFonts w:hint="cs"/>
          <w:sz w:val="27"/>
          <w:rtl/>
        </w:rPr>
        <w:t xml:space="preserve"> فليست تلك لهم بصلاة</w:t>
      </w:r>
      <w:r w:rsidR="00027B44" w:rsidRPr="006571AC">
        <w:rPr>
          <w:rFonts w:hint="cs"/>
          <w:sz w:val="27"/>
          <w:rtl/>
        </w:rPr>
        <w:t>ٍ</w:t>
      </w:r>
      <w:r w:rsidRPr="006571AC">
        <w:rPr>
          <w:rFonts w:hint="cs"/>
          <w:sz w:val="27"/>
          <w:rtl/>
        </w:rPr>
        <w:t>، إلا</w:t>
      </w:r>
      <w:r w:rsidR="00027B44" w:rsidRPr="006571AC">
        <w:rPr>
          <w:rFonts w:hint="cs"/>
          <w:sz w:val="27"/>
          <w:rtl/>
        </w:rPr>
        <w:t>ّ</w:t>
      </w:r>
      <w:r w:rsidRPr="006571AC">
        <w:rPr>
          <w:rFonts w:hint="cs"/>
          <w:sz w:val="27"/>
          <w:rtl/>
        </w:rPr>
        <w:t xml:space="preserve"> مَن</w:t>
      </w:r>
      <w:r w:rsidR="00027B44" w:rsidRPr="006571AC">
        <w:rPr>
          <w:rFonts w:hint="cs"/>
          <w:sz w:val="27"/>
          <w:rtl/>
        </w:rPr>
        <w:t>ْ كان من حيال الباب...</w:t>
      </w:r>
      <w:r w:rsidRPr="006571AC">
        <w:rPr>
          <w:rFonts w:hint="eastAsia"/>
          <w:sz w:val="24"/>
          <w:szCs w:val="24"/>
          <w:rtl/>
        </w:rPr>
        <w:t>»</w:t>
      </w:r>
      <w:r w:rsidRPr="006571AC">
        <w:rPr>
          <w:sz w:val="27"/>
          <w:vertAlign w:val="superscript"/>
          <w:rtl/>
        </w:rPr>
        <w:t>(</w:t>
      </w:r>
      <w:r w:rsidRPr="006571AC">
        <w:rPr>
          <w:rStyle w:val="ac"/>
          <w:sz w:val="27"/>
          <w:rtl/>
        </w:rPr>
        <w:endnoteReference w:id="222"/>
      </w:r>
      <w:r w:rsidRPr="006571AC">
        <w:rPr>
          <w:sz w:val="27"/>
          <w:vertAlign w:val="superscript"/>
          <w:rtl/>
        </w:rPr>
        <w:t>)</w:t>
      </w:r>
      <w:r w:rsidRPr="006571AC">
        <w:rPr>
          <w:sz w:val="27"/>
          <w:rtl/>
        </w:rPr>
        <w:t>،</w:t>
      </w:r>
      <w:r w:rsidRPr="006571AC">
        <w:rPr>
          <w:rFonts w:hint="cs"/>
          <w:sz w:val="27"/>
          <w:rtl/>
        </w:rPr>
        <w:t xml:space="preserve"> حيث هناك سياق المقابلة في فقرة (سُترة أو جدار). وقد نوّ</w:t>
      </w:r>
      <w:r w:rsidR="00027B44" w:rsidRPr="006571AC">
        <w:rPr>
          <w:rFonts w:hint="cs"/>
          <w:sz w:val="27"/>
          <w:rtl/>
        </w:rPr>
        <w:t>َ</w:t>
      </w:r>
      <w:r w:rsidRPr="006571AC">
        <w:rPr>
          <w:rFonts w:hint="cs"/>
          <w:sz w:val="27"/>
          <w:rtl/>
        </w:rPr>
        <w:t>ه الشيخ الأنصاري</w:t>
      </w:r>
      <w:r w:rsidR="002A2C90" w:rsidRPr="006571AC">
        <w:rPr>
          <w:rFonts w:ascii="Mosawi" w:hAnsi="Mosawi" w:cs="Mosawi"/>
          <w:sz w:val="22"/>
          <w:szCs w:val="22"/>
          <w:rtl/>
        </w:rPr>
        <w:t>&amp;</w:t>
      </w:r>
      <w:r w:rsidRPr="006571AC">
        <w:rPr>
          <w:rFonts w:hint="cs"/>
          <w:sz w:val="27"/>
          <w:rtl/>
        </w:rPr>
        <w:t xml:space="preserve"> قائلاً: لا يذهبنّ بكم الظن</w:t>
      </w:r>
      <w:r w:rsidR="00027B44" w:rsidRPr="006571AC">
        <w:rPr>
          <w:rFonts w:hint="cs"/>
          <w:sz w:val="27"/>
          <w:rtl/>
        </w:rPr>
        <w:t>ّ</w:t>
      </w:r>
      <w:r w:rsidRPr="006571AC">
        <w:rPr>
          <w:rFonts w:hint="cs"/>
          <w:sz w:val="27"/>
          <w:rtl/>
        </w:rPr>
        <w:t xml:space="preserve"> إلى القول بأن إطلاق الجدار يمكن التمسّ</w:t>
      </w:r>
      <w:r w:rsidR="00027B44" w:rsidRPr="006571AC">
        <w:rPr>
          <w:rFonts w:hint="cs"/>
          <w:sz w:val="27"/>
          <w:rtl/>
        </w:rPr>
        <w:t>ُ</w:t>
      </w:r>
      <w:r w:rsidRPr="006571AC">
        <w:rPr>
          <w:rFonts w:hint="cs"/>
          <w:sz w:val="27"/>
          <w:rtl/>
        </w:rPr>
        <w:t xml:space="preserve">ك به لشمول المانعية حتى بالنسبة إلى الجدار الزجاجي أيضاً. وقال في مقام بيان علّة عدم جواز التمسّك بالإطلاق: </w:t>
      </w:r>
      <w:r w:rsidRPr="006571AC">
        <w:rPr>
          <w:rFonts w:hint="eastAsia"/>
          <w:sz w:val="24"/>
          <w:szCs w:val="24"/>
          <w:rtl/>
        </w:rPr>
        <w:t>«</w:t>
      </w:r>
      <w:r w:rsidRPr="006571AC">
        <w:rPr>
          <w:rFonts w:hint="cs"/>
          <w:sz w:val="27"/>
          <w:rtl/>
        </w:rPr>
        <w:t>إ</w:t>
      </w:r>
      <w:r w:rsidRPr="006571AC">
        <w:rPr>
          <w:sz w:val="27"/>
          <w:rtl/>
        </w:rPr>
        <w:t>ن جعل الجدار مقابلا</w:t>
      </w:r>
      <w:r w:rsidRPr="006571AC">
        <w:rPr>
          <w:rFonts w:hint="cs"/>
          <w:sz w:val="27"/>
          <w:rtl/>
        </w:rPr>
        <w:t>ً</w:t>
      </w:r>
      <w:r w:rsidRPr="006571AC">
        <w:rPr>
          <w:sz w:val="27"/>
          <w:rtl/>
        </w:rPr>
        <w:t xml:space="preserve"> للسترة </w:t>
      </w:r>
      <w:r w:rsidRPr="006571AC">
        <w:rPr>
          <w:rFonts w:hint="cs"/>
          <w:sz w:val="27"/>
          <w:rtl/>
        </w:rPr>
        <w:t>إ</w:t>
      </w:r>
      <w:r w:rsidRPr="006571AC">
        <w:rPr>
          <w:sz w:val="27"/>
          <w:rtl/>
        </w:rPr>
        <w:t>نما هو باعتبار ذات الساتر</w:t>
      </w:r>
      <w:r w:rsidRPr="006571AC">
        <w:rPr>
          <w:rFonts w:hint="cs"/>
          <w:sz w:val="27"/>
          <w:rtl/>
        </w:rPr>
        <w:t xml:space="preserve">؛ </w:t>
      </w:r>
      <w:r w:rsidRPr="006571AC">
        <w:rPr>
          <w:sz w:val="27"/>
          <w:rtl/>
        </w:rPr>
        <w:t xml:space="preserve">بمعنى </w:t>
      </w:r>
      <w:r w:rsidRPr="006571AC">
        <w:rPr>
          <w:rFonts w:hint="cs"/>
          <w:sz w:val="27"/>
          <w:rtl/>
        </w:rPr>
        <w:t>أ</w:t>
      </w:r>
      <w:r w:rsidRPr="006571AC">
        <w:rPr>
          <w:sz w:val="27"/>
          <w:rtl/>
        </w:rPr>
        <w:t>ن الساتر قد يكون</w:t>
      </w:r>
      <w:r w:rsidRPr="006571AC">
        <w:rPr>
          <w:rFonts w:hint="cs"/>
          <w:sz w:val="27"/>
          <w:rtl/>
        </w:rPr>
        <w:t xml:space="preserve"> </w:t>
      </w:r>
      <w:r w:rsidRPr="006571AC">
        <w:rPr>
          <w:sz w:val="27"/>
          <w:rtl/>
        </w:rPr>
        <w:t>جدارا</w:t>
      </w:r>
      <w:r w:rsidRPr="006571AC">
        <w:rPr>
          <w:rFonts w:hint="cs"/>
          <w:sz w:val="27"/>
          <w:rtl/>
        </w:rPr>
        <w:t>ً</w:t>
      </w:r>
      <w:r w:rsidRPr="006571AC">
        <w:rPr>
          <w:sz w:val="27"/>
          <w:rtl/>
        </w:rPr>
        <w:t xml:space="preserve"> وقد يكون غيره</w:t>
      </w:r>
      <w:r w:rsidRPr="006571AC">
        <w:rPr>
          <w:rFonts w:hint="cs"/>
          <w:sz w:val="27"/>
          <w:rtl/>
        </w:rPr>
        <w:t xml:space="preserve">، </w:t>
      </w:r>
      <w:r w:rsidRPr="006571AC">
        <w:rPr>
          <w:sz w:val="27"/>
          <w:rtl/>
        </w:rPr>
        <w:t xml:space="preserve">لا باعتبار </w:t>
      </w:r>
      <w:r w:rsidRPr="006571AC">
        <w:rPr>
          <w:rFonts w:hint="cs"/>
          <w:sz w:val="27"/>
          <w:rtl/>
        </w:rPr>
        <w:t>أ</w:t>
      </w:r>
      <w:r w:rsidRPr="006571AC">
        <w:rPr>
          <w:sz w:val="27"/>
          <w:rtl/>
        </w:rPr>
        <w:t>صل الستر</w:t>
      </w:r>
      <w:r w:rsidRPr="006571AC">
        <w:rPr>
          <w:rFonts w:hint="cs"/>
          <w:sz w:val="27"/>
          <w:rtl/>
        </w:rPr>
        <w:t xml:space="preserve">، </w:t>
      </w:r>
      <w:r w:rsidRPr="006571AC">
        <w:rPr>
          <w:sz w:val="27"/>
          <w:rtl/>
        </w:rPr>
        <w:t>فحينئذ</w:t>
      </w:r>
      <w:r w:rsidR="00027B44" w:rsidRPr="006571AC">
        <w:rPr>
          <w:rFonts w:hint="cs"/>
          <w:sz w:val="27"/>
          <w:rtl/>
        </w:rPr>
        <w:t>ٍ</w:t>
      </w:r>
      <w:r w:rsidRPr="006571AC">
        <w:rPr>
          <w:sz w:val="27"/>
          <w:rtl/>
        </w:rPr>
        <w:t xml:space="preserve"> يعتبر في مانعية الستر كغيره</w:t>
      </w:r>
      <w:r w:rsidRPr="006571AC">
        <w:rPr>
          <w:rFonts w:hint="cs"/>
          <w:sz w:val="27"/>
          <w:rtl/>
        </w:rPr>
        <w:t xml:space="preserve">. </w:t>
      </w:r>
      <w:r w:rsidRPr="006571AC">
        <w:rPr>
          <w:sz w:val="27"/>
          <w:rtl/>
        </w:rPr>
        <w:t>فالجدار المصنوع من الزجاج بحيث ي</w:t>
      </w:r>
      <w:r w:rsidR="00366F7C" w:rsidRPr="006571AC">
        <w:rPr>
          <w:rFonts w:hint="cs"/>
          <w:sz w:val="27"/>
          <w:rtl/>
        </w:rPr>
        <w:t>ُ</w:t>
      </w:r>
      <w:r w:rsidRPr="006571AC">
        <w:rPr>
          <w:sz w:val="27"/>
          <w:rtl/>
        </w:rPr>
        <w:t>شاه</w:t>
      </w:r>
      <w:r w:rsidR="00366F7C" w:rsidRPr="006571AC">
        <w:rPr>
          <w:rFonts w:hint="cs"/>
          <w:sz w:val="27"/>
          <w:rtl/>
        </w:rPr>
        <w:t>َ</w:t>
      </w:r>
      <w:r w:rsidRPr="006571AC">
        <w:rPr>
          <w:sz w:val="27"/>
          <w:rtl/>
        </w:rPr>
        <w:t>د م</w:t>
      </w:r>
      <w:r w:rsidR="00366F7C" w:rsidRPr="006571AC">
        <w:rPr>
          <w:rFonts w:hint="cs"/>
          <w:sz w:val="27"/>
          <w:rtl/>
        </w:rPr>
        <w:t>َ</w:t>
      </w:r>
      <w:r w:rsidRPr="006571AC">
        <w:rPr>
          <w:sz w:val="27"/>
          <w:rtl/>
        </w:rPr>
        <w:t>ن</w:t>
      </w:r>
      <w:r w:rsidR="00366F7C" w:rsidRPr="006571AC">
        <w:rPr>
          <w:rFonts w:hint="cs"/>
          <w:sz w:val="27"/>
          <w:rtl/>
        </w:rPr>
        <w:t>ْ</w:t>
      </w:r>
      <w:r w:rsidRPr="006571AC">
        <w:rPr>
          <w:sz w:val="27"/>
          <w:rtl/>
        </w:rPr>
        <w:t xml:space="preserve"> خلفه لا بأس به على ال</w:t>
      </w:r>
      <w:r w:rsidRPr="006571AC">
        <w:rPr>
          <w:rFonts w:hint="cs"/>
          <w:sz w:val="27"/>
          <w:rtl/>
        </w:rPr>
        <w:t>أ</w:t>
      </w:r>
      <w:r w:rsidRPr="006571AC">
        <w:rPr>
          <w:sz w:val="27"/>
          <w:rtl/>
        </w:rPr>
        <w:t>قوى</w:t>
      </w:r>
      <w:r w:rsidRPr="006571AC">
        <w:rPr>
          <w:rFonts w:hint="eastAsia"/>
          <w:sz w:val="24"/>
          <w:szCs w:val="24"/>
          <w:rtl/>
        </w:rPr>
        <w:t>»</w:t>
      </w:r>
      <w:r w:rsidRPr="006571AC">
        <w:rPr>
          <w:sz w:val="27"/>
          <w:vertAlign w:val="superscript"/>
          <w:rtl/>
        </w:rPr>
        <w:t>(</w:t>
      </w:r>
      <w:r w:rsidRPr="006571AC">
        <w:rPr>
          <w:rStyle w:val="ac"/>
          <w:sz w:val="27"/>
          <w:rtl/>
        </w:rPr>
        <w:endnoteReference w:id="223"/>
      </w:r>
      <w:r w:rsidRPr="006571AC">
        <w:rPr>
          <w:sz w:val="27"/>
          <w:vertAlign w:val="superscript"/>
          <w:rtl/>
        </w:rPr>
        <w:t>)</w:t>
      </w:r>
      <w:r w:rsidRPr="006571AC">
        <w:rPr>
          <w:sz w:val="27"/>
          <w:rtl/>
        </w:rPr>
        <w:t>.</w:t>
      </w:r>
      <w:r w:rsidRPr="006571AC">
        <w:rPr>
          <w:rFonts w:hint="cs"/>
          <w:sz w:val="27"/>
          <w:rtl/>
        </w:rPr>
        <w:t xml:space="preserve"> وخلاصة كلامه</w:t>
      </w:r>
      <w:r w:rsidR="00366F7C" w:rsidRPr="006571AC">
        <w:rPr>
          <w:rFonts w:hint="cs"/>
          <w:sz w:val="27"/>
          <w:rtl/>
        </w:rPr>
        <w:t>:</w:t>
      </w:r>
      <w:r w:rsidRPr="006571AC">
        <w:rPr>
          <w:rFonts w:hint="cs"/>
          <w:sz w:val="27"/>
          <w:rtl/>
        </w:rPr>
        <w:t xml:space="preserve"> </w:t>
      </w:r>
      <w:r w:rsidR="00366F7C" w:rsidRPr="006571AC">
        <w:rPr>
          <w:rFonts w:hint="cs"/>
          <w:sz w:val="27"/>
          <w:rtl/>
        </w:rPr>
        <w:t>إ</w:t>
      </w:r>
      <w:r w:rsidRPr="006571AC">
        <w:rPr>
          <w:rFonts w:hint="cs"/>
          <w:sz w:val="27"/>
          <w:rtl/>
        </w:rPr>
        <w:t>ن الذي يقتضيه سياق المقابلة هو أن الجدار في مقابل السترة. إن الذي يتمسّك بالإطلاق يرى أن التقابل بينهما يكمن في أصل الحائلية، وكأن</w:t>
      </w:r>
      <w:r w:rsidR="00366F7C" w:rsidRPr="006571AC">
        <w:rPr>
          <w:rFonts w:hint="cs"/>
          <w:sz w:val="27"/>
          <w:rtl/>
        </w:rPr>
        <w:t>ّ</w:t>
      </w:r>
      <w:r w:rsidRPr="006571AC">
        <w:rPr>
          <w:rFonts w:hint="cs"/>
          <w:sz w:val="27"/>
          <w:rtl/>
        </w:rPr>
        <w:t xml:space="preserve"> الشيئين يمكنهما أن يكونا حائلين</w:t>
      </w:r>
      <w:r w:rsidR="00366F7C" w:rsidRPr="006571AC">
        <w:rPr>
          <w:rFonts w:hint="cs"/>
          <w:sz w:val="27"/>
          <w:rtl/>
        </w:rPr>
        <w:t>:</w:t>
      </w:r>
      <w:r w:rsidRPr="006571AC">
        <w:rPr>
          <w:rFonts w:hint="cs"/>
          <w:sz w:val="27"/>
          <w:rtl/>
        </w:rPr>
        <w:t xml:space="preserve"> </w:t>
      </w:r>
      <w:r w:rsidRPr="006571AC">
        <w:rPr>
          <w:rFonts w:hint="cs"/>
          <w:b/>
          <w:bCs/>
          <w:sz w:val="27"/>
          <w:rtl/>
        </w:rPr>
        <w:t>أحدهما</w:t>
      </w:r>
      <w:r w:rsidR="00366F7C" w:rsidRPr="006571AC">
        <w:rPr>
          <w:rFonts w:hint="cs"/>
          <w:sz w:val="27"/>
          <w:rtl/>
        </w:rPr>
        <w:t>:</w:t>
      </w:r>
      <w:r w:rsidRPr="006571AC">
        <w:rPr>
          <w:rFonts w:hint="cs"/>
          <w:sz w:val="27"/>
          <w:rtl/>
        </w:rPr>
        <w:t xml:space="preserve"> الجدار، </w:t>
      </w:r>
      <w:r w:rsidRPr="006571AC">
        <w:rPr>
          <w:rFonts w:hint="cs"/>
          <w:b/>
          <w:bCs/>
          <w:sz w:val="27"/>
          <w:rtl/>
        </w:rPr>
        <w:t>والآخر</w:t>
      </w:r>
      <w:r w:rsidR="00366F7C" w:rsidRPr="006571AC">
        <w:rPr>
          <w:rFonts w:hint="cs"/>
          <w:sz w:val="27"/>
          <w:rtl/>
        </w:rPr>
        <w:t>:</w:t>
      </w:r>
      <w:r w:rsidRPr="006571AC">
        <w:rPr>
          <w:rFonts w:hint="cs"/>
          <w:sz w:val="27"/>
          <w:rtl/>
        </w:rPr>
        <w:t xml:space="preserve"> السترة. في حين أن تقابلهما في الحقيقة إنما هو مثال</w:t>
      </w:r>
      <w:r w:rsidR="00366F7C" w:rsidRPr="006571AC">
        <w:rPr>
          <w:rFonts w:hint="cs"/>
          <w:sz w:val="27"/>
          <w:rtl/>
        </w:rPr>
        <w:t>ٌ</w:t>
      </w:r>
      <w:r w:rsidRPr="006571AC">
        <w:rPr>
          <w:rFonts w:hint="cs"/>
          <w:sz w:val="27"/>
          <w:rtl/>
        </w:rPr>
        <w:t xml:space="preserve"> للحجب والتغطية</w:t>
      </w:r>
      <w:r w:rsidR="00366F7C" w:rsidRPr="006571AC">
        <w:rPr>
          <w:rFonts w:hint="cs"/>
          <w:sz w:val="27"/>
          <w:rtl/>
        </w:rPr>
        <w:t>،</w:t>
      </w:r>
      <w:r w:rsidRPr="006571AC">
        <w:rPr>
          <w:rFonts w:hint="cs"/>
          <w:sz w:val="27"/>
          <w:rtl/>
        </w:rPr>
        <w:t xml:space="preserve"> بمعنى أن كل</w:t>
      </w:r>
      <w:r w:rsidR="00366F7C" w:rsidRPr="006571AC">
        <w:rPr>
          <w:rFonts w:hint="cs"/>
          <w:sz w:val="27"/>
          <w:rtl/>
        </w:rPr>
        <w:t>ّ</w:t>
      </w:r>
      <w:r w:rsidRPr="006571AC">
        <w:rPr>
          <w:rFonts w:hint="cs"/>
          <w:sz w:val="27"/>
          <w:rtl/>
        </w:rPr>
        <w:t xml:space="preserve"> شيء</w:t>
      </w:r>
      <w:r w:rsidR="00366F7C" w:rsidRPr="006571AC">
        <w:rPr>
          <w:rFonts w:hint="cs"/>
          <w:sz w:val="27"/>
          <w:rtl/>
        </w:rPr>
        <w:t>ٍ</w:t>
      </w:r>
      <w:r w:rsidRPr="006571AC">
        <w:rPr>
          <w:rFonts w:hint="cs"/>
          <w:sz w:val="27"/>
          <w:rtl/>
        </w:rPr>
        <w:t xml:space="preserve"> حاجب</w:t>
      </w:r>
      <w:r w:rsidR="00366F7C" w:rsidRPr="006571AC">
        <w:rPr>
          <w:rFonts w:hint="cs"/>
          <w:sz w:val="27"/>
          <w:rtl/>
        </w:rPr>
        <w:t>ٍ</w:t>
      </w:r>
      <w:r w:rsidRPr="006571AC">
        <w:rPr>
          <w:rFonts w:hint="cs"/>
          <w:sz w:val="27"/>
          <w:rtl/>
        </w:rPr>
        <w:t xml:space="preserve"> يُع</w:t>
      </w:r>
      <w:r w:rsidR="00366F7C" w:rsidRPr="006571AC">
        <w:rPr>
          <w:rFonts w:hint="cs"/>
          <w:sz w:val="27"/>
          <w:rtl/>
        </w:rPr>
        <w:t>َ</w:t>
      </w:r>
      <w:r w:rsidRPr="006571AC">
        <w:rPr>
          <w:rFonts w:hint="cs"/>
          <w:sz w:val="27"/>
          <w:rtl/>
        </w:rPr>
        <w:t>دّ مانعاً، وقد ذكر لذلك مثالان</w:t>
      </w:r>
      <w:r w:rsidR="00366F7C" w:rsidRPr="006571AC">
        <w:rPr>
          <w:rFonts w:hint="cs"/>
          <w:sz w:val="27"/>
          <w:rtl/>
        </w:rPr>
        <w:t>:</w:t>
      </w:r>
      <w:r w:rsidRPr="006571AC">
        <w:rPr>
          <w:rFonts w:hint="cs"/>
          <w:sz w:val="27"/>
          <w:rtl/>
        </w:rPr>
        <w:t xml:space="preserve"> </w:t>
      </w:r>
      <w:r w:rsidRPr="006571AC">
        <w:rPr>
          <w:rFonts w:hint="cs"/>
          <w:b/>
          <w:bCs/>
          <w:sz w:val="27"/>
          <w:rtl/>
        </w:rPr>
        <w:t>أحدهما</w:t>
      </w:r>
      <w:r w:rsidR="00366F7C" w:rsidRPr="006571AC">
        <w:rPr>
          <w:rFonts w:hint="cs"/>
          <w:sz w:val="27"/>
          <w:rtl/>
        </w:rPr>
        <w:t>:</w:t>
      </w:r>
      <w:r w:rsidRPr="006571AC">
        <w:rPr>
          <w:rFonts w:hint="cs"/>
          <w:sz w:val="27"/>
          <w:rtl/>
        </w:rPr>
        <w:t xml:space="preserve"> السترة</w:t>
      </w:r>
      <w:r w:rsidR="00366F7C" w:rsidRPr="006571AC">
        <w:rPr>
          <w:rFonts w:hint="cs"/>
          <w:sz w:val="27"/>
          <w:rtl/>
        </w:rPr>
        <w:t>؛</w:t>
      </w:r>
      <w:r w:rsidRPr="006571AC">
        <w:rPr>
          <w:rFonts w:hint="cs"/>
          <w:sz w:val="27"/>
          <w:rtl/>
        </w:rPr>
        <w:t xml:space="preserve"> </w:t>
      </w:r>
      <w:r w:rsidRPr="006571AC">
        <w:rPr>
          <w:rFonts w:hint="cs"/>
          <w:b/>
          <w:bCs/>
          <w:sz w:val="27"/>
          <w:rtl/>
        </w:rPr>
        <w:t>والآخر</w:t>
      </w:r>
      <w:r w:rsidR="00366F7C" w:rsidRPr="006571AC">
        <w:rPr>
          <w:rFonts w:hint="cs"/>
          <w:sz w:val="27"/>
          <w:rtl/>
        </w:rPr>
        <w:t>:</w:t>
      </w:r>
      <w:r w:rsidRPr="006571AC">
        <w:rPr>
          <w:rFonts w:hint="cs"/>
          <w:sz w:val="27"/>
          <w:rtl/>
        </w:rPr>
        <w:t xml:space="preserve"> الجدار. وقد </w:t>
      </w:r>
      <w:r w:rsidRPr="006571AC">
        <w:rPr>
          <w:rFonts w:hint="cs"/>
          <w:sz w:val="27"/>
          <w:rtl/>
        </w:rPr>
        <w:lastRenderedPageBreak/>
        <w:t>ذهب السيد الخوئي إلى تأييد رؤية الشيخ [الأنصاري] أيضاً</w:t>
      </w:r>
      <w:r w:rsidRPr="006571AC">
        <w:rPr>
          <w:sz w:val="27"/>
          <w:vertAlign w:val="superscript"/>
          <w:rtl/>
        </w:rPr>
        <w:t>(</w:t>
      </w:r>
      <w:r w:rsidRPr="006571AC">
        <w:rPr>
          <w:rStyle w:val="ac"/>
          <w:sz w:val="27"/>
          <w:rtl/>
        </w:rPr>
        <w:endnoteReference w:id="224"/>
      </w:r>
      <w:r w:rsidRPr="006571AC">
        <w:rPr>
          <w:sz w:val="27"/>
          <w:vertAlign w:val="superscript"/>
          <w:rtl/>
        </w:rPr>
        <w:t>)</w:t>
      </w:r>
      <w:r w:rsidRPr="006571AC">
        <w:rPr>
          <w:sz w:val="27"/>
          <w:rtl/>
        </w:rPr>
        <w:t>.</w:t>
      </w:r>
    </w:p>
    <w:p w:rsidR="00E83C22" w:rsidRPr="006571AC" w:rsidRDefault="00E83C22" w:rsidP="008636AE">
      <w:pPr>
        <w:spacing w:line="530" w:lineRule="exact"/>
        <w:rPr>
          <w:rtl/>
        </w:rPr>
      </w:pPr>
    </w:p>
    <w:p w:rsidR="00E83C22" w:rsidRPr="006571AC" w:rsidRDefault="00E83C22" w:rsidP="008636AE">
      <w:pPr>
        <w:spacing w:line="540" w:lineRule="exact"/>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53"/>
          <w:headerReference w:type="default" r:id="rId54"/>
          <w:footerReference w:type="even" r:id="rId55"/>
          <w:footerReference w:type="default" r:id="rId5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57"/>
          <w:headerReference w:type="default" r:id="rId58"/>
          <w:footerReference w:type="even" r:id="rId59"/>
          <w:footerReference w:type="default" r:id="rId60"/>
          <w:headerReference w:type="first" r:id="rId6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127CAB">
      <w:pPr>
        <w:spacing w:line="440" w:lineRule="exact"/>
        <w:rPr>
          <w:rtl/>
        </w:rPr>
      </w:pPr>
    </w:p>
    <w:p w:rsidR="00E83C22" w:rsidRPr="006571AC" w:rsidRDefault="00E83C22" w:rsidP="00127CAB">
      <w:pPr>
        <w:spacing w:line="460" w:lineRule="exact"/>
        <w:rPr>
          <w:rtl/>
        </w:rPr>
      </w:pPr>
    </w:p>
    <w:p w:rsidR="00E83C22" w:rsidRPr="006571AC" w:rsidRDefault="00083599" w:rsidP="00842405">
      <w:pPr>
        <w:pStyle w:val="10"/>
        <w:spacing w:line="216" w:lineRule="auto"/>
        <w:rPr>
          <w:rtl/>
        </w:rPr>
      </w:pPr>
      <w:bookmarkStart w:id="107" w:name="_Toc114164596"/>
      <w:r w:rsidRPr="006571AC">
        <w:rPr>
          <w:rFonts w:hint="cs"/>
          <w:rtl/>
          <w:lang w:bidi="ar-IQ"/>
        </w:rPr>
        <w:t>عقد الصلح الابتدائي</w:t>
      </w:r>
      <w:bookmarkEnd w:id="107"/>
      <w:r w:rsidR="0066497B" w:rsidRPr="006571AC">
        <w:rPr>
          <w:rFonts w:hint="cs"/>
          <w:rtl/>
          <w:lang w:bidi="ar-IQ"/>
        </w:rPr>
        <w:t>ّ</w:t>
      </w:r>
    </w:p>
    <w:p w:rsidR="00E83C22" w:rsidRPr="006571AC" w:rsidRDefault="00842405" w:rsidP="00842405">
      <w:pPr>
        <w:pStyle w:val="10"/>
        <w:spacing w:line="216" w:lineRule="auto"/>
        <w:rPr>
          <w:sz w:val="26"/>
          <w:szCs w:val="42"/>
          <w:rtl/>
          <w:lang w:bidi="ar-IQ"/>
        </w:rPr>
      </w:pPr>
      <w:bookmarkStart w:id="108" w:name="_Toc114164597"/>
      <w:r w:rsidRPr="006571AC">
        <w:rPr>
          <w:rFonts w:hint="cs"/>
          <w:sz w:val="26"/>
          <w:szCs w:val="42"/>
          <w:rtl/>
          <w:lang w:bidi="ar-IQ"/>
        </w:rPr>
        <w:t>نظراتٌ في أدلّة المشروعيّة و</w:t>
      </w:r>
      <w:r w:rsidR="00714072" w:rsidRPr="006571AC">
        <w:rPr>
          <w:rFonts w:hint="cs"/>
          <w:sz w:val="26"/>
          <w:szCs w:val="42"/>
          <w:rtl/>
          <w:lang w:bidi="ar-IQ"/>
        </w:rPr>
        <w:t>عدم</w:t>
      </w:r>
      <w:r w:rsidRPr="006571AC">
        <w:rPr>
          <w:rFonts w:hint="cs"/>
          <w:sz w:val="26"/>
          <w:szCs w:val="42"/>
          <w:rtl/>
          <w:lang w:bidi="ar-IQ"/>
        </w:rPr>
        <w:t>ها</w:t>
      </w:r>
      <w:bookmarkEnd w:id="108"/>
    </w:p>
    <w:p w:rsidR="00E83C22" w:rsidRPr="006571AC" w:rsidRDefault="00E83C22" w:rsidP="00E83C22">
      <w:pPr>
        <w:spacing w:line="300" w:lineRule="exact"/>
        <w:rPr>
          <w:rtl/>
        </w:rPr>
      </w:pPr>
    </w:p>
    <w:p w:rsidR="00E83C22" w:rsidRPr="006571AC" w:rsidRDefault="00714072" w:rsidP="00714072">
      <w:pPr>
        <w:pStyle w:val="Author"/>
        <w:rPr>
          <w:rtl/>
        </w:rPr>
      </w:pPr>
      <w:r w:rsidRPr="006571AC">
        <w:rPr>
          <w:rFonts w:hint="cs"/>
          <w:rtl/>
          <w:lang w:bidi="ar-IQ"/>
        </w:rPr>
        <w:t>الشيخ مسلم الداوري</w:t>
      </w:r>
      <w:r w:rsidR="00527634" w:rsidRPr="006571AC">
        <w:rPr>
          <w:rFonts w:cs="Taher" w:hint="cs"/>
          <w:vertAlign w:val="superscript"/>
          <w:rtl/>
        </w:rPr>
        <w:t>(</w:t>
      </w:r>
      <w:r w:rsidR="00527634" w:rsidRPr="006571AC">
        <w:rPr>
          <w:rFonts w:cs="Taher"/>
          <w:vertAlign w:val="superscript"/>
          <w:rtl/>
        </w:rPr>
        <w:footnoteReference w:customMarkFollows="1" w:id="6"/>
        <w:t>*)</w:t>
      </w:r>
    </w:p>
    <w:p w:rsidR="00714072" w:rsidRPr="006571AC" w:rsidRDefault="009C2201" w:rsidP="00714072">
      <w:pPr>
        <w:pStyle w:val="Author"/>
        <w:rPr>
          <w:rtl/>
        </w:rPr>
      </w:pPr>
      <w:r w:rsidRPr="006571AC">
        <w:rPr>
          <w:rFonts w:hint="cs"/>
          <w:rtl/>
          <w:lang w:bidi="ar-IQ"/>
        </w:rPr>
        <w:t xml:space="preserve">الشيخ </w:t>
      </w:r>
      <w:r w:rsidR="00714072" w:rsidRPr="006571AC">
        <w:rPr>
          <w:rFonts w:hint="cs"/>
          <w:rtl/>
          <w:lang w:bidi="ar-IQ"/>
        </w:rPr>
        <w:t>مجتبى المسعودي</w:t>
      </w:r>
      <w:r w:rsidR="00714072" w:rsidRPr="006571AC">
        <w:rPr>
          <w:rFonts w:cs="Taher" w:hint="cs"/>
          <w:vertAlign w:val="superscript"/>
          <w:rtl/>
        </w:rPr>
        <w:t>(*</w:t>
      </w:r>
      <w:r w:rsidR="00714072" w:rsidRPr="006571AC">
        <w:rPr>
          <w:rFonts w:cs="Taher"/>
          <w:vertAlign w:val="superscript"/>
          <w:rtl/>
        </w:rPr>
        <w:footnoteReference w:customMarkFollows="1" w:id="7"/>
        <w:t>*)</w:t>
      </w:r>
    </w:p>
    <w:p w:rsidR="00E83C22" w:rsidRPr="006571AC" w:rsidRDefault="00E83C22" w:rsidP="00714072">
      <w:pPr>
        <w:pStyle w:val="Author"/>
        <w:rPr>
          <w:rtl/>
        </w:rPr>
      </w:pPr>
      <w:r w:rsidRPr="006571AC">
        <w:rPr>
          <w:rFonts w:hint="cs"/>
          <w:rtl/>
        </w:rPr>
        <w:t xml:space="preserve">ترجمة: </w:t>
      </w:r>
      <w:r w:rsidR="00714072" w:rsidRPr="006571AC">
        <w:rPr>
          <w:rFonts w:hint="cs"/>
          <w:rtl/>
          <w:lang w:bidi="ar-IQ"/>
        </w:rPr>
        <w:t>مرقال هاشم</w:t>
      </w:r>
    </w:p>
    <w:p w:rsidR="00E83C22" w:rsidRPr="006571AC" w:rsidRDefault="00E83C22" w:rsidP="00E83C22">
      <w:pPr>
        <w:spacing w:line="300" w:lineRule="exact"/>
        <w:rPr>
          <w:rtl/>
        </w:rPr>
      </w:pPr>
    </w:p>
    <w:p w:rsidR="00381A52" w:rsidRPr="006571AC" w:rsidRDefault="00381A52" w:rsidP="00714072">
      <w:pPr>
        <w:pStyle w:val="31"/>
        <w:rPr>
          <w:color w:val="auto"/>
          <w:rtl/>
          <w:lang w:bidi="ar-IQ"/>
        </w:rPr>
      </w:pPr>
      <w:bookmarkStart w:id="109" w:name="_Toc114164598"/>
      <w:r w:rsidRPr="006571AC">
        <w:rPr>
          <w:rFonts w:hint="cs"/>
          <w:color w:val="auto"/>
          <w:rtl/>
          <w:lang w:bidi="ar-IQ"/>
        </w:rPr>
        <w:t>مقدّمة</w:t>
      </w:r>
      <w:r w:rsidR="00083599" w:rsidRPr="006571AC">
        <w:rPr>
          <w:rFonts w:hint="cs"/>
          <w:color w:val="auto"/>
          <w:rtl/>
          <w:lang w:bidi="ar-IQ"/>
        </w:rPr>
        <w:t>ٌ</w:t>
      </w:r>
      <w:bookmarkEnd w:id="109"/>
    </w:p>
    <w:p w:rsidR="00381A52" w:rsidRPr="006571AC" w:rsidRDefault="00381A52" w:rsidP="0066497B">
      <w:pPr>
        <w:rPr>
          <w:sz w:val="27"/>
          <w:rtl/>
          <w:lang w:bidi="ar-IQ"/>
        </w:rPr>
      </w:pPr>
      <w:r w:rsidRPr="006571AC">
        <w:rPr>
          <w:rFonts w:hint="cs"/>
          <w:sz w:val="27"/>
          <w:rtl/>
          <w:lang w:bidi="ar-IQ"/>
        </w:rPr>
        <w:t xml:space="preserve">يذهب المشهور </w:t>
      </w:r>
      <w:r w:rsidR="0066497B" w:rsidRPr="006571AC">
        <w:rPr>
          <w:rFonts w:hint="cs"/>
          <w:sz w:val="27"/>
          <w:rtl/>
          <w:lang w:bidi="ar-IQ"/>
        </w:rPr>
        <w:t>من</w:t>
      </w:r>
      <w:r w:rsidRPr="006571AC">
        <w:rPr>
          <w:rFonts w:hint="cs"/>
          <w:sz w:val="27"/>
          <w:rtl/>
          <w:lang w:bidi="ar-IQ"/>
        </w:rPr>
        <w:t xml:space="preserve"> فقهاء الإمامية إلى القول بأن الصلح عقد</w:t>
      </w:r>
      <w:r w:rsidR="009C2201" w:rsidRPr="006571AC">
        <w:rPr>
          <w:rFonts w:hint="cs"/>
          <w:sz w:val="27"/>
          <w:rtl/>
          <w:lang w:bidi="ar-IQ"/>
        </w:rPr>
        <w:t>ٌ</w:t>
      </w:r>
      <w:r w:rsidRPr="006571AC">
        <w:rPr>
          <w:rFonts w:hint="cs"/>
          <w:sz w:val="27"/>
          <w:rtl/>
          <w:lang w:bidi="ar-IQ"/>
        </w:rPr>
        <w:t xml:space="preserve"> عام</w:t>
      </w:r>
      <w:r w:rsidR="009C2201" w:rsidRPr="006571AC">
        <w:rPr>
          <w:rFonts w:hint="cs"/>
          <w:sz w:val="27"/>
          <w:rtl/>
          <w:lang w:bidi="ar-IQ"/>
        </w:rPr>
        <w:t>ّ</w:t>
      </w:r>
      <w:r w:rsidRPr="006571AC">
        <w:rPr>
          <w:rFonts w:hint="cs"/>
          <w:sz w:val="27"/>
          <w:rtl/>
          <w:lang w:bidi="ar-IQ"/>
        </w:rPr>
        <w:t xml:space="preserve"> يمكن توسيع دائرته بشكل</w:t>
      </w:r>
      <w:r w:rsidR="009C2201" w:rsidRPr="006571AC">
        <w:rPr>
          <w:rFonts w:hint="cs"/>
          <w:sz w:val="27"/>
          <w:rtl/>
          <w:lang w:bidi="ar-IQ"/>
        </w:rPr>
        <w:t>ٍ</w:t>
      </w:r>
      <w:r w:rsidRPr="006571AC">
        <w:rPr>
          <w:rFonts w:hint="cs"/>
          <w:sz w:val="27"/>
          <w:rtl/>
          <w:lang w:bidi="ar-IQ"/>
        </w:rPr>
        <w:t xml:space="preserve"> كبير، وفي المقابل ذهب بعض الإمامية وعموم أهل السن</w:t>
      </w:r>
      <w:r w:rsidR="009C2201" w:rsidRPr="006571AC">
        <w:rPr>
          <w:rFonts w:hint="cs"/>
          <w:sz w:val="27"/>
          <w:rtl/>
          <w:lang w:bidi="ar-IQ"/>
        </w:rPr>
        <w:t>ّ</w:t>
      </w:r>
      <w:r w:rsidRPr="006571AC">
        <w:rPr>
          <w:rFonts w:hint="cs"/>
          <w:sz w:val="27"/>
          <w:rtl/>
          <w:lang w:bidi="ar-IQ"/>
        </w:rPr>
        <w:t>ة إلى اشتراط أن يكون عقد الصلح مسبوقاً بالخصومة والنزاع</w:t>
      </w:r>
      <w:r w:rsidR="009C2201" w:rsidRPr="006571AC">
        <w:rPr>
          <w:rFonts w:hint="cs"/>
          <w:sz w:val="27"/>
          <w:rtl/>
          <w:lang w:bidi="ar-IQ"/>
        </w:rPr>
        <w:t>،</w:t>
      </w:r>
      <w:r w:rsidRPr="006571AC">
        <w:rPr>
          <w:rFonts w:hint="cs"/>
          <w:sz w:val="27"/>
          <w:rtl/>
          <w:lang w:bidi="ar-IQ"/>
        </w:rPr>
        <w:t xml:space="preserve"> أو احتمال ذلك</w:t>
      </w:r>
      <w:r w:rsidR="009C2201" w:rsidRPr="006571AC">
        <w:rPr>
          <w:rFonts w:hint="cs"/>
          <w:sz w:val="27"/>
          <w:rtl/>
          <w:lang w:bidi="ar-IQ"/>
        </w:rPr>
        <w:t>؛</w:t>
      </w:r>
      <w:r w:rsidRPr="006571AC">
        <w:rPr>
          <w:rFonts w:hint="cs"/>
          <w:sz w:val="27"/>
          <w:rtl/>
          <w:lang w:bidi="ar-IQ"/>
        </w:rPr>
        <w:t xml:space="preserve"> لإضفاء المشروعية عليه. إن هؤلاء</w:t>
      </w:r>
      <w:r w:rsidR="009C2201" w:rsidRPr="006571AC">
        <w:rPr>
          <w:rFonts w:hint="cs"/>
          <w:sz w:val="27"/>
          <w:rtl/>
          <w:lang w:bidi="ar-IQ"/>
        </w:rPr>
        <w:t>؛</w:t>
      </w:r>
      <w:r w:rsidRPr="006571AC">
        <w:rPr>
          <w:rFonts w:hint="cs"/>
          <w:sz w:val="27"/>
          <w:rtl/>
          <w:lang w:bidi="ar-IQ"/>
        </w:rPr>
        <w:t xml:space="preserve"> من خلال التمسّ</w:t>
      </w:r>
      <w:r w:rsidR="009C2201" w:rsidRPr="006571AC">
        <w:rPr>
          <w:rFonts w:hint="cs"/>
          <w:sz w:val="27"/>
          <w:rtl/>
          <w:lang w:bidi="ar-IQ"/>
        </w:rPr>
        <w:t>ُ</w:t>
      </w:r>
      <w:r w:rsidRPr="006571AC">
        <w:rPr>
          <w:rFonts w:hint="cs"/>
          <w:sz w:val="27"/>
          <w:rtl/>
          <w:lang w:bidi="ar-IQ"/>
        </w:rPr>
        <w:t>ك بلفظ الصلح</w:t>
      </w:r>
      <w:r w:rsidR="009C2201" w:rsidRPr="006571AC">
        <w:rPr>
          <w:rFonts w:hint="cs"/>
          <w:sz w:val="27"/>
          <w:rtl/>
          <w:lang w:bidi="ar-IQ"/>
        </w:rPr>
        <w:t>،</w:t>
      </w:r>
      <w:r w:rsidRPr="006571AC">
        <w:rPr>
          <w:rFonts w:hint="cs"/>
          <w:sz w:val="27"/>
          <w:rtl/>
          <w:lang w:bidi="ar-IQ"/>
        </w:rPr>
        <w:t xml:space="preserve"> وإثبات الوضع اللغوي والمتفاهم الع</w:t>
      </w:r>
      <w:r w:rsidR="009C2201" w:rsidRPr="006571AC">
        <w:rPr>
          <w:rFonts w:hint="cs"/>
          <w:sz w:val="27"/>
          <w:rtl/>
          <w:lang w:bidi="ar-IQ"/>
        </w:rPr>
        <w:t>ُ</w:t>
      </w:r>
      <w:r w:rsidRPr="006571AC">
        <w:rPr>
          <w:rFonts w:hint="cs"/>
          <w:sz w:val="27"/>
          <w:rtl/>
          <w:lang w:bidi="ar-IQ"/>
        </w:rPr>
        <w:t>ر</w:t>
      </w:r>
      <w:r w:rsidR="009C2201" w:rsidRPr="006571AC">
        <w:rPr>
          <w:rFonts w:hint="cs"/>
          <w:sz w:val="27"/>
          <w:rtl/>
          <w:lang w:bidi="ar-IQ"/>
        </w:rPr>
        <w:t>ْ</w:t>
      </w:r>
      <w:r w:rsidRPr="006571AC">
        <w:rPr>
          <w:rFonts w:hint="cs"/>
          <w:sz w:val="27"/>
          <w:rtl/>
          <w:lang w:bidi="ar-IQ"/>
        </w:rPr>
        <w:t>في</w:t>
      </w:r>
      <w:r w:rsidR="009C2201" w:rsidRPr="006571AC">
        <w:rPr>
          <w:rFonts w:hint="cs"/>
          <w:sz w:val="27"/>
          <w:rtl/>
          <w:lang w:bidi="ar-IQ"/>
        </w:rPr>
        <w:t>،</w:t>
      </w:r>
      <w:r w:rsidRPr="006571AC">
        <w:rPr>
          <w:rFonts w:hint="cs"/>
          <w:sz w:val="27"/>
          <w:rtl/>
          <w:lang w:bidi="ar-IQ"/>
        </w:rPr>
        <w:t xml:space="preserve"> قد أثبتوا سبق الخصومة، ومن ناحية</w:t>
      </w:r>
      <w:r w:rsidR="009C2201" w:rsidRPr="006571AC">
        <w:rPr>
          <w:rFonts w:hint="cs"/>
          <w:sz w:val="27"/>
          <w:rtl/>
          <w:lang w:bidi="ar-IQ"/>
        </w:rPr>
        <w:t>ٍ</w:t>
      </w:r>
      <w:r w:rsidRPr="006571AC">
        <w:rPr>
          <w:rFonts w:hint="cs"/>
          <w:sz w:val="27"/>
          <w:rtl/>
          <w:lang w:bidi="ar-IQ"/>
        </w:rPr>
        <w:t xml:space="preserve"> أخرى قالوا بأن الصلح على خلاف مذاق الشارع. وقال هؤلاء في بيان استدلالهم: كيف يمكن للشارع أن يعمل من جهة</w:t>
      </w:r>
      <w:r w:rsidR="009C2201" w:rsidRPr="006571AC">
        <w:rPr>
          <w:rFonts w:hint="cs"/>
          <w:sz w:val="27"/>
          <w:rtl/>
          <w:lang w:bidi="ar-IQ"/>
        </w:rPr>
        <w:t>ٍ</w:t>
      </w:r>
      <w:r w:rsidRPr="006571AC">
        <w:rPr>
          <w:rFonts w:hint="cs"/>
          <w:sz w:val="27"/>
          <w:rtl/>
          <w:lang w:bidi="ar-IQ"/>
        </w:rPr>
        <w:t xml:space="preserve"> على وضع أحكام وعقود خاص</w:t>
      </w:r>
      <w:r w:rsidR="009C2201" w:rsidRPr="006571AC">
        <w:rPr>
          <w:rFonts w:hint="cs"/>
          <w:sz w:val="27"/>
          <w:rtl/>
          <w:lang w:bidi="ar-IQ"/>
        </w:rPr>
        <w:t>ّ</w:t>
      </w:r>
      <w:r w:rsidRPr="006571AC">
        <w:rPr>
          <w:rFonts w:hint="cs"/>
          <w:sz w:val="27"/>
          <w:rtl/>
          <w:lang w:bidi="ar-IQ"/>
        </w:rPr>
        <w:t>ة لكل</w:t>
      </w:r>
      <w:r w:rsidR="009C2201" w:rsidRPr="006571AC">
        <w:rPr>
          <w:rFonts w:hint="cs"/>
          <w:sz w:val="27"/>
          <w:rtl/>
          <w:lang w:bidi="ar-IQ"/>
        </w:rPr>
        <w:t>ّ</w:t>
      </w:r>
      <w:r w:rsidRPr="006571AC">
        <w:rPr>
          <w:rFonts w:hint="cs"/>
          <w:sz w:val="27"/>
          <w:rtl/>
          <w:lang w:bidi="ar-IQ"/>
        </w:rPr>
        <w:t xml:space="preserve"> واحد</w:t>
      </w:r>
      <w:r w:rsidR="009C2201" w:rsidRPr="006571AC">
        <w:rPr>
          <w:rFonts w:hint="cs"/>
          <w:sz w:val="27"/>
          <w:rtl/>
          <w:lang w:bidi="ar-IQ"/>
        </w:rPr>
        <w:t>ةٍ</w:t>
      </w:r>
      <w:r w:rsidRPr="006571AC">
        <w:rPr>
          <w:rFonts w:hint="cs"/>
          <w:sz w:val="27"/>
          <w:rtl/>
          <w:lang w:bidi="ar-IQ"/>
        </w:rPr>
        <w:t xml:space="preserve"> من المعاملات على أساس من المصالح والمفاسد الواقعية، ويعمد في الوقت نفسه من جهة</w:t>
      </w:r>
      <w:r w:rsidR="009C2201" w:rsidRPr="006571AC">
        <w:rPr>
          <w:rFonts w:hint="cs"/>
          <w:sz w:val="27"/>
          <w:rtl/>
          <w:lang w:bidi="ar-IQ"/>
        </w:rPr>
        <w:t>ٍ</w:t>
      </w:r>
      <w:r w:rsidRPr="006571AC">
        <w:rPr>
          <w:rFonts w:hint="cs"/>
          <w:sz w:val="27"/>
          <w:rtl/>
          <w:lang w:bidi="ar-IQ"/>
        </w:rPr>
        <w:t xml:space="preserve"> أخرى إلى السماح للمكل</w:t>
      </w:r>
      <w:r w:rsidR="009C2201" w:rsidRPr="006571AC">
        <w:rPr>
          <w:rFonts w:hint="cs"/>
          <w:sz w:val="27"/>
          <w:rtl/>
          <w:lang w:bidi="ar-IQ"/>
        </w:rPr>
        <w:t>َّ</w:t>
      </w:r>
      <w:r w:rsidRPr="006571AC">
        <w:rPr>
          <w:rFonts w:hint="cs"/>
          <w:sz w:val="27"/>
          <w:rtl/>
          <w:lang w:bidi="ar-IQ"/>
        </w:rPr>
        <w:t>فين في التهرّ</w:t>
      </w:r>
      <w:r w:rsidR="009C2201" w:rsidRPr="006571AC">
        <w:rPr>
          <w:rFonts w:hint="cs"/>
          <w:sz w:val="27"/>
          <w:rtl/>
          <w:lang w:bidi="ar-IQ"/>
        </w:rPr>
        <w:t>ُ</w:t>
      </w:r>
      <w:r w:rsidRPr="006571AC">
        <w:rPr>
          <w:rFonts w:hint="cs"/>
          <w:sz w:val="27"/>
          <w:rtl/>
          <w:lang w:bidi="ar-IQ"/>
        </w:rPr>
        <w:t>ب من هذه الأحكام والعقود الخاص</w:t>
      </w:r>
      <w:r w:rsidR="009C2201" w:rsidRPr="006571AC">
        <w:rPr>
          <w:rFonts w:hint="cs"/>
          <w:sz w:val="27"/>
          <w:rtl/>
          <w:lang w:bidi="ar-IQ"/>
        </w:rPr>
        <w:t>ّ</w:t>
      </w:r>
      <w:r w:rsidRPr="006571AC">
        <w:rPr>
          <w:rFonts w:hint="cs"/>
          <w:sz w:val="27"/>
          <w:rtl/>
          <w:lang w:bidi="ar-IQ"/>
        </w:rPr>
        <w:t>ة من خلال تغيير ظواهر هذه العقود تحت عنوان الصلح؛ كي لا يجري أيّ</w:t>
      </w:r>
      <w:r w:rsidR="009C2201" w:rsidRPr="006571AC">
        <w:rPr>
          <w:rFonts w:hint="cs"/>
          <w:sz w:val="27"/>
          <w:rtl/>
          <w:lang w:bidi="ar-IQ"/>
        </w:rPr>
        <w:t>ٌ</w:t>
      </w:r>
      <w:r w:rsidRPr="006571AC">
        <w:rPr>
          <w:rFonts w:hint="cs"/>
          <w:sz w:val="27"/>
          <w:rtl/>
          <w:lang w:bidi="ar-IQ"/>
        </w:rPr>
        <w:t xml:space="preserve"> من تلك العقود بعد تحق</w:t>
      </w:r>
      <w:r w:rsidR="0094158D" w:rsidRPr="006571AC">
        <w:rPr>
          <w:rFonts w:hint="cs"/>
          <w:sz w:val="27"/>
          <w:rtl/>
          <w:lang w:bidi="ar-IQ"/>
        </w:rPr>
        <w:t>ُّ</w:t>
      </w:r>
      <w:r w:rsidRPr="006571AC">
        <w:rPr>
          <w:rFonts w:hint="cs"/>
          <w:sz w:val="27"/>
          <w:rtl/>
          <w:lang w:bidi="ar-IQ"/>
        </w:rPr>
        <w:t xml:space="preserve">ق هذا التغيير الظاهري. وعلى حدّ تعبير بعض الحقوقيين: </w:t>
      </w:r>
      <w:r w:rsidRPr="006571AC">
        <w:rPr>
          <w:rFonts w:hint="eastAsia"/>
          <w:sz w:val="24"/>
          <w:szCs w:val="24"/>
          <w:rtl/>
        </w:rPr>
        <w:t>«</w:t>
      </w:r>
      <w:r w:rsidRPr="006571AC">
        <w:rPr>
          <w:rFonts w:hint="cs"/>
          <w:sz w:val="27"/>
          <w:rtl/>
          <w:lang w:bidi="ar-IQ"/>
        </w:rPr>
        <w:t>إن الصلح الابتدائي وسيلة</w:t>
      </w:r>
      <w:r w:rsidR="0094158D" w:rsidRPr="006571AC">
        <w:rPr>
          <w:rFonts w:hint="cs"/>
          <w:sz w:val="27"/>
          <w:rtl/>
          <w:lang w:bidi="ar-IQ"/>
        </w:rPr>
        <w:t>ٌ</w:t>
      </w:r>
      <w:r w:rsidRPr="006571AC">
        <w:rPr>
          <w:rFonts w:hint="cs"/>
          <w:sz w:val="27"/>
          <w:rtl/>
          <w:lang w:bidi="ar-IQ"/>
        </w:rPr>
        <w:t xml:space="preserve"> وذريعة</w:t>
      </w:r>
      <w:r w:rsidR="0094158D" w:rsidRPr="006571AC">
        <w:rPr>
          <w:rFonts w:hint="cs"/>
          <w:sz w:val="27"/>
          <w:rtl/>
          <w:lang w:bidi="ar-IQ"/>
        </w:rPr>
        <w:t>ٌ</w:t>
      </w:r>
      <w:r w:rsidRPr="006571AC">
        <w:rPr>
          <w:rFonts w:hint="cs"/>
          <w:sz w:val="27"/>
          <w:rtl/>
          <w:lang w:bidi="ar-IQ"/>
        </w:rPr>
        <w:t xml:space="preserve"> لارتكاب أنواع الغش</w:t>
      </w:r>
      <w:r w:rsidR="0094158D" w:rsidRPr="006571AC">
        <w:rPr>
          <w:rFonts w:hint="cs"/>
          <w:sz w:val="27"/>
          <w:rtl/>
          <w:lang w:bidi="ar-IQ"/>
        </w:rPr>
        <w:t>ّ</w:t>
      </w:r>
      <w:r w:rsidRPr="006571AC">
        <w:rPr>
          <w:rFonts w:hint="cs"/>
          <w:sz w:val="27"/>
          <w:rtl/>
          <w:lang w:bidi="ar-IQ"/>
        </w:rPr>
        <w:t xml:space="preserve"> والح</w:t>
      </w:r>
      <w:r w:rsidR="0094158D" w:rsidRPr="006571AC">
        <w:rPr>
          <w:rFonts w:hint="cs"/>
          <w:sz w:val="27"/>
          <w:rtl/>
          <w:lang w:bidi="ar-IQ"/>
        </w:rPr>
        <w:t>ِ</w:t>
      </w:r>
      <w:r w:rsidRPr="006571AC">
        <w:rPr>
          <w:rFonts w:hint="cs"/>
          <w:sz w:val="27"/>
          <w:rtl/>
          <w:lang w:bidi="ar-IQ"/>
        </w:rPr>
        <w:t>يَل القانونية، ويؤدّي إلى اختلال نظم القوانين</w:t>
      </w:r>
      <w:r w:rsidR="0094158D" w:rsidRPr="006571AC">
        <w:rPr>
          <w:rFonts w:hint="cs"/>
          <w:sz w:val="27"/>
          <w:rtl/>
          <w:lang w:bidi="ar-IQ"/>
        </w:rPr>
        <w:t>،</w:t>
      </w:r>
      <w:r w:rsidRPr="006571AC">
        <w:rPr>
          <w:rFonts w:hint="cs"/>
          <w:sz w:val="27"/>
          <w:rtl/>
          <w:lang w:bidi="ar-IQ"/>
        </w:rPr>
        <w:t xml:space="preserve"> وعدم جدوائية الكثير من </w:t>
      </w:r>
      <w:r w:rsidRPr="006571AC">
        <w:rPr>
          <w:rFonts w:hint="cs"/>
          <w:sz w:val="27"/>
          <w:rtl/>
          <w:lang w:bidi="ar-IQ"/>
        </w:rPr>
        <w:lastRenderedPageBreak/>
        <w:t>العقود</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25"/>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من الطبيعي</w:t>
      </w:r>
      <w:r w:rsidR="0094158D" w:rsidRPr="006571AC">
        <w:rPr>
          <w:rFonts w:hint="cs"/>
          <w:sz w:val="27"/>
          <w:rtl/>
          <w:lang w:bidi="ar-IQ"/>
        </w:rPr>
        <w:t>ّ</w:t>
      </w:r>
      <w:r w:rsidRPr="006571AC">
        <w:rPr>
          <w:rFonts w:hint="cs"/>
          <w:sz w:val="27"/>
          <w:rtl/>
          <w:lang w:bidi="ar-IQ"/>
        </w:rPr>
        <w:t xml:space="preserve"> أننا إذا اعتبرنا توقيفيّة العقود، واشترطنا من جهة</w:t>
      </w:r>
      <w:r w:rsidR="0094158D" w:rsidRPr="006571AC">
        <w:rPr>
          <w:rFonts w:hint="cs"/>
          <w:sz w:val="27"/>
          <w:rtl/>
          <w:lang w:bidi="ar-IQ"/>
        </w:rPr>
        <w:t>ٍ</w:t>
      </w:r>
      <w:r w:rsidRPr="006571AC">
        <w:rPr>
          <w:rFonts w:hint="cs"/>
          <w:sz w:val="27"/>
          <w:rtl/>
          <w:lang w:bidi="ar-IQ"/>
        </w:rPr>
        <w:t xml:space="preserve"> أخرى سبق الخصومة في مشروعية الصلح، سوف نواجه تحد</w:t>
      </w:r>
      <w:r w:rsidR="0094158D" w:rsidRPr="006571AC">
        <w:rPr>
          <w:rFonts w:hint="cs"/>
          <w:sz w:val="27"/>
          <w:rtl/>
          <w:lang w:bidi="ar-IQ"/>
        </w:rPr>
        <w:t>ّ</w:t>
      </w:r>
      <w:r w:rsidRPr="006571AC">
        <w:rPr>
          <w:rFonts w:hint="cs"/>
          <w:sz w:val="27"/>
          <w:rtl/>
          <w:lang w:bidi="ar-IQ"/>
        </w:rPr>
        <w:t>ياً في</w:t>
      </w:r>
      <w:r w:rsidR="0094158D" w:rsidRPr="006571AC">
        <w:rPr>
          <w:rFonts w:hint="cs"/>
          <w:sz w:val="27"/>
          <w:rtl/>
          <w:lang w:bidi="ar-IQ"/>
        </w:rPr>
        <w:t xml:space="preserve"> </w:t>
      </w:r>
      <w:r w:rsidRPr="006571AC">
        <w:rPr>
          <w:rFonts w:hint="cs"/>
          <w:sz w:val="27"/>
          <w:rtl/>
          <w:lang w:bidi="ar-IQ"/>
        </w:rPr>
        <w:t>ما يتعل</w:t>
      </w:r>
      <w:r w:rsidR="0094158D" w:rsidRPr="006571AC">
        <w:rPr>
          <w:rFonts w:hint="cs"/>
          <w:sz w:val="27"/>
          <w:rtl/>
          <w:lang w:bidi="ar-IQ"/>
        </w:rPr>
        <w:t>َّ</w:t>
      </w:r>
      <w:r w:rsidRPr="006571AC">
        <w:rPr>
          <w:rFonts w:hint="cs"/>
          <w:sz w:val="27"/>
          <w:rtl/>
          <w:lang w:bidi="ar-IQ"/>
        </w:rPr>
        <w:t>ق بمشروعية العقود المست</w:t>
      </w:r>
      <w:r w:rsidR="0094158D" w:rsidRPr="006571AC">
        <w:rPr>
          <w:rFonts w:hint="cs"/>
          <w:sz w:val="27"/>
          <w:rtl/>
          <w:lang w:bidi="ar-IQ"/>
        </w:rPr>
        <w:t>َ</w:t>
      </w:r>
      <w:r w:rsidRPr="006571AC">
        <w:rPr>
          <w:rFonts w:hint="cs"/>
          <w:sz w:val="27"/>
          <w:rtl/>
          <w:lang w:bidi="ar-IQ"/>
        </w:rPr>
        <w:t>ح</w:t>
      </w:r>
      <w:r w:rsidR="0094158D" w:rsidRPr="006571AC">
        <w:rPr>
          <w:rFonts w:hint="cs"/>
          <w:sz w:val="27"/>
          <w:rtl/>
          <w:lang w:bidi="ar-IQ"/>
        </w:rPr>
        <w:t>ْ</w:t>
      </w:r>
      <w:r w:rsidRPr="006571AC">
        <w:rPr>
          <w:rFonts w:hint="cs"/>
          <w:sz w:val="27"/>
          <w:rtl/>
          <w:lang w:bidi="ar-IQ"/>
        </w:rPr>
        <w:t>د</w:t>
      </w:r>
      <w:r w:rsidR="0094158D" w:rsidRPr="006571AC">
        <w:rPr>
          <w:rFonts w:hint="cs"/>
          <w:sz w:val="27"/>
          <w:rtl/>
          <w:lang w:bidi="ar-IQ"/>
        </w:rPr>
        <w:t>َ</w:t>
      </w:r>
      <w:r w:rsidRPr="006571AC">
        <w:rPr>
          <w:rFonts w:hint="cs"/>
          <w:sz w:val="27"/>
          <w:rtl/>
          <w:lang w:bidi="ar-IQ"/>
        </w:rPr>
        <w:t>ثة</w:t>
      </w:r>
      <w:r w:rsidR="0094158D" w:rsidRPr="006571AC">
        <w:rPr>
          <w:rFonts w:hint="cs"/>
          <w:sz w:val="27"/>
          <w:rtl/>
          <w:lang w:bidi="ar-IQ"/>
        </w:rPr>
        <w:t>؛</w:t>
      </w:r>
      <w:r w:rsidRPr="006571AC">
        <w:rPr>
          <w:rFonts w:hint="cs"/>
          <w:sz w:val="27"/>
          <w:rtl/>
          <w:lang w:bidi="ar-IQ"/>
        </w:rPr>
        <w:t xml:space="preserve"> لأن إضفاء المشروعية على العقود المست</w:t>
      </w:r>
      <w:r w:rsidR="0094158D" w:rsidRPr="006571AC">
        <w:rPr>
          <w:rFonts w:hint="cs"/>
          <w:sz w:val="27"/>
          <w:rtl/>
          <w:lang w:bidi="ar-IQ"/>
        </w:rPr>
        <w:t>َ</w:t>
      </w:r>
      <w:r w:rsidRPr="006571AC">
        <w:rPr>
          <w:rFonts w:hint="cs"/>
          <w:sz w:val="27"/>
          <w:rtl/>
          <w:lang w:bidi="ar-IQ"/>
        </w:rPr>
        <w:t>ح</w:t>
      </w:r>
      <w:r w:rsidR="0094158D" w:rsidRPr="006571AC">
        <w:rPr>
          <w:rFonts w:hint="cs"/>
          <w:sz w:val="27"/>
          <w:rtl/>
          <w:lang w:bidi="ar-IQ"/>
        </w:rPr>
        <w:t>ْ</w:t>
      </w:r>
      <w:r w:rsidRPr="006571AC">
        <w:rPr>
          <w:rFonts w:hint="cs"/>
          <w:sz w:val="27"/>
          <w:rtl/>
          <w:lang w:bidi="ar-IQ"/>
        </w:rPr>
        <w:t>د</w:t>
      </w:r>
      <w:r w:rsidR="0094158D" w:rsidRPr="006571AC">
        <w:rPr>
          <w:rFonts w:hint="cs"/>
          <w:sz w:val="27"/>
          <w:rtl/>
          <w:lang w:bidi="ar-IQ"/>
        </w:rPr>
        <w:t>َ</w:t>
      </w:r>
      <w:r w:rsidRPr="006571AC">
        <w:rPr>
          <w:rFonts w:hint="cs"/>
          <w:sz w:val="27"/>
          <w:rtl/>
          <w:lang w:bidi="ar-IQ"/>
        </w:rPr>
        <w:t>ثة ر</w:t>
      </w:r>
      <w:r w:rsidR="0094158D" w:rsidRPr="006571AC">
        <w:rPr>
          <w:rFonts w:hint="cs"/>
          <w:sz w:val="27"/>
          <w:rtl/>
          <w:lang w:bidi="ar-IQ"/>
        </w:rPr>
        <w:t>َ</w:t>
      </w:r>
      <w:r w:rsidRPr="006571AC">
        <w:rPr>
          <w:rFonts w:hint="cs"/>
          <w:sz w:val="27"/>
          <w:rtl/>
          <w:lang w:bidi="ar-IQ"/>
        </w:rPr>
        <w:t>ه</w:t>
      </w:r>
      <w:r w:rsidR="0094158D" w:rsidRPr="006571AC">
        <w:rPr>
          <w:rFonts w:hint="cs"/>
          <w:sz w:val="27"/>
          <w:rtl/>
          <w:lang w:bidi="ar-IQ"/>
        </w:rPr>
        <w:t>ْ</w:t>
      </w:r>
      <w:r w:rsidRPr="006571AC">
        <w:rPr>
          <w:rFonts w:hint="cs"/>
          <w:sz w:val="27"/>
          <w:rtl/>
          <w:lang w:bidi="ar-IQ"/>
        </w:rPr>
        <w:t>ن</w:t>
      </w:r>
      <w:r w:rsidR="0094158D" w:rsidRPr="006571AC">
        <w:rPr>
          <w:rFonts w:hint="cs"/>
          <w:sz w:val="27"/>
          <w:rtl/>
          <w:lang w:bidi="ar-IQ"/>
        </w:rPr>
        <w:t>ٌ</w:t>
      </w:r>
      <w:r w:rsidRPr="006571AC">
        <w:rPr>
          <w:rFonts w:hint="cs"/>
          <w:sz w:val="27"/>
          <w:rtl/>
          <w:lang w:bidi="ar-IQ"/>
        </w:rPr>
        <w:t xml:space="preserve"> </w:t>
      </w:r>
      <w:r w:rsidR="0094158D" w:rsidRPr="006571AC">
        <w:rPr>
          <w:rFonts w:hint="cs"/>
          <w:sz w:val="27"/>
          <w:rtl/>
          <w:lang w:bidi="ar-IQ"/>
        </w:rPr>
        <w:t>بأحد</w:t>
      </w:r>
      <w:r w:rsidRPr="006571AC">
        <w:rPr>
          <w:rFonts w:hint="cs"/>
          <w:sz w:val="27"/>
          <w:rtl/>
          <w:lang w:bidi="ar-IQ"/>
        </w:rPr>
        <w:t xml:space="preserve"> أمرين: </w:t>
      </w:r>
    </w:p>
    <w:p w:rsidR="00381A52" w:rsidRPr="006571AC" w:rsidRDefault="00381A52" w:rsidP="00552C10">
      <w:pPr>
        <w:rPr>
          <w:sz w:val="27"/>
          <w:rtl/>
          <w:lang w:bidi="ar-IQ"/>
        </w:rPr>
      </w:pPr>
      <w:r w:rsidRPr="006571AC">
        <w:rPr>
          <w:rFonts w:hint="cs"/>
          <w:sz w:val="27"/>
          <w:rtl/>
          <w:lang w:bidi="ar-IQ"/>
        </w:rPr>
        <w:t>1ـ أن لا نعتبر العقود أمراً توقيفياً، ونقول بمشروعية كل</w:t>
      </w:r>
      <w:r w:rsidR="0094158D" w:rsidRPr="006571AC">
        <w:rPr>
          <w:rFonts w:hint="cs"/>
          <w:sz w:val="27"/>
          <w:rtl/>
          <w:lang w:bidi="ar-IQ"/>
        </w:rPr>
        <w:t>ّ</w:t>
      </w:r>
      <w:r w:rsidRPr="006571AC">
        <w:rPr>
          <w:rFonts w:hint="cs"/>
          <w:sz w:val="27"/>
          <w:rtl/>
          <w:lang w:bidi="ar-IQ"/>
        </w:rPr>
        <w:t xml:space="preserve"> عقد</w:t>
      </w:r>
      <w:r w:rsidR="0094158D" w:rsidRPr="006571AC">
        <w:rPr>
          <w:rFonts w:hint="cs"/>
          <w:sz w:val="27"/>
          <w:rtl/>
          <w:lang w:bidi="ar-IQ"/>
        </w:rPr>
        <w:t>ٍ</w:t>
      </w:r>
      <w:r w:rsidRPr="006571AC">
        <w:rPr>
          <w:rFonts w:hint="cs"/>
          <w:sz w:val="27"/>
          <w:rtl/>
          <w:lang w:bidi="ar-IQ"/>
        </w:rPr>
        <w:t xml:space="preserve"> يجري على بناء العقلاء، ولا يتنافى مع القواعد الشرعيّة المسلّ</w:t>
      </w:r>
      <w:r w:rsidR="0094158D" w:rsidRPr="006571AC">
        <w:rPr>
          <w:rFonts w:hint="cs"/>
          <w:sz w:val="27"/>
          <w:rtl/>
          <w:lang w:bidi="ar-IQ"/>
        </w:rPr>
        <w:t>َ</w:t>
      </w:r>
      <w:r w:rsidRPr="006571AC">
        <w:rPr>
          <w:rFonts w:hint="cs"/>
          <w:sz w:val="27"/>
          <w:rtl/>
          <w:lang w:bidi="ar-IQ"/>
        </w:rPr>
        <w:t xml:space="preserve">مة في المعاملات. </w:t>
      </w:r>
    </w:p>
    <w:p w:rsidR="00381A52" w:rsidRPr="006571AC" w:rsidRDefault="00381A52" w:rsidP="00552C10">
      <w:pPr>
        <w:rPr>
          <w:sz w:val="27"/>
          <w:rtl/>
          <w:lang w:bidi="ar-IQ"/>
        </w:rPr>
      </w:pPr>
      <w:r w:rsidRPr="006571AC">
        <w:rPr>
          <w:rFonts w:hint="cs"/>
          <w:sz w:val="27"/>
          <w:rtl/>
          <w:lang w:bidi="ar-IQ"/>
        </w:rPr>
        <w:t>2ـ أن نعتبر الصلح الابتدائي في مقام المعاملات مشروعاً، وعندها سوف يكون القيام بتلك المعاملة المست</w:t>
      </w:r>
      <w:r w:rsidR="0094158D" w:rsidRPr="006571AC">
        <w:rPr>
          <w:rFonts w:hint="cs"/>
          <w:sz w:val="27"/>
          <w:rtl/>
          <w:lang w:bidi="ar-IQ"/>
        </w:rPr>
        <w:t>َ</w:t>
      </w:r>
      <w:r w:rsidRPr="006571AC">
        <w:rPr>
          <w:rFonts w:hint="cs"/>
          <w:sz w:val="27"/>
          <w:rtl/>
          <w:lang w:bidi="ar-IQ"/>
        </w:rPr>
        <w:t>ح</w:t>
      </w:r>
      <w:r w:rsidR="0094158D" w:rsidRPr="006571AC">
        <w:rPr>
          <w:rFonts w:hint="cs"/>
          <w:sz w:val="27"/>
          <w:rtl/>
          <w:lang w:bidi="ar-IQ"/>
        </w:rPr>
        <w:t>ْ</w:t>
      </w:r>
      <w:r w:rsidRPr="006571AC">
        <w:rPr>
          <w:rFonts w:hint="cs"/>
          <w:sz w:val="27"/>
          <w:rtl/>
          <w:lang w:bidi="ar-IQ"/>
        </w:rPr>
        <w:t>د</w:t>
      </w:r>
      <w:r w:rsidR="0094158D" w:rsidRPr="006571AC">
        <w:rPr>
          <w:rFonts w:hint="cs"/>
          <w:sz w:val="27"/>
          <w:rtl/>
          <w:lang w:bidi="ar-IQ"/>
        </w:rPr>
        <w:t>َ</w:t>
      </w:r>
      <w:r w:rsidRPr="006571AC">
        <w:rPr>
          <w:rFonts w:hint="cs"/>
          <w:sz w:val="27"/>
          <w:rtl/>
          <w:lang w:bidi="ar-IQ"/>
        </w:rPr>
        <w:t>ثة في إطار عقد الصلح الابتدائي أمراً ممكناً؛ لأن ماهية الصلح هي التسالم. وبعبارة</w:t>
      </w:r>
      <w:r w:rsidR="0094158D" w:rsidRPr="006571AC">
        <w:rPr>
          <w:rFonts w:hint="cs"/>
          <w:sz w:val="27"/>
          <w:rtl/>
          <w:lang w:bidi="ar-IQ"/>
        </w:rPr>
        <w:t>ٍ</w:t>
      </w:r>
      <w:r w:rsidRPr="006571AC">
        <w:rPr>
          <w:rFonts w:hint="cs"/>
          <w:sz w:val="27"/>
          <w:rtl/>
          <w:lang w:bidi="ar-IQ"/>
        </w:rPr>
        <w:t xml:space="preserve"> أخرى: يجب أن يكون المقصود الأصلي في الصلح هو التسالم، وأما الأمور الأخرى</w:t>
      </w:r>
      <w:r w:rsidR="0094158D" w:rsidRPr="006571AC">
        <w:rPr>
          <w:rFonts w:hint="cs"/>
          <w:sz w:val="27"/>
          <w:rtl/>
          <w:lang w:bidi="ar-IQ"/>
        </w:rPr>
        <w:t>،</w:t>
      </w:r>
      <w:r w:rsidRPr="006571AC">
        <w:rPr>
          <w:rFonts w:hint="cs"/>
          <w:sz w:val="27"/>
          <w:rtl/>
          <w:lang w:bidi="ar-IQ"/>
        </w:rPr>
        <w:t xml:space="preserve"> من قبيل</w:t>
      </w:r>
      <w:r w:rsidR="0094158D" w:rsidRPr="006571AC">
        <w:rPr>
          <w:rFonts w:hint="cs"/>
          <w:sz w:val="27"/>
          <w:rtl/>
          <w:lang w:bidi="ar-IQ"/>
        </w:rPr>
        <w:t>:</w:t>
      </w:r>
      <w:r w:rsidRPr="006571AC">
        <w:rPr>
          <w:rFonts w:hint="cs"/>
          <w:sz w:val="27"/>
          <w:rtl/>
          <w:lang w:bidi="ar-IQ"/>
        </w:rPr>
        <w:t xml:space="preserve"> التمليك والتملّك، فيجب أن تكون مقصودة</w:t>
      </w:r>
      <w:r w:rsidR="0094158D" w:rsidRPr="006571AC">
        <w:rPr>
          <w:rFonts w:hint="cs"/>
          <w:sz w:val="27"/>
          <w:rtl/>
          <w:lang w:bidi="ar-IQ"/>
        </w:rPr>
        <w:t>ً</w:t>
      </w:r>
      <w:r w:rsidRPr="006571AC">
        <w:rPr>
          <w:rFonts w:hint="cs"/>
          <w:sz w:val="27"/>
          <w:rtl/>
          <w:lang w:bidi="ar-IQ"/>
        </w:rPr>
        <w:t xml:space="preserve"> بالت</w:t>
      </w:r>
      <w:r w:rsidR="0094158D" w:rsidRPr="006571AC">
        <w:rPr>
          <w:rFonts w:hint="cs"/>
          <w:sz w:val="27"/>
          <w:rtl/>
          <w:lang w:bidi="ar-IQ"/>
        </w:rPr>
        <w:t>َّ</w:t>
      </w:r>
      <w:r w:rsidRPr="006571AC">
        <w:rPr>
          <w:rFonts w:hint="cs"/>
          <w:sz w:val="27"/>
          <w:rtl/>
          <w:lang w:bidi="ar-IQ"/>
        </w:rPr>
        <w:t>ب</w:t>
      </w:r>
      <w:r w:rsidR="0094158D" w:rsidRPr="006571AC">
        <w:rPr>
          <w:rFonts w:hint="cs"/>
          <w:sz w:val="27"/>
          <w:rtl/>
          <w:lang w:bidi="ar-IQ"/>
        </w:rPr>
        <w:t>َ</w:t>
      </w:r>
      <w:r w:rsidRPr="006571AC">
        <w:rPr>
          <w:rFonts w:hint="cs"/>
          <w:sz w:val="27"/>
          <w:rtl/>
          <w:lang w:bidi="ar-IQ"/>
        </w:rPr>
        <w:t xml:space="preserve">ع. </w:t>
      </w:r>
    </w:p>
    <w:p w:rsidR="00381A52" w:rsidRPr="006571AC" w:rsidRDefault="0094158D" w:rsidP="00552C10">
      <w:pPr>
        <w:rPr>
          <w:sz w:val="27"/>
          <w:rtl/>
          <w:lang w:bidi="ar-IQ"/>
        </w:rPr>
      </w:pPr>
      <w:r w:rsidRPr="006571AC">
        <w:rPr>
          <w:rFonts w:hint="cs"/>
          <w:sz w:val="27"/>
          <w:rtl/>
          <w:lang w:bidi="ar-IQ"/>
        </w:rPr>
        <w:t>و</w:t>
      </w:r>
      <w:r w:rsidR="00381A52" w:rsidRPr="006571AC">
        <w:rPr>
          <w:rFonts w:hint="cs"/>
          <w:sz w:val="27"/>
          <w:rtl/>
          <w:lang w:bidi="ar-IQ"/>
        </w:rPr>
        <w:t>نسعى في هذه المقالة إلى إثبات مشروعية الصلح الابتدائي</w:t>
      </w:r>
      <w:r w:rsidRPr="006571AC">
        <w:rPr>
          <w:rFonts w:hint="cs"/>
          <w:sz w:val="27"/>
          <w:rtl/>
          <w:lang w:bidi="ar-IQ"/>
        </w:rPr>
        <w:t>؛</w:t>
      </w:r>
      <w:r w:rsidR="00381A52" w:rsidRPr="006571AC">
        <w:rPr>
          <w:rFonts w:hint="cs"/>
          <w:sz w:val="27"/>
          <w:rtl/>
          <w:lang w:bidi="ar-IQ"/>
        </w:rPr>
        <w:t xml:space="preserve"> بالأدلة العامة للعقود، من قبيل: </w:t>
      </w:r>
      <w:r w:rsidR="00381A52" w:rsidRPr="006571AC">
        <w:rPr>
          <w:rFonts w:ascii="Mosawi" w:hAnsi="Mosawi" w:cs="Mosawi"/>
          <w:sz w:val="24"/>
          <w:szCs w:val="24"/>
          <w:rtl/>
        </w:rPr>
        <w:t>﴿</w:t>
      </w:r>
      <w:r w:rsidR="00381A52" w:rsidRPr="006571AC">
        <w:rPr>
          <w:b/>
          <w:bCs/>
          <w:sz w:val="27"/>
          <w:rtl/>
          <w:lang w:bidi="ar-IQ"/>
        </w:rPr>
        <w:t>أَوْفُوا بِالْعُقُودِ</w:t>
      </w:r>
      <w:r w:rsidR="00381A52" w:rsidRPr="006571AC">
        <w:rPr>
          <w:rFonts w:ascii="Mosawi" w:hAnsi="Mosawi" w:cs="Mosawi"/>
          <w:sz w:val="24"/>
          <w:szCs w:val="24"/>
          <w:rtl/>
        </w:rPr>
        <w:t>﴾</w:t>
      </w:r>
      <w:r w:rsidR="00381A52" w:rsidRPr="006571AC">
        <w:rPr>
          <w:rFonts w:hint="cs"/>
          <w:sz w:val="27"/>
          <w:rtl/>
          <w:lang w:bidi="ar-IQ"/>
        </w:rPr>
        <w:t xml:space="preserve"> (المائدة: 1)، و</w:t>
      </w:r>
      <w:r w:rsidR="00381A52" w:rsidRPr="006571AC">
        <w:rPr>
          <w:rFonts w:ascii="Mosawi" w:hAnsi="Mosawi" w:cs="Mosawi"/>
          <w:sz w:val="24"/>
          <w:szCs w:val="24"/>
          <w:rtl/>
        </w:rPr>
        <w:t>﴿</w:t>
      </w:r>
      <w:r w:rsidR="00381A52" w:rsidRPr="006571AC">
        <w:rPr>
          <w:b/>
          <w:bCs/>
          <w:sz w:val="27"/>
          <w:rtl/>
          <w:lang w:bidi="ar-IQ"/>
        </w:rPr>
        <w:t>تِجَارَةً عَنْ تَرَاضٍ مِنْكُمْ</w:t>
      </w:r>
      <w:r w:rsidR="00381A52" w:rsidRPr="006571AC">
        <w:rPr>
          <w:rFonts w:ascii="Mosawi" w:hAnsi="Mosawi" w:cs="Mosawi"/>
          <w:sz w:val="24"/>
          <w:szCs w:val="24"/>
          <w:rtl/>
        </w:rPr>
        <w:t>﴾</w:t>
      </w:r>
      <w:r w:rsidR="00381A52" w:rsidRPr="006571AC">
        <w:rPr>
          <w:rFonts w:hint="cs"/>
          <w:sz w:val="27"/>
          <w:rtl/>
          <w:lang w:bidi="ar-IQ"/>
        </w:rPr>
        <w:t xml:space="preserve"> (النساء: 29)، و</w:t>
      </w:r>
      <w:r w:rsidR="00381A52" w:rsidRPr="006571AC">
        <w:rPr>
          <w:rFonts w:hint="eastAsia"/>
          <w:sz w:val="24"/>
          <w:szCs w:val="24"/>
          <w:rtl/>
        </w:rPr>
        <w:t>«</w:t>
      </w:r>
      <w:r w:rsidR="00381A52" w:rsidRPr="006571AC">
        <w:rPr>
          <w:rFonts w:hint="cs"/>
          <w:sz w:val="27"/>
          <w:rtl/>
          <w:lang w:bidi="ar-IQ"/>
        </w:rPr>
        <w:t>المسل</w:t>
      </w:r>
      <w:r w:rsidRPr="006571AC">
        <w:rPr>
          <w:rFonts w:hint="cs"/>
          <w:sz w:val="27"/>
          <w:rtl/>
          <w:lang w:bidi="ar-IQ"/>
        </w:rPr>
        <w:t>م</w:t>
      </w:r>
      <w:r w:rsidR="00381A52" w:rsidRPr="006571AC">
        <w:rPr>
          <w:rFonts w:hint="cs"/>
          <w:sz w:val="27"/>
          <w:rtl/>
          <w:lang w:bidi="ar-IQ"/>
        </w:rPr>
        <w:t>ون عند شروطهم</w:t>
      </w:r>
      <w:r w:rsidR="00381A52" w:rsidRPr="006571AC">
        <w:rPr>
          <w:rFonts w:hint="eastAsia"/>
          <w:sz w:val="24"/>
          <w:szCs w:val="24"/>
          <w:rtl/>
        </w:rPr>
        <w:t>»</w:t>
      </w:r>
      <w:r w:rsidR="00381A52" w:rsidRPr="006571AC">
        <w:rPr>
          <w:sz w:val="27"/>
          <w:vertAlign w:val="superscript"/>
          <w:rtl/>
          <w:lang w:bidi="ar-IQ"/>
        </w:rPr>
        <w:t>(</w:t>
      </w:r>
      <w:r w:rsidR="00381A52" w:rsidRPr="006571AC">
        <w:rPr>
          <w:rStyle w:val="ac"/>
          <w:sz w:val="27"/>
          <w:rtl/>
          <w:lang w:bidi="ar-IQ"/>
        </w:rPr>
        <w:endnoteReference w:id="226"/>
      </w:r>
      <w:r w:rsidR="00381A52" w:rsidRPr="006571AC">
        <w:rPr>
          <w:sz w:val="27"/>
          <w:vertAlign w:val="superscript"/>
          <w:rtl/>
          <w:lang w:bidi="ar-IQ"/>
        </w:rPr>
        <w:t>)</w:t>
      </w:r>
      <w:r w:rsidRPr="006571AC">
        <w:rPr>
          <w:rFonts w:hint="cs"/>
          <w:sz w:val="27"/>
          <w:rtl/>
          <w:lang w:bidi="ar-IQ"/>
        </w:rPr>
        <w:t>؛</w:t>
      </w:r>
      <w:r w:rsidR="00381A52" w:rsidRPr="006571AC">
        <w:rPr>
          <w:rFonts w:hint="cs"/>
          <w:sz w:val="27"/>
          <w:rtl/>
          <w:lang w:bidi="ar-IQ"/>
        </w:rPr>
        <w:t xml:space="preserve"> وبعض الأدل</w:t>
      </w:r>
      <w:r w:rsidRPr="006571AC">
        <w:rPr>
          <w:rFonts w:hint="cs"/>
          <w:sz w:val="27"/>
          <w:rtl/>
          <w:lang w:bidi="ar-IQ"/>
        </w:rPr>
        <w:t>ّ</w:t>
      </w:r>
      <w:r w:rsidR="00381A52" w:rsidRPr="006571AC">
        <w:rPr>
          <w:rFonts w:hint="cs"/>
          <w:sz w:val="27"/>
          <w:rtl/>
          <w:lang w:bidi="ar-IQ"/>
        </w:rPr>
        <w:t>ة الخاصة. ومن هنا فإننا</w:t>
      </w:r>
      <w:r w:rsidRPr="006571AC">
        <w:rPr>
          <w:rFonts w:hint="cs"/>
          <w:sz w:val="27"/>
          <w:rtl/>
          <w:lang w:bidi="ar-IQ"/>
        </w:rPr>
        <w:t>؛</w:t>
      </w:r>
      <w:r w:rsidR="00381A52" w:rsidRPr="006571AC">
        <w:rPr>
          <w:rFonts w:hint="cs"/>
          <w:sz w:val="27"/>
          <w:rtl/>
          <w:lang w:bidi="ar-IQ"/>
        </w:rPr>
        <w:t xml:space="preserve"> لهذه الأدلة</w:t>
      </w:r>
      <w:r w:rsidRPr="006571AC">
        <w:rPr>
          <w:rFonts w:hint="cs"/>
          <w:sz w:val="27"/>
          <w:rtl/>
          <w:lang w:bidi="ar-IQ"/>
        </w:rPr>
        <w:t>،</w:t>
      </w:r>
      <w:r w:rsidR="00381A52" w:rsidRPr="006571AC">
        <w:rPr>
          <w:rFonts w:hint="cs"/>
          <w:sz w:val="27"/>
          <w:rtl/>
          <w:lang w:bidi="ar-IQ"/>
        </w:rPr>
        <w:t xml:space="preserve"> نعتبر الصلح الابتدائي </w:t>
      </w:r>
      <w:r w:rsidRPr="006571AC">
        <w:rPr>
          <w:rFonts w:hint="cs"/>
          <w:sz w:val="27"/>
          <w:rtl/>
          <w:lang w:bidi="ar-IQ"/>
        </w:rPr>
        <w:t>مشروعاً</w:t>
      </w:r>
      <w:r w:rsidR="00381A52" w:rsidRPr="006571AC">
        <w:rPr>
          <w:rFonts w:hint="cs"/>
          <w:sz w:val="27"/>
          <w:rtl/>
          <w:lang w:bidi="ar-IQ"/>
        </w:rPr>
        <w:t>، ونعتبر الأدل</w:t>
      </w:r>
      <w:r w:rsidRPr="006571AC">
        <w:rPr>
          <w:rFonts w:hint="cs"/>
          <w:sz w:val="27"/>
          <w:rtl/>
          <w:lang w:bidi="ar-IQ"/>
        </w:rPr>
        <w:t>ّ</w:t>
      </w:r>
      <w:r w:rsidR="00381A52" w:rsidRPr="006571AC">
        <w:rPr>
          <w:rFonts w:hint="cs"/>
          <w:sz w:val="27"/>
          <w:rtl/>
          <w:lang w:bidi="ar-IQ"/>
        </w:rPr>
        <w:t>ة المذكورة لإثبات عدم مشروعي</w:t>
      </w:r>
      <w:r w:rsidRPr="006571AC">
        <w:rPr>
          <w:rFonts w:hint="cs"/>
          <w:sz w:val="27"/>
          <w:rtl/>
          <w:lang w:bidi="ar-IQ"/>
        </w:rPr>
        <w:t>ّ</w:t>
      </w:r>
      <w:r w:rsidR="00381A52" w:rsidRPr="006571AC">
        <w:rPr>
          <w:rFonts w:hint="cs"/>
          <w:sz w:val="27"/>
          <w:rtl/>
          <w:lang w:bidi="ar-IQ"/>
        </w:rPr>
        <w:t>ة الصلح الابتدائي غير تامّة</w:t>
      </w:r>
      <w:r w:rsidRPr="006571AC">
        <w:rPr>
          <w:rFonts w:hint="cs"/>
          <w:sz w:val="27"/>
          <w:rtl/>
          <w:lang w:bidi="ar-IQ"/>
        </w:rPr>
        <w:t>ٍ</w:t>
      </w:r>
      <w:r w:rsidR="00381A52" w:rsidRPr="006571AC">
        <w:rPr>
          <w:rFonts w:hint="cs"/>
          <w:sz w:val="27"/>
          <w:rtl/>
          <w:lang w:bidi="ar-IQ"/>
        </w:rPr>
        <w:t xml:space="preserve">. </w:t>
      </w:r>
    </w:p>
    <w:p w:rsidR="00DF673D" w:rsidRPr="006571AC" w:rsidRDefault="00DF673D" w:rsidP="00552C10">
      <w:pPr>
        <w:rPr>
          <w:sz w:val="27"/>
          <w:rtl/>
          <w:lang w:bidi="ar-IQ"/>
        </w:rPr>
      </w:pPr>
      <w:r w:rsidRPr="006571AC">
        <w:rPr>
          <w:rFonts w:hint="cs"/>
          <w:sz w:val="27"/>
          <w:rtl/>
          <w:lang w:bidi="ar-IQ"/>
        </w:rPr>
        <w:t>وتجدر الإشارة إلى أنه قد تمّ السعي في هذه المقالة إلى بيان الأدلة التي أقامها الفقهاء على شرعية عقد الصلح الابتدائي، وإنْ كان فيها ضعفٌ عمدنا إلى ترميمه وتكميله، مع بيانها وتقريبها بشكلٍ واضح، بالإضافة إلى استقصاء جميع الأدلّة، بما في ذلك الأدلة غير التامّة أيضاً.</w:t>
      </w:r>
    </w:p>
    <w:p w:rsidR="00127CAB" w:rsidRPr="006571AC" w:rsidRDefault="00127CAB" w:rsidP="00127CAB">
      <w:pPr>
        <w:spacing w:line="420" w:lineRule="exact"/>
        <w:rPr>
          <w:sz w:val="27"/>
          <w:rtl/>
        </w:rPr>
      </w:pPr>
    </w:p>
    <w:p w:rsidR="00381A52" w:rsidRPr="006571AC" w:rsidRDefault="00DF673D" w:rsidP="00714072">
      <w:pPr>
        <w:pStyle w:val="31"/>
        <w:rPr>
          <w:color w:val="auto"/>
          <w:rtl/>
          <w:lang w:bidi="ar-IQ"/>
        </w:rPr>
      </w:pPr>
      <w:bookmarkStart w:id="110" w:name="_Toc114164599"/>
      <w:r w:rsidRPr="006571AC">
        <w:rPr>
          <w:rFonts w:hint="cs"/>
          <w:color w:val="auto"/>
          <w:rtl/>
          <w:lang w:bidi="ar-IQ"/>
        </w:rPr>
        <w:t>عقد الصلح في الآثار القديمة والحديثة</w:t>
      </w:r>
      <w:bookmarkEnd w:id="110"/>
      <w:r w:rsidR="003D46E7" w:rsidRPr="006571AC">
        <w:rPr>
          <w:rFonts w:hint="cs"/>
          <w:color w:val="auto"/>
          <w:rtl/>
          <w:lang w:bidi="ar-IQ"/>
        </w:rPr>
        <w:t xml:space="preserve"> </w:t>
      </w:r>
    </w:p>
    <w:p w:rsidR="00381A52" w:rsidRPr="006571AC" w:rsidRDefault="00381A52" w:rsidP="0066497B">
      <w:pPr>
        <w:rPr>
          <w:sz w:val="27"/>
          <w:rtl/>
          <w:lang w:bidi="ar-IQ"/>
        </w:rPr>
      </w:pPr>
      <w:r w:rsidRPr="006571AC">
        <w:rPr>
          <w:rFonts w:hint="cs"/>
          <w:sz w:val="27"/>
          <w:rtl/>
          <w:lang w:bidi="ar-IQ"/>
        </w:rPr>
        <w:t>لقد عقد الفقهاء في مؤل</w:t>
      </w:r>
      <w:r w:rsidR="000F69E7" w:rsidRPr="006571AC">
        <w:rPr>
          <w:rFonts w:hint="cs"/>
          <w:sz w:val="27"/>
          <w:rtl/>
          <w:lang w:bidi="ar-IQ"/>
        </w:rPr>
        <w:t>َّ</w:t>
      </w:r>
      <w:r w:rsidRPr="006571AC">
        <w:rPr>
          <w:rFonts w:hint="cs"/>
          <w:sz w:val="27"/>
          <w:rtl/>
          <w:lang w:bidi="ar-IQ"/>
        </w:rPr>
        <w:t>فاتهم وآثارهم الفقهية والروائية فروعاً مختلفة ضمن أبواب الصلح. وجاء في الكتب الروائية ـ من قبيل</w:t>
      </w:r>
      <w:r w:rsidR="000F69E7"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الكافي</w:t>
      </w:r>
      <w:r w:rsidRPr="006571AC">
        <w:rPr>
          <w:rFonts w:hint="eastAsia"/>
          <w:sz w:val="24"/>
          <w:szCs w:val="24"/>
          <w:rtl/>
        </w:rPr>
        <w:t>»</w:t>
      </w:r>
      <w:r w:rsidRPr="006571AC">
        <w:rPr>
          <w:rFonts w:hint="cs"/>
          <w:sz w:val="27"/>
          <w:rtl/>
          <w:lang w:bidi="ar-IQ"/>
        </w:rPr>
        <w:t>، و</w:t>
      </w:r>
      <w:r w:rsidRPr="006571AC">
        <w:rPr>
          <w:rFonts w:hint="eastAsia"/>
          <w:sz w:val="24"/>
          <w:szCs w:val="24"/>
          <w:rtl/>
        </w:rPr>
        <w:t>«</w:t>
      </w:r>
      <w:r w:rsidRPr="006571AC">
        <w:rPr>
          <w:rFonts w:hint="cs"/>
          <w:sz w:val="27"/>
          <w:rtl/>
          <w:lang w:bidi="ar-IQ"/>
        </w:rPr>
        <w:t>م</w:t>
      </w:r>
      <w:r w:rsidR="000F69E7" w:rsidRPr="006571AC">
        <w:rPr>
          <w:rFonts w:hint="cs"/>
          <w:sz w:val="27"/>
          <w:rtl/>
          <w:lang w:bidi="ar-IQ"/>
        </w:rPr>
        <w:t>َ</w:t>
      </w:r>
      <w:r w:rsidRPr="006571AC">
        <w:rPr>
          <w:rFonts w:hint="cs"/>
          <w:sz w:val="27"/>
          <w:rtl/>
          <w:lang w:bidi="ar-IQ"/>
        </w:rPr>
        <w:t>ن</w:t>
      </w:r>
      <w:r w:rsidR="000F69E7" w:rsidRPr="006571AC">
        <w:rPr>
          <w:rFonts w:hint="cs"/>
          <w:sz w:val="27"/>
          <w:rtl/>
          <w:lang w:bidi="ar-IQ"/>
        </w:rPr>
        <w:t>ْ</w:t>
      </w:r>
      <w:r w:rsidRPr="006571AC">
        <w:rPr>
          <w:rFonts w:hint="cs"/>
          <w:sz w:val="27"/>
          <w:rtl/>
          <w:lang w:bidi="ar-IQ"/>
        </w:rPr>
        <w:t xml:space="preserve"> لا يحضره الفقيه</w:t>
      </w:r>
      <w:r w:rsidRPr="006571AC">
        <w:rPr>
          <w:rFonts w:hint="eastAsia"/>
          <w:sz w:val="24"/>
          <w:szCs w:val="24"/>
          <w:rtl/>
        </w:rPr>
        <w:t>»</w:t>
      </w:r>
      <w:r w:rsidRPr="006571AC">
        <w:rPr>
          <w:rFonts w:hint="cs"/>
          <w:sz w:val="27"/>
          <w:rtl/>
          <w:lang w:bidi="ar-IQ"/>
        </w:rPr>
        <w:t>، و</w:t>
      </w:r>
      <w:r w:rsidRPr="006571AC">
        <w:rPr>
          <w:rFonts w:hint="eastAsia"/>
          <w:sz w:val="24"/>
          <w:szCs w:val="24"/>
          <w:rtl/>
        </w:rPr>
        <w:t>«</w:t>
      </w:r>
      <w:r w:rsidRPr="006571AC">
        <w:rPr>
          <w:rFonts w:hint="cs"/>
          <w:sz w:val="27"/>
          <w:rtl/>
          <w:lang w:bidi="ar-IQ"/>
        </w:rPr>
        <w:t>تهذيب الأحكام</w:t>
      </w:r>
      <w:r w:rsidRPr="006571AC">
        <w:rPr>
          <w:rFonts w:hint="eastAsia"/>
          <w:sz w:val="24"/>
          <w:szCs w:val="24"/>
          <w:rtl/>
        </w:rPr>
        <w:t>»</w:t>
      </w:r>
      <w:r w:rsidRPr="006571AC">
        <w:rPr>
          <w:rFonts w:hint="cs"/>
          <w:sz w:val="27"/>
          <w:rtl/>
          <w:lang w:bidi="ar-IQ"/>
        </w:rPr>
        <w:t xml:space="preserve"> ـ باب</w:t>
      </w:r>
      <w:r w:rsidR="000F69E7" w:rsidRPr="006571AC">
        <w:rPr>
          <w:rFonts w:hint="cs"/>
          <w:sz w:val="27"/>
          <w:rtl/>
          <w:lang w:bidi="ar-IQ"/>
        </w:rPr>
        <w:t>ٌ</w:t>
      </w:r>
      <w:r w:rsidRPr="006571AC">
        <w:rPr>
          <w:rFonts w:hint="cs"/>
          <w:sz w:val="27"/>
          <w:rtl/>
          <w:lang w:bidi="ar-IQ"/>
        </w:rPr>
        <w:t xml:space="preserve"> مستقل</w:t>
      </w:r>
      <w:r w:rsidR="000F69E7" w:rsidRPr="006571AC">
        <w:rPr>
          <w:rFonts w:hint="cs"/>
          <w:sz w:val="27"/>
          <w:rtl/>
          <w:lang w:bidi="ar-IQ"/>
        </w:rPr>
        <w:t>ّ</w:t>
      </w:r>
      <w:r w:rsidRPr="006571AC">
        <w:rPr>
          <w:rFonts w:hint="cs"/>
          <w:sz w:val="27"/>
          <w:rtl/>
          <w:lang w:bidi="ar-IQ"/>
        </w:rPr>
        <w:t xml:space="preserve"> تحت عنوان الصلح</w:t>
      </w:r>
      <w:r w:rsidRPr="006571AC">
        <w:rPr>
          <w:sz w:val="27"/>
          <w:vertAlign w:val="superscript"/>
          <w:rtl/>
          <w:lang w:bidi="ar-IQ"/>
        </w:rPr>
        <w:t>(</w:t>
      </w:r>
      <w:r w:rsidRPr="006571AC">
        <w:rPr>
          <w:rStyle w:val="ac"/>
          <w:sz w:val="27"/>
          <w:rtl/>
          <w:lang w:bidi="ar-IQ"/>
        </w:rPr>
        <w:endnoteReference w:id="227"/>
      </w:r>
      <w:r w:rsidRPr="006571AC">
        <w:rPr>
          <w:sz w:val="27"/>
          <w:vertAlign w:val="superscript"/>
          <w:rtl/>
          <w:lang w:bidi="ar-IQ"/>
        </w:rPr>
        <w:t>)</w:t>
      </w:r>
      <w:r w:rsidRPr="006571AC">
        <w:rPr>
          <w:rFonts w:hint="cs"/>
          <w:sz w:val="27"/>
          <w:rtl/>
          <w:lang w:bidi="ar-IQ"/>
        </w:rPr>
        <w:t>. وفي الكتب الفقهي</w:t>
      </w:r>
      <w:r w:rsidR="000F69E7" w:rsidRPr="006571AC">
        <w:rPr>
          <w:rFonts w:hint="cs"/>
          <w:sz w:val="27"/>
          <w:rtl/>
          <w:lang w:bidi="ar-IQ"/>
        </w:rPr>
        <w:t>ّ</w:t>
      </w:r>
      <w:r w:rsidRPr="006571AC">
        <w:rPr>
          <w:rFonts w:hint="cs"/>
          <w:sz w:val="27"/>
          <w:rtl/>
          <w:lang w:bidi="ar-IQ"/>
        </w:rPr>
        <w:t>ة للمتقد</w:t>
      </w:r>
      <w:r w:rsidR="000F69E7" w:rsidRPr="006571AC">
        <w:rPr>
          <w:rFonts w:hint="cs"/>
          <w:sz w:val="27"/>
          <w:rtl/>
          <w:lang w:bidi="ar-IQ"/>
        </w:rPr>
        <w:t>ِّ</w:t>
      </w:r>
      <w:r w:rsidRPr="006571AC">
        <w:rPr>
          <w:rFonts w:hint="cs"/>
          <w:sz w:val="27"/>
          <w:rtl/>
          <w:lang w:bidi="ar-IQ"/>
        </w:rPr>
        <w:t xml:space="preserve">مين، كما في </w:t>
      </w:r>
      <w:r w:rsidRPr="006571AC">
        <w:rPr>
          <w:rFonts w:hint="eastAsia"/>
          <w:sz w:val="24"/>
          <w:szCs w:val="24"/>
          <w:rtl/>
        </w:rPr>
        <w:t>«</w:t>
      </w:r>
      <w:r w:rsidRPr="006571AC">
        <w:rPr>
          <w:rFonts w:hint="cs"/>
          <w:sz w:val="27"/>
          <w:rtl/>
          <w:lang w:bidi="ar-IQ"/>
        </w:rPr>
        <w:t>المقنعة</w:t>
      </w:r>
      <w:r w:rsidRPr="006571AC">
        <w:rPr>
          <w:rFonts w:hint="eastAsia"/>
          <w:sz w:val="24"/>
          <w:szCs w:val="24"/>
          <w:rtl/>
        </w:rPr>
        <w:t>»</w:t>
      </w:r>
      <w:r w:rsidRPr="006571AC">
        <w:rPr>
          <w:rFonts w:hint="cs"/>
          <w:sz w:val="27"/>
          <w:rtl/>
          <w:lang w:bidi="ar-IQ"/>
        </w:rPr>
        <w:t xml:space="preserve"> للشيخ المفيد، و</w:t>
      </w:r>
      <w:r w:rsidRPr="006571AC">
        <w:rPr>
          <w:rFonts w:hint="eastAsia"/>
          <w:sz w:val="24"/>
          <w:szCs w:val="24"/>
          <w:rtl/>
        </w:rPr>
        <w:t>«</w:t>
      </w:r>
      <w:r w:rsidRPr="006571AC">
        <w:rPr>
          <w:rFonts w:hint="cs"/>
          <w:sz w:val="27"/>
          <w:rtl/>
          <w:lang w:bidi="ar-IQ"/>
        </w:rPr>
        <w:t>الانتصار</w:t>
      </w:r>
      <w:r w:rsidRPr="006571AC">
        <w:rPr>
          <w:rFonts w:hint="eastAsia"/>
          <w:sz w:val="24"/>
          <w:szCs w:val="24"/>
          <w:rtl/>
        </w:rPr>
        <w:t>»</w:t>
      </w:r>
      <w:r w:rsidRPr="006571AC">
        <w:rPr>
          <w:rFonts w:hint="cs"/>
          <w:sz w:val="27"/>
          <w:rtl/>
          <w:lang w:bidi="ar-IQ"/>
        </w:rPr>
        <w:t xml:space="preserve"> للسيد المرتضى، على الرغم </w:t>
      </w:r>
      <w:r w:rsidRPr="006571AC">
        <w:rPr>
          <w:rFonts w:hint="cs"/>
          <w:sz w:val="27"/>
          <w:rtl/>
          <w:lang w:bidi="ar-IQ"/>
        </w:rPr>
        <w:lastRenderedPageBreak/>
        <w:t>من عدم عقد باب مستقل</w:t>
      </w:r>
      <w:r w:rsidR="000F69E7" w:rsidRPr="006571AC">
        <w:rPr>
          <w:rFonts w:hint="cs"/>
          <w:sz w:val="27"/>
          <w:rtl/>
          <w:lang w:bidi="ar-IQ"/>
        </w:rPr>
        <w:t>ّ</w:t>
      </w:r>
      <w:r w:rsidRPr="006571AC">
        <w:rPr>
          <w:rFonts w:hint="cs"/>
          <w:sz w:val="27"/>
          <w:rtl/>
          <w:lang w:bidi="ar-IQ"/>
        </w:rPr>
        <w:t xml:space="preserve"> للصلح، ولكن</w:t>
      </w:r>
      <w:r w:rsidR="000F69E7" w:rsidRPr="006571AC">
        <w:rPr>
          <w:rFonts w:hint="cs"/>
          <w:sz w:val="27"/>
          <w:rtl/>
          <w:lang w:bidi="ar-IQ"/>
        </w:rPr>
        <w:t>ّ</w:t>
      </w:r>
      <w:r w:rsidRPr="006571AC">
        <w:rPr>
          <w:rFonts w:hint="cs"/>
          <w:sz w:val="27"/>
          <w:rtl/>
          <w:lang w:bidi="ar-IQ"/>
        </w:rPr>
        <w:t xml:space="preserve"> هذه الكتب لم ت</w:t>
      </w:r>
      <w:r w:rsidR="000F69E7" w:rsidRPr="006571AC">
        <w:rPr>
          <w:rFonts w:hint="cs"/>
          <w:sz w:val="27"/>
          <w:rtl/>
          <w:lang w:bidi="ar-IQ"/>
        </w:rPr>
        <w:t>َ</w:t>
      </w:r>
      <w:r w:rsidRPr="006571AC">
        <w:rPr>
          <w:rFonts w:hint="cs"/>
          <w:sz w:val="27"/>
          <w:rtl/>
          <w:lang w:bidi="ar-IQ"/>
        </w:rPr>
        <w:t>خ</w:t>
      </w:r>
      <w:r w:rsidR="000F69E7" w:rsidRPr="006571AC">
        <w:rPr>
          <w:rFonts w:hint="cs"/>
          <w:sz w:val="27"/>
          <w:rtl/>
          <w:lang w:bidi="ar-IQ"/>
        </w:rPr>
        <w:t>ْ</w:t>
      </w:r>
      <w:r w:rsidRPr="006571AC">
        <w:rPr>
          <w:rFonts w:hint="cs"/>
          <w:sz w:val="27"/>
          <w:rtl/>
          <w:lang w:bidi="ar-IQ"/>
        </w:rPr>
        <w:t>لُ من الإشارة إلى بعض فروعات عقد الصلح</w:t>
      </w:r>
      <w:r w:rsidRPr="006571AC">
        <w:rPr>
          <w:sz w:val="27"/>
          <w:vertAlign w:val="superscript"/>
          <w:rtl/>
          <w:lang w:bidi="ar-IQ"/>
        </w:rPr>
        <w:t>(</w:t>
      </w:r>
      <w:r w:rsidRPr="006571AC">
        <w:rPr>
          <w:rStyle w:val="ac"/>
          <w:sz w:val="27"/>
          <w:rtl/>
          <w:lang w:bidi="ar-IQ"/>
        </w:rPr>
        <w:endnoteReference w:id="228"/>
      </w:r>
      <w:r w:rsidRPr="006571AC">
        <w:rPr>
          <w:sz w:val="27"/>
          <w:vertAlign w:val="superscript"/>
          <w:rtl/>
          <w:lang w:bidi="ar-IQ"/>
        </w:rPr>
        <w:t>)</w:t>
      </w:r>
      <w:r w:rsidRPr="006571AC">
        <w:rPr>
          <w:rFonts w:hint="cs"/>
          <w:sz w:val="27"/>
          <w:rtl/>
          <w:lang w:bidi="ar-IQ"/>
        </w:rPr>
        <w:t xml:space="preserve">. </w:t>
      </w:r>
      <w:r w:rsidR="000F69E7" w:rsidRPr="006571AC">
        <w:rPr>
          <w:rFonts w:hint="cs"/>
          <w:sz w:val="27"/>
          <w:rtl/>
          <w:lang w:bidi="ar-IQ"/>
        </w:rPr>
        <w:t>و</w:t>
      </w:r>
      <w:r w:rsidRPr="006571AC">
        <w:rPr>
          <w:rFonts w:hint="cs"/>
          <w:sz w:val="27"/>
          <w:rtl/>
          <w:lang w:bidi="ar-IQ"/>
        </w:rPr>
        <w:t>في ضوء التحقيقات المبذولة تعود الجذور الأولى لفتح باب</w:t>
      </w:r>
      <w:r w:rsidR="000F69E7" w:rsidRPr="006571AC">
        <w:rPr>
          <w:rFonts w:hint="cs"/>
          <w:sz w:val="27"/>
          <w:rtl/>
          <w:lang w:bidi="ar-IQ"/>
        </w:rPr>
        <w:t>ٍ</w:t>
      </w:r>
      <w:r w:rsidRPr="006571AC">
        <w:rPr>
          <w:rFonts w:hint="cs"/>
          <w:sz w:val="27"/>
          <w:rtl/>
          <w:lang w:bidi="ar-IQ"/>
        </w:rPr>
        <w:t xml:space="preserve"> مستقل</w:t>
      </w:r>
      <w:r w:rsidR="000F69E7" w:rsidRPr="006571AC">
        <w:rPr>
          <w:rFonts w:hint="cs"/>
          <w:sz w:val="27"/>
          <w:rtl/>
          <w:lang w:bidi="ar-IQ"/>
        </w:rPr>
        <w:t>ّ</w:t>
      </w:r>
      <w:r w:rsidRPr="006571AC">
        <w:rPr>
          <w:rFonts w:hint="cs"/>
          <w:sz w:val="27"/>
          <w:rtl/>
          <w:lang w:bidi="ar-IQ"/>
        </w:rPr>
        <w:t xml:space="preserve"> لبحث المسائل الخاص</w:t>
      </w:r>
      <w:r w:rsidR="000F69E7" w:rsidRPr="006571AC">
        <w:rPr>
          <w:rFonts w:hint="cs"/>
          <w:sz w:val="27"/>
          <w:rtl/>
          <w:lang w:bidi="ar-IQ"/>
        </w:rPr>
        <w:t>ّ</w:t>
      </w:r>
      <w:r w:rsidRPr="006571AC">
        <w:rPr>
          <w:rFonts w:hint="cs"/>
          <w:sz w:val="27"/>
          <w:rtl/>
          <w:lang w:bidi="ar-IQ"/>
        </w:rPr>
        <w:t xml:space="preserve">ة بعقد الصلح في الكتب الفقهية </w:t>
      </w:r>
      <w:r w:rsidR="000F69E7" w:rsidRPr="006571AC">
        <w:rPr>
          <w:rFonts w:hint="cs"/>
          <w:sz w:val="27"/>
          <w:rtl/>
          <w:lang w:bidi="ar-IQ"/>
        </w:rPr>
        <w:t>إلى</w:t>
      </w:r>
      <w:r w:rsidRPr="006571AC">
        <w:rPr>
          <w:rFonts w:hint="cs"/>
          <w:sz w:val="27"/>
          <w:rtl/>
          <w:lang w:bidi="ar-IQ"/>
        </w:rPr>
        <w:t xml:space="preserve"> آثار أبي الصلاح الحلبي، وسلا</w:t>
      </w:r>
      <w:r w:rsidR="000F69E7" w:rsidRPr="006571AC">
        <w:rPr>
          <w:rFonts w:hint="cs"/>
          <w:sz w:val="27"/>
          <w:rtl/>
          <w:lang w:bidi="ar-IQ"/>
        </w:rPr>
        <w:t>ّ</w:t>
      </w:r>
      <w:r w:rsidRPr="006571AC">
        <w:rPr>
          <w:rFonts w:hint="cs"/>
          <w:sz w:val="27"/>
          <w:rtl/>
          <w:lang w:bidi="ar-IQ"/>
        </w:rPr>
        <w:t>ر الديلمي، والشيخ الطوسي، وقد كان هؤلاء الفقهاء معاصر</w:t>
      </w:r>
      <w:r w:rsidR="0066497B" w:rsidRPr="006571AC">
        <w:rPr>
          <w:rFonts w:hint="cs"/>
          <w:sz w:val="27"/>
          <w:rtl/>
          <w:lang w:bidi="ar-IQ"/>
        </w:rPr>
        <w:t>ي</w:t>
      </w:r>
      <w:r w:rsidRPr="006571AC">
        <w:rPr>
          <w:rFonts w:hint="cs"/>
          <w:sz w:val="27"/>
          <w:rtl/>
          <w:lang w:bidi="ar-IQ"/>
        </w:rPr>
        <w:t>ن لبعضهم</w:t>
      </w:r>
      <w:r w:rsidRPr="006571AC">
        <w:rPr>
          <w:sz w:val="27"/>
          <w:vertAlign w:val="superscript"/>
          <w:rtl/>
          <w:lang w:bidi="ar-IQ"/>
        </w:rPr>
        <w:t>(</w:t>
      </w:r>
      <w:r w:rsidRPr="006571AC">
        <w:rPr>
          <w:rStyle w:val="ac"/>
          <w:sz w:val="27"/>
          <w:rtl/>
          <w:lang w:bidi="ar-IQ"/>
        </w:rPr>
        <w:endnoteReference w:id="229"/>
      </w:r>
      <w:r w:rsidRPr="006571AC">
        <w:rPr>
          <w:sz w:val="27"/>
          <w:vertAlign w:val="superscript"/>
          <w:rtl/>
          <w:lang w:bidi="ar-IQ"/>
        </w:rPr>
        <w:t>)</w:t>
      </w:r>
      <w:r w:rsidRPr="006571AC">
        <w:rPr>
          <w:rFonts w:hint="cs"/>
          <w:sz w:val="27"/>
          <w:rtl/>
          <w:lang w:bidi="ar-IQ"/>
        </w:rPr>
        <w:t xml:space="preserve">. ومنذ ذلك الحين وإلى </w:t>
      </w:r>
      <w:r w:rsidR="000F69E7" w:rsidRPr="006571AC">
        <w:rPr>
          <w:rFonts w:hint="cs"/>
          <w:sz w:val="27"/>
          <w:rtl/>
          <w:lang w:bidi="ar-IQ"/>
        </w:rPr>
        <w:t>اليوم</w:t>
      </w:r>
      <w:r w:rsidRPr="006571AC">
        <w:rPr>
          <w:rFonts w:hint="cs"/>
          <w:sz w:val="27"/>
          <w:rtl/>
          <w:lang w:bidi="ar-IQ"/>
        </w:rPr>
        <w:t xml:space="preserve"> أخذ كتاب الصلح يقع مورداً للبحث وتداول الآراء والأنظار. </w:t>
      </w:r>
    </w:p>
    <w:p w:rsidR="00A93AC4" w:rsidRPr="006571AC" w:rsidRDefault="00381A52" w:rsidP="003345FE">
      <w:pPr>
        <w:rPr>
          <w:sz w:val="27"/>
          <w:rtl/>
          <w:lang w:bidi="ar-IQ"/>
        </w:rPr>
      </w:pPr>
      <w:r w:rsidRPr="006571AC">
        <w:rPr>
          <w:rFonts w:hint="cs"/>
          <w:sz w:val="27"/>
          <w:rtl/>
          <w:lang w:bidi="ar-IQ"/>
        </w:rPr>
        <w:t>وبين الآثار والأعمال المعاصرة هناك مقالة</w:t>
      </w:r>
      <w:r w:rsidR="00A93AC4" w:rsidRPr="006571AC">
        <w:rPr>
          <w:rFonts w:hint="cs"/>
          <w:sz w:val="27"/>
          <w:rtl/>
          <w:lang w:bidi="ar-IQ"/>
        </w:rPr>
        <w:t>ٌ</w:t>
      </w:r>
      <w:r w:rsidRPr="006571AC">
        <w:rPr>
          <w:rFonts w:hint="cs"/>
          <w:sz w:val="27"/>
          <w:rtl/>
          <w:lang w:bidi="ar-IQ"/>
        </w:rPr>
        <w:t xml:space="preserve"> حول الصلح الابتدائي</w:t>
      </w:r>
      <w:r w:rsidRPr="006571AC">
        <w:rPr>
          <w:sz w:val="27"/>
          <w:vertAlign w:val="superscript"/>
          <w:rtl/>
          <w:lang w:bidi="ar-IQ"/>
        </w:rPr>
        <w:t>(</w:t>
      </w:r>
      <w:r w:rsidRPr="006571AC">
        <w:rPr>
          <w:rStyle w:val="ac"/>
          <w:sz w:val="27"/>
          <w:rtl/>
          <w:lang w:bidi="ar-IQ"/>
        </w:rPr>
        <w:endnoteReference w:id="230"/>
      </w:r>
      <w:r w:rsidRPr="006571AC">
        <w:rPr>
          <w:sz w:val="27"/>
          <w:vertAlign w:val="superscript"/>
          <w:rtl/>
          <w:lang w:bidi="ar-IQ"/>
        </w:rPr>
        <w:t>)</w:t>
      </w:r>
      <w:r w:rsidRPr="006571AC">
        <w:rPr>
          <w:rFonts w:hint="cs"/>
          <w:sz w:val="27"/>
          <w:rtl/>
          <w:lang w:bidi="ar-IQ"/>
        </w:rPr>
        <w:t xml:space="preserve">، </w:t>
      </w:r>
      <w:r w:rsidR="00731867" w:rsidRPr="006571AC">
        <w:rPr>
          <w:rFonts w:hint="cs"/>
          <w:sz w:val="27"/>
          <w:rtl/>
          <w:lang w:bidi="ar-IQ"/>
        </w:rPr>
        <w:t>بَيْدَ</w:t>
      </w:r>
      <w:r w:rsidRPr="006571AC">
        <w:rPr>
          <w:rFonts w:hint="cs"/>
          <w:sz w:val="27"/>
          <w:rtl/>
          <w:lang w:bidi="ar-IQ"/>
        </w:rPr>
        <w:t xml:space="preserve"> أن كاتبها كان </w:t>
      </w:r>
      <w:r w:rsidR="003345FE" w:rsidRPr="006571AC">
        <w:rPr>
          <w:rFonts w:hint="cs"/>
          <w:sz w:val="27"/>
          <w:rtl/>
          <w:lang w:bidi="ar-IQ"/>
        </w:rPr>
        <w:t xml:space="preserve">في </w:t>
      </w:r>
      <w:r w:rsidRPr="006571AC">
        <w:rPr>
          <w:rFonts w:hint="cs"/>
          <w:sz w:val="27"/>
          <w:rtl/>
          <w:lang w:bidi="ar-IQ"/>
        </w:rPr>
        <w:t>صدد إثبات عدم مشروعي</w:t>
      </w:r>
      <w:r w:rsidR="00A93AC4" w:rsidRPr="006571AC">
        <w:rPr>
          <w:rFonts w:hint="cs"/>
          <w:sz w:val="27"/>
          <w:rtl/>
          <w:lang w:bidi="ar-IQ"/>
        </w:rPr>
        <w:t>ّ</w:t>
      </w:r>
      <w:r w:rsidRPr="006571AC">
        <w:rPr>
          <w:rFonts w:hint="cs"/>
          <w:sz w:val="27"/>
          <w:rtl/>
          <w:lang w:bidi="ar-IQ"/>
        </w:rPr>
        <w:t xml:space="preserve">ة الصلح الابتدائي. فقد رأى أن مشروعية الصلح إنما تكون في إطار وجود الخصومة والنزاع السابق أو احتماله فقط. </w:t>
      </w:r>
      <w:r w:rsidR="00A93AC4" w:rsidRPr="006571AC">
        <w:rPr>
          <w:rFonts w:hint="cs"/>
          <w:sz w:val="27"/>
          <w:rtl/>
          <w:lang w:bidi="ar-IQ"/>
        </w:rPr>
        <w:t>إلاّ</w:t>
      </w:r>
      <w:r w:rsidRPr="006571AC">
        <w:rPr>
          <w:rFonts w:hint="cs"/>
          <w:sz w:val="27"/>
          <w:rtl/>
          <w:lang w:bidi="ar-IQ"/>
        </w:rPr>
        <w:t xml:space="preserve"> أننا بحثنا في أدلة مشروعية الصلح الابتدائي، ونعتبر دلالتها على مشروعية الصلح الابتدائي تامّة</w:t>
      </w:r>
      <w:r w:rsidR="00A93AC4" w:rsidRPr="006571AC">
        <w:rPr>
          <w:rFonts w:hint="cs"/>
          <w:sz w:val="27"/>
          <w:rtl/>
          <w:lang w:bidi="ar-IQ"/>
        </w:rPr>
        <w:t>ً</w:t>
      </w:r>
      <w:r w:rsidRPr="006571AC">
        <w:rPr>
          <w:rFonts w:hint="cs"/>
          <w:sz w:val="27"/>
          <w:rtl/>
          <w:lang w:bidi="ar-IQ"/>
        </w:rPr>
        <w:t>، ولذلك نقول بعدم تمامية الأدلة التي أ</w:t>
      </w:r>
      <w:r w:rsidR="00A93AC4" w:rsidRPr="006571AC">
        <w:rPr>
          <w:rFonts w:hint="cs"/>
          <w:sz w:val="27"/>
          <w:rtl/>
          <w:lang w:bidi="ar-IQ"/>
        </w:rPr>
        <w:t>ُ</w:t>
      </w:r>
      <w:r w:rsidRPr="006571AC">
        <w:rPr>
          <w:rFonts w:hint="cs"/>
          <w:sz w:val="27"/>
          <w:rtl/>
          <w:lang w:bidi="ar-IQ"/>
        </w:rPr>
        <w:t>قيمت على عدم مشروعي</w:t>
      </w:r>
      <w:r w:rsidR="00A93AC4" w:rsidRPr="006571AC">
        <w:rPr>
          <w:rFonts w:hint="cs"/>
          <w:sz w:val="27"/>
          <w:rtl/>
          <w:lang w:bidi="ar-IQ"/>
        </w:rPr>
        <w:t>ّ</w:t>
      </w:r>
      <w:r w:rsidRPr="006571AC">
        <w:rPr>
          <w:rFonts w:hint="cs"/>
          <w:sz w:val="27"/>
          <w:rtl/>
          <w:lang w:bidi="ar-IQ"/>
        </w:rPr>
        <w:t>ته</w:t>
      </w:r>
      <w:r w:rsidR="00A93AC4" w:rsidRPr="006571AC">
        <w:rPr>
          <w:rFonts w:hint="cs"/>
          <w:sz w:val="27"/>
          <w:rtl/>
          <w:lang w:bidi="ar-IQ"/>
        </w:rPr>
        <w:t>.</w:t>
      </w:r>
    </w:p>
    <w:p w:rsidR="00381A52" w:rsidRPr="006571AC" w:rsidRDefault="00381A52" w:rsidP="004B60B2">
      <w:pPr>
        <w:spacing w:line="430" w:lineRule="exact"/>
        <w:rPr>
          <w:sz w:val="27"/>
          <w:rtl/>
          <w:lang w:bidi="ar-IQ"/>
        </w:rPr>
      </w:pPr>
    </w:p>
    <w:p w:rsidR="00DF673D" w:rsidRPr="006571AC" w:rsidRDefault="00DF673D" w:rsidP="00DF673D">
      <w:pPr>
        <w:pStyle w:val="31"/>
        <w:rPr>
          <w:color w:val="auto"/>
          <w:rtl/>
          <w:lang w:bidi="ar-IQ"/>
        </w:rPr>
      </w:pPr>
      <w:bookmarkStart w:id="111" w:name="_Toc114164600"/>
      <w:r w:rsidRPr="006571AC">
        <w:rPr>
          <w:rFonts w:hint="cs"/>
          <w:color w:val="auto"/>
          <w:rtl/>
          <w:lang w:bidi="ar-IQ"/>
        </w:rPr>
        <w:t>مفهوم الصلح</w:t>
      </w:r>
      <w:bookmarkEnd w:id="111"/>
    </w:p>
    <w:p w:rsidR="00381A52" w:rsidRPr="006571AC" w:rsidRDefault="00DF673D" w:rsidP="00552C10">
      <w:pPr>
        <w:rPr>
          <w:sz w:val="27"/>
          <w:rtl/>
          <w:lang w:bidi="ar-IQ"/>
        </w:rPr>
      </w:pPr>
      <w:r w:rsidRPr="006571AC">
        <w:rPr>
          <w:rFonts w:hint="cs"/>
          <w:sz w:val="27"/>
          <w:rtl/>
          <w:lang w:bidi="ar-IQ"/>
        </w:rPr>
        <w:t>إن لفظ الصلح في لسان الفقهاء ـ المأخوذ من الآيات والروايات ـ ليس أجنبيّاً عن معناه اللغوي، وإن الشارع المقدَّس لم يخترع لهذا اللفظ ـ مثل الكثير من ألفاظ المعاملات الأخرى ـ معنى آخر مخالفاً لمعناه العُرْفي واللغوي، بمعنى أن الصلح، مثل العبادات، ليس له حقيقةٌ شرعية.</w:t>
      </w:r>
    </w:p>
    <w:p w:rsidR="00381A52" w:rsidRPr="006571AC" w:rsidRDefault="00381A52" w:rsidP="00127CAB">
      <w:pPr>
        <w:spacing w:line="420" w:lineRule="exact"/>
        <w:rPr>
          <w:sz w:val="27"/>
          <w:rtl/>
          <w:lang w:bidi="ar-IQ"/>
        </w:rPr>
      </w:pPr>
    </w:p>
    <w:p w:rsidR="00381A52" w:rsidRPr="006571AC" w:rsidRDefault="00DF673D" w:rsidP="00714072">
      <w:pPr>
        <w:pStyle w:val="31"/>
        <w:rPr>
          <w:color w:val="auto"/>
          <w:rtl/>
          <w:lang w:bidi="ar-IQ"/>
        </w:rPr>
      </w:pPr>
      <w:bookmarkStart w:id="112" w:name="_Toc114164601"/>
      <w:r w:rsidRPr="006571AC">
        <w:rPr>
          <w:rFonts w:hint="cs"/>
          <w:color w:val="auto"/>
          <w:rtl/>
          <w:lang w:bidi="ar-IQ"/>
        </w:rPr>
        <w:t xml:space="preserve">1ـ </w:t>
      </w:r>
      <w:r w:rsidR="00381A52" w:rsidRPr="006571AC">
        <w:rPr>
          <w:rFonts w:hint="cs"/>
          <w:color w:val="auto"/>
          <w:rtl/>
          <w:lang w:bidi="ar-IQ"/>
        </w:rPr>
        <w:t>الصلح لغة</w:t>
      </w:r>
      <w:r w:rsidR="00A93AC4" w:rsidRPr="006571AC">
        <w:rPr>
          <w:rFonts w:hint="cs"/>
          <w:color w:val="auto"/>
          <w:rtl/>
          <w:lang w:bidi="ar-IQ"/>
        </w:rPr>
        <w:t>ً</w:t>
      </w:r>
      <w:bookmarkEnd w:id="112"/>
    </w:p>
    <w:p w:rsidR="00381A52" w:rsidRPr="006571AC" w:rsidRDefault="00381A52" w:rsidP="0066497B">
      <w:pPr>
        <w:rPr>
          <w:sz w:val="27"/>
          <w:rtl/>
          <w:lang w:bidi="ar-IQ"/>
        </w:rPr>
      </w:pPr>
      <w:r w:rsidRPr="006571AC">
        <w:rPr>
          <w:rFonts w:hint="cs"/>
          <w:sz w:val="27"/>
          <w:rtl/>
          <w:lang w:bidi="ar-IQ"/>
        </w:rPr>
        <w:t>من خلال الرجوع إلى عبارات اللغويين ندرك أن بعض علماء اللغة يفسّ</w:t>
      </w:r>
      <w:r w:rsidR="00A93AC4" w:rsidRPr="006571AC">
        <w:rPr>
          <w:rFonts w:hint="cs"/>
          <w:sz w:val="27"/>
          <w:rtl/>
          <w:lang w:bidi="ar-IQ"/>
        </w:rPr>
        <w:t>ِ</w:t>
      </w:r>
      <w:r w:rsidRPr="006571AC">
        <w:rPr>
          <w:rFonts w:hint="cs"/>
          <w:sz w:val="27"/>
          <w:rtl/>
          <w:lang w:bidi="ar-IQ"/>
        </w:rPr>
        <w:t>رون الصلح بالس</w:t>
      </w:r>
      <w:r w:rsidR="00634EC8" w:rsidRPr="006571AC">
        <w:rPr>
          <w:rFonts w:hint="cs"/>
          <w:sz w:val="27"/>
          <w:rtl/>
          <w:lang w:bidi="ar-IQ"/>
        </w:rPr>
        <w:t>ِّ</w:t>
      </w:r>
      <w:r w:rsidRPr="006571AC">
        <w:rPr>
          <w:rFonts w:hint="cs"/>
          <w:sz w:val="27"/>
          <w:rtl/>
          <w:lang w:bidi="ar-IQ"/>
        </w:rPr>
        <w:t>ل</w:t>
      </w:r>
      <w:r w:rsidR="00634EC8" w:rsidRPr="006571AC">
        <w:rPr>
          <w:rFonts w:hint="cs"/>
          <w:sz w:val="27"/>
          <w:rtl/>
          <w:lang w:bidi="ar-IQ"/>
        </w:rPr>
        <w:t>ْ</w:t>
      </w:r>
      <w:r w:rsidRPr="006571AC">
        <w:rPr>
          <w:rFonts w:hint="cs"/>
          <w:sz w:val="27"/>
          <w:rtl/>
          <w:lang w:bidi="ar-IQ"/>
        </w:rPr>
        <w:t>م والوفاق. كما فسّ</w:t>
      </w:r>
      <w:r w:rsidR="00A93AC4" w:rsidRPr="006571AC">
        <w:rPr>
          <w:rFonts w:hint="cs"/>
          <w:sz w:val="27"/>
          <w:rtl/>
          <w:lang w:bidi="ar-IQ"/>
        </w:rPr>
        <w:t>َ</w:t>
      </w:r>
      <w:r w:rsidRPr="006571AC">
        <w:rPr>
          <w:rFonts w:hint="cs"/>
          <w:sz w:val="27"/>
          <w:rtl/>
          <w:lang w:bidi="ar-IQ"/>
        </w:rPr>
        <w:t>روا مفردة الس</w:t>
      </w:r>
      <w:r w:rsidR="00634EC8" w:rsidRPr="006571AC">
        <w:rPr>
          <w:rFonts w:hint="cs"/>
          <w:sz w:val="27"/>
          <w:rtl/>
          <w:lang w:bidi="ar-IQ"/>
        </w:rPr>
        <w:t>ِّ</w:t>
      </w:r>
      <w:r w:rsidRPr="006571AC">
        <w:rPr>
          <w:rFonts w:hint="cs"/>
          <w:sz w:val="27"/>
          <w:rtl/>
          <w:lang w:bidi="ar-IQ"/>
        </w:rPr>
        <w:t>ل</w:t>
      </w:r>
      <w:r w:rsidR="00634EC8" w:rsidRPr="006571AC">
        <w:rPr>
          <w:rFonts w:hint="cs"/>
          <w:sz w:val="27"/>
          <w:rtl/>
          <w:lang w:bidi="ar-IQ"/>
        </w:rPr>
        <w:t>ْ</w:t>
      </w:r>
      <w:r w:rsidRPr="006571AC">
        <w:rPr>
          <w:rFonts w:hint="cs"/>
          <w:sz w:val="27"/>
          <w:rtl/>
          <w:lang w:bidi="ar-IQ"/>
        </w:rPr>
        <w:t>م في معرض بيانها وإيضاحها بالصلح</w:t>
      </w:r>
      <w:r w:rsidRPr="006571AC">
        <w:rPr>
          <w:sz w:val="27"/>
          <w:vertAlign w:val="superscript"/>
          <w:rtl/>
          <w:lang w:bidi="ar-IQ"/>
        </w:rPr>
        <w:t>(</w:t>
      </w:r>
      <w:r w:rsidRPr="006571AC">
        <w:rPr>
          <w:sz w:val="27"/>
          <w:vertAlign w:val="superscript"/>
          <w:rtl/>
          <w:lang w:bidi="ar-IQ"/>
        </w:rPr>
        <w:endnoteReference w:id="231"/>
      </w:r>
      <w:r w:rsidRPr="006571AC">
        <w:rPr>
          <w:sz w:val="27"/>
          <w:vertAlign w:val="superscript"/>
          <w:rtl/>
          <w:lang w:bidi="ar-IQ"/>
        </w:rPr>
        <w:t>)</w:t>
      </w:r>
      <w:r w:rsidRPr="006571AC">
        <w:rPr>
          <w:rFonts w:hint="cs"/>
          <w:sz w:val="27"/>
          <w:rtl/>
          <w:lang w:bidi="ar-IQ"/>
        </w:rPr>
        <w:t>. وت</w:t>
      </w:r>
      <w:r w:rsidR="0066497B" w:rsidRPr="006571AC">
        <w:rPr>
          <w:rFonts w:hint="cs"/>
          <w:sz w:val="27"/>
          <w:rtl/>
          <w:lang w:bidi="ar-IQ"/>
        </w:rPr>
        <w:t>عود</w:t>
      </w:r>
      <w:r w:rsidRPr="006571AC">
        <w:rPr>
          <w:rFonts w:hint="cs"/>
          <w:sz w:val="27"/>
          <w:rtl/>
          <w:lang w:bidi="ar-IQ"/>
        </w:rPr>
        <w:t xml:space="preserve"> هذ</w:t>
      </w:r>
      <w:r w:rsidR="00A93AC4" w:rsidRPr="006571AC">
        <w:rPr>
          <w:rFonts w:hint="cs"/>
          <w:sz w:val="27"/>
          <w:rtl/>
          <w:lang w:bidi="ar-IQ"/>
        </w:rPr>
        <w:t>ه</w:t>
      </w:r>
      <w:r w:rsidRPr="006571AC">
        <w:rPr>
          <w:rFonts w:hint="cs"/>
          <w:sz w:val="27"/>
          <w:rtl/>
          <w:lang w:bidi="ar-IQ"/>
        </w:rPr>
        <w:t xml:space="preserve"> المقابلة في تفسير وإيضاح هاتين الكلمتين ببعضهما</w:t>
      </w:r>
      <w:r w:rsidR="00D90D7D" w:rsidRPr="006571AC">
        <w:rPr>
          <w:rFonts w:hint="cs"/>
          <w:sz w:val="27"/>
          <w:rtl/>
          <w:lang w:bidi="ar-IQ"/>
        </w:rPr>
        <w:t>،</w:t>
      </w:r>
      <w:r w:rsidRPr="006571AC">
        <w:rPr>
          <w:rFonts w:hint="cs"/>
          <w:sz w:val="27"/>
          <w:rtl/>
          <w:lang w:bidi="ar-IQ"/>
        </w:rPr>
        <w:t xml:space="preserve"> في </w:t>
      </w:r>
      <w:r w:rsidR="00D90D7D" w:rsidRPr="006571AC">
        <w:rPr>
          <w:rFonts w:hint="cs"/>
          <w:sz w:val="27"/>
          <w:rtl/>
          <w:lang w:bidi="ar-IQ"/>
        </w:rPr>
        <w:t>دَوْرٍ</w:t>
      </w:r>
      <w:r w:rsidRPr="006571AC">
        <w:rPr>
          <w:rFonts w:hint="cs"/>
          <w:sz w:val="27"/>
          <w:rtl/>
          <w:lang w:bidi="ar-IQ"/>
        </w:rPr>
        <w:t xml:space="preserve"> واضح</w:t>
      </w:r>
      <w:r w:rsidR="00D90D7D" w:rsidRPr="006571AC">
        <w:rPr>
          <w:rFonts w:hint="cs"/>
          <w:sz w:val="27"/>
          <w:rtl/>
          <w:lang w:bidi="ar-IQ"/>
        </w:rPr>
        <w:t>،</w:t>
      </w:r>
      <w:r w:rsidRPr="006571AC">
        <w:rPr>
          <w:rFonts w:hint="cs"/>
          <w:sz w:val="27"/>
          <w:rtl/>
          <w:lang w:bidi="ar-IQ"/>
        </w:rPr>
        <w:t xml:space="preserve"> إلى بداهة مفهوم الصلح بالنسبة إلى الناطقين باللغة العربية. كما قال بعض اللغويين في بيان معنى الحرب أنها ضد</w:t>
      </w:r>
      <w:r w:rsidR="00A93AC4" w:rsidRPr="006571AC">
        <w:rPr>
          <w:rFonts w:hint="cs"/>
          <w:sz w:val="27"/>
          <w:rtl/>
          <w:lang w:bidi="ar-IQ"/>
        </w:rPr>
        <w:t>ّ</w:t>
      </w:r>
      <w:r w:rsidRPr="006571AC">
        <w:rPr>
          <w:rFonts w:hint="cs"/>
          <w:sz w:val="27"/>
          <w:rtl/>
          <w:lang w:bidi="ar-IQ"/>
        </w:rPr>
        <w:t xml:space="preserve"> الس</w:t>
      </w:r>
      <w:r w:rsidR="00A93AC4" w:rsidRPr="006571AC">
        <w:rPr>
          <w:rFonts w:hint="cs"/>
          <w:sz w:val="27"/>
          <w:rtl/>
          <w:lang w:bidi="ar-IQ"/>
        </w:rPr>
        <w:t>ِّ</w:t>
      </w:r>
      <w:r w:rsidRPr="006571AC">
        <w:rPr>
          <w:rFonts w:hint="cs"/>
          <w:sz w:val="27"/>
          <w:rtl/>
          <w:lang w:bidi="ar-IQ"/>
        </w:rPr>
        <w:t>ل</w:t>
      </w:r>
      <w:r w:rsidR="00A93AC4" w:rsidRPr="006571AC">
        <w:rPr>
          <w:rFonts w:hint="cs"/>
          <w:sz w:val="27"/>
          <w:rtl/>
          <w:lang w:bidi="ar-IQ"/>
        </w:rPr>
        <w:t>ْ</w:t>
      </w:r>
      <w:r w:rsidRPr="006571AC">
        <w:rPr>
          <w:rFonts w:hint="cs"/>
          <w:sz w:val="27"/>
          <w:rtl/>
          <w:lang w:bidi="ar-IQ"/>
        </w:rPr>
        <w:t>م ونقيضه</w:t>
      </w:r>
      <w:r w:rsidRPr="006571AC">
        <w:rPr>
          <w:sz w:val="27"/>
          <w:vertAlign w:val="superscript"/>
          <w:rtl/>
          <w:lang w:bidi="ar-IQ"/>
        </w:rPr>
        <w:t>(</w:t>
      </w:r>
      <w:r w:rsidRPr="006571AC">
        <w:rPr>
          <w:sz w:val="27"/>
          <w:vertAlign w:val="superscript"/>
          <w:rtl/>
          <w:lang w:bidi="ar-IQ"/>
        </w:rPr>
        <w:endnoteReference w:id="232"/>
      </w:r>
      <w:r w:rsidRPr="006571AC">
        <w:rPr>
          <w:sz w:val="27"/>
          <w:vertAlign w:val="superscript"/>
          <w:rtl/>
          <w:lang w:bidi="ar-IQ"/>
        </w:rPr>
        <w:t>)</w:t>
      </w:r>
      <w:r w:rsidRPr="006571AC">
        <w:rPr>
          <w:rFonts w:hint="cs"/>
          <w:sz w:val="27"/>
          <w:rtl/>
          <w:lang w:bidi="ar-IQ"/>
        </w:rPr>
        <w:t>، ويمكن التوصّ</w:t>
      </w:r>
      <w:r w:rsidR="00A93AC4" w:rsidRPr="006571AC">
        <w:rPr>
          <w:rFonts w:hint="cs"/>
          <w:sz w:val="27"/>
          <w:rtl/>
          <w:lang w:bidi="ar-IQ"/>
        </w:rPr>
        <w:t>ُ</w:t>
      </w:r>
      <w:r w:rsidRPr="006571AC">
        <w:rPr>
          <w:rFonts w:hint="cs"/>
          <w:sz w:val="27"/>
          <w:rtl/>
          <w:lang w:bidi="ar-IQ"/>
        </w:rPr>
        <w:t>ل من خلال ذلك إلى أن هناك ضدّية</w:t>
      </w:r>
      <w:r w:rsidR="00634EC8" w:rsidRPr="006571AC">
        <w:rPr>
          <w:rFonts w:hint="cs"/>
          <w:sz w:val="27"/>
          <w:rtl/>
          <w:lang w:bidi="ar-IQ"/>
        </w:rPr>
        <w:t>ٌ</w:t>
      </w:r>
      <w:r w:rsidRPr="006571AC">
        <w:rPr>
          <w:rFonts w:hint="cs"/>
          <w:sz w:val="27"/>
          <w:rtl/>
          <w:lang w:bidi="ar-IQ"/>
        </w:rPr>
        <w:t xml:space="preserve"> وتقابل</w:t>
      </w:r>
      <w:r w:rsidR="00634EC8" w:rsidRPr="006571AC">
        <w:rPr>
          <w:rFonts w:hint="cs"/>
          <w:sz w:val="27"/>
          <w:rtl/>
          <w:lang w:bidi="ar-IQ"/>
        </w:rPr>
        <w:t>ٌ</w:t>
      </w:r>
      <w:r w:rsidRPr="006571AC">
        <w:rPr>
          <w:rFonts w:hint="cs"/>
          <w:sz w:val="27"/>
          <w:rtl/>
          <w:lang w:bidi="ar-IQ"/>
        </w:rPr>
        <w:t xml:space="preserve"> في معنى الصلح مع الحرب. </w:t>
      </w:r>
    </w:p>
    <w:p w:rsidR="00381A52" w:rsidRPr="006571AC" w:rsidRDefault="00381A52" w:rsidP="00552C10">
      <w:pPr>
        <w:rPr>
          <w:sz w:val="27"/>
          <w:rtl/>
          <w:lang w:bidi="ar-IQ"/>
        </w:rPr>
      </w:pPr>
      <w:r w:rsidRPr="006571AC">
        <w:rPr>
          <w:rFonts w:hint="cs"/>
          <w:sz w:val="27"/>
          <w:rtl/>
          <w:lang w:bidi="ar-IQ"/>
        </w:rPr>
        <w:t>وقد صرّ</w:t>
      </w:r>
      <w:r w:rsidR="00634EC8" w:rsidRPr="006571AC">
        <w:rPr>
          <w:rFonts w:hint="cs"/>
          <w:sz w:val="27"/>
          <w:rtl/>
          <w:lang w:bidi="ar-IQ"/>
        </w:rPr>
        <w:t>َ</w:t>
      </w:r>
      <w:r w:rsidRPr="006571AC">
        <w:rPr>
          <w:rFonts w:hint="cs"/>
          <w:sz w:val="27"/>
          <w:rtl/>
          <w:lang w:bidi="ar-IQ"/>
        </w:rPr>
        <w:t>ح بعض علماء اللغة بأن الصلح وفاق</w:t>
      </w:r>
      <w:r w:rsidR="00634EC8" w:rsidRPr="006571AC">
        <w:rPr>
          <w:rFonts w:hint="cs"/>
          <w:sz w:val="27"/>
          <w:rtl/>
          <w:lang w:bidi="ar-IQ"/>
        </w:rPr>
        <w:t>ٌ</w:t>
      </w:r>
      <w:r w:rsidRPr="006571AC">
        <w:rPr>
          <w:rFonts w:hint="cs"/>
          <w:sz w:val="27"/>
          <w:rtl/>
          <w:lang w:bidi="ar-IQ"/>
        </w:rPr>
        <w:t xml:space="preserve"> بعد الخصومة والنزاع. قال فخر </w:t>
      </w:r>
      <w:r w:rsidRPr="006571AC">
        <w:rPr>
          <w:rFonts w:hint="cs"/>
          <w:sz w:val="27"/>
          <w:rtl/>
          <w:lang w:bidi="ar-IQ"/>
        </w:rPr>
        <w:lastRenderedPageBreak/>
        <w:t>الدين الطريحي</w:t>
      </w:r>
      <w:r w:rsidR="00634EC8" w:rsidRPr="006571AC">
        <w:rPr>
          <w:rFonts w:hint="cs"/>
          <w:sz w:val="27"/>
          <w:rtl/>
          <w:lang w:bidi="ar-IQ"/>
        </w:rPr>
        <w:t>،</w:t>
      </w:r>
      <w:r w:rsidRPr="006571AC">
        <w:rPr>
          <w:rFonts w:hint="cs"/>
          <w:sz w:val="27"/>
          <w:rtl/>
          <w:lang w:bidi="ar-IQ"/>
        </w:rPr>
        <w:t xml:space="preserve"> في مجمع البحرين</w:t>
      </w:r>
      <w:r w:rsidR="00634EC8" w:rsidRPr="006571AC">
        <w:rPr>
          <w:rFonts w:hint="cs"/>
          <w:sz w:val="27"/>
          <w:rtl/>
          <w:lang w:bidi="ar-IQ"/>
        </w:rPr>
        <w:t>،</w:t>
      </w:r>
      <w:r w:rsidRPr="006571AC">
        <w:rPr>
          <w:rFonts w:hint="cs"/>
          <w:sz w:val="27"/>
          <w:rtl/>
          <w:lang w:bidi="ar-IQ"/>
        </w:rPr>
        <w:t xml:space="preserve"> في تفسير هذا الحديث</w:t>
      </w:r>
      <w:r w:rsidR="00634EC8"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الصلح جائز</w:t>
      </w:r>
      <w:r w:rsidR="00634EC8" w:rsidRPr="006571AC">
        <w:rPr>
          <w:rFonts w:hint="cs"/>
          <w:sz w:val="27"/>
          <w:rtl/>
          <w:lang w:bidi="ar-IQ"/>
        </w:rPr>
        <w:t>ٌ</w:t>
      </w:r>
      <w:r w:rsidRPr="006571AC">
        <w:rPr>
          <w:rFonts w:hint="cs"/>
          <w:sz w:val="27"/>
          <w:rtl/>
          <w:lang w:bidi="ar-IQ"/>
        </w:rPr>
        <w:t xml:space="preserve"> بين المسلمين</w:t>
      </w:r>
      <w:r w:rsidRPr="006571AC">
        <w:rPr>
          <w:rFonts w:hint="eastAsia"/>
          <w:sz w:val="24"/>
          <w:szCs w:val="24"/>
          <w:rtl/>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أراد بالصلح التوافق بين المتنازعين</w:t>
      </w:r>
      <w:r w:rsidRPr="006571AC">
        <w:rPr>
          <w:rFonts w:hint="eastAsia"/>
          <w:sz w:val="24"/>
          <w:szCs w:val="24"/>
          <w:rtl/>
        </w:rPr>
        <w:t>»</w:t>
      </w:r>
      <w:r w:rsidRPr="006571AC">
        <w:rPr>
          <w:rFonts w:hint="cs"/>
          <w:sz w:val="27"/>
          <w:rtl/>
          <w:lang w:bidi="ar-IQ"/>
        </w:rPr>
        <w:t>؛ بمعنى أن سبق النزاع والخصومة قد أ</w:t>
      </w:r>
      <w:r w:rsidR="00634EC8" w:rsidRPr="006571AC">
        <w:rPr>
          <w:rFonts w:hint="cs"/>
          <w:sz w:val="27"/>
          <w:rtl/>
          <w:lang w:bidi="ar-IQ"/>
        </w:rPr>
        <w:t>ُ</w:t>
      </w:r>
      <w:r w:rsidRPr="006571AC">
        <w:rPr>
          <w:rFonts w:hint="cs"/>
          <w:sz w:val="27"/>
          <w:rtl/>
          <w:lang w:bidi="ar-IQ"/>
        </w:rPr>
        <w:t>خ</w:t>
      </w:r>
      <w:r w:rsidR="00634EC8" w:rsidRPr="006571AC">
        <w:rPr>
          <w:rFonts w:hint="cs"/>
          <w:sz w:val="27"/>
          <w:rtl/>
          <w:lang w:bidi="ar-IQ"/>
        </w:rPr>
        <w:t>ِ</w:t>
      </w:r>
      <w:r w:rsidRPr="006571AC">
        <w:rPr>
          <w:rFonts w:hint="cs"/>
          <w:sz w:val="27"/>
          <w:rtl/>
          <w:lang w:bidi="ar-IQ"/>
        </w:rPr>
        <w:t>ذ</w:t>
      </w:r>
      <w:r w:rsidR="00634EC8" w:rsidRPr="006571AC">
        <w:rPr>
          <w:rFonts w:hint="cs"/>
          <w:sz w:val="27"/>
          <w:rtl/>
          <w:lang w:bidi="ar-IQ"/>
        </w:rPr>
        <w:t>َ</w:t>
      </w:r>
      <w:r w:rsidRPr="006571AC">
        <w:rPr>
          <w:rFonts w:hint="cs"/>
          <w:sz w:val="27"/>
          <w:rtl/>
          <w:lang w:bidi="ar-IQ"/>
        </w:rPr>
        <w:t xml:space="preserve"> بوصفه أمراً مفروغاً عنه. </w:t>
      </w:r>
    </w:p>
    <w:p w:rsidR="004B60B2" w:rsidRPr="006571AC" w:rsidRDefault="004B60B2" w:rsidP="004B60B2">
      <w:pPr>
        <w:spacing w:line="420" w:lineRule="exact"/>
        <w:rPr>
          <w:sz w:val="27"/>
          <w:rtl/>
        </w:rPr>
      </w:pPr>
    </w:p>
    <w:p w:rsidR="00381A52" w:rsidRPr="006571AC" w:rsidRDefault="000D6C76" w:rsidP="00714072">
      <w:pPr>
        <w:pStyle w:val="31"/>
        <w:rPr>
          <w:color w:val="auto"/>
          <w:rtl/>
        </w:rPr>
      </w:pPr>
      <w:bookmarkStart w:id="113" w:name="_Toc114164602"/>
      <w:r w:rsidRPr="006571AC">
        <w:rPr>
          <w:rFonts w:hint="cs"/>
          <w:color w:val="auto"/>
          <w:rtl/>
        </w:rPr>
        <w:t xml:space="preserve">2ـ </w:t>
      </w:r>
      <w:r w:rsidR="00381A52" w:rsidRPr="006571AC">
        <w:rPr>
          <w:rFonts w:hint="cs"/>
          <w:color w:val="auto"/>
          <w:rtl/>
        </w:rPr>
        <w:t>عقد الصلح في مصطلح الفقهاء</w:t>
      </w:r>
      <w:bookmarkEnd w:id="113"/>
    </w:p>
    <w:p w:rsidR="00381A52" w:rsidRPr="006571AC" w:rsidRDefault="00634EC8" w:rsidP="00552C10">
      <w:pPr>
        <w:rPr>
          <w:sz w:val="27"/>
          <w:rtl/>
          <w:lang w:bidi="ar-IQ"/>
        </w:rPr>
      </w:pPr>
      <w:r w:rsidRPr="006571AC">
        <w:rPr>
          <w:rFonts w:hint="cs"/>
          <w:sz w:val="27"/>
          <w:rtl/>
          <w:lang w:bidi="ar-IQ"/>
        </w:rPr>
        <w:t xml:space="preserve">لم يقدِّم </w:t>
      </w:r>
      <w:r w:rsidR="00381A52" w:rsidRPr="006571AC">
        <w:rPr>
          <w:rFonts w:hint="cs"/>
          <w:sz w:val="27"/>
          <w:rtl/>
          <w:lang w:bidi="ar-IQ"/>
        </w:rPr>
        <w:t>العلا</w:t>
      </w:r>
      <w:r w:rsidRPr="006571AC">
        <w:rPr>
          <w:rFonts w:hint="cs"/>
          <w:sz w:val="27"/>
          <w:rtl/>
          <w:lang w:bidi="ar-IQ"/>
        </w:rPr>
        <w:t>ّ</w:t>
      </w:r>
      <w:r w:rsidR="00381A52" w:rsidRPr="006571AC">
        <w:rPr>
          <w:rFonts w:hint="cs"/>
          <w:sz w:val="27"/>
          <w:rtl/>
          <w:lang w:bidi="ar-IQ"/>
        </w:rPr>
        <w:t>مة الحل</w:t>
      </w:r>
      <w:r w:rsidRPr="006571AC">
        <w:rPr>
          <w:rFonts w:hint="cs"/>
          <w:sz w:val="27"/>
          <w:rtl/>
          <w:lang w:bidi="ar-IQ"/>
        </w:rPr>
        <w:t>ّ</w:t>
      </w:r>
      <w:r w:rsidR="00381A52" w:rsidRPr="006571AC">
        <w:rPr>
          <w:rFonts w:hint="cs"/>
          <w:sz w:val="27"/>
          <w:rtl/>
          <w:lang w:bidi="ar-IQ"/>
        </w:rPr>
        <w:t>ي</w:t>
      </w:r>
      <w:r w:rsidRPr="006571AC">
        <w:rPr>
          <w:rFonts w:hint="cs"/>
          <w:sz w:val="27"/>
          <w:rtl/>
          <w:lang w:bidi="ar-IQ"/>
        </w:rPr>
        <w:t>،</w:t>
      </w:r>
      <w:r w:rsidR="00381A52" w:rsidRPr="006571AC">
        <w:rPr>
          <w:rFonts w:hint="cs"/>
          <w:sz w:val="27"/>
          <w:rtl/>
          <w:lang w:bidi="ar-IQ"/>
        </w:rPr>
        <w:t xml:space="preserve"> في كتاب التحرير</w:t>
      </w:r>
      <w:r w:rsidRPr="006571AC">
        <w:rPr>
          <w:rFonts w:hint="cs"/>
          <w:sz w:val="27"/>
          <w:rtl/>
          <w:lang w:bidi="ar-IQ"/>
        </w:rPr>
        <w:t>،</w:t>
      </w:r>
      <w:r w:rsidR="00381A52" w:rsidRPr="006571AC">
        <w:rPr>
          <w:rFonts w:hint="cs"/>
          <w:sz w:val="27"/>
          <w:rtl/>
          <w:lang w:bidi="ar-IQ"/>
        </w:rPr>
        <w:t xml:space="preserve"> تعريفاً لعقد الصلح، وقد صرّ</w:t>
      </w:r>
      <w:r w:rsidRPr="006571AC">
        <w:rPr>
          <w:rFonts w:hint="cs"/>
          <w:sz w:val="27"/>
          <w:rtl/>
          <w:lang w:bidi="ar-IQ"/>
        </w:rPr>
        <w:t>َ</w:t>
      </w:r>
      <w:r w:rsidR="00381A52" w:rsidRPr="006571AC">
        <w:rPr>
          <w:rFonts w:hint="cs"/>
          <w:sz w:val="27"/>
          <w:rtl/>
          <w:lang w:bidi="ar-IQ"/>
        </w:rPr>
        <w:t>ح بأن الصلح عقد</w:t>
      </w:r>
      <w:r w:rsidRPr="006571AC">
        <w:rPr>
          <w:rFonts w:hint="cs"/>
          <w:sz w:val="27"/>
          <w:rtl/>
          <w:lang w:bidi="ar-IQ"/>
        </w:rPr>
        <w:t>ٌ</w:t>
      </w:r>
      <w:r w:rsidR="00381A52" w:rsidRPr="006571AC">
        <w:rPr>
          <w:rFonts w:hint="cs"/>
          <w:sz w:val="27"/>
          <w:rtl/>
          <w:lang w:bidi="ar-IQ"/>
        </w:rPr>
        <w:t xml:space="preserve"> مستقل</w:t>
      </w:r>
      <w:r w:rsidRPr="006571AC">
        <w:rPr>
          <w:rFonts w:hint="cs"/>
          <w:sz w:val="27"/>
          <w:rtl/>
          <w:lang w:bidi="ar-IQ"/>
        </w:rPr>
        <w:t>ّ</w:t>
      </w:r>
      <w:r w:rsidR="00381A52" w:rsidRPr="006571AC">
        <w:rPr>
          <w:rFonts w:hint="cs"/>
          <w:sz w:val="27"/>
          <w:rtl/>
          <w:lang w:bidi="ar-IQ"/>
        </w:rPr>
        <w:t>، وليس متفرّ</w:t>
      </w:r>
      <w:r w:rsidRPr="006571AC">
        <w:rPr>
          <w:rFonts w:hint="cs"/>
          <w:sz w:val="27"/>
          <w:rtl/>
          <w:lang w:bidi="ar-IQ"/>
        </w:rPr>
        <w:t>ِ</w:t>
      </w:r>
      <w:r w:rsidR="00381A52" w:rsidRPr="006571AC">
        <w:rPr>
          <w:rFonts w:hint="cs"/>
          <w:sz w:val="27"/>
          <w:rtl/>
          <w:lang w:bidi="ar-IQ"/>
        </w:rPr>
        <w:t>عاً ع</w:t>
      </w:r>
      <w:r w:rsidRPr="006571AC">
        <w:rPr>
          <w:rFonts w:hint="cs"/>
          <w:sz w:val="27"/>
          <w:rtl/>
          <w:lang w:bidi="ar-IQ"/>
        </w:rPr>
        <w:t>ن</w:t>
      </w:r>
      <w:r w:rsidR="00381A52" w:rsidRPr="006571AC">
        <w:rPr>
          <w:rFonts w:hint="cs"/>
          <w:sz w:val="27"/>
          <w:rtl/>
          <w:lang w:bidi="ar-IQ"/>
        </w:rPr>
        <w:t xml:space="preserve"> العقود الأخرى</w:t>
      </w:r>
      <w:r w:rsidR="00381A52" w:rsidRPr="006571AC">
        <w:rPr>
          <w:sz w:val="27"/>
          <w:vertAlign w:val="superscript"/>
          <w:rtl/>
          <w:lang w:bidi="ar-IQ"/>
        </w:rPr>
        <w:t>(</w:t>
      </w:r>
      <w:r w:rsidR="00381A52" w:rsidRPr="006571AC">
        <w:rPr>
          <w:rStyle w:val="ac"/>
          <w:sz w:val="27"/>
          <w:rtl/>
          <w:lang w:bidi="ar-IQ"/>
        </w:rPr>
        <w:endnoteReference w:id="233"/>
      </w:r>
      <w:r w:rsidR="00381A52" w:rsidRPr="006571AC">
        <w:rPr>
          <w:sz w:val="27"/>
          <w:vertAlign w:val="superscript"/>
          <w:rtl/>
          <w:lang w:bidi="ar-IQ"/>
        </w:rPr>
        <w:t>)</w:t>
      </w:r>
      <w:r w:rsidR="00381A52" w:rsidRPr="006571AC">
        <w:rPr>
          <w:rFonts w:hint="cs"/>
          <w:sz w:val="27"/>
          <w:rtl/>
          <w:lang w:bidi="ar-IQ"/>
        </w:rPr>
        <w:t xml:space="preserve">. وجاء في كتاب المسالك في تعريف عقد الصلح: </w:t>
      </w:r>
      <w:r w:rsidR="00381A52" w:rsidRPr="006571AC">
        <w:rPr>
          <w:rFonts w:hint="eastAsia"/>
          <w:sz w:val="24"/>
          <w:szCs w:val="24"/>
          <w:rtl/>
        </w:rPr>
        <w:t>«</w:t>
      </w:r>
      <w:r w:rsidR="00381A52" w:rsidRPr="006571AC">
        <w:rPr>
          <w:sz w:val="27"/>
          <w:rtl/>
          <w:lang w:bidi="ar-IQ"/>
        </w:rPr>
        <w:t xml:space="preserve">عقد </w:t>
      </w:r>
      <w:r w:rsidR="00381A52" w:rsidRPr="006571AC">
        <w:rPr>
          <w:rFonts w:hint="cs"/>
          <w:sz w:val="27"/>
          <w:rtl/>
          <w:lang w:bidi="ar-IQ"/>
        </w:rPr>
        <w:t>[</w:t>
      </w:r>
      <w:r w:rsidR="00381A52" w:rsidRPr="006571AC">
        <w:rPr>
          <w:sz w:val="27"/>
          <w:rtl/>
          <w:lang w:bidi="ar-IQ"/>
        </w:rPr>
        <w:t>الصلح</w:t>
      </w:r>
      <w:r w:rsidR="00381A52" w:rsidRPr="006571AC">
        <w:rPr>
          <w:rFonts w:hint="cs"/>
          <w:sz w:val="27"/>
          <w:rtl/>
          <w:lang w:bidi="ar-IQ"/>
        </w:rPr>
        <w:t xml:space="preserve">] </w:t>
      </w:r>
      <w:r w:rsidR="00381A52" w:rsidRPr="006571AC">
        <w:rPr>
          <w:sz w:val="27"/>
          <w:rtl/>
          <w:lang w:bidi="ar-IQ"/>
        </w:rPr>
        <w:t>ش</w:t>
      </w:r>
      <w:r w:rsidR="00381A52" w:rsidRPr="006571AC">
        <w:rPr>
          <w:rFonts w:hint="cs"/>
          <w:sz w:val="27"/>
          <w:rtl/>
          <w:lang w:bidi="ar-IQ"/>
        </w:rPr>
        <w:t>ُ</w:t>
      </w:r>
      <w:r w:rsidR="00381A52" w:rsidRPr="006571AC">
        <w:rPr>
          <w:sz w:val="27"/>
          <w:rtl/>
          <w:lang w:bidi="ar-IQ"/>
        </w:rPr>
        <w:t>ر</w:t>
      </w:r>
      <w:r w:rsidR="00381A52" w:rsidRPr="006571AC">
        <w:rPr>
          <w:rFonts w:hint="cs"/>
          <w:sz w:val="27"/>
          <w:rtl/>
          <w:lang w:bidi="ar-IQ"/>
        </w:rPr>
        <w:t>ّ</w:t>
      </w:r>
      <w:r w:rsidRPr="006571AC">
        <w:rPr>
          <w:rFonts w:hint="cs"/>
          <w:sz w:val="27"/>
          <w:rtl/>
          <w:lang w:bidi="ar-IQ"/>
        </w:rPr>
        <w:t>ِ</w:t>
      </w:r>
      <w:r w:rsidR="00381A52" w:rsidRPr="006571AC">
        <w:rPr>
          <w:sz w:val="27"/>
          <w:rtl/>
          <w:lang w:bidi="ar-IQ"/>
        </w:rPr>
        <w:t>ع لقطع التجاذب</w:t>
      </w:r>
      <w:r w:rsidR="00381A52" w:rsidRPr="006571AC">
        <w:rPr>
          <w:rFonts w:hint="cs"/>
          <w:sz w:val="27"/>
          <w:rtl/>
          <w:lang w:bidi="ar-IQ"/>
        </w:rPr>
        <w:t xml:space="preserve">... </w:t>
      </w:r>
      <w:r w:rsidR="00381A52" w:rsidRPr="006571AC">
        <w:rPr>
          <w:sz w:val="27"/>
          <w:rtl/>
          <w:lang w:bidi="ar-IQ"/>
        </w:rPr>
        <w:t>لكن</w:t>
      </w:r>
      <w:r w:rsidRPr="006571AC">
        <w:rPr>
          <w:rFonts w:hint="cs"/>
          <w:sz w:val="27"/>
          <w:rtl/>
          <w:lang w:bidi="ar-IQ"/>
        </w:rPr>
        <w:t>ّ</w:t>
      </w:r>
      <w:r w:rsidR="00381A52" w:rsidRPr="006571AC">
        <w:rPr>
          <w:sz w:val="27"/>
          <w:rtl/>
          <w:lang w:bidi="ar-IQ"/>
        </w:rPr>
        <w:t>ه عندنا قد صار عقدا</w:t>
      </w:r>
      <w:r w:rsidRPr="006571AC">
        <w:rPr>
          <w:rFonts w:hint="cs"/>
          <w:sz w:val="27"/>
          <w:rtl/>
          <w:lang w:bidi="ar-IQ"/>
        </w:rPr>
        <w:t>ً</w:t>
      </w:r>
      <w:r w:rsidR="00381A52" w:rsidRPr="006571AC">
        <w:rPr>
          <w:sz w:val="27"/>
          <w:rtl/>
          <w:lang w:bidi="ar-IQ"/>
        </w:rPr>
        <w:t xml:space="preserve"> مستقلا</w:t>
      </w:r>
      <w:r w:rsidRPr="006571AC">
        <w:rPr>
          <w:rFonts w:hint="cs"/>
          <w:sz w:val="27"/>
          <w:rtl/>
          <w:lang w:bidi="ar-IQ"/>
        </w:rPr>
        <w:t>ًّ</w:t>
      </w:r>
      <w:r w:rsidR="00381A52" w:rsidRPr="006571AC">
        <w:rPr>
          <w:sz w:val="27"/>
          <w:rtl/>
          <w:lang w:bidi="ar-IQ"/>
        </w:rPr>
        <w:t xml:space="preserve"> بنفسه، لا يتوق</w:t>
      </w:r>
      <w:r w:rsidRPr="006571AC">
        <w:rPr>
          <w:rFonts w:hint="cs"/>
          <w:sz w:val="27"/>
          <w:rtl/>
          <w:lang w:bidi="ar-IQ"/>
        </w:rPr>
        <w:t>َّ</w:t>
      </w:r>
      <w:r w:rsidR="00381A52" w:rsidRPr="006571AC">
        <w:rPr>
          <w:sz w:val="27"/>
          <w:rtl/>
          <w:lang w:bidi="ar-IQ"/>
        </w:rPr>
        <w:t>ف على سبق خصومة. بل لو وقع ابتداء</w:t>
      </w:r>
      <w:r w:rsidRPr="006571AC">
        <w:rPr>
          <w:rFonts w:hint="cs"/>
          <w:sz w:val="27"/>
          <w:rtl/>
          <w:lang w:bidi="ar-IQ"/>
        </w:rPr>
        <w:t>ً</w:t>
      </w:r>
      <w:r w:rsidR="00381A52" w:rsidRPr="006571AC">
        <w:rPr>
          <w:sz w:val="27"/>
          <w:rtl/>
          <w:lang w:bidi="ar-IQ"/>
        </w:rPr>
        <w:t xml:space="preserve"> على عين</w:t>
      </w:r>
      <w:r w:rsidRPr="006571AC">
        <w:rPr>
          <w:rFonts w:hint="cs"/>
          <w:sz w:val="27"/>
          <w:rtl/>
          <w:lang w:bidi="ar-IQ"/>
        </w:rPr>
        <w:t>ٍ</w:t>
      </w:r>
      <w:r w:rsidR="00381A52" w:rsidRPr="006571AC">
        <w:rPr>
          <w:sz w:val="27"/>
          <w:rtl/>
          <w:lang w:bidi="ar-IQ"/>
        </w:rPr>
        <w:t xml:space="preserve"> بعوض معلوم كان كالبيع في إفادة نقل الملك</w:t>
      </w:r>
      <w:r w:rsidR="00381A52" w:rsidRPr="006571AC">
        <w:rPr>
          <w:rFonts w:hint="cs"/>
          <w:sz w:val="27"/>
          <w:rtl/>
          <w:lang w:bidi="ar-IQ"/>
        </w:rPr>
        <w:t>...</w:t>
      </w:r>
      <w:r w:rsidRPr="006571AC">
        <w:rPr>
          <w:rFonts w:hint="cs"/>
          <w:sz w:val="27"/>
          <w:rtl/>
          <w:lang w:bidi="ar-IQ"/>
        </w:rPr>
        <w:t>؛</w:t>
      </w:r>
      <w:r w:rsidR="00381A52" w:rsidRPr="006571AC">
        <w:rPr>
          <w:rFonts w:hint="cs"/>
          <w:sz w:val="27"/>
          <w:rtl/>
          <w:lang w:bidi="ar-IQ"/>
        </w:rPr>
        <w:t xml:space="preserve"> </w:t>
      </w:r>
      <w:r w:rsidR="00381A52" w:rsidRPr="006571AC">
        <w:rPr>
          <w:sz w:val="27"/>
          <w:rtl/>
          <w:lang w:bidi="ar-IQ"/>
        </w:rPr>
        <w:t>ل</w:t>
      </w:r>
      <w:r w:rsidR="00381A52" w:rsidRPr="006571AC">
        <w:rPr>
          <w:rFonts w:hint="cs"/>
          <w:sz w:val="27"/>
          <w:rtl/>
          <w:lang w:bidi="ar-IQ"/>
        </w:rPr>
        <w:t>إ</w:t>
      </w:r>
      <w:r w:rsidR="00381A52" w:rsidRPr="006571AC">
        <w:rPr>
          <w:sz w:val="27"/>
          <w:rtl/>
          <w:lang w:bidi="ar-IQ"/>
        </w:rPr>
        <w:t>طلاق النصوص بجوازه</w:t>
      </w:r>
      <w:r w:rsidRPr="006571AC">
        <w:rPr>
          <w:rFonts w:hint="cs"/>
          <w:sz w:val="27"/>
          <w:rtl/>
          <w:lang w:bidi="ar-IQ"/>
        </w:rPr>
        <w:t>،</w:t>
      </w:r>
      <w:r w:rsidR="00381A52" w:rsidRPr="006571AC">
        <w:rPr>
          <w:sz w:val="27"/>
          <w:rtl/>
          <w:lang w:bidi="ar-IQ"/>
        </w:rPr>
        <w:t xml:space="preserve"> من غير تقييد</w:t>
      </w:r>
      <w:r w:rsidRPr="006571AC">
        <w:rPr>
          <w:rFonts w:hint="cs"/>
          <w:sz w:val="27"/>
          <w:rtl/>
          <w:lang w:bidi="ar-IQ"/>
        </w:rPr>
        <w:t>ٍ</w:t>
      </w:r>
      <w:r w:rsidR="00381A52" w:rsidRPr="006571AC">
        <w:rPr>
          <w:sz w:val="27"/>
          <w:rtl/>
          <w:lang w:bidi="ar-IQ"/>
        </w:rPr>
        <w:t xml:space="preserve"> بالخصومة</w:t>
      </w:r>
      <w:r w:rsidR="00381A52" w:rsidRPr="006571AC">
        <w:rPr>
          <w:rFonts w:hint="eastAsia"/>
          <w:sz w:val="24"/>
          <w:szCs w:val="24"/>
          <w:rtl/>
        </w:rPr>
        <w:t>»</w:t>
      </w:r>
      <w:r w:rsidR="00381A52" w:rsidRPr="006571AC">
        <w:rPr>
          <w:sz w:val="27"/>
          <w:vertAlign w:val="superscript"/>
          <w:rtl/>
          <w:lang w:bidi="ar-IQ"/>
        </w:rPr>
        <w:t>(</w:t>
      </w:r>
      <w:r w:rsidR="00381A52" w:rsidRPr="006571AC">
        <w:rPr>
          <w:rStyle w:val="ac"/>
          <w:sz w:val="27"/>
          <w:rtl/>
          <w:lang w:bidi="ar-IQ"/>
        </w:rPr>
        <w:endnoteReference w:id="234"/>
      </w:r>
      <w:r w:rsidR="00381A52" w:rsidRPr="006571AC">
        <w:rPr>
          <w:sz w:val="27"/>
          <w:vertAlign w:val="superscript"/>
          <w:rtl/>
          <w:lang w:bidi="ar-IQ"/>
        </w:rPr>
        <w:t>)</w:t>
      </w:r>
      <w:r w:rsidR="00381A52"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وجاء في كتاب (رياض المسائل) في تعريف عقد الصلح: </w:t>
      </w:r>
      <w:r w:rsidRPr="006571AC">
        <w:rPr>
          <w:rFonts w:hint="eastAsia"/>
          <w:sz w:val="24"/>
          <w:szCs w:val="24"/>
          <w:rtl/>
        </w:rPr>
        <w:t>«</w:t>
      </w:r>
      <w:r w:rsidRPr="006571AC">
        <w:rPr>
          <w:rFonts w:hint="cs"/>
          <w:sz w:val="27"/>
          <w:rtl/>
          <w:lang w:bidi="ar-IQ"/>
        </w:rPr>
        <w:t>الصلح</w:t>
      </w:r>
      <w:r w:rsidR="005F28C5" w:rsidRPr="006571AC">
        <w:rPr>
          <w:rFonts w:hint="cs"/>
          <w:sz w:val="27"/>
          <w:rtl/>
          <w:lang w:bidi="ar-IQ"/>
        </w:rPr>
        <w:t>،</w:t>
      </w:r>
      <w:r w:rsidRPr="006571AC">
        <w:rPr>
          <w:rFonts w:hint="cs"/>
          <w:sz w:val="27"/>
          <w:rtl/>
          <w:lang w:bidi="ar-IQ"/>
        </w:rPr>
        <w:t xml:space="preserve"> وهو مشروع</w:t>
      </w:r>
      <w:r w:rsidR="005F28C5" w:rsidRPr="006571AC">
        <w:rPr>
          <w:rFonts w:hint="cs"/>
          <w:sz w:val="27"/>
          <w:rtl/>
          <w:lang w:bidi="ar-IQ"/>
        </w:rPr>
        <w:t>ٌ</w:t>
      </w:r>
      <w:r w:rsidRPr="006571AC">
        <w:rPr>
          <w:rFonts w:hint="cs"/>
          <w:sz w:val="27"/>
          <w:rtl/>
          <w:lang w:bidi="ar-IQ"/>
        </w:rPr>
        <w:t xml:space="preserve"> في الأصل لقطع المنازعة السابقة أو المتوق</w:t>
      </w:r>
      <w:r w:rsidR="005F28C5" w:rsidRPr="006571AC">
        <w:rPr>
          <w:rFonts w:hint="cs"/>
          <w:sz w:val="27"/>
          <w:rtl/>
          <w:lang w:bidi="ar-IQ"/>
        </w:rPr>
        <w:t>َّ</w:t>
      </w:r>
      <w:r w:rsidRPr="006571AC">
        <w:rPr>
          <w:rFonts w:hint="cs"/>
          <w:sz w:val="27"/>
          <w:rtl/>
          <w:lang w:bidi="ar-IQ"/>
        </w:rPr>
        <w:t xml:space="preserve">عة... </w:t>
      </w:r>
      <w:r w:rsidRPr="006571AC">
        <w:rPr>
          <w:sz w:val="27"/>
          <w:rtl/>
          <w:lang w:bidi="ar-IQ"/>
        </w:rPr>
        <w:t>والنصوص</w:t>
      </w:r>
      <w:r w:rsidR="005F28C5" w:rsidRPr="006571AC">
        <w:rPr>
          <w:rFonts w:hint="cs"/>
          <w:sz w:val="27"/>
          <w:rtl/>
          <w:lang w:bidi="ar-IQ"/>
        </w:rPr>
        <w:t>ُ</w:t>
      </w:r>
      <w:r w:rsidRPr="006571AC">
        <w:rPr>
          <w:rFonts w:hint="cs"/>
          <w:sz w:val="27"/>
          <w:rtl/>
          <w:lang w:bidi="ar-IQ"/>
        </w:rPr>
        <w:t xml:space="preserve"> [من إطلاق الآيات والروايات] </w:t>
      </w:r>
      <w:r w:rsidRPr="006571AC">
        <w:rPr>
          <w:sz w:val="27"/>
          <w:rtl/>
          <w:lang w:bidi="ar-IQ"/>
        </w:rPr>
        <w:t xml:space="preserve">من الصحاح </w:t>
      </w:r>
      <w:r w:rsidRPr="006571AC">
        <w:rPr>
          <w:rFonts w:hint="cs"/>
          <w:sz w:val="27"/>
          <w:rtl/>
          <w:lang w:bidi="ar-IQ"/>
        </w:rPr>
        <w:t xml:space="preserve">[بالإضافة إلى إجماع الفقهاء] </w:t>
      </w:r>
      <w:r w:rsidRPr="006571AC">
        <w:rPr>
          <w:sz w:val="27"/>
          <w:rtl/>
          <w:lang w:bidi="ar-IQ"/>
        </w:rPr>
        <w:t>المستفيضة وغيرها من المعتبرة الواردة في موارد مخصوصة به مستفيضة</w:t>
      </w:r>
      <w:r w:rsidR="005F28C5" w:rsidRPr="006571AC">
        <w:rPr>
          <w:rFonts w:hint="cs"/>
          <w:sz w:val="27"/>
          <w:rtl/>
          <w:lang w:bidi="ar-IQ"/>
        </w:rPr>
        <w:t>ٌ</w:t>
      </w:r>
      <w:r w:rsidRPr="006571AC">
        <w:rPr>
          <w:rFonts w:hint="cs"/>
          <w:sz w:val="27"/>
          <w:rtl/>
          <w:lang w:bidi="ar-IQ"/>
        </w:rPr>
        <w:t xml:space="preserve"> [في دلالتها على عدم لزوم سبق الخصومة في مشروعية الصلح]</w:t>
      </w:r>
      <w:r w:rsidRPr="006571AC">
        <w:rPr>
          <w:rFonts w:hint="eastAsia"/>
          <w:sz w:val="24"/>
          <w:szCs w:val="24"/>
          <w:rtl/>
        </w:rPr>
        <w:t>»</w:t>
      </w:r>
      <w:r w:rsidRPr="006571AC">
        <w:rPr>
          <w:sz w:val="27"/>
          <w:vertAlign w:val="superscript"/>
          <w:rtl/>
          <w:lang w:bidi="ar-IQ"/>
        </w:rPr>
        <w:t>(</w:t>
      </w:r>
      <w:r w:rsidRPr="006571AC">
        <w:rPr>
          <w:sz w:val="27"/>
          <w:vertAlign w:val="superscript"/>
          <w:rtl/>
          <w:lang w:bidi="ar-IQ"/>
        </w:rPr>
        <w:endnoteReference w:id="235"/>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قال الإمام الخميني</w:t>
      </w:r>
      <w:r w:rsidR="002A2C90" w:rsidRPr="006571AC">
        <w:rPr>
          <w:rFonts w:ascii="Mosawi" w:hAnsi="Mosawi" w:cs="Mosawi"/>
          <w:sz w:val="22"/>
          <w:szCs w:val="22"/>
          <w:rtl/>
        </w:rPr>
        <w:t>&amp;</w:t>
      </w:r>
      <w:r w:rsidR="005F28C5" w:rsidRPr="006571AC">
        <w:rPr>
          <w:rFonts w:hint="cs"/>
          <w:sz w:val="27"/>
          <w:rtl/>
          <w:lang w:bidi="ar-IQ"/>
        </w:rPr>
        <w:t>،</w:t>
      </w:r>
      <w:r w:rsidRPr="006571AC">
        <w:rPr>
          <w:rFonts w:hint="cs"/>
          <w:sz w:val="27"/>
          <w:rtl/>
          <w:lang w:bidi="ar-IQ"/>
        </w:rPr>
        <w:t xml:space="preserve"> في تحرير الوسيلة</w:t>
      </w:r>
      <w:r w:rsidR="005F28C5" w:rsidRPr="006571AC">
        <w:rPr>
          <w:rFonts w:hint="cs"/>
          <w:sz w:val="27"/>
          <w:rtl/>
          <w:lang w:bidi="ar-IQ"/>
        </w:rPr>
        <w:t>،</w:t>
      </w:r>
      <w:r w:rsidRPr="006571AC">
        <w:rPr>
          <w:rFonts w:hint="cs"/>
          <w:sz w:val="27"/>
          <w:rtl/>
          <w:lang w:bidi="ar-IQ"/>
        </w:rPr>
        <w:t xml:space="preserve"> في تعريف الصلح: </w:t>
      </w:r>
      <w:r w:rsidRPr="006571AC">
        <w:rPr>
          <w:rFonts w:hint="eastAsia"/>
          <w:sz w:val="24"/>
          <w:szCs w:val="24"/>
          <w:rtl/>
        </w:rPr>
        <w:t>«</w:t>
      </w:r>
      <w:r w:rsidRPr="006571AC">
        <w:rPr>
          <w:rFonts w:hint="cs"/>
          <w:sz w:val="27"/>
          <w:rtl/>
          <w:lang w:bidi="ar-IQ"/>
        </w:rPr>
        <w:t>هو التراضي والتسالم على أمر</w:t>
      </w:r>
      <w:r w:rsidR="005F28C5" w:rsidRPr="006571AC">
        <w:rPr>
          <w:rFonts w:hint="cs"/>
          <w:sz w:val="27"/>
          <w:rtl/>
          <w:lang w:bidi="ar-IQ"/>
        </w:rPr>
        <w:t>ٍ</w:t>
      </w:r>
      <w:r w:rsidRPr="006571AC">
        <w:rPr>
          <w:rFonts w:hint="cs"/>
          <w:sz w:val="27"/>
          <w:rtl/>
          <w:lang w:bidi="ar-IQ"/>
        </w:rPr>
        <w:t>؛ من تمليك عين</w:t>
      </w:r>
      <w:r w:rsidR="005F28C5" w:rsidRPr="006571AC">
        <w:rPr>
          <w:rFonts w:hint="cs"/>
          <w:sz w:val="27"/>
          <w:rtl/>
          <w:lang w:bidi="ar-IQ"/>
        </w:rPr>
        <w:t>ٍ</w:t>
      </w:r>
      <w:r w:rsidRPr="006571AC">
        <w:rPr>
          <w:rFonts w:hint="cs"/>
          <w:sz w:val="27"/>
          <w:rtl/>
          <w:lang w:bidi="ar-IQ"/>
        </w:rPr>
        <w:t xml:space="preserve"> أو منفعة</w:t>
      </w:r>
      <w:r w:rsidR="005F28C5" w:rsidRPr="006571AC">
        <w:rPr>
          <w:rFonts w:hint="cs"/>
          <w:sz w:val="27"/>
          <w:rtl/>
          <w:lang w:bidi="ar-IQ"/>
        </w:rPr>
        <w:t>ٍ</w:t>
      </w:r>
      <w:r w:rsidRPr="006571AC">
        <w:rPr>
          <w:rFonts w:hint="cs"/>
          <w:sz w:val="27"/>
          <w:rtl/>
          <w:lang w:bidi="ar-IQ"/>
        </w:rPr>
        <w:t xml:space="preserve"> أو إسقاط د</w:t>
      </w:r>
      <w:r w:rsidR="005F28C5" w:rsidRPr="006571AC">
        <w:rPr>
          <w:rFonts w:hint="cs"/>
          <w:sz w:val="27"/>
          <w:rtl/>
          <w:lang w:bidi="ar-IQ"/>
        </w:rPr>
        <w:t>َ</w:t>
      </w:r>
      <w:r w:rsidRPr="006571AC">
        <w:rPr>
          <w:rFonts w:hint="cs"/>
          <w:sz w:val="27"/>
          <w:rtl/>
          <w:lang w:bidi="ar-IQ"/>
        </w:rPr>
        <w:t>ي</w:t>
      </w:r>
      <w:r w:rsidR="005F28C5" w:rsidRPr="006571AC">
        <w:rPr>
          <w:rFonts w:hint="cs"/>
          <w:sz w:val="27"/>
          <w:rtl/>
          <w:lang w:bidi="ar-IQ"/>
        </w:rPr>
        <w:t>ْ</w:t>
      </w:r>
      <w:r w:rsidRPr="006571AC">
        <w:rPr>
          <w:rFonts w:hint="cs"/>
          <w:sz w:val="27"/>
          <w:rtl/>
          <w:lang w:bidi="ar-IQ"/>
        </w:rPr>
        <w:t>ن</w:t>
      </w:r>
      <w:r w:rsidR="005F28C5" w:rsidRPr="006571AC">
        <w:rPr>
          <w:rFonts w:hint="cs"/>
          <w:sz w:val="27"/>
          <w:rtl/>
          <w:lang w:bidi="ar-IQ"/>
        </w:rPr>
        <w:t>ٍ</w:t>
      </w:r>
      <w:r w:rsidRPr="006571AC">
        <w:rPr>
          <w:rFonts w:hint="cs"/>
          <w:sz w:val="27"/>
          <w:rtl/>
          <w:lang w:bidi="ar-IQ"/>
        </w:rPr>
        <w:t xml:space="preserve"> أو حق</w:t>
      </w:r>
      <w:r w:rsidR="005F28C5" w:rsidRPr="006571AC">
        <w:rPr>
          <w:rFonts w:hint="cs"/>
          <w:sz w:val="27"/>
          <w:rtl/>
          <w:lang w:bidi="ar-IQ"/>
        </w:rPr>
        <w:t>ٍّ</w:t>
      </w:r>
      <w:r w:rsidRPr="006571AC">
        <w:rPr>
          <w:rFonts w:hint="cs"/>
          <w:sz w:val="27"/>
          <w:rtl/>
          <w:lang w:bidi="ar-IQ"/>
        </w:rPr>
        <w:t>، وغير ذلك. ولا يُشترط بكونه مسبوقاً بالنزاع</w:t>
      </w:r>
      <w:r w:rsidR="005F28C5" w:rsidRPr="006571AC">
        <w:rPr>
          <w:rFonts w:hint="cs"/>
          <w:sz w:val="27"/>
          <w:rtl/>
          <w:lang w:bidi="ar-IQ"/>
        </w:rPr>
        <w:t>.</w:t>
      </w:r>
      <w:r w:rsidRPr="006571AC">
        <w:rPr>
          <w:rFonts w:hint="cs"/>
          <w:sz w:val="27"/>
          <w:rtl/>
          <w:lang w:bidi="ar-IQ"/>
        </w:rPr>
        <w:t xml:space="preserve"> ويجوز إيقاعه على كل</w:t>
      </w:r>
      <w:r w:rsidR="005F28C5" w:rsidRPr="006571AC">
        <w:rPr>
          <w:rFonts w:hint="cs"/>
          <w:sz w:val="27"/>
          <w:rtl/>
          <w:lang w:bidi="ar-IQ"/>
        </w:rPr>
        <w:t>ّ</w:t>
      </w:r>
      <w:r w:rsidRPr="006571AC">
        <w:rPr>
          <w:rFonts w:hint="cs"/>
          <w:sz w:val="27"/>
          <w:rtl/>
          <w:lang w:bidi="ar-IQ"/>
        </w:rPr>
        <w:t xml:space="preserve"> أمر</w:t>
      </w:r>
      <w:r w:rsidR="005F28C5" w:rsidRPr="006571AC">
        <w:rPr>
          <w:rFonts w:hint="cs"/>
          <w:sz w:val="27"/>
          <w:rtl/>
          <w:lang w:bidi="ar-IQ"/>
        </w:rPr>
        <w:t>ٍ</w:t>
      </w:r>
      <w:r w:rsidRPr="006571AC">
        <w:rPr>
          <w:rFonts w:hint="cs"/>
          <w:sz w:val="27"/>
          <w:rtl/>
          <w:lang w:bidi="ar-IQ"/>
        </w:rPr>
        <w:t xml:space="preserve"> إلا</w:t>
      </w:r>
      <w:r w:rsidR="005F28C5" w:rsidRPr="006571AC">
        <w:rPr>
          <w:rFonts w:hint="cs"/>
          <w:sz w:val="27"/>
          <w:rtl/>
          <w:lang w:bidi="ar-IQ"/>
        </w:rPr>
        <w:t>ّ</w:t>
      </w:r>
      <w:r w:rsidRPr="006571AC">
        <w:rPr>
          <w:rFonts w:hint="cs"/>
          <w:sz w:val="27"/>
          <w:rtl/>
          <w:lang w:bidi="ar-IQ"/>
        </w:rPr>
        <w:t xml:space="preserve"> ما است</w:t>
      </w:r>
      <w:r w:rsidR="005F28C5" w:rsidRPr="006571AC">
        <w:rPr>
          <w:rFonts w:hint="cs"/>
          <w:sz w:val="27"/>
          <w:rtl/>
          <w:lang w:bidi="ar-IQ"/>
        </w:rPr>
        <w:t>ُ</w:t>
      </w:r>
      <w:r w:rsidRPr="006571AC">
        <w:rPr>
          <w:rFonts w:hint="cs"/>
          <w:sz w:val="27"/>
          <w:rtl/>
          <w:lang w:bidi="ar-IQ"/>
        </w:rPr>
        <w:t>ثني، كما يأتي بعضها، وفي كل</w:t>
      </w:r>
      <w:r w:rsidR="005F28C5" w:rsidRPr="006571AC">
        <w:rPr>
          <w:rFonts w:hint="cs"/>
          <w:sz w:val="27"/>
          <w:rtl/>
          <w:lang w:bidi="ar-IQ"/>
        </w:rPr>
        <w:t>ّ</w:t>
      </w:r>
      <w:r w:rsidRPr="006571AC">
        <w:rPr>
          <w:rFonts w:hint="cs"/>
          <w:sz w:val="27"/>
          <w:rtl/>
          <w:lang w:bidi="ar-IQ"/>
        </w:rPr>
        <w:t xml:space="preserve"> مقام</w:t>
      </w:r>
      <w:r w:rsidR="005F28C5" w:rsidRPr="006571AC">
        <w:rPr>
          <w:rFonts w:hint="cs"/>
          <w:sz w:val="27"/>
          <w:rtl/>
          <w:lang w:bidi="ar-IQ"/>
        </w:rPr>
        <w:t>ٍ</w:t>
      </w:r>
      <w:r w:rsidRPr="006571AC">
        <w:rPr>
          <w:rFonts w:hint="cs"/>
          <w:sz w:val="27"/>
          <w:rtl/>
          <w:lang w:bidi="ar-IQ"/>
        </w:rPr>
        <w:t xml:space="preserve"> إلا</w:t>
      </w:r>
      <w:r w:rsidR="005F28C5" w:rsidRPr="006571AC">
        <w:rPr>
          <w:rFonts w:hint="cs"/>
          <w:sz w:val="27"/>
          <w:rtl/>
          <w:lang w:bidi="ar-IQ"/>
        </w:rPr>
        <w:t>ّ</w:t>
      </w:r>
      <w:r w:rsidRPr="006571AC">
        <w:rPr>
          <w:rFonts w:hint="cs"/>
          <w:sz w:val="27"/>
          <w:rtl/>
          <w:lang w:bidi="ar-IQ"/>
        </w:rPr>
        <w:t xml:space="preserve"> إذا كان محرّ</w:t>
      </w:r>
      <w:r w:rsidR="005F28C5" w:rsidRPr="006571AC">
        <w:rPr>
          <w:rFonts w:hint="cs"/>
          <w:sz w:val="27"/>
          <w:rtl/>
          <w:lang w:bidi="ar-IQ"/>
        </w:rPr>
        <w:t>ِ</w:t>
      </w:r>
      <w:r w:rsidRPr="006571AC">
        <w:rPr>
          <w:rFonts w:hint="cs"/>
          <w:sz w:val="27"/>
          <w:rtl/>
          <w:lang w:bidi="ar-IQ"/>
        </w:rPr>
        <w:t>ماً لحلال</w:t>
      </w:r>
      <w:r w:rsidR="005F28C5" w:rsidRPr="006571AC">
        <w:rPr>
          <w:rFonts w:hint="cs"/>
          <w:sz w:val="27"/>
          <w:rtl/>
          <w:lang w:bidi="ar-IQ"/>
        </w:rPr>
        <w:t>ٍ</w:t>
      </w:r>
      <w:r w:rsidRPr="006571AC">
        <w:rPr>
          <w:rFonts w:hint="cs"/>
          <w:sz w:val="27"/>
          <w:rtl/>
          <w:lang w:bidi="ar-IQ"/>
        </w:rPr>
        <w:t xml:space="preserve"> أو محلّ</w:t>
      </w:r>
      <w:r w:rsidR="005F28C5" w:rsidRPr="006571AC">
        <w:rPr>
          <w:rFonts w:hint="cs"/>
          <w:sz w:val="27"/>
          <w:rtl/>
          <w:lang w:bidi="ar-IQ"/>
        </w:rPr>
        <w:t>ِ</w:t>
      </w:r>
      <w:r w:rsidRPr="006571AC">
        <w:rPr>
          <w:rFonts w:hint="cs"/>
          <w:sz w:val="27"/>
          <w:rtl/>
          <w:lang w:bidi="ar-IQ"/>
        </w:rPr>
        <w:t>لاً لحرام</w:t>
      </w:r>
      <w:r w:rsidR="005F28C5" w:rsidRPr="006571AC">
        <w:rPr>
          <w:rFonts w:hint="cs"/>
          <w:sz w:val="27"/>
          <w:rtl/>
          <w:lang w:bidi="ar-IQ"/>
        </w:rPr>
        <w:t>ٍ</w:t>
      </w:r>
      <w:r w:rsidRPr="006571AC">
        <w:rPr>
          <w:rFonts w:hint="eastAsia"/>
          <w:sz w:val="24"/>
          <w:szCs w:val="24"/>
          <w:rtl/>
        </w:rPr>
        <w:t>»</w:t>
      </w:r>
      <w:r w:rsidRPr="006571AC">
        <w:rPr>
          <w:sz w:val="27"/>
          <w:vertAlign w:val="superscript"/>
          <w:rtl/>
          <w:lang w:bidi="ar-IQ"/>
        </w:rPr>
        <w:t>(</w:t>
      </w:r>
      <w:r w:rsidRPr="006571AC">
        <w:rPr>
          <w:sz w:val="27"/>
          <w:vertAlign w:val="superscript"/>
          <w:rtl/>
          <w:lang w:bidi="ar-IQ"/>
        </w:rPr>
        <w:endnoteReference w:id="236"/>
      </w:r>
      <w:r w:rsidRPr="006571AC">
        <w:rPr>
          <w:sz w:val="27"/>
          <w:vertAlign w:val="superscript"/>
          <w:rtl/>
          <w:lang w:bidi="ar-IQ"/>
        </w:rPr>
        <w:t>)</w:t>
      </w:r>
      <w:r w:rsidRPr="006571AC">
        <w:rPr>
          <w:rFonts w:hint="cs"/>
          <w:sz w:val="27"/>
          <w:rtl/>
          <w:lang w:bidi="ar-IQ"/>
        </w:rPr>
        <w:t xml:space="preserve">. وقال </w:t>
      </w:r>
      <w:r w:rsidR="005F28C5" w:rsidRPr="006571AC">
        <w:rPr>
          <w:rFonts w:hint="cs"/>
          <w:sz w:val="27"/>
          <w:rtl/>
          <w:lang w:bidi="ar-IQ"/>
        </w:rPr>
        <w:t>أيضاً</w:t>
      </w:r>
      <w:r w:rsidRPr="006571AC">
        <w:rPr>
          <w:rFonts w:hint="cs"/>
          <w:sz w:val="27"/>
          <w:rtl/>
          <w:lang w:bidi="ar-IQ"/>
        </w:rPr>
        <w:t xml:space="preserve">: </w:t>
      </w:r>
      <w:r w:rsidRPr="006571AC">
        <w:rPr>
          <w:rFonts w:hint="eastAsia"/>
          <w:sz w:val="24"/>
          <w:szCs w:val="24"/>
          <w:rtl/>
        </w:rPr>
        <w:t>«</w:t>
      </w:r>
      <w:r w:rsidRPr="006571AC">
        <w:rPr>
          <w:sz w:val="27"/>
          <w:rtl/>
          <w:lang w:bidi="ar-IQ"/>
        </w:rPr>
        <w:t>الصلح عقد</w:t>
      </w:r>
      <w:r w:rsidR="005F28C5" w:rsidRPr="006571AC">
        <w:rPr>
          <w:rFonts w:hint="cs"/>
          <w:sz w:val="27"/>
          <w:rtl/>
          <w:lang w:bidi="ar-IQ"/>
        </w:rPr>
        <w:t>ٌ</w:t>
      </w:r>
      <w:r w:rsidRPr="006571AC">
        <w:rPr>
          <w:sz w:val="27"/>
          <w:rtl/>
          <w:lang w:bidi="ar-IQ"/>
        </w:rPr>
        <w:t xml:space="preserve"> مستقل</w:t>
      </w:r>
      <w:r w:rsidR="005F28C5" w:rsidRPr="006571AC">
        <w:rPr>
          <w:rFonts w:hint="cs"/>
          <w:sz w:val="27"/>
          <w:rtl/>
          <w:lang w:bidi="ar-IQ"/>
        </w:rPr>
        <w:t>ّ</w:t>
      </w:r>
      <w:r w:rsidRPr="006571AC">
        <w:rPr>
          <w:sz w:val="27"/>
          <w:rtl/>
          <w:lang w:bidi="ar-IQ"/>
        </w:rPr>
        <w:t xml:space="preserve"> بنفسه</w:t>
      </w:r>
      <w:r w:rsidR="00846DF7" w:rsidRPr="006571AC">
        <w:rPr>
          <w:rFonts w:hint="cs"/>
          <w:sz w:val="27"/>
          <w:rtl/>
          <w:lang w:bidi="ar-IQ"/>
        </w:rPr>
        <w:t>،</w:t>
      </w:r>
      <w:r w:rsidRPr="006571AC">
        <w:rPr>
          <w:sz w:val="27"/>
          <w:rtl/>
          <w:lang w:bidi="ar-IQ"/>
        </w:rPr>
        <w:t xml:space="preserve"> وعنوان</w:t>
      </w:r>
      <w:r w:rsidR="005F28C5" w:rsidRPr="006571AC">
        <w:rPr>
          <w:rFonts w:hint="cs"/>
          <w:sz w:val="27"/>
          <w:rtl/>
          <w:lang w:bidi="ar-IQ"/>
        </w:rPr>
        <w:t>ٌ</w:t>
      </w:r>
      <w:r w:rsidRPr="006571AC">
        <w:rPr>
          <w:sz w:val="27"/>
          <w:rtl/>
          <w:lang w:bidi="ar-IQ"/>
        </w:rPr>
        <w:t xml:space="preserve"> برأسه، فلم يلحقه أحكام سائر العقود</w:t>
      </w:r>
      <w:r w:rsidR="00846DF7" w:rsidRPr="006571AC">
        <w:rPr>
          <w:rFonts w:hint="cs"/>
          <w:sz w:val="27"/>
          <w:rtl/>
          <w:lang w:bidi="ar-IQ"/>
        </w:rPr>
        <w:t>،</w:t>
      </w:r>
      <w:r w:rsidRPr="006571AC">
        <w:rPr>
          <w:sz w:val="27"/>
          <w:rtl/>
          <w:lang w:bidi="ar-IQ"/>
        </w:rPr>
        <w:t xml:space="preserve"> ولم ت</w:t>
      </w:r>
      <w:r w:rsidR="00846DF7" w:rsidRPr="006571AC">
        <w:rPr>
          <w:rFonts w:hint="cs"/>
          <w:sz w:val="27"/>
          <w:rtl/>
          <w:lang w:bidi="ar-IQ"/>
        </w:rPr>
        <w:t>َ</w:t>
      </w:r>
      <w:r w:rsidRPr="006571AC">
        <w:rPr>
          <w:sz w:val="27"/>
          <w:rtl/>
          <w:lang w:bidi="ar-IQ"/>
        </w:rPr>
        <w:t>ج</w:t>
      </w:r>
      <w:r w:rsidR="00846DF7" w:rsidRPr="006571AC">
        <w:rPr>
          <w:rFonts w:hint="cs"/>
          <w:sz w:val="27"/>
          <w:rtl/>
          <w:lang w:bidi="ar-IQ"/>
        </w:rPr>
        <w:t>ْ</w:t>
      </w:r>
      <w:r w:rsidRPr="006571AC">
        <w:rPr>
          <w:sz w:val="27"/>
          <w:rtl/>
          <w:lang w:bidi="ar-IQ"/>
        </w:rPr>
        <w:t>ر</w:t>
      </w:r>
      <w:r w:rsidR="00846DF7" w:rsidRPr="006571AC">
        <w:rPr>
          <w:rFonts w:hint="cs"/>
          <w:sz w:val="27"/>
          <w:rtl/>
          <w:lang w:bidi="ar-IQ"/>
        </w:rPr>
        <w:t>ِ</w:t>
      </w:r>
      <w:r w:rsidRPr="006571AC">
        <w:rPr>
          <w:sz w:val="27"/>
          <w:rtl/>
          <w:lang w:bidi="ar-IQ"/>
        </w:rPr>
        <w:t xml:space="preserve"> فيه شروطها</w:t>
      </w:r>
      <w:r w:rsidR="00846DF7" w:rsidRPr="006571AC">
        <w:rPr>
          <w:rFonts w:hint="cs"/>
          <w:sz w:val="27"/>
          <w:rtl/>
          <w:lang w:bidi="ar-IQ"/>
        </w:rPr>
        <w:t>،</w:t>
      </w:r>
      <w:r w:rsidRPr="006571AC">
        <w:rPr>
          <w:sz w:val="27"/>
          <w:rtl/>
          <w:lang w:bidi="ar-IQ"/>
        </w:rPr>
        <w:t xml:space="preserve"> وإن</w:t>
      </w:r>
      <w:r w:rsidR="00846DF7" w:rsidRPr="006571AC">
        <w:rPr>
          <w:rFonts w:hint="cs"/>
          <w:sz w:val="27"/>
          <w:rtl/>
          <w:lang w:bidi="ar-IQ"/>
        </w:rPr>
        <w:t>ْ</w:t>
      </w:r>
      <w:r w:rsidRPr="006571AC">
        <w:rPr>
          <w:sz w:val="27"/>
          <w:rtl/>
          <w:lang w:bidi="ar-IQ"/>
        </w:rPr>
        <w:t xml:space="preserve"> أفاد فائدتها، فما أفاد فائدة البيع لا تلحقه أحكامه وشروطه، فلا يجري فيه الخيارات المختص</w:t>
      </w:r>
      <w:r w:rsidR="00846DF7" w:rsidRPr="006571AC">
        <w:rPr>
          <w:rFonts w:hint="cs"/>
          <w:sz w:val="27"/>
          <w:rtl/>
          <w:lang w:bidi="ar-IQ"/>
        </w:rPr>
        <w:t>ّ</w:t>
      </w:r>
      <w:r w:rsidRPr="006571AC">
        <w:rPr>
          <w:sz w:val="27"/>
          <w:rtl/>
          <w:lang w:bidi="ar-IQ"/>
        </w:rPr>
        <w:t>ة بالبيع</w:t>
      </w:r>
      <w:r w:rsidR="00846DF7" w:rsidRPr="006571AC">
        <w:rPr>
          <w:rFonts w:hint="cs"/>
          <w:sz w:val="27"/>
          <w:rtl/>
          <w:lang w:bidi="ar-IQ"/>
        </w:rPr>
        <w:t>،</w:t>
      </w:r>
      <w:r w:rsidRPr="006571AC">
        <w:rPr>
          <w:sz w:val="27"/>
          <w:rtl/>
          <w:lang w:bidi="ar-IQ"/>
        </w:rPr>
        <w:t xml:space="preserve"> كخيار</w:t>
      </w:r>
      <w:r w:rsidR="00846DF7" w:rsidRPr="006571AC">
        <w:rPr>
          <w:rFonts w:hint="cs"/>
          <w:sz w:val="27"/>
          <w:rtl/>
          <w:lang w:bidi="ar-IQ"/>
        </w:rPr>
        <w:t>َ</w:t>
      </w:r>
      <w:r w:rsidRPr="006571AC">
        <w:rPr>
          <w:sz w:val="27"/>
          <w:rtl/>
          <w:lang w:bidi="ar-IQ"/>
        </w:rPr>
        <w:t>ي</w:t>
      </w:r>
      <w:r w:rsidR="00846DF7" w:rsidRPr="006571AC">
        <w:rPr>
          <w:rFonts w:hint="cs"/>
          <w:sz w:val="27"/>
          <w:rtl/>
          <w:lang w:bidi="ar-IQ"/>
        </w:rPr>
        <w:t>ْ</w:t>
      </w:r>
      <w:r w:rsidRPr="006571AC">
        <w:rPr>
          <w:sz w:val="27"/>
          <w:rtl/>
          <w:lang w:bidi="ar-IQ"/>
        </w:rPr>
        <w:t xml:space="preserve"> المجلس والحيوان</w:t>
      </w:r>
      <w:r w:rsidR="00846DF7" w:rsidRPr="006571AC">
        <w:rPr>
          <w:rFonts w:hint="cs"/>
          <w:sz w:val="27"/>
          <w:rtl/>
          <w:lang w:bidi="ar-IQ"/>
        </w:rPr>
        <w:t>،</w:t>
      </w:r>
      <w:r w:rsidRPr="006571AC">
        <w:rPr>
          <w:sz w:val="27"/>
          <w:rtl/>
          <w:lang w:bidi="ar-IQ"/>
        </w:rPr>
        <w:t xml:space="preserve"> ولا الش</w:t>
      </w:r>
      <w:r w:rsidR="00846DF7" w:rsidRPr="006571AC">
        <w:rPr>
          <w:rFonts w:hint="cs"/>
          <w:sz w:val="27"/>
          <w:rtl/>
          <w:lang w:bidi="ar-IQ"/>
        </w:rPr>
        <w:t>ُّ</w:t>
      </w:r>
      <w:r w:rsidRPr="006571AC">
        <w:rPr>
          <w:sz w:val="27"/>
          <w:rtl/>
          <w:lang w:bidi="ar-IQ"/>
        </w:rPr>
        <w:t>فعة</w:t>
      </w:r>
      <w:r w:rsidRPr="006571AC">
        <w:rPr>
          <w:rFonts w:hint="eastAsia"/>
          <w:sz w:val="24"/>
          <w:szCs w:val="24"/>
          <w:rtl/>
        </w:rPr>
        <w:t>»</w:t>
      </w:r>
      <w:r w:rsidRPr="006571AC">
        <w:rPr>
          <w:sz w:val="27"/>
          <w:vertAlign w:val="superscript"/>
          <w:rtl/>
          <w:lang w:bidi="ar-IQ"/>
        </w:rPr>
        <w:t>(</w:t>
      </w:r>
      <w:r w:rsidRPr="006571AC">
        <w:rPr>
          <w:sz w:val="27"/>
          <w:vertAlign w:val="superscript"/>
          <w:rtl/>
          <w:lang w:bidi="ar-IQ"/>
        </w:rPr>
        <w:endnoteReference w:id="237"/>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يُف</w:t>
      </w:r>
      <w:r w:rsidR="00846DF7" w:rsidRPr="006571AC">
        <w:rPr>
          <w:rFonts w:hint="cs"/>
          <w:sz w:val="27"/>
          <w:rtl/>
          <w:lang w:bidi="ar-IQ"/>
        </w:rPr>
        <w:t>ْ</w:t>
      </w:r>
      <w:r w:rsidRPr="006571AC">
        <w:rPr>
          <w:rFonts w:hint="cs"/>
          <w:sz w:val="27"/>
          <w:rtl/>
          <w:lang w:bidi="ar-IQ"/>
        </w:rPr>
        <w:t>ه</w:t>
      </w:r>
      <w:r w:rsidR="00846DF7" w:rsidRPr="006571AC">
        <w:rPr>
          <w:rFonts w:hint="cs"/>
          <w:sz w:val="27"/>
          <w:rtl/>
          <w:lang w:bidi="ar-IQ"/>
        </w:rPr>
        <w:t>َ</w:t>
      </w:r>
      <w:r w:rsidRPr="006571AC">
        <w:rPr>
          <w:rFonts w:hint="cs"/>
          <w:sz w:val="27"/>
          <w:rtl/>
          <w:lang w:bidi="ar-IQ"/>
        </w:rPr>
        <w:t xml:space="preserve">م من عبارات الفقهاء </w:t>
      </w:r>
      <w:r w:rsidR="00846DF7" w:rsidRPr="006571AC">
        <w:rPr>
          <w:rFonts w:hint="cs"/>
          <w:sz w:val="27"/>
          <w:rtl/>
          <w:lang w:bidi="ar-IQ"/>
        </w:rPr>
        <w:t>المتقدِّمة</w:t>
      </w:r>
      <w:r w:rsidRPr="006571AC">
        <w:rPr>
          <w:rFonts w:hint="cs"/>
          <w:sz w:val="27"/>
          <w:rtl/>
          <w:lang w:bidi="ar-IQ"/>
        </w:rPr>
        <w:t xml:space="preserve">، ومن خلال الرجوع إلى كلمات الكثير من الفقهاء، </w:t>
      </w:r>
      <w:r w:rsidRPr="006571AC">
        <w:rPr>
          <w:rFonts w:hint="cs"/>
          <w:b/>
          <w:bCs/>
          <w:sz w:val="27"/>
          <w:rtl/>
          <w:lang w:bidi="ar-IQ"/>
        </w:rPr>
        <w:t>أو</w:t>
      </w:r>
      <w:r w:rsidR="00846DF7" w:rsidRPr="006571AC">
        <w:rPr>
          <w:rFonts w:hint="cs"/>
          <w:b/>
          <w:bCs/>
          <w:sz w:val="27"/>
          <w:rtl/>
          <w:lang w:bidi="ar-IQ"/>
        </w:rPr>
        <w:t>ّ</w:t>
      </w:r>
      <w:r w:rsidRPr="006571AC">
        <w:rPr>
          <w:rFonts w:hint="cs"/>
          <w:b/>
          <w:bCs/>
          <w:sz w:val="27"/>
          <w:rtl/>
          <w:lang w:bidi="ar-IQ"/>
        </w:rPr>
        <w:t>لاً</w:t>
      </w:r>
      <w:r w:rsidRPr="006571AC">
        <w:rPr>
          <w:rFonts w:hint="cs"/>
          <w:sz w:val="27"/>
          <w:rtl/>
          <w:lang w:bidi="ar-IQ"/>
        </w:rPr>
        <w:t xml:space="preserve">: </w:t>
      </w:r>
      <w:r w:rsidR="00846DF7" w:rsidRPr="006571AC">
        <w:rPr>
          <w:rFonts w:hint="cs"/>
          <w:sz w:val="27"/>
          <w:rtl/>
          <w:lang w:bidi="ar-IQ"/>
        </w:rPr>
        <w:t>إ</w:t>
      </w:r>
      <w:r w:rsidRPr="006571AC">
        <w:rPr>
          <w:rFonts w:hint="cs"/>
          <w:sz w:val="27"/>
          <w:rtl/>
          <w:lang w:bidi="ar-IQ"/>
        </w:rPr>
        <w:t>ن الصلح عقد</w:t>
      </w:r>
      <w:r w:rsidR="00846DF7" w:rsidRPr="006571AC">
        <w:rPr>
          <w:rFonts w:hint="cs"/>
          <w:sz w:val="27"/>
          <w:rtl/>
          <w:lang w:bidi="ar-IQ"/>
        </w:rPr>
        <w:t>ٌ</w:t>
      </w:r>
      <w:r w:rsidRPr="006571AC">
        <w:rPr>
          <w:rFonts w:hint="cs"/>
          <w:sz w:val="27"/>
          <w:rtl/>
          <w:lang w:bidi="ar-IQ"/>
        </w:rPr>
        <w:t xml:space="preserve"> مستقل</w:t>
      </w:r>
      <w:r w:rsidR="00846DF7" w:rsidRPr="006571AC">
        <w:rPr>
          <w:rFonts w:hint="cs"/>
          <w:sz w:val="27"/>
          <w:rtl/>
          <w:lang w:bidi="ar-IQ"/>
        </w:rPr>
        <w:t>ّ،</w:t>
      </w:r>
      <w:r w:rsidRPr="006571AC">
        <w:rPr>
          <w:rFonts w:hint="cs"/>
          <w:sz w:val="27"/>
          <w:rtl/>
          <w:lang w:bidi="ar-IQ"/>
        </w:rPr>
        <w:t xml:space="preserve"> ويُع</w:t>
      </w:r>
      <w:r w:rsidR="00846DF7" w:rsidRPr="006571AC">
        <w:rPr>
          <w:rFonts w:hint="cs"/>
          <w:sz w:val="27"/>
          <w:rtl/>
          <w:lang w:bidi="ar-IQ"/>
        </w:rPr>
        <w:t>َ</w:t>
      </w:r>
      <w:r w:rsidRPr="006571AC">
        <w:rPr>
          <w:rFonts w:hint="cs"/>
          <w:sz w:val="27"/>
          <w:rtl/>
          <w:lang w:bidi="ar-IQ"/>
        </w:rPr>
        <w:t xml:space="preserve">دّ في عرض سائر العقود الأخرى. ولذلك فهو </w:t>
      </w:r>
      <w:r w:rsidRPr="006571AC">
        <w:rPr>
          <w:rFonts w:hint="cs"/>
          <w:sz w:val="27"/>
          <w:rtl/>
          <w:lang w:bidi="ar-IQ"/>
        </w:rPr>
        <w:lastRenderedPageBreak/>
        <w:t>يحتوي على آثاره الخاصّة</w:t>
      </w:r>
      <w:r w:rsidR="00846DF7" w:rsidRPr="006571AC">
        <w:rPr>
          <w:rFonts w:hint="cs"/>
          <w:sz w:val="27"/>
          <w:rtl/>
          <w:lang w:bidi="ar-IQ"/>
        </w:rPr>
        <w:t xml:space="preserve">، </w:t>
      </w:r>
      <w:r w:rsidRPr="006571AC">
        <w:rPr>
          <w:rFonts w:hint="cs"/>
          <w:sz w:val="27"/>
          <w:rtl/>
          <w:lang w:bidi="ar-IQ"/>
        </w:rPr>
        <w:t>رغم ذهاب قل</w:t>
      </w:r>
      <w:r w:rsidR="00846DF7" w:rsidRPr="006571AC">
        <w:rPr>
          <w:rFonts w:hint="cs"/>
          <w:sz w:val="27"/>
          <w:rtl/>
          <w:lang w:bidi="ar-IQ"/>
        </w:rPr>
        <w:t>ّ</w:t>
      </w:r>
      <w:r w:rsidRPr="006571AC">
        <w:rPr>
          <w:rFonts w:hint="cs"/>
          <w:sz w:val="27"/>
          <w:rtl/>
          <w:lang w:bidi="ar-IQ"/>
        </w:rPr>
        <w:t>ة من فقهاء الشيعة إل</w:t>
      </w:r>
      <w:r w:rsidR="00846DF7" w:rsidRPr="006571AC">
        <w:rPr>
          <w:rFonts w:hint="cs"/>
          <w:sz w:val="27"/>
          <w:rtl/>
          <w:lang w:bidi="ar-IQ"/>
        </w:rPr>
        <w:t>ى عدم اعتبار الصلح عقداً مستقلاًّ</w:t>
      </w:r>
      <w:r w:rsidRPr="006571AC">
        <w:rPr>
          <w:rFonts w:hint="cs"/>
          <w:sz w:val="27"/>
          <w:rtl/>
          <w:lang w:bidi="ar-IQ"/>
        </w:rPr>
        <w:t>، وقالوا بأنه تابع</w:t>
      </w:r>
      <w:r w:rsidR="00846DF7" w:rsidRPr="006571AC">
        <w:rPr>
          <w:rFonts w:hint="cs"/>
          <w:sz w:val="27"/>
          <w:rtl/>
          <w:lang w:bidi="ar-IQ"/>
        </w:rPr>
        <w:t>ٌ</w:t>
      </w:r>
      <w:r w:rsidRPr="006571AC">
        <w:rPr>
          <w:rFonts w:hint="cs"/>
          <w:sz w:val="27"/>
          <w:rtl/>
          <w:lang w:bidi="ar-IQ"/>
        </w:rPr>
        <w:t xml:space="preserve"> للعقود الأخرى</w:t>
      </w:r>
      <w:r w:rsidRPr="006571AC">
        <w:rPr>
          <w:sz w:val="27"/>
          <w:vertAlign w:val="superscript"/>
          <w:rtl/>
          <w:lang w:bidi="ar-IQ"/>
        </w:rPr>
        <w:t>(</w:t>
      </w:r>
      <w:r w:rsidRPr="006571AC">
        <w:rPr>
          <w:rStyle w:val="ac"/>
          <w:sz w:val="27"/>
          <w:rtl/>
          <w:lang w:bidi="ar-IQ"/>
        </w:rPr>
        <w:endnoteReference w:id="238"/>
      </w:r>
      <w:r w:rsidRPr="006571AC">
        <w:rPr>
          <w:sz w:val="27"/>
          <w:vertAlign w:val="superscript"/>
          <w:rtl/>
          <w:lang w:bidi="ar-IQ"/>
        </w:rPr>
        <w:t>)</w:t>
      </w:r>
      <w:r w:rsidRPr="006571AC">
        <w:rPr>
          <w:rFonts w:hint="cs"/>
          <w:sz w:val="27"/>
          <w:rtl/>
          <w:lang w:bidi="ar-IQ"/>
        </w:rPr>
        <w:t xml:space="preserve">. </w:t>
      </w:r>
      <w:r w:rsidRPr="006571AC">
        <w:rPr>
          <w:rFonts w:hint="cs"/>
          <w:b/>
          <w:bCs/>
          <w:sz w:val="27"/>
          <w:rtl/>
          <w:lang w:bidi="ar-IQ"/>
        </w:rPr>
        <w:t>وثانياً</w:t>
      </w:r>
      <w:r w:rsidRPr="006571AC">
        <w:rPr>
          <w:rFonts w:hint="cs"/>
          <w:sz w:val="27"/>
          <w:rtl/>
          <w:lang w:bidi="ar-IQ"/>
        </w:rPr>
        <w:t xml:space="preserve">: </w:t>
      </w:r>
      <w:r w:rsidR="00846DF7" w:rsidRPr="006571AC">
        <w:rPr>
          <w:rFonts w:hint="cs"/>
          <w:sz w:val="27"/>
          <w:rtl/>
          <w:lang w:bidi="ar-IQ"/>
        </w:rPr>
        <w:t>إ</w:t>
      </w:r>
      <w:r w:rsidRPr="006571AC">
        <w:rPr>
          <w:rFonts w:hint="cs"/>
          <w:sz w:val="27"/>
          <w:rtl/>
          <w:lang w:bidi="ar-IQ"/>
        </w:rPr>
        <w:t>ن أصل مشروعية الصلح لقطع الخصومة، ولكن</w:t>
      </w:r>
      <w:r w:rsidR="00846DF7" w:rsidRPr="006571AC">
        <w:rPr>
          <w:rFonts w:hint="cs"/>
          <w:sz w:val="27"/>
          <w:rtl/>
          <w:lang w:bidi="ar-IQ"/>
        </w:rPr>
        <w:t>ْ</w:t>
      </w:r>
      <w:r w:rsidRPr="006571AC">
        <w:rPr>
          <w:rFonts w:hint="cs"/>
          <w:sz w:val="27"/>
          <w:rtl/>
          <w:lang w:bidi="ar-IQ"/>
        </w:rPr>
        <w:t xml:space="preserve"> حيث يكون لأدلة مشروعية الصلح إطلاق</w:t>
      </w:r>
      <w:r w:rsidR="00846DF7" w:rsidRPr="006571AC">
        <w:rPr>
          <w:rFonts w:hint="cs"/>
          <w:sz w:val="27"/>
          <w:rtl/>
          <w:lang w:bidi="ar-IQ"/>
        </w:rPr>
        <w:t>ٌ</w:t>
      </w:r>
      <w:r w:rsidRPr="006571AC">
        <w:rPr>
          <w:rFonts w:hint="cs"/>
          <w:sz w:val="27"/>
          <w:rtl/>
          <w:lang w:bidi="ar-IQ"/>
        </w:rPr>
        <w:t xml:space="preserve"> فإنه يشمل حتى الموارد التي لا تنطوي على نزاع</w:t>
      </w:r>
      <w:r w:rsidR="00846DF7" w:rsidRPr="006571AC">
        <w:rPr>
          <w:rFonts w:hint="cs"/>
          <w:sz w:val="27"/>
          <w:rtl/>
          <w:lang w:bidi="ar-IQ"/>
        </w:rPr>
        <w:t>ٍ</w:t>
      </w:r>
      <w:r w:rsidRPr="006571AC">
        <w:rPr>
          <w:rFonts w:hint="cs"/>
          <w:sz w:val="27"/>
          <w:rtl/>
          <w:lang w:bidi="ar-IQ"/>
        </w:rPr>
        <w:t xml:space="preserve"> أو خصومة. </w:t>
      </w:r>
      <w:r w:rsidRPr="006571AC">
        <w:rPr>
          <w:rFonts w:hint="cs"/>
          <w:b/>
          <w:bCs/>
          <w:sz w:val="27"/>
          <w:rtl/>
          <w:lang w:bidi="ar-IQ"/>
        </w:rPr>
        <w:t>وثالثاً</w:t>
      </w:r>
      <w:r w:rsidRPr="006571AC">
        <w:rPr>
          <w:rFonts w:hint="cs"/>
          <w:sz w:val="27"/>
          <w:rtl/>
          <w:lang w:bidi="ar-IQ"/>
        </w:rPr>
        <w:t>: بالنظر إلى اتساع دائرة عقد الصلح يمكن الاستفادة منه بوصفه أداة</w:t>
      </w:r>
      <w:r w:rsidR="00846DF7" w:rsidRPr="006571AC">
        <w:rPr>
          <w:rFonts w:hint="cs"/>
          <w:sz w:val="27"/>
          <w:rtl/>
          <w:lang w:bidi="ar-IQ"/>
        </w:rPr>
        <w:t>ً</w:t>
      </w:r>
      <w:r w:rsidRPr="006571AC">
        <w:rPr>
          <w:rFonts w:hint="cs"/>
          <w:sz w:val="27"/>
          <w:rtl/>
          <w:lang w:bidi="ar-IQ"/>
        </w:rPr>
        <w:t xml:space="preserve"> لمشروعية العقود المست</w:t>
      </w:r>
      <w:r w:rsidR="00846DF7" w:rsidRPr="006571AC">
        <w:rPr>
          <w:rFonts w:hint="cs"/>
          <w:sz w:val="27"/>
          <w:rtl/>
          <w:lang w:bidi="ar-IQ"/>
        </w:rPr>
        <w:t>َ</w:t>
      </w:r>
      <w:r w:rsidRPr="006571AC">
        <w:rPr>
          <w:rFonts w:hint="cs"/>
          <w:sz w:val="27"/>
          <w:rtl/>
          <w:lang w:bidi="ar-IQ"/>
        </w:rPr>
        <w:t>ح</w:t>
      </w:r>
      <w:r w:rsidR="00846DF7" w:rsidRPr="006571AC">
        <w:rPr>
          <w:rFonts w:hint="cs"/>
          <w:sz w:val="27"/>
          <w:rtl/>
          <w:lang w:bidi="ar-IQ"/>
        </w:rPr>
        <w:t>ْ</w:t>
      </w:r>
      <w:r w:rsidRPr="006571AC">
        <w:rPr>
          <w:rFonts w:hint="cs"/>
          <w:sz w:val="27"/>
          <w:rtl/>
          <w:lang w:bidi="ar-IQ"/>
        </w:rPr>
        <w:t>د</w:t>
      </w:r>
      <w:r w:rsidR="00846DF7" w:rsidRPr="006571AC">
        <w:rPr>
          <w:rFonts w:hint="cs"/>
          <w:sz w:val="27"/>
          <w:rtl/>
          <w:lang w:bidi="ar-IQ"/>
        </w:rPr>
        <w:t>َ</w:t>
      </w:r>
      <w:r w:rsidRPr="006571AC">
        <w:rPr>
          <w:rFonts w:hint="cs"/>
          <w:sz w:val="27"/>
          <w:rtl/>
          <w:lang w:bidi="ar-IQ"/>
        </w:rPr>
        <w:t>ثة. ولذلك فقد صرّ</w:t>
      </w:r>
      <w:r w:rsidR="00846DF7" w:rsidRPr="006571AC">
        <w:rPr>
          <w:rFonts w:hint="cs"/>
          <w:sz w:val="27"/>
          <w:rtl/>
          <w:lang w:bidi="ar-IQ"/>
        </w:rPr>
        <w:t>َ</w:t>
      </w:r>
      <w:r w:rsidRPr="006571AC">
        <w:rPr>
          <w:rFonts w:hint="cs"/>
          <w:sz w:val="27"/>
          <w:rtl/>
          <w:lang w:bidi="ar-IQ"/>
        </w:rPr>
        <w:t>ح الإمام الخميني بأن هذا العقد قابل</w:t>
      </w:r>
      <w:r w:rsidR="00846DF7" w:rsidRPr="006571AC">
        <w:rPr>
          <w:rFonts w:hint="cs"/>
          <w:sz w:val="27"/>
          <w:rtl/>
          <w:lang w:bidi="ar-IQ"/>
        </w:rPr>
        <w:t>ٌ</w:t>
      </w:r>
      <w:r w:rsidRPr="006571AC">
        <w:rPr>
          <w:rFonts w:hint="cs"/>
          <w:sz w:val="27"/>
          <w:rtl/>
          <w:lang w:bidi="ar-IQ"/>
        </w:rPr>
        <w:t xml:space="preserve"> للتوظيف في كل</w:t>
      </w:r>
      <w:r w:rsidR="00846DF7" w:rsidRPr="006571AC">
        <w:rPr>
          <w:rFonts w:hint="cs"/>
          <w:sz w:val="27"/>
          <w:rtl/>
          <w:lang w:bidi="ar-IQ"/>
        </w:rPr>
        <w:t>ّ</w:t>
      </w:r>
      <w:r w:rsidRPr="006571AC">
        <w:rPr>
          <w:rFonts w:hint="cs"/>
          <w:sz w:val="27"/>
          <w:rtl/>
          <w:lang w:bidi="ar-IQ"/>
        </w:rPr>
        <w:t xml:space="preserve"> مقام</w:t>
      </w:r>
      <w:r w:rsidR="00846DF7" w:rsidRPr="006571AC">
        <w:rPr>
          <w:rFonts w:hint="cs"/>
          <w:sz w:val="27"/>
          <w:rtl/>
          <w:lang w:bidi="ar-IQ"/>
        </w:rPr>
        <w:t>ٍ</w:t>
      </w:r>
      <w:r w:rsidRPr="006571AC">
        <w:rPr>
          <w:rFonts w:hint="cs"/>
          <w:sz w:val="27"/>
          <w:rtl/>
          <w:lang w:bidi="ar-IQ"/>
        </w:rPr>
        <w:t>، إلا</w:t>
      </w:r>
      <w:r w:rsidR="00846DF7" w:rsidRPr="006571AC">
        <w:rPr>
          <w:rFonts w:hint="cs"/>
          <w:sz w:val="27"/>
          <w:rtl/>
          <w:lang w:bidi="ar-IQ"/>
        </w:rPr>
        <w:t>ّ</w:t>
      </w:r>
      <w:r w:rsidRPr="006571AC">
        <w:rPr>
          <w:rFonts w:hint="cs"/>
          <w:sz w:val="27"/>
          <w:rtl/>
          <w:lang w:bidi="ar-IQ"/>
        </w:rPr>
        <w:t xml:space="preserve"> إذا أحلّ حراماً أو حرّ</w:t>
      </w:r>
      <w:r w:rsidR="00846DF7" w:rsidRPr="006571AC">
        <w:rPr>
          <w:rFonts w:hint="cs"/>
          <w:sz w:val="27"/>
          <w:rtl/>
          <w:lang w:bidi="ar-IQ"/>
        </w:rPr>
        <w:t>َ</w:t>
      </w:r>
      <w:r w:rsidRPr="006571AC">
        <w:rPr>
          <w:rFonts w:hint="cs"/>
          <w:sz w:val="27"/>
          <w:rtl/>
          <w:lang w:bidi="ar-IQ"/>
        </w:rPr>
        <w:t xml:space="preserve">م حلالاً. </w:t>
      </w:r>
    </w:p>
    <w:p w:rsidR="004B60B2" w:rsidRPr="006571AC" w:rsidRDefault="004B60B2" w:rsidP="004B60B2">
      <w:pPr>
        <w:spacing w:line="420" w:lineRule="exact"/>
        <w:rPr>
          <w:sz w:val="27"/>
          <w:rtl/>
        </w:rPr>
      </w:pPr>
    </w:p>
    <w:p w:rsidR="00381A52" w:rsidRPr="006571AC" w:rsidRDefault="00381A52" w:rsidP="00714072">
      <w:pPr>
        <w:pStyle w:val="31"/>
        <w:rPr>
          <w:color w:val="auto"/>
          <w:rtl/>
        </w:rPr>
      </w:pPr>
      <w:bookmarkStart w:id="114" w:name="_Toc114164603"/>
      <w:r w:rsidRPr="006571AC">
        <w:rPr>
          <w:rFonts w:hint="cs"/>
          <w:color w:val="auto"/>
          <w:rtl/>
        </w:rPr>
        <w:t>خصائص الصلح الابتدائي</w:t>
      </w:r>
      <w:bookmarkEnd w:id="114"/>
    </w:p>
    <w:p w:rsidR="00381A52" w:rsidRPr="006571AC" w:rsidRDefault="00381A52" w:rsidP="00552C10">
      <w:pPr>
        <w:rPr>
          <w:sz w:val="27"/>
          <w:rtl/>
          <w:lang w:bidi="ar-IQ"/>
        </w:rPr>
      </w:pPr>
      <w:r w:rsidRPr="006571AC">
        <w:rPr>
          <w:rFonts w:hint="cs"/>
          <w:sz w:val="27"/>
          <w:rtl/>
          <w:lang w:bidi="ar-IQ"/>
        </w:rPr>
        <w:t>إن من الخصائص الهام</w:t>
      </w:r>
      <w:r w:rsidR="00846DF7" w:rsidRPr="006571AC">
        <w:rPr>
          <w:rFonts w:hint="cs"/>
          <w:sz w:val="27"/>
          <w:rtl/>
          <w:lang w:bidi="ar-IQ"/>
        </w:rPr>
        <w:t>ّ</w:t>
      </w:r>
      <w:r w:rsidRPr="006571AC">
        <w:rPr>
          <w:rFonts w:hint="cs"/>
          <w:sz w:val="27"/>
          <w:rtl/>
          <w:lang w:bidi="ar-IQ"/>
        </w:rPr>
        <w:t xml:space="preserve">ة لعقد الصلح أنه يمكن من خلاله الوصول إلى آثار ونتائج </w:t>
      </w:r>
      <w:r w:rsidRPr="006571AC">
        <w:rPr>
          <w:sz w:val="27"/>
          <w:rtl/>
          <w:lang w:bidi="ar-IQ"/>
        </w:rPr>
        <w:t xml:space="preserve">الكثير من </w:t>
      </w:r>
      <w:r w:rsidRPr="006571AC">
        <w:rPr>
          <w:rFonts w:hint="cs"/>
          <w:sz w:val="27"/>
          <w:rtl/>
          <w:lang w:bidi="ar-IQ"/>
        </w:rPr>
        <w:t>العقود المتعارفة. يمكن لكل</w:t>
      </w:r>
      <w:r w:rsidR="00C00BDC" w:rsidRPr="006571AC">
        <w:rPr>
          <w:rFonts w:hint="cs"/>
          <w:sz w:val="27"/>
          <w:rtl/>
          <w:lang w:bidi="ar-IQ"/>
        </w:rPr>
        <w:t>ّ</w:t>
      </w:r>
      <w:r w:rsidRPr="006571AC">
        <w:rPr>
          <w:rFonts w:hint="cs"/>
          <w:sz w:val="27"/>
          <w:rtl/>
          <w:lang w:bidi="ar-IQ"/>
        </w:rPr>
        <w:t xml:space="preserve"> واحد</w:t>
      </w:r>
      <w:r w:rsidR="00C00BDC" w:rsidRPr="006571AC">
        <w:rPr>
          <w:rFonts w:hint="cs"/>
          <w:sz w:val="27"/>
          <w:rtl/>
          <w:lang w:bidi="ar-IQ"/>
        </w:rPr>
        <w:t>ٍ</w:t>
      </w:r>
      <w:r w:rsidRPr="006571AC">
        <w:rPr>
          <w:rFonts w:hint="cs"/>
          <w:sz w:val="27"/>
          <w:rtl/>
          <w:lang w:bidi="ar-IQ"/>
        </w:rPr>
        <w:t xml:space="preserve"> من الطرفين في عقد الصلح في إطار الصلح أن يعمل على تمليك عين</w:t>
      </w:r>
      <w:r w:rsidR="00C00BDC" w:rsidRPr="006571AC">
        <w:rPr>
          <w:rFonts w:hint="cs"/>
          <w:sz w:val="27"/>
          <w:rtl/>
          <w:lang w:bidi="ar-IQ"/>
        </w:rPr>
        <w:t>ٍ</w:t>
      </w:r>
      <w:r w:rsidRPr="006571AC">
        <w:rPr>
          <w:rFonts w:hint="cs"/>
          <w:sz w:val="27"/>
          <w:rtl/>
          <w:lang w:bidi="ar-IQ"/>
        </w:rPr>
        <w:t xml:space="preserve"> أو منفعة</w:t>
      </w:r>
      <w:r w:rsidR="00C00BDC" w:rsidRPr="006571AC">
        <w:rPr>
          <w:rFonts w:hint="cs"/>
          <w:sz w:val="27"/>
          <w:rtl/>
          <w:lang w:bidi="ar-IQ"/>
        </w:rPr>
        <w:t>ٍ</w:t>
      </w:r>
      <w:r w:rsidRPr="006571AC">
        <w:rPr>
          <w:rFonts w:hint="cs"/>
          <w:sz w:val="27"/>
          <w:rtl/>
          <w:lang w:bidi="ar-IQ"/>
        </w:rPr>
        <w:t xml:space="preserve"> أو إسقاط د</w:t>
      </w:r>
      <w:r w:rsidR="00C00BDC" w:rsidRPr="006571AC">
        <w:rPr>
          <w:rFonts w:hint="cs"/>
          <w:sz w:val="27"/>
          <w:rtl/>
          <w:lang w:bidi="ar-IQ"/>
        </w:rPr>
        <w:t>َ</w:t>
      </w:r>
      <w:r w:rsidRPr="006571AC">
        <w:rPr>
          <w:rFonts w:hint="cs"/>
          <w:sz w:val="27"/>
          <w:rtl/>
          <w:lang w:bidi="ar-IQ"/>
        </w:rPr>
        <w:t>ي</w:t>
      </w:r>
      <w:r w:rsidR="00C00BDC" w:rsidRPr="006571AC">
        <w:rPr>
          <w:rFonts w:hint="cs"/>
          <w:sz w:val="27"/>
          <w:rtl/>
          <w:lang w:bidi="ar-IQ"/>
        </w:rPr>
        <w:t>ْ</w:t>
      </w:r>
      <w:r w:rsidRPr="006571AC">
        <w:rPr>
          <w:rFonts w:hint="cs"/>
          <w:sz w:val="27"/>
          <w:rtl/>
          <w:lang w:bidi="ar-IQ"/>
        </w:rPr>
        <w:t>ن</w:t>
      </w:r>
      <w:r w:rsidR="00C00BDC" w:rsidRPr="006571AC">
        <w:rPr>
          <w:rFonts w:hint="cs"/>
          <w:sz w:val="27"/>
          <w:rtl/>
          <w:lang w:bidi="ar-IQ"/>
        </w:rPr>
        <w:t>ٍ</w:t>
      </w:r>
      <w:r w:rsidRPr="006571AC">
        <w:rPr>
          <w:rFonts w:hint="cs"/>
          <w:sz w:val="27"/>
          <w:rtl/>
          <w:lang w:bidi="ar-IQ"/>
        </w:rPr>
        <w:t xml:space="preserve"> وحق</w:t>
      </w:r>
      <w:r w:rsidR="00C00BDC" w:rsidRPr="006571AC">
        <w:rPr>
          <w:rFonts w:hint="cs"/>
          <w:sz w:val="27"/>
          <w:rtl/>
          <w:lang w:bidi="ar-IQ"/>
        </w:rPr>
        <w:t>ٍّ</w:t>
      </w:r>
      <w:r w:rsidRPr="006571AC">
        <w:rPr>
          <w:rFonts w:hint="cs"/>
          <w:sz w:val="27"/>
          <w:rtl/>
          <w:lang w:bidi="ar-IQ"/>
        </w:rPr>
        <w:t xml:space="preserve"> في مقابل عوض</w:t>
      </w:r>
      <w:r w:rsidR="00C00BDC" w:rsidRPr="006571AC">
        <w:rPr>
          <w:rFonts w:hint="cs"/>
          <w:sz w:val="27"/>
          <w:rtl/>
          <w:lang w:bidi="ar-IQ"/>
        </w:rPr>
        <w:t>ٍ</w:t>
      </w:r>
      <w:r w:rsidRPr="006571AC">
        <w:rPr>
          <w:rFonts w:hint="cs"/>
          <w:sz w:val="27"/>
          <w:rtl/>
          <w:lang w:bidi="ar-IQ"/>
        </w:rPr>
        <w:t xml:space="preserve"> أو بغير عوض</w:t>
      </w:r>
      <w:r w:rsidR="00C00BDC" w:rsidRPr="006571AC">
        <w:rPr>
          <w:rFonts w:hint="cs"/>
          <w:sz w:val="27"/>
          <w:rtl/>
          <w:lang w:bidi="ar-IQ"/>
        </w:rPr>
        <w:t>ٍ</w:t>
      </w:r>
      <w:r w:rsidRPr="006571AC">
        <w:rPr>
          <w:rFonts w:hint="cs"/>
          <w:sz w:val="27"/>
          <w:rtl/>
          <w:lang w:bidi="ar-IQ"/>
        </w:rPr>
        <w:t xml:space="preserve">. وقد اعتبر الشيخ الطوسي في كتاب </w:t>
      </w:r>
      <w:r w:rsidRPr="006571AC">
        <w:rPr>
          <w:rFonts w:hint="eastAsia"/>
          <w:sz w:val="24"/>
          <w:szCs w:val="24"/>
          <w:rtl/>
        </w:rPr>
        <w:t>«</w:t>
      </w:r>
      <w:r w:rsidRPr="006571AC">
        <w:rPr>
          <w:rFonts w:hint="cs"/>
          <w:sz w:val="27"/>
          <w:rtl/>
          <w:lang w:bidi="ar-IQ"/>
        </w:rPr>
        <w:t>المبسوط</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39"/>
      </w:r>
      <w:r w:rsidRPr="006571AC">
        <w:rPr>
          <w:sz w:val="27"/>
          <w:vertAlign w:val="superscript"/>
          <w:rtl/>
          <w:lang w:bidi="ar-IQ"/>
        </w:rPr>
        <w:t>)</w:t>
      </w:r>
      <w:r w:rsidRPr="006571AC">
        <w:rPr>
          <w:rFonts w:hint="cs"/>
          <w:sz w:val="27"/>
          <w:rtl/>
          <w:lang w:bidi="ar-IQ"/>
        </w:rPr>
        <w:t xml:space="preserve"> ـ استناداً إلى الفقه الشافعي ـ أن عقد الصلح يشتمل على فوائد العقود الخمسة المتعارفة، وهي: البيع، والإبراء، والعارية، والإجارة، والهبة. </w:t>
      </w:r>
    </w:p>
    <w:p w:rsidR="00381A52" w:rsidRPr="006571AC" w:rsidRDefault="00381A52" w:rsidP="00552C10">
      <w:pPr>
        <w:rPr>
          <w:sz w:val="27"/>
          <w:rtl/>
          <w:lang w:bidi="ar-IQ"/>
        </w:rPr>
      </w:pPr>
      <w:r w:rsidRPr="006571AC">
        <w:rPr>
          <w:rFonts w:hint="cs"/>
          <w:sz w:val="27"/>
          <w:rtl/>
          <w:lang w:bidi="ar-IQ"/>
        </w:rPr>
        <w:t>وقد صرّ</w:t>
      </w:r>
      <w:r w:rsidR="00C00BDC" w:rsidRPr="006571AC">
        <w:rPr>
          <w:rFonts w:hint="cs"/>
          <w:sz w:val="27"/>
          <w:rtl/>
          <w:lang w:bidi="ar-IQ"/>
        </w:rPr>
        <w:t>َ</w:t>
      </w:r>
      <w:r w:rsidRPr="006571AC">
        <w:rPr>
          <w:rFonts w:hint="cs"/>
          <w:sz w:val="27"/>
          <w:rtl/>
          <w:lang w:bidi="ar-IQ"/>
        </w:rPr>
        <w:t>ح بعض الفقهاء المتأخ</w:t>
      </w:r>
      <w:r w:rsidR="00C00BDC" w:rsidRPr="006571AC">
        <w:rPr>
          <w:rFonts w:hint="cs"/>
          <w:sz w:val="27"/>
          <w:rtl/>
          <w:lang w:bidi="ar-IQ"/>
        </w:rPr>
        <w:t>ِّ</w:t>
      </w:r>
      <w:r w:rsidRPr="006571AC">
        <w:rPr>
          <w:rFonts w:hint="cs"/>
          <w:sz w:val="27"/>
          <w:rtl/>
          <w:lang w:bidi="ar-IQ"/>
        </w:rPr>
        <w:t>رين بأن عقد الصلح يمكنه أن ينطوي على فوائد ونتائج تفوق هذه العقود الخمسة</w:t>
      </w:r>
      <w:r w:rsidR="00C00BDC" w:rsidRPr="006571AC">
        <w:rPr>
          <w:rFonts w:hint="cs"/>
          <w:sz w:val="27"/>
          <w:rtl/>
          <w:lang w:bidi="ar-IQ"/>
        </w:rPr>
        <w:t>.</w:t>
      </w:r>
      <w:r w:rsidRPr="006571AC">
        <w:rPr>
          <w:rFonts w:hint="cs"/>
          <w:sz w:val="27"/>
          <w:rtl/>
          <w:lang w:bidi="ar-IQ"/>
        </w:rPr>
        <w:t xml:space="preserve"> ومن هنا فقد </w:t>
      </w:r>
      <w:r w:rsidR="00D90D7D" w:rsidRPr="006571AC">
        <w:rPr>
          <w:rFonts w:hint="cs"/>
          <w:sz w:val="27"/>
          <w:rtl/>
          <w:lang w:bidi="ar-IQ"/>
        </w:rPr>
        <w:t>أ</w:t>
      </w:r>
      <w:r w:rsidRPr="006571AC">
        <w:rPr>
          <w:rFonts w:hint="cs"/>
          <w:sz w:val="27"/>
          <w:rtl/>
          <w:lang w:bidi="ar-IQ"/>
        </w:rPr>
        <w:t xml:space="preserve">شار </w:t>
      </w:r>
      <w:r w:rsidR="00C00BDC" w:rsidRPr="006571AC">
        <w:rPr>
          <w:rFonts w:hint="cs"/>
          <w:sz w:val="27"/>
          <w:rtl/>
          <w:lang w:bidi="ar-IQ"/>
        </w:rPr>
        <w:t>السيد الخميني</w:t>
      </w:r>
      <w:r w:rsidRPr="006571AC">
        <w:rPr>
          <w:rFonts w:hint="cs"/>
          <w:sz w:val="27"/>
          <w:rtl/>
          <w:lang w:bidi="ar-IQ"/>
        </w:rPr>
        <w:t xml:space="preserve"> إلى سعة دائرة عقد الصلح، بقوله: </w:t>
      </w:r>
      <w:r w:rsidRPr="006571AC">
        <w:rPr>
          <w:rFonts w:hint="eastAsia"/>
          <w:sz w:val="24"/>
          <w:szCs w:val="24"/>
          <w:rtl/>
        </w:rPr>
        <w:t>«</w:t>
      </w:r>
      <w:r w:rsidRPr="006571AC">
        <w:rPr>
          <w:rFonts w:hint="cs"/>
          <w:sz w:val="27"/>
          <w:rtl/>
          <w:lang w:bidi="ar-IQ"/>
        </w:rPr>
        <w:t>يجوز إيقاعه على كل</w:t>
      </w:r>
      <w:r w:rsidR="00C00BDC" w:rsidRPr="006571AC">
        <w:rPr>
          <w:rFonts w:hint="cs"/>
          <w:sz w:val="27"/>
          <w:rtl/>
          <w:lang w:bidi="ar-IQ"/>
        </w:rPr>
        <w:t>ّ</w:t>
      </w:r>
      <w:r w:rsidRPr="006571AC">
        <w:rPr>
          <w:rFonts w:hint="cs"/>
          <w:sz w:val="27"/>
          <w:rtl/>
          <w:lang w:bidi="ar-IQ"/>
        </w:rPr>
        <w:t xml:space="preserve"> أمر</w:t>
      </w:r>
      <w:r w:rsidR="00C00BDC" w:rsidRPr="006571AC">
        <w:rPr>
          <w:rFonts w:hint="cs"/>
          <w:sz w:val="27"/>
          <w:rtl/>
          <w:lang w:bidi="ar-IQ"/>
        </w:rPr>
        <w:t>ٍ،</w:t>
      </w:r>
      <w:r w:rsidRPr="006571AC">
        <w:rPr>
          <w:rFonts w:hint="cs"/>
          <w:sz w:val="27"/>
          <w:rtl/>
          <w:lang w:bidi="ar-IQ"/>
        </w:rPr>
        <w:t xml:space="preserve"> وفي كل</w:t>
      </w:r>
      <w:r w:rsidR="00C00BDC" w:rsidRPr="006571AC">
        <w:rPr>
          <w:rFonts w:hint="cs"/>
          <w:sz w:val="27"/>
          <w:rtl/>
          <w:lang w:bidi="ar-IQ"/>
        </w:rPr>
        <w:t>ّ</w:t>
      </w:r>
      <w:r w:rsidRPr="006571AC">
        <w:rPr>
          <w:rFonts w:hint="cs"/>
          <w:sz w:val="27"/>
          <w:rtl/>
          <w:lang w:bidi="ar-IQ"/>
        </w:rPr>
        <w:t xml:space="preserve"> مقام، إلا</w:t>
      </w:r>
      <w:r w:rsidR="00C00BDC" w:rsidRPr="006571AC">
        <w:rPr>
          <w:rFonts w:hint="cs"/>
          <w:sz w:val="27"/>
          <w:rtl/>
          <w:lang w:bidi="ar-IQ"/>
        </w:rPr>
        <w:t>ّ</w:t>
      </w:r>
      <w:r w:rsidRPr="006571AC">
        <w:rPr>
          <w:rFonts w:hint="cs"/>
          <w:sz w:val="27"/>
          <w:rtl/>
          <w:lang w:bidi="ar-IQ"/>
        </w:rPr>
        <w:t xml:space="preserve"> ما أحلّ حراماً وحرّم حلالاً</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40"/>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وقد أكّ</w:t>
      </w:r>
      <w:r w:rsidR="00C00BDC" w:rsidRPr="006571AC">
        <w:rPr>
          <w:rFonts w:hint="cs"/>
          <w:sz w:val="27"/>
          <w:rtl/>
          <w:lang w:bidi="ar-IQ"/>
        </w:rPr>
        <w:t>َ</w:t>
      </w:r>
      <w:r w:rsidRPr="006571AC">
        <w:rPr>
          <w:rFonts w:hint="cs"/>
          <w:sz w:val="27"/>
          <w:rtl/>
          <w:lang w:bidi="ar-IQ"/>
        </w:rPr>
        <w:t>د السيد محمد الطباطبائي</w:t>
      </w:r>
      <w:r w:rsidR="00C00BDC" w:rsidRPr="006571AC">
        <w:rPr>
          <w:rFonts w:hint="cs"/>
          <w:sz w:val="27"/>
          <w:rtl/>
          <w:lang w:bidi="ar-IQ"/>
        </w:rPr>
        <w:t>،</w:t>
      </w:r>
      <w:r w:rsidRPr="006571AC">
        <w:rPr>
          <w:rFonts w:hint="cs"/>
          <w:sz w:val="27"/>
          <w:rtl/>
          <w:lang w:bidi="ar-IQ"/>
        </w:rPr>
        <w:t xml:space="preserve"> صاحب كتاب </w:t>
      </w:r>
      <w:r w:rsidRPr="006571AC">
        <w:rPr>
          <w:rFonts w:hint="eastAsia"/>
          <w:sz w:val="24"/>
          <w:szCs w:val="24"/>
          <w:rtl/>
        </w:rPr>
        <w:t>«</w:t>
      </w:r>
      <w:r w:rsidRPr="006571AC">
        <w:rPr>
          <w:rFonts w:hint="cs"/>
          <w:sz w:val="27"/>
          <w:rtl/>
          <w:lang w:bidi="ar-IQ"/>
        </w:rPr>
        <w:t>المناهل</w:t>
      </w:r>
      <w:r w:rsidRPr="006571AC">
        <w:rPr>
          <w:rFonts w:hint="eastAsia"/>
          <w:sz w:val="24"/>
          <w:szCs w:val="24"/>
          <w:rtl/>
        </w:rPr>
        <w:t>»</w:t>
      </w:r>
      <w:r w:rsidR="00C00BDC" w:rsidRPr="006571AC">
        <w:rPr>
          <w:rFonts w:hint="cs"/>
          <w:sz w:val="27"/>
          <w:rtl/>
          <w:lang w:bidi="ar-IQ"/>
        </w:rPr>
        <w:t>،</w:t>
      </w:r>
      <w:r w:rsidRPr="006571AC">
        <w:rPr>
          <w:rFonts w:hint="cs"/>
          <w:sz w:val="27"/>
          <w:rtl/>
          <w:lang w:bidi="ar-IQ"/>
        </w:rPr>
        <w:t xml:space="preserve"> صراحة</w:t>
      </w:r>
      <w:r w:rsidR="00C00BDC" w:rsidRPr="006571AC">
        <w:rPr>
          <w:rFonts w:hint="cs"/>
          <w:sz w:val="27"/>
          <w:rtl/>
          <w:lang w:bidi="ar-IQ"/>
        </w:rPr>
        <w:t>ً</w:t>
      </w:r>
      <w:r w:rsidRPr="006571AC">
        <w:rPr>
          <w:rFonts w:hint="cs"/>
          <w:sz w:val="27"/>
          <w:rtl/>
          <w:lang w:bidi="ar-IQ"/>
        </w:rPr>
        <w:t xml:space="preserve"> أن عقد الصلح يمكن أن ينطوي على ثمار ونتائج جميع العقود، والعقد الوحيد الذي تمّ استثناؤه من بين هذه العقود هو عقد النكاح</w:t>
      </w:r>
      <w:r w:rsidR="00C00BDC" w:rsidRPr="006571AC">
        <w:rPr>
          <w:rFonts w:hint="cs"/>
          <w:sz w:val="27"/>
          <w:rtl/>
          <w:lang w:bidi="ar-IQ"/>
        </w:rPr>
        <w:t>،</w:t>
      </w:r>
      <w:r w:rsidRPr="006571AC">
        <w:rPr>
          <w:rFonts w:hint="cs"/>
          <w:sz w:val="27"/>
          <w:rtl/>
          <w:lang w:bidi="ar-IQ"/>
        </w:rPr>
        <w:t xml:space="preserve"> حيث </w:t>
      </w:r>
      <w:r w:rsidR="00D90D7D" w:rsidRPr="006571AC">
        <w:rPr>
          <w:rFonts w:hint="cs"/>
          <w:sz w:val="27"/>
          <w:rtl/>
          <w:lang w:bidi="ar-IQ"/>
        </w:rPr>
        <w:t xml:space="preserve">لا </w:t>
      </w:r>
      <w:r w:rsidRPr="006571AC">
        <w:rPr>
          <w:rFonts w:hint="cs"/>
          <w:sz w:val="27"/>
          <w:rtl/>
          <w:lang w:bidi="ar-IQ"/>
        </w:rPr>
        <w:t>يتطرّ</w:t>
      </w:r>
      <w:r w:rsidR="00C00BDC" w:rsidRPr="006571AC">
        <w:rPr>
          <w:rFonts w:hint="cs"/>
          <w:sz w:val="27"/>
          <w:rtl/>
          <w:lang w:bidi="ar-IQ"/>
        </w:rPr>
        <w:t>َ</w:t>
      </w:r>
      <w:r w:rsidRPr="006571AC">
        <w:rPr>
          <w:rFonts w:hint="cs"/>
          <w:sz w:val="27"/>
          <w:rtl/>
          <w:lang w:bidi="ar-IQ"/>
        </w:rPr>
        <w:t>ق إليه الصلح</w:t>
      </w:r>
      <w:r w:rsidRPr="006571AC">
        <w:rPr>
          <w:sz w:val="27"/>
          <w:vertAlign w:val="superscript"/>
          <w:rtl/>
          <w:lang w:bidi="ar-IQ"/>
        </w:rPr>
        <w:t>(</w:t>
      </w:r>
      <w:r w:rsidRPr="006571AC">
        <w:rPr>
          <w:sz w:val="27"/>
          <w:vertAlign w:val="superscript"/>
          <w:rtl/>
          <w:lang w:bidi="ar-IQ"/>
        </w:rPr>
        <w:endnoteReference w:id="241"/>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وقد ذهب السيد محمد الصدر ـ من الفقهاء المعاصرين ـ إلى استثناء عقد النكاح من بين العقود، والطلاق</w:t>
      </w:r>
      <w:r w:rsidR="00D90D7D" w:rsidRPr="006571AC">
        <w:rPr>
          <w:rFonts w:hint="cs"/>
          <w:sz w:val="27"/>
          <w:rtl/>
          <w:lang w:bidi="ar-IQ"/>
        </w:rPr>
        <w:t xml:space="preserve"> والعتق</w:t>
      </w:r>
      <w:r w:rsidRPr="006571AC">
        <w:rPr>
          <w:rFonts w:hint="cs"/>
          <w:sz w:val="27"/>
          <w:rtl/>
          <w:lang w:bidi="ar-IQ"/>
        </w:rPr>
        <w:t xml:space="preserve"> من بين الإيقاعات، وقال في ذلك: </w:t>
      </w:r>
      <w:r w:rsidRPr="006571AC">
        <w:rPr>
          <w:rFonts w:hint="eastAsia"/>
          <w:sz w:val="24"/>
          <w:szCs w:val="24"/>
          <w:rtl/>
        </w:rPr>
        <w:t>«</w:t>
      </w:r>
      <w:r w:rsidRPr="006571AC">
        <w:rPr>
          <w:rFonts w:hint="cs"/>
          <w:sz w:val="27"/>
          <w:rtl/>
          <w:lang w:bidi="ar-IQ"/>
        </w:rPr>
        <w:t>وقد يُفيد [الصلح] فوائد المزارعة والمساقاة والق</w:t>
      </w:r>
      <w:r w:rsidR="00C00BDC" w:rsidRPr="006571AC">
        <w:rPr>
          <w:rFonts w:hint="cs"/>
          <w:sz w:val="27"/>
          <w:rtl/>
          <w:lang w:bidi="ar-IQ"/>
        </w:rPr>
        <w:t>َ</w:t>
      </w:r>
      <w:r w:rsidRPr="006571AC">
        <w:rPr>
          <w:rFonts w:hint="cs"/>
          <w:sz w:val="27"/>
          <w:rtl/>
          <w:lang w:bidi="ar-IQ"/>
        </w:rPr>
        <w:t>ر</w:t>
      </w:r>
      <w:r w:rsidR="00C00BDC" w:rsidRPr="006571AC">
        <w:rPr>
          <w:rFonts w:hint="cs"/>
          <w:sz w:val="27"/>
          <w:rtl/>
          <w:lang w:bidi="ar-IQ"/>
        </w:rPr>
        <w:t>ْ</w:t>
      </w:r>
      <w:r w:rsidRPr="006571AC">
        <w:rPr>
          <w:rFonts w:hint="cs"/>
          <w:sz w:val="27"/>
          <w:rtl/>
          <w:lang w:bidi="ar-IQ"/>
        </w:rPr>
        <w:t>ض والر</w:t>
      </w:r>
      <w:r w:rsidR="00C00BDC" w:rsidRPr="006571AC">
        <w:rPr>
          <w:rFonts w:hint="cs"/>
          <w:sz w:val="27"/>
          <w:rtl/>
          <w:lang w:bidi="ar-IQ"/>
        </w:rPr>
        <w:t>َّ</w:t>
      </w:r>
      <w:r w:rsidRPr="006571AC">
        <w:rPr>
          <w:rFonts w:hint="cs"/>
          <w:sz w:val="27"/>
          <w:rtl/>
          <w:lang w:bidi="ar-IQ"/>
        </w:rPr>
        <w:t>ه</w:t>
      </w:r>
      <w:r w:rsidR="00C00BDC" w:rsidRPr="006571AC">
        <w:rPr>
          <w:rFonts w:hint="cs"/>
          <w:sz w:val="27"/>
          <w:rtl/>
          <w:lang w:bidi="ar-IQ"/>
        </w:rPr>
        <w:t>ْ</w:t>
      </w:r>
      <w:r w:rsidRPr="006571AC">
        <w:rPr>
          <w:rFonts w:hint="cs"/>
          <w:sz w:val="27"/>
          <w:rtl/>
          <w:lang w:bidi="ar-IQ"/>
        </w:rPr>
        <w:t>ن إلى غير ذلك من المعاملات.. بل يُفيد أيضاً فائدة الإيقاعات</w:t>
      </w:r>
      <w:r w:rsidR="00C00BDC" w:rsidRPr="006571AC">
        <w:rPr>
          <w:rFonts w:hint="cs"/>
          <w:sz w:val="27"/>
          <w:rtl/>
          <w:lang w:bidi="ar-IQ"/>
        </w:rPr>
        <w:t>،</w:t>
      </w:r>
      <w:r w:rsidRPr="006571AC">
        <w:rPr>
          <w:rFonts w:hint="cs"/>
          <w:sz w:val="27"/>
          <w:rtl/>
          <w:lang w:bidi="ar-IQ"/>
        </w:rPr>
        <w:t xml:space="preserve"> كالإبراء</w:t>
      </w:r>
      <w:r w:rsidR="00C00BDC" w:rsidRPr="006571AC">
        <w:rPr>
          <w:rFonts w:hint="cs"/>
          <w:sz w:val="27"/>
          <w:rtl/>
          <w:lang w:bidi="ar-IQ"/>
        </w:rPr>
        <w:t>،</w:t>
      </w:r>
      <w:r w:rsidRPr="006571AC">
        <w:rPr>
          <w:rFonts w:hint="cs"/>
          <w:sz w:val="27"/>
          <w:rtl/>
          <w:lang w:bidi="ar-IQ"/>
        </w:rPr>
        <w:t xml:space="preserve"> وإن</w:t>
      </w:r>
      <w:r w:rsidR="00C00BDC" w:rsidRPr="006571AC">
        <w:rPr>
          <w:rFonts w:hint="cs"/>
          <w:sz w:val="27"/>
          <w:rtl/>
          <w:lang w:bidi="ar-IQ"/>
        </w:rPr>
        <w:t>ْ</w:t>
      </w:r>
      <w:r w:rsidRPr="006571AC">
        <w:rPr>
          <w:rFonts w:hint="cs"/>
          <w:sz w:val="27"/>
          <w:rtl/>
          <w:lang w:bidi="ar-IQ"/>
        </w:rPr>
        <w:t xml:space="preserve"> كان نفوذه في العتق والطلاق والنكاح ممّا لم يق</w:t>
      </w:r>
      <w:r w:rsidR="00C00BDC" w:rsidRPr="006571AC">
        <w:rPr>
          <w:rFonts w:hint="cs"/>
          <w:sz w:val="27"/>
          <w:rtl/>
          <w:lang w:bidi="ar-IQ"/>
        </w:rPr>
        <w:t>ُ</w:t>
      </w:r>
      <w:r w:rsidRPr="006571AC">
        <w:rPr>
          <w:rFonts w:hint="cs"/>
          <w:sz w:val="27"/>
          <w:rtl/>
          <w:lang w:bidi="ar-IQ"/>
        </w:rPr>
        <w:t>ل</w:t>
      </w:r>
      <w:r w:rsidR="00C00BDC" w:rsidRPr="006571AC">
        <w:rPr>
          <w:rFonts w:hint="cs"/>
          <w:sz w:val="27"/>
          <w:rtl/>
          <w:lang w:bidi="ar-IQ"/>
        </w:rPr>
        <w:t>ْ</w:t>
      </w:r>
      <w:r w:rsidRPr="006571AC">
        <w:rPr>
          <w:rFonts w:hint="cs"/>
          <w:sz w:val="27"/>
          <w:rtl/>
          <w:lang w:bidi="ar-IQ"/>
        </w:rPr>
        <w:t xml:space="preserve"> به أحد</w:t>
      </w:r>
      <w:r w:rsidR="00C00BDC" w:rsidRPr="006571AC">
        <w:rPr>
          <w:rFonts w:hint="cs"/>
          <w:sz w:val="27"/>
          <w:rtl/>
          <w:lang w:bidi="ar-IQ"/>
        </w:rPr>
        <w:t>ٌ</w:t>
      </w:r>
      <w:r w:rsidRPr="006571AC">
        <w:rPr>
          <w:rFonts w:hint="eastAsia"/>
          <w:sz w:val="24"/>
          <w:szCs w:val="24"/>
          <w:rtl/>
        </w:rPr>
        <w:t>»</w:t>
      </w:r>
      <w:r w:rsidRPr="006571AC">
        <w:rPr>
          <w:sz w:val="27"/>
          <w:vertAlign w:val="superscript"/>
          <w:rtl/>
          <w:lang w:bidi="ar-IQ"/>
        </w:rPr>
        <w:t>(</w:t>
      </w:r>
      <w:r w:rsidRPr="006571AC">
        <w:rPr>
          <w:sz w:val="27"/>
          <w:vertAlign w:val="superscript"/>
          <w:rtl/>
          <w:lang w:bidi="ar-IQ"/>
        </w:rPr>
        <w:endnoteReference w:id="242"/>
      </w:r>
      <w:r w:rsidRPr="006571AC">
        <w:rPr>
          <w:sz w:val="27"/>
          <w:vertAlign w:val="superscript"/>
          <w:rtl/>
          <w:lang w:bidi="ar-IQ"/>
        </w:rPr>
        <w:t>)</w:t>
      </w:r>
      <w:r w:rsidRPr="006571AC">
        <w:rPr>
          <w:rFonts w:hint="cs"/>
          <w:sz w:val="27"/>
          <w:rtl/>
          <w:lang w:bidi="ar-IQ"/>
        </w:rPr>
        <w:t xml:space="preserve">. </w:t>
      </w:r>
    </w:p>
    <w:p w:rsidR="00381A52" w:rsidRPr="006571AC" w:rsidRDefault="00C00BDC" w:rsidP="00552C10">
      <w:pPr>
        <w:rPr>
          <w:sz w:val="27"/>
          <w:rtl/>
          <w:lang w:bidi="ar-IQ"/>
        </w:rPr>
      </w:pPr>
      <w:r w:rsidRPr="006571AC">
        <w:rPr>
          <w:rFonts w:hint="cs"/>
          <w:sz w:val="27"/>
          <w:rtl/>
          <w:lang w:bidi="ar-IQ"/>
        </w:rPr>
        <w:lastRenderedPageBreak/>
        <w:t>وفي</w:t>
      </w:r>
      <w:r w:rsidR="00381A52" w:rsidRPr="006571AC">
        <w:rPr>
          <w:rFonts w:hint="cs"/>
          <w:sz w:val="27"/>
          <w:rtl/>
          <w:lang w:bidi="ar-IQ"/>
        </w:rPr>
        <w:t xml:space="preserve"> نظر الفقهاء المتأخ</w:t>
      </w:r>
      <w:r w:rsidRPr="006571AC">
        <w:rPr>
          <w:rFonts w:hint="cs"/>
          <w:sz w:val="27"/>
          <w:rtl/>
          <w:lang w:bidi="ar-IQ"/>
        </w:rPr>
        <w:t>ِّ</w:t>
      </w:r>
      <w:r w:rsidR="00381A52" w:rsidRPr="006571AC">
        <w:rPr>
          <w:rFonts w:hint="cs"/>
          <w:sz w:val="27"/>
          <w:rtl/>
          <w:lang w:bidi="ar-IQ"/>
        </w:rPr>
        <w:t>رين والمعاصرين لا ينطوي عقد الصلح على فائدة جميع العقود المتعارفة فح</w:t>
      </w:r>
      <w:r w:rsidRPr="006571AC">
        <w:rPr>
          <w:rFonts w:hint="cs"/>
          <w:sz w:val="27"/>
          <w:rtl/>
          <w:lang w:bidi="ar-IQ"/>
        </w:rPr>
        <w:t>َ</w:t>
      </w:r>
      <w:r w:rsidR="00381A52" w:rsidRPr="006571AC">
        <w:rPr>
          <w:rFonts w:hint="cs"/>
          <w:sz w:val="27"/>
          <w:rtl/>
          <w:lang w:bidi="ar-IQ"/>
        </w:rPr>
        <w:t>س</w:t>
      </w:r>
      <w:r w:rsidRPr="006571AC">
        <w:rPr>
          <w:rFonts w:hint="cs"/>
          <w:sz w:val="27"/>
          <w:rtl/>
          <w:lang w:bidi="ar-IQ"/>
        </w:rPr>
        <w:t>ْ</w:t>
      </w:r>
      <w:r w:rsidR="00381A52" w:rsidRPr="006571AC">
        <w:rPr>
          <w:rFonts w:hint="cs"/>
          <w:sz w:val="27"/>
          <w:rtl/>
          <w:lang w:bidi="ar-IQ"/>
        </w:rPr>
        <w:t>ب، بل اعتبر</w:t>
      </w:r>
      <w:r w:rsidR="009916F4" w:rsidRPr="006571AC">
        <w:rPr>
          <w:rFonts w:hint="cs"/>
          <w:sz w:val="27"/>
          <w:rtl/>
          <w:lang w:bidi="ar-IQ"/>
        </w:rPr>
        <w:t>وا</w:t>
      </w:r>
      <w:r w:rsidR="00381A52" w:rsidRPr="006571AC">
        <w:rPr>
          <w:rFonts w:hint="cs"/>
          <w:sz w:val="27"/>
          <w:rtl/>
          <w:lang w:bidi="ar-IQ"/>
        </w:rPr>
        <w:t xml:space="preserve"> مشروعية الكثير من المعاملات والعقود المست</w:t>
      </w:r>
      <w:r w:rsidR="009916F4" w:rsidRPr="006571AC">
        <w:rPr>
          <w:rFonts w:hint="cs"/>
          <w:sz w:val="27"/>
          <w:rtl/>
          <w:lang w:bidi="ar-IQ"/>
        </w:rPr>
        <w:t>َ</w:t>
      </w:r>
      <w:r w:rsidR="00381A52" w:rsidRPr="006571AC">
        <w:rPr>
          <w:rFonts w:hint="cs"/>
          <w:sz w:val="27"/>
          <w:rtl/>
          <w:lang w:bidi="ar-IQ"/>
        </w:rPr>
        <w:t>ح</w:t>
      </w:r>
      <w:r w:rsidR="009916F4" w:rsidRPr="006571AC">
        <w:rPr>
          <w:rFonts w:hint="cs"/>
          <w:sz w:val="27"/>
          <w:rtl/>
          <w:lang w:bidi="ar-IQ"/>
        </w:rPr>
        <w:t>ْ</w:t>
      </w:r>
      <w:r w:rsidR="00381A52" w:rsidRPr="006571AC">
        <w:rPr>
          <w:rFonts w:hint="cs"/>
          <w:sz w:val="27"/>
          <w:rtl/>
          <w:lang w:bidi="ar-IQ"/>
        </w:rPr>
        <w:t>د</w:t>
      </w:r>
      <w:r w:rsidR="009916F4" w:rsidRPr="006571AC">
        <w:rPr>
          <w:rFonts w:hint="cs"/>
          <w:sz w:val="27"/>
          <w:rtl/>
          <w:lang w:bidi="ar-IQ"/>
        </w:rPr>
        <w:t>َ</w:t>
      </w:r>
      <w:r w:rsidR="00381A52" w:rsidRPr="006571AC">
        <w:rPr>
          <w:rFonts w:hint="cs"/>
          <w:sz w:val="27"/>
          <w:rtl/>
          <w:lang w:bidi="ar-IQ"/>
        </w:rPr>
        <w:t>ثة والمجهولة تحت عنوان عقد الصلح أيضاً، ومن بين هذه العقود المست</w:t>
      </w:r>
      <w:r w:rsidR="009916F4" w:rsidRPr="006571AC">
        <w:rPr>
          <w:rFonts w:hint="cs"/>
          <w:sz w:val="27"/>
          <w:rtl/>
          <w:lang w:bidi="ar-IQ"/>
        </w:rPr>
        <w:t>َ</w:t>
      </w:r>
      <w:r w:rsidR="00381A52" w:rsidRPr="006571AC">
        <w:rPr>
          <w:rFonts w:hint="cs"/>
          <w:sz w:val="27"/>
          <w:rtl/>
          <w:lang w:bidi="ar-IQ"/>
        </w:rPr>
        <w:t>ح</w:t>
      </w:r>
      <w:r w:rsidR="009916F4" w:rsidRPr="006571AC">
        <w:rPr>
          <w:rFonts w:hint="cs"/>
          <w:sz w:val="27"/>
          <w:rtl/>
          <w:lang w:bidi="ar-IQ"/>
        </w:rPr>
        <w:t>ْ</w:t>
      </w:r>
      <w:r w:rsidR="00381A52" w:rsidRPr="006571AC">
        <w:rPr>
          <w:rFonts w:hint="cs"/>
          <w:sz w:val="27"/>
          <w:rtl/>
          <w:lang w:bidi="ar-IQ"/>
        </w:rPr>
        <w:t>د</w:t>
      </w:r>
      <w:r w:rsidR="009916F4" w:rsidRPr="006571AC">
        <w:rPr>
          <w:rFonts w:hint="cs"/>
          <w:sz w:val="27"/>
          <w:rtl/>
          <w:lang w:bidi="ar-IQ"/>
        </w:rPr>
        <w:t>َ</w:t>
      </w:r>
      <w:r w:rsidR="00381A52" w:rsidRPr="006571AC">
        <w:rPr>
          <w:rFonts w:hint="cs"/>
          <w:sz w:val="27"/>
          <w:rtl/>
          <w:lang w:bidi="ar-IQ"/>
        </w:rPr>
        <w:t>ثة ـ على سبيل المثال ـ ما يُع</w:t>
      </w:r>
      <w:r w:rsidR="009916F4" w:rsidRPr="006571AC">
        <w:rPr>
          <w:rFonts w:hint="cs"/>
          <w:sz w:val="27"/>
          <w:rtl/>
          <w:lang w:bidi="ar-IQ"/>
        </w:rPr>
        <w:t>ْ</w:t>
      </w:r>
      <w:r w:rsidR="00381A52" w:rsidRPr="006571AC">
        <w:rPr>
          <w:rFonts w:hint="cs"/>
          <w:sz w:val="27"/>
          <w:rtl/>
          <w:lang w:bidi="ar-IQ"/>
        </w:rPr>
        <w:t>ر</w:t>
      </w:r>
      <w:r w:rsidR="009916F4" w:rsidRPr="006571AC">
        <w:rPr>
          <w:rFonts w:hint="cs"/>
          <w:sz w:val="27"/>
          <w:rtl/>
          <w:lang w:bidi="ar-IQ"/>
        </w:rPr>
        <w:t>َ</w:t>
      </w:r>
      <w:r w:rsidR="00381A52" w:rsidRPr="006571AC">
        <w:rPr>
          <w:rFonts w:hint="cs"/>
          <w:sz w:val="27"/>
          <w:rtl/>
          <w:lang w:bidi="ar-IQ"/>
        </w:rPr>
        <w:t xml:space="preserve">ف بعقد </w:t>
      </w:r>
      <w:r w:rsidR="00381A52" w:rsidRPr="006571AC">
        <w:rPr>
          <w:rFonts w:hint="eastAsia"/>
          <w:sz w:val="24"/>
          <w:szCs w:val="24"/>
          <w:rtl/>
        </w:rPr>
        <w:t>«</w:t>
      </w:r>
      <w:r w:rsidR="00381A52" w:rsidRPr="006571AC">
        <w:rPr>
          <w:rFonts w:hint="cs"/>
          <w:sz w:val="27"/>
          <w:rtl/>
          <w:lang w:bidi="ar-IQ"/>
        </w:rPr>
        <w:t>التايم شير</w:t>
      </w:r>
      <w:r w:rsidR="00381A52" w:rsidRPr="006571AC">
        <w:rPr>
          <w:rFonts w:hint="eastAsia"/>
          <w:sz w:val="24"/>
          <w:szCs w:val="24"/>
          <w:rtl/>
        </w:rPr>
        <w:t>»</w:t>
      </w:r>
      <w:r w:rsidR="00381A52" w:rsidRPr="006571AC">
        <w:rPr>
          <w:rFonts w:hint="cs"/>
          <w:sz w:val="27"/>
          <w:rtl/>
          <w:lang w:bidi="ar-IQ"/>
        </w:rPr>
        <w:t xml:space="preserve"> أو </w:t>
      </w:r>
      <w:r w:rsidR="00381A52" w:rsidRPr="006571AC">
        <w:rPr>
          <w:rFonts w:hint="eastAsia"/>
          <w:sz w:val="24"/>
          <w:szCs w:val="24"/>
          <w:rtl/>
        </w:rPr>
        <w:t>«</w:t>
      </w:r>
      <w:r w:rsidR="00381A52" w:rsidRPr="006571AC">
        <w:rPr>
          <w:rFonts w:hint="cs"/>
          <w:sz w:val="27"/>
          <w:rtl/>
          <w:lang w:bidi="ar-IQ"/>
        </w:rPr>
        <w:t>الملكي</w:t>
      </w:r>
      <w:r w:rsidR="009916F4" w:rsidRPr="006571AC">
        <w:rPr>
          <w:rFonts w:hint="cs"/>
          <w:sz w:val="27"/>
          <w:rtl/>
          <w:lang w:bidi="ar-IQ"/>
        </w:rPr>
        <w:t>ّ</w:t>
      </w:r>
      <w:r w:rsidR="00381A52" w:rsidRPr="006571AC">
        <w:rPr>
          <w:rFonts w:hint="cs"/>
          <w:sz w:val="27"/>
          <w:rtl/>
          <w:lang w:bidi="ar-IQ"/>
        </w:rPr>
        <w:t>ة الزمنية</w:t>
      </w:r>
      <w:r w:rsidR="00381A52" w:rsidRPr="006571AC">
        <w:rPr>
          <w:rFonts w:hint="eastAsia"/>
          <w:sz w:val="24"/>
          <w:szCs w:val="24"/>
          <w:rtl/>
        </w:rPr>
        <w:t>»</w:t>
      </w:r>
      <w:r w:rsidR="00381A52"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يعمد مالك العين في هذا العقد إلى نقل ملكي</w:t>
      </w:r>
      <w:r w:rsidR="009916F4" w:rsidRPr="006571AC">
        <w:rPr>
          <w:rFonts w:hint="cs"/>
          <w:sz w:val="27"/>
          <w:rtl/>
          <w:lang w:bidi="ar-IQ"/>
        </w:rPr>
        <w:t>ّ</w:t>
      </w:r>
      <w:r w:rsidRPr="006571AC">
        <w:rPr>
          <w:rFonts w:hint="cs"/>
          <w:sz w:val="27"/>
          <w:rtl/>
          <w:lang w:bidi="ar-IQ"/>
        </w:rPr>
        <w:t>ته إلى مجموعة</w:t>
      </w:r>
      <w:r w:rsidR="009916F4" w:rsidRPr="006571AC">
        <w:rPr>
          <w:rFonts w:hint="cs"/>
          <w:sz w:val="27"/>
          <w:rtl/>
          <w:lang w:bidi="ar-IQ"/>
        </w:rPr>
        <w:t>ٍ</w:t>
      </w:r>
      <w:r w:rsidRPr="006571AC">
        <w:rPr>
          <w:rFonts w:hint="cs"/>
          <w:sz w:val="27"/>
          <w:rtl/>
          <w:lang w:bidi="ar-IQ"/>
        </w:rPr>
        <w:t xml:space="preserve"> من الأشخاص، بحيث يتمكن كل</w:t>
      </w:r>
      <w:r w:rsidR="009916F4" w:rsidRPr="006571AC">
        <w:rPr>
          <w:rFonts w:hint="cs"/>
          <w:sz w:val="27"/>
          <w:rtl/>
          <w:lang w:bidi="ar-IQ"/>
        </w:rPr>
        <w:t>ٌّ</w:t>
      </w:r>
      <w:r w:rsidRPr="006571AC">
        <w:rPr>
          <w:rFonts w:hint="cs"/>
          <w:sz w:val="27"/>
          <w:rtl/>
          <w:lang w:bidi="ar-IQ"/>
        </w:rPr>
        <w:t xml:space="preserve"> منهم في فترة</w:t>
      </w:r>
      <w:r w:rsidR="009916F4" w:rsidRPr="006571AC">
        <w:rPr>
          <w:rFonts w:hint="cs"/>
          <w:sz w:val="27"/>
          <w:rtl/>
          <w:lang w:bidi="ar-IQ"/>
        </w:rPr>
        <w:t>ٍ</w:t>
      </w:r>
      <w:r w:rsidRPr="006571AC">
        <w:rPr>
          <w:rFonts w:hint="cs"/>
          <w:sz w:val="27"/>
          <w:rtl/>
          <w:lang w:bidi="ar-IQ"/>
        </w:rPr>
        <w:t xml:space="preserve"> محد</w:t>
      </w:r>
      <w:r w:rsidR="009916F4" w:rsidRPr="006571AC">
        <w:rPr>
          <w:rFonts w:hint="cs"/>
          <w:sz w:val="27"/>
          <w:rtl/>
          <w:lang w:bidi="ar-IQ"/>
        </w:rPr>
        <w:t>َّ</w:t>
      </w:r>
      <w:r w:rsidRPr="006571AC">
        <w:rPr>
          <w:rFonts w:hint="cs"/>
          <w:sz w:val="27"/>
          <w:rtl/>
          <w:lang w:bidi="ar-IQ"/>
        </w:rPr>
        <w:t>دة ـ كأن يتمّ تحديدها بعام</w:t>
      </w:r>
      <w:r w:rsidR="009916F4" w:rsidRPr="006571AC">
        <w:rPr>
          <w:rFonts w:hint="cs"/>
          <w:sz w:val="27"/>
          <w:rtl/>
          <w:lang w:bidi="ar-IQ"/>
        </w:rPr>
        <w:t>ٍ</w:t>
      </w:r>
      <w:r w:rsidRPr="006571AC">
        <w:rPr>
          <w:rFonts w:hint="cs"/>
          <w:sz w:val="27"/>
          <w:rtl/>
          <w:lang w:bidi="ar-IQ"/>
        </w:rPr>
        <w:t xml:space="preserve"> واحد ـ من أن يصبح مالكاً للمال في مدّة</w:t>
      </w:r>
      <w:r w:rsidR="009916F4" w:rsidRPr="006571AC">
        <w:rPr>
          <w:rFonts w:hint="cs"/>
          <w:sz w:val="27"/>
          <w:rtl/>
          <w:lang w:bidi="ar-IQ"/>
        </w:rPr>
        <w:t>ٍ</w:t>
      </w:r>
      <w:r w:rsidRPr="006571AC">
        <w:rPr>
          <w:rFonts w:hint="cs"/>
          <w:sz w:val="27"/>
          <w:rtl/>
          <w:lang w:bidi="ar-IQ"/>
        </w:rPr>
        <w:t xml:space="preserve"> زمنية معيّ</w:t>
      </w:r>
      <w:r w:rsidR="009916F4" w:rsidRPr="006571AC">
        <w:rPr>
          <w:rFonts w:hint="cs"/>
          <w:sz w:val="27"/>
          <w:rtl/>
          <w:lang w:bidi="ar-IQ"/>
        </w:rPr>
        <w:t>َ</w:t>
      </w:r>
      <w:r w:rsidRPr="006571AC">
        <w:rPr>
          <w:rFonts w:hint="cs"/>
          <w:sz w:val="27"/>
          <w:rtl/>
          <w:lang w:bidi="ar-IQ"/>
        </w:rPr>
        <w:t>نة ومحدّ</w:t>
      </w:r>
      <w:r w:rsidR="009916F4" w:rsidRPr="006571AC">
        <w:rPr>
          <w:rFonts w:hint="cs"/>
          <w:sz w:val="27"/>
          <w:rtl/>
          <w:lang w:bidi="ar-IQ"/>
        </w:rPr>
        <w:t>َ</w:t>
      </w:r>
      <w:r w:rsidRPr="006571AC">
        <w:rPr>
          <w:rFonts w:hint="cs"/>
          <w:sz w:val="27"/>
          <w:rtl/>
          <w:lang w:bidi="ar-IQ"/>
        </w:rPr>
        <w:t xml:space="preserve">دة من ذلك العام، وعلى هذا الأساس تكون خصائص هذا العقد </w:t>
      </w:r>
      <w:r w:rsidR="009916F4" w:rsidRPr="006571AC">
        <w:rPr>
          <w:rFonts w:hint="cs"/>
          <w:sz w:val="27"/>
          <w:rtl/>
          <w:lang w:bidi="ar-IQ"/>
        </w:rPr>
        <w:t>كما يلي</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أـ إن الخصيصة الأصلية لهذا العقد تكمن في انتقال الملكية من مالك</w:t>
      </w:r>
      <w:r w:rsidR="009916F4" w:rsidRPr="006571AC">
        <w:rPr>
          <w:rFonts w:hint="cs"/>
          <w:sz w:val="27"/>
          <w:rtl/>
          <w:lang w:bidi="ar-IQ"/>
        </w:rPr>
        <w:t>ٍ</w:t>
      </w:r>
      <w:r w:rsidRPr="006571AC">
        <w:rPr>
          <w:rFonts w:hint="cs"/>
          <w:sz w:val="27"/>
          <w:rtl/>
          <w:lang w:bidi="ar-IQ"/>
        </w:rPr>
        <w:t xml:space="preserve"> إلى آخر، ومن هنا يكون هذا العقد من العقود والمعاملات التمليكية. </w:t>
      </w:r>
    </w:p>
    <w:p w:rsidR="00381A52" w:rsidRPr="006571AC" w:rsidRDefault="00381A52" w:rsidP="00552C10">
      <w:pPr>
        <w:rPr>
          <w:sz w:val="27"/>
          <w:rtl/>
          <w:lang w:bidi="ar-IQ"/>
        </w:rPr>
      </w:pPr>
      <w:r w:rsidRPr="006571AC">
        <w:rPr>
          <w:rFonts w:hint="cs"/>
          <w:sz w:val="27"/>
          <w:rtl/>
          <w:lang w:bidi="ar-IQ"/>
        </w:rPr>
        <w:t>ب ـ يتمّ في هذا العقد تمليك</w:t>
      </w:r>
      <w:r w:rsidR="009916F4" w:rsidRPr="006571AC">
        <w:rPr>
          <w:rFonts w:hint="cs"/>
          <w:sz w:val="27"/>
          <w:rtl/>
          <w:lang w:bidi="ar-IQ"/>
        </w:rPr>
        <w:t>ُ</w:t>
      </w:r>
      <w:r w:rsidRPr="006571AC">
        <w:rPr>
          <w:rFonts w:hint="cs"/>
          <w:sz w:val="27"/>
          <w:rtl/>
          <w:lang w:bidi="ar-IQ"/>
        </w:rPr>
        <w:t xml:space="preserve"> العين </w:t>
      </w:r>
      <w:r w:rsidR="009916F4" w:rsidRPr="006571AC">
        <w:rPr>
          <w:rFonts w:hint="cs"/>
          <w:sz w:val="27"/>
          <w:rtl/>
          <w:lang w:bidi="ar-IQ"/>
        </w:rPr>
        <w:t>ل</w:t>
      </w:r>
      <w:r w:rsidRPr="006571AC">
        <w:rPr>
          <w:rFonts w:hint="cs"/>
          <w:sz w:val="27"/>
          <w:rtl/>
          <w:lang w:bidi="ar-IQ"/>
        </w:rPr>
        <w:t>آخر، وتنتقل المنافع إليه ت</w:t>
      </w:r>
      <w:r w:rsidR="009916F4" w:rsidRPr="006571AC">
        <w:rPr>
          <w:rFonts w:hint="cs"/>
          <w:sz w:val="27"/>
          <w:rtl/>
          <w:lang w:bidi="ar-IQ"/>
        </w:rPr>
        <w:t>َ</w:t>
      </w:r>
      <w:r w:rsidRPr="006571AC">
        <w:rPr>
          <w:rFonts w:hint="cs"/>
          <w:sz w:val="27"/>
          <w:rtl/>
          <w:lang w:bidi="ar-IQ"/>
        </w:rPr>
        <w:t>ب</w:t>
      </w:r>
      <w:r w:rsidR="009916F4" w:rsidRPr="006571AC">
        <w:rPr>
          <w:rFonts w:hint="cs"/>
          <w:sz w:val="27"/>
          <w:rtl/>
          <w:lang w:bidi="ar-IQ"/>
        </w:rPr>
        <w:t>َ</w:t>
      </w:r>
      <w:r w:rsidRPr="006571AC">
        <w:rPr>
          <w:rFonts w:hint="cs"/>
          <w:sz w:val="27"/>
          <w:rtl/>
          <w:lang w:bidi="ar-IQ"/>
        </w:rPr>
        <w:t>عاً لانتقال العين إليه</w:t>
      </w:r>
      <w:r w:rsidR="009916F4" w:rsidRPr="006571AC">
        <w:rPr>
          <w:rFonts w:hint="cs"/>
          <w:sz w:val="27"/>
          <w:rtl/>
          <w:lang w:bidi="ar-IQ"/>
        </w:rPr>
        <w:t>.</w:t>
      </w:r>
      <w:r w:rsidRPr="006571AC">
        <w:rPr>
          <w:rFonts w:hint="cs"/>
          <w:sz w:val="27"/>
          <w:rtl/>
          <w:lang w:bidi="ar-IQ"/>
        </w:rPr>
        <w:t xml:space="preserve"> وعلى هذا الأساس فإن هذا العقد من حيث التحديد والتحصيص الزمني يبدو شبيهاً بعقد الإجارة، إلا</w:t>
      </w:r>
      <w:r w:rsidR="009916F4" w:rsidRPr="006571AC">
        <w:rPr>
          <w:rFonts w:hint="cs"/>
          <w:sz w:val="27"/>
          <w:rtl/>
          <w:lang w:bidi="ar-IQ"/>
        </w:rPr>
        <w:t>ّ</w:t>
      </w:r>
      <w:r w:rsidRPr="006571AC">
        <w:rPr>
          <w:rFonts w:hint="cs"/>
          <w:sz w:val="27"/>
          <w:rtl/>
          <w:lang w:bidi="ar-IQ"/>
        </w:rPr>
        <w:t xml:space="preserve"> أن وجود تمليك العين في البين يجعل هذا العقد مختلفاً عن الإجارة. </w:t>
      </w:r>
    </w:p>
    <w:p w:rsidR="00381A52" w:rsidRPr="006571AC" w:rsidRDefault="00381A52" w:rsidP="00552C10">
      <w:pPr>
        <w:rPr>
          <w:sz w:val="27"/>
          <w:rtl/>
          <w:lang w:bidi="ar-IQ"/>
        </w:rPr>
      </w:pPr>
      <w:r w:rsidRPr="006571AC">
        <w:rPr>
          <w:rFonts w:hint="cs"/>
          <w:sz w:val="27"/>
          <w:rtl/>
          <w:lang w:bidi="ar-IQ"/>
        </w:rPr>
        <w:t>ج ـ على الرغم من انتقال العين إلى عدد</w:t>
      </w:r>
      <w:r w:rsidR="009916F4" w:rsidRPr="006571AC">
        <w:rPr>
          <w:rFonts w:hint="cs"/>
          <w:sz w:val="27"/>
          <w:rtl/>
          <w:lang w:bidi="ar-IQ"/>
        </w:rPr>
        <w:t>ٍ</w:t>
      </w:r>
      <w:r w:rsidRPr="006571AC">
        <w:rPr>
          <w:rFonts w:hint="cs"/>
          <w:sz w:val="27"/>
          <w:rtl/>
          <w:lang w:bidi="ar-IQ"/>
        </w:rPr>
        <w:t xml:space="preserve"> من الأشخاص، ولكن</w:t>
      </w:r>
      <w:r w:rsidR="009916F4" w:rsidRPr="006571AC">
        <w:rPr>
          <w:rFonts w:hint="cs"/>
          <w:sz w:val="27"/>
          <w:rtl/>
          <w:lang w:bidi="ar-IQ"/>
        </w:rPr>
        <w:t>ْ</w:t>
      </w:r>
      <w:r w:rsidRPr="006571AC">
        <w:rPr>
          <w:rFonts w:hint="cs"/>
          <w:sz w:val="27"/>
          <w:rtl/>
          <w:lang w:bidi="ar-IQ"/>
        </w:rPr>
        <w:t xml:space="preserve"> حيث لا يكون هذا الانتقال بالتوازي فيما بينهم</w:t>
      </w:r>
      <w:r w:rsidR="009916F4" w:rsidRPr="006571AC">
        <w:rPr>
          <w:rFonts w:hint="cs"/>
          <w:sz w:val="27"/>
          <w:rtl/>
          <w:lang w:bidi="ar-IQ"/>
        </w:rPr>
        <w:t>،</w:t>
      </w:r>
      <w:r w:rsidRPr="006571AC">
        <w:rPr>
          <w:rFonts w:hint="cs"/>
          <w:sz w:val="27"/>
          <w:rtl/>
          <w:lang w:bidi="ar-IQ"/>
        </w:rPr>
        <w:t xml:space="preserve"> وفي وقت</w:t>
      </w:r>
      <w:r w:rsidR="009916F4" w:rsidRPr="006571AC">
        <w:rPr>
          <w:rFonts w:hint="cs"/>
          <w:sz w:val="27"/>
          <w:rtl/>
          <w:lang w:bidi="ar-IQ"/>
        </w:rPr>
        <w:t>ٍ</w:t>
      </w:r>
      <w:r w:rsidRPr="006571AC">
        <w:rPr>
          <w:rFonts w:hint="cs"/>
          <w:sz w:val="27"/>
          <w:rtl/>
          <w:lang w:bidi="ar-IQ"/>
        </w:rPr>
        <w:t xml:space="preserve"> واحد، فإن هذا العقد سيكون مختلفاً عن البيع المشاع من هذه الناحية. </w:t>
      </w:r>
    </w:p>
    <w:p w:rsidR="00381A52" w:rsidRPr="006571AC" w:rsidRDefault="00381A52" w:rsidP="00552C10">
      <w:pPr>
        <w:rPr>
          <w:sz w:val="27"/>
          <w:rtl/>
          <w:lang w:bidi="ar-IQ"/>
        </w:rPr>
      </w:pPr>
      <w:r w:rsidRPr="006571AC">
        <w:rPr>
          <w:rFonts w:hint="cs"/>
          <w:sz w:val="27"/>
          <w:rtl/>
          <w:lang w:bidi="ar-IQ"/>
        </w:rPr>
        <w:t>د ـ إن ملكية كل</w:t>
      </w:r>
      <w:r w:rsidR="009916F4" w:rsidRPr="006571AC">
        <w:rPr>
          <w:rFonts w:hint="cs"/>
          <w:sz w:val="27"/>
          <w:rtl/>
          <w:lang w:bidi="ar-IQ"/>
        </w:rPr>
        <w:t>ّ</w:t>
      </w:r>
      <w:r w:rsidRPr="006571AC">
        <w:rPr>
          <w:rFonts w:hint="cs"/>
          <w:sz w:val="27"/>
          <w:rtl/>
          <w:lang w:bidi="ar-IQ"/>
        </w:rPr>
        <w:t xml:space="preserve"> شخص</w:t>
      </w:r>
      <w:r w:rsidR="009916F4" w:rsidRPr="006571AC">
        <w:rPr>
          <w:rFonts w:hint="cs"/>
          <w:sz w:val="27"/>
          <w:rtl/>
          <w:lang w:bidi="ar-IQ"/>
        </w:rPr>
        <w:t>ٍ</w:t>
      </w:r>
      <w:r w:rsidRPr="006571AC">
        <w:rPr>
          <w:rFonts w:hint="cs"/>
          <w:sz w:val="27"/>
          <w:rtl/>
          <w:lang w:bidi="ar-IQ"/>
        </w:rPr>
        <w:t xml:space="preserve"> في الحقيقة ت</w:t>
      </w:r>
      <w:r w:rsidR="009916F4" w:rsidRPr="006571AC">
        <w:rPr>
          <w:rFonts w:hint="cs"/>
          <w:sz w:val="27"/>
          <w:rtl/>
          <w:lang w:bidi="ar-IQ"/>
        </w:rPr>
        <w:t>ُ</w:t>
      </w:r>
      <w:r w:rsidRPr="006571AC">
        <w:rPr>
          <w:rFonts w:hint="cs"/>
          <w:sz w:val="27"/>
          <w:rtl/>
          <w:lang w:bidi="ar-IQ"/>
        </w:rPr>
        <w:t>ع</w:t>
      </w:r>
      <w:r w:rsidR="009916F4" w:rsidRPr="006571AC">
        <w:rPr>
          <w:rFonts w:hint="cs"/>
          <w:sz w:val="27"/>
          <w:rtl/>
          <w:lang w:bidi="ar-IQ"/>
        </w:rPr>
        <w:t>َ</w:t>
      </w:r>
      <w:r w:rsidRPr="006571AC">
        <w:rPr>
          <w:rFonts w:hint="cs"/>
          <w:sz w:val="27"/>
          <w:rtl/>
          <w:lang w:bidi="ar-IQ"/>
        </w:rPr>
        <w:t>دّ ملكي</w:t>
      </w:r>
      <w:r w:rsidR="00D90D7D" w:rsidRPr="006571AC">
        <w:rPr>
          <w:rFonts w:hint="cs"/>
          <w:sz w:val="27"/>
          <w:rtl/>
          <w:lang w:bidi="ar-IQ"/>
        </w:rPr>
        <w:t>ّ</w:t>
      </w:r>
      <w:r w:rsidRPr="006571AC">
        <w:rPr>
          <w:rFonts w:hint="cs"/>
          <w:sz w:val="27"/>
          <w:rtl/>
          <w:lang w:bidi="ar-IQ"/>
        </w:rPr>
        <w:t>ة</w:t>
      </w:r>
      <w:r w:rsidR="00D90D7D" w:rsidRPr="006571AC">
        <w:rPr>
          <w:rFonts w:hint="cs"/>
          <w:sz w:val="27"/>
          <w:rtl/>
          <w:lang w:bidi="ar-IQ"/>
        </w:rPr>
        <w:t>ً</w:t>
      </w:r>
      <w:r w:rsidRPr="006571AC">
        <w:rPr>
          <w:rFonts w:hint="cs"/>
          <w:sz w:val="27"/>
          <w:rtl/>
          <w:lang w:bidi="ar-IQ"/>
        </w:rPr>
        <w:t xml:space="preserve"> مؤق</w:t>
      </w:r>
      <w:r w:rsidR="009916F4" w:rsidRPr="006571AC">
        <w:rPr>
          <w:rFonts w:hint="cs"/>
          <w:sz w:val="27"/>
          <w:rtl/>
          <w:lang w:bidi="ar-IQ"/>
        </w:rPr>
        <w:t>َّ</w:t>
      </w:r>
      <w:r w:rsidRPr="006571AC">
        <w:rPr>
          <w:rFonts w:hint="cs"/>
          <w:sz w:val="27"/>
          <w:rtl/>
          <w:lang w:bidi="ar-IQ"/>
        </w:rPr>
        <w:t>تة ومحد</w:t>
      </w:r>
      <w:r w:rsidR="009916F4" w:rsidRPr="006571AC">
        <w:rPr>
          <w:rFonts w:hint="cs"/>
          <w:sz w:val="27"/>
          <w:rtl/>
          <w:lang w:bidi="ar-IQ"/>
        </w:rPr>
        <w:t>َّ</w:t>
      </w:r>
      <w:r w:rsidRPr="006571AC">
        <w:rPr>
          <w:rFonts w:hint="cs"/>
          <w:sz w:val="27"/>
          <w:rtl/>
          <w:lang w:bidi="ar-IQ"/>
        </w:rPr>
        <w:t>دة؛ إذ العين لا تبقى في ملكية أحد المالكين بشكل</w:t>
      </w:r>
      <w:r w:rsidR="009916F4" w:rsidRPr="006571AC">
        <w:rPr>
          <w:rFonts w:hint="cs"/>
          <w:sz w:val="27"/>
          <w:rtl/>
          <w:lang w:bidi="ar-IQ"/>
        </w:rPr>
        <w:t>ٍ</w:t>
      </w:r>
      <w:r w:rsidRPr="006571AC">
        <w:rPr>
          <w:rFonts w:hint="cs"/>
          <w:sz w:val="27"/>
          <w:rtl/>
          <w:lang w:bidi="ar-IQ"/>
        </w:rPr>
        <w:t xml:space="preserve"> دائم أبداً، فهي تنتقل على التوالي من شخص</w:t>
      </w:r>
      <w:r w:rsidR="009916F4" w:rsidRPr="006571AC">
        <w:rPr>
          <w:rFonts w:hint="cs"/>
          <w:sz w:val="27"/>
          <w:rtl/>
          <w:lang w:bidi="ar-IQ"/>
        </w:rPr>
        <w:t>ٍ</w:t>
      </w:r>
      <w:r w:rsidRPr="006571AC">
        <w:rPr>
          <w:rFonts w:hint="cs"/>
          <w:sz w:val="27"/>
          <w:rtl/>
          <w:lang w:bidi="ar-IQ"/>
        </w:rPr>
        <w:t xml:space="preserve"> إلى آخر. </w:t>
      </w:r>
    </w:p>
    <w:p w:rsidR="008E6C68" w:rsidRPr="006571AC" w:rsidRDefault="00381A52" w:rsidP="00552C10">
      <w:pPr>
        <w:rPr>
          <w:sz w:val="27"/>
          <w:rtl/>
          <w:lang w:bidi="ar-IQ"/>
        </w:rPr>
      </w:pPr>
      <w:r w:rsidRPr="006571AC">
        <w:rPr>
          <w:rFonts w:hint="cs"/>
          <w:sz w:val="27"/>
          <w:rtl/>
          <w:lang w:bidi="ar-IQ"/>
        </w:rPr>
        <w:t>والنتيجة هي أنه لإثبات مشروعية مثل هذا العقد</w:t>
      </w:r>
      <w:r w:rsidR="009916F4" w:rsidRPr="006571AC">
        <w:rPr>
          <w:rFonts w:hint="cs"/>
          <w:sz w:val="27"/>
          <w:rtl/>
          <w:lang w:bidi="ar-IQ"/>
        </w:rPr>
        <w:t>،</w:t>
      </w:r>
      <w:r w:rsidRPr="006571AC">
        <w:rPr>
          <w:rFonts w:hint="cs"/>
          <w:sz w:val="27"/>
          <w:rtl/>
          <w:lang w:bidi="ar-IQ"/>
        </w:rPr>
        <w:t xml:space="preserve"> الذي لا يحتوي على ضوابط العقود المعهودة</w:t>
      </w:r>
      <w:r w:rsidR="009916F4" w:rsidRPr="006571AC">
        <w:rPr>
          <w:rFonts w:hint="cs"/>
          <w:sz w:val="27"/>
          <w:rtl/>
          <w:lang w:bidi="ar-IQ"/>
        </w:rPr>
        <w:t>،</w:t>
      </w:r>
      <w:r w:rsidRPr="006571AC">
        <w:rPr>
          <w:rFonts w:hint="cs"/>
          <w:sz w:val="27"/>
          <w:rtl/>
          <w:lang w:bidi="ar-IQ"/>
        </w:rPr>
        <w:t xml:space="preserve"> من قبيل</w:t>
      </w:r>
      <w:r w:rsidR="009916F4" w:rsidRPr="006571AC">
        <w:rPr>
          <w:rFonts w:hint="cs"/>
          <w:sz w:val="27"/>
          <w:rtl/>
          <w:lang w:bidi="ar-IQ"/>
        </w:rPr>
        <w:t>:</w:t>
      </w:r>
      <w:r w:rsidRPr="006571AC">
        <w:rPr>
          <w:rFonts w:hint="cs"/>
          <w:sz w:val="27"/>
          <w:rtl/>
          <w:lang w:bidi="ar-IQ"/>
        </w:rPr>
        <w:t xml:space="preserve"> عقد البيع</w:t>
      </w:r>
      <w:r w:rsidR="009916F4" w:rsidRPr="006571AC">
        <w:rPr>
          <w:rFonts w:hint="cs"/>
          <w:sz w:val="27"/>
          <w:rtl/>
          <w:lang w:bidi="ar-IQ"/>
        </w:rPr>
        <w:t>؛</w:t>
      </w:r>
      <w:r w:rsidRPr="006571AC">
        <w:rPr>
          <w:rFonts w:hint="cs"/>
          <w:sz w:val="27"/>
          <w:rtl/>
          <w:lang w:bidi="ar-IQ"/>
        </w:rPr>
        <w:t xml:space="preserve"> و</w:t>
      </w:r>
      <w:r w:rsidR="009916F4" w:rsidRPr="006571AC">
        <w:rPr>
          <w:rFonts w:hint="cs"/>
          <w:sz w:val="27"/>
          <w:rtl/>
          <w:lang w:bidi="ar-IQ"/>
        </w:rPr>
        <w:t xml:space="preserve">عقد </w:t>
      </w:r>
      <w:r w:rsidRPr="006571AC">
        <w:rPr>
          <w:rFonts w:hint="cs"/>
          <w:sz w:val="27"/>
          <w:rtl/>
          <w:lang w:bidi="ar-IQ"/>
        </w:rPr>
        <w:t>الإجارة، يجب إما رفض توقيفية العقود، أو أن نبحث عن طريقة تثبت مشروعية هذه العق</w:t>
      </w:r>
      <w:r w:rsidR="009916F4" w:rsidRPr="006571AC">
        <w:rPr>
          <w:rFonts w:hint="cs"/>
          <w:sz w:val="27"/>
          <w:rtl/>
          <w:lang w:bidi="ar-IQ"/>
        </w:rPr>
        <w:t>و</w:t>
      </w:r>
      <w:r w:rsidRPr="006571AC">
        <w:rPr>
          <w:rFonts w:hint="cs"/>
          <w:sz w:val="27"/>
          <w:rtl/>
          <w:lang w:bidi="ar-IQ"/>
        </w:rPr>
        <w:t>د المست</w:t>
      </w:r>
      <w:r w:rsidR="009916F4" w:rsidRPr="006571AC">
        <w:rPr>
          <w:rFonts w:hint="cs"/>
          <w:sz w:val="27"/>
          <w:rtl/>
          <w:lang w:bidi="ar-IQ"/>
        </w:rPr>
        <w:t>َ</w:t>
      </w:r>
      <w:r w:rsidRPr="006571AC">
        <w:rPr>
          <w:rFonts w:hint="cs"/>
          <w:sz w:val="27"/>
          <w:rtl/>
          <w:lang w:bidi="ar-IQ"/>
        </w:rPr>
        <w:t>ح</w:t>
      </w:r>
      <w:r w:rsidR="009916F4" w:rsidRPr="006571AC">
        <w:rPr>
          <w:rFonts w:hint="cs"/>
          <w:sz w:val="27"/>
          <w:rtl/>
          <w:lang w:bidi="ar-IQ"/>
        </w:rPr>
        <w:t>ْ</w:t>
      </w:r>
      <w:r w:rsidRPr="006571AC">
        <w:rPr>
          <w:rFonts w:hint="cs"/>
          <w:sz w:val="27"/>
          <w:rtl/>
          <w:lang w:bidi="ar-IQ"/>
        </w:rPr>
        <w:t>د</w:t>
      </w:r>
      <w:r w:rsidR="009916F4" w:rsidRPr="006571AC">
        <w:rPr>
          <w:rFonts w:hint="cs"/>
          <w:sz w:val="27"/>
          <w:rtl/>
          <w:lang w:bidi="ar-IQ"/>
        </w:rPr>
        <w:t>َ</w:t>
      </w:r>
      <w:r w:rsidRPr="006571AC">
        <w:rPr>
          <w:rFonts w:hint="cs"/>
          <w:sz w:val="27"/>
          <w:rtl/>
          <w:lang w:bidi="ar-IQ"/>
        </w:rPr>
        <w:t>ث</w:t>
      </w:r>
      <w:r w:rsidR="009916F4" w:rsidRPr="006571AC">
        <w:rPr>
          <w:rFonts w:hint="cs"/>
          <w:sz w:val="27"/>
          <w:rtl/>
          <w:lang w:bidi="ar-IQ"/>
        </w:rPr>
        <w:t>ة،</w:t>
      </w:r>
      <w:r w:rsidRPr="006571AC">
        <w:rPr>
          <w:rFonts w:hint="cs"/>
          <w:sz w:val="27"/>
          <w:rtl/>
          <w:lang w:bidi="ar-IQ"/>
        </w:rPr>
        <w:t xml:space="preserve"> بالإضافة إلى الحفاظ على توقيفية العقود أيضاً</w:t>
      </w:r>
      <w:r w:rsidR="008E6C68" w:rsidRPr="006571AC">
        <w:rPr>
          <w:rFonts w:hint="cs"/>
          <w:sz w:val="27"/>
          <w:rtl/>
          <w:lang w:bidi="ar-IQ"/>
        </w:rPr>
        <w:t>.</w:t>
      </w:r>
    </w:p>
    <w:p w:rsidR="00381A52" w:rsidRPr="006571AC" w:rsidRDefault="008E6C68" w:rsidP="00552C10">
      <w:pPr>
        <w:rPr>
          <w:sz w:val="27"/>
          <w:rtl/>
          <w:lang w:bidi="ar-IQ"/>
        </w:rPr>
      </w:pPr>
      <w:r w:rsidRPr="006571AC">
        <w:rPr>
          <w:rFonts w:hint="cs"/>
          <w:sz w:val="27"/>
          <w:rtl/>
          <w:lang w:bidi="ar-IQ"/>
        </w:rPr>
        <w:t>و</w:t>
      </w:r>
      <w:r w:rsidR="00381A52" w:rsidRPr="006571AC">
        <w:rPr>
          <w:rFonts w:hint="cs"/>
          <w:sz w:val="27"/>
          <w:rtl/>
          <w:lang w:bidi="ar-IQ"/>
        </w:rPr>
        <w:t xml:space="preserve">يرى كاتب </w:t>
      </w:r>
      <w:r w:rsidRPr="006571AC">
        <w:rPr>
          <w:rFonts w:hint="cs"/>
          <w:sz w:val="27"/>
          <w:rtl/>
          <w:lang w:bidi="ar-IQ"/>
        </w:rPr>
        <w:t xml:space="preserve">هذه </w:t>
      </w:r>
      <w:r w:rsidR="00381A52" w:rsidRPr="006571AC">
        <w:rPr>
          <w:rFonts w:hint="cs"/>
          <w:sz w:val="27"/>
          <w:rtl/>
          <w:lang w:bidi="ar-IQ"/>
        </w:rPr>
        <w:t>السطور أن إضفاء المشروعية على هذا النوع من المعاملات المست</w:t>
      </w:r>
      <w:r w:rsidRPr="006571AC">
        <w:rPr>
          <w:rFonts w:hint="cs"/>
          <w:sz w:val="27"/>
          <w:rtl/>
          <w:lang w:bidi="ar-IQ"/>
        </w:rPr>
        <w:t>َ</w:t>
      </w:r>
      <w:r w:rsidR="00381A52" w:rsidRPr="006571AC">
        <w:rPr>
          <w:rFonts w:hint="cs"/>
          <w:sz w:val="27"/>
          <w:rtl/>
          <w:lang w:bidi="ar-IQ"/>
        </w:rPr>
        <w:t>ح</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ثة لا يأتي من طريق الالتزام بعدم توقيفية العقود فقط، بل حت</w:t>
      </w:r>
      <w:r w:rsidRPr="006571AC">
        <w:rPr>
          <w:rFonts w:hint="cs"/>
          <w:sz w:val="27"/>
          <w:rtl/>
          <w:lang w:bidi="ar-IQ"/>
        </w:rPr>
        <w:t>ّ</w:t>
      </w:r>
      <w:r w:rsidR="00381A52" w:rsidRPr="006571AC">
        <w:rPr>
          <w:rFonts w:hint="cs"/>
          <w:sz w:val="27"/>
          <w:rtl/>
          <w:lang w:bidi="ar-IQ"/>
        </w:rPr>
        <w:t xml:space="preserve">ى لو التزمنا </w:t>
      </w:r>
      <w:r w:rsidR="00381A52" w:rsidRPr="006571AC">
        <w:rPr>
          <w:rFonts w:hint="cs"/>
          <w:sz w:val="27"/>
          <w:rtl/>
          <w:lang w:bidi="ar-IQ"/>
        </w:rPr>
        <w:lastRenderedPageBreak/>
        <w:t>بتوقيفية العقود يمكن لنا إضفاء المشروعية على العقود المست</w:t>
      </w:r>
      <w:r w:rsidRPr="006571AC">
        <w:rPr>
          <w:rFonts w:hint="cs"/>
          <w:sz w:val="27"/>
          <w:rtl/>
          <w:lang w:bidi="ar-IQ"/>
        </w:rPr>
        <w:t>َ</w:t>
      </w:r>
      <w:r w:rsidR="00381A52" w:rsidRPr="006571AC">
        <w:rPr>
          <w:rFonts w:hint="cs"/>
          <w:sz w:val="27"/>
          <w:rtl/>
          <w:lang w:bidi="ar-IQ"/>
        </w:rPr>
        <w:t>ح</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ثة من طريق الصلح الابتدائي</w:t>
      </w:r>
      <w:r w:rsidRPr="006571AC">
        <w:rPr>
          <w:rFonts w:hint="cs"/>
          <w:sz w:val="27"/>
          <w:rtl/>
          <w:lang w:bidi="ar-IQ"/>
        </w:rPr>
        <w:t>،</w:t>
      </w:r>
      <w:r w:rsidR="00381A52" w:rsidRPr="006571AC">
        <w:rPr>
          <w:rFonts w:hint="cs"/>
          <w:sz w:val="27"/>
          <w:rtl/>
          <w:lang w:bidi="ar-IQ"/>
        </w:rPr>
        <w:t xml:space="preserve"> أو </w:t>
      </w:r>
      <w:r w:rsidRPr="006571AC">
        <w:rPr>
          <w:rFonts w:hint="cs"/>
          <w:sz w:val="27"/>
          <w:rtl/>
          <w:lang w:bidi="ar-IQ"/>
        </w:rPr>
        <w:t xml:space="preserve">بعبارةٍ أخرى: </w:t>
      </w:r>
      <w:r w:rsidR="00381A52" w:rsidRPr="006571AC">
        <w:rPr>
          <w:rFonts w:hint="cs"/>
          <w:sz w:val="27"/>
          <w:rtl/>
          <w:lang w:bidi="ar-IQ"/>
        </w:rPr>
        <w:t>الصلح في مقام المعاملة. والصلح ب</w:t>
      </w:r>
      <w:r w:rsidR="00EA38F1" w:rsidRPr="006571AC">
        <w:rPr>
          <w:rFonts w:hint="cs"/>
          <w:sz w:val="27"/>
          <w:rtl/>
          <w:lang w:bidi="ar-IQ"/>
        </w:rPr>
        <w:t>دَوْر</w:t>
      </w:r>
      <w:r w:rsidR="00381A52" w:rsidRPr="006571AC">
        <w:rPr>
          <w:rFonts w:hint="cs"/>
          <w:sz w:val="27"/>
          <w:rtl/>
          <w:lang w:bidi="ar-IQ"/>
        </w:rPr>
        <w:t xml:space="preserve">ه من العقود المتعارفة، وكان شائعاً بين الناس في عصر نزول وصدور المطلقات والعمومات. وفي الحقيقة فإن توصيف عقد الصلح بأنه </w:t>
      </w:r>
      <w:r w:rsidR="00381A52" w:rsidRPr="006571AC">
        <w:rPr>
          <w:rFonts w:hint="eastAsia"/>
          <w:sz w:val="24"/>
          <w:szCs w:val="24"/>
          <w:rtl/>
        </w:rPr>
        <w:t>«</w:t>
      </w:r>
      <w:r w:rsidR="00381A52" w:rsidRPr="006571AC">
        <w:rPr>
          <w:rFonts w:hint="cs"/>
          <w:sz w:val="27"/>
          <w:rtl/>
          <w:lang w:bidi="ar-IQ"/>
        </w:rPr>
        <w:t>أنفع العقود</w:t>
      </w:r>
      <w:r w:rsidR="00381A52" w:rsidRPr="006571AC">
        <w:rPr>
          <w:rFonts w:hint="eastAsia"/>
          <w:sz w:val="24"/>
          <w:szCs w:val="24"/>
          <w:rtl/>
        </w:rPr>
        <w:t>»</w:t>
      </w:r>
      <w:r w:rsidR="00381A52" w:rsidRPr="006571AC">
        <w:rPr>
          <w:rFonts w:hint="cs"/>
          <w:sz w:val="27"/>
          <w:rtl/>
          <w:lang w:bidi="ar-IQ"/>
        </w:rPr>
        <w:t xml:space="preserve"> يعود في الواقع إلى أنه يستطيع نشر مظل</w:t>
      </w:r>
      <w:r w:rsidRPr="006571AC">
        <w:rPr>
          <w:rFonts w:hint="cs"/>
          <w:sz w:val="27"/>
          <w:rtl/>
          <w:lang w:bidi="ar-IQ"/>
        </w:rPr>
        <w:t>ّ</w:t>
      </w:r>
      <w:r w:rsidR="00381A52" w:rsidRPr="006571AC">
        <w:rPr>
          <w:rFonts w:hint="cs"/>
          <w:sz w:val="27"/>
          <w:rtl/>
          <w:lang w:bidi="ar-IQ"/>
        </w:rPr>
        <w:t>ته على جميع العقود المتعارفة والمست</w:t>
      </w:r>
      <w:r w:rsidRPr="006571AC">
        <w:rPr>
          <w:rFonts w:hint="cs"/>
          <w:sz w:val="27"/>
          <w:rtl/>
          <w:lang w:bidi="ar-IQ"/>
        </w:rPr>
        <w:t>َ</w:t>
      </w:r>
      <w:r w:rsidR="00381A52" w:rsidRPr="006571AC">
        <w:rPr>
          <w:rFonts w:hint="cs"/>
          <w:sz w:val="27"/>
          <w:rtl/>
          <w:lang w:bidi="ar-IQ"/>
        </w:rPr>
        <w:t>ح</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 xml:space="preserve">ثة. </w:t>
      </w:r>
    </w:p>
    <w:p w:rsidR="00381A52" w:rsidRPr="006571AC" w:rsidRDefault="00381A52" w:rsidP="004B60B2">
      <w:pPr>
        <w:spacing w:line="430" w:lineRule="exact"/>
        <w:rPr>
          <w:sz w:val="27"/>
          <w:rtl/>
          <w:lang w:bidi="ar-IQ"/>
        </w:rPr>
      </w:pPr>
    </w:p>
    <w:p w:rsidR="00381A52" w:rsidRPr="006571AC" w:rsidRDefault="00381A52" w:rsidP="00714072">
      <w:pPr>
        <w:pStyle w:val="31"/>
        <w:rPr>
          <w:color w:val="auto"/>
          <w:rtl/>
          <w:lang w:bidi="ar-IQ"/>
        </w:rPr>
      </w:pPr>
      <w:bookmarkStart w:id="115" w:name="_Toc114164604"/>
      <w:r w:rsidRPr="006571AC">
        <w:rPr>
          <w:rFonts w:hint="cs"/>
          <w:color w:val="auto"/>
          <w:rtl/>
          <w:lang w:bidi="ar-IQ"/>
        </w:rPr>
        <w:t>أدل</w:t>
      </w:r>
      <w:r w:rsidR="008E6C68" w:rsidRPr="006571AC">
        <w:rPr>
          <w:rFonts w:hint="cs"/>
          <w:color w:val="auto"/>
          <w:rtl/>
          <w:lang w:bidi="ar-IQ"/>
        </w:rPr>
        <w:t>ّ</w:t>
      </w:r>
      <w:r w:rsidRPr="006571AC">
        <w:rPr>
          <w:rFonts w:hint="cs"/>
          <w:color w:val="auto"/>
          <w:rtl/>
          <w:lang w:bidi="ar-IQ"/>
        </w:rPr>
        <w:t>ة مشروعي</w:t>
      </w:r>
      <w:r w:rsidR="000D6C76" w:rsidRPr="006571AC">
        <w:rPr>
          <w:rFonts w:hint="cs"/>
          <w:color w:val="auto"/>
          <w:rtl/>
          <w:lang w:bidi="ar-IQ"/>
        </w:rPr>
        <w:t>ّ</w:t>
      </w:r>
      <w:r w:rsidRPr="006571AC">
        <w:rPr>
          <w:rFonts w:hint="cs"/>
          <w:color w:val="auto"/>
          <w:rtl/>
          <w:lang w:bidi="ar-IQ"/>
        </w:rPr>
        <w:t>ة الصلح الابتدائي</w:t>
      </w:r>
      <w:bookmarkEnd w:id="115"/>
    </w:p>
    <w:p w:rsidR="00381A52" w:rsidRPr="006571AC" w:rsidRDefault="00381A52" w:rsidP="00552C10">
      <w:pPr>
        <w:rPr>
          <w:sz w:val="27"/>
          <w:rtl/>
          <w:lang w:bidi="ar-IQ"/>
        </w:rPr>
      </w:pPr>
      <w:r w:rsidRPr="006571AC">
        <w:rPr>
          <w:rFonts w:hint="cs"/>
          <w:sz w:val="27"/>
          <w:rtl/>
          <w:lang w:bidi="ar-IQ"/>
        </w:rPr>
        <w:t xml:space="preserve">يجب الالتفات ـ قبل إقامة الأدلة على مشروعية الصلح الابتدائي ـ إلى نقطتين، وهما: </w:t>
      </w:r>
    </w:p>
    <w:p w:rsidR="00381A52" w:rsidRPr="006571AC" w:rsidRDefault="00381A52" w:rsidP="00552C10">
      <w:pPr>
        <w:rPr>
          <w:sz w:val="27"/>
          <w:rtl/>
          <w:lang w:bidi="ar-IQ"/>
        </w:rPr>
      </w:pPr>
      <w:r w:rsidRPr="006571AC">
        <w:rPr>
          <w:rFonts w:hint="cs"/>
          <w:b/>
          <w:bCs/>
          <w:sz w:val="27"/>
          <w:rtl/>
          <w:lang w:bidi="ar-IQ"/>
        </w:rPr>
        <w:t>أو</w:t>
      </w:r>
      <w:r w:rsidR="008E6C68" w:rsidRPr="006571AC">
        <w:rPr>
          <w:rFonts w:hint="cs"/>
          <w:b/>
          <w:bCs/>
          <w:sz w:val="27"/>
          <w:rtl/>
          <w:lang w:bidi="ar-IQ"/>
        </w:rPr>
        <w:t>ّ</w:t>
      </w:r>
      <w:r w:rsidRPr="006571AC">
        <w:rPr>
          <w:rFonts w:hint="cs"/>
          <w:b/>
          <w:bCs/>
          <w:sz w:val="27"/>
          <w:rtl/>
          <w:lang w:bidi="ar-IQ"/>
        </w:rPr>
        <w:t>لاً</w:t>
      </w:r>
      <w:r w:rsidRPr="006571AC">
        <w:rPr>
          <w:rFonts w:hint="cs"/>
          <w:sz w:val="27"/>
          <w:rtl/>
          <w:lang w:bidi="ar-IQ"/>
        </w:rPr>
        <w:t>: إن الأدلة المذكورة إنما هي أدل</w:t>
      </w:r>
      <w:r w:rsidR="00D90D7D" w:rsidRPr="006571AC">
        <w:rPr>
          <w:rFonts w:hint="cs"/>
          <w:sz w:val="27"/>
          <w:rtl/>
          <w:lang w:bidi="ar-IQ"/>
        </w:rPr>
        <w:t>ّ</w:t>
      </w:r>
      <w:r w:rsidRPr="006571AC">
        <w:rPr>
          <w:rFonts w:hint="cs"/>
          <w:sz w:val="27"/>
          <w:rtl/>
          <w:lang w:bidi="ar-IQ"/>
        </w:rPr>
        <w:t>ة</w:t>
      </w:r>
      <w:r w:rsidR="00D90D7D" w:rsidRPr="006571AC">
        <w:rPr>
          <w:rFonts w:hint="cs"/>
          <w:sz w:val="27"/>
          <w:rtl/>
          <w:lang w:bidi="ar-IQ"/>
        </w:rPr>
        <w:t>ٌ</w:t>
      </w:r>
      <w:r w:rsidRPr="006571AC">
        <w:rPr>
          <w:rFonts w:hint="cs"/>
          <w:sz w:val="27"/>
          <w:rtl/>
          <w:lang w:bidi="ar-IQ"/>
        </w:rPr>
        <w:t xml:space="preserve"> يمكن أن ت</w:t>
      </w:r>
      <w:r w:rsidR="008E6C68" w:rsidRPr="006571AC">
        <w:rPr>
          <w:rFonts w:hint="cs"/>
          <w:sz w:val="27"/>
          <w:rtl/>
          <w:lang w:bidi="ar-IQ"/>
        </w:rPr>
        <w:t>َ</w:t>
      </w:r>
      <w:r w:rsidRPr="006571AC">
        <w:rPr>
          <w:rFonts w:hint="cs"/>
          <w:sz w:val="27"/>
          <w:rtl/>
          <w:lang w:bidi="ar-IQ"/>
        </w:rPr>
        <w:t>ر</w:t>
      </w:r>
      <w:r w:rsidR="008E6C68" w:rsidRPr="006571AC">
        <w:rPr>
          <w:rFonts w:hint="cs"/>
          <w:sz w:val="27"/>
          <w:rtl/>
          <w:lang w:bidi="ar-IQ"/>
        </w:rPr>
        <w:t>ِ</w:t>
      </w:r>
      <w:r w:rsidRPr="006571AC">
        <w:rPr>
          <w:rFonts w:hint="cs"/>
          <w:sz w:val="27"/>
          <w:rtl/>
          <w:lang w:bidi="ar-IQ"/>
        </w:rPr>
        <w:t>د</w:t>
      </w:r>
      <w:r w:rsidR="008E6C68" w:rsidRPr="006571AC">
        <w:rPr>
          <w:rFonts w:hint="cs"/>
          <w:sz w:val="27"/>
          <w:rtl/>
          <w:lang w:bidi="ar-IQ"/>
        </w:rPr>
        <w:t>َ</w:t>
      </w:r>
      <w:r w:rsidRPr="006571AC">
        <w:rPr>
          <w:rFonts w:hint="cs"/>
          <w:sz w:val="27"/>
          <w:rtl/>
          <w:lang w:bidi="ar-IQ"/>
        </w:rPr>
        <w:t xml:space="preserve"> بوصفها مستنداً، ولا تنافي أن يكون بعضها دليلاً إذا لم تكن هناك في البين أدل</w:t>
      </w:r>
      <w:r w:rsidR="008E6C68" w:rsidRPr="006571AC">
        <w:rPr>
          <w:rFonts w:hint="cs"/>
          <w:sz w:val="27"/>
          <w:rtl/>
          <w:lang w:bidi="ar-IQ"/>
        </w:rPr>
        <w:t>ّ</w:t>
      </w:r>
      <w:r w:rsidRPr="006571AC">
        <w:rPr>
          <w:rFonts w:hint="cs"/>
          <w:sz w:val="27"/>
          <w:rtl/>
          <w:lang w:bidi="ar-IQ"/>
        </w:rPr>
        <w:t>ة</w:t>
      </w:r>
      <w:r w:rsidR="008E6C68" w:rsidRPr="006571AC">
        <w:rPr>
          <w:rFonts w:hint="cs"/>
          <w:sz w:val="27"/>
          <w:rtl/>
          <w:lang w:bidi="ar-IQ"/>
        </w:rPr>
        <w:t>ٌ</w:t>
      </w:r>
      <w:r w:rsidRPr="006571AC">
        <w:rPr>
          <w:rFonts w:hint="cs"/>
          <w:sz w:val="27"/>
          <w:rtl/>
          <w:lang w:bidi="ar-IQ"/>
        </w:rPr>
        <w:t xml:space="preserve"> أخرى</w:t>
      </w:r>
      <w:r w:rsidR="008E6C68" w:rsidRPr="006571AC">
        <w:rPr>
          <w:rFonts w:hint="cs"/>
          <w:sz w:val="27"/>
          <w:rtl/>
          <w:lang w:bidi="ar-IQ"/>
        </w:rPr>
        <w:t>.</w:t>
      </w:r>
      <w:r w:rsidRPr="006571AC">
        <w:rPr>
          <w:rFonts w:hint="cs"/>
          <w:sz w:val="27"/>
          <w:rtl/>
          <w:lang w:bidi="ar-IQ"/>
        </w:rPr>
        <w:t xml:space="preserve"> </w:t>
      </w:r>
      <w:r w:rsidR="008E6C68" w:rsidRPr="006571AC">
        <w:rPr>
          <w:rFonts w:hint="cs"/>
          <w:sz w:val="27"/>
          <w:rtl/>
          <w:lang w:bidi="ar-IQ"/>
        </w:rPr>
        <w:t>و</w:t>
      </w:r>
      <w:r w:rsidRPr="006571AC">
        <w:rPr>
          <w:rFonts w:hint="cs"/>
          <w:sz w:val="27"/>
          <w:rtl/>
          <w:lang w:bidi="ar-IQ"/>
        </w:rPr>
        <w:t>من ذلك ـ على سبيل المثال ـ أن التمسّ</w:t>
      </w:r>
      <w:r w:rsidR="008E6C68" w:rsidRPr="006571AC">
        <w:rPr>
          <w:rFonts w:hint="cs"/>
          <w:sz w:val="27"/>
          <w:rtl/>
          <w:lang w:bidi="ar-IQ"/>
        </w:rPr>
        <w:t>ُ</w:t>
      </w:r>
      <w:r w:rsidRPr="006571AC">
        <w:rPr>
          <w:rFonts w:hint="cs"/>
          <w:sz w:val="27"/>
          <w:rtl/>
          <w:lang w:bidi="ar-IQ"/>
        </w:rPr>
        <w:t>ك بالأصل إنما يكون صحيحاً إذا قصر</w:t>
      </w:r>
      <w:r w:rsidR="00D90D7D" w:rsidRPr="006571AC">
        <w:rPr>
          <w:rFonts w:hint="cs"/>
          <w:sz w:val="27"/>
          <w:rtl/>
          <w:lang w:bidi="ar-IQ"/>
        </w:rPr>
        <w:t>َ</w:t>
      </w:r>
      <w:r w:rsidRPr="006571AC">
        <w:rPr>
          <w:rFonts w:hint="cs"/>
          <w:sz w:val="27"/>
          <w:rtl/>
          <w:lang w:bidi="ar-IQ"/>
        </w:rPr>
        <w:t>ت</w:t>
      </w:r>
      <w:r w:rsidR="00D90D7D" w:rsidRPr="006571AC">
        <w:rPr>
          <w:rFonts w:hint="cs"/>
          <w:sz w:val="27"/>
          <w:rtl/>
          <w:lang w:bidi="ar-IQ"/>
        </w:rPr>
        <w:t>ْ</w:t>
      </w:r>
      <w:r w:rsidRPr="006571AC">
        <w:rPr>
          <w:rFonts w:hint="cs"/>
          <w:sz w:val="27"/>
          <w:rtl/>
          <w:lang w:bidi="ar-IQ"/>
        </w:rPr>
        <w:t xml:space="preserve"> أيدينا عن الوصول إلى الدليل الاجتهادي، ومع افتراض تمامية الأدلة الاجتهادية</w:t>
      </w:r>
      <w:r w:rsidR="008E6C68" w:rsidRPr="006571AC">
        <w:rPr>
          <w:rFonts w:hint="cs"/>
          <w:sz w:val="27"/>
          <w:rtl/>
          <w:lang w:bidi="ar-IQ"/>
        </w:rPr>
        <w:t>،</w:t>
      </w:r>
      <w:r w:rsidRPr="006571AC">
        <w:rPr>
          <w:rFonts w:hint="cs"/>
          <w:sz w:val="27"/>
          <w:rtl/>
          <w:lang w:bidi="ar-IQ"/>
        </w:rPr>
        <w:t xml:space="preserve"> من قبيل: العمومات والإطلاقات أو الروايات الخاص</w:t>
      </w:r>
      <w:r w:rsidR="008E6C68" w:rsidRPr="006571AC">
        <w:rPr>
          <w:rFonts w:hint="cs"/>
          <w:sz w:val="27"/>
          <w:rtl/>
          <w:lang w:bidi="ar-IQ"/>
        </w:rPr>
        <w:t>ّ</w:t>
      </w:r>
      <w:r w:rsidRPr="006571AC">
        <w:rPr>
          <w:rFonts w:hint="cs"/>
          <w:sz w:val="27"/>
          <w:rtl/>
          <w:lang w:bidi="ar-IQ"/>
        </w:rPr>
        <w:t>ة في باب الصلح، عندها لا يصل ال</w:t>
      </w:r>
      <w:r w:rsidR="008E6C68" w:rsidRPr="006571AC">
        <w:rPr>
          <w:rFonts w:hint="cs"/>
          <w:sz w:val="27"/>
          <w:rtl/>
          <w:lang w:bidi="ar-IQ"/>
        </w:rPr>
        <w:t>دَّ</w:t>
      </w:r>
      <w:r w:rsidR="00EA38F1" w:rsidRPr="006571AC">
        <w:rPr>
          <w:rFonts w:hint="cs"/>
          <w:sz w:val="27"/>
          <w:rtl/>
          <w:lang w:bidi="ar-IQ"/>
        </w:rPr>
        <w:t>وْر</w:t>
      </w:r>
      <w:r w:rsidRPr="006571AC">
        <w:rPr>
          <w:rFonts w:hint="cs"/>
          <w:sz w:val="27"/>
          <w:rtl/>
          <w:lang w:bidi="ar-IQ"/>
        </w:rPr>
        <w:t xml:space="preserve"> إلى التمسّ</w:t>
      </w:r>
      <w:r w:rsidR="008E6C68" w:rsidRPr="006571AC">
        <w:rPr>
          <w:rFonts w:hint="cs"/>
          <w:sz w:val="27"/>
          <w:rtl/>
          <w:lang w:bidi="ar-IQ"/>
        </w:rPr>
        <w:t>ُ</w:t>
      </w:r>
      <w:r w:rsidRPr="006571AC">
        <w:rPr>
          <w:rFonts w:hint="cs"/>
          <w:sz w:val="27"/>
          <w:rtl/>
          <w:lang w:bidi="ar-IQ"/>
        </w:rPr>
        <w:t>ك بالأصل، أو أن التمسّ</w:t>
      </w:r>
      <w:r w:rsidR="008E6C68" w:rsidRPr="006571AC">
        <w:rPr>
          <w:rFonts w:hint="cs"/>
          <w:sz w:val="27"/>
          <w:rtl/>
          <w:lang w:bidi="ar-IQ"/>
        </w:rPr>
        <w:t>ُ</w:t>
      </w:r>
      <w:r w:rsidRPr="006571AC">
        <w:rPr>
          <w:rFonts w:hint="cs"/>
          <w:sz w:val="27"/>
          <w:rtl/>
          <w:lang w:bidi="ar-IQ"/>
        </w:rPr>
        <w:t>ك بالإجماع إنما يكون معتبراً بوصفه كاشفاً تعبّ</w:t>
      </w:r>
      <w:r w:rsidR="008E6C68" w:rsidRPr="006571AC">
        <w:rPr>
          <w:rFonts w:hint="cs"/>
          <w:sz w:val="27"/>
          <w:rtl/>
          <w:lang w:bidi="ar-IQ"/>
        </w:rPr>
        <w:t>ُ</w:t>
      </w:r>
      <w:r w:rsidRPr="006571AC">
        <w:rPr>
          <w:rFonts w:hint="cs"/>
          <w:sz w:val="27"/>
          <w:rtl/>
          <w:lang w:bidi="ar-IQ"/>
        </w:rPr>
        <w:t>دياً عن رأي المعصوم؛ حيث لا يكون هناك دليل</w:t>
      </w:r>
      <w:r w:rsidR="008E6C68" w:rsidRPr="006571AC">
        <w:rPr>
          <w:rFonts w:hint="cs"/>
          <w:sz w:val="27"/>
          <w:rtl/>
          <w:lang w:bidi="ar-IQ"/>
        </w:rPr>
        <w:t>ٌ</w:t>
      </w:r>
      <w:r w:rsidRPr="006571AC">
        <w:rPr>
          <w:rFonts w:hint="cs"/>
          <w:sz w:val="27"/>
          <w:rtl/>
          <w:lang w:bidi="ar-IQ"/>
        </w:rPr>
        <w:t xml:space="preserve"> خاص</w:t>
      </w:r>
      <w:r w:rsidR="008E6C68" w:rsidRPr="006571AC">
        <w:rPr>
          <w:rFonts w:hint="cs"/>
          <w:sz w:val="27"/>
          <w:rtl/>
          <w:lang w:bidi="ar-IQ"/>
        </w:rPr>
        <w:t>ّ</w:t>
      </w:r>
      <w:r w:rsidRPr="006571AC">
        <w:rPr>
          <w:rFonts w:hint="cs"/>
          <w:sz w:val="27"/>
          <w:rtl/>
          <w:lang w:bidi="ar-IQ"/>
        </w:rPr>
        <w:t xml:space="preserve"> على ثبوت الحكم، ومع افتراض وجود الدليل وتمامي</w:t>
      </w:r>
      <w:r w:rsidR="008E6C68" w:rsidRPr="006571AC">
        <w:rPr>
          <w:rFonts w:hint="cs"/>
          <w:sz w:val="27"/>
          <w:rtl/>
          <w:lang w:bidi="ar-IQ"/>
        </w:rPr>
        <w:t>ّ</w:t>
      </w:r>
      <w:r w:rsidRPr="006571AC">
        <w:rPr>
          <w:rFonts w:hint="cs"/>
          <w:sz w:val="27"/>
          <w:rtl/>
          <w:lang w:bidi="ar-IQ"/>
        </w:rPr>
        <w:t>ته لا تكون هناك حاجة</w:t>
      </w:r>
      <w:r w:rsidR="008E6C68" w:rsidRPr="006571AC">
        <w:rPr>
          <w:rFonts w:hint="cs"/>
          <w:sz w:val="27"/>
          <w:rtl/>
          <w:lang w:bidi="ar-IQ"/>
        </w:rPr>
        <w:t>ٌ</w:t>
      </w:r>
      <w:r w:rsidRPr="006571AC">
        <w:rPr>
          <w:rFonts w:hint="cs"/>
          <w:sz w:val="27"/>
          <w:rtl/>
          <w:lang w:bidi="ar-IQ"/>
        </w:rPr>
        <w:t xml:space="preserve"> إلى التمسّ</w:t>
      </w:r>
      <w:r w:rsidR="008E6C68" w:rsidRPr="006571AC">
        <w:rPr>
          <w:rFonts w:hint="cs"/>
          <w:sz w:val="27"/>
          <w:rtl/>
          <w:lang w:bidi="ar-IQ"/>
        </w:rPr>
        <w:t>ُ</w:t>
      </w:r>
      <w:r w:rsidRPr="006571AC">
        <w:rPr>
          <w:rFonts w:hint="cs"/>
          <w:sz w:val="27"/>
          <w:rtl/>
          <w:lang w:bidi="ar-IQ"/>
        </w:rPr>
        <w:t>ك بالإجماع، ولكن</w:t>
      </w:r>
      <w:r w:rsidR="008E6C68" w:rsidRPr="006571AC">
        <w:rPr>
          <w:rFonts w:hint="cs"/>
          <w:sz w:val="27"/>
          <w:rtl/>
          <w:lang w:bidi="ar-IQ"/>
        </w:rPr>
        <w:t>ْ</w:t>
      </w:r>
      <w:r w:rsidRPr="006571AC">
        <w:rPr>
          <w:rFonts w:hint="cs"/>
          <w:sz w:val="27"/>
          <w:rtl/>
          <w:lang w:bidi="ar-IQ"/>
        </w:rPr>
        <w:t xml:space="preserve"> حيث من الممكن أن يكون هناك نقاش</w:t>
      </w:r>
      <w:r w:rsidR="008E6C68" w:rsidRPr="006571AC">
        <w:rPr>
          <w:rFonts w:hint="cs"/>
          <w:sz w:val="27"/>
          <w:rtl/>
          <w:lang w:bidi="ar-IQ"/>
        </w:rPr>
        <w:t>ٌ</w:t>
      </w:r>
      <w:r w:rsidRPr="006571AC">
        <w:rPr>
          <w:rFonts w:hint="cs"/>
          <w:sz w:val="27"/>
          <w:rtl/>
          <w:lang w:bidi="ar-IQ"/>
        </w:rPr>
        <w:t xml:space="preserve"> في التمسّ</w:t>
      </w:r>
      <w:r w:rsidR="008E6C68" w:rsidRPr="006571AC">
        <w:rPr>
          <w:rFonts w:hint="cs"/>
          <w:sz w:val="27"/>
          <w:rtl/>
          <w:lang w:bidi="ar-IQ"/>
        </w:rPr>
        <w:t>ُ</w:t>
      </w:r>
      <w:r w:rsidRPr="006571AC">
        <w:rPr>
          <w:rFonts w:hint="cs"/>
          <w:sz w:val="27"/>
          <w:rtl/>
          <w:lang w:bidi="ar-IQ"/>
        </w:rPr>
        <w:t xml:space="preserve">ك بالأدلة يأتي </w:t>
      </w:r>
      <w:r w:rsidR="00EA38F1" w:rsidRPr="006571AC">
        <w:rPr>
          <w:rFonts w:hint="cs"/>
          <w:sz w:val="27"/>
          <w:rtl/>
          <w:lang w:bidi="ar-IQ"/>
        </w:rPr>
        <w:t>دَوْر</w:t>
      </w:r>
      <w:r w:rsidRPr="006571AC">
        <w:rPr>
          <w:rFonts w:hint="cs"/>
          <w:sz w:val="27"/>
          <w:rtl/>
          <w:lang w:bidi="ar-IQ"/>
        </w:rPr>
        <w:t xml:space="preserve"> الإجماع أو الأصل</w:t>
      </w:r>
      <w:r w:rsidR="00F93618" w:rsidRPr="006571AC">
        <w:rPr>
          <w:rFonts w:hint="cs"/>
          <w:sz w:val="27"/>
          <w:rtl/>
          <w:lang w:bidi="ar-IQ"/>
        </w:rPr>
        <w:t>،</w:t>
      </w:r>
      <w:r w:rsidRPr="006571AC">
        <w:rPr>
          <w:rFonts w:hint="cs"/>
          <w:sz w:val="27"/>
          <w:rtl/>
          <w:lang w:bidi="ar-IQ"/>
        </w:rPr>
        <w:t xml:space="preserve"> بوصفهما دليلاً على مشروعية الصلح الابتدائي. </w:t>
      </w:r>
    </w:p>
    <w:p w:rsidR="00381A52" w:rsidRPr="006571AC" w:rsidRDefault="00381A52" w:rsidP="003345FE">
      <w:pPr>
        <w:rPr>
          <w:sz w:val="27"/>
          <w:rtl/>
          <w:lang w:bidi="ar-IQ"/>
        </w:rPr>
      </w:pPr>
      <w:r w:rsidRPr="006571AC">
        <w:rPr>
          <w:rFonts w:hint="cs"/>
          <w:b/>
          <w:bCs/>
          <w:sz w:val="27"/>
          <w:rtl/>
          <w:lang w:bidi="ar-IQ"/>
        </w:rPr>
        <w:t>ثانياً</w:t>
      </w:r>
      <w:r w:rsidRPr="006571AC">
        <w:rPr>
          <w:rFonts w:hint="cs"/>
          <w:sz w:val="27"/>
          <w:rtl/>
          <w:lang w:bidi="ar-IQ"/>
        </w:rPr>
        <w:t>: إن الأدلة التي ي</w:t>
      </w:r>
      <w:r w:rsidR="00F93618" w:rsidRPr="006571AC">
        <w:rPr>
          <w:rFonts w:hint="cs"/>
          <w:sz w:val="27"/>
          <w:rtl/>
          <w:lang w:bidi="ar-IQ"/>
        </w:rPr>
        <w:t>َ</w:t>
      </w:r>
      <w:r w:rsidRPr="006571AC">
        <w:rPr>
          <w:rFonts w:hint="cs"/>
          <w:sz w:val="27"/>
          <w:rtl/>
          <w:lang w:bidi="ar-IQ"/>
        </w:rPr>
        <w:t>ر</w:t>
      </w:r>
      <w:r w:rsidR="00F93618" w:rsidRPr="006571AC">
        <w:rPr>
          <w:rFonts w:hint="cs"/>
          <w:sz w:val="27"/>
          <w:rtl/>
          <w:lang w:bidi="ar-IQ"/>
        </w:rPr>
        <w:t>ِ</w:t>
      </w:r>
      <w:r w:rsidRPr="006571AC">
        <w:rPr>
          <w:rFonts w:hint="cs"/>
          <w:sz w:val="27"/>
          <w:rtl/>
          <w:lang w:bidi="ar-IQ"/>
        </w:rPr>
        <w:t>د</w:t>
      </w:r>
      <w:r w:rsidR="00F93618" w:rsidRPr="006571AC">
        <w:rPr>
          <w:rFonts w:hint="cs"/>
          <w:sz w:val="27"/>
          <w:rtl/>
          <w:lang w:bidi="ar-IQ"/>
        </w:rPr>
        <w:t>ُ</w:t>
      </w:r>
      <w:r w:rsidRPr="006571AC">
        <w:rPr>
          <w:rFonts w:hint="cs"/>
          <w:sz w:val="27"/>
          <w:rtl/>
          <w:lang w:bidi="ar-IQ"/>
        </w:rPr>
        <w:t xml:space="preserve"> ذكرها إنما هي الأدل</w:t>
      </w:r>
      <w:r w:rsidR="00F93618" w:rsidRPr="006571AC">
        <w:rPr>
          <w:rFonts w:hint="cs"/>
          <w:sz w:val="27"/>
          <w:rtl/>
          <w:lang w:bidi="ar-IQ"/>
        </w:rPr>
        <w:t>ّ</w:t>
      </w:r>
      <w:r w:rsidRPr="006571AC">
        <w:rPr>
          <w:rFonts w:hint="cs"/>
          <w:sz w:val="27"/>
          <w:rtl/>
          <w:lang w:bidi="ar-IQ"/>
        </w:rPr>
        <w:t>ة الوحيدة التي تمّ التمسّ</w:t>
      </w:r>
      <w:r w:rsidR="00F93618" w:rsidRPr="006571AC">
        <w:rPr>
          <w:rFonts w:hint="cs"/>
          <w:sz w:val="27"/>
          <w:rtl/>
          <w:lang w:bidi="ar-IQ"/>
        </w:rPr>
        <w:t>ُ</w:t>
      </w:r>
      <w:r w:rsidRPr="006571AC">
        <w:rPr>
          <w:rFonts w:hint="cs"/>
          <w:sz w:val="27"/>
          <w:rtl/>
          <w:lang w:bidi="ar-IQ"/>
        </w:rPr>
        <w:t>ك بها في كلمات الفقهاء، وإن مجرّد ذكرها لا يشك</w:t>
      </w:r>
      <w:r w:rsidR="00F93618" w:rsidRPr="006571AC">
        <w:rPr>
          <w:rFonts w:hint="cs"/>
          <w:sz w:val="27"/>
          <w:rtl/>
          <w:lang w:bidi="ar-IQ"/>
        </w:rPr>
        <w:t>ِّ</w:t>
      </w:r>
      <w:r w:rsidRPr="006571AC">
        <w:rPr>
          <w:rFonts w:hint="cs"/>
          <w:sz w:val="27"/>
          <w:rtl/>
          <w:lang w:bidi="ar-IQ"/>
        </w:rPr>
        <w:t>ل دليلاً على القبول بها، وإن</w:t>
      </w:r>
      <w:r w:rsidR="00F93618" w:rsidRPr="006571AC">
        <w:rPr>
          <w:rFonts w:hint="cs"/>
          <w:sz w:val="27"/>
          <w:rtl/>
          <w:lang w:bidi="ar-IQ"/>
        </w:rPr>
        <w:t>ْ</w:t>
      </w:r>
      <w:r w:rsidRPr="006571AC">
        <w:rPr>
          <w:rFonts w:hint="cs"/>
          <w:sz w:val="27"/>
          <w:rtl/>
          <w:lang w:bidi="ar-IQ"/>
        </w:rPr>
        <w:t xml:space="preserve"> كان كاتب هذه المقالة </w:t>
      </w:r>
      <w:r w:rsidR="003345FE" w:rsidRPr="006571AC">
        <w:rPr>
          <w:rFonts w:hint="cs"/>
          <w:sz w:val="27"/>
          <w:rtl/>
          <w:lang w:bidi="ar-IQ"/>
        </w:rPr>
        <w:t xml:space="preserve">في </w:t>
      </w:r>
      <w:r w:rsidRPr="006571AC">
        <w:rPr>
          <w:rFonts w:hint="cs"/>
          <w:sz w:val="27"/>
          <w:rtl/>
          <w:lang w:bidi="ar-IQ"/>
        </w:rPr>
        <w:t>صدد بيان المناقشات والأبحاث الواردة في كل</w:t>
      </w:r>
      <w:r w:rsidR="00F93618" w:rsidRPr="006571AC">
        <w:rPr>
          <w:rFonts w:hint="cs"/>
          <w:sz w:val="27"/>
          <w:rtl/>
          <w:lang w:bidi="ar-IQ"/>
        </w:rPr>
        <w:t>ّ</w:t>
      </w:r>
      <w:r w:rsidRPr="006571AC">
        <w:rPr>
          <w:rFonts w:hint="cs"/>
          <w:sz w:val="27"/>
          <w:rtl/>
          <w:lang w:bidi="ar-IQ"/>
        </w:rPr>
        <w:t xml:space="preserve"> مورد</w:t>
      </w:r>
      <w:r w:rsidR="00F93618" w:rsidRPr="006571AC">
        <w:rPr>
          <w:rFonts w:hint="cs"/>
          <w:sz w:val="27"/>
          <w:rtl/>
          <w:lang w:bidi="ar-IQ"/>
        </w:rPr>
        <w:t>ٍ</w:t>
      </w:r>
      <w:r w:rsidRPr="006571AC">
        <w:rPr>
          <w:rFonts w:hint="cs"/>
          <w:sz w:val="27"/>
          <w:rtl/>
          <w:lang w:bidi="ar-IQ"/>
        </w:rPr>
        <w:t xml:space="preserve"> لا يتمّ فيه الدليل. </w:t>
      </w:r>
    </w:p>
    <w:p w:rsidR="00381A52" w:rsidRPr="006571AC" w:rsidRDefault="00381A52" w:rsidP="004B60B2">
      <w:pPr>
        <w:spacing w:line="420" w:lineRule="exact"/>
        <w:rPr>
          <w:sz w:val="27"/>
          <w:rtl/>
          <w:lang w:bidi="ar-IQ"/>
        </w:rPr>
      </w:pPr>
    </w:p>
    <w:p w:rsidR="00381A52" w:rsidRPr="006571AC" w:rsidRDefault="00332010" w:rsidP="00714072">
      <w:pPr>
        <w:pStyle w:val="31"/>
        <w:rPr>
          <w:color w:val="auto"/>
          <w:rtl/>
          <w:lang w:bidi="ar-IQ"/>
        </w:rPr>
      </w:pPr>
      <w:bookmarkStart w:id="116" w:name="_Toc114164605"/>
      <w:r w:rsidRPr="006571AC">
        <w:rPr>
          <w:rFonts w:hint="cs"/>
          <w:color w:val="auto"/>
          <w:rtl/>
          <w:lang w:bidi="ar-IQ"/>
        </w:rPr>
        <w:t>1ـ</w:t>
      </w:r>
      <w:r w:rsidR="00381A52" w:rsidRPr="006571AC">
        <w:rPr>
          <w:rFonts w:hint="cs"/>
          <w:color w:val="auto"/>
          <w:rtl/>
          <w:lang w:bidi="ar-IQ"/>
        </w:rPr>
        <w:t xml:space="preserve"> الإجماع</w:t>
      </w:r>
      <w:bookmarkEnd w:id="116"/>
    </w:p>
    <w:p w:rsidR="00381A52" w:rsidRPr="006571AC" w:rsidRDefault="00381A52" w:rsidP="00552C10">
      <w:pPr>
        <w:rPr>
          <w:sz w:val="27"/>
          <w:rtl/>
          <w:lang w:bidi="ar-IQ"/>
        </w:rPr>
      </w:pPr>
      <w:r w:rsidRPr="006571AC">
        <w:rPr>
          <w:rFonts w:hint="cs"/>
          <w:sz w:val="27"/>
          <w:rtl/>
          <w:lang w:bidi="ar-IQ"/>
        </w:rPr>
        <w:t xml:space="preserve">إن من بين أهم الأدلة على صحّة الصلح الابتدائي عند الفقهاء هو الإجماع. وقد </w:t>
      </w:r>
      <w:r w:rsidRPr="006571AC">
        <w:rPr>
          <w:rFonts w:hint="cs"/>
          <w:sz w:val="27"/>
          <w:rtl/>
          <w:lang w:bidi="ar-IQ"/>
        </w:rPr>
        <w:lastRenderedPageBreak/>
        <w:t>تمّ</w:t>
      </w:r>
      <w:r w:rsidR="00FE4FCC" w:rsidRPr="006571AC">
        <w:rPr>
          <w:rFonts w:hint="cs"/>
          <w:sz w:val="27"/>
          <w:rtl/>
          <w:lang w:bidi="ar-IQ"/>
        </w:rPr>
        <w:t>َ</w:t>
      </w:r>
      <w:r w:rsidRPr="006571AC">
        <w:rPr>
          <w:rFonts w:hint="cs"/>
          <w:sz w:val="27"/>
          <w:rtl/>
          <w:lang w:bidi="ar-IQ"/>
        </w:rPr>
        <w:t>ت</w:t>
      </w:r>
      <w:r w:rsidR="00FE4FCC" w:rsidRPr="006571AC">
        <w:rPr>
          <w:rFonts w:hint="cs"/>
          <w:sz w:val="27"/>
          <w:rtl/>
          <w:lang w:bidi="ar-IQ"/>
        </w:rPr>
        <w:t>ْ</w:t>
      </w:r>
      <w:r w:rsidRPr="006571AC">
        <w:rPr>
          <w:rFonts w:hint="cs"/>
          <w:sz w:val="27"/>
          <w:rtl/>
          <w:lang w:bidi="ar-IQ"/>
        </w:rPr>
        <w:t xml:space="preserve"> حكاية دعوى الإجماع وثبوت الاتفاق بين الفقهاء على صحّة الصلح الابتدائي على صورتين: </w:t>
      </w:r>
    </w:p>
    <w:p w:rsidR="00381A52" w:rsidRPr="006571AC" w:rsidRDefault="00381A52" w:rsidP="00552C10">
      <w:pPr>
        <w:rPr>
          <w:sz w:val="27"/>
          <w:rtl/>
          <w:lang w:bidi="ar-IQ"/>
        </w:rPr>
      </w:pPr>
      <w:r w:rsidRPr="006571AC">
        <w:rPr>
          <w:rFonts w:hint="cs"/>
          <w:b/>
          <w:bCs/>
          <w:sz w:val="27"/>
          <w:rtl/>
          <w:lang w:bidi="ar-IQ"/>
        </w:rPr>
        <w:t>الصورة الأولى</w:t>
      </w:r>
      <w:r w:rsidRPr="006571AC">
        <w:rPr>
          <w:rFonts w:hint="cs"/>
          <w:sz w:val="27"/>
          <w:rtl/>
          <w:lang w:bidi="ar-IQ"/>
        </w:rPr>
        <w:t>: الإجماع البسيط. والمراد منه ات</w:t>
      </w:r>
      <w:r w:rsidR="00FE4FCC" w:rsidRPr="006571AC">
        <w:rPr>
          <w:rFonts w:hint="cs"/>
          <w:sz w:val="27"/>
          <w:rtl/>
          <w:lang w:bidi="ar-IQ"/>
        </w:rPr>
        <w:t>ّ</w:t>
      </w:r>
      <w:r w:rsidRPr="006571AC">
        <w:rPr>
          <w:rFonts w:hint="cs"/>
          <w:sz w:val="27"/>
          <w:rtl/>
          <w:lang w:bidi="ar-IQ"/>
        </w:rPr>
        <w:t>فاق جميع الفقهاء على فتوى واحدة</w:t>
      </w:r>
      <w:r w:rsidR="00FE4FCC" w:rsidRPr="006571AC">
        <w:rPr>
          <w:rFonts w:hint="cs"/>
          <w:sz w:val="27"/>
          <w:rtl/>
          <w:lang w:bidi="ar-IQ"/>
        </w:rPr>
        <w:t>ٍ</w:t>
      </w:r>
      <w:r w:rsidRPr="006571AC">
        <w:rPr>
          <w:rFonts w:hint="cs"/>
          <w:sz w:val="27"/>
          <w:rtl/>
          <w:lang w:bidi="ar-IQ"/>
        </w:rPr>
        <w:t>. إن أول فقيه</w:t>
      </w:r>
      <w:r w:rsidR="00FE4FCC" w:rsidRPr="006571AC">
        <w:rPr>
          <w:rFonts w:hint="cs"/>
          <w:sz w:val="27"/>
          <w:rtl/>
          <w:lang w:bidi="ar-IQ"/>
        </w:rPr>
        <w:t>ٍ</w:t>
      </w:r>
      <w:r w:rsidRPr="006571AC">
        <w:rPr>
          <w:rFonts w:hint="cs"/>
          <w:sz w:val="27"/>
          <w:rtl/>
          <w:lang w:bidi="ar-IQ"/>
        </w:rPr>
        <w:t xml:space="preserve"> ذكر مسألة لزوم وعدم لزوم سبق الخصومة والنزاع هو العلا</w:t>
      </w:r>
      <w:r w:rsidR="00FE4FCC" w:rsidRPr="006571AC">
        <w:rPr>
          <w:rFonts w:hint="cs"/>
          <w:sz w:val="27"/>
          <w:rtl/>
          <w:lang w:bidi="ar-IQ"/>
        </w:rPr>
        <w:t>ّ</w:t>
      </w:r>
      <w:r w:rsidRPr="006571AC">
        <w:rPr>
          <w:rFonts w:hint="cs"/>
          <w:sz w:val="27"/>
          <w:rtl/>
          <w:lang w:bidi="ar-IQ"/>
        </w:rPr>
        <w:t>مة الحلي في التذكرة. وإنه بعبارة</w:t>
      </w:r>
      <w:r w:rsidR="00FE4FCC"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عندنا</w:t>
      </w:r>
      <w:r w:rsidRPr="006571AC">
        <w:rPr>
          <w:rFonts w:hint="eastAsia"/>
          <w:sz w:val="24"/>
          <w:szCs w:val="24"/>
          <w:rtl/>
        </w:rPr>
        <w:t>»</w:t>
      </w:r>
      <w:r w:rsidRPr="006571AC">
        <w:rPr>
          <w:rFonts w:hint="cs"/>
          <w:sz w:val="27"/>
          <w:rtl/>
          <w:lang w:bidi="ar-IQ"/>
        </w:rPr>
        <w:t xml:space="preserve"> عمد في الحقيقة إلى نسبة مشروعية الصلح الابتدائي وعدم لزوم سبق الخصومة إلى الشيعة. إن هذا التعبير كان يُستعمل عادة</w:t>
      </w:r>
      <w:r w:rsidR="00FE4FCC" w:rsidRPr="006571AC">
        <w:rPr>
          <w:rFonts w:hint="cs"/>
          <w:sz w:val="27"/>
          <w:rtl/>
          <w:lang w:bidi="ar-IQ"/>
        </w:rPr>
        <w:t>ً</w:t>
      </w:r>
      <w:r w:rsidRPr="006571AC">
        <w:rPr>
          <w:rFonts w:hint="cs"/>
          <w:sz w:val="27"/>
          <w:rtl/>
          <w:lang w:bidi="ar-IQ"/>
        </w:rPr>
        <w:t xml:space="preserve"> للحكاية عن الإجماع، وهو في الحقيقة بيان</w:t>
      </w:r>
      <w:r w:rsidR="00FE4FCC" w:rsidRPr="006571AC">
        <w:rPr>
          <w:rFonts w:hint="cs"/>
          <w:sz w:val="27"/>
          <w:rtl/>
          <w:lang w:bidi="ar-IQ"/>
        </w:rPr>
        <w:t>ٌ</w:t>
      </w:r>
      <w:r w:rsidRPr="006571AC">
        <w:rPr>
          <w:rFonts w:hint="cs"/>
          <w:sz w:val="27"/>
          <w:rtl/>
          <w:lang w:bidi="ar-IQ"/>
        </w:rPr>
        <w:t xml:space="preserve"> على أن المسألة من مختص</w:t>
      </w:r>
      <w:r w:rsidR="00FE4FCC" w:rsidRPr="006571AC">
        <w:rPr>
          <w:rFonts w:hint="cs"/>
          <w:sz w:val="27"/>
          <w:rtl/>
          <w:lang w:bidi="ar-IQ"/>
        </w:rPr>
        <w:t>ّ</w:t>
      </w:r>
      <w:r w:rsidRPr="006571AC">
        <w:rPr>
          <w:rFonts w:hint="cs"/>
          <w:sz w:val="27"/>
          <w:rtl/>
          <w:lang w:bidi="ar-IQ"/>
        </w:rPr>
        <w:t xml:space="preserve">ات الشيعة. </w:t>
      </w:r>
    </w:p>
    <w:p w:rsidR="00381A52" w:rsidRPr="006571AC" w:rsidRDefault="00381A52" w:rsidP="00552C10">
      <w:pPr>
        <w:rPr>
          <w:sz w:val="27"/>
          <w:rtl/>
          <w:lang w:bidi="ar-IQ"/>
        </w:rPr>
      </w:pPr>
      <w:r w:rsidRPr="006571AC">
        <w:rPr>
          <w:rFonts w:hint="cs"/>
          <w:sz w:val="27"/>
          <w:rtl/>
          <w:lang w:bidi="ar-IQ"/>
        </w:rPr>
        <w:t>وقد ذهب الفقهاء بعد العلا</w:t>
      </w:r>
      <w:r w:rsidR="00FE4FCC" w:rsidRPr="006571AC">
        <w:rPr>
          <w:rFonts w:hint="cs"/>
          <w:sz w:val="27"/>
          <w:rtl/>
          <w:lang w:bidi="ar-IQ"/>
        </w:rPr>
        <w:t>ّ</w:t>
      </w:r>
      <w:r w:rsidRPr="006571AC">
        <w:rPr>
          <w:rFonts w:hint="cs"/>
          <w:sz w:val="27"/>
          <w:rtl/>
          <w:lang w:bidi="ar-IQ"/>
        </w:rPr>
        <w:t>مة إلى ادعاء هذا الإجماع أيضاً. فقد أشار الشهيد الثاني في مسالك الأفهام بعبارة</w:t>
      </w:r>
      <w:r w:rsidR="00A95620"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عندنا</w:t>
      </w:r>
      <w:r w:rsidRPr="006571AC">
        <w:rPr>
          <w:rFonts w:hint="eastAsia"/>
          <w:sz w:val="24"/>
          <w:szCs w:val="24"/>
          <w:rtl/>
        </w:rPr>
        <w:t>»</w:t>
      </w:r>
      <w:r w:rsidRPr="006571AC">
        <w:rPr>
          <w:rFonts w:hint="cs"/>
          <w:sz w:val="27"/>
          <w:rtl/>
          <w:lang w:bidi="ar-IQ"/>
        </w:rPr>
        <w:t xml:space="preserve"> إلى القول بأن هذه المسألة مجمع</w:t>
      </w:r>
      <w:r w:rsidR="00A95620" w:rsidRPr="006571AC">
        <w:rPr>
          <w:rFonts w:hint="cs"/>
          <w:sz w:val="27"/>
          <w:rtl/>
          <w:lang w:bidi="ar-IQ"/>
        </w:rPr>
        <w:t>ٌ</w:t>
      </w:r>
      <w:r w:rsidRPr="006571AC">
        <w:rPr>
          <w:rFonts w:hint="cs"/>
          <w:sz w:val="27"/>
          <w:rtl/>
          <w:lang w:bidi="ar-IQ"/>
        </w:rPr>
        <w:t xml:space="preserve"> عليها. وإن المحق</w:t>
      </w:r>
      <w:r w:rsidR="00A95620" w:rsidRPr="006571AC">
        <w:rPr>
          <w:rFonts w:hint="cs"/>
          <w:sz w:val="27"/>
          <w:rtl/>
          <w:lang w:bidi="ar-IQ"/>
        </w:rPr>
        <w:t>ِّ</w:t>
      </w:r>
      <w:r w:rsidRPr="006571AC">
        <w:rPr>
          <w:rFonts w:hint="cs"/>
          <w:sz w:val="27"/>
          <w:rtl/>
          <w:lang w:bidi="ar-IQ"/>
        </w:rPr>
        <w:t>ق الأردبيلي ب</w:t>
      </w:r>
      <w:r w:rsidR="00EA38F1" w:rsidRPr="006571AC">
        <w:rPr>
          <w:rFonts w:hint="cs"/>
          <w:sz w:val="27"/>
          <w:rtl/>
          <w:lang w:bidi="ar-IQ"/>
        </w:rPr>
        <w:t>دَوْر</w:t>
      </w:r>
      <w:r w:rsidRPr="006571AC">
        <w:rPr>
          <w:rFonts w:hint="cs"/>
          <w:sz w:val="27"/>
          <w:rtl/>
          <w:lang w:bidi="ar-IQ"/>
        </w:rPr>
        <w:t>ه</w:t>
      </w:r>
      <w:r w:rsidR="00A95620" w:rsidRPr="006571AC">
        <w:rPr>
          <w:rFonts w:hint="cs"/>
          <w:sz w:val="27"/>
          <w:rtl/>
          <w:lang w:bidi="ar-IQ"/>
        </w:rPr>
        <w:t>،</w:t>
      </w:r>
      <w:r w:rsidRPr="006571AC">
        <w:rPr>
          <w:rFonts w:hint="cs"/>
          <w:sz w:val="27"/>
          <w:rtl/>
          <w:lang w:bidi="ar-IQ"/>
        </w:rPr>
        <w:t xml:space="preserve"> بعد الاستدلال بالروايات ومناقشتها، قال في الختام: </w:t>
      </w:r>
      <w:r w:rsidRPr="006571AC">
        <w:rPr>
          <w:rFonts w:hint="eastAsia"/>
          <w:sz w:val="24"/>
          <w:szCs w:val="24"/>
          <w:rtl/>
        </w:rPr>
        <w:t>«</w:t>
      </w:r>
      <w:r w:rsidR="00A95620" w:rsidRPr="006571AC">
        <w:rPr>
          <w:rFonts w:hint="cs"/>
          <w:sz w:val="27"/>
          <w:rtl/>
          <w:lang w:bidi="ar-IQ"/>
        </w:rPr>
        <w:t>...</w:t>
      </w:r>
      <w:r w:rsidRPr="006571AC">
        <w:rPr>
          <w:rFonts w:hint="cs"/>
          <w:sz w:val="27"/>
          <w:rtl/>
          <w:lang w:bidi="ar-IQ"/>
        </w:rPr>
        <w:t>وغير ذلك من الأخبار</w:t>
      </w:r>
      <w:r w:rsidR="00A95620" w:rsidRPr="006571AC">
        <w:rPr>
          <w:rFonts w:hint="cs"/>
          <w:sz w:val="27"/>
          <w:rtl/>
          <w:lang w:bidi="ar-IQ"/>
        </w:rPr>
        <w:t>،</w:t>
      </w:r>
      <w:r w:rsidRPr="006571AC">
        <w:rPr>
          <w:rFonts w:hint="cs"/>
          <w:sz w:val="27"/>
          <w:rtl/>
          <w:lang w:bidi="ar-IQ"/>
        </w:rPr>
        <w:t xml:space="preserve"> والإجماع</w:t>
      </w:r>
      <w:r w:rsidR="00A95620" w:rsidRPr="006571AC">
        <w:rPr>
          <w:rFonts w:hint="cs"/>
          <w:sz w:val="27"/>
          <w:rtl/>
          <w:lang w:bidi="ar-IQ"/>
        </w:rPr>
        <w:t>ُ</w:t>
      </w:r>
      <w:r w:rsidRPr="006571AC">
        <w:rPr>
          <w:rFonts w:hint="cs"/>
          <w:sz w:val="27"/>
          <w:rtl/>
          <w:lang w:bidi="ar-IQ"/>
        </w:rPr>
        <w:t xml:space="preserve"> كاف</w:t>
      </w:r>
      <w:r w:rsidR="00A95620" w:rsidRPr="006571AC">
        <w:rPr>
          <w:rFonts w:hint="cs"/>
          <w:sz w:val="27"/>
          <w:rtl/>
          <w:lang w:bidi="ar-IQ"/>
        </w:rPr>
        <w:t>ٍ</w:t>
      </w:r>
      <w:r w:rsidRPr="006571AC">
        <w:rPr>
          <w:rFonts w:hint="cs"/>
          <w:sz w:val="27"/>
          <w:rtl/>
          <w:lang w:bidi="ar-IQ"/>
        </w:rPr>
        <w:t xml:space="preserve"> في ذلك</w:t>
      </w:r>
      <w:r w:rsidR="00A95620" w:rsidRPr="006571AC">
        <w:rPr>
          <w:rFonts w:hint="cs"/>
          <w:sz w:val="27"/>
          <w:rtl/>
          <w:lang w:bidi="ar-IQ"/>
        </w:rPr>
        <w:t>،</w:t>
      </w:r>
      <w:r w:rsidRPr="006571AC">
        <w:rPr>
          <w:rFonts w:hint="cs"/>
          <w:sz w:val="27"/>
          <w:rtl/>
          <w:lang w:bidi="ar-IQ"/>
        </w:rPr>
        <w:t xml:space="preserve"> مع عدم ظهور المخالف منّا</w:t>
      </w:r>
      <w:r w:rsidRPr="006571AC">
        <w:rPr>
          <w:rFonts w:hint="eastAsia"/>
          <w:sz w:val="24"/>
          <w:szCs w:val="24"/>
          <w:rtl/>
        </w:rPr>
        <w:t>»</w:t>
      </w:r>
      <w:r w:rsidRPr="006571AC">
        <w:rPr>
          <w:rFonts w:hint="cs"/>
          <w:sz w:val="27"/>
          <w:rtl/>
          <w:lang w:bidi="ar-IQ"/>
        </w:rPr>
        <w:t>. وذهب السبزواري ب</w:t>
      </w:r>
      <w:r w:rsidR="00EA38F1" w:rsidRPr="006571AC">
        <w:rPr>
          <w:rFonts w:hint="cs"/>
          <w:sz w:val="27"/>
          <w:rtl/>
          <w:lang w:bidi="ar-IQ"/>
        </w:rPr>
        <w:t>دَوْر</w:t>
      </w:r>
      <w:r w:rsidRPr="006571AC">
        <w:rPr>
          <w:rFonts w:hint="cs"/>
          <w:sz w:val="27"/>
          <w:rtl/>
          <w:lang w:bidi="ar-IQ"/>
        </w:rPr>
        <w:t>ه إلى اد</w:t>
      </w:r>
      <w:r w:rsidR="00A95620" w:rsidRPr="006571AC">
        <w:rPr>
          <w:rFonts w:hint="cs"/>
          <w:sz w:val="27"/>
          <w:rtl/>
          <w:lang w:bidi="ar-IQ"/>
        </w:rPr>
        <w:t>ّ</w:t>
      </w:r>
      <w:r w:rsidRPr="006571AC">
        <w:rPr>
          <w:rFonts w:hint="cs"/>
          <w:sz w:val="27"/>
          <w:rtl/>
          <w:lang w:bidi="ar-IQ"/>
        </w:rPr>
        <w:t>عاء عدم الخلاف</w:t>
      </w:r>
      <w:r w:rsidRPr="006571AC">
        <w:rPr>
          <w:sz w:val="27"/>
          <w:vertAlign w:val="superscript"/>
          <w:rtl/>
          <w:lang w:bidi="ar-IQ"/>
        </w:rPr>
        <w:t>(</w:t>
      </w:r>
      <w:r w:rsidRPr="006571AC">
        <w:rPr>
          <w:rStyle w:val="ac"/>
          <w:sz w:val="27"/>
          <w:rtl/>
          <w:lang w:bidi="ar-IQ"/>
        </w:rPr>
        <w:endnoteReference w:id="243"/>
      </w:r>
      <w:r w:rsidRPr="006571AC">
        <w:rPr>
          <w:sz w:val="27"/>
          <w:vertAlign w:val="superscript"/>
          <w:rtl/>
          <w:lang w:bidi="ar-IQ"/>
        </w:rPr>
        <w:t>)</w:t>
      </w:r>
      <w:r w:rsidRPr="006571AC">
        <w:rPr>
          <w:rFonts w:hint="cs"/>
          <w:sz w:val="27"/>
          <w:rtl/>
          <w:lang w:bidi="ar-IQ"/>
        </w:rPr>
        <w:t>. وقد عمد</w:t>
      </w:r>
      <w:r w:rsidR="00A95620" w:rsidRPr="006571AC">
        <w:rPr>
          <w:rFonts w:hint="cs"/>
          <w:sz w:val="27"/>
          <w:rtl/>
          <w:lang w:bidi="ar-IQ"/>
        </w:rPr>
        <w:t>َ</w:t>
      </w:r>
      <w:r w:rsidRPr="006571AC">
        <w:rPr>
          <w:rFonts w:hint="cs"/>
          <w:sz w:val="27"/>
          <w:rtl/>
          <w:lang w:bidi="ar-IQ"/>
        </w:rPr>
        <w:t>ت</w:t>
      </w:r>
      <w:r w:rsidR="00A95620" w:rsidRPr="006571AC">
        <w:rPr>
          <w:rFonts w:hint="cs"/>
          <w:sz w:val="27"/>
          <w:rtl/>
          <w:lang w:bidi="ar-IQ"/>
        </w:rPr>
        <w:t>ْ</w:t>
      </w:r>
      <w:r w:rsidRPr="006571AC">
        <w:rPr>
          <w:rFonts w:hint="cs"/>
          <w:sz w:val="27"/>
          <w:rtl/>
          <w:lang w:bidi="ar-IQ"/>
        </w:rPr>
        <w:t xml:space="preserve"> جماعة</w:t>
      </w:r>
      <w:r w:rsidR="00A95620" w:rsidRPr="006571AC">
        <w:rPr>
          <w:rFonts w:hint="cs"/>
          <w:sz w:val="27"/>
          <w:rtl/>
          <w:lang w:bidi="ar-IQ"/>
        </w:rPr>
        <w:t>ٌ</w:t>
      </w:r>
      <w:r w:rsidRPr="006571AC">
        <w:rPr>
          <w:rFonts w:hint="cs"/>
          <w:sz w:val="27"/>
          <w:rtl/>
          <w:lang w:bidi="ar-IQ"/>
        </w:rPr>
        <w:t xml:space="preserve"> أخرى من الفقهاء إلى استعمال كلمة </w:t>
      </w:r>
      <w:r w:rsidRPr="006571AC">
        <w:rPr>
          <w:rFonts w:hint="eastAsia"/>
          <w:sz w:val="24"/>
          <w:szCs w:val="24"/>
          <w:rtl/>
        </w:rPr>
        <w:t>«</w:t>
      </w:r>
      <w:r w:rsidRPr="006571AC">
        <w:rPr>
          <w:rFonts w:hint="cs"/>
          <w:sz w:val="27"/>
          <w:rtl/>
          <w:lang w:bidi="ar-IQ"/>
        </w:rPr>
        <w:t>الإجماع</w:t>
      </w:r>
      <w:r w:rsidRPr="006571AC">
        <w:rPr>
          <w:rFonts w:hint="eastAsia"/>
          <w:sz w:val="24"/>
          <w:szCs w:val="24"/>
          <w:rtl/>
        </w:rPr>
        <w:t>»</w:t>
      </w:r>
      <w:r w:rsidRPr="006571AC">
        <w:rPr>
          <w:rFonts w:hint="cs"/>
          <w:sz w:val="27"/>
          <w:rtl/>
          <w:lang w:bidi="ar-IQ"/>
        </w:rPr>
        <w:t xml:space="preserve"> صراحة</w:t>
      </w:r>
      <w:r w:rsidR="00A95620" w:rsidRPr="006571AC">
        <w:rPr>
          <w:rFonts w:hint="cs"/>
          <w:sz w:val="27"/>
          <w:rtl/>
          <w:lang w:bidi="ar-IQ"/>
        </w:rPr>
        <w:t>ً</w:t>
      </w:r>
      <w:r w:rsidRPr="006571AC">
        <w:rPr>
          <w:rFonts w:hint="cs"/>
          <w:sz w:val="27"/>
          <w:rtl/>
          <w:lang w:bidi="ar-IQ"/>
        </w:rPr>
        <w:t>، بوصفه مستنداً لمشروعية الصلح، ومن بينهم</w:t>
      </w:r>
      <w:r w:rsidR="00A95620" w:rsidRPr="006571AC">
        <w:rPr>
          <w:rFonts w:hint="cs"/>
          <w:sz w:val="27"/>
          <w:rtl/>
          <w:lang w:bidi="ar-IQ"/>
        </w:rPr>
        <w:t>:</w:t>
      </w:r>
      <w:r w:rsidRPr="006571AC">
        <w:rPr>
          <w:rFonts w:hint="cs"/>
          <w:sz w:val="27"/>
          <w:rtl/>
          <w:lang w:bidi="ar-IQ"/>
        </w:rPr>
        <w:t xml:space="preserve"> صاحب الجواهر</w:t>
      </w:r>
      <w:r w:rsidRPr="006571AC">
        <w:rPr>
          <w:sz w:val="27"/>
          <w:vertAlign w:val="superscript"/>
          <w:rtl/>
          <w:lang w:bidi="ar-IQ"/>
        </w:rPr>
        <w:t>(</w:t>
      </w:r>
      <w:r w:rsidRPr="006571AC">
        <w:rPr>
          <w:rStyle w:val="ac"/>
          <w:sz w:val="27"/>
          <w:rtl/>
          <w:lang w:bidi="ar-IQ"/>
        </w:rPr>
        <w:endnoteReference w:id="244"/>
      </w:r>
      <w:r w:rsidRPr="006571AC">
        <w:rPr>
          <w:sz w:val="27"/>
          <w:vertAlign w:val="superscript"/>
          <w:rtl/>
          <w:lang w:bidi="ar-IQ"/>
        </w:rPr>
        <w:t>)</w:t>
      </w:r>
      <w:r w:rsidRPr="006571AC">
        <w:rPr>
          <w:rFonts w:hint="cs"/>
          <w:sz w:val="27"/>
          <w:rtl/>
          <w:lang w:bidi="ar-IQ"/>
        </w:rPr>
        <w:t xml:space="preserve"> وصاحب الرياض</w:t>
      </w:r>
      <w:r w:rsidRPr="006571AC">
        <w:rPr>
          <w:sz w:val="27"/>
          <w:vertAlign w:val="superscript"/>
          <w:rtl/>
          <w:lang w:bidi="ar-IQ"/>
        </w:rPr>
        <w:t>(</w:t>
      </w:r>
      <w:r w:rsidRPr="006571AC">
        <w:rPr>
          <w:rStyle w:val="ac"/>
          <w:sz w:val="27"/>
          <w:rtl/>
          <w:lang w:bidi="ar-IQ"/>
        </w:rPr>
        <w:endnoteReference w:id="245"/>
      </w:r>
      <w:r w:rsidRPr="006571AC">
        <w:rPr>
          <w:sz w:val="27"/>
          <w:vertAlign w:val="superscript"/>
          <w:rtl/>
          <w:lang w:bidi="ar-IQ"/>
        </w:rPr>
        <w:t>)</w:t>
      </w:r>
      <w:r w:rsidRPr="006571AC">
        <w:rPr>
          <w:rFonts w:hint="cs"/>
          <w:sz w:val="27"/>
          <w:rtl/>
          <w:lang w:bidi="ar-IQ"/>
        </w:rPr>
        <w:t xml:space="preserve">. إن نقل الإجماع في هذه المسألة قد بلغ حدّاً من الكثرة بحيث اعتبره السيد الطباطبائي في كتاب الرياض أمراً مستفيضاً. </w:t>
      </w:r>
    </w:p>
    <w:p w:rsidR="00381A52" w:rsidRPr="006571AC" w:rsidRDefault="00381A52" w:rsidP="00552C10">
      <w:pPr>
        <w:rPr>
          <w:sz w:val="27"/>
          <w:rtl/>
          <w:lang w:bidi="ar-IQ"/>
        </w:rPr>
      </w:pPr>
      <w:r w:rsidRPr="006571AC">
        <w:rPr>
          <w:rFonts w:hint="cs"/>
          <w:b/>
          <w:bCs/>
          <w:sz w:val="27"/>
          <w:rtl/>
          <w:lang w:bidi="ar-IQ"/>
        </w:rPr>
        <w:t>الصورة الثانية</w:t>
      </w:r>
      <w:r w:rsidRPr="006571AC">
        <w:rPr>
          <w:rFonts w:hint="cs"/>
          <w:sz w:val="27"/>
          <w:rtl/>
          <w:lang w:bidi="ar-IQ"/>
        </w:rPr>
        <w:t>: الإجماع المركّ</w:t>
      </w:r>
      <w:r w:rsidR="00A95620" w:rsidRPr="006571AC">
        <w:rPr>
          <w:rFonts w:hint="cs"/>
          <w:sz w:val="27"/>
          <w:rtl/>
          <w:lang w:bidi="ar-IQ"/>
        </w:rPr>
        <w:t>َ</w:t>
      </w:r>
      <w:r w:rsidRPr="006571AC">
        <w:rPr>
          <w:rFonts w:hint="cs"/>
          <w:sz w:val="27"/>
          <w:rtl/>
          <w:lang w:bidi="ar-IQ"/>
        </w:rPr>
        <w:t xml:space="preserve">ب. وهو في الحقيقة ذات القول بعدم الفصل. قال صاحب الرياض في هذا الشأن: </w:t>
      </w:r>
      <w:r w:rsidRPr="006571AC">
        <w:rPr>
          <w:rFonts w:hint="eastAsia"/>
          <w:sz w:val="24"/>
          <w:szCs w:val="24"/>
          <w:rtl/>
        </w:rPr>
        <w:t>«</w:t>
      </w:r>
      <w:r w:rsidRPr="006571AC">
        <w:rPr>
          <w:sz w:val="27"/>
          <w:rtl/>
          <w:lang w:bidi="ar-IQ"/>
        </w:rPr>
        <w:t>ولكن</w:t>
      </w:r>
      <w:r w:rsidR="00A95620" w:rsidRPr="006571AC">
        <w:rPr>
          <w:rFonts w:hint="cs"/>
          <w:sz w:val="27"/>
          <w:rtl/>
          <w:lang w:bidi="ar-IQ"/>
        </w:rPr>
        <w:t>ْ</w:t>
      </w:r>
      <w:r w:rsidRPr="006571AC">
        <w:rPr>
          <w:sz w:val="27"/>
          <w:rtl/>
          <w:lang w:bidi="ar-IQ"/>
        </w:rPr>
        <w:t xml:space="preserve"> يمكن الذب</w:t>
      </w:r>
      <w:r w:rsidRPr="006571AC">
        <w:rPr>
          <w:rFonts w:hint="cs"/>
          <w:sz w:val="27"/>
          <w:rtl/>
          <w:lang w:bidi="ar-IQ"/>
        </w:rPr>
        <w:t>ّ</w:t>
      </w:r>
      <w:r w:rsidRPr="006571AC">
        <w:rPr>
          <w:sz w:val="27"/>
          <w:rtl/>
          <w:lang w:bidi="ar-IQ"/>
        </w:rPr>
        <w:t xml:space="preserve"> عنه بعدم القائل بالفرق بين ال</w:t>
      </w:r>
      <w:r w:rsidRPr="006571AC">
        <w:rPr>
          <w:rFonts w:hint="cs"/>
          <w:sz w:val="27"/>
          <w:rtl/>
          <w:lang w:bidi="ar-IQ"/>
        </w:rPr>
        <w:t>أ</w:t>
      </w:r>
      <w:r w:rsidRPr="006571AC">
        <w:rPr>
          <w:sz w:val="27"/>
          <w:rtl/>
          <w:lang w:bidi="ar-IQ"/>
        </w:rPr>
        <w:t>م</w:t>
      </w:r>
      <w:r w:rsidRPr="006571AC">
        <w:rPr>
          <w:rFonts w:hint="cs"/>
          <w:sz w:val="27"/>
          <w:rtl/>
          <w:lang w:bidi="ar-IQ"/>
        </w:rPr>
        <w:t>ّ</w:t>
      </w:r>
      <w:r w:rsidRPr="006571AC">
        <w:rPr>
          <w:sz w:val="27"/>
          <w:rtl/>
          <w:lang w:bidi="ar-IQ"/>
        </w:rPr>
        <w:t>ة، فكل</w:t>
      </w:r>
      <w:r w:rsidR="00A95620" w:rsidRPr="006571AC">
        <w:rPr>
          <w:rFonts w:hint="cs"/>
          <w:sz w:val="27"/>
          <w:rtl/>
          <w:lang w:bidi="ar-IQ"/>
        </w:rPr>
        <w:t>ّ</w:t>
      </w:r>
      <w:r w:rsidRPr="006571AC">
        <w:rPr>
          <w:sz w:val="27"/>
          <w:rtl/>
          <w:lang w:bidi="ar-IQ"/>
        </w:rPr>
        <w:t xml:space="preserve"> م</w:t>
      </w:r>
      <w:r w:rsidR="00A95620" w:rsidRPr="006571AC">
        <w:rPr>
          <w:rFonts w:hint="cs"/>
          <w:sz w:val="27"/>
          <w:rtl/>
          <w:lang w:bidi="ar-IQ"/>
        </w:rPr>
        <w:t>َ</w:t>
      </w:r>
      <w:r w:rsidRPr="006571AC">
        <w:rPr>
          <w:sz w:val="27"/>
          <w:rtl/>
          <w:lang w:bidi="ar-IQ"/>
        </w:rPr>
        <w:t>ن</w:t>
      </w:r>
      <w:r w:rsidR="00A95620" w:rsidRPr="006571AC">
        <w:rPr>
          <w:rFonts w:hint="cs"/>
          <w:sz w:val="27"/>
          <w:rtl/>
          <w:lang w:bidi="ar-IQ"/>
        </w:rPr>
        <w:t>ْ</w:t>
      </w:r>
      <w:r w:rsidRPr="006571AC">
        <w:rPr>
          <w:sz w:val="27"/>
          <w:rtl/>
          <w:lang w:bidi="ar-IQ"/>
        </w:rPr>
        <w:t xml:space="preserve"> قال بالمشروعية</w:t>
      </w:r>
      <w:r w:rsidR="00A95620" w:rsidRPr="006571AC">
        <w:rPr>
          <w:rFonts w:hint="cs"/>
          <w:sz w:val="27"/>
          <w:rtl/>
          <w:lang w:bidi="ar-IQ"/>
        </w:rPr>
        <w:t>؛</w:t>
      </w:r>
      <w:r w:rsidRPr="006571AC">
        <w:rPr>
          <w:sz w:val="27"/>
          <w:rtl/>
          <w:lang w:bidi="ar-IQ"/>
        </w:rPr>
        <w:t xml:space="preserve"> لدفع منازعة</w:t>
      </w:r>
      <w:r w:rsidR="00A95620" w:rsidRPr="006571AC">
        <w:rPr>
          <w:rFonts w:hint="cs"/>
          <w:sz w:val="27"/>
          <w:rtl/>
          <w:lang w:bidi="ar-IQ"/>
        </w:rPr>
        <w:t>ٍ</w:t>
      </w:r>
      <w:r w:rsidRPr="006571AC">
        <w:rPr>
          <w:sz w:val="27"/>
          <w:rtl/>
          <w:lang w:bidi="ar-IQ"/>
        </w:rPr>
        <w:t xml:space="preserve"> متوق</w:t>
      </w:r>
      <w:r w:rsidR="00A95620" w:rsidRPr="006571AC">
        <w:rPr>
          <w:rFonts w:hint="cs"/>
          <w:sz w:val="27"/>
          <w:rtl/>
          <w:lang w:bidi="ar-IQ"/>
        </w:rPr>
        <w:t>َّ</w:t>
      </w:r>
      <w:r w:rsidRPr="006571AC">
        <w:rPr>
          <w:sz w:val="27"/>
          <w:rtl/>
          <w:lang w:bidi="ar-IQ"/>
        </w:rPr>
        <w:t xml:space="preserve">عة </w:t>
      </w:r>
      <w:r w:rsidRPr="006571AC">
        <w:rPr>
          <w:rFonts w:hint="cs"/>
          <w:sz w:val="27"/>
          <w:rtl/>
          <w:lang w:bidi="ar-IQ"/>
        </w:rPr>
        <w:t>ـ</w:t>
      </w:r>
      <w:r w:rsidRPr="006571AC">
        <w:rPr>
          <w:sz w:val="27"/>
          <w:rtl/>
          <w:lang w:bidi="ar-IQ"/>
        </w:rPr>
        <w:t xml:space="preserve"> وإن</w:t>
      </w:r>
      <w:r w:rsidR="00A95620" w:rsidRPr="006571AC">
        <w:rPr>
          <w:rFonts w:hint="cs"/>
          <w:sz w:val="27"/>
          <w:rtl/>
          <w:lang w:bidi="ar-IQ"/>
        </w:rPr>
        <w:t>ْ</w:t>
      </w:r>
      <w:r w:rsidRPr="006571AC">
        <w:rPr>
          <w:sz w:val="27"/>
          <w:rtl/>
          <w:lang w:bidi="ar-IQ"/>
        </w:rPr>
        <w:t xml:space="preserve"> لم تكن سابقة</w:t>
      </w:r>
      <w:r w:rsidR="00A95620" w:rsidRPr="006571AC">
        <w:rPr>
          <w:rFonts w:hint="cs"/>
          <w:sz w:val="27"/>
          <w:rtl/>
          <w:lang w:bidi="ar-IQ"/>
        </w:rPr>
        <w:t>ً</w:t>
      </w:r>
      <w:r w:rsidRPr="006571AC">
        <w:rPr>
          <w:sz w:val="27"/>
          <w:rtl/>
          <w:lang w:bidi="ar-IQ"/>
        </w:rPr>
        <w:t>، كما دل</w:t>
      </w:r>
      <w:r w:rsidRPr="006571AC">
        <w:rPr>
          <w:rFonts w:hint="cs"/>
          <w:sz w:val="27"/>
          <w:rtl/>
          <w:lang w:bidi="ar-IQ"/>
        </w:rPr>
        <w:t>ّ</w:t>
      </w:r>
      <w:r w:rsidRPr="006571AC">
        <w:rPr>
          <w:sz w:val="27"/>
          <w:rtl/>
          <w:lang w:bidi="ar-IQ"/>
        </w:rPr>
        <w:t xml:space="preserve"> عليها إطلاق الأخبار المذكورة </w:t>
      </w:r>
      <w:r w:rsidRPr="006571AC">
        <w:rPr>
          <w:rFonts w:hint="cs"/>
          <w:sz w:val="27"/>
          <w:rtl/>
          <w:lang w:bidi="ar-IQ"/>
        </w:rPr>
        <w:t>ـ</w:t>
      </w:r>
      <w:r w:rsidRPr="006571AC">
        <w:rPr>
          <w:sz w:val="27"/>
          <w:rtl/>
          <w:lang w:bidi="ar-IQ"/>
        </w:rPr>
        <w:t xml:space="preserve"> قال بها في الصورة المزبورة، التي لم تكن المنازعة فيها سابقة</w:t>
      </w:r>
      <w:r w:rsidR="00A95620" w:rsidRPr="006571AC">
        <w:rPr>
          <w:rFonts w:hint="cs"/>
          <w:sz w:val="27"/>
          <w:rtl/>
          <w:lang w:bidi="ar-IQ"/>
        </w:rPr>
        <w:t>ً</w:t>
      </w:r>
      <w:r w:rsidR="00D90D7D" w:rsidRPr="006571AC">
        <w:rPr>
          <w:rFonts w:hint="cs"/>
          <w:sz w:val="27"/>
          <w:rtl/>
          <w:lang w:bidi="ar-IQ"/>
        </w:rPr>
        <w:t>،</w:t>
      </w:r>
      <w:r w:rsidRPr="006571AC">
        <w:rPr>
          <w:sz w:val="27"/>
          <w:rtl/>
          <w:lang w:bidi="ar-IQ"/>
        </w:rPr>
        <w:t xml:space="preserve"> ولا متوق</w:t>
      </w:r>
      <w:r w:rsidR="00A95620" w:rsidRPr="006571AC">
        <w:rPr>
          <w:rFonts w:hint="cs"/>
          <w:sz w:val="27"/>
          <w:rtl/>
          <w:lang w:bidi="ar-IQ"/>
        </w:rPr>
        <w:t>َّ</w:t>
      </w:r>
      <w:r w:rsidRPr="006571AC">
        <w:rPr>
          <w:sz w:val="27"/>
          <w:rtl/>
          <w:lang w:bidi="ar-IQ"/>
        </w:rPr>
        <w:t>عة</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46"/>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على الرغم من أن تعاريف الفقهاء السابقين للصلح تبيّ</w:t>
      </w:r>
      <w:r w:rsidR="00A95620" w:rsidRPr="006571AC">
        <w:rPr>
          <w:rFonts w:hint="cs"/>
          <w:sz w:val="27"/>
          <w:rtl/>
          <w:lang w:bidi="ar-IQ"/>
        </w:rPr>
        <w:t>ِ</w:t>
      </w:r>
      <w:r w:rsidRPr="006571AC">
        <w:rPr>
          <w:rFonts w:hint="cs"/>
          <w:sz w:val="27"/>
          <w:rtl/>
          <w:lang w:bidi="ar-IQ"/>
        </w:rPr>
        <w:t>ن أنهم قد عرّ</w:t>
      </w:r>
      <w:r w:rsidR="00A95620" w:rsidRPr="006571AC">
        <w:rPr>
          <w:rFonts w:hint="cs"/>
          <w:sz w:val="27"/>
          <w:rtl/>
          <w:lang w:bidi="ar-IQ"/>
        </w:rPr>
        <w:t>َ</w:t>
      </w:r>
      <w:r w:rsidRPr="006571AC">
        <w:rPr>
          <w:rFonts w:hint="cs"/>
          <w:sz w:val="27"/>
          <w:rtl/>
          <w:lang w:bidi="ar-IQ"/>
        </w:rPr>
        <w:t>فوا الصلح من أجل رفع النزاع المحق</w:t>
      </w:r>
      <w:r w:rsidR="00A95620" w:rsidRPr="006571AC">
        <w:rPr>
          <w:rFonts w:hint="cs"/>
          <w:sz w:val="27"/>
          <w:rtl/>
          <w:lang w:bidi="ar-IQ"/>
        </w:rPr>
        <w:t>ّ</w:t>
      </w:r>
      <w:r w:rsidRPr="006571AC">
        <w:rPr>
          <w:rFonts w:hint="cs"/>
          <w:sz w:val="27"/>
          <w:rtl/>
          <w:lang w:bidi="ar-IQ"/>
        </w:rPr>
        <w:t>ق أو المحتمل، ولكن</w:t>
      </w:r>
      <w:r w:rsidR="00A95620" w:rsidRPr="006571AC">
        <w:rPr>
          <w:rFonts w:hint="cs"/>
          <w:sz w:val="27"/>
          <w:rtl/>
          <w:lang w:bidi="ar-IQ"/>
        </w:rPr>
        <w:t>ْ</w:t>
      </w:r>
      <w:r w:rsidRPr="006571AC">
        <w:rPr>
          <w:rFonts w:hint="cs"/>
          <w:sz w:val="27"/>
          <w:rtl/>
          <w:lang w:bidi="ar-IQ"/>
        </w:rPr>
        <w:t xml:space="preserve"> يمكن أن ي</w:t>
      </w:r>
      <w:r w:rsidR="00A95620" w:rsidRPr="006571AC">
        <w:rPr>
          <w:rFonts w:hint="cs"/>
          <w:sz w:val="27"/>
          <w:rtl/>
          <w:lang w:bidi="ar-IQ"/>
        </w:rPr>
        <w:t>ُ</w:t>
      </w:r>
      <w:r w:rsidRPr="006571AC">
        <w:rPr>
          <w:rFonts w:hint="cs"/>
          <w:sz w:val="27"/>
          <w:rtl/>
          <w:lang w:bidi="ar-IQ"/>
        </w:rPr>
        <w:t>قال</w:t>
      </w:r>
      <w:r w:rsidR="00A95620" w:rsidRPr="006571AC">
        <w:rPr>
          <w:rFonts w:hint="cs"/>
          <w:sz w:val="27"/>
          <w:rtl/>
          <w:lang w:bidi="ar-IQ"/>
        </w:rPr>
        <w:t>:</w:t>
      </w:r>
      <w:r w:rsidRPr="006571AC">
        <w:rPr>
          <w:rFonts w:hint="cs"/>
          <w:sz w:val="27"/>
          <w:rtl/>
          <w:lang w:bidi="ar-IQ"/>
        </w:rPr>
        <w:t xml:space="preserve"> إن أصل مشروعية الصلح لا تنحصر في رفع النزاع والخصومة، وإن التعريف إنما يبيّ</w:t>
      </w:r>
      <w:r w:rsidR="00A95620" w:rsidRPr="006571AC">
        <w:rPr>
          <w:rFonts w:hint="cs"/>
          <w:sz w:val="27"/>
          <w:rtl/>
          <w:lang w:bidi="ar-IQ"/>
        </w:rPr>
        <w:t>ِ</w:t>
      </w:r>
      <w:r w:rsidRPr="006571AC">
        <w:rPr>
          <w:rFonts w:hint="cs"/>
          <w:sz w:val="27"/>
          <w:rtl/>
          <w:lang w:bidi="ar-IQ"/>
        </w:rPr>
        <w:t>ن مجرّد جانب</w:t>
      </w:r>
      <w:r w:rsidR="00A95620" w:rsidRPr="006571AC">
        <w:rPr>
          <w:rFonts w:hint="cs"/>
          <w:sz w:val="27"/>
          <w:rtl/>
          <w:lang w:bidi="ar-IQ"/>
        </w:rPr>
        <w:t>ٍ</w:t>
      </w:r>
      <w:r w:rsidRPr="006571AC">
        <w:rPr>
          <w:rFonts w:hint="cs"/>
          <w:sz w:val="27"/>
          <w:rtl/>
          <w:lang w:bidi="ar-IQ"/>
        </w:rPr>
        <w:t xml:space="preserve"> من عقد الصلح. وإن الإشارة إلى قطع التجاذب والنزاع إنما هي في الحقيقة إشارة</w:t>
      </w:r>
      <w:r w:rsidR="00A95620" w:rsidRPr="006571AC">
        <w:rPr>
          <w:rFonts w:hint="cs"/>
          <w:sz w:val="27"/>
          <w:rtl/>
          <w:lang w:bidi="ar-IQ"/>
        </w:rPr>
        <w:t>ٌ</w:t>
      </w:r>
      <w:r w:rsidRPr="006571AC">
        <w:rPr>
          <w:rFonts w:hint="cs"/>
          <w:sz w:val="27"/>
          <w:rtl/>
          <w:lang w:bidi="ar-IQ"/>
        </w:rPr>
        <w:t xml:space="preserve"> إلى الفرد الغالب، والقيود الغالبة ب</w:t>
      </w:r>
      <w:r w:rsidR="00EA38F1" w:rsidRPr="006571AC">
        <w:rPr>
          <w:rFonts w:hint="cs"/>
          <w:sz w:val="27"/>
          <w:rtl/>
          <w:lang w:bidi="ar-IQ"/>
        </w:rPr>
        <w:t>دَوْر</w:t>
      </w:r>
      <w:r w:rsidRPr="006571AC">
        <w:rPr>
          <w:rFonts w:hint="cs"/>
          <w:sz w:val="27"/>
          <w:rtl/>
          <w:lang w:bidi="ar-IQ"/>
        </w:rPr>
        <w:t>ها لا تفيد مفهوماً؛ ببيان أنه لا يمكن التمسّ</w:t>
      </w:r>
      <w:r w:rsidR="00A95620" w:rsidRPr="006571AC">
        <w:rPr>
          <w:rFonts w:hint="cs"/>
          <w:sz w:val="27"/>
          <w:rtl/>
          <w:lang w:bidi="ar-IQ"/>
        </w:rPr>
        <w:t>ُ</w:t>
      </w:r>
      <w:r w:rsidRPr="006571AC">
        <w:rPr>
          <w:rFonts w:hint="cs"/>
          <w:sz w:val="27"/>
          <w:rtl/>
          <w:lang w:bidi="ar-IQ"/>
        </w:rPr>
        <w:t xml:space="preserve">ك بصرف الإشارة إلى قطع الخصومة والتجاذب، والعمل على نفي مشروعية الصلح غير المسبوق </w:t>
      </w:r>
      <w:r w:rsidRPr="006571AC">
        <w:rPr>
          <w:rFonts w:hint="cs"/>
          <w:sz w:val="27"/>
          <w:rtl/>
          <w:lang w:bidi="ar-IQ"/>
        </w:rPr>
        <w:lastRenderedPageBreak/>
        <w:t xml:space="preserve">بالنزاع؛ إذ </w:t>
      </w:r>
      <w:r w:rsidR="00A95620" w:rsidRPr="006571AC">
        <w:rPr>
          <w:rFonts w:hint="cs"/>
          <w:sz w:val="27"/>
          <w:rtl/>
          <w:lang w:bidi="ar-IQ"/>
        </w:rPr>
        <w:t>إ</w:t>
      </w:r>
      <w:r w:rsidRPr="006571AC">
        <w:rPr>
          <w:rFonts w:hint="cs"/>
          <w:sz w:val="27"/>
          <w:rtl/>
          <w:lang w:bidi="ar-IQ"/>
        </w:rPr>
        <w:t xml:space="preserve">ن شرط الدلالة على المفهوم هو الانحصار، في حين أن قيد </w:t>
      </w:r>
      <w:r w:rsidRPr="006571AC">
        <w:rPr>
          <w:rFonts w:hint="eastAsia"/>
          <w:sz w:val="24"/>
          <w:szCs w:val="24"/>
          <w:rtl/>
        </w:rPr>
        <w:t>«</w:t>
      </w:r>
      <w:r w:rsidRPr="006571AC">
        <w:rPr>
          <w:rFonts w:hint="cs"/>
          <w:sz w:val="27"/>
          <w:rtl/>
          <w:lang w:bidi="ar-IQ"/>
        </w:rPr>
        <w:t>قطع التجاذب</w:t>
      </w:r>
      <w:r w:rsidRPr="006571AC">
        <w:rPr>
          <w:rFonts w:hint="eastAsia"/>
          <w:sz w:val="24"/>
          <w:szCs w:val="24"/>
          <w:rtl/>
        </w:rPr>
        <w:t>»</w:t>
      </w:r>
      <w:r w:rsidRPr="006571AC">
        <w:rPr>
          <w:rFonts w:hint="cs"/>
          <w:sz w:val="27"/>
          <w:rtl/>
          <w:lang w:bidi="ar-IQ"/>
        </w:rPr>
        <w:t xml:space="preserve"> في تعاريف الفقهاء إنما هو لمجرّد الإشارة إلى المصاديق الغالبة، التي يتمّ فيها فصل الخصومة</w:t>
      </w:r>
      <w:r w:rsidRPr="006571AC">
        <w:rPr>
          <w:sz w:val="27"/>
          <w:vertAlign w:val="superscript"/>
          <w:rtl/>
          <w:lang w:bidi="ar-IQ"/>
        </w:rPr>
        <w:t>(</w:t>
      </w:r>
      <w:r w:rsidRPr="006571AC">
        <w:rPr>
          <w:rStyle w:val="ac"/>
          <w:sz w:val="27"/>
          <w:rtl/>
          <w:lang w:bidi="ar-IQ"/>
        </w:rPr>
        <w:endnoteReference w:id="247"/>
      </w:r>
      <w:r w:rsidRPr="006571AC">
        <w:rPr>
          <w:sz w:val="27"/>
          <w:vertAlign w:val="superscript"/>
          <w:rtl/>
          <w:lang w:bidi="ar-IQ"/>
        </w:rPr>
        <w:t>)</w:t>
      </w:r>
      <w:r w:rsidRPr="006571AC">
        <w:rPr>
          <w:rFonts w:hint="cs"/>
          <w:sz w:val="27"/>
          <w:rtl/>
          <w:lang w:bidi="ar-IQ"/>
        </w:rPr>
        <w:t>. وقد ورد بيان هذه المسألة في كلمات المحق</w:t>
      </w:r>
      <w:r w:rsidR="00A95620" w:rsidRPr="006571AC">
        <w:rPr>
          <w:rFonts w:hint="cs"/>
          <w:sz w:val="27"/>
          <w:rtl/>
          <w:lang w:bidi="ar-IQ"/>
        </w:rPr>
        <w:t>ِّ</w:t>
      </w:r>
      <w:r w:rsidRPr="006571AC">
        <w:rPr>
          <w:rFonts w:hint="cs"/>
          <w:sz w:val="27"/>
          <w:rtl/>
          <w:lang w:bidi="ar-IQ"/>
        </w:rPr>
        <w:t xml:space="preserve">ق العاملي، على النحو </w:t>
      </w:r>
      <w:r w:rsidR="00A95620" w:rsidRPr="006571AC">
        <w:rPr>
          <w:rFonts w:hint="cs"/>
          <w:sz w:val="27"/>
          <w:rtl/>
          <w:lang w:bidi="ar-IQ"/>
        </w:rPr>
        <w:t>التالي</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على أنه تعريف</w:t>
      </w:r>
      <w:r w:rsidR="00A95620" w:rsidRPr="006571AC">
        <w:rPr>
          <w:rFonts w:hint="cs"/>
          <w:sz w:val="27"/>
          <w:rtl/>
          <w:lang w:bidi="ar-IQ"/>
        </w:rPr>
        <w:t>ٌ</w:t>
      </w:r>
      <w:r w:rsidRPr="006571AC">
        <w:rPr>
          <w:rFonts w:hint="cs"/>
          <w:sz w:val="27"/>
          <w:rtl/>
          <w:lang w:bidi="ar-IQ"/>
        </w:rPr>
        <w:t xml:space="preserve"> غير متلقّى</w:t>
      </w:r>
      <w:r w:rsidR="00A95620" w:rsidRPr="006571AC">
        <w:rPr>
          <w:rFonts w:hint="cs"/>
          <w:sz w:val="27"/>
          <w:rtl/>
          <w:lang w:bidi="ar-IQ"/>
        </w:rPr>
        <w:t>ً</w:t>
      </w:r>
      <w:r w:rsidRPr="006571AC">
        <w:rPr>
          <w:rFonts w:hint="cs"/>
          <w:sz w:val="27"/>
          <w:rtl/>
          <w:lang w:bidi="ar-IQ"/>
        </w:rPr>
        <w:t xml:space="preserve"> من الشارع</w:t>
      </w:r>
      <w:r w:rsidR="00A95620" w:rsidRPr="006571AC">
        <w:rPr>
          <w:rFonts w:hint="cs"/>
          <w:sz w:val="27"/>
          <w:rtl/>
          <w:lang w:bidi="ar-IQ"/>
        </w:rPr>
        <w:t>،</w:t>
      </w:r>
      <w:r w:rsidRPr="006571AC">
        <w:rPr>
          <w:rFonts w:hint="cs"/>
          <w:sz w:val="27"/>
          <w:rtl/>
          <w:lang w:bidi="ar-IQ"/>
        </w:rPr>
        <w:t xml:space="preserve"> فليس بحقيقة</w:t>
      </w:r>
      <w:r w:rsidR="00A95620" w:rsidRPr="006571AC">
        <w:rPr>
          <w:rFonts w:hint="cs"/>
          <w:sz w:val="27"/>
          <w:rtl/>
          <w:lang w:bidi="ar-IQ"/>
        </w:rPr>
        <w:t>ٍ</w:t>
      </w:r>
      <w:r w:rsidRPr="006571AC">
        <w:rPr>
          <w:rFonts w:hint="cs"/>
          <w:sz w:val="27"/>
          <w:rtl/>
          <w:lang w:bidi="ar-IQ"/>
        </w:rPr>
        <w:t xml:space="preserve"> شرعية، فيجوز أ</w:t>
      </w:r>
      <w:r w:rsidRPr="006571AC">
        <w:rPr>
          <w:sz w:val="27"/>
          <w:rtl/>
          <w:lang w:bidi="ar-IQ"/>
        </w:rPr>
        <w:t xml:space="preserve">ن </w:t>
      </w:r>
      <w:r w:rsidRPr="006571AC">
        <w:rPr>
          <w:rFonts w:hint="cs"/>
          <w:sz w:val="27"/>
          <w:rtl/>
          <w:lang w:bidi="ar-IQ"/>
        </w:rPr>
        <w:t>ي</w:t>
      </w:r>
      <w:r w:rsidRPr="006571AC">
        <w:rPr>
          <w:rFonts w:hint="eastAsia"/>
          <w:sz w:val="27"/>
          <w:rtl/>
          <w:lang w:bidi="ar-IQ"/>
        </w:rPr>
        <w:t>كون</w:t>
      </w:r>
      <w:r w:rsidRPr="006571AC">
        <w:rPr>
          <w:sz w:val="27"/>
          <w:rtl/>
          <w:lang w:bidi="ar-IQ"/>
        </w:rPr>
        <w:t xml:space="preserve"> تعر</w:t>
      </w:r>
      <w:r w:rsidRPr="006571AC">
        <w:rPr>
          <w:rFonts w:hint="cs"/>
          <w:sz w:val="27"/>
          <w:rtl/>
          <w:lang w:bidi="ar-IQ"/>
        </w:rPr>
        <w:t>ي</w:t>
      </w:r>
      <w:r w:rsidRPr="006571AC">
        <w:rPr>
          <w:rFonts w:hint="eastAsia"/>
          <w:sz w:val="27"/>
          <w:rtl/>
          <w:lang w:bidi="ar-IQ"/>
        </w:rPr>
        <w:t>فا</w:t>
      </w:r>
      <w:r w:rsidRPr="006571AC">
        <w:rPr>
          <w:rFonts w:hint="cs"/>
          <w:sz w:val="27"/>
          <w:rtl/>
          <w:lang w:bidi="ar-IQ"/>
        </w:rPr>
        <w:t>ً</w:t>
      </w:r>
      <w:r w:rsidRPr="006571AC">
        <w:rPr>
          <w:sz w:val="27"/>
          <w:rtl/>
          <w:lang w:bidi="ar-IQ"/>
        </w:rPr>
        <w:t xml:space="preserve"> للمت</w:t>
      </w:r>
      <w:r w:rsidR="00A95620" w:rsidRPr="006571AC">
        <w:rPr>
          <w:rFonts w:hint="cs"/>
          <w:sz w:val="27"/>
          <w:rtl/>
          <w:lang w:bidi="ar-IQ"/>
        </w:rPr>
        <w:t>َّ</w:t>
      </w:r>
      <w:r w:rsidRPr="006571AC">
        <w:rPr>
          <w:sz w:val="27"/>
          <w:rtl/>
          <w:lang w:bidi="ar-IQ"/>
        </w:rPr>
        <w:t>فق عل</w:t>
      </w:r>
      <w:r w:rsidRPr="006571AC">
        <w:rPr>
          <w:rFonts w:hint="cs"/>
          <w:sz w:val="27"/>
          <w:rtl/>
          <w:lang w:bidi="ar-IQ"/>
        </w:rPr>
        <w:t>ي</w:t>
      </w:r>
      <w:r w:rsidRPr="006571AC">
        <w:rPr>
          <w:rFonts w:hint="eastAsia"/>
          <w:sz w:val="27"/>
          <w:rtl/>
          <w:lang w:bidi="ar-IQ"/>
        </w:rPr>
        <w:t>ه</w:t>
      </w:r>
      <w:r w:rsidRPr="006571AC">
        <w:rPr>
          <w:sz w:val="27"/>
          <w:rtl/>
          <w:lang w:bidi="ar-IQ"/>
        </w:rPr>
        <w:t xml:space="preserve"> ب</w:t>
      </w:r>
      <w:r w:rsidRPr="006571AC">
        <w:rPr>
          <w:rFonts w:hint="cs"/>
          <w:sz w:val="27"/>
          <w:rtl/>
          <w:lang w:bidi="ar-IQ"/>
        </w:rPr>
        <w:t>ي</w:t>
      </w:r>
      <w:r w:rsidRPr="006571AC">
        <w:rPr>
          <w:rFonts w:hint="eastAsia"/>
          <w:sz w:val="27"/>
          <w:rtl/>
          <w:lang w:bidi="ar-IQ"/>
        </w:rPr>
        <w:t>ن</w:t>
      </w:r>
      <w:r w:rsidRPr="006571AC">
        <w:rPr>
          <w:sz w:val="27"/>
          <w:rtl/>
          <w:lang w:bidi="ar-IQ"/>
        </w:rPr>
        <w:t xml:space="preserve"> المسلم</w:t>
      </w:r>
      <w:r w:rsidRPr="006571AC">
        <w:rPr>
          <w:rFonts w:hint="cs"/>
          <w:sz w:val="27"/>
          <w:rtl/>
          <w:lang w:bidi="ar-IQ"/>
        </w:rPr>
        <w:t>ي</w:t>
      </w:r>
      <w:r w:rsidRPr="006571AC">
        <w:rPr>
          <w:rFonts w:hint="eastAsia"/>
          <w:sz w:val="27"/>
          <w:rtl/>
          <w:lang w:bidi="ar-IQ"/>
        </w:rPr>
        <w:t>ن</w:t>
      </w:r>
      <w:r w:rsidR="00A95620" w:rsidRPr="006571AC">
        <w:rPr>
          <w:rFonts w:hint="cs"/>
          <w:sz w:val="27"/>
          <w:rtl/>
          <w:lang w:bidi="ar-IQ"/>
        </w:rPr>
        <w:t>.</w:t>
      </w:r>
      <w:r w:rsidRPr="006571AC">
        <w:rPr>
          <w:sz w:val="27"/>
          <w:rtl/>
          <w:lang w:bidi="ar-IQ"/>
        </w:rPr>
        <w:t xml:space="preserve"> و</w:t>
      </w:r>
      <w:r w:rsidRPr="006571AC">
        <w:rPr>
          <w:rFonts w:hint="cs"/>
          <w:sz w:val="27"/>
          <w:rtl/>
          <w:lang w:bidi="ar-IQ"/>
        </w:rPr>
        <w:t>ي</w:t>
      </w:r>
      <w:r w:rsidRPr="006571AC">
        <w:rPr>
          <w:rFonts w:hint="eastAsia"/>
          <w:sz w:val="27"/>
          <w:rtl/>
          <w:lang w:bidi="ar-IQ"/>
        </w:rPr>
        <w:t>ظهر</w:t>
      </w:r>
      <w:r w:rsidRPr="006571AC">
        <w:rPr>
          <w:sz w:val="27"/>
          <w:rtl/>
          <w:lang w:bidi="ar-IQ"/>
        </w:rPr>
        <w:t xml:space="preserve"> من</w:t>
      </w:r>
      <w:r w:rsidRPr="006571AC">
        <w:rPr>
          <w:rFonts w:hint="cs"/>
          <w:sz w:val="27"/>
          <w:rtl/>
          <w:lang w:bidi="ar-IQ"/>
        </w:rPr>
        <w:t xml:space="preserve"> </w:t>
      </w:r>
      <w:r w:rsidRPr="006571AC">
        <w:rPr>
          <w:sz w:val="27"/>
          <w:rtl/>
          <w:lang w:bidi="ar-IQ"/>
        </w:rPr>
        <w:t>فخر</w:t>
      </w:r>
      <w:r w:rsidRPr="006571AC">
        <w:rPr>
          <w:rFonts w:hint="cs"/>
          <w:sz w:val="27"/>
          <w:rtl/>
          <w:lang w:bidi="ar-IQ"/>
        </w:rPr>
        <w:t xml:space="preserve"> </w:t>
      </w:r>
      <w:r w:rsidRPr="006571AC">
        <w:rPr>
          <w:sz w:val="27"/>
          <w:rtl/>
          <w:lang w:bidi="ar-IQ"/>
        </w:rPr>
        <w:t>ا</w:t>
      </w:r>
      <w:r w:rsidRPr="006571AC">
        <w:rPr>
          <w:rFonts w:hint="cs"/>
          <w:sz w:val="27"/>
          <w:rtl/>
          <w:lang w:bidi="ar-IQ"/>
        </w:rPr>
        <w:t>لإ</w:t>
      </w:r>
      <w:r w:rsidRPr="006571AC">
        <w:rPr>
          <w:sz w:val="27"/>
          <w:rtl/>
          <w:lang w:bidi="ar-IQ"/>
        </w:rPr>
        <w:t>س</w:t>
      </w:r>
      <w:r w:rsidRPr="006571AC">
        <w:rPr>
          <w:rFonts w:hint="cs"/>
          <w:sz w:val="27"/>
          <w:rtl/>
          <w:lang w:bidi="ar-IQ"/>
        </w:rPr>
        <w:t>لا</w:t>
      </w:r>
      <w:r w:rsidRPr="006571AC">
        <w:rPr>
          <w:sz w:val="27"/>
          <w:rtl/>
          <w:lang w:bidi="ar-IQ"/>
        </w:rPr>
        <w:t>م</w:t>
      </w:r>
      <w:r w:rsidR="00A95620" w:rsidRPr="006571AC">
        <w:rPr>
          <w:rFonts w:hint="cs"/>
          <w:sz w:val="27"/>
          <w:rtl/>
          <w:lang w:bidi="ar-IQ"/>
        </w:rPr>
        <w:t xml:space="preserve">، </w:t>
      </w:r>
      <w:r w:rsidRPr="006571AC">
        <w:rPr>
          <w:sz w:val="27"/>
          <w:rtl/>
          <w:lang w:bidi="ar-IQ"/>
        </w:rPr>
        <w:t>كما هو</w:t>
      </w:r>
      <w:r w:rsidRPr="006571AC">
        <w:rPr>
          <w:rFonts w:hint="cs"/>
          <w:sz w:val="27"/>
          <w:rtl/>
          <w:lang w:bidi="ar-IQ"/>
        </w:rPr>
        <w:t xml:space="preserve"> </w:t>
      </w:r>
      <w:r w:rsidRPr="006571AC">
        <w:rPr>
          <w:sz w:val="27"/>
          <w:rtl/>
          <w:lang w:bidi="ar-IQ"/>
        </w:rPr>
        <w:t>صر</w:t>
      </w:r>
      <w:r w:rsidRPr="006571AC">
        <w:rPr>
          <w:rFonts w:hint="cs"/>
          <w:sz w:val="27"/>
          <w:rtl/>
          <w:lang w:bidi="ar-IQ"/>
        </w:rPr>
        <w:t>ي</w:t>
      </w:r>
      <w:r w:rsidRPr="006571AC">
        <w:rPr>
          <w:rFonts w:hint="eastAsia"/>
          <w:sz w:val="27"/>
          <w:rtl/>
          <w:lang w:bidi="ar-IQ"/>
        </w:rPr>
        <w:t>ح</w:t>
      </w:r>
      <w:r w:rsidRPr="006571AC">
        <w:rPr>
          <w:sz w:val="27"/>
          <w:rtl/>
          <w:lang w:bidi="ar-IQ"/>
        </w:rPr>
        <w:t xml:space="preserve"> الفاضل المقداد والقط</w:t>
      </w:r>
      <w:r w:rsidRPr="006571AC">
        <w:rPr>
          <w:rFonts w:hint="cs"/>
          <w:sz w:val="27"/>
          <w:rtl/>
          <w:lang w:bidi="ar-IQ"/>
        </w:rPr>
        <w:t>ي</w:t>
      </w:r>
      <w:r w:rsidRPr="006571AC">
        <w:rPr>
          <w:rFonts w:hint="eastAsia"/>
          <w:sz w:val="27"/>
          <w:rtl/>
          <w:lang w:bidi="ar-IQ"/>
        </w:rPr>
        <w:t>ف</w:t>
      </w:r>
      <w:r w:rsidRPr="006571AC">
        <w:rPr>
          <w:rFonts w:hint="cs"/>
          <w:sz w:val="27"/>
          <w:rtl/>
          <w:lang w:bidi="ar-IQ"/>
        </w:rPr>
        <w:t>ي</w:t>
      </w:r>
      <w:r w:rsidR="00A95620" w:rsidRPr="006571AC">
        <w:rPr>
          <w:rFonts w:hint="cs"/>
          <w:sz w:val="27"/>
          <w:rtl/>
          <w:lang w:bidi="ar-IQ"/>
        </w:rPr>
        <w:t>،</w:t>
      </w:r>
      <w:r w:rsidRPr="006571AC">
        <w:rPr>
          <w:sz w:val="27"/>
          <w:rtl/>
          <w:lang w:bidi="ar-IQ"/>
        </w:rPr>
        <w:t xml:space="preserve"> الجواب ب</w:t>
      </w:r>
      <w:r w:rsidRPr="006571AC">
        <w:rPr>
          <w:rFonts w:hint="cs"/>
          <w:sz w:val="27"/>
          <w:rtl/>
          <w:lang w:bidi="ar-IQ"/>
        </w:rPr>
        <w:t>أ</w:t>
      </w:r>
      <w:r w:rsidRPr="006571AC">
        <w:rPr>
          <w:sz w:val="27"/>
          <w:rtl/>
          <w:lang w:bidi="ar-IQ"/>
        </w:rPr>
        <w:t xml:space="preserve">نهم </w:t>
      </w:r>
      <w:r w:rsidRPr="006571AC">
        <w:rPr>
          <w:rFonts w:hint="cs"/>
          <w:sz w:val="27"/>
          <w:rtl/>
          <w:lang w:bidi="ar-IQ"/>
        </w:rPr>
        <w:t>أ</w:t>
      </w:r>
      <w:r w:rsidRPr="006571AC">
        <w:rPr>
          <w:sz w:val="27"/>
          <w:rtl/>
          <w:lang w:bidi="ar-IQ"/>
        </w:rPr>
        <w:t>شاروا بهذا التعر</w:t>
      </w:r>
      <w:r w:rsidRPr="006571AC">
        <w:rPr>
          <w:rFonts w:hint="cs"/>
          <w:sz w:val="27"/>
          <w:rtl/>
          <w:lang w:bidi="ar-IQ"/>
        </w:rPr>
        <w:t>ي</w:t>
      </w:r>
      <w:r w:rsidRPr="006571AC">
        <w:rPr>
          <w:rFonts w:hint="eastAsia"/>
          <w:sz w:val="27"/>
          <w:rtl/>
          <w:lang w:bidi="ar-IQ"/>
        </w:rPr>
        <w:t>ف</w:t>
      </w:r>
      <w:r w:rsidRPr="006571AC">
        <w:rPr>
          <w:sz w:val="27"/>
          <w:rtl/>
          <w:lang w:bidi="ar-IQ"/>
        </w:rPr>
        <w:t xml:space="preserve"> </w:t>
      </w:r>
      <w:r w:rsidRPr="006571AC">
        <w:rPr>
          <w:rFonts w:hint="cs"/>
          <w:sz w:val="27"/>
          <w:rtl/>
          <w:lang w:bidi="ar-IQ"/>
        </w:rPr>
        <w:t>إ</w:t>
      </w:r>
      <w:r w:rsidRPr="006571AC">
        <w:rPr>
          <w:sz w:val="27"/>
          <w:rtl/>
          <w:lang w:bidi="ar-IQ"/>
        </w:rPr>
        <w:t>ل</w:t>
      </w:r>
      <w:r w:rsidRPr="006571AC">
        <w:rPr>
          <w:rFonts w:ascii="Times New Roman" w:hAnsi="Times New Roman" w:hint="cs"/>
          <w:sz w:val="27"/>
          <w:rtl/>
          <w:lang w:bidi="ar-IQ"/>
        </w:rPr>
        <w:t>ى</w:t>
      </w:r>
      <w:r w:rsidRPr="006571AC">
        <w:rPr>
          <w:sz w:val="27"/>
          <w:rtl/>
          <w:lang w:bidi="ar-IQ"/>
        </w:rPr>
        <w:t xml:space="preserve"> </w:t>
      </w:r>
      <w:r w:rsidRPr="006571AC">
        <w:rPr>
          <w:rFonts w:hint="cs"/>
          <w:sz w:val="27"/>
          <w:rtl/>
          <w:lang w:bidi="ar-IQ"/>
        </w:rPr>
        <w:t>أ</w:t>
      </w:r>
      <w:r w:rsidRPr="006571AC">
        <w:rPr>
          <w:sz w:val="27"/>
          <w:rtl/>
          <w:lang w:bidi="ar-IQ"/>
        </w:rPr>
        <w:t>ن الغرض ا</w:t>
      </w:r>
      <w:r w:rsidRPr="006571AC">
        <w:rPr>
          <w:rFonts w:hint="cs"/>
          <w:sz w:val="27"/>
          <w:rtl/>
          <w:lang w:bidi="ar-IQ"/>
        </w:rPr>
        <w:t>لأ</w:t>
      </w:r>
      <w:r w:rsidRPr="006571AC">
        <w:rPr>
          <w:sz w:val="27"/>
          <w:rtl/>
          <w:lang w:bidi="ar-IQ"/>
        </w:rPr>
        <w:t>قص</w:t>
      </w:r>
      <w:r w:rsidRPr="006571AC">
        <w:rPr>
          <w:rFonts w:ascii="Times New Roman" w:hAnsi="Times New Roman" w:hint="cs"/>
          <w:sz w:val="27"/>
          <w:rtl/>
          <w:lang w:bidi="ar-IQ"/>
        </w:rPr>
        <w:t>ى</w:t>
      </w:r>
      <w:r w:rsidRPr="006571AC">
        <w:rPr>
          <w:sz w:val="27"/>
          <w:rtl/>
          <w:lang w:bidi="ar-IQ"/>
        </w:rPr>
        <w:t xml:space="preserve"> منه غالبا</w:t>
      </w:r>
      <w:r w:rsidRPr="006571AC">
        <w:rPr>
          <w:rFonts w:hint="cs"/>
          <w:sz w:val="27"/>
          <w:rtl/>
          <w:lang w:bidi="ar-IQ"/>
        </w:rPr>
        <w:t>ً</w:t>
      </w:r>
      <w:r w:rsidRPr="006571AC">
        <w:rPr>
          <w:sz w:val="27"/>
          <w:rtl/>
          <w:lang w:bidi="ar-IQ"/>
        </w:rPr>
        <w:t xml:space="preserve"> رفع الخصومة</w:t>
      </w:r>
      <w:r w:rsidR="005A3BD6" w:rsidRPr="006571AC">
        <w:rPr>
          <w:rFonts w:hint="cs"/>
          <w:sz w:val="27"/>
          <w:rtl/>
          <w:lang w:bidi="ar-IQ"/>
        </w:rPr>
        <w:t xml:space="preserve">، </w:t>
      </w:r>
      <w:r w:rsidRPr="006571AC">
        <w:rPr>
          <w:sz w:val="27"/>
          <w:rtl/>
          <w:lang w:bidi="ar-IQ"/>
        </w:rPr>
        <w:t>سواء تقد</w:t>
      </w:r>
      <w:r w:rsidR="005A3BD6" w:rsidRPr="006571AC">
        <w:rPr>
          <w:rFonts w:hint="cs"/>
          <w:sz w:val="27"/>
          <w:rtl/>
          <w:lang w:bidi="ar-IQ"/>
        </w:rPr>
        <w:t>َّ</w:t>
      </w:r>
      <w:r w:rsidRPr="006571AC">
        <w:rPr>
          <w:sz w:val="27"/>
          <w:rtl/>
          <w:lang w:bidi="ar-IQ"/>
        </w:rPr>
        <w:t xml:space="preserve">مت </w:t>
      </w:r>
      <w:r w:rsidRPr="006571AC">
        <w:rPr>
          <w:rFonts w:hint="cs"/>
          <w:sz w:val="27"/>
          <w:rtl/>
          <w:lang w:bidi="ar-IQ"/>
        </w:rPr>
        <w:t>أ</w:t>
      </w:r>
      <w:r w:rsidRPr="006571AC">
        <w:rPr>
          <w:sz w:val="27"/>
          <w:rtl/>
          <w:lang w:bidi="ar-IQ"/>
        </w:rPr>
        <w:t xml:space="preserve">م </w:t>
      </w:r>
      <w:r w:rsidRPr="006571AC">
        <w:rPr>
          <w:rFonts w:hint="cs"/>
          <w:sz w:val="27"/>
          <w:rtl/>
          <w:lang w:bidi="ar-IQ"/>
        </w:rPr>
        <w:t>لا</w:t>
      </w:r>
      <w:r w:rsidR="005A3BD6" w:rsidRPr="006571AC">
        <w:rPr>
          <w:rFonts w:hint="cs"/>
          <w:sz w:val="27"/>
          <w:rtl/>
          <w:lang w:bidi="ar-IQ"/>
        </w:rPr>
        <w:t>،</w:t>
      </w:r>
      <w:r w:rsidRPr="006571AC">
        <w:rPr>
          <w:sz w:val="27"/>
          <w:rtl/>
          <w:lang w:bidi="ar-IQ"/>
        </w:rPr>
        <w:t xml:space="preserve"> ح</w:t>
      </w:r>
      <w:r w:rsidRPr="006571AC">
        <w:rPr>
          <w:rFonts w:hint="cs"/>
          <w:sz w:val="27"/>
          <w:rtl/>
          <w:lang w:bidi="ar-IQ"/>
        </w:rPr>
        <w:t>ي</w:t>
      </w:r>
      <w:r w:rsidRPr="006571AC">
        <w:rPr>
          <w:rFonts w:hint="eastAsia"/>
          <w:sz w:val="27"/>
          <w:rtl/>
          <w:lang w:bidi="ar-IQ"/>
        </w:rPr>
        <w:t>ث</w:t>
      </w:r>
      <w:r w:rsidRPr="006571AC">
        <w:rPr>
          <w:sz w:val="27"/>
          <w:rtl/>
          <w:lang w:bidi="ar-IQ"/>
        </w:rPr>
        <w:t xml:space="preserve"> </w:t>
      </w:r>
      <w:r w:rsidRPr="006571AC">
        <w:rPr>
          <w:rFonts w:hint="cs"/>
          <w:sz w:val="27"/>
          <w:rtl/>
          <w:lang w:bidi="ar-IQ"/>
        </w:rPr>
        <w:t>ي</w:t>
      </w:r>
      <w:r w:rsidRPr="006571AC">
        <w:rPr>
          <w:rFonts w:hint="eastAsia"/>
          <w:sz w:val="27"/>
          <w:rtl/>
          <w:lang w:bidi="ar-IQ"/>
        </w:rPr>
        <w:t>قد</w:t>
      </w:r>
      <w:r w:rsidR="005A3BD6" w:rsidRPr="006571AC">
        <w:rPr>
          <w:rFonts w:hint="cs"/>
          <w:sz w:val="27"/>
          <w:rtl/>
          <w:lang w:bidi="ar-IQ"/>
        </w:rPr>
        <w:t>َّ</w:t>
      </w:r>
      <w:r w:rsidRPr="006571AC">
        <w:rPr>
          <w:rFonts w:hint="eastAsia"/>
          <w:sz w:val="27"/>
          <w:rtl/>
          <w:lang w:bidi="ar-IQ"/>
        </w:rPr>
        <w:t>ر</w:t>
      </w:r>
      <w:r w:rsidRPr="006571AC">
        <w:rPr>
          <w:sz w:val="27"/>
          <w:rtl/>
          <w:lang w:bidi="ar-IQ"/>
        </w:rPr>
        <w:t xml:space="preserve"> </w:t>
      </w:r>
      <w:r w:rsidRPr="006571AC">
        <w:rPr>
          <w:rFonts w:hint="cs"/>
          <w:sz w:val="27"/>
          <w:rtl/>
          <w:lang w:bidi="ar-IQ"/>
        </w:rPr>
        <w:t>أ</w:t>
      </w:r>
      <w:r w:rsidRPr="006571AC">
        <w:rPr>
          <w:sz w:val="27"/>
          <w:rtl/>
          <w:lang w:bidi="ar-IQ"/>
        </w:rPr>
        <w:t>نه لو</w:t>
      </w:r>
      <w:r w:rsidRPr="006571AC">
        <w:rPr>
          <w:rFonts w:hint="cs"/>
          <w:sz w:val="27"/>
          <w:rtl/>
          <w:lang w:bidi="ar-IQ"/>
        </w:rPr>
        <w:t>لا</w:t>
      </w:r>
      <w:r w:rsidRPr="006571AC">
        <w:rPr>
          <w:sz w:val="27"/>
          <w:rtl/>
          <w:lang w:bidi="ar-IQ"/>
        </w:rPr>
        <w:t>ه لحصل</w:t>
      </w:r>
      <w:r w:rsidR="005A3BD6" w:rsidRPr="006571AC">
        <w:rPr>
          <w:rFonts w:hint="cs"/>
          <w:sz w:val="27"/>
          <w:rtl/>
          <w:lang w:bidi="ar-IQ"/>
        </w:rPr>
        <w:t>َ</w:t>
      </w:r>
      <w:r w:rsidRPr="006571AC">
        <w:rPr>
          <w:sz w:val="27"/>
          <w:rtl/>
          <w:lang w:bidi="ar-IQ"/>
        </w:rPr>
        <w:t>ت</w:t>
      </w:r>
      <w:r w:rsidR="005A3BD6" w:rsidRPr="006571AC">
        <w:rPr>
          <w:rFonts w:hint="cs"/>
          <w:sz w:val="27"/>
          <w:rtl/>
          <w:lang w:bidi="ar-IQ"/>
        </w:rPr>
        <w:t>ْ،</w:t>
      </w:r>
      <w:r w:rsidRPr="006571AC">
        <w:rPr>
          <w:sz w:val="27"/>
          <w:rtl/>
          <w:lang w:bidi="ar-IQ"/>
        </w:rPr>
        <w:t xml:space="preserve"> كالصلح عل</w:t>
      </w:r>
      <w:r w:rsidRPr="006571AC">
        <w:rPr>
          <w:rFonts w:ascii="Times New Roman" w:hAnsi="Times New Roman" w:hint="cs"/>
          <w:sz w:val="27"/>
          <w:rtl/>
          <w:lang w:bidi="ar-IQ"/>
        </w:rPr>
        <w:t>ى</w:t>
      </w:r>
      <w:r w:rsidRPr="006571AC">
        <w:rPr>
          <w:sz w:val="27"/>
          <w:rtl/>
          <w:lang w:bidi="ar-IQ"/>
        </w:rPr>
        <w:t xml:space="preserve"> الع</w:t>
      </w:r>
      <w:r w:rsidRPr="006571AC">
        <w:rPr>
          <w:rFonts w:hint="cs"/>
          <w:sz w:val="27"/>
          <w:rtl/>
          <w:lang w:bidi="ar-IQ"/>
        </w:rPr>
        <w:t>ي</w:t>
      </w:r>
      <w:r w:rsidRPr="006571AC">
        <w:rPr>
          <w:rFonts w:hint="eastAsia"/>
          <w:sz w:val="27"/>
          <w:rtl/>
          <w:lang w:bidi="ar-IQ"/>
        </w:rPr>
        <w:t>ن</w:t>
      </w:r>
      <w:r w:rsidRPr="006571AC">
        <w:rPr>
          <w:sz w:val="27"/>
          <w:rtl/>
          <w:lang w:bidi="ar-IQ"/>
        </w:rPr>
        <w:t xml:space="preserve"> المجهول</w:t>
      </w:r>
      <w:r w:rsidRPr="006571AC">
        <w:rPr>
          <w:rFonts w:hint="cs"/>
          <w:sz w:val="27"/>
          <w:rtl/>
          <w:lang w:bidi="ar-IQ"/>
        </w:rPr>
        <w:t>ة</w:t>
      </w:r>
      <w:r w:rsidRPr="006571AC">
        <w:rPr>
          <w:sz w:val="27"/>
          <w:rtl/>
          <w:lang w:bidi="ar-IQ"/>
        </w:rPr>
        <w:t xml:space="preserve"> للمتصالح</w:t>
      </w:r>
      <w:r w:rsidRPr="006571AC">
        <w:rPr>
          <w:rFonts w:hint="cs"/>
          <w:sz w:val="27"/>
          <w:rtl/>
          <w:lang w:bidi="ar-IQ"/>
        </w:rPr>
        <w:t>ي</w:t>
      </w:r>
      <w:r w:rsidRPr="006571AC">
        <w:rPr>
          <w:rFonts w:hint="eastAsia"/>
          <w:sz w:val="27"/>
          <w:rtl/>
          <w:lang w:bidi="ar-IQ"/>
        </w:rPr>
        <w:t>ن</w:t>
      </w:r>
      <w:r w:rsidR="005A3BD6" w:rsidRPr="006571AC">
        <w:rPr>
          <w:rFonts w:hint="cs"/>
          <w:sz w:val="27"/>
          <w:rtl/>
          <w:lang w:bidi="ar-IQ"/>
        </w:rPr>
        <w:t>؛</w:t>
      </w:r>
      <w:r w:rsidRPr="006571AC">
        <w:rPr>
          <w:sz w:val="27"/>
          <w:rtl/>
          <w:lang w:bidi="ar-IQ"/>
        </w:rPr>
        <w:t xml:space="preserve"> ف</w:t>
      </w:r>
      <w:r w:rsidRPr="006571AC">
        <w:rPr>
          <w:rFonts w:hint="cs"/>
          <w:sz w:val="27"/>
          <w:rtl/>
          <w:lang w:bidi="ar-IQ"/>
        </w:rPr>
        <w:t>إ</w:t>
      </w:r>
      <w:r w:rsidRPr="006571AC">
        <w:rPr>
          <w:sz w:val="27"/>
          <w:rtl/>
          <w:lang w:bidi="ar-IQ"/>
        </w:rPr>
        <w:t>ن النزا</w:t>
      </w:r>
      <w:r w:rsidRPr="006571AC">
        <w:rPr>
          <w:rFonts w:hint="cs"/>
          <w:sz w:val="27"/>
          <w:rtl/>
          <w:lang w:bidi="ar-IQ"/>
        </w:rPr>
        <w:t>ع</w:t>
      </w:r>
      <w:r w:rsidRPr="006571AC">
        <w:rPr>
          <w:sz w:val="27"/>
          <w:rtl/>
          <w:lang w:bidi="ar-IQ"/>
        </w:rPr>
        <w:t xml:space="preserve"> </w:t>
      </w:r>
      <w:r w:rsidRPr="006571AC">
        <w:rPr>
          <w:rFonts w:hint="cs"/>
          <w:sz w:val="27"/>
          <w:rtl/>
          <w:lang w:bidi="ar-IQ"/>
        </w:rPr>
        <w:t>ي</w:t>
      </w:r>
      <w:r w:rsidRPr="006571AC">
        <w:rPr>
          <w:rFonts w:hint="eastAsia"/>
          <w:sz w:val="27"/>
          <w:rtl/>
          <w:lang w:bidi="ar-IQ"/>
        </w:rPr>
        <w:t>حصل</w:t>
      </w:r>
      <w:r w:rsidRPr="006571AC">
        <w:rPr>
          <w:sz w:val="27"/>
          <w:rtl/>
          <w:lang w:bidi="ar-IQ"/>
        </w:rPr>
        <w:t xml:space="preserve"> غالبا</w:t>
      </w:r>
      <w:r w:rsidRPr="006571AC">
        <w:rPr>
          <w:rFonts w:hint="cs"/>
          <w:sz w:val="27"/>
          <w:rtl/>
          <w:lang w:bidi="ar-IQ"/>
        </w:rPr>
        <w:t>ً</w:t>
      </w:r>
      <w:r w:rsidRPr="006571AC">
        <w:rPr>
          <w:sz w:val="27"/>
          <w:rtl/>
          <w:lang w:bidi="ar-IQ"/>
        </w:rPr>
        <w:t xml:space="preserve"> لو</w:t>
      </w:r>
      <w:r w:rsidRPr="006571AC">
        <w:rPr>
          <w:rFonts w:hint="cs"/>
          <w:sz w:val="27"/>
          <w:rtl/>
          <w:lang w:bidi="ar-IQ"/>
        </w:rPr>
        <w:t>لا</w:t>
      </w:r>
      <w:r w:rsidRPr="006571AC">
        <w:rPr>
          <w:sz w:val="27"/>
          <w:rtl/>
          <w:lang w:bidi="ar-IQ"/>
        </w:rPr>
        <w:t xml:space="preserve"> عقد الصلح</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48"/>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لقد تمّ</w:t>
      </w:r>
      <w:r w:rsidR="005A3BD6" w:rsidRPr="006571AC">
        <w:rPr>
          <w:rFonts w:hint="cs"/>
          <w:sz w:val="27"/>
          <w:rtl/>
          <w:lang w:bidi="ar-IQ"/>
        </w:rPr>
        <w:t>َ</w:t>
      </w:r>
      <w:r w:rsidRPr="006571AC">
        <w:rPr>
          <w:rFonts w:hint="cs"/>
          <w:sz w:val="27"/>
          <w:rtl/>
          <w:lang w:bidi="ar-IQ"/>
        </w:rPr>
        <w:t>ت</w:t>
      </w:r>
      <w:r w:rsidR="005A3BD6" w:rsidRPr="006571AC">
        <w:rPr>
          <w:rFonts w:hint="cs"/>
          <w:sz w:val="27"/>
          <w:rtl/>
          <w:lang w:bidi="ar-IQ"/>
        </w:rPr>
        <w:t>ْ</w:t>
      </w:r>
      <w:r w:rsidRPr="006571AC">
        <w:rPr>
          <w:rFonts w:hint="cs"/>
          <w:sz w:val="27"/>
          <w:rtl/>
          <w:lang w:bidi="ar-IQ"/>
        </w:rPr>
        <w:t xml:space="preserve"> الإشارة في كلام سماحته إلى عدد</w:t>
      </w:r>
      <w:r w:rsidR="005A3BD6" w:rsidRPr="006571AC">
        <w:rPr>
          <w:rFonts w:hint="cs"/>
          <w:sz w:val="27"/>
          <w:rtl/>
          <w:lang w:bidi="ar-IQ"/>
        </w:rPr>
        <w:t>ٍ</w:t>
      </w:r>
      <w:r w:rsidRPr="006571AC">
        <w:rPr>
          <w:rFonts w:hint="cs"/>
          <w:sz w:val="27"/>
          <w:rtl/>
          <w:lang w:bidi="ar-IQ"/>
        </w:rPr>
        <w:t xml:space="preserve"> من النقاط: </w:t>
      </w:r>
    </w:p>
    <w:p w:rsidR="00381A52" w:rsidRPr="006571AC" w:rsidRDefault="00381A52" w:rsidP="00552C10">
      <w:pPr>
        <w:rPr>
          <w:sz w:val="27"/>
          <w:rtl/>
          <w:lang w:bidi="ar-IQ"/>
        </w:rPr>
      </w:pPr>
      <w:r w:rsidRPr="006571AC">
        <w:rPr>
          <w:rFonts w:hint="cs"/>
          <w:b/>
          <w:bCs/>
          <w:sz w:val="27"/>
          <w:rtl/>
          <w:lang w:bidi="ar-IQ"/>
        </w:rPr>
        <w:t>النقطة الأولى</w:t>
      </w:r>
      <w:r w:rsidRPr="006571AC">
        <w:rPr>
          <w:rFonts w:hint="cs"/>
          <w:sz w:val="27"/>
          <w:rtl/>
          <w:lang w:bidi="ar-IQ"/>
        </w:rPr>
        <w:t>: إن التع</w:t>
      </w:r>
      <w:r w:rsidR="005A3BD6" w:rsidRPr="006571AC">
        <w:rPr>
          <w:rFonts w:hint="cs"/>
          <w:sz w:val="27"/>
          <w:rtl/>
          <w:lang w:bidi="ar-IQ"/>
        </w:rPr>
        <w:t>ريفات</w:t>
      </w:r>
      <w:r w:rsidRPr="006571AC">
        <w:rPr>
          <w:rFonts w:hint="cs"/>
          <w:sz w:val="27"/>
          <w:rtl/>
          <w:lang w:bidi="ar-IQ"/>
        </w:rPr>
        <w:t xml:space="preserve"> المنقولة عن الفقهاء المتقد</w:t>
      </w:r>
      <w:r w:rsidR="005A3BD6" w:rsidRPr="006571AC">
        <w:rPr>
          <w:rFonts w:hint="cs"/>
          <w:sz w:val="27"/>
          <w:rtl/>
          <w:lang w:bidi="ar-IQ"/>
        </w:rPr>
        <w:t>ِّ</w:t>
      </w:r>
      <w:r w:rsidRPr="006571AC">
        <w:rPr>
          <w:rFonts w:hint="cs"/>
          <w:sz w:val="27"/>
          <w:rtl/>
          <w:lang w:bidi="ar-IQ"/>
        </w:rPr>
        <w:t>مين، والتي تمّ</w:t>
      </w:r>
      <w:r w:rsidR="005A3BD6" w:rsidRPr="006571AC">
        <w:rPr>
          <w:rFonts w:hint="cs"/>
          <w:sz w:val="27"/>
          <w:rtl/>
          <w:lang w:bidi="ar-IQ"/>
        </w:rPr>
        <w:t>َ</w:t>
      </w:r>
      <w:r w:rsidRPr="006571AC">
        <w:rPr>
          <w:rFonts w:hint="cs"/>
          <w:sz w:val="27"/>
          <w:rtl/>
          <w:lang w:bidi="ar-IQ"/>
        </w:rPr>
        <w:t>ت</w:t>
      </w:r>
      <w:r w:rsidR="005A3BD6" w:rsidRPr="006571AC">
        <w:rPr>
          <w:rFonts w:hint="cs"/>
          <w:sz w:val="27"/>
          <w:rtl/>
          <w:lang w:bidi="ar-IQ"/>
        </w:rPr>
        <w:t>ْ</w:t>
      </w:r>
      <w:r w:rsidRPr="006571AC">
        <w:rPr>
          <w:rFonts w:hint="cs"/>
          <w:sz w:val="27"/>
          <w:rtl/>
          <w:lang w:bidi="ar-IQ"/>
        </w:rPr>
        <w:t xml:space="preserve"> الإشارة فيها إلى مشروعية الصلح من أجل قطع النزاع والخصومة، ليس</w:t>
      </w:r>
      <w:r w:rsidR="005A3BD6" w:rsidRPr="006571AC">
        <w:rPr>
          <w:rFonts w:hint="cs"/>
          <w:sz w:val="27"/>
          <w:rtl/>
          <w:lang w:bidi="ar-IQ"/>
        </w:rPr>
        <w:t>ت</w:t>
      </w:r>
      <w:r w:rsidRPr="006571AC">
        <w:rPr>
          <w:rFonts w:hint="cs"/>
          <w:sz w:val="27"/>
          <w:rtl/>
          <w:lang w:bidi="ar-IQ"/>
        </w:rPr>
        <w:t xml:space="preserve"> </w:t>
      </w:r>
      <w:r w:rsidR="005A3BD6" w:rsidRPr="006571AC">
        <w:rPr>
          <w:rFonts w:hint="cs"/>
          <w:sz w:val="27"/>
          <w:rtl/>
          <w:lang w:bidi="ar-IQ"/>
        </w:rPr>
        <w:t>تعريفاتٍ</w:t>
      </w:r>
      <w:r w:rsidRPr="006571AC">
        <w:rPr>
          <w:rFonts w:hint="cs"/>
          <w:sz w:val="27"/>
          <w:rtl/>
          <w:lang w:bidi="ar-IQ"/>
        </w:rPr>
        <w:t xml:space="preserve"> صادر</w:t>
      </w:r>
      <w:r w:rsidR="005A3BD6" w:rsidRPr="006571AC">
        <w:rPr>
          <w:rFonts w:hint="cs"/>
          <w:sz w:val="27"/>
          <w:rtl/>
          <w:lang w:bidi="ar-IQ"/>
        </w:rPr>
        <w:t>ةً</w:t>
      </w:r>
      <w:r w:rsidRPr="006571AC">
        <w:rPr>
          <w:rFonts w:hint="cs"/>
          <w:sz w:val="27"/>
          <w:rtl/>
          <w:lang w:bidi="ar-IQ"/>
        </w:rPr>
        <w:t xml:space="preserve"> من ق</w:t>
      </w:r>
      <w:r w:rsidR="005A3BD6" w:rsidRPr="006571AC">
        <w:rPr>
          <w:rFonts w:hint="cs"/>
          <w:sz w:val="27"/>
          <w:rtl/>
          <w:lang w:bidi="ar-IQ"/>
        </w:rPr>
        <w:t>ِ</w:t>
      </w:r>
      <w:r w:rsidRPr="006571AC">
        <w:rPr>
          <w:rFonts w:hint="cs"/>
          <w:sz w:val="27"/>
          <w:rtl/>
          <w:lang w:bidi="ar-IQ"/>
        </w:rPr>
        <w:t>ب</w:t>
      </w:r>
      <w:r w:rsidR="005A3BD6" w:rsidRPr="006571AC">
        <w:rPr>
          <w:rFonts w:hint="cs"/>
          <w:sz w:val="27"/>
          <w:rtl/>
          <w:lang w:bidi="ar-IQ"/>
        </w:rPr>
        <w:t>َ</w:t>
      </w:r>
      <w:r w:rsidRPr="006571AC">
        <w:rPr>
          <w:rFonts w:hint="cs"/>
          <w:sz w:val="27"/>
          <w:rtl/>
          <w:lang w:bidi="ar-IQ"/>
        </w:rPr>
        <w:t>ل الشارع المقدّ</w:t>
      </w:r>
      <w:r w:rsidR="005A3BD6" w:rsidRPr="006571AC">
        <w:rPr>
          <w:rFonts w:hint="cs"/>
          <w:sz w:val="27"/>
          <w:rtl/>
          <w:lang w:bidi="ar-IQ"/>
        </w:rPr>
        <w:t>َ</w:t>
      </w:r>
      <w:r w:rsidRPr="006571AC">
        <w:rPr>
          <w:rFonts w:hint="cs"/>
          <w:sz w:val="27"/>
          <w:rtl/>
          <w:lang w:bidi="ar-IQ"/>
        </w:rPr>
        <w:t>س، بل ه</w:t>
      </w:r>
      <w:r w:rsidR="005A3BD6" w:rsidRPr="006571AC">
        <w:rPr>
          <w:rFonts w:hint="cs"/>
          <w:sz w:val="27"/>
          <w:rtl/>
          <w:lang w:bidi="ar-IQ"/>
        </w:rPr>
        <w:t>ي</w:t>
      </w:r>
      <w:r w:rsidRPr="006571AC">
        <w:rPr>
          <w:rFonts w:hint="cs"/>
          <w:sz w:val="27"/>
          <w:rtl/>
          <w:lang w:bidi="ar-IQ"/>
        </w:rPr>
        <w:t xml:space="preserve"> </w:t>
      </w:r>
      <w:r w:rsidR="005A3BD6" w:rsidRPr="006571AC">
        <w:rPr>
          <w:rFonts w:hint="cs"/>
          <w:sz w:val="27"/>
          <w:rtl/>
          <w:lang w:bidi="ar-IQ"/>
        </w:rPr>
        <w:t>تعريفاتٌ</w:t>
      </w:r>
      <w:r w:rsidRPr="006571AC">
        <w:rPr>
          <w:rFonts w:hint="cs"/>
          <w:sz w:val="27"/>
          <w:rtl/>
          <w:lang w:bidi="ar-IQ"/>
        </w:rPr>
        <w:t xml:space="preserve"> مذكور</w:t>
      </w:r>
      <w:r w:rsidR="005A3BD6" w:rsidRPr="006571AC">
        <w:rPr>
          <w:rFonts w:hint="cs"/>
          <w:sz w:val="27"/>
          <w:rtl/>
          <w:lang w:bidi="ar-IQ"/>
        </w:rPr>
        <w:t>ةٌ</w:t>
      </w:r>
      <w:r w:rsidRPr="006571AC">
        <w:rPr>
          <w:rFonts w:hint="cs"/>
          <w:sz w:val="27"/>
          <w:rtl/>
          <w:lang w:bidi="ar-IQ"/>
        </w:rPr>
        <w:t xml:space="preserve"> من ق</w:t>
      </w:r>
      <w:r w:rsidR="005A3BD6" w:rsidRPr="006571AC">
        <w:rPr>
          <w:rFonts w:hint="cs"/>
          <w:sz w:val="27"/>
          <w:rtl/>
          <w:lang w:bidi="ar-IQ"/>
        </w:rPr>
        <w:t>ِ</w:t>
      </w:r>
      <w:r w:rsidRPr="006571AC">
        <w:rPr>
          <w:rFonts w:hint="cs"/>
          <w:sz w:val="27"/>
          <w:rtl/>
          <w:lang w:bidi="ar-IQ"/>
        </w:rPr>
        <w:t>ب</w:t>
      </w:r>
      <w:r w:rsidR="005A3BD6" w:rsidRPr="006571AC">
        <w:rPr>
          <w:rFonts w:hint="cs"/>
          <w:sz w:val="27"/>
          <w:rtl/>
          <w:lang w:bidi="ar-IQ"/>
        </w:rPr>
        <w:t>َ</w:t>
      </w:r>
      <w:r w:rsidRPr="006571AC">
        <w:rPr>
          <w:rFonts w:hint="cs"/>
          <w:sz w:val="27"/>
          <w:rtl/>
          <w:lang w:bidi="ar-IQ"/>
        </w:rPr>
        <w:t>ل الفقهاء</w:t>
      </w:r>
      <w:r w:rsidR="005A3BD6" w:rsidRPr="006571AC">
        <w:rPr>
          <w:rFonts w:hint="cs"/>
          <w:sz w:val="27"/>
          <w:rtl/>
          <w:lang w:bidi="ar-IQ"/>
        </w:rPr>
        <w:t>،</w:t>
      </w:r>
      <w:r w:rsidRPr="006571AC">
        <w:rPr>
          <w:rFonts w:hint="cs"/>
          <w:sz w:val="27"/>
          <w:rtl/>
          <w:lang w:bidi="ar-IQ"/>
        </w:rPr>
        <w:t xml:space="preserve"> حيث كانوا يسع</w:t>
      </w:r>
      <w:r w:rsidR="005A3BD6" w:rsidRPr="006571AC">
        <w:rPr>
          <w:rFonts w:hint="cs"/>
          <w:sz w:val="27"/>
          <w:rtl/>
          <w:lang w:bidi="ar-IQ"/>
        </w:rPr>
        <w:t>َ</w:t>
      </w:r>
      <w:r w:rsidRPr="006571AC">
        <w:rPr>
          <w:rFonts w:hint="cs"/>
          <w:sz w:val="27"/>
          <w:rtl/>
          <w:lang w:bidi="ar-IQ"/>
        </w:rPr>
        <w:t>و</w:t>
      </w:r>
      <w:r w:rsidR="005A3BD6" w:rsidRPr="006571AC">
        <w:rPr>
          <w:rFonts w:hint="cs"/>
          <w:sz w:val="27"/>
          <w:rtl/>
          <w:lang w:bidi="ar-IQ"/>
        </w:rPr>
        <w:t>ْ</w:t>
      </w:r>
      <w:r w:rsidRPr="006571AC">
        <w:rPr>
          <w:rFonts w:hint="cs"/>
          <w:sz w:val="27"/>
          <w:rtl/>
          <w:lang w:bidi="ar-IQ"/>
        </w:rPr>
        <w:t>ن إلى تعريف العقود المت</w:t>
      </w:r>
      <w:r w:rsidR="005A3BD6" w:rsidRPr="006571AC">
        <w:rPr>
          <w:rFonts w:hint="cs"/>
          <w:sz w:val="27"/>
          <w:rtl/>
          <w:lang w:bidi="ar-IQ"/>
        </w:rPr>
        <w:t>َّ</w:t>
      </w:r>
      <w:r w:rsidRPr="006571AC">
        <w:rPr>
          <w:rFonts w:hint="cs"/>
          <w:sz w:val="27"/>
          <w:rtl/>
          <w:lang w:bidi="ar-IQ"/>
        </w:rPr>
        <w:t>فق عليها من ق</w:t>
      </w:r>
      <w:r w:rsidR="005A3BD6" w:rsidRPr="006571AC">
        <w:rPr>
          <w:rFonts w:hint="cs"/>
          <w:sz w:val="27"/>
          <w:rtl/>
          <w:lang w:bidi="ar-IQ"/>
        </w:rPr>
        <w:t>ِ</w:t>
      </w:r>
      <w:r w:rsidRPr="006571AC">
        <w:rPr>
          <w:rFonts w:hint="cs"/>
          <w:sz w:val="27"/>
          <w:rtl/>
          <w:lang w:bidi="ar-IQ"/>
        </w:rPr>
        <w:t>ب</w:t>
      </w:r>
      <w:r w:rsidR="005A3BD6" w:rsidRPr="006571AC">
        <w:rPr>
          <w:rFonts w:hint="cs"/>
          <w:sz w:val="27"/>
          <w:rtl/>
          <w:lang w:bidi="ar-IQ"/>
        </w:rPr>
        <w:t>َ</w:t>
      </w:r>
      <w:r w:rsidRPr="006571AC">
        <w:rPr>
          <w:rFonts w:hint="cs"/>
          <w:sz w:val="27"/>
          <w:rtl/>
          <w:lang w:bidi="ar-IQ"/>
        </w:rPr>
        <w:t>ل جميع المسلمين ـ من الشيعة وأهل السن</w:t>
      </w:r>
      <w:r w:rsidR="005A3BD6" w:rsidRPr="006571AC">
        <w:rPr>
          <w:rFonts w:hint="cs"/>
          <w:sz w:val="27"/>
          <w:rtl/>
          <w:lang w:bidi="ar-IQ"/>
        </w:rPr>
        <w:t>ّ</w:t>
      </w:r>
      <w:r w:rsidRPr="006571AC">
        <w:rPr>
          <w:rFonts w:hint="cs"/>
          <w:sz w:val="27"/>
          <w:rtl/>
          <w:lang w:bidi="ar-IQ"/>
        </w:rPr>
        <w:t>ة ـ</w:t>
      </w:r>
      <w:r w:rsidR="005A3BD6" w:rsidRPr="006571AC">
        <w:rPr>
          <w:rFonts w:hint="cs"/>
          <w:sz w:val="27"/>
          <w:rtl/>
          <w:lang w:bidi="ar-IQ"/>
        </w:rPr>
        <w:t>،</w:t>
      </w:r>
      <w:r w:rsidRPr="006571AC">
        <w:rPr>
          <w:rFonts w:hint="cs"/>
          <w:sz w:val="27"/>
          <w:rtl/>
          <w:lang w:bidi="ar-IQ"/>
        </w:rPr>
        <w:t xml:space="preserve"> والمت</w:t>
      </w:r>
      <w:r w:rsidR="005A3BD6" w:rsidRPr="006571AC">
        <w:rPr>
          <w:rFonts w:hint="cs"/>
          <w:sz w:val="27"/>
          <w:rtl/>
          <w:lang w:bidi="ar-IQ"/>
        </w:rPr>
        <w:t>َّ</w:t>
      </w:r>
      <w:r w:rsidRPr="006571AC">
        <w:rPr>
          <w:rFonts w:hint="cs"/>
          <w:sz w:val="27"/>
          <w:rtl/>
          <w:lang w:bidi="ar-IQ"/>
        </w:rPr>
        <w:t>فق عليه من ق</w:t>
      </w:r>
      <w:r w:rsidR="005A3BD6" w:rsidRPr="006571AC">
        <w:rPr>
          <w:rFonts w:hint="cs"/>
          <w:sz w:val="27"/>
          <w:rtl/>
          <w:lang w:bidi="ar-IQ"/>
        </w:rPr>
        <w:t>ِ</w:t>
      </w:r>
      <w:r w:rsidRPr="006571AC">
        <w:rPr>
          <w:rFonts w:hint="cs"/>
          <w:sz w:val="27"/>
          <w:rtl/>
          <w:lang w:bidi="ar-IQ"/>
        </w:rPr>
        <w:t>ب</w:t>
      </w:r>
      <w:r w:rsidR="005A3BD6" w:rsidRPr="006571AC">
        <w:rPr>
          <w:rFonts w:hint="cs"/>
          <w:sz w:val="27"/>
          <w:rtl/>
          <w:lang w:bidi="ar-IQ"/>
        </w:rPr>
        <w:t>َ</w:t>
      </w:r>
      <w:r w:rsidRPr="006571AC">
        <w:rPr>
          <w:rFonts w:hint="cs"/>
          <w:sz w:val="27"/>
          <w:rtl/>
          <w:lang w:bidi="ar-IQ"/>
        </w:rPr>
        <w:t>ل جميع المسلمين هو الصلح من أجل رفع النزاع والخصومة، إلا</w:t>
      </w:r>
      <w:r w:rsidR="005A3BD6" w:rsidRPr="006571AC">
        <w:rPr>
          <w:rFonts w:hint="cs"/>
          <w:sz w:val="27"/>
          <w:rtl/>
          <w:lang w:bidi="ar-IQ"/>
        </w:rPr>
        <w:t>ّ</w:t>
      </w:r>
      <w:r w:rsidRPr="006571AC">
        <w:rPr>
          <w:rFonts w:hint="cs"/>
          <w:sz w:val="27"/>
          <w:rtl/>
          <w:lang w:bidi="ar-IQ"/>
        </w:rPr>
        <w:t xml:space="preserve"> أن هذا الأمر لا يدلّ على ح</w:t>
      </w:r>
      <w:r w:rsidR="00065CA5" w:rsidRPr="006571AC">
        <w:rPr>
          <w:rFonts w:hint="cs"/>
          <w:sz w:val="27"/>
          <w:rtl/>
          <w:lang w:bidi="ar-IQ"/>
        </w:rPr>
        <w:t>َ</w:t>
      </w:r>
      <w:r w:rsidRPr="006571AC">
        <w:rPr>
          <w:rFonts w:hint="cs"/>
          <w:sz w:val="27"/>
          <w:rtl/>
          <w:lang w:bidi="ar-IQ"/>
        </w:rPr>
        <w:t>ص</w:t>
      </w:r>
      <w:r w:rsidR="00065CA5" w:rsidRPr="006571AC">
        <w:rPr>
          <w:rFonts w:hint="cs"/>
          <w:sz w:val="27"/>
          <w:rtl/>
          <w:lang w:bidi="ar-IQ"/>
        </w:rPr>
        <w:t>ْ</w:t>
      </w:r>
      <w:r w:rsidRPr="006571AC">
        <w:rPr>
          <w:rFonts w:hint="cs"/>
          <w:sz w:val="27"/>
          <w:rtl/>
          <w:lang w:bidi="ar-IQ"/>
        </w:rPr>
        <w:t xml:space="preserve">ر مورد الصلح في الموارد المسبوقة بالنزاع والخصومة. </w:t>
      </w:r>
    </w:p>
    <w:p w:rsidR="00381A52" w:rsidRPr="006571AC" w:rsidRDefault="00381A52" w:rsidP="00552C10">
      <w:pPr>
        <w:rPr>
          <w:sz w:val="27"/>
          <w:rtl/>
          <w:lang w:bidi="ar-IQ"/>
        </w:rPr>
      </w:pPr>
      <w:r w:rsidRPr="006571AC">
        <w:rPr>
          <w:rFonts w:hint="cs"/>
          <w:b/>
          <w:bCs/>
          <w:sz w:val="27"/>
          <w:rtl/>
          <w:lang w:bidi="ar-IQ"/>
        </w:rPr>
        <w:t>النقطة الثانية</w:t>
      </w:r>
      <w:r w:rsidRPr="006571AC">
        <w:rPr>
          <w:rFonts w:hint="cs"/>
          <w:sz w:val="27"/>
          <w:rtl/>
          <w:lang w:bidi="ar-IQ"/>
        </w:rPr>
        <w:t xml:space="preserve">: إن الإشارة إلى جهة قطع النزاع والخصومة إنما هي لمجرّد الإشارة إلى الموارد الغالبة، وبسبب عدم الحاجة لم يُشيروا إلى الموارد النادرة وغير المسبوقة بالنزاع والخصومة، </w:t>
      </w:r>
      <w:r w:rsidR="00731867" w:rsidRPr="006571AC">
        <w:rPr>
          <w:rFonts w:hint="cs"/>
          <w:sz w:val="27"/>
          <w:rtl/>
          <w:lang w:bidi="ar-IQ"/>
        </w:rPr>
        <w:t>بَيْدَ</w:t>
      </w:r>
      <w:r w:rsidRPr="006571AC">
        <w:rPr>
          <w:rFonts w:hint="cs"/>
          <w:sz w:val="27"/>
          <w:rtl/>
          <w:lang w:bidi="ar-IQ"/>
        </w:rPr>
        <w:t xml:space="preserve"> أن الفقهاء أخذو</w:t>
      </w:r>
      <w:r w:rsidR="005A3BD6" w:rsidRPr="006571AC">
        <w:rPr>
          <w:rFonts w:hint="cs"/>
          <w:sz w:val="27"/>
          <w:rtl/>
          <w:lang w:bidi="ar-IQ"/>
        </w:rPr>
        <w:t>ا</w:t>
      </w:r>
      <w:r w:rsidRPr="006571AC">
        <w:rPr>
          <w:rFonts w:hint="cs"/>
          <w:sz w:val="27"/>
          <w:rtl/>
          <w:lang w:bidi="ar-IQ"/>
        </w:rPr>
        <w:t xml:space="preserve"> بعد ذلك شيئاً فشيئاً ـ بسبب اتساع دائرة الاحتياجات البشري</w:t>
      </w:r>
      <w:r w:rsidR="005A3BD6" w:rsidRPr="006571AC">
        <w:rPr>
          <w:rFonts w:hint="cs"/>
          <w:sz w:val="27"/>
          <w:rtl/>
          <w:lang w:bidi="ar-IQ"/>
        </w:rPr>
        <w:t>ّ</w:t>
      </w:r>
      <w:r w:rsidRPr="006571AC">
        <w:rPr>
          <w:rFonts w:hint="cs"/>
          <w:sz w:val="27"/>
          <w:rtl/>
          <w:lang w:bidi="ar-IQ"/>
        </w:rPr>
        <w:t>ة، وحلّ الكثير من المعضلات الفقهي</w:t>
      </w:r>
      <w:r w:rsidR="005A3BD6" w:rsidRPr="006571AC">
        <w:rPr>
          <w:rFonts w:hint="cs"/>
          <w:sz w:val="27"/>
          <w:rtl/>
          <w:lang w:bidi="ar-IQ"/>
        </w:rPr>
        <w:t>ّ</w:t>
      </w:r>
      <w:r w:rsidRPr="006571AC">
        <w:rPr>
          <w:rFonts w:hint="cs"/>
          <w:sz w:val="27"/>
          <w:rtl/>
          <w:lang w:bidi="ar-IQ"/>
        </w:rPr>
        <w:t>ة والشرعي</w:t>
      </w:r>
      <w:r w:rsidR="005A3BD6" w:rsidRPr="006571AC">
        <w:rPr>
          <w:rFonts w:hint="cs"/>
          <w:sz w:val="27"/>
          <w:rtl/>
          <w:lang w:bidi="ar-IQ"/>
        </w:rPr>
        <w:t>ّ</w:t>
      </w:r>
      <w:r w:rsidRPr="006571AC">
        <w:rPr>
          <w:rFonts w:hint="cs"/>
          <w:sz w:val="27"/>
          <w:rtl/>
          <w:lang w:bidi="ar-IQ"/>
        </w:rPr>
        <w:t>ة في المعاملات بواسطة الصلح ـ يشعرون بالحاجة إلى عدم طرح مسألة لزوم سبق الخصومة والنزاع في الصلح. وعلى هذا الأساس لا يمكن اعتبار عدم ذكر هذه المسألة في كلمات الفقهاء المتقد</w:t>
      </w:r>
      <w:r w:rsidR="005A3BD6" w:rsidRPr="006571AC">
        <w:rPr>
          <w:rFonts w:hint="cs"/>
          <w:sz w:val="27"/>
          <w:rtl/>
          <w:lang w:bidi="ar-IQ"/>
        </w:rPr>
        <w:t>ِّ</w:t>
      </w:r>
      <w:r w:rsidRPr="006571AC">
        <w:rPr>
          <w:rFonts w:hint="cs"/>
          <w:sz w:val="27"/>
          <w:rtl/>
          <w:lang w:bidi="ar-IQ"/>
        </w:rPr>
        <w:t>مين أو مجرّد الخ</w:t>
      </w:r>
      <w:r w:rsidR="00065CA5" w:rsidRPr="006571AC">
        <w:rPr>
          <w:rFonts w:hint="cs"/>
          <w:sz w:val="27"/>
          <w:rtl/>
          <w:lang w:bidi="ar-IQ"/>
        </w:rPr>
        <w:t>َ</w:t>
      </w:r>
      <w:r w:rsidRPr="006571AC">
        <w:rPr>
          <w:rFonts w:hint="cs"/>
          <w:sz w:val="27"/>
          <w:rtl/>
          <w:lang w:bidi="ar-IQ"/>
        </w:rPr>
        <w:t>و</w:t>
      </w:r>
      <w:r w:rsidR="00065CA5" w:rsidRPr="006571AC">
        <w:rPr>
          <w:rFonts w:hint="cs"/>
          <w:sz w:val="27"/>
          <w:rtl/>
          <w:lang w:bidi="ar-IQ"/>
        </w:rPr>
        <w:t>ْ</w:t>
      </w:r>
      <w:r w:rsidRPr="006571AC">
        <w:rPr>
          <w:rFonts w:hint="cs"/>
          <w:sz w:val="27"/>
          <w:rtl/>
          <w:lang w:bidi="ar-IQ"/>
        </w:rPr>
        <w:t>ض في طرح الفروع والمسائل التي يوجد فيها نزاع</w:t>
      </w:r>
      <w:r w:rsidR="005A3BD6" w:rsidRPr="006571AC">
        <w:rPr>
          <w:rFonts w:hint="cs"/>
          <w:sz w:val="27"/>
          <w:rtl/>
          <w:lang w:bidi="ar-IQ"/>
        </w:rPr>
        <w:t>ٌ</w:t>
      </w:r>
      <w:r w:rsidRPr="006571AC">
        <w:rPr>
          <w:rFonts w:hint="cs"/>
          <w:sz w:val="27"/>
          <w:rtl/>
          <w:lang w:bidi="ar-IQ"/>
        </w:rPr>
        <w:t xml:space="preserve"> وخصومة أو يحتمل ذلك، مخالفة</w:t>
      </w:r>
      <w:r w:rsidR="005A3BD6" w:rsidRPr="006571AC">
        <w:rPr>
          <w:rFonts w:hint="cs"/>
          <w:sz w:val="27"/>
          <w:rtl/>
          <w:lang w:bidi="ar-IQ"/>
        </w:rPr>
        <w:t>ً</w:t>
      </w:r>
      <w:r w:rsidRPr="006571AC">
        <w:rPr>
          <w:rFonts w:hint="cs"/>
          <w:sz w:val="27"/>
          <w:rtl/>
          <w:lang w:bidi="ar-IQ"/>
        </w:rPr>
        <w:t xml:space="preserve"> للإجماع، ومن هنا فإن الإشكال الذي ذكره صاحب مقالة (الصلح الابتدائي) على التمسّ</w:t>
      </w:r>
      <w:r w:rsidR="005A3BD6" w:rsidRPr="006571AC">
        <w:rPr>
          <w:rFonts w:hint="cs"/>
          <w:sz w:val="27"/>
          <w:rtl/>
          <w:lang w:bidi="ar-IQ"/>
        </w:rPr>
        <w:t>ُ</w:t>
      </w:r>
      <w:r w:rsidRPr="006571AC">
        <w:rPr>
          <w:rFonts w:hint="cs"/>
          <w:sz w:val="27"/>
          <w:rtl/>
          <w:lang w:bidi="ar-IQ"/>
        </w:rPr>
        <w:t>ك بالإجماع لا يكون وارداً</w:t>
      </w:r>
      <w:r w:rsidRPr="006571AC">
        <w:rPr>
          <w:sz w:val="27"/>
          <w:vertAlign w:val="superscript"/>
          <w:rtl/>
          <w:lang w:bidi="ar-IQ"/>
        </w:rPr>
        <w:t>(</w:t>
      </w:r>
      <w:r w:rsidRPr="006571AC">
        <w:rPr>
          <w:rStyle w:val="ac"/>
          <w:sz w:val="27"/>
          <w:rtl/>
          <w:lang w:bidi="ar-IQ"/>
        </w:rPr>
        <w:endnoteReference w:id="249"/>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أجل، قد يُش</w:t>
      </w:r>
      <w:r w:rsidR="005A3BD6" w:rsidRPr="006571AC">
        <w:rPr>
          <w:rFonts w:hint="cs"/>
          <w:sz w:val="27"/>
          <w:rtl/>
          <w:lang w:bidi="ar-IQ"/>
        </w:rPr>
        <w:t>ْ</w:t>
      </w:r>
      <w:r w:rsidRPr="006571AC">
        <w:rPr>
          <w:rFonts w:hint="cs"/>
          <w:sz w:val="27"/>
          <w:rtl/>
          <w:lang w:bidi="ar-IQ"/>
        </w:rPr>
        <w:t>ك</w:t>
      </w:r>
      <w:r w:rsidR="005A3BD6" w:rsidRPr="006571AC">
        <w:rPr>
          <w:rFonts w:hint="cs"/>
          <w:sz w:val="27"/>
          <w:rtl/>
          <w:lang w:bidi="ar-IQ"/>
        </w:rPr>
        <w:t>َ</w:t>
      </w:r>
      <w:r w:rsidRPr="006571AC">
        <w:rPr>
          <w:rFonts w:hint="cs"/>
          <w:sz w:val="27"/>
          <w:rtl/>
          <w:lang w:bidi="ar-IQ"/>
        </w:rPr>
        <w:t xml:space="preserve">ل بأن هذا النوع من الإجماع إنما هو من الإجماع المنقول، والمعروف بين الأصوليين هو عدم اعتبار الإجماع المنقول؛ لأن مباني الكشف عن رأي </w:t>
      </w:r>
      <w:r w:rsidRPr="006571AC">
        <w:rPr>
          <w:rFonts w:hint="cs"/>
          <w:sz w:val="27"/>
          <w:rtl/>
          <w:lang w:bidi="ar-IQ"/>
        </w:rPr>
        <w:lastRenderedPageBreak/>
        <w:t>المعصوم في تحصيل الإجماع مخت</w:t>
      </w:r>
      <w:r w:rsidR="00B40FA5" w:rsidRPr="006571AC">
        <w:rPr>
          <w:rFonts w:hint="cs"/>
          <w:sz w:val="27"/>
          <w:rtl/>
          <w:lang w:bidi="ar-IQ"/>
        </w:rPr>
        <w:t>َ</w:t>
      </w:r>
      <w:r w:rsidRPr="006571AC">
        <w:rPr>
          <w:rFonts w:hint="cs"/>
          <w:sz w:val="27"/>
          <w:rtl/>
          <w:lang w:bidi="ar-IQ"/>
        </w:rPr>
        <w:t>ل</w:t>
      </w:r>
      <w:r w:rsidR="00B40FA5" w:rsidRPr="006571AC">
        <w:rPr>
          <w:rFonts w:hint="cs"/>
          <w:sz w:val="27"/>
          <w:rtl/>
          <w:lang w:bidi="ar-IQ"/>
        </w:rPr>
        <w:t>َ</w:t>
      </w:r>
      <w:r w:rsidRPr="006571AC">
        <w:rPr>
          <w:rFonts w:hint="cs"/>
          <w:sz w:val="27"/>
          <w:rtl/>
          <w:lang w:bidi="ar-IQ"/>
        </w:rPr>
        <w:t>ف</w:t>
      </w:r>
      <w:r w:rsidR="00B40FA5" w:rsidRPr="006571AC">
        <w:rPr>
          <w:rFonts w:hint="cs"/>
          <w:sz w:val="27"/>
          <w:rtl/>
          <w:lang w:bidi="ar-IQ"/>
        </w:rPr>
        <w:t>ٌ</w:t>
      </w:r>
      <w:r w:rsidRPr="006571AC">
        <w:rPr>
          <w:rFonts w:hint="cs"/>
          <w:sz w:val="27"/>
          <w:rtl/>
          <w:lang w:bidi="ar-IQ"/>
        </w:rPr>
        <w:t xml:space="preserve"> فيها بين العلماء، فر</w:t>
      </w:r>
      <w:r w:rsidR="00B40FA5" w:rsidRPr="006571AC">
        <w:rPr>
          <w:rFonts w:hint="cs"/>
          <w:sz w:val="27"/>
          <w:rtl/>
          <w:lang w:bidi="ar-IQ"/>
        </w:rPr>
        <w:t>ُ</w:t>
      </w:r>
      <w:r w:rsidRPr="006571AC">
        <w:rPr>
          <w:rFonts w:hint="cs"/>
          <w:sz w:val="27"/>
          <w:rtl/>
          <w:lang w:bidi="ar-IQ"/>
        </w:rPr>
        <w:t>ب</w:t>
      </w:r>
      <w:r w:rsidR="00B40FA5" w:rsidRPr="006571AC">
        <w:rPr>
          <w:rFonts w:hint="cs"/>
          <w:sz w:val="27"/>
          <w:rtl/>
          <w:lang w:bidi="ar-IQ"/>
        </w:rPr>
        <w:t>َ</w:t>
      </w:r>
      <w:r w:rsidRPr="006571AC">
        <w:rPr>
          <w:rFonts w:hint="cs"/>
          <w:sz w:val="27"/>
          <w:rtl/>
          <w:lang w:bidi="ar-IQ"/>
        </w:rPr>
        <w:t>ما كان اتفاق</w:t>
      </w:r>
      <w:r w:rsidR="00B40FA5" w:rsidRPr="006571AC">
        <w:rPr>
          <w:rFonts w:hint="cs"/>
          <w:sz w:val="27"/>
          <w:rtl/>
          <w:lang w:bidi="ar-IQ"/>
        </w:rPr>
        <w:t>ُ</w:t>
      </w:r>
      <w:r w:rsidRPr="006571AC">
        <w:rPr>
          <w:rFonts w:hint="cs"/>
          <w:sz w:val="27"/>
          <w:rtl/>
          <w:lang w:bidi="ar-IQ"/>
        </w:rPr>
        <w:t xml:space="preserve"> جماعة</w:t>
      </w:r>
      <w:r w:rsidR="00B40FA5" w:rsidRPr="006571AC">
        <w:rPr>
          <w:rFonts w:hint="cs"/>
          <w:sz w:val="27"/>
          <w:rtl/>
          <w:lang w:bidi="ar-IQ"/>
        </w:rPr>
        <w:t>ٍ</w:t>
      </w:r>
      <w:r w:rsidRPr="006571AC">
        <w:rPr>
          <w:rFonts w:hint="cs"/>
          <w:sz w:val="27"/>
          <w:rtl/>
          <w:lang w:bidi="ar-IQ"/>
        </w:rPr>
        <w:t xml:space="preserve"> من الفقهاء عند فقيه</w:t>
      </w:r>
      <w:r w:rsidR="00B40FA5" w:rsidRPr="006571AC">
        <w:rPr>
          <w:rFonts w:hint="cs"/>
          <w:sz w:val="27"/>
          <w:rtl/>
          <w:lang w:bidi="ar-IQ"/>
        </w:rPr>
        <w:t>ٍ</w:t>
      </w:r>
      <w:r w:rsidRPr="006571AC">
        <w:rPr>
          <w:rFonts w:hint="cs"/>
          <w:sz w:val="27"/>
          <w:rtl/>
          <w:lang w:bidi="ar-IQ"/>
        </w:rPr>
        <w:t xml:space="preserve"> ملازماً للكشف عن رأي المعصوم، ولا يكون عند فقيه</w:t>
      </w:r>
      <w:r w:rsidR="00B40FA5" w:rsidRPr="006571AC">
        <w:rPr>
          <w:rFonts w:hint="cs"/>
          <w:sz w:val="27"/>
          <w:rtl/>
          <w:lang w:bidi="ar-IQ"/>
        </w:rPr>
        <w:t>ٍ</w:t>
      </w:r>
      <w:r w:rsidRPr="006571AC">
        <w:rPr>
          <w:rFonts w:hint="cs"/>
          <w:sz w:val="27"/>
          <w:rtl/>
          <w:lang w:bidi="ar-IQ"/>
        </w:rPr>
        <w:t xml:space="preserve"> آخر ـ لم يُنقل له هذا الاتفاق ـ</w:t>
      </w:r>
      <w:r w:rsidRPr="006571AC">
        <w:rPr>
          <w:sz w:val="27"/>
          <w:rtl/>
        </w:rPr>
        <w:t xml:space="preserve"> </w:t>
      </w:r>
      <w:r w:rsidRPr="006571AC">
        <w:rPr>
          <w:sz w:val="27"/>
          <w:rtl/>
          <w:lang w:bidi="ar-IQ"/>
        </w:rPr>
        <w:t>ملازماً للكشف عن رأي المعصوم</w:t>
      </w:r>
      <w:r w:rsidRPr="006571AC">
        <w:rPr>
          <w:rFonts w:hint="cs"/>
          <w:sz w:val="27"/>
          <w:rtl/>
          <w:lang w:bidi="ar-IQ"/>
        </w:rPr>
        <w:t>. إلا</w:t>
      </w:r>
      <w:r w:rsidR="00B40FA5" w:rsidRPr="006571AC">
        <w:rPr>
          <w:rFonts w:hint="cs"/>
          <w:sz w:val="27"/>
          <w:rtl/>
          <w:lang w:bidi="ar-IQ"/>
        </w:rPr>
        <w:t>ّ</w:t>
      </w:r>
      <w:r w:rsidRPr="006571AC">
        <w:rPr>
          <w:rFonts w:hint="cs"/>
          <w:sz w:val="27"/>
          <w:rtl/>
          <w:lang w:bidi="ar-IQ"/>
        </w:rPr>
        <w:t xml:space="preserve"> أن هذا الإشكال ب</w:t>
      </w:r>
      <w:r w:rsidR="00EA38F1" w:rsidRPr="006571AC">
        <w:rPr>
          <w:rFonts w:hint="cs"/>
          <w:sz w:val="27"/>
          <w:rtl/>
          <w:lang w:bidi="ar-IQ"/>
        </w:rPr>
        <w:t>دَوْر</w:t>
      </w:r>
      <w:r w:rsidRPr="006571AC">
        <w:rPr>
          <w:rFonts w:hint="cs"/>
          <w:sz w:val="27"/>
          <w:rtl/>
          <w:lang w:bidi="ar-IQ"/>
        </w:rPr>
        <w:t>ه يمكن الإجابة عنه بالقول: يبدو أن هذا النوع من نقل الإجماع</w:t>
      </w:r>
      <w:r w:rsidR="00065CA5" w:rsidRPr="006571AC">
        <w:rPr>
          <w:rFonts w:hint="cs"/>
          <w:sz w:val="27"/>
          <w:rtl/>
          <w:lang w:bidi="ar-IQ"/>
        </w:rPr>
        <w:t>؛</w:t>
      </w:r>
      <w:r w:rsidRPr="006571AC">
        <w:rPr>
          <w:rFonts w:hint="cs"/>
          <w:sz w:val="27"/>
          <w:rtl/>
          <w:lang w:bidi="ar-IQ"/>
        </w:rPr>
        <w:t xml:space="preserve"> بسبب الت</w:t>
      </w:r>
      <w:r w:rsidR="00B40FA5" w:rsidRPr="006571AC">
        <w:rPr>
          <w:rFonts w:hint="cs"/>
          <w:sz w:val="27"/>
          <w:rtl/>
          <w:lang w:bidi="ar-IQ"/>
        </w:rPr>
        <w:t>ض</w:t>
      </w:r>
      <w:r w:rsidRPr="006571AC">
        <w:rPr>
          <w:rFonts w:hint="cs"/>
          <w:sz w:val="27"/>
          <w:rtl/>
          <w:lang w:bidi="ar-IQ"/>
        </w:rPr>
        <w:t>افر في نقله ـ كما اد</w:t>
      </w:r>
      <w:r w:rsidR="00B40FA5" w:rsidRPr="006571AC">
        <w:rPr>
          <w:rFonts w:hint="cs"/>
          <w:sz w:val="27"/>
          <w:rtl/>
          <w:lang w:bidi="ar-IQ"/>
        </w:rPr>
        <w:t>َّ</w:t>
      </w:r>
      <w:r w:rsidRPr="006571AC">
        <w:rPr>
          <w:rFonts w:hint="cs"/>
          <w:sz w:val="27"/>
          <w:rtl/>
          <w:lang w:bidi="ar-IQ"/>
        </w:rPr>
        <w:t>عى السيد الطباطبائي في الرياض ـ</w:t>
      </w:r>
      <w:r w:rsidR="00065CA5" w:rsidRPr="006571AC">
        <w:rPr>
          <w:rFonts w:hint="cs"/>
          <w:sz w:val="27"/>
          <w:rtl/>
          <w:lang w:bidi="ar-IQ"/>
        </w:rPr>
        <w:t>،</w:t>
      </w:r>
      <w:r w:rsidRPr="006571AC">
        <w:rPr>
          <w:rFonts w:hint="cs"/>
          <w:sz w:val="27"/>
          <w:rtl/>
          <w:lang w:bidi="ar-IQ"/>
        </w:rPr>
        <w:t xml:space="preserve"> يمكن أن يكون كاشفاً عن رأي المعصوم. وبعبارة</w:t>
      </w:r>
      <w:r w:rsidR="00B40FA5" w:rsidRPr="006571AC">
        <w:rPr>
          <w:rFonts w:hint="cs"/>
          <w:sz w:val="27"/>
          <w:rtl/>
          <w:lang w:bidi="ar-IQ"/>
        </w:rPr>
        <w:t>ٍ</w:t>
      </w:r>
      <w:r w:rsidRPr="006571AC">
        <w:rPr>
          <w:rFonts w:hint="cs"/>
          <w:sz w:val="27"/>
          <w:rtl/>
          <w:lang w:bidi="ar-IQ"/>
        </w:rPr>
        <w:t xml:space="preserve"> أخرى: إن هذا المورد من الموارد التي يكون فيها تلازم</w:t>
      </w:r>
      <w:r w:rsidR="00B40FA5" w:rsidRPr="006571AC">
        <w:rPr>
          <w:rFonts w:hint="cs"/>
          <w:sz w:val="27"/>
          <w:rtl/>
          <w:lang w:bidi="ar-IQ"/>
        </w:rPr>
        <w:t>ٌ</w:t>
      </w:r>
      <w:r w:rsidRPr="006571AC">
        <w:rPr>
          <w:rFonts w:hint="cs"/>
          <w:sz w:val="27"/>
          <w:rtl/>
          <w:lang w:bidi="ar-IQ"/>
        </w:rPr>
        <w:t xml:space="preserve"> عادي</w:t>
      </w:r>
      <w:r w:rsidR="00B40FA5" w:rsidRPr="006571AC">
        <w:rPr>
          <w:rFonts w:hint="cs"/>
          <w:sz w:val="27"/>
          <w:rtl/>
          <w:lang w:bidi="ar-IQ"/>
        </w:rPr>
        <w:t>ّ</w:t>
      </w:r>
      <w:r w:rsidRPr="006571AC">
        <w:rPr>
          <w:rFonts w:hint="cs"/>
          <w:sz w:val="27"/>
          <w:rtl/>
          <w:lang w:bidi="ar-IQ"/>
        </w:rPr>
        <w:t xml:space="preserve"> بين نقل السبب</w:t>
      </w:r>
      <w:r w:rsidRPr="006571AC">
        <w:rPr>
          <w:sz w:val="27"/>
          <w:vertAlign w:val="superscript"/>
          <w:rtl/>
          <w:lang w:bidi="ar-IQ"/>
        </w:rPr>
        <w:t>(</w:t>
      </w:r>
      <w:r w:rsidRPr="006571AC">
        <w:rPr>
          <w:rStyle w:val="ac"/>
          <w:sz w:val="27"/>
          <w:rtl/>
          <w:lang w:bidi="ar-IQ"/>
        </w:rPr>
        <w:endnoteReference w:id="250"/>
      </w:r>
      <w:r w:rsidRPr="006571AC">
        <w:rPr>
          <w:sz w:val="27"/>
          <w:vertAlign w:val="superscript"/>
          <w:rtl/>
          <w:lang w:bidi="ar-IQ"/>
        </w:rPr>
        <w:t>)</w:t>
      </w:r>
      <w:r w:rsidRPr="006571AC">
        <w:rPr>
          <w:rFonts w:hint="cs"/>
          <w:sz w:val="27"/>
          <w:rtl/>
          <w:lang w:bidi="ar-IQ"/>
        </w:rPr>
        <w:t xml:space="preserve"> والمسب</w:t>
      </w:r>
      <w:r w:rsidR="00B40FA5" w:rsidRPr="006571AC">
        <w:rPr>
          <w:rFonts w:hint="cs"/>
          <w:sz w:val="27"/>
          <w:rtl/>
          <w:lang w:bidi="ar-IQ"/>
        </w:rPr>
        <w:t>َّ</w:t>
      </w:r>
      <w:r w:rsidRPr="006571AC">
        <w:rPr>
          <w:rFonts w:hint="cs"/>
          <w:sz w:val="27"/>
          <w:rtl/>
          <w:lang w:bidi="ar-IQ"/>
        </w:rPr>
        <w:t>ب</w:t>
      </w:r>
      <w:r w:rsidRPr="006571AC">
        <w:rPr>
          <w:sz w:val="27"/>
          <w:vertAlign w:val="superscript"/>
          <w:rtl/>
          <w:lang w:bidi="ar-IQ"/>
        </w:rPr>
        <w:t>(</w:t>
      </w:r>
      <w:r w:rsidRPr="006571AC">
        <w:rPr>
          <w:rStyle w:val="ac"/>
          <w:sz w:val="27"/>
          <w:rtl/>
          <w:lang w:bidi="ar-IQ"/>
        </w:rPr>
        <w:endnoteReference w:id="251"/>
      </w:r>
      <w:r w:rsidRPr="006571AC">
        <w:rPr>
          <w:sz w:val="27"/>
          <w:vertAlign w:val="superscript"/>
          <w:rtl/>
          <w:lang w:bidi="ar-IQ"/>
        </w:rPr>
        <w:t>)</w:t>
      </w:r>
      <w:r w:rsidRPr="006571AC">
        <w:rPr>
          <w:rFonts w:hint="cs"/>
          <w:sz w:val="27"/>
          <w:rtl/>
          <w:lang w:bidi="ar-IQ"/>
        </w:rPr>
        <w:t>، سواء من وجهة نظر الناقل والمنقول إليه</w:t>
      </w:r>
      <w:r w:rsidRPr="006571AC">
        <w:rPr>
          <w:sz w:val="27"/>
          <w:vertAlign w:val="superscript"/>
          <w:rtl/>
          <w:lang w:bidi="ar-IQ"/>
        </w:rPr>
        <w:t>(</w:t>
      </w:r>
      <w:r w:rsidRPr="006571AC">
        <w:rPr>
          <w:rStyle w:val="ac"/>
          <w:sz w:val="27"/>
          <w:rtl/>
          <w:lang w:bidi="ar-IQ"/>
        </w:rPr>
        <w:endnoteReference w:id="252"/>
      </w:r>
      <w:r w:rsidRPr="006571AC">
        <w:rPr>
          <w:sz w:val="27"/>
          <w:vertAlign w:val="superscript"/>
          <w:rtl/>
          <w:lang w:bidi="ar-IQ"/>
        </w:rPr>
        <w:t>)</w:t>
      </w:r>
      <w:r w:rsidRPr="006571AC">
        <w:rPr>
          <w:rFonts w:hint="cs"/>
          <w:sz w:val="27"/>
          <w:rtl/>
          <w:lang w:bidi="ar-IQ"/>
        </w:rPr>
        <w:t xml:space="preserve">. </w:t>
      </w:r>
    </w:p>
    <w:p w:rsidR="004B60B2" w:rsidRPr="006571AC" w:rsidRDefault="004B60B2" w:rsidP="004B60B2">
      <w:pPr>
        <w:spacing w:line="420" w:lineRule="exact"/>
        <w:rPr>
          <w:sz w:val="27"/>
          <w:rtl/>
        </w:rPr>
      </w:pPr>
    </w:p>
    <w:p w:rsidR="00381A52" w:rsidRPr="006571AC" w:rsidRDefault="00332010" w:rsidP="00714072">
      <w:pPr>
        <w:pStyle w:val="31"/>
        <w:rPr>
          <w:color w:val="auto"/>
          <w:rtl/>
          <w:lang w:bidi="ar-IQ"/>
        </w:rPr>
      </w:pPr>
      <w:bookmarkStart w:id="117" w:name="_Toc114164606"/>
      <w:r w:rsidRPr="006571AC">
        <w:rPr>
          <w:rFonts w:hint="cs"/>
          <w:color w:val="auto"/>
          <w:rtl/>
          <w:lang w:bidi="ar-IQ"/>
        </w:rPr>
        <w:t>2ـ</w:t>
      </w:r>
      <w:r w:rsidR="00780EB7" w:rsidRPr="006571AC">
        <w:rPr>
          <w:rFonts w:hint="cs"/>
          <w:color w:val="auto"/>
          <w:rtl/>
          <w:lang w:bidi="ar-IQ"/>
        </w:rPr>
        <w:t xml:space="preserve"> الأصل العمليّ</w:t>
      </w:r>
      <w:bookmarkEnd w:id="117"/>
    </w:p>
    <w:p w:rsidR="00381A52" w:rsidRPr="006571AC" w:rsidRDefault="00381A52" w:rsidP="00552C10">
      <w:pPr>
        <w:rPr>
          <w:sz w:val="27"/>
          <w:rtl/>
          <w:lang w:bidi="ar-IQ"/>
        </w:rPr>
      </w:pPr>
      <w:r w:rsidRPr="006571AC">
        <w:rPr>
          <w:rFonts w:hint="cs"/>
          <w:sz w:val="27"/>
          <w:rtl/>
          <w:lang w:bidi="ar-IQ"/>
        </w:rPr>
        <w:t>استند بعض الفقهاء في إثبات مشروعية الصلح الابتدائي إلى أصل عدم اشتراط سبق الخصومة في عقد الصلح</w:t>
      </w:r>
      <w:r w:rsidRPr="006571AC">
        <w:rPr>
          <w:sz w:val="27"/>
          <w:vertAlign w:val="superscript"/>
          <w:rtl/>
          <w:lang w:bidi="ar-IQ"/>
        </w:rPr>
        <w:t>(</w:t>
      </w:r>
      <w:r w:rsidRPr="006571AC">
        <w:rPr>
          <w:rStyle w:val="ac"/>
          <w:sz w:val="27"/>
          <w:rtl/>
          <w:lang w:bidi="ar-IQ"/>
        </w:rPr>
        <w:endnoteReference w:id="253"/>
      </w:r>
      <w:r w:rsidRPr="006571AC">
        <w:rPr>
          <w:sz w:val="27"/>
          <w:vertAlign w:val="superscript"/>
          <w:rtl/>
          <w:lang w:bidi="ar-IQ"/>
        </w:rPr>
        <w:t>)</w:t>
      </w:r>
      <w:r w:rsidRPr="006571AC">
        <w:rPr>
          <w:rFonts w:hint="cs"/>
          <w:sz w:val="27"/>
          <w:rtl/>
          <w:lang w:bidi="ar-IQ"/>
        </w:rPr>
        <w:t>. وفي تقريب هذا الأصل ـ الذي هو الاستصحاب وعدم جعل الشرطية ـ يجب القول: إن الشك في صحّة وفساد الصلح الابتدائي إنما ينشأ ـ في الحقيقة والواقع ـ من الشك</w:t>
      </w:r>
      <w:r w:rsidR="00B40FA5" w:rsidRPr="006571AC">
        <w:rPr>
          <w:rFonts w:hint="cs"/>
          <w:sz w:val="27"/>
          <w:rtl/>
          <w:lang w:bidi="ar-IQ"/>
        </w:rPr>
        <w:t>ّ</w:t>
      </w:r>
      <w:r w:rsidRPr="006571AC">
        <w:rPr>
          <w:rFonts w:hint="cs"/>
          <w:sz w:val="27"/>
          <w:rtl/>
          <w:lang w:bidi="ar-IQ"/>
        </w:rPr>
        <w:t xml:space="preserve"> في شرطية سبق النزاع في جواز الصلح، وحيث يجري أصل عدم اشتراط سبق النزاع كان حاكماً على أصل الفساد في باب المعاملات، ولذلك يمكن إثبات الصلح الابتدائي من هذه الناحية. وبعبارة</w:t>
      </w:r>
      <w:r w:rsidR="00B40FA5" w:rsidRPr="006571AC">
        <w:rPr>
          <w:rFonts w:hint="cs"/>
          <w:sz w:val="27"/>
          <w:rtl/>
          <w:lang w:bidi="ar-IQ"/>
        </w:rPr>
        <w:t>ٍ</w:t>
      </w:r>
      <w:r w:rsidRPr="006571AC">
        <w:rPr>
          <w:rFonts w:hint="cs"/>
          <w:sz w:val="27"/>
          <w:rtl/>
          <w:lang w:bidi="ar-IQ"/>
        </w:rPr>
        <w:t xml:space="preserve"> أخرى: رغم أن الأصل الأو</w:t>
      </w:r>
      <w:r w:rsidR="00B40FA5" w:rsidRPr="006571AC">
        <w:rPr>
          <w:rFonts w:hint="cs"/>
          <w:sz w:val="27"/>
          <w:rtl/>
          <w:lang w:bidi="ar-IQ"/>
        </w:rPr>
        <w:t>ّ</w:t>
      </w:r>
      <w:r w:rsidRPr="006571AC">
        <w:rPr>
          <w:rFonts w:hint="cs"/>
          <w:sz w:val="27"/>
          <w:rtl/>
          <w:lang w:bidi="ar-IQ"/>
        </w:rPr>
        <w:t>لي في باب المعاملات هو الفساد</w:t>
      </w:r>
      <w:r w:rsidR="00B40FA5" w:rsidRPr="006571AC">
        <w:rPr>
          <w:rFonts w:hint="cs"/>
          <w:sz w:val="27"/>
          <w:rtl/>
          <w:lang w:bidi="ar-IQ"/>
        </w:rPr>
        <w:t>،</w:t>
      </w:r>
      <w:r w:rsidRPr="006571AC">
        <w:rPr>
          <w:rFonts w:hint="cs"/>
          <w:sz w:val="27"/>
          <w:rtl/>
          <w:lang w:bidi="ar-IQ"/>
        </w:rPr>
        <w:t xml:space="preserve"> وعدم نقل المال وانتقاله، ويكون المكل</w:t>
      </w:r>
      <w:r w:rsidR="00B40FA5" w:rsidRPr="006571AC">
        <w:rPr>
          <w:rFonts w:hint="cs"/>
          <w:sz w:val="27"/>
          <w:rtl/>
          <w:lang w:bidi="ar-IQ"/>
        </w:rPr>
        <w:t>َّ</w:t>
      </w:r>
      <w:r w:rsidRPr="006571AC">
        <w:rPr>
          <w:rFonts w:hint="cs"/>
          <w:sz w:val="27"/>
          <w:rtl/>
          <w:lang w:bidi="ar-IQ"/>
        </w:rPr>
        <w:t>ف في مسألة مشروعية الصلح الابتدائي شاك</w:t>
      </w:r>
      <w:r w:rsidR="00B40FA5" w:rsidRPr="006571AC">
        <w:rPr>
          <w:rFonts w:hint="cs"/>
          <w:sz w:val="27"/>
          <w:rtl/>
          <w:lang w:bidi="ar-IQ"/>
        </w:rPr>
        <w:t>ّ</w:t>
      </w:r>
      <w:r w:rsidRPr="006571AC">
        <w:rPr>
          <w:rFonts w:hint="cs"/>
          <w:sz w:val="27"/>
          <w:rtl/>
          <w:lang w:bidi="ar-IQ"/>
        </w:rPr>
        <w:t>اً في صحّة وفساد الصلح الابتدائي، ويكون منشأ الشك</w:t>
      </w:r>
      <w:r w:rsidR="00B40FA5" w:rsidRPr="006571AC">
        <w:rPr>
          <w:rFonts w:hint="cs"/>
          <w:sz w:val="27"/>
          <w:rtl/>
          <w:lang w:bidi="ar-IQ"/>
        </w:rPr>
        <w:t>ّ</w:t>
      </w:r>
      <w:r w:rsidRPr="006571AC">
        <w:rPr>
          <w:rFonts w:hint="cs"/>
          <w:sz w:val="27"/>
          <w:rtl/>
          <w:lang w:bidi="ar-IQ"/>
        </w:rPr>
        <w:t xml:space="preserve"> ب</w:t>
      </w:r>
      <w:r w:rsidR="00EA38F1" w:rsidRPr="006571AC">
        <w:rPr>
          <w:rFonts w:hint="cs"/>
          <w:sz w:val="27"/>
          <w:rtl/>
          <w:lang w:bidi="ar-IQ"/>
        </w:rPr>
        <w:t>دَوْر</w:t>
      </w:r>
      <w:r w:rsidRPr="006571AC">
        <w:rPr>
          <w:rFonts w:hint="cs"/>
          <w:sz w:val="27"/>
          <w:rtl/>
          <w:lang w:bidi="ar-IQ"/>
        </w:rPr>
        <w:t>ه هو الشك</w:t>
      </w:r>
      <w:r w:rsidR="00B40FA5" w:rsidRPr="006571AC">
        <w:rPr>
          <w:rFonts w:hint="cs"/>
          <w:sz w:val="27"/>
          <w:rtl/>
          <w:lang w:bidi="ar-IQ"/>
        </w:rPr>
        <w:t>ّ</w:t>
      </w:r>
      <w:r w:rsidRPr="006571AC">
        <w:rPr>
          <w:rFonts w:hint="cs"/>
          <w:sz w:val="27"/>
          <w:rtl/>
          <w:lang w:bidi="ar-IQ"/>
        </w:rPr>
        <w:t xml:space="preserve"> في لزوم سبق النزاع وعدمه، وقد ثبت في محل</w:t>
      </w:r>
      <w:r w:rsidR="00B40FA5" w:rsidRPr="006571AC">
        <w:rPr>
          <w:rFonts w:hint="cs"/>
          <w:sz w:val="27"/>
          <w:rtl/>
          <w:lang w:bidi="ar-IQ"/>
        </w:rPr>
        <w:t>ِّ</w:t>
      </w:r>
      <w:r w:rsidRPr="006571AC">
        <w:rPr>
          <w:rFonts w:hint="cs"/>
          <w:sz w:val="27"/>
          <w:rtl/>
          <w:lang w:bidi="ar-IQ"/>
        </w:rPr>
        <w:t>ه أنه إذا حصل التعارض بين الأصل السببي والأصل المسبّ</w:t>
      </w:r>
      <w:r w:rsidR="00B40FA5" w:rsidRPr="006571AC">
        <w:rPr>
          <w:rFonts w:hint="cs"/>
          <w:sz w:val="27"/>
          <w:rtl/>
          <w:lang w:bidi="ar-IQ"/>
        </w:rPr>
        <w:t>َ</w:t>
      </w:r>
      <w:r w:rsidRPr="006571AC">
        <w:rPr>
          <w:rFonts w:hint="cs"/>
          <w:sz w:val="27"/>
          <w:rtl/>
          <w:lang w:bidi="ar-IQ"/>
        </w:rPr>
        <w:t>بي</w:t>
      </w:r>
      <w:r w:rsidR="00B40FA5" w:rsidRPr="006571AC">
        <w:rPr>
          <w:rFonts w:hint="cs"/>
          <w:sz w:val="27"/>
          <w:rtl/>
          <w:lang w:bidi="ar-IQ"/>
        </w:rPr>
        <w:t xml:space="preserve"> </w:t>
      </w:r>
      <w:r w:rsidRPr="006571AC">
        <w:rPr>
          <w:rFonts w:hint="cs"/>
          <w:sz w:val="27"/>
          <w:rtl/>
          <w:lang w:bidi="ar-IQ"/>
        </w:rPr>
        <w:t>كان التقدّ</w:t>
      </w:r>
      <w:r w:rsidR="00B40FA5" w:rsidRPr="006571AC">
        <w:rPr>
          <w:rFonts w:hint="cs"/>
          <w:sz w:val="27"/>
          <w:rtl/>
          <w:lang w:bidi="ar-IQ"/>
        </w:rPr>
        <w:t>ُ</w:t>
      </w:r>
      <w:r w:rsidRPr="006571AC">
        <w:rPr>
          <w:rFonts w:hint="cs"/>
          <w:sz w:val="27"/>
          <w:rtl/>
          <w:lang w:bidi="ar-IQ"/>
        </w:rPr>
        <w:t>م للأصل السببي</w:t>
      </w:r>
      <w:r w:rsidRPr="006571AC">
        <w:rPr>
          <w:sz w:val="27"/>
          <w:vertAlign w:val="superscript"/>
          <w:rtl/>
          <w:lang w:bidi="ar-IQ"/>
        </w:rPr>
        <w:t>(</w:t>
      </w:r>
      <w:r w:rsidRPr="006571AC">
        <w:rPr>
          <w:rStyle w:val="ac"/>
          <w:sz w:val="27"/>
          <w:rtl/>
          <w:lang w:bidi="ar-IQ"/>
        </w:rPr>
        <w:endnoteReference w:id="254"/>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ولكن</w:t>
      </w:r>
      <w:r w:rsidR="00B40FA5" w:rsidRPr="006571AC">
        <w:rPr>
          <w:rFonts w:hint="cs"/>
          <w:sz w:val="27"/>
          <w:rtl/>
          <w:lang w:bidi="ar-IQ"/>
        </w:rPr>
        <w:t>ْ</w:t>
      </w:r>
      <w:r w:rsidRPr="006571AC">
        <w:rPr>
          <w:rFonts w:hint="cs"/>
          <w:sz w:val="27"/>
          <w:rtl/>
          <w:lang w:bidi="ar-IQ"/>
        </w:rPr>
        <w:t xml:space="preserve"> يبدو أن الأصل المذكور لا يستطيع أن يكون حاكماً على أصل الفساد في باب المعاملات، بما فيها الصلح الابتدائي؛ إذ الموضوع للصحّة في باب المعاملات هو نفوذ وإمضاء ذلك العقد، وليس عدم اشتراط سبق الخصومة في عقد الصلح، أي </w:t>
      </w:r>
      <w:r w:rsidR="00B40FA5" w:rsidRPr="006571AC">
        <w:rPr>
          <w:rFonts w:hint="cs"/>
          <w:sz w:val="27"/>
          <w:rtl/>
          <w:lang w:bidi="ar-IQ"/>
        </w:rPr>
        <w:t>إ</w:t>
      </w:r>
      <w:r w:rsidRPr="006571AC">
        <w:rPr>
          <w:rFonts w:hint="cs"/>
          <w:sz w:val="27"/>
          <w:rtl/>
          <w:lang w:bidi="ar-IQ"/>
        </w:rPr>
        <w:t>ن الشارع يجب أن يمضي المعاملة لكي تكون موضوعاً للصحّة الشرعي</w:t>
      </w:r>
      <w:r w:rsidR="00B40FA5" w:rsidRPr="006571AC">
        <w:rPr>
          <w:rFonts w:hint="cs"/>
          <w:sz w:val="27"/>
          <w:rtl/>
          <w:lang w:bidi="ar-IQ"/>
        </w:rPr>
        <w:t>ّ</w:t>
      </w:r>
      <w:r w:rsidRPr="006571AC">
        <w:rPr>
          <w:rFonts w:hint="cs"/>
          <w:sz w:val="27"/>
          <w:rtl/>
          <w:lang w:bidi="ar-IQ"/>
        </w:rPr>
        <w:t>ة، ومجرّد عدم جعل الشرطي</w:t>
      </w:r>
      <w:r w:rsidR="00B40FA5" w:rsidRPr="006571AC">
        <w:rPr>
          <w:rFonts w:hint="cs"/>
          <w:sz w:val="27"/>
          <w:rtl/>
          <w:lang w:bidi="ar-IQ"/>
        </w:rPr>
        <w:t>ّ</w:t>
      </w:r>
      <w:r w:rsidRPr="006571AC">
        <w:rPr>
          <w:rFonts w:hint="cs"/>
          <w:sz w:val="27"/>
          <w:rtl/>
          <w:lang w:bidi="ar-IQ"/>
        </w:rPr>
        <w:t>ة لا يعني صحّة المعاملة</w:t>
      </w:r>
      <w:r w:rsidR="00B40FA5" w:rsidRPr="006571AC">
        <w:rPr>
          <w:rFonts w:hint="cs"/>
          <w:sz w:val="27"/>
          <w:rtl/>
          <w:lang w:bidi="ar-IQ"/>
        </w:rPr>
        <w:t>؛</w:t>
      </w:r>
      <w:r w:rsidRPr="006571AC">
        <w:rPr>
          <w:rFonts w:hint="cs"/>
          <w:sz w:val="27"/>
          <w:rtl/>
          <w:lang w:bidi="ar-IQ"/>
        </w:rPr>
        <w:t xml:space="preserve"> لأن عدم جعل الشرطي</w:t>
      </w:r>
      <w:r w:rsidR="00065CA5" w:rsidRPr="006571AC">
        <w:rPr>
          <w:rFonts w:hint="cs"/>
          <w:sz w:val="27"/>
          <w:rtl/>
          <w:lang w:bidi="ar-IQ"/>
        </w:rPr>
        <w:t>ّ</w:t>
      </w:r>
      <w:r w:rsidRPr="006571AC">
        <w:rPr>
          <w:rFonts w:hint="cs"/>
          <w:sz w:val="27"/>
          <w:rtl/>
          <w:lang w:bidi="ar-IQ"/>
        </w:rPr>
        <w:t>ة يتناغم حت</w:t>
      </w:r>
      <w:r w:rsidR="00B40FA5" w:rsidRPr="006571AC">
        <w:rPr>
          <w:rFonts w:hint="cs"/>
          <w:sz w:val="27"/>
          <w:rtl/>
          <w:lang w:bidi="ar-IQ"/>
        </w:rPr>
        <w:t>ّ</w:t>
      </w:r>
      <w:r w:rsidRPr="006571AC">
        <w:rPr>
          <w:rFonts w:hint="cs"/>
          <w:sz w:val="27"/>
          <w:rtl/>
          <w:lang w:bidi="ar-IQ"/>
        </w:rPr>
        <w:t>ى مع السالبة بانتفاء الموضوع أيضاً؛ بمعنى أنه من الممكن أن لا يكون الشارع قد جعل الصحّة لمعاملة</w:t>
      </w:r>
      <w:r w:rsidR="009917CE" w:rsidRPr="006571AC">
        <w:rPr>
          <w:rFonts w:hint="cs"/>
          <w:sz w:val="27"/>
          <w:rtl/>
          <w:lang w:bidi="ar-IQ"/>
        </w:rPr>
        <w:t>ٍ</w:t>
      </w:r>
      <w:r w:rsidRPr="006571AC">
        <w:rPr>
          <w:rFonts w:hint="cs"/>
          <w:sz w:val="27"/>
          <w:rtl/>
          <w:lang w:bidi="ar-IQ"/>
        </w:rPr>
        <w:t xml:space="preserve"> ما؛ لكي يجعل الشرطي</w:t>
      </w:r>
      <w:r w:rsidR="009917CE" w:rsidRPr="006571AC">
        <w:rPr>
          <w:rFonts w:hint="cs"/>
          <w:sz w:val="27"/>
          <w:rtl/>
          <w:lang w:bidi="ar-IQ"/>
        </w:rPr>
        <w:t>ّ</w:t>
      </w:r>
      <w:r w:rsidRPr="006571AC">
        <w:rPr>
          <w:rFonts w:hint="cs"/>
          <w:sz w:val="27"/>
          <w:rtl/>
          <w:lang w:bidi="ar-IQ"/>
        </w:rPr>
        <w:t xml:space="preserve">ة أو لا يجعلها، فالذي يكون له الأثر هو جعل النفوذ </w:t>
      </w:r>
      <w:r w:rsidRPr="006571AC">
        <w:rPr>
          <w:rFonts w:hint="cs"/>
          <w:sz w:val="27"/>
          <w:rtl/>
          <w:lang w:bidi="ar-IQ"/>
        </w:rPr>
        <w:lastRenderedPageBreak/>
        <w:t>والصحّة</w:t>
      </w:r>
      <w:r w:rsidR="009917CE" w:rsidRPr="006571AC">
        <w:rPr>
          <w:rFonts w:hint="cs"/>
          <w:sz w:val="27"/>
          <w:rtl/>
          <w:lang w:bidi="ar-IQ"/>
        </w:rPr>
        <w:t>،</w:t>
      </w:r>
      <w:r w:rsidRPr="006571AC">
        <w:rPr>
          <w:rFonts w:hint="cs"/>
          <w:sz w:val="27"/>
          <w:rtl/>
          <w:lang w:bidi="ar-IQ"/>
        </w:rPr>
        <w:t xml:space="preserve"> وليس عدم جعل الشرطي</w:t>
      </w:r>
      <w:r w:rsidR="00065CA5" w:rsidRPr="006571AC">
        <w:rPr>
          <w:rFonts w:hint="cs"/>
          <w:sz w:val="27"/>
          <w:rtl/>
          <w:lang w:bidi="ar-IQ"/>
        </w:rPr>
        <w:t>ّ</w:t>
      </w:r>
      <w:r w:rsidRPr="006571AC">
        <w:rPr>
          <w:rFonts w:hint="cs"/>
          <w:sz w:val="27"/>
          <w:rtl/>
          <w:lang w:bidi="ar-IQ"/>
        </w:rPr>
        <w:t>ة. وإذا كان المراد من عدم جعل الشرطي</w:t>
      </w:r>
      <w:r w:rsidR="00065CA5" w:rsidRPr="006571AC">
        <w:rPr>
          <w:rFonts w:hint="cs"/>
          <w:sz w:val="27"/>
          <w:rtl/>
          <w:lang w:bidi="ar-IQ"/>
        </w:rPr>
        <w:t>ّ</w:t>
      </w:r>
      <w:r w:rsidRPr="006571AC">
        <w:rPr>
          <w:rFonts w:hint="cs"/>
          <w:sz w:val="27"/>
          <w:rtl/>
          <w:lang w:bidi="ar-IQ"/>
        </w:rPr>
        <w:t>ة هو أن الشارع قد جعل النفوذ للصلح بشكل</w:t>
      </w:r>
      <w:r w:rsidR="009917CE" w:rsidRPr="006571AC">
        <w:rPr>
          <w:rFonts w:hint="cs"/>
          <w:sz w:val="27"/>
          <w:rtl/>
          <w:lang w:bidi="ar-IQ"/>
        </w:rPr>
        <w:t>ٍ</w:t>
      </w:r>
      <w:r w:rsidRPr="006571AC">
        <w:rPr>
          <w:rFonts w:hint="cs"/>
          <w:sz w:val="27"/>
          <w:rtl/>
          <w:lang w:bidi="ar-IQ"/>
        </w:rPr>
        <w:t xml:space="preserve"> مطلق سوف يكون هذا أصلاً م</w:t>
      </w:r>
      <w:r w:rsidR="009917CE" w:rsidRPr="006571AC">
        <w:rPr>
          <w:rFonts w:hint="cs"/>
          <w:sz w:val="27"/>
          <w:rtl/>
          <w:lang w:bidi="ar-IQ"/>
        </w:rPr>
        <w:t>ُ</w:t>
      </w:r>
      <w:r w:rsidRPr="006571AC">
        <w:rPr>
          <w:rFonts w:hint="cs"/>
          <w:sz w:val="27"/>
          <w:rtl/>
          <w:lang w:bidi="ar-IQ"/>
        </w:rPr>
        <w:t>ث</w:t>
      </w:r>
      <w:r w:rsidR="009917CE" w:rsidRPr="006571AC">
        <w:rPr>
          <w:rFonts w:hint="cs"/>
          <w:sz w:val="27"/>
          <w:rtl/>
          <w:lang w:bidi="ar-IQ"/>
        </w:rPr>
        <w:t>ْ</w:t>
      </w:r>
      <w:r w:rsidRPr="006571AC">
        <w:rPr>
          <w:rFonts w:hint="cs"/>
          <w:sz w:val="27"/>
          <w:rtl/>
          <w:lang w:bidi="ar-IQ"/>
        </w:rPr>
        <w:t>ب</w:t>
      </w:r>
      <w:r w:rsidR="009917CE" w:rsidRPr="006571AC">
        <w:rPr>
          <w:rFonts w:hint="cs"/>
          <w:sz w:val="27"/>
          <w:rtl/>
          <w:lang w:bidi="ar-IQ"/>
        </w:rPr>
        <w:t>ِ</w:t>
      </w:r>
      <w:r w:rsidRPr="006571AC">
        <w:rPr>
          <w:rFonts w:hint="cs"/>
          <w:sz w:val="27"/>
          <w:rtl/>
          <w:lang w:bidi="ar-IQ"/>
        </w:rPr>
        <w:t>تاً، وإن إثبات الج</w:t>
      </w:r>
      <w:r w:rsidR="00065CA5" w:rsidRPr="006571AC">
        <w:rPr>
          <w:rFonts w:hint="cs"/>
          <w:sz w:val="27"/>
          <w:rtl/>
          <w:lang w:bidi="ar-IQ"/>
        </w:rPr>
        <w:t>َ</w:t>
      </w:r>
      <w:r w:rsidRPr="006571AC">
        <w:rPr>
          <w:rFonts w:hint="cs"/>
          <w:sz w:val="27"/>
          <w:rtl/>
          <w:lang w:bidi="ar-IQ"/>
        </w:rPr>
        <w:t>ع</w:t>
      </w:r>
      <w:r w:rsidR="00065CA5" w:rsidRPr="006571AC">
        <w:rPr>
          <w:rFonts w:hint="cs"/>
          <w:sz w:val="27"/>
          <w:rtl/>
          <w:lang w:bidi="ar-IQ"/>
        </w:rPr>
        <w:t>ْ</w:t>
      </w:r>
      <w:r w:rsidRPr="006571AC">
        <w:rPr>
          <w:rFonts w:hint="cs"/>
          <w:sz w:val="27"/>
          <w:rtl/>
          <w:lang w:bidi="ar-IQ"/>
        </w:rPr>
        <w:t>ل والنفوذ غير المشروط مع أصل عدم جعل الشرطي</w:t>
      </w:r>
      <w:r w:rsidR="009917CE" w:rsidRPr="006571AC">
        <w:rPr>
          <w:rFonts w:hint="cs"/>
          <w:sz w:val="27"/>
          <w:rtl/>
          <w:lang w:bidi="ar-IQ"/>
        </w:rPr>
        <w:t>ّ</w:t>
      </w:r>
      <w:r w:rsidRPr="006571AC">
        <w:rPr>
          <w:rFonts w:hint="cs"/>
          <w:sz w:val="27"/>
          <w:rtl/>
          <w:lang w:bidi="ar-IQ"/>
        </w:rPr>
        <w:t>ة من مصاديق الأصل الم</w:t>
      </w:r>
      <w:r w:rsidR="009917CE" w:rsidRPr="006571AC">
        <w:rPr>
          <w:rFonts w:hint="cs"/>
          <w:sz w:val="27"/>
          <w:rtl/>
          <w:lang w:bidi="ar-IQ"/>
        </w:rPr>
        <w:t>ُ</w:t>
      </w:r>
      <w:r w:rsidRPr="006571AC">
        <w:rPr>
          <w:rFonts w:hint="cs"/>
          <w:sz w:val="27"/>
          <w:rtl/>
          <w:lang w:bidi="ar-IQ"/>
        </w:rPr>
        <w:t>ث</w:t>
      </w:r>
      <w:r w:rsidR="009917CE" w:rsidRPr="006571AC">
        <w:rPr>
          <w:rFonts w:hint="cs"/>
          <w:sz w:val="27"/>
          <w:rtl/>
          <w:lang w:bidi="ar-IQ"/>
        </w:rPr>
        <w:t>ْ</w:t>
      </w:r>
      <w:r w:rsidRPr="006571AC">
        <w:rPr>
          <w:rFonts w:hint="cs"/>
          <w:sz w:val="27"/>
          <w:rtl/>
          <w:lang w:bidi="ar-IQ"/>
        </w:rPr>
        <w:t>ب</w:t>
      </w:r>
      <w:r w:rsidR="009917CE" w:rsidRPr="006571AC">
        <w:rPr>
          <w:rFonts w:hint="cs"/>
          <w:sz w:val="27"/>
          <w:rtl/>
          <w:lang w:bidi="ar-IQ"/>
        </w:rPr>
        <w:t>ِ</w:t>
      </w:r>
      <w:r w:rsidRPr="006571AC">
        <w:rPr>
          <w:rFonts w:hint="cs"/>
          <w:sz w:val="27"/>
          <w:rtl/>
          <w:lang w:bidi="ar-IQ"/>
        </w:rPr>
        <w:t>ت، ولذلك يبدو أن الأصل المذكور غير قابل للتمسّ</w:t>
      </w:r>
      <w:r w:rsidR="009917CE" w:rsidRPr="006571AC">
        <w:rPr>
          <w:rFonts w:hint="cs"/>
          <w:sz w:val="27"/>
          <w:rtl/>
          <w:lang w:bidi="ar-IQ"/>
        </w:rPr>
        <w:t>ُ</w:t>
      </w:r>
      <w:r w:rsidRPr="006571AC">
        <w:rPr>
          <w:rFonts w:hint="cs"/>
          <w:sz w:val="27"/>
          <w:rtl/>
          <w:lang w:bidi="ar-IQ"/>
        </w:rPr>
        <w:t xml:space="preserve">ك. </w:t>
      </w:r>
    </w:p>
    <w:p w:rsidR="00381A52" w:rsidRPr="006571AC" w:rsidRDefault="00381A52" w:rsidP="004B60B2">
      <w:pPr>
        <w:spacing w:line="410" w:lineRule="exact"/>
        <w:rPr>
          <w:sz w:val="27"/>
          <w:rtl/>
          <w:lang w:bidi="ar-IQ"/>
        </w:rPr>
      </w:pPr>
    </w:p>
    <w:p w:rsidR="00381A52" w:rsidRPr="006571AC" w:rsidRDefault="00332010" w:rsidP="00714072">
      <w:pPr>
        <w:pStyle w:val="31"/>
        <w:rPr>
          <w:color w:val="auto"/>
          <w:rtl/>
          <w:lang w:bidi="ar-IQ"/>
        </w:rPr>
      </w:pPr>
      <w:bookmarkStart w:id="118" w:name="_Toc114164607"/>
      <w:r w:rsidRPr="006571AC">
        <w:rPr>
          <w:rFonts w:hint="cs"/>
          <w:color w:val="auto"/>
          <w:rtl/>
          <w:lang w:bidi="ar-IQ"/>
        </w:rPr>
        <w:t>3ـ</w:t>
      </w:r>
      <w:r w:rsidR="00381A52" w:rsidRPr="006571AC">
        <w:rPr>
          <w:rFonts w:hint="cs"/>
          <w:color w:val="auto"/>
          <w:rtl/>
          <w:lang w:bidi="ar-IQ"/>
        </w:rPr>
        <w:t xml:space="preserve"> الأدل</w:t>
      </w:r>
      <w:r w:rsidR="000D6C76" w:rsidRPr="006571AC">
        <w:rPr>
          <w:rFonts w:hint="cs"/>
          <w:color w:val="auto"/>
          <w:rtl/>
          <w:lang w:bidi="ar-IQ"/>
        </w:rPr>
        <w:t>ّ</w:t>
      </w:r>
      <w:r w:rsidR="00381A52" w:rsidRPr="006571AC">
        <w:rPr>
          <w:rFonts w:hint="cs"/>
          <w:color w:val="auto"/>
          <w:rtl/>
          <w:lang w:bidi="ar-IQ"/>
        </w:rPr>
        <w:t>ة العامّة على صحّة العقود والتجارات</w:t>
      </w:r>
      <w:bookmarkEnd w:id="118"/>
    </w:p>
    <w:p w:rsidR="00381A52" w:rsidRPr="006571AC" w:rsidRDefault="00381A52" w:rsidP="00552C10">
      <w:pPr>
        <w:rPr>
          <w:sz w:val="27"/>
          <w:rtl/>
          <w:lang w:bidi="ar-IQ"/>
        </w:rPr>
      </w:pPr>
      <w:r w:rsidRPr="006571AC">
        <w:rPr>
          <w:rFonts w:hint="cs"/>
          <w:sz w:val="27"/>
          <w:rtl/>
          <w:lang w:bidi="ar-IQ"/>
        </w:rPr>
        <w:t>إن من بين أهم</w:t>
      </w:r>
      <w:r w:rsidR="009917CE" w:rsidRPr="006571AC">
        <w:rPr>
          <w:rFonts w:hint="cs"/>
          <w:sz w:val="27"/>
          <w:rtl/>
          <w:lang w:bidi="ar-IQ"/>
        </w:rPr>
        <w:t>ّ</w:t>
      </w:r>
      <w:r w:rsidRPr="006571AC">
        <w:rPr>
          <w:rFonts w:hint="cs"/>
          <w:sz w:val="27"/>
          <w:rtl/>
          <w:lang w:bidi="ar-IQ"/>
        </w:rPr>
        <w:t xml:space="preserve"> الأدلة التي تمسّ</w:t>
      </w:r>
      <w:r w:rsidR="009917CE" w:rsidRPr="006571AC">
        <w:rPr>
          <w:rFonts w:hint="cs"/>
          <w:sz w:val="27"/>
          <w:rtl/>
          <w:lang w:bidi="ar-IQ"/>
        </w:rPr>
        <w:t>َ</w:t>
      </w:r>
      <w:r w:rsidRPr="006571AC">
        <w:rPr>
          <w:rFonts w:hint="cs"/>
          <w:sz w:val="27"/>
          <w:rtl/>
          <w:lang w:bidi="ar-IQ"/>
        </w:rPr>
        <w:t>ك بها الفقهاء لإثبات مشروعية الصلح الابتدائي هي الأدل</w:t>
      </w:r>
      <w:r w:rsidR="009917CE" w:rsidRPr="006571AC">
        <w:rPr>
          <w:rFonts w:hint="cs"/>
          <w:sz w:val="27"/>
          <w:rtl/>
          <w:lang w:bidi="ar-IQ"/>
        </w:rPr>
        <w:t>ّ</w:t>
      </w:r>
      <w:r w:rsidRPr="006571AC">
        <w:rPr>
          <w:rFonts w:hint="cs"/>
          <w:sz w:val="27"/>
          <w:rtl/>
          <w:lang w:bidi="ar-IQ"/>
        </w:rPr>
        <w:t xml:space="preserve">ة العامة على صحّة العقود، من قبيل: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rFonts w:hint="cs"/>
          <w:sz w:val="27"/>
          <w:rtl/>
          <w:lang w:bidi="ar-IQ"/>
        </w:rPr>
        <w:t xml:space="preserve"> (المائدة: 1)، و</w:t>
      </w:r>
      <w:r w:rsidRPr="006571AC">
        <w:rPr>
          <w:rFonts w:ascii="Mosawi" w:hAnsi="Mosawi" w:cs="Mosawi"/>
          <w:sz w:val="24"/>
          <w:szCs w:val="24"/>
          <w:rtl/>
        </w:rPr>
        <w:t>﴿</w:t>
      </w:r>
      <w:r w:rsidRPr="006571AC">
        <w:rPr>
          <w:b/>
          <w:bCs/>
          <w:sz w:val="27"/>
          <w:rtl/>
          <w:lang w:bidi="ar-IQ"/>
        </w:rPr>
        <w:t>تِجَارَةً عَنْ تَرَاضٍ مِنْكُمْ</w:t>
      </w:r>
      <w:r w:rsidRPr="006571AC">
        <w:rPr>
          <w:rFonts w:ascii="Mosawi" w:hAnsi="Mosawi" w:cs="Mosawi"/>
          <w:sz w:val="24"/>
          <w:szCs w:val="24"/>
          <w:rtl/>
        </w:rPr>
        <w:t>﴾</w:t>
      </w:r>
      <w:r w:rsidRPr="006571AC">
        <w:rPr>
          <w:rFonts w:hint="cs"/>
          <w:sz w:val="27"/>
          <w:rtl/>
          <w:lang w:bidi="ar-IQ"/>
        </w:rPr>
        <w:t xml:space="preserve"> (النساء: 29)، و</w:t>
      </w:r>
      <w:r w:rsidRPr="006571AC">
        <w:rPr>
          <w:rFonts w:hint="eastAsia"/>
          <w:sz w:val="24"/>
          <w:szCs w:val="24"/>
          <w:rtl/>
        </w:rPr>
        <w:t>«</w:t>
      </w:r>
      <w:r w:rsidRPr="006571AC">
        <w:rPr>
          <w:rFonts w:hint="cs"/>
          <w:sz w:val="27"/>
          <w:rtl/>
          <w:lang w:bidi="ar-IQ"/>
        </w:rPr>
        <w:t>الناس مسلَّطون على أموالهم</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55"/>
      </w:r>
      <w:r w:rsidRPr="006571AC">
        <w:rPr>
          <w:sz w:val="27"/>
          <w:vertAlign w:val="superscript"/>
          <w:rtl/>
          <w:lang w:bidi="ar-IQ"/>
        </w:rPr>
        <w:t>)</w:t>
      </w:r>
      <w:r w:rsidRPr="006571AC">
        <w:rPr>
          <w:rFonts w:hint="cs"/>
          <w:sz w:val="27"/>
          <w:rtl/>
          <w:lang w:bidi="ar-IQ"/>
        </w:rPr>
        <w:t>، و</w:t>
      </w:r>
      <w:r w:rsidRPr="006571AC">
        <w:rPr>
          <w:rFonts w:hint="eastAsia"/>
          <w:sz w:val="24"/>
          <w:szCs w:val="24"/>
          <w:rtl/>
        </w:rPr>
        <w:t>«</w:t>
      </w:r>
      <w:r w:rsidRPr="006571AC">
        <w:rPr>
          <w:rFonts w:hint="cs"/>
          <w:sz w:val="27"/>
          <w:rtl/>
          <w:lang w:bidi="ar-IQ"/>
        </w:rPr>
        <w:t>المسلون عند شروطهم</w:t>
      </w:r>
      <w:r w:rsidRPr="006571AC">
        <w:rPr>
          <w:rFonts w:hint="eastAsia"/>
          <w:sz w:val="24"/>
          <w:szCs w:val="24"/>
          <w:rtl/>
        </w:rPr>
        <w:t>»</w:t>
      </w:r>
      <w:r w:rsidRPr="006571AC">
        <w:rPr>
          <w:sz w:val="27"/>
          <w:vertAlign w:val="superscript"/>
          <w:rtl/>
          <w:lang w:bidi="ar-IQ"/>
        </w:rPr>
        <w:t>(</w:t>
      </w:r>
      <w:r w:rsidRPr="006571AC">
        <w:rPr>
          <w:sz w:val="27"/>
          <w:vertAlign w:val="superscript"/>
          <w:rtl/>
          <w:lang w:bidi="ar-IQ"/>
        </w:rPr>
        <w:endnoteReference w:id="256"/>
      </w:r>
      <w:r w:rsidRPr="006571AC">
        <w:rPr>
          <w:sz w:val="27"/>
          <w:vertAlign w:val="superscript"/>
          <w:rtl/>
          <w:lang w:bidi="ar-IQ"/>
        </w:rPr>
        <w:t>)</w:t>
      </w:r>
      <w:r w:rsidR="009917CE" w:rsidRPr="006571AC">
        <w:rPr>
          <w:rFonts w:hint="cs"/>
          <w:sz w:val="27"/>
          <w:rtl/>
          <w:lang w:bidi="ar-IQ"/>
        </w:rPr>
        <w:t>.</w:t>
      </w:r>
      <w:r w:rsidRPr="006571AC">
        <w:rPr>
          <w:rFonts w:hint="cs"/>
          <w:sz w:val="27"/>
          <w:rtl/>
          <w:lang w:bidi="ar-IQ"/>
        </w:rPr>
        <w:t xml:space="preserve"> وتقريب كل</w:t>
      </w:r>
      <w:r w:rsidR="009917CE" w:rsidRPr="006571AC">
        <w:rPr>
          <w:rFonts w:hint="cs"/>
          <w:sz w:val="27"/>
          <w:rtl/>
          <w:lang w:bidi="ar-IQ"/>
        </w:rPr>
        <w:t>ّ</w:t>
      </w:r>
      <w:r w:rsidRPr="006571AC">
        <w:rPr>
          <w:rFonts w:hint="cs"/>
          <w:sz w:val="27"/>
          <w:rtl/>
          <w:lang w:bidi="ar-IQ"/>
        </w:rPr>
        <w:t xml:space="preserve"> واحد</w:t>
      </w:r>
      <w:r w:rsidR="009917CE" w:rsidRPr="006571AC">
        <w:rPr>
          <w:rFonts w:hint="cs"/>
          <w:sz w:val="27"/>
          <w:rtl/>
          <w:lang w:bidi="ar-IQ"/>
        </w:rPr>
        <w:t>ٍ</w:t>
      </w:r>
      <w:r w:rsidRPr="006571AC">
        <w:rPr>
          <w:rFonts w:hint="cs"/>
          <w:sz w:val="27"/>
          <w:rtl/>
          <w:lang w:bidi="ar-IQ"/>
        </w:rPr>
        <w:t xml:space="preserve"> من هذه الأدلة على النحو </w:t>
      </w:r>
      <w:r w:rsidR="009917CE" w:rsidRPr="006571AC">
        <w:rPr>
          <w:rFonts w:hint="cs"/>
          <w:sz w:val="27"/>
          <w:rtl/>
          <w:lang w:bidi="ar-IQ"/>
        </w:rPr>
        <w:t>التالي</w:t>
      </w:r>
      <w:r w:rsidRPr="006571AC">
        <w:rPr>
          <w:rFonts w:hint="cs"/>
          <w:sz w:val="27"/>
          <w:rtl/>
          <w:lang w:bidi="ar-IQ"/>
        </w:rPr>
        <w:t xml:space="preserve">: </w:t>
      </w:r>
    </w:p>
    <w:p w:rsidR="00381A52" w:rsidRPr="006571AC" w:rsidRDefault="00381A52" w:rsidP="004B60B2">
      <w:pPr>
        <w:spacing w:line="420" w:lineRule="exact"/>
        <w:rPr>
          <w:sz w:val="27"/>
          <w:rtl/>
          <w:lang w:bidi="ar-IQ"/>
        </w:rPr>
      </w:pPr>
    </w:p>
    <w:p w:rsidR="00381A52" w:rsidRPr="006571AC" w:rsidRDefault="00332010" w:rsidP="00714072">
      <w:pPr>
        <w:pStyle w:val="31"/>
        <w:rPr>
          <w:color w:val="auto"/>
          <w:rtl/>
          <w:lang w:bidi="ar-IQ"/>
        </w:rPr>
      </w:pPr>
      <w:bookmarkStart w:id="119" w:name="_Toc114164608"/>
      <w:r w:rsidRPr="006571AC">
        <w:rPr>
          <w:rFonts w:hint="cs"/>
          <w:color w:val="auto"/>
          <w:rtl/>
          <w:lang w:bidi="ar-IQ"/>
        </w:rPr>
        <w:t xml:space="preserve">أـ </w:t>
      </w:r>
      <w:r w:rsidR="00381A52" w:rsidRPr="006571AC">
        <w:rPr>
          <w:rFonts w:ascii="Mosawi" w:hAnsi="Mosawi" w:cs="Mosawi"/>
          <w:color w:val="auto"/>
          <w:sz w:val="24"/>
          <w:szCs w:val="24"/>
          <w:rtl/>
        </w:rPr>
        <w:t>﴿</w:t>
      </w:r>
      <w:r w:rsidR="00381A52" w:rsidRPr="006571AC">
        <w:rPr>
          <w:color w:val="auto"/>
          <w:rtl/>
          <w:lang w:bidi="ar-IQ"/>
        </w:rPr>
        <w:t>أَوْفُوا بِالْعُقُودِ</w:t>
      </w:r>
      <w:r w:rsidR="00381A52" w:rsidRPr="006571AC">
        <w:rPr>
          <w:rFonts w:ascii="Mosawi" w:hAnsi="Mosawi" w:cs="Mosawi"/>
          <w:color w:val="auto"/>
          <w:sz w:val="24"/>
          <w:szCs w:val="24"/>
          <w:rtl/>
        </w:rPr>
        <w:t>﴾</w:t>
      </w:r>
      <w:bookmarkEnd w:id="119"/>
    </w:p>
    <w:p w:rsidR="00381A52" w:rsidRPr="006571AC" w:rsidRDefault="00381A52" w:rsidP="00B40C07">
      <w:pPr>
        <w:rPr>
          <w:sz w:val="27"/>
          <w:rtl/>
          <w:lang w:bidi="ar-IQ"/>
        </w:rPr>
      </w:pPr>
      <w:r w:rsidRPr="006571AC">
        <w:rPr>
          <w:rFonts w:hint="cs"/>
          <w:sz w:val="27"/>
          <w:rtl/>
          <w:lang w:bidi="ar-IQ"/>
        </w:rPr>
        <w:t xml:space="preserve">في تقريب الاستدلال بهذه الآية على صحّة الصلح الابتدائي </w:t>
      </w:r>
      <w:r w:rsidR="00B40C07" w:rsidRPr="006571AC">
        <w:rPr>
          <w:rFonts w:hint="cs"/>
          <w:sz w:val="27"/>
          <w:rtl/>
          <w:lang w:bidi="ar-IQ"/>
        </w:rPr>
        <w:t>نقول</w:t>
      </w:r>
      <w:r w:rsidRPr="006571AC">
        <w:rPr>
          <w:rFonts w:hint="cs"/>
          <w:sz w:val="27"/>
          <w:rtl/>
          <w:lang w:bidi="ar-IQ"/>
        </w:rPr>
        <w:t xml:space="preserve">: إن كلمة </w:t>
      </w:r>
      <w:r w:rsidRPr="006571AC">
        <w:rPr>
          <w:rFonts w:hint="eastAsia"/>
          <w:sz w:val="24"/>
          <w:szCs w:val="24"/>
          <w:rtl/>
        </w:rPr>
        <w:t>«</w:t>
      </w:r>
      <w:r w:rsidRPr="006571AC">
        <w:rPr>
          <w:rFonts w:hint="cs"/>
          <w:sz w:val="27"/>
          <w:rtl/>
          <w:lang w:bidi="ar-IQ"/>
        </w:rPr>
        <w:t>أ</w:t>
      </w:r>
      <w:r w:rsidR="009917CE" w:rsidRPr="006571AC">
        <w:rPr>
          <w:rFonts w:hint="cs"/>
          <w:sz w:val="27"/>
          <w:rtl/>
          <w:lang w:bidi="ar-IQ"/>
        </w:rPr>
        <w:t>َ</w:t>
      </w:r>
      <w:r w:rsidRPr="006571AC">
        <w:rPr>
          <w:rFonts w:hint="cs"/>
          <w:sz w:val="27"/>
          <w:rtl/>
          <w:lang w:bidi="ar-IQ"/>
        </w:rPr>
        <w:t>و</w:t>
      </w:r>
      <w:r w:rsidR="009917CE" w:rsidRPr="006571AC">
        <w:rPr>
          <w:rFonts w:hint="cs"/>
          <w:sz w:val="27"/>
          <w:rtl/>
          <w:lang w:bidi="ar-IQ"/>
        </w:rPr>
        <w:t>ْ</w:t>
      </w:r>
      <w:r w:rsidRPr="006571AC">
        <w:rPr>
          <w:rFonts w:hint="cs"/>
          <w:sz w:val="27"/>
          <w:rtl/>
          <w:lang w:bidi="ar-IQ"/>
        </w:rPr>
        <w:t>ف</w:t>
      </w:r>
      <w:r w:rsidR="009917CE" w:rsidRPr="006571AC">
        <w:rPr>
          <w:rFonts w:hint="cs"/>
          <w:sz w:val="27"/>
          <w:rtl/>
          <w:lang w:bidi="ar-IQ"/>
        </w:rPr>
        <w:t>ُ</w:t>
      </w:r>
      <w:r w:rsidRPr="006571AC">
        <w:rPr>
          <w:rFonts w:hint="cs"/>
          <w:sz w:val="27"/>
          <w:rtl/>
          <w:lang w:bidi="ar-IQ"/>
        </w:rPr>
        <w:t>وا</w:t>
      </w:r>
      <w:r w:rsidRPr="006571AC">
        <w:rPr>
          <w:rFonts w:hint="eastAsia"/>
          <w:sz w:val="24"/>
          <w:szCs w:val="24"/>
          <w:rtl/>
        </w:rPr>
        <w:t>»</w:t>
      </w:r>
      <w:r w:rsidRPr="006571AC">
        <w:rPr>
          <w:rFonts w:hint="cs"/>
          <w:sz w:val="27"/>
          <w:rtl/>
          <w:lang w:bidi="ar-IQ"/>
        </w:rPr>
        <w:t xml:space="preserve"> فعل</w:t>
      </w:r>
      <w:r w:rsidR="009917CE" w:rsidRPr="006571AC">
        <w:rPr>
          <w:rFonts w:hint="cs"/>
          <w:sz w:val="27"/>
          <w:rtl/>
          <w:lang w:bidi="ar-IQ"/>
        </w:rPr>
        <w:t>ُ</w:t>
      </w:r>
      <w:r w:rsidRPr="006571AC">
        <w:rPr>
          <w:rFonts w:hint="cs"/>
          <w:sz w:val="27"/>
          <w:rtl/>
          <w:lang w:bidi="ar-IQ"/>
        </w:rPr>
        <w:t xml:space="preserve"> أمر</w:t>
      </w:r>
      <w:r w:rsidR="009917CE" w:rsidRPr="006571AC">
        <w:rPr>
          <w:rFonts w:hint="cs"/>
          <w:sz w:val="27"/>
          <w:rtl/>
          <w:lang w:bidi="ar-IQ"/>
        </w:rPr>
        <w:t>ٍ</w:t>
      </w:r>
      <w:r w:rsidRPr="006571AC">
        <w:rPr>
          <w:rFonts w:hint="cs"/>
          <w:sz w:val="27"/>
          <w:rtl/>
          <w:lang w:bidi="ar-IQ"/>
        </w:rPr>
        <w:t>، ولها ظهور</w:t>
      </w:r>
      <w:r w:rsidR="009917CE" w:rsidRPr="006571AC">
        <w:rPr>
          <w:rFonts w:hint="cs"/>
          <w:sz w:val="27"/>
          <w:rtl/>
          <w:lang w:bidi="ar-IQ"/>
        </w:rPr>
        <w:t>ٌ</w:t>
      </w:r>
      <w:r w:rsidRPr="006571AC">
        <w:rPr>
          <w:rFonts w:hint="cs"/>
          <w:sz w:val="27"/>
          <w:rtl/>
          <w:lang w:bidi="ar-IQ"/>
        </w:rPr>
        <w:t xml:space="preserve"> في الوجوب. ومن ناحية</w:t>
      </w:r>
      <w:r w:rsidR="009917CE" w:rsidRPr="006571AC">
        <w:rPr>
          <w:rFonts w:hint="cs"/>
          <w:sz w:val="27"/>
          <w:rtl/>
          <w:lang w:bidi="ar-IQ"/>
        </w:rPr>
        <w:t>ٍ</w:t>
      </w:r>
      <w:r w:rsidRPr="006571AC">
        <w:rPr>
          <w:rFonts w:hint="cs"/>
          <w:sz w:val="27"/>
          <w:rtl/>
          <w:lang w:bidi="ar-IQ"/>
        </w:rPr>
        <w:t xml:space="preserve"> أخرى فإن كلمة </w:t>
      </w:r>
      <w:r w:rsidRPr="006571AC">
        <w:rPr>
          <w:rFonts w:hint="eastAsia"/>
          <w:sz w:val="24"/>
          <w:szCs w:val="24"/>
          <w:rtl/>
        </w:rPr>
        <w:t>«</w:t>
      </w:r>
      <w:r w:rsidRPr="006571AC">
        <w:rPr>
          <w:rFonts w:hint="cs"/>
          <w:sz w:val="27"/>
          <w:rtl/>
          <w:lang w:bidi="ar-IQ"/>
        </w:rPr>
        <w:t>العقود</w:t>
      </w:r>
      <w:r w:rsidRPr="006571AC">
        <w:rPr>
          <w:rFonts w:hint="eastAsia"/>
          <w:sz w:val="24"/>
          <w:szCs w:val="24"/>
          <w:rtl/>
        </w:rPr>
        <w:t>»</w:t>
      </w:r>
      <w:r w:rsidRPr="006571AC">
        <w:rPr>
          <w:rFonts w:hint="cs"/>
          <w:sz w:val="27"/>
          <w:rtl/>
          <w:lang w:bidi="ar-IQ"/>
        </w:rPr>
        <w:t xml:space="preserve"> قد جاء</w:t>
      </w:r>
      <w:r w:rsidR="009917CE" w:rsidRPr="006571AC">
        <w:rPr>
          <w:rFonts w:hint="cs"/>
          <w:sz w:val="27"/>
          <w:rtl/>
          <w:lang w:bidi="ar-IQ"/>
        </w:rPr>
        <w:t>َ</w:t>
      </w:r>
      <w:r w:rsidRPr="006571AC">
        <w:rPr>
          <w:rFonts w:hint="cs"/>
          <w:sz w:val="27"/>
          <w:rtl/>
          <w:lang w:bidi="ar-IQ"/>
        </w:rPr>
        <w:t>ت</w:t>
      </w:r>
      <w:r w:rsidR="009917CE" w:rsidRPr="006571AC">
        <w:rPr>
          <w:rFonts w:hint="cs"/>
          <w:sz w:val="27"/>
          <w:rtl/>
          <w:lang w:bidi="ar-IQ"/>
        </w:rPr>
        <w:t>ْ</w:t>
      </w:r>
      <w:r w:rsidRPr="006571AC">
        <w:rPr>
          <w:rFonts w:hint="cs"/>
          <w:sz w:val="27"/>
          <w:rtl/>
          <w:lang w:bidi="ar-IQ"/>
        </w:rPr>
        <w:t xml:space="preserve"> على صيغة الجمع المحلّى بالألف واللام، وقد ثبت في محله أن </w:t>
      </w:r>
      <w:r w:rsidRPr="006571AC">
        <w:rPr>
          <w:sz w:val="27"/>
          <w:rtl/>
          <w:lang w:bidi="ar-IQ"/>
        </w:rPr>
        <w:t>الجمع المحلّى بالألف واللام</w:t>
      </w:r>
      <w:r w:rsidRPr="006571AC">
        <w:rPr>
          <w:rFonts w:hint="cs"/>
          <w:sz w:val="27"/>
          <w:rtl/>
          <w:lang w:bidi="ar-IQ"/>
        </w:rPr>
        <w:t xml:space="preserve"> يفيد العموم</w:t>
      </w:r>
      <w:r w:rsidRPr="006571AC">
        <w:rPr>
          <w:sz w:val="27"/>
          <w:vertAlign w:val="superscript"/>
          <w:rtl/>
          <w:lang w:bidi="ar-IQ"/>
        </w:rPr>
        <w:t>(</w:t>
      </w:r>
      <w:r w:rsidRPr="006571AC">
        <w:rPr>
          <w:rStyle w:val="ac"/>
          <w:sz w:val="27"/>
          <w:rtl/>
          <w:lang w:bidi="ar-IQ"/>
        </w:rPr>
        <w:endnoteReference w:id="257"/>
      </w:r>
      <w:r w:rsidRPr="006571AC">
        <w:rPr>
          <w:sz w:val="27"/>
          <w:vertAlign w:val="superscript"/>
          <w:rtl/>
          <w:lang w:bidi="ar-IQ"/>
        </w:rPr>
        <w:t>)</w:t>
      </w:r>
      <w:r w:rsidRPr="006571AC">
        <w:rPr>
          <w:rFonts w:hint="cs"/>
          <w:sz w:val="27"/>
          <w:rtl/>
          <w:lang w:bidi="ar-IQ"/>
        </w:rPr>
        <w:t>. ومن ناحية</w:t>
      </w:r>
      <w:r w:rsidR="009917CE" w:rsidRPr="006571AC">
        <w:rPr>
          <w:rFonts w:hint="cs"/>
          <w:sz w:val="27"/>
          <w:rtl/>
          <w:lang w:bidi="ar-IQ"/>
        </w:rPr>
        <w:t>ٍ</w:t>
      </w:r>
      <w:r w:rsidRPr="006571AC">
        <w:rPr>
          <w:rFonts w:hint="cs"/>
          <w:sz w:val="27"/>
          <w:rtl/>
          <w:lang w:bidi="ar-IQ"/>
        </w:rPr>
        <w:t xml:space="preserve"> أخرى فإن العقد إما هو مطلق العهد ـ سواء أكان مشدّ</w:t>
      </w:r>
      <w:r w:rsidR="009917CE" w:rsidRPr="006571AC">
        <w:rPr>
          <w:rFonts w:hint="cs"/>
          <w:sz w:val="27"/>
          <w:rtl/>
          <w:lang w:bidi="ar-IQ"/>
        </w:rPr>
        <w:t>َ</w:t>
      </w:r>
      <w:r w:rsidRPr="006571AC">
        <w:rPr>
          <w:rFonts w:hint="cs"/>
          <w:sz w:val="27"/>
          <w:rtl/>
          <w:lang w:bidi="ar-IQ"/>
        </w:rPr>
        <w:t>داً أو غير مشدّ</w:t>
      </w:r>
      <w:r w:rsidR="009917CE" w:rsidRPr="006571AC">
        <w:rPr>
          <w:rFonts w:hint="cs"/>
          <w:sz w:val="27"/>
          <w:rtl/>
          <w:lang w:bidi="ar-IQ"/>
        </w:rPr>
        <w:t>َ</w:t>
      </w:r>
      <w:r w:rsidRPr="006571AC">
        <w:rPr>
          <w:rFonts w:hint="cs"/>
          <w:sz w:val="27"/>
          <w:rtl/>
          <w:lang w:bidi="ar-IQ"/>
        </w:rPr>
        <w:t>د ـ أو هو خصوص العهد الذي يُط</w:t>
      </w:r>
      <w:r w:rsidR="009917CE" w:rsidRPr="006571AC">
        <w:rPr>
          <w:rFonts w:hint="cs"/>
          <w:sz w:val="27"/>
          <w:rtl/>
          <w:lang w:bidi="ar-IQ"/>
        </w:rPr>
        <w:t>ْ</w:t>
      </w:r>
      <w:r w:rsidRPr="006571AC">
        <w:rPr>
          <w:rFonts w:hint="cs"/>
          <w:sz w:val="27"/>
          <w:rtl/>
          <w:lang w:bidi="ar-IQ"/>
        </w:rPr>
        <w:t>ل</w:t>
      </w:r>
      <w:r w:rsidR="009917CE" w:rsidRPr="006571AC">
        <w:rPr>
          <w:rFonts w:hint="cs"/>
          <w:sz w:val="27"/>
          <w:rtl/>
          <w:lang w:bidi="ar-IQ"/>
        </w:rPr>
        <w:t>َ</w:t>
      </w:r>
      <w:r w:rsidRPr="006571AC">
        <w:rPr>
          <w:rFonts w:hint="cs"/>
          <w:sz w:val="27"/>
          <w:rtl/>
          <w:lang w:bidi="ar-IQ"/>
        </w:rPr>
        <w:t>ق عليه عنوان العقد لغة</w:t>
      </w:r>
      <w:r w:rsidR="009917CE" w:rsidRPr="006571AC">
        <w:rPr>
          <w:rFonts w:hint="cs"/>
          <w:sz w:val="27"/>
          <w:rtl/>
          <w:lang w:bidi="ar-IQ"/>
        </w:rPr>
        <w:t>ً</w:t>
      </w:r>
      <w:r w:rsidRPr="006571AC">
        <w:rPr>
          <w:rFonts w:hint="cs"/>
          <w:sz w:val="27"/>
          <w:rtl/>
          <w:lang w:bidi="ar-IQ"/>
        </w:rPr>
        <w:t xml:space="preserve"> وعُر</w:t>
      </w:r>
      <w:r w:rsidR="009917CE" w:rsidRPr="006571AC">
        <w:rPr>
          <w:rFonts w:hint="cs"/>
          <w:sz w:val="27"/>
          <w:rtl/>
          <w:lang w:bidi="ar-IQ"/>
        </w:rPr>
        <w:t>ْ</w:t>
      </w:r>
      <w:r w:rsidRPr="006571AC">
        <w:rPr>
          <w:rFonts w:hint="cs"/>
          <w:sz w:val="27"/>
          <w:rtl/>
          <w:lang w:bidi="ar-IQ"/>
        </w:rPr>
        <w:t>فاً، وهو لا يكون إلا</w:t>
      </w:r>
      <w:r w:rsidR="009917CE" w:rsidRPr="006571AC">
        <w:rPr>
          <w:rFonts w:hint="cs"/>
          <w:sz w:val="27"/>
          <w:rtl/>
          <w:lang w:bidi="ar-IQ"/>
        </w:rPr>
        <w:t>ّ</w:t>
      </w:r>
      <w:r w:rsidRPr="006571AC">
        <w:rPr>
          <w:rFonts w:hint="cs"/>
          <w:sz w:val="27"/>
          <w:rtl/>
          <w:lang w:bidi="ar-IQ"/>
        </w:rPr>
        <w:t xml:space="preserve"> مشدّ</w:t>
      </w:r>
      <w:r w:rsidR="009917CE" w:rsidRPr="006571AC">
        <w:rPr>
          <w:rFonts w:hint="cs"/>
          <w:sz w:val="27"/>
          <w:rtl/>
          <w:lang w:bidi="ar-IQ"/>
        </w:rPr>
        <w:t>َ</w:t>
      </w:r>
      <w:r w:rsidRPr="006571AC">
        <w:rPr>
          <w:rFonts w:hint="cs"/>
          <w:sz w:val="27"/>
          <w:rtl/>
          <w:lang w:bidi="ar-IQ"/>
        </w:rPr>
        <w:t>داً، وهو يحتوي على طرفي الإيجاب والقبول، وحيث يكون دليلاً إمضائياً فإنه يكون ناظراً إلى العقود الجارية بين الع</w:t>
      </w:r>
      <w:r w:rsidR="009917CE" w:rsidRPr="006571AC">
        <w:rPr>
          <w:rFonts w:hint="cs"/>
          <w:sz w:val="27"/>
          <w:rtl/>
          <w:lang w:bidi="ar-IQ"/>
        </w:rPr>
        <w:t>ُ</w:t>
      </w:r>
      <w:r w:rsidRPr="006571AC">
        <w:rPr>
          <w:rFonts w:hint="cs"/>
          <w:sz w:val="27"/>
          <w:rtl/>
          <w:lang w:bidi="ar-IQ"/>
        </w:rPr>
        <w:t>ر</w:t>
      </w:r>
      <w:r w:rsidR="009917CE" w:rsidRPr="006571AC">
        <w:rPr>
          <w:rFonts w:hint="cs"/>
          <w:sz w:val="27"/>
          <w:rtl/>
          <w:lang w:bidi="ar-IQ"/>
        </w:rPr>
        <w:t>ْ</w:t>
      </w:r>
      <w:r w:rsidRPr="006571AC">
        <w:rPr>
          <w:rFonts w:hint="cs"/>
          <w:sz w:val="27"/>
          <w:rtl/>
          <w:lang w:bidi="ar-IQ"/>
        </w:rPr>
        <w:t xml:space="preserve">ف. </w:t>
      </w:r>
    </w:p>
    <w:p w:rsidR="00381A52" w:rsidRPr="006571AC" w:rsidRDefault="00381A52" w:rsidP="00552C10">
      <w:pPr>
        <w:rPr>
          <w:sz w:val="27"/>
          <w:rtl/>
          <w:lang w:bidi="ar-IQ"/>
        </w:rPr>
      </w:pPr>
      <w:r w:rsidRPr="006571AC">
        <w:rPr>
          <w:rFonts w:hint="cs"/>
          <w:sz w:val="27"/>
          <w:rtl/>
          <w:lang w:bidi="ar-IQ"/>
        </w:rPr>
        <w:t>إن معنى الوفاء بالعقد عبارة</w:t>
      </w:r>
      <w:r w:rsidR="009917CE" w:rsidRPr="006571AC">
        <w:rPr>
          <w:rFonts w:hint="cs"/>
          <w:sz w:val="27"/>
          <w:rtl/>
          <w:lang w:bidi="ar-IQ"/>
        </w:rPr>
        <w:t>ٌ</w:t>
      </w:r>
      <w:r w:rsidRPr="006571AC">
        <w:rPr>
          <w:rFonts w:hint="cs"/>
          <w:sz w:val="27"/>
          <w:rtl/>
          <w:lang w:bidi="ar-IQ"/>
        </w:rPr>
        <w:t xml:space="preserve"> عن العمل بمفاده ومقتضاه، أي ما تدل</w:t>
      </w:r>
      <w:r w:rsidR="009917CE" w:rsidRPr="006571AC">
        <w:rPr>
          <w:rFonts w:hint="cs"/>
          <w:sz w:val="27"/>
          <w:rtl/>
          <w:lang w:bidi="ar-IQ"/>
        </w:rPr>
        <w:t>ّ</w:t>
      </w:r>
      <w:r w:rsidRPr="006571AC">
        <w:rPr>
          <w:rFonts w:hint="cs"/>
          <w:sz w:val="27"/>
          <w:rtl/>
          <w:lang w:bidi="ar-IQ"/>
        </w:rPr>
        <w:t xml:space="preserve"> عليه صيغة العقد بالدلالة اللفظية. وفي محل</w:t>
      </w:r>
      <w:r w:rsidR="009917CE" w:rsidRPr="006571AC">
        <w:rPr>
          <w:rFonts w:hint="cs"/>
          <w:sz w:val="27"/>
          <w:rtl/>
          <w:lang w:bidi="ar-IQ"/>
        </w:rPr>
        <w:t>ّ</w:t>
      </w:r>
      <w:r w:rsidRPr="006571AC">
        <w:rPr>
          <w:rFonts w:hint="cs"/>
          <w:sz w:val="27"/>
          <w:rtl/>
          <w:lang w:bidi="ar-IQ"/>
        </w:rPr>
        <w:t xml:space="preserve"> بحثنا ـ الذي هو الصلح الابتدائي ـ يكون في الحقيقة إنشاء</w:t>
      </w:r>
      <w:r w:rsidR="009917CE" w:rsidRPr="006571AC">
        <w:rPr>
          <w:rFonts w:hint="cs"/>
          <w:sz w:val="27"/>
          <w:rtl/>
          <w:lang w:bidi="ar-IQ"/>
        </w:rPr>
        <w:t>ً</w:t>
      </w:r>
      <w:r w:rsidRPr="006571AC">
        <w:rPr>
          <w:rFonts w:hint="cs"/>
          <w:sz w:val="27"/>
          <w:rtl/>
          <w:lang w:bidi="ar-IQ"/>
        </w:rPr>
        <w:t xml:space="preserve"> للتسالم والتراضي بين الطرفين، ويُع</w:t>
      </w:r>
      <w:r w:rsidR="009917CE" w:rsidRPr="006571AC">
        <w:rPr>
          <w:rFonts w:hint="cs"/>
          <w:sz w:val="27"/>
          <w:rtl/>
          <w:lang w:bidi="ar-IQ"/>
        </w:rPr>
        <w:t>َ</w:t>
      </w:r>
      <w:r w:rsidRPr="006571AC">
        <w:rPr>
          <w:rFonts w:hint="cs"/>
          <w:sz w:val="27"/>
          <w:rtl/>
          <w:lang w:bidi="ar-IQ"/>
        </w:rPr>
        <w:t>دّ من مصاديق عقد الصلح؛ وعليه يجب الوفاء بمضمونه ومفاده قطعاً، ويجب أن تترتّ</w:t>
      </w:r>
      <w:r w:rsidR="00662CEA" w:rsidRPr="006571AC">
        <w:rPr>
          <w:rFonts w:hint="cs"/>
          <w:sz w:val="27"/>
          <w:rtl/>
          <w:lang w:bidi="ar-IQ"/>
        </w:rPr>
        <w:t>َ</w:t>
      </w:r>
      <w:r w:rsidRPr="006571AC">
        <w:rPr>
          <w:rFonts w:hint="cs"/>
          <w:sz w:val="27"/>
          <w:rtl/>
          <w:lang w:bidi="ar-IQ"/>
        </w:rPr>
        <w:t>ب الآثار الخارجية على هذا التسالم والتراضي. وبطبيعة الحال ما لم يكن العقد صحيحاً لن يكون هناك وجوب</w:t>
      </w:r>
      <w:r w:rsidR="00662CEA" w:rsidRPr="006571AC">
        <w:rPr>
          <w:rFonts w:hint="cs"/>
          <w:sz w:val="27"/>
          <w:rtl/>
          <w:lang w:bidi="ar-IQ"/>
        </w:rPr>
        <w:t>ٌ</w:t>
      </w:r>
      <w:r w:rsidRPr="006571AC">
        <w:rPr>
          <w:rFonts w:hint="cs"/>
          <w:sz w:val="27"/>
          <w:rtl/>
          <w:lang w:bidi="ar-IQ"/>
        </w:rPr>
        <w:t xml:space="preserve"> للوفاء أيضاً. </w:t>
      </w:r>
    </w:p>
    <w:p w:rsidR="00381A52" w:rsidRPr="006571AC" w:rsidRDefault="00381A52" w:rsidP="00552C10">
      <w:pPr>
        <w:rPr>
          <w:sz w:val="27"/>
          <w:rtl/>
          <w:lang w:bidi="ar-IQ"/>
        </w:rPr>
      </w:pPr>
      <w:r w:rsidRPr="006571AC">
        <w:rPr>
          <w:rFonts w:hint="cs"/>
          <w:sz w:val="27"/>
          <w:rtl/>
          <w:lang w:bidi="ar-IQ"/>
        </w:rPr>
        <w:t>يذهب بعض الفقهاء</w:t>
      </w:r>
      <w:r w:rsidRPr="006571AC">
        <w:rPr>
          <w:sz w:val="27"/>
          <w:vertAlign w:val="superscript"/>
          <w:rtl/>
          <w:lang w:bidi="ar-IQ"/>
        </w:rPr>
        <w:t>(</w:t>
      </w:r>
      <w:r w:rsidRPr="006571AC">
        <w:rPr>
          <w:rStyle w:val="ac"/>
          <w:sz w:val="27"/>
          <w:rtl/>
          <w:lang w:bidi="ar-IQ"/>
        </w:rPr>
        <w:endnoteReference w:id="258"/>
      </w:r>
      <w:r w:rsidRPr="006571AC">
        <w:rPr>
          <w:sz w:val="27"/>
          <w:vertAlign w:val="superscript"/>
          <w:rtl/>
          <w:lang w:bidi="ar-IQ"/>
        </w:rPr>
        <w:t>)</w:t>
      </w:r>
      <w:r w:rsidRPr="006571AC">
        <w:rPr>
          <w:rFonts w:hint="cs"/>
          <w:sz w:val="27"/>
          <w:rtl/>
          <w:lang w:bidi="ar-IQ"/>
        </w:rPr>
        <w:t xml:space="preserve"> إلى الاعتقاد بأن قوله تعالى: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sz w:val="27"/>
          <w:vertAlign w:val="superscript"/>
          <w:rtl/>
          <w:lang w:bidi="ar-IQ"/>
        </w:rPr>
        <w:t>(</w:t>
      </w:r>
      <w:r w:rsidRPr="006571AC">
        <w:rPr>
          <w:rStyle w:val="ac"/>
          <w:sz w:val="27"/>
          <w:rtl/>
          <w:lang w:bidi="ar-IQ"/>
        </w:rPr>
        <w:endnoteReference w:id="259"/>
      </w:r>
      <w:r w:rsidRPr="006571AC">
        <w:rPr>
          <w:sz w:val="27"/>
          <w:vertAlign w:val="superscript"/>
          <w:rtl/>
          <w:lang w:bidi="ar-IQ"/>
        </w:rPr>
        <w:t>)</w:t>
      </w:r>
      <w:r w:rsidRPr="006571AC">
        <w:rPr>
          <w:rFonts w:hint="cs"/>
          <w:sz w:val="27"/>
          <w:rtl/>
          <w:lang w:bidi="ar-IQ"/>
        </w:rPr>
        <w:t xml:space="preserve"> يمكن </w:t>
      </w:r>
      <w:r w:rsidRPr="006571AC">
        <w:rPr>
          <w:rFonts w:hint="cs"/>
          <w:sz w:val="27"/>
          <w:rtl/>
          <w:lang w:bidi="ar-IQ"/>
        </w:rPr>
        <w:lastRenderedPageBreak/>
        <w:t>أن يشمل جميع أنواع العقود التي لم ي</w:t>
      </w:r>
      <w:r w:rsidR="00662CEA" w:rsidRPr="006571AC">
        <w:rPr>
          <w:rFonts w:hint="cs"/>
          <w:sz w:val="27"/>
          <w:rtl/>
          <w:lang w:bidi="ar-IQ"/>
        </w:rPr>
        <w:t>َ</w:t>
      </w:r>
      <w:r w:rsidRPr="006571AC">
        <w:rPr>
          <w:rFonts w:hint="cs"/>
          <w:sz w:val="27"/>
          <w:rtl/>
          <w:lang w:bidi="ar-IQ"/>
        </w:rPr>
        <w:t>ن</w:t>
      </w:r>
      <w:r w:rsidR="00662CEA" w:rsidRPr="006571AC">
        <w:rPr>
          <w:rFonts w:hint="cs"/>
          <w:sz w:val="27"/>
          <w:rtl/>
          <w:lang w:bidi="ar-IQ"/>
        </w:rPr>
        <w:t>ْ</w:t>
      </w:r>
      <w:r w:rsidRPr="006571AC">
        <w:rPr>
          <w:rFonts w:hint="cs"/>
          <w:sz w:val="27"/>
          <w:rtl/>
          <w:lang w:bidi="ar-IQ"/>
        </w:rPr>
        <w:t>ه</w:t>
      </w:r>
      <w:r w:rsidR="00662CEA" w:rsidRPr="006571AC">
        <w:rPr>
          <w:rFonts w:hint="cs"/>
          <w:sz w:val="27"/>
          <w:rtl/>
          <w:lang w:bidi="ar-IQ"/>
        </w:rPr>
        <w:t>َ</w:t>
      </w:r>
      <w:r w:rsidRPr="006571AC">
        <w:rPr>
          <w:rFonts w:hint="cs"/>
          <w:sz w:val="27"/>
          <w:rtl/>
          <w:lang w:bidi="ar-IQ"/>
        </w:rPr>
        <w:t xml:space="preserve"> الشارع عنها بشكل</w:t>
      </w:r>
      <w:r w:rsidR="00662CEA" w:rsidRPr="006571AC">
        <w:rPr>
          <w:rFonts w:hint="cs"/>
          <w:sz w:val="27"/>
          <w:rtl/>
          <w:lang w:bidi="ar-IQ"/>
        </w:rPr>
        <w:t>ٍ</w:t>
      </w:r>
      <w:r w:rsidRPr="006571AC">
        <w:rPr>
          <w:rFonts w:hint="cs"/>
          <w:sz w:val="27"/>
          <w:rtl/>
          <w:lang w:bidi="ar-IQ"/>
        </w:rPr>
        <w:t xml:space="preserve"> خاص</w:t>
      </w:r>
      <w:r w:rsidR="00662CEA" w:rsidRPr="006571AC">
        <w:rPr>
          <w:rFonts w:hint="cs"/>
          <w:sz w:val="27"/>
          <w:rtl/>
          <w:lang w:bidi="ar-IQ"/>
        </w:rPr>
        <w:t>ّ،</w:t>
      </w:r>
      <w:r w:rsidRPr="006571AC">
        <w:rPr>
          <w:rFonts w:hint="cs"/>
          <w:sz w:val="27"/>
          <w:rtl/>
          <w:lang w:bidi="ar-IQ"/>
        </w:rPr>
        <w:t xml:space="preserve"> حت</w:t>
      </w:r>
      <w:r w:rsidR="00662CEA" w:rsidRPr="006571AC">
        <w:rPr>
          <w:rFonts w:hint="cs"/>
          <w:sz w:val="27"/>
          <w:rtl/>
          <w:lang w:bidi="ar-IQ"/>
        </w:rPr>
        <w:t>ّ</w:t>
      </w:r>
      <w:r w:rsidRPr="006571AC">
        <w:rPr>
          <w:rFonts w:hint="cs"/>
          <w:sz w:val="27"/>
          <w:rtl/>
          <w:lang w:bidi="ar-IQ"/>
        </w:rPr>
        <w:t>ى إذا كانت من العقود الجديدة والمست</w:t>
      </w:r>
      <w:r w:rsidR="00662CEA" w:rsidRPr="006571AC">
        <w:rPr>
          <w:rFonts w:hint="cs"/>
          <w:sz w:val="27"/>
          <w:rtl/>
          <w:lang w:bidi="ar-IQ"/>
        </w:rPr>
        <w:t>َ</w:t>
      </w:r>
      <w:r w:rsidRPr="006571AC">
        <w:rPr>
          <w:rFonts w:hint="cs"/>
          <w:sz w:val="27"/>
          <w:rtl/>
          <w:lang w:bidi="ar-IQ"/>
        </w:rPr>
        <w:t>حد</w:t>
      </w:r>
      <w:r w:rsidR="00662CEA" w:rsidRPr="006571AC">
        <w:rPr>
          <w:rFonts w:hint="cs"/>
          <w:sz w:val="27"/>
          <w:rtl/>
          <w:lang w:bidi="ar-IQ"/>
        </w:rPr>
        <w:t>َ</w:t>
      </w:r>
      <w:r w:rsidRPr="006571AC">
        <w:rPr>
          <w:rFonts w:hint="cs"/>
          <w:sz w:val="27"/>
          <w:rtl/>
          <w:lang w:bidi="ar-IQ"/>
        </w:rPr>
        <w:t>ثة التي لا يمكن العثور لها على أيّ سابقة</w:t>
      </w:r>
      <w:r w:rsidR="00662CEA" w:rsidRPr="006571AC">
        <w:rPr>
          <w:rFonts w:hint="cs"/>
          <w:sz w:val="27"/>
          <w:rtl/>
          <w:lang w:bidi="ar-IQ"/>
        </w:rPr>
        <w:t>ٍ</w:t>
      </w:r>
      <w:r w:rsidRPr="006571AC">
        <w:rPr>
          <w:rFonts w:hint="cs"/>
          <w:sz w:val="27"/>
          <w:rtl/>
          <w:lang w:bidi="ar-IQ"/>
        </w:rPr>
        <w:t xml:space="preserve"> في الكتاب والسن</w:t>
      </w:r>
      <w:r w:rsidR="00662CEA" w:rsidRPr="006571AC">
        <w:rPr>
          <w:rFonts w:hint="cs"/>
          <w:sz w:val="27"/>
          <w:rtl/>
          <w:lang w:bidi="ar-IQ"/>
        </w:rPr>
        <w:t>ّ</w:t>
      </w:r>
      <w:r w:rsidRPr="006571AC">
        <w:rPr>
          <w:rFonts w:hint="cs"/>
          <w:sz w:val="27"/>
          <w:rtl/>
          <w:lang w:bidi="ar-IQ"/>
        </w:rPr>
        <w:t>ة. وبعبارة</w:t>
      </w:r>
      <w:r w:rsidR="00662CEA" w:rsidRPr="006571AC">
        <w:rPr>
          <w:rFonts w:hint="cs"/>
          <w:sz w:val="27"/>
          <w:rtl/>
          <w:lang w:bidi="ar-IQ"/>
        </w:rPr>
        <w:t>ٍ</w:t>
      </w:r>
      <w:r w:rsidRPr="006571AC">
        <w:rPr>
          <w:rFonts w:hint="cs"/>
          <w:sz w:val="27"/>
          <w:rtl/>
          <w:lang w:bidi="ar-IQ"/>
        </w:rPr>
        <w:t xml:space="preserve"> أخرى: إن الذين لا يقولون بتوقيفية العقود، ولا يحصرون المعاوضات في العناوين الخاصّة، يثبتون مشروعية العقود المست</w:t>
      </w:r>
      <w:r w:rsidR="00662CEA" w:rsidRPr="006571AC">
        <w:rPr>
          <w:rFonts w:hint="cs"/>
          <w:sz w:val="27"/>
          <w:rtl/>
          <w:lang w:bidi="ar-IQ"/>
        </w:rPr>
        <w:t>َ</w:t>
      </w:r>
      <w:r w:rsidRPr="006571AC">
        <w:rPr>
          <w:rFonts w:hint="cs"/>
          <w:sz w:val="27"/>
          <w:rtl/>
          <w:lang w:bidi="ar-IQ"/>
        </w:rPr>
        <w:t>ح</w:t>
      </w:r>
      <w:r w:rsidR="00662CEA" w:rsidRPr="006571AC">
        <w:rPr>
          <w:rFonts w:hint="cs"/>
          <w:sz w:val="27"/>
          <w:rtl/>
          <w:lang w:bidi="ar-IQ"/>
        </w:rPr>
        <w:t>ْ</w:t>
      </w:r>
      <w:r w:rsidRPr="006571AC">
        <w:rPr>
          <w:rFonts w:hint="cs"/>
          <w:sz w:val="27"/>
          <w:rtl/>
          <w:lang w:bidi="ar-IQ"/>
        </w:rPr>
        <w:t>د</w:t>
      </w:r>
      <w:r w:rsidR="00662CEA" w:rsidRPr="006571AC">
        <w:rPr>
          <w:rFonts w:hint="cs"/>
          <w:sz w:val="27"/>
          <w:rtl/>
          <w:lang w:bidi="ar-IQ"/>
        </w:rPr>
        <w:t>َ</w:t>
      </w:r>
      <w:r w:rsidRPr="006571AC">
        <w:rPr>
          <w:rFonts w:hint="cs"/>
          <w:sz w:val="27"/>
          <w:rtl/>
          <w:lang w:bidi="ar-IQ"/>
        </w:rPr>
        <w:t xml:space="preserve">ثة بالدليل </w:t>
      </w:r>
      <w:r w:rsidR="00662CEA" w:rsidRPr="006571AC">
        <w:rPr>
          <w:rFonts w:hint="cs"/>
          <w:sz w:val="27"/>
          <w:rtl/>
          <w:lang w:bidi="ar-IQ"/>
        </w:rPr>
        <w:t>المتقدِّم</w:t>
      </w:r>
      <w:r w:rsidRPr="006571AC">
        <w:rPr>
          <w:rFonts w:hint="cs"/>
          <w:sz w:val="27"/>
          <w:rtl/>
          <w:lang w:bidi="ar-IQ"/>
        </w:rPr>
        <w:t xml:space="preserve">. </w:t>
      </w:r>
    </w:p>
    <w:p w:rsidR="00381A52" w:rsidRPr="006571AC" w:rsidRDefault="00381A52" w:rsidP="00065CA5">
      <w:pPr>
        <w:rPr>
          <w:sz w:val="27"/>
          <w:rtl/>
          <w:lang w:bidi="ar-IQ"/>
        </w:rPr>
      </w:pPr>
      <w:r w:rsidRPr="006571AC">
        <w:rPr>
          <w:rFonts w:hint="cs"/>
          <w:sz w:val="27"/>
          <w:rtl/>
          <w:lang w:bidi="ar-IQ"/>
        </w:rPr>
        <w:t>والآن في ضوء نظرية مشروعية الصلح الابتدائي، سواء كن</w:t>
      </w:r>
      <w:r w:rsidR="00065CA5" w:rsidRPr="006571AC">
        <w:rPr>
          <w:rFonts w:hint="cs"/>
          <w:sz w:val="27"/>
          <w:rtl/>
          <w:lang w:bidi="ar-IQ"/>
        </w:rPr>
        <w:t>ّ</w:t>
      </w:r>
      <w:r w:rsidRPr="006571AC">
        <w:rPr>
          <w:rFonts w:hint="cs"/>
          <w:sz w:val="27"/>
          <w:rtl/>
          <w:lang w:bidi="ar-IQ"/>
        </w:rPr>
        <w:t>ا من القائلين بتوقيفية العقود أ</w:t>
      </w:r>
      <w:r w:rsidR="00662CEA" w:rsidRPr="006571AC">
        <w:rPr>
          <w:rFonts w:hint="cs"/>
          <w:sz w:val="27"/>
          <w:rtl/>
          <w:lang w:bidi="ar-IQ"/>
        </w:rPr>
        <w:t>م</w:t>
      </w:r>
      <w:r w:rsidRPr="006571AC">
        <w:rPr>
          <w:rFonts w:hint="cs"/>
          <w:sz w:val="27"/>
          <w:rtl/>
          <w:lang w:bidi="ar-IQ"/>
        </w:rPr>
        <w:t xml:space="preserve"> لم نكن من القائلين بها، يمكن لنا بواسطة الأدل</w:t>
      </w:r>
      <w:r w:rsidR="00662CEA" w:rsidRPr="006571AC">
        <w:rPr>
          <w:rFonts w:hint="cs"/>
          <w:sz w:val="27"/>
          <w:rtl/>
          <w:lang w:bidi="ar-IQ"/>
        </w:rPr>
        <w:t>ّ</w:t>
      </w:r>
      <w:r w:rsidRPr="006571AC">
        <w:rPr>
          <w:rFonts w:hint="cs"/>
          <w:sz w:val="27"/>
          <w:rtl/>
          <w:lang w:bidi="ar-IQ"/>
        </w:rPr>
        <w:t>ة العامة المذكورة آنفاً أن نثبت المشروعية للصلح الابتدائي؛ إذ حت</w:t>
      </w:r>
      <w:r w:rsidR="00662CEA" w:rsidRPr="006571AC">
        <w:rPr>
          <w:rFonts w:hint="cs"/>
          <w:sz w:val="27"/>
          <w:rtl/>
          <w:lang w:bidi="ar-IQ"/>
        </w:rPr>
        <w:t>ّ</w:t>
      </w:r>
      <w:r w:rsidRPr="006571AC">
        <w:rPr>
          <w:rFonts w:hint="cs"/>
          <w:sz w:val="27"/>
          <w:rtl/>
          <w:lang w:bidi="ar-IQ"/>
        </w:rPr>
        <w:t>ى لو اد</w:t>
      </w:r>
      <w:r w:rsidR="00662CEA" w:rsidRPr="006571AC">
        <w:rPr>
          <w:rFonts w:hint="cs"/>
          <w:sz w:val="27"/>
          <w:rtl/>
          <w:lang w:bidi="ar-IQ"/>
        </w:rPr>
        <w:t>َّ</w:t>
      </w:r>
      <w:r w:rsidRPr="006571AC">
        <w:rPr>
          <w:rFonts w:hint="cs"/>
          <w:sz w:val="27"/>
          <w:rtl/>
          <w:lang w:bidi="ar-IQ"/>
        </w:rPr>
        <w:t xml:space="preserve">عينا بأن </w:t>
      </w:r>
      <w:r w:rsidR="00662CEA" w:rsidRPr="006571AC">
        <w:rPr>
          <w:rFonts w:hint="cs"/>
          <w:sz w:val="27"/>
          <w:rtl/>
          <w:lang w:bidi="ar-IQ"/>
        </w:rPr>
        <w:t xml:space="preserve">المتقدِّمين كانوا يلجأون إلى </w:t>
      </w:r>
      <w:r w:rsidRPr="006571AC">
        <w:rPr>
          <w:rFonts w:hint="cs"/>
          <w:sz w:val="27"/>
          <w:rtl/>
          <w:lang w:bidi="ar-IQ"/>
        </w:rPr>
        <w:t>عقد الصلح ـ بسبب ظهور مفردة الصلح في سبق النزاع ـ لرفع الخصومة، إلا</w:t>
      </w:r>
      <w:r w:rsidR="00662CEA" w:rsidRPr="006571AC">
        <w:rPr>
          <w:rFonts w:hint="cs"/>
          <w:sz w:val="27"/>
          <w:rtl/>
          <w:lang w:bidi="ar-IQ"/>
        </w:rPr>
        <w:t>ّ</w:t>
      </w:r>
      <w:r w:rsidRPr="006571AC">
        <w:rPr>
          <w:rFonts w:hint="cs"/>
          <w:sz w:val="27"/>
          <w:rtl/>
          <w:lang w:bidi="ar-IQ"/>
        </w:rPr>
        <w:t xml:space="preserve"> أن مساحته </w:t>
      </w:r>
      <w:r w:rsidRPr="006571AC">
        <w:rPr>
          <w:sz w:val="27"/>
          <w:rtl/>
          <w:lang w:bidi="ar-IQ"/>
        </w:rPr>
        <w:t>قد ات</w:t>
      </w:r>
      <w:r w:rsidR="00662CEA" w:rsidRPr="006571AC">
        <w:rPr>
          <w:rFonts w:hint="cs"/>
          <w:sz w:val="27"/>
          <w:rtl/>
          <w:lang w:bidi="ar-IQ"/>
        </w:rPr>
        <w:t>َّ</w:t>
      </w:r>
      <w:r w:rsidRPr="006571AC">
        <w:rPr>
          <w:sz w:val="27"/>
          <w:rtl/>
          <w:lang w:bidi="ar-IQ"/>
        </w:rPr>
        <w:t>سعت</w:t>
      </w:r>
      <w:r w:rsidRPr="006571AC">
        <w:rPr>
          <w:sz w:val="27"/>
          <w:rtl/>
        </w:rPr>
        <w:t xml:space="preserve"> </w:t>
      </w:r>
      <w:r w:rsidRPr="006571AC">
        <w:rPr>
          <w:sz w:val="27"/>
          <w:rtl/>
          <w:lang w:bidi="ar-IQ"/>
        </w:rPr>
        <w:t xml:space="preserve">شيئاً </w:t>
      </w:r>
      <w:r w:rsidRPr="006571AC">
        <w:rPr>
          <w:rFonts w:hint="cs"/>
          <w:sz w:val="27"/>
          <w:rtl/>
          <w:lang w:bidi="ar-IQ"/>
        </w:rPr>
        <w:t xml:space="preserve">فشيئاً في </w:t>
      </w:r>
      <w:r w:rsidRPr="006571AC">
        <w:rPr>
          <w:sz w:val="27"/>
          <w:rtl/>
          <w:lang w:bidi="ar-IQ"/>
        </w:rPr>
        <w:t>فقه الإمامية</w:t>
      </w:r>
      <w:r w:rsidRPr="006571AC">
        <w:rPr>
          <w:rFonts w:hint="cs"/>
          <w:sz w:val="27"/>
          <w:rtl/>
          <w:lang w:bidi="ar-IQ"/>
        </w:rPr>
        <w:t>، وات</w:t>
      </w:r>
      <w:r w:rsidR="00764020" w:rsidRPr="006571AC">
        <w:rPr>
          <w:rFonts w:hint="cs"/>
          <w:sz w:val="27"/>
          <w:rtl/>
          <w:lang w:bidi="ar-IQ"/>
        </w:rPr>
        <w:t>َّ</w:t>
      </w:r>
      <w:r w:rsidRPr="006571AC">
        <w:rPr>
          <w:rFonts w:hint="cs"/>
          <w:sz w:val="27"/>
          <w:rtl/>
          <w:lang w:bidi="ar-IQ"/>
        </w:rPr>
        <w:t>خذ شكلاً جديداً. والآن إذا لم نق</w:t>
      </w:r>
      <w:r w:rsidR="00065CA5" w:rsidRPr="006571AC">
        <w:rPr>
          <w:rFonts w:hint="cs"/>
          <w:sz w:val="27"/>
          <w:rtl/>
          <w:lang w:bidi="ar-IQ"/>
        </w:rPr>
        <w:t>ُ</w:t>
      </w:r>
      <w:r w:rsidRPr="006571AC">
        <w:rPr>
          <w:rFonts w:hint="cs"/>
          <w:sz w:val="27"/>
          <w:rtl/>
          <w:lang w:bidi="ar-IQ"/>
        </w:rPr>
        <w:t>ل</w:t>
      </w:r>
      <w:r w:rsidR="00065CA5" w:rsidRPr="006571AC">
        <w:rPr>
          <w:rFonts w:hint="cs"/>
          <w:sz w:val="27"/>
          <w:rtl/>
          <w:lang w:bidi="ar-IQ"/>
        </w:rPr>
        <w:t>ْ</w:t>
      </w:r>
      <w:r w:rsidRPr="006571AC">
        <w:rPr>
          <w:rFonts w:hint="cs"/>
          <w:sz w:val="27"/>
          <w:rtl/>
          <w:lang w:bidi="ar-IQ"/>
        </w:rPr>
        <w:t xml:space="preserve"> بتوقيفية العقود أمكن لنا الاد</w:t>
      </w:r>
      <w:r w:rsidR="00764020" w:rsidRPr="006571AC">
        <w:rPr>
          <w:rFonts w:hint="cs"/>
          <w:sz w:val="27"/>
          <w:rtl/>
          <w:lang w:bidi="ar-IQ"/>
        </w:rPr>
        <w:t>ّ</w:t>
      </w:r>
      <w:r w:rsidRPr="006571AC">
        <w:rPr>
          <w:rFonts w:hint="cs"/>
          <w:sz w:val="27"/>
          <w:rtl/>
          <w:lang w:bidi="ar-IQ"/>
        </w:rPr>
        <w:t>عاء بأن عقد الصلح الفعلي الذي توسّ</w:t>
      </w:r>
      <w:r w:rsidR="00764020" w:rsidRPr="006571AC">
        <w:rPr>
          <w:rFonts w:hint="cs"/>
          <w:sz w:val="27"/>
          <w:rtl/>
          <w:lang w:bidi="ar-IQ"/>
        </w:rPr>
        <w:t>َ</w:t>
      </w:r>
      <w:r w:rsidRPr="006571AC">
        <w:rPr>
          <w:rFonts w:hint="cs"/>
          <w:sz w:val="27"/>
          <w:rtl/>
          <w:lang w:bidi="ar-IQ"/>
        </w:rPr>
        <w:t>ع</w:t>
      </w:r>
      <w:r w:rsidR="00764020" w:rsidRPr="006571AC">
        <w:rPr>
          <w:rFonts w:hint="cs"/>
          <w:sz w:val="27"/>
          <w:rtl/>
          <w:lang w:bidi="ar-IQ"/>
        </w:rPr>
        <w:t>َ</w:t>
      </w:r>
      <w:r w:rsidRPr="006571AC">
        <w:rPr>
          <w:rFonts w:hint="cs"/>
          <w:sz w:val="27"/>
          <w:rtl/>
          <w:lang w:bidi="ar-IQ"/>
        </w:rPr>
        <w:t>ت</w:t>
      </w:r>
      <w:r w:rsidR="00764020" w:rsidRPr="006571AC">
        <w:rPr>
          <w:rFonts w:hint="cs"/>
          <w:sz w:val="27"/>
          <w:rtl/>
          <w:lang w:bidi="ar-IQ"/>
        </w:rPr>
        <w:t>ْ</w:t>
      </w:r>
      <w:r w:rsidRPr="006571AC">
        <w:rPr>
          <w:rFonts w:hint="cs"/>
          <w:sz w:val="27"/>
          <w:rtl/>
          <w:lang w:bidi="ar-IQ"/>
        </w:rPr>
        <w:t xml:space="preserve"> دائرته عند الفقهاء</w:t>
      </w:r>
      <w:r w:rsidR="00764020" w:rsidRPr="006571AC">
        <w:rPr>
          <w:rFonts w:hint="cs"/>
          <w:sz w:val="27"/>
          <w:rtl/>
          <w:lang w:bidi="ar-IQ"/>
        </w:rPr>
        <w:t xml:space="preserve"> </w:t>
      </w:r>
      <w:r w:rsidRPr="006571AC">
        <w:rPr>
          <w:rFonts w:hint="cs"/>
          <w:sz w:val="27"/>
          <w:rtl/>
          <w:lang w:bidi="ar-IQ"/>
        </w:rPr>
        <w:t>عقد</w:t>
      </w:r>
      <w:r w:rsidR="00764020" w:rsidRPr="006571AC">
        <w:rPr>
          <w:rFonts w:hint="cs"/>
          <w:sz w:val="27"/>
          <w:rtl/>
          <w:lang w:bidi="ar-IQ"/>
        </w:rPr>
        <w:t>ٌ</w:t>
      </w:r>
      <w:r w:rsidRPr="006571AC">
        <w:rPr>
          <w:rFonts w:hint="cs"/>
          <w:sz w:val="27"/>
          <w:rtl/>
          <w:lang w:bidi="ar-IQ"/>
        </w:rPr>
        <w:t xml:space="preserve"> مست</w:t>
      </w:r>
      <w:r w:rsidR="00764020" w:rsidRPr="006571AC">
        <w:rPr>
          <w:rFonts w:hint="cs"/>
          <w:sz w:val="27"/>
          <w:rtl/>
          <w:lang w:bidi="ar-IQ"/>
        </w:rPr>
        <w:t>َ</w:t>
      </w:r>
      <w:r w:rsidRPr="006571AC">
        <w:rPr>
          <w:rFonts w:hint="cs"/>
          <w:sz w:val="27"/>
          <w:rtl/>
          <w:lang w:bidi="ar-IQ"/>
        </w:rPr>
        <w:t>ح</w:t>
      </w:r>
      <w:r w:rsidR="00764020" w:rsidRPr="006571AC">
        <w:rPr>
          <w:rFonts w:hint="cs"/>
          <w:sz w:val="27"/>
          <w:rtl/>
          <w:lang w:bidi="ar-IQ"/>
        </w:rPr>
        <w:t>ْ</w:t>
      </w:r>
      <w:r w:rsidRPr="006571AC">
        <w:rPr>
          <w:rFonts w:hint="cs"/>
          <w:sz w:val="27"/>
          <w:rtl/>
          <w:lang w:bidi="ar-IQ"/>
        </w:rPr>
        <w:t>د</w:t>
      </w:r>
      <w:r w:rsidR="00764020" w:rsidRPr="006571AC">
        <w:rPr>
          <w:rFonts w:hint="cs"/>
          <w:sz w:val="27"/>
          <w:rtl/>
          <w:lang w:bidi="ar-IQ"/>
        </w:rPr>
        <w:t>َ</w:t>
      </w:r>
      <w:r w:rsidRPr="006571AC">
        <w:rPr>
          <w:rFonts w:hint="cs"/>
          <w:sz w:val="27"/>
          <w:rtl/>
          <w:lang w:bidi="ar-IQ"/>
        </w:rPr>
        <w:t>ث وجديد</w:t>
      </w:r>
      <w:r w:rsidR="00764020" w:rsidRPr="006571AC">
        <w:rPr>
          <w:rFonts w:hint="cs"/>
          <w:sz w:val="27"/>
          <w:rtl/>
          <w:lang w:bidi="ar-IQ"/>
        </w:rPr>
        <w:t>،</w:t>
      </w:r>
      <w:r w:rsidRPr="006571AC">
        <w:rPr>
          <w:rFonts w:hint="cs"/>
          <w:sz w:val="27"/>
          <w:rtl/>
          <w:lang w:bidi="ar-IQ"/>
        </w:rPr>
        <w:t xml:space="preserve"> لم ي</w:t>
      </w:r>
      <w:r w:rsidR="00764020" w:rsidRPr="006571AC">
        <w:rPr>
          <w:rFonts w:hint="cs"/>
          <w:sz w:val="27"/>
          <w:rtl/>
          <w:lang w:bidi="ar-IQ"/>
        </w:rPr>
        <w:t>َ</w:t>
      </w:r>
      <w:r w:rsidRPr="006571AC">
        <w:rPr>
          <w:rFonts w:hint="cs"/>
          <w:sz w:val="27"/>
          <w:rtl/>
          <w:lang w:bidi="ar-IQ"/>
        </w:rPr>
        <w:t>ر</w:t>
      </w:r>
      <w:r w:rsidR="00764020" w:rsidRPr="006571AC">
        <w:rPr>
          <w:rFonts w:hint="cs"/>
          <w:sz w:val="27"/>
          <w:rtl/>
          <w:lang w:bidi="ar-IQ"/>
        </w:rPr>
        <w:t>ِ</w:t>
      </w:r>
      <w:r w:rsidRPr="006571AC">
        <w:rPr>
          <w:rFonts w:hint="cs"/>
          <w:sz w:val="27"/>
          <w:rtl/>
          <w:lang w:bidi="ar-IQ"/>
        </w:rPr>
        <w:t>د</w:t>
      </w:r>
      <w:r w:rsidR="00764020" w:rsidRPr="006571AC">
        <w:rPr>
          <w:rFonts w:hint="cs"/>
          <w:sz w:val="27"/>
          <w:rtl/>
          <w:lang w:bidi="ar-IQ"/>
        </w:rPr>
        <w:t>ْ</w:t>
      </w:r>
      <w:r w:rsidRPr="006571AC">
        <w:rPr>
          <w:rFonts w:hint="cs"/>
          <w:sz w:val="27"/>
          <w:rtl/>
          <w:lang w:bidi="ar-IQ"/>
        </w:rPr>
        <w:t xml:space="preserve"> ر</w:t>
      </w:r>
      <w:r w:rsidR="00764020" w:rsidRPr="006571AC">
        <w:rPr>
          <w:rFonts w:hint="cs"/>
          <w:sz w:val="27"/>
          <w:rtl/>
          <w:lang w:bidi="ar-IQ"/>
        </w:rPr>
        <w:t>َ</w:t>
      </w:r>
      <w:r w:rsidRPr="006571AC">
        <w:rPr>
          <w:rFonts w:hint="cs"/>
          <w:sz w:val="27"/>
          <w:rtl/>
          <w:lang w:bidi="ar-IQ"/>
        </w:rPr>
        <w:t>د</w:t>
      </w:r>
      <w:r w:rsidR="00764020" w:rsidRPr="006571AC">
        <w:rPr>
          <w:rFonts w:hint="cs"/>
          <w:sz w:val="27"/>
          <w:rtl/>
          <w:lang w:bidi="ar-IQ"/>
        </w:rPr>
        <w:t>ْ</w:t>
      </w:r>
      <w:r w:rsidRPr="006571AC">
        <w:rPr>
          <w:rFonts w:hint="cs"/>
          <w:sz w:val="27"/>
          <w:rtl/>
          <w:lang w:bidi="ar-IQ"/>
        </w:rPr>
        <w:t>ع</w:t>
      </w:r>
      <w:r w:rsidR="00764020" w:rsidRPr="006571AC">
        <w:rPr>
          <w:rFonts w:hint="cs"/>
          <w:sz w:val="27"/>
          <w:rtl/>
          <w:lang w:bidi="ar-IQ"/>
        </w:rPr>
        <w:t>ٌ</w:t>
      </w:r>
      <w:r w:rsidRPr="006571AC">
        <w:rPr>
          <w:rFonts w:hint="cs"/>
          <w:sz w:val="27"/>
          <w:rtl/>
          <w:lang w:bidi="ar-IQ"/>
        </w:rPr>
        <w:t xml:space="preserve"> عنه من ق</w:t>
      </w:r>
      <w:r w:rsidR="00764020" w:rsidRPr="006571AC">
        <w:rPr>
          <w:rFonts w:hint="cs"/>
          <w:sz w:val="27"/>
          <w:rtl/>
          <w:lang w:bidi="ar-IQ"/>
        </w:rPr>
        <w:t>ِ</w:t>
      </w:r>
      <w:r w:rsidRPr="006571AC">
        <w:rPr>
          <w:rFonts w:hint="cs"/>
          <w:sz w:val="27"/>
          <w:rtl/>
          <w:lang w:bidi="ar-IQ"/>
        </w:rPr>
        <w:t>ب</w:t>
      </w:r>
      <w:r w:rsidR="00764020" w:rsidRPr="006571AC">
        <w:rPr>
          <w:rFonts w:hint="cs"/>
          <w:sz w:val="27"/>
          <w:rtl/>
          <w:lang w:bidi="ar-IQ"/>
        </w:rPr>
        <w:t>َ</w:t>
      </w:r>
      <w:r w:rsidRPr="006571AC">
        <w:rPr>
          <w:rFonts w:hint="cs"/>
          <w:sz w:val="27"/>
          <w:rtl/>
          <w:lang w:bidi="ar-IQ"/>
        </w:rPr>
        <w:t>ل الشارع المقدّ</w:t>
      </w:r>
      <w:r w:rsidR="00764020" w:rsidRPr="006571AC">
        <w:rPr>
          <w:rFonts w:hint="cs"/>
          <w:sz w:val="27"/>
          <w:rtl/>
          <w:lang w:bidi="ar-IQ"/>
        </w:rPr>
        <w:t>َ</w:t>
      </w:r>
      <w:r w:rsidRPr="006571AC">
        <w:rPr>
          <w:rFonts w:hint="cs"/>
          <w:sz w:val="27"/>
          <w:rtl/>
          <w:lang w:bidi="ar-IQ"/>
        </w:rPr>
        <w:t>س؛ فيكون مشمولاً لدليل</w:t>
      </w:r>
      <w:r w:rsidR="00764020" w:rsidRPr="006571AC">
        <w:rPr>
          <w:rFonts w:ascii="Mosawi" w:hAnsi="Mosawi" w:cs="Mosawi" w:hint="cs"/>
          <w:sz w:val="24"/>
          <w:szCs w:val="24"/>
          <w:rtl/>
        </w:rPr>
        <w:t xml:space="preserve">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rFonts w:hint="cs"/>
          <w:sz w:val="27"/>
          <w:rtl/>
          <w:lang w:bidi="ar-IQ"/>
        </w:rPr>
        <w:t>، وإن</w:t>
      </w:r>
      <w:r w:rsidR="00764020" w:rsidRPr="006571AC">
        <w:rPr>
          <w:rFonts w:hint="cs"/>
          <w:sz w:val="27"/>
          <w:rtl/>
          <w:lang w:bidi="ar-IQ"/>
        </w:rPr>
        <w:t>ْ</w:t>
      </w:r>
      <w:r w:rsidRPr="006571AC">
        <w:rPr>
          <w:rFonts w:hint="cs"/>
          <w:sz w:val="27"/>
          <w:rtl/>
          <w:lang w:bidi="ar-IQ"/>
        </w:rPr>
        <w:t xml:space="preserve"> لم نستطع إثبات مشروعي</w:t>
      </w:r>
      <w:r w:rsidR="00764020" w:rsidRPr="006571AC">
        <w:rPr>
          <w:rFonts w:hint="cs"/>
          <w:sz w:val="27"/>
          <w:rtl/>
          <w:lang w:bidi="ar-IQ"/>
        </w:rPr>
        <w:t>ّ</w:t>
      </w:r>
      <w:r w:rsidRPr="006571AC">
        <w:rPr>
          <w:rFonts w:hint="cs"/>
          <w:sz w:val="27"/>
          <w:rtl/>
          <w:lang w:bidi="ar-IQ"/>
        </w:rPr>
        <w:t>ته بالأدلة العامة والخاص</w:t>
      </w:r>
      <w:r w:rsidR="00764020" w:rsidRPr="006571AC">
        <w:rPr>
          <w:rFonts w:hint="cs"/>
          <w:sz w:val="27"/>
          <w:rtl/>
          <w:lang w:bidi="ar-IQ"/>
        </w:rPr>
        <w:t>ّ</w:t>
      </w:r>
      <w:r w:rsidRPr="006571AC">
        <w:rPr>
          <w:rFonts w:hint="cs"/>
          <w:sz w:val="27"/>
          <w:rtl/>
          <w:lang w:bidi="ar-IQ"/>
        </w:rPr>
        <w:t xml:space="preserve">ة لذات عقد الصلح. </w:t>
      </w:r>
    </w:p>
    <w:p w:rsidR="00381A52" w:rsidRPr="006571AC" w:rsidRDefault="00381A52" w:rsidP="00552C10">
      <w:pPr>
        <w:rPr>
          <w:sz w:val="27"/>
          <w:rtl/>
          <w:lang w:bidi="ar-IQ"/>
        </w:rPr>
      </w:pPr>
      <w:r w:rsidRPr="006571AC">
        <w:rPr>
          <w:rFonts w:hint="cs"/>
          <w:sz w:val="27"/>
          <w:rtl/>
          <w:lang w:bidi="ar-IQ"/>
        </w:rPr>
        <w:t>وأما لو ارتض</w:t>
      </w:r>
      <w:r w:rsidR="00764020" w:rsidRPr="006571AC">
        <w:rPr>
          <w:rFonts w:hint="cs"/>
          <w:sz w:val="27"/>
          <w:rtl/>
          <w:lang w:bidi="ar-IQ"/>
        </w:rPr>
        <w:t>َ</w:t>
      </w:r>
      <w:r w:rsidRPr="006571AC">
        <w:rPr>
          <w:rFonts w:hint="cs"/>
          <w:sz w:val="27"/>
          <w:rtl/>
          <w:lang w:bidi="ar-IQ"/>
        </w:rPr>
        <w:t>ي</w:t>
      </w:r>
      <w:r w:rsidR="00764020" w:rsidRPr="006571AC">
        <w:rPr>
          <w:rFonts w:hint="cs"/>
          <w:sz w:val="27"/>
          <w:rtl/>
          <w:lang w:bidi="ar-IQ"/>
        </w:rPr>
        <w:t>ْ</w:t>
      </w:r>
      <w:r w:rsidRPr="006571AC">
        <w:rPr>
          <w:rFonts w:hint="cs"/>
          <w:sz w:val="27"/>
          <w:rtl/>
          <w:lang w:bidi="ar-IQ"/>
        </w:rPr>
        <w:t>نا القول بتوقيفية العقود ـ كما يبدو من ظاهر كلمات المتقد</w:t>
      </w:r>
      <w:r w:rsidR="00764020" w:rsidRPr="006571AC">
        <w:rPr>
          <w:rFonts w:hint="cs"/>
          <w:sz w:val="27"/>
          <w:rtl/>
          <w:lang w:bidi="ar-IQ"/>
        </w:rPr>
        <w:t>ِّ</w:t>
      </w:r>
      <w:r w:rsidRPr="006571AC">
        <w:rPr>
          <w:rFonts w:hint="cs"/>
          <w:sz w:val="27"/>
          <w:rtl/>
          <w:lang w:bidi="ar-IQ"/>
        </w:rPr>
        <w:t>مين ح</w:t>
      </w:r>
      <w:r w:rsidR="00065CA5" w:rsidRPr="006571AC">
        <w:rPr>
          <w:rFonts w:hint="cs"/>
          <w:sz w:val="27"/>
          <w:rtl/>
          <w:lang w:bidi="ar-IQ"/>
        </w:rPr>
        <w:t>َ</w:t>
      </w:r>
      <w:r w:rsidRPr="006571AC">
        <w:rPr>
          <w:rFonts w:hint="cs"/>
          <w:sz w:val="27"/>
          <w:rtl/>
          <w:lang w:bidi="ar-IQ"/>
        </w:rPr>
        <w:t>ص</w:t>
      </w:r>
      <w:r w:rsidR="00065CA5" w:rsidRPr="006571AC">
        <w:rPr>
          <w:rFonts w:hint="cs"/>
          <w:sz w:val="27"/>
          <w:rtl/>
          <w:lang w:bidi="ar-IQ"/>
        </w:rPr>
        <w:t>ْ</w:t>
      </w:r>
      <w:r w:rsidRPr="006571AC">
        <w:rPr>
          <w:rFonts w:hint="cs"/>
          <w:sz w:val="27"/>
          <w:rtl/>
          <w:lang w:bidi="ar-IQ"/>
        </w:rPr>
        <w:t>ري</w:t>
      </w:r>
      <w:r w:rsidR="00764020" w:rsidRPr="006571AC">
        <w:rPr>
          <w:rFonts w:hint="cs"/>
          <w:sz w:val="27"/>
          <w:rtl/>
          <w:lang w:bidi="ar-IQ"/>
        </w:rPr>
        <w:t>ّ</w:t>
      </w:r>
      <w:r w:rsidRPr="006571AC">
        <w:rPr>
          <w:rFonts w:hint="cs"/>
          <w:sz w:val="27"/>
          <w:rtl/>
          <w:lang w:bidi="ar-IQ"/>
        </w:rPr>
        <w:t>ة العقود والمعاملات، ولذلك سع</w:t>
      </w:r>
      <w:r w:rsidR="00764020" w:rsidRPr="006571AC">
        <w:rPr>
          <w:rFonts w:hint="cs"/>
          <w:sz w:val="27"/>
          <w:rtl/>
          <w:lang w:bidi="ar-IQ"/>
        </w:rPr>
        <w:t>َ</w:t>
      </w:r>
      <w:r w:rsidRPr="006571AC">
        <w:rPr>
          <w:rFonts w:hint="cs"/>
          <w:sz w:val="27"/>
          <w:rtl/>
          <w:lang w:bidi="ar-IQ"/>
        </w:rPr>
        <w:t>و</w:t>
      </w:r>
      <w:r w:rsidR="00764020" w:rsidRPr="006571AC">
        <w:rPr>
          <w:rFonts w:hint="cs"/>
          <w:sz w:val="27"/>
          <w:rtl/>
          <w:lang w:bidi="ar-IQ"/>
        </w:rPr>
        <w:t>ْ</w:t>
      </w:r>
      <w:r w:rsidRPr="006571AC">
        <w:rPr>
          <w:rFonts w:hint="cs"/>
          <w:sz w:val="27"/>
          <w:rtl/>
          <w:lang w:bidi="ar-IQ"/>
        </w:rPr>
        <w:t>ا إلى توسيع دائرة عقد الصلح؛ بحيث أدخلوا مصالحات</w:t>
      </w:r>
      <w:r w:rsidR="00065CA5" w:rsidRPr="006571AC">
        <w:rPr>
          <w:rFonts w:hint="cs"/>
          <w:sz w:val="27"/>
          <w:rtl/>
          <w:lang w:bidi="ar-IQ"/>
        </w:rPr>
        <w:t>ٍ</w:t>
      </w:r>
      <w:r w:rsidRPr="006571AC">
        <w:rPr>
          <w:rFonts w:hint="cs"/>
          <w:sz w:val="27"/>
          <w:rtl/>
          <w:lang w:bidi="ar-IQ"/>
        </w:rPr>
        <w:t xml:space="preserve"> غير مسبوقة بالنزاع ضمن واحد</w:t>
      </w:r>
      <w:r w:rsidR="00764020" w:rsidRPr="006571AC">
        <w:rPr>
          <w:rFonts w:hint="cs"/>
          <w:sz w:val="27"/>
          <w:rtl/>
          <w:lang w:bidi="ar-IQ"/>
        </w:rPr>
        <w:t>ٍ</w:t>
      </w:r>
      <w:r w:rsidRPr="006571AC">
        <w:rPr>
          <w:rFonts w:hint="cs"/>
          <w:sz w:val="27"/>
          <w:rtl/>
          <w:lang w:bidi="ar-IQ"/>
        </w:rPr>
        <w:t xml:space="preserve"> من العناوين المتعارفة ـ ف</w:t>
      </w:r>
      <w:r w:rsidR="00731867" w:rsidRPr="006571AC">
        <w:rPr>
          <w:rFonts w:hint="cs"/>
          <w:sz w:val="27"/>
          <w:rtl/>
          <w:lang w:bidi="ar-IQ"/>
        </w:rPr>
        <w:t>لا شَكَّ</w:t>
      </w:r>
      <w:r w:rsidRPr="006571AC">
        <w:rPr>
          <w:rFonts w:hint="cs"/>
          <w:sz w:val="27"/>
          <w:rtl/>
          <w:lang w:bidi="ar-IQ"/>
        </w:rPr>
        <w:t xml:space="preserve"> ولا شبهة في اعتبار الصلح الابتدائي من مصاديق العقود، ولذلك يمكن اعتباره مشمولاً لدليل</w:t>
      </w:r>
      <w:r w:rsidR="00764020" w:rsidRPr="006571AC">
        <w:rPr>
          <w:rFonts w:ascii="Mosawi" w:hAnsi="Mosawi" w:cs="Mosawi" w:hint="cs"/>
          <w:sz w:val="24"/>
          <w:szCs w:val="24"/>
          <w:rtl/>
        </w:rPr>
        <w:t xml:space="preserve">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rFonts w:hint="cs"/>
          <w:sz w:val="27"/>
          <w:rtl/>
          <w:lang w:bidi="ar-IQ"/>
        </w:rPr>
        <w:t xml:space="preserve">. </w:t>
      </w:r>
    </w:p>
    <w:p w:rsidR="004B60B2" w:rsidRPr="006571AC" w:rsidRDefault="004B60B2" w:rsidP="004B60B2">
      <w:pPr>
        <w:spacing w:line="420" w:lineRule="exact"/>
        <w:rPr>
          <w:sz w:val="27"/>
          <w:rtl/>
        </w:rPr>
      </w:pPr>
    </w:p>
    <w:p w:rsidR="001D57FB" w:rsidRPr="006571AC" w:rsidRDefault="001D57FB" w:rsidP="001D57FB">
      <w:pPr>
        <w:pStyle w:val="31"/>
        <w:rPr>
          <w:color w:val="auto"/>
          <w:rtl/>
          <w:lang w:bidi="ar-IQ"/>
        </w:rPr>
      </w:pPr>
      <w:bookmarkStart w:id="120" w:name="_Toc114164609"/>
      <w:r w:rsidRPr="006571AC">
        <w:rPr>
          <w:rFonts w:hint="cs"/>
          <w:color w:val="auto"/>
          <w:rtl/>
          <w:lang w:bidi="ar-IQ"/>
        </w:rPr>
        <w:t>إشكالٌ ونقد</w:t>
      </w:r>
      <w:bookmarkEnd w:id="120"/>
    </w:p>
    <w:p w:rsidR="00381A52" w:rsidRPr="006571AC" w:rsidRDefault="00381A52" w:rsidP="003345FE">
      <w:pPr>
        <w:rPr>
          <w:sz w:val="27"/>
          <w:rtl/>
          <w:lang w:bidi="ar-IQ"/>
        </w:rPr>
      </w:pPr>
      <w:r w:rsidRPr="006571AC">
        <w:rPr>
          <w:rFonts w:hint="cs"/>
          <w:sz w:val="27"/>
          <w:rtl/>
          <w:lang w:bidi="ar-IQ"/>
        </w:rPr>
        <w:t xml:space="preserve">جاء في مقالة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00764020" w:rsidRPr="006571AC">
        <w:rPr>
          <w:rFonts w:hint="cs"/>
          <w:sz w:val="27"/>
          <w:rtl/>
          <w:lang w:bidi="ar-IQ"/>
        </w:rPr>
        <w:t xml:space="preserve">، </w:t>
      </w:r>
      <w:r w:rsidRPr="006571AC">
        <w:rPr>
          <w:rFonts w:hint="cs"/>
          <w:sz w:val="27"/>
          <w:rtl/>
          <w:lang w:bidi="ar-IQ"/>
        </w:rPr>
        <w:t>في الإشكال على التمسّ</w:t>
      </w:r>
      <w:r w:rsidR="00764020" w:rsidRPr="006571AC">
        <w:rPr>
          <w:rFonts w:hint="cs"/>
          <w:sz w:val="27"/>
          <w:rtl/>
          <w:lang w:bidi="ar-IQ"/>
        </w:rPr>
        <w:t>ُ</w:t>
      </w:r>
      <w:r w:rsidRPr="006571AC">
        <w:rPr>
          <w:rFonts w:hint="cs"/>
          <w:sz w:val="27"/>
          <w:rtl/>
          <w:lang w:bidi="ar-IQ"/>
        </w:rPr>
        <w:t xml:space="preserve">ك بقوله تعالى: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00764020" w:rsidRPr="006571AC">
        <w:rPr>
          <w:rFonts w:ascii="Mosawi" w:hAnsi="Mosawi" w:cs="Mosawi" w:hint="cs"/>
          <w:sz w:val="24"/>
          <w:szCs w:val="24"/>
          <w:rtl/>
        </w:rPr>
        <w:t xml:space="preserve"> </w:t>
      </w:r>
      <w:r w:rsidRPr="006571AC">
        <w:rPr>
          <w:rFonts w:hint="cs"/>
          <w:sz w:val="27"/>
          <w:rtl/>
          <w:lang w:bidi="ar-IQ"/>
        </w:rPr>
        <w:t xml:space="preserve">لإثبات مشروعية الصلح الابتدائي، ما يلي: </w:t>
      </w:r>
      <w:r w:rsidRPr="006571AC">
        <w:rPr>
          <w:rFonts w:hint="eastAsia"/>
          <w:sz w:val="24"/>
          <w:szCs w:val="24"/>
          <w:rtl/>
        </w:rPr>
        <w:t>«</w:t>
      </w:r>
      <w:r w:rsidRPr="006571AC">
        <w:rPr>
          <w:rFonts w:hint="cs"/>
          <w:sz w:val="27"/>
          <w:rtl/>
          <w:lang w:bidi="ar-IQ"/>
        </w:rPr>
        <w:t>إن عمومات صحّ</w:t>
      </w:r>
      <w:r w:rsidR="00764020" w:rsidRPr="006571AC">
        <w:rPr>
          <w:rFonts w:hint="cs"/>
          <w:sz w:val="27"/>
          <w:rtl/>
          <w:lang w:bidi="ar-IQ"/>
        </w:rPr>
        <w:t>ة العقود يمكن لها أن تكون دليلاً</w:t>
      </w:r>
      <w:r w:rsidRPr="006571AC">
        <w:rPr>
          <w:rFonts w:hint="cs"/>
          <w:sz w:val="27"/>
          <w:rtl/>
          <w:lang w:bidi="ar-IQ"/>
        </w:rPr>
        <w:t xml:space="preserve"> على صحّة العقود التي يُطلق عليها عنوان الصلح الابتدائي، إلا</w:t>
      </w:r>
      <w:r w:rsidR="00764020" w:rsidRPr="006571AC">
        <w:rPr>
          <w:rFonts w:hint="cs"/>
          <w:sz w:val="27"/>
          <w:rtl/>
          <w:lang w:bidi="ar-IQ"/>
        </w:rPr>
        <w:t>ّ</w:t>
      </w:r>
      <w:r w:rsidRPr="006571AC">
        <w:rPr>
          <w:rFonts w:hint="cs"/>
          <w:sz w:val="27"/>
          <w:rtl/>
          <w:lang w:bidi="ar-IQ"/>
        </w:rPr>
        <w:t xml:space="preserve"> أن هذه الأدلة لا تكتسب عنواناً خاص</w:t>
      </w:r>
      <w:r w:rsidR="00764020" w:rsidRPr="006571AC">
        <w:rPr>
          <w:rFonts w:hint="cs"/>
          <w:sz w:val="27"/>
          <w:rtl/>
          <w:lang w:bidi="ar-IQ"/>
        </w:rPr>
        <w:t>ّ</w:t>
      </w:r>
      <w:r w:rsidRPr="006571AC">
        <w:rPr>
          <w:rFonts w:hint="cs"/>
          <w:sz w:val="27"/>
          <w:rtl/>
          <w:lang w:bidi="ar-IQ"/>
        </w:rPr>
        <w:t>اً لمصاديقها بأيّ وجه</w:t>
      </w:r>
      <w:r w:rsidR="00764020" w:rsidRPr="006571AC">
        <w:rPr>
          <w:rFonts w:hint="cs"/>
          <w:sz w:val="27"/>
          <w:rtl/>
          <w:lang w:bidi="ar-IQ"/>
        </w:rPr>
        <w:t>ٍ</w:t>
      </w:r>
      <w:r w:rsidRPr="006571AC">
        <w:rPr>
          <w:rFonts w:hint="cs"/>
          <w:sz w:val="27"/>
          <w:rtl/>
          <w:lang w:bidi="ar-IQ"/>
        </w:rPr>
        <w:t xml:space="preserve"> من الوجوه، وإنما ير</w:t>
      </w:r>
      <w:r w:rsidR="00764020" w:rsidRPr="006571AC">
        <w:rPr>
          <w:rFonts w:hint="cs"/>
          <w:sz w:val="27"/>
          <w:rtl/>
          <w:lang w:bidi="ar-IQ"/>
        </w:rPr>
        <w:t>َ</w:t>
      </w:r>
      <w:r w:rsidRPr="006571AC">
        <w:rPr>
          <w:rFonts w:hint="cs"/>
          <w:sz w:val="27"/>
          <w:rtl/>
          <w:lang w:bidi="ar-IQ"/>
        </w:rPr>
        <w:t>و</w:t>
      </w:r>
      <w:r w:rsidR="00764020" w:rsidRPr="006571AC">
        <w:rPr>
          <w:rFonts w:hint="cs"/>
          <w:sz w:val="27"/>
          <w:rtl/>
          <w:lang w:bidi="ar-IQ"/>
        </w:rPr>
        <w:t>ْ</w:t>
      </w:r>
      <w:r w:rsidRPr="006571AC">
        <w:rPr>
          <w:rFonts w:hint="cs"/>
          <w:sz w:val="27"/>
          <w:rtl/>
          <w:lang w:bidi="ar-IQ"/>
        </w:rPr>
        <w:t>نها معتبرة</w:t>
      </w:r>
      <w:r w:rsidR="00764020" w:rsidRPr="006571AC">
        <w:rPr>
          <w:rFonts w:hint="cs"/>
          <w:sz w:val="27"/>
          <w:rtl/>
          <w:lang w:bidi="ar-IQ"/>
        </w:rPr>
        <w:t>ً</w:t>
      </w:r>
      <w:r w:rsidRPr="006571AC">
        <w:rPr>
          <w:rFonts w:hint="cs"/>
          <w:sz w:val="27"/>
          <w:rtl/>
          <w:lang w:bidi="ar-IQ"/>
        </w:rPr>
        <w:t xml:space="preserve"> بعنوان مطلق العقد والتجارة، في حي</w:t>
      </w:r>
      <w:r w:rsidR="00065CA5" w:rsidRPr="006571AC">
        <w:rPr>
          <w:rFonts w:hint="cs"/>
          <w:sz w:val="27"/>
          <w:rtl/>
          <w:lang w:bidi="ar-IQ"/>
        </w:rPr>
        <w:t>ن</w:t>
      </w:r>
      <w:r w:rsidRPr="006571AC">
        <w:rPr>
          <w:rFonts w:hint="cs"/>
          <w:sz w:val="27"/>
          <w:rtl/>
          <w:lang w:bidi="ar-IQ"/>
        </w:rPr>
        <w:t xml:space="preserve"> أن الانتقاد الأصلي الذي نورده على هذا النوع من العقود هو أن هذا النوع من المعاملات لا يمكن له أن يتحق</w:t>
      </w:r>
      <w:r w:rsidR="00764020" w:rsidRPr="006571AC">
        <w:rPr>
          <w:rFonts w:hint="cs"/>
          <w:sz w:val="27"/>
          <w:rtl/>
          <w:lang w:bidi="ar-IQ"/>
        </w:rPr>
        <w:t>َّ</w:t>
      </w:r>
      <w:r w:rsidRPr="006571AC">
        <w:rPr>
          <w:rFonts w:hint="cs"/>
          <w:sz w:val="27"/>
          <w:rtl/>
          <w:lang w:bidi="ar-IQ"/>
        </w:rPr>
        <w:t xml:space="preserve">ق تحت عنوان </w:t>
      </w:r>
      <w:r w:rsidRPr="006571AC">
        <w:rPr>
          <w:rFonts w:hint="cs"/>
          <w:sz w:val="27"/>
          <w:rtl/>
          <w:lang w:bidi="ar-IQ"/>
        </w:rPr>
        <w:lastRenderedPageBreak/>
        <w:t xml:space="preserve">الصلح، وعليه فإن الذي نحن </w:t>
      </w:r>
      <w:r w:rsidR="003345FE" w:rsidRPr="006571AC">
        <w:rPr>
          <w:rFonts w:hint="cs"/>
          <w:sz w:val="27"/>
          <w:rtl/>
          <w:lang w:bidi="ar-IQ"/>
        </w:rPr>
        <w:t xml:space="preserve">في </w:t>
      </w:r>
      <w:r w:rsidRPr="006571AC">
        <w:rPr>
          <w:rFonts w:hint="cs"/>
          <w:sz w:val="27"/>
          <w:rtl/>
          <w:lang w:bidi="ar-IQ"/>
        </w:rPr>
        <w:t>صدد إنكاره لا تثبته هذه الأدل</w:t>
      </w:r>
      <w:r w:rsidR="00764020" w:rsidRPr="006571AC">
        <w:rPr>
          <w:rFonts w:hint="cs"/>
          <w:sz w:val="27"/>
          <w:rtl/>
          <w:lang w:bidi="ar-IQ"/>
        </w:rPr>
        <w:t>ّ</w:t>
      </w:r>
      <w:r w:rsidRPr="006571AC">
        <w:rPr>
          <w:rFonts w:hint="cs"/>
          <w:sz w:val="27"/>
          <w:rtl/>
          <w:lang w:bidi="ar-IQ"/>
        </w:rPr>
        <w:t>ة، وما تثبته هذه الأدل</w:t>
      </w:r>
      <w:r w:rsidR="00764020" w:rsidRPr="006571AC">
        <w:rPr>
          <w:rFonts w:hint="cs"/>
          <w:sz w:val="27"/>
          <w:rtl/>
          <w:lang w:bidi="ar-IQ"/>
        </w:rPr>
        <w:t>ّ</w:t>
      </w:r>
      <w:r w:rsidRPr="006571AC">
        <w:rPr>
          <w:rFonts w:hint="cs"/>
          <w:sz w:val="27"/>
          <w:rtl/>
          <w:lang w:bidi="ar-IQ"/>
        </w:rPr>
        <w:t xml:space="preserve">ة لسنا </w:t>
      </w:r>
      <w:r w:rsidR="003345FE" w:rsidRPr="006571AC">
        <w:rPr>
          <w:rFonts w:hint="cs"/>
          <w:sz w:val="27"/>
          <w:rtl/>
          <w:lang w:bidi="ar-IQ"/>
        </w:rPr>
        <w:t xml:space="preserve">في </w:t>
      </w:r>
      <w:r w:rsidRPr="006571AC">
        <w:rPr>
          <w:rFonts w:hint="cs"/>
          <w:sz w:val="27"/>
          <w:rtl/>
          <w:lang w:bidi="ar-IQ"/>
        </w:rPr>
        <w:t>صدد إنكاره</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60"/>
      </w:r>
      <w:r w:rsidRPr="006571AC">
        <w:rPr>
          <w:sz w:val="27"/>
          <w:vertAlign w:val="superscript"/>
          <w:rtl/>
          <w:lang w:bidi="ar-IQ"/>
        </w:rPr>
        <w:t>)</w:t>
      </w:r>
      <w:r w:rsidRPr="006571AC">
        <w:rPr>
          <w:rFonts w:hint="cs"/>
          <w:sz w:val="27"/>
          <w:rtl/>
          <w:lang w:bidi="ar-IQ"/>
        </w:rPr>
        <w:t xml:space="preserve">. </w:t>
      </w:r>
    </w:p>
    <w:p w:rsidR="001D57FB" w:rsidRPr="006571AC" w:rsidRDefault="001D57FB" w:rsidP="003405F0">
      <w:pPr>
        <w:rPr>
          <w:sz w:val="27"/>
          <w:rtl/>
          <w:lang w:bidi="ar-IQ"/>
        </w:rPr>
      </w:pPr>
      <w:r w:rsidRPr="006571AC">
        <w:rPr>
          <w:rFonts w:hint="cs"/>
          <w:b/>
          <w:bCs/>
          <w:sz w:val="27"/>
          <w:rtl/>
          <w:lang w:bidi="ar-IQ"/>
        </w:rPr>
        <w:t>ويَرِدُ عليه:</w:t>
      </w:r>
      <w:r w:rsidR="00381A52" w:rsidRPr="006571AC">
        <w:rPr>
          <w:rFonts w:hint="cs"/>
          <w:b/>
          <w:bCs/>
          <w:sz w:val="27"/>
          <w:rtl/>
          <w:lang w:bidi="ar-IQ"/>
        </w:rPr>
        <w:t xml:space="preserve"> </w:t>
      </w:r>
      <w:r w:rsidR="00381A52" w:rsidRPr="006571AC">
        <w:rPr>
          <w:rFonts w:hint="cs"/>
          <w:sz w:val="27"/>
          <w:rtl/>
          <w:lang w:bidi="ar-IQ"/>
        </w:rPr>
        <w:t>هل هناك ـ عندما يتّم التمسّ</w:t>
      </w:r>
      <w:r w:rsidRPr="006571AC">
        <w:rPr>
          <w:rFonts w:hint="cs"/>
          <w:sz w:val="27"/>
          <w:rtl/>
          <w:lang w:bidi="ar-IQ"/>
        </w:rPr>
        <w:t>ُ</w:t>
      </w:r>
      <w:r w:rsidR="00381A52" w:rsidRPr="006571AC">
        <w:rPr>
          <w:rFonts w:hint="cs"/>
          <w:sz w:val="27"/>
          <w:rtl/>
          <w:lang w:bidi="ar-IQ"/>
        </w:rPr>
        <w:t xml:space="preserve">ك بـ </w:t>
      </w:r>
      <w:r w:rsidR="00381A52" w:rsidRPr="006571AC">
        <w:rPr>
          <w:rFonts w:ascii="Mosawi" w:hAnsi="Mosawi" w:cs="Mosawi"/>
          <w:sz w:val="24"/>
          <w:szCs w:val="24"/>
          <w:rtl/>
        </w:rPr>
        <w:t>﴿</w:t>
      </w:r>
      <w:r w:rsidR="00381A52" w:rsidRPr="006571AC">
        <w:rPr>
          <w:b/>
          <w:bCs/>
          <w:sz w:val="27"/>
          <w:rtl/>
          <w:lang w:bidi="ar-IQ"/>
        </w:rPr>
        <w:t>أَوْفُوا بِالْعُقُودِ</w:t>
      </w:r>
      <w:r w:rsidR="00381A52" w:rsidRPr="006571AC">
        <w:rPr>
          <w:rFonts w:ascii="Mosawi" w:hAnsi="Mosawi" w:cs="Mosawi"/>
          <w:sz w:val="24"/>
          <w:szCs w:val="24"/>
          <w:rtl/>
        </w:rPr>
        <w:t>﴾</w:t>
      </w:r>
      <w:r w:rsidR="00065CA5" w:rsidRPr="006571AC">
        <w:rPr>
          <w:rFonts w:hint="cs"/>
          <w:sz w:val="27"/>
          <w:rtl/>
          <w:lang w:bidi="ar-IQ"/>
        </w:rPr>
        <w:t xml:space="preserve"> </w:t>
      </w:r>
      <w:r w:rsidR="00381A52" w:rsidRPr="006571AC">
        <w:rPr>
          <w:rFonts w:hint="cs"/>
          <w:sz w:val="27"/>
          <w:rtl/>
          <w:lang w:bidi="ar-IQ"/>
        </w:rPr>
        <w:t>أو الأدل</w:t>
      </w:r>
      <w:r w:rsidRPr="006571AC">
        <w:rPr>
          <w:rFonts w:hint="cs"/>
          <w:sz w:val="27"/>
          <w:rtl/>
          <w:lang w:bidi="ar-IQ"/>
        </w:rPr>
        <w:t>ّ</w:t>
      </w:r>
      <w:r w:rsidR="00381A52" w:rsidRPr="006571AC">
        <w:rPr>
          <w:rFonts w:hint="cs"/>
          <w:sz w:val="27"/>
          <w:rtl/>
          <w:lang w:bidi="ar-IQ"/>
        </w:rPr>
        <w:t>ة الأخرى؛ لإثبات مشروعية العقود المتعارفة ـ حاجة</w:t>
      </w:r>
      <w:r w:rsidRPr="006571AC">
        <w:rPr>
          <w:rFonts w:hint="cs"/>
          <w:sz w:val="27"/>
          <w:rtl/>
          <w:lang w:bidi="ar-IQ"/>
        </w:rPr>
        <w:t>ٌ</w:t>
      </w:r>
      <w:r w:rsidR="00381A52" w:rsidRPr="006571AC">
        <w:rPr>
          <w:rFonts w:hint="cs"/>
          <w:sz w:val="27"/>
          <w:rtl/>
          <w:lang w:bidi="ar-IQ"/>
        </w:rPr>
        <w:t xml:space="preserve"> إلى شيء</w:t>
      </w:r>
      <w:r w:rsidRPr="006571AC">
        <w:rPr>
          <w:rFonts w:hint="cs"/>
          <w:sz w:val="27"/>
          <w:rtl/>
          <w:lang w:bidi="ar-IQ"/>
        </w:rPr>
        <w:t>ٍ</w:t>
      </w:r>
      <w:r w:rsidR="00381A52" w:rsidRPr="006571AC">
        <w:rPr>
          <w:rFonts w:hint="cs"/>
          <w:sz w:val="27"/>
          <w:rtl/>
          <w:lang w:bidi="ar-IQ"/>
        </w:rPr>
        <w:t xml:space="preserve"> آخر غير عنوان العقد والتجارة؟ وعليه</w:t>
      </w:r>
      <w:r w:rsidR="00065CA5" w:rsidRPr="006571AC">
        <w:rPr>
          <w:rFonts w:hint="cs"/>
          <w:sz w:val="27"/>
          <w:rtl/>
          <w:lang w:bidi="ar-IQ"/>
        </w:rPr>
        <w:t>،</w:t>
      </w:r>
      <w:r w:rsidR="00381A52" w:rsidRPr="006571AC">
        <w:rPr>
          <w:rFonts w:hint="cs"/>
          <w:sz w:val="27"/>
          <w:rtl/>
          <w:lang w:bidi="ar-IQ"/>
        </w:rPr>
        <w:t xml:space="preserve"> </w:t>
      </w:r>
      <w:r w:rsidR="003405F0" w:rsidRPr="006571AC">
        <w:rPr>
          <w:rFonts w:hint="cs"/>
          <w:sz w:val="27"/>
          <w:rtl/>
          <w:lang w:bidi="ar-IQ"/>
        </w:rPr>
        <w:t>عندما</w:t>
      </w:r>
      <w:r w:rsidR="00381A52" w:rsidRPr="006571AC">
        <w:rPr>
          <w:rFonts w:hint="cs"/>
          <w:sz w:val="27"/>
          <w:rtl/>
          <w:lang w:bidi="ar-IQ"/>
        </w:rPr>
        <w:t xml:space="preserve"> يكون الصلح الابتدائي من مصاديق العقود والتجارات، ولم ي</w:t>
      </w:r>
      <w:r w:rsidRPr="006571AC">
        <w:rPr>
          <w:rFonts w:hint="cs"/>
          <w:sz w:val="27"/>
          <w:rtl/>
          <w:lang w:bidi="ar-IQ"/>
        </w:rPr>
        <w:t>َ</w:t>
      </w:r>
      <w:r w:rsidR="00381A52" w:rsidRPr="006571AC">
        <w:rPr>
          <w:rFonts w:hint="cs"/>
          <w:sz w:val="27"/>
          <w:rtl/>
          <w:lang w:bidi="ar-IQ"/>
        </w:rPr>
        <w:t>ر</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 xml:space="preserve"> منع</w:t>
      </w:r>
      <w:r w:rsidRPr="006571AC">
        <w:rPr>
          <w:rFonts w:hint="cs"/>
          <w:sz w:val="27"/>
          <w:rtl/>
          <w:lang w:bidi="ar-IQ"/>
        </w:rPr>
        <w:t>ٌ</w:t>
      </w:r>
      <w:r w:rsidR="00381A52" w:rsidRPr="006571AC">
        <w:rPr>
          <w:rFonts w:hint="cs"/>
          <w:sz w:val="27"/>
          <w:rtl/>
          <w:lang w:bidi="ar-IQ"/>
        </w:rPr>
        <w:t xml:space="preserve"> عنه من ق</w:t>
      </w:r>
      <w:r w:rsidRPr="006571AC">
        <w:rPr>
          <w:rFonts w:hint="cs"/>
          <w:sz w:val="27"/>
          <w:rtl/>
          <w:lang w:bidi="ar-IQ"/>
        </w:rPr>
        <w:t>ِ</w:t>
      </w:r>
      <w:r w:rsidR="00381A52" w:rsidRPr="006571AC">
        <w:rPr>
          <w:rFonts w:hint="cs"/>
          <w:sz w:val="27"/>
          <w:rtl/>
          <w:lang w:bidi="ar-IQ"/>
        </w:rPr>
        <w:t>ب</w:t>
      </w:r>
      <w:r w:rsidRPr="006571AC">
        <w:rPr>
          <w:rFonts w:hint="cs"/>
          <w:sz w:val="27"/>
          <w:rtl/>
          <w:lang w:bidi="ar-IQ"/>
        </w:rPr>
        <w:t>َ</w:t>
      </w:r>
      <w:r w:rsidR="00381A52" w:rsidRPr="006571AC">
        <w:rPr>
          <w:rFonts w:hint="cs"/>
          <w:sz w:val="27"/>
          <w:rtl/>
          <w:lang w:bidi="ar-IQ"/>
        </w:rPr>
        <w:t>ل الشارع المقدّ</w:t>
      </w:r>
      <w:r w:rsidRPr="006571AC">
        <w:rPr>
          <w:rFonts w:hint="cs"/>
          <w:sz w:val="27"/>
          <w:rtl/>
          <w:lang w:bidi="ar-IQ"/>
        </w:rPr>
        <w:t>َ</w:t>
      </w:r>
      <w:r w:rsidR="00381A52" w:rsidRPr="006571AC">
        <w:rPr>
          <w:rFonts w:hint="cs"/>
          <w:sz w:val="27"/>
          <w:rtl/>
          <w:lang w:bidi="ar-IQ"/>
        </w:rPr>
        <w:t>س، يكون ذلك أمارة</w:t>
      </w:r>
      <w:r w:rsidRPr="006571AC">
        <w:rPr>
          <w:rFonts w:hint="cs"/>
          <w:sz w:val="27"/>
          <w:rtl/>
          <w:lang w:bidi="ar-IQ"/>
        </w:rPr>
        <w:t>ً</w:t>
      </w:r>
      <w:r w:rsidR="00381A52" w:rsidRPr="006571AC">
        <w:rPr>
          <w:rFonts w:hint="cs"/>
          <w:sz w:val="27"/>
          <w:rtl/>
          <w:lang w:bidi="ar-IQ"/>
        </w:rPr>
        <w:t xml:space="preserve"> على إمضاء هذا العقد</w:t>
      </w:r>
      <w:r w:rsidRPr="006571AC">
        <w:rPr>
          <w:rFonts w:hint="cs"/>
          <w:sz w:val="27"/>
          <w:rtl/>
          <w:lang w:bidi="ar-IQ"/>
        </w:rPr>
        <w:t>.</w:t>
      </w:r>
    </w:p>
    <w:p w:rsidR="001D57FB" w:rsidRPr="006571AC" w:rsidRDefault="001D57FB" w:rsidP="00552C10">
      <w:pPr>
        <w:rPr>
          <w:sz w:val="27"/>
          <w:rtl/>
          <w:lang w:bidi="ar-IQ"/>
        </w:rPr>
      </w:pPr>
      <w:r w:rsidRPr="006571AC">
        <w:rPr>
          <w:rFonts w:hint="cs"/>
          <w:sz w:val="27"/>
          <w:rtl/>
          <w:lang w:bidi="ar-IQ"/>
        </w:rPr>
        <w:t>و</w:t>
      </w:r>
      <w:r w:rsidR="00381A52" w:rsidRPr="006571AC">
        <w:rPr>
          <w:rFonts w:hint="cs"/>
          <w:sz w:val="27"/>
          <w:rtl/>
          <w:lang w:bidi="ar-IQ"/>
        </w:rPr>
        <w:t>يذهب كاتب المقالة المذكورة إلى الاعتقاد بأن العقود المست</w:t>
      </w:r>
      <w:r w:rsidRPr="006571AC">
        <w:rPr>
          <w:rFonts w:hint="cs"/>
          <w:sz w:val="27"/>
          <w:rtl/>
          <w:lang w:bidi="ar-IQ"/>
        </w:rPr>
        <w:t>َ</w:t>
      </w:r>
      <w:r w:rsidR="00381A52" w:rsidRPr="006571AC">
        <w:rPr>
          <w:rFonts w:hint="cs"/>
          <w:sz w:val="27"/>
          <w:rtl/>
          <w:lang w:bidi="ar-IQ"/>
        </w:rPr>
        <w:t>ح</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 xml:space="preserve">ثة يمكن إثبات مشروعيتها </w:t>
      </w:r>
      <w:r w:rsidR="00381A52" w:rsidRPr="006571AC">
        <w:rPr>
          <w:sz w:val="27"/>
          <w:rtl/>
          <w:lang w:bidi="ar-IQ"/>
        </w:rPr>
        <w:t>بـ</w:t>
      </w:r>
      <w:r w:rsidRPr="006571AC">
        <w:rPr>
          <w:rFonts w:ascii="Mosawi" w:hAnsi="Mosawi" w:cs="Mosawi" w:hint="cs"/>
          <w:sz w:val="24"/>
          <w:szCs w:val="24"/>
          <w:rtl/>
        </w:rPr>
        <w:t xml:space="preserve"> </w:t>
      </w:r>
      <w:r w:rsidR="00381A52" w:rsidRPr="006571AC">
        <w:rPr>
          <w:rFonts w:ascii="Mosawi" w:hAnsi="Mosawi" w:cs="Mosawi"/>
          <w:sz w:val="24"/>
          <w:szCs w:val="24"/>
          <w:rtl/>
        </w:rPr>
        <w:t>﴿</w:t>
      </w:r>
      <w:r w:rsidR="00381A52" w:rsidRPr="006571AC">
        <w:rPr>
          <w:b/>
          <w:bCs/>
          <w:sz w:val="27"/>
          <w:rtl/>
          <w:lang w:bidi="ar-IQ"/>
        </w:rPr>
        <w:t>أَوْفُوا بِالْعُقُودِ</w:t>
      </w:r>
      <w:r w:rsidR="00381A52" w:rsidRPr="006571AC">
        <w:rPr>
          <w:rFonts w:ascii="Mosawi" w:hAnsi="Mosawi" w:cs="Mosawi"/>
          <w:sz w:val="24"/>
          <w:szCs w:val="24"/>
          <w:rtl/>
        </w:rPr>
        <w:t>﴾</w:t>
      </w:r>
      <w:r w:rsidR="00381A52" w:rsidRPr="006571AC">
        <w:rPr>
          <w:rFonts w:hint="cs"/>
          <w:sz w:val="27"/>
          <w:rtl/>
          <w:lang w:bidi="ar-IQ"/>
        </w:rPr>
        <w:t xml:space="preserve">، وأما الصلح الابتدائي </w:t>
      </w:r>
      <w:r w:rsidRPr="006571AC">
        <w:rPr>
          <w:rFonts w:hint="cs"/>
          <w:sz w:val="27"/>
          <w:rtl/>
          <w:lang w:bidi="ar-IQ"/>
        </w:rPr>
        <w:t xml:space="preserve">ـ </w:t>
      </w:r>
      <w:r w:rsidR="00381A52" w:rsidRPr="006571AC">
        <w:rPr>
          <w:rFonts w:hint="cs"/>
          <w:sz w:val="27"/>
          <w:rtl/>
          <w:lang w:bidi="ar-IQ"/>
        </w:rPr>
        <w:t>الذي هو من مصاديق عقد الصلح، والذي هو من العقود المتعارفة، والذي يتحق</w:t>
      </w:r>
      <w:r w:rsidRPr="006571AC">
        <w:rPr>
          <w:rFonts w:hint="cs"/>
          <w:sz w:val="27"/>
          <w:rtl/>
          <w:lang w:bidi="ar-IQ"/>
        </w:rPr>
        <w:t>َّ</w:t>
      </w:r>
      <w:r w:rsidR="00381A52" w:rsidRPr="006571AC">
        <w:rPr>
          <w:rFonts w:hint="cs"/>
          <w:sz w:val="27"/>
          <w:rtl/>
          <w:lang w:bidi="ar-IQ"/>
        </w:rPr>
        <w:t>ق التسالم والتراضي بإنشائه في الحقيقة والواقع</w:t>
      </w:r>
      <w:r w:rsidRPr="006571AC">
        <w:rPr>
          <w:rFonts w:hint="cs"/>
          <w:sz w:val="27"/>
          <w:rtl/>
          <w:lang w:bidi="ar-IQ"/>
        </w:rPr>
        <w:t xml:space="preserve"> ـ</w:t>
      </w:r>
      <w:r w:rsidR="00381A52" w:rsidRPr="006571AC">
        <w:rPr>
          <w:rFonts w:hint="cs"/>
          <w:sz w:val="27"/>
          <w:rtl/>
          <w:lang w:bidi="ar-IQ"/>
        </w:rPr>
        <w:t xml:space="preserve"> فلا يمكن إثبات مشروعيته بعنوان الصلح</w:t>
      </w:r>
      <w:r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وهو كلام</w:t>
      </w:r>
      <w:r w:rsidR="001D57FB" w:rsidRPr="006571AC">
        <w:rPr>
          <w:rFonts w:hint="cs"/>
          <w:sz w:val="27"/>
          <w:rtl/>
          <w:lang w:bidi="ar-IQ"/>
        </w:rPr>
        <w:t>ٌ</w:t>
      </w:r>
      <w:r w:rsidRPr="006571AC">
        <w:rPr>
          <w:rFonts w:hint="cs"/>
          <w:sz w:val="27"/>
          <w:rtl/>
          <w:lang w:bidi="ar-IQ"/>
        </w:rPr>
        <w:t xml:space="preserve"> عجيب</w:t>
      </w:r>
      <w:r w:rsidR="001D57FB" w:rsidRPr="006571AC">
        <w:rPr>
          <w:rFonts w:hint="cs"/>
          <w:sz w:val="27"/>
          <w:rtl/>
          <w:lang w:bidi="ar-IQ"/>
        </w:rPr>
        <w:t>ٌ</w:t>
      </w:r>
      <w:r w:rsidRPr="006571AC">
        <w:rPr>
          <w:rFonts w:hint="cs"/>
          <w:sz w:val="27"/>
          <w:rtl/>
          <w:lang w:bidi="ar-IQ"/>
        </w:rPr>
        <w:t xml:space="preserve"> وغريب</w:t>
      </w:r>
      <w:r w:rsidR="003405F0" w:rsidRPr="006571AC">
        <w:rPr>
          <w:rFonts w:hint="cs"/>
          <w:sz w:val="27"/>
          <w:rtl/>
          <w:lang w:bidi="ar-IQ"/>
        </w:rPr>
        <w:t>ٌ</w:t>
      </w:r>
      <w:r w:rsidRPr="006571AC">
        <w:rPr>
          <w:rFonts w:hint="cs"/>
          <w:sz w:val="27"/>
          <w:rtl/>
          <w:lang w:bidi="ar-IQ"/>
        </w:rPr>
        <w:t xml:space="preserve"> جد</w:t>
      </w:r>
      <w:r w:rsidR="001D57FB" w:rsidRPr="006571AC">
        <w:rPr>
          <w:rFonts w:hint="cs"/>
          <w:sz w:val="27"/>
          <w:rtl/>
          <w:lang w:bidi="ar-IQ"/>
        </w:rPr>
        <w:t>ّ</w:t>
      </w:r>
      <w:r w:rsidRPr="006571AC">
        <w:rPr>
          <w:rFonts w:hint="cs"/>
          <w:sz w:val="27"/>
          <w:rtl/>
          <w:lang w:bidi="ar-IQ"/>
        </w:rPr>
        <w:t xml:space="preserve">اً. </w:t>
      </w:r>
    </w:p>
    <w:p w:rsidR="00381A52" w:rsidRPr="006571AC" w:rsidRDefault="00381A52" w:rsidP="004B60B2">
      <w:pPr>
        <w:spacing w:line="420" w:lineRule="exact"/>
        <w:rPr>
          <w:sz w:val="27"/>
          <w:rtl/>
          <w:lang w:bidi="ar-IQ"/>
        </w:rPr>
      </w:pPr>
    </w:p>
    <w:p w:rsidR="00381A52" w:rsidRPr="006571AC" w:rsidRDefault="00332010" w:rsidP="00714072">
      <w:pPr>
        <w:pStyle w:val="31"/>
        <w:rPr>
          <w:color w:val="auto"/>
          <w:rtl/>
          <w:lang w:bidi="ar-IQ"/>
        </w:rPr>
      </w:pPr>
      <w:bookmarkStart w:id="121" w:name="_Toc114164610"/>
      <w:r w:rsidRPr="006571AC">
        <w:rPr>
          <w:rFonts w:hint="cs"/>
          <w:color w:val="auto"/>
          <w:rtl/>
          <w:lang w:bidi="ar-IQ"/>
        </w:rPr>
        <w:t>ب ـ</w:t>
      </w:r>
      <w:r w:rsidR="00381A52" w:rsidRPr="006571AC">
        <w:rPr>
          <w:rFonts w:hint="cs"/>
          <w:color w:val="auto"/>
          <w:rtl/>
          <w:lang w:bidi="ar-IQ"/>
        </w:rPr>
        <w:t xml:space="preserve"> </w:t>
      </w:r>
      <w:r w:rsidR="00381A52" w:rsidRPr="006571AC">
        <w:rPr>
          <w:rFonts w:ascii="Mosawi" w:hAnsi="Mosawi" w:cs="Mosawi"/>
          <w:color w:val="auto"/>
          <w:sz w:val="24"/>
          <w:szCs w:val="24"/>
          <w:rtl/>
        </w:rPr>
        <w:t>﴿</w:t>
      </w:r>
      <w:r w:rsidR="00381A52" w:rsidRPr="006571AC">
        <w:rPr>
          <w:color w:val="auto"/>
          <w:rtl/>
          <w:lang w:bidi="ar-IQ"/>
        </w:rPr>
        <w:t>إِ</w:t>
      </w:r>
      <w:r w:rsidR="003C2639" w:rsidRPr="006571AC">
        <w:rPr>
          <w:color w:val="auto"/>
          <w:rtl/>
          <w:lang w:bidi="ar-IQ"/>
        </w:rPr>
        <w:t>لاّ</w:t>
      </w:r>
      <w:r w:rsidR="001D57FB" w:rsidRPr="006571AC">
        <w:rPr>
          <w:rFonts w:hint="cs"/>
          <w:color w:val="auto"/>
          <w:rtl/>
          <w:lang w:bidi="ar-IQ"/>
        </w:rPr>
        <w:t>َ</w:t>
      </w:r>
      <w:r w:rsidR="00381A52" w:rsidRPr="006571AC">
        <w:rPr>
          <w:color w:val="auto"/>
          <w:rtl/>
          <w:lang w:bidi="ar-IQ"/>
        </w:rPr>
        <w:t xml:space="preserve"> أَنْ تَكُونَ تِجَارَةً عَنْ تَرَاضٍ</w:t>
      </w:r>
      <w:r w:rsidR="00381A52" w:rsidRPr="006571AC">
        <w:rPr>
          <w:rFonts w:ascii="Mosawi" w:hAnsi="Mosawi" w:cs="Mosawi"/>
          <w:color w:val="auto"/>
          <w:sz w:val="24"/>
          <w:szCs w:val="24"/>
          <w:rtl/>
        </w:rPr>
        <w:t>﴾</w:t>
      </w:r>
      <w:bookmarkEnd w:id="121"/>
    </w:p>
    <w:p w:rsidR="00381A52" w:rsidRPr="006571AC" w:rsidRDefault="00B40C07" w:rsidP="00552C10">
      <w:pPr>
        <w:rPr>
          <w:sz w:val="27"/>
          <w:rtl/>
          <w:lang w:bidi="ar-IQ"/>
        </w:rPr>
      </w:pPr>
      <w:r w:rsidRPr="006571AC">
        <w:rPr>
          <w:rFonts w:hint="cs"/>
          <w:sz w:val="27"/>
          <w:rtl/>
          <w:lang w:bidi="ar-IQ"/>
        </w:rPr>
        <w:t>يمكن</w:t>
      </w:r>
      <w:r w:rsidR="00381A52" w:rsidRPr="006571AC">
        <w:rPr>
          <w:rFonts w:hint="cs"/>
          <w:sz w:val="27"/>
          <w:rtl/>
          <w:lang w:bidi="ar-IQ"/>
        </w:rPr>
        <w:t xml:space="preserve"> القول في تقريب دلالة هذه الآية على مشروعية الصلح الابتدائي: بحكم المستثنى منه في الآية لا يحق</w:t>
      </w:r>
      <w:r w:rsidR="001D57FB" w:rsidRPr="006571AC">
        <w:rPr>
          <w:rFonts w:hint="cs"/>
          <w:sz w:val="27"/>
          <w:rtl/>
          <w:lang w:bidi="ar-IQ"/>
        </w:rPr>
        <w:t>ّ</w:t>
      </w:r>
      <w:r w:rsidR="00381A52" w:rsidRPr="006571AC">
        <w:rPr>
          <w:rFonts w:hint="cs"/>
          <w:sz w:val="27"/>
          <w:rtl/>
          <w:lang w:bidi="ar-IQ"/>
        </w:rPr>
        <w:t xml:space="preserve"> التصرّ</w:t>
      </w:r>
      <w:r w:rsidR="001D57FB" w:rsidRPr="006571AC">
        <w:rPr>
          <w:rFonts w:hint="cs"/>
          <w:sz w:val="27"/>
          <w:rtl/>
          <w:lang w:bidi="ar-IQ"/>
        </w:rPr>
        <w:t>ُ</w:t>
      </w:r>
      <w:r w:rsidR="00381A52" w:rsidRPr="006571AC">
        <w:rPr>
          <w:rFonts w:hint="cs"/>
          <w:sz w:val="27"/>
          <w:rtl/>
          <w:lang w:bidi="ar-IQ"/>
        </w:rPr>
        <w:t>ف للمؤمنين في أموال بعضهم بغير حق</w:t>
      </w:r>
      <w:r w:rsidR="001D57FB" w:rsidRPr="006571AC">
        <w:rPr>
          <w:rFonts w:hint="cs"/>
          <w:sz w:val="27"/>
          <w:rtl/>
          <w:lang w:bidi="ar-IQ"/>
        </w:rPr>
        <w:t>ٍّ</w:t>
      </w:r>
      <w:r w:rsidR="00381A52" w:rsidRPr="006571AC">
        <w:rPr>
          <w:rFonts w:hint="cs"/>
          <w:sz w:val="27"/>
          <w:rtl/>
          <w:lang w:bidi="ar-IQ"/>
        </w:rPr>
        <w:t xml:space="preserve"> أو وجه</w:t>
      </w:r>
      <w:r w:rsidR="001D57FB" w:rsidRPr="006571AC">
        <w:rPr>
          <w:rFonts w:hint="cs"/>
          <w:sz w:val="27"/>
          <w:rtl/>
          <w:lang w:bidi="ar-IQ"/>
        </w:rPr>
        <w:t>ٍ</w:t>
      </w:r>
      <w:r w:rsidR="00381A52" w:rsidRPr="006571AC">
        <w:rPr>
          <w:rFonts w:hint="cs"/>
          <w:sz w:val="27"/>
          <w:rtl/>
          <w:lang w:bidi="ar-IQ"/>
        </w:rPr>
        <w:t xml:space="preserve"> مشروع</w:t>
      </w:r>
      <w:r w:rsidR="001D57FB" w:rsidRPr="006571AC">
        <w:rPr>
          <w:rFonts w:hint="cs"/>
          <w:sz w:val="27"/>
          <w:rtl/>
          <w:lang w:bidi="ar-IQ"/>
        </w:rPr>
        <w:t>.</w:t>
      </w:r>
      <w:r w:rsidR="00381A52" w:rsidRPr="006571AC">
        <w:rPr>
          <w:rFonts w:hint="cs"/>
          <w:sz w:val="27"/>
          <w:rtl/>
          <w:lang w:bidi="ar-IQ"/>
        </w:rPr>
        <w:t xml:space="preserve"> وبحكم الاستثناء يكون المجوّ</w:t>
      </w:r>
      <w:r w:rsidR="001D57FB" w:rsidRPr="006571AC">
        <w:rPr>
          <w:rFonts w:hint="cs"/>
          <w:sz w:val="27"/>
          <w:rtl/>
          <w:lang w:bidi="ar-IQ"/>
        </w:rPr>
        <w:t>ِ</w:t>
      </w:r>
      <w:r w:rsidR="00381A52" w:rsidRPr="006571AC">
        <w:rPr>
          <w:rFonts w:hint="cs"/>
          <w:sz w:val="27"/>
          <w:rtl/>
          <w:lang w:bidi="ar-IQ"/>
        </w:rPr>
        <w:t>ز الوحيد للتصرّ</w:t>
      </w:r>
      <w:r w:rsidR="001D57FB" w:rsidRPr="006571AC">
        <w:rPr>
          <w:rFonts w:hint="cs"/>
          <w:sz w:val="27"/>
          <w:rtl/>
          <w:lang w:bidi="ar-IQ"/>
        </w:rPr>
        <w:t>ُ</w:t>
      </w:r>
      <w:r w:rsidR="00381A52" w:rsidRPr="006571AC">
        <w:rPr>
          <w:rFonts w:hint="cs"/>
          <w:sz w:val="27"/>
          <w:rtl/>
          <w:lang w:bidi="ar-IQ"/>
        </w:rPr>
        <w:t>ف في أموال بعضهم هو أن تكون التجارة ناشئة</w:t>
      </w:r>
      <w:r w:rsidR="001D57FB" w:rsidRPr="006571AC">
        <w:rPr>
          <w:rFonts w:hint="cs"/>
          <w:sz w:val="27"/>
          <w:rtl/>
          <w:lang w:bidi="ar-IQ"/>
        </w:rPr>
        <w:t>ً</w:t>
      </w:r>
      <w:r w:rsidR="00381A52" w:rsidRPr="006571AC">
        <w:rPr>
          <w:rFonts w:hint="cs"/>
          <w:sz w:val="27"/>
          <w:rtl/>
          <w:lang w:bidi="ar-IQ"/>
        </w:rPr>
        <w:t xml:space="preserve"> عن تراض</w:t>
      </w:r>
      <w:r w:rsidR="001D57FB" w:rsidRPr="006571AC">
        <w:rPr>
          <w:rFonts w:hint="cs"/>
          <w:sz w:val="27"/>
          <w:rtl/>
          <w:lang w:bidi="ar-IQ"/>
        </w:rPr>
        <w:t>ٍ</w:t>
      </w:r>
      <w:r w:rsidR="00381A52" w:rsidRPr="006571AC">
        <w:rPr>
          <w:rFonts w:hint="cs"/>
          <w:sz w:val="27"/>
          <w:rtl/>
          <w:lang w:bidi="ar-IQ"/>
        </w:rPr>
        <w:t xml:space="preserve"> من ق</w:t>
      </w:r>
      <w:r w:rsidR="001D57FB" w:rsidRPr="006571AC">
        <w:rPr>
          <w:rFonts w:hint="cs"/>
          <w:sz w:val="27"/>
          <w:rtl/>
          <w:lang w:bidi="ar-IQ"/>
        </w:rPr>
        <w:t>ِ</w:t>
      </w:r>
      <w:r w:rsidR="00381A52" w:rsidRPr="006571AC">
        <w:rPr>
          <w:rFonts w:hint="cs"/>
          <w:sz w:val="27"/>
          <w:rtl/>
          <w:lang w:bidi="ar-IQ"/>
        </w:rPr>
        <w:t>ب</w:t>
      </w:r>
      <w:r w:rsidR="001D57FB" w:rsidRPr="006571AC">
        <w:rPr>
          <w:rFonts w:hint="cs"/>
          <w:sz w:val="27"/>
          <w:rtl/>
          <w:lang w:bidi="ar-IQ"/>
        </w:rPr>
        <w:t>َ</w:t>
      </w:r>
      <w:r w:rsidR="00381A52" w:rsidRPr="006571AC">
        <w:rPr>
          <w:rFonts w:hint="cs"/>
          <w:sz w:val="27"/>
          <w:rtl/>
          <w:lang w:bidi="ar-IQ"/>
        </w:rPr>
        <w:t>ل الطرفين، و</w:t>
      </w:r>
      <w:r w:rsidR="00731867" w:rsidRPr="006571AC">
        <w:rPr>
          <w:rFonts w:hint="cs"/>
          <w:sz w:val="27"/>
          <w:rtl/>
          <w:lang w:bidi="ar-IQ"/>
        </w:rPr>
        <w:t>لا شَكَّ</w:t>
      </w:r>
      <w:r w:rsidR="00381A52" w:rsidRPr="006571AC">
        <w:rPr>
          <w:rFonts w:hint="cs"/>
          <w:sz w:val="27"/>
          <w:rtl/>
          <w:lang w:bidi="ar-IQ"/>
        </w:rPr>
        <w:t xml:space="preserve"> في أن الصلح الابتدائي يُعتبر من مصاديق التجارة، وإن قوام الصلح الابتدائي ب</w:t>
      </w:r>
      <w:r w:rsidR="00EA38F1" w:rsidRPr="006571AC">
        <w:rPr>
          <w:rFonts w:hint="cs"/>
          <w:sz w:val="27"/>
          <w:rtl/>
          <w:lang w:bidi="ar-IQ"/>
        </w:rPr>
        <w:t>دَوْر</w:t>
      </w:r>
      <w:r w:rsidR="00381A52" w:rsidRPr="006571AC">
        <w:rPr>
          <w:rFonts w:hint="cs"/>
          <w:sz w:val="27"/>
          <w:rtl/>
          <w:lang w:bidi="ar-IQ"/>
        </w:rPr>
        <w:t>ه يكون بإنشاء التراضي والتسالم بين الطرفين أيضاً، وعليه سوف يكون مشمولاً للمستثنى، وإن التصرّ</w:t>
      </w:r>
      <w:r w:rsidR="00954E9E" w:rsidRPr="006571AC">
        <w:rPr>
          <w:rFonts w:hint="cs"/>
          <w:sz w:val="27"/>
          <w:rtl/>
          <w:lang w:bidi="ar-IQ"/>
        </w:rPr>
        <w:t>ُ</w:t>
      </w:r>
      <w:r w:rsidR="00381A52" w:rsidRPr="006571AC">
        <w:rPr>
          <w:rFonts w:hint="cs"/>
          <w:sz w:val="27"/>
          <w:rtl/>
          <w:lang w:bidi="ar-IQ"/>
        </w:rPr>
        <w:t xml:space="preserve">فات بعد الصلح الابتدائي في الأموال الحاصلة لن تكون من </w:t>
      </w:r>
      <w:r w:rsidR="00381A52" w:rsidRPr="006571AC">
        <w:rPr>
          <w:rFonts w:hint="eastAsia"/>
          <w:sz w:val="24"/>
          <w:szCs w:val="24"/>
          <w:rtl/>
        </w:rPr>
        <w:t>«</w:t>
      </w:r>
      <w:r w:rsidR="00381A52" w:rsidRPr="006571AC">
        <w:rPr>
          <w:rFonts w:hint="cs"/>
          <w:sz w:val="27"/>
          <w:rtl/>
          <w:lang w:bidi="ar-IQ"/>
        </w:rPr>
        <w:t>أكل المال بالباطل</w:t>
      </w:r>
      <w:r w:rsidR="00381A52" w:rsidRPr="006571AC">
        <w:rPr>
          <w:rFonts w:hint="eastAsia"/>
          <w:sz w:val="24"/>
          <w:szCs w:val="24"/>
          <w:rtl/>
        </w:rPr>
        <w:t>»</w:t>
      </w:r>
      <w:r w:rsidR="00381A52" w:rsidRPr="006571AC">
        <w:rPr>
          <w:rFonts w:hint="cs"/>
          <w:sz w:val="27"/>
          <w:rtl/>
          <w:lang w:bidi="ar-IQ"/>
        </w:rPr>
        <w:t xml:space="preserve">. </w:t>
      </w:r>
    </w:p>
    <w:p w:rsidR="00381A52" w:rsidRPr="006571AC" w:rsidRDefault="00381A52" w:rsidP="004B60B2">
      <w:pPr>
        <w:spacing w:line="420" w:lineRule="exact"/>
        <w:rPr>
          <w:sz w:val="27"/>
          <w:rtl/>
          <w:lang w:bidi="ar-IQ"/>
        </w:rPr>
      </w:pPr>
    </w:p>
    <w:p w:rsidR="00381A52" w:rsidRPr="006571AC" w:rsidRDefault="00332010" w:rsidP="000D6C76">
      <w:pPr>
        <w:pStyle w:val="31"/>
        <w:rPr>
          <w:color w:val="auto"/>
          <w:rtl/>
        </w:rPr>
      </w:pPr>
      <w:bookmarkStart w:id="122" w:name="_Toc114164611"/>
      <w:r w:rsidRPr="006571AC">
        <w:rPr>
          <w:rFonts w:hint="cs"/>
          <w:color w:val="auto"/>
          <w:rtl/>
        </w:rPr>
        <w:t>ج ـ</w:t>
      </w:r>
      <w:r w:rsidR="00381A52" w:rsidRPr="006571AC">
        <w:rPr>
          <w:rFonts w:hint="cs"/>
          <w:color w:val="auto"/>
          <w:rtl/>
        </w:rPr>
        <w:t xml:space="preserve"> الرواية النبوي</w:t>
      </w:r>
      <w:r w:rsidR="00954E9E" w:rsidRPr="006571AC">
        <w:rPr>
          <w:rFonts w:hint="cs"/>
          <w:color w:val="auto"/>
          <w:rtl/>
        </w:rPr>
        <w:t>ّ</w:t>
      </w:r>
      <w:r w:rsidR="00381A52" w:rsidRPr="006571AC">
        <w:rPr>
          <w:rFonts w:hint="cs"/>
          <w:color w:val="auto"/>
          <w:rtl/>
        </w:rPr>
        <w:t>ة</w:t>
      </w:r>
      <w:r w:rsidR="003405F0" w:rsidRPr="006571AC">
        <w:rPr>
          <w:rFonts w:hint="cs"/>
          <w:color w:val="auto"/>
          <w:rtl/>
        </w:rPr>
        <w:t>:</w:t>
      </w:r>
      <w:r w:rsidR="00381A52" w:rsidRPr="006571AC">
        <w:rPr>
          <w:rFonts w:hint="cs"/>
          <w:color w:val="auto"/>
          <w:rtl/>
        </w:rPr>
        <w:t xml:space="preserve"> </w:t>
      </w:r>
      <w:r w:rsidR="00381A52" w:rsidRPr="006571AC">
        <w:rPr>
          <w:rFonts w:hint="eastAsia"/>
          <w:color w:val="auto"/>
          <w:rtl/>
        </w:rPr>
        <w:t>«</w:t>
      </w:r>
      <w:r w:rsidR="00381A52" w:rsidRPr="006571AC">
        <w:rPr>
          <w:rFonts w:hint="cs"/>
          <w:color w:val="auto"/>
          <w:rtl/>
        </w:rPr>
        <w:t>الناس مسلّ</w:t>
      </w:r>
      <w:r w:rsidR="00954E9E" w:rsidRPr="006571AC">
        <w:rPr>
          <w:rFonts w:hint="cs"/>
          <w:color w:val="auto"/>
          <w:rtl/>
        </w:rPr>
        <w:t>َ</w:t>
      </w:r>
      <w:r w:rsidR="00381A52" w:rsidRPr="006571AC">
        <w:rPr>
          <w:rFonts w:hint="cs"/>
          <w:color w:val="auto"/>
          <w:rtl/>
        </w:rPr>
        <w:t>طون على أموالهم</w:t>
      </w:r>
      <w:r w:rsidR="00381A52" w:rsidRPr="006571AC">
        <w:rPr>
          <w:rFonts w:hint="eastAsia"/>
          <w:color w:val="auto"/>
          <w:sz w:val="26"/>
          <w:rtl/>
        </w:rPr>
        <w:t>»</w:t>
      </w:r>
      <w:bookmarkEnd w:id="122"/>
    </w:p>
    <w:p w:rsidR="00381A52" w:rsidRPr="006571AC" w:rsidRDefault="00381A52" w:rsidP="00552C10">
      <w:pPr>
        <w:rPr>
          <w:sz w:val="27"/>
          <w:rtl/>
          <w:lang w:bidi="ar-IQ"/>
        </w:rPr>
      </w:pPr>
      <w:r w:rsidRPr="006571AC">
        <w:rPr>
          <w:rFonts w:hint="cs"/>
          <w:sz w:val="27"/>
          <w:rtl/>
          <w:lang w:bidi="ar-IQ"/>
        </w:rPr>
        <w:t xml:space="preserve">في الاستدلال بهذه </w:t>
      </w:r>
      <w:r w:rsidR="00954E9E" w:rsidRPr="006571AC">
        <w:rPr>
          <w:rFonts w:hint="cs"/>
          <w:sz w:val="27"/>
          <w:rtl/>
          <w:lang w:bidi="ar-IQ"/>
        </w:rPr>
        <w:t>الرواية</w:t>
      </w:r>
      <w:r w:rsidRPr="006571AC">
        <w:rPr>
          <w:rFonts w:hint="cs"/>
          <w:sz w:val="27"/>
          <w:rtl/>
          <w:lang w:bidi="ar-IQ"/>
        </w:rPr>
        <w:t xml:space="preserve"> يجب أخذ جهتين بنظر الاعتبار: </w:t>
      </w:r>
    </w:p>
    <w:p w:rsidR="00381A52" w:rsidRPr="006571AC" w:rsidRDefault="00381A52" w:rsidP="004B60B2">
      <w:pPr>
        <w:spacing w:line="420" w:lineRule="exact"/>
        <w:rPr>
          <w:sz w:val="27"/>
          <w:rtl/>
          <w:lang w:bidi="ar-IQ"/>
        </w:rPr>
      </w:pPr>
    </w:p>
    <w:p w:rsidR="00381A52" w:rsidRPr="006571AC" w:rsidRDefault="00332010" w:rsidP="00714072">
      <w:pPr>
        <w:pStyle w:val="31"/>
        <w:rPr>
          <w:color w:val="auto"/>
          <w:rtl/>
          <w:lang w:bidi="ar-IQ"/>
        </w:rPr>
      </w:pPr>
      <w:bookmarkStart w:id="123" w:name="_Toc114164612"/>
      <w:r w:rsidRPr="006571AC">
        <w:rPr>
          <w:rFonts w:hint="cs"/>
          <w:color w:val="auto"/>
          <w:rtl/>
          <w:lang w:bidi="ar-IQ"/>
        </w:rPr>
        <w:t>1ـ</w:t>
      </w:r>
      <w:r w:rsidR="00381A52" w:rsidRPr="006571AC">
        <w:rPr>
          <w:rFonts w:hint="cs"/>
          <w:color w:val="auto"/>
          <w:rtl/>
          <w:lang w:bidi="ar-IQ"/>
        </w:rPr>
        <w:t xml:space="preserve"> </w:t>
      </w:r>
      <w:r w:rsidR="003C4108" w:rsidRPr="006571AC">
        <w:rPr>
          <w:rFonts w:hint="cs"/>
          <w:color w:val="auto"/>
          <w:rtl/>
          <w:lang w:bidi="ar-IQ"/>
        </w:rPr>
        <w:t xml:space="preserve">التحقيق في </w:t>
      </w:r>
      <w:r w:rsidR="00381A52" w:rsidRPr="006571AC">
        <w:rPr>
          <w:rFonts w:hint="cs"/>
          <w:color w:val="auto"/>
          <w:rtl/>
          <w:lang w:bidi="ar-IQ"/>
        </w:rPr>
        <w:t>سند الحديث</w:t>
      </w:r>
      <w:bookmarkEnd w:id="123"/>
    </w:p>
    <w:p w:rsidR="00954E9E" w:rsidRPr="006571AC" w:rsidRDefault="00381A52" w:rsidP="00552C10">
      <w:pPr>
        <w:rPr>
          <w:sz w:val="27"/>
          <w:rtl/>
          <w:lang w:bidi="ar-IQ"/>
        </w:rPr>
      </w:pPr>
      <w:r w:rsidRPr="006571AC">
        <w:rPr>
          <w:rFonts w:hint="cs"/>
          <w:sz w:val="27"/>
          <w:rtl/>
          <w:lang w:bidi="ar-IQ"/>
        </w:rPr>
        <w:t>نقل العلا</w:t>
      </w:r>
      <w:r w:rsidR="00954E9E" w:rsidRPr="006571AC">
        <w:rPr>
          <w:rFonts w:hint="cs"/>
          <w:sz w:val="27"/>
          <w:rtl/>
          <w:lang w:bidi="ar-IQ"/>
        </w:rPr>
        <w:t>ّ</w:t>
      </w:r>
      <w:r w:rsidRPr="006571AC">
        <w:rPr>
          <w:rFonts w:hint="cs"/>
          <w:sz w:val="27"/>
          <w:rtl/>
          <w:lang w:bidi="ar-IQ"/>
        </w:rPr>
        <w:t xml:space="preserve">مة المجلسي </w:t>
      </w:r>
      <w:r w:rsidR="00954E9E" w:rsidRPr="006571AC">
        <w:rPr>
          <w:rFonts w:hint="cs"/>
          <w:sz w:val="27"/>
          <w:rtl/>
          <w:lang w:bidi="ar-IQ"/>
        </w:rPr>
        <w:t>ال</w:t>
      </w:r>
      <w:r w:rsidRPr="006571AC">
        <w:rPr>
          <w:rFonts w:hint="cs"/>
          <w:sz w:val="27"/>
          <w:rtl/>
          <w:lang w:bidi="ar-IQ"/>
        </w:rPr>
        <w:t>رواية عن كتاب عوالي اللآلئ</w:t>
      </w:r>
      <w:r w:rsidR="00954E9E" w:rsidRPr="006571AC">
        <w:rPr>
          <w:rFonts w:hint="cs"/>
          <w:sz w:val="27"/>
          <w:rtl/>
          <w:lang w:bidi="ar-IQ"/>
        </w:rPr>
        <w:t>،</w:t>
      </w:r>
      <w:r w:rsidRPr="006571AC">
        <w:rPr>
          <w:rFonts w:hint="cs"/>
          <w:sz w:val="27"/>
          <w:rtl/>
          <w:lang w:bidi="ar-IQ"/>
        </w:rPr>
        <w:t xml:space="preserve"> لابن أبي جمهور </w:t>
      </w:r>
      <w:r w:rsidRPr="006571AC">
        <w:rPr>
          <w:rFonts w:hint="cs"/>
          <w:sz w:val="27"/>
          <w:rtl/>
          <w:lang w:bidi="ar-IQ"/>
        </w:rPr>
        <w:lastRenderedPageBreak/>
        <w:t>الأحسائي</w:t>
      </w:r>
      <w:r w:rsidR="00954E9E"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ولكن</w:t>
      </w:r>
      <w:r w:rsidR="00954E9E" w:rsidRPr="006571AC">
        <w:rPr>
          <w:rFonts w:hint="cs"/>
          <w:sz w:val="27"/>
          <w:rtl/>
          <w:lang w:bidi="ar-IQ"/>
        </w:rPr>
        <w:t>ْ</w:t>
      </w:r>
      <w:r w:rsidRPr="006571AC">
        <w:rPr>
          <w:rFonts w:hint="cs"/>
          <w:sz w:val="27"/>
          <w:rtl/>
          <w:lang w:bidi="ar-IQ"/>
        </w:rPr>
        <w:t xml:space="preserve"> لدى المحدّ</w:t>
      </w:r>
      <w:r w:rsidR="00954E9E" w:rsidRPr="006571AC">
        <w:rPr>
          <w:rFonts w:hint="cs"/>
          <w:sz w:val="27"/>
          <w:rtl/>
          <w:lang w:bidi="ar-IQ"/>
        </w:rPr>
        <w:t>ِ</w:t>
      </w:r>
      <w:r w:rsidRPr="006571AC">
        <w:rPr>
          <w:rFonts w:hint="cs"/>
          <w:sz w:val="27"/>
          <w:rtl/>
          <w:lang w:bidi="ar-IQ"/>
        </w:rPr>
        <w:t>ث البحراني شبهة</w:t>
      </w:r>
      <w:r w:rsidR="00954E9E" w:rsidRPr="006571AC">
        <w:rPr>
          <w:rFonts w:hint="cs"/>
          <w:sz w:val="27"/>
          <w:rtl/>
          <w:lang w:bidi="ar-IQ"/>
        </w:rPr>
        <w:t>ٌ</w:t>
      </w:r>
      <w:r w:rsidRPr="006571AC">
        <w:rPr>
          <w:rFonts w:hint="cs"/>
          <w:sz w:val="27"/>
          <w:rtl/>
          <w:lang w:bidi="ar-IQ"/>
        </w:rPr>
        <w:t xml:space="preserve"> ومناقشة</w:t>
      </w:r>
      <w:r w:rsidR="00954E9E" w:rsidRPr="006571AC">
        <w:rPr>
          <w:rFonts w:hint="cs"/>
          <w:sz w:val="27"/>
          <w:rtl/>
          <w:lang w:bidi="ar-IQ"/>
        </w:rPr>
        <w:t>ٌ</w:t>
      </w:r>
      <w:r w:rsidRPr="006571AC">
        <w:rPr>
          <w:rFonts w:hint="cs"/>
          <w:sz w:val="27"/>
          <w:rtl/>
          <w:lang w:bidi="ar-IQ"/>
        </w:rPr>
        <w:t xml:space="preserve"> في تأليف الكتاب</w:t>
      </w:r>
      <w:r w:rsidR="00954E9E" w:rsidRPr="006571AC">
        <w:rPr>
          <w:rFonts w:hint="cs"/>
          <w:sz w:val="27"/>
          <w:rtl/>
          <w:lang w:bidi="ar-IQ"/>
        </w:rPr>
        <w:t>،</w:t>
      </w:r>
      <w:r w:rsidRPr="006571AC">
        <w:rPr>
          <w:rFonts w:hint="cs"/>
          <w:sz w:val="27"/>
          <w:rtl/>
          <w:lang w:bidi="ar-IQ"/>
        </w:rPr>
        <w:t xml:space="preserve"> وفي مؤل</w:t>
      </w:r>
      <w:r w:rsidR="00954E9E" w:rsidRPr="006571AC">
        <w:rPr>
          <w:rFonts w:hint="cs"/>
          <w:sz w:val="27"/>
          <w:rtl/>
          <w:lang w:bidi="ar-IQ"/>
        </w:rPr>
        <w:t>ِّ</w:t>
      </w:r>
      <w:r w:rsidRPr="006571AC">
        <w:rPr>
          <w:rFonts w:hint="cs"/>
          <w:sz w:val="27"/>
          <w:rtl/>
          <w:lang w:bidi="ar-IQ"/>
        </w:rPr>
        <w:t>فه</w:t>
      </w:r>
      <w:r w:rsidRPr="006571AC">
        <w:rPr>
          <w:sz w:val="27"/>
          <w:vertAlign w:val="superscript"/>
          <w:rtl/>
          <w:lang w:bidi="ar-IQ"/>
        </w:rPr>
        <w:t>(</w:t>
      </w:r>
      <w:r w:rsidRPr="006571AC">
        <w:rPr>
          <w:rStyle w:val="ac"/>
          <w:sz w:val="27"/>
          <w:rtl/>
          <w:lang w:bidi="ar-IQ"/>
        </w:rPr>
        <w:endnoteReference w:id="261"/>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إن لدى سماحته شبهة</w:t>
      </w:r>
      <w:r w:rsidR="00954E9E" w:rsidRPr="006571AC">
        <w:rPr>
          <w:rFonts w:hint="cs"/>
          <w:sz w:val="27"/>
          <w:rtl/>
          <w:lang w:bidi="ar-IQ"/>
        </w:rPr>
        <w:t>ٌ</w:t>
      </w:r>
      <w:r w:rsidRPr="006571AC">
        <w:rPr>
          <w:rFonts w:hint="cs"/>
          <w:sz w:val="27"/>
          <w:rtl/>
          <w:lang w:bidi="ar-IQ"/>
        </w:rPr>
        <w:t xml:space="preserve"> تتعلّق بذات المؤل</w:t>
      </w:r>
      <w:r w:rsidR="00954E9E" w:rsidRPr="006571AC">
        <w:rPr>
          <w:rFonts w:hint="cs"/>
          <w:sz w:val="27"/>
          <w:rtl/>
          <w:lang w:bidi="ar-IQ"/>
        </w:rPr>
        <w:t>ِّ</w:t>
      </w:r>
      <w:r w:rsidRPr="006571AC">
        <w:rPr>
          <w:rFonts w:hint="cs"/>
          <w:sz w:val="27"/>
          <w:rtl/>
          <w:lang w:bidi="ar-IQ"/>
        </w:rPr>
        <w:t>ف؛ إذ يحسبه شخصاً متسامحاً ومتساهلاً في نقل الأحاديث</w:t>
      </w:r>
      <w:r w:rsidR="00954E9E" w:rsidRPr="006571AC">
        <w:rPr>
          <w:rFonts w:hint="cs"/>
          <w:sz w:val="27"/>
          <w:rtl/>
          <w:lang w:bidi="ar-IQ"/>
        </w:rPr>
        <w:t>؛</w:t>
      </w:r>
      <w:r w:rsidRPr="006571AC">
        <w:rPr>
          <w:rFonts w:hint="cs"/>
          <w:sz w:val="27"/>
          <w:rtl/>
          <w:lang w:bidi="ar-IQ"/>
        </w:rPr>
        <w:t xml:space="preserve"> كما يرى كتابه مشتملاً على إشكال</w:t>
      </w:r>
      <w:r w:rsidR="00954E9E" w:rsidRPr="006571AC">
        <w:rPr>
          <w:rFonts w:hint="cs"/>
          <w:sz w:val="27"/>
          <w:rtl/>
          <w:lang w:bidi="ar-IQ"/>
        </w:rPr>
        <w:t>ٍ</w:t>
      </w:r>
      <w:r w:rsidRPr="006571AC">
        <w:rPr>
          <w:rFonts w:hint="cs"/>
          <w:sz w:val="27"/>
          <w:rtl/>
          <w:lang w:bidi="ar-IQ"/>
        </w:rPr>
        <w:t xml:space="preserve"> أيضاً؛ إذ جميع الروايات الواردة فيه ـ ومن بينها الرواية مورد البحث ـ قد ورد</w:t>
      </w:r>
      <w:r w:rsidR="00954E9E" w:rsidRPr="006571AC">
        <w:rPr>
          <w:rFonts w:hint="cs"/>
          <w:sz w:val="27"/>
          <w:rtl/>
          <w:lang w:bidi="ar-IQ"/>
        </w:rPr>
        <w:t>َ</w:t>
      </w:r>
      <w:r w:rsidRPr="006571AC">
        <w:rPr>
          <w:rFonts w:hint="cs"/>
          <w:sz w:val="27"/>
          <w:rtl/>
          <w:lang w:bidi="ar-IQ"/>
        </w:rPr>
        <w:t>ت</w:t>
      </w:r>
      <w:r w:rsidR="00954E9E" w:rsidRPr="006571AC">
        <w:rPr>
          <w:rFonts w:hint="cs"/>
          <w:sz w:val="27"/>
          <w:rtl/>
          <w:lang w:bidi="ar-IQ"/>
        </w:rPr>
        <w:t>ْ</w:t>
      </w:r>
      <w:r w:rsidRPr="006571AC">
        <w:rPr>
          <w:rFonts w:hint="cs"/>
          <w:sz w:val="27"/>
          <w:rtl/>
          <w:lang w:bidi="ar-IQ"/>
        </w:rPr>
        <w:t xml:space="preserve"> على شكل مراسيل ومرفوعات، وهذا يُع</w:t>
      </w:r>
      <w:r w:rsidR="00954E9E" w:rsidRPr="006571AC">
        <w:rPr>
          <w:rFonts w:hint="cs"/>
          <w:sz w:val="27"/>
          <w:rtl/>
          <w:lang w:bidi="ar-IQ"/>
        </w:rPr>
        <w:t>َ</w:t>
      </w:r>
      <w:r w:rsidRPr="006571AC">
        <w:rPr>
          <w:rFonts w:hint="cs"/>
          <w:sz w:val="27"/>
          <w:rtl/>
          <w:lang w:bidi="ar-IQ"/>
        </w:rPr>
        <w:t xml:space="preserve">دّ من أسباب ضعف الرواية. وعلى </w:t>
      </w:r>
      <w:r w:rsidR="00954E9E" w:rsidRPr="006571AC">
        <w:rPr>
          <w:rFonts w:hint="cs"/>
          <w:sz w:val="27"/>
          <w:rtl/>
          <w:lang w:bidi="ar-IQ"/>
        </w:rPr>
        <w:t>أيّ</w:t>
      </w:r>
      <w:r w:rsidRPr="006571AC">
        <w:rPr>
          <w:rFonts w:hint="cs"/>
          <w:sz w:val="27"/>
          <w:rtl/>
          <w:lang w:bidi="ar-IQ"/>
        </w:rPr>
        <w:t xml:space="preserve"> حال فإن هذه الرواية مرسلة</w:t>
      </w:r>
      <w:r w:rsidR="00954E9E" w:rsidRPr="006571AC">
        <w:rPr>
          <w:rFonts w:hint="cs"/>
          <w:sz w:val="27"/>
          <w:rtl/>
          <w:lang w:bidi="ar-IQ"/>
        </w:rPr>
        <w:t>ٌ</w:t>
      </w:r>
      <w:r w:rsidRPr="006571AC">
        <w:rPr>
          <w:rFonts w:hint="cs"/>
          <w:sz w:val="27"/>
          <w:rtl/>
          <w:lang w:bidi="ar-IQ"/>
        </w:rPr>
        <w:t>، ولم ي</w:t>
      </w:r>
      <w:r w:rsidR="00954E9E" w:rsidRPr="006571AC">
        <w:rPr>
          <w:rFonts w:hint="cs"/>
          <w:sz w:val="27"/>
          <w:rtl/>
          <w:lang w:bidi="ar-IQ"/>
        </w:rPr>
        <w:t>َ</w:t>
      </w:r>
      <w:r w:rsidRPr="006571AC">
        <w:rPr>
          <w:rFonts w:hint="cs"/>
          <w:sz w:val="27"/>
          <w:rtl/>
          <w:lang w:bidi="ar-IQ"/>
        </w:rPr>
        <w:t>ر</w:t>
      </w:r>
      <w:r w:rsidR="00954E9E" w:rsidRPr="006571AC">
        <w:rPr>
          <w:rFonts w:hint="cs"/>
          <w:sz w:val="27"/>
          <w:rtl/>
          <w:lang w:bidi="ar-IQ"/>
        </w:rPr>
        <w:t>ِ</w:t>
      </w:r>
      <w:r w:rsidRPr="006571AC">
        <w:rPr>
          <w:rFonts w:hint="cs"/>
          <w:sz w:val="27"/>
          <w:rtl/>
          <w:lang w:bidi="ar-IQ"/>
        </w:rPr>
        <w:t>د</w:t>
      </w:r>
      <w:r w:rsidR="00954E9E" w:rsidRPr="006571AC">
        <w:rPr>
          <w:rFonts w:hint="cs"/>
          <w:sz w:val="27"/>
          <w:rtl/>
          <w:lang w:bidi="ar-IQ"/>
        </w:rPr>
        <w:t>ْ</w:t>
      </w:r>
      <w:r w:rsidRPr="006571AC">
        <w:rPr>
          <w:rFonts w:hint="cs"/>
          <w:sz w:val="27"/>
          <w:rtl/>
          <w:lang w:bidi="ar-IQ"/>
        </w:rPr>
        <w:t xml:space="preserve"> لها ذكر</w:t>
      </w:r>
      <w:r w:rsidR="00954E9E" w:rsidRPr="006571AC">
        <w:rPr>
          <w:rFonts w:hint="cs"/>
          <w:sz w:val="27"/>
          <w:rtl/>
          <w:lang w:bidi="ar-IQ"/>
        </w:rPr>
        <w:t xml:space="preserve">ٌ في أيٍّ </w:t>
      </w:r>
      <w:r w:rsidRPr="006571AC">
        <w:rPr>
          <w:rFonts w:hint="cs"/>
          <w:sz w:val="27"/>
          <w:rtl/>
          <w:lang w:bidi="ar-IQ"/>
        </w:rPr>
        <w:t>من جوامعنا ومصادرنا الروائية</w:t>
      </w:r>
      <w:r w:rsidR="00954E9E" w:rsidRPr="006571AC">
        <w:rPr>
          <w:rFonts w:hint="cs"/>
          <w:sz w:val="27"/>
          <w:rtl/>
          <w:lang w:bidi="ar-IQ"/>
        </w:rPr>
        <w:t>؛</w:t>
      </w:r>
      <w:r w:rsidRPr="006571AC">
        <w:rPr>
          <w:rFonts w:hint="cs"/>
          <w:sz w:val="27"/>
          <w:rtl/>
          <w:lang w:bidi="ar-IQ"/>
        </w:rPr>
        <w:t xml:space="preserve"> لكي يخضع رجالها </w:t>
      </w:r>
      <w:r w:rsidR="00954E9E" w:rsidRPr="006571AC">
        <w:rPr>
          <w:rFonts w:hint="cs"/>
          <w:sz w:val="27"/>
          <w:rtl/>
          <w:lang w:bidi="ar-IQ"/>
        </w:rPr>
        <w:t>ل</w:t>
      </w:r>
      <w:r w:rsidRPr="006571AC">
        <w:rPr>
          <w:rFonts w:hint="cs"/>
          <w:sz w:val="27"/>
          <w:rtl/>
          <w:lang w:bidi="ar-IQ"/>
        </w:rPr>
        <w:t xml:space="preserve">لبحث والتمحيص. </w:t>
      </w:r>
    </w:p>
    <w:p w:rsidR="00954E9E" w:rsidRPr="006571AC" w:rsidRDefault="00381A52" w:rsidP="00552C10">
      <w:pPr>
        <w:rPr>
          <w:sz w:val="27"/>
          <w:rtl/>
          <w:lang w:bidi="ar-IQ"/>
        </w:rPr>
      </w:pPr>
      <w:r w:rsidRPr="006571AC">
        <w:rPr>
          <w:rFonts w:hint="cs"/>
          <w:sz w:val="27"/>
          <w:rtl/>
          <w:lang w:bidi="ar-IQ"/>
        </w:rPr>
        <w:t>نعم</w:t>
      </w:r>
      <w:r w:rsidR="00954E9E" w:rsidRPr="006571AC">
        <w:rPr>
          <w:rFonts w:hint="cs"/>
          <w:sz w:val="27"/>
          <w:rtl/>
          <w:lang w:bidi="ar-IQ"/>
        </w:rPr>
        <w:t>،</w:t>
      </w:r>
      <w:r w:rsidRPr="006571AC">
        <w:rPr>
          <w:rFonts w:hint="cs"/>
          <w:sz w:val="27"/>
          <w:rtl/>
          <w:lang w:bidi="ar-IQ"/>
        </w:rPr>
        <w:t xml:space="preserve"> لو كان الشخص من القائلين بأن عمل المشهور يُع</w:t>
      </w:r>
      <w:r w:rsidR="00954E9E" w:rsidRPr="006571AC">
        <w:rPr>
          <w:rFonts w:hint="cs"/>
          <w:sz w:val="27"/>
          <w:rtl/>
          <w:lang w:bidi="ar-IQ"/>
        </w:rPr>
        <w:t>َ</w:t>
      </w:r>
      <w:r w:rsidRPr="006571AC">
        <w:rPr>
          <w:rFonts w:hint="cs"/>
          <w:sz w:val="27"/>
          <w:rtl/>
          <w:lang w:bidi="ar-IQ"/>
        </w:rPr>
        <w:t>دّ جابراً لضعف سند الرواية أمكن له جعل هذه الرواية مستنداً له، ولكن</w:t>
      </w:r>
      <w:r w:rsidR="00954E9E" w:rsidRPr="006571AC">
        <w:rPr>
          <w:rFonts w:hint="cs"/>
          <w:sz w:val="27"/>
          <w:rtl/>
          <w:lang w:bidi="ar-IQ"/>
        </w:rPr>
        <w:t>ْ</w:t>
      </w:r>
      <w:r w:rsidRPr="006571AC">
        <w:rPr>
          <w:rFonts w:hint="cs"/>
          <w:sz w:val="27"/>
          <w:rtl/>
          <w:lang w:bidi="ar-IQ"/>
        </w:rPr>
        <w:t xml:space="preserve"> بشرط أن تكون دلالتها تامّة</w:t>
      </w:r>
      <w:r w:rsidR="00954E9E" w:rsidRPr="006571AC">
        <w:rPr>
          <w:rFonts w:hint="cs"/>
          <w:sz w:val="27"/>
          <w:rtl/>
          <w:lang w:bidi="ar-IQ"/>
        </w:rPr>
        <w:t>ً</w:t>
      </w:r>
      <w:r w:rsidRPr="006571AC">
        <w:rPr>
          <w:rFonts w:hint="cs"/>
          <w:sz w:val="27"/>
          <w:rtl/>
          <w:lang w:bidi="ar-IQ"/>
        </w:rPr>
        <w:t xml:space="preserve"> أيضاً</w:t>
      </w:r>
      <w:r w:rsidR="00954E9E"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ومن ناحية</w:t>
      </w:r>
      <w:r w:rsidR="00954E9E" w:rsidRPr="006571AC">
        <w:rPr>
          <w:rFonts w:hint="cs"/>
          <w:sz w:val="27"/>
          <w:rtl/>
          <w:lang w:bidi="ar-IQ"/>
        </w:rPr>
        <w:t>ٍ</w:t>
      </w:r>
      <w:r w:rsidRPr="006571AC">
        <w:rPr>
          <w:rFonts w:hint="cs"/>
          <w:sz w:val="27"/>
          <w:rtl/>
          <w:lang w:bidi="ar-IQ"/>
        </w:rPr>
        <w:t xml:space="preserve"> أخرى</w:t>
      </w:r>
      <w:r w:rsidR="00954E9E" w:rsidRPr="006571AC">
        <w:rPr>
          <w:rFonts w:hint="cs"/>
          <w:sz w:val="27"/>
          <w:rtl/>
          <w:lang w:bidi="ar-IQ"/>
        </w:rPr>
        <w:t>؛</w:t>
      </w:r>
      <w:r w:rsidRPr="006571AC">
        <w:rPr>
          <w:rFonts w:hint="cs"/>
          <w:sz w:val="27"/>
          <w:rtl/>
          <w:lang w:bidi="ar-IQ"/>
        </w:rPr>
        <w:t xml:space="preserve"> حيث نعلم أن دأب الفقهاء قائم</w:t>
      </w:r>
      <w:r w:rsidR="00954E9E" w:rsidRPr="006571AC">
        <w:rPr>
          <w:rFonts w:hint="cs"/>
          <w:sz w:val="27"/>
          <w:rtl/>
          <w:lang w:bidi="ar-IQ"/>
        </w:rPr>
        <w:t>ٌ</w:t>
      </w:r>
      <w:r w:rsidRPr="006571AC">
        <w:rPr>
          <w:rFonts w:hint="cs"/>
          <w:sz w:val="27"/>
          <w:rtl/>
          <w:lang w:bidi="ar-IQ"/>
        </w:rPr>
        <w:t xml:space="preserve"> على مناقشة الروايات ذات السند</w:t>
      </w:r>
      <w:r w:rsidR="00954E9E" w:rsidRPr="006571AC">
        <w:rPr>
          <w:rFonts w:hint="cs"/>
          <w:sz w:val="27"/>
          <w:rtl/>
          <w:lang w:bidi="ar-IQ"/>
        </w:rPr>
        <w:t>؛</w:t>
      </w:r>
      <w:r w:rsidRPr="006571AC">
        <w:rPr>
          <w:rFonts w:hint="cs"/>
          <w:sz w:val="27"/>
          <w:rtl/>
          <w:lang w:bidi="ar-IQ"/>
        </w:rPr>
        <w:t xml:space="preserve"> ليدركوا صحّة السند أو سقمه، ولكن</w:t>
      </w:r>
      <w:r w:rsidR="00954E9E" w:rsidRPr="006571AC">
        <w:rPr>
          <w:rFonts w:hint="cs"/>
          <w:sz w:val="27"/>
          <w:rtl/>
          <w:lang w:bidi="ar-IQ"/>
        </w:rPr>
        <w:t>ْ</w:t>
      </w:r>
      <w:r w:rsidRPr="006571AC">
        <w:rPr>
          <w:rFonts w:hint="cs"/>
          <w:sz w:val="27"/>
          <w:rtl/>
          <w:lang w:bidi="ar-IQ"/>
        </w:rPr>
        <w:t xml:space="preserve"> مع ذلك فقد عمد بعض الفقهاء إلى نقل الرواية </w:t>
      </w:r>
      <w:r w:rsidR="000F297D" w:rsidRPr="006571AC">
        <w:rPr>
          <w:rFonts w:hint="cs"/>
          <w:sz w:val="27"/>
          <w:rtl/>
          <w:lang w:bidi="ar-IQ"/>
        </w:rPr>
        <w:t>المتقدِّمة</w:t>
      </w:r>
      <w:r w:rsidRPr="006571AC">
        <w:rPr>
          <w:rFonts w:hint="cs"/>
          <w:sz w:val="27"/>
          <w:rtl/>
          <w:lang w:bidi="ar-IQ"/>
        </w:rPr>
        <w:t xml:space="preserve"> بلفظ</w:t>
      </w:r>
      <w:r w:rsidR="000F297D" w:rsidRPr="006571AC">
        <w:rPr>
          <w:rFonts w:hint="cs"/>
          <w:sz w:val="27"/>
          <w:rtl/>
          <w:lang w:bidi="ar-IQ"/>
        </w:rPr>
        <w:t xml:space="preserve">: </w:t>
      </w:r>
      <w:r w:rsidRPr="006571AC">
        <w:rPr>
          <w:rFonts w:hint="eastAsia"/>
          <w:sz w:val="24"/>
          <w:szCs w:val="24"/>
          <w:rtl/>
        </w:rPr>
        <w:t>«</w:t>
      </w:r>
      <w:r w:rsidRPr="006571AC">
        <w:rPr>
          <w:rFonts w:hint="cs"/>
          <w:sz w:val="27"/>
          <w:rtl/>
          <w:lang w:bidi="ar-IQ"/>
        </w:rPr>
        <w:t>قال</w:t>
      </w:r>
      <w:r w:rsidRPr="006571AC">
        <w:rPr>
          <w:rFonts w:hint="eastAsia"/>
          <w:sz w:val="24"/>
          <w:szCs w:val="24"/>
          <w:rtl/>
        </w:rPr>
        <w:t>»</w:t>
      </w:r>
      <w:r w:rsidRPr="006571AC">
        <w:rPr>
          <w:rFonts w:hint="cs"/>
          <w:sz w:val="27"/>
          <w:rtl/>
          <w:lang w:bidi="ar-IQ"/>
        </w:rPr>
        <w:t xml:space="preserve"> ـ</w:t>
      </w:r>
      <w:r w:rsidR="003C4108" w:rsidRPr="006571AC">
        <w:rPr>
          <w:rFonts w:hint="cs"/>
          <w:sz w:val="27"/>
          <w:rtl/>
          <w:lang w:bidi="ar-IQ"/>
        </w:rPr>
        <w:t xml:space="preserve"> بمعنى أنهم نقلوها على شكل إسنادٍ</w:t>
      </w:r>
      <w:r w:rsidRPr="006571AC">
        <w:rPr>
          <w:rFonts w:hint="cs"/>
          <w:sz w:val="27"/>
          <w:rtl/>
          <w:lang w:bidi="ar-IQ"/>
        </w:rPr>
        <w:t xml:space="preserve"> قطعي عن رسول الله</w:t>
      </w:r>
      <w:r w:rsidR="000F297D" w:rsidRPr="006571AC">
        <w:rPr>
          <w:rFonts w:ascii="Mosawi" w:hAnsi="Mosawi" w:cs="Mosawi"/>
          <w:sz w:val="22"/>
          <w:szCs w:val="22"/>
          <w:rtl/>
        </w:rPr>
        <w:t>|</w:t>
      </w:r>
      <w:r w:rsidR="000F297D" w:rsidRPr="006571AC">
        <w:rPr>
          <w:rFonts w:hint="cs"/>
          <w:sz w:val="27"/>
          <w:rtl/>
          <w:lang w:bidi="ar-IQ"/>
        </w:rPr>
        <w:t xml:space="preserve"> </w:t>
      </w:r>
      <w:r w:rsidRPr="006571AC">
        <w:rPr>
          <w:rFonts w:hint="cs"/>
          <w:sz w:val="27"/>
          <w:rtl/>
          <w:lang w:bidi="ar-IQ"/>
        </w:rPr>
        <w:t>ـ</w:t>
      </w:r>
      <w:r w:rsidR="000F297D" w:rsidRPr="006571AC">
        <w:rPr>
          <w:rFonts w:hint="cs"/>
          <w:sz w:val="27"/>
          <w:rtl/>
          <w:lang w:bidi="ar-IQ"/>
        </w:rPr>
        <w:t>،</w:t>
      </w:r>
      <w:r w:rsidRPr="006571AC">
        <w:rPr>
          <w:rFonts w:hint="cs"/>
          <w:sz w:val="27"/>
          <w:rtl/>
          <w:lang w:bidi="ar-IQ"/>
        </w:rPr>
        <w:t xml:space="preserve"> ولم يستخدموا في نقلها عبارات</w:t>
      </w:r>
      <w:r w:rsidR="000F297D" w:rsidRPr="006571AC">
        <w:rPr>
          <w:rFonts w:hint="cs"/>
          <w:sz w:val="27"/>
          <w:rtl/>
          <w:lang w:bidi="ar-IQ"/>
        </w:rPr>
        <w:t>ٍ</w:t>
      </w:r>
      <w:r w:rsidRPr="006571AC">
        <w:rPr>
          <w:rFonts w:hint="cs"/>
          <w:sz w:val="27"/>
          <w:rtl/>
          <w:lang w:bidi="ar-IQ"/>
        </w:rPr>
        <w:t xml:space="preserve"> من قبيل: </w:t>
      </w:r>
      <w:r w:rsidRPr="006571AC">
        <w:rPr>
          <w:rFonts w:hint="eastAsia"/>
          <w:sz w:val="24"/>
          <w:szCs w:val="24"/>
          <w:rtl/>
        </w:rPr>
        <w:t>«</w:t>
      </w:r>
      <w:r w:rsidRPr="006571AC">
        <w:rPr>
          <w:rFonts w:hint="cs"/>
          <w:sz w:val="27"/>
          <w:rtl/>
          <w:lang w:bidi="ar-IQ"/>
        </w:rPr>
        <w:t>ر</w:t>
      </w:r>
      <w:r w:rsidR="000F297D" w:rsidRPr="006571AC">
        <w:rPr>
          <w:rFonts w:hint="cs"/>
          <w:sz w:val="27"/>
          <w:rtl/>
          <w:lang w:bidi="ar-IQ"/>
        </w:rPr>
        <w:t>ُوي</w:t>
      </w:r>
      <w:r w:rsidRPr="006571AC">
        <w:rPr>
          <w:rFonts w:hint="eastAsia"/>
          <w:sz w:val="24"/>
          <w:szCs w:val="24"/>
          <w:rtl/>
        </w:rPr>
        <w:t>»</w:t>
      </w:r>
      <w:r w:rsidRPr="006571AC">
        <w:rPr>
          <w:rFonts w:hint="cs"/>
          <w:sz w:val="27"/>
          <w:rtl/>
          <w:lang w:bidi="ar-IQ"/>
        </w:rPr>
        <w:t>؛ ولذلك يمكن أن نفهم من ذلك أن الفقهاء قد تعاملوا مع هذه الرواية بوصفها من الروايات المسندة</w:t>
      </w:r>
      <w:r w:rsidRPr="006571AC">
        <w:rPr>
          <w:sz w:val="27"/>
          <w:vertAlign w:val="superscript"/>
          <w:rtl/>
          <w:lang w:bidi="ar-IQ"/>
        </w:rPr>
        <w:t>(</w:t>
      </w:r>
      <w:r w:rsidRPr="006571AC">
        <w:rPr>
          <w:rStyle w:val="ac"/>
          <w:sz w:val="27"/>
          <w:rtl/>
          <w:lang w:bidi="ar-IQ"/>
        </w:rPr>
        <w:endnoteReference w:id="262"/>
      </w:r>
      <w:r w:rsidRPr="006571AC">
        <w:rPr>
          <w:sz w:val="27"/>
          <w:vertAlign w:val="superscript"/>
          <w:rtl/>
          <w:lang w:bidi="ar-IQ"/>
        </w:rPr>
        <w:t>)</w:t>
      </w:r>
      <w:r w:rsidRPr="006571AC">
        <w:rPr>
          <w:rFonts w:hint="cs"/>
          <w:sz w:val="27"/>
          <w:rtl/>
          <w:lang w:bidi="ar-IQ"/>
        </w:rPr>
        <w:t xml:space="preserve">. </w:t>
      </w:r>
    </w:p>
    <w:p w:rsidR="004B60B2" w:rsidRPr="006571AC" w:rsidRDefault="004B60B2" w:rsidP="004B60B2">
      <w:pPr>
        <w:spacing w:line="420" w:lineRule="exact"/>
        <w:rPr>
          <w:sz w:val="27"/>
          <w:rtl/>
        </w:rPr>
      </w:pPr>
    </w:p>
    <w:p w:rsidR="00381A52" w:rsidRPr="006571AC" w:rsidRDefault="00332010" w:rsidP="003C4108">
      <w:pPr>
        <w:pStyle w:val="31"/>
        <w:rPr>
          <w:color w:val="auto"/>
          <w:rtl/>
          <w:lang w:bidi="ar-IQ"/>
        </w:rPr>
      </w:pPr>
      <w:bookmarkStart w:id="124" w:name="_Toc114164613"/>
      <w:r w:rsidRPr="006571AC">
        <w:rPr>
          <w:rFonts w:hint="cs"/>
          <w:color w:val="auto"/>
          <w:rtl/>
          <w:lang w:bidi="ar-IQ"/>
        </w:rPr>
        <w:t>2ـ</w:t>
      </w:r>
      <w:r w:rsidR="00381A52" w:rsidRPr="006571AC">
        <w:rPr>
          <w:rFonts w:hint="cs"/>
          <w:color w:val="auto"/>
          <w:rtl/>
          <w:lang w:bidi="ar-IQ"/>
        </w:rPr>
        <w:t xml:space="preserve"> دلالة الرواية</w:t>
      </w:r>
      <w:r w:rsidR="003C4108" w:rsidRPr="006571AC">
        <w:rPr>
          <w:rFonts w:hint="cs"/>
          <w:color w:val="auto"/>
          <w:rtl/>
          <w:lang w:bidi="ar-IQ"/>
        </w:rPr>
        <w:t xml:space="preserve"> بين القبول والرفض</w:t>
      </w:r>
      <w:bookmarkEnd w:id="124"/>
    </w:p>
    <w:p w:rsidR="00381A52" w:rsidRPr="006571AC" w:rsidRDefault="00381A52" w:rsidP="00552C10">
      <w:pPr>
        <w:rPr>
          <w:sz w:val="27"/>
          <w:rtl/>
          <w:lang w:bidi="ar-IQ"/>
        </w:rPr>
      </w:pPr>
      <w:r w:rsidRPr="006571AC">
        <w:rPr>
          <w:rFonts w:hint="cs"/>
          <w:sz w:val="27"/>
          <w:rtl/>
          <w:lang w:bidi="ar-IQ"/>
        </w:rPr>
        <w:t>إن المراد من سلطة الناس وقدرتهم على التصرّ</w:t>
      </w:r>
      <w:r w:rsidR="000F297D" w:rsidRPr="006571AC">
        <w:rPr>
          <w:rFonts w:hint="cs"/>
          <w:sz w:val="27"/>
          <w:rtl/>
          <w:lang w:bidi="ar-IQ"/>
        </w:rPr>
        <w:t>ُ</w:t>
      </w:r>
      <w:r w:rsidRPr="006571AC">
        <w:rPr>
          <w:rFonts w:hint="cs"/>
          <w:sz w:val="27"/>
          <w:rtl/>
          <w:lang w:bidi="ar-IQ"/>
        </w:rPr>
        <w:t>ف في أموالهم هو نفوذ تصرّ</w:t>
      </w:r>
      <w:r w:rsidR="003405F0" w:rsidRPr="006571AC">
        <w:rPr>
          <w:rFonts w:hint="cs"/>
          <w:sz w:val="27"/>
          <w:rtl/>
          <w:lang w:bidi="ar-IQ"/>
        </w:rPr>
        <w:t>ُ</w:t>
      </w:r>
      <w:r w:rsidRPr="006571AC">
        <w:rPr>
          <w:rFonts w:hint="cs"/>
          <w:sz w:val="27"/>
          <w:rtl/>
          <w:lang w:bidi="ar-IQ"/>
        </w:rPr>
        <w:t>فاتهم ـ من الناحية الكمّية والكيفية ـ</w:t>
      </w:r>
      <w:r w:rsidR="000F297D" w:rsidRPr="006571AC">
        <w:rPr>
          <w:rFonts w:hint="cs"/>
          <w:sz w:val="27"/>
          <w:rtl/>
          <w:lang w:bidi="ar-IQ"/>
        </w:rPr>
        <w:t>،</w:t>
      </w:r>
      <w:r w:rsidRPr="006571AC">
        <w:rPr>
          <w:rFonts w:hint="cs"/>
          <w:sz w:val="27"/>
          <w:rtl/>
          <w:lang w:bidi="ar-IQ"/>
        </w:rPr>
        <w:t xml:space="preserve"> ولذلك يمكن للناس في ضوء هذه الرواية أن يتصالحوا على أموالهم صلحاً ابتدائياً، وأن يرتّ</w:t>
      </w:r>
      <w:r w:rsidR="000F297D" w:rsidRPr="006571AC">
        <w:rPr>
          <w:rFonts w:hint="cs"/>
          <w:sz w:val="27"/>
          <w:rtl/>
          <w:lang w:bidi="ar-IQ"/>
        </w:rPr>
        <w:t>ِ</w:t>
      </w:r>
      <w:r w:rsidRPr="006571AC">
        <w:rPr>
          <w:rFonts w:hint="cs"/>
          <w:sz w:val="27"/>
          <w:rtl/>
          <w:lang w:bidi="ar-IQ"/>
        </w:rPr>
        <w:t xml:space="preserve">بوا الآثار على هذا الصلح؛ إذ يمكن لهذه الرواية أن تشتمل على العموم لدليلين، وهما: </w:t>
      </w:r>
    </w:p>
    <w:p w:rsidR="00381A52" w:rsidRPr="006571AC" w:rsidRDefault="00381A52" w:rsidP="00552C10">
      <w:pPr>
        <w:rPr>
          <w:sz w:val="27"/>
          <w:rtl/>
          <w:lang w:bidi="ar-IQ"/>
        </w:rPr>
      </w:pPr>
      <w:r w:rsidRPr="006571AC">
        <w:rPr>
          <w:rFonts w:hint="cs"/>
          <w:sz w:val="27"/>
          <w:rtl/>
          <w:lang w:bidi="ar-IQ"/>
        </w:rPr>
        <w:t>أـ من جهة حذف متعل</w:t>
      </w:r>
      <w:r w:rsidR="000F297D" w:rsidRPr="006571AC">
        <w:rPr>
          <w:rFonts w:hint="cs"/>
          <w:sz w:val="27"/>
          <w:rtl/>
          <w:lang w:bidi="ar-IQ"/>
        </w:rPr>
        <w:t>َّ</w:t>
      </w:r>
      <w:r w:rsidRPr="006571AC">
        <w:rPr>
          <w:rFonts w:hint="cs"/>
          <w:sz w:val="27"/>
          <w:rtl/>
          <w:lang w:bidi="ar-IQ"/>
        </w:rPr>
        <w:t xml:space="preserve">ق السلطة. </w:t>
      </w:r>
    </w:p>
    <w:p w:rsidR="00381A52" w:rsidRPr="006571AC" w:rsidRDefault="00381A52" w:rsidP="00552C10">
      <w:pPr>
        <w:rPr>
          <w:sz w:val="27"/>
          <w:rtl/>
          <w:lang w:bidi="ar-IQ"/>
        </w:rPr>
      </w:pPr>
      <w:r w:rsidRPr="006571AC">
        <w:rPr>
          <w:rFonts w:hint="cs"/>
          <w:sz w:val="27"/>
          <w:rtl/>
          <w:lang w:bidi="ar-IQ"/>
        </w:rPr>
        <w:t>ب ـ من جهة جريان مقدّ</w:t>
      </w:r>
      <w:r w:rsidR="000F297D" w:rsidRPr="006571AC">
        <w:rPr>
          <w:rFonts w:hint="cs"/>
          <w:sz w:val="27"/>
          <w:rtl/>
          <w:lang w:bidi="ar-IQ"/>
        </w:rPr>
        <w:t>ِ</w:t>
      </w:r>
      <w:r w:rsidRPr="006571AC">
        <w:rPr>
          <w:rFonts w:hint="cs"/>
          <w:sz w:val="27"/>
          <w:rtl/>
          <w:lang w:bidi="ar-IQ"/>
        </w:rPr>
        <w:t xml:space="preserve">مات الحكمة. </w:t>
      </w:r>
    </w:p>
    <w:p w:rsidR="00381A52" w:rsidRPr="006571AC" w:rsidRDefault="00381A52" w:rsidP="003405F0">
      <w:pPr>
        <w:rPr>
          <w:sz w:val="27"/>
          <w:rtl/>
          <w:lang w:bidi="ar-IQ"/>
        </w:rPr>
      </w:pPr>
      <w:r w:rsidRPr="006571AC">
        <w:rPr>
          <w:rFonts w:hint="cs"/>
          <w:sz w:val="27"/>
          <w:rtl/>
          <w:lang w:bidi="ar-IQ"/>
        </w:rPr>
        <w:t>وذلك ببيان</w:t>
      </w:r>
      <w:r w:rsidR="000F297D" w:rsidRPr="006571AC">
        <w:rPr>
          <w:rFonts w:hint="cs"/>
          <w:sz w:val="27"/>
          <w:rtl/>
          <w:lang w:bidi="ar-IQ"/>
        </w:rPr>
        <w:t>:</w:t>
      </w:r>
      <w:r w:rsidRPr="006571AC">
        <w:rPr>
          <w:rFonts w:hint="cs"/>
          <w:sz w:val="27"/>
          <w:rtl/>
          <w:lang w:bidi="ar-IQ"/>
        </w:rPr>
        <w:t xml:space="preserve"> </w:t>
      </w:r>
      <w:r w:rsidRPr="006571AC">
        <w:rPr>
          <w:rFonts w:hint="cs"/>
          <w:b/>
          <w:bCs/>
          <w:sz w:val="27"/>
          <w:rtl/>
          <w:lang w:bidi="ar-IQ"/>
        </w:rPr>
        <w:t>أو</w:t>
      </w:r>
      <w:r w:rsidR="000F297D" w:rsidRPr="006571AC">
        <w:rPr>
          <w:rFonts w:hint="cs"/>
          <w:b/>
          <w:bCs/>
          <w:sz w:val="27"/>
          <w:rtl/>
          <w:lang w:bidi="ar-IQ"/>
        </w:rPr>
        <w:t>ّ</w:t>
      </w:r>
      <w:r w:rsidRPr="006571AC">
        <w:rPr>
          <w:rFonts w:hint="cs"/>
          <w:b/>
          <w:bCs/>
          <w:sz w:val="27"/>
          <w:rtl/>
          <w:lang w:bidi="ar-IQ"/>
        </w:rPr>
        <w:t>لاً</w:t>
      </w:r>
      <w:r w:rsidRPr="006571AC">
        <w:rPr>
          <w:rFonts w:hint="cs"/>
          <w:sz w:val="27"/>
          <w:rtl/>
          <w:lang w:bidi="ar-IQ"/>
        </w:rPr>
        <w:t>: أن يكون المتكل</w:t>
      </w:r>
      <w:r w:rsidR="000F297D" w:rsidRPr="006571AC">
        <w:rPr>
          <w:rFonts w:hint="cs"/>
          <w:sz w:val="27"/>
          <w:rtl/>
          <w:lang w:bidi="ar-IQ"/>
        </w:rPr>
        <w:t>ِّ</w:t>
      </w:r>
      <w:r w:rsidRPr="006571AC">
        <w:rPr>
          <w:rFonts w:hint="cs"/>
          <w:sz w:val="27"/>
          <w:rtl/>
          <w:lang w:bidi="ar-IQ"/>
        </w:rPr>
        <w:t>م ـ من جهة</w:t>
      </w:r>
      <w:r w:rsidR="000F297D" w:rsidRPr="006571AC">
        <w:rPr>
          <w:rFonts w:hint="cs"/>
          <w:sz w:val="27"/>
          <w:rtl/>
          <w:lang w:bidi="ar-IQ"/>
        </w:rPr>
        <w:t>ٍ</w:t>
      </w:r>
      <w:r w:rsidRPr="006571AC">
        <w:rPr>
          <w:rFonts w:hint="cs"/>
          <w:sz w:val="27"/>
          <w:rtl/>
          <w:lang w:bidi="ar-IQ"/>
        </w:rPr>
        <w:t xml:space="preserve"> ـ في مقام بيان جميع مراده من سلطة الناس على أموالهم. </w:t>
      </w:r>
      <w:r w:rsidRPr="006571AC">
        <w:rPr>
          <w:rFonts w:hint="cs"/>
          <w:b/>
          <w:bCs/>
          <w:sz w:val="27"/>
          <w:rtl/>
          <w:lang w:bidi="ar-IQ"/>
        </w:rPr>
        <w:t>وثانياً</w:t>
      </w:r>
      <w:r w:rsidRPr="006571AC">
        <w:rPr>
          <w:rFonts w:hint="cs"/>
          <w:sz w:val="27"/>
          <w:rtl/>
          <w:lang w:bidi="ar-IQ"/>
        </w:rPr>
        <w:t xml:space="preserve">: </w:t>
      </w:r>
      <w:r w:rsidR="003405F0" w:rsidRPr="006571AC">
        <w:rPr>
          <w:rFonts w:hint="cs"/>
          <w:sz w:val="27"/>
          <w:rtl/>
          <w:lang w:bidi="ar-IQ"/>
        </w:rPr>
        <w:t>أ</w:t>
      </w:r>
      <w:r w:rsidRPr="006571AC">
        <w:rPr>
          <w:rFonts w:hint="cs"/>
          <w:sz w:val="27"/>
          <w:rtl/>
          <w:lang w:bidi="ar-IQ"/>
        </w:rPr>
        <w:t>ن لا ينصب قرينة</w:t>
      </w:r>
      <w:r w:rsidR="000F297D" w:rsidRPr="006571AC">
        <w:rPr>
          <w:rFonts w:hint="cs"/>
          <w:sz w:val="27"/>
          <w:rtl/>
          <w:lang w:bidi="ar-IQ"/>
        </w:rPr>
        <w:t>ً</w:t>
      </w:r>
      <w:r w:rsidRPr="006571AC">
        <w:rPr>
          <w:rFonts w:hint="cs"/>
          <w:sz w:val="27"/>
          <w:rtl/>
          <w:lang w:bidi="ar-IQ"/>
        </w:rPr>
        <w:t xml:space="preserve"> على خلاف الظهور الإطلاقي. </w:t>
      </w:r>
      <w:r w:rsidRPr="006571AC">
        <w:rPr>
          <w:rFonts w:hint="cs"/>
          <w:b/>
          <w:bCs/>
          <w:sz w:val="27"/>
          <w:rtl/>
          <w:lang w:bidi="ar-IQ"/>
        </w:rPr>
        <w:lastRenderedPageBreak/>
        <w:t>وثالثاً</w:t>
      </w:r>
      <w:r w:rsidRPr="006571AC">
        <w:rPr>
          <w:rFonts w:hint="cs"/>
          <w:sz w:val="27"/>
          <w:rtl/>
          <w:lang w:bidi="ar-IQ"/>
        </w:rPr>
        <w:t xml:space="preserve">: </w:t>
      </w:r>
      <w:r w:rsidR="003405F0" w:rsidRPr="006571AC">
        <w:rPr>
          <w:rFonts w:hint="cs"/>
          <w:sz w:val="27"/>
          <w:rtl/>
          <w:lang w:bidi="ar-IQ"/>
        </w:rPr>
        <w:t>أن</w:t>
      </w:r>
      <w:r w:rsidRPr="006571AC">
        <w:rPr>
          <w:rFonts w:hint="cs"/>
          <w:sz w:val="27"/>
          <w:rtl/>
          <w:lang w:bidi="ar-IQ"/>
        </w:rPr>
        <w:t xml:space="preserve"> لا يوجد ق</w:t>
      </w:r>
      <w:r w:rsidR="000F297D" w:rsidRPr="006571AC">
        <w:rPr>
          <w:rFonts w:hint="cs"/>
          <w:sz w:val="27"/>
          <w:rtl/>
          <w:lang w:bidi="ar-IQ"/>
        </w:rPr>
        <w:t>َ</w:t>
      </w:r>
      <w:r w:rsidRPr="006571AC">
        <w:rPr>
          <w:rFonts w:hint="cs"/>
          <w:sz w:val="27"/>
          <w:rtl/>
          <w:lang w:bidi="ar-IQ"/>
        </w:rPr>
        <w:t>د</w:t>
      </w:r>
      <w:r w:rsidR="000F297D" w:rsidRPr="006571AC">
        <w:rPr>
          <w:rFonts w:hint="cs"/>
          <w:sz w:val="27"/>
          <w:rtl/>
          <w:lang w:bidi="ar-IQ"/>
        </w:rPr>
        <w:t>َ</w:t>
      </w:r>
      <w:r w:rsidRPr="006571AC">
        <w:rPr>
          <w:rFonts w:hint="cs"/>
          <w:sz w:val="27"/>
          <w:rtl/>
          <w:lang w:bidi="ar-IQ"/>
        </w:rPr>
        <w:t>ر</w:t>
      </w:r>
      <w:r w:rsidR="000F297D" w:rsidRPr="006571AC">
        <w:rPr>
          <w:rFonts w:hint="cs"/>
          <w:sz w:val="27"/>
          <w:rtl/>
          <w:lang w:bidi="ar-IQ"/>
        </w:rPr>
        <w:t>ٌ</w:t>
      </w:r>
      <w:r w:rsidRPr="006571AC">
        <w:rPr>
          <w:rFonts w:hint="cs"/>
          <w:sz w:val="27"/>
          <w:rtl/>
          <w:lang w:bidi="ar-IQ"/>
        </w:rPr>
        <w:t xml:space="preserve"> متيق</w:t>
      </w:r>
      <w:r w:rsidR="000F297D" w:rsidRPr="006571AC">
        <w:rPr>
          <w:rFonts w:hint="cs"/>
          <w:sz w:val="27"/>
          <w:rtl/>
          <w:lang w:bidi="ar-IQ"/>
        </w:rPr>
        <w:t>َّ</w:t>
      </w:r>
      <w:r w:rsidRPr="006571AC">
        <w:rPr>
          <w:rFonts w:hint="cs"/>
          <w:sz w:val="27"/>
          <w:rtl/>
          <w:lang w:bidi="ar-IQ"/>
        </w:rPr>
        <w:t>ن في مقام التخاطب أيضاً</w:t>
      </w:r>
      <w:r w:rsidRPr="006571AC">
        <w:rPr>
          <w:sz w:val="27"/>
          <w:vertAlign w:val="superscript"/>
          <w:rtl/>
          <w:lang w:bidi="ar-IQ"/>
        </w:rPr>
        <w:t>(</w:t>
      </w:r>
      <w:r w:rsidRPr="006571AC">
        <w:rPr>
          <w:rStyle w:val="ac"/>
          <w:sz w:val="27"/>
          <w:rtl/>
          <w:lang w:bidi="ar-IQ"/>
        </w:rPr>
        <w:endnoteReference w:id="263"/>
      </w:r>
      <w:r w:rsidRPr="006571AC">
        <w:rPr>
          <w:sz w:val="27"/>
          <w:vertAlign w:val="superscript"/>
          <w:rtl/>
          <w:lang w:bidi="ar-IQ"/>
        </w:rPr>
        <w:t>)</w:t>
      </w:r>
      <w:r w:rsidRPr="006571AC">
        <w:rPr>
          <w:rFonts w:hint="cs"/>
          <w:sz w:val="27"/>
          <w:rtl/>
          <w:lang w:bidi="ar-IQ"/>
        </w:rPr>
        <w:t xml:space="preserve">. </w:t>
      </w:r>
    </w:p>
    <w:p w:rsidR="000F297D" w:rsidRPr="006571AC" w:rsidRDefault="00381A52" w:rsidP="00552C10">
      <w:pPr>
        <w:rPr>
          <w:sz w:val="27"/>
          <w:rtl/>
          <w:lang w:bidi="ar-IQ"/>
        </w:rPr>
      </w:pPr>
      <w:r w:rsidRPr="006571AC">
        <w:rPr>
          <w:rFonts w:hint="cs"/>
          <w:sz w:val="27"/>
          <w:rtl/>
          <w:lang w:bidi="ar-IQ"/>
        </w:rPr>
        <w:t>ومع تمامية هذه المقد</w:t>
      </w:r>
      <w:r w:rsidR="000F297D" w:rsidRPr="006571AC">
        <w:rPr>
          <w:rFonts w:hint="cs"/>
          <w:sz w:val="27"/>
          <w:rtl/>
          <w:lang w:bidi="ar-IQ"/>
        </w:rPr>
        <w:t>ّ</w:t>
      </w:r>
      <w:r w:rsidRPr="006571AC">
        <w:rPr>
          <w:rFonts w:hint="cs"/>
          <w:sz w:val="27"/>
          <w:rtl/>
          <w:lang w:bidi="ar-IQ"/>
        </w:rPr>
        <w:t>مات الثلاثة يمكن القول بأن للناس حق</w:t>
      </w:r>
      <w:r w:rsidR="000F297D" w:rsidRPr="006571AC">
        <w:rPr>
          <w:rFonts w:hint="cs"/>
          <w:sz w:val="27"/>
          <w:rtl/>
          <w:lang w:bidi="ar-IQ"/>
        </w:rPr>
        <w:t>ّ</w:t>
      </w:r>
      <w:r w:rsidRPr="006571AC">
        <w:rPr>
          <w:rFonts w:hint="cs"/>
          <w:sz w:val="27"/>
          <w:rtl/>
          <w:lang w:bidi="ar-IQ"/>
        </w:rPr>
        <w:t>اً في جميع أنواع التصرّ</w:t>
      </w:r>
      <w:r w:rsidR="000F297D" w:rsidRPr="006571AC">
        <w:rPr>
          <w:rFonts w:hint="cs"/>
          <w:sz w:val="27"/>
          <w:rtl/>
          <w:lang w:bidi="ar-IQ"/>
        </w:rPr>
        <w:t>ُ</w:t>
      </w:r>
      <w:r w:rsidRPr="006571AC">
        <w:rPr>
          <w:rFonts w:hint="cs"/>
          <w:sz w:val="27"/>
          <w:rtl/>
          <w:lang w:bidi="ar-IQ"/>
        </w:rPr>
        <w:t>ف في أموالهم، ويمكن لكل</w:t>
      </w:r>
      <w:r w:rsidR="000F297D" w:rsidRPr="006571AC">
        <w:rPr>
          <w:rFonts w:hint="cs"/>
          <w:sz w:val="27"/>
          <w:rtl/>
          <w:lang w:bidi="ar-IQ"/>
        </w:rPr>
        <w:t>ّ</w:t>
      </w:r>
      <w:r w:rsidRPr="006571AC">
        <w:rPr>
          <w:rFonts w:hint="cs"/>
          <w:sz w:val="27"/>
          <w:rtl/>
          <w:lang w:bidi="ar-IQ"/>
        </w:rPr>
        <w:t xml:space="preserve"> شخص</w:t>
      </w:r>
      <w:r w:rsidR="000F297D" w:rsidRPr="006571AC">
        <w:rPr>
          <w:rFonts w:hint="cs"/>
          <w:sz w:val="27"/>
          <w:rtl/>
          <w:lang w:bidi="ar-IQ"/>
        </w:rPr>
        <w:t>ٍ</w:t>
      </w:r>
      <w:r w:rsidRPr="006571AC">
        <w:rPr>
          <w:rFonts w:hint="cs"/>
          <w:sz w:val="27"/>
          <w:rtl/>
          <w:lang w:bidi="ar-IQ"/>
        </w:rPr>
        <w:t xml:space="preserve"> أن ينقل ماله إلى الآخر بأي</w:t>
      </w:r>
      <w:r w:rsidR="000F297D" w:rsidRPr="006571AC">
        <w:rPr>
          <w:rFonts w:hint="cs"/>
          <w:sz w:val="27"/>
          <w:rtl/>
          <w:lang w:bidi="ar-IQ"/>
        </w:rPr>
        <w:t>ّ</w:t>
      </w:r>
      <w:r w:rsidRPr="006571AC">
        <w:rPr>
          <w:rFonts w:hint="cs"/>
          <w:sz w:val="27"/>
          <w:rtl/>
          <w:lang w:bidi="ar-IQ"/>
        </w:rPr>
        <w:t xml:space="preserve"> سبب</w:t>
      </w:r>
      <w:r w:rsidR="000F297D" w:rsidRPr="006571AC">
        <w:rPr>
          <w:rFonts w:hint="cs"/>
          <w:sz w:val="27"/>
          <w:rtl/>
          <w:lang w:bidi="ar-IQ"/>
        </w:rPr>
        <w:t>ٍ</w:t>
      </w:r>
      <w:r w:rsidRPr="006571AC">
        <w:rPr>
          <w:rFonts w:hint="cs"/>
          <w:sz w:val="27"/>
          <w:rtl/>
          <w:lang w:bidi="ar-IQ"/>
        </w:rPr>
        <w:t xml:space="preserve"> من الأسباب</w:t>
      </w:r>
      <w:r w:rsidR="000F297D"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وقد ذهب السيد الخوئي إلى القول بعدم صحّة التمسّ</w:t>
      </w:r>
      <w:r w:rsidR="000F297D" w:rsidRPr="006571AC">
        <w:rPr>
          <w:rFonts w:hint="cs"/>
          <w:sz w:val="27"/>
          <w:rtl/>
          <w:lang w:bidi="ar-IQ"/>
        </w:rPr>
        <w:t>ُ</w:t>
      </w:r>
      <w:r w:rsidRPr="006571AC">
        <w:rPr>
          <w:rFonts w:hint="cs"/>
          <w:sz w:val="27"/>
          <w:rtl/>
          <w:lang w:bidi="ar-IQ"/>
        </w:rPr>
        <w:t>ك برواية سلطة الناس على أموالهم لإضفاء الشرعية على المعاملات</w:t>
      </w:r>
      <w:r w:rsidR="000F297D" w:rsidRPr="006571AC">
        <w:rPr>
          <w:rFonts w:hint="cs"/>
          <w:sz w:val="27"/>
          <w:rtl/>
          <w:lang w:bidi="ar-IQ"/>
        </w:rPr>
        <w:t>.</w:t>
      </w:r>
      <w:r w:rsidRPr="006571AC">
        <w:rPr>
          <w:rFonts w:hint="cs"/>
          <w:sz w:val="27"/>
          <w:rtl/>
          <w:lang w:bidi="ar-IQ"/>
        </w:rPr>
        <w:t xml:space="preserve"> وقد عمد سماحته في نظير هذا البحث </w:t>
      </w:r>
      <w:r w:rsidR="003405F0" w:rsidRPr="006571AC">
        <w:rPr>
          <w:rFonts w:hint="cs"/>
          <w:sz w:val="27"/>
          <w:rtl/>
          <w:lang w:bidi="ar-IQ"/>
        </w:rPr>
        <w:t>(</w:t>
      </w:r>
      <w:r w:rsidRPr="006571AC">
        <w:rPr>
          <w:rFonts w:hint="cs"/>
          <w:sz w:val="27"/>
          <w:rtl/>
          <w:lang w:bidi="ar-IQ"/>
        </w:rPr>
        <w:t>في إضفاء المشروعية على المعاطاة والمعاملة الفعلية</w:t>
      </w:r>
      <w:r w:rsidR="003405F0" w:rsidRPr="006571AC">
        <w:rPr>
          <w:rFonts w:hint="cs"/>
          <w:sz w:val="27"/>
          <w:rtl/>
          <w:lang w:bidi="ar-IQ"/>
        </w:rPr>
        <w:t>)</w:t>
      </w:r>
      <w:r w:rsidRPr="006571AC">
        <w:rPr>
          <w:rFonts w:hint="cs"/>
          <w:sz w:val="27"/>
          <w:rtl/>
          <w:lang w:bidi="ar-IQ"/>
        </w:rPr>
        <w:t xml:space="preserve"> إلى القول بعدم كفاية التمسّ</w:t>
      </w:r>
      <w:r w:rsidR="00DC66D6" w:rsidRPr="006571AC">
        <w:rPr>
          <w:rFonts w:hint="cs"/>
          <w:sz w:val="27"/>
          <w:rtl/>
          <w:lang w:bidi="ar-IQ"/>
        </w:rPr>
        <w:t>ُ</w:t>
      </w:r>
      <w:r w:rsidRPr="006571AC">
        <w:rPr>
          <w:rFonts w:hint="cs"/>
          <w:sz w:val="27"/>
          <w:rtl/>
          <w:lang w:bidi="ar-IQ"/>
        </w:rPr>
        <w:t xml:space="preserve">ك برواية سلطة الناس على أموالهم، حيث قال: </w:t>
      </w:r>
      <w:r w:rsidRPr="006571AC">
        <w:rPr>
          <w:rFonts w:hint="eastAsia"/>
          <w:sz w:val="24"/>
          <w:szCs w:val="24"/>
          <w:rtl/>
        </w:rPr>
        <w:t>«</w:t>
      </w:r>
      <w:r w:rsidRPr="006571AC">
        <w:rPr>
          <w:rFonts w:hint="cs"/>
          <w:sz w:val="27"/>
          <w:rtl/>
          <w:lang w:bidi="ar-IQ"/>
        </w:rPr>
        <w:t>إ</w:t>
      </w:r>
      <w:r w:rsidRPr="006571AC">
        <w:rPr>
          <w:sz w:val="27"/>
          <w:rtl/>
          <w:lang w:bidi="ar-IQ"/>
        </w:rPr>
        <w:t>ن دليل السلطنة يتكف</w:t>
      </w:r>
      <w:r w:rsidR="00DC66D6" w:rsidRPr="006571AC">
        <w:rPr>
          <w:rFonts w:hint="cs"/>
          <w:sz w:val="27"/>
          <w:rtl/>
          <w:lang w:bidi="ar-IQ"/>
        </w:rPr>
        <w:t>َّ</w:t>
      </w:r>
      <w:r w:rsidRPr="006571AC">
        <w:rPr>
          <w:sz w:val="27"/>
          <w:rtl/>
          <w:lang w:bidi="ar-IQ"/>
        </w:rPr>
        <w:t>ل ببيان استقلال المالك في التصر</w:t>
      </w:r>
      <w:r w:rsidR="00DC66D6" w:rsidRPr="006571AC">
        <w:rPr>
          <w:rFonts w:hint="cs"/>
          <w:sz w:val="27"/>
          <w:rtl/>
          <w:lang w:bidi="ar-IQ"/>
        </w:rPr>
        <w:t>ُّ</w:t>
      </w:r>
      <w:r w:rsidRPr="006571AC">
        <w:rPr>
          <w:sz w:val="27"/>
          <w:rtl/>
          <w:lang w:bidi="ar-IQ"/>
        </w:rPr>
        <w:t>ف في أمواله في الجهات</w:t>
      </w:r>
      <w:r w:rsidRPr="006571AC">
        <w:rPr>
          <w:rFonts w:hint="cs"/>
          <w:sz w:val="27"/>
          <w:rtl/>
          <w:lang w:bidi="ar-IQ"/>
        </w:rPr>
        <w:t xml:space="preserve"> </w:t>
      </w:r>
      <w:r w:rsidRPr="006571AC">
        <w:rPr>
          <w:sz w:val="27"/>
          <w:rtl/>
          <w:lang w:bidi="ar-IQ"/>
        </w:rPr>
        <w:t>المشروعة</w:t>
      </w:r>
      <w:r w:rsidRPr="006571AC">
        <w:rPr>
          <w:rFonts w:hint="cs"/>
          <w:sz w:val="27"/>
          <w:rtl/>
          <w:lang w:bidi="ar-IQ"/>
        </w:rPr>
        <w:t xml:space="preserve">، </w:t>
      </w:r>
      <w:r w:rsidRPr="006571AC">
        <w:rPr>
          <w:sz w:val="27"/>
          <w:rtl/>
          <w:lang w:bidi="ar-IQ"/>
        </w:rPr>
        <w:t>وعدم كونه محجورا</w:t>
      </w:r>
      <w:r w:rsidRPr="006571AC">
        <w:rPr>
          <w:rFonts w:hint="cs"/>
          <w:sz w:val="27"/>
          <w:rtl/>
          <w:lang w:bidi="ar-IQ"/>
        </w:rPr>
        <w:t>ً</w:t>
      </w:r>
      <w:r w:rsidRPr="006571AC">
        <w:rPr>
          <w:sz w:val="27"/>
          <w:rtl/>
          <w:lang w:bidi="ar-IQ"/>
        </w:rPr>
        <w:t xml:space="preserve"> عن التصر</w:t>
      </w:r>
      <w:r w:rsidR="00DC66D6" w:rsidRPr="006571AC">
        <w:rPr>
          <w:rFonts w:hint="cs"/>
          <w:sz w:val="27"/>
          <w:rtl/>
          <w:lang w:bidi="ar-IQ"/>
        </w:rPr>
        <w:t>ُّ</w:t>
      </w:r>
      <w:r w:rsidRPr="006571AC">
        <w:rPr>
          <w:sz w:val="27"/>
          <w:rtl/>
          <w:lang w:bidi="ar-IQ"/>
        </w:rPr>
        <w:t>ف في تلك الجهات</w:t>
      </w:r>
      <w:r w:rsidRPr="006571AC">
        <w:rPr>
          <w:rFonts w:hint="cs"/>
          <w:sz w:val="27"/>
          <w:rtl/>
          <w:lang w:bidi="ar-IQ"/>
        </w:rPr>
        <w:t xml:space="preserve">، </w:t>
      </w:r>
      <w:r w:rsidRPr="006571AC">
        <w:rPr>
          <w:sz w:val="27"/>
          <w:rtl/>
          <w:lang w:bidi="ar-IQ"/>
        </w:rPr>
        <w:t xml:space="preserve">وليس لغيره </w:t>
      </w:r>
      <w:r w:rsidRPr="006571AC">
        <w:rPr>
          <w:rFonts w:hint="cs"/>
          <w:sz w:val="27"/>
          <w:rtl/>
          <w:lang w:bidi="ar-IQ"/>
        </w:rPr>
        <w:t>أ</w:t>
      </w:r>
      <w:r w:rsidRPr="006571AC">
        <w:rPr>
          <w:sz w:val="27"/>
          <w:rtl/>
          <w:lang w:bidi="ar-IQ"/>
        </w:rPr>
        <w:t>ن يزاحمه في ذلك</w:t>
      </w:r>
      <w:r w:rsidR="00DC66D6" w:rsidRPr="006571AC">
        <w:rPr>
          <w:rFonts w:hint="cs"/>
          <w:sz w:val="27"/>
          <w:rtl/>
          <w:lang w:bidi="ar-IQ"/>
        </w:rPr>
        <w:t>.</w:t>
      </w:r>
      <w:r w:rsidRPr="006571AC">
        <w:rPr>
          <w:sz w:val="27"/>
          <w:rtl/>
          <w:lang w:bidi="ar-IQ"/>
        </w:rPr>
        <w:t xml:space="preserve"> وعليه فشأن دليل السلطنة شأن ال</w:t>
      </w:r>
      <w:r w:rsidRPr="006571AC">
        <w:rPr>
          <w:rFonts w:hint="cs"/>
          <w:sz w:val="27"/>
          <w:rtl/>
          <w:lang w:bidi="ar-IQ"/>
        </w:rPr>
        <w:t>أ</w:t>
      </w:r>
      <w:r w:rsidRPr="006571AC">
        <w:rPr>
          <w:sz w:val="27"/>
          <w:rtl/>
          <w:lang w:bidi="ar-IQ"/>
        </w:rPr>
        <w:t xml:space="preserve">وامر المسوقة لبيان </w:t>
      </w:r>
      <w:r w:rsidRPr="006571AC">
        <w:rPr>
          <w:rFonts w:hint="cs"/>
          <w:sz w:val="27"/>
          <w:rtl/>
          <w:lang w:bidi="ar-IQ"/>
        </w:rPr>
        <w:t>أ</w:t>
      </w:r>
      <w:r w:rsidRPr="006571AC">
        <w:rPr>
          <w:sz w:val="27"/>
          <w:rtl/>
          <w:lang w:bidi="ar-IQ"/>
        </w:rPr>
        <w:t>صل الوجوب، من غير نظر</w:t>
      </w:r>
      <w:r w:rsidR="00DC66D6" w:rsidRPr="006571AC">
        <w:rPr>
          <w:rFonts w:hint="cs"/>
          <w:sz w:val="27"/>
          <w:rtl/>
          <w:lang w:bidi="ar-IQ"/>
        </w:rPr>
        <w:t>ٍ</w:t>
      </w:r>
      <w:r w:rsidRPr="006571AC">
        <w:rPr>
          <w:sz w:val="27"/>
          <w:rtl/>
          <w:lang w:bidi="ar-IQ"/>
        </w:rPr>
        <w:t xml:space="preserve"> فيها</w:t>
      </w:r>
      <w:r w:rsidRPr="006571AC">
        <w:rPr>
          <w:rFonts w:hint="cs"/>
          <w:sz w:val="27"/>
          <w:rtl/>
          <w:lang w:bidi="ar-IQ"/>
        </w:rPr>
        <w:t xml:space="preserve"> إ</w:t>
      </w:r>
      <w:r w:rsidRPr="006571AC">
        <w:rPr>
          <w:sz w:val="27"/>
          <w:rtl/>
          <w:lang w:bidi="ar-IQ"/>
        </w:rPr>
        <w:t>لى تعيين الواجب من حيث الكم</w:t>
      </w:r>
      <w:r w:rsidRPr="006571AC">
        <w:rPr>
          <w:rFonts w:hint="cs"/>
          <w:sz w:val="27"/>
          <w:rtl/>
          <w:lang w:bidi="ar-IQ"/>
        </w:rPr>
        <w:t>ّ</w:t>
      </w:r>
      <w:r w:rsidRPr="006571AC">
        <w:rPr>
          <w:sz w:val="27"/>
          <w:rtl/>
          <w:lang w:bidi="ar-IQ"/>
        </w:rPr>
        <w:t xml:space="preserve"> والك</w:t>
      </w:r>
      <w:r w:rsidR="003405F0" w:rsidRPr="006571AC">
        <w:rPr>
          <w:rFonts w:hint="cs"/>
          <w:sz w:val="27"/>
          <w:rtl/>
          <w:lang w:bidi="ar-IQ"/>
        </w:rPr>
        <w:t>َ</w:t>
      </w:r>
      <w:r w:rsidRPr="006571AC">
        <w:rPr>
          <w:sz w:val="27"/>
          <w:rtl/>
          <w:lang w:bidi="ar-IQ"/>
        </w:rPr>
        <w:t>ي</w:t>
      </w:r>
      <w:r w:rsidR="003405F0" w:rsidRPr="006571AC">
        <w:rPr>
          <w:rFonts w:hint="cs"/>
          <w:sz w:val="27"/>
          <w:rtl/>
          <w:lang w:bidi="ar-IQ"/>
        </w:rPr>
        <w:t>ْ</w:t>
      </w:r>
      <w:r w:rsidRPr="006571AC">
        <w:rPr>
          <w:sz w:val="27"/>
          <w:rtl/>
          <w:lang w:bidi="ar-IQ"/>
        </w:rPr>
        <w:t>ف</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64"/>
      </w:r>
      <w:r w:rsidRPr="006571AC">
        <w:rPr>
          <w:sz w:val="27"/>
          <w:vertAlign w:val="superscript"/>
          <w:rtl/>
          <w:lang w:bidi="ar-IQ"/>
        </w:rPr>
        <w:t>)</w:t>
      </w:r>
      <w:r w:rsidRPr="006571AC">
        <w:rPr>
          <w:rFonts w:hint="cs"/>
          <w:sz w:val="27"/>
          <w:rtl/>
          <w:lang w:bidi="ar-IQ"/>
        </w:rPr>
        <w:t xml:space="preserve">. </w:t>
      </w:r>
    </w:p>
    <w:p w:rsidR="00381A52" w:rsidRPr="006571AC" w:rsidRDefault="00381A52" w:rsidP="003405F0">
      <w:pPr>
        <w:rPr>
          <w:sz w:val="27"/>
          <w:rtl/>
          <w:lang w:bidi="ar-IQ"/>
        </w:rPr>
      </w:pPr>
      <w:r w:rsidRPr="006571AC">
        <w:rPr>
          <w:rFonts w:hint="cs"/>
          <w:sz w:val="27"/>
          <w:rtl/>
          <w:lang w:bidi="ar-IQ"/>
        </w:rPr>
        <w:t>في ضوء كلامه يكون شرط التمسّ</w:t>
      </w:r>
      <w:r w:rsidR="00DC66D6" w:rsidRPr="006571AC">
        <w:rPr>
          <w:rFonts w:hint="cs"/>
          <w:sz w:val="27"/>
          <w:rtl/>
          <w:lang w:bidi="ar-IQ"/>
        </w:rPr>
        <w:t>ُ</w:t>
      </w:r>
      <w:r w:rsidRPr="006571AC">
        <w:rPr>
          <w:rFonts w:hint="cs"/>
          <w:sz w:val="27"/>
          <w:rtl/>
          <w:lang w:bidi="ar-IQ"/>
        </w:rPr>
        <w:t>ك بالإطلاق أن يكون المتكل</w:t>
      </w:r>
      <w:r w:rsidR="00DC66D6" w:rsidRPr="006571AC">
        <w:rPr>
          <w:rFonts w:hint="cs"/>
          <w:sz w:val="27"/>
          <w:rtl/>
          <w:lang w:bidi="ar-IQ"/>
        </w:rPr>
        <w:t>ِّ</w:t>
      </w:r>
      <w:r w:rsidRPr="006571AC">
        <w:rPr>
          <w:rFonts w:hint="cs"/>
          <w:sz w:val="27"/>
          <w:rtl/>
          <w:lang w:bidi="ar-IQ"/>
        </w:rPr>
        <w:t>م في مقام بيان المراد، وهذا الأمر يجب إحرازه، ولذلك حيث لا يتمّ إحراز كون المتكلّ</w:t>
      </w:r>
      <w:r w:rsidR="00DC66D6" w:rsidRPr="006571AC">
        <w:rPr>
          <w:rFonts w:hint="cs"/>
          <w:sz w:val="27"/>
          <w:rtl/>
          <w:lang w:bidi="ar-IQ"/>
        </w:rPr>
        <w:t>ِ</w:t>
      </w:r>
      <w:r w:rsidRPr="006571AC">
        <w:rPr>
          <w:rFonts w:hint="cs"/>
          <w:sz w:val="27"/>
          <w:rtl/>
          <w:lang w:bidi="ar-IQ"/>
        </w:rPr>
        <w:t xml:space="preserve">م في مقام البيان لا يمكن الحصول على الإطلاق. وعليه فإن سماحته يقول في مورد الرواية </w:t>
      </w:r>
      <w:r w:rsidR="00DC66D6" w:rsidRPr="006571AC">
        <w:rPr>
          <w:rFonts w:hint="cs"/>
          <w:sz w:val="27"/>
          <w:rtl/>
          <w:lang w:bidi="ar-IQ"/>
        </w:rPr>
        <w:t>المتقدِّمة</w:t>
      </w:r>
      <w:r w:rsidRPr="006571AC">
        <w:rPr>
          <w:rFonts w:hint="cs"/>
          <w:sz w:val="27"/>
          <w:rtl/>
          <w:lang w:bidi="ar-IQ"/>
        </w:rPr>
        <w:t>: إن الق</w:t>
      </w:r>
      <w:r w:rsidR="00DC66D6" w:rsidRPr="006571AC">
        <w:rPr>
          <w:rFonts w:hint="cs"/>
          <w:sz w:val="27"/>
          <w:rtl/>
          <w:lang w:bidi="ar-IQ"/>
        </w:rPr>
        <w:t>َ</w:t>
      </w:r>
      <w:r w:rsidRPr="006571AC">
        <w:rPr>
          <w:rFonts w:hint="cs"/>
          <w:sz w:val="27"/>
          <w:rtl/>
          <w:lang w:bidi="ar-IQ"/>
        </w:rPr>
        <w:t>د</w:t>
      </w:r>
      <w:r w:rsidR="00DC66D6" w:rsidRPr="006571AC">
        <w:rPr>
          <w:rFonts w:hint="cs"/>
          <w:sz w:val="27"/>
          <w:rtl/>
          <w:lang w:bidi="ar-IQ"/>
        </w:rPr>
        <w:t>َ</w:t>
      </w:r>
      <w:r w:rsidRPr="006571AC">
        <w:rPr>
          <w:rFonts w:hint="cs"/>
          <w:sz w:val="27"/>
          <w:rtl/>
          <w:lang w:bidi="ar-IQ"/>
        </w:rPr>
        <w:t>ر المتيقّ</w:t>
      </w:r>
      <w:r w:rsidR="00DC66D6" w:rsidRPr="006571AC">
        <w:rPr>
          <w:rFonts w:hint="cs"/>
          <w:sz w:val="27"/>
          <w:rtl/>
          <w:lang w:bidi="ar-IQ"/>
        </w:rPr>
        <w:t>َ</w:t>
      </w:r>
      <w:r w:rsidRPr="006571AC">
        <w:rPr>
          <w:rFonts w:hint="cs"/>
          <w:sz w:val="27"/>
          <w:rtl/>
          <w:lang w:bidi="ar-IQ"/>
        </w:rPr>
        <w:t>ن من هذه الرواية عمومية سلطة الناس على أموالهم. وبعبارة</w:t>
      </w:r>
      <w:r w:rsidR="00DC66D6" w:rsidRPr="006571AC">
        <w:rPr>
          <w:rFonts w:hint="cs"/>
          <w:sz w:val="27"/>
          <w:rtl/>
          <w:lang w:bidi="ar-IQ"/>
        </w:rPr>
        <w:t>ٍ</w:t>
      </w:r>
      <w:r w:rsidRPr="006571AC">
        <w:rPr>
          <w:rFonts w:hint="cs"/>
          <w:sz w:val="27"/>
          <w:rtl/>
          <w:lang w:bidi="ar-IQ"/>
        </w:rPr>
        <w:t xml:space="preserve"> أخرى: إن هذه الرواية إنما تدلّ على أن المالكين لهم حق</w:t>
      </w:r>
      <w:r w:rsidR="00DC66D6" w:rsidRPr="006571AC">
        <w:rPr>
          <w:rFonts w:hint="cs"/>
          <w:sz w:val="27"/>
          <w:rtl/>
          <w:lang w:bidi="ar-IQ"/>
        </w:rPr>
        <w:t>ُّ</w:t>
      </w:r>
      <w:r w:rsidRPr="006571AC">
        <w:rPr>
          <w:rFonts w:hint="cs"/>
          <w:sz w:val="27"/>
          <w:rtl/>
          <w:lang w:bidi="ar-IQ"/>
        </w:rPr>
        <w:t xml:space="preserve"> التصرّ</w:t>
      </w:r>
      <w:r w:rsidR="00DC66D6" w:rsidRPr="006571AC">
        <w:rPr>
          <w:rFonts w:hint="cs"/>
          <w:sz w:val="27"/>
          <w:rtl/>
          <w:lang w:bidi="ar-IQ"/>
        </w:rPr>
        <w:t>ُ</w:t>
      </w:r>
      <w:r w:rsidRPr="006571AC">
        <w:rPr>
          <w:rFonts w:hint="cs"/>
          <w:sz w:val="27"/>
          <w:rtl/>
          <w:lang w:bidi="ar-IQ"/>
        </w:rPr>
        <w:t>ف في أموالهم في الجهات المشروعة، وليس هناك ما يمكنه أن يمنعهم من التصرّ</w:t>
      </w:r>
      <w:r w:rsidR="00DC66D6" w:rsidRPr="006571AC">
        <w:rPr>
          <w:rFonts w:hint="cs"/>
          <w:sz w:val="27"/>
          <w:rtl/>
          <w:lang w:bidi="ar-IQ"/>
        </w:rPr>
        <w:t>ُ</w:t>
      </w:r>
      <w:r w:rsidRPr="006571AC">
        <w:rPr>
          <w:rFonts w:hint="cs"/>
          <w:sz w:val="27"/>
          <w:rtl/>
          <w:lang w:bidi="ar-IQ"/>
        </w:rPr>
        <w:t>ف في أموالهم، ولا يمكن للآخرين أن يزاحموه في القيام بتصرّ</w:t>
      </w:r>
      <w:r w:rsidR="00DC66D6" w:rsidRPr="006571AC">
        <w:rPr>
          <w:rFonts w:hint="cs"/>
          <w:sz w:val="27"/>
          <w:rtl/>
          <w:lang w:bidi="ar-IQ"/>
        </w:rPr>
        <w:t>ُ</w:t>
      </w:r>
      <w:r w:rsidRPr="006571AC">
        <w:rPr>
          <w:rFonts w:hint="cs"/>
          <w:sz w:val="27"/>
          <w:rtl/>
          <w:lang w:bidi="ar-IQ"/>
        </w:rPr>
        <w:t>فاته، وأما ما هي الجهات التي تحتوي على مشروعي</w:t>
      </w:r>
      <w:r w:rsidR="00DC66D6" w:rsidRPr="006571AC">
        <w:rPr>
          <w:rFonts w:hint="cs"/>
          <w:sz w:val="27"/>
          <w:rtl/>
          <w:lang w:bidi="ar-IQ"/>
        </w:rPr>
        <w:t>ّ</w:t>
      </w:r>
      <w:r w:rsidRPr="006571AC">
        <w:rPr>
          <w:rFonts w:hint="cs"/>
          <w:sz w:val="27"/>
          <w:rtl/>
          <w:lang w:bidi="ar-IQ"/>
        </w:rPr>
        <w:t>ة</w:t>
      </w:r>
      <w:r w:rsidR="00DC66D6" w:rsidRPr="006571AC">
        <w:rPr>
          <w:rFonts w:hint="cs"/>
          <w:sz w:val="27"/>
          <w:rtl/>
          <w:lang w:bidi="ar-IQ"/>
        </w:rPr>
        <w:t>ٍ؟</w:t>
      </w:r>
      <w:r w:rsidRPr="006571AC">
        <w:rPr>
          <w:rFonts w:hint="cs"/>
          <w:sz w:val="27"/>
          <w:rtl/>
          <w:lang w:bidi="ar-IQ"/>
        </w:rPr>
        <w:t xml:space="preserve"> فهذا ما لم تكن الرواية </w:t>
      </w:r>
      <w:r w:rsidR="003405F0" w:rsidRPr="006571AC">
        <w:rPr>
          <w:rFonts w:hint="cs"/>
          <w:sz w:val="27"/>
          <w:rtl/>
          <w:lang w:bidi="ar-IQ"/>
        </w:rPr>
        <w:t xml:space="preserve">في </w:t>
      </w:r>
      <w:r w:rsidRPr="006571AC">
        <w:rPr>
          <w:rFonts w:hint="cs"/>
          <w:sz w:val="27"/>
          <w:rtl/>
          <w:lang w:bidi="ar-IQ"/>
        </w:rPr>
        <w:t xml:space="preserve">صدد بيانه. </w:t>
      </w:r>
    </w:p>
    <w:p w:rsidR="00381A52" w:rsidRPr="006571AC" w:rsidRDefault="00381A52" w:rsidP="00552C10">
      <w:pPr>
        <w:rPr>
          <w:sz w:val="27"/>
          <w:rtl/>
          <w:lang w:bidi="ar-IQ"/>
        </w:rPr>
      </w:pPr>
      <w:r w:rsidRPr="006571AC">
        <w:rPr>
          <w:rFonts w:hint="cs"/>
          <w:sz w:val="27"/>
          <w:rtl/>
          <w:lang w:bidi="ar-IQ"/>
        </w:rPr>
        <w:t>وعليه فإن هذه الرواية غير تامّة</w:t>
      </w:r>
      <w:r w:rsidR="00DC66D6" w:rsidRPr="006571AC">
        <w:rPr>
          <w:rFonts w:hint="cs"/>
          <w:sz w:val="27"/>
          <w:rtl/>
          <w:lang w:bidi="ar-IQ"/>
        </w:rPr>
        <w:t>ٍ</w:t>
      </w:r>
      <w:r w:rsidRPr="006571AC">
        <w:rPr>
          <w:rFonts w:hint="cs"/>
          <w:sz w:val="27"/>
          <w:rtl/>
          <w:lang w:bidi="ar-IQ"/>
        </w:rPr>
        <w:t xml:space="preserve"> من حيث الدلالة على مشروعي</w:t>
      </w:r>
      <w:r w:rsidR="00DC66D6" w:rsidRPr="006571AC">
        <w:rPr>
          <w:rFonts w:hint="cs"/>
          <w:sz w:val="27"/>
          <w:rtl/>
          <w:lang w:bidi="ar-IQ"/>
        </w:rPr>
        <w:t>ّ</w:t>
      </w:r>
      <w:r w:rsidRPr="006571AC">
        <w:rPr>
          <w:rFonts w:hint="cs"/>
          <w:sz w:val="27"/>
          <w:rtl/>
          <w:lang w:bidi="ar-IQ"/>
        </w:rPr>
        <w:t xml:space="preserve">ة الصلح الابتدائي. </w:t>
      </w:r>
    </w:p>
    <w:p w:rsidR="004B60B2" w:rsidRPr="006571AC" w:rsidRDefault="004B60B2" w:rsidP="004B60B2">
      <w:pPr>
        <w:spacing w:line="420" w:lineRule="exact"/>
        <w:rPr>
          <w:sz w:val="27"/>
          <w:rtl/>
        </w:rPr>
      </w:pPr>
    </w:p>
    <w:p w:rsidR="00381A52" w:rsidRPr="006571AC" w:rsidRDefault="00332010" w:rsidP="003C4108">
      <w:pPr>
        <w:pStyle w:val="31"/>
        <w:rPr>
          <w:color w:val="auto"/>
          <w:rtl/>
        </w:rPr>
      </w:pPr>
      <w:bookmarkStart w:id="125" w:name="_Toc114164614"/>
      <w:r w:rsidRPr="006571AC">
        <w:rPr>
          <w:rFonts w:hint="cs"/>
          <w:color w:val="auto"/>
          <w:rtl/>
        </w:rPr>
        <w:t>د ـ</w:t>
      </w:r>
      <w:r w:rsidR="00381A52" w:rsidRPr="006571AC">
        <w:rPr>
          <w:rFonts w:hint="cs"/>
          <w:color w:val="auto"/>
          <w:rtl/>
        </w:rPr>
        <w:t xml:space="preserve"> </w:t>
      </w:r>
      <w:r w:rsidR="003405F0" w:rsidRPr="006571AC">
        <w:rPr>
          <w:rFonts w:hint="cs"/>
          <w:color w:val="auto"/>
          <w:rtl/>
        </w:rPr>
        <w:t>قوله</w:t>
      </w:r>
      <w:r w:rsidR="003405F0" w:rsidRPr="006571AC">
        <w:rPr>
          <w:rFonts w:ascii="Mosawi" w:hAnsi="Mosawi" w:cs="Mosawi"/>
          <w:sz w:val="22"/>
          <w:szCs w:val="22"/>
          <w:rtl/>
        </w:rPr>
        <w:t>|</w:t>
      </w:r>
      <w:r w:rsidR="003405F0" w:rsidRPr="006571AC">
        <w:rPr>
          <w:rFonts w:hint="cs"/>
          <w:color w:val="auto"/>
          <w:rtl/>
        </w:rPr>
        <w:t xml:space="preserve">: </w:t>
      </w:r>
      <w:r w:rsidR="00381A52" w:rsidRPr="006571AC">
        <w:rPr>
          <w:rFonts w:hint="eastAsia"/>
          <w:color w:val="auto"/>
          <w:rtl/>
        </w:rPr>
        <w:t>«</w:t>
      </w:r>
      <w:r w:rsidR="00381A52" w:rsidRPr="006571AC">
        <w:rPr>
          <w:rFonts w:hint="cs"/>
          <w:color w:val="auto"/>
          <w:rtl/>
        </w:rPr>
        <w:t>المسلمون عند شروطهم</w:t>
      </w:r>
      <w:r w:rsidR="00381A52" w:rsidRPr="006571AC">
        <w:rPr>
          <w:rFonts w:hint="eastAsia"/>
          <w:color w:val="auto"/>
          <w:sz w:val="26"/>
          <w:rtl/>
        </w:rPr>
        <w:t>»</w:t>
      </w:r>
      <w:bookmarkEnd w:id="125"/>
    </w:p>
    <w:p w:rsidR="00381A52" w:rsidRPr="006571AC" w:rsidRDefault="00381A52" w:rsidP="00552C10">
      <w:pPr>
        <w:rPr>
          <w:sz w:val="27"/>
          <w:rtl/>
          <w:lang w:bidi="ar-IQ"/>
        </w:rPr>
      </w:pPr>
      <w:r w:rsidRPr="006571AC">
        <w:rPr>
          <w:rFonts w:hint="cs"/>
          <w:sz w:val="27"/>
          <w:rtl/>
          <w:lang w:bidi="ar-IQ"/>
        </w:rPr>
        <w:t>لقد تمّ نقل هذه الرواية في الجوامع الروائية بصيغتين؛ ففي بعض الروايات ورد</w:t>
      </w:r>
      <w:r w:rsidR="00DC66D6" w:rsidRPr="006571AC">
        <w:rPr>
          <w:rFonts w:hint="cs"/>
          <w:sz w:val="27"/>
          <w:rtl/>
          <w:lang w:bidi="ar-IQ"/>
        </w:rPr>
        <w:t>َ</w:t>
      </w:r>
      <w:r w:rsidRPr="006571AC">
        <w:rPr>
          <w:rFonts w:hint="cs"/>
          <w:sz w:val="27"/>
          <w:rtl/>
          <w:lang w:bidi="ar-IQ"/>
        </w:rPr>
        <w:t>ت</w:t>
      </w:r>
      <w:r w:rsidR="00DC66D6" w:rsidRPr="006571AC">
        <w:rPr>
          <w:rFonts w:hint="cs"/>
          <w:sz w:val="27"/>
          <w:rtl/>
          <w:lang w:bidi="ar-IQ"/>
        </w:rPr>
        <w:t>ْ</w:t>
      </w:r>
      <w:r w:rsidRPr="006571AC">
        <w:rPr>
          <w:rFonts w:hint="cs"/>
          <w:sz w:val="27"/>
          <w:rtl/>
          <w:lang w:bidi="ar-IQ"/>
        </w:rPr>
        <w:t xml:space="preserve"> بصيغة: </w:t>
      </w:r>
      <w:r w:rsidRPr="006571AC">
        <w:rPr>
          <w:rFonts w:hint="eastAsia"/>
          <w:sz w:val="24"/>
          <w:szCs w:val="24"/>
          <w:rtl/>
        </w:rPr>
        <w:t>«</w:t>
      </w:r>
      <w:r w:rsidRPr="006571AC">
        <w:rPr>
          <w:rFonts w:hint="cs"/>
          <w:sz w:val="27"/>
          <w:rtl/>
          <w:lang w:bidi="ar-IQ"/>
        </w:rPr>
        <w:t>المسلمون عند شروطهم</w:t>
      </w:r>
      <w:r w:rsidRPr="006571AC">
        <w:rPr>
          <w:rFonts w:hint="eastAsia"/>
          <w:sz w:val="24"/>
          <w:szCs w:val="24"/>
          <w:rtl/>
        </w:rPr>
        <w:t>»</w:t>
      </w:r>
      <w:r w:rsidR="00DC66D6" w:rsidRPr="006571AC">
        <w:rPr>
          <w:rFonts w:hint="cs"/>
          <w:sz w:val="27"/>
          <w:rtl/>
          <w:lang w:bidi="ar-IQ"/>
        </w:rPr>
        <w:t>؛</w:t>
      </w:r>
      <w:r w:rsidRPr="006571AC">
        <w:rPr>
          <w:rFonts w:hint="cs"/>
          <w:sz w:val="27"/>
          <w:rtl/>
          <w:lang w:bidi="ar-IQ"/>
        </w:rPr>
        <w:t xml:space="preserve"> وفي بعضها الآخر بصيغة: </w:t>
      </w:r>
      <w:r w:rsidRPr="006571AC">
        <w:rPr>
          <w:rFonts w:hint="eastAsia"/>
          <w:sz w:val="24"/>
          <w:szCs w:val="24"/>
          <w:rtl/>
        </w:rPr>
        <w:t>«</w:t>
      </w:r>
      <w:r w:rsidRPr="006571AC">
        <w:rPr>
          <w:rFonts w:hint="cs"/>
          <w:sz w:val="27"/>
          <w:rtl/>
          <w:lang w:bidi="ar-IQ"/>
        </w:rPr>
        <w:t xml:space="preserve">المؤمنون عند </w:t>
      </w:r>
      <w:r w:rsidRPr="006571AC">
        <w:rPr>
          <w:rFonts w:hint="cs"/>
          <w:sz w:val="27"/>
          <w:rtl/>
          <w:lang w:bidi="ar-IQ"/>
        </w:rPr>
        <w:lastRenderedPageBreak/>
        <w:t>شروطهم</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65"/>
      </w:r>
      <w:r w:rsidRPr="006571AC">
        <w:rPr>
          <w:sz w:val="27"/>
          <w:vertAlign w:val="superscript"/>
          <w:rtl/>
          <w:lang w:bidi="ar-IQ"/>
        </w:rPr>
        <w:t>)</w:t>
      </w:r>
      <w:r w:rsidRPr="006571AC">
        <w:rPr>
          <w:rFonts w:hint="cs"/>
          <w:sz w:val="27"/>
          <w:rtl/>
          <w:lang w:bidi="ar-IQ"/>
        </w:rPr>
        <w:t xml:space="preserve">. وعلى </w:t>
      </w:r>
      <w:r w:rsidR="00DC66D6" w:rsidRPr="006571AC">
        <w:rPr>
          <w:rFonts w:hint="cs"/>
          <w:sz w:val="27"/>
          <w:rtl/>
          <w:lang w:bidi="ar-IQ"/>
        </w:rPr>
        <w:t>أيّ</w:t>
      </w:r>
      <w:r w:rsidRPr="006571AC">
        <w:rPr>
          <w:rFonts w:hint="cs"/>
          <w:sz w:val="27"/>
          <w:rtl/>
          <w:lang w:bidi="ar-IQ"/>
        </w:rPr>
        <w:t xml:space="preserve"> حال</w:t>
      </w:r>
      <w:r w:rsidR="00DC66D6" w:rsidRPr="006571AC">
        <w:rPr>
          <w:rFonts w:hint="cs"/>
          <w:sz w:val="27"/>
          <w:rtl/>
          <w:lang w:bidi="ar-IQ"/>
        </w:rPr>
        <w:t>ٍ</w:t>
      </w:r>
      <w:r w:rsidRPr="006571AC">
        <w:rPr>
          <w:rFonts w:hint="cs"/>
          <w:sz w:val="27"/>
          <w:rtl/>
          <w:lang w:bidi="ar-IQ"/>
        </w:rPr>
        <w:t xml:space="preserve"> فقد ورد هذا التعبير في العديد من الروايات، وفي</w:t>
      </w:r>
      <w:r w:rsidR="00DC66D6" w:rsidRPr="006571AC">
        <w:rPr>
          <w:rFonts w:hint="cs"/>
          <w:sz w:val="27"/>
          <w:rtl/>
          <w:lang w:bidi="ar-IQ"/>
        </w:rPr>
        <w:t xml:space="preserve"> </w:t>
      </w:r>
      <w:r w:rsidRPr="006571AC">
        <w:rPr>
          <w:rFonts w:hint="cs"/>
          <w:sz w:val="27"/>
          <w:rtl/>
          <w:lang w:bidi="ar-IQ"/>
        </w:rPr>
        <w:t xml:space="preserve">ما يلي نشير من بينها ـ </w:t>
      </w:r>
      <w:r w:rsidRPr="006571AC">
        <w:rPr>
          <w:sz w:val="27"/>
          <w:rtl/>
          <w:lang w:bidi="ar-IQ"/>
        </w:rPr>
        <w:t>على سبيل المثال</w:t>
      </w:r>
      <w:r w:rsidRPr="006571AC">
        <w:rPr>
          <w:rFonts w:hint="cs"/>
          <w:sz w:val="27"/>
          <w:rtl/>
          <w:lang w:bidi="ar-IQ"/>
        </w:rPr>
        <w:t xml:space="preserve"> ـ إلى رواية منصور بن برزج: </w:t>
      </w:r>
      <w:r w:rsidRPr="006571AC">
        <w:rPr>
          <w:sz w:val="27"/>
          <w:rtl/>
          <w:lang w:bidi="ar-IQ"/>
        </w:rPr>
        <w:t>ما رواه علي</w:t>
      </w:r>
      <w:r w:rsidR="00DC66D6" w:rsidRPr="006571AC">
        <w:rPr>
          <w:rFonts w:hint="cs"/>
          <w:sz w:val="27"/>
          <w:rtl/>
          <w:lang w:bidi="ar-IQ"/>
        </w:rPr>
        <w:t>ّ</w:t>
      </w:r>
      <w:r w:rsidRPr="006571AC">
        <w:rPr>
          <w:sz w:val="27"/>
          <w:rtl/>
          <w:lang w:bidi="ar-IQ"/>
        </w:rPr>
        <w:t xml:space="preserve"> بن الحسن بن فض</w:t>
      </w:r>
      <w:r w:rsidR="00DC66D6" w:rsidRPr="006571AC">
        <w:rPr>
          <w:rFonts w:hint="cs"/>
          <w:sz w:val="27"/>
          <w:rtl/>
          <w:lang w:bidi="ar-IQ"/>
        </w:rPr>
        <w:t>ّ</w:t>
      </w:r>
      <w:r w:rsidRPr="006571AC">
        <w:rPr>
          <w:sz w:val="27"/>
          <w:rtl/>
          <w:lang w:bidi="ar-IQ"/>
        </w:rPr>
        <w:t>ال</w:t>
      </w:r>
      <w:r w:rsidRPr="006571AC">
        <w:rPr>
          <w:rFonts w:hint="cs"/>
          <w:sz w:val="27"/>
          <w:rtl/>
          <w:lang w:bidi="ar-IQ"/>
        </w:rPr>
        <w:t xml:space="preserve">، </w:t>
      </w:r>
      <w:r w:rsidRPr="006571AC">
        <w:rPr>
          <w:sz w:val="27"/>
          <w:rtl/>
          <w:lang w:bidi="ar-IQ"/>
        </w:rPr>
        <w:t>عن أي</w:t>
      </w:r>
      <w:r w:rsidR="00DC66D6" w:rsidRPr="006571AC">
        <w:rPr>
          <w:rFonts w:hint="cs"/>
          <w:sz w:val="27"/>
          <w:rtl/>
          <w:lang w:bidi="ar-IQ"/>
        </w:rPr>
        <w:t>ّ</w:t>
      </w:r>
      <w:r w:rsidRPr="006571AC">
        <w:rPr>
          <w:sz w:val="27"/>
          <w:rtl/>
          <w:lang w:bidi="ar-IQ"/>
        </w:rPr>
        <w:t>وب بن نوح</w:t>
      </w:r>
      <w:r w:rsidRPr="006571AC">
        <w:rPr>
          <w:rFonts w:hint="cs"/>
          <w:sz w:val="27"/>
          <w:rtl/>
          <w:lang w:bidi="ar-IQ"/>
        </w:rPr>
        <w:t xml:space="preserve">، </w:t>
      </w:r>
      <w:r w:rsidRPr="006571AC">
        <w:rPr>
          <w:sz w:val="27"/>
          <w:rtl/>
          <w:lang w:bidi="ar-IQ"/>
        </w:rPr>
        <w:t>عن صفوان بن يحيى</w:t>
      </w:r>
      <w:r w:rsidRPr="006571AC">
        <w:rPr>
          <w:rFonts w:hint="cs"/>
          <w:sz w:val="27"/>
          <w:rtl/>
          <w:lang w:bidi="ar-IQ"/>
        </w:rPr>
        <w:t xml:space="preserve">، </w:t>
      </w:r>
      <w:r w:rsidRPr="006571AC">
        <w:rPr>
          <w:sz w:val="27"/>
          <w:rtl/>
          <w:lang w:bidi="ar-IQ"/>
        </w:rPr>
        <w:t>عن منصور</w:t>
      </w:r>
      <w:r w:rsidRPr="006571AC">
        <w:rPr>
          <w:rFonts w:hint="cs"/>
          <w:sz w:val="27"/>
          <w:rtl/>
          <w:lang w:bidi="ar-IQ"/>
        </w:rPr>
        <w:t xml:space="preserve"> [بن] </w:t>
      </w:r>
      <w:r w:rsidRPr="006571AC">
        <w:rPr>
          <w:sz w:val="27"/>
          <w:rtl/>
          <w:lang w:bidi="ar-IQ"/>
        </w:rPr>
        <w:t>بزرج</w:t>
      </w:r>
      <w:r w:rsidRPr="006571AC">
        <w:rPr>
          <w:rFonts w:hint="cs"/>
          <w:sz w:val="27"/>
          <w:rtl/>
          <w:lang w:bidi="ar-IQ"/>
        </w:rPr>
        <w:t xml:space="preserve">، </w:t>
      </w:r>
      <w:r w:rsidRPr="006571AC">
        <w:rPr>
          <w:sz w:val="27"/>
          <w:rtl/>
          <w:lang w:bidi="ar-IQ"/>
        </w:rPr>
        <w:t>عن عبد صالح</w:t>
      </w:r>
      <w:r w:rsidR="002A2C90" w:rsidRPr="006571AC">
        <w:rPr>
          <w:rFonts w:ascii="Mosawi" w:hAnsi="Mosawi" w:cs="Mosawi"/>
          <w:sz w:val="22"/>
          <w:szCs w:val="22"/>
          <w:rtl/>
        </w:rPr>
        <w:t>×</w:t>
      </w:r>
      <w:r w:rsidRPr="006571AC">
        <w:rPr>
          <w:rFonts w:hint="cs"/>
          <w:sz w:val="27"/>
          <w:rtl/>
          <w:lang w:bidi="ar-IQ"/>
        </w:rPr>
        <w:t xml:space="preserve">، </w:t>
      </w:r>
      <w:r w:rsidRPr="006571AC">
        <w:rPr>
          <w:sz w:val="27"/>
          <w:rtl/>
          <w:lang w:bidi="ar-IQ"/>
        </w:rPr>
        <w:t>قال</w:t>
      </w:r>
      <w:r w:rsidR="00DC66D6" w:rsidRPr="006571AC">
        <w:rPr>
          <w:rFonts w:hint="cs"/>
          <w:sz w:val="27"/>
          <w:rtl/>
          <w:lang w:bidi="ar-IQ"/>
        </w:rPr>
        <w:t>:</w:t>
      </w:r>
      <w:r w:rsidRPr="006571AC">
        <w:rPr>
          <w:sz w:val="27"/>
          <w:rtl/>
          <w:lang w:bidi="ar-IQ"/>
        </w:rPr>
        <w:t xml:space="preserve"> قلت</w:t>
      </w:r>
      <w:r w:rsidR="00DC66D6" w:rsidRPr="006571AC">
        <w:rPr>
          <w:rFonts w:hint="cs"/>
          <w:sz w:val="27"/>
          <w:rtl/>
          <w:lang w:bidi="ar-IQ"/>
        </w:rPr>
        <w:t>ُ</w:t>
      </w:r>
      <w:r w:rsidRPr="006571AC">
        <w:rPr>
          <w:sz w:val="27"/>
          <w:rtl/>
          <w:lang w:bidi="ar-IQ"/>
        </w:rPr>
        <w:t xml:space="preserve"> له: إن رجلا</w:t>
      </w:r>
      <w:r w:rsidRPr="006571AC">
        <w:rPr>
          <w:rFonts w:hint="cs"/>
          <w:sz w:val="27"/>
          <w:rtl/>
          <w:lang w:bidi="ar-IQ"/>
        </w:rPr>
        <w:t>ً</w:t>
      </w:r>
      <w:r w:rsidRPr="006571AC">
        <w:rPr>
          <w:sz w:val="27"/>
          <w:rtl/>
          <w:lang w:bidi="ar-IQ"/>
        </w:rPr>
        <w:t xml:space="preserve"> من مواليك تزو</w:t>
      </w:r>
      <w:r w:rsidR="00DC66D6" w:rsidRPr="006571AC">
        <w:rPr>
          <w:rFonts w:hint="cs"/>
          <w:sz w:val="27"/>
          <w:rtl/>
          <w:lang w:bidi="ar-IQ"/>
        </w:rPr>
        <w:t>َّ</w:t>
      </w:r>
      <w:r w:rsidRPr="006571AC">
        <w:rPr>
          <w:sz w:val="27"/>
          <w:rtl/>
          <w:lang w:bidi="ar-IQ"/>
        </w:rPr>
        <w:t>ج امرأة</w:t>
      </w:r>
      <w:r w:rsidR="00DC66D6" w:rsidRPr="006571AC">
        <w:rPr>
          <w:rFonts w:hint="cs"/>
          <w:sz w:val="27"/>
          <w:rtl/>
          <w:lang w:bidi="ar-IQ"/>
        </w:rPr>
        <w:t>ً،</w:t>
      </w:r>
      <w:r w:rsidRPr="006571AC">
        <w:rPr>
          <w:sz w:val="27"/>
          <w:rtl/>
          <w:lang w:bidi="ar-IQ"/>
        </w:rPr>
        <w:t xml:space="preserve"> ثم</w:t>
      </w:r>
      <w:r w:rsidR="00DC66D6" w:rsidRPr="006571AC">
        <w:rPr>
          <w:rFonts w:hint="cs"/>
          <w:sz w:val="27"/>
          <w:rtl/>
          <w:lang w:bidi="ar-IQ"/>
        </w:rPr>
        <w:t>ّ</w:t>
      </w:r>
      <w:r w:rsidRPr="006571AC">
        <w:rPr>
          <w:sz w:val="27"/>
          <w:rtl/>
          <w:lang w:bidi="ar-IQ"/>
        </w:rPr>
        <w:t xml:space="preserve"> طل</w:t>
      </w:r>
      <w:r w:rsidR="00DC66D6" w:rsidRPr="006571AC">
        <w:rPr>
          <w:rFonts w:hint="cs"/>
          <w:sz w:val="27"/>
          <w:rtl/>
          <w:lang w:bidi="ar-IQ"/>
        </w:rPr>
        <w:t>َّ</w:t>
      </w:r>
      <w:r w:rsidRPr="006571AC">
        <w:rPr>
          <w:sz w:val="27"/>
          <w:rtl/>
          <w:lang w:bidi="ar-IQ"/>
        </w:rPr>
        <w:t>قها</w:t>
      </w:r>
      <w:r w:rsidR="00DC66D6" w:rsidRPr="006571AC">
        <w:rPr>
          <w:rFonts w:hint="cs"/>
          <w:sz w:val="27"/>
          <w:rtl/>
          <w:lang w:bidi="ar-IQ"/>
        </w:rPr>
        <w:t>،</w:t>
      </w:r>
      <w:r w:rsidRPr="006571AC">
        <w:rPr>
          <w:sz w:val="27"/>
          <w:rtl/>
          <w:lang w:bidi="ar-IQ"/>
        </w:rPr>
        <w:t xml:space="preserve"> فبان</w:t>
      </w:r>
      <w:r w:rsidR="00DC66D6" w:rsidRPr="006571AC">
        <w:rPr>
          <w:rFonts w:hint="cs"/>
          <w:sz w:val="27"/>
          <w:rtl/>
          <w:lang w:bidi="ar-IQ"/>
        </w:rPr>
        <w:t>َ</w:t>
      </w:r>
      <w:r w:rsidRPr="006571AC">
        <w:rPr>
          <w:sz w:val="27"/>
          <w:rtl/>
          <w:lang w:bidi="ar-IQ"/>
        </w:rPr>
        <w:t>ت</w:t>
      </w:r>
      <w:r w:rsidR="00DC66D6" w:rsidRPr="006571AC">
        <w:rPr>
          <w:rFonts w:hint="cs"/>
          <w:sz w:val="27"/>
          <w:rtl/>
          <w:lang w:bidi="ar-IQ"/>
        </w:rPr>
        <w:t>ْ</w:t>
      </w:r>
      <w:r w:rsidRPr="006571AC">
        <w:rPr>
          <w:sz w:val="27"/>
          <w:rtl/>
          <w:lang w:bidi="ar-IQ"/>
        </w:rPr>
        <w:t xml:space="preserve"> منه</w:t>
      </w:r>
      <w:r w:rsidRPr="006571AC">
        <w:rPr>
          <w:rFonts w:hint="cs"/>
          <w:sz w:val="27"/>
          <w:rtl/>
          <w:lang w:bidi="ar-IQ"/>
        </w:rPr>
        <w:t xml:space="preserve">، </w:t>
      </w:r>
      <w:r w:rsidRPr="006571AC">
        <w:rPr>
          <w:sz w:val="27"/>
          <w:rtl/>
          <w:lang w:bidi="ar-IQ"/>
        </w:rPr>
        <w:t>فأراد أن يراجعها</w:t>
      </w:r>
      <w:r w:rsidRPr="006571AC">
        <w:rPr>
          <w:rFonts w:hint="cs"/>
          <w:sz w:val="27"/>
          <w:rtl/>
          <w:lang w:bidi="ar-IQ"/>
        </w:rPr>
        <w:t xml:space="preserve">، </w:t>
      </w:r>
      <w:r w:rsidRPr="006571AC">
        <w:rPr>
          <w:sz w:val="27"/>
          <w:rtl/>
          <w:lang w:bidi="ar-IQ"/>
        </w:rPr>
        <w:t>فأب</w:t>
      </w:r>
      <w:r w:rsidR="00DC66D6" w:rsidRPr="006571AC">
        <w:rPr>
          <w:rFonts w:hint="cs"/>
          <w:sz w:val="27"/>
          <w:rtl/>
          <w:lang w:bidi="ar-IQ"/>
        </w:rPr>
        <w:t>َ</w:t>
      </w:r>
      <w:r w:rsidRPr="006571AC">
        <w:rPr>
          <w:sz w:val="27"/>
          <w:rtl/>
          <w:lang w:bidi="ar-IQ"/>
        </w:rPr>
        <w:t>ت</w:t>
      </w:r>
      <w:r w:rsidR="00DC66D6" w:rsidRPr="006571AC">
        <w:rPr>
          <w:rFonts w:hint="cs"/>
          <w:sz w:val="27"/>
          <w:rtl/>
          <w:lang w:bidi="ar-IQ"/>
        </w:rPr>
        <w:t>ْ</w:t>
      </w:r>
      <w:r w:rsidRPr="006571AC">
        <w:rPr>
          <w:sz w:val="27"/>
          <w:rtl/>
          <w:lang w:bidi="ar-IQ"/>
        </w:rPr>
        <w:t xml:space="preserve"> عليه إلا</w:t>
      </w:r>
      <w:r w:rsidR="00DC66D6" w:rsidRPr="006571AC">
        <w:rPr>
          <w:rFonts w:hint="cs"/>
          <w:sz w:val="27"/>
          <w:rtl/>
          <w:lang w:bidi="ar-IQ"/>
        </w:rPr>
        <w:t>ّ</w:t>
      </w:r>
      <w:r w:rsidRPr="006571AC">
        <w:rPr>
          <w:sz w:val="27"/>
          <w:rtl/>
          <w:lang w:bidi="ar-IQ"/>
        </w:rPr>
        <w:t xml:space="preserve"> أن يجعل لله عليه أن لا يطل</w:t>
      </w:r>
      <w:r w:rsidR="005B4D46" w:rsidRPr="006571AC">
        <w:rPr>
          <w:rFonts w:hint="cs"/>
          <w:sz w:val="27"/>
          <w:rtl/>
          <w:lang w:bidi="ar-IQ"/>
        </w:rPr>
        <w:t>ِّ</w:t>
      </w:r>
      <w:r w:rsidRPr="006571AC">
        <w:rPr>
          <w:sz w:val="27"/>
          <w:rtl/>
          <w:lang w:bidi="ar-IQ"/>
        </w:rPr>
        <w:t>قها</w:t>
      </w:r>
      <w:r w:rsidR="005B4D46" w:rsidRPr="006571AC">
        <w:rPr>
          <w:rFonts w:hint="cs"/>
          <w:sz w:val="27"/>
          <w:rtl/>
          <w:lang w:bidi="ar-IQ"/>
        </w:rPr>
        <w:t>،</w:t>
      </w:r>
      <w:r w:rsidRPr="006571AC">
        <w:rPr>
          <w:sz w:val="27"/>
          <w:rtl/>
          <w:lang w:bidi="ar-IQ"/>
        </w:rPr>
        <w:t xml:space="preserve"> ولا يتزو</w:t>
      </w:r>
      <w:r w:rsidR="005B4D46" w:rsidRPr="006571AC">
        <w:rPr>
          <w:rFonts w:hint="cs"/>
          <w:sz w:val="27"/>
          <w:rtl/>
          <w:lang w:bidi="ar-IQ"/>
        </w:rPr>
        <w:t>َّ</w:t>
      </w:r>
      <w:r w:rsidR="005B4D46" w:rsidRPr="006571AC">
        <w:rPr>
          <w:sz w:val="27"/>
          <w:rtl/>
          <w:lang w:bidi="ar-IQ"/>
        </w:rPr>
        <w:t>ج عليها</w:t>
      </w:r>
      <w:r w:rsidRPr="006571AC">
        <w:rPr>
          <w:rFonts w:hint="cs"/>
          <w:sz w:val="27"/>
          <w:rtl/>
          <w:lang w:bidi="ar-IQ"/>
        </w:rPr>
        <w:t xml:space="preserve">، </w:t>
      </w:r>
      <w:r w:rsidRPr="006571AC">
        <w:rPr>
          <w:sz w:val="27"/>
          <w:rtl/>
          <w:lang w:bidi="ar-IQ"/>
        </w:rPr>
        <w:t>ثم</w:t>
      </w:r>
      <w:r w:rsidR="005B4D46" w:rsidRPr="006571AC">
        <w:rPr>
          <w:rFonts w:hint="cs"/>
          <w:sz w:val="27"/>
          <w:rtl/>
          <w:lang w:bidi="ar-IQ"/>
        </w:rPr>
        <w:t>ّ</w:t>
      </w:r>
      <w:r w:rsidRPr="006571AC">
        <w:rPr>
          <w:sz w:val="27"/>
          <w:rtl/>
          <w:lang w:bidi="ar-IQ"/>
        </w:rPr>
        <w:t xml:space="preserve"> بدا له في التزويج بعد ذلك</w:t>
      </w:r>
      <w:r w:rsidR="005B4D46" w:rsidRPr="006571AC">
        <w:rPr>
          <w:rFonts w:hint="cs"/>
          <w:sz w:val="27"/>
          <w:rtl/>
          <w:lang w:bidi="ar-IQ"/>
        </w:rPr>
        <w:t>،</w:t>
      </w:r>
      <w:r w:rsidRPr="006571AC">
        <w:rPr>
          <w:sz w:val="27"/>
          <w:rtl/>
          <w:lang w:bidi="ar-IQ"/>
        </w:rPr>
        <w:t xml:space="preserve"> فكيف يصنع؟ </w:t>
      </w:r>
      <w:r w:rsidRPr="006571AC">
        <w:rPr>
          <w:rFonts w:hint="eastAsia"/>
          <w:sz w:val="24"/>
          <w:szCs w:val="24"/>
          <w:rtl/>
        </w:rPr>
        <w:t>«</w:t>
      </w:r>
      <w:r w:rsidRPr="006571AC">
        <w:rPr>
          <w:sz w:val="27"/>
          <w:rtl/>
          <w:lang w:bidi="ar-IQ"/>
        </w:rPr>
        <w:t>قال</w:t>
      </w:r>
      <w:r w:rsidRPr="006571AC">
        <w:rPr>
          <w:rFonts w:hint="cs"/>
          <w:sz w:val="27"/>
          <w:rtl/>
          <w:lang w:bidi="ar-IQ"/>
        </w:rPr>
        <w:t xml:space="preserve"> [</w:t>
      </w:r>
      <w:r w:rsidR="002A2C90" w:rsidRPr="006571AC">
        <w:rPr>
          <w:rFonts w:ascii="Mosawi" w:hAnsi="Mosawi" w:cs="Mosawi"/>
          <w:sz w:val="22"/>
          <w:szCs w:val="22"/>
          <w:rtl/>
        </w:rPr>
        <w:t>×</w:t>
      </w:r>
      <w:r w:rsidRPr="006571AC">
        <w:rPr>
          <w:rFonts w:hint="cs"/>
          <w:sz w:val="27"/>
          <w:rtl/>
          <w:lang w:bidi="ar-IQ"/>
        </w:rPr>
        <w:t>]:</w:t>
      </w:r>
      <w:r w:rsidR="005B4D46" w:rsidRPr="006571AC">
        <w:rPr>
          <w:rFonts w:hint="cs"/>
          <w:sz w:val="27"/>
          <w:rtl/>
          <w:lang w:bidi="ar-IQ"/>
        </w:rPr>
        <w:t xml:space="preserve"> </w:t>
      </w:r>
      <w:r w:rsidRPr="006571AC">
        <w:rPr>
          <w:rFonts w:hint="cs"/>
          <w:sz w:val="27"/>
          <w:rtl/>
          <w:lang w:bidi="ar-IQ"/>
        </w:rPr>
        <w:t>.</w:t>
      </w:r>
      <w:r w:rsidRPr="006571AC">
        <w:rPr>
          <w:sz w:val="27"/>
          <w:rtl/>
          <w:lang w:bidi="ar-IQ"/>
        </w:rPr>
        <w:t>.</w:t>
      </w:r>
      <w:r w:rsidR="005B4D46" w:rsidRPr="006571AC">
        <w:rPr>
          <w:rFonts w:hint="cs"/>
          <w:sz w:val="27"/>
          <w:rtl/>
          <w:lang w:bidi="ar-IQ"/>
        </w:rPr>
        <w:t>.</w:t>
      </w:r>
      <w:r w:rsidRPr="006571AC">
        <w:rPr>
          <w:sz w:val="27"/>
          <w:rtl/>
          <w:lang w:bidi="ar-IQ"/>
        </w:rPr>
        <w:t>ق</w:t>
      </w:r>
      <w:r w:rsidR="005B4D46" w:rsidRPr="006571AC">
        <w:rPr>
          <w:rFonts w:hint="cs"/>
          <w:sz w:val="27"/>
          <w:rtl/>
          <w:lang w:bidi="ar-IQ"/>
        </w:rPr>
        <w:t>ُ</w:t>
      </w:r>
      <w:r w:rsidRPr="006571AC">
        <w:rPr>
          <w:sz w:val="27"/>
          <w:rtl/>
          <w:lang w:bidi="ar-IQ"/>
        </w:rPr>
        <w:t>ل</w:t>
      </w:r>
      <w:r w:rsidR="005B4D46" w:rsidRPr="006571AC">
        <w:rPr>
          <w:rFonts w:hint="cs"/>
          <w:sz w:val="27"/>
          <w:rtl/>
          <w:lang w:bidi="ar-IQ"/>
        </w:rPr>
        <w:t>ْ</w:t>
      </w:r>
      <w:r w:rsidRPr="006571AC">
        <w:rPr>
          <w:sz w:val="27"/>
          <w:rtl/>
          <w:lang w:bidi="ar-IQ"/>
        </w:rPr>
        <w:t xml:space="preserve"> له</w:t>
      </w:r>
      <w:r w:rsidRPr="006571AC">
        <w:rPr>
          <w:rFonts w:hint="cs"/>
          <w:sz w:val="27"/>
          <w:rtl/>
          <w:lang w:bidi="ar-IQ"/>
        </w:rPr>
        <w:t xml:space="preserve">: </w:t>
      </w:r>
      <w:r w:rsidRPr="006571AC">
        <w:rPr>
          <w:sz w:val="27"/>
          <w:rtl/>
          <w:lang w:bidi="ar-IQ"/>
        </w:rPr>
        <w:t>فل</w:t>
      </w:r>
      <w:r w:rsidR="005B4D46" w:rsidRPr="006571AC">
        <w:rPr>
          <w:rFonts w:hint="cs"/>
          <w:sz w:val="27"/>
          <w:rtl/>
          <w:lang w:bidi="ar-IQ"/>
        </w:rPr>
        <w:t>ْ</w:t>
      </w:r>
      <w:r w:rsidRPr="006571AC">
        <w:rPr>
          <w:sz w:val="27"/>
          <w:rtl/>
          <w:lang w:bidi="ar-IQ"/>
        </w:rPr>
        <w:t>ي</w:t>
      </w:r>
      <w:r w:rsidR="005B4D46" w:rsidRPr="006571AC">
        <w:rPr>
          <w:rFonts w:hint="cs"/>
          <w:sz w:val="27"/>
          <w:rtl/>
          <w:lang w:bidi="ar-IQ"/>
        </w:rPr>
        <w:t>َ</w:t>
      </w:r>
      <w:r w:rsidRPr="006571AC">
        <w:rPr>
          <w:sz w:val="27"/>
          <w:rtl/>
          <w:lang w:bidi="ar-IQ"/>
        </w:rPr>
        <w:t>ف</w:t>
      </w:r>
      <w:r w:rsidRPr="006571AC">
        <w:rPr>
          <w:rFonts w:hint="cs"/>
          <w:sz w:val="27"/>
          <w:rtl/>
          <w:lang w:bidi="ar-IQ"/>
        </w:rPr>
        <w:t>ِ</w:t>
      </w:r>
      <w:r w:rsidRPr="006571AC">
        <w:rPr>
          <w:sz w:val="27"/>
          <w:rtl/>
          <w:lang w:bidi="ar-IQ"/>
        </w:rPr>
        <w:t xml:space="preserve"> للمرأة بشرطها</w:t>
      </w:r>
      <w:r w:rsidRPr="006571AC">
        <w:rPr>
          <w:rFonts w:hint="cs"/>
          <w:sz w:val="27"/>
          <w:rtl/>
          <w:lang w:bidi="ar-IQ"/>
        </w:rPr>
        <w:t xml:space="preserve">؛ </w:t>
      </w:r>
      <w:r w:rsidR="005B4D46" w:rsidRPr="006571AC">
        <w:rPr>
          <w:sz w:val="27"/>
          <w:rtl/>
          <w:lang w:bidi="ar-IQ"/>
        </w:rPr>
        <w:t>فإن رسول الله</w:t>
      </w:r>
      <w:r w:rsidR="002A2C90" w:rsidRPr="006571AC">
        <w:rPr>
          <w:rFonts w:ascii="Mosawi" w:hAnsi="Mosawi" w:cs="Mosawi"/>
          <w:sz w:val="22"/>
          <w:szCs w:val="22"/>
          <w:rtl/>
        </w:rPr>
        <w:t>|</w:t>
      </w:r>
      <w:r w:rsidRPr="006571AC">
        <w:rPr>
          <w:rFonts w:hint="cs"/>
          <w:sz w:val="27"/>
          <w:rtl/>
          <w:lang w:bidi="ar-IQ"/>
        </w:rPr>
        <w:t xml:space="preserve"> </w:t>
      </w:r>
      <w:r w:rsidRPr="006571AC">
        <w:rPr>
          <w:sz w:val="27"/>
          <w:rtl/>
          <w:lang w:bidi="ar-IQ"/>
        </w:rPr>
        <w:t>قال: المؤمنون عند شروطهم</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66"/>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w:t>
      </w:r>
      <w:r w:rsidR="005B4D46" w:rsidRPr="006571AC">
        <w:rPr>
          <w:rFonts w:hint="cs"/>
          <w:sz w:val="27"/>
          <w:rtl/>
          <w:lang w:bidi="ar-IQ"/>
        </w:rPr>
        <w:t xml:space="preserve">هذه </w:t>
      </w:r>
      <w:r w:rsidRPr="006571AC">
        <w:rPr>
          <w:rFonts w:hint="cs"/>
          <w:sz w:val="27"/>
          <w:rtl/>
          <w:lang w:bidi="ar-IQ"/>
        </w:rPr>
        <w:t xml:space="preserve">الرواية يجب بحثها ومناقشتها من جهتين أيضاً: </w:t>
      </w:r>
    </w:p>
    <w:p w:rsidR="004B60B2" w:rsidRPr="006571AC" w:rsidRDefault="004B60B2" w:rsidP="004B60B2">
      <w:pPr>
        <w:spacing w:line="420" w:lineRule="exact"/>
        <w:rPr>
          <w:sz w:val="27"/>
          <w:rtl/>
        </w:rPr>
      </w:pPr>
    </w:p>
    <w:p w:rsidR="00381A52" w:rsidRPr="006571AC" w:rsidRDefault="00FC7A16" w:rsidP="000A6547">
      <w:pPr>
        <w:pStyle w:val="31"/>
        <w:rPr>
          <w:color w:val="auto"/>
          <w:rtl/>
          <w:lang w:bidi="ar-IQ"/>
        </w:rPr>
      </w:pPr>
      <w:bookmarkStart w:id="126" w:name="_Toc114164615"/>
      <w:r w:rsidRPr="006571AC">
        <w:rPr>
          <w:rFonts w:hint="cs"/>
          <w:color w:val="auto"/>
          <w:rtl/>
          <w:lang w:bidi="ar-IQ"/>
        </w:rPr>
        <w:t>1ـ</w:t>
      </w:r>
      <w:r w:rsidR="00381A52" w:rsidRPr="006571AC">
        <w:rPr>
          <w:rFonts w:hint="cs"/>
          <w:color w:val="auto"/>
          <w:rtl/>
          <w:lang w:bidi="ar-IQ"/>
        </w:rPr>
        <w:t xml:space="preserve"> </w:t>
      </w:r>
      <w:r w:rsidR="000A6547" w:rsidRPr="006571AC">
        <w:rPr>
          <w:rFonts w:hint="cs"/>
          <w:color w:val="auto"/>
          <w:rtl/>
          <w:lang w:bidi="ar-IQ"/>
        </w:rPr>
        <w:t>تقييم السند</w:t>
      </w:r>
      <w:bookmarkEnd w:id="126"/>
    </w:p>
    <w:p w:rsidR="00381A52" w:rsidRPr="006571AC" w:rsidRDefault="00381A52" w:rsidP="00552C10">
      <w:pPr>
        <w:rPr>
          <w:sz w:val="27"/>
          <w:rtl/>
          <w:lang w:bidi="ar-IQ"/>
        </w:rPr>
      </w:pPr>
      <w:r w:rsidRPr="006571AC">
        <w:rPr>
          <w:rFonts w:hint="cs"/>
          <w:sz w:val="27"/>
          <w:rtl/>
          <w:lang w:bidi="ar-IQ"/>
        </w:rPr>
        <w:t>حيث ورد ذكر هذه الرواية في كتاب الاستبصار، لذلك يجب أو</w:t>
      </w:r>
      <w:r w:rsidR="005B4D46" w:rsidRPr="006571AC">
        <w:rPr>
          <w:rFonts w:hint="cs"/>
          <w:sz w:val="27"/>
          <w:rtl/>
          <w:lang w:bidi="ar-IQ"/>
        </w:rPr>
        <w:t>ّ</w:t>
      </w:r>
      <w:r w:rsidRPr="006571AC">
        <w:rPr>
          <w:rFonts w:hint="cs"/>
          <w:sz w:val="27"/>
          <w:rtl/>
          <w:lang w:bidi="ar-IQ"/>
        </w:rPr>
        <w:t>لاً النظر في سند الشيخ [الطوسي] إلى علي</w:t>
      </w:r>
      <w:r w:rsidR="005B4D46" w:rsidRPr="006571AC">
        <w:rPr>
          <w:rFonts w:hint="cs"/>
          <w:sz w:val="27"/>
          <w:rtl/>
          <w:lang w:bidi="ar-IQ"/>
        </w:rPr>
        <w:t>ّ</w:t>
      </w:r>
      <w:r w:rsidRPr="006571AC">
        <w:rPr>
          <w:rFonts w:hint="cs"/>
          <w:sz w:val="27"/>
          <w:rtl/>
          <w:lang w:bidi="ar-IQ"/>
        </w:rPr>
        <w:t xml:space="preserve"> بن الحسن بن فضال. وقد عرّ</w:t>
      </w:r>
      <w:r w:rsidR="005B4D46" w:rsidRPr="006571AC">
        <w:rPr>
          <w:rFonts w:hint="cs"/>
          <w:sz w:val="27"/>
          <w:rtl/>
          <w:lang w:bidi="ar-IQ"/>
        </w:rPr>
        <w:t>َ</w:t>
      </w:r>
      <w:r w:rsidRPr="006571AC">
        <w:rPr>
          <w:rFonts w:hint="cs"/>
          <w:sz w:val="27"/>
          <w:rtl/>
          <w:lang w:bidi="ar-IQ"/>
        </w:rPr>
        <w:t xml:space="preserve">ف الشيخ الطوسي في كتاب </w:t>
      </w:r>
      <w:r w:rsidRPr="006571AC">
        <w:rPr>
          <w:rFonts w:hint="eastAsia"/>
          <w:sz w:val="24"/>
          <w:szCs w:val="24"/>
          <w:rtl/>
        </w:rPr>
        <w:t>«</w:t>
      </w:r>
      <w:r w:rsidRPr="006571AC">
        <w:rPr>
          <w:rFonts w:hint="cs"/>
          <w:sz w:val="27"/>
          <w:rtl/>
          <w:lang w:bidi="ar-IQ"/>
        </w:rPr>
        <w:t>الفهرست</w:t>
      </w:r>
      <w:r w:rsidRPr="006571AC">
        <w:rPr>
          <w:rFonts w:hint="eastAsia"/>
          <w:sz w:val="24"/>
          <w:szCs w:val="24"/>
          <w:rtl/>
        </w:rPr>
        <w:t>»</w:t>
      </w:r>
      <w:r w:rsidRPr="006571AC">
        <w:rPr>
          <w:rFonts w:hint="cs"/>
          <w:sz w:val="27"/>
          <w:rtl/>
          <w:lang w:bidi="ar-IQ"/>
        </w:rPr>
        <w:t xml:space="preserve"> طريقه إلى جميع كتب وروايات </w:t>
      </w:r>
      <w:r w:rsidRPr="006571AC">
        <w:rPr>
          <w:rFonts w:hint="eastAsia"/>
          <w:sz w:val="24"/>
          <w:szCs w:val="24"/>
          <w:rtl/>
        </w:rPr>
        <w:t>«</w:t>
      </w:r>
      <w:r w:rsidRPr="006571AC">
        <w:rPr>
          <w:rFonts w:hint="cs"/>
          <w:sz w:val="27"/>
          <w:rtl/>
          <w:lang w:bidi="ar-IQ"/>
        </w:rPr>
        <w:t>علي</w:t>
      </w:r>
      <w:r w:rsidR="005B4D46" w:rsidRPr="006571AC">
        <w:rPr>
          <w:rFonts w:hint="cs"/>
          <w:sz w:val="27"/>
          <w:rtl/>
          <w:lang w:bidi="ar-IQ"/>
        </w:rPr>
        <w:t>ّ</w:t>
      </w:r>
      <w:r w:rsidRPr="006571AC">
        <w:rPr>
          <w:rFonts w:hint="cs"/>
          <w:sz w:val="27"/>
          <w:rtl/>
          <w:lang w:bidi="ar-IQ"/>
        </w:rPr>
        <w:t xml:space="preserve"> بن الحسن بن فض</w:t>
      </w:r>
      <w:r w:rsidR="005B4D46" w:rsidRPr="006571AC">
        <w:rPr>
          <w:rFonts w:hint="cs"/>
          <w:sz w:val="27"/>
          <w:rtl/>
          <w:lang w:bidi="ar-IQ"/>
        </w:rPr>
        <w:t>ّ</w:t>
      </w:r>
      <w:r w:rsidRPr="006571AC">
        <w:rPr>
          <w:rFonts w:hint="cs"/>
          <w:sz w:val="27"/>
          <w:rtl/>
          <w:lang w:bidi="ar-IQ"/>
        </w:rPr>
        <w:t>ال</w:t>
      </w:r>
      <w:r w:rsidRPr="006571AC">
        <w:rPr>
          <w:rFonts w:hint="eastAsia"/>
          <w:sz w:val="24"/>
          <w:szCs w:val="24"/>
          <w:rtl/>
        </w:rPr>
        <w:t>»</w:t>
      </w:r>
      <w:r w:rsidRPr="006571AC">
        <w:rPr>
          <w:rFonts w:hint="cs"/>
          <w:sz w:val="27"/>
          <w:rtl/>
          <w:lang w:bidi="ar-IQ"/>
        </w:rPr>
        <w:t xml:space="preserve"> قائلاً: </w:t>
      </w:r>
      <w:r w:rsidRPr="006571AC">
        <w:rPr>
          <w:rFonts w:hint="eastAsia"/>
          <w:sz w:val="24"/>
          <w:szCs w:val="24"/>
          <w:rtl/>
        </w:rPr>
        <w:t>«</w:t>
      </w:r>
      <w:r w:rsidRPr="006571AC">
        <w:rPr>
          <w:sz w:val="27"/>
          <w:rtl/>
          <w:lang w:bidi="ar-IQ"/>
        </w:rPr>
        <w:t>أخبرنا بجميع كتبه</w:t>
      </w:r>
      <w:r w:rsidR="005B4D46" w:rsidRPr="006571AC">
        <w:rPr>
          <w:rFonts w:hint="cs"/>
          <w:sz w:val="27"/>
          <w:rtl/>
          <w:lang w:bidi="ar-IQ"/>
        </w:rPr>
        <w:t>،</w:t>
      </w:r>
      <w:r w:rsidRPr="006571AC">
        <w:rPr>
          <w:sz w:val="27"/>
          <w:rtl/>
          <w:lang w:bidi="ar-IQ"/>
        </w:rPr>
        <w:t xml:space="preserve"> قراءة</w:t>
      </w:r>
      <w:r w:rsidR="005B4D46" w:rsidRPr="006571AC">
        <w:rPr>
          <w:rFonts w:hint="cs"/>
          <w:sz w:val="27"/>
          <w:rtl/>
          <w:lang w:bidi="ar-IQ"/>
        </w:rPr>
        <w:t>ً</w:t>
      </w:r>
      <w:r w:rsidRPr="006571AC">
        <w:rPr>
          <w:sz w:val="27"/>
          <w:rtl/>
          <w:lang w:bidi="ar-IQ"/>
        </w:rPr>
        <w:t xml:space="preserve"> عليه أكثرها</w:t>
      </w:r>
      <w:r w:rsidRPr="006571AC">
        <w:rPr>
          <w:rFonts w:hint="cs"/>
          <w:sz w:val="27"/>
          <w:rtl/>
          <w:lang w:bidi="ar-IQ"/>
        </w:rPr>
        <w:t xml:space="preserve">، </w:t>
      </w:r>
      <w:r w:rsidRPr="006571AC">
        <w:rPr>
          <w:sz w:val="27"/>
          <w:rtl/>
          <w:lang w:bidi="ar-IQ"/>
        </w:rPr>
        <w:t>والباقي إجازة</w:t>
      </w:r>
      <w:r w:rsidR="005B4D46" w:rsidRPr="006571AC">
        <w:rPr>
          <w:rFonts w:hint="cs"/>
          <w:sz w:val="27"/>
          <w:rtl/>
          <w:lang w:bidi="ar-IQ"/>
        </w:rPr>
        <w:t>ً،</w:t>
      </w:r>
      <w:r w:rsidRPr="006571AC">
        <w:rPr>
          <w:sz w:val="27"/>
          <w:rtl/>
          <w:lang w:bidi="ar-IQ"/>
        </w:rPr>
        <w:t xml:space="preserve"> أحمد بن عبدون</w:t>
      </w:r>
      <w:r w:rsidRPr="006571AC">
        <w:rPr>
          <w:rFonts w:hint="cs"/>
          <w:sz w:val="27"/>
          <w:rtl/>
          <w:lang w:bidi="ar-IQ"/>
        </w:rPr>
        <w:t xml:space="preserve">، </w:t>
      </w:r>
      <w:r w:rsidRPr="006571AC">
        <w:rPr>
          <w:sz w:val="27"/>
          <w:rtl/>
          <w:lang w:bidi="ar-IQ"/>
        </w:rPr>
        <w:t>عن علي</w:t>
      </w:r>
      <w:r w:rsidR="005B4D46" w:rsidRPr="006571AC">
        <w:rPr>
          <w:rFonts w:hint="cs"/>
          <w:sz w:val="27"/>
          <w:rtl/>
          <w:lang w:bidi="ar-IQ"/>
        </w:rPr>
        <w:t>ّ</w:t>
      </w:r>
      <w:r w:rsidRPr="006571AC">
        <w:rPr>
          <w:sz w:val="27"/>
          <w:rtl/>
          <w:lang w:bidi="ar-IQ"/>
        </w:rPr>
        <w:t xml:space="preserve"> بن محمد بن الزبير</w:t>
      </w:r>
      <w:r w:rsidRPr="006571AC">
        <w:rPr>
          <w:rFonts w:hint="cs"/>
          <w:sz w:val="27"/>
          <w:rtl/>
          <w:lang w:bidi="ar-IQ"/>
        </w:rPr>
        <w:t xml:space="preserve">، </w:t>
      </w:r>
      <w:r w:rsidRPr="006571AC">
        <w:rPr>
          <w:sz w:val="27"/>
          <w:rtl/>
          <w:lang w:bidi="ar-IQ"/>
        </w:rPr>
        <w:t>سماعا</w:t>
      </w:r>
      <w:r w:rsidRPr="006571AC">
        <w:rPr>
          <w:rFonts w:hint="cs"/>
          <w:sz w:val="27"/>
          <w:rtl/>
          <w:lang w:bidi="ar-IQ"/>
        </w:rPr>
        <w:t>ً</w:t>
      </w:r>
      <w:r w:rsidRPr="006571AC">
        <w:rPr>
          <w:sz w:val="27"/>
          <w:rtl/>
          <w:lang w:bidi="ar-IQ"/>
        </w:rPr>
        <w:t xml:space="preserve"> وإجازة</w:t>
      </w:r>
      <w:r w:rsidR="005B4D46" w:rsidRPr="006571AC">
        <w:rPr>
          <w:rFonts w:hint="cs"/>
          <w:sz w:val="27"/>
          <w:rtl/>
          <w:lang w:bidi="ar-IQ"/>
        </w:rPr>
        <w:t>ً</w:t>
      </w:r>
      <w:r w:rsidRPr="006571AC">
        <w:rPr>
          <w:sz w:val="27"/>
          <w:rtl/>
          <w:lang w:bidi="ar-IQ"/>
        </w:rPr>
        <w:t xml:space="preserve"> عنه</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67"/>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وفي هذا الطريق علي</w:t>
      </w:r>
      <w:r w:rsidR="005B4D46" w:rsidRPr="006571AC">
        <w:rPr>
          <w:rFonts w:hint="cs"/>
          <w:sz w:val="27"/>
          <w:rtl/>
          <w:lang w:bidi="ar-IQ"/>
        </w:rPr>
        <w:t>ّ</w:t>
      </w:r>
      <w:r w:rsidRPr="006571AC">
        <w:rPr>
          <w:rFonts w:hint="cs"/>
          <w:sz w:val="27"/>
          <w:rtl/>
          <w:lang w:bidi="ar-IQ"/>
        </w:rPr>
        <w:t xml:space="preserve"> بن محمد بن الزبير، ولم ت</w:t>
      </w:r>
      <w:r w:rsidR="005B4D46" w:rsidRPr="006571AC">
        <w:rPr>
          <w:rFonts w:hint="cs"/>
          <w:sz w:val="27"/>
          <w:rtl/>
          <w:lang w:bidi="ar-IQ"/>
        </w:rPr>
        <w:t>َ</w:t>
      </w:r>
      <w:r w:rsidRPr="006571AC">
        <w:rPr>
          <w:rFonts w:hint="cs"/>
          <w:sz w:val="27"/>
          <w:rtl/>
          <w:lang w:bidi="ar-IQ"/>
        </w:rPr>
        <w:t>ر</w:t>
      </w:r>
      <w:r w:rsidR="005B4D46" w:rsidRPr="006571AC">
        <w:rPr>
          <w:rFonts w:hint="cs"/>
          <w:sz w:val="27"/>
          <w:rtl/>
          <w:lang w:bidi="ar-IQ"/>
        </w:rPr>
        <w:t>ِ</w:t>
      </w:r>
      <w:r w:rsidRPr="006571AC">
        <w:rPr>
          <w:rFonts w:hint="cs"/>
          <w:sz w:val="27"/>
          <w:rtl/>
          <w:lang w:bidi="ar-IQ"/>
        </w:rPr>
        <w:t>د</w:t>
      </w:r>
      <w:r w:rsidR="005B4D46" w:rsidRPr="006571AC">
        <w:rPr>
          <w:rFonts w:hint="cs"/>
          <w:sz w:val="27"/>
          <w:rtl/>
          <w:lang w:bidi="ar-IQ"/>
        </w:rPr>
        <w:t>ْ</w:t>
      </w:r>
      <w:r w:rsidRPr="006571AC">
        <w:rPr>
          <w:rFonts w:hint="cs"/>
          <w:sz w:val="27"/>
          <w:rtl/>
          <w:lang w:bidi="ar-IQ"/>
        </w:rPr>
        <w:t xml:space="preserve"> وثاقته بشكل</w:t>
      </w:r>
      <w:r w:rsidR="005B4D46" w:rsidRPr="006571AC">
        <w:rPr>
          <w:rFonts w:hint="cs"/>
          <w:sz w:val="27"/>
          <w:rtl/>
          <w:lang w:bidi="ar-IQ"/>
        </w:rPr>
        <w:t>ٍ</w:t>
      </w:r>
      <w:r w:rsidRPr="006571AC">
        <w:rPr>
          <w:rFonts w:hint="cs"/>
          <w:sz w:val="27"/>
          <w:rtl/>
          <w:lang w:bidi="ar-IQ"/>
        </w:rPr>
        <w:t xml:space="preserve"> صريح، ولكن</w:t>
      </w:r>
      <w:r w:rsidR="005B4D46" w:rsidRPr="006571AC">
        <w:rPr>
          <w:rFonts w:hint="cs"/>
          <w:sz w:val="27"/>
          <w:rtl/>
          <w:lang w:bidi="ar-IQ"/>
        </w:rPr>
        <w:t>ْ</w:t>
      </w:r>
      <w:r w:rsidRPr="006571AC">
        <w:rPr>
          <w:rFonts w:hint="cs"/>
          <w:sz w:val="27"/>
          <w:rtl/>
          <w:lang w:bidi="ar-IQ"/>
        </w:rPr>
        <w:t xml:space="preserve"> حيث كان شخصية</w:t>
      </w:r>
      <w:r w:rsidR="005B4D46" w:rsidRPr="006571AC">
        <w:rPr>
          <w:rFonts w:hint="cs"/>
          <w:sz w:val="27"/>
          <w:rtl/>
          <w:lang w:bidi="ar-IQ"/>
        </w:rPr>
        <w:t>ً</w:t>
      </w:r>
      <w:r w:rsidRPr="006571AC">
        <w:rPr>
          <w:rFonts w:hint="cs"/>
          <w:sz w:val="27"/>
          <w:rtl/>
          <w:lang w:bidi="ar-IQ"/>
        </w:rPr>
        <w:t xml:space="preserve"> معروفة يمكن إثبات وثاقته وإمكان الاعتماد عليه. ومن ناحية</w:t>
      </w:r>
      <w:r w:rsidR="005B4D46" w:rsidRPr="006571AC">
        <w:rPr>
          <w:rFonts w:hint="cs"/>
          <w:sz w:val="27"/>
          <w:rtl/>
          <w:lang w:bidi="ar-IQ"/>
        </w:rPr>
        <w:t>ٍ</w:t>
      </w:r>
      <w:r w:rsidRPr="006571AC">
        <w:rPr>
          <w:rFonts w:hint="cs"/>
          <w:sz w:val="27"/>
          <w:rtl/>
          <w:lang w:bidi="ar-IQ"/>
        </w:rPr>
        <w:t xml:space="preserve"> أخرى حت</w:t>
      </w:r>
      <w:r w:rsidR="005B4D46" w:rsidRPr="006571AC">
        <w:rPr>
          <w:rFonts w:hint="cs"/>
          <w:sz w:val="27"/>
          <w:rtl/>
          <w:lang w:bidi="ar-IQ"/>
        </w:rPr>
        <w:t>ّ</w:t>
      </w:r>
      <w:r w:rsidRPr="006571AC">
        <w:rPr>
          <w:rFonts w:hint="cs"/>
          <w:sz w:val="27"/>
          <w:rtl/>
          <w:lang w:bidi="ar-IQ"/>
        </w:rPr>
        <w:t>ى إذا كان ضعيفاً يمكن تصحيح طريق الشيخ الطوسي إلى علي</w:t>
      </w:r>
      <w:r w:rsidR="005B4D46" w:rsidRPr="006571AC">
        <w:rPr>
          <w:rFonts w:hint="cs"/>
          <w:sz w:val="27"/>
          <w:rtl/>
          <w:lang w:bidi="ar-IQ"/>
        </w:rPr>
        <w:t>ّ</w:t>
      </w:r>
      <w:r w:rsidRPr="006571AC">
        <w:rPr>
          <w:rFonts w:hint="cs"/>
          <w:sz w:val="27"/>
          <w:rtl/>
          <w:lang w:bidi="ar-IQ"/>
        </w:rPr>
        <w:t xml:space="preserve"> بن الحسن بن فض</w:t>
      </w:r>
      <w:r w:rsidR="005B4D46" w:rsidRPr="006571AC">
        <w:rPr>
          <w:rFonts w:hint="cs"/>
          <w:sz w:val="27"/>
          <w:rtl/>
          <w:lang w:bidi="ar-IQ"/>
        </w:rPr>
        <w:t>ّ</w:t>
      </w:r>
      <w:r w:rsidRPr="006571AC">
        <w:rPr>
          <w:rFonts w:hint="cs"/>
          <w:sz w:val="27"/>
          <w:rtl/>
          <w:lang w:bidi="ar-IQ"/>
        </w:rPr>
        <w:t>ال من طريق</w:t>
      </w:r>
      <w:r w:rsidR="005B4D46" w:rsidRPr="006571AC">
        <w:rPr>
          <w:rFonts w:hint="cs"/>
          <w:sz w:val="27"/>
          <w:rtl/>
          <w:lang w:bidi="ar-IQ"/>
        </w:rPr>
        <w:t>ٍ</w:t>
      </w:r>
      <w:r w:rsidRPr="006571AC">
        <w:rPr>
          <w:rFonts w:hint="cs"/>
          <w:sz w:val="27"/>
          <w:rtl/>
          <w:lang w:bidi="ar-IQ"/>
        </w:rPr>
        <w:t xml:space="preserve"> آخر؛ ببيان أن النجاشي والشيخ [الطوسي] ـ على ما يبدو ـ قد نقلا روايات </w:t>
      </w:r>
      <w:r w:rsidRPr="006571AC">
        <w:rPr>
          <w:rFonts w:hint="eastAsia"/>
          <w:sz w:val="24"/>
          <w:szCs w:val="24"/>
          <w:rtl/>
        </w:rPr>
        <w:t>«</w:t>
      </w:r>
      <w:r w:rsidRPr="006571AC">
        <w:rPr>
          <w:rFonts w:hint="cs"/>
          <w:sz w:val="27"/>
          <w:rtl/>
          <w:lang w:bidi="ar-IQ"/>
        </w:rPr>
        <w:t>علي</w:t>
      </w:r>
      <w:r w:rsidR="005B4D46" w:rsidRPr="006571AC">
        <w:rPr>
          <w:rFonts w:hint="cs"/>
          <w:sz w:val="27"/>
          <w:rtl/>
          <w:lang w:bidi="ar-IQ"/>
        </w:rPr>
        <w:t>ّ</w:t>
      </w:r>
      <w:r w:rsidRPr="006571AC">
        <w:rPr>
          <w:rFonts w:hint="cs"/>
          <w:sz w:val="27"/>
          <w:rtl/>
          <w:lang w:bidi="ar-IQ"/>
        </w:rPr>
        <w:t xml:space="preserve"> بن الحسن بن فض</w:t>
      </w:r>
      <w:r w:rsidR="005B4D46" w:rsidRPr="006571AC">
        <w:rPr>
          <w:rFonts w:hint="cs"/>
          <w:sz w:val="27"/>
          <w:rtl/>
          <w:lang w:bidi="ar-IQ"/>
        </w:rPr>
        <w:t>ّ</w:t>
      </w:r>
      <w:r w:rsidRPr="006571AC">
        <w:rPr>
          <w:rFonts w:hint="cs"/>
          <w:sz w:val="27"/>
          <w:rtl/>
          <w:lang w:bidi="ar-IQ"/>
        </w:rPr>
        <w:t>ال</w:t>
      </w:r>
      <w:r w:rsidRPr="006571AC">
        <w:rPr>
          <w:rFonts w:hint="eastAsia"/>
          <w:sz w:val="24"/>
          <w:szCs w:val="24"/>
          <w:rtl/>
        </w:rPr>
        <w:t>»</w:t>
      </w:r>
      <w:r w:rsidRPr="006571AC">
        <w:rPr>
          <w:rFonts w:hint="cs"/>
          <w:sz w:val="27"/>
          <w:rtl/>
          <w:lang w:bidi="ar-IQ"/>
        </w:rPr>
        <w:t xml:space="preserve"> من طريق</w:t>
      </w:r>
      <w:r w:rsidR="005B4D46" w:rsidRPr="006571AC">
        <w:rPr>
          <w:rFonts w:hint="cs"/>
          <w:sz w:val="27"/>
          <w:rtl/>
          <w:lang w:bidi="ar-IQ"/>
        </w:rPr>
        <w:t xml:space="preserve">ٍ </w:t>
      </w:r>
      <w:r w:rsidRPr="006571AC">
        <w:rPr>
          <w:rFonts w:hint="cs"/>
          <w:sz w:val="27"/>
          <w:rtl/>
          <w:lang w:bidi="ar-IQ"/>
        </w:rPr>
        <w:t xml:space="preserve">مشترك؛ إذ قال النجاشي: </w:t>
      </w:r>
      <w:r w:rsidRPr="006571AC">
        <w:rPr>
          <w:rFonts w:hint="eastAsia"/>
          <w:sz w:val="24"/>
          <w:szCs w:val="24"/>
          <w:rtl/>
        </w:rPr>
        <w:t>«</w:t>
      </w:r>
      <w:r w:rsidRPr="006571AC">
        <w:rPr>
          <w:rFonts w:hint="cs"/>
          <w:sz w:val="27"/>
          <w:rtl/>
          <w:lang w:bidi="ar-IQ"/>
        </w:rPr>
        <w:t>قرأ أحمد بن الحسين كتاب الصلاة، و...</w:t>
      </w:r>
      <w:r w:rsidR="003405F0" w:rsidRPr="006571AC">
        <w:rPr>
          <w:rFonts w:hint="cs"/>
          <w:sz w:val="27"/>
          <w:rtl/>
          <w:lang w:bidi="ar-IQ"/>
        </w:rPr>
        <w:t>،</w:t>
      </w:r>
      <w:r w:rsidRPr="006571AC">
        <w:rPr>
          <w:rFonts w:hint="cs"/>
          <w:sz w:val="27"/>
          <w:rtl/>
          <w:lang w:bidi="ar-IQ"/>
        </w:rPr>
        <w:t xml:space="preserve"> </w:t>
      </w:r>
      <w:r w:rsidRPr="006571AC">
        <w:rPr>
          <w:sz w:val="27"/>
          <w:rtl/>
          <w:lang w:bidi="ar-IQ"/>
        </w:rPr>
        <w:t>على أحمد بن عبد الواحد</w:t>
      </w:r>
      <w:r w:rsidR="005B4D46" w:rsidRPr="006571AC">
        <w:rPr>
          <w:rFonts w:hint="cs"/>
          <w:sz w:val="27"/>
          <w:rtl/>
          <w:lang w:bidi="ar-IQ"/>
        </w:rPr>
        <w:t>،</w:t>
      </w:r>
      <w:r w:rsidRPr="006571AC">
        <w:rPr>
          <w:sz w:val="27"/>
          <w:rtl/>
          <w:lang w:bidi="ar-IQ"/>
        </w:rPr>
        <w:t xml:space="preserve"> في مد</w:t>
      </w:r>
      <w:r w:rsidR="005B4D46" w:rsidRPr="006571AC">
        <w:rPr>
          <w:rFonts w:hint="cs"/>
          <w:sz w:val="27"/>
          <w:rtl/>
          <w:lang w:bidi="ar-IQ"/>
        </w:rPr>
        <w:t>ّ</w:t>
      </w:r>
      <w:r w:rsidRPr="006571AC">
        <w:rPr>
          <w:sz w:val="27"/>
          <w:rtl/>
          <w:lang w:bidi="ar-IQ"/>
        </w:rPr>
        <w:t>ة سمعتها معه، وقرأت</w:t>
      </w:r>
      <w:r w:rsidR="005B4D46" w:rsidRPr="006571AC">
        <w:rPr>
          <w:rFonts w:hint="cs"/>
          <w:sz w:val="27"/>
          <w:rtl/>
          <w:lang w:bidi="ar-IQ"/>
        </w:rPr>
        <w:t>ُ</w:t>
      </w:r>
      <w:r w:rsidRPr="006571AC">
        <w:rPr>
          <w:sz w:val="27"/>
          <w:rtl/>
          <w:lang w:bidi="ar-IQ"/>
        </w:rPr>
        <w:t xml:space="preserve"> أنا كتاب الصيام عليه..</w:t>
      </w:r>
      <w:r w:rsidRPr="006571AC">
        <w:rPr>
          <w:rFonts w:hint="cs"/>
          <w:sz w:val="27"/>
          <w:rtl/>
          <w:lang w:bidi="ar-IQ"/>
        </w:rPr>
        <w:t>.</w:t>
      </w:r>
      <w:r w:rsidR="003405F0" w:rsidRPr="006571AC">
        <w:rPr>
          <w:rFonts w:hint="cs"/>
          <w:sz w:val="27"/>
          <w:rtl/>
          <w:lang w:bidi="ar-IQ"/>
        </w:rPr>
        <w:t>،</w:t>
      </w:r>
      <w:r w:rsidRPr="006571AC">
        <w:rPr>
          <w:rFonts w:hint="cs"/>
          <w:sz w:val="27"/>
          <w:rtl/>
          <w:lang w:bidi="ar-IQ"/>
        </w:rPr>
        <w:t xml:space="preserve"> </w:t>
      </w:r>
      <w:r w:rsidRPr="006571AC">
        <w:rPr>
          <w:sz w:val="27"/>
          <w:rtl/>
          <w:lang w:bidi="ar-IQ"/>
        </w:rPr>
        <w:t>عن ابن الزبير</w:t>
      </w:r>
      <w:r w:rsidRPr="006571AC">
        <w:rPr>
          <w:rFonts w:hint="cs"/>
          <w:sz w:val="27"/>
          <w:rtl/>
          <w:lang w:bidi="ar-IQ"/>
        </w:rPr>
        <w:t xml:space="preserve">، </w:t>
      </w:r>
      <w:r w:rsidRPr="006571AC">
        <w:rPr>
          <w:sz w:val="27"/>
          <w:rtl/>
          <w:lang w:bidi="ar-IQ"/>
        </w:rPr>
        <w:t>عن علي</w:t>
      </w:r>
      <w:r w:rsidR="005B4D46" w:rsidRPr="006571AC">
        <w:rPr>
          <w:rFonts w:hint="cs"/>
          <w:sz w:val="27"/>
          <w:rtl/>
          <w:lang w:bidi="ar-IQ"/>
        </w:rPr>
        <w:t>ّ</w:t>
      </w:r>
      <w:r w:rsidRPr="006571AC">
        <w:rPr>
          <w:sz w:val="27"/>
          <w:rtl/>
          <w:lang w:bidi="ar-IQ"/>
        </w:rPr>
        <w:t xml:space="preserve"> بن الحسن، و</w:t>
      </w:r>
      <w:r w:rsidRPr="006571AC">
        <w:rPr>
          <w:rFonts w:hint="cs"/>
          <w:sz w:val="27"/>
          <w:rtl/>
          <w:lang w:bidi="ar-IQ"/>
        </w:rPr>
        <w:t>...</w:t>
      </w:r>
      <w:r w:rsidR="003405F0" w:rsidRPr="006571AC">
        <w:rPr>
          <w:rFonts w:hint="cs"/>
          <w:sz w:val="27"/>
          <w:rtl/>
          <w:lang w:bidi="ar-IQ"/>
        </w:rPr>
        <w:t>.</w:t>
      </w:r>
      <w:r w:rsidRPr="006571AC">
        <w:rPr>
          <w:rFonts w:hint="cs"/>
          <w:sz w:val="27"/>
          <w:rtl/>
          <w:lang w:bidi="ar-IQ"/>
        </w:rPr>
        <w:t xml:space="preserve"> </w:t>
      </w:r>
      <w:r w:rsidRPr="006571AC">
        <w:rPr>
          <w:sz w:val="27"/>
          <w:rtl/>
          <w:lang w:bidi="ar-IQ"/>
        </w:rPr>
        <w:t>وأخبرنا محمد بن جعفر</w:t>
      </w:r>
      <w:r w:rsidR="005B4D46" w:rsidRPr="006571AC">
        <w:rPr>
          <w:rFonts w:hint="cs"/>
          <w:sz w:val="27"/>
          <w:rtl/>
          <w:lang w:bidi="ar-IQ"/>
        </w:rPr>
        <w:t>،</w:t>
      </w:r>
      <w:r w:rsidRPr="006571AC">
        <w:rPr>
          <w:sz w:val="27"/>
          <w:rtl/>
          <w:lang w:bidi="ar-IQ"/>
        </w:rPr>
        <w:t xml:space="preserve"> في آخرين</w:t>
      </w:r>
      <w:r w:rsidRPr="006571AC">
        <w:rPr>
          <w:rFonts w:hint="cs"/>
          <w:sz w:val="27"/>
          <w:rtl/>
          <w:lang w:bidi="ar-IQ"/>
        </w:rPr>
        <w:t xml:space="preserve">، </w:t>
      </w:r>
      <w:r w:rsidRPr="006571AC">
        <w:rPr>
          <w:sz w:val="27"/>
          <w:rtl/>
          <w:lang w:bidi="ar-IQ"/>
        </w:rPr>
        <w:t>عن أحمد بن محمد بن سعيد</w:t>
      </w:r>
      <w:r w:rsidRPr="006571AC">
        <w:rPr>
          <w:rFonts w:hint="cs"/>
          <w:sz w:val="27"/>
          <w:rtl/>
          <w:lang w:bidi="ar-IQ"/>
        </w:rPr>
        <w:t xml:space="preserve">، </w:t>
      </w:r>
      <w:r w:rsidRPr="006571AC">
        <w:rPr>
          <w:sz w:val="27"/>
          <w:rtl/>
          <w:lang w:bidi="ar-IQ"/>
        </w:rPr>
        <w:t>عن علي</w:t>
      </w:r>
      <w:r w:rsidR="005B4D46" w:rsidRPr="006571AC">
        <w:rPr>
          <w:rFonts w:hint="cs"/>
          <w:sz w:val="27"/>
          <w:rtl/>
          <w:lang w:bidi="ar-IQ"/>
        </w:rPr>
        <w:t>ّ</w:t>
      </w:r>
      <w:r w:rsidRPr="006571AC">
        <w:rPr>
          <w:sz w:val="27"/>
          <w:rtl/>
          <w:lang w:bidi="ar-IQ"/>
        </w:rPr>
        <w:t xml:space="preserve"> بن الحس</w:t>
      </w:r>
      <w:r w:rsidRPr="006571AC">
        <w:rPr>
          <w:rFonts w:hint="cs"/>
          <w:sz w:val="27"/>
          <w:rtl/>
          <w:lang w:bidi="ar-IQ"/>
        </w:rPr>
        <w:t>ي</w:t>
      </w:r>
      <w:r w:rsidRPr="006571AC">
        <w:rPr>
          <w:sz w:val="27"/>
          <w:rtl/>
          <w:lang w:bidi="ar-IQ"/>
        </w:rPr>
        <w:t>ن</w:t>
      </w:r>
      <w:r w:rsidR="005B4D46" w:rsidRPr="006571AC">
        <w:rPr>
          <w:rFonts w:hint="cs"/>
          <w:sz w:val="27"/>
          <w:rtl/>
          <w:lang w:bidi="ar-IQ"/>
        </w:rPr>
        <w:t>،</w:t>
      </w:r>
      <w:r w:rsidRPr="006571AC">
        <w:rPr>
          <w:sz w:val="27"/>
          <w:rtl/>
          <w:lang w:bidi="ar-IQ"/>
        </w:rPr>
        <w:t xml:space="preserve"> بكتبه</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68"/>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يبدو من ظاهر هذه العبارة أن النجاشي والشيخ [الطوسي] كانا كلاهما في مجلس</w:t>
      </w:r>
      <w:r w:rsidR="005B4D46" w:rsidRPr="006571AC">
        <w:rPr>
          <w:rFonts w:hint="cs"/>
          <w:sz w:val="27"/>
          <w:rtl/>
          <w:lang w:bidi="ar-IQ"/>
        </w:rPr>
        <w:t>ٍ</w:t>
      </w:r>
      <w:r w:rsidRPr="006571AC">
        <w:rPr>
          <w:rFonts w:hint="cs"/>
          <w:sz w:val="27"/>
          <w:rtl/>
          <w:lang w:bidi="ar-IQ"/>
        </w:rPr>
        <w:t xml:space="preserve"> واحد، وقد قر</w:t>
      </w:r>
      <w:r w:rsidR="005B4D46" w:rsidRPr="006571AC">
        <w:rPr>
          <w:rFonts w:hint="cs"/>
          <w:sz w:val="27"/>
          <w:rtl/>
          <w:lang w:bidi="ar-IQ"/>
        </w:rPr>
        <w:t>آ</w:t>
      </w:r>
      <w:r w:rsidRPr="006571AC">
        <w:rPr>
          <w:rFonts w:hint="cs"/>
          <w:sz w:val="27"/>
          <w:rtl/>
          <w:lang w:bidi="ar-IQ"/>
        </w:rPr>
        <w:t xml:space="preserve"> كتب علي</w:t>
      </w:r>
      <w:r w:rsidR="005B4D46" w:rsidRPr="006571AC">
        <w:rPr>
          <w:rFonts w:hint="cs"/>
          <w:sz w:val="27"/>
          <w:rtl/>
          <w:lang w:bidi="ar-IQ"/>
        </w:rPr>
        <w:t>ّ</w:t>
      </w:r>
      <w:r w:rsidRPr="006571AC">
        <w:rPr>
          <w:rFonts w:hint="cs"/>
          <w:sz w:val="27"/>
          <w:rtl/>
          <w:lang w:bidi="ar-IQ"/>
        </w:rPr>
        <w:t xml:space="preserve"> بن الحسن بن فض</w:t>
      </w:r>
      <w:r w:rsidR="005B4D46" w:rsidRPr="006571AC">
        <w:rPr>
          <w:rFonts w:hint="cs"/>
          <w:sz w:val="27"/>
          <w:rtl/>
          <w:lang w:bidi="ar-IQ"/>
        </w:rPr>
        <w:t>ّ</w:t>
      </w:r>
      <w:r w:rsidRPr="006571AC">
        <w:rPr>
          <w:rFonts w:hint="cs"/>
          <w:sz w:val="27"/>
          <w:rtl/>
          <w:lang w:bidi="ar-IQ"/>
        </w:rPr>
        <w:t>ال على أحمد بن عبدون، إلا</w:t>
      </w:r>
      <w:r w:rsidR="005B4D46" w:rsidRPr="006571AC">
        <w:rPr>
          <w:rFonts w:hint="cs"/>
          <w:sz w:val="27"/>
          <w:rtl/>
          <w:lang w:bidi="ar-IQ"/>
        </w:rPr>
        <w:t>ّ</w:t>
      </w:r>
      <w:r w:rsidRPr="006571AC">
        <w:rPr>
          <w:rFonts w:hint="cs"/>
          <w:sz w:val="27"/>
          <w:rtl/>
          <w:lang w:bidi="ar-IQ"/>
        </w:rPr>
        <w:t xml:space="preserve"> أن </w:t>
      </w:r>
      <w:r w:rsidRPr="006571AC">
        <w:rPr>
          <w:rFonts w:hint="cs"/>
          <w:sz w:val="27"/>
          <w:rtl/>
          <w:lang w:bidi="ar-IQ"/>
        </w:rPr>
        <w:lastRenderedPageBreak/>
        <w:t>لدى النجاشي طريقاً آخر إلى كتب علي</w:t>
      </w:r>
      <w:r w:rsidR="005B4D46" w:rsidRPr="006571AC">
        <w:rPr>
          <w:rFonts w:hint="cs"/>
          <w:sz w:val="27"/>
          <w:rtl/>
          <w:lang w:bidi="ar-IQ"/>
        </w:rPr>
        <w:t>ّ</w:t>
      </w:r>
      <w:r w:rsidRPr="006571AC">
        <w:rPr>
          <w:rFonts w:hint="cs"/>
          <w:sz w:val="27"/>
          <w:rtl/>
          <w:lang w:bidi="ar-IQ"/>
        </w:rPr>
        <w:t xml:space="preserve"> </w:t>
      </w:r>
      <w:r w:rsidRPr="006571AC">
        <w:rPr>
          <w:sz w:val="27"/>
          <w:rtl/>
          <w:lang w:bidi="ar-IQ"/>
        </w:rPr>
        <w:t>بن الحسن بن فض</w:t>
      </w:r>
      <w:r w:rsidR="005B4D46" w:rsidRPr="006571AC">
        <w:rPr>
          <w:rFonts w:hint="cs"/>
          <w:sz w:val="27"/>
          <w:rtl/>
          <w:lang w:bidi="ar-IQ"/>
        </w:rPr>
        <w:t>ّ</w:t>
      </w:r>
      <w:r w:rsidRPr="006571AC">
        <w:rPr>
          <w:sz w:val="27"/>
          <w:rtl/>
          <w:lang w:bidi="ar-IQ"/>
        </w:rPr>
        <w:t>ال</w:t>
      </w:r>
      <w:r w:rsidRPr="006571AC">
        <w:rPr>
          <w:rFonts w:hint="cs"/>
          <w:sz w:val="27"/>
          <w:rtl/>
          <w:lang w:bidi="ar-IQ"/>
        </w:rPr>
        <w:t xml:space="preserve"> بواسطة محمد بن جعفر النحوي الثقة، وفي هذه الصورة يمكن القول بأن روايات الشيخ عن علي</w:t>
      </w:r>
      <w:r w:rsidR="005B4D46" w:rsidRPr="006571AC">
        <w:rPr>
          <w:rFonts w:hint="cs"/>
          <w:sz w:val="27"/>
          <w:rtl/>
          <w:lang w:bidi="ar-IQ"/>
        </w:rPr>
        <w:t>ّ</w:t>
      </w:r>
      <w:r w:rsidRPr="006571AC">
        <w:rPr>
          <w:rFonts w:hint="cs"/>
          <w:sz w:val="27"/>
          <w:rtl/>
          <w:lang w:bidi="ar-IQ"/>
        </w:rPr>
        <w:t xml:space="preserve"> </w:t>
      </w:r>
      <w:r w:rsidRPr="006571AC">
        <w:rPr>
          <w:sz w:val="27"/>
          <w:rtl/>
          <w:lang w:bidi="ar-IQ"/>
        </w:rPr>
        <w:t>بن الحسن بن فضال</w:t>
      </w:r>
      <w:r w:rsidRPr="006571AC">
        <w:rPr>
          <w:rFonts w:hint="cs"/>
          <w:sz w:val="27"/>
          <w:rtl/>
          <w:lang w:bidi="ar-IQ"/>
        </w:rPr>
        <w:t xml:space="preserve"> معتبرة</w:t>
      </w:r>
      <w:r w:rsidR="009D0B19" w:rsidRPr="006571AC">
        <w:rPr>
          <w:rFonts w:hint="cs"/>
          <w:sz w:val="27"/>
          <w:rtl/>
          <w:lang w:bidi="ar-IQ"/>
        </w:rPr>
        <w:t>ٌ</w:t>
      </w:r>
      <w:r w:rsidRPr="006571AC">
        <w:rPr>
          <w:rFonts w:hint="cs"/>
          <w:sz w:val="27"/>
          <w:rtl/>
          <w:lang w:bidi="ar-IQ"/>
        </w:rPr>
        <w:t xml:space="preserve"> من هذا الطريق؛ إذ من المستبعد أن يكون شخص</w:t>
      </w:r>
      <w:r w:rsidR="009D0B19" w:rsidRPr="006571AC">
        <w:rPr>
          <w:rFonts w:hint="cs"/>
          <w:sz w:val="27"/>
          <w:rtl/>
          <w:lang w:bidi="ar-IQ"/>
        </w:rPr>
        <w:t>ٌ</w:t>
      </w:r>
      <w:r w:rsidRPr="006571AC">
        <w:rPr>
          <w:rFonts w:hint="cs"/>
          <w:sz w:val="27"/>
          <w:rtl/>
          <w:lang w:bidi="ar-IQ"/>
        </w:rPr>
        <w:t xml:space="preserve"> واحد</w:t>
      </w:r>
      <w:r w:rsidR="009D0B19" w:rsidRPr="006571AC">
        <w:rPr>
          <w:rFonts w:hint="cs"/>
          <w:sz w:val="27"/>
          <w:rtl/>
          <w:lang w:bidi="ar-IQ"/>
        </w:rPr>
        <w:t>،</w:t>
      </w:r>
      <w:r w:rsidRPr="006571AC">
        <w:rPr>
          <w:rFonts w:hint="cs"/>
          <w:sz w:val="27"/>
          <w:rtl/>
          <w:lang w:bidi="ar-IQ"/>
        </w:rPr>
        <w:t xml:space="preserve"> مثل</w:t>
      </w:r>
      <w:r w:rsidR="009D0B19" w:rsidRPr="006571AC">
        <w:rPr>
          <w:rFonts w:hint="cs"/>
          <w:sz w:val="27"/>
          <w:rtl/>
          <w:lang w:bidi="ar-IQ"/>
        </w:rPr>
        <w:t>:</w:t>
      </w:r>
      <w:r w:rsidRPr="006571AC">
        <w:rPr>
          <w:rFonts w:hint="cs"/>
          <w:sz w:val="27"/>
          <w:rtl/>
          <w:lang w:bidi="ar-IQ"/>
        </w:rPr>
        <w:t xml:space="preserve"> أحمد بن عبدون</w:t>
      </w:r>
      <w:r w:rsidR="009D0B19" w:rsidRPr="006571AC">
        <w:rPr>
          <w:rFonts w:hint="cs"/>
          <w:sz w:val="27"/>
          <w:rtl/>
          <w:lang w:bidi="ar-IQ"/>
        </w:rPr>
        <w:t>،</w:t>
      </w:r>
      <w:r w:rsidRPr="006571AC">
        <w:rPr>
          <w:rFonts w:hint="cs"/>
          <w:sz w:val="27"/>
          <w:rtl/>
          <w:lang w:bidi="ar-IQ"/>
        </w:rPr>
        <w:t xml:space="preserve"> قد نقل للنجاشي أمراً مغايراً لما نقله </w:t>
      </w:r>
      <w:r w:rsidR="009D0B19" w:rsidRPr="006571AC">
        <w:rPr>
          <w:rFonts w:hint="cs"/>
          <w:sz w:val="27"/>
          <w:rtl/>
          <w:lang w:bidi="ar-IQ"/>
        </w:rPr>
        <w:t>ل</w:t>
      </w:r>
      <w:r w:rsidRPr="006571AC">
        <w:rPr>
          <w:rFonts w:hint="cs"/>
          <w:sz w:val="27"/>
          <w:rtl/>
          <w:lang w:bidi="ar-IQ"/>
        </w:rPr>
        <w:t>لشيخ الطوسي</w:t>
      </w:r>
      <w:r w:rsidRPr="006571AC">
        <w:rPr>
          <w:sz w:val="27"/>
          <w:vertAlign w:val="superscript"/>
          <w:rtl/>
          <w:lang w:bidi="ar-IQ"/>
        </w:rPr>
        <w:t>(</w:t>
      </w:r>
      <w:r w:rsidRPr="006571AC">
        <w:rPr>
          <w:rStyle w:val="ac"/>
          <w:sz w:val="27"/>
          <w:rtl/>
          <w:lang w:bidi="ar-IQ"/>
        </w:rPr>
        <w:endnoteReference w:id="269"/>
      </w:r>
      <w:r w:rsidRPr="006571AC">
        <w:rPr>
          <w:sz w:val="27"/>
          <w:vertAlign w:val="superscript"/>
          <w:rtl/>
          <w:lang w:bidi="ar-IQ"/>
        </w:rPr>
        <w:t>)</w:t>
      </w:r>
      <w:r w:rsidRPr="006571AC">
        <w:rPr>
          <w:rFonts w:hint="cs"/>
          <w:sz w:val="27"/>
          <w:rtl/>
          <w:lang w:bidi="ar-IQ"/>
        </w:rPr>
        <w:t xml:space="preserve">. </w:t>
      </w:r>
    </w:p>
    <w:p w:rsidR="00381A52" w:rsidRPr="006571AC" w:rsidRDefault="00381A52" w:rsidP="004B60B2">
      <w:pPr>
        <w:spacing w:line="420" w:lineRule="exact"/>
        <w:rPr>
          <w:sz w:val="27"/>
          <w:rtl/>
          <w:lang w:bidi="ar-IQ"/>
        </w:rPr>
      </w:pPr>
      <w:r w:rsidRPr="006571AC">
        <w:rPr>
          <w:rFonts w:hint="cs"/>
          <w:sz w:val="27"/>
          <w:rtl/>
          <w:lang w:bidi="ar-IQ"/>
        </w:rPr>
        <w:t>وفي</w:t>
      </w:r>
      <w:r w:rsidR="009D0B19" w:rsidRPr="006571AC">
        <w:rPr>
          <w:rFonts w:hint="cs"/>
          <w:sz w:val="27"/>
          <w:rtl/>
          <w:lang w:bidi="ar-IQ"/>
        </w:rPr>
        <w:t xml:space="preserve"> </w:t>
      </w:r>
      <w:r w:rsidRPr="006571AC">
        <w:rPr>
          <w:rFonts w:hint="cs"/>
          <w:sz w:val="27"/>
          <w:rtl/>
          <w:lang w:bidi="ar-IQ"/>
        </w:rPr>
        <w:t>ما يتعل</w:t>
      </w:r>
      <w:r w:rsidR="009D0B19" w:rsidRPr="006571AC">
        <w:rPr>
          <w:rFonts w:hint="cs"/>
          <w:sz w:val="27"/>
          <w:rtl/>
          <w:lang w:bidi="ar-IQ"/>
        </w:rPr>
        <w:t>َّ</w:t>
      </w:r>
      <w:r w:rsidRPr="006571AC">
        <w:rPr>
          <w:rFonts w:hint="cs"/>
          <w:sz w:val="27"/>
          <w:rtl/>
          <w:lang w:bidi="ar-IQ"/>
        </w:rPr>
        <w:t xml:space="preserve">ق بشخصية </w:t>
      </w:r>
      <w:r w:rsidRPr="006571AC">
        <w:rPr>
          <w:rFonts w:hint="eastAsia"/>
          <w:sz w:val="24"/>
          <w:szCs w:val="24"/>
          <w:rtl/>
        </w:rPr>
        <w:t>«</w:t>
      </w:r>
      <w:r w:rsidRPr="006571AC">
        <w:rPr>
          <w:rFonts w:hint="cs"/>
          <w:sz w:val="27"/>
          <w:rtl/>
          <w:lang w:bidi="ar-IQ"/>
        </w:rPr>
        <w:t>علي</w:t>
      </w:r>
      <w:r w:rsidR="009D0B19" w:rsidRPr="006571AC">
        <w:rPr>
          <w:rFonts w:hint="cs"/>
          <w:sz w:val="27"/>
          <w:rtl/>
          <w:lang w:bidi="ar-IQ"/>
        </w:rPr>
        <w:t>ّ</w:t>
      </w:r>
      <w:r w:rsidRPr="006571AC">
        <w:rPr>
          <w:rFonts w:hint="cs"/>
          <w:sz w:val="27"/>
          <w:rtl/>
          <w:lang w:bidi="ar-IQ"/>
        </w:rPr>
        <w:t xml:space="preserve"> </w:t>
      </w:r>
      <w:r w:rsidRPr="006571AC">
        <w:rPr>
          <w:sz w:val="27"/>
          <w:rtl/>
          <w:lang w:bidi="ar-IQ"/>
        </w:rPr>
        <w:t>بن الحسن بن فض</w:t>
      </w:r>
      <w:r w:rsidR="009D0B19" w:rsidRPr="006571AC">
        <w:rPr>
          <w:rFonts w:hint="cs"/>
          <w:sz w:val="27"/>
          <w:rtl/>
          <w:lang w:bidi="ar-IQ"/>
        </w:rPr>
        <w:t>ّ</w:t>
      </w:r>
      <w:r w:rsidRPr="006571AC">
        <w:rPr>
          <w:sz w:val="27"/>
          <w:rtl/>
          <w:lang w:bidi="ar-IQ"/>
        </w:rPr>
        <w:t>ال</w:t>
      </w:r>
      <w:r w:rsidRPr="006571AC">
        <w:rPr>
          <w:rFonts w:hint="eastAsia"/>
          <w:sz w:val="24"/>
          <w:szCs w:val="24"/>
          <w:rtl/>
        </w:rPr>
        <w:t>»</w:t>
      </w:r>
      <w:r w:rsidRPr="006571AC">
        <w:rPr>
          <w:rFonts w:hint="cs"/>
          <w:sz w:val="27"/>
          <w:rtl/>
          <w:lang w:bidi="ar-IQ"/>
        </w:rPr>
        <w:t xml:space="preserve"> ـ على الرغم من انتمائه إلى الفطحية ـ </w:t>
      </w:r>
      <w:r w:rsidR="009D0B19" w:rsidRPr="006571AC">
        <w:rPr>
          <w:rFonts w:hint="cs"/>
          <w:sz w:val="27"/>
          <w:rtl/>
          <w:lang w:bidi="ar-IQ"/>
        </w:rPr>
        <w:t>فإ</w:t>
      </w:r>
      <w:r w:rsidRPr="006571AC">
        <w:rPr>
          <w:rFonts w:hint="cs"/>
          <w:sz w:val="27"/>
          <w:rtl/>
          <w:lang w:bidi="ar-IQ"/>
        </w:rPr>
        <w:t>ن وثاقته ثابتة</w:t>
      </w:r>
      <w:r w:rsidR="009D0B19" w:rsidRPr="006571AC">
        <w:rPr>
          <w:rFonts w:hint="cs"/>
          <w:sz w:val="27"/>
          <w:rtl/>
          <w:lang w:bidi="ar-IQ"/>
        </w:rPr>
        <w:t>ٌ</w:t>
      </w:r>
      <w:r w:rsidRPr="006571AC">
        <w:rPr>
          <w:rFonts w:hint="cs"/>
          <w:sz w:val="27"/>
          <w:rtl/>
          <w:lang w:bidi="ar-IQ"/>
        </w:rPr>
        <w:t>. وقد عرّ</w:t>
      </w:r>
      <w:r w:rsidR="009D0B19" w:rsidRPr="006571AC">
        <w:rPr>
          <w:rFonts w:hint="cs"/>
          <w:sz w:val="27"/>
          <w:rtl/>
          <w:lang w:bidi="ar-IQ"/>
        </w:rPr>
        <w:t>َ</w:t>
      </w:r>
      <w:r w:rsidRPr="006571AC">
        <w:rPr>
          <w:rFonts w:hint="cs"/>
          <w:sz w:val="27"/>
          <w:rtl/>
          <w:lang w:bidi="ar-IQ"/>
        </w:rPr>
        <w:t xml:space="preserve">فه الشيخ الطوسي في الفهرست بقوله: </w:t>
      </w:r>
      <w:r w:rsidRPr="006571AC">
        <w:rPr>
          <w:rFonts w:hint="eastAsia"/>
          <w:sz w:val="24"/>
          <w:szCs w:val="24"/>
          <w:rtl/>
        </w:rPr>
        <w:t>«</w:t>
      </w:r>
      <w:r w:rsidRPr="006571AC">
        <w:rPr>
          <w:sz w:val="27"/>
          <w:rtl/>
          <w:lang w:bidi="ar-IQ"/>
        </w:rPr>
        <w:t>علي</w:t>
      </w:r>
      <w:r w:rsidR="009D0B19" w:rsidRPr="006571AC">
        <w:rPr>
          <w:rFonts w:hint="cs"/>
          <w:sz w:val="27"/>
          <w:rtl/>
          <w:lang w:bidi="ar-IQ"/>
        </w:rPr>
        <w:t>ّ</w:t>
      </w:r>
      <w:r w:rsidRPr="006571AC">
        <w:rPr>
          <w:sz w:val="27"/>
          <w:rtl/>
          <w:lang w:bidi="ar-IQ"/>
        </w:rPr>
        <w:t xml:space="preserve"> بن الحسن بن فض</w:t>
      </w:r>
      <w:r w:rsidR="009D0B19" w:rsidRPr="006571AC">
        <w:rPr>
          <w:rFonts w:hint="cs"/>
          <w:sz w:val="27"/>
          <w:rtl/>
          <w:lang w:bidi="ar-IQ"/>
        </w:rPr>
        <w:t>ّ</w:t>
      </w:r>
      <w:r w:rsidRPr="006571AC">
        <w:rPr>
          <w:sz w:val="27"/>
          <w:rtl/>
          <w:lang w:bidi="ar-IQ"/>
        </w:rPr>
        <w:t>ال</w:t>
      </w:r>
      <w:r w:rsidRPr="006571AC">
        <w:rPr>
          <w:rFonts w:hint="cs"/>
          <w:sz w:val="27"/>
          <w:rtl/>
          <w:lang w:bidi="ar-IQ"/>
        </w:rPr>
        <w:t xml:space="preserve">، </w:t>
      </w:r>
      <w:r w:rsidRPr="006571AC">
        <w:rPr>
          <w:sz w:val="27"/>
          <w:rtl/>
          <w:lang w:bidi="ar-IQ"/>
        </w:rPr>
        <w:t>فطحي</w:t>
      </w:r>
      <w:r w:rsidR="009D0B19" w:rsidRPr="006571AC">
        <w:rPr>
          <w:rFonts w:hint="cs"/>
          <w:sz w:val="27"/>
          <w:rtl/>
          <w:lang w:bidi="ar-IQ"/>
        </w:rPr>
        <w:t>ّ</w:t>
      </w:r>
      <w:r w:rsidRPr="006571AC">
        <w:rPr>
          <w:sz w:val="27"/>
          <w:rtl/>
          <w:lang w:bidi="ar-IQ"/>
        </w:rPr>
        <w:t xml:space="preserve"> المذهب</w:t>
      </w:r>
      <w:r w:rsidRPr="006571AC">
        <w:rPr>
          <w:rFonts w:hint="cs"/>
          <w:sz w:val="27"/>
          <w:rtl/>
          <w:lang w:bidi="ar-IQ"/>
        </w:rPr>
        <w:t xml:space="preserve">، </w:t>
      </w:r>
      <w:r w:rsidRPr="006571AC">
        <w:rPr>
          <w:sz w:val="27"/>
          <w:rtl/>
          <w:lang w:bidi="ar-IQ"/>
        </w:rPr>
        <w:t>ثقة</w:t>
      </w:r>
      <w:r w:rsidR="009D0B19" w:rsidRPr="006571AC">
        <w:rPr>
          <w:rFonts w:hint="cs"/>
          <w:sz w:val="27"/>
          <w:rtl/>
          <w:lang w:bidi="ar-IQ"/>
        </w:rPr>
        <w:t>ٌ،</w:t>
      </w:r>
      <w:r w:rsidRPr="006571AC">
        <w:rPr>
          <w:sz w:val="27"/>
          <w:rtl/>
          <w:lang w:bidi="ar-IQ"/>
        </w:rPr>
        <w:t xml:space="preserve"> كوفي</w:t>
      </w:r>
      <w:r w:rsidRPr="006571AC">
        <w:rPr>
          <w:rFonts w:hint="cs"/>
          <w:sz w:val="27"/>
          <w:rtl/>
          <w:lang w:bidi="ar-IQ"/>
        </w:rPr>
        <w:t xml:space="preserve">، </w:t>
      </w:r>
      <w:r w:rsidRPr="006571AC">
        <w:rPr>
          <w:sz w:val="27"/>
          <w:rtl/>
          <w:lang w:bidi="ar-IQ"/>
        </w:rPr>
        <w:t>كثير العلم</w:t>
      </w:r>
      <w:r w:rsidRPr="006571AC">
        <w:rPr>
          <w:rFonts w:hint="cs"/>
          <w:sz w:val="27"/>
          <w:rtl/>
          <w:lang w:bidi="ar-IQ"/>
        </w:rPr>
        <w:t xml:space="preserve">، </w:t>
      </w:r>
      <w:r w:rsidRPr="006571AC">
        <w:rPr>
          <w:sz w:val="27"/>
          <w:rtl/>
          <w:lang w:bidi="ar-IQ"/>
        </w:rPr>
        <w:t>واسع الرواية والأخبار</w:t>
      </w:r>
      <w:r w:rsidRPr="006571AC">
        <w:rPr>
          <w:rFonts w:hint="cs"/>
          <w:sz w:val="27"/>
          <w:rtl/>
          <w:lang w:bidi="ar-IQ"/>
        </w:rPr>
        <w:t xml:space="preserve">، </w:t>
      </w:r>
      <w:r w:rsidRPr="006571AC">
        <w:rPr>
          <w:sz w:val="27"/>
          <w:rtl/>
          <w:lang w:bidi="ar-IQ"/>
        </w:rPr>
        <w:t>جي</w:t>
      </w:r>
      <w:r w:rsidR="009D0B19" w:rsidRPr="006571AC">
        <w:rPr>
          <w:rFonts w:hint="cs"/>
          <w:sz w:val="27"/>
          <w:rtl/>
          <w:lang w:bidi="ar-IQ"/>
        </w:rPr>
        <w:t>ّ</w:t>
      </w:r>
      <w:r w:rsidRPr="006571AC">
        <w:rPr>
          <w:sz w:val="27"/>
          <w:rtl/>
          <w:lang w:bidi="ar-IQ"/>
        </w:rPr>
        <w:t>د التصانيف</w:t>
      </w:r>
      <w:r w:rsidRPr="006571AC">
        <w:rPr>
          <w:rFonts w:hint="cs"/>
          <w:sz w:val="27"/>
          <w:rtl/>
          <w:lang w:bidi="ar-IQ"/>
        </w:rPr>
        <w:t xml:space="preserve">، </w:t>
      </w:r>
      <w:r w:rsidRPr="006571AC">
        <w:rPr>
          <w:sz w:val="27"/>
          <w:rtl/>
          <w:lang w:bidi="ar-IQ"/>
        </w:rPr>
        <w:t>غير معاند</w:t>
      </w:r>
      <w:r w:rsidR="009D0B19" w:rsidRPr="006571AC">
        <w:rPr>
          <w:rFonts w:hint="cs"/>
          <w:sz w:val="27"/>
          <w:rtl/>
          <w:lang w:bidi="ar-IQ"/>
        </w:rPr>
        <w:t>ٍ</w:t>
      </w:r>
      <w:r w:rsidRPr="006571AC">
        <w:rPr>
          <w:sz w:val="27"/>
          <w:rtl/>
          <w:lang w:bidi="ar-IQ"/>
        </w:rPr>
        <w:t>، وكان قريب الأمر إلى أصحابنا الإمامية القائلين بالاثني عشر، وكتبه في الفقه مستوفاة</w:t>
      </w:r>
      <w:r w:rsidR="009D0B19" w:rsidRPr="006571AC">
        <w:rPr>
          <w:rFonts w:hint="cs"/>
          <w:sz w:val="27"/>
          <w:rtl/>
          <w:lang w:bidi="ar-IQ"/>
        </w:rPr>
        <w:t>ٌ</w:t>
      </w:r>
      <w:r w:rsidRPr="006571AC">
        <w:rPr>
          <w:sz w:val="27"/>
          <w:rtl/>
          <w:lang w:bidi="ar-IQ"/>
        </w:rPr>
        <w:t xml:space="preserve"> في الأخبار ح</w:t>
      </w:r>
      <w:r w:rsidR="009D0B19" w:rsidRPr="006571AC">
        <w:rPr>
          <w:rFonts w:hint="cs"/>
          <w:sz w:val="27"/>
          <w:rtl/>
          <w:lang w:bidi="ar-IQ"/>
        </w:rPr>
        <w:t>َ</w:t>
      </w:r>
      <w:r w:rsidRPr="006571AC">
        <w:rPr>
          <w:sz w:val="27"/>
          <w:rtl/>
          <w:lang w:bidi="ar-IQ"/>
        </w:rPr>
        <w:t>س</w:t>
      </w:r>
      <w:r w:rsidR="009D0B19" w:rsidRPr="006571AC">
        <w:rPr>
          <w:rFonts w:hint="cs"/>
          <w:sz w:val="27"/>
          <w:rtl/>
          <w:lang w:bidi="ar-IQ"/>
        </w:rPr>
        <w:t>َ</w:t>
      </w:r>
      <w:r w:rsidRPr="006571AC">
        <w:rPr>
          <w:sz w:val="27"/>
          <w:rtl/>
          <w:lang w:bidi="ar-IQ"/>
        </w:rPr>
        <w:t>نة</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70"/>
      </w:r>
      <w:r w:rsidRPr="006571AC">
        <w:rPr>
          <w:sz w:val="27"/>
          <w:vertAlign w:val="superscript"/>
          <w:rtl/>
          <w:lang w:bidi="ar-IQ"/>
        </w:rPr>
        <w:t>)</w:t>
      </w:r>
      <w:r w:rsidRPr="006571AC">
        <w:rPr>
          <w:rFonts w:hint="cs"/>
          <w:sz w:val="27"/>
          <w:rtl/>
          <w:lang w:bidi="ar-IQ"/>
        </w:rPr>
        <w:t>. وسائر رواة الحديث كل</w:t>
      </w:r>
      <w:r w:rsidR="009D0B19" w:rsidRPr="006571AC">
        <w:rPr>
          <w:rFonts w:hint="cs"/>
          <w:sz w:val="27"/>
          <w:rtl/>
          <w:lang w:bidi="ar-IQ"/>
        </w:rPr>
        <w:t>ّ</w:t>
      </w:r>
      <w:r w:rsidRPr="006571AC">
        <w:rPr>
          <w:rFonts w:hint="cs"/>
          <w:sz w:val="27"/>
          <w:rtl/>
          <w:lang w:bidi="ar-IQ"/>
        </w:rPr>
        <w:t>هم ثقات، والرواية</w:t>
      </w:r>
      <w:r w:rsidR="003405F0" w:rsidRPr="006571AC">
        <w:rPr>
          <w:rFonts w:hint="cs"/>
          <w:sz w:val="27"/>
          <w:rtl/>
          <w:lang w:bidi="ar-IQ"/>
        </w:rPr>
        <w:t>؛</w:t>
      </w:r>
      <w:r w:rsidRPr="006571AC">
        <w:rPr>
          <w:rFonts w:hint="cs"/>
          <w:sz w:val="27"/>
          <w:rtl/>
          <w:lang w:bidi="ar-IQ"/>
        </w:rPr>
        <w:t xml:space="preserve"> من جهة وجود علي</w:t>
      </w:r>
      <w:r w:rsidR="009D0B19" w:rsidRPr="006571AC">
        <w:rPr>
          <w:rFonts w:hint="cs"/>
          <w:sz w:val="27"/>
          <w:rtl/>
          <w:lang w:bidi="ar-IQ"/>
        </w:rPr>
        <w:t>ّ</w:t>
      </w:r>
      <w:r w:rsidRPr="006571AC">
        <w:rPr>
          <w:rFonts w:hint="cs"/>
          <w:sz w:val="27"/>
          <w:rtl/>
          <w:lang w:bidi="ar-IQ"/>
        </w:rPr>
        <w:t xml:space="preserve"> بن الحسن بن فض</w:t>
      </w:r>
      <w:r w:rsidR="009D0B19" w:rsidRPr="006571AC">
        <w:rPr>
          <w:rFonts w:hint="cs"/>
          <w:sz w:val="27"/>
          <w:rtl/>
          <w:lang w:bidi="ar-IQ"/>
        </w:rPr>
        <w:t>ّ</w:t>
      </w:r>
      <w:r w:rsidRPr="006571AC">
        <w:rPr>
          <w:rFonts w:hint="cs"/>
          <w:sz w:val="27"/>
          <w:rtl/>
          <w:lang w:bidi="ar-IQ"/>
        </w:rPr>
        <w:t>ال</w:t>
      </w:r>
      <w:r w:rsidR="003405F0" w:rsidRPr="006571AC">
        <w:rPr>
          <w:rFonts w:hint="cs"/>
          <w:sz w:val="27"/>
          <w:rtl/>
          <w:lang w:bidi="ar-IQ"/>
        </w:rPr>
        <w:t>،</w:t>
      </w:r>
      <w:r w:rsidRPr="006571AC">
        <w:rPr>
          <w:rFonts w:hint="cs"/>
          <w:sz w:val="27"/>
          <w:rtl/>
          <w:lang w:bidi="ar-IQ"/>
        </w:rPr>
        <w:t xml:space="preserve"> تعتبر موثّ</w:t>
      </w:r>
      <w:r w:rsidR="009D0B19" w:rsidRPr="006571AC">
        <w:rPr>
          <w:rFonts w:hint="cs"/>
          <w:sz w:val="27"/>
          <w:rtl/>
          <w:lang w:bidi="ar-IQ"/>
        </w:rPr>
        <w:t>َ</w:t>
      </w:r>
      <w:r w:rsidRPr="006571AC">
        <w:rPr>
          <w:rFonts w:hint="cs"/>
          <w:sz w:val="27"/>
          <w:rtl/>
          <w:lang w:bidi="ar-IQ"/>
        </w:rPr>
        <w:t>قة</w:t>
      </w:r>
      <w:r w:rsidR="004823CE" w:rsidRPr="006571AC">
        <w:rPr>
          <w:rFonts w:hint="cs"/>
          <w:sz w:val="27"/>
          <w:rtl/>
          <w:lang w:bidi="ar-IQ"/>
        </w:rPr>
        <w:t>ً</w:t>
      </w:r>
      <w:r w:rsidRPr="006571AC">
        <w:rPr>
          <w:rFonts w:hint="cs"/>
          <w:sz w:val="27"/>
          <w:rtl/>
          <w:lang w:bidi="ar-IQ"/>
        </w:rPr>
        <w:t xml:space="preserve">. </w:t>
      </w:r>
    </w:p>
    <w:p w:rsidR="00381A52" w:rsidRPr="006571AC" w:rsidRDefault="00381A52" w:rsidP="004B16C6">
      <w:pPr>
        <w:spacing w:line="440" w:lineRule="exact"/>
        <w:rPr>
          <w:sz w:val="27"/>
          <w:rtl/>
          <w:lang w:bidi="ar-IQ"/>
        </w:rPr>
      </w:pPr>
    </w:p>
    <w:p w:rsidR="00381A52" w:rsidRPr="006571AC" w:rsidRDefault="00FC7A16" w:rsidP="00714072">
      <w:pPr>
        <w:pStyle w:val="31"/>
        <w:rPr>
          <w:color w:val="auto"/>
          <w:rtl/>
          <w:lang w:bidi="ar-IQ"/>
        </w:rPr>
      </w:pPr>
      <w:bookmarkStart w:id="127" w:name="_Toc114164616"/>
      <w:r w:rsidRPr="006571AC">
        <w:rPr>
          <w:rFonts w:hint="cs"/>
          <w:color w:val="auto"/>
          <w:rtl/>
          <w:lang w:bidi="ar-IQ"/>
        </w:rPr>
        <w:t>2ـ</w:t>
      </w:r>
      <w:r w:rsidR="00381A52" w:rsidRPr="006571AC">
        <w:rPr>
          <w:rFonts w:hint="cs"/>
          <w:color w:val="auto"/>
          <w:rtl/>
          <w:lang w:bidi="ar-IQ"/>
        </w:rPr>
        <w:t xml:space="preserve"> تقريب الاستدلال</w:t>
      </w:r>
      <w:bookmarkEnd w:id="127"/>
    </w:p>
    <w:p w:rsidR="00381A52" w:rsidRPr="006571AC" w:rsidRDefault="00381A52" w:rsidP="004B60B2">
      <w:pPr>
        <w:spacing w:line="420" w:lineRule="exact"/>
        <w:rPr>
          <w:sz w:val="27"/>
          <w:rtl/>
          <w:lang w:bidi="ar-IQ"/>
        </w:rPr>
      </w:pPr>
      <w:r w:rsidRPr="006571AC">
        <w:rPr>
          <w:rFonts w:hint="cs"/>
          <w:sz w:val="27"/>
          <w:rtl/>
          <w:lang w:bidi="ar-IQ"/>
        </w:rPr>
        <w:t>إن الشرط لغة</w:t>
      </w:r>
      <w:r w:rsidR="009D0B19" w:rsidRPr="006571AC">
        <w:rPr>
          <w:rFonts w:hint="cs"/>
          <w:sz w:val="27"/>
          <w:rtl/>
          <w:lang w:bidi="ar-IQ"/>
        </w:rPr>
        <w:t>ً</w:t>
      </w:r>
      <w:r w:rsidRPr="006571AC">
        <w:rPr>
          <w:rFonts w:hint="cs"/>
          <w:sz w:val="27"/>
          <w:rtl/>
          <w:lang w:bidi="ar-IQ"/>
        </w:rPr>
        <w:t xml:space="preserve"> يعني مطلق الالتزام</w:t>
      </w:r>
      <w:r w:rsidRPr="006571AC">
        <w:rPr>
          <w:sz w:val="27"/>
          <w:vertAlign w:val="superscript"/>
          <w:rtl/>
          <w:lang w:bidi="ar-IQ"/>
        </w:rPr>
        <w:t>(</w:t>
      </w:r>
      <w:r w:rsidRPr="006571AC">
        <w:rPr>
          <w:rStyle w:val="ac"/>
          <w:sz w:val="27"/>
          <w:rtl/>
          <w:lang w:bidi="ar-IQ"/>
        </w:rPr>
        <w:endnoteReference w:id="271"/>
      </w:r>
      <w:r w:rsidRPr="006571AC">
        <w:rPr>
          <w:sz w:val="27"/>
          <w:vertAlign w:val="superscript"/>
          <w:rtl/>
          <w:lang w:bidi="ar-IQ"/>
        </w:rPr>
        <w:t>)</w:t>
      </w:r>
      <w:r w:rsidRPr="006571AC">
        <w:rPr>
          <w:rFonts w:hint="cs"/>
          <w:sz w:val="27"/>
          <w:rtl/>
          <w:lang w:bidi="ar-IQ"/>
        </w:rPr>
        <w:t>، ولذلك فإن التعه</w:t>
      </w:r>
      <w:r w:rsidR="009D0B19" w:rsidRPr="006571AC">
        <w:rPr>
          <w:rFonts w:hint="cs"/>
          <w:sz w:val="27"/>
          <w:rtl/>
          <w:lang w:bidi="ar-IQ"/>
        </w:rPr>
        <w:t>ُّ</w:t>
      </w:r>
      <w:r w:rsidRPr="006571AC">
        <w:rPr>
          <w:rFonts w:hint="cs"/>
          <w:sz w:val="27"/>
          <w:rtl/>
          <w:lang w:bidi="ar-IQ"/>
        </w:rPr>
        <w:t>دات الابتدائية ـ ومن بينها</w:t>
      </w:r>
      <w:r w:rsidR="009D0B19" w:rsidRPr="006571AC">
        <w:rPr>
          <w:rFonts w:hint="cs"/>
          <w:sz w:val="27"/>
          <w:rtl/>
          <w:lang w:bidi="ar-IQ"/>
        </w:rPr>
        <w:t>:</w:t>
      </w:r>
      <w:r w:rsidRPr="006571AC">
        <w:rPr>
          <w:rFonts w:hint="cs"/>
          <w:sz w:val="27"/>
          <w:rtl/>
          <w:lang w:bidi="ar-IQ"/>
        </w:rPr>
        <w:t xml:space="preserve"> الصلح الابتدائي ـ من مصاديق الشرط، فليس هناك ضرورة</w:t>
      </w:r>
      <w:r w:rsidR="009D0B19" w:rsidRPr="006571AC">
        <w:rPr>
          <w:rFonts w:hint="cs"/>
          <w:sz w:val="27"/>
          <w:rtl/>
          <w:lang w:bidi="ar-IQ"/>
        </w:rPr>
        <w:t>ٌ</w:t>
      </w:r>
      <w:r w:rsidRPr="006571AC">
        <w:rPr>
          <w:rFonts w:hint="cs"/>
          <w:sz w:val="27"/>
          <w:rtl/>
          <w:lang w:bidi="ar-IQ"/>
        </w:rPr>
        <w:t xml:space="preserve"> إلى القول بأن الشرط يعني الالتزام ضمن العقد، ولذلك فإنه في حالة انعقاد الصلح الابتدائي يجب الالتزام به</w:t>
      </w:r>
      <w:r w:rsidR="009D0B19" w:rsidRPr="006571AC">
        <w:rPr>
          <w:rFonts w:hint="cs"/>
          <w:sz w:val="27"/>
          <w:rtl/>
          <w:lang w:bidi="ar-IQ"/>
        </w:rPr>
        <w:t>،</w:t>
      </w:r>
      <w:r w:rsidRPr="006571AC">
        <w:rPr>
          <w:rFonts w:hint="cs"/>
          <w:sz w:val="27"/>
          <w:rtl/>
          <w:lang w:bidi="ar-IQ"/>
        </w:rPr>
        <w:t xml:space="preserve"> طبقاً لما تقتضيه الرواية. </w:t>
      </w:r>
    </w:p>
    <w:p w:rsidR="00381A52" w:rsidRPr="006571AC" w:rsidRDefault="00381A52" w:rsidP="004B60B2">
      <w:pPr>
        <w:spacing w:line="420" w:lineRule="exact"/>
        <w:rPr>
          <w:sz w:val="27"/>
          <w:rtl/>
          <w:lang w:bidi="ar-IQ"/>
        </w:rPr>
      </w:pPr>
      <w:r w:rsidRPr="006571AC">
        <w:rPr>
          <w:rFonts w:hint="cs"/>
          <w:sz w:val="27"/>
          <w:rtl/>
          <w:lang w:bidi="ar-IQ"/>
        </w:rPr>
        <w:t xml:space="preserve">وعلى الرغم من وجود اختلافات ـ من وجهة نظر الفقهاء ـ </w:t>
      </w:r>
      <w:r w:rsidRPr="006571AC">
        <w:rPr>
          <w:sz w:val="27"/>
          <w:rtl/>
          <w:lang w:bidi="ar-IQ"/>
        </w:rPr>
        <w:t>فيما إذا كان الشرط حق</w:t>
      </w:r>
      <w:r w:rsidR="009D0B19" w:rsidRPr="006571AC">
        <w:rPr>
          <w:rFonts w:hint="cs"/>
          <w:sz w:val="27"/>
          <w:rtl/>
          <w:lang w:bidi="ar-IQ"/>
        </w:rPr>
        <w:t>ّ</w:t>
      </w:r>
      <w:r w:rsidRPr="006571AC">
        <w:rPr>
          <w:sz w:val="27"/>
          <w:rtl/>
          <w:lang w:bidi="ar-IQ"/>
        </w:rPr>
        <w:t xml:space="preserve">اً </w:t>
      </w:r>
      <w:r w:rsidRPr="006571AC">
        <w:rPr>
          <w:rFonts w:hint="cs"/>
          <w:sz w:val="27"/>
          <w:rtl/>
          <w:lang w:bidi="ar-IQ"/>
        </w:rPr>
        <w:t>شاملاً للالتزامات الابتدائية أم لا؟ ولكن</w:t>
      </w:r>
      <w:r w:rsidR="009D0B19" w:rsidRPr="006571AC">
        <w:rPr>
          <w:rFonts w:hint="cs"/>
          <w:sz w:val="27"/>
          <w:rtl/>
          <w:lang w:bidi="ar-IQ"/>
        </w:rPr>
        <w:t>ْ</w:t>
      </w:r>
      <w:r w:rsidRPr="006571AC">
        <w:rPr>
          <w:rFonts w:hint="cs"/>
          <w:sz w:val="27"/>
          <w:rtl/>
          <w:lang w:bidi="ar-IQ"/>
        </w:rPr>
        <w:t xml:space="preserve"> لا يبعد هذا الاد</w:t>
      </w:r>
      <w:r w:rsidR="009D0B19" w:rsidRPr="006571AC">
        <w:rPr>
          <w:rFonts w:hint="cs"/>
          <w:sz w:val="27"/>
          <w:rtl/>
          <w:lang w:bidi="ar-IQ"/>
        </w:rPr>
        <w:t>ّ</w:t>
      </w:r>
      <w:r w:rsidRPr="006571AC">
        <w:rPr>
          <w:rFonts w:hint="cs"/>
          <w:sz w:val="27"/>
          <w:rtl/>
          <w:lang w:bidi="ar-IQ"/>
        </w:rPr>
        <w:t>عاء من خلال القرائن اللغوية والشواهد الروائية</w:t>
      </w:r>
      <w:r w:rsidR="009D0B19" w:rsidRPr="006571AC">
        <w:rPr>
          <w:rFonts w:hint="cs"/>
          <w:sz w:val="27"/>
          <w:rtl/>
          <w:lang w:bidi="ar-IQ"/>
        </w:rPr>
        <w:t>؛</w:t>
      </w:r>
      <w:r w:rsidRPr="006571AC">
        <w:rPr>
          <w:rFonts w:hint="cs"/>
          <w:sz w:val="27"/>
          <w:rtl/>
          <w:lang w:bidi="ar-IQ"/>
        </w:rPr>
        <w:t xml:space="preserve"> ومن هنا فقد ذهب الشيخ الأنصاري في بحث المعاطاة ـ وما إذا كانت لازمة</w:t>
      </w:r>
      <w:r w:rsidR="009D0B19" w:rsidRPr="006571AC">
        <w:rPr>
          <w:rFonts w:hint="cs"/>
          <w:sz w:val="27"/>
          <w:rtl/>
          <w:lang w:bidi="ar-IQ"/>
        </w:rPr>
        <w:t>َ</w:t>
      </w:r>
      <w:r w:rsidRPr="006571AC">
        <w:rPr>
          <w:rFonts w:hint="cs"/>
          <w:sz w:val="27"/>
          <w:rtl/>
          <w:lang w:bidi="ar-IQ"/>
        </w:rPr>
        <w:t xml:space="preserve"> الوفاء أم لا؟ ـ إلى اعتبار المعاطاة لازمة</w:t>
      </w:r>
      <w:r w:rsidR="009D0B19" w:rsidRPr="006571AC">
        <w:rPr>
          <w:rFonts w:hint="cs"/>
          <w:sz w:val="27"/>
          <w:rtl/>
          <w:lang w:bidi="ar-IQ"/>
        </w:rPr>
        <w:t>َ</w:t>
      </w:r>
      <w:r w:rsidRPr="006571AC">
        <w:rPr>
          <w:rFonts w:hint="cs"/>
          <w:sz w:val="27"/>
          <w:rtl/>
          <w:lang w:bidi="ar-IQ"/>
        </w:rPr>
        <w:t xml:space="preserve"> الوفاء</w:t>
      </w:r>
      <w:r w:rsidRPr="006571AC">
        <w:rPr>
          <w:sz w:val="27"/>
          <w:vertAlign w:val="superscript"/>
          <w:rtl/>
          <w:lang w:bidi="ar-IQ"/>
        </w:rPr>
        <w:t>(</w:t>
      </w:r>
      <w:r w:rsidRPr="006571AC">
        <w:rPr>
          <w:rStyle w:val="ac"/>
          <w:sz w:val="27"/>
          <w:rtl/>
          <w:lang w:bidi="ar-IQ"/>
        </w:rPr>
        <w:endnoteReference w:id="272"/>
      </w:r>
      <w:r w:rsidRPr="006571AC">
        <w:rPr>
          <w:sz w:val="27"/>
          <w:vertAlign w:val="superscript"/>
          <w:rtl/>
          <w:lang w:bidi="ar-IQ"/>
        </w:rPr>
        <w:t>)</w:t>
      </w:r>
      <w:r w:rsidRPr="006571AC">
        <w:rPr>
          <w:rFonts w:hint="cs"/>
          <w:sz w:val="27"/>
          <w:rtl/>
          <w:lang w:bidi="ar-IQ"/>
        </w:rPr>
        <w:t>. إن أهم</w:t>
      </w:r>
      <w:r w:rsidR="009D0B19" w:rsidRPr="006571AC">
        <w:rPr>
          <w:rFonts w:hint="cs"/>
          <w:sz w:val="27"/>
          <w:rtl/>
          <w:lang w:bidi="ar-IQ"/>
        </w:rPr>
        <w:t>ّ</w:t>
      </w:r>
      <w:r w:rsidRPr="006571AC">
        <w:rPr>
          <w:rFonts w:hint="cs"/>
          <w:sz w:val="27"/>
          <w:rtl/>
          <w:lang w:bidi="ar-IQ"/>
        </w:rPr>
        <w:t xml:space="preserve"> دليل</w:t>
      </w:r>
      <w:r w:rsidR="009D0B19" w:rsidRPr="006571AC">
        <w:rPr>
          <w:rFonts w:hint="cs"/>
          <w:sz w:val="27"/>
          <w:rtl/>
          <w:lang w:bidi="ar-IQ"/>
        </w:rPr>
        <w:t>ٍ</w:t>
      </w:r>
      <w:r w:rsidRPr="006571AC">
        <w:rPr>
          <w:rFonts w:hint="cs"/>
          <w:sz w:val="27"/>
          <w:rtl/>
          <w:lang w:bidi="ar-IQ"/>
        </w:rPr>
        <w:t xml:space="preserve"> يتمسّك به هؤلاء هو الاستعمالات الكثيرة الواردة في النصوص الدينية للتعهّ</w:t>
      </w:r>
      <w:r w:rsidR="009D0B19" w:rsidRPr="006571AC">
        <w:rPr>
          <w:rFonts w:hint="cs"/>
          <w:sz w:val="27"/>
          <w:rtl/>
          <w:lang w:bidi="ar-IQ"/>
        </w:rPr>
        <w:t>ُ</w:t>
      </w:r>
      <w:r w:rsidRPr="006571AC">
        <w:rPr>
          <w:rFonts w:hint="cs"/>
          <w:sz w:val="27"/>
          <w:rtl/>
          <w:lang w:bidi="ar-IQ"/>
        </w:rPr>
        <w:t>دات التي لا تقع ضمن العقود؛ حيث لا يمكن ح</w:t>
      </w:r>
      <w:r w:rsidR="004823CE" w:rsidRPr="006571AC">
        <w:rPr>
          <w:rFonts w:hint="cs"/>
          <w:sz w:val="27"/>
          <w:rtl/>
          <w:lang w:bidi="ar-IQ"/>
        </w:rPr>
        <w:t>َ</w:t>
      </w:r>
      <w:r w:rsidRPr="006571AC">
        <w:rPr>
          <w:rFonts w:hint="cs"/>
          <w:sz w:val="27"/>
          <w:rtl/>
          <w:lang w:bidi="ar-IQ"/>
        </w:rPr>
        <w:t>م</w:t>
      </w:r>
      <w:r w:rsidR="004823CE" w:rsidRPr="006571AC">
        <w:rPr>
          <w:rFonts w:hint="cs"/>
          <w:sz w:val="27"/>
          <w:rtl/>
          <w:lang w:bidi="ar-IQ"/>
        </w:rPr>
        <w:t>ْ</w:t>
      </w:r>
      <w:r w:rsidRPr="006571AC">
        <w:rPr>
          <w:rFonts w:hint="cs"/>
          <w:sz w:val="27"/>
          <w:rtl/>
          <w:lang w:bidi="ar-IQ"/>
        </w:rPr>
        <w:t>ل</w:t>
      </w:r>
      <w:r w:rsidR="009D0B19" w:rsidRPr="006571AC">
        <w:rPr>
          <w:rFonts w:hint="cs"/>
          <w:sz w:val="27"/>
          <w:rtl/>
          <w:lang w:bidi="ar-IQ"/>
        </w:rPr>
        <w:t>ُ</w:t>
      </w:r>
      <w:r w:rsidRPr="006571AC">
        <w:rPr>
          <w:rFonts w:hint="cs"/>
          <w:sz w:val="27"/>
          <w:rtl/>
          <w:lang w:bidi="ar-IQ"/>
        </w:rPr>
        <w:t>ها بأجمعها على الاستعمالات الم</w:t>
      </w:r>
      <w:r w:rsidR="009D0B19" w:rsidRPr="006571AC">
        <w:rPr>
          <w:rFonts w:hint="cs"/>
          <w:sz w:val="27"/>
          <w:rtl/>
          <w:lang w:bidi="ar-IQ"/>
        </w:rPr>
        <w:t>َ</w:t>
      </w:r>
      <w:r w:rsidRPr="006571AC">
        <w:rPr>
          <w:rFonts w:hint="cs"/>
          <w:sz w:val="27"/>
          <w:rtl/>
          <w:lang w:bidi="ar-IQ"/>
        </w:rPr>
        <w:t>ج</w:t>
      </w:r>
      <w:r w:rsidR="009D0B19" w:rsidRPr="006571AC">
        <w:rPr>
          <w:rFonts w:hint="cs"/>
          <w:sz w:val="27"/>
          <w:rtl/>
          <w:lang w:bidi="ar-IQ"/>
        </w:rPr>
        <w:t>َ</w:t>
      </w:r>
      <w:r w:rsidRPr="006571AC">
        <w:rPr>
          <w:rFonts w:hint="cs"/>
          <w:sz w:val="27"/>
          <w:rtl/>
          <w:lang w:bidi="ar-IQ"/>
        </w:rPr>
        <w:t>ازية، ومن هنا فإنه يذهب إلى تخطئة أولئك اللغويين الذين قالوا في تعريف الشرط بأنه إلزام</w:t>
      </w:r>
      <w:r w:rsidR="00FE2470" w:rsidRPr="006571AC">
        <w:rPr>
          <w:rFonts w:hint="cs"/>
          <w:sz w:val="27"/>
          <w:rtl/>
          <w:lang w:bidi="ar-IQ"/>
        </w:rPr>
        <w:t>ٌ</w:t>
      </w:r>
      <w:r w:rsidRPr="006571AC">
        <w:rPr>
          <w:rFonts w:hint="cs"/>
          <w:sz w:val="27"/>
          <w:rtl/>
          <w:lang w:bidi="ar-IQ"/>
        </w:rPr>
        <w:t xml:space="preserve"> والتزام</w:t>
      </w:r>
      <w:r w:rsidR="00FE2470" w:rsidRPr="006571AC">
        <w:rPr>
          <w:rFonts w:hint="cs"/>
          <w:sz w:val="27"/>
          <w:rtl/>
          <w:lang w:bidi="ar-IQ"/>
        </w:rPr>
        <w:t>ٌ</w:t>
      </w:r>
      <w:r w:rsidRPr="006571AC">
        <w:rPr>
          <w:rFonts w:hint="cs"/>
          <w:sz w:val="27"/>
          <w:rtl/>
          <w:lang w:bidi="ar-IQ"/>
        </w:rPr>
        <w:t xml:space="preserve"> في ضمن العقد، ويذهب إلى الاد</w:t>
      </w:r>
      <w:r w:rsidR="00FE2470" w:rsidRPr="006571AC">
        <w:rPr>
          <w:rFonts w:hint="cs"/>
          <w:sz w:val="27"/>
          <w:rtl/>
          <w:lang w:bidi="ar-IQ"/>
        </w:rPr>
        <w:t>ّ</w:t>
      </w:r>
      <w:r w:rsidRPr="006571AC">
        <w:rPr>
          <w:rFonts w:hint="cs"/>
          <w:sz w:val="27"/>
          <w:rtl/>
          <w:lang w:bidi="ar-IQ"/>
        </w:rPr>
        <w:t>عاء بأنها تعني مطلق الالتزام حت</w:t>
      </w:r>
      <w:r w:rsidR="00FE2470" w:rsidRPr="006571AC">
        <w:rPr>
          <w:rFonts w:hint="cs"/>
          <w:sz w:val="27"/>
          <w:rtl/>
          <w:lang w:bidi="ar-IQ"/>
        </w:rPr>
        <w:t>ّ</w:t>
      </w:r>
      <w:r w:rsidRPr="006571AC">
        <w:rPr>
          <w:rFonts w:hint="cs"/>
          <w:sz w:val="27"/>
          <w:rtl/>
          <w:lang w:bidi="ar-IQ"/>
        </w:rPr>
        <w:t>ى بلحاظ اللغة أيضاً</w:t>
      </w:r>
      <w:r w:rsidRPr="006571AC">
        <w:rPr>
          <w:sz w:val="27"/>
          <w:vertAlign w:val="superscript"/>
          <w:rtl/>
          <w:lang w:bidi="ar-IQ"/>
        </w:rPr>
        <w:t>(</w:t>
      </w:r>
      <w:r w:rsidRPr="006571AC">
        <w:rPr>
          <w:rStyle w:val="ac"/>
          <w:sz w:val="27"/>
          <w:rtl/>
          <w:lang w:bidi="ar-IQ"/>
        </w:rPr>
        <w:endnoteReference w:id="273"/>
      </w:r>
      <w:r w:rsidRPr="006571AC">
        <w:rPr>
          <w:sz w:val="27"/>
          <w:vertAlign w:val="superscript"/>
          <w:rtl/>
          <w:lang w:bidi="ar-IQ"/>
        </w:rPr>
        <w:t>)</w:t>
      </w:r>
      <w:r w:rsidRPr="006571AC">
        <w:rPr>
          <w:rFonts w:hint="cs"/>
          <w:sz w:val="27"/>
          <w:rtl/>
          <w:lang w:bidi="ar-IQ"/>
        </w:rPr>
        <w:t xml:space="preserve">. وعليه يبدو أن هذا الدليل </w:t>
      </w:r>
      <w:r w:rsidR="00FE2470" w:rsidRPr="006571AC">
        <w:rPr>
          <w:rFonts w:hint="cs"/>
          <w:sz w:val="27"/>
          <w:rtl/>
          <w:lang w:bidi="ar-IQ"/>
        </w:rPr>
        <w:t>ل</w:t>
      </w:r>
      <w:r w:rsidRPr="006571AC">
        <w:rPr>
          <w:rFonts w:hint="cs"/>
          <w:sz w:val="27"/>
          <w:rtl/>
          <w:lang w:bidi="ar-IQ"/>
        </w:rPr>
        <w:t xml:space="preserve">إثبات مشروعية الصلح الابتدائي </w:t>
      </w:r>
      <w:r w:rsidR="00FE2470" w:rsidRPr="006571AC">
        <w:rPr>
          <w:rFonts w:hint="cs"/>
          <w:sz w:val="27"/>
          <w:rtl/>
          <w:lang w:bidi="ar-IQ"/>
        </w:rPr>
        <w:t>تامّ</w:t>
      </w:r>
      <w:r w:rsidR="004823CE" w:rsidRPr="006571AC">
        <w:rPr>
          <w:rFonts w:hint="cs"/>
          <w:sz w:val="27"/>
          <w:rtl/>
          <w:lang w:bidi="ar-IQ"/>
        </w:rPr>
        <w:t>ٌ</w:t>
      </w:r>
      <w:r w:rsidR="00FE2470" w:rsidRPr="006571AC">
        <w:rPr>
          <w:rFonts w:hint="cs"/>
          <w:sz w:val="27"/>
          <w:rtl/>
          <w:lang w:bidi="ar-IQ"/>
        </w:rPr>
        <w:t xml:space="preserve"> </w:t>
      </w:r>
      <w:r w:rsidRPr="006571AC">
        <w:rPr>
          <w:rFonts w:hint="cs"/>
          <w:sz w:val="27"/>
          <w:rtl/>
          <w:lang w:bidi="ar-IQ"/>
        </w:rPr>
        <w:t>ب</w:t>
      </w:r>
      <w:r w:rsidR="00EA38F1" w:rsidRPr="006571AC">
        <w:rPr>
          <w:rFonts w:hint="cs"/>
          <w:sz w:val="27"/>
          <w:rtl/>
          <w:lang w:bidi="ar-IQ"/>
        </w:rPr>
        <w:t>دَوْر</w:t>
      </w:r>
      <w:r w:rsidRPr="006571AC">
        <w:rPr>
          <w:rFonts w:hint="cs"/>
          <w:sz w:val="27"/>
          <w:rtl/>
          <w:lang w:bidi="ar-IQ"/>
        </w:rPr>
        <w:t xml:space="preserve">ه أيضاً. </w:t>
      </w:r>
    </w:p>
    <w:p w:rsidR="00381A52" w:rsidRPr="006571AC" w:rsidRDefault="00FC7A16" w:rsidP="00714072">
      <w:pPr>
        <w:pStyle w:val="31"/>
        <w:rPr>
          <w:color w:val="auto"/>
          <w:rtl/>
          <w:lang w:bidi="ar-IQ"/>
        </w:rPr>
      </w:pPr>
      <w:bookmarkStart w:id="128" w:name="_Toc114164617"/>
      <w:r w:rsidRPr="006571AC">
        <w:rPr>
          <w:rFonts w:hint="cs"/>
          <w:color w:val="auto"/>
          <w:rtl/>
          <w:lang w:bidi="ar-IQ"/>
        </w:rPr>
        <w:lastRenderedPageBreak/>
        <w:t>4ـ</w:t>
      </w:r>
      <w:r w:rsidR="00381A52" w:rsidRPr="006571AC">
        <w:rPr>
          <w:rFonts w:hint="cs"/>
          <w:color w:val="auto"/>
          <w:rtl/>
          <w:lang w:bidi="ar-IQ"/>
        </w:rPr>
        <w:t xml:space="preserve"> </w:t>
      </w:r>
      <w:r w:rsidR="000A6547" w:rsidRPr="006571AC">
        <w:rPr>
          <w:rFonts w:hint="cs"/>
          <w:color w:val="auto"/>
          <w:rtl/>
          <w:lang w:bidi="ar-IQ"/>
        </w:rPr>
        <w:t xml:space="preserve">إطلاقات </w:t>
      </w:r>
      <w:r w:rsidR="00381A52" w:rsidRPr="006571AC">
        <w:rPr>
          <w:rFonts w:hint="cs"/>
          <w:color w:val="auto"/>
          <w:rtl/>
          <w:lang w:bidi="ar-IQ"/>
        </w:rPr>
        <w:t xml:space="preserve">أدلّة صحّة </w:t>
      </w:r>
      <w:r w:rsidR="000A6547" w:rsidRPr="006571AC">
        <w:rPr>
          <w:rFonts w:hint="cs"/>
          <w:color w:val="auto"/>
          <w:rtl/>
          <w:lang w:bidi="ar-IQ"/>
        </w:rPr>
        <w:t xml:space="preserve">عقد </w:t>
      </w:r>
      <w:r w:rsidR="00381A52" w:rsidRPr="006571AC">
        <w:rPr>
          <w:rFonts w:hint="cs"/>
          <w:color w:val="auto"/>
          <w:rtl/>
          <w:lang w:bidi="ar-IQ"/>
        </w:rPr>
        <w:t>الصلح</w:t>
      </w:r>
      <w:bookmarkEnd w:id="128"/>
    </w:p>
    <w:p w:rsidR="00381A52" w:rsidRPr="006571AC" w:rsidRDefault="00381A52" w:rsidP="00552C10">
      <w:pPr>
        <w:rPr>
          <w:sz w:val="27"/>
          <w:rtl/>
          <w:lang w:bidi="ar-IQ"/>
        </w:rPr>
      </w:pPr>
      <w:r w:rsidRPr="006571AC">
        <w:rPr>
          <w:rFonts w:hint="cs"/>
          <w:sz w:val="27"/>
          <w:rtl/>
          <w:lang w:bidi="ar-IQ"/>
        </w:rPr>
        <w:t>إن من بين أهم</w:t>
      </w:r>
      <w:r w:rsidR="00FE2470" w:rsidRPr="006571AC">
        <w:rPr>
          <w:rFonts w:hint="cs"/>
          <w:sz w:val="27"/>
          <w:rtl/>
          <w:lang w:bidi="ar-IQ"/>
        </w:rPr>
        <w:t>ّ</w:t>
      </w:r>
      <w:r w:rsidRPr="006571AC">
        <w:rPr>
          <w:rFonts w:hint="cs"/>
          <w:sz w:val="27"/>
          <w:rtl/>
          <w:lang w:bidi="ar-IQ"/>
        </w:rPr>
        <w:t xml:space="preserve"> الأدل</w:t>
      </w:r>
      <w:r w:rsidR="00FE2470" w:rsidRPr="006571AC">
        <w:rPr>
          <w:rFonts w:hint="cs"/>
          <w:sz w:val="27"/>
          <w:rtl/>
          <w:lang w:bidi="ar-IQ"/>
        </w:rPr>
        <w:t>ّ</w:t>
      </w:r>
      <w:r w:rsidRPr="006571AC">
        <w:rPr>
          <w:rFonts w:hint="cs"/>
          <w:sz w:val="27"/>
          <w:rtl/>
          <w:lang w:bidi="ar-IQ"/>
        </w:rPr>
        <w:t>ة التي أ</w:t>
      </w:r>
      <w:r w:rsidR="00FE2470" w:rsidRPr="006571AC">
        <w:rPr>
          <w:rFonts w:hint="cs"/>
          <w:sz w:val="27"/>
          <w:rtl/>
          <w:lang w:bidi="ar-IQ"/>
        </w:rPr>
        <w:t>ُ</w:t>
      </w:r>
      <w:r w:rsidRPr="006571AC">
        <w:rPr>
          <w:rFonts w:hint="cs"/>
          <w:sz w:val="27"/>
          <w:rtl/>
          <w:lang w:bidi="ar-IQ"/>
        </w:rPr>
        <w:t>قيمت على صحّة الصلح الابتدائي الروايات التي يكون الإطلاق وعموم عقد الصلح فيها شاملاً للصلح الابتدائي أيضاً. وقد استند الشهيد الثاني</w:t>
      </w:r>
      <w:r w:rsidRPr="006571AC">
        <w:rPr>
          <w:sz w:val="27"/>
          <w:vertAlign w:val="superscript"/>
          <w:rtl/>
          <w:lang w:bidi="ar-IQ"/>
        </w:rPr>
        <w:t>(</w:t>
      </w:r>
      <w:r w:rsidRPr="006571AC">
        <w:rPr>
          <w:rStyle w:val="ac"/>
          <w:sz w:val="27"/>
          <w:rtl/>
          <w:lang w:bidi="ar-IQ"/>
        </w:rPr>
        <w:endnoteReference w:id="274"/>
      </w:r>
      <w:r w:rsidRPr="006571AC">
        <w:rPr>
          <w:sz w:val="27"/>
          <w:vertAlign w:val="superscript"/>
          <w:rtl/>
          <w:lang w:bidi="ar-IQ"/>
        </w:rPr>
        <w:t>)</w:t>
      </w:r>
      <w:r w:rsidRPr="006571AC">
        <w:rPr>
          <w:rFonts w:hint="cs"/>
          <w:sz w:val="27"/>
          <w:rtl/>
          <w:lang w:bidi="ar-IQ"/>
        </w:rPr>
        <w:t xml:space="preserve"> والمقدّ</w:t>
      </w:r>
      <w:r w:rsidR="00FE2470" w:rsidRPr="006571AC">
        <w:rPr>
          <w:rFonts w:hint="cs"/>
          <w:sz w:val="27"/>
          <w:rtl/>
          <w:lang w:bidi="ar-IQ"/>
        </w:rPr>
        <w:t>َ</w:t>
      </w:r>
      <w:r w:rsidRPr="006571AC">
        <w:rPr>
          <w:rFonts w:hint="cs"/>
          <w:sz w:val="27"/>
          <w:rtl/>
          <w:lang w:bidi="ar-IQ"/>
        </w:rPr>
        <w:t>س الأردبيلي</w:t>
      </w:r>
      <w:r w:rsidRPr="006571AC">
        <w:rPr>
          <w:sz w:val="27"/>
          <w:vertAlign w:val="superscript"/>
          <w:rtl/>
          <w:lang w:bidi="ar-IQ"/>
        </w:rPr>
        <w:t>(</w:t>
      </w:r>
      <w:r w:rsidRPr="006571AC">
        <w:rPr>
          <w:rStyle w:val="ac"/>
          <w:sz w:val="27"/>
          <w:rtl/>
          <w:lang w:bidi="ar-IQ"/>
        </w:rPr>
        <w:endnoteReference w:id="275"/>
      </w:r>
      <w:r w:rsidRPr="006571AC">
        <w:rPr>
          <w:sz w:val="27"/>
          <w:vertAlign w:val="superscript"/>
          <w:rtl/>
          <w:lang w:bidi="ar-IQ"/>
        </w:rPr>
        <w:t>)</w:t>
      </w:r>
      <w:r w:rsidRPr="006571AC">
        <w:rPr>
          <w:rFonts w:hint="cs"/>
          <w:sz w:val="27"/>
          <w:rtl/>
          <w:lang w:bidi="ar-IQ"/>
        </w:rPr>
        <w:t xml:space="preserve"> إلى هذا النوع من الروايات، ومن بينها: </w:t>
      </w:r>
    </w:p>
    <w:p w:rsidR="00381A52" w:rsidRPr="006571AC" w:rsidRDefault="00381A52" w:rsidP="00552C10">
      <w:pPr>
        <w:rPr>
          <w:sz w:val="27"/>
          <w:rtl/>
          <w:lang w:bidi="ar-IQ"/>
        </w:rPr>
      </w:pPr>
      <w:r w:rsidRPr="006571AC">
        <w:rPr>
          <w:rFonts w:hint="cs"/>
          <w:sz w:val="27"/>
          <w:rtl/>
          <w:lang w:bidi="ar-IQ"/>
        </w:rPr>
        <w:t>1ـ علي</w:t>
      </w:r>
      <w:r w:rsidR="00FE2470" w:rsidRPr="006571AC">
        <w:rPr>
          <w:rFonts w:hint="cs"/>
          <w:sz w:val="27"/>
          <w:rtl/>
          <w:lang w:bidi="ar-IQ"/>
        </w:rPr>
        <w:t>ّ</w:t>
      </w:r>
      <w:r w:rsidRPr="006571AC">
        <w:rPr>
          <w:rFonts w:hint="cs"/>
          <w:sz w:val="27"/>
          <w:rtl/>
          <w:lang w:bidi="ar-IQ"/>
        </w:rPr>
        <w:t xml:space="preserve"> بن إبراهيم، عن أبيه، عن ابن أبي عمير، عن حفص، عن البختري، عن أبي عبد الله</w:t>
      </w:r>
      <w:r w:rsidR="002A2C90" w:rsidRPr="006571AC">
        <w:rPr>
          <w:rFonts w:ascii="Mosawi" w:hAnsi="Mosawi" w:cs="Mosawi"/>
          <w:sz w:val="22"/>
          <w:szCs w:val="22"/>
          <w:rtl/>
        </w:rPr>
        <w:t>×</w:t>
      </w:r>
      <w:r w:rsidRPr="006571AC">
        <w:rPr>
          <w:rFonts w:hint="cs"/>
          <w:sz w:val="27"/>
          <w:rtl/>
          <w:lang w:bidi="ar-IQ"/>
        </w:rPr>
        <w:t xml:space="preserve"> قال: </w:t>
      </w:r>
      <w:r w:rsidRPr="006571AC">
        <w:rPr>
          <w:rFonts w:hint="eastAsia"/>
          <w:sz w:val="24"/>
          <w:szCs w:val="24"/>
          <w:rtl/>
        </w:rPr>
        <w:t>«</w:t>
      </w:r>
      <w:r w:rsidRPr="006571AC">
        <w:rPr>
          <w:rFonts w:hint="cs"/>
          <w:sz w:val="27"/>
          <w:rtl/>
          <w:lang w:bidi="ar-IQ"/>
        </w:rPr>
        <w:t>الصلح جائز</w:t>
      </w:r>
      <w:r w:rsidR="00FE2470" w:rsidRPr="006571AC">
        <w:rPr>
          <w:rFonts w:hint="cs"/>
          <w:sz w:val="27"/>
          <w:rtl/>
          <w:lang w:bidi="ar-IQ"/>
        </w:rPr>
        <w:t>ٌ</w:t>
      </w:r>
      <w:r w:rsidRPr="006571AC">
        <w:rPr>
          <w:rFonts w:hint="cs"/>
          <w:sz w:val="27"/>
          <w:rtl/>
          <w:lang w:bidi="ar-IQ"/>
        </w:rPr>
        <w:t xml:space="preserve"> بين المسلمين</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76"/>
      </w:r>
      <w:r w:rsidRPr="006571AC">
        <w:rPr>
          <w:sz w:val="27"/>
          <w:vertAlign w:val="superscript"/>
          <w:rtl/>
          <w:lang w:bidi="ar-IQ"/>
        </w:rPr>
        <w:t>)</w:t>
      </w:r>
      <w:r w:rsidRPr="006571AC">
        <w:rPr>
          <w:rFonts w:hint="cs"/>
          <w:sz w:val="27"/>
          <w:rtl/>
          <w:lang w:bidi="ar-IQ"/>
        </w:rPr>
        <w:t>. وهي رواية</w:t>
      </w:r>
      <w:r w:rsidR="00FE2470" w:rsidRPr="006571AC">
        <w:rPr>
          <w:rFonts w:hint="cs"/>
          <w:sz w:val="27"/>
          <w:rtl/>
          <w:lang w:bidi="ar-IQ"/>
        </w:rPr>
        <w:t>ٌ</w:t>
      </w:r>
      <w:r w:rsidRPr="006571AC">
        <w:rPr>
          <w:rFonts w:hint="cs"/>
          <w:sz w:val="27"/>
          <w:rtl/>
          <w:lang w:bidi="ar-IQ"/>
        </w:rPr>
        <w:t xml:space="preserve"> صحيحة السند. </w:t>
      </w:r>
    </w:p>
    <w:p w:rsidR="00381A52" w:rsidRPr="006571AC" w:rsidRDefault="00381A52" w:rsidP="00552C10">
      <w:pPr>
        <w:rPr>
          <w:sz w:val="27"/>
          <w:rtl/>
          <w:lang w:bidi="ar-IQ"/>
        </w:rPr>
      </w:pPr>
      <w:r w:rsidRPr="006571AC">
        <w:rPr>
          <w:rFonts w:hint="cs"/>
          <w:sz w:val="27"/>
          <w:rtl/>
          <w:lang w:bidi="ar-IQ"/>
        </w:rPr>
        <w:t>2ـ مرسلة الشيخ الصدوق، عن النبي</w:t>
      </w:r>
      <w:r w:rsidR="00FE2470" w:rsidRPr="006571AC">
        <w:rPr>
          <w:rFonts w:hint="cs"/>
          <w:sz w:val="27"/>
          <w:rtl/>
          <w:lang w:bidi="ar-IQ"/>
        </w:rPr>
        <w:t>ّ</w:t>
      </w:r>
      <w:r w:rsidRPr="006571AC">
        <w:rPr>
          <w:rFonts w:hint="cs"/>
          <w:sz w:val="27"/>
          <w:rtl/>
          <w:lang w:bidi="ar-IQ"/>
        </w:rPr>
        <w:t xml:space="preserve"> الأكرم</w:t>
      </w:r>
      <w:r w:rsidR="00FE2470" w:rsidRPr="006571AC">
        <w:rPr>
          <w:rFonts w:ascii="Mosawi" w:hAnsi="Mosawi" w:cs="Mosawi"/>
          <w:sz w:val="22"/>
          <w:szCs w:val="22"/>
          <w:rtl/>
        </w:rPr>
        <w:t>|</w:t>
      </w:r>
      <w:r w:rsidR="004823CE" w:rsidRPr="006571AC">
        <w:rPr>
          <w:rFonts w:hint="cs"/>
          <w:sz w:val="27"/>
          <w:rtl/>
          <w:lang w:bidi="ar-IQ"/>
        </w:rPr>
        <w:t>،</w:t>
      </w:r>
      <w:r w:rsidRPr="006571AC">
        <w:rPr>
          <w:rFonts w:hint="cs"/>
          <w:sz w:val="27"/>
          <w:rtl/>
          <w:lang w:bidi="ar-IQ"/>
        </w:rPr>
        <w:t xml:space="preserve"> قال: </w:t>
      </w:r>
      <w:r w:rsidRPr="006571AC">
        <w:rPr>
          <w:rFonts w:hint="eastAsia"/>
          <w:sz w:val="24"/>
          <w:szCs w:val="24"/>
          <w:rtl/>
        </w:rPr>
        <w:t>«</w:t>
      </w:r>
      <w:r w:rsidRPr="006571AC">
        <w:rPr>
          <w:rFonts w:hint="cs"/>
          <w:sz w:val="27"/>
          <w:rtl/>
          <w:lang w:bidi="ar-IQ"/>
        </w:rPr>
        <w:t>البيّنة على م</w:t>
      </w:r>
      <w:r w:rsidR="00FE2470" w:rsidRPr="006571AC">
        <w:rPr>
          <w:rFonts w:hint="cs"/>
          <w:sz w:val="27"/>
          <w:rtl/>
          <w:lang w:bidi="ar-IQ"/>
        </w:rPr>
        <w:t>َ</w:t>
      </w:r>
      <w:r w:rsidRPr="006571AC">
        <w:rPr>
          <w:rFonts w:hint="cs"/>
          <w:sz w:val="27"/>
          <w:rtl/>
          <w:lang w:bidi="ar-IQ"/>
        </w:rPr>
        <w:t>ن</w:t>
      </w:r>
      <w:r w:rsidR="00FE2470" w:rsidRPr="006571AC">
        <w:rPr>
          <w:rFonts w:hint="cs"/>
          <w:sz w:val="27"/>
          <w:rtl/>
          <w:lang w:bidi="ar-IQ"/>
        </w:rPr>
        <w:t>ْ</w:t>
      </w:r>
      <w:r w:rsidRPr="006571AC">
        <w:rPr>
          <w:rFonts w:hint="cs"/>
          <w:sz w:val="27"/>
          <w:rtl/>
          <w:lang w:bidi="ar-IQ"/>
        </w:rPr>
        <w:t xml:space="preserve"> اد</w:t>
      </w:r>
      <w:r w:rsidR="00FE2470" w:rsidRPr="006571AC">
        <w:rPr>
          <w:rFonts w:hint="cs"/>
          <w:sz w:val="27"/>
          <w:rtl/>
          <w:lang w:bidi="ar-IQ"/>
        </w:rPr>
        <w:t>َّ</w:t>
      </w:r>
      <w:r w:rsidRPr="006571AC">
        <w:rPr>
          <w:rFonts w:hint="cs"/>
          <w:sz w:val="27"/>
          <w:rtl/>
          <w:lang w:bidi="ar-IQ"/>
        </w:rPr>
        <w:t>عى، واليمين على المدّ</w:t>
      </w:r>
      <w:r w:rsidR="00FE2470" w:rsidRPr="006571AC">
        <w:rPr>
          <w:rFonts w:hint="cs"/>
          <w:sz w:val="27"/>
          <w:rtl/>
          <w:lang w:bidi="ar-IQ"/>
        </w:rPr>
        <w:t>َ</w:t>
      </w:r>
      <w:r w:rsidRPr="006571AC">
        <w:rPr>
          <w:rFonts w:hint="cs"/>
          <w:sz w:val="27"/>
          <w:rtl/>
          <w:lang w:bidi="ar-IQ"/>
        </w:rPr>
        <w:t>عى عليه، والصلح جائز</w:t>
      </w:r>
      <w:r w:rsidR="00FE2470" w:rsidRPr="006571AC">
        <w:rPr>
          <w:rFonts w:hint="cs"/>
          <w:sz w:val="27"/>
          <w:rtl/>
          <w:lang w:bidi="ar-IQ"/>
        </w:rPr>
        <w:t>ٌ</w:t>
      </w:r>
      <w:r w:rsidRPr="006571AC">
        <w:rPr>
          <w:rFonts w:hint="cs"/>
          <w:sz w:val="27"/>
          <w:rtl/>
          <w:lang w:bidi="ar-IQ"/>
        </w:rPr>
        <w:t xml:space="preserve"> بين المسلمين، إلا</w:t>
      </w:r>
      <w:r w:rsidR="00FE2470" w:rsidRPr="006571AC">
        <w:rPr>
          <w:rFonts w:hint="cs"/>
          <w:sz w:val="27"/>
          <w:rtl/>
          <w:lang w:bidi="ar-IQ"/>
        </w:rPr>
        <w:t>ّ</w:t>
      </w:r>
      <w:r w:rsidRPr="006571AC">
        <w:rPr>
          <w:rFonts w:hint="cs"/>
          <w:sz w:val="27"/>
          <w:rtl/>
          <w:lang w:bidi="ar-IQ"/>
        </w:rPr>
        <w:t xml:space="preserve"> صلحاً </w:t>
      </w:r>
      <w:r w:rsidRPr="006571AC">
        <w:rPr>
          <w:sz w:val="27"/>
          <w:rtl/>
          <w:lang w:bidi="ar-IQ"/>
        </w:rPr>
        <w:t>أحل</w:t>
      </w:r>
      <w:r w:rsidRPr="006571AC">
        <w:rPr>
          <w:rFonts w:hint="cs"/>
          <w:sz w:val="27"/>
          <w:rtl/>
          <w:lang w:bidi="ar-IQ"/>
        </w:rPr>
        <w:t>ّ</w:t>
      </w:r>
      <w:r w:rsidRPr="006571AC">
        <w:rPr>
          <w:sz w:val="27"/>
          <w:rtl/>
          <w:lang w:bidi="ar-IQ"/>
        </w:rPr>
        <w:t xml:space="preserve"> حراما</w:t>
      </w:r>
      <w:r w:rsidRPr="006571AC">
        <w:rPr>
          <w:rFonts w:hint="cs"/>
          <w:sz w:val="27"/>
          <w:rtl/>
          <w:lang w:bidi="ar-IQ"/>
        </w:rPr>
        <w:t>ً</w:t>
      </w:r>
      <w:r w:rsidRPr="006571AC">
        <w:rPr>
          <w:sz w:val="27"/>
          <w:rtl/>
          <w:lang w:bidi="ar-IQ"/>
        </w:rPr>
        <w:t xml:space="preserve"> أو حر</w:t>
      </w:r>
      <w:r w:rsidRPr="006571AC">
        <w:rPr>
          <w:rFonts w:hint="cs"/>
          <w:sz w:val="27"/>
          <w:rtl/>
          <w:lang w:bidi="ar-IQ"/>
        </w:rPr>
        <w:t>ّ</w:t>
      </w:r>
      <w:r w:rsidR="00FE2470" w:rsidRPr="006571AC">
        <w:rPr>
          <w:rFonts w:hint="cs"/>
          <w:sz w:val="27"/>
          <w:rtl/>
          <w:lang w:bidi="ar-IQ"/>
        </w:rPr>
        <w:t>َ</w:t>
      </w:r>
      <w:r w:rsidRPr="006571AC">
        <w:rPr>
          <w:sz w:val="27"/>
          <w:rtl/>
          <w:lang w:bidi="ar-IQ"/>
        </w:rPr>
        <w:t>م حلالا</w:t>
      </w:r>
      <w:r w:rsidRPr="006571AC">
        <w:rPr>
          <w:rFonts w:hint="cs"/>
          <w:sz w:val="27"/>
          <w:rtl/>
          <w:lang w:bidi="ar-IQ"/>
        </w:rPr>
        <w:t>ً</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77"/>
      </w:r>
      <w:r w:rsidRPr="006571AC">
        <w:rPr>
          <w:sz w:val="27"/>
          <w:vertAlign w:val="superscript"/>
          <w:rtl/>
          <w:lang w:bidi="ar-IQ"/>
        </w:rPr>
        <w:t>)</w:t>
      </w:r>
      <w:r w:rsidRPr="006571AC">
        <w:rPr>
          <w:rFonts w:hint="cs"/>
          <w:sz w:val="27"/>
          <w:rtl/>
          <w:lang w:bidi="ar-IQ"/>
        </w:rPr>
        <w:t xml:space="preserve">. </w:t>
      </w:r>
    </w:p>
    <w:p w:rsidR="00A16B95" w:rsidRPr="006571AC" w:rsidRDefault="00381A52" w:rsidP="004823CE">
      <w:pPr>
        <w:rPr>
          <w:sz w:val="27"/>
          <w:rtl/>
          <w:lang w:bidi="ar-IQ"/>
        </w:rPr>
      </w:pPr>
      <w:r w:rsidRPr="006571AC">
        <w:rPr>
          <w:rFonts w:hint="cs"/>
          <w:sz w:val="27"/>
          <w:rtl/>
          <w:lang w:bidi="ar-IQ"/>
        </w:rPr>
        <w:t>هناك بحث حول مرسلات الشيخ الصدوق</w:t>
      </w:r>
      <w:r w:rsidR="00FE2470" w:rsidRPr="006571AC">
        <w:rPr>
          <w:rFonts w:hint="cs"/>
          <w:sz w:val="27"/>
          <w:rtl/>
          <w:lang w:bidi="ar-IQ"/>
        </w:rPr>
        <w:t>،</w:t>
      </w:r>
      <w:r w:rsidRPr="006571AC">
        <w:rPr>
          <w:rFonts w:hint="cs"/>
          <w:sz w:val="27"/>
          <w:rtl/>
          <w:lang w:bidi="ar-IQ"/>
        </w:rPr>
        <w:t xml:space="preserve"> وما إذا كانت معتبرة أم لا؟ إن الذين ير</w:t>
      </w:r>
      <w:r w:rsidR="00FE2470" w:rsidRPr="006571AC">
        <w:rPr>
          <w:rFonts w:hint="cs"/>
          <w:sz w:val="27"/>
          <w:rtl/>
          <w:lang w:bidi="ar-IQ"/>
        </w:rPr>
        <w:t>َ</w:t>
      </w:r>
      <w:r w:rsidRPr="006571AC">
        <w:rPr>
          <w:rFonts w:hint="cs"/>
          <w:sz w:val="27"/>
          <w:rtl/>
          <w:lang w:bidi="ar-IQ"/>
        </w:rPr>
        <w:t>و</w:t>
      </w:r>
      <w:r w:rsidR="00FE2470" w:rsidRPr="006571AC">
        <w:rPr>
          <w:rFonts w:hint="cs"/>
          <w:sz w:val="27"/>
          <w:rtl/>
          <w:lang w:bidi="ar-IQ"/>
        </w:rPr>
        <w:t>ْ</w:t>
      </w:r>
      <w:r w:rsidRPr="006571AC">
        <w:rPr>
          <w:rFonts w:hint="cs"/>
          <w:sz w:val="27"/>
          <w:rtl/>
          <w:lang w:bidi="ar-IQ"/>
        </w:rPr>
        <w:t>ن الاعتبار لجميع روايات الشيخ الصدوق في كتاب (م</w:t>
      </w:r>
      <w:r w:rsidR="00FE2470" w:rsidRPr="006571AC">
        <w:rPr>
          <w:rFonts w:hint="cs"/>
          <w:sz w:val="27"/>
          <w:rtl/>
          <w:lang w:bidi="ar-IQ"/>
        </w:rPr>
        <w:t>َ</w:t>
      </w:r>
      <w:r w:rsidRPr="006571AC">
        <w:rPr>
          <w:rFonts w:hint="cs"/>
          <w:sz w:val="27"/>
          <w:rtl/>
          <w:lang w:bidi="ar-IQ"/>
        </w:rPr>
        <w:t>ن</w:t>
      </w:r>
      <w:r w:rsidR="00FE2470" w:rsidRPr="006571AC">
        <w:rPr>
          <w:rFonts w:hint="cs"/>
          <w:sz w:val="27"/>
          <w:rtl/>
          <w:lang w:bidi="ar-IQ"/>
        </w:rPr>
        <w:t>ْ</w:t>
      </w:r>
      <w:r w:rsidRPr="006571AC">
        <w:rPr>
          <w:rFonts w:hint="cs"/>
          <w:sz w:val="27"/>
          <w:rtl/>
          <w:lang w:bidi="ar-IQ"/>
        </w:rPr>
        <w:t xml:space="preserve"> لا يحضره الفقيه) قد استندوا إلى كلامه في بداية هذا الكتاب، وقالوا بأنه يمثّ</w:t>
      </w:r>
      <w:r w:rsidR="00FE2470" w:rsidRPr="006571AC">
        <w:rPr>
          <w:rFonts w:hint="cs"/>
          <w:sz w:val="27"/>
          <w:rtl/>
          <w:lang w:bidi="ar-IQ"/>
        </w:rPr>
        <w:t>ِ</w:t>
      </w:r>
      <w:r w:rsidRPr="006571AC">
        <w:rPr>
          <w:rFonts w:hint="cs"/>
          <w:sz w:val="27"/>
          <w:rtl/>
          <w:lang w:bidi="ar-IQ"/>
        </w:rPr>
        <w:t>ل نوعاً من الشهادة الحس</w:t>
      </w:r>
      <w:r w:rsidR="00FE2470" w:rsidRPr="006571AC">
        <w:rPr>
          <w:rFonts w:hint="cs"/>
          <w:sz w:val="27"/>
          <w:rtl/>
          <w:lang w:bidi="ar-IQ"/>
        </w:rPr>
        <w:t>ِّي</w:t>
      </w:r>
      <w:r w:rsidRPr="006571AC">
        <w:rPr>
          <w:rFonts w:hint="cs"/>
          <w:sz w:val="27"/>
          <w:rtl/>
          <w:lang w:bidi="ar-IQ"/>
        </w:rPr>
        <w:t>ة على اعتبار جميع رواياته من ق</w:t>
      </w:r>
      <w:r w:rsidR="00FE2470" w:rsidRPr="006571AC">
        <w:rPr>
          <w:rFonts w:hint="cs"/>
          <w:sz w:val="27"/>
          <w:rtl/>
          <w:lang w:bidi="ar-IQ"/>
        </w:rPr>
        <w:t>ِ</w:t>
      </w:r>
      <w:r w:rsidRPr="006571AC">
        <w:rPr>
          <w:rFonts w:hint="cs"/>
          <w:sz w:val="27"/>
          <w:rtl/>
          <w:lang w:bidi="ar-IQ"/>
        </w:rPr>
        <w:t>ب</w:t>
      </w:r>
      <w:r w:rsidR="00FE2470" w:rsidRPr="006571AC">
        <w:rPr>
          <w:rFonts w:hint="cs"/>
          <w:sz w:val="27"/>
          <w:rtl/>
          <w:lang w:bidi="ar-IQ"/>
        </w:rPr>
        <w:t>َ</w:t>
      </w:r>
      <w:r w:rsidRPr="006571AC">
        <w:rPr>
          <w:rFonts w:hint="cs"/>
          <w:sz w:val="27"/>
          <w:rtl/>
          <w:lang w:bidi="ar-IQ"/>
        </w:rPr>
        <w:t>ل المؤل</w:t>
      </w:r>
      <w:r w:rsidR="00FE2470" w:rsidRPr="006571AC">
        <w:rPr>
          <w:rFonts w:hint="cs"/>
          <w:sz w:val="27"/>
          <w:rtl/>
          <w:lang w:bidi="ar-IQ"/>
        </w:rPr>
        <w:t>ِّ</w:t>
      </w:r>
      <w:r w:rsidRPr="006571AC">
        <w:rPr>
          <w:rFonts w:hint="cs"/>
          <w:sz w:val="27"/>
          <w:rtl/>
          <w:lang w:bidi="ar-IQ"/>
        </w:rPr>
        <w:t>ف نفسه</w:t>
      </w:r>
      <w:r w:rsidR="00FE2470" w:rsidRPr="006571AC">
        <w:rPr>
          <w:rFonts w:hint="cs"/>
          <w:sz w:val="27"/>
          <w:rtl/>
          <w:lang w:bidi="ar-IQ"/>
        </w:rPr>
        <w:t xml:space="preserve">؛ حيث </w:t>
      </w:r>
      <w:r w:rsidRPr="006571AC">
        <w:rPr>
          <w:rFonts w:hint="cs"/>
          <w:sz w:val="27"/>
          <w:rtl/>
          <w:lang w:bidi="ar-IQ"/>
        </w:rPr>
        <w:t xml:space="preserve">قال </w:t>
      </w:r>
      <w:r w:rsidR="00FE2470" w:rsidRPr="006571AC">
        <w:rPr>
          <w:rFonts w:hint="cs"/>
          <w:sz w:val="27"/>
          <w:rtl/>
          <w:lang w:bidi="ar-IQ"/>
        </w:rPr>
        <w:t xml:space="preserve">الصدوق </w:t>
      </w:r>
      <w:r w:rsidRPr="006571AC">
        <w:rPr>
          <w:rFonts w:hint="cs"/>
          <w:sz w:val="27"/>
          <w:rtl/>
          <w:lang w:bidi="ar-IQ"/>
        </w:rPr>
        <w:t>في المقد</w:t>
      </w:r>
      <w:r w:rsidR="00FE2470" w:rsidRPr="006571AC">
        <w:rPr>
          <w:rFonts w:hint="cs"/>
          <w:sz w:val="27"/>
          <w:rtl/>
          <w:lang w:bidi="ar-IQ"/>
        </w:rPr>
        <w:t>ّ</w:t>
      </w:r>
      <w:r w:rsidRPr="006571AC">
        <w:rPr>
          <w:rFonts w:hint="cs"/>
          <w:sz w:val="27"/>
          <w:rtl/>
          <w:lang w:bidi="ar-IQ"/>
        </w:rPr>
        <w:t xml:space="preserve">مة: </w:t>
      </w:r>
      <w:r w:rsidRPr="006571AC">
        <w:rPr>
          <w:rFonts w:hint="eastAsia"/>
          <w:sz w:val="24"/>
          <w:szCs w:val="24"/>
          <w:rtl/>
        </w:rPr>
        <w:t>«</w:t>
      </w:r>
      <w:r w:rsidRPr="006571AC">
        <w:rPr>
          <w:sz w:val="27"/>
          <w:rtl/>
          <w:lang w:bidi="ar-IQ"/>
        </w:rPr>
        <w:t>لم أقصد فيه قصد المصن</w:t>
      </w:r>
      <w:r w:rsidR="00FE2470" w:rsidRPr="006571AC">
        <w:rPr>
          <w:rFonts w:hint="cs"/>
          <w:sz w:val="27"/>
          <w:rtl/>
          <w:lang w:bidi="ar-IQ"/>
        </w:rPr>
        <w:t>ِّ</w:t>
      </w:r>
      <w:r w:rsidRPr="006571AC">
        <w:rPr>
          <w:sz w:val="27"/>
          <w:rtl/>
          <w:lang w:bidi="ar-IQ"/>
        </w:rPr>
        <w:t xml:space="preserve">فين في </w:t>
      </w:r>
      <w:r w:rsidR="00FE2470" w:rsidRPr="006571AC">
        <w:rPr>
          <w:rFonts w:hint="cs"/>
          <w:sz w:val="27"/>
          <w:rtl/>
          <w:lang w:bidi="ar-IQ"/>
        </w:rPr>
        <w:t>إ</w:t>
      </w:r>
      <w:r w:rsidRPr="006571AC">
        <w:rPr>
          <w:sz w:val="27"/>
          <w:rtl/>
          <w:lang w:bidi="ar-IQ"/>
        </w:rPr>
        <w:t>يراد جميع ما</w:t>
      </w:r>
      <w:r w:rsidRPr="006571AC">
        <w:rPr>
          <w:rFonts w:hint="cs"/>
          <w:sz w:val="27"/>
          <w:rtl/>
          <w:lang w:bidi="ar-IQ"/>
        </w:rPr>
        <w:t xml:space="preserve"> </w:t>
      </w:r>
      <w:r w:rsidRPr="006571AC">
        <w:rPr>
          <w:sz w:val="27"/>
          <w:rtl/>
          <w:lang w:bidi="ar-IQ"/>
        </w:rPr>
        <w:t xml:space="preserve">رووه، بل </w:t>
      </w:r>
      <w:r w:rsidRPr="006571AC">
        <w:rPr>
          <w:rFonts w:hint="cs"/>
          <w:sz w:val="27"/>
          <w:rtl/>
          <w:lang w:bidi="ar-IQ"/>
        </w:rPr>
        <w:t>ق</w:t>
      </w:r>
      <w:r w:rsidRPr="006571AC">
        <w:rPr>
          <w:sz w:val="27"/>
          <w:rtl/>
          <w:lang w:bidi="ar-IQ"/>
        </w:rPr>
        <w:t>صد</w:t>
      </w:r>
      <w:r w:rsidR="00FE2470" w:rsidRPr="006571AC">
        <w:rPr>
          <w:rFonts w:hint="cs"/>
          <w:sz w:val="27"/>
          <w:rtl/>
          <w:lang w:bidi="ar-IQ"/>
        </w:rPr>
        <w:t>ْ</w:t>
      </w:r>
      <w:r w:rsidRPr="006571AC">
        <w:rPr>
          <w:sz w:val="27"/>
          <w:rtl/>
          <w:lang w:bidi="ar-IQ"/>
        </w:rPr>
        <w:t>ت</w:t>
      </w:r>
      <w:r w:rsidR="00FE2470" w:rsidRPr="006571AC">
        <w:rPr>
          <w:rFonts w:hint="cs"/>
          <w:sz w:val="27"/>
          <w:rtl/>
          <w:lang w:bidi="ar-IQ"/>
        </w:rPr>
        <w:t>ُ</w:t>
      </w:r>
      <w:r w:rsidRPr="006571AC">
        <w:rPr>
          <w:sz w:val="27"/>
          <w:rtl/>
          <w:lang w:bidi="ar-IQ"/>
        </w:rPr>
        <w:t xml:space="preserve"> إلى </w:t>
      </w:r>
      <w:r w:rsidRPr="006571AC">
        <w:rPr>
          <w:rFonts w:hint="cs"/>
          <w:sz w:val="27"/>
          <w:rtl/>
          <w:lang w:bidi="ar-IQ"/>
        </w:rPr>
        <w:t>إ</w:t>
      </w:r>
      <w:r w:rsidRPr="006571AC">
        <w:rPr>
          <w:sz w:val="27"/>
          <w:rtl/>
          <w:lang w:bidi="ar-IQ"/>
        </w:rPr>
        <w:t>يراد ما أفت</w:t>
      </w:r>
      <w:r w:rsidRPr="006571AC">
        <w:rPr>
          <w:rFonts w:hint="cs"/>
          <w:sz w:val="27"/>
          <w:rtl/>
          <w:lang w:bidi="ar-IQ"/>
        </w:rPr>
        <w:t>ي</w:t>
      </w:r>
      <w:r w:rsidRPr="006571AC">
        <w:rPr>
          <w:sz w:val="27"/>
          <w:rtl/>
          <w:lang w:bidi="ar-IQ"/>
        </w:rPr>
        <w:t xml:space="preserve"> به</w:t>
      </w:r>
      <w:r w:rsidR="00FE2470" w:rsidRPr="006571AC">
        <w:rPr>
          <w:rFonts w:hint="cs"/>
          <w:sz w:val="27"/>
          <w:rtl/>
          <w:lang w:bidi="ar-IQ"/>
        </w:rPr>
        <w:t>،</w:t>
      </w:r>
      <w:r w:rsidRPr="006571AC">
        <w:rPr>
          <w:sz w:val="27"/>
          <w:rtl/>
          <w:lang w:bidi="ar-IQ"/>
        </w:rPr>
        <w:t xml:space="preserve"> وأحكم بصح</w:t>
      </w:r>
      <w:r w:rsidR="00FE2470" w:rsidRPr="006571AC">
        <w:rPr>
          <w:rFonts w:hint="cs"/>
          <w:sz w:val="27"/>
          <w:rtl/>
          <w:lang w:bidi="ar-IQ"/>
        </w:rPr>
        <w:t>ّ</w:t>
      </w:r>
      <w:r w:rsidRPr="006571AC">
        <w:rPr>
          <w:sz w:val="27"/>
          <w:rtl/>
          <w:lang w:bidi="ar-IQ"/>
        </w:rPr>
        <w:t>ته</w:t>
      </w:r>
      <w:r w:rsidR="00FE2470" w:rsidRPr="006571AC">
        <w:rPr>
          <w:rFonts w:hint="cs"/>
          <w:sz w:val="27"/>
          <w:rtl/>
          <w:lang w:bidi="ar-IQ"/>
        </w:rPr>
        <w:t>،</w:t>
      </w:r>
      <w:r w:rsidRPr="006571AC">
        <w:rPr>
          <w:sz w:val="27"/>
          <w:rtl/>
          <w:lang w:bidi="ar-IQ"/>
        </w:rPr>
        <w:t xml:space="preserve"> وأعتقد فيه أنه حج</w:t>
      </w:r>
      <w:r w:rsidR="00FE2470" w:rsidRPr="006571AC">
        <w:rPr>
          <w:rFonts w:hint="cs"/>
          <w:sz w:val="27"/>
          <w:rtl/>
          <w:lang w:bidi="ar-IQ"/>
        </w:rPr>
        <w:t>ّ</w:t>
      </w:r>
      <w:r w:rsidRPr="006571AC">
        <w:rPr>
          <w:sz w:val="27"/>
          <w:rtl/>
          <w:lang w:bidi="ar-IQ"/>
        </w:rPr>
        <w:t>ة</w:t>
      </w:r>
      <w:r w:rsidR="004823CE" w:rsidRPr="006571AC">
        <w:rPr>
          <w:rFonts w:hint="cs"/>
          <w:sz w:val="27"/>
          <w:rtl/>
          <w:lang w:bidi="ar-IQ"/>
        </w:rPr>
        <w:t>ٌ</w:t>
      </w:r>
      <w:r w:rsidRPr="006571AC">
        <w:rPr>
          <w:sz w:val="27"/>
          <w:rtl/>
          <w:lang w:bidi="ar-IQ"/>
        </w:rPr>
        <w:t xml:space="preserve"> فيما بين</w:t>
      </w:r>
      <w:r w:rsidRPr="006571AC">
        <w:rPr>
          <w:rFonts w:hint="cs"/>
          <w:sz w:val="27"/>
          <w:rtl/>
          <w:lang w:bidi="ar-IQ"/>
        </w:rPr>
        <w:t>ي</w:t>
      </w:r>
      <w:r w:rsidRPr="006571AC">
        <w:rPr>
          <w:sz w:val="27"/>
          <w:rtl/>
          <w:lang w:bidi="ar-IQ"/>
        </w:rPr>
        <w:t xml:space="preserve"> وبين رب</w:t>
      </w:r>
      <w:r w:rsidRPr="006571AC">
        <w:rPr>
          <w:rFonts w:hint="cs"/>
          <w:sz w:val="27"/>
          <w:rtl/>
          <w:lang w:bidi="ar-IQ"/>
        </w:rPr>
        <w:t>ّي</w:t>
      </w:r>
      <w:r w:rsidRPr="006571AC">
        <w:rPr>
          <w:sz w:val="27"/>
          <w:rtl/>
          <w:lang w:bidi="ar-IQ"/>
        </w:rPr>
        <w:t xml:space="preserve"> </w:t>
      </w:r>
      <w:r w:rsidRPr="006571AC">
        <w:rPr>
          <w:rFonts w:hint="cs"/>
          <w:sz w:val="27"/>
          <w:rtl/>
          <w:lang w:bidi="ar-IQ"/>
        </w:rPr>
        <w:t>ـ</w:t>
      </w:r>
      <w:r w:rsidRPr="006571AC">
        <w:rPr>
          <w:sz w:val="27"/>
          <w:rtl/>
          <w:lang w:bidi="ar-IQ"/>
        </w:rPr>
        <w:t xml:space="preserve"> تقد</w:t>
      </w:r>
      <w:r w:rsidR="00FE2470" w:rsidRPr="006571AC">
        <w:rPr>
          <w:rFonts w:hint="cs"/>
          <w:sz w:val="27"/>
          <w:rtl/>
          <w:lang w:bidi="ar-IQ"/>
        </w:rPr>
        <w:t>َّ</w:t>
      </w:r>
      <w:r w:rsidRPr="006571AC">
        <w:rPr>
          <w:sz w:val="27"/>
          <w:rtl/>
          <w:lang w:bidi="ar-IQ"/>
        </w:rPr>
        <w:t>س ذكره وتعال</w:t>
      </w:r>
      <w:r w:rsidR="00FE2470" w:rsidRPr="006571AC">
        <w:rPr>
          <w:rFonts w:hint="cs"/>
          <w:sz w:val="27"/>
          <w:rtl/>
          <w:lang w:bidi="ar-IQ"/>
        </w:rPr>
        <w:t>َ</w:t>
      </w:r>
      <w:r w:rsidRPr="006571AC">
        <w:rPr>
          <w:sz w:val="27"/>
          <w:rtl/>
          <w:lang w:bidi="ar-IQ"/>
        </w:rPr>
        <w:t>ت</w:t>
      </w:r>
      <w:r w:rsidR="00FE2470" w:rsidRPr="006571AC">
        <w:rPr>
          <w:rFonts w:hint="cs"/>
          <w:sz w:val="27"/>
          <w:rtl/>
          <w:lang w:bidi="ar-IQ"/>
        </w:rPr>
        <w:t>ْ</w:t>
      </w:r>
      <w:r w:rsidRPr="006571AC">
        <w:rPr>
          <w:sz w:val="27"/>
          <w:rtl/>
          <w:lang w:bidi="ar-IQ"/>
        </w:rPr>
        <w:t xml:space="preserve"> قدرته </w:t>
      </w:r>
      <w:r w:rsidRPr="006571AC">
        <w:rPr>
          <w:rFonts w:hint="cs"/>
          <w:sz w:val="27"/>
          <w:rtl/>
          <w:lang w:bidi="ar-IQ"/>
        </w:rPr>
        <w:t>ـ</w:t>
      </w:r>
      <w:r w:rsidR="00FE2470" w:rsidRPr="006571AC">
        <w:rPr>
          <w:rFonts w:hint="cs"/>
          <w:sz w:val="27"/>
          <w:rtl/>
          <w:lang w:bidi="ar-IQ"/>
        </w:rPr>
        <w:t>.</w:t>
      </w:r>
      <w:r w:rsidRPr="006571AC">
        <w:rPr>
          <w:sz w:val="27"/>
          <w:rtl/>
          <w:lang w:bidi="ar-IQ"/>
        </w:rPr>
        <w:t xml:space="preserve"> وجميع ما فيه مست</w:t>
      </w:r>
      <w:r w:rsidR="00FE2470" w:rsidRPr="006571AC">
        <w:rPr>
          <w:rFonts w:hint="cs"/>
          <w:sz w:val="27"/>
          <w:rtl/>
          <w:lang w:bidi="ar-IQ"/>
        </w:rPr>
        <w:t>َ</w:t>
      </w:r>
      <w:r w:rsidRPr="006571AC">
        <w:rPr>
          <w:sz w:val="27"/>
          <w:rtl/>
          <w:lang w:bidi="ar-IQ"/>
        </w:rPr>
        <w:t>خر</w:t>
      </w:r>
      <w:r w:rsidR="00FE2470" w:rsidRPr="006571AC">
        <w:rPr>
          <w:rFonts w:hint="cs"/>
          <w:sz w:val="27"/>
          <w:rtl/>
          <w:lang w:bidi="ar-IQ"/>
        </w:rPr>
        <w:t>َ</w:t>
      </w:r>
      <w:r w:rsidRPr="006571AC">
        <w:rPr>
          <w:sz w:val="27"/>
          <w:rtl/>
          <w:lang w:bidi="ar-IQ"/>
        </w:rPr>
        <w:t>ج</w:t>
      </w:r>
      <w:r w:rsidR="00FE2470" w:rsidRPr="006571AC">
        <w:rPr>
          <w:rFonts w:hint="cs"/>
          <w:sz w:val="27"/>
          <w:rtl/>
          <w:lang w:bidi="ar-IQ"/>
        </w:rPr>
        <w:t>ٌ</w:t>
      </w:r>
      <w:r w:rsidRPr="006571AC">
        <w:rPr>
          <w:sz w:val="27"/>
          <w:rtl/>
          <w:lang w:bidi="ar-IQ"/>
        </w:rPr>
        <w:t xml:space="preserve"> من كتب</w:t>
      </w:r>
      <w:r w:rsidR="00FE2470" w:rsidRPr="006571AC">
        <w:rPr>
          <w:rFonts w:hint="cs"/>
          <w:sz w:val="27"/>
          <w:rtl/>
          <w:lang w:bidi="ar-IQ"/>
        </w:rPr>
        <w:t>ٍ</w:t>
      </w:r>
      <w:r w:rsidRPr="006571AC">
        <w:rPr>
          <w:sz w:val="27"/>
          <w:rtl/>
          <w:lang w:bidi="ar-IQ"/>
        </w:rPr>
        <w:t xml:space="preserve"> مشهورة</w:t>
      </w:r>
      <w:r w:rsidR="00FE2470" w:rsidRPr="006571AC">
        <w:rPr>
          <w:rFonts w:hint="cs"/>
          <w:sz w:val="27"/>
          <w:rtl/>
          <w:lang w:bidi="ar-IQ"/>
        </w:rPr>
        <w:t>،</w:t>
      </w:r>
      <w:r w:rsidRPr="006571AC">
        <w:rPr>
          <w:sz w:val="27"/>
          <w:rtl/>
          <w:lang w:bidi="ar-IQ"/>
        </w:rPr>
        <w:t xml:space="preserve"> عليها المعو</w:t>
      </w:r>
      <w:r w:rsidR="00FE2470" w:rsidRPr="006571AC">
        <w:rPr>
          <w:rFonts w:hint="cs"/>
          <w:sz w:val="27"/>
          <w:rtl/>
          <w:lang w:bidi="ar-IQ"/>
        </w:rPr>
        <w:t>َّ</w:t>
      </w:r>
      <w:r w:rsidRPr="006571AC">
        <w:rPr>
          <w:sz w:val="27"/>
          <w:rtl/>
          <w:lang w:bidi="ar-IQ"/>
        </w:rPr>
        <w:t>ل</w:t>
      </w:r>
      <w:r w:rsidR="00FE2470" w:rsidRPr="006571AC">
        <w:rPr>
          <w:rFonts w:hint="cs"/>
          <w:sz w:val="27"/>
          <w:rtl/>
          <w:lang w:bidi="ar-IQ"/>
        </w:rPr>
        <w:t>،</w:t>
      </w:r>
      <w:r w:rsidRPr="006571AC">
        <w:rPr>
          <w:sz w:val="27"/>
          <w:rtl/>
          <w:lang w:bidi="ar-IQ"/>
        </w:rPr>
        <w:t xml:space="preserve"> و</w:t>
      </w:r>
      <w:r w:rsidRPr="006571AC">
        <w:rPr>
          <w:rFonts w:hint="cs"/>
          <w:sz w:val="27"/>
          <w:rtl/>
          <w:lang w:bidi="ar-IQ"/>
        </w:rPr>
        <w:t>إ</w:t>
      </w:r>
      <w:r w:rsidRPr="006571AC">
        <w:rPr>
          <w:sz w:val="27"/>
          <w:rtl/>
          <w:lang w:bidi="ar-IQ"/>
        </w:rPr>
        <w:t>ليها المرجع</w:t>
      </w:r>
      <w:r w:rsidRPr="006571AC">
        <w:rPr>
          <w:rFonts w:hint="eastAsia"/>
          <w:sz w:val="24"/>
          <w:szCs w:val="24"/>
          <w:rtl/>
        </w:rPr>
        <w:t>»</w:t>
      </w:r>
      <w:r w:rsidR="00A16B95" w:rsidRPr="006571AC">
        <w:rPr>
          <w:rFonts w:hint="cs"/>
          <w:sz w:val="27"/>
          <w:rtl/>
          <w:lang w:bidi="ar-IQ"/>
        </w:rPr>
        <w:t>.</w:t>
      </w:r>
    </w:p>
    <w:p w:rsidR="00381A52" w:rsidRPr="006571AC" w:rsidRDefault="00A16B95" w:rsidP="004B16C6">
      <w:pPr>
        <w:spacing w:line="420" w:lineRule="exact"/>
        <w:rPr>
          <w:sz w:val="27"/>
          <w:rtl/>
          <w:lang w:bidi="ar-IQ"/>
        </w:rPr>
      </w:pPr>
      <w:r w:rsidRPr="006571AC">
        <w:rPr>
          <w:rFonts w:hint="cs"/>
          <w:sz w:val="27"/>
          <w:rtl/>
          <w:lang w:bidi="ar-IQ"/>
        </w:rPr>
        <w:t>و</w:t>
      </w:r>
      <w:r w:rsidR="00381A52" w:rsidRPr="006571AC">
        <w:rPr>
          <w:rFonts w:hint="cs"/>
          <w:sz w:val="27"/>
          <w:rtl/>
          <w:lang w:bidi="ar-IQ"/>
        </w:rPr>
        <w:t xml:space="preserve">إن هذه العبارة تحكي عن أمرين، وهما: </w:t>
      </w:r>
    </w:p>
    <w:p w:rsidR="00381A52" w:rsidRPr="006571AC" w:rsidRDefault="00381A52" w:rsidP="00552C10">
      <w:pPr>
        <w:rPr>
          <w:sz w:val="27"/>
          <w:rtl/>
          <w:lang w:bidi="ar-IQ"/>
        </w:rPr>
      </w:pPr>
      <w:r w:rsidRPr="006571AC">
        <w:rPr>
          <w:rFonts w:hint="cs"/>
          <w:sz w:val="27"/>
          <w:rtl/>
          <w:lang w:bidi="ar-IQ"/>
        </w:rPr>
        <w:t>أـ تصريحه بأن جميع الرو</w:t>
      </w:r>
      <w:r w:rsidR="00A16B95" w:rsidRPr="006571AC">
        <w:rPr>
          <w:rFonts w:hint="cs"/>
          <w:sz w:val="27"/>
          <w:rtl/>
          <w:lang w:bidi="ar-IQ"/>
        </w:rPr>
        <w:t>ايات</w:t>
      </w:r>
      <w:r w:rsidRPr="006571AC">
        <w:rPr>
          <w:rFonts w:hint="cs"/>
          <w:sz w:val="27"/>
          <w:rtl/>
          <w:lang w:bidi="ar-IQ"/>
        </w:rPr>
        <w:t xml:space="preserve"> [الموجود</w:t>
      </w:r>
      <w:r w:rsidR="00A16B95" w:rsidRPr="006571AC">
        <w:rPr>
          <w:rFonts w:hint="cs"/>
          <w:sz w:val="27"/>
          <w:rtl/>
          <w:lang w:bidi="ar-IQ"/>
        </w:rPr>
        <w:t>ة</w:t>
      </w:r>
      <w:r w:rsidRPr="006571AC">
        <w:rPr>
          <w:rFonts w:hint="cs"/>
          <w:sz w:val="27"/>
          <w:rtl/>
          <w:lang w:bidi="ar-IQ"/>
        </w:rPr>
        <w:t xml:space="preserve"> في كتابه] صحيحة</w:t>
      </w:r>
      <w:r w:rsidR="00A16B95" w:rsidRPr="006571AC">
        <w:rPr>
          <w:rFonts w:hint="cs"/>
          <w:sz w:val="27"/>
          <w:rtl/>
          <w:lang w:bidi="ar-IQ"/>
        </w:rPr>
        <w:t>ٌ</w:t>
      </w:r>
      <w:r w:rsidRPr="006571AC">
        <w:rPr>
          <w:rFonts w:hint="cs"/>
          <w:sz w:val="27"/>
          <w:rtl/>
          <w:lang w:bidi="ar-IQ"/>
        </w:rPr>
        <w:t xml:space="preserve"> وحجّة. </w:t>
      </w:r>
    </w:p>
    <w:p w:rsidR="00381A52" w:rsidRPr="006571AC" w:rsidRDefault="00381A52" w:rsidP="00552C10">
      <w:pPr>
        <w:rPr>
          <w:sz w:val="27"/>
          <w:rtl/>
          <w:lang w:bidi="ar-IQ"/>
        </w:rPr>
      </w:pPr>
      <w:r w:rsidRPr="006571AC">
        <w:rPr>
          <w:rFonts w:hint="cs"/>
          <w:sz w:val="27"/>
          <w:rtl/>
          <w:lang w:bidi="ar-IQ"/>
        </w:rPr>
        <w:t>ب ـ إن هذه الروايات مشهورة</w:t>
      </w:r>
      <w:r w:rsidR="00A16B95" w:rsidRPr="006571AC">
        <w:rPr>
          <w:rFonts w:hint="cs"/>
          <w:sz w:val="27"/>
          <w:rtl/>
          <w:lang w:bidi="ar-IQ"/>
        </w:rPr>
        <w:t>ٌ</w:t>
      </w:r>
      <w:r w:rsidRPr="006571AC">
        <w:rPr>
          <w:rFonts w:hint="cs"/>
          <w:sz w:val="27"/>
          <w:rtl/>
          <w:lang w:bidi="ar-IQ"/>
        </w:rPr>
        <w:t xml:space="preserve"> وقد تمّ استخراجها من الكتب المعت</w:t>
      </w:r>
      <w:r w:rsidR="00A16B95" w:rsidRPr="006571AC">
        <w:rPr>
          <w:rFonts w:hint="cs"/>
          <w:sz w:val="27"/>
          <w:rtl/>
          <w:lang w:bidi="ar-IQ"/>
        </w:rPr>
        <w:t>َ</w:t>
      </w:r>
      <w:r w:rsidRPr="006571AC">
        <w:rPr>
          <w:rFonts w:hint="cs"/>
          <w:sz w:val="27"/>
          <w:rtl/>
          <w:lang w:bidi="ar-IQ"/>
        </w:rPr>
        <w:t>م</w:t>
      </w:r>
      <w:r w:rsidR="00A16B95" w:rsidRPr="006571AC">
        <w:rPr>
          <w:rFonts w:hint="cs"/>
          <w:sz w:val="27"/>
          <w:rtl/>
          <w:lang w:bidi="ar-IQ"/>
        </w:rPr>
        <w:t>َ</w:t>
      </w:r>
      <w:r w:rsidRPr="006571AC">
        <w:rPr>
          <w:rFonts w:hint="cs"/>
          <w:sz w:val="27"/>
          <w:rtl/>
          <w:lang w:bidi="ar-IQ"/>
        </w:rPr>
        <w:t>دة من ق</w:t>
      </w:r>
      <w:r w:rsidR="00A16B95" w:rsidRPr="006571AC">
        <w:rPr>
          <w:rFonts w:hint="cs"/>
          <w:sz w:val="27"/>
          <w:rtl/>
          <w:lang w:bidi="ar-IQ"/>
        </w:rPr>
        <w:t>ِ</w:t>
      </w:r>
      <w:r w:rsidRPr="006571AC">
        <w:rPr>
          <w:rFonts w:hint="cs"/>
          <w:sz w:val="27"/>
          <w:rtl/>
          <w:lang w:bidi="ar-IQ"/>
        </w:rPr>
        <w:t>ب</w:t>
      </w:r>
      <w:r w:rsidR="00A16B95" w:rsidRPr="006571AC">
        <w:rPr>
          <w:rFonts w:hint="cs"/>
          <w:sz w:val="27"/>
          <w:rtl/>
          <w:lang w:bidi="ar-IQ"/>
        </w:rPr>
        <w:t>َ</w:t>
      </w:r>
      <w:r w:rsidRPr="006571AC">
        <w:rPr>
          <w:rFonts w:hint="cs"/>
          <w:sz w:val="27"/>
          <w:rtl/>
          <w:lang w:bidi="ar-IQ"/>
        </w:rPr>
        <w:t xml:space="preserve">ل علماء الشيعة. </w:t>
      </w:r>
    </w:p>
    <w:p w:rsidR="00381A52" w:rsidRPr="006571AC" w:rsidRDefault="00A16B95" w:rsidP="00552C10">
      <w:pPr>
        <w:rPr>
          <w:sz w:val="27"/>
          <w:rtl/>
          <w:lang w:bidi="ar-IQ"/>
        </w:rPr>
      </w:pPr>
      <w:r w:rsidRPr="006571AC">
        <w:rPr>
          <w:rFonts w:hint="cs"/>
          <w:sz w:val="27"/>
          <w:rtl/>
          <w:lang w:bidi="ar-IQ"/>
        </w:rPr>
        <w:t>و</w:t>
      </w:r>
      <w:r w:rsidR="00381A52" w:rsidRPr="006571AC">
        <w:rPr>
          <w:rFonts w:hint="cs"/>
          <w:sz w:val="27"/>
          <w:rtl/>
          <w:lang w:bidi="ar-IQ"/>
        </w:rPr>
        <w:t>بناء</w:t>
      </w:r>
      <w:r w:rsidRPr="006571AC">
        <w:rPr>
          <w:rFonts w:hint="cs"/>
          <w:sz w:val="27"/>
          <w:rtl/>
          <w:lang w:bidi="ar-IQ"/>
        </w:rPr>
        <w:t>ً</w:t>
      </w:r>
      <w:r w:rsidR="00381A52" w:rsidRPr="006571AC">
        <w:rPr>
          <w:rFonts w:hint="cs"/>
          <w:sz w:val="27"/>
          <w:rtl/>
          <w:lang w:bidi="ar-IQ"/>
        </w:rPr>
        <w:t xml:space="preserve"> على هذين الأمرين يجب القول بأن جميع روايات الشيخ الصدوق ـ بما فيها م</w:t>
      </w:r>
      <w:r w:rsidRPr="006571AC">
        <w:rPr>
          <w:rFonts w:hint="cs"/>
          <w:sz w:val="27"/>
          <w:rtl/>
          <w:lang w:bidi="ar-IQ"/>
        </w:rPr>
        <w:t>ُ</w:t>
      </w:r>
      <w:r w:rsidR="00381A52" w:rsidRPr="006571AC">
        <w:rPr>
          <w:rFonts w:hint="cs"/>
          <w:sz w:val="27"/>
          <w:rtl/>
          <w:lang w:bidi="ar-IQ"/>
        </w:rPr>
        <w:t>ر</w:t>
      </w:r>
      <w:r w:rsidRPr="006571AC">
        <w:rPr>
          <w:rFonts w:hint="cs"/>
          <w:sz w:val="27"/>
          <w:rtl/>
          <w:lang w:bidi="ar-IQ"/>
        </w:rPr>
        <w:t>ْ</w:t>
      </w:r>
      <w:r w:rsidR="00381A52" w:rsidRPr="006571AC">
        <w:rPr>
          <w:rFonts w:hint="cs"/>
          <w:sz w:val="27"/>
          <w:rtl/>
          <w:lang w:bidi="ar-IQ"/>
        </w:rPr>
        <w:t>س</w:t>
      </w:r>
      <w:r w:rsidRPr="006571AC">
        <w:rPr>
          <w:rFonts w:hint="cs"/>
          <w:sz w:val="27"/>
          <w:rtl/>
          <w:lang w:bidi="ar-IQ"/>
        </w:rPr>
        <w:t>َ</w:t>
      </w:r>
      <w:r w:rsidR="00381A52" w:rsidRPr="006571AC">
        <w:rPr>
          <w:rFonts w:hint="cs"/>
          <w:sz w:val="27"/>
          <w:rtl/>
          <w:lang w:bidi="ar-IQ"/>
        </w:rPr>
        <w:t>لاته ـ معتبرة</w:t>
      </w:r>
      <w:r w:rsidRPr="006571AC">
        <w:rPr>
          <w:rFonts w:hint="cs"/>
          <w:sz w:val="27"/>
          <w:rtl/>
          <w:lang w:bidi="ar-IQ"/>
        </w:rPr>
        <w:t>ٌ</w:t>
      </w:r>
      <w:r w:rsidR="00381A52"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وبطبيعة الحال فقد تمّ نقل مراسيل الشيخ الصدوق في كتاب (م</w:t>
      </w:r>
      <w:r w:rsidR="00A16B95" w:rsidRPr="006571AC">
        <w:rPr>
          <w:rFonts w:hint="cs"/>
          <w:sz w:val="27"/>
          <w:rtl/>
          <w:lang w:bidi="ar-IQ"/>
        </w:rPr>
        <w:t>َ</w:t>
      </w:r>
      <w:r w:rsidRPr="006571AC">
        <w:rPr>
          <w:rFonts w:hint="cs"/>
          <w:sz w:val="27"/>
          <w:rtl/>
          <w:lang w:bidi="ar-IQ"/>
        </w:rPr>
        <w:t>ن</w:t>
      </w:r>
      <w:r w:rsidR="00A16B95" w:rsidRPr="006571AC">
        <w:rPr>
          <w:rFonts w:hint="cs"/>
          <w:sz w:val="27"/>
          <w:rtl/>
          <w:lang w:bidi="ar-IQ"/>
        </w:rPr>
        <w:t>ْ</w:t>
      </w:r>
      <w:r w:rsidRPr="006571AC">
        <w:rPr>
          <w:rFonts w:hint="cs"/>
          <w:sz w:val="27"/>
          <w:rtl/>
          <w:lang w:bidi="ar-IQ"/>
        </w:rPr>
        <w:t xml:space="preserve"> لا يحضره الفقيه) بعبارات</w:t>
      </w:r>
      <w:r w:rsidR="00A16B95" w:rsidRPr="006571AC">
        <w:rPr>
          <w:rFonts w:hint="cs"/>
          <w:sz w:val="27"/>
          <w:rtl/>
          <w:lang w:bidi="ar-IQ"/>
        </w:rPr>
        <w:t>ٍ</w:t>
      </w:r>
      <w:r w:rsidRPr="006571AC">
        <w:rPr>
          <w:rFonts w:hint="cs"/>
          <w:sz w:val="27"/>
          <w:rtl/>
          <w:lang w:bidi="ar-IQ"/>
        </w:rPr>
        <w:t xml:space="preserve"> مختلفة: </w:t>
      </w:r>
    </w:p>
    <w:p w:rsidR="00381A52" w:rsidRPr="006571AC" w:rsidRDefault="00381A52" w:rsidP="00552C10">
      <w:pPr>
        <w:rPr>
          <w:sz w:val="27"/>
          <w:rtl/>
          <w:lang w:bidi="ar-IQ"/>
        </w:rPr>
      </w:pPr>
      <w:r w:rsidRPr="006571AC">
        <w:rPr>
          <w:rFonts w:hint="cs"/>
          <w:sz w:val="27"/>
          <w:rtl/>
          <w:lang w:bidi="ar-IQ"/>
        </w:rPr>
        <w:t>أـ ورد التعبير عن بعضها بلفظ</w:t>
      </w:r>
      <w:r w:rsidR="00A16B95"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قال رسول الله</w:t>
      </w:r>
      <w:r w:rsidRPr="006571AC">
        <w:rPr>
          <w:rFonts w:hint="eastAsia"/>
          <w:sz w:val="24"/>
          <w:szCs w:val="24"/>
          <w:rtl/>
        </w:rPr>
        <w:t>»</w:t>
      </w:r>
      <w:r w:rsidRPr="006571AC">
        <w:rPr>
          <w:rFonts w:hint="cs"/>
          <w:sz w:val="27"/>
          <w:rtl/>
          <w:lang w:bidi="ar-IQ"/>
        </w:rPr>
        <w:t xml:space="preserve">، أو </w:t>
      </w:r>
      <w:r w:rsidRPr="006571AC">
        <w:rPr>
          <w:rFonts w:hint="eastAsia"/>
          <w:sz w:val="24"/>
          <w:szCs w:val="24"/>
          <w:rtl/>
        </w:rPr>
        <w:t>«</w:t>
      </w:r>
      <w:r w:rsidRPr="006571AC">
        <w:rPr>
          <w:rFonts w:hint="cs"/>
          <w:sz w:val="27"/>
          <w:rtl/>
          <w:lang w:bidi="ar-IQ"/>
        </w:rPr>
        <w:t>قال أمير المؤمنين</w:t>
      </w:r>
      <w:r w:rsidRPr="006571AC">
        <w:rPr>
          <w:rFonts w:hint="eastAsia"/>
          <w:sz w:val="24"/>
          <w:szCs w:val="24"/>
          <w:rtl/>
        </w:rPr>
        <w:t>»</w:t>
      </w:r>
      <w:r w:rsidRPr="006571AC">
        <w:rPr>
          <w:rFonts w:hint="cs"/>
          <w:sz w:val="27"/>
          <w:rtl/>
          <w:lang w:bidi="ar-IQ"/>
        </w:rPr>
        <w:t xml:space="preserve">، أو </w:t>
      </w:r>
      <w:r w:rsidRPr="006571AC">
        <w:rPr>
          <w:rFonts w:hint="eastAsia"/>
          <w:sz w:val="24"/>
          <w:szCs w:val="24"/>
          <w:rtl/>
        </w:rPr>
        <w:t>«</w:t>
      </w:r>
      <w:r w:rsidRPr="006571AC">
        <w:rPr>
          <w:rFonts w:hint="cs"/>
          <w:sz w:val="27"/>
          <w:rtl/>
          <w:lang w:bidi="ar-IQ"/>
        </w:rPr>
        <w:t>قال الصادق</w:t>
      </w:r>
      <w:r w:rsidRPr="006571AC">
        <w:rPr>
          <w:rFonts w:hint="eastAsia"/>
          <w:sz w:val="24"/>
          <w:szCs w:val="24"/>
          <w:rtl/>
        </w:rPr>
        <w:t>»</w:t>
      </w:r>
      <w:r w:rsidRPr="006571AC">
        <w:rPr>
          <w:rFonts w:hint="cs"/>
          <w:sz w:val="27"/>
          <w:rtl/>
          <w:lang w:bidi="ar-IQ"/>
        </w:rPr>
        <w:t>، وما إلى ذلك. وهي تحكي عن صدور هذه الرواية عن المعصوم بشكل</w:t>
      </w:r>
      <w:r w:rsidR="00A16B95" w:rsidRPr="006571AC">
        <w:rPr>
          <w:rFonts w:hint="cs"/>
          <w:sz w:val="27"/>
          <w:rtl/>
          <w:lang w:bidi="ar-IQ"/>
        </w:rPr>
        <w:t>ٍ</w:t>
      </w:r>
      <w:r w:rsidRPr="006571AC">
        <w:rPr>
          <w:rFonts w:hint="cs"/>
          <w:sz w:val="27"/>
          <w:rtl/>
          <w:lang w:bidi="ar-IQ"/>
        </w:rPr>
        <w:t xml:space="preserve"> </w:t>
      </w:r>
      <w:r w:rsidRPr="006571AC">
        <w:rPr>
          <w:rFonts w:hint="cs"/>
          <w:sz w:val="27"/>
          <w:rtl/>
          <w:lang w:bidi="ar-IQ"/>
        </w:rPr>
        <w:lastRenderedPageBreak/>
        <w:t>قطعي</w:t>
      </w:r>
      <w:r w:rsidR="00A16B95" w:rsidRPr="006571AC">
        <w:rPr>
          <w:rFonts w:hint="cs"/>
          <w:sz w:val="27"/>
          <w:rtl/>
          <w:lang w:bidi="ar-IQ"/>
        </w:rPr>
        <w:t>ّ،</w:t>
      </w:r>
      <w:r w:rsidRPr="006571AC">
        <w:rPr>
          <w:rFonts w:hint="cs"/>
          <w:sz w:val="27"/>
          <w:rtl/>
          <w:lang w:bidi="ar-IQ"/>
        </w:rPr>
        <w:t xml:space="preserve"> وعلى نحو</w:t>
      </w:r>
      <w:r w:rsidR="00A16B95" w:rsidRPr="006571AC">
        <w:rPr>
          <w:rFonts w:hint="cs"/>
          <w:sz w:val="27"/>
          <w:rtl/>
          <w:lang w:bidi="ar-IQ"/>
        </w:rPr>
        <w:t>ٍ</w:t>
      </w:r>
      <w:r w:rsidRPr="006571AC">
        <w:rPr>
          <w:rFonts w:hint="cs"/>
          <w:sz w:val="27"/>
          <w:rtl/>
          <w:lang w:bidi="ar-IQ"/>
        </w:rPr>
        <w:t xml:space="preserve"> جازم. </w:t>
      </w:r>
    </w:p>
    <w:p w:rsidR="00381A52" w:rsidRPr="006571AC" w:rsidRDefault="00381A52" w:rsidP="00552C10">
      <w:pPr>
        <w:rPr>
          <w:sz w:val="27"/>
          <w:rtl/>
          <w:lang w:bidi="ar-IQ"/>
        </w:rPr>
      </w:pPr>
      <w:r w:rsidRPr="006571AC">
        <w:rPr>
          <w:rFonts w:hint="cs"/>
          <w:sz w:val="27"/>
          <w:rtl/>
          <w:lang w:bidi="ar-IQ"/>
        </w:rPr>
        <w:t xml:space="preserve">ب ـ وقد ورد التعبير في بعض الروايات بلفظ: </w:t>
      </w:r>
      <w:r w:rsidRPr="006571AC">
        <w:rPr>
          <w:rFonts w:hint="eastAsia"/>
          <w:sz w:val="24"/>
          <w:szCs w:val="24"/>
          <w:rtl/>
        </w:rPr>
        <w:t>«</w:t>
      </w:r>
      <w:r w:rsidR="00A16B95" w:rsidRPr="006571AC">
        <w:rPr>
          <w:rFonts w:hint="cs"/>
          <w:sz w:val="27"/>
          <w:rtl/>
          <w:lang w:bidi="ar-IQ"/>
        </w:rPr>
        <w:t>رُوي</w:t>
      </w:r>
      <w:r w:rsidRPr="006571AC">
        <w:rPr>
          <w:rFonts w:hint="cs"/>
          <w:sz w:val="27"/>
          <w:rtl/>
          <w:lang w:bidi="ar-IQ"/>
        </w:rPr>
        <w:t xml:space="preserve"> عن النبي</w:t>
      </w:r>
      <w:r w:rsidR="00A16B95" w:rsidRPr="006571AC">
        <w:rPr>
          <w:rFonts w:hint="cs"/>
          <w:sz w:val="27"/>
          <w:rtl/>
          <w:lang w:bidi="ar-IQ"/>
        </w:rPr>
        <w:t>ّ</w:t>
      </w:r>
      <w:r w:rsidRPr="006571AC">
        <w:rPr>
          <w:rFonts w:hint="eastAsia"/>
          <w:sz w:val="24"/>
          <w:szCs w:val="24"/>
          <w:rtl/>
        </w:rPr>
        <w:t>»</w:t>
      </w:r>
      <w:r w:rsidRPr="006571AC">
        <w:rPr>
          <w:rFonts w:hint="cs"/>
          <w:sz w:val="27"/>
          <w:rtl/>
          <w:lang w:bidi="ar-IQ"/>
        </w:rPr>
        <w:t xml:space="preserve">، أو </w:t>
      </w:r>
      <w:r w:rsidRPr="006571AC">
        <w:rPr>
          <w:rFonts w:hint="eastAsia"/>
          <w:sz w:val="24"/>
          <w:szCs w:val="24"/>
          <w:rtl/>
        </w:rPr>
        <w:t>«</w:t>
      </w:r>
      <w:r w:rsidR="00A16B95" w:rsidRPr="006571AC">
        <w:rPr>
          <w:rFonts w:hint="cs"/>
          <w:sz w:val="27"/>
          <w:rtl/>
          <w:lang w:bidi="ar-IQ"/>
        </w:rPr>
        <w:t>رُوي</w:t>
      </w:r>
      <w:r w:rsidRPr="006571AC">
        <w:rPr>
          <w:rFonts w:hint="cs"/>
          <w:sz w:val="27"/>
          <w:rtl/>
          <w:lang w:bidi="ar-IQ"/>
        </w:rPr>
        <w:t xml:space="preserve"> عن أمير المؤمنين</w:t>
      </w:r>
      <w:r w:rsidRPr="006571AC">
        <w:rPr>
          <w:rFonts w:hint="eastAsia"/>
          <w:sz w:val="24"/>
          <w:szCs w:val="24"/>
          <w:rtl/>
        </w:rPr>
        <w:t>»</w:t>
      </w:r>
      <w:r w:rsidRPr="006571AC">
        <w:rPr>
          <w:rFonts w:hint="cs"/>
          <w:sz w:val="27"/>
          <w:rtl/>
          <w:lang w:bidi="ar-IQ"/>
        </w:rPr>
        <w:t xml:space="preserve">، أو </w:t>
      </w:r>
      <w:r w:rsidRPr="006571AC">
        <w:rPr>
          <w:rFonts w:hint="eastAsia"/>
          <w:sz w:val="24"/>
          <w:szCs w:val="24"/>
          <w:rtl/>
        </w:rPr>
        <w:t>«</w:t>
      </w:r>
      <w:r w:rsidR="00A16B95" w:rsidRPr="006571AC">
        <w:rPr>
          <w:rFonts w:hint="cs"/>
          <w:sz w:val="27"/>
          <w:rtl/>
          <w:lang w:bidi="ar-IQ"/>
        </w:rPr>
        <w:t>رُوي</w:t>
      </w:r>
      <w:r w:rsidRPr="006571AC">
        <w:rPr>
          <w:rFonts w:hint="cs"/>
          <w:sz w:val="27"/>
          <w:rtl/>
          <w:lang w:bidi="ar-IQ"/>
        </w:rPr>
        <w:t xml:space="preserve"> عن الصادق</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ج ـ وفي بعضها ورد ذكر اسم الشخص الذي يروي عن الإمام</w:t>
      </w:r>
      <w:r w:rsidR="00A16B95" w:rsidRPr="006571AC">
        <w:rPr>
          <w:rFonts w:hint="cs"/>
          <w:sz w:val="27"/>
          <w:rtl/>
          <w:lang w:bidi="ar-IQ"/>
        </w:rPr>
        <w:t>،</w:t>
      </w:r>
      <w:r w:rsidRPr="006571AC">
        <w:rPr>
          <w:rFonts w:hint="cs"/>
          <w:sz w:val="27"/>
          <w:rtl/>
          <w:lang w:bidi="ar-IQ"/>
        </w:rPr>
        <w:t xml:space="preserve"> بلفظ </w:t>
      </w:r>
      <w:r w:rsidRPr="006571AC">
        <w:rPr>
          <w:rFonts w:hint="eastAsia"/>
          <w:sz w:val="24"/>
          <w:szCs w:val="24"/>
          <w:rtl/>
        </w:rPr>
        <w:t>«</w:t>
      </w:r>
      <w:r w:rsidRPr="006571AC">
        <w:rPr>
          <w:rFonts w:hint="cs"/>
          <w:sz w:val="27"/>
          <w:rtl/>
          <w:lang w:bidi="ar-IQ"/>
        </w:rPr>
        <w:t>روى</w:t>
      </w:r>
      <w:r w:rsidRPr="006571AC">
        <w:rPr>
          <w:rFonts w:hint="eastAsia"/>
          <w:sz w:val="24"/>
          <w:szCs w:val="24"/>
          <w:rtl/>
        </w:rPr>
        <w:t>»</w:t>
      </w:r>
      <w:r w:rsidRPr="006571AC">
        <w:rPr>
          <w:rFonts w:hint="cs"/>
          <w:sz w:val="27"/>
          <w:rtl/>
          <w:lang w:bidi="ar-IQ"/>
        </w:rPr>
        <w:t xml:space="preserve">، من قبيل: </w:t>
      </w:r>
      <w:r w:rsidRPr="006571AC">
        <w:rPr>
          <w:rFonts w:hint="eastAsia"/>
          <w:sz w:val="24"/>
          <w:szCs w:val="24"/>
          <w:rtl/>
        </w:rPr>
        <w:t>«</w:t>
      </w:r>
      <w:r w:rsidRPr="006571AC">
        <w:rPr>
          <w:rFonts w:hint="cs"/>
          <w:sz w:val="27"/>
          <w:rtl/>
          <w:lang w:bidi="ar-IQ"/>
        </w:rPr>
        <w:t>روى زرارة عن الصادق</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د ـ وفي بعض الروايات تمّ ذكر اسم الكتاب الذي ن</w:t>
      </w:r>
      <w:r w:rsidR="00A16B95" w:rsidRPr="006571AC">
        <w:rPr>
          <w:rFonts w:hint="cs"/>
          <w:sz w:val="27"/>
          <w:rtl/>
          <w:lang w:bidi="ar-IQ"/>
        </w:rPr>
        <w:t>ُ</w:t>
      </w:r>
      <w:r w:rsidRPr="006571AC">
        <w:rPr>
          <w:rFonts w:hint="cs"/>
          <w:sz w:val="27"/>
          <w:rtl/>
          <w:lang w:bidi="ar-IQ"/>
        </w:rPr>
        <w:t>قل</w:t>
      </w:r>
      <w:r w:rsidR="00A16B95" w:rsidRPr="006571AC">
        <w:rPr>
          <w:rFonts w:hint="cs"/>
          <w:sz w:val="27"/>
          <w:rtl/>
          <w:lang w:bidi="ar-IQ"/>
        </w:rPr>
        <w:t>َ</w:t>
      </w:r>
      <w:r w:rsidRPr="006571AC">
        <w:rPr>
          <w:rFonts w:hint="cs"/>
          <w:sz w:val="27"/>
          <w:rtl/>
          <w:lang w:bidi="ar-IQ"/>
        </w:rPr>
        <w:t>ت</w:t>
      </w:r>
      <w:r w:rsidR="00A16B95" w:rsidRPr="006571AC">
        <w:rPr>
          <w:rFonts w:hint="cs"/>
          <w:sz w:val="27"/>
          <w:rtl/>
          <w:lang w:bidi="ar-IQ"/>
        </w:rPr>
        <w:t>ْ</w:t>
      </w:r>
      <w:r w:rsidRPr="006571AC">
        <w:rPr>
          <w:rFonts w:hint="cs"/>
          <w:sz w:val="27"/>
          <w:rtl/>
          <w:lang w:bidi="ar-IQ"/>
        </w:rPr>
        <w:t xml:space="preserve"> عنه الرواية، </w:t>
      </w:r>
      <w:r w:rsidR="00A16B95" w:rsidRPr="006571AC">
        <w:rPr>
          <w:rFonts w:hint="cs"/>
          <w:sz w:val="27"/>
          <w:rtl/>
          <w:lang w:bidi="ar-IQ"/>
        </w:rPr>
        <w:t>و</w:t>
      </w:r>
      <w:r w:rsidRPr="006571AC">
        <w:rPr>
          <w:rFonts w:hint="cs"/>
          <w:sz w:val="27"/>
          <w:rtl/>
          <w:lang w:bidi="ar-IQ"/>
        </w:rPr>
        <w:t xml:space="preserve">من ذلك مثلاً: </w:t>
      </w:r>
      <w:r w:rsidRPr="006571AC">
        <w:rPr>
          <w:rFonts w:hint="eastAsia"/>
          <w:sz w:val="24"/>
          <w:szCs w:val="24"/>
          <w:rtl/>
        </w:rPr>
        <w:t>«</w:t>
      </w:r>
      <w:r w:rsidRPr="006571AC">
        <w:rPr>
          <w:rFonts w:hint="cs"/>
          <w:sz w:val="27"/>
          <w:rtl/>
          <w:lang w:bidi="ar-IQ"/>
        </w:rPr>
        <w:t>في كتاب محمد بن أحمد بن يحيى</w:t>
      </w:r>
      <w:r w:rsidRPr="006571AC">
        <w:rPr>
          <w:rFonts w:hint="eastAsia"/>
          <w:sz w:val="24"/>
          <w:szCs w:val="24"/>
          <w:rtl/>
        </w:rPr>
        <w:t>»</w:t>
      </w:r>
      <w:r w:rsidRPr="006571AC">
        <w:rPr>
          <w:rFonts w:hint="cs"/>
          <w:sz w:val="27"/>
          <w:rtl/>
          <w:lang w:bidi="ar-IQ"/>
        </w:rPr>
        <w:t xml:space="preserve">. </w:t>
      </w:r>
    </w:p>
    <w:p w:rsidR="00A16B95" w:rsidRPr="006571AC" w:rsidRDefault="00381A52" w:rsidP="00552C10">
      <w:pPr>
        <w:rPr>
          <w:sz w:val="27"/>
          <w:rtl/>
          <w:lang w:bidi="ar-IQ"/>
        </w:rPr>
      </w:pPr>
      <w:r w:rsidRPr="006571AC">
        <w:rPr>
          <w:rFonts w:hint="cs"/>
          <w:sz w:val="27"/>
          <w:rtl/>
          <w:lang w:bidi="ar-IQ"/>
        </w:rPr>
        <w:t>يرى بعض العلماء أن شهادة الشيخ الصدوق في بداية كتابه تشمل جميع هذه الأقسام، و</w:t>
      </w:r>
      <w:r w:rsidR="00A16B95" w:rsidRPr="006571AC">
        <w:rPr>
          <w:rFonts w:hint="cs"/>
          <w:sz w:val="27"/>
          <w:rtl/>
          <w:lang w:bidi="ar-IQ"/>
        </w:rPr>
        <w:t>أ</w:t>
      </w:r>
      <w:r w:rsidRPr="006571AC">
        <w:rPr>
          <w:rFonts w:hint="cs"/>
          <w:sz w:val="27"/>
          <w:rtl/>
          <w:lang w:bidi="ar-IQ"/>
        </w:rPr>
        <w:t>ن هذا الاختلاف في التعبير لا يحكي عن أن بعض الروايات لا ت</w:t>
      </w:r>
      <w:r w:rsidR="00A16B95" w:rsidRPr="006571AC">
        <w:rPr>
          <w:rFonts w:hint="cs"/>
          <w:sz w:val="27"/>
          <w:rtl/>
          <w:lang w:bidi="ar-IQ"/>
        </w:rPr>
        <w:t>ُ</w:t>
      </w:r>
      <w:r w:rsidRPr="006571AC">
        <w:rPr>
          <w:rFonts w:hint="cs"/>
          <w:sz w:val="27"/>
          <w:rtl/>
          <w:lang w:bidi="ar-IQ"/>
        </w:rPr>
        <w:t>ع</w:t>
      </w:r>
      <w:r w:rsidR="00A16B95" w:rsidRPr="006571AC">
        <w:rPr>
          <w:rFonts w:hint="cs"/>
          <w:sz w:val="27"/>
          <w:rtl/>
          <w:lang w:bidi="ar-IQ"/>
        </w:rPr>
        <w:t>َ</w:t>
      </w:r>
      <w:r w:rsidRPr="006571AC">
        <w:rPr>
          <w:rFonts w:hint="cs"/>
          <w:sz w:val="27"/>
          <w:rtl/>
          <w:lang w:bidi="ar-IQ"/>
        </w:rPr>
        <w:t>دّ من مرسلات الشيخ الصدوق</w:t>
      </w:r>
      <w:r w:rsidRPr="006571AC">
        <w:rPr>
          <w:sz w:val="27"/>
          <w:vertAlign w:val="superscript"/>
          <w:rtl/>
          <w:lang w:bidi="ar-IQ"/>
        </w:rPr>
        <w:t>(</w:t>
      </w:r>
      <w:r w:rsidRPr="006571AC">
        <w:rPr>
          <w:rStyle w:val="ac"/>
          <w:sz w:val="27"/>
          <w:rtl/>
          <w:lang w:bidi="ar-IQ"/>
        </w:rPr>
        <w:endnoteReference w:id="278"/>
      </w:r>
      <w:r w:rsidRPr="006571AC">
        <w:rPr>
          <w:sz w:val="27"/>
          <w:vertAlign w:val="superscript"/>
          <w:rtl/>
          <w:lang w:bidi="ar-IQ"/>
        </w:rPr>
        <w:t>)</w:t>
      </w:r>
      <w:r w:rsidR="00A16B95" w:rsidRPr="006571AC">
        <w:rPr>
          <w:rFonts w:hint="cs"/>
          <w:sz w:val="27"/>
          <w:rtl/>
          <w:lang w:bidi="ar-IQ"/>
        </w:rPr>
        <w:t>.</w:t>
      </w:r>
    </w:p>
    <w:p w:rsidR="005A352A" w:rsidRPr="006571AC" w:rsidRDefault="00731867" w:rsidP="00552C10">
      <w:pPr>
        <w:rPr>
          <w:sz w:val="27"/>
          <w:rtl/>
          <w:lang w:bidi="ar-IQ"/>
        </w:rPr>
      </w:pPr>
      <w:r w:rsidRPr="006571AC">
        <w:rPr>
          <w:rFonts w:hint="cs"/>
          <w:sz w:val="27"/>
          <w:rtl/>
          <w:lang w:bidi="ar-IQ"/>
        </w:rPr>
        <w:t>بَيْدَ</w:t>
      </w:r>
      <w:r w:rsidR="00381A52" w:rsidRPr="006571AC">
        <w:rPr>
          <w:rFonts w:hint="cs"/>
          <w:sz w:val="27"/>
          <w:rtl/>
          <w:lang w:bidi="ar-IQ"/>
        </w:rPr>
        <w:t xml:space="preserve"> أن جماعة</w:t>
      </w:r>
      <w:r w:rsidR="00A16B95" w:rsidRPr="006571AC">
        <w:rPr>
          <w:rFonts w:hint="cs"/>
          <w:sz w:val="27"/>
          <w:rtl/>
          <w:lang w:bidi="ar-IQ"/>
        </w:rPr>
        <w:t>ً</w:t>
      </w:r>
      <w:r w:rsidR="00381A52" w:rsidRPr="006571AC">
        <w:rPr>
          <w:rFonts w:hint="cs"/>
          <w:sz w:val="27"/>
          <w:rtl/>
          <w:lang w:bidi="ar-IQ"/>
        </w:rPr>
        <w:t xml:space="preserve"> أخرى من العلماء ذهبت إلى الاعتقاد بأن حج</w:t>
      </w:r>
      <w:r w:rsidR="00A16B95" w:rsidRPr="006571AC">
        <w:rPr>
          <w:rFonts w:hint="cs"/>
          <w:sz w:val="27"/>
          <w:rtl/>
          <w:lang w:bidi="ar-IQ"/>
        </w:rPr>
        <w:t>ِّي</w:t>
      </w:r>
      <w:r w:rsidR="00381A52" w:rsidRPr="006571AC">
        <w:rPr>
          <w:rFonts w:hint="cs"/>
          <w:sz w:val="27"/>
          <w:rtl/>
          <w:lang w:bidi="ar-IQ"/>
        </w:rPr>
        <w:t>ة مراسيل الشيخ الصدوق إنما تقتصر على المجموعة الأولى من المراسيل التي ذكرها الشيخ الصدوق ونسبها إلى المعصوم بشكل</w:t>
      </w:r>
      <w:r w:rsidR="00A16B95" w:rsidRPr="006571AC">
        <w:rPr>
          <w:rFonts w:hint="cs"/>
          <w:sz w:val="27"/>
          <w:rtl/>
          <w:lang w:bidi="ar-IQ"/>
        </w:rPr>
        <w:t>ٍ</w:t>
      </w:r>
      <w:r w:rsidR="00381A52" w:rsidRPr="006571AC">
        <w:rPr>
          <w:rFonts w:hint="cs"/>
          <w:sz w:val="27"/>
          <w:rtl/>
          <w:lang w:bidi="ar-IQ"/>
        </w:rPr>
        <w:t xml:space="preserve"> قطعي</w:t>
      </w:r>
      <w:r w:rsidR="00A16B95" w:rsidRPr="006571AC">
        <w:rPr>
          <w:rFonts w:hint="cs"/>
          <w:sz w:val="27"/>
          <w:rtl/>
          <w:lang w:bidi="ar-IQ"/>
        </w:rPr>
        <w:t>ّ</w:t>
      </w:r>
      <w:r w:rsidR="00381A52" w:rsidRPr="006571AC">
        <w:rPr>
          <w:rFonts w:hint="cs"/>
          <w:sz w:val="27"/>
          <w:rtl/>
          <w:lang w:bidi="ar-IQ"/>
        </w:rPr>
        <w:t xml:space="preserve">، بلفظ </w:t>
      </w:r>
      <w:r w:rsidR="00381A52" w:rsidRPr="006571AC">
        <w:rPr>
          <w:rFonts w:hint="eastAsia"/>
          <w:sz w:val="24"/>
          <w:szCs w:val="24"/>
          <w:rtl/>
        </w:rPr>
        <w:t>«</w:t>
      </w:r>
      <w:r w:rsidR="00381A52" w:rsidRPr="006571AC">
        <w:rPr>
          <w:rFonts w:hint="cs"/>
          <w:sz w:val="27"/>
          <w:rtl/>
          <w:lang w:bidi="ar-IQ"/>
        </w:rPr>
        <w:t>قال</w:t>
      </w:r>
      <w:r w:rsidR="00381A52" w:rsidRPr="006571AC">
        <w:rPr>
          <w:rFonts w:hint="eastAsia"/>
          <w:sz w:val="24"/>
          <w:szCs w:val="24"/>
          <w:rtl/>
        </w:rPr>
        <w:t>»</w:t>
      </w:r>
      <w:r w:rsidR="00381A52" w:rsidRPr="006571AC">
        <w:rPr>
          <w:sz w:val="27"/>
          <w:vertAlign w:val="superscript"/>
          <w:rtl/>
          <w:lang w:bidi="ar-IQ"/>
        </w:rPr>
        <w:t>(</w:t>
      </w:r>
      <w:r w:rsidR="00381A52" w:rsidRPr="006571AC">
        <w:rPr>
          <w:rStyle w:val="ac"/>
          <w:sz w:val="27"/>
          <w:rtl/>
          <w:lang w:bidi="ar-IQ"/>
        </w:rPr>
        <w:endnoteReference w:id="279"/>
      </w:r>
      <w:r w:rsidR="00381A52" w:rsidRPr="006571AC">
        <w:rPr>
          <w:sz w:val="27"/>
          <w:vertAlign w:val="superscript"/>
          <w:rtl/>
          <w:lang w:bidi="ar-IQ"/>
        </w:rPr>
        <w:t>)</w:t>
      </w:r>
      <w:r w:rsidR="00381A52" w:rsidRPr="006571AC">
        <w:rPr>
          <w:rFonts w:hint="cs"/>
          <w:sz w:val="27"/>
          <w:rtl/>
          <w:lang w:bidi="ar-IQ"/>
        </w:rPr>
        <w:t>. وبالمناسبة فإنهم لا يعتبرون هذه الطائفة من مراسيل الشيخ الصدوق أقلّ شأناً من مراسيل ابن أبي عُم</w:t>
      </w:r>
      <w:r w:rsidR="005A352A" w:rsidRPr="006571AC">
        <w:rPr>
          <w:rFonts w:hint="cs"/>
          <w:sz w:val="27"/>
          <w:rtl/>
          <w:lang w:bidi="ar-IQ"/>
        </w:rPr>
        <w:t>َ</w:t>
      </w:r>
      <w:r w:rsidR="00381A52" w:rsidRPr="006571AC">
        <w:rPr>
          <w:rFonts w:hint="cs"/>
          <w:sz w:val="27"/>
          <w:rtl/>
          <w:lang w:bidi="ar-IQ"/>
        </w:rPr>
        <w:t>ي</w:t>
      </w:r>
      <w:r w:rsidR="005A352A" w:rsidRPr="006571AC">
        <w:rPr>
          <w:rFonts w:hint="cs"/>
          <w:sz w:val="27"/>
          <w:rtl/>
          <w:lang w:bidi="ar-IQ"/>
        </w:rPr>
        <w:t>ْ</w:t>
      </w:r>
      <w:r w:rsidR="00381A52" w:rsidRPr="006571AC">
        <w:rPr>
          <w:rFonts w:hint="cs"/>
          <w:sz w:val="27"/>
          <w:rtl/>
          <w:lang w:bidi="ar-IQ"/>
        </w:rPr>
        <w:t>ر</w:t>
      </w:r>
      <w:r w:rsidR="005A352A"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 xml:space="preserve">وعلى </w:t>
      </w:r>
      <w:r w:rsidR="005A352A" w:rsidRPr="006571AC">
        <w:rPr>
          <w:rFonts w:hint="cs"/>
          <w:sz w:val="27"/>
          <w:rtl/>
          <w:lang w:bidi="ar-IQ"/>
        </w:rPr>
        <w:t>أيّ</w:t>
      </w:r>
      <w:r w:rsidRPr="006571AC">
        <w:rPr>
          <w:rFonts w:hint="cs"/>
          <w:sz w:val="27"/>
          <w:rtl/>
          <w:lang w:bidi="ar-IQ"/>
        </w:rPr>
        <w:t xml:space="preserve"> حال</w:t>
      </w:r>
      <w:r w:rsidR="005A352A" w:rsidRPr="006571AC">
        <w:rPr>
          <w:rFonts w:hint="cs"/>
          <w:sz w:val="27"/>
          <w:rtl/>
          <w:lang w:bidi="ar-IQ"/>
        </w:rPr>
        <w:t>ٍ</w:t>
      </w:r>
      <w:r w:rsidRPr="006571AC">
        <w:rPr>
          <w:rFonts w:hint="cs"/>
          <w:sz w:val="27"/>
          <w:rtl/>
          <w:lang w:bidi="ar-IQ"/>
        </w:rPr>
        <w:t xml:space="preserve"> فإن</w:t>
      </w:r>
      <w:r w:rsidR="005A352A" w:rsidRPr="006571AC">
        <w:rPr>
          <w:rFonts w:hint="cs"/>
          <w:sz w:val="27"/>
          <w:rtl/>
          <w:lang w:bidi="ar-IQ"/>
        </w:rPr>
        <w:t>هم يرَوْن</w:t>
      </w:r>
      <w:r w:rsidRPr="006571AC">
        <w:rPr>
          <w:rFonts w:hint="cs"/>
          <w:sz w:val="27"/>
          <w:rtl/>
          <w:lang w:bidi="ar-IQ"/>
        </w:rPr>
        <w:t xml:space="preserve"> الرواية الأولى التي نقلت عن النبي</w:t>
      </w:r>
      <w:r w:rsidR="005A352A" w:rsidRPr="006571AC">
        <w:rPr>
          <w:rFonts w:hint="cs"/>
          <w:sz w:val="27"/>
          <w:rtl/>
          <w:lang w:bidi="ar-IQ"/>
        </w:rPr>
        <w:t>ّ</w:t>
      </w:r>
      <w:r w:rsidRPr="006571AC">
        <w:rPr>
          <w:rFonts w:hint="cs"/>
          <w:sz w:val="27"/>
          <w:rtl/>
          <w:lang w:bidi="ar-IQ"/>
        </w:rPr>
        <w:t xml:space="preserve"> الأكرم</w:t>
      </w:r>
      <w:r w:rsidR="005A352A" w:rsidRPr="006571AC">
        <w:rPr>
          <w:rFonts w:ascii="Mosawi" w:hAnsi="Mosawi" w:cs="Mosawi"/>
          <w:sz w:val="22"/>
          <w:szCs w:val="22"/>
          <w:rtl/>
        </w:rPr>
        <w:t>|</w:t>
      </w:r>
      <w:r w:rsidR="005A352A" w:rsidRPr="006571AC">
        <w:rPr>
          <w:rFonts w:hint="cs"/>
          <w:sz w:val="27"/>
          <w:rtl/>
          <w:lang w:bidi="ar-IQ"/>
        </w:rPr>
        <w:t>؛</w:t>
      </w:r>
      <w:r w:rsidRPr="006571AC">
        <w:rPr>
          <w:rFonts w:hint="cs"/>
          <w:sz w:val="27"/>
          <w:rtl/>
          <w:lang w:bidi="ar-IQ"/>
        </w:rPr>
        <w:t xml:space="preserve"> حيث عبّ</w:t>
      </w:r>
      <w:r w:rsidR="005A352A" w:rsidRPr="006571AC">
        <w:rPr>
          <w:rFonts w:hint="cs"/>
          <w:sz w:val="27"/>
          <w:rtl/>
          <w:lang w:bidi="ar-IQ"/>
        </w:rPr>
        <w:t>َ</w:t>
      </w:r>
      <w:r w:rsidRPr="006571AC">
        <w:rPr>
          <w:rFonts w:hint="cs"/>
          <w:sz w:val="27"/>
          <w:rtl/>
          <w:lang w:bidi="ar-IQ"/>
        </w:rPr>
        <w:t xml:space="preserve">ر عنها الشيخ الصدوق بلفظ </w:t>
      </w:r>
      <w:r w:rsidRPr="006571AC">
        <w:rPr>
          <w:rFonts w:hint="eastAsia"/>
          <w:sz w:val="24"/>
          <w:szCs w:val="24"/>
          <w:rtl/>
        </w:rPr>
        <w:t>«</w:t>
      </w:r>
      <w:r w:rsidRPr="006571AC">
        <w:rPr>
          <w:rFonts w:hint="cs"/>
          <w:sz w:val="27"/>
          <w:rtl/>
          <w:lang w:bidi="ar-IQ"/>
        </w:rPr>
        <w:t>قال</w:t>
      </w:r>
      <w:r w:rsidRPr="006571AC">
        <w:rPr>
          <w:rFonts w:hint="eastAsia"/>
          <w:sz w:val="24"/>
          <w:szCs w:val="24"/>
          <w:rtl/>
        </w:rPr>
        <w:t>»</w:t>
      </w:r>
      <w:r w:rsidR="005A352A" w:rsidRPr="006571AC">
        <w:rPr>
          <w:rFonts w:hint="cs"/>
          <w:sz w:val="27"/>
          <w:rtl/>
          <w:lang w:bidi="ar-IQ"/>
        </w:rPr>
        <w:t>،</w:t>
      </w:r>
      <w:r w:rsidRPr="006571AC">
        <w:rPr>
          <w:rFonts w:hint="cs"/>
          <w:sz w:val="27"/>
          <w:rtl/>
          <w:lang w:bidi="ar-IQ"/>
        </w:rPr>
        <w:t xml:space="preserve"> معتبرة</w:t>
      </w:r>
      <w:r w:rsidR="005A352A" w:rsidRPr="006571AC">
        <w:rPr>
          <w:rFonts w:hint="cs"/>
          <w:sz w:val="27"/>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b/>
          <w:bCs/>
          <w:sz w:val="27"/>
          <w:rtl/>
          <w:lang w:bidi="ar-IQ"/>
        </w:rPr>
        <w:t xml:space="preserve">تقريب الاستدلال: </w:t>
      </w:r>
      <w:r w:rsidRPr="006571AC">
        <w:rPr>
          <w:rFonts w:hint="cs"/>
          <w:sz w:val="27"/>
          <w:rtl/>
          <w:lang w:bidi="ar-IQ"/>
        </w:rPr>
        <w:t>في هاتين الروايتين ورد ذكر الصلح بشكل</w:t>
      </w:r>
      <w:r w:rsidR="005A352A" w:rsidRPr="006571AC">
        <w:rPr>
          <w:rFonts w:hint="cs"/>
          <w:sz w:val="27"/>
          <w:rtl/>
          <w:lang w:bidi="ar-IQ"/>
        </w:rPr>
        <w:t>ٍ</w:t>
      </w:r>
      <w:r w:rsidRPr="006571AC">
        <w:rPr>
          <w:rFonts w:hint="cs"/>
          <w:sz w:val="27"/>
          <w:rtl/>
          <w:lang w:bidi="ar-IQ"/>
        </w:rPr>
        <w:t xml:space="preserve"> مطلق</w:t>
      </w:r>
      <w:r w:rsidR="005A352A" w:rsidRPr="006571AC">
        <w:rPr>
          <w:rFonts w:hint="cs"/>
          <w:sz w:val="27"/>
          <w:rtl/>
          <w:lang w:bidi="ar-IQ"/>
        </w:rPr>
        <w:t>،</w:t>
      </w:r>
      <w:r w:rsidRPr="006571AC">
        <w:rPr>
          <w:rFonts w:hint="cs"/>
          <w:sz w:val="27"/>
          <w:rtl/>
          <w:lang w:bidi="ar-IQ"/>
        </w:rPr>
        <w:t xml:space="preserve"> ومن دون ق</w:t>
      </w:r>
      <w:r w:rsidR="005A352A" w:rsidRPr="006571AC">
        <w:rPr>
          <w:rFonts w:hint="cs"/>
          <w:sz w:val="27"/>
          <w:rtl/>
          <w:lang w:bidi="ar-IQ"/>
        </w:rPr>
        <w:t>َ</w:t>
      </w:r>
      <w:r w:rsidRPr="006571AC">
        <w:rPr>
          <w:rFonts w:hint="cs"/>
          <w:sz w:val="27"/>
          <w:rtl/>
          <w:lang w:bidi="ar-IQ"/>
        </w:rPr>
        <w:t>ي</w:t>
      </w:r>
      <w:r w:rsidR="005A352A" w:rsidRPr="006571AC">
        <w:rPr>
          <w:rFonts w:hint="cs"/>
          <w:sz w:val="27"/>
          <w:rtl/>
          <w:lang w:bidi="ar-IQ"/>
        </w:rPr>
        <w:t>ْ</w:t>
      </w:r>
      <w:r w:rsidRPr="006571AC">
        <w:rPr>
          <w:rFonts w:hint="cs"/>
          <w:sz w:val="27"/>
          <w:rtl/>
          <w:lang w:bidi="ar-IQ"/>
        </w:rPr>
        <w:t>د سبق الخصومة والنزاع، واعتبر ذلك نافذاً وصحيحاً</w:t>
      </w:r>
      <w:r w:rsidR="005A352A" w:rsidRPr="006571AC">
        <w:rPr>
          <w:rFonts w:hint="cs"/>
          <w:sz w:val="27"/>
          <w:rtl/>
          <w:lang w:bidi="ar-IQ"/>
        </w:rPr>
        <w:t>.</w:t>
      </w:r>
      <w:r w:rsidRPr="006571AC">
        <w:rPr>
          <w:rFonts w:hint="cs"/>
          <w:sz w:val="27"/>
          <w:rtl/>
          <w:lang w:bidi="ar-IQ"/>
        </w:rPr>
        <w:t xml:space="preserve"> وذهب الفقهاء إلى الاعتقاد بكفاية هذا الإطلاق لاعتبار الصلح الابتدائي. </w:t>
      </w:r>
    </w:p>
    <w:p w:rsidR="00381A52" w:rsidRPr="006571AC" w:rsidRDefault="005A352A" w:rsidP="00552C10">
      <w:pPr>
        <w:rPr>
          <w:sz w:val="27"/>
          <w:rtl/>
          <w:lang w:bidi="ar-IQ"/>
        </w:rPr>
      </w:pPr>
      <w:r w:rsidRPr="006571AC">
        <w:rPr>
          <w:rFonts w:hint="cs"/>
          <w:sz w:val="27"/>
          <w:rtl/>
          <w:lang w:bidi="ar-IQ"/>
        </w:rPr>
        <w:t xml:space="preserve">ولكنْ </w:t>
      </w:r>
      <w:r w:rsidR="00381A52" w:rsidRPr="006571AC">
        <w:rPr>
          <w:rFonts w:hint="cs"/>
          <w:sz w:val="27"/>
          <w:rtl/>
          <w:lang w:bidi="ar-IQ"/>
        </w:rPr>
        <w:t>يبدو أن إطلاق هاتين الروايتين لجهة استعمال مفردة الصلح والمتفاهم العُر</w:t>
      </w:r>
      <w:r w:rsidRPr="006571AC">
        <w:rPr>
          <w:rFonts w:hint="cs"/>
          <w:sz w:val="27"/>
          <w:rtl/>
          <w:lang w:bidi="ar-IQ"/>
        </w:rPr>
        <w:t>ْ</w:t>
      </w:r>
      <w:r w:rsidR="00381A52" w:rsidRPr="006571AC">
        <w:rPr>
          <w:rFonts w:hint="cs"/>
          <w:sz w:val="27"/>
          <w:rtl/>
          <w:lang w:bidi="ar-IQ"/>
        </w:rPr>
        <w:t xml:space="preserve">في منها لا يشمل الصلح الابتدائي؛ إذ </w:t>
      </w:r>
      <w:r w:rsidRPr="006571AC">
        <w:rPr>
          <w:rFonts w:hint="cs"/>
          <w:sz w:val="27"/>
          <w:rtl/>
          <w:lang w:bidi="ar-IQ"/>
        </w:rPr>
        <w:t>إ</w:t>
      </w:r>
      <w:r w:rsidR="00381A52" w:rsidRPr="006571AC">
        <w:rPr>
          <w:rFonts w:hint="cs"/>
          <w:sz w:val="27"/>
          <w:rtl/>
          <w:lang w:bidi="ar-IQ"/>
        </w:rPr>
        <w:t>نه من الناحية اللغوية والفهم الع</w:t>
      </w:r>
      <w:r w:rsidRPr="006571AC">
        <w:rPr>
          <w:rFonts w:hint="cs"/>
          <w:sz w:val="27"/>
          <w:rtl/>
          <w:lang w:bidi="ar-IQ"/>
        </w:rPr>
        <w:t>ُ</w:t>
      </w:r>
      <w:r w:rsidR="00381A52" w:rsidRPr="006571AC">
        <w:rPr>
          <w:rFonts w:hint="cs"/>
          <w:sz w:val="27"/>
          <w:rtl/>
          <w:lang w:bidi="ar-IQ"/>
        </w:rPr>
        <w:t>ر</w:t>
      </w:r>
      <w:r w:rsidRPr="006571AC">
        <w:rPr>
          <w:rFonts w:hint="cs"/>
          <w:sz w:val="27"/>
          <w:rtl/>
          <w:lang w:bidi="ar-IQ"/>
        </w:rPr>
        <w:t>ْ</w:t>
      </w:r>
      <w:r w:rsidR="00381A52" w:rsidRPr="006571AC">
        <w:rPr>
          <w:rFonts w:hint="cs"/>
          <w:sz w:val="27"/>
          <w:rtl/>
          <w:lang w:bidi="ar-IQ"/>
        </w:rPr>
        <w:t>في يختص</w:t>
      </w:r>
      <w:r w:rsidRPr="006571AC">
        <w:rPr>
          <w:rFonts w:hint="cs"/>
          <w:sz w:val="27"/>
          <w:rtl/>
          <w:lang w:bidi="ar-IQ"/>
        </w:rPr>
        <w:t>ّ</w:t>
      </w:r>
      <w:r w:rsidR="00381A52" w:rsidRPr="006571AC">
        <w:rPr>
          <w:rFonts w:hint="cs"/>
          <w:sz w:val="27"/>
          <w:rtl/>
          <w:lang w:bidi="ar-IQ"/>
        </w:rPr>
        <w:t xml:space="preserve"> بالصلح المسبوق بالنزاع. وحت</w:t>
      </w:r>
      <w:r w:rsidRPr="006571AC">
        <w:rPr>
          <w:rFonts w:hint="cs"/>
          <w:sz w:val="27"/>
          <w:rtl/>
          <w:lang w:bidi="ar-IQ"/>
        </w:rPr>
        <w:t>ّ</w:t>
      </w:r>
      <w:r w:rsidR="00381A52" w:rsidRPr="006571AC">
        <w:rPr>
          <w:rFonts w:hint="cs"/>
          <w:sz w:val="27"/>
          <w:rtl/>
          <w:lang w:bidi="ar-IQ"/>
        </w:rPr>
        <w:t>ى في حالة الشك</w:t>
      </w:r>
      <w:r w:rsidRPr="006571AC">
        <w:rPr>
          <w:rFonts w:hint="cs"/>
          <w:sz w:val="27"/>
          <w:rtl/>
          <w:lang w:bidi="ar-IQ"/>
        </w:rPr>
        <w:t>ّ</w:t>
      </w:r>
      <w:r w:rsidR="00381A52" w:rsidRPr="006571AC">
        <w:rPr>
          <w:rFonts w:hint="cs"/>
          <w:sz w:val="27"/>
          <w:rtl/>
          <w:lang w:bidi="ar-IQ"/>
        </w:rPr>
        <w:t xml:space="preserve"> لا يمكن التمسّ</w:t>
      </w:r>
      <w:r w:rsidRPr="006571AC">
        <w:rPr>
          <w:rFonts w:hint="cs"/>
          <w:sz w:val="27"/>
          <w:rtl/>
          <w:lang w:bidi="ar-IQ"/>
        </w:rPr>
        <w:t>ُ</w:t>
      </w:r>
      <w:r w:rsidR="00381A52" w:rsidRPr="006571AC">
        <w:rPr>
          <w:rFonts w:hint="cs"/>
          <w:sz w:val="27"/>
          <w:rtl/>
          <w:lang w:bidi="ar-IQ"/>
        </w:rPr>
        <w:t>ك بهذه الإطلاقات</w:t>
      </w:r>
      <w:r w:rsidRPr="006571AC">
        <w:rPr>
          <w:rFonts w:hint="cs"/>
          <w:sz w:val="27"/>
          <w:rtl/>
          <w:lang w:bidi="ar-IQ"/>
        </w:rPr>
        <w:t>؛</w:t>
      </w:r>
      <w:r w:rsidR="00381A52" w:rsidRPr="006571AC">
        <w:rPr>
          <w:rFonts w:hint="cs"/>
          <w:sz w:val="27"/>
          <w:rtl/>
          <w:lang w:bidi="ar-IQ"/>
        </w:rPr>
        <w:t xml:space="preserve"> إذ </w:t>
      </w:r>
      <w:r w:rsidRPr="006571AC">
        <w:rPr>
          <w:rFonts w:hint="cs"/>
          <w:sz w:val="27"/>
          <w:rtl/>
          <w:lang w:bidi="ar-IQ"/>
        </w:rPr>
        <w:t>إ</w:t>
      </w:r>
      <w:r w:rsidR="00381A52" w:rsidRPr="006571AC">
        <w:rPr>
          <w:rFonts w:hint="cs"/>
          <w:sz w:val="27"/>
          <w:rtl/>
          <w:lang w:bidi="ar-IQ"/>
        </w:rPr>
        <w:t>ن شرط التمسّ</w:t>
      </w:r>
      <w:r w:rsidRPr="006571AC">
        <w:rPr>
          <w:rFonts w:hint="cs"/>
          <w:sz w:val="27"/>
          <w:rtl/>
          <w:lang w:bidi="ar-IQ"/>
        </w:rPr>
        <w:t>ُ</w:t>
      </w:r>
      <w:r w:rsidR="00381A52" w:rsidRPr="006571AC">
        <w:rPr>
          <w:rFonts w:hint="cs"/>
          <w:sz w:val="27"/>
          <w:rtl/>
          <w:lang w:bidi="ar-IQ"/>
        </w:rPr>
        <w:t>ك بالإطلاق إحراز صدق عنوان الطبيعة؛ بمعنى أننا إذا أر</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 xml:space="preserve">نا التمسّك بإطلاق دليل </w:t>
      </w:r>
      <w:r w:rsidR="00381A52" w:rsidRPr="006571AC">
        <w:rPr>
          <w:rFonts w:hint="eastAsia"/>
          <w:sz w:val="24"/>
          <w:szCs w:val="24"/>
          <w:rtl/>
        </w:rPr>
        <w:t>«</w:t>
      </w:r>
      <w:r w:rsidR="00381A52" w:rsidRPr="006571AC">
        <w:rPr>
          <w:rFonts w:hint="cs"/>
          <w:sz w:val="27"/>
          <w:rtl/>
          <w:lang w:bidi="ar-IQ"/>
        </w:rPr>
        <w:t>الصلح جائز</w:t>
      </w:r>
      <w:r w:rsidRPr="006571AC">
        <w:rPr>
          <w:rFonts w:hint="cs"/>
          <w:sz w:val="27"/>
          <w:rtl/>
          <w:lang w:bidi="ar-IQ"/>
        </w:rPr>
        <w:t>ٌ</w:t>
      </w:r>
      <w:r w:rsidR="00381A52" w:rsidRPr="006571AC">
        <w:rPr>
          <w:rFonts w:hint="cs"/>
          <w:sz w:val="27"/>
          <w:rtl/>
          <w:lang w:bidi="ar-IQ"/>
        </w:rPr>
        <w:t xml:space="preserve"> بين المسلمين</w:t>
      </w:r>
      <w:r w:rsidR="00381A52" w:rsidRPr="006571AC">
        <w:rPr>
          <w:rFonts w:hint="eastAsia"/>
          <w:sz w:val="24"/>
          <w:szCs w:val="24"/>
          <w:rtl/>
        </w:rPr>
        <w:t>»</w:t>
      </w:r>
      <w:r w:rsidRPr="006571AC">
        <w:rPr>
          <w:rFonts w:hint="cs"/>
          <w:sz w:val="27"/>
          <w:rtl/>
          <w:lang w:bidi="ar-IQ"/>
        </w:rPr>
        <w:t>؛</w:t>
      </w:r>
      <w:r w:rsidR="00381A52" w:rsidRPr="006571AC">
        <w:rPr>
          <w:rFonts w:hint="cs"/>
          <w:sz w:val="27"/>
          <w:rtl/>
          <w:lang w:bidi="ar-IQ"/>
        </w:rPr>
        <w:t xml:space="preserve"> لنفي شرطية سبق الخصومة، وجب أن نحرز ما إذا كان يُط</w:t>
      </w:r>
      <w:r w:rsidRPr="006571AC">
        <w:rPr>
          <w:rFonts w:hint="cs"/>
          <w:sz w:val="27"/>
          <w:rtl/>
          <w:lang w:bidi="ar-IQ"/>
        </w:rPr>
        <w:t>ْ</w:t>
      </w:r>
      <w:r w:rsidR="00381A52" w:rsidRPr="006571AC">
        <w:rPr>
          <w:rFonts w:hint="cs"/>
          <w:sz w:val="27"/>
          <w:rtl/>
          <w:lang w:bidi="ar-IQ"/>
        </w:rPr>
        <w:t>ل</w:t>
      </w:r>
      <w:r w:rsidRPr="006571AC">
        <w:rPr>
          <w:rFonts w:hint="cs"/>
          <w:sz w:val="27"/>
          <w:rtl/>
          <w:lang w:bidi="ar-IQ"/>
        </w:rPr>
        <w:t>َ</w:t>
      </w:r>
      <w:r w:rsidR="00381A52" w:rsidRPr="006571AC">
        <w:rPr>
          <w:rFonts w:hint="cs"/>
          <w:sz w:val="27"/>
          <w:rtl/>
          <w:lang w:bidi="ar-IQ"/>
        </w:rPr>
        <w:t>ق لفظ الصلح على الصلح الابتدائي أم لا؟ ولذلك حيث يكون صدق عنوان الصلح على الصلح الابتدائي في الروايات مشكوكاً فيه لا يمكن التمس</w:t>
      </w:r>
      <w:r w:rsidR="00C826ED" w:rsidRPr="006571AC">
        <w:rPr>
          <w:rFonts w:hint="cs"/>
          <w:sz w:val="27"/>
          <w:rtl/>
          <w:lang w:bidi="ar-IQ"/>
        </w:rPr>
        <w:t>ُّ</w:t>
      </w:r>
      <w:r w:rsidR="00381A52" w:rsidRPr="006571AC">
        <w:rPr>
          <w:rFonts w:hint="cs"/>
          <w:sz w:val="27"/>
          <w:rtl/>
          <w:lang w:bidi="ar-IQ"/>
        </w:rPr>
        <w:t xml:space="preserve">ك </w:t>
      </w:r>
      <w:r w:rsidR="00381A52" w:rsidRPr="006571AC">
        <w:rPr>
          <w:rFonts w:hint="cs"/>
          <w:sz w:val="27"/>
          <w:rtl/>
          <w:lang w:bidi="ar-IQ"/>
        </w:rPr>
        <w:lastRenderedPageBreak/>
        <w:t>بإطلاق الأدل</w:t>
      </w:r>
      <w:r w:rsidR="00C826ED" w:rsidRPr="006571AC">
        <w:rPr>
          <w:rFonts w:hint="cs"/>
          <w:sz w:val="27"/>
          <w:rtl/>
          <w:lang w:bidi="ar-IQ"/>
        </w:rPr>
        <w:t>ّ</w:t>
      </w:r>
      <w:r w:rsidR="00381A52" w:rsidRPr="006571AC">
        <w:rPr>
          <w:rFonts w:hint="cs"/>
          <w:sz w:val="27"/>
          <w:rtl/>
          <w:lang w:bidi="ar-IQ"/>
        </w:rPr>
        <w:t>ة. وبعبارة</w:t>
      </w:r>
      <w:r w:rsidR="00C826ED" w:rsidRPr="006571AC">
        <w:rPr>
          <w:rFonts w:hint="cs"/>
          <w:sz w:val="27"/>
          <w:rtl/>
          <w:lang w:bidi="ar-IQ"/>
        </w:rPr>
        <w:t>ٍ</w:t>
      </w:r>
      <w:r w:rsidR="00381A52" w:rsidRPr="006571AC">
        <w:rPr>
          <w:rFonts w:hint="cs"/>
          <w:sz w:val="27"/>
          <w:rtl/>
          <w:lang w:bidi="ar-IQ"/>
        </w:rPr>
        <w:t xml:space="preserve"> أصولية: لا يجوز التمس</w:t>
      </w:r>
      <w:r w:rsidR="00C826ED" w:rsidRPr="006571AC">
        <w:rPr>
          <w:rFonts w:hint="cs"/>
          <w:sz w:val="27"/>
          <w:rtl/>
          <w:lang w:bidi="ar-IQ"/>
        </w:rPr>
        <w:t>ُّ</w:t>
      </w:r>
      <w:r w:rsidR="00381A52" w:rsidRPr="006571AC">
        <w:rPr>
          <w:rFonts w:hint="cs"/>
          <w:sz w:val="27"/>
          <w:rtl/>
          <w:lang w:bidi="ar-IQ"/>
        </w:rPr>
        <w:t>ك بالدليل في الشبهة المصداقية لذات الدليل</w:t>
      </w:r>
      <w:r w:rsidR="00381A52" w:rsidRPr="006571AC">
        <w:rPr>
          <w:sz w:val="27"/>
          <w:vertAlign w:val="superscript"/>
          <w:rtl/>
          <w:lang w:bidi="ar-IQ"/>
        </w:rPr>
        <w:t>(</w:t>
      </w:r>
      <w:r w:rsidR="00381A52" w:rsidRPr="006571AC">
        <w:rPr>
          <w:rStyle w:val="ac"/>
          <w:sz w:val="27"/>
          <w:rtl/>
          <w:lang w:bidi="ar-IQ"/>
        </w:rPr>
        <w:endnoteReference w:id="280"/>
      </w:r>
      <w:r w:rsidR="00381A52" w:rsidRPr="006571AC">
        <w:rPr>
          <w:sz w:val="27"/>
          <w:vertAlign w:val="superscript"/>
          <w:rtl/>
          <w:lang w:bidi="ar-IQ"/>
        </w:rPr>
        <w:t>)</w:t>
      </w:r>
      <w:r w:rsidR="00381A52" w:rsidRPr="006571AC">
        <w:rPr>
          <w:rFonts w:hint="cs"/>
          <w:sz w:val="27"/>
          <w:rtl/>
          <w:lang w:bidi="ar-IQ"/>
        </w:rPr>
        <w:t xml:space="preserve">. </w:t>
      </w:r>
    </w:p>
    <w:p w:rsidR="00C826ED" w:rsidRPr="006571AC" w:rsidRDefault="00381A52" w:rsidP="004B16C6">
      <w:pPr>
        <w:spacing w:line="420" w:lineRule="exact"/>
        <w:rPr>
          <w:sz w:val="27"/>
          <w:rtl/>
          <w:lang w:bidi="ar-IQ"/>
        </w:rPr>
      </w:pPr>
      <w:r w:rsidRPr="006571AC">
        <w:rPr>
          <w:rFonts w:hint="cs"/>
          <w:sz w:val="27"/>
          <w:rtl/>
          <w:lang w:bidi="ar-IQ"/>
        </w:rPr>
        <w:t>ولذلك فإن جملة</w:t>
      </w:r>
      <w:r w:rsidR="00C826ED" w:rsidRPr="006571AC">
        <w:rPr>
          <w:rFonts w:hint="cs"/>
          <w:sz w:val="27"/>
          <w:rtl/>
          <w:lang w:bidi="ar-IQ"/>
        </w:rPr>
        <w:t>ً</w:t>
      </w:r>
      <w:r w:rsidRPr="006571AC">
        <w:rPr>
          <w:rFonts w:hint="cs"/>
          <w:sz w:val="27"/>
          <w:rtl/>
          <w:lang w:bidi="ar-IQ"/>
        </w:rPr>
        <w:t xml:space="preserve"> من الفقهاء</w:t>
      </w:r>
      <w:r w:rsidR="00C826ED" w:rsidRPr="006571AC">
        <w:rPr>
          <w:rFonts w:hint="cs"/>
          <w:sz w:val="27"/>
          <w:rtl/>
          <w:lang w:bidi="ar-IQ"/>
        </w:rPr>
        <w:t xml:space="preserve">، </w:t>
      </w:r>
      <w:r w:rsidRPr="006571AC">
        <w:rPr>
          <w:rFonts w:hint="cs"/>
          <w:sz w:val="27"/>
          <w:rtl/>
          <w:lang w:bidi="ar-IQ"/>
        </w:rPr>
        <w:t>على الرغم من التزامهم بمشروعية الصلح الابتدائي، لا ير</w:t>
      </w:r>
      <w:r w:rsidR="00C826ED" w:rsidRPr="006571AC">
        <w:rPr>
          <w:rFonts w:hint="cs"/>
          <w:sz w:val="27"/>
          <w:rtl/>
          <w:lang w:bidi="ar-IQ"/>
        </w:rPr>
        <w:t>َ</w:t>
      </w:r>
      <w:r w:rsidRPr="006571AC">
        <w:rPr>
          <w:rFonts w:hint="cs"/>
          <w:sz w:val="27"/>
          <w:rtl/>
          <w:lang w:bidi="ar-IQ"/>
        </w:rPr>
        <w:t>و</w:t>
      </w:r>
      <w:r w:rsidR="00C826ED" w:rsidRPr="006571AC">
        <w:rPr>
          <w:rFonts w:hint="cs"/>
          <w:sz w:val="27"/>
          <w:rtl/>
          <w:lang w:bidi="ar-IQ"/>
        </w:rPr>
        <w:t>ْ</w:t>
      </w:r>
      <w:r w:rsidRPr="006571AC">
        <w:rPr>
          <w:rFonts w:hint="cs"/>
          <w:sz w:val="27"/>
          <w:rtl/>
          <w:lang w:bidi="ar-IQ"/>
        </w:rPr>
        <w:t>ن التمسّ</w:t>
      </w:r>
      <w:r w:rsidR="00C826ED" w:rsidRPr="006571AC">
        <w:rPr>
          <w:rFonts w:hint="cs"/>
          <w:sz w:val="27"/>
          <w:rtl/>
          <w:lang w:bidi="ar-IQ"/>
        </w:rPr>
        <w:t>ُ</w:t>
      </w:r>
      <w:r w:rsidRPr="006571AC">
        <w:rPr>
          <w:rFonts w:hint="cs"/>
          <w:sz w:val="27"/>
          <w:rtl/>
          <w:lang w:bidi="ar-IQ"/>
        </w:rPr>
        <w:t xml:space="preserve">ك بالأدلة </w:t>
      </w:r>
      <w:r w:rsidR="00C826ED" w:rsidRPr="006571AC">
        <w:rPr>
          <w:rFonts w:hint="cs"/>
          <w:sz w:val="27"/>
          <w:rtl/>
          <w:lang w:bidi="ar-IQ"/>
        </w:rPr>
        <w:t>المتقدِّمة</w:t>
      </w:r>
      <w:r w:rsidRPr="006571AC">
        <w:rPr>
          <w:rFonts w:hint="cs"/>
          <w:sz w:val="27"/>
          <w:rtl/>
          <w:lang w:bidi="ar-IQ"/>
        </w:rPr>
        <w:t xml:space="preserve"> خالياً من الإشكال</w:t>
      </w:r>
      <w:r w:rsidR="00C826ED" w:rsidRPr="006571AC">
        <w:rPr>
          <w:rFonts w:hint="cs"/>
          <w:sz w:val="27"/>
          <w:rtl/>
          <w:lang w:bidi="ar-IQ"/>
        </w:rPr>
        <w:t>.</w:t>
      </w:r>
    </w:p>
    <w:p w:rsidR="00381A52" w:rsidRPr="006571AC" w:rsidRDefault="00381A52" w:rsidP="004B16C6">
      <w:pPr>
        <w:spacing w:line="420" w:lineRule="exact"/>
        <w:rPr>
          <w:sz w:val="27"/>
          <w:rtl/>
          <w:lang w:bidi="ar-IQ"/>
        </w:rPr>
      </w:pPr>
      <w:r w:rsidRPr="006571AC">
        <w:rPr>
          <w:rFonts w:hint="cs"/>
          <w:sz w:val="27"/>
          <w:rtl/>
          <w:lang w:bidi="ar-IQ"/>
        </w:rPr>
        <w:t>قال السيد أحمد الخو</w:t>
      </w:r>
      <w:r w:rsidR="00C826ED" w:rsidRPr="006571AC">
        <w:rPr>
          <w:rFonts w:hint="cs"/>
          <w:sz w:val="27"/>
          <w:rtl/>
          <w:lang w:bidi="ar-IQ"/>
        </w:rPr>
        <w:t>ا</w:t>
      </w:r>
      <w:r w:rsidRPr="006571AC">
        <w:rPr>
          <w:rFonts w:hint="cs"/>
          <w:sz w:val="27"/>
          <w:rtl/>
          <w:lang w:bidi="ar-IQ"/>
        </w:rPr>
        <w:t>نساري</w:t>
      </w:r>
      <w:r w:rsidR="00C826ED" w:rsidRPr="006571AC">
        <w:rPr>
          <w:rFonts w:hint="cs"/>
          <w:sz w:val="27"/>
          <w:rtl/>
          <w:lang w:bidi="ar-IQ"/>
        </w:rPr>
        <w:t>،</w:t>
      </w:r>
      <w:r w:rsidRPr="006571AC">
        <w:rPr>
          <w:rFonts w:hint="cs"/>
          <w:sz w:val="27"/>
          <w:rtl/>
          <w:lang w:bidi="ar-IQ"/>
        </w:rPr>
        <w:t xml:space="preserve"> بعد ذكر الروايات العامّة: </w:t>
      </w:r>
      <w:r w:rsidRPr="006571AC">
        <w:rPr>
          <w:rFonts w:hint="eastAsia"/>
          <w:sz w:val="24"/>
          <w:szCs w:val="24"/>
          <w:rtl/>
        </w:rPr>
        <w:t>«</w:t>
      </w:r>
      <w:r w:rsidRPr="006571AC">
        <w:rPr>
          <w:sz w:val="27"/>
          <w:rtl/>
          <w:lang w:bidi="ar-IQ"/>
        </w:rPr>
        <w:t>وقد يتأم</w:t>
      </w:r>
      <w:r w:rsidR="00C826ED" w:rsidRPr="006571AC">
        <w:rPr>
          <w:rFonts w:hint="cs"/>
          <w:sz w:val="27"/>
          <w:rtl/>
          <w:lang w:bidi="ar-IQ"/>
        </w:rPr>
        <w:t>َّ</w:t>
      </w:r>
      <w:r w:rsidRPr="006571AC">
        <w:rPr>
          <w:sz w:val="27"/>
          <w:rtl/>
          <w:lang w:bidi="ar-IQ"/>
        </w:rPr>
        <w:t xml:space="preserve">ل </w:t>
      </w:r>
      <w:r w:rsidR="00C826ED" w:rsidRPr="006571AC">
        <w:rPr>
          <w:rFonts w:hint="cs"/>
          <w:sz w:val="27"/>
          <w:rtl/>
          <w:lang w:bidi="ar-IQ"/>
        </w:rPr>
        <w:t xml:space="preserve">في </w:t>
      </w:r>
      <w:r w:rsidRPr="006571AC">
        <w:rPr>
          <w:sz w:val="27"/>
          <w:rtl/>
          <w:lang w:bidi="ar-IQ"/>
        </w:rPr>
        <w:t>دلالة مثل النبوي وما فيه لفظ الصلح من ال</w:t>
      </w:r>
      <w:r w:rsidRPr="006571AC">
        <w:rPr>
          <w:rFonts w:hint="cs"/>
          <w:sz w:val="27"/>
          <w:rtl/>
          <w:lang w:bidi="ar-IQ"/>
        </w:rPr>
        <w:t>أ</w:t>
      </w:r>
      <w:r w:rsidRPr="006571AC">
        <w:rPr>
          <w:sz w:val="27"/>
          <w:rtl/>
          <w:lang w:bidi="ar-IQ"/>
        </w:rPr>
        <w:t>خبار على العموم</w:t>
      </w:r>
      <w:r w:rsidR="00C826ED" w:rsidRPr="006571AC">
        <w:rPr>
          <w:rFonts w:hint="cs"/>
          <w:sz w:val="27"/>
          <w:rtl/>
          <w:lang w:bidi="ar-IQ"/>
        </w:rPr>
        <w:t>؛</w:t>
      </w:r>
      <w:r w:rsidRPr="006571AC">
        <w:rPr>
          <w:rFonts w:hint="cs"/>
          <w:sz w:val="27"/>
          <w:rtl/>
          <w:lang w:bidi="ar-IQ"/>
        </w:rPr>
        <w:t xml:space="preserve"> </w:t>
      </w:r>
      <w:r w:rsidRPr="006571AC">
        <w:rPr>
          <w:sz w:val="27"/>
          <w:rtl/>
          <w:lang w:bidi="ar-IQ"/>
        </w:rPr>
        <w:t>من جهة احتمال أن مفهوم الصلح ما كان مسبوقا</w:t>
      </w:r>
      <w:r w:rsidRPr="006571AC">
        <w:rPr>
          <w:rFonts w:hint="cs"/>
          <w:sz w:val="27"/>
          <w:rtl/>
          <w:lang w:bidi="ar-IQ"/>
        </w:rPr>
        <w:t>ً</w:t>
      </w:r>
      <w:r w:rsidRPr="006571AC">
        <w:rPr>
          <w:sz w:val="27"/>
          <w:rtl/>
          <w:lang w:bidi="ar-IQ"/>
        </w:rPr>
        <w:t xml:space="preserve"> بالنزاع</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81"/>
      </w:r>
      <w:r w:rsidRPr="006571AC">
        <w:rPr>
          <w:sz w:val="27"/>
          <w:vertAlign w:val="superscript"/>
          <w:rtl/>
          <w:lang w:bidi="ar-IQ"/>
        </w:rPr>
        <w:t>)</w:t>
      </w:r>
      <w:r w:rsidRPr="006571AC">
        <w:rPr>
          <w:rFonts w:hint="cs"/>
          <w:sz w:val="27"/>
          <w:rtl/>
          <w:lang w:bidi="ar-IQ"/>
        </w:rPr>
        <w:t xml:space="preserve">. </w:t>
      </w:r>
    </w:p>
    <w:p w:rsidR="00381A52" w:rsidRPr="006571AC" w:rsidRDefault="00381A52" w:rsidP="004B16C6">
      <w:pPr>
        <w:spacing w:line="420" w:lineRule="exact"/>
        <w:rPr>
          <w:sz w:val="27"/>
          <w:rtl/>
          <w:lang w:bidi="ar-IQ"/>
        </w:rPr>
      </w:pPr>
      <w:r w:rsidRPr="006571AC">
        <w:rPr>
          <w:rFonts w:hint="cs"/>
          <w:sz w:val="27"/>
          <w:rtl/>
          <w:lang w:bidi="ar-IQ"/>
        </w:rPr>
        <w:t>بالإضافة إلى اشتمال الرواية الثانية على عبارة</w:t>
      </w:r>
      <w:r w:rsidR="00C826ED" w:rsidRPr="006571AC">
        <w:rPr>
          <w:rFonts w:hint="cs"/>
          <w:sz w:val="27"/>
          <w:rtl/>
          <w:lang w:bidi="ar-IQ"/>
        </w:rPr>
        <w:t>ٍ</w:t>
      </w:r>
      <w:r w:rsidRPr="006571AC">
        <w:rPr>
          <w:rFonts w:hint="cs"/>
          <w:sz w:val="27"/>
          <w:rtl/>
          <w:lang w:bidi="ar-IQ"/>
        </w:rPr>
        <w:t xml:space="preserve"> إذا لم تكن قرينة</w:t>
      </w:r>
      <w:r w:rsidR="00C826ED" w:rsidRPr="006571AC">
        <w:rPr>
          <w:rFonts w:hint="cs"/>
          <w:sz w:val="27"/>
          <w:rtl/>
          <w:lang w:bidi="ar-IQ"/>
        </w:rPr>
        <w:t>ً</w:t>
      </w:r>
      <w:r w:rsidRPr="006571AC">
        <w:rPr>
          <w:rFonts w:hint="cs"/>
          <w:sz w:val="27"/>
          <w:rtl/>
          <w:lang w:bidi="ar-IQ"/>
        </w:rPr>
        <w:t xml:space="preserve"> على اشتراط سبق الخصومة فلا أقل</w:t>
      </w:r>
      <w:r w:rsidR="00C826ED" w:rsidRPr="006571AC">
        <w:rPr>
          <w:rFonts w:hint="cs"/>
          <w:sz w:val="27"/>
          <w:rtl/>
          <w:lang w:bidi="ar-IQ"/>
        </w:rPr>
        <w:t>ّ</w:t>
      </w:r>
      <w:r w:rsidRPr="006571AC">
        <w:rPr>
          <w:rFonts w:hint="cs"/>
          <w:sz w:val="27"/>
          <w:rtl/>
          <w:lang w:bidi="ar-IQ"/>
        </w:rPr>
        <w:t xml:space="preserve"> من صلاحي</w:t>
      </w:r>
      <w:r w:rsidR="00C826ED" w:rsidRPr="006571AC">
        <w:rPr>
          <w:rFonts w:hint="cs"/>
          <w:sz w:val="27"/>
          <w:rtl/>
          <w:lang w:bidi="ar-IQ"/>
        </w:rPr>
        <w:t>ّ</w:t>
      </w:r>
      <w:r w:rsidRPr="006571AC">
        <w:rPr>
          <w:rFonts w:hint="cs"/>
          <w:sz w:val="27"/>
          <w:rtl/>
          <w:lang w:bidi="ar-IQ"/>
        </w:rPr>
        <w:t>تها للقريني</w:t>
      </w:r>
      <w:r w:rsidR="00C826ED" w:rsidRPr="006571AC">
        <w:rPr>
          <w:rFonts w:hint="cs"/>
          <w:sz w:val="27"/>
          <w:rtl/>
          <w:lang w:bidi="ar-IQ"/>
        </w:rPr>
        <w:t>ّ</w:t>
      </w:r>
      <w:r w:rsidRPr="006571AC">
        <w:rPr>
          <w:rFonts w:hint="cs"/>
          <w:sz w:val="27"/>
          <w:rtl/>
          <w:lang w:bidi="ar-IQ"/>
        </w:rPr>
        <w:t>ة، ولذلك من شأنها أن تكون مجملة</w:t>
      </w:r>
      <w:r w:rsidR="00C826ED" w:rsidRPr="006571AC">
        <w:rPr>
          <w:rFonts w:hint="cs"/>
          <w:sz w:val="27"/>
          <w:rtl/>
          <w:lang w:bidi="ar-IQ"/>
        </w:rPr>
        <w:t>ً</w:t>
      </w:r>
      <w:r w:rsidRPr="006571AC">
        <w:rPr>
          <w:rFonts w:hint="cs"/>
          <w:sz w:val="27"/>
          <w:rtl/>
          <w:lang w:bidi="ar-IQ"/>
        </w:rPr>
        <w:t>، وفي مثل هذه الحالة يجب التمسّ</w:t>
      </w:r>
      <w:r w:rsidR="00C826ED" w:rsidRPr="006571AC">
        <w:rPr>
          <w:rFonts w:hint="cs"/>
          <w:sz w:val="27"/>
          <w:rtl/>
          <w:lang w:bidi="ar-IQ"/>
        </w:rPr>
        <w:t>ُ</w:t>
      </w:r>
      <w:r w:rsidRPr="006571AC">
        <w:rPr>
          <w:rFonts w:hint="cs"/>
          <w:sz w:val="27"/>
          <w:rtl/>
          <w:lang w:bidi="ar-IQ"/>
        </w:rPr>
        <w:t>ك بالق</w:t>
      </w:r>
      <w:r w:rsidR="00C826ED" w:rsidRPr="006571AC">
        <w:rPr>
          <w:rFonts w:hint="cs"/>
          <w:sz w:val="27"/>
          <w:rtl/>
          <w:lang w:bidi="ar-IQ"/>
        </w:rPr>
        <w:t>َ</w:t>
      </w:r>
      <w:r w:rsidRPr="006571AC">
        <w:rPr>
          <w:rFonts w:hint="cs"/>
          <w:sz w:val="27"/>
          <w:rtl/>
          <w:lang w:bidi="ar-IQ"/>
        </w:rPr>
        <w:t>د</w:t>
      </w:r>
      <w:r w:rsidR="00C826ED" w:rsidRPr="006571AC">
        <w:rPr>
          <w:rFonts w:hint="cs"/>
          <w:sz w:val="27"/>
          <w:rtl/>
          <w:lang w:bidi="ar-IQ"/>
        </w:rPr>
        <w:t>َ</w:t>
      </w:r>
      <w:r w:rsidRPr="006571AC">
        <w:rPr>
          <w:rFonts w:hint="cs"/>
          <w:sz w:val="27"/>
          <w:rtl/>
          <w:lang w:bidi="ar-IQ"/>
        </w:rPr>
        <w:t>ر المتيقّ</w:t>
      </w:r>
      <w:r w:rsidR="00C826ED" w:rsidRPr="006571AC">
        <w:rPr>
          <w:rFonts w:hint="cs"/>
          <w:sz w:val="27"/>
          <w:rtl/>
          <w:lang w:bidi="ar-IQ"/>
        </w:rPr>
        <w:t>َ</w:t>
      </w:r>
      <w:r w:rsidRPr="006571AC">
        <w:rPr>
          <w:rFonts w:hint="cs"/>
          <w:sz w:val="27"/>
          <w:rtl/>
          <w:lang w:bidi="ar-IQ"/>
        </w:rPr>
        <w:t xml:space="preserve">ن منها، وهي صورة سبق النزاع والخصومة؛ </w:t>
      </w:r>
      <w:r w:rsidRPr="006571AC">
        <w:rPr>
          <w:sz w:val="27"/>
          <w:rtl/>
          <w:lang w:bidi="ar-IQ"/>
        </w:rPr>
        <w:t>حيث تمّ</w:t>
      </w:r>
      <w:r w:rsidR="00C826ED" w:rsidRPr="006571AC">
        <w:rPr>
          <w:rFonts w:hint="cs"/>
          <w:sz w:val="27"/>
          <w:rtl/>
          <w:lang w:bidi="ar-IQ"/>
        </w:rPr>
        <w:t>َ</w:t>
      </w:r>
      <w:r w:rsidRPr="006571AC">
        <w:rPr>
          <w:sz w:val="27"/>
          <w:rtl/>
          <w:lang w:bidi="ar-IQ"/>
        </w:rPr>
        <w:t>ت</w:t>
      </w:r>
      <w:r w:rsidR="00C826ED" w:rsidRPr="006571AC">
        <w:rPr>
          <w:rFonts w:hint="cs"/>
          <w:sz w:val="27"/>
          <w:rtl/>
          <w:lang w:bidi="ar-IQ"/>
        </w:rPr>
        <w:t>ْ</w:t>
      </w:r>
      <w:r w:rsidRPr="006571AC">
        <w:rPr>
          <w:sz w:val="27"/>
          <w:rtl/>
          <w:lang w:bidi="ar-IQ"/>
        </w:rPr>
        <w:t xml:space="preserve"> الإشارة</w:t>
      </w:r>
      <w:r w:rsidRPr="006571AC">
        <w:rPr>
          <w:rFonts w:hint="cs"/>
          <w:sz w:val="27"/>
          <w:rtl/>
          <w:lang w:bidi="ar-IQ"/>
        </w:rPr>
        <w:t xml:space="preserve"> في بداية الرواية الثانية إلى القاعدة الثابتة في القضاء الإسلامي</w:t>
      </w:r>
      <w:r w:rsidR="00C826ED" w:rsidRPr="006571AC">
        <w:rPr>
          <w:rFonts w:hint="cs"/>
          <w:sz w:val="27"/>
          <w:rtl/>
          <w:lang w:bidi="ar-IQ"/>
        </w:rPr>
        <w:t>ّ،</w:t>
      </w:r>
      <w:r w:rsidRPr="006571AC">
        <w:rPr>
          <w:rFonts w:hint="cs"/>
          <w:sz w:val="27"/>
          <w:rtl/>
          <w:lang w:bidi="ar-IQ"/>
        </w:rPr>
        <w:t xml:space="preserve"> وهي أن البيّ</w:t>
      </w:r>
      <w:r w:rsidR="00C826ED" w:rsidRPr="006571AC">
        <w:rPr>
          <w:rFonts w:hint="cs"/>
          <w:sz w:val="27"/>
          <w:rtl/>
          <w:lang w:bidi="ar-IQ"/>
        </w:rPr>
        <w:t>ِ</w:t>
      </w:r>
      <w:r w:rsidRPr="006571AC">
        <w:rPr>
          <w:rFonts w:hint="cs"/>
          <w:sz w:val="27"/>
          <w:rtl/>
          <w:lang w:bidi="ar-IQ"/>
        </w:rPr>
        <w:t>نة والدليل على المد</w:t>
      </w:r>
      <w:r w:rsidR="00C826ED" w:rsidRPr="006571AC">
        <w:rPr>
          <w:rFonts w:hint="cs"/>
          <w:sz w:val="27"/>
          <w:rtl/>
          <w:lang w:bidi="ar-IQ"/>
        </w:rPr>
        <w:t>َّ</w:t>
      </w:r>
      <w:r w:rsidRPr="006571AC">
        <w:rPr>
          <w:rFonts w:hint="cs"/>
          <w:sz w:val="27"/>
          <w:rtl/>
          <w:lang w:bidi="ar-IQ"/>
        </w:rPr>
        <w:t>عي</w:t>
      </w:r>
      <w:r w:rsidR="00C826ED" w:rsidRPr="006571AC">
        <w:rPr>
          <w:rFonts w:hint="cs"/>
          <w:sz w:val="27"/>
          <w:rtl/>
          <w:lang w:bidi="ar-IQ"/>
        </w:rPr>
        <w:t>،</w:t>
      </w:r>
      <w:r w:rsidRPr="006571AC">
        <w:rPr>
          <w:rFonts w:hint="cs"/>
          <w:sz w:val="27"/>
          <w:rtl/>
          <w:lang w:bidi="ar-IQ"/>
        </w:rPr>
        <w:t xml:space="preserve"> واليمين على الم</w:t>
      </w:r>
      <w:r w:rsidR="00C826ED" w:rsidRPr="006571AC">
        <w:rPr>
          <w:rFonts w:hint="cs"/>
          <w:sz w:val="27"/>
          <w:rtl/>
          <w:lang w:bidi="ar-IQ"/>
        </w:rPr>
        <w:t>ُ</w:t>
      </w:r>
      <w:r w:rsidRPr="006571AC">
        <w:rPr>
          <w:rFonts w:hint="cs"/>
          <w:sz w:val="27"/>
          <w:rtl/>
          <w:lang w:bidi="ar-IQ"/>
        </w:rPr>
        <w:t>ن</w:t>
      </w:r>
      <w:r w:rsidR="00C826ED" w:rsidRPr="006571AC">
        <w:rPr>
          <w:rFonts w:hint="cs"/>
          <w:sz w:val="27"/>
          <w:rtl/>
          <w:lang w:bidi="ar-IQ"/>
        </w:rPr>
        <w:t>ْ</w:t>
      </w:r>
      <w:r w:rsidRPr="006571AC">
        <w:rPr>
          <w:rFonts w:hint="cs"/>
          <w:sz w:val="27"/>
          <w:rtl/>
          <w:lang w:bidi="ar-IQ"/>
        </w:rPr>
        <w:t xml:space="preserve">كِر، وهذا الأمر يعكس أن الصلح يأتي بعد النزاع والخصومة. </w:t>
      </w:r>
    </w:p>
    <w:p w:rsidR="00381A52" w:rsidRPr="006571AC" w:rsidRDefault="00381A52" w:rsidP="004B16C6">
      <w:pPr>
        <w:rPr>
          <w:sz w:val="27"/>
          <w:rtl/>
          <w:lang w:bidi="ar-IQ"/>
        </w:rPr>
      </w:pPr>
    </w:p>
    <w:p w:rsidR="00381A52" w:rsidRPr="006571AC" w:rsidRDefault="00FC7A16" w:rsidP="00714072">
      <w:pPr>
        <w:pStyle w:val="31"/>
        <w:rPr>
          <w:color w:val="auto"/>
          <w:rtl/>
          <w:lang w:bidi="ar-IQ"/>
        </w:rPr>
      </w:pPr>
      <w:bookmarkStart w:id="129" w:name="_Toc114164618"/>
      <w:r w:rsidRPr="006571AC">
        <w:rPr>
          <w:rFonts w:hint="cs"/>
          <w:color w:val="auto"/>
          <w:rtl/>
          <w:lang w:bidi="ar-IQ"/>
        </w:rPr>
        <w:t>5ـ</w:t>
      </w:r>
      <w:r w:rsidR="00381A52" w:rsidRPr="006571AC">
        <w:rPr>
          <w:rFonts w:hint="cs"/>
          <w:color w:val="auto"/>
          <w:rtl/>
          <w:lang w:bidi="ar-IQ"/>
        </w:rPr>
        <w:t xml:space="preserve"> الروايات الخاص</w:t>
      </w:r>
      <w:r w:rsidR="00C826ED" w:rsidRPr="006571AC">
        <w:rPr>
          <w:rFonts w:hint="cs"/>
          <w:color w:val="auto"/>
          <w:rtl/>
          <w:lang w:bidi="ar-IQ"/>
        </w:rPr>
        <w:t>ّ</w:t>
      </w:r>
      <w:r w:rsidR="00381A52" w:rsidRPr="006571AC">
        <w:rPr>
          <w:rFonts w:hint="cs"/>
          <w:color w:val="auto"/>
          <w:rtl/>
          <w:lang w:bidi="ar-IQ"/>
        </w:rPr>
        <w:t>ة</w:t>
      </w:r>
      <w:bookmarkEnd w:id="129"/>
      <w:r w:rsidR="00381A52" w:rsidRPr="006571AC">
        <w:rPr>
          <w:rFonts w:hint="cs"/>
          <w:color w:val="auto"/>
          <w:rtl/>
          <w:lang w:bidi="ar-IQ"/>
        </w:rPr>
        <w:t xml:space="preserve"> </w:t>
      </w:r>
    </w:p>
    <w:p w:rsidR="00381A52" w:rsidRPr="006571AC" w:rsidRDefault="00381A52" w:rsidP="004B16C6">
      <w:pPr>
        <w:spacing w:line="420" w:lineRule="exact"/>
        <w:rPr>
          <w:sz w:val="27"/>
          <w:rtl/>
          <w:lang w:bidi="ar-IQ"/>
        </w:rPr>
      </w:pPr>
      <w:r w:rsidRPr="006571AC">
        <w:rPr>
          <w:rFonts w:hint="cs"/>
          <w:sz w:val="27"/>
          <w:rtl/>
          <w:lang w:bidi="ar-IQ"/>
        </w:rPr>
        <w:t xml:space="preserve">قبل </w:t>
      </w:r>
      <w:r w:rsidR="00C826ED" w:rsidRPr="006571AC">
        <w:rPr>
          <w:rFonts w:hint="cs"/>
          <w:sz w:val="27"/>
          <w:rtl/>
          <w:lang w:bidi="ar-IQ"/>
        </w:rPr>
        <w:t>عرض</w:t>
      </w:r>
      <w:r w:rsidRPr="006571AC">
        <w:rPr>
          <w:rFonts w:hint="cs"/>
          <w:sz w:val="27"/>
          <w:rtl/>
          <w:lang w:bidi="ar-IQ"/>
        </w:rPr>
        <w:t xml:space="preserve"> الروايات</w:t>
      </w:r>
      <w:r w:rsidR="00C826ED" w:rsidRPr="006571AC">
        <w:rPr>
          <w:rFonts w:hint="cs"/>
          <w:sz w:val="27"/>
          <w:rtl/>
          <w:lang w:bidi="ar-IQ"/>
        </w:rPr>
        <w:t>،</w:t>
      </w:r>
      <w:r w:rsidRPr="006571AC">
        <w:rPr>
          <w:rFonts w:hint="cs"/>
          <w:sz w:val="27"/>
          <w:rtl/>
          <w:lang w:bidi="ar-IQ"/>
        </w:rPr>
        <w:t xml:space="preserve"> وتقريب الاستدلال بها، يجب الالتفات إلى نقطتين، وهما: </w:t>
      </w:r>
    </w:p>
    <w:p w:rsidR="00381A52" w:rsidRPr="006571AC" w:rsidRDefault="00381A52" w:rsidP="004B16C6">
      <w:pPr>
        <w:spacing w:line="420" w:lineRule="exact"/>
        <w:rPr>
          <w:sz w:val="27"/>
          <w:rtl/>
          <w:lang w:bidi="ar-IQ"/>
        </w:rPr>
      </w:pPr>
      <w:r w:rsidRPr="006571AC">
        <w:rPr>
          <w:rFonts w:hint="cs"/>
          <w:sz w:val="27"/>
          <w:rtl/>
          <w:lang w:bidi="ar-IQ"/>
        </w:rPr>
        <w:t>1ـ يتمّ التعرّ</w:t>
      </w:r>
      <w:r w:rsidR="00C826ED" w:rsidRPr="006571AC">
        <w:rPr>
          <w:rFonts w:hint="cs"/>
          <w:sz w:val="27"/>
          <w:rtl/>
          <w:lang w:bidi="ar-IQ"/>
        </w:rPr>
        <w:t>ُ</w:t>
      </w:r>
      <w:r w:rsidRPr="006571AC">
        <w:rPr>
          <w:rFonts w:hint="cs"/>
          <w:sz w:val="27"/>
          <w:rtl/>
          <w:lang w:bidi="ar-IQ"/>
        </w:rPr>
        <w:t xml:space="preserve">ض إلى الروايات التي تكون دلالتها على مشروعية الصلح الابتدائي أكبر؛ لأن الروايات الأخرى المذكورة في الجوامع والمصادر الروائية تشير إلى الصلح في موارد النزاع والخصومة. </w:t>
      </w:r>
    </w:p>
    <w:p w:rsidR="00381A52" w:rsidRPr="006571AC" w:rsidRDefault="00381A52" w:rsidP="004B16C6">
      <w:pPr>
        <w:spacing w:line="420" w:lineRule="exact"/>
        <w:rPr>
          <w:sz w:val="27"/>
          <w:rtl/>
          <w:lang w:bidi="ar-IQ"/>
        </w:rPr>
      </w:pPr>
      <w:r w:rsidRPr="006571AC">
        <w:rPr>
          <w:rFonts w:hint="cs"/>
          <w:sz w:val="27"/>
          <w:rtl/>
          <w:lang w:bidi="ar-IQ"/>
        </w:rPr>
        <w:t>2 ـ لا ينبغي التصوّ</w:t>
      </w:r>
      <w:r w:rsidR="00C826ED" w:rsidRPr="006571AC">
        <w:rPr>
          <w:rFonts w:hint="cs"/>
          <w:sz w:val="27"/>
          <w:rtl/>
          <w:lang w:bidi="ar-IQ"/>
        </w:rPr>
        <w:t>ُ</w:t>
      </w:r>
      <w:r w:rsidRPr="006571AC">
        <w:rPr>
          <w:rFonts w:hint="cs"/>
          <w:sz w:val="27"/>
          <w:rtl/>
          <w:lang w:bidi="ar-IQ"/>
        </w:rPr>
        <w:t>ر بأن بعض الروايات</w:t>
      </w:r>
      <w:r w:rsidR="00C826ED" w:rsidRPr="006571AC">
        <w:rPr>
          <w:rFonts w:hint="cs"/>
          <w:sz w:val="27"/>
          <w:rtl/>
          <w:lang w:bidi="ar-IQ"/>
        </w:rPr>
        <w:t>؛</w:t>
      </w:r>
      <w:r w:rsidRPr="006571AC">
        <w:rPr>
          <w:rFonts w:hint="cs"/>
          <w:sz w:val="27"/>
          <w:rtl/>
          <w:lang w:bidi="ar-IQ"/>
        </w:rPr>
        <w:t xml:space="preserve"> حيث لم ي</w:t>
      </w:r>
      <w:r w:rsidR="00C826ED" w:rsidRPr="006571AC">
        <w:rPr>
          <w:rFonts w:hint="cs"/>
          <w:sz w:val="27"/>
          <w:rtl/>
          <w:lang w:bidi="ar-IQ"/>
        </w:rPr>
        <w:t>َ</w:t>
      </w:r>
      <w:r w:rsidRPr="006571AC">
        <w:rPr>
          <w:rFonts w:hint="cs"/>
          <w:sz w:val="27"/>
          <w:rtl/>
          <w:lang w:bidi="ar-IQ"/>
        </w:rPr>
        <w:t>ر</w:t>
      </w:r>
      <w:r w:rsidR="00C826ED" w:rsidRPr="006571AC">
        <w:rPr>
          <w:rFonts w:hint="cs"/>
          <w:sz w:val="27"/>
          <w:rtl/>
          <w:lang w:bidi="ar-IQ"/>
        </w:rPr>
        <w:t>ِ</w:t>
      </w:r>
      <w:r w:rsidRPr="006571AC">
        <w:rPr>
          <w:rFonts w:hint="cs"/>
          <w:sz w:val="27"/>
          <w:rtl/>
          <w:lang w:bidi="ar-IQ"/>
        </w:rPr>
        <w:t>د</w:t>
      </w:r>
      <w:r w:rsidR="00C826ED" w:rsidRPr="006571AC">
        <w:rPr>
          <w:rFonts w:hint="cs"/>
          <w:sz w:val="27"/>
          <w:rtl/>
          <w:lang w:bidi="ar-IQ"/>
        </w:rPr>
        <w:t>ْ</w:t>
      </w:r>
      <w:r w:rsidRPr="006571AC">
        <w:rPr>
          <w:rFonts w:hint="cs"/>
          <w:sz w:val="27"/>
          <w:rtl/>
          <w:lang w:bidi="ar-IQ"/>
        </w:rPr>
        <w:t xml:space="preserve"> فيها ذكر</w:t>
      </w:r>
      <w:r w:rsidR="00C826ED" w:rsidRPr="006571AC">
        <w:rPr>
          <w:rFonts w:hint="cs"/>
          <w:sz w:val="27"/>
          <w:rtl/>
          <w:lang w:bidi="ar-IQ"/>
        </w:rPr>
        <w:t>ٌ</w:t>
      </w:r>
      <w:r w:rsidRPr="006571AC">
        <w:rPr>
          <w:rFonts w:hint="cs"/>
          <w:sz w:val="27"/>
          <w:rtl/>
          <w:lang w:bidi="ar-IQ"/>
        </w:rPr>
        <w:t xml:space="preserve"> لمفردة الصلح، لا ترتبط بباب الصلح</w:t>
      </w:r>
      <w:r w:rsidR="0049011F" w:rsidRPr="006571AC">
        <w:rPr>
          <w:rFonts w:hint="cs"/>
          <w:sz w:val="27"/>
          <w:rtl/>
          <w:lang w:bidi="ar-IQ"/>
        </w:rPr>
        <w:t>؛</w:t>
      </w:r>
      <w:r w:rsidRPr="006571AC">
        <w:rPr>
          <w:rFonts w:hint="cs"/>
          <w:sz w:val="27"/>
          <w:rtl/>
          <w:lang w:bidi="ar-IQ"/>
        </w:rPr>
        <w:t xml:space="preserve"> لأن بحثنا ليس في الصلح الابتدائي بالحمل الأو</w:t>
      </w:r>
      <w:r w:rsidR="0049011F" w:rsidRPr="006571AC">
        <w:rPr>
          <w:rFonts w:hint="cs"/>
          <w:sz w:val="27"/>
          <w:rtl/>
          <w:lang w:bidi="ar-IQ"/>
        </w:rPr>
        <w:t>ّ</w:t>
      </w:r>
      <w:r w:rsidRPr="006571AC">
        <w:rPr>
          <w:rFonts w:hint="cs"/>
          <w:sz w:val="27"/>
          <w:rtl/>
          <w:lang w:bidi="ar-IQ"/>
        </w:rPr>
        <w:t>لي، وإنما الكلام في الصلح الابتدائي بالحمل الشائع الصناعي، بمعنى أننا نتعامل مع عقود</w:t>
      </w:r>
      <w:r w:rsidR="0049011F" w:rsidRPr="006571AC">
        <w:rPr>
          <w:rFonts w:hint="cs"/>
          <w:sz w:val="27"/>
          <w:rtl/>
          <w:lang w:bidi="ar-IQ"/>
        </w:rPr>
        <w:t>ٍ</w:t>
      </w:r>
      <w:r w:rsidRPr="006571AC">
        <w:rPr>
          <w:rFonts w:hint="cs"/>
          <w:sz w:val="27"/>
          <w:rtl/>
          <w:lang w:bidi="ar-IQ"/>
        </w:rPr>
        <w:t xml:space="preserve"> ت</w:t>
      </w:r>
      <w:r w:rsidR="0049011F" w:rsidRPr="006571AC">
        <w:rPr>
          <w:rFonts w:hint="cs"/>
          <w:sz w:val="27"/>
          <w:rtl/>
          <w:lang w:bidi="ar-IQ"/>
        </w:rPr>
        <w:t>ُ</w:t>
      </w:r>
      <w:r w:rsidRPr="006571AC">
        <w:rPr>
          <w:rFonts w:hint="cs"/>
          <w:sz w:val="27"/>
          <w:rtl/>
          <w:lang w:bidi="ar-IQ"/>
        </w:rPr>
        <w:t>ع</w:t>
      </w:r>
      <w:r w:rsidR="0049011F" w:rsidRPr="006571AC">
        <w:rPr>
          <w:rFonts w:hint="cs"/>
          <w:sz w:val="27"/>
          <w:rtl/>
          <w:lang w:bidi="ar-IQ"/>
        </w:rPr>
        <w:t>َ</w:t>
      </w:r>
      <w:r w:rsidRPr="006571AC">
        <w:rPr>
          <w:rFonts w:hint="cs"/>
          <w:sz w:val="27"/>
          <w:rtl/>
          <w:lang w:bidi="ar-IQ"/>
        </w:rPr>
        <w:t>دّ من مصاديق الصلح الابتدائي، ولذلك قد لا تكون الرواية مشتملة</w:t>
      </w:r>
      <w:r w:rsidR="0049011F" w:rsidRPr="006571AC">
        <w:rPr>
          <w:rFonts w:hint="cs"/>
          <w:sz w:val="27"/>
          <w:rtl/>
          <w:lang w:bidi="ar-IQ"/>
        </w:rPr>
        <w:t>ً</w:t>
      </w:r>
      <w:r w:rsidRPr="006571AC">
        <w:rPr>
          <w:rFonts w:hint="cs"/>
          <w:sz w:val="27"/>
          <w:rtl/>
          <w:lang w:bidi="ar-IQ"/>
        </w:rPr>
        <w:t xml:space="preserve"> على لفظ الصلح، ولكن</w:t>
      </w:r>
      <w:r w:rsidR="0049011F" w:rsidRPr="006571AC">
        <w:rPr>
          <w:rFonts w:hint="cs"/>
          <w:sz w:val="27"/>
          <w:rtl/>
          <w:lang w:bidi="ar-IQ"/>
        </w:rPr>
        <w:t>ْ</w:t>
      </w:r>
      <w:r w:rsidRPr="006571AC">
        <w:rPr>
          <w:rFonts w:hint="cs"/>
          <w:sz w:val="27"/>
          <w:rtl/>
          <w:lang w:bidi="ar-IQ"/>
        </w:rPr>
        <w:t xml:space="preserve"> مورد الرواية معاملة</w:t>
      </w:r>
      <w:r w:rsidR="0049011F" w:rsidRPr="006571AC">
        <w:rPr>
          <w:rFonts w:hint="cs"/>
          <w:sz w:val="27"/>
          <w:rtl/>
          <w:lang w:bidi="ar-IQ"/>
        </w:rPr>
        <w:t>ٌ</w:t>
      </w:r>
      <w:r w:rsidRPr="006571AC">
        <w:rPr>
          <w:rFonts w:hint="cs"/>
          <w:sz w:val="27"/>
          <w:rtl/>
          <w:lang w:bidi="ar-IQ"/>
        </w:rPr>
        <w:t xml:space="preserve"> لا تشتمل على شروط المعاملات الأخرى، ولا يمكن إثبات مشروعي</w:t>
      </w:r>
      <w:r w:rsidR="0049011F" w:rsidRPr="006571AC">
        <w:rPr>
          <w:rFonts w:hint="cs"/>
          <w:sz w:val="27"/>
          <w:rtl/>
          <w:lang w:bidi="ar-IQ"/>
        </w:rPr>
        <w:t>ّ</w:t>
      </w:r>
      <w:r w:rsidRPr="006571AC">
        <w:rPr>
          <w:rFonts w:hint="cs"/>
          <w:sz w:val="27"/>
          <w:rtl/>
          <w:lang w:bidi="ar-IQ"/>
        </w:rPr>
        <w:t>تها إلا</w:t>
      </w:r>
      <w:r w:rsidR="0049011F" w:rsidRPr="006571AC">
        <w:rPr>
          <w:rFonts w:hint="cs"/>
          <w:sz w:val="27"/>
          <w:rtl/>
          <w:lang w:bidi="ar-IQ"/>
        </w:rPr>
        <w:t>ّ</w:t>
      </w:r>
      <w:r w:rsidRPr="006571AC">
        <w:rPr>
          <w:rFonts w:hint="cs"/>
          <w:sz w:val="27"/>
          <w:rtl/>
          <w:lang w:bidi="ar-IQ"/>
        </w:rPr>
        <w:t xml:space="preserve"> بعقد الصلح، كما سوف نشير إلى بعضها ضمن الروايات </w:t>
      </w:r>
      <w:r w:rsidR="0049011F" w:rsidRPr="006571AC">
        <w:rPr>
          <w:rFonts w:hint="cs"/>
          <w:sz w:val="27"/>
          <w:rtl/>
          <w:lang w:bidi="ar-IQ"/>
        </w:rPr>
        <w:t>التالية</w:t>
      </w:r>
      <w:r w:rsidRPr="006571AC">
        <w:rPr>
          <w:rFonts w:hint="cs"/>
          <w:sz w:val="27"/>
          <w:rtl/>
          <w:lang w:bidi="ar-IQ"/>
        </w:rPr>
        <w:t xml:space="preserve">: </w:t>
      </w:r>
    </w:p>
    <w:p w:rsidR="00381A52" w:rsidRPr="006571AC" w:rsidRDefault="00FC7A16" w:rsidP="00714072">
      <w:pPr>
        <w:pStyle w:val="31"/>
        <w:rPr>
          <w:color w:val="auto"/>
          <w:rtl/>
          <w:lang w:bidi="ar-IQ"/>
        </w:rPr>
      </w:pPr>
      <w:bookmarkStart w:id="130" w:name="_Toc114164619"/>
      <w:r w:rsidRPr="006571AC">
        <w:rPr>
          <w:rFonts w:hint="cs"/>
          <w:color w:val="auto"/>
          <w:rtl/>
          <w:lang w:bidi="ar-IQ"/>
        </w:rPr>
        <w:lastRenderedPageBreak/>
        <w:t>أـ</w:t>
      </w:r>
      <w:r w:rsidR="00381A52" w:rsidRPr="006571AC">
        <w:rPr>
          <w:rFonts w:hint="cs"/>
          <w:color w:val="auto"/>
          <w:rtl/>
          <w:lang w:bidi="ar-IQ"/>
        </w:rPr>
        <w:t xml:space="preserve"> صحيحة محمد بن مسلم</w:t>
      </w:r>
      <w:bookmarkEnd w:id="130"/>
    </w:p>
    <w:p w:rsidR="0049011F" w:rsidRPr="006571AC" w:rsidRDefault="00381A52" w:rsidP="00552C10">
      <w:pPr>
        <w:rPr>
          <w:sz w:val="27"/>
          <w:rtl/>
          <w:lang w:bidi="ar-IQ"/>
        </w:rPr>
      </w:pPr>
      <w:r w:rsidRPr="006571AC">
        <w:rPr>
          <w:rFonts w:hint="eastAsia"/>
          <w:sz w:val="24"/>
          <w:szCs w:val="24"/>
          <w:rtl/>
        </w:rPr>
        <w:t>«</w:t>
      </w:r>
      <w:r w:rsidRPr="006571AC">
        <w:rPr>
          <w:sz w:val="27"/>
          <w:rtl/>
          <w:lang w:bidi="ar-IQ"/>
        </w:rPr>
        <w:t>محمد بن علي</w:t>
      </w:r>
      <w:r w:rsidR="0049011F" w:rsidRPr="006571AC">
        <w:rPr>
          <w:rFonts w:hint="cs"/>
          <w:sz w:val="27"/>
          <w:rtl/>
          <w:lang w:bidi="ar-IQ"/>
        </w:rPr>
        <w:t>ّ</w:t>
      </w:r>
      <w:r w:rsidRPr="006571AC">
        <w:rPr>
          <w:sz w:val="27"/>
          <w:rtl/>
          <w:lang w:bidi="ar-IQ"/>
        </w:rPr>
        <w:t xml:space="preserve"> بن الحسين</w:t>
      </w:r>
      <w:r w:rsidR="00973AC2" w:rsidRPr="006571AC">
        <w:rPr>
          <w:rFonts w:hint="cs"/>
          <w:sz w:val="27"/>
          <w:rtl/>
          <w:lang w:bidi="ar-IQ"/>
        </w:rPr>
        <w:t xml:space="preserve"> [الصدوق]</w:t>
      </w:r>
      <w:r w:rsidRPr="006571AC">
        <w:rPr>
          <w:rFonts w:hint="cs"/>
          <w:sz w:val="27"/>
          <w:rtl/>
          <w:lang w:bidi="ar-IQ"/>
        </w:rPr>
        <w:t xml:space="preserve"> </w:t>
      </w:r>
      <w:r w:rsidRPr="006571AC">
        <w:rPr>
          <w:sz w:val="27"/>
          <w:rtl/>
          <w:lang w:bidi="ar-IQ"/>
        </w:rPr>
        <w:t>بإسناده عن العلاء، عن محمد بن مسلم، عن أبي جعفر</w:t>
      </w:r>
      <w:r w:rsidR="002A2C90" w:rsidRPr="006571AC">
        <w:rPr>
          <w:rFonts w:ascii="Mosawi" w:hAnsi="Mosawi" w:cs="Mosawi"/>
          <w:sz w:val="22"/>
          <w:szCs w:val="22"/>
          <w:rtl/>
        </w:rPr>
        <w:t>×</w:t>
      </w:r>
      <w:r w:rsidRPr="006571AC">
        <w:rPr>
          <w:rFonts w:hint="cs"/>
          <w:sz w:val="27"/>
          <w:rtl/>
          <w:lang w:bidi="ar-IQ"/>
        </w:rPr>
        <w:t>، أ</w:t>
      </w:r>
      <w:r w:rsidRPr="006571AC">
        <w:rPr>
          <w:sz w:val="27"/>
          <w:rtl/>
          <w:lang w:bidi="ar-IQ"/>
        </w:rPr>
        <w:t>نه قال: في رجلين كان لكل</w:t>
      </w:r>
      <w:r w:rsidR="0049011F" w:rsidRPr="006571AC">
        <w:rPr>
          <w:rFonts w:hint="cs"/>
          <w:sz w:val="27"/>
          <w:rtl/>
          <w:lang w:bidi="ar-IQ"/>
        </w:rPr>
        <w:t>ّ</w:t>
      </w:r>
      <w:r w:rsidRPr="006571AC">
        <w:rPr>
          <w:sz w:val="27"/>
          <w:rtl/>
          <w:lang w:bidi="ar-IQ"/>
        </w:rPr>
        <w:t xml:space="preserve"> واحد</w:t>
      </w:r>
      <w:r w:rsidR="0049011F" w:rsidRPr="006571AC">
        <w:rPr>
          <w:rFonts w:hint="cs"/>
          <w:sz w:val="27"/>
          <w:rtl/>
          <w:lang w:bidi="ar-IQ"/>
        </w:rPr>
        <w:t>ٍ</w:t>
      </w:r>
      <w:r w:rsidRPr="006571AC">
        <w:rPr>
          <w:sz w:val="27"/>
          <w:rtl/>
          <w:lang w:bidi="ar-IQ"/>
        </w:rPr>
        <w:t xml:space="preserve"> منهما طعام</w:t>
      </w:r>
      <w:r w:rsidR="0049011F" w:rsidRPr="006571AC">
        <w:rPr>
          <w:rFonts w:hint="cs"/>
          <w:sz w:val="27"/>
          <w:rtl/>
          <w:lang w:bidi="ar-IQ"/>
        </w:rPr>
        <w:t>ٌ</w:t>
      </w:r>
      <w:r w:rsidRPr="006571AC">
        <w:rPr>
          <w:sz w:val="27"/>
          <w:rtl/>
          <w:lang w:bidi="ar-IQ"/>
        </w:rPr>
        <w:t xml:space="preserve"> عند صاحبه</w:t>
      </w:r>
      <w:r w:rsidRPr="006571AC">
        <w:rPr>
          <w:rFonts w:hint="cs"/>
          <w:sz w:val="27"/>
          <w:rtl/>
          <w:lang w:bidi="ar-IQ"/>
        </w:rPr>
        <w:t xml:space="preserve">، </w:t>
      </w:r>
      <w:r w:rsidRPr="006571AC">
        <w:rPr>
          <w:sz w:val="27"/>
          <w:rtl/>
          <w:lang w:bidi="ar-IQ"/>
        </w:rPr>
        <w:t>ولا يدري كل</w:t>
      </w:r>
      <w:r w:rsidR="0049011F" w:rsidRPr="006571AC">
        <w:rPr>
          <w:rFonts w:hint="cs"/>
          <w:sz w:val="27"/>
          <w:rtl/>
          <w:lang w:bidi="ar-IQ"/>
        </w:rPr>
        <w:t>ُّ</w:t>
      </w:r>
      <w:r w:rsidRPr="006571AC">
        <w:rPr>
          <w:sz w:val="27"/>
          <w:rtl/>
          <w:lang w:bidi="ar-IQ"/>
        </w:rPr>
        <w:t xml:space="preserve"> واحد</w:t>
      </w:r>
      <w:r w:rsidR="0049011F" w:rsidRPr="006571AC">
        <w:rPr>
          <w:rFonts w:hint="cs"/>
          <w:sz w:val="27"/>
          <w:rtl/>
          <w:lang w:bidi="ar-IQ"/>
        </w:rPr>
        <w:t>ٍ</w:t>
      </w:r>
      <w:r w:rsidRPr="006571AC">
        <w:rPr>
          <w:sz w:val="27"/>
          <w:rtl/>
          <w:lang w:bidi="ar-IQ"/>
        </w:rPr>
        <w:t xml:space="preserve"> منهما كم له عند صاحبه، فقال كل</w:t>
      </w:r>
      <w:r w:rsidR="0049011F" w:rsidRPr="006571AC">
        <w:rPr>
          <w:rFonts w:hint="cs"/>
          <w:sz w:val="27"/>
          <w:rtl/>
          <w:lang w:bidi="ar-IQ"/>
        </w:rPr>
        <w:t>ُّ</w:t>
      </w:r>
      <w:r w:rsidRPr="006571AC">
        <w:rPr>
          <w:sz w:val="27"/>
          <w:rtl/>
          <w:lang w:bidi="ar-IQ"/>
        </w:rPr>
        <w:t xml:space="preserve"> واحد</w:t>
      </w:r>
      <w:r w:rsidR="0049011F" w:rsidRPr="006571AC">
        <w:rPr>
          <w:rFonts w:hint="cs"/>
          <w:sz w:val="27"/>
          <w:rtl/>
          <w:lang w:bidi="ar-IQ"/>
        </w:rPr>
        <w:t>ٍ</w:t>
      </w:r>
      <w:r w:rsidRPr="006571AC">
        <w:rPr>
          <w:sz w:val="27"/>
          <w:rtl/>
          <w:lang w:bidi="ar-IQ"/>
        </w:rPr>
        <w:t xml:space="preserve"> منهما لصاحبه: لك ما عندك، ولي ما عندي، فقال: لا بأس بذلك إذا تراضيا وطاب</w:t>
      </w:r>
      <w:r w:rsidR="0049011F" w:rsidRPr="006571AC">
        <w:rPr>
          <w:rFonts w:hint="cs"/>
          <w:sz w:val="27"/>
          <w:rtl/>
          <w:lang w:bidi="ar-IQ"/>
        </w:rPr>
        <w:t>َ</w:t>
      </w:r>
      <w:r w:rsidRPr="006571AC">
        <w:rPr>
          <w:sz w:val="27"/>
          <w:rtl/>
          <w:lang w:bidi="ar-IQ"/>
        </w:rPr>
        <w:t>ت</w:t>
      </w:r>
      <w:r w:rsidR="0049011F" w:rsidRPr="006571AC">
        <w:rPr>
          <w:rFonts w:hint="cs"/>
          <w:sz w:val="27"/>
          <w:rtl/>
          <w:lang w:bidi="ar-IQ"/>
        </w:rPr>
        <w:t>ْ</w:t>
      </w:r>
      <w:r w:rsidRPr="006571AC">
        <w:rPr>
          <w:sz w:val="27"/>
          <w:rtl/>
          <w:lang w:bidi="ar-IQ"/>
        </w:rPr>
        <w:t xml:space="preserve"> أنفسهما</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82"/>
      </w:r>
      <w:r w:rsidRPr="006571AC">
        <w:rPr>
          <w:sz w:val="27"/>
          <w:vertAlign w:val="superscript"/>
          <w:rtl/>
          <w:lang w:bidi="ar-IQ"/>
        </w:rPr>
        <w:t>)</w:t>
      </w:r>
      <w:r w:rsidR="0049011F" w:rsidRPr="006571AC">
        <w:rPr>
          <w:rFonts w:hint="cs"/>
          <w:sz w:val="27"/>
          <w:rtl/>
          <w:lang w:bidi="ar-IQ"/>
        </w:rPr>
        <w:t>.</w:t>
      </w:r>
    </w:p>
    <w:p w:rsidR="00C17125" w:rsidRPr="006571AC" w:rsidRDefault="0049011F" w:rsidP="004B16C6">
      <w:pPr>
        <w:spacing w:line="420" w:lineRule="exact"/>
        <w:rPr>
          <w:sz w:val="27"/>
          <w:rtl/>
          <w:lang w:bidi="ar-IQ"/>
        </w:rPr>
      </w:pPr>
      <w:r w:rsidRPr="006571AC">
        <w:rPr>
          <w:rFonts w:hint="cs"/>
          <w:sz w:val="27"/>
          <w:rtl/>
          <w:lang w:bidi="ar-IQ"/>
        </w:rPr>
        <w:t>و</w:t>
      </w:r>
      <w:r w:rsidR="00381A52" w:rsidRPr="006571AC">
        <w:rPr>
          <w:rFonts w:hint="cs"/>
          <w:sz w:val="27"/>
          <w:rtl/>
          <w:lang w:bidi="ar-IQ"/>
        </w:rPr>
        <w:t xml:space="preserve">إن الاستدلال بهذه الرواية يجب بحثه من جهتين: </w:t>
      </w:r>
    </w:p>
    <w:p w:rsidR="00381A52" w:rsidRPr="006571AC" w:rsidRDefault="00C17125"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sz w:val="27"/>
          <w:rtl/>
          <w:lang w:bidi="ar-IQ"/>
        </w:rPr>
        <w:t xml:space="preserve">: </w:t>
      </w:r>
      <w:r w:rsidR="00381A52" w:rsidRPr="006571AC">
        <w:rPr>
          <w:rFonts w:hint="cs"/>
          <w:sz w:val="27"/>
          <w:rtl/>
          <w:lang w:bidi="ar-IQ"/>
        </w:rPr>
        <w:t>ورد</w:t>
      </w:r>
      <w:r w:rsidR="0049011F" w:rsidRPr="006571AC">
        <w:rPr>
          <w:rFonts w:hint="cs"/>
          <w:sz w:val="27"/>
          <w:rtl/>
          <w:lang w:bidi="ar-IQ"/>
        </w:rPr>
        <w:t>َ</w:t>
      </w:r>
      <w:r w:rsidR="00381A52" w:rsidRPr="006571AC">
        <w:rPr>
          <w:rFonts w:hint="cs"/>
          <w:sz w:val="27"/>
          <w:rtl/>
          <w:lang w:bidi="ar-IQ"/>
        </w:rPr>
        <w:t>ت</w:t>
      </w:r>
      <w:r w:rsidR="0049011F" w:rsidRPr="006571AC">
        <w:rPr>
          <w:rFonts w:hint="cs"/>
          <w:sz w:val="27"/>
          <w:rtl/>
          <w:lang w:bidi="ar-IQ"/>
        </w:rPr>
        <w:t>ْ</w:t>
      </w:r>
      <w:r w:rsidR="00381A52" w:rsidRPr="006571AC">
        <w:rPr>
          <w:rFonts w:hint="cs"/>
          <w:sz w:val="27"/>
          <w:rtl/>
          <w:lang w:bidi="ar-IQ"/>
        </w:rPr>
        <w:t xml:space="preserve"> هذه الرواية في كتاب (م</w:t>
      </w:r>
      <w:r w:rsidR="002E70A7" w:rsidRPr="006571AC">
        <w:rPr>
          <w:rFonts w:hint="cs"/>
          <w:sz w:val="27"/>
          <w:rtl/>
          <w:lang w:bidi="ar-IQ"/>
        </w:rPr>
        <w:t>َ</w:t>
      </w:r>
      <w:r w:rsidR="00381A52" w:rsidRPr="006571AC">
        <w:rPr>
          <w:rFonts w:hint="cs"/>
          <w:sz w:val="27"/>
          <w:rtl/>
          <w:lang w:bidi="ar-IQ"/>
        </w:rPr>
        <w:t>ن</w:t>
      </w:r>
      <w:r w:rsidR="002E70A7" w:rsidRPr="006571AC">
        <w:rPr>
          <w:rFonts w:hint="cs"/>
          <w:sz w:val="27"/>
          <w:rtl/>
          <w:lang w:bidi="ar-IQ"/>
        </w:rPr>
        <w:t>ْ</w:t>
      </w:r>
      <w:r w:rsidR="00381A52" w:rsidRPr="006571AC">
        <w:rPr>
          <w:rFonts w:hint="cs"/>
          <w:sz w:val="27"/>
          <w:rtl/>
          <w:lang w:bidi="ar-IQ"/>
        </w:rPr>
        <w:t xml:space="preserve"> لا يحضره الفقيه). </w:t>
      </w:r>
      <w:r w:rsidR="002E70A7" w:rsidRPr="006571AC">
        <w:rPr>
          <w:rFonts w:hint="cs"/>
          <w:sz w:val="27"/>
          <w:rtl/>
          <w:lang w:bidi="ar-IQ"/>
        </w:rPr>
        <w:t>و</w:t>
      </w:r>
      <w:r w:rsidR="00381A52" w:rsidRPr="006571AC">
        <w:rPr>
          <w:rFonts w:hint="cs"/>
          <w:sz w:val="27"/>
          <w:rtl/>
          <w:lang w:bidi="ar-IQ"/>
        </w:rPr>
        <w:t xml:space="preserve">إن للشيخ الصدوق عدّة طرق إلى العلاء بن رزين، </w:t>
      </w:r>
      <w:r w:rsidR="002E70A7" w:rsidRPr="006571AC">
        <w:rPr>
          <w:rFonts w:hint="cs"/>
          <w:sz w:val="27"/>
          <w:rtl/>
          <w:lang w:bidi="ar-IQ"/>
        </w:rPr>
        <w:t>كما يلي</w:t>
      </w:r>
      <w:r w:rsidR="00381A52" w:rsidRPr="006571AC">
        <w:rPr>
          <w:rFonts w:hint="cs"/>
          <w:sz w:val="27"/>
          <w:rtl/>
          <w:lang w:bidi="ar-IQ"/>
        </w:rPr>
        <w:t xml:space="preserve">: </w:t>
      </w:r>
    </w:p>
    <w:p w:rsidR="00381A52" w:rsidRPr="006571AC" w:rsidRDefault="00381A52" w:rsidP="004823CE">
      <w:pPr>
        <w:rPr>
          <w:sz w:val="27"/>
          <w:rtl/>
          <w:lang w:bidi="ar-IQ"/>
        </w:rPr>
      </w:pPr>
      <w:r w:rsidRPr="006571AC">
        <w:rPr>
          <w:rFonts w:hint="cs"/>
          <w:sz w:val="27"/>
          <w:rtl/>
          <w:lang w:bidi="ar-IQ"/>
        </w:rPr>
        <w:t xml:space="preserve">أـ </w:t>
      </w:r>
      <w:r w:rsidRPr="006571AC">
        <w:rPr>
          <w:rFonts w:hint="eastAsia"/>
          <w:sz w:val="24"/>
          <w:szCs w:val="24"/>
          <w:rtl/>
        </w:rPr>
        <w:t>«</w:t>
      </w:r>
      <w:r w:rsidR="002E70A7" w:rsidRPr="006571AC">
        <w:rPr>
          <w:sz w:val="27"/>
          <w:rtl/>
        </w:rPr>
        <w:t>محمد بن ع</w:t>
      </w:r>
      <w:r w:rsidR="002E70A7" w:rsidRPr="006571AC">
        <w:rPr>
          <w:rFonts w:hint="cs"/>
          <w:sz w:val="27"/>
          <w:rtl/>
        </w:rPr>
        <w:t>ليّ</w:t>
      </w:r>
      <w:r w:rsidRPr="006571AC">
        <w:rPr>
          <w:sz w:val="27"/>
          <w:rtl/>
        </w:rPr>
        <w:t xml:space="preserve"> </w:t>
      </w:r>
      <w:r w:rsidRPr="006571AC">
        <w:rPr>
          <w:rFonts w:hint="cs"/>
          <w:sz w:val="27"/>
          <w:rtl/>
        </w:rPr>
        <w:t>بن</w:t>
      </w:r>
      <w:r w:rsidRPr="006571AC">
        <w:rPr>
          <w:sz w:val="27"/>
          <w:rtl/>
        </w:rPr>
        <w:t xml:space="preserve"> </w:t>
      </w:r>
      <w:r w:rsidRPr="006571AC">
        <w:rPr>
          <w:rFonts w:hint="cs"/>
          <w:sz w:val="27"/>
          <w:rtl/>
        </w:rPr>
        <w:t>الحسي</w:t>
      </w:r>
      <w:r w:rsidRPr="006571AC">
        <w:rPr>
          <w:sz w:val="27"/>
          <w:rtl/>
        </w:rPr>
        <w:t>ن</w:t>
      </w:r>
      <w:r w:rsidRPr="006571AC">
        <w:rPr>
          <w:rFonts w:hint="cs"/>
          <w:sz w:val="27"/>
          <w:rtl/>
        </w:rPr>
        <w:t xml:space="preserve">، </w:t>
      </w:r>
      <w:r w:rsidRPr="006571AC">
        <w:rPr>
          <w:sz w:val="27"/>
          <w:rtl/>
        </w:rPr>
        <w:t xml:space="preserve">عن </w:t>
      </w:r>
      <w:r w:rsidRPr="006571AC">
        <w:rPr>
          <w:rFonts w:hint="cs"/>
          <w:sz w:val="27"/>
          <w:rtl/>
        </w:rPr>
        <w:t>أ</w:t>
      </w:r>
      <w:r w:rsidRPr="006571AC">
        <w:rPr>
          <w:sz w:val="27"/>
          <w:rtl/>
        </w:rPr>
        <w:t>ب</w:t>
      </w:r>
      <w:r w:rsidRPr="006571AC">
        <w:rPr>
          <w:rFonts w:hint="cs"/>
          <w:sz w:val="27"/>
          <w:rtl/>
        </w:rPr>
        <w:t>ي</w:t>
      </w:r>
      <w:r w:rsidRPr="006571AC">
        <w:rPr>
          <w:sz w:val="27"/>
          <w:rtl/>
        </w:rPr>
        <w:t>ه</w:t>
      </w:r>
      <w:r w:rsidRPr="006571AC">
        <w:rPr>
          <w:rFonts w:hint="cs"/>
          <w:sz w:val="27"/>
          <w:rtl/>
        </w:rPr>
        <w:t xml:space="preserve"> </w:t>
      </w:r>
      <w:r w:rsidRPr="006571AC">
        <w:rPr>
          <w:sz w:val="27"/>
          <w:rtl/>
        </w:rPr>
        <w:t>ومحمد بن الحسن بن الول</w:t>
      </w:r>
      <w:r w:rsidRPr="006571AC">
        <w:rPr>
          <w:rFonts w:hint="cs"/>
          <w:sz w:val="27"/>
          <w:rtl/>
        </w:rPr>
        <w:t>ي</w:t>
      </w:r>
      <w:r w:rsidRPr="006571AC">
        <w:rPr>
          <w:sz w:val="27"/>
          <w:rtl/>
        </w:rPr>
        <w:t>د</w:t>
      </w:r>
      <w:r w:rsidRPr="006571AC">
        <w:rPr>
          <w:rFonts w:hint="cs"/>
          <w:sz w:val="27"/>
          <w:rtl/>
        </w:rPr>
        <w:t xml:space="preserve">، </w:t>
      </w:r>
      <w:r w:rsidRPr="006571AC">
        <w:rPr>
          <w:sz w:val="27"/>
          <w:rtl/>
        </w:rPr>
        <w:t>عن سعد بن عبد</w:t>
      </w:r>
      <w:r w:rsidRPr="006571AC">
        <w:rPr>
          <w:rFonts w:hint="cs"/>
          <w:sz w:val="27"/>
          <w:rtl/>
        </w:rPr>
        <w:t xml:space="preserve"> </w:t>
      </w:r>
      <w:r w:rsidRPr="006571AC">
        <w:rPr>
          <w:sz w:val="27"/>
          <w:rtl/>
        </w:rPr>
        <w:t>الل</w:t>
      </w:r>
      <w:r w:rsidRPr="006571AC">
        <w:rPr>
          <w:rFonts w:hint="cs"/>
          <w:sz w:val="27"/>
          <w:rtl/>
        </w:rPr>
        <w:t xml:space="preserve">ه </w:t>
      </w:r>
      <w:r w:rsidRPr="006571AC">
        <w:rPr>
          <w:sz w:val="27"/>
          <w:rtl/>
        </w:rPr>
        <w:t>والحم</w:t>
      </w:r>
      <w:r w:rsidRPr="006571AC">
        <w:rPr>
          <w:rFonts w:hint="cs"/>
          <w:sz w:val="27"/>
          <w:rtl/>
        </w:rPr>
        <w:t>ي</w:t>
      </w:r>
      <w:r w:rsidRPr="006571AC">
        <w:rPr>
          <w:sz w:val="27"/>
          <w:rtl/>
        </w:rPr>
        <w:t>ر</w:t>
      </w:r>
      <w:r w:rsidRPr="006571AC">
        <w:rPr>
          <w:rFonts w:hint="cs"/>
          <w:sz w:val="27"/>
          <w:rtl/>
        </w:rPr>
        <w:t>ي</w:t>
      </w:r>
      <w:r w:rsidR="002E70A7" w:rsidRPr="006571AC">
        <w:rPr>
          <w:rFonts w:hint="cs"/>
          <w:sz w:val="27"/>
          <w:rtl/>
        </w:rPr>
        <w:t>،</w:t>
      </w:r>
      <w:r w:rsidRPr="006571AC">
        <w:rPr>
          <w:sz w:val="27"/>
          <w:rtl/>
        </w:rPr>
        <w:t xml:space="preserve"> جم</w:t>
      </w:r>
      <w:r w:rsidRPr="006571AC">
        <w:rPr>
          <w:rFonts w:hint="cs"/>
          <w:sz w:val="27"/>
          <w:rtl/>
        </w:rPr>
        <w:t>ي</w:t>
      </w:r>
      <w:r w:rsidRPr="006571AC">
        <w:rPr>
          <w:sz w:val="27"/>
          <w:rtl/>
        </w:rPr>
        <w:t>عا</w:t>
      </w:r>
      <w:r w:rsidRPr="006571AC">
        <w:rPr>
          <w:rFonts w:hint="cs"/>
          <w:sz w:val="27"/>
          <w:rtl/>
        </w:rPr>
        <w:t xml:space="preserve">ً، </w:t>
      </w:r>
      <w:r w:rsidRPr="006571AC">
        <w:rPr>
          <w:sz w:val="27"/>
          <w:rtl/>
        </w:rPr>
        <w:t xml:space="preserve">عن </w:t>
      </w:r>
      <w:r w:rsidRPr="006571AC">
        <w:rPr>
          <w:rFonts w:hint="cs"/>
          <w:sz w:val="27"/>
          <w:rtl/>
        </w:rPr>
        <w:t>أ</w:t>
      </w:r>
      <w:r w:rsidRPr="006571AC">
        <w:rPr>
          <w:sz w:val="27"/>
          <w:rtl/>
        </w:rPr>
        <w:t>حمد بن محمد بن ع</w:t>
      </w:r>
      <w:r w:rsidRPr="006571AC">
        <w:rPr>
          <w:rFonts w:hint="cs"/>
          <w:sz w:val="27"/>
          <w:rtl/>
        </w:rPr>
        <w:t>ي</w:t>
      </w:r>
      <w:r w:rsidR="002E70A7" w:rsidRPr="006571AC">
        <w:rPr>
          <w:rFonts w:hint="cs"/>
          <w:sz w:val="27"/>
          <w:rtl/>
        </w:rPr>
        <w:t>سى</w:t>
      </w:r>
      <w:r w:rsidRPr="006571AC">
        <w:rPr>
          <w:rFonts w:hint="cs"/>
          <w:sz w:val="27"/>
          <w:rtl/>
        </w:rPr>
        <w:t xml:space="preserve">، </w:t>
      </w:r>
      <w:r w:rsidRPr="006571AC">
        <w:rPr>
          <w:sz w:val="27"/>
          <w:rtl/>
        </w:rPr>
        <w:t>عن محمد بن خالد</w:t>
      </w:r>
      <w:r w:rsidR="002E70A7" w:rsidRPr="006571AC">
        <w:rPr>
          <w:rFonts w:hint="cs"/>
          <w:sz w:val="27"/>
          <w:rtl/>
        </w:rPr>
        <w:t>،</w:t>
      </w:r>
      <w:r w:rsidRPr="006571AC">
        <w:rPr>
          <w:sz w:val="27"/>
          <w:rtl/>
        </w:rPr>
        <w:t xml:space="preserve"> عن الع</w:t>
      </w:r>
      <w:r w:rsidRPr="006571AC">
        <w:rPr>
          <w:rFonts w:hint="cs"/>
          <w:sz w:val="27"/>
          <w:rtl/>
        </w:rPr>
        <w:t>لا</w:t>
      </w:r>
      <w:r w:rsidRPr="006571AC">
        <w:rPr>
          <w:sz w:val="27"/>
          <w:rtl/>
        </w:rPr>
        <w:t xml:space="preserve">ء بن </w:t>
      </w:r>
      <w:r w:rsidR="004823CE" w:rsidRPr="006571AC">
        <w:rPr>
          <w:rFonts w:hint="cs"/>
          <w:sz w:val="27"/>
          <w:rtl/>
        </w:rPr>
        <w:t>رز</w:t>
      </w:r>
      <w:r w:rsidRPr="006571AC">
        <w:rPr>
          <w:rFonts w:hint="cs"/>
          <w:sz w:val="27"/>
          <w:rtl/>
        </w:rPr>
        <w:t>ي</w:t>
      </w:r>
      <w:r w:rsidRPr="006571AC">
        <w:rPr>
          <w:sz w:val="27"/>
          <w:rtl/>
        </w:rPr>
        <w:t>ن</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ب ـ </w:t>
      </w:r>
      <w:r w:rsidRPr="006571AC">
        <w:rPr>
          <w:rFonts w:hint="eastAsia"/>
          <w:sz w:val="24"/>
          <w:szCs w:val="24"/>
          <w:rtl/>
        </w:rPr>
        <w:t>«</w:t>
      </w:r>
      <w:r w:rsidRPr="006571AC">
        <w:rPr>
          <w:sz w:val="27"/>
          <w:rtl/>
        </w:rPr>
        <w:t xml:space="preserve">عن </w:t>
      </w:r>
      <w:r w:rsidRPr="006571AC">
        <w:rPr>
          <w:rFonts w:hint="cs"/>
          <w:sz w:val="27"/>
          <w:rtl/>
        </w:rPr>
        <w:t>أ</w:t>
      </w:r>
      <w:r w:rsidRPr="006571AC">
        <w:rPr>
          <w:sz w:val="27"/>
          <w:rtl/>
        </w:rPr>
        <w:t>ب</w:t>
      </w:r>
      <w:r w:rsidRPr="006571AC">
        <w:rPr>
          <w:rFonts w:hint="cs"/>
          <w:sz w:val="27"/>
          <w:rtl/>
        </w:rPr>
        <w:t>ي</w:t>
      </w:r>
      <w:r w:rsidRPr="006571AC">
        <w:rPr>
          <w:sz w:val="27"/>
          <w:rtl/>
        </w:rPr>
        <w:t>ه ومحمد بن الحسن بن الول</w:t>
      </w:r>
      <w:r w:rsidRPr="006571AC">
        <w:rPr>
          <w:rFonts w:hint="cs"/>
          <w:sz w:val="27"/>
          <w:rtl/>
        </w:rPr>
        <w:t>ي</w:t>
      </w:r>
      <w:r w:rsidRPr="006571AC">
        <w:rPr>
          <w:sz w:val="27"/>
          <w:rtl/>
        </w:rPr>
        <w:t>د</w:t>
      </w:r>
      <w:r w:rsidRPr="006571AC">
        <w:rPr>
          <w:rFonts w:hint="cs"/>
          <w:sz w:val="27"/>
          <w:rtl/>
        </w:rPr>
        <w:t xml:space="preserve">، </w:t>
      </w:r>
      <w:r w:rsidRPr="006571AC">
        <w:rPr>
          <w:sz w:val="27"/>
          <w:rtl/>
        </w:rPr>
        <w:t>عن سعد بن عبد</w:t>
      </w:r>
      <w:r w:rsidRPr="006571AC">
        <w:rPr>
          <w:rFonts w:hint="cs"/>
          <w:sz w:val="27"/>
          <w:rtl/>
        </w:rPr>
        <w:t xml:space="preserve"> </w:t>
      </w:r>
      <w:r w:rsidRPr="006571AC">
        <w:rPr>
          <w:sz w:val="27"/>
          <w:rtl/>
        </w:rPr>
        <w:t>الل</w:t>
      </w:r>
      <w:r w:rsidRPr="006571AC">
        <w:rPr>
          <w:rFonts w:hint="cs"/>
          <w:sz w:val="27"/>
          <w:rtl/>
        </w:rPr>
        <w:t>ه</w:t>
      </w:r>
      <w:r w:rsidRPr="006571AC">
        <w:rPr>
          <w:sz w:val="27"/>
          <w:rtl/>
        </w:rPr>
        <w:t xml:space="preserve"> والحم</w:t>
      </w:r>
      <w:r w:rsidRPr="006571AC">
        <w:rPr>
          <w:rFonts w:hint="cs"/>
          <w:sz w:val="27"/>
          <w:rtl/>
        </w:rPr>
        <w:t>ي</w:t>
      </w:r>
      <w:r w:rsidRPr="006571AC">
        <w:rPr>
          <w:sz w:val="27"/>
          <w:rtl/>
        </w:rPr>
        <w:t>ر</w:t>
      </w:r>
      <w:r w:rsidRPr="006571AC">
        <w:rPr>
          <w:rFonts w:hint="cs"/>
          <w:sz w:val="27"/>
          <w:rtl/>
        </w:rPr>
        <w:t>ي</w:t>
      </w:r>
      <w:r w:rsidR="002E70A7" w:rsidRPr="006571AC">
        <w:rPr>
          <w:rFonts w:hint="cs"/>
          <w:sz w:val="27"/>
          <w:rtl/>
        </w:rPr>
        <w:t>،</w:t>
      </w:r>
      <w:r w:rsidRPr="006571AC">
        <w:rPr>
          <w:sz w:val="27"/>
          <w:rtl/>
        </w:rPr>
        <w:t xml:space="preserve"> جم</w:t>
      </w:r>
      <w:r w:rsidRPr="006571AC">
        <w:rPr>
          <w:rFonts w:hint="cs"/>
          <w:sz w:val="27"/>
          <w:rtl/>
        </w:rPr>
        <w:t>ي</w:t>
      </w:r>
      <w:r w:rsidRPr="006571AC">
        <w:rPr>
          <w:sz w:val="27"/>
          <w:rtl/>
        </w:rPr>
        <w:t>عا</w:t>
      </w:r>
      <w:r w:rsidRPr="006571AC">
        <w:rPr>
          <w:rFonts w:hint="cs"/>
          <w:sz w:val="27"/>
          <w:rtl/>
        </w:rPr>
        <w:t xml:space="preserve">ً، </w:t>
      </w:r>
      <w:r w:rsidRPr="006571AC">
        <w:rPr>
          <w:sz w:val="27"/>
          <w:rtl/>
        </w:rPr>
        <w:t xml:space="preserve">عن محمد بن </w:t>
      </w:r>
      <w:r w:rsidRPr="006571AC">
        <w:rPr>
          <w:rFonts w:hint="cs"/>
          <w:sz w:val="27"/>
          <w:rtl/>
        </w:rPr>
        <w:t>أ</w:t>
      </w:r>
      <w:r w:rsidRPr="006571AC">
        <w:rPr>
          <w:sz w:val="27"/>
          <w:rtl/>
        </w:rPr>
        <w:t>ب</w:t>
      </w:r>
      <w:r w:rsidRPr="006571AC">
        <w:rPr>
          <w:rFonts w:hint="cs"/>
          <w:sz w:val="27"/>
          <w:rtl/>
        </w:rPr>
        <w:t>ي</w:t>
      </w:r>
      <w:r w:rsidRPr="006571AC">
        <w:rPr>
          <w:sz w:val="27"/>
          <w:rtl/>
        </w:rPr>
        <w:t xml:space="preserve"> الصهبان</w:t>
      </w:r>
      <w:r w:rsidRPr="006571AC">
        <w:rPr>
          <w:rFonts w:hint="cs"/>
          <w:sz w:val="27"/>
          <w:rtl/>
        </w:rPr>
        <w:t xml:space="preserve">، </w:t>
      </w:r>
      <w:r w:rsidRPr="006571AC">
        <w:rPr>
          <w:sz w:val="27"/>
          <w:rtl/>
        </w:rPr>
        <w:t xml:space="preserve">عن صفوان بن </w:t>
      </w:r>
      <w:r w:rsidRPr="006571AC">
        <w:rPr>
          <w:rFonts w:hint="cs"/>
          <w:sz w:val="27"/>
          <w:rtl/>
        </w:rPr>
        <w:t>ي</w:t>
      </w:r>
      <w:r w:rsidRPr="006571AC">
        <w:rPr>
          <w:sz w:val="27"/>
          <w:rtl/>
        </w:rPr>
        <w:t>ح</w:t>
      </w:r>
      <w:r w:rsidR="002E70A7" w:rsidRPr="006571AC">
        <w:rPr>
          <w:rFonts w:hint="cs"/>
          <w:sz w:val="27"/>
          <w:rtl/>
        </w:rPr>
        <w:t>يى،</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العلاء</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ج ـ </w:t>
      </w:r>
      <w:r w:rsidRPr="006571AC">
        <w:rPr>
          <w:rFonts w:hint="eastAsia"/>
          <w:sz w:val="24"/>
          <w:szCs w:val="24"/>
          <w:rtl/>
        </w:rPr>
        <w:t>«</w:t>
      </w:r>
      <w:r w:rsidRPr="006571AC">
        <w:rPr>
          <w:sz w:val="27"/>
          <w:rtl/>
        </w:rPr>
        <w:t xml:space="preserve"> </w:t>
      </w:r>
      <w:r w:rsidRPr="006571AC">
        <w:rPr>
          <w:sz w:val="27"/>
          <w:rtl/>
          <w:lang w:bidi="ar-IQ"/>
        </w:rPr>
        <w:t>عن أبيه، عن علي</w:t>
      </w:r>
      <w:r w:rsidR="002E70A7" w:rsidRPr="006571AC">
        <w:rPr>
          <w:rFonts w:hint="cs"/>
          <w:sz w:val="27"/>
          <w:rtl/>
          <w:lang w:bidi="ar-IQ"/>
        </w:rPr>
        <w:t>ّ</w:t>
      </w:r>
      <w:r w:rsidRPr="006571AC">
        <w:rPr>
          <w:sz w:val="27"/>
          <w:rtl/>
          <w:lang w:bidi="ar-IQ"/>
        </w:rPr>
        <w:t xml:space="preserve"> بن سليمان الزراري الكوفي</w:t>
      </w:r>
      <w:r w:rsidRPr="006571AC">
        <w:rPr>
          <w:rFonts w:hint="cs"/>
          <w:sz w:val="27"/>
          <w:rtl/>
          <w:lang w:bidi="ar-IQ"/>
        </w:rPr>
        <w:t xml:space="preserve">، </w:t>
      </w:r>
      <w:r w:rsidRPr="006571AC">
        <w:rPr>
          <w:sz w:val="27"/>
          <w:rtl/>
          <w:lang w:bidi="ar-IQ"/>
        </w:rPr>
        <w:t>عن محمد بن خالد، عن العلاء بن رزين القلا</w:t>
      </w:r>
      <w:r w:rsidR="002E70A7" w:rsidRPr="006571AC">
        <w:rPr>
          <w:rFonts w:hint="cs"/>
          <w:sz w:val="27"/>
          <w:rtl/>
          <w:lang w:bidi="ar-IQ"/>
        </w:rPr>
        <w:t>ّ</w:t>
      </w:r>
      <w:r w:rsidRPr="006571AC">
        <w:rPr>
          <w:sz w:val="27"/>
          <w:rtl/>
          <w:lang w:bidi="ar-IQ"/>
        </w:rPr>
        <w:t>ء</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د ـ </w:t>
      </w:r>
      <w:r w:rsidRPr="006571AC">
        <w:rPr>
          <w:rFonts w:hint="eastAsia"/>
          <w:sz w:val="24"/>
          <w:szCs w:val="24"/>
          <w:rtl/>
        </w:rPr>
        <w:t>«</w:t>
      </w:r>
      <w:r w:rsidRPr="006571AC">
        <w:rPr>
          <w:rFonts w:hint="cs"/>
          <w:sz w:val="27"/>
          <w:rtl/>
        </w:rPr>
        <w:t>عن</w:t>
      </w:r>
      <w:r w:rsidRPr="006571AC">
        <w:rPr>
          <w:sz w:val="27"/>
          <w:rtl/>
        </w:rPr>
        <w:t xml:space="preserve"> محمد بن الحسن بن الول</w:t>
      </w:r>
      <w:r w:rsidRPr="006571AC">
        <w:rPr>
          <w:rFonts w:hint="cs"/>
          <w:sz w:val="27"/>
          <w:rtl/>
        </w:rPr>
        <w:t>ي</w:t>
      </w:r>
      <w:r w:rsidRPr="006571AC">
        <w:rPr>
          <w:sz w:val="27"/>
          <w:rtl/>
        </w:rPr>
        <w:t>د</w:t>
      </w:r>
      <w:r w:rsidRPr="006571AC">
        <w:rPr>
          <w:rFonts w:hint="cs"/>
          <w:sz w:val="27"/>
          <w:rtl/>
        </w:rPr>
        <w:t xml:space="preserve">، </w:t>
      </w:r>
      <w:r w:rsidRPr="006571AC">
        <w:rPr>
          <w:sz w:val="27"/>
          <w:rtl/>
        </w:rPr>
        <w:t>عن محمد بن الحسن الصف</w:t>
      </w:r>
      <w:r w:rsidR="002E70A7" w:rsidRPr="006571AC">
        <w:rPr>
          <w:rFonts w:hint="cs"/>
          <w:sz w:val="27"/>
          <w:rtl/>
        </w:rPr>
        <w:t>ّ</w:t>
      </w:r>
      <w:r w:rsidRPr="006571AC">
        <w:rPr>
          <w:sz w:val="27"/>
          <w:rtl/>
        </w:rPr>
        <w:t>ار</w:t>
      </w:r>
      <w:r w:rsidRPr="006571AC">
        <w:rPr>
          <w:rFonts w:hint="cs"/>
          <w:sz w:val="27"/>
          <w:rtl/>
        </w:rPr>
        <w:t xml:space="preserve">، </w:t>
      </w:r>
      <w:r w:rsidRPr="006571AC">
        <w:rPr>
          <w:sz w:val="27"/>
          <w:rtl/>
        </w:rPr>
        <w:t xml:space="preserve">عن </w:t>
      </w:r>
      <w:r w:rsidRPr="006571AC">
        <w:rPr>
          <w:rFonts w:hint="cs"/>
          <w:sz w:val="27"/>
          <w:rtl/>
        </w:rPr>
        <w:t>أ</w:t>
      </w:r>
      <w:r w:rsidRPr="006571AC">
        <w:rPr>
          <w:sz w:val="27"/>
          <w:rtl/>
        </w:rPr>
        <w:t>حمد بن محمد بن ع</w:t>
      </w:r>
      <w:r w:rsidRPr="006571AC">
        <w:rPr>
          <w:rFonts w:hint="cs"/>
          <w:sz w:val="27"/>
          <w:rtl/>
        </w:rPr>
        <w:t>ي</w:t>
      </w:r>
      <w:r w:rsidR="002E70A7" w:rsidRPr="006571AC">
        <w:rPr>
          <w:rFonts w:hint="cs"/>
          <w:sz w:val="27"/>
          <w:rtl/>
        </w:rPr>
        <w:t>سى</w:t>
      </w:r>
      <w:r w:rsidRPr="006571AC">
        <w:rPr>
          <w:rFonts w:hint="cs"/>
          <w:sz w:val="27"/>
          <w:rtl/>
        </w:rPr>
        <w:t xml:space="preserve">، </w:t>
      </w:r>
      <w:r w:rsidRPr="006571AC">
        <w:rPr>
          <w:sz w:val="27"/>
          <w:rtl/>
        </w:rPr>
        <w:t>عن الحسن بن فض</w:t>
      </w:r>
      <w:r w:rsidR="002E70A7" w:rsidRPr="006571AC">
        <w:rPr>
          <w:rFonts w:hint="cs"/>
          <w:sz w:val="27"/>
          <w:rtl/>
        </w:rPr>
        <w:t>ّ</w:t>
      </w:r>
      <w:r w:rsidRPr="006571AC">
        <w:rPr>
          <w:sz w:val="27"/>
          <w:rtl/>
        </w:rPr>
        <w:t>ال والحسن بن محبوب</w:t>
      </w:r>
      <w:r w:rsidRPr="006571AC">
        <w:rPr>
          <w:rFonts w:hint="cs"/>
          <w:sz w:val="27"/>
          <w:rtl/>
        </w:rPr>
        <w:t xml:space="preserve">، </w:t>
      </w:r>
      <w:r w:rsidRPr="006571AC">
        <w:rPr>
          <w:sz w:val="27"/>
          <w:rtl/>
        </w:rPr>
        <w:t>عن العلاء بن رزين</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وجميع هذه الطرق من الشيخ الصدوق إلى العلاء بن رزين صحيحة</w:t>
      </w:r>
      <w:r w:rsidR="002E70A7" w:rsidRPr="006571AC">
        <w:rPr>
          <w:rFonts w:hint="cs"/>
          <w:sz w:val="27"/>
          <w:rtl/>
          <w:lang w:bidi="ar-IQ"/>
        </w:rPr>
        <w:t>ٌ</w:t>
      </w:r>
      <w:r w:rsidRPr="006571AC">
        <w:rPr>
          <w:rFonts w:hint="cs"/>
          <w:sz w:val="27"/>
          <w:rtl/>
          <w:lang w:bidi="ar-IQ"/>
        </w:rPr>
        <w:t xml:space="preserve">. </w:t>
      </w:r>
    </w:p>
    <w:p w:rsidR="002E70A7" w:rsidRPr="006571AC" w:rsidRDefault="00381A52" w:rsidP="00552C10">
      <w:pPr>
        <w:rPr>
          <w:sz w:val="27"/>
          <w:rtl/>
          <w:lang w:bidi="ar-IQ"/>
        </w:rPr>
      </w:pPr>
      <w:r w:rsidRPr="006571AC">
        <w:rPr>
          <w:rFonts w:hint="cs"/>
          <w:sz w:val="27"/>
          <w:rtl/>
          <w:lang w:bidi="ar-IQ"/>
        </w:rPr>
        <w:t>والعلاء بن رزين نفسه شخص</w:t>
      </w:r>
      <w:r w:rsidR="002E70A7" w:rsidRPr="006571AC">
        <w:rPr>
          <w:rFonts w:hint="cs"/>
          <w:sz w:val="27"/>
          <w:rtl/>
          <w:lang w:bidi="ar-IQ"/>
        </w:rPr>
        <w:t>ٌ</w:t>
      </w:r>
      <w:r w:rsidRPr="006571AC">
        <w:rPr>
          <w:rFonts w:hint="cs"/>
          <w:sz w:val="27"/>
          <w:rtl/>
          <w:lang w:bidi="ar-IQ"/>
        </w:rPr>
        <w:t xml:space="preserve"> ثقة، ولذلك قال عنه النجاشي: </w:t>
      </w:r>
      <w:r w:rsidRPr="006571AC">
        <w:rPr>
          <w:rFonts w:hint="eastAsia"/>
          <w:sz w:val="24"/>
          <w:szCs w:val="24"/>
          <w:rtl/>
        </w:rPr>
        <w:t>«</w:t>
      </w:r>
      <w:r w:rsidRPr="006571AC">
        <w:rPr>
          <w:rFonts w:hint="cs"/>
          <w:sz w:val="27"/>
          <w:rtl/>
          <w:lang w:bidi="ar-IQ"/>
        </w:rPr>
        <w:t>صحب محمد بن مسلم</w:t>
      </w:r>
      <w:r w:rsidR="002E70A7" w:rsidRPr="006571AC">
        <w:rPr>
          <w:rFonts w:hint="cs"/>
          <w:sz w:val="27"/>
          <w:rtl/>
          <w:lang w:bidi="ar-IQ"/>
        </w:rPr>
        <w:t>،</w:t>
      </w:r>
      <w:r w:rsidRPr="006571AC">
        <w:rPr>
          <w:rFonts w:hint="cs"/>
          <w:sz w:val="27"/>
          <w:rtl/>
          <w:lang w:bidi="ar-IQ"/>
        </w:rPr>
        <w:t xml:space="preserve"> وف</w:t>
      </w:r>
      <w:r w:rsidR="002E70A7" w:rsidRPr="006571AC">
        <w:rPr>
          <w:rFonts w:hint="cs"/>
          <w:sz w:val="27"/>
          <w:rtl/>
          <w:lang w:bidi="ar-IQ"/>
        </w:rPr>
        <w:t>َ</w:t>
      </w:r>
      <w:r w:rsidRPr="006571AC">
        <w:rPr>
          <w:rFonts w:hint="cs"/>
          <w:sz w:val="27"/>
          <w:rtl/>
          <w:lang w:bidi="ar-IQ"/>
        </w:rPr>
        <w:t>قِه عليه، وكان ثقة</w:t>
      </w:r>
      <w:r w:rsidR="002E70A7" w:rsidRPr="006571AC">
        <w:rPr>
          <w:rFonts w:hint="cs"/>
          <w:sz w:val="27"/>
          <w:rtl/>
          <w:lang w:bidi="ar-IQ"/>
        </w:rPr>
        <w:t>ً</w:t>
      </w:r>
      <w:r w:rsidRPr="006571AC">
        <w:rPr>
          <w:rFonts w:hint="cs"/>
          <w:sz w:val="27"/>
          <w:rtl/>
          <w:lang w:bidi="ar-IQ"/>
        </w:rPr>
        <w:t xml:space="preserve"> و</w:t>
      </w:r>
      <w:r w:rsidR="002E70A7" w:rsidRPr="006571AC">
        <w:rPr>
          <w:rFonts w:hint="cs"/>
          <w:sz w:val="27"/>
          <w:rtl/>
          <w:lang w:bidi="ar-IQ"/>
        </w:rPr>
        <w:t>َ</w:t>
      </w:r>
      <w:r w:rsidRPr="006571AC">
        <w:rPr>
          <w:rFonts w:hint="cs"/>
          <w:sz w:val="27"/>
          <w:rtl/>
          <w:lang w:bidi="ar-IQ"/>
        </w:rPr>
        <w:t>ج</w:t>
      </w:r>
      <w:r w:rsidR="002E70A7" w:rsidRPr="006571AC">
        <w:rPr>
          <w:rFonts w:hint="cs"/>
          <w:sz w:val="27"/>
          <w:rtl/>
          <w:lang w:bidi="ar-IQ"/>
        </w:rPr>
        <w:t>ْ</w:t>
      </w:r>
      <w:r w:rsidRPr="006571AC">
        <w:rPr>
          <w:rFonts w:hint="cs"/>
          <w:sz w:val="27"/>
          <w:rtl/>
          <w:lang w:bidi="ar-IQ"/>
        </w:rPr>
        <w:t>هاً</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83"/>
      </w:r>
      <w:r w:rsidRPr="006571AC">
        <w:rPr>
          <w:sz w:val="27"/>
          <w:vertAlign w:val="superscript"/>
          <w:rtl/>
          <w:lang w:bidi="ar-IQ"/>
        </w:rPr>
        <w:t>)</w:t>
      </w:r>
      <w:r w:rsidR="002E70A7" w:rsidRPr="006571AC">
        <w:rPr>
          <w:rFonts w:hint="cs"/>
          <w:sz w:val="27"/>
          <w:rtl/>
          <w:lang w:bidi="ar-IQ"/>
        </w:rPr>
        <w:t>.</w:t>
      </w:r>
    </w:p>
    <w:p w:rsidR="002E70A7" w:rsidRPr="006571AC" w:rsidRDefault="00381A52" w:rsidP="00552C10">
      <w:pPr>
        <w:rPr>
          <w:sz w:val="27"/>
          <w:rtl/>
          <w:lang w:bidi="ar-IQ"/>
        </w:rPr>
      </w:pPr>
      <w:r w:rsidRPr="006571AC">
        <w:rPr>
          <w:rFonts w:hint="cs"/>
          <w:sz w:val="27"/>
          <w:rtl/>
          <w:lang w:bidi="ar-IQ"/>
        </w:rPr>
        <w:t>كما كان محمد بن مسلم ب</w:t>
      </w:r>
      <w:r w:rsidR="00EA38F1" w:rsidRPr="006571AC">
        <w:rPr>
          <w:rFonts w:hint="cs"/>
          <w:sz w:val="27"/>
          <w:rtl/>
          <w:lang w:bidi="ar-IQ"/>
        </w:rPr>
        <w:t>دَوْر</w:t>
      </w:r>
      <w:r w:rsidRPr="006571AC">
        <w:rPr>
          <w:rFonts w:hint="cs"/>
          <w:sz w:val="27"/>
          <w:rtl/>
          <w:lang w:bidi="ar-IQ"/>
        </w:rPr>
        <w:t>ه ثقة</w:t>
      </w:r>
      <w:r w:rsidR="002E70A7" w:rsidRPr="006571AC">
        <w:rPr>
          <w:rFonts w:hint="cs"/>
          <w:sz w:val="27"/>
          <w:rtl/>
          <w:lang w:bidi="ar-IQ"/>
        </w:rPr>
        <w:t>ً.</w:t>
      </w:r>
    </w:p>
    <w:p w:rsidR="002E70A7" w:rsidRPr="006571AC" w:rsidRDefault="00381A52" w:rsidP="00552C10">
      <w:pPr>
        <w:rPr>
          <w:sz w:val="27"/>
          <w:rtl/>
          <w:lang w:bidi="ar-IQ"/>
        </w:rPr>
      </w:pPr>
      <w:r w:rsidRPr="006571AC">
        <w:rPr>
          <w:rFonts w:hint="cs"/>
          <w:sz w:val="27"/>
          <w:rtl/>
          <w:lang w:bidi="ar-IQ"/>
        </w:rPr>
        <w:t>ومن هنا يمكن الاستدلال بهذه الرواية</w:t>
      </w:r>
      <w:r w:rsidR="002E70A7" w:rsidRPr="006571AC">
        <w:rPr>
          <w:rFonts w:hint="cs"/>
          <w:sz w:val="27"/>
          <w:rtl/>
          <w:lang w:bidi="ar-IQ"/>
        </w:rPr>
        <w:t>.</w:t>
      </w:r>
    </w:p>
    <w:p w:rsidR="00C17125" w:rsidRPr="006571AC" w:rsidRDefault="00381A52" w:rsidP="00552C10">
      <w:pPr>
        <w:rPr>
          <w:sz w:val="27"/>
          <w:rtl/>
          <w:lang w:bidi="ar-IQ"/>
        </w:rPr>
      </w:pPr>
      <w:r w:rsidRPr="006571AC">
        <w:rPr>
          <w:rFonts w:hint="cs"/>
          <w:sz w:val="27"/>
          <w:rtl/>
          <w:lang w:bidi="ar-IQ"/>
        </w:rPr>
        <w:t>كما ذكرها المقدّ</w:t>
      </w:r>
      <w:r w:rsidR="002E70A7" w:rsidRPr="006571AC">
        <w:rPr>
          <w:rFonts w:hint="cs"/>
          <w:sz w:val="27"/>
          <w:rtl/>
          <w:lang w:bidi="ar-IQ"/>
        </w:rPr>
        <w:t>َ</w:t>
      </w:r>
      <w:r w:rsidRPr="006571AC">
        <w:rPr>
          <w:rFonts w:hint="cs"/>
          <w:sz w:val="27"/>
          <w:rtl/>
          <w:lang w:bidi="ar-IQ"/>
        </w:rPr>
        <w:t>س الأردبيلي أيضاً، وعبّ</w:t>
      </w:r>
      <w:r w:rsidR="002E70A7" w:rsidRPr="006571AC">
        <w:rPr>
          <w:rFonts w:hint="cs"/>
          <w:sz w:val="27"/>
          <w:rtl/>
          <w:lang w:bidi="ar-IQ"/>
        </w:rPr>
        <w:t>َ</w:t>
      </w:r>
      <w:r w:rsidRPr="006571AC">
        <w:rPr>
          <w:rFonts w:hint="cs"/>
          <w:sz w:val="27"/>
          <w:rtl/>
          <w:lang w:bidi="ar-IQ"/>
        </w:rPr>
        <w:t>ر عنها بالصحيحة</w:t>
      </w:r>
      <w:r w:rsidRPr="006571AC">
        <w:rPr>
          <w:sz w:val="27"/>
          <w:vertAlign w:val="superscript"/>
          <w:rtl/>
          <w:lang w:bidi="ar-IQ"/>
        </w:rPr>
        <w:t>(</w:t>
      </w:r>
      <w:r w:rsidRPr="006571AC">
        <w:rPr>
          <w:rStyle w:val="ac"/>
          <w:sz w:val="27"/>
          <w:rtl/>
          <w:lang w:bidi="ar-IQ"/>
        </w:rPr>
        <w:endnoteReference w:id="284"/>
      </w:r>
      <w:r w:rsidRPr="006571AC">
        <w:rPr>
          <w:sz w:val="27"/>
          <w:vertAlign w:val="superscript"/>
          <w:rtl/>
          <w:lang w:bidi="ar-IQ"/>
        </w:rPr>
        <w:t>)</w:t>
      </w:r>
      <w:r w:rsidRPr="006571AC">
        <w:rPr>
          <w:rFonts w:hint="cs"/>
          <w:sz w:val="27"/>
          <w:rtl/>
          <w:lang w:bidi="ar-IQ"/>
        </w:rPr>
        <w:t xml:space="preserve">. </w:t>
      </w:r>
    </w:p>
    <w:p w:rsidR="00381A52" w:rsidRPr="006571AC" w:rsidRDefault="00C17125"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sz w:val="27"/>
          <w:rtl/>
          <w:lang w:bidi="ar-IQ"/>
        </w:rPr>
        <w:t xml:space="preserve">: </w:t>
      </w:r>
      <w:r w:rsidR="00381A52" w:rsidRPr="006571AC">
        <w:rPr>
          <w:sz w:val="27"/>
          <w:rtl/>
          <w:lang w:bidi="ar-IQ"/>
        </w:rPr>
        <w:t>تذكر هذه الرواية رجلين</w:t>
      </w:r>
      <w:r w:rsidR="00B63636" w:rsidRPr="006571AC">
        <w:rPr>
          <w:rFonts w:hint="cs"/>
          <w:sz w:val="27"/>
          <w:rtl/>
          <w:lang w:bidi="ar-IQ"/>
        </w:rPr>
        <w:t>،</w:t>
      </w:r>
      <w:r w:rsidR="00381A52" w:rsidRPr="006571AC">
        <w:rPr>
          <w:sz w:val="27"/>
          <w:rtl/>
          <w:lang w:bidi="ar-IQ"/>
        </w:rPr>
        <w:t xml:space="preserve"> لدى كل</w:t>
      </w:r>
      <w:r w:rsidR="00B63636" w:rsidRPr="006571AC">
        <w:rPr>
          <w:rFonts w:hint="cs"/>
          <w:sz w:val="27"/>
          <w:rtl/>
          <w:lang w:bidi="ar-IQ"/>
        </w:rPr>
        <w:t>ّ</w:t>
      </w:r>
      <w:r w:rsidR="00381A52" w:rsidRPr="006571AC">
        <w:rPr>
          <w:sz w:val="27"/>
          <w:rtl/>
          <w:lang w:bidi="ar-IQ"/>
        </w:rPr>
        <w:t xml:space="preserve"> واحد</w:t>
      </w:r>
      <w:r w:rsidR="00B63636" w:rsidRPr="006571AC">
        <w:rPr>
          <w:rFonts w:hint="cs"/>
          <w:sz w:val="27"/>
          <w:rtl/>
          <w:lang w:bidi="ar-IQ"/>
        </w:rPr>
        <w:t>ٍ</w:t>
      </w:r>
      <w:r w:rsidR="00381A52" w:rsidRPr="006571AC">
        <w:rPr>
          <w:sz w:val="27"/>
          <w:rtl/>
          <w:lang w:bidi="ar-IQ"/>
        </w:rPr>
        <w:t xml:space="preserve"> منهما طعام</w:t>
      </w:r>
      <w:r w:rsidR="00B63636" w:rsidRPr="006571AC">
        <w:rPr>
          <w:rFonts w:hint="cs"/>
          <w:sz w:val="27"/>
          <w:rtl/>
          <w:lang w:bidi="ar-IQ"/>
        </w:rPr>
        <w:t>ٌ</w:t>
      </w:r>
      <w:r w:rsidR="00381A52" w:rsidRPr="006571AC">
        <w:rPr>
          <w:sz w:val="27"/>
          <w:rtl/>
          <w:lang w:bidi="ar-IQ"/>
        </w:rPr>
        <w:t xml:space="preserve"> للآخر، ولا أحد منهما يعلم مقدار ذلك الطعام، ثم</w:t>
      </w:r>
      <w:r w:rsidR="00B63636" w:rsidRPr="006571AC">
        <w:rPr>
          <w:rFonts w:hint="cs"/>
          <w:sz w:val="27"/>
          <w:rtl/>
          <w:lang w:bidi="ar-IQ"/>
        </w:rPr>
        <w:t>ّ</w:t>
      </w:r>
      <w:r w:rsidR="00381A52" w:rsidRPr="006571AC">
        <w:rPr>
          <w:sz w:val="27"/>
          <w:rtl/>
          <w:lang w:bidi="ar-IQ"/>
        </w:rPr>
        <w:t xml:space="preserve"> تراضيا على أن يكون كل</w:t>
      </w:r>
      <w:r w:rsidR="00B63636" w:rsidRPr="006571AC">
        <w:rPr>
          <w:rFonts w:hint="cs"/>
          <w:sz w:val="27"/>
          <w:rtl/>
          <w:lang w:bidi="ar-IQ"/>
        </w:rPr>
        <w:t>ّ</w:t>
      </w:r>
      <w:r w:rsidR="00381A52" w:rsidRPr="006571AC">
        <w:rPr>
          <w:sz w:val="27"/>
          <w:rtl/>
          <w:lang w:bidi="ar-IQ"/>
        </w:rPr>
        <w:t xml:space="preserve"> واحد</w:t>
      </w:r>
      <w:r w:rsidR="00B63636" w:rsidRPr="006571AC">
        <w:rPr>
          <w:rFonts w:hint="cs"/>
          <w:sz w:val="27"/>
          <w:rtl/>
          <w:lang w:bidi="ar-IQ"/>
        </w:rPr>
        <w:t>ٍ</w:t>
      </w:r>
      <w:r w:rsidR="00381A52" w:rsidRPr="006571AC">
        <w:rPr>
          <w:sz w:val="27"/>
          <w:rtl/>
          <w:lang w:bidi="ar-IQ"/>
        </w:rPr>
        <w:t xml:space="preserve"> منهما مالكاً لذلك المقدار من الطعام الذي بح</w:t>
      </w:r>
      <w:r w:rsidR="00B63636" w:rsidRPr="006571AC">
        <w:rPr>
          <w:rFonts w:hint="cs"/>
          <w:sz w:val="27"/>
          <w:rtl/>
          <w:lang w:bidi="ar-IQ"/>
        </w:rPr>
        <w:t>َ</w:t>
      </w:r>
      <w:r w:rsidR="00381A52" w:rsidRPr="006571AC">
        <w:rPr>
          <w:sz w:val="27"/>
          <w:rtl/>
          <w:lang w:bidi="ar-IQ"/>
        </w:rPr>
        <w:t>و</w:t>
      </w:r>
      <w:r w:rsidR="00B63636" w:rsidRPr="006571AC">
        <w:rPr>
          <w:rFonts w:hint="cs"/>
          <w:sz w:val="27"/>
          <w:rtl/>
          <w:lang w:bidi="ar-IQ"/>
        </w:rPr>
        <w:t>ْ</w:t>
      </w:r>
      <w:r w:rsidR="00381A52" w:rsidRPr="006571AC">
        <w:rPr>
          <w:sz w:val="27"/>
          <w:rtl/>
          <w:lang w:bidi="ar-IQ"/>
        </w:rPr>
        <w:t>زته. وكما هو واضح</w:t>
      </w:r>
      <w:r w:rsidR="00B63636" w:rsidRPr="006571AC">
        <w:rPr>
          <w:rFonts w:hint="cs"/>
          <w:sz w:val="27"/>
          <w:rtl/>
          <w:lang w:bidi="ar-IQ"/>
        </w:rPr>
        <w:t>ٌ</w:t>
      </w:r>
      <w:r w:rsidR="00381A52" w:rsidRPr="006571AC">
        <w:rPr>
          <w:sz w:val="27"/>
          <w:rtl/>
          <w:lang w:bidi="ar-IQ"/>
        </w:rPr>
        <w:t xml:space="preserve"> فإن هذه الرواية </w:t>
      </w:r>
      <w:r w:rsidR="00381A52" w:rsidRPr="006571AC">
        <w:rPr>
          <w:sz w:val="27"/>
          <w:rtl/>
          <w:lang w:bidi="ar-IQ"/>
        </w:rPr>
        <w:lastRenderedPageBreak/>
        <w:t>لا تشتمل على أيّ نزاع</w:t>
      </w:r>
      <w:r w:rsidR="00B63636" w:rsidRPr="006571AC">
        <w:rPr>
          <w:rFonts w:hint="cs"/>
          <w:sz w:val="27"/>
          <w:rtl/>
          <w:lang w:bidi="ar-IQ"/>
        </w:rPr>
        <w:t>ٍ</w:t>
      </w:r>
      <w:r w:rsidR="00381A52" w:rsidRPr="006571AC">
        <w:rPr>
          <w:sz w:val="27"/>
          <w:rtl/>
          <w:lang w:bidi="ar-IQ"/>
        </w:rPr>
        <w:t xml:space="preserve"> بين الطرفين، وإنما يصل كل</w:t>
      </w:r>
      <w:r w:rsidR="00B63636" w:rsidRPr="006571AC">
        <w:rPr>
          <w:rFonts w:hint="cs"/>
          <w:sz w:val="27"/>
          <w:rtl/>
          <w:lang w:bidi="ar-IQ"/>
        </w:rPr>
        <w:t>ّ</w:t>
      </w:r>
      <w:r w:rsidR="00381A52" w:rsidRPr="006571AC">
        <w:rPr>
          <w:sz w:val="27"/>
          <w:rtl/>
          <w:lang w:bidi="ar-IQ"/>
        </w:rPr>
        <w:t xml:space="preserve"> واحد</w:t>
      </w:r>
      <w:r w:rsidR="00B63636" w:rsidRPr="006571AC">
        <w:rPr>
          <w:rFonts w:hint="cs"/>
          <w:sz w:val="27"/>
          <w:rtl/>
          <w:lang w:bidi="ar-IQ"/>
        </w:rPr>
        <w:t>ٍ</w:t>
      </w:r>
      <w:r w:rsidR="00381A52" w:rsidRPr="006571AC">
        <w:rPr>
          <w:sz w:val="27"/>
          <w:rtl/>
          <w:lang w:bidi="ar-IQ"/>
        </w:rPr>
        <w:t xml:space="preserve"> منهما إلى حق</w:t>
      </w:r>
      <w:r w:rsidR="00B63636" w:rsidRPr="006571AC">
        <w:rPr>
          <w:rFonts w:hint="cs"/>
          <w:sz w:val="27"/>
          <w:rtl/>
          <w:lang w:bidi="ar-IQ"/>
        </w:rPr>
        <w:t>ِّ</w:t>
      </w:r>
      <w:r w:rsidR="00381A52" w:rsidRPr="006571AC">
        <w:rPr>
          <w:sz w:val="27"/>
          <w:rtl/>
          <w:lang w:bidi="ar-IQ"/>
        </w:rPr>
        <w:t xml:space="preserve">ه بالتراضي والمصالحة فقط، </w:t>
      </w:r>
      <w:r w:rsidR="00B63636" w:rsidRPr="006571AC">
        <w:rPr>
          <w:rFonts w:hint="cs"/>
          <w:sz w:val="27"/>
          <w:rtl/>
          <w:lang w:bidi="ar-IQ"/>
        </w:rPr>
        <w:t>و</w:t>
      </w:r>
      <w:r w:rsidR="00731867" w:rsidRPr="006571AC">
        <w:rPr>
          <w:sz w:val="27"/>
          <w:rtl/>
          <w:lang w:bidi="ar-IQ"/>
        </w:rPr>
        <w:t>لا سيَّما</w:t>
      </w:r>
      <w:r w:rsidR="00381A52" w:rsidRPr="006571AC">
        <w:rPr>
          <w:sz w:val="27"/>
          <w:rtl/>
          <w:lang w:bidi="ar-IQ"/>
        </w:rPr>
        <w:t xml:space="preserve"> أنه لم ي</w:t>
      </w:r>
      <w:r w:rsidR="00B63636" w:rsidRPr="006571AC">
        <w:rPr>
          <w:rFonts w:hint="cs"/>
          <w:sz w:val="27"/>
          <w:rtl/>
          <w:lang w:bidi="ar-IQ"/>
        </w:rPr>
        <w:t>َ</w:t>
      </w:r>
      <w:r w:rsidR="00381A52" w:rsidRPr="006571AC">
        <w:rPr>
          <w:sz w:val="27"/>
          <w:rtl/>
          <w:lang w:bidi="ar-IQ"/>
        </w:rPr>
        <w:t>ر</w:t>
      </w:r>
      <w:r w:rsidR="00B63636" w:rsidRPr="006571AC">
        <w:rPr>
          <w:rFonts w:hint="cs"/>
          <w:sz w:val="27"/>
          <w:rtl/>
          <w:lang w:bidi="ar-IQ"/>
        </w:rPr>
        <w:t>ِ</w:t>
      </w:r>
      <w:r w:rsidR="00381A52" w:rsidRPr="006571AC">
        <w:rPr>
          <w:sz w:val="27"/>
          <w:rtl/>
          <w:lang w:bidi="ar-IQ"/>
        </w:rPr>
        <w:t>د</w:t>
      </w:r>
      <w:r w:rsidR="00B63636" w:rsidRPr="006571AC">
        <w:rPr>
          <w:rFonts w:hint="cs"/>
          <w:sz w:val="27"/>
          <w:rtl/>
          <w:lang w:bidi="ar-IQ"/>
        </w:rPr>
        <w:t>ْ</w:t>
      </w:r>
      <w:r w:rsidR="00381A52" w:rsidRPr="006571AC">
        <w:rPr>
          <w:sz w:val="27"/>
          <w:rtl/>
          <w:lang w:bidi="ar-IQ"/>
        </w:rPr>
        <w:t xml:space="preserve"> التعبير في ذيل الرواية بلفظ الصلح</w:t>
      </w:r>
      <w:r w:rsidR="00B63636" w:rsidRPr="006571AC">
        <w:rPr>
          <w:rFonts w:hint="cs"/>
          <w:sz w:val="27"/>
          <w:rtl/>
          <w:lang w:bidi="ar-IQ"/>
        </w:rPr>
        <w:t>؛</w:t>
      </w:r>
      <w:r w:rsidR="00381A52" w:rsidRPr="006571AC">
        <w:rPr>
          <w:sz w:val="27"/>
          <w:rtl/>
          <w:lang w:bidi="ar-IQ"/>
        </w:rPr>
        <w:t xml:space="preserve"> كي يُدّعى أن ظهورها اللغوي والمتفاهم العُر</w:t>
      </w:r>
      <w:r w:rsidR="00B63636" w:rsidRPr="006571AC">
        <w:rPr>
          <w:rFonts w:hint="cs"/>
          <w:sz w:val="27"/>
          <w:rtl/>
          <w:lang w:bidi="ar-IQ"/>
        </w:rPr>
        <w:t>ْ</w:t>
      </w:r>
      <w:r w:rsidR="00381A52" w:rsidRPr="006571AC">
        <w:rPr>
          <w:sz w:val="27"/>
          <w:rtl/>
          <w:lang w:bidi="ar-IQ"/>
        </w:rPr>
        <w:t>في منها يحكي عن سبق النزاع، بل تمّ الاستناد في الرواية</w:t>
      </w:r>
      <w:r w:rsidR="00381A52" w:rsidRPr="006571AC">
        <w:rPr>
          <w:rFonts w:hint="cs"/>
          <w:sz w:val="27"/>
          <w:rtl/>
          <w:lang w:bidi="ar-IQ"/>
        </w:rPr>
        <w:t xml:space="preserve"> ـ بالنظر إلى تطبيق القضية الشرطية على المورد المُعبّ</w:t>
      </w:r>
      <w:r w:rsidR="00B63636" w:rsidRPr="006571AC">
        <w:rPr>
          <w:rFonts w:hint="cs"/>
          <w:sz w:val="27"/>
          <w:rtl/>
          <w:lang w:bidi="ar-IQ"/>
        </w:rPr>
        <w:t>ِ</w:t>
      </w:r>
      <w:r w:rsidR="00381A52" w:rsidRPr="006571AC">
        <w:rPr>
          <w:rFonts w:hint="cs"/>
          <w:sz w:val="27"/>
          <w:rtl/>
          <w:lang w:bidi="ar-IQ"/>
        </w:rPr>
        <w:t>ر عن علّة الحكم أيضاً ـ</w:t>
      </w:r>
      <w:r w:rsidR="00381A52" w:rsidRPr="006571AC">
        <w:rPr>
          <w:sz w:val="27"/>
          <w:rtl/>
          <w:lang w:bidi="ar-IQ"/>
        </w:rPr>
        <w:t xml:space="preserve"> إلى عنوان التراضي وطيب النفس؛ الأمر الذي يدلّ على أنه حيثما كان هناك إنشاء</w:t>
      </w:r>
      <w:r w:rsidR="00B63636" w:rsidRPr="006571AC">
        <w:rPr>
          <w:rFonts w:hint="cs"/>
          <w:sz w:val="27"/>
          <w:rtl/>
          <w:lang w:bidi="ar-IQ"/>
        </w:rPr>
        <w:t>ٌ</w:t>
      </w:r>
      <w:r w:rsidR="00381A52" w:rsidRPr="006571AC">
        <w:rPr>
          <w:sz w:val="27"/>
          <w:rtl/>
          <w:lang w:bidi="ar-IQ"/>
        </w:rPr>
        <w:t xml:space="preserve"> للتراضي، وكان لدى الطرفين طيب</w:t>
      </w:r>
      <w:r w:rsidR="00B63636" w:rsidRPr="006571AC">
        <w:rPr>
          <w:rFonts w:hint="cs"/>
          <w:sz w:val="27"/>
          <w:rtl/>
          <w:lang w:bidi="ar-IQ"/>
        </w:rPr>
        <w:t>ُ</w:t>
      </w:r>
      <w:r w:rsidR="00381A52" w:rsidRPr="006571AC">
        <w:rPr>
          <w:sz w:val="27"/>
          <w:rtl/>
          <w:lang w:bidi="ar-IQ"/>
        </w:rPr>
        <w:t xml:space="preserve"> نفس</w:t>
      </w:r>
      <w:r w:rsidR="00B63636" w:rsidRPr="006571AC">
        <w:rPr>
          <w:rFonts w:hint="cs"/>
          <w:sz w:val="27"/>
          <w:rtl/>
          <w:lang w:bidi="ar-IQ"/>
        </w:rPr>
        <w:t>ٍ،</w:t>
      </w:r>
      <w:r w:rsidR="00381A52" w:rsidRPr="006571AC">
        <w:rPr>
          <w:sz w:val="27"/>
          <w:rtl/>
          <w:lang w:bidi="ar-IQ"/>
        </w:rPr>
        <w:t xml:space="preserve"> كان ذلك كافياً</w:t>
      </w:r>
      <w:r w:rsidR="00B63636" w:rsidRPr="006571AC">
        <w:rPr>
          <w:rFonts w:hint="cs"/>
          <w:sz w:val="27"/>
          <w:rtl/>
          <w:lang w:bidi="ar-IQ"/>
        </w:rPr>
        <w:t>.</w:t>
      </w:r>
      <w:r w:rsidR="00381A52" w:rsidRPr="006571AC">
        <w:rPr>
          <w:sz w:val="27"/>
          <w:rtl/>
          <w:lang w:bidi="ar-IQ"/>
        </w:rPr>
        <w:t xml:space="preserve"> ولا تندرج هذه المعاملة تحت أيّ ع</w:t>
      </w:r>
      <w:r w:rsidR="004823CE" w:rsidRPr="006571AC">
        <w:rPr>
          <w:sz w:val="27"/>
          <w:rtl/>
          <w:lang w:bidi="ar-IQ"/>
        </w:rPr>
        <w:t>نوا</w:t>
      </w:r>
      <w:r w:rsidR="004823CE" w:rsidRPr="006571AC">
        <w:rPr>
          <w:rFonts w:hint="cs"/>
          <w:sz w:val="27"/>
          <w:rtl/>
          <w:lang w:bidi="ar-IQ"/>
        </w:rPr>
        <w:t>نٍ</w:t>
      </w:r>
      <w:r w:rsidR="00381A52" w:rsidRPr="006571AC">
        <w:rPr>
          <w:sz w:val="27"/>
          <w:rtl/>
          <w:lang w:bidi="ar-IQ"/>
        </w:rPr>
        <w:t xml:space="preserve"> آخر غير عنوان الصلح. </w:t>
      </w:r>
      <w:r w:rsidR="00381A52" w:rsidRPr="006571AC">
        <w:rPr>
          <w:rFonts w:hint="cs"/>
          <w:sz w:val="27"/>
          <w:rtl/>
          <w:lang w:bidi="ar-IQ"/>
        </w:rPr>
        <w:t>ولذلك فإن الاد</w:t>
      </w:r>
      <w:r w:rsidR="00B63636" w:rsidRPr="006571AC">
        <w:rPr>
          <w:rFonts w:hint="cs"/>
          <w:sz w:val="27"/>
          <w:rtl/>
          <w:lang w:bidi="ar-IQ"/>
        </w:rPr>
        <w:t>ّ</w:t>
      </w:r>
      <w:r w:rsidR="00381A52" w:rsidRPr="006571AC">
        <w:rPr>
          <w:rFonts w:hint="cs"/>
          <w:sz w:val="27"/>
          <w:rtl/>
          <w:lang w:bidi="ar-IQ"/>
        </w:rPr>
        <w:t>عاء بأن جهل كل</w:t>
      </w:r>
      <w:r w:rsidR="00B63636" w:rsidRPr="006571AC">
        <w:rPr>
          <w:rFonts w:hint="cs"/>
          <w:sz w:val="27"/>
          <w:rtl/>
          <w:lang w:bidi="ar-IQ"/>
        </w:rPr>
        <w:t>ّ</w:t>
      </w:r>
      <w:r w:rsidR="00381A52" w:rsidRPr="006571AC">
        <w:rPr>
          <w:rFonts w:hint="cs"/>
          <w:sz w:val="27"/>
          <w:rtl/>
          <w:lang w:bidi="ar-IQ"/>
        </w:rPr>
        <w:t xml:space="preserve"> واحد</w:t>
      </w:r>
      <w:r w:rsidR="00B63636" w:rsidRPr="006571AC">
        <w:rPr>
          <w:rFonts w:hint="cs"/>
          <w:sz w:val="27"/>
          <w:rtl/>
          <w:lang w:bidi="ar-IQ"/>
        </w:rPr>
        <w:t>ٍ</w:t>
      </w:r>
      <w:r w:rsidR="00381A52" w:rsidRPr="006571AC">
        <w:rPr>
          <w:rFonts w:hint="cs"/>
          <w:sz w:val="27"/>
          <w:rtl/>
          <w:lang w:bidi="ar-IQ"/>
        </w:rPr>
        <w:t xml:space="preserve"> من الشركاء بماله يستوجب ظهور النزاع، وعليه تكون الرواية خاص</w:t>
      </w:r>
      <w:r w:rsidR="00B63636" w:rsidRPr="006571AC">
        <w:rPr>
          <w:rFonts w:hint="cs"/>
          <w:sz w:val="27"/>
          <w:rtl/>
          <w:lang w:bidi="ar-IQ"/>
        </w:rPr>
        <w:t>ّ</w:t>
      </w:r>
      <w:r w:rsidR="00381A52" w:rsidRPr="006571AC">
        <w:rPr>
          <w:rFonts w:hint="cs"/>
          <w:sz w:val="27"/>
          <w:rtl/>
          <w:lang w:bidi="ar-IQ"/>
        </w:rPr>
        <w:t>ة</w:t>
      </w:r>
      <w:r w:rsidR="00B63636" w:rsidRPr="006571AC">
        <w:rPr>
          <w:rFonts w:hint="cs"/>
          <w:sz w:val="27"/>
          <w:rtl/>
          <w:lang w:bidi="ar-IQ"/>
        </w:rPr>
        <w:t>ً</w:t>
      </w:r>
      <w:r w:rsidR="00381A52" w:rsidRPr="006571AC">
        <w:rPr>
          <w:rFonts w:hint="cs"/>
          <w:sz w:val="27"/>
          <w:rtl/>
          <w:lang w:bidi="ar-IQ"/>
        </w:rPr>
        <w:t xml:space="preserve"> بالمورد الذي يُتوقّ</w:t>
      </w:r>
      <w:r w:rsidR="00B63636" w:rsidRPr="006571AC">
        <w:rPr>
          <w:rFonts w:hint="cs"/>
          <w:sz w:val="27"/>
          <w:rtl/>
          <w:lang w:bidi="ar-IQ"/>
        </w:rPr>
        <w:t>َ</w:t>
      </w:r>
      <w:r w:rsidR="00381A52" w:rsidRPr="006571AC">
        <w:rPr>
          <w:rFonts w:hint="cs"/>
          <w:sz w:val="27"/>
          <w:rtl/>
          <w:lang w:bidi="ar-IQ"/>
        </w:rPr>
        <w:t>ع فيه النزاع</w:t>
      </w:r>
      <w:r w:rsidR="00381A52" w:rsidRPr="006571AC">
        <w:rPr>
          <w:sz w:val="27"/>
          <w:vertAlign w:val="superscript"/>
          <w:rtl/>
          <w:lang w:bidi="ar-IQ"/>
        </w:rPr>
        <w:t>(</w:t>
      </w:r>
      <w:r w:rsidR="00381A52" w:rsidRPr="006571AC">
        <w:rPr>
          <w:rStyle w:val="ac"/>
          <w:sz w:val="27"/>
          <w:rtl/>
          <w:lang w:bidi="ar-IQ"/>
        </w:rPr>
        <w:endnoteReference w:id="285"/>
      </w:r>
      <w:r w:rsidR="00381A52" w:rsidRPr="006571AC">
        <w:rPr>
          <w:sz w:val="27"/>
          <w:vertAlign w:val="superscript"/>
          <w:rtl/>
          <w:lang w:bidi="ar-IQ"/>
        </w:rPr>
        <w:t>)</w:t>
      </w:r>
      <w:r w:rsidR="00381A52" w:rsidRPr="006571AC">
        <w:rPr>
          <w:rFonts w:hint="cs"/>
          <w:sz w:val="27"/>
          <w:rtl/>
          <w:lang w:bidi="ar-IQ"/>
        </w:rPr>
        <w:t xml:space="preserve">، ليس صحيحاً. </w:t>
      </w:r>
      <w:r w:rsidR="00B63636" w:rsidRPr="006571AC">
        <w:rPr>
          <w:rFonts w:hint="cs"/>
          <w:sz w:val="27"/>
          <w:rtl/>
          <w:lang w:bidi="ar-IQ"/>
        </w:rPr>
        <w:t>مضافاً إ</w:t>
      </w:r>
      <w:r w:rsidR="00381A52" w:rsidRPr="006571AC">
        <w:rPr>
          <w:rFonts w:hint="cs"/>
          <w:sz w:val="27"/>
          <w:rtl/>
          <w:lang w:bidi="ar-IQ"/>
        </w:rPr>
        <w:t xml:space="preserve">لى أنه بالنظر إلى قانون </w:t>
      </w:r>
      <w:r w:rsidR="00381A52" w:rsidRPr="006571AC">
        <w:rPr>
          <w:rFonts w:hint="eastAsia"/>
          <w:sz w:val="24"/>
          <w:szCs w:val="24"/>
          <w:rtl/>
        </w:rPr>
        <w:t>«</w:t>
      </w:r>
      <w:r w:rsidR="00381A52" w:rsidRPr="006571AC">
        <w:rPr>
          <w:rFonts w:hint="cs"/>
          <w:sz w:val="27"/>
          <w:rtl/>
          <w:lang w:bidi="ar-IQ"/>
        </w:rPr>
        <w:t>العل</w:t>
      </w:r>
      <w:r w:rsidR="00B63636" w:rsidRPr="006571AC">
        <w:rPr>
          <w:rFonts w:hint="cs"/>
          <w:sz w:val="27"/>
          <w:rtl/>
          <w:lang w:bidi="ar-IQ"/>
        </w:rPr>
        <w:t>ّ</w:t>
      </w:r>
      <w:r w:rsidR="00381A52" w:rsidRPr="006571AC">
        <w:rPr>
          <w:rFonts w:hint="cs"/>
          <w:sz w:val="27"/>
          <w:rtl/>
          <w:lang w:bidi="ar-IQ"/>
        </w:rPr>
        <w:t>ة تعمّ</w:t>
      </w:r>
      <w:r w:rsidR="00B63636" w:rsidRPr="006571AC">
        <w:rPr>
          <w:rFonts w:hint="cs"/>
          <w:sz w:val="27"/>
          <w:rtl/>
          <w:lang w:bidi="ar-IQ"/>
        </w:rPr>
        <w:t>ِ</w:t>
      </w:r>
      <w:r w:rsidR="00381A52" w:rsidRPr="006571AC">
        <w:rPr>
          <w:rFonts w:hint="cs"/>
          <w:sz w:val="27"/>
          <w:rtl/>
          <w:lang w:bidi="ar-IQ"/>
        </w:rPr>
        <w:t>م وتخصّ</w:t>
      </w:r>
      <w:r w:rsidR="00B63636" w:rsidRPr="006571AC">
        <w:rPr>
          <w:rFonts w:hint="cs"/>
          <w:sz w:val="27"/>
          <w:rtl/>
          <w:lang w:bidi="ar-IQ"/>
        </w:rPr>
        <w:t>ِ</w:t>
      </w:r>
      <w:r w:rsidR="00381A52" w:rsidRPr="006571AC">
        <w:rPr>
          <w:rFonts w:hint="cs"/>
          <w:sz w:val="27"/>
          <w:rtl/>
          <w:lang w:bidi="ar-IQ"/>
        </w:rPr>
        <w:t>ص</w:t>
      </w:r>
      <w:r w:rsidR="00381A52" w:rsidRPr="006571AC">
        <w:rPr>
          <w:rFonts w:hint="eastAsia"/>
          <w:sz w:val="24"/>
          <w:szCs w:val="24"/>
          <w:rtl/>
        </w:rPr>
        <w:t>»</w:t>
      </w:r>
      <w:r w:rsidR="00381A52" w:rsidRPr="006571AC">
        <w:rPr>
          <w:rFonts w:hint="cs"/>
          <w:sz w:val="27"/>
          <w:rtl/>
          <w:lang w:bidi="ar-IQ"/>
        </w:rPr>
        <w:t xml:space="preserve"> لا يبدو اد</w:t>
      </w:r>
      <w:r w:rsidR="00B63636" w:rsidRPr="006571AC">
        <w:rPr>
          <w:rFonts w:hint="cs"/>
          <w:sz w:val="27"/>
          <w:rtl/>
          <w:lang w:bidi="ar-IQ"/>
        </w:rPr>
        <w:t>ّ</w:t>
      </w:r>
      <w:r w:rsidR="00381A52" w:rsidRPr="006571AC">
        <w:rPr>
          <w:rFonts w:hint="cs"/>
          <w:sz w:val="27"/>
          <w:rtl/>
          <w:lang w:bidi="ar-IQ"/>
        </w:rPr>
        <w:t>عاء عدم التعميم في جواب الإمام</w:t>
      </w:r>
      <w:r w:rsidR="00381A52" w:rsidRPr="006571AC">
        <w:rPr>
          <w:sz w:val="27"/>
          <w:vertAlign w:val="superscript"/>
          <w:rtl/>
          <w:lang w:bidi="ar-IQ"/>
        </w:rPr>
        <w:t>(</w:t>
      </w:r>
      <w:r w:rsidR="00381A52" w:rsidRPr="006571AC">
        <w:rPr>
          <w:rStyle w:val="ac"/>
          <w:sz w:val="27"/>
          <w:rtl/>
          <w:lang w:bidi="ar-IQ"/>
        </w:rPr>
        <w:endnoteReference w:id="286"/>
      </w:r>
      <w:r w:rsidR="00381A52" w:rsidRPr="006571AC">
        <w:rPr>
          <w:sz w:val="27"/>
          <w:vertAlign w:val="superscript"/>
          <w:rtl/>
          <w:lang w:bidi="ar-IQ"/>
        </w:rPr>
        <w:t>)</w:t>
      </w:r>
      <w:r w:rsidR="00381A52" w:rsidRPr="006571AC">
        <w:rPr>
          <w:rFonts w:hint="cs"/>
          <w:sz w:val="27"/>
          <w:rtl/>
          <w:lang w:bidi="ar-IQ"/>
        </w:rPr>
        <w:t xml:space="preserve"> صحيحاً أيضاً. </w:t>
      </w:r>
    </w:p>
    <w:p w:rsidR="004B16C6" w:rsidRPr="006571AC" w:rsidRDefault="004B16C6" w:rsidP="004B16C6">
      <w:pPr>
        <w:spacing w:line="420" w:lineRule="exact"/>
        <w:rPr>
          <w:sz w:val="27"/>
          <w:rtl/>
        </w:rPr>
      </w:pPr>
    </w:p>
    <w:p w:rsidR="00381A52" w:rsidRPr="006571AC" w:rsidRDefault="00FC7A16" w:rsidP="00714072">
      <w:pPr>
        <w:pStyle w:val="31"/>
        <w:rPr>
          <w:color w:val="auto"/>
          <w:rtl/>
          <w:lang w:bidi="ar-IQ"/>
        </w:rPr>
      </w:pPr>
      <w:bookmarkStart w:id="131" w:name="_Toc114164620"/>
      <w:r w:rsidRPr="006571AC">
        <w:rPr>
          <w:rFonts w:hint="cs"/>
          <w:color w:val="auto"/>
          <w:rtl/>
          <w:lang w:bidi="ar-IQ"/>
        </w:rPr>
        <w:t>ب ـ</w:t>
      </w:r>
      <w:r w:rsidR="00381A52" w:rsidRPr="006571AC">
        <w:rPr>
          <w:rFonts w:hint="cs"/>
          <w:color w:val="auto"/>
          <w:rtl/>
          <w:lang w:bidi="ar-IQ"/>
        </w:rPr>
        <w:t xml:space="preserve"> صحيحة عبد الله بن سنان</w:t>
      </w:r>
      <w:bookmarkEnd w:id="131"/>
    </w:p>
    <w:p w:rsidR="00C17125" w:rsidRPr="006571AC" w:rsidRDefault="00DB276F" w:rsidP="004823CE">
      <w:pPr>
        <w:rPr>
          <w:sz w:val="27"/>
          <w:rtl/>
          <w:lang w:bidi="ar-IQ"/>
        </w:rPr>
      </w:pPr>
      <w:r w:rsidRPr="006571AC">
        <w:rPr>
          <w:rFonts w:hint="eastAsia"/>
          <w:sz w:val="24"/>
          <w:szCs w:val="24"/>
          <w:rtl/>
        </w:rPr>
        <w:t>«</w:t>
      </w:r>
      <w:r w:rsidR="00E43263" w:rsidRPr="006571AC">
        <w:rPr>
          <w:rFonts w:hint="cs"/>
          <w:sz w:val="27"/>
          <w:rtl/>
          <w:lang w:bidi="ar-IQ"/>
        </w:rPr>
        <w:t>محمد بن يعقوب</w:t>
      </w:r>
      <w:r w:rsidR="00A6058F" w:rsidRPr="006571AC">
        <w:rPr>
          <w:rFonts w:hint="cs"/>
          <w:sz w:val="27"/>
          <w:rtl/>
          <w:lang w:bidi="ar-IQ"/>
        </w:rPr>
        <w:t xml:space="preserve"> [الكليني]</w:t>
      </w:r>
      <w:r w:rsidR="00E43263" w:rsidRPr="006571AC">
        <w:rPr>
          <w:rFonts w:hint="cs"/>
          <w:sz w:val="27"/>
          <w:rtl/>
          <w:lang w:bidi="ar-IQ"/>
        </w:rPr>
        <w:t xml:space="preserve">، عن </w:t>
      </w:r>
      <w:r w:rsidR="00381A52" w:rsidRPr="006571AC">
        <w:rPr>
          <w:rFonts w:hint="cs"/>
          <w:sz w:val="27"/>
          <w:rtl/>
          <w:lang w:bidi="ar-IQ"/>
        </w:rPr>
        <w:t>علي</w:t>
      </w:r>
      <w:r w:rsidR="00B63636" w:rsidRPr="006571AC">
        <w:rPr>
          <w:rFonts w:hint="cs"/>
          <w:sz w:val="27"/>
          <w:rtl/>
          <w:lang w:bidi="ar-IQ"/>
        </w:rPr>
        <w:t>ّ</w:t>
      </w:r>
      <w:r w:rsidR="00381A52" w:rsidRPr="006571AC">
        <w:rPr>
          <w:rFonts w:hint="cs"/>
          <w:sz w:val="27"/>
          <w:rtl/>
          <w:lang w:bidi="ar-IQ"/>
        </w:rPr>
        <w:t xml:space="preserve"> بن إبراهيم، عن أبيه، عن ابن مح</w:t>
      </w:r>
      <w:r w:rsidR="004823CE" w:rsidRPr="006571AC">
        <w:rPr>
          <w:rFonts w:hint="cs"/>
          <w:sz w:val="27"/>
          <w:rtl/>
          <w:lang w:bidi="ar-IQ"/>
        </w:rPr>
        <w:t>ب</w:t>
      </w:r>
      <w:r w:rsidR="00381A52" w:rsidRPr="006571AC">
        <w:rPr>
          <w:rFonts w:hint="cs"/>
          <w:sz w:val="27"/>
          <w:rtl/>
          <w:lang w:bidi="ar-IQ"/>
        </w:rPr>
        <w:t>وب، عن عبد الله بن</w:t>
      </w:r>
      <w:r w:rsidR="00381A52" w:rsidRPr="006571AC">
        <w:rPr>
          <w:sz w:val="27"/>
          <w:rtl/>
        </w:rPr>
        <w:t xml:space="preserve"> </w:t>
      </w:r>
      <w:r w:rsidR="00381A52" w:rsidRPr="006571AC">
        <w:rPr>
          <w:sz w:val="27"/>
          <w:rtl/>
          <w:lang w:bidi="ar-IQ"/>
        </w:rPr>
        <w:t>سنان</w:t>
      </w:r>
      <w:r w:rsidR="00381A52" w:rsidRPr="006571AC">
        <w:rPr>
          <w:rFonts w:hint="cs"/>
          <w:sz w:val="27"/>
          <w:rtl/>
          <w:lang w:bidi="ar-IQ"/>
        </w:rPr>
        <w:t xml:space="preserve"> </w:t>
      </w:r>
      <w:r w:rsidR="00381A52" w:rsidRPr="006571AC">
        <w:rPr>
          <w:sz w:val="27"/>
          <w:rtl/>
          <w:lang w:bidi="ar-IQ"/>
        </w:rPr>
        <w:t>قال: سألت</w:t>
      </w:r>
      <w:r w:rsidR="00B63636" w:rsidRPr="006571AC">
        <w:rPr>
          <w:rFonts w:hint="cs"/>
          <w:sz w:val="27"/>
          <w:rtl/>
          <w:lang w:bidi="ar-IQ"/>
        </w:rPr>
        <w:t>ُ</w:t>
      </w:r>
      <w:r w:rsidR="00381A52" w:rsidRPr="006571AC">
        <w:rPr>
          <w:sz w:val="27"/>
          <w:rtl/>
          <w:lang w:bidi="ar-IQ"/>
        </w:rPr>
        <w:t xml:space="preserve"> أبا عبد</w:t>
      </w:r>
      <w:r w:rsidR="00381A52" w:rsidRPr="006571AC">
        <w:rPr>
          <w:rFonts w:hint="cs"/>
          <w:sz w:val="27"/>
          <w:rtl/>
          <w:lang w:bidi="ar-IQ"/>
        </w:rPr>
        <w:t xml:space="preserve"> </w:t>
      </w:r>
      <w:r w:rsidR="00381A52" w:rsidRPr="006571AC">
        <w:rPr>
          <w:sz w:val="27"/>
          <w:rtl/>
          <w:lang w:bidi="ar-IQ"/>
        </w:rPr>
        <w:t>الله</w:t>
      </w:r>
      <w:r w:rsidR="002A2C90" w:rsidRPr="006571AC">
        <w:rPr>
          <w:rFonts w:ascii="Mosawi" w:hAnsi="Mosawi" w:cs="Mosawi"/>
          <w:sz w:val="22"/>
          <w:szCs w:val="22"/>
          <w:rtl/>
        </w:rPr>
        <w:t>×</w:t>
      </w:r>
      <w:r w:rsidR="00381A52" w:rsidRPr="006571AC">
        <w:rPr>
          <w:sz w:val="27"/>
          <w:rtl/>
          <w:lang w:bidi="ar-IQ"/>
        </w:rPr>
        <w:t xml:space="preserve"> عن رجل</w:t>
      </w:r>
      <w:r w:rsidR="00B63636" w:rsidRPr="006571AC">
        <w:rPr>
          <w:rFonts w:hint="cs"/>
          <w:sz w:val="27"/>
          <w:rtl/>
          <w:lang w:bidi="ar-IQ"/>
        </w:rPr>
        <w:t>ٍ</w:t>
      </w:r>
      <w:r w:rsidR="00381A52" w:rsidRPr="006571AC">
        <w:rPr>
          <w:sz w:val="27"/>
          <w:rtl/>
          <w:lang w:bidi="ar-IQ"/>
        </w:rPr>
        <w:t xml:space="preserve"> دفع إلى رجل</w:t>
      </w:r>
      <w:r w:rsidR="00B63636" w:rsidRPr="006571AC">
        <w:rPr>
          <w:rFonts w:hint="cs"/>
          <w:sz w:val="27"/>
          <w:rtl/>
          <w:lang w:bidi="ar-IQ"/>
        </w:rPr>
        <w:t>ٍ</w:t>
      </w:r>
      <w:r w:rsidR="00381A52" w:rsidRPr="006571AC">
        <w:rPr>
          <w:sz w:val="27"/>
          <w:rtl/>
          <w:lang w:bidi="ar-IQ"/>
        </w:rPr>
        <w:t xml:space="preserve"> غنمه بسمن</w:t>
      </w:r>
      <w:r w:rsidR="00B63636" w:rsidRPr="006571AC">
        <w:rPr>
          <w:rFonts w:hint="cs"/>
          <w:sz w:val="27"/>
          <w:rtl/>
          <w:lang w:bidi="ar-IQ"/>
        </w:rPr>
        <w:t>ٍ</w:t>
      </w:r>
      <w:r w:rsidR="00381A52" w:rsidRPr="006571AC">
        <w:rPr>
          <w:sz w:val="27"/>
          <w:rtl/>
          <w:lang w:bidi="ar-IQ"/>
        </w:rPr>
        <w:t xml:space="preserve"> ودراهم</w:t>
      </w:r>
      <w:r w:rsidR="00B63636" w:rsidRPr="006571AC">
        <w:rPr>
          <w:rFonts w:hint="cs"/>
          <w:sz w:val="27"/>
          <w:rtl/>
          <w:lang w:bidi="ar-IQ"/>
        </w:rPr>
        <w:t>َ</w:t>
      </w:r>
      <w:r w:rsidR="00381A52" w:rsidRPr="006571AC">
        <w:rPr>
          <w:sz w:val="27"/>
          <w:rtl/>
          <w:lang w:bidi="ar-IQ"/>
        </w:rPr>
        <w:t xml:space="preserve"> معلومة</w:t>
      </w:r>
      <w:r w:rsidR="00B63636" w:rsidRPr="006571AC">
        <w:rPr>
          <w:rFonts w:hint="cs"/>
          <w:sz w:val="27"/>
          <w:rtl/>
          <w:lang w:bidi="ar-IQ"/>
        </w:rPr>
        <w:t>ٍ</w:t>
      </w:r>
      <w:r w:rsidR="00381A52" w:rsidRPr="006571AC">
        <w:rPr>
          <w:sz w:val="27"/>
          <w:rtl/>
          <w:lang w:bidi="ar-IQ"/>
        </w:rPr>
        <w:t xml:space="preserve"> لكل</w:t>
      </w:r>
      <w:r w:rsidR="00B63636" w:rsidRPr="006571AC">
        <w:rPr>
          <w:rFonts w:hint="cs"/>
          <w:sz w:val="27"/>
          <w:rtl/>
          <w:lang w:bidi="ar-IQ"/>
        </w:rPr>
        <w:t>ّ</w:t>
      </w:r>
      <w:r w:rsidR="00381A52" w:rsidRPr="006571AC">
        <w:rPr>
          <w:sz w:val="27"/>
          <w:rtl/>
          <w:lang w:bidi="ar-IQ"/>
        </w:rPr>
        <w:t xml:space="preserve"> شاة</w:t>
      </w:r>
      <w:r w:rsidR="00B63636" w:rsidRPr="006571AC">
        <w:rPr>
          <w:rFonts w:hint="cs"/>
          <w:sz w:val="27"/>
          <w:rtl/>
          <w:lang w:bidi="ar-IQ"/>
        </w:rPr>
        <w:t>ٍ،</w:t>
      </w:r>
      <w:r w:rsidR="00381A52" w:rsidRPr="006571AC">
        <w:rPr>
          <w:sz w:val="27"/>
          <w:rtl/>
          <w:lang w:bidi="ar-IQ"/>
        </w:rPr>
        <w:t xml:space="preserve"> كذا وكذا في كل</w:t>
      </w:r>
      <w:r w:rsidR="00B63636" w:rsidRPr="006571AC">
        <w:rPr>
          <w:rFonts w:hint="cs"/>
          <w:sz w:val="27"/>
          <w:rtl/>
          <w:lang w:bidi="ar-IQ"/>
        </w:rPr>
        <w:t>ّ</w:t>
      </w:r>
      <w:r w:rsidR="00381A52" w:rsidRPr="006571AC">
        <w:rPr>
          <w:sz w:val="27"/>
          <w:rtl/>
          <w:lang w:bidi="ar-IQ"/>
        </w:rPr>
        <w:t xml:space="preserve"> شهر</w:t>
      </w:r>
      <w:r w:rsidR="00B63636" w:rsidRPr="006571AC">
        <w:rPr>
          <w:rFonts w:hint="cs"/>
          <w:sz w:val="27"/>
          <w:rtl/>
          <w:lang w:bidi="ar-IQ"/>
        </w:rPr>
        <w:t>ٍ</w:t>
      </w:r>
      <w:r w:rsidR="00381A52" w:rsidRPr="006571AC">
        <w:rPr>
          <w:sz w:val="27"/>
          <w:rtl/>
          <w:lang w:bidi="ar-IQ"/>
        </w:rPr>
        <w:t>؟ قال: لا بأس بالدراهم، فأما السمن فلا أحب</w:t>
      </w:r>
      <w:r w:rsidR="00381A52" w:rsidRPr="006571AC">
        <w:rPr>
          <w:rFonts w:hint="cs"/>
          <w:sz w:val="27"/>
          <w:rtl/>
          <w:lang w:bidi="ar-IQ"/>
        </w:rPr>
        <w:t>ّ</w:t>
      </w:r>
      <w:r w:rsidR="00381A52" w:rsidRPr="006571AC">
        <w:rPr>
          <w:sz w:val="27"/>
          <w:rtl/>
          <w:lang w:bidi="ar-IQ"/>
        </w:rPr>
        <w:t xml:space="preserve"> ذلك</w:t>
      </w:r>
      <w:r w:rsidR="00B63636" w:rsidRPr="006571AC">
        <w:rPr>
          <w:rFonts w:hint="cs"/>
          <w:sz w:val="27"/>
          <w:rtl/>
          <w:lang w:bidi="ar-IQ"/>
        </w:rPr>
        <w:t>،</w:t>
      </w:r>
      <w:r w:rsidR="00381A52" w:rsidRPr="006571AC">
        <w:rPr>
          <w:sz w:val="27"/>
          <w:rtl/>
          <w:lang w:bidi="ar-IQ"/>
        </w:rPr>
        <w:t xml:space="preserve"> إلا</w:t>
      </w:r>
      <w:r w:rsidR="00B63636" w:rsidRPr="006571AC">
        <w:rPr>
          <w:rFonts w:hint="cs"/>
          <w:sz w:val="27"/>
          <w:rtl/>
          <w:lang w:bidi="ar-IQ"/>
        </w:rPr>
        <w:t>ّ</w:t>
      </w:r>
      <w:r w:rsidR="00381A52" w:rsidRPr="006571AC">
        <w:rPr>
          <w:sz w:val="27"/>
          <w:rtl/>
          <w:lang w:bidi="ar-IQ"/>
        </w:rPr>
        <w:t xml:space="preserve"> أن تكون حوالب فلا بأس بذلك</w:t>
      </w:r>
      <w:r w:rsidR="00381A52" w:rsidRPr="006571AC">
        <w:rPr>
          <w:rFonts w:hint="eastAsia"/>
          <w:sz w:val="24"/>
          <w:szCs w:val="24"/>
          <w:rtl/>
        </w:rPr>
        <w:t>»</w:t>
      </w:r>
      <w:r w:rsidR="00381A52" w:rsidRPr="006571AC">
        <w:rPr>
          <w:sz w:val="27"/>
          <w:vertAlign w:val="superscript"/>
          <w:rtl/>
          <w:lang w:bidi="ar-IQ"/>
        </w:rPr>
        <w:t>(</w:t>
      </w:r>
      <w:r w:rsidR="00381A52" w:rsidRPr="006571AC">
        <w:rPr>
          <w:sz w:val="27"/>
          <w:vertAlign w:val="superscript"/>
          <w:rtl/>
          <w:lang w:bidi="ar-IQ"/>
        </w:rPr>
        <w:endnoteReference w:id="287"/>
      </w:r>
      <w:r w:rsidR="00381A52" w:rsidRPr="006571AC">
        <w:rPr>
          <w:sz w:val="27"/>
          <w:vertAlign w:val="superscript"/>
          <w:rtl/>
          <w:lang w:bidi="ar-IQ"/>
        </w:rPr>
        <w:t>)</w:t>
      </w:r>
      <w:r w:rsidR="00381A52" w:rsidRPr="006571AC">
        <w:rPr>
          <w:rFonts w:hint="cs"/>
          <w:sz w:val="27"/>
          <w:rtl/>
          <w:lang w:bidi="ar-IQ"/>
        </w:rPr>
        <w:t xml:space="preserve">. </w:t>
      </w:r>
    </w:p>
    <w:p w:rsidR="00C17125" w:rsidRPr="006571AC" w:rsidRDefault="00C17125"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sz w:val="27"/>
          <w:rtl/>
          <w:lang w:bidi="ar-IQ"/>
        </w:rPr>
        <w:t xml:space="preserve">: </w:t>
      </w:r>
      <w:r w:rsidR="00381A52" w:rsidRPr="006571AC">
        <w:rPr>
          <w:rFonts w:hint="cs"/>
          <w:sz w:val="27"/>
          <w:rtl/>
          <w:lang w:bidi="ar-IQ"/>
        </w:rPr>
        <w:t>لا وجود لأيّ مناقشة</w:t>
      </w:r>
      <w:r w:rsidR="00B63636" w:rsidRPr="006571AC">
        <w:rPr>
          <w:rFonts w:hint="cs"/>
          <w:sz w:val="27"/>
          <w:rtl/>
          <w:lang w:bidi="ar-IQ"/>
        </w:rPr>
        <w:t>ٍ</w:t>
      </w:r>
      <w:r w:rsidR="00381A52" w:rsidRPr="006571AC">
        <w:rPr>
          <w:rFonts w:hint="cs"/>
          <w:sz w:val="27"/>
          <w:rtl/>
          <w:lang w:bidi="ar-IQ"/>
        </w:rPr>
        <w:t xml:space="preserve"> في سند الرواية؛ رغم عدم ورود توثيق</w:t>
      </w:r>
      <w:r w:rsidR="00B63636" w:rsidRPr="006571AC">
        <w:rPr>
          <w:rFonts w:hint="cs"/>
          <w:sz w:val="27"/>
          <w:rtl/>
          <w:lang w:bidi="ar-IQ"/>
        </w:rPr>
        <w:t>ٍ</w:t>
      </w:r>
      <w:r w:rsidR="00381A52" w:rsidRPr="006571AC">
        <w:rPr>
          <w:rFonts w:hint="cs"/>
          <w:sz w:val="27"/>
          <w:rtl/>
          <w:lang w:bidi="ar-IQ"/>
        </w:rPr>
        <w:t xml:space="preserve"> صريح بشأن إبراهيم بن هاشم، ولكن</w:t>
      </w:r>
      <w:r w:rsidR="00B63636" w:rsidRPr="006571AC">
        <w:rPr>
          <w:rFonts w:hint="cs"/>
          <w:sz w:val="27"/>
          <w:rtl/>
          <w:lang w:bidi="ar-IQ"/>
        </w:rPr>
        <w:t>ّ</w:t>
      </w:r>
      <w:r w:rsidR="00381A52" w:rsidRPr="006571AC">
        <w:rPr>
          <w:rFonts w:hint="cs"/>
          <w:sz w:val="27"/>
          <w:rtl/>
          <w:lang w:bidi="ar-IQ"/>
        </w:rPr>
        <w:t>ه رجل</w:t>
      </w:r>
      <w:r w:rsidR="00B63636" w:rsidRPr="006571AC">
        <w:rPr>
          <w:rFonts w:hint="cs"/>
          <w:sz w:val="27"/>
          <w:rtl/>
          <w:lang w:bidi="ar-IQ"/>
        </w:rPr>
        <w:t>ٌ</w:t>
      </w:r>
      <w:r w:rsidR="00381A52" w:rsidRPr="006571AC">
        <w:rPr>
          <w:rFonts w:hint="cs"/>
          <w:sz w:val="27"/>
          <w:rtl/>
          <w:lang w:bidi="ar-IQ"/>
        </w:rPr>
        <w:t xml:space="preserve"> ممدوح</w:t>
      </w:r>
      <w:r w:rsidR="00B63636" w:rsidRPr="006571AC">
        <w:rPr>
          <w:rFonts w:hint="cs"/>
          <w:sz w:val="27"/>
          <w:rtl/>
          <w:lang w:bidi="ar-IQ"/>
        </w:rPr>
        <w:t>ٌ</w:t>
      </w:r>
      <w:r w:rsidR="00381A52" w:rsidRPr="006571AC">
        <w:rPr>
          <w:rFonts w:hint="cs"/>
          <w:sz w:val="27"/>
          <w:rtl/>
          <w:lang w:bidi="ar-IQ"/>
        </w:rPr>
        <w:t>، وقد أكثر عنه الرواية نجله علي</w:t>
      </w:r>
      <w:r w:rsidR="00B63636" w:rsidRPr="006571AC">
        <w:rPr>
          <w:rFonts w:hint="cs"/>
          <w:sz w:val="27"/>
          <w:rtl/>
          <w:lang w:bidi="ar-IQ"/>
        </w:rPr>
        <w:t>ّ</w:t>
      </w:r>
      <w:r w:rsidR="00381A52" w:rsidRPr="006571AC">
        <w:rPr>
          <w:rFonts w:hint="cs"/>
          <w:sz w:val="27"/>
          <w:rtl/>
          <w:lang w:bidi="ar-IQ"/>
        </w:rPr>
        <w:t xml:space="preserve"> بن إبراهيم</w:t>
      </w:r>
      <w:r w:rsidR="00B63636" w:rsidRPr="006571AC">
        <w:rPr>
          <w:rFonts w:hint="cs"/>
          <w:sz w:val="27"/>
          <w:rtl/>
          <w:lang w:bidi="ar-IQ"/>
        </w:rPr>
        <w:t>؛</w:t>
      </w:r>
      <w:r w:rsidR="00381A52" w:rsidRPr="006571AC">
        <w:rPr>
          <w:rFonts w:hint="cs"/>
          <w:sz w:val="27"/>
          <w:rtl/>
          <w:lang w:bidi="ar-IQ"/>
        </w:rPr>
        <w:t xml:space="preserve"> ومن نا</w:t>
      </w:r>
      <w:r w:rsidR="004823CE" w:rsidRPr="006571AC">
        <w:rPr>
          <w:rFonts w:hint="cs"/>
          <w:sz w:val="27"/>
          <w:rtl/>
          <w:lang w:bidi="ar-IQ"/>
        </w:rPr>
        <w:t>حيةٍ</w:t>
      </w:r>
      <w:r w:rsidR="00381A52" w:rsidRPr="006571AC">
        <w:rPr>
          <w:rFonts w:hint="cs"/>
          <w:sz w:val="27"/>
          <w:rtl/>
          <w:lang w:bidi="ar-IQ"/>
        </w:rPr>
        <w:t xml:space="preserve"> أخرى قال النجاشي في التعريف به: </w:t>
      </w:r>
      <w:r w:rsidR="00381A52" w:rsidRPr="006571AC">
        <w:rPr>
          <w:rFonts w:hint="eastAsia"/>
          <w:sz w:val="24"/>
          <w:szCs w:val="24"/>
          <w:rtl/>
        </w:rPr>
        <w:t>«</w:t>
      </w:r>
      <w:r w:rsidR="00381A52" w:rsidRPr="006571AC">
        <w:rPr>
          <w:rFonts w:hint="cs"/>
          <w:sz w:val="27"/>
          <w:rtl/>
          <w:lang w:bidi="ar-IQ"/>
        </w:rPr>
        <w:t>وأصحابنا يقولون: أو</w:t>
      </w:r>
      <w:r w:rsidR="00B63636" w:rsidRPr="006571AC">
        <w:rPr>
          <w:rFonts w:hint="cs"/>
          <w:sz w:val="27"/>
          <w:rtl/>
          <w:lang w:bidi="ar-IQ"/>
        </w:rPr>
        <w:t>ّ</w:t>
      </w:r>
      <w:r w:rsidR="00381A52" w:rsidRPr="006571AC">
        <w:rPr>
          <w:rFonts w:hint="cs"/>
          <w:sz w:val="27"/>
          <w:rtl/>
          <w:lang w:bidi="ar-IQ"/>
        </w:rPr>
        <w:t>ل م</w:t>
      </w:r>
      <w:r w:rsidR="00B63636" w:rsidRPr="006571AC">
        <w:rPr>
          <w:rFonts w:hint="cs"/>
          <w:sz w:val="27"/>
          <w:rtl/>
          <w:lang w:bidi="ar-IQ"/>
        </w:rPr>
        <w:t>َ</w:t>
      </w:r>
      <w:r w:rsidR="00381A52" w:rsidRPr="006571AC">
        <w:rPr>
          <w:rFonts w:hint="cs"/>
          <w:sz w:val="27"/>
          <w:rtl/>
          <w:lang w:bidi="ar-IQ"/>
        </w:rPr>
        <w:t>ن</w:t>
      </w:r>
      <w:r w:rsidR="00B63636" w:rsidRPr="006571AC">
        <w:rPr>
          <w:rFonts w:hint="cs"/>
          <w:sz w:val="27"/>
          <w:rtl/>
          <w:lang w:bidi="ar-IQ"/>
        </w:rPr>
        <w:t>ْ</w:t>
      </w:r>
      <w:r w:rsidR="00381A52" w:rsidRPr="006571AC">
        <w:rPr>
          <w:rFonts w:hint="cs"/>
          <w:sz w:val="27"/>
          <w:rtl/>
          <w:lang w:bidi="ar-IQ"/>
        </w:rPr>
        <w:t xml:space="preserve"> نشر حديث الكوفيين بقم </w:t>
      </w:r>
      <w:r w:rsidR="00381A52" w:rsidRPr="006571AC">
        <w:rPr>
          <w:sz w:val="27"/>
          <w:rtl/>
          <w:lang w:bidi="ar-IQ"/>
        </w:rPr>
        <w:t>هو</w:t>
      </w:r>
      <w:r w:rsidR="00381A52" w:rsidRPr="006571AC">
        <w:rPr>
          <w:rFonts w:hint="eastAsia"/>
          <w:sz w:val="24"/>
          <w:szCs w:val="24"/>
          <w:rtl/>
        </w:rPr>
        <w:t>»</w:t>
      </w:r>
      <w:r w:rsidR="00381A52" w:rsidRPr="006571AC">
        <w:rPr>
          <w:sz w:val="27"/>
          <w:vertAlign w:val="superscript"/>
          <w:rtl/>
          <w:lang w:bidi="ar-IQ"/>
        </w:rPr>
        <w:t>(</w:t>
      </w:r>
      <w:r w:rsidR="00381A52" w:rsidRPr="006571AC">
        <w:rPr>
          <w:rStyle w:val="ac"/>
          <w:sz w:val="27"/>
          <w:rtl/>
          <w:lang w:bidi="ar-IQ"/>
        </w:rPr>
        <w:endnoteReference w:id="288"/>
      </w:r>
      <w:r w:rsidR="00381A52" w:rsidRPr="006571AC">
        <w:rPr>
          <w:sz w:val="27"/>
          <w:vertAlign w:val="superscript"/>
          <w:rtl/>
          <w:lang w:bidi="ar-IQ"/>
        </w:rPr>
        <w:t>)</w:t>
      </w:r>
      <w:r w:rsidR="00381A52" w:rsidRPr="006571AC">
        <w:rPr>
          <w:rFonts w:hint="cs"/>
          <w:sz w:val="27"/>
          <w:rtl/>
          <w:lang w:bidi="ar-IQ"/>
        </w:rPr>
        <w:t>. ومن الواضح جد</w:t>
      </w:r>
      <w:r w:rsidR="00B63636" w:rsidRPr="006571AC">
        <w:rPr>
          <w:rFonts w:hint="cs"/>
          <w:sz w:val="27"/>
          <w:rtl/>
          <w:lang w:bidi="ar-IQ"/>
        </w:rPr>
        <w:t>ّ</w:t>
      </w:r>
      <w:r w:rsidR="00381A52" w:rsidRPr="006571AC">
        <w:rPr>
          <w:rFonts w:hint="cs"/>
          <w:sz w:val="27"/>
          <w:rtl/>
          <w:lang w:bidi="ar-IQ"/>
        </w:rPr>
        <w:t>اً أن القم</w:t>
      </w:r>
      <w:r w:rsidR="00B63636" w:rsidRPr="006571AC">
        <w:rPr>
          <w:rFonts w:hint="cs"/>
          <w:sz w:val="27"/>
          <w:rtl/>
          <w:lang w:bidi="ar-IQ"/>
        </w:rPr>
        <w:t>ِّ</w:t>
      </w:r>
      <w:r w:rsidR="00381A52" w:rsidRPr="006571AC">
        <w:rPr>
          <w:rFonts w:hint="cs"/>
          <w:sz w:val="27"/>
          <w:rtl/>
          <w:lang w:bidi="ar-IQ"/>
        </w:rPr>
        <w:t>يين قد اعتمدوا على رواياته</w:t>
      </w:r>
      <w:r w:rsidR="00B63636" w:rsidRPr="006571AC">
        <w:rPr>
          <w:rFonts w:hint="cs"/>
          <w:sz w:val="27"/>
          <w:rtl/>
          <w:lang w:bidi="ar-IQ"/>
        </w:rPr>
        <w:t>،</w:t>
      </w:r>
      <w:r w:rsidR="00381A52" w:rsidRPr="006571AC">
        <w:rPr>
          <w:rFonts w:hint="cs"/>
          <w:sz w:val="27"/>
          <w:rtl/>
          <w:lang w:bidi="ar-IQ"/>
        </w:rPr>
        <w:t xml:space="preserve"> ولم ينكروا شيئاً منها، ولو كان في أحاديثه إشكال</w:t>
      </w:r>
      <w:r w:rsidR="00B63636" w:rsidRPr="006571AC">
        <w:rPr>
          <w:rFonts w:hint="cs"/>
          <w:sz w:val="27"/>
          <w:rtl/>
          <w:lang w:bidi="ar-IQ"/>
        </w:rPr>
        <w:t>ٌ</w:t>
      </w:r>
      <w:r w:rsidR="00381A52" w:rsidRPr="006571AC">
        <w:rPr>
          <w:rFonts w:hint="cs"/>
          <w:sz w:val="27"/>
          <w:rtl/>
          <w:lang w:bidi="ar-IQ"/>
        </w:rPr>
        <w:t xml:space="preserve"> لطردوه من قم، كما فعلوا بأحمد بن أبي عبد الله البرقي</w:t>
      </w:r>
      <w:r w:rsidR="00B63636" w:rsidRPr="006571AC">
        <w:rPr>
          <w:rFonts w:hint="cs"/>
          <w:sz w:val="27"/>
          <w:rtl/>
          <w:lang w:bidi="ar-IQ"/>
        </w:rPr>
        <w:t>ّ</w:t>
      </w:r>
      <w:r w:rsidR="00381A52" w:rsidRPr="006571AC">
        <w:rPr>
          <w:sz w:val="27"/>
          <w:vertAlign w:val="superscript"/>
          <w:rtl/>
          <w:lang w:bidi="ar-IQ"/>
        </w:rPr>
        <w:t>(</w:t>
      </w:r>
      <w:r w:rsidR="00381A52" w:rsidRPr="006571AC">
        <w:rPr>
          <w:rStyle w:val="ac"/>
          <w:sz w:val="27"/>
          <w:rtl/>
          <w:lang w:bidi="ar-IQ"/>
        </w:rPr>
        <w:endnoteReference w:id="289"/>
      </w:r>
      <w:r w:rsidR="00381A52" w:rsidRPr="006571AC">
        <w:rPr>
          <w:sz w:val="27"/>
          <w:vertAlign w:val="superscript"/>
          <w:rtl/>
          <w:lang w:bidi="ar-IQ"/>
        </w:rPr>
        <w:t>)</w:t>
      </w:r>
      <w:r w:rsidR="00381A52" w:rsidRPr="006571AC">
        <w:rPr>
          <w:rFonts w:hint="cs"/>
          <w:sz w:val="27"/>
          <w:rtl/>
          <w:lang w:bidi="ar-IQ"/>
        </w:rPr>
        <w:t>.</w:t>
      </w:r>
    </w:p>
    <w:p w:rsidR="00381A52" w:rsidRPr="006571AC" w:rsidRDefault="00C17125"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rtl/>
          <w:lang w:bidi="ar-IQ"/>
        </w:rPr>
        <w:t>:</w:t>
      </w:r>
      <w:r w:rsidRPr="006571AC">
        <w:rPr>
          <w:rFonts w:hint="cs"/>
          <w:sz w:val="27"/>
          <w:rtl/>
          <w:lang w:bidi="ar-IQ"/>
        </w:rPr>
        <w:t xml:space="preserve"> </w:t>
      </w:r>
      <w:r w:rsidR="00381A52" w:rsidRPr="006571AC">
        <w:rPr>
          <w:rFonts w:hint="cs"/>
          <w:sz w:val="27"/>
          <w:rtl/>
          <w:lang w:bidi="ar-IQ"/>
        </w:rPr>
        <w:t>يُستفاد من هذه الرواية</w:t>
      </w:r>
      <w:r w:rsidR="00B63636" w:rsidRPr="006571AC">
        <w:rPr>
          <w:rFonts w:hint="cs"/>
          <w:sz w:val="27"/>
          <w:rtl/>
          <w:lang w:bidi="ar-IQ"/>
        </w:rPr>
        <w:t>،</w:t>
      </w:r>
      <w:r w:rsidR="00381A52" w:rsidRPr="006571AC">
        <w:rPr>
          <w:rFonts w:hint="cs"/>
          <w:sz w:val="27"/>
          <w:rtl/>
          <w:lang w:bidi="ar-IQ"/>
        </w:rPr>
        <w:t xml:space="preserve"> والروايات المشاب</w:t>
      </w:r>
      <w:r w:rsidR="00B63636" w:rsidRPr="006571AC">
        <w:rPr>
          <w:rFonts w:hint="cs"/>
          <w:sz w:val="27"/>
          <w:rtl/>
          <w:lang w:bidi="ar-IQ"/>
        </w:rPr>
        <w:t>ِ</w:t>
      </w:r>
      <w:r w:rsidR="00381A52" w:rsidRPr="006571AC">
        <w:rPr>
          <w:rFonts w:hint="cs"/>
          <w:sz w:val="27"/>
          <w:rtl/>
          <w:lang w:bidi="ar-IQ"/>
        </w:rPr>
        <w:t>هة لها، أنه يجوز لمالك الخراف أن يعطي قطيعه إلى راع</w:t>
      </w:r>
      <w:r w:rsidR="00B63636" w:rsidRPr="006571AC">
        <w:rPr>
          <w:rFonts w:hint="cs"/>
          <w:sz w:val="27"/>
          <w:rtl/>
          <w:lang w:bidi="ar-IQ"/>
        </w:rPr>
        <w:t>ٍ</w:t>
      </w:r>
      <w:r w:rsidR="00381A52" w:rsidRPr="006571AC">
        <w:rPr>
          <w:rFonts w:hint="cs"/>
          <w:sz w:val="27"/>
          <w:rtl/>
          <w:lang w:bidi="ar-IQ"/>
        </w:rPr>
        <w:t xml:space="preserve"> مدّة</w:t>
      </w:r>
      <w:r w:rsidR="00B63636" w:rsidRPr="006571AC">
        <w:rPr>
          <w:rFonts w:hint="cs"/>
          <w:sz w:val="27"/>
          <w:rtl/>
          <w:lang w:bidi="ar-IQ"/>
        </w:rPr>
        <w:t>ً</w:t>
      </w:r>
      <w:r w:rsidR="00381A52" w:rsidRPr="006571AC">
        <w:rPr>
          <w:rFonts w:hint="cs"/>
          <w:sz w:val="27"/>
          <w:rtl/>
          <w:lang w:bidi="ar-IQ"/>
        </w:rPr>
        <w:t xml:space="preserve"> من الزمن</w:t>
      </w:r>
      <w:r w:rsidR="00B63636" w:rsidRPr="006571AC">
        <w:rPr>
          <w:rFonts w:hint="cs"/>
          <w:sz w:val="27"/>
          <w:rtl/>
          <w:lang w:bidi="ar-IQ"/>
        </w:rPr>
        <w:t xml:space="preserve">؛ </w:t>
      </w:r>
      <w:r w:rsidR="00381A52" w:rsidRPr="006571AC">
        <w:rPr>
          <w:rFonts w:hint="cs"/>
          <w:sz w:val="27"/>
          <w:rtl/>
          <w:lang w:bidi="ar-IQ"/>
        </w:rPr>
        <w:t>ليحفظها له، ويستفيد من منافعها</w:t>
      </w:r>
      <w:r w:rsidR="00B63636" w:rsidRPr="006571AC">
        <w:rPr>
          <w:rFonts w:hint="cs"/>
          <w:sz w:val="27"/>
          <w:rtl/>
          <w:lang w:bidi="ar-IQ"/>
        </w:rPr>
        <w:t>،</w:t>
      </w:r>
      <w:r w:rsidR="00381A52" w:rsidRPr="006571AC">
        <w:rPr>
          <w:rFonts w:hint="cs"/>
          <w:sz w:val="27"/>
          <w:rtl/>
          <w:lang w:bidi="ar-IQ"/>
        </w:rPr>
        <w:t xml:space="preserve"> من قبيل</w:t>
      </w:r>
      <w:r w:rsidR="00B63636" w:rsidRPr="006571AC">
        <w:rPr>
          <w:rFonts w:hint="cs"/>
          <w:sz w:val="27"/>
          <w:rtl/>
          <w:lang w:bidi="ar-IQ"/>
        </w:rPr>
        <w:t>:</w:t>
      </w:r>
      <w:r w:rsidR="00381A52" w:rsidRPr="006571AC">
        <w:rPr>
          <w:rFonts w:hint="cs"/>
          <w:sz w:val="27"/>
          <w:rtl/>
          <w:lang w:bidi="ar-IQ"/>
        </w:rPr>
        <w:t xml:space="preserve"> الصوف واللبن</w:t>
      </w:r>
      <w:r w:rsidR="00B63636" w:rsidRPr="006571AC">
        <w:rPr>
          <w:rFonts w:hint="cs"/>
          <w:sz w:val="27"/>
          <w:rtl/>
          <w:lang w:bidi="ar-IQ"/>
        </w:rPr>
        <w:t>،</w:t>
      </w:r>
      <w:r w:rsidR="00381A52" w:rsidRPr="006571AC">
        <w:rPr>
          <w:rFonts w:hint="cs"/>
          <w:sz w:val="27"/>
          <w:rtl/>
          <w:lang w:bidi="ar-IQ"/>
        </w:rPr>
        <w:t xml:space="preserve"> طوال تلك المدة، على أن يعطيه المالك في المقابل شيئاً من النقود والسمن. </w:t>
      </w:r>
    </w:p>
    <w:p w:rsidR="00381A52" w:rsidRPr="006571AC" w:rsidRDefault="00381A52" w:rsidP="00552C10">
      <w:pPr>
        <w:rPr>
          <w:sz w:val="27"/>
          <w:rtl/>
          <w:lang w:bidi="ar-IQ"/>
        </w:rPr>
      </w:pPr>
      <w:r w:rsidRPr="006571AC">
        <w:rPr>
          <w:rFonts w:hint="cs"/>
          <w:sz w:val="27"/>
          <w:rtl/>
          <w:lang w:bidi="ar-IQ"/>
        </w:rPr>
        <w:lastRenderedPageBreak/>
        <w:t>لو اعتب</w:t>
      </w:r>
      <w:r w:rsidR="00B63636" w:rsidRPr="006571AC">
        <w:rPr>
          <w:rFonts w:hint="cs"/>
          <w:sz w:val="27"/>
          <w:rtl/>
          <w:lang w:bidi="ar-IQ"/>
        </w:rPr>
        <w:t>َ</w:t>
      </w:r>
      <w:r w:rsidRPr="006571AC">
        <w:rPr>
          <w:rFonts w:hint="cs"/>
          <w:sz w:val="27"/>
          <w:rtl/>
          <w:lang w:bidi="ar-IQ"/>
        </w:rPr>
        <w:t>ر</w:t>
      </w:r>
      <w:r w:rsidR="00B63636" w:rsidRPr="006571AC">
        <w:rPr>
          <w:rFonts w:hint="cs"/>
          <w:sz w:val="27"/>
          <w:rtl/>
          <w:lang w:bidi="ar-IQ"/>
        </w:rPr>
        <w:t>ْ</w:t>
      </w:r>
      <w:r w:rsidRPr="006571AC">
        <w:rPr>
          <w:rFonts w:hint="cs"/>
          <w:sz w:val="27"/>
          <w:rtl/>
          <w:lang w:bidi="ar-IQ"/>
        </w:rPr>
        <w:t>نا هذا الفرض مصداقاً لعقد الإجارة؛ بمعنى أن يصبح الراعي أجيراً عند المالك</w:t>
      </w:r>
      <w:r w:rsidR="00B63636" w:rsidRPr="006571AC">
        <w:rPr>
          <w:rFonts w:hint="cs"/>
          <w:sz w:val="27"/>
          <w:rtl/>
          <w:lang w:bidi="ar-IQ"/>
        </w:rPr>
        <w:t>،</w:t>
      </w:r>
      <w:r w:rsidRPr="006571AC">
        <w:rPr>
          <w:rFonts w:hint="cs"/>
          <w:sz w:val="27"/>
          <w:rtl/>
          <w:lang w:bidi="ar-IQ"/>
        </w:rPr>
        <w:t xml:space="preserve"> فإن الإشكال الذي سي</w:t>
      </w:r>
      <w:r w:rsidR="00B63636" w:rsidRPr="006571AC">
        <w:rPr>
          <w:rFonts w:hint="cs"/>
          <w:sz w:val="27"/>
          <w:rtl/>
          <w:lang w:bidi="ar-IQ"/>
        </w:rPr>
        <w:t>َ</w:t>
      </w:r>
      <w:r w:rsidRPr="006571AC">
        <w:rPr>
          <w:rFonts w:hint="cs"/>
          <w:sz w:val="27"/>
          <w:rtl/>
          <w:lang w:bidi="ar-IQ"/>
        </w:rPr>
        <w:t>ر</w:t>
      </w:r>
      <w:r w:rsidR="00B63636" w:rsidRPr="006571AC">
        <w:rPr>
          <w:rFonts w:hint="cs"/>
          <w:sz w:val="27"/>
          <w:rtl/>
          <w:lang w:bidi="ar-IQ"/>
        </w:rPr>
        <w:t>ِ</w:t>
      </w:r>
      <w:r w:rsidRPr="006571AC">
        <w:rPr>
          <w:rFonts w:hint="cs"/>
          <w:sz w:val="27"/>
          <w:rtl/>
          <w:lang w:bidi="ar-IQ"/>
        </w:rPr>
        <w:t>د</w:t>
      </w:r>
      <w:r w:rsidR="00B63636" w:rsidRPr="006571AC">
        <w:rPr>
          <w:rFonts w:hint="cs"/>
          <w:sz w:val="27"/>
          <w:rtl/>
          <w:lang w:bidi="ar-IQ"/>
        </w:rPr>
        <w:t>ُ</w:t>
      </w:r>
      <w:r w:rsidRPr="006571AC">
        <w:rPr>
          <w:rFonts w:hint="cs"/>
          <w:sz w:val="27"/>
          <w:rtl/>
          <w:lang w:bidi="ar-IQ"/>
        </w:rPr>
        <w:t xml:space="preserve"> هو أن أجرة عمله التي هي اللبن والصوف غير متعيّ</w:t>
      </w:r>
      <w:r w:rsidR="00B63636" w:rsidRPr="006571AC">
        <w:rPr>
          <w:rFonts w:hint="cs"/>
          <w:sz w:val="27"/>
          <w:rtl/>
          <w:lang w:bidi="ar-IQ"/>
        </w:rPr>
        <w:t>ِ</w:t>
      </w:r>
      <w:r w:rsidRPr="006571AC">
        <w:rPr>
          <w:rFonts w:hint="cs"/>
          <w:sz w:val="27"/>
          <w:rtl/>
          <w:lang w:bidi="ar-IQ"/>
        </w:rPr>
        <w:t>نة، في حين أن الأجرة يجب أن تكون معلومة</w:t>
      </w:r>
      <w:r w:rsidR="00B63636" w:rsidRPr="006571AC">
        <w:rPr>
          <w:rFonts w:hint="cs"/>
          <w:sz w:val="27"/>
          <w:rtl/>
          <w:lang w:bidi="ar-IQ"/>
        </w:rPr>
        <w:t>ً</w:t>
      </w:r>
      <w:r w:rsidRPr="006571AC">
        <w:rPr>
          <w:rFonts w:hint="cs"/>
          <w:sz w:val="27"/>
          <w:rtl/>
          <w:lang w:bidi="ar-IQ"/>
        </w:rPr>
        <w:t xml:space="preserve"> ومحدّ</w:t>
      </w:r>
      <w:r w:rsidR="00B63636" w:rsidRPr="006571AC">
        <w:rPr>
          <w:rFonts w:hint="cs"/>
          <w:sz w:val="27"/>
          <w:rtl/>
          <w:lang w:bidi="ar-IQ"/>
        </w:rPr>
        <w:t>َ</w:t>
      </w:r>
      <w:r w:rsidRPr="006571AC">
        <w:rPr>
          <w:rFonts w:hint="cs"/>
          <w:sz w:val="27"/>
          <w:rtl/>
          <w:lang w:bidi="ar-IQ"/>
        </w:rPr>
        <w:t>دة</w:t>
      </w:r>
      <w:r w:rsidR="00B63636" w:rsidRPr="006571AC">
        <w:rPr>
          <w:rFonts w:hint="cs"/>
          <w:sz w:val="27"/>
          <w:rtl/>
          <w:lang w:bidi="ar-IQ"/>
        </w:rPr>
        <w:t>ً</w:t>
      </w:r>
      <w:r w:rsidRPr="006571AC">
        <w:rPr>
          <w:rFonts w:hint="cs"/>
          <w:sz w:val="27"/>
          <w:rtl/>
          <w:lang w:bidi="ar-IQ"/>
        </w:rPr>
        <w:t xml:space="preserve"> في عقد الإجارة، فلو افتر</w:t>
      </w:r>
      <w:r w:rsidR="00B63636" w:rsidRPr="006571AC">
        <w:rPr>
          <w:rFonts w:hint="cs"/>
          <w:sz w:val="27"/>
          <w:rtl/>
          <w:lang w:bidi="ar-IQ"/>
        </w:rPr>
        <w:t>َ</w:t>
      </w:r>
      <w:r w:rsidRPr="006571AC">
        <w:rPr>
          <w:rFonts w:hint="cs"/>
          <w:sz w:val="27"/>
          <w:rtl/>
          <w:lang w:bidi="ar-IQ"/>
        </w:rPr>
        <w:t>ض</w:t>
      </w:r>
      <w:r w:rsidR="00B63636" w:rsidRPr="006571AC">
        <w:rPr>
          <w:rFonts w:hint="cs"/>
          <w:sz w:val="27"/>
          <w:rtl/>
          <w:lang w:bidi="ar-IQ"/>
        </w:rPr>
        <w:t>ْ</w:t>
      </w:r>
      <w:r w:rsidRPr="006571AC">
        <w:rPr>
          <w:rFonts w:hint="cs"/>
          <w:sz w:val="27"/>
          <w:rtl/>
          <w:lang w:bidi="ar-IQ"/>
        </w:rPr>
        <w:t>نا أن المالك قد أجّ</w:t>
      </w:r>
      <w:r w:rsidR="00B63636" w:rsidRPr="006571AC">
        <w:rPr>
          <w:rFonts w:hint="cs"/>
          <w:sz w:val="27"/>
          <w:rtl/>
          <w:lang w:bidi="ar-IQ"/>
        </w:rPr>
        <w:t>َ</w:t>
      </w:r>
      <w:r w:rsidRPr="006571AC">
        <w:rPr>
          <w:rFonts w:hint="cs"/>
          <w:sz w:val="27"/>
          <w:rtl/>
          <w:lang w:bidi="ar-IQ"/>
        </w:rPr>
        <w:t>ر خرافه إلى الراعي؛ ليستفيد من منافعها، سوف تكون المشكلة هي أن الراعي قد استفاد من لبن وصوف الخراف</w:t>
      </w:r>
      <w:r w:rsidR="00FB3417" w:rsidRPr="006571AC">
        <w:rPr>
          <w:rFonts w:hint="cs"/>
          <w:sz w:val="27"/>
          <w:rtl/>
          <w:lang w:bidi="ar-IQ"/>
        </w:rPr>
        <w:t>،</w:t>
      </w:r>
      <w:r w:rsidRPr="006571AC">
        <w:rPr>
          <w:rFonts w:hint="cs"/>
          <w:sz w:val="27"/>
          <w:rtl/>
          <w:lang w:bidi="ar-IQ"/>
        </w:rPr>
        <w:t xml:space="preserve"> وهي أعيان، والحال أن عقد الإجارة إنما يقع على تمليك المنافع</w:t>
      </w:r>
      <w:r w:rsidR="00FB3417" w:rsidRPr="006571AC">
        <w:rPr>
          <w:rFonts w:hint="cs"/>
          <w:sz w:val="27"/>
          <w:rtl/>
          <w:lang w:bidi="ar-IQ"/>
        </w:rPr>
        <w:t>،</w:t>
      </w:r>
      <w:r w:rsidRPr="006571AC">
        <w:rPr>
          <w:rFonts w:hint="cs"/>
          <w:sz w:val="27"/>
          <w:rtl/>
          <w:lang w:bidi="ar-IQ"/>
        </w:rPr>
        <w:t xml:space="preserve"> دون الأعيان</w:t>
      </w:r>
      <w:r w:rsidR="00FB3417" w:rsidRPr="006571AC">
        <w:rPr>
          <w:rFonts w:hint="cs"/>
          <w:sz w:val="27"/>
          <w:rtl/>
          <w:lang w:bidi="ar-IQ"/>
        </w:rPr>
        <w:t>،</w:t>
      </w:r>
      <w:r w:rsidRPr="006571AC">
        <w:rPr>
          <w:rFonts w:hint="cs"/>
          <w:sz w:val="27"/>
          <w:rtl/>
          <w:lang w:bidi="ar-IQ"/>
        </w:rPr>
        <w:t xml:space="preserve"> وقال الفقهاء في باب الإجارة: إن متعل</w:t>
      </w:r>
      <w:r w:rsidR="00FB3417" w:rsidRPr="006571AC">
        <w:rPr>
          <w:rFonts w:hint="cs"/>
          <w:sz w:val="27"/>
          <w:rtl/>
          <w:lang w:bidi="ar-IQ"/>
        </w:rPr>
        <w:t>َّ</w:t>
      </w:r>
      <w:r w:rsidRPr="006571AC">
        <w:rPr>
          <w:rFonts w:hint="cs"/>
          <w:sz w:val="27"/>
          <w:rtl/>
          <w:lang w:bidi="ar-IQ"/>
        </w:rPr>
        <w:t>ق الإجارة هو الأعيان التي يبقى أصلها ثابتاً بعد استيفاء منافعها؛ فإذا كان المراد الأصلي</w:t>
      </w:r>
      <w:r w:rsidR="00FB3417" w:rsidRPr="006571AC">
        <w:rPr>
          <w:rFonts w:hint="cs"/>
          <w:sz w:val="27"/>
          <w:rtl/>
          <w:lang w:bidi="ar-IQ"/>
        </w:rPr>
        <w:t>ّ</w:t>
      </w:r>
      <w:r w:rsidRPr="006571AC">
        <w:rPr>
          <w:rFonts w:hint="cs"/>
          <w:sz w:val="27"/>
          <w:rtl/>
          <w:lang w:bidi="ar-IQ"/>
        </w:rPr>
        <w:t xml:space="preserve"> من إجارة الخراف هو أصوافها وألبانها فإن عينها سوف تزول عند الاستفادة من منافعها أيضاً</w:t>
      </w:r>
      <w:r w:rsidRPr="006571AC">
        <w:rPr>
          <w:sz w:val="27"/>
          <w:vertAlign w:val="superscript"/>
          <w:rtl/>
          <w:lang w:bidi="ar-IQ"/>
        </w:rPr>
        <w:t>(</w:t>
      </w:r>
      <w:r w:rsidRPr="006571AC">
        <w:rPr>
          <w:sz w:val="27"/>
          <w:vertAlign w:val="superscript"/>
          <w:rtl/>
          <w:lang w:bidi="ar-IQ"/>
        </w:rPr>
        <w:endnoteReference w:id="290"/>
      </w:r>
      <w:r w:rsidRPr="006571AC">
        <w:rPr>
          <w:sz w:val="27"/>
          <w:vertAlign w:val="superscript"/>
          <w:rtl/>
          <w:lang w:bidi="ar-IQ"/>
        </w:rPr>
        <w:t>)</w:t>
      </w:r>
      <w:r w:rsidRPr="006571AC">
        <w:rPr>
          <w:rFonts w:hint="cs"/>
          <w:sz w:val="27"/>
          <w:rtl/>
          <w:lang w:bidi="ar-IQ"/>
        </w:rPr>
        <w:t xml:space="preserve">. </w:t>
      </w:r>
    </w:p>
    <w:p w:rsidR="00C17125" w:rsidRPr="006571AC" w:rsidRDefault="00381A52" w:rsidP="004823CE">
      <w:pPr>
        <w:rPr>
          <w:sz w:val="27"/>
          <w:rtl/>
          <w:lang w:bidi="ar-IQ"/>
        </w:rPr>
      </w:pPr>
      <w:r w:rsidRPr="006571AC">
        <w:rPr>
          <w:rFonts w:hint="cs"/>
          <w:sz w:val="27"/>
          <w:rtl/>
          <w:lang w:bidi="ar-IQ"/>
        </w:rPr>
        <w:t>ولذلك فقد ذهب بعض الفقهاء</w:t>
      </w:r>
      <w:r w:rsidR="00FB3417" w:rsidRPr="006571AC">
        <w:rPr>
          <w:rFonts w:hint="cs"/>
          <w:sz w:val="27"/>
          <w:rtl/>
          <w:lang w:bidi="ar-IQ"/>
        </w:rPr>
        <w:t>،</w:t>
      </w:r>
      <w:r w:rsidRPr="006571AC">
        <w:rPr>
          <w:rFonts w:hint="cs"/>
          <w:sz w:val="27"/>
          <w:rtl/>
          <w:lang w:bidi="ar-IQ"/>
        </w:rPr>
        <w:t xml:space="preserve"> </w:t>
      </w:r>
      <w:r w:rsidR="004823CE" w:rsidRPr="006571AC">
        <w:rPr>
          <w:rFonts w:hint="cs"/>
          <w:sz w:val="27"/>
          <w:rtl/>
          <w:lang w:bidi="ar-IQ"/>
        </w:rPr>
        <w:t>مث</w:t>
      </w:r>
      <w:r w:rsidRPr="006571AC">
        <w:rPr>
          <w:rFonts w:hint="cs"/>
          <w:sz w:val="27"/>
          <w:rtl/>
          <w:lang w:bidi="ar-IQ"/>
        </w:rPr>
        <w:t>ل</w:t>
      </w:r>
      <w:r w:rsidR="00FB3417" w:rsidRPr="006571AC">
        <w:rPr>
          <w:rFonts w:hint="cs"/>
          <w:sz w:val="27"/>
          <w:rtl/>
          <w:lang w:bidi="ar-IQ"/>
        </w:rPr>
        <w:t>:</w:t>
      </w:r>
      <w:r w:rsidRPr="006571AC">
        <w:rPr>
          <w:rFonts w:hint="cs"/>
          <w:sz w:val="27"/>
          <w:rtl/>
          <w:lang w:bidi="ar-IQ"/>
        </w:rPr>
        <w:t xml:space="preserve"> الشهيد الأول، إلى القول بجواز العقد المذكور في الرواية ضمن عقد الصلح</w:t>
      </w:r>
      <w:r w:rsidRPr="006571AC">
        <w:rPr>
          <w:sz w:val="27"/>
          <w:vertAlign w:val="superscript"/>
          <w:rtl/>
          <w:lang w:bidi="ar-IQ"/>
        </w:rPr>
        <w:t>(</w:t>
      </w:r>
      <w:r w:rsidRPr="006571AC">
        <w:rPr>
          <w:sz w:val="27"/>
          <w:vertAlign w:val="superscript"/>
          <w:rtl/>
          <w:lang w:bidi="ar-IQ"/>
        </w:rPr>
        <w:endnoteReference w:id="291"/>
      </w:r>
      <w:r w:rsidRPr="006571AC">
        <w:rPr>
          <w:sz w:val="27"/>
          <w:vertAlign w:val="superscript"/>
          <w:rtl/>
          <w:lang w:bidi="ar-IQ"/>
        </w:rPr>
        <w:t>)</w:t>
      </w:r>
      <w:r w:rsidRPr="006571AC">
        <w:rPr>
          <w:rFonts w:hint="cs"/>
          <w:sz w:val="27"/>
          <w:rtl/>
          <w:lang w:bidi="ar-IQ"/>
        </w:rPr>
        <w:t>؛</w:t>
      </w:r>
      <w:r w:rsidR="004823CE" w:rsidRPr="006571AC">
        <w:rPr>
          <w:rFonts w:hint="cs"/>
          <w:sz w:val="27"/>
          <w:rtl/>
          <w:lang w:bidi="ar-IQ"/>
        </w:rPr>
        <w:t xml:space="preserve"> </w:t>
      </w:r>
      <w:r w:rsidRPr="006571AC">
        <w:rPr>
          <w:rFonts w:hint="cs"/>
          <w:sz w:val="27"/>
          <w:rtl/>
          <w:lang w:bidi="ar-IQ"/>
        </w:rPr>
        <w:t>لأنها لا تنسجم مع موازين عقد الإجارة.</w:t>
      </w:r>
    </w:p>
    <w:p w:rsidR="00C17125" w:rsidRPr="006571AC" w:rsidRDefault="00C17125" w:rsidP="004B16C6">
      <w:pPr>
        <w:spacing w:line="420" w:lineRule="exact"/>
        <w:rPr>
          <w:sz w:val="27"/>
          <w:rtl/>
          <w:lang w:bidi="ar-IQ"/>
        </w:rPr>
      </w:pPr>
    </w:p>
    <w:p w:rsidR="00381A52" w:rsidRPr="006571AC" w:rsidRDefault="00DB276F" w:rsidP="00DB276F">
      <w:pPr>
        <w:pStyle w:val="31"/>
        <w:rPr>
          <w:color w:val="auto"/>
          <w:rtl/>
          <w:lang w:bidi="ar-IQ"/>
        </w:rPr>
      </w:pPr>
      <w:bookmarkStart w:id="132" w:name="_Toc114164621"/>
      <w:r w:rsidRPr="006571AC">
        <w:rPr>
          <w:rFonts w:hint="cs"/>
          <w:color w:val="auto"/>
          <w:rtl/>
          <w:lang w:bidi="ar-IQ"/>
        </w:rPr>
        <w:t>ادّعاءٌ مرفوض</w:t>
      </w:r>
      <w:bookmarkEnd w:id="132"/>
      <w:r w:rsidRPr="006571AC">
        <w:rPr>
          <w:rFonts w:hint="cs"/>
          <w:color w:val="auto"/>
          <w:rtl/>
          <w:lang w:bidi="ar-IQ"/>
        </w:rPr>
        <w:t xml:space="preserve"> </w:t>
      </w:r>
      <w:r w:rsidR="00381A52" w:rsidRPr="006571AC">
        <w:rPr>
          <w:rFonts w:hint="cs"/>
          <w:color w:val="auto"/>
          <w:rtl/>
          <w:lang w:bidi="ar-IQ"/>
        </w:rPr>
        <w:t xml:space="preserve"> </w:t>
      </w:r>
    </w:p>
    <w:p w:rsidR="00381A52" w:rsidRPr="006571AC" w:rsidRDefault="00FB3417" w:rsidP="00552C10">
      <w:pPr>
        <w:rPr>
          <w:sz w:val="27"/>
          <w:rtl/>
          <w:lang w:bidi="ar-IQ"/>
        </w:rPr>
      </w:pPr>
      <w:r w:rsidRPr="006571AC">
        <w:rPr>
          <w:rFonts w:hint="cs"/>
          <w:b/>
          <w:bCs/>
          <w:sz w:val="27"/>
          <w:rtl/>
          <w:lang w:bidi="ar-IQ"/>
        </w:rPr>
        <w:t>و</w:t>
      </w:r>
      <w:r w:rsidR="00381A52" w:rsidRPr="006571AC">
        <w:rPr>
          <w:rFonts w:hint="cs"/>
          <w:b/>
          <w:bCs/>
          <w:sz w:val="27"/>
          <w:rtl/>
          <w:lang w:bidi="ar-IQ"/>
        </w:rPr>
        <w:t>قد يدّ</w:t>
      </w:r>
      <w:r w:rsidRPr="006571AC">
        <w:rPr>
          <w:rFonts w:hint="cs"/>
          <w:b/>
          <w:bCs/>
          <w:sz w:val="27"/>
          <w:rtl/>
          <w:lang w:bidi="ar-IQ"/>
        </w:rPr>
        <w:t>َ</w:t>
      </w:r>
      <w:r w:rsidR="00381A52" w:rsidRPr="006571AC">
        <w:rPr>
          <w:rFonts w:hint="cs"/>
          <w:b/>
          <w:bCs/>
          <w:sz w:val="27"/>
          <w:rtl/>
          <w:lang w:bidi="ar-IQ"/>
        </w:rPr>
        <w:t>عي شخص</w:t>
      </w:r>
      <w:r w:rsidRPr="006571AC">
        <w:rPr>
          <w:rFonts w:hint="cs"/>
          <w:b/>
          <w:bCs/>
          <w:sz w:val="27"/>
          <w:rtl/>
          <w:lang w:bidi="ar-IQ"/>
        </w:rPr>
        <w:t>ٌ</w:t>
      </w:r>
      <w:r w:rsidR="00381A52" w:rsidRPr="006571AC">
        <w:rPr>
          <w:rFonts w:hint="cs"/>
          <w:b/>
          <w:bCs/>
          <w:sz w:val="27"/>
          <w:rtl/>
          <w:lang w:bidi="ar-IQ"/>
        </w:rPr>
        <w:t xml:space="preserve"> </w:t>
      </w:r>
      <w:r w:rsidRPr="006571AC">
        <w:rPr>
          <w:rFonts w:hint="cs"/>
          <w:b/>
          <w:bCs/>
          <w:sz w:val="27"/>
          <w:rtl/>
          <w:lang w:bidi="ar-IQ"/>
        </w:rPr>
        <w:t>ف</w:t>
      </w:r>
      <w:r w:rsidR="00381A52" w:rsidRPr="006571AC">
        <w:rPr>
          <w:rFonts w:hint="cs"/>
          <w:b/>
          <w:bCs/>
          <w:sz w:val="27"/>
          <w:rtl/>
          <w:lang w:bidi="ar-IQ"/>
        </w:rPr>
        <w:t>يقول</w:t>
      </w:r>
      <w:r w:rsidR="00381A52" w:rsidRPr="006571AC">
        <w:rPr>
          <w:rFonts w:hint="cs"/>
          <w:sz w:val="27"/>
          <w:rtl/>
          <w:lang w:bidi="ar-IQ"/>
        </w:rPr>
        <w:t xml:space="preserve">: </w:t>
      </w:r>
      <w:r w:rsidR="00381A52" w:rsidRPr="006571AC">
        <w:rPr>
          <w:rFonts w:hint="eastAsia"/>
          <w:sz w:val="24"/>
          <w:szCs w:val="24"/>
          <w:rtl/>
        </w:rPr>
        <w:t>«</w:t>
      </w:r>
      <w:r w:rsidR="00381A52" w:rsidRPr="006571AC">
        <w:rPr>
          <w:rFonts w:hint="cs"/>
          <w:sz w:val="27"/>
          <w:rtl/>
          <w:lang w:bidi="ar-IQ"/>
        </w:rPr>
        <w:t xml:space="preserve">حيث </w:t>
      </w:r>
      <w:r w:rsidRPr="006571AC">
        <w:rPr>
          <w:rFonts w:hint="cs"/>
          <w:sz w:val="27"/>
          <w:rtl/>
          <w:lang w:bidi="ar-IQ"/>
        </w:rPr>
        <w:t>إ</w:t>
      </w:r>
      <w:r w:rsidR="00381A52" w:rsidRPr="006571AC">
        <w:rPr>
          <w:rFonts w:hint="cs"/>
          <w:sz w:val="27"/>
          <w:rtl/>
          <w:lang w:bidi="ar-IQ"/>
        </w:rPr>
        <w:t>ن هذه الرواية لم تشتمل على مفردة الصلح إذن لا يمكن الاد</w:t>
      </w:r>
      <w:r w:rsidRPr="006571AC">
        <w:rPr>
          <w:rFonts w:hint="cs"/>
          <w:sz w:val="27"/>
          <w:rtl/>
          <w:lang w:bidi="ar-IQ"/>
        </w:rPr>
        <w:t>ّ</w:t>
      </w:r>
      <w:r w:rsidR="00381A52" w:rsidRPr="006571AC">
        <w:rPr>
          <w:rFonts w:hint="cs"/>
          <w:sz w:val="27"/>
          <w:rtl/>
          <w:lang w:bidi="ar-IQ"/>
        </w:rPr>
        <w:t>عاء بأنها ترتبط بالصلح الابتدائي، وإن عدم وجود سبق الخصومة فيها دليل</w:t>
      </w:r>
      <w:r w:rsidRPr="006571AC">
        <w:rPr>
          <w:rFonts w:hint="cs"/>
          <w:sz w:val="27"/>
          <w:rtl/>
          <w:lang w:bidi="ar-IQ"/>
        </w:rPr>
        <w:t>ٌ</w:t>
      </w:r>
      <w:r w:rsidR="00381A52" w:rsidRPr="006571AC">
        <w:rPr>
          <w:rFonts w:hint="cs"/>
          <w:sz w:val="27"/>
          <w:rtl/>
          <w:lang w:bidi="ar-IQ"/>
        </w:rPr>
        <w:t xml:space="preserve"> على عدم لزوم سبق الخصومة</w:t>
      </w:r>
      <w:r w:rsidR="00381A52" w:rsidRPr="006571AC">
        <w:rPr>
          <w:rFonts w:hint="eastAsia"/>
          <w:sz w:val="24"/>
          <w:szCs w:val="24"/>
          <w:rtl/>
        </w:rPr>
        <w:t>»</w:t>
      </w:r>
      <w:r w:rsidR="00381A52" w:rsidRPr="006571AC">
        <w:rPr>
          <w:sz w:val="27"/>
          <w:vertAlign w:val="superscript"/>
          <w:rtl/>
          <w:lang w:bidi="ar-IQ"/>
        </w:rPr>
        <w:t>(</w:t>
      </w:r>
      <w:r w:rsidR="00381A52" w:rsidRPr="006571AC">
        <w:rPr>
          <w:sz w:val="27"/>
          <w:vertAlign w:val="superscript"/>
          <w:rtl/>
          <w:lang w:bidi="ar-IQ"/>
        </w:rPr>
        <w:endnoteReference w:id="292"/>
      </w:r>
      <w:r w:rsidR="00381A52" w:rsidRPr="006571AC">
        <w:rPr>
          <w:sz w:val="27"/>
          <w:vertAlign w:val="superscript"/>
          <w:rtl/>
          <w:lang w:bidi="ar-IQ"/>
        </w:rPr>
        <w:t>)</w:t>
      </w:r>
      <w:r w:rsidR="00381A52" w:rsidRPr="006571AC">
        <w:rPr>
          <w:rFonts w:hint="cs"/>
          <w:sz w:val="27"/>
          <w:rtl/>
          <w:lang w:bidi="ar-IQ"/>
        </w:rPr>
        <w:t xml:space="preserve">. </w:t>
      </w:r>
    </w:p>
    <w:p w:rsidR="00381A52" w:rsidRPr="006571AC" w:rsidRDefault="00381A52" w:rsidP="00552C10">
      <w:pPr>
        <w:rPr>
          <w:sz w:val="27"/>
          <w:rtl/>
          <w:lang w:bidi="ar-IQ"/>
        </w:rPr>
      </w:pPr>
      <w:r w:rsidRPr="006571AC">
        <w:rPr>
          <w:rFonts w:hint="cs"/>
          <w:b/>
          <w:bCs/>
          <w:sz w:val="27"/>
          <w:rtl/>
          <w:lang w:bidi="ar-IQ"/>
        </w:rPr>
        <w:t>ولكن</w:t>
      </w:r>
      <w:r w:rsidR="00FB3417" w:rsidRPr="006571AC">
        <w:rPr>
          <w:rFonts w:hint="cs"/>
          <w:b/>
          <w:bCs/>
          <w:sz w:val="27"/>
          <w:rtl/>
          <w:lang w:bidi="ar-IQ"/>
        </w:rPr>
        <w:t>ّ</w:t>
      </w:r>
      <w:r w:rsidRPr="006571AC">
        <w:rPr>
          <w:rFonts w:hint="cs"/>
          <w:b/>
          <w:bCs/>
          <w:sz w:val="27"/>
          <w:rtl/>
          <w:lang w:bidi="ar-IQ"/>
        </w:rPr>
        <w:t>نا نجيب عن هذا الاد</w:t>
      </w:r>
      <w:r w:rsidR="00C17125" w:rsidRPr="006571AC">
        <w:rPr>
          <w:rFonts w:hint="cs"/>
          <w:b/>
          <w:bCs/>
          <w:sz w:val="27"/>
          <w:rtl/>
          <w:lang w:bidi="ar-IQ"/>
        </w:rPr>
        <w:t>ّ</w:t>
      </w:r>
      <w:r w:rsidRPr="006571AC">
        <w:rPr>
          <w:rFonts w:hint="cs"/>
          <w:b/>
          <w:bCs/>
          <w:sz w:val="27"/>
          <w:rtl/>
          <w:lang w:bidi="ar-IQ"/>
        </w:rPr>
        <w:t>عاء بالقول</w:t>
      </w:r>
      <w:r w:rsidRPr="006571AC">
        <w:rPr>
          <w:rFonts w:hint="cs"/>
          <w:sz w:val="27"/>
          <w:rtl/>
          <w:lang w:bidi="ar-IQ"/>
        </w:rPr>
        <w:t>: إن كلامنا ليس في خصوص الصلح الابتدائي بالحمل الأو</w:t>
      </w:r>
      <w:r w:rsidR="00E43263" w:rsidRPr="006571AC">
        <w:rPr>
          <w:rFonts w:hint="cs"/>
          <w:sz w:val="27"/>
          <w:rtl/>
          <w:lang w:bidi="ar-IQ"/>
        </w:rPr>
        <w:t>ّ</w:t>
      </w:r>
      <w:r w:rsidRPr="006571AC">
        <w:rPr>
          <w:rFonts w:hint="cs"/>
          <w:sz w:val="27"/>
          <w:rtl/>
          <w:lang w:bidi="ar-IQ"/>
        </w:rPr>
        <w:t>لي، بل في مورد مشروعية الصلح الابتدائي بالحمل الشائع، والعنصر المقوّ</w:t>
      </w:r>
      <w:r w:rsidR="00E43263" w:rsidRPr="006571AC">
        <w:rPr>
          <w:rFonts w:hint="cs"/>
          <w:sz w:val="27"/>
          <w:rtl/>
          <w:lang w:bidi="ar-IQ"/>
        </w:rPr>
        <w:t>ِ</w:t>
      </w:r>
      <w:r w:rsidRPr="006571AC">
        <w:rPr>
          <w:rFonts w:hint="cs"/>
          <w:sz w:val="27"/>
          <w:rtl/>
          <w:lang w:bidi="ar-IQ"/>
        </w:rPr>
        <w:t xml:space="preserve">م في الرواية </w:t>
      </w:r>
      <w:r w:rsidR="00E43263" w:rsidRPr="006571AC">
        <w:rPr>
          <w:rFonts w:hint="cs"/>
          <w:sz w:val="27"/>
          <w:rtl/>
          <w:lang w:bidi="ar-IQ"/>
        </w:rPr>
        <w:t>المتقدِّمة</w:t>
      </w:r>
      <w:r w:rsidRPr="006571AC">
        <w:rPr>
          <w:rFonts w:hint="cs"/>
          <w:sz w:val="27"/>
          <w:rtl/>
          <w:lang w:bidi="ar-IQ"/>
        </w:rPr>
        <w:t xml:space="preserve"> هو ذات التراضي، والصلح الابتدائي يقوم ب</w:t>
      </w:r>
      <w:r w:rsidR="00EA38F1" w:rsidRPr="006571AC">
        <w:rPr>
          <w:rFonts w:hint="cs"/>
          <w:sz w:val="27"/>
          <w:rtl/>
          <w:lang w:bidi="ar-IQ"/>
        </w:rPr>
        <w:t>دَوْر</w:t>
      </w:r>
      <w:r w:rsidRPr="006571AC">
        <w:rPr>
          <w:rFonts w:hint="cs"/>
          <w:sz w:val="27"/>
          <w:rtl/>
          <w:lang w:bidi="ar-IQ"/>
        </w:rPr>
        <w:t xml:space="preserve">ه على أساس عنصر التراضي. </w:t>
      </w:r>
    </w:p>
    <w:p w:rsidR="00381A52" w:rsidRPr="006571AC" w:rsidRDefault="00381A52" w:rsidP="004B16C6">
      <w:pPr>
        <w:spacing w:line="430" w:lineRule="exact"/>
        <w:rPr>
          <w:sz w:val="27"/>
          <w:rtl/>
          <w:lang w:bidi="ar-IQ"/>
        </w:rPr>
      </w:pPr>
    </w:p>
    <w:p w:rsidR="00381A52" w:rsidRPr="006571AC" w:rsidRDefault="00FC7A16" w:rsidP="00714072">
      <w:pPr>
        <w:pStyle w:val="31"/>
        <w:rPr>
          <w:color w:val="auto"/>
          <w:rtl/>
          <w:lang w:bidi="ar-IQ"/>
        </w:rPr>
      </w:pPr>
      <w:bookmarkStart w:id="133" w:name="_Toc114164622"/>
      <w:r w:rsidRPr="006571AC">
        <w:rPr>
          <w:rFonts w:hint="cs"/>
          <w:color w:val="auto"/>
          <w:rtl/>
          <w:lang w:bidi="ar-IQ"/>
        </w:rPr>
        <w:t>ج ـ</w:t>
      </w:r>
      <w:r w:rsidR="00381A52" w:rsidRPr="006571AC">
        <w:rPr>
          <w:rFonts w:hint="cs"/>
          <w:color w:val="auto"/>
          <w:rtl/>
          <w:lang w:bidi="ar-IQ"/>
        </w:rPr>
        <w:t xml:space="preserve"> صحيحة الحلبي</w:t>
      </w:r>
      <w:bookmarkEnd w:id="133"/>
    </w:p>
    <w:p w:rsidR="00DB276F" w:rsidRPr="006571AC" w:rsidRDefault="00381A52" w:rsidP="00552C10">
      <w:pPr>
        <w:rPr>
          <w:sz w:val="27"/>
          <w:rtl/>
          <w:lang w:bidi="ar-IQ"/>
        </w:rPr>
      </w:pPr>
      <w:r w:rsidRPr="006571AC">
        <w:rPr>
          <w:rFonts w:hint="eastAsia"/>
          <w:sz w:val="24"/>
          <w:szCs w:val="24"/>
          <w:rtl/>
        </w:rPr>
        <w:t>«</w:t>
      </w:r>
      <w:r w:rsidR="00973AC2" w:rsidRPr="006571AC">
        <w:rPr>
          <w:rFonts w:hint="cs"/>
          <w:sz w:val="27"/>
          <w:rtl/>
          <w:lang w:bidi="ar-IQ"/>
        </w:rPr>
        <w:t xml:space="preserve">محمد بن الحسن </w:t>
      </w:r>
      <w:r w:rsidR="00A6058F" w:rsidRPr="006571AC">
        <w:rPr>
          <w:rFonts w:hint="cs"/>
          <w:sz w:val="27"/>
          <w:rtl/>
          <w:lang w:bidi="ar-IQ"/>
        </w:rPr>
        <w:t>[</w:t>
      </w:r>
      <w:r w:rsidR="00973AC2" w:rsidRPr="006571AC">
        <w:rPr>
          <w:rFonts w:hint="cs"/>
          <w:sz w:val="27"/>
          <w:rtl/>
          <w:lang w:bidi="ar-IQ"/>
        </w:rPr>
        <w:t>الطوسي</w:t>
      </w:r>
      <w:r w:rsidR="00A6058F" w:rsidRPr="006571AC">
        <w:rPr>
          <w:rFonts w:hint="cs"/>
          <w:sz w:val="27"/>
          <w:rtl/>
          <w:lang w:bidi="ar-IQ"/>
        </w:rPr>
        <w:t>]</w:t>
      </w:r>
      <w:r w:rsidR="00973AC2" w:rsidRPr="006571AC">
        <w:rPr>
          <w:rFonts w:hint="cs"/>
          <w:sz w:val="27"/>
          <w:rtl/>
          <w:lang w:bidi="ar-IQ"/>
        </w:rPr>
        <w:t xml:space="preserve"> بإسناده </w:t>
      </w:r>
      <w:r w:rsidRPr="006571AC">
        <w:rPr>
          <w:sz w:val="27"/>
          <w:rtl/>
          <w:lang w:bidi="ar-IQ"/>
        </w:rPr>
        <w:t>عن الحسين بن سعيد، عن ابن أبي عمير، عن حم</w:t>
      </w:r>
      <w:r w:rsidR="00E43263" w:rsidRPr="006571AC">
        <w:rPr>
          <w:rFonts w:hint="cs"/>
          <w:sz w:val="27"/>
          <w:rtl/>
          <w:lang w:bidi="ar-IQ"/>
        </w:rPr>
        <w:t>ّ</w:t>
      </w:r>
      <w:r w:rsidRPr="006571AC">
        <w:rPr>
          <w:sz w:val="27"/>
          <w:rtl/>
          <w:lang w:bidi="ar-IQ"/>
        </w:rPr>
        <w:t>اد، عن الحلبي، عن أبي عبد</w:t>
      </w:r>
      <w:r w:rsidRPr="006571AC">
        <w:rPr>
          <w:rFonts w:hint="cs"/>
          <w:sz w:val="27"/>
          <w:rtl/>
          <w:lang w:bidi="ar-IQ"/>
        </w:rPr>
        <w:t xml:space="preserve"> </w:t>
      </w:r>
      <w:r w:rsidRPr="006571AC">
        <w:rPr>
          <w:sz w:val="27"/>
          <w:rtl/>
          <w:lang w:bidi="ar-IQ"/>
        </w:rPr>
        <w:t>الله</w:t>
      </w:r>
      <w:r w:rsidR="002A2C90" w:rsidRPr="006571AC">
        <w:rPr>
          <w:rFonts w:ascii="Mosawi" w:hAnsi="Mosawi" w:cs="Mosawi"/>
          <w:sz w:val="22"/>
          <w:szCs w:val="22"/>
          <w:rtl/>
        </w:rPr>
        <w:t>×</w:t>
      </w:r>
      <w:r w:rsidR="00E43263" w:rsidRPr="006571AC">
        <w:rPr>
          <w:rFonts w:hint="cs"/>
          <w:sz w:val="27"/>
          <w:rtl/>
          <w:lang w:bidi="ar-IQ"/>
        </w:rPr>
        <w:t>؛</w:t>
      </w:r>
      <w:r w:rsidRPr="006571AC">
        <w:rPr>
          <w:sz w:val="27"/>
          <w:rtl/>
          <w:lang w:bidi="ar-IQ"/>
        </w:rPr>
        <w:t xml:space="preserve"> وغير واحد</w:t>
      </w:r>
      <w:r w:rsidR="00E43263" w:rsidRPr="006571AC">
        <w:rPr>
          <w:rFonts w:hint="cs"/>
          <w:sz w:val="27"/>
          <w:rtl/>
          <w:lang w:bidi="ar-IQ"/>
        </w:rPr>
        <w:t>ٍ،</w:t>
      </w:r>
      <w:r w:rsidRPr="006571AC">
        <w:rPr>
          <w:sz w:val="27"/>
          <w:rtl/>
          <w:lang w:bidi="ar-IQ"/>
        </w:rPr>
        <w:t xml:space="preserve"> عن أبي عبد</w:t>
      </w:r>
      <w:r w:rsidRPr="006571AC">
        <w:rPr>
          <w:rFonts w:hint="cs"/>
          <w:sz w:val="27"/>
          <w:rtl/>
          <w:lang w:bidi="ar-IQ"/>
        </w:rPr>
        <w:t xml:space="preserve"> </w:t>
      </w:r>
      <w:r w:rsidRPr="006571AC">
        <w:rPr>
          <w:sz w:val="27"/>
          <w:rtl/>
          <w:lang w:bidi="ar-IQ"/>
        </w:rPr>
        <w:t>الله</w:t>
      </w:r>
      <w:r w:rsidR="002A2C90" w:rsidRPr="006571AC">
        <w:rPr>
          <w:rFonts w:ascii="Mosawi" w:hAnsi="Mosawi" w:cs="Mosawi"/>
          <w:sz w:val="22"/>
          <w:szCs w:val="22"/>
          <w:rtl/>
        </w:rPr>
        <w:t>×</w:t>
      </w:r>
      <w:r w:rsidR="00E43263" w:rsidRPr="006571AC">
        <w:rPr>
          <w:rFonts w:hint="cs"/>
          <w:sz w:val="27"/>
          <w:rtl/>
          <w:lang w:bidi="ar-IQ"/>
        </w:rPr>
        <w:t>،</w:t>
      </w:r>
      <w:r w:rsidRPr="006571AC">
        <w:rPr>
          <w:sz w:val="27"/>
          <w:rtl/>
          <w:lang w:bidi="ar-IQ"/>
        </w:rPr>
        <w:t xml:space="preserve"> في الرجل يكون عليه الشيء فيصالح، فقال</w:t>
      </w:r>
      <w:r w:rsidR="002A2C90" w:rsidRPr="006571AC">
        <w:rPr>
          <w:rFonts w:ascii="Mosawi" w:hAnsi="Mosawi" w:cs="Mosawi"/>
          <w:sz w:val="22"/>
          <w:szCs w:val="22"/>
          <w:rtl/>
        </w:rPr>
        <w:t>×</w:t>
      </w:r>
      <w:r w:rsidRPr="006571AC">
        <w:rPr>
          <w:sz w:val="27"/>
          <w:rtl/>
          <w:lang w:bidi="ar-IQ"/>
        </w:rPr>
        <w:t>: إذا كان بطيبة نفس</w:t>
      </w:r>
      <w:r w:rsidR="00E43263" w:rsidRPr="006571AC">
        <w:rPr>
          <w:rFonts w:hint="cs"/>
          <w:sz w:val="27"/>
          <w:rtl/>
          <w:lang w:bidi="ar-IQ"/>
        </w:rPr>
        <w:t>ٍ</w:t>
      </w:r>
      <w:r w:rsidRPr="006571AC">
        <w:rPr>
          <w:sz w:val="27"/>
          <w:rtl/>
          <w:lang w:bidi="ar-IQ"/>
        </w:rPr>
        <w:t xml:space="preserve"> من صاحبه فلا بأس</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93"/>
      </w:r>
      <w:r w:rsidRPr="006571AC">
        <w:rPr>
          <w:sz w:val="27"/>
          <w:vertAlign w:val="superscript"/>
          <w:rtl/>
          <w:lang w:bidi="ar-IQ"/>
        </w:rPr>
        <w:t>)</w:t>
      </w:r>
      <w:r w:rsidRPr="006571AC">
        <w:rPr>
          <w:rFonts w:hint="cs"/>
          <w:sz w:val="27"/>
          <w:rtl/>
          <w:lang w:bidi="ar-IQ"/>
        </w:rPr>
        <w:t xml:space="preserve">. </w:t>
      </w:r>
    </w:p>
    <w:p w:rsidR="00381A52" w:rsidRPr="006571AC" w:rsidRDefault="00DB276F" w:rsidP="00552C10">
      <w:pPr>
        <w:rPr>
          <w:sz w:val="27"/>
          <w:rtl/>
          <w:lang w:bidi="ar-IQ"/>
        </w:rPr>
      </w:pPr>
      <w:r w:rsidRPr="006571AC">
        <w:rPr>
          <w:rFonts w:hint="cs"/>
          <w:b/>
          <w:bCs/>
          <w:sz w:val="27"/>
          <w:rtl/>
          <w:lang w:bidi="ar-IQ"/>
        </w:rPr>
        <w:lastRenderedPageBreak/>
        <w:t xml:space="preserve">1ـ </w:t>
      </w:r>
      <w:r w:rsidR="00381A52" w:rsidRPr="006571AC">
        <w:rPr>
          <w:rFonts w:hint="cs"/>
          <w:b/>
          <w:bCs/>
          <w:rtl/>
          <w:lang w:bidi="ar-IQ"/>
        </w:rPr>
        <w:t>سند الرواية</w:t>
      </w:r>
      <w:r w:rsidRPr="006571AC">
        <w:rPr>
          <w:rFonts w:hint="cs"/>
          <w:sz w:val="27"/>
          <w:rtl/>
          <w:lang w:bidi="ar-IQ"/>
        </w:rPr>
        <w:t xml:space="preserve">: </w:t>
      </w:r>
      <w:r w:rsidR="00381A52" w:rsidRPr="006571AC">
        <w:rPr>
          <w:rFonts w:hint="cs"/>
          <w:sz w:val="27"/>
          <w:rtl/>
          <w:lang w:bidi="ar-IQ"/>
        </w:rPr>
        <w:t xml:space="preserve">إن للشيخ الطوسي طريقين إلى روايات وكتب الحسين بن سعيد الأهوازي، وهما: </w:t>
      </w:r>
    </w:p>
    <w:p w:rsidR="00381A52" w:rsidRPr="006571AC" w:rsidRDefault="00381A52" w:rsidP="00552C10">
      <w:pPr>
        <w:rPr>
          <w:sz w:val="27"/>
          <w:rtl/>
          <w:lang w:bidi="ar-IQ"/>
        </w:rPr>
      </w:pPr>
      <w:r w:rsidRPr="006571AC">
        <w:rPr>
          <w:rFonts w:hint="cs"/>
          <w:sz w:val="27"/>
          <w:rtl/>
          <w:lang w:bidi="ar-IQ"/>
        </w:rPr>
        <w:t xml:space="preserve">أ ـ </w:t>
      </w:r>
      <w:r w:rsidRPr="006571AC">
        <w:rPr>
          <w:rFonts w:hint="eastAsia"/>
          <w:sz w:val="24"/>
          <w:szCs w:val="24"/>
          <w:rtl/>
        </w:rPr>
        <w:t>«</w:t>
      </w:r>
      <w:r w:rsidRPr="006571AC">
        <w:rPr>
          <w:sz w:val="27"/>
          <w:rtl/>
          <w:lang w:bidi="ar-IQ"/>
        </w:rPr>
        <w:t>أخبرنا بكتبه ورواياته ابن أبي ج</w:t>
      </w:r>
      <w:r w:rsidR="00973AC2" w:rsidRPr="006571AC">
        <w:rPr>
          <w:rFonts w:hint="cs"/>
          <w:sz w:val="27"/>
          <w:rtl/>
          <w:lang w:bidi="ar-IQ"/>
        </w:rPr>
        <w:t>ِ</w:t>
      </w:r>
      <w:r w:rsidRPr="006571AC">
        <w:rPr>
          <w:sz w:val="27"/>
          <w:rtl/>
          <w:lang w:bidi="ar-IQ"/>
        </w:rPr>
        <w:t>يد القم</w:t>
      </w:r>
      <w:r w:rsidR="00973AC2" w:rsidRPr="006571AC">
        <w:rPr>
          <w:rFonts w:hint="cs"/>
          <w:sz w:val="27"/>
          <w:rtl/>
          <w:lang w:bidi="ar-IQ"/>
        </w:rPr>
        <w:t>ّ</w:t>
      </w:r>
      <w:r w:rsidRPr="006571AC">
        <w:rPr>
          <w:sz w:val="27"/>
          <w:rtl/>
          <w:lang w:bidi="ar-IQ"/>
        </w:rPr>
        <w:t>ي</w:t>
      </w:r>
      <w:r w:rsidRPr="006571AC">
        <w:rPr>
          <w:rFonts w:hint="cs"/>
          <w:sz w:val="27"/>
          <w:rtl/>
          <w:lang w:bidi="ar-IQ"/>
        </w:rPr>
        <w:t xml:space="preserve">، </w:t>
      </w:r>
      <w:r w:rsidRPr="006571AC">
        <w:rPr>
          <w:sz w:val="27"/>
          <w:rtl/>
          <w:lang w:bidi="ar-IQ"/>
        </w:rPr>
        <w:t>عن محمد بن الحسن</w:t>
      </w:r>
      <w:r w:rsidRPr="006571AC">
        <w:rPr>
          <w:rFonts w:hint="cs"/>
          <w:sz w:val="27"/>
          <w:rtl/>
          <w:lang w:bidi="ar-IQ"/>
        </w:rPr>
        <w:t xml:space="preserve">، </w:t>
      </w:r>
      <w:r w:rsidRPr="006571AC">
        <w:rPr>
          <w:sz w:val="27"/>
          <w:rtl/>
          <w:lang w:bidi="ar-IQ"/>
        </w:rPr>
        <w:t>عن الحسين بن الحسن بن أبان</w:t>
      </w:r>
      <w:r w:rsidRPr="006571AC">
        <w:rPr>
          <w:rFonts w:hint="cs"/>
          <w:sz w:val="27"/>
          <w:rtl/>
          <w:lang w:bidi="ar-IQ"/>
        </w:rPr>
        <w:t xml:space="preserve">، </w:t>
      </w:r>
      <w:r w:rsidRPr="006571AC">
        <w:rPr>
          <w:sz w:val="27"/>
          <w:rtl/>
          <w:lang w:bidi="ar-IQ"/>
        </w:rPr>
        <w:t>عن الحسين بن سعيد بن حماد بن سعيد بن مهران</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ب ـ </w:t>
      </w:r>
      <w:r w:rsidRPr="006571AC">
        <w:rPr>
          <w:rFonts w:hint="eastAsia"/>
          <w:sz w:val="24"/>
          <w:szCs w:val="24"/>
          <w:rtl/>
        </w:rPr>
        <w:t>«</w:t>
      </w:r>
      <w:r w:rsidRPr="006571AC">
        <w:rPr>
          <w:sz w:val="27"/>
          <w:rtl/>
          <w:lang w:bidi="ar-IQ"/>
        </w:rPr>
        <w:t>أخبرنا به</w:t>
      </w:r>
      <w:r w:rsidRPr="006571AC">
        <w:rPr>
          <w:rFonts w:hint="cs"/>
          <w:sz w:val="27"/>
          <w:rtl/>
          <w:lang w:bidi="ar-IQ"/>
        </w:rPr>
        <w:t>ا</w:t>
      </w:r>
      <w:r w:rsidRPr="006571AC">
        <w:rPr>
          <w:sz w:val="27"/>
          <w:vertAlign w:val="superscript"/>
          <w:rtl/>
          <w:lang w:bidi="ar-IQ"/>
        </w:rPr>
        <w:t>(</w:t>
      </w:r>
      <w:r w:rsidRPr="006571AC">
        <w:rPr>
          <w:rStyle w:val="ac"/>
          <w:sz w:val="27"/>
          <w:rtl/>
          <w:lang w:bidi="ar-IQ"/>
        </w:rPr>
        <w:endnoteReference w:id="294"/>
      </w:r>
      <w:r w:rsidRPr="006571AC">
        <w:rPr>
          <w:sz w:val="27"/>
          <w:vertAlign w:val="superscript"/>
          <w:rtl/>
          <w:lang w:bidi="ar-IQ"/>
        </w:rPr>
        <w:t>)</w:t>
      </w:r>
      <w:r w:rsidRPr="006571AC">
        <w:rPr>
          <w:sz w:val="27"/>
          <w:rtl/>
          <w:lang w:bidi="ar-IQ"/>
        </w:rPr>
        <w:t xml:space="preserve"> عد</w:t>
      </w:r>
      <w:r w:rsidR="00973AC2" w:rsidRPr="006571AC">
        <w:rPr>
          <w:rFonts w:hint="cs"/>
          <w:sz w:val="27"/>
          <w:rtl/>
          <w:lang w:bidi="ar-IQ"/>
        </w:rPr>
        <w:t>ّ</w:t>
      </w:r>
      <w:r w:rsidRPr="006571AC">
        <w:rPr>
          <w:sz w:val="27"/>
          <w:rtl/>
          <w:lang w:bidi="ar-IQ"/>
        </w:rPr>
        <w:t>ة</w:t>
      </w:r>
      <w:r w:rsidR="00973AC2" w:rsidRPr="006571AC">
        <w:rPr>
          <w:rFonts w:hint="cs"/>
          <w:sz w:val="27"/>
          <w:rtl/>
          <w:lang w:bidi="ar-IQ"/>
        </w:rPr>
        <w:t>ٌ</w:t>
      </w:r>
      <w:r w:rsidRPr="006571AC">
        <w:rPr>
          <w:sz w:val="27"/>
          <w:rtl/>
          <w:lang w:bidi="ar-IQ"/>
        </w:rPr>
        <w:t xml:space="preserve"> من أصحابنا</w:t>
      </w:r>
      <w:r w:rsidRPr="006571AC">
        <w:rPr>
          <w:rFonts w:hint="cs"/>
          <w:sz w:val="27"/>
          <w:rtl/>
          <w:lang w:bidi="ar-IQ"/>
        </w:rPr>
        <w:t xml:space="preserve">، </w:t>
      </w:r>
      <w:r w:rsidRPr="006571AC">
        <w:rPr>
          <w:sz w:val="27"/>
          <w:rtl/>
          <w:lang w:bidi="ar-IQ"/>
        </w:rPr>
        <w:t>عن محمد بن علي</w:t>
      </w:r>
      <w:r w:rsidR="00973AC2" w:rsidRPr="006571AC">
        <w:rPr>
          <w:rFonts w:hint="cs"/>
          <w:sz w:val="27"/>
          <w:rtl/>
          <w:lang w:bidi="ar-IQ"/>
        </w:rPr>
        <w:t>ّ</w:t>
      </w:r>
      <w:r w:rsidRPr="006571AC">
        <w:rPr>
          <w:sz w:val="27"/>
          <w:rtl/>
          <w:lang w:bidi="ar-IQ"/>
        </w:rPr>
        <w:t xml:space="preserve"> بن الحسين</w:t>
      </w:r>
      <w:r w:rsidRPr="006571AC">
        <w:rPr>
          <w:rFonts w:hint="cs"/>
          <w:sz w:val="27"/>
          <w:rtl/>
          <w:lang w:bidi="ar-IQ"/>
        </w:rPr>
        <w:t xml:space="preserve"> [بن بابويه</w:t>
      </w:r>
      <w:r w:rsidR="00973AC2" w:rsidRPr="006571AC">
        <w:rPr>
          <w:rFonts w:hint="cs"/>
          <w:sz w:val="27"/>
          <w:rtl/>
          <w:lang w:bidi="ar-IQ"/>
        </w:rPr>
        <w:t>]</w:t>
      </w:r>
      <w:r w:rsidRPr="006571AC">
        <w:rPr>
          <w:sz w:val="27"/>
          <w:vertAlign w:val="superscript"/>
          <w:rtl/>
          <w:lang w:bidi="ar-IQ"/>
        </w:rPr>
        <w:t>(</w:t>
      </w:r>
      <w:r w:rsidRPr="006571AC">
        <w:rPr>
          <w:rStyle w:val="ac"/>
          <w:sz w:val="27"/>
          <w:rtl/>
          <w:lang w:bidi="ar-IQ"/>
        </w:rPr>
        <w:endnoteReference w:id="295"/>
      </w:r>
      <w:r w:rsidRPr="006571AC">
        <w:rPr>
          <w:sz w:val="27"/>
          <w:vertAlign w:val="superscript"/>
          <w:rtl/>
          <w:lang w:bidi="ar-IQ"/>
        </w:rPr>
        <w:t>)</w:t>
      </w:r>
      <w:r w:rsidR="00973AC2" w:rsidRPr="006571AC">
        <w:rPr>
          <w:rFonts w:hint="cs"/>
          <w:sz w:val="27"/>
          <w:rtl/>
          <w:lang w:bidi="ar-IQ"/>
        </w:rPr>
        <w:t>،</w:t>
      </w:r>
      <w:r w:rsidRPr="006571AC">
        <w:rPr>
          <w:sz w:val="27"/>
          <w:rtl/>
          <w:lang w:bidi="ar-IQ"/>
        </w:rPr>
        <w:t xml:space="preserve"> عن أبيه، ومحمد بن الحسن و</w:t>
      </w:r>
      <w:r w:rsidRPr="006571AC">
        <w:rPr>
          <w:rFonts w:hint="cs"/>
          <w:sz w:val="27"/>
          <w:rtl/>
          <w:lang w:bidi="ar-IQ"/>
        </w:rPr>
        <w:t xml:space="preserve"> [محمد بن] </w:t>
      </w:r>
      <w:r w:rsidRPr="006571AC">
        <w:rPr>
          <w:sz w:val="27"/>
          <w:vertAlign w:val="superscript"/>
          <w:rtl/>
          <w:lang w:bidi="ar-IQ"/>
        </w:rPr>
        <w:t>(</w:t>
      </w:r>
      <w:r w:rsidRPr="006571AC">
        <w:rPr>
          <w:rStyle w:val="ac"/>
          <w:sz w:val="27"/>
          <w:rtl/>
          <w:lang w:bidi="ar-IQ"/>
        </w:rPr>
        <w:endnoteReference w:id="296"/>
      </w:r>
      <w:r w:rsidRPr="006571AC">
        <w:rPr>
          <w:sz w:val="27"/>
          <w:vertAlign w:val="superscript"/>
          <w:rtl/>
          <w:lang w:bidi="ar-IQ"/>
        </w:rPr>
        <w:t>)</w:t>
      </w:r>
      <w:r w:rsidRPr="006571AC">
        <w:rPr>
          <w:rFonts w:hint="cs"/>
          <w:sz w:val="27"/>
          <w:rtl/>
          <w:lang w:bidi="ar-IQ"/>
        </w:rPr>
        <w:t xml:space="preserve"> </w:t>
      </w:r>
      <w:r w:rsidRPr="006571AC">
        <w:rPr>
          <w:sz w:val="27"/>
          <w:rtl/>
          <w:lang w:bidi="ar-IQ"/>
        </w:rPr>
        <w:t>موسى بن المتوك</w:t>
      </w:r>
      <w:r w:rsidR="00973AC2" w:rsidRPr="006571AC">
        <w:rPr>
          <w:rFonts w:hint="cs"/>
          <w:sz w:val="27"/>
          <w:rtl/>
          <w:lang w:bidi="ar-IQ"/>
        </w:rPr>
        <w:t>ِّ</w:t>
      </w:r>
      <w:r w:rsidRPr="006571AC">
        <w:rPr>
          <w:sz w:val="27"/>
          <w:rtl/>
          <w:lang w:bidi="ar-IQ"/>
        </w:rPr>
        <w:t>ل</w:t>
      </w:r>
      <w:r w:rsidRPr="006571AC">
        <w:rPr>
          <w:rFonts w:hint="cs"/>
          <w:sz w:val="27"/>
          <w:rtl/>
          <w:lang w:bidi="ar-IQ"/>
        </w:rPr>
        <w:t xml:space="preserve">، </w:t>
      </w:r>
      <w:r w:rsidRPr="006571AC">
        <w:rPr>
          <w:sz w:val="27"/>
          <w:rtl/>
          <w:lang w:bidi="ar-IQ"/>
        </w:rPr>
        <w:t>عن سعد بن عبد الله والحميري</w:t>
      </w:r>
      <w:r w:rsidR="00973AC2" w:rsidRPr="006571AC">
        <w:rPr>
          <w:rFonts w:hint="cs"/>
          <w:sz w:val="27"/>
          <w:rtl/>
          <w:lang w:bidi="ar-IQ"/>
        </w:rPr>
        <w:t>ّ</w:t>
      </w:r>
      <w:r w:rsidRPr="006571AC">
        <w:rPr>
          <w:rFonts w:hint="cs"/>
          <w:sz w:val="27"/>
          <w:rtl/>
          <w:lang w:bidi="ar-IQ"/>
        </w:rPr>
        <w:t xml:space="preserve">، </w:t>
      </w:r>
      <w:r w:rsidRPr="006571AC">
        <w:rPr>
          <w:sz w:val="27"/>
          <w:rtl/>
          <w:lang w:bidi="ar-IQ"/>
        </w:rPr>
        <w:t>عن أحمد بن محمد</w:t>
      </w:r>
      <w:r w:rsidRPr="006571AC">
        <w:rPr>
          <w:rFonts w:hint="cs"/>
          <w:sz w:val="27"/>
          <w:rtl/>
          <w:lang w:bidi="ar-IQ"/>
        </w:rPr>
        <w:t xml:space="preserve">، </w:t>
      </w:r>
      <w:r w:rsidRPr="006571AC">
        <w:rPr>
          <w:sz w:val="27"/>
          <w:rtl/>
          <w:lang w:bidi="ar-IQ"/>
        </w:rPr>
        <w:t xml:space="preserve">عن </w:t>
      </w:r>
      <w:r w:rsidRPr="006571AC">
        <w:rPr>
          <w:rFonts w:hint="cs"/>
          <w:sz w:val="27"/>
          <w:rtl/>
          <w:lang w:bidi="ar-IQ"/>
        </w:rPr>
        <w:t>عيسى، عنه</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97"/>
      </w:r>
      <w:r w:rsidRPr="006571AC">
        <w:rPr>
          <w:sz w:val="27"/>
          <w:vertAlign w:val="superscript"/>
          <w:rtl/>
          <w:lang w:bidi="ar-IQ"/>
        </w:rPr>
        <w:t>)</w:t>
      </w:r>
      <w:r w:rsidRPr="006571AC">
        <w:rPr>
          <w:rFonts w:hint="cs"/>
          <w:sz w:val="27"/>
          <w:rtl/>
          <w:lang w:bidi="ar-IQ"/>
        </w:rPr>
        <w:t xml:space="preserve">. </w:t>
      </w:r>
    </w:p>
    <w:p w:rsidR="00DB276F" w:rsidRPr="006571AC" w:rsidRDefault="00381A52" w:rsidP="00552C10">
      <w:pPr>
        <w:rPr>
          <w:sz w:val="27"/>
          <w:rtl/>
          <w:lang w:bidi="ar-IQ"/>
        </w:rPr>
      </w:pPr>
      <w:r w:rsidRPr="006571AC">
        <w:rPr>
          <w:rFonts w:hint="cs"/>
          <w:sz w:val="27"/>
          <w:rtl/>
          <w:lang w:bidi="ar-IQ"/>
        </w:rPr>
        <w:t>وسند هذه الرواية بطريق</w:t>
      </w:r>
      <w:r w:rsidR="00973AC2" w:rsidRPr="006571AC">
        <w:rPr>
          <w:rFonts w:hint="cs"/>
          <w:sz w:val="27"/>
          <w:rtl/>
          <w:lang w:bidi="ar-IQ"/>
        </w:rPr>
        <w:t>َيْ</w:t>
      </w:r>
      <w:r w:rsidRPr="006571AC">
        <w:rPr>
          <w:rFonts w:hint="cs"/>
          <w:sz w:val="27"/>
          <w:rtl/>
          <w:lang w:bidi="ar-IQ"/>
        </w:rPr>
        <w:t xml:space="preserve"> </w:t>
      </w:r>
      <w:r w:rsidR="00973AC2" w:rsidRPr="006571AC">
        <w:rPr>
          <w:rFonts w:hint="cs"/>
          <w:sz w:val="27"/>
          <w:rtl/>
          <w:lang w:bidi="ar-IQ"/>
        </w:rPr>
        <w:t>ا</w:t>
      </w:r>
      <w:r w:rsidRPr="006571AC">
        <w:rPr>
          <w:rFonts w:hint="cs"/>
          <w:sz w:val="27"/>
          <w:rtl/>
          <w:lang w:bidi="ar-IQ"/>
        </w:rPr>
        <w:t>لشيخ إلى الحسين بن سعيد الأهوازي معتبر</w:t>
      </w:r>
      <w:r w:rsidR="00973AC2" w:rsidRPr="006571AC">
        <w:rPr>
          <w:rFonts w:hint="cs"/>
          <w:sz w:val="27"/>
          <w:rtl/>
          <w:lang w:bidi="ar-IQ"/>
        </w:rPr>
        <w:t>ٌ</w:t>
      </w:r>
      <w:r w:rsidRPr="006571AC">
        <w:rPr>
          <w:rFonts w:hint="cs"/>
          <w:sz w:val="27"/>
          <w:rtl/>
          <w:lang w:bidi="ar-IQ"/>
        </w:rPr>
        <w:t>، وعليه تكون هذه الرواية ب</w:t>
      </w:r>
      <w:r w:rsidR="00EA38F1" w:rsidRPr="006571AC">
        <w:rPr>
          <w:rFonts w:hint="cs"/>
          <w:sz w:val="27"/>
          <w:rtl/>
          <w:lang w:bidi="ar-IQ"/>
        </w:rPr>
        <w:t>دَوْر</w:t>
      </w:r>
      <w:r w:rsidRPr="006571AC">
        <w:rPr>
          <w:rFonts w:hint="cs"/>
          <w:sz w:val="27"/>
          <w:rtl/>
          <w:lang w:bidi="ar-IQ"/>
        </w:rPr>
        <w:t xml:space="preserve">ها صحيحة السند أيضاً. </w:t>
      </w:r>
    </w:p>
    <w:p w:rsidR="00A6058F" w:rsidRPr="006571AC" w:rsidRDefault="00DB276F"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sz w:val="27"/>
          <w:rtl/>
          <w:lang w:bidi="ar-IQ"/>
        </w:rPr>
        <w:t xml:space="preserve">: </w:t>
      </w:r>
      <w:r w:rsidR="00381A52" w:rsidRPr="006571AC">
        <w:rPr>
          <w:rFonts w:hint="cs"/>
          <w:sz w:val="27"/>
          <w:rtl/>
          <w:lang w:bidi="ar-IQ"/>
        </w:rPr>
        <w:t>تتحدّ</w:t>
      </w:r>
      <w:r w:rsidR="00973AC2" w:rsidRPr="006571AC">
        <w:rPr>
          <w:rFonts w:hint="cs"/>
          <w:sz w:val="27"/>
          <w:rtl/>
          <w:lang w:bidi="ar-IQ"/>
        </w:rPr>
        <w:t>َ</w:t>
      </w:r>
      <w:r w:rsidR="00381A52" w:rsidRPr="006571AC">
        <w:rPr>
          <w:rFonts w:hint="cs"/>
          <w:sz w:val="27"/>
          <w:rtl/>
          <w:lang w:bidi="ar-IQ"/>
        </w:rPr>
        <w:t>ث الرواية عن شخص</w:t>
      </w:r>
      <w:r w:rsidR="00973AC2" w:rsidRPr="006571AC">
        <w:rPr>
          <w:rFonts w:hint="cs"/>
          <w:sz w:val="27"/>
          <w:rtl/>
          <w:lang w:bidi="ar-IQ"/>
        </w:rPr>
        <w:t>ٍ</w:t>
      </w:r>
      <w:r w:rsidR="00381A52" w:rsidRPr="006571AC">
        <w:rPr>
          <w:rFonts w:hint="cs"/>
          <w:sz w:val="27"/>
          <w:rtl/>
          <w:lang w:bidi="ar-IQ"/>
        </w:rPr>
        <w:t xml:space="preserve"> م</w:t>
      </w:r>
      <w:r w:rsidR="00973AC2" w:rsidRPr="006571AC">
        <w:rPr>
          <w:rFonts w:hint="cs"/>
          <w:sz w:val="27"/>
          <w:rtl/>
          <w:lang w:bidi="ar-IQ"/>
        </w:rPr>
        <w:t>َ</w:t>
      </w:r>
      <w:r w:rsidR="00381A52" w:rsidRPr="006571AC">
        <w:rPr>
          <w:rFonts w:hint="cs"/>
          <w:sz w:val="27"/>
          <w:rtl/>
          <w:lang w:bidi="ar-IQ"/>
        </w:rPr>
        <w:t>دين، حيث يصالح دائنه على د</w:t>
      </w:r>
      <w:r w:rsidR="00973AC2" w:rsidRPr="006571AC">
        <w:rPr>
          <w:rFonts w:hint="cs"/>
          <w:sz w:val="27"/>
          <w:rtl/>
          <w:lang w:bidi="ar-IQ"/>
        </w:rPr>
        <w:t>َ</w:t>
      </w:r>
      <w:r w:rsidR="00381A52" w:rsidRPr="006571AC">
        <w:rPr>
          <w:rFonts w:hint="cs"/>
          <w:sz w:val="27"/>
          <w:rtl/>
          <w:lang w:bidi="ar-IQ"/>
        </w:rPr>
        <w:t>ي</w:t>
      </w:r>
      <w:r w:rsidR="00973AC2" w:rsidRPr="006571AC">
        <w:rPr>
          <w:rFonts w:hint="cs"/>
          <w:sz w:val="27"/>
          <w:rtl/>
          <w:lang w:bidi="ar-IQ"/>
        </w:rPr>
        <w:t>ْ</w:t>
      </w:r>
      <w:r w:rsidR="00381A52" w:rsidRPr="006571AC">
        <w:rPr>
          <w:rFonts w:hint="cs"/>
          <w:sz w:val="27"/>
          <w:rtl/>
          <w:lang w:bidi="ar-IQ"/>
        </w:rPr>
        <w:t>نه، ولكنها تشير في الجواب إلى نقطة</w:t>
      </w:r>
      <w:r w:rsidR="00973AC2" w:rsidRPr="006571AC">
        <w:rPr>
          <w:rFonts w:hint="cs"/>
          <w:sz w:val="27"/>
          <w:rtl/>
          <w:lang w:bidi="ar-IQ"/>
        </w:rPr>
        <w:t>ٍ</w:t>
      </w:r>
      <w:r w:rsidR="00381A52" w:rsidRPr="006571AC">
        <w:rPr>
          <w:rFonts w:hint="cs"/>
          <w:sz w:val="27"/>
          <w:rtl/>
          <w:lang w:bidi="ar-IQ"/>
        </w:rPr>
        <w:t xml:space="preserve"> هي بمنزلة الضابط؛ وهي رض</w:t>
      </w:r>
      <w:r w:rsidR="00973AC2" w:rsidRPr="006571AC">
        <w:rPr>
          <w:rFonts w:hint="cs"/>
          <w:sz w:val="27"/>
          <w:rtl/>
          <w:lang w:bidi="ar-IQ"/>
        </w:rPr>
        <w:t>ا</w:t>
      </w:r>
      <w:r w:rsidR="00381A52" w:rsidRPr="006571AC">
        <w:rPr>
          <w:rFonts w:hint="cs"/>
          <w:sz w:val="27"/>
          <w:rtl/>
          <w:lang w:bidi="ar-IQ"/>
        </w:rPr>
        <w:t xml:space="preserve"> الطرفين</w:t>
      </w:r>
      <w:r w:rsidR="00973AC2" w:rsidRPr="006571AC">
        <w:rPr>
          <w:rFonts w:hint="cs"/>
          <w:sz w:val="27"/>
          <w:rtl/>
          <w:lang w:bidi="ar-IQ"/>
        </w:rPr>
        <w:t>.</w:t>
      </w:r>
      <w:r w:rsidR="00381A52" w:rsidRPr="006571AC">
        <w:rPr>
          <w:rFonts w:hint="cs"/>
          <w:sz w:val="27"/>
          <w:rtl/>
          <w:lang w:bidi="ar-IQ"/>
        </w:rPr>
        <w:t xml:space="preserve"> وهذا الضابط موجود</w:t>
      </w:r>
      <w:r w:rsidR="00973AC2" w:rsidRPr="006571AC">
        <w:rPr>
          <w:rFonts w:hint="cs"/>
          <w:sz w:val="27"/>
          <w:rtl/>
          <w:lang w:bidi="ar-IQ"/>
        </w:rPr>
        <w:t>ٌ</w:t>
      </w:r>
      <w:r w:rsidR="00381A52" w:rsidRPr="006571AC">
        <w:rPr>
          <w:rFonts w:hint="cs"/>
          <w:sz w:val="27"/>
          <w:rtl/>
          <w:lang w:bidi="ar-IQ"/>
        </w:rPr>
        <w:t xml:space="preserve"> في الصلح الابتدائي أيضاً؛ لأن الصلح الابتدائي هو إنشاء</w:t>
      </w:r>
      <w:r w:rsidR="00973AC2" w:rsidRPr="006571AC">
        <w:rPr>
          <w:rFonts w:hint="cs"/>
          <w:sz w:val="27"/>
          <w:rtl/>
          <w:lang w:bidi="ar-IQ"/>
        </w:rPr>
        <w:t>ُ</w:t>
      </w:r>
      <w:r w:rsidR="00381A52" w:rsidRPr="006571AC">
        <w:rPr>
          <w:rFonts w:hint="cs"/>
          <w:sz w:val="27"/>
          <w:rtl/>
          <w:lang w:bidi="ar-IQ"/>
        </w:rPr>
        <w:t xml:space="preserve"> التراضي والتسالم</w:t>
      </w:r>
      <w:r w:rsidR="00A6058F" w:rsidRPr="006571AC">
        <w:rPr>
          <w:rFonts w:hint="cs"/>
          <w:sz w:val="27"/>
          <w:rtl/>
          <w:lang w:bidi="ar-IQ"/>
        </w:rPr>
        <w:t>.</w:t>
      </w:r>
    </w:p>
    <w:p w:rsidR="004B16C6" w:rsidRPr="006571AC" w:rsidRDefault="004B16C6" w:rsidP="004B16C6">
      <w:pPr>
        <w:spacing w:line="420" w:lineRule="exact"/>
        <w:rPr>
          <w:sz w:val="27"/>
          <w:rtl/>
        </w:rPr>
      </w:pPr>
    </w:p>
    <w:p w:rsidR="00DB276F" w:rsidRPr="006571AC" w:rsidRDefault="00DB276F" w:rsidP="00DB276F">
      <w:pPr>
        <w:pStyle w:val="31"/>
        <w:rPr>
          <w:color w:val="auto"/>
          <w:rtl/>
          <w:lang w:bidi="ar-IQ"/>
        </w:rPr>
      </w:pPr>
      <w:bookmarkStart w:id="134" w:name="_Toc114164623"/>
      <w:r w:rsidRPr="006571AC">
        <w:rPr>
          <w:rFonts w:hint="cs"/>
          <w:color w:val="auto"/>
          <w:rtl/>
          <w:lang w:bidi="ar-IQ"/>
        </w:rPr>
        <w:t>إشكالٌ وجواب</w:t>
      </w:r>
      <w:bookmarkEnd w:id="134"/>
    </w:p>
    <w:p w:rsidR="00381A52" w:rsidRPr="006571AC" w:rsidRDefault="00381A52" w:rsidP="00552C10">
      <w:pPr>
        <w:rPr>
          <w:sz w:val="27"/>
          <w:rtl/>
          <w:lang w:bidi="ar-IQ"/>
        </w:rPr>
      </w:pPr>
      <w:r w:rsidRPr="006571AC">
        <w:rPr>
          <w:rFonts w:hint="cs"/>
          <w:b/>
          <w:bCs/>
          <w:sz w:val="27"/>
          <w:rtl/>
          <w:lang w:bidi="ar-IQ"/>
        </w:rPr>
        <w:t>وقد ي</w:t>
      </w:r>
      <w:r w:rsidR="00973AC2" w:rsidRPr="006571AC">
        <w:rPr>
          <w:rFonts w:hint="cs"/>
          <w:b/>
          <w:bCs/>
          <w:sz w:val="27"/>
          <w:rtl/>
          <w:lang w:bidi="ar-IQ"/>
        </w:rPr>
        <w:t>ُ</w:t>
      </w:r>
      <w:r w:rsidRPr="006571AC">
        <w:rPr>
          <w:rFonts w:hint="cs"/>
          <w:b/>
          <w:bCs/>
          <w:sz w:val="27"/>
          <w:rtl/>
          <w:lang w:bidi="ar-IQ"/>
        </w:rPr>
        <w:t>قال</w:t>
      </w:r>
      <w:r w:rsidRPr="006571AC">
        <w:rPr>
          <w:rFonts w:hint="cs"/>
          <w:sz w:val="27"/>
          <w:rtl/>
          <w:lang w:bidi="ar-IQ"/>
        </w:rPr>
        <w:t>: إن هذه الرواية قد اشتمل</w:t>
      </w:r>
      <w:r w:rsidR="00973AC2" w:rsidRPr="006571AC">
        <w:rPr>
          <w:rFonts w:hint="cs"/>
          <w:sz w:val="27"/>
          <w:rtl/>
          <w:lang w:bidi="ar-IQ"/>
        </w:rPr>
        <w:t>َ</w:t>
      </w:r>
      <w:r w:rsidRPr="006571AC">
        <w:rPr>
          <w:rFonts w:hint="cs"/>
          <w:sz w:val="27"/>
          <w:rtl/>
          <w:lang w:bidi="ar-IQ"/>
        </w:rPr>
        <w:t>ت</w:t>
      </w:r>
      <w:r w:rsidR="00973AC2" w:rsidRPr="006571AC">
        <w:rPr>
          <w:rFonts w:hint="cs"/>
          <w:sz w:val="27"/>
          <w:rtl/>
          <w:lang w:bidi="ar-IQ"/>
        </w:rPr>
        <w:t>ْ</w:t>
      </w:r>
      <w:r w:rsidRPr="006571AC">
        <w:rPr>
          <w:rFonts w:hint="cs"/>
          <w:sz w:val="27"/>
          <w:rtl/>
          <w:lang w:bidi="ar-IQ"/>
        </w:rPr>
        <w:t xml:space="preserve"> على عبارة</w:t>
      </w:r>
      <w:r w:rsidR="00973AC2"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فيُصالح</w:t>
      </w:r>
      <w:r w:rsidRPr="006571AC">
        <w:rPr>
          <w:rFonts w:hint="eastAsia"/>
          <w:sz w:val="24"/>
          <w:szCs w:val="24"/>
          <w:rtl/>
        </w:rPr>
        <w:t>»</w:t>
      </w:r>
      <w:r w:rsidRPr="006571AC">
        <w:rPr>
          <w:rFonts w:hint="cs"/>
          <w:sz w:val="27"/>
          <w:rtl/>
          <w:lang w:bidi="ar-IQ"/>
        </w:rPr>
        <w:t>، ولهذه العبارة ظهور</w:t>
      </w:r>
      <w:r w:rsidR="00973AC2" w:rsidRPr="006571AC">
        <w:rPr>
          <w:rFonts w:hint="cs"/>
          <w:sz w:val="27"/>
          <w:rtl/>
          <w:lang w:bidi="ar-IQ"/>
        </w:rPr>
        <w:t>ٌ</w:t>
      </w:r>
      <w:r w:rsidRPr="006571AC">
        <w:rPr>
          <w:rFonts w:hint="cs"/>
          <w:sz w:val="27"/>
          <w:rtl/>
          <w:lang w:bidi="ar-IQ"/>
        </w:rPr>
        <w:t xml:space="preserve"> لغوي</w:t>
      </w:r>
      <w:r w:rsidR="00973AC2" w:rsidRPr="006571AC">
        <w:rPr>
          <w:rFonts w:hint="cs"/>
          <w:sz w:val="27"/>
          <w:rtl/>
          <w:lang w:bidi="ar-IQ"/>
        </w:rPr>
        <w:t>ّ</w:t>
      </w:r>
      <w:r w:rsidRPr="006571AC">
        <w:rPr>
          <w:rFonts w:hint="cs"/>
          <w:sz w:val="27"/>
          <w:rtl/>
          <w:lang w:bidi="ar-IQ"/>
        </w:rPr>
        <w:t xml:space="preserve"> ومتفاهم ع</w:t>
      </w:r>
      <w:r w:rsidR="00973AC2" w:rsidRPr="006571AC">
        <w:rPr>
          <w:rFonts w:hint="cs"/>
          <w:sz w:val="27"/>
          <w:rtl/>
          <w:lang w:bidi="ar-IQ"/>
        </w:rPr>
        <w:t>ُ</w:t>
      </w:r>
      <w:r w:rsidRPr="006571AC">
        <w:rPr>
          <w:rFonts w:hint="cs"/>
          <w:sz w:val="27"/>
          <w:rtl/>
          <w:lang w:bidi="ar-IQ"/>
        </w:rPr>
        <w:t>ر</w:t>
      </w:r>
      <w:r w:rsidR="00973AC2" w:rsidRPr="006571AC">
        <w:rPr>
          <w:rFonts w:hint="cs"/>
          <w:sz w:val="27"/>
          <w:rtl/>
          <w:lang w:bidi="ar-IQ"/>
        </w:rPr>
        <w:t>ْ</w:t>
      </w:r>
      <w:r w:rsidRPr="006571AC">
        <w:rPr>
          <w:rFonts w:hint="cs"/>
          <w:sz w:val="27"/>
          <w:rtl/>
          <w:lang w:bidi="ar-IQ"/>
        </w:rPr>
        <w:t>في بسبق الخصومة، بالإضافة إلى أن في مورد الرواية هناك أرضي</w:t>
      </w:r>
      <w:r w:rsidR="00973AC2" w:rsidRPr="006571AC">
        <w:rPr>
          <w:rFonts w:hint="cs"/>
          <w:sz w:val="27"/>
          <w:rtl/>
          <w:lang w:bidi="ar-IQ"/>
        </w:rPr>
        <w:t>ّ</w:t>
      </w:r>
      <w:r w:rsidRPr="006571AC">
        <w:rPr>
          <w:rFonts w:hint="cs"/>
          <w:sz w:val="27"/>
          <w:rtl/>
          <w:lang w:bidi="ar-IQ"/>
        </w:rPr>
        <w:t>ة</w:t>
      </w:r>
      <w:r w:rsidR="00973AC2" w:rsidRPr="006571AC">
        <w:rPr>
          <w:rFonts w:hint="cs"/>
          <w:sz w:val="27"/>
          <w:rtl/>
          <w:lang w:bidi="ar-IQ"/>
        </w:rPr>
        <w:t>ٌ</w:t>
      </w:r>
      <w:r w:rsidRPr="006571AC">
        <w:rPr>
          <w:rFonts w:hint="cs"/>
          <w:sz w:val="27"/>
          <w:rtl/>
          <w:lang w:bidi="ar-IQ"/>
        </w:rPr>
        <w:t xml:space="preserve"> للنزاع. وبعبارة</w:t>
      </w:r>
      <w:r w:rsidR="00973AC2" w:rsidRPr="006571AC">
        <w:rPr>
          <w:rFonts w:hint="cs"/>
          <w:sz w:val="27"/>
          <w:rtl/>
          <w:lang w:bidi="ar-IQ"/>
        </w:rPr>
        <w:t>ٍ</w:t>
      </w:r>
      <w:r w:rsidRPr="006571AC">
        <w:rPr>
          <w:rFonts w:hint="cs"/>
          <w:sz w:val="27"/>
          <w:rtl/>
          <w:lang w:bidi="ar-IQ"/>
        </w:rPr>
        <w:t xml:space="preserve"> أخرى: في مورد الرواية هناك نزاع</w:t>
      </w:r>
      <w:r w:rsidR="00973AC2" w:rsidRPr="006571AC">
        <w:rPr>
          <w:rFonts w:hint="cs"/>
          <w:sz w:val="27"/>
          <w:rtl/>
          <w:lang w:bidi="ar-IQ"/>
        </w:rPr>
        <w:t>ٌ</w:t>
      </w:r>
      <w:r w:rsidRPr="006571AC">
        <w:rPr>
          <w:rFonts w:hint="cs"/>
          <w:sz w:val="27"/>
          <w:rtl/>
          <w:lang w:bidi="ar-IQ"/>
        </w:rPr>
        <w:t xml:space="preserve"> متوقّ</w:t>
      </w:r>
      <w:r w:rsidR="00973AC2" w:rsidRPr="006571AC">
        <w:rPr>
          <w:rFonts w:hint="cs"/>
          <w:sz w:val="27"/>
          <w:rtl/>
          <w:lang w:bidi="ar-IQ"/>
        </w:rPr>
        <w:t>َ</w:t>
      </w:r>
      <w:r w:rsidRPr="006571AC">
        <w:rPr>
          <w:rFonts w:hint="cs"/>
          <w:sz w:val="27"/>
          <w:rtl/>
          <w:lang w:bidi="ar-IQ"/>
        </w:rPr>
        <w:t>ع</w:t>
      </w:r>
      <w:r w:rsidR="00973AC2" w:rsidRPr="006571AC">
        <w:rPr>
          <w:rFonts w:hint="cs"/>
          <w:sz w:val="27"/>
          <w:rtl/>
          <w:lang w:bidi="ar-IQ"/>
        </w:rPr>
        <w:t>ٌ</w:t>
      </w:r>
      <w:r w:rsidRPr="006571AC">
        <w:rPr>
          <w:rFonts w:hint="cs"/>
          <w:sz w:val="27"/>
          <w:rtl/>
          <w:lang w:bidi="ar-IQ"/>
        </w:rPr>
        <w:t xml:space="preserve"> ومحتمل</w:t>
      </w:r>
      <w:r w:rsidR="00973AC2" w:rsidRPr="006571AC">
        <w:rPr>
          <w:rFonts w:hint="cs"/>
          <w:sz w:val="27"/>
          <w:rtl/>
          <w:lang w:bidi="ar-IQ"/>
        </w:rPr>
        <w:t>ٌ</w:t>
      </w:r>
      <w:r w:rsidRPr="006571AC">
        <w:rPr>
          <w:rFonts w:hint="cs"/>
          <w:sz w:val="27"/>
          <w:rtl/>
          <w:lang w:bidi="ar-IQ"/>
        </w:rPr>
        <w:t>، وإن عقد الصلح قد شُرّ</w:t>
      </w:r>
      <w:r w:rsidR="00A6058F" w:rsidRPr="006571AC">
        <w:rPr>
          <w:rFonts w:hint="cs"/>
          <w:sz w:val="27"/>
          <w:rtl/>
          <w:lang w:bidi="ar-IQ"/>
        </w:rPr>
        <w:t>ِ</w:t>
      </w:r>
      <w:r w:rsidRPr="006571AC">
        <w:rPr>
          <w:rFonts w:hint="cs"/>
          <w:sz w:val="27"/>
          <w:rtl/>
          <w:lang w:bidi="ar-IQ"/>
        </w:rPr>
        <w:t>ع لرفع هذا النزاع</w:t>
      </w:r>
      <w:r w:rsidRPr="006571AC">
        <w:rPr>
          <w:sz w:val="27"/>
          <w:vertAlign w:val="superscript"/>
          <w:rtl/>
          <w:lang w:bidi="ar-IQ"/>
        </w:rPr>
        <w:t>(</w:t>
      </w:r>
      <w:r w:rsidRPr="006571AC">
        <w:rPr>
          <w:rStyle w:val="ac"/>
          <w:sz w:val="27"/>
          <w:rtl/>
          <w:lang w:bidi="ar-IQ"/>
        </w:rPr>
        <w:endnoteReference w:id="298"/>
      </w:r>
      <w:r w:rsidRPr="006571AC">
        <w:rPr>
          <w:sz w:val="27"/>
          <w:vertAlign w:val="superscript"/>
          <w:rtl/>
          <w:lang w:bidi="ar-IQ"/>
        </w:rPr>
        <w:t>)</w:t>
      </w:r>
      <w:r w:rsidRPr="006571AC">
        <w:rPr>
          <w:rFonts w:hint="cs"/>
          <w:sz w:val="27"/>
          <w:rtl/>
          <w:lang w:bidi="ar-IQ"/>
        </w:rPr>
        <w:t xml:space="preserve">. </w:t>
      </w:r>
    </w:p>
    <w:p w:rsidR="00381A52" w:rsidRPr="006571AC" w:rsidRDefault="00381A52" w:rsidP="00B40C07">
      <w:pPr>
        <w:rPr>
          <w:sz w:val="27"/>
          <w:rtl/>
          <w:lang w:bidi="ar-IQ"/>
        </w:rPr>
      </w:pPr>
      <w:r w:rsidRPr="006571AC">
        <w:rPr>
          <w:rFonts w:hint="cs"/>
          <w:b/>
          <w:bCs/>
          <w:sz w:val="27"/>
          <w:rtl/>
          <w:lang w:bidi="ar-IQ"/>
        </w:rPr>
        <w:t>ولكن</w:t>
      </w:r>
      <w:r w:rsidR="00A6058F" w:rsidRPr="006571AC">
        <w:rPr>
          <w:rFonts w:hint="cs"/>
          <w:b/>
          <w:bCs/>
          <w:sz w:val="27"/>
          <w:rtl/>
          <w:lang w:bidi="ar-IQ"/>
        </w:rPr>
        <w:t>ْ</w:t>
      </w:r>
      <w:r w:rsidRPr="006571AC">
        <w:rPr>
          <w:rFonts w:hint="cs"/>
          <w:b/>
          <w:bCs/>
          <w:sz w:val="27"/>
          <w:rtl/>
          <w:lang w:bidi="ar-IQ"/>
        </w:rPr>
        <w:t xml:space="preserve"> </w:t>
      </w:r>
      <w:r w:rsidR="00B40C07" w:rsidRPr="006571AC">
        <w:rPr>
          <w:rFonts w:hint="cs"/>
          <w:b/>
          <w:bCs/>
          <w:sz w:val="27"/>
          <w:rtl/>
          <w:lang w:bidi="ar-IQ"/>
        </w:rPr>
        <w:t>يمكن</w:t>
      </w:r>
      <w:r w:rsidRPr="006571AC">
        <w:rPr>
          <w:rFonts w:hint="cs"/>
          <w:b/>
          <w:bCs/>
          <w:sz w:val="27"/>
          <w:rtl/>
          <w:lang w:bidi="ar-IQ"/>
        </w:rPr>
        <w:t xml:space="preserve"> القول في الجواب</w:t>
      </w:r>
      <w:r w:rsidRPr="006571AC">
        <w:rPr>
          <w:rFonts w:hint="cs"/>
          <w:sz w:val="27"/>
          <w:rtl/>
          <w:lang w:bidi="ar-IQ"/>
        </w:rPr>
        <w:t xml:space="preserve">: </w:t>
      </w:r>
      <w:r w:rsidRPr="006571AC">
        <w:rPr>
          <w:rFonts w:hint="cs"/>
          <w:b/>
          <w:bCs/>
          <w:sz w:val="27"/>
          <w:rtl/>
          <w:lang w:bidi="ar-IQ"/>
        </w:rPr>
        <w:t>أو</w:t>
      </w:r>
      <w:r w:rsidR="00A6058F" w:rsidRPr="006571AC">
        <w:rPr>
          <w:rFonts w:hint="cs"/>
          <w:b/>
          <w:bCs/>
          <w:sz w:val="27"/>
          <w:rtl/>
          <w:lang w:bidi="ar-IQ"/>
        </w:rPr>
        <w:t>ّ</w:t>
      </w:r>
      <w:r w:rsidRPr="006571AC">
        <w:rPr>
          <w:rFonts w:hint="cs"/>
          <w:b/>
          <w:bCs/>
          <w:sz w:val="27"/>
          <w:rtl/>
          <w:lang w:bidi="ar-IQ"/>
        </w:rPr>
        <w:t>لاً</w:t>
      </w:r>
      <w:r w:rsidR="00A6058F" w:rsidRPr="006571AC">
        <w:rPr>
          <w:rFonts w:hint="cs"/>
          <w:sz w:val="27"/>
          <w:rtl/>
          <w:lang w:bidi="ar-IQ"/>
        </w:rPr>
        <w:t>:</w:t>
      </w:r>
      <w:r w:rsidRPr="006571AC">
        <w:rPr>
          <w:rFonts w:hint="cs"/>
          <w:sz w:val="27"/>
          <w:rtl/>
          <w:lang w:bidi="ar-IQ"/>
        </w:rPr>
        <w:t xml:space="preserve"> إن عبارة</w:t>
      </w:r>
      <w:r w:rsidR="00A6058F"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فيصالح</w:t>
      </w:r>
      <w:r w:rsidRPr="006571AC">
        <w:rPr>
          <w:rFonts w:hint="eastAsia"/>
          <w:sz w:val="24"/>
          <w:szCs w:val="24"/>
          <w:rtl/>
        </w:rPr>
        <w:t>»</w:t>
      </w:r>
      <w:r w:rsidR="00A6058F" w:rsidRPr="006571AC">
        <w:rPr>
          <w:rFonts w:hint="cs"/>
          <w:sz w:val="27"/>
          <w:rtl/>
          <w:lang w:bidi="ar-IQ"/>
        </w:rPr>
        <w:t>،</w:t>
      </w:r>
      <w:r w:rsidRPr="006571AC">
        <w:rPr>
          <w:rFonts w:hint="cs"/>
          <w:sz w:val="27"/>
          <w:rtl/>
          <w:lang w:bidi="ar-IQ"/>
        </w:rPr>
        <w:t xml:space="preserve"> التي هي من مشتق</w:t>
      </w:r>
      <w:r w:rsidR="00A6058F" w:rsidRPr="006571AC">
        <w:rPr>
          <w:rFonts w:hint="cs"/>
          <w:sz w:val="27"/>
          <w:rtl/>
          <w:lang w:bidi="ar-IQ"/>
        </w:rPr>
        <w:t>ّ</w:t>
      </w:r>
      <w:r w:rsidRPr="006571AC">
        <w:rPr>
          <w:rFonts w:hint="cs"/>
          <w:sz w:val="27"/>
          <w:rtl/>
          <w:lang w:bidi="ar-IQ"/>
        </w:rPr>
        <w:t>ات الصلح</w:t>
      </w:r>
      <w:r w:rsidR="00A6058F" w:rsidRPr="006571AC">
        <w:rPr>
          <w:rFonts w:hint="cs"/>
          <w:sz w:val="27"/>
          <w:rtl/>
          <w:lang w:bidi="ar-IQ"/>
        </w:rPr>
        <w:t>،</w:t>
      </w:r>
      <w:r w:rsidRPr="006571AC">
        <w:rPr>
          <w:rFonts w:hint="cs"/>
          <w:sz w:val="27"/>
          <w:rtl/>
          <w:lang w:bidi="ar-IQ"/>
        </w:rPr>
        <w:t xml:space="preserve"> لم ت</w:t>
      </w:r>
      <w:r w:rsidR="00A6058F" w:rsidRPr="006571AC">
        <w:rPr>
          <w:rFonts w:hint="cs"/>
          <w:sz w:val="27"/>
          <w:rtl/>
          <w:lang w:bidi="ar-IQ"/>
        </w:rPr>
        <w:t>َ</w:t>
      </w:r>
      <w:r w:rsidRPr="006571AC">
        <w:rPr>
          <w:rFonts w:hint="cs"/>
          <w:sz w:val="27"/>
          <w:rtl/>
          <w:lang w:bidi="ar-IQ"/>
        </w:rPr>
        <w:t>ر</w:t>
      </w:r>
      <w:r w:rsidR="00A6058F" w:rsidRPr="006571AC">
        <w:rPr>
          <w:rFonts w:hint="cs"/>
          <w:sz w:val="27"/>
          <w:rtl/>
          <w:lang w:bidi="ar-IQ"/>
        </w:rPr>
        <w:t>ِ</w:t>
      </w:r>
      <w:r w:rsidRPr="006571AC">
        <w:rPr>
          <w:rFonts w:hint="cs"/>
          <w:sz w:val="27"/>
          <w:rtl/>
          <w:lang w:bidi="ar-IQ"/>
        </w:rPr>
        <w:t>د</w:t>
      </w:r>
      <w:r w:rsidR="00A6058F" w:rsidRPr="006571AC">
        <w:rPr>
          <w:rFonts w:hint="cs"/>
          <w:sz w:val="27"/>
          <w:rtl/>
          <w:lang w:bidi="ar-IQ"/>
        </w:rPr>
        <w:t>ْ</w:t>
      </w:r>
      <w:r w:rsidRPr="006571AC">
        <w:rPr>
          <w:rFonts w:hint="cs"/>
          <w:sz w:val="27"/>
          <w:rtl/>
          <w:lang w:bidi="ar-IQ"/>
        </w:rPr>
        <w:t xml:space="preserve"> في كلام الإمام</w:t>
      </w:r>
      <w:r w:rsidR="002A2C90" w:rsidRPr="006571AC">
        <w:rPr>
          <w:rFonts w:ascii="Mosawi" w:hAnsi="Mosawi" w:cs="Mosawi"/>
          <w:sz w:val="22"/>
          <w:szCs w:val="22"/>
          <w:rtl/>
        </w:rPr>
        <w:t>×</w:t>
      </w:r>
      <w:r w:rsidRPr="006571AC">
        <w:rPr>
          <w:rFonts w:hint="cs"/>
          <w:sz w:val="27"/>
          <w:rtl/>
          <w:lang w:bidi="ar-IQ"/>
        </w:rPr>
        <w:t xml:space="preserve">. </w:t>
      </w:r>
      <w:r w:rsidRPr="006571AC">
        <w:rPr>
          <w:rFonts w:hint="cs"/>
          <w:b/>
          <w:bCs/>
          <w:sz w:val="27"/>
          <w:rtl/>
          <w:lang w:bidi="ar-IQ"/>
        </w:rPr>
        <w:t>وثانياً</w:t>
      </w:r>
      <w:r w:rsidR="00A6058F" w:rsidRPr="006571AC">
        <w:rPr>
          <w:rFonts w:hint="cs"/>
          <w:sz w:val="27"/>
          <w:rtl/>
          <w:lang w:bidi="ar-IQ"/>
        </w:rPr>
        <w:t>:</w:t>
      </w:r>
      <w:r w:rsidRPr="006571AC">
        <w:rPr>
          <w:rFonts w:hint="cs"/>
          <w:sz w:val="27"/>
          <w:rtl/>
          <w:lang w:bidi="ar-IQ"/>
        </w:rPr>
        <w:t xml:space="preserve"> على الرغم من أن مورد الرواية له ظهور في النزاع، إلا</w:t>
      </w:r>
      <w:r w:rsidR="00A6058F" w:rsidRPr="006571AC">
        <w:rPr>
          <w:rFonts w:hint="cs"/>
          <w:sz w:val="27"/>
          <w:rtl/>
          <w:lang w:bidi="ar-IQ"/>
        </w:rPr>
        <w:t>ّ</w:t>
      </w:r>
      <w:r w:rsidRPr="006571AC">
        <w:rPr>
          <w:rFonts w:hint="cs"/>
          <w:sz w:val="27"/>
          <w:rtl/>
          <w:lang w:bidi="ar-IQ"/>
        </w:rPr>
        <w:t xml:space="preserve"> أنه في جواب الإمام ـ حيث عمد إلى تطبيق القضية الشرطي</w:t>
      </w:r>
      <w:r w:rsidR="00A6058F" w:rsidRPr="006571AC">
        <w:rPr>
          <w:rFonts w:hint="cs"/>
          <w:sz w:val="27"/>
          <w:rtl/>
          <w:lang w:bidi="ar-IQ"/>
        </w:rPr>
        <w:t>ّ</w:t>
      </w:r>
      <w:r w:rsidRPr="006571AC">
        <w:rPr>
          <w:rFonts w:hint="cs"/>
          <w:sz w:val="27"/>
          <w:rtl/>
          <w:lang w:bidi="ar-IQ"/>
        </w:rPr>
        <w:t>ة ذات الإشارة إلى القانون الكل</w:t>
      </w:r>
      <w:r w:rsidR="00A6058F" w:rsidRPr="006571AC">
        <w:rPr>
          <w:rFonts w:hint="cs"/>
          <w:sz w:val="27"/>
          <w:rtl/>
          <w:lang w:bidi="ar-IQ"/>
        </w:rPr>
        <w:t>ّ</w:t>
      </w:r>
      <w:r w:rsidRPr="006571AC">
        <w:rPr>
          <w:rFonts w:hint="cs"/>
          <w:sz w:val="27"/>
          <w:rtl/>
          <w:lang w:bidi="ar-IQ"/>
        </w:rPr>
        <w:t>ي على المورد ـ يحكي عن عدم الاختصاص بموارد وجود النزاع المحق</w:t>
      </w:r>
      <w:r w:rsidR="00A6058F" w:rsidRPr="006571AC">
        <w:rPr>
          <w:rFonts w:hint="cs"/>
          <w:sz w:val="27"/>
          <w:rtl/>
          <w:lang w:bidi="ar-IQ"/>
        </w:rPr>
        <w:t>َّ</w:t>
      </w:r>
      <w:r w:rsidRPr="006571AC">
        <w:rPr>
          <w:rFonts w:hint="cs"/>
          <w:sz w:val="27"/>
          <w:rtl/>
          <w:lang w:bidi="ar-IQ"/>
        </w:rPr>
        <w:t>ق أو المحتمل. وبعبارة</w:t>
      </w:r>
      <w:r w:rsidR="00A6058F" w:rsidRPr="006571AC">
        <w:rPr>
          <w:rFonts w:hint="cs"/>
          <w:sz w:val="27"/>
          <w:rtl/>
          <w:lang w:bidi="ar-IQ"/>
        </w:rPr>
        <w:t>ٍ</w:t>
      </w:r>
      <w:r w:rsidRPr="006571AC">
        <w:rPr>
          <w:rFonts w:hint="cs"/>
          <w:sz w:val="27"/>
          <w:rtl/>
          <w:lang w:bidi="ar-IQ"/>
        </w:rPr>
        <w:t xml:space="preserve"> أخرى: في ضوء قاعدة </w:t>
      </w:r>
      <w:r w:rsidRPr="006571AC">
        <w:rPr>
          <w:rFonts w:hint="eastAsia"/>
          <w:sz w:val="24"/>
          <w:szCs w:val="24"/>
          <w:rtl/>
        </w:rPr>
        <w:t>«</w:t>
      </w:r>
      <w:r w:rsidRPr="006571AC">
        <w:rPr>
          <w:rFonts w:hint="cs"/>
          <w:sz w:val="27"/>
          <w:rtl/>
          <w:lang w:bidi="ar-IQ"/>
        </w:rPr>
        <w:t>خصوصية المورد لا تخص</w:t>
      </w:r>
      <w:r w:rsidR="00A6058F" w:rsidRPr="006571AC">
        <w:rPr>
          <w:rFonts w:hint="cs"/>
          <w:sz w:val="27"/>
          <w:rtl/>
          <w:lang w:bidi="ar-IQ"/>
        </w:rPr>
        <w:t>ِّ</w:t>
      </w:r>
      <w:r w:rsidRPr="006571AC">
        <w:rPr>
          <w:rFonts w:hint="cs"/>
          <w:sz w:val="27"/>
          <w:rtl/>
          <w:lang w:bidi="ar-IQ"/>
        </w:rPr>
        <w:t>ص العام</w:t>
      </w:r>
      <w:r w:rsidR="00A6058F" w:rsidRPr="006571AC">
        <w:rPr>
          <w:rFonts w:hint="cs"/>
          <w:sz w:val="27"/>
          <w:rtl/>
          <w:lang w:bidi="ar-IQ"/>
        </w:rPr>
        <w:t>ّ</w:t>
      </w:r>
      <w:r w:rsidRPr="006571AC">
        <w:rPr>
          <w:rFonts w:hint="cs"/>
          <w:sz w:val="27"/>
          <w:rtl/>
          <w:lang w:bidi="ar-IQ"/>
        </w:rPr>
        <w:t xml:space="preserve"> الوارد</w:t>
      </w:r>
      <w:r w:rsidRPr="006571AC">
        <w:rPr>
          <w:rFonts w:hint="eastAsia"/>
          <w:sz w:val="24"/>
          <w:szCs w:val="24"/>
          <w:rtl/>
        </w:rPr>
        <w:t>»</w:t>
      </w:r>
      <w:r w:rsidRPr="006571AC">
        <w:rPr>
          <w:rFonts w:hint="cs"/>
          <w:sz w:val="27"/>
          <w:rtl/>
          <w:lang w:bidi="ar-IQ"/>
        </w:rPr>
        <w:t>، لا يمكن لنا ـ في سياق تطبيق القانون الكل</w:t>
      </w:r>
      <w:r w:rsidR="00A6058F" w:rsidRPr="006571AC">
        <w:rPr>
          <w:rFonts w:hint="cs"/>
          <w:sz w:val="27"/>
          <w:rtl/>
          <w:lang w:bidi="ar-IQ"/>
        </w:rPr>
        <w:t>ّ</w:t>
      </w:r>
      <w:r w:rsidRPr="006571AC">
        <w:rPr>
          <w:rFonts w:hint="cs"/>
          <w:sz w:val="27"/>
          <w:rtl/>
          <w:lang w:bidi="ar-IQ"/>
        </w:rPr>
        <w:t>ي على الفرد والمصداق ـ ح</w:t>
      </w:r>
      <w:r w:rsidR="00A6058F" w:rsidRPr="006571AC">
        <w:rPr>
          <w:rFonts w:hint="cs"/>
          <w:sz w:val="27"/>
          <w:rtl/>
          <w:lang w:bidi="ar-IQ"/>
        </w:rPr>
        <w:t>َ</w:t>
      </w:r>
      <w:r w:rsidRPr="006571AC">
        <w:rPr>
          <w:rFonts w:hint="cs"/>
          <w:sz w:val="27"/>
          <w:rtl/>
          <w:lang w:bidi="ar-IQ"/>
        </w:rPr>
        <w:t>ص</w:t>
      </w:r>
      <w:r w:rsidR="00A6058F" w:rsidRPr="006571AC">
        <w:rPr>
          <w:rFonts w:hint="cs"/>
          <w:sz w:val="27"/>
          <w:rtl/>
          <w:lang w:bidi="ar-IQ"/>
        </w:rPr>
        <w:t>ْ</w:t>
      </w:r>
      <w:r w:rsidRPr="006571AC">
        <w:rPr>
          <w:rFonts w:hint="cs"/>
          <w:sz w:val="27"/>
          <w:rtl/>
          <w:lang w:bidi="ar-IQ"/>
        </w:rPr>
        <w:t xml:space="preserve">ره في ذلك الفرد. </w:t>
      </w:r>
    </w:p>
    <w:p w:rsidR="00381A52" w:rsidRPr="006571AC" w:rsidRDefault="00FC7A16" w:rsidP="00714072">
      <w:pPr>
        <w:pStyle w:val="31"/>
        <w:rPr>
          <w:color w:val="auto"/>
          <w:rtl/>
          <w:lang w:bidi="ar-IQ"/>
        </w:rPr>
      </w:pPr>
      <w:bookmarkStart w:id="135" w:name="_Toc114164624"/>
      <w:r w:rsidRPr="006571AC">
        <w:rPr>
          <w:rFonts w:hint="cs"/>
          <w:color w:val="auto"/>
          <w:rtl/>
          <w:lang w:bidi="ar-IQ"/>
        </w:rPr>
        <w:lastRenderedPageBreak/>
        <w:t>د ـ</w:t>
      </w:r>
      <w:r w:rsidR="00381A52" w:rsidRPr="006571AC">
        <w:rPr>
          <w:rFonts w:hint="cs"/>
          <w:color w:val="auto"/>
          <w:rtl/>
          <w:lang w:bidi="ar-IQ"/>
        </w:rPr>
        <w:t xml:space="preserve"> صحيحة عمر بن يزيد</w:t>
      </w:r>
      <w:bookmarkEnd w:id="135"/>
    </w:p>
    <w:p w:rsidR="00DB276F" w:rsidRPr="006571AC" w:rsidRDefault="00381A52" w:rsidP="00552C10">
      <w:pPr>
        <w:rPr>
          <w:sz w:val="27"/>
          <w:rtl/>
          <w:lang w:bidi="ar-IQ"/>
        </w:rPr>
      </w:pPr>
      <w:r w:rsidRPr="006571AC">
        <w:rPr>
          <w:rFonts w:hint="eastAsia"/>
          <w:sz w:val="24"/>
          <w:szCs w:val="24"/>
          <w:rtl/>
        </w:rPr>
        <w:t>«</w:t>
      </w:r>
      <w:r w:rsidR="00A6058F" w:rsidRPr="006571AC">
        <w:rPr>
          <w:rFonts w:hint="cs"/>
          <w:sz w:val="27"/>
          <w:rtl/>
          <w:lang w:bidi="ar-IQ"/>
        </w:rPr>
        <w:t xml:space="preserve">محمد بن يعقوب [الكليني]، </w:t>
      </w:r>
      <w:r w:rsidRPr="006571AC">
        <w:rPr>
          <w:sz w:val="27"/>
          <w:rtl/>
          <w:lang w:bidi="ar-IQ"/>
        </w:rPr>
        <w:t>عن عد</w:t>
      </w:r>
      <w:r w:rsidR="00A6058F" w:rsidRPr="006571AC">
        <w:rPr>
          <w:rFonts w:hint="cs"/>
          <w:sz w:val="27"/>
          <w:rtl/>
          <w:lang w:bidi="ar-IQ"/>
        </w:rPr>
        <w:t>ّ</w:t>
      </w:r>
      <w:r w:rsidRPr="006571AC">
        <w:rPr>
          <w:sz w:val="27"/>
          <w:rtl/>
          <w:lang w:bidi="ar-IQ"/>
        </w:rPr>
        <w:t>ة</w:t>
      </w:r>
      <w:r w:rsidR="00A6058F" w:rsidRPr="006571AC">
        <w:rPr>
          <w:rFonts w:hint="cs"/>
          <w:sz w:val="27"/>
          <w:rtl/>
          <w:lang w:bidi="ar-IQ"/>
        </w:rPr>
        <w:t>ٍ</w:t>
      </w:r>
      <w:r w:rsidRPr="006571AC">
        <w:rPr>
          <w:sz w:val="27"/>
          <w:rtl/>
          <w:lang w:bidi="ar-IQ"/>
        </w:rPr>
        <w:t xml:space="preserve"> من أصحابنا، عن أحمد بن محمد، عن محمد بن إسماعيل، عن محمد بن عذافر، عن عمر بن يزيد، عن أبي عبد</w:t>
      </w:r>
      <w:r w:rsidRPr="006571AC">
        <w:rPr>
          <w:rFonts w:hint="cs"/>
          <w:sz w:val="27"/>
          <w:rtl/>
          <w:lang w:bidi="ar-IQ"/>
        </w:rPr>
        <w:t xml:space="preserve"> </w:t>
      </w:r>
      <w:r w:rsidRPr="006571AC">
        <w:rPr>
          <w:sz w:val="27"/>
          <w:rtl/>
          <w:lang w:bidi="ar-IQ"/>
        </w:rPr>
        <w:t>الله</w:t>
      </w:r>
      <w:r w:rsidR="002A2C90" w:rsidRPr="006571AC">
        <w:rPr>
          <w:rFonts w:ascii="Mosawi" w:hAnsi="Mosawi" w:cs="Mosawi"/>
          <w:sz w:val="22"/>
          <w:szCs w:val="22"/>
          <w:rtl/>
        </w:rPr>
        <w:t>×</w:t>
      </w:r>
      <w:r w:rsidRPr="006571AC">
        <w:rPr>
          <w:rFonts w:hint="cs"/>
          <w:sz w:val="27"/>
          <w:rtl/>
          <w:lang w:bidi="ar-IQ"/>
        </w:rPr>
        <w:t xml:space="preserve"> </w:t>
      </w:r>
      <w:r w:rsidRPr="006571AC">
        <w:rPr>
          <w:sz w:val="27"/>
          <w:rtl/>
          <w:lang w:bidi="ar-IQ"/>
        </w:rPr>
        <w:t>قال: إذا كان لرجل</w:t>
      </w:r>
      <w:r w:rsidR="00A6058F" w:rsidRPr="006571AC">
        <w:rPr>
          <w:rFonts w:hint="cs"/>
          <w:sz w:val="27"/>
          <w:rtl/>
          <w:lang w:bidi="ar-IQ"/>
        </w:rPr>
        <w:t>ٍ</w:t>
      </w:r>
      <w:r w:rsidRPr="006571AC">
        <w:rPr>
          <w:sz w:val="27"/>
          <w:rtl/>
          <w:lang w:bidi="ar-IQ"/>
        </w:rPr>
        <w:t xml:space="preserve"> على رجل</w:t>
      </w:r>
      <w:r w:rsidR="00A6058F" w:rsidRPr="006571AC">
        <w:rPr>
          <w:rFonts w:hint="cs"/>
          <w:sz w:val="27"/>
          <w:rtl/>
          <w:lang w:bidi="ar-IQ"/>
        </w:rPr>
        <w:t>ٍ</w:t>
      </w:r>
      <w:r w:rsidRPr="006571AC">
        <w:rPr>
          <w:sz w:val="27"/>
          <w:rtl/>
          <w:lang w:bidi="ar-IQ"/>
        </w:rPr>
        <w:t xml:space="preserve"> د</w:t>
      </w:r>
      <w:r w:rsidR="00A6058F" w:rsidRPr="006571AC">
        <w:rPr>
          <w:rFonts w:hint="cs"/>
          <w:sz w:val="27"/>
          <w:rtl/>
          <w:lang w:bidi="ar-IQ"/>
        </w:rPr>
        <w:t>َ</w:t>
      </w:r>
      <w:r w:rsidRPr="006571AC">
        <w:rPr>
          <w:sz w:val="27"/>
          <w:rtl/>
          <w:lang w:bidi="ar-IQ"/>
        </w:rPr>
        <w:t>ي</w:t>
      </w:r>
      <w:r w:rsidR="00A6058F" w:rsidRPr="006571AC">
        <w:rPr>
          <w:rFonts w:hint="cs"/>
          <w:sz w:val="27"/>
          <w:rtl/>
          <w:lang w:bidi="ar-IQ"/>
        </w:rPr>
        <w:t>ْ</w:t>
      </w:r>
      <w:r w:rsidRPr="006571AC">
        <w:rPr>
          <w:sz w:val="27"/>
          <w:rtl/>
          <w:lang w:bidi="ar-IQ"/>
        </w:rPr>
        <w:t>ن</w:t>
      </w:r>
      <w:r w:rsidR="00A6058F" w:rsidRPr="006571AC">
        <w:rPr>
          <w:rFonts w:hint="cs"/>
          <w:sz w:val="27"/>
          <w:rtl/>
          <w:lang w:bidi="ar-IQ"/>
        </w:rPr>
        <w:t>ٌ،</w:t>
      </w:r>
      <w:r w:rsidRPr="006571AC">
        <w:rPr>
          <w:sz w:val="27"/>
          <w:rtl/>
          <w:lang w:bidi="ar-IQ"/>
        </w:rPr>
        <w:t xml:space="preserve"> فم</w:t>
      </w:r>
      <w:r w:rsidR="00A6058F" w:rsidRPr="006571AC">
        <w:rPr>
          <w:rFonts w:hint="cs"/>
          <w:sz w:val="27"/>
          <w:rtl/>
          <w:lang w:bidi="ar-IQ"/>
        </w:rPr>
        <w:t>َ</w:t>
      </w:r>
      <w:r w:rsidRPr="006571AC">
        <w:rPr>
          <w:sz w:val="27"/>
          <w:rtl/>
          <w:lang w:bidi="ar-IQ"/>
        </w:rPr>
        <w:t>ط</w:t>
      </w:r>
      <w:r w:rsidR="00A6058F" w:rsidRPr="006571AC">
        <w:rPr>
          <w:rFonts w:hint="cs"/>
          <w:sz w:val="27"/>
          <w:rtl/>
          <w:lang w:bidi="ar-IQ"/>
        </w:rPr>
        <w:t>َ</w:t>
      </w:r>
      <w:r w:rsidRPr="006571AC">
        <w:rPr>
          <w:sz w:val="27"/>
          <w:rtl/>
          <w:lang w:bidi="ar-IQ"/>
        </w:rPr>
        <w:t>له حت</w:t>
      </w:r>
      <w:r w:rsidR="00A6058F" w:rsidRPr="006571AC">
        <w:rPr>
          <w:rFonts w:hint="cs"/>
          <w:sz w:val="27"/>
          <w:rtl/>
          <w:lang w:bidi="ar-IQ"/>
        </w:rPr>
        <w:t>ّ</w:t>
      </w:r>
      <w:r w:rsidRPr="006571AC">
        <w:rPr>
          <w:sz w:val="27"/>
          <w:rtl/>
          <w:lang w:bidi="ar-IQ"/>
        </w:rPr>
        <w:t>ى مات</w:t>
      </w:r>
      <w:r w:rsidRPr="006571AC">
        <w:rPr>
          <w:rFonts w:hint="cs"/>
          <w:sz w:val="27"/>
          <w:rtl/>
          <w:lang w:bidi="ar-IQ"/>
        </w:rPr>
        <w:t xml:space="preserve">، </w:t>
      </w:r>
      <w:r w:rsidRPr="006571AC">
        <w:rPr>
          <w:sz w:val="27"/>
          <w:rtl/>
          <w:lang w:bidi="ar-IQ"/>
        </w:rPr>
        <w:t>ثم</w:t>
      </w:r>
      <w:r w:rsidR="00A6058F" w:rsidRPr="006571AC">
        <w:rPr>
          <w:rFonts w:hint="cs"/>
          <w:sz w:val="27"/>
          <w:rtl/>
          <w:lang w:bidi="ar-IQ"/>
        </w:rPr>
        <w:t>ّ</w:t>
      </w:r>
      <w:r w:rsidRPr="006571AC">
        <w:rPr>
          <w:sz w:val="27"/>
          <w:rtl/>
          <w:lang w:bidi="ar-IQ"/>
        </w:rPr>
        <w:t xml:space="preserve"> صالح و</w:t>
      </w:r>
      <w:r w:rsidR="00A6058F" w:rsidRPr="006571AC">
        <w:rPr>
          <w:rFonts w:hint="cs"/>
          <w:sz w:val="27"/>
          <w:rtl/>
          <w:lang w:bidi="ar-IQ"/>
        </w:rPr>
        <w:t>َ</w:t>
      </w:r>
      <w:r w:rsidRPr="006571AC">
        <w:rPr>
          <w:sz w:val="27"/>
          <w:rtl/>
          <w:lang w:bidi="ar-IQ"/>
        </w:rPr>
        <w:t>ر</w:t>
      </w:r>
      <w:r w:rsidR="00A6058F" w:rsidRPr="006571AC">
        <w:rPr>
          <w:rFonts w:hint="cs"/>
          <w:sz w:val="27"/>
          <w:rtl/>
          <w:lang w:bidi="ar-IQ"/>
        </w:rPr>
        <w:t>َ</w:t>
      </w:r>
      <w:r w:rsidRPr="006571AC">
        <w:rPr>
          <w:sz w:val="27"/>
          <w:rtl/>
          <w:lang w:bidi="ar-IQ"/>
        </w:rPr>
        <w:t>ث</w:t>
      </w:r>
      <w:r w:rsidR="00A6058F" w:rsidRPr="006571AC">
        <w:rPr>
          <w:rFonts w:hint="cs"/>
          <w:sz w:val="27"/>
          <w:rtl/>
          <w:lang w:bidi="ar-IQ"/>
        </w:rPr>
        <w:t>َ</w:t>
      </w:r>
      <w:r w:rsidRPr="006571AC">
        <w:rPr>
          <w:sz w:val="27"/>
          <w:rtl/>
          <w:lang w:bidi="ar-IQ"/>
        </w:rPr>
        <w:t>ته على شيء</w:t>
      </w:r>
      <w:r w:rsidR="00A6058F" w:rsidRPr="006571AC">
        <w:rPr>
          <w:rFonts w:hint="cs"/>
          <w:sz w:val="27"/>
          <w:rtl/>
          <w:lang w:bidi="ar-IQ"/>
        </w:rPr>
        <w:t>ٍ</w:t>
      </w:r>
      <w:r w:rsidRPr="006571AC">
        <w:rPr>
          <w:sz w:val="27"/>
          <w:rtl/>
          <w:lang w:bidi="ar-IQ"/>
        </w:rPr>
        <w:t xml:space="preserve"> فالذي أخذ الورثة لهم، وما بقي فللميت حت</w:t>
      </w:r>
      <w:r w:rsidR="00A6058F" w:rsidRPr="006571AC">
        <w:rPr>
          <w:rFonts w:hint="cs"/>
          <w:sz w:val="27"/>
          <w:rtl/>
          <w:lang w:bidi="ar-IQ"/>
        </w:rPr>
        <w:t>ّ</w:t>
      </w:r>
      <w:r w:rsidRPr="006571AC">
        <w:rPr>
          <w:sz w:val="27"/>
          <w:rtl/>
          <w:lang w:bidi="ar-IQ"/>
        </w:rPr>
        <w:t>ى يستوفيه منه في ال</w:t>
      </w:r>
      <w:r w:rsidRPr="006571AC">
        <w:rPr>
          <w:rFonts w:hint="cs"/>
          <w:sz w:val="27"/>
          <w:rtl/>
          <w:lang w:bidi="ar-IQ"/>
        </w:rPr>
        <w:t>آ</w:t>
      </w:r>
      <w:r w:rsidRPr="006571AC">
        <w:rPr>
          <w:sz w:val="27"/>
          <w:rtl/>
          <w:lang w:bidi="ar-IQ"/>
        </w:rPr>
        <w:t>خرة، وإن</w:t>
      </w:r>
      <w:r w:rsidR="00A6058F" w:rsidRPr="006571AC">
        <w:rPr>
          <w:rFonts w:hint="cs"/>
          <w:sz w:val="27"/>
          <w:rtl/>
          <w:lang w:bidi="ar-IQ"/>
        </w:rPr>
        <w:t>ْ</w:t>
      </w:r>
      <w:r w:rsidRPr="006571AC">
        <w:rPr>
          <w:sz w:val="27"/>
          <w:rtl/>
          <w:lang w:bidi="ar-IQ"/>
        </w:rPr>
        <w:t xml:space="preserve"> هو لم يصالحهم على شيء</w:t>
      </w:r>
      <w:r w:rsidR="00A6058F" w:rsidRPr="006571AC">
        <w:rPr>
          <w:rFonts w:hint="cs"/>
          <w:sz w:val="27"/>
          <w:rtl/>
          <w:lang w:bidi="ar-IQ"/>
        </w:rPr>
        <w:t>ٍ</w:t>
      </w:r>
      <w:r w:rsidRPr="006571AC">
        <w:rPr>
          <w:sz w:val="27"/>
          <w:rtl/>
          <w:lang w:bidi="ar-IQ"/>
        </w:rPr>
        <w:t xml:space="preserve"> حت</w:t>
      </w:r>
      <w:r w:rsidR="00A6058F" w:rsidRPr="006571AC">
        <w:rPr>
          <w:rFonts w:hint="cs"/>
          <w:sz w:val="27"/>
          <w:rtl/>
          <w:lang w:bidi="ar-IQ"/>
        </w:rPr>
        <w:t>ّ</w:t>
      </w:r>
      <w:r w:rsidRPr="006571AC">
        <w:rPr>
          <w:sz w:val="27"/>
          <w:rtl/>
          <w:lang w:bidi="ar-IQ"/>
        </w:rPr>
        <w:t>ى مات ولم يق</w:t>
      </w:r>
      <w:r w:rsidR="00A6058F" w:rsidRPr="006571AC">
        <w:rPr>
          <w:rFonts w:hint="cs"/>
          <w:sz w:val="27"/>
          <w:rtl/>
          <w:lang w:bidi="ar-IQ"/>
        </w:rPr>
        <w:t>ْ</w:t>
      </w:r>
      <w:r w:rsidRPr="006571AC">
        <w:rPr>
          <w:sz w:val="27"/>
          <w:rtl/>
          <w:lang w:bidi="ar-IQ"/>
        </w:rPr>
        <w:t>ض</w:t>
      </w:r>
      <w:r w:rsidR="00A6058F" w:rsidRPr="006571AC">
        <w:rPr>
          <w:rFonts w:hint="cs"/>
          <w:sz w:val="27"/>
          <w:rtl/>
          <w:lang w:bidi="ar-IQ"/>
        </w:rPr>
        <w:t>ِ</w:t>
      </w:r>
      <w:r w:rsidRPr="006571AC">
        <w:rPr>
          <w:sz w:val="27"/>
          <w:rtl/>
          <w:lang w:bidi="ar-IQ"/>
        </w:rPr>
        <w:t xml:space="preserve"> عنه فهو كل</w:t>
      </w:r>
      <w:r w:rsidR="00A6058F" w:rsidRPr="006571AC">
        <w:rPr>
          <w:rFonts w:hint="cs"/>
          <w:sz w:val="27"/>
          <w:rtl/>
          <w:lang w:bidi="ar-IQ"/>
        </w:rPr>
        <w:t>ُّ</w:t>
      </w:r>
      <w:r w:rsidRPr="006571AC">
        <w:rPr>
          <w:sz w:val="27"/>
          <w:rtl/>
          <w:lang w:bidi="ar-IQ"/>
        </w:rPr>
        <w:t>ه للميت يأخذه به</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299"/>
      </w:r>
      <w:r w:rsidRPr="006571AC">
        <w:rPr>
          <w:sz w:val="27"/>
          <w:vertAlign w:val="superscript"/>
          <w:rtl/>
          <w:lang w:bidi="ar-IQ"/>
        </w:rPr>
        <w:t>)</w:t>
      </w:r>
      <w:r w:rsidRPr="006571AC">
        <w:rPr>
          <w:rFonts w:hint="cs"/>
          <w:sz w:val="27"/>
          <w:rtl/>
          <w:lang w:bidi="ar-IQ"/>
        </w:rPr>
        <w:t xml:space="preserve">. </w:t>
      </w:r>
    </w:p>
    <w:p w:rsidR="002E2A82" w:rsidRPr="006571AC" w:rsidRDefault="00DB276F"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rtl/>
          <w:lang w:bidi="ar-IQ"/>
        </w:rPr>
        <w:t>:</w:t>
      </w:r>
      <w:r w:rsidRPr="006571AC">
        <w:rPr>
          <w:rFonts w:hint="cs"/>
          <w:sz w:val="27"/>
          <w:rtl/>
          <w:lang w:bidi="ar-IQ"/>
        </w:rPr>
        <w:t xml:space="preserve"> </w:t>
      </w:r>
      <w:r w:rsidR="00381A52" w:rsidRPr="006571AC">
        <w:rPr>
          <w:rFonts w:hint="cs"/>
          <w:sz w:val="27"/>
          <w:rtl/>
          <w:lang w:bidi="ar-IQ"/>
        </w:rPr>
        <w:t>إن هذه الرواية صحيحة</w:t>
      </w:r>
      <w:r w:rsidR="00A6058F" w:rsidRPr="006571AC">
        <w:rPr>
          <w:rFonts w:hint="cs"/>
          <w:sz w:val="27"/>
          <w:rtl/>
          <w:lang w:bidi="ar-IQ"/>
        </w:rPr>
        <w:t>ٌ</w:t>
      </w:r>
      <w:r w:rsidR="00381A52" w:rsidRPr="006571AC">
        <w:rPr>
          <w:rFonts w:hint="cs"/>
          <w:sz w:val="27"/>
          <w:rtl/>
          <w:lang w:bidi="ar-IQ"/>
        </w:rPr>
        <w:t xml:space="preserve"> من حيث السند. وعبارة</w:t>
      </w:r>
      <w:r w:rsidR="00A6058F" w:rsidRPr="006571AC">
        <w:rPr>
          <w:rFonts w:hint="cs"/>
          <w:sz w:val="27"/>
          <w:rtl/>
          <w:lang w:bidi="ar-IQ"/>
        </w:rPr>
        <w:t>:</w:t>
      </w:r>
      <w:r w:rsidR="00381A52" w:rsidRPr="006571AC">
        <w:rPr>
          <w:rFonts w:hint="cs"/>
          <w:sz w:val="27"/>
          <w:rtl/>
          <w:lang w:bidi="ar-IQ"/>
        </w:rPr>
        <w:t xml:space="preserve"> </w:t>
      </w:r>
      <w:r w:rsidR="00381A52" w:rsidRPr="006571AC">
        <w:rPr>
          <w:rFonts w:hint="eastAsia"/>
          <w:sz w:val="24"/>
          <w:szCs w:val="24"/>
          <w:rtl/>
        </w:rPr>
        <w:t>«</w:t>
      </w:r>
      <w:r w:rsidR="00381A52" w:rsidRPr="006571AC">
        <w:rPr>
          <w:rFonts w:hint="cs"/>
          <w:sz w:val="27"/>
          <w:rtl/>
          <w:lang w:bidi="ar-IQ"/>
        </w:rPr>
        <w:t>عدّة من أصحابنا</w:t>
      </w:r>
      <w:r w:rsidR="00381A52" w:rsidRPr="006571AC">
        <w:rPr>
          <w:rFonts w:hint="eastAsia"/>
          <w:sz w:val="24"/>
          <w:szCs w:val="24"/>
          <w:rtl/>
        </w:rPr>
        <w:t>»</w:t>
      </w:r>
      <w:r w:rsidR="00381A52" w:rsidRPr="006571AC">
        <w:rPr>
          <w:rFonts w:hint="cs"/>
          <w:sz w:val="27"/>
          <w:rtl/>
          <w:lang w:bidi="ar-IQ"/>
        </w:rPr>
        <w:t xml:space="preserve"> لم يت</w:t>
      </w:r>
      <w:r w:rsidR="00A6058F" w:rsidRPr="006571AC">
        <w:rPr>
          <w:rFonts w:hint="cs"/>
          <w:sz w:val="27"/>
          <w:rtl/>
          <w:lang w:bidi="ar-IQ"/>
        </w:rPr>
        <w:t>َّ</w:t>
      </w:r>
      <w:r w:rsidR="00381A52" w:rsidRPr="006571AC">
        <w:rPr>
          <w:rFonts w:hint="cs"/>
          <w:sz w:val="27"/>
          <w:rtl/>
          <w:lang w:bidi="ar-IQ"/>
        </w:rPr>
        <w:t>ضح المراد منهم في أيّ واحدة</w:t>
      </w:r>
      <w:r w:rsidR="00A6058F" w:rsidRPr="006571AC">
        <w:rPr>
          <w:rFonts w:hint="cs"/>
          <w:sz w:val="27"/>
          <w:rtl/>
          <w:lang w:bidi="ar-IQ"/>
        </w:rPr>
        <w:t>ٍ</w:t>
      </w:r>
      <w:r w:rsidR="00381A52" w:rsidRPr="006571AC">
        <w:rPr>
          <w:rFonts w:hint="cs"/>
          <w:sz w:val="27"/>
          <w:rtl/>
          <w:lang w:bidi="ar-IQ"/>
        </w:rPr>
        <w:t xml:space="preserve"> من روايات الكافي، سوى ما كان في الرواية الأولى؛ حيث قال الكليني: </w:t>
      </w:r>
      <w:r w:rsidR="00381A52" w:rsidRPr="006571AC">
        <w:rPr>
          <w:rFonts w:hint="eastAsia"/>
          <w:sz w:val="24"/>
          <w:szCs w:val="24"/>
          <w:rtl/>
        </w:rPr>
        <w:t>«</w:t>
      </w:r>
      <w:r w:rsidR="00381A52" w:rsidRPr="006571AC">
        <w:rPr>
          <w:rFonts w:hint="cs"/>
          <w:sz w:val="27"/>
          <w:rtl/>
          <w:lang w:bidi="ar-IQ"/>
        </w:rPr>
        <w:t>حدّ</w:t>
      </w:r>
      <w:r w:rsidR="00A6058F" w:rsidRPr="006571AC">
        <w:rPr>
          <w:rFonts w:hint="cs"/>
          <w:sz w:val="27"/>
          <w:rtl/>
          <w:lang w:bidi="ar-IQ"/>
        </w:rPr>
        <w:t>َ</w:t>
      </w:r>
      <w:r w:rsidR="00381A52" w:rsidRPr="006571AC">
        <w:rPr>
          <w:rFonts w:hint="cs"/>
          <w:sz w:val="27"/>
          <w:rtl/>
          <w:lang w:bidi="ar-IQ"/>
        </w:rPr>
        <w:t>ثني عدّة</w:t>
      </w:r>
      <w:r w:rsidR="00A6058F" w:rsidRPr="006571AC">
        <w:rPr>
          <w:rFonts w:hint="cs"/>
          <w:sz w:val="27"/>
          <w:rtl/>
          <w:lang w:bidi="ar-IQ"/>
        </w:rPr>
        <w:t>ٌ</w:t>
      </w:r>
      <w:r w:rsidR="00381A52" w:rsidRPr="006571AC">
        <w:rPr>
          <w:rFonts w:hint="cs"/>
          <w:sz w:val="27"/>
          <w:rtl/>
          <w:lang w:bidi="ar-IQ"/>
        </w:rPr>
        <w:t xml:space="preserve"> من أصحابنا، منهم: محمد بن يحيى العطار، عن أحمد بن محمد</w:t>
      </w:r>
      <w:r w:rsidR="00381A52" w:rsidRPr="006571AC">
        <w:rPr>
          <w:rFonts w:hint="eastAsia"/>
          <w:sz w:val="24"/>
          <w:szCs w:val="24"/>
          <w:rtl/>
        </w:rPr>
        <w:t>»</w:t>
      </w:r>
      <w:r w:rsidR="00381A52" w:rsidRPr="006571AC">
        <w:rPr>
          <w:sz w:val="27"/>
          <w:vertAlign w:val="superscript"/>
          <w:rtl/>
          <w:lang w:bidi="ar-IQ"/>
        </w:rPr>
        <w:t>(</w:t>
      </w:r>
      <w:r w:rsidR="00381A52" w:rsidRPr="006571AC">
        <w:rPr>
          <w:rStyle w:val="ac"/>
          <w:sz w:val="27"/>
          <w:rtl/>
          <w:lang w:bidi="ar-IQ"/>
        </w:rPr>
        <w:endnoteReference w:id="300"/>
      </w:r>
      <w:r w:rsidR="00381A52" w:rsidRPr="006571AC">
        <w:rPr>
          <w:sz w:val="27"/>
          <w:vertAlign w:val="superscript"/>
          <w:rtl/>
          <w:lang w:bidi="ar-IQ"/>
        </w:rPr>
        <w:t>)</w:t>
      </w:r>
      <w:r w:rsidR="00381A52" w:rsidRPr="006571AC">
        <w:rPr>
          <w:rFonts w:hint="cs"/>
          <w:sz w:val="27"/>
          <w:rtl/>
          <w:lang w:bidi="ar-IQ"/>
        </w:rPr>
        <w:t xml:space="preserve">. والرواية الثانية من (كتاب الحجّة)؛ حيث قال هناك: </w:t>
      </w:r>
      <w:r w:rsidR="00381A52" w:rsidRPr="006571AC">
        <w:rPr>
          <w:rFonts w:hint="eastAsia"/>
          <w:sz w:val="24"/>
          <w:szCs w:val="24"/>
          <w:rtl/>
        </w:rPr>
        <w:t>«</w:t>
      </w:r>
      <w:r w:rsidR="00381A52" w:rsidRPr="006571AC">
        <w:rPr>
          <w:sz w:val="27"/>
          <w:rtl/>
          <w:lang w:bidi="ar-IQ"/>
        </w:rPr>
        <w:t xml:space="preserve">عدّة من أصحابنا، منهم: </w:t>
      </w:r>
      <w:r w:rsidR="00381A52" w:rsidRPr="006571AC">
        <w:rPr>
          <w:rFonts w:hint="cs"/>
          <w:sz w:val="27"/>
          <w:rtl/>
          <w:lang w:bidi="ar-IQ"/>
        </w:rPr>
        <w:t>عبد الأعلى، وأبو عُبيدة، وعبد الله بن بشر الخثعمي</w:t>
      </w:r>
      <w:r w:rsidR="00381A52" w:rsidRPr="006571AC">
        <w:rPr>
          <w:rFonts w:hint="eastAsia"/>
          <w:sz w:val="24"/>
          <w:szCs w:val="24"/>
          <w:rtl/>
        </w:rPr>
        <w:t>»</w:t>
      </w:r>
      <w:r w:rsidR="00381A52" w:rsidRPr="006571AC">
        <w:rPr>
          <w:sz w:val="27"/>
          <w:vertAlign w:val="superscript"/>
          <w:rtl/>
          <w:lang w:bidi="ar-IQ"/>
        </w:rPr>
        <w:t>(</w:t>
      </w:r>
      <w:r w:rsidR="00381A52" w:rsidRPr="006571AC">
        <w:rPr>
          <w:rStyle w:val="ac"/>
          <w:sz w:val="27"/>
          <w:rtl/>
          <w:lang w:bidi="ar-IQ"/>
        </w:rPr>
        <w:endnoteReference w:id="301"/>
      </w:r>
      <w:r w:rsidR="00381A52" w:rsidRPr="006571AC">
        <w:rPr>
          <w:sz w:val="27"/>
          <w:vertAlign w:val="superscript"/>
          <w:rtl/>
          <w:lang w:bidi="ar-IQ"/>
        </w:rPr>
        <w:t>)</w:t>
      </w:r>
      <w:r w:rsidR="002E2A82" w:rsidRPr="006571AC">
        <w:rPr>
          <w:rFonts w:hint="cs"/>
          <w:sz w:val="27"/>
          <w:rtl/>
          <w:lang w:bidi="ar-IQ"/>
        </w:rPr>
        <w:t>.</w:t>
      </w:r>
    </w:p>
    <w:p w:rsidR="00381A52" w:rsidRPr="006571AC" w:rsidRDefault="00381A52" w:rsidP="004B16C6">
      <w:pPr>
        <w:spacing w:line="420" w:lineRule="exact"/>
        <w:rPr>
          <w:sz w:val="27"/>
          <w:rtl/>
          <w:lang w:bidi="ar-IQ"/>
        </w:rPr>
      </w:pPr>
      <w:r w:rsidRPr="006571AC">
        <w:rPr>
          <w:rFonts w:hint="cs"/>
          <w:sz w:val="27"/>
          <w:rtl/>
          <w:lang w:bidi="ar-IQ"/>
        </w:rPr>
        <w:t xml:space="preserve">وعلى </w:t>
      </w:r>
      <w:r w:rsidR="002E2A82" w:rsidRPr="006571AC">
        <w:rPr>
          <w:rFonts w:hint="cs"/>
          <w:sz w:val="27"/>
          <w:rtl/>
          <w:lang w:bidi="ar-IQ"/>
        </w:rPr>
        <w:t>أيّ</w:t>
      </w:r>
      <w:r w:rsidRPr="006571AC">
        <w:rPr>
          <w:rFonts w:hint="cs"/>
          <w:sz w:val="27"/>
          <w:rtl/>
          <w:lang w:bidi="ar-IQ"/>
        </w:rPr>
        <w:t xml:space="preserve"> حال</w:t>
      </w:r>
      <w:r w:rsidR="002E2A82" w:rsidRPr="006571AC">
        <w:rPr>
          <w:rFonts w:hint="cs"/>
          <w:sz w:val="27"/>
          <w:rtl/>
          <w:lang w:bidi="ar-IQ"/>
        </w:rPr>
        <w:t>ٍ،</w:t>
      </w:r>
      <w:r w:rsidRPr="006571AC">
        <w:rPr>
          <w:rFonts w:hint="cs"/>
          <w:sz w:val="27"/>
          <w:rtl/>
          <w:lang w:bidi="ar-IQ"/>
        </w:rPr>
        <w:t xml:space="preserve"> هل عبارة </w:t>
      </w:r>
      <w:r w:rsidRPr="006571AC">
        <w:rPr>
          <w:rFonts w:hint="eastAsia"/>
          <w:sz w:val="24"/>
          <w:szCs w:val="24"/>
          <w:rtl/>
        </w:rPr>
        <w:t>«</w:t>
      </w:r>
      <w:r w:rsidRPr="006571AC">
        <w:rPr>
          <w:sz w:val="27"/>
          <w:rtl/>
          <w:lang w:bidi="ar-IQ"/>
        </w:rPr>
        <w:t>عدّة من أصحابنا</w:t>
      </w:r>
      <w:r w:rsidRPr="006571AC">
        <w:rPr>
          <w:rFonts w:hint="eastAsia"/>
          <w:sz w:val="24"/>
          <w:szCs w:val="24"/>
          <w:rtl/>
        </w:rPr>
        <w:t>»</w:t>
      </w:r>
      <w:r w:rsidRPr="006571AC">
        <w:rPr>
          <w:rFonts w:hint="cs"/>
          <w:sz w:val="27"/>
          <w:rtl/>
          <w:lang w:bidi="ar-IQ"/>
        </w:rPr>
        <w:t xml:space="preserve"> توجب إرسال الرواية؟ </w:t>
      </w:r>
    </w:p>
    <w:p w:rsidR="00381A52" w:rsidRPr="006571AC" w:rsidRDefault="00B2657E" w:rsidP="00552C10">
      <w:pPr>
        <w:rPr>
          <w:sz w:val="27"/>
          <w:rtl/>
          <w:lang w:bidi="ar-IQ"/>
        </w:rPr>
      </w:pPr>
      <w:r w:rsidRPr="006571AC">
        <w:rPr>
          <w:rFonts w:hint="cs"/>
          <w:b/>
          <w:bCs/>
          <w:sz w:val="27"/>
          <w:rtl/>
          <w:lang w:bidi="ar-IQ"/>
        </w:rPr>
        <w:t>نقول</w:t>
      </w:r>
      <w:r w:rsidR="00381A52" w:rsidRPr="006571AC">
        <w:rPr>
          <w:rFonts w:hint="cs"/>
          <w:b/>
          <w:bCs/>
          <w:sz w:val="27"/>
          <w:rtl/>
          <w:lang w:bidi="ar-IQ"/>
        </w:rPr>
        <w:t xml:space="preserve"> في الجواب</w:t>
      </w:r>
      <w:r w:rsidR="00381A52" w:rsidRPr="006571AC">
        <w:rPr>
          <w:rFonts w:hint="cs"/>
          <w:sz w:val="27"/>
          <w:rtl/>
          <w:lang w:bidi="ar-IQ"/>
        </w:rPr>
        <w:t>: إن هذا التعبير لا يوجب الإرسال؛ إذ على الرغم من أن الكليني لم يبيّ</w:t>
      </w:r>
      <w:r w:rsidR="002E2A82" w:rsidRPr="006571AC">
        <w:rPr>
          <w:rFonts w:hint="cs"/>
          <w:sz w:val="27"/>
          <w:rtl/>
          <w:lang w:bidi="ar-IQ"/>
        </w:rPr>
        <w:t>ِ</w:t>
      </w:r>
      <w:r w:rsidR="00381A52" w:rsidRPr="006571AC">
        <w:rPr>
          <w:rFonts w:hint="cs"/>
          <w:sz w:val="27"/>
          <w:rtl/>
          <w:lang w:bidi="ar-IQ"/>
        </w:rPr>
        <w:t>ن أسماء هؤلاء الرواة، إلا</w:t>
      </w:r>
      <w:r w:rsidR="002E2A82" w:rsidRPr="006571AC">
        <w:rPr>
          <w:rFonts w:hint="cs"/>
          <w:sz w:val="27"/>
          <w:rtl/>
          <w:lang w:bidi="ar-IQ"/>
        </w:rPr>
        <w:t>ّ</w:t>
      </w:r>
      <w:r w:rsidR="00381A52" w:rsidRPr="006571AC">
        <w:rPr>
          <w:rFonts w:hint="cs"/>
          <w:sz w:val="27"/>
          <w:rtl/>
          <w:lang w:bidi="ar-IQ"/>
        </w:rPr>
        <w:t xml:space="preserve"> أن العلا</w:t>
      </w:r>
      <w:r w:rsidR="002E2A82" w:rsidRPr="006571AC">
        <w:rPr>
          <w:rFonts w:hint="cs"/>
          <w:sz w:val="27"/>
          <w:rtl/>
          <w:lang w:bidi="ar-IQ"/>
        </w:rPr>
        <w:t>ّ</w:t>
      </w:r>
      <w:r w:rsidR="00381A52" w:rsidRPr="006571AC">
        <w:rPr>
          <w:rFonts w:hint="cs"/>
          <w:sz w:val="27"/>
          <w:rtl/>
          <w:lang w:bidi="ar-IQ"/>
        </w:rPr>
        <w:t xml:space="preserve">مة الحلّي نقل في كتابه (خلاصة الأقوال) عن الشيخ الكليني قوله: </w:t>
      </w:r>
      <w:r w:rsidR="00381A52" w:rsidRPr="006571AC">
        <w:rPr>
          <w:rFonts w:hint="eastAsia"/>
          <w:sz w:val="24"/>
          <w:szCs w:val="24"/>
          <w:rtl/>
        </w:rPr>
        <w:t>«</w:t>
      </w:r>
      <w:r w:rsidR="00381A52" w:rsidRPr="006571AC">
        <w:rPr>
          <w:sz w:val="27"/>
          <w:rtl/>
          <w:lang w:bidi="ar-IQ"/>
        </w:rPr>
        <w:t>والمراد بقولي</w:t>
      </w:r>
      <w:r w:rsidR="002E2A82" w:rsidRPr="006571AC">
        <w:rPr>
          <w:rFonts w:hint="cs"/>
          <w:sz w:val="27"/>
          <w:rtl/>
          <w:lang w:bidi="ar-IQ"/>
        </w:rPr>
        <w:t>:</w:t>
      </w:r>
      <w:r w:rsidR="00381A52" w:rsidRPr="006571AC">
        <w:rPr>
          <w:sz w:val="27"/>
          <w:rtl/>
          <w:lang w:bidi="ar-IQ"/>
        </w:rPr>
        <w:t xml:space="preserve"> عد</w:t>
      </w:r>
      <w:r w:rsidR="00381A52" w:rsidRPr="006571AC">
        <w:rPr>
          <w:rFonts w:hint="cs"/>
          <w:sz w:val="27"/>
          <w:rtl/>
          <w:lang w:bidi="ar-IQ"/>
        </w:rPr>
        <w:t>ّ</w:t>
      </w:r>
      <w:r w:rsidR="00381A52" w:rsidRPr="006571AC">
        <w:rPr>
          <w:sz w:val="27"/>
          <w:rtl/>
          <w:lang w:bidi="ar-IQ"/>
        </w:rPr>
        <w:t>ة من أصحابنا</w:t>
      </w:r>
      <w:r w:rsidR="00381A52" w:rsidRPr="006571AC">
        <w:rPr>
          <w:rFonts w:hint="cs"/>
          <w:sz w:val="27"/>
          <w:rtl/>
          <w:lang w:bidi="ar-IQ"/>
        </w:rPr>
        <w:t xml:space="preserve">: </w:t>
      </w:r>
      <w:r w:rsidR="00381A52" w:rsidRPr="006571AC">
        <w:rPr>
          <w:sz w:val="27"/>
          <w:rtl/>
          <w:lang w:bidi="ar-IQ"/>
        </w:rPr>
        <w:t>محمد بن يحيى</w:t>
      </w:r>
      <w:r w:rsidR="00381A52" w:rsidRPr="006571AC">
        <w:rPr>
          <w:rFonts w:hint="cs"/>
          <w:sz w:val="27"/>
          <w:rtl/>
          <w:lang w:bidi="ar-IQ"/>
        </w:rPr>
        <w:t xml:space="preserve">، </w:t>
      </w:r>
      <w:r w:rsidR="00381A52" w:rsidRPr="006571AC">
        <w:rPr>
          <w:sz w:val="27"/>
          <w:rtl/>
          <w:lang w:bidi="ar-IQ"/>
        </w:rPr>
        <w:t>وعلي</w:t>
      </w:r>
      <w:r w:rsidR="002E2A82" w:rsidRPr="006571AC">
        <w:rPr>
          <w:rFonts w:hint="cs"/>
          <w:sz w:val="27"/>
          <w:rtl/>
          <w:lang w:bidi="ar-IQ"/>
        </w:rPr>
        <w:t>ّ</w:t>
      </w:r>
      <w:r w:rsidR="00381A52" w:rsidRPr="006571AC">
        <w:rPr>
          <w:sz w:val="27"/>
          <w:rtl/>
          <w:lang w:bidi="ar-IQ"/>
        </w:rPr>
        <w:t xml:space="preserve"> بن موسى الكمنداني</w:t>
      </w:r>
      <w:r w:rsidR="00381A52" w:rsidRPr="006571AC">
        <w:rPr>
          <w:rFonts w:hint="cs"/>
          <w:sz w:val="27"/>
          <w:rtl/>
          <w:lang w:bidi="ar-IQ"/>
        </w:rPr>
        <w:t xml:space="preserve">، </w:t>
      </w:r>
      <w:r w:rsidR="00381A52" w:rsidRPr="006571AC">
        <w:rPr>
          <w:sz w:val="27"/>
          <w:rtl/>
          <w:lang w:bidi="ar-IQ"/>
        </w:rPr>
        <w:t>ودا</w:t>
      </w:r>
      <w:r w:rsidRPr="006571AC">
        <w:rPr>
          <w:rFonts w:hint="cs"/>
          <w:sz w:val="27"/>
          <w:rtl/>
          <w:lang w:bidi="ar-IQ"/>
        </w:rPr>
        <w:t>و</w:t>
      </w:r>
      <w:r w:rsidR="00381A52" w:rsidRPr="006571AC">
        <w:rPr>
          <w:sz w:val="27"/>
          <w:rtl/>
          <w:lang w:bidi="ar-IQ"/>
        </w:rPr>
        <w:t>ود بن كور</w:t>
      </w:r>
      <w:r w:rsidR="00381A52" w:rsidRPr="006571AC">
        <w:rPr>
          <w:rFonts w:hint="cs"/>
          <w:sz w:val="27"/>
          <w:rtl/>
          <w:lang w:bidi="ar-IQ"/>
        </w:rPr>
        <w:t xml:space="preserve">ة، </w:t>
      </w:r>
      <w:r w:rsidR="00381A52" w:rsidRPr="006571AC">
        <w:rPr>
          <w:sz w:val="27"/>
          <w:rtl/>
          <w:lang w:bidi="ar-IQ"/>
        </w:rPr>
        <w:t xml:space="preserve">وأحمد بن </w:t>
      </w:r>
      <w:r w:rsidR="00381A52" w:rsidRPr="006571AC">
        <w:rPr>
          <w:rFonts w:hint="cs"/>
          <w:sz w:val="27"/>
          <w:rtl/>
          <w:lang w:bidi="ar-IQ"/>
        </w:rPr>
        <w:t>إ</w:t>
      </w:r>
      <w:r w:rsidR="00381A52" w:rsidRPr="006571AC">
        <w:rPr>
          <w:sz w:val="27"/>
          <w:rtl/>
          <w:lang w:bidi="ar-IQ"/>
        </w:rPr>
        <w:t>دريس</w:t>
      </w:r>
      <w:r w:rsidR="00381A52" w:rsidRPr="006571AC">
        <w:rPr>
          <w:rFonts w:hint="cs"/>
          <w:sz w:val="27"/>
          <w:rtl/>
          <w:lang w:bidi="ar-IQ"/>
        </w:rPr>
        <w:t xml:space="preserve">، </w:t>
      </w:r>
      <w:r w:rsidR="00381A52" w:rsidRPr="006571AC">
        <w:rPr>
          <w:sz w:val="27"/>
          <w:rtl/>
          <w:lang w:bidi="ar-IQ"/>
        </w:rPr>
        <w:t>وعل</w:t>
      </w:r>
      <w:r w:rsidR="002E2A82" w:rsidRPr="006571AC">
        <w:rPr>
          <w:rFonts w:hint="cs"/>
          <w:sz w:val="27"/>
          <w:rtl/>
          <w:lang w:bidi="ar-IQ"/>
        </w:rPr>
        <w:t>يّ</w:t>
      </w:r>
      <w:r w:rsidR="00381A52" w:rsidRPr="006571AC">
        <w:rPr>
          <w:sz w:val="27"/>
          <w:rtl/>
          <w:lang w:bidi="ar-IQ"/>
        </w:rPr>
        <w:t xml:space="preserve"> بن إبراهيم بن هاشم</w:t>
      </w:r>
      <w:r w:rsidR="00381A52" w:rsidRPr="006571AC">
        <w:rPr>
          <w:rFonts w:hint="cs"/>
          <w:sz w:val="27"/>
          <w:rtl/>
          <w:lang w:bidi="ar-IQ"/>
        </w:rPr>
        <w:t xml:space="preserve">. </w:t>
      </w:r>
      <w:r w:rsidR="00381A52" w:rsidRPr="006571AC">
        <w:rPr>
          <w:sz w:val="27"/>
          <w:rtl/>
          <w:lang w:bidi="ar-IQ"/>
        </w:rPr>
        <w:t>وقال</w:t>
      </w:r>
      <w:r w:rsidR="00381A52" w:rsidRPr="006571AC">
        <w:rPr>
          <w:rFonts w:hint="cs"/>
          <w:sz w:val="27"/>
          <w:rtl/>
          <w:lang w:bidi="ar-IQ"/>
        </w:rPr>
        <w:t xml:space="preserve">: </w:t>
      </w:r>
      <w:r w:rsidR="00381A52" w:rsidRPr="006571AC">
        <w:rPr>
          <w:sz w:val="27"/>
          <w:rtl/>
          <w:lang w:bidi="ar-IQ"/>
        </w:rPr>
        <w:t>كل</w:t>
      </w:r>
      <w:r w:rsidR="002E2A82" w:rsidRPr="006571AC">
        <w:rPr>
          <w:rFonts w:hint="cs"/>
          <w:sz w:val="27"/>
          <w:rtl/>
          <w:lang w:bidi="ar-IQ"/>
        </w:rPr>
        <w:t>ّ</w:t>
      </w:r>
      <w:r w:rsidR="00381A52" w:rsidRPr="006571AC">
        <w:rPr>
          <w:sz w:val="27"/>
          <w:rtl/>
          <w:lang w:bidi="ar-IQ"/>
        </w:rPr>
        <w:t>ما ذكرت</w:t>
      </w:r>
      <w:r w:rsidR="002E2A82" w:rsidRPr="006571AC">
        <w:rPr>
          <w:rFonts w:hint="cs"/>
          <w:sz w:val="27"/>
          <w:rtl/>
          <w:lang w:bidi="ar-IQ"/>
        </w:rPr>
        <w:t>ُ</w:t>
      </w:r>
      <w:r w:rsidR="00381A52" w:rsidRPr="006571AC">
        <w:rPr>
          <w:sz w:val="27"/>
          <w:rtl/>
          <w:lang w:bidi="ar-IQ"/>
        </w:rPr>
        <w:t xml:space="preserve">ه في كتابي المشار </w:t>
      </w:r>
      <w:r w:rsidR="00381A52" w:rsidRPr="006571AC">
        <w:rPr>
          <w:rFonts w:hint="cs"/>
          <w:sz w:val="27"/>
          <w:rtl/>
          <w:lang w:bidi="ar-IQ"/>
        </w:rPr>
        <w:t>إ</w:t>
      </w:r>
      <w:r w:rsidR="00381A52" w:rsidRPr="006571AC">
        <w:rPr>
          <w:sz w:val="27"/>
          <w:rtl/>
          <w:lang w:bidi="ar-IQ"/>
        </w:rPr>
        <w:t>ليه</w:t>
      </w:r>
      <w:r w:rsidR="00381A52" w:rsidRPr="006571AC">
        <w:rPr>
          <w:rFonts w:hint="cs"/>
          <w:sz w:val="27"/>
          <w:rtl/>
          <w:lang w:bidi="ar-IQ"/>
        </w:rPr>
        <w:t xml:space="preserve">: </w:t>
      </w:r>
      <w:r w:rsidR="00381A52" w:rsidRPr="006571AC">
        <w:rPr>
          <w:sz w:val="27"/>
          <w:rtl/>
          <w:lang w:bidi="ar-IQ"/>
        </w:rPr>
        <w:t>عد</w:t>
      </w:r>
      <w:r w:rsidR="002E2A82" w:rsidRPr="006571AC">
        <w:rPr>
          <w:rFonts w:hint="cs"/>
          <w:sz w:val="27"/>
          <w:rtl/>
          <w:lang w:bidi="ar-IQ"/>
        </w:rPr>
        <w:t>ّ</w:t>
      </w:r>
      <w:r w:rsidR="00381A52" w:rsidRPr="006571AC">
        <w:rPr>
          <w:sz w:val="27"/>
          <w:rtl/>
          <w:lang w:bidi="ar-IQ"/>
        </w:rPr>
        <w:t xml:space="preserve">ة من </w:t>
      </w:r>
      <w:r w:rsidR="00381A52" w:rsidRPr="006571AC">
        <w:rPr>
          <w:rFonts w:hint="cs"/>
          <w:sz w:val="27"/>
          <w:rtl/>
          <w:lang w:bidi="ar-IQ"/>
        </w:rPr>
        <w:t>أ</w:t>
      </w:r>
      <w:r w:rsidR="00381A52" w:rsidRPr="006571AC">
        <w:rPr>
          <w:sz w:val="27"/>
          <w:rtl/>
          <w:lang w:bidi="ar-IQ"/>
        </w:rPr>
        <w:t>صحابنا</w:t>
      </w:r>
      <w:r w:rsidR="00381A52" w:rsidRPr="006571AC">
        <w:rPr>
          <w:rFonts w:hint="cs"/>
          <w:sz w:val="27"/>
          <w:rtl/>
          <w:lang w:bidi="ar-IQ"/>
        </w:rPr>
        <w:t xml:space="preserve">، </w:t>
      </w:r>
      <w:r w:rsidR="00381A52" w:rsidRPr="006571AC">
        <w:rPr>
          <w:sz w:val="27"/>
          <w:rtl/>
          <w:lang w:bidi="ar-IQ"/>
        </w:rPr>
        <w:t>عن أحمد بن محمد بن خالد البرقي</w:t>
      </w:r>
      <w:r w:rsidR="00381A52" w:rsidRPr="006571AC">
        <w:rPr>
          <w:rFonts w:hint="cs"/>
          <w:sz w:val="27"/>
          <w:rtl/>
          <w:lang w:bidi="ar-IQ"/>
        </w:rPr>
        <w:t xml:space="preserve">، </w:t>
      </w:r>
      <w:r w:rsidR="00381A52" w:rsidRPr="006571AC">
        <w:rPr>
          <w:sz w:val="27"/>
          <w:rtl/>
          <w:lang w:bidi="ar-IQ"/>
        </w:rPr>
        <w:t>فهم</w:t>
      </w:r>
      <w:r w:rsidR="00381A52" w:rsidRPr="006571AC">
        <w:rPr>
          <w:rFonts w:hint="cs"/>
          <w:sz w:val="27"/>
          <w:rtl/>
          <w:lang w:bidi="ar-IQ"/>
        </w:rPr>
        <w:t xml:space="preserve">: </w:t>
      </w:r>
      <w:r w:rsidR="00381A52" w:rsidRPr="006571AC">
        <w:rPr>
          <w:sz w:val="27"/>
          <w:rtl/>
          <w:lang w:bidi="ar-IQ"/>
        </w:rPr>
        <w:t>علي</w:t>
      </w:r>
      <w:r w:rsidR="002E2A82" w:rsidRPr="006571AC">
        <w:rPr>
          <w:rFonts w:hint="cs"/>
          <w:sz w:val="27"/>
          <w:rtl/>
          <w:lang w:bidi="ar-IQ"/>
        </w:rPr>
        <w:t>ّ</w:t>
      </w:r>
      <w:r w:rsidR="00381A52" w:rsidRPr="006571AC">
        <w:rPr>
          <w:sz w:val="27"/>
          <w:rtl/>
          <w:lang w:bidi="ar-IQ"/>
        </w:rPr>
        <w:t xml:space="preserve"> بن إبراهيم</w:t>
      </w:r>
      <w:r w:rsidR="00381A52" w:rsidRPr="006571AC">
        <w:rPr>
          <w:rFonts w:hint="cs"/>
          <w:sz w:val="27"/>
          <w:rtl/>
          <w:lang w:bidi="ar-IQ"/>
        </w:rPr>
        <w:t xml:space="preserve">، </w:t>
      </w:r>
      <w:r w:rsidR="00381A52" w:rsidRPr="006571AC">
        <w:rPr>
          <w:sz w:val="27"/>
          <w:rtl/>
          <w:lang w:bidi="ar-IQ"/>
        </w:rPr>
        <w:t>وعلي</w:t>
      </w:r>
      <w:r w:rsidR="002E2A82" w:rsidRPr="006571AC">
        <w:rPr>
          <w:rFonts w:hint="cs"/>
          <w:sz w:val="27"/>
          <w:rtl/>
          <w:lang w:bidi="ar-IQ"/>
        </w:rPr>
        <w:t>ّ</w:t>
      </w:r>
      <w:r w:rsidR="00381A52" w:rsidRPr="006571AC">
        <w:rPr>
          <w:sz w:val="27"/>
          <w:rtl/>
          <w:lang w:bidi="ar-IQ"/>
        </w:rPr>
        <w:t xml:space="preserve"> بن محمد بن عبد</w:t>
      </w:r>
      <w:r w:rsidR="00381A52" w:rsidRPr="006571AC">
        <w:rPr>
          <w:rFonts w:hint="cs"/>
          <w:sz w:val="27"/>
          <w:rtl/>
          <w:lang w:bidi="ar-IQ"/>
        </w:rPr>
        <w:t xml:space="preserve"> </w:t>
      </w:r>
      <w:r w:rsidR="00381A52" w:rsidRPr="006571AC">
        <w:rPr>
          <w:sz w:val="27"/>
          <w:rtl/>
          <w:lang w:bidi="ar-IQ"/>
        </w:rPr>
        <w:t xml:space="preserve">الله بن </w:t>
      </w:r>
      <w:r w:rsidR="00381A52" w:rsidRPr="006571AC">
        <w:rPr>
          <w:rFonts w:hint="cs"/>
          <w:sz w:val="27"/>
          <w:rtl/>
          <w:lang w:bidi="ar-IQ"/>
        </w:rPr>
        <w:t>أ</w:t>
      </w:r>
      <w:r w:rsidR="00381A52" w:rsidRPr="006571AC">
        <w:rPr>
          <w:sz w:val="27"/>
          <w:rtl/>
          <w:lang w:bidi="ar-IQ"/>
        </w:rPr>
        <w:t>ذين</w:t>
      </w:r>
      <w:r w:rsidR="00381A52" w:rsidRPr="006571AC">
        <w:rPr>
          <w:rFonts w:hint="cs"/>
          <w:sz w:val="27"/>
          <w:rtl/>
          <w:lang w:bidi="ar-IQ"/>
        </w:rPr>
        <w:t xml:space="preserve">ة، </w:t>
      </w:r>
      <w:r w:rsidR="00381A52" w:rsidRPr="006571AC">
        <w:rPr>
          <w:sz w:val="27"/>
          <w:rtl/>
          <w:lang w:bidi="ar-IQ"/>
        </w:rPr>
        <w:t>وأحمد بن عبد</w:t>
      </w:r>
      <w:r w:rsidR="00381A52" w:rsidRPr="006571AC">
        <w:rPr>
          <w:rFonts w:hint="cs"/>
          <w:sz w:val="27"/>
          <w:rtl/>
          <w:lang w:bidi="ar-IQ"/>
        </w:rPr>
        <w:t xml:space="preserve"> </w:t>
      </w:r>
      <w:r w:rsidR="00381A52" w:rsidRPr="006571AC">
        <w:rPr>
          <w:sz w:val="27"/>
          <w:rtl/>
          <w:lang w:bidi="ar-IQ"/>
        </w:rPr>
        <w:t xml:space="preserve">الله بن </w:t>
      </w:r>
      <w:r w:rsidR="00381A52" w:rsidRPr="006571AC">
        <w:rPr>
          <w:rFonts w:hint="cs"/>
          <w:sz w:val="27"/>
          <w:rtl/>
          <w:lang w:bidi="ar-IQ"/>
        </w:rPr>
        <w:t>أ</w:t>
      </w:r>
      <w:r w:rsidR="00381A52" w:rsidRPr="006571AC">
        <w:rPr>
          <w:sz w:val="27"/>
          <w:rtl/>
          <w:lang w:bidi="ar-IQ"/>
        </w:rPr>
        <w:t>مي</w:t>
      </w:r>
      <w:r w:rsidR="00381A52" w:rsidRPr="006571AC">
        <w:rPr>
          <w:rFonts w:hint="cs"/>
          <w:sz w:val="27"/>
          <w:rtl/>
          <w:lang w:bidi="ar-IQ"/>
        </w:rPr>
        <w:t>ّ</w:t>
      </w:r>
      <w:r w:rsidR="00381A52" w:rsidRPr="006571AC">
        <w:rPr>
          <w:sz w:val="27"/>
          <w:rtl/>
          <w:lang w:bidi="ar-IQ"/>
        </w:rPr>
        <w:t>ة</w:t>
      </w:r>
      <w:r w:rsidR="00381A52" w:rsidRPr="006571AC">
        <w:rPr>
          <w:rFonts w:hint="cs"/>
          <w:sz w:val="27"/>
          <w:rtl/>
          <w:lang w:bidi="ar-IQ"/>
        </w:rPr>
        <w:t xml:space="preserve">، </w:t>
      </w:r>
      <w:r w:rsidR="00381A52" w:rsidRPr="006571AC">
        <w:rPr>
          <w:sz w:val="27"/>
          <w:rtl/>
          <w:lang w:bidi="ar-IQ"/>
        </w:rPr>
        <w:t>وعلي</w:t>
      </w:r>
      <w:r w:rsidR="002E2A82" w:rsidRPr="006571AC">
        <w:rPr>
          <w:rFonts w:hint="cs"/>
          <w:sz w:val="27"/>
          <w:rtl/>
          <w:lang w:bidi="ar-IQ"/>
        </w:rPr>
        <w:t>ّ</w:t>
      </w:r>
      <w:r w:rsidR="00381A52" w:rsidRPr="006571AC">
        <w:rPr>
          <w:sz w:val="27"/>
          <w:rtl/>
          <w:lang w:bidi="ar-IQ"/>
        </w:rPr>
        <w:t xml:space="preserve"> بن الحسن</w:t>
      </w:r>
      <w:r w:rsidR="00381A52" w:rsidRPr="006571AC">
        <w:rPr>
          <w:rFonts w:hint="eastAsia"/>
          <w:sz w:val="24"/>
          <w:szCs w:val="24"/>
          <w:rtl/>
        </w:rPr>
        <w:t>»</w:t>
      </w:r>
      <w:r w:rsidR="00381A52" w:rsidRPr="006571AC">
        <w:rPr>
          <w:sz w:val="27"/>
          <w:vertAlign w:val="superscript"/>
          <w:rtl/>
          <w:lang w:bidi="ar-IQ"/>
        </w:rPr>
        <w:t>(</w:t>
      </w:r>
      <w:r w:rsidR="00381A52" w:rsidRPr="006571AC">
        <w:rPr>
          <w:rStyle w:val="ac"/>
          <w:sz w:val="27"/>
          <w:rtl/>
          <w:lang w:bidi="ar-IQ"/>
        </w:rPr>
        <w:endnoteReference w:id="302"/>
      </w:r>
      <w:r w:rsidR="00381A52" w:rsidRPr="006571AC">
        <w:rPr>
          <w:sz w:val="27"/>
          <w:vertAlign w:val="superscript"/>
          <w:rtl/>
          <w:lang w:bidi="ar-IQ"/>
        </w:rPr>
        <w:t>)</w:t>
      </w:r>
      <w:r w:rsidR="00381A52" w:rsidRPr="006571AC">
        <w:rPr>
          <w:rFonts w:hint="cs"/>
          <w:sz w:val="27"/>
          <w:rtl/>
          <w:lang w:bidi="ar-IQ"/>
        </w:rPr>
        <w:t>. وعلى الرغم من أن العلا</w:t>
      </w:r>
      <w:r w:rsidR="002E2A82" w:rsidRPr="006571AC">
        <w:rPr>
          <w:rFonts w:hint="cs"/>
          <w:sz w:val="27"/>
          <w:rtl/>
          <w:lang w:bidi="ar-IQ"/>
        </w:rPr>
        <w:t>ّ</w:t>
      </w:r>
      <w:r w:rsidR="00381A52" w:rsidRPr="006571AC">
        <w:rPr>
          <w:rFonts w:hint="cs"/>
          <w:sz w:val="27"/>
          <w:rtl/>
          <w:lang w:bidi="ar-IQ"/>
        </w:rPr>
        <w:t>مة الحل</w:t>
      </w:r>
      <w:r w:rsidR="002E2A82" w:rsidRPr="006571AC">
        <w:rPr>
          <w:rFonts w:hint="cs"/>
          <w:sz w:val="27"/>
          <w:rtl/>
          <w:lang w:bidi="ar-IQ"/>
        </w:rPr>
        <w:t>ّ</w:t>
      </w:r>
      <w:r w:rsidR="00381A52" w:rsidRPr="006571AC">
        <w:rPr>
          <w:rFonts w:hint="cs"/>
          <w:sz w:val="27"/>
          <w:rtl/>
          <w:lang w:bidi="ar-IQ"/>
        </w:rPr>
        <w:t>ي لم يبيّ</w:t>
      </w:r>
      <w:r w:rsidR="002E2A82" w:rsidRPr="006571AC">
        <w:rPr>
          <w:rFonts w:hint="cs"/>
          <w:sz w:val="27"/>
          <w:rtl/>
          <w:lang w:bidi="ar-IQ"/>
        </w:rPr>
        <w:t>ِ</w:t>
      </w:r>
      <w:r w:rsidR="00381A52" w:rsidRPr="006571AC">
        <w:rPr>
          <w:rFonts w:hint="cs"/>
          <w:sz w:val="27"/>
          <w:rtl/>
          <w:lang w:bidi="ar-IQ"/>
        </w:rPr>
        <w:t>ن مستند نقله، ولكن</w:t>
      </w:r>
      <w:r w:rsidR="002E2A82" w:rsidRPr="006571AC">
        <w:rPr>
          <w:rFonts w:hint="cs"/>
          <w:sz w:val="27"/>
          <w:rtl/>
          <w:lang w:bidi="ar-IQ"/>
        </w:rPr>
        <w:t>ْ</w:t>
      </w:r>
      <w:r w:rsidR="00381A52" w:rsidRPr="006571AC">
        <w:rPr>
          <w:rFonts w:hint="cs"/>
          <w:sz w:val="27"/>
          <w:rtl/>
          <w:lang w:bidi="ar-IQ"/>
        </w:rPr>
        <w:t xml:space="preserve"> </w:t>
      </w:r>
      <w:r w:rsidR="00731867" w:rsidRPr="006571AC">
        <w:rPr>
          <w:rFonts w:hint="cs"/>
          <w:sz w:val="27"/>
          <w:rtl/>
          <w:lang w:bidi="ar-IQ"/>
        </w:rPr>
        <w:t>لا شَكَّ</w:t>
      </w:r>
      <w:r w:rsidR="00381A52" w:rsidRPr="006571AC">
        <w:rPr>
          <w:rFonts w:hint="cs"/>
          <w:sz w:val="27"/>
          <w:rtl/>
          <w:lang w:bidi="ar-IQ"/>
        </w:rPr>
        <w:t xml:space="preserve"> في أنه قد نقل ذلك من بعض كتب الشيخ الكليني. وأما الأشخاص المذكورون في الطريق الأو</w:t>
      </w:r>
      <w:r w:rsidR="002E2A82" w:rsidRPr="006571AC">
        <w:rPr>
          <w:rFonts w:hint="cs"/>
          <w:sz w:val="27"/>
          <w:rtl/>
          <w:lang w:bidi="ar-IQ"/>
        </w:rPr>
        <w:t>ّ</w:t>
      </w:r>
      <w:r w:rsidR="00381A52" w:rsidRPr="006571AC">
        <w:rPr>
          <w:rFonts w:hint="cs"/>
          <w:sz w:val="27"/>
          <w:rtl/>
          <w:lang w:bidi="ar-IQ"/>
        </w:rPr>
        <w:t>ل؛ فثلاثة</w:t>
      </w:r>
      <w:r w:rsidR="002E2A82" w:rsidRPr="006571AC">
        <w:rPr>
          <w:rFonts w:hint="cs"/>
          <w:sz w:val="27"/>
          <w:rtl/>
          <w:lang w:bidi="ar-IQ"/>
        </w:rPr>
        <w:t>ٌ</w:t>
      </w:r>
      <w:r w:rsidR="00381A52" w:rsidRPr="006571AC">
        <w:rPr>
          <w:rFonts w:hint="cs"/>
          <w:sz w:val="27"/>
          <w:rtl/>
          <w:lang w:bidi="ar-IQ"/>
        </w:rPr>
        <w:t xml:space="preserve"> منهم ثقات بش</w:t>
      </w:r>
      <w:r w:rsidR="002E2A82" w:rsidRPr="006571AC">
        <w:rPr>
          <w:rFonts w:hint="cs"/>
          <w:sz w:val="27"/>
          <w:rtl/>
          <w:lang w:bidi="ar-IQ"/>
        </w:rPr>
        <w:t>ه</w:t>
      </w:r>
      <w:r w:rsidR="00381A52" w:rsidRPr="006571AC">
        <w:rPr>
          <w:rFonts w:hint="cs"/>
          <w:sz w:val="27"/>
          <w:rtl/>
          <w:lang w:bidi="ar-IQ"/>
        </w:rPr>
        <w:t xml:space="preserve">ادة الشيخ النجاشي، وهم: </w:t>
      </w:r>
    </w:p>
    <w:p w:rsidR="00381A52" w:rsidRPr="006571AC" w:rsidRDefault="00381A52" w:rsidP="00552C10">
      <w:pPr>
        <w:rPr>
          <w:sz w:val="27"/>
          <w:rtl/>
          <w:lang w:bidi="ar-IQ"/>
        </w:rPr>
      </w:pPr>
      <w:r w:rsidRPr="006571AC">
        <w:rPr>
          <w:rFonts w:hint="cs"/>
          <w:sz w:val="27"/>
          <w:rtl/>
          <w:lang w:bidi="ar-IQ"/>
        </w:rPr>
        <w:t xml:space="preserve">1ـ </w:t>
      </w:r>
      <w:r w:rsidRPr="006571AC">
        <w:rPr>
          <w:sz w:val="27"/>
          <w:rtl/>
          <w:lang w:bidi="ar-IQ"/>
        </w:rPr>
        <w:t>محمد بن يحيى</w:t>
      </w:r>
      <w:r w:rsidRPr="006571AC">
        <w:rPr>
          <w:rFonts w:hint="cs"/>
          <w:sz w:val="27"/>
          <w:rtl/>
          <w:lang w:bidi="ar-IQ"/>
        </w:rPr>
        <w:t xml:space="preserve"> العط</w:t>
      </w:r>
      <w:r w:rsidR="002E2A82" w:rsidRPr="006571AC">
        <w:rPr>
          <w:rFonts w:hint="cs"/>
          <w:sz w:val="27"/>
          <w:rtl/>
          <w:lang w:bidi="ar-IQ"/>
        </w:rPr>
        <w:t>ّ</w:t>
      </w:r>
      <w:r w:rsidRPr="006571AC">
        <w:rPr>
          <w:rFonts w:hint="cs"/>
          <w:sz w:val="27"/>
          <w:rtl/>
          <w:lang w:bidi="ar-IQ"/>
        </w:rPr>
        <w:t>ار</w:t>
      </w:r>
      <w:r w:rsidRPr="006571AC">
        <w:rPr>
          <w:sz w:val="27"/>
          <w:vertAlign w:val="superscript"/>
          <w:rtl/>
          <w:lang w:bidi="ar-IQ"/>
        </w:rPr>
        <w:t>(</w:t>
      </w:r>
      <w:r w:rsidRPr="006571AC">
        <w:rPr>
          <w:rStyle w:val="ac"/>
          <w:sz w:val="27"/>
          <w:rtl/>
          <w:lang w:bidi="ar-IQ"/>
        </w:rPr>
        <w:endnoteReference w:id="303"/>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2ـ أحمد بن إدريس</w:t>
      </w:r>
      <w:r w:rsidRPr="006571AC">
        <w:rPr>
          <w:sz w:val="27"/>
          <w:vertAlign w:val="superscript"/>
          <w:rtl/>
          <w:lang w:bidi="ar-IQ"/>
        </w:rPr>
        <w:t>(</w:t>
      </w:r>
      <w:r w:rsidRPr="006571AC">
        <w:rPr>
          <w:rStyle w:val="ac"/>
          <w:sz w:val="27"/>
          <w:rtl/>
          <w:lang w:bidi="ar-IQ"/>
        </w:rPr>
        <w:endnoteReference w:id="304"/>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3ـ علي</w:t>
      </w:r>
      <w:r w:rsidR="002E2A82" w:rsidRPr="006571AC">
        <w:rPr>
          <w:rFonts w:hint="cs"/>
          <w:sz w:val="27"/>
          <w:rtl/>
          <w:lang w:bidi="ar-IQ"/>
        </w:rPr>
        <w:t>ّ</w:t>
      </w:r>
      <w:r w:rsidRPr="006571AC">
        <w:rPr>
          <w:rFonts w:hint="cs"/>
          <w:sz w:val="27"/>
          <w:rtl/>
          <w:lang w:bidi="ar-IQ"/>
        </w:rPr>
        <w:t xml:space="preserve"> بن إبراهيم</w:t>
      </w:r>
      <w:r w:rsidRPr="006571AC">
        <w:rPr>
          <w:sz w:val="27"/>
          <w:vertAlign w:val="superscript"/>
          <w:rtl/>
          <w:lang w:bidi="ar-IQ"/>
        </w:rPr>
        <w:t>(</w:t>
      </w:r>
      <w:r w:rsidRPr="006571AC">
        <w:rPr>
          <w:rStyle w:val="ac"/>
          <w:sz w:val="27"/>
          <w:rtl/>
          <w:lang w:bidi="ar-IQ"/>
        </w:rPr>
        <w:endnoteReference w:id="305"/>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ولكن</w:t>
      </w:r>
      <w:r w:rsidR="002E2A82" w:rsidRPr="006571AC">
        <w:rPr>
          <w:rFonts w:hint="cs"/>
          <w:sz w:val="27"/>
          <w:rtl/>
          <w:lang w:bidi="ar-IQ"/>
        </w:rPr>
        <w:t>ْ</w:t>
      </w:r>
      <w:r w:rsidRPr="006571AC">
        <w:rPr>
          <w:rFonts w:hint="cs"/>
          <w:sz w:val="27"/>
          <w:rtl/>
          <w:lang w:bidi="ar-IQ"/>
        </w:rPr>
        <w:t xml:space="preserve"> ورد شخصان آخران في الطريق الأو</w:t>
      </w:r>
      <w:r w:rsidR="002E2A82" w:rsidRPr="006571AC">
        <w:rPr>
          <w:rFonts w:hint="cs"/>
          <w:sz w:val="27"/>
          <w:rtl/>
          <w:lang w:bidi="ar-IQ"/>
        </w:rPr>
        <w:t>ّ</w:t>
      </w:r>
      <w:r w:rsidRPr="006571AC">
        <w:rPr>
          <w:rFonts w:hint="cs"/>
          <w:sz w:val="27"/>
          <w:rtl/>
          <w:lang w:bidi="ar-IQ"/>
        </w:rPr>
        <w:t>ل، ولم ي</w:t>
      </w:r>
      <w:r w:rsidR="002E2A82" w:rsidRPr="006571AC">
        <w:rPr>
          <w:rFonts w:hint="cs"/>
          <w:sz w:val="27"/>
          <w:rtl/>
          <w:lang w:bidi="ar-IQ"/>
        </w:rPr>
        <w:t>َ</w:t>
      </w:r>
      <w:r w:rsidRPr="006571AC">
        <w:rPr>
          <w:rFonts w:hint="cs"/>
          <w:sz w:val="27"/>
          <w:rtl/>
          <w:lang w:bidi="ar-IQ"/>
        </w:rPr>
        <w:t>ر</w:t>
      </w:r>
      <w:r w:rsidR="002E2A82" w:rsidRPr="006571AC">
        <w:rPr>
          <w:rFonts w:hint="cs"/>
          <w:sz w:val="27"/>
          <w:rtl/>
          <w:lang w:bidi="ar-IQ"/>
        </w:rPr>
        <w:t>ِ</w:t>
      </w:r>
      <w:r w:rsidRPr="006571AC">
        <w:rPr>
          <w:rFonts w:hint="cs"/>
          <w:sz w:val="27"/>
          <w:rtl/>
          <w:lang w:bidi="ar-IQ"/>
        </w:rPr>
        <w:t>د</w:t>
      </w:r>
      <w:r w:rsidR="002E2A82" w:rsidRPr="006571AC">
        <w:rPr>
          <w:rFonts w:hint="cs"/>
          <w:sz w:val="27"/>
          <w:rtl/>
          <w:lang w:bidi="ar-IQ"/>
        </w:rPr>
        <w:t>ْ</w:t>
      </w:r>
      <w:r w:rsidRPr="006571AC">
        <w:rPr>
          <w:rFonts w:hint="cs"/>
          <w:sz w:val="27"/>
          <w:rtl/>
          <w:lang w:bidi="ar-IQ"/>
        </w:rPr>
        <w:t xml:space="preserve"> توثيق</w:t>
      </w:r>
      <w:r w:rsidR="002E2A82" w:rsidRPr="006571AC">
        <w:rPr>
          <w:rFonts w:hint="cs"/>
          <w:sz w:val="27"/>
          <w:rtl/>
          <w:lang w:bidi="ar-IQ"/>
        </w:rPr>
        <w:t>ٌ</w:t>
      </w:r>
      <w:r w:rsidRPr="006571AC">
        <w:rPr>
          <w:rFonts w:hint="cs"/>
          <w:sz w:val="27"/>
          <w:rtl/>
          <w:lang w:bidi="ar-IQ"/>
        </w:rPr>
        <w:t xml:space="preserve"> صريح بشأنهما، </w:t>
      </w:r>
      <w:r w:rsidRPr="006571AC">
        <w:rPr>
          <w:rFonts w:hint="cs"/>
          <w:sz w:val="27"/>
          <w:rtl/>
          <w:lang w:bidi="ar-IQ"/>
        </w:rPr>
        <w:lastRenderedPageBreak/>
        <w:t xml:space="preserve">وهما: </w:t>
      </w:r>
    </w:p>
    <w:p w:rsidR="00381A52" w:rsidRPr="006571AC" w:rsidRDefault="00381A52" w:rsidP="00552C10">
      <w:pPr>
        <w:rPr>
          <w:sz w:val="27"/>
          <w:rtl/>
          <w:lang w:bidi="ar-IQ"/>
        </w:rPr>
      </w:pPr>
      <w:r w:rsidRPr="006571AC">
        <w:rPr>
          <w:rFonts w:hint="cs"/>
          <w:sz w:val="27"/>
          <w:rtl/>
          <w:lang w:bidi="ar-IQ"/>
        </w:rPr>
        <w:t>1ـ علي</w:t>
      </w:r>
      <w:r w:rsidR="002E2A82" w:rsidRPr="006571AC">
        <w:rPr>
          <w:rFonts w:hint="cs"/>
          <w:sz w:val="27"/>
          <w:rtl/>
          <w:lang w:bidi="ar-IQ"/>
        </w:rPr>
        <w:t>ّ</w:t>
      </w:r>
      <w:r w:rsidRPr="006571AC">
        <w:rPr>
          <w:rFonts w:hint="cs"/>
          <w:sz w:val="27"/>
          <w:rtl/>
          <w:lang w:bidi="ar-IQ"/>
        </w:rPr>
        <w:t xml:space="preserve"> بن موسى الكمنداني. </w:t>
      </w:r>
    </w:p>
    <w:p w:rsidR="00381A52" w:rsidRPr="006571AC" w:rsidRDefault="00381A52" w:rsidP="00552C10">
      <w:pPr>
        <w:rPr>
          <w:sz w:val="27"/>
          <w:rtl/>
          <w:lang w:bidi="ar-IQ"/>
        </w:rPr>
      </w:pPr>
      <w:r w:rsidRPr="006571AC">
        <w:rPr>
          <w:rFonts w:hint="cs"/>
          <w:sz w:val="27"/>
          <w:rtl/>
          <w:lang w:bidi="ar-IQ"/>
        </w:rPr>
        <w:t>2ـ داو</w:t>
      </w:r>
      <w:r w:rsidR="002E2A82" w:rsidRPr="006571AC">
        <w:rPr>
          <w:rFonts w:hint="cs"/>
          <w:sz w:val="27"/>
          <w:rtl/>
          <w:lang w:bidi="ar-IQ"/>
        </w:rPr>
        <w:t>و</w:t>
      </w:r>
      <w:r w:rsidRPr="006571AC">
        <w:rPr>
          <w:rFonts w:hint="cs"/>
          <w:sz w:val="27"/>
          <w:rtl/>
          <w:lang w:bidi="ar-IQ"/>
        </w:rPr>
        <w:t xml:space="preserve">د بن كورة أبو سليمان القمّي. </w:t>
      </w:r>
    </w:p>
    <w:p w:rsidR="00381A52" w:rsidRPr="006571AC" w:rsidRDefault="00381A52" w:rsidP="00552C10">
      <w:pPr>
        <w:rPr>
          <w:sz w:val="27"/>
          <w:rtl/>
          <w:lang w:bidi="ar-IQ"/>
        </w:rPr>
      </w:pPr>
      <w:r w:rsidRPr="006571AC">
        <w:rPr>
          <w:rFonts w:hint="cs"/>
          <w:sz w:val="27"/>
          <w:rtl/>
          <w:lang w:bidi="ar-IQ"/>
        </w:rPr>
        <w:t>وفي الطريق الثاني ثبت</w:t>
      </w:r>
      <w:r w:rsidR="002E2A82" w:rsidRPr="006571AC">
        <w:rPr>
          <w:rFonts w:hint="cs"/>
          <w:sz w:val="27"/>
          <w:rtl/>
          <w:lang w:bidi="ar-IQ"/>
        </w:rPr>
        <w:t>َ</w:t>
      </w:r>
      <w:r w:rsidRPr="006571AC">
        <w:rPr>
          <w:rFonts w:hint="cs"/>
          <w:sz w:val="27"/>
          <w:rtl/>
          <w:lang w:bidi="ar-IQ"/>
        </w:rPr>
        <w:t>ت</w:t>
      </w:r>
      <w:r w:rsidR="002E2A82" w:rsidRPr="006571AC">
        <w:rPr>
          <w:rFonts w:hint="cs"/>
          <w:sz w:val="27"/>
          <w:rtl/>
          <w:lang w:bidi="ar-IQ"/>
        </w:rPr>
        <w:t>ْ</w:t>
      </w:r>
      <w:r w:rsidRPr="006571AC">
        <w:rPr>
          <w:rFonts w:hint="cs"/>
          <w:sz w:val="27"/>
          <w:rtl/>
          <w:lang w:bidi="ar-IQ"/>
        </w:rPr>
        <w:t xml:space="preserve"> وثاقة ثلاثة</w:t>
      </w:r>
      <w:r w:rsidR="002E2A82" w:rsidRPr="006571AC">
        <w:rPr>
          <w:rFonts w:hint="cs"/>
          <w:sz w:val="27"/>
          <w:rtl/>
          <w:lang w:bidi="ar-IQ"/>
        </w:rPr>
        <w:t>ٍ</w:t>
      </w:r>
      <w:r w:rsidRPr="006571AC">
        <w:rPr>
          <w:rFonts w:hint="cs"/>
          <w:sz w:val="27"/>
          <w:rtl/>
          <w:lang w:bidi="ar-IQ"/>
        </w:rPr>
        <w:t xml:space="preserve"> من الرواة، وهم: </w:t>
      </w:r>
    </w:p>
    <w:p w:rsidR="00381A52" w:rsidRPr="006571AC" w:rsidRDefault="00381A52" w:rsidP="00552C10">
      <w:pPr>
        <w:rPr>
          <w:sz w:val="27"/>
          <w:rtl/>
          <w:lang w:bidi="ar-IQ"/>
        </w:rPr>
      </w:pPr>
      <w:r w:rsidRPr="006571AC">
        <w:rPr>
          <w:rFonts w:hint="cs"/>
          <w:sz w:val="27"/>
          <w:rtl/>
          <w:lang w:bidi="ar-IQ"/>
        </w:rPr>
        <w:t>1ـ علي</w:t>
      </w:r>
      <w:r w:rsidR="002E2A82" w:rsidRPr="006571AC">
        <w:rPr>
          <w:rFonts w:hint="cs"/>
          <w:sz w:val="27"/>
          <w:rtl/>
          <w:lang w:bidi="ar-IQ"/>
        </w:rPr>
        <w:t>ّ</w:t>
      </w:r>
      <w:r w:rsidRPr="006571AC">
        <w:rPr>
          <w:rFonts w:hint="cs"/>
          <w:sz w:val="27"/>
          <w:rtl/>
          <w:lang w:bidi="ar-IQ"/>
        </w:rPr>
        <w:t xml:space="preserve"> بن إبراهيم بن هاشم. </w:t>
      </w:r>
    </w:p>
    <w:p w:rsidR="00381A52" w:rsidRPr="006571AC" w:rsidRDefault="00381A52" w:rsidP="00552C10">
      <w:pPr>
        <w:rPr>
          <w:sz w:val="27"/>
          <w:rtl/>
          <w:lang w:bidi="ar-IQ"/>
        </w:rPr>
      </w:pPr>
      <w:r w:rsidRPr="006571AC">
        <w:rPr>
          <w:rFonts w:hint="cs"/>
          <w:sz w:val="27"/>
          <w:rtl/>
          <w:lang w:bidi="ar-IQ"/>
        </w:rPr>
        <w:t xml:space="preserve">2ـ </w:t>
      </w:r>
      <w:r w:rsidRPr="006571AC">
        <w:rPr>
          <w:sz w:val="27"/>
          <w:rtl/>
          <w:lang w:bidi="ar-IQ"/>
        </w:rPr>
        <w:t>علي</w:t>
      </w:r>
      <w:r w:rsidR="002E2A82" w:rsidRPr="006571AC">
        <w:rPr>
          <w:rFonts w:hint="cs"/>
          <w:sz w:val="27"/>
          <w:rtl/>
          <w:lang w:bidi="ar-IQ"/>
        </w:rPr>
        <w:t>ّ</w:t>
      </w:r>
      <w:r w:rsidRPr="006571AC">
        <w:rPr>
          <w:sz w:val="27"/>
          <w:rtl/>
          <w:lang w:bidi="ar-IQ"/>
        </w:rPr>
        <w:t xml:space="preserve"> بن</w:t>
      </w:r>
      <w:r w:rsidRPr="006571AC">
        <w:rPr>
          <w:rFonts w:hint="cs"/>
          <w:sz w:val="27"/>
          <w:rtl/>
          <w:lang w:bidi="ar-IQ"/>
        </w:rPr>
        <w:t xml:space="preserve"> </w:t>
      </w:r>
      <w:r w:rsidRPr="006571AC">
        <w:rPr>
          <w:sz w:val="27"/>
          <w:rtl/>
          <w:lang w:bidi="ar-IQ"/>
        </w:rPr>
        <w:t>محمد بن عبد الله بن أذينة</w:t>
      </w:r>
      <w:r w:rsidRPr="006571AC">
        <w:rPr>
          <w:sz w:val="27"/>
          <w:vertAlign w:val="superscript"/>
          <w:rtl/>
          <w:lang w:bidi="ar-IQ"/>
        </w:rPr>
        <w:t>(</w:t>
      </w:r>
      <w:r w:rsidRPr="006571AC">
        <w:rPr>
          <w:rStyle w:val="ac"/>
          <w:sz w:val="27"/>
          <w:rtl/>
          <w:lang w:bidi="ar-IQ"/>
        </w:rPr>
        <w:endnoteReference w:id="306"/>
      </w:r>
      <w:r w:rsidRPr="006571AC">
        <w:rPr>
          <w:sz w:val="27"/>
          <w:vertAlign w:val="superscript"/>
          <w:rtl/>
          <w:lang w:bidi="ar-IQ"/>
        </w:rPr>
        <w:t>)</w:t>
      </w:r>
      <w:r w:rsidRPr="006571AC">
        <w:rPr>
          <w:sz w:val="27"/>
          <w:rtl/>
          <w:lang w:bidi="ar-IQ"/>
        </w:rPr>
        <w:t xml:space="preserve">. </w:t>
      </w:r>
    </w:p>
    <w:p w:rsidR="00381A52" w:rsidRPr="006571AC" w:rsidRDefault="00381A52" w:rsidP="00552C10">
      <w:pPr>
        <w:rPr>
          <w:sz w:val="27"/>
          <w:rtl/>
          <w:lang w:bidi="ar-IQ"/>
        </w:rPr>
      </w:pPr>
      <w:r w:rsidRPr="006571AC">
        <w:rPr>
          <w:rFonts w:hint="cs"/>
          <w:sz w:val="27"/>
          <w:rtl/>
          <w:lang w:bidi="ar-IQ"/>
        </w:rPr>
        <w:t>3ـ علي</w:t>
      </w:r>
      <w:r w:rsidR="002E2A82" w:rsidRPr="006571AC">
        <w:rPr>
          <w:rFonts w:hint="cs"/>
          <w:sz w:val="27"/>
          <w:rtl/>
          <w:lang w:bidi="ar-IQ"/>
        </w:rPr>
        <w:t>ّ</w:t>
      </w:r>
      <w:r w:rsidRPr="006571AC">
        <w:rPr>
          <w:rFonts w:hint="cs"/>
          <w:sz w:val="27"/>
          <w:rtl/>
          <w:lang w:bidi="ar-IQ"/>
        </w:rPr>
        <w:t xml:space="preserve"> بن الحسن. </w:t>
      </w:r>
    </w:p>
    <w:p w:rsidR="00381A52" w:rsidRPr="006571AC" w:rsidRDefault="00381A52" w:rsidP="00552C10">
      <w:pPr>
        <w:rPr>
          <w:sz w:val="27"/>
          <w:rtl/>
          <w:lang w:bidi="ar-IQ"/>
        </w:rPr>
      </w:pPr>
      <w:r w:rsidRPr="006571AC">
        <w:rPr>
          <w:rFonts w:hint="cs"/>
          <w:sz w:val="27"/>
          <w:rtl/>
          <w:lang w:bidi="ar-IQ"/>
        </w:rPr>
        <w:t xml:space="preserve"> وبطبيعة الحال فإن مؤل</w:t>
      </w:r>
      <w:r w:rsidR="002E2A82" w:rsidRPr="006571AC">
        <w:rPr>
          <w:rFonts w:hint="cs"/>
          <w:sz w:val="27"/>
          <w:rtl/>
          <w:lang w:bidi="ar-IQ"/>
        </w:rPr>
        <w:t>ِّ</w:t>
      </w:r>
      <w:r w:rsidRPr="006571AC">
        <w:rPr>
          <w:rFonts w:hint="cs"/>
          <w:sz w:val="27"/>
          <w:rtl/>
          <w:lang w:bidi="ar-IQ"/>
        </w:rPr>
        <w:t>ف كتاب أصول علم الرجال بين النظرية والتطبيق قال بأن هذا الشخص هو علي</w:t>
      </w:r>
      <w:r w:rsidR="002E2A82" w:rsidRPr="006571AC">
        <w:rPr>
          <w:rFonts w:hint="cs"/>
          <w:sz w:val="27"/>
          <w:rtl/>
          <w:lang w:bidi="ar-IQ"/>
        </w:rPr>
        <w:t>ّ</w:t>
      </w:r>
      <w:r w:rsidRPr="006571AC">
        <w:rPr>
          <w:rFonts w:hint="cs"/>
          <w:sz w:val="27"/>
          <w:rtl/>
          <w:lang w:bidi="ar-IQ"/>
        </w:rPr>
        <w:t xml:space="preserve"> بن الحسين </w:t>
      </w:r>
      <w:r w:rsidR="002E2A82" w:rsidRPr="006571AC">
        <w:rPr>
          <w:rFonts w:hint="cs"/>
          <w:sz w:val="27"/>
          <w:rtl/>
          <w:lang w:bidi="ar-IQ"/>
        </w:rPr>
        <w:t>السعد</w:t>
      </w:r>
      <w:r w:rsidRPr="006571AC">
        <w:rPr>
          <w:rFonts w:hint="cs"/>
          <w:sz w:val="27"/>
          <w:rtl/>
          <w:lang w:bidi="ar-IQ"/>
        </w:rPr>
        <w:t>آبادي، وهو من مشايخ ابن قولويه، وجميع شيوخه من الثقات</w:t>
      </w:r>
      <w:r w:rsidRPr="006571AC">
        <w:rPr>
          <w:sz w:val="27"/>
          <w:vertAlign w:val="superscript"/>
          <w:rtl/>
          <w:lang w:bidi="ar-IQ"/>
        </w:rPr>
        <w:t>(</w:t>
      </w:r>
      <w:r w:rsidRPr="006571AC">
        <w:rPr>
          <w:rStyle w:val="ac"/>
          <w:sz w:val="27"/>
          <w:rtl/>
          <w:lang w:bidi="ar-IQ"/>
        </w:rPr>
        <w:endnoteReference w:id="307"/>
      </w:r>
      <w:r w:rsidRPr="006571AC">
        <w:rPr>
          <w:sz w:val="27"/>
          <w:vertAlign w:val="superscript"/>
          <w:rtl/>
          <w:lang w:bidi="ar-IQ"/>
        </w:rPr>
        <w:t>)</w:t>
      </w:r>
      <w:r w:rsidRPr="006571AC">
        <w:rPr>
          <w:rFonts w:hint="cs"/>
          <w:sz w:val="27"/>
          <w:rtl/>
          <w:lang w:bidi="ar-IQ"/>
        </w:rPr>
        <w:t>. وأما أحمد بن عبد الله ـ الذي هو على ما يبدو حفيد البرقي ـ فلم ي</w:t>
      </w:r>
      <w:r w:rsidR="002E2A82" w:rsidRPr="006571AC">
        <w:rPr>
          <w:rFonts w:hint="cs"/>
          <w:sz w:val="27"/>
          <w:rtl/>
          <w:lang w:bidi="ar-IQ"/>
        </w:rPr>
        <w:t>َ</w:t>
      </w:r>
      <w:r w:rsidRPr="006571AC">
        <w:rPr>
          <w:rFonts w:hint="cs"/>
          <w:sz w:val="27"/>
          <w:rtl/>
          <w:lang w:bidi="ar-IQ"/>
        </w:rPr>
        <w:t>ر</w:t>
      </w:r>
      <w:r w:rsidR="002E2A82" w:rsidRPr="006571AC">
        <w:rPr>
          <w:rFonts w:hint="cs"/>
          <w:sz w:val="27"/>
          <w:rtl/>
          <w:lang w:bidi="ar-IQ"/>
        </w:rPr>
        <w:t>ِ</w:t>
      </w:r>
      <w:r w:rsidRPr="006571AC">
        <w:rPr>
          <w:rFonts w:hint="cs"/>
          <w:sz w:val="27"/>
          <w:rtl/>
          <w:lang w:bidi="ar-IQ"/>
        </w:rPr>
        <w:t>د</w:t>
      </w:r>
      <w:r w:rsidR="002E2A82" w:rsidRPr="006571AC">
        <w:rPr>
          <w:rFonts w:hint="cs"/>
          <w:sz w:val="27"/>
          <w:rtl/>
          <w:lang w:bidi="ar-IQ"/>
        </w:rPr>
        <w:t>ْ</w:t>
      </w:r>
      <w:r w:rsidRPr="006571AC">
        <w:rPr>
          <w:rFonts w:hint="cs"/>
          <w:sz w:val="27"/>
          <w:rtl/>
          <w:lang w:bidi="ar-IQ"/>
        </w:rPr>
        <w:t xml:space="preserve"> فيه توثيق</w:t>
      </w:r>
      <w:r w:rsidR="002E2A82" w:rsidRPr="006571AC">
        <w:rPr>
          <w:rFonts w:hint="cs"/>
          <w:sz w:val="27"/>
          <w:rtl/>
          <w:lang w:bidi="ar-IQ"/>
        </w:rPr>
        <w:t>ٌ</w:t>
      </w:r>
      <w:r w:rsidRPr="006571AC">
        <w:rPr>
          <w:sz w:val="27"/>
          <w:vertAlign w:val="superscript"/>
          <w:rtl/>
          <w:lang w:bidi="ar-IQ"/>
        </w:rPr>
        <w:t>(</w:t>
      </w:r>
      <w:r w:rsidRPr="006571AC">
        <w:rPr>
          <w:rStyle w:val="ac"/>
          <w:sz w:val="27"/>
          <w:rtl/>
          <w:lang w:bidi="ar-IQ"/>
        </w:rPr>
        <w:endnoteReference w:id="308"/>
      </w:r>
      <w:r w:rsidRPr="006571AC">
        <w:rPr>
          <w:sz w:val="27"/>
          <w:vertAlign w:val="superscript"/>
          <w:rtl/>
          <w:lang w:bidi="ar-IQ"/>
        </w:rPr>
        <w:t>)</w:t>
      </w:r>
      <w:r w:rsidRPr="006571AC">
        <w:rPr>
          <w:rFonts w:hint="cs"/>
          <w:sz w:val="27"/>
          <w:rtl/>
          <w:lang w:bidi="ar-IQ"/>
        </w:rPr>
        <w:t xml:space="preserve">. وعلى </w:t>
      </w:r>
      <w:r w:rsidR="002E2A82" w:rsidRPr="006571AC">
        <w:rPr>
          <w:rFonts w:hint="cs"/>
          <w:sz w:val="27"/>
          <w:rtl/>
          <w:lang w:bidi="ar-IQ"/>
        </w:rPr>
        <w:t>أيّ</w:t>
      </w:r>
      <w:r w:rsidRPr="006571AC">
        <w:rPr>
          <w:rFonts w:hint="cs"/>
          <w:sz w:val="27"/>
          <w:rtl/>
          <w:lang w:bidi="ar-IQ"/>
        </w:rPr>
        <w:t xml:space="preserve"> حال فإن كلا الطريقين يشتمل على ثلاثة</w:t>
      </w:r>
      <w:r w:rsidR="00495EFF" w:rsidRPr="006571AC">
        <w:rPr>
          <w:rFonts w:hint="cs"/>
          <w:sz w:val="27"/>
          <w:rtl/>
          <w:lang w:bidi="ar-IQ"/>
        </w:rPr>
        <w:t>ٍ</w:t>
      </w:r>
      <w:r w:rsidRPr="006571AC">
        <w:rPr>
          <w:rFonts w:hint="cs"/>
          <w:sz w:val="27"/>
          <w:rtl/>
          <w:lang w:bidi="ar-IQ"/>
        </w:rPr>
        <w:t xml:space="preserve"> من الثقات. </w:t>
      </w:r>
    </w:p>
    <w:p w:rsidR="00495EFF" w:rsidRPr="006571AC" w:rsidRDefault="00381A52" w:rsidP="00552C10">
      <w:pPr>
        <w:rPr>
          <w:sz w:val="27"/>
          <w:rtl/>
          <w:lang w:bidi="ar-IQ"/>
        </w:rPr>
      </w:pPr>
      <w:r w:rsidRPr="006571AC">
        <w:rPr>
          <w:rFonts w:hint="cs"/>
          <w:sz w:val="27"/>
          <w:rtl/>
          <w:lang w:bidi="ar-IQ"/>
        </w:rPr>
        <w:t>إن المراد من أحمد بن محمد في السند</w:t>
      </w:r>
      <w:r w:rsidR="00495EFF" w:rsidRPr="006571AC">
        <w:rPr>
          <w:rFonts w:hint="cs"/>
          <w:sz w:val="27"/>
          <w:rtl/>
          <w:lang w:bidi="ar-IQ"/>
        </w:rPr>
        <w:t>،</w:t>
      </w:r>
      <w:r w:rsidRPr="006571AC">
        <w:rPr>
          <w:rFonts w:hint="cs"/>
          <w:sz w:val="27"/>
          <w:rtl/>
          <w:lang w:bidi="ar-IQ"/>
        </w:rPr>
        <w:t xml:space="preserve"> سواء أكان هو </w:t>
      </w:r>
      <w:r w:rsidRPr="006571AC">
        <w:rPr>
          <w:sz w:val="27"/>
          <w:rtl/>
          <w:lang w:bidi="ar-IQ"/>
        </w:rPr>
        <w:t>أحمد بن محمد</w:t>
      </w:r>
      <w:r w:rsidRPr="006571AC">
        <w:rPr>
          <w:rFonts w:hint="cs"/>
          <w:sz w:val="27"/>
          <w:rtl/>
          <w:lang w:bidi="ar-IQ"/>
        </w:rPr>
        <w:t xml:space="preserve"> بن عيسى أو </w:t>
      </w:r>
      <w:r w:rsidRPr="006571AC">
        <w:rPr>
          <w:sz w:val="27"/>
          <w:rtl/>
          <w:lang w:bidi="ar-IQ"/>
        </w:rPr>
        <w:t>أحمد بن محمد</w:t>
      </w:r>
      <w:r w:rsidRPr="006571AC">
        <w:rPr>
          <w:rFonts w:hint="cs"/>
          <w:sz w:val="27"/>
          <w:rtl/>
          <w:lang w:bidi="ar-IQ"/>
        </w:rPr>
        <w:t xml:space="preserve"> بن خالد البرقي، ثقة</w:t>
      </w:r>
      <w:r w:rsidR="00495EFF" w:rsidRPr="006571AC">
        <w:rPr>
          <w:rFonts w:hint="cs"/>
          <w:sz w:val="27"/>
          <w:rtl/>
          <w:lang w:bidi="ar-IQ"/>
        </w:rPr>
        <w:t>ٌ.</w:t>
      </w:r>
    </w:p>
    <w:p w:rsidR="00495EFF" w:rsidRPr="006571AC" w:rsidRDefault="00381A52" w:rsidP="00552C10">
      <w:pPr>
        <w:rPr>
          <w:sz w:val="27"/>
          <w:rtl/>
          <w:lang w:bidi="ar-IQ"/>
        </w:rPr>
      </w:pPr>
      <w:r w:rsidRPr="006571AC">
        <w:rPr>
          <w:rFonts w:hint="cs"/>
          <w:sz w:val="27"/>
          <w:rtl/>
          <w:lang w:bidi="ar-IQ"/>
        </w:rPr>
        <w:t>والمراد من محمد بن إسماعيل ـ على ما يبدو ـ هو محمد بن إسماعيل بن بزيع. والدليل على ذلك كلام الشيخ الطوسي بشأن محمد بن عذافر</w:t>
      </w:r>
      <w:r w:rsidR="00495EFF" w:rsidRPr="006571AC">
        <w:rPr>
          <w:rFonts w:hint="cs"/>
          <w:sz w:val="27"/>
          <w:rtl/>
          <w:lang w:bidi="ar-IQ"/>
        </w:rPr>
        <w:t>؛</w:t>
      </w:r>
      <w:r w:rsidRPr="006571AC">
        <w:rPr>
          <w:rFonts w:hint="cs"/>
          <w:sz w:val="27"/>
          <w:rtl/>
          <w:lang w:bidi="ar-IQ"/>
        </w:rPr>
        <w:t xml:space="preserve"> إذ قال: </w:t>
      </w:r>
      <w:r w:rsidRPr="006571AC">
        <w:rPr>
          <w:rFonts w:hint="eastAsia"/>
          <w:sz w:val="24"/>
          <w:szCs w:val="24"/>
          <w:rtl/>
        </w:rPr>
        <w:t>«</w:t>
      </w:r>
      <w:r w:rsidRPr="006571AC">
        <w:rPr>
          <w:sz w:val="27"/>
          <w:rtl/>
          <w:lang w:bidi="ar-IQ"/>
        </w:rPr>
        <w:t>محمد بن عذافر</w:t>
      </w:r>
      <w:r w:rsidRPr="006571AC">
        <w:rPr>
          <w:rFonts w:hint="cs"/>
          <w:sz w:val="27"/>
          <w:rtl/>
          <w:lang w:bidi="ar-IQ"/>
        </w:rPr>
        <w:t xml:space="preserve">: </w:t>
      </w:r>
      <w:r w:rsidRPr="006571AC">
        <w:rPr>
          <w:sz w:val="27"/>
          <w:rtl/>
          <w:lang w:bidi="ar-IQ"/>
        </w:rPr>
        <w:t>له كتاب</w:t>
      </w:r>
      <w:r w:rsidR="00495EFF" w:rsidRPr="006571AC">
        <w:rPr>
          <w:rFonts w:hint="cs"/>
          <w:sz w:val="27"/>
          <w:rtl/>
          <w:lang w:bidi="ar-IQ"/>
        </w:rPr>
        <w:t>ٌ</w:t>
      </w:r>
      <w:r w:rsidRPr="006571AC">
        <w:rPr>
          <w:sz w:val="27"/>
          <w:rtl/>
          <w:lang w:bidi="ar-IQ"/>
        </w:rPr>
        <w:t>، رويناه بالإسناد الأو</w:t>
      </w:r>
      <w:r w:rsidR="00495EFF" w:rsidRPr="006571AC">
        <w:rPr>
          <w:rFonts w:hint="cs"/>
          <w:sz w:val="27"/>
          <w:rtl/>
          <w:lang w:bidi="ar-IQ"/>
        </w:rPr>
        <w:t>ّ</w:t>
      </w:r>
      <w:r w:rsidRPr="006571AC">
        <w:rPr>
          <w:sz w:val="27"/>
          <w:rtl/>
          <w:lang w:bidi="ar-IQ"/>
        </w:rPr>
        <w:t>ل عن أحمد بن محمد بن عيسى</w:t>
      </w:r>
      <w:r w:rsidRPr="006571AC">
        <w:rPr>
          <w:rFonts w:hint="cs"/>
          <w:sz w:val="27"/>
          <w:rtl/>
          <w:lang w:bidi="ar-IQ"/>
        </w:rPr>
        <w:t xml:space="preserve">، </w:t>
      </w:r>
      <w:r w:rsidRPr="006571AC">
        <w:rPr>
          <w:sz w:val="27"/>
          <w:rtl/>
          <w:lang w:bidi="ar-IQ"/>
        </w:rPr>
        <w:t>عن محمد بن إسماعيل بن بزيع</w:t>
      </w:r>
      <w:r w:rsidRPr="006571AC">
        <w:rPr>
          <w:rFonts w:hint="cs"/>
          <w:sz w:val="27"/>
          <w:rtl/>
          <w:lang w:bidi="ar-IQ"/>
        </w:rPr>
        <w:t xml:space="preserve">، </w:t>
      </w:r>
      <w:r w:rsidRPr="006571AC">
        <w:rPr>
          <w:sz w:val="27"/>
          <w:rtl/>
          <w:lang w:bidi="ar-IQ"/>
        </w:rPr>
        <w:t>عنه</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09"/>
      </w:r>
      <w:r w:rsidRPr="006571AC">
        <w:rPr>
          <w:sz w:val="27"/>
          <w:vertAlign w:val="superscript"/>
          <w:rtl/>
          <w:lang w:bidi="ar-IQ"/>
        </w:rPr>
        <w:t>)</w:t>
      </w:r>
      <w:r w:rsidRPr="006571AC">
        <w:rPr>
          <w:rFonts w:hint="cs"/>
          <w:sz w:val="27"/>
          <w:rtl/>
          <w:lang w:bidi="ar-IQ"/>
        </w:rPr>
        <w:t xml:space="preserve">. وعلى </w:t>
      </w:r>
      <w:r w:rsidR="00495EFF" w:rsidRPr="006571AC">
        <w:rPr>
          <w:rFonts w:hint="cs"/>
          <w:sz w:val="27"/>
          <w:rtl/>
          <w:lang w:bidi="ar-IQ"/>
        </w:rPr>
        <w:t>أيّ</w:t>
      </w:r>
      <w:r w:rsidRPr="006571AC">
        <w:rPr>
          <w:rFonts w:hint="cs"/>
          <w:sz w:val="27"/>
          <w:rtl/>
          <w:lang w:bidi="ar-IQ"/>
        </w:rPr>
        <w:t xml:space="preserve"> حال</w:t>
      </w:r>
      <w:r w:rsidR="00495EFF" w:rsidRPr="006571AC">
        <w:rPr>
          <w:rFonts w:hint="cs"/>
          <w:sz w:val="27"/>
          <w:rtl/>
          <w:lang w:bidi="ar-IQ"/>
        </w:rPr>
        <w:t>ٍ</w:t>
      </w:r>
      <w:r w:rsidRPr="006571AC">
        <w:rPr>
          <w:rFonts w:hint="cs"/>
          <w:sz w:val="27"/>
          <w:rtl/>
          <w:lang w:bidi="ar-IQ"/>
        </w:rPr>
        <w:t xml:space="preserve"> فهو ثقة</w:t>
      </w:r>
      <w:r w:rsidR="00B2657E" w:rsidRPr="006571AC">
        <w:rPr>
          <w:rFonts w:hint="cs"/>
          <w:sz w:val="27"/>
          <w:rtl/>
          <w:lang w:bidi="ar-IQ"/>
        </w:rPr>
        <w:t>ٌ</w:t>
      </w:r>
      <w:r w:rsidR="00495EFF" w:rsidRPr="006571AC">
        <w:rPr>
          <w:rFonts w:hint="cs"/>
          <w:sz w:val="27"/>
          <w:rtl/>
          <w:lang w:bidi="ar-IQ"/>
        </w:rPr>
        <w:t>.</w:t>
      </w:r>
    </w:p>
    <w:p w:rsidR="00495EFF" w:rsidRPr="006571AC" w:rsidRDefault="00381A52" w:rsidP="00552C10">
      <w:pPr>
        <w:rPr>
          <w:sz w:val="27"/>
          <w:rtl/>
          <w:lang w:bidi="ar-IQ"/>
        </w:rPr>
      </w:pPr>
      <w:r w:rsidRPr="006571AC">
        <w:rPr>
          <w:rFonts w:hint="cs"/>
          <w:sz w:val="27"/>
          <w:rtl/>
          <w:lang w:bidi="ar-IQ"/>
        </w:rPr>
        <w:t>ومحمد بن عذافر ثقة</w:t>
      </w:r>
      <w:r w:rsidR="00495EFF" w:rsidRPr="006571AC">
        <w:rPr>
          <w:rFonts w:hint="cs"/>
          <w:sz w:val="27"/>
          <w:rtl/>
          <w:lang w:bidi="ar-IQ"/>
        </w:rPr>
        <w:t>ٌ</w:t>
      </w:r>
      <w:r w:rsidRPr="006571AC">
        <w:rPr>
          <w:rFonts w:hint="cs"/>
          <w:sz w:val="27"/>
          <w:rtl/>
          <w:lang w:bidi="ar-IQ"/>
        </w:rPr>
        <w:t xml:space="preserve"> </w:t>
      </w:r>
      <w:r w:rsidR="00495EFF" w:rsidRPr="006571AC">
        <w:rPr>
          <w:rFonts w:hint="cs"/>
          <w:sz w:val="27"/>
          <w:rtl/>
          <w:lang w:bidi="ar-IQ"/>
        </w:rPr>
        <w:t xml:space="preserve">بدَوْره؛ </w:t>
      </w:r>
      <w:r w:rsidRPr="006571AC">
        <w:rPr>
          <w:rFonts w:hint="cs"/>
          <w:sz w:val="27"/>
          <w:rtl/>
          <w:lang w:bidi="ar-IQ"/>
        </w:rPr>
        <w:t>بشهادة الشيخ النجاشي</w:t>
      </w:r>
      <w:r w:rsidRPr="006571AC">
        <w:rPr>
          <w:sz w:val="27"/>
          <w:vertAlign w:val="superscript"/>
          <w:rtl/>
          <w:lang w:bidi="ar-IQ"/>
        </w:rPr>
        <w:t>(</w:t>
      </w:r>
      <w:r w:rsidRPr="006571AC">
        <w:rPr>
          <w:rStyle w:val="ac"/>
          <w:sz w:val="27"/>
          <w:rtl/>
          <w:lang w:bidi="ar-IQ"/>
        </w:rPr>
        <w:endnoteReference w:id="310"/>
      </w:r>
      <w:r w:rsidRPr="006571AC">
        <w:rPr>
          <w:sz w:val="27"/>
          <w:vertAlign w:val="superscript"/>
          <w:rtl/>
          <w:lang w:bidi="ar-IQ"/>
        </w:rPr>
        <w:t>)</w:t>
      </w:r>
      <w:r w:rsidR="00495EFF" w:rsidRPr="006571AC">
        <w:rPr>
          <w:rFonts w:hint="cs"/>
          <w:sz w:val="27"/>
          <w:rtl/>
          <w:lang w:bidi="ar-IQ"/>
        </w:rPr>
        <w:t>.</w:t>
      </w:r>
    </w:p>
    <w:p w:rsidR="00DB276F" w:rsidRPr="006571AC" w:rsidRDefault="00495EFF" w:rsidP="00552C10">
      <w:pPr>
        <w:rPr>
          <w:sz w:val="27"/>
          <w:rtl/>
          <w:lang w:bidi="ar-IQ"/>
        </w:rPr>
      </w:pPr>
      <w:r w:rsidRPr="006571AC">
        <w:rPr>
          <w:rFonts w:hint="cs"/>
          <w:sz w:val="27"/>
          <w:rtl/>
          <w:lang w:bidi="ar-IQ"/>
        </w:rPr>
        <w:t>وهكذا يكون</w:t>
      </w:r>
      <w:r w:rsidR="00381A52" w:rsidRPr="006571AC">
        <w:rPr>
          <w:rFonts w:hint="cs"/>
          <w:sz w:val="27"/>
          <w:rtl/>
          <w:lang w:bidi="ar-IQ"/>
        </w:rPr>
        <w:t xml:space="preserve"> سند الرواية صحيح</w:t>
      </w:r>
      <w:r w:rsidRPr="006571AC">
        <w:rPr>
          <w:rFonts w:hint="cs"/>
          <w:sz w:val="27"/>
          <w:rtl/>
          <w:lang w:bidi="ar-IQ"/>
        </w:rPr>
        <w:t>اً</w:t>
      </w:r>
      <w:r w:rsidR="00381A52" w:rsidRPr="006571AC">
        <w:rPr>
          <w:rFonts w:hint="cs"/>
          <w:sz w:val="27"/>
          <w:rtl/>
          <w:lang w:bidi="ar-IQ"/>
        </w:rPr>
        <w:t xml:space="preserve">. </w:t>
      </w:r>
    </w:p>
    <w:p w:rsidR="00495EFF" w:rsidRPr="006571AC" w:rsidRDefault="00DB276F"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sz w:val="27"/>
          <w:rtl/>
          <w:lang w:bidi="ar-IQ"/>
        </w:rPr>
        <w:t xml:space="preserve">: </w:t>
      </w:r>
      <w:r w:rsidR="00381A52" w:rsidRPr="006571AC">
        <w:rPr>
          <w:rFonts w:hint="cs"/>
          <w:sz w:val="27"/>
          <w:rtl/>
          <w:lang w:bidi="ar-IQ"/>
        </w:rPr>
        <w:t>تتحد</w:t>
      </w:r>
      <w:r w:rsidR="00495EFF" w:rsidRPr="006571AC">
        <w:rPr>
          <w:rFonts w:hint="cs"/>
          <w:sz w:val="27"/>
          <w:rtl/>
          <w:lang w:bidi="ar-IQ"/>
        </w:rPr>
        <w:t>َّ</w:t>
      </w:r>
      <w:r w:rsidR="00381A52" w:rsidRPr="006571AC">
        <w:rPr>
          <w:rFonts w:hint="cs"/>
          <w:sz w:val="27"/>
          <w:rtl/>
          <w:lang w:bidi="ar-IQ"/>
        </w:rPr>
        <w:t>ث الرواية عن شخص</w:t>
      </w:r>
      <w:r w:rsidR="00495EFF" w:rsidRPr="006571AC">
        <w:rPr>
          <w:rFonts w:hint="cs"/>
          <w:sz w:val="27"/>
          <w:rtl/>
          <w:lang w:bidi="ar-IQ"/>
        </w:rPr>
        <w:t>ٍ</w:t>
      </w:r>
      <w:r w:rsidR="00381A52" w:rsidRPr="006571AC">
        <w:rPr>
          <w:rFonts w:hint="cs"/>
          <w:sz w:val="27"/>
          <w:rtl/>
          <w:lang w:bidi="ar-IQ"/>
        </w:rPr>
        <w:t xml:space="preserve"> م</w:t>
      </w:r>
      <w:r w:rsidR="00495EFF" w:rsidRPr="006571AC">
        <w:rPr>
          <w:rFonts w:hint="cs"/>
          <w:sz w:val="27"/>
          <w:rtl/>
          <w:lang w:bidi="ar-IQ"/>
        </w:rPr>
        <w:t>َ</w:t>
      </w:r>
      <w:r w:rsidR="00381A52" w:rsidRPr="006571AC">
        <w:rPr>
          <w:rFonts w:hint="cs"/>
          <w:sz w:val="27"/>
          <w:rtl/>
          <w:lang w:bidi="ar-IQ"/>
        </w:rPr>
        <w:t>دين</w:t>
      </w:r>
      <w:r w:rsidR="00495EFF" w:rsidRPr="006571AC">
        <w:rPr>
          <w:rFonts w:hint="cs"/>
          <w:sz w:val="27"/>
          <w:rtl/>
          <w:lang w:bidi="ar-IQ"/>
        </w:rPr>
        <w:t>ٍ،</w:t>
      </w:r>
      <w:r w:rsidR="00381A52" w:rsidRPr="006571AC">
        <w:rPr>
          <w:rFonts w:hint="cs"/>
          <w:sz w:val="27"/>
          <w:rtl/>
          <w:lang w:bidi="ar-IQ"/>
        </w:rPr>
        <w:t xml:space="preserve"> تأخ</w:t>
      </w:r>
      <w:r w:rsidR="00495EFF" w:rsidRPr="006571AC">
        <w:rPr>
          <w:rFonts w:hint="cs"/>
          <w:sz w:val="27"/>
          <w:rtl/>
          <w:lang w:bidi="ar-IQ"/>
        </w:rPr>
        <w:t>َّ</w:t>
      </w:r>
      <w:r w:rsidR="00381A52" w:rsidRPr="006571AC">
        <w:rPr>
          <w:rFonts w:hint="cs"/>
          <w:sz w:val="27"/>
          <w:rtl/>
          <w:lang w:bidi="ar-IQ"/>
        </w:rPr>
        <w:t>ر عن سداد دينه حت</w:t>
      </w:r>
      <w:r w:rsidR="00495EFF" w:rsidRPr="006571AC">
        <w:rPr>
          <w:rFonts w:hint="cs"/>
          <w:sz w:val="27"/>
          <w:rtl/>
          <w:lang w:bidi="ar-IQ"/>
        </w:rPr>
        <w:t>ّ</w:t>
      </w:r>
      <w:r w:rsidR="00381A52" w:rsidRPr="006571AC">
        <w:rPr>
          <w:rFonts w:hint="cs"/>
          <w:sz w:val="27"/>
          <w:rtl/>
          <w:lang w:bidi="ar-IQ"/>
        </w:rPr>
        <w:t>ى مات الدائن</w:t>
      </w:r>
      <w:r w:rsidR="00495EFF" w:rsidRPr="006571AC">
        <w:rPr>
          <w:rFonts w:hint="cs"/>
          <w:sz w:val="27"/>
          <w:rtl/>
          <w:lang w:bidi="ar-IQ"/>
        </w:rPr>
        <w:t>،</w:t>
      </w:r>
      <w:r w:rsidR="00381A52" w:rsidRPr="006571AC">
        <w:rPr>
          <w:rFonts w:hint="cs"/>
          <w:sz w:val="27"/>
          <w:rtl/>
          <w:lang w:bidi="ar-IQ"/>
        </w:rPr>
        <w:t xml:space="preserve"> ثم</w:t>
      </w:r>
      <w:r w:rsidR="00495EFF" w:rsidRPr="006571AC">
        <w:rPr>
          <w:rFonts w:hint="cs"/>
          <w:sz w:val="27"/>
          <w:rtl/>
          <w:lang w:bidi="ar-IQ"/>
        </w:rPr>
        <w:t>ّ</w:t>
      </w:r>
      <w:r w:rsidR="00381A52" w:rsidRPr="006571AC">
        <w:rPr>
          <w:rFonts w:hint="cs"/>
          <w:sz w:val="27"/>
          <w:rtl/>
          <w:lang w:bidi="ar-IQ"/>
        </w:rPr>
        <w:t xml:space="preserve"> قام الم</w:t>
      </w:r>
      <w:r w:rsidR="00495EFF" w:rsidRPr="006571AC">
        <w:rPr>
          <w:rFonts w:hint="cs"/>
          <w:sz w:val="27"/>
          <w:rtl/>
          <w:lang w:bidi="ar-IQ"/>
        </w:rPr>
        <w:t>َ</w:t>
      </w:r>
      <w:r w:rsidR="00381A52" w:rsidRPr="006571AC">
        <w:rPr>
          <w:rFonts w:hint="cs"/>
          <w:sz w:val="27"/>
          <w:rtl/>
          <w:lang w:bidi="ar-IQ"/>
        </w:rPr>
        <w:t>دين بالصلح مع الو</w:t>
      </w:r>
      <w:r w:rsidR="00495EFF" w:rsidRPr="006571AC">
        <w:rPr>
          <w:rFonts w:hint="cs"/>
          <w:sz w:val="27"/>
          <w:rtl/>
          <w:lang w:bidi="ar-IQ"/>
        </w:rPr>
        <w:t>َ</w:t>
      </w:r>
      <w:r w:rsidR="00381A52" w:rsidRPr="006571AC">
        <w:rPr>
          <w:rFonts w:hint="cs"/>
          <w:sz w:val="27"/>
          <w:rtl/>
          <w:lang w:bidi="ar-IQ"/>
        </w:rPr>
        <w:t>ر</w:t>
      </w:r>
      <w:r w:rsidR="00495EFF" w:rsidRPr="006571AC">
        <w:rPr>
          <w:rFonts w:hint="cs"/>
          <w:sz w:val="27"/>
          <w:rtl/>
          <w:lang w:bidi="ar-IQ"/>
        </w:rPr>
        <w:t>َ</w:t>
      </w:r>
      <w:r w:rsidR="00381A52" w:rsidRPr="006571AC">
        <w:rPr>
          <w:rFonts w:hint="cs"/>
          <w:sz w:val="27"/>
          <w:rtl/>
          <w:lang w:bidi="ar-IQ"/>
        </w:rPr>
        <w:t>ثة. وبغض</w:t>
      </w:r>
      <w:r w:rsidR="00495EFF" w:rsidRPr="006571AC">
        <w:rPr>
          <w:rFonts w:hint="cs"/>
          <w:sz w:val="27"/>
          <w:rtl/>
          <w:lang w:bidi="ar-IQ"/>
        </w:rPr>
        <w:t>ّ</w:t>
      </w:r>
      <w:r w:rsidR="00381A52" w:rsidRPr="006571AC">
        <w:rPr>
          <w:rFonts w:hint="cs"/>
          <w:sz w:val="27"/>
          <w:rtl/>
          <w:lang w:bidi="ar-IQ"/>
        </w:rPr>
        <w:t xml:space="preserve"> النظر عن كلمة </w:t>
      </w:r>
      <w:r w:rsidR="00381A52" w:rsidRPr="006571AC">
        <w:rPr>
          <w:rFonts w:hint="eastAsia"/>
          <w:sz w:val="24"/>
          <w:szCs w:val="24"/>
          <w:rtl/>
        </w:rPr>
        <w:t>«</w:t>
      </w:r>
      <w:r w:rsidR="00381A52" w:rsidRPr="006571AC">
        <w:rPr>
          <w:rFonts w:hint="cs"/>
          <w:sz w:val="27"/>
          <w:rtl/>
          <w:lang w:bidi="ar-IQ"/>
        </w:rPr>
        <w:t>الصلح</w:t>
      </w:r>
      <w:r w:rsidR="00381A52" w:rsidRPr="006571AC">
        <w:rPr>
          <w:rFonts w:hint="eastAsia"/>
          <w:sz w:val="24"/>
          <w:szCs w:val="24"/>
          <w:rtl/>
        </w:rPr>
        <w:t>»</w:t>
      </w:r>
      <w:r w:rsidR="00381A52" w:rsidRPr="006571AC">
        <w:rPr>
          <w:rFonts w:hint="cs"/>
          <w:sz w:val="27"/>
          <w:rtl/>
          <w:lang w:bidi="ar-IQ"/>
        </w:rPr>
        <w:t>، إلا</w:t>
      </w:r>
      <w:r w:rsidR="00495EFF" w:rsidRPr="006571AC">
        <w:rPr>
          <w:rFonts w:hint="cs"/>
          <w:sz w:val="27"/>
          <w:rtl/>
          <w:lang w:bidi="ar-IQ"/>
        </w:rPr>
        <w:t>ّ</w:t>
      </w:r>
      <w:r w:rsidR="00381A52" w:rsidRPr="006571AC">
        <w:rPr>
          <w:rFonts w:hint="cs"/>
          <w:sz w:val="27"/>
          <w:rtl/>
          <w:lang w:bidi="ar-IQ"/>
        </w:rPr>
        <w:t xml:space="preserve"> أن الرواية غير ظاهرة</w:t>
      </w:r>
      <w:r w:rsidR="00495EFF" w:rsidRPr="006571AC">
        <w:rPr>
          <w:rFonts w:hint="cs"/>
          <w:sz w:val="27"/>
          <w:rtl/>
          <w:lang w:bidi="ar-IQ"/>
        </w:rPr>
        <w:t>ٍ</w:t>
      </w:r>
      <w:r w:rsidR="00381A52" w:rsidRPr="006571AC">
        <w:rPr>
          <w:rFonts w:hint="cs"/>
          <w:sz w:val="27"/>
          <w:rtl/>
          <w:lang w:bidi="ar-IQ"/>
        </w:rPr>
        <w:t xml:space="preserve"> في حدوث الخصومة والنزاع. ومن هنا فقد تمسّ</w:t>
      </w:r>
      <w:r w:rsidR="00495EFF" w:rsidRPr="006571AC">
        <w:rPr>
          <w:rFonts w:hint="cs"/>
          <w:sz w:val="27"/>
          <w:rtl/>
          <w:lang w:bidi="ar-IQ"/>
        </w:rPr>
        <w:t>َ</w:t>
      </w:r>
      <w:r w:rsidR="00381A52" w:rsidRPr="006571AC">
        <w:rPr>
          <w:rFonts w:hint="cs"/>
          <w:sz w:val="27"/>
          <w:rtl/>
          <w:lang w:bidi="ar-IQ"/>
        </w:rPr>
        <w:t>ك بعض العلماء ـ من أمثال</w:t>
      </w:r>
      <w:r w:rsidR="00495EFF" w:rsidRPr="006571AC">
        <w:rPr>
          <w:rFonts w:hint="cs"/>
          <w:sz w:val="27"/>
          <w:rtl/>
          <w:lang w:bidi="ar-IQ"/>
        </w:rPr>
        <w:t>:</w:t>
      </w:r>
      <w:r w:rsidR="00381A52" w:rsidRPr="006571AC">
        <w:rPr>
          <w:rFonts w:hint="cs"/>
          <w:sz w:val="27"/>
          <w:rtl/>
          <w:lang w:bidi="ar-IQ"/>
        </w:rPr>
        <w:t xml:space="preserve"> المحقق الأدربيلي ـ بالرواية</w:t>
      </w:r>
      <w:r w:rsidR="00495EFF" w:rsidRPr="006571AC">
        <w:rPr>
          <w:rFonts w:hint="cs"/>
          <w:sz w:val="27"/>
          <w:rtl/>
          <w:lang w:bidi="ar-IQ"/>
        </w:rPr>
        <w:t>؛</w:t>
      </w:r>
      <w:r w:rsidR="00381A52" w:rsidRPr="006571AC">
        <w:rPr>
          <w:rFonts w:hint="cs"/>
          <w:sz w:val="27"/>
          <w:rtl/>
          <w:lang w:bidi="ar-IQ"/>
        </w:rPr>
        <w:t xml:space="preserve"> لإثبات مشروعية الصلح الابتدائي</w:t>
      </w:r>
      <w:r w:rsidR="00381A52" w:rsidRPr="006571AC">
        <w:rPr>
          <w:sz w:val="27"/>
          <w:vertAlign w:val="superscript"/>
          <w:rtl/>
          <w:lang w:bidi="ar-IQ"/>
        </w:rPr>
        <w:t>(</w:t>
      </w:r>
      <w:r w:rsidR="00381A52" w:rsidRPr="006571AC">
        <w:rPr>
          <w:rStyle w:val="ac"/>
          <w:sz w:val="27"/>
          <w:rtl/>
          <w:lang w:bidi="ar-IQ"/>
        </w:rPr>
        <w:endnoteReference w:id="311"/>
      </w:r>
      <w:r w:rsidR="00381A52" w:rsidRPr="006571AC">
        <w:rPr>
          <w:sz w:val="27"/>
          <w:vertAlign w:val="superscript"/>
          <w:rtl/>
          <w:lang w:bidi="ar-IQ"/>
        </w:rPr>
        <w:t>)</w:t>
      </w:r>
      <w:r w:rsidR="00495EFF"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ولكن</w:t>
      </w:r>
      <w:r w:rsidR="00495EFF" w:rsidRPr="006571AC">
        <w:rPr>
          <w:rFonts w:hint="cs"/>
          <w:sz w:val="27"/>
          <w:rtl/>
          <w:lang w:bidi="ar-IQ"/>
        </w:rPr>
        <w:t>ْ</w:t>
      </w:r>
      <w:r w:rsidRPr="006571AC">
        <w:rPr>
          <w:rFonts w:hint="cs"/>
          <w:sz w:val="27"/>
          <w:rtl/>
          <w:lang w:bidi="ar-IQ"/>
        </w:rPr>
        <w:t xml:space="preserve"> من وجهة نظر كاتب السطور</w:t>
      </w:r>
      <w:r w:rsidR="00495EFF" w:rsidRPr="006571AC">
        <w:rPr>
          <w:rFonts w:hint="cs"/>
          <w:sz w:val="27"/>
          <w:rtl/>
          <w:lang w:bidi="ar-IQ"/>
        </w:rPr>
        <w:t>؛</w:t>
      </w:r>
      <w:r w:rsidRPr="006571AC">
        <w:rPr>
          <w:rFonts w:hint="cs"/>
          <w:sz w:val="27"/>
          <w:rtl/>
          <w:lang w:bidi="ar-IQ"/>
        </w:rPr>
        <w:t xml:space="preserve"> حيث تشتمل الرواية على كلمة </w:t>
      </w:r>
      <w:r w:rsidRPr="006571AC">
        <w:rPr>
          <w:rFonts w:hint="eastAsia"/>
          <w:sz w:val="24"/>
          <w:szCs w:val="24"/>
          <w:rtl/>
        </w:rPr>
        <w:t>«</w:t>
      </w:r>
      <w:r w:rsidRPr="006571AC">
        <w:rPr>
          <w:rFonts w:hint="cs"/>
          <w:sz w:val="27"/>
          <w:rtl/>
          <w:lang w:bidi="ar-IQ"/>
        </w:rPr>
        <w:t>الصلح</w:t>
      </w:r>
      <w:r w:rsidRPr="006571AC">
        <w:rPr>
          <w:rFonts w:hint="eastAsia"/>
          <w:sz w:val="24"/>
          <w:szCs w:val="24"/>
          <w:rtl/>
        </w:rPr>
        <w:t>»</w:t>
      </w:r>
      <w:r w:rsidRPr="006571AC">
        <w:rPr>
          <w:rFonts w:hint="cs"/>
          <w:sz w:val="27"/>
          <w:rtl/>
          <w:lang w:bidi="ar-IQ"/>
        </w:rPr>
        <w:t xml:space="preserve"> في كلام الإمام المعصوم</w:t>
      </w:r>
      <w:r w:rsidR="002A2C90" w:rsidRPr="006571AC">
        <w:rPr>
          <w:rFonts w:ascii="Mosawi" w:hAnsi="Mosawi" w:cs="Mosawi"/>
          <w:sz w:val="22"/>
          <w:szCs w:val="22"/>
          <w:rtl/>
        </w:rPr>
        <w:t>×</w:t>
      </w:r>
      <w:r w:rsidRPr="006571AC">
        <w:rPr>
          <w:rFonts w:hint="cs"/>
          <w:sz w:val="27"/>
          <w:rtl/>
          <w:lang w:bidi="ar-IQ"/>
        </w:rPr>
        <w:t>، يكون في الرواية ظهور</w:t>
      </w:r>
      <w:r w:rsidR="00495EFF" w:rsidRPr="006571AC">
        <w:rPr>
          <w:rFonts w:hint="cs"/>
          <w:sz w:val="27"/>
          <w:rtl/>
          <w:lang w:bidi="ar-IQ"/>
        </w:rPr>
        <w:t>ٌ</w:t>
      </w:r>
      <w:r w:rsidRPr="006571AC">
        <w:rPr>
          <w:rFonts w:hint="cs"/>
          <w:sz w:val="27"/>
          <w:rtl/>
          <w:lang w:bidi="ar-IQ"/>
        </w:rPr>
        <w:t xml:space="preserve"> لغوي</w:t>
      </w:r>
      <w:r w:rsidR="00495EFF" w:rsidRPr="006571AC">
        <w:rPr>
          <w:rFonts w:hint="cs"/>
          <w:sz w:val="27"/>
          <w:rtl/>
          <w:lang w:bidi="ar-IQ"/>
        </w:rPr>
        <w:t>ّ</w:t>
      </w:r>
      <w:r w:rsidRPr="006571AC">
        <w:rPr>
          <w:rFonts w:hint="cs"/>
          <w:sz w:val="27"/>
          <w:rtl/>
          <w:lang w:bidi="ar-IQ"/>
        </w:rPr>
        <w:t xml:space="preserve"> وف</w:t>
      </w:r>
      <w:r w:rsidR="00495EFF" w:rsidRPr="006571AC">
        <w:rPr>
          <w:rFonts w:hint="cs"/>
          <w:sz w:val="27"/>
          <w:rtl/>
          <w:lang w:bidi="ar-IQ"/>
        </w:rPr>
        <w:t>َ</w:t>
      </w:r>
      <w:r w:rsidRPr="006571AC">
        <w:rPr>
          <w:rFonts w:hint="cs"/>
          <w:sz w:val="27"/>
          <w:rtl/>
          <w:lang w:bidi="ar-IQ"/>
        </w:rPr>
        <w:t>ه</w:t>
      </w:r>
      <w:r w:rsidR="00495EFF" w:rsidRPr="006571AC">
        <w:rPr>
          <w:rFonts w:hint="cs"/>
          <w:sz w:val="27"/>
          <w:rtl/>
          <w:lang w:bidi="ar-IQ"/>
        </w:rPr>
        <w:t>ْ</w:t>
      </w:r>
      <w:r w:rsidRPr="006571AC">
        <w:rPr>
          <w:rFonts w:hint="cs"/>
          <w:sz w:val="27"/>
          <w:rtl/>
          <w:lang w:bidi="ar-IQ"/>
        </w:rPr>
        <w:t>م</w:t>
      </w:r>
      <w:r w:rsidR="00495EFF" w:rsidRPr="006571AC">
        <w:rPr>
          <w:rFonts w:hint="cs"/>
          <w:sz w:val="27"/>
          <w:rtl/>
          <w:lang w:bidi="ar-IQ"/>
        </w:rPr>
        <w:t>ٌ</w:t>
      </w:r>
      <w:r w:rsidRPr="006571AC">
        <w:rPr>
          <w:rFonts w:hint="cs"/>
          <w:sz w:val="27"/>
          <w:rtl/>
          <w:lang w:bidi="ar-IQ"/>
        </w:rPr>
        <w:t xml:space="preserve"> عُر</w:t>
      </w:r>
      <w:r w:rsidR="00495EFF" w:rsidRPr="006571AC">
        <w:rPr>
          <w:rFonts w:hint="cs"/>
          <w:sz w:val="27"/>
          <w:rtl/>
          <w:lang w:bidi="ar-IQ"/>
        </w:rPr>
        <w:t>ْ</w:t>
      </w:r>
      <w:r w:rsidRPr="006571AC">
        <w:rPr>
          <w:rFonts w:hint="cs"/>
          <w:sz w:val="27"/>
          <w:rtl/>
          <w:lang w:bidi="ar-IQ"/>
        </w:rPr>
        <w:t xml:space="preserve">في على سبق </w:t>
      </w:r>
      <w:r w:rsidRPr="006571AC">
        <w:rPr>
          <w:rFonts w:hint="cs"/>
          <w:sz w:val="27"/>
          <w:rtl/>
          <w:lang w:bidi="ar-IQ"/>
        </w:rPr>
        <w:lastRenderedPageBreak/>
        <w:t>تحق</w:t>
      </w:r>
      <w:r w:rsidR="00495EFF" w:rsidRPr="006571AC">
        <w:rPr>
          <w:rFonts w:hint="cs"/>
          <w:sz w:val="27"/>
          <w:rtl/>
          <w:lang w:bidi="ar-IQ"/>
        </w:rPr>
        <w:t>ُّ</w:t>
      </w:r>
      <w:r w:rsidRPr="006571AC">
        <w:rPr>
          <w:rFonts w:hint="cs"/>
          <w:sz w:val="27"/>
          <w:rtl/>
          <w:lang w:bidi="ar-IQ"/>
        </w:rPr>
        <w:t>ق أو توق</w:t>
      </w:r>
      <w:r w:rsidR="00495EFF" w:rsidRPr="006571AC">
        <w:rPr>
          <w:rFonts w:hint="cs"/>
          <w:sz w:val="27"/>
          <w:rtl/>
          <w:lang w:bidi="ar-IQ"/>
        </w:rPr>
        <w:t>ُّ</w:t>
      </w:r>
      <w:r w:rsidRPr="006571AC">
        <w:rPr>
          <w:rFonts w:hint="cs"/>
          <w:sz w:val="27"/>
          <w:rtl/>
          <w:lang w:bidi="ar-IQ"/>
        </w:rPr>
        <w:t>ع سبق النزاع</w:t>
      </w:r>
      <w:r w:rsidR="00495EFF" w:rsidRPr="006571AC">
        <w:rPr>
          <w:rFonts w:hint="cs"/>
          <w:sz w:val="27"/>
          <w:rtl/>
          <w:lang w:bidi="ar-IQ"/>
        </w:rPr>
        <w:t>.</w:t>
      </w:r>
      <w:r w:rsidRPr="006571AC">
        <w:rPr>
          <w:rFonts w:hint="cs"/>
          <w:sz w:val="27"/>
          <w:rtl/>
          <w:lang w:bidi="ar-IQ"/>
        </w:rPr>
        <w:t xml:space="preserve"> وعليه يكون الاستدلال بالرواية على مشروعية الصلح الابتدائي موضع تأمّ</w:t>
      </w:r>
      <w:r w:rsidR="00495EFF" w:rsidRPr="006571AC">
        <w:rPr>
          <w:rFonts w:hint="cs"/>
          <w:sz w:val="27"/>
          <w:rtl/>
          <w:lang w:bidi="ar-IQ"/>
        </w:rPr>
        <w:t>ُ</w:t>
      </w:r>
      <w:r w:rsidRPr="006571AC">
        <w:rPr>
          <w:rFonts w:hint="cs"/>
          <w:sz w:val="27"/>
          <w:rtl/>
          <w:lang w:bidi="ar-IQ"/>
        </w:rPr>
        <w:t>ل</w:t>
      </w:r>
      <w:r w:rsidR="00495EFF" w:rsidRPr="006571AC">
        <w:rPr>
          <w:rFonts w:hint="cs"/>
          <w:sz w:val="27"/>
          <w:rtl/>
          <w:lang w:bidi="ar-IQ"/>
        </w:rPr>
        <w:t>ٍ</w:t>
      </w:r>
      <w:r w:rsidRPr="006571AC">
        <w:rPr>
          <w:rFonts w:hint="cs"/>
          <w:sz w:val="27"/>
          <w:rtl/>
          <w:lang w:bidi="ar-IQ"/>
        </w:rPr>
        <w:t xml:space="preserve">. </w:t>
      </w:r>
    </w:p>
    <w:p w:rsidR="004B16C6" w:rsidRPr="006571AC" w:rsidRDefault="004B16C6" w:rsidP="004B16C6">
      <w:pPr>
        <w:spacing w:line="420" w:lineRule="exact"/>
        <w:rPr>
          <w:sz w:val="27"/>
          <w:rtl/>
        </w:rPr>
      </w:pPr>
    </w:p>
    <w:p w:rsidR="00381A52" w:rsidRPr="006571AC" w:rsidRDefault="00FC7A16" w:rsidP="00714072">
      <w:pPr>
        <w:pStyle w:val="31"/>
        <w:rPr>
          <w:color w:val="auto"/>
          <w:rtl/>
          <w:lang w:bidi="ar-IQ"/>
        </w:rPr>
      </w:pPr>
      <w:bookmarkStart w:id="136" w:name="_Toc114164625"/>
      <w:r w:rsidRPr="006571AC">
        <w:rPr>
          <w:rFonts w:hint="cs"/>
          <w:color w:val="auto"/>
          <w:rtl/>
          <w:lang w:bidi="ar-IQ"/>
        </w:rPr>
        <w:t>هـ ـ</w:t>
      </w:r>
      <w:r w:rsidR="00381A52" w:rsidRPr="006571AC">
        <w:rPr>
          <w:rFonts w:hint="cs"/>
          <w:color w:val="auto"/>
          <w:rtl/>
          <w:lang w:bidi="ar-IQ"/>
        </w:rPr>
        <w:t xml:space="preserve"> صحيحة الحلبي</w:t>
      </w:r>
      <w:bookmarkEnd w:id="136"/>
    </w:p>
    <w:p w:rsidR="00DB276F" w:rsidRPr="006571AC" w:rsidRDefault="00381A52" w:rsidP="00552C10">
      <w:pPr>
        <w:rPr>
          <w:sz w:val="27"/>
          <w:rtl/>
          <w:lang w:bidi="ar-IQ"/>
        </w:rPr>
      </w:pPr>
      <w:r w:rsidRPr="006571AC">
        <w:rPr>
          <w:rFonts w:hint="eastAsia"/>
          <w:sz w:val="24"/>
          <w:szCs w:val="24"/>
          <w:rtl/>
        </w:rPr>
        <w:t>«</w:t>
      </w:r>
      <w:r w:rsidRPr="006571AC">
        <w:rPr>
          <w:sz w:val="27"/>
          <w:rtl/>
          <w:lang w:bidi="ar-IQ"/>
        </w:rPr>
        <w:t>محمد بن علي</w:t>
      </w:r>
      <w:r w:rsidR="00495EFF" w:rsidRPr="006571AC">
        <w:rPr>
          <w:rFonts w:hint="cs"/>
          <w:sz w:val="27"/>
          <w:rtl/>
          <w:lang w:bidi="ar-IQ"/>
        </w:rPr>
        <w:t>ّ</w:t>
      </w:r>
      <w:r w:rsidRPr="006571AC">
        <w:rPr>
          <w:sz w:val="27"/>
          <w:rtl/>
          <w:lang w:bidi="ar-IQ"/>
        </w:rPr>
        <w:t xml:space="preserve"> بن الحسين</w:t>
      </w:r>
      <w:r w:rsidR="00495EFF" w:rsidRPr="006571AC">
        <w:rPr>
          <w:rFonts w:hint="cs"/>
          <w:sz w:val="27"/>
          <w:rtl/>
          <w:lang w:bidi="ar-IQ"/>
        </w:rPr>
        <w:t xml:space="preserve"> [الصدوق]</w:t>
      </w:r>
      <w:r w:rsidRPr="006571AC">
        <w:rPr>
          <w:sz w:val="27"/>
          <w:rtl/>
          <w:lang w:bidi="ar-IQ"/>
        </w:rPr>
        <w:t xml:space="preserve"> بإسناده عن حم</w:t>
      </w:r>
      <w:r w:rsidR="00495EFF" w:rsidRPr="006571AC">
        <w:rPr>
          <w:rFonts w:hint="cs"/>
          <w:sz w:val="27"/>
          <w:rtl/>
          <w:lang w:bidi="ar-IQ"/>
        </w:rPr>
        <w:t>ّ</w:t>
      </w:r>
      <w:r w:rsidRPr="006571AC">
        <w:rPr>
          <w:sz w:val="27"/>
          <w:rtl/>
          <w:lang w:bidi="ar-IQ"/>
        </w:rPr>
        <w:t>اد، عن الحلبي، عن أبي عبد</w:t>
      </w:r>
      <w:r w:rsidRPr="006571AC">
        <w:rPr>
          <w:rFonts w:hint="cs"/>
          <w:sz w:val="27"/>
          <w:rtl/>
          <w:lang w:bidi="ar-IQ"/>
        </w:rPr>
        <w:t xml:space="preserve"> </w:t>
      </w:r>
      <w:r w:rsidRPr="006571AC">
        <w:rPr>
          <w:sz w:val="27"/>
          <w:rtl/>
          <w:lang w:bidi="ar-IQ"/>
        </w:rPr>
        <w:t>الله</w:t>
      </w:r>
      <w:r w:rsidR="002A2C90" w:rsidRPr="006571AC">
        <w:rPr>
          <w:rFonts w:ascii="Mosawi" w:hAnsi="Mosawi" w:cs="Mosawi"/>
          <w:sz w:val="22"/>
          <w:szCs w:val="22"/>
          <w:rtl/>
        </w:rPr>
        <w:t>×</w:t>
      </w:r>
      <w:r w:rsidRPr="006571AC">
        <w:rPr>
          <w:rFonts w:hint="cs"/>
          <w:sz w:val="27"/>
          <w:rtl/>
          <w:lang w:bidi="ar-IQ"/>
        </w:rPr>
        <w:t xml:space="preserve">، </w:t>
      </w:r>
      <w:r w:rsidRPr="006571AC">
        <w:rPr>
          <w:sz w:val="27"/>
          <w:rtl/>
          <w:lang w:bidi="ar-IQ"/>
        </w:rPr>
        <w:t>في الرجل يعطى أقفزة</w:t>
      </w:r>
      <w:r w:rsidR="00495EFF" w:rsidRPr="006571AC">
        <w:rPr>
          <w:rFonts w:hint="cs"/>
          <w:sz w:val="27"/>
          <w:rtl/>
          <w:lang w:bidi="ar-IQ"/>
        </w:rPr>
        <w:t>ً</w:t>
      </w:r>
      <w:r w:rsidRPr="006571AC">
        <w:rPr>
          <w:sz w:val="27"/>
          <w:rtl/>
          <w:lang w:bidi="ar-IQ"/>
        </w:rPr>
        <w:t xml:space="preserve"> </w:t>
      </w:r>
      <w:r w:rsidR="00B2657E" w:rsidRPr="006571AC">
        <w:rPr>
          <w:sz w:val="27"/>
          <w:rtl/>
          <w:lang w:bidi="ar-IQ"/>
        </w:rPr>
        <w:t>من حنط</w:t>
      </w:r>
      <w:r w:rsidR="00B2657E" w:rsidRPr="006571AC">
        <w:rPr>
          <w:rFonts w:hint="cs"/>
          <w:sz w:val="27"/>
          <w:rtl/>
          <w:lang w:bidi="ar-IQ"/>
        </w:rPr>
        <w:t>ةٍ</w:t>
      </w:r>
      <w:r w:rsidRPr="006571AC">
        <w:rPr>
          <w:sz w:val="27"/>
          <w:rtl/>
          <w:lang w:bidi="ar-IQ"/>
        </w:rPr>
        <w:t xml:space="preserve"> معلومة يطحنون بالدراهم</w:t>
      </w:r>
      <w:r w:rsidRPr="006571AC">
        <w:rPr>
          <w:rFonts w:hint="cs"/>
          <w:sz w:val="27"/>
          <w:rtl/>
          <w:lang w:bidi="ar-IQ"/>
        </w:rPr>
        <w:t xml:space="preserve">، </w:t>
      </w:r>
      <w:r w:rsidRPr="006571AC">
        <w:rPr>
          <w:sz w:val="27"/>
          <w:rtl/>
          <w:lang w:bidi="ar-IQ"/>
        </w:rPr>
        <w:t>فلما فرغ الطح</w:t>
      </w:r>
      <w:r w:rsidR="00D3247B" w:rsidRPr="006571AC">
        <w:rPr>
          <w:rFonts w:hint="cs"/>
          <w:sz w:val="27"/>
          <w:rtl/>
          <w:lang w:bidi="ar-IQ"/>
        </w:rPr>
        <w:t>ّ</w:t>
      </w:r>
      <w:r w:rsidRPr="006571AC">
        <w:rPr>
          <w:sz w:val="27"/>
          <w:rtl/>
          <w:lang w:bidi="ar-IQ"/>
        </w:rPr>
        <w:t>ان من ط</w:t>
      </w:r>
      <w:r w:rsidR="00B2657E" w:rsidRPr="006571AC">
        <w:rPr>
          <w:rFonts w:hint="cs"/>
          <w:sz w:val="27"/>
          <w:rtl/>
          <w:lang w:bidi="ar-IQ"/>
        </w:rPr>
        <w:t>َ</w:t>
      </w:r>
      <w:r w:rsidRPr="006571AC">
        <w:rPr>
          <w:sz w:val="27"/>
          <w:rtl/>
          <w:lang w:bidi="ar-IQ"/>
        </w:rPr>
        <w:t>ح</w:t>
      </w:r>
      <w:r w:rsidR="00B2657E" w:rsidRPr="006571AC">
        <w:rPr>
          <w:rFonts w:hint="cs"/>
          <w:sz w:val="27"/>
          <w:rtl/>
          <w:lang w:bidi="ar-IQ"/>
        </w:rPr>
        <w:t>ْ</w:t>
      </w:r>
      <w:r w:rsidRPr="006571AC">
        <w:rPr>
          <w:sz w:val="27"/>
          <w:rtl/>
          <w:lang w:bidi="ar-IQ"/>
        </w:rPr>
        <w:t>نه ن</w:t>
      </w:r>
      <w:r w:rsidR="00D3247B" w:rsidRPr="006571AC">
        <w:rPr>
          <w:rFonts w:hint="cs"/>
          <w:sz w:val="27"/>
          <w:rtl/>
          <w:lang w:bidi="ar-IQ"/>
        </w:rPr>
        <w:t>َ</w:t>
      </w:r>
      <w:r w:rsidRPr="006571AC">
        <w:rPr>
          <w:sz w:val="27"/>
          <w:rtl/>
          <w:lang w:bidi="ar-IQ"/>
        </w:rPr>
        <w:t>ق</w:t>
      </w:r>
      <w:r w:rsidR="00D3247B" w:rsidRPr="006571AC">
        <w:rPr>
          <w:rFonts w:hint="cs"/>
          <w:sz w:val="27"/>
          <w:rtl/>
          <w:lang w:bidi="ar-IQ"/>
        </w:rPr>
        <w:t>َ</w:t>
      </w:r>
      <w:r w:rsidRPr="006571AC">
        <w:rPr>
          <w:sz w:val="27"/>
          <w:rtl/>
          <w:lang w:bidi="ar-IQ"/>
        </w:rPr>
        <w:t>د</w:t>
      </w:r>
      <w:r w:rsidR="00D3247B" w:rsidRPr="006571AC">
        <w:rPr>
          <w:rFonts w:hint="cs"/>
          <w:sz w:val="27"/>
          <w:rtl/>
          <w:lang w:bidi="ar-IQ"/>
        </w:rPr>
        <w:t>َ</w:t>
      </w:r>
      <w:r w:rsidRPr="006571AC">
        <w:rPr>
          <w:sz w:val="27"/>
          <w:rtl/>
          <w:lang w:bidi="ar-IQ"/>
        </w:rPr>
        <w:t>ه الدراهم وقفيزا</w:t>
      </w:r>
      <w:r w:rsidRPr="006571AC">
        <w:rPr>
          <w:rFonts w:hint="cs"/>
          <w:sz w:val="27"/>
          <w:rtl/>
          <w:lang w:bidi="ar-IQ"/>
        </w:rPr>
        <w:t>ً</w:t>
      </w:r>
      <w:r w:rsidRPr="006571AC">
        <w:rPr>
          <w:sz w:val="27"/>
          <w:rtl/>
          <w:lang w:bidi="ar-IQ"/>
        </w:rPr>
        <w:t xml:space="preserve"> منه، وهو شيء</w:t>
      </w:r>
      <w:r w:rsidR="00D3247B" w:rsidRPr="006571AC">
        <w:rPr>
          <w:rFonts w:hint="cs"/>
          <w:sz w:val="27"/>
          <w:rtl/>
          <w:lang w:bidi="ar-IQ"/>
        </w:rPr>
        <w:t>ٌ</w:t>
      </w:r>
      <w:r w:rsidRPr="006571AC">
        <w:rPr>
          <w:sz w:val="27"/>
          <w:rtl/>
          <w:lang w:bidi="ar-IQ"/>
        </w:rPr>
        <w:t xml:space="preserve"> قد اصطلحوا عليه فيما بينهم، قال</w:t>
      </w:r>
      <w:r w:rsidR="002A2C90" w:rsidRPr="006571AC">
        <w:rPr>
          <w:rFonts w:ascii="Mosawi" w:hAnsi="Mosawi" w:cs="Mosawi"/>
          <w:sz w:val="22"/>
          <w:szCs w:val="22"/>
          <w:rtl/>
        </w:rPr>
        <w:t>×</w:t>
      </w:r>
      <w:r w:rsidRPr="006571AC">
        <w:rPr>
          <w:sz w:val="27"/>
          <w:rtl/>
          <w:lang w:bidi="ar-IQ"/>
        </w:rPr>
        <w:t>: لا بأس به</w:t>
      </w:r>
      <w:r w:rsidR="00D3247B" w:rsidRPr="006571AC">
        <w:rPr>
          <w:rFonts w:hint="cs"/>
          <w:sz w:val="27"/>
          <w:rtl/>
          <w:lang w:bidi="ar-IQ"/>
        </w:rPr>
        <w:t>،</w:t>
      </w:r>
      <w:r w:rsidRPr="006571AC">
        <w:rPr>
          <w:sz w:val="27"/>
          <w:rtl/>
          <w:lang w:bidi="ar-IQ"/>
        </w:rPr>
        <w:t xml:space="preserve"> وإن</w:t>
      </w:r>
      <w:r w:rsidR="00D3247B" w:rsidRPr="006571AC">
        <w:rPr>
          <w:rFonts w:hint="cs"/>
          <w:sz w:val="27"/>
          <w:rtl/>
          <w:lang w:bidi="ar-IQ"/>
        </w:rPr>
        <w:t>ْ</w:t>
      </w:r>
      <w:r w:rsidRPr="006571AC">
        <w:rPr>
          <w:sz w:val="27"/>
          <w:rtl/>
          <w:lang w:bidi="ar-IQ"/>
        </w:rPr>
        <w:t xml:space="preserve"> لم يكن ساعره على ذلك</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12"/>
      </w:r>
      <w:r w:rsidRPr="006571AC">
        <w:rPr>
          <w:sz w:val="27"/>
          <w:vertAlign w:val="superscript"/>
          <w:rtl/>
          <w:lang w:bidi="ar-IQ"/>
        </w:rPr>
        <w:t>)</w:t>
      </w:r>
      <w:r w:rsidRPr="006571AC">
        <w:rPr>
          <w:rFonts w:hint="cs"/>
          <w:sz w:val="27"/>
          <w:rtl/>
          <w:lang w:bidi="ar-IQ"/>
        </w:rPr>
        <w:t xml:space="preserve">. </w:t>
      </w:r>
    </w:p>
    <w:p w:rsidR="00D3247B" w:rsidRPr="006571AC" w:rsidRDefault="00DB276F"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sz w:val="27"/>
          <w:rtl/>
          <w:lang w:bidi="ar-IQ"/>
        </w:rPr>
        <w:t xml:space="preserve">: </w:t>
      </w:r>
      <w:r w:rsidR="00381A52" w:rsidRPr="006571AC">
        <w:rPr>
          <w:rFonts w:hint="cs"/>
          <w:sz w:val="27"/>
          <w:rtl/>
          <w:lang w:bidi="ar-IQ"/>
        </w:rPr>
        <w:t xml:space="preserve">إن سند الشيخ الصدوق إلى حمّاد بن عثمان عبارة عن: </w:t>
      </w:r>
      <w:r w:rsidR="00381A52" w:rsidRPr="006571AC">
        <w:rPr>
          <w:rFonts w:hint="eastAsia"/>
          <w:sz w:val="24"/>
          <w:szCs w:val="24"/>
          <w:rtl/>
        </w:rPr>
        <w:t>«</w:t>
      </w:r>
      <w:r w:rsidR="00381A52" w:rsidRPr="006571AC">
        <w:rPr>
          <w:rFonts w:hint="cs"/>
          <w:sz w:val="27"/>
          <w:rtl/>
          <w:lang w:bidi="ar-IQ"/>
        </w:rPr>
        <w:t>أ</w:t>
      </w:r>
      <w:r w:rsidR="00381A52" w:rsidRPr="006571AC">
        <w:rPr>
          <w:sz w:val="27"/>
          <w:rtl/>
          <w:lang w:bidi="ar-IQ"/>
        </w:rPr>
        <w:t>ب</w:t>
      </w:r>
      <w:r w:rsidR="00D3247B" w:rsidRPr="006571AC">
        <w:rPr>
          <w:rFonts w:hint="cs"/>
          <w:sz w:val="27"/>
          <w:rtl/>
          <w:lang w:bidi="ar-IQ"/>
        </w:rPr>
        <w:t>ي</w:t>
      </w:r>
      <w:r w:rsidR="00381A52" w:rsidRPr="006571AC">
        <w:rPr>
          <w:sz w:val="27"/>
          <w:rtl/>
          <w:lang w:bidi="ar-IQ"/>
        </w:rPr>
        <w:t>ه</w:t>
      </w:r>
      <w:r w:rsidR="00381A52" w:rsidRPr="006571AC">
        <w:rPr>
          <w:rFonts w:hint="cs"/>
          <w:sz w:val="27"/>
          <w:rtl/>
          <w:lang w:bidi="ar-IQ"/>
        </w:rPr>
        <w:t xml:space="preserve">، </w:t>
      </w:r>
      <w:r w:rsidR="00381A52" w:rsidRPr="006571AC">
        <w:rPr>
          <w:sz w:val="27"/>
          <w:rtl/>
          <w:lang w:bidi="ar-IQ"/>
        </w:rPr>
        <w:t>عن سعد بن عبد</w:t>
      </w:r>
      <w:r w:rsidR="00381A52" w:rsidRPr="006571AC">
        <w:rPr>
          <w:rFonts w:hint="cs"/>
          <w:sz w:val="27"/>
          <w:rtl/>
          <w:lang w:bidi="ar-IQ"/>
        </w:rPr>
        <w:t xml:space="preserve"> </w:t>
      </w:r>
      <w:r w:rsidR="00381A52" w:rsidRPr="006571AC">
        <w:rPr>
          <w:sz w:val="27"/>
          <w:rtl/>
          <w:lang w:bidi="ar-IQ"/>
        </w:rPr>
        <w:t>الل</w:t>
      </w:r>
      <w:r w:rsidR="00381A52" w:rsidRPr="006571AC">
        <w:rPr>
          <w:rFonts w:hint="cs"/>
          <w:sz w:val="27"/>
          <w:rtl/>
          <w:lang w:bidi="ar-IQ"/>
        </w:rPr>
        <w:t>ه</w:t>
      </w:r>
      <w:r w:rsidR="00381A52" w:rsidRPr="006571AC">
        <w:rPr>
          <w:sz w:val="27"/>
          <w:rtl/>
          <w:lang w:bidi="ar-IQ"/>
        </w:rPr>
        <w:t xml:space="preserve"> والحم</w:t>
      </w:r>
      <w:r w:rsidR="00381A52" w:rsidRPr="006571AC">
        <w:rPr>
          <w:rFonts w:hint="cs"/>
          <w:sz w:val="27"/>
          <w:rtl/>
          <w:lang w:bidi="ar-IQ"/>
        </w:rPr>
        <w:t>ي</w:t>
      </w:r>
      <w:r w:rsidR="00381A52" w:rsidRPr="006571AC">
        <w:rPr>
          <w:rFonts w:hint="eastAsia"/>
          <w:sz w:val="27"/>
          <w:rtl/>
          <w:lang w:bidi="ar-IQ"/>
        </w:rPr>
        <w:t>ر</w:t>
      </w:r>
      <w:r w:rsidR="00381A52" w:rsidRPr="006571AC">
        <w:rPr>
          <w:rFonts w:hint="cs"/>
          <w:sz w:val="27"/>
          <w:rtl/>
          <w:lang w:bidi="ar-IQ"/>
        </w:rPr>
        <w:t>ي</w:t>
      </w:r>
      <w:r w:rsidR="00381A52" w:rsidRPr="006571AC">
        <w:rPr>
          <w:sz w:val="27"/>
          <w:rtl/>
          <w:lang w:bidi="ar-IQ"/>
        </w:rPr>
        <w:t xml:space="preserve"> جم</w:t>
      </w:r>
      <w:r w:rsidR="00381A52" w:rsidRPr="006571AC">
        <w:rPr>
          <w:rFonts w:hint="cs"/>
          <w:sz w:val="27"/>
          <w:rtl/>
          <w:lang w:bidi="ar-IQ"/>
        </w:rPr>
        <w:t>ي</w:t>
      </w:r>
      <w:r w:rsidR="00381A52" w:rsidRPr="006571AC">
        <w:rPr>
          <w:rFonts w:hint="eastAsia"/>
          <w:sz w:val="27"/>
          <w:rtl/>
          <w:lang w:bidi="ar-IQ"/>
        </w:rPr>
        <w:t>عا</w:t>
      </w:r>
      <w:r w:rsidR="00381A52" w:rsidRPr="006571AC">
        <w:rPr>
          <w:rFonts w:hint="cs"/>
          <w:sz w:val="27"/>
          <w:rtl/>
          <w:lang w:bidi="ar-IQ"/>
        </w:rPr>
        <w:t xml:space="preserve">ً، </w:t>
      </w:r>
      <w:r w:rsidR="00381A52" w:rsidRPr="006571AC">
        <w:rPr>
          <w:sz w:val="27"/>
          <w:rtl/>
          <w:lang w:bidi="ar-IQ"/>
        </w:rPr>
        <w:t>عن محمد بن الول</w:t>
      </w:r>
      <w:r w:rsidR="00381A52" w:rsidRPr="006571AC">
        <w:rPr>
          <w:rFonts w:hint="cs"/>
          <w:sz w:val="27"/>
          <w:rtl/>
          <w:lang w:bidi="ar-IQ"/>
        </w:rPr>
        <w:t>ي</w:t>
      </w:r>
      <w:r w:rsidR="00381A52" w:rsidRPr="006571AC">
        <w:rPr>
          <w:rFonts w:hint="eastAsia"/>
          <w:sz w:val="27"/>
          <w:rtl/>
          <w:lang w:bidi="ar-IQ"/>
        </w:rPr>
        <w:t>د</w:t>
      </w:r>
      <w:r w:rsidR="00381A52" w:rsidRPr="006571AC">
        <w:rPr>
          <w:rFonts w:hint="cs"/>
          <w:sz w:val="27"/>
          <w:rtl/>
          <w:lang w:bidi="ar-IQ"/>
        </w:rPr>
        <w:t xml:space="preserve"> </w:t>
      </w:r>
      <w:r w:rsidR="00381A52" w:rsidRPr="006571AC">
        <w:rPr>
          <w:sz w:val="27"/>
          <w:rtl/>
          <w:lang w:bidi="ar-IQ"/>
        </w:rPr>
        <w:t>الخز</w:t>
      </w:r>
      <w:r w:rsidR="00D3247B" w:rsidRPr="006571AC">
        <w:rPr>
          <w:rFonts w:hint="cs"/>
          <w:sz w:val="27"/>
          <w:rtl/>
          <w:lang w:bidi="ar-IQ"/>
        </w:rPr>
        <w:t>ّ</w:t>
      </w:r>
      <w:r w:rsidR="00381A52" w:rsidRPr="006571AC">
        <w:rPr>
          <w:sz w:val="27"/>
          <w:rtl/>
          <w:lang w:bidi="ar-IQ"/>
        </w:rPr>
        <w:t>از</w:t>
      </w:r>
      <w:r w:rsidR="00381A52" w:rsidRPr="006571AC">
        <w:rPr>
          <w:rFonts w:hint="cs"/>
          <w:sz w:val="27"/>
          <w:rtl/>
          <w:lang w:bidi="ar-IQ"/>
        </w:rPr>
        <w:t xml:space="preserve">، </w:t>
      </w:r>
      <w:r w:rsidR="00381A52" w:rsidRPr="006571AC">
        <w:rPr>
          <w:sz w:val="27"/>
          <w:rtl/>
          <w:lang w:bidi="ar-IQ"/>
        </w:rPr>
        <w:t>عن حم</w:t>
      </w:r>
      <w:r w:rsidR="00D3247B" w:rsidRPr="006571AC">
        <w:rPr>
          <w:rFonts w:hint="cs"/>
          <w:sz w:val="27"/>
          <w:rtl/>
          <w:lang w:bidi="ar-IQ"/>
        </w:rPr>
        <w:t>ّ</w:t>
      </w:r>
      <w:r w:rsidR="00381A52" w:rsidRPr="006571AC">
        <w:rPr>
          <w:sz w:val="27"/>
          <w:rtl/>
          <w:lang w:bidi="ar-IQ"/>
        </w:rPr>
        <w:t>اد بن عثمان</w:t>
      </w:r>
      <w:r w:rsidR="00381A52" w:rsidRPr="006571AC">
        <w:rPr>
          <w:rFonts w:hint="eastAsia"/>
          <w:sz w:val="24"/>
          <w:szCs w:val="24"/>
          <w:rtl/>
        </w:rPr>
        <w:t>»</w:t>
      </w:r>
      <w:r w:rsidR="00381A52" w:rsidRPr="006571AC">
        <w:rPr>
          <w:sz w:val="27"/>
          <w:vertAlign w:val="superscript"/>
          <w:rtl/>
          <w:lang w:bidi="ar-IQ"/>
        </w:rPr>
        <w:t>(</w:t>
      </w:r>
      <w:r w:rsidR="00381A52" w:rsidRPr="006571AC">
        <w:rPr>
          <w:rStyle w:val="ac"/>
          <w:sz w:val="27"/>
          <w:rtl/>
          <w:lang w:bidi="ar-IQ"/>
        </w:rPr>
        <w:endnoteReference w:id="313"/>
      </w:r>
      <w:r w:rsidR="00381A52" w:rsidRPr="006571AC">
        <w:rPr>
          <w:sz w:val="27"/>
          <w:vertAlign w:val="superscript"/>
          <w:rtl/>
          <w:lang w:bidi="ar-IQ"/>
        </w:rPr>
        <w:t>)</w:t>
      </w:r>
      <w:r w:rsidR="00381A52" w:rsidRPr="006571AC">
        <w:rPr>
          <w:rFonts w:hint="cs"/>
          <w:sz w:val="27"/>
          <w:rtl/>
          <w:lang w:bidi="ar-IQ"/>
        </w:rPr>
        <w:t>. والطريق المذكور صحيح</w:t>
      </w:r>
      <w:r w:rsidR="00D3247B" w:rsidRPr="006571AC">
        <w:rPr>
          <w:rFonts w:hint="cs"/>
          <w:sz w:val="27"/>
          <w:rtl/>
          <w:lang w:bidi="ar-IQ"/>
        </w:rPr>
        <w:t>ٌ.</w:t>
      </w:r>
    </w:p>
    <w:p w:rsidR="00D3247B" w:rsidRPr="006571AC" w:rsidRDefault="00381A52" w:rsidP="00552C10">
      <w:pPr>
        <w:rPr>
          <w:sz w:val="27"/>
          <w:rtl/>
          <w:lang w:bidi="ar-IQ"/>
        </w:rPr>
      </w:pPr>
      <w:r w:rsidRPr="006571AC">
        <w:rPr>
          <w:rFonts w:hint="cs"/>
          <w:sz w:val="27"/>
          <w:rtl/>
          <w:lang w:bidi="ar-IQ"/>
        </w:rPr>
        <w:t xml:space="preserve">وحمّاد بن عثمان </w:t>
      </w:r>
      <w:r w:rsidR="00D3247B" w:rsidRPr="006571AC">
        <w:rPr>
          <w:rFonts w:hint="cs"/>
          <w:sz w:val="27"/>
          <w:rtl/>
          <w:lang w:bidi="ar-IQ"/>
        </w:rPr>
        <w:t xml:space="preserve">ثقةٌ </w:t>
      </w:r>
      <w:r w:rsidRPr="006571AC">
        <w:rPr>
          <w:rFonts w:hint="cs"/>
          <w:sz w:val="27"/>
          <w:rtl/>
          <w:lang w:bidi="ar-IQ"/>
        </w:rPr>
        <w:t>ب</w:t>
      </w:r>
      <w:r w:rsidR="00EA38F1" w:rsidRPr="006571AC">
        <w:rPr>
          <w:rFonts w:hint="cs"/>
          <w:sz w:val="27"/>
          <w:rtl/>
          <w:lang w:bidi="ar-IQ"/>
        </w:rPr>
        <w:t>دَوْر</w:t>
      </w:r>
      <w:r w:rsidRPr="006571AC">
        <w:rPr>
          <w:rFonts w:hint="cs"/>
          <w:sz w:val="27"/>
          <w:rtl/>
          <w:lang w:bidi="ar-IQ"/>
        </w:rPr>
        <w:t>ه</w:t>
      </w:r>
      <w:r w:rsidR="00D3247B" w:rsidRPr="006571AC">
        <w:rPr>
          <w:rFonts w:hint="cs"/>
          <w:sz w:val="27"/>
          <w:rtl/>
          <w:lang w:bidi="ar-IQ"/>
        </w:rPr>
        <w:t>؛</w:t>
      </w:r>
      <w:r w:rsidRPr="006571AC">
        <w:rPr>
          <w:rFonts w:hint="cs"/>
          <w:sz w:val="27"/>
          <w:rtl/>
          <w:lang w:bidi="ar-IQ"/>
        </w:rPr>
        <w:t xml:space="preserve"> بشهادة الشيخ النجاشي</w:t>
      </w:r>
      <w:r w:rsidRPr="006571AC">
        <w:rPr>
          <w:sz w:val="27"/>
          <w:vertAlign w:val="superscript"/>
          <w:rtl/>
          <w:lang w:bidi="ar-IQ"/>
        </w:rPr>
        <w:t>(</w:t>
      </w:r>
      <w:r w:rsidRPr="006571AC">
        <w:rPr>
          <w:rStyle w:val="ac"/>
          <w:sz w:val="27"/>
          <w:rtl/>
          <w:lang w:bidi="ar-IQ"/>
        </w:rPr>
        <w:endnoteReference w:id="314"/>
      </w:r>
      <w:r w:rsidRPr="006571AC">
        <w:rPr>
          <w:sz w:val="27"/>
          <w:vertAlign w:val="superscript"/>
          <w:rtl/>
          <w:lang w:bidi="ar-IQ"/>
        </w:rPr>
        <w:t>)</w:t>
      </w:r>
      <w:r w:rsidR="00D3247B" w:rsidRPr="006571AC">
        <w:rPr>
          <w:rFonts w:hint="cs"/>
          <w:sz w:val="27"/>
          <w:rtl/>
          <w:lang w:bidi="ar-IQ"/>
        </w:rPr>
        <w:t>.</w:t>
      </w:r>
    </w:p>
    <w:p w:rsidR="00D3247B" w:rsidRPr="006571AC" w:rsidRDefault="00381A52" w:rsidP="00552C10">
      <w:pPr>
        <w:rPr>
          <w:sz w:val="27"/>
          <w:rtl/>
          <w:lang w:bidi="ar-IQ"/>
        </w:rPr>
      </w:pPr>
      <w:r w:rsidRPr="006571AC">
        <w:rPr>
          <w:rFonts w:hint="cs"/>
          <w:sz w:val="27"/>
          <w:rtl/>
          <w:lang w:bidi="ar-IQ"/>
        </w:rPr>
        <w:t>والمراد من الحلبي هو عبد الله بن علي</w:t>
      </w:r>
      <w:r w:rsidR="00D3247B" w:rsidRPr="006571AC">
        <w:rPr>
          <w:rFonts w:hint="cs"/>
          <w:sz w:val="27"/>
          <w:rtl/>
          <w:lang w:bidi="ar-IQ"/>
        </w:rPr>
        <w:t>ّ</w:t>
      </w:r>
      <w:r w:rsidRPr="006571AC">
        <w:rPr>
          <w:rFonts w:hint="cs"/>
          <w:sz w:val="27"/>
          <w:rtl/>
          <w:lang w:bidi="ar-IQ"/>
        </w:rPr>
        <w:t xml:space="preserve"> بن أبي شعبة الحلبي</w:t>
      </w:r>
      <w:r w:rsidR="00D3247B" w:rsidRPr="006571AC">
        <w:rPr>
          <w:rFonts w:hint="cs"/>
          <w:sz w:val="27"/>
          <w:rtl/>
          <w:lang w:bidi="ar-IQ"/>
        </w:rPr>
        <w:t>ّ</w:t>
      </w:r>
      <w:r w:rsidRPr="006571AC">
        <w:rPr>
          <w:rFonts w:hint="cs"/>
          <w:sz w:val="27"/>
          <w:rtl/>
          <w:lang w:bidi="ar-IQ"/>
        </w:rPr>
        <w:t>، وهو ثقة</w:t>
      </w:r>
      <w:r w:rsidR="00D3247B" w:rsidRPr="006571AC">
        <w:rPr>
          <w:rFonts w:hint="cs"/>
          <w:sz w:val="27"/>
          <w:rtl/>
          <w:lang w:bidi="ar-IQ"/>
        </w:rPr>
        <w:t>ٌ</w:t>
      </w:r>
      <w:r w:rsidRPr="006571AC">
        <w:rPr>
          <w:sz w:val="27"/>
          <w:vertAlign w:val="superscript"/>
          <w:rtl/>
          <w:lang w:bidi="ar-IQ"/>
        </w:rPr>
        <w:t>(</w:t>
      </w:r>
      <w:r w:rsidRPr="006571AC">
        <w:rPr>
          <w:rStyle w:val="ac"/>
          <w:sz w:val="27"/>
          <w:rtl/>
          <w:lang w:bidi="ar-IQ"/>
        </w:rPr>
        <w:endnoteReference w:id="315"/>
      </w:r>
      <w:r w:rsidRPr="006571AC">
        <w:rPr>
          <w:sz w:val="27"/>
          <w:vertAlign w:val="superscript"/>
          <w:rtl/>
          <w:lang w:bidi="ar-IQ"/>
        </w:rPr>
        <w:t>)</w:t>
      </w:r>
      <w:r w:rsidR="00D3247B" w:rsidRPr="006571AC">
        <w:rPr>
          <w:rFonts w:hint="cs"/>
          <w:sz w:val="27"/>
          <w:rtl/>
          <w:lang w:bidi="ar-IQ"/>
        </w:rPr>
        <w:t>.</w:t>
      </w:r>
    </w:p>
    <w:p w:rsidR="00DB276F" w:rsidRPr="006571AC" w:rsidRDefault="00381A52" w:rsidP="00552C10">
      <w:pPr>
        <w:rPr>
          <w:sz w:val="27"/>
          <w:rtl/>
          <w:lang w:bidi="ar-IQ"/>
        </w:rPr>
      </w:pPr>
      <w:r w:rsidRPr="006571AC">
        <w:rPr>
          <w:rFonts w:hint="cs"/>
          <w:sz w:val="27"/>
          <w:rtl/>
          <w:lang w:bidi="ar-IQ"/>
        </w:rPr>
        <w:t xml:space="preserve">وعليه فالرواية صحيحة السند. </w:t>
      </w:r>
    </w:p>
    <w:p w:rsidR="00381A52" w:rsidRPr="006571AC" w:rsidRDefault="00DB276F"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sz w:val="27"/>
          <w:rtl/>
          <w:lang w:bidi="ar-IQ"/>
        </w:rPr>
        <w:t xml:space="preserve">: </w:t>
      </w:r>
      <w:r w:rsidR="00381A52" w:rsidRPr="006571AC">
        <w:rPr>
          <w:rFonts w:hint="cs"/>
          <w:sz w:val="27"/>
          <w:rtl/>
          <w:lang w:bidi="ar-IQ"/>
        </w:rPr>
        <w:t>تتحدّ</w:t>
      </w:r>
      <w:r w:rsidR="00D3247B" w:rsidRPr="006571AC">
        <w:rPr>
          <w:rFonts w:hint="cs"/>
          <w:sz w:val="27"/>
          <w:rtl/>
          <w:lang w:bidi="ar-IQ"/>
        </w:rPr>
        <w:t>َ</w:t>
      </w:r>
      <w:r w:rsidR="00381A52" w:rsidRPr="006571AC">
        <w:rPr>
          <w:rFonts w:hint="cs"/>
          <w:sz w:val="27"/>
          <w:rtl/>
          <w:lang w:bidi="ar-IQ"/>
        </w:rPr>
        <w:t>ث الرواية عن شخص</w:t>
      </w:r>
      <w:r w:rsidR="00D3247B" w:rsidRPr="006571AC">
        <w:rPr>
          <w:rFonts w:hint="cs"/>
          <w:sz w:val="27"/>
          <w:rtl/>
          <w:lang w:bidi="ar-IQ"/>
        </w:rPr>
        <w:t>ٍ</w:t>
      </w:r>
      <w:r w:rsidR="00381A52" w:rsidRPr="006571AC">
        <w:rPr>
          <w:rFonts w:hint="cs"/>
          <w:sz w:val="27"/>
          <w:rtl/>
          <w:lang w:bidi="ar-IQ"/>
        </w:rPr>
        <w:t xml:space="preserve"> يمتلك حنطة</w:t>
      </w:r>
      <w:r w:rsidR="00D3247B" w:rsidRPr="006571AC">
        <w:rPr>
          <w:rFonts w:hint="cs"/>
          <w:sz w:val="27"/>
          <w:rtl/>
          <w:lang w:bidi="ar-IQ"/>
        </w:rPr>
        <w:t>ً،</w:t>
      </w:r>
      <w:r w:rsidR="00381A52" w:rsidRPr="006571AC">
        <w:rPr>
          <w:rFonts w:hint="cs"/>
          <w:sz w:val="27"/>
          <w:rtl/>
          <w:lang w:bidi="ar-IQ"/>
        </w:rPr>
        <w:t xml:space="preserve"> ويت</w:t>
      </w:r>
      <w:r w:rsidR="00D3247B" w:rsidRPr="006571AC">
        <w:rPr>
          <w:rFonts w:hint="cs"/>
          <w:sz w:val="27"/>
          <w:rtl/>
          <w:lang w:bidi="ar-IQ"/>
        </w:rPr>
        <w:t>َّ</w:t>
      </w:r>
      <w:r w:rsidR="00381A52" w:rsidRPr="006571AC">
        <w:rPr>
          <w:rFonts w:hint="cs"/>
          <w:sz w:val="27"/>
          <w:rtl/>
          <w:lang w:bidi="ar-IQ"/>
        </w:rPr>
        <w:t>فق مع طحّان</w:t>
      </w:r>
      <w:r w:rsidR="00D3247B" w:rsidRPr="006571AC">
        <w:rPr>
          <w:rFonts w:hint="cs"/>
          <w:sz w:val="27"/>
          <w:rtl/>
          <w:lang w:bidi="ar-IQ"/>
        </w:rPr>
        <w:t>ٍ</w:t>
      </w:r>
      <w:r w:rsidR="00381A52" w:rsidRPr="006571AC">
        <w:rPr>
          <w:rFonts w:hint="cs"/>
          <w:sz w:val="27"/>
          <w:rtl/>
          <w:lang w:bidi="ar-IQ"/>
        </w:rPr>
        <w:t xml:space="preserve"> ليطحن له حنطته، ولم يت</w:t>
      </w:r>
      <w:r w:rsidR="00D3247B" w:rsidRPr="006571AC">
        <w:rPr>
          <w:rFonts w:hint="cs"/>
          <w:sz w:val="27"/>
          <w:rtl/>
          <w:lang w:bidi="ar-IQ"/>
        </w:rPr>
        <w:t>َّفقا على مقد</w:t>
      </w:r>
      <w:r w:rsidR="00381A52" w:rsidRPr="006571AC">
        <w:rPr>
          <w:rFonts w:hint="cs"/>
          <w:sz w:val="27"/>
          <w:rtl/>
          <w:lang w:bidi="ar-IQ"/>
        </w:rPr>
        <w:t>ار</w:t>
      </w:r>
      <w:r w:rsidR="00D3247B" w:rsidRPr="006571AC">
        <w:rPr>
          <w:rFonts w:hint="cs"/>
          <w:sz w:val="27"/>
          <w:rtl/>
          <w:lang w:bidi="ar-IQ"/>
        </w:rPr>
        <w:t>ٍ</w:t>
      </w:r>
      <w:r w:rsidR="00381A52" w:rsidRPr="006571AC">
        <w:rPr>
          <w:rFonts w:hint="cs"/>
          <w:sz w:val="27"/>
          <w:rtl/>
          <w:lang w:bidi="ar-IQ"/>
        </w:rPr>
        <w:t xml:space="preserve"> معيّ</w:t>
      </w:r>
      <w:r w:rsidR="00D3247B" w:rsidRPr="006571AC">
        <w:rPr>
          <w:rFonts w:hint="cs"/>
          <w:sz w:val="27"/>
          <w:rtl/>
          <w:lang w:bidi="ar-IQ"/>
        </w:rPr>
        <w:t>َ</w:t>
      </w:r>
      <w:r w:rsidR="00381A52" w:rsidRPr="006571AC">
        <w:rPr>
          <w:rFonts w:hint="cs"/>
          <w:sz w:val="27"/>
          <w:rtl/>
          <w:lang w:bidi="ar-IQ"/>
        </w:rPr>
        <w:t>ن من الدراهم، وعلى الرغم من معلومية مقدار الدراهم التي كانوا يتقاضونها على طحن كل</w:t>
      </w:r>
      <w:r w:rsidR="00D3247B" w:rsidRPr="006571AC">
        <w:rPr>
          <w:rFonts w:hint="cs"/>
          <w:sz w:val="27"/>
          <w:rtl/>
          <w:lang w:bidi="ar-IQ"/>
        </w:rPr>
        <w:t>ّ</w:t>
      </w:r>
      <w:r w:rsidR="00381A52" w:rsidRPr="006571AC">
        <w:rPr>
          <w:rFonts w:hint="cs"/>
          <w:sz w:val="27"/>
          <w:rtl/>
          <w:lang w:bidi="ar-IQ"/>
        </w:rPr>
        <w:t xml:space="preserve"> قفيز</w:t>
      </w:r>
      <w:r w:rsidR="00D3247B" w:rsidRPr="006571AC">
        <w:rPr>
          <w:rFonts w:hint="cs"/>
          <w:sz w:val="27"/>
          <w:rtl/>
          <w:lang w:bidi="ar-IQ"/>
        </w:rPr>
        <w:t>ٍ</w:t>
      </w:r>
      <w:r w:rsidR="00381A52" w:rsidRPr="006571AC">
        <w:rPr>
          <w:rFonts w:hint="cs"/>
          <w:sz w:val="27"/>
          <w:rtl/>
          <w:lang w:bidi="ar-IQ"/>
        </w:rPr>
        <w:t xml:space="preserve"> من الحنطة في ذلك الحين يتصالح كل</w:t>
      </w:r>
      <w:r w:rsidR="00D3247B" w:rsidRPr="006571AC">
        <w:rPr>
          <w:rFonts w:hint="cs"/>
          <w:sz w:val="27"/>
          <w:rtl/>
          <w:lang w:bidi="ar-IQ"/>
        </w:rPr>
        <w:t>ٌّ</w:t>
      </w:r>
      <w:r w:rsidR="00381A52" w:rsidRPr="006571AC">
        <w:rPr>
          <w:rFonts w:hint="cs"/>
          <w:sz w:val="27"/>
          <w:rtl/>
          <w:lang w:bidi="ar-IQ"/>
        </w:rPr>
        <w:t xml:space="preserve"> منهما بعد تمام العمل على أن يدفع للطحّان مقداراً من الدراهم وقفيزاً من الحنطة. ولا يظهر من الرواية وجود سبق الخصومة بينهما؛ لكي يصيرا إلى الصلح لرفع الخصومة. </w:t>
      </w:r>
    </w:p>
    <w:p w:rsidR="00381A52" w:rsidRPr="006571AC" w:rsidRDefault="00381A52" w:rsidP="00552C10">
      <w:pPr>
        <w:rPr>
          <w:sz w:val="27"/>
          <w:rtl/>
          <w:lang w:bidi="ar-IQ"/>
        </w:rPr>
      </w:pPr>
      <w:r w:rsidRPr="006571AC">
        <w:rPr>
          <w:rFonts w:hint="cs"/>
          <w:sz w:val="27"/>
          <w:rtl/>
          <w:lang w:bidi="ar-IQ"/>
        </w:rPr>
        <w:t xml:space="preserve">وبطبيعة الحال هناك </w:t>
      </w:r>
      <w:r w:rsidR="00D3247B" w:rsidRPr="006571AC">
        <w:rPr>
          <w:rFonts w:hint="cs"/>
          <w:sz w:val="27"/>
          <w:rtl/>
          <w:lang w:bidi="ar-IQ"/>
        </w:rPr>
        <w:t>بعض</w:t>
      </w:r>
      <w:r w:rsidRPr="006571AC">
        <w:rPr>
          <w:rFonts w:hint="cs"/>
          <w:sz w:val="27"/>
          <w:rtl/>
          <w:lang w:bidi="ar-IQ"/>
        </w:rPr>
        <w:t xml:space="preserve"> الفقهاء ـ على الرغم من التزامه</w:t>
      </w:r>
      <w:r w:rsidR="00D3247B" w:rsidRPr="006571AC">
        <w:rPr>
          <w:rFonts w:hint="cs"/>
          <w:sz w:val="27"/>
          <w:rtl/>
          <w:lang w:bidi="ar-IQ"/>
        </w:rPr>
        <w:t>م</w:t>
      </w:r>
      <w:r w:rsidRPr="006571AC">
        <w:rPr>
          <w:rFonts w:hint="cs"/>
          <w:sz w:val="27"/>
          <w:rtl/>
          <w:lang w:bidi="ar-IQ"/>
        </w:rPr>
        <w:t xml:space="preserve"> بمشروعية الصلح الابتدائي ـ أنكر</w:t>
      </w:r>
      <w:r w:rsidR="00D3247B" w:rsidRPr="006571AC">
        <w:rPr>
          <w:rFonts w:hint="cs"/>
          <w:sz w:val="27"/>
          <w:rtl/>
          <w:lang w:bidi="ar-IQ"/>
        </w:rPr>
        <w:t>وا</w:t>
      </w:r>
      <w:r w:rsidRPr="006571AC">
        <w:rPr>
          <w:rFonts w:hint="cs"/>
          <w:sz w:val="27"/>
          <w:rtl/>
          <w:lang w:bidi="ar-IQ"/>
        </w:rPr>
        <w:t xml:space="preserve"> دلالة الصحيحة على مشروعية الصلح الابتدا</w:t>
      </w:r>
      <w:r w:rsidR="00D3247B" w:rsidRPr="006571AC">
        <w:rPr>
          <w:rFonts w:hint="cs"/>
          <w:sz w:val="27"/>
          <w:rtl/>
          <w:lang w:bidi="ar-IQ"/>
        </w:rPr>
        <w:t>ئي</w:t>
      </w:r>
      <w:r w:rsidRPr="006571AC">
        <w:rPr>
          <w:rFonts w:hint="cs"/>
          <w:sz w:val="27"/>
          <w:rtl/>
          <w:lang w:bidi="ar-IQ"/>
        </w:rPr>
        <w:t xml:space="preserve">، وقال في مناقشتها: </w:t>
      </w:r>
      <w:r w:rsidRPr="006571AC">
        <w:rPr>
          <w:rFonts w:hint="eastAsia"/>
          <w:sz w:val="24"/>
          <w:szCs w:val="24"/>
          <w:rtl/>
        </w:rPr>
        <w:t>«</w:t>
      </w:r>
      <w:r w:rsidRPr="006571AC">
        <w:rPr>
          <w:sz w:val="27"/>
          <w:rtl/>
          <w:lang w:bidi="ar-IQ"/>
        </w:rPr>
        <w:t>لا دلالة فيها على الصلح، بل على أن شيئا</w:t>
      </w:r>
      <w:r w:rsidRPr="006571AC">
        <w:rPr>
          <w:rFonts w:hint="cs"/>
          <w:sz w:val="27"/>
          <w:rtl/>
          <w:lang w:bidi="ar-IQ"/>
        </w:rPr>
        <w:t>ً</w:t>
      </w:r>
      <w:r w:rsidRPr="006571AC">
        <w:rPr>
          <w:sz w:val="27"/>
          <w:rtl/>
          <w:lang w:bidi="ar-IQ"/>
        </w:rPr>
        <w:t xml:space="preserve"> إذا صار اصطلاحا</w:t>
      </w:r>
      <w:r w:rsidRPr="006571AC">
        <w:rPr>
          <w:rFonts w:hint="cs"/>
          <w:sz w:val="27"/>
          <w:rtl/>
          <w:lang w:bidi="ar-IQ"/>
        </w:rPr>
        <w:t>ً</w:t>
      </w:r>
      <w:r w:rsidRPr="006571AC">
        <w:rPr>
          <w:sz w:val="27"/>
          <w:rtl/>
          <w:lang w:bidi="ar-IQ"/>
        </w:rPr>
        <w:t xml:space="preserve"> بينهم وقاعدة</w:t>
      </w:r>
      <w:r w:rsidR="00D3247B" w:rsidRPr="006571AC">
        <w:rPr>
          <w:rFonts w:hint="cs"/>
          <w:sz w:val="27"/>
          <w:rtl/>
          <w:lang w:bidi="ar-IQ"/>
        </w:rPr>
        <w:t>ً</w:t>
      </w:r>
      <w:r w:rsidRPr="006571AC">
        <w:rPr>
          <w:sz w:val="27"/>
          <w:rtl/>
          <w:lang w:bidi="ar-IQ"/>
        </w:rPr>
        <w:t xml:space="preserve"> منهم</w:t>
      </w:r>
      <w:r w:rsidRPr="006571AC">
        <w:rPr>
          <w:rFonts w:hint="cs"/>
          <w:sz w:val="27"/>
          <w:rtl/>
          <w:lang w:bidi="ar-IQ"/>
        </w:rPr>
        <w:t xml:space="preserve"> </w:t>
      </w:r>
      <w:r w:rsidRPr="006571AC">
        <w:rPr>
          <w:sz w:val="27"/>
          <w:rtl/>
          <w:lang w:bidi="ar-IQ"/>
        </w:rPr>
        <w:t>فيمشون على اصطلاحهم</w:t>
      </w:r>
      <w:r w:rsidRPr="006571AC">
        <w:rPr>
          <w:rFonts w:hint="cs"/>
          <w:sz w:val="27"/>
          <w:rtl/>
          <w:lang w:bidi="ar-IQ"/>
        </w:rPr>
        <w:t xml:space="preserve">، </w:t>
      </w:r>
      <w:r w:rsidRPr="006571AC">
        <w:rPr>
          <w:sz w:val="27"/>
          <w:rtl/>
          <w:lang w:bidi="ar-IQ"/>
        </w:rPr>
        <w:t>لا يكون له مانع</w:t>
      </w:r>
      <w:r w:rsidR="00D3247B" w:rsidRPr="006571AC">
        <w:rPr>
          <w:rFonts w:hint="cs"/>
          <w:sz w:val="27"/>
          <w:rtl/>
          <w:lang w:bidi="ar-IQ"/>
        </w:rPr>
        <w:t>ٌ</w:t>
      </w:r>
      <w:r w:rsidRPr="006571AC">
        <w:rPr>
          <w:sz w:val="27"/>
          <w:rtl/>
          <w:lang w:bidi="ar-IQ"/>
        </w:rPr>
        <w:t xml:space="preserve"> شرعي</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16"/>
      </w:r>
      <w:r w:rsidRPr="006571AC">
        <w:rPr>
          <w:sz w:val="27"/>
          <w:vertAlign w:val="superscript"/>
          <w:rtl/>
          <w:lang w:bidi="ar-IQ"/>
        </w:rPr>
        <w:t>)</w:t>
      </w:r>
      <w:r w:rsidRPr="006571AC">
        <w:rPr>
          <w:rFonts w:hint="cs"/>
          <w:sz w:val="27"/>
          <w:rtl/>
          <w:lang w:bidi="ar-IQ"/>
        </w:rPr>
        <w:t>. وبعبارة</w:t>
      </w:r>
      <w:r w:rsidR="00D3247B" w:rsidRPr="006571AC">
        <w:rPr>
          <w:rFonts w:hint="cs"/>
          <w:sz w:val="27"/>
          <w:rtl/>
          <w:lang w:bidi="ar-IQ"/>
        </w:rPr>
        <w:t>ٍ</w:t>
      </w:r>
      <w:r w:rsidRPr="006571AC">
        <w:rPr>
          <w:rFonts w:hint="cs"/>
          <w:sz w:val="27"/>
          <w:rtl/>
          <w:lang w:bidi="ar-IQ"/>
        </w:rPr>
        <w:t xml:space="preserve"> أخرى: إذا كان هناك قاعدة</w:t>
      </w:r>
      <w:r w:rsidR="00D3247B" w:rsidRPr="006571AC">
        <w:rPr>
          <w:rFonts w:hint="cs"/>
          <w:sz w:val="27"/>
          <w:rtl/>
          <w:lang w:bidi="ar-IQ"/>
        </w:rPr>
        <w:t>ٌ</w:t>
      </w:r>
      <w:r w:rsidRPr="006571AC">
        <w:rPr>
          <w:rFonts w:hint="cs"/>
          <w:sz w:val="27"/>
          <w:rtl/>
          <w:lang w:bidi="ar-IQ"/>
        </w:rPr>
        <w:t xml:space="preserve"> شائعة بين كل</w:t>
      </w:r>
      <w:r w:rsidR="00D3247B" w:rsidRPr="006571AC">
        <w:rPr>
          <w:rFonts w:hint="cs"/>
          <w:sz w:val="27"/>
          <w:rtl/>
          <w:lang w:bidi="ar-IQ"/>
        </w:rPr>
        <w:t>ّ</w:t>
      </w:r>
      <w:r w:rsidRPr="006571AC">
        <w:rPr>
          <w:rFonts w:hint="cs"/>
          <w:sz w:val="27"/>
          <w:rtl/>
          <w:lang w:bidi="ar-IQ"/>
        </w:rPr>
        <w:t xml:space="preserve"> صنف</w:t>
      </w:r>
      <w:r w:rsidR="00D3247B" w:rsidRPr="006571AC">
        <w:rPr>
          <w:rFonts w:hint="cs"/>
          <w:sz w:val="27"/>
          <w:rtl/>
          <w:lang w:bidi="ar-IQ"/>
        </w:rPr>
        <w:t>ٍ</w:t>
      </w:r>
      <w:r w:rsidRPr="006571AC">
        <w:rPr>
          <w:rFonts w:hint="cs"/>
          <w:sz w:val="27"/>
          <w:rtl/>
          <w:lang w:bidi="ar-IQ"/>
        </w:rPr>
        <w:t xml:space="preserve"> أو عُر</w:t>
      </w:r>
      <w:r w:rsidR="00D3247B" w:rsidRPr="006571AC">
        <w:rPr>
          <w:rFonts w:hint="cs"/>
          <w:sz w:val="27"/>
          <w:rtl/>
          <w:lang w:bidi="ar-IQ"/>
        </w:rPr>
        <w:t>ْ</w:t>
      </w:r>
      <w:r w:rsidRPr="006571AC">
        <w:rPr>
          <w:rFonts w:hint="cs"/>
          <w:sz w:val="27"/>
          <w:rtl/>
          <w:lang w:bidi="ar-IQ"/>
        </w:rPr>
        <w:t>ف</w:t>
      </w:r>
      <w:r w:rsidR="00D3247B" w:rsidRPr="006571AC">
        <w:rPr>
          <w:rFonts w:hint="cs"/>
          <w:sz w:val="27"/>
          <w:rtl/>
          <w:lang w:bidi="ar-IQ"/>
        </w:rPr>
        <w:t>ٍ</w:t>
      </w:r>
      <w:r w:rsidRPr="006571AC">
        <w:rPr>
          <w:rFonts w:hint="cs"/>
          <w:sz w:val="27"/>
          <w:rtl/>
          <w:lang w:bidi="ar-IQ"/>
        </w:rPr>
        <w:t>، وعملوا على طبق ع</w:t>
      </w:r>
      <w:r w:rsidR="00D3247B" w:rsidRPr="006571AC">
        <w:rPr>
          <w:rFonts w:hint="cs"/>
          <w:sz w:val="27"/>
          <w:rtl/>
          <w:lang w:bidi="ar-IQ"/>
        </w:rPr>
        <w:t>ُ</w:t>
      </w:r>
      <w:r w:rsidRPr="006571AC">
        <w:rPr>
          <w:rFonts w:hint="cs"/>
          <w:sz w:val="27"/>
          <w:rtl/>
          <w:lang w:bidi="ar-IQ"/>
        </w:rPr>
        <w:t>ر</w:t>
      </w:r>
      <w:r w:rsidR="00D3247B" w:rsidRPr="006571AC">
        <w:rPr>
          <w:rFonts w:hint="cs"/>
          <w:sz w:val="27"/>
          <w:rtl/>
          <w:lang w:bidi="ar-IQ"/>
        </w:rPr>
        <w:t>ْ</w:t>
      </w:r>
      <w:r w:rsidRPr="006571AC">
        <w:rPr>
          <w:rFonts w:hint="cs"/>
          <w:sz w:val="27"/>
          <w:rtl/>
          <w:lang w:bidi="ar-IQ"/>
        </w:rPr>
        <w:t xml:space="preserve">فهم، فلا إشكال في ذلك. </w:t>
      </w:r>
    </w:p>
    <w:p w:rsidR="008115DD" w:rsidRPr="006571AC" w:rsidRDefault="00381A52" w:rsidP="00552C10">
      <w:pPr>
        <w:rPr>
          <w:sz w:val="27"/>
          <w:rtl/>
          <w:lang w:bidi="ar-IQ"/>
        </w:rPr>
      </w:pPr>
      <w:r w:rsidRPr="006571AC">
        <w:rPr>
          <w:rFonts w:hint="cs"/>
          <w:sz w:val="27"/>
          <w:rtl/>
          <w:lang w:bidi="ar-IQ"/>
        </w:rPr>
        <w:lastRenderedPageBreak/>
        <w:t>في ضوء هذا البيان تكون الرواية أجنبي</w:t>
      </w:r>
      <w:r w:rsidR="008115DD" w:rsidRPr="006571AC">
        <w:rPr>
          <w:rFonts w:hint="cs"/>
          <w:sz w:val="27"/>
          <w:rtl/>
          <w:lang w:bidi="ar-IQ"/>
        </w:rPr>
        <w:t>ّ</w:t>
      </w:r>
      <w:r w:rsidRPr="006571AC">
        <w:rPr>
          <w:rFonts w:hint="cs"/>
          <w:sz w:val="27"/>
          <w:rtl/>
          <w:lang w:bidi="ar-IQ"/>
        </w:rPr>
        <w:t>ة</w:t>
      </w:r>
      <w:r w:rsidR="008115DD" w:rsidRPr="006571AC">
        <w:rPr>
          <w:rFonts w:hint="cs"/>
          <w:sz w:val="27"/>
          <w:rtl/>
          <w:lang w:bidi="ar-IQ"/>
        </w:rPr>
        <w:t>ً</w:t>
      </w:r>
      <w:r w:rsidRPr="006571AC">
        <w:rPr>
          <w:rFonts w:hint="cs"/>
          <w:sz w:val="27"/>
          <w:rtl/>
          <w:lang w:bidi="ar-IQ"/>
        </w:rPr>
        <w:t xml:space="preserve"> عن عقد الصلح، ناهيك عن أن تكون مستنداً لإثبات مشروعية الصلح الابتدائي</w:t>
      </w:r>
      <w:r w:rsidR="008115DD"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ولكن</w:t>
      </w:r>
      <w:r w:rsidR="008115DD" w:rsidRPr="006571AC">
        <w:rPr>
          <w:rFonts w:hint="cs"/>
          <w:sz w:val="27"/>
          <w:rtl/>
          <w:lang w:bidi="ar-IQ"/>
        </w:rPr>
        <w:t>ْ</w:t>
      </w:r>
      <w:r w:rsidRPr="006571AC">
        <w:rPr>
          <w:rFonts w:hint="cs"/>
          <w:sz w:val="27"/>
          <w:rtl/>
          <w:lang w:bidi="ar-IQ"/>
        </w:rPr>
        <w:t xml:space="preserve"> يبدو من وجهة نظر كاتب السطور أنه لو كانت هذه الفرضية صادقة</w:t>
      </w:r>
      <w:r w:rsidR="008115DD" w:rsidRPr="006571AC">
        <w:rPr>
          <w:rFonts w:hint="cs"/>
          <w:sz w:val="27"/>
          <w:rtl/>
          <w:lang w:bidi="ar-IQ"/>
        </w:rPr>
        <w:t>ً</w:t>
      </w:r>
      <w:r w:rsidRPr="006571AC">
        <w:rPr>
          <w:rFonts w:hint="cs"/>
          <w:sz w:val="27"/>
          <w:rtl/>
          <w:lang w:bidi="ar-IQ"/>
        </w:rPr>
        <w:t xml:space="preserve"> فإن دلال</w:t>
      </w:r>
      <w:r w:rsidR="008115DD" w:rsidRPr="006571AC">
        <w:rPr>
          <w:rFonts w:hint="cs"/>
          <w:sz w:val="27"/>
          <w:rtl/>
          <w:lang w:bidi="ar-IQ"/>
        </w:rPr>
        <w:t>ة</w:t>
      </w:r>
      <w:r w:rsidRPr="006571AC">
        <w:rPr>
          <w:rFonts w:hint="cs"/>
          <w:sz w:val="27"/>
          <w:rtl/>
          <w:lang w:bidi="ar-IQ"/>
        </w:rPr>
        <w:t xml:space="preserve"> الرواية على مشروعية الصلح الابتدائي سوف تكون أوضح؛ ببيان أن الأمر إذا كان مورداً لقبول صنف</w:t>
      </w:r>
      <w:r w:rsidR="008115DD" w:rsidRPr="006571AC">
        <w:rPr>
          <w:rFonts w:hint="cs"/>
          <w:sz w:val="27"/>
          <w:rtl/>
          <w:lang w:bidi="ar-IQ"/>
        </w:rPr>
        <w:t>ٍ</w:t>
      </w:r>
      <w:r w:rsidRPr="006571AC">
        <w:rPr>
          <w:rFonts w:hint="cs"/>
          <w:sz w:val="27"/>
          <w:rtl/>
          <w:lang w:bidi="ar-IQ"/>
        </w:rPr>
        <w:t xml:space="preserve"> وجماعة</w:t>
      </w:r>
      <w:r w:rsidR="008115DD" w:rsidRPr="006571AC">
        <w:rPr>
          <w:rFonts w:hint="cs"/>
          <w:sz w:val="27"/>
          <w:rtl/>
          <w:lang w:bidi="ar-IQ"/>
        </w:rPr>
        <w:t>ٍ</w:t>
      </w:r>
      <w:r w:rsidRPr="006571AC">
        <w:rPr>
          <w:rFonts w:hint="cs"/>
          <w:sz w:val="27"/>
          <w:rtl/>
          <w:lang w:bidi="ar-IQ"/>
        </w:rPr>
        <w:t xml:space="preserve"> من الناس وأض</w:t>
      </w:r>
      <w:r w:rsidR="00B01977" w:rsidRPr="006571AC">
        <w:rPr>
          <w:rFonts w:hint="cs"/>
          <w:sz w:val="27"/>
          <w:rtl/>
          <w:lang w:bidi="ar-IQ"/>
        </w:rPr>
        <w:t>ْ</w:t>
      </w:r>
      <w:r w:rsidRPr="006571AC">
        <w:rPr>
          <w:rFonts w:hint="cs"/>
          <w:sz w:val="27"/>
          <w:rtl/>
          <w:lang w:bidi="ar-IQ"/>
        </w:rPr>
        <w:t>ح</w:t>
      </w:r>
      <w:r w:rsidR="00B01977" w:rsidRPr="006571AC">
        <w:rPr>
          <w:rFonts w:hint="cs"/>
          <w:sz w:val="27"/>
          <w:rtl/>
          <w:lang w:bidi="ar-IQ"/>
        </w:rPr>
        <w:t>َ</w:t>
      </w:r>
      <w:r w:rsidRPr="006571AC">
        <w:rPr>
          <w:rFonts w:hint="cs"/>
          <w:sz w:val="27"/>
          <w:rtl/>
          <w:lang w:bidi="ar-IQ"/>
        </w:rPr>
        <w:t>ت</w:t>
      </w:r>
      <w:r w:rsidR="00B01977" w:rsidRPr="006571AC">
        <w:rPr>
          <w:rFonts w:hint="cs"/>
          <w:sz w:val="27"/>
          <w:rtl/>
          <w:lang w:bidi="ar-IQ"/>
        </w:rPr>
        <w:t>ْ</w:t>
      </w:r>
      <w:r w:rsidRPr="006571AC">
        <w:rPr>
          <w:rFonts w:hint="cs"/>
          <w:sz w:val="27"/>
          <w:rtl/>
          <w:lang w:bidi="ar-IQ"/>
        </w:rPr>
        <w:t xml:space="preserve"> عُر</w:t>
      </w:r>
      <w:r w:rsidR="008115DD" w:rsidRPr="006571AC">
        <w:rPr>
          <w:rFonts w:hint="cs"/>
          <w:sz w:val="27"/>
          <w:rtl/>
          <w:lang w:bidi="ar-IQ"/>
        </w:rPr>
        <w:t>ْ</w:t>
      </w:r>
      <w:r w:rsidRPr="006571AC">
        <w:rPr>
          <w:rFonts w:hint="cs"/>
          <w:sz w:val="27"/>
          <w:rtl/>
          <w:lang w:bidi="ar-IQ"/>
        </w:rPr>
        <w:t xml:space="preserve">فاً وقانوناً بينهم، وأراد الآخرون الدخول معهم في مثل هذه المعاملة؛ فحيث </w:t>
      </w:r>
      <w:r w:rsidR="008115DD" w:rsidRPr="006571AC">
        <w:rPr>
          <w:rFonts w:hint="cs"/>
          <w:sz w:val="27"/>
          <w:rtl/>
          <w:lang w:bidi="ar-IQ"/>
        </w:rPr>
        <w:t>إ</w:t>
      </w:r>
      <w:r w:rsidRPr="006571AC">
        <w:rPr>
          <w:rFonts w:hint="cs"/>
          <w:sz w:val="27"/>
          <w:rtl/>
          <w:lang w:bidi="ar-IQ"/>
        </w:rPr>
        <w:t>نها لا تندرج ضمن أيّ واحد</w:t>
      </w:r>
      <w:r w:rsidR="008115DD" w:rsidRPr="006571AC">
        <w:rPr>
          <w:rFonts w:hint="cs"/>
          <w:sz w:val="27"/>
          <w:rtl/>
          <w:lang w:bidi="ar-IQ"/>
        </w:rPr>
        <w:t>ٍ</w:t>
      </w:r>
      <w:r w:rsidRPr="006571AC">
        <w:rPr>
          <w:rFonts w:hint="cs"/>
          <w:sz w:val="27"/>
          <w:rtl/>
          <w:lang w:bidi="ar-IQ"/>
        </w:rPr>
        <w:t xml:space="preserve"> من العقود المتعارفة الأخرى</w:t>
      </w:r>
      <w:r w:rsidRPr="006571AC">
        <w:rPr>
          <w:sz w:val="27"/>
          <w:rtl/>
          <w:lang w:bidi="ar-IQ"/>
        </w:rPr>
        <w:t xml:space="preserve"> قطعاً</w:t>
      </w:r>
      <w:r w:rsidRPr="006571AC">
        <w:rPr>
          <w:rFonts w:hint="cs"/>
          <w:sz w:val="27"/>
          <w:rtl/>
          <w:lang w:bidi="ar-IQ"/>
        </w:rPr>
        <w:t xml:space="preserve"> إذن يجب أن يكون قوام هذه المعاملة بالتراضي والتوافق بين الطرفين، وإن الإمام</w:t>
      </w:r>
      <w:r w:rsidR="002A2C90" w:rsidRPr="006571AC">
        <w:rPr>
          <w:rFonts w:ascii="Mosawi" w:hAnsi="Mosawi" w:cs="Mosawi"/>
          <w:sz w:val="22"/>
          <w:szCs w:val="22"/>
          <w:rtl/>
        </w:rPr>
        <w:t>×</w:t>
      </w:r>
      <w:r w:rsidRPr="006571AC">
        <w:rPr>
          <w:rFonts w:hint="cs"/>
          <w:sz w:val="27"/>
          <w:rtl/>
          <w:lang w:bidi="ar-IQ"/>
        </w:rPr>
        <w:t xml:space="preserve"> قد أمضى هذه المعاملة على أساس</w:t>
      </w:r>
      <w:r w:rsidR="008115DD" w:rsidRPr="006571AC">
        <w:rPr>
          <w:rFonts w:hint="cs"/>
          <w:sz w:val="27"/>
          <w:rtl/>
          <w:lang w:bidi="ar-IQ"/>
        </w:rPr>
        <w:t>ٍ</w:t>
      </w:r>
      <w:r w:rsidRPr="006571AC">
        <w:rPr>
          <w:rFonts w:hint="cs"/>
          <w:sz w:val="27"/>
          <w:rtl/>
          <w:lang w:bidi="ar-IQ"/>
        </w:rPr>
        <w:t xml:space="preserve"> من هذا التراضي. ولذلك قال الإمام</w:t>
      </w:r>
      <w:r w:rsidR="002A2C90" w:rsidRPr="006571AC">
        <w:rPr>
          <w:rFonts w:ascii="Mosawi" w:hAnsi="Mosawi" w:cs="Mosawi"/>
          <w:sz w:val="22"/>
          <w:szCs w:val="22"/>
          <w:rtl/>
        </w:rPr>
        <w:t>×</w:t>
      </w:r>
      <w:r w:rsidRPr="006571AC">
        <w:rPr>
          <w:rFonts w:hint="cs"/>
          <w:sz w:val="27"/>
          <w:rtl/>
          <w:lang w:bidi="ar-IQ"/>
        </w:rPr>
        <w:t xml:space="preserve"> في ذيل هذه الرواية: </w:t>
      </w:r>
      <w:r w:rsidRPr="006571AC">
        <w:rPr>
          <w:rFonts w:hint="eastAsia"/>
          <w:sz w:val="24"/>
          <w:szCs w:val="24"/>
          <w:rtl/>
        </w:rPr>
        <w:t>«</w:t>
      </w:r>
      <w:r w:rsidRPr="006571AC">
        <w:rPr>
          <w:sz w:val="27"/>
          <w:rtl/>
          <w:lang w:bidi="ar-IQ"/>
        </w:rPr>
        <w:t>لا بأس به</w:t>
      </w:r>
      <w:r w:rsidR="008115DD" w:rsidRPr="006571AC">
        <w:rPr>
          <w:rFonts w:hint="cs"/>
          <w:sz w:val="27"/>
          <w:rtl/>
          <w:lang w:bidi="ar-IQ"/>
        </w:rPr>
        <w:t>،</w:t>
      </w:r>
      <w:r w:rsidRPr="006571AC">
        <w:rPr>
          <w:sz w:val="27"/>
          <w:rtl/>
          <w:lang w:bidi="ar-IQ"/>
        </w:rPr>
        <w:t xml:space="preserve"> وإن</w:t>
      </w:r>
      <w:r w:rsidR="008115DD" w:rsidRPr="006571AC">
        <w:rPr>
          <w:rFonts w:hint="cs"/>
          <w:sz w:val="27"/>
          <w:rtl/>
          <w:lang w:bidi="ar-IQ"/>
        </w:rPr>
        <w:t>ْ</w:t>
      </w:r>
      <w:r w:rsidRPr="006571AC">
        <w:rPr>
          <w:sz w:val="27"/>
          <w:rtl/>
          <w:lang w:bidi="ar-IQ"/>
        </w:rPr>
        <w:t xml:space="preserve"> لم يكن ساعره على ذلك</w:t>
      </w:r>
      <w:r w:rsidRPr="006571AC">
        <w:rPr>
          <w:rFonts w:hint="eastAsia"/>
          <w:sz w:val="24"/>
          <w:szCs w:val="24"/>
          <w:rtl/>
        </w:rPr>
        <w:t>»</w:t>
      </w:r>
      <w:r w:rsidR="008115DD" w:rsidRPr="006571AC">
        <w:rPr>
          <w:rFonts w:hint="cs"/>
          <w:sz w:val="27"/>
          <w:rtl/>
          <w:lang w:bidi="ar-IQ"/>
        </w:rPr>
        <w:t>،</w:t>
      </w:r>
      <w:r w:rsidRPr="006571AC">
        <w:rPr>
          <w:rFonts w:hint="cs"/>
          <w:sz w:val="27"/>
          <w:rtl/>
          <w:lang w:bidi="ar-IQ"/>
        </w:rPr>
        <w:t xml:space="preserve"> أي حت</w:t>
      </w:r>
      <w:r w:rsidR="008115DD" w:rsidRPr="006571AC">
        <w:rPr>
          <w:rFonts w:hint="cs"/>
          <w:sz w:val="27"/>
          <w:rtl/>
          <w:lang w:bidi="ar-IQ"/>
        </w:rPr>
        <w:t>ّ</w:t>
      </w:r>
      <w:r w:rsidRPr="006571AC">
        <w:rPr>
          <w:rFonts w:hint="cs"/>
          <w:sz w:val="27"/>
          <w:rtl/>
          <w:lang w:bidi="ar-IQ"/>
        </w:rPr>
        <w:t>ى وإن</w:t>
      </w:r>
      <w:r w:rsidR="008115DD" w:rsidRPr="006571AC">
        <w:rPr>
          <w:rFonts w:hint="cs"/>
          <w:sz w:val="27"/>
          <w:rtl/>
          <w:lang w:bidi="ar-IQ"/>
        </w:rPr>
        <w:t>ْ</w:t>
      </w:r>
      <w:r w:rsidRPr="006571AC">
        <w:rPr>
          <w:rFonts w:hint="cs"/>
          <w:sz w:val="27"/>
          <w:rtl/>
          <w:lang w:bidi="ar-IQ"/>
        </w:rPr>
        <w:t xml:space="preserve"> لم يق</w:t>
      </w:r>
      <w:r w:rsidR="008115DD" w:rsidRPr="006571AC">
        <w:rPr>
          <w:rFonts w:hint="cs"/>
          <w:sz w:val="27"/>
          <w:rtl/>
          <w:lang w:bidi="ar-IQ"/>
        </w:rPr>
        <w:t>َ</w:t>
      </w:r>
      <w:r w:rsidRPr="006571AC">
        <w:rPr>
          <w:rFonts w:hint="cs"/>
          <w:sz w:val="27"/>
          <w:rtl/>
          <w:lang w:bidi="ar-IQ"/>
        </w:rPr>
        <w:t>ع</w:t>
      </w:r>
      <w:r w:rsidR="008115DD" w:rsidRPr="006571AC">
        <w:rPr>
          <w:rFonts w:hint="cs"/>
          <w:sz w:val="27"/>
          <w:rtl/>
          <w:lang w:bidi="ar-IQ"/>
        </w:rPr>
        <w:t>ْ</w:t>
      </w:r>
      <w:r w:rsidRPr="006571AC">
        <w:rPr>
          <w:rFonts w:hint="cs"/>
          <w:sz w:val="27"/>
          <w:rtl/>
          <w:lang w:bidi="ar-IQ"/>
        </w:rPr>
        <w:t xml:space="preserve"> في هذه المعاملة بيع</w:t>
      </w:r>
      <w:r w:rsidR="008115DD" w:rsidRPr="006571AC">
        <w:rPr>
          <w:rFonts w:hint="cs"/>
          <w:sz w:val="27"/>
          <w:rtl/>
          <w:lang w:bidi="ar-IQ"/>
        </w:rPr>
        <w:t>ٌ</w:t>
      </w:r>
      <w:r w:rsidRPr="006571AC">
        <w:rPr>
          <w:rFonts w:hint="cs"/>
          <w:sz w:val="27"/>
          <w:rtl/>
          <w:lang w:bidi="ar-IQ"/>
        </w:rPr>
        <w:t xml:space="preserve"> وشراء</w:t>
      </w:r>
      <w:r w:rsidR="008115DD" w:rsidRPr="006571AC">
        <w:rPr>
          <w:rFonts w:hint="cs"/>
          <w:sz w:val="27"/>
          <w:rtl/>
          <w:lang w:bidi="ar-IQ"/>
        </w:rPr>
        <w:t>ٌ</w:t>
      </w:r>
      <w:r w:rsidRPr="006571AC">
        <w:rPr>
          <w:rFonts w:hint="cs"/>
          <w:sz w:val="27"/>
          <w:rtl/>
          <w:lang w:bidi="ar-IQ"/>
        </w:rPr>
        <w:t xml:space="preserve"> وسائر المعاملات المتعارفة الأخرى. ومن ناحية</w:t>
      </w:r>
      <w:r w:rsidR="008115DD" w:rsidRPr="006571AC">
        <w:rPr>
          <w:rFonts w:hint="cs"/>
          <w:sz w:val="27"/>
          <w:rtl/>
          <w:lang w:bidi="ar-IQ"/>
        </w:rPr>
        <w:t>ٍ</w:t>
      </w:r>
      <w:r w:rsidRPr="006571AC">
        <w:rPr>
          <w:rFonts w:hint="cs"/>
          <w:sz w:val="27"/>
          <w:rtl/>
          <w:lang w:bidi="ar-IQ"/>
        </w:rPr>
        <w:t xml:space="preserve"> أخرى فإن وجود عبارة </w:t>
      </w:r>
      <w:r w:rsidRPr="006571AC">
        <w:rPr>
          <w:rFonts w:hint="eastAsia"/>
          <w:sz w:val="24"/>
          <w:szCs w:val="24"/>
          <w:rtl/>
        </w:rPr>
        <w:t>«</w:t>
      </w:r>
      <w:r w:rsidRPr="006571AC">
        <w:rPr>
          <w:rFonts w:hint="cs"/>
          <w:sz w:val="27"/>
          <w:rtl/>
          <w:lang w:bidi="ar-IQ"/>
        </w:rPr>
        <w:t>اصطلحوا</w:t>
      </w:r>
      <w:r w:rsidRPr="006571AC">
        <w:rPr>
          <w:rFonts w:hint="eastAsia"/>
          <w:sz w:val="24"/>
          <w:szCs w:val="24"/>
          <w:rtl/>
        </w:rPr>
        <w:t>»</w:t>
      </w:r>
      <w:r w:rsidRPr="006571AC">
        <w:rPr>
          <w:rFonts w:hint="cs"/>
          <w:sz w:val="27"/>
          <w:rtl/>
          <w:lang w:bidi="ar-IQ"/>
        </w:rPr>
        <w:t xml:space="preserve"> يمكن أن </w:t>
      </w:r>
      <w:r w:rsidR="008115DD" w:rsidRPr="006571AC">
        <w:rPr>
          <w:rFonts w:hint="cs"/>
          <w:sz w:val="27"/>
          <w:rtl/>
          <w:lang w:bidi="ar-IQ"/>
        </w:rPr>
        <w:t>ي</w:t>
      </w:r>
      <w:r w:rsidRPr="006571AC">
        <w:rPr>
          <w:rFonts w:hint="cs"/>
          <w:sz w:val="27"/>
          <w:rtl/>
          <w:lang w:bidi="ar-IQ"/>
        </w:rPr>
        <w:t>كون شاهداً آخر على الاعتماد على مجرّ</w:t>
      </w:r>
      <w:r w:rsidR="008115DD" w:rsidRPr="006571AC">
        <w:rPr>
          <w:rFonts w:hint="cs"/>
          <w:sz w:val="27"/>
          <w:rtl/>
          <w:lang w:bidi="ar-IQ"/>
        </w:rPr>
        <w:t>َ</w:t>
      </w:r>
      <w:r w:rsidRPr="006571AC">
        <w:rPr>
          <w:rFonts w:hint="cs"/>
          <w:sz w:val="27"/>
          <w:rtl/>
          <w:lang w:bidi="ar-IQ"/>
        </w:rPr>
        <w:t xml:space="preserve">د التراضي؛ لأن عبارة </w:t>
      </w:r>
      <w:r w:rsidRPr="006571AC">
        <w:rPr>
          <w:rFonts w:hint="eastAsia"/>
          <w:sz w:val="24"/>
          <w:szCs w:val="24"/>
          <w:rtl/>
        </w:rPr>
        <w:t>«</w:t>
      </w:r>
      <w:r w:rsidRPr="006571AC">
        <w:rPr>
          <w:rFonts w:hint="cs"/>
          <w:sz w:val="27"/>
          <w:rtl/>
          <w:lang w:bidi="ar-IQ"/>
        </w:rPr>
        <w:t>الاصطلاح</w:t>
      </w:r>
      <w:r w:rsidRPr="006571AC">
        <w:rPr>
          <w:rFonts w:hint="eastAsia"/>
          <w:sz w:val="24"/>
          <w:szCs w:val="24"/>
          <w:rtl/>
        </w:rPr>
        <w:t>»</w:t>
      </w:r>
      <w:r w:rsidRPr="006571AC">
        <w:rPr>
          <w:rFonts w:hint="cs"/>
          <w:sz w:val="27"/>
          <w:rtl/>
          <w:lang w:bidi="ar-IQ"/>
        </w:rPr>
        <w:t xml:space="preserve"> تحكي عن معنى الاتفاق والتراضي. وعلى هذا الأساس فإنه مع وجود القوانين والأعراف الصنفية والتوافقية التي يمكن فهمها من عبارة </w:t>
      </w:r>
      <w:r w:rsidRPr="006571AC">
        <w:rPr>
          <w:rFonts w:hint="eastAsia"/>
          <w:sz w:val="24"/>
          <w:szCs w:val="24"/>
          <w:rtl/>
        </w:rPr>
        <w:t>«</w:t>
      </w:r>
      <w:r w:rsidRPr="006571AC">
        <w:rPr>
          <w:rFonts w:hint="cs"/>
          <w:sz w:val="27"/>
          <w:rtl/>
          <w:lang w:bidi="ar-IQ"/>
        </w:rPr>
        <w:t>الاصطلاح</w:t>
      </w:r>
      <w:r w:rsidRPr="006571AC">
        <w:rPr>
          <w:rFonts w:hint="eastAsia"/>
          <w:sz w:val="24"/>
          <w:szCs w:val="24"/>
          <w:rtl/>
        </w:rPr>
        <w:t>»</w:t>
      </w:r>
      <w:r w:rsidRPr="006571AC">
        <w:rPr>
          <w:rFonts w:hint="cs"/>
          <w:sz w:val="27"/>
          <w:rtl/>
          <w:lang w:bidi="ar-IQ"/>
        </w:rPr>
        <w:t xml:space="preserve"> فإن عدم تحديد أجرة الطحن لن تشك</w:t>
      </w:r>
      <w:r w:rsidR="008115DD" w:rsidRPr="006571AC">
        <w:rPr>
          <w:rFonts w:hint="cs"/>
          <w:sz w:val="27"/>
          <w:rtl/>
          <w:lang w:bidi="ar-IQ"/>
        </w:rPr>
        <w:t>ِّ</w:t>
      </w:r>
      <w:r w:rsidRPr="006571AC">
        <w:rPr>
          <w:rFonts w:hint="cs"/>
          <w:sz w:val="27"/>
          <w:rtl/>
          <w:lang w:bidi="ar-IQ"/>
        </w:rPr>
        <w:t>ل أرضي</w:t>
      </w:r>
      <w:r w:rsidR="00B01977" w:rsidRPr="006571AC">
        <w:rPr>
          <w:rFonts w:hint="cs"/>
          <w:sz w:val="27"/>
          <w:rtl/>
          <w:lang w:bidi="ar-IQ"/>
        </w:rPr>
        <w:t>ّ</w:t>
      </w:r>
      <w:r w:rsidRPr="006571AC">
        <w:rPr>
          <w:rFonts w:hint="cs"/>
          <w:sz w:val="27"/>
          <w:rtl/>
          <w:lang w:bidi="ar-IQ"/>
        </w:rPr>
        <w:t>ة</w:t>
      </w:r>
      <w:r w:rsidR="00B01977" w:rsidRPr="006571AC">
        <w:rPr>
          <w:rFonts w:hint="cs"/>
          <w:sz w:val="27"/>
          <w:rtl/>
          <w:lang w:bidi="ar-IQ"/>
        </w:rPr>
        <w:t>ً</w:t>
      </w:r>
      <w:r w:rsidRPr="006571AC">
        <w:rPr>
          <w:rFonts w:hint="cs"/>
          <w:sz w:val="27"/>
          <w:rtl/>
          <w:lang w:bidi="ar-IQ"/>
        </w:rPr>
        <w:t xml:space="preserve"> لظهور النزاع؛ وعليه لا تكون الرواية خاص</w:t>
      </w:r>
      <w:r w:rsidR="008115DD" w:rsidRPr="006571AC">
        <w:rPr>
          <w:rFonts w:hint="cs"/>
          <w:sz w:val="27"/>
          <w:rtl/>
          <w:lang w:bidi="ar-IQ"/>
        </w:rPr>
        <w:t>ّ</w:t>
      </w:r>
      <w:r w:rsidRPr="006571AC">
        <w:rPr>
          <w:rFonts w:hint="cs"/>
          <w:sz w:val="27"/>
          <w:rtl/>
          <w:lang w:bidi="ar-IQ"/>
        </w:rPr>
        <w:t>ة</w:t>
      </w:r>
      <w:r w:rsidR="008115DD" w:rsidRPr="006571AC">
        <w:rPr>
          <w:rFonts w:hint="cs"/>
          <w:sz w:val="27"/>
          <w:rtl/>
          <w:lang w:bidi="ar-IQ"/>
        </w:rPr>
        <w:t>ً</w:t>
      </w:r>
      <w:r w:rsidRPr="006571AC">
        <w:rPr>
          <w:rFonts w:hint="cs"/>
          <w:sz w:val="27"/>
          <w:rtl/>
          <w:lang w:bidi="ar-IQ"/>
        </w:rPr>
        <w:t xml:space="preserve"> بموارد النزاع المحتمل</w:t>
      </w:r>
      <w:r w:rsidRPr="006571AC">
        <w:rPr>
          <w:sz w:val="27"/>
          <w:vertAlign w:val="superscript"/>
          <w:rtl/>
          <w:lang w:bidi="ar-IQ"/>
        </w:rPr>
        <w:t>(</w:t>
      </w:r>
      <w:r w:rsidRPr="006571AC">
        <w:rPr>
          <w:rStyle w:val="ac"/>
          <w:sz w:val="27"/>
          <w:rtl/>
          <w:lang w:bidi="ar-IQ"/>
        </w:rPr>
        <w:endnoteReference w:id="317"/>
      </w:r>
      <w:r w:rsidRPr="006571AC">
        <w:rPr>
          <w:sz w:val="27"/>
          <w:vertAlign w:val="superscript"/>
          <w:rtl/>
          <w:lang w:bidi="ar-IQ"/>
        </w:rPr>
        <w:t>)</w:t>
      </w:r>
      <w:r w:rsidRPr="006571AC">
        <w:rPr>
          <w:rFonts w:hint="cs"/>
          <w:sz w:val="27"/>
          <w:rtl/>
          <w:lang w:bidi="ar-IQ"/>
        </w:rPr>
        <w:t xml:space="preserve">. </w:t>
      </w:r>
    </w:p>
    <w:p w:rsidR="004B16C6" w:rsidRPr="006571AC" w:rsidRDefault="004B16C6" w:rsidP="004B16C6">
      <w:pPr>
        <w:spacing w:line="420" w:lineRule="exact"/>
        <w:rPr>
          <w:sz w:val="27"/>
          <w:rtl/>
        </w:rPr>
      </w:pPr>
    </w:p>
    <w:p w:rsidR="00381A52" w:rsidRPr="006571AC" w:rsidRDefault="00FC7A16" w:rsidP="00714072">
      <w:pPr>
        <w:pStyle w:val="31"/>
        <w:rPr>
          <w:color w:val="auto"/>
          <w:rtl/>
          <w:lang w:bidi="ar-IQ"/>
        </w:rPr>
      </w:pPr>
      <w:bookmarkStart w:id="137" w:name="_Toc114164626"/>
      <w:r w:rsidRPr="006571AC">
        <w:rPr>
          <w:rFonts w:hint="cs"/>
          <w:color w:val="auto"/>
          <w:rtl/>
          <w:lang w:bidi="ar-IQ"/>
        </w:rPr>
        <w:t>و ـ</w:t>
      </w:r>
      <w:r w:rsidR="00381A52" w:rsidRPr="006571AC">
        <w:rPr>
          <w:rFonts w:hint="cs"/>
          <w:color w:val="auto"/>
          <w:rtl/>
          <w:lang w:bidi="ar-IQ"/>
        </w:rPr>
        <w:t xml:space="preserve"> موث</w:t>
      </w:r>
      <w:r w:rsidR="008115DD" w:rsidRPr="006571AC">
        <w:rPr>
          <w:rFonts w:hint="cs"/>
          <w:color w:val="auto"/>
          <w:rtl/>
          <w:lang w:bidi="ar-IQ"/>
        </w:rPr>
        <w:t>َّ</w:t>
      </w:r>
      <w:r w:rsidR="00381A52" w:rsidRPr="006571AC">
        <w:rPr>
          <w:rFonts w:hint="cs"/>
          <w:color w:val="auto"/>
          <w:rtl/>
          <w:lang w:bidi="ar-IQ"/>
        </w:rPr>
        <w:t>قة عمر بن يزيد</w:t>
      </w:r>
      <w:bookmarkEnd w:id="137"/>
    </w:p>
    <w:p w:rsidR="00381A52" w:rsidRPr="006571AC" w:rsidRDefault="00381A52" w:rsidP="00B01977">
      <w:pPr>
        <w:rPr>
          <w:sz w:val="27"/>
          <w:rtl/>
          <w:lang w:bidi="ar-IQ"/>
        </w:rPr>
      </w:pPr>
      <w:r w:rsidRPr="006571AC">
        <w:rPr>
          <w:rFonts w:hint="eastAsia"/>
          <w:sz w:val="24"/>
          <w:szCs w:val="24"/>
          <w:rtl/>
        </w:rPr>
        <w:t>«</w:t>
      </w:r>
      <w:r w:rsidRPr="006571AC">
        <w:rPr>
          <w:rFonts w:hint="cs"/>
          <w:sz w:val="27"/>
          <w:rtl/>
          <w:lang w:bidi="ar-IQ"/>
        </w:rPr>
        <w:t>محمد بن يعقوب</w:t>
      </w:r>
      <w:r w:rsidR="008115DD" w:rsidRPr="006571AC">
        <w:rPr>
          <w:rFonts w:hint="cs"/>
          <w:sz w:val="27"/>
          <w:rtl/>
          <w:lang w:bidi="ar-IQ"/>
        </w:rPr>
        <w:t xml:space="preserve"> [الكليني]</w:t>
      </w:r>
      <w:r w:rsidRPr="006571AC">
        <w:rPr>
          <w:rFonts w:hint="cs"/>
          <w:sz w:val="27"/>
          <w:rtl/>
          <w:lang w:bidi="ar-IQ"/>
        </w:rPr>
        <w:t>، عن</w:t>
      </w:r>
      <w:r w:rsidRPr="006571AC">
        <w:rPr>
          <w:sz w:val="27"/>
          <w:rtl/>
        </w:rPr>
        <w:t xml:space="preserve"> </w:t>
      </w:r>
      <w:r w:rsidRPr="006571AC">
        <w:rPr>
          <w:sz w:val="27"/>
          <w:rtl/>
          <w:lang w:bidi="ar-IQ"/>
        </w:rPr>
        <w:t>محمد</w:t>
      </w:r>
      <w:r w:rsidRPr="006571AC">
        <w:rPr>
          <w:rFonts w:hint="cs"/>
          <w:sz w:val="27"/>
          <w:rtl/>
          <w:lang w:bidi="ar-IQ"/>
        </w:rPr>
        <w:t xml:space="preserve"> </w:t>
      </w:r>
      <w:r w:rsidRPr="006571AC">
        <w:rPr>
          <w:sz w:val="27"/>
          <w:rtl/>
          <w:lang w:bidi="ar-IQ"/>
        </w:rPr>
        <w:t>بن يحيى، عن أحمد بن محمد بن عيسى، عن محمد بن عيسى، عن ابن ب</w:t>
      </w:r>
      <w:r w:rsidR="00B0164F" w:rsidRPr="006571AC">
        <w:rPr>
          <w:rFonts w:hint="cs"/>
          <w:sz w:val="27"/>
          <w:rtl/>
          <w:lang w:bidi="ar-IQ"/>
        </w:rPr>
        <w:t>ُ</w:t>
      </w:r>
      <w:r w:rsidRPr="006571AC">
        <w:rPr>
          <w:sz w:val="27"/>
          <w:rtl/>
          <w:lang w:bidi="ar-IQ"/>
        </w:rPr>
        <w:t>ك</w:t>
      </w:r>
      <w:r w:rsidR="00B0164F" w:rsidRPr="006571AC">
        <w:rPr>
          <w:rFonts w:hint="cs"/>
          <w:sz w:val="27"/>
          <w:rtl/>
          <w:lang w:bidi="ar-IQ"/>
        </w:rPr>
        <w:t>َ</w:t>
      </w:r>
      <w:r w:rsidRPr="006571AC">
        <w:rPr>
          <w:sz w:val="27"/>
          <w:rtl/>
          <w:lang w:bidi="ar-IQ"/>
        </w:rPr>
        <w:t>ي</w:t>
      </w:r>
      <w:r w:rsidR="00B0164F" w:rsidRPr="006571AC">
        <w:rPr>
          <w:rFonts w:hint="cs"/>
          <w:sz w:val="27"/>
          <w:rtl/>
          <w:lang w:bidi="ar-IQ"/>
        </w:rPr>
        <w:t>ْ</w:t>
      </w:r>
      <w:r w:rsidRPr="006571AC">
        <w:rPr>
          <w:sz w:val="27"/>
          <w:rtl/>
          <w:lang w:bidi="ar-IQ"/>
        </w:rPr>
        <w:t>ر، عن عمر بن يزيد</w:t>
      </w:r>
      <w:r w:rsidRPr="006571AC">
        <w:rPr>
          <w:rFonts w:hint="cs"/>
          <w:sz w:val="27"/>
          <w:rtl/>
          <w:lang w:bidi="ar-IQ"/>
        </w:rPr>
        <w:t xml:space="preserve"> </w:t>
      </w:r>
      <w:r w:rsidRPr="006571AC">
        <w:rPr>
          <w:sz w:val="27"/>
          <w:rtl/>
          <w:lang w:bidi="ar-IQ"/>
        </w:rPr>
        <w:t>قال: سألت</w:t>
      </w:r>
      <w:r w:rsidR="00B0164F" w:rsidRPr="006571AC">
        <w:rPr>
          <w:rFonts w:hint="cs"/>
          <w:sz w:val="27"/>
          <w:rtl/>
          <w:lang w:bidi="ar-IQ"/>
        </w:rPr>
        <w:t>ُ</w:t>
      </w:r>
      <w:r w:rsidRPr="006571AC">
        <w:rPr>
          <w:sz w:val="27"/>
          <w:rtl/>
          <w:lang w:bidi="ar-IQ"/>
        </w:rPr>
        <w:t xml:space="preserve"> أبا عبدالله</w:t>
      </w:r>
      <w:r w:rsidR="002A2C90" w:rsidRPr="006571AC">
        <w:rPr>
          <w:rFonts w:ascii="Mosawi" w:hAnsi="Mosawi" w:cs="Mosawi"/>
          <w:sz w:val="22"/>
          <w:szCs w:val="22"/>
          <w:rtl/>
        </w:rPr>
        <w:t>×</w:t>
      </w:r>
      <w:r w:rsidRPr="006571AC">
        <w:rPr>
          <w:sz w:val="27"/>
          <w:rtl/>
          <w:lang w:bidi="ar-IQ"/>
        </w:rPr>
        <w:t xml:space="preserve"> عن رجل</w:t>
      </w:r>
      <w:r w:rsidR="00B0164F" w:rsidRPr="006571AC">
        <w:rPr>
          <w:rFonts w:hint="cs"/>
          <w:sz w:val="27"/>
          <w:rtl/>
          <w:lang w:bidi="ar-IQ"/>
        </w:rPr>
        <w:t>ٍ</w:t>
      </w:r>
      <w:r w:rsidRPr="006571AC">
        <w:rPr>
          <w:sz w:val="27"/>
          <w:rtl/>
          <w:lang w:bidi="ar-IQ"/>
        </w:rPr>
        <w:t xml:space="preserve"> ضمن على رجل</w:t>
      </w:r>
      <w:r w:rsidR="00B0164F" w:rsidRPr="006571AC">
        <w:rPr>
          <w:rFonts w:hint="cs"/>
          <w:sz w:val="27"/>
          <w:rtl/>
          <w:lang w:bidi="ar-IQ"/>
        </w:rPr>
        <w:t>ٍ</w:t>
      </w:r>
      <w:r w:rsidRPr="006571AC">
        <w:rPr>
          <w:sz w:val="27"/>
          <w:rtl/>
          <w:lang w:bidi="ar-IQ"/>
        </w:rPr>
        <w:t xml:space="preserve"> ضمانا</w:t>
      </w:r>
      <w:r w:rsidRPr="006571AC">
        <w:rPr>
          <w:rFonts w:hint="cs"/>
          <w:sz w:val="27"/>
          <w:rtl/>
          <w:lang w:bidi="ar-IQ"/>
        </w:rPr>
        <w:t>ً</w:t>
      </w:r>
      <w:r w:rsidR="00B0164F" w:rsidRPr="006571AC">
        <w:rPr>
          <w:rFonts w:hint="cs"/>
          <w:sz w:val="27"/>
          <w:rtl/>
          <w:lang w:bidi="ar-IQ"/>
        </w:rPr>
        <w:t>،</w:t>
      </w:r>
      <w:r w:rsidRPr="006571AC">
        <w:rPr>
          <w:sz w:val="27"/>
          <w:rtl/>
          <w:lang w:bidi="ar-IQ"/>
        </w:rPr>
        <w:t xml:space="preserve"> ثم</w:t>
      </w:r>
      <w:r w:rsidR="00B0164F" w:rsidRPr="006571AC">
        <w:rPr>
          <w:rFonts w:hint="cs"/>
          <w:sz w:val="27"/>
          <w:rtl/>
          <w:lang w:bidi="ar-IQ"/>
        </w:rPr>
        <w:t>ّ</w:t>
      </w:r>
      <w:r w:rsidRPr="006571AC">
        <w:rPr>
          <w:sz w:val="27"/>
          <w:rtl/>
          <w:lang w:bidi="ar-IQ"/>
        </w:rPr>
        <w:t xml:space="preserve"> صالح عليه</w:t>
      </w:r>
      <w:r w:rsidR="00B01977" w:rsidRPr="006571AC">
        <w:rPr>
          <w:rFonts w:hint="cs"/>
          <w:sz w:val="27"/>
          <w:rtl/>
          <w:lang w:bidi="ar-IQ"/>
        </w:rPr>
        <w:t>؟</w:t>
      </w:r>
      <w:r w:rsidRPr="006571AC">
        <w:rPr>
          <w:sz w:val="27"/>
          <w:rtl/>
          <w:lang w:bidi="ar-IQ"/>
        </w:rPr>
        <w:t xml:space="preserve"> قال: ليس له إلا</w:t>
      </w:r>
      <w:r w:rsidR="00B0164F" w:rsidRPr="006571AC">
        <w:rPr>
          <w:rFonts w:hint="cs"/>
          <w:sz w:val="27"/>
          <w:rtl/>
          <w:lang w:bidi="ar-IQ"/>
        </w:rPr>
        <w:t>ّ</w:t>
      </w:r>
      <w:r w:rsidRPr="006571AC">
        <w:rPr>
          <w:sz w:val="27"/>
          <w:rtl/>
          <w:lang w:bidi="ar-IQ"/>
        </w:rPr>
        <w:t xml:space="preserve"> الذي صالح عليه</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18"/>
      </w:r>
      <w:r w:rsidRPr="006571AC">
        <w:rPr>
          <w:sz w:val="27"/>
          <w:vertAlign w:val="superscript"/>
          <w:rtl/>
          <w:lang w:bidi="ar-IQ"/>
        </w:rPr>
        <w:t>)</w:t>
      </w:r>
      <w:r w:rsidRPr="006571AC">
        <w:rPr>
          <w:rFonts w:hint="cs"/>
          <w:sz w:val="27"/>
          <w:rtl/>
          <w:lang w:bidi="ar-IQ"/>
        </w:rPr>
        <w:t xml:space="preserve">. </w:t>
      </w:r>
    </w:p>
    <w:p w:rsidR="00B0164F" w:rsidRPr="006571AC" w:rsidRDefault="00381A52" w:rsidP="00552C10">
      <w:pPr>
        <w:rPr>
          <w:sz w:val="27"/>
          <w:rtl/>
          <w:lang w:bidi="ar-IQ"/>
        </w:rPr>
      </w:pPr>
      <w:r w:rsidRPr="006571AC">
        <w:rPr>
          <w:rFonts w:hint="cs"/>
          <w:sz w:val="27"/>
          <w:rtl/>
          <w:lang w:bidi="ar-IQ"/>
        </w:rPr>
        <w:t>وقد استدل</w:t>
      </w:r>
      <w:r w:rsidR="00B0164F" w:rsidRPr="006571AC">
        <w:rPr>
          <w:rFonts w:hint="cs"/>
          <w:sz w:val="27"/>
          <w:rtl/>
          <w:lang w:bidi="ar-IQ"/>
        </w:rPr>
        <w:t>ّ</w:t>
      </w:r>
      <w:r w:rsidRPr="006571AC">
        <w:rPr>
          <w:rFonts w:hint="cs"/>
          <w:sz w:val="27"/>
          <w:rtl/>
          <w:lang w:bidi="ar-IQ"/>
        </w:rPr>
        <w:t xml:space="preserve"> بهذه الرواية كل</w:t>
      </w:r>
      <w:r w:rsidR="00B0164F" w:rsidRPr="006571AC">
        <w:rPr>
          <w:rFonts w:hint="cs"/>
          <w:sz w:val="27"/>
          <w:rtl/>
          <w:lang w:bidi="ar-IQ"/>
        </w:rPr>
        <w:t>ٌّ</w:t>
      </w:r>
      <w:r w:rsidRPr="006571AC">
        <w:rPr>
          <w:rFonts w:hint="cs"/>
          <w:sz w:val="27"/>
          <w:rtl/>
          <w:lang w:bidi="ar-IQ"/>
        </w:rPr>
        <w:t xml:space="preserve"> من</w:t>
      </w:r>
      <w:r w:rsidR="00B0164F" w:rsidRPr="006571AC">
        <w:rPr>
          <w:rFonts w:hint="cs"/>
          <w:sz w:val="27"/>
          <w:rtl/>
          <w:lang w:bidi="ar-IQ"/>
        </w:rPr>
        <w:t>:</w:t>
      </w:r>
      <w:r w:rsidRPr="006571AC">
        <w:rPr>
          <w:rFonts w:hint="cs"/>
          <w:sz w:val="27"/>
          <w:rtl/>
          <w:lang w:bidi="ar-IQ"/>
        </w:rPr>
        <w:t xml:space="preserve"> المحق</w:t>
      </w:r>
      <w:r w:rsidR="00B0164F" w:rsidRPr="006571AC">
        <w:rPr>
          <w:rFonts w:hint="cs"/>
          <w:sz w:val="27"/>
          <w:rtl/>
          <w:lang w:bidi="ar-IQ"/>
        </w:rPr>
        <w:t>ِّ</w:t>
      </w:r>
      <w:r w:rsidRPr="006571AC">
        <w:rPr>
          <w:rFonts w:hint="cs"/>
          <w:sz w:val="27"/>
          <w:rtl/>
          <w:lang w:bidi="ar-IQ"/>
        </w:rPr>
        <w:t>ق الأردبيلي، والسيد أحمد الخو</w:t>
      </w:r>
      <w:r w:rsidR="00B0164F" w:rsidRPr="006571AC">
        <w:rPr>
          <w:rFonts w:hint="cs"/>
          <w:sz w:val="27"/>
          <w:rtl/>
          <w:lang w:bidi="ar-IQ"/>
        </w:rPr>
        <w:t>ا</w:t>
      </w:r>
      <w:r w:rsidRPr="006571AC">
        <w:rPr>
          <w:rFonts w:hint="cs"/>
          <w:sz w:val="27"/>
          <w:rtl/>
          <w:lang w:bidi="ar-IQ"/>
        </w:rPr>
        <w:t>نساري، وعبّ</w:t>
      </w:r>
      <w:r w:rsidR="00B0164F" w:rsidRPr="006571AC">
        <w:rPr>
          <w:rFonts w:hint="cs"/>
          <w:sz w:val="27"/>
          <w:rtl/>
          <w:lang w:bidi="ar-IQ"/>
        </w:rPr>
        <w:t>َ</w:t>
      </w:r>
      <w:r w:rsidRPr="006571AC">
        <w:rPr>
          <w:rFonts w:hint="cs"/>
          <w:sz w:val="27"/>
          <w:rtl/>
          <w:lang w:bidi="ar-IQ"/>
        </w:rPr>
        <w:t>را عنها بالصحيحة</w:t>
      </w:r>
      <w:r w:rsidRPr="006571AC">
        <w:rPr>
          <w:sz w:val="27"/>
          <w:vertAlign w:val="superscript"/>
          <w:rtl/>
          <w:lang w:bidi="ar-IQ"/>
        </w:rPr>
        <w:t>(</w:t>
      </w:r>
      <w:r w:rsidRPr="006571AC">
        <w:rPr>
          <w:rStyle w:val="ac"/>
          <w:sz w:val="27"/>
          <w:rtl/>
          <w:lang w:bidi="ar-IQ"/>
        </w:rPr>
        <w:endnoteReference w:id="319"/>
      </w:r>
      <w:r w:rsidRPr="006571AC">
        <w:rPr>
          <w:sz w:val="27"/>
          <w:vertAlign w:val="superscript"/>
          <w:rtl/>
          <w:lang w:bidi="ar-IQ"/>
        </w:rPr>
        <w:t>)</w:t>
      </w:r>
      <w:r w:rsidR="00B0164F" w:rsidRPr="006571AC">
        <w:rPr>
          <w:rFonts w:hint="cs"/>
          <w:sz w:val="27"/>
          <w:rtl/>
          <w:lang w:bidi="ar-IQ"/>
        </w:rPr>
        <w:t>.</w:t>
      </w:r>
    </w:p>
    <w:p w:rsidR="00606C6E" w:rsidRPr="006571AC" w:rsidRDefault="00381A52" w:rsidP="00552C10">
      <w:pPr>
        <w:rPr>
          <w:sz w:val="27"/>
          <w:rtl/>
          <w:lang w:bidi="ar-IQ"/>
        </w:rPr>
      </w:pPr>
      <w:r w:rsidRPr="006571AC">
        <w:rPr>
          <w:rFonts w:hint="cs"/>
          <w:sz w:val="27"/>
          <w:rtl/>
          <w:lang w:bidi="ar-IQ"/>
        </w:rPr>
        <w:t>وفي مناقشة وبحث هذه الرواية يجب مواصلة البحث في مقامين</w:t>
      </w:r>
      <w:r w:rsidR="00B0164F" w:rsidRPr="006571AC">
        <w:rPr>
          <w:rFonts w:hint="cs"/>
          <w:sz w:val="27"/>
          <w:rtl/>
          <w:lang w:bidi="ar-IQ"/>
        </w:rPr>
        <w:t>:</w:t>
      </w:r>
      <w:r w:rsidRPr="006571AC">
        <w:rPr>
          <w:rFonts w:hint="cs"/>
          <w:sz w:val="27"/>
          <w:rtl/>
          <w:lang w:bidi="ar-IQ"/>
        </w:rPr>
        <w:t xml:space="preserve"> </w:t>
      </w:r>
    </w:p>
    <w:p w:rsidR="00381A52" w:rsidRPr="006571AC" w:rsidRDefault="00606C6E"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sz w:val="27"/>
          <w:rtl/>
          <w:lang w:bidi="ar-IQ"/>
        </w:rPr>
        <w:t xml:space="preserve">: </w:t>
      </w:r>
      <w:r w:rsidR="00381A52" w:rsidRPr="006571AC">
        <w:rPr>
          <w:rFonts w:hint="cs"/>
          <w:sz w:val="27"/>
          <w:rtl/>
          <w:lang w:bidi="ar-IQ"/>
        </w:rPr>
        <w:t xml:space="preserve">إن المراد من محمد بن يحيى هو </w:t>
      </w:r>
      <w:r w:rsidR="00381A52" w:rsidRPr="006571AC">
        <w:rPr>
          <w:sz w:val="27"/>
          <w:rtl/>
          <w:lang w:bidi="ar-IQ"/>
        </w:rPr>
        <w:t>محمد بن يحيى</w:t>
      </w:r>
      <w:r w:rsidR="00381A52" w:rsidRPr="006571AC">
        <w:rPr>
          <w:rFonts w:hint="cs"/>
          <w:sz w:val="27"/>
          <w:rtl/>
          <w:lang w:bidi="ar-IQ"/>
        </w:rPr>
        <w:t xml:space="preserve"> العط</w:t>
      </w:r>
      <w:r w:rsidR="00B0164F" w:rsidRPr="006571AC">
        <w:rPr>
          <w:rFonts w:hint="cs"/>
          <w:sz w:val="27"/>
          <w:rtl/>
          <w:lang w:bidi="ar-IQ"/>
        </w:rPr>
        <w:t>ّ</w:t>
      </w:r>
      <w:r w:rsidR="00381A52" w:rsidRPr="006571AC">
        <w:rPr>
          <w:rFonts w:hint="cs"/>
          <w:sz w:val="27"/>
          <w:rtl/>
          <w:lang w:bidi="ar-IQ"/>
        </w:rPr>
        <w:t xml:space="preserve">ار القمّي، وقد قال عنه الشيخ النجاشي: </w:t>
      </w:r>
      <w:r w:rsidR="00381A52" w:rsidRPr="006571AC">
        <w:rPr>
          <w:rFonts w:hint="eastAsia"/>
          <w:sz w:val="24"/>
          <w:szCs w:val="24"/>
          <w:rtl/>
        </w:rPr>
        <w:t>«</w:t>
      </w:r>
      <w:r w:rsidR="00381A52" w:rsidRPr="006571AC">
        <w:rPr>
          <w:rFonts w:hint="cs"/>
          <w:sz w:val="27"/>
          <w:rtl/>
          <w:lang w:bidi="ar-IQ"/>
        </w:rPr>
        <w:t>شيخ</w:t>
      </w:r>
      <w:r w:rsidR="00B0164F" w:rsidRPr="006571AC">
        <w:rPr>
          <w:rFonts w:hint="cs"/>
          <w:sz w:val="27"/>
          <w:rtl/>
          <w:lang w:bidi="ar-IQ"/>
        </w:rPr>
        <w:t>ُ</w:t>
      </w:r>
      <w:r w:rsidR="00381A52" w:rsidRPr="006571AC">
        <w:rPr>
          <w:rFonts w:hint="cs"/>
          <w:sz w:val="27"/>
          <w:rtl/>
          <w:lang w:bidi="ar-IQ"/>
        </w:rPr>
        <w:t xml:space="preserve"> أصحابنا في زمانه، ثقة</w:t>
      </w:r>
      <w:r w:rsidR="00B0164F" w:rsidRPr="006571AC">
        <w:rPr>
          <w:rFonts w:hint="cs"/>
          <w:sz w:val="27"/>
          <w:rtl/>
          <w:lang w:bidi="ar-IQ"/>
        </w:rPr>
        <w:t>ٌ</w:t>
      </w:r>
      <w:r w:rsidR="00381A52" w:rsidRPr="006571AC">
        <w:rPr>
          <w:rFonts w:hint="cs"/>
          <w:sz w:val="27"/>
          <w:rtl/>
          <w:lang w:bidi="ar-IQ"/>
        </w:rPr>
        <w:t>، عين</w:t>
      </w:r>
      <w:r w:rsidR="00B0164F" w:rsidRPr="006571AC">
        <w:rPr>
          <w:rFonts w:hint="cs"/>
          <w:sz w:val="27"/>
          <w:rtl/>
          <w:lang w:bidi="ar-IQ"/>
        </w:rPr>
        <w:t>ٌ</w:t>
      </w:r>
      <w:r w:rsidR="00381A52" w:rsidRPr="006571AC">
        <w:rPr>
          <w:rFonts w:hint="cs"/>
          <w:sz w:val="27"/>
          <w:rtl/>
          <w:lang w:bidi="ar-IQ"/>
        </w:rPr>
        <w:t xml:space="preserve">، كثير </w:t>
      </w:r>
      <w:r w:rsidR="00381A52" w:rsidRPr="006571AC">
        <w:rPr>
          <w:rFonts w:hint="cs"/>
          <w:sz w:val="27"/>
          <w:rtl/>
          <w:lang w:bidi="ar-IQ"/>
        </w:rPr>
        <w:lastRenderedPageBreak/>
        <w:t>الحديث</w:t>
      </w:r>
      <w:r w:rsidR="00381A52" w:rsidRPr="006571AC">
        <w:rPr>
          <w:rFonts w:hint="eastAsia"/>
          <w:sz w:val="24"/>
          <w:szCs w:val="24"/>
          <w:rtl/>
        </w:rPr>
        <w:t>»</w:t>
      </w:r>
      <w:r w:rsidR="00381A52" w:rsidRPr="006571AC">
        <w:rPr>
          <w:sz w:val="27"/>
          <w:vertAlign w:val="superscript"/>
          <w:rtl/>
          <w:lang w:bidi="ar-IQ"/>
        </w:rPr>
        <w:t>(</w:t>
      </w:r>
      <w:r w:rsidR="00381A52" w:rsidRPr="006571AC">
        <w:rPr>
          <w:rStyle w:val="ac"/>
          <w:sz w:val="27"/>
          <w:rtl/>
          <w:lang w:bidi="ar-IQ"/>
        </w:rPr>
        <w:endnoteReference w:id="320"/>
      </w:r>
      <w:r w:rsidR="00381A52" w:rsidRPr="006571AC">
        <w:rPr>
          <w:sz w:val="27"/>
          <w:vertAlign w:val="superscript"/>
          <w:rtl/>
          <w:lang w:bidi="ar-IQ"/>
        </w:rPr>
        <w:t>)</w:t>
      </w:r>
      <w:r w:rsidR="00381A52" w:rsidRPr="006571AC">
        <w:rPr>
          <w:rFonts w:hint="cs"/>
          <w:sz w:val="27"/>
          <w:rtl/>
          <w:lang w:bidi="ar-IQ"/>
        </w:rPr>
        <w:t>، وقد أشار إليه أحمد بن محمد بن عيسى الأشعري القمّي في مناقشة أسانيد الروايات السابقة، وقال</w:t>
      </w:r>
      <w:r w:rsidR="00B0164F" w:rsidRPr="006571AC">
        <w:rPr>
          <w:rFonts w:hint="cs"/>
          <w:sz w:val="27"/>
          <w:rtl/>
          <w:lang w:bidi="ar-IQ"/>
        </w:rPr>
        <w:t>:</w:t>
      </w:r>
      <w:r w:rsidR="00381A52" w:rsidRPr="006571AC">
        <w:rPr>
          <w:rFonts w:hint="cs"/>
          <w:sz w:val="27"/>
          <w:rtl/>
          <w:lang w:bidi="ar-IQ"/>
        </w:rPr>
        <w:t xml:space="preserve"> إنه ثقة</w:t>
      </w:r>
      <w:r w:rsidR="00B0164F" w:rsidRPr="006571AC">
        <w:rPr>
          <w:rFonts w:hint="cs"/>
          <w:sz w:val="27"/>
          <w:rtl/>
          <w:lang w:bidi="ar-IQ"/>
        </w:rPr>
        <w:t>ٌ</w:t>
      </w:r>
      <w:r w:rsidR="00381A52"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محمد بن عيسى مشترك</w:t>
      </w:r>
      <w:r w:rsidR="00B0164F" w:rsidRPr="006571AC">
        <w:rPr>
          <w:rFonts w:hint="cs"/>
          <w:sz w:val="27"/>
          <w:rtl/>
          <w:lang w:bidi="ar-IQ"/>
        </w:rPr>
        <w:t>ٌ</w:t>
      </w:r>
      <w:r w:rsidRPr="006571AC">
        <w:rPr>
          <w:rFonts w:hint="cs"/>
          <w:sz w:val="27"/>
          <w:rtl/>
          <w:lang w:bidi="ar-IQ"/>
        </w:rPr>
        <w:t xml:space="preserve"> بين سبعة أشخاص: </w:t>
      </w:r>
    </w:p>
    <w:p w:rsidR="00381A52" w:rsidRPr="006571AC" w:rsidRDefault="00381A52" w:rsidP="00552C10">
      <w:pPr>
        <w:rPr>
          <w:sz w:val="27"/>
          <w:rtl/>
          <w:lang w:bidi="ar-IQ"/>
        </w:rPr>
      </w:pPr>
      <w:r w:rsidRPr="006571AC">
        <w:rPr>
          <w:rFonts w:hint="cs"/>
          <w:sz w:val="27"/>
          <w:rtl/>
          <w:lang w:bidi="ar-IQ"/>
        </w:rPr>
        <w:t xml:space="preserve">1ـ </w:t>
      </w:r>
      <w:r w:rsidRPr="006571AC">
        <w:rPr>
          <w:sz w:val="27"/>
          <w:rtl/>
          <w:lang w:bidi="ar-IQ"/>
        </w:rPr>
        <w:t>محمد بن عيسى</w:t>
      </w:r>
      <w:r w:rsidRPr="006571AC">
        <w:rPr>
          <w:rFonts w:hint="cs"/>
          <w:sz w:val="27"/>
          <w:rtl/>
          <w:lang w:bidi="ar-IQ"/>
        </w:rPr>
        <w:t xml:space="preserve"> الأرمني. </w:t>
      </w:r>
    </w:p>
    <w:p w:rsidR="00381A52" w:rsidRPr="006571AC" w:rsidRDefault="00381A52" w:rsidP="00552C10">
      <w:pPr>
        <w:rPr>
          <w:sz w:val="27"/>
          <w:rtl/>
          <w:lang w:bidi="ar-IQ"/>
        </w:rPr>
      </w:pPr>
      <w:r w:rsidRPr="006571AC">
        <w:rPr>
          <w:rFonts w:hint="cs"/>
          <w:sz w:val="27"/>
          <w:rtl/>
          <w:lang w:bidi="ar-IQ"/>
        </w:rPr>
        <w:t xml:space="preserve">2ـ </w:t>
      </w:r>
      <w:r w:rsidRPr="006571AC">
        <w:rPr>
          <w:sz w:val="27"/>
          <w:rtl/>
          <w:lang w:bidi="ar-IQ"/>
        </w:rPr>
        <w:t>محمد بن عيسى</w:t>
      </w:r>
      <w:r w:rsidRPr="006571AC">
        <w:rPr>
          <w:rFonts w:hint="cs"/>
          <w:sz w:val="27"/>
          <w:rtl/>
          <w:lang w:bidi="ar-IQ"/>
        </w:rPr>
        <w:t xml:space="preserve"> بن زياد. </w:t>
      </w:r>
    </w:p>
    <w:p w:rsidR="00381A52" w:rsidRPr="006571AC" w:rsidRDefault="00381A52" w:rsidP="00552C10">
      <w:pPr>
        <w:rPr>
          <w:sz w:val="27"/>
          <w:rtl/>
          <w:lang w:bidi="ar-IQ"/>
        </w:rPr>
      </w:pPr>
      <w:r w:rsidRPr="006571AC">
        <w:rPr>
          <w:rFonts w:hint="cs"/>
          <w:sz w:val="27"/>
          <w:rtl/>
          <w:lang w:bidi="ar-IQ"/>
        </w:rPr>
        <w:t xml:space="preserve">3ـ </w:t>
      </w:r>
      <w:r w:rsidRPr="006571AC">
        <w:rPr>
          <w:sz w:val="27"/>
          <w:rtl/>
          <w:lang w:bidi="ar-IQ"/>
        </w:rPr>
        <w:t>محمد بن عيسى</w:t>
      </w:r>
      <w:r w:rsidRPr="006571AC">
        <w:rPr>
          <w:rFonts w:hint="cs"/>
          <w:sz w:val="27"/>
          <w:rtl/>
          <w:lang w:bidi="ar-IQ"/>
        </w:rPr>
        <w:t xml:space="preserve"> بن سعد الأشعري، والد أحمد بن </w:t>
      </w:r>
      <w:r w:rsidRPr="006571AC">
        <w:rPr>
          <w:sz w:val="27"/>
          <w:rtl/>
          <w:lang w:bidi="ar-IQ"/>
        </w:rPr>
        <w:t>محمد بن عيسى</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4ـ </w:t>
      </w:r>
      <w:r w:rsidRPr="006571AC">
        <w:rPr>
          <w:sz w:val="27"/>
          <w:rtl/>
          <w:lang w:bidi="ar-IQ"/>
        </w:rPr>
        <w:t>محمد بن عيسى</w:t>
      </w:r>
      <w:r w:rsidRPr="006571AC">
        <w:rPr>
          <w:rFonts w:hint="cs"/>
          <w:sz w:val="27"/>
          <w:rtl/>
          <w:lang w:bidi="ar-IQ"/>
        </w:rPr>
        <w:t xml:space="preserve"> بن عبيد اليقطيني. </w:t>
      </w:r>
    </w:p>
    <w:p w:rsidR="00381A52" w:rsidRPr="006571AC" w:rsidRDefault="00381A52" w:rsidP="00552C10">
      <w:pPr>
        <w:rPr>
          <w:sz w:val="27"/>
          <w:rtl/>
          <w:lang w:bidi="ar-IQ"/>
        </w:rPr>
      </w:pPr>
      <w:r w:rsidRPr="006571AC">
        <w:rPr>
          <w:rFonts w:hint="cs"/>
          <w:sz w:val="27"/>
          <w:rtl/>
          <w:lang w:bidi="ar-IQ"/>
        </w:rPr>
        <w:t xml:space="preserve">5ـ </w:t>
      </w:r>
      <w:r w:rsidRPr="006571AC">
        <w:rPr>
          <w:sz w:val="27"/>
          <w:rtl/>
          <w:lang w:bidi="ar-IQ"/>
        </w:rPr>
        <w:t>محمد بن عيسى</w:t>
      </w:r>
      <w:r w:rsidRPr="006571AC">
        <w:rPr>
          <w:rFonts w:hint="cs"/>
          <w:sz w:val="27"/>
          <w:rtl/>
          <w:lang w:bidi="ar-IQ"/>
        </w:rPr>
        <w:t xml:space="preserve"> الطلحي. </w:t>
      </w:r>
    </w:p>
    <w:p w:rsidR="00381A52" w:rsidRPr="006571AC" w:rsidRDefault="00381A52" w:rsidP="00552C10">
      <w:pPr>
        <w:rPr>
          <w:sz w:val="27"/>
          <w:rtl/>
          <w:lang w:bidi="ar-IQ"/>
        </w:rPr>
      </w:pPr>
      <w:r w:rsidRPr="006571AC">
        <w:rPr>
          <w:rFonts w:hint="cs"/>
          <w:sz w:val="27"/>
          <w:rtl/>
          <w:lang w:bidi="ar-IQ"/>
        </w:rPr>
        <w:t xml:space="preserve">6ـ </w:t>
      </w:r>
      <w:r w:rsidRPr="006571AC">
        <w:rPr>
          <w:sz w:val="27"/>
          <w:rtl/>
          <w:lang w:bidi="ar-IQ"/>
        </w:rPr>
        <w:t>محمد بن عيسى</w:t>
      </w:r>
      <w:r w:rsidRPr="006571AC">
        <w:rPr>
          <w:rFonts w:hint="cs"/>
          <w:sz w:val="27"/>
          <w:rtl/>
          <w:lang w:bidi="ar-IQ"/>
        </w:rPr>
        <w:t xml:space="preserve"> القطّان. </w:t>
      </w:r>
    </w:p>
    <w:p w:rsidR="00381A52" w:rsidRPr="006571AC" w:rsidRDefault="00381A52" w:rsidP="00552C10">
      <w:pPr>
        <w:rPr>
          <w:sz w:val="27"/>
          <w:rtl/>
          <w:lang w:bidi="ar-IQ"/>
        </w:rPr>
      </w:pPr>
      <w:r w:rsidRPr="006571AC">
        <w:rPr>
          <w:rFonts w:hint="cs"/>
          <w:sz w:val="27"/>
          <w:rtl/>
          <w:lang w:bidi="ar-IQ"/>
        </w:rPr>
        <w:t xml:space="preserve">7ـ </w:t>
      </w:r>
      <w:r w:rsidRPr="006571AC">
        <w:rPr>
          <w:sz w:val="27"/>
          <w:rtl/>
          <w:lang w:bidi="ar-IQ"/>
        </w:rPr>
        <w:t>محمد بن عيسى</w:t>
      </w:r>
      <w:r w:rsidRPr="006571AC">
        <w:rPr>
          <w:rFonts w:hint="cs"/>
          <w:sz w:val="27"/>
          <w:rtl/>
          <w:lang w:bidi="ar-IQ"/>
        </w:rPr>
        <w:t xml:space="preserve"> الكندي. </w:t>
      </w:r>
    </w:p>
    <w:p w:rsidR="00381A52" w:rsidRPr="006571AC" w:rsidRDefault="00381A52" w:rsidP="00552C10">
      <w:pPr>
        <w:rPr>
          <w:sz w:val="27"/>
          <w:rtl/>
          <w:lang w:bidi="ar-IQ"/>
        </w:rPr>
      </w:pPr>
      <w:r w:rsidRPr="006571AC">
        <w:rPr>
          <w:rFonts w:hint="cs"/>
          <w:sz w:val="27"/>
          <w:rtl/>
          <w:lang w:bidi="ar-IQ"/>
        </w:rPr>
        <w:t>ومن بين هؤلاء السبعة هناك ثلاثة أشهر من سواهم، وهم كل</w:t>
      </w:r>
      <w:r w:rsidR="00B0164F" w:rsidRPr="006571AC">
        <w:rPr>
          <w:rFonts w:hint="cs"/>
          <w:sz w:val="27"/>
          <w:rtl/>
          <w:lang w:bidi="ar-IQ"/>
        </w:rPr>
        <w:t>ٌّ</w:t>
      </w:r>
      <w:r w:rsidRPr="006571AC">
        <w:rPr>
          <w:rFonts w:hint="cs"/>
          <w:sz w:val="27"/>
          <w:rtl/>
          <w:lang w:bidi="ar-IQ"/>
        </w:rPr>
        <w:t xml:space="preserve"> من: الأشعري</w:t>
      </w:r>
      <w:r w:rsidR="00B0164F" w:rsidRPr="006571AC">
        <w:rPr>
          <w:rFonts w:hint="cs"/>
          <w:sz w:val="27"/>
          <w:rtl/>
          <w:lang w:bidi="ar-IQ"/>
        </w:rPr>
        <w:t>؛</w:t>
      </w:r>
      <w:r w:rsidRPr="006571AC">
        <w:rPr>
          <w:rFonts w:hint="cs"/>
          <w:sz w:val="27"/>
          <w:rtl/>
          <w:lang w:bidi="ar-IQ"/>
        </w:rPr>
        <w:t xml:space="preserve"> واليقطيني</w:t>
      </w:r>
      <w:r w:rsidR="00B0164F" w:rsidRPr="006571AC">
        <w:rPr>
          <w:rFonts w:hint="cs"/>
          <w:sz w:val="27"/>
          <w:rtl/>
          <w:lang w:bidi="ar-IQ"/>
        </w:rPr>
        <w:t>؛</w:t>
      </w:r>
      <w:r w:rsidRPr="006571AC">
        <w:rPr>
          <w:rFonts w:hint="cs"/>
          <w:sz w:val="27"/>
          <w:rtl/>
          <w:lang w:bidi="ar-IQ"/>
        </w:rPr>
        <w:t xml:space="preserve"> والطلحي. ومن بين هؤلاء الثلاثة يعتبر اليقطيني هو الأشهر، وعليه عندما ي</w:t>
      </w:r>
      <w:r w:rsidR="00B0164F" w:rsidRPr="006571AC">
        <w:rPr>
          <w:rFonts w:hint="cs"/>
          <w:sz w:val="27"/>
          <w:rtl/>
          <w:lang w:bidi="ar-IQ"/>
        </w:rPr>
        <w:t>َ</w:t>
      </w:r>
      <w:r w:rsidRPr="006571AC">
        <w:rPr>
          <w:rFonts w:hint="cs"/>
          <w:sz w:val="27"/>
          <w:rtl/>
          <w:lang w:bidi="ar-IQ"/>
        </w:rPr>
        <w:t>ر</w:t>
      </w:r>
      <w:r w:rsidR="00B0164F" w:rsidRPr="006571AC">
        <w:rPr>
          <w:rFonts w:hint="cs"/>
          <w:sz w:val="27"/>
          <w:rtl/>
          <w:lang w:bidi="ar-IQ"/>
        </w:rPr>
        <w:t>ِ</w:t>
      </w:r>
      <w:r w:rsidRPr="006571AC">
        <w:rPr>
          <w:rFonts w:hint="cs"/>
          <w:sz w:val="27"/>
          <w:rtl/>
          <w:lang w:bidi="ar-IQ"/>
        </w:rPr>
        <w:t>د</w:t>
      </w:r>
      <w:r w:rsidR="00B0164F" w:rsidRPr="006571AC">
        <w:rPr>
          <w:rFonts w:hint="cs"/>
          <w:sz w:val="27"/>
          <w:rtl/>
          <w:lang w:bidi="ar-IQ"/>
        </w:rPr>
        <w:t>ُ</w:t>
      </w:r>
      <w:r w:rsidRPr="006571AC">
        <w:rPr>
          <w:rFonts w:hint="cs"/>
          <w:sz w:val="27"/>
          <w:rtl/>
          <w:lang w:bidi="ar-IQ"/>
        </w:rPr>
        <w:t xml:space="preserve"> ذكر محمد بن عيسى بشكل</w:t>
      </w:r>
      <w:r w:rsidR="00B0164F" w:rsidRPr="006571AC">
        <w:rPr>
          <w:rFonts w:hint="cs"/>
          <w:sz w:val="27"/>
          <w:rtl/>
          <w:lang w:bidi="ar-IQ"/>
        </w:rPr>
        <w:t>ٍ</w:t>
      </w:r>
      <w:r w:rsidRPr="006571AC">
        <w:rPr>
          <w:rFonts w:hint="cs"/>
          <w:sz w:val="27"/>
          <w:rtl/>
          <w:lang w:bidi="ar-IQ"/>
        </w:rPr>
        <w:t xml:space="preserve"> مطلق</w:t>
      </w:r>
      <w:r w:rsidR="00B0164F" w:rsidRPr="006571AC">
        <w:rPr>
          <w:rFonts w:hint="cs"/>
          <w:sz w:val="27"/>
          <w:rtl/>
          <w:lang w:bidi="ar-IQ"/>
        </w:rPr>
        <w:t>،</w:t>
      </w:r>
      <w:r w:rsidRPr="006571AC">
        <w:rPr>
          <w:rFonts w:hint="cs"/>
          <w:sz w:val="27"/>
          <w:rtl/>
          <w:lang w:bidi="ar-IQ"/>
        </w:rPr>
        <w:t xml:space="preserve"> ومن دون ذكر وصف</w:t>
      </w:r>
      <w:r w:rsidR="00B0164F" w:rsidRPr="006571AC">
        <w:rPr>
          <w:rFonts w:hint="cs"/>
          <w:sz w:val="27"/>
          <w:rtl/>
          <w:lang w:bidi="ar-IQ"/>
        </w:rPr>
        <w:t>ٍ</w:t>
      </w:r>
      <w:r w:rsidRPr="006571AC">
        <w:rPr>
          <w:rFonts w:hint="cs"/>
          <w:sz w:val="27"/>
          <w:rtl/>
          <w:lang w:bidi="ar-IQ"/>
        </w:rPr>
        <w:t xml:space="preserve">، </w:t>
      </w:r>
      <w:r w:rsidR="00B0164F" w:rsidRPr="006571AC">
        <w:rPr>
          <w:rFonts w:hint="cs"/>
          <w:sz w:val="27"/>
          <w:rtl/>
          <w:lang w:bidi="ar-IQ"/>
        </w:rPr>
        <w:t>يكون</w:t>
      </w:r>
      <w:r w:rsidRPr="006571AC">
        <w:rPr>
          <w:rFonts w:hint="cs"/>
          <w:sz w:val="27"/>
          <w:rtl/>
          <w:lang w:bidi="ar-IQ"/>
        </w:rPr>
        <w:t xml:space="preserve"> المراد هو </w:t>
      </w:r>
      <w:r w:rsidRPr="006571AC">
        <w:rPr>
          <w:rFonts w:hint="eastAsia"/>
          <w:sz w:val="24"/>
          <w:szCs w:val="24"/>
          <w:rtl/>
        </w:rPr>
        <w:t>«</w:t>
      </w:r>
      <w:r w:rsidRPr="006571AC">
        <w:rPr>
          <w:sz w:val="27"/>
          <w:rtl/>
          <w:lang w:bidi="ar-IQ"/>
        </w:rPr>
        <w:t>محمد بن عيسى</w:t>
      </w:r>
      <w:r w:rsidRPr="006571AC">
        <w:rPr>
          <w:rFonts w:hint="cs"/>
          <w:sz w:val="27"/>
          <w:rtl/>
          <w:lang w:bidi="ar-IQ"/>
        </w:rPr>
        <w:t xml:space="preserve"> بن عُب</w:t>
      </w:r>
      <w:r w:rsidR="00B0164F" w:rsidRPr="006571AC">
        <w:rPr>
          <w:rFonts w:hint="cs"/>
          <w:sz w:val="27"/>
          <w:rtl/>
          <w:lang w:bidi="ar-IQ"/>
        </w:rPr>
        <w:t>َ</w:t>
      </w:r>
      <w:r w:rsidRPr="006571AC">
        <w:rPr>
          <w:rFonts w:hint="cs"/>
          <w:sz w:val="27"/>
          <w:rtl/>
          <w:lang w:bidi="ar-IQ"/>
        </w:rPr>
        <w:t>ي</w:t>
      </w:r>
      <w:r w:rsidR="00B0164F" w:rsidRPr="006571AC">
        <w:rPr>
          <w:rFonts w:hint="cs"/>
          <w:sz w:val="27"/>
          <w:rtl/>
          <w:lang w:bidi="ar-IQ"/>
        </w:rPr>
        <w:t>ْ</w:t>
      </w:r>
      <w:r w:rsidRPr="006571AC">
        <w:rPr>
          <w:rFonts w:hint="cs"/>
          <w:sz w:val="27"/>
          <w:rtl/>
          <w:lang w:bidi="ar-IQ"/>
        </w:rPr>
        <w:t>د اليقطيني</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وهناك اختلاف</w:t>
      </w:r>
      <w:r w:rsidR="00B0164F" w:rsidRPr="006571AC">
        <w:rPr>
          <w:rFonts w:hint="cs"/>
          <w:sz w:val="27"/>
          <w:rtl/>
          <w:lang w:bidi="ar-IQ"/>
        </w:rPr>
        <w:t>ٌ</w:t>
      </w:r>
      <w:r w:rsidRPr="006571AC">
        <w:rPr>
          <w:rFonts w:hint="cs"/>
          <w:sz w:val="27"/>
          <w:rtl/>
          <w:lang w:bidi="ar-IQ"/>
        </w:rPr>
        <w:t xml:space="preserve"> بين علماء الرجال حول وثاقته أو عدم وثاقته. وقال الشيخ النجاشي عنه: </w:t>
      </w:r>
      <w:r w:rsidRPr="006571AC">
        <w:rPr>
          <w:rFonts w:hint="eastAsia"/>
          <w:sz w:val="24"/>
          <w:szCs w:val="24"/>
          <w:rtl/>
        </w:rPr>
        <w:t>«</w:t>
      </w:r>
      <w:r w:rsidRPr="006571AC">
        <w:rPr>
          <w:rFonts w:hint="cs"/>
          <w:sz w:val="27"/>
          <w:rtl/>
          <w:lang w:bidi="ar-IQ"/>
        </w:rPr>
        <w:t>جليل</w:t>
      </w:r>
      <w:r w:rsidR="00B0164F" w:rsidRPr="006571AC">
        <w:rPr>
          <w:rFonts w:hint="cs"/>
          <w:sz w:val="27"/>
          <w:rtl/>
          <w:lang w:bidi="ar-IQ"/>
        </w:rPr>
        <w:t>ٌ</w:t>
      </w:r>
      <w:r w:rsidRPr="006571AC">
        <w:rPr>
          <w:rFonts w:hint="cs"/>
          <w:sz w:val="27"/>
          <w:rtl/>
          <w:lang w:bidi="ar-IQ"/>
        </w:rPr>
        <w:t xml:space="preserve"> في أصحابنا، ثقة</w:t>
      </w:r>
      <w:r w:rsidR="00B0164F" w:rsidRPr="006571AC">
        <w:rPr>
          <w:rFonts w:hint="cs"/>
          <w:sz w:val="27"/>
          <w:rtl/>
          <w:lang w:bidi="ar-IQ"/>
        </w:rPr>
        <w:t>ٌ</w:t>
      </w:r>
      <w:r w:rsidRPr="006571AC">
        <w:rPr>
          <w:rFonts w:hint="cs"/>
          <w:sz w:val="27"/>
          <w:rtl/>
          <w:lang w:bidi="ar-IQ"/>
        </w:rPr>
        <w:t>، عين، كثير الرواية، ح</w:t>
      </w:r>
      <w:r w:rsidR="00B0164F" w:rsidRPr="006571AC">
        <w:rPr>
          <w:rFonts w:hint="cs"/>
          <w:sz w:val="27"/>
          <w:rtl/>
          <w:lang w:bidi="ar-IQ"/>
        </w:rPr>
        <w:t>َ</w:t>
      </w:r>
      <w:r w:rsidRPr="006571AC">
        <w:rPr>
          <w:rFonts w:hint="cs"/>
          <w:sz w:val="27"/>
          <w:rtl/>
          <w:lang w:bidi="ar-IQ"/>
        </w:rPr>
        <w:t>س</w:t>
      </w:r>
      <w:r w:rsidR="00B0164F" w:rsidRPr="006571AC">
        <w:rPr>
          <w:rFonts w:hint="cs"/>
          <w:sz w:val="27"/>
          <w:rtl/>
          <w:lang w:bidi="ar-IQ"/>
        </w:rPr>
        <w:t>َ</w:t>
      </w:r>
      <w:r w:rsidRPr="006571AC">
        <w:rPr>
          <w:rFonts w:hint="cs"/>
          <w:sz w:val="27"/>
          <w:rtl/>
          <w:lang w:bidi="ar-IQ"/>
        </w:rPr>
        <w:t>ن</w:t>
      </w:r>
      <w:r w:rsidR="00B0164F" w:rsidRPr="006571AC">
        <w:rPr>
          <w:rFonts w:hint="cs"/>
          <w:sz w:val="27"/>
          <w:rtl/>
          <w:lang w:bidi="ar-IQ"/>
        </w:rPr>
        <w:t>ُ</w:t>
      </w:r>
      <w:r w:rsidRPr="006571AC">
        <w:rPr>
          <w:rFonts w:hint="cs"/>
          <w:sz w:val="27"/>
          <w:rtl/>
          <w:lang w:bidi="ar-IQ"/>
        </w:rPr>
        <w:t xml:space="preserve"> التصانيف... </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21"/>
      </w:r>
      <w:r w:rsidRPr="006571AC">
        <w:rPr>
          <w:sz w:val="27"/>
          <w:vertAlign w:val="superscript"/>
          <w:rtl/>
          <w:lang w:bidi="ar-IQ"/>
        </w:rPr>
        <w:t>)</w:t>
      </w:r>
      <w:r w:rsidRPr="006571AC">
        <w:rPr>
          <w:rFonts w:hint="cs"/>
          <w:sz w:val="27"/>
          <w:rtl/>
          <w:lang w:bidi="ar-IQ"/>
        </w:rPr>
        <w:t xml:space="preserve">. </w:t>
      </w:r>
      <w:r w:rsidR="00731867" w:rsidRPr="006571AC">
        <w:rPr>
          <w:rFonts w:hint="cs"/>
          <w:sz w:val="27"/>
          <w:rtl/>
          <w:lang w:bidi="ar-IQ"/>
        </w:rPr>
        <w:t>بَيْدَ</w:t>
      </w:r>
      <w:r w:rsidRPr="006571AC">
        <w:rPr>
          <w:rFonts w:hint="cs"/>
          <w:sz w:val="27"/>
          <w:rtl/>
          <w:lang w:bidi="ar-IQ"/>
        </w:rPr>
        <w:t xml:space="preserve"> أن الشيخ الطوسي قد حكم بضعفه، ومن الأفراد الذين تمّ استثناؤهم من قبل </w:t>
      </w:r>
      <w:r w:rsidRPr="006571AC">
        <w:rPr>
          <w:rFonts w:hint="eastAsia"/>
          <w:sz w:val="24"/>
          <w:szCs w:val="24"/>
          <w:rtl/>
        </w:rPr>
        <w:t>«</w:t>
      </w:r>
      <w:r w:rsidRPr="006571AC">
        <w:rPr>
          <w:rFonts w:hint="cs"/>
          <w:sz w:val="27"/>
          <w:rtl/>
          <w:lang w:bidi="ar-IQ"/>
        </w:rPr>
        <w:t>محمد بن الحسن بن الوليد</w:t>
      </w:r>
      <w:r w:rsidRPr="006571AC">
        <w:rPr>
          <w:rFonts w:hint="eastAsia"/>
          <w:sz w:val="24"/>
          <w:szCs w:val="24"/>
          <w:rtl/>
        </w:rPr>
        <w:t>»</w:t>
      </w:r>
      <w:r w:rsidRPr="006571AC">
        <w:rPr>
          <w:rFonts w:hint="cs"/>
          <w:sz w:val="27"/>
          <w:rtl/>
          <w:lang w:bidi="ar-IQ"/>
        </w:rPr>
        <w:t>، وقد تمّ عدّ</w:t>
      </w:r>
      <w:r w:rsidR="00B0164F" w:rsidRPr="006571AC">
        <w:rPr>
          <w:rFonts w:hint="cs"/>
          <w:sz w:val="27"/>
          <w:rtl/>
          <w:lang w:bidi="ar-IQ"/>
        </w:rPr>
        <w:t>ُ</w:t>
      </w:r>
      <w:r w:rsidRPr="006571AC">
        <w:rPr>
          <w:rFonts w:hint="cs"/>
          <w:sz w:val="27"/>
          <w:rtl/>
          <w:lang w:bidi="ar-IQ"/>
        </w:rPr>
        <w:t xml:space="preserve">ه من رجال </w:t>
      </w:r>
      <w:r w:rsidRPr="006571AC">
        <w:rPr>
          <w:rFonts w:hint="eastAsia"/>
          <w:sz w:val="24"/>
          <w:szCs w:val="24"/>
          <w:rtl/>
        </w:rPr>
        <w:t>«</w:t>
      </w:r>
      <w:r w:rsidRPr="006571AC">
        <w:rPr>
          <w:rFonts w:hint="cs"/>
          <w:sz w:val="27"/>
          <w:rtl/>
          <w:lang w:bidi="ar-IQ"/>
        </w:rPr>
        <w:t>نوادر الحكمة</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22"/>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وقال صاحب كتاب </w:t>
      </w:r>
      <w:r w:rsidRPr="006571AC">
        <w:rPr>
          <w:rFonts w:hint="eastAsia"/>
          <w:sz w:val="24"/>
          <w:szCs w:val="24"/>
          <w:rtl/>
        </w:rPr>
        <w:t>«</w:t>
      </w:r>
      <w:r w:rsidRPr="006571AC">
        <w:rPr>
          <w:rFonts w:hint="cs"/>
          <w:sz w:val="27"/>
          <w:rtl/>
          <w:lang w:bidi="ar-IQ"/>
        </w:rPr>
        <w:t>إيضاح الدلائل</w:t>
      </w:r>
      <w:r w:rsidRPr="006571AC">
        <w:rPr>
          <w:rFonts w:hint="eastAsia"/>
          <w:sz w:val="24"/>
          <w:szCs w:val="24"/>
          <w:rtl/>
        </w:rPr>
        <w:t>»</w:t>
      </w:r>
      <w:r w:rsidRPr="006571AC">
        <w:rPr>
          <w:rFonts w:hint="cs"/>
          <w:sz w:val="27"/>
          <w:rtl/>
          <w:lang w:bidi="ar-IQ"/>
        </w:rPr>
        <w:t xml:space="preserve"> بأن تضعيف الشيخ [الطوسي] لا يمكن أن يقاوم توثيق النجاشي؛ لأن تضعيف الشيخ الطوسي إنما قام على أساس استثناء محمد بن الوليد، في حين أن هذا الاستثناء لا يمكنه أن يكون دليلاً على ضعفه؛ وذلك لأن ابن الوليد متوق</w:t>
      </w:r>
      <w:r w:rsidR="00183328" w:rsidRPr="006571AC">
        <w:rPr>
          <w:rFonts w:hint="cs"/>
          <w:sz w:val="27"/>
          <w:rtl/>
          <w:lang w:bidi="ar-IQ"/>
        </w:rPr>
        <w:t>ِّ</w:t>
      </w:r>
      <w:r w:rsidRPr="006571AC">
        <w:rPr>
          <w:rFonts w:hint="cs"/>
          <w:sz w:val="27"/>
          <w:rtl/>
          <w:lang w:bidi="ar-IQ"/>
        </w:rPr>
        <w:t>ف</w:t>
      </w:r>
      <w:r w:rsidR="00183328" w:rsidRPr="006571AC">
        <w:rPr>
          <w:rFonts w:hint="cs"/>
          <w:sz w:val="27"/>
          <w:rtl/>
          <w:lang w:bidi="ar-IQ"/>
        </w:rPr>
        <w:t>ٌ</w:t>
      </w:r>
      <w:r w:rsidRPr="006571AC">
        <w:rPr>
          <w:rFonts w:hint="cs"/>
          <w:sz w:val="27"/>
          <w:rtl/>
          <w:lang w:bidi="ar-IQ"/>
        </w:rPr>
        <w:t xml:space="preserve"> في الروايات التي يرويها محمد بن عيسى بن عُب</w:t>
      </w:r>
      <w:r w:rsidR="00183328" w:rsidRPr="006571AC">
        <w:rPr>
          <w:rFonts w:hint="cs"/>
          <w:sz w:val="27"/>
          <w:rtl/>
          <w:lang w:bidi="ar-IQ"/>
        </w:rPr>
        <w:t>َ</w:t>
      </w:r>
      <w:r w:rsidRPr="006571AC">
        <w:rPr>
          <w:rFonts w:hint="cs"/>
          <w:sz w:val="27"/>
          <w:rtl/>
          <w:lang w:bidi="ar-IQ"/>
        </w:rPr>
        <w:t>ي</w:t>
      </w:r>
      <w:r w:rsidR="00183328" w:rsidRPr="006571AC">
        <w:rPr>
          <w:rFonts w:hint="cs"/>
          <w:sz w:val="27"/>
          <w:rtl/>
          <w:lang w:bidi="ar-IQ"/>
        </w:rPr>
        <w:t>ْ</w:t>
      </w:r>
      <w:r w:rsidRPr="006571AC">
        <w:rPr>
          <w:rFonts w:hint="cs"/>
          <w:sz w:val="27"/>
          <w:rtl/>
          <w:lang w:bidi="ar-IQ"/>
        </w:rPr>
        <w:t>د عن يونس بن عبد الرحمن، لا على نحو</w:t>
      </w:r>
      <w:r w:rsidR="00183328" w:rsidRPr="006571AC">
        <w:rPr>
          <w:rFonts w:hint="cs"/>
          <w:sz w:val="27"/>
          <w:rtl/>
          <w:lang w:bidi="ar-IQ"/>
        </w:rPr>
        <w:t>ٍ</w:t>
      </w:r>
      <w:r w:rsidRPr="006571AC">
        <w:rPr>
          <w:rFonts w:hint="cs"/>
          <w:sz w:val="27"/>
          <w:rtl/>
          <w:lang w:bidi="ar-IQ"/>
        </w:rPr>
        <w:t xml:space="preserve"> كلّ</w:t>
      </w:r>
      <w:r w:rsidR="00183328" w:rsidRPr="006571AC">
        <w:rPr>
          <w:rFonts w:hint="cs"/>
          <w:sz w:val="27"/>
          <w:rtl/>
          <w:lang w:bidi="ar-IQ"/>
        </w:rPr>
        <w:t>ِ</w:t>
      </w:r>
      <w:r w:rsidRPr="006571AC">
        <w:rPr>
          <w:rFonts w:hint="cs"/>
          <w:sz w:val="27"/>
          <w:rtl/>
          <w:lang w:bidi="ar-IQ"/>
        </w:rPr>
        <w:t>ي</w:t>
      </w:r>
      <w:r w:rsidRPr="006571AC">
        <w:rPr>
          <w:sz w:val="27"/>
          <w:vertAlign w:val="superscript"/>
          <w:rtl/>
          <w:lang w:bidi="ar-IQ"/>
        </w:rPr>
        <w:t>(</w:t>
      </w:r>
      <w:r w:rsidRPr="006571AC">
        <w:rPr>
          <w:rStyle w:val="ac"/>
          <w:sz w:val="27"/>
          <w:rtl/>
          <w:lang w:bidi="ar-IQ"/>
        </w:rPr>
        <w:endnoteReference w:id="323"/>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إن عبد الله بن ب</w:t>
      </w:r>
      <w:r w:rsidR="00183328" w:rsidRPr="006571AC">
        <w:rPr>
          <w:rFonts w:hint="cs"/>
          <w:sz w:val="27"/>
          <w:rtl/>
          <w:lang w:bidi="ar-IQ"/>
        </w:rPr>
        <w:t>ُ</w:t>
      </w:r>
      <w:r w:rsidRPr="006571AC">
        <w:rPr>
          <w:rFonts w:hint="cs"/>
          <w:sz w:val="27"/>
          <w:rtl/>
          <w:lang w:bidi="ar-IQ"/>
        </w:rPr>
        <w:t>ك</w:t>
      </w:r>
      <w:r w:rsidR="00183328" w:rsidRPr="006571AC">
        <w:rPr>
          <w:rFonts w:hint="cs"/>
          <w:sz w:val="27"/>
          <w:rtl/>
          <w:lang w:bidi="ar-IQ"/>
        </w:rPr>
        <w:t>َ</w:t>
      </w:r>
      <w:r w:rsidRPr="006571AC">
        <w:rPr>
          <w:rFonts w:hint="cs"/>
          <w:sz w:val="27"/>
          <w:rtl/>
          <w:lang w:bidi="ar-IQ"/>
        </w:rPr>
        <w:t>ي</w:t>
      </w:r>
      <w:r w:rsidR="00183328" w:rsidRPr="006571AC">
        <w:rPr>
          <w:rFonts w:hint="cs"/>
          <w:sz w:val="27"/>
          <w:rtl/>
          <w:lang w:bidi="ar-IQ"/>
        </w:rPr>
        <w:t>ْ</w:t>
      </w:r>
      <w:r w:rsidRPr="006571AC">
        <w:rPr>
          <w:rFonts w:hint="cs"/>
          <w:sz w:val="27"/>
          <w:rtl/>
          <w:lang w:bidi="ar-IQ"/>
        </w:rPr>
        <w:t>ر وإن</w:t>
      </w:r>
      <w:r w:rsidR="00183328" w:rsidRPr="006571AC">
        <w:rPr>
          <w:rFonts w:hint="cs"/>
          <w:sz w:val="27"/>
          <w:rtl/>
          <w:lang w:bidi="ar-IQ"/>
        </w:rPr>
        <w:t>ْ</w:t>
      </w:r>
      <w:r w:rsidRPr="006571AC">
        <w:rPr>
          <w:rFonts w:hint="cs"/>
          <w:sz w:val="27"/>
          <w:rtl/>
          <w:lang w:bidi="ar-IQ"/>
        </w:rPr>
        <w:t xml:space="preserve"> كان فطحي</w:t>
      </w:r>
      <w:r w:rsidR="00183328" w:rsidRPr="006571AC">
        <w:rPr>
          <w:rFonts w:hint="cs"/>
          <w:sz w:val="27"/>
          <w:rtl/>
          <w:lang w:bidi="ar-IQ"/>
        </w:rPr>
        <w:t>ّ</w:t>
      </w:r>
      <w:r w:rsidRPr="006571AC">
        <w:rPr>
          <w:rFonts w:hint="cs"/>
          <w:sz w:val="27"/>
          <w:rtl/>
          <w:lang w:bidi="ar-IQ"/>
        </w:rPr>
        <w:t>اً، إل</w:t>
      </w:r>
      <w:r w:rsidR="00183328" w:rsidRPr="006571AC">
        <w:rPr>
          <w:rFonts w:hint="cs"/>
          <w:sz w:val="27"/>
          <w:rtl/>
          <w:lang w:bidi="ar-IQ"/>
        </w:rPr>
        <w:t>اّ</w:t>
      </w:r>
      <w:r w:rsidRPr="006571AC">
        <w:rPr>
          <w:rFonts w:hint="cs"/>
          <w:sz w:val="27"/>
          <w:rtl/>
          <w:lang w:bidi="ar-IQ"/>
        </w:rPr>
        <w:t xml:space="preserve"> أن الشيخ الطوسي قد حكم في كتاب </w:t>
      </w:r>
      <w:r w:rsidRPr="006571AC">
        <w:rPr>
          <w:rFonts w:hint="eastAsia"/>
          <w:sz w:val="24"/>
          <w:szCs w:val="24"/>
          <w:rtl/>
        </w:rPr>
        <w:t>«</w:t>
      </w:r>
      <w:r w:rsidRPr="006571AC">
        <w:rPr>
          <w:rFonts w:hint="cs"/>
          <w:sz w:val="27"/>
          <w:rtl/>
          <w:lang w:bidi="ar-IQ"/>
        </w:rPr>
        <w:t>الفهرست</w:t>
      </w:r>
      <w:r w:rsidRPr="006571AC">
        <w:rPr>
          <w:rFonts w:hint="eastAsia"/>
          <w:sz w:val="24"/>
          <w:szCs w:val="24"/>
          <w:rtl/>
        </w:rPr>
        <w:t>»</w:t>
      </w:r>
      <w:r w:rsidRPr="006571AC">
        <w:rPr>
          <w:rFonts w:hint="cs"/>
          <w:sz w:val="27"/>
          <w:rtl/>
          <w:lang w:bidi="ar-IQ"/>
        </w:rPr>
        <w:t xml:space="preserve"> بوثاقته</w:t>
      </w:r>
      <w:r w:rsidRPr="006571AC">
        <w:rPr>
          <w:sz w:val="27"/>
          <w:vertAlign w:val="superscript"/>
          <w:rtl/>
          <w:lang w:bidi="ar-IQ"/>
        </w:rPr>
        <w:t>(</w:t>
      </w:r>
      <w:r w:rsidRPr="006571AC">
        <w:rPr>
          <w:rStyle w:val="ac"/>
          <w:sz w:val="27"/>
          <w:rtl/>
          <w:lang w:bidi="ar-IQ"/>
        </w:rPr>
        <w:endnoteReference w:id="324"/>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إن عمر بن يزيد مشترك</w:t>
      </w:r>
      <w:r w:rsidR="00183328" w:rsidRPr="006571AC">
        <w:rPr>
          <w:rFonts w:hint="cs"/>
          <w:sz w:val="27"/>
          <w:rtl/>
          <w:lang w:bidi="ar-IQ"/>
        </w:rPr>
        <w:t>ٌ</w:t>
      </w:r>
      <w:r w:rsidRPr="006571AC">
        <w:rPr>
          <w:rFonts w:hint="cs"/>
          <w:sz w:val="27"/>
          <w:rtl/>
          <w:lang w:bidi="ar-IQ"/>
        </w:rPr>
        <w:t xml:space="preserve"> بين شخصين، وهما: </w:t>
      </w:r>
    </w:p>
    <w:p w:rsidR="00381A52" w:rsidRPr="006571AC" w:rsidRDefault="00381A52" w:rsidP="00552C10">
      <w:pPr>
        <w:rPr>
          <w:sz w:val="27"/>
          <w:rtl/>
          <w:lang w:bidi="ar-IQ"/>
        </w:rPr>
      </w:pPr>
      <w:r w:rsidRPr="006571AC">
        <w:rPr>
          <w:rFonts w:hint="cs"/>
          <w:sz w:val="27"/>
          <w:rtl/>
          <w:lang w:bidi="ar-IQ"/>
        </w:rPr>
        <w:lastRenderedPageBreak/>
        <w:t xml:space="preserve">1ـ </w:t>
      </w:r>
      <w:r w:rsidRPr="006571AC">
        <w:rPr>
          <w:sz w:val="27"/>
          <w:rtl/>
          <w:lang w:bidi="ar-IQ"/>
        </w:rPr>
        <w:t>عمر بن يزيد</w:t>
      </w:r>
      <w:r w:rsidRPr="006571AC">
        <w:rPr>
          <w:rFonts w:hint="cs"/>
          <w:sz w:val="27"/>
          <w:rtl/>
          <w:lang w:bidi="ar-IQ"/>
        </w:rPr>
        <w:t xml:space="preserve"> الصيقل، وليس له كتاب</w:t>
      </w:r>
      <w:r w:rsidR="00183328" w:rsidRPr="006571AC">
        <w:rPr>
          <w:rFonts w:hint="cs"/>
          <w:sz w:val="27"/>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2ـ </w:t>
      </w:r>
      <w:r w:rsidRPr="006571AC">
        <w:rPr>
          <w:sz w:val="27"/>
          <w:rtl/>
          <w:lang w:bidi="ar-IQ"/>
        </w:rPr>
        <w:t>عمر بن</w:t>
      </w:r>
      <w:r w:rsidRPr="006571AC">
        <w:rPr>
          <w:rFonts w:hint="cs"/>
          <w:sz w:val="27"/>
          <w:rtl/>
          <w:lang w:bidi="ar-IQ"/>
        </w:rPr>
        <w:t xml:space="preserve"> محمد بن</w:t>
      </w:r>
      <w:r w:rsidRPr="006571AC">
        <w:rPr>
          <w:sz w:val="27"/>
          <w:rtl/>
          <w:lang w:bidi="ar-IQ"/>
        </w:rPr>
        <w:t xml:space="preserve"> يزيد</w:t>
      </w:r>
      <w:r w:rsidR="00183328" w:rsidRPr="006571AC">
        <w:rPr>
          <w:rFonts w:hint="cs"/>
          <w:sz w:val="27"/>
          <w:rtl/>
          <w:lang w:bidi="ar-IQ"/>
        </w:rPr>
        <w:t>،</w:t>
      </w:r>
      <w:r w:rsidRPr="006571AC">
        <w:rPr>
          <w:rFonts w:hint="cs"/>
          <w:sz w:val="27"/>
          <w:rtl/>
          <w:lang w:bidi="ar-IQ"/>
        </w:rPr>
        <w:t xml:space="preserve"> بي</w:t>
      </w:r>
      <w:r w:rsidR="00183328" w:rsidRPr="006571AC">
        <w:rPr>
          <w:rFonts w:hint="cs"/>
          <w:sz w:val="27"/>
          <w:rtl/>
          <w:lang w:bidi="ar-IQ"/>
        </w:rPr>
        <w:t>ّ</w:t>
      </w:r>
      <w:r w:rsidRPr="006571AC">
        <w:rPr>
          <w:rFonts w:hint="cs"/>
          <w:sz w:val="27"/>
          <w:rtl/>
          <w:lang w:bidi="ar-IQ"/>
        </w:rPr>
        <w:t>اع السابري، وله كتاب</w:t>
      </w:r>
      <w:r w:rsidR="00183328" w:rsidRPr="006571AC">
        <w:rPr>
          <w:rFonts w:hint="cs"/>
          <w:sz w:val="27"/>
          <w:rtl/>
          <w:lang w:bidi="ar-IQ"/>
        </w:rPr>
        <w:t>ٌ</w:t>
      </w:r>
      <w:r w:rsidRPr="006571AC">
        <w:rPr>
          <w:rFonts w:hint="cs"/>
          <w:sz w:val="27"/>
          <w:rtl/>
          <w:lang w:bidi="ar-IQ"/>
        </w:rPr>
        <w:t xml:space="preserve">. </w:t>
      </w:r>
    </w:p>
    <w:p w:rsidR="00183328" w:rsidRPr="006571AC" w:rsidRDefault="00381A52" w:rsidP="00552C10">
      <w:pPr>
        <w:rPr>
          <w:sz w:val="27"/>
          <w:rtl/>
          <w:lang w:bidi="ar-IQ"/>
        </w:rPr>
      </w:pPr>
      <w:r w:rsidRPr="006571AC">
        <w:rPr>
          <w:rFonts w:hint="cs"/>
          <w:sz w:val="27"/>
          <w:rtl/>
          <w:lang w:bidi="ar-IQ"/>
        </w:rPr>
        <w:t>وهذا الاسم عندما ي</w:t>
      </w:r>
      <w:r w:rsidR="00183328" w:rsidRPr="006571AC">
        <w:rPr>
          <w:rFonts w:hint="cs"/>
          <w:sz w:val="27"/>
          <w:rtl/>
          <w:lang w:bidi="ar-IQ"/>
        </w:rPr>
        <w:t>َ</w:t>
      </w:r>
      <w:r w:rsidRPr="006571AC">
        <w:rPr>
          <w:rFonts w:hint="cs"/>
          <w:sz w:val="27"/>
          <w:rtl/>
          <w:lang w:bidi="ar-IQ"/>
        </w:rPr>
        <w:t>ر</w:t>
      </w:r>
      <w:r w:rsidR="00183328" w:rsidRPr="006571AC">
        <w:rPr>
          <w:rFonts w:hint="cs"/>
          <w:sz w:val="27"/>
          <w:rtl/>
          <w:lang w:bidi="ar-IQ"/>
        </w:rPr>
        <w:t>ِ</w:t>
      </w:r>
      <w:r w:rsidRPr="006571AC">
        <w:rPr>
          <w:rFonts w:hint="cs"/>
          <w:sz w:val="27"/>
          <w:rtl/>
          <w:lang w:bidi="ar-IQ"/>
        </w:rPr>
        <w:t>د</w:t>
      </w:r>
      <w:r w:rsidR="00183328" w:rsidRPr="006571AC">
        <w:rPr>
          <w:rFonts w:hint="cs"/>
          <w:sz w:val="27"/>
          <w:rtl/>
          <w:lang w:bidi="ar-IQ"/>
        </w:rPr>
        <w:t>ُ</w:t>
      </w:r>
      <w:r w:rsidRPr="006571AC">
        <w:rPr>
          <w:rFonts w:hint="cs"/>
          <w:sz w:val="27"/>
          <w:rtl/>
          <w:lang w:bidi="ar-IQ"/>
        </w:rPr>
        <w:t xml:space="preserve"> بشكل</w:t>
      </w:r>
      <w:r w:rsidR="00183328" w:rsidRPr="006571AC">
        <w:rPr>
          <w:rFonts w:hint="cs"/>
          <w:sz w:val="27"/>
          <w:rtl/>
          <w:lang w:bidi="ar-IQ"/>
        </w:rPr>
        <w:t>ٍ</w:t>
      </w:r>
      <w:r w:rsidRPr="006571AC">
        <w:rPr>
          <w:rFonts w:hint="cs"/>
          <w:sz w:val="27"/>
          <w:rtl/>
          <w:lang w:bidi="ar-IQ"/>
        </w:rPr>
        <w:t xml:space="preserve"> مطلق يكون المراد منه هو الثاني، والذي وصفه الشيخ النجاشي بقول</w:t>
      </w:r>
      <w:r w:rsidR="00183328" w:rsidRPr="006571AC">
        <w:rPr>
          <w:rFonts w:hint="cs"/>
          <w:sz w:val="27"/>
          <w:rtl/>
          <w:lang w:bidi="ar-IQ"/>
        </w:rPr>
        <w:t>ه</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عمر بن محمد بن يزيد، أبو الأسود، بي</w:t>
      </w:r>
      <w:r w:rsidR="00183328" w:rsidRPr="006571AC">
        <w:rPr>
          <w:rFonts w:hint="cs"/>
          <w:sz w:val="27"/>
          <w:rtl/>
          <w:lang w:bidi="ar-IQ"/>
        </w:rPr>
        <w:t>ّ</w:t>
      </w:r>
      <w:r w:rsidRPr="006571AC">
        <w:rPr>
          <w:rFonts w:hint="cs"/>
          <w:sz w:val="27"/>
          <w:rtl/>
          <w:lang w:bidi="ar-IQ"/>
        </w:rPr>
        <w:t>اع السابري... كوفي، ثقة</w:t>
      </w:r>
      <w:r w:rsidR="00183328" w:rsidRPr="006571AC">
        <w:rPr>
          <w:rFonts w:hint="cs"/>
          <w:sz w:val="27"/>
          <w:rtl/>
          <w:lang w:bidi="ar-IQ"/>
        </w:rPr>
        <w:t>ٌ</w:t>
      </w:r>
      <w:r w:rsidRPr="006571AC">
        <w:rPr>
          <w:rFonts w:hint="cs"/>
          <w:sz w:val="27"/>
          <w:rtl/>
          <w:lang w:bidi="ar-IQ"/>
        </w:rPr>
        <w:t>، جليل</w:t>
      </w:r>
      <w:r w:rsidR="00183328" w:rsidRPr="006571AC">
        <w:rPr>
          <w:rFonts w:hint="cs"/>
          <w:sz w:val="27"/>
          <w:rtl/>
          <w:lang w:bidi="ar-IQ"/>
        </w:rPr>
        <w:t>...</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25"/>
      </w:r>
      <w:r w:rsidRPr="006571AC">
        <w:rPr>
          <w:sz w:val="27"/>
          <w:vertAlign w:val="superscript"/>
          <w:rtl/>
          <w:lang w:bidi="ar-IQ"/>
        </w:rPr>
        <w:t>)</w:t>
      </w:r>
      <w:r w:rsidR="00183328" w:rsidRPr="006571AC">
        <w:rPr>
          <w:rFonts w:hint="cs"/>
          <w:sz w:val="27"/>
          <w:rtl/>
          <w:lang w:bidi="ar-IQ"/>
        </w:rPr>
        <w:t>.</w:t>
      </w:r>
    </w:p>
    <w:p w:rsidR="00606C6E" w:rsidRPr="006571AC" w:rsidRDefault="00381A52" w:rsidP="00552C10">
      <w:pPr>
        <w:rPr>
          <w:sz w:val="27"/>
          <w:rtl/>
          <w:lang w:bidi="ar-IQ"/>
        </w:rPr>
      </w:pPr>
      <w:r w:rsidRPr="006571AC">
        <w:rPr>
          <w:rFonts w:hint="cs"/>
          <w:sz w:val="27"/>
          <w:rtl/>
          <w:lang w:bidi="ar-IQ"/>
        </w:rPr>
        <w:t xml:space="preserve">وعلى </w:t>
      </w:r>
      <w:r w:rsidR="00183328" w:rsidRPr="006571AC">
        <w:rPr>
          <w:rFonts w:hint="cs"/>
          <w:sz w:val="27"/>
          <w:rtl/>
          <w:lang w:bidi="ar-IQ"/>
        </w:rPr>
        <w:t>أيّ</w:t>
      </w:r>
      <w:r w:rsidRPr="006571AC">
        <w:rPr>
          <w:rFonts w:hint="cs"/>
          <w:sz w:val="27"/>
          <w:rtl/>
          <w:lang w:bidi="ar-IQ"/>
        </w:rPr>
        <w:t xml:space="preserve"> حال</w:t>
      </w:r>
      <w:r w:rsidR="00183328" w:rsidRPr="006571AC">
        <w:rPr>
          <w:rFonts w:hint="cs"/>
          <w:sz w:val="27"/>
          <w:rtl/>
          <w:lang w:bidi="ar-IQ"/>
        </w:rPr>
        <w:t>ٍ</w:t>
      </w:r>
      <w:r w:rsidRPr="006571AC">
        <w:rPr>
          <w:rFonts w:hint="cs"/>
          <w:sz w:val="27"/>
          <w:rtl/>
          <w:lang w:bidi="ar-IQ"/>
        </w:rPr>
        <w:t xml:space="preserve"> فإن الرواية</w:t>
      </w:r>
      <w:r w:rsidR="00183328" w:rsidRPr="006571AC">
        <w:rPr>
          <w:rFonts w:hint="cs"/>
          <w:sz w:val="27"/>
          <w:rtl/>
          <w:lang w:bidi="ar-IQ"/>
        </w:rPr>
        <w:t>؛</w:t>
      </w:r>
      <w:r w:rsidRPr="006571AC">
        <w:rPr>
          <w:rFonts w:hint="cs"/>
          <w:sz w:val="27"/>
          <w:rtl/>
          <w:lang w:bidi="ar-IQ"/>
        </w:rPr>
        <w:t xml:space="preserve"> من جهة وجود عبد الله بن بكير، تعتبر </w:t>
      </w:r>
      <w:r w:rsidRPr="006571AC">
        <w:rPr>
          <w:rFonts w:hint="eastAsia"/>
          <w:sz w:val="24"/>
          <w:szCs w:val="24"/>
          <w:rtl/>
        </w:rPr>
        <w:t>«</w:t>
      </w:r>
      <w:r w:rsidRPr="006571AC">
        <w:rPr>
          <w:rFonts w:hint="cs"/>
          <w:sz w:val="27"/>
          <w:rtl/>
          <w:lang w:bidi="ar-IQ"/>
        </w:rPr>
        <w:t>موثّ</w:t>
      </w:r>
      <w:r w:rsidR="00183328" w:rsidRPr="006571AC">
        <w:rPr>
          <w:rFonts w:hint="cs"/>
          <w:sz w:val="27"/>
          <w:rtl/>
          <w:lang w:bidi="ar-IQ"/>
        </w:rPr>
        <w:t>َ</w:t>
      </w:r>
      <w:r w:rsidRPr="006571AC">
        <w:rPr>
          <w:rFonts w:hint="cs"/>
          <w:sz w:val="27"/>
          <w:rtl/>
          <w:lang w:bidi="ar-IQ"/>
        </w:rPr>
        <w:t>قة</w:t>
      </w:r>
      <w:r w:rsidR="00183328" w:rsidRPr="006571AC">
        <w:rPr>
          <w:rFonts w:hint="cs"/>
          <w:sz w:val="27"/>
          <w:rtl/>
          <w:lang w:bidi="ar-IQ"/>
        </w:rPr>
        <w:t>ً</w:t>
      </w:r>
      <w:r w:rsidRPr="006571AC">
        <w:rPr>
          <w:rFonts w:hint="eastAsia"/>
          <w:sz w:val="24"/>
          <w:szCs w:val="24"/>
          <w:rtl/>
        </w:rPr>
        <w:t>»</w:t>
      </w:r>
      <w:r w:rsidRPr="006571AC">
        <w:rPr>
          <w:rFonts w:hint="cs"/>
          <w:sz w:val="27"/>
          <w:rtl/>
          <w:lang w:bidi="ar-IQ"/>
        </w:rPr>
        <w:t>، لا صحيحة</w:t>
      </w:r>
      <w:r w:rsidR="00183328" w:rsidRPr="006571AC">
        <w:rPr>
          <w:rFonts w:hint="cs"/>
          <w:sz w:val="27"/>
          <w:rtl/>
          <w:lang w:bidi="ar-IQ"/>
        </w:rPr>
        <w:t>ً</w:t>
      </w:r>
      <w:r w:rsidR="00606C6E" w:rsidRPr="006571AC">
        <w:rPr>
          <w:rFonts w:hint="cs"/>
          <w:sz w:val="27"/>
          <w:rtl/>
          <w:lang w:bidi="ar-IQ"/>
        </w:rPr>
        <w:t>.</w:t>
      </w:r>
    </w:p>
    <w:p w:rsidR="00381A52" w:rsidRPr="006571AC" w:rsidRDefault="00606C6E"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rtl/>
          <w:lang w:bidi="ar-IQ"/>
        </w:rPr>
        <w:t xml:space="preserve">: </w:t>
      </w:r>
      <w:r w:rsidR="00381A52" w:rsidRPr="006571AC">
        <w:rPr>
          <w:rFonts w:hint="cs"/>
          <w:sz w:val="27"/>
          <w:rtl/>
          <w:lang w:bidi="ar-IQ"/>
        </w:rPr>
        <w:t xml:space="preserve">إن الرواية </w:t>
      </w:r>
      <w:r w:rsidR="00183328" w:rsidRPr="006571AC">
        <w:rPr>
          <w:rFonts w:hint="cs"/>
          <w:sz w:val="27"/>
          <w:rtl/>
          <w:lang w:bidi="ar-IQ"/>
        </w:rPr>
        <w:t>المتقدِّمة</w:t>
      </w:r>
      <w:r w:rsidR="00381A52" w:rsidRPr="006571AC">
        <w:rPr>
          <w:rFonts w:hint="cs"/>
          <w:sz w:val="27"/>
          <w:rtl/>
          <w:lang w:bidi="ar-IQ"/>
        </w:rPr>
        <w:t xml:space="preserve"> قد اشتمل</w:t>
      </w:r>
      <w:r w:rsidR="00183328" w:rsidRPr="006571AC">
        <w:rPr>
          <w:rFonts w:hint="cs"/>
          <w:sz w:val="27"/>
          <w:rtl/>
          <w:lang w:bidi="ar-IQ"/>
        </w:rPr>
        <w:t>َ</w:t>
      </w:r>
      <w:r w:rsidR="00381A52" w:rsidRPr="006571AC">
        <w:rPr>
          <w:rFonts w:hint="cs"/>
          <w:sz w:val="27"/>
          <w:rtl/>
          <w:lang w:bidi="ar-IQ"/>
        </w:rPr>
        <w:t>ت</w:t>
      </w:r>
      <w:r w:rsidR="00183328" w:rsidRPr="006571AC">
        <w:rPr>
          <w:rFonts w:hint="cs"/>
          <w:sz w:val="27"/>
          <w:rtl/>
          <w:lang w:bidi="ar-IQ"/>
        </w:rPr>
        <w:t>ْ</w:t>
      </w:r>
      <w:r w:rsidR="00381A52" w:rsidRPr="006571AC">
        <w:rPr>
          <w:rFonts w:hint="cs"/>
          <w:sz w:val="27"/>
          <w:rtl/>
          <w:lang w:bidi="ar-IQ"/>
        </w:rPr>
        <w:t xml:space="preserve"> على هذا المحتوى، وهو أن شخصاً قد ضمن شخصاً آخر، وأنه بناء</w:t>
      </w:r>
      <w:r w:rsidR="00183328" w:rsidRPr="006571AC">
        <w:rPr>
          <w:rFonts w:hint="cs"/>
          <w:sz w:val="27"/>
          <w:rtl/>
          <w:lang w:bidi="ar-IQ"/>
        </w:rPr>
        <w:t>ً</w:t>
      </w:r>
      <w:r w:rsidR="00381A52" w:rsidRPr="006571AC">
        <w:rPr>
          <w:rFonts w:hint="cs"/>
          <w:sz w:val="27"/>
          <w:rtl/>
          <w:lang w:bidi="ar-IQ"/>
        </w:rPr>
        <w:t xml:space="preserve"> على قوانين </w:t>
      </w:r>
      <w:r w:rsidR="00381A52" w:rsidRPr="006571AC">
        <w:rPr>
          <w:rFonts w:hint="eastAsia"/>
          <w:sz w:val="24"/>
          <w:szCs w:val="24"/>
          <w:rtl/>
        </w:rPr>
        <w:t>«</w:t>
      </w:r>
      <w:r w:rsidR="00381A52" w:rsidRPr="006571AC">
        <w:rPr>
          <w:rFonts w:hint="cs"/>
          <w:sz w:val="27"/>
          <w:rtl/>
          <w:lang w:bidi="ar-IQ"/>
        </w:rPr>
        <w:t>الضمان</w:t>
      </w:r>
      <w:r w:rsidR="00381A52" w:rsidRPr="006571AC">
        <w:rPr>
          <w:rFonts w:hint="eastAsia"/>
          <w:sz w:val="24"/>
          <w:szCs w:val="24"/>
          <w:rtl/>
        </w:rPr>
        <w:t>»</w:t>
      </w:r>
      <w:r w:rsidR="00381A52" w:rsidRPr="006571AC">
        <w:rPr>
          <w:rFonts w:hint="cs"/>
          <w:sz w:val="27"/>
          <w:rtl/>
          <w:lang w:bidi="ar-IQ"/>
        </w:rPr>
        <w:t xml:space="preserve"> ينتقل الحق</w:t>
      </w:r>
      <w:r w:rsidR="00183328" w:rsidRPr="006571AC">
        <w:rPr>
          <w:rFonts w:hint="cs"/>
          <w:sz w:val="27"/>
          <w:rtl/>
          <w:lang w:bidi="ar-IQ"/>
        </w:rPr>
        <w:t>ّ</w:t>
      </w:r>
      <w:r w:rsidR="00381A52" w:rsidRPr="006571AC">
        <w:rPr>
          <w:rFonts w:hint="cs"/>
          <w:sz w:val="27"/>
          <w:rtl/>
          <w:lang w:bidi="ar-IQ"/>
        </w:rPr>
        <w:t xml:space="preserve"> والد</w:t>
      </w:r>
      <w:r w:rsidR="00183328" w:rsidRPr="006571AC">
        <w:rPr>
          <w:rFonts w:hint="cs"/>
          <w:sz w:val="27"/>
          <w:rtl/>
          <w:lang w:bidi="ar-IQ"/>
        </w:rPr>
        <w:t>َّ</w:t>
      </w:r>
      <w:r w:rsidR="00381A52" w:rsidRPr="006571AC">
        <w:rPr>
          <w:rFonts w:hint="cs"/>
          <w:sz w:val="27"/>
          <w:rtl/>
          <w:lang w:bidi="ar-IQ"/>
        </w:rPr>
        <w:t>ي</w:t>
      </w:r>
      <w:r w:rsidR="00183328" w:rsidRPr="006571AC">
        <w:rPr>
          <w:rFonts w:hint="cs"/>
          <w:sz w:val="27"/>
          <w:rtl/>
          <w:lang w:bidi="ar-IQ"/>
        </w:rPr>
        <w:t>ْ</w:t>
      </w:r>
      <w:r w:rsidR="00381A52" w:rsidRPr="006571AC">
        <w:rPr>
          <w:rFonts w:hint="cs"/>
          <w:sz w:val="27"/>
          <w:rtl/>
          <w:lang w:bidi="ar-IQ"/>
        </w:rPr>
        <w:t>ن ـ طبقاً لفتوى الشيعة ـ من ذمّة</w:t>
      </w:r>
      <w:r w:rsidR="00183328" w:rsidRPr="006571AC">
        <w:rPr>
          <w:rFonts w:hint="cs"/>
          <w:sz w:val="27"/>
          <w:rtl/>
          <w:lang w:bidi="ar-IQ"/>
        </w:rPr>
        <w:t>ٍ</w:t>
      </w:r>
      <w:r w:rsidR="00381A52" w:rsidRPr="006571AC">
        <w:rPr>
          <w:rFonts w:hint="cs"/>
          <w:sz w:val="27"/>
          <w:rtl/>
          <w:lang w:bidi="ar-IQ"/>
        </w:rPr>
        <w:t xml:space="preserve"> إلى ذمّة</w:t>
      </w:r>
      <w:r w:rsidR="00183328" w:rsidRPr="006571AC">
        <w:rPr>
          <w:rFonts w:hint="cs"/>
          <w:sz w:val="27"/>
          <w:rtl/>
          <w:lang w:bidi="ar-IQ"/>
        </w:rPr>
        <w:t>ٍ</w:t>
      </w:r>
      <w:r w:rsidR="00381A52" w:rsidRPr="006571AC">
        <w:rPr>
          <w:rFonts w:hint="cs"/>
          <w:sz w:val="27"/>
          <w:rtl/>
          <w:lang w:bidi="ar-IQ"/>
        </w:rPr>
        <w:t xml:space="preserve"> أخرى</w:t>
      </w:r>
      <w:r w:rsidR="00381A52" w:rsidRPr="006571AC">
        <w:rPr>
          <w:sz w:val="27"/>
          <w:vertAlign w:val="superscript"/>
          <w:rtl/>
          <w:lang w:bidi="ar-IQ"/>
        </w:rPr>
        <w:t>(</w:t>
      </w:r>
      <w:r w:rsidR="00381A52" w:rsidRPr="006571AC">
        <w:rPr>
          <w:rStyle w:val="ac"/>
          <w:sz w:val="27"/>
          <w:rtl/>
          <w:lang w:bidi="ar-IQ"/>
        </w:rPr>
        <w:endnoteReference w:id="326"/>
      </w:r>
      <w:r w:rsidR="00381A52" w:rsidRPr="006571AC">
        <w:rPr>
          <w:sz w:val="27"/>
          <w:vertAlign w:val="superscript"/>
          <w:rtl/>
          <w:lang w:bidi="ar-IQ"/>
        </w:rPr>
        <w:t>)</w:t>
      </w:r>
      <w:r w:rsidR="00381A52" w:rsidRPr="006571AC">
        <w:rPr>
          <w:rFonts w:hint="cs"/>
          <w:sz w:val="27"/>
          <w:rtl/>
          <w:lang w:bidi="ar-IQ"/>
        </w:rPr>
        <w:t>. ومن ناحية</w:t>
      </w:r>
      <w:r w:rsidR="00183328" w:rsidRPr="006571AC">
        <w:rPr>
          <w:rFonts w:hint="cs"/>
          <w:sz w:val="27"/>
          <w:rtl/>
          <w:lang w:bidi="ar-IQ"/>
        </w:rPr>
        <w:t>ٍ</w:t>
      </w:r>
      <w:r w:rsidR="00381A52" w:rsidRPr="006571AC">
        <w:rPr>
          <w:rFonts w:hint="cs"/>
          <w:sz w:val="27"/>
          <w:rtl/>
          <w:lang w:bidi="ar-IQ"/>
        </w:rPr>
        <w:t xml:space="preserve"> أخرى فإن الضامن والمضمون له قد تصالحا على مقدار</w:t>
      </w:r>
      <w:r w:rsidR="00183328" w:rsidRPr="006571AC">
        <w:rPr>
          <w:rFonts w:hint="cs"/>
          <w:sz w:val="27"/>
          <w:rtl/>
          <w:lang w:bidi="ar-IQ"/>
        </w:rPr>
        <w:t>ٍ</w:t>
      </w:r>
      <w:r w:rsidR="00381A52" w:rsidRPr="006571AC">
        <w:rPr>
          <w:rFonts w:hint="cs"/>
          <w:sz w:val="27"/>
          <w:rtl/>
          <w:lang w:bidi="ar-IQ"/>
        </w:rPr>
        <w:t>، ثم سُئل الإمام</w:t>
      </w:r>
      <w:r w:rsidR="002A2C90" w:rsidRPr="006571AC">
        <w:rPr>
          <w:rFonts w:ascii="Mosawi" w:hAnsi="Mosawi" w:cs="Mosawi"/>
          <w:sz w:val="22"/>
          <w:szCs w:val="22"/>
          <w:rtl/>
        </w:rPr>
        <w:t>×</w:t>
      </w:r>
      <w:r w:rsidR="00381A52" w:rsidRPr="006571AC">
        <w:rPr>
          <w:rFonts w:hint="cs"/>
          <w:sz w:val="27"/>
          <w:rtl/>
          <w:lang w:bidi="ar-IQ"/>
        </w:rPr>
        <w:t xml:space="preserve"> عن المبلغ المتعل</w:t>
      </w:r>
      <w:r w:rsidR="00183328" w:rsidRPr="006571AC">
        <w:rPr>
          <w:rFonts w:hint="cs"/>
          <w:sz w:val="27"/>
          <w:rtl/>
          <w:lang w:bidi="ar-IQ"/>
        </w:rPr>
        <w:t>ِّ</w:t>
      </w:r>
      <w:r w:rsidR="00381A52" w:rsidRPr="006571AC">
        <w:rPr>
          <w:rFonts w:hint="cs"/>
          <w:sz w:val="27"/>
          <w:rtl/>
          <w:lang w:bidi="ar-IQ"/>
        </w:rPr>
        <w:t xml:space="preserve">ق بذمّة الضامن ليدفعه؟ فقال الإمام في الجواب: إن المبلغ الذي في ذمّة الضامن هو المبلغ الذي وقع مورداً للتصالح. </w:t>
      </w:r>
    </w:p>
    <w:p w:rsidR="00175A63" w:rsidRPr="006571AC" w:rsidRDefault="00381A52" w:rsidP="00552C10">
      <w:pPr>
        <w:rPr>
          <w:sz w:val="27"/>
          <w:rtl/>
          <w:lang w:bidi="ar-IQ"/>
        </w:rPr>
      </w:pPr>
      <w:r w:rsidRPr="006571AC">
        <w:rPr>
          <w:rFonts w:hint="cs"/>
          <w:sz w:val="27"/>
          <w:rtl/>
          <w:lang w:bidi="ar-IQ"/>
        </w:rPr>
        <w:t>ولكن</w:t>
      </w:r>
      <w:r w:rsidR="00183328" w:rsidRPr="006571AC">
        <w:rPr>
          <w:rFonts w:hint="cs"/>
          <w:sz w:val="27"/>
          <w:rtl/>
          <w:lang w:bidi="ar-IQ"/>
        </w:rPr>
        <w:t>ْ</w:t>
      </w:r>
      <w:r w:rsidRPr="006571AC">
        <w:rPr>
          <w:rFonts w:hint="cs"/>
          <w:sz w:val="27"/>
          <w:rtl/>
          <w:lang w:bidi="ar-IQ"/>
        </w:rPr>
        <w:t xml:space="preserve"> بالنظر إلى استعمال مشتق</w:t>
      </w:r>
      <w:r w:rsidR="00183328" w:rsidRPr="006571AC">
        <w:rPr>
          <w:rFonts w:hint="cs"/>
          <w:sz w:val="27"/>
          <w:rtl/>
          <w:lang w:bidi="ar-IQ"/>
        </w:rPr>
        <w:t>ّ</w:t>
      </w:r>
      <w:r w:rsidRPr="006571AC">
        <w:rPr>
          <w:rFonts w:hint="cs"/>
          <w:sz w:val="27"/>
          <w:rtl/>
          <w:lang w:bidi="ar-IQ"/>
        </w:rPr>
        <w:t xml:space="preserve">ات لفظ </w:t>
      </w:r>
      <w:r w:rsidRPr="006571AC">
        <w:rPr>
          <w:rFonts w:hint="eastAsia"/>
          <w:sz w:val="24"/>
          <w:szCs w:val="24"/>
          <w:rtl/>
        </w:rPr>
        <w:t>«</w:t>
      </w:r>
      <w:r w:rsidRPr="006571AC">
        <w:rPr>
          <w:rFonts w:hint="cs"/>
          <w:sz w:val="27"/>
          <w:rtl/>
          <w:lang w:bidi="ar-IQ"/>
        </w:rPr>
        <w:t>الصلح</w:t>
      </w:r>
      <w:r w:rsidRPr="006571AC">
        <w:rPr>
          <w:rFonts w:hint="eastAsia"/>
          <w:sz w:val="24"/>
          <w:szCs w:val="24"/>
          <w:rtl/>
        </w:rPr>
        <w:t>»</w:t>
      </w:r>
      <w:r w:rsidRPr="006571AC">
        <w:rPr>
          <w:rFonts w:hint="cs"/>
          <w:sz w:val="27"/>
          <w:rtl/>
          <w:lang w:bidi="ar-IQ"/>
        </w:rPr>
        <w:t xml:space="preserve"> والظهور اللغوي</w:t>
      </w:r>
      <w:r w:rsidR="00183328" w:rsidRPr="006571AC">
        <w:rPr>
          <w:rFonts w:hint="cs"/>
          <w:sz w:val="27"/>
          <w:rtl/>
          <w:lang w:bidi="ar-IQ"/>
        </w:rPr>
        <w:t>ّ</w:t>
      </w:r>
      <w:r w:rsidRPr="006571AC">
        <w:rPr>
          <w:rFonts w:hint="cs"/>
          <w:sz w:val="27"/>
          <w:rtl/>
          <w:lang w:bidi="ar-IQ"/>
        </w:rPr>
        <w:t xml:space="preserve"> والمتفاهم العُر</w:t>
      </w:r>
      <w:r w:rsidR="00183328" w:rsidRPr="006571AC">
        <w:rPr>
          <w:rFonts w:hint="cs"/>
          <w:sz w:val="27"/>
          <w:rtl/>
          <w:lang w:bidi="ar-IQ"/>
        </w:rPr>
        <w:t>ْ</w:t>
      </w:r>
      <w:r w:rsidRPr="006571AC">
        <w:rPr>
          <w:rFonts w:hint="cs"/>
          <w:sz w:val="27"/>
          <w:rtl/>
          <w:lang w:bidi="ar-IQ"/>
        </w:rPr>
        <w:t>في لها لا يخلو التمسّ</w:t>
      </w:r>
      <w:r w:rsidR="00183328" w:rsidRPr="006571AC">
        <w:rPr>
          <w:rFonts w:hint="cs"/>
          <w:sz w:val="27"/>
          <w:rtl/>
          <w:lang w:bidi="ar-IQ"/>
        </w:rPr>
        <w:t>ُ</w:t>
      </w:r>
      <w:r w:rsidRPr="006571AC">
        <w:rPr>
          <w:rFonts w:hint="cs"/>
          <w:sz w:val="27"/>
          <w:rtl/>
          <w:lang w:bidi="ar-IQ"/>
        </w:rPr>
        <w:t>ك بالرواية على إثبات مشروعية الصلح الابتدائي من الإشكال</w:t>
      </w:r>
      <w:r w:rsidR="00175A63"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وقد ثبت ـ من مجموع ما تم</w:t>
      </w:r>
      <w:r w:rsidR="00606C6E" w:rsidRPr="006571AC">
        <w:rPr>
          <w:rFonts w:hint="cs"/>
          <w:sz w:val="27"/>
          <w:rtl/>
          <w:lang w:bidi="ar-IQ"/>
        </w:rPr>
        <w:t>ّ</w:t>
      </w:r>
      <w:r w:rsidRPr="006571AC">
        <w:rPr>
          <w:rFonts w:hint="cs"/>
          <w:sz w:val="27"/>
          <w:rtl/>
          <w:lang w:bidi="ar-IQ"/>
        </w:rPr>
        <w:t xml:space="preserve"> التوصّ</w:t>
      </w:r>
      <w:r w:rsidR="00175A63" w:rsidRPr="006571AC">
        <w:rPr>
          <w:rFonts w:hint="cs"/>
          <w:sz w:val="27"/>
          <w:rtl/>
          <w:lang w:bidi="ar-IQ"/>
        </w:rPr>
        <w:t>ُ</w:t>
      </w:r>
      <w:r w:rsidRPr="006571AC">
        <w:rPr>
          <w:rFonts w:hint="cs"/>
          <w:sz w:val="27"/>
          <w:rtl/>
          <w:lang w:bidi="ar-IQ"/>
        </w:rPr>
        <w:t>ل إليه في الاستدلال بالروايات الخاص</w:t>
      </w:r>
      <w:r w:rsidR="00175A63" w:rsidRPr="006571AC">
        <w:rPr>
          <w:rFonts w:hint="cs"/>
          <w:sz w:val="27"/>
          <w:rtl/>
          <w:lang w:bidi="ar-IQ"/>
        </w:rPr>
        <w:t>ّ</w:t>
      </w:r>
      <w:r w:rsidRPr="006571AC">
        <w:rPr>
          <w:rFonts w:hint="cs"/>
          <w:sz w:val="27"/>
          <w:rtl/>
          <w:lang w:bidi="ar-IQ"/>
        </w:rPr>
        <w:t>ة ـ أن الاستدلال بالرواي</w:t>
      </w:r>
      <w:r w:rsidR="00175A63" w:rsidRPr="006571AC">
        <w:rPr>
          <w:rFonts w:hint="cs"/>
          <w:sz w:val="27"/>
          <w:rtl/>
          <w:lang w:bidi="ar-IQ"/>
        </w:rPr>
        <w:t>ات</w:t>
      </w:r>
      <w:r w:rsidRPr="006571AC">
        <w:rPr>
          <w:rFonts w:hint="cs"/>
          <w:sz w:val="27"/>
          <w:rtl/>
          <w:lang w:bidi="ar-IQ"/>
        </w:rPr>
        <w:t xml:space="preserve"> الأولى والثانية والثالثة على مشروعية الصلح الابتدائي تام</w:t>
      </w:r>
      <w:r w:rsidR="00175A63" w:rsidRPr="006571AC">
        <w:rPr>
          <w:rFonts w:hint="cs"/>
          <w:sz w:val="27"/>
          <w:rtl/>
          <w:lang w:bidi="ar-IQ"/>
        </w:rPr>
        <w:t>ٌّ</w:t>
      </w:r>
      <w:r w:rsidRPr="006571AC">
        <w:rPr>
          <w:rFonts w:hint="cs"/>
          <w:sz w:val="27"/>
          <w:rtl/>
          <w:lang w:bidi="ar-IQ"/>
        </w:rPr>
        <w:t>، و</w:t>
      </w:r>
      <w:r w:rsidR="00175A63" w:rsidRPr="006571AC">
        <w:rPr>
          <w:rFonts w:hint="cs"/>
          <w:sz w:val="27"/>
          <w:rtl/>
          <w:lang w:bidi="ar-IQ"/>
        </w:rPr>
        <w:t>أ</w:t>
      </w:r>
      <w:r w:rsidRPr="006571AC">
        <w:rPr>
          <w:rFonts w:hint="cs"/>
          <w:sz w:val="27"/>
          <w:rtl/>
          <w:lang w:bidi="ar-IQ"/>
        </w:rPr>
        <w:t xml:space="preserve">ن ما جاء من النقاش في كلام بعض العلماء المعاصرين </w:t>
      </w:r>
      <w:r w:rsidR="00175A63" w:rsidRPr="006571AC">
        <w:rPr>
          <w:rFonts w:hint="cs"/>
          <w:sz w:val="27"/>
          <w:rtl/>
          <w:lang w:bidi="ar-IQ"/>
        </w:rPr>
        <w:t>ليس</w:t>
      </w:r>
      <w:r w:rsidRPr="006571AC">
        <w:rPr>
          <w:rFonts w:hint="cs"/>
          <w:sz w:val="27"/>
          <w:rtl/>
          <w:lang w:bidi="ar-IQ"/>
        </w:rPr>
        <w:t xml:space="preserve"> وارداً</w:t>
      </w:r>
      <w:r w:rsidR="00175A63" w:rsidRPr="006571AC">
        <w:rPr>
          <w:rFonts w:hint="cs"/>
          <w:sz w:val="27"/>
          <w:rtl/>
          <w:lang w:bidi="ar-IQ"/>
        </w:rPr>
        <w:t>.</w:t>
      </w:r>
    </w:p>
    <w:p w:rsidR="00381A52" w:rsidRPr="006571AC" w:rsidRDefault="00381A52" w:rsidP="004B16C6">
      <w:pPr>
        <w:spacing w:line="450" w:lineRule="exact"/>
        <w:rPr>
          <w:sz w:val="27"/>
          <w:rtl/>
          <w:lang w:bidi="ar-IQ"/>
        </w:rPr>
      </w:pPr>
    </w:p>
    <w:p w:rsidR="00381A52" w:rsidRPr="006571AC" w:rsidRDefault="00381A52" w:rsidP="00714072">
      <w:pPr>
        <w:pStyle w:val="31"/>
        <w:rPr>
          <w:color w:val="auto"/>
          <w:rtl/>
          <w:lang w:bidi="ar-IQ"/>
        </w:rPr>
      </w:pPr>
      <w:bookmarkStart w:id="138" w:name="_Toc114164627"/>
      <w:r w:rsidRPr="006571AC">
        <w:rPr>
          <w:rFonts w:hint="cs"/>
          <w:color w:val="auto"/>
          <w:rtl/>
          <w:lang w:bidi="ar-IQ"/>
        </w:rPr>
        <w:t>أدل</w:t>
      </w:r>
      <w:r w:rsidR="00175A63" w:rsidRPr="006571AC">
        <w:rPr>
          <w:rFonts w:hint="cs"/>
          <w:color w:val="auto"/>
          <w:rtl/>
          <w:lang w:bidi="ar-IQ"/>
        </w:rPr>
        <w:t>ّ</w:t>
      </w:r>
      <w:r w:rsidRPr="006571AC">
        <w:rPr>
          <w:rFonts w:hint="cs"/>
          <w:color w:val="auto"/>
          <w:rtl/>
          <w:lang w:bidi="ar-IQ"/>
        </w:rPr>
        <w:t>ة عدم مشروعي</w:t>
      </w:r>
      <w:r w:rsidR="00175A63" w:rsidRPr="006571AC">
        <w:rPr>
          <w:rFonts w:hint="cs"/>
          <w:color w:val="auto"/>
          <w:rtl/>
          <w:lang w:bidi="ar-IQ"/>
        </w:rPr>
        <w:t>ّ</w:t>
      </w:r>
      <w:r w:rsidRPr="006571AC">
        <w:rPr>
          <w:rFonts w:hint="cs"/>
          <w:color w:val="auto"/>
          <w:rtl/>
          <w:lang w:bidi="ar-IQ"/>
        </w:rPr>
        <w:t>ة الصلح الابتدائي</w:t>
      </w:r>
      <w:bookmarkEnd w:id="138"/>
    </w:p>
    <w:p w:rsidR="00381A52" w:rsidRPr="006571AC" w:rsidRDefault="00FC7A16" w:rsidP="00714072">
      <w:pPr>
        <w:pStyle w:val="31"/>
        <w:rPr>
          <w:color w:val="auto"/>
          <w:rtl/>
          <w:lang w:bidi="ar-IQ"/>
        </w:rPr>
      </w:pPr>
      <w:bookmarkStart w:id="139" w:name="_Toc114164628"/>
      <w:r w:rsidRPr="006571AC">
        <w:rPr>
          <w:rFonts w:hint="cs"/>
          <w:color w:val="auto"/>
          <w:rtl/>
          <w:lang w:bidi="ar-IQ"/>
        </w:rPr>
        <w:t>1ـ</w:t>
      </w:r>
      <w:r w:rsidR="00381A52" w:rsidRPr="006571AC">
        <w:rPr>
          <w:rFonts w:hint="cs"/>
          <w:color w:val="auto"/>
          <w:rtl/>
          <w:lang w:bidi="ar-IQ"/>
        </w:rPr>
        <w:t xml:space="preserve"> فقدان الدليل على مشروعي</w:t>
      </w:r>
      <w:r w:rsidR="00175A63" w:rsidRPr="006571AC">
        <w:rPr>
          <w:rFonts w:hint="cs"/>
          <w:color w:val="auto"/>
          <w:rtl/>
          <w:lang w:bidi="ar-IQ"/>
        </w:rPr>
        <w:t>ّ</w:t>
      </w:r>
      <w:r w:rsidR="00381A52" w:rsidRPr="006571AC">
        <w:rPr>
          <w:rFonts w:hint="cs"/>
          <w:color w:val="auto"/>
          <w:rtl/>
          <w:lang w:bidi="ar-IQ"/>
        </w:rPr>
        <w:t>ة الصلح الابتدائي</w:t>
      </w:r>
      <w:bookmarkEnd w:id="139"/>
    </w:p>
    <w:p w:rsidR="00381A52" w:rsidRPr="006571AC" w:rsidRDefault="00381A52" w:rsidP="00552C10">
      <w:pPr>
        <w:rPr>
          <w:sz w:val="27"/>
          <w:rtl/>
          <w:lang w:bidi="ar-IQ"/>
        </w:rPr>
      </w:pPr>
      <w:r w:rsidRPr="006571AC">
        <w:rPr>
          <w:rFonts w:hint="cs"/>
          <w:sz w:val="27"/>
          <w:rtl/>
          <w:lang w:bidi="ar-IQ"/>
        </w:rPr>
        <w:t>لقد تمّ التمسّ</w:t>
      </w:r>
      <w:r w:rsidR="00175A63" w:rsidRPr="006571AC">
        <w:rPr>
          <w:rFonts w:hint="cs"/>
          <w:sz w:val="27"/>
          <w:rtl/>
          <w:lang w:bidi="ar-IQ"/>
        </w:rPr>
        <w:t>ُ</w:t>
      </w:r>
      <w:r w:rsidRPr="006571AC">
        <w:rPr>
          <w:rFonts w:hint="cs"/>
          <w:sz w:val="27"/>
          <w:rtl/>
          <w:lang w:bidi="ar-IQ"/>
        </w:rPr>
        <w:t xml:space="preserve">ك في مقالة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Pr="006571AC">
        <w:rPr>
          <w:rFonts w:hint="cs"/>
          <w:sz w:val="27"/>
          <w:rtl/>
          <w:lang w:bidi="ar-IQ"/>
        </w:rPr>
        <w:t xml:space="preserve"> على عدم مشروعي</w:t>
      </w:r>
      <w:r w:rsidR="00175A63" w:rsidRPr="006571AC">
        <w:rPr>
          <w:rFonts w:hint="cs"/>
          <w:sz w:val="27"/>
          <w:rtl/>
          <w:lang w:bidi="ar-IQ"/>
        </w:rPr>
        <w:t>ّ</w:t>
      </w:r>
      <w:r w:rsidRPr="006571AC">
        <w:rPr>
          <w:rFonts w:hint="cs"/>
          <w:sz w:val="27"/>
          <w:rtl/>
          <w:lang w:bidi="ar-IQ"/>
        </w:rPr>
        <w:t>ة الصلح الابتدائي بعدم وجود الدليل اللفظي</w:t>
      </w:r>
      <w:r w:rsidR="00606C6E" w:rsidRPr="006571AC">
        <w:rPr>
          <w:rFonts w:hint="cs"/>
          <w:sz w:val="27"/>
          <w:rtl/>
          <w:lang w:bidi="ar-IQ"/>
        </w:rPr>
        <w:t>ّ</w:t>
      </w:r>
      <w:r w:rsidRPr="006571AC">
        <w:rPr>
          <w:rFonts w:hint="cs"/>
          <w:sz w:val="27"/>
          <w:rtl/>
          <w:lang w:bidi="ar-IQ"/>
        </w:rPr>
        <w:t xml:space="preserve"> على المشروعية، حيث قال صاحب هذه المقالة: </w:t>
      </w:r>
      <w:r w:rsidRPr="006571AC">
        <w:rPr>
          <w:rFonts w:hint="eastAsia"/>
          <w:sz w:val="24"/>
          <w:szCs w:val="24"/>
          <w:rtl/>
        </w:rPr>
        <w:t>«</w:t>
      </w:r>
      <w:r w:rsidRPr="006571AC">
        <w:rPr>
          <w:rFonts w:hint="cs"/>
          <w:sz w:val="27"/>
          <w:rtl/>
          <w:lang w:bidi="ar-IQ"/>
        </w:rPr>
        <w:t>إن جميع الأدلة اللفظية</w:t>
      </w:r>
      <w:r w:rsidR="00175A63" w:rsidRPr="006571AC">
        <w:rPr>
          <w:rFonts w:hint="cs"/>
          <w:sz w:val="27"/>
          <w:rtl/>
          <w:lang w:bidi="ar-IQ"/>
        </w:rPr>
        <w:t>،</w:t>
      </w:r>
      <w:r w:rsidRPr="006571AC">
        <w:rPr>
          <w:rFonts w:hint="cs"/>
          <w:sz w:val="27"/>
          <w:rtl/>
          <w:lang w:bidi="ar-IQ"/>
        </w:rPr>
        <w:t xml:space="preserve"> من الكتاب والسن</w:t>
      </w:r>
      <w:r w:rsidR="00175A63" w:rsidRPr="006571AC">
        <w:rPr>
          <w:rFonts w:hint="cs"/>
          <w:sz w:val="27"/>
          <w:rtl/>
          <w:lang w:bidi="ar-IQ"/>
        </w:rPr>
        <w:t>ّ</w:t>
      </w:r>
      <w:r w:rsidRPr="006571AC">
        <w:rPr>
          <w:rFonts w:hint="cs"/>
          <w:sz w:val="27"/>
          <w:rtl/>
          <w:lang w:bidi="ar-IQ"/>
        </w:rPr>
        <w:t xml:space="preserve">ة، التي تدلّ على مشروعية عقد الصلح، والتي ورد </w:t>
      </w:r>
      <w:r w:rsidR="00175A63" w:rsidRPr="006571AC">
        <w:rPr>
          <w:rFonts w:hint="cs"/>
          <w:sz w:val="27"/>
          <w:rtl/>
          <w:lang w:bidi="ar-IQ"/>
        </w:rPr>
        <w:t xml:space="preserve">فيها </w:t>
      </w:r>
      <w:r w:rsidRPr="006571AC">
        <w:rPr>
          <w:rFonts w:hint="cs"/>
          <w:sz w:val="27"/>
          <w:rtl/>
          <w:lang w:bidi="ar-IQ"/>
        </w:rPr>
        <w:t>استعمال ماد</w:t>
      </w:r>
      <w:r w:rsidR="00175A63" w:rsidRPr="006571AC">
        <w:rPr>
          <w:rFonts w:hint="cs"/>
          <w:sz w:val="27"/>
          <w:rtl/>
          <w:lang w:bidi="ar-IQ"/>
        </w:rPr>
        <w:t>ّ</w:t>
      </w:r>
      <w:r w:rsidRPr="006571AC">
        <w:rPr>
          <w:rFonts w:hint="cs"/>
          <w:sz w:val="27"/>
          <w:rtl/>
          <w:lang w:bidi="ar-IQ"/>
        </w:rPr>
        <w:t xml:space="preserve">ة الصلح في </w:t>
      </w:r>
      <w:r w:rsidR="00175A63" w:rsidRPr="006571AC">
        <w:rPr>
          <w:rFonts w:hint="cs"/>
          <w:sz w:val="27"/>
          <w:rtl/>
          <w:lang w:bidi="ar-IQ"/>
        </w:rPr>
        <w:t>إحدى</w:t>
      </w:r>
      <w:r w:rsidRPr="006571AC">
        <w:rPr>
          <w:rFonts w:hint="cs"/>
          <w:sz w:val="27"/>
          <w:rtl/>
          <w:lang w:bidi="ar-IQ"/>
        </w:rPr>
        <w:t xml:space="preserve"> مشتق</w:t>
      </w:r>
      <w:r w:rsidR="00175A63" w:rsidRPr="006571AC">
        <w:rPr>
          <w:rFonts w:hint="cs"/>
          <w:sz w:val="27"/>
          <w:rtl/>
          <w:lang w:bidi="ar-IQ"/>
        </w:rPr>
        <w:t>ّ</w:t>
      </w:r>
      <w:r w:rsidRPr="006571AC">
        <w:rPr>
          <w:rFonts w:hint="cs"/>
          <w:sz w:val="27"/>
          <w:rtl/>
          <w:lang w:bidi="ar-IQ"/>
        </w:rPr>
        <w:t>اتها</w:t>
      </w:r>
      <w:r w:rsidR="00175A63" w:rsidRPr="006571AC">
        <w:rPr>
          <w:rFonts w:hint="cs"/>
          <w:sz w:val="27"/>
          <w:rtl/>
          <w:lang w:bidi="ar-IQ"/>
        </w:rPr>
        <w:t>؛</w:t>
      </w:r>
      <w:r w:rsidRPr="006571AC">
        <w:rPr>
          <w:rFonts w:hint="cs"/>
          <w:sz w:val="27"/>
          <w:rtl/>
          <w:lang w:bidi="ar-IQ"/>
        </w:rPr>
        <w:t xml:space="preserve"> بسبب الوضع اللغوي لهذه </w:t>
      </w:r>
      <w:r w:rsidRPr="006571AC">
        <w:rPr>
          <w:rFonts w:hint="cs"/>
          <w:sz w:val="27"/>
          <w:rtl/>
          <w:lang w:bidi="ar-IQ"/>
        </w:rPr>
        <w:lastRenderedPageBreak/>
        <w:t>المفردة، إنما تضفي الاعتبار على خصوص العقد المسبوق بالنزاع والخصومة أو الذي ي</w:t>
      </w:r>
      <w:r w:rsidR="00175A63" w:rsidRPr="006571AC">
        <w:rPr>
          <w:rFonts w:hint="cs"/>
          <w:sz w:val="27"/>
          <w:rtl/>
          <w:lang w:bidi="ar-IQ"/>
        </w:rPr>
        <w:t>ُ</w:t>
      </w:r>
      <w:r w:rsidRPr="006571AC">
        <w:rPr>
          <w:rFonts w:hint="cs"/>
          <w:sz w:val="27"/>
          <w:rtl/>
          <w:lang w:bidi="ar-IQ"/>
        </w:rPr>
        <w:t>توق</w:t>
      </w:r>
      <w:r w:rsidR="00175A63" w:rsidRPr="006571AC">
        <w:rPr>
          <w:rFonts w:hint="cs"/>
          <w:sz w:val="27"/>
          <w:rtl/>
          <w:lang w:bidi="ar-IQ"/>
        </w:rPr>
        <w:t>َّ</w:t>
      </w:r>
      <w:r w:rsidRPr="006571AC">
        <w:rPr>
          <w:rFonts w:hint="cs"/>
          <w:sz w:val="27"/>
          <w:rtl/>
          <w:lang w:bidi="ar-IQ"/>
        </w:rPr>
        <w:t>ع فيه ذلك. ومن هنا فإن الصلح الابتدائي يكون خارجاً عن دائرة دلالة هذا النوع من الأدلة. ومن ناحية</w:t>
      </w:r>
      <w:r w:rsidR="00175A63" w:rsidRPr="006571AC">
        <w:rPr>
          <w:rFonts w:hint="cs"/>
          <w:sz w:val="27"/>
          <w:rtl/>
          <w:lang w:bidi="ar-IQ"/>
        </w:rPr>
        <w:t>ٍ</w:t>
      </w:r>
      <w:r w:rsidRPr="006571AC">
        <w:rPr>
          <w:rFonts w:hint="cs"/>
          <w:sz w:val="27"/>
          <w:rtl/>
          <w:lang w:bidi="ar-IQ"/>
        </w:rPr>
        <w:t xml:space="preserve"> أخرى فإن الأدلة اللفظية الأخرى التي تمّ الاستدلال بها على اعتبار عقد الصلح، والتي تخلو من لفظ الصلح، لا تكون ـ بسبب فقدان هذا اللفظ ـ ذات دلالة</w:t>
      </w:r>
      <w:r w:rsidR="00C13288" w:rsidRPr="006571AC">
        <w:rPr>
          <w:rFonts w:hint="cs"/>
          <w:sz w:val="27"/>
          <w:rtl/>
          <w:lang w:bidi="ar-IQ"/>
        </w:rPr>
        <w:t>ٍ</w:t>
      </w:r>
      <w:r w:rsidRPr="006571AC">
        <w:rPr>
          <w:rFonts w:hint="cs"/>
          <w:sz w:val="27"/>
          <w:rtl/>
          <w:lang w:bidi="ar-IQ"/>
        </w:rPr>
        <w:t xml:space="preserve"> تامّة</w:t>
      </w:r>
      <w:r w:rsidR="00C13288" w:rsidRPr="006571AC">
        <w:rPr>
          <w:rFonts w:hint="cs"/>
          <w:sz w:val="27"/>
          <w:rtl/>
          <w:lang w:bidi="ar-IQ"/>
        </w:rPr>
        <w:t>ٍ</w:t>
      </w:r>
      <w:r w:rsidRPr="006571AC">
        <w:rPr>
          <w:rFonts w:hint="cs"/>
          <w:sz w:val="27"/>
          <w:rtl/>
          <w:lang w:bidi="ar-IQ"/>
        </w:rPr>
        <w:t xml:space="preserve"> وواضحة</w:t>
      </w:r>
      <w:r w:rsidR="00C13288" w:rsidRPr="006571AC">
        <w:rPr>
          <w:rFonts w:hint="cs"/>
          <w:sz w:val="27"/>
          <w:rtl/>
          <w:lang w:bidi="ar-IQ"/>
        </w:rPr>
        <w:t>ٍ</w:t>
      </w:r>
      <w:r w:rsidRPr="006571AC">
        <w:rPr>
          <w:rFonts w:hint="cs"/>
          <w:sz w:val="27"/>
          <w:rtl/>
          <w:lang w:bidi="ar-IQ"/>
        </w:rPr>
        <w:t xml:space="preserve"> على عقد الصلح، وعليه فإنها لن تنطوي على دلالة</w:t>
      </w:r>
      <w:r w:rsidR="00C13288" w:rsidRPr="006571AC">
        <w:rPr>
          <w:rFonts w:hint="cs"/>
          <w:sz w:val="27"/>
          <w:rtl/>
          <w:lang w:bidi="ar-IQ"/>
        </w:rPr>
        <w:t>ٍ</w:t>
      </w:r>
      <w:r w:rsidRPr="006571AC">
        <w:rPr>
          <w:rFonts w:hint="cs"/>
          <w:sz w:val="27"/>
          <w:rtl/>
          <w:lang w:bidi="ar-IQ"/>
        </w:rPr>
        <w:t xml:space="preserve"> على خصوص الصلح الابتدائي بطريق</w:t>
      </w:r>
      <w:r w:rsidR="00C13288" w:rsidRPr="006571AC">
        <w:rPr>
          <w:rFonts w:hint="cs"/>
          <w:sz w:val="27"/>
          <w:rtl/>
          <w:lang w:bidi="ar-IQ"/>
        </w:rPr>
        <w:t>ٍ</w:t>
      </w:r>
      <w:r w:rsidRPr="006571AC">
        <w:rPr>
          <w:rFonts w:hint="cs"/>
          <w:sz w:val="27"/>
          <w:rtl/>
          <w:lang w:bidi="ar-IQ"/>
        </w:rPr>
        <w:t xml:space="preserve"> أ</w:t>
      </w:r>
      <w:r w:rsidR="00C13288" w:rsidRPr="006571AC">
        <w:rPr>
          <w:rFonts w:hint="cs"/>
          <w:sz w:val="27"/>
          <w:rtl/>
          <w:lang w:bidi="ar-IQ"/>
        </w:rPr>
        <w:t>َ</w:t>
      </w:r>
      <w:r w:rsidRPr="006571AC">
        <w:rPr>
          <w:rFonts w:hint="cs"/>
          <w:sz w:val="27"/>
          <w:rtl/>
          <w:lang w:bidi="ar-IQ"/>
        </w:rPr>
        <w:t>و</w:t>
      </w:r>
      <w:r w:rsidR="00C13288" w:rsidRPr="006571AC">
        <w:rPr>
          <w:rFonts w:hint="cs"/>
          <w:sz w:val="27"/>
          <w:rtl/>
          <w:lang w:bidi="ar-IQ"/>
        </w:rPr>
        <w:t>ْ</w:t>
      </w:r>
      <w:r w:rsidRPr="006571AC">
        <w:rPr>
          <w:rFonts w:hint="cs"/>
          <w:sz w:val="27"/>
          <w:rtl/>
          <w:lang w:bidi="ar-IQ"/>
        </w:rPr>
        <w:t>لى أيضاً..</w:t>
      </w:r>
      <w:r w:rsidR="00C13288" w:rsidRPr="006571AC">
        <w:rPr>
          <w:rFonts w:hint="cs"/>
          <w:sz w:val="27"/>
          <w:rtl/>
          <w:lang w:bidi="ar-IQ"/>
        </w:rPr>
        <w:t>.</w:t>
      </w:r>
      <w:r w:rsidRPr="006571AC">
        <w:rPr>
          <w:rFonts w:hint="cs"/>
          <w:sz w:val="27"/>
          <w:rtl/>
          <w:lang w:bidi="ar-IQ"/>
        </w:rPr>
        <w:t xml:space="preserve"> بل يمكن القول</w:t>
      </w:r>
      <w:r w:rsidR="00C13288" w:rsidRPr="006571AC">
        <w:rPr>
          <w:rFonts w:hint="cs"/>
          <w:sz w:val="27"/>
          <w:rtl/>
          <w:lang w:bidi="ar-IQ"/>
        </w:rPr>
        <w:t>:</w:t>
      </w:r>
      <w:r w:rsidRPr="006571AC">
        <w:rPr>
          <w:rFonts w:hint="cs"/>
          <w:sz w:val="27"/>
          <w:rtl/>
          <w:lang w:bidi="ar-IQ"/>
        </w:rPr>
        <w:t xml:space="preserve"> إن التركيب الوصفي لـ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Pr="006571AC">
        <w:rPr>
          <w:rFonts w:hint="cs"/>
          <w:sz w:val="27"/>
          <w:rtl/>
          <w:lang w:bidi="ar-IQ"/>
        </w:rPr>
        <w:t xml:space="preserve"> يعاني من تناقض</w:t>
      </w:r>
      <w:r w:rsidR="00C13288" w:rsidRPr="006571AC">
        <w:rPr>
          <w:rFonts w:hint="cs"/>
          <w:sz w:val="27"/>
          <w:rtl/>
          <w:lang w:bidi="ar-IQ"/>
        </w:rPr>
        <w:t>ٍ</w:t>
      </w:r>
      <w:r w:rsidRPr="006571AC">
        <w:rPr>
          <w:rFonts w:hint="cs"/>
          <w:sz w:val="27"/>
          <w:rtl/>
          <w:lang w:bidi="ar-IQ"/>
        </w:rPr>
        <w:t xml:space="preserve"> وتهافت</w:t>
      </w:r>
      <w:r w:rsidR="00C13288" w:rsidRPr="006571AC">
        <w:rPr>
          <w:rFonts w:hint="cs"/>
          <w:sz w:val="27"/>
          <w:rtl/>
          <w:lang w:bidi="ar-IQ"/>
        </w:rPr>
        <w:t>ٍ</w:t>
      </w:r>
      <w:r w:rsidRPr="006571AC">
        <w:rPr>
          <w:rFonts w:hint="cs"/>
          <w:sz w:val="27"/>
          <w:rtl/>
          <w:lang w:bidi="ar-IQ"/>
        </w:rPr>
        <w:t xml:space="preserve"> داخلي، وبذلك يكون استعماله خاطئاً وغير</w:t>
      </w:r>
      <w:r w:rsidR="00C13288" w:rsidRPr="006571AC">
        <w:rPr>
          <w:rFonts w:hint="cs"/>
          <w:sz w:val="27"/>
          <w:rtl/>
          <w:lang w:bidi="ar-IQ"/>
        </w:rPr>
        <w:t>َ</w:t>
      </w:r>
      <w:r w:rsidRPr="006571AC">
        <w:rPr>
          <w:rFonts w:hint="cs"/>
          <w:sz w:val="27"/>
          <w:rtl/>
          <w:lang w:bidi="ar-IQ"/>
        </w:rPr>
        <w:t xml:space="preserve"> صحيح</w:t>
      </w:r>
      <w:r w:rsidR="00C13288" w:rsidRPr="006571AC">
        <w:rPr>
          <w:rFonts w:hint="cs"/>
          <w:sz w:val="27"/>
          <w:rtl/>
          <w:lang w:bidi="ar-IQ"/>
        </w:rPr>
        <w:t>ٍ</w:t>
      </w:r>
      <w:r w:rsidRPr="006571AC">
        <w:rPr>
          <w:rFonts w:hint="cs"/>
          <w:sz w:val="27"/>
          <w:rtl/>
          <w:lang w:bidi="ar-IQ"/>
        </w:rPr>
        <w:t xml:space="preserve">؛ لأن مفردة </w:t>
      </w:r>
      <w:r w:rsidRPr="006571AC">
        <w:rPr>
          <w:rFonts w:hint="eastAsia"/>
          <w:sz w:val="24"/>
          <w:szCs w:val="24"/>
          <w:rtl/>
        </w:rPr>
        <w:t>«</w:t>
      </w:r>
      <w:r w:rsidRPr="006571AC">
        <w:rPr>
          <w:rFonts w:hint="cs"/>
          <w:sz w:val="27"/>
          <w:rtl/>
          <w:lang w:bidi="ar-IQ"/>
        </w:rPr>
        <w:t>الصلح</w:t>
      </w:r>
      <w:r w:rsidRPr="006571AC">
        <w:rPr>
          <w:rFonts w:hint="eastAsia"/>
          <w:sz w:val="24"/>
          <w:szCs w:val="24"/>
          <w:rtl/>
        </w:rPr>
        <w:t>»</w:t>
      </w:r>
      <w:r w:rsidRPr="006571AC">
        <w:rPr>
          <w:rFonts w:hint="cs"/>
          <w:sz w:val="27"/>
          <w:rtl/>
          <w:lang w:bidi="ar-IQ"/>
        </w:rPr>
        <w:t xml:space="preserve"> تدل</w:t>
      </w:r>
      <w:r w:rsidR="00C13288" w:rsidRPr="006571AC">
        <w:rPr>
          <w:rFonts w:hint="cs"/>
          <w:sz w:val="27"/>
          <w:rtl/>
          <w:lang w:bidi="ar-IQ"/>
        </w:rPr>
        <w:t>ّ</w:t>
      </w:r>
      <w:r w:rsidRPr="006571AC">
        <w:rPr>
          <w:rFonts w:hint="cs"/>
          <w:sz w:val="27"/>
          <w:rtl/>
          <w:lang w:bidi="ar-IQ"/>
        </w:rPr>
        <w:t xml:space="preserve"> على سبق الخصومة المتحق</w:t>
      </w:r>
      <w:r w:rsidR="00C13288" w:rsidRPr="006571AC">
        <w:rPr>
          <w:rFonts w:hint="cs"/>
          <w:sz w:val="27"/>
          <w:rtl/>
          <w:lang w:bidi="ar-IQ"/>
        </w:rPr>
        <w:t>ِّ</w:t>
      </w:r>
      <w:r w:rsidRPr="006571AC">
        <w:rPr>
          <w:rFonts w:hint="cs"/>
          <w:sz w:val="27"/>
          <w:rtl/>
          <w:lang w:bidi="ar-IQ"/>
        </w:rPr>
        <w:t>قة أو المتوقّ</w:t>
      </w:r>
      <w:r w:rsidR="00C13288" w:rsidRPr="006571AC">
        <w:rPr>
          <w:rFonts w:hint="cs"/>
          <w:sz w:val="27"/>
          <w:rtl/>
          <w:lang w:bidi="ar-IQ"/>
        </w:rPr>
        <w:t>َ</w:t>
      </w:r>
      <w:r w:rsidRPr="006571AC">
        <w:rPr>
          <w:rFonts w:hint="cs"/>
          <w:sz w:val="27"/>
          <w:rtl/>
          <w:lang w:bidi="ar-IQ"/>
        </w:rPr>
        <w:t xml:space="preserve">عة، في حين أن مفردة </w:t>
      </w:r>
      <w:r w:rsidRPr="006571AC">
        <w:rPr>
          <w:rFonts w:hint="eastAsia"/>
          <w:sz w:val="24"/>
          <w:szCs w:val="24"/>
          <w:rtl/>
        </w:rPr>
        <w:t>«</w:t>
      </w:r>
      <w:r w:rsidRPr="006571AC">
        <w:rPr>
          <w:rFonts w:hint="cs"/>
          <w:sz w:val="27"/>
          <w:rtl/>
          <w:lang w:bidi="ar-IQ"/>
        </w:rPr>
        <w:t>الابتدائي</w:t>
      </w:r>
      <w:r w:rsidRPr="006571AC">
        <w:rPr>
          <w:rFonts w:hint="eastAsia"/>
          <w:sz w:val="24"/>
          <w:szCs w:val="24"/>
          <w:rtl/>
        </w:rPr>
        <w:t>»</w:t>
      </w:r>
      <w:r w:rsidRPr="006571AC">
        <w:rPr>
          <w:rFonts w:hint="cs"/>
          <w:sz w:val="27"/>
          <w:rtl/>
          <w:lang w:bidi="ar-IQ"/>
        </w:rPr>
        <w:t xml:space="preserve"> أو الب</w:t>
      </w:r>
      <w:r w:rsidR="00C13288" w:rsidRPr="006571AC">
        <w:rPr>
          <w:rFonts w:hint="cs"/>
          <w:sz w:val="27"/>
          <w:rtl/>
          <w:lang w:bidi="ar-IQ"/>
        </w:rPr>
        <w:t>َ</w:t>
      </w:r>
      <w:r w:rsidRPr="006571AC">
        <w:rPr>
          <w:rFonts w:hint="cs"/>
          <w:sz w:val="27"/>
          <w:rtl/>
          <w:lang w:bidi="ar-IQ"/>
        </w:rPr>
        <w:t>د</w:t>
      </w:r>
      <w:r w:rsidR="00C13288" w:rsidRPr="006571AC">
        <w:rPr>
          <w:rFonts w:hint="cs"/>
          <w:sz w:val="27"/>
          <w:rtl/>
          <w:lang w:bidi="ar-IQ"/>
        </w:rPr>
        <w:t>ْ</w:t>
      </w:r>
      <w:r w:rsidRPr="006571AC">
        <w:rPr>
          <w:rFonts w:hint="cs"/>
          <w:sz w:val="27"/>
          <w:rtl/>
          <w:lang w:bidi="ar-IQ"/>
        </w:rPr>
        <w:t>وي تدلّ على عدم</w:t>
      </w:r>
      <w:r w:rsidRPr="006571AC">
        <w:rPr>
          <w:sz w:val="27"/>
          <w:rtl/>
        </w:rPr>
        <w:t xml:space="preserve"> </w:t>
      </w:r>
      <w:r w:rsidRPr="006571AC">
        <w:rPr>
          <w:sz w:val="27"/>
          <w:rtl/>
          <w:lang w:bidi="ar-IQ"/>
        </w:rPr>
        <w:t>وجود</w:t>
      </w:r>
      <w:r w:rsidRPr="006571AC">
        <w:rPr>
          <w:rFonts w:hint="cs"/>
          <w:sz w:val="27"/>
          <w:rtl/>
          <w:lang w:bidi="ar-IQ"/>
        </w:rPr>
        <w:t xml:space="preserve"> سابقة الخصومة، ومن هنا فإن توصيف الصلح بهذه الصفة ليس صحيحاً، وهو شبيه</w:t>
      </w:r>
      <w:r w:rsidR="00C13288" w:rsidRPr="006571AC">
        <w:rPr>
          <w:rFonts w:hint="cs"/>
          <w:sz w:val="27"/>
          <w:rtl/>
          <w:lang w:bidi="ar-IQ"/>
        </w:rPr>
        <w:t>ٌ</w:t>
      </w:r>
      <w:r w:rsidRPr="006571AC">
        <w:rPr>
          <w:rFonts w:hint="cs"/>
          <w:sz w:val="27"/>
          <w:rtl/>
          <w:lang w:bidi="ar-IQ"/>
        </w:rPr>
        <w:t xml:space="preserve"> بقولنا: </w:t>
      </w:r>
      <w:r w:rsidRPr="006571AC">
        <w:rPr>
          <w:rFonts w:hint="eastAsia"/>
          <w:sz w:val="24"/>
          <w:szCs w:val="24"/>
          <w:rtl/>
        </w:rPr>
        <w:t>«</w:t>
      </w:r>
      <w:r w:rsidRPr="006571AC">
        <w:rPr>
          <w:rFonts w:hint="cs"/>
          <w:sz w:val="27"/>
          <w:rtl/>
          <w:lang w:bidi="ar-IQ"/>
        </w:rPr>
        <w:t>النور المظلم</w:t>
      </w:r>
      <w:r w:rsidRPr="006571AC">
        <w:rPr>
          <w:rFonts w:hint="eastAsia"/>
          <w:sz w:val="24"/>
          <w:szCs w:val="24"/>
          <w:rtl/>
        </w:rPr>
        <w:t>»</w:t>
      </w:r>
      <w:r w:rsidRPr="006571AC">
        <w:rPr>
          <w:rFonts w:hint="cs"/>
          <w:sz w:val="27"/>
          <w:rtl/>
          <w:lang w:bidi="ar-IQ"/>
        </w:rPr>
        <w:t xml:space="preserve"> أو </w:t>
      </w:r>
      <w:r w:rsidRPr="006571AC">
        <w:rPr>
          <w:rFonts w:hint="eastAsia"/>
          <w:sz w:val="24"/>
          <w:szCs w:val="24"/>
          <w:rtl/>
        </w:rPr>
        <w:t>«</w:t>
      </w:r>
      <w:r w:rsidRPr="006571AC">
        <w:rPr>
          <w:rFonts w:hint="cs"/>
          <w:sz w:val="27"/>
          <w:rtl/>
          <w:lang w:bidi="ar-IQ"/>
        </w:rPr>
        <w:t>العالم الأمّي</w:t>
      </w:r>
      <w:r w:rsidRPr="006571AC">
        <w:rPr>
          <w:rFonts w:hint="eastAsia"/>
          <w:sz w:val="24"/>
          <w:szCs w:val="24"/>
          <w:rtl/>
        </w:rPr>
        <w:t>»</w:t>
      </w:r>
      <w:r w:rsidRPr="006571AC">
        <w:rPr>
          <w:rFonts w:hint="cs"/>
          <w:sz w:val="27"/>
          <w:rtl/>
          <w:lang w:bidi="ar-IQ"/>
        </w:rPr>
        <w:t xml:space="preserve"> وما إلى ذلك</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27"/>
      </w:r>
      <w:r w:rsidRPr="006571AC">
        <w:rPr>
          <w:sz w:val="27"/>
          <w:vertAlign w:val="superscript"/>
          <w:rtl/>
          <w:lang w:bidi="ar-IQ"/>
        </w:rPr>
        <w:t>)</w:t>
      </w:r>
      <w:r w:rsidRPr="006571AC">
        <w:rPr>
          <w:rFonts w:hint="cs"/>
          <w:sz w:val="27"/>
          <w:rtl/>
          <w:lang w:bidi="ar-IQ"/>
        </w:rPr>
        <w:t xml:space="preserve">. </w:t>
      </w:r>
    </w:p>
    <w:p w:rsidR="004B16C6" w:rsidRPr="006571AC" w:rsidRDefault="004B16C6" w:rsidP="004B16C6">
      <w:pPr>
        <w:spacing w:line="420" w:lineRule="exact"/>
        <w:rPr>
          <w:sz w:val="27"/>
          <w:rtl/>
        </w:rPr>
      </w:pPr>
    </w:p>
    <w:p w:rsidR="00381A52" w:rsidRPr="006571AC" w:rsidRDefault="00606C6E" w:rsidP="00714072">
      <w:pPr>
        <w:pStyle w:val="31"/>
        <w:rPr>
          <w:color w:val="auto"/>
          <w:rtl/>
          <w:lang w:bidi="ar-IQ"/>
        </w:rPr>
      </w:pPr>
      <w:bookmarkStart w:id="140" w:name="_Toc114164629"/>
      <w:r w:rsidRPr="006571AC">
        <w:rPr>
          <w:rFonts w:hint="cs"/>
          <w:color w:val="auto"/>
          <w:rtl/>
          <w:lang w:bidi="ar-IQ"/>
        </w:rPr>
        <w:t>مطالعاتٌ نقديّة</w:t>
      </w:r>
      <w:bookmarkEnd w:id="140"/>
    </w:p>
    <w:p w:rsidR="00381A52" w:rsidRPr="006571AC" w:rsidRDefault="00381A52" w:rsidP="00DB4FEB">
      <w:pPr>
        <w:rPr>
          <w:sz w:val="27"/>
          <w:rtl/>
          <w:lang w:bidi="ar-IQ"/>
        </w:rPr>
      </w:pPr>
      <w:r w:rsidRPr="006571AC">
        <w:rPr>
          <w:rFonts w:hint="cs"/>
          <w:sz w:val="27"/>
          <w:rtl/>
          <w:lang w:bidi="ar-IQ"/>
        </w:rPr>
        <w:t xml:space="preserve">1ـ كما </w:t>
      </w:r>
      <w:r w:rsidR="00B01977" w:rsidRPr="006571AC">
        <w:rPr>
          <w:rFonts w:hint="cs"/>
          <w:sz w:val="27"/>
          <w:rtl/>
          <w:lang w:bidi="ar-IQ"/>
        </w:rPr>
        <w:t>تقدَّم</w:t>
      </w:r>
      <w:r w:rsidRPr="006571AC">
        <w:rPr>
          <w:rFonts w:hint="cs"/>
          <w:sz w:val="27"/>
          <w:rtl/>
          <w:lang w:bidi="ar-IQ"/>
        </w:rPr>
        <w:t xml:space="preserve"> فإن بعض الأدل</w:t>
      </w:r>
      <w:r w:rsidR="00B01977" w:rsidRPr="006571AC">
        <w:rPr>
          <w:rFonts w:hint="cs"/>
          <w:sz w:val="27"/>
          <w:rtl/>
          <w:lang w:bidi="ar-IQ"/>
        </w:rPr>
        <w:t>ّ</w:t>
      </w:r>
      <w:r w:rsidRPr="006571AC">
        <w:rPr>
          <w:rFonts w:hint="cs"/>
          <w:sz w:val="27"/>
          <w:rtl/>
          <w:lang w:bidi="ar-IQ"/>
        </w:rPr>
        <w:t xml:space="preserve">ة العامّة على مشروعية العقود ـ ومن بينها: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sz w:val="27"/>
          <w:rtl/>
          <w:lang w:bidi="ar-IQ"/>
        </w:rPr>
        <w:t>، و</w:t>
      </w:r>
      <w:r w:rsidRPr="006571AC">
        <w:rPr>
          <w:rFonts w:ascii="Mosawi" w:hAnsi="Mosawi" w:cs="Mosawi"/>
          <w:sz w:val="24"/>
          <w:szCs w:val="24"/>
          <w:rtl/>
        </w:rPr>
        <w:t>﴿</w:t>
      </w:r>
      <w:r w:rsidRPr="006571AC">
        <w:rPr>
          <w:b/>
          <w:bCs/>
          <w:sz w:val="27"/>
          <w:rtl/>
          <w:lang w:bidi="ar-IQ"/>
        </w:rPr>
        <w:t>تِجَارَةً عَنْ تَرَاضٍ</w:t>
      </w:r>
      <w:r w:rsidRPr="006571AC">
        <w:rPr>
          <w:rFonts w:ascii="Mosawi" w:hAnsi="Mosawi" w:cs="Mosawi"/>
          <w:sz w:val="24"/>
          <w:szCs w:val="24"/>
          <w:rtl/>
        </w:rPr>
        <w:t>﴾</w:t>
      </w:r>
      <w:r w:rsidR="00B01977" w:rsidRPr="006571AC">
        <w:rPr>
          <w:rFonts w:hint="cs"/>
          <w:sz w:val="27"/>
          <w:rtl/>
          <w:lang w:bidi="ar-IQ"/>
        </w:rPr>
        <w:t xml:space="preserve"> </w:t>
      </w:r>
      <w:r w:rsidR="00C13288" w:rsidRPr="006571AC">
        <w:rPr>
          <w:rFonts w:hint="cs"/>
          <w:sz w:val="27"/>
          <w:rtl/>
          <w:lang w:bidi="ar-IQ"/>
        </w:rPr>
        <w:t xml:space="preserve">ـ </w:t>
      </w:r>
      <w:r w:rsidRPr="006571AC">
        <w:rPr>
          <w:rFonts w:hint="cs"/>
          <w:sz w:val="27"/>
          <w:rtl/>
          <w:lang w:bidi="ar-IQ"/>
        </w:rPr>
        <w:t>يمكنها أن تدل</w:t>
      </w:r>
      <w:r w:rsidR="00C13288" w:rsidRPr="006571AC">
        <w:rPr>
          <w:rFonts w:hint="cs"/>
          <w:sz w:val="27"/>
          <w:rtl/>
          <w:lang w:bidi="ar-IQ"/>
        </w:rPr>
        <w:t>ّ</w:t>
      </w:r>
      <w:r w:rsidRPr="006571AC">
        <w:rPr>
          <w:rFonts w:hint="cs"/>
          <w:sz w:val="27"/>
          <w:rtl/>
          <w:lang w:bidi="ar-IQ"/>
        </w:rPr>
        <w:t xml:space="preserve"> على مشروعية الصلح الابتدائي</w:t>
      </w:r>
      <w:r w:rsidR="00C13288" w:rsidRPr="006571AC">
        <w:rPr>
          <w:rFonts w:hint="cs"/>
          <w:sz w:val="27"/>
          <w:rtl/>
          <w:lang w:bidi="ar-IQ"/>
        </w:rPr>
        <w:t>.</w:t>
      </w:r>
      <w:r w:rsidRPr="006571AC">
        <w:rPr>
          <w:rFonts w:hint="cs"/>
          <w:sz w:val="27"/>
          <w:rtl/>
          <w:lang w:bidi="ar-IQ"/>
        </w:rPr>
        <w:t xml:space="preserve"> ومن ناحية</w:t>
      </w:r>
      <w:r w:rsidR="00C13288" w:rsidRPr="006571AC">
        <w:rPr>
          <w:rFonts w:hint="cs"/>
          <w:sz w:val="27"/>
          <w:rtl/>
          <w:lang w:bidi="ar-IQ"/>
        </w:rPr>
        <w:t>ٍ</w:t>
      </w:r>
      <w:r w:rsidRPr="006571AC">
        <w:rPr>
          <w:rFonts w:hint="cs"/>
          <w:sz w:val="27"/>
          <w:rtl/>
          <w:lang w:bidi="ar-IQ"/>
        </w:rPr>
        <w:t xml:space="preserve"> أخرى</w:t>
      </w:r>
      <w:r w:rsidR="00DB4FEB" w:rsidRPr="006571AC">
        <w:rPr>
          <w:rFonts w:hint="cs"/>
          <w:sz w:val="27"/>
          <w:rtl/>
          <w:lang w:bidi="ar-IQ"/>
        </w:rPr>
        <w:t>،</w:t>
      </w:r>
      <w:r w:rsidRPr="006571AC">
        <w:rPr>
          <w:rFonts w:hint="cs"/>
          <w:sz w:val="27"/>
          <w:rtl/>
          <w:lang w:bidi="ar-IQ"/>
        </w:rPr>
        <w:t xml:space="preserve"> </w:t>
      </w:r>
      <w:r w:rsidR="00DB4FEB" w:rsidRPr="006571AC">
        <w:rPr>
          <w:rFonts w:hint="cs"/>
          <w:sz w:val="27"/>
          <w:rtl/>
          <w:lang w:bidi="ar-IQ"/>
        </w:rPr>
        <w:t>في</w:t>
      </w:r>
      <w:r w:rsidRPr="006571AC">
        <w:rPr>
          <w:rFonts w:hint="cs"/>
          <w:sz w:val="27"/>
          <w:rtl/>
          <w:lang w:bidi="ar-IQ"/>
        </w:rPr>
        <w:t xml:space="preserve"> الأدلة الخاص</w:t>
      </w:r>
      <w:r w:rsidR="00C13288" w:rsidRPr="006571AC">
        <w:rPr>
          <w:rFonts w:hint="cs"/>
          <w:sz w:val="27"/>
          <w:rtl/>
          <w:lang w:bidi="ar-IQ"/>
        </w:rPr>
        <w:t>ّ</w:t>
      </w:r>
      <w:r w:rsidRPr="006571AC">
        <w:rPr>
          <w:rFonts w:hint="cs"/>
          <w:sz w:val="27"/>
          <w:rtl/>
          <w:lang w:bidi="ar-IQ"/>
        </w:rPr>
        <w:t>ة بالصلح الابتدائ</w:t>
      </w:r>
      <w:r w:rsidR="00B01977" w:rsidRPr="006571AC">
        <w:rPr>
          <w:rFonts w:hint="cs"/>
          <w:sz w:val="27"/>
          <w:rtl/>
          <w:lang w:bidi="ar-IQ"/>
        </w:rPr>
        <w:t>ي</w:t>
      </w:r>
      <w:r w:rsidRPr="006571AC">
        <w:rPr>
          <w:rFonts w:hint="cs"/>
          <w:sz w:val="27"/>
          <w:rtl/>
          <w:lang w:bidi="ar-IQ"/>
        </w:rPr>
        <w:t xml:space="preserve"> كانت بعض الروايات </w:t>
      </w:r>
      <w:r w:rsidR="00DB4FEB" w:rsidRPr="006571AC">
        <w:rPr>
          <w:rFonts w:hint="cs"/>
          <w:sz w:val="27"/>
          <w:rtl/>
          <w:lang w:bidi="ar-IQ"/>
        </w:rPr>
        <w:t>ذات</w:t>
      </w:r>
      <w:r w:rsidRPr="006571AC">
        <w:rPr>
          <w:rFonts w:hint="cs"/>
          <w:sz w:val="27"/>
          <w:rtl/>
          <w:lang w:bidi="ar-IQ"/>
        </w:rPr>
        <w:t xml:space="preserve"> دلالة</w:t>
      </w:r>
      <w:r w:rsidR="00C13288" w:rsidRPr="006571AC">
        <w:rPr>
          <w:rFonts w:hint="cs"/>
          <w:sz w:val="27"/>
          <w:rtl/>
          <w:lang w:bidi="ar-IQ"/>
        </w:rPr>
        <w:t>ٍ</w:t>
      </w:r>
      <w:r w:rsidRPr="006571AC">
        <w:rPr>
          <w:rFonts w:hint="cs"/>
          <w:sz w:val="27"/>
          <w:rtl/>
          <w:lang w:bidi="ar-IQ"/>
        </w:rPr>
        <w:t xml:space="preserve"> واضحة </w:t>
      </w:r>
      <w:r w:rsidR="00DB4FEB" w:rsidRPr="006571AC">
        <w:rPr>
          <w:rFonts w:hint="cs"/>
          <w:sz w:val="27"/>
          <w:rtl/>
          <w:lang w:bidi="ar-IQ"/>
        </w:rPr>
        <w:t>على</w:t>
      </w:r>
      <w:r w:rsidRPr="006571AC">
        <w:rPr>
          <w:rFonts w:hint="cs"/>
          <w:sz w:val="27"/>
          <w:rtl/>
          <w:lang w:bidi="ar-IQ"/>
        </w:rPr>
        <w:t xml:space="preserve"> مشروعية الصلح الابتدائي، وإن</w:t>
      </w:r>
      <w:r w:rsidR="00C13288" w:rsidRPr="006571AC">
        <w:rPr>
          <w:rFonts w:hint="cs"/>
          <w:sz w:val="27"/>
          <w:rtl/>
          <w:lang w:bidi="ar-IQ"/>
        </w:rPr>
        <w:t>ْ</w:t>
      </w:r>
      <w:r w:rsidRPr="006571AC">
        <w:rPr>
          <w:rFonts w:hint="cs"/>
          <w:sz w:val="27"/>
          <w:rtl/>
          <w:lang w:bidi="ar-IQ"/>
        </w:rPr>
        <w:t xml:space="preserve"> لم تكن مفردة الصلح الابتدائي مستعملة</w:t>
      </w:r>
      <w:r w:rsidR="00C13288" w:rsidRPr="006571AC">
        <w:rPr>
          <w:rFonts w:hint="cs"/>
          <w:sz w:val="27"/>
          <w:rtl/>
          <w:lang w:bidi="ar-IQ"/>
        </w:rPr>
        <w:t>ً</w:t>
      </w:r>
      <w:r w:rsidRPr="006571AC">
        <w:rPr>
          <w:rFonts w:hint="cs"/>
          <w:sz w:val="27"/>
          <w:rtl/>
          <w:lang w:bidi="ar-IQ"/>
        </w:rPr>
        <w:t xml:space="preserve"> فيها</w:t>
      </w:r>
      <w:r w:rsidR="00C13288" w:rsidRPr="006571AC">
        <w:rPr>
          <w:rFonts w:hint="cs"/>
          <w:sz w:val="27"/>
          <w:rtl/>
          <w:lang w:bidi="ar-IQ"/>
        </w:rPr>
        <w:t>؛</w:t>
      </w:r>
      <w:r w:rsidRPr="006571AC">
        <w:rPr>
          <w:rFonts w:hint="cs"/>
          <w:sz w:val="27"/>
          <w:rtl/>
          <w:lang w:bidi="ar-IQ"/>
        </w:rPr>
        <w:t xml:space="preserve"> إذ لو كن</w:t>
      </w:r>
      <w:r w:rsidR="00C13288" w:rsidRPr="006571AC">
        <w:rPr>
          <w:rFonts w:hint="cs"/>
          <w:sz w:val="27"/>
          <w:rtl/>
          <w:lang w:bidi="ar-IQ"/>
        </w:rPr>
        <w:t>ّ</w:t>
      </w:r>
      <w:r w:rsidRPr="006571AC">
        <w:rPr>
          <w:rFonts w:hint="cs"/>
          <w:sz w:val="27"/>
          <w:rtl/>
          <w:lang w:bidi="ar-IQ"/>
        </w:rPr>
        <w:t>ا من القائلين بتوقيفية العقود لما كان المورد الذي ورد</w:t>
      </w:r>
      <w:r w:rsidR="00C13288" w:rsidRPr="006571AC">
        <w:rPr>
          <w:rFonts w:hint="cs"/>
          <w:sz w:val="27"/>
          <w:rtl/>
          <w:lang w:bidi="ar-IQ"/>
        </w:rPr>
        <w:t>َ</w:t>
      </w:r>
      <w:r w:rsidRPr="006571AC">
        <w:rPr>
          <w:rFonts w:hint="cs"/>
          <w:sz w:val="27"/>
          <w:rtl/>
          <w:lang w:bidi="ar-IQ"/>
        </w:rPr>
        <w:t>ت</w:t>
      </w:r>
      <w:r w:rsidR="00C13288" w:rsidRPr="006571AC">
        <w:rPr>
          <w:rFonts w:hint="cs"/>
          <w:sz w:val="27"/>
          <w:rtl/>
          <w:lang w:bidi="ar-IQ"/>
        </w:rPr>
        <w:t>ْ</w:t>
      </w:r>
      <w:r w:rsidRPr="006571AC">
        <w:rPr>
          <w:rFonts w:hint="cs"/>
          <w:sz w:val="27"/>
          <w:rtl/>
          <w:lang w:bidi="ar-IQ"/>
        </w:rPr>
        <w:t xml:space="preserve"> فيه الروايات قابلاً للتصحيح إلا</w:t>
      </w:r>
      <w:r w:rsidR="00C13288" w:rsidRPr="006571AC">
        <w:rPr>
          <w:rFonts w:hint="cs"/>
          <w:sz w:val="27"/>
          <w:rtl/>
          <w:lang w:bidi="ar-IQ"/>
        </w:rPr>
        <w:t>ّ</w:t>
      </w:r>
      <w:r w:rsidRPr="006571AC">
        <w:rPr>
          <w:rFonts w:hint="cs"/>
          <w:sz w:val="27"/>
          <w:rtl/>
          <w:lang w:bidi="ar-IQ"/>
        </w:rPr>
        <w:t xml:space="preserve"> بالصلح والإنشاء</w:t>
      </w:r>
      <w:r w:rsidR="00C13288" w:rsidRPr="006571AC">
        <w:rPr>
          <w:rFonts w:hint="cs"/>
          <w:sz w:val="27"/>
          <w:rtl/>
          <w:lang w:bidi="ar-IQ"/>
        </w:rPr>
        <w:t>؛</w:t>
      </w:r>
      <w:r w:rsidRPr="006571AC">
        <w:rPr>
          <w:rFonts w:hint="cs"/>
          <w:sz w:val="27"/>
          <w:rtl/>
          <w:lang w:bidi="ar-IQ"/>
        </w:rPr>
        <w:t xml:space="preserve"> وإذا كنا من القائلين بعدم توقيفية وانحصار العقود فمع ذلك لو كان بمقدورنا إدخال معاملة</w:t>
      </w:r>
      <w:r w:rsidR="00C13288" w:rsidRPr="006571AC">
        <w:rPr>
          <w:rFonts w:hint="cs"/>
          <w:sz w:val="27"/>
          <w:rtl/>
          <w:lang w:bidi="ar-IQ"/>
        </w:rPr>
        <w:t>ٍ</w:t>
      </w:r>
      <w:r w:rsidRPr="006571AC">
        <w:rPr>
          <w:rFonts w:hint="cs"/>
          <w:sz w:val="27"/>
          <w:rtl/>
          <w:lang w:bidi="ar-IQ"/>
        </w:rPr>
        <w:t xml:space="preserve"> ضمن </w:t>
      </w:r>
      <w:r w:rsidR="00C13288" w:rsidRPr="006571AC">
        <w:rPr>
          <w:rFonts w:hint="cs"/>
          <w:sz w:val="27"/>
          <w:rtl/>
          <w:lang w:bidi="ar-IQ"/>
        </w:rPr>
        <w:t>أحد</w:t>
      </w:r>
      <w:r w:rsidRPr="006571AC">
        <w:rPr>
          <w:rFonts w:hint="cs"/>
          <w:sz w:val="27"/>
          <w:rtl/>
          <w:lang w:bidi="ar-IQ"/>
        </w:rPr>
        <w:t xml:space="preserve"> العقود المتعارفة الممضاة قطعاً </w:t>
      </w:r>
      <w:r w:rsidR="00C13288" w:rsidRPr="006571AC">
        <w:rPr>
          <w:rFonts w:hint="cs"/>
          <w:sz w:val="27"/>
          <w:rtl/>
          <w:lang w:bidi="ar-IQ"/>
        </w:rPr>
        <w:t>ف</w:t>
      </w:r>
      <w:r w:rsidRPr="006571AC">
        <w:rPr>
          <w:rFonts w:hint="cs"/>
          <w:sz w:val="27"/>
          <w:rtl/>
          <w:lang w:bidi="ar-IQ"/>
        </w:rPr>
        <w:t>سوف يكون ذلك أفضل من الالتزام بعقد</w:t>
      </w:r>
      <w:r w:rsidR="00630488" w:rsidRPr="006571AC">
        <w:rPr>
          <w:rFonts w:hint="cs"/>
          <w:sz w:val="27"/>
          <w:rtl/>
          <w:lang w:bidi="ar-IQ"/>
        </w:rPr>
        <w:t>ٍ</w:t>
      </w:r>
      <w:r w:rsidRPr="006571AC">
        <w:rPr>
          <w:rFonts w:hint="cs"/>
          <w:sz w:val="27"/>
          <w:rtl/>
          <w:lang w:bidi="ar-IQ"/>
        </w:rPr>
        <w:t xml:space="preserve"> جديد ومست</w:t>
      </w:r>
      <w:r w:rsidR="00630488" w:rsidRPr="006571AC">
        <w:rPr>
          <w:rFonts w:hint="cs"/>
          <w:sz w:val="27"/>
          <w:rtl/>
          <w:lang w:bidi="ar-IQ"/>
        </w:rPr>
        <w:t>َ</w:t>
      </w:r>
      <w:r w:rsidRPr="006571AC">
        <w:rPr>
          <w:rFonts w:hint="cs"/>
          <w:sz w:val="27"/>
          <w:rtl/>
          <w:lang w:bidi="ar-IQ"/>
        </w:rPr>
        <w:t>ح</w:t>
      </w:r>
      <w:r w:rsidR="00630488" w:rsidRPr="006571AC">
        <w:rPr>
          <w:rFonts w:hint="cs"/>
          <w:sz w:val="27"/>
          <w:rtl/>
          <w:lang w:bidi="ar-IQ"/>
        </w:rPr>
        <w:t>ْ</w:t>
      </w:r>
      <w:r w:rsidRPr="006571AC">
        <w:rPr>
          <w:rFonts w:hint="cs"/>
          <w:sz w:val="27"/>
          <w:rtl/>
          <w:lang w:bidi="ar-IQ"/>
        </w:rPr>
        <w:t>د</w:t>
      </w:r>
      <w:r w:rsidR="00630488" w:rsidRPr="006571AC">
        <w:rPr>
          <w:rFonts w:hint="cs"/>
          <w:sz w:val="27"/>
          <w:rtl/>
          <w:lang w:bidi="ar-IQ"/>
        </w:rPr>
        <w:t>َ</w:t>
      </w:r>
      <w:r w:rsidRPr="006571AC">
        <w:rPr>
          <w:rFonts w:hint="cs"/>
          <w:sz w:val="27"/>
          <w:rtl/>
          <w:lang w:bidi="ar-IQ"/>
        </w:rPr>
        <w:t xml:space="preserve">ث. </w:t>
      </w:r>
    </w:p>
    <w:p w:rsidR="00381A52" w:rsidRPr="006571AC" w:rsidRDefault="00381A52" w:rsidP="00552C10">
      <w:pPr>
        <w:rPr>
          <w:sz w:val="27"/>
          <w:rtl/>
          <w:lang w:bidi="ar-IQ"/>
        </w:rPr>
      </w:pPr>
      <w:r w:rsidRPr="006571AC">
        <w:rPr>
          <w:rFonts w:hint="cs"/>
          <w:sz w:val="27"/>
          <w:rtl/>
          <w:lang w:bidi="ar-IQ"/>
        </w:rPr>
        <w:t>2ـ كما تحدّ</w:t>
      </w:r>
      <w:r w:rsidR="00630488" w:rsidRPr="006571AC">
        <w:rPr>
          <w:rFonts w:hint="cs"/>
          <w:sz w:val="27"/>
          <w:rtl/>
          <w:lang w:bidi="ar-IQ"/>
        </w:rPr>
        <w:t>َ</w:t>
      </w:r>
      <w:r w:rsidRPr="006571AC">
        <w:rPr>
          <w:rFonts w:hint="cs"/>
          <w:sz w:val="27"/>
          <w:rtl/>
          <w:lang w:bidi="ar-IQ"/>
        </w:rPr>
        <w:t>ثنا سابقاً فإن كلامنا ليس في مشروعية الصلح الابتدائي بالحمل الأو</w:t>
      </w:r>
      <w:r w:rsidR="00DB4FEB" w:rsidRPr="006571AC">
        <w:rPr>
          <w:rFonts w:hint="cs"/>
          <w:sz w:val="27"/>
          <w:rtl/>
          <w:lang w:bidi="ar-IQ"/>
        </w:rPr>
        <w:t>ّ</w:t>
      </w:r>
      <w:r w:rsidRPr="006571AC">
        <w:rPr>
          <w:rFonts w:hint="cs"/>
          <w:sz w:val="27"/>
          <w:rtl/>
          <w:lang w:bidi="ar-IQ"/>
        </w:rPr>
        <w:t>لي</w:t>
      </w:r>
      <w:r w:rsidR="00630488" w:rsidRPr="006571AC">
        <w:rPr>
          <w:rFonts w:hint="cs"/>
          <w:sz w:val="27"/>
          <w:rtl/>
          <w:lang w:bidi="ar-IQ"/>
        </w:rPr>
        <w:t>؛</w:t>
      </w:r>
      <w:r w:rsidRPr="006571AC">
        <w:rPr>
          <w:rFonts w:hint="cs"/>
          <w:sz w:val="27"/>
          <w:rtl/>
          <w:lang w:bidi="ar-IQ"/>
        </w:rPr>
        <w:t xml:space="preserve"> كي تتشبّ</w:t>
      </w:r>
      <w:r w:rsidR="00630488" w:rsidRPr="006571AC">
        <w:rPr>
          <w:rFonts w:hint="cs"/>
          <w:sz w:val="27"/>
          <w:rtl/>
          <w:lang w:bidi="ar-IQ"/>
        </w:rPr>
        <w:t>َ</w:t>
      </w:r>
      <w:r w:rsidRPr="006571AC">
        <w:rPr>
          <w:rFonts w:hint="cs"/>
          <w:sz w:val="27"/>
          <w:rtl/>
          <w:lang w:bidi="ar-IQ"/>
        </w:rPr>
        <w:t>ثوا باستعمال مفردة الصلح في الأدلة، ولو لم ي</w:t>
      </w:r>
      <w:r w:rsidR="00630488" w:rsidRPr="006571AC">
        <w:rPr>
          <w:rFonts w:hint="cs"/>
          <w:sz w:val="27"/>
          <w:rtl/>
          <w:lang w:bidi="ar-IQ"/>
        </w:rPr>
        <w:t>َ</w:t>
      </w:r>
      <w:r w:rsidRPr="006571AC">
        <w:rPr>
          <w:rFonts w:hint="cs"/>
          <w:sz w:val="27"/>
          <w:rtl/>
          <w:lang w:bidi="ar-IQ"/>
        </w:rPr>
        <w:t>ر</w:t>
      </w:r>
      <w:r w:rsidR="00630488" w:rsidRPr="006571AC">
        <w:rPr>
          <w:rFonts w:hint="cs"/>
          <w:sz w:val="27"/>
          <w:rtl/>
          <w:lang w:bidi="ar-IQ"/>
        </w:rPr>
        <w:t>ِ</w:t>
      </w:r>
      <w:r w:rsidRPr="006571AC">
        <w:rPr>
          <w:rFonts w:hint="cs"/>
          <w:sz w:val="27"/>
          <w:rtl/>
          <w:lang w:bidi="ar-IQ"/>
        </w:rPr>
        <w:t>د</w:t>
      </w:r>
      <w:r w:rsidR="00630488" w:rsidRPr="006571AC">
        <w:rPr>
          <w:rFonts w:hint="cs"/>
          <w:sz w:val="27"/>
          <w:rtl/>
          <w:lang w:bidi="ar-IQ"/>
        </w:rPr>
        <w:t>ْ</w:t>
      </w:r>
      <w:r w:rsidRPr="006571AC">
        <w:rPr>
          <w:rFonts w:hint="cs"/>
          <w:sz w:val="27"/>
          <w:rtl/>
          <w:lang w:bidi="ar-IQ"/>
        </w:rPr>
        <w:t xml:space="preserve"> استعمال هذه المفردة كانت دلالة الأدلة على مشروعية الصلح الابتدائي فاقدة</w:t>
      </w:r>
      <w:r w:rsidR="00DB4FEB" w:rsidRPr="006571AC">
        <w:rPr>
          <w:rFonts w:hint="cs"/>
          <w:sz w:val="27"/>
          <w:rtl/>
          <w:lang w:bidi="ar-IQ"/>
        </w:rPr>
        <w:t>ً</w:t>
      </w:r>
      <w:r w:rsidRPr="006571AC">
        <w:rPr>
          <w:rFonts w:hint="cs"/>
          <w:sz w:val="27"/>
          <w:rtl/>
          <w:lang w:bidi="ar-IQ"/>
        </w:rPr>
        <w:t xml:space="preserve"> للدليل. بل إن كلامنا في مشروعية الصلح الابتدائي بالحمل الشائع الصناعي، أي في الموارد والمصاديق التي تم</w:t>
      </w:r>
      <w:r w:rsidR="00630488" w:rsidRPr="006571AC">
        <w:rPr>
          <w:rFonts w:hint="cs"/>
          <w:sz w:val="27"/>
          <w:rtl/>
          <w:lang w:bidi="ar-IQ"/>
        </w:rPr>
        <w:t>ّ</w:t>
      </w:r>
      <w:r w:rsidRPr="006571AC">
        <w:rPr>
          <w:rFonts w:hint="cs"/>
          <w:sz w:val="27"/>
          <w:rtl/>
          <w:lang w:bidi="ar-IQ"/>
        </w:rPr>
        <w:t xml:space="preserve"> إنشاء التوافق والتراضي عليها، ولم ي</w:t>
      </w:r>
      <w:r w:rsidR="00630488" w:rsidRPr="006571AC">
        <w:rPr>
          <w:rFonts w:hint="cs"/>
          <w:sz w:val="27"/>
          <w:rtl/>
          <w:lang w:bidi="ar-IQ"/>
        </w:rPr>
        <w:t>َ</w:t>
      </w:r>
      <w:r w:rsidRPr="006571AC">
        <w:rPr>
          <w:rFonts w:hint="cs"/>
          <w:sz w:val="27"/>
          <w:rtl/>
          <w:lang w:bidi="ar-IQ"/>
        </w:rPr>
        <w:t>ر</w:t>
      </w:r>
      <w:r w:rsidR="00630488" w:rsidRPr="006571AC">
        <w:rPr>
          <w:rFonts w:hint="cs"/>
          <w:sz w:val="27"/>
          <w:rtl/>
          <w:lang w:bidi="ar-IQ"/>
        </w:rPr>
        <w:t>ِ</w:t>
      </w:r>
      <w:r w:rsidRPr="006571AC">
        <w:rPr>
          <w:rFonts w:hint="cs"/>
          <w:sz w:val="27"/>
          <w:rtl/>
          <w:lang w:bidi="ar-IQ"/>
        </w:rPr>
        <w:t>د</w:t>
      </w:r>
      <w:r w:rsidR="00630488" w:rsidRPr="006571AC">
        <w:rPr>
          <w:rFonts w:hint="cs"/>
          <w:sz w:val="27"/>
          <w:rtl/>
          <w:lang w:bidi="ar-IQ"/>
        </w:rPr>
        <w:t>ْ</w:t>
      </w:r>
      <w:r w:rsidRPr="006571AC">
        <w:rPr>
          <w:rFonts w:hint="cs"/>
          <w:sz w:val="27"/>
          <w:rtl/>
          <w:lang w:bidi="ar-IQ"/>
        </w:rPr>
        <w:t xml:space="preserve"> منع</w:t>
      </w:r>
      <w:r w:rsidR="00630488" w:rsidRPr="006571AC">
        <w:rPr>
          <w:rFonts w:hint="cs"/>
          <w:sz w:val="27"/>
          <w:rtl/>
          <w:lang w:bidi="ar-IQ"/>
        </w:rPr>
        <w:t>ٌ</w:t>
      </w:r>
      <w:r w:rsidRPr="006571AC">
        <w:rPr>
          <w:rFonts w:hint="cs"/>
          <w:sz w:val="27"/>
          <w:rtl/>
          <w:lang w:bidi="ar-IQ"/>
        </w:rPr>
        <w:t xml:space="preserve"> أو ردع</w:t>
      </w:r>
      <w:r w:rsidR="00630488" w:rsidRPr="006571AC">
        <w:rPr>
          <w:rFonts w:hint="cs"/>
          <w:sz w:val="27"/>
          <w:rtl/>
          <w:lang w:bidi="ar-IQ"/>
        </w:rPr>
        <w:t>ٌ</w:t>
      </w:r>
      <w:r w:rsidRPr="006571AC">
        <w:rPr>
          <w:rFonts w:hint="cs"/>
          <w:sz w:val="27"/>
          <w:rtl/>
          <w:lang w:bidi="ar-IQ"/>
        </w:rPr>
        <w:t xml:space="preserve"> من ق</w:t>
      </w:r>
      <w:r w:rsidR="00630488" w:rsidRPr="006571AC">
        <w:rPr>
          <w:rFonts w:hint="cs"/>
          <w:sz w:val="27"/>
          <w:rtl/>
          <w:lang w:bidi="ar-IQ"/>
        </w:rPr>
        <w:t>ِ</w:t>
      </w:r>
      <w:r w:rsidRPr="006571AC">
        <w:rPr>
          <w:rFonts w:hint="cs"/>
          <w:sz w:val="27"/>
          <w:rtl/>
          <w:lang w:bidi="ar-IQ"/>
        </w:rPr>
        <w:t>ب</w:t>
      </w:r>
      <w:r w:rsidR="00630488" w:rsidRPr="006571AC">
        <w:rPr>
          <w:rFonts w:hint="cs"/>
          <w:sz w:val="27"/>
          <w:rtl/>
          <w:lang w:bidi="ar-IQ"/>
        </w:rPr>
        <w:t>َ</w:t>
      </w:r>
      <w:r w:rsidRPr="006571AC">
        <w:rPr>
          <w:rFonts w:hint="cs"/>
          <w:sz w:val="27"/>
          <w:rtl/>
          <w:lang w:bidi="ar-IQ"/>
        </w:rPr>
        <w:t xml:space="preserve">ل الشارع على عدم </w:t>
      </w:r>
      <w:r w:rsidRPr="006571AC">
        <w:rPr>
          <w:rFonts w:hint="cs"/>
          <w:sz w:val="27"/>
          <w:rtl/>
          <w:lang w:bidi="ar-IQ"/>
        </w:rPr>
        <w:lastRenderedPageBreak/>
        <w:t xml:space="preserve">جوازها. </w:t>
      </w:r>
    </w:p>
    <w:p w:rsidR="00381A52" w:rsidRPr="006571AC" w:rsidRDefault="00381A52" w:rsidP="00552C10">
      <w:pPr>
        <w:rPr>
          <w:sz w:val="27"/>
          <w:rtl/>
          <w:lang w:bidi="ar-IQ"/>
        </w:rPr>
      </w:pPr>
      <w:r w:rsidRPr="006571AC">
        <w:rPr>
          <w:rFonts w:hint="cs"/>
          <w:sz w:val="27"/>
          <w:rtl/>
          <w:lang w:bidi="ar-IQ"/>
        </w:rPr>
        <w:t>3ـ يبدو أن أو</w:t>
      </w:r>
      <w:r w:rsidR="00630488" w:rsidRPr="006571AC">
        <w:rPr>
          <w:rFonts w:hint="cs"/>
          <w:sz w:val="27"/>
          <w:rtl/>
          <w:lang w:bidi="ar-IQ"/>
        </w:rPr>
        <w:t>ّ</w:t>
      </w:r>
      <w:r w:rsidRPr="006571AC">
        <w:rPr>
          <w:rFonts w:hint="cs"/>
          <w:sz w:val="27"/>
          <w:rtl/>
          <w:lang w:bidi="ar-IQ"/>
        </w:rPr>
        <w:t>ل م</w:t>
      </w:r>
      <w:r w:rsidR="00630488" w:rsidRPr="006571AC">
        <w:rPr>
          <w:rFonts w:hint="cs"/>
          <w:sz w:val="27"/>
          <w:rtl/>
          <w:lang w:bidi="ar-IQ"/>
        </w:rPr>
        <w:t>َ</w:t>
      </w:r>
      <w:r w:rsidRPr="006571AC">
        <w:rPr>
          <w:rFonts w:hint="cs"/>
          <w:sz w:val="27"/>
          <w:rtl/>
          <w:lang w:bidi="ar-IQ"/>
        </w:rPr>
        <w:t>ن</w:t>
      </w:r>
      <w:r w:rsidR="00630488" w:rsidRPr="006571AC">
        <w:rPr>
          <w:rFonts w:hint="cs"/>
          <w:sz w:val="27"/>
          <w:rtl/>
          <w:lang w:bidi="ar-IQ"/>
        </w:rPr>
        <w:t>ْ</w:t>
      </w:r>
      <w:r w:rsidRPr="006571AC">
        <w:rPr>
          <w:rFonts w:hint="cs"/>
          <w:sz w:val="27"/>
          <w:rtl/>
          <w:lang w:bidi="ar-IQ"/>
        </w:rPr>
        <w:t xml:space="preserve"> استعمل مصطلح الصلح الابتدائي هو الشيخ النراقي في كتاب </w:t>
      </w:r>
      <w:r w:rsidRPr="006571AC">
        <w:rPr>
          <w:rFonts w:hint="eastAsia"/>
          <w:sz w:val="24"/>
          <w:szCs w:val="24"/>
          <w:rtl/>
        </w:rPr>
        <w:t>«</w:t>
      </w:r>
      <w:r w:rsidRPr="006571AC">
        <w:rPr>
          <w:rFonts w:hint="cs"/>
          <w:sz w:val="27"/>
          <w:rtl/>
          <w:lang w:bidi="ar-IQ"/>
        </w:rPr>
        <w:t>عوائد الأيام</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28"/>
      </w:r>
      <w:r w:rsidRPr="006571AC">
        <w:rPr>
          <w:sz w:val="27"/>
          <w:vertAlign w:val="superscript"/>
          <w:rtl/>
          <w:lang w:bidi="ar-IQ"/>
        </w:rPr>
        <w:t>)</w:t>
      </w:r>
      <w:r w:rsidRPr="006571AC">
        <w:rPr>
          <w:rFonts w:hint="cs"/>
          <w:sz w:val="27"/>
          <w:rtl/>
          <w:lang w:bidi="ar-IQ"/>
        </w:rPr>
        <w:t>، وق</w:t>
      </w:r>
      <w:r w:rsidR="00630488" w:rsidRPr="006571AC">
        <w:rPr>
          <w:rFonts w:hint="cs"/>
          <w:sz w:val="27"/>
          <w:rtl/>
          <w:lang w:bidi="ar-IQ"/>
        </w:rPr>
        <w:t>ب</w:t>
      </w:r>
      <w:r w:rsidRPr="006571AC">
        <w:rPr>
          <w:rFonts w:hint="cs"/>
          <w:sz w:val="27"/>
          <w:rtl/>
          <w:lang w:bidi="ar-IQ"/>
        </w:rPr>
        <w:t>ل ذلك لم يكن استعمال هذا المصطلح متداولاً</w:t>
      </w:r>
      <w:r w:rsidR="00630488" w:rsidRPr="006571AC">
        <w:rPr>
          <w:rFonts w:hint="cs"/>
          <w:sz w:val="27"/>
          <w:rtl/>
          <w:lang w:bidi="ar-IQ"/>
        </w:rPr>
        <w:t>.</w:t>
      </w:r>
      <w:r w:rsidRPr="006571AC">
        <w:rPr>
          <w:rFonts w:hint="cs"/>
          <w:sz w:val="27"/>
          <w:rtl/>
          <w:lang w:bidi="ar-IQ"/>
        </w:rPr>
        <w:t xml:space="preserve"> وفي كلمات العلا</w:t>
      </w:r>
      <w:r w:rsidR="00630488" w:rsidRPr="006571AC">
        <w:rPr>
          <w:rFonts w:hint="cs"/>
          <w:sz w:val="27"/>
          <w:rtl/>
          <w:lang w:bidi="ar-IQ"/>
        </w:rPr>
        <w:t>ّ</w:t>
      </w:r>
      <w:r w:rsidRPr="006571AC">
        <w:rPr>
          <w:rFonts w:hint="cs"/>
          <w:sz w:val="27"/>
          <w:rtl/>
          <w:lang w:bidi="ar-IQ"/>
        </w:rPr>
        <w:t>مة وبعده لم ي</w:t>
      </w:r>
      <w:r w:rsidR="00630488" w:rsidRPr="006571AC">
        <w:rPr>
          <w:rFonts w:hint="cs"/>
          <w:sz w:val="27"/>
          <w:rtl/>
          <w:lang w:bidi="ar-IQ"/>
        </w:rPr>
        <w:t>َ</w:t>
      </w:r>
      <w:r w:rsidRPr="006571AC">
        <w:rPr>
          <w:rFonts w:hint="cs"/>
          <w:sz w:val="27"/>
          <w:rtl/>
          <w:lang w:bidi="ar-IQ"/>
        </w:rPr>
        <w:t>ر</w:t>
      </w:r>
      <w:r w:rsidR="00630488" w:rsidRPr="006571AC">
        <w:rPr>
          <w:rFonts w:hint="cs"/>
          <w:sz w:val="27"/>
          <w:rtl/>
          <w:lang w:bidi="ar-IQ"/>
        </w:rPr>
        <w:t>ِ</w:t>
      </w:r>
      <w:r w:rsidRPr="006571AC">
        <w:rPr>
          <w:rFonts w:hint="cs"/>
          <w:sz w:val="27"/>
          <w:rtl/>
          <w:lang w:bidi="ar-IQ"/>
        </w:rPr>
        <w:t>د</w:t>
      </w:r>
      <w:r w:rsidR="00630488" w:rsidRPr="006571AC">
        <w:rPr>
          <w:rFonts w:hint="cs"/>
          <w:sz w:val="27"/>
          <w:rtl/>
          <w:lang w:bidi="ar-IQ"/>
        </w:rPr>
        <w:t>ْ</w:t>
      </w:r>
      <w:r w:rsidRPr="006571AC">
        <w:rPr>
          <w:rFonts w:hint="cs"/>
          <w:sz w:val="27"/>
          <w:rtl/>
          <w:lang w:bidi="ar-IQ"/>
        </w:rPr>
        <w:t xml:space="preserve"> سوى بحث اشتراط سبق الخصومة والنزاع في مشروعية الصلح وعدمه</w:t>
      </w:r>
      <w:r w:rsidR="00630488" w:rsidRPr="006571AC">
        <w:rPr>
          <w:rFonts w:hint="cs"/>
          <w:sz w:val="27"/>
          <w:rtl/>
          <w:lang w:bidi="ar-IQ"/>
        </w:rPr>
        <w:t xml:space="preserve">. </w:t>
      </w:r>
      <w:r w:rsidRPr="006571AC">
        <w:rPr>
          <w:rFonts w:hint="cs"/>
          <w:sz w:val="27"/>
          <w:rtl/>
          <w:lang w:bidi="ar-IQ"/>
        </w:rPr>
        <w:t xml:space="preserve">وعليه فإن اشتمال عبارة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Pr="006571AC">
        <w:rPr>
          <w:rFonts w:hint="cs"/>
          <w:sz w:val="27"/>
          <w:rtl/>
          <w:lang w:bidi="ar-IQ"/>
        </w:rPr>
        <w:t xml:space="preserve"> على التناقض لا يمكنه أن يكون إشكالاً على المسألة، فإن</w:t>
      </w:r>
      <w:r w:rsidR="00630488" w:rsidRPr="006571AC">
        <w:rPr>
          <w:rFonts w:hint="cs"/>
          <w:sz w:val="27"/>
          <w:rtl/>
          <w:lang w:bidi="ar-IQ"/>
        </w:rPr>
        <w:t>ْ</w:t>
      </w:r>
      <w:r w:rsidRPr="006571AC">
        <w:rPr>
          <w:rFonts w:hint="cs"/>
          <w:sz w:val="27"/>
          <w:rtl/>
          <w:lang w:bidi="ar-IQ"/>
        </w:rPr>
        <w:t xml:space="preserve"> كن</w:t>
      </w:r>
      <w:r w:rsidR="00630488" w:rsidRPr="006571AC">
        <w:rPr>
          <w:rFonts w:hint="cs"/>
          <w:sz w:val="27"/>
          <w:rtl/>
          <w:lang w:bidi="ar-IQ"/>
        </w:rPr>
        <w:t>ْ</w:t>
      </w:r>
      <w:r w:rsidRPr="006571AC">
        <w:rPr>
          <w:rFonts w:hint="cs"/>
          <w:sz w:val="27"/>
          <w:rtl/>
          <w:lang w:bidi="ar-IQ"/>
        </w:rPr>
        <w:t>ت</w:t>
      </w:r>
      <w:r w:rsidR="00630488" w:rsidRPr="006571AC">
        <w:rPr>
          <w:rFonts w:hint="cs"/>
          <w:sz w:val="27"/>
          <w:rtl/>
          <w:lang w:bidi="ar-IQ"/>
        </w:rPr>
        <w:t>َ</w:t>
      </w:r>
      <w:r w:rsidRPr="006571AC">
        <w:rPr>
          <w:rFonts w:hint="cs"/>
          <w:sz w:val="27"/>
          <w:rtl/>
          <w:lang w:bidi="ar-IQ"/>
        </w:rPr>
        <w:t xml:space="preserve"> لا تطيق استعمال هذه العبارة أمكن لك الاستعاضة عنها بعبارة</w:t>
      </w:r>
      <w:r w:rsidR="00630488"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إنشاء التراضي والتسالم</w:t>
      </w:r>
      <w:r w:rsidRPr="006571AC">
        <w:rPr>
          <w:rFonts w:hint="eastAsia"/>
          <w:sz w:val="24"/>
          <w:szCs w:val="24"/>
          <w:rtl/>
        </w:rPr>
        <w:t>»</w:t>
      </w:r>
      <w:r w:rsidRPr="006571AC">
        <w:rPr>
          <w:rFonts w:hint="cs"/>
          <w:sz w:val="27"/>
          <w:rtl/>
          <w:lang w:bidi="ar-IQ"/>
        </w:rPr>
        <w:t xml:space="preserve">. </w:t>
      </w:r>
    </w:p>
    <w:p w:rsidR="00381A52" w:rsidRPr="006571AC" w:rsidRDefault="00381A52" w:rsidP="004B16C6">
      <w:pPr>
        <w:spacing w:line="430" w:lineRule="exact"/>
        <w:rPr>
          <w:sz w:val="27"/>
          <w:rtl/>
          <w:lang w:bidi="ar-IQ"/>
        </w:rPr>
      </w:pPr>
    </w:p>
    <w:p w:rsidR="00381A52" w:rsidRPr="006571AC" w:rsidRDefault="00FC7A16" w:rsidP="001518B8">
      <w:pPr>
        <w:pStyle w:val="31"/>
        <w:rPr>
          <w:color w:val="auto"/>
          <w:rtl/>
          <w:lang w:bidi="ar-IQ"/>
        </w:rPr>
      </w:pPr>
      <w:bookmarkStart w:id="141" w:name="_Toc114164630"/>
      <w:r w:rsidRPr="006571AC">
        <w:rPr>
          <w:rFonts w:hint="cs"/>
          <w:color w:val="auto"/>
          <w:rtl/>
          <w:lang w:bidi="ar-IQ"/>
        </w:rPr>
        <w:t>2ـ</w:t>
      </w:r>
      <w:r w:rsidR="00381A52" w:rsidRPr="006571AC">
        <w:rPr>
          <w:rFonts w:hint="cs"/>
          <w:color w:val="auto"/>
          <w:rtl/>
          <w:lang w:bidi="ar-IQ"/>
        </w:rPr>
        <w:t xml:space="preserve"> السيرة العقلائي</w:t>
      </w:r>
      <w:r w:rsidR="00606C6E" w:rsidRPr="006571AC">
        <w:rPr>
          <w:rFonts w:hint="cs"/>
          <w:color w:val="auto"/>
          <w:rtl/>
          <w:lang w:bidi="ar-IQ"/>
        </w:rPr>
        <w:t>ّ</w:t>
      </w:r>
      <w:r w:rsidR="00381A52" w:rsidRPr="006571AC">
        <w:rPr>
          <w:rFonts w:hint="cs"/>
          <w:color w:val="auto"/>
          <w:rtl/>
          <w:lang w:bidi="ar-IQ"/>
        </w:rPr>
        <w:t>ة</w:t>
      </w:r>
      <w:bookmarkEnd w:id="141"/>
    </w:p>
    <w:p w:rsidR="00381A52" w:rsidRPr="006571AC" w:rsidRDefault="00381A52" w:rsidP="00C80FD0">
      <w:pPr>
        <w:rPr>
          <w:sz w:val="27"/>
          <w:rtl/>
          <w:lang w:bidi="ar-IQ"/>
        </w:rPr>
      </w:pPr>
      <w:r w:rsidRPr="006571AC">
        <w:rPr>
          <w:rFonts w:hint="cs"/>
          <w:sz w:val="27"/>
          <w:rtl/>
          <w:lang w:bidi="ar-IQ"/>
        </w:rPr>
        <w:t xml:space="preserve">قال كاتب مقالة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Pr="006571AC">
        <w:rPr>
          <w:rFonts w:hint="cs"/>
          <w:sz w:val="27"/>
          <w:rtl/>
          <w:lang w:bidi="ar-IQ"/>
        </w:rPr>
        <w:t xml:space="preserve"> في بيان هذا الدليل: </w:t>
      </w:r>
      <w:r w:rsidRPr="006571AC">
        <w:rPr>
          <w:rFonts w:hint="eastAsia"/>
          <w:sz w:val="24"/>
          <w:szCs w:val="24"/>
          <w:rtl/>
        </w:rPr>
        <w:t>«</w:t>
      </w:r>
      <w:r w:rsidRPr="006571AC">
        <w:rPr>
          <w:rFonts w:hint="cs"/>
          <w:sz w:val="27"/>
          <w:rtl/>
          <w:lang w:bidi="ar-IQ"/>
        </w:rPr>
        <w:t>إن عقد الصلح ـ مثل الكثير من العقود الشرعية الأخرى ـ عقد</w:t>
      </w:r>
      <w:r w:rsidR="00630488" w:rsidRPr="006571AC">
        <w:rPr>
          <w:rFonts w:hint="cs"/>
          <w:sz w:val="27"/>
          <w:rtl/>
          <w:lang w:bidi="ar-IQ"/>
        </w:rPr>
        <w:t>ٌ</w:t>
      </w:r>
      <w:r w:rsidRPr="006571AC">
        <w:rPr>
          <w:rFonts w:hint="cs"/>
          <w:sz w:val="27"/>
          <w:rtl/>
          <w:lang w:bidi="ar-IQ"/>
        </w:rPr>
        <w:t xml:space="preserve"> إمضائي، وإن الشارع المقدّ</w:t>
      </w:r>
      <w:r w:rsidR="00630488" w:rsidRPr="006571AC">
        <w:rPr>
          <w:rFonts w:hint="cs"/>
          <w:sz w:val="27"/>
          <w:rtl/>
          <w:lang w:bidi="ar-IQ"/>
        </w:rPr>
        <w:t>َ</w:t>
      </w:r>
      <w:r w:rsidRPr="006571AC">
        <w:rPr>
          <w:rFonts w:hint="cs"/>
          <w:sz w:val="27"/>
          <w:rtl/>
          <w:lang w:bidi="ar-IQ"/>
        </w:rPr>
        <w:t>س قد أمضى وأيّ</w:t>
      </w:r>
      <w:r w:rsidR="00630488" w:rsidRPr="006571AC">
        <w:rPr>
          <w:rFonts w:hint="cs"/>
          <w:sz w:val="27"/>
          <w:rtl/>
          <w:lang w:bidi="ar-IQ"/>
        </w:rPr>
        <w:t>َ</w:t>
      </w:r>
      <w:r w:rsidRPr="006571AC">
        <w:rPr>
          <w:rFonts w:hint="cs"/>
          <w:sz w:val="27"/>
          <w:rtl/>
          <w:lang w:bidi="ar-IQ"/>
        </w:rPr>
        <w:t>د عقد الصلح الشائع والمتداول بين الناس في إطار الضوابط التي سبق أن حدّ</w:t>
      </w:r>
      <w:r w:rsidR="00630488" w:rsidRPr="006571AC">
        <w:rPr>
          <w:rFonts w:hint="cs"/>
          <w:sz w:val="27"/>
          <w:rtl/>
          <w:lang w:bidi="ar-IQ"/>
        </w:rPr>
        <w:t>َ</w:t>
      </w:r>
      <w:r w:rsidRPr="006571AC">
        <w:rPr>
          <w:rFonts w:hint="cs"/>
          <w:sz w:val="27"/>
          <w:rtl/>
          <w:lang w:bidi="ar-IQ"/>
        </w:rPr>
        <w:t>د بعضاً منها</w:t>
      </w:r>
      <w:r w:rsidR="00C80FD0" w:rsidRPr="006571AC">
        <w:rPr>
          <w:rFonts w:hint="cs"/>
          <w:sz w:val="27"/>
          <w:rtl/>
          <w:lang w:bidi="ar-IQ"/>
        </w:rPr>
        <w:t>...</w:t>
      </w:r>
      <w:r w:rsidRPr="006571AC">
        <w:rPr>
          <w:rFonts w:hint="cs"/>
          <w:sz w:val="27"/>
          <w:rtl/>
          <w:lang w:bidi="ar-IQ"/>
        </w:rPr>
        <w:t xml:space="preserve"> ومن ناحية</w:t>
      </w:r>
      <w:r w:rsidR="00630488" w:rsidRPr="006571AC">
        <w:rPr>
          <w:rFonts w:hint="cs"/>
          <w:sz w:val="27"/>
          <w:rtl/>
          <w:lang w:bidi="ar-IQ"/>
        </w:rPr>
        <w:t>ٍ</w:t>
      </w:r>
      <w:r w:rsidRPr="006571AC">
        <w:rPr>
          <w:rFonts w:hint="cs"/>
          <w:sz w:val="27"/>
          <w:rtl/>
          <w:lang w:bidi="ar-IQ"/>
        </w:rPr>
        <w:t xml:space="preserve"> أخرى فإننا في العقود الإمضائية ـ وإن</w:t>
      </w:r>
      <w:r w:rsidR="00630488" w:rsidRPr="006571AC">
        <w:rPr>
          <w:rFonts w:hint="cs"/>
          <w:sz w:val="27"/>
          <w:rtl/>
          <w:lang w:bidi="ar-IQ"/>
        </w:rPr>
        <w:t>ْ</w:t>
      </w:r>
      <w:r w:rsidRPr="006571AC">
        <w:rPr>
          <w:rFonts w:hint="cs"/>
          <w:sz w:val="27"/>
          <w:rtl/>
          <w:lang w:bidi="ar-IQ"/>
        </w:rPr>
        <w:t xml:space="preserve"> لم نكن من القائلين بتوقيفية العقود، وكن</w:t>
      </w:r>
      <w:r w:rsidR="00C80FD0" w:rsidRPr="006571AC">
        <w:rPr>
          <w:rFonts w:hint="cs"/>
          <w:sz w:val="27"/>
          <w:rtl/>
          <w:lang w:bidi="ar-IQ"/>
        </w:rPr>
        <w:t>ّ</w:t>
      </w:r>
      <w:r w:rsidRPr="006571AC">
        <w:rPr>
          <w:rFonts w:hint="cs"/>
          <w:sz w:val="27"/>
          <w:rtl/>
          <w:lang w:bidi="ar-IQ"/>
        </w:rPr>
        <w:t>ا نطلب دليل</w:t>
      </w:r>
      <w:r w:rsidR="00630488" w:rsidRPr="006571AC">
        <w:rPr>
          <w:rFonts w:hint="cs"/>
          <w:sz w:val="27"/>
          <w:rtl/>
          <w:lang w:bidi="ar-IQ"/>
        </w:rPr>
        <w:t>َ</w:t>
      </w:r>
      <w:r w:rsidRPr="006571AC">
        <w:rPr>
          <w:rFonts w:hint="cs"/>
          <w:sz w:val="27"/>
          <w:rtl/>
          <w:lang w:bidi="ar-IQ"/>
        </w:rPr>
        <w:t xml:space="preserve"> اعتبار كل</w:t>
      </w:r>
      <w:r w:rsidR="00630488" w:rsidRPr="006571AC">
        <w:rPr>
          <w:rFonts w:hint="cs"/>
          <w:sz w:val="27"/>
          <w:rtl/>
          <w:lang w:bidi="ar-IQ"/>
        </w:rPr>
        <w:t>ّ</w:t>
      </w:r>
      <w:r w:rsidRPr="006571AC">
        <w:rPr>
          <w:rFonts w:hint="cs"/>
          <w:sz w:val="27"/>
          <w:rtl/>
          <w:lang w:bidi="ar-IQ"/>
        </w:rPr>
        <w:t xml:space="preserve"> عقد</w:t>
      </w:r>
      <w:r w:rsidR="00630488" w:rsidRPr="006571AC">
        <w:rPr>
          <w:rFonts w:hint="cs"/>
          <w:sz w:val="27"/>
          <w:rtl/>
          <w:lang w:bidi="ar-IQ"/>
        </w:rPr>
        <w:t>ٍ</w:t>
      </w:r>
      <w:r w:rsidRPr="006571AC">
        <w:rPr>
          <w:rFonts w:hint="cs"/>
          <w:sz w:val="27"/>
          <w:rtl/>
          <w:lang w:bidi="ar-IQ"/>
        </w:rPr>
        <w:t xml:space="preserve"> عُر</w:t>
      </w:r>
      <w:r w:rsidR="00630488" w:rsidRPr="006571AC">
        <w:rPr>
          <w:rFonts w:hint="cs"/>
          <w:sz w:val="27"/>
          <w:rtl/>
          <w:lang w:bidi="ar-IQ"/>
        </w:rPr>
        <w:t>ْ</w:t>
      </w:r>
      <w:r w:rsidRPr="006571AC">
        <w:rPr>
          <w:rFonts w:hint="cs"/>
          <w:sz w:val="27"/>
          <w:rtl/>
          <w:lang w:bidi="ar-IQ"/>
        </w:rPr>
        <w:t>في وعقلائي</w:t>
      </w:r>
      <w:r w:rsidR="00630488" w:rsidRPr="006571AC">
        <w:rPr>
          <w:rFonts w:hint="cs"/>
          <w:sz w:val="27"/>
          <w:rtl/>
          <w:lang w:bidi="ar-IQ"/>
        </w:rPr>
        <w:t>ّ</w:t>
      </w:r>
      <w:r w:rsidRPr="006571AC">
        <w:rPr>
          <w:rFonts w:hint="cs"/>
          <w:sz w:val="27"/>
          <w:rtl/>
          <w:lang w:bidi="ar-IQ"/>
        </w:rPr>
        <w:t xml:space="preserve"> من الأدلة الشرعية الخاص</w:t>
      </w:r>
      <w:r w:rsidR="00630488" w:rsidRPr="006571AC">
        <w:rPr>
          <w:rFonts w:hint="cs"/>
          <w:sz w:val="27"/>
          <w:rtl/>
          <w:lang w:bidi="ar-IQ"/>
        </w:rPr>
        <w:t>ّ</w:t>
      </w:r>
      <w:r w:rsidRPr="006571AC">
        <w:rPr>
          <w:rFonts w:hint="cs"/>
          <w:sz w:val="27"/>
          <w:rtl/>
          <w:lang w:bidi="ar-IQ"/>
        </w:rPr>
        <w:t>ة</w:t>
      </w:r>
      <w:r w:rsidR="00FC6415" w:rsidRPr="006571AC">
        <w:rPr>
          <w:rFonts w:hint="cs"/>
          <w:sz w:val="27"/>
          <w:rtl/>
          <w:lang w:bidi="ar-IQ"/>
        </w:rPr>
        <w:t xml:space="preserve"> ـ</w:t>
      </w:r>
      <w:r w:rsidR="00C80FD0" w:rsidRPr="006571AC">
        <w:rPr>
          <w:rFonts w:hint="cs"/>
          <w:sz w:val="27"/>
          <w:rtl/>
          <w:lang w:bidi="ar-IQ"/>
        </w:rPr>
        <w:t>؛ حيث</w:t>
      </w:r>
      <w:r w:rsidRPr="006571AC">
        <w:rPr>
          <w:rFonts w:hint="cs"/>
          <w:sz w:val="27"/>
          <w:rtl/>
          <w:lang w:bidi="ar-IQ"/>
        </w:rPr>
        <w:t xml:space="preserve"> يتمّ إحراز أصل المشروعية العقلائية، ويتم</w:t>
      </w:r>
      <w:r w:rsidR="00FC6415" w:rsidRPr="006571AC">
        <w:rPr>
          <w:rFonts w:hint="cs"/>
          <w:sz w:val="27"/>
          <w:rtl/>
          <w:lang w:bidi="ar-IQ"/>
        </w:rPr>
        <w:t>ّ</w:t>
      </w:r>
      <w:r w:rsidRPr="006571AC">
        <w:rPr>
          <w:rFonts w:hint="cs"/>
          <w:sz w:val="27"/>
          <w:rtl/>
          <w:lang w:bidi="ar-IQ"/>
        </w:rPr>
        <w:t xml:space="preserve"> التشكيك في شروطها وقيودها في الشريعة، ولا تكون الأدلة الشرعية مبيّنة</w:t>
      </w:r>
      <w:r w:rsidR="00C80FD0" w:rsidRPr="006571AC">
        <w:rPr>
          <w:rFonts w:hint="cs"/>
          <w:sz w:val="27"/>
          <w:rtl/>
          <w:lang w:bidi="ar-IQ"/>
        </w:rPr>
        <w:t>ً</w:t>
      </w:r>
      <w:r w:rsidRPr="006571AC">
        <w:rPr>
          <w:rFonts w:hint="cs"/>
          <w:sz w:val="27"/>
          <w:rtl/>
          <w:lang w:bidi="ar-IQ"/>
        </w:rPr>
        <w:t xml:space="preserve"> لتلك القيود، </w:t>
      </w:r>
      <w:r w:rsidR="00C80FD0" w:rsidRPr="006571AC">
        <w:rPr>
          <w:rFonts w:hint="cs"/>
          <w:sz w:val="27"/>
          <w:rtl/>
          <w:lang w:bidi="ar-IQ"/>
        </w:rPr>
        <w:t>نرجع</w:t>
      </w:r>
      <w:r w:rsidRPr="006571AC">
        <w:rPr>
          <w:rFonts w:hint="cs"/>
          <w:sz w:val="27"/>
          <w:rtl/>
          <w:lang w:bidi="ar-IQ"/>
        </w:rPr>
        <w:t xml:space="preserve"> إلى سيرة وبناء العقلاء التي تمّ إمضاؤها من ق</w:t>
      </w:r>
      <w:r w:rsidR="00C80FD0" w:rsidRPr="006571AC">
        <w:rPr>
          <w:rFonts w:hint="cs"/>
          <w:sz w:val="27"/>
          <w:rtl/>
          <w:lang w:bidi="ar-IQ"/>
        </w:rPr>
        <w:t>ِ</w:t>
      </w:r>
      <w:r w:rsidRPr="006571AC">
        <w:rPr>
          <w:rFonts w:hint="cs"/>
          <w:sz w:val="27"/>
          <w:rtl/>
          <w:lang w:bidi="ar-IQ"/>
        </w:rPr>
        <w:t>ب</w:t>
      </w:r>
      <w:r w:rsidR="00C80FD0" w:rsidRPr="006571AC">
        <w:rPr>
          <w:rFonts w:hint="cs"/>
          <w:sz w:val="27"/>
          <w:rtl/>
          <w:lang w:bidi="ar-IQ"/>
        </w:rPr>
        <w:t>َ</w:t>
      </w:r>
      <w:r w:rsidRPr="006571AC">
        <w:rPr>
          <w:rFonts w:hint="cs"/>
          <w:sz w:val="27"/>
          <w:rtl/>
          <w:lang w:bidi="ar-IQ"/>
        </w:rPr>
        <w:t>ل الشارع. وبعبارة</w:t>
      </w:r>
      <w:r w:rsidR="00FC6415" w:rsidRPr="006571AC">
        <w:rPr>
          <w:rFonts w:hint="cs"/>
          <w:sz w:val="27"/>
          <w:rtl/>
          <w:lang w:bidi="ar-IQ"/>
        </w:rPr>
        <w:t>ٍ</w:t>
      </w:r>
      <w:r w:rsidRPr="006571AC">
        <w:rPr>
          <w:rFonts w:hint="cs"/>
          <w:sz w:val="27"/>
          <w:rtl/>
          <w:lang w:bidi="ar-IQ"/>
        </w:rPr>
        <w:t xml:space="preserve"> أخرى: إن حدود بناء العقلاء ـ التي وقع أصلها مورداً لإمضاء الشارع ـ ما لم ي</w:t>
      </w:r>
      <w:r w:rsidR="002756AC" w:rsidRPr="006571AC">
        <w:rPr>
          <w:rFonts w:hint="cs"/>
          <w:sz w:val="27"/>
          <w:rtl/>
          <w:lang w:bidi="ar-IQ"/>
        </w:rPr>
        <w:t>َ</w:t>
      </w:r>
      <w:r w:rsidRPr="006571AC">
        <w:rPr>
          <w:rFonts w:hint="cs"/>
          <w:sz w:val="27"/>
          <w:rtl/>
          <w:lang w:bidi="ar-IQ"/>
        </w:rPr>
        <w:t>ر</w:t>
      </w:r>
      <w:r w:rsidR="002756AC" w:rsidRPr="006571AC">
        <w:rPr>
          <w:rFonts w:hint="cs"/>
          <w:sz w:val="27"/>
          <w:rtl/>
          <w:lang w:bidi="ar-IQ"/>
        </w:rPr>
        <w:t>ِ</w:t>
      </w:r>
      <w:r w:rsidRPr="006571AC">
        <w:rPr>
          <w:rFonts w:hint="cs"/>
          <w:sz w:val="27"/>
          <w:rtl/>
          <w:lang w:bidi="ar-IQ"/>
        </w:rPr>
        <w:t>د</w:t>
      </w:r>
      <w:r w:rsidR="002756AC" w:rsidRPr="006571AC">
        <w:rPr>
          <w:rFonts w:hint="cs"/>
          <w:sz w:val="27"/>
          <w:rtl/>
          <w:lang w:bidi="ar-IQ"/>
        </w:rPr>
        <w:t>ْ</w:t>
      </w:r>
      <w:r w:rsidRPr="006571AC">
        <w:rPr>
          <w:rFonts w:hint="cs"/>
          <w:sz w:val="27"/>
          <w:rtl/>
          <w:lang w:bidi="ar-IQ"/>
        </w:rPr>
        <w:t xml:space="preserve"> بشأنها توسعة</w:t>
      </w:r>
      <w:r w:rsidR="002756AC" w:rsidRPr="006571AC">
        <w:rPr>
          <w:rFonts w:hint="cs"/>
          <w:sz w:val="27"/>
          <w:rtl/>
          <w:lang w:bidi="ar-IQ"/>
        </w:rPr>
        <w:t>ٌ</w:t>
      </w:r>
      <w:r w:rsidRPr="006571AC">
        <w:rPr>
          <w:rFonts w:hint="cs"/>
          <w:sz w:val="27"/>
          <w:rtl/>
          <w:lang w:bidi="ar-IQ"/>
        </w:rPr>
        <w:t xml:space="preserve"> أو تضييق</w:t>
      </w:r>
      <w:r w:rsidR="002756AC" w:rsidRPr="006571AC">
        <w:rPr>
          <w:rFonts w:hint="cs"/>
          <w:sz w:val="27"/>
          <w:rtl/>
          <w:lang w:bidi="ar-IQ"/>
        </w:rPr>
        <w:t>ٌ</w:t>
      </w:r>
      <w:r w:rsidRPr="006571AC">
        <w:rPr>
          <w:rFonts w:hint="cs"/>
          <w:sz w:val="27"/>
          <w:rtl/>
          <w:lang w:bidi="ar-IQ"/>
        </w:rPr>
        <w:t xml:space="preserve"> من ق</w:t>
      </w:r>
      <w:r w:rsidR="002756AC" w:rsidRPr="006571AC">
        <w:rPr>
          <w:rFonts w:hint="cs"/>
          <w:sz w:val="27"/>
          <w:rtl/>
          <w:lang w:bidi="ar-IQ"/>
        </w:rPr>
        <w:t>ِ</w:t>
      </w:r>
      <w:r w:rsidRPr="006571AC">
        <w:rPr>
          <w:rFonts w:hint="cs"/>
          <w:sz w:val="27"/>
          <w:rtl/>
          <w:lang w:bidi="ar-IQ"/>
        </w:rPr>
        <w:t>ب</w:t>
      </w:r>
      <w:r w:rsidR="002756AC" w:rsidRPr="006571AC">
        <w:rPr>
          <w:rFonts w:hint="cs"/>
          <w:sz w:val="27"/>
          <w:rtl/>
          <w:lang w:bidi="ar-IQ"/>
        </w:rPr>
        <w:t>َ</w:t>
      </w:r>
      <w:r w:rsidRPr="006571AC">
        <w:rPr>
          <w:rFonts w:hint="cs"/>
          <w:sz w:val="27"/>
          <w:rtl/>
          <w:lang w:bidi="ar-IQ"/>
        </w:rPr>
        <w:t>ل الشارع تكون محتفظة</w:t>
      </w:r>
      <w:r w:rsidR="002756AC" w:rsidRPr="006571AC">
        <w:rPr>
          <w:rFonts w:hint="cs"/>
          <w:sz w:val="27"/>
          <w:rtl/>
          <w:lang w:bidi="ar-IQ"/>
        </w:rPr>
        <w:t>ً</w:t>
      </w:r>
      <w:r w:rsidRPr="006571AC">
        <w:rPr>
          <w:rFonts w:hint="cs"/>
          <w:sz w:val="27"/>
          <w:rtl/>
          <w:lang w:bidi="ar-IQ"/>
        </w:rPr>
        <w:t xml:space="preserve"> بحج</w:t>
      </w:r>
      <w:r w:rsidR="002756AC" w:rsidRPr="006571AC">
        <w:rPr>
          <w:rFonts w:hint="cs"/>
          <w:sz w:val="27"/>
          <w:rtl/>
          <w:lang w:bidi="ar-IQ"/>
        </w:rPr>
        <w:t>ِّي</w:t>
      </w:r>
      <w:r w:rsidRPr="006571AC">
        <w:rPr>
          <w:rFonts w:hint="cs"/>
          <w:sz w:val="27"/>
          <w:rtl/>
          <w:lang w:bidi="ar-IQ"/>
        </w:rPr>
        <w:t>تها واعتبارها. وعلى هذا الأساس لو شك</w:t>
      </w:r>
      <w:r w:rsidR="002756AC" w:rsidRPr="006571AC">
        <w:rPr>
          <w:rFonts w:hint="cs"/>
          <w:sz w:val="27"/>
          <w:rtl/>
          <w:lang w:bidi="ar-IQ"/>
        </w:rPr>
        <w:t>َ</w:t>
      </w:r>
      <w:r w:rsidRPr="006571AC">
        <w:rPr>
          <w:rFonts w:hint="cs"/>
          <w:sz w:val="27"/>
          <w:rtl/>
          <w:lang w:bidi="ar-IQ"/>
        </w:rPr>
        <w:t>ك</w:t>
      </w:r>
      <w:r w:rsidR="002756AC" w:rsidRPr="006571AC">
        <w:rPr>
          <w:rFonts w:hint="cs"/>
          <w:sz w:val="27"/>
          <w:rtl/>
          <w:lang w:bidi="ar-IQ"/>
        </w:rPr>
        <w:t>ْ</w:t>
      </w:r>
      <w:r w:rsidRPr="006571AC">
        <w:rPr>
          <w:rFonts w:hint="cs"/>
          <w:sz w:val="27"/>
          <w:rtl/>
          <w:lang w:bidi="ar-IQ"/>
        </w:rPr>
        <w:t>نا في أدل</w:t>
      </w:r>
      <w:r w:rsidR="002756AC" w:rsidRPr="006571AC">
        <w:rPr>
          <w:rFonts w:hint="cs"/>
          <w:sz w:val="27"/>
          <w:rtl/>
          <w:lang w:bidi="ar-IQ"/>
        </w:rPr>
        <w:t>ّ</w:t>
      </w:r>
      <w:r w:rsidRPr="006571AC">
        <w:rPr>
          <w:rFonts w:hint="cs"/>
          <w:sz w:val="27"/>
          <w:rtl/>
          <w:lang w:bidi="ar-IQ"/>
        </w:rPr>
        <w:t>ة مشروعية الصلح الابتدائي</w:t>
      </w:r>
      <w:r w:rsidR="002756AC" w:rsidRPr="006571AC">
        <w:rPr>
          <w:rFonts w:hint="cs"/>
          <w:sz w:val="27"/>
          <w:rtl/>
          <w:lang w:bidi="ar-IQ"/>
        </w:rPr>
        <w:t>ّ</w:t>
      </w:r>
      <w:r w:rsidRPr="006571AC">
        <w:rPr>
          <w:rFonts w:hint="cs"/>
          <w:sz w:val="27"/>
          <w:rtl/>
          <w:lang w:bidi="ar-IQ"/>
        </w:rPr>
        <w:t xml:space="preserve"> أمكن الرجوع إلى سيرة العقلاء في هذا الشأن، و</w:t>
      </w:r>
      <w:r w:rsidR="00731867" w:rsidRPr="006571AC">
        <w:rPr>
          <w:rFonts w:hint="cs"/>
          <w:sz w:val="27"/>
          <w:rtl/>
          <w:lang w:bidi="ar-IQ"/>
        </w:rPr>
        <w:t>لا شَكَّ</w:t>
      </w:r>
      <w:r w:rsidRPr="006571AC">
        <w:rPr>
          <w:rFonts w:hint="cs"/>
          <w:sz w:val="27"/>
          <w:rtl/>
          <w:lang w:bidi="ar-IQ"/>
        </w:rPr>
        <w:t xml:space="preserve"> في أن العقلاء إنما ي</w:t>
      </w:r>
      <w:r w:rsidR="002756AC" w:rsidRPr="006571AC">
        <w:rPr>
          <w:rFonts w:hint="cs"/>
          <w:sz w:val="27"/>
          <w:rtl/>
          <w:lang w:bidi="ar-IQ"/>
        </w:rPr>
        <w:t>ُ</w:t>
      </w:r>
      <w:r w:rsidRPr="006571AC">
        <w:rPr>
          <w:rFonts w:hint="cs"/>
          <w:sz w:val="27"/>
          <w:rtl/>
          <w:lang w:bidi="ar-IQ"/>
        </w:rPr>
        <w:t>ج</w:t>
      </w:r>
      <w:r w:rsidR="002756AC" w:rsidRPr="006571AC">
        <w:rPr>
          <w:rFonts w:hint="cs"/>
          <w:sz w:val="27"/>
          <w:rtl/>
          <w:lang w:bidi="ar-IQ"/>
        </w:rPr>
        <w:t>ْ</w:t>
      </w:r>
      <w:r w:rsidRPr="006571AC">
        <w:rPr>
          <w:rFonts w:hint="cs"/>
          <w:sz w:val="27"/>
          <w:rtl/>
          <w:lang w:bidi="ar-IQ"/>
        </w:rPr>
        <w:t>ر</w:t>
      </w:r>
      <w:r w:rsidR="002756AC" w:rsidRPr="006571AC">
        <w:rPr>
          <w:rFonts w:hint="cs"/>
          <w:sz w:val="27"/>
          <w:rtl/>
          <w:lang w:bidi="ar-IQ"/>
        </w:rPr>
        <w:t>ُ</w:t>
      </w:r>
      <w:r w:rsidRPr="006571AC">
        <w:rPr>
          <w:rFonts w:hint="cs"/>
          <w:sz w:val="27"/>
          <w:rtl/>
          <w:lang w:bidi="ar-IQ"/>
        </w:rPr>
        <w:t>ون عقد الصلح حيث يكون هناك نزاع</w:t>
      </w:r>
      <w:r w:rsidR="002756AC" w:rsidRPr="006571AC">
        <w:rPr>
          <w:rFonts w:hint="cs"/>
          <w:sz w:val="27"/>
          <w:rtl/>
          <w:lang w:bidi="ar-IQ"/>
        </w:rPr>
        <w:t>ٌ</w:t>
      </w:r>
      <w:r w:rsidRPr="006571AC">
        <w:rPr>
          <w:rFonts w:hint="cs"/>
          <w:sz w:val="27"/>
          <w:rtl/>
          <w:lang w:bidi="ar-IQ"/>
        </w:rPr>
        <w:t xml:space="preserve"> وخصومة سابقة، أو يحتمل وجودها في الحدّ الأدنى</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29"/>
      </w:r>
      <w:r w:rsidRPr="006571AC">
        <w:rPr>
          <w:sz w:val="27"/>
          <w:vertAlign w:val="superscript"/>
          <w:rtl/>
          <w:lang w:bidi="ar-IQ"/>
        </w:rPr>
        <w:t>)</w:t>
      </w:r>
      <w:r w:rsidRPr="006571AC">
        <w:rPr>
          <w:rFonts w:hint="cs"/>
          <w:sz w:val="27"/>
          <w:rtl/>
          <w:lang w:bidi="ar-IQ"/>
        </w:rPr>
        <w:t xml:space="preserve">. </w:t>
      </w:r>
    </w:p>
    <w:p w:rsidR="00381A52" w:rsidRPr="006571AC" w:rsidRDefault="00381A52" w:rsidP="004B16C6">
      <w:pPr>
        <w:spacing w:line="420" w:lineRule="exact"/>
        <w:rPr>
          <w:sz w:val="27"/>
          <w:rtl/>
          <w:lang w:bidi="ar-IQ"/>
        </w:rPr>
      </w:pPr>
    </w:p>
    <w:p w:rsidR="00381A52" w:rsidRPr="006571AC" w:rsidRDefault="00ED16F1" w:rsidP="001518B8">
      <w:pPr>
        <w:pStyle w:val="31"/>
        <w:rPr>
          <w:color w:val="auto"/>
          <w:rtl/>
          <w:lang w:bidi="ar-IQ"/>
        </w:rPr>
      </w:pPr>
      <w:bookmarkStart w:id="142" w:name="_Toc114164631"/>
      <w:r w:rsidRPr="006571AC">
        <w:rPr>
          <w:rFonts w:hint="cs"/>
          <w:color w:val="auto"/>
          <w:rtl/>
          <w:lang w:bidi="ar-IQ"/>
        </w:rPr>
        <w:t>تعليقٌ وبيان</w:t>
      </w:r>
      <w:bookmarkEnd w:id="142"/>
    </w:p>
    <w:p w:rsidR="00381A52" w:rsidRPr="006571AC" w:rsidRDefault="00381A52" w:rsidP="00552C10">
      <w:pPr>
        <w:rPr>
          <w:sz w:val="27"/>
          <w:rtl/>
          <w:lang w:bidi="ar-IQ"/>
        </w:rPr>
      </w:pPr>
      <w:r w:rsidRPr="006571AC">
        <w:rPr>
          <w:rFonts w:hint="cs"/>
          <w:b/>
          <w:bCs/>
          <w:sz w:val="27"/>
          <w:rtl/>
          <w:lang w:bidi="ar-IQ"/>
        </w:rPr>
        <w:t>أو</w:t>
      </w:r>
      <w:r w:rsidR="002756AC" w:rsidRPr="006571AC">
        <w:rPr>
          <w:rFonts w:hint="cs"/>
          <w:b/>
          <w:bCs/>
          <w:sz w:val="27"/>
          <w:rtl/>
          <w:lang w:bidi="ar-IQ"/>
        </w:rPr>
        <w:t>ّ</w:t>
      </w:r>
      <w:r w:rsidRPr="006571AC">
        <w:rPr>
          <w:rFonts w:hint="cs"/>
          <w:b/>
          <w:bCs/>
          <w:sz w:val="27"/>
          <w:rtl/>
          <w:lang w:bidi="ar-IQ"/>
        </w:rPr>
        <w:t>لاً</w:t>
      </w:r>
      <w:r w:rsidRPr="006571AC">
        <w:rPr>
          <w:rFonts w:hint="cs"/>
          <w:sz w:val="27"/>
          <w:rtl/>
          <w:lang w:bidi="ar-IQ"/>
        </w:rPr>
        <w:t>: يرى المشهور من الفقهاء أن هناك أدل</w:t>
      </w:r>
      <w:r w:rsidR="002756AC" w:rsidRPr="006571AC">
        <w:rPr>
          <w:rFonts w:hint="cs"/>
          <w:sz w:val="27"/>
          <w:rtl/>
          <w:lang w:bidi="ar-IQ"/>
        </w:rPr>
        <w:t>ّ</w:t>
      </w:r>
      <w:r w:rsidRPr="006571AC">
        <w:rPr>
          <w:rFonts w:hint="cs"/>
          <w:sz w:val="27"/>
          <w:rtl/>
          <w:lang w:bidi="ar-IQ"/>
        </w:rPr>
        <w:t>ة</w:t>
      </w:r>
      <w:r w:rsidR="002756AC" w:rsidRPr="006571AC">
        <w:rPr>
          <w:rFonts w:hint="cs"/>
          <w:sz w:val="27"/>
          <w:rtl/>
          <w:lang w:bidi="ar-IQ"/>
        </w:rPr>
        <w:t>ً</w:t>
      </w:r>
      <w:r w:rsidRPr="006571AC">
        <w:rPr>
          <w:rFonts w:hint="cs"/>
          <w:sz w:val="27"/>
          <w:rtl/>
          <w:lang w:bidi="ar-IQ"/>
        </w:rPr>
        <w:t xml:space="preserve"> موضّ</w:t>
      </w:r>
      <w:r w:rsidR="002756AC" w:rsidRPr="006571AC">
        <w:rPr>
          <w:rFonts w:hint="cs"/>
          <w:sz w:val="27"/>
          <w:rtl/>
          <w:lang w:bidi="ar-IQ"/>
        </w:rPr>
        <w:t>ِ</w:t>
      </w:r>
      <w:r w:rsidRPr="006571AC">
        <w:rPr>
          <w:rFonts w:hint="cs"/>
          <w:sz w:val="27"/>
          <w:rtl/>
          <w:lang w:bidi="ar-IQ"/>
        </w:rPr>
        <w:t>حة</w:t>
      </w:r>
      <w:r w:rsidR="002756AC" w:rsidRPr="006571AC">
        <w:rPr>
          <w:rFonts w:hint="cs"/>
          <w:sz w:val="27"/>
          <w:rtl/>
          <w:lang w:bidi="ar-IQ"/>
        </w:rPr>
        <w:t>ً</w:t>
      </w:r>
      <w:r w:rsidRPr="006571AC">
        <w:rPr>
          <w:rFonts w:hint="cs"/>
          <w:sz w:val="27"/>
          <w:rtl/>
          <w:lang w:bidi="ar-IQ"/>
        </w:rPr>
        <w:t xml:space="preserve"> للقيود في</w:t>
      </w:r>
      <w:r w:rsidR="002756AC" w:rsidRPr="006571AC">
        <w:rPr>
          <w:rFonts w:hint="cs"/>
          <w:sz w:val="27"/>
          <w:rtl/>
          <w:lang w:bidi="ar-IQ"/>
        </w:rPr>
        <w:t xml:space="preserve"> </w:t>
      </w:r>
      <w:r w:rsidRPr="006571AC">
        <w:rPr>
          <w:rFonts w:hint="cs"/>
          <w:sz w:val="27"/>
          <w:rtl/>
          <w:lang w:bidi="ar-IQ"/>
        </w:rPr>
        <w:t>ما نحن فيه</w:t>
      </w:r>
      <w:r w:rsidR="002756AC" w:rsidRPr="006571AC">
        <w:rPr>
          <w:rFonts w:hint="cs"/>
          <w:sz w:val="27"/>
          <w:rtl/>
          <w:lang w:bidi="ar-IQ"/>
        </w:rPr>
        <w:t>؛</w:t>
      </w:r>
      <w:r w:rsidRPr="006571AC">
        <w:rPr>
          <w:rFonts w:hint="cs"/>
          <w:sz w:val="27"/>
          <w:rtl/>
          <w:lang w:bidi="ar-IQ"/>
        </w:rPr>
        <w:t xml:space="preserve"> فمن ناحية</w:t>
      </w:r>
      <w:r w:rsidR="002756AC" w:rsidRPr="006571AC">
        <w:rPr>
          <w:rFonts w:hint="cs"/>
          <w:sz w:val="27"/>
          <w:rtl/>
          <w:lang w:bidi="ar-IQ"/>
        </w:rPr>
        <w:t>ٍ</w:t>
      </w:r>
      <w:r w:rsidRPr="006571AC">
        <w:rPr>
          <w:rFonts w:hint="cs"/>
          <w:sz w:val="27"/>
          <w:rtl/>
          <w:lang w:bidi="ar-IQ"/>
        </w:rPr>
        <w:t xml:space="preserve"> هناك العمومات والإطلاقات التي يمكن التمسّ</w:t>
      </w:r>
      <w:r w:rsidR="002756AC" w:rsidRPr="006571AC">
        <w:rPr>
          <w:rFonts w:hint="cs"/>
          <w:sz w:val="27"/>
          <w:rtl/>
          <w:lang w:bidi="ar-IQ"/>
        </w:rPr>
        <w:t>ُ</w:t>
      </w:r>
      <w:r w:rsidRPr="006571AC">
        <w:rPr>
          <w:rFonts w:hint="cs"/>
          <w:sz w:val="27"/>
          <w:rtl/>
          <w:lang w:bidi="ar-IQ"/>
        </w:rPr>
        <w:t>ك بها، ونفي شرطي</w:t>
      </w:r>
      <w:r w:rsidR="002756AC" w:rsidRPr="006571AC">
        <w:rPr>
          <w:rFonts w:hint="cs"/>
          <w:sz w:val="27"/>
          <w:rtl/>
          <w:lang w:bidi="ar-IQ"/>
        </w:rPr>
        <w:t>ّ</w:t>
      </w:r>
      <w:r w:rsidRPr="006571AC">
        <w:rPr>
          <w:rFonts w:hint="cs"/>
          <w:sz w:val="27"/>
          <w:rtl/>
          <w:lang w:bidi="ar-IQ"/>
        </w:rPr>
        <w:t xml:space="preserve">ة </w:t>
      </w:r>
      <w:r w:rsidRPr="006571AC">
        <w:rPr>
          <w:rFonts w:hint="eastAsia"/>
          <w:sz w:val="24"/>
          <w:szCs w:val="24"/>
          <w:rtl/>
        </w:rPr>
        <w:t>«</w:t>
      </w:r>
      <w:r w:rsidRPr="006571AC">
        <w:rPr>
          <w:rFonts w:hint="cs"/>
          <w:sz w:val="27"/>
          <w:rtl/>
          <w:lang w:bidi="ar-IQ"/>
        </w:rPr>
        <w:t xml:space="preserve">لزوم سبق </w:t>
      </w:r>
      <w:r w:rsidRPr="006571AC">
        <w:rPr>
          <w:rFonts w:hint="cs"/>
          <w:sz w:val="27"/>
          <w:rtl/>
          <w:lang w:bidi="ar-IQ"/>
        </w:rPr>
        <w:lastRenderedPageBreak/>
        <w:t>الخصومة والنزاع في مشروعية الصلح</w:t>
      </w:r>
      <w:r w:rsidRPr="006571AC">
        <w:rPr>
          <w:rFonts w:hint="eastAsia"/>
          <w:sz w:val="24"/>
          <w:szCs w:val="24"/>
          <w:rtl/>
        </w:rPr>
        <w:t>»</w:t>
      </w:r>
      <w:r w:rsidR="002756AC" w:rsidRPr="006571AC">
        <w:rPr>
          <w:rFonts w:hint="cs"/>
          <w:sz w:val="27"/>
          <w:rtl/>
          <w:lang w:bidi="ar-IQ"/>
        </w:rPr>
        <w:t>؛</w:t>
      </w:r>
      <w:r w:rsidRPr="006571AC">
        <w:rPr>
          <w:rFonts w:hint="cs"/>
          <w:sz w:val="27"/>
          <w:rtl/>
          <w:lang w:bidi="ar-IQ"/>
        </w:rPr>
        <w:t xml:space="preserve"> بالإضافة إلى أن هناك أدل</w:t>
      </w:r>
      <w:r w:rsidR="002756AC" w:rsidRPr="006571AC">
        <w:rPr>
          <w:rFonts w:hint="cs"/>
          <w:sz w:val="27"/>
          <w:rtl/>
          <w:lang w:bidi="ar-IQ"/>
        </w:rPr>
        <w:t>ّ</w:t>
      </w:r>
      <w:r w:rsidRPr="006571AC">
        <w:rPr>
          <w:rFonts w:hint="cs"/>
          <w:sz w:val="27"/>
          <w:rtl/>
          <w:lang w:bidi="ar-IQ"/>
        </w:rPr>
        <w:t>ة</w:t>
      </w:r>
      <w:r w:rsidR="002756AC" w:rsidRPr="006571AC">
        <w:rPr>
          <w:rFonts w:hint="cs"/>
          <w:sz w:val="27"/>
          <w:rtl/>
          <w:lang w:bidi="ar-IQ"/>
        </w:rPr>
        <w:t>ً</w:t>
      </w:r>
      <w:r w:rsidRPr="006571AC">
        <w:rPr>
          <w:rFonts w:hint="cs"/>
          <w:sz w:val="27"/>
          <w:rtl/>
          <w:lang w:bidi="ar-IQ"/>
        </w:rPr>
        <w:t xml:space="preserve"> لفظي</w:t>
      </w:r>
      <w:r w:rsidR="002756AC" w:rsidRPr="006571AC">
        <w:rPr>
          <w:rFonts w:hint="cs"/>
          <w:sz w:val="27"/>
          <w:rtl/>
          <w:lang w:bidi="ar-IQ"/>
        </w:rPr>
        <w:t>ّ</w:t>
      </w:r>
      <w:r w:rsidRPr="006571AC">
        <w:rPr>
          <w:rFonts w:hint="cs"/>
          <w:sz w:val="27"/>
          <w:rtl/>
          <w:lang w:bidi="ar-IQ"/>
        </w:rPr>
        <w:t>ة</w:t>
      </w:r>
      <w:r w:rsidR="002756AC" w:rsidRPr="006571AC">
        <w:rPr>
          <w:rFonts w:hint="cs"/>
          <w:sz w:val="27"/>
          <w:rtl/>
          <w:lang w:bidi="ar-IQ"/>
        </w:rPr>
        <w:t>ً</w:t>
      </w:r>
      <w:r w:rsidRPr="006571AC">
        <w:rPr>
          <w:rFonts w:hint="cs"/>
          <w:sz w:val="27"/>
          <w:rtl/>
          <w:lang w:bidi="ar-IQ"/>
        </w:rPr>
        <w:t xml:space="preserve"> خاصّة</w:t>
      </w:r>
      <w:r w:rsidR="002756AC" w:rsidRPr="006571AC">
        <w:rPr>
          <w:rFonts w:hint="cs"/>
          <w:sz w:val="27"/>
          <w:rtl/>
          <w:lang w:bidi="ar-IQ"/>
        </w:rPr>
        <w:t>ً</w:t>
      </w:r>
      <w:r w:rsidRPr="006571AC">
        <w:rPr>
          <w:rFonts w:hint="cs"/>
          <w:sz w:val="27"/>
          <w:rtl/>
          <w:lang w:bidi="ar-IQ"/>
        </w:rPr>
        <w:t xml:space="preserve"> في المقام، ومع وجودها لا يكون هناك موضع</w:t>
      </w:r>
      <w:r w:rsidR="002756AC" w:rsidRPr="006571AC">
        <w:rPr>
          <w:rFonts w:hint="cs"/>
          <w:sz w:val="27"/>
          <w:rtl/>
          <w:lang w:bidi="ar-IQ"/>
        </w:rPr>
        <w:t>ٌ</w:t>
      </w:r>
      <w:r w:rsidRPr="006571AC">
        <w:rPr>
          <w:rFonts w:hint="cs"/>
          <w:sz w:val="27"/>
          <w:rtl/>
          <w:lang w:bidi="ar-IQ"/>
        </w:rPr>
        <w:t xml:space="preserve"> للرجوع إلى سيرة العقلاء، كما أشار إلى ذلك صاحب المقالة نفسه. </w:t>
      </w:r>
    </w:p>
    <w:p w:rsidR="00381A52" w:rsidRPr="006571AC" w:rsidRDefault="00381A52" w:rsidP="00C80FD0">
      <w:pPr>
        <w:spacing w:line="420" w:lineRule="exact"/>
        <w:rPr>
          <w:sz w:val="27"/>
          <w:rtl/>
          <w:lang w:bidi="ar-IQ"/>
        </w:rPr>
      </w:pPr>
      <w:r w:rsidRPr="006571AC">
        <w:rPr>
          <w:rFonts w:hint="cs"/>
          <w:b/>
          <w:bCs/>
          <w:sz w:val="27"/>
          <w:rtl/>
          <w:lang w:bidi="ar-IQ"/>
        </w:rPr>
        <w:t>وثانياً</w:t>
      </w:r>
      <w:r w:rsidRPr="006571AC">
        <w:rPr>
          <w:rFonts w:hint="cs"/>
          <w:sz w:val="27"/>
          <w:rtl/>
          <w:lang w:bidi="ar-IQ"/>
        </w:rPr>
        <w:t>: حت</w:t>
      </w:r>
      <w:r w:rsidR="002756AC" w:rsidRPr="006571AC">
        <w:rPr>
          <w:rFonts w:hint="cs"/>
          <w:sz w:val="27"/>
          <w:rtl/>
          <w:lang w:bidi="ar-IQ"/>
        </w:rPr>
        <w:t>ّ</w:t>
      </w:r>
      <w:r w:rsidRPr="006571AC">
        <w:rPr>
          <w:rFonts w:hint="cs"/>
          <w:sz w:val="27"/>
          <w:rtl/>
          <w:lang w:bidi="ar-IQ"/>
        </w:rPr>
        <w:t>ى لو سل</w:t>
      </w:r>
      <w:r w:rsidR="002756AC" w:rsidRPr="006571AC">
        <w:rPr>
          <w:rFonts w:hint="cs"/>
          <w:sz w:val="27"/>
          <w:rtl/>
          <w:lang w:bidi="ar-IQ"/>
        </w:rPr>
        <w:t>َّ</w:t>
      </w:r>
      <w:r w:rsidRPr="006571AC">
        <w:rPr>
          <w:rFonts w:hint="cs"/>
          <w:sz w:val="27"/>
          <w:rtl/>
          <w:lang w:bidi="ar-IQ"/>
        </w:rPr>
        <w:t>منا عدم وجود مثل هذه الأدل</w:t>
      </w:r>
      <w:r w:rsidR="002756AC" w:rsidRPr="006571AC">
        <w:rPr>
          <w:rFonts w:hint="cs"/>
          <w:sz w:val="27"/>
          <w:rtl/>
          <w:lang w:bidi="ar-IQ"/>
        </w:rPr>
        <w:t>ّ</w:t>
      </w:r>
      <w:r w:rsidRPr="006571AC">
        <w:rPr>
          <w:rFonts w:hint="cs"/>
          <w:sz w:val="27"/>
          <w:rtl/>
          <w:lang w:bidi="ar-IQ"/>
        </w:rPr>
        <w:t>ة المبيّ</w:t>
      </w:r>
      <w:r w:rsidR="002756AC" w:rsidRPr="006571AC">
        <w:rPr>
          <w:rFonts w:hint="cs"/>
          <w:sz w:val="27"/>
          <w:rtl/>
          <w:lang w:bidi="ar-IQ"/>
        </w:rPr>
        <w:t>ِ</w:t>
      </w:r>
      <w:r w:rsidRPr="006571AC">
        <w:rPr>
          <w:rFonts w:hint="cs"/>
          <w:sz w:val="27"/>
          <w:rtl/>
          <w:lang w:bidi="ar-IQ"/>
        </w:rPr>
        <w:t>نة، إلا</w:t>
      </w:r>
      <w:r w:rsidR="002756AC" w:rsidRPr="006571AC">
        <w:rPr>
          <w:rFonts w:hint="cs"/>
          <w:sz w:val="27"/>
          <w:rtl/>
          <w:lang w:bidi="ar-IQ"/>
        </w:rPr>
        <w:t>ّ</w:t>
      </w:r>
      <w:r w:rsidRPr="006571AC">
        <w:rPr>
          <w:rFonts w:hint="cs"/>
          <w:sz w:val="27"/>
          <w:rtl/>
          <w:lang w:bidi="ar-IQ"/>
        </w:rPr>
        <w:t xml:space="preserve"> أن هذا الاد</w:t>
      </w:r>
      <w:r w:rsidR="0044156F" w:rsidRPr="006571AC">
        <w:rPr>
          <w:rFonts w:hint="cs"/>
          <w:sz w:val="27"/>
          <w:rtl/>
          <w:lang w:bidi="ar-IQ"/>
        </w:rPr>
        <w:t>ّ</w:t>
      </w:r>
      <w:r w:rsidRPr="006571AC">
        <w:rPr>
          <w:rFonts w:hint="cs"/>
          <w:sz w:val="27"/>
          <w:rtl/>
          <w:lang w:bidi="ar-IQ"/>
        </w:rPr>
        <w:t xml:space="preserve">عاء القائل بأنه </w:t>
      </w:r>
      <w:r w:rsidRPr="006571AC">
        <w:rPr>
          <w:rFonts w:hint="eastAsia"/>
          <w:sz w:val="24"/>
          <w:szCs w:val="24"/>
          <w:rtl/>
        </w:rPr>
        <w:t>«</w:t>
      </w:r>
      <w:r w:rsidR="00731867" w:rsidRPr="006571AC">
        <w:rPr>
          <w:rFonts w:hint="cs"/>
          <w:sz w:val="27"/>
          <w:rtl/>
          <w:lang w:bidi="ar-IQ"/>
        </w:rPr>
        <w:t>لا شَكَّ</w:t>
      </w:r>
      <w:r w:rsidRPr="006571AC">
        <w:rPr>
          <w:rFonts w:hint="cs"/>
          <w:sz w:val="27"/>
          <w:rtl/>
          <w:lang w:bidi="ar-IQ"/>
        </w:rPr>
        <w:t xml:space="preserve"> في أن العقلاء إنما ي</w:t>
      </w:r>
      <w:r w:rsidR="0044156F" w:rsidRPr="006571AC">
        <w:rPr>
          <w:rFonts w:hint="cs"/>
          <w:sz w:val="27"/>
          <w:rtl/>
          <w:lang w:bidi="ar-IQ"/>
        </w:rPr>
        <w:t>ُ</w:t>
      </w:r>
      <w:r w:rsidRPr="006571AC">
        <w:rPr>
          <w:rFonts w:hint="cs"/>
          <w:sz w:val="27"/>
          <w:rtl/>
          <w:lang w:bidi="ar-IQ"/>
        </w:rPr>
        <w:t>ج</w:t>
      </w:r>
      <w:r w:rsidR="0044156F" w:rsidRPr="006571AC">
        <w:rPr>
          <w:rFonts w:hint="cs"/>
          <w:sz w:val="27"/>
          <w:rtl/>
          <w:lang w:bidi="ar-IQ"/>
        </w:rPr>
        <w:t>ْ</w:t>
      </w:r>
      <w:r w:rsidRPr="006571AC">
        <w:rPr>
          <w:rFonts w:hint="cs"/>
          <w:sz w:val="27"/>
          <w:rtl/>
          <w:lang w:bidi="ar-IQ"/>
        </w:rPr>
        <w:t>ر</w:t>
      </w:r>
      <w:r w:rsidR="0044156F" w:rsidRPr="006571AC">
        <w:rPr>
          <w:rFonts w:hint="cs"/>
          <w:sz w:val="27"/>
          <w:rtl/>
          <w:lang w:bidi="ar-IQ"/>
        </w:rPr>
        <w:t>ُ</w:t>
      </w:r>
      <w:r w:rsidRPr="006571AC">
        <w:rPr>
          <w:rFonts w:hint="cs"/>
          <w:sz w:val="27"/>
          <w:rtl/>
          <w:lang w:bidi="ar-IQ"/>
        </w:rPr>
        <w:t>ون عقد الصلح إذا كانت هناك خصومة</w:t>
      </w:r>
      <w:r w:rsidR="0044156F" w:rsidRPr="006571AC">
        <w:rPr>
          <w:rFonts w:hint="cs"/>
          <w:sz w:val="27"/>
          <w:rtl/>
          <w:lang w:bidi="ar-IQ"/>
        </w:rPr>
        <w:t>ٌ</w:t>
      </w:r>
      <w:r w:rsidRPr="006571AC">
        <w:rPr>
          <w:rFonts w:hint="cs"/>
          <w:sz w:val="27"/>
          <w:rtl/>
          <w:lang w:bidi="ar-IQ"/>
        </w:rPr>
        <w:t xml:space="preserve"> سابقة، أو يُحتمل وجودها في الحد</w:t>
      </w:r>
      <w:r w:rsidR="0044156F" w:rsidRPr="006571AC">
        <w:rPr>
          <w:rFonts w:hint="cs"/>
          <w:sz w:val="27"/>
          <w:rtl/>
          <w:lang w:bidi="ar-IQ"/>
        </w:rPr>
        <w:t>ّ</w:t>
      </w:r>
      <w:r w:rsidRPr="006571AC">
        <w:rPr>
          <w:rFonts w:hint="cs"/>
          <w:sz w:val="27"/>
          <w:rtl/>
          <w:lang w:bidi="ar-IQ"/>
        </w:rPr>
        <w:t xml:space="preserve"> الأدنى</w:t>
      </w:r>
      <w:r w:rsidRPr="006571AC">
        <w:rPr>
          <w:rFonts w:hint="eastAsia"/>
          <w:sz w:val="24"/>
          <w:szCs w:val="24"/>
          <w:rtl/>
        </w:rPr>
        <w:t>»</w:t>
      </w:r>
      <w:r w:rsidRPr="006571AC">
        <w:rPr>
          <w:rFonts w:hint="cs"/>
          <w:sz w:val="27"/>
          <w:rtl/>
          <w:lang w:bidi="ar-IQ"/>
        </w:rPr>
        <w:t xml:space="preserve"> هو مجرّ</w:t>
      </w:r>
      <w:r w:rsidR="0044156F" w:rsidRPr="006571AC">
        <w:rPr>
          <w:rFonts w:hint="cs"/>
          <w:sz w:val="27"/>
          <w:rtl/>
          <w:lang w:bidi="ar-IQ"/>
        </w:rPr>
        <w:t>َ</w:t>
      </w:r>
      <w:r w:rsidRPr="006571AC">
        <w:rPr>
          <w:rFonts w:hint="cs"/>
          <w:sz w:val="27"/>
          <w:rtl/>
          <w:lang w:bidi="ar-IQ"/>
        </w:rPr>
        <w:t>د ادعاء</w:t>
      </w:r>
      <w:r w:rsidR="0044156F" w:rsidRPr="006571AC">
        <w:rPr>
          <w:rFonts w:hint="cs"/>
          <w:sz w:val="27"/>
          <w:rtl/>
          <w:lang w:bidi="ar-IQ"/>
        </w:rPr>
        <w:t>ٍ</w:t>
      </w:r>
      <w:r w:rsidRPr="006571AC">
        <w:rPr>
          <w:rFonts w:hint="cs"/>
          <w:sz w:val="27"/>
          <w:rtl/>
          <w:lang w:bidi="ar-IQ"/>
        </w:rPr>
        <w:t xml:space="preserve"> من دون دليل</w:t>
      </w:r>
      <w:r w:rsidR="0044156F" w:rsidRPr="006571AC">
        <w:rPr>
          <w:rFonts w:hint="cs"/>
          <w:sz w:val="27"/>
          <w:rtl/>
          <w:lang w:bidi="ar-IQ"/>
        </w:rPr>
        <w:t>ٍ</w:t>
      </w:r>
      <w:r w:rsidRPr="006571AC">
        <w:rPr>
          <w:rFonts w:hint="cs"/>
          <w:sz w:val="27"/>
          <w:rtl/>
          <w:lang w:bidi="ar-IQ"/>
        </w:rPr>
        <w:t>؛ لأن بناء العقلاء قد استقرّ على أصل التراضي والتسالم، وإن موارد النزاع المتحق</w:t>
      </w:r>
      <w:r w:rsidR="0044156F" w:rsidRPr="006571AC">
        <w:rPr>
          <w:rFonts w:hint="cs"/>
          <w:sz w:val="27"/>
          <w:rtl/>
          <w:lang w:bidi="ar-IQ"/>
        </w:rPr>
        <w:t>ِّ</w:t>
      </w:r>
      <w:r w:rsidRPr="006571AC">
        <w:rPr>
          <w:rFonts w:hint="cs"/>
          <w:sz w:val="27"/>
          <w:rtl/>
          <w:lang w:bidi="ar-IQ"/>
        </w:rPr>
        <w:t>ق أو المحتمل من مصاديق هذا التراضي</w:t>
      </w:r>
      <w:r w:rsidR="0044156F" w:rsidRPr="006571AC">
        <w:rPr>
          <w:rFonts w:hint="cs"/>
          <w:sz w:val="27"/>
          <w:rtl/>
          <w:lang w:bidi="ar-IQ"/>
        </w:rPr>
        <w:t>.</w:t>
      </w:r>
      <w:r w:rsidRPr="006571AC">
        <w:rPr>
          <w:rFonts w:hint="cs"/>
          <w:sz w:val="27"/>
          <w:rtl/>
          <w:lang w:bidi="ar-IQ"/>
        </w:rPr>
        <w:t xml:space="preserve"> وفي الحقيقة لا يمكن القول: </w:t>
      </w:r>
      <w:r w:rsidRPr="006571AC">
        <w:rPr>
          <w:rFonts w:hint="eastAsia"/>
          <w:sz w:val="24"/>
          <w:szCs w:val="24"/>
          <w:rtl/>
        </w:rPr>
        <w:t>«</w:t>
      </w:r>
      <w:r w:rsidRPr="006571AC">
        <w:rPr>
          <w:rFonts w:hint="cs"/>
          <w:sz w:val="27"/>
          <w:rtl/>
          <w:lang w:bidi="ar-IQ"/>
        </w:rPr>
        <w:t>إن السيرة من الأدل</w:t>
      </w:r>
      <w:r w:rsidR="0044156F" w:rsidRPr="006571AC">
        <w:rPr>
          <w:rFonts w:hint="cs"/>
          <w:sz w:val="27"/>
          <w:rtl/>
          <w:lang w:bidi="ar-IQ"/>
        </w:rPr>
        <w:t>ّ</w:t>
      </w:r>
      <w:r w:rsidRPr="006571AC">
        <w:rPr>
          <w:rFonts w:hint="cs"/>
          <w:sz w:val="27"/>
          <w:rtl/>
          <w:lang w:bidi="ar-IQ"/>
        </w:rPr>
        <w:t>ة اللبّ</w:t>
      </w:r>
      <w:r w:rsidR="0044156F" w:rsidRPr="006571AC">
        <w:rPr>
          <w:rFonts w:hint="cs"/>
          <w:sz w:val="27"/>
          <w:rtl/>
          <w:lang w:bidi="ar-IQ"/>
        </w:rPr>
        <w:t>ِ</w:t>
      </w:r>
      <w:r w:rsidRPr="006571AC">
        <w:rPr>
          <w:rFonts w:hint="cs"/>
          <w:sz w:val="27"/>
          <w:rtl/>
          <w:lang w:bidi="ar-IQ"/>
        </w:rPr>
        <w:t>ية، ويجب علينا أن نتمسّ</w:t>
      </w:r>
      <w:r w:rsidR="0044156F" w:rsidRPr="006571AC">
        <w:rPr>
          <w:rFonts w:hint="cs"/>
          <w:sz w:val="27"/>
          <w:rtl/>
          <w:lang w:bidi="ar-IQ"/>
        </w:rPr>
        <w:t>َ</w:t>
      </w:r>
      <w:r w:rsidRPr="006571AC">
        <w:rPr>
          <w:rFonts w:hint="cs"/>
          <w:sz w:val="27"/>
          <w:rtl/>
          <w:lang w:bidi="ar-IQ"/>
        </w:rPr>
        <w:t>ك بالق</w:t>
      </w:r>
      <w:r w:rsidR="0044156F" w:rsidRPr="006571AC">
        <w:rPr>
          <w:rFonts w:hint="cs"/>
          <w:sz w:val="27"/>
          <w:rtl/>
          <w:lang w:bidi="ar-IQ"/>
        </w:rPr>
        <w:t>َ</w:t>
      </w:r>
      <w:r w:rsidRPr="006571AC">
        <w:rPr>
          <w:rFonts w:hint="cs"/>
          <w:sz w:val="27"/>
          <w:rtl/>
          <w:lang w:bidi="ar-IQ"/>
        </w:rPr>
        <w:t>د</w:t>
      </w:r>
      <w:r w:rsidR="0044156F" w:rsidRPr="006571AC">
        <w:rPr>
          <w:rFonts w:hint="cs"/>
          <w:sz w:val="27"/>
          <w:rtl/>
          <w:lang w:bidi="ar-IQ"/>
        </w:rPr>
        <w:t>َ</w:t>
      </w:r>
      <w:r w:rsidRPr="006571AC">
        <w:rPr>
          <w:rFonts w:hint="cs"/>
          <w:sz w:val="27"/>
          <w:rtl/>
          <w:lang w:bidi="ar-IQ"/>
        </w:rPr>
        <w:t>ر المتيقّ</w:t>
      </w:r>
      <w:r w:rsidR="0044156F" w:rsidRPr="006571AC">
        <w:rPr>
          <w:rFonts w:hint="cs"/>
          <w:sz w:val="27"/>
          <w:rtl/>
          <w:lang w:bidi="ar-IQ"/>
        </w:rPr>
        <w:t>َ</w:t>
      </w:r>
      <w:r w:rsidRPr="006571AC">
        <w:rPr>
          <w:rFonts w:hint="cs"/>
          <w:sz w:val="27"/>
          <w:rtl/>
          <w:lang w:bidi="ar-IQ"/>
        </w:rPr>
        <w:t>ن منها، وهو وجود الخصومة السابقة أو المحتملة</w:t>
      </w:r>
      <w:r w:rsidRPr="006571AC">
        <w:rPr>
          <w:rFonts w:hint="eastAsia"/>
          <w:sz w:val="24"/>
          <w:szCs w:val="24"/>
          <w:rtl/>
        </w:rPr>
        <w:t>»</w:t>
      </w:r>
      <w:r w:rsidRPr="006571AC">
        <w:rPr>
          <w:rFonts w:hint="cs"/>
          <w:sz w:val="27"/>
          <w:rtl/>
          <w:lang w:bidi="ar-IQ"/>
        </w:rPr>
        <w:t>؛ لأن أصل انعقاد سيرة العقلاء على نفس التراضي والتسالم في الأمور أمر</w:t>
      </w:r>
      <w:r w:rsidR="00FF1224" w:rsidRPr="006571AC">
        <w:rPr>
          <w:rFonts w:hint="cs"/>
          <w:sz w:val="27"/>
          <w:rtl/>
          <w:lang w:bidi="ar-IQ"/>
        </w:rPr>
        <w:t>ٌ</w:t>
      </w:r>
      <w:r w:rsidRPr="006571AC">
        <w:rPr>
          <w:rFonts w:hint="cs"/>
          <w:sz w:val="27"/>
          <w:rtl/>
          <w:lang w:bidi="ar-IQ"/>
        </w:rPr>
        <w:t xml:space="preserve"> لا يقبل الإنكار. </w:t>
      </w:r>
    </w:p>
    <w:p w:rsidR="004B16C6" w:rsidRPr="006571AC" w:rsidRDefault="004B16C6" w:rsidP="002C3B7A">
      <w:pPr>
        <w:spacing w:line="430" w:lineRule="exact"/>
        <w:rPr>
          <w:sz w:val="27"/>
          <w:rtl/>
        </w:rPr>
      </w:pPr>
    </w:p>
    <w:p w:rsidR="00381A52" w:rsidRPr="006571AC" w:rsidRDefault="00FC7A16" w:rsidP="001518B8">
      <w:pPr>
        <w:pStyle w:val="31"/>
        <w:rPr>
          <w:color w:val="auto"/>
          <w:rtl/>
          <w:lang w:bidi="ar-IQ"/>
        </w:rPr>
      </w:pPr>
      <w:bookmarkStart w:id="143" w:name="_Toc114164632"/>
      <w:r w:rsidRPr="006571AC">
        <w:rPr>
          <w:rFonts w:hint="cs"/>
          <w:color w:val="auto"/>
          <w:rtl/>
          <w:lang w:bidi="ar-IQ"/>
        </w:rPr>
        <w:t>3ـ</w:t>
      </w:r>
      <w:r w:rsidR="00381A52" w:rsidRPr="006571AC">
        <w:rPr>
          <w:rFonts w:hint="cs"/>
          <w:color w:val="auto"/>
          <w:rtl/>
          <w:lang w:bidi="ar-IQ"/>
        </w:rPr>
        <w:t xml:space="preserve"> العقل والحكمة</w:t>
      </w:r>
      <w:bookmarkEnd w:id="143"/>
    </w:p>
    <w:p w:rsidR="00381A52" w:rsidRPr="006571AC" w:rsidRDefault="00381A52" w:rsidP="00C80FD0">
      <w:pPr>
        <w:spacing w:line="420" w:lineRule="exact"/>
        <w:rPr>
          <w:sz w:val="27"/>
          <w:rtl/>
          <w:lang w:bidi="ar-IQ"/>
        </w:rPr>
      </w:pPr>
      <w:r w:rsidRPr="006571AC">
        <w:rPr>
          <w:rFonts w:hint="cs"/>
          <w:sz w:val="27"/>
          <w:rtl/>
          <w:lang w:bidi="ar-IQ"/>
        </w:rPr>
        <w:t xml:space="preserve">جاء في مقالة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Pr="006571AC">
        <w:rPr>
          <w:rFonts w:hint="cs"/>
          <w:sz w:val="27"/>
          <w:rtl/>
          <w:lang w:bidi="ar-IQ"/>
        </w:rPr>
        <w:t xml:space="preserve"> في تقريب هذا الدليل ما يلي: </w:t>
      </w:r>
      <w:r w:rsidRPr="006571AC">
        <w:rPr>
          <w:rFonts w:hint="eastAsia"/>
          <w:sz w:val="24"/>
          <w:szCs w:val="24"/>
          <w:rtl/>
        </w:rPr>
        <w:t>«</w:t>
      </w:r>
      <w:r w:rsidRPr="006571AC">
        <w:rPr>
          <w:rFonts w:hint="cs"/>
          <w:sz w:val="27"/>
          <w:rtl/>
          <w:lang w:bidi="ar-IQ"/>
        </w:rPr>
        <w:t>إن قبول الصلح الابتدائي في الفقه الشيعي ـ بالنظر إلى رؤية هذا المذهب في مورد أصالة واستقلال هذا العقد</w:t>
      </w:r>
      <w:r w:rsidR="00FF1224" w:rsidRPr="006571AC">
        <w:rPr>
          <w:rFonts w:hint="cs"/>
          <w:sz w:val="27"/>
          <w:rtl/>
          <w:lang w:bidi="ar-IQ"/>
        </w:rPr>
        <w:t>،</w:t>
      </w:r>
      <w:r w:rsidRPr="006571AC">
        <w:rPr>
          <w:rFonts w:hint="cs"/>
          <w:sz w:val="27"/>
          <w:rtl/>
          <w:lang w:bidi="ar-IQ"/>
        </w:rPr>
        <w:t xml:space="preserve"> الذي هو السبب في عدم ت</w:t>
      </w:r>
      <w:r w:rsidR="00FF1224" w:rsidRPr="006571AC">
        <w:rPr>
          <w:rFonts w:hint="cs"/>
          <w:sz w:val="27"/>
          <w:rtl/>
          <w:lang w:bidi="ar-IQ"/>
        </w:rPr>
        <w:t>َ</w:t>
      </w:r>
      <w:r w:rsidRPr="006571AC">
        <w:rPr>
          <w:rFonts w:hint="cs"/>
          <w:sz w:val="27"/>
          <w:rtl/>
          <w:lang w:bidi="ar-IQ"/>
        </w:rPr>
        <w:t>ب</w:t>
      </w:r>
      <w:r w:rsidR="00FF1224" w:rsidRPr="006571AC">
        <w:rPr>
          <w:rFonts w:hint="cs"/>
          <w:sz w:val="27"/>
          <w:rtl/>
          <w:lang w:bidi="ar-IQ"/>
        </w:rPr>
        <w:t>َ</w:t>
      </w:r>
      <w:r w:rsidRPr="006571AC">
        <w:rPr>
          <w:rFonts w:hint="cs"/>
          <w:sz w:val="27"/>
          <w:rtl/>
          <w:lang w:bidi="ar-IQ"/>
        </w:rPr>
        <w:t>عي</w:t>
      </w:r>
      <w:r w:rsidR="00FF1224" w:rsidRPr="006571AC">
        <w:rPr>
          <w:rFonts w:hint="cs"/>
          <w:sz w:val="27"/>
          <w:rtl/>
          <w:lang w:bidi="ar-IQ"/>
        </w:rPr>
        <w:t>ّ</w:t>
      </w:r>
      <w:r w:rsidRPr="006571AC">
        <w:rPr>
          <w:rFonts w:hint="cs"/>
          <w:sz w:val="27"/>
          <w:rtl/>
          <w:lang w:bidi="ar-IQ"/>
        </w:rPr>
        <w:t>ة عقد الصلح للعقود الأخرى في الأحكام والقرارات الخاص</w:t>
      </w:r>
      <w:r w:rsidR="00FF1224" w:rsidRPr="006571AC">
        <w:rPr>
          <w:rFonts w:hint="cs"/>
          <w:sz w:val="27"/>
          <w:rtl/>
          <w:lang w:bidi="ar-IQ"/>
        </w:rPr>
        <w:t>ّ</w:t>
      </w:r>
      <w:r w:rsidRPr="006571AC">
        <w:rPr>
          <w:rFonts w:hint="cs"/>
          <w:sz w:val="27"/>
          <w:rtl/>
          <w:lang w:bidi="ar-IQ"/>
        </w:rPr>
        <w:t>ة بكل</w:t>
      </w:r>
      <w:r w:rsidR="00FF1224" w:rsidRPr="006571AC">
        <w:rPr>
          <w:rFonts w:hint="cs"/>
          <w:sz w:val="27"/>
          <w:rtl/>
          <w:lang w:bidi="ar-IQ"/>
        </w:rPr>
        <w:t>ّ</w:t>
      </w:r>
      <w:r w:rsidRPr="006571AC">
        <w:rPr>
          <w:rFonts w:hint="cs"/>
          <w:sz w:val="27"/>
          <w:rtl/>
          <w:lang w:bidi="ar-IQ"/>
        </w:rPr>
        <w:t xml:space="preserve"> واحد</w:t>
      </w:r>
      <w:r w:rsidR="00FF1224" w:rsidRPr="006571AC">
        <w:rPr>
          <w:rFonts w:hint="cs"/>
          <w:sz w:val="27"/>
          <w:rtl/>
          <w:lang w:bidi="ar-IQ"/>
        </w:rPr>
        <w:t>ٍ</w:t>
      </w:r>
      <w:r w:rsidRPr="006571AC">
        <w:rPr>
          <w:rFonts w:hint="cs"/>
          <w:sz w:val="27"/>
          <w:rtl/>
          <w:lang w:bidi="ar-IQ"/>
        </w:rPr>
        <w:t xml:space="preserve"> من العقود، وكذلك السعة الكبيرة لمساحة هذا العقد، بالمقارنة إلى نتائج العقود والإيقاعات ـ أمر</w:t>
      </w:r>
      <w:r w:rsidR="00FF1224" w:rsidRPr="006571AC">
        <w:rPr>
          <w:rFonts w:hint="cs"/>
          <w:sz w:val="27"/>
          <w:rtl/>
          <w:lang w:bidi="ar-IQ"/>
        </w:rPr>
        <w:t>ٌ</w:t>
      </w:r>
      <w:r w:rsidRPr="006571AC">
        <w:rPr>
          <w:rFonts w:hint="cs"/>
          <w:sz w:val="27"/>
          <w:rtl/>
          <w:lang w:bidi="ar-IQ"/>
        </w:rPr>
        <w:t xml:space="preserve"> مخالف للعقل والحكمة؛ لأنه يستوجب الإخلال </w:t>
      </w:r>
      <w:r w:rsidR="00C80FD0" w:rsidRPr="006571AC">
        <w:rPr>
          <w:rFonts w:hint="cs"/>
          <w:sz w:val="27"/>
          <w:rtl/>
          <w:lang w:bidi="ar-IQ"/>
        </w:rPr>
        <w:t>ب</w:t>
      </w:r>
      <w:r w:rsidRPr="006571AC">
        <w:rPr>
          <w:rFonts w:hint="cs"/>
          <w:sz w:val="27"/>
          <w:rtl/>
          <w:lang w:bidi="ar-IQ"/>
        </w:rPr>
        <w:t>القوانين والمقر</w:t>
      </w:r>
      <w:r w:rsidR="00FF1224" w:rsidRPr="006571AC">
        <w:rPr>
          <w:rFonts w:hint="cs"/>
          <w:sz w:val="27"/>
          <w:rtl/>
          <w:lang w:bidi="ar-IQ"/>
        </w:rPr>
        <w:t>َّ</w:t>
      </w:r>
      <w:r w:rsidRPr="006571AC">
        <w:rPr>
          <w:rFonts w:hint="cs"/>
          <w:sz w:val="27"/>
          <w:rtl/>
          <w:lang w:bidi="ar-IQ"/>
        </w:rPr>
        <w:t>رات الخاصة للعقود، وإن وضع وتشريع هذا النوع من القوانين من خلال القول بجواز عقد الصلح الابتدائي يبدو ع</w:t>
      </w:r>
      <w:r w:rsidR="00FF1224" w:rsidRPr="006571AC">
        <w:rPr>
          <w:rFonts w:hint="cs"/>
          <w:sz w:val="27"/>
          <w:rtl/>
          <w:lang w:bidi="ar-IQ"/>
        </w:rPr>
        <w:t>َ</w:t>
      </w:r>
      <w:r w:rsidRPr="006571AC">
        <w:rPr>
          <w:rFonts w:hint="cs"/>
          <w:sz w:val="27"/>
          <w:rtl/>
          <w:lang w:bidi="ar-IQ"/>
        </w:rPr>
        <w:t>ب</w:t>
      </w:r>
      <w:r w:rsidR="00FF1224" w:rsidRPr="006571AC">
        <w:rPr>
          <w:rFonts w:hint="cs"/>
          <w:sz w:val="27"/>
          <w:rtl/>
          <w:lang w:bidi="ar-IQ"/>
        </w:rPr>
        <w:t>َ</w:t>
      </w:r>
      <w:r w:rsidRPr="006571AC">
        <w:rPr>
          <w:rFonts w:hint="cs"/>
          <w:sz w:val="27"/>
          <w:rtl/>
          <w:lang w:bidi="ar-IQ"/>
        </w:rPr>
        <w:t>ثاً</w:t>
      </w:r>
      <w:r w:rsidR="00FF1224" w:rsidRPr="006571AC">
        <w:rPr>
          <w:rFonts w:hint="cs"/>
          <w:sz w:val="27"/>
          <w:rtl/>
          <w:lang w:bidi="ar-IQ"/>
        </w:rPr>
        <w:t>،</w:t>
      </w:r>
      <w:r w:rsidRPr="006571AC">
        <w:rPr>
          <w:rFonts w:hint="cs"/>
          <w:sz w:val="27"/>
          <w:rtl/>
          <w:lang w:bidi="ar-IQ"/>
        </w:rPr>
        <w:t xml:space="preserve"> فكيف يمكن للشارع من جهة</w:t>
      </w:r>
      <w:r w:rsidR="00FF1224" w:rsidRPr="006571AC">
        <w:rPr>
          <w:rFonts w:hint="cs"/>
          <w:sz w:val="27"/>
          <w:rtl/>
          <w:lang w:bidi="ar-IQ"/>
        </w:rPr>
        <w:t>ٍ</w:t>
      </w:r>
      <w:r w:rsidRPr="006571AC">
        <w:rPr>
          <w:rFonts w:hint="cs"/>
          <w:sz w:val="27"/>
          <w:rtl/>
          <w:lang w:bidi="ar-IQ"/>
        </w:rPr>
        <w:t xml:space="preserve"> أن يعمل على تشريع أحكام</w:t>
      </w:r>
      <w:r w:rsidR="00FF1224" w:rsidRPr="006571AC">
        <w:rPr>
          <w:rFonts w:hint="cs"/>
          <w:sz w:val="27"/>
          <w:rtl/>
          <w:lang w:bidi="ar-IQ"/>
        </w:rPr>
        <w:t>ٍ</w:t>
      </w:r>
      <w:r w:rsidRPr="006571AC">
        <w:rPr>
          <w:rFonts w:hint="cs"/>
          <w:sz w:val="27"/>
          <w:rtl/>
          <w:lang w:bidi="ar-IQ"/>
        </w:rPr>
        <w:t xml:space="preserve"> ومقرّ</w:t>
      </w:r>
      <w:r w:rsidR="00FF1224" w:rsidRPr="006571AC">
        <w:rPr>
          <w:rFonts w:hint="cs"/>
          <w:sz w:val="27"/>
          <w:rtl/>
          <w:lang w:bidi="ar-IQ"/>
        </w:rPr>
        <w:t>َ</w:t>
      </w:r>
      <w:r w:rsidRPr="006571AC">
        <w:rPr>
          <w:rFonts w:hint="cs"/>
          <w:sz w:val="27"/>
          <w:rtl/>
          <w:lang w:bidi="ar-IQ"/>
        </w:rPr>
        <w:t>رات</w:t>
      </w:r>
      <w:r w:rsidR="00FF1224" w:rsidRPr="006571AC">
        <w:rPr>
          <w:rFonts w:hint="cs"/>
          <w:sz w:val="27"/>
          <w:rtl/>
          <w:lang w:bidi="ar-IQ"/>
        </w:rPr>
        <w:t>ٍ</w:t>
      </w:r>
      <w:r w:rsidRPr="006571AC">
        <w:rPr>
          <w:rFonts w:hint="cs"/>
          <w:sz w:val="27"/>
          <w:rtl/>
          <w:lang w:bidi="ar-IQ"/>
        </w:rPr>
        <w:t xml:space="preserve"> خاصّة</w:t>
      </w:r>
      <w:r w:rsidR="00FF1224" w:rsidRPr="006571AC">
        <w:rPr>
          <w:rFonts w:hint="cs"/>
          <w:sz w:val="27"/>
          <w:rtl/>
          <w:lang w:bidi="ar-IQ"/>
        </w:rPr>
        <w:t>ٍ</w:t>
      </w:r>
      <w:r w:rsidRPr="006571AC">
        <w:rPr>
          <w:rFonts w:hint="cs"/>
          <w:sz w:val="27"/>
          <w:rtl/>
          <w:lang w:bidi="ar-IQ"/>
        </w:rPr>
        <w:t xml:space="preserve"> لكل</w:t>
      </w:r>
      <w:r w:rsidR="00FF1224" w:rsidRPr="006571AC">
        <w:rPr>
          <w:rFonts w:hint="cs"/>
          <w:sz w:val="27"/>
          <w:rtl/>
          <w:lang w:bidi="ar-IQ"/>
        </w:rPr>
        <w:t>ّ</w:t>
      </w:r>
      <w:r w:rsidRPr="006571AC">
        <w:rPr>
          <w:rFonts w:hint="cs"/>
          <w:sz w:val="27"/>
          <w:rtl/>
          <w:lang w:bidi="ar-IQ"/>
        </w:rPr>
        <w:t xml:space="preserve"> واحد</w:t>
      </w:r>
      <w:r w:rsidR="00FF1224" w:rsidRPr="006571AC">
        <w:rPr>
          <w:rFonts w:hint="cs"/>
          <w:sz w:val="27"/>
          <w:rtl/>
          <w:lang w:bidi="ar-IQ"/>
        </w:rPr>
        <w:t>ٍ</w:t>
      </w:r>
      <w:r w:rsidRPr="006571AC">
        <w:rPr>
          <w:rFonts w:hint="cs"/>
          <w:sz w:val="27"/>
          <w:rtl/>
          <w:lang w:bidi="ar-IQ"/>
        </w:rPr>
        <w:t xml:space="preserve"> من المعاملات على أساس المصالح والمفاسد الواقعية، ويسمح في الوقت نفسه للمكل</w:t>
      </w:r>
      <w:r w:rsidR="00FF1224" w:rsidRPr="006571AC">
        <w:rPr>
          <w:rFonts w:hint="cs"/>
          <w:sz w:val="27"/>
          <w:rtl/>
          <w:lang w:bidi="ar-IQ"/>
        </w:rPr>
        <w:t>َّ</w:t>
      </w:r>
      <w:r w:rsidRPr="006571AC">
        <w:rPr>
          <w:rFonts w:hint="cs"/>
          <w:sz w:val="27"/>
          <w:rtl/>
          <w:lang w:bidi="ar-IQ"/>
        </w:rPr>
        <w:t>فين من ناحية</w:t>
      </w:r>
      <w:r w:rsidR="00FF1224" w:rsidRPr="006571AC">
        <w:rPr>
          <w:rFonts w:hint="cs"/>
          <w:sz w:val="27"/>
          <w:rtl/>
          <w:lang w:bidi="ar-IQ"/>
        </w:rPr>
        <w:t>ٍ</w:t>
      </w:r>
      <w:r w:rsidRPr="006571AC">
        <w:rPr>
          <w:rFonts w:hint="cs"/>
          <w:sz w:val="27"/>
          <w:rtl/>
          <w:lang w:bidi="ar-IQ"/>
        </w:rPr>
        <w:t xml:space="preserve"> أخرى أن يعملوا ـ من أجل الفرار من هذه الأحكام والمقرّ</w:t>
      </w:r>
      <w:r w:rsidR="00FF1224" w:rsidRPr="006571AC">
        <w:rPr>
          <w:rFonts w:hint="cs"/>
          <w:sz w:val="27"/>
          <w:rtl/>
          <w:lang w:bidi="ar-IQ"/>
        </w:rPr>
        <w:t>َ</w:t>
      </w:r>
      <w:r w:rsidRPr="006571AC">
        <w:rPr>
          <w:rFonts w:hint="cs"/>
          <w:sz w:val="27"/>
          <w:rtl/>
          <w:lang w:bidi="ar-IQ"/>
        </w:rPr>
        <w:t>رات الخاصة ـ على تغيير الإطار الظاهري لعقده بعنوان الصلح، حت</w:t>
      </w:r>
      <w:r w:rsidR="00FF1224" w:rsidRPr="006571AC">
        <w:rPr>
          <w:rFonts w:hint="cs"/>
          <w:sz w:val="27"/>
          <w:rtl/>
          <w:lang w:bidi="ar-IQ"/>
        </w:rPr>
        <w:t>ّ</w:t>
      </w:r>
      <w:r w:rsidRPr="006571AC">
        <w:rPr>
          <w:rFonts w:hint="cs"/>
          <w:sz w:val="27"/>
          <w:rtl/>
          <w:lang w:bidi="ar-IQ"/>
        </w:rPr>
        <w:t>ى لا يجري أيّ واحد</w:t>
      </w:r>
      <w:r w:rsidR="00FF1224" w:rsidRPr="006571AC">
        <w:rPr>
          <w:rFonts w:hint="cs"/>
          <w:sz w:val="27"/>
          <w:rtl/>
          <w:lang w:bidi="ar-IQ"/>
        </w:rPr>
        <w:t>ٍ</w:t>
      </w:r>
      <w:r w:rsidRPr="006571AC">
        <w:rPr>
          <w:rFonts w:hint="cs"/>
          <w:sz w:val="27"/>
          <w:rtl/>
          <w:lang w:bidi="ar-IQ"/>
        </w:rPr>
        <w:t xml:space="preserve"> من المقر</w:t>
      </w:r>
      <w:r w:rsidR="00FF1224" w:rsidRPr="006571AC">
        <w:rPr>
          <w:rFonts w:hint="cs"/>
          <w:sz w:val="27"/>
          <w:rtl/>
          <w:lang w:bidi="ar-IQ"/>
        </w:rPr>
        <w:t>َّ</w:t>
      </w:r>
      <w:r w:rsidRPr="006571AC">
        <w:rPr>
          <w:rFonts w:hint="cs"/>
          <w:sz w:val="27"/>
          <w:rtl/>
          <w:lang w:bidi="ar-IQ"/>
        </w:rPr>
        <w:t>رات الخاصّة لذلك العقد</w:t>
      </w:r>
      <w:r w:rsidR="00FF1224" w:rsidRPr="006571AC">
        <w:rPr>
          <w:rFonts w:hint="cs"/>
          <w:sz w:val="27"/>
          <w:rtl/>
          <w:lang w:bidi="ar-IQ"/>
        </w:rPr>
        <w:t>؛</w:t>
      </w:r>
      <w:r w:rsidRPr="006571AC">
        <w:rPr>
          <w:rFonts w:hint="cs"/>
          <w:sz w:val="27"/>
          <w:rtl/>
          <w:lang w:bidi="ar-IQ"/>
        </w:rPr>
        <w:t xml:space="preserve"> بسبب هذا التغيير الظاهري</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30"/>
      </w:r>
      <w:r w:rsidRPr="006571AC">
        <w:rPr>
          <w:sz w:val="27"/>
          <w:vertAlign w:val="superscript"/>
          <w:rtl/>
          <w:lang w:bidi="ar-IQ"/>
        </w:rPr>
        <w:t>)</w:t>
      </w:r>
      <w:r w:rsidRPr="006571AC">
        <w:rPr>
          <w:rFonts w:hint="cs"/>
          <w:sz w:val="27"/>
          <w:rtl/>
          <w:lang w:bidi="ar-IQ"/>
        </w:rPr>
        <w:t xml:space="preserve">. </w:t>
      </w:r>
    </w:p>
    <w:p w:rsidR="00381A52" w:rsidRPr="006571AC" w:rsidRDefault="00DB4851" w:rsidP="001518B8">
      <w:pPr>
        <w:pStyle w:val="31"/>
        <w:rPr>
          <w:color w:val="auto"/>
          <w:rtl/>
          <w:lang w:bidi="ar-IQ"/>
        </w:rPr>
      </w:pPr>
      <w:bookmarkStart w:id="144" w:name="_Toc114164633"/>
      <w:r w:rsidRPr="006571AC">
        <w:rPr>
          <w:rFonts w:hint="cs"/>
          <w:color w:val="auto"/>
          <w:rtl/>
          <w:lang w:bidi="ar-IQ"/>
        </w:rPr>
        <w:lastRenderedPageBreak/>
        <w:t>إثاراتٌ تنبيهي</w:t>
      </w:r>
      <w:r w:rsidR="00F62067" w:rsidRPr="006571AC">
        <w:rPr>
          <w:rFonts w:hint="cs"/>
          <w:color w:val="auto"/>
          <w:rtl/>
          <w:lang w:bidi="ar-IQ"/>
        </w:rPr>
        <w:t>ّ</w:t>
      </w:r>
      <w:r w:rsidRPr="006571AC">
        <w:rPr>
          <w:rFonts w:hint="cs"/>
          <w:color w:val="auto"/>
          <w:rtl/>
          <w:lang w:bidi="ar-IQ"/>
        </w:rPr>
        <w:t>ة</w:t>
      </w:r>
      <w:bookmarkEnd w:id="144"/>
      <w:r w:rsidRPr="006571AC">
        <w:rPr>
          <w:rFonts w:hint="cs"/>
          <w:color w:val="auto"/>
          <w:rtl/>
          <w:lang w:bidi="ar-IQ"/>
        </w:rPr>
        <w:t xml:space="preserve"> </w:t>
      </w:r>
    </w:p>
    <w:p w:rsidR="00381A52" w:rsidRPr="006571AC" w:rsidRDefault="00381A52" w:rsidP="004B16C6">
      <w:pPr>
        <w:spacing w:line="386" w:lineRule="exact"/>
        <w:rPr>
          <w:sz w:val="27"/>
          <w:rtl/>
          <w:lang w:bidi="ar-IQ"/>
        </w:rPr>
      </w:pPr>
      <w:r w:rsidRPr="006571AC">
        <w:rPr>
          <w:rFonts w:hint="cs"/>
          <w:b/>
          <w:bCs/>
          <w:sz w:val="27"/>
          <w:rtl/>
          <w:lang w:bidi="ar-IQ"/>
        </w:rPr>
        <w:t>أو</w:t>
      </w:r>
      <w:r w:rsidR="00FF1224" w:rsidRPr="006571AC">
        <w:rPr>
          <w:rFonts w:hint="cs"/>
          <w:b/>
          <w:bCs/>
          <w:sz w:val="27"/>
          <w:rtl/>
          <w:lang w:bidi="ar-IQ"/>
        </w:rPr>
        <w:t>ّ</w:t>
      </w:r>
      <w:r w:rsidRPr="006571AC">
        <w:rPr>
          <w:rFonts w:hint="cs"/>
          <w:b/>
          <w:bCs/>
          <w:sz w:val="27"/>
          <w:rtl/>
          <w:lang w:bidi="ar-IQ"/>
        </w:rPr>
        <w:t>لاً</w:t>
      </w:r>
      <w:r w:rsidRPr="006571AC">
        <w:rPr>
          <w:rFonts w:hint="cs"/>
          <w:sz w:val="27"/>
          <w:rtl/>
          <w:lang w:bidi="ar-IQ"/>
        </w:rPr>
        <w:t>: إن هذا الكلام يتناقض حت</w:t>
      </w:r>
      <w:r w:rsidR="00FF1224" w:rsidRPr="006571AC">
        <w:rPr>
          <w:rFonts w:hint="cs"/>
          <w:sz w:val="27"/>
          <w:rtl/>
          <w:lang w:bidi="ar-IQ"/>
        </w:rPr>
        <w:t>ّ</w:t>
      </w:r>
      <w:r w:rsidRPr="006571AC">
        <w:rPr>
          <w:rFonts w:hint="cs"/>
          <w:sz w:val="27"/>
          <w:rtl/>
          <w:lang w:bidi="ar-IQ"/>
        </w:rPr>
        <w:t>ى مع المسألة التي ذكرها فضيلته في البحث عن الدليل الثاني (بناء العقل)؛ إذ لو كان مرجعنا في حالة عدم وجود الأدل</w:t>
      </w:r>
      <w:r w:rsidR="00FF1224" w:rsidRPr="006571AC">
        <w:rPr>
          <w:rFonts w:hint="cs"/>
          <w:sz w:val="27"/>
          <w:rtl/>
          <w:lang w:bidi="ar-IQ"/>
        </w:rPr>
        <w:t>ّ</w:t>
      </w:r>
      <w:r w:rsidRPr="006571AC">
        <w:rPr>
          <w:rFonts w:hint="cs"/>
          <w:sz w:val="27"/>
          <w:rtl/>
          <w:lang w:bidi="ar-IQ"/>
        </w:rPr>
        <w:t>ة الواضحة هي سيرة العقلاء فإن العقلاء لا يتوافقون أو يتراضون على أمر</w:t>
      </w:r>
      <w:r w:rsidR="00FF1224" w:rsidRPr="006571AC">
        <w:rPr>
          <w:rFonts w:hint="cs"/>
          <w:sz w:val="27"/>
          <w:rtl/>
          <w:lang w:bidi="ar-IQ"/>
        </w:rPr>
        <w:t>ٍ</w:t>
      </w:r>
      <w:r w:rsidRPr="006571AC">
        <w:rPr>
          <w:rFonts w:hint="cs"/>
          <w:sz w:val="27"/>
          <w:rtl/>
          <w:lang w:bidi="ar-IQ"/>
        </w:rPr>
        <w:t xml:space="preserve"> كيفما ات</w:t>
      </w:r>
      <w:r w:rsidR="00FF1224" w:rsidRPr="006571AC">
        <w:rPr>
          <w:rFonts w:hint="cs"/>
          <w:sz w:val="27"/>
          <w:rtl/>
          <w:lang w:bidi="ar-IQ"/>
        </w:rPr>
        <w:t>َّ</w:t>
      </w:r>
      <w:r w:rsidRPr="006571AC">
        <w:rPr>
          <w:rFonts w:hint="cs"/>
          <w:sz w:val="27"/>
          <w:rtl/>
          <w:lang w:bidi="ar-IQ"/>
        </w:rPr>
        <w:t>فق، وإنما ير</w:t>
      </w:r>
      <w:r w:rsidR="00FF1224" w:rsidRPr="006571AC">
        <w:rPr>
          <w:rFonts w:hint="cs"/>
          <w:sz w:val="27"/>
          <w:rtl/>
          <w:lang w:bidi="ar-IQ"/>
        </w:rPr>
        <w:t>َ</w:t>
      </w:r>
      <w:r w:rsidRPr="006571AC">
        <w:rPr>
          <w:rFonts w:hint="cs"/>
          <w:sz w:val="27"/>
          <w:rtl/>
          <w:lang w:bidi="ar-IQ"/>
        </w:rPr>
        <w:t>و</w:t>
      </w:r>
      <w:r w:rsidR="00FF1224" w:rsidRPr="006571AC">
        <w:rPr>
          <w:rFonts w:hint="cs"/>
          <w:sz w:val="27"/>
          <w:rtl/>
          <w:lang w:bidi="ar-IQ"/>
        </w:rPr>
        <w:t>ْ</w:t>
      </w:r>
      <w:r w:rsidRPr="006571AC">
        <w:rPr>
          <w:rFonts w:hint="cs"/>
          <w:sz w:val="27"/>
          <w:rtl/>
          <w:lang w:bidi="ar-IQ"/>
        </w:rPr>
        <w:t>ن بعض الضوابط والقيود حت</w:t>
      </w:r>
      <w:r w:rsidR="00FF1224" w:rsidRPr="006571AC">
        <w:rPr>
          <w:rFonts w:hint="cs"/>
          <w:sz w:val="27"/>
          <w:rtl/>
          <w:lang w:bidi="ar-IQ"/>
        </w:rPr>
        <w:t>ّ</w:t>
      </w:r>
      <w:r w:rsidRPr="006571AC">
        <w:rPr>
          <w:rFonts w:hint="cs"/>
          <w:sz w:val="27"/>
          <w:rtl/>
          <w:lang w:bidi="ar-IQ"/>
        </w:rPr>
        <w:t xml:space="preserve">ى بالنسبة إلى إنشاء الصلح أيضاً. </w:t>
      </w:r>
    </w:p>
    <w:p w:rsidR="00381A52" w:rsidRPr="006571AC" w:rsidRDefault="00381A52" w:rsidP="002C3B7A">
      <w:pPr>
        <w:spacing w:line="386" w:lineRule="exact"/>
        <w:rPr>
          <w:sz w:val="27"/>
          <w:rtl/>
          <w:lang w:bidi="ar-IQ"/>
        </w:rPr>
      </w:pPr>
      <w:r w:rsidRPr="006571AC">
        <w:rPr>
          <w:rFonts w:hint="cs"/>
          <w:b/>
          <w:bCs/>
          <w:sz w:val="27"/>
          <w:rtl/>
          <w:lang w:bidi="ar-IQ"/>
        </w:rPr>
        <w:t>وثانياً</w:t>
      </w:r>
      <w:r w:rsidRPr="006571AC">
        <w:rPr>
          <w:rFonts w:hint="cs"/>
          <w:sz w:val="27"/>
          <w:rtl/>
          <w:lang w:bidi="ar-IQ"/>
        </w:rPr>
        <w:t xml:space="preserve">: </w:t>
      </w:r>
      <w:r w:rsidRPr="006571AC">
        <w:rPr>
          <w:sz w:val="27"/>
          <w:rtl/>
          <w:lang w:bidi="ar-IQ"/>
        </w:rPr>
        <w:t>في ضوء تشريع الصلح الابتدائي ينفتح أمام المكل</w:t>
      </w:r>
      <w:r w:rsidR="00FF1224" w:rsidRPr="006571AC">
        <w:rPr>
          <w:rFonts w:hint="cs"/>
          <w:sz w:val="27"/>
          <w:rtl/>
          <w:lang w:bidi="ar-IQ"/>
        </w:rPr>
        <w:t>َّ</w:t>
      </w:r>
      <w:r w:rsidRPr="006571AC">
        <w:rPr>
          <w:sz w:val="27"/>
          <w:rtl/>
          <w:lang w:bidi="ar-IQ"/>
        </w:rPr>
        <w:t>فين أفق</w:t>
      </w:r>
      <w:r w:rsidR="00FF1224" w:rsidRPr="006571AC">
        <w:rPr>
          <w:rFonts w:hint="cs"/>
          <w:sz w:val="27"/>
          <w:rtl/>
          <w:lang w:bidi="ar-IQ"/>
        </w:rPr>
        <w:t>ٌ</w:t>
      </w:r>
      <w:r w:rsidRPr="006571AC">
        <w:rPr>
          <w:sz w:val="27"/>
          <w:rtl/>
          <w:lang w:bidi="ar-IQ"/>
        </w:rPr>
        <w:t xml:space="preserve"> لاحب، حتى إذا وقعوا في ضيق</w:t>
      </w:r>
      <w:r w:rsidR="00FF1224" w:rsidRPr="006571AC">
        <w:rPr>
          <w:rFonts w:hint="cs"/>
          <w:sz w:val="27"/>
          <w:rtl/>
          <w:lang w:bidi="ar-IQ"/>
        </w:rPr>
        <w:t>ٍ؛</w:t>
      </w:r>
      <w:r w:rsidRPr="006571AC">
        <w:rPr>
          <w:sz w:val="27"/>
          <w:rtl/>
          <w:lang w:bidi="ar-IQ"/>
        </w:rPr>
        <w:t xml:space="preserve"> بسبب رعاية الشروط في بعض العقود والمعاملات، منحهم الشارع المقدّ</w:t>
      </w:r>
      <w:r w:rsidR="00FF1224" w:rsidRPr="006571AC">
        <w:rPr>
          <w:rFonts w:hint="cs"/>
          <w:sz w:val="27"/>
          <w:rtl/>
          <w:lang w:bidi="ar-IQ"/>
        </w:rPr>
        <w:t>َ</w:t>
      </w:r>
      <w:r w:rsidRPr="006571AC">
        <w:rPr>
          <w:sz w:val="27"/>
          <w:rtl/>
          <w:lang w:bidi="ar-IQ"/>
        </w:rPr>
        <w:t>س فسحة</w:t>
      </w:r>
      <w:r w:rsidR="00FF1224" w:rsidRPr="006571AC">
        <w:rPr>
          <w:rFonts w:hint="cs"/>
          <w:sz w:val="27"/>
          <w:rtl/>
          <w:lang w:bidi="ar-IQ"/>
        </w:rPr>
        <w:t>ً</w:t>
      </w:r>
      <w:r w:rsidRPr="006571AC">
        <w:rPr>
          <w:sz w:val="27"/>
          <w:rtl/>
          <w:lang w:bidi="ar-IQ"/>
        </w:rPr>
        <w:t xml:space="preserve"> من الحر</w:t>
      </w:r>
      <w:r w:rsidR="00FF1224" w:rsidRPr="006571AC">
        <w:rPr>
          <w:rFonts w:hint="cs"/>
          <w:sz w:val="27"/>
          <w:rtl/>
          <w:lang w:bidi="ar-IQ"/>
        </w:rPr>
        <w:t>ّ</w:t>
      </w:r>
      <w:r w:rsidRPr="006571AC">
        <w:rPr>
          <w:sz w:val="27"/>
          <w:rtl/>
          <w:lang w:bidi="ar-IQ"/>
        </w:rPr>
        <w:t>ية</w:t>
      </w:r>
      <w:r w:rsidR="00FF1224" w:rsidRPr="006571AC">
        <w:rPr>
          <w:rFonts w:hint="cs"/>
          <w:sz w:val="27"/>
          <w:rtl/>
          <w:lang w:bidi="ar-IQ"/>
        </w:rPr>
        <w:t>،</w:t>
      </w:r>
      <w:r w:rsidRPr="006571AC">
        <w:rPr>
          <w:sz w:val="27"/>
          <w:rtl/>
          <w:lang w:bidi="ar-IQ"/>
        </w:rPr>
        <w:t xml:space="preserve"> فلا يواجهو</w:t>
      </w:r>
      <w:r w:rsidR="002C3B7A" w:rsidRPr="006571AC">
        <w:rPr>
          <w:rFonts w:hint="cs"/>
          <w:sz w:val="27"/>
          <w:rtl/>
          <w:lang w:bidi="ar-IQ"/>
        </w:rPr>
        <w:t>ن</w:t>
      </w:r>
      <w:r w:rsidRPr="006571AC">
        <w:rPr>
          <w:sz w:val="27"/>
          <w:rtl/>
          <w:lang w:bidi="ar-IQ"/>
        </w:rPr>
        <w:t xml:space="preserve"> طريقاً مسدوداً، ويعمل على تشريع المعاملات السائدة بينهم من طريق</w:t>
      </w:r>
      <w:r w:rsidR="00FF1224" w:rsidRPr="006571AC">
        <w:rPr>
          <w:rFonts w:hint="cs"/>
          <w:sz w:val="27"/>
          <w:rtl/>
          <w:lang w:bidi="ar-IQ"/>
        </w:rPr>
        <w:t>ٍ</w:t>
      </w:r>
      <w:r w:rsidRPr="006571AC">
        <w:rPr>
          <w:sz w:val="27"/>
          <w:rtl/>
          <w:lang w:bidi="ar-IQ"/>
        </w:rPr>
        <w:t xml:space="preserve"> آخر. إلا</w:t>
      </w:r>
      <w:r w:rsidR="00FF1224" w:rsidRPr="006571AC">
        <w:rPr>
          <w:rFonts w:hint="cs"/>
          <w:sz w:val="27"/>
          <w:rtl/>
          <w:lang w:bidi="ar-IQ"/>
        </w:rPr>
        <w:t>ّ</w:t>
      </w:r>
      <w:r w:rsidRPr="006571AC">
        <w:rPr>
          <w:sz w:val="27"/>
          <w:rtl/>
          <w:lang w:bidi="ar-IQ"/>
        </w:rPr>
        <w:t xml:space="preserve"> أن هذا لا يعني أن الصلح الابتدائي هو حيلة</w:t>
      </w:r>
      <w:r w:rsidR="00FF1224" w:rsidRPr="006571AC">
        <w:rPr>
          <w:rFonts w:hint="cs"/>
          <w:sz w:val="27"/>
          <w:rtl/>
          <w:lang w:bidi="ar-IQ"/>
        </w:rPr>
        <w:t>ٌ</w:t>
      </w:r>
      <w:r w:rsidRPr="006571AC">
        <w:rPr>
          <w:sz w:val="27"/>
          <w:rtl/>
          <w:lang w:bidi="ar-IQ"/>
        </w:rPr>
        <w:t xml:space="preserve"> شرعية</w:t>
      </w:r>
      <w:r w:rsidR="00FF1224" w:rsidRPr="006571AC">
        <w:rPr>
          <w:rFonts w:hint="cs"/>
          <w:sz w:val="27"/>
          <w:rtl/>
          <w:lang w:bidi="ar-IQ"/>
        </w:rPr>
        <w:t>،</w:t>
      </w:r>
      <w:r w:rsidRPr="006571AC">
        <w:rPr>
          <w:sz w:val="27"/>
          <w:rtl/>
          <w:lang w:bidi="ar-IQ"/>
        </w:rPr>
        <w:t xml:space="preserve"> وطريقة</w:t>
      </w:r>
      <w:r w:rsidR="00FF1224" w:rsidRPr="006571AC">
        <w:rPr>
          <w:rFonts w:hint="cs"/>
          <w:sz w:val="27"/>
          <w:rtl/>
          <w:lang w:bidi="ar-IQ"/>
        </w:rPr>
        <w:t>ٌ</w:t>
      </w:r>
      <w:r w:rsidRPr="006571AC">
        <w:rPr>
          <w:sz w:val="27"/>
          <w:rtl/>
          <w:lang w:bidi="ar-IQ"/>
        </w:rPr>
        <w:t xml:space="preserve"> للتهرّ</w:t>
      </w:r>
      <w:r w:rsidR="00FF1224" w:rsidRPr="006571AC">
        <w:rPr>
          <w:rFonts w:hint="cs"/>
          <w:sz w:val="27"/>
          <w:rtl/>
          <w:lang w:bidi="ar-IQ"/>
        </w:rPr>
        <w:t>ُ</w:t>
      </w:r>
      <w:r w:rsidRPr="006571AC">
        <w:rPr>
          <w:sz w:val="27"/>
          <w:rtl/>
          <w:lang w:bidi="ar-IQ"/>
        </w:rPr>
        <w:t>ب من الالتزام بالشروط العامّة للعقود، بل العقلاء إنما يلج</w:t>
      </w:r>
      <w:r w:rsidR="00FF1224" w:rsidRPr="006571AC">
        <w:rPr>
          <w:rFonts w:hint="cs"/>
          <w:sz w:val="27"/>
          <w:rtl/>
          <w:lang w:bidi="ar-IQ"/>
        </w:rPr>
        <w:t>ؤ</w:t>
      </w:r>
      <w:r w:rsidRPr="006571AC">
        <w:rPr>
          <w:sz w:val="27"/>
          <w:rtl/>
          <w:lang w:bidi="ar-IQ"/>
        </w:rPr>
        <w:t>ون إلى هذا العقد في موارد خاص</w:t>
      </w:r>
      <w:r w:rsidR="00FF1224" w:rsidRPr="006571AC">
        <w:rPr>
          <w:rFonts w:hint="cs"/>
          <w:sz w:val="27"/>
          <w:rtl/>
          <w:lang w:bidi="ar-IQ"/>
        </w:rPr>
        <w:t>ّ</w:t>
      </w:r>
      <w:r w:rsidRPr="006571AC">
        <w:rPr>
          <w:sz w:val="27"/>
          <w:rtl/>
          <w:lang w:bidi="ar-IQ"/>
        </w:rPr>
        <w:t>ة جد</w:t>
      </w:r>
      <w:r w:rsidR="00FF1224" w:rsidRPr="006571AC">
        <w:rPr>
          <w:rFonts w:hint="cs"/>
          <w:sz w:val="27"/>
          <w:rtl/>
          <w:lang w:bidi="ar-IQ"/>
        </w:rPr>
        <w:t>ّ</w:t>
      </w:r>
      <w:r w:rsidRPr="006571AC">
        <w:rPr>
          <w:sz w:val="27"/>
          <w:rtl/>
          <w:lang w:bidi="ar-IQ"/>
        </w:rPr>
        <w:t>اً، وذلك حيث يواجهون طريقاً مسدوداً وضي</w:t>
      </w:r>
      <w:r w:rsidR="00FF1224" w:rsidRPr="006571AC">
        <w:rPr>
          <w:rFonts w:hint="cs"/>
          <w:sz w:val="27"/>
          <w:rtl/>
          <w:lang w:bidi="ar-IQ"/>
        </w:rPr>
        <w:t>ِّ</w:t>
      </w:r>
      <w:r w:rsidRPr="006571AC">
        <w:rPr>
          <w:sz w:val="27"/>
          <w:rtl/>
          <w:lang w:bidi="ar-IQ"/>
        </w:rPr>
        <w:t>قاً من ناحية بعض الشروط</w:t>
      </w:r>
      <w:r w:rsidR="00FF1224" w:rsidRPr="006571AC">
        <w:rPr>
          <w:rFonts w:hint="cs"/>
          <w:sz w:val="27"/>
          <w:rtl/>
          <w:lang w:bidi="ar-IQ"/>
        </w:rPr>
        <w:t>،</w:t>
      </w:r>
      <w:r w:rsidRPr="006571AC">
        <w:rPr>
          <w:sz w:val="27"/>
          <w:rtl/>
          <w:lang w:bidi="ar-IQ"/>
        </w:rPr>
        <w:t xml:space="preserve"> </w:t>
      </w:r>
      <w:r w:rsidR="00FF1224" w:rsidRPr="006571AC">
        <w:rPr>
          <w:rFonts w:hint="cs"/>
          <w:sz w:val="27"/>
          <w:rtl/>
          <w:lang w:bidi="ar-IQ"/>
        </w:rPr>
        <w:t>و</w:t>
      </w:r>
      <w:r w:rsidRPr="006571AC">
        <w:rPr>
          <w:sz w:val="27"/>
          <w:rtl/>
          <w:lang w:bidi="ar-IQ"/>
        </w:rPr>
        <w:t>من ذلك</w:t>
      </w:r>
      <w:r w:rsidR="00FF1224" w:rsidRPr="006571AC">
        <w:rPr>
          <w:rFonts w:hint="cs"/>
          <w:sz w:val="27"/>
          <w:rtl/>
          <w:lang w:bidi="ar-IQ"/>
        </w:rPr>
        <w:t>،</w:t>
      </w:r>
      <w:r w:rsidRPr="006571AC">
        <w:rPr>
          <w:sz w:val="27"/>
          <w:rtl/>
          <w:lang w:bidi="ar-IQ"/>
        </w:rPr>
        <w:t xml:space="preserve"> على سبيل المثال</w:t>
      </w:r>
      <w:r w:rsidR="00FF1224" w:rsidRPr="006571AC">
        <w:rPr>
          <w:rFonts w:hint="cs"/>
          <w:sz w:val="27"/>
          <w:rtl/>
          <w:lang w:bidi="ar-IQ"/>
        </w:rPr>
        <w:t>:</w:t>
      </w:r>
      <w:r w:rsidRPr="006571AC">
        <w:rPr>
          <w:sz w:val="27"/>
          <w:rtl/>
          <w:lang w:bidi="ar-IQ"/>
        </w:rPr>
        <w:t xml:space="preserve"> الصلح على الأعيان المجهولة، فحيث يشترط في البيع العلم بالعوضين، ويكون المكل</w:t>
      </w:r>
      <w:r w:rsidR="00095C40" w:rsidRPr="006571AC">
        <w:rPr>
          <w:rFonts w:hint="cs"/>
          <w:sz w:val="27"/>
          <w:rtl/>
          <w:lang w:bidi="ar-IQ"/>
        </w:rPr>
        <w:t>َّ</w:t>
      </w:r>
      <w:r w:rsidRPr="006571AC">
        <w:rPr>
          <w:sz w:val="27"/>
          <w:rtl/>
          <w:lang w:bidi="ar-IQ"/>
        </w:rPr>
        <w:t>ف مضطر</w:t>
      </w:r>
      <w:r w:rsidR="00095C40" w:rsidRPr="006571AC">
        <w:rPr>
          <w:rFonts w:hint="cs"/>
          <w:sz w:val="27"/>
          <w:rtl/>
          <w:lang w:bidi="ar-IQ"/>
        </w:rPr>
        <w:t>ّ</w:t>
      </w:r>
      <w:r w:rsidRPr="006571AC">
        <w:rPr>
          <w:sz w:val="27"/>
          <w:rtl/>
          <w:lang w:bidi="ar-IQ"/>
        </w:rPr>
        <w:t>اً إلى شراء العين المجهولة، وعليه لا يمكنه اللجوء إلى آلي</w:t>
      </w:r>
      <w:r w:rsidR="00095C40" w:rsidRPr="006571AC">
        <w:rPr>
          <w:rFonts w:hint="cs"/>
          <w:sz w:val="27"/>
          <w:rtl/>
          <w:lang w:bidi="ar-IQ"/>
        </w:rPr>
        <w:t>ّ</w:t>
      </w:r>
      <w:r w:rsidRPr="006571AC">
        <w:rPr>
          <w:sz w:val="27"/>
          <w:rtl/>
          <w:lang w:bidi="ar-IQ"/>
        </w:rPr>
        <w:t>ة عقد البيع، ولكن</w:t>
      </w:r>
      <w:r w:rsidR="00095C40" w:rsidRPr="006571AC">
        <w:rPr>
          <w:rFonts w:hint="cs"/>
          <w:sz w:val="27"/>
          <w:rtl/>
          <w:lang w:bidi="ar-IQ"/>
        </w:rPr>
        <w:t>ْ</w:t>
      </w:r>
      <w:r w:rsidRPr="006571AC">
        <w:rPr>
          <w:sz w:val="27"/>
          <w:rtl/>
          <w:lang w:bidi="ar-IQ"/>
        </w:rPr>
        <w:t xml:space="preserve"> مع تشريع عقد الصلح الابتدائي يمكن للمكل</w:t>
      </w:r>
      <w:r w:rsidR="00095C40" w:rsidRPr="006571AC">
        <w:rPr>
          <w:rFonts w:hint="cs"/>
          <w:sz w:val="27"/>
          <w:rtl/>
          <w:lang w:bidi="ar-IQ"/>
        </w:rPr>
        <w:t>َّ</w:t>
      </w:r>
      <w:r w:rsidRPr="006571AC">
        <w:rPr>
          <w:sz w:val="27"/>
          <w:rtl/>
          <w:lang w:bidi="ar-IQ"/>
        </w:rPr>
        <w:t xml:space="preserve">ف أن يصل إلى مراده ومبتغاه. ومن هنا فإنه في العقود </w:t>
      </w:r>
      <w:r w:rsidR="00095C40" w:rsidRPr="006571AC">
        <w:rPr>
          <w:rFonts w:hint="cs"/>
          <w:sz w:val="27"/>
          <w:rtl/>
          <w:lang w:bidi="ar-IQ"/>
        </w:rPr>
        <w:t>المذكورة سابقاً</w:t>
      </w:r>
      <w:r w:rsidRPr="006571AC">
        <w:rPr>
          <w:sz w:val="27"/>
          <w:rtl/>
          <w:lang w:bidi="ar-IQ"/>
        </w:rPr>
        <w:t xml:space="preserve"> تحت عنوان العقود المست</w:t>
      </w:r>
      <w:r w:rsidR="00095C40" w:rsidRPr="006571AC">
        <w:rPr>
          <w:rFonts w:hint="cs"/>
          <w:sz w:val="27"/>
          <w:rtl/>
          <w:lang w:bidi="ar-IQ"/>
        </w:rPr>
        <w:t>َ</w:t>
      </w:r>
      <w:r w:rsidRPr="006571AC">
        <w:rPr>
          <w:sz w:val="27"/>
          <w:rtl/>
          <w:lang w:bidi="ar-IQ"/>
        </w:rPr>
        <w:t>ح</w:t>
      </w:r>
      <w:r w:rsidR="00095C40" w:rsidRPr="006571AC">
        <w:rPr>
          <w:rFonts w:hint="cs"/>
          <w:sz w:val="27"/>
          <w:rtl/>
          <w:lang w:bidi="ar-IQ"/>
        </w:rPr>
        <w:t>ْ</w:t>
      </w:r>
      <w:r w:rsidRPr="006571AC">
        <w:rPr>
          <w:sz w:val="27"/>
          <w:rtl/>
          <w:lang w:bidi="ar-IQ"/>
        </w:rPr>
        <w:t>د</w:t>
      </w:r>
      <w:r w:rsidR="00095C40" w:rsidRPr="006571AC">
        <w:rPr>
          <w:rFonts w:hint="cs"/>
          <w:sz w:val="27"/>
          <w:rtl/>
          <w:lang w:bidi="ar-IQ"/>
        </w:rPr>
        <w:t>َ</w:t>
      </w:r>
      <w:r w:rsidRPr="006571AC">
        <w:rPr>
          <w:sz w:val="27"/>
          <w:rtl/>
          <w:lang w:bidi="ar-IQ"/>
        </w:rPr>
        <w:t>ثة، من قبيل</w:t>
      </w:r>
      <w:r w:rsidR="00095C40" w:rsidRPr="006571AC">
        <w:rPr>
          <w:rFonts w:hint="cs"/>
          <w:sz w:val="27"/>
          <w:rtl/>
          <w:lang w:bidi="ar-IQ"/>
        </w:rPr>
        <w:t>:</w:t>
      </w:r>
      <w:r w:rsidRPr="006571AC">
        <w:rPr>
          <w:sz w:val="27"/>
          <w:rtl/>
          <w:lang w:bidi="ar-IQ"/>
        </w:rPr>
        <w:t xml:space="preserve"> عقد الضمان</w:t>
      </w:r>
      <w:r w:rsidR="00095C40" w:rsidRPr="006571AC">
        <w:rPr>
          <w:rFonts w:hint="cs"/>
          <w:sz w:val="27"/>
          <w:rtl/>
          <w:lang w:bidi="ar-IQ"/>
        </w:rPr>
        <w:t>،</w:t>
      </w:r>
      <w:r w:rsidRPr="006571AC">
        <w:rPr>
          <w:sz w:val="27"/>
          <w:rtl/>
          <w:lang w:bidi="ar-IQ"/>
        </w:rPr>
        <w:t xml:space="preserve"> والملكية الزمنية</w:t>
      </w:r>
      <w:r w:rsidR="00095C40" w:rsidRPr="006571AC">
        <w:rPr>
          <w:rFonts w:hint="cs"/>
          <w:sz w:val="27"/>
          <w:rtl/>
          <w:lang w:bidi="ar-IQ"/>
        </w:rPr>
        <w:t>،</w:t>
      </w:r>
      <w:r w:rsidRPr="006571AC">
        <w:rPr>
          <w:sz w:val="27"/>
          <w:rtl/>
          <w:lang w:bidi="ar-IQ"/>
        </w:rPr>
        <w:t xml:space="preserve"> وما إلى ذلك، لم يكن بالإمكان ضمان ملاكات العقود المتعارفة، ولكن</w:t>
      </w:r>
      <w:r w:rsidR="00095C40" w:rsidRPr="006571AC">
        <w:rPr>
          <w:rFonts w:hint="cs"/>
          <w:sz w:val="27"/>
          <w:rtl/>
          <w:lang w:bidi="ar-IQ"/>
        </w:rPr>
        <w:t>ْ</w:t>
      </w:r>
      <w:r w:rsidRPr="006571AC">
        <w:rPr>
          <w:sz w:val="27"/>
          <w:rtl/>
          <w:lang w:bidi="ar-IQ"/>
        </w:rPr>
        <w:t xml:space="preserve"> يمكن لنا تشريعها في إطار عقد الصلح الابتدائي</w:t>
      </w:r>
      <w:r w:rsidR="00095C40" w:rsidRPr="006571AC">
        <w:rPr>
          <w:rFonts w:hint="cs"/>
          <w:sz w:val="27"/>
          <w:rtl/>
          <w:lang w:bidi="ar-IQ"/>
        </w:rPr>
        <w:t>،</w:t>
      </w:r>
      <w:r w:rsidRPr="006571AC">
        <w:rPr>
          <w:sz w:val="27"/>
          <w:rtl/>
          <w:lang w:bidi="ar-IQ"/>
        </w:rPr>
        <w:t xml:space="preserve"> دون الوقوع في الحيرة والمتاهة. </w:t>
      </w:r>
    </w:p>
    <w:p w:rsidR="00381A52" w:rsidRPr="006571AC" w:rsidRDefault="00381A52" w:rsidP="004B16C6">
      <w:pPr>
        <w:spacing w:line="386" w:lineRule="exact"/>
        <w:rPr>
          <w:sz w:val="27"/>
          <w:rtl/>
          <w:lang w:bidi="ar-IQ"/>
        </w:rPr>
      </w:pPr>
      <w:r w:rsidRPr="006571AC">
        <w:rPr>
          <w:sz w:val="27"/>
          <w:rtl/>
          <w:lang w:bidi="ar-IQ"/>
        </w:rPr>
        <w:t>وبعبارة</w:t>
      </w:r>
      <w:r w:rsidR="00095C40" w:rsidRPr="006571AC">
        <w:rPr>
          <w:rFonts w:hint="cs"/>
          <w:sz w:val="27"/>
          <w:rtl/>
          <w:lang w:bidi="ar-IQ"/>
        </w:rPr>
        <w:t>ٍ</w:t>
      </w:r>
      <w:r w:rsidRPr="006571AC">
        <w:rPr>
          <w:sz w:val="27"/>
          <w:rtl/>
          <w:lang w:bidi="ar-IQ"/>
        </w:rPr>
        <w:t xml:space="preserve"> أخرى: يرى </w:t>
      </w:r>
      <w:r w:rsidR="00DB4851" w:rsidRPr="006571AC">
        <w:rPr>
          <w:rFonts w:hint="cs"/>
          <w:sz w:val="27"/>
          <w:rtl/>
          <w:lang w:bidi="ar-IQ"/>
        </w:rPr>
        <w:t>ال</w:t>
      </w:r>
      <w:r w:rsidRPr="006571AC">
        <w:rPr>
          <w:sz w:val="27"/>
          <w:rtl/>
          <w:lang w:bidi="ar-IQ"/>
        </w:rPr>
        <w:t>كاتب أن مشروعية عقد الصلح الابتدائي يُع</w:t>
      </w:r>
      <w:r w:rsidR="00095C40" w:rsidRPr="006571AC">
        <w:rPr>
          <w:rFonts w:hint="cs"/>
          <w:sz w:val="27"/>
          <w:rtl/>
          <w:lang w:bidi="ar-IQ"/>
        </w:rPr>
        <w:t>َ</w:t>
      </w:r>
      <w:r w:rsidRPr="006571AC">
        <w:rPr>
          <w:sz w:val="27"/>
          <w:rtl/>
          <w:lang w:bidi="ar-IQ"/>
        </w:rPr>
        <w:t xml:space="preserve">دّ واحداً من </w:t>
      </w:r>
      <w:r w:rsidR="00095C40" w:rsidRPr="006571AC">
        <w:rPr>
          <w:rFonts w:hint="cs"/>
          <w:sz w:val="27"/>
          <w:rtl/>
          <w:lang w:bidi="ar-IQ"/>
        </w:rPr>
        <w:t>إ</w:t>
      </w:r>
      <w:r w:rsidRPr="006571AC">
        <w:rPr>
          <w:sz w:val="27"/>
          <w:rtl/>
          <w:lang w:bidi="ar-IQ"/>
        </w:rPr>
        <w:t>بداعات فقه الشيعة، ويثبت حيوية الفقه الشيعي، الأمر الذي حُر</w:t>
      </w:r>
      <w:r w:rsidR="00095C40" w:rsidRPr="006571AC">
        <w:rPr>
          <w:rFonts w:hint="cs"/>
          <w:sz w:val="27"/>
          <w:rtl/>
          <w:lang w:bidi="ar-IQ"/>
        </w:rPr>
        <w:t>ِ</w:t>
      </w:r>
      <w:r w:rsidRPr="006571AC">
        <w:rPr>
          <w:sz w:val="27"/>
          <w:rtl/>
          <w:lang w:bidi="ar-IQ"/>
        </w:rPr>
        <w:t>م منه أهل السن</w:t>
      </w:r>
      <w:r w:rsidR="00095C40" w:rsidRPr="006571AC">
        <w:rPr>
          <w:rFonts w:hint="cs"/>
          <w:sz w:val="27"/>
          <w:rtl/>
          <w:lang w:bidi="ar-IQ"/>
        </w:rPr>
        <w:t>ّ</w:t>
      </w:r>
      <w:r w:rsidRPr="006571AC">
        <w:rPr>
          <w:sz w:val="27"/>
          <w:rtl/>
          <w:lang w:bidi="ar-IQ"/>
        </w:rPr>
        <w:t>ة، ويمكن ـ في ضوء</w:t>
      </w:r>
      <w:r w:rsidR="00095C40" w:rsidRPr="006571AC">
        <w:rPr>
          <w:sz w:val="27"/>
          <w:rtl/>
          <w:lang w:bidi="ar-IQ"/>
        </w:rPr>
        <w:t xml:space="preserve"> هذا العقد ـ أن نجد حلا</w:t>
      </w:r>
      <w:r w:rsidR="00095C40" w:rsidRPr="006571AC">
        <w:rPr>
          <w:rFonts w:hint="cs"/>
          <w:sz w:val="27"/>
          <w:rtl/>
          <w:lang w:bidi="ar-IQ"/>
        </w:rPr>
        <w:t>ًّ</w:t>
      </w:r>
      <w:r w:rsidRPr="006571AC">
        <w:rPr>
          <w:sz w:val="27"/>
          <w:rtl/>
          <w:lang w:bidi="ar-IQ"/>
        </w:rPr>
        <w:t xml:space="preserve"> بالنسبة إلى الكثير من العقود المتعارفة التي قد يواجه المكل</w:t>
      </w:r>
      <w:r w:rsidR="00095C40" w:rsidRPr="006571AC">
        <w:rPr>
          <w:rFonts w:hint="cs"/>
          <w:sz w:val="27"/>
          <w:rtl/>
          <w:lang w:bidi="ar-IQ"/>
        </w:rPr>
        <w:t>َّ</w:t>
      </w:r>
      <w:r w:rsidRPr="006571AC">
        <w:rPr>
          <w:sz w:val="27"/>
          <w:rtl/>
          <w:lang w:bidi="ar-IQ"/>
        </w:rPr>
        <w:t>فون المتدي</w:t>
      </w:r>
      <w:r w:rsidR="00095C40" w:rsidRPr="006571AC">
        <w:rPr>
          <w:rFonts w:hint="cs"/>
          <w:sz w:val="27"/>
          <w:rtl/>
          <w:lang w:bidi="ar-IQ"/>
        </w:rPr>
        <w:t>ِّ</w:t>
      </w:r>
      <w:r w:rsidRPr="006571AC">
        <w:rPr>
          <w:sz w:val="27"/>
          <w:rtl/>
          <w:lang w:bidi="ar-IQ"/>
        </w:rPr>
        <w:t>نون ـ بسبب ضوابطها وشرائطها ـ طريقاً مسدوداً، ومن هنا فإن الشارع المقد</w:t>
      </w:r>
      <w:r w:rsidR="00095C40" w:rsidRPr="006571AC">
        <w:rPr>
          <w:rFonts w:hint="cs"/>
          <w:sz w:val="27"/>
          <w:rtl/>
          <w:lang w:bidi="ar-IQ"/>
        </w:rPr>
        <w:t>َّ</w:t>
      </w:r>
      <w:r w:rsidRPr="006571AC">
        <w:rPr>
          <w:sz w:val="27"/>
          <w:rtl/>
          <w:lang w:bidi="ar-IQ"/>
        </w:rPr>
        <w:t>س قد شرّ</w:t>
      </w:r>
      <w:r w:rsidR="00095C40" w:rsidRPr="006571AC">
        <w:rPr>
          <w:rFonts w:hint="cs"/>
          <w:sz w:val="27"/>
          <w:rtl/>
          <w:lang w:bidi="ar-IQ"/>
        </w:rPr>
        <w:t>َ</w:t>
      </w:r>
      <w:r w:rsidR="00095C40" w:rsidRPr="006571AC">
        <w:rPr>
          <w:sz w:val="27"/>
          <w:rtl/>
          <w:lang w:bidi="ar-IQ"/>
        </w:rPr>
        <w:t>ع هذا العقد بوصفه حلا</w:t>
      </w:r>
      <w:r w:rsidR="00095C40" w:rsidRPr="006571AC">
        <w:rPr>
          <w:rFonts w:hint="cs"/>
          <w:sz w:val="27"/>
          <w:rtl/>
          <w:lang w:bidi="ar-IQ"/>
        </w:rPr>
        <w:t>ًّ</w:t>
      </w:r>
      <w:r w:rsidRPr="006571AC">
        <w:rPr>
          <w:sz w:val="27"/>
          <w:rtl/>
          <w:lang w:bidi="ar-IQ"/>
        </w:rPr>
        <w:t xml:space="preserve"> يضعه بيد المكل</w:t>
      </w:r>
      <w:r w:rsidR="00095C40" w:rsidRPr="006571AC">
        <w:rPr>
          <w:rFonts w:hint="cs"/>
          <w:sz w:val="27"/>
          <w:rtl/>
          <w:lang w:bidi="ar-IQ"/>
        </w:rPr>
        <w:t>َّ</w:t>
      </w:r>
      <w:r w:rsidRPr="006571AC">
        <w:rPr>
          <w:sz w:val="27"/>
          <w:rtl/>
          <w:lang w:bidi="ar-IQ"/>
        </w:rPr>
        <w:t xml:space="preserve">فين لعلاج تلك الحالات. </w:t>
      </w:r>
    </w:p>
    <w:p w:rsidR="00381A52" w:rsidRPr="006571AC" w:rsidRDefault="00381A52" w:rsidP="004B16C6">
      <w:pPr>
        <w:spacing w:line="380" w:lineRule="exact"/>
        <w:rPr>
          <w:sz w:val="27"/>
          <w:rtl/>
          <w:lang w:bidi="ar-IQ"/>
        </w:rPr>
      </w:pPr>
    </w:p>
    <w:p w:rsidR="00381A52" w:rsidRPr="006571AC" w:rsidRDefault="00DB4851" w:rsidP="001518B8">
      <w:pPr>
        <w:pStyle w:val="31"/>
        <w:rPr>
          <w:color w:val="auto"/>
          <w:rtl/>
          <w:lang w:bidi="ar-IQ"/>
        </w:rPr>
      </w:pPr>
      <w:bookmarkStart w:id="145" w:name="_Toc114164634"/>
      <w:r w:rsidRPr="006571AC">
        <w:rPr>
          <w:rFonts w:hint="cs"/>
          <w:color w:val="auto"/>
          <w:rtl/>
          <w:lang w:bidi="ar-IQ"/>
        </w:rPr>
        <w:t>خلاصةٌ واستنتاج</w:t>
      </w:r>
      <w:bookmarkEnd w:id="145"/>
    </w:p>
    <w:p w:rsidR="00E83C22" w:rsidRPr="006571AC" w:rsidRDefault="00381A52" w:rsidP="002C3B7A">
      <w:pPr>
        <w:rPr>
          <w:rtl/>
          <w:lang w:bidi="ar-IQ"/>
        </w:rPr>
      </w:pPr>
      <w:r w:rsidRPr="006571AC">
        <w:rPr>
          <w:rFonts w:hint="cs"/>
          <w:sz w:val="27"/>
          <w:rtl/>
          <w:lang w:bidi="ar-IQ"/>
        </w:rPr>
        <w:t xml:space="preserve">يرى </w:t>
      </w:r>
      <w:r w:rsidR="00DB4851" w:rsidRPr="006571AC">
        <w:rPr>
          <w:rFonts w:hint="cs"/>
          <w:sz w:val="27"/>
          <w:rtl/>
          <w:lang w:bidi="ar-IQ"/>
        </w:rPr>
        <w:t>كاتب</w:t>
      </w:r>
      <w:r w:rsidRPr="006571AC">
        <w:rPr>
          <w:rFonts w:hint="cs"/>
          <w:sz w:val="27"/>
          <w:rtl/>
          <w:lang w:bidi="ar-IQ"/>
        </w:rPr>
        <w:t xml:space="preserve"> </w:t>
      </w:r>
      <w:r w:rsidR="002C3B7A" w:rsidRPr="006571AC">
        <w:rPr>
          <w:rFonts w:hint="cs"/>
          <w:sz w:val="27"/>
          <w:rtl/>
          <w:lang w:bidi="ar-IQ"/>
        </w:rPr>
        <w:t xml:space="preserve">هذه المقالة </w:t>
      </w:r>
      <w:r w:rsidRPr="006571AC">
        <w:rPr>
          <w:rFonts w:hint="cs"/>
          <w:sz w:val="27"/>
          <w:rtl/>
          <w:lang w:bidi="ar-IQ"/>
        </w:rPr>
        <w:t>أن عقد الصلح يمتاز من بين العقود الشرعية بامتيازات</w:t>
      </w:r>
      <w:r w:rsidR="00095C40" w:rsidRPr="006571AC">
        <w:rPr>
          <w:rFonts w:hint="cs"/>
          <w:sz w:val="27"/>
          <w:rtl/>
          <w:lang w:bidi="ar-IQ"/>
        </w:rPr>
        <w:t>ٍ</w:t>
      </w:r>
      <w:r w:rsidRPr="006571AC">
        <w:rPr>
          <w:rFonts w:hint="cs"/>
          <w:sz w:val="27"/>
          <w:rtl/>
          <w:lang w:bidi="ar-IQ"/>
        </w:rPr>
        <w:t xml:space="preserve"> </w:t>
      </w:r>
      <w:r w:rsidRPr="006571AC">
        <w:rPr>
          <w:rFonts w:hint="cs"/>
          <w:sz w:val="27"/>
          <w:rtl/>
          <w:lang w:bidi="ar-IQ"/>
        </w:rPr>
        <w:lastRenderedPageBreak/>
        <w:t>وخصائص فذّة</w:t>
      </w:r>
      <w:r w:rsidR="00095C40" w:rsidRPr="006571AC">
        <w:rPr>
          <w:rFonts w:hint="cs"/>
          <w:sz w:val="27"/>
          <w:rtl/>
          <w:lang w:bidi="ar-IQ"/>
        </w:rPr>
        <w:t>ٍ</w:t>
      </w:r>
      <w:r w:rsidRPr="006571AC">
        <w:rPr>
          <w:rFonts w:hint="cs"/>
          <w:sz w:val="27"/>
          <w:rtl/>
          <w:lang w:bidi="ar-IQ"/>
        </w:rPr>
        <w:t xml:space="preserve"> وفريدة</w:t>
      </w:r>
      <w:r w:rsidR="00095C40" w:rsidRPr="006571AC">
        <w:rPr>
          <w:rFonts w:hint="cs"/>
          <w:sz w:val="27"/>
          <w:rtl/>
          <w:lang w:bidi="ar-IQ"/>
        </w:rPr>
        <w:t>ٍ</w:t>
      </w:r>
      <w:r w:rsidRPr="006571AC">
        <w:rPr>
          <w:rFonts w:hint="cs"/>
          <w:sz w:val="27"/>
          <w:rtl/>
          <w:lang w:bidi="ar-IQ"/>
        </w:rPr>
        <w:t>، الأمر الذي جعل هذا العقد يحظى بمكانة</w:t>
      </w:r>
      <w:r w:rsidR="00095C40" w:rsidRPr="006571AC">
        <w:rPr>
          <w:rFonts w:hint="cs"/>
          <w:sz w:val="27"/>
          <w:rtl/>
          <w:lang w:bidi="ar-IQ"/>
        </w:rPr>
        <w:t>ٍ</w:t>
      </w:r>
      <w:r w:rsidRPr="006571AC">
        <w:rPr>
          <w:rFonts w:hint="cs"/>
          <w:sz w:val="27"/>
          <w:rtl/>
          <w:lang w:bidi="ar-IQ"/>
        </w:rPr>
        <w:t xml:space="preserve"> هامّة؛ إذ هو من ناحية</w:t>
      </w:r>
      <w:r w:rsidR="00095C40" w:rsidRPr="006571AC">
        <w:rPr>
          <w:rFonts w:hint="cs"/>
          <w:sz w:val="27"/>
          <w:rtl/>
          <w:lang w:bidi="ar-IQ"/>
        </w:rPr>
        <w:t>ٍ</w:t>
      </w:r>
      <w:r w:rsidRPr="006571AC">
        <w:rPr>
          <w:rFonts w:hint="cs"/>
          <w:sz w:val="27"/>
          <w:rtl/>
          <w:lang w:bidi="ar-IQ"/>
        </w:rPr>
        <w:t xml:space="preserve"> عقد</w:t>
      </w:r>
      <w:r w:rsidR="00095C40" w:rsidRPr="006571AC">
        <w:rPr>
          <w:rFonts w:hint="cs"/>
          <w:sz w:val="27"/>
          <w:rtl/>
          <w:lang w:bidi="ar-IQ"/>
        </w:rPr>
        <w:t>ٌ</w:t>
      </w:r>
      <w:r w:rsidRPr="006571AC">
        <w:rPr>
          <w:rFonts w:hint="cs"/>
          <w:sz w:val="27"/>
          <w:rtl/>
          <w:lang w:bidi="ar-IQ"/>
        </w:rPr>
        <w:t xml:space="preserve"> مستقل</w:t>
      </w:r>
      <w:r w:rsidR="00095C40" w:rsidRPr="006571AC">
        <w:rPr>
          <w:rFonts w:hint="cs"/>
          <w:sz w:val="27"/>
          <w:rtl/>
          <w:lang w:bidi="ar-IQ"/>
        </w:rPr>
        <w:t>ّ</w:t>
      </w:r>
      <w:r w:rsidRPr="006571AC">
        <w:rPr>
          <w:rFonts w:hint="cs"/>
          <w:sz w:val="27"/>
          <w:rtl/>
          <w:lang w:bidi="ar-IQ"/>
        </w:rPr>
        <w:t xml:space="preserve"> وأصيل</w:t>
      </w:r>
      <w:r w:rsidR="00095C40" w:rsidRPr="006571AC">
        <w:rPr>
          <w:rFonts w:hint="cs"/>
          <w:sz w:val="27"/>
          <w:rtl/>
          <w:lang w:bidi="ar-IQ"/>
        </w:rPr>
        <w:t>ٌ؛</w:t>
      </w:r>
      <w:r w:rsidRPr="006571AC">
        <w:rPr>
          <w:rFonts w:hint="cs"/>
          <w:sz w:val="27"/>
          <w:rtl/>
          <w:lang w:bidi="ar-IQ"/>
        </w:rPr>
        <w:t xml:space="preserve"> حيث لا يحتوي على الأحكام والشرائط الخاصّة بالعقود الأخرى</w:t>
      </w:r>
      <w:r w:rsidR="00095C40" w:rsidRPr="006571AC">
        <w:rPr>
          <w:rFonts w:hint="cs"/>
          <w:sz w:val="27"/>
          <w:rtl/>
          <w:lang w:bidi="ar-IQ"/>
        </w:rPr>
        <w:t xml:space="preserve">؛ </w:t>
      </w:r>
      <w:r w:rsidRPr="006571AC">
        <w:rPr>
          <w:rFonts w:hint="cs"/>
          <w:sz w:val="27"/>
          <w:rtl/>
          <w:lang w:bidi="ar-IQ"/>
        </w:rPr>
        <w:t>ومن ناحية</w:t>
      </w:r>
      <w:r w:rsidR="00095C40" w:rsidRPr="006571AC">
        <w:rPr>
          <w:rFonts w:hint="cs"/>
          <w:sz w:val="27"/>
          <w:rtl/>
          <w:lang w:bidi="ar-IQ"/>
        </w:rPr>
        <w:t>ٍ</w:t>
      </w:r>
      <w:r w:rsidRPr="006571AC">
        <w:rPr>
          <w:rFonts w:hint="cs"/>
          <w:sz w:val="27"/>
          <w:rtl/>
          <w:lang w:bidi="ar-IQ"/>
        </w:rPr>
        <w:t xml:space="preserve"> أخرى يمكن لهذا العقد أن يضفي المشروعي</w:t>
      </w:r>
      <w:r w:rsidR="00095C40" w:rsidRPr="006571AC">
        <w:rPr>
          <w:rFonts w:hint="cs"/>
          <w:sz w:val="27"/>
          <w:rtl/>
          <w:lang w:bidi="ar-IQ"/>
        </w:rPr>
        <w:t>ّ</w:t>
      </w:r>
      <w:r w:rsidRPr="006571AC">
        <w:rPr>
          <w:rFonts w:hint="cs"/>
          <w:sz w:val="27"/>
          <w:rtl/>
          <w:lang w:bidi="ar-IQ"/>
        </w:rPr>
        <w:t>ة على آثار وفوائد أكثر العقود والإيقاعات المعروفة</w:t>
      </w:r>
      <w:r w:rsidR="00095C40" w:rsidRPr="006571AC">
        <w:rPr>
          <w:rFonts w:hint="cs"/>
          <w:sz w:val="27"/>
          <w:rtl/>
          <w:lang w:bidi="ar-IQ"/>
        </w:rPr>
        <w:t>،</w:t>
      </w:r>
      <w:r w:rsidRPr="006571AC">
        <w:rPr>
          <w:rFonts w:hint="cs"/>
          <w:sz w:val="27"/>
          <w:rtl/>
          <w:lang w:bidi="ar-IQ"/>
        </w:rPr>
        <w:t xml:space="preserve"> أو العقود المست</w:t>
      </w:r>
      <w:r w:rsidR="00095C40" w:rsidRPr="006571AC">
        <w:rPr>
          <w:rFonts w:hint="cs"/>
          <w:sz w:val="27"/>
          <w:rtl/>
          <w:lang w:bidi="ar-IQ"/>
        </w:rPr>
        <w:t>َ</w:t>
      </w:r>
      <w:r w:rsidRPr="006571AC">
        <w:rPr>
          <w:rFonts w:hint="cs"/>
          <w:sz w:val="27"/>
          <w:rtl/>
          <w:lang w:bidi="ar-IQ"/>
        </w:rPr>
        <w:t>ح</w:t>
      </w:r>
      <w:r w:rsidR="00095C40" w:rsidRPr="006571AC">
        <w:rPr>
          <w:rFonts w:hint="cs"/>
          <w:sz w:val="27"/>
          <w:rtl/>
          <w:lang w:bidi="ar-IQ"/>
        </w:rPr>
        <w:t>ْ</w:t>
      </w:r>
      <w:r w:rsidRPr="006571AC">
        <w:rPr>
          <w:rFonts w:hint="cs"/>
          <w:sz w:val="27"/>
          <w:rtl/>
          <w:lang w:bidi="ar-IQ"/>
        </w:rPr>
        <w:t>د</w:t>
      </w:r>
      <w:r w:rsidR="00095C40" w:rsidRPr="006571AC">
        <w:rPr>
          <w:rFonts w:hint="cs"/>
          <w:sz w:val="27"/>
          <w:rtl/>
          <w:lang w:bidi="ar-IQ"/>
        </w:rPr>
        <w:t>َ</w:t>
      </w:r>
      <w:r w:rsidRPr="006571AC">
        <w:rPr>
          <w:rFonts w:hint="cs"/>
          <w:sz w:val="27"/>
          <w:rtl/>
          <w:lang w:bidi="ar-IQ"/>
        </w:rPr>
        <w:t>ثة التي لا تندرج ضمن أيّ واحد</w:t>
      </w:r>
      <w:r w:rsidR="00095C40" w:rsidRPr="006571AC">
        <w:rPr>
          <w:rFonts w:hint="cs"/>
          <w:sz w:val="27"/>
          <w:rtl/>
          <w:lang w:bidi="ar-IQ"/>
        </w:rPr>
        <w:t>ٍ</w:t>
      </w:r>
      <w:r w:rsidRPr="006571AC">
        <w:rPr>
          <w:rFonts w:hint="cs"/>
          <w:sz w:val="27"/>
          <w:rtl/>
          <w:lang w:bidi="ar-IQ"/>
        </w:rPr>
        <w:t xml:space="preserve"> من العقود</w:t>
      </w:r>
      <w:r w:rsidR="00095C40" w:rsidRPr="006571AC">
        <w:rPr>
          <w:rFonts w:hint="cs"/>
          <w:sz w:val="27"/>
          <w:rtl/>
          <w:lang w:bidi="ar-IQ"/>
        </w:rPr>
        <w:t>؛</w:t>
      </w:r>
      <w:r w:rsidRPr="006571AC">
        <w:rPr>
          <w:rFonts w:hint="cs"/>
          <w:sz w:val="27"/>
          <w:rtl/>
          <w:lang w:bidi="ar-IQ"/>
        </w:rPr>
        <w:t xml:space="preserve"> ومن جهة</w:t>
      </w:r>
      <w:r w:rsidR="00095C40" w:rsidRPr="006571AC">
        <w:rPr>
          <w:rFonts w:hint="cs"/>
          <w:sz w:val="27"/>
          <w:rtl/>
          <w:lang w:bidi="ar-IQ"/>
        </w:rPr>
        <w:t>ٍ</w:t>
      </w:r>
      <w:r w:rsidRPr="006571AC">
        <w:rPr>
          <w:rFonts w:hint="cs"/>
          <w:sz w:val="27"/>
          <w:rtl/>
          <w:lang w:bidi="ar-IQ"/>
        </w:rPr>
        <w:t xml:space="preserve"> </w:t>
      </w:r>
      <w:r w:rsidR="00095C40" w:rsidRPr="006571AC">
        <w:rPr>
          <w:rFonts w:hint="cs"/>
          <w:sz w:val="27"/>
          <w:rtl/>
          <w:lang w:bidi="ar-IQ"/>
        </w:rPr>
        <w:t>ثالثة</w:t>
      </w:r>
      <w:r w:rsidRPr="006571AC">
        <w:rPr>
          <w:rFonts w:hint="cs"/>
          <w:sz w:val="27"/>
          <w:rtl/>
          <w:lang w:bidi="ar-IQ"/>
        </w:rPr>
        <w:t xml:space="preserve"> يمكن لهذا العقد ـ بالإضافة إلى مكانته الأصلية</w:t>
      </w:r>
      <w:r w:rsidR="00095C40" w:rsidRPr="006571AC">
        <w:rPr>
          <w:rFonts w:hint="cs"/>
          <w:sz w:val="27"/>
          <w:rtl/>
          <w:lang w:bidi="ar-IQ"/>
        </w:rPr>
        <w:t>،</w:t>
      </w:r>
      <w:r w:rsidRPr="006571AC">
        <w:rPr>
          <w:rFonts w:hint="cs"/>
          <w:sz w:val="27"/>
          <w:rtl/>
          <w:lang w:bidi="ar-IQ"/>
        </w:rPr>
        <w:t xml:space="preserve"> التي هي عبارة</w:t>
      </w:r>
      <w:r w:rsidR="00095C40" w:rsidRPr="006571AC">
        <w:rPr>
          <w:rFonts w:hint="cs"/>
          <w:sz w:val="27"/>
          <w:rtl/>
          <w:lang w:bidi="ar-IQ"/>
        </w:rPr>
        <w:t>ٌ</w:t>
      </w:r>
      <w:r w:rsidRPr="006571AC">
        <w:rPr>
          <w:rFonts w:hint="cs"/>
          <w:sz w:val="27"/>
          <w:rtl/>
          <w:lang w:bidi="ar-IQ"/>
        </w:rPr>
        <w:t xml:space="preserve"> عن موارد الصلح ورفع النزاع والاختلاف بين الطرفين ـ أن يلعب </w:t>
      </w:r>
      <w:r w:rsidR="00EA38F1" w:rsidRPr="006571AC">
        <w:rPr>
          <w:rFonts w:hint="cs"/>
          <w:sz w:val="27"/>
          <w:rtl/>
          <w:lang w:bidi="ar-IQ"/>
        </w:rPr>
        <w:t>دَوْر</w:t>
      </w:r>
      <w:r w:rsidRPr="006571AC">
        <w:rPr>
          <w:rFonts w:hint="cs"/>
          <w:sz w:val="27"/>
          <w:rtl/>
          <w:lang w:bidi="ar-IQ"/>
        </w:rPr>
        <w:t>اً في المعاملات الابتدائية التي تخلو من أيّ نزاع</w:t>
      </w:r>
      <w:r w:rsidR="00095C40" w:rsidRPr="006571AC">
        <w:rPr>
          <w:rFonts w:hint="cs"/>
          <w:sz w:val="27"/>
          <w:rtl/>
          <w:lang w:bidi="ar-IQ"/>
        </w:rPr>
        <w:t>ٍ</w:t>
      </w:r>
      <w:r w:rsidRPr="006571AC">
        <w:rPr>
          <w:rFonts w:hint="cs"/>
          <w:sz w:val="27"/>
          <w:rtl/>
          <w:lang w:bidi="ar-IQ"/>
        </w:rPr>
        <w:t xml:space="preserve"> أو خصومة</w:t>
      </w:r>
      <w:r w:rsidR="00095C40" w:rsidRPr="006571AC">
        <w:rPr>
          <w:rFonts w:hint="cs"/>
          <w:sz w:val="27"/>
          <w:rtl/>
          <w:lang w:bidi="ar-IQ"/>
        </w:rPr>
        <w:t>ٍ</w:t>
      </w:r>
      <w:r w:rsidRPr="006571AC">
        <w:rPr>
          <w:rFonts w:hint="cs"/>
          <w:sz w:val="27"/>
          <w:rtl/>
          <w:lang w:bidi="ar-IQ"/>
        </w:rPr>
        <w:t xml:space="preserve"> سابقة. ودليل</w:t>
      </w:r>
      <w:r w:rsidR="00095C40" w:rsidRPr="006571AC">
        <w:rPr>
          <w:rFonts w:hint="cs"/>
          <w:sz w:val="27"/>
          <w:rtl/>
          <w:lang w:bidi="ar-IQ"/>
        </w:rPr>
        <w:t>ُ</w:t>
      </w:r>
      <w:r w:rsidRPr="006571AC">
        <w:rPr>
          <w:rFonts w:hint="cs"/>
          <w:sz w:val="27"/>
          <w:rtl/>
          <w:lang w:bidi="ar-IQ"/>
        </w:rPr>
        <w:t>نا على عدم ضرورة سبق الخصومة المتحق</w:t>
      </w:r>
      <w:r w:rsidR="00095C40" w:rsidRPr="006571AC">
        <w:rPr>
          <w:rFonts w:hint="cs"/>
          <w:sz w:val="27"/>
          <w:rtl/>
          <w:lang w:bidi="ar-IQ"/>
        </w:rPr>
        <w:t>ِّ</w:t>
      </w:r>
      <w:r w:rsidRPr="006571AC">
        <w:rPr>
          <w:rFonts w:hint="cs"/>
          <w:sz w:val="27"/>
          <w:rtl/>
          <w:lang w:bidi="ar-IQ"/>
        </w:rPr>
        <w:t xml:space="preserve">قة والمحتملة هي أدلة العقود العامّة، من قبيل: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sz w:val="27"/>
          <w:rtl/>
          <w:lang w:bidi="ar-IQ"/>
        </w:rPr>
        <w:t>، و</w:t>
      </w:r>
      <w:r w:rsidRPr="006571AC">
        <w:rPr>
          <w:rFonts w:ascii="Mosawi" w:hAnsi="Mosawi" w:cs="Mosawi"/>
          <w:sz w:val="24"/>
          <w:szCs w:val="24"/>
          <w:rtl/>
        </w:rPr>
        <w:t>﴿</w:t>
      </w:r>
      <w:r w:rsidRPr="006571AC">
        <w:rPr>
          <w:b/>
          <w:bCs/>
          <w:sz w:val="27"/>
          <w:rtl/>
          <w:lang w:bidi="ar-IQ"/>
        </w:rPr>
        <w:t>تِجَارَةً عَنْ تَرَاضٍ مِنْكُمْ</w:t>
      </w:r>
      <w:r w:rsidRPr="006571AC">
        <w:rPr>
          <w:rFonts w:ascii="Mosawi" w:hAnsi="Mosawi" w:cs="Mosawi"/>
          <w:sz w:val="24"/>
          <w:szCs w:val="24"/>
          <w:rtl/>
        </w:rPr>
        <w:t>﴾</w:t>
      </w:r>
      <w:r w:rsidRPr="006571AC">
        <w:rPr>
          <w:sz w:val="27"/>
          <w:rtl/>
          <w:lang w:bidi="ar-IQ"/>
        </w:rPr>
        <w:t>، و</w:t>
      </w:r>
      <w:r w:rsidRPr="006571AC">
        <w:rPr>
          <w:rFonts w:hint="eastAsia"/>
          <w:sz w:val="24"/>
          <w:szCs w:val="24"/>
          <w:rtl/>
        </w:rPr>
        <w:t>«</w:t>
      </w:r>
      <w:r w:rsidRPr="006571AC">
        <w:rPr>
          <w:sz w:val="27"/>
          <w:rtl/>
          <w:lang w:bidi="ar-IQ"/>
        </w:rPr>
        <w:t>الم</w:t>
      </w:r>
      <w:r w:rsidRPr="006571AC">
        <w:rPr>
          <w:rFonts w:hint="cs"/>
          <w:sz w:val="27"/>
          <w:rtl/>
          <w:lang w:bidi="ar-IQ"/>
        </w:rPr>
        <w:t>ؤمن</w:t>
      </w:r>
      <w:r w:rsidRPr="006571AC">
        <w:rPr>
          <w:sz w:val="27"/>
          <w:rtl/>
          <w:lang w:bidi="ar-IQ"/>
        </w:rPr>
        <w:t>ون عند شروطهم</w:t>
      </w:r>
      <w:r w:rsidRPr="006571AC">
        <w:rPr>
          <w:rFonts w:hint="eastAsia"/>
          <w:sz w:val="24"/>
          <w:szCs w:val="24"/>
          <w:rtl/>
        </w:rPr>
        <w:t>»</w:t>
      </w:r>
      <w:r w:rsidR="002C3B7A" w:rsidRPr="006571AC">
        <w:rPr>
          <w:rFonts w:hint="cs"/>
          <w:sz w:val="27"/>
          <w:rtl/>
          <w:lang w:bidi="ar-IQ"/>
        </w:rPr>
        <w:t xml:space="preserve">؛ </w:t>
      </w:r>
      <w:r w:rsidRPr="006571AC">
        <w:rPr>
          <w:rFonts w:hint="cs"/>
          <w:sz w:val="27"/>
          <w:rtl/>
          <w:lang w:bidi="ar-IQ"/>
        </w:rPr>
        <w:t>وكذلك بعض الأدل</w:t>
      </w:r>
      <w:r w:rsidR="00095C40" w:rsidRPr="006571AC">
        <w:rPr>
          <w:rFonts w:hint="cs"/>
          <w:sz w:val="27"/>
          <w:rtl/>
          <w:lang w:bidi="ar-IQ"/>
        </w:rPr>
        <w:t>ّ</w:t>
      </w:r>
      <w:r w:rsidRPr="006571AC">
        <w:rPr>
          <w:rFonts w:hint="cs"/>
          <w:sz w:val="27"/>
          <w:rtl/>
          <w:lang w:bidi="ar-IQ"/>
        </w:rPr>
        <w:t>ة الروائية الخاص</w:t>
      </w:r>
      <w:r w:rsidR="00095C40" w:rsidRPr="006571AC">
        <w:rPr>
          <w:rFonts w:hint="cs"/>
          <w:sz w:val="27"/>
          <w:rtl/>
          <w:lang w:bidi="ar-IQ"/>
        </w:rPr>
        <w:t>ّ</w:t>
      </w:r>
      <w:r w:rsidRPr="006571AC">
        <w:rPr>
          <w:rFonts w:hint="cs"/>
          <w:sz w:val="27"/>
          <w:rtl/>
          <w:lang w:bidi="ar-IQ"/>
        </w:rPr>
        <w:t>ة</w:t>
      </w:r>
      <w:r w:rsidR="00095C40" w:rsidRPr="006571AC">
        <w:rPr>
          <w:rFonts w:hint="cs"/>
          <w:sz w:val="27"/>
          <w:rtl/>
          <w:lang w:bidi="ar-IQ"/>
        </w:rPr>
        <w:t>،</w:t>
      </w:r>
      <w:r w:rsidRPr="006571AC">
        <w:rPr>
          <w:rFonts w:hint="cs"/>
          <w:sz w:val="27"/>
          <w:rtl/>
          <w:lang w:bidi="ar-IQ"/>
        </w:rPr>
        <w:t xml:space="preserve"> التي أش</w:t>
      </w:r>
      <w:r w:rsidR="00095C40" w:rsidRPr="006571AC">
        <w:rPr>
          <w:rFonts w:hint="cs"/>
          <w:sz w:val="27"/>
          <w:rtl/>
          <w:lang w:bidi="ar-IQ"/>
        </w:rPr>
        <w:t>َ</w:t>
      </w:r>
      <w:r w:rsidRPr="006571AC">
        <w:rPr>
          <w:rFonts w:hint="cs"/>
          <w:sz w:val="27"/>
          <w:rtl/>
          <w:lang w:bidi="ar-IQ"/>
        </w:rPr>
        <w:t>ر</w:t>
      </w:r>
      <w:r w:rsidR="00095C40" w:rsidRPr="006571AC">
        <w:rPr>
          <w:rFonts w:hint="cs"/>
          <w:sz w:val="27"/>
          <w:rtl/>
          <w:lang w:bidi="ar-IQ"/>
        </w:rPr>
        <w:t>ْ</w:t>
      </w:r>
      <w:r w:rsidRPr="006571AC">
        <w:rPr>
          <w:rFonts w:hint="cs"/>
          <w:sz w:val="27"/>
          <w:rtl/>
          <w:lang w:bidi="ar-IQ"/>
        </w:rPr>
        <w:t>نا إلى آحادها في بحث أدلة مشروعية الصلح الابتدائي، ويمكن لها أن تكون أدل</w:t>
      </w:r>
      <w:r w:rsidR="00095C40" w:rsidRPr="006571AC">
        <w:rPr>
          <w:rFonts w:hint="cs"/>
          <w:sz w:val="27"/>
          <w:rtl/>
          <w:lang w:bidi="ar-IQ"/>
        </w:rPr>
        <w:t>ّ</w:t>
      </w:r>
      <w:r w:rsidRPr="006571AC">
        <w:rPr>
          <w:rFonts w:hint="cs"/>
          <w:sz w:val="27"/>
          <w:rtl/>
          <w:lang w:bidi="ar-IQ"/>
        </w:rPr>
        <w:t>ة</w:t>
      </w:r>
      <w:r w:rsidR="00095C40" w:rsidRPr="006571AC">
        <w:rPr>
          <w:rFonts w:hint="cs"/>
          <w:sz w:val="27"/>
          <w:rtl/>
          <w:lang w:bidi="ar-IQ"/>
        </w:rPr>
        <w:t>ً</w:t>
      </w:r>
      <w:r w:rsidRPr="006571AC">
        <w:rPr>
          <w:rFonts w:hint="cs"/>
          <w:sz w:val="27"/>
          <w:rtl/>
          <w:lang w:bidi="ar-IQ"/>
        </w:rPr>
        <w:t xml:space="preserve"> واضحة لإضفاء المشروعية على الصلح الابتدائي</w:t>
      </w:r>
      <w:r w:rsidR="00A67F03" w:rsidRPr="006571AC">
        <w:rPr>
          <w:rFonts w:hint="cs"/>
          <w:sz w:val="27"/>
          <w:rtl/>
          <w:lang w:bidi="ar-IQ"/>
        </w:rPr>
        <w:t>.</w:t>
      </w:r>
      <w:r w:rsidRPr="006571AC">
        <w:rPr>
          <w:rFonts w:hint="cs"/>
          <w:sz w:val="27"/>
          <w:rtl/>
          <w:lang w:bidi="ar-IQ"/>
        </w:rPr>
        <w:t xml:space="preserve"> ومن هذه الناحية ـ وفي ضوء عقد الصلح الابتدائي ـ يمكن الالتزام حت</w:t>
      </w:r>
      <w:r w:rsidR="00A67F03" w:rsidRPr="006571AC">
        <w:rPr>
          <w:rFonts w:hint="cs"/>
          <w:sz w:val="27"/>
          <w:rtl/>
          <w:lang w:bidi="ar-IQ"/>
        </w:rPr>
        <w:t>ّ</w:t>
      </w:r>
      <w:r w:rsidRPr="006571AC">
        <w:rPr>
          <w:rFonts w:hint="cs"/>
          <w:sz w:val="27"/>
          <w:rtl/>
          <w:lang w:bidi="ar-IQ"/>
        </w:rPr>
        <w:t>ى بما كان المتقد</w:t>
      </w:r>
      <w:r w:rsidR="00A67F03" w:rsidRPr="006571AC">
        <w:rPr>
          <w:rFonts w:hint="cs"/>
          <w:sz w:val="27"/>
          <w:rtl/>
          <w:lang w:bidi="ar-IQ"/>
        </w:rPr>
        <w:t>ِّ</w:t>
      </w:r>
      <w:r w:rsidRPr="006571AC">
        <w:rPr>
          <w:rFonts w:hint="cs"/>
          <w:sz w:val="27"/>
          <w:rtl/>
          <w:lang w:bidi="ar-IQ"/>
        </w:rPr>
        <w:t>مون يعتقدونه من انحصارية العقود أيضاً، وليس من اللازم لإثبات مشروعية العقود المست</w:t>
      </w:r>
      <w:r w:rsidR="00A67F03" w:rsidRPr="006571AC">
        <w:rPr>
          <w:rFonts w:hint="cs"/>
          <w:sz w:val="27"/>
          <w:rtl/>
          <w:lang w:bidi="ar-IQ"/>
        </w:rPr>
        <w:t>َ</w:t>
      </w:r>
      <w:r w:rsidRPr="006571AC">
        <w:rPr>
          <w:rFonts w:hint="cs"/>
          <w:sz w:val="27"/>
          <w:rtl/>
          <w:lang w:bidi="ar-IQ"/>
        </w:rPr>
        <w:t>ح</w:t>
      </w:r>
      <w:r w:rsidR="00A67F03" w:rsidRPr="006571AC">
        <w:rPr>
          <w:rFonts w:hint="cs"/>
          <w:sz w:val="27"/>
          <w:rtl/>
          <w:lang w:bidi="ar-IQ"/>
        </w:rPr>
        <w:t>ْ</w:t>
      </w:r>
      <w:r w:rsidRPr="006571AC">
        <w:rPr>
          <w:rFonts w:hint="cs"/>
          <w:sz w:val="27"/>
          <w:rtl/>
          <w:lang w:bidi="ar-IQ"/>
        </w:rPr>
        <w:t>د</w:t>
      </w:r>
      <w:r w:rsidR="00A67F03" w:rsidRPr="006571AC">
        <w:rPr>
          <w:rFonts w:hint="cs"/>
          <w:sz w:val="27"/>
          <w:rtl/>
          <w:lang w:bidi="ar-IQ"/>
        </w:rPr>
        <w:t>َ</w:t>
      </w:r>
      <w:r w:rsidRPr="006571AC">
        <w:rPr>
          <w:rFonts w:hint="cs"/>
          <w:sz w:val="27"/>
          <w:rtl/>
          <w:lang w:bidi="ar-IQ"/>
        </w:rPr>
        <w:t>ثة أن نرفع اليد عن انحصاري</w:t>
      </w:r>
      <w:r w:rsidR="00A67F03" w:rsidRPr="006571AC">
        <w:rPr>
          <w:rFonts w:hint="cs"/>
          <w:sz w:val="27"/>
          <w:rtl/>
          <w:lang w:bidi="ar-IQ"/>
        </w:rPr>
        <w:t>ّ</w:t>
      </w:r>
      <w:r w:rsidRPr="006571AC">
        <w:rPr>
          <w:rFonts w:hint="cs"/>
          <w:sz w:val="27"/>
          <w:rtl/>
          <w:lang w:bidi="ar-IQ"/>
        </w:rPr>
        <w:t>ة العقود والمعاملات. ولذلك فإن هذه المكانة الخاصة التي تحق</w:t>
      </w:r>
      <w:r w:rsidR="00A67F03" w:rsidRPr="006571AC">
        <w:rPr>
          <w:rFonts w:hint="cs"/>
          <w:sz w:val="27"/>
          <w:rtl/>
          <w:lang w:bidi="ar-IQ"/>
        </w:rPr>
        <w:t>َّ</w:t>
      </w:r>
      <w:r w:rsidRPr="006571AC">
        <w:rPr>
          <w:rFonts w:hint="cs"/>
          <w:sz w:val="27"/>
          <w:rtl/>
          <w:lang w:bidi="ar-IQ"/>
        </w:rPr>
        <w:t>قت لعقد الصلح جعل</w:t>
      </w:r>
      <w:r w:rsidR="002C3B7A" w:rsidRPr="006571AC">
        <w:rPr>
          <w:rFonts w:hint="cs"/>
          <w:sz w:val="27"/>
          <w:rtl/>
          <w:lang w:bidi="ar-IQ"/>
        </w:rPr>
        <w:t>َ</w:t>
      </w:r>
      <w:r w:rsidRPr="006571AC">
        <w:rPr>
          <w:rFonts w:hint="cs"/>
          <w:sz w:val="27"/>
          <w:rtl/>
          <w:lang w:bidi="ar-IQ"/>
        </w:rPr>
        <w:t>ت</w:t>
      </w:r>
      <w:r w:rsidR="002C3B7A" w:rsidRPr="006571AC">
        <w:rPr>
          <w:rFonts w:hint="cs"/>
          <w:sz w:val="27"/>
          <w:rtl/>
          <w:lang w:bidi="ar-IQ"/>
        </w:rPr>
        <w:t>ْ</w:t>
      </w:r>
      <w:r w:rsidRPr="006571AC">
        <w:rPr>
          <w:rFonts w:hint="cs"/>
          <w:sz w:val="27"/>
          <w:rtl/>
          <w:lang w:bidi="ar-IQ"/>
        </w:rPr>
        <w:t xml:space="preserve"> بعض العلماء يصفونه بـ </w:t>
      </w:r>
      <w:r w:rsidRPr="006571AC">
        <w:rPr>
          <w:rFonts w:hint="eastAsia"/>
          <w:sz w:val="24"/>
          <w:szCs w:val="24"/>
          <w:rtl/>
        </w:rPr>
        <w:t>«</w:t>
      </w:r>
      <w:r w:rsidRPr="006571AC">
        <w:rPr>
          <w:rFonts w:hint="cs"/>
          <w:sz w:val="27"/>
          <w:rtl/>
          <w:lang w:bidi="ar-IQ"/>
        </w:rPr>
        <w:t>أنفع العقود</w:t>
      </w:r>
      <w:r w:rsidRPr="006571AC">
        <w:rPr>
          <w:rFonts w:hint="eastAsia"/>
          <w:sz w:val="24"/>
          <w:szCs w:val="24"/>
          <w:rtl/>
        </w:rPr>
        <w:t>»</w:t>
      </w:r>
      <w:r w:rsidRPr="006571AC">
        <w:rPr>
          <w:sz w:val="27"/>
          <w:vertAlign w:val="superscript"/>
          <w:rtl/>
          <w:lang w:bidi="ar-IQ"/>
        </w:rPr>
        <w:t>(</w:t>
      </w:r>
      <w:r w:rsidRPr="006571AC">
        <w:rPr>
          <w:rStyle w:val="ac"/>
          <w:sz w:val="27"/>
          <w:rtl/>
          <w:lang w:bidi="ar-IQ"/>
        </w:rPr>
        <w:endnoteReference w:id="331"/>
      </w:r>
      <w:r w:rsidRPr="006571AC">
        <w:rPr>
          <w:sz w:val="27"/>
          <w:vertAlign w:val="superscript"/>
          <w:rtl/>
          <w:lang w:bidi="ar-IQ"/>
        </w:rPr>
        <w:t>)</w:t>
      </w:r>
      <w:r w:rsidRPr="006571AC">
        <w:rPr>
          <w:rFonts w:hint="cs"/>
          <w:sz w:val="27"/>
          <w:rtl/>
          <w:lang w:bidi="ar-IQ"/>
        </w:rPr>
        <w:t>.</w:t>
      </w:r>
    </w:p>
    <w:p w:rsidR="00E83C22" w:rsidRPr="006571AC" w:rsidRDefault="00E83C22" w:rsidP="004B16C6">
      <w:pPr>
        <w:spacing w:line="460" w:lineRule="exact"/>
        <w:rPr>
          <w:rtl/>
        </w:rPr>
      </w:pPr>
    </w:p>
    <w:p w:rsidR="00E83C22" w:rsidRPr="006571AC" w:rsidRDefault="00E83C22" w:rsidP="004B16C6">
      <w:pPr>
        <w:spacing w:line="460" w:lineRule="exact"/>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62"/>
          <w:headerReference w:type="default" r:id="rId63"/>
          <w:footerReference w:type="even" r:id="rId64"/>
          <w:footerReference w:type="default" r:id="rId6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66"/>
          <w:headerReference w:type="default" r:id="rId67"/>
          <w:footerReference w:type="even" r:id="rId68"/>
          <w:footerReference w:type="default" r:id="rId69"/>
          <w:headerReference w:type="first" r:id="rId7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4B16C6">
      <w:pPr>
        <w:spacing w:line="470" w:lineRule="exact"/>
        <w:rPr>
          <w:rtl/>
        </w:rPr>
      </w:pPr>
    </w:p>
    <w:p w:rsidR="00E83C22" w:rsidRPr="006571AC" w:rsidRDefault="00E83C22" w:rsidP="004B16C6">
      <w:pPr>
        <w:spacing w:line="460" w:lineRule="exact"/>
        <w:rPr>
          <w:rtl/>
        </w:rPr>
      </w:pPr>
    </w:p>
    <w:p w:rsidR="00E83C22" w:rsidRPr="006571AC" w:rsidRDefault="005D05A4" w:rsidP="005D05A4">
      <w:pPr>
        <w:pStyle w:val="10"/>
        <w:spacing w:line="216" w:lineRule="auto"/>
        <w:rPr>
          <w:rtl/>
        </w:rPr>
      </w:pPr>
      <w:bookmarkStart w:id="146" w:name="_Toc114164635"/>
      <w:r w:rsidRPr="006571AC">
        <w:rPr>
          <w:rFonts w:hint="cs"/>
          <w:rtl/>
        </w:rPr>
        <w:t>آية</w:t>
      </w:r>
      <w:r w:rsidRPr="006571AC">
        <w:rPr>
          <w:rtl/>
        </w:rPr>
        <w:t xml:space="preserve"> </w:t>
      </w:r>
      <w:r w:rsidRPr="006571AC">
        <w:rPr>
          <w:rFonts w:hint="cs"/>
          <w:rtl/>
        </w:rPr>
        <w:t>التبليغ</w:t>
      </w:r>
      <w:r w:rsidR="000F08D4" w:rsidRPr="006571AC">
        <w:rPr>
          <w:rFonts w:hint="cs"/>
          <w:rtl/>
        </w:rPr>
        <w:t xml:space="preserve"> وأسباب نزولها</w:t>
      </w:r>
      <w:bookmarkEnd w:id="146"/>
    </w:p>
    <w:p w:rsidR="00E83C22" w:rsidRPr="006571AC" w:rsidRDefault="005D05A4" w:rsidP="000F08D4">
      <w:pPr>
        <w:pStyle w:val="10"/>
        <w:spacing w:line="216" w:lineRule="auto"/>
        <w:rPr>
          <w:sz w:val="26"/>
          <w:szCs w:val="42"/>
          <w:rtl/>
        </w:rPr>
      </w:pPr>
      <w:bookmarkStart w:id="147" w:name="_Toc114164636"/>
      <w:r w:rsidRPr="006571AC">
        <w:rPr>
          <w:rFonts w:hint="cs"/>
          <w:sz w:val="26"/>
          <w:szCs w:val="42"/>
          <w:rtl/>
        </w:rPr>
        <w:t>دراسةٌ تحليل</w:t>
      </w:r>
      <w:r w:rsidR="000F08D4" w:rsidRPr="006571AC">
        <w:rPr>
          <w:rFonts w:hint="cs"/>
          <w:sz w:val="26"/>
          <w:szCs w:val="42"/>
          <w:rtl/>
        </w:rPr>
        <w:t>يّة مقارنة</w:t>
      </w:r>
      <w:bookmarkEnd w:id="147"/>
    </w:p>
    <w:p w:rsidR="00E83C22" w:rsidRPr="006571AC" w:rsidRDefault="00E83C22" w:rsidP="004B16C6">
      <w:pPr>
        <w:spacing w:line="320" w:lineRule="exact"/>
        <w:rPr>
          <w:rtl/>
        </w:rPr>
      </w:pPr>
    </w:p>
    <w:p w:rsidR="00E83C22" w:rsidRPr="006571AC" w:rsidRDefault="002B3461" w:rsidP="002B3461">
      <w:pPr>
        <w:pStyle w:val="Author"/>
        <w:rPr>
          <w:rtl/>
        </w:rPr>
      </w:pPr>
      <w:r w:rsidRPr="006571AC">
        <w:rPr>
          <w:rFonts w:hint="cs"/>
          <w:rtl/>
        </w:rPr>
        <w:t xml:space="preserve">د. الشيخ </w:t>
      </w:r>
      <w:r w:rsidRPr="006571AC">
        <w:rPr>
          <w:rtl/>
        </w:rPr>
        <w:t xml:space="preserve">كامران </w:t>
      </w:r>
      <w:r w:rsidRPr="006571AC">
        <w:rPr>
          <w:rFonts w:hint="cs"/>
          <w:rtl/>
        </w:rPr>
        <w:t>أ</w:t>
      </w:r>
      <w:r w:rsidRPr="006571AC">
        <w:rPr>
          <w:rtl/>
        </w:rPr>
        <w:t>ويسي</w:t>
      </w:r>
      <w:r w:rsidR="00527634" w:rsidRPr="006571AC">
        <w:rPr>
          <w:rFonts w:cs="Taher" w:hint="cs"/>
          <w:vertAlign w:val="superscript"/>
          <w:rtl/>
        </w:rPr>
        <w:t>(</w:t>
      </w:r>
      <w:r w:rsidR="00527634" w:rsidRPr="006571AC">
        <w:rPr>
          <w:rFonts w:cs="Taher"/>
          <w:vertAlign w:val="superscript"/>
          <w:rtl/>
        </w:rPr>
        <w:footnoteReference w:customMarkFollows="1" w:id="8"/>
        <w:t>*)</w:t>
      </w:r>
    </w:p>
    <w:p w:rsidR="002B3461" w:rsidRPr="006571AC" w:rsidRDefault="002B3461" w:rsidP="002B3461">
      <w:pPr>
        <w:pStyle w:val="Author"/>
        <w:rPr>
          <w:rtl/>
        </w:rPr>
      </w:pPr>
      <w:r w:rsidRPr="006571AC">
        <w:rPr>
          <w:rFonts w:hint="cs"/>
          <w:rtl/>
        </w:rPr>
        <w:t xml:space="preserve">الشيخ </w:t>
      </w:r>
      <w:r w:rsidRPr="006571AC">
        <w:rPr>
          <w:rtl/>
        </w:rPr>
        <w:t>عيس</w:t>
      </w:r>
      <w:r w:rsidRPr="006571AC">
        <w:rPr>
          <w:rFonts w:hint="cs"/>
          <w:rtl/>
        </w:rPr>
        <w:t>ى</w:t>
      </w:r>
      <w:r w:rsidRPr="006571AC">
        <w:rPr>
          <w:rtl/>
        </w:rPr>
        <w:t xml:space="preserve"> محسني</w:t>
      </w:r>
      <w:r w:rsidRPr="006571AC">
        <w:rPr>
          <w:rFonts w:cs="Taher" w:hint="cs"/>
          <w:vertAlign w:val="superscript"/>
          <w:rtl/>
        </w:rPr>
        <w:t>(*</w:t>
      </w:r>
      <w:r w:rsidRPr="006571AC">
        <w:rPr>
          <w:rFonts w:cs="Taher"/>
          <w:vertAlign w:val="superscript"/>
          <w:rtl/>
        </w:rPr>
        <w:footnoteReference w:customMarkFollows="1" w:id="9"/>
        <w:t>*)</w:t>
      </w:r>
    </w:p>
    <w:p w:rsidR="00E83C22" w:rsidRPr="006571AC" w:rsidRDefault="00E83C22" w:rsidP="004B16C6">
      <w:pPr>
        <w:spacing w:line="320" w:lineRule="exact"/>
        <w:rPr>
          <w:rtl/>
        </w:rPr>
      </w:pPr>
    </w:p>
    <w:p w:rsidR="005D05A4" w:rsidRPr="006571AC" w:rsidRDefault="005D05A4" w:rsidP="002B3461">
      <w:pPr>
        <w:pStyle w:val="31"/>
        <w:rPr>
          <w:color w:val="auto"/>
          <w:rtl/>
        </w:rPr>
      </w:pPr>
      <w:bookmarkStart w:id="148" w:name="_Toc114164637"/>
      <w:r w:rsidRPr="006571AC">
        <w:rPr>
          <w:rFonts w:hint="cs"/>
          <w:color w:val="auto"/>
          <w:rtl/>
        </w:rPr>
        <w:t>مقدّمة</w:t>
      </w:r>
      <w:r w:rsidR="000F08D4" w:rsidRPr="006571AC">
        <w:rPr>
          <w:rFonts w:hint="cs"/>
          <w:color w:val="auto"/>
          <w:rtl/>
        </w:rPr>
        <w:t>ٌ</w:t>
      </w:r>
      <w:bookmarkEnd w:id="148"/>
      <w:r w:rsidRPr="006571AC">
        <w:rPr>
          <w:rFonts w:hint="cs"/>
          <w:color w:val="auto"/>
          <w:rtl/>
        </w:rPr>
        <w:t xml:space="preserve"> </w:t>
      </w:r>
    </w:p>
    <w:p w:rsidR="005D05A4" w:rsidRPr="006571AC" w:rsidRDefault="005D05A4" w:rsidP="00B41BA0">
      <w:pPr>
        <w:rPr>
          <w:rFonts w:ascii="Sakkal Majalla" w:hAnsi="Sakkal Majalla"/>
          <w:sz w:val="27"/>
          <w:rtl/>
        </w:rPr>
      </w:pPr>
      <w:r w:rsidRPr="006571AC">
        <w:rPr>
          <w:rFonts w:ascii="Sakkal Majalla" w:hAnsi="Sakkal Majalla" w:hint="cs"/>
          <w:sz w:val="27"/>
          <w:rtl/>
        </w:rPr>
        <w:t>لقد منّ</w:t>
      </w:r>
      <w:r w:rsidR="00CF29D1" w:rsidRPr="006571AC">
        <w:rPr>
          <w:rFonts w:ascii="Sakkal Majalla" w:hAnsi="Sakkal Majalla" w:hint="cs"/>
          <w:sz w:val="27"/>
          <w:rtl/>
        </w:rPr>
        <w:t>َ</w:t>
      </w:r>
      <w:r w:rsidRPr="006571AC">
        <w:rPr>
          <w:rFonts w:ascii="Sakkal Majalla" w:hAnsi="Sakkal Majalla" w:hint="cs"/>
          <w:sz w:val="27"/>
          <w:rtl/>
        </w:rPr>
        <w:t xml:space="preserve"> الله تعالى على هذه الأم</w:t>
      </w:r>
      <w:r w:rsidR="00DA4C71" w:rsidRPr="006571AC">
        <w:rPr>
          <w:rFonts w:ascii="Sakkal Majalla" w:hAnsi="Sakkal Majalla" w:hint="cs"/>
          <w:sz w:val="27"/>
          <w:rtl/>
        </w:rPr>
        <w:t>ّ</w:t>
      </w:r>
      <w:r w:rsidRPr="006571AC">
        <w:rPr>
          <w:rFonts w:ascii="Sakkal Majalla" w:hAnsi="Sakkal Majalla" w:hint="cs"/>
          <w:sz w:val="27"/>
          <w:rtl/>
        </w:rPr>
        <w:t>ة بأن جعل ف</w:t>
      </w:r>
      <w:r w:rsidRPr="006571AC">
        <w:rPr>
          <w:rFonts w:ascii="Times New Roman" w:hAnsi="Times New Roman" w:hint="cs"/>
          <w:sz w:val="27"/>
          <w:rtl/>
        </w:rPr>
        <w:t>ي</w:t>
      </w:r>
      <w:r w:rsidRPr="006571AC">
        <w:rPr>
          <w:rFonts w:ascii="Sakkal Majalla" w:hAnsi="Sakkal Majalla" w:hint="cs"/>
          <w:sz w:val="27"/>
          <w:rtl/>
        </w:rPr>
        <w:t>هم نب</w:t>
      </w:r>
      <w:r w:rsidRPr="006571AC">
        <w:rPr>
          <w:rFonts w:ascii="Times New Roman" w:hAnsi="Times New Roman" w:hint="cs"/>
          <w:sz w:val="27"/>
          <w:rtl/>
        </w:rPr>
        <w:t>ي</w:t>
      </w:r>
      <w:r w:rsidR="007D508D" w:rsidRPr="006571AC">
        <w:rPr>
          <w:rFonts w:ascii="Sakkal Majalla" w:hAnsi="Sakkal Majalla" w:hint="cs"/>
          <w:sz w:val="27"/>
          <w:rtl/>
        </w:rPr>
        <w:t>ّ</w:t>
      </w:r>
      <w:r w:rsidRPr="006571AC">
        <w:rPr>
          <w:rFonts w:ascii="Sakkal Majalla" w:hAnsi="Sakkal Majalla" w:hint="cs"/>
          <w:sz w:val="27"/>
          <w:rtl/>
        </w:rPr>
        <w:t xml:space="preserve">اً </w:t>
      </w:r>
      <w:r w:rsidRPr="006571AC">
        <w:rPr>
          <w:rFonts w:ascii="Times New Roman" w:hAnsi="Times New Roman" w:hint="cs"/>
          <w:sz w:val="27"/>
          <w:rtl/>
        </w:rPr>
        <w:t>ي</w:t>
      </w:r>
      <w:r w:rsidRPr="006571AC">
        <w:rPr>
          <w:rFonts w:ascii="Sakkal Majalla" w:hAnsi="Sakkal Majalla" w:hint="cs"/>
          <w:sz w:val="27"/>
          <w:rtl/>
        </w:rPr>
        <w:t>هد</w:t>
      </w:r>
      <w:r w:rsidRPr="006571AC">
        <w:rPr>
          <w:rFonts w:ascii="Times New Roman" w:hAnsi="Times New Roman" w:hint="cs"/>
          <w:sz w:val="27"/>
          <w:rtl/>
        </w:rPr>
        <w:t>ي</w:t>
      </w:r>
      <w:r w:rsidR="00FA3146" w:rsidRPr="006571AC">
        <w:rPr>
          <w:rFonts w:ascii="Sakkal Majalla" w:hAnsi="Sakkal Majalla" w:hint="cs"/>
          <w:sz w:val="27"/>
          <w:rtl/>
        </w:rPr>
        <w:t>ه</w:t>
      </w:r>
      <w:r w:rsidRPr="006571AC">
        <w:rPr>
          <w:rFonts w:ascii="Sakkal Majalla" w:hAnsi="Sakkal Majalla" w:hint="cs"/>
          <w:sz w:val="27"/>
          <w:rtl/>
        </w:rPr>
        <w:t>م و</w:t>
      </w:r>
      <w:r w:rsidRPr="006571AC">
        <w:rPr>
          <w:rFonts w:ascii="Times New Roman" w:hAnsi="Times New Roman" w:hint="cs"/>
          <w:sz w:val="27"/>
          <w:rtl/>
        </w:rPr>
        <w:t>ي</w:t>
      </w:r>
      <w:r w:rsidRPr="006571AC">
        <w:rPr>
          <w:rFonts w:ascii="Sakkal Majalla" w:hAnsi="Sakkal Majalla" w:hint="cs"/>
          <w:sz w:val="27"/>
          <w:rtl/>
        </w:rPr>
        <w:t>رشدهم إلى السعادة والفلاح، وقد قام هذا النبي العظ</w:t>
      </w:r>
      <w:r w:rsidRPr="006571AC">
        <w:rPr>
          <w:rFonts w:ascii="Times New Roman" w:hAnsi="Times New Roman" w:hint="cs"/>
          <w:sz w:val="27"/>
          <w:rtl/>
        </w:rPr>
        <w:t>ي</w:t>
      </w:r>
      <w:r w:rsidRPr="006571AC">
        <w:rPr>
          <w:rFonts w:ascii="Sakkal Majalla" w:hAnsi="Sakkal Majalla" w:hint="cs"/>
          <w:sz w:val="27"/>
          <w:rtl/>
        </w:rPr>
        <w:t>م</w:t>
      </w:r>
      <w:r w:rsidR="002A2C90" w:rsidRPr="006571AC">
        <w:rPr>
          <w:rFonts w:ascii="Mosawi" w:hAnsi="Mosawi" w:cs="Mosawi"/>
          <w:sz w:val="22"/>
          <w:szCs w:val="22"/>
          <w:rtl/>
        </w:rPr>
        <w:t>|</w:t>
      </w:r>
      <w:r w:rsidRPr="006571AC">
        <w:rPr>
          <w:rFonts w:ascii="Sakkal Majalla" w:hAnsi="Sakkal Majalla" w:hint="cs"/>
          <w:sz w:val="27"/>
          <w:rtl/>
        </w:rPr>
        <w:t xml:space="preserve"> ط</w:t>
      </w:r>
      <w:r w:rsidRPr="006571AC">
        <w:rPr>
          <w:rFonts w:ascii="Times New Roman" w:hAnsi="Times New Roman" w:hint="cs"/>
          <w:sz w:val="27"/>
          <w:rtl/>
        </w:rPr>
        <w:t>ي</w:t>
      </w:r>
      <w:r w:rsidRPr="006571AC">
        <w:rPr>
          <w:rFonts w:ascii="Sakkal Majalla" w:hAnsi="Sakkal Majalla" w:hint="cs"/>
          <w:sz w:val="27"/>
          <w:rtl/>
        </w:rPr>
        <w:t>لة 23 سنة بدعوة الناس إلى التوح</w:t>
      </w:r>
      <w:r w:rsidRPr="006571AC">
        <w:rPr>
          <w:rFonts w:ascii="Times New Roman" w:hAnsi="Times New Roman" w:hint="cs"/>
          <w:sz w:val="27"/>
          <w:rtl/>
        </w:rPr>
        <w:t>ي</w:t>
      </w:r>
      <w:r w:rsidRPr="006571AC">
        <w:rPr>
          <w:rFonts w:ascii="Sakkal Majalla" w:hAnsi="Sakkal Majalla" w:hint="cs"/>
          <w:sz w:val="27"/>
          <w:rtl/>
        </w:rPr>
        <w:t>د والأخلاق الح</w:t>
      </w:r>
      <w:r w:rsidR="007D508D" w:rsidRPr="006571AC">
        <w:rPr>
          <w:rFonts w:ascii="Sakkal Majalla" w:hAnsi="Sakkal Majalla" w:hint="cs"/>
          <w:sz w:val="27"/>
          <w:rtl/>
        </w:rPr>
        <w:t>َ</w:t>
      </w:r>
      <w:r w:rsidRPr="006571AC">
        <w:rPr>
          <w:rFonts w:ascii="Sakkal Majalla" w:hAnsi="Sakkal Majalla" w:hint="cs"/>
          <w:sz w:val="27"/>
          <w:rtl/>
        </w:rPr>
        <w:t>س</w:t>
      </w:r>
      <w:r w:rsidR="007D508D" w:rsidRPr="006571AC">
        <w:rPr>
          <w:rFonts w:ascii="Sakkal Majalla" w:hAnsi="Sakkal Majalla" w:hint="cs"/>
          <w:sz w:val="27"/>
          <w:rtl/>
        </w:rPr>
        <w:t>َ</w:t>
      </w:r>
      <w:r w:rsidRPr="006571AC">
        <w:rPr>
          <w:rFonts w:ascii="Sakkal Majalla" w:hAnsi="Sakkal Majalla" w:hint="cs"/>
          <w:sz w:val="27"/>
          <w:rtl/>
        </w:rPr>
        <w:t>نة والتسامح والأخوة فيما ب</w:t>
      </w:r>
      <w:r w:rsidRPr="006571AC">
        <w:rPr>
          <w:rFonts w:ascii="Times New Roman" w:hAnsi="Times New Roman" w:hint="cs"/>
          <w:sz w:val="27"/>
          <w:rtl/>
        </w:rPr>
        <w:t>ي</w:t>
      </w:r>
      <w:r w:rsidRPr="006571AC">
        <w:rPr>
          <w:rFonts w:ascii="Sakkal Majalla" w:hAnsi="Sakkal Majalla" w:hint="cs"/>
          <w:sz w:val="27"/>
          <w:rtl/>
        </w:rPr>
        <w:t>نهم، وتحمّل الصعوبات الشاقّة لتحق</w:t>
      </w:r>
      <w:r w:rsidRPr="006571AC">
        <w:rPr>
          <w:rFonts w:ascii="Times New Roman" w:hAnsi="Times New Roman" w:hint="cs"/>
          <w:sz w:val="27"/>
          <w:rtl/>
        </w:rPr>
        <w:t>ي</w:t>
      </w:r>
      <w:r w:rsidRPr="006571AC">
        <w:rPr>
          <w:rFonts w:ascii="Sakkal Majalla" w:hAnsi="Sakkal Majalla" w:hint="cs"/>
          <w:sz w:val="27"/>
          <w:rtl/>
        </w:rPr>
        <w:t xml:space="preserve">ق هذا الهدف إلى أن استطاع أن </w:t>
      </w:r>
      <w:r w:rsidRPr="006571AC">
        <w:rPr>
          <w:rFonts w:ascii="Times New Roman" w:hAnsi="Times New Roman" w:hint="cs"/>
          <w:sz w:val="27"/>
          <w:rtl/>
        </w:rPr>
        <w:t>ي</w:t>
      </w:r>
      <w:r w:rsidRPr="006571AC">
        <w:rPr>
          <w:rFonts w:ascii="Sakkal Majalla" w:hAnsi="Sakkal Majalla" w:hint="cs"/>
          <w:sz w:val="27"/>
          <w:rtl/>
        </w:rPr>
        <w:t>نقذ الناس من ذلك المستنقع المهلك الذي كانوا ف</w:t>
      </w:r>
      <w:r w:rsidRPr="006571AC">
        <w:rPr>
          <w:rFonts w:ascii="Times New Roman" w:hAnsi="Times New Roman" w:hint="cs"/>
          <w:sz w:val="27"/>
          <w:rtl/>
        </w:rPr>
        <w:t>ي</w:t>
      </w:r>
      <w:r w:rsidRPr="006571AC">
        <w:rPr>
          <w:rFonts w:ascii="Sakkal Majalla" w:hAnsi="Sakkal Majalla" w:hint="cs"/>
          <w:sz w:val="27"/>
          <w:rtl/>
        </w:rPr>
        <w:t>ه، و</w:t>
      </w:r>
      <w:r w:rsidRPr="006571AC">
        <w:rPr>
          <w:rFonts w:ascii="Times New Roman" w:hAnsi="Times New Roman" w:hint="cs"/>
          <w:sz w:val="27"/>
          <w:rtl/>
        </w:rPr>
        <w:t>ي</w:t>
      </w:r>
      <w:r w:rsidRPr="006571AC">
        <w:rPr>
          <w:rFonts w:ascii="Sakkal Majalla" w:hAnsi="Sakkal Majalla" w:hint="cs"/>
          <w:sz w:val="27"/>
          <w:rtl/>
        </w:rPr>
        <w:t>ز</w:t>
      </w:r>
      <w:r w:rsidRPr="006571AC">
        <w:rPr>
          <w:rFonts w:ascii="Times New Roman" w:hAnsi="Times New Roman" w:hint="cs"/>
          <w:sz w:val="27"/>
          <w:rtl/>
        </w:rPr>
        <w:t>ي</w:t>
      </w:r>
      <w:r w:rsidRPr="006571AC">
        <w:rPr>
          <w:rFonts w:ascii="Sakkal Majalla" w:hAnsi="Sakkal Majalla" w:hint="cs"/>
          <w:sz w:val="27"/>
          <w:rtl/>
        </w:rPr>
        <w:t>ح آثار الشرك والكفر ف</w:t>
      </w:r>
      <w:r w:rsidRPr="006571AC">
        <w:rPr>
          <w:rFonts w:ascii="Times New Roman" w:hAnsi="Times New Roman" w:hint="cs"/>
          <w:sz w:val="27"/>
          <w:rtl/>
        </w:rPr>
        <w:t>ي</w:t>
      </w:r>
      <w:r w:rsidRPr="006571AC">
        <w:rPr>
          <w:rFonts w:ascii="Sakkal Majalla" w:hAnsi="Sakkal Majalla" w:hint="cs"/>
          <w:sz w:val="27"/>
          <w:rtl/>
        </w:rPr>
        <w:t>ما ب</w:t>
      </w:r>
      <w:r w:rsidRPr="006571AC">
        <w:rPr>
          <w:rFonts w:ascii="Times New Roman" w:hAnsi="Times New Roman" w:hint="cs"/>
          <w:sz w:val="27"/>
          <w:rtl/>
        </w:rPr>
        <w:t>ي</w:t>
      </w:r>
      <w:r w:rsidRPr="006571AC">
        <w:rPr>
          <w:rFonts w:ascii="Sakkal Majalla" w:hAnsi="Sakkal Majalla" w:hint="cs"/>
          <w:sz w:val="27"/>
          <w:rtl/>
        </w:rPr>
        <w:t>نهم. و</w:t>
      </w:r>
      <w:r w:rsidR="00731867" w:rsidRPr="006571AC">
        <w:rPr>
          <w:rFonts w:ascii="Sakkal Majalla" w:hAnsi="Sakkal Majalla" w:hint="cs"/>
          <w:sz w:val="27"/>
          <w:rtl/>
        </w:rPr>
        <w:t>لا شَكَّ</w:t>
      </w:r>
      <w:r w:rsidRPr="006571AC">
        <w:rPr>
          <w:rFonts w:ascii="Sakkal Majalla" w:hAnsi="Sakkal Majalla" w:hint="cs"/>
          <w:sz w:val="27"/>
          <w:rtl/>
        </w:rPr>
        <w:t xml:space="preserve"> أنّ النبي</w:t>
      </w:r>
      <w:r w:rsidR="002A2C90" w:rsidRPr="006571AC">
        <w:rPr>
          <w:rFonts w:ascii="Mosawi" w:hAnsi="Mosawi" w:cs="Mosawi"/>
          <w:sz w:val="22"/>
          <w:szCs w:val="22"/>
          <w:rtl/>
        </w:rPr>
        <w:t>|</w:t>
      </w:r>
      <w:r w:rsidRPr="006571AC">
        <w:rPr>
          <w:rFonts w:ascii="Sakkal Majalla" w:hAnsi="Sakkal Majalla" w:hint="cs"/>
          <w:sz w:val="27"/>
          <w:rtl/>
        </w:rPr>
        <w:t xml:space="preserve"> أدر</w:t>
      </w:r>
      <w:r w:rsidR="00FA3146" w:rsidRPr="006571AC">
        <w:rPr>
          <w:rFonts w:ascii="Times New Roman" w:hAnsi="Times New Roman" w:hint="cs"/>
          <w:sz w:val="27"/>
          <w:rtl/>
        </w:rPr>
        <w:t>ى</w:t>
      </w:r>
      <w:r w:rsidRPr="006571AC">
        <w:rPr>
          <w:rFonts w:ascii="Sakkal Majalla" w:hAnsi="Sakkal Majalla" w:hint="cs"/>
          <w:sz w:val="27"/>
          <w:rtl/>
        </w:rPr>
        <w:t xml:space="preserve"> من أ</w:t>
      </w:r>
      <w:r w:rsidRPr="006571AC">
        <w:rPr>
          <w:rFonts w:ascii="Times New Roman" w:hAnsi="Times New Roman" w:hint="cs"/>
          <w:sz w:val="27"/>
          <w:rtl/>
        </w:rPr>
        <w:t>ي</w:t>
      </w:r>
      <w:r w:rsidR="00FA3146" w:rsidRPr="006571AC">
        <w:rPr>
          <w:rFonts w:ascii="Sakkal Majalla" w:hAnsi="Sakkal Majalla" w:hint="cs"/>
          <w:sz w:val="27"/>
          <w:rtl/>
        </w:rPr>
        <w:t>ّ</w:t>
      </w:r>
      <w:r w:rsidRPr="006571AC">
        <w:rPr>
          <w:rFonts w:ascii="Sakkal Majalla" w:hAnsi="Sakkal Majalla" w:hint="cs"/>
          <w:sz w:val="27"/>
          <w:rtl/>
        </w:rPr>
        <w:t xml:space="preserve"> شخص</w:t>
      </w:r>
      <w:r w:rsidR="00FA3146" w:rsidRPr="006571AC">
        <w:rPr>
          <w:rFonts w:ascii="Sakkal Majalla" w:hAnsi="Sakkal Majalla" w:hint="cs"/>
          <w:sz w:val="27"/>
          <w:rtl/>
        </w:rPr>
        <w:t>ٍ</w:t>
      </w:r>
      <w:r w:rsidRPr="006571AC">
        <w:rPr>
          <w:rFonts w:ascii="Sakkal Majalla" w:hAnsi="Sakkal Majalla" w:hint="cs"/>
          <w:sz w:val="27"/>
          <w:rtl/>
        </w:rPr>
        <w:t xml:space="preserve"> آخر أنّ حفظ هذه الجهود التي قام بها ط</w:t>
      </w:r>
      <w:r w:rsidRPr="006571AC">
        <w:rPr>
          <w:rFonts w:ascii="Times New Roman" w:hAnsi="Times New Roman" w:hint="cs"/>
          <w:sz w:val="27"/>
          <w:rtl/>
        </w:rPr>
        <w:t>ي</w:t>
      </w:r>
      <w:r w:rsidRPr="006571AC">
        <w:rPr>
          <w:rFonts w:ascii="Sakkal Majalla" w:hAnsi="Sakkal Majalla" w:hint="cs"/>
          <w:sz w:val="27"/>
          <w:rtl/>
        </w:rPr>
        <w:t xml:space="preserve">لة هذه السنوات </w:t>
      </w:r>
      <w:r w:rsidRPr="006571AC">
        <w:rPr>
          <w:rFonts w:ascii="Times New Roman" w:hAnsi="Times New Roman" w:hint="cs"/>
          <w:sz w:val="27"/>
          <w:rtl/>
        </w:rPr>
        <w:t>ي</w:t>
      </w:r>
      <w:r w:rsidR="007D508D" w:rsidRPr="006571AC">
        <w:rPr>
          <w:rFonts w:ascii="Sakkal Majalla" w:hAnsi="Sakkal Majalla" w:hint="cs"/>
          <w:sz w:val="27"/>
          <w:rtl/>
        </w:rPr>
        <w:t>حتِّ</w:t>
      </w:r>
      <w:r w:rsidRPr="006571AC">
        <w:rPr>
          <w:rFonts w:ascii="Sakkal Majalla" w:hAnsi="Sakkal Majalla" w:hint="cs"/>
          <w:sz w:val="27"/>
          <w:rtl/>
        </w:rPr>
        <w:t>م عل</w:t>
      </w:r>
      <w:r w:rsidRPr="006571AC">
        <w:rPr>
          <w:rFonts w:ascii="Times New Roman" w:hAnsi="Times New Roman" w:hint="cs"/>
          <w:sz w:val="27"/>
          <w:rtl/>
        </w:rPr>
        <w:t>ي</w:t>
      </w:r>
      <w:r w:rsidRPr="006571AC">
        <w:rPr>
          <w:rFonts w:ascii="Sakkal Majalla" w:hAnsi="Sakkal Majalla" w:hint="cs"/>
          <w:sz w:val="27"/>
          <w:rtl/>
        </w:rPr>
        <w:t xml:space="preserve">ه أن </w:t>
      </w:r>
      <w:r w:rsidRPr="006571AC">
        <w:rPr>
          <w:rFonts w:ascii="Times New Roman" w:hAnsi="Times New Roman" w:hint="cs"/>
          <w:sz w:val="27"/>
          <w:rtl/>
        </w:rPr>
        <w:t>ي</w:t>
      </w:r>
      <w:r w:rsidRPr="006571AC">
        <w:rPr>
          <w:rFonts w:ascii="Sakkal Majalla" w:hAnsi="Sakkal Majalla" w:hint="cs"/>
          <w:sz w:val="27"/>
          <w:rtl/>
        </w:rPr>
        <w:t>خل</w:t>
      </w:r>
      <w:r w:rsidR="00FA3146" w:rsidRPr="006571AC">
        <w:rPr>
          <w:rFonts w:ascii="Sakkal Majalla" w:hAnsi="Sakkal Majalla" w:hint="cs"/>
          <w:sz w:val="27"/>
          <w:rtl/>
        </w:rPr>
        <w:t>ِّ</w:t>
      </w:r>
      <w:r w:rsidRPr="006571AC">
        <w:rPr>
          <w:rFonts w:ascii="Sakkal Majalla" w:hAnsi="Sakkal Majalla" w:hint="cs"/>
          <w:sz w:val="27"/>
          <w:rtl/>
        </w:rPr>
        <w:t>ف م</w:t>
      </w:r>
      <w:r w:rsidR="00FA3146" w:rsidRPr="006571AC">
        <w:rPr>
          <w:rFonts w:ascii="Sakkal Majalla" w:hAnsi="Sakkal Majalla" w:hint="cs"/>
          <w:sz w:val="27"/>
          <w:rtl/>
        </w:rPr>
        <w:t>َ</w:t>
      </w:r>
      <w:r w:rsidRPr="006571AC">
        <w:rPr>
          <w:rFonts w:ascii="Sakkal Majalla" w:hAnsi="Sakkal Majalla" w:hint="cs"/>
          <w:sz w:val="27"/>
          <w:rtl/>
        </w:rPr>
        <w:t>ن</w:t>
      </w:r>
      <w:r w:rsidR="00FA3146" w:rsidRPr="006571AC">
        <w:rPr>
          <w:rFonts w:ascii="Sakkal Majalla" w:hAnsi="Sakkal Majalla" w:hint="cs"/>
          <w:sz w:val="27"/>
          <w:rtl/>
        </w:rPr>
        <w:t>ْ</w:t>
      </w:r>
      <w:r w:rsidRPr="006571AC">
        <w:rPr>
          <w:rFonts w:ascii="Sakkal Majalla" w:hAnsi="Sakkal Majalla" w:hint="cs"/>
          <w:sz w:val="27"/>
          <w:rtl/>
        </w:rPr>
        <w:t xml:space="preserve"> </w:t>
      </w:r>
      <w:r w:rsidRPr="006571AC">
        <w:rPr>
          <w:rFonts w:ascii="Times New Roman" w:hAnsi="Times New Roman" w:hint="cs"/>
          <w:sz w:val="27"/>
          <w:rtl/>
        </w:rPr>
        <w:t>ي</w:t>
      </w:r>
      <w:r w:rsidRPr="006571AC">
        <w:rPr>
          <w:rFonts w:ascii="Sakkal Majalla" w:hAnsi="Sakkal Majalla" w:hint="cs"/>
          <w:sz w:val="27"/>
          <w:rtl/>
        </w:rPr>
        <w:t>ل</w:t>
      </w:r>
      <w:r w:rsidRPr="006571AC">
        <w:rPr>
          <w:rFonts w:ascii="Times New Roman" w:hAnsi="Times New Roman" w:hint="cs"/>
          <w:sz w:val="27"/>
          <w:rtl/>
        </w:rPr>
        <w:t>ي</w:t>
      </w:r>
      <w:r w:rsidRPr="006571AC">
        <w:rPr>
          <w:rFonts w:ascii="Sakkal Majalla" w:hAnsi="Sakkal Majalla" w:hint="cs"/>
          <w:sz w:val="27"/>
          <w:rtl/>
        </w:rPr>
        <w:t>ق بمقام ق</w:t>
      </w:r>
      <w:r w:rsidRPr="006571AC">
        <w:rPr>
          <w:rFonts w:ascii="Times New Roman" w:hAnsi="Times New Roman" w:hint="cs"/>
          <w:sz w:val="27"/>
          <w:rtl/>
        </w:rPr>
        <w:t>ي</w:t>
      </w:r>
      <w:r w:rsidRPr="006571AC">
        <w:rPr>
          <w:rFonts w:ascii="Sakkal Majalla" w:hAnsi="Sakkal Majalla" w:hint="cs"/>
          <w:sz w:val="27"/>
          <w:rtl/>
        </w:rPr>
        <w:t>ادة الأمة من بعده، وقد قام في أخر</w:t>
      </w:r>
      <w:r w:rsidRPr="006571AC">
        <w:rPr>
          <w:rFonts w:ascii="Times New Roman" w:hAnsi="Times New Roman" w:hint="cs"/>
          <w:sz w:val="27"/>
          <w:rtl/>
        </w:rPr>
        <w:t>ي</w:t>
      </w:r>
      <w:r w:rsidRPr="006571AC">
        <w:rPr>
          <w:rFonts w:ascii="Sakkal Majalla" w:hAnsi="Sakkal Majalla" w:hint="cs"/>
          <w:sz w:val="27"/>
          <w:rtl/>
        </w:rPr>
        <w:t>ات ح</w:t>
      </w:r>
      <w:r w:rsidRPr="006571AC">
        <w:rPr>
          <w:rFonts w:ascii="Times New Roman" w:hAnsi="Times New Roman" w:hint="cs"/>
          <w:sz w:val="27"/>
          <w:rtl/>
        </w:rPr>
        <w:t>ي</w:t>
      </w:r>
      <w:r w:rsidRPr="006571AC">
        <w:rPr>
          <w:rFonts w:ascii="Sakkal Majalla" w:hAnsi="Sakkal Majalla" w:hint="cs"/>
          <w:sz w:val="27"/>
          <w:rtl/>
        </w:rPr>
        <w:t>اته</w:t>
      </w:r>
      <w:r w:rsidR="00F027A2" w:rsidRPr="006571AC">
        <w:rPr>
          <w:rFonts w:ascii="Sakkal Majalla" w:hAnsi="Sakkal Majalla" w:hint="cs"/>
          <w:sz w:val="27"/>
          <w:rtl/>
        </w:rPr>
        <w:t>،</w:t>
      </w:r>
      <w:r w:rsidRPr="006571AC">
        <w:rPr>
          <w:rFonts w:ascii="Sakkal Majalla" w:hAnsi="Sakkal Majalla" w:hint="cs"/>
          <w:sz w:val="27"/>
          <w:rtl/>
        </w:rPr>
        <w:t xml:space="preserve"> في غد</w:t>
      </w:r>
      <w:r w:rsidRPr="006571AC">
        <w:rPr>
          <w:rFonts w:ascii="Times New Roman" w:hAnsi="Times New Roman" w:hint="cs"/>
          <w:sz w:val="27"/>
          <w:rtl/>
        </w:rPr>
        <w:t>ي</w:t>
      </w:r>
      <w:r w:rsidRPr="006571AC">
        <w:rPr>
          <w:rFonts w:ascii="Sakkal Majalla" w:hAnsi="Sakkal Majalla" w:hint="cs"/>
          <w:sz w:val="27"/>
          <w:rtl/>
        </w:rPr>
        <w:t>ر</w:t>
      </w:r>
      <w:r w:rsidR="00FA3146" w:rsidRPr="006571AC">
        <w:rPr>
          <w:rFonts w:ascii="Sakkal Majalla" w:hAnsi="Sakkal Majalla" w:hint="cs"/>
          <w:sz w:val="27"/>
          <w:rtl/>
        </w:rPr>
        <w:t xml:space="preserve"> </w:t>
      </w:r>
      <w:r w:rsidRPr="006571AC">
        <w:rPr>
          <w:rFonts w:ascii="Sakkal Majalla" w:hAnsi="Sakkal Majalla" w:hint="cs"/>
          <w:sz w:val="27"/>
          <w:rtl/>
        </w:rPr>
        <w:t>خم</w:t>
      </w:r>
      <w:r w:rsidR="00FA3146" w:rsidRPr="006571AC">
        <w:rPr>
          <w:rFonts w:ascii="Sakkal Majalla" w:hAnsi="Sakkal Majalla" w:hint="cs"/>
          <w:sz w:val="27"/>
          <w:rtl/>
        </w:rPr>
        <w:t>ّ</w:t>
      </w:r>
      <w:r w:rsidR="00F027A2" w:rsidRPr="006571AC">
        <w:rPr>
          <w:rFonts w:ascii="Sakkal Majalla" w:hAnsi="Sakkal Majalla" w:hint="cs"/>
          <w:sz w:val="27"/>
          <w:rtl/>
        </w:rPr>
        <w:t>،</w:t>
      </w:r>
      <w:r w:rsidR="00FA3146" w:rsidRPr="006571AC">
        <w:rPr>
          <w:rFonts w:ascii="Sakkal Majalla" w:hAnsi="Sakkal Majalla" w:hint="cs"/>
          <w:sz w:val="27"/>
          <w:rtl/>
        </w:rPr>
        <w:t xml:space="preserve"> بعد</w:t>
      </w:r>
      <w:r w:rsidRPr="006571AC">
        <w:rPr>
          <w:rFonts w:ascii="Sakkal Majalla" w:hAnsi="Sakkal Majalla" w:hint="cs"/>
          <w:sz w:val="27"/>
          <w:rtl/>
        </w:rPr>
        <w:t>ما جاءه الخطاب ال</w:t>
      </w:r>
      <w:r w:rsidR="00FA3146" w:rsidRPr="006571AC">
        <w:rPr>
          <w:rFonts w:ascii="Sakkal Majalla" w:hAnsi="Sakkal Majalla" w:hint="cs"/>
          <w:sz w:val="27"/>
          <w:rtl/>
        </w:rPr>
        <w:t>إ</w:t>
      </w:r>
      <w:r w:rsidRPr="006571AC">
        <w:rPr>
          <w:rFonts w:ascii="Sakkal Majalla" w:hAnsi="Sakkal Majalla" w:hint="cs"/>
          <w:sz w:val="27"/>
          <w:rtl/>
        </w:rPr>
        <w:t>له</w:t>
      </w:r>
      <w:r w:rsidRPr="006571AC">
        <w:rPr>
          <w:rFonts w:ascii="Times New Roman" w:hAnsi="Times New Roman" w:hint="cs"/>
          <w:sz w:val="27"/>
          <w:rtl/>
        </w:rPr>
        <w:t>ي</w:t>
      </w:r>
      <w:r w:rsidR="00FA3146" w:rsidRPr="006571AC">
        <w:rPr>
          <w:rFonts w:ascii="Sakkal Majalla" w:hAnsi="Sakkal Majalla" w:hint="cs"/>
          <w:sz w:val="27"/>
          <w:rtl/>
        </w:rPr>
        <w:t>:</w:t>
      </w:r>
      <w:r w:rsidRPr="006571AC">
        <w:rPr>
          <w:rFonts w:ascii="Sakkal Majalla" w:hAnsi="Sakkal Majalla" w:hint="cs"/>
          <w:sz w:val="27"/>
          <w:rtl/>
        </w:rPr>
        <w:t xml:space="preserve"> </w:t>
      </w:r>
      <w:r w:rsidRPr="006571AC">
        <w:rPr>
          <w:rFonts w:ascii="Mosawi" w:hAnsi="Mosawi" w:cs="Mosawi"/>
          <w:sz w:val="24"/>
          <w:szCs w:val="24"/>
          <w:rtl/>
        </w:rPr>
        <w:t>﴿</w:t>
      </w:r>
      <w:r w:rsidRPr="006571AC">
        <w:rPr>
          <w:rFonts w:ascii="Sakkal Majalla" w:hAnsi="Sakkal Majalla"/>
          <w:b/>
          <w:bCs/>
          <w:sz w:val="27"/>
          <w:rtl/>
        </w:rPr>
        <w:t>ي</w:t>
      </w:r>
      <w:r w:rsidR="00FA3146" w:rsidRPr="006571AC">
        <w:rPr>
          <w:rFonts w:ascii="Sakkal Majalla" w:hAnsi="Sakkal Majalla" w:hint="cs"/>
          <w:b/>
          <w:bCs/>
          <w:sz w:val="27"/>
          <w:rtl/>
        </w:rPr>
        <w:t>َ</w:t>
      </w:r>
      <w:r w:rsidRPr="006571AC">
        <w:rPr>
          <w:rFonts w:ascii="Sakkal Majalla" w:hAnsi="Sakkal Majalla"/>
          <w:b/>
          <w:bCs/>
          <w:sz w:val="27"/>
          <w:rtl/>
        </w:rPr>
        <w:t>ا أَيُّهَا الرَّسُولُ بَلِّغْ ما أنْزِلَ إِلَيْكَ مِنْ رَبِّكَ</w:t>
      </w:r>
      <w:r w:rsidRPr="006571AC">
        <w:rPr>
          <w:rFonts w:ascii="Sakkal Majalla" w:hAnsi="Sakkal Majalla"/>
          <w:sz w:val="27"/>
          <w:rtl/>
        </w:rPr>
        <w:t>‏</w:t>
      </w:r>
      <w:r w:rsidRPr="006571AC">
        <w:rPr>
          <w:rFonts w:ascii="Mosawi" w:hAnsi="Mosawi" w:cs="Mosawi"/>
          <w:sz w:val="24"/>
          <w:szCs w:val="24"/>
          <w:rtl/>
        </w:rPr>
        <w:t>﴾</w:t>
      </w:r>
      <w:r w:rsidR="00F027A2"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بهذه المهمّة</w:t>
      </w:r>
      <w:r w:rsidR="00F027A2" w:rsidRPr="006571AC">
        <w:rPr>
          <w:rFonts w:ascii="Sakkal Majalla" w:hAnsi="Sakkal Majalla" w:hint="cs"/>
          <w:sz w:val="27"/>
          <w:rtl/>
        </w:rPr>
        <w:t>،</w:t>
      </w:r>
      <w:r w:rsidRPr="006571AC">
        <w:rPr>
          <w:rFonts w:ascii="Sakkal Majalla" w:hAnsi="Sakkal Majalla" w:hint="cs"/>
          <w:sz w:val="27"/>
          <w:rtl/>
        </w:rPr>
        <w:t xml:space="preserve"> فجعل م</w:t>
      </w:r>
      <w:r w:rsidR="00F027A2" w:rsidRPr="006571AC">
        <w:rPr>
          <w:rFonts w:ascii="Sakkal Majalla" w:hAnsi="Sakkal Majalla" w:hint="cs"/>
          <w:sz w:val="27"/>
          <w:rtl/>
        </w:rPr>
        <w:t>َ</w:t>
      </w:r>
      <w:r w:rsidRPr="006571AC">
        <w:rPr>
          <w:rFonts w:ascii="Sakkal Majalla" w:hAnsi="Sakkal Majalla" w:hint="cs"/>
          <w:sz w:val="27"/>
          <w:rtl/>
        </w:rPr>
        <w:t>ن</w:t>
      </w:r>
      <w:r w:rsidR="00F027A2" w:rsidRPr="006571AC">
        <w:rPr>
          <w:rFonts w:ascii="Sakkal Majalla" w:hAnsi="Sakkal Majalla" w:hint="cs"/>
          <w:sz w:val="27"/>
          <w:rtl/>
        </w:rPr>
        <w:t>ْ</w:t>
      </w:r>
      <w:r w:rsidRPr="006571AC">
        <w:rPr>
          <w:rFonts w:ascii="Sakkal Majalla" w:hAnsi="Sakkal Majalla" w:hint="cs"/>
          <w:sz w:val="27"/>
          <w:rtl/>
        </w:rPr>
        <w:t xml:space="preserve"> هو أعلم الناس وأعدلهم وأقضاهم و... خل</w:t>
      </w:r>
      <w:r w:rsidRPr="006571AC">
        <w:rPr>
          <w:rFonts w:ascii="Times New Roman" w:hAnsi="Times New Roman" w:hint="cs"/>
          <w:sz w:val="27"/>
          <w:rtl/>
        </w:rPr>
        <w:t>ي</w:t>
      </w:r>
      <w:r w:rsidRPr="006571AC">
        <w:rPr>
          <w:rFonts w:ascii="Sakkal Majalla" w:hAnsi="Sakkal Majalla" w:hint="cs"/>
          <w:sz w:val="27"/>
          <w:rtl/>
        </w:rPr>
        <w:t>فة</w:t>
      </w:r>
      <w:r w:rsidR="00F027A2" w:rsidRPr="006571AC">
        <w:rPr>
          <w:rFonts w:ascii="Sakkal Majalla" w:hAnsi="Sakkal Majalla" w:hint="cs"/>
          <w:sz w:val="27"/>
          <w:rtl/>
        </w:rPr>
        <w:t>ً</w:t>
      </w:r>
      <w:r w:rsidRPr="006571AC">
        <w:rPr>
          <w:rFonts w:ascii="Sakkal Majalla" w:hAnsi="Sakkal Majalla" w:hint="cs"/>
          <w:sz w:val="27"/>
          <w:rtl/>
        </w:rPr>
        <w:t xml:space="preserve"> وقائداً وزع</w:t>
      </w:r>
      <w:r w:rsidRPr="006571AC">
        <w:rPr>
          <w:rFonts w:ascii="Times New Roman" w:hAnsi="Times New Roman" w:hint="cs"/>
          <w:sz w:val="27"/>
          <w:rtl/>
        </w:rPr>
        <w:t>ي</w:t>
      </w:r>
      <w:r w:rsidRPr="006571AC">
        <w:rPr>
          <w:rFonts w:ascii="Sakkal Majalla" w:hAnsi="Sakkal Majalla" w:hint="cs"/>
          <w:sz w:val="27"/>
          <w:rtl/>
        </w:rPr>
        <w:t>ماً على الأم</w:t>
      </w:r>
      <w:r w:rsidR="00F027A2" w:rsidRPr="006571AC">
        <w:rPr>
          <w:rFonts w:ascii="Sakkal Majalla" w:hAnsi="Sakkal Majalla" w:hint="cs"/>
          <w:sz w:val="27"/>
          <w:rtl/>
        </w:rPr>
        <w:t>ّ</w:t>
      </w:r>
      <w:r w:rsidRPr="006571AC">
        <w:rPr>
          <w:rFonts w:ascii="Sakkal Majalla" w:hAnsi="Sakkal Majalla" w:hint="cs"/>
          <w:sz w:val="27"/>
          <w:rtl/>
        </w:rPr>
        <w:t>ة، وقال</w:t>
      </w:r>
      <w:r w:rsidR="00F027A2" w:rsidRPr="006571AC">
        <w:rPr>
          <w:rFonts w:ascii="Sakkal Majalla" w:hAnsi="Sakkal Majalla" w:hint="cs"/>
          <w:sz w:val="27"/>
          <w:rtl/>
        </w:rPr>
        <w:t>:</w:t>
      </w:r>
      <w:r w:rsidRPr="006571AC">
        <w:rPr>
          <w:rFonts w:ascii="Sakkal Majalla" w:hAnsi="Sakkal Majalla" w:hint="cs"/>
          <w:sz w:val="27"/>
          <w:rtl/>
        </w:rPr>
        <w:t xml:space="preserve"> </w:t>
      </w:r>
      <w:r w:rsidR="00F027A2" w:rsidRPr="006571AC">
        <w:rPr>
          <w:rFonts w:hint="eastAsia"/>
          <w:sz w:val="24"/>
          <w:szCs w:val="24"/>
          <w:rtl/>
        </w:rPr>
        <w:t>«</w:t>
      </w:r>
      <w:r w:rsidRPr="006571AC">
        <w:rPr>
          <w:rFonts w:ascii="Sakkal Majalla" w:hAnsi="Sakkal Majalla"/>
          <w:sz w:val="27"/>
          <w:rtl/>
        </w:rPr>
        <w:t>م</w:t>
      </w:r>
      <w:r w:rsidR="00F027A2" w:rsidRPr="006571AC">
        <w:rPr>
          <w:rFonts w:ascii="Sakkal Majalla" w:hAnsi="Sakkal Majalla" w:hint="cs"/>
          <w:sz w:val="27"/>
          <w:rtl/>
        </w:rPr>
        <w:t>َ</w:t>
      </w:r>
      <w:r w:rsidRPr="006571AC">
        <w:rPr>
          <w:rFonts w:ascii="Sakkal Majalla" w:hAnsi="Sakkal Majalla"/>
          <w:sz w:val="27"/>
          <w:rtl/>
        </w:rPr>
        <w:t>ن</w:t>
      </w:r>
      <w:r w:rsidR="00F027A2" w:rsidRPr="006571AC">
        <w:rPr>
          <w:rFonts w:ascii="Sakkal Majalla" w:hAnsi="Sakkal Majalla" w:hint="cs"/>
          <w:sz w:val="27"/>
          <w:rtl/>
        </w:rPr>
        <w:t>ْ</w:t>
      </w:r>
      <w:r w:rsidRPr="006571AC">
        <w:rPr>
          <w:rFonts w:ascii="Sakkal Majalla" w:hAnsi="Sakkal Majalla"/>
          <w:sz w:val="27"/>
          <w:rtl/>
        </w:rPr>
        <w:t xml:space="preserve"> كنت مولاه فعلي</w:t>
      </w:r>
      <w:r w:rsidR="00F027A2" w:rsidRPr="006571AC">
        <w:rPr>
          <w:rFonts w:ascii="Sakkal Majalla" w:hAnsi="Sakkal Majalla" w:hint="cs"/>
          <w:sz w:val="27"/>
          <w:rtl/>
        </w:rPr>
        <w:t>ٌّ</w:t>
      </w:r>
      <w:r w:rsidRPr="006571AC">
        <w:rPr>
          <w:rFonts w:ascii="Sakkal Majalla" w:hAnsi="Sakkal Majalla"/>
          <w:sz w:val="27"/>
          <w:rtl/>
        </w:rPr>
        <w:t xml:space="preserve"> مولاه</w:t>
      </w:r>
      <w:r w:rsidR="00F027A2" w:rsidRPr="006571AC">
        <w:rPr>
          <w:rFonts w:hint="eastAsia"/>
          <w:sz w:val="24"/>
          <w:szCs w:val="24"/>
          <w:rtl/>
        </w:rPr>
        <w:t>»</w:t>
      </w:r>
      <w:r w:rsidR="00F027A2" w:rsidRPr="006571AC">
        <w:rPr>
          <w:rFonts w:ascii="Sakkal Majalla" w:hAnsi="Sakkal Majalla" w:hint="cs"/>
          <w:sz w:val="27"/>
          <w:rtl/>
        </w:rPr>
        <w:t>،</w:t>
      </w:r>
      <w:r w:rsidRPr="006571AC">
        <w:rPr>
          <w:rFonts w:ascii="Sakkal Majalla" w:hAnsi="Sakkal Majalla" w:hint="cs"/>
          <w:sz w:val="27"/>
          <w:rtl/>
        </w:rPr>
        <w:t xml:space="preserve"> وبذلك قد أكمل الله د</w:t>
      </w:r>
      <w:r w:rsidRPr="006571AC">
        <w:rPr>
          <w:rFonts w:ascii="Times New Roman" w:hAnsi="Times New Roman" w:hint="cs"/>
          <w:sz w:val="27"/>
          <w:rtl/>
        </w:rPr>
        <w:t>ي</w:t>
      </w:r>
      <w:r w:rsidR="00F027A2" w:rsidRPr="006571AC">
        <w:rPr>
          <w:rFonts w:ascii="Sakkal Majalla" w:hAnsi="Sakkal Majalla" w:hint="cs"/>
          <w:sz w:val="27"/>
          <w:rtl/>
        </w:rPr>
        <w:t>نه للناس، وأت</w:t>
      </w:r>
      <w:r w:rsidRPr="006571AC">
        <w:rPr>
          <w:rFonts w:ascii="Sakkal Majalla" w:hAnsi="Sakkal Majalla" w:hint="cs"/>
          <w:sz w:val="27"/>
          <w:rtl/>
        </w:rPr>
        <w:t>م</w:t>
      </w:r>
      <w:r w:rsidR="00F027A2" w:rsidRPr="006571AC">
        <w:rPr>
          <w:rFonts w:ascii="Sakkal Majalla" w:hAnsi="Sakkal Majalla" w:hint="cs"/>
          <w:sz w:val="27"/>
          <w:rtl/>
        </w:rPr>
        <w:t>ّ</w:t>
      </w:r>
      <w:r w:rsidRPr="006571AC">
        <w:rPr>
          <w:rFonts w:ascii="Sakkal Majalla" w:hAnsi="Sakkal Majalla" w:hint="cs"/>
          <w:sz w:val="27"/>
          <w:rtl/>
        </w:rPr>
        <w:t xml:space="preserve"> النعمة لهم. </w:t>
      </w:r>
    </w:p>
    <w:p w:rsidR="005D05A4" w:rsidRPr="006571AC" w:rsidRDefault="005D05A4" w:rsidP="002F45B0">
      <w:pPr>
        <w:rPr>
          <w:rFonts w:ascii="Sakkal Majalla" w:hAnsi="Sakkal Majalla"/>
          <w:sz w:val="27"/>
          <w:rtl/>
        </w:rPr>
      </w:pPr>
      <w:r w:rsidRPr="006571AC">
        <w:rPr>
          <w:rFonts w:ascii="Sakkal Majalla" w:hAnsi="Sakkal Majalla" w:hint="cs"/>
          <w:sz w:val="27"/>
          <w:rtl/>
        </w:rPr>
        <w:t>وقد استدلّ الش</w:t>
      </w:r>
      <w:r w:rsidRPr="006571AC">
        <w:rPr>
          <w:rFonts w:ascii="Times New Roman" w:hAnsi="Times New Roman" w:hint="cs"/>
          <w:sz w:val="27"/>
          <w:rtl/>
        </w:rPr>
        <w:t>ي</w:t>
      </w:r>
      <w:r w:rsidRPr="006571AC">
        <w:rPr>
          <w:rFonts w:ascii="Sakkal Majalla" w:hAnsi="Sakkal Majalla" w:hint="cs"/>
          <w:sz w:val="27"/>
          <w:rtl/>
        </w:rPr>
        <w:t>عة على ذلك بأدل</w:t>
      </w:r>
      <w:r w:rsidR="007D508D" w:rsidRPr="006571AC">
        <w:rPr>
          <w:rFonts w:ascii="Sakkal Majalla" w:hAnsi="Sakkal Majalla" w:hint="cs"/>
          <w:sz w:val="27"/>
          <w:rtl/>
        </w:rPr>
        <w:t>ّةٍ</w:t>
      </w:r>
      <w:r w:rsidRPr="006571AC">
        <w:rPr>
          <w:rFonts w:ascii="Sakkal Majalla" w:hAnsi="Sakkal Majalla" w:hint="cs"/>
          <w:sz w:val="27"/>
          <w:rtl/>
        </w:rPr>
        <w:t xml:space="preserve"> متعد</w:t>
      </w:r>
      <w:r w:rsidR="00F027A2" w:rsidRPr="006571AC">
        <w:rPr>
          <w:rFonts w:ascii="Sakkal Majalla" w:hAnsi="Sakkal Majalla" w:hint="cs"/>
          <w:sz w:val="27"/>
          <w:rtl/>
        </w:rPr>
        <w:t>ِّ</w:t>
      </w:r>
      <w:r w:rsidRPr="006571AC">
        <w:rPr>
          <w:rFonts w:ascii="Sakkal Majalla" w:hAnsi="Sakkal Majalla" w:hint="cs"/>
          <w:sz w:val="27"/>
          <w:rtl/>
        </w:rPr>
        <w:t>دة</w:t>
      </w:r>
      <w:r w:rsidR="00F027A2" w:rsidRPr="006571AC">
        <w:rPr>
          <w:rFonts w:ascii="Sakkal Majalla" w:hAnsi="Sakkal Majalla" w:hint="cs"/>
          <w:sz w:val="27"/>
          <w:rtl/>
        </w:rPr>
        <w:t>،</w:t>
      </w:r>
      <w:r w:rsidRPr="006571AC">
        <w:rPr>
          <w:rFonts w:ascii="Sakkal Majalla" w:hAnsi="Sakkal Majalla" w:hint="cs"/>
          <w:sz w:val="27"/>
          <w:rtl/>
        </w:rPr>
        <w:t xml:space="preserve"> ومنها</w:t>
      </w:r>
      <w:r w:rsidR="00F027A2" w:rsidRPr="006571AC">
        <w:rPr>
          <w:rFonts w:ascii="Sakkal Majalla" w:hAnsi="Sakkal Majalla" w:hint="cs"/>
          <w:sz w:val="27"/>
          <w:rtl/>
        </w:rPr>
        <w:t>:</w:t>
      </w:r>
      <w:r w:rsidRPr="006571AC">
        <w:rPr>
          <w:rFonts w:ascii="Sakkal Majalla" w:hAnsi="Sakkal Majalla" w:hint="cs"/>
          <w:sz w:val="27"/>
          <w:rtl/>
        </w:rPr>
        <w:t xml:space="preserve"> </w:t>
      </w:r>
      <w:r w:rsidR="00F027A2" w:rsidRPr="006571AC">
        <w:rPr>
          <w:rFonts w:ascii="Sakkal Majalla" w:hAnsi="Sakkal Majalla" w:hint="cs"/>
          <w:sz w:val="27"/>
          <w:rtl/>
        </w:rPr>
        <w:t>ال</w:t>
      </w:r>
      <w:r w:rsidRPr="006571AC">
        <w:rPr>
          <w:rFonts w:ascii="Sakkal Majalla" w:hAnsi="Sakkal Majalla" w:hint="cs"/>
          <w:sz w:val="27"/>
          <w:rtl/>
        </w:rPr>
        <w:t>آ</w:t>
      </w:r>
      <w:r w:rsidRPr="006571AC">
        <w:rPr>
          <w:rFonts w:ascii="Times New Roman" w:hAnsi="Times New Roman" w:hint="cs"/>
          <w:sz w:val="27"/>
          <w:rtl/>
        </w:rPr>
        <w:t>ي</w:t>
      </w:r>
      <w:r w:rsidRPr="006571AC">
        <w:rPr>
          <w:rFonts w:ascii="Sakkal Majalla" w:hAnsi="Sakkal Majalla" w:hint="cs"/>
          <w:sz w:val="27"/>
          <w:rtl/>
        </w:rPr>
        <w:t>ة 67 من سورة المائدة</w:t>
      </w:r>
      <w:r w:rsidR="00F027A2" w:rsidRPr="006571AC">
        <w:rPr>
          <w:rFonts w:ascii="Sakkal Majalla" w:hAnsi="Sakkal Majalla" w:hint="cs"/>
          <w:sz w:val="27"/>
          <w:rtl/>
        </w:rPr>
        <w:t>،</w:t>
      </w:r>
      <w:r w:rsidRPr="006571AC">
        <w:rPr>
          <w:rFonts w:ascii="Sakkal Majalla" w:hAnsi="Sakkal Majalla" w:hint="cs"/>
          <w:sz w:val="27"/>
          <w:rtl/>
        </w:rPr>
        <w:t xml:space="preserve"> المشهورة عندهم بآ</w:t>
      </w:r>
      <w:r w:rsidRPr="006571AC">
        <w:rPr>
          <w:rFonts w:ascii="Times New Roman" w:hAnsi="Times New Roman" w:hint="cs"/>
          <w:sz w:val="27"/>
          <w:rtl/>
        </w:rPr>
        <w:t>ي</w:t>
      </w:r>
      <w:r w:rsidRPr="006571AC">
        <w:rPr>
          <w:rFonts w:ascii="Sakkal Majalla" w:hAnsi="Sakkal Majalla" w:hint="cs"/>
          <w:sz w:val="27"/>
          <w:rtl/>
        </w:rPr>
        <w:t>ة التبل</w:t>
      </w:r>
      <w:r w:rsidRPr="006571AC">
        <w:rPr>
          <w:rFonts w:ascii="Times New Roman" w:hAnsi="Times New Roman" w:hint="cs"/>
          <w:sz w:val="27"/>
          <w:rtl/>
        </w:rPr>
        <w:t>ي</w:t>
      </w:r>
      <w:r w:rsidRPr="006571AC">
        <w:rPr>
          <w:rFonts w:ascii="Sakkal Majalla" w:hAnsi="Sakkal Majalla" w:hint="cs"/>
          <w:sz w:val="27"/>
          <w:rtl/>
        </w:rPr>
        <w:t>غ، إ</w:t>
      </w:r>
      <w:r w:rsidR="003C2639" w:rsidRPr="006571AC">
        <w:rPr>
          <w:rFonts w:ascii="Sakkal Majalla" w:hAnsi="Sakkal Majalla" w:hint="cs"/>
          <w:sz w:val="27"/>
          <w:rtl/>
        </w:rPr>
        <w:t>لاّ</w:t>
      </w:r>
      <w:r w:rsidRPr="006571AC">
        <w:rPr>
          <w:rFonts w:ascii="Sakkal Majalla" w:hAnsi="Sakkal Majalla" w:hint="cs"/>
          <w:sz w:val="27"/>
          <w:rtl/>
        </w:rPr>
        <w:t xml:space="preserve"> أنّ بعض علماء السن</w:t>
      </w:r>
      <w:r w:rsidR="00F027A2" w:rsidRPr="006571AC">
        <w:rPr>
          <w:rFonts w:ascii="Sakkal Majalla" w:hAnsi="Sakkal Majalla" w:hint="cs"/>
          <w:sz w:val="27"/>
          <w:rtl/>
        </w:rPr>
        <w:t>ّ</w:t>
      </w:r>
      <w:r w:rsidRPr="006571AC">
        <w:rPr>
          <w:rFonts w:ascii="Sakkal Majalla" w:hAnsi="Sakkal Majalla" w:hint="cs"/>
          <w:sz w:val="27"/>
          <w:rtl/>
        </w:rPr>
        <w:t xml:space="preserve">ة خالفوهم في ذلك، وذكروا </w:t>
      </w:r>
      <w:r w:rsidRPr="006571AC">
        <w:rPr>
          <w:rFonts w:ascii="Sakkal Majalla" w:hAnsi="Sakkal Majalla" w:hint="cs"/>
          <w:sz w:val="27"/>
          <w:rtl/>
        </w:rPr>
        <w:lastRenderedPageBreak/>
        <w:t>معاني أخر</w:t>
      </w:r>
      <w:r w:rsidR="00F027A2" w:rsidRPr="006571AC">
        <w:rPr>
          <w:rFonts w:ascii="Times New Roman" w:hAnsi="Times New Roman" w:hint="cs"/>
          <w:sz w:val="27"/>
          <w:rtl/>
        </w:rPr>
        <w:t>ى</w:t>
      </w:r>
      <w:r w:rsidRPr="006571AC">
        <w:rPr>
          <w:rFonts w:ascii="Sakkal Majalla" w:hAnsi="Sakkal Majalla" w:hint="cs"/>
          <w:sz w:val="27"/>
          <w:rtl/>
        </w:rPr>
        <w:t xml:space="preserve"> في تفس</w:t>
      </w:r>
      <w:r w:rsidRPr="006571AC">
        <w:rPr>
          <w:rFonts w:ascii="Times New Roman" w:hAnsi="Times New Roman" w:hint="cs"/>
          <w:sz w:val="27"/>
          <w:rtl/>
        </w:rPr>
        <w:t>ي</w:t>
      </w:r>
      <w:r w:rsidRPr="006571AC">
        <w:rPr>
          <w:rFonts w:ascii="Sakkal Majalla" w:hAnsi="Sakkal Majalla" w:hint="cs"/>
          <w:sz w:val="27"/>
          <w:rtl/>
        </w:rPr>
        <w:t>ر الآ</w:t>
      </w:r>
      <w:r w:rsidRPr="006571AC">
        <w:rPr>
          <w:rFonts w:ascii="Times New Roman" w:hAnsi="Times New Roman" w:hint="cs"/>
          <w:sz w:val="27"/>
          <w:rtl/>
        </w:rPr>
        <w:t>ي</w:t>
      </w:r>
      <w:r w:rsidRPr="006571AC">
        <w:rPr>
          <w:rFonts w:ascii="Sakkal Majalla" w:hAnsi="Sakkal Majalla" w:hint="cs"/>
          <w:sz w:val="27"/>
          <w:rtl/>
        </w:rPr>
        <w:t>ة</w:t>
      </w:r>
      <w:r w:rsidR="00F027A2" w:rsidRPr="006571AC">
        <w:rPr>
          <w:rFonts w:ascii="Sakkal Majalla" w:hAnsi="Sakkal Majalla" w:hint="cs"/>
          <w:sz w:val="27"/>
          <w:rtl/>
        </w:rPr>
        <w:t>.</w:t>
      </w:r>
      <w:r w:rsidRPr="006571AC">
        <w:rPr>
          <w:rFonts w:ascii="Sakkal Majalla" w:hAnsi="Sakkal Majalla" w:hint="cs"/>
          <w:sz w:val="27"/>
          <w:rtl/>
        </w:rPr>
        <w:t xml:space="preserve"> وسوف </w:t>
      </w:r>
      <w:r w:rsidR="007D508D" w:rsidRPr="006571AC">
        <w:rPr>
          <w:rFonts w:ascii="Sakkal Majalla" w:hAnsi="Sakkal Majalla" w:hint="cs"/>
          <w:sz w:val="27"/>
          <w:rtl/>
        </w:rPr>
        <w:t>نستعرض</w:t>
      </w:r>
      <w:r w:rsidRPr="006571AC">
        <w:rPr>
          <w:rFonts w:ascii="Sakkal Majalla" w:hAnsi="Sakkal Majalla" w:hint="cs"/>
          <w:sz w:val="27"/>
          <w:rtl/>
        </w:rPr>
        <w:t xml:space="preserve"> في هذه الدراسة </w:t>
      </w:r>
      <w:r w:rsidR="002F45B0" w:rsidRPr="006571AC">
        <w:rPr>
          <w:rFonts w:ascii="Sakkal Majalla" w:hAnsi="Sakkal Majalla" w:hint="cs"/>
          <w:b/>
          <w:bCs/>
          <w:sz w:val="27"/>
          <w:rtl/>
        </w:rPr>
        <w:t>أوّلاً</w:t>
      </w:r>
      <w:r w:rsidRPr="006571AC">
        <w:rPr>
          <w:rFonts w:ascii="Sakkal Majalla" w:hAnsi="Sakkal Majalla" w:hint="cs"/>
          <w:sz w:val="27"/>
          <w:rtl/>
        </w:rPr>
        <w:t xml:space="preserve">: </w:t>
      </w:r>
      <w:r w:rsidR="002F45B0" w:rsidRPr="006571AC">
        <w:rPr>
          <w:rFonts w:ascii="Sakkal Majalla" w:hAnsi="Sakkal Majalla" w:hint="cs"/>
          <w:sz w:val="27"/>
          <w:rtl/>
        </w:rPr>
        <w:t xml:space="preserve">مستند الشيعة من </w:t>
      </w:r>
      <w:r w:rsidRPr="006571AC">
        <w:rPr>
          <w:rFonts w:ascii="Sakkal Majalla" w:hAnsi="Sakkal Majalla" w:hint="cs"/>
          <w:sz w:val="27"/>
          <w:rtl/>
        </w:rPr>
        <w:t>الأدلة على نزول الآ</w:t>
      </w:r>
      <w:r w:rsidRPr="006571AC">
        <w:rPr>
          <w:rFonts w:ascii="Times New Roman" w:hAnsi="Times New Roman" w:hint="cs"/>
          <w:sz w:val="27"/>
          <w:rtl/>
        </w:rPr>
        <w:t>ي</w:t>
      </w:r>
      <w:r w:rsidRPr="006571AC">
        <w:rPr>
          <w:rFonts w:ascii="Sakkal Majalla" w:hAnsi="Sakkal Majalla" w:hint="cs"/>
          <w:sz w:val="27"/>
          <w:rtl/>
        </w:rPr>
        <w:t>ة في خلافة وإمامة علي</w:t>
      </w:r>
      <w:r w:rsidR="00F027A2" w:rsidRPr="006571AC">
        <w:rPr>
          <w:rFonts w:ascii="Sakkal Majalla" w:hAnsi="Sakkal Majalla" w:hint="cs"/>
          <w:sz w:val="27"/>
          <w:rtl/>
        </w:rPr>
        <w:t>ّ</w:t>
      </w:r>
      <w:r w:rsidR="002F45B0" w:rsidRPr="006571AC">
        <w:rPr>
          <w:rFonts w:ascii="Sakkal Majalla" w:hAnsi="Sakkal Majalla" w:hint="cs"/>
          <w:sz w:val="27"/>
          <w:rtl/>
        </w:rPr>
        <w:t>ٍ</w:t>
      </w:r>
      <w:r w:rsidR="002A2C90" w:rsidRPr="006571AC">
        <w:rPr>
          <w:rFonts w:ascii="Mosawi" w:hAnsi="Mosawi" w:cs="Mosawi"/>
          <w:sz w:val="22"/>
          <w:szCs w:val="22"/>
          <w:rtl/>
        </w:rPr>
        <w:t>×</w:t>
      </w:r>
      <w:r w:rsidR="002F45B0" w:rsidRPr="006571AC">
        <w:rPr>
          <w:rFonts w:ascii="Sakkal Majalla" w:hAnsi="Sakkal Majalla" w:hint="cs"/>
          <w:sz w:val="27"/>
          <w:rtl/>
        </w:rPr>
        <w:t>؛</w:t>
      </w:r>
      <w:r w:rsidRPr="006571AC">
        <w:rPr>
          <w:rFonts w:ascii="Sakkal Majalla" w:hAnsi="Sakkal Majalla" w:hint="cs"/>
          <w:sz w:val="27"/>
          <w:rtl/>
        </w:rPr>
        <w:t xml:space="preserve"> </w:t>
      </w:r>
      <w:r w:rsidR="002F45B0" w:rsidRPr="006571AC">
        <w:rPr>
          <w:rFonts w:ascii="Sakkal Majalla" w:hAnsi="Sakkal Majalla" w:hint="cs"/>
          <w:b/>
          <w:bCs/>
          <w:sz w:val="27"/>
          <w:rtl/>
        </w:rPr>
        <w:t>وثانياً</w:t>
      </w:r>
      <w:r w:rsidRPr="006571AC">
        <w:rPr>
          <w:rFonts w:ascii="Sakkal Majalla" w:hAnsi="Sakkal Majalla" w:hint="cs"/>
          <w:sz w:val="27"/>
          <w:rtl/>
        </w:rPr>
        <w:t xml:space="preserve">: أقوال </w:t>
      </w:r>
      <w:r w:rsidR="002F45B0" w:rsidRPr="006571AC">
        <w:rPr>
          <w:rFonts w:ascii="Sakkal Majalla" w:hAnsi="Sakkal Majalla" w:hint="cs"/>
          <w:sz w:val="27"/>
          <w:rtl/>
        </w:rPr>
        <w:t>ال</w:t>
      </w:r>
      <w:r w:rsidRPr="006571AC">
        <w:rPr>
          <w:rFonts w:ascii="Sakkal Majalla" w:hAnsi="Sakkal Majalla" w:hint="cs"/>
          <w:sz w:val="27"/>
          <w:rtl/>
        </w:rPr>
        <w:t xml:space="preserve">علماء </w:t>
      </w:r>
      <w:r w:rsidR="002F45B0" w:rsidRPr="006571AC">
        <w:rPr>
          <w:rFonts w:ascii="Sakkal Majalla" w:hAnsi="Sakkal Majalla" w:hint="cs"/>
          <w:sz w:val="27"/>
          <w:rtl/>
        </w:rPr>
        <w:t>السنّة</w:t>
      </w:r>
      <w:r w:rsidRPr="006571AC">
        <w:rPr>
          <w:rFonts w:ascii="Sakkal Majalla" w:hAnsi="Sakkal Majalla" w:hint="cs"/>
          <w:sz w:val="27"/>
          <w:rtl/>
        </w:rPr>
        <w:t xml:space="preserve"> في الآ</w:t>
      </w:r>
      <w:r w:rsidRPr="006571AC">
        <w:rPr>
          <w:rFonts w:ascii="Times New Roman" w:hAnsi="Times New Roman" w:hint="cs"/>
          <w:sz w:val="27"/>
          <w:rtl/>
        </w:rPr>
        <w:t>ي</w:t>
      </w:r>
      <w:r w:rsidRPr="006571AC">
        <w:rPr>
          <w:rFonts w:ascii="Sakkal Majalla" w:hAnsi="Sakkal Majalla" w:hint="cs"/>
          <w:sz w:val="27"/>
          <w:rtl/>
        </w:rPr>
        <w:t>ة</w:t>
      </w:r>
      <w:r w:rsidR="00F027A2" w:rsidRPr="006571AC">
        <w:rPr>
          <w:rFonts w:ascii="Sakkal Majalla" w:hAnsi="Sakkal Majalla" w:hint="cs"/>
          <w:sz w:val="27"/>
          <w:rtl/>
        </w:rPr>
        <w:t>،</w:t>
      </w:r>
      <w:r w:rsidRPr="006571AC">
        <w:rPr>
          <w:rFonts w:ascii="Sakkal Majalla" w:hAnsi="Sakkal Majalla" w:hint="cs"/>
          <w:sz w:val="27"/>
          <w:rtl/>
        </w:rPr>
        <w:t xml:space="preserve"> </w:t>
      </w:r>
      <w:r w:rsidR="002F45B0" w:rsidRPr="006571AC">
        <w:rPr>
          <w:rFonts w:ascii="Sakkal Majalla" w:hAnsi="Sakkal Majalla" w:hint="cs"/>
          <w:sz w:val="27"/>
          <w:rtl/>
        </w:rPr>
        <w:t xml:space="preserve">وأدلّتهم عليها؛ </w:t>
      </w:r>
      <w:r w:rsidRPr="006571AC">
        <w:rPr>
          <w:rFonts w:ascii="Sakkal Majalla" w:hAnsi="Sakkal Majalla" w:hint="cs"/>
          <w:sz w:val="27"/>
          <w:rtl/>
        </w:rPr>
        <w:t>ومناقشة كل</w:t>
      </w:r>
      <w:r w:rsidR="00F027A2" w:rsidRPr="006571AC">
        <w:rPr>
          <w:rFonts w:ascii="Sakkal Majalla" w:hAnsi="Sakkal Majalla" w:hint="cs"/>
          <w:sz w:val="27"/>
          <w:rtl/>
        </w:rPr>
        <w:t xml:space="preserve">ٍّ </w:t>
      </w:r>
      <w:r w:rsidRPr="006571AC">
        <w:rPr>
          <w:rFonts w:ascii="Sakkal Majalla" w:hAnsi="Sakkal Majalla" w:hint="cs"/>
          <w:sz w:val="27"/>
          <w:rtl/>
        </w:rPr>
        <w:t xml:space="preserve">منها. </w:t>
      </w:r>
    </w:p>
    <w:p w:rsidR="005D05A4" w:rsidRPr="006571AC" w:rsidRDefault="005D05A4" w:rsidP="005D3BB1">
      <w:pPr>
        <w:spacing w:line="430" w:lineRule="exact"/>
        <w:rPr>
          <w:rFonts w:ascii="Sakkal Majalla" w:hAnsi="Sakkal Majalla"/>
          <w:sz w:val="27"/>
          <w:rtl/>
        </w:rPr>
      </w:pPr>
    </w:p>
    <w:p w:rsidR="005D05A4" w:rsidRPr="006571AC" w:rsidRDefault="00254AD3" w:rsidP="00845E1A">
      <w:pPr>
        <w:pStyle w:val="31"/>
        <w:rPr>
          <w:rFonts w:ascii="Angsana New" w:hAnsi="Angsana New"/>
          <w:color w:val="auto"/>
          <w:rtl/>
        </w:rPr>
      </w:pPr>
      <w:bookmarkStart w:id="149" w:name="_Toc114164638"/>
      <w:r w:rsidRPr="006571AC">
        <w:rPr>
          <w:rFonts w:hint="cs"/>
          <w:color w:val="auto"/>
          <w:rtl/>
        </w:rPr>
        <w:t xml:space="preserve">1ـ </w:t>
      </w:r>
      <w:r w:rsidR="00845E1A" w:rsidRPr="006571AC">
        <w:rPr>
          <w:rFonts w:hint="cs"/>
          <w:color w:val="auto"/>
          <w:rtl/>
        </w:rPr>
        <w:t>شأن</w:t>
      </w:r>
      <w:r w:rsidRPr="006571AC">
        <w:rPr>
          <w:rFonts w:hint="cs"/>
          <w:color w:val="auto"/>
          <w:rtl/>
        </w:rPr>
        <w:t xml:space="preserve"> النزول عند</w:t>
      </w:r>
      <w:r w:rsidR="005D05A4" w:rsidRPr="006571AC">
        <w:rPr>
          <w:rFonts w:ascii="Angsana New" w:hAnsi="Angsana New"/>
          <w:color w:val="auto"/>
          <w:rtl/>
        </w:rPr>
        <w:t xml:space="preserve"> </w:t>
      </w:r>
      <w:r w:rsidR="005D05A4" w:rsidRPr="006571AC">
        <w:rPr>
          <w:rFonts w:hint="cs"/>
          <w:color w:val="auto"/>
          <w:rtl/>
        </w:rPr>
        <w:t>ال</w:t>
      </w:r>
      <w:r w:rsidR="00F027A2" w:rsidRPr="006571AC">
        <w:rPr>
          <w:rFonts w:hint="cs"/>
          <w:color w:val="auto"/>
          <w:rtl/>
        </w:rPr>
        <w:t>إ</w:t>
      </w:r>
      <w:r w:rsidR="005D05A4" w:rsidRPr="006571AC">
        <w:rPr>
          <w:rFonts w:hint="cs"/>
          <w:color w:val="auto"/>
          <w:rtl/>
        </w:rPr>
        <w:t>مام</w:t>
      </w:r>
      <w:r w:rsidR="005D05A4" w:rsidRPr="006571AC">
        <w:rPr>
          <w:rFonts w:ascii="Times New Roman" w:hAnsi="Times New Roman" w:hint="cs"/>
          <w:color w:val="auto"/>
          <w:rtl/>
        </w:rPr>
        <w:t>ي</w:t>
      </w:r>
      <w:r w:rsidR="000F08D4" w:rsidRPr="006571AC">
        <w:rPr>
          <w:rFonts w:hint="cs"/>
          <w:color w:val="auto"/>
          <w:rtl/>
        </w:rPr>
        <w:t>ّ</w:t>
      </w:r>
      <w:r w:rsidR="005D05A4" w:rsidRPr="006571AC">
        <w:rPr>
          <w:rFonts w:hint="cs"/>
          <w:color w:val="auto"/>
          <w:rtl/>
        </w:rPr>
        <w:t>ة</w:t>
      </w:r>
      <w:r w:rsidR="00F027A2" w:rsidRPr="006571AC">
        <w:rPr>
          <w:rFonts w:hint="cs"/>
          <w:color w:val="auto"/>
          <w:rtl/>
        </w:rPr>
        <w:t>،</w:t>
      </w:r>
      <w:r w:rsidR="00845E1A" w:rsidRPr="006571AC">
        <w:rPr>
          <w:rFonts w:ascii="Angsana New" w:hAnsi="Angsana New" w:hint="cs"/>
          <w:color w:val="auto"/>
          <w:rtl/>
        </w:rPr>
        <w:t xml:space="preserve"> والأدلة عليه</w:t>
      </w:r>
      <w:bookmarkEnd w:id="149"/>
    </w:p>
    <w:p w:rsidR="008C7592" w:rsidRPr="006571AC" w:rsidRDefault="005D05A4" w:rsidP="00B41BA0">
      <w:pPr>
        <w:pStyle w:val="af"/>
        <w:rPr>
          <w:rFonts w:ascii="Sakkal Majalla" w:hAnsi="Sakkal Majalla" w:cs="AL-Mohanad"/>
          <w:sz w:val="27"/>
          <w:szCs w:val="27"/>
          <w:rtl/>
        </w:rPr>
      </w:pPr>
      <w:r w:rsidRPr="006571AC">
        <w:rPr>
          <w:rFonts w:cs="AL-Mohanad" w:hint="cs"/>
          <w:sz w:val="27"/>
          <w:szCs w:val="27"/>
          <w:rtl/>
        </w:rPr>
        <w:t>ي</w:t>
      </w:r>
      <w:r w:rsidRPr="006571AC">
        <w:rPr>
          <w:rFonts w:ascii="Sakkal Majalla" w:hAnsi="Sakkal Majalla" w:cs="AL-Mohanad"/>
          <w:sz w:val="27"/>
          <w:szCs w:val="27"/>
          <w:rtl/>
        </w:rPr>
        <w:t>عتقد ال</w:t>
      </w:r>
      <w:r w:rsidR="00F027A2" w:rsidRPr="006571AC">
        <w:rPr>
          <w:rFonts w:ascii="Sakkal Majalla" w:hAnsi="Sakkal Majalla" w:cs="AL-Mohanad" w:hint="cs"/>
          <w:sz w:val="27"/>
          <w:szCs w:val="27"/>
          <w:rtl/>
        </w:rPr>
        <w:t>إ</w:t>
      </w:r>
      <w:r w:rsidRPr="006571AC">
        <w:rPr>
          <w:rFonts w:ascii="Sakkal Majalla" w:hAnsi="Sakkal Majalla" w:cs="AL-Mohanad" w:hint="cs"/>
          <w:sz w:val="27"/>
          <w:szCs w:val="27"/>
          <w:rtl/>
        </w:rPr>
        <w:t>مام</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نزلت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علي</w:t>
      </w:r>
      <w:r w:rsidR="00F027A2" w:rsidRPr="006571AC">
        <w:rPr>
          <w:rFonts w:ascii="Sakkal Majalla" w:hAnsi="Sakkal Majalla" w:cs="AL-Mohanad" w:hint="cs"/>
          <w:sz w:val="27"/>
          <w:szCs w:val="27"/>
          <w:rtl/>
        </w:rPr>
        <w:t>ٍّ</w:t>
      </w:r>
      <w:r w:rsidR="002A2C90" w:rsidRPr="006571AC">
        <w:rPr>
          <w:rFonts w:ascii="Mosawi" w:hAnsi="Mosawi" w:cs="Mosawi"/>
          <w:sz w:val="22"/>
          <w:szCs w:val="22"/>
          <w:rtl/>
        </w:rPr>
        <w:t>×</w:t>
      </w:r>
      <w:r w:rsidR="002F45B0"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غد</w:t>
      </w:r>
      <w:r w:rsidRPr="006571AC">
        <w:rPr>
          <w:rFonts w:cs="AL-Mohanad" w:hint="cs"/>
          <w:sz w:val="27"/>
          <w:szCs w:val="27"/>
          <w:rtl/>
        </w:rPr>
        <w:t>ي</w:t>
      </w:r>
      <w:r w:rsidRPr="006571AC">
        <w:rPr>
          <w:rFonts w:ascii="Sakkal Majalla" w:hAnsi="Sakkal Majalla" w:cs="AL-Mohanad" w:hint="cs"/>
          <w:sz w:val="27"/>
          <w:szCs w:val="27"/>
          <w:rtl/>
        </w:rPr>
        <w:t>ر</w:t>
      </w:r>
      <w:r w:rsidR="00DA4C71"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خم</w:t>
      </w:r>
      <w:r w:rsidR="00F027A2" w:rsidRPr="006571AC">
        <w:rPr>
          <w:rFonts w:ascii="Sakkal Majalla" w:hAnsi="Sakkal Majalla" w:cs="AL-Mohanad" w:hint="cs"/>
          <w:sz w:val="27"/>
          <w:szCs w:val="27"/>
          <w:rtl/>
        </w:rPr>
        <w:t>ّ</w:t>
      </w:r>
      <w:r w:rsidR="002F45B0"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السنة العاشرة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ح</w:t>
      </w:r>
      <w:r w:rsidRPr="006571AC">
        <w:rPr>
          <w:rFonts w:cs="AL-Mohanad" w:hint="cs"/>
          <w:sz w:val="27"/>
          <w:szCs w:val="27"/>
          <w:rtl/>
        </w:rPr>
        <w:t>ي</w:t>
      </w:r>
      <w:r w:rsidRPr="006571AC">
        <w:rPr>
          <w:rFonts w:ascii="Sakkal Majalla" w:hAnsi="Sakkal Majalla" w:cs="AL-Mohanad" w:hint="cs"/>
          <w:sz w:val="27"/>
          <w:szCs w:val="27"/>
          <w:rtl/>
        </w:rPr>
        <w:t>نما</w:t>
      </w:r>
      <w:r w:rsidRPr="006571AC">
        <w:rPr>
          <w:rFonts w:ascii="Sakkal Majalla" w:hAnsi="Sakkal Majalla" w:cs="AL-Mohanad"/>
          <w:sz w:val="27"/>
          <w:szCs w:val="27"/>
          <w:rtl/>
        </w:rPr>
        <w:t xml:space="preserve"> </w:t>
      </w:r>
      <w:r w:rsidR="00DA4C71" w:rsidRPr="006571AC">
        <w:rPr>
          <w:rFonts w:ascii="Sakkal Majalla" w:hAnsi="Sakkal Majalla" w:cs="AL-Mohanad" w:hint="cs"/>
          <w:sz w:val="27"/>
          <w:szCs w:val="27"/>
          <w:rtl/>
        </w:rPr>
        <w:t>أنهى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8C7592"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والمسلمون مناسك حج</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هم</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وكان عددهم مائة </w:t>
      </w:r>
      <w:r w:rsidR="008C7592"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لف </w:t>
      </w:r>
      <w:r w:rsidR="008C7592"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w:t>
      </w:r>
      <w:r w:rsidRPr="006571AC">
        <w:rPr>
          <w:rFonts w:cs="AL-Mohanad" w:hint="cs"/>
          <w:sz w:val="27"/>
          <w:szCs w:val="27"/>
          <w:rtl/>
        </w:rPr>
        <w:t>ي</w:t>
      </w:r>
      <w:r w:rsidRPr="006571AC">
        <w:rPr>
          <w:rFonts w:ascii="Sakkal Majalla" w:hAnsi="Sakkal Majalla" w:cs="AL-Mohanad" w:hint="cs"/>
          <w:sz w:val="27"/>
          <w:szCs w:val="27"/>
          <w:rtl/>
        </w:rPr>
        <w:t>ز</w:t>
      </w:r>
      <w:r w:rsidRPr="006571AC">
        <w:rPr>
          <w:rFonts w:cs="AL-Mohanad" w:hint="cs"/>
          <w:sz w:val="27"/>
          <w:szCs w:val="27"/>
          <w:rtl/>
        </w:rPr>
        <w:t>ي</w:t>
      </w:r>
      <w:r w:rsidRPr="006571AC">
        <w:rPr>
          <w:rFonts w:ascii="Sakkal Majalla" w:hAnsi="Sakkal Majalla" w:cs="AL-Mohanad" w:hint="cs"/>
          <w:sz w:val="27"/>
          <w:szCs w:val="27"/>
          <w:rtl/>
        </w:rPr>
        <w:t>دون</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ثناء طر</w:t>
      </w:r>
      <w:r w:rsidRPr="006571AC">
        <w:rPr>
          <w:rFonts w:cs="AL-Mohanad" w:hint="cs"/>
          <w:sz w:val="27"/>
          <w:szCs w:val="27"/>
          <w:rtl/>
        </w:rPr>
        <w:t>ي</w:t>
      </w:r>
      <w:r w:rsidRPr="006571AC">
        <w:rPr>
          <w:rFonts w:ascii="Sakkal Majalla" w:hAnsi="Sakkal Majalla" w:cs="AL-Mohanad" w:hint="cs"/>
          <w:sz w:val="27"/>
          <w:szCs w:val="27"/>
          <w:rtl/>
        </w:rPr>
        <w:t>قهم</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المد</w:t>
      </w:r>
      <w:r w:rsidRPr="006571AC">
        <w:rPr>
          <w:rFonts w:cs="AL-Mohanad" w:hint="cs"/>
          <w:sz w:val="27"/>
          <w:szCs w:val="27"/>
          <w:rtl/>
        </w:rPr>
        <w:t>ي</w:t>
      </w:r>
      <w:r w:rsidRPr="006571AC">
        <w:rPr>
          <w:rFonts w:ascii="Sakkal Majalla" w:hAnsi="Sakkal Majalla" w:cs="AL-Mohanad" w:hint="cs"/>
          <w:sz w:val="27"/>
          <w:szCs w:val="27"/>
          <w:rtl/>
        </w:rPr>
        <w:t>نة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غد</w:t>
      </w:r>
      <w:r w:rsidRPr="006571AC">
        <w:rPr>
          <w:rFonts w:cs="AL-Mohanad" w:hint="cs"/>
          <w:sz w:val="27"/>
          <w:szCs w:val="27"/>
          <w:rtl/>
        </w:rPr>
        <w:t>ي</w:t>
      </w:r>
      <w:r w:rsidRPr="006571AC">
        <w:rPr>
          <w:rFonts w:ascii="Sakkal Majalla" w:hAnsi="Sakkal Majalla" w:cs="AL-Mohanad" w:hint="cs"/>
          <w:sz w:val="27"/>
          <w:szCs w:val="27"/>
          <w:rtl/>
        </w:rPr>
        <w:t>ر</w:t>
      </w:r>
      <w:r w:rsidR="008C7592"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خم</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نزل </w:t>
      </w:r>
      <w:r w:rsidRPr="006571AC">
        <w:rPr>
          <w:rFonts w:ascii="Sakkal Majalla" w:hAnsi="Sakkal Majalla" w:cs="AL-Mohanad"/>
          <w:sz w:val="27"/>
          <w:szCs w:val="27"/>
          <w:rtl/>
        </w:rPr>
        <w:t>جبرئ</w:t>
      </w:r>
      <w:r w:rsidRPr="006571AC">
        <w:rPr>
          <w:rFonts w:cs="AL-Mohanad" w:hint="cs"/>
          <w:sz w:val="27"/>
          <w:szCs w:val="27"/>
          <w:rtl/>
        </w:rPr>
        <w:t>ي</w:t>
      </w:r>
      <w:r w:rsidRPr="006571AC">
        <w:rPr>
          <w:rFonts w:ascii="Sakkal Majalla" w:hAnsi="Sakkal Majalla" w:cs="AL-Mohanad" w:hint="cs"/>
          <w:sz w:val="27"/>
          <w:szCs w:val="27"/>
          <w:rtl/>
        </w:rPr>
        <w:t>ل على النبي</w:t>
      </w:r>
      <w:r w:rsidR="008C7592"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بهذه الآ</w:t>
      </w:r>
      <w:r w:rsidRPr="006571AC">
        <w:rPr>
          <w:rFonts w:cs="AL-Mohanad" w:hint="cs"/>
          <w:sz w:val="27"/>
          <w:szCs w:val="27"/>
          <w:rtl/>
        </w:rPr>
        <w:t>ي</w:t>
      </w:r>
      <w:r w:rsidRPr="006571AC">
        <w:rPr>
          <w:rFonts w:ascii="Sakkal Majalla" w:hAnsi="Sakkal Majalla" w:cs="AL-Mohanad" w:hint="cs"/>
          <w:sz w:val="27"/>
          <w:szCs w:val="27"/>
          <w:rtl/>
        </w:rPr>
        <w:t>ة</w:t>
      </w:r>
      <w:r w:rsidR="008C7592"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w:t>
      </w:r>
      <w:r w:rsidRPr="006571AC">
        <w:rPr>
          <w:rFonts w:ascii="Sakkal Majalla" w:hAnsi="Sakkal Majalla" w:cs="AL-Mohanad"/>
          <w:sz w:val="27"/>
          <w:szCs w:val="27"/>
          <w:rtl/>
        </w:rPr>
        <w:t xml:space="preserve">قال له: </w:t>
      </w:r>
      <w:r w:rsidRPr="006571AC">
        <w:rPr>
          <w:rFonts w:cs="AL-Mohanad" w:hint="cs"/>
          <w:sz w:val="27"/>
          <w:szCs w:val="27"/>
          <w:rtl/>
        </w:rPr>
        <w:t>ي</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محمد</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8C7592" w:rsidRPr="006571AC">
        <w:rPr>
          <w:rFonts w:ascii="Sakkal Majalla" w:hAnsi="Sakkal Majalla" w:cs="AL-Mohanad" w:hint="cs"/>
          <w:sz w:val="27"/>
          <w:szCs w:val="27"/>
          <w:rtl/>
        </w:rPr>
        <w:t>إ</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قرئك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السلام</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قول</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8C7592"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ما أنْزِلَ إِلَيْكَ مِنْ رَبِّكَ‏</w:t>
      </w:r>
      <w:r w:rsidRPr="006571AC">
        <w:rPr>
          <w:rFonts w:ascii="Mosawi" w:hAnsi="Mosawi" w:cs="Mosawi"/>
          <w:rtl/>
        </w:rPr>
        <w:t>﴾</w:t>
      </w:r>
      <w:r w:rsidRPr="006571AC">
        <w:rPr>
          <w:rFonts w:ascii="Sakkal Majalla" w:hAnsi="Sakkal Majalla" w:cs="AL-Mohanad"/>
          <w:sz w:val="27"/>
          <w:szCs w:val="27"/>
          <w:rtl/>
        </w:rPr>
        <w:t xml:space="preserve"> في عل</w:t>
      </w:r>
      <w:r w:rsidR="008C7592"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وَإِنْ لَمْ تَفْعَلْ فَما بَلَّغْتَ رِسالَتَهُ</w:t>
      </w:r>
      <w:r w:rsidRPr="006571AC">
        <w:rPr>
          <w:rFonts w:ascii="Sakkal Majalla" w:hAnsi="Sakkal Majalla" w:cs="AL-Mohanad"/>
          <w:sz w:val="27"/>
          <w:szCs w:val="27"/>
          <w:rtl/>
        </w:rPr>
        <w:t>‏</w:t>
      </w:r>
      <w:r w:rsidRPr="006571AC">
        <w:rPr>
          <w:rFonts w:ascii="Mosawi" w:hAnsi="Mosawi" w:cs="Mosawi"/>
          <w:rtl/>
        </w:rPr>
        <w:t>﴾</w:t>
      </w:r>
      <w:r w:rsidRPr="006571AC">
        <w:rPr>
          <w:rFonts w:ascii="Sakkal Majalla" w:hAnsi="Sakkal Majalla" w:cs="AL-Mohanad" w:hint="cs"/>
          <w:sz w:val="27"/>
          <w:szCs w:val="27"/>
          <w:rtl/>
        </w:rPr>
        <w:t xml:space="preserve"> (المائدة: 67)</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32"/>
      </w:r>
      <w:r w:rsidRPr="006571AC">
        <w:rPr>
          <w:rFonts w:ascii="Sakkal Majalla" w:hAnsi="Sakkal Majalla" w:cs="AL-Mohanad"/>
          <w:sz w:val="27"/>
          <w:szCs w:val="27"/>
          <w:vertAlign w:val="superscript"/>
          <w:rtl/>
        </w:rPr>
        <w:t>)</w:t>
      </w:r>
      <w:r w:rsidR="008C7592" w:rsidRPr="006571AC">
        <w:rPr>
          <w:rFonts w:ascii="Sakkal Majalla" w:hAnsi="Sakkal Majalla" w:cs="AL-Mohanad" w:hint="cs"/>
          <w:sz w:val="27"/>
          <w:szCs w:val="27"/>
          <w:rtl/>
        </w:rPr>
        <w:t>.</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و</w:t>
      </w:r>
      <w:r w:rsidRPr="006571AC">
        <w:rPr>
          <w:rFonts w:ascii="Sakkal Majalla" w:hAnsi="Sakkal Majalla" w:cs="AL-Mohanad" w:hint="cs"/>
          <w:sz w:val="27"/>
          <w:szCs w:val="27"/>
          <w:rtl/>
        </w:rPr>
        <w:t>قد ا</w:t>
      </w:r>
      <w:r w:rsidRPr="006571AC">
        <w:rPr>
          <w:rFonts w:ascii="Sakkal Majalla" w:hAnsi="Sakkal Majalla" w:cs="AL-Mohanad"/>
          <w:sz w:val="27"/>
          <w:szCs w:val="27"/>
          <w:rtl/>
        </w:rPr>
        <w:t xml:space="preserve">ستدلّوا على </w:t>
      </w:r>
      <w:r w:rsidRPr="006571AC">
        <w:rPr>
          <w:rFonts w:ascii="Sakkal Majalla" w:hAnsi="Sakkal Majalla" w:cs="AL-Mohanad" w:hint="cs"/>
          <w:sz w:val="27"/>
          <w:szCs w:val="27"/>
          <w:rtl/>
        </w:rPr>
        <w:t xml:space="preserve">قولهم </w:t>
      </w:r>
      <w:r w:rsidRPr="006571AC">
        <w:rPr>
          <w:rFonts w:ascii="Sakkal Majalla" w:hAnsi="Sakkal Majalla" w:cs="AL-Mohanad"/>
          <w:sz w:val="27"/>
          <w:szCs w:val="27"/>
          <w:rtl/>
        </w:rPr>
        <w:t>بدل</w:t>
      </w:r>
      <w:r w:rsidRPr="006571AC">
        <w:rPr>
          <w:rFonts w:cs="AL-Mohanad" w:hint="cs"/>
          <w:sz w:val="27"/>
          <w:szCs w:val="27"/>
          <w:rtl/>
        </w:rPr>
        <w:t>ي</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hint="cs"/>
          <w:sz w:val="27"/>
          <w:szCs w:val="27"/>
          <w:rtl/>
        </w:rPr>
        <w:t>ن</w:t>
      </w:r>
      <w:r w:rsidR="008C7592" w:rsidRPr="006571AC">
        <w:rPr>
          <w:rFonts w:ascii="Sakkal Majalla" w:hAnsi="Sakkal Majalla" w:cs="AL-Mohanad" w:hint="cs"/>
          <w:sz w:val="27"/>
          <w:szCs w:val="27"/>
          <w:rtl/>
        </w:rPr>
        <w:t>:</w:t>
      </w:r>
    </w:p>
    <w:p w:rsidR="005D05A4" w:rsidRPr="006571AC" w:rsidRDefault="005D05A4" w:rsidP="005D3BB1">
      <w:pPr>
        <w:pStyle w:val="af"/>
        <w:spacing w:line="420" w:lineRule="exact"/>
        <w:rPr>
          <w:rFonts w:ascii="Sakkal Majalla" w:hAnsi="Sakkal Majalla" w:cs="AL-Mohanad"/>
          <w:sz w:val="27"/>
          <w:szCs w:val="27"/>
          <w:rtl/>
        </w:rPr>
      </w:pPr>
      <w:r w:rsidRPr="006571AC">
        <w:rPr>
          <w:rFonts w:ascii="Sakkal Majalla" w:hAnsi="Sakkal Majalla" w:cs="AL-Mohanad" w:hint="cs"/>
          <w:sz w:val="27"/>
          <w:szCs w:val="27"/>
          <w:rtl/>
        </w:rPr>
        <w:t xml:space="preserve"> </w:t>
      </w:r>
    </w:p>
    <w:p w:rsidR="005D05A4" w:rsidRPr="006571AC" w:rsidRDefault="00845E1A" w:rsidP="00845E1A">
      <w:pPr>
        <w:pStyle w:val="31"/>
        <w:rPr>
          <w:color w:val="auto"/>
          <w:rtl/>
        </w:rPr>
      </w:pPr>
      <w:bookmarkStart w:id="150" w:name="_Toc114164639"/>
      <w:r w:rsidRPr="006571AC">
        <w:rPr>
          <w:rFonts w:hint="cs"/>
          <w:color w:val="auto"/>
          <w:rtl/>
        </w:rPr>
        <w:t>أـ</w:t>
      </w:r>
      <w:r w:rsidR="005D05A4" w:rsidRPr="006571AC">
        <w:rPr>
          <w:color w:val="auto"/>
          <w:rtl/>
        </w:rPr>
        <w:t xml:space="preserve"> </w:t>
      </w:r>
      <w:r w:rsidRPr="006571AC">
        <w:rPr>
          <w:rFonts w:hint="cs"/>
          <w:color w:val="auto"/>
          <w:rtl/>
        </w:rPr>
        <w:t>رواياتٌ كثيرة في مصادر المسلمين</w:t>
      </w:r>
      <w:bookmarkEnd w:id="150"/>
    </w:p>
    <w:p w:rsidR="008C7592" w:rsidRPr="006571AC" w:rsidRDefault="005D05A4" w:rsidP="00B41BA0">
      <w:pPr>
        <w:pStyle w:val="af"/>
        <w:rPr>
          <w:rFonts w:ascii="Sakkal Majalla" w:hAnsi="Sakkal Majalla" w:cs="AL-Mohanad"/>
          <w:sz w:val="27"/>
          <w:szCs w:val="27"/>
          <w:rtl/>
        </w:rPr>
      </w:pPr>
      <w:r w:rsidRPr="006571AC">
        <w:rPr>
          <w:rFonts w:ascii="Sakkal Majalla" w:hAnsi="Sakkal Majalla" w:cs="AL-Mohanad" w:hint="cs"/>
          <w:sz w:val="27"/>
          <w:szCs w:val="27"/>
          <w:rtl/>
        </w:rPr>
        <w:t>الأحاد</w:t>
      </w:r>
      <w:r w:rsidRPr="006571AC">
        <w:rPr>
          <w:rFonts w:cs="AL-Mohanad" w:hint="cs"/>
          <w:sz w:val="27"/>
          <w:szCs w:val="27"/>
          <w:rtl/>
        </w:rPr>
        <w:t>ي</w:t>
      </w:r>
      <w:r w:rsidRPr="006571AC">
        <w:rPr>
          <w:rFonts w:ascii="Sakkal Majalla" w:hAnsi="Sakkal Majalla" w:cs="AL-Mohanad" w:hint="cs"/>
          <w:sz w:val="27"/>
          <w:szCs w:val="27"/>
          <w:rtl/>
        </w:rPr>
        <w:t>ث التي استدلّ بها الش</w:t>
      </w:r>
      <w:r w:rsidRPr="006571AC">
        <w:rPr>
          <w:rFonts w:cs="AL-Mohanad" w:hint="cs"/>
          <w:sz w:val="27"/>
          <w:szCs w:val="27"/>
          <w:rtl/>
        </w:rPr>
        <w:t>ي</w:t>
      </w:r>
      <w:r w:rsidRPr="006571AC">
        <w:rPr>
          <w:rFonts w:ascii="Sakkal Majalla" w:hAnsi="Sakkal Majalla" w:cs="AL-Mohanad" w:hint="cs"/>
          <w:sz w:val="27"/>
          <w:szCs w:val="27"/>
          <w:rtl/>
        </w:rPr>
        <w:t>عة على مد</w:t>
      </w:r>
      <w:r w:rsidR="008C7592" w:rsidRPr="006571AC">
        <w:rPr>
          <w:rFonts w:ascii="Sakkal Majalla" w:hAnsi="Sakkal Majalla" w:cs="AL-Mohanad" w:hint="cs"/>
          <w:sz w:val="27"/>
          <w:szCs w:val="27"/>
          <w:rtl/>
        </w:rPr>
        <w:t>َّ</w:t>
      </w:r>
      <w:r w:rsidRPr="006571AC">
        <w:rPr>
          <w:rFonts w:ascii="Sakkal Majalla" w:hAnsi="Sakkal Majalla" w:cs="AL-Mohanad" w:hint="cs"/>
          <w:sz w:val="27"/>
          <w:szCs w:val="27"/>
          <w:rtl/>
        </w:rPr>
        <w:t>عاهم كث</w:t>
      </w:r>
      <w:r w:rsidRPr="006571AC">
        <w:rPr>
          <w:rFonts w:cs="AL-Mohanad" w:hint="cs"/>
          <w:sz w:val="27"/>
          <w:szCs w:val="27"/>
          <w:rtl/>
        </w:rPr>
        <w:t>ي</w:t>
      </w:r>
      <w:r w:rsidRPr="006571AC">
        <w:rPr>
          <w:rFonts w:ascii="Sakkal Majalla" w:hAnsi="Sakkal Majalla" w:cs="AL-Mohanad" w:hint="cs"/>
          <w:sz w:val="27"/>
          <w:szCs w:val="27"/>
          <w:rtl/>
        </w:rPr>
        <w:t>رة</w:t>
      </w:r>
      <w:r w:rsidR="008C7592"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ومتواترة</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008C7592" w:rsidRPr="006571AC">
        <w:rPr>
          <w:rFonts w:ascii="Sakkal Majalla" w:hAnsi="Sakkal Majalla" w:cs="AL-Mohanad" w:hint="cs"/>
          <w:sz w:val="27"/>
          <w:szCs w:val="27"/>
          <w:rtl/>
        </w:rPr>
        <w:t>قد رواها علماء العام</w:t>
      </w:r>
      <w:r w:rsidR="002F45B0" w:rsidRPr="006571AC">
        <w:rPr>
          <w:rFonts w:ascii="Sakkal Majalla" w:hAnsi="Sakkal Majalla" w:cs="AL-Mohanad" w:hint="cs"/>
          <w:sz w:val="27"/>
          <w:szCs w:val="27"/>
          <w:rtl/>
        </w:rPr>
        <w:t>ّ</w:t>
      </w:r>
      <w:r w:rsidR="008C7592" w:rsidRPr="006571AC">
        <w:rPr>
          <w:rFonts w:ascii="Sakkal Majalla" w:hAnsi="Sakkal Majalla" w:cs="AL-Mohanad" w:hint="cs"/>
          <w:sz w:val="27"/>
          <w:szCs w:val="27"/>
          <w:rtl/>
        </w:rPr>
        <w:t>ة والخاص</w:t>
      </w:r>
      <w:r w:rsidR="002F45B0" w:rsidRPr="006571AC">
        <w:rPr>
          <w:rFonts w:ascii="Sakkal Majalla" w:hAnsi="Sakkal Majalla" w:cs="AL-Mohanad" w:hint="cs"/>
          <w:sz w:val="27"/>
          <w:szCs w:val="27"/>
          <w:rtl/>
        </w:rPr>
        <w:t>ّ</w:t>
      </w:r>
      <w:r w:rsidR="008C7592" w:rsidRPr="006571AC">
        <w:rPr>
          <w:rFonts w:ascii="Sakkal Majalla" w:hAnsi="Sakkal Majalla" w:cs="AL-Mohanad" w:hint="cs"/>
          <w:sz w:val="27"/>
          <w:szCs w:val="27"/>
          <w:rtl/>
        </w:rPr>
        <w:t>ة، و</w:t>
      </w:r>
      <w:r w:rsidRPr="006571AC">
        <w:rPr>
          <w:rFonts w:ascii="Sakkal Majalla" w:hAnsi="Sakkal Majalla" w:cs="AL-Mohanad" w:hint="cs"/>
          <w:sz w:val="27"/>
          <w:szCs w:val="27"/>
          <w:rtl/>
        </w:rPr>
        <w:t>منها</w:t>
      </w:r>
      <w:r w:rsidR="008C7592"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p>
    <w:p w:rsidR="005D05A4" w:rsidRPr="006571AC" w:rsidRDefault="008C7592" w:rsidP="00446D07">
      <w:pPr>
        <w:pStyle w:val="af"/>
        <w:rPr>
          <w:rFonts w:ascii="Sakkal Majalla" w:hAnsi="Sakkal Majalla" w:cs="AL-Mohanad"/>
          <w:sz w:val="27"/>
          <w:szCs w:val="27"/>
          <w:rtl/>
        </w:rPr>
      </w:pPr>
      <w:r w:rsidRPr="006571AC">
        <w:rPr>
          <w:rFonts w:ascii="Sakkal Majalla" w:hAnsi="Sakkal Majalla" w:cs="AL-Mohanad" w:hint="cs"/>
          <w:sz w:val="27"/>
          <w:szCs w:val="27"/>
          <w:rtl/>
        </w:rPr>
        <w:t xml:space="preserve">1ـ </w:t>
      </w:r>
      <w:r w:rsidR="005D05A4" w:rsidRPr="006571AC">
        <w:rPr>
          <w:rFonts w:ascii="Sakkal Majalla" w:hAnsi="Sakkal Majalla" w:cs="AL-Mohanad"/>
          <w:sz w:val="27"/>
          <w:szCs w:val="27"/>
          <w:rtl/>
        </w:rPr>
        <w:t xml:space="preserve">ما رواه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بو</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جعفر الكل</w:t>
      </w:r>
      <w:r w:rsidR="005D05A4" w:rsidRPr="006571AC">
        <w:rPr>
          <w:rFonts w:cs="AL-Mohanad" w:hint="cs"/>
          <w:sz w:val="27"/>
          <w:szCs w:val="27"/>
          <w:rtl/>
        </w:rPr>
        <w:t>ي</w:t>
      </w:r>
      <w:r w:rsidR="005D05A4" w:rsidRPr="006571AC">
        <w:rPr>
          <w:rFonts w:ascii="Sakkal Majalla" w:hAnsi="Sakkal Majalla" w:cs="AL-Mohanad" w:hint="cs"/>
          <w:sz w:val="27"/>
          <w:szCs w:val="27"/>
          <w:rtl/>
        </w:rPr>
        <w:t>ني</w:t>
      </w:r>
      <w:r w:rsidR="002F45B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بسنده الصح</w:t>
      </w:r>
      <w:r w:rsidR="005D05A4" w:rsidRPr="006571AC">
        <w:rPr>
          <w:rFonts w:cs="AL-Mohanad" w:hint="cs"/>
          <w:sz w:val="27"/>
          <w:szCs w:val="27"/>
          <w:rtl/>
        </w:rPr>
        <w:t>ي</w:t>
      </w:r>
      <w:r w:rsidR="005D05A4" w:rsidRPr="006571AC">
        <w:rPr>
          <w:rFonts w:ascii="Sakkal Majalla" w:hAnsi="Sakkal Majalla" w:cs="AL-Mohanad" w:hint="cs"/>
          <w:sz w:val="27"/>
          <w:szCs w:val="27"/>
          <w:rtl/>
        </w:rPr>
        <w:t>ح</w:t>
      </w:r>
      <w:r w:rsidR="002F45B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زرارة</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الإ</w:t>
      </w:r>
      <w:r w:rsidR="005D05A4" w:rsidRPr="006571AC">
        <w:rPr>
          <w:rFonts w:ascii="Sakkal Majalla" w:hAnsi="Sakkal Majalla" w:cs="AL-Mohanad"/>
          <w:sz w:val="27"/>
          <w:szCs w:val="27"/>
          <w:rtl/>
        </w:rPr>
        <w:t>مام الباقر</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قال</w:t>
      </w:r>
      <w:r w:rsidR="005D05A4" w:rsidRPr="006571AC">
        <w:rPr>
          <w:rFonts w:ascii="Sakkal Majalla" w:hAnsi="Sakkal Majalla" w:cs="AL-Mohanad"/>
          <w:sz w:val="27"/>
          <w:szCs w:val="27"/>
          <w:rtl/>
        </w:rPr>
        <w:t>: أمر الله‏ عزَّ وجلَّ‏ رسوله</w:t>
      </w:r>
      <w:r w:rsidR="002A2C90" w:rsidRPr="006571AC">
        <w:rPr>
          <w:rFonts w:ascii="Mosawi" w:hAnsi="Mosawi" w:cs="Mosawi"/>
          <w:sz w:val="22"/>
          <w:szCs w:val="22"/>
          <w:rtl/>
        </w:rPr>
        <w:t>|</w:t>
      </w:r>
      <w:r w:rsidR="005D05A4" w:rsidRPr="006571AC">
        <w:rPr>
          <w:rFonts w:ascii="Sakkal Majalla" w:hAnsi="Sakkal Majalla" w:cs="AL-Mohanad"/>
          <w:sz w:val="27"/>
          <w:szCs w:val="27"/>
          <w:rtl/>
        </w:rPr>
        <w:t>‏ بولاية عل</w:t>
      </w:r>
      <w:r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وأنزل عليه: </w:t>
      </w:r>
      <w:r w:rsidR="005D05A4" w:rsidRPr="006571AC">
        <w:rPr>
          <w:rFonts w:ascii="Mosawi" w:hAnsi="Mosawi" w:cs="Mosawi"/>
          <w:rtl/>
        </w:rPr>
        <w:t>﴿</w:t>
      </w:r>
      <w:r w:rsidR="00454A40" w:rsidRPr="006571AC">
        <w:rPr>
          <w:rFonts w:cs="AL-Mohanad"/>
          <w:b/>
          <w:bCs/>
          <w:sz w:val="27"/>
          <w:szCs w:val="27"/>
          <w:rtl/>
        </w:rPr>
        <w:t>إِنَّمَا وَلِيُّكُمْ اللهُ وَرَسُولُهُ وَالَّذِينَ آمَنُوا الَّذِينَ يُقِيمُونَ الصَّلاَةَ وَيُؤْتُونَ الزَّكَاةَ</w:t>
      </w:r>
      <w:r w:rsidR="005D05A4" w:rsidRPr="006571AC">
        <w:rPr>
          <w:rFonts w:ascii="Mosawi" w:hAnsi="Mosawi" w:cs="Mosawi"/>
          <w:rtl/>
        </w:rPr>
        <w:t>﴾</w:t>
      </w:r>
      <w:r w:rsidR="005D05A4" w:rsidRPr="006571AC">
        <w:rPr>
          <w:rFonts w:ascii="Sakkal Majalla" w:hAnsi="Sakkal Majalla" w:cs="AL-Mohanad"/>
          <w:sz w:val="27"/>
          <w:szCs w:val="27"/>
          <w:rtl/>
        </w:rPr>
        <w:t>، وفرض ولاية أولي الأمر، فلم يدروا ما هي؟ فأمر الله محمداً</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أن يفس</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ر لهم الولاية، كما فس</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ر لهم الصلاة والزكاة والصوم والحج</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فلما أتاه ذلك من الله ضاق بذلك صدر رسول الله</w:t>
      </w:r>
      <w:r w:rsidR="002A2C90" w:rsidRPr="006571AC">
        <w:rPr>
          <w:rFonts w:ascii="Mosawi" w:hAnsi="Mosawi" w:cs="Mosawi"/>
          <w:sz w:val="22"/>
          <w:szCs w:val="22"/>
          <w:rtl/>
        </w:rPr>
        <w:t>|</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وتخو</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ف أن يرتد</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وا عن دينهم، وأن يكذ</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بوه، فضاق صدره</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وراجع رب</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ه عزَّ وجلَّ</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فأوحى الله عزَّ وجلَّ إليه: </w:t>
      </w:r>
      <w:r w:rsidR="005D05A4" w:rsidRPr="006571AC">
        <w:rPr>
          <w:rFonts w:ascii="Mosawi" w:hAnsi="Mosawi" w:cs="Mosawi"/>
          <w:rtl/>
        </w:rPr>
        <w:t>﴿</w:t>
      </w:r>
      <w:r w:rsidR="00454A40" w:rsidRPr="006571AC">
        <w:rPr>
          <w:rFonts w:cs="AL-Mohanad"/>
          <w:b/>
          <w:bCs/>
          <w:sz w:val="27"/>
          <w:szCs w:val="27"/>
          <w:rtl/>
        </w:rPr>
        <w:t>يَا أَيُّهَا الرَّسُولُ بَلِّغْ مَا أُنزِلَ إِلَيْكَ مِنْ رَبِّكَ وَإِنْ لَمْ تَفْعَلْ فَمَا بَلَّغْتَ رِسَالَتَهُ وَاللهُ يَعْصِمُكَ مِنْ النَّاسِ</w:t>
      </w:r>
      <w:r w:rsidR="005D05A4" w:rsidRPr="006571AC">
        <w:rPr>
          <w:rFonts w:ascii="Mosawi" w:hAnsi="Mosawi" w:cs="Mosawi"/>
          <w:rtl/>
        </w:rPr>
        <w:t>﴾</w:t>
      </w:r>
      <w:r w:rsidR="005D05A4" w:rsidRPr="006571AC">
        <w:rPr>
          <w:rFonts w:ascii="Sakkal Majalla" w:hAnsi="Sakkal Majalla" w:cs="AL-Mohanad"/>
          <w:sz w:val="27"/>
          <w:szCs w:val="27"/>
          <w:rtl/>
        </w:rPr>
        <w:t>، فصدع بأمر الله تعالى ذكره، فقام بولاية علي</w:t>
      </w:r>
      <w:r w:rsidR="00454A40" w:rsidRPr="006571AC">
        <w:rPr>
          <w:rFonts w:ascii="Sakkal Majalla" w:hAnsi="Sakkal Majalla" w:cs="AL-Mohanad" w:hint="cs"/>
          <w:sz w:val="27"/>
          <w:szCs w:val="27"/>
          <w:rtl/>
        </w:rPr>
        <w:t>ٍّ</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يوم غدير خم</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فنادى</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الصلاة جامعة</w:t>
      </w:r>
      <w:r w:rsidR="002F45B0" w:rsidRPr="006571AC">
        <w:rPr>
          <w:rFonts w:ascii="Sakkal Majalla" w:hAnsi="Sakkal Majalla" w:cs="AL-Mohanad" w:hint="cs"/>
          <w:sz w:val="27"/>
          <w:szCs w:val="27"/>
          <w:rtl/>
        </w:rPr>
        <w:t>ٌ</w:t>
      </w:r>
      <w:r w:rsidR="005D05A4" w:rsidRPr="006571AC">
        <w:rPr>
          <w:rFonts w:ascii="Sakkal Majalla" w:hAnsi="Sakkal Majalla" w:cs="AL-Mohanad"/>
          <w:sz w:val="27"/>
          <w:szCs w:val="27"/>
          <w:rtl/>
        </w:rPr>
        <w:t>، وأمر الناس أن يبل</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غ الشاهد الغائب</w:t>
      </w:r>
      <w:r w:rsidR="00446D07" w:rsidRPr="006571AC">
        <w:rPr>
          <w:rFonts w:ascii="Sakkal Majalla" w:hAnsi="Sakkal Majalla" w:cs="AL-Mohanad" w:hint="cs"/>
          <w:sz w:val="27"/>
          <w:szCs w:val="27"/>
          <w:rtl/>
        </w:rPr>
        <w:t>.</w:t>
      </w:r>
      <w:r w:rsidR="005D05A4" w:rsidRPr="006571AC">
        <w:rPr>
          <w:rFonts w:ascii="Sakkal Majalla" w:hAnsi="Sakkal Majalla" w:cs="AL-Mohanad"/>
          <w:sz w:val="27"/>
          <w:szCs w:val="27"/>
          <w:rtl/>
        </w:rPr>
        <w:t>‏ قال عمر بن أذنية: قالوا جميعاً</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غير أبي الجارود</w:t>
      </w:r>
      <w:r w:rsidR="00446D07"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وقال أبو جعفر</w:t>
      </w:r>
      <w:r w:rsidR="002A2C90" w:rsidRPr="006571AC">
        <w:rPr>
          <w:rFonts w:ascii="Mosawi" w:hAnsi="Mosawi" w:cs="Mosawi"/>
          <w:sz w:val="22"/>
          <w:szCs w:val="22"/>
          <w:rtl/>
        </w:rPr>
        <w:t>×</w:t>
      </w:r>
      <w:r w:rsidR="005D05A4" w:rsidRPr="006571AC">
        <w:rPr>
          <w:rFonts w:ascii="Sakkal Majalla" w:hAnsi="Sakkal Majalla" w:cs="AL-Mohanad"/>
          <w:sz w:val="27"/>
          <w:szCs w:val="27"/>
          <w:rtl/>
        </w:rPr>
        <w:t>: وكانت الفريضة تنزل بعد الفريضة الأخرى</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وكانت الولاية آخر الفرائض، فأنزل الله عزَّ </w:t>
      </w:r>
      <w:r w:rsidR="005D05A4" w:rsidRPr="006571AC">
        <w:rPr>
          <w:rFonts w:ascii="Sakkal Majalla" w:hAnsi="Sakkal Majalla" w:cs="AL-Mohanad"/>
          <w:sz w:val="27"/>
          <w:szCs w:val="27"/>
          <w:rtl/>
        </w:rPr>
        <w:lastRenderedPageBreak/>
        <w:t xml:space="preserve">وجلَّ: </w:t>
      </w:r>
      <w:r w:rsidR="005D05A4" w:rsidRPr="006571AC">
        <w:rPr>
          <w:rFonts w:ascii="Mosawi" w:hAnsi="Mosawi" w:cs="Mosawi"/>
          <w:rtl/>
        </w:rPr>
        <w:t>﴿</w:t>
      </w:r>
      <w:r w:rsidR="00454A40" w:rsidRPr="006571AC">
        <w:rPr>
          <w:rFonts w:cs="AL-Mohanad"/>
          <w:b/>
          <w:bCs/>
          <w:sz w:val="27"/>
          <w:szCs w:val="27"/>
          <w:rtl/>
        </w:rPr>
        <w:t>الْيَوْمَ أَكْمَلْتُ لَكُمْ دِينَكُمْ وَأَتْمَمْتُ عَلَيْكُمْ نِعْمَتِي</w:t>
      </w:r>
      <w:r w:rsidR="005D05A4" w:rsidRPr="006571AC">
        <w:rPr>
          <w:rFonts w:ascii="Mosawi" w:hAnsi="Mosawi" w:cs="Mosawi"/>
          <w:rtl/>
        </w:rPr>
        <w:t>﴾</w:t>
      </w:r>
      <w:r w:rsidR="00C31F45"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قال أبو جعفر</w:t>
      </w:r>
      <w:r w:rsidR="002A2C90" w:rsidRPr="006571AC">
        <w:rPr>
          <w:rFonts w:ascii="Mosawi" w:hAnsi="Mosawi" w:cs="Mosawi"/>
          <w:sz w:val="22"/>
          <w:szCs w:val="22"/>
          <w:rtl/>
        </w:rPr>
        <w:t>×</w:t>
      </w:r>
      <w:r w:rsidR="005D05A4" w:rsidRPr="006571AC">
        <w:rPr>
          <w:rFonts w:ascii="Sakkal Majalla" w:hAnsi="Sakkal Majalla" w:cs="AL-Mohanad"/>
          <w:sz w:val="27"/>
          <w:szCs w:val="27"/>
          <w:rtl/>
        </w:rPr>
        <w:t>: يقول الله عزَّ وجلَّ: لا أنزل عليكم بعد هذه فريضة، قد أكملت لكم الفرائض</w:t>
      </w:r>
      <w:r w:rsidR="005D05A4" w:rsidRPr="006571AC">
        <w:rPr>
          <w:rFonts w:ascii="Sakkal Majalla" w:hAnsi="Sakkal Majalla" w:cs="AL-Mohanad"/>
          <w:sz w:val="27"/>
          <w:szCs w:val="27"/>
          <w:vertAlign w:val="superscript"/>
          <w:rtl/>
        </w:rPr>
        <w:t>(</w:t>
      </w:r>
      <w:r w:rsidR="005D05A4" w:rsidRPr="006571AC">
        <w:rPr>
          <w:rStyle w:val="ac"/>
          <w:rFonts w:ascii="Sakkal Majalla" w:hAnsi="Sakkal Majalla" w:cs="AL-Mohanad"/>
          <w:sz w:val="27"/>
          <w:szCs w:val="27"/>
          <w:rtl/>
        </w:rPr>
        <w:endnoteReference w:id="333"/>
      </w:r>
      <w:r w:rsidR="005D05A4" w:rsidRPr="006571AC">
        <w:rPr>
          <w:rFonts w:ascii="Sakkal Majalla" w:hAnsi="Sakkal Majalla" w:cs="AL-Mohanad"/>
          <w:sz w:val="27"/>
          <w:szCs w:val="27"/>
          <w:vertAlign w:val="superscript"/>
          <w:rtl/>
        </w:rPr>
        <w:t>)</w:t>
      </w:r>
      <w:r w:rsidR="005D05A4" w:rsidRPr="006571AC">
        <w:rPr>
          <w:rFonts w:ascii="Sakkal Majalla" w:hAnsi="Sakkal Majalla" w:cs="AL-Mohanad"/>
          <w:sz w:val="27"/>
          <w:szCs w:val="27"/>
          <w:rtl/>
        </w:rPr>
        <w:t xml:space="preserve">. </w:t>
      </w:r>
    </w:p>
    <w:p w:rsidR="00C31F45" w:rsidRPr="006571AC" w:rsidRDefault="00C31F45" w:rsidP="00B41BA0">
      <w:pPr>
        <w:pStyle w:val="af"/>
        <w:rPr>
          <w:rFonts w:ascii="Sakkal Majalla" w:hAnsi="Sakkal Majalla" w:cs="AL-Mohanad"/>
          <w:sz w:val="27"/>
          <w:szCs w:val="27"/>
          <w:rtl/>
        </w:rPr>
      </w:pPr>
      <w:r w:rsidRPr="006571AC">
        <w:rPr>
          <w:rFonts w:ascii="Sakkal Majalla" w:hAnsi="Sakkal Majalla" w:cs="AL-Mohanad" w:hint="cs"/>
          <w:sz w:val="27"/>
          <w:szCs w:val="27"/>
          <w:rtl/>
        </w:rPr>
        <w:t xml:space="preserve">2ـ </w:t>
      </w:r>
      <w:r w:rsidR="005D05A4" w:rsidRPr="006571AC">
        <w:rPr>
          <w:rFonts w:ascii="Sakkal Majalla" w:hAnsi="Sakkal Majalla" w:cs="AL-Mohanad"/>
          <w:sz w:val="27"/>
          <w:szCs w:val="27"/>
          <w:rtl/>
        </w:rPr>
        <w:t xml:space="preserve">وروى العياشي </w:t>
      </w:r>
      <w:r w:rsidR="005D05A4" w:rsidRPr="006571AC">
        <w:rPr>
          <w:rFonts w:ascii="Sakkal Majalla" w:hAnsi="Sakkal Majalla" w:cs="AL-Mohanad" w:hint="cs"/>
          <w:sz w:val="27"/>
          <w:szCs w:val="27"/>
          <w:rtl/>
        </w:rPr>
        <w:t>أ</w:t>
      </w:r>
      <w:r w:rsidR="005D05A4" w:rsidRPr="006571AC">
        <w:rPr>
          <w:rFonts w:cs="AL-Mohanad" w:hint="cs"/>
          <w:sz w:val="27"/>
          <w:szCs w:val="27"/>
          <w:rtl/>
        </w:rPr>
        <w:t>ي</w:t>
      </w:r>
      <w:r w:rsidR="005D05A4" w:rsidRPr="006571AC">
        <w:rPr>
          <w:rFonts w:ascii="Sakkal Majalla" w:hAnsi="Sakkal Majalla" w:cs="AL-Mohanad" w:hint="cs"/>
          <w:sz w:val="27"/>
          <w:szCs w:val="27"/>
          <w:rtl/>
        </w:rPr>
        <w:t>ضاً</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في</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تفسيره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بإسناده</w:t>
      </w:r>
      <w:r w:rsidR="005D05A4" w:rsidRPr="006571AC">
        <w:rPr>
          <w:rFonts w:ascii="Sakkal Majalla" w:hAnsi="Sakkal Majalla" w:cs="AL-Mohanad"/>
          <w:sz w:val="27"/>
          <w:szCs w:val="27"/>
          <w:rtl/>
        </w:rPr>
        <w:t xml:space="preserve"> عن حنان بن سدير</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عن أبيه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عن أبي جعفر</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قال</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لما نزل جبرئيل</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على رسول الله</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في حج</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ة الوداع بإعلان أمر عل</w:t>
      </w:r>
      <w:r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بن أبي طالب</w:t>
      </w:r>
      <w:r w:rsidR="002A2C90" w:rsidRPr="006571AC">
        <w:rPr>
          <w:rFonts w:ascii="Mosawi" w:hAnsi="Mosawi" w:cs="Mosawi"/>
          <w:sz w:val="22"/>
          <w:szCs w:val="22"/>
          <w:rtl/>
        </w:rPr>
        <w:t>×</w:t>
      </w:r>
      <w:r w:rsidR="005D05A4" w:rsidRPr="006571AC">
        <w:rPr>
          <w:rFonts w:ascii="Sakkal Majalla" w:hAnsi="Sakkal Majalla" w:cs="AL-Mohanad" w:hint="cs"/>
          <w:sz w:val="27"/>
          <w:szCs w:val="27"/>
          <w:rtl/>
        </w:rPr>
        <w:t xml:space="preserve"> </w:t>
      </w:r>
      <w:r w:rsidR="005D05A4" w:rsidRPr="006571AC">
        <w:rPr>
          <w:rFonts w:ascii="Mosawi" w:hAnsi="Mosawi" w:cs="Mosawi"/>
          <w:rtl/>
        </w:rPr>
        <w:t>﴿</w:t>
      </w:r>
      <w:r w:rsidR="005D05A4" w:rsidRPr="006571AC">
        <w:rPr>
          <w:rFonts w:ascii="Sakkal Majalla" w:hAnsi="Sakkal Majalla" w:cs="AL-Mohanad"/>
          <w:b/>
          <w:bCs/>
          <w:sz w:val="27"/>
          <w:szCs w:val="27"/>
          <w:rtl/>
        </w:rPr>
        <w:t>ي</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أَيُّهَا الرَّسُولُ بَلِّغْ ما أنْزِلَ إِلَيْكَ مِنْ رَبِّكَ</w:t>
      </w:r>
      <w:r w:rsidR="005D05A4" w:rsidRPr="006571AC">
        <w:rPr>
          <w:rFonts w:ascii="Mosawi" w:hAnsi="Mosawi" w:cs="Mosawi"/>
          <w:rtl/>
        </w:rPr>
        <w:t>﴾</w:t>
      </w:r>
      <w:r w:rsidR="005D05A4" w:rsidRPr="006571AC">
        <w:rPr>
          <w:rFonts w:ascii="Sakkal Majalla" w:hAnsi="Sakkal Majalla" w:cs="AL-Mohanad"/>
          <w:sz w:val="27"/>
          <w:szCs w:val="27"/>
          <w:rtl/>
        </w:rPr>
        <w:t xml:space="preserve"> إلى آخر الآية، قال: فمكث النبي</w:t>
      </w:r>
      <w:r w:rsidRPr="006571AC">
        <w:rPr>
          <w:rFonts w:ascii="Mosawi" w:hAnsi="Mosawi" w:cs="Mosawi" w:hint="cs"/>
          <w:sz w:val="22"/>
          <w:szCs w:val="22"/>
          <w:rtl/>
        </w:rPr>
        <w:t>ّ</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ثلاثا</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حت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ى أتى الجحفة</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فلم يأخذ بيده ف</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ر</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قا</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من الناس، فلما نزل الجحفة يوم الغدير</w:t>
      </w:r>
      <w:r w:rsidR="00446D07"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في مكان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ي</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قال له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مهيعة، فنادى: الصلاة جامعة، فاجتمع الناس</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فقال النبي</w:t>
      </w:r>
      <w:r w:rsidRPr="006571AC">
        <w:rPr>
          <w:rFonts w:ascii="Sakkal Majalla" w:hAnsi="Sakkal Majalla" w:cs="AL-Mohanad" w:hint="cs"/>
          <w:sz w:val="27"/>
          <w:szCs w:val="27"/>
          <w:rtl/>
        </w:rPr>
        <w:t>ّ</w:t>
      </w:r>
      <w:r w:rsidR="002A2C90" w:rsidRPr="006571AC">
        <w:rPr>
          <w:rFonts w:ascii="Mosawi" w:hAnsi="Mosawi" w:cs="Mosawi"/>
          <w:sz w:val="22"/>
          <w:szCs w:val="22"/>
          <w:rtl/>
        </w:rPr>
        <w:t>|</w:t>
      </w:r>
      <w:r w:rsidR="005D05A4" w:rsidRPr="006571AC">
        <w:rPr>
          <w:rFonts w:ascii="Sakkal Majalla" w:hAnsi="Sakkal Majalla" w:cs="AL-Mohanad"/>
          <w:sz w:val="27"/>
          <w:szCs w:val="27"/>
          <w:rtl/>
        </w:rPr>
        <w:t>: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أولى بكم من أنفسكم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قال: فجهروا فقالوا: الله ورسوله، ثم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قال لهم الثانية، فقالوا: الله ورسوله، ثم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قال لهم الثالثة، فقالوا: الله ورسوله، فأخذ بيد عل</w:t>
      </w:r>
      <w:r w:rsidRPr="006571AC">
        <w:rPr>
          <w:rFonts w:ascii="Sakkal Majalla" w:hAnsi="Sakkal Majalla" w:cs="AL-Mohanad" w:hint="cs"/>
          <w:sz w:val="27"/>
          <w:szCs w:val="27"/>
          <w:rtl/>
        </w:rPr>
        <w:t>يٍّ</w:t>
      </w:r>
      <w:r w:rsidR="002A2C90" w:rsidRPr="006571AC">
        <w:rPr>
          <w:rFonts w:ascii="Mosawi" w:hAnsi="Mosawi" w:cs="Mosawi"/>
          <w:sz w:val="22"/>
          <w:szCs w:val="22"/>
          <w:rtl/>
        </w:rPr>
        <w:t>×</w:t>
      </w:r>
      <w:r w:rsidR="004459D6" w:rsidRPr="006571AC">
        <w:rPr>
          <w:rFonts w:ascii="Sakkal Majalla" w:hAnsi="Sakkal Majalla" w:cs="AL-Mohanad"/>
          <w:sz w:val="27"/>
          <w:szCs w:val="27"/>
          <w:rtl/>
        </w:rPr>
        <w:t xml:space="preserve"> </w:t>
      </w:r>
      <w:r w:rsidR="005D05A4" w:rsidRPr="006571AC">
        <w:rPr>
          <w:rFonts w:ascii="Sakkal Majalla" w:hAnsi="Sakkal Majalla" w:cs="AL-Mohanad"/>
          <w:sz w:val="27"/>
          <w:szCs w:val="27"/>
          <w:rtl/>
        </w:rPr>
        <w:t>فقال: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كنت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مولاه فعلي</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مولاه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اللهم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وال</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والاه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وعاد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عاداه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وانصر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نصره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واخذل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خذله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فإنه مني وأنا منه، وهو من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ي بمنزلة هارون من موسى</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إلا</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أنه لا نبي</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بعدي</w:t>
      </w:r>
      <w:r w:rsidR="005D05A4" w:rsidRPr="006571AC">
        <w:rPr>
          <w:rFonts w:ascii="Sakkal Majalla" w:hAnsi="Sakkal Majalla" w:cs="AL-Mohanad"/>
          <w:sz w:val="27"/>
          <w:szCs w:val="27"/>
          <w:vertAlign w:val="superscript"/>
          <w:rtl/>
        </w:rPr>
        <w:t>(</w:t>
      </w:r>
      <w:r w:rsidR="005D05A4" w:rsidRPr="006571AC">
        <w:rPr>
          <w:rStyle w:val="ac"/>
          <w:rFonts w:ascii="Sakkal Majalla" w:hAnsi="Sakkal Majalla" w:cs="AL-Mohanad"/>
          <w:sz w:val="27"/>
          <w:szCs w:val="27"/>
          <w:rtl/>
        </w:rPr>
        <w:endnoteReference w:id="334"/>
      </w:r>
      <w:r w:rsidR="005D05A4"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p>
    <w:p w:rsidR="005D05A4" w:rsidRPr="006571AC" w:rsidRDefault="005D05A4" w:rsidP="00B41BA0">
      <w:pPr>
        <w:pStyle w:val="af"/>
        <w:rPr>
          <w:rFonts w:ascii="Sakkal Majalla" w:hAnsi="Sakkal Majalla" w:cs="AL-Mohanad"/>
          <w:sz w:val="27"/>
          <w:szCs w:val="27"/>
        </w:rPr>
      </w:pPr>
      <w:r w:rsidRPr="006571AC">
        <w:rPr>
          <w:rFonts w:ascii="Sakkal Majalla" w:hAnsi="Sakkal Majalla" w:cs="AL-Mohanad"/>
          <w:sz w:val="27"/>
          <w:szCs w:val="27"/>
          <w:rtl/>
        </w:rPr>
        <w:t>وغ</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لا</w:t>
      </w:r>
      <w:r w:rsidRPr="006571AC">
        <w:rPr>
          <w:rFonts w:cs="AL-Mohanad" w:hint="cs"/>
          <w:sz w:val="27"/>
          <w:szCs w:val="27"/>
          <w:rtl/>
        </w:rPr>
        <w:t>ي</w:t>
      </w:r>
      <w:r w:rsidRPr="006571AC">
        <w:rPr>
          <w:rFonts w:ascii="Sakkal Majalla" w:hAnsi="Sakkal Majalla" w:cs="AL-Mohanad" w:hint="cs"/>
          <w:sz w:val="27"/>
          <w:szCs w:val="27"/>
          <w:rtl/>
        </w:rPr>
        <w:t>س</w:t>
      </w:r>
      <w:r w:rsidR="00C31F45"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00C31F45"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المقام </w:t>
      </w:r>
      <w:r w:rsidR="00446D07" w:rsidRPr="006571AC">
        <w:rPr>
          <w:rFonts w:ascii="Sakkal Majalla" w:hAnsi="Sakkal Majalla" w:cs="AL-Mohanad" w:hint="cs"/>
          <w:sz w:val="27"/>
          <w:szCs w:val="27"/>
          <w:rtl/>
        </w:rPr>
        <w:t>ل</w:t>
      </w:r>
      <w:r w:rsidRPr="006571AC">
        <w:rPr>
          <w:rFonts w:ascii="Sakkal Majalla" w:hAnsi="Sakkal Majalla" w:cs="AL-Mohanad"/>
          <w:sz w:val="27"/>
          <w:szCs w:val="27"/>
          <w:rtl/>
        </w:rPr>
        <w:t>ذكرها</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35"/>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sz w:val="27"/>
          <w:szCs w:val="27"/>
          <w:rtl/>
        </w:rPr>
        <w:t>و أمّا الروايات التي وردت عن طر</w:t>
      </w:r>
      <w:r w:rsidRPr="006571AC">
        <w:rPr>
          <w:rFonts w:cs="AL-Mohanad" w:hint="cs"/>
          <w:sz w:val="27"/>
          <w:szCs w:val="27"/>
          <w:rtl/>
        </w:rPr>
        <w:t>ي</w:t>
      </w:r>
      <w:r w:rsidRPr="006571AC">
        <w:rPr>
          <w:rFonts w:ascii="Sakkal Majalla" w:hAnsi="Sakkal Majalla" w:cs="AL-Mohanad" w:hint="cs"/>
          <w:sz w:val="27"/>
          <w:szCs w:val="27"/>
          <w:rtl/>
        </w:rPr>
        <w:t>ق العام</w:t>
      </w:r>
      <w:r w:rsidR="00C31F45" w:rsidRPr="006571AC">
        <w:rPr>
          <w:rFonts w:ascii="Sakkal Majalla" w:hAnsi="Sakkal Majalla" w:cs="AL-Mohanad" w:hint="cs"/>
          <w:sz w:val="27"/>
          <w:szCs w:val="27"/>
          <w:rtl/>
        </w:rPr>
        <w:t>ّ</w:t>
      </w:r>
      <w:r w:rsidRPr="006571AC">
        <w:rPr>
          <w:rFonts w:ascii="Sakkal Majalla" w:hAnsi="Sakkal Majalla" w:cs="AL-Mohanad" w:hint="cs"/>
          <w:sz w:val="27"/>
          <w:szCs w:val="27"/>
          <w:rtl/>
        </w:rPr>
        <w:t>ة فهي كث</w:t>
      </w:r>
      <w:r w:rsidRPr="006571AC">
        <w:rPr>
          <w:rFonts w:cs="AL-Mohanad" w:hint="cs"/>
          <w:sz w:val="27"/>
          <w:szCs w:val="27"/>
          <w:rtl/>
        </w:rPr>
        <w:t>ي</w:t>
      </w:r>
      <w:r w:rsidRPr="006571AC">
        <w:rPr>
          <w:rFonts w:ascii="Sakkal Majalla" w:hAnsi="Sakkal Majalla" w:cs="AL-Mohanad" w:hint="cs"/>
          <w:sz w:val="27"/>
          <w:szCs w:val="27"/>
          <w:rtl/>
        </w:rPr>
        <w:t>رة</w:t>
      </w:r>
      <w:r w:rsidR="00C31F45"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نشير إلى بعضها</w:t>
      </w:r>
      <w:r w:rsidR="00C31F45"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p>
    <w:p w:rsidR="005D05A4" w:rsidRPr="006571AC" w:rsidRDefault="00C31F45" w:rsidP="00B41BA0">
      <w:pPr>
        <w:pStyle w:val="af"/>
        <w:rPr>
          <w:rFonts w:ascii="Sakkal Majalla" w:hAnsi="Sakkal Majalla" w:cs="AL-Mohanad"/>
          <w:sz w:val="27"/>
          <w:szCs w:val="27"/>
          <w:rtl/>
        </w:rPr>
      </w:pPr>
      <w:r w:rsidRPr="006571AC">
        <w:rPr>
          <w:rFonts w:ascii="Sakkal Majalla" w:hAnsi="Sakkal Majalla" w:cs="AL-Mohanad" w:hint="cs"/>
          <w:sz w:val="27"/>
          <w:szCs w:val="27"/>
          <w:rtl/>
        </w:rPr>
        <w:t xml:space="preserve">1ـ </w:t>
      </w:r>
      <w:r w:rsidR="005D05A4" w:rsidRPr="006571AC">
        <w:rPr>
          <w:rFonts w:ascii="Sakkal Majalla" w:hAnsi="Sakkal Majalla" w:cs="AL-Mohanad" w:hint="cs"/>
          <w:sz w:val="27"/>
          <w:szCs w:val="27"/>
          <w:rtl/>
        </w:rPr>
        <w:t>روى</w:t>
      </w:r>
      <w:r w:rsidR="005D05A4" w:rsidRPr="006571AC">
        <w:rPr>
          <w:rFonts w:ascii="Sakkal Majalla" w:hAnsi="Sakkal Majalla" w:cs="AL-Mohanad"/>
          <w:sz w:val="27"/>
          <w:szCs w:val="27"/>
          <w:rtl/>
        </w:rPr>
        <w:t xml:space="preserve"> ابن جر</w:t>
      </w:r>
      <w:r w:rsidR="005D05A4" w:rsidRPr="006571AC">
        <w:rPr>
          <w:rFonts w:cs="AL-Mohanad" w:hint="cs"/>
          <w:sz w:val="27"/>
          <w:szCs w:val="27"/>
          <w:rtl/>
        </w:rPr>
        <w:t>ي</w:t>
      </w:r>
      <w:r w:rsidR="005D05A4" w:rsidRPr="006571AC">
        <w:rPr>
          <w:rFonts w:ascii="Sakkal Majalla" w:hAnsi="Sakkal Majalla" w:cs="AL-Mohanad" w:hint="cs"/>
          <w:sz w:val="27"/>
          <w:szCs w:val="27"/>
          <w:rtl/>
        </w:rPr>
        <w:t>ر</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الطبر</w:t>
      </w:r>
      <w:r w:rsidR="005D05A4" w:rsidRPr="006571AC">
        <w:rPr>
          <w:rFonts w:cs="AL-Mohanad" w:hint="cs"/>
          <w:sz w:val="27"/>
          <w:szCs w:val="27"/>
          <w:rtl/>
        </w:rPr>
        <w:t>ي</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ف</w:t>
      </w:r>
      <w:r w:rsidR="005D05A4" w:rsidRPr="006571AC">
        <w:rPr>
          <w:rFonts w:cs="AL-Mohanad" w:hint="cs"/>
          <w:sz w:val="27"/>
          <w:szCs w:val="27"/>
          <w:rtl/>
        </w:rPr>
        <w:t>ي</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كتاب</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الولا</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w:t>
      </w:r>
      <w:r w:rsidRPr="006571AC">
        <w:rPr>
          <w:rFonts w:ascii="Sakkal Majalla" w:hAnsi="Sakkal Majalla" w:cs="AL-Mohanad" w:hint="cs"/>
          <w:sz w:val="27"/>
          <w:szCs w:val="27"/>
          <w:rtl/>
        </w:rPr>
        <w:t>إ</w:t>
      </w:r>
      <w:r w:rsidR="005D05A4" w:rsidRPr="006571AC">
        <w:rPr>
          <w:rFonts w:ascii="Sakkal Majalla" w:hAnsi="Sakkal Majalla" w:cs="AL-Mohanad" w:hint="cs"/>
          <w:sz w:val="27"/>
          <w:szCs w:val="27"/>
          <w:rtl/>
        </w:rPr>
        <w:t>سناده</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ز</w:t>
      </w:r>
      <w:r w:rsidR="005D05A4" w:rsidRPr="006571AC">
        <w:rPr>
          <w:rFonts w:cs="AL-Mohanad" w:hint="cs"/>
          <w:sz w:val="27"/>
          <w:szCs w:val="27"/>
          <w:rtl/>
        </w:rPr>
        <w:t>ي</w:t>
      </w:r>
      <w:r w:rsidR="005D05A4" w:rsidRPr="006571AC">
        <w:rPr>
          <w:rFonts w:ascii="Sakkal Majalla" w:hAnsi="Sakkal Majalla" w:cs="AL-Mohanad" w:hint="cs"/>
          <w:sz w:val="27"/>
          <w:szCs w:val="27"/>
          <w:rtl/>
        </w:rPr>
        <w:t>د</w:t>
      </w:r>
      <w:r w:rsidR="005D05A4" w:rsidRPr="006571AC">
        <w:rPr>
          <w:rFonts w:ascii="Sakkal Majalla" w:hAnsi="Sakkal Majalla" w:cs="AL-Mohanad"/>
          <w:sz w:val="27"/>
          <w:szCs w:val="27"/>
          <w:rtl/>
        </w:rPr>
        <w:t xml:space="preserve"> بن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 xml:space="preserve">رقم </w:t>
      </w:r>
      <w:r w:rsidR="005D05A4" w:rsidRPr="006571AC">
        <w:rPr>
          <w:rFonts w:ascii="Sakkal Majalla" w:hAnsi="Sakkal Majalla" w:cs="AL-Mohanad" w:hint="cs"/>
          <w:sz w:val="27"/>
          <w:szCs w:val="27"/>
          <w:rtl/>
        </w:rPr>
        <w:t xml:space="preserve">قال: </w:t>
      </w:r>
      <w:r w:rsidR="005D05A4" w:rsidRPr="006571AC">
        <w:rPr>
          <w:rFonts w:ascii="Sakkal Majalla" w:hAnsi="Sakkal Majalla" w:cs="AL-Mohanad"/>
          <w:sz w:val="27"/>
          <w:szCs w:val="27"/>
          <w:rtl/>
        </w:rPr>
        <w:t>لمّا نزل النبيّ</w:t>
      </w:r>
      <w:r w:rsidR="004459D6" w:rsidRPr="006571AC">
        <w:rPr>
          <w:rFonts w:ascii="Mosawi" w:hAnsi="Mosawi" w:cs="Mosawi"/>
          <w:sz w:val="22"/>
          <w:szCs w:val="22"/>
          <w:rtl/>
        </w:rPr>
        <w:t>ﷺ</w:t>
      </w:r>
      <w:r w:rsidR="005D05A4" w:rsidRPr="006571AC">
        <w:rPr>
          <w:rFonts w:ascii="Sakkal Majalla" w:hAnsi="Sakkal Majalla" w:cs="AL-Mohanad"/>
          <w:sz w:val="27"/>
          <w:szCs w:val="27"/>
          <w:rtl/>
        </w:rPr>
        <w:t xml:space="preserve"> بغدير</w:t>
      </w:r>
      <w:r w:rsidR="00661BA1"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خُمّ في رجوعه من حجّة الوداع، وكان في وقت الضحى وحرّ</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شديد، أمر بالدوحات فقُمَّت، ونادى</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الصلاة جامعة</w:t>
      </w:r>
      <w:r w:rsidR="00446D07" w:rsidRPr="006571AC">
        <w:rPr>
          <w:rFonts w:ascii="Sakkal Majalla" w:hAnsi="Sakkal Majalla" w:cs="AL-Mohanad" w:hint="cs"/>
          <w:sz w:val="27"/>
          <w:szCs w:val="27"/>
          <w:rtl/>
        </w:rPr>
        <w:t>ٌ</w:t>
      </w:r>
      <w:r w:rsidR="005D05A4" w:rsidRPr="006571AC">
        <w:rPr>
          <w:rFonts w:ascii="Sakkal Majalla" w:hAnsi="Sakkal Majalla" w:cs="AL-Mohanad"/>
          <w:sz w:val="27"/>
          <w:szCs w:val="27"/>
          <w:rtl/>
        </w:rPr>
        <w:t>، فاجتمعنا</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فخطب خطبة</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بالغة، ثمّ قال: </w:t>
      </w:r>
      <w:r w:rsidR="005D05A4" w:rsidRPr="006571AC">
        <w:rPr>
          <w:rFonts w:ascii="Sakkal Majalla" w:hAnsi="Sakkal Majalla" w:cs="AL-Mohanad"/>
          <w:rtl/>
        </w:rPr>
        <w:t>«</w:t>
      </w:r>
      <w:r w:rsidR="00661BA1" w:rsidRPr="006571AC">
        <w:rPr>
          <w:rFonts w:ascii="Sakkal Majalla" w:hAnsi="Sakkal Majalla" w:cs="AL-Mohanad"/>
          <w:sz w:val="27"/>
          <w:szCs w:val="27"/>
          <w:rtl/>
        </w:rPr>
        <w:t>إن</w:t>
      </w:r>
      <w:r w:rsidR="005D05A4" w:rsidRPr="006571AC">
        <w:rPr>
          <w:rFonts w:ascii="Sakkal Majalla" w:hAnsi="Sakkal Majalla" w:cs="AL-Mohanad"/>
          <w:sz w:val="27"/>
          <w:szCs w:val="27"/>
          <w:rtl/>
        </w:rPr>
        <w:t xml:space="preserve">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 xml:space="preserve">ه تعالى أنزل إليَّ: </w:t>
      </w:r>
      <w:r w:rsidR="005D05A4" w:rsidRPr="006571AC">
        <w:rPr>
          <w:rFonts w:ascii="Mosawi" w:hAnsi="Mosawi" w:cs="Mosawi"/>
          <w:rtl/>
        </w:rPr>
        <w:t>﴿</w:t>
      </w:r>
      <w:r w:rsidR="005D05A4" w:rsidRPr="006571AC">
        <w:rPr>
          <w:rFonts w:ascii="Sakkal Majalla" w:hAnsi="Sakkal Majalla" w:cs="AL-Mohanad"/>
          <w:b/>
          <w:bCs/>
          <w:sz w:val="27"/>
          <w:szCs w:val="27"/>
          <w:rtl/>
        </w:rPr>
        <w:t>بَلِّغْ م</w:t>
      </w:r>
      <w:r w:rsidR="00661BA1"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أنْزِلَ إِلَيْكَ مِنْ رَبِّكَ و</w:t>
      </w:r>
      <w:r w:rsidR="00661BA1"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إِنْ لَمْ تَفْعَلْ فَم</w:t>
      </w:r>
      <w:r w:rsidR="00661BA1"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بَلَّغْتَ رِس</w:t>
      </w:r>
      <w:r w:rsidR="00661BA1"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الَتَهُ و</w:t>
      </w:r>
      <w:r w:rsidR="00661BA1"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005D05A4" w:rsidRPr="006571AC">
        <w:rPr>
          <w:rFonts w:ascii="Sakkal Majalla" w:hAnsi="Sakkal Majalla" w:cs="AL-Mohanad"/>
          <w:b/>
          <w:bCs/>
          <w:sz w:val="27"/>
          <w:szCs w:val="27"/>
          <w:rtl/>
        </w:rPr>
        <w:t>هُ يَعْصِمُكَ مِنَ النَّاسِ‏</w:t>
      </w:r>
      <w:r w:rsidR="005D05A4" w:rsidRPr="006571AC">
        <w:rPr>
          <w:rFonts w:ascii="Mosawi" w:hAnsi="Mosawi" w:cs="Mosawi"/>
          <w:rtl/>
        </w:rPr>
        <w:t>﴾</w:t>
      </w:r>
      <w:r w:rsidR="005D05A4" w:rsidRPr="006571AC">
        <w:rPr>
          <w:rFonts w:ascii="Sakkal Majalla" w:hAnsi="Sakkal Majalla" w:cs="AL-Mohanad"/>
          <w:sz w:val="27"/>
          <w:szCs w:val="27"/>
          <w:rtl/>
        </w:rPr>
        <w:t>، وقد أمرني جبرئيل عن ربِّي أن أقوم في هذا المشهد، وأ</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ع</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ل</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م</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كلَّ أبيض</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وأسود أنَّ عل</w:t>
      </w:r>
      <w:r w:rsidR="00661BA1"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بن أبي طالب أخي ووصيّي وخليفتي والإمام بعدي، فسألت</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جبرئيل أن يستعفيَ لي ربِّي؛ لعلمي بقلّة المتّ</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قين، وكثرة المُؤ</w:t>
      </w:r>
      <w:r w:rsidR="00661BA1" w:rsidRPr="006571AC">
        <w:rPr>
          <w:rFonts w:ascii="Sakkal Majalla" w:hAnsi="Sakkal Majalla" w:cs="AL-Mohanad" w:hint="cs"/>
          <w:sz w:val="27"/>
          <w:szCs w:val="27"/>
          <w:rtl/>
        </w:rPr>
        <w:t>ْ</w:t>
      </w:r>
      <w:r w:rsidR="00661BA1" w:rsidRPr="006571AC">
        <w:rPr>
          <w:rFonts w:ascii="Sakkal Majalla" w:hAnsi="Sakkal Majalla" w:cs="AL-Mohanad"/>
          <w:sz w:val="27"/>
          <w:szCs w:val="27"/>
          <w:rtl/>
        </w:rPr>
        <w:t>ذين</w:t>
      </w:r>
      <w:r w:rsidR="005D05A4" w:rsidRPr="006571AC">
        <w:rPr>
          <w:rFonts w:ascii="Sakkal Majalla" w:hAnsi="Sakkal Majalla" w:cs="AL-Mohanad"/>
          <w:sz w:val="27"/>
          <w:szCs w:val="27"/>
          <w:rtl/>
        </w:rPr>
        <w:t xml:space="preserve"> لي، واللائمي</w:t>
      </w:r>
      <w:r w:rsidR="00661BA1" w:rsidRPr="006571AC">
        <w:rPr>
          <w:rFonts w:ascii="Sakkal Majalla" w:hAnsi="Sakkal Majalla" w:cs="AL-Mohanad"/>
          <w:sz w:val="27"/>
          <w:szCs w:val="27"/>
          <w:rtl/>
        </w:rPr>
        <w:t>ن لكثرة</w:t>
      </w:r>
      <w:r w:rsidR="005D05A4" w:rsidRPr="006571AC">
        <w:rPr>
          <w:rFonts w:ascii="Sakkal Majalla" w:hAnsi="Sakkal Majalla" w:cs="AL-Mohanad"/>
          <w:sz w:val="27"/>
          <w:szCs w:val="27"/>
          <w:rtl/>
        </w:rPr>
        <w:t xml:space="preserve"> ملازمتي لعليٍّ، وشدّة إقبالي عليه، حت</w:t>
      </w:r>
      <w:r w:rsidR="00661BA1" w:rsidRPr="006571AC">
        <w:rPr>
          <w:rFonts w:ascii="Sakkal Majalla" w:hAnsi="Sakkal Majalla" w:cs="AL-Mohanad" w:hint="cs"/>
          <w:sz w:val="27"/>
          <w:szCs w:val="27"/>
          <w:rtl/>
        </w:rPr>
        <w:t>ّ</w:t>
      </w:r>
      <w:r w:rsidR="00661BA1" w:rsidRPr="006571AC">
        <w:rPr>
          <w:rFonts w:ascii="Sakkal Majalla" w:hAnsi="Sakkal Majalla" w:cs="AL-Mohanad"/>
          <w:sz w:val="27"/>
          <w:szCs w:val="27"/>
          <w:rtl/>
        </w:rPr>
        <w:t>ى س</w:t>
      </w:r>
      <w:r w:rsidR="005D05A4" w:rsidRPr="006571AC">
        <w:rPr>
          <w:rFonts w:ascii="Sakkal Majalla" w:hAnsi="Sakkal Majalla" w:cs="AL-Mohanad"/>
          <w:sz w:val="27"/>
          <w:szCs w:val="27"/>
          <w:rtl/>
        </w:rPr>
        <w:t>مَّو</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ني أ</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ذُناً، فقال تعالى: </w:t>
      </w:r>
      <w:r w:rsidR="005D05A4" w:rsidRPr="006571AC">
        <w:rPr>
          <w:rFonts w:ascii="Mosawi" w:hAnsi="Mosawi" w:cs="Mosawi"/>
          <w:rtl/>
        </w:rPr>
        <w:t>﴿</w:t>
      </w:r>
      <w:r w:rsidR="005D05A4" w:rsidRPr="006571AC">
        <w:rPr>
          <w:rFonts w:ascii="Sakkal Majalla" w:hAnsi="Sakkal Majalla" w:cs="AL-Mohanad"/>
          <w:b/>
          <w:bCs/>
          <w:sz w:val="27"/>
          <w:szCs w:val="27"/>
          <w:rtl/>
        </w:rPr>
        <w:t xml:space="preserve">وَمِنْهُمُ الَّذِينَ يُؤْذُونَ النَّبِيَّ ويَقُولُونَ هُوَ </w:t>
      </w:r>
      <w:r w:rsidR="005D05A4" w:rsidRPr="006571AC">
        <w:rPr>
          <w:rFonts w:ascii="Sakkal Majalla" w:hAnsi="Sakkal Majalla" w:cs="AL-Mohanad" w:hint="cs"/>
          <w:b/>
          <w:bCs/>
          <w:sz w:val="27"/>
          <w:szCs w:val="27"/>
          <w:rtl/>
        </w:rPr>
        <w:t>أُذُن</w:t>
      </w:r>
      <w:r w:rsidR="00661BA1" w:rsidRPr="006571AC">
        <w:rPr>
          <w:rFonts w:ascii="Sakkal Majalla" w:hAnsi="Sakkal Majalla" w:cs="AL-Mohanad" w:hint="cs"/>
          <w:b/>
          <w:bCs/>
          <w:sz w:val="27"/>
          <w:szCs w:val="27"/>
          <w:rtl/>
        </w:rPr>
        <w:t>ٌ</w:t>
      </w:r>
      <w:r w:rsidR="00D1637B" w:rsidRPr="006571AC">
        <w:rPr>
          <w:rFonts w:cs="AL-Mohanad"/>
          <w:b/>
          <w:bCs/>
          <w:sz w:val="27"/>
          <w:szCs w:val="27"/>
          <w:rtl/>
        </w:rPr>
        <w:t xml:space="preserve"> قُلْ أُذُنُ خَيْرٍ لَكُمْ</w:t>
      </w:r>
      <w:r w:rsidR="005D05A4" w:rsidRPr="006571AC">
        <w:rPr>
          <w:rFonts w:ascii="Mosawi" w:hAnsi="Mosawi" w:cs="Mosawi"/>
          <w:rtl/>
        </w:rPr>
        <w:t>﴾</w:t>
      </w:r>
      <w:r w:rsidR="00D1637B" w:rsidRPr="006571AC">
        <w:rPr>
          <w:rFonts w:ascii="Sakkal Majalla" w:hAnsi="Sakkal Majalla" w:cs="AL-Mohanad" w:hint="cs"/>
          <w:sz w:val="27"/>
          <w:szCs w:val="27"/>
          <w:rtl/>
        </w:rPr>
        <w:t xml:space="preserve">، </w:t>
      </w:r>
      <w:r w:rsidR="00D1637B" w:rsidRPr="006571AC">
        <w:rPr>
          <w:rFonts w:ascii="Sakkal Majalla" w:hAnsi="Sakkal Majalla" w:cs="AL-Mohanad"/>
          <w:sz w:val="27"/>
          <w:szCs w:val="27"/>
          <w:rtl/>
        </w:rPr>
        <w:t>ولو شئت</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أن أسم</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يهم وأدل</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عليهم لفعلت</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ولكن</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ي بسترهم قد </w:t>
      </w:r>
      <w:r w:rsidR="005D05A4" w:rsidRPr="006571AC">
        <w:rPr>
          <w:rFonts w:ascii="Sakkal Majalla" w:hAnsi="Sakkal Majalla" w:cs="AL-Mohanad"/>
          <w:sz w:val="27"/>
          <w:szCs w:val="27"/>
          <w:rtl/>
        </w:rPr>
        <w:t>تكرّ</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متُ، فلم ير</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ضَ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ه إ</w:t>
      </w:r>
      <w:r w:rsidR="003C2639" w:rsidRPr="006571AC">
        <w:rPr>
          <w:rFonts w:ascii="Sakkal Majalla" w:hAnsi="Sakkal Majalla" w:cs="AL-Mohanad"/>
          <w:sz w:val="27"/>
          <w:szCs w:val="27"/>
          <w:rtl/>
        </w:rPr>
        <w:t>لاّ</w:t>
      </w:r>
      <w:r w:rsidR="005D05A4" w:rsidRPr="006571AC">
        <w:rPr>
          <w:rFonts w:ascii="Sakkal Majalla" w:hAnsi="Sakkal Majalla" w:cs="AL-Mohanad"/>
          <w:sz w:val="27"/>
          <w:szCs w:val="27"/>
          <w:rtl/>
        </w:rPr>
        <w:t xml:space="preserve"> بتبليغي فيه</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فاعلموا معاشرَ الناس ذلك؛ فإنّ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ه قد نصبه لكم وليّا</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وإماماً، وفرض طاعته على كلّ أحد</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ماضٍ حكم</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ه، جائز</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قوله، ملعونٌ م</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خالفه، مرحومٌ م</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صدّقه، اسمعوا </w:t>
      </w:r>
      <w:r w:rsidR="00D1637B" w:rsidRPr="006571AC">
        <w:rPr>
          <w:rFonts w:ascii="Sakkal Majalla" w:hAnsi="Sakkal Majalla" w:cs="AL-Mohanad"/>
          <w:sz w:val="27"/>
          <w:szCs w:val="27"/>
          <w:rtl/>
        </w:rPr>
        <w:lastRenderedPageBreak/>
        <w:t>وأطيعوا</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فإن</w:t>
      </w:r>
      <w:r w:rsidR="005D05A4" w:rsidRPr="006571AC">
        <w:rPr>
          <w:rFonts w:ascii="Sakkal Majalla" w:hAnsi="Sakkal Majalla" w:cs="AL-Mohanad"/>
          <w:sz w:val="27"/>
          <w:szCs w:val="27"/>
          <w:rtl/>
        </w:rPr>
        <w:t xml:space="preserve"> </w:t>
      </w:r>
      <w:r w:rsidR="0097633B" w:rsidRPr="006571AC">
        <w:rPr>
          <w:rFonts w:ascii="Sakkal Majalla" w:hAnsi="Sakkal Majalla" w:cs="AL-Mohanad"/>
          <w:sz w:val="27"/>
          <w:szCs w:val="27"/>
          <w:rtl/>
        </w:rPr>
        <w:t>الل</w:t>
      </w:r>
      <w:r w:rsidR="00D1637B" w:rsidRPr="006571AC">
        <w:rPr>
          <w:rFonts w:ascii="Sakkal Majalla" w:hAnsi="Sakkal Majalla" w:cs="AL-Mohanad"/>
          <w:sz w:val="27"/>
          <w:szCs w:val="27"/>
          <w:rtl/>
        </w:rPr>
        <w:t>ه</w:t>
      </w:r>
      <w:r w:rsidR="005D05A4" w:rsidRPr="006571AC">
        <w:rPr>
          <w:rFonts w:ascii="Sakkal Majalla" w:hAnsi="Sakkal Majalla" w:cs="AL-Mohanad"/>
          <w:sz w:val="27"/>
          <w:szCs w:val="27"/>
          <w:rtl/>
        </w:rPr>
        <w:t xml:space="preserve"> مولاكم</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وعليٌّ إمامكم، ثمّ</w:t>
      </w:r>
      <w:r w:rsidR="005D05A4" w:rsidRPr="006571AC">
        <w:rPr>
          <w:rFonts w:ascii="Sakkal Majalla" w:hAnsi="Sakkal Majalla" w:cs="AL-Mohanad"/>
          <w:sz w:val="27"/>
          <w:szCs w:val="27"/>
          <w:rtl/>
        </w:rPr>
        <w:t xml:space="preserve"> الإمامة في ولدي من صلبه إلى</w:t>
      </w:r>
      <w:r w:rsidR="00CA4366"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‏القيامة</w:t>
      </w:r>
      <w:r w:rsidR="005D05A4" w:rsidRPr="006571AC">
        <w:rPr>
          <w:rFonts w:ascii="Sakkal Majalla" w:hAnsi="Sakkal Majalla" w:cs="AL-Mohanad"/>
          <w:sz w:val="27"/>
          <w:szCs w:val="27"/>
          <w:vertAlign w:val="superscript"/>
          <w:rtl/>
        </w:rPr>
        <w:t>(</w:t>
      </w:r>
      <w:r w:rsidR="005D05A4" w:rsidRPr="006571AC">
        <w:rPr>
          <w:rStyle w:val="ac"/>
          <w:rFonts w:ascii="Sakkal Majalla" w:hAnsi="Sakkal Majalla" w:cs="AL-Mohanad"/>
          <w:sz w:val="27"/>
          <w:szCs w:val="27"/>
          <w:rtl/>
        </w:rPr>
        <w:endnoteReference w:id="336"/>
      </w:r>
      <w:r w:rsidR="005D05A4" w:rsidRPr="006571AC">
        <w:rPr>
          <w:rFonts w:ascii="Sakkal Majalla" w:hAnsi="Sakkal Majalla" w:cs="AL-Mohanad"/>
          <w:sz w:val="27"/>
          <w:szCs w:val="27"/>
          <w:vertAlign w:val="superscript"/>
          <w:rtl/>
        </w:rPr>
        <w:t>)</w:t>
      </w:r>
      <w:r w:rsidR="005D05A4" w:rsidRPr="006571AC">
        <w:rPr>
          <w:rFonts w:ascii="Sakkal Majalla" w:hAnsi="Sakkal Majalla" w:cs="AL-Mohanad"/>
          <w:sz w:val="27"/>
          <w:szCs w:val="27"/>
          <w:rtl/>
        </w:rPr>
        <w:t xml:space="preserve">. </w:t>
      </w:r>
    </w:p>
    <w:p w:rsidR="005D05A4" w:rsidRPr="006571AC" w:rsidRDefault="00CA4366" w:rsidP="00B41BA0">
      <w:pPr>
        <w:pStyle w:val="af"/>
        <w:rPr>
          <w:rFonts w:ascii="Sakkal Majalla" w:hAnsi="Sakkal Majalla" w:cs="AL-Mohanad"/>
          <w:sz w:val="27"/>
          <w:szCs w:val="27"/>
          <w:rtl/>
        </w:rPr>
      </w:pPr>
      <w:r w:rsidRPr="006571AC">
        <w:rPr>
          <w:rFonts w:ascii="Sakkal Majalla" w:hAnsi="Sakkal Majalla" w:cs="AL-Mohanad" w:hint="cs"/>
          <w:sz w:val="27"/>
          <w:szCs w:val="27"/>
          <w:rtl/>
        </w:rPr>
        <w:t xml:space="preserve">2ـ </w:t>
      </w:r>
      <w:r w:rsidR="005D05A4" w:rsidRPr="006571AC">
        <w:rPr>
          <w:rFonts w:ascii="Sakkal Majalla" w:hAnsi="Sakkal Majalla" w:cs="AL-Mohanad"/>
          <w:sz w:val="27"/>
          <w:szCs w:val="27"/>
          <w:rtl/>
        </w:rPr>
        <w:t>و</w:t>
      </w:r>
      <w:r w:rsidR="005D05A4" w:rsidRPr="006571AC">
        <w:rPr>
          <w:rFonts w:ascii="Sakkal Majalla" w:hAnsi="Sakkal Majalla" w:cs="AL-Mohanad" w:hint="cs"/>
          <w:sz w:val="27"/>
          <w:szCs w:val="27"/>
          <w:rtl/>
        </w:rPr>
        <w:t>روى</w:t>
      </w:r>
      <w:r w:rsidR="005D05A4" w:rsidRPr="006571AC">
        <w:rPr>
          <w:rFonts w:ascii="Sakkal Majalla" w:hAnsi="Sakkal Majalla" w:cs="AL-Mohanad"/>
          <w:sz w:val="27"/>
          <w:szCs w:val="27"/>
          <w:rtl/>
        </w:rPr>
        <w:t xml:space="preserve"> الحافظ </w:t>
      </w:r>
      <w:r w:rsidRPr="006571AC">
        <w:rPr>
          <w:rFonts w:ascii="Sakkal Majalla" w:hAnsi="Sakkal Majalla" w:cs="AL-Mohanad" w:hint="cs"/>
          <w:sz w:val="27"/>
          <w:szCs w:val="27"/>
          <w:rtl/>
        </w:rPr>
        <w:t>ا</w:t>
      </w:r>
      <w:r w:rsidR="005D05A4" w:rsidRPr="006571AC">
        <w:rPr>
          <w:rFonts w:ascii="Sakkal Majalla" w:hAnsi="Sakkal Majalla" w:cs="AL-Mohanad"/>
          <w:sz w:val="27"/>
          <w:szCs w:val="27"/>
          <w:rtl/>
        </w:rPr>
        <w:t>بن مردو</w:t>
      </w:r>
      <w:r w:rsidR="005D05A4" w:rsidRPr="006571AC">
        <w:rPr>
          <w:rFonts w:cs="AL-Mohanad" w:hint="cs"/>
          <w:sz w:val="27"/>
          <w:szCs w:val="27"/>
          <w:rtl/>
        </w:rPr>
        <w:t>ي</w:t>
      </w:r>
      <w:r w:rsidR="005D05A4" w:rsidRPr="006571AC">
        <w:rPr>
          <w:rFonts w:ascii="Sakkal Majalla" w:hAnsi="Sakkal Majalla" w:cs="AL-Mohanad" w:hint="cs"/>
          <w:sz w:val="27"/>
          <w:szCs w:val="27"/>
          <w:rtl/>
        </w:rPr>
        <w:t>ه</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بإسناده</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عن</w:t>
      </w:r>
      <w:r w:rsidR="005D05A4"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w:t>
      </w:r>
      <w:r w:rsidRPr="006571AC">
        <w:rPr>
          <w:rFonts w:ascii="Sakkal Majalla" w:hAnsi="Sakkal Majalla" w:cs="AL-Mohanad"/>
          <w:sz w:val="27"/>
          <w:szCs w:val="27"/>
          <w:rtl/>
        </w:rPr>
        <w:t>بن عبّاس قال: ل</w:t>
      </w:r>
      <w:r w:rsidR="005D05A4" w:rsidRPr="006571AC">
        <w:rPr>
          <w:rFonts w:ascii="Sakkal Majalla" w:hAnsi="Sakkal Majalla" w:cs="AL-Mohanad"/>
          <w:sz w:val="27"/>
          <w:szCs w:val="27"/>
          <w:rtl/>
        </w:rPr>
        <w:t xml:space="preserve">مّا أمر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رسول</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ه</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أن يقوم بعليٍّ، فيقول له ما قال</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xml:space="preserve">فقال: </w:t>
      </w:r>
      <w:r w:rsidR="005D05A4" w:rsidRPr="006571AC">
        <w:rPr>
          <w:rFonts w:ascii="Sakkal Majalla" w:hAnsi="Sakkal Majalla" w:cs="AL-Mohanad"/>
          <w:rtl/>
        </w:rPr>
        <w:t>«</w:t>
      </w:r>
      <w:r w:rsidR="005D05A4" w:rsidRPr="006571AC">
        <w:rPr>
          <w:rFonts w:ascii="Sakkal Majalla" w:hAnsi="Sakkal Majalla" w:cs="AL-Mohanad"/>
          <w:sz w:val="27"/>
          <w:szCs w:val="27"/>
          <w:rtl/>
        </w:rPr>
        <w:t>يا ربّ</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إن</w:t>
      </w:r>
      <w:r w:rsidR="005D05A4" w:rsidRPr="006571AC">
        <w:rPr>
          <w:rFonts w:ascii="Sakkal Majalla" w:hAnsi="Sakkal Majalla" w:cs="AL-Mohanad"/>
          <w:sz w:val="27"/>
          <w:szCs w:val="27"/>
          <w:rtl/>
        </w:rPr>
        <w:t xml:space="preserve"> قومي حديثو عهد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بجاهليّة</w:t>
      </w:r>
      <w:r w:rsidR="005D05A4" w:rsidRPr="006571AC">
        <w:rPr>
          <w:rFonts w:ascii="Sakkal Majalla" w:hAnsi="Sakkal Majalla" w:cs="AL-Mohanad"/>
          <w:rtl/>
        </w:rPr>
        <w:t>»</w:t>
      </w:r>
      <w:r w:rsidR="005D05A4" w:rsidRPr="006571AC">
        <w:rPr>
          <w:rFonts w:ascii="Sakkal Majalla" w:hAnsi="Sakkal Majalla" w:cs="AL-Mohanad"/>
          <w:sz w:val="27"/>
          <w:szCs w:val="27"/>
          <w:rtl/>
        </w:rPr>
        <w:t>، ثمّ مضى بحجِّه، فلمّا أقبل راجعاً نزل بغدير خُمّ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أنزل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 xml:space="preserve">ه عليه: </w:t>
      </w:r>
      <w:r w:rsidR="005D05A4" w:rsidRPr="006571AC">
        <w:rPr>
          <w:rFonts w:ascii="Mosawi" w:hAnsi="Mosawi" w:cs="Mosawi"/>
          <w:rtl/>
        </w:rPr>
        <w:t>﴿</w:t>
      </w:r>
      <w:r w:rsidR="005D05A4" w:rsidRPr="006571AC">
        <w:rPr>
          <w:rFonts w:ascii="Sakkal Majalla" w:hAnsi="Sakkal Majalla" w:cs="AL-Mohanad"/>
          <w:b/>
          <w:bCs/>
          <w:sz w:val="27"/>
          <w:szCs w:val="27"/>
          <w:rtl/>
        </w:rPr>
        <w:t>ي</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أَيُّهَا الرَّسُولُ بَلِّغْ م</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نْزِلَ إِلَيْكَ مِنْ رَبِّكَ...</w:t>
      </w:r>
      <w:r w:rsidRPr="006571AC">
        <w:rPr>
          <w:rFonts w:ascii="Sakkal Majalla" w:hAnsi="Sakkal Majalla" w:cs="AL-Mohanad"/>
          <w:sz w:val="27"/>
          <w:szCs w:val="27"/>
          <w:rtl/>
        </w:rPr>
        <w:t xml:space="preserve"> الآية</w:t>
      </w:r>
      <w:r w:rsidR="005D05A4" w:rsidRPr="006571AC">
        <w:rPr>
          <w:rFonts w:ascii="Mosawi" w:hAnsi="Mosawi" w:cs="Mosawi"/>
          <w:rtl/>
        </w:rPr>
        <w:t>﴾</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فأخذ بعَضُد</w:t>
      </w:r>
      <w:r w:rsidR="005D05A4" w:rsidRPr="006571AC">
        <w:rPr>
          <w:rFonts w:ascii="Sakkal Majalla" w:hAnsi="Sakkal Majalla" w:cs="AL-Mohanad"/>
          <w:sz w:val="27"/>
          <w:szCs w:val="27"/>
          <w:rtl/>
        </w:rPr>
        <w:t xml:space="preserve"> عليٍّ، ثمّ خرج إلى الناس، فقال: </w:t>
      </w:r>
      <w:r w:rsidR="005D05A4" w:rsidRPr="006571AC">
        <w:rPr>
          <w:rFonts w:ascii="Sakkal Majalla" w:hAnsi="Sakkal Majalla" w:cs="AL-Mohanad"/>
          <w:rtl/>
        </w:rPr>
        <w:t>«</w:t>
      </w:r>
      <w:r w:rsidR="005D05A4" w:rsidRPr="006571AC">
        <w:rPr>
          <w:rFonts w:ascii="Sakkal Majalla" w:hAnsi="Sakkal Majalla" w:cs="AL-Mohanad"/>
          <w:sz w:val="27"/>
          <w:szCs w:val="27"/>
          <w:rtl/>
        </w:rPr>
        <w:t>أيُّها</w:t>
      </w:r>
      <w:r w:rsidRPr="006571AC">
        <w:rPr>
          <w:rFonts w:ascii="Sakkal Majalla" w:hAnsi="Sakkal Majalla" w:cs="AL-Mohanad"/>
          <w:sz w:val="27"/>
          <w:szCs w:val="27"/>
          <w:rtl/>
        </w:rPr>
        <w:t xml:space="preserve"> الناس</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w:t>
      </w:r>
      <w:r w:rsidR="005D05A4" w:rsidRPr="006571AC">
        <w:rPr>
          <w:rFonts w:ascii="Sakkal Majalla" w:hAnsi="Sakkal Majalla" w:cs="AL-Mohanad"/>
          <w:sz w:val="27"/>
          <w:szCs w:val="27"/>
          <w:rtl/>
        </w:rPr>
        <w:t>لستُ أ</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و</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لى بكم من أنفسكم؟ قالوا: بلى يا رسول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ه</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xml:space="preserve">قال: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همّ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كنتُ مولاه فعليّ</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مولاه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همّ والِ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والاه، وعادِ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عاداه، وأ</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ع</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أعانه، واخذُلْ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خذله، وانصُرْ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نصره، وأحبَّ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أحبَّه، وأبغ</w:t>
      </w:r>
      <w:r w:rsidR="00E06390" w:rsidRPr="006571AC">
        <w:rPr>
          <w:rFonts w:ascii="Sakkal Majalla" w:hAnsi="Sakkal Majalla" w:cs="AL-Mohanad" w:hint="cs"/>
          <w:sz w:val="27"/>
          <w:szCs w:val="27"/>
          <w:rtl/>
        </w:rPr>
        <w:t>ِ</w:t>
      </w:r>
      <w:r w:rsidR="005D05A4" w:rsidRPr="006571AC">
        <w:rPr>
          <w:rFonts w:ascii="Sakkal Majalla" w:hAnsi="Sakkal Majalla" w:cs="AL-Mohanad"/>
          <w:sz w:val="27"/>
          <w:szCs w:val="27"/>
          <w:rtl/>
        </w:rPr>
        <w:t>ض</w:t>
      </w:r>
      <w:r w:rsidR="00E0639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أبغضه</w:t>
      </w:r>
      <w:r w:rsidR="005D05A4" w:rsidRPr="006571AC">
        <w:rPr>
          <w:rFonts w:ascii="Sakkal Majalla" w:hAnsi="Sakkal Majalla" w:cs="AL-Mohanad"/>
          <w:sz w:val="27"/>
          <w:szCs w:val="27"/>
          <w:vertAlign w:val="superscript"/>
          <w:rtl/>
        </w:rPr>
        <w:t>(</w:t>
      </w:r>
      <w:r w:rsidR="005D05A4" w:rsidRPr="006571AC">
        <w:rPr>
          <w:rStyle w:val="ac"/>
          <w:rFonts w:ascii="Sakkal Majalla" w:hAnsi="Sakkal Majalla" w:cs="AL-Mohanad"/>
          <w:sz w:val="27"/>
          <w:szCs w:val="27"/>
          <w:rtl/>
        </w:rPr>
        <w:endnoteReference w:id="337"/>
      </w:r>
      <w:r w:rsidR="005D05A4" w:rsidRPr="006571AC">
        <w:rPr>
          <w:rFonts w:ascii="Sakkal Majalla" w:hAnsi="Sakkal Majalla" w:cs="AL-Mohanad"/>
          <w:sz w:val="27"/>
          <w:szCs w:val="27"/>
          <w:vertAlign w:val="superscript"/>
          <w:rtl/>
        </w:rPr>
        <w:t>)</w:t>
      </w:r>
      <w:r w:rsidR="005D05A4" w:rsidRPr="006571AC">
        <w:rPr>
          <w:rFonts w:ascii="Sakkal Majalla" w:hAnsi="Sakkal Majalla" w:cs="AL-Mohanad"/>
          <w:sz w:val="27"/>
          <w:szCs w:val="27"/>
          <w:rtl/>
        </w:rPr>
        <w:t>.</w:t>
      </w:r>
      <w:r w:rsidR="005D05A4" w:rsidRPr="006571AC">
        <w:rPr>
          <w:rFonts w:ascii="Sakkal Majalla" w:hAnsi="Sakkal Majalla" w:cs="AL-Mohanad" w:hint="cs"/>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وغ</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المعتبرة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المرو</w:t>
      </w:r>
      <w:r w:rsidRPr="006571AC">
        <w:rPr>
          <w:rFonts w:cs="AL-Mohanad" w:hint="cs"/>
          <w:sz w:val="27"/>
          <w:szCs w:val="27"/>
          <w:rtl/>
        </w:rPr>
        <w:t>ي</w:t>
      </w:r>
      <w:r w:rsidR="00CA4366" w:rsidRPr="006571AC">
        <w:rPr>
          <w:rFonts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الصحابة</w:t>
      </w:r>
      <w:r w:rsidRPr="006571AC">
        <w:rPr>
          <w:rFonts w:ascii="Sakkal Majalla" w:hAnsi="Sakkal Majalla" w:cs="AL-Mohanad"/>
          <w:sz w:val="27"/>
          <w:szCs w:val="27"/>
          <w:rtl/>
        </w:rPr>
        <w:t xml:space="preserve"> والتابع</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38"/>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ascii="Sakkal Majalla" w:hAnsi="Sakkal Majalla" w:cs="AL-Mohanad"/>
          <w:sz w:val="27"/>
          <w:szCs w:val="27"/>
          <w:rtl/>
        </w:rPr>
        <w:t>هذه جملة</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w:t>
      </w:r>
      <w:r w:rsidRPr="006571AC">
        <w:rPr>
          <w:rFonts w:ascii="Sakkal Majalla" w:hAnsi="Sakkal Majalla" w:cs="AL-Mohanad" w:hint="cs"/>
          <w:sz w:val="27"/>
          <w:szCs w:val="27"/>
          <w:rtl/>
        </w:rPr>
        <w:t>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دلّت على </w:t>
      </w:r>
      <w:r w:rsidRPr="006571AC">
        <w:rPr>
          <w:rFonts w:ascii="Sakkal Majalla" w:hAnsi="Sakkal Majalla" w:cs="AL-Mohanad" w:hint="cs"/>
          <w:sz w:val="27"/>
          <w:szCs w:val="27"/>
          <w:rtl/>
        </w:rPr>
        <w:t>أ</w:t>
      </w:r>
      <w:r w:rsidR="00CA4366" w:rsidRPr="006571AC">
        <w:rPr>
          <w:rFonts w:ascii="Sakkal Majalla" w:hAnsi="Sakkal Majalla" w:cs="AL-Mohanad"/>
          <w:sz w:val="27"/>
          <w:szCs w:val="27"/>
          <w:rtl/>
        </w:rPr>
        <w:t>ن</w:t>
      </w:r>
      <w:r w:rsidRPr="006571AC">
        <w:rPr>
          <w:rFonts w:ascii="Sakkal Majalla" w:hAnsi="Sakkal Majalla" w:cs="AL-Mohanad"/>
          <w:sz w:val="27"/>
          <w:szCs w:val="27"/>
          <w:rtl/>
        </w:rPr>
        <w:t xml:space="preserve"> قوله تعالى</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CA4366"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w:t>
      </w:r>
      <w:r w:rsidR="00CA4366"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CA4366"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w:t>
      </w:r>
      <w:r w:rsidRPr="006571AC">
        <w:rPr>
          <w:rFonts w:ascii="Mosawi" w:hAnsi="Mosawi" w:cs="Mosawi"/>
          <w:rtl/>
        </w:rPr>
        <w:t>﴾</w:t>
      </w:r>
      <w:r w:rsidRPr="006571AC">
        <w:rPr>
          <w:rFonts w:ascii="Sakkal Majalla" w:hAnsi="Sakkal Majalla" w:cs="AL-Mohanad"/>
          <w:sz w:val="27"/>
          <w:szCs w:val="27"/>
          <w:rtl/>
        </w:rPr>
        <w:t xml:space="preserve"> نزل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مامة وخلافة علي</w:t>
      </w:r>
      <w:r w:rsidR="00CA4366" w:rsidRPr="006571AC">
        <w:rPr>
          <w:rFonts w:ascii="Mosawi" w:hAnsi="Mosawi" w:cs="Mosawi" w:hint="cs"/>
          <w:sz w:val="22"/>
          <w:szCs w:val="22"/>
          <w:rtl/>
        </w:rPr>
        <w:t>ّ</w:t>
      </w:r>
      <w:r w:rsidR="002A2C90" w:rsidRPr="006571AC">
        <w:rPr>
          <w:rFonts w:ascii="Mosawi" w:hAnsi="Mosawi" w:cs="Mosawi"/>
          <w:sz w:val="22"/>
          <w:szCs w:val="22"/>
          <w:rtl/>
        </w:rPr>
        <w:t>×</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وخصوصا</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ذا لاح</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ظ</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نا فقرة </w:t>
      </w:r>
      <w:r w:rsidRPr="006571AC">
        <w:rPr>
          <w:rFonts w:ascii="Sakkal Majalla" w:hAnsi="Sakkal Majalla" w:cs="AL-Mohanad"/>
          <w:rtl/>
        </w:rPr>
        <w:t>«</w:t>
      </w:r>
      <w:r w:rsidRPr="006571AC">
        <w:rPr>
          <w:rFonts w:ascii="Sakkal Majalla" w:hAnsi="Sakkal Majalla" w:cs="AL-Mohanad"/>
          <w:sz w:val="27"/>
          <w:szCs w:val="27"/>
          <w:rtl/>
        </w:rPr>
        <w:t xml:space="preserve">ألستُ أولى بكم من أنفسكم؟ قالوا: بلى يا رسول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همّ م</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ن</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كنتُ مولاه فعليّ</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مولاه</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همّ والِ م</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ن</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والاه، وعادِ م</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ن</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عاداه...</w:t>
      </w:r>
      <w:r w:rsidRPr="006571AC">
        <w:rPr>
          <w:rFonts w:ascii="Sakkal Majalla" w:hAnsi="Sakkal Majalla" w:cs="AL-Mohanad"/>
          <w:rtl/>
        </w:rPr>
        <w:t>»</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فعندها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مر أوضح</w:t>
      </w:r>
      <w:r w:rsidRPr="006571AC">
        <w:rPr>
          <w:rFonts w:ascii="Sakkal Majalla" w:hAnsi="Sakkal Majalla" w:cs="AL-Mohanad" w:hint="cs"/>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وبه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ظهر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عدم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صحّة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تلك</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00593E23" w:rsidRPr="006571AC">
        <w:rPr>
          <w:rFonts w:ascii="Sakkal Majalla" w:hAnsi="Sakkal Majalla" w:cs="AL-Mohanad"/>
          <w:sz w:val="27"/>
          <w:szCs w:val="27"/>
          <w:rtl/>
        </w:rPr>
        <w:t>خبار و</w:t>
      </w:r>
      <w:r w:rsidRPr="006571AC">
        <w:rPr>
          <w:rFonts w:ascii="Sakkal Majalla" w:hAnsi="Sakkal Majalla" w:cs="AL-Mohanad"/>
          <w:sz w:val="27"/>
          <w:szCs w:val="27"/>
          <w:rtl/>
        </w:rPr>
        <w:t>ال</w:t>
      </w:r>
      <w:r w:rsidRPr="006571AC">
        <w:rPr>
          <w:rFonts w:ascii="Sakkal Majalla" w:hAnsi="Sakkal Majalla" w:cs="AL-Mohanad" w:hint="cs"/>
          <w:sz w:val="27"/>
          <w:szCs w:val="27"/>
          <w:rtl/>
        </w:rPr>
        <w:t>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الضع</w:t>
      </w:r>
      <w:r w:rsidRPr="006571AC">
        <w:rPr>
          <w:rFonts w:cs="AL-Mohanad" w:hint="cs"/>
          <w:sz w:val="27"/>
          <w:szCs w:val="27"/>
          <w:rtl/>
        </w:rPr>
        <w:t>ي</w:t>
      </w:r>
      <w:r w:rsidRPr="006571AC">
        <w:rPr>
          <w:rFonts w:ascii="Sakkal Majalla" w:hAnsi="Sakkal Majalla" w:cs="AL-Mohanad" w:hint="cs"/>
          <w:sz w:val="27"/>
          <w:szCs w:val="27"/>
          <w:rtl/>
        </w:rPr>
        <w:t>فة</w:t>
      </w:r>
      <w:r w:rsidRPr="006571AC">
        <w:rPr>
          <w:rFonts w:ascii="Sakkal Majalla" w:hAnsi="Sakkal Majalla" w:cs="AL-Mohanad"/>
          <w:sz w:val="27"/>
          <w:szCs w:val="27"/>
          <w:rtl/>
        </w:rPr>
        <w:t xml:space="preserve"> و</w:t>
      </w:r>
      <w:r w:rsidR="00593E23" w:rsidRPr="006571AC">
        <w:rPr>
          <w:rFonts w:ascii="Sakkal Majalla" w:hAnsi="Sakkal Majalla" w:cs="AL-Mohanad" w:hint="cs"/>
          <w:sz w:val="27"/>
          <w:szCs w:val="27"/>
          <w:rtl/>
        </w:rPr>
        <w:t xml:space="preserve">أخبار </w:t>
      </w:r>
      <w:r w:rsidRPr="006571AC">
        <w:rPr>
          <w:rFonts w:ascii="Sakkal Majalla" w:hAnsi="Sakkal Majalla" w:cs="AL-Mohanad"/>
          <w:sz w:val="27"/>
          <w:szCs w:val="27"/>
          <w:rtl/>
        </w:rPr>
        <w:t>الآحاد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فس</w:t>
      </w:r>
      <w:r w:rsidRPr="006571AC">
        <w:rPr>
          <w:rFonts w:ascii="Sakkal Majalla" w:hAnsi="Sakkal Majalla" w:cs="AL-Mohanad" w:hint="cs"/>
          <w:sz w:val="27"/>
          <w:szCs w:val="27"/>
          <w:rtl/>
        </w:rPr>
        <w:t>ّ</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رت الرسالة ال</w:t>
      </w:r>
      <w:r w:rsidR="00593E23" w:rsidRPr="006571AC">
        <w:rPr>
          <w:rFonts w:ascii="Sakkal Majalla" w:hAnsi="Sakkal Majalla" w:cs="AL-Mohanad" w:hint="cs"/>
          <w:sz w:val="27"/>
          <w:szCs w:val="27"/>
          <w:rtl/>
        </w:rPr>
        <w:t>إ</w:t>
      </w:r>
      <w:r w:rsidRPr="006571AC">
        <w:rPr>
          <w:rFonts w:ascii="Sakkal Majalla" w:hAnsi="Sakkal Majalla" w:cs="AL-Mohanad"/>
          <w:sz w:val="27"/>
          <w:szCs w:val="27"/>
          <w:rtl/>
        </w:rPr>
        <w:t>له</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ـ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مر الله تعالى </w:t>
      </w:r>
      <w:r w:rsidRPr="006571AC">
        <w:rPr>
          <w:rFonts w:ascii="Sakkal Majalla" w:hAnsi="Sakkal Majalla" w:cs="AL-Mohanad" w:hint="cs"/>
          <w:sz w:val="27"/>
          <w:szCs w:val="27"/>
          <w:rtl/>
        </w:rPr>
        <w:t>نب</w:t>
      </w:r>
      <w:r w:rsidRPr="006571AC">
        <w:rPr>
          <w:rFonts w:cs="AL-Mohanad" w:hint="cs"/>
          <w:sz w:val="27"/>
          <w:szCs w:val="27"/>
          <w:rtl/>
        </w:rPr>
        <w:t>ي</w:t>
      </w:r>
      <w:r w:rsidR="00593E23"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بتبل</w:t>
      </w:r>
      <w:r w:rsidRPr="006571AC">
        <w:rPr>
          <w:rFonts w:cs="AL-Mohanad" w:hint="cs"/>
          <w:sz w:val="27"/>
          <w:szCs w:val="27"/>
          <w:rtl/>
        </w:rPr>
        <w:t>ي</w:t>
      </w:r>
      <w:r w:rsidRPr="006571AC">
        <w:rPr>
          <w:rFonts w:ascii="Sakkal Majalla" w:hAnsi="Sakkal Majalla" w:cs="AL-Mohanad" w:hint="cs"/>
          <w:sz w:val="27"/>
          <w:szCs w:val="27"/>
          <w:rtl/>
        </w:rPr>
        <w:t>غها</w:t>
      </w:r>
      <w:r w:rsidRPr="006571AC">
        <w:rPr>
          <w:rFonts w:ascii="Sakkal Majalla" w:hAnsi="Sakkal Majalla" w:cs="AL-Mohanad"/>
          <w:sz w:val="27"/>
          <w:szCs w:val="27"/>
          <w:rtl/>
        </w:rPr>
        <w:t xml:space="preserve"> ـ بأمور وقضا</w:t>
      </w:r>
      <w:r w:rsidRPr="006571AC">
        <w:rPr>
          <w:rFonts w:cs="AL-Mohanad" w:hint="cs"/>
          <w:sz w:val="27"/>
          <w:szCs w:val="27"/>
          <w:rtl/>
        </w:rPr>
        <w:t>ي</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w:t>
      </w:r>
      <w:r w:rsidRPr="006571AC">
        <w:rPr>
          <w:rFonts w:cs="AL-Mohanad" w:hint="cs"/>
          <w:sz w:val="27"/>
          <w:szCs w:val="27"/>
          <w:rtl/>
        </w:rPr>
        <w:t>ي</w:t>
      </w:r>
      <w:r w:rsidRPr="006571AC">
        <w:rPr>
          <w:rFonts w:ascii="Sakkal Majalla" w:hAnsi="Sakkal Majalla" w:cs="AL-Mohanad" w:hint="cs"/>
          <w:sz w:val="27"/>
          <w:szCs w:val="27"/>
          <w:rtl/>
        </w:rPr>
        <w:t>دة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المعن</w:t>
      </w:r>
      <w:r w:rsidR="00593E23"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الذي</w:t>
      </w:r>
      <w:r w:rsidRPr="006571AC">
        <w:rPr>
          <w:rFonts w:ascii="Sakkal Majalla" w:hAnsi="Sakkal Majalla" w:cs="AL-Mohanad"/>
          <w:sz w:val="27"/>
          <w:szCs w:val="27"/>
          <w:rtl/>
        </w:rPr>
        <w:t xml:space="preserve"> تضم</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نته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مة</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كالجهاد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هل الكتاب</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والمشرك</w:t>
      </w:r>
      <w:r w:rsidRPr="006571AC">
        <w:rPr>
          <w:rFonts w:cs="AL-Mohanad" w:hint="cs"/>
          <w:sz w:val="27"/>
          <w:szCs w:val="27"/>
          <w:rtl/>
        </w:rPr>
        <w:t>ي</w:t>
      </w:r>
      <w:r w:rsidRPr="006571AC">
        <w:rPr>
          <w:rFonts w:ascii="Sakkal Majalla" w:hAnsi="Sakkal Majalla" w:cs="AL-Mohanad" w:hint="cs"/>
          <w:sz w:val="27"/>
          <w:szCs w:val="27"/>
          <w:rtl/>
        </w:rPr>
        <w:t>ن</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وغ</w:t>
      </w:r>
      <w:r w:rsidRPr="006571AC">
        <w:rPr>
          <w:rFonts w:cs="AL-Mohanad" w:hint="cs"/>
          <w:sz w:val="27"/>
          <w:szCs w:val="27"/>
          <w:rtl/>
        </w:rPr>
        <w:t>ي</w:t>
      </w:r>
      <w:r w:rsidRPr="006571AC">
        <w:rPr>
          <w:rFonts w:ascii="Sakkal Majalla" w:hAnsi="Sakkal Majalla" w:cs="AL-Mohanad" w:hint="cs"/>
          <w:sz w:val="27"/>
          <w:szCs w:val="27"/>
          <w:rtl/>
        </w:rPr>
        <w:t>رها</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وس</w:t>
      </w:r>
      <w:r w:rsidRPr="006571AC">
        <w:rPr>
          <w:rFonts w:cs="AL-Mohanad" w:hint="cs"/>
          <w:sz w:val="27"/>
          <w:szCs w:val="27"/>
          <w:rtl/>
        </w:rPr>
        <w:t>ي</w:t>
      </w:r>
      <w:r w:rsidRPr="006571AC">
        <w:rPr>
          <w:rFonts w:ascii="Sakkal Majalla" w:hAnsi="Sakkal Majalla" w:cs="AL-Mohanad" w:hint="cs"/>
          <w:sz w:val="27"/>
          <w:szCs w:val="27"/>
          <w:rtl/>
        </w:rPr>
        <w:t>ت</w:t>
      </w:r>
      <w:r w:rsidR="00593E23" w:rsidRPr="006571AC">
        <w:rPr>
          <w:rFonts w:ascii="Sakkal Majalla" w:hAnsi="Sakkal Majalla" w:cs="AL-Mohanad" w:hint="cs"/>
          <w:sz w:val="27"/>
          <w:szCs w:val="27"/>
          <w:rtl/>
        </w:rPr>
        <w:t>ّ</w:t>
      </w:r>
      <w:r w:rsidRPr="006571AC">
        <w:rPr>
          <w:rFonts w:ascii="Sakkal Majalla" w:hAnsi="Sakkal Majalla" w:cs="AL-Mohanad" w:hint="cs"/>
          <w:sz w:val="27"/>
          <w:szCs w:val="27"/>
          <w:rtl/>
        </w:rPr>
        <w:t>ضح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ذكر ال</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شكالات </w:t>
      </w:r>
      <w:r w:rsidRPr="006571AC">
        <w:rPr>
          <w:rFonts w:ascii="Sakkal Majalla" w:hAnsi="Sakkal Majalla" w:cs="AL-Mohanad" w:hint="cs"/>
          <w:sz w:val="27"/>
          <w:szCs w:val="27"/>
          <w:rtl/>
        </w:rPr>
        <w:t>التي ت</w:t>
      </w:r>
      <w:r w:rsidR="00593E23"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00593E23"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00593E23"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على أ</w:t>
      </w:r>
      <w:r w:rsidRPr="006571AC">
        <w:rPr>
          <w:rFonts w:ascii="Sakkal Majalla" w:hAnsi="Sakkal Majalla" w:cs="AL-Mohanad"/>
          <w:sz w:val="27"/>
          <w:szCs w:val="27"/>
          <w:rtl/>
        </w:rPr>
        <w:t>قوال الجمهور</w:t>
      </w:r>
      <w:r w:rsidRPr="006571AC">
        <w:rPr>
          <w:rFonts w:ascii="Sakkal Majalla" w:hAnsi="Sakkal Majalla" w:cs="AL-Mohanad" w:hint="cs"/>
          <w:sz w:val="27"/>
          <w:szCs w:val="27"/>
          <w:rtl/>
        </w:rPr>
        <w:t xml:space="preserve">. </w:t>
      </w:r>
    </w:p>
    <w:p w:rsidR="005D3BB1" w:rsidRPr="006571AC" w:rsidRDefault="005D3BB1" w:rsidP="005D3BB1">
      <w:pPr>
        <w:spacing w:line="420" w:lineRule="exact"/>
        <w:rPr>
          <w:sz w:val="27"/>
          <w:rtl/>
        </w:rPr>
      </w:pPr>
    </w:p>
    <w:p w:rsidR="005D05A4" w:rsidRPr="006571AC" w:rsidRDefault="00845E1A" w:rsidP="003F2EAB">
      <w:pPr>
        <w:pStyle w:val="31"/>
        <w:rPr>
          <w:color w:val="auto"/>
          <w:rtl/>
        </w:rPr>
      </w:pPr>
      <w:bookmarkStart w:id="151" w:name="_Toc114164640"/>
      <w:r w:rsidRPr="006571AC">
        <w:rPr>
          <w:rFonts w:hint="cs"/>
          <w:color w:val="auto"/>
          <w:rtl/>
        </w:rPr>
        <w:t>ب ـ</w:t>
      </w:r>
      <w:r w:rsidR="005D05A4" w:rsidRPr="006571AC">
        <w:rPr>
          <w:color w:val="auto"/>
          <w:rtl/>
        </w:rPr>
        <w:t xml:space="preserve"> </w:t>
      </w:r>
      <w:r w:rsidR="003F2EAB" w:rsidRPr="006571AC">
        <w:rPr>
          <w:rFonts w:hint="cs"/>
          <w:color w:val="auto"/>
          <w:rtl/>
        </w:rPr>
        <w:t>ال</w:t>
      </w:r>
      <w:r w:rsidR="005D05A4" w:rsidRPr="006571AC">
        <w:rPr>
          <w:rFonts w:hint="cs"/>
          <w:color w:val="auto"/>
          <w:rtl/>
        </w:rPr>
        <w:t xml:space="preserve">سياق </w:t>
      </w:r>
      <w:r w:rsidR="003F2EAB" w:rsidRPr="006571AC">
        <w:rPr>
          <w:rFonts w:hint="cs"/>
          <w:color w:val="auto"/>
          <w:rtl/>
        </w:rPr>
        <w:t>القرآنيّ المحيط بالآية</w:t>
      </w:r>
      <w:bookmarkEnd w:id="151"/>
    </w:p>
    <w:p w:rsidR="005D05A4" w:rsidRPr="006571AC" w:rsidRDefault="005D05A4" w:rsidP="00B41BA0">
      <w:pPr>
        <w:pStyle w:val="af"/>
        <w:rPr>
          <w:rFonts w:ascii="Sakkal Majalla" w:hAnsi="Sakkal Majalla" w:cs="AL-Mohanad"/>
          <w:sz w:val="27"/>
          <w:szCs w:val="27"/>
        </w:rPr>
      </w:pP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 </w:t>
      </w:r>
      <w:r w:rsidRPr="006571AC">
        <w:rPr>
          <w:rFonts w:ascii="Sakkal Majalla" w:hAnsi="Sakkal Majalla" w:cs="AL-Mohanad" w:hint="cs"/>
          <w:sz w:val="27"/>
          <w:szCs w:val="27"/>
          <w:rtl/>
        </w:rPr>
        <w:t>أ</w:t>
      </w:r>
      <w:r w:rsidRPr="006571AC">
        <w:rPr>
          <w:rFonts w:ascii="Sakkal Majalla" w:hAnsi="Sakkal Majalla" w:cs="AL-Mohanad"/>
          <w:sz w:val="27"/>
          <w:szCs w:val="27"/>
          <w:rtl/>
        </w:rPr>
        <w:t>هم</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w:t>
      </w:r>
      <w:r w:rsidR="00F75533" w:rsidRPr="006571AC">
        <w:rPr>
          <w:rFonts w:ascii="Sakkal Majalla" w:hAnsi="Sakkal Majalla" w:cs="AL-Mohanad" w:hint="cs"/>
          <w:sz w:val="27"/>
          <w:szCs w:val="27"/>
          <w:rtl/>
        </w:rPr>
        <w:t>ا</w:t>
      </w:r>
      <w:r w:rsidRPr="006571AC">
        <w:rPr>
          <w:rFonts w:ascii="Sakkal Majalla" w:hAnsi="Sakkal Majalla" w:cs="AL-Mohanad"/>
          <w:sz w:val="27"/>
          <w:szCs w:val="27"/>
          <w:rtl/>
        </w:rPr>
        <w:t xml:space="preserve">ستند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 علماء</w:t>
      </w:r>
      <w:r w:rsidRPr="006571AC">
        <w:rPr>
          <w:rFonts w:ascii="Sakkal Majalla" w:hAnsi="Sakkal Majalla" w:cs="AL-Mohanad"/>
          <w:sz w:val="27"/>
          <w:szCs w:val="27"/>
          <w:rtl/>
        </w:rPr>
        <w:t xml:space="preserve"> العامة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حمل الآ</w:t>
      </w:r>
      <w:r w:rsidRPr="006571AC">
        <w:rPr>
          <w:rFonts w:cs="AL-Mohanad" w:hint="cs"/>
          <w:sz w:val="27"/>
          <w:szCs w:val="27"/>
          <w:rtl/>
        </w:rPr>
        <w:t>ي</w:t>
      </w:r>
      <w:r w:rsidRPr="006571AC">
        <w:rPr>
          <w:rFonts w:ascii="Sakkal Majalla" w:hAnsi="Sakkal Majalla" w:cs="AL-Mohanad" w:hint="cs"/>
          <w:sz w:val="27"/>
          <w:szCs w:val="27"/>
          <w:rtl/>
        </w:rPr>
        <w:t>ة الكر</w:t>
      </w:r>
      <w:r w:rsidRPr="006571AC">
        <w:rPr>
          <w:rFonts w:cs="AL-Mohanad" w:hint="cs"/>
          <w:sz w:val="27"/>
          <w:szCs w:val="27"/>
          <w:rtl/>
        </w:rPr>
        <w:t>ي</w:t>
      </w:r>
      <w:r w:rsidRPr="006571AC">
        <w:rPr>
          <w:rFonts w:ascii="Sakkal Majalla" w:hAnsi="Sakkal Majalla" w:cs="AL-Mohanad" w:hint="cs"/>
          <w:sz w:val="27"/>
          <w:szCs w:val="27"/>
          <w:rtl/>
        </w:rPr>
        <w:t>مة</w:t>
      </w:r>
      <w:r w:rsidRPr="006571AC">
        <w:rPr>
          <w:rFonts w:ascii="Sakkal Majalla" w:hAnsi="Sakkal Majalla" w:cs="AL-Mohanad"/>
          <w:sz w:val="27"/>
          <w:szCs w:val="27"/>
          <w:rtl/>
        </w:rPr>
        <w:t xml:space="preserve"> وتفس</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هل الكتاب هو وضعها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تكل</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مت عن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والنصار</w:t>
      </w:r>
      <w:r w:rsidR="00F75533" w:rsidRPr="006571AC">
        <w:rPr>
          <w:rFonts w:cs="AL-Mohanad" w:hint="cs"/>
          <w:sz w:val="27"/>
          <w:szCs w:val="27"/>
          <w:rtl/>
        </w:rPr>
        <w:t>ى</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 الراز</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و</w:t>
      </w:r>
      <w:r w:rsidRPr="006571AC">
        <w:rPr>
          <w:rFonts w:ascii="Sakkal Majalla" w:hAnsi="Sakkal Majalla" w:cs="AL-Mohanad" w:hint="cs"/>
          <w:sz w:val="27"/>
          <w:szCs w:val="27"/>
          <w:rtl/>
        </w:rPr>
        <w:t>ا</w:t>
      </w:r>
      <w:r w:rsidRPr="006571AC">
        <w:rPr>
          <w:rFonts w:ascii="Sakkal Majalla" w:hAnsi="Sakkal Majalla" w:cs="AL-Mohanad"/>
          <w:sz w:val="27"/>
          <w:szCs w:val="27"/>
          <w:rtl/>
        </w:rPr>
        <w:t>علم أن هذه الروايات وإن</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كثرت إلا</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أن الأ</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و</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لى حمله على أنه تعالى آمنه من مكر اليهود والنصارى، وأمره بإظهار التبليغ من غير مبالاة</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منه بهم</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وذلك لأن ما قبل هذه الآية بكثير</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وما بعدها بكثير</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لما كان كلاما</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مع اليهود والنصارى امتنع إلقاء هذه الآية الواحدة في البين على وجه</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تكون أجنبي</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ة</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عم</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ا قبلها وما بعدها</w:t>
      </w:r>
      <w:r w:rsidRPr="006571AC">
        <w:rPr>
          <w:rFonts w:ascii="Sakkal Majalla" w:hAnsi="Sakkal Majalla" w:cs="AL-Mohanad"/>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39"/>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lastRenderedPageBreak/>
        <w:t>ولكن</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جب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نعلم </w:t>
      </w:r>
      <w:r w:rsidR="00F75533" w:rsidRPr="006571AC">
        <w:rPr>
          <w:rFonts w:ascii="Sakkal Majalla" w:hAnsi="Sakkal Majalla" w:cs="AL-Mohanad" w:hint="cs"/>
          <w:sz w:val="27"/>
          <w:szCs w:val="27"/>
          <w:rtl/>
        </w:rPr>
        <w:t>أ</w:t>
      </w:r>
      <w:r w:rsidRPr="006571AC">
        <w:rPr>
          <w:rFonts w:ascii="Sakkal Majalla" w:hAnsi="Sakkal Majalla" w:cs="AL-Mohanad"/>
          <w:sz w:val="27"/>
          <w:szCs w:val="27"/>
          <w:rtl/>
        </w:rPr>
        <w:t>نّ الس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عتبر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قر</w:t>
      </w:r>
      <w:r w:rsidRPr="006571AC">
        <w:rPr>
          <w:rFonts w:cs="AL-Mohanad" w:hint="cs"/>
          <w:sz w:val="27"/>
          <w:szCs w:val="27"/>
          <w:rtl/>
        </w:rPr>
        <w:t>ي</w:t>
      </w:r>
      <w:r w:rsidRPr="006571AC">
        <w:rPr>
          <w:rFonts w:ascii="Sakkal Majalla" w:hAnsi="Sakkal Majalla" w:cs="AL-Mohanad" w:hint="cs"/>
          <w:sz w:val="27"/>
          <w:szCs w:val="27"/>
          <w:rtl/>
        </w:rPr>
        <w:t>نة</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مت</w:t>
      </w:r>
      <w:r w:rsidR="00F75533"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الكلام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متسلسلاً</w:t>
      </w:r>
      <w:r w:rsidRPr="006571AC">
        <w:rPr>
          <w:rFonts w:ascii="Sakkal Majalla" w:hAnsi="Sakkal Majalla" w:cs="AL-Mohanad"/>
          <w:sz w:val="27"/>
          <w:szCs w:val="27"/>
          <w:rtl/>
        </w:rPr>
        <w:t xml:space="preserve"> ومتتال</w:t>
      </w:r>
      <w:r w:rsidRPr="006571AC">
        <w:rPr>
          <w:rFonts w:cs="AL-Mohanad" w:hint="cs"/>
          <w:sz w:val="27"/>
          <w:szCs w:val="27"/>
          <w:rtl/>
        </w:rPr>
        <w:t>ي</w:t>
      </w:r>
      <w:r w:rsidRPr="006571AC">
        <w:rPr>
          <w:rFonts w:ascii="Sakkal Majalla" w:hAnsi="Sakkal Majalla" w:cs="AL-Mohanad" w:hint="cs"/>
          <w:sz w:val="27"/>
          <w:szCs w:val="27"/>
          <w:rtl/>
        </w:rPr>
        <w:t>اً</w:t>
      </w:r>
      <w:r w:rsidRPr="006571AC">
        <w:rPr>
          <w:rFonts w:ascii="Sakkal Majalla" w:hAnsi="Sakkal Majalla" w:cs="AL-Mohanad"/>
          <w:sz w:val="27"/>
          <w:szCs w:val="27"/>
          <w:rtl/>
        </w:rPr>
        <w:t>، لا متفر</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قاً</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كما هو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ترت</w:t>
      </w:r>
      <w:r w:rsidRPr="006571AC">
        <w:rPr>
          <w:rFonts w:cs="AL-Mohanad" w:hint="cs"/>
          <w:sz w:val="27"/>
          <w:szCs w:val="27"/>
          <w:rtl/>
        </w:rPr>
        <w:t>ي</w:t>
      </w:r>
      <w:r w:rsidRPr="006571AC">
        <w:rPr>
          <w:rFonts w:ascii="Sakkal Majalla" w:hAnsi="Sakkal Majalla" w:cs="AL-Mohanad" w:hint="cs"/>
          <w:sz w:val="27"/>
          <w:szCs w:val="27"/>
          <w:rtl/>
        </w:rPr>
        <w:t>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القرآن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فقد رتّ</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ب الرسول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القرآن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غ</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نزولها</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كما س</w:t>
      </w:r>
      <w:r w:rsidRPr="006571AC">
        <w:rPr>
          <w:rFonts w:cs="AL-Mohanad" w:hint="cs"/>
          <w:sz w:val="27"/>
          <w:szCs w:val="27"/>
          <w:rtl/>
        </w:rPr>
        <w:t>ي</w:t>
      </w:r>
      <w:r w:rsidRPr="006571AC">
        <w:rPr>
          <w:rFonts w:ascii="Sakkal Majalla" w:hAnsi="Sakkal Majalla" w:cs="AL-Mohanad" w:hint="cs"/>
          <w:sz w:val="27"/>
          <w:szCs w:val="27"/>
          <w:rtl/>
        </w:rPr>
        <w:t>ت</w:t>
      </w:r>
      <w:r w:rsidR="00F75533" w:rsidRPr="006571AC">
        <w:rPr>
          <w:rFonts w:ascii="Sakkal Majalla" w:hAnsi="Sakkal Majalla" w:cs="AL-Mohanad" w:hint="cs"/>
          <w:sz w:val="27"/>
          <w:szCs w:val="27"/>
          <w:rtl/>
        </w:rPr>
        <w:t>َّ</w:t>
      </w:r>
      <w:r w:rsidRPr="006571AC">
        <w:rPr>
          <w:rFonts w:ascii="Sakkal Majalla" w:hAnsi="Sakkal Majalla" w:cs="AL-Mohanad" w:hint="cs"/>
          <w:sz w:val="27"/>
          <w:szCs w:val="27"/>
          <w:rtl/>
        </w:rPr>
        <w:t>ضح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لاحقاً</w:t>
      </w:r>
      <w:r w:rsidRPr="006571AC">
        <w:rPr>
          <w:rFonts w:ascii="Sakkal Majalla" w:hAnsi="Sakkal Majalla" w:cs="AL-Mohanad"/>
          <w:sz w:val="27"/>
          <w:szCs w:val="27"/>
          <w:rtl/>
        </w:rPr>
        <w:t xml:space="preserve">. وهكذا </w:t>
      </w:r>
      <w:r w:rsidR="00F75533" w:rsidRPr="006571AC">
        <w:rPr>
          <w:rFonts w:ascii="Sakkal Majalla" w:hAnsi="Sakkal Majalla" w:cs="AL-Mohanad" w:hint="cs"/>
          <w:sz w:val="27"/>
          <w:szCs w:val="27"/>
          <w:rtl/>
        </w:rPr>
        <w:t>ال</w:t>
      </w:r>
      <w:r w:rsidRPr="006571AC">
        <w:rPr>
          <w:rFonts w:ascii="Sakkal Majalla" w:hAnsi="Sakkal Majalla" w:cs="AL-Mohanad"/>
          <w:sz w:val="27"/>
          <w:szCs w:val="27"/>
          <w:rtl/>
        </w:rPr>
        <w:t>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67</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سورة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المائدة</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فإ</w:t>
      </w:r>
      <w:r w:rsidRPr="006571AC">
        <w:rPr>
          <w:rFonts w:ascii="Sakkal Majalla" w:hAnsi="Sakkal Majalla" w:cs="AL-Mohanad"/>
          <w:sz w:val="27"/>
          <w:szCs w:val="27"/>
          <w:rtl/>
        </w:rPr>
        <w:t xml:space="preserve">نّ زمن نزولها </w:t>
      </w:r>
      <w:r w:rsidRPr="006571AC">
        <w:rPr>
          <w:rFonts w:cs="AL-Mohanad" w:hint="cs"/>
          <w:sz w:val="27"/>
          <w:szCs w:val="27"/>
          <w:rtl/>
        </w:rPr>
        <w:t>ي</w:t>
      </w:r>
      <w:r w:rsidRPr="006571AC">
        <w:rPr>
          <w:rFonts w:ascii="Sakkal Majalla" w:hAnsi="Sakkal Majalla" w:cs="AL-Mohanad" w:hint="cs"/>
          <w:sz w:val="27"/>
          <w:szCs w:val="27"/>
          <w:rtl/>
        </w:rPr>
        <w:t>ختلف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قبلها </w:t>
      </w:r>
      <w:r w:rsidR="00F75533" w:rsidRPr="006571AC">
        <w:rPr>
          <w:rFonts w:ascii="Sakkal Majalla" w:hAnsi="Sakkal Majalla" w:cs="AL-Mohanad" w:hint="cs"/>
          <w:sz w:val="27"/>
          <w:szCs w:val="27"/>
          <w:rtl/>
        </w:rPr>
        <w:t>و</w:t>
      </w:r>
      <w:r w:rsidRPr="006571AC">
        <w:rPr>
          <w:rFonts w:ascii="Sakkal Majalla" w:hAnsi="Sakkal Majalla" w:cs="AL-Mohanad"/>
          <w:sz w:val="27"/>
          <w:szCs w:val="27"/>
          <w:rtl/>
        </w:rPr>
        <w:t>بعدها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فقد نزلت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أخر</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F75533" w:rsidRPr="006571AC">
        <w:rPr>
          <w:rFonts w:ascii="Sakkal Majalla" w:hAnsi="Sakkal Majalla" w:cs="AL-Mohanad" w:hint="cs"/>
          <w:sz w:val="27"/>
          <w:szCs w:val="27"/>
          <w:rtl/>
        </w:rPr>
        <w:t>ّ</w:t>
      </w:r>
      <w:r w:rsidR="002A2C90" w:rsidRPr="006571AC">
        <w:rPr>
          <w:rFonts w:ascii="Mosawi" w:hAnsi="Mosawi" w:cs="Mosawi"/>
          <w:sz w:val="22"/>
          <w:szCs w:val="22"/>
          <w:rtl/>
        </w:rPr>
        <w:t>|</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مّا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السابقة</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واللاحقة لها فقد نزلت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ل </w:t>
      </w:r>
      <w:r w:rsidRPr="006571AC">
        <w:rPr>
          <w:rFonts w:ascii="Sakkal Majalla" w:hAnsi="Sakkal Majalla" w:cs="AL-Mohanad" w:hint="cs"/>
          <w:sz w:val="27"/>
          <w:szCs w:val="27"/>
          <w:rtl/>
        </w:rPr>
        <w:t>الهجرة</w:t>
      </w:r>
      <w:r w:rsidR="00F75533"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الوقت الذ</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كانت تتوافد 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Pr="006571AC">
        <w:rPr>
          <w:rFonts w:cs="AL-Mohanad" w:hint="cs"/>
          <w:sz w:val="27"/>
          <w:szCs w:val="27"/>
          <w:rtl/>
        </w:rPr>
        <w:t>ي</w:t>
      </w:r>
      <w:r w:rsidRPr="006571AC">
        <w:rPr>
          <w:rFonts w:ascii="Sakkal Majalla" w:hAnsi="Sakkal Majalla" w:cs="AL-Mohanad" w:hint="cs"/>
          <w:sz w:val="27"/>
          <w:szCs w:val="27"/>
          <w:rtl/>
        </w:rPr>
        <w:t>هود</w:t>
      </w:r>
      <w:r w:rsidR="00F75533"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وتظهر له الحبّ وال</w:t>
      </w:r>
      <w:r w:rsidRPr="006571AC">
        <w:rPr>
          <w:rFonts w:ascii="Sakkal Majalla" w:hAnsi="Sakkal Majalla" w:cs="AL-Mohanad" w:hint="cs"/>
          <w:sz w:val="27"/>
          <w:szCs w:val="27"/>
          <w:rtl/>
        </w:rPr>
        <w:t>إ</w:t>
      </w:r>
      <w:r w:rsidRPr="006571AC">
        <w:rPr>
          <w:rFonts w:cs="AL-Mohanad" w:hint="cs"/>
          <w:sz w:val="27"/>
          <w:szCs w:val="27"/>
          <w:rtl/>
        </w:rPr>
        <w:t>ي</w:t>
      </w:r>
      <w:r w:rsidRPr="006571AC">
        <w:rPr>
          <w:rFonts w:ascii="Sakkal Majalla" w:hAnsi="Sakkal Majalla" w:cs="AL-Mohanad" w:hint="cs"/>
          <w:sz w:val="27"/>
          <w:szCs w:val="27"/>
          <w:rtl/>
        </w:rPr>
        <w:t>مان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كذباً</w:t>
      </w:r>
      <w:r w:rsidRPr="006571AC">
        <w:rPr>
          <w:rFonts w:ascii="Sakkal Majalla" w:hAnsi="Sakkal Majalla" w:cs="AL-Mohanad"/>
          <w:sz w:val="27"/>
          <w:szCs w:val="27"/>
          <w:rtl/>
        </w:rPr>
        <w:t xml:space="preserve"> وزوراً</w:t>
      </w:r>
      <w:r w:rsidRPr="006571AC">
        <w:rPr>
          <w:rFonts w:ascii="Sakkal Majalla" w:hAnsi="Sakkal Majalla" w:cs="AL-Mohanad" w:hint="cs"/>
          <w:sz w:val="27"/>
          <w:szCs w:val="27"/>
          <w:rtl/>
        </w:rPr>
        <w:t xml:space="preserve">، قال تعالى </w:t>
      </w:r>
      <w:r w:rsidRPr="006571AC">
        <w:rPr>
          <w:rFonts w:ascii="Mosawi" w:hAnsi="Mosawi" w:cs="Mosawi"/>
          <w:rtl/>
        </w:rPr>
        <w:t>﴿</w:t>
      </w:r>
      <w:r w:rsidRPr="006571AC">
        <w:rPr>
          <w:rFonts w:ascii="Sakkal Majalla" w:hAnsi="Sakkal Majalla" w:cs="AL-Mohanad"/>
          <w:b/>
          <w:bCs/>
          <w:sz w:val="27"/>
          <w:szCs w:val="27"/>
          <w:rtl/>
        </w:rPr>
        <w:t>و</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إِذ</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جاؤُ</w:t>
      </w:r>
      <w:r w:rsidR="00F75533" w:rsidRPr="006571AC">
        <w:rPr>
          <w:rFonts w:ascii="Sakkal Majalla" w:hAnsi="Sakkal Majalla" w:cs="AL-Mohanad" w:hint="cs"/>
          <w:b/>
          <w:bCs/>
          <w:sz w:val="27"/>
          <w:szCs w:val="27"/>
          <w:rtl/>
        </w:rPr>
        <w:t>و</w:t>
      </w:r>
      <w:r w:rsidRPr="006571AC">
        <w:rPr>
          <w:rFonts w:ascii="Sakkal Majalla" w:hAnsi="Sakkal Majalla" w:cs="AL-Mohanad"/>
          <w:b/>
          <w:bCs/>
          <w:sz w:val="27"/>
          <w:szCs w:val="27"/>
          <w:rtl/>
        </w:rPr>
        <w:t>كُمْ قالُوا آمَنَّا و</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قَدْ دَخَلُوا بِالْكُفْرِ و</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هُمْ قَدْ خَرَجُوا بِهِ و</w:t>
      </w:r>
      <w:r w:rsidR="00F75533"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أَعْلَمُ بِم</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ا ك</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انُوا يَكْتُمُون</w:t>
      </w:r>
      <w:r w:rsidR="00697FAB" w:rsidRPr="006571AC">
        <w:rPr>
          <w:rFonts w:ascii="Sakkal Majalla" w:hAnsi="Sakkal Majalla" w:cs="AL-Mohanad" w:hint="cs"/>
          <w:b/>
          <w:bCs/>
          <w:sz w:val="27"/>
          <w:szCs w:val="27"/>
          <w:rtl/>
        </w:rPr>
        <w:t xml:space="preserve"> * </w:t>
      </w:r>
      <w:r w:rsidRPr="006571AC">
        <w:rPr>
          <w:rFonts w:ascii="Sakkal Majalla" w:hAnsi="Sakkal Majalla" w:cs="AL-Mohanad"/>
          <w:b/>
          <w:bCs/>
          <w:sz w:val="27"/>
          <w:szCs w:val="27"/>
          <w:rtl/>
        </w:rPr>
        <w:t xml:space="preserve">... </w:t>
      </w:r>
      <w:r w:rsidR="00697FAB" w:rsidRPr="006571AC">
        <w:rPr>
          <w:rFonts w:ascii="Sakkal Majalla" w:hAnsi="Sakkal Majalla" w:cs="AL-Mohanad" w:hint="cs"/>
          <w:b/>
          <w:bCs/>
          <w:sz w:val="27"/>
          <w:szCs w:val="27"/>
          <w:rtl/>
        </w:rPr>
        <w:t>*</w:t>
      </w:r>
      <w:r w:rsidR="00697FAB" w:rsidRPr="006571AC">
        <w:rPr>
          <w:rFonts w:ascii="Sakkal Majalla" w:hAnsi="Sakkal Majalla" w:cs="AL-Mohanad" w:hint="cs"/>
          <w:sz w:val="27"/>
          <w:szCs w:val="27"/>
          <w:rtl/>
        </w:rPr>
        <w:t xml:space="preserve"> </w:t>
      </w:r>
      <w:r w:rsidR="00697FAB" w:rsidRPr="006571AC">
        <w:rPr>
          <w:rFonts w:cs="AL-Mohanad"/>
          <w:b/>
          <w:bCs/>
          <w:sz w:val="27"/>
          <w:szCs w:val="27"/>
          <w:rtl/>
        </w:rPr>
        <w:t>وَلَوْ أَنَّهُمْ أَقَامُوا التَّوْرَاةَ وَالإِنجِيلَ وَمَا أُنزِلَ إِلَيْهِمْ مِنْ رَبِّهِمْ لأَكَلُوا مِنْ فَوْقِهِمْ وَمِنْ تَحْتِ أَرْجُلِهِمْ مِنْهُمْ أُمَّةٌ مُقْتَصِدَةٌ وَكَثِيرٌ مِنْهُمْ سَاءَ مَا يَعْمَلُونَ</w:t>
      </w:r>
      <w:r w:rsidRPr="006571AC">
        <w:rPr>
          <w:rFonts w:ascii="Mosawi" w:hAnsi="Mosawi" w:cs="Mosawi"/>
          <w:rtl/>
        </w:rPr>
        <w:t>﴾</w:t>
      </w:r>
      <w:r w:rsidRPr="006571AC">
        <w:rPr>
          <w:rFonts w:ascii="Sakkal Majalla" w:hAnsi="Sakkal Majalla" w:cs="AL-Mohanad" w:hint="cs"/>
          <w:sz w:val="27"/>
          <w:szCs w:val="27"/>
          <w:rtl/>
        </w:rPr>
        <w:t xml:space="preserve"> (المائدة: 61 ـ 66)</w:t>
      </w:r>
      <w:r w:rsidR="00697FA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وهكذا آ</w:t>
      </w:r>
      <w:r w:rsidRPr="006571AC">
        <w:rPr>
          <w:rFonts w:cs="AL-Mohanad" w:hint="cs"/>
          <w:sz w:val="27"/>
          <w:szCs w:val="27"/>
          <w:rtl/>
        </w:rPr>
        <w:t>ي</w:t>
      </w:r>
      <w:r w:rsidRPr="006571AC">
        <w:rPr>
          <w:rFonts w:ascii="Sakkal Majalla" w:hAnsi="Sakkal Majalla" w:cs="AL-Mohanad" w:hint="cs"/>
          <w:sz w:val="27"/>
          <w:szCs w:val="27"/>
          <w:rtl/>
        </w:rPr>
        <w:t>ة</w:t>
      </w:r>
      <w:r w:rsidR="00697FAB"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00697FAB" w:rsidRPr="006571AC">
        <w:rPr>
          <w:rFonts w:cs="AL-Mohanad"/>
          <w:b/>
          <w:bCs/>
          <w:sz w:val="27"/>
          <w:szCs w:val="27"/>
          <w:rtl/>
        </w:rPr>
        <w:t>قُلْ يَا أَهْلَ الْكِتَابِ لَسْتُمْ عَلَى شَيْءٍ حَتَّى تُقِيمُوا التَّوْرَاةَ وَالإِنجِيلَ وَمَا أُنزِلَ إِلَيْكُمْ مِنْ رَبِّكُمْ وَلَيَزِيدَنَّ كَثِيراً مِنْهُمْ مَا أُنزِلَ إِلَيْكَ مِنْ رَبِّكَ طُغْيَاناً وَكُفْراً فَلاَ تَأْسَ عَلَى الْقَوْمِ الْكَافِرِينَ</w:t>
      </w:r>
      <w:r w:rsidRPr="006571AC">
        <w:rPr>
          <w:rFonts w:ascii="Mosawi" w:hAnsi="Mosawi" w:cs="Mosawi"/>
          <w:rtl/>
        </w:rPr>
        <w:t>﴾</w:t>
      </w:r>
      <w:r w:rsidRPr="006571AC">
        <w:rPr>
          <w:rFonts w:ascii="Sakkal Majalla" w:hAnsi="Sakkal Majalla" w:cs="AL-Mohanad" w:hint="cs"/>
          <w:sz w:val="27"/>
          <w:szCs w:val="27"/>
          <w:rtl/>
        </w:rPr>
        <w:t xml:space="preserve"> (المائدة: 68).</w:t>
      </w:r>
      <w:r w:rsidRPr="006571AC">
        <w:rPr>
          <w:rFonts w:ascii="Sakkal Majalla" w:hAnsi="Sakkal Majalla" w:cs="AL-Mohanad"/>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 xml:space="preserve">بل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نّنا نعتقد </w:t>
      </w:r>
      <w:r w:rsidRPr="006571AC">
        <w:rPr>
          <w:rFonts w:ascii="Sakkal Majalla" w:hAnsi="Sakkal Majalla" w:cs="AL-Mohanad" w:hint="cs"/>
          <w:sz w:val="27"/>
          <w:szCs w:val="27"/>
          <w:rtl/>
        </w:rPr>
        <w:t>أ</w:t>
      </w:r>
      <w:r w:rsidRPr="006571AC">
        <w:rPr>
          <w:rFonts w:ascii="Sakkal Majalla" w:hAnsi="Sakkal Majalla" w:cs="AL-Mohanad"/>
          <w:sz w:val="27"/>
          <w:szCs w:val="27"/>
          <w:rtl/>
        </w:rPr>
        <w:t>نّ 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تفق تماماً</w:t>
      </w:r>
      <w:r w:rsidRPr="006571AC">
        <w:rPr>
          <w:rFonts w:ascii="Sakkal Majalla" w:hAnsi="Sakkal Majalla" w:cs="AL-Mohanad"/>
          <w:sz w:val="27"/>
          <w:szCs w:val="27"/>
          <w:rtl/>
        </w:rPr>
        <w:t xml:space="preserve"> مع ما ذهب</w:t>
      </w:r>
      <w:r w:rsidRPr="006571AC">
        <w:rPr>
          <w:rFonts w:ascii="Sakkal Majalla" w:hAnsi="Sakkal Majalla" w:cs="AL-Mohanad" w:hint="cs"/>
          <w:sz w:val="27"/>
          <w:szCs w:val="27"/>
          <w:rtl/>
        </w:rPr>
        <w:t>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0F5B7C" w:rsidRPr="006571AC">
        <w:rPr>
          <w:rFonts w:ascii="Sakkal Majalla" w:hAnsi="Sakkal Majalla" w:cs="AL-Mohanad" w:hint="cs"/>
          <w:sz w:val="27"/>
          <w:szCs w:val="27"/>
          <w:rtl/>
        </w:rPr>
        <w:t>إ</w:t>
      </w:r>
      <w:r w:rsidRPr="006571AC">
        <w:rPr>
          <w:rFonts w:ascii="Sakkal Majalla" w:hAnsi="Sakkal Majalla" w:cs="AL-Mohanad" w:hint="cs"/>
          <w:sz w:val="27"/>
          <w:szCs w:val="27"/>
          <w:rtl/>
        </w:rPr>
        <w:t>مامية</w:t>
      </w:r>
      <w:r w:rsidRPr="006571AC">
        <w:rPr>
          <w:rFonts w:ascii="Sakkal Majalla" w:hAnsi="Sakkal Majalla" w:cs="AL-Mohanad"/>
          <w:sz w:val="27"/>
          <w:szCs w:val="27"/>
          <w:rtl/>
        </w:rPr>
        <w:t xml:space="preserve"> من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نزلت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خلافة وولا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عل</w:t>
      </w:r>
      <w:r w:rsidRPr="006571AC">
        <w:rPr>
          <w:rFonts w:ascii="Sakkal Majalla" w:hAnsi="Sakkal Majalla" w:cs="AL-Mohanad" w:hint="cs"/>
          <w:sz w:val="27"/>
          <w:szCs w:val="27"/>
          <w:rtl/>
        </w:rPr>
        <w:t>ي</w:t>
      </w:r>
      <w:r w:rsidR="000F5B7C" w:rsidRPr="006571AC">
        <w:rPr>
          <w:rFonts w:ascii="Sakkal Majalla" w:hAnsi="Sakkal Majalla" w:cs="AL-Mohanad" w:hint="cs"/>
          <w:sz w:val="27"/>
          <w:szCs w:val="27"/>
          <w:rtl/>
        </w:rPr>
        <w:t>ّ</w:t>
      </w:r>
      <w:r w:rsidR="002A2C90" w:rsidRPr="006571AC">
        <w:rPr>
          <w:rFonts w:ascii="Mosawi" w:hAnsi="Mosawi" w:cs="Mosawi"/>
          <w:sz w:val="22"/>
          <w:szCs w:val="22"/>
          <w:rtl/>
        </w:rPr>
        <w:t>×</w:t>
      </w:r>
      <w:r w:rsidR="000F5B7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ذا لاحظنا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66</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68</w:t>
      </w:r>
      <w:r w:rsidRPr="006571AC">
        <w:rPr>
          <w:rFonts w:ascii="Sakkal Majalla" w:hAnsi="Sakkal Majalla" w:cs="AL-Mohanad"/>
          <w:sz w:val="27"/>
          <w:szCs w:val="27"/>
          <w:rtl/>
        </w:rPr>
        <w:t xml:space="preserve"> من السورة نفسها</w:t>
      </w:r>
      <w:r w:rsidRPr="006571AC">
        <w:rPr>
          <w:rFonts w:ascii="Sakkal Majalla" w:hAnsi="Sakkal Majalla" w:cs="AL-Mohanad" w:hint="cs"/>
          <w:sz w:val="27"/>
          <w:szCs w:val="27"/>
          <w:rtl/>
        </w:rPr>
        <w:t xml:space="preserve">، </w:t>
      </w:r>
      <w:r w:rsidR="000F5B7C" w:rsidRPr="006571AC">
        <w:rPr>
          <w:rFonts w:ascii="Sakkal Majalla" w:hAnsi="Sakkal Majalla" w:cs="AL-Mohanad" w:hint="cs"/>
          <w:sz w:val="27"/>
          <w:szCs w:val="27"/>
          <w:rtl/>
        </w:rPr>
        <w:t>ف</w:t>
      </w:r>
      <w:r w:rsidRPr="006571AC">
        <w:rPr>
          <w:rFonts w:ascii="Sakkal Majalla" w:hAnsi="Sakkal Majalla" w:cs="AL-Mohanad" w:hint="cs"/>
          <w:sz w:val="27"/>
          <w:szCs w:val="27"/>
          <w:rtl/>
        </w:rPr>
        <w:t>س</w:t>
      </w:r>
      <w:r w:rsidRPr="006571AC">
        <w:rPr>
          <w:rFonts w:ascii="Sakkal Majalla" w:hAnsi="Sakkal Majalla" w:cs="AL-Mohanad"/>
          <w:sz w:val="27"/>
          <w:szCs w:val="27"/>
          <w:rtl/>
        </w:rPr>
        <w:t xml:space="preserve">نجد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الله تعالى </w:t>
      </w:r>
      <w:r w:rsidRPr="006571AC">
        <w:rPr>
          <w:rFonts w:ascii="Sakkal Majalla" w:hAnsi="Sakkal Majalla" w:cs="AL-Mohanad" w:hint="cs"/>
          <w:sz w:val="27"/>
          <w:szCs w:val="27"/>
          <w:rtl/>
        </w:rPr>
        <w:t>فرض</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هل الكتاب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ق</w:t>
      </w:r>
      <w:r w:rsidRPr="006571AC">
        <w:rPr>
          <w:rFonts w:cs="AL-Mohanad" w:hint="cs"/>
          <w:sz w:val="27"/>
          <w:szCs w:val="27"/>
          <w:rtl/>
        </w:rPr>
        <w:t>ي</w:t>
      </w:r>
      <w:r w:rsidRPr="006571AC">
        <w:rPr>
          <w:rFonts w:ascii="Sakkal Majalla" w:hAnsi="Sakkal Majalla" w:cs="AL-Mohanad" w:hint="cs"/>
          <w:sz w:val="27"/>
          <w:szCs w:val="27"/>
          <w:rtl/>
        </w:rPr>
        <w:t>موا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Pr="006571AC">
        <w:rPr>
          <w:rFonts w:cs="AL-Mohanad" w:hint="cs"/>
          <w:sz w:val="27"/>
          <w:szCs w:val="27"/>
          <w:rtl/>
        </w:rPr>
        <w:t>ي</w:t>
      </w:r>
      <w:r w:rsidRPr="006571AC">
        <w:rPr>
          <w:rFonts w:ascii="Sakkal Majalla" w:hAnsi="Sakkal Majalla" w:cs="AL-Mohanad" w:hint="cs"/>
          <w:sz w:val="27"/>
          <w:szCs w:val="27"/>
          <w:rtl/>
        </w:rPr>
        <w:t xml:space="preserve">ن: </w:t>
      </w:r>
      <w:r w:rsidRPr="006571AC">
        <w:rPr>
          <w:rFonts w:ascii="Sakkal Majalla" w:hAnsi="Sakkal Majalla" w:cs="AL-Mohanad" w:hint="cs"/>
          <w:b/>
          <w:bCs/>
          <w:sz w:val="27"/>
          <w:szCs w:val="27"/>
          <w:rtl/>
        </w:rPr>
        <w:t>الأو</w:t>
      </w:r>
      <w:r w:rsidR="000F5B7C"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التوراة وال</w:t>
      </w:r>
      <w:r w:rsidR="000F5B7C" w:rsidRPr="006571AC">
        <w:rPr>
          <w:rFonts w:ascii="Sakkal Majalla" w:hAnsi="Sakkal Majalla" w:cs="AL-Mohanad" w:hint="cs"/>
          <w:sz w:val="27"/>
          <w:szCs w:val="27"/>
          <w:rtl/>
        </w:rPr>
        <w:t>إ</w:t>
      </w:r>
      <w:r w:rsidRPr="006571AC">
        <w:rPr>
          <w:rFonts w:ascii="Sakkal Majalla" w:hAnsi="Sakkal Majalla" w:cs="AL-Mohanad"/>
          <w:sz w:val="27"/>
          <w:szCs w:val="27"/>
          <w:rtl/>
        </w:rPr>
        <w:t>نج</w:t>
      </w:r>
      <w:r w:rsidRPr="006571AC">
        <w:rPr>
          <w:rFonts w:cs="AL-Mohanad" w:hint="cs"/>
          <w:sz w:val="27"/>
          <w:szCs w:val="27"/>
          <w:rtl/>
        </w:rPr>
        <w:t>ي</w:t>
      </w:r>
      <w:r w:rsidRPr="006571AC">
        <w:rPr>
          <w:rFonts w:ascii="Sakkal Majalla" w:hAnsi="Sakkal Majalla" w:cs="AL-Mohanad" w:hint="cs"/>
          <w:sz w:val="27"/>
          <w:szCs w:val="27"/>
          <w:rtl/>
        </w:rPr>
        <w:t>ل</w:t>
      </w:r>
      <w:r w:rsidR="000F5B7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hint="cs"/>
          <w:b/>
          <w:bCs/>
          <w:sz w:val="27"/>
          <w:szCs w:val="27"/>
          <w:rtl/>
        </w:rPr>
        <w:t>الثاني</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ما أنزل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 xml:space="preserve">هم.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sz w:val="27"/>
          <w:szCs w:val="27"/>
          <w:rtl/>
        </w:rPr>
        <w:t xml:space="preserve">وبذلك </w:t>
      </w:r>
      <w:r w:rsidRPr="006571AC">
        <w:rPr>
          <w:rFonts w:cs="AL-Mohanad" w:hint="cs"/>
          <w:sz w:val="27"/>
          <w:szCs w:val="27"/>
          <w:rtl/>
        </w:rPr>
        <w:t>ي</w:t>
      </w:r>
      <w:r w:rsidRPr="006571AC">
        <w:rPr>
          <w:rFonts w:ascii="Sakkal Majalla" w:hAnsi="Sakkal Majalla" w:cs="AL-Mohanad" w:hint="cs"/>
          <w:sz w:val="27"/>
          <w:szCs w:val="27"/>
          <w:rtl/>
        </w:rPr>
        <w:t>ظهر أ</w:t>
      </w:r>
      <w:r w:rsidRPr="006571AC">
        <w:rPr>
          <w:rFonts w:ascii="Sakkal Majalla" w:hAnsi="Sakkal Majalla" w:cs="AL-Mohanad"/>
          <w:sz w:val="27"/>
          <w:szCs w:val="27"/>
          <w:rtl/>
        </w:rPr>
        <w:t>نّ قوله تعالى</w:t>
      </w:r>
      <w:r w:rsidR="000F5B7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000F5B7C"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نزل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hint="cs"/>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غ</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الكتب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السماو</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Theme="majorHAnsi" w:hAnsiTheme="majorHAnsi" w:cs="AL-Mohanad"/>
          <w:rtl/>
          <w:lang w:bidi="ar"/>
        </w:rPr>
        <w:t>«</w:t>
      </w:r>
      <w:r w:rsidRPr="006571AC">
        <w:rPr>
          <w:rFonts w:ascii="Sakkal Majalla" w:hAnsi="Sakkal Majalla" w:cs="AL-Mohanad"/>
          <w:sz w:val="27"/>
          <w:szCs w:val="27"/>
          <w:rtl/>
        </w:rPr>
        <w:t>التوراة وال</w:t>
      </w:r>
      <w:r w:rsidR="000F5B7C" w:rsidRPr="006571AC">
        <w:rPr>
          <w:rFonts w:ascii="Sakkal Majalla" w:hAnsi="Sakkal Majalla" w:cs="AL-Mohanad" w:hint="cs"/>
          <w:sz w:val="27"/>
          <w:szCs w:val="27"/>
          <w:rtl/>
        </w:rPr>
        <w:t>إ</w:t>
      </w:r>
      <w:r w:rsidRPr="006571AC">
        <w:rPr>
          <w:rFonts w:ascii="Sakkal Majalla" w:hAnsi="Sakkal Majalla" w:cs="AL-Mohanad"/>
          <w:sz w:val="27"/>
          <w:szCs w:val="27"/>
          <w:rtl/>
        </w:rPr>
        <w:t>نج</w:t>
      </w:r>
      <w:r w:rsidRPr="006571AC">
        <w:rPr>
          <w:rFonts w:cs="AL-Mohanad" w:hint="cs"/>
          <w:sz w:val="27"/>
          <w:szCs w:val="27"/>
          <w:rtl/>
        </w:rPr>
        <w:t>ي</w:t>
      </w:r>
      <w:r w:rsidRPr="006571AC">
        <w:rPr>
          <w:rFonts w:ascii="Sakkal Majalla" w:hAnsi="Sakkal Majalla" w:cs="AL-Mohanad" w:hint="cs"/>
          <w:sz w:val="27"/>
          <w:szCs w:val="27"/>
          <w:rtl/>
        </w:rPr>
        <w:t>ل</w:t>
      </w:r>
      <w:r w:rsidRPr="006571AC">
        <w:rPr>
          <w:rFonts w:asciiTheme="majorHAnsi" w:hAnsiTheme="majorHAnsi" w:cs="AL-Mohanad"/>
          <w:rtl/>
        </w:rPr>
        <w:t>»</w:t>
      </w:r>
      <w:r w:rsidR="000F5B7C" w:rsidRPr="006571AC">
        <w:rPr>
          <w:rFonts w:ascii="Sakkal Majalla" w:hAnsi="Sakkal Majalla" w:cs="AL-Mohanad" w:hint="cs"/>
          <w:sz w:val="27"/>
          <w:szCs w:val="27"/>
          <w:rtl/>
        </w:rPr>
        <w:t xml:space="preserve">؛ </w:t>
      </w:r>
      <w:r w:rsidR="00DB1986" w:rsidRPr="006571AC">
        <w:rPr>
          <w:rFonts w:ascii="Sakkal Majalla" w:hAnsi="Sakkal Majalla" w:cs="AL-Mohanad" w:hint="cs"/>
          <w:b/>
          <w:bCs/>
          <w:sz w:val="27"/>
          <w:szCs w:val="27"/>
          <w:rtl/>
        </w:rPr>
        <w:t>أوّلاً</w:t>
      </w:r>
      <w:r w:rsidR="00DB1986" w:rsidRPr="006571AC">
        <w:rPr>
          <w:rFonts w:ascii="Sakkal Majalla" w:hAnsi="Sakkal Majalla" w:cs="AL-Mohanad" w:hint="cs"/>
          <w:sz w:val="27"/>
          <w:szCs w:val="27"/>
          <w:rtl/>
        </w:rPr>
        <w:t xml:space="preserve">: </w:t>
      </w:r>
      <w:r w:rsidRPr="006571AC">
        <w:rPr>
          <w:rFonts w:ascii="Sakkal Majalla" w:hAnsi="Sakkal Majalla" w:cs="AL-Mohanad"/>
          <w:sz w:val="27"/>
          <w:szCs w:val="27"/>
          <w:rtl/>
        </w:rPr>
        <w:t>لضرورة</w:t>
      </w:r>
      <w:r w:rsidRPr="006571AC">
        <w:rPr>
          <w:rFonts w:ascii="Sakkal Majalla" w:hAnsi="Sakkal Majalla" w:cs="AL-Mohanad" w:hint="cs"/>
          <w:sz w:val="27"/>
          <w:szCs w:val="27"/>
          <w:rtl/>
        </w:rPr>
        <w:t xml:space="preserve"> وجود</w:t>
      </w:r>
      <w:r w:rsidRPr="006571AC">
        <w:rPr>
          <w:rFonts w:ascii="Sakkal Majalla" w:hAnsi="Sakkal Majalla" w:cs="AL-Mohanad"/>
          <w:sz w:val="27"/>
          <w:szCs w:val="27"/>
          <w:rtl/>
        </w:rPr>
        <w:t xml:space="preserve"> ال</w:t>
      </w:r>
      <w:r w:rsidR="000F5B7C" w:rsidRPr="006571AC">
        <w:rPr>
          <w:rFonts w:ascii="Sakkal Majalla" w:hAnsi="Sakkal Majalla" w:cs="AL-Mohanad" w:hint="cs"/>
          <w:sz w:val="27"/>
          <w:szCs w:val="27"/>
          <w:rtl/>
        </w:rPr>
        <w:t>ا</w:t>
      </w:r>
      <w:r w:rsidRPr="006571AC">
        <w:rPr>
          <w:rFonts w:ascii="Sakkal Majalla" w:hAnsi="Sakkal Majalla" w:cs="AL-Mohanad"/>
          <w:sz w:val="27"/>
          <w:szCs w:val="27"/>
          <w:rtl/>
        </w:rPr>
        <w:t>ختلاف ب</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المعطوف</w:t>
      </w:r>
      <w:r w:rsidRPr="006571AC">
        <w:rPr>
          <w:rFonts w:ascii="Sakkal Majalla" w:hAnsi="Sakkal Majalla" w:cs="AL-Mohanad"/>
          <w:sz w:val="27"/>
          <w:szCs w:val="27"/>
          <w:rtl/>
        </w:rPr>
        <w:t xml:space="preserve"> والمعطوف </w:t>
      </w:r>
      <w:r w:rsidR="000F5B7C" w:rsidRPr="006571AC">
        <w:rPr>
          <w:rFonts w:ascii="Sakkal Majalla" w:hAnsi="Sakkal Majalla" w:cs="AL-Mohanad" w:hint="cs"/>
          <w:sz w:val="27"/>
          <w:szCs w:val="27"/>
          <w:rtl/>
        </w:rPr>
        <w:t>ع</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لم </w:t>
      </w:r>
      <w:r w:rsidRPr="006571AC">
        <w:rPr>
          <w:rFonts w:cs="AL-Mohanad" w:hint="cs"/>
          <w:sz w:val="27"/>
          <w:szCs w:val="27"/>
          <w:rtl/>
        </w:rPr>
        <w:t>ي</w:t>
      </w:r>
      <w:r w:rsidRPr="006571AC">
        <w:rPr>
          <w:rFonts w:ascii="Sakkal Majalla" w:hAnsi="Sakkal Majalla" w:cs="AL-Mohanad" w:hint="cs"/>
          <w:sz w:val="27"/>
          <w:szCs w:val="27"/>
          <w:rtl/>
        </w:rPr>
        <w:t>كن</w:t>
      </w:r>
      <w:r w:rsidRPr="006571AC">
        <w:rPr>
          <w:rFonts w:ascii="Sakkal Majalla" w:hAnsi="Sakkal Majalla" w:cs="AL-Mohanad"/>
          <w:sz w:val="27"/>
          <w:szCs w:val="27"/>
          <w:rtl/>
        </w:rPr>
        <w:t xml:space="preserve"> المعطوف مب</w:t>
      </w:r>
      <w:r w:rsidRPr="006571AC">
        <w:rPr>
          <w:rFonts w:cs="AL-Mohanad" w:hint="cs"/>
          <w:sz w:val="27"/>
          <w:szCs w:val="27"/>
          <w:rtl/>
        </w:rPr>
        <w:t>ي</w:t>
      </w:r>
      <w:r w:rsidRPr="006571AC">
        <w:rPr>
          <w:rFonts w:ascii="Sakkal Majalla" w:hAnsi="Sakkal Majalla" w:cs="AL-Mohanad" w:hint="cs"/>
          <w:sz w:val="27"/>
          <w:szCs w:val="27"/>
          <w:rtl/>
        </w:rPr>
        <w:t>ن</w:t>
      </w:r>
      <w:r w:rsidR="000F5B7C"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ولا مخص</w:t>
      </w:r>
      <w:r w:rsidR="000F5B7C" w:rsidRPr="006571AC">
        <w:rPr>
          <w:rFonts w:ascii="Sakkal Majalla" w:hAnsi="Sakkal Majalla" w:cs="AL-Mohanad" w:hint="cs"/>
          <w:sz w:val="27"/>
          <w:szCs w:val="27"/>
          <w:rtl/>
        </w:rPr>
        <w:t>ِّ</w:t>
      </w:r>
      <w:r w:rsidRPr="006571AC">
        <w:rPr>
          <w:rFonts w:ascii="Sakkal Majalla" w:hAnsi="Sakkal Majalla" w:cs="AL-Mohanad"/>
          <w:sz w:val="27"/>
          <w:szCs w:val="27"/>
          <w:rtl/>
        </w:rPr>
        <w:t xml:space="preserve">صاً للمعطوف </w:t>
      </w:r>
      <w:r w:rsidR="000F5B7C" w:rsidRPr="006571AC">
        <w:rPr>
          <w:rFonts w:ascii="Sakkal Majalla" w:hAnsi="Sakkal Majalla" w:cs="AL-Mohanad" w:hint="cs"/>
          <w:sz w:val="27"/>
          <w:szCs w:val="27"/>
          <w:rtl/>
        </w:rPr>
        <w:t>ع</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 xml:space="preserve">ه. </w:t>
      </w:r>
    </w:p>
    <w:p w:rsidR="005D05A4" w:rsidRPr="006571AC" w:rsidRDefault="000F5B7C" w:rsidP="00B41BA0">
      <w:pPr>
        <w:pStyle w:val="af"/>
        <w:rPr>
          <w:rFonts w:ascii="Sakkal Majalla" w:hAnsi="Sakkal Majalla" w:cs="AL-Mohanad"/>
          <w:sz w:val="27"/>
          <w:szCs w:val="27"/>
          <w:rtl/>
        </w:rPr>
      </w:pPr>
      <w:r w:rsidRPr="006571AC">
        <w:rPr>
          <w:rFonts w:ascii="Sakkal Majalla" w:hAnsi="Sakkal Majalla" w:cs="AL-Mohanad" w:hint="cs"/>
          <w:b/>
          <w:bCs/>
          <w:sz w:val="27"/>
          <w:szCs w:val="27"/>
          <w:rtl/>
        </w:rPr>
        <w:t>و</w:t>
      </w:r>
      <w:r w:rsidR="005D05A4" w:rsidRPr="006571AC">
        <w:rPr>
          <w:rFonts w:ascii="Sakkal Majalla" w:hAnsi="Sakkal Majalla" w:cs="AL-Mohanad" w:hint="cs"/>
          <w:b/>
          <w:bCs/>
          <w:sz w:val="27"/>
          <w:szCs w:val="27"/>
          <w:rtl/>
        </w:rPr>
        <w:t>ثان</w:t>
      </w:r>
      <w:r w:rsidR="005D05A4" w:rsidRPr="006571AC">
        <w:rPr>
          <w:rFonts w:cs="AL-Mohanad" w:hint="cs"/>
          <w:b/>
          <w:bCs/>
          <w:sz w:val="27"/>
          <w:szCs w:val="27"/>
          <w:rtl/>
        </w:rPr>
        <w:t>ي</w:t>
      </w:r>
      <w:r w:rsidR="005D05A4" w:rsidRPr="006571AC">
        <w:rPr>
          <w:rFonts w:ascii="Sakkal Majalla" w:hAnsi="Sakkal Majalla" w:cs="AL-Mohanad" w:hint="cs"/>
          <w:b/>
          <w:bCs/>
          <w:sz w:val="27"/>
          <w:szCs w:val="27"/>
          <w:rtl/>
        </w:rPr>
        <w:t>اً</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xml:space="preserve">لو كان </w:t>
      </w:r>
      <w:r w:rsidR="005D05A4" w:rsidRPr="006571AC">
        <w:rPr>
          <w:rFonts w:ascii="Sakkal Majalla" w:hAnsi="Sakkal Majalla" w:cs="AL-Mohanad"/>
          <w:rtl/>
        </w:rPr>
        <w:t>«</w:t>
      </w:r>
      <w:r w:rsidR="005D05A4" w:rsidRPr="006571AC">
        <w:rPr>
          <w:rFonts w:ascii="Sakkal Majalla" w:hAnsi="Sakkal Majalla" w:cs="AL-Mohanad"/>
          <w:sz w:val="27"/>
          <w:szCs w:val="27"/>
          <w:rtl/>
        </w:rPr>
        <w:t xml:space="preserve">ما </w:t>
      </w:r>
      <w:r w:rsidR="005D05A4" w:rsidRPr="006571AC">
        <w:rPr>
          <w:rFonts w:ascii="Sakkal Majalla" w:hAnsi="Sakkal Majalla" w:cs="AL-Mohanad" w:hint="cs"/>
          <w:sz w:val="27"/>
          <w:szCs w:val="27"/>
          <w:rtl/>
        </w:rPr>
        <w:t>أ</w:t>
      </w:r>
      <w:r w:rsidR="00DB1986"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نزل </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ل</w:t>
      </w:r>
      <w:r w:rsidR="005D05A4" w:rsidRPr="006571AC">
        <w:rPr>
          <w:rFonts w:cs="AL-Mohanad" w:hint="cs"/>
          <w:sz w:val="27"/>
          <w:szCs w:val="27"/>
          <w:rtl/>
        </w:rPr>
        <w:t>ي</w:t>
      </w:r>
      <w:r w:rsidR="005D05A4" w:rsidRPr="006571AC">
        <w:rPr>
          <w:rFonts w:ascii="Sakkal Majalla" w:hAnsi="Sakkal Majalla" w:cs="AL-Mohanad" w:hint="cs"/>
          <w:sz w:val="27"/>
          <w:szCs w:val="27"/>
          <w:rtl/>
        </w:rPr>
        <w:t>هم</w:t>
      </w:r>
      <w:r w:rsidR="005D05A4" w:rsidRPr="006571AC">
        <w:rPr>
          <w:rFonts w:ascii="Sakkal Majalla" w:hAnsi="Sakkal Majalla" w:cs="AL-Mohanad" w:hint="cs"/>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هو</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كل</w:t>
      </w:r>
      <w:r w:rsidR="00DB1986"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جاء</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 xml:space="preserve">في </w:t>
      </w:r>
      <w:r w:rsidR="005D05A4" w:rsidRPr="006571AC">
        <w:rPr>
          <w:rFonts w:ascii="Sakkal Majalla" w:hAnsi="Sakkal Majalla" w:cs="AL-Mohanad"/>
          <w:sz w:val="27"/>
          <w:szCs w:val="27"/>
          <w:rtl/>
        </w:rPr>
        <w:t>هذه الكتب السماو</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للزم من ذلك</w:t>
      </w:r>
      <w:r w:rsidR="005D05A4" w:rsidRPr="006571AC">
        <w:rPr>
          <w:rFonts w:ascii="Sakkal Majalla" w:hAnsi="Sakkal Majalla" w:cs="AL-Mohanad"/>
          <w:sz w:val="27"/>
          <w:szCs w:val="27"/>
          <w:rtl/>
        </w:rPr>
        <w:t xml:space="preserve"> التكرار</w:t>
      </w:r>
      <w:r w:rsidR="00DB1986"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كما لا</w:t>
      </w:r>
      <w:r w:rsidR="00DB1986" w:rsidRPr="006571AC">
        <w:rPr>
          <w:rFonts w:ascii="Sakkal Majalla" w:hAnsi="Sakkal Majalla" w:cs="AL-Mohanad" w:hint="cs"/>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مكن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 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المقصود من</w:t>
      </w:r>
      <w:r w:rsidRPr="006571AC">
        <w:rPr>
          <w:rFonts w:ascii="Sakkal Majalla" w:hAnsi="Sakkal Majalla" w:cs="AL-Mohanad" w:hint="cs"/>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 xml:space="preserve">ما </w:t>
      </w:r>
      <w:r w:rsidRPr="006571AC">
        <w:rPr>
          <w:rFonts w:ascii="Sakkal Majalla" w:hAnsi="Sakkal Majalla" w:cs="AL-Mohanad" w:hint="cs"/>
          <w:sz w:val="27"/>
          <w:szCs w:val="27"/>
          <w:rtl/>
        </w:rPr>
        <w:t>أ</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نزل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hint="cs"/>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الفقه</w:t>
      </w:r>
      <w:r w:rsidRPr="006571AC">
        <w:rPr>
          <w:rFonts w:cs="AL-Mohanad" w:hint="cs"/>
          <w:sz w:val="27"/>
          <w:szCs w:val="27"/>
          <w:rtl/>
        </w:rPr>
        <w:t>ي</w:t>
      </w:r>
      <w:r w:rsidRPr="006571AC">
        <w:rPr>
          <w:rFonts w:ascii="Sakkal Majalla" w:hAnsi="Sakkal Majalla" w:cs="AL-Mohanad" w:hint="cs"/>
          <w:sz w:val="27"/>
          <w:szCs w:val="27"/>
          <w:rtl/>
        </w:rPr>
        <w:t>ة</w:t>
      </w:r>
      <w:r w:rsidR="00DB1986" w:rsidRPr="006571AC">
        <w:rPr>
          <w:rFonts w:ascii="Sakkal Majalla" w:hAnsi="Sakkal Majalla" w:cs="AL-Mohanad" w:hint="cs"/>
          <w:sz w:val="27"/>
          <w:szCs w:val="27"/>
          <w:rtl/>
        </w:rPr>
        <w:t xml:space="preserve"> ـ كما قيل ـ،</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كالجهاد</w:t>
      </w:r>
      <w:r w:rsidRPr="006571AC">
        <w:rPr>
          <w:rFonts w:ascii="Sakkal Majalla" w:hAnsi="Sakkal Majalla" w:cs="AL-Mohanad"/>
          <w:sz w:val="27"/>
          <w:szCs w:val="27"/>
          <w:rtl/>
        </w:rPr>
        <w:t xml:space="preserve"> والحجّ </w:t>
      </w:r>
      <w:r w:rsidR="00DB1986" w:rsidRPr="006571AC">
        <w:rPr>
          <w:rFonts w:ascii="Sakkal Majalla" w:hAnsi="Sakkal Majalla" w:cs="AL-Mohanad" w:hint="cs"/>
          <w:sz w:val="27"/>
          <w:szCs w:val="27"/>
          <w:rtl/>
        </w:rPr>
        <w:t>و</w:t>
      </w:r>
      <w:r w:rsidRPr="006571AC">
        <w:rPr>
          <w:rFonts w:ascii="Sakkal Majalla" w:hAnsi="Sakkal Majalla" w:cs="AL-Mohanad"/>
          <w:sz w:val="27"/>
          <w:szCs w:val="27"/>
          <w:rtl/>
        </w:rPr>
        <w:t>غ</w:t>
      </w:r>
      <w:r w:rsidRPr="006571AC">
        <w:rPr>
          <w:rFonts w:cs="AL-Mohanad" w:hint="cs"/>
          <w:sz w:val="27"/>
          <w:szCs w:val="27"/>
          <w:rtl/>
        </w:rPr>
        <w:t>ي</w:t>
      </w:r>
      <w:r w:rsidRPr="006571AC">
        <w:rPr>
          <w:rFonts w:ascii="Sakkal Majalla" w:hAnsi="Sakkal Majalla" w:cs="AL-Mohanad" w:hint="cs"/>
          <w:sz w:val="27"/>
          <w:szCs w:val="27"/>
          <w:rtl/>
        </w:rPr>
        <w:t xml:space="preserve">رهما؛ </w:t>
      </w:r>
      <w:r w:rsidRPr="006571AC">
        <w:rPr>
          <w:rFonts w:ascii="Sakkal Majalla" w:hAnsi="Sakkal Majalla" w:cs="AL-Mohanad"/>
          <w:sz w:val="27"/>
          <w:szCs w:val="27"/>
          <w:rtl/>
        </w:rPr>
        <w:t>ل</w:t>
      </w:r>
      <w:r w:rsidRPr="006571AC">
        <w:rPr>
          <w:rFonts w:ascii="Sakkal Majalla" w:hAnsi="Sakkal Majalla" w:cs="AL-Mohanad" w:hint="cs"/>
          <w:sz w:val="27"/>
          <w:szCs w:val="27"/>
          <w:rtl/>
        </w:rPr>
        <w:t>أ</w:t>
      </w:r>
      <w:r w:rsidRPr="006571AC">
        <w:rPr>
          <w:rFonts w:ascii="Sakkal Majalla" w:hAnsi="Sakkal Majalla" w:cs="AL-Mohanad"/>
          <w:sz w:val="27"/>
          <w:szCs w:val="27"/>
          <w:rtl/>
        </w:rPr>
        <w:t>نّ جم</w:t>
      </w:r>
      <w:r w:rsidRPr="006571AC">
        <w:rPr>
          <w:rFonts w:cs="AL-Mohanad" w:hint="cs"/>
          <w:sz w:val="27"/>
          <w:szCs w:val="27"/>
          <w:rtl/>
        </w:rPr>
        <w:t>ي</w:t>
      </w:r>
      <w:r w:rsidRPr="006571AC">
        <w:rPr>
          <w:rFonts w:ascii="Sakkal Majalla" w:hAnsi="Sakkal Majalla" w:cs="AL-Mohanad" w:hint="cs"/>
          <w:sz w:val="27"/>
          <w:szCs w:val="27"/>
          <w:rtl/>
        </w:rPr>
        <w:t>ع</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قوان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w:t>
      </w:r>
      <w:r w:rsidR="00DB1986" w:rsidRPr="006571AC">
        <w:rPr>
          <w:rFonts w:ascii="Sakkal Majalla" w:hAnsi="Sakkal Majalla" w:cs="AL-Mohanad" w:hint="cs"/>
          <w:sz w:val="27"/>
          <w:szCs w:val="27"/>
          <w:rtl/>
        </w:rPr>
        <w:t>أ</w:t>
      </w:r>
      <w:r w:rsidRPr="006571AC">
        <w:rPr>
          <w:rFonts w:ascii="Sakkal Majalla" w:hAnsi="Sakkal Majalla" w:cs="AL-Mohanad"/>
          <w:sz w:val="27"/>
          <w:szCs w:val="27"/>
          <w:rtl/>
        </w:rPr>
        <w:t>حكام الد</w:t>
      </w:r>
      <w:r w:rsidRPr="006571AC">
        <w:rPr>
          <w:rFonts w:cs="AL-Mohanad" w:hint="cs"/>
          <w:sz w:val="27"/>
          <w:szCs w:val="27"/>
          <w:rtl/>
        </w:rPr>
        <w:t>ي</w:t>
      </w:r>
      <w:r w:rsidRPr="006571AC">
        <w:rPr>
          <w:rFonts w:ascii="Sakkal Majalla" w:hAnsi="Sakkal Majalla" w:cs="AL-Mohanad" w:hint="cs"/>
          <w:sz w:val="27"/>
          <w:szCs w:val="27"/>
          <w:rtl/>
        </w:rPr>
        <w:t>انة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والنصران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وتشر</w:t>
      </w:r>
      <w:r w:rsidRPr="006571AC">
        <w:rPr>
          <w:rFonts w:cs="AL-Mohanad" w:hint="cs"/>
          <w:sz w:val="27"/>
          <w:szCs w:val="27"/>
          <w:rtl/>
        </w:rPr>
        <w:t>ي</w:t>
      </w:r>
      <w:r w:rsidRPr="006571AC">
        <w:rPr>
          <w:rFonts w:ascii="Sakkal Majalla" w:hAnsi="Sakkal Majalla" w:cs="AL-Mohanad" w:hint="cs"/>
          <w:sz w:val="27"/>
          <w:szCs w:val="27"/>
          <w:rtl/>
        </w:rPr>
        <w:t>عاتهم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السماو</w:t>
      </w:r>
      <w:r w:rsidRPr="006571AC">
        <w:rPr>
          <w:rFonts w:cs="AL-Mohanad" w:hint="cs"/>
          <w:sz w:val="27"/>
          <w:szCs w:val="27"/>
          <w:rtl/>
        </w:rPr>
        <w:t>ي</w:t>
      </w:r>
      <w:r w:rsidRPr="006571AC">
        <w:rPr>
          <w:rFonts w:ascii="Sakkal Majalla" w:hAnsi="Sakkal Majalla" w:cs="AL-Mohanad" w:hint="cs"/>
          <w:sz w:val="27"/>
          <w:szCs w:val="27"/>
          <w:rtl/>
        </w:rPr>
        <w:t>ة</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الجهاد</w:t>
      </w:r>
      <w:r w:rsidRPr="006571AC">
        <w:rPr>
          <w:rFonts w:ascii="Sakkal Majalla" w:hAnsi="Sakkal Majalla" w:cs="AL-Mohanad"/>
          <w:sz w:val="27"/>
          <w:szCs w:val="27"/>
          <w:rtl/>
        </w:rPr>
        <w:t xml:space="preserve"> والحجّ</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موجودة</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كتبهم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النازلة</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فلو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المقصود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00DB1986" w:rsidRPr="006571AC">
        <w:rPr>
          <w:rFonts w:ascii="Sakkal Majalla" w:hAnsi="Sakkal Majalla" w:cs="AL-Mohanad" w:hint="cs"/>
          <w:sz w:val="27"/>
          <w:szCs w:val="27"/>
          <w:rtl/>
        </w:rPr>
        <w:t>أُ</w:t>
      </w:r>
      <w:r w:rsidRPr="006571AC">
        <w:rPr>
          <w:rFonts w:ascii="Sakkal Majalla" w:hAnsi="Sakkal Majalla" w:cs="AL-Mohanad" w:hint="cs"/>
          <w:sz w:val="27"/>
          <w:szCs w:val="27"/>
          <w:rtl/>
        </w:rPr>
        <w:t>نزل</w:t>
      </w:r>
      <w:r w:rsidRPr="006571AC">
        <w:rPr>
          <w:rFonts w:ascii="Sakkal Majalla" w:hAnsi="Sakkal Majalla" w:cs="AL-Mohanad"/>
          <w:sz w:val="27"/>
          <w:szCs w:val="27"/>
          <w:rtl/>
        </w:rPr>
        <w:t xml:space="preserve"> </w:t>
      </w:r>
      <w:r w:rsidR="00DB1986" w:rsidRPr="006571AC">
        <w:rPr>
          <w:rFonts w:ascii="Sakkal Majalla" w:hAnsi="Sakkal Majalla" w:cs="AL-Mohanad" w:hint="cs"/>
          <w:sz w:val="27"/>
          <w:szCs w:val="27"/>
          <w:rtl/>
        </w:rPr>
        <w:t>إ</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hint="cs"/>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الجزئ</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للزم التكرار منها</w:t>
      </w:r>
      <w:r w:rsidRPr="006571AC">
        <w:rPr>
          <w:rFonts w:ascii="Sakkal Majalla" w:hAnsi="Sakkal Majalla" w:cs="AL-Mohanad" w:hint="cs"/>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lastRenderedPageBreak/>
        <w:t>وبناء</w:t>
      </w:r>
      <w:r w:rsidRPr="006571AC">
        <w:rPr>
          <w:rFonts w:ascii="Sakkal Majalla" w:hAnsi="Sakkal Majalla" w:cs="AL-Mohanad" w:hint="cs"/>
          <w:sz w:val="27"/>
          <w:szCs w:val="27"/>
          <w:rtl/>
        </w:rPr>
        <w:t>ً</w:t>
      </w:r>
      <w:r w:rsidR="00F450F3"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على </w:t>
      </w:r>
      <w:r w:rsidRPr="006571AC">
        <w:rPr>
          <w:rFonts w:ascii="Sakkal Majalla" w:hAnsi="Sakkal Majalla" w:cs="AL-Mohanad" w:hint="cs"/>
          <w:sz w:val="27"/>
          <w:szCs w:val="27"/>
          <w:rtl/>
        </w:rPr>
        <w:t>ما تقد</w:t>
      </w:r>
      <w:r w:rsidR="00F450F3" w:rsidRPr="006571AC">
        <w:rPr>
          <w:rFonts w:ascii="Sakkal Majalla" w:hAnsi="Sakkal Majalla" w:cs="AL-Mohanad" w:hint="cs"/>
          <w:sz w:val="27"/>
          <w:szCs w:val="27"/>
          <w:rtl/>
        </w:rPr>
        <w:t>َّ</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نستط</w:t>
      </w:r>
      <w:r w:rsidRPr="006571AC">
        <w:rPr>
          <w:rFonts w:cs="AL-Mohanad" w:hint="cs"/>
          <w:sz w:val="27"/>
          <w:szCs w:val="27"/>
          <w:rtl/>
        </w:rPr>
        <w:t>ي</w:t>
      </w:r>
      <w:r w:rsidRPr="006571AC">
        <w:rPr>
          <w:rFonts w:ascii="Sakkal Majalla" w:hAnsi="Sakkal Majalla" w:cs="AL-Mohanad" w:hint="cs"/>
          <w:sz w:val="27"/>
          <w:szCs w:val="27"/>
          <w:rtl/>
        </w:rPr>
        <w:t>ع</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بدلالة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w:t>
      </w:r>
      <w:r w:rsidRPr="006571AC">
        <w:rPr>
          <w:rFonts w:cs="AL-Mohanad" w:hint="cs"/>
          <w:sz w:val="27"/>
          <w:szCs w:val="27"/>
          <w:rtl/>
        </w:rPr>
        <w:t>ي</w:t>
      </w:r>
      <w:r w:rsidRPr="006571AC">
        <w:rPr>
          <w:rFonts w:ascii="Sakkal Majalla" w:hAnsi="Sakkal Majalla" w:cs="AL-Mohanad" w:hint="cs"/>
          <w:sz w:val="27"/>
          <w:szCs w:val="27"/>
          <w:rtl/>
        </w:rPr>
        <w:t>اق</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ن</w:t>
      </w:r>
      <w:r w:rsidRPr="006571AC">
        <w:rPr>
          <w:rFonts w:ascii="Sakkal Majalla" w:hAnsi="Sakkal Majalla" w:cs="AL-Mohanad" w:hint="cs"/>
          <w:sz w:val="27"/>
          <w:szCs w:val="27"/>
          <w:rtl/>
        </w:rPr>
        <w:t>د</w:t>
      </w:r>
      <w:r w:rsidR="00F450F3" w:rsidRPr="006571AC">
        <w:rPr>
          <w:rFonts w:ascii="Sakkal Majalla" w:hAnsi="Sakkal Majalla" w:cs="AL-Mohanad" w:hint="cs"/>
          <w:sz w:val="27"/>
          <w:szCs w:val="27"/>
          <w:rtl/>
        </w:rPr>
        <w:t>َّ</w:t>
      </w:r>
      <w:r w:rsidRPr="006571AC">
        <w:rPr>
          <w:rFonts w:ascii="Sakkal Majalla" w:hAnsi="Sakkal Majalla" w:cs="AL-Mohanad" w:hint="cs"/>
          <w:sz w:val="27"/>
          <w:szCs w:val="27"/>
          <w:rtl/>
        </w:rPr>
        <w:t>عي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ما </w:t>
      </w:r>
      <w:r w:rsidRPr="006571AC">
        <w:rPr>
          <w:rFonts w:ascii="Sakkal Majalla" w:hAnsi="Sakkal Majalla" w:cs="AL-Mohanad" w:hint="cs"/>
          <w:sz w:val="27"/>
          <w:szCs w:val="27"/>
          <w:rtl/>
        </w:rPr>
        <w:t>أ</w:t>
      </w:r>
      <w:r w:rsidRPr="006571AC">
        <w:rPr>
          <w:rFonts w:ascii="Sakkal Majalla" w:hAnsi="Sakkal Majalla" w:cs="AL-Mohanad"/>
          <w:sz w:val="27"/>
          <w:szCs w:val="27"/>
          <w:rtl/>
        </w:rPr>
        <w:t>راده الله سبحانه من قوله</w:t>
      </w:r>
      <w:r w:rsidR="00F450F3"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م</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w:t>
      </w:r>
      <w:r w:rsidRPr="006571AC">
        <w:rPr>
          <w:rFonts w:ascii="Mosawi" w:hAnsi="Mosawi" w:cs="Mosawi"/>
          <w:rtl/>
        </w:rPr>
        <w:t>﴾</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sz w:val="27"/>
          <w:szCs w:val="27"/>
          <w:rtl/>
        </w:rPr>
        <w:t xml:space="preserve"> </w:t>
      </w:r>
      <w:r w:rsidR="00F450F3" w:rsidRPr="006571AC">
        <w:rPr>
          <w:rFonts w:ascii="Sakkal Majalla" w:hAnsi="Sakkal Majalla" w:cs="AL-Mohanad" w:hint="cs"/>
          <w:sz w:val="27"/>
          <w:szCs w:val="27"/>
          <w:rtl/>
        </w:rPr>
        <w:t>ال</w:t>
      </w:r>
      <w:r w:rsidRPr="006571AC">
        <w:rPr>
          <w:rFonts w:ascii="Sakkal Majalla" w:hAnsi="Sakkal Majalla" w:cs="AL-Mohanad" w:hint="cs"/>
          <w:sz w:val="27"/>
          <w:szCs w:val="27"/>
          <w:rtl/>
        </w:rPr>
        <w:t>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67</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سورة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المائدة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مراً غ</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القرآن الكر</w:t>
      </w:r>
      <w:r w:rsidRPr="006571AC">
        <w:rPr>
          <w:rFonts w:cs="AL-Mohanad" w:hint="cs"/>
          <w:sz w:val="27"/>
          <w:szCs w:val="27"/>
          <w:rtl/>
        </w:rPr>
        <w:t>ي</w:t>
      </w:r>
      <w:r w:rsidRPr="006571AC">
        <w:rPr>
          <w:rFonts w:ascii="Sakkal Majalla" w:hAnsi="Sakkal Majalla" w:cs="AL-Mohanad" w:hint="cs"/>
          <w:sz w:val="27"/>
          <w:szCs w:val="27"/>
          <w:rtl/>
        </w:rPr>
        <w:t xml:space="preserve">م، </w:t>
      </w:r>
      <w:r w:rsidRPr="006571AC">
        <w:rPr>
          <w:rFonts w:ascii="Sakkal Majalla" w:hAnsi="Sakkal Majalla" w:cs="AL-Mohanad"/>
          <w:sz w:val="27"/>
          <w:szCs w:val="27"/>
          <w:rtl/>
        </w:rPr>
        <w:t xml:space="preserve">بل هو </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مهم</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آخر </w:t>
      </w:r>
      <w:r w:rsidRPr="006571AC">
        <w:rPr>
          <w:rFonts w:cs="AL-Mohanad" w:hint="cs"/>
          <w:sz w:val="27"/>
          <w:szCs w:val="27"/>
          <w:rtl/>
        </w:rPr>
        <w:t>ي</w:t>
      </w:r>
      <w:r w:rsidRPr="006571AC">
        <w:rPr>
          <w:rFonts w:ascii="Sakkal Majalla" w:hAnsi="Sakkal Majalla" w:cs="AL-Mohanad" w:hint="cs"/>
          <w:sz w:val="27"/>
          <w:szCs w:val="27"/>
          <w:rtl/>
        </w:rPr>
        <w:t>عادل</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ساو</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القرآن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نّه سبحانه </w:t>
      </w:r>
      <w:r w:rsidRPr="006571AC">
        <w:rPr>
          <w:rFonts w:ascii="Sakkal Majalla" w:hAnsi="Sakkal Majalla" w:cs="AL-Mohanad" w:hint="cs"/>
          <w:sz w:val="27"/>
          <w:szCs w:val="27"/>
          <w:rtl/>
        </w:rPr>
        <w:t>أ</w:t>
      </w:r>
      <w:r w:rsidRPr="006571AC">
        <w:rPr>
          <w:rFonts w:ascii="Sakkal Majalla" w:hAnsi="Sakkal Majalla" w:cs="AL-Mohanad"/>
          <w:sz w:val="27"/>
          <w:szCs w:val="27"/>
          <w:rtl/>
        </w:rPr>
        <w:t>مر نب</w:t>
      </w:r>
      <w:r w:rsidRPr="006571AC">
        <w:rPr>
          <w:rFonts w:cs="AL-Mohanad" w:hint="cs"/>
          <w:sz w:val="27"/>
          <w:szCs w:val="27"/>
          <w:rtl/>
        </w:rPr>
        <w:t>ي</w:t>
      </w:r>
      <w:r w:rsidR="00F450F3" w:rsidRPr="006571AC">
        <w:rPr>
          <w:rFonts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دعوا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الناس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وحذّ</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ره من التهاون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تبل</w:t>
      </w:r>
      <w:r w:rsidRPr="006571AC">
        <w:rPr>
          <w:rFonts w:cs="AL-Mohanad" w:hint="cs"/>
          <w:sz w:val="27"/>
          <w:szCs w:val="27"/>
          <w:rtl/>
        </w:rPr>
        <w:t>ي</w:t>
      </w:r>
      <w:r w:rsidRPr="006571AC">
        <w:rPr>
          <w:rFonts w:ascii="Sakkal Majalla" w:hAnsi="Sakkal Majalla" w:cs="AL-Mohanad" w:hint="cs"/>
          <w:sz w:val="27"/>
          <w:szCs w:val="27"/>
          <w:rtl/>
        </w:rPr>
        <w:t>غه</w:t>
      </w:r>
      <w:r w:rsidRPr="006571AC">
        <w:rPr>
          <w:rFonts w:ascii="Sakkal Majalla" w:hAnsi="Sakkal Majalla" w:cs="AL-Mohanad"/>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sz w:val="27"/>
          <w:szCs w:val="27"/>
          <w:rtl/>
        </w:rPr>
        <w:t>وبذلك</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ظهر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لك</w:t>
      </w:r>
      <w:r w:rsidRPr="006571AC">
        <w:rPr>
          <w:rFonts w:ascii="Sakkal Majalla" w:hAnsi="Sakkal Majalla" w:cs="AL-Mohanad"/>
          <w:sz w:val="27"/>
          <w:szCs w:val="27"/>
          <w:rtl/>
        </w:rPr>
        <w:t xml:space="preserve"> عدم صحّة ما ق</w:t>
      </w:r>
      <w:r w:rsidRPr="006571AC">
        <w:rPr>
          <w:rFonts w:cs="AL-Mohanad" w:hint="cs"/>
          <w:sz w:val="27"/>
          <w:szCs w:val="27"/>
          <w:rtl/>
        </w:rPr>
        <w:t>ي</w:t>
      </w:r>
      <w:r w:rsidRPr="006571AC">
        <w:rPr>
          <w:rFonts w:ascii="Sakkal Majalla" w:hAnsi="Sakkal Majalla" w:cs="AL-Mohanad" w:hint="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تفس</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قوله</w:t>
      </w:r>
      <w:r w:rsidR="00F450F3"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م</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w:t>
      </w:r>
      <w:r w:rsidRPr="006571AC">
        <w:rPr>
          <w:rFonts w:ascii="Mosawi" w:hAnsi="Mosawi" w:cs="Mosawi"/>
          <w:rtl/>
        </w:rPr>
        <w:t>﴾</w:t>
      </w:r>
      <w:r w:rsidRPr="006571AC">
        <w:rPr>
          <w:rFonts w:ascii="Sakkal Majalla" w:hAnsi="Sakkal Majalla" w:cs="AL-Mohanad"/>
          <w:sz w:val="27"/>
          <w:szCs w:val="27"/>
          <w:rtl/>
        </w:rPr>
        <w:t xml:space="preserve"> من </w:t>
      </w:r>
      <w:r w:rsidRPr="006571AC">
        <w:rPr>
          <w:rFonts w:ascii="Sakkal Majalla" w:hAnsi="Sakkal Majalla" w:cs="AL-Mohanad" w:hint="cs"/>
          <w:sz w:val="27"/>
          <w:szCs w:val="27"/>
          <w:rtl/>
        </w:rPr>
        <w:t>أ</w:t>
      </w:r>
      <w:r w:rsidRPr="006571AC">
        <w:rPr>
          <w:rFonts w:ascii="Sakkal Majalla" w:hAnsi="Sakkal Majalla" w:cs="AL-Mohanad"/>
          <w:sz w:val="27"/>
          <w:szCs w:val="27"/>
          <w:rtl/>
        </w:rPr>
        <w:t>نّ المقصود بها هو 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الد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الجهاد </w:t>
      </w:r>
      <w:r w:rsidR="00F450F3"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الحجّ </w:t>
      </w:r>
      <w:r w:rsidRPr="006571AC">
        <w:rPr>
          <w:rFonts w:ascii="Sakkal Majalla" w:hAnsi="Sakkal Majalla" w:cs="AL-Mohanad" w:hint="cs"/>
          <w:sz w:val="27"/>
          <w:szCs w:val="27"/>
          <w:rtl/>
        </w:rPr>
        <w:t>أ</w:t>
      </w:r>
      <w:r w:rsidRPr="006571AC">
        <w:rPr>
          <w:rFonts w:ascii="Sakkal Majalla" w:hAnsi="Sakkal Majalla" w:cs="AL-Mohanad"/>
          <w:sz w:val="27"/>
          <w:szCs w:val="27"/>
          <w:rtl/>
        </w:rPr>
        <w:t>و غ</w:t>
      </w:r>
      <w:r w:rsidRPr="006571AC">
        <w:rPr>
          <w:rFonts w:cs="AL-Mohanad" w:hint="cs"/>
          <w:sz w:val="27"/>
          <w:szCs w:val="27"/>
          <w:rtl/>
        </w:rPr>
        <w:t>ي</w:t>
      </w:r>
      <w:r w:rsidRPr="006571AC">
        <w:rPr>
          <w:rFonts w:ascii="Sakkal Majalla" w:hAnsi="Sakkal Majalla" w:cs="AL-Mohanad" w:hint="cs"/>
          <w:sz w:val="27"/>
          <w:szCs w:val="27"/>
          <w:rtl/>
        </w:rPr>
        <w:t>رها</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لأ</w:t>
      </w:r>
      <w:r w:rsidRPr="006571AC">
        <w:rPr>
          <w:rFonts w:ascii="Sakkal Majalla" w:hAnsi="Sakkal Majalla" w:cs="AL-Mohanad"/>
          <w:sz w:val="27"/>
          <w:szCs w:val="27"/>
          <w:rtl/>
        </w:rPr>
        <w:t>نّ 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تعتبر جزء</w:t>
      </w:r>
      <w:r w:rsidR="00F450F3" w:rsidRPr="006571AC">
        <w:rPr>
          <w:rFonts w:ascii="Sakkal Majalla" w:hAnsi="Sakkal Majalla" w:cs="AL-Mohanad" w:hint="cs"/>
          <w:sz w:val="27"/>
          <w:szCs w:val="27"/>
          <w:rtl/>
        </w:rPr>
        <w:t>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من القر</w:t>
      </w:r>
      <w:r w:rsidR="00F450F3" w:rsidRPr="006571AC">
        <w:rPr>
          <w:rFonts w:ascii="Sakkal Majalla" w:hAnsi="Sakkal Majalla" w:cs="AL-Mohanad" w:hint="cs"/>
          <w:sz w:val="27"/>
          <w:szCs w:val="27"/>
          <w:rtl/>
        </w:rPr>
        <w:t>آ</w:t>
      </w:r>
      <w:r w:rsidRPr="006571AC">
        <w:rPr>
          <w:rFonts w:ascii="Sakkal Majalla" w:hAnsi="Sakkal Majalla" w:cs="AL-Mohanad"/>
          <w:sz w:val="27"/>
          <w:szCs w:val="27"/>
          <w:rtl/>
        </w:rPr>
        <w:t>ن الكر</w:t>
      </w:r>
      <w:r w:rsidRPr="006571AC">
        <w:rPr>
          <w:rFonts w:cs="AL-Mohanad" w:hint="cs"/>
          <w:sz w:val="27"/>
          <w:szCs w:val="27"/>
          <w:rtl/>
        </w:rPr>
        <w:t>ي</w:t>
      </w:r>
      <w:r w:rsidRPr="006571AC">
        <w:rPr>
          <w:rFonts w:ascii="Sakkal Majalla" w:hAnsi="Sakkal Majalla" w:cs="AL-Mohanad" w:hint="cs"/>
          <w:sz w:val="27"/>
          <w:szCs w:val="27"/>
          <w:rtl/>
        </w:rPr>
        <w:t>م</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وقد تب</w:t>
      </w:r>
      <w:r w:rsidRPr="006571AC">
        <w:rPr>
          <w:rFonts w:cs="AL-Mohanad" w:hint="cs"/>
          <w:sz w:val="27"/>
          <w:szCs w:val="27"/>
          <w:rtl/>
        </w:rPr>
        <w:t>ي</w:t>
      </w:r>
      <w:r w:rsidRPr="006571AC">
        <w:rPr>
          <w:rFonts w:ascii="Sakkal Majalla" w:hAnsi="Sakkal Majalla" w:cs="AL-Mohanad" w:hint="cs"/>
          <w:sz w:val="27"/>
          <w:szCs w:val="27"/>
          <w:rtl/>
        </w:rPr>
        <w:t>ن</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بدلالة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w:t>
      </w:r>
      <w:r w:rsidRPr="006571AC">
        <w:rPr>
          <w:rFonts w:cs="AL-Mohanad" w:hint="cs"/>
          <w:sz w:val="27"/>
          <w:szCs w:val="27"/>
          <w:rtl/>
        </w:rPr>
        <w:t>ي</w:t>
      </w:r>
      <w:r w:rsidRPr="006571AC">
        <w:rPr>
          <w:rFonts w:ascii="Sakkal Majalla" w:hAnsi="Sakkal Majalla" w:cs="AL-Mohanad" w:hint="cs"/>
          <w:sz w:val="27"/>
          <w:szCs w:val="27"/>
          <w:rtl/>
        </w:rPr>
        <w:t>اق</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نّه </w:t>
      </w:r>
      <w:r w:rsidR="00731867" w:rsidRPr="006571AC">
        <w:rPr>
          <w:rFonts w:ascii="Sakkal Majalla" w:hAnsi="Sakkal Majalla" w:cs="AL-Mohanad"/>
          <w:sz w:val="27"/>
          <w:szCs w:val="27"/>
          <w:rtl/>
        </w:rPr>
        <w:t>لا بُدَّ</w:t>
      </w:r>
      <w:r w:rsidRPr="006571AC">
        <w:rPr>
          <w:rFonts w:ascii="Sakkal Majalla" w:hAnsi="Sakkal Majalla" w:cs="AL-Mohanad"/>
          <w:sz w:val="27"/>
          <w:szCs w:val="27"/>
          <w:rtl/>
        </w:rPr>
        <w:t xml:space="preserve"> </w:t>
      </w:r>
      <w:r w:rsidR="00F450F3"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 xml:space="preserve">كون </w:t>
      </w:r>
      <w:r w:rsidRPr="006571AC">
        <w:rPr>
          <w:rFonts w:ascii="Mosawi" w:hAnsi="Mosawi" w:cs="Mosawi"/>
          <w:rtl/>
        </w:rPr>
        <w:t>﴿</w:t>
      </w:r>
      <w:r w:rsidRPr="006571AC">
        <w:rPr>
          <w:rFonts w:ascii="Sakkal Majalla" w:hAnsi="Sakkal Majalla" w:cs="AL-Mohanad"/>
          <w:b/>
          <w:bCs/>
          <w:sz w:val="27"/>
          <w:szCs w:val="27"/>
          <w:rtl/>
        </w:rPr>
        <w:t>م</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w:t>
      </w:r>
      <w:r w:rsidRPr="006571AC">
        <w:rPr>
          <w:rFonts w:ascii="Mosawi" w:hAnsi="Mosawi" w:cs="Mosawi"/>
          <w:rtl/>
        </w:rPr>
        <w:t>﴾</w:t>
      </w:r>
      <w:r w:rsidRPr="006571AC">
        <w:rPr>
          <w:rFonts w:ascii="Sakkal Majalla" w:hAnsi="Sakkal Majalla" w:cs="AL-Mohanad"/>
          <w:sz w:val="27"/>
          <w:szCs w:val="27"/>
          <w:rtl/>
        </w:rPr>
        <w:t xml:space="preserve"> موضوعاً خارجاً عن </w:t>
      </w:r>
      <w:r w:rsidRPr="006571AC">
        <w:rPr>
          <w:rFonts w:ascii="Sakkal Majalla" w:hAnsi="Sakkal Majalla" w:cs="AL-Mohanad" w:hint="cs"/>
          <w:sz w:val="27"/>
          <w:szCs w:val="27"/>
          <w:rtl/>
        </w:rPr>
        <w:t>إ</w:t>
      </w:r>
      <w:r w:rsidRPr="006571AC">
        <w:rPr>
          <w:rFonts w:ascii="Sakkal Majalla" w:hAnsi="Sakkal Majalla" w:cs="AL-Mohanad"/>
          <w:sz w:val="27"/>
          <w:szCs w:val="27"/>
          <w:rtl/>
        </w:rPr>
        <w:t>طار القر</w:t>
      </w:r>
      <w:r w:rsidR="00F450F3" w:rsidRPr="006571AC">
        <w:rPr>
          <w:rFonts w:ascii="Sakkal Majalla" w:hAnsi="Sakkal Majalla" w:cs="AL-Mohanad" w:hint="cs"/>
          <w:sz w:val="27"/>
          <w:szCs w:val="27"/>
          <w:rtl/>
        </w:rPr>
        <w:t>آ</w:t>
      </w:r>
      <w:r w:rsidRPr="006571AC">
        <w:rPr>
          <w:rFonts w:ascii="Sakkal Majalla" w:hAnsi="Sakkal Majalla" w:cs="AL-Mohanad"/>
          <w:sz w:val="27"/>
          <w:szCs w:val="27"/>
          <w:rtl/>
        </w:rPr>
        <w:t>ن، مساوٍ له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الشرف</w:t>
      </w:r>
      <w:r w:rsidRPr="006571AC">
        <w:rPr>
          <w:rFonts w:ascii="Sakkal Majalla" w:hAnsi="Sakkal Majalla" w:cs="AL-Mohanad"/>
          <w:sz w:val="27"/>
          <w:szCs w:val="27"/>
          <w:rtl/>
        </w:rPr>
        <w:t xml:space="preserve"> والمنزلة والعظمة.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ولكن</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w:t>
      </w:r>
      <w:r w:rsidRPr="006571AC">
        <w:rPr>
          <w:rFonts w:ascii="Sakkal Majalla" w:hAnsi="Sakkal Majalla" w:cs="AL-Mohanad" w:hint="cs"/>
          <w:sz w:val="27"/>
          <w:szCs w:val="27"/>
          <w:rtl/>
        </w:rPr>
        <w:t xml:space="preserve">هو الأمر </w:t>
      </w:r>
      <w:r w:rsidRPr="006571AC">
        <w:rPr>
          <w:rFonts w:ascii="Sakkal Majalla" w:hAnsi="Sakkal Majalla" w:cs="AL-Mohanad"/>
          <w:sz w:val="27"/>
          <w:szCs w:val="27"/>
          <w:rtl/>
        </w:rPr>
        <w:t>الذ</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عادل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w:t>
      </w:r>
      <w:r w:rsidR="00A4041C" w:rsidRPr="006571AC">
        <w:rPr>
          <w:rFonts w:ascii="Sakkal Majalla" w:hAnsi="Sakkal Majalla" w:cs="AL-Mohanad" w:hint="cs"/>
          <w:sz w:val="27"/>
          <w:szCs w:val="27"/>
          <w:rtl/>
        </w:rPr>
        <w:t>آ</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ساو</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الشرف والمنزلة والعظمة؟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sz w:val="27"/>
          <w:szCs w:val="27"/>
          <w:rtl/>
        </w:rPr>
        <w:t>في الواقع إ</w:t>
      </w:r>
      <w:r w:rsidRPr="006571AC">
        <w:rPr>
          <w:rFonts w:ascii="Sakkal Majalla" w:hAnsi="Sakkal Majalla" w:cs="AL-Mohanad"/>
          <w:sz w:val="27"/>
          <w:szCs w:val="27"/>
          <w:rtl/>
        </w:rPr>
        <w:t>ذا راجعنا ال</w:t>
      </w:r>
      <w:r w:rsidRPr="006571AC">
        <w:rPr>
          <w:rFonts w:ascii="Sakkal Majalla" w:hAnsi="Sakkal Majalla" w:cs="AL-Mohanad" w:hint="cs"/>
          <w:sz w:val="27"/>
          <w:szCs w:val="27"/>
          <w:rtl/>
        </w:rPr>
        <w:t>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الشر</w:t>
      </w:r>
      <w:r w:rsidRPr="006571AC">
        <w:rPr>
          <w:rFonts w:cs="AL-Mohanad" w:hint="cs"/>
          <w:sz w:val="27"/>
          <w:szCs w:val="27"/>
          <w:rtl/>
        </w:rPr>
        <w:t>ي</w:t>
      </w:r>
      <w:r w:rsidRPr="006571AC">
        <w:rPr>
          <w:rFonts w:ascii="Sakkal Majalla" w:hAnsi="Sakkal Majalla" w:cs="AL-Mohanad" w:hint="cs"/>
          <w:sz w:val="27"/>
          <w:szCs w:val="27"/>
          <w:rtl/>
        </w:rPr>
        <w:t>فة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قالها رسول الله</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عترته و</w:t>
      </w:r>
      <w:r w:rsidRPr="006571AC">
        <w:rPr>
          <w:rFonts w:ascii="Sakkal Majalla" w:hAnsi="Sakkal Majalla" w:cs="AL-Mohanad" w:hint="cs"/>
          <w:sz w:val="27"/>
          <w:szCs w:val="27"/>
          <w:rtl/>
        </w:rPr>
        <w:t>أ</w:t>
      </w:r>
      <w:r w:rsidRPr="006571AC">
        <w:rPr>
          <w:rFonts w:ascii="Sakkal Majalla" w:hAnsi="Sakkal Majalla" w:cs="AL-Mohanad"/>
          <w:sz w:val="27"/>
          <w:szCs w:val="27"/>
          <w:rtl/>
        </w:rPr>
        <w:t>هل ب</w:t>
      </w:r>
      <w:r w:rsidRPr="006571AC">
        <w:rPr>
          <w:rFonts w:cs="AL-Mohanad" w:hint="cs"/>
          <w:sz w:val="27"/>
          <w:szCs w:val="27"/>
          <w:rtl/>
        </w:rPr>
        <w:t>ي</w:t>
      </w:r>
      <w:r w:rsidRPr="006571AC">
        <w:rPr>
          <w:rFonts w:ascii="Sakkal Majalla" w:hAnsi="Sakkal Majalla" w:cs="AL-Mohanad" w:hint="cs"/>
          <w:sz w:val="27"/>
          <w:szCs w:val="27"/>
          <w:rtl/>
        </w:rPr>
        <w:t>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الطاهر</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صلوات الله عل</w:t>
      </w:r>
      <w:r w:rsidRPr="006571AC">
        <w:rPr>
          <w:rFonts w:cs="AL-Mohanad" w:hint="cs"/>
          <w:sz w:val="27"/>
          <w:szCs w:val="27"/>
          <w:rtl/>
        </w:rPr>
        <w:t>ي</w:t>
      </w:r>
      <w:r w:rsidRPr="006571AC">
        <w:rPr>
          <w:rFonts w:ascii="Sakkal Majalla" w:hAnsi="Sakkal Majalla" w:cs="AL-Mohanad" w:hint="cs"/>
          <w:sz w:val="27"/>
          <w:szCs w:val="27"/>
          <w:rtl/>
        </w:rPr>
        <w:t>هم أجمع</w:t>
      </w:r>
      <w:r w:rsidRPr="006571AC">
        <w:rPr>
          <w:rFonts w:cs="AL-Mohanad" w:hint="cs"/>
          <w:sz w:val="27"/>
          <w:szCs w:val="27"/>
          <w:rtl/>
        </w:rPr>
        <w:t>ي</w:t>
      </w:r>
      <w:r w:rsidRPr="006571AC">
        <w:rPr>
          <w:rFonts w:ascii="Sakkal Majalla" w:hAnsi="Sakkal Majalla" w:cs="AL-Mohanad" w:hint="cs"/>
          <w:sz w:val="27"/>
          <w:szCs w:val="27"/>
          <w:rtl/>
        </w:rPr>
        <w:t>ن</w:t>
      </w:r>
      <w:r w:rsidR="00A4041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w:t>
      </w:r>
      <w:r w:rsidRPr="006571AC">
        <w:rPr>
          <w:rFonts w:ascii="Sakkal Majalla" w:hAnsi="Sakkal Majalla" w:cs="AL-Mohanad"/>
          <w:sz w:val="27"/>
          <w:szCs w:val="27"/>
          <w:rtl/>
        </w:rPr>
        <w:t>أع</w:t>
      </w:r>
      <w:r w:rsidRPr="006571AC">
        <w:rPr>
          <w:rFonts w:ascii="Sakkal Majalla" w:hAnsi="Sakkal Majalla" w:cs="AL-Mohanad" w:hint="cs"/>
          <w:sz w:val="27"/>
          <w:szCs w:val="27"/>
          <w:rtl/>
        </w:rPr>
        <w:t>ني</w:t>
      </w:r>
      <w:r w:rsidRPr="006571AC">
        <w:rPr>
          <w:rFonts w:ascii="Sakkal Majalla" w:hAnsi="Sakkal Majalla" w:cs="AL-Mohanad"/>
          <w:sz w:val="27"/>
          <w:szCs w:val="27"/>
          <w:rtl/>
        </w:rPr>
        <w:t xml:space="preserve"> بالذات 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الثقل</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ـ </w:t>
      </w:r>
      <w:r w:rsidRPr="006571AC">
        <w:rPr>
          <w:rFonts w:ascii="Sakkal Majalla" w:hAnsi="Sakkal Majalla" w:cs="AL-Mohanad"/>
          <w:sz w:val="27"/>
          <w:szCs w:val="27"/>
          <w:rtl/>
        </w:rPr>
        <w:t>المشهور</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بل </w:t>
      </w:r>
      <w:r w:rsidRPr="006571AC">
        <w:rPr>
          <w:rFonts w:ascii="Sakkal Majalla" w:hAnsi="Sakkal Majalla" w:cs="AL-Mohanad"/>
          <w:sz w:val="27"/>
          <w:szCs w:val="27"/>
          <w:rtl/>
        </w:rPr>
        <w:t>المتواتر عند الش</w:t>
      </w:r>
      <w:r w:rsidRPr="006571AC">
        <w:rPr>
          <w:rFonts w:cs="AL-Mohanad" w:hint="cs"/>
          <w:sz w:val="27"/>
          <w:szCs w:val="27"/>
          <w:rtl/>
        </w:rPr>
        <w:t>ي</w:t>
      </w:r>
      <w:r w:rsidRPr="006571AC">
        <w:rPr>
          <w:rFonts w:ascii="Sakkal Majalla" w:hAnsi="Sakkal Majalla" w:cs="AL-Mohanad" w:hint="cs"/>
          <w:sz w:val="27"/>
          <w:szCs w:val="27"/>
          <w:rtl/>
        </w:rPr>
        <w:t>عة</w:t>
      </w:r>
      <w:r w:rsidRPr="006571AC">
        <w:rPr>
          <w:rFonts w:ascii="Sakkal Majalla" w:hAnsi="Sakkal Majalla" w:cs="AL-Mohanad"/>
          <w:sz w:val="27"/>
          <w:szCs w:val="27"/>
          <w:rtl/>
        </w:rPr>
        <w:t xml:space="preserve"> والسن</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ة</w:t>
      </w:r>
      <w:r w:rsidRPr="006571AC">
        <w:rPr>
          <w:rFonts w:ascii="Sakkal Majalla" w:hAnsi="Sakkal Majalla" w:cs="AL-Mohanad" w:hint="cs"/>
          <w:sz w:val="27"/>
          <w:szCs w:val="27"/>
          <w:rtl/>
        </w:rPr>
        <w:t xml:space="preserve"> ـ</w:t>
      </w:r>
      <w:r w:rsidR="00A4041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لوج</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د</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نا جواب هذا السؤال</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نر</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نّه</w:t>
      </w:r>
      <w:r w:rsidR="002A2C90" w:rsidRPr="006571AC">
        <w:rPr>
          <w:rFonts w:ascii="Mosawi" w:hAnsi="Mosawi" w:cs="Mosawi"/>
          <w:sz w:val="22"/>
          <w:szCs w:val="22"/>
          <w:rtl/>
        </w:rPr>
        <w:t>|</w:t>
      </w:r>
      <w:r w:rsidRPr="006571AC">
        <w:rPr>
          <w:rFonts w:ascii="Sakkal Majalla" w:hAnsi="Sakkal Majalla" w:cs="AL-Mohanad"/>
          <w:sz w:val="27"/>
          <w:szCs w:val="27"/>
          <w:rtl/>
        </w:rPr>
        <w:t xml:space="preserve"> جعل </w:t>
      </w:r>
      <w:r w:rsidRPr="006571AC">
        <w:rPr>
          <w:rFonts w:ascii="Sakkal Majalla" w:hAnsi="Sakkal Majalla" w:cs="AL-Mohanad" w:hint="cs"/>
          <w:sz w:val="27"/>
          <w:szCs w:val="27"/>
          <w:rtl/>
        </w:rPr>
        <w:t>أ</w:t>
      </w:r>
      <w:r w:rsidRPr="006571AC">
        <w:rPr>
          <w:rFonts w:ascii="Sakkal Majalla" w:hAnsi="Sakkal Majalla" w:cs="AL-Mohanad"/>
          <w:sz w:val="27"/>
          <w:szCs w:val="27"/>
          <w:rtl/>
        </w:rPr>
        <w:t>هل ب</w:t>
      </w:r>
      <w:r w:rsidRPr="006571AC">
        <w:rPr>
          <w:rFonts w:cs="AL-Mohanad" w:hint="cs"/>
          <w:sz w:val="27"/>
          <w:szCs w:val="27"/>
          <w:rtl/>
        </w:rPr>
        <w:t>ي</w:t>
      </w:r>
      <w:r w:rsidRPr="006571AC">
        <w:rPr>
          <w:rFonts w:ascii="Sakkal Majalla" w:hAnsi="Sakkal Majalla" w:cs="AL-Mohanad" w:hint="cs"/>
          <w:sz w:val="27"/>
          <w:szCs w:val="27"/>
          <w:rtl/>
        </w:rPr>
        <w:t>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صلوات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w:t>
      </w:r>
      <w:r w:rsidR="00A4041C"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00A4041C" w:rsidRPr="006571AC">
        <w:rPr>
          <w:rFonts w:ascii="Sakkal Majalla" w:hAnsi="Sakkal Majalla" w:cs="AL-Mohanad" w:hint="cs"/>
          <w:sz w:val="27"/>
          <w:szCs w:val="27"/>
          <w:rtl/>
        </w:rPr>
        <w:t>ْ</w:t>
      </w:r>
      <w:r w:rsidRPr="006571AC">
        <w:rPr>
          <w:rFonts w:ascii="Sakkal Majalla" w:hAnsi="Sakkal Majalla" w:cs="AL-Mohanad" w:hint="cs"/>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للقرآن</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فقال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هم</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sz w:val="27"/>
          <w:szCs w:val="27"/>
          <w:rtl/>
        </w:rPr>
        <w:t>إنّي أوشك أن أ</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دعى فأجيب، وإنّي‏ تارك</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فيكم‏ الثّ</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ق</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ل</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ين‏</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كتاب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حبل</w:t>
      </w:r>
      <w:r w:rsidR="00A4041C" w:rsidRPr="006571AC">
        <w:rPr>
          <w:rFonts w:ascii="Sakkal Majalla" w:hAnsi="Sakkal Majalla" w:cs="AL-Mohanad" w:hint="cs"/>
          <w:sz w:val="27"/>
          <w:szCs w:val="27"/>
          <w:rtl/>
        </w:rPr>
        <w:t>ٌ</w:t>
      </w:r>
      <w:r w:rsidR="00A4041C" w:rsidRPr="006571AC">
        <w:rPr>
          <w:rFonts w:ascii="Sakkal Majalla" w:hAnsi="Sakkal Majalla" w:cs="AL-Mohanad"/>
          <w:sz w:val="27"/>
          <w:szCs w:val="27"/>
          <w:rtl/>
        </w:rPr>
        <w:t xml:space="preserve"> ممدود من الس</w:t>
      </w:r>
      <w:r w:rsidRPr="006571AC">
        <w:rPr>
          <w:rFonts w:ascii="Sakkal Majalla" w:hAnsi="Sakkal Majalla" w:cs="AL-Mohanad"/>
          <w:sz w:val="27"/>
          <w:szCs w:val="27"/>
          <w:rtl/>
        </w:rPr>
        <w:t>ماء إلى الأرض</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وعترتي أهل بيتي، وإنّ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طيف الخبير أخبرني أنهما لم يفترقا حت</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ى ي</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ر</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دا عل</w:t>
      </w:r>
      <w:r w:rsidRPr="006571AC">
        <w:rPr>
          <w:rFonts w:ascii="Sakkal Majalla" w:hAnsi="Sakkal Majalla" w:cs="AL-Mohanad" w:hint="cs"/>
          <w:sz w:val="27"/>
          <w:szCs w:val="27"/>
          <w:rtl/>
        </w:rPr>
        <w:t>يّ</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الحوض، فانظروا ب</w:t>
      </w:r>
      <w:r w:rsidR="00A3543E"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تخلفوني فيهما</w:t>
      </w:r>
      <w:r w:rsidRPr="006571AC">
        <w:rPr>
          <w:rFonts w:ascii="Sakkal Majalla" w:hAnsi="Sakkal Majalla" w:cs="AL-Mohanad"/>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40"/>
      </w:r>
      <w:r w:rsidRPr="006571AC">
        <w:rPr>
          <w:rFonts w:ascii="Sakkal Majalla" w:hAnsi="Sakkal Majalla" w:cs="AL-Mohanad"/>
          <w:sz w:val="27"/>
          <w:szCs w:val="27"/>
          <w:vertAlign w:val="superscript"/>
          <w:rtl/>
        </w:rPr>
        <w:t>)</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فجعل</w:t>
      </w:r>
      <w:r w:rsidR="002A2C90" w:rsidRPr="006571AC">
        <w:rPr>
          <w:rFonts w:ascii="Mosawi" w:hAnsi="Mosawi" w:cs="Mosawi"/>
          <w:sz w:val="22"/>
          <w:szCs w:val="22"/>
          <w:rtl/>
        </w:rPr>
        <w:t>|</w:t>
      </w:r>
      <w:r w:rsidRPr="006571AC">
        <w:rPr>
          <w:rFonts w:ascii="Sakkal Majalla" w:hAnsi="Sakkal Majalla" w:cs="AL-Mohanad"/>
          <w:sz w:val="27"/>
          <w:szCs w:val="27"/>
          <w:rtl/>
        </w:rPr>
        <w:t xml:space="preserve"> الهدا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ن</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التمس</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وال</w:t>
      </w:r>
      <w:r w:rsidRPr="006571AC">
        <w:rPr>
          <w:rFonts w:ascii="Sakkal Majalla" w:hAnsi="Sakkal Majalla" w:cs="AL-Mohanad" w:hint="cs"/>
          <w:sz w:val="27"/>
          <w:szCs w:val="27"/>
          <w:rtl/>
        </w:rPr>
        <w:t>إ</w:t>
      </w:r>
      <w:r w:rsidRPr="006571AC">
        <w:rPr>
          <w:rFonts w:cs="AL-Mohanad" w:hint="cs"/>
          <w:sz w:val="27"/>
          <w:szCs w:val="27"/>
          <w:rtl/>
        </w:rPr>
        <w:t>ي</w:t>
      </w:r>
      <w:r w:rsidRPr="006571AC">
        <w:rPr>
          <w:rFonts w:ascii="Sakkal Majalla" w:hAnsi="Sakkal Majalla" w:cs="AL-Mohanad" w:hint="cs"/>
          <w:sz w:val="27"/>
          <w:szCs w:val="27"/>
          <w:rtl/>
        </w:rPr>
        <w:t>مان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معاً، وقال: </w:t>
      </w:r>
      <w:r w:rsidR="00A3543E"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نّهما لن </w:t>
      </w:r>
      <w:r w:rsidRPr="006571AC">
        <w:rPr>
          <w:rFonts w:cs="AL-Mohanad" w:hint="cs"/>
          <w:sz w:val="27"/>
          <w:szCs w:val="27"/>
          <w:rtl/>
        </w:rPr>
        <w:t>ي</w:t>
      </w:r>
      <w:r w:rsidRPr="006571AC">
        <w:rPr>
          <w:rFonts w:ascii="Sakkal Majalla" w:hAnsi="Sakkal Majalla" w:cs="AL-Mohanad" w:hint="cs"/>
          <w:sz w:val="27"/>
          <w:szCs w:val="27"/>
          <w:rtl/>
        </w:rPr>
        <w:t>فترقا</w:t>
      </w:r>
      <w:r w:rsidRPr="006571AC">
        <w:rPr>
          <w:rFonts w:ascii="Sakkal Majalla" w:hAnsi="Sakkal Majalla" w:cs="AL-Mohanad"/>
          <w:sz w:val="27"/>
          <w:szCs w:val="27"/>
          <w:rtl/>
        </w:rPr>
        <w:t xml:space="preserve"> حت</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Pr="006571AC">
        <w:rPr>
          <w:rFonts w:cs="AL-Mohanad" w:hint="cs"/>
          <w:sz w:val="27"/>
          <w:szCs w:val="27"/>
          <w:rtl/>
        </w:rPr>
        <w:t>ي</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الحوض. ولو دق</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قنا أيضاً على إ</w:t>
      </w:r>
      <w:r w:rsidRPr="006571AC">
        <w:rPr>
          <w:rFonts w:ascii="Sakkal Majalla" w:hAnsi="Sakkal Majalla" w:cs="AL-Mohanad"/>
          <w:sz w:val="27"/>
          <w:szCs w:val="27"/>
          <w:rtl/>
        </w:rPr>
        <w:t>صراره</w:t>
      </w:r>
      <w:r w:rsidR="002A2C90" w:rsidRPr="006571AC">
        <w:rPr>
          <w:rFonts w:ascii="Mosawi" w:hAnsi="Mosawi" w:cs="Mosawi"/>
          <w:sz w:val="22"/>
          <w:szCs w:val="22"/>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تأكيده المبالغ على أ</w:t>
      </w:r>
      <w:r w:rsidRPr="006571AC">
        <w:rPr>
          <w:rFonts w:ascii="Sakkal Majalla" w:hAnsi="Sakkal Majalla" w:cs="AL-Mohanad"/>
          <w:sz w:val="27"/>
          <w:szCs w:val="27"/>
          <w:rtl/>
        </w:rPr>
        <w:t>نّ الهدا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تتحق</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003C2639" w:rsidRPr="006571AC">
        <w:rPr>
          <w:rFonts w:ascii="Sakkal Majalla" w:hAnsi="Sakkal Majalla" w:cs="AL-Mohanad"/>
          <w:sz w:val="27"/>
          <w:szCs w:val="27"/>
          <w:rtl/>
        </w:rPr>
        <w:t>لاّ</w:t>
      </w:r>
      <w:r w:rsidRPr="006571AC">
        <w:rPr>
          <w:rFonts w:ascii="Sakkal Majalla" w:hAnsi="Sakkal Majalla" w:cs="AL-Mohanad"/>
          <w:sz w:val="27"/>
          <w:szCs w:val="27"/>
          <w:rtl/>
        </w:rPr>
        <w:t xml:space="preserve"> بالتمس</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ك بال</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00E06390" w:rsidRPr="006571AC">
        <w:rPr>
          <w:rFonts w:ascii="Sakkal Majalla" w:hAnsi="Sakkal Majalla" w:cs="AL-Mohanad" w:hint="cs"/>
          <w:sz w:val="27"/>
          <w:szCs w:val="27"/>
          <w:rtl/>
        </w:rPr>
        <w:t>َ</w:t>
      </w:r>
      <w:r w:rsidRPr="006571AC">
        <w:rPr>
          <w:rFonts w:cs="AL-Mohanad" w:hint="cs"/>
          <w:sz w:val="27"/>
          <w:szCs w:val="27"/>
          <w:rtl/>
        </w:rPr>
        <w:t>ي</w:t>
      </w:r>
      <w:r w:rsidR="00E06390" w:rsidRPr="006571AC">
        <w:rPr>
          <w:rFonts w:ascii="Sakkal Majalla" w:hAnsi="Sakkal Majalla" w:cs="AL-Mohanad" w:hint="cs"/>
          <w:sz w:val="27"/>
          <w:szCs w:val="27"/>
          <w:rtl/>
        </w:rPr>
        <w:t>ْ</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معاً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يت</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ضح لنا أنّ ما أراده الله تعالى من قوله </w:t>
      </w:r>
      <w:r w:rsidRPr="006571AC">
        <w:rPr>
          <w:rFonts w:ascii="Mosawi" w:hAnsi="Mosawi" w:cs="Mosawi"/>
          <w:rtl/>
        </w:rPr>
        <w:t>﴿</w:t>
      </w:r>
      <w:r w:rsidRPr="006571AC">
        <w:rPr>
          <w:rFonts w:ascii="Sakkal Majalla" w:hAnsi="Sakkal Majalla" w:cs="AL-Mohanad"/>
          <w:b/>
          <w:bCs/>
          <w:sz w:val="27"/>
          <w:szCs w:val="27"/>
          <w:rtl/>
        </w:rPr>
        <w:t>م</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w:t>
      </w:r>
      <w:r w:rsidRPr="006571AC">
        <w:rPr>
          <w:rFonts w:ascii="Mosawi" w:hAnsi="Mosawi" w:cs="Mosawi"/>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هو تبليغ أمر الخلافة والوصاية بعد النبي</w:t>
      </w:r>
      <w:r w:rsidR="00A3543E" w:rsidRPr="006571AC">
        <w:rPr>
          <w:rFonts w:ascii="Sakkal Majalla" w:hAnsi="Sakkal Majalla" w:cs="AL-Mohanad" w:hint="cs"/>
          <w:sz w:val="27"/>
          <w:szCs w:val="27"/>
          <w:rtl/>
        </w:rPr>
        <w:t>ّ</w:t>
      </w:r>
      <w:r w:rsidR="002A2C90" w:rsidRPr="006571AC">
        <w:rPr>
          <w:rFonts w:ascii="Mosawi" w:hAnsi="Mosawi" w:cs="Mosawi"/>
          <w:sz w:val="22"/>
          <w:szCs w:val="22"/>
          <w:rtl/>
        </w:rPr>
        <w:t>|</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وأ</w:t>
      </w:r>
      <w:r w:rsidRPr="006571AC">
        <w:rPr>
          <w:rFonts w:ascii="Sakkal Majalla" w:hAnsi="Sakkal Majalla" w:cs="AL-Mohanad"/>
          <w:sz w:val="27"/>
          <w:szCs w:val="27"/>
          <w:rtl/>
        </w:rPr>
        <w:t>نّ ال</w:t>
      </w:r>
      <w:r w:rsidRPr="006571AC">
        <w:rPr>
          <w:rFonts w:ascii="Sakkal Majalla" w:hAnsi="Sakkal Majalla" w:cs="AL-Mohanad" w:hint="cs"/>
          <w:sz w:val="27"/>
          <w:szCs w:val="27"/>
          <w:rtl/>
        </w:rPr>
        <w:t>أ</w:t>
      </w:r>
      <w:r w:rsidRPr="006571AC">
        <w:rPr>
          <w:rFonts w:ascii="Sakkal Majalla" w:hAnsi="Sakkal Majalla" w:cs="AL-Mohanad"/>
          <w:sz w:val="27"/>
          <w:szCs w:val="27"/>
          <w:rtl/>
        </w:rPr>
        <w:t>خذ بالقر</w:t>
      </w:r>
      <w:r w:rsidRPr="006571AC">
        <w:rPr>
          <w:rFonts w:ascii="Sakkal Majalla" w:hAnsi="Sakkal Majalla" w:cs="AL-Mohanad" w:hint="cs"/>
          <w:sz w:val="27"/>
          <w:szCs w:val="27"/>
          <w:rtl/>
        </w:rPr>
        <w:t>آ</w:t>
      </w:r>
      <w:r w:rsidRPr="006571AC">
        <w:rPr>
          <w:rFonts w:ascii="Sakkal Majalla" w:hAnsi="Sakkal Majalla" w:cs="AL-Mohanad"/>
          <w:sz w:val="27"/>
          <w:szCs w:val="27"/>
          <w:rtl/>
        </w:rPr>
        <w:t>ن دون العترة لا</w:t>
      </w:r>
      <w:r w:rsidR="00A3543E" w:rsidRPr="006571AC">
        <w:rPr>
          <w:rFonts w:cs="AL-Mohanad" w:hint="cs"/>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جدي</w:t>
      </w:r>
      <w:r w:rsidRPr="006571AC">
        <w:rPr>
          <w:rFonts w:ascii="Sakkal Majalla" w:hAnsi="Sakkal Majalla" w:cs="AL-Mohanad"/>
          <w:sz w:val="27"/>
          <w:szCs w:val="27"/>
          <w:rtl/>
        </w:rPr>
        <w:t xml:space="preserve"> ال</w:t>
      </w:r>
      <w:r w:rsidR="00A3543E" w:rsidRPr="006571AC">
        <w:rPr>
          <w:rFonts w:ascii="Sakkal Majalla" w:hAnsi="Sakkal Majalla" w:cs="AL-Mohanad" w:hint="cs"/>
          <w:sz w:val="27"/>
          <w:szCs w:val="27"/>
          <w:rtl/>
        </w:rPr>
        <w:t>إ</w:t>
      </w:r>
      <w:r w:rsidRPr="006571AC">
        <w:rPr>
          <w:rFonts w:ascii="Sakkal Majalla" w:hAnsi="Sakkal Majalla" w:cs="AL-Mohanad"/>
          <w:sz w:val="27"/>
          <w:szCs w:val="27"/>
          <w:rtl/>
        </w:rPr>
        <w:t>نسان ن</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ف</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عاً</w:t>
      </w:r>
      <w:r w:rsidRPr="006571AC">
        <w:rPr>
          <w:rFonts w:ascii="Sakkal Majalla" w:hAnsi="Sakkal Majalla" w:cs="AL-Mohanad" w:hint="cs"/>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كما </w:t>
      </w:r>
      <w:r w:rsidRPr="006571AC">
        <w:rPr>
          <w:rFonts w:ascii="Sakkal Majalla" w:hAnsi="Sakkal Majalla" w:cs="AL-Mohanad" w:hint="cs"/>
          <w:sz w:val="27"/>
          <w:szCs w:val="27"/>
          <w:rtl/>
        </w:rPr>
        <w:t>أ</w:t>
      </w:r>
      <w:r w:rsidRPr="006571AC">
        <w:rPr>
          <w:rFonts w:ascii="Sakkal Majalla" w:hAnsi="Sakkal Majalla" w:cs="AL-Mohanad"/>
          <w:sz w:val="27"/>
          <w:szCs w:val="27"/>
          <w:rtl/>
        </w:rPr>
        <w:t>نّ ال</w:t>
      </w:r>
      <w:r w:rsidRPr="006571AC">
        <w:rPr>
          <w:rFonts w:ascii="Sakkal Majalla" w:hAnsi="Sakkal Majalla" w:cs="AL-Mohanad" w:hint="cs"/>
          <w:sz w:val="27"/>
          <w:szCs w:val="27"/>
          <w:rtl/>
        </w:rPr>
        <w:t>أ</w:t>
      </w:r>
      <w:r w:rsidRPr="006571AC">
        <w:rPr>
          <w:rFonts w:ascii="Sakkal Majalla" w:hAnsi="Sakkal Majalla" w:cs="AL-Mohanad"/>
          <w:sz w:val="27"/>
          <w:szCs w:val="27"/>
          <w:rtl/>
        </w:rPr>
        <w:t>كل من نعم الله تعالى وخ</w:t>
      </w:r>
      <w:r w:rsidRPr="006571AC">
        <w:rPr>
          <w:rFonts w:cs="AL-Mohanad" w:hint="cs"/>
          <w:sz w:val="27"/>
          <w:szCs w:val="27"/>
          <w:rtl/>
        </w:rPr>
        <w:t>ي</w:t>
      </w:r>
      <w:r w:rsidRPr="006571AC">
        <w:rPr>
          <w:rFonts w:ascii="Sakkal Majalla" w:hAnsi="Sakkal Majalla" w:cs="AL-Mohanad" w:hint="cs"/>
          <w:sz w:val="27"/>
          <w:szCs w:val="27"/>
          <w:rtl/>
        </w:rPr>
        <w:t>راته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 قوله</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416CB9" w:rsidRPr="006571AC">
        <w:rPr>
          <w:rFonts w:ascii="Mosawi" w:hAnsi="Mosawi" w:cs="Mosawi"/>
          <w:rtl/>
        </w:rPr>
        <w:t>﴿</w:t>
      </w:r>
      <w:r w:rsidR="00416CB9" w:rsidRPr="006571AC">
        <w:rPr>
          <w:rFonts w:cs="AL-Mohanad"/>
          <w:b/>
          <w:bCs/>
          <w:sz w:val="27"/>
          <w:szCs w:val="27"/>
          <w:rtl/>
        </w:rPr>
        <w:t>لأَكَلُوا مِنْ فَوْقِهِمْ وَمِنْ تَحْتِ أَرْجُلِهِمْ</w:t>
      </w:r>
      <w:r w:rsidR="00416CB9" w:rsidRPr="006571AC">
        <w:rPr>
          <w:rFonts w:ascii="Mosawi" w:hAnsi="Mosawi" w:cs="Mosawi"/>
          <w:rtl/>
        </w:rPr>
        <w:t>﴾</w:t>
      </w:r>
      <w:r w:rsidRPr="006571AC">
        <w:rPr>
          <w:rFonts w:ascii="Sakkal Majalla" w:hAnsi="Sakkal Majalla" w:cs="AL-Mohanad"/>
          <w:sz w:val="27"/>
          <w:szCs w:val="27"/>
          <w:rtl/>
        </w:rPr>
        <w:t xml:space="preserve"> مشروط</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قامة </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Pr="006571AC">
        <w:rPr>
          <w:rFonts w:cs="AL-Mohanad" w:hint="cs"/>
          <w:sz w:val="27"/>
          <w:szCs w:val="27"/>
          <w:rtl/>
        </w:rPr>
        <w:t>ي</w:t>
      </w:r>
      <w:r w:rsidRPr="006571AC">
        <w:rPr>
          <w:rFonts w:ascii="Sakkal Majalla" w:hAnsi="Sakkal Majalla" w:cs="AL-Mohanad" w:hint="cs"/>
          <w:sz w:val="27"/>
          <w:szCs w:val="27"/>
          <w:rtl/>
        </w:rPr>
        <w:t>ن</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b/>
          <w:bCs/>
          <w:sz w:val="27"/>
          <w:szCs w:val="27"/>
          <w:rtl/>
        </w:rPr>
        <w:t>الأ</w:t>
      </w:r>
      <w:r w:rsidRPr="006571AC">
        <w:rPr>
          <w:rFonts w:ascii="Sakkal Majalla" w:hAnsi="Sakkal Majalla" w:cs="AL-Mohanad"/>
          <w:b/>
          <w:bCs/>
          <w:sz w:val="27"/>
          <w:szCs w:val="27"/>
          <w:rtl/>
        </w:rPr>
        <w:t>و</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Pr="006571AC">
        <w:rPr>
          <w:rFonts w:ascii="Sakkal Majalla" w:hAnsi="Sakkal Majalla" w:cs="AL-Mohanad"/>
          <w:sz w:val="27"/>
          <w:szCs w:val="27"/>
          <w:rtl/>
        </w:rPr>
        <w:t>: كتاب</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التوراة وال</w:t>
      </w:r>
      <w:r w:rsidRPr="006571AC">
        <w:rPr>
          <w:rFonts w:ascii="Sakkal Majalla" w:hAnsi="Sakkal Majalla" w:cs="AL-Mohanad" w:hint="cs"/>
          <w:sz w:val="27"/>
          <w:szCs w:val="27"/>
          <w:rtl/>
        </w:rPr>
        <w:t>إ</w:t>
      </w:r>
      <w:r w:rsidRPr="006571AC">
        <w:rPr>
          <w:rFonts w:ascii="Sakkal Majalla" w:hAnsi="Sakkal Majalla" w:cs="AL-Mohanad"/>
          <w:sz w:val="27"/>
          <w:szCs w:val="27"/>
          <w:rtl/>
        </w:rPr>
        <w:t>نج</w:t>
      </w:r>
      <w:r w:rsidRPr="006571AC">
        <w:rPr>
          <w:rFonts w:cs="AL-Mohanad" w:hint="cs"/>
          <w:sz w:val="27"/>
          <w:szCs w:val="27"/>
          <w:rtl/>
        </w:rPr>
        <w:t>ي</w:t>
      </w:r>
      <w:r w:rsidRPr="006571AC">
        <w:rPr>
          <w:rFonts w:ascii="Sakkal Majalla" w:hAnsi="Sakkal Majalla" w:cs="AL-Mohanad" w:hint="cs"/>
          <w:sz w:val="27"/>
          <w:szCs w:val="27"/>
          <w:rtl/>
        </w:rPr>
        <w:t>ل</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b/>
          <w:bCs/>
          <w:sz w:val="27"/>
          <w:szCs w:val="27"/>
          <w:rtl/>
        </w:rPr>
        <w:t>و</w:t>
      </w:r>
      <w:r w:rsidRPr="006571AC">
        <w:rPr>
          <w:rFonts w:ascii="Sakkal Majalla" w:hAnsi="Sakkal Majalla" w:cs="AL-Mohanad" w:hint="cs"/>
          <w:b/>
          <w:bCs/>
          <w:sz w:val="27"/>
          <w:szCs w:val="27"/>
          <w:rtl/>
        </w:rPr>
        <w:t>الثاني</w:t>
      </w:r>
      <w:r w:rsidRPr="006571AC">
        <w:rPr>
          <w:rFonts w:ascii="Sakkal Majalla" w:hAnsi="Sakkal Majalla" w:cs="AL-Mohanad"/>
          <w:sz w:val="27"/>
          <w:szCs w:val="27"/>
          <w:rtl/>
        </w:rPr>
        <w:t>: وما أ</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نزل </w:t>
      </w:r>
      <w:r w:rsidR="00416CB9"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ربّ</w:t>
      </w:r>
      <w:r w:rsidR="00416CB9" w:rsidRPr="006571AC">
        <w:rPr>
          <w:rFonts w:ascii="Sakkal Majalla" w:hAnsi="Sakkal Majalla" w:cs="AL-Mohanad" w:hint="cs"/>
          <w:sz w:val="27"/>
          <w:szCs w:val="27"/>
          <w:rtl/>
        </w:rPr>
        <w:t>ِ</w:t>
      </w:r>
      <w:r w:rsidRPr="006571AC">
        <w:rPr>
          <w:rFonts w:ascii="Sakkal Majalla" w:hAnsi="Sakkal Majalla" w:cs="AL-Mohanad" w:hint="cs"/>
          <w:sz w:val="27"/>
          <w:szCs w:val="27"/>
          <w:rtl/>
        </w:rPr>
        <w:t>هم</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لا</w:t>
      </w:r>
      <w:r w:rsidR="00416CB9"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يكفي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ق</w:t>
      </w:r>
      <w:r w:rsidRPr="006571AC">
        <w:rPr>
          <w:rFonts w:ascii="Sakkal Majalla" w:hAnsi="Sakkal Majalla" w:cs="AL-Mohanad" w:hint="cs"/>
          <w:sz w:val="27"/>
          <w:szCs w:val="27"/>
          <w:rtl/>
        </w:rPr>
        <w:t>ا</w:t>
      </w:r>
      <w:r w:rsidRPr="006571AC">
        <w:rPr>
          <w:rFonts w:ascii="Sakkal Majalla" w:hAnsi="Sakkal Majalla" w:cs="AL-Mohanad"/>
          <w:sz w:val="27"/>
          <w:szCs w:val="27"/>
          <w:rtl/>
        </w:rPr>
        <w:t>مة التوراة وال</w:t>
      </w:r>
      <w:r w:rsidR="00416CB9" w:rsidRPr="006571AC">
        <w:rPr>
          <w:rFonts w:ascii="Sakkal Majalla" w:hAnsi="Sakkal Majalla" w:cs="AL-Mohanad" w:hint="cs"/>
          <w:sz w:val="27"/>
          <w:szCs w:val="27"/>
          <w:rtl/>
        </w:rPr>
        <w:t>إ</w:t>
      </w:r>
      <w:r w:rsidRPr="006571AC">
        <w:rPr>
          <w:rFonts w:ascii="Sakkal Majalla" w:hAnsi="Sakkal Majalla" w:cs="AL-Mohanad"/>
          <w:sz w:val="27"/>
          <w:szCs w:val="27"/>
          <w:rtl/>
        </w:rPr>
        <w:t>نج</w:t>
      </w:r>
      <w:r w:rsidRPr="006571AC">
        <w:rPr>
          <w:rFonts w:cs="AL-Mohanad" w:hint="cs"/>
          <w:sz w:val="27"/>
          <w:szCs w:val="27"/>
          <w:rtl/>
        </w:rPr>
        <w:t>ي</w:t>
      </w:r>
      <w:r w:rsidRPr="006571AC">
        <w:rPr>
          <w:rFonts w:ascii="Sakkal Majalla" w:hAnsi="Sakkal Majalla" w:cs="AL-Mohanad" w:hint="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وحدها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في </w:t>
      </w:r>
      <w:r w:rsidRPr="006571AC">
        <w:rPr>
          <w:rFonts w:ascii="Sakkal Majalla" w:hAnsi="Sakkal Majalla" w:cs="AL-Mohanad"/>
          <w:sz w:val="27"/>
          <w:szCs w:val="27"/>
          <w:rtl/>
        </w:rPr>
        <w:t>هدا</w:t>
      </w:r>
      <w:r w:rsidRPr="006571AC">
        <w:rPr>
          <w:rFonts w:cs="AL-Mohanad" w:hint="cs"/>
          <w:sz w:val="27"/>
          <w:szCs w:val="27"/>
          <w:rtl/>
        </w:rPr>
        <w:t>ي</w:t>
      </w:r>
      <w:r w:rsidRPr="006571AC">
        <w:rPr>
          <w:rFonts w:ascii="Sakkal Majalla" w:hAnsi="Sakkal Majalla" w:cs="AL-Mohanad" w:hint="cs"/>
          <w:sz w:val="27"/>
          <w:szCs w:val="27"/>
          <w:rtl/>
        </w:rPr>
        <w:t xml:space="preserve">ة اليهود والنصارى، </w:t>
      </w:r>
      <w:r w:rsidRPr="006571AC">
        <w:rPr>
          <w:rFonts w:ascii="Sakkal Majalla" w:hAnsi="Sakkal Majalla" w:cs="AL-Mohanad"/>
          <w:sz w:val="27"/>
          <w:szCs w:val="27"/>
          <w:rtl/>
        </w:rPr>
        <w:t xml:space="preserve">ولا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نزال الرحمة </w:t>
      </w:r>
      <w:r w:rsidRPr="006571AC">
        <w:rPr>
          <w:rFonts w:ascii="Sakkal Majalla" w:hAnsi="Sakkal Majalla" w:cs="AL-Mohanad" w:hint="cs"/>
          <w:sz w:val="27"/>
          <w:szCs w:val="27"/>
          <w:rtl/>
        </w:rPr>
        <w:t>عليهم</w:t>
      </w:r>
      <w:r w:rsidR="00416CB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بل ر</w:t>
      </w:r>
      <w:r w:rsidR="00416CB9" w:rsidRPr="006571AC">
        <w:rPr>
          <w:rFonts w:ascii="Sakkal Majalla" w:hAnsi="Sakkal Majalla" w:cs="AL-Mohanad" w:hint="cs"/>
          <w:sz w:val="27"/>
          <w:szCs w:val="27"/>
          <w:rtl/>
        </w:rPr>
        <w:t>ُ</w:t>
      </w:r>
      <w:r w:rsidRPr="006571AC">
        <w:rPr>
          <w:rFonts w:ascii="Sakkal Majalla" w:hAnsi="Sakkal Majalla" w:cs="AL-Mohanad" w:hint="cs"/>
          <w:sz w:val="27"/>
          <w:szCs w:val="27"/>
          <w:rtl/>
        </w:rPr>
        <w:t>ب</w:t>
      </w:r>
      <w:r w:rsidR="00416CB9" w:rsidRPr="006571AC">
        <w:rPr>
          <w:rFonts w:ascii="Sakkal Majalla" w:hAnsi="Sakkal Majalla" w:cs="AL-Mohanad" w:hint="cs"/>
          <w:sz w:val="27"/>
          <w:szCs w:val="27"/>
          <w:rtl/>
        </w:rPr>
        <w:t>َ</w:t>
      </w:r>
      <w:r w:rsidRPr="006571AC">
        <w:rPr>
          <w:rFonts w:ascii="Sakkal Majalla" w:hAnsi="Sakkal Majalla" w:cs="AL-Mohanad" w:hint="cs"/>
          <w:sz w:val="27"/>
          <w:szCs w:val="27"/>
          <w:rtl/>
        </w:rPr>
        <w:t>ما يؤد</w:t>
      </w:r>
      <w:r w:rsidR="00416CB9" w:rsidRPr="006571AC">
        <w:rPr>
          <w:rFonts w:ascii="Sakkal Majalla" w:hAnsi="Sakkal Majalla" w:cs="AL-Mohanad" w:hint="cs"/>
          <w:sz w:val="27"/>
          <w:szCs w:val="27"/>
          <w:rtl/>
        </w:rPr>
        <w:t>ّ</w:t>
      </w:r>
      <w:r w:rsidRPr="006571AC">
        <w:rPr>
          <w:rFonts w:ascii="Sakkal Majalla" w:hAnsi="Sakkal Majalla" w:cs="AL-Mohanad" w:hint="cs"/>
          <w:sz w:val="27"/>
          <w:szCs w:val="27"/>
          <w:rtl/>
        </w:rPr>
        <w:t>ي ذلك إلى كفرهم وطغيانهم، وقد أشارت الآيات القرآنية إلى أن أ</w:t>
      </w:r>
      <w:r w:rsidRPr="006571AC">
        <w:rPr>
          <w:rFonts w:ascii="Sakkal Majalla" w:hAnsi="Sakkal Majalla" w:cs="AL-Mohanad"/>
          <w:sz w:val="27"/>
          <w:szCs w:val="27"/>
          <w:rtl/>
        </w:rPr>
        <w:t>كثر هؤلاء 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انته</w:t>
      </w:r>
      <w:r w:rsidR="00416CB9"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 xml:space="preserve">مر إلى </w:t>
      </w:r>
      <w:r w:rsidRPr="006571AC">
        <w:rPr>
          <w:rFonts w:ascii="Sakkal Majalla" w:hAnsi="Sakkal Majalla" w:cs="AL-Mohanad" w:hint="cs"/>
          <w:sz w:val="27"/>
          <w:szCs w:val="27"/>
          <w:rtl/>
        </w:rPr>
        <w:t>الكفر</w:t>
      </w:r>
      <w:r w:rsidRPr="006571AC">
        <w:rPr>
          <w:rFonts w:ascii="Sakkal Majalla" w:hAnsi="Sakkal Majalla" w:cs="AL-Mohanad"/>
          <w:sz w:val="27"/>
          <w:szCs w:val="27"/>
          <w:rtl/>
        </w:rPr>
        <w:t xml:space="preserve"> والطغ</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lastRenderedPageBreak/>
        <w:t>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كانوا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ؤمنون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w:t>
      </w:r>
      <w:r w:rsidRPr="006571AC">
        <w:rPr>
          <w:rFonts w:ascii="Sakkal Majalla" w:hAnsi="Sakkal Majalla" w:cs="AL-Mohanad"/>
          <w:sz w:val="27"/>
          <w:szCs w:val="27"/>
          <w:rtl/>
        </w:rPr>
        <w:t>التوراة وال</w:t>
      </w:r>
      <w:r w:rsidRPr="006571AC">
        <w:rPr>
          <w:rFonts w:ascii="Sakkal Majalla" w:hAnsi="Sakkal Majalla" w:cs="AL-Mohanad" w:hint="cs"/>
          <w:sz w:val="27"/>
          <w:szCs w:val="27"/>
          <w:rtl/>
        </w:rPr>
        <w:t>إ</w:t>
      </w:r>
      <w:r w:rsidRPr="006571AC">
        <w:rPr>
          <w:rFonts w:ascii="Sakkal Majalla" w:hAnsi="Sakkal Majalla" w:cs="AL-Mohanad"/>
          <w:sz w:val="27"/>
          <w:szCs w:val="27"/>
          <w:rtl/>
        </w:rPr>
        <w:t>نج</w:t>
      </w:r>
      <w:r w:rsidRPr="006571AC">
        <w:rPr>
          <w:rFonts w:cs="AL-Mohanad" w:hint="cs"/>
          <w:sz w:val="27"/>
          <w:szCs w:val="27"/>
          <w:rtl/>
        </w:rPr>
        <w:t>ي</w:t>
      </w:r>
      <w:r w:rsidRPr="006571AC">
        <w:rPr>
          <w:rFonts w:ascii="Sakkal Majalla" w:hAnsi="Sakkal Majalla" w:cs="AL-Mohanad" w:hint="cs"/>
          <w:sz w:val="27"/>
          <w:szCs w:val="27"/>
          <w:rtl/>
        </w:rPr>
        <w:t>ل ويعملون بها</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دون</w:t>
      </w:r>
      <w:r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م</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ن</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ز</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00A3543E" w:rsidRPr="006571AC">
        <w:rPr>
          <w:rFonts w:ascii="Sakkal Majalla" w:hAnsi="Sakkal Majalla" w:cs="AL-Mohanad" w:hint="cs"/>
          <w:b/>
          <w:bCs/>
          <w:sz w:val="27"/>
          <w:szCs w:val="27"/>
          <w:rtl/>
        </w:rPr>
        <w:t>إِ</w:t>
      </w:r>
      <w:r w:rsidRPr="006571AC">
        <w:rPr>
          <w:rFonts w:ascii="Sakkal Majalla" w:hAnsi="Sakkal Majalla" w:cs="AL-Mohanad"/>
          <w:b/>
          <w:bCs/>
          <w:sz w:val="27"/>
          <w:szCs w:val="27"/>
          <w:rtl/>
        </w:rPr>
        <w:t>ل</w:t>
      </w:r>
      <w:r w:rsidR="00A3543E" w:rsidRPr="006571AC">
        <w:rPr>
          <w:rFonts w:ascii="Sakkal Majalla" w:hAnsi="Sakkal Majalla" w:cs="AL-Mohanad" w:hint="cs"/>
          <w:b/>
          <w:bCs/>
          <w:sz w:val="27"/>
          <w:szCs w:val="27"/>
          <w:rtl/>
        </w:rPr>
        <w:t>َ</w:t>
      </w:r>
      <w:r w:rsidRPr="006571AC">
        <w:rPr>
          <w:rFonts w:cs="AL-Mohanad" w:hint="cs"/>
          <w:b/>
          <w:bCs/>
          <w:sz w:val="27"/>
          <w:szCs w:val="27"/>
          <w:rtl/>
        </w:rPr>
        <w:t>ي</w:t>
      </w:r>
      <w:r w:rsidR="00A3543E" w:rsidRPr="006571AC">
        <w:rPr>
          <w:rFonts w:cs="AL-Mohanad" w:hint="cs"/>
          <w:b/>
          <w:bCs/>
          <w:sz w:val="27"/>
          <w:szCs w:val="27"/>
          <w:rtl/>
        </w:rPr>
        <w:t>ْ</w:t>
      </w:r>
      <w:r w:rsidRPr="006571AC">
        <w:rPr>
          <w:rFonts w:ascii="Sakkal Majalla" w:hAnsi="Sakkal Majalla" w:cs="AL-Mohanad" w:hint="cs"/>
          <w:b/>
          <w:bCs/>
          <w:sz w:val="27"/>
          <w:szCs w:val="27"/>
          <w:rtl/>
        </w:rPr>
        <w:t>ك</w:t>
      </w:r>
      <w:r w:rsidR="00A3543E" w:rsidRPr="006571AC">
        <w:rPr>
          <w:rFonts w:ascii="Sakkal Majalla" w:hAnsi="Sakkal Majalla" w:cs="AL-Mohanad" w:hint="cs"/>
          <w:b/>
          <w:bCs/>
          <w:sz w:val="27"/>
          <w:szCs w:val="27"/>
          <w:rtl/>
        </w:rPr>
        <w:t>َ</w:t>
      </w:r>
      <w:r w:rsidRPr="006571AC">
        <w:rPr>
          <w:rFonts w:ascii="Mosawi" w:hAnsi="Mosawi" w:cs="Mosawi"/>
          <w:rtl/>
        </w:rPr>
        <w:t>﴾</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 تعالى</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قُلْ ي</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أَهْلَ الْكِت</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ابِ لَسْتُمْ عَل</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ى‏ شَيْ‏ءٍ حَتَّى تُقِيمُوا التَّوْر</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اةَ و</w:t>
      </w:r>
      <w:r w:rsidR="00416CB9" w:rsidRPr="006571AC">
        <w:rPr>
          <w:rFonts w:ascii="Sakkal Majalla" w:hAnsi="Sakkal Majalla" w:cs="AL-Mohanad" w:hint="cs"/>
          <w:b/>
          <w:bCs/>
          <w:sz w:val="27"/>
          <w:szCs w:val="27"/>
          <w:rtl/>
        </w:rPr>
        <w:t>َ</w:t>
      </w:r>
      <w:r w:rsidR="00416CB9" w:rsidRPr="006571AC">
        <w:rPr>
          <w:rFonts w:ascii="Sakkal Majalla" w:hAnsi="Sakkal Majalla" w:cs="AL-Mohanad"/>
          <w:b/>
          <w:bCs/>
          <w:sz w:val="27"/>
          <w:szCs w:val="27"/>
          <w:rtl/>
        </w:rPr>
        <w:t>ال</w:t>
      </w:r>
      <w:r w:rsidRPr="006571AC">
        <w:rPr>
          <w:rFonts w:ascii="Sakkal Majalla" w:hAnsi="Sakkal Majalla" w:cs="AL-Mohanad"/>
          <w:b/>
          <w:bCs/>
          <w:sz w:val="27"/>
          <w:szCs w:val="27"/>
          <w:rtl/>
        </w:rPr>
        <w:t>إِنْجِيلَ و</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م</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إِلَيْكُمْ مِنْ رَبِّكُمْ و</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لَيَزِيدَنَّ كَثِيراً مِنْهُمْ م</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 طُغْياناً و</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كُفْراً فَلا</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تَأْسَ عَلَى الْقَوْمِ الْك</w:t>
      </w:r>
      <w:r w:rsidR="003B3BE3" w:rsidRPr="006571AC">
        <w:rPr>
          <w:rFonts w:ascii="Sakkal Majalla" w:hAnsi="Sakkal Majalla" w:cs="AL-Mohanad" w:hint="cs"/>
          <w:b/>
          <w:bCs/>
          <w:sz w:val="27"/>
          <w:szCs w:val="27"/>
          <w:rtl/>
        </w:rPr>
        <w:t>َ</w:t>
      </w:r>
      <w:r w:rsidRPr="006571AC">
        <w:rPr>
          <w:rFonts w:ascii="Sakkal Majalla" w:hAnsi="Sakkal Majalla" w:cs="AL-Mohanad"/>
          <w:b/>
          <w:bCs/>
          <w:sz w:val="27"/>
          <w:szCs w:val="27"/>
          <w:rtl/>
        </w:rPr>
        <w:t>افِرِين</w:t>
      </w:r>
      <w:r w:rsidR="003B3BE3"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hint="cs"/>
          <w:sz w:val="27"/>
          <w:szCs w:val="27"/>
          <w:rtl/>
        </w:rPr>
        <w:t xml:space="preserve"> (المائدة: 68).</w:t>
      </w:r>
      <w:r w:rsidRPr="006571AC">
        <w:rPr>
          <w:rFonts w:ascii="Sakkal Majalla" w:hAnsi="Sakkal Majalla" w:cs="AL-Mohanad"/>
          <w:sz w:val="27"/>
          <w:szCs w:val="27"/>
          <w:rtl/>
        </w:rPr>
        <w:t xml:space="preserve"> </w:t>
      </w:r>
    </w:p>
    <w:p w:rsidR="005D05A4" w:rsidRPr="006571AC" w:rsidRDefault="003B3BE3" w:rsidP="00B41BA0">
      <w:pPr>
        <w:pStyle w:val="af"/>
        <w:rPr>
          <w:rFonts w:ascii="Sakkal Majalla" w:hAnsi="Sakkal Majalla" w:cs="AL-Mohanad"/>
          <w:sz w:val="27"/>
          <w:szCs w:val="27"/>
          <w:rtl/>
        </w:rPr>
      </w:pPr>
      <w:r w:rsidRPr="006571AC">
        <w:rPr>
          <w:rFonts w:ascii="Sakkal Majalla" w:hAnsi="Sakkal Majalla" w:cs="AL-Mohanad"/>
          <w:sz w:val="27"/>
          <w:szCs w:val="27"/>
          <w:rtl/>
        </w:rPr>
        <w:t>و</w:t>
      </w:r>
      <w:r w:rsidR="005D05A4" w:rsidRPr="006571AC">
        <w:rPr>
          <w:rFonts w:ascii="Sakkal Majalla" w:hAnsi="Sakkal Majalla" w:cs="AL-Mohanad"/>
          <w:sz w:val="27"/>
          <w:szCs w:val="27"/>
          <w:rtl/>
        </w:rPr>
        <w:t xml:space="preserve">هكذا </w:t>
      </w:r>
      <w:r w:rsidR="005D05A4" w:rsidRPr="006571AC">
        <w:rPr>
          <w:rFonts w:ascii="Sakkal Majalla" w:hAnsi="Sakkal Majalla" w:cs="AL-Mohanad" w:hint="cs"/>
          <w:sz w:val="27"/>
          <w:szCs w:val="27"/>
          <w:rtl/>
        </w:rPr>
        <w:t>الحد</w:t>
      </w:r>
      <w:r w:rsidR="005D05A4" w:rsidRPr="006571AC">
        <w:rPr>
          <w:rFonts w:cs="AL-Mohanad" w:hint="cs"/>
          <w:sz w:val="27"/>
          <w:szCs w:val="27"/>
          <w:rtl/>
        </w:rPr>
        <w:t>ي</w:t>
      </w:r>
      <w:r w:rsidR="005D05A4" w:rsidRPr="006571AC">
        <w:rPr>
          <w:rFonts w:ascii="Sakkal Majalla" w:hAnsi="Sakkal Majalla" w:cs="AL-Mohanad" w:hint="cs"/>
          <w:sz w:val="27"/>
          <w:szCs w:val="27"/>
          <w:rtl/>
        </w:rPr>
        <w:t>ث بالنسبة</w:t>
      </w:r>
      <w:r w:rsidR="005D05A4"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005D05A4" w:rsidRPr="006571AC">
        <w:rPr>
          <w:rFonts w:ascii="Sakkal Majalla" w:hAnsi="Sakkal Majalla" w:cs="AL-Mohanad" w:hint="cs"/>
          <w:sz w:val="27"/>
          <w:szCs w:val="27"/>
          <w:rtl/>
        </w:rPr>
        <w:t>لى قوله</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w:t>
      </w:r>
      <w:r w:rsidR="005D05A4" w:rsidRPr="006571AC">
        <w:rPr>
          <w:rFonts w:ascii="Mosawi" w:hAnsi="Mosawi" w:cs="Mosawi"/>
          <w:rtl/>
        </w:rPr>
        <w:t>﴿</w:t>
      </w:r>
      <w:r w:rsidR="005D05A4" w:rsidRPr="006571AC">
        <w:rPr>
          <w:rFonts w:ascii="Sakkal Majalla" w:hAnsi="Sakkal Majalla" w:cs="AL-Mohanad"/>
          <w:b/>
          <w:bCs/>
          <w:sz w:val="27"/>
          <w:szCs w:val="27"/>
          <w:rtl/>
        </w:rPr>
        <w:t>ي</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أَيُّهَا الرَّسُولُ‏ بَلِّغْ‏ م</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نْزِلَ‏ إِلَيْكَ‏ مِنْ‏ رَبِّكَ‏ و</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إِنْ‏ لَمْ‏ تَفْعَلْ‏ فَم</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بَلَّغْتَ‏ رِس</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الَتَهُ‏ و</w:t>
      </w:r>
      <w:r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005D05A4" w:rsidRPr="006571AC">
        <w:rPr>
          <w:rFonts w:ascii="Sakkal Majalla" w:hAnsi="Sakkal Majalla" w:cs="AL-Mohanad"/>
          <w:b/>
          <w:bCs/>
          <w:sz w:val="27"/>
          <w:szCs w:val="27"/>
          <w:rtl/>
        </w:rPr>
        <w:t xml:space="preserve">هُ‏ يَعْصِمُكَ‏ مِنَ‏ النَّاسِ‏ </w:t>
      </w:r>
      <w:bookmarkStart w:id="152" w:name="_Hlk42641937"/>
      <w:r w:rsidR="005D05A4" w:rsidRPr="006571AC">
        <w:rPr>
          <w:rFonts w:ascii="Sakkal Majalla" w:hAnsi="Sakkal Majalla" w:cs="AL-Mohanad"/>
          <w:b/>
          <w:bCs/>
          <w:sz w:val="27"/>
          <w:szCs w:val="27"/>
          <w:rtl/>
        </w:rPr>
        <w:t xml:space="preserve">إِنَ‏ </w:t>
      </w:r>
      <w:r w:rsidR="0097633B" w:rsidRPr="006571AC">
        <w:rPr>
          <w:rFonts w:ascii="Sakkal Majalla" w:hAnsi="Sakkal Majalla" w:cs="AL-Mohanad"/>
          <w:b/>
          <w:bCs/>
          <w:sz w:val="27"/>
          <w:szCs w:val="27"/>
          <w:rtl/>
        </w:rPr>
        <w:t>الل</w:t>
      </w:r>
      <w:r w:rsidR="005D05A4" w:rsidRPr="006571AC">
        <w:rPr>
          <w:rFonts w:ascii="Sakkal Majalla" w:hAnsi="Sakkal Majalla" w:cs="AL-Mohanad"/>
          <w:b/>
          <w:bCs/>
          <w:sz w:val="27"/>
          <w:szCs w:val="27"/>
          <w:rtl/>
        </w:rPr>
        <w:t>هَ‏ لا</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 xml:space="preserve"> يَهْدِي‏ الْقَوْمَ‏ الْك</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افِرِينَ</w:t>
      </w:r>
      <w:bookmarkEnd w:id="152"/>
      <w:r w:rsidR="005D05A4" w:rsidRPr="006571AC">
        <w:rPr>
          <w:rFonts w:ascii="Sakkal Majalla" w:hAnsi="Sakkal Majalla" w:cs="AL-Mohanad"/>
          <w:b/>
          <w:bCs/>
          <w:sz w:val="27"/>
          <w:szCs w:val="27"/>
          <w:rtl/>
        </w:rPr>
        <w:t>‏</w:t>
      </w:r>
      <w:r w:rsidR="005D05A4" w:rsidRPr="006571AC">
        <w:rPr>
          <w:rFonts w:ascii="Mosawi" w:hAnsi="Mosawi" w:cs="Mosawi"/>
          <w:rtl/>
        </w:rPr>
        <w:t>﴾</w:t>
      </w:r>
      <w:r w:rsidR="005D05A4" w:rsidRPr="006571AC">
        <w:rPr>
          <w:rFonts w:ascii="Sakkal Majalla" w:hAnsi="Sakkal Majalla" w:cs="AL-Mohanad" w:hint="cs"/>
          <w:sz w:val="27"/>
          <w:szCs w:val="27"/>
          <w:rtl/>
        </w:rPr>
        <w:t xml:space="preserve"> (المائدة: 67)</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 xml:space="preserve">نّ عدم قبول ما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 xml:space="preserve">نزل على </w:t>
      </w:r>
      <w:r w:rsidR="005D05A4" w:rsidRPr="006571AC">
        <w:rPr>
          <w:rFonts w:ascii="Sakkal Majalla" w:hAnsi="Sakkal Majalla" w:cs="AL-Mohanad" w:hint="cs"/>
          <w:sz w:val="27"/>
          <w:szCs w:val="27"/>
          <w:rtl/>
        </w:rPr>
        <w:t>الرسول</w:t>
      </w:r>
      <w:r w:rsidR="002A2C90" w:rsidRPr="006571AC">
        <w:rPr>
          <w:rFonts w:ascii="Mosawi" w:hAnsi="Mosawi" w:cs="Mosawi"/>
          <w:sz w:val="22"/>
          <w:szCs w:val="22"/>
          <w:rtl/>
        </w:rPr>
        <w:t>|</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وهو </w:t>
      </w:r>
      <w:r w:rsidR="005D05A4" w:rsidRPr="006571AC">
        <w:rPr>
          <w:rFonts w:ascii="Sakkal Majalla" w:hAnsi="Sakkal Majalla" w:cs="AL-Mohanad" w:hint="cs"/>
          <w:sz w:val="27"/>
          <w:szCs w:val="27"/>
          <w:rtl/>
        </w:rPr>
        <w:t>التمس</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ك </w:t>
      </w:r>
      <w:r w:rsidRPr="006571AC">
        <w:rPr>
          <w:rFonts w:ascii="Sakkal Majalla" w:hAnsi="Sakkal Majalla" w:cs="AL-Mohanad" w:hint="cs"/>
          <w:sz w:val="27"/>
          <w:szCs w:val="27"/>
          <w:rtl/>
        </w:rPr>
        <w:t>ب</w:t>
      </w:r>
      <w:r w:rsidRPr="006571AC">
        <w:rPr>
          <w:rFonts w:ascii="Sakkal Majalla" w:hAnsi="Sakkal Majalla" w:cs="AL-Mohanad"/>
          <w:sz w:val="27"/>
          <w:szCs w:val="27"/>
          <w:rtl/>
        </w:rPr>
        <w:t>العترة الطاهر</w:t>
      </w:r>
      <w:r w:rsidRPr="006571AC">
        <w:rPr>
          <w:rFonts w:ascii="Sakkal Majalla" w:hAnsi="Sakkal Majalla" w:cs="AL-Mohanad" w:hint="cs"/>
          <w:sz w:val="27"/>
          <w:szCs w:val="27"/>
          <w:rtl/>
        </w:rPr>
        <w:t>ة</w:t>
      </w:r>
      <w:r w:rsidR="00097CDF" w:rsidRPr="006571AC">
        <w:rPr>
          <w:rFonts w:ascii="Sakkal Majalla" w:hAnsi="Sakkal Majalla" w:cs="AL-Mohanad" w:hint="cs"/>
          <w:sz w:val="27"/>
          <w:szCs w:val="27"/>
          <w:rtl/>
        </w:rPr>
        <w:t xml:space="preserve"> ـ</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كما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حد</w:t>
      </w:r>
      <w:r w:rsidR="005D05A4" w:rsidRPr="006571AC">
        <w:rPr>
          <w:rFonts w:cs="AL-Mohanad" w:hint="cs"/>
          <w:sz w:val="27"/>
          <w:szCs w:val="27"/>
          <w:rtl/>
        </w:rPr>
        <w:t>ي</w:t>
      </w:r>
      <w:r w:rsidR="005D05A4" w:rsidRPr="006571AC">
        <w:rPr>
          <w:rFonts w:ascii="Sakkal Majalla" w:hAnsi="Sakkal Majalla" w:cs="AL-Mohanad" w:hint="cs"/>
          <w:sz w:val="27"/>
          <w:szCs w:val="27"/>
          <w:rtl/>
        </w:rPr>
        <w:t>ث</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الثقل</w:t>
      </w:r>
      <w:r w:rsidR="005D05A4" w:rsidRPr="006571AC">
        <w:rPr>
          <w:rFonts w:cs="AL-Mohanad" w:hint="cs"/>
          <w:sz w:val="27"/>
          <w:szCs w:val="27"/>
          <w:rtl/>
        </w:rPr>
        <w:t>ي</w:t>
      </w:r>
      <w:r w:rsidRPr="006571AC">
        <w:rPr>
          <w:rFonts w:ascii="Sakkal Majalla" w:hAnsi="Sakkal Majalla" w:cs="AL-Mohanad" w:hint="cs"/>
          <w:sz w:val="27"/>
          <w:szCs w:val="27"/>
          <w:rtl/>
        </w:rPr>
        <w:t>ن</w:t>
      </w:r>
      <w:r w:rsidR="00097CDF" w:rsidRPr="006571AC">
        <w:rPr>
          <w:rFonts w:ascii="Sakkal Majalla" w:hAnsi="Sakkal Majalla" w:cs="AL-Mohanad" w:hint="cs"/>
          <w:sz w:val="27"/>
          <w:szCs w:val="27"/>
          <w:rtl/>
        </w:rPr>
        <w:t xml:space="preserve"> ـ</w:t>
      </w:r>
      <w:r w:rsidR="005D05A4" w:rsidRPr="006571AC">
        <w:rPr>
          <w:rFonts w:ascii="Sakkal Majalla" w:hAnsi="Sakkal Majalla" w:cs="AL-Mohanad"/>
          <w:sz w:val="27"/>
          <w:szCs w:val="27"/>
          <w:rtl/>
        </w:rPr>
        <w:t xml:space="preserve"> وعل</w:t>
      </w:r>
      <w:r w:rsidRPr="006571AC">
        <w:rPr>
          <w:rFonts w:cs="AL-Mohanad" w:hint="cs"/>
          <w:sz w:val="27"/>
          <w:szCs w:val="27"/>
          <w:rtl/>
        </w:rPr>
        <w:t>ى</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رأسهم</w:t>
      </w:r>
      <w:r w:rsidR="005D05A4" w:rsidRPr="006571AC">
        <w:rPr>
          <w:rFonts w:ascii="Sakkal Majalla" w:hAnsi="Sakkal Majalla" w:cs="AL-Mohanad"/>
          <w:sz w:val="27"/>
          <w:szCs w:val="27"/>
          <w:rtl/>
        </w:rPr>
        <w:t xml:space="preserve"> عل</w:t>
      </w:r>
      <w:r w:rsidR="005D05A4" w:rsidRPr="006571AC">
        <w:rPr>
          <w:rFonts w:ascii="Sakkal Majalla" w:hAnsi="Sakkal Majalla" w:cs="AL-Mohanad" w:hint="cs"/>
          <w:sz w:val="27"/>
          <w:szCs w:val="27"/>
          <w:rtl/>
        </w:rPr>
        <w:t>ي</w:t>
      </w:r>
      <w:r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ؤد</w:t>
      </w:r>
      <w:r w:rsidRPr="006571AC">
        <w:rPr>
          <w:rFonts w:cs="AL-Mohanad" w:hint="cs"/>
          <w:sz w:val="27"/>
          <w:szCs w:val="27"/>
          <w:rtl/>
        </w:rPr>
        <w:t>ّ</w:t>
      </w:r>
      <w:r w:rsidR="005D05A4" w:rsidRPr="006571AC">
        <w:rPr>
          <w:rFonts w:cs="AL-Mohanad" w:hint="cs"/>
          <w:sz w:val="27"/>
          <w:szCs w:val="27"/>
          <w:rtl/>
        </w:rPr>
        <w:t>ي</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بال</w:t>
      </w:r>
      <w:r w:rsidRPr="006571AC">
        <w:rPr>
          <w:rFonts w:ascii="Sakkal Majalla" w:hAnsi="Sakkal Majalla" w:cs="AL-Mohanad" w:hint="cs"/>
          <w:sz w:val="27"/>
          <w:szCs w:val="27"/>
          <w:rtl/>
        </w:rPr>
        <w:t>إ</w:t>
      </w:r>
      <w:r w:rsidR="005D05A4" w:rsidRPr="006571AC">
        <w:rPr>
          <w:rFonts w:ascii="Sakkal Majalla" w:hAnsi="Sakkal Majalla" w:cs="AL-Mohanad" w:hint="cs"/>
          <w:sz w:val="27"/>
          <w:szCs w:val="27"/>
          <w:rtl/>
        </w:rPr>
        <w:t>نسان</w:t>
      </w:r>
      <w:r w:rsidR="005D05A4" w:rsidRPr="006571AC">
        <w:rPr>
          <w:rFonts w:ascii="Sakkal Majalla" w:hAnsi="Sakkal Majalla" w:cs="AL-Mohanad"/>
          <w:sz w:val="27"/>
          <w:szCs w:val="27"/>
          <w:rtl/>
        </w:rPr>
        <w:t xml:space="preserve"> إلى </w:t>
      </w:r>
      <w:r w:rsidR="005D05A4" w:rsidRPr="006571AC">
        <w:rPr>
          <w:rFonts w:ascii="Sakkal Majalla" w:hAnsi="Sakkal Majalla" w:cs="AL-Mohanad" w:hint="cs"/>
          <w:sz w:val="27"/>
          <w:szCs w:val="27"/>
          <w:rtl/>
        </w:rPr>
        <w:t>الضلالة</w:t>
      </w:r>
      <w:r w:rsidR="005D05A4" w:rsidRPr="006571AC">
        <w:rPr>
          <w:rFonts w:ascii="Sakkal Majalla" w:hAnsi="Sakkal Majalla" w:cs="AL-Mohanad"/>
          <w:sz w:val="27"/>
          <w:szCs w:val="27"/>
          <w:rtl/>
        </w:rPr>
        <w:t xml:space="preserve"> والكفر</w:t>
      </w:r>
      <w:r w:rsidR="005D05A4" w:rsidRPr="006571AC">
        <w:rPr>
          <w:rFonts w:ascii="Sakkal Majalla" w:hAnsi="Sakkal Majalla" w:cs="AL-Mohanad" w:hint="cs"/>
          <w:sz w:val="27"/>
          <w:szCs w:val="27"/>
          <w:rtl/>
        </w:rPr>
        <w:t>، حت</w:t>
      </w:r>
      <w:r w:rsidR="00097CDF"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ى لو آمن</w:t>
      </w:r>
      <w:r w:rsidR="005D05A4" w:rsidRPr="006571AC">
        <w:rPr>
          <w:rFonts w:ascii="Sakkal Majalla" w:hAnsi="Sakkal Majalla" w:cs="AL-Mohanad"/>
          <w:sz w:val="27"/>
          <w:szCs w:val="27"/>
          <w:rtl/>
        </w:rPr>
        <w:t xml:space="preserve"> بالقرآن الكر</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w:t>
      </w:r>
      <w:r w:rsidR="005D05A4" w:rsidRPr="006571AC">
        <w:rPr>
          <w:rFonts w:ascii="Sakkal Majalla" w:hAnsi="Sakkal Majalla" w:cs="AL-Mohanad"/>
          <w:sz w:val="27"/>
          <w:szCs w:val="27"/>
          <w:rtl/>
        </w:rPr>
        <w:t>ح</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س</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ب الظاهر</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xml:space="preserve">وقد </w:t>
      </w:r>
      <w:r w:rsidR="005D05A4" w:rsidRPr="006571AC">
        <w:rPr>
          <w:rFonts w:ascii="Sakkal Majalla" w:hAnsi="Sakkal Majalla" w:cs="AL-Mohanad" w:hint="cs"/>
          <w:sz w:val="27"/>
          <w:szCs w:val="27"/>
          <w:rtl/>
        </w:rPr>
        <w:t>أ</w:t>
      </w:r>
      <w:r w:rsidR="00097CDF"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ش</w:t>
      </w:r>
      <w:r w:rsidR="005D05A4" w:rsidRPr="006571AC">
        <w:rPr>
          <w:rFonts w:cs="AL-Mohanad" w:hint="cs"/>
          <w:sz w:val="27"/>
          <w:szCs w:val="27"/>
          <w:rtl/>
        </w:rPr>
        <w:t>ي</w:t>
      </w:r>
      <w:r w:rsidR="005D05A4" w:rsidRPr="006571AC">
        <w:rPr>
          <w:rFonts w:ascii="Sakkal Majalla" w:hAnsi="Sakkal Majalla" w:cs="AL-Mohanad" w:hint="cs"/>
          <w:sz w:val="27"/>
          <w:szCs w:val="27"/>
          <w:rtl/>
        </w:rPr>
        <w:t>ر في ذ</w:t>
      </w:r>
      <w:r w:rsidR="005D05A4" w:rsidRPr="006571AC">
        <w:rPr>
          <w:rFonts w:cs="AL-Mohanad" w:hint="cs"/>
          <w:sz w:val="27"/>
          <w:szCs w:val="27"/>
          <w:rtl/>
        </w:rPr>
        <w:t>ي</w:t>
      </w:r>
      <w:r w:rsidR="005D05A4" w:rsidRPr="006571AC">
        <w:rPr>
          <w:rFonts w:ascii="Sakkal Majalla" w:hAnsi="Sakkal Majalla" w:cs="AL-Mohanad" w:hint="cs"/>
          <w:sz w:val="27"/>
          <w:szCs w:val="27"/>
          <w:rtl/>
        </w:rPr>
        <w:t>ل</w:t>
      </w:r>
      <w:r w:rsidR="005D05A4" w:rsidRPr="006571AC">
        <w:rPr>
          <w:rFonts w:ascii="Sakkal Majalla" w:hAnsi="Sakkal Majalla" w:cs="AL-Mohanad"/>
          <w:sz w:val="27"/>
          <w:szCs w:val="27"/>
          <w:rtl/>
        </w:rPr>
        <w:t xml:space="preserve"> الآ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الكر</w:t>
      </w:r>
      <w:r w:rsidR="005D05A4" w:rsidRPr="006571AC">
        <w:rPr>
          <w:rFonts w:cs="AL-Mohanad" w:hint="cs"/>
          <w:sz w:val="27"/>
          <w:szCs w:val="27"/>
          <w:rtl/>
        </w:rPr>
        <w:t>ي</w:t>
      </w:r>
      <w:r w:rsidR="005D05A4" w:rsidRPr="006571AC">
        <w:rPr>
          <w:rFonts w:ascii="Sakkal Majalla" w:hAnsi="Sakkal Majalla" w:cs="AL-Mohanad" w:hint="cs"/>
          <w:sz w:val="27"/>
          <w:szCs w:val="27"/>
          <w:rtl/>
        </w:rPr>
        <w:t>مة</w:t>
      </w:r>
      <w:r w:rsidR="005D05A4" w:rsidRPr="006571AC">
        <w:rPr>
          <w:rFonts w:ascii="Sakkal Majalla" w:hAnsi="Sakkal Majalla" w:cs="AL-Mohanad"/>
          <w:sz w:val="27"/>
          <w:szCs w:val="27"/>
          <w:rtl/>
        </w:rPr>
        <w:t xml:space="preserve"> إلى </w:t>
      </w:r>
      <w:r w:rsidR="005D05A4" w:rsidRPr="006571AC">
        <w:rPr>
          <w:rFonts w:ascii="Sakkal Majalla" w:hAnsi="Sakkal Majalla" w:cs="AL-Mohanad" w:hint="cs"/>
          <w:sz w:val="27"/>
          <w:szCs w:val="27"/>
          <w:rtl/>
        </w:rPr>
        <w:t>ذلك</w:t>
      </w:r>
      <w:r w:rsidR="005D05A4" w:rsidRPr="006571AC">
        <w:rPr>
          <w:rFonts w:ascii="Sakkal Majalla" w:hAnsi="Sakkal Majalla" w:cs="AL-Mohanad"/>
          <w:sz w:val="27"/>
          <w:szCs w:val="27"/>
          <w:rtl/>
        </w:rPr>
        <w:t xml:space="preserve">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قوله</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Mosawi" w:hAnsi="Mosawi" w:cs="Mosawi"/>
          <w:rtl/>
        </w:rPr>
        <w:t>﴿</w:t>
      </w:r>
      <w:r w:rsidR="00097CDF" w:rsidRPr="006571AC">
        <w:rPr>
          <w:rFonts w:ascii="Sakkal Majalla" w:hAnsi="Sakkal Majalla" w:cs="AL-Mohanad"/>
          <w:b/>
          <w:bCs/>
          <w:sz w:val="27"/>
          <w:szCs w:val="27"/>
          <w:rtl/>
        </w:rPr>
        <w:t>إِن</w:t>
      </w:r>
      <w:r w:rsidR="00097CDF"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 xml:space="preserve"> </w:t>
      </w:r>
      <w:r w:rsidR="0097633B" w:rsidRPr="006571AC">
        <w:rPr>
          <w:rFonts w:ascii="Sakkal Majalla" w:hAnsi="Sakkal Majalla" w:cs="AL-Mohanad"/>
          <w:b/>
          <w:bCs/>
          <w:sz w:val="27"/>
          <w:szCs w:val="27"/>
          <w:rtl/>
        </w:rPr>
        <w:t>الل</w:t>
      </w:r>
      <w:r w:rsidR="005D05A4" w:rsidRPr="006571AC">
        <w:rPr>
          <w:rFonts w:ascii="Sakkal Majalla" w:hAnsi="Sakkal Majalla" w:cs="AL-Mohanad"/>
          <w:b/>
          <w:bCs/>
          <w:sz w:val="27"/>
          <w:szCs w:val="27"/>
          <w:rtl/>
        </w:rPr>
        <w:t>هَ‏ لا</w:t>
      </w:r>
      <w:r w:rsidR="00097CDF"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 xml:space="preserve"> يَهْدِي‏ الْقَوْمَ‏ الْك</w:t>
      </w:r>
      <w:r w:rsidR="00097CDF"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افِرِينَ</w:t>
      </w:r>
      <w:r w:rsidR="005D05A4" w:rsidRPr="006571AC">
        <w:rPr>
          <w:rFonts w:ascii="Mosawi" w:hAnsi="Mosawi" w:cs="Mosawi"/>
          <w:rtl/>
        </w:rPr>
        <w:t>﴾</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ومعن</w:t>
      </w:r>
      <w:r w:rsidR="00097CDF" w:rsidRPr="006571AC">
        <w:rPr>
          <w:rFonts w:cs="AL-Mohanad" w:hint="cs"/>
          <w:sz w:val="27"/>
          <w:szCs w:val="27"/>
          <w:rtl/>
        </w:rPr>
        <w:t>ى</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الكفر</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هنا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هو</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 xml:space="preserve">نكار وعدم قبول ما </w:t>
      </w:r>
      <w:r w:rsidR="005D05A4" w:rsidRPr="006571AC">
        <w:rPr>
          <w:rFonts w:ascii="Sakkal Majalla" w:hAnsi="Sakkal Majalla" w:cs="AL-Mohanad" w:hint="cs"/>
          <w:sz w:val="27"/>
          <w:szCs w:val="27"/>
          <w:rtl/>
        </w:rPr>
        <w:t>أ</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نزل إلى </w:t>
      </w:r>
      <w:r w:rsidR="005D05A4" w:rsidRPr="006571AC">
        <w:rPr>
          <w:rFonts w:ascii="Sakkal Majalla" w:hAnsi="Sakkal Majalla" w:cs="AL-Mohanad" w:hint="cs"/>
          <w:sz w:val="27"/>
          <w:szCs w:val="27"/>
          <w:rtl/>
        </w:rPr>
        <w:t>الرسول</w:t>
      </w:r>
      <w:r w:rsidR="002A2C90" w:rsidRPr="006571AC">
        <w:rPr>
          <w:rFonts w:ascii="Mosawi" w:hAnsi="Mosawi" w:cs="Mosawi"/>
          <w:sz w:val="22"/>
          <w:szCs w:val="22"/>
          <w:rtl/>
        </w:rPr>
        <w:t>|</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وهو ولا</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العترة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الطاهرة</w:t>
      </w:r>
      <w:r w:rsidR="005D05A4" w:rsidRPr="006571AC">
        <w:rPr>
          <w:rFonts w:ascii="Sakkal Majalla" w:hAnsi="Sakkal Majalla" w:cs="AL-Mohanad"/>
          <w:sz w:val="27"/>
          <w:szCs w:val="27"/>
          <w:rtl/>
        </w:rPr>
        <w:t xml:space="preserve"> وف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مقد</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متهم علي</w:t>
      </w:r>
      <w:r w:rsidR="00097CDF" w:rsidRPr="006571AC">
        <w:rPr>
          <w:rFonts w:ascii="Sakkal Majalla" w:hAnsi="Sakkal Majalla" w:cs="AL-Mohanad" w:hint="cs"/>
          <w:sz w:val="27"/>
          <w:szCs w:val="27"/>
          <w:rtl/>
        </w:rPr>
        <w:t>ّ</w:t>
      </w:r>
      <w:r w:rsidR="002A2C90" w:rsidRPr="006571AC">
        <w:rPr>
          <w:rFonts w:ascii="Mosawi" w:hAnsi="Mosawi" w:cs="Mosawi"/>
          <w:sz w:val="22"/>
          <w:szCs w:val="22"/>
          <w:rtl/>
        </w:rPr>
        <w:t>×</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xml:space="preserve">ولا </w:t>
      </w:r>
      <w:r w:rsidR="005D05A4" w:rsidRPr="006571AC">
        <w:rPr>
          <w:rFonts w:cs="AL-Mohanad" w:hint="cs"/>
          <w:sz w:val="27"/>
          <w:szCs w:val="27"/>
          <w:rtl/>
        </w:rPr>
        <w:t>ي</w:t>
      </w:r>
      <w:r w:rsidR="00097CDF" w:rsidRPr="006571AC">
        <w:rPr>
          <w:rFonts w:cs="AL-Mohanad" w:hint="cs"/>
          <w:sz w:val="27"/>
          <w:szCs w:val="27"/>
          <w:rtl/>
        </w:rPr>
        <w:t>ُ</w:t>
      </w:r>
      <w:r w:rsidR="005D05A4" w:rsidRPr="006571AC">
        <w:rPr>
          <w:rFonts w:ascii="Sakkal Majalla" w:hAnsi="Sakkal Majalla" w:cs="AL-Mohanad" w:hint="cs"/>
          <w:sz w:val="27"/>
          <w:szCs w:val="27"/>
          <w:rtl/>
        </w:rPr>
        <w:t>راد</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به</w:t>
      </w:r>
      <w:r w:rsidR="005D05A4" w:rsidRPr="006571AC">
        <w:rPr>
          <w:rFonts w:ascii="Sakkal Majalla" w:hAnsi="Sakkal Majalla" w:cs="AL-Mohanad"/>
          <w:sz w:val="27"/>
          <w:szCs w:val="27"/>
          <w:rtl/>
        </w:rPr>
        <w:t xml:space="preserve"> الكفر المطلق</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الذ</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عن</w:t>
      </w:r>
      <w:r w:rsidR="00097CDF" w:rsidRPr="006571AC">
        <w:rPr>
          <w:rFonts w:cs="AL-Mohanad" w:hint="cs"/>
          <w:sz w:val="27"/>
          <w:szCs w:val="27"/>
          <w:rtl/>
        </w:rPr>
        <w:t>ى</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به</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عدم</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الإ</w:t>
      </w:r>
      <w:r w:rsidR="005D05A4" w:rsidRPr="006571AC">
        <w:rPr>
          <w:rFonts w:cs="AL-Mohanad" w:hint="cs"/>
          <w:sz w:val="27"/>
          <w:szCs w:val="27"/>
          <w:rtl/>
        </w:rPr>
        <w:t>ي</w:t>
      </w:r>
      <w:r w:rsidR="005D05A4" w:rsidRPr="006571AC">
        <w:rPr>
          <w:rFonts w:ascii="Sakkal Majalla" w:hAnsi="Sakkal Majalla" w:cs="AL-Mohanad" w:hint="cs"/>
          <w:sz w:val="27"/>
          <w:szCs w:val="27"/>
          <w:rtl/>
        </w:rPr>
        <w:t>مان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بالله</w:t>
      </w:r>
      <w:r w:rsidR="005D05A4" w:rsidRPr="006571AC">
        <w:rPr>
          <w:rFonts w:ascii="Sakkal Majalla" w:hAnsi="Sakkal Majalla" w:cs="AL-Mohanad"/>
          <w:sz w:val="27"/>
          <w:szCs w:val="27"/>
          <w:rtl/>
        </w:rPr>
        <w:t xml:space="preserve"> ورسله وملائكته و...</w:t>
      </w:r>
      <w:r w:rsidR="005D05A4" w:rsidRPr="006571AC">
        <w:rPr>
          <w:rFonts w:ascii="Sakkal Majalla" w:hAnsi="Sakkal Majalla" w:cs="AL-Mohanad"/>
          <w:sz w:val="27"/>
          <w:szCs w:val="27"/>
          <w:vertAlign w:val="superscript"/>
          <w:rtl/>
        </w:rPr>
        <w:t>(</w:t>
      </w:r>
      <w:r w:rsidR="005D05A4" w:rsidRPr="006571AC">
        <w:rPr>
          <w:rStyle w:val="ac"/>
          <w:rFonts w:ascii="Sakkal Majalla" w:hAnsi="Sakkal Majalla" w:cs="AL-Mohanad"/>
          <w:sz w:val="27"/>
          <w:szCs w:val="27"/>
          <w:rtl/>
        </w:rPr>
        <w:endnoteReference w:id="341"/>
      </w:r>
      <w:r w:rsidR="005D05A4" w:rsidRPr="006571AC">
        <w:rPr>
          <w:rFonts w:ascii="Sakkal Majalla" w:hAnsi="Sakkal Majalla" w:cs="AL-Mohanad"/>
          <w:sz w:val="27"/>
          <w:szCs w:val="27"/>
          <w:vertAlign w:val="superscript"/>
          <w:rtl/>
        </w:rPr>
        <w:t>)</w:t>
      </w:r>
      <w:r w:rsidR="005D05A4" w:rsidRPr="006571AC">
        <w:rPr>
          <w:rFonts w:ascii="Sakkal Majalla" w:hAnsi="Sakkal Majalla" w:cs="AL-Mohanad" w:hint="cs"/>
          <w:sz w:val="27"/>
          <w:szCs w:val="27"/>
          <w:rtl/>
        </w:rPr>
        <w:t>.</w:t>
      </w:r>
    </w:p>
    <w:p w:rsidR="005D05A4" w:rsidRPr="006571AC" w:rsidRDefault="005D05A4" w:rsidP="005D3BB1">
      <w:pPr>
        <w:pStyle w:val="af"/>
        <w:spacing w:line="430" w:lineRule="exact"/>
        <w:rPr>
          <w:rFonts w:ascii="Sakkal Majalla" w:hAnsi="Sakkal Majalla" w:cs="AL-Mohanad"/>
          <w:sz w:val="27"/>
          <w:szCs w:val="27"/>
        </w:rPr>
      </w:pPr>
    </w:p>
    <w:p w:rsidR="005D05A4" w:rsidRPr="006571AC" w:rsidRDefault="00097CDF" w:rsidP="00097CDF">
      <w:pPr>
        <w:pStyle w:val="31"/>
        <w:rPr>
          <w:color w:val="auto"/>
          <w:rtl/>
        </w:rPr>
      </w:pPr>
      <w:bookmarkStart w:id="153" w:name="_Toc114164641"/>
      <w:r w:rsidRPr="006571AC">
        <w:rPr>
          <w:rFonts w:hint="cs"/>
          <w:color w:val="auto"/>
          <w:rtl/>
        </w:rPr>
        <w:t>إ</w:t>
      </w:r>
      <w:r w:rsidR="005D05A4" w:rsidRPr="006571AC">
        <w:rPr>
          <w:color w:val="auto"/>
          <w:rtl/>
        </w:rPr>
        <w:t>شكالات</w:t>
      </w:r>
      <w:r w:rsidRPr="006571AC">
        <w:rPr>
          <w:rFonts w:hint="cs"/>
          <w:color w:val="auto"/>
          <w:rtl/>
        </w:rPr>
        <w:t>ٌ</w:t>
      </w:r>
      <w:r w:rsidR="005D05A4" w:rsidRPr="006571AC">
        <w:rPr>
          <w:color w:val="auto"/>
          <w:rtl/>
        </w:rPr>
        <w:t xml:space="preserve"> </w:t>
      </w:r>
      <w:r w:rsidR="003F2EAB" w:rsidRPr="006571AC">
        <w:rPr>
          <w:rFonts w:hint="cs"/>
          <w:color w:val="auto"/>
          <w:rtl/>
        </w:rPr>
        <w:t xml:space="preserve">وإيرادات </w:t>
      </w:r>
      <w:r w:rsidR="005D05A4" w:rsidRPr="006571AC">
        <w:rPr>
          <w:color w:val="auto"/>
          <w:rtl/>
        </w:rPr>
        <w:t xml:space="preserve">على </w:t>
      </w:r>
      <w:r w:rsidR="005D05A4" w:rsidRPr="006571AC">
        <w:rPr>
          <w:rFonts w:hint="cs"/>
          <w:color w:val="auto"/>
          <w:rtl/>
        </w:rPr>
        <w:t>قول</w:t>
      </w:r>
      <w:r w:rsidR="005D05A4" w:rsidRPr="006571AC">
        <w:rPr>
          <w:color w:val="auto"/>
          <w:rtl/>
        </w:rPr>
        <w:t xml:space="preserve"> </w:t>
      </w:r>
      <w:r w:rsidR="005D05A4" w:rsidRPr="006571AC">
        <w:rPr>
          <w:rFonts w:hint="cs"/>
          <w:color w:val="auto"/>
          <w:rtl/>
        </w:rPr>
        <w:t>ال</w:t>
      </w:r>
      <w:r w:rsidRPr="006571AC">
        <w:rPr>
          <w:rFonts w:hint="cs"/>
          <w:color w:val="auto"/>
          <w:rtl/>
        </w:rPr>
        <w:t>إ</w:t>
      </w:r>
      <w:r w:rsidR="005D05A4" w:rsidRPr="006571AC">
        <w:rPr>
          <w:rFonts w:hint="cs"/>
          <w:color w:val="auto"/>
          <w:rtl/>
        </w:rPr>
        <w:t>مامي</w:t>
      </w:r>
      <w:r w:rsidR="003F2EAB" w:rsidRPr="006571AC">
        <w:rPr>
          <w:rFonts w:hint="cs"/>
          <w:color w:val="auto"/>
          <w:rtl/>
        </w:rPr>
        <w:t>ّ</w:t>
      </w:r>
      <w:r w:rsidR="005D05A4" w:rsidRPr="006571AC">
        <w:rPr>
          <w:rFonts w:hint="cs"/>
          <w:color w:val="auto"/>
          <w:rtl/>
        </w:rPr>
        <w:t>ة</w:t>
      </w:r>
      <w:bookmarkEnd w:id="153"/>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sz w:val="27"/>
          <w:szCs w:val="27"/>
          <w:rtl/>
        </w:rPr>
        <w:t>لقد أورد بعض علماء العام</w:t>
      </w:r>
      <w:r w:rsidR="00097CDF" w:rsidRPr="006571AC">
        <w:rPr>
          <w:rFonts w:ascii="Sakkal Majalla" w:hAnsi="Sakkal Majalla" w:cs="AL-Mohanad" w:hint="cs"/>
          <w:sz w:val="27"/>
          <w:szCs w:val="27"/>
          <w:rtl/>
        </w:rPr>
        <w:t>ّ</w:t>
      </w:r>
      <w:r w:rsidRPr="006571AC">
        <w:rPr>
          <w:rFonts w:ascii="Sakkal Majalla" w:hAnsi="Sakkal Majalla" w:cs="AL-Mohanad" w:hint="cs"/>
          <w:sz w:val="27"/>
          <w:szCs w:val="27"/>
          <w:rtl/>
        </w:rPr>
        <w:t>ة إشكالات على تفس</w:t>
      </w:r>
      <w:r w:rsidRPr="006571AC">
        <w:rPr>
          <w:rFonts w:cs="AL-Mohanad" w:hint="cs"/>
          <w:sz w:val="27"/>
          <w:szCs w:val="27"/>
          <w:rtl/>
        </w:rPr>
        <w:t>ي</w:t>
      </w:r>
      <w:r w:rsidRPr="006571AC">
        <w:rPr>
          <w:rFonts w:ascii="Sakkal Majalla" w:hAnsi="Sakkal Majalla" w:cs="AL-Mohanad" w:hint="cs"/>
          <w:sz w:val="27"/>
          <w:szCs w:val="27"/>
          <w:rtl/>
        </w:rPr>
        <w:t>ر ال</w:t>
      </w:r>
      <w:r w:rsidR="00097CDF" w:rsidRPr="006571AC">
        <w:rPr>
          <w:rFonts w:ascii="Sakkal Majalla" w:hAnsi="Sakkal Majalla" w:cs="AL-Mohanad" w:hint="cs"/>
          <w:sz w:val="27"/>
          <w:szCs w:val="27"/>
          <w:rtl/>
        </w:rPr>
        <w:t>إ</w:t>
      </w:r>
      <w:r w:rsidRPr="006571AC">
        <w:rPr>
          <w:rFonts w:ascii="Sakkal Majalla" w:hAnsi="Sakkal Majalla" w:cs="AL-Mohanad" w:hint="cs"/>
          <w:sz w:val="27"/>
          <w:szCs w:val="27"/>
          <w:rtl/>
        </w:rPr>
        <w:t>مام</w:t>
      </w:r>
      <w:r w:rsidRPr="006571AC">
        <w:rPr>
          <w:rFonts w:cs="AL-Mohanad" w:hint="cs"/>
          <w:sz w:val="27"/>
          <w:szCs w:val="27"/>
          <w:rtl/>
        </w:rPr>
        <w:t>ي</w:t>
      </w:r>
      <w:r w:rsidRPr="006571AC">
        <w:rPr>
          <w:rFonts w:ascii="Sakkal Majalla" w:hAnsi="Sakkal Majalla" w:cs="AL-Mohanad" w:hint="cs"/>
          <w:sz w:val="27"/>
          <w:szCs w:val="27"/>
          <w:rtl/>
        </w:rPr>
        <w:t>ة للآ</w:t>
      </w:r>
      <w:r w:rsidRPr="006571AC">
        <w:rPr>
          <w:rFonts w:cs="AL-Mohanad" w:hint="cs"/>
          <w:sz w:val="27"/>
          <w:szCs w:val="27"/>
          <w:rtl/>
        </w:rPr>
        <w:t>ي</w:t>
      </w:r>
      <w:r w:rsidRPr="006571AC">
        <w:rPr>
          <w:rFonts w:ascii="Sakkal Majalla" w:hAnsi="Sakkal Majalla" w:cs="AL-Mohanad" w:hint="cs"/>
          <w:sz w:val="27"/>
          <w:szCs w:val="27"/>
          <w:rtl/>
        </w:rPr>
        <w:t>ة، نذكر بعضها:</w:t>
      </w:r>
    </w:p>
    <w:p w:rsidR="005D05A4" w:rsidRPr="006571AC" w:rsidRDefault="005D05A4" w:rsidP="005D3BB1">
      <w:pPr>
        <w:pStyle w:val="af"/>
        <w:spacing w:line="420" w:lineRule="exact"/>
        <w:rPr>
          <w:rFonts w:ascii="Sakkal Majalla" w:hAnsi="Sakkal Majalla" w:cs="AL-Mohanad"/>
          <w:sz w:val="27"/>
          <w:szCs w:val="27"/>
          <w:rtl/>
        </w:rPr>
      </w:pPr>
    </w:p>
    <w:p w:rsidR="005D05A4" w:rsidRPr="006571AC" w:rsidRDefault="00E44B43" w:rsidP="00E44B43">
      <w:pPr>
        <w:pStyle w:val="31"/>
        <w:rPr>
          <w:color w:val="auto"/>
          <w:rtl/>
        </w:rPr>
      </w:pPr>
      <w:bookmarkStart w:id="154" w:name="_Toc114164642"/>
      <w:r w:rsidRPr="006571AC">
        <w:rPr>
          <w:rFonts w:hint="cs"/>
          <w:color w:val="auto"/>
          <w:rtl/>
        </w:rPr>
        <w:t>1ـ</w:t>
      </w:r>
      <w:r w:rsidR="005D05A4" w:rsidRPr="006571AC">
        <w:rPr>
          <w:color w:val="auto"/>
          <w:rtl/>
        </w:rPr>
        <w:t xml:space="preserve"> تكذ</w:t>
      </w:r>
      <w:r w:rsidR="005D05A4" w:rsidRPr="006571AC">
        <w:rPr>
          <w:rFonts w:hint="cs"/>
          <w:color w:val="auto"/>
          <w:rtl/>
        </w:rPr>
        <w:t>يب</w:t>
      </w:r>
      <w:r w:rsidR="005D05A4" w:rsidRPr="006571AC">
        <w:rPr>
          <w:color w:val="auto"/>
          <w:rtl/>
        </w:rPr>
        <w:t xml:space="preserve"> </w:t>
      </w:r>
      <w:r w:rsidR="005D05A4" w:rsidRPr="006571AC">
        <w:rPr>
          <w:rFonts w:hint="cs"/>
          <w:color w:val="auto"/>
          <w:rtl/>
        </w:rPr>
        <w:t>ابن</w:t>
      </w:r>
      <w:r w:rsidR="005D05A4" w:rsidRPr="006571AC">
        <w:rPr>
          <w:color w:val="auto"/>
          <w:rtl/>
        </w:rPr>
        <w:t xml:space="preserve"> </w:t>
      </w:r>
      <w:r w:rsidR="005D05A4" w:rsidRPr="006571AC">
        <w:rPr>
          <w:rFonts w:hint="cs"/>
          <w:color w:val="auto"/>
          <w:rtl/>
        </w:rPr>
        <w:t>تيمي</w:t>
      </w:r>
      <w:r w:rsidRPr="006571AC">
        <w:rPr>
          <w:rFonts w:hint="cs"/>
          <w:color w:val="auto"/>
          <w:rtl/>
        </w:rPr>
        <w:t>ّ</w:t>
      </w:r>
      <w:r w:rsidR="005D05A4" w:rsidRPr="006571AC">
        <w:rPr>
          <w:rFonts w:hint="cs"/>
          <w:color w:val="auto"/>
          <w:rtl/>
        </w:rPr>
        <w:t>ة</w:t>
      </w:r>
      <w:r w:rsidR="005D05A4" w:rsidRPr="006571AC">
        <w:rPr>
          <w:color w:val="auto"/>
          <w:rtl/>
        </w:rPr>
        <w:t xml:space="preserve"> </w:t>
      </w:r>
      <w:r w:rsidRPr="006571AC">
        <w:rPr>
          <w:rFonts w:hint="cs"/>
          <w:color w:val="auto"/>
          <w:rtl/>
        </w:rPr>
        <w:t>للروايات التفسيريّة</w:t>
      </w:r>
      <w:bookmarkEnd w:id="154"/>
      <w:r w:rsidR="005D05A4" w:rsidRPr="006571AC">
        <w:rPr>
          <w:rFonts w:hint="cs"/>
          <w:color w:val="auto"/>
          <w:rtl/>
        </w:rPr>
        <w:t xml:space="preserve"> </w:t>
      </w:r>
    </w:p>
    <w:p w:rsidR="00E44B43"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 xml:space="preserve">لقد </w:t>
      </w:r>
      <w:r w:rsidR="00097CDF" w:rsidRPr="006571AC">
        <w:rPr>
          <w:rFonts w:ascii="Sakkal Majalla" w:hAnsi="Sakkal Majalla" w:cs="AL-Mohanad" w:hint="cs"/>
          <w:sz w:val="27"/>
          <w:szCs w:val="27"/>
          <w:rtl/>
        </w:rPr>
        <w:t>ا</w:t>
      </w:r>
      <w:r w:rsidRPr="006571AC">
        <w:rPr>
          <w:rFonts w:ascii="Sakkal Majalla" w:hAnsi="Sakkal Majalla" w:cs="AL-Mohanad" w:hint="cs"/>
          <w:sz w:val="27"/>
          <w:szCs w:val="27"/>
          <w:rtl/>
        </w:rPr>
        <w:t>ت</w:t>
      </w:r>
      <w:r w:rsidRPr="006571AC">
        <w:rPr>
          <w:rFonts w:ascii="Sakkal Majalla" w:hAnsi="Sakkal Majalla" w:cs="AL-Mohanad"/>
          <w:sz w:val="27"/>
          <w:szCs w:val="27"/>
          <w:rtl/>
        </w:rPr>
        <w:t>ّ</w:t>
      </w:r>
      <w:r w:rsidR="00097CDF" w:rsidRPr="006571AC">
        <w:rPr>
          <w:rFonts w:ascii="Sakkal Majalla" w:hAnsi="Sakkal Majalla" w:cs="AL-Mohanad" w:hint="cs"/>
          <w:sz w:val="27"/>
          <w:szCs w:val="27"/>
          <w:rtl/>
        </w:rPr>
        <w:t>َ</w:t>
      </w:r>
      <w:r w:rsidRPr="006571AC">
        <w:rPr>
          <w:rFonts w:ascii="Sakkal Majalla" w:hAnsi="Sakkal Majalla" w:cs="AL-Mohanad"/>
          <w:sz w:val="27"/>
          <w:szCs w:val="27"/>
          <w:rtl/>
        </w:rPr>
        <w:t xml:space="preserve">هم </w:t>
      </w:r>
      <w:r w:rsidR="00097CDF" w:rsidRPr="006571AC">
        <w:rPr>
          <w:rFonts w:ascii="Sakkal Majalla" w:hAnsi="Sakkal Majalla" w:cs="AL-Mohanad" w:hint="cs"/>
          <w:sz w:val="27"/>
          <w:szCs w:val="27"/>
          <w:rtl/>
        </w:rPr>
        <w:t>ا</w:t>
      </w:r>
      <w:r w:rsidRPr="006571AC">
        <w:rPr>
          <w:rFonts w:ascii="Sakkal Majalla" w:hAnsi="Sakkal Majalla" w:cs="AL-Mohanad"/>
          <w:sz w:val="27"/>
          <w:szCs w:val="27"/>
          <w:rtl/>
        </w:rPr>
        <w:t>بن ت</w:t>
      </w:r>
      <w:r w:rsidRPr="006571AC">
        <w:rPr>
          <w:rFonts w:cs="AL-Mohanad" w:hint="cs"/>
          <w:sz w:val="27"/>
          <w:szCs w:val="27"/>
          <w:rtl/>
        </w:rPr>
        <w:t>ي</w:t>
      </w:r>
      <w:r w:rsidRPr="006571AC">
        <w:rPr>
          <w:rFonts w:ascii="Sakkal Majalla" w:hAnsi="Sakkal Majalla" w:cs="AL-Mohanad" w:hint="cs"/>
          <w:sz w:val="27"/>
          <w:szCs w:val="27"/>
          <w:rtl/>
        </w:rPr>
        <w:t>م</w:t>
      </w:r>
      <w:r w:rsidRPr="006571AC">
        <w:rPr>
          <w:rFonts w:cs="AL-Mohanad" w:hint="cs"/>
          <w:sz w:val="27"/>
          <w:szCs w:val="27"/>
          <w:rtl/>
        </w:rPr>
        <w:t>ي</w:t>
      </w:r>
      <w:r w:rsidR="00097CDF"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الحرّان</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w:t>
      </w:r>
      <w:r w:rsidRPr="006571AC">
        <w:rPr>
          <w:rFonts w:cs="AL-Mohanad" w:hint="cs"/>
          <w:sz w:val="27"/>
          <w:szCs w:val="27"/>
          <w:rtl/>
        </w:rPr>
        <w:t>ي</w:t>
      </w:r>
      <w:r w:rsidRPr="006571AC">
        <w:rPr>
          <w:rFonts w:ascii="Sakkal Majalla" w:hAnsi="Sakkal Majalla" w:cs="AL-Mohanad" w:hint="cs"/>
          <w:sz w:val="27"/>
          <w:szCs w:val="27"/>
          <w:rtl/>
        </w:rPr>
        <w:t>عة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بالف</w:t>
      </w:r>
      <w:r w:rsidR="00097CDF"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00097CDF" w:rsidRPr="006571AC">
        <w:rPr>
          <w:rFonts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والكذب</w:t>
      </w:r>
      <w:r w:rsidRPr="006571AC">
        <w:rPr>
          <w:rFonts w:ascii="Sakkal Majalla" w:hAnsi="Sakkal Majalla" w:cs="AL-Mohanad" w:hint="cs"/>
          <w:sz w:val="27"/>
          <w:szCs w:val="27"/>
          <w:rtl/>
        </w:rPr>
        <w:t xml:space="preserve"> في</w:t>
      </w:r>
      <w:r w:rsidR="00097CDF"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 xml:space="preserve">ما </w:t>
      </w:r>
      <w:r w:rsidR="00097CDF" w:rsidRPr="006571AC">
        <w:rPr>
          <w:rFonts w:ascii="Sakkal Majalla" w:hAnsi="Sakkal Majalla" w:cs="AL-Mohanad" w:hint="cs"/>
          <w:sz w:val="27"/>
          <w:szCs w:val="27"/>
          <w:rtl/>
        </w:rPr>
        <w:t>ا</w:t>
      </w:r>
      <w:r w:rsidRPr="006571AC">
        <w:rPr>
          <w:rFonts w:ascii="Sakkal Majalla" w:hAnsi="Sakkal Majalla" w:cs="AL-Mohanad" w:hint="cs"/>
          <w:sz w:val="27"/>
          <w:szCs w:val="27"/>
          <w:rtl/>
        </w:rPr>
        <w:t>د</w:t>
      </w:r>
      <w:r w:rsidR="00097CDF" w:rsidRPr="006571AC">
        <w:rPr>
          <w:rFonts w:ascii="Sakkal Majalla" w:hAnsi="Sakkal Majalla" w:cs="AL-Mohanad" w:hint="cs"/>
          <w:sz w:val="27"/>
          <w:szCs w:val="27"/>
          <w:rtl/>
        </w:rPr>
        <w:t>َّ</w:t>
      </w:r>
      <w:r w:rsidRPr="006571AC">
        <w:rPr>
          <w:rFonts w:ascii="Sakkal Majalla" w:hAnsi="Sakkal Majalla" w:cs="AL-Mohanad" w:hint="cs"/>
          <w:sz w:val="27"/>
          <w:szCs w:val="27"/>
          <w:rtl/>
        </w:rPr>
        <w:t>عوه من نزول الآية في علي</w:t>
      </w:r>
      <w:r w:rsidR="00031E29"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00E06390" w:rsidRPr="006571AC">
        <w:rPr>
          <w:rFonts w:ascii="Sakkal Majalla" w:hAnsi="Sakkal Majalla" w:cs="AL-Mohanad"/>
          <w:sz w:val="27"/>
          <w:szCs w:val="27"/>
          <w:rtl/>
        </w:rPr>
        <w:t>و</w:t>
      </w:r>
      <w:r w:rsidRPr="006571AC">
        <w:rPr>
          <w:rFonts w:ascii="Sakkal Majalla" w:hAnsi="Sakkal Majalla" w:cs="AL-Mohanad"/>
          <w:sz w:val="27"/>
          <w:szCs w:val="27"/>
          <w:rtl/>
        </w:rPr>
        <w:t>قال بعد نقله كلام العلا</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مة الحل</w:t>
      </w:r>
      <w:r w:rsidR="00031E29" w:rsidRPr="006571AC">
        <w:rPr>
          <w:rFonts w:cs="AL-Mohanad" w:hint="cs"/>
          <w:sz w:val="27"/>
          <w:szCs w:val="27"/>
          <w:rtl/>
        </w:rPr>
        <w:t>ّ</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نصّه</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sz w:val="27"/>
          <w:szCs w:val="27"/>
          <w:rtl/>
        </w:rPr>
        <w:t>وقول</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ه</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اتّفقوا على نزولها في عليّ</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أعظم</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كذباً ممّا قاله في تلك الآية، فلم يق</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ل</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لا هذا ولا ذاك أحد</w:t>
      </w:r>
      <w:r w:rsidR="00031E29" w:rsidRPr="006571AC">
        <w:rPr>
          <w:rFonts w:ascii="Sakkal Majalla" w:hAnsi="Sakkal Majalla" w:cs="AL-Mohanad" w:hint="cs"/>
          <w:sz w:val="27"/>
          <w:szCs w:val="27"/>
          <w:rtl/>
        </w:rPr>
        <w:t>ٌ</w:t>
      </w:r>
      <w:r w:rsidR="00031E29" w:rsidRPr="006571AC">
        <w:rPr>
          <w:rFonts w:ascii="Sakkal Majalla" w:hAnsi="Sakkal Majalla" w:cs="AL-Mohanad"/>
          <w:sz w:val="27"/>
          <w:szCs w:val="27"/>
          <w:rtl/>
        </w:rPr>
        <w:t xml:space="preserve"> من العلماء ال</w:t>
      </w:r>
      <w:r w:rsidRPr="006571AC">
        <w:rPr>
          <w:rFonts w:ascii="Sakkal Majalla" w:hAnsi="Sakkal Majalla" w:cs="AL-Mohanad"/>
          <w:sz w:val="27"/>
          <w:szCs w:val="27"/>
          <w:rtl/>
        </w:rPr>
        <w:t xml:space="preserve">ذين يدرون ما يقولون. وأمّا ما يرويه أبو نعيم في‏ الحلية أو في‏ فضائل الخلفاء والنقّاش والثعلبي والواحدي ونحوهم في‏ التفسير فقد اتّفق أهل المعرفة على أنّ في ما يروونه كثيراً من الكذب الموضوع. واتّفقوا على أنّ هذا الحديث المذكور الذي رواه الثعلبي في‏ تفسيره‏ هو من الموضوع.... ولكنّ المقصود هنا أنّا نذكر قاعدة فنقول: المنقولات </w:t>
      </w:r>
      <w:r w:rsidRPr="006571AC">
        <w:rPr>
          <w:rFonts w:ascii="Sakkal Majalla" w:hAnsi="Sakkal Majalla" w:cs="AL-Mohanad"/>
          <w:sz w:val="27"/>
          <w:szCs w:val="27"/>
          <w:rtl/>
        </w:rPr>
        <w:lastRenderedPageBreak/>
        <w:t>فيها كثير من الصدق وكثير من الكذب، والمرجع في التمييز بين هذا وهذا إلى أهل علم الحديث...</w:t>
      </w:r>
      <w:r w:rsidR="007A34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فلكلّ علم</w:t>
      </w:r>
      <w:r w:rsidR="007A34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رجال</w:t>
      </w:r>
      <w:r w:rsidR="007A34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يعرفون به، والعلماء بالحديث أجلّ هؤلاء قدراً، وأعظمهم صدقاً، وأعلاهم منزلة، وأكثر ديناً، وهم من أعظم الناس صدقاً وأمانةً وعلماً وخبرةً في ما يذكرونه من الجرح والتعديل.... فالأصل في النقل أن يُر</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ج</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ع فيه إلى أئمّة النقل وعلمائه... ومجرّد ع</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ز</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وه إلى رواية الثعلبي ونحوه ليس دليلاً على صحّته باتّفاق أهل العلم بالنقل؛ لهذا لم ي</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ر</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وِه أحد</w:t>
      </w:r>
      <w:r w:rsidR="007A34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علماء الحديث في شي‏ء</w:t>
      </w:r>
      <w:r w:rsidR="007A34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كتبهم</w:t>
      </w:r>
      <w:r w:rsidRPr="006571AC">
        <w:rPr>
          <w:rFonts w:ascii="Sakkal Majalla" w:hAnsi="Sakkal Majalla" w:cs="AL-Mohanad" w:hint="cs"/>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42"/>
      </w:r>
      <w:r w:rsidRPr="006571AC">
        <w:rPr>
          <w:rFonts w:ascii="Sakkal Majalla" w:hAnsi="Sakkal Majalla" w:cs="AL-Mohanad"/>
          <w:sz w:val="27"/>
          <w:szCs w:val="27"/>
          <w:vertAlign w:val="superscript"/>
          <w:rtl/>
        </w:rPr>
        <w:t>)</w:t>
      </w:r>
      <w:r w:rsidR="00E44B43" w:rsidRPr="006571AC">
        <w:rPr>
          <w:rFonts w:ascii="Sakkal Majalla" w:hAnsi="Sakkal Majalla" w:cs="AL-Mohanad"/>
          <w:sz w:val="27"/>
          <w:szCs w:val="27"/>
          <w:rtl/>
        </w:rPr>
        <w:t>.</w:t>
      </w:r>
    </w:p>
    <w:p w:rsidR="005D05A4" w:rsidRPr="006571AC" w:rsidRDefault="002B3461" w:rsidP="00B51DF0">
      <w:pPr>
        <w:pStyle w:val="af"/>
        <w:spacing w:line="380" w:lineRule="exact"/>
        <w:rPr>
          <w:rFonts w:ascii="Sakkal Majalla" w:hAnsi="Sakkal Majalla" w:cs="AL-Mohanad"/>
          <w:sz w:val="27"/>
          <w:szCs w:val="27"/>
          <w:rtl/>
        </w:rPr>
      </w:pPr>
      <w:r w:rsidRPr="006571AC">
        <w:rPr>
          <w:rFonts w:ascii="Sakkal Majalla" w:hAnsi="Sakkal Majalla" w:cs="AL-Mohanad" w:hint="cs"/>
          <w:b/>
          <w:bCs/>
          <w:sz w:val="27"/>
          <w:szCs w:val="27"/>
          <w:rtl/>
        </w:rPr>
        <w:t>و</w:t>
      </w:r>
      <w:r w:rsidR="005D05A4" w:rsidRPr="006571AC">
        <w:rPr>
          <w:rFonts w:ascii="Sakkal Majalla" w:hAnsi="Sakkal Majalla" w:cs="AL-Mohanad" w:hint="cs"/>
          <w:b/>
          <w:bCs/>
          <w:sz w:val="27"/>
          <w:szCs w:val="27"/>
          <w:rtl/>
        </w:rPr>
        <w:t>في الجواب عن ذلك نقول</w:t>
      </w:r>
      <w:r w:rsidR="005D05A4" w:rsidRPr="006571AC">
        <w:rPr>
          <w:rFonts w:ascii="Sakkal Majalla" w:hAnsi="Sakkal Majalla" w:cs="AL-Mohanad" w:hint="cs"/>
          <w:sz w:val="27"/>
          <w:szCs w:val="27"/>
          <w:rtl/>
        </w:rPr>
        <w:t xml:space="preserve">: نعم، </w:t>
      </w:r>
      <w:r w:rsidR="005D05A4" w:rsidRPr="006571AC">
        <w:rPr>
          <w:rFonts w:ascii="Sakkal Majalla" w:hAnsi="Sakkal Majalla" w:cs="AL-Mohanad"/>
          <w:sz w:val="27"/>
          <w:szCs w:val="27"/>
          <w:rtl/>
        </w:rPr>
        <w:t>ر</w:t>
      </w:r>
      <w:r w:rsidR="007A3466" w:rsidRPr="006571AC">
        <w:rPr>
          <w:rFonts w:ascii="Sakkal Majalla" w:hAnsi="Sakkal Majalla" w:cs="AL-Mohanad" w:hint="cs"/>
          <w:sz w:val="27"/>
          <w:szCs w:val="27"/>
          <w:rtl/>
        </w:rPr>
        <w:t>ُ</w:t>
      </w:r>
      <w:r w:rsidR="005D05A4" w:rsidRPr="006571AC">
        <w:rPr>
          <w:rFonts w:ascii="Sakkal Majalla" w:hAnsi="Sakkal Majalla" w:cs="AL-Mohanad"/>
          <w:sz w:val="27"/>
          <w:szCs w:val="27"/>
          <w:rtl/>
        </w:rPr>
        <w:t>ب</w:t>
      </w:r>
      <w:r w:rsidR="007A3466" w:rsidRPr="006571AC">
        <w:rPr>
          <w:rFonts w:ascii="Sakkal Majalla" w:hAnsi="Sakkal Majalla" w:cs="AL-Mohanad" w:hint="cs"/>
          <w:sz w:val="27"/>
          <w:szCs w:val="27"/>
          <w:rtl/>
        </w:rPr>
        <w:t>َ</w:t>
      </w:r>
      <w:r w:rsidR="005D05A4" w:rsidRPr="006571AC">
        <w:rPr>
          <w:rFonts w:ascii="Sakkal Majalla" w:hAnsi="Sakkal Majalla" w:cs="AL-Mohanad"/>
          <w:sz w:val="27"/>
          <w:szCs w:val="27"/>
          <w:rtl/>
        </w:rPr>
        <w:t>ما لا</w:t>
      </w:r>
      <w:r w:rsidR="007A3466" w:rsidRPr="006571AC">
        <w:rPr>
          <w:rFonts w:ascii="Sakkal Majalla" w:hAnsi="Sakkal Majalla" w:cs="AL-Mohanad" w:hint="cs"/>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مكن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لنا إ</w:t>
      </w:r>
      <w:r w:rsidR="005D05A4" w:rsidRPr="006571AC">
        <w:rPr>
          <w:rFonts w:ascii="Sakkal Majalla" w:hAnsi="Sakkal Majalla" w:cs="AL-Mohanad"/>
          <w:sz w:val="27"/>
          <w:szCs w:val="27"/>
          <w:rtl/>
        </w:rPr>
        <w:t>ثبات ما صرّ</w:t>
      </w:r>
      <w:r w:rsidR="007A3466" w:rsidRPr="006571AC">
        <w:rPr>
          <w:rFonts w:ascii="Sakkal Majalla" w:hAnsi="Sakkal Majalla" w:cs="AL-Mohanad" w:hint="cs"/>
          <w:sz w:val="27"/>
          <w:szCs w:val="27"/>
          <w:rtl/>
        </w:rPr>
        <w:t>َ</w:t>
      </w:r>
      <w:r w:rsidR="005D05A4" w:rsidRPr="006571AC">
        <w:rPr>
          <w:rFonts w:ascii="Sakkal Majalla" w:hAnsi="Sakkal Majalla" w:cs="AL-Mohanad"/>
          <w:sz w:val="27"/>
          <w:szCs w:val="27"/>
          <w:rtl/>
        </w:rPr>
        <w:t>ح به العلا</w:t>
      </w:r>
      <w:r w:rsidR="007A3466" w:rsidRPr="006571AC">
        <w:rPr>
          <w:rFonts w:ascii="Sakkal Majalla" w:hAnsi="Sakkal Majalla" w:cs="AL-Mohanad" w:hint="cs"/>
          <w:sz w:val="27"/>
          <w:szCs w:val="27"/>
          <w:rtl/>
        </w:rPr>
        <w:t>ّ</w:t>
      </w:r>
      <w:r w:rsidR="005D05A4" w:rsidRPr="006571AC">
        <w:rPr>
          <w:rFonts w:ascii="Sakkal Majalla" w:hAnsi="Sakkal Majalla" w:cs="AL-Mohanad"/>
          <w:sz w:val="27"/>
          <w:szCs w:val="27"/>
          <w:rtl/>
        </w:rPr>
        <w:t>مة الحل</w:t>
      </w:r>
      <w:r w:rsidR="007A3466" w:rsidRPr="006571AC">
        <w:rPr>
          <w:rFonts w:cs="AL-Mohanad" w:hint="cs"/>
          <w:sz w:val="27"/>
          <w:szCs w:val="27"/>
          <w:rtl/>
        </w:rPr>
        <w:t>ّ</w:t>
      </w:r>
      <w:r w:rsidR="005D05A4" w:rsidRPr="006571AC">
        <w:rPr>
          <w:rFonts w:cs="AL-Mohanad" w:hint="cs"/>
          <w:sz w:val="27"/>
          <w:szCs w:val="27"/>
          <w:rtl/>
        </w:rPr>
        <w:t>ي</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وجود</w:t>
      </w:r>
      <w:r w:rsidR="005D05A4" w:rsidRPr="006571AC">
        <w:rPr>
          <w:rFonts w:ascii="Sakkal Majalla" w:hAnsi="Sakkal Majalla" w:cs="AL-Mohanad"/>
          <w:sz w:val="27"/>
          <w:szCs w:val="27"/>
          <w:rtl/>
        </w:rPr>
        <w:t xml:space="preserve"> </w:t>
      </w:r>
      <w:r w:rsidR="007A3466" w:rsidRPr="006571AC">
        <w:rPr>
          <w:rFonts w:ascii="Sakkal Majalla" w:hAnsi="Sakkal Majalla" w:cs="AL-Mohanad" w:hint="cs"/>
          <w:sz w:val="27"/>
          <w:szCs w:val="27"/>
          <w:rtl/>
        </w:rPr>
        <w:t>ا</w:t>
      </w:r>
      <w:r w:rsidR="005D05A4" w:rsidRPr="006571AC">
        <w:rPr>
          <w:rFonts w:ascii="Sakkal Majalla" w:hAnsi="Sakkal Majalla" w:cs="AL-Mohanad"/>
          <w:sz w:val="27"/>
          <w:szCs w:val="27"/>
          <w:rtl/>
        </w:rPr>
        <w:t>تّفاق ب</w:t>
      </w:r>
      <w:r w:rsidR="005D05A4" w:rsidRPr="006571AC">
        <w:rPr>
          <w:rFonts w:cs="AL-Mohanad" w:hint="cs"/>
          <w:sz w:val="27"/>
          <w:szCs w:val="27"/>
          <w:rtl/>
        </w:rPr>
        <w:t>ي</w:t>
      </w:r>
      <w:r w:rsidR="005D05A4" w:rsidRPr="006571AC">
        <w:rPr>
          <w:rFonts w:ascii="Sakkal Majalla" w:hAnsi="Sakkal Majalla" w:cs="AL-Mohanad" w:hint="cs"/>
          <w:sz w:val="27"/>
          <w:szCs w:val="27"/>
          <w:rtl/>
        </w:rPr>
        <w:t>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الف</w:t>
      </w:r>
      <w:r w:rsidR="007A3466"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ر</w:t>
      </w:r>
      <w:r w:rsidR="007A3466"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ق</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الإ</w:t>
      </w:r>
      <w:r w:rsidR="005D05A4" w:rsidRPr="006571AC">
        <w:rPr>
          <w:rFonts w:ascii="Sakkal Majalla" w:hAnsi="Sakkal Majalla" w:cs="AL-Mohanad"/>
          <w:sz w:val="27"/>
          <w:szCs w:val="27"/>
          <w:rtl/>
        </w:rPr>
        <w:t>سلام</w:t>
      </w:r>
      <w:r w:rsidR="005D05A4" w:rsidRPr="006571AC">
        <w:rPr>
          <w:rFonts w:cs="AL-Mohanad" w:hint="cs"/>
          <w:sz w:val="27"/>
          <w:szCs w:val="27"/>
          <w:rtl/>
        </w:rPr>
        <w:t>ي</w:t>
      </w:r>
      <w:r w:rsidR="006209F7" w:rsidRPr="006571AC">
        <w:rPr>
          <w:rFonts w:cs="AL-Mohanad" w:hint="cs"/>
          <w:sz w:val="27"/>
          <w:szCs w:val="27"/>
          <w:rtl/>
        </w:rPr>
        <w:t>ّ</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على </w:t>
      </w:r>
      <w:r w:rsidR="005D05A4" w:rsidRPr="006571AC">
        <w:rPr>
          <w:rFonts w:ascii="Sakkal Majalla" w:hAnsi="Sakkal Majalla" w:cs="AL-Mohanad" w:hint="cs"/>
          <w:sz w:val="27"/>
          <w:szCs w:val="27"/>
          <w:rtl/>
        </w:rPr>
        <w:t>نزول</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في</w:t>
      </w:r>
      <w:r w:rsidR="005D05A4" w:rsidRPr="006571AC">
        <w:rPr>
          <w:rFonts w:ascii="Sakkal Majalla" w:hAnsi="Sakkal Majalla" w:cs="AL-Mohanad"/>
          <w:sz w:val="27"/>
          <w:szCs w:val="27"/>
          <w:rtl/>
        </w:rPr>
        <w:t xml:space="preserve"> علي</w:t>
      </w:r>
      <w:r w:rsidR="006209F7" w:rsidRPr="006571AC">
        <w:rPr>
          <w:rFonts w:ascii="Sakkal Majalla" w:hAnsi="Sakkal Majalla" w:cs="AL-Mohanad" w:hint="cs"/>
          <w:sz w:val="27"/>
          <w:szCs w:val="27"/>
          <w:rtl/>
        </w:rPr>
        <w:t>ٍّ</w:t>
      </w:r>
      <w:r w:rsidR="002A2C90" w:rsidRPr="006571AC">
        <w:rPr>
          <w:rFonts w:ascii="Mosawi" w:hAnsi="Mosawi" w:cs="Mosawi"/>
          <w:sz w:val="22"/>
          <w:szCs w:val="22"/>
          <w:rtl/>
        </w:rPr>
        <w:t>×</w:t>
      </w:r>
      <w:r w:rsidR="006209F7"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لوجود روا</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6209F7"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أيضاً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تصر</w:t>
      </w:r>
      <w:r w:rsidR="006209F7"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ح</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 الآ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نزلت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في</w:t>
      </w:r>
      <w:r w:rsidR="005D05A4" w:rsidRPr="006571AC">
        <w:rPr>
          <w:rFonts w:ascii="Sakkal Majalla" w:hAnsi="Sakkal Majalla" w:cs="AL-Mohanad"/>
          <w:sz w:val="27"/>
          <w:szCs w:val="27"/>
          <w:rtl/>
        </w:rPr>
        <w:t xml:space="preserve"> غ</w:t>
      </w:r>
      <w:r w:rsidR="005D05A4" w:rsidRPr="006571AC">
        <w:rPr>
          <w:rFonts w:cs="AL-Mohanad" w:hint="cs"/>
          <w:sz w:val="27"/>
          <w:szCs w:val="27"/>
          <w:rtl/>
        </w:rPr>
        <w:t>ي</w:t>
      </w:r>
      <w:r w:rsidR="005D05A4" w:rsidRPr="006571AC">
        <w:rPr>
          <w:rFonts w:ascii="Sakkal Majalla" w:hAnsi="Sakkal Majalla" w:cs="AL-Mohanad" w:hint="cs"/>
          <w:sz w:val="27"/>
          <w:szCs w:val="27"/>
          <w:rtl/>
        </w:rPr>
        <w:t>ر</w:t>
      </w:r>
      <w:r w:rsidR="005D05A4" w:rsidRPr="006571AC">
        <w:rPr>
          <w:rFonts w:ascii="Sakkal Majalla" w:hAnsi="Sakkal Majalla" w:cs="AL-Mohanad"/>
          <w:sz w:val="27"/>
          <w:szCs w:val="27"/>
          <w:rtl/>
        </w:rPr>
        <w:t xml:space="preserve"> علي</w:t>
      </w:r>
      <w:r w:rsidR="006209F7" w:rsidRPr="006571AC">
        <w:rPr>
          <w:rFonts w:ascii="Sakkal Majalla" w:hAnsi="Sakkal Majalla" w:cs="AL-Mohanad" w:hint="cs"/>
          <w:sz w:val="27"/>
          <w:szCs w:val="27"/>
          <w:rtl/>
        </w:rPr>
        <w:t>ٍّ</w:t>
      </w:r>
      <w:r w:rsidR="002A2C90" w:rsidRPr="006571AC">
        <w:rPr>
          <w:rFonts w:ascii="Mosawi" w:hAnsi="Mosawi" w:cs="Mosawi"/>
          <w:sz w:val="22"/>
          <w:szCs w:val="22"/>
          <w:rtl/>
        </w:rPr>
        <w:t>×</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ولكن</w:t>
      </w:r>
      <w:r w:rsidR="006209F7"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جب</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 xml:space="preserve">ن نعلم </w:t>
      </w:r>
      <w:r w:rsidR="006209F7" w:rsidRPr="006571AC">
        <w:rPr>
          <w:rFonts w:ascii="Sakkal Majalla" w:hAnsi="Sakkal Majalla" w:cs="AL-Mohanad" w:hint="cs"/>
          <w:sz w:val="27"/>
          <w:szCs w:val="27"/>
          <w:rtl/>
        </w:rPr>
        <w:t>أ</w:t>
      </w:r>
      <w:r w:rsidR="005D05A4" w:rsidRPr="006571AC">
        <w:rPr>
          <w:rFonts w:ascii="Sakkal Majalla" w:hAnsi="Sakkal Majalla" w:cs="AL-Mohanad"/>
          <w:sz w:val="27"/>
          <w:szCs w:val="27"/>
          <w:rtl/>
        </w:rPr>
        <w:t xml:space="preserve">نّ ما </w:t>
      </w:r>
      <w:r w:rsidR="005D05A4" w:rsidRPr="006571AC">
        <w:rPr>
          <w:rFonts w:cs="AL-Mohanad" w:hint="cs"/>
          <w:sz w:val="27"/>
          <w:szCs w:val="27"/>
          <w:rtl/>
        </w:rPr>
        <w:t>ي</w:t>
      </w:r>
      <w:r w:rsidR="005D05A4" w:rsidRPr="006571AC">
        <w:rPr>
          <w:rFonts w:ascii="Sakkal Majalla" w:hAnsi="Sakkal Majalla" w:cs="AL-Mohanad" w:hint="cs"/>
          <w:sz w:val="27"/>
          <w:szCs w:val="27"/>
          <w:rtl/>
        </w:rPr>
        <w:t>د</w:t>
      </w:r>
      <w:r w:rsidR="006209F7"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ع</w:t>
      </w:r>
      <w:r w:rsidR="005D05A4" w:rsidRPr="006571AC">
        <w:rPr>
          <w:rFonts w:cs="AL-Mohanad" w:hint="cs"/>
          <w:sz w:val="27"/>
          <w:szCs w:val="27"/>
          <w:rtl/>
        </w:rPr>
        <w:t>ي</w:t>
      </w:r>
      <w:r w:rsidR="005D05A4" w:rsidRPr="006571AC">
        <w:rPr>
          <w:rFonts w:ascii="Sakkal Majalla" w:hAnsi="Sakkal Majalla" w:cs="AL-Mohanad" w:hint="cs"/>
          <w:sz w:val="27"/>
          <w:szCs w:val="27"/>
          <w:rtl/>
        </w:rPr>
        <w:t>ه</w:t>
      </w:r>
      <w:r w:rsidR="005D05A4" w:rsidRPr="006571AC">
        <w:rPr>
          <w:rFonts w:ascii="Sakkal Majalla" w:hAnsi="Sakkal Majalla" w:cs="AL-Mohanad"/>
          <w:sz w:val="27"/>
          <w:szCs w:val="27"/>
          <w:rtl/>
        </w:rPr>
        <w:t xml:space="preserve"> </w:t>
      </w:r>
      <w:r w:rsidR="006209F7" w:rsidRPr="006571AC">
        <w:rPr>
          <w:rFonts w:ascii="Sakkal Majalla" w:hAnsi="Sakkal Majalla" w:cs="AL-Mohanad" w:hint="cs"/>
          <w:sz w:val="27"/>
          <w:szCs w:val="27"/>
          <w:rtl/>
        </w:rPr>
        <w:t>ا</w:t>
      </w:r>
      <w:r w:rsidR="005D05A4" w:rsidRPr="006571AC">
        <w:rPr>
          <w:rFonts w:ascii="Sakkal Majalla" w:hAnsi="Sakkal Majalla" w:cs="AL-Mohanad"/>
          <w:sz w:val="27"/>
          <w:szCs w:val="27"/>
          <w:rtl/>
        </w:rPr>
        <w:t>بن ت</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cs="AL-Mohanad" w:hint="cs"/>
          <w:sz w:val="27"/>
          <w:szCs w:val="27"/>
          <w:rtl/>
        </w:rPr>
        <w:t>ي</w:t>
      </w:r>
      <w:r w:rsidR="006209F7" w:rsidRPr="006571AC">
        <w:rPr>
          <w:rFonts w:cs="AL-Mohanad" w:hint="cs"/>
          <w:sz w:val="27"/>
          <w:szCs w:val="27"/>
          <w:rtl/>
        </w:rPr>
        <w:t>ّ</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 هذه ال</w:t>
      </w:r>
      <w:r w:rsidR="006209F7" w:rsidRPr="006571AC">
        <w:rPr>
          <w:rFonts w:ascii="Sakkal Majalla" w:hAnsi="Sakkal Majalla" w:cs="AL-Mohanad" w:hint="cs"/>
          <w:sz w:val="27"/>
          <w:szCs w:val="27"/>
          <w:rtl/>
        </w:rPr>
        <w:t>أ</w:t>
      </w:r>
      <w:r w:rsidR="005D05A4" w:rsidRPr="006571AC">
        <w:rPr>
          <w:rFonts w:ascii="Sakkal Majalla" w:hAnsi="Sakkal Majalla" w:cs="AL-Mohanad"/>
          <w:sz w:val="27"/>
          <w:szCs w:val="27"/>
          <w:rtl/>
        </w:rPr>
        <w:t>حاد</w:t>
      </w:r>
      <w:r w:rsidR="005D05A4" w:rsidRPr="006571AC">
        <w:rPr>
          <w:rFonts w:cs="AL-Mohanad" w:hint="cs"/>
          <w:sz w:val="27"/>
          <w:szCs w:val="27"/>
          <w:rtl/>
        </w:rPr>
        <w:t>ي</w:t>
      </w:r>
      <w:r w:rsidR="005D05A4" w:rsidRPr="006571AC">
        <w:rPr>
          <w:rFonts w:ascii="Sakkal Majalla" w:hAnsi="Sakkal Majalla" w:cs="AL-Mohanad" w:hint="cs"/>
          <w:sz w:val="27"/>
          <w:szCs w:val="27"/>
          <w:rtl/>
        </w:rPr>
        <w:t>ث</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كلها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مو</w:t>
      </w:r>
      <w:r w:rsidR="005D05A4" w:rsidRPr="006571AC">
        <w:rPr>
          <w:rFonts w:ascii="Sakkal Majalla" w:hAnsi="Sakkal Majalla" w:cs="AL-Mohanad"/>
          <w:sz w:val="27"/>
          <w:szCs w:val="27"/>
          <w:rtl/>
        </w:rPr>
        <w:t>ضوعة</w:t>
      </w:r>
      <w:r w:rsidR="00E06390" w:rsidRPr="006571AC">
        <w:rPr>
          <w:rFonts w:ascii="Sakkal Majalla" w:hAnsi="Sakkal Majalla" w:cs="AL-Mohanad" w:hint="cs"/>
          <w:sz w:val="27"/>
          <w:szCs w:val="27"/>
          <w:rtl/>
        </w:rPr>
        <w:t>ٌ</w:t>
      </w:r>
      <w:r w:rsidR="006209F7"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 الكث</w:t>
      </w:r>
      <w:r w:rsidR="005D05A4" w:rsidRPr="006571AC">
        <w:rPr>
          <w:rFonts w:cs="AL-Mohanad" w:hint="cs"/>
          <w:sz w:val="27"/>
          <w:szCs w:val="27"/>
          <w:rtl/>
        </w:rPr>
        <w:t>ي</w:t>
      </w:r>
      <w:r w:rsidR="005D05A4" w:rsidRPr="006571AC">
        <w:rPr>
          <w:rFonts w:ascii="Sakkal Majalla" w:hAnsi="Sakkal Majalla" w:cs="AL-Mohanad" w:hint="cs"/>
          <w:sz w:val="27"/>
          <w:szCs w:val="27"/>
          <w:rtl/>
        </w:rPr>
        <w:t>ر</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ممّا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نقله</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بو</w:t>
      </w:r>
      <w:r w:rsidR="006209F7"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نع</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ascii="Sakkal Majalla" w:hAnsi="Sakkal Majalla" w:cs="AL-Mohanad"/>
          <w:sz w:val="27"/>
          <w:szCs w:val="27"/>
          <w:rtl/>
        </w:rPr>
        <w:t xml:space="preserve"> والثعلب</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والنقّاش والواحد</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كتبهم موضوع</w:t>
      </w:r>
      <w:r w:rsidR="006209F7"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لا </w:t>
      </w:r>
      <w:r w:rsidR="005D05A4" w:rsidRPr="006571AC">
        <w:rPr>
          <w:rFonts w:cs="AL-Mohanad" w:hint="cs"/>
          <w:sz w:val="27"/>
          <w:szCs w:val="27"/>
          <w:rtl/>
        </w:rPr>
        <w:t>ي</w:t>
      </w:r>
      <w:r w:rsidR="005D05A4" w:rsidRPr="006571AC">
        <w:rPr>
          <w:rFonts w:ascii="Sakkal Majalla" w:hAnsi="Sakkal Majalla" w:cs="AL-Mohanad" w:hint="cs"/>
          <w:sz w:val="27"/>
          <w:szCs w:val="27"/>
          <w:rtl/>
        </w:rPr>
        <w:t>عتمد</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عل</w:t>
      </w:r>
      <w:r w:rsidR="005D05A4" w:rsidRPr="006571AC">
        <w:rPr>
          <w:rFonts w:cs="AL-Mohanad" w:hint="cs"/>
          <w:sz w:val="27"/>
          <w:szCs w:val="27"/>
          <w:rtl/>
        </w:rPr>
        <w:t>ي</w:t>
      </w:r>
      <w:r w:rsidR="005D05A4" w:rsidRPr="006571AC">
        <w:rPr>
          <w:rFonts w:ascii="Sakkal Majalla" w:hAnsi="Sakkal Majalla" w:cs="AL-Mohanad" w:hint="cs"/>
          <w:sz w:val="27"/>
          <w:szCs w:val="27"/>
          <w:rtl/>
        </w:rPr>
        <w:t>ه</w:t>
      </w:r>
      <w:r w:rsidR="005D05A4" w:rsidRPr="006571AC">
        <w:rPr>
          <w:rFonts w:ascii="Sakkal Majalla" w:hAnsi="Sakkal Majalla" w:cs="AL-Mohanad"/>
          <w:sz w:val="27"/>
          <w:szCs w:val="27"/>
          <w:rtl/>
        </w:rPr>
        <w:t xml:space="preserve">، </w:t>
      </w:r>
      <w:r w:rsidR="006209F7" w:rsidRPr="006571AC">
        <w:rPr>
          <w:rFonts w:ascii="Sakkal Majalla" w:hAnsi="Sakkal Majalla" w:cs="AL-Mohanad" w:hint="cs"/>
          <w:sz w:val="27"/>
          <w:szCs w:val="27"/>
          <w:rtl/>
        </w:rPr>
        <w:t>ما هو</w:t>
      </w:r>
      <w:r w:rsidR="005D05A4" w:rsidRPr="006571AC">
        <w:rPr>
          <w:rFonts w:ascii="Sakkal Majalla" w:hAnsi="Sakkal Majalla" w:cs="AL-Mohanad" w:hint="cs"/>
          <w:sz w:val="27"/>
          <w:szCs w:val="27"/>
          <w:rtl/>
        </w:rPr>
        <w:t xml:space="preserve"> إ</w:t>
      </w:r>
      <w:r w:rsidR="003C2639" w:rsidRPr="006571AC">
        <w:rPr>
          <w:rFonts w:ascii="Sakkal Majalla" w:hAnsi="Sakkal Majalla" w:cs="AL-Mohanad" w:hint="cs"/>
          <w:sz w:val="27"/>
          <w:szCs w:val="27"/>
          <w:rtl/>
        </w:rPr>
        <w:t>لاّ</w:t>
      </w:r>
      <w:r w:rsidR="005D05A4" w:rsidRPr="006571AC">
        <w:rPr>
          <w:rFonts w:ascii="Sakkal Majalla" w:hAnsi="Sakkal Majalla" w:cs="AL-Mohanad" w:hint="cs"/>
          <w:sz w:val="27"/>
          <w:szCs w:val="27"/>
          <w:rtl/>
        </w:rPr>
        <w:t xml:space="preserve"> ف</w:t>
      </w:r>
      <w:r w:rsidR="00B51DF0"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ر</w:t>
      </w:r>
      <w:r w:rsidR="00B51DF0"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ية</w:t>
      </w:r>
      <w:r w:rsidR="00A62A9A"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على ه</w:t>
      </w:r>
      <w:r w:rsidR="00B51DF0" w:rsidRPr="006571AC">
        <w:rPr>
          <w:rFonts w:ascii="Sakkal Majalla" w:hAnsi="Sakkal Majalla" w:cs="AL-Mohanad" w:hint="cs"/>
          <w:sz w:val="27"/>
          <w:szCs w:val="27"/>
          <w:rtl/>
        </w:rPr>
        <w:t>ؤ</w:t>
      </w:r>
      <w:r w:rsidR="005D05A4" w:rsidRPr="006571AC">
        <w:rPr>
          <w:rFonts w:ascii="Sakkal Majalla" w:hAnsi="Sakkal Majalla" w:cs="AL-Mohanad" w:hint="cs"/>
          <w:sz w:val="27"/>
          <w:szCs w:val="27"/>
          <w:rtl/>
        </w:rPr>
        <w:t>لاء الأعلام</w:t>
      </w:r>
      <w:r w:rsidR="00A62A9A"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و</w:t>
      </w:r>
      <w:r w:rsidR="005D05A4" w:rsidRPr="006571AC">
        <w:rPr>
          <w:rFonts w:ascii="Sakkal Majalla" w:hAnsi="Sakkal Majalla" w:cs="AL-Mohanad"/>
          <w:sz w:val="27"/>
          <w:szCs w:val="27"/>
          <w:rtl/>
        </w:rPr>
        <w:t>ذل</w:t>
      </w:r>
      <w:r w:rsidR="005D05A4" w:rsidRPr="006571AC">
        <w:rPr>
          <w:rFonts w:ascii="Sakkal Majalla" w:hAnsi="Sakkal Majalla" w:cs="AL-Mohanad" w:hint="cs"/>
          <w:sz w:val="27"/>
          <w:szCs w:val="27"/>
          <w:rtl/>
        </w:rPr>
        <w:t>ك</w:t>
      </w:r>
      <w:r w:rsidR="005D05A4" w:rsidRPr="006571AC">
        <w:rPr>
          <w:rFonts w:ascii="Sakkal Majalla" w:hAnsi="Sakkal Majalla" w:cs="AL-Mohanad"/>
          <w:sz w:val="27"/>
          <w:szCs w:val="27"/>
          <w:rtl/>
        </w:rPr>
        <w:t xml:space="preserve"> لوجوه</w:t>
      </w:r>
      <w:r w:rsidR="00A62A9A"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p>
    <w:p w:rsidR="005D05A4" w:rsidRPr="006571AC" w:rsidRDefault="005D05A4" w:rsidP="005D3BB1">
      <w:pPr>
        <w:pStyle w:val="af"/>
        <w:spacing w:line="380" w:lineRule="exact"/>
        <w:rPr>
          <w:rFonts w:ascii="Sakkal Majalla" w:hAnsi="Sakkal Majalla" w:cs="AL-Mohanad"/>
          <w:sz w:val="27"/>
          <w:szCs w:val="27"/>
        </w:rPr>
      </w:pPr>
      <w:r w:rsidRPr="006571AC">
        <w:rPr>
          <w:rFonts w:ascii="Sakkal Majalla" w:hAnsi="Sakkal Majalla" w:cs="AL-Mohanad" w:hint="cs"/>
          <w:b/>
          <w:bCs/>
          <w:sz w:val="27"/>
          <w:szCs w:val="27"/>
          <w:rtl/>
        </w:rPr>
        <w:t>ال</w:t>
      </w:r>
      <w:r w:rsidR="00A62A9A" w:rsidRPr="006571AC">
        <w:rPr>
          <w:rFonts w:ascii="Sakkal Majalla" w:hAnsi="Sakkal Majalla" w:cs="AL-Mohanad" w:hint="cs"/>
          <w:b/>
          <w:bCs/>
          <w:sz w:val="27"/>
          <w:szCs w:val="27"/>
          <w:rtl/>
        </w:rPr>
        <w:t>أ</w:t>
      </w:r>
      <w:r w:rsidRPr="006571AC">
        <w:rPr>
          <w:rFonts w:ascii="Sakkal Majalla" w:hAnsi="Sakkal Majalla" w:cs="AL-Mohanad"/>
          <w:b/>
          <w:bCs/>
          <w:sz w:val="27"/>
          <w:szCs w:val="27"/>
          <w:rtl/>
        </w:rPr>
        <w:t>و</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Pr="006571AC">
        <w:rPr>
          <w:rFonts w:ascii="Sakkal Majalla" w:hAnsi="Sakkal Majalla" w:cs="AL-Mohanad"/>
          <w:sz w:val="27"/>
          <w:szCs w:val="27"/>
          <w:rtl/>
        </w:rPr>
        <w:t>: لم تكن 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وردت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نزول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عل</w:t>
      </w:r>
      <w:r w:rsidRPr="006571AC">
        <w:rPr>
          <w:rFonts w:ascii="Sakkal Majalla" w:hAnsi="Sakkal Majalla" w:cs="AL-Mohanad" w:hint="cs"/>
          <w:sz w:val="27"/>
          <w:szCs w:val="27"/>
          <w:rtl/>
        </w:rPr>
        <w:t>ي</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منحصرة</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نقله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بو</w:t>
      </w:r>
      <w:r w:rsidR="00A62A9A" w:rsidRPr="006571AC">
        <w:rPr>
          <w:rFonts w:ascii="Sakkal Majalla" w:hAnsi="Sakkal Majalla" w:cs="AL-Mohanad" w:hint="cs"/>
          <w:sz w:val="27"/>
          <w:szCs w:val="27"/>
          <w:rtl/>
        </w:rPr>
        <w:t xml:space="preserve"> </w:t>
      </w:r>
      <w:r w:rsidRPr="006571AC">
        <w:rPr>
          <w:rFonts w:ascii="Sakkal Majalla" w:hAnsi="Sakkal Majalla" w:cs="AL-Mohanad"/>
          <w:sz w:val="27"/>
          <w:szCs w:val="27"/>
          <w:rtl/>
        </w:rPr>
        <w:t>نع</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w:t>
      </w:r>
      <w:r w:rsidR="00A62A9A" w:rsidRPr="006571AC">
        <w:rPr>
          <w:rFonts w:ascii="Sakkal Majalla" w:hAnsi="Sakkal Majalla" w:cs="AL-Mohanad" w:hint="cs"/>
          <w:sz w:val="27"/>
          <w:szCs w:val="27"/>
          <w:rtl/>
        </w:rPr>
        <w:t>أ</w:t>
      </w:r>
      <w:r w:rsidRPr="006571AC">
        <w:rPr>
          <w:rFonts w:ascii="Sakkal Majalla" w:hAnsi="Sakkal Majalla" w:cs="AL-Mohanad" w:hint="cs"/>
          <w:sz w:val="27"/>
          <w:szCs w:val="27"/>
          <w:rtl/>
        </w:rPr>
        <w:t>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الثعلبي</w:t>
      </w:r>
      <w:r w:rsidRPr="006571AC">
        <w:rPr>
          <w:rFonts w:ascii="Sakkal Majalla" w:hAnsi="Sakkal Majalla" w:cs="AL-Mohanad"/>
          <w:sz w:val="27"/>
          <w:szCs w:val="27"/>
          <w:rtl/>
        </w:rPr>
        <w:t>، بل ت</w:t>
      </w:r>
      <w:r w:rsidR="00A62A9A" w:rsidRPr="006571AC">
        <w:rPr>
          <w:rFonts w:ascii="Sakkal Majalla" w:hAnsi="Sakkal Majalla" w:cs="AL-Mohanad" w:hint="cs"/>
          <w:sz w:val="27"/>
          <w:szCs w:val="27"/>
          <w:rtl/>
        </w:rPr>
        <w:t>ض</w:t>
      </w:r>
      <w:r w:rsidRPr="006571AC">
        <w:rPr>
          <w:rFonts w:ascii="Sakkal Majalla" w:hAnsi="Sakkal Majalla" w:cs="AL-Mohanad"/>
          <w:sz w:val="27"/>
          <w:szCs w:val="27"/>
          <w:rtl/>
        </w:rPr>
        <w:t>اف</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ر</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ت</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 طرق و</w:t>
      </w:r>
      <w:r w:rsidR="00A62A9A" w:rsidRPr="006571AC">
        <w:rPr>
          <w:rFonts w:ascii="Sakkal Majalla" w:hAnsi="Sakkal Majalla" w:cs="AL-Mohanad" w:hint="cs"/>
          <w:sz w:val="27"/>
          <w:szCs w:val="27"/>
          <w:rtl/>
        </w:rPr>
        <w:t>أ</w:t>
      </w:r>
      <w:r w:rsidRPr="006571AC">
        <w:rPr>
          <w:rFonts w:ascii="Sakkal Majalla" w:hAnsi="Sakkal Majalla" w:cs="AL-Mohanad"/>
          <w:sz w:val="27"/>
          <w:szCs w:val="27"/>
          <w:rtl/>
        </w:rPr>
        <w:t>سان</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تلك</w:t>
      </w:r>
      <w:r w:rsidRPr="006571AC">
        <w:rPr>
          <w:rFonts w:ascii="Sakkal Majalla" w:hAnsi="Sakkal Majalla" w:cs="AL-Mohanad"/>
          <w:sz w:val="27"/>
          <w:szCs w:val="27"/>
          <w:rtl/>
        </w:rPr>
        <w:t xml:space="preserve"> 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كتب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العام</w:t>
      </w:r>
      <w:r w:rsidR="00A62A9A"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43"/>
      </w:r>
      <w:r w:rsidRPr="006571AC">
        <w:rPr>
          <w:rFonts w:ascii="Sakkal Majalla" w:hAnsi="Sakkal Majalla" w:cs="AL-Mohanad"/>
          <w:sz w:val="27"/>
          <w:szCs w:val="27"/>
          <w:vertAlign w:val="superscript"/>
          <w:rtl/>
        </w:rPr>
        <w:t>)</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وقد </w:t>
      </w:r>
      <w:r w:rsidRPr="006571AC">
        <w:rPr>
          <w:rFonts w:ascii="Sakkal Majalla" w:hAnsi="Sakkal Majalla" w:cs="AL-Mohanad" w:hint="cs"/>
          <w:sz w:val="27"/>
          <w:szCs w:val="27"/>
          <w:rtl/>
        </w:rPr>
        <w:t>أ</w:t>
      </w:r>
      <w:r w:rsidRPr="006571AC">
        <w:rPr>
          <w:rFonts w:ascii="Sakkal Majalla" w:hAnsi="Sakkal Majalla" w:cs="AL-Mohanad"/>
          <w:sz w:val="27"/>
          <w:szCs w:val="27"/>
          <w:rtl/>
        </w:rPr>
        <w:t>ش</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ر</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نا إلى </w:t>
      </w:r>
      <w:r w:rsidRPr="006571AC">
        <w:rPr>
          <w:rFonts w:ascii="Sakkal Majalla" w:hAnsi="Sakkal Majalla" w:cs="AL-Mohanad" w:hint="cs"/>
          <w:sz w:val="27"/>
          <w:szCs w:val="27"/>
          <w:rtl/>
        </w:rPr>
        <w:t>بعضها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00A62A9A"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تقدّم</w:t>
      </w:r>
      <w:r w:rsidR="00A62A9A" w:rsidRPr="006571AC">
        <w:rPr>
          <w:rFonts w:ascii="Sakkal Majalla" w:hAnsi="Sakkal Majalla" w:cs="AL-Mohanad" w:hint="cs"/>
          <w:sz w:val="27"/>
          <w:szCs w:val="27"/>
          <w:rtl/>
        </w:rPr>
        <w:t>.</w:t>
      </w:r>
    </w:p>
    <w:p w:rsidR="005D05A4" w:rsidRPr="006571AC" w:rsidRDefault="005D05A4" w:rsidP="005D3BB1">
      <w:pPr>
        <w:pStyle w:val="af"/>
        <w:spacing w:line="380" w:lineRule="exact"/>
        <w:rPr>
          <w:rFonts w:ascii="Sakkal Majalla" w:hAnsi="Sakkal Majalla" w:cs="AL-Mohanad"/>
          <w:sz w:val="27"/>
          <w:szCs w:val="27"/>
          <w:rtl/>
        </w:rPr>
      </w:pPr>
      <w:r w:rsidRPr="006571AC">
        <w:rPr>
          <w:rFonts w:ascii="Sakkal Majalla" w:hAnsi="Sakkal Majalla" w:cs="AL-Mohanad" w:hint="cs"/>
          <w:b/>
          <w:bCs/>
          <w:sz w:val="27"/>
          <w:szCs w:val="27"/>
          <w:rtl/>
        </w:rPr>
        <w:t>ال</w:t>
      </w:r>
      <w:r w:rsidRPr="006571AC">
        <w:rPr>
          <w:rFonts w:ascii="Sakkal Majalla" w:hAnsi="Sakkal Majalla" w:cs="AL-Mohanad"/>
          <w:b/>
          <w:bCs/>
          <w:sz w:val="27"/>
          <w:szCs w:val="27"/>
          <w:rtl/>
        </w:rPr>
        <w:t>ثان</w:t>
      </w:r>
      <w:r w:rsidRPr="006571AC">
        <w:rPr>
          <w:rFonts w:cs="AL-Mohanad" w:hint="cs"/>
          <w:b/>
          <w:bCs/>
          <w:sz w:val="27"/>
          <w:szCs w:val="27"/>
          <w:rtl/>
        </w:rPr>
        <w:t>ي</w:t>
      </w:r>
      <w:r w:rsidRPr="006571AC">
        <w:rPr>
          <w:rFonts w:ascii="Sakkal Majalla" w:hAnsi="Sakkal Majalla" w:cs="AL-Mohanad"/>
          <w:sz w:val="27"/>
          <w:szCs w:val="27"/>
          <w:rtl/>
        </w:rPr>
        <w:t>: ه</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ب</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ascii="Sakkal Majalla" w:hAnsi="Sakkal Majalla" w:cs="AL-Mohanad" w:hint="cs"/>
          <w:sz w:val="27"/>
          <w:szCs w:val="27"/>
          <w:rtl/>
        </w:rPr>
        <w:t>ال</w:t>
      </w:r>
      <w:r w:rsidRPr="006571AC">
        <w:rPr>
          <w:rFonts w:ascii="Sakkal Majalla" w:hAnsi="Sakkal Majalla" w:cs="AL-Mohanad"/>
          <w:sz w:val="27"/>
          <w:szCs w:val="27"/>
          <w:rtl/>
        </w:rPr>
        <w:t>كث</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وردت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نزول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عل</w:t>
      </w:r>
      <w:r w:rsidRPr="006571AC">
        <w:rPr>
          <w:rFonts w:ascii="Sakkal Majalla" w:hAnsi="Sakkal Majalla" w:cs="AL-Mohanad" w:hint="cs"/>
          <w:sz w:val="27"/>
          <w:szCs w:val="27"/>
          <w:rtl/>
        </w:rPr>
        <w:t>ي</w:t>
      </w:r>
      <w:r w:rsidR="00A62A9A"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قد</w:t>
      </w:r>
      <w:r w:rsidRPr="006571AC">
        <w:rPr>
          <w:rFonts w:ascii="Sakkal Majalla" w:hAnsi="Sakkal Majalla" w:cs="AL-Mohanad"/>
          <w:sz w:val="27"/>
          <w:szCs w:val="27"/>
          <w:rtl/>
        </w:rPr>
        <w:t xml:space="preserve"> نقلها </w:t>
      </w:r>
      <w:r w:rsidRPr="006571AC">
        <w:rPr>
          <w:rFonts w:ascii="Sakkal Majalla" w:hAnsi="Sakkal Majalla" w:cs="AL-Mohanad" w:hint="cs"/>
          <w:sz w:val="27"/>
          <w:szCs w:val="27"/>
          <w:rtl/>
        </w:rPr>
        <w:t>أ</w:t>
      </w:r>
      <w:r w:rsidRPr="006571AC">
        <w:rPr>
          <w:rFonts w:ascii="Sakkal Majalla" w:hAnsi="Sakkal Majalla" w:cs="AL-Mohanad"/>
          <w:sz w:val="27"/>
          <w:szCs w:val="27"/>
          <w:rtl/>
        </w:rPr>
        <w:t>بو نع</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والثعلب</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والواحد</w:t>
      </w:r>
      <w:r w:rsidRPr="006571AC">
        <w:rPr>
          <w:rFonts w:ascii="Sakkal Majalla" w:hAnsi="Sakkal Majalla" w:cs="AL-Mohanad" w:hint="cs"/>
          <w:sz w:val="27"/>
          <w:szCs w:val="27"/>
          <w:rtl/>
        </w:rPr>
        <w:t>ي</w:t>
      </w:r>
      <w:r w:rsidR="00A62A9A"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ولكن ك</w:t>
      </w:r>
      <w:r w:rsidRPr="006571AC">
        <w:rPr>
          <w:rFonts w:cs="AL-Mohanad" w:hint="cs"/>
          <w:sz w:val="27"/>
          <w:szCs w:val="27"/>
          <w:rtl/>
        </w:rPr>
        <w:t>ي</w:t>
      </w:r>
      <w:r w:rsidRPr="006571AC">
        <w:rPr>
          <w:rFonts w:ascii="Sakkal Majalla" w:hAnsi="Sakkal Majalla" w:cs="AL-Mohanad" w:hint="cs"/>
          <w:sz w:val="27"/>
          <w:szCs w:val="27"/>
          <w:rtl/>
        </w:rPr>
        <w:t xml:space="preserve">ف </w:t>
      </w:r>
      <w:r w:rsidRPr="006571AC">
        <w:rPr>
          <w:rFonts w:cs="AL-Mohanad" w:hint="cs"/>
          <w:sz w:val="27"/>
          <w:szCs w:val="27"/>
          <w:rtl/>
        </w:rPr>
        <w:t>ي</w:t>
      </w:r>
      <w:r w:rsidRPr="006571AC">
        <w:rPr>
          <w:rFonts w:ascii="Sakkal Majalla" w:hAnsi="Sakkal Majalla" w:cs="AL-Mohanad" w:hint="cs"/>
          <w:sz w:val="27"/>
          <w:szCs w:val="27"/>
          <w:rtl/>
        </w:rPr>
        <w:t>د</w:t>
      </w:r>
      <w:r w:rsidR="00A62A9A"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عي </w:t>
      </w:r>
      <w:r w:rsidR="00A62A9A" w:rsidRPr="006571AC">
        <w:rPr>
          <w:rFonts w:ascii="Sakkal Majalla" w:hAnsi="Sakkal Majalla" w:cs="AL-Mohanad" w:hint="cs"/>
          <w:sz w:val="27"/>
          <w:szCs w:val="27"/>
          <w:rtl/>
        </w:rPr>
        <w:t>ا</w:t>
      </w:r>
      <w:r w:rsidRPr="006571AC">
        <w:rPr>
          <w:rFonts w:ascii="Sakkal Majalla" w:hAnsi="Sakkal Majalla" w:cs="AL-Mohanad" w:hint="cs"/>
          <w:sz w:val="27"/>
          <w:szCs w:val="27"/>
          <w:rtl/>
        </w:rPr>
        <w:t>بن ت</w:t>
      </w:r>
      <w:r w:rsidRPr="006571AC">
        <w:rPr>
          <w:rFonts w:cs="AL-Mohanad" w:hint="cs"/>
          <w:sz w:val="27"/>
          <w:szCs w:val="27"/>
          <w:rtl/>
        </w:rPr>
        <w:t>ي</w:t>
      </w:r>
      <w:r w:rsidRPr="006571AC">
        <w:rPr>
          <w:rFonts w:ascii="Sakkal Majalla" w:hAnsi="Sakkal Majalla" w:cs="AL-Mohanad" w:hint="cs"/>
          <w:sz w:val="27"/>
          <w:szCs w:val="27"/>
          <w:rtl/>
        </w:rPr>
        <w:t>م</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أنّها </w:t>
      </w:r>
      <w:r w:rsidRPr="006571AC">
        <w:rPr>
          <w:rFonts w:ascii="Sakkal Majalla" w:hAnsi="Sakkal Majalla" w:cs="AL-Mohanad"/>
          <w:sz w:val="27"/>
          <w:szCs w:val="27"/>
          <w:rtl/>
        </w:rPr>
        <w:t>ضع</w:t>
      </w:r>
      <w:r w:rsidRPr="006571AC">
        <w:rPr>
          <w:rFonts w:cs="AL-Mohanad" w:hint="cs"/>
          <w:sz w:val="27"/>
          <w:szCs w:val="27"/>
          <w:rtl/>
        </w:rPr>
        <w:t>ي</w:t>
      </w:r>
      <w:r w:rsidRPr="006571AC">
        <w:rPr>
          <w:rFonts w:ascii="Sakkal Majalla" w:hAnsi="Sakkal Majalla" w:cs="AL-Mohanad" w:hint="cs"/>
          <w:sz w:val="27"/>
          <w:szCs w:val="27"/>
          <w:rtl/>
        </w:rPr>
        <w:t>فة</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وموضوعة</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الحال أنّه قد</w:t>
      </w:r>
      <w:r w:rsidRPr="006571AC">
        <w:rPr>
          <w:rFonts w:ascii="Sakkal Majalla" w:hAnsi="Sakkal Majalla" w:cs="AL-Mohanad"/>
          <w:sz w:val="27"/>
          <w:szCs w:val="27"/>
          <w:rtl/>
        </w:rPr>
        <w:t xml:space="preserve"> ثبت</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ت</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صحّة </w:t>
      </w:r>
      <w:r w:rsidRPr="006571AC">
        <w:rPr>
          <w:rFonts w:ascii="Sakkal Majalla" w:hAnsi="Sakkal Majalla" w:cs="AL-Mohanad" w:hint="cs"/>
          <w:sz w:val="27"/>
          <w:szCs w:val="27"/>
          <w:rtl/>
        </w:rPr>
        <w:t>أ</w:t>
      </w:r>
      <w:r w:rsidRPr="006571AC">
        <w:rPr>
          <w:rFonts w:ascii="Sakkal Majalla" w:hAnsi="Sakkal Majalla" w:cs="AL-Mohanad"/>
          <w:sz w:val="27"/>
          <w:szCs w:val="27"/>
          <w:rtl/>
        </w:rPr>
        <w:t>سان</w:t>
      </w:r>
      <w:r w:rsidRPr="006571AC">
        <w:rPr>
          <w:rFonts w:cs="AL-Mohanad" w:hint="cs"/>
          <w:sz w:val="27"/>
          <w:szCs w:val="27"/>
          <w:rtl/>
        </w:rPr>
        <w:t>ي</w:t>
      </w:r>
      <w:r w:rsidRPr="006571AC">
        <w:rPr>
          <w:rFonts w:ascii="Sakkal Majalla" w:hAnsi="Sakkal Majalla" w:cs="AL-Mohanad" w:hint="cs"/>
          <w:sz w:val="27"/>
          <w:szCs w:val="27"/>
          <w:rtl/>
        </w:rPr>
        <w:t>دها</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ضوء</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كلمات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علماء</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الرجال</w:t>
      </w:r>
      <w:r w:rsidRPr="006571AC">
        <w:rPr>
          <w:rFonts w:ascii="Sakkal Majalla" w:hAnsi="Sakkal Majalla" w:cs="AL-Mohanad"/>
          <w:sz w:val="27"/>
          <w:szCs w:val="27"/>
          <w:rtl/>
        </w:rPr>
        <w:t xml:space="preserve"> والحد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44"/>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A62A9A" w:rsidP="005D3BB1">
      <w:pPr>
        <w:pStyle w:val="af"/>
        <w:spacing w:line="380" w:lineRule="exact"/>
        <w:rPr>
          <w:rFonts w:ascii="Sakkal Majalla" w:hAnsi="Sakkal Majalla" w:cs="AL-Mohanad"/>
          <w:sz w:val="27"/>
          <w:szCs w:val="27"/>
          <w:rtl/>
        </w:rPr>
      </w:pPr>
      <w:r w:rsidRPr="006571AC">
        <w:rPr>
          <w:rFonts w:ascii="Sakkal Majalla" w:hAnsi="Sakkal Majalla" w:cs="AL-Mohanad" w:hint="cs"/>
          <w:b/>
          <w:bCs/>
          <w:sz w:val="27"/>
          <w:szCs w:val="27"/>
          <w:rtl/>
        </w:rPr>
        <w:t>الثالث</w:t>
      </w:r>
      <w:r w:rsidR="005D05A4" w:rsidRPr="006571AC">
        <w:rPr>
          <w:rFonts w:ascii="Sakkal Majalla" w:hAnsi="Sakkal Majalla" w:cs="AL-Mohanad"/>
          <w:sz w:val="27"/>
          <w:szCs w:val="27"/>
          <w:rtl/>
        </w:rPr>
        <w:t xml:space="preserve">: لم </w:t>
      </w:r>
      <w:r w:rsidR="005D05A4" w:rsidRPr="006571AC">
        <w:rPr>
          <w:rFonts w:cs="AL-Mohanad" w:hint="cs"/>
          <w:sz w:val="27"/>
          <w:szCs w:val="27"/>
          <w:rtl/>
        </w:rPr>
        <w:t>ي</w:t>
      </w:r>
      <w:r w:rsidR="005D05A4" w:rsidRPr="006571AC">
        <w:rPr>
          <w:rFonts w:ascii="Sakkal Majalla" w:hAnsi="Sakkal Majalla" w:cs="AL-Mohanad" w:hint="cs"/>
          <w:sz w:val="27"/>
          <w:szCs w:val="27"/>
          <w:rtl/>
        </w:rPr>
        <w:t>عتمد</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العلا</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مة</w:t>
      </w:r>
      <w:r w:rsidR="005D05A4" w:rsidRPr="006571AC">
        <w:rPr>
          <w:rFonts w:ascii="Sakkal Majalla" w:hAnsi="Sakkal Majalla" w:cs="AL-Mohanad"/>
          <w:sz w:val="27"/>
          <w:szCs w:val="27"/>
          <w:rtl/>
        </w:rPr>
        <w:t xml:space="preserve"> على </w:t>
      </w:r>
      <w:r w:rsidR="005D05A4" w:rsidRPr="006571AC">
        <w:rPr>
          <w:rFonts w:ascii="Sakkal Majalla" w:hAnsi="Sakkal Majalla" w:cs="AL-Mohanad" w:hint="cs"/>
          <w:sz w:val="27"/>
          <w:szCs w:val="27"/>
          <w:rtl/>
        </w:rPr>
        <w:t>روا</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العامة</w:t>
      </w:r>
      <w:r w:rsidR="005D05A4" w:rsidRPr="006571AC">
        <w:rPr>
          <w:rFonts w:ascii="Sakkal Majalla" w:hAnsi="Sakkal Majalla" w:cs="AL-Mohanad"/>
          <w:sz w:val="27"/>
          <w:szCs w:val="27"/>
          <w:rtl/>
        </w:rPr>
        <w:t xml:space="preserve"> ـ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بو</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نع</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ascii="Sakkal Majalla" w:hAnsi="Sakkal Majalla" w:cs="AL-Mohanad"/>
          <w:sz w:val="27"/>
          <w:szCs w:val="27"/>
          <w:rtl/>
        </w:rPr>
        <w:t xml:space="preserve"> والثعلب</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ـ فح</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س</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ب</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بل هنا</w:t>
      </w:r>
      <w:r w:rsidR="005D05A4" w:rsidRPr="006571AC">
        <w:rPr>
          <w:rFonts w:ascii="Sakkal Majalla" w:hAnsi="Sakkal Majalla" w:cs="AL-Mohanad" w:hint="cs"/>
          <w:sz w:val="27"/>
          <w:szCs w:val="27"/>
          <w:rtl/>
        </w:rPr>
        <w:t>ك</w:t>
      </w:r>
      <w:r w:rsidR="005D05A4" w:rsidRPr="006571AC">
        <w:rPr>
          <w:rFonts w:ascii="Sakkal Majalla" w:hAnsi="Sakkal Majalla" w:cs="AL-Mohanad"/>
          <w:sz w:val="27"/>
          <w:szCs w:val="27"/>
          <w:rtl/>
        </w:rPr>
        <w:t xml:space="preserve"> روا</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صح</w:t>
      </w:r>
      <w:r w:rsidR="005D05A4" w:rsidRPr="006571AC">
        <w:rPr>
          <w:rFonts w:cs="AL-Mohanad" w:hint="cs"/>
          <w:sz w:val="27"/>
          <w:szCs w:val="27"/>
          <w:rtl/>
        </w:rPr>
        <w:t>ي</w:t>
      </w:r>
      <w:r w:rsidR="005D05A4" w:rsidRPr="006571AC">
        <w:rPr>
          <w:rFonts w:ascii="Sakkal Majalla" w:hAnsi="Sakkal Majalla" w:cs="AL-Mohanad" w:hint="cs"/>
          <w:sz w:val="27"/>
          <w:szCs w:val="27"/>
          <w:rtl/>
        </w:rPr>
        <w:t>حة</w:t>
      </w:r>
      <w:r w:rsidR="005D05A4" w:rsidRPr="006571AC">
        <w:rPr>
          <w:rFonts w:ascii="Sakkal Majalla" w:hAnsi="Sakkal Majalla" w:cs="AL-Mohanad"/>
          <w:sz w:val="27"/>
          <w:szCs w:val="27"/>
          <w:rtl/>
        </w:rPr>
        <w:t xml:space="preserve"> ومتواترة ورد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من طرق الش</w:t>
      </w:r>
      <w:r w:rsidR="005D05A4" w:rsidRPr="006571AC">
        <w:rPr>
          <w:rFonts w:cs="AL-Mohanad" w:hint="cs"/>
          <w:sz w:val="27"/>
          <w:szCs w:val="27"/>
          <w:rtl/>
        </w:rPr>
        <w:t>ي</w:t>
      </w:r>
      <w:r w:rsidR="005D05A4" w:rsidRPr="006571AC">
        <w:rPr>
          <w:rFonts w:ascii="Sakkal Majalla" w:hAnsi="Sakkal Majalla" w:cs="AL-Mohanad" w:hint="cs"/>
          <w:sz w:val="27"/>
          <w:szCs w:val="27"/>
          <w:rtl/>
        </w:rPr>
        <w:t>عة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تصرّ</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ح</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w:t>
      </w:r>
      <w:r w:rsidR="005D05A4"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الآ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نزلت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في</w:t>
      </w:r>
      <w:r w:rsidR="005D05A4" w:rsidRPr="006571AC">
        <w:rPr>
          <w:rFonts w:ascii="Sakkal Majalla" w:hAnsi="Sakkal Majalla" w:cs="AL-Mohanad"/>
          <w:sz w:val="27"/>
          <w:szCs w:val="27"/>
          <w:rtl/>
        </w:rPr>
        <w:t xml:space="preserve"> علي</w:t>
      </w:r>
      <w:r w:rsidRPr="006571AC">
        <w:rPr>
          <w:rFonts w:ascii="Sakkal Majalla" w:hAnsi="Sakkal Majalla" w:cs="AL-Mohanad" w:hint="cs"/>
          <w:sz w:val="27"/>
          <w:szCs w:val="27"/>
          <w:rtl/>
        </w:rPr>
        <w:t>ّ</w:t>
      </w:r>
      <w:r w:rsidR="002A2C90" w:rsidRPr="006571AC">
        <w:rPr>
          <w:rFonts w:ascii="Mosawi" w:hAnsi="Mosawi" w:cs="Mosawi"/>
          <w:sz w:val="22"/>
          <w:szCs w:val="22"/>
          <w:rtl/>
        </w:rPr>
        <w:t>×</w:t>
      </w:r>
      <w:r w:rsidR="005D05A4" w:rsidRPr="006571AC">
        <w:rPr>
          <w:rFonts w:ascii="Sakkal Majalla" w:hAnsi="Sakkal Majalla" w:cs="AL-Mohanad"/>
          <w:sz w:val="27"/>
          <w:szCs w:val="27"/>
          <w:rtl/>
        </w:rPr>
        <w:t>، فما تصوّ</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ره </w:t>
      </w:r>
      <w:r w:rsidRPr="006571AC">
        <w:rPr>
          <w:rFonts w:ascii="Sakkal Majalla" w:hAnsi="Sakkal Majalla" w:cs="AL-Mohanad" w:hint="cs"/>
          <w:sz w:val="27"/>
          <w:szCs w:val="27"/>
          <w:rtl/>
        </w:rPr>
        <w:t>ا</w:t>
      </w:r>
      <w:r w:rsidR="005D05A4" w:rsidRPr="006571AC">
        <w:rPr>
          <w:rFonts w:ascii="Sakkal Majalla" w:hAnsi="Sakkal Majalla" w:cs="AL-Mohanad"/>
          <w:sz w:val="27"/>
          <w:szCs w:val="27"/>
          <w:rtl/>
        </w:rPr>
        <w:t>بن ت</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الحرّان</w:t>
      </w:r>
      <w:r w:rsidR="005D05A4" w:rsidRPr="006571AC">
        <w:rPr>
          <w:rFonts w:cs="AL-Mohanad" w:hint="cs"/>
          <w:sz w:val="27"/>
          <w:szCs w:val="27"/>
          <w:rtl/>
        </w:rPr>
        <w:t>ي</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 تضع</w:t>
      </w:r>
      <w:r w:rsidR="005D05A4" w:rsidRPr="006571AC">
        <w:rPr>
          <w:rFonts w:cs="AL-Mohanad" w:hint="cs"/>
          <w:sz w:val="27"/>
          <w:szCs w:val="27"/>
          <w:rtl/>
        </w:rPr>
        <w:t>ي</w:t>
      </w:r>
      <w:r w:rsidR="005D05A4" w:rsidRPr="006571AC">
        <w:rPr>
          <w:rFonts w:ascii="Sakkal Majalla" w:hAnsi="Sakkal Majalla" w:cs="AL-Mohanad" w:hint="cs"/>
          <w:sz w:val="27"/>
          <w:szCs w:val="27"/>
          <w:rtl/>
        </w:rPr>
        <w:t>ف</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روا</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ب</w:t>
      </w:r>
      <w:r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نع</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ascii="Sakkal Majalla" w:hAnsi="Sakkal Majalla" w:cs="AL-Mohanad"/>
          <w:sz w:val="27"/>
          <w:szCs w:val="27"/>
          <w:rtl/>
        </w:rPr>
        <w:t xml:space="preserve"> والثعلب</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والواحد</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سقط</w:t>
      </w:r>
      <w:r w:rsidR="005D05A4"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005D05A4" w:rsidRPr="006571AC">
        <w:rPr>
          <w:rFonts w:ascii="Sakkal Majalla" w:hAnsi="Sakkal Majalla" w:cs="AL-Mohanad" w:hint="cs"/>
          <w:sz w:val="27"/>
          <w:szCs w:val="27"/>
          <w:rtl/>
        </w:rPr>
        <w:t>دلّة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الش</w:t>
      </w:r>
      <w:r w:rsidR="005D05A4" w:rsidRPr="006571AC">
        <w:rPr>
          <w:rFonts w:cs="AL-Mohanad" w:hint="cs"/>
          <w:sz w:val="27"/>
          <w:szCs w:val="27"/>
          <w:rtl/>
        </w:rPr>
        <w:t>ي</w:t>
      </w:r>
      <w:r w:rsidR="005D05A4" w:rsidRPr="006571AC">
        <w:rPr>
          <w:rFonts w:ascii="Sakkal Majalla" w:hAnsi="Sakkal Majalla" w:cs="AL-Mohanad" w:hint="cs"/>
          <w:sz w:val="27"/>
          <w:szCs w:val="27"/>
          <w:rtl/>
        </w:rPr>
        <w:t>عة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هو</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تصوّ</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ر</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خاط</w:t>
      </w:r>
      <w:r w:rsidRPr="006571AC">
        <w:rPr>
          <w:rFonts w:ascii="Sakkal Majalla" w:hAnsi="Sakkal Majalla" w:cs="AL-Mohanad" w:hint="cs"/>
          <w:sz w:val="27"/>
          <w:szCs w:val="27"/>
          <w:rtl/>
        </w:rPr>
        <w:t>ئ</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و</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 xml:space="preserve">نّما </w:t>
      </w:r>
      <w:r w:rsidRPr="006571AC">
        <w:rPr>
          <w:rFonts w:ascii="Sakkal Majalla" w:hAnsi="Sakkal Majalla" w:cs="AL-Mohanad" w:hint="cs"/>
          <w:sz w:val="27"/>
          <w:szCs w:val="27"/>
          <w:rtl/>
        </w:rPr>
        <w:t>ا</w:t>
      </w:r>
      <w:r w:rsidR="005D05A4" w:rsidRPr="006571AC">
        <w:rPr>
          <w:rFonts w:ascii="Sakkal Majalla" w:hAnsi="Sakkal Majalla" w:cs="AL-Mohanad"/>
          <w:sz w:val="27"/>
          <w:szCs w:val="27"/>
          <w:rtl/>
        </w:rPr>
        <w:t>عتمد العلا</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مة على </w:t>
      </w:r>
      <w:r w:rsidR="005D05A4" w:rsidRPr="006571AC">
        <w:rPr>
          <w:rFonts w:ascii="Sakkal Majalla" w:hAnsi="Sakkal Majalla" w:cs="AL-Mohanad" w:hint="cs"/>
          <w:sz w:val="27"/>
          <w:szCs w:val="27"/>
          <w:rtl/>
        </w:rPr>
        <w:t>تلك</w:t>
      </w:r>
      <w:r w:rsidR="005D05A4" w:rsidRPr="006571AC">
        <w:rPr>
          <w:rFonts w:ascii="Sakkal Majalla" w:hAnsi="Sakkal Majalla" w:cs="AL-Mohanad"/>
          <w:sz w:val="27"/>
          <w:szCs w:val="27"/>
          <w:rtl/>
        </w:rPr>
        <w:t xml:space="preserve"> الروا</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ل</w:t>
      </w:r>
      <w:r w:rsidRPr="006571AC">
        <w:rPr>
          <w:rFonts w:ascii="Sakkal Majalla" w:hAnsi="Sakkal Majalla" w:cs="AL-Mohanad" w:hint="cs"/>
          <w:sz w:val="27"/>
          <w:szCs w:val="27"/>
          <w:rtl/>
        </w:rPr>
        <w:t>إ</w:t>
      </w:r>
      <w:r w:rsidR="005D05A4" w:rsidRPr="006571AC">
        <w:rPr>
          <w:rFonts w:ascii="Sakkal Majalla" w:hAnsi="Sakkal Majalla" w:cs="AL-Mohanad" w:hint="cs"/>
          <w:sz w:val="27"/>
          <w:szCs w:val="27"/>
          <w:rtl/>
        </w:rPr>
        <w:t>لزام</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الخ</w:t>
      </w:r>
      <w:r w:rsidR="00B51DF0"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ص</w:t>
      </w:r>
      <w:r w:rsidR="00B51DF0"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م</w:t>
      </w:r>
      <w:r w:rsidR="005D05A4"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005D05A4" w:rsidRPr="006571AC">
        <w:rPr>
          <w:rFonts w:ascii="Sakkal Majalla" w:hAnsi="Sakkal Majalla" w:cs="AL-Mohanad"/>
          <w:sz w:val="27"/>
          <w:szCs w:val="27"/>
          <w:rtl/>
        </w:rPr>
        <w:t>قناعهم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لا</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غ</w:t>
      </w:r>
      <w:r w:rsidR="005D05A4" w:rsidRPr="006571AC">
        <w:rPr>
          <w:rFonts w:cs="AL-Mohanad" w:hint="cs"/>
          <w:sz w:val="27"/>
          <w:szCs w:val="27"/>
          <w:rtl/>
        </w:rPr>
        <w:t>ي</w:t>
      </w:r>
      <w:r w:rsidR="005D05A4" w:rsidRPr="006571AC">
        <w:rPr>
          <w:rFonts w:ascii="Sakkal Majalla" w:hAnsi="Sakkal Majalla" w:cs="AL-Mohanad" w:hint="cs"/>
          <w:sz w:val="27"/>
          <w:szCs w:val="27"/>
          <w:rtl/>
        </w:rPr>
        <w:t>ر</w:t>
      </w:r>
      <w:r w:rsidR="005D05A4" w:rsidRPr="006571AC">
        <w:rPr>
          <w:rFonts w:ascii="Sakkal Majalla" w:hAnsi="Sakkal Majalla" w:cs="AL-Mohanad"/>
          <w:sz w:val="27"/>
          <w:szCs w:val="27"/>
          <w:rtl/>
        </w:rPr>
        <w:t xml:space="preserve">. </w:t>
      </w:r>
    </w:p>
    <w:p w:rsidR="005D05A4" w:rsidRPr="006571AC" w:rsidRDefault="005D05A4" w:rsidP="005D3BB1">
      <w:pPr>
        <w:pStyle w:val="af"/>
        <w:spacing w:line="380" w:lineRule="exact"/>
        <w:rPr>
          <w:rFonts w:ascii="Sakkal Majalla" w:hAnsi="Sakkal Majalla" w:cs="AL-Mohanad"/>
          <w:sz w:val="27"/>
          <w:szCs w:val="27"/>
          <w:rtl/>
        </w:rPr>
      </w:pPr>
    </w:p>
    <w:p w:rsidR="005D05A4" w:rsidRPr="006571AC" w:rsidRDefault="00E44B43" w:rsidP="00CD28C4">
      <w:pPr>
        <w:pStyle w:val="31"/>
        <w:rPr>
          <w:color w:val="auto"/>
          <w:rtl/>
        </w:rPr>
      </w:pPr>
      <w:bookmarkStart w:id="155" w:name="_Toc114164643"/>
      <w:r w:rsidRPr="006571AC">
        <w:rPr>
          <w:rFonts w:hint="cs"/>
          <w:color w:val="auto"/>
          <w:rtl/>
        </w:rPr>
        <w:t>2ـ</w:t>
      </w:r>
      <w:r w:rsidR="005D05A4" w:rsidRPr="006571AC">
        <w:rPr>
          <w:color w:val="auto"/>
          <w:rtl/>
        </w:rPr>
        <w:t xml:space="preserve"> </w:t>
      </w:r>
      <w:r w:rsidRPr="006571AC">
        <w:rPr>
          <w:rFonts w:hint="cs"/>
          <w:color w:val="auto"/>
          <w:rtl/>
        </w:rPr>
        <w:t>نقاش</w:t>
      </w:r>
      <w:r w:rsidR="005D05A4" w:rsidRPr="006571AC">
        <w:rPr>
          <w:color w:val="auto"/>
          <w:rtl/>
        </w:rPr>
        <w:t xml:space="preserve"> الآلوس</w:t>
      </w:r>
      <w:r w:rsidR="005D05A4" w:rsidRPr="006571AC">
        <w:rPr>
          <w:rFonts w:hint="cs"/>
          <w:color w:val="auto"/>
          <w:rtl/>
        </w:rPr>
        <w:t>ي</w:t>
      </w:r>
      <w:r w:rsidRPr="006571AC">
        <w:rPr>
          <w:rFonts w:hint="cs"/>
          <w:color w:val="auto"/>
          <w:rtl/>
        </w:rPr>
        <w:t xml:space="preserve"> في </w:t>
      </w:r>
      <w:r w:rsidR="00CD28C4" w:rsidRPr="006571AC">
        <w:rPr>
          <w:rFonts w:hint="cs"/>
          <w:color w:val="auto"/>
          <w:rtl/>
        </w:rPr>
        <w:t>الصدور والدلالة</w:t>
      </w:r>
      <w:bookmarkEnd w:id="155"/>
      <w:r w:rsidRPr="006571AC">
        <w:rPr>
          <w:rFonts w:hint="cs"/>
          <w:color w:val="auto"/>
          <w:rtl/>
        </w:rPr>
        <w:t xml:space="preserve"> </w:t>
      </w:r>
    </w:p>
    <w:p w:rsidR="005D05A4" w:rsidRPr="006571AC" w:rsidRDefault="005D05A4" w:rsidP="00B41BA0">
      <w:pPr>
        <w:pStyle w:val="af"/>
        <w:rPr>
          <w:rFonts w:ascii="Sakkal Majalla" w:hAnsi="Sakkal Majalla" w:cs="AL-Mohanad"/>
          <w:sz w:val="27"/>
          <w:szCs w:val="27"/>
        </w:rPr>
      </w:pPr>
      <w:r w:rsidRPr="006571AC">
        <w:rPr>
          <w:rFonts w:ascii="Sakkal Majalla" w:hAnsi="Sakkal Majalla" w:cs="AL-Mohanad"/>
          <w:sz w:val="27"/>
          <w:szCs w:val="27"/>
          <w:rtl/>
        </w:rPr>
        <w:t>لقد شنّ الآلوس</w:t>
      </w:r>
      <w:r w:rsidRPr="006571AC">
        <w:rPr>
          <w:rFonts w:cs="AL-Mohanad" w:hint="cs"/>
          <w:sz w:val="27"/>
          <w:szCs w:val="27"/>
          <w:rtl/>
        </w:rPr>
        <w:t>ي</w:t>
      </w:r>
      <w:r w:rsidRPr="006571AC">
        <w:rPr>
          <w:rFonts w:ascii="Sakkal Majalla" w:hAnsi="Sakkal Majalla" w:cs="AL-Mohanad" w:hint="cs"/>
          <w:sz w:val="27"/>
          <w:szCs w:val="27"/>
          <w:rtl/>
        </w:rPr>
        <w:t xml:space="preserve"> أيضاً</w:t>
      </w:r>
      <w:r w:rsidRPr="006571AC">
        <w:rPr>
          <w:rFonts w:ascii="Sakkal Majalla" w:hAnsi="Sakkal Majalla" w:cs="AL-Mohanad"/>
          <w:sz w:val="27"/>
          <w:szCs w:val="27"/>
          <w:rtl/>
        </w:rPr>
        <w:t xml:space="preserve"> هجمة</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شرسة على الش</w:t>
      </w:r>
      <w:r w:rsidRPr="006571AC">
        <w:rPr>
          <w:rFonts w:cs="AL-Mohanad" w:hint="cs"/>
          <w:sz w:val="27"/>
          <w:szCs w:val="27"/>
          <w:rtl/>
        </w:rPr>
        <w:t>ي</w:t>
      </w:r>
      <w:r w:rsidRPr="006571AC">
        <w:rPr>
          <w:rFonts w:ascii="Sakkal Majalla" w:hAnsi="Sakkal Majalla" w:cs="AL-Mohanad" w:hint="cs"/>
          <w:sz w:val="27"/>
          <w:szCs w:val="27"/>
          <w:rtl/>
        </w:rPr>
        <w:t>عة</w:t>
      </w:r>
      <w:r w:rsidRPr="006571AC">
        <w:rPr>
          <w:rFonts w:ascii="Sakkal Majalla" w:hAnsi="Sakkal Majalla" w:cs="AL-Mohanad"/>
          <w:sz w:val="27"/>
          <w:szCs w:val="27"/>
          <w:rtl/>
        </w:rPr>
        <w:t xml:space="preserve"> وما ذهبوا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lastRenderedPageBreak/>
        <w:t>في</w:t>
      </w:r>
      <w:r w:rsidRPr="006571AC">
        <w:rPr>
          <w:rFonts w:ascii="Sakkal Majalla" w:hAnsi="Sakkal Majalla" w:cs="AL-Mohanad"/>
          <w:sz w:val="27"/>
          <w:szCs w:val="27"/>
          <w:rtl/>
        </w:rPr>
        <w:t xml:space="preserve"> علي</w:t>
      </w:r>
      <w:r w:rsidR="00A62A9A"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نكر صحة ال</w:t>
      </w:r>
      <w:r w:rsidR="00483FD1" w:rsidRPr="006571AC">
        <w:rPr>
          <w:rFonts w:ascii="Sakkal Majalla" w:hAnsi="Sakkal Majalla" w:cs="AL-Mohanad" w:hint="cs"/>
          <w:sz w:val="27"/>
          <w:szCs w:val="27"/>
          <w:rtl/>
        </w:rPr>
        <w:t>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المرو</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ذلك</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طل</w:t>
      </w:r>
      <w:r w:rsidRPr="006571AC">
        <w:rPr>
          <w:rFonts w:cs="AL-Mohanad" w:hint="cs"/>
          <w:sz w:val="27"/>
          <w:szCs w:val="27"/>
          <w:rtl/>
        </w:rPr>
        <w:t>ي</w:t>
      </w:r>
      <w:r w:rsidRPr="006571AC">
        <w:rPr>
          <w:rFonts w:ascii="Sakkal Majalla" w:hAnsi="Sakkal Majalla" w:cs="AL-Mohanad" w:hint="cs"/>
          <w:sz w:val="27"/>
          <w:szCs w:val="27"/>
          <w:rtl/>
        </w:rPr>
        <w:t>عتها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الغد</w:t>
      </w:r>
      <w:r w:rsidRPr="006571AC">
        <w:rPr>
          <w:rFonts w:cs="AL-Mohanad" w:hint="cs"/>
          <w:sz w:val="27"/>
          <w:szCs w:val="27"/>
          <w:rtl/>
        </w:rPr>
        <w:t>ي</w:t>
      </w:r>
      <w:r w:rsidRPr="006571AC">
        <w:rPr>
          <w:rFonts w:ascii="Sakkal Majalla" w:hAnsi="Sakkal Majalla" w:cs="AL-Mohanad" w:hint="cs"/>
          <w:sz w:val="27"/>
          <w:szCs w:val="27"/>
          <w:rtl/>
        </w:rPr>
        <w:t xml:space="preserve">ر، </w:t>
      </w:r>
      <w:r w:rsidRPr="006571AC">
        <w:rPr>
          <w:rFonts w:ascii="Sakkal Majalla" w:hAnsi="Sakkal Majalla" w:cs="AL-Mohanad"/>
          <w:sz w:val="27"/>
          <w:szCs w:val="27"/>
          <w:rtl/>
        </w:rPr>
        <w:t>وبذل جهداً مضاعفاً لصرف الحد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المعن</w:t>
      </w:r>
      <w:r w:rsidR="00A62A9A"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00A62A9A"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ر</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w:t>
      </w:r>
      <w:r w:rsidR="00A62A9A"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فقد جاء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كلامه</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زعمت الشيعة أن المراد</w:t>
      </w:r>
      <w:r w:rsidRPr="006571AC">
        <w:rPr>
          <w:rFonts w:ascii="Sakkal Majalla" w:hAnsi="Sakkal Majalla" w:cs="AL-Mohanad" w:hint="cs"/>
          <w:sz w:val="27"/>
          <w:szCs w:val="27"/>
          <w:rtl/>
        </w:rPr>
        <w:t xml:space="preserve"> بـ</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م</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ن</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ز</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00A62A9A" w:rsidRPr="006571AC">
        <w:rPr>
          <w:rFonts w:ascii="Sakkal Majalla" w:hAnsi="Sakkal Majalla" w:cs="AL-Mohanad" w:hint="cs"/>
          <w:b/>
          <w:bCs/>
          <w:sz w:val="27"/>
          <w:szCs w:val="27"/>
          <w:rtl/>
        </w:rPr>
        <w:t>إِ</w:t>
      </w:r>
      <w:r w:rsidRPr="006571AC">
        <w:rPr>
          <w:rFonts w:ascii="Sakkal Majalla" w:hAnsi="Sakkal Majalla" w:cs="AL-Mohanad"/>
          <w:b/>
          <w:bCs/>
          <w:sz w:val="27"/>
          <w:szCs w:val="27"/>
          <w:rtl/>
        </w:rPr>
        <w:t>ل</w:t>
      </w:r>
      <w:r w:rsidR="00A62A9A" w:rsidRPr="006571AC">
        <w:rPr>
          <w:rFonts w:ascii="Sakkal Majalla" w:hAnsi="Sakkal Majalla" w:cs="AL-Mohanad" w:hint="cs"/>
          <w:b/>
          <w:bCs/>
          <w:sz w:val="27"/>
          <w:szCs w:val="27"/>
          <w:rtl/>
        </w:rPr>
        <w:t>َ</w:t>
      </w:r>
      <w:r w:rsidRPr="006571AC">
        <w:rPr>
          <w:rFonts w:cs="AL-Mohanad" w:hint="cs"/>
          <w:b/>
          <w:bCs/>
          <w:sz w:val="27"/>
          <w:szCs w:val="27"/>
          <w:rtl/>
        </w:rPr>
        <w:t>ي</w:t>
      </w:r>
      <w:r w:rsidR="00A62A9A" w:rsidRPr="006571AC">
        <w:rPr>
          <w:rFonts w:cs="AL-Mohanad" w:hint="cs"/>
          <w:b/>
          <w:bCs/>
          <w:sz w:val="27"/>
          <w:szCs w:val="27"/>
          <w:rtl/>
        </w:rPr>
        <w:t>ْ</w:t>
      </w:r>
      <w:r w:rsidRPr="006571AC">
        <w:rPr>
          <w:rFonts w:ascii="Sakkal Majalla" w:hAnsi="Sakkal Majalla" w:cs="AL-Mohanad" w:hint="cs"/>
          <w:b/>
          <w:bCs/>
          <w:sz w:val="27"/>
          <w:szCs w:val="27"/>
          <w:rtl/>
        </w:rPr>
        <w:t>ك</w:t>
      </w:r>
      <w:r w:rsidR="00A62A9A"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rtl/>
        </w:rPr>
        <w:t xml:space="preserve"> خلافة عل</w:t>
      </w:r>
      <w:r w:rsidR="00A62A9A"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كر</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م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تعالى وجهه... وخبر الغدير عمدة أدل</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تهم على خلافة الأمير كر</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م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تعالى وجه</w:t>
      </w:r>
      <w:r w:rsidR="00A62A9A" w:rsidRPr="006571AC">
        <w:rPr>
          <w:rFonts w:ascii="Sakkal Majalla" w:hAnsi="Sakkal Majalla" w:cs="AL-Mohanad" w:hint="cs"/>
          <w:sz w:val="27"/>
          <w:szCs w:val="27"/>
          <w:rtl/>
        </w:rPr>
        <w:t>ه</w:t>
      </w:r>
      <w:r w:rsidRPr="006571AC">
        <w:rPr>
          <w:rFonts w:ascii="Sakkal Majalla" w:hAnsi="Sakkal Majalla" w:cs="AL-Mohanad"/>
          <w:sz w:val="27"/>
          <w:szCs w:val="27"/>
          <w:rtl/>
        </w:rPr>
        <w:t>... وأنت تعلم أن أخبار الغدير التي فيها الأمر بالاستخلاف غير صحيحة عند أهل السن</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ة</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ولا مسل</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مة لديهم أصلا</w:t>
      </w:r>
      <w:r w:rsidR="002467E0" w:rsidRPr="006571AC">
        <w:rPr>
          <w:rFonts w:ascii="Sakkal Majalla" w:hAnsi="Sakkal Majalla" w:cs="AL-Mohanad" w:hint="cs"/>
          <w:sz w:val="27"/>
          <w:szCs w:val="27"/>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45"/>
      </w:r>
      <w:r w:rsidRPr="006571AC">
        <w:rPr>
          <w:rFonts w:ascii="Sakkal Majalla" w:hAnsi="Sakkal Majalla" w:cs="AL-Mohanad"/>
          <w:sz w:val="27"/>
          <w:szCs w:val="27"/>
          <w:vertAlign w:val="superscript"/>
          <w:rtl/>
        </w:rPr>
        <w:t>)</w:t>
      </w:r>
      <w:r w:rsidRPr="006571AC">
        <w:rPr>
          <w:rFonts w:ascii="Sakkal Majalla" w:hAnsi="Sakkal Majalla" w:cs="AL-Mohanad" w:hint="cs"/>
          <w:sz w:val="27"/>
          <w:szCs w:val="27"/>
          <w:rtl/>
        </w:rPr>
        <w:t>.</w:t>
      </w:r>
    </w:p>
    <w:p w:rsidR="005D05A4" w:rsidRPr="006571AC" w:rsidRDefault="005D05A4" w:rsidP="00B41BA0">
      <w:pPr>
        <w:pStyle w:val="af"/>
        <w:rPr>
          <w:rFonts w:ascii="Sakkal Majalla" w:hAnsi="Sakkal Majalla" w:cs="AL-Mohanad"/>
          <w:sz w:val="27"/>
          <w:szCs w:val="27"/>
          <w:lang w:bidi="ar-LB"/>
        </w:rPr>
      </w:pPr>
      <w:r w:rsidRPr="006571AC">
        <w:rPr>
          <w:rFonts w:ascii="Sakkal Majalla" w:hAnsi="Sakkal Majalla" w:cs="AL-Mohanad"/>
          <w:sz w:val="27"/>
          <w:szCs w:val="27"/>
          <w:rtl/>
        </w:rPr>
        <w:t>ولا يخفى أن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أو</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ل الغلط في هذا الاستدلال جعلهم المولى بمعنى الأ</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و</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لى، وقد أنكر ذلك أهل العربية قاطبة</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بل قالوا: لم يجى‏ء مفعل بمعنى أفعل أصل</w:t>
      </w:r>
      <w:r w:rsidR="002467E0" w:rsidRPr="006571AC">
        <w:rPr>
          <w:rFonts w:ascii="Sakkal Majalla" w:hAnsi="Sakkal Majalla" w:cs="AL-Mohanad" w:hint="cs"/>
          <w:sz w:val="27"/>
          <w:szCs w:val="27"/>
          <w:rtl/>
        </w:rPr>
        <w:t>اً</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46"/>
      </w:r>
      <w:r w:rsidRPr="006571AC">
        <w:rPr>
          <w:rFonts w:ascii="Sakkal Majalla" w:hAnsi="Sakkal Majalla" w:cs="AL-Mohanad" w:hint="cs"/>
          <w:sz w:val="27"/>
          <w:szCs w:val="27"/>
          <w:vertAlign w:val="superscript"/>
          <w:rtl/>
        </w:rPr>
        <w:t>)</w:t>
      </w:r>
      <w:r w:rsidRPr="006571AC">
        <w:rPr>
          <w:rFonts w:ascii="Sakkal Majalla" w:hAnsi="Sakkal Majalla" w:cs="AL-Mohanad" w:hint="cs"/>
          <w:sz w:val="27"/>
          <w:szCs w:val="27"/>
          <w:rtl/>
        </w:rPr>
        <w:t>.</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sz w:val="27"/>
          <w:szCs w:val="27"/>
          <w:rtl/>
        </w:rPr>
        <w:t>و</w:t>
      </w:r>
      <w:r w:rsidRPr="006571AC">
        <w:rPr>
          <w:rFonts w:ascii="Sakkal Majalla" w:hAnsi="Sakkal Majalla" w:cs="AL-Mohanad"/>
          <w:sz w:val="27"/>
          <w:szCs w:val="27"/>
          <w:rtl/>
        </w:rPr>
        <w:t>ذكر</w:t>
      </w:r>
      <w:r w:rsidR="004459D6" w:rsidRPr="006571AC">
        <w:rPr>
          <w:rFonts w:ascii="Mosawi" w:hAnsi="Mosawi" w:cs="Mosawi"/>
          <w:sz w:val="22"/>
          <w:szCs w:val="22"/>
          <w:rtl/>
        </w:rPr>
        <w:t>ﷺ</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قوله</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w:t>
      </w:r>
      <w:r w:rsidR="00957D0C" w:rsidRPr="006571AC">
        <w:rPr>
          <w:rFonts w:ascii="Sakkal Majalla" w:hAnsi="Sakkal Majalla" w:cs="AL-Mohanad" w:hint="cs"/>
          <w:sz w:val="27"/>
          <w:szCs w:val="27"/>
          <w:rtl/>
        </w:rPr>
        <w:t>َ</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كنت</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مولاه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فهذا</w:t>
      </w:r>
      <w:r w:rsidRPr="006571AC">
        <w:rPr>
          <w:rFonts w:ascii="Sakkal Majalla" w:hAnsi="Sakkal Majalla" w:cs="AL-Mohanad"/>
          <w:sz w:val="27"/>
          <w:szCs w:val="27"/>
          <w:rtl/>
        </w:rPr>
        <w:t xml:space="preserve"> عل</w:t>
      </w:r>
      <w:r w:rsidR="00957D0C"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مولاه</w:t>
      </w:r>
      <w:r w:rsidRPr="006571AC">
        <w:rPr>
          <w:rFonts w:ascii="Sakkal Majalla" w:hAnsi="Sakkal Majalla" w:cs="AL-Mohanad"/>
          <w:sz w:val="27"/>
          <w:szCs w:val="27"/>
          <w:rtl/>
        </w:rPr>
        <w:t>) المحب</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ة والعداوة</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فقد نب</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ه على أن المقصود إيجاب محب</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ته كر</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م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تعالى وجهه</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والتحذير </w:t>
      </w:r>
      <w:r w:rsidR="00957D0C" w:rsidRPr="006571AC">
        <w:rPr>
          <w:rFonts w:ascii="Sakkal Majalla" w:hAnsi="Sakkal Majalla" w:cs="AL-Mohanad" w:hint="cs"/>
          <w:sz w:val="27"/>
          <w:szCs w:val="27"/>
          <w:rtl/>
        </w:rPr>
        <w:t>م</w:t>
      </w:r>
      <w:r w:rsidRPr="006571AC">
        <w:rPr>
          <w:rFonts w:ascii="Sakkal Majalla" w:hAnsi="Sakkal Majalla" w:cs="AL-Mohanad"/>
          <w:sz w:val="27"/>
          <w:szCs w:val="27"/>
          <w:rtl/>
        </w:rPr>
        <w:t>ن عداوته وبغضه</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لا التصر</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ف وعدمه</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47"/>
      </w:r>
      <w:r w:rsidRPr="006571AC">
        <w:rPr>
          <w:rFonts w:ascii="Sakkal Majalla" w:hAnsi="Sakkal Majalla" w:cs="AL-Mohanad"/>
          <w:sz w:val="27"/>
          <w:szCs w:val="27"/>
          <w:vertAlign w:val="superscript"/>
          <w:rtl/>
        </w:rPr>
        <w:t>)</w:t>
      </w:r>
      <w:r w:rsidRPr="006571AC">
        <w:rPr>
          <w:rFonts w:ascii="Sakkal Majalla" w:hAnsi="Sakkal Majalla" w:cs="AL-Mohanad" w:hint="cs"/>
          <w:sz w:val="27"/>
          <w:szCs w:val="27"/>
          <w:rtl/>
        </w:rPr>
        <w:t>.</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والظاهر حينئذ</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w:t>
      </w:r>
      <w:r w:rsidRPr="006571AC">
        <w:rPr>
          <w:rFonts w:ascii="Sakkal Majalla" w:hAnsi="Sakkal Majalla" w:cs="AL-Mohanad"/>
          <w:sz w:val="27"/>
          <w:szCs w:val="27"/>
          <w:rtl/>
        </w:rPr>
        <w:t>جتماع الولايتين في زمان</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واحد، ولا يتصو</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ر</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ال</w:t>
      </w:r>
      <w:r w:rsidR="00957D0C" w:rsidRPr="006571AC">
        <w:rPr>
          <w:rFonts w:ascii="Sakkal Majalla" w:hAnsi="Sakkal Majalla" w:cs="AL-Mohanad" w:hint="cs"/>
          <w:sz w:val="27"/>
          <w:szCs w:val="27"/>
          <w:rtl/>
        </w:rPr>
        <w:t>ا</w:t>
      </w:r>
      <w:r w:rsidRPr="006571AC">
        <w:rPr>
          <w:rFonts w:ascii="Sakkal Majalla" w:hAnsi="Sakkal Majalla" w:cs="AL-Mohanad"/>
          <w:sz w:val="27"/>
          <w:szCs w:val="27"/>
          <w:rtl/>
        </w:rPr>
        <w:t>جتماع على تقدير أن يكون المراد أولوية التصر</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ف</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بخلاف ما إذا كان المراد المحب</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ة</w:t>
      </w:r>
      <w:r w:rsidRPr="006571AC">
        <w:rPr>
          <w:rFonts w:ascii="Sakkal Majalla" w:hAnsi="Sakkal Majalla" w:cs="AL-Mohanad"/>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48"/>
      </w:r>
      <w:r w:rsidRPr="006571AC">
        <w:rPr>
          <w:rFonts w:ascii="Sakkal Majalla" w:hAnsi="Sakkal Majalla" w:cs="AL-Mohanad" w:hint="cs"/>
          <w:sz w:val="27"/>
          <w:szCs w:val="27"/>
          <w:vertAlign w:val="superscript"/>
          <w:rtl/>
        </w:rPr>
        <w:t>)</w:t>
      </w:r>
      <w:r w:rsidRPr="006571AC">
        <w:rPr>
          <w:rFonts w:ascii="Sakkal Majalla" w:hAnsi="Sakkal Majalla" w:cs="AL-Mohanad" w:hint="cs"/>
          <w:sz w:val="27"/>
          <w:szCs w:val="27"/>
          <w:rtl/>
        </w:rPr>
        <w:t>.</w:t>
      </w:r>
    </w:p>
    <w:p w:rsidR="00DB1F18"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hint="cs"/>
          <w:sz w:val="27"/>
          <w:szCs w:val="27"/>
          <w:rtl/>
        </w:rPr>
        <w:t>جب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قبل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كل</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ش</w:t>
      </w:r>
      <w:r w:rsidRPr="006571AC">
        <w:rPr>
          <w:rFonts w:cs="AL-Mohanad" w:hint="cs"/>
          <w:sz w:val="27"/>
          <w:szCs w:val="27"/>
          <w:rtl/>
        </w:rPr>
        <w:t>ي</w:t>
      </w:r>
      <w:r w:rsidRPr="006571AC">
        <w:rPr>
          <w:rFonts w:ascii="Sakkal Majalla" w:hAnsi="Sakkal Majalla" w:cs="AL-Mohanad" w:hint="cs"/>
          <w:sz w:val="27"/>
          <w:szCs w:val="27"/>
          <w:rtl/>
        </w:rPr>
        <w:t>ء</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نعلم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الآلوس</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أت</w:t>
      </w:r>
      <w:r w:rsidR="00957D0C"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الشبهات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عنده</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Pr="006571AC">
        <w:rPr>
          <w:rFonts w:ascii="Sakkal Majalla" w:hAnsi="Sakkal Majalla" w:cs="AL-Mohanad"/>
          <w:sz w:val="27"/>
          <w:szCs w:val="27"/>
          <w:rtl/>
        </w:rPr>
        <w:t>نّما أخذها من أسلافه</w:t>
      </w:r>
      <w:r w:rsidR="00957D0C"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فهو ل</w:t>
      </w:r>
      <w:r w:rsidRPr="006571AC">
        <w:rPr>
          <w:rFonts w:cs="AL-Mohanad" w:hint="cs"/>
          <w:sz w:val="27"/>
          <w:szCs w:val="27"/>
          <w:rtl/>
        </w:rPr>
        <w:t>ي</w:t>
      </w:r>
      <w:r w:rsidRPr="006571AC">
        <w:rPr>
          <w:rFonts w:ascii="Sakkal Majalla" w:hAnsi="Sakkal Majalla" w:cs="AL-Mohanad" w:hint="cs"/>
          <w:sz w:val="27"/>
          <w:szCs w:val="27"/>
          <w:rtl/>
        </w:rPr>
        <w:t>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003C2639" w:rsidRPr="006571AC">
        <w:rPr>
          <w:rFonts w:ascii="Sakkal Majalla" w:hAnsi="Sakkal Majalla" w:cs="AL-Mohanad"/>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رجل</w:t>
      </w:r>
      <w:r w:rsidR="00957D0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مقلّ</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د</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لم</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ن</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تقد</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م عل</w:t>
      </w:r>
      <w:r w:rsidRPr="006571AC">
        <w:rPr>
          <w:rFonts w:cs="AL-Mohanad" w:hint="cs"/>
          <w:sz w:val="27"/>
          <w:szCs w:val="27"/>
          <w:rtl/>
        </w:rPr>
        <w:t>ي</w:t>
      </w:r>
      <w:r w:rsidRPr="006571AC">
        <w:rPr>
          <w:rFonts w:ascii="Sakkal Majalla" w:hAnsi="Sakkal Majalla" w:cs="AL-Mohanad" w:hint="cs"/>
          <w:sz w:val="27"/>
          <w:szCs w:val="27"/>
          <w:rtl/>
        </w:rPr>
        <w:t>ه</w:t>
      </w:r>
      <w:r w:rsidR="00DB1F18" w:rsidRPr="006571AC">
        <w:rPr>
          <w:rFonts w:ascii="Sakkal Majalla" w:hAnsi="Sakkal Majalla" w:cs="AL-Mohanad" w:hint="cs"/>
          <w:sz w:val="27"/>
          <w:szCs w:val="27"/>
          <w:rtl/>
        </w:rPr>
        <w:t>.</w:t>
      </w:r>
    </w:p>
    <w:p w:rsidR="005D05A4" w:rsidRPr="006571AC" w:rsidRDefault="005D05A4" w:rsidP="00B41BA0">
      <w:pPr>
        <w:pStyle w:val="af"/>
        <w:rPr>
          <w:rFonts w:ascii="Sakkal Majalla" w:hAnsi="Sakkal Majalla" w:cs="AL-Mohanad"/>
          <w:sz w:val="27"/>
          <w:szCs w:val="27"/>
        </w:rPr>
      </w:pPr>
      <w:r w:rsidRPr="006571AC">
        <w:rPr>
          <w:rFonts w:ascii="Sakkal Majalla" w:hAnsi="Sakkal Majalla" w:cs="AL-Mohanad"/>
          <w:sz w:val="27"/>
          <w:szCs w:val="27"/>
          <w:rtl/>
        </w:rPr>
        <w:t>وعل</w:t>
      </w:r>
      <w:r w:rsidR="00957D0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00957D0C"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حال</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شار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كلامه هذا إلى جملة من الشبهات وال</w:t>
      </w:r>
      <w:r w:rsidR="00957D0C" w:rsidRPr="006571AC">
        <w:rPr>
          <w:rFonts w:ascii="Sakkal Majalla" w:hAnsi="Sakkal Majalla" w:cs="AL-Mohanad" w:hint="cs"/>
          <w:sz w:val="27"/>
          <w:szCs w:val="27"/>
          <w:rtl/>
        </w:rPr>
        <w:t>إ</w:t>
      </w:r>
      <w:r w:rsidRPr="006571AC">
        <w:rPr>
          <w:rFonts w:ascii="Sakkal Majalla" w:hAnsi="Sakkal Majalla" w:cs="AL-Mohanad"/>
          <w:sz w:val="27"/>
          <w:szCs w:val="27"/>
          <w:rtl/>
        </w:rPr>
        <w:t>شكالات</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نذكرها على </w:t>
      </w:r>
      <w:r w:rsidRPr="006571AC">
        <w:rPr>
          <w:rFonts w:ascii="Sakkal Majalla" w:hAnsi="Sakkal Majalla" w:cs="AL-Mohanad" w:hint="cs"/>
          <w:sz w:val="27"/>
          <w:szCs w:val="27"/>
          <w:rtl/>
        </w:rPr>
        <w:t>التوال</w:t>
      </w:r>
      <w:r w:rsidRPr="006571AC">
        <w:rPr>
          <w:rFonts w:cs="AL-Mohanad" w:hint="cs"/>
          <w:sz w:val="27"/>
          <w:szCs w:val="27"/>
          <w:rtl/>
        </w:rPr>
        <w:t>ي</w:t>
      </w:r>
      <w:r w:rsidR="00957D0C" w:rsidRPr="006571AC">
        <w:rPr>
          <w:rFonts w:ascii="Sakkal Majalla" w:hAnsi="Sakkal Majalla" w:cs="AL-Mohanad" w:hint="cs"/>
          <w:sz w:val="27"/>
          <w:szCs w:val="27"/>
          <w:rtl/>
        </w:rPr>
        <w:t>:</w:t>
      </w:r>
    </w:p>
    <w:p w:rsidR="005D05A4" w:rsidRPr="006571AC" w:rsidRDefault="005D05A4" w:rsidP="00B41BA0">
      <w:pPr>
        <w:pStyle w:val="af"/>
        <w:rPr>
          <w:rFonts w:ascii="Sakkal Majalla" w:hAnsi="Sakkal Majalla" w:cs="AL-Mohanad"/>
          <w:sz w:val="27"/>
          <w:szCs w:val="27"/>
        </w:rPr>
      </w:pPr>
      <w:r w:rsidRPr="006571AC">
        <w:rPr>
          <w:rFonts w:ascii="Sakkal Majalla" w:hAnsi="Sakkal Majalla" w:cs="AL-Mohanad"/>
          <w:b/>
          <w:bCs/>
          <w:sz w:val="27"/>
          <w:szCs w:val="27"/>
          <w:rtl/>
        </w:rPr>
        <w:t>ال</w:t>
      </w:r>
      <w:r w:rsidRPr="006571AC">
        <w:rPr>
          <w:rFonts w:ascii="Sakkal Majalla" w:hAnsi="Sakkal Majalla" w:cs="AL-Mohanad" w:hint="cs"/>
          <w:b/>
          <w:bCs/>
          <w:sz w:val="27"/>
          <w:szCs w:val="27"/>
          <w:rtl/>
        </w:rPr>
        <w:t>أ</w:t>
      </w:r>
      <w:r w:rsidRPr="006571AC">
        <w:rPr>
          <w:rFonts w:ascii="Sakkal Majalla" w:hAnsi="Sakkal Majalla" w:cs="AL-Mohanad"/>
          <w:b/>
          <w:bCs/>
          <w:sz w:val="27"/>
          <w:szCs w:val="27"/>
          <w:rtl/>
        </w:rPr>
        <w:t>و</w:t>
      </w:r>
      <w:r w:rsidR="00957D0C"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 </w:t>
      </w:r>
      <w:r w:rsidRPr="006571AC">
        <w:rPr>
          <w:rFonts w:ascii="Sakkal Majalla" w:hAnsi="Sakkal Majalla" w:cs="AL-Mohanad" w:hint="cs"/>
          <w:sz w:val="27"/>
          <w:szCs w:val="27"/>
          <w:rtl/>
        </w:rPr>
        <w:t>أ</w:t>
      </w:r>
      <w:r w:rsidRPr="006571AC">
        <w:rPr>
          <w:rFonts w:ascii="Sakkal Majalla" w:hAnsi="Sakkal Majalla" w:cs="AL-Mohanad"/>
          <w:sz w:val="27"/>
          <w:szCs w:val="27"/>
          <w:rtl/>
        </w:rPr>
        <w:t>خبار الغد</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غ</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صح</w:t>
      </w:r>
      <w:r w:rsidRPr="006571AC">
        <w:rPr>
          <w:rFonts w:cs="AL-Mohanad" w:hint="cs"/>
          <w:sz w:val="27"/>
          <w:szCs w:val="27"/>
          <w:rtl/>
        </w:rPr>
        <w:t>ي</w:t>
      </w:r>
      <w:r w:rsidRPr="006571AC">
        <w:rPr>
          <w:rFonts w:ascii="Sakkal Majalla" w:hAnsi="Sakkal Majalla" w:cs="AL-Mohanad" w:hint="cs"/>
          <w:sz w:val="27"/>
          <w:szCs w:val="27"/>
          <w:rtl/>
        </w:rPr>
        <w:t>حة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هل السن</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ولم تكن مسل</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مة</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عندهم</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p>
    <w:p w:rsidR="005D05A4" w:rsidRPr="006571AC" w:rsidRDefault="005D05A4" w:rsidP="00B41BA0">
      <w:pPr>
        <w:pStyle w:val="af"/>
        <w:rPr>
          <w:rFonts w:ascii="Sakkal Majalla" w:hAnsi="Sakkal Majalla" w:cs="AL-Mohanad"/>
          <w:sz w:val="27"/>
          <w:szCs w:val="27"/>
        </w:rPr>
      </w:pPr>
      <w:r w:rsidRPr="006571AC">
        <w:rPr>
          <w:rFonts w:ascii="Sakkal Majalla" w:hAnsi="Sakkal Majalla" w:cs="AL-Mohanad"/>
          <w:b/>
          <w:bCs/>
          <w:sz w:val="27"/>
          <w:szCs w:val="27"/>
          <w:rtl/>
        </w:rPr>
        <w:t>الثان</w:t>
      </w:r>
      <w:r w:rsidRPr="006571AC">
        <w:rPr>
          <w:rFonts w:cs="AL-Mohanad" w:hint="cs"/>
          <w:b/>
          <w:b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 الول</w:t>
      </w:r>
      <w:r w:rsidRPr="006571AC">
        <w:rPr>
          <w:rFonts w:ascii="Sakkal Majalla" w:hAnsi="Sakkal Majalla" w:cs="AL-Mohanad" w:hint="cs"/>
          <w:sz w:val="27"/>
          <w:szCs w:val="27"/>
          <w:rtl/>
        </w:rPr>
        <w:t>ي</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w:t>
      </w:r>
      <w:r w:rsidRPr="006571AC">
        <w:rPr>
          <w:rFonts w:cs="AL-Mohanad" w:hint="cs"/>
          <w:sz w:val="27"/>
          <w:szCs w:val="27"/>
          <w:rtl/>
        </w:rPr>
        <w:t>ي</w:t>
      </w:r>
      <w:r w:rsidR="00957D0C" w:rsidRPr="006571AC">
        <w:rPr>
          <w:rFonts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ل</w:t>
      </w:r>
      <w:r w:rsidRPr="006571AC">
        <w:rPr>
          <w:rFonts w:cs="AL-Mohanad" w:hint="cs"/>
          <w:sz w:val="27"/>
          <w:szCs w:val="27"/>
          <w:rtl/>
        </w:rPr>
        <w:t>ي</w:t>
      </w:r>
      <w:r w:rsidRPr="006571AC">
        <w:rPr>
          <w:rFonts w:ascii="Sakkal Majalla" w:hAnsi="Sakkal Majalla" w:cs="AL-Mohanad" w:hint="cs"/>
          <w:sz w:val="27"/>
          <w:szCs w:val="27"/>
          <w:rtl/>
        </w:rPr>
        <w:t>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معناه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و</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ل</w:t>
      </w:r>
      <w:r w:rsidR="00957D0C" w:rsidRPr="006571AC">
        <w:rPr>
          <w:rFonts w:ascii="Sakkal Majalla" w:hAnsi="Sakkal Majalla" w:cs="AL-Mohanad" w:hint="cs"/>
          <w:sz w:val="27"/>
          <w:szCs w:val="27"/>
          <w:rtl/>
        </w:rPr>
        <w:t>ى</w:t>
      </w:r>
      <w:r w:rsidRPr="006571AC">
        <w:rPr>
          <w:rFonts w:ascii="Sakkal Majalla" w:hAnsi="Sakkal Majalla" w:cs="AL-Mohanad"/>
          <w:sz w:val="27"/>
          <w:szCs w:val="27"/>
          <w:rtl/>
        </w:rPr>
        <w:t xml:space="preserve"> بالتصر</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ف</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وقد أنكر أهل العربية قاطبة</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المول</w:t>
      </w:r>
      <w:r w:rsidR="00957D0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بمعن</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و</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ل</w:t>
      </w:r>
      <w:r w:rsidRPr="006571AC">
        <w:rPr>
          <w:rFonts w:cs="AL-Mohanad" w:hint="cs"/>
          <w:sz w:val="27"/>
          <w:szCs w:val="27"/>
          <w:rtl/>
        </w:rPr>
        <w:t>ى</w:t>
      </w:r>
      <w:r w:rsidRPr="006571AC">
        <w:rPr>
          <w:rFonts w:ascii="Sakkal Majalla" w:hAnsi="Sakkal Majalla" w:cs="AL-Mohanad"/>
          <w:sz w:val="27"/>
          <w:szCs w:val="27"/>
          <w:rtl/>
        </w:rPr>
        <w:t xml:space="preserve"> بالتصر</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ف</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بل قالوا: لم يجى‏ء مفعل بمعنى أفعل أصلا</w:t>
      </w:r>
      <w:r w:rsidR="00957D0C" w:rsidRPr="006571AC">
        <w:rPr>
          <w:rFonts w:ascii="Sakkal Majalla" w:hAnsi="Sakkal Majalla" w:cs="AL-Mohanad" w:hint="cs"/>
          <w:sz w:val="27"/>
          <w:szCs w:val="27"/>
          <w:rtl/>
        </w:rPr>
        <w:t>ً.</w:t>
      </w:r>
    </w:p>
    <w:p w:rsidR="005D05A4" w:rsidRPr="006571AC" w:rsidRDefault="005D05A4" w:rsidP="00B41BA0">
      <w:pPr>
        <w:pStyle w:val="af"/>
        <w:rPr>
          <w:rFonts w:ascii="Sakkal Majalla" w:hAnsi="Sakkal Majalla" w:cs="AL-Mohanad"/>
          <w:sz w:val="27"/>
          <w:szCs w:val="27"/>
        </w:rPr>
      </w:pPr>
      <w:r w:rsidRPr="006571AC">
        <w:rPr>
          <w:rFonts w:ascii="Sakkal Majalla" w:hAnsi="Sakkal Majalla" w:cs="AL-Mohanad"/>
          <w:b/>
          <w:bCs/>
          <w:sz w:val="27"/>
          <w:szCs w:val="27"/>
          <w:rtl/>
        </w:rPr>
        <w:t>الثالث</w:t>
      </w:r>
      <w:r w:rsidRPr="006571AC">
        <w:rPr>
          <w:rFonts w:ascii="Sakkal Majalla" w:hAnsi="Sakkal Majalla" w:cs="AL-Mohanad"/>
          <w:sz w:val="27"/>
          <w:szCs w:val="27"/>
          <w:rtl/>
        </w:rPr>
        <w:t>: و</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ذا لم </w:t>
      </w:r>
      <w:r w:rsidRPr="006571AC">
        <w:rPr>
          <w:rFonts w:cs="AL-Mohanad" w:hint="cs"/>
          <w:sz w:val="27"/>
          <w:szCs w:val="27"/>
          <w:rtl/>
        </w:rPr>
        <w:t>ي</w:t>
      </w:r>
      <w:r w:rsidRPr="006571AC">
        <w:rPr>
          <w:rFonts w:ascii="Sakkal Majalla" w:hAnsi="Sakkal Majalla" w:cs="AL-Mohanad" w:hint="cs"/>
          <w:sz w:val="27"/>
          <w:szCs w:val="27"/>
          <w:rtl/>
        </w:rPr>
        <w:t>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المول</w:t>
      </w:r>
      <w:r w:rsidR="00957D0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بمعن</w:t>
      </w:r>
      <w:r w:rsidR="00957D0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و</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ل</w:t>
      </w:r>
      <w:r w:rsidR="00957D0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بالتصر</w:t>
      </w:r>
      <w:r w:rsidR="00957D0C" w:rsidRPr="006571AC">
        <w:rPr>
          <w:rFonts w:ascii="Sakkal Majalla" w:hAnsi="Sakkal Majalla" w:cs="AL-Mohanad" w:hint="cs"/>
          <w:sz w:val="27"/>
          <w:szCs w:val="27"/>
          <w:rtl/>
        </w:rPr>
        <w:t>ُّ</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جب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بمعن</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المحب</w:t>
      </w:r>
      <w:r w:rsidR="00957D0C"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وهو كذل</w:t>
      </w:r>
      <w:r w:rsidRPr="006571AC">
        <w:rPr>
          <w:rFonts w:ascii="Sakkal Majalla" w:hAnsi="Sakkal Majalla" w:cs="AL-Mohanad" w:hint="cs"/>
          <w:sz w:val="27"/>
          <w:szCs w:val="27"/>
          <w:rtl/>
        </w:rPr>
        <w:t xml:space="preserve">ك، </w:t>
      </w:r>
      <w:r w:rsidRPr="006571AC">
        <w:rPr>
          <w:rFonts w:ascii="Sakkal Majalla" w:hAnsi="Sakkal Majalla" w:cs="AL-Mohanad"/>
          <w:sz w:val="27"/>
          <w:szCs w:val="27"/>
          <w:rtl/>
        </w:rPr>
        <w:t xml:space="preserve">وقد </w:t>
      </w:r>
      <w:r w:rsidR="00957D0C" w:rsidRPr="006571AC">
        <w:rPr>
          <w:rFonts w:ascii="Sakkal Majalla" w:hAnsi="Sakkal Majalla" w:cs="AL-Mohanad" w:hint="cs"/>
          <w:sz w:val="27"/>
          <w:szCs w:val="27"/>
          <w:rtl/>
        </w:rPr>
        <w:t>ا</w:t>
      </w:r>
      <w:r w:rsidRPr="006571AC">
        <w:rPr>
          <w:rFonts w:ascii="Sakkal Majalla" w:hAnsi="Sakkal Majalla" w:cs="AL-Mohanad"/>
          <w:sz w:val="27"/>
          <w:szCs w:val="27"/>
          <w:rtl/>
        </w:rPr>
        <w:t xml:space="preserve">ستند إلى </w:t>
      </w:r>
      <w:r w:rsidRPr="006571AC">
        <w:rPr>
          <w:rFonts w:ascii="Sakkal Majalla" w:hAnsi="Sakkal Majalla" w:cs="AL-Mohanad" w:hint="cs"/>
          <w:sz w:val="27"/>
          <w:szCs w:val="27"/>
          <w:rtl/>
        </w:rPr>
        <w:t>بعض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القرائن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لدعم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المعن</w:t>
      </w:r>
      <w:r w:rsidR="00AB5BFE"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للمول</w:t>
      </w:r>
      <w:r w:rsidR="00AB5BFE" w:rsidRPr="006571AC">
        <w:rPr>
          <w:rFonts w:cs="AL-Mohanad" w:hint="cs"/>
          <w:sz w:val="27"/>
          <w:szCs w:val="27"/>
          <w:rtl/>
        </w:rPr>
        <w:t>ى.</w:t>
      </w:r>
      <w:r w:rsidRPr="006571AC">
        <w:rPr>
          <w:rFonts w:ascii="Sakkal Majalla" w:hAnsi="Sakkal Majalla" w:cs="AL-Mohanad"/>
          <w:sz w:val="27"/>
          <w:szCs w:val="27"/>
          <w:rtl/>
        </w:rPr>
        <w:t xml:space="preserve"> </w:t>
      </w:r>
    </w:p>
    <w:p w:rsidR="005D05A4" w:rsidRPr="006571AC" w:rsidRDefault="005D05A4" w:rsidP="00B41BA0">
      <w:pPr>
        <w:pStyle w:val="af"/>
        <w:rPr>
          <w:rFonts w:ascii="Sakkal Majalla" w:hAnsi="Sakkal Majalla" w:cs="AL-Mohanad"/>
          <w:sz w:val="27"/>
          <w:szCs w:val="27"/>
        </w:rPr>
      </w:pPr>
      <w:r w:rsidRPr="006571AC">
        <w:rPr>
          <w:rFonts w:ascii="Sakkal Majalla" w:hAnsi="Sakkal Majalla" w:cs="AL-Mohanad"/>
          <w:b/>
          <w:bCs/>
          <w:sz w:val="27"/>
          <w:szCs w:val="27"/>
          <w:rtl/>
        </w:rPr>
        <w:t>الرابع</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لزم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المول</w:t>
      </w:r>
      <w:r w:rsidR="00AB5BFE"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بمعن</w:t>
      </w:r>
      <w:r w:rsidR="00AB5BFE"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و</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ل</w:t>
      </w:r>
      <w:r w:rsidR="00AB5BFE"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بالتصر</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00AB5BFE" w:rsidRPr="006571AC">
        <w:rPr>
          <w:rFonts w:ascii="Sakkal Majalla" w:hAnsi="Sakkal Majalla" w:cs="AL-Mohanad" w:hint="cs"/>
          <w:sz w:val="27"/>
          <w:szCs w:val="27"/>
          <w:rtl/>
        </w:rPr>
        <w:t>ا</w:t>
      </w:r>
      <w:r w:rsidRPr="006571AC">
        <w:rPr>
          <w:rFonts w:ascii="Sakkal Majalla" w:hAnsi="Sakkal Majalla" w:cs="AL-Mohanad"/>
          <w:sz w:val="27"/>
          <w:szCs w:val="27"/>
          <w:rtl/>
        </w:rPr>
        <w:t>جتماع الولا</w:t>
      </w:r>
      <w:r w:rsidRPr="006571AC">
        <w:rPr>
          <w:rFonts w:cs="AL-Mohanad" w:hint="cs"/>
          <w:sz w:val="27"/>
          <w:szCs w:val="27"/>
          <w:rtl/>
        </w:rPr>
        <w:t>ي</w:t>
      </w:r>
      <w:r w:rsidRPr="006571AC">
        <w:rPr>
          <w:rFonts w:ascii="Sakkal Majalla" w:hAnsi="Sakkal Majalla" w:cs="AL-Mohanad" w:hint="cs"/>
          <w:sz w:val="27"/>
          <w:szCs w:val="27"/>
          <w:rtl/>
        </w:rPr>
        <w:t>ت</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ـ ولا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النب</w:t>
      </w:r>
      <w:r w:rsidRPr="006571AC">
        <w:rPr>
          <w:rFonts w:cs="AL-Mohanad" w:hint="cs"/>
          <w:sz w:val="27"/>
          <w:szCs w:val="27"/>
          <w:rtl/>
        </w:rPr>
        <w:t>ي</w:t>
      </w:r>
      <w:r w:rsidR="00AB5BFE" w:rsidRPr="006571AC">
        <w:rPr>
          <w:rFonts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وولا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علي</w:t>
      </w:r>
      <w:r w:rsidR="00AB5BFE"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ـ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زمان</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واحد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ومن المعلوم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ه لا</w:t>
      </w:r>
      <w:r w:rsidR="00AB5BFE" w:rsidRPr="006571AC">
        <w:rPr>
          <w:rFonts w:ascii="Sakkal Majalla" w:hAnsi="Sakkal Majalla" w:cs="AL-Mohanad" w:hint="cs"/>
          <w:sz w:val="27"/>
          <w:szCs w:val="27"/>
          <w:rtl/>
        </w:rPr>
        <w:t xml:space="preserve"> </w:t>
      </w:r>
      <w:r w:rsidRPr="006571AC">
        <w:rPr>
          <w:rFonts w:ascii="Sakkal Majalla" w:hAnsi="Sakkal Majalla" w:cs="AL-Mohanad"/>
          <w:sz w:val="27"/>
          <w:szCs w:val="27"/>
          <w:rtl/>
        </w:rPr>
        <w:t>تجتمع ولا</w:t>
      </w:r>
      <w:r w:rsidRPr="006571AC">
        <w:rPr>
          <w:rFonts w:cs="AL-Mohanad" w:hint="cs"/>
          <w:sz w:val="27"/>
          <w:szCs w:val="27"/>
          <w:rtl/>
        </w:rPr>
        <w:t>ي</w:t>
      </w:r>
      <w:r w:rsidRPr="006571AC">
        <w:rPr>
          <w:rFonts w:ascii="Sakkal Majalla" w:hAnsi="Sakkal Majalla" w:cs="AL-Mohanad" w:hint="cs"/>
          <w:sz w:val="27"/>
          <w:szCs w:val="27"/>
          <w:rtl/>
        </w:rPr>
        <w:t>تان في</w:t>
      </w:r>
      <w:r w:rsidRPr="006571AC">
        <w:rPr>
          <w:rFonts w:ascii="Sakkal Majalla" w:hAnsi="Sakkal Majalla" w:cs="AL-Mohanad"/>
          <w:sz w:val="27"/>
          <w:szCs w:val="27"/>
          <w:rtl/>
        </w:rPr>
        <w:t xml:space="preserve"> زمن</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واحد</w:t>
      </w:r>
      <w:r w:rsidRPr="006571AC">
        <w:rPr>
          <w:rFonts w:ascii="Sakkal Majalla" w:hAnsi="Sakkal Majalla" w:cs="AL-Mohanad" w:hint="cs"/>
          <w:sz w:val="27"/>
          <w:szCs w:val="27"/>
        </w:rPr>
        <w:t xml:space="preserve">. </w:t>
      </w:r>
    </w:p>
    <w:p w:rsidR="005D05A4" w:rsidRPr="006571AC" w:rsidRDefault="005D05A4" w:rsidP="005D3BB1">
      <w:pPr>
        <w:pStyle w:val="af"/>
        <w:spacing w:line="412" w:lineRule="exact"/>
        <w:rPr>
          <w:rFonts w:ascii="Sakkal Majalla" w:hAnsi="Sakkal Majalla" w:cs="AL-Mohanad"/>
          <w:sz w:val="27"/>
          <w:szCs w:val="27"/>
        </w:rPr>
      </w:pPr>
      <w:r w:rsidRPr="006571AC">
        <w:rPr>
          <w:rFonts w:ascii="Sakkal Majalla" w:hAnsi="Sakkal Majalla" w:cs="AL-Mohanad" w:hint="cs"/>
          <w:b/>
          <w:bCs/>
          <w:sz w:val="27"/>
          <w:szCs w:val="27"/>
          <w:rtl/>
        </w:rPr>
        <w:lastRenderedPageBreak/>
        <w:t>وف</w:t>
      </w:r>
      <w:r w:rsidRPr="006571AC">
        <w:rPr>
          <w:rFonts w:cs="AL-Mohanad" w:hint="cs"/>
          <w:b/>
          <w:bCs/>
          <w:sz w:val="27"/>
          <w:szCs w:val="27"/>
          <w:rtl/>
        </w:rPr>
        <w:t>ي</w:t>
      </w:r>
      <w:r w:rsidRPr="006571AC">
        <w:rPr>
          <w:rFonts w:ascii="Sakkal Majalla" w:hAnsi="Sakkal Majalla" w:cs="AL-Mohanad" w:hint="cs"/>
          <w:b/>
          <w:bCs/>
          <w:sz w:val="27"/>
          <w:szCs w:val="27"/>
          <w:rtl/>
        </w:rPr>
        <w:t xml:space="preserve"> ال</w:t>
      </w:r>
      <w:r w:rsidRPr="006571AC">
        <w:rPr>
          <w:rFonts w:ascii="Sakkal Majalla" w:hAnsi="Sakkal Majalla" w:cs="AL-Mohanad"/>
          <w:b/>
          <w:bCs/>
          <w:sz w:val="27"/>
          <w:szCs w:val="27"/>
          <w:rtl/>
        </w:rPr>
        <w:t xml:space="preserve">جواب </w:t>
      </w:r>
      <w:r w:rsidRPr="006571AC">
        <w:rPr>
          <w:rFonts w:ascii="Sakkal Majalla" w:hAnsi="Sakkal Majalla" w:cs="AL-Mohanad" w:hint="cs"/>
          <w:b/>
          <w:bCs/>
          <w:sz w:val="27"/>
          <w:szCs w:val="27"/>
          <w:rtl/>
        </w:rPr>
        <w:t>عن ال</w:t>
      </w:r>
      <w:r w:rsidR="00AB5BFE" w:rsidRPr="006571AC">
        <w:rPr>
          <w:rFonts w:ascii="Sakkal Majalla" w:hAnsi="Sakkal Majalla" w:cs="AL-Mohanad" w:hint="cs"/>
          <w:b/>
          <w:bCs/>
          <w:sz w:val="27"/>
          <w:szCs w:val="27"/>
          <w:rtl/>
        </w:rPr>
        <w:t>إ</w:t>
      </w:r>
      <w:r w:rsidRPr="006571AC">
        <w:rPr>
          <w:rFonts w:ascii="Sakkal Majalla" w:hAnsi="Sakkal Majalla" w:cs="AL-Mohanad" w:hint="cs"/>
          <w:b/>
          <w:bCs/>
          <w:sz w:val="27"/>
          <w:szCs w:val="27"/>
          <w:rtl/>
        </w:rPr>
        <w:t xml:space="preserve">شكال </w:t>
      </w:r>
      <w:r w:rsidRPr="006571AC">
        <w:rPr>
          <w:rFonts w:ascii="Sakkal Majalla" w:hAnsi="Sakkal Majalla" w:cs="AL-Mohanad"/>
          <w:b/>
          <w:bCs/>
          <w:sz w:val="27"/>
          <w:szCs w:val="27"/>
          <w:rtl/>
        </w:rPr>
        <w:t>ال</w:t>
      </w:r>
      <w:r w:rsidR="00AB5BFE" w:rsidRPr="006571AC">
        <w:rPr>
          <w:rFonts w:ascii="Sakkal Majalla" w:hAnsi="Sakkal Majalla" w:cs="AL-Mohanad" w:hint="cs"/>
          <w:b/>
          <w:bCs/>
          <w:sz w:val="27"/>
          <w:szCs w:val="27"/>
          <w:rtl/>
        </w:rPr>
        <w:t>أ</w:t>
      </w:r>
      <w:r w:rsidRPr="006571AC">
        <w:rPr>
          <w:rFonts w:ascii="Sakkal Majalla" w:hAnsi="Sakkal Majalla" w:cs="AL-Mohanad"/>
          <w:b/>
          <w:bCs/>
          <w:sz w:val="27"/>
          <w:szCs w:val="27"/>
          <w:rtl/>
        </w:rPr>
        <w:t>و</w:t>
      </w:r>
      <w:r w:rsidR="00E44B43"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Pr="006571AC">
        <w:rPr>
          <w:rFonts w:ascii="Sakkal Majalla" w:hAnsi="Sakkal Majalla" w:cs="AL-Mohanad" w:hint="cs"/>
          <w:b/>
          <w:bCs/>
          <w:sz w:val="27"/>
          <w:szCs w:val="27"/>
          <w:rtl/>
        </w:rPr>
        <w:t xml:space="preserve"> نقول</w:t>
      </w:r>
      <w:r w:rsidRPr="006571AC">
        <w:rPr>
          <w:rFonts w:ascii="Sakkal Majalla" w:hAnsi="Sakkal Majalla" w:cs="AL-Mohanad"/>
          <w:sz w:val="27"/>
          <w:szCs w:val="27"/>
          <w:rtl/>
        </w:rPr>
        <w:t xml:space="preserve">: </w:t>
      </w:r>
      <w:r w:rsidR="00AB5BFE" w:rsidRPr="006571AC">
        <w:rPr>
          <w:rFonts w:ascii="Sakkal Majalla" w:hAnsi="Sakkal Majalla" w:cs="AL-Mohanad" w:hint="cs"/>
          <w:sz w:val="27"/>
          <w:szCs w:val="27"/>
          <w:rtl/>
        </w:rPr>
        <w:t>إ</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طرق و</w:t>
      </w:r>
      <w:r w:rsidRPr="006571AC">
        <w:rPr>
          <w:rFonts w:ascii="Sakkal Majalla" w:hAnsi="Sakkal Majalla" w:cs="AL-Mohanad" w:hint="cs"/>
          <w:sz w:val="27"/>
          <w:szCs w:val="27"/>
          <w:rtl/>
        </w:rPr>
        <w:t>أ</w:t>
      </w:r>
      <w:r w:rsidRPr="006571AC">
        <w:rPr>
          <w:rFonts w:ascii="Sakkal Majalla" w:hAnsi="Sakkal Majalla" w:cs="AL-Mohanad"/>
          <w:sz w:val="27"/>
          <w:szCs w:val="27"/>
          <w:rtl/>
        </w:rPr>
        <w:t>سان</w:t>
      </w:r>
      <w:r w:rsidRPr="006571AC">
        <w:rPr>
          <w:rFonts w:cs="AL-Mohanad" w:hint="cs"/>
          <w:sz w:val="27"/>
          <w:szCs w:val="27"/>
          <w:rtl/>
        </w:rPr>
        <w:t>ي</w:t>
      </w:r>
      <w:r w:rsidRPr="006571AC">
        <w:rPr>
          <w:rFonts w:ascii="Sakkal Majalla" w:hAnsi="Sakkal Majalla" w:cs="AL-Mohanad" w:hint="cs"/>
          <w:sz w:val="27"/>
          <w:szCs w:val="27"/>
          <w:rtl/>
        </w:rPr>
        <w:t>د</w:t>
      </w:r>
      <w:r w:rsidR="00AB5BFE"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الغد</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هل السن</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ة </w:t>
      </w:r>
      <w:r w:rsidRPr="006571AC">
        <w:rPr>
          <w:rFonts w:ascii="Sakkal Majalla" w:hAnsi="Sakkal Majalla" w:cs="AL-Mohanad" w:hint="cs"/>
          <w:sz w:val="27"/>
          <w:szCs w:val="27"/>
          <w:rtl/>
        </w:rPr>
        <w:t>كث</w:t>
      </w:r>
      <w:r w:rsidRPr="006571AC">
        <w:rPr>
          <w:rFonts w:cs="AL-Mohanad" w:hint="cs"/>
          <w:sz w:val="27"/>
          <w:szCs w:val="27"/>
          <w:rtl/>
        </w:rPr>
        <w:t>ي</w:t>
      </w:r>
      <w:r w:rsidRPr="006571AC">
        <w:rPr>
          <w:rFonts w:ascii="Sakkal Majalla" w:hAnsi="Sakkal Majalla" w:cs="AL-Mohanad" w:hint="cs"/>
          <w:sz w:val="27"/>
          <w:szCs w:val="27"/>
          <w:rtl/>
        </w:rPr>
        <w:t>رة</w:t>
      </w:r>
      <w:r w:rsidR="00DB1F18"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ومعتبرة</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قد</w:t>
      </w:r>
      <w:r w:rsidRPr="006571AC">
        <w:rPr>
          <w:rFonts w:ascii="Sakkal Majalla" w:hAnsi="Sakkal Majalla" w:cs="AL-Mohanad"/>
          <w:sz w:val="27"/>
          <w:szCs w:val="27"/>
          <w:rtl/>
        </w:rPr>
        <w:t xml:space="preserve"> قال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الذهبي</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B5BFE" w:rsidRPr="006571AC">
        <w:rPr>
          <w:rFonts w:ascii="Sakkal Majalla" w:hAnsi="Sakkal Majalla" w:cs="AL-Mohanad" w:hint="cs"/>
          <w:sz w:val="27"/>
          <w:szCs w:val="27"/>
          <w:rtl/>
        </w:rPr>
        <w:t>إ</w:t>
      </w:r>
      <w:r w:rsidR="00AB5BFE" w:rsidRPr="006571AC">
        <w:rPr>
          <w:rFonts w:ascii="Sakkal Majalla" w:hAnsi="Sakkal Majalla" w:cs="AL-Mohanad"/>
          <w:sz w:val="27"/>
          <w:szCs w:val="27"/>
          <w:rtl/>
        </w:rPr>
        <w:t>ن</w:t>
      </w:r>
      <w:r w:rsidR="00AB5BFE" w:rsidRPr="006571AC">
        <w:rPr>
          <w:rFonts w:ascii="Sakkal Majalla" w:hAnsi="Sakkal Majalla" w:cs="AL-Mohanad"/>
          <w:rtl/>
        </w:rPr>
        <w:t xml:space="preserve"> </w:t>
      </w:r>
      <w:r w:rsidRPr="006571AC">
        <w:rPr>
          <w:rFonts w:ascii="Sakkal Majalla" w:hAnsi="Sakkal Majalla" w:cs="AL-Mohanad"/>
          <w:rtl/>
        </w:rPr>
        <w:t>«</w:t>
      </w:r>
      <w:r w:rsidRPr="006571AC">
        <w:rPr>
          <w:rFonts w:ascii="Sakkal Majalla" w:hAnsi="Sakkal Majalla" w:cs="AL-Mohanad"/>
          <w:sz w:val="27"/>
          <w:szCs w:val="27"/>
          <w:rtl/>
        </w:rPr>
        <w:t>م</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ن</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كنت مولاه فعلي</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مولا</w:t>
      </w:r>
      <w:r w:rsidR="00AB5BFE"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متواتر</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يتيق</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ن أن رسول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w:t>
      </w:r>
      <w:r w:rsidR="004459D6" w:rsidRPr="006571AC">
        <w:rPr>
          <w:rFonts w:ascii="Mosawi" w:hAnsi="Mosawi" w:cs="Mosawi"/>
          <w:sz w:val="22"/>
          <w:szCs w:val="22"/>
          <w:rtl/>
        </w:rPr>
        <w:t>ﷺ</w:t>
      </w:r>
      <w:r w:rsidRPr="006571AC">
        <w:rPr>
          <w:rFonts w:ascii="Sakkal Majalla" w:hAnsi="Sakkal Majalla" w:cs="AL-Mohanad"/>
          <w:sz w:val="27"/>
          <w:szCs w:val="27"/>
          <w:rtl/>
        </w:rPr>
        <w:t xml:space="preserve"> قاله</w:t>
      </w:r>
      <w:r w:rsidRPr="006571AC">
        <w:rPr>
          <w:rFonts w:ascii="Sakkal Majalla" w:hAnsi="Sakkal Majalla" w:cs="AL-Mohanad"/>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49"/>
      </w:r>
      <w:r w:rsidRPr="006571AC">
        <w:rPr>
          <w:rFonts w:ascii="Sakkal Majalla" w:hAnsi="Sakkal Majalla" w:cs="AL-Mohanad"/>
          <w:sz w:val="27"/>
          <w:szCs w:val="27"/>
          <w:vertAlign w:val="superscript"/>
          <w:rtl/>
        </w:rPr>
        <w:t>)</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و</w:t>
      </w:r>
      <w:r w:rsidRPr="006571AC">
        <w:rPr>
          <w:rFonts w:ascii="Sakkal Majalla" w:hAnsi="Sakkal Majalla" w:cs="AL-Mohanad"/>
          <w:sz w:val="27"/>
          <w:szCs w:val="27"/>
          <w:rtl/>
        </w:rPr>
        <w:t xml:space="preserve">قد </w:t>
      </w:r>
      <w:r w:rsidR="00AB5BFE" w:rsidRPr="006571AC">
        <w:rPr>
          <w:rFonts w:ascii="Sakkal Majalla" w:hAnsi="Sakkal Majalla" w:cs="AL-Mohanad" w:hint="cs"/>
          <w:sz w:val="27"/>
          <w:szCs w:val="27"/>
          <w:rtl/>
        </w:rPr>
        <w:t>ا</w:t>
      </w:r>
      <w:r w:rsidRPr="006571AC">
        <w:rPr>
          <w:rFonts w:ascii="Sakkal Majalla" w:hAnsi="Sakkal Majalla" w:cs="AL-Mohanad"/>
          <w:sz w:val="27"/>
          <w:szCs w:val="27"/>
          <w:rtl/>
        </w:rPr>
        <w:t>عتن</w:t>
      </w:r>
      <w:r w:rsidR="00AB5BFE"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الغد</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كبار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علماء</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السن</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حتى </w:t>
      </w:r>
      <w:r w:rsidRPr="006571AC">
        <w:rPr>
          <w:rFonts w:ascii="Sakkal Majalla" w:hAnsi="Sakkal Majalla" w:cs="AL-Mohanad" w:hint="cs"/>
          <w:sz w:val="27"/>
          <w:szCs w:val="27"/>
          <w:rtl/>
        </w:rPr>
        <w:t>أ</w:t>
      </w:r>
      <w:r w:rsidRPr="006571AC">
        <w:rPr>
          <w:rFonts w:ascii="Sakkal Majalla" w:hAnsi="Sakkal Majalla" w:cs="AL-Mohanad"/>
          <w:sz w:val="27"/>
          <w:szCs w:val="27"/>
          <w:rtl/>
        </w:rPr>
        <w:t>فردوا 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كتباً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مستقل</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w:t>
      </w:r>
      <w:r w:rsidR="00AB5BFE" w:rsidRPr="006571AC">
        <w:rPr>
          <w:rFonts w:ascii="Sakkal Majalla" w:hAnsi="Sakkal Majalla" w:cs="AL-Mohanad" w:hint="cs"/>
          <w:sz w:val="27"/>
          <w:szCs w:val="27"/>
          <w:rtl/>
        </w:rPr>
        <w:t>ا</w:t>
      </w:r>
      <w:r w:rsidRPr="006571AC">
        <w:rPr>
          <w:rFonts w:ascii="Sakkal Majalla" w:hAnsi="Sakkal Majalla" w:cs="AL-Mohanad"/>
          <w:sz w:val="27"/>
          <w:szCs w:val="27"/>
          <w:rtl/>
        </w:rPr>
        <w:t>بن جر</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الطبر</w:t>
      </w:r>
      <w:r w:rsidRPr="006571AC">
        <w:rPr>
          <w:rFonts w:cs="AL-Mohanad" w:hint="cs"/>
          <w:sz w:val="27"/>
          <w:szCs w:val="27"/>
          <w:rtl/>
        </w:rPr>
        <w:t>ي</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الغد</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مجلد</w:t>
      </w:r>
      <w:r w:rsidRPr="006571AC">
        <w:rPr>
          <w:rFonts w:cs="AL-Mohanad" w:hint="cs"/>
          <w:sz w:val="27"/>
          <w:szCs w:val="27"/>
          <w:rtl/>
        </w:rPr>
        <w:t>ي</w:t>
      </w:r>
      <w:r w:rsidRPr="006571AC">
        <w:rPr>
          <w:rFonts w:ascii="Sakkal Majalla" w:hAnsi="Sakkal Majalla" w:cs="AL-Mohanad" w:hint="cs"/>
          <w:sz w:val="27"/>
          <w:szCs w:val="27"/>
          <w:rtl/>
        </w:rPr>
        <w:t>ن</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ورد ف</w:t>
      </w:r>
      <w:r w:rsidRPr="006571AC">
        <w:rPr>
          <w:rFonts w:cs="AL-Mohanad" w:hint="cs"/>
          <w:sz w:val="27"/>
          <w:szCs w:val="27"/>
          <w:rtl/>
        </w:rPr>
        <w:t>ي</w:t>
      </w:r>
      <w:r w:rsidRPr="006571AC">
        <w:rPr>
          <w:rFonts w:ascii="Sakkal Majalla" w:hAnsi="Sakkal Majalla" w:cs="AL-Mohanad" w:hint="cs"/>
          <w:sz w:val="27"/>
          <w:szCs w:val="27"/>
          <w:rtl/>
        </w:rPr>
        <w:t>هما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سائر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طرقه</w:t>
      </w:r>
      <w:r w:rsidRPr="006571AC">
        <w:rPr>
          <w:rFonts w:ascii="Sakkal Majalla" w:hAnsi="Sakkal Majalla" w:cs="AL-Mohanad"/>
          <w:sz w:val="27"/>
          <w:szCs w:val="27"/>
          <w:rtl/>
        </w:rPr>
        <w:t xml:space="preserve"> و</w:t>
      </w:r>
      <w:r w:rsidR="00AB5BFE" w:rsidRPr="006571AC">
        <w:rPr>
          <w:rFonts w:ascii="Sakkal Majalla" w:hAnsi="Sakkal Majalla" w:cs="AL-Mohanad" w:hint="cs"/>
          <w:sz w:val="27"/>
          <w:szCs w:val="27"/>
          <w:rtl/>
        </w:rPr>
        <w:t>أ</w:t>
      </w:r>
      <w:r w:rsidRPr="006571AC">
        <w:rPr>
          <w:rFonts w:ascii="Sakkal Majalla" w:hAnsi="Sakkal Majalla" w:cs="AL-Mohanad"/>
          <w:sz w:val="27"/>
          <w:szCs w:val="27"/>
          <w:rtl/>
        </w:rPr>
        <w:t>لفاظه</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وهذا </w:t>
      </w:r>
      <w:r w:rsidRPr="006571AC">
        <w:rPr>
          <w:rFonts w:cs="AL-Mohanad" w:hint="cs"/>
          <w:sz w:val="27"/>
          <w:szCs w:val="27"/>
          <w:rtl/>
        </w:rPr>
        <w:t>ي</w:t>
      </w:r>
      <w:r w:rsidR="00AB5BFE" w:rsidRPr="006571AC">
        <w:rPr>
          <w:rFonts w:ascii="Sakkal Majalla" w:hAnsi="Sakkal Majalla" w:cs="AL-Mohanad" w:hint="cs"/>
          <w:sz w:val="27"/>
          <w:szCs w:val="27"/>
          <w:rtl/>
        </w:rPr>
        <w:t>د</w:t>
      </w:r>
      <w:r w:rsidRPr="006571AC">
        <w:rPr>
          <w:rFonts w:ascii="Sakkal Majalla" w:hAnsi="Sakkal Majalla" w:cs="AL-Mohanad" w:hint="cs"/>
          <w:sz w:val="27"/>
          <w:szCs w:val="27"/>
          <w:rtl/>
        </w:rPr>
        <w:t>ل</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نا على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أنّ </w:t>
      </w:r>
      <w:r w:rsidRPr="006571AC">
        <w:rPr>
          <w:rFonts w:ascii="Sakkal Majalla" w:hAnsi="Sakkal Majalla" w:cs="AL-Mohanad"/>
          <w:sz w:val="27"/>
          <w:szCs w:val="27"/>
          <w:rtl/>
        </w:rPr>
        <w:t>ما قاله الآلوس</w:t>
      </w:r>
      <w:r w:rsidRPr="006571AC">
        <w:rPr>
          <w:rFonts w:cs="AL-Mohanad" w:hint="cs"/>
          <w:sz w:val="27"/>
          <w:szCs w:val="27"/>
          <w:rtl/>
        </w:rPr>
        <w:t>ي</w:t>
      </w:r>
      <w:r w:rsidRPr="006571AC">
        <w:rPr>
          <w:rFonts w:ascii="Sakkal Majalla" w:hAnsi="Sakkal Majalla" w:cs="AL-Mohanad" w:hint="cs"/>
          <w:sz w:val="27"/>
          <w:szCs w:val="27"/>
          <w:rtl/>
        </w:rPr>
        <w:t xml:space="preserve"> غير صحيح</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فإنّ </w:t>
      </w:r>
      <w:r w:rsidRPr="006571AC">
        <w:rPr>
          <w:rFonts w:ascii="Sakkal Majalla" w:hAnsi="Sakkal Majalla" w:cs="AL-Mohanad"/>
          <w:sz w:val="27"/>
          <w:szCs w:val="27"/>
          <w:rtl/>
        </w:rPr>
        <w:t>لحد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00AB5BFE" w:rsidRPr="006571AC">
        <w:rPr>
          <w:rFonts w:ascii="Sakkal Majalla" w:hAnsi="Sakkal Majalla" w:cs="AL-Mohanad" w:hint="cs"/>
          <w:sz w:val="27"/>
          <w:szCs w:val="27"/>
          <w:rtl/>
        </w:rPr>
        <w:t>أ</w:t>
      </w:r>
      <w:r w:rsidRPr="006571AC">
        <w:rPr>
          <w:rFonts w:ascii="Sakkal Majalla" w:hAnsi="Sakkal Majalla" w:cs="AL-Mohanad" w:hint="cs"/>
          <w:sz w:val="27"/>
          <w:szCs w:val="27"/>
          <w:rtl/>
        </w:rPr>
        <w:t>هم</w:t>
      </w:r>
      <w:r w:rsidR="00AB5BFE"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بالغة</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أهل السن</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Pr>
        <w:t xml:space="preserve">. </w:t>
      </w:r>
    </w:p>
    <w:p w:rsidR="005D05A4" w:rsidRPr="006571AC" w:rsidRDefault="005D05A4" w:rsidP="005D3BB1">
      <w:pPr>
        <w:pStyle w:val="af"/>
        <w:spacing w:line="412" w:lineRule="exact"/>
        <w:rPr>
          <w:rFonts w:ascii="Sakkal Majalla" w:hAnsi="Sakkal Majalla" w:cs="AL-Mohanad"/>
          <w:sz w:val="27"/>
          <w:szCs w:val="27"/>
        </w:rPr>
      </w:pPr>
      <w:r w:rsidRPr="006571AC">
        <w:rPr>
          <w:rFonts w:ascii="Sakkal Majalla" w:hAnsi="Sakkal Majalla" w:cs="AL-Mohanad"/>
          <w:b/>
          <w:bCs/>
          <w:sz w:val="27"/>
          <w:szCs w:val="27"/>
          <w:rtl/>
        </w:rPr>
        <w:t>و</w:t>
      </w:r>
      <w:r w:rsidRPr="006571AC">
        <w:rPr>
          <w:rFonts w:ascii="Sakkal Majalla" w:hAnsi="Sakkal Majalla" w:cs="AL-Mohanad" w:hint="cs"/>
          <w:b/>
          <w:bCs/>
          <w:sz w:val="27"/>
          <w:szCs w:val="27"/>
          <w:rtl/>
        </w:rPr>
        <w:t>أ</w:t>
      </w:r>
      <w:r w:rsidRPr="006571AC">
        <w:rPr>
          <w:rFonts w:ascii="Sakkal Majalla" w:hAnsi="Sakkal Majalla" w:cs="AL-Mohanad"/>
          <w:b/>
          <w:bCs/>
          <w:sz w:val="27"/>
          <w:szCs w:val="27"/>
          <w:rtl/>
        </w:rPr>
        <w:t>مّا جواب</w:t>
      </w:r>
      <w:r w:rsidRPr="006571AC">
        <w:rPr>
          <w:rFonts w:ascii="Sakkal Majalla" w:hAnsi="Sakkal Majalla" w:cs="AL-Mohanad" w:hint="cs"/>
          <w:b/>
          <w:bCs/>
          <w:sz w:val="27"/>
          <w:szCs w:val="27"/>
          <w:rtl/>
        </w:rPr>
        <w:t xml:space="preserve"> ال</w:t>
      </w:r>
      <w:r w:rsidR="00AB5BFE" w:rsidRPr="006571AC">
        <w:rPr>
          <w:rFonts w:ascii="Sakkal Majalla" w:hAnsi="Sakkal Majalla" w:cs="AL-Mohanad" w:hint="cs"/>
          <w:b/>
          <w:bCs/>
          <w:sz w:val="27"/>
          <w:szCs w:val="27"/>
          <w:rtl/>
        </w:rPr>
        <w:t>إ</w:t>
      </w:r>
      <w:r w:rsidRPr="006571AC">
        <w:rPr>
          <w:rFonts w:ascii="Sakkal Majalla" w:hAnsi="Sakkal Majalla" w:cs="AL-Mohanad" w:hint="cs"/>
          <w:b/>
          <w:bCs/>
          <w:sz w:val="27"/>
          <w:szCs w:val="27"/>
          <w:rtl/>
        </w:rPr>
        <w:t>شكال</w:t>
      </w:r>
      <w:r w:rsidRPr="006571AC">
        <w:rPr>
          <w:rFonts w:ascii="Sakkal Majalla" w:hAnsi="Sakkal Majalla" w:cs="AL-Mohanad"/>
          <w:b/>
          <w:bCs/>
          <w:sz w:val="27"/>
          <w:szCs w:val="27"/>
          <w:rtl/>
        </w:rPr>
        <w:t xml:space="preserve"> الثان</w:t>
      </w:r>
      <w:r w:rsidRPr="006571AC">
        <w:rPr>
          <w:rFonts w:cs="AL-Mohanad" w:hint="cs"/>
          <w:b/>
          <w:bCs/>
          <w:sz w:val="27"/>
          <w:szCs w:val="27"/>
          <w:rtl/>
        </w:rPr>
        <w:t>ي</w:t>
      </w:r>
      <w:r w:rsidRPr="006571AC">
        <w:rPr>
          <w:rFonts w:ascii="Sakkal Majalla" w:hAnsi="Sakkal Majalla" w:cs="AL-Mohanad"/>
          <w:sz w:val="27"/>
          <w:szCs w:val="27"/>
          <w:rtl/>
        </w:rPr>
        <w:t>: لقد حاول الآلوس</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هذه الشبهة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وهم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لقارئ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لم </w:t>
      </w:r>
      <w:r w:rsidRPr="006571AC">
        <w:rPr>
          <w:rFonts w:cs="AL-Mohanad" w:hint="cs"/>
          <w:sz w:val="27"/>
          <w:szCs w:val="27"/>
          <w:rtl/>
        </w:rPr>
        <w:t>ي</w:t>
      </w:r>
      <w:r w:rsidRPr="006571AC">
        <w:rPr>
          <w:rFonts w:ascii="Sakkal Majalla" w:hAnsi="Sakkal Majalla" w:cs="AL-Mohanad" w:hint="cs"/>
          <w:sz w:val="27"/>
          <w:szCs w:val="27"/>
          <w:rtl/>
        </w:rPr>
        <w:t>ق</w:t>
      </w:r>
      <w:r w:rsidR="00DB1F18" w:rsidRPr="006571AC">
        <w:rPr>
          <w:rFonts w:ascii="Sakkal Majalla" w:hAnsi="Sakkal Majalla" w:cs="AL-Mohanad" w:hint="cs"/>
          <w:sz w:val="27"/>
          <w:szCs w:val="27"/>
          <w:rtl/>
        </w:rPr>
        <w:t>ُ</w:t>
      </w:r>
      <w:r w:rsidRPr="006571AC">
        <w:rPr>
          <w:rFonts w:ascii="Sakkal Majalla" w:hAnsi="Sakkal Majalla" w:cs="AL-Mohanad" w:hint="cs"/>
          <w:sz w:val="27"/>
          <w:szCs w:val="27"/>
          <w:rtl/>
        </w:rPr>
        <w:t>ل</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حد</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اللغو</w:t>
      </w:r>
      <w:r w:rsidRPr="006571AC">
        <w:rPr>
          <w:rFonts w:cs="AL-Mohanad" w:hint="cs"/>
          <w:sz w:val="27"/>
          <w:szCs w:val="27"/>
          <w:rtl/>
        </w:rPr>
        <w:t>يي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كلمة المول</w:t>
      </w:r>
      <w:r w:rsidR="00DB1F18"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جاءت</w:t>
      </w:r>
      <w:r w:rsidRPr="006571AC">
        <w:rPr>
          <w:rFonts w:ascii="Sakkal Majalla" w:hAnsi="Sakkal Majalla" w:cs="AL-Mohanad"/>
          <w:sz w:val="27"/>
          <w:szCs w:val="27"/>
          <w:rtl/>
        </w:rPr>
        <w:t xml:space="preserve"> بمعن</w:t>
      </w:r>
      <w:r w:rsidR="00DB1F18"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و</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ل</w:t>
      </w:r>
      <w:r w:rsidR="00DB1F18"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بالتصر</w:t>
      </w:r>
      <w:r w:rsidR="00DB1F18"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ف، </w:t>
      </w:r>
      <w:r w:rsidRPr="006571AC">
        <w:rPr>
          <w:rFonts w:ascii="Sakkal Majalla" w:hAnsi="Sakkal Majalla" w:cs="AL-Mohanad"/>
          <w:sz w:val="27"/>
          <w:szCs w:val="27"/>
          <w:rtl/>
        </w:rPr>
        <w:t xml:space="preserve">والحال </w:t>
      </w:r>
      <w:r w:rsidRPr="006571AC">
        <w:rPr>
          <w:rFonts w:ascii="Sakkal Majalla" w:hAnsi="Sakkal Majalla" w:cs="AL-Mohanad" w:hint="cs"/>
          <w:sz w:val="27"/>
          <w:szCs w:val="27"/>
          <w:rtl/>
        </w:rPr>
        <w:t>أ</w:t>
      </w:r>
      <w:r w:rsidRPr="006571AC">
        <w:rPr>
          <w:rFonts w:ascii="Sakkal Majalla" w:hAnsi="Sakkal Majalla" w:cs="AL-Mohanad"/>
          <w:sz w:val="27"/>
          <w:szCs w:val="27"/>
          <w:rtl/>
        </w:rPr>
        <w:t>نّه قد صرح عشرات ال</w:t>
      </w:r>
      <w:r w:rsidR="00DB1F18" w:rsidRPr="006571AC">
        <w:rPr>
          <w:rFonts w:ascii="Sakkal Majalla" w:hAnsi="Sakkal Majalla" w:cs="AL-Mohanad" w:hint="cs"/>
          <w:sz w:val="27"/>
          <w:szCs w:val="27"/>
          <w:rtl/>
        </w:rPr>
        <w:t>ل</w:t>
      </w:r>
      <w:r w:rsidRPr="006571AC">
        <w:rPr>
          <w:rFonts w:ascii="Sakkal Majalla" w:hAnsi="Sakkal Majalla" w:cs="AL-Mohanad"/>
          <w:sz w:val="27"/>
          <w:szCs w:val="27"/>
          <w:rtl/>
        </w:rPr>
        <w:t>غو</w:t>
      </w:r>
      <w:r w:rsidRPr="006571AC">
        <w:rPr>
          <w:rFonts w:cs="AL-Mohanad" w:hint="cs"/>
          <w:sz w:val="27"/>
          <w:szCs w:val="27"/>
          <w:rtl/>
        </w:rPr>
        <w:t>يي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من جملة معان</w:t>
      </w:r>
      <w:r w:rsidRPr="006571AC">
        <w:rPr>
          <w:rFonts w:cs="AL-Mohanad" w:hint="cs"/>
          <w:sz w:val="27"/>
          <w:szCs w:val="27"/>
          <w:rtl/>
        </w:rPr>
        <w:t>ي</w:t>
      </w:r>
      <w:r w:rsidRPr="006571AC">
        <w:rPr>
          <w:rFonts w:ascii="Sakkal Majalla" w:hAnsi="Sakkal Majalla" w:cs="AL-Mohanad"/>
          <w:sz w:val="27"/>
          <w:szCs w:val="27"/>
          <w:rtl/>
        </w:rPr>
        <w:t xml:space="preserve"> المول</w:t>
      </w:r>
      <w:r w:rsidR="00DB1F18"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و</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ل</w:t>
      </w:r>
      <w:r w:rsidR="00DB1F18"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بالتصر</w:t>
      </w:r>
      <w:r w:rsidR="00DB1F18"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ف، </w:t>
      </w:r>
      <w:r w:rsidRPr="006571AC">
        <w:rPr>
          <w:rFonts w:ascii="Sakkal Majalla" w:hAnsi="Sakkal Majalla" w:cs="AL-Mohanad"/>
          <w:sz w:val="27"/>
          <w:szCs w:val="27"/>
          <w:rtl/>
        </w:rPr>
        <w:t>وسنذكر ف</w:t>
      </w:r>
      <w:r w:rsidRPr="006571AC">
        <w:rPr>
          <w:rFonts w:cs="AL-Mohanad" w:hint="cs"/>
          <w:sz w:val="27"/>
          <w:szCs w:val="27"/>
          <w:rtl/>
        </w:rPr>
        <w:t>ي</w:t>
      </w:r>
      <w:r w:rsidR="00DB1F18" w:rsidRPr="006571AC">
        <w:rPr>
          <w:rFonts w:cs="AL-Mohanad" w:hint="cs"/>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كلمات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علام اللغو</w:t>
      </w:r>
      <w:r w:rsidRPr="006571AC">
        <w:rPr>
          <w:rFonts w:cs="AL-Mohanad" w:hint="cs"/>
          <w:sz w:val="27"/>
          <w:szCs w:val="27"/>
          <w:rtl/>
        </w:rPr>
        <w:t>يي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والمفس</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ر</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هل السن</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ة</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صرّ</w:t>
      </w:r>
      <w:r w:rsidR="00DB1F18" w:rsidRPr="006571AC">
        <w:rPr>
          <w:rFonts w:ascii="Sakkal Majalla" w:hAnsi="Sakkal Majalla" w:cs="AL-Mohanad" w:hint="cs"/>
          <w:sz w:val="27"/>
          <w:szCs w:val="27"/>
          <w:rtl/>
        </w:rPr>
        <w:t>َ</w:t>
      </w:r>
      <w:r w:rsidRPr="006571AC">
        <w:rPr>
          <w:rFonts w:ascii="Sakkal Majalla" w:hAnsi="Sakkal Majalla" w:cs="AL-Mohanad" w:hint="cs"/>
          <w:sz w:val="27"/>
          <w:szCs w:val="27"/>
          <w:rtl/>
        </w:rPr>
        <w:t>حوا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بذلك</w:t>
      </w:r>
      <w:r w:rsidR="00DB1F18" w:rsidRPr="006571AC">
        <w:rPr>
          <w:rFonts w:ascii="Sakkal Majalla" w:hAnsi="Sakkal Majalla" w:cs="AL-Mohanad" w:hint="cs"/>
          <w:sz w:val="27"/>
          <w:szCs w:val="27"/>
          <w:rtl/>
        </w:rPr>
        <w:t>:</w:t>
      </w:r>
      <w:r w:rsidRPr="006571AC">
        <w:rPr>
          <w:rFonts w:ascii="Sakkal Majalla" w:hAnsi="Sakkal Majalla" w:cs="AL-Mohanad"/>
          <w:sz w:val="27"/>
          <w:szCs w:val="27"/>
        </w:rPr>
        <w:t xml:space="preserve"> </w:t>
      </w:r>
    </w:p>
    <w:p w:rsidR="00DB1F18" w:rsidRPr="006571AC" w:rsidRDefault="005D05A4" w:rsidP="005D3BB1">
      <w:pPr>
        <w:spacing w:line="412" w:lineRule="exact"/>
        <w:rPr>
          <w:rFonts w:ascii="Sakkal Majalla" w:hAnsi="Sakkal Majalla"/>
          <w:sz w:val="27"/>
          <w:rtl/>
        </w:rPr>
      </w:pPr>
      <w:r w:rsidRPr="006571AC">
        <w:rPr>
          <w:rFonts w:ascii="Sakkal Majalla" w:hAnsi="Sakkal Majalla"/>
          <w:sz w:val="27"/>
          <w:rtl/>
        </w:rPr>
        <w:t>قال الفخر الرازي</w:t>
      </w:r>
      <w:r w:rsidR="00DB1F18"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 xml:space="preserve">في </w:t>
      </w:r>
      <w:r w:rsidRPr="006571AC">
        <w:rPr>
          <w:rFonts w:ascii="Sakkal Majalla" w:hAnsi="Sakkal Majalla"/>
          <w:sz w:val="27"/>
          <w:rtl/>
        </w:rPr>
        <w:t>تفسير قوله تعالى</w:t>
      </w:r>
      <w:r w:rsidRPr="006571AC">
        <w:rPr>
          <w:rFonts w:ascii="Sakkal Majalla" w:hAnsi="Sakkal Majalla" w:hint="cs"/>
          <w:sz w:val="27"/>
          <w:rtl/>
        </w:rPr>
        <w:t xml:space="preserve">: </w:t>
      </w:r>
      <w:r w:rsidRPr="006571AC">
        <w:rPr>
          <w:rFonts w:ascii="Mosawi" w:hAnsi="Mosawi" w:cs="Mosawi"/>
          <w:sz w:val="24"/>
          <w:szCs w:val="24"/>
          <w:rtl/>
        </w:rPr>
        <w:t>﴿</w:t>
      </w:r>
      <w:r w:rsidRPr="006571AC">
        <w:rPr>
          <w:rFonts w:ascii="Sakkal Majalla" w:hAnsi="Sakkal Majalla"/>
          <w:b/>
          <w:bCs/>
          <w:sz w:val="27"/>
          <w:rtl/>
        </w:rPr>
        <w:t>هِيَ مَوْلاكُمْ وبِئْسَ الْمَصِيرُ</w:t>
      </w:r>
      <w:r w:rsidRPr="006571AC">
        <w:rPr>
          <w:rFonts w:ascii="Mosawi" w:hAnsi="Mosawi" w:cs="Mosawi"/>
          <w:sz w:val="24"/>
          <w:szCs w:val="24"/>
          <w:rtl/>
        </w:rPr>
        <w:t>﴾</w:t>
      </w:r>
      <w:r w:rsidR="00DB1F18" w:rsidRPr="006571AC">
        <w:rPr>
          <w:rFonts w:ascii="Sakkal Majalla" w:hAnsi="Sakkal Majalla" w:hint="cs"/>
          <w:sz w:val="27"/>
          <w:rtl/>
        </w:rPr>
        <w:t>:</w:t>
      </w:r>
      <w:r w:rsidRPr="006571AC">
        <w:rPr>
          <w:rFonts w:ascii="Sakkal Majalla" w:hAnsi="Sakkal Majalla"/>
          <w:sz w:val="27"/>
          <w:rtl/>
        </w:rPr>
        <w:t xml:space="preserve"> قال الكلبي: يعني أ</w:t>
      </w:r>
      <w:r w:rsidR="00DB1F18" w:rsidRPr="006571AC">
        <w:rPr>
          <w:rFonts w:ascii="Sakkal Majalla" w:hAnsi="Sakkal Majalla" w:hint="cs"/>
          <w:sz w:val="27"/>
          <w:rtl/>
        </w:rPr>
        <w:t>َ</w:t>
      </w:r>
      <w:r w:rsidRPr="006571AC">
        <w:rPr>
          <w:rFonts w:ascii="Sakkal Majalla" w:hAnsi="Sakkal Majalla"/>
          <w:sz w:val="27"/>
          <w:rtl/>
        </w:rPr>
        <w:t>وْلى بكم. وهو قول الزجّاج والفرّاء وأبي عبيدة...</w:t>
      </w:r>
      <w:r w:rsidRPr="006571AC">
        <w:rPr>
          <w:rFonts w:ascii="Sakkal Majalla" w:hAnsi="Sakkal Majalla"/>
          <w:sz w:val="24"/>
          <w:szCs w:val="24"/>
          <w:rtl/>
        </w:rPr>
        <w:t>»</w:t>
      </w:r>
      <w:r w:rsidRPr="006571AC">
        <w:rPr>
          <w:rFonts w:ascii="Sakkal Majalla" w:hAnsi="Sakkal Majalla"/>
          <w:sz w:val="27"/>
          <w:vertAlign w:val="superscript"/>
          <w:rtl/>
        </w:rPr>
        <w:t>(</w:t>
      </w:r>
      <w:r w:rsidRPr="006571AC">
        <w:rPr>
          <w:rStyle w:val="ac"/>
          <w:rFonts w:ascii="Sakkal Majalla" w:hAnsi="Sakkal Majalla"/>
          <w:sz w:val="27"/>
          <w:rtl/>
        </w:rPr>
        <w:endnoteReference w:id="350"/>
      </w:r>
      <w:r w:rsidRPr="006571AC">
        <w:rPr>
          <w:rFonts w:ascii="Sakkal Majalla" w:hAnsi="Sakkal Majalla"/>
          <w:sz w:val="27"/>
          <w:vertAlign w:val="superscript"/>
          <w:rtl/>
        </w:rPr>
        <w:t>)</w:t>
      </w:r>
      <w:r w:rsidR="00DB1F18" w:rsidRPr="006571AC">
        <w:rPr>
          <w:rFonts w:ascii="Sakkal Majalla" w:hAnsi="Sakkal Majalla" w:hint="cs"/>
          <w:sz w:val="27"/>
          <w:rtl/>
        </w:rPr>
        <w:t>.</w:t>
      </w:r>
    </w:p>
    <w:p w:rsidR="005D05A4" w:rsidRPr="006571AC" w:rsidRDefault="005D05A4" w:rsidP="005D3BB1">
      <w:pPr>
        <w:spacing w:line="412" w:lineRule="exact"/>
        <w:rPr>
          <w:rFonts w:ascii="Sakkal Majalla" w:hAnsi="Sakkal Majalla"/>
          <w:sz w:val="27"/>
          <w:rtl/>
        </w:rPr>
      </w:pPr>
      <w:r w:rsidRPr="006571AC">
        <w:rPr>
          <w:rFonts w:ascii="Sakkal Majalla" w:hAnsi="Sakkal Majalla"/>
          <w:sz w:val="27"/>
          <w:rtl/>
        </w:rPr>
        <w:t>وقال أبو حيّان الأندلسي</w:t>
      </w:r>
      <w:r w:rsidR="00DB1F18"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 xml:space="preserve">في </w:t>
      </w:r>
      <w:r w:rsidRPr="006571AC">
        <w:rPr>
          <w:rFonts w:ascii="Sakkal Majalla" w:hAnsi="Sakkal Majalla"/>
          <w:sz w:val="27"/>
          <w:rtl/>
        </w:rPr>
        <w:t xml:space="preserve">تفسير قوله تعالى: </w:t>
      </w:r>
      <w:r w:rsidRPr="006571AC">
        <w:rPr>
          <w:rFonts w:ascii="Mosawi" w:hAnsi="Mosawi" w:cs="Mosawi"/>
          <w:sz w:val="24"/>
          <w:szCs w:val="24"/>
          <w:rtl/>
        </w:rPr>
        <w:t>﴿</w:t>
      </w:r>
      <w:r w:rsidRPr="006571AC">
        <w:rPr>
          <w:rFonts w:ascii="Sakkal Majalla" w:hAnsi="Sakkal Majalla"/>
          <w:b/>
          <w:bCs/>
          <w:sz w:val="27"/>
          <w:rtl/>
        </w:rPr>
        <w:t>قُلْ لَنْ يُصِيبَنا إِ</w:t>
      </w:r>
      <w:r w:rsidR="003C2639" w:rsidRPr="006571AC">
        <w:rPr>
          <w:rFonts w:ascii="Sakkal Majalla" w:hAnsi="Sakkal Majalla"/>
          <w:b/>
          <w:bCs/>
          <w:sz w:val="27"/>
          <w:rtl/>
        </w:rPr>
        <w:t>لاّ</w:t>
      </w:r>
      <w:r w:rsidR="00DB1F18" w:rsidRPr="006571AC">
        <w:rPr>
          <w:rFonts w:ascii="Sakkal Majalla" w:hAnsi="Sakkal Majalla" w:hint="cs"/>
          <w:b/>
          <w:bCs/>
          <w:sz w:val="27"/>
          <w:rtl/>
        </w:rPr>
        <w:t>َ</w:t>
      </w:r>
      <w:r w:rsidRPr="006571AC">
        <w:rPr>
          <w:rFonts w:ascii="Sakkal Majalla" w:hAnsi="Sakkal Majalla"/>
          <w:b/>
          <w:bCs/>
          <w:sz w:val="27"/>
          <w:rtl/>
        </w:rPr>
        <w:t xml:space="preserve"> م</w:t>
      </w:r>
      <w:r w:rsidR="00DB1F18" w:rsidRPr="006571AC">
        <w:rPr>
          <w:rFonts w:ascii="Sakkal Majalla" w:hAnsi="Sakkal Majalla" w:hint="cs"/>
          <w:b/>
          <w:bCs/>
          <w:sz w:val="27"/>
          <w:rtl/>
        </w:rPr>
        <w:t>َ</w:t>
      </w:r>
      <w:r w:rsidRPr="006571AC">
        <w:rPr>
          <w:rFonts w:ascii="Sakkal Majalla" w:hAnsi="Sakkal Majalla"/>
          <w:b/>
          <w:bCs/>
          <w:sz w:val="27"/>
          <w:rtl/>
        </w:rPr>
        <w:t xml:space="preserve">ا كَتَبَ </w:t>
      </w:r>
      <w:r w:rsidR="0097633B" w:rsidRPr="006571AC">
        <w:rPr>
          <w:rFonts w:ascii="Sakkal Majalla" w:hAnsi="Sakkal Majalla"/>
          <w:b/>
          <w:bCs/>
          <w:sz w:val="27"/>
          <w:rtl/>
        </w:rPr>
        <w:t>الل</w:t>
      </w:r>
      <w:r w:rsidRPr="006571AC">
        <w:rPr>
          <w:rFonts w:ascii="Sakkal Majalla" w:hAnsi="Sakkal Majalla"/>
          <w:b/>
          <w:bCs/>
          <w:sz w:val="27"/>
          <w:rtl/>
        </w:rPr>
        <w:t>هُ لَن</w:t>
      </w:r>
      <w:r w:rsidR="00DB1F18" w:rsidRPr="006571AC">
        <w:rPr>
          <w:rFonts w:ascii="Sakkal Majalla" w:hAnsi="Sakkal Majalla" w:hint="cs"/>
          <w:b/>
          <w:bCs/>
          <w:sz w:val="27"/>
          <w:rtl/>
        </w:rPr>
        <w:t>َ</w:t>
      </w:r>
      <w:r w:rsidRPr="006571AC">
        <w:rPr>
          <w:rFonts w:ascii="Sakkal Majalla" w:hAnsi="Sakkal Majalla"/>
          <w:b/>
          <w:bCs/>
          <w:sz w:val="27"/>
          <w:rtl/>
        </w:rPr>
        <w:t>ا هُوَ مَوْلا</w:t>
      </w:r>
      <w:r w:rsidR="00DB1F18" w:rsidRPr="006571AC">
        <w:rPr>
          <w:rFonts w:ascii="Sakkal Majalla" w:hAnsi="Sakkal Majalla" w:hint="cs"/>
          <w:b/>
          <w:bCs/>
          <w:sz w:val="27"/>
          <w:rtl/>
        </w:rPr>
        <w:t>َ</w:t>
      </w:r>
      <w:r w:rsidRPr="006571AC">
        <w:rPr>
          <w:rFonts w:ascii="Sakkal Majalla" w:hAnsi="Sakkal Majalla"/>
          <w:b/>
          <w:bCs/>
          <w:sz w:val="27"/>
          <w:rtl/>
        </w:rPr>
        <w:t>ن</w:t>
      </w:r>
      <w:r w:rsidR="00DB1F18" w:rsidRPr="006571AC">
        <w:rPr>
          <w:rFonts w:ascii="Sakkal Majalla" w:hAnsi="Sakkal Majalla" w:hint="cs"/>
          <w:b/>
          <w:bCs/>
          <w:sz w:val="27"/>
          <w:rtl/>
        </w:rPr>
        <w:t>َ</w:t>
      </w:r>
      <w:r w:rsidRPr="006571AC">
        <w:rPr>
          <w:rFonts w:ascii="Sakkal Majalla" w:hAnsi="Sakkal Majalla"/>
          <w:b/>
          <w:bCs/>
          <w:sz w:val="27"/>
          <w:rtl/>
        </w:rPr>
        <w:t>ا و</w:t>
      </w:r>
      <w:r w:rsidR="00DB1F18" w:rsidRPr="006571AC">
        <w:rPr>
          <w:rFonts w:ascii="Sakkal Majalla" w:hAnsi="Sakkal Majalla" w:hint="cs"/>
          <w:b/>
          <w:bCs/>
          <w:sz w:val="27"/>
          <w:rtl/>
        </w:rPr>
        <w:t>َ</w:t>
      </w:r>
      <w:r w:rsidRPr="006571AC">
        <w:rPr>
          <w:rFonts w:ascii="Sakkal Majalla" w:hAnsi="Sakkal Majalla"/>
          <w:b/>
          <w:bCs/>
          <w:sz w:val="27"/>
          <w:rtl/>
        </w:rPr>
        <w:t xml:space="preserve">عَلَى </w:t>
      </w:r>
      <w:r w:rsidR="0097633B" w:rsidRPr="006571AC">
        <w:rPr>
          <w:rFonts w:ascii="Sakkal Majalla" w:hAnsi="Sakkal Majalla"/>
          <w:b/>
          <w:bCs/>
          <w:sz w:val="27"/>
          <w:rtl/>
        </w:rPr>
        <w:t>الل</w:t>
      </w:r>
      <w:r w:rsidRPr="006571AC">
        <w:rPr>
          <w:rFonts w:ascii="Sakkal Majalla" w:hAnsi="Sakkal Majalla"/>
          <w:b/>
          <w:bCs/>
          <w:sz w:val="27"/>
          <w:rtl/>
        </w:rPr>
        <w:t>هِ فَلْيَتَوَكَّلِ الْمُؤْمِنُونَ</w:t>
      </w:r>
      <w:r w:rsidRPr="006571AC">
        <w:rPr>
          <w:rFonts w:ascii="Mosawi" w:hAnsi="Mosawi" w:cs="Mosawi"/>
          <w:sz w:val="24"/>
          <w:szCs w:val="24"/>
          <w:rtl/>
        </w:rPr>
        <w:t>﴾</w:t>
      </w:r>
      <w:r w:rsidR="00DB1F18" w:rsidRPr="006571AC">
        <w:rPr>
          <w:rFonts w:ascii="Sakkal Majalla" w:hAnsi="Sakkal Majalla" w:hint="cs"/>
          <w:sz w:val="27"/>
          <w:rtl/>
        </w:rPr>
        <w:t>:</w:t>
      </w:r>
      <w:r w:rsidRPr="006571AC">
        <w:rPr>
          <w:rFonts w:ascii="Sakkal Majalla" w:hAnsi="Sakkal Majalla"/>
          <w:sz w:val="27"/>
          <w:rtl/>
        </w:rPr>
        <w:t xml:space="preserve"> قال الكلبي: أ</w:t>
      </w:r>
      <w:r w:rsidR="00DB1F18" w:rsidRPr="006571AC">
        <w:rPr>
          <w:rFonts w:ascii="Sakkal Majalla" w:hAnsi="Sakkal Majalla" w:hint="cs"/>
          <w:sz w:val="27"/>
          <w:rtl/>
        </w:rPr>
        <w:t>َ</w:t>
      </w:r>
      <w:r w:rsidRPr="006571AC">
        <w:rPr>
          <w:rFonts w:ascii="Sakkal Majalla" w:hAnsi="Sakkal Majalla"/>
          <w:sz w:val="27"/>
          <w:rtl/>
        </w:rPr>
        <w:t>وْلى بنا من أنفسنا في الموت والحياة. وقيل: مالكنا وسيّ</w:t>
      </w:r>
      <w:r w:rsidR="00DB1F18" w:rsidRPr="006571AC">
        <w:rPr>
          <w:rFonts w:ascii="Sakkal Majalla" w:hAnsi="Sakkal Majalla" w:hint="cs"/>
          <w:sz w:val="27"/>
          <w:rtl/>
        </w:rPr>
        <w:t>ِ</w:t>
      </w:r>
      <w:r w:rsidRPr="006571AC">
        <w:rPr>
          <w:rFonts w:ascii="Sakkal Majalla" w:hAnsi="Sakkal Majalla"/>
          <w:sz w:val="27"/>
          <w:rtl/>
        </w:rPr>
        <w:t>دنا، فلهذا يتصرّ</w:t>
      </w:r>
      <w:r w:rsidR="00DB1F18" w:rsidRPr="006571AC">
        <w:rPr>
          <w:rFonts w:ascii="Sakkal Majalla" w:hAnsi="Sakkal Majalla" w:hint="cs"/>
          <w:sz w:val="27"/>
          <w:rtl/>
        </w:rPr>
        <w:t>َ</w:t>
      </w:r>
      <w:r w:rsidRPr="006571AC">
        <w:rPr>
          <w:rFonts w:ascii="Sakkal Majalla" w:hAnsi="Sakkal Majalla"/>
          <w:sz w:val="27"/>
          <w:rtl/>
        </w:rPr>
        <w:t>ف كيف شاء</w:t>
      </w:r>
      <w:r w:rsidRPr="006571AC">
        <w:rPr>
          <w:rFonts w:ascii="Sakkal Majalla" w:hAnsi="Sakkal Majalla"/>
          <w:sz w:val="27"/>
          <w:vertAlign w:val="superscript"/>
          <w:rtl/>
        </w:rPr>
        <w:t>(</w:t>
      </w:r>
      <w:r w:rsidRPr="006571AC">
        <w:rPr>
          <w:rStyle w:val="ac"/>
          <w:rFonts w:ascii="Sakkal Majalla" w:hAnsi="Sakkal Majalla"/>
          <w:sz w:val="27"/>
          <w:rtl/>
        </w:rPr>
        <w:endnoteReference w:id="351"/>
      </w:r>
      <w:r w:rsidRPr="006571AC">
        <w:rPr>
          <w:rFonts w:ascii="Sakkal Majalla" w:hAnsi="Sakkal Majalla"/>
          <w:sz w:val="27"/>
          <w:vertAlign w:val="superscript"/>
          <w:rtl/>
        </w:rPr>
        <w:t>)</w:t>
      </w:r>
      <w:r w:rsidRPr="006571AC">
        <w:rPr>
          <w:rFonts w:ascii="Sakkal Majalla" w:hAnsi="Sakkal Majalla"/>
          <w:sz w:val="27"/>
          <w:rtl/>
        </w:rPr>
        <w:t xml:space="preserve">. </w:t>
      </w:r>
    </w:p>
    <w:p w:rsidR="00C73B07" w:rsidRPr="006571AC" w:rsidRDefault="005D05A4" w:rsidP="005D3BB1">
      <w:pPr>
        <w:spacing w:line="412" w:lineRule="exact"/>
        <w:rPr>
          <w:rFonts w:ascii="Sakkal Majalla" w:hAnsi="Sakkal Majalla"/>
          <w:sz w:val="27"/>
          <w:rtl/>
        </w:rPr>
      </w:pPr>
      <w:r w:rsidRPr="006571AC">
        <w:rPr>
          <w:rFonts w:ascii="Sakkal Majalla" w:hAnsi="Sakkal Majalla"/>
          <w:sz w:val="27"/>
          <w:rtl/>
        </w:rPr>
        <w:t xml:space="preserve">وقال الرازي </w:t>
      </w:r>
      <w:r w:rsidR="00DB1F18" w:rsidRPr="006571AC">
        <w:rPr>
          <w:rFonts w:ascii="Sakkal Majalla" w:hAnsi="Sakkal Majalla" w:hint="cs"/>
          <w:sz w:val="27"/>
          <w:rtl/>
        </w:rPr>
        <w:t>أ</w:t>
      </w:r>
      <w:r w:rsidRPr="006571AC">
        <w:rPr>
          <w:rFonts w:ascii="Times New Roman" w:hAnsi="Times New Roman" w:hint="cs"/>
          <w:sz w:val="27"/>
          <w:rtl/>
        </w:rPr>
        <w:t>ي</w:t>
      </w:r>
      <w:r w:rsidRPr="006571AC">
        <w:rPr>
          <w:rFonts w:ascii="Sakkal Majalla" w:hAnsi="Sakkal Majalla" w:hint="cs"/>
          <w:sz w:val="27"/>
          <w:rtl/>
        </w:rPr>
        <w:t>ضاً</w:t>
      </w:r>
      <w:r w:rsidRPr="006571AC">
        <w:rPr>
          <w:rFonts w:ascii="Sakkal Majalla" w:hAnsi="Sakkal Majalla"/>
          <w:sz w:val="27"/>
          <w:rtl/>
        </w:rPr>
        <w:t xml:space="preserve">: إنّ أبا عبيدة قال في قوله تعالى: </w:t>
      </w:r>
      <w:r w:rsidRPr="006571AC">
        <w:rPr>
          <w:rFonts w:ascii="Mosawi" w:hAnsi="Mosawi" w:cs="Mosawi"/>
          <w:sz w:val="24"/>
          <w:szCs w:val="24"/>
          <w:rtl/>
        </w:rPr>
        <w:t>﴿</w:t>
      </w:r>
      <w:r w:rsidRPr="006571AC">
        <w:rPr>
          <w:rFonts w:ascii="Sakkal Majalla" w:hAnsi="Sakkal Majalla"/>
          <w:b/>
          <w:bCs/>
          <w:sz w:val="27"/>
          <w:rtl/>
        </w:rPr>
        <w:t>مَأْو</w:t>
      </w:r>
      <w:r w:rsidR="00DB1F18" w:rsidRPr="006571AC">
        <w:rPr>
          <w:rFonts w:ascii="Sakkal Majalla" w:hAnsi="Sakkal Majalla" w:hint="cs"/>
          <w:b/>
          <w:bCs/>
          <w:sz w:val="27"/>
          <w:rtl/>
        </w:rPr>
        <w:t>َ</w:t>
      </w:r>
      <w:r w:rsidRPr="006571AC">
        <w:rPr>
          <w:rFonts w:ascii="Sakkal Majalla" w:hAnsi="Sakkal Majalla"/>
          <w:b/>
          <w:bCs/>
          <w:sz w:val="27"/>
          <w:rtl/>
        </w:rPr>
        <w:t>اكُمُ النَّارُ هِيَ مَوْلا</w:t>
      </w:r>
      <w:r w:rsidR="00DB1F18" w:rsidRPr="006571AC">
        <w:rPr>
          <w:rFonts w:ascii="Sakkal Majalla" w:hAnsi="Sakkal Majalla" w:hint="cs"/>
          <w:b/>
          <w:bCs/>
          <w:sz w:val="27"/>
          <w:rtl/>
        </w:rPr>
        <w:t>َ</w:t>
      </w:r>
      <w:r w:rsidRPr="006571AC">
        <w:rPr>
          <w:rFonts w:ascii="Sakkal Majalla" w:hAnsi="Sakkal Majalla"/>
          <w:b/>
          <w:bCs/>
          <w:sz w:val="27"/>
          <w:rtl/>
        </w:rPr>
        <w:t>كُمْ</w:t>
      </w:r>
      <w:r w:rsidRPr="006571AC">
        <w:rPr>
          <w:rFonts w:ascii="Mosawi" w:hAnsi="Mosawi" w:cs="Mosawi"/>
          <w:sz w:val="24"/>
          <w:szCs w:val="24"/>
          <w:rtl/>
        </w:rPr>
        <w:t>﴾</w:t>
      </w:r>
      <w:r w:rsidRPr="006571AC">
        <w:rPr>
          <w:rFonts w:ascii="Sakkal Majalla" w:hAnsi="Sakkal Majalla"/>
          <w:sz w:val="27"/>
          <w:rtl/>
        </w:rPr>
        <w:t>: معناه: هي أ</w:t>
      </w:r>
      <w:r w:rsidR="00DB1F18" w:rsidRPr="006571AC">
        <w:rPr>
          <w:rFonts w:ascii="Sakkal Majalla" w:hAnsi="Sakkal Majalla" w:hint="cs"/>
          <w:sz w:val="27"/>
          <w:rtl/>
        </w:rPr>
        <w:t>َ</w:t>
      </w:r>
      <w:r w:rsidRPr="006571AC">
        <w:rPr>
          <w:rFonts w:ascii="Sakkal Majalla" w:hAnsi="Sakkal Majalla"/>
          <w:sz w:val="27"/>
          <w:rtl/>
        </w:rPr>
        <w:t>وْلى بكم</w:t>
      </w:r>
      <w:r w:rsidRPr="006571AC">
        <w:rPr>
          <w:rFonts w:ascii="Sakkal Majalla" w:hAnsi="Sakkal Majalla"/>
          <w:sz w:val="27"/>
          <w:vertAlign w:val="superscript"/>
          <w:rtl/>
        </w:rPr>
        <w:t>(</w:t>
      </w:r>
      <w:r w:rsidRPr="006571AC">
        <w:rPr>
          <w:rStyle w:val="ac"/>
          <w:rFonts w:ascii="Sakkal Majalla" w:hAnsi="Sakkal Majalla"/>
          <w:sz w:val="27"/>
          <w:rtl/>
        </w:rPr>
        <w:endnoteReference w:id="352"/>
      </w:r>
      <w:r w:rsidRPr="006571AC">
        <w:rPr>
          <w:rFonts w:ascii="Sakkal Majalla" w:hAnsi="Sakkal Majalla"/>
          <w:sz w:val="27"/>
          <w:vertAlign w:val="superscript"/>
          <w:rtl/>
        </w:rPr>
        <w:t>)</w:t>
      </w:r>
      <w:r w:rsidRPr="006571AC">
        <w:rPr>
          <w:rFonts w:ascii="Sakkal Majalla" w:hAnsi="Sakkal Majalla"/>
          <w:sz w:val="27"/>
          <w:rtl/>
        </w:rPr>
        <w:t>؛ وذكر هذا أيضاً: الأخفش والزجّاج وعلي بن‏ عيسى</w:t>
      </w:r>
      <w:r w:rsidR="00C73B07" w:rsidRPr="006571AC">
        <w:rPr>
          <w:rFonts w:ascii="Sakkal Majalla" w:hAnsi="Sakkal Majalla" w:hint="cs"/>
          <w:sz w:val="27"/>
          <w:rtl/>
        </w:rPr>
        <w:t>:</w:t>
      </w:r>
    </w:p>
    <w:tbl>
      <w:tblPr>
        <w:tblStyle w:val="1fc"/>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C73B07" w:rsidRPr="006571AC" w:rsidTr="008B0E29">
        <w:trPr>
          <w:jc w:val="center"/>
        </w:trPr>
        <w:tc>
          <w:tcPr>
            <w:tcW w:w="3136" w:type="dxa"/>
          </w:tcPr>
          <w:p w:rsidR="00C73B07" w:rsidRPr="006571AC" w:rsidRDefault="00C73B07" w:rsidP="005D3BB1">
            <w:pPr>
              <w:spacing w:before="60" w:line="240" w:lineRule="auto"/>
              <w:ind w:firstLine="0"/>
              <w:jc w:val="lowKashida"/>
              <w:rPr>
                <w:sz w:val="2"/>
                <w:szCs w:val="2"/>
                <w:rtl/>
              </w:rPr>
            </w:pPr>
            <w:r w:rsidRPr="006571AC">
              <w:rPr>
                <w:rFonts w:ascii="Sakkal Majalla" w:hAnsi="Sakkal Majalla"/>
                <w:sz w:val="27"/>
                <w:rtl/>
              </w:rPr>
              <w:t>فغد</w:t>
            </w:r>
            <w:r w:rsidRPr="006571AC">
              <w:rPr>
                <w:rFonts w:ascii="Sakkal Majalla" w:hAnsi="Sakkal Majalla" w:hint="cs"/>
                <w:sz w:val="27"/>
                <w:rtl/>
              </w:rPr>
              <w:t>َ</w:t>
            </w:r>
            <w:r w:rsidRPr="006571AC">
              <w:rPr>
                <w:rFonts w:ascii="Sakkal Majalla" w:hAnsi="Sakkal Majalla"/>
                <w:sz w:val="27"/>
                <w:rtl/>
              </w:rPr>
              <w:t>ت</w:t>
            </w:r>
            <w:r w:rsidRPr="006571AC">
              <w:rPr>
                <w:rFonts w:ascii="Sakkal Majalla" w:hAnsi="Sakkal Majalla" w:hint="cs"/>
                <w:sz w:val="27"/>
                <w:rtl/>
              </w:rPr>
              <w:t>ْ</w:t>
            </w:r>
            <w:r w:rsidRPr="006571AC">
              <w:rPr>
                <w:rFonts w:ascii="Sakkal Majalla" w:hAnsi="Sakkal Majalla"/>
                <w:sz w:val="27"/>
                <w:rtl/>
              </w:rPr>
              <w:t xml:space="preserve"> كلا الفرجين تحسب أنّه</w:t>
            </w:r>
            <w:r w:rsidRPr="006571AC">
              <w:rPr>
                <w:rFonts w:hint="cs"/>
                <w:sz w:val="27"/>
                <w:rtl/>
              </w:rPr>
              <w:br/>
            </w:r>
          </w:p>
        </w:tc>
        <w:tc>
          <w:tcPr>
            <w:tcW w:w="425" w:type="dxa"/>
          </w:tcPr>
          <w:p w:rsidR="00C73B07" w:rsidRPr="006571AC" w:rsidRDefault="00C73B07" w:rsidP="005D3BB1">
            <w:pPr>
              <w:spacing w:before="60" w:line="240" w:lineRule="auto"/>
              <w:ind w:firstLine="0"/>
              <w:jc w:val="lowKashida"/>
              <w:rPr>
                <w:sz w:val="27"/>
                <w:rtl/>
              </w:rPr>
            </w:pPr>
          </w:p>
        </w:tc>
        <w:tc>
          <w:tcPr>
            <w:tcW w:w="3052" w:type="dxa"/>
          </w:tcPr>
          <w:p w:rsidR="00C73B07" w:rsidRPr="006571AC" w:rsidRDefault="00C73B07" w:rsidP="005D3BB1">
            <w:pPr>
              <w:spacing w:before="60" w:line="240" w:lineRule="auto"/>
              <w:ind w:firstLine="0"/>
              <w:jc w:val="lowKashida"/>
              <w:rPr>
                <w:sz w:val="2"/>
                <w:szCs w:val="2"/>
                <w:rtl/>
              </w:rPr>
            </w:pPr>
            <w:r w:rsidRPr="006571AC">
              <w:rPr>
                <w:rFonts w:ascii="Sakkal Majalla" w:hAnsi="Sakkal Majalla"/>
                <w:sz w:val="27"/>
                <w:rtl/>
              </w:rPr>
              <w:t>مولى المخافة خلفها وأمامها</w:t>
            </w:r>
            <w:r w:rsidRPr="006571AC">
              <w:rPr>
                <w:rFonts w:hint="cs"/>
                <w:sz w:val="27"/>
                <w:rtl/>
              </w:rPr>
              <w:br/>
            </w:r>
          </w:p>
        </w:tc>
      </w:tr>
    </w:tbl>
    <w:p w:rsidR="005D05A4" w:rsidRPr="006571AC" w:rsidRDefault="005D05A4" w:rsidP="005D3BB1">
      <w:pPr>
        <w:pStyle w:val="af"/>
        <w:spacing w:line="412" w:lineRule="exact"/>
        <w:rPr>
          <w:rFonts w:cs="AL-Mohanad"/>
          <w:sz w:val="27"/>
          <w:szCs w:val="27"/>
          <w:rtl/>
        </w:rPr>
      </w:pPr>
      <w:r w:rsidRPr="006571AC">
        <w:rPr>
          <w:rFonts w:ascii="Sakkal Majalla" w:hAnsi="Sakkal Majalla" w:cs="AL-Mohanad"/>
          <w:sz w:val="27"/>
          <w:szCs w:val="27"/>
          <w:rtl/>
        </w:rPr>
        <w:t xml:space="preserve">قال الجوهري </w:t>
      </w:r>
      <w:r w:rsidR="00C73B07" w:rsidRPr="006571AC">
        <w:rPr>
          <w:rFonts w:ascii="Sakkal Majalla" w:hAnsi="Sakkal Majalla" w:cs="AL-Mohanad" w:hint="cs"/>
          <w:sz w:val="27"/>
          <w:szCs w:val="27"/>
          <w:rtl/>
        </w:rPr>
        <w:t>ـ</w:t>
      </w:r>
      <w:r w:rsidR="00C73B07" w:rsidRPr="006571AC">
        <w:rPr>
          <w:rFonts w:ascii="Sakkal Majalla" w:hAnsi="Sakkal Majalla" w:hint="cs"/>
          <w:sz w:val="27"/>
          <w:rtl/>
        </w:rPr>
        <w:t xml:space="preserve"> </w:t>
      </w:r>
      <w:r w:rsidR="00C73B07" w:rsidRPr="006571AC">
        <w:rPr>
          <w:rFonts w:ascii="Sakkal Majalla" w:hAnsi="Sakkal Majalla" w:cs="AL-Mohanad"/>
          <w:sz w:val="27"/>
          <w:szCs w:val="27"/>
          <w:rtl/>
        </w:rPr>
        <w:t>والجوهر</w:t>
      </w:r>
      <w:r w:rsidR="00C73B07" w:rsidRPr="006571AC">
        <w:rPr>
          <w:rFonts w:cs="AL-Mohanad" w:hint="cs"/>
          <w:sz w:val="27"/>
          <w:szCs w:val="27"/>
          <w:rtl/>
        </w:rPr>
        <w:t>ي</w:t>
      </w:r>
      <w:r w:rsidR="00C73B07" w:rsidRPr="006571AC">
        <w:rPr>
          <w:rFonts w:ascii="Sakkal Majalla" w:hAnsi="Sakkal Majalla" w:cs="AL-Mohanad"/>
          <w:sz w:val="27"/>
          <w:szCs w:val="27"/>
          <w:rtl/>
        </w:rPr>
        <w:t xml:space="preserve"> </w:t>
      </w:r>
      <w:r w:rsidR="00C73B07" w:rsidRPr="006571AC">
        <w:rPr>
          <w:rFonts w:ascii="Sakkal Majalla" w:hAnsi="Sakkal Majalla" w:cs="AL-Mohanad" w:hint="cs"/>
          <w:sz w:val="27"/>
          <w:szCs w:val="27"/>
          <w:rtl/>
        </w:rPr>
        <w:t>هو</w:t>
      </w:r>
      <w:r w:rsidR="00C73B07" w:rsidRPr="006571AC">
        <w:rPr>
          <w:rFonts w:ascii="Sakkal Majalla" w:hAnsi="Sakkal Majalla" w:cs="AL-Mohanad"/>
          <w:sz w:val="27"/>
          <w:szCs w:val="27"/>
          <w:rtl/>
        </w:rPr>
        <w:t xml:space="preserve"> </w:t>
      </w:r>
      <w:r w:rsidR="00C73B07" w:rsidRPr="006571AC">
        <w:rPr>
          <w:rFonts w:ascii="Sakkal Majalla" w:hAnsi="Sakkal Majalla" w:cs="AL-Mohanad" w:hint="cs"/>
          <w:sz w:val="27"/>
          <w:szCs w:val="27"/>
          <w:rtl/>
        </w:rPr>
        <w:t>صاحب</w:t>
      </w:r>
      <w:r w:rsidR="00C73B07" w:rsidRPr="006571AC">
        <w:rPr>
          <w:rFonts w:ascii="Sakkal Majalla" w:hAnsi="Sakkal Majalla" w:cs="AL-Mohanad"/>
          <w:sz w:val="27"/>
          <w:szCs w:val="27"/>
          <w:rtl/>
        </w:rPr>
        <w:t xml:space="preserve"> </w:t>
      </w:r>
      <w:r w:rsidR="00C73B07" w:rsidRPr="006571AC">
        <w:rPr>
          <w:rFonts w:ascii="Sakkal Majalla" w:hAnsi="Sakkal Majalla" w:cs="AL-Mohanad" w:hint="cs"/>
          <w:sz w:val="27"/>
          <w:szCs w:val="27"/>
          <w:rtl/>
        </w:rPr>
        <w:t>كتاب</w:t>
      </w:r>
      <w:r w:rsidR="00C73B07" w:rsidRPr="006571AC">
        <w:rPr>
          <w:rFonts w:ascii="Sakkal Majalla" w:hAnsi="Sakkal Majalla" w:cs="AL-Mohanad"/>
          <w:sz w:val="27"/>
          <w:szCs w:val="27"/>
          <w:rtl/>
        </w:rPr>
        <w:t xml:space="preserve"> </w:t>
      </w:r>
      <w:r w:rsidR="00C73B07" w:rsidRPr="006571AC">
        <w:rPr>
          <w:rFonts w:ascii="Sakkal Majalla" w:hAnsi="Sakkal Majalla" w:cs="AL-Mohanad" w:hint="cs"/>
          <w:sz w:val="27"/>
          <w:szCs w:val="27"/>
          <w:rtl/>
        </w:rPr>
        <w:t xml:space="preserve">الصحاح، </w:t>
      </w:r>
      <w:r w:rsidR="00C73B07" w:rsidRPr="006571AC">
        <w:rPr>
          <w:rFonts w:ascii="Sakkal Majalla" w:hAnsi="Sakkal Majalla" w:cs="AL-Mohanad"/>
          <w:sz w:val="27"/>
          <w:szCs w:val="27"/>
          <w:rtl/>
        </w:rPr>
        <w:t xml:space="preserve">وقد وصف السيوطي كتابه الصحاح بقوله: </w:t>
      </w:r>
      <w:r w:rsidR="00C73B07" w:rsidRPr="006571AC">
        <w:rPr>
          <w:rFonts w:ascii="Sakkal Majalla" w:hAnsi="Sakkal Majalla" w:cs="AL-Mohanad"/>
          <w:rtl/>
        </w:rPr>
        <w:t>«</w:t>
      </w:r>
      <w:r w:rsidR="00C73B07" w:rsidRPr="006571AC">
        <w:rPr>
          <w:rFonts w:ascii="Sakkal Majalla" w:hAnsi="Sakkal Majalla" w:cs="AL-Mohanad"/>
          <w:sz w:val="27"/>
          <w:szCs w:val="27"/>
          <w:rtl/>
        </w:rPr>
        <w:t>فهو (الصحاح) في كتب اللغة نظير صحيح البخاري في كتب الحديث</w:t>
      </w:r>
      <w:r w:rsidR="00C73B07" w:rsidRPr="006571AC">
        <w:rPr>
          <w:rFonts w:ascii="Sakkal Majalla" w:hAnsi="Sakkal Majalla" w:cs="AL-Mohanad"/>
          <w:sz w:val="27"/>
          <w:szCs w:val="27"/>
          <w:vertAlign w:val="superscript"/>
          <w:rtl/>
        </w:rPr>
        <w:t>(</w:t>
      </w:r>
      <w:r w:rsidR="00C73B07" w:rsidRPr="006571AC">
        <w:rPr>
          <w:rStyle w:val="ac"/>
          <w:rFonts w:ascii="Sakkal Majalla" w:hAnsi="Sakkal Majalla" w:cs="AL-Mohanad"/>
          <w:sz w:val="27"/>
          <w:szCs w:val="27"/>
          <w:rtl/>
        </w:rPr>
        <w:endnoteReference w:id="353"/>
      </w:r>
      <w:r w:rsidR="00C73B07" w:rsidRPr="006571AC">
        <w:rPr>
          <w:rFonts w:ascii="Sakkal Majalla" w:hAnsi="Sakkal Majalla" w:cs="AL-Mohanad"/>
          <w:sz w:val="27"/>
          <w:szCs w:val="27"/>
          <w:vertAlign w:val="superscript"/>
          <w:rtl/>
        </w:rPr>
        <w:t>)</w:t>
      </w:r>
      <w:r w:rsidR="00C73B07" w:rsidRPr="006571AC">
        <w:rPr>
          <w:rFonts w:ascii="Sakkal Majalla" w:hAnsi="Sakkal Majalla" w:cs="AL-Mohanad" w:hint="cs"/>
          <w:sz w:val="27"/>
          <w:szCs w:val="27"/>
          <w:rtl/>
        </w:rPr>
        <w:t xml:space="preserve"> ـ </w:t>
      </w:r>
      <w:r w:rsidRPr="006571AC">
        <w:rPr>
          <w:rFonts w:ascii="Sakkal Majalla" w:hAnsi="Sakkal Majalla" w:cs="AL-Mohanad" w:hint="cs"/>
          <w:sz w:val="27"/>
          <w:szCs w:val="27"/>
          <w:rtl/>
        </w:rPr>
        <w:t xml:space="preserve">في </w:t>
      </w:r>
      <w:r w:rsidRPr="006571AC">
        <w:rPr>
          <w:rFonts w:ascii="Sakkal Majalla" w:hAnsi="Sakkal Majalla" w:cs="AL-Mohanad"/>
          <w:sz w:val="27"/>
          <w:szCs w:val="27"/>
          <w:rtl/>
        </w:rPr>
        <w:t>شرح هذا الب</w:t>
      </w:r>
      <w:r w:rsidRPr="006571AC">
        <w:rPr>
          <w:rFonts w:ascii="Sakkal Majalla" w:hAnsi="Sakkal Majalla" w:cs="AL-Mohanad" w:hint="cs"/>
          <w:sz w:val="27"/>
          <w:szCs w:val="27"/>
          <w:rtl/>
        </w:rPr>
        <w:t>يت</w:t>
      </w:r>
      <w:r w:rsidRPr="006571AC">
        <w:rPr>
          <w:rFonts w:ascii="Sakkal Majalla" w:hAnsi="Sakkal Majalla" w:cs="AL-Mohanad"/>
          <w:sz w:val="27"/>
          <w:szCs w:val="27"/>
          <w:rtl/>
        </w:rPr>
        <w:t xml:space="preserve"> (قول لبيد): يريد: إنّه أ</w:t>
      </w:r>
      <w:r w:rsidR="00C73B07" w:rsidRPr="006571AC">
        <w:rPr>
          <w:rFonts w:ascii="Sakkal Majalla" w:hAnsi="Sakkal Majalla" w:cs="AL-Mohanad" w:hint="cs"/>
          <w:sz w:val="27"/>
          <w:szCs w:val="27"/>
          <w:rtl/>
        </w:rPr>
        <w:t>َ</w:t>
      </w:r>
      <w:r w:rsidRPr="006571AC">
        <w:rPr>
          <w:rFonts w:ascii="Sakkal Majalla" w:hAnsi="Sakkal Majalla" w:cs="AL-Mohanad"/>
          <w:sz w:val="27"/>
          <w:szCs w:val="27"/>
          <w:rtl/>
        </w:rPr>
        <w:t>وْلى موضع أن يكون فيه الخوف</w:t>
      </w:r>
      <w:r w:rsidRPr="006571AC">
        <w:rPr>
          <w:rFonts w:ascii="Sakkal Majalla" w:hAnsi="Sakkal Majalla" w:cs="AL-Mohanad"/>
          <w:sz w:val="27"/>
          <w:szCs w:val="27"/>
          <w:vertAlign w:val="superscript"/>
          <w:rtl/>
        </w:rPr>
        <w:t>(</w:t>
      </w:r>
      <w:r w:rsidRPr="006571AC">
        <w:rPr>
          <w:rFonts w:ascii="Sakkal Majalla" w:hAnsi="Sakkal Majalla" w:cs="AL-Mohanad"/>
          <w:sz w:val="27"/>
          <w:szCs w:val="27"/>
          <w:vertAlign w:val="superscript"/>
          <w:rtl/>
        </w:rPr>
        <w:endnoteReference w:id="354"/>
      </w:r>
      <w:r w:rsidRPr="006571AC">
        <w:rPr>
          <w:rFonts w:ascii="Sakkal Majalla" w:hAnsi="Sakkal Majalla" w:cs="AL-Mohanad"/>
          <w:sz w:val="27"/>
          <w:szCs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5D3BB1">
      <w:pPr>
        <w:spacing w:line="412" w:lineRule="exact"/>
        <w:rPr>
          <w:rFonts w:ascii="Sakkal Majalla" w:hAnsi="Sakkal Majalla"/>
          <w:sz w:val="27"/>
          <w:rtl/>
        </w:rPr>
      </w:pPr>
      <w:r w:rsidRPr="006571AC">
        <w:rPr>
          <w:rFonts w:ascii="Sakkal Majalla" w:hAnsi="Sakkal Majalla"/>
          <w:sz w:val="27"/>
          <w:rtl/>
        </w:rPr>
        <w:t>وقال البغوي</w:t>
      </w:r>
      <w:r w:rsidR="007B4669" w:rsidRPr="006571AC">
        <w:rPr>
          <w:rFonts w:ascii="Sakkal Majalla" w:hAnsi="Sakkal Majalla" w:hint="cs"/>
          <w:sz w:val="27"/>
          <w:rtl/>
        </w:rPr>
        <w:t>،</w:t>
      </w:r>
      <w:r w:rsidRPr="006571AC">
        <w:rPr>
          <w:rFonts w:ascii="Sakkal Majalla" w:hAnsi="Sakkal Majalla"/>
          <w:sz w:val="27"/>
          <w:rtl/>
        </w:rPr>
        <w:t xml:space="preserve"> </w:t>
      </w:r>
      <w:r w:rsidR="007B4669" w:rsidRPr="006571AC">
        <w:rPr>
          <w:rFonts w:ascii="Sakkal Majalla" w:hAnsi="Sakkal Majalla" w:hint="cs"/>
          <w:sz w:val="27"/>
          <w:rtl/>
        </w:rPr>
        <w:t xml:space="preserve">في </w:t>
      </w:r>
      <w:r w:rsidRPr="006571AC">
        <w:rPr>
          <w:rFonts w:ascii="Sakkal Majalla" w:hAnsi="Sakkal Majalla"/>
          <w:sz w:val="27"/>
          <w:rtl/>
        </w:rPr>
        <w:t xml:space="preserve">تفسير الآية: </w:t>
      </w:r>
      <w:r w:rsidRPr="006571AC">
        <w:rPr>
          <w:rFonts w:ascii="Mosawi" w:hAnsi="Mosawi" w:cs="Mosawi"/>
          <w:sz w:val="24"/>
          <w:szCs w:val="24"/>
          <w:rtl/>
        </w:rPr>
        <w:t>﴿</w:t>
      </w:r>
      <w:r w:rsidRPr="006571AC">
        <w:rPr>
          <w:rFonts w:ascii="Sakkal Majalla" w:hAnsi="Sakkal Majalla"/>
          <w:b/>
          <w:bCs/>
          <w:sz w:val="27"/>
          <w:rtl/>
        </w:rPr>
        <w:t>مَأْو</w:t>
      </w:r>
      <w:r w:rsidR="007B4669" w:rsidRPr="006571AC">
        <w:rPr>
          <w:rFonts w:ascii="Sakkal Majalla" w:hAnsi="Sakkal Majalla" w:hint="cs"/>
          <w:b/>
          <w:bCs/>
          <w:sz w:val="27"/>
          <w:rtl/>
        </w:rPr>
        <w:t>َ</w:t>
      </w:r>
      <w:r w:rsidRPr="006571AC">
        <w:rPr>
          <w:rFonts w:ascii="Sakkal Majalla" w:hAnsi="Sakkal Majalla"/>
          <w:b/>
          <w:bCs/>
          <w:sz w:val="27"/>
          <w:rtl/>
        </w:rPr>
        <w:t>اكُمُ النَّارُ هِيَ مَوْلا</w:t>
      </w:r>
      <w:r w:rsidR="007B4669" w:rsidRPr="006571AC">
        <w:rPr>
          <w:rFonts w:ascii="Sakkal Majalla" w:hAnsi="Sakkal Majalla" w:hint="cs"/>
          <w:b/>
          <w:bCs/>
          <w:sz w:val="27"/>
          <w:rtl/>
        </w:rPr>
        <w:t>َ</w:t>
      </w:r>
      <w:r w:rsidRPr="006571AC">
        <w:rPr>
          <w:rFonts w:ascii="Sakkal Majalla" w:hAnsi="Sakkal Majalla"/>
          <w:b/>
          <w:bCs/>
          <w:sz w:val="27"/>
          <w:rtl/>
        </w:rPr>
        <w:t>كُمْ</w:t>
      </w:r>
      <w:r w:rsidRPr="006571AC">
        <w:rPr>
          <w:rFonts w:ascii="Mosawi" w:hAnsi="Mosawi" w:cs="Mosawi"/>
          <w:sz w:val="24"/>
          <w:szCs w:val="24"/>
          <w:rtl/>
        </w:rPr>
        <w:t>﴾</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عن</w:t>
      </w:r>
      <w:r w:rsidRPr="006571AC">
        <w:rPr>
          <w:rFonts w:ascii="Times New Roman" w:hAnsi="Times New Roman" w:hint="cs"/>
          <w:sz w:val="27"/>
          <w:rtl/>
        </w:rPr>
        <w:t>ي</w:t>
      </w:r>
      <w:r w:rsidRPr="006571AC">
        <w:rPr>
          <w:rFonts w:ascii="Sakkal Majalla" w:hAnsi="Sakkal Majalla"/>
          <w:sz w:val="27"/>
          <w:rtl/>
        </w:rPr>
        <w:t xml:space="preserve"> صاحبكم وأ</w:t>
      </w:r>
      <w:r w:rsidR="007B4669" w:rsidRPr="006571AC">
        <w:rPr>
          <w:rFonts w:ascii="Sakkal Majalla" w:hAnsi="Sakkal Majalla" w:hint="cs"/>
          <w:sz w:val="27"/>
          <w:rtl/>
        </w:rPr>
        <w:t>َ</w:t>
      </w:r>
      <w:r w:rsidR="007B4669" w:rsidRPr="006571AC">
        <w:rPr>
          <w:rFonts w:ascii="Sakkal Majalla" w:hAnsi="Sakkal Majalla"/>
          <w:sz w:val="27"/>
          <w:rtl/>
        </w:rPr>
        <w:t>وْلى بكم؛ ل</w:t>
      </w:r>
      <w:r w:rsidRPr="006571AC">
        <w:rPr>
          <w:rFonts w:ascii="Sakkal Majalla" w:hAnsi="Sakkal Majalla"/>
          <w:sz w:val="27"/>
          <w:rtl/>
        </w:rPr>
        <w:t>ما أسل</w:t>
      </w:r>
      <w:r w:rsidR="007B4669" w:rsidRPr="006571AC">
        <w:rPr>
          <w:rFonts w:ascii="Sakkal Majalla" w:hAnsi="Sakkal Majalla" w:hint="cs"/>
          <w:sz w:val="27"/>
          <w:rtl/>
        </w:rPr>
        <w:t>َ</w:t>
      </w:r>
      <w:r w:rsidRPr="006571AC">
        <w:rPr>
          <w:rFonts w:ascii="Sakkal Majalla" w:hAnsi="Sakkal Majalla"/>
          <w:sz w:val="27"/>
          <w:rtl/>
        </w:rPr>
        <w:t>ف</w:t>
      </w:r>
      <w:r w:rsidR="007B4669" w:rsidRPr="006571AC">
        <w:rPr>
          <w:rFonts w:ascii="Sakkal Majalla" w:hAnsi="Sakkal Majalla" w:hint="cs"/>
          <w:sz w:val="27"/>
          <w:rtl/>
        </w:rPr>
        <w:t>ْ</w:t>
      </w:r>
      <w:r w:rsidRPr="006571AC">
        <w:rPr>
          <w:rFonts w:ascii="Sakkal Majalla" w:hAnsi="Sakkal Majalla"/>
          <w:sz w:val="27"/>
          <w:rtl/>
        </w:rPr>
        <w:t>ت</w:t>
      </w:r>
      <w:r w:rsidR="007B4669" w:rsidRPr="006571AC">
        <w:rPr>
          <w:rFonts w:ascii="Sakkal Majalla" w:hAnsi="Sakkal Majalla" w:hint="cs"/>
          <w:sz w:val="27"/>
          <w:rtl/>
        </w:rPr>
        <w:t>ُ</w:t>
      </w:r>
      <w:r w:rsidRPr="006571AC">
        <w:rPr>
          <w:rFonts w:ascii="Sakkal Majalla" w:hAnsi="Sakkal Majalla"/>
          <w:sz w:val="27"/>
          <w:rtl/>
        </w:rPr>
        <w:t>م من الذنوب</w:t>
      </w:r>
      <w:r w:rsidRPr="006571AC">
        <w:rPr>
          <w:rFonts w:ascii="Sakkal Majalla" w:hAnsi="Sakkal Majalla"/>
          <w:sz w:val="27"/>
          <w:vertAlign w:val="superscript"/>
          <w:rtl/>
        </w:rPr>
        <w:t>(</w:t>
      </w:r>
      <w:r w:rsidRPr="006571AC">
        <w:rPr>
          <w:rStyle w:val="ac"/>
          <w:rFonts w:ascii="Sakkal Majalla" w:hAnsi="Sakkal Majalla"/>
          <w:sz w:val="27"/>
          <w:rtl/>
        </w:rPr>
        <w:endnoteReference w:id="355"/>
      </w:r>
      <w:r w:rsidRPr="006571AC">
        <w:rPr>
          <w:rFonts w:ascii="Sakkal Majalla" w:hAnsi="Sakkal Majalla"/>
          <w:sz w:val="27"/>
          <w:vertAlign w:val="superscript"/>
          <w:rtl/>
        </w:rPr>
        <w:t>)</w:t>
      </w:r>
      <w:r w:rsidRPr="006571AC">
        <w:rPr>
          <w:rFonts w:ascii="Sakkal Majalla" w:hAnsi="Sakkal Majalla"/>
          <w:sz w:val="27"/>
          <w:rtl/>
        </w:rPr>
        <w:t xml:space="preserve">. </w:t>
      </w:r>
    </w:p>
    <w:p w:rsidR="007B4669" w:rsidRPr="006571AC" w:rsidRDefault="005D05A4" w:rsidP="00B41BA0">
      <w:pPr>
        <w:rPr>
          <w:rFonts w:ascii="Sakkal Majalla" w:hAnsi="Sakkal Majalla"/>
          <w:sz w:val="27"/>
          <w:rtl/>
        </w:rPr>
      </w:pPr>
      <w:r w:rsidRPr="006571AC">
        <w:rPr>
          <w:rFonts w:ascii="Sakkal Majalla" w:hAnsi="Sakkal Majalla"/>
          <w:sz w:val="27"/>
          <w:rtl/>
        </w:rPr>
        <w:lastRenderedPageBreak/>
        <w:t>وقال الزمخشري</w:t>
      </w:r>
      <w:r w:rsidR="007B4669" w:rsidRPr="006571AC">
        <w:rPr>
          <w:rFonts w:ascii="Sakkal Majalla" w:hAnsi="Sakkal Majalla" w:hint="cs"/>
          <w:sz w:val="27"/>
          <w:rtl/>
        </w:rPr>
        <w:t>،</w:t>
      </w:r>
      <w:r w:rsidRPr="006571AC">
        <w:rPr>
          <w:rFonts w:ascii="Sakkal Majalla" w:hAnsi="Sakkal Majalla"/>
          <w:sz w:val="27"/>
          <w:rtl/>
        </w:rPr>
        <w:t xml:space="preserve"> </w:t>
      </w:r>
      <w:r w:rsidR="007B4669" w:rsidRPr="006571AC">
        <w:rPr>
          <w:rFonts w:ascii="Sakkal Majalla" w:hAnsi="Sakkal Majalla" w:hint="cs"/>
          <w:sz w:val="27"/>
          <w:rtl/>
        </w:rPr>
        <w:t xml:space="preserve">في </w:t>
      </w:r>
      <w:r w:rsidRPr="006571AC">
        <w:rPr>
          <w:rFonts w:ascii="Sakkal Majalla" w:hAnsi="Sakkal Majalla"/>
          <w:sz w:val="27"/>
          <w:rtl/>
        </w:rPr>
        <w:t>تفسيرها: قيل: هي أ</w:t>
      </w:r>
      <w:r w:rsidR="007B4669" w:rsidRPr="006571AC">
        <w:rPr>
          <w:rFonts w:ascii="Sakkal Majalla" w:hAnsi="Sakkal Majalla" w:hint="cs"/>
          <w:sz w:val="27"/>
          <w:rtl/>
        </w:rPr>
        <w:t>َ</w:t>
      </w:r>
      <w:r w:rsidRPr="006571AC">
        <w:rPr>
          <w:rFonts w:ascii="Sakkal Majalla" w:hAnsi="Sakkal Majalla"/>
          <w:sz w:val="27"/>
          <w:rtl/>
        </w:rPr>
        <w:t>و</w:t>
      </w:r>
      <w:r w:rsidR="007B4669" w:rsidRPr="006571AC">
        <w:rPr>
          <w:rFonts w:ascii="Sakkal Majalla" w:hAnsi="Sakkal Majalla" w:hint="cs"/>
          <w:sz w:val="27"/>
          <w:rtl/>
        </w:rPr>
        <w:t>ْ</w:t>
      </w:r>
      <w:r w:rsidRPr="006571AC">
        <w:rPr>
          <w:rFonts w:ascii="Sakkal Majalla" w:hAnsi="Sakkal Majalla"/>
          <w:sz w:val="27"/>
          <w:rtl/>
        </w:rPr>
        <w:t>لى بكم</w:t>
      </w:r>
      <w:r w:rsidRPr="006571AC">
        <w:rPr>
          <w:rFonts w:ascii="Sakkal Majalla" w:hAnsi="Sakkal Majalla"/>
          <w:sz w:val="27"/>
          <w:vertAlign w:val="superscript"/>
          <w:rtl/>
        </w:rPr>
        <w:t>(</w:t>
      </w:r>
      <w:r w:rsidRPr="006571AC">
        <w:rPr>
          <w:rStyle w:val="ac"/>
          <w:rFonts w:ascii="Sakkal Majalla" w:hAnsi="Sakkal Majalla"/>
          <w:sz w:val="27"/>
          <w:rtl/>
        </w:rPr>
        <w:endnoteReference w:id="356"/>
      </w:r>
      <w:r w:rsidRPr="006571AC">
        <w:rPr>
          <w:rFonts w:ascii="Sakkal Majalla" w:hAnsi="Sakkal Majalla"/>
          <w:sz w:val="27"/>
          <w:vertAlign w:val="superscript"/>
          <w:rtl/>
        </w:rPr>
        <w:t>)</w:t>
      </w:r>
      <w:r w:rsidR="007B4669" w:rsidRPr="006571AC">
        <w:rPr>
          <w:rFonts w:ascii="Sakkal Majalla" w:hAnsi="Sakkal Majalla" w:hint="cs"/>
          <w:sz w:val="27"/>
          <w:rtl/>
        </w:rPr>
        <w:t>.</w:t>
      </w:r>
    </w:p>
    <w:p w:rsidR="007B4669" w:rsidRPr="006571AC" w:rsidRDefault="005D05A4" w:rsidP="00B41BA0">
      <w:pPr>
        <w:rPr>
          <w:rFonts w:ascii="Sakkal Majalla" w:hAnsi="Sakkal Majalla"/>
          <w:sz w:val="27"/>
          <w:rtl/>
        </w:rPr>
      </w:pPr>
      <w:r w:rsidRPr="006571AC">
        <w:rPr>
          <w:rFonts w:ascii="Sakkal Majalla" w:hAnsi="Sakkal Majalla"/>
          <w:sz w:val="27"/>
          <w:rtl/>
        </w:rPr>
        <w:t xml:space="preserve">وقال </w:t>
      </w:r>
      <w:r w:rsidRPr="006571AC">
        <w:rPr>
          <w:rFonts w:ascii="Sakkal Majalla" w:hAnsi="Sakkal Majalla" w:hint="cs"/>
          <w:sz w:val="27"/>
          <w:rtl/>
        </w:rPr>
        <w:t>أ</w:t>
      </w:r>
      <w:r w:rsidRPr="006571AC">
        <w:rPr>
          <w:rFonts w:ascii="Times New Roman" w:hAnsi="Times New Roman" w:hint="cs"/>
          <w:sz w:val="27"/>
          <w:rtl/>
        </w:rPr>
        <w:t>ي</w:t>
      </w:r>
      <w:r w:rsidRPr="006571AC">
        <w:rPr>
          <w:rFonts w:ascii="Sakkal Majalla" w:hAnsi="Sakkal Majalla" w:hint="cs"/>
          <w:sz w:val="27"/>
          <w:rtl/>
        </w:rPr>
        <w:t>ضاً</w:t>
      </w:r>
      <w:r w:rsidR="007B466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w:t>
      </w:r>
      <w:r w:rsidRPr="006571AC">
        <w:rPr>
          <w:rFonts w:ascii="Sakkal Majalla" w:hAnsi="Sakkal Majalla" w:hint="cs"/>
          <w:sz w:val="27"/>
          <w:rtl/>
        </w:rPr>
        <w:t>أساس</w:t>
      </w:r>
      <w:r w:rsidRPr="006571AC">
        <w:rPr>
          <w:rFonts w:ascii="Sakkal Majalla" w:hAnsi="Sakkal Majalla"/>
          <w:sz w:val="27"/>
          <w:rtl/>
        </w:rPr>
        <w:t xml:space="preserve"> </w:t>
      </w:r>
      <w:r w:rsidRPr="006571AC">
        <w:rPr>
          <w:rFonts w:ascii="Sakkal Majalla" w:hAnsi="Sakkal Majalla" w:hint="cs"/>
          <w:sz w:val="27"/>
          <w:rtl/>
        </w:rPr>
        <w:t>البلاغة</w:t>
      </w:r>
      <w:r w:rsidR="007B466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w:t>
      </w:r>
      <w:r w:rsidRPr="006571AC">
        <w:rPr>
          <w:rFonts w:ascii="Sakkal Majalla" w:hAnsi="Sakkal Majalla" w:hint="cs"/>
          <w:sz w:val="27"/>
          <w:rtl/>
        </w:rPr>
        <w:t>مادّة</w:t>
      </w:r>
      <w:r w:rsidRPr="006571AC">
        <w:rPr>
          <w:rFonts w:ascii="Sakkal Majalla" w:hAnsi="Sakkal Majalla"/>
          <w:sz w:val="27"/>
          <w:rtl/>
        </w:rPr>
        <w:t xml:space="preserve"> </w:t>
      </w:r>
      <w:r w:rsidRPr="006571AC">
        <w:rPr>
          <w:rFonts w:ascii="Sakkal Majalla" w:hAnsi="Sakkal Majalla" w:hint="cs"/>
          <w:sz w:val="24"/>
          <w:szCs w:val="24"/>
          <w:rtl/>
        </w:rPr>
        <w:t>«</w:t>
      </w:r>
      <w:r w:rsidRPr="006571AC">
        <w:rPr>
          <w:rFonts w:ascii="Sakkal Majalla" w:hAnsi="Sakkal Majalla" w:hint="cs"/>
          <w:sz w:val="27"/>
          <w:rtl/>
        </w:rPr>
        <w:t>ولي</w:t>
      </w:r>
      <w:r w:rsidRPr="006571AC">
        <w:rPr>
          <w:rFonts w:ascii="Sakkal Majalla" w:hAnsi="Sakkal Majalla" w:hint="cs"/>
          <w:sz w:val="24"/>
          <w:szCs w:val="24"/>
          <w:rtl/>
        </w:rPr>
        <w:t>»</w:t>
      </w:r>
      <w:r w:rsidRPr="006571AC">
        <w:rPr>
          <w:rFonts w:ascii="Sakkal Majalla" w:hAnsi="Sakkal Majalla"/>
          <w:sz w:val="27"/>
          <w:rtl/>
        </w:rPr>
        <w:t>: ومولاي: سيدي وعبدي، ومولى من الولاية: ناصر، وهو أ</w:t>
      </w:r>
      <w:r w:rsidR="007B4669" w:rsidRPr="006571AC">
        <w:rPr>
          <w:rFonts w:ascii="Sakkal Majalla" w:hAnsi="Sakkal Majalla" w:hint="cs"/>
          <w:sz w:val="27"/>
          <w:rtl/>
        </w:rPr>
        <w:t>َ</w:t>
      </w:r>
      <w:r w:rsidRPr="006571AC">
        <w:rPr>
          <w:rFonts w:ascii="Sakkal Majalla" w:hAnsi="Sakkal Majalla"/>
          <w:sz w:val="27"/>
          <w:rtl/>
        </w:rPr>
        <w:t>وْلى به</w:t>
      </w:r>
      <w:r w:rsidRPr="006571AC">
        <w:rPr>
          <w:rFonts w:ascii="Sakkal Majalla" w:hAnsi="Sakkal Majalla"/>
          <w:sz w:val="27"/>
          <w:vertAlign w:val="superscript"/>
          <w:rtl/>
        </w:rPr>
        <w:t>(</w:t>
      </w:r>
      <w:r w:rsidRPr="006571AC">
        <w:rPr>
          <w:rStyle w:val="ac"/>
          <w:rFonts w:ascii="Sakkal Majalla" w:hAnsi="Sakkal Majalla"/>
          <w:sz w:val="27"/>
          <w:rtl/>
        </w:rPr>
        <w:endnoteReference w:id="357"/>
      </w:r>
      <w:r w:rsidRPr="006571AC">
        <w:rPr>
          <w:rFonts w:ascii="Sakkal Majalla" w:hAnsi="Sakkal Majalla"/>
          <w:sz w:val="27"/>
          <w:vertAlign w:val="superscript"/>
          <w:rtl/>
        </w:rPr>
        <w:t>)</w:t>
      </w:r>
      <w:r w:rsidR="007B4669" w:rsidRPr="006571AC">
        <w:rPr>
          <w:rFonts w:ascii="Sakkal Majalla" w:hAnsi="Sakkal Majalla"/>
          <w:sz w:val="27"/>
          <w:rtl/>
        </w:rPr>
        <w:t>.</w:t>
      </w:r>
    </w:p>
    <w:p w:rsidR="005D05A4" w:rsidRPr="006571AC" w:rsidRDefault="005D05A4" w:rsidP="00B41BA0">
      <w:pPr>
        <w:rPr>
          <w:rFonts w:ascii="Sakkal Majalla" w:hAnsi="Sakkal Majalla"/>
          <w:sz w:val="27"/>
          <w:rtl/>
        </w:rPr>
      </w:pPr>
      <w:r w:rsidRPr="006571AC">
        <w:rPr>
          <w:rFonts w:ascii="Sakkal Majalla" w:hAnsi="Sakkal Majalla"/>
          <w:sz w:val="27"/>
          <w:rtl/>
        </w:rPr>
        <w:t>و</w:t>
      </w:r>
      <w:r w:rsidRPr="006571AC">
        <w:rPr>
          <w:rFonts w:ascii="Sakkal Majalla" w:hAnsi="Sakkal Majalla" w:hint="cs"/>
          <w:sz w:val="27"/>
          <w:rtl/>
        </w:rPr>
        <w:t>قال</w:t>
      </w:r>
      <w:r w:rsidR="007B4669" w:rsidRPr="006571AC">
        <w:rPr>
          <w:rFonts w:ascii="Sakkal Majalla" w:hAnsi="Sakkal Majalla" w:hint="cs"/>
          <w:sz w:val="27"/>
          <w:rtl/>
        </w:rPr>
        <w:t>،</w:t>
      </w:r>
      <w:r w:rsidRPr="006571AC">
        <w:rPr>
          <w:rFonts w:ascii="Sakkal Majalla" w:hAnsi="Sakkal Majalla" w:hint="cs"/>
          <w:sz w:val="27"/>
          <w:rtl/>
        </w:rPr>
        <w:t xml:space="preserve"> في </w:t>
      </w:r>
      <w:r w:rsidRPr="006571AC">
        <w:rPr>
          <w:rFonts w:ascii="Sakkal Majalla" w:hAnsi="Sakkal Majalla"/>
          <w:sz w:val="27"/>
          <w:rtl/>
        </w:rPr>
        <w:t xml:space="preserve">تفسير الآية: </w:t>
      </w:r>
      <w:r w:rsidRPr="006571AC">
        <w:rPr>
          <w:rFonts w:ascii="Mosawi" w:hAnsi="Mosawi" w:cs="Mosawi"/>
          <w:sz w:val="24"/>
          <w:szCs w:val="24"/>
          <w:rtl/>
        </w:rPr>
        <w:t>﴿</w:t>
      </w:r>
      <w:r w:rsidRPr="006571AC">
        <w:rPr>
          <w:rFonts w:ascii="Sakkal Majalla" w:hAnsi="Sakkal Majalla"/>
          <w:b/>
          <w:bCs/>
          <w:sz w:val="27"/>
          <w:rtl/>
        </w:rPr>
        <w:t>وَ</w:t>
      </w:r>
      <w:r w:rsidR="0097633B" w:rsidRPr="006571AC">
        <w:rPr>
          <w:rFonts w:ascii="Sakkal Majalla" w:hAnsi="Sakkal Majalla"/>
          <w:b/>
          <w:bCs/>
          <w:sz w:val="27"/>
          <w:rtl/>
        </w:rPr>
        <w:t>الل</w:t>
      </w:r>
      <w:r w:rsidRPr="006571AC">
        <w:rPr>
          <w:rFonts w:ascii="Sakkal Majalla" w:hAnsi="Sakkal Majalla"/>
          <w:b/>
          <w:bCs/>
          <w:sz w:val="27"/>
          <w:rtl/>
        </w:rPr>
        <w:t>هُ مَوْلا</w:t>
      </w:r>
      <w:r w:rsidR="007B4669" w:rsidRPr="006571AC">
        <w:rPr>
          <w:rFonts w:ascii="Sakkal Majalla" w:hAnsi="Sakkal Majalla" w:hint="cs"/>
          <w:b/>
          <w:bCs/>
          <w:sz w:val="27"/>
          <w:rtl/>
        </w:rPr>
        <w:t>َ</w:t>
      </w:r>
      <w:r w:rsidRPr="006571AC">
        <w:rPr>
          <w:rFonts w:ascii="Sakkal Majalla" w:hAnsi="Sakkal Majalla"/>
          <w:b/>
          <w:bCs/>
          <w:sz w:val="27"/>
          <w:rtl/>
        </w:rPr>
        <w:t>كُمْ</w:t>
      </w:r>
      <w:r w:rsidRPr="006571AC">
        <w:rPr>
          <w:rFonts w:ascii="Mosawi" w:hAnsi="Mosawi" w:cs="Mosawi"/>
          <w:sz w:val="24"/>
          <w:szCs w:val="24"/>
          <w:rtl/>
        </w:rPr>
        <w:t>﴾</w:t>
      </w:r>
      <w:r w:rsidR="007B4669" w:rsidRPr="006571AC">
        <w:rPr>
          <w:rFonts w:ascii="Sakkal Majalla" w:hAnsi="Sakkal Majalla" w:hint="cs"/>
          <w:sz w:val="27"/>
          <w:rtl/>
        </w:rPr>
        <w:t>:</w:t>
      </w:r>
      <w:r w:rsidRPr="006571AC">
        <w:rPr>
          <w:rFonts w:ascii="Sakkal Majalla" w:hAnsi="Sakkal Majalla"/>
          <w:sz w:val="27"/>
          <w:rtl/>
        </w:rPr>
        <w:t xml:space="preserve"> </w:t>
      </w:r>
      <w:r w:rsidR="007B4669" w:rsidRPr="006571AC">
        <w:rPr>
          <w:rFonts w:ascii="Sakkal Majalla" w:hAnsi="Sakkal Majalla" w:hint="cs"/>
          <w:sz w:val="27"/>
          <w:rtl/>
        </w:rPr>
        <w:t>أ</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متولّي</w:t>
      </w:r>
      <w:r w:rsidRPr="006571AC">
        <w:rPr>
          <w:rFonts w:ascii="Sakkal Majalla" w:hAnsi="Sakkal Majalla"/>
          <w:sz w:val="27"/>
          <w:rtl/>
        </w:rPr>
        <w:t xml:space="preserve"> أموركم، وقيل: أ</w:t>
      </w:r>
      <w:r w:rsidR="007B4669" w:rsidRPr="006571AC">
        <w:rPr>
          <w:rFonts w:ascii="Sakkal Majalla" w:hAnsi="Sakkal Majalla" w:hint="cs"/>
          <w:sz w:val="27"/>
          <w:rtl/>
        </w:rPr>
        <w:t>َ</w:t>
      </w:r>
      <w:r w:rsidRPr="006571AC">
        <w:rPr>
          <w:rFonts w:ascii="Sakkal Majalla" w:hAnsi="Sakkal Majalla"/>
          <w:sz w:val="27"/>
          <w:rtl/>
        </w:rPr>
        <w:t>وْلى بكم من أنفسكم، ونصيحته أنفع لكم من نصائحكم لأنفسكم</w:t>
      </w:r>
      <w:r w:rsidRPr="006571AC">
        <w:rPr>
          <w:rFonts w:ascii="Sakkal Majalla" w:hAnsi="Sakkal Majalla"/>
          <w:sz w:val="24"/>
          <w:szCs w:val="24"/>
          <w:rtl/>
        </w:rPr>
        <w:t>»</w:t>
      </w:r>
      <w:r w:rsidRPr="006571AC">
        <w:rPr>
          <w:rFonts w:ascii="Sakkal Majalla" w:hAnsi="Sakkal Majalla"/>
          <w:sz w:val="27"/>
          <w:vertAlign w:val="superscript"/>
          <w:rtl/>
        </w:rPr>
        <w:t>(</w:t>
      </w:r>
      <w:r w:rsidRPr="006571AC">
        <w:rPr>
          <w:rStyle w:val="ac"/>
          <w:rFonts w:ascii="Sakkal Majalla" w:hAnsi="Sakkal Majalla"/>
          <w:sz w:val="27"/>
          <w:rtl/>
        </w:rPr>
        <w:endnoteReference w:id="358"/>
      </w:r>
      <w:r w:rsidRPr="006571AC">
        <w:rPr>
          <w:rFonts w:ascii="Sakkal Majalla" w:hAnsi="Sakkal Majalla"/>
          <w:sz w:val="27"/>
          <w:vertAlign w:val="superscript"/>
          <w:rtl/>
        </w:rPr>
        <w:t>)</w:t>
      </w:r>
      <w:r w:rsidR="007B4669" w:rsidRPr="006571AC">
        <w:rPr>
          <w:rFonts w:ascii="Sakkal Majalla" w:hAnsi="Sakkal Majalla" w:hint="cs"/>
          <w:sz w:val="27"/>
          <w:rtl/>
        </w:rPr>
        <w:t>.</w:t>
      </w:r>
    </w:p>
    <w:p w:rsidR="005D05A4" w:rsidRPr="006571AC" w:rsidRDefault="005D05A4" w:rsidP="00B41BA0">
      <w:pPr>
        <w:rPr>
          <w:rFonts w:ascii="Sakkal Majalla" w:hAnsi="Sakkal Majalla"/>
          <w:sz w:val="27"/>
          <w:rtl/>
        </w:rPr>
      </w:pPr>
      <w:r w:rsidRPr="006571AC">
        <w:rPr>
          <w:rFonts w:ascii="Sakkal Majalla" w:hAnsi="Sakkal Majalla"/>
          <w:sz w:val="27"/>
          <w:rtl/>
        </w:rPr>
        <w:t>وقال النيسابوري: قيل: المرا</w:t>
      </w:r>
      <w:r w:rsidR="007B4669" w:rsidRPr="006571AC">
        <w:rPr>
          <w:rFonts w:ascii="Sakkal Majalla" w:hAnsi="Sakkal Majalla"/>
          <w:sz w:val="27"/>
          <w:rtl/>
        </w:rPr>
        <w:t>د أنّها تتو</w:t>
      </w:r>
      <w:r w:rsidRPr="006571AC">
        <w:rPr>
          <w:rFonts w:ascii="Sakkal Majalla" w:hAnsi="Sakkal Majalla"/>
          <w:sz w:val="27"/>
          <w:rtl/>
        </w:rPr>
        <w:t>ل</w:t>
      </w:r>
      <w:r w:rsidR="007B4669" w:rsidRPr="006571AC">
        <w:rPr>
          <w:rFonts w:ascii="Sakkal Majalla" w:hAnsi="Sakkal Majalla" w:hint="cs"/>
          <w:sz w:val="27"/>
          <w:rtl/>
        </w:rPr>
        <w:t>ّ</w:t>
      </w:r>
      <w:r w:rsidRPr="006571AC">
        <w:rPr>
          <w:rFonts w:ascii="Sakkal Majalla" w:hAnsi="Sakkal Majalla"/>
          <w:sz w:val="27"/>
          <w:rtl/>
        </w:rPr>
        <w:t>ى أموركم كما تولّيتم في الدنيا أعمال أهل النار. وقيل: أراد هي أ</w:t>
      </w:r>
      <w:r w:rsidR="007B4669" w:rsidRPr="006571AC">
        <w:rPr>
          <w:rFonts w:ascii="Sakkal Majalla" w:hAnsi="Sakkal Majalla" w:hint="cs"/>
          <w:sz w:val="27"/>
          <w:rtl/>
        </w:rPr>
        <w:t>َ</w:t>
      </w:r>
      <w:r w:rsidRPr="006571AC">
        <w:rPr>
          <w:rFonts w:ascii="Sakkal Majalla" w:hAnsi="Sakkal Majalla"/>
          <w:sz w:val="27"/>
          <w:rtl/>
        </w:rPr>
        <w:t>وْلى بكم</w:t>
      </w:r>
      <w:r w:rsidRPr="006571AC">
        <w:rPr>
          <w:rFonts w:ascii="Sakkal Majalla" w:hAnsi="Sakkal Majalla"/>
          <w:sz w:val="27"/>
          <w:vertAlign w:val="superscript"/>
          <w:rtl/>
        </w:rPr>
        <w:t>(</w:t>
      </w:r>
      <w:r w:rsidRPr="006571AC">
        <w:rPr>
          <w:rStyle w:val="ac"/>
          <w:rFonts w:ascii="Sakkal Majalla" w:hAnsi="Sakkal Majalla"/>
          <w:sz w:val="27"/>
          <w:rtl/>
        </w:rPr>
        <w:endnoteReference w:id="359"/>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sz w:val="27"/>
          <w:rtl/>
        </w:rPr>
        <w:t xml:space="preserve"> وقال القاضي البيضاوي</w:t>
      </w:r>
      <w:r w:rsidR="007B466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 xml:space="preserve">في </w:t>
      </w:r>
      <w:r w:rsidRPr="006571AC">
        <w:rPr>
          <w:rFonts w:ascii="Sakkal Majalla" w:hAnsi="Sakkal Majalla"/>
          <w:sz w:val="27"/>
          <w:rtl/>
        </w:rPr>
        <w:t xml:space="preserve">تفسير آية: </w:t>
      </w:r>
      <w:r w:rsidRPr="006571AC">
        <w:rPr>
          <w:rFonts w:ascii="Mosawi" w:hAnsi="Mosawi" w:cs="Mosawi"/>
          <w:sz w:val="24"/>
          <w:szCs w:val="24"/>
          <w:rtl/>
        </w:rPr>
        <w:t>﴿</w:t>
      </w:r>
      <w:r w:rsidRPr="006571AC">
        <w:rPr>
          <w:rFonts w:ascii="Sakkal Majalla" w:hAnsi="Sakkal Majalla"/>
          <w:b/>
          <w:bCs/>
          <w:sz w:val="27"/>
          <w:rtl/>
        </w:rPr>
        <w:t>هِيَ مَوْلا</w:t>
      </w:r>
      <w:r w:rsidR="007B4669" w:rsidRPr="006571AC">
        <w:rPr>
          <w:rFonts w:ascii="Sakkal Majalla" w:hAnsi="Sakkal Majalla" w:hint="cs"/>
          <w:b/>
          <w:bCs/>
          <w:sz w:val="27"/>
          <w:rtl/>
        </w:rPr>
        <w:t>َ</w:t>
      </w:r>
      <w:r w:rsidRPr="006571AC">
        <w:rPr>
          <w:rFonts w:ascii="Sakkal Majalla" w:hAnsi="Sakkal Majalla"/>
          <w:b/>
          <w:bCs/>
          <w:sz w:val="27"/>
          <w:rtl/>
        </w:rPr>
        <w:t>كُمْ</w:t>
      </w:r>
      <w:r w:rsidRPr="006571AC">
        <w:rPr>
          <w:rFonts w:ascii="Mosawi" w:hAnsi="Mosawi" w:cs="Mosawi"/>
          <w:sz w:val="24"/>
          <w:szCs w:val="24"/>
          <w:rtl/>
        </w:rPr>
        <w:t>﴾</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عن</w:t>
      </w:r>
      <w:r w:rsidRPr="006571AC">
        <w:rPr>
          <w:rFonts w:ascii="Times New Roman" w:hAnsi="Times New Roman" w:hint="cs"/>
          <w:sz w:val="27"/>
          <w:rtl/>
        </w:rPr>
        <w:t>ي</w:t>
      </w:r>
      <w:r w:rsidRPr="006571AC">
        <w:rPr>
          <w:rFonts w:ascii="Sakkal Majalla" w:hAnsi="Sakkal Majalla"/>
          <w:sz w:val="27"/>
          <w:rtl/>
        </w:rPr>
        <w:t xml:space="preserve"> هي أ</w:t>
      </w:r>
      <w:r w:rsidR="007B4669" w:rsidRPr="006571AC">
        <w:rPr>
          <w:rFonts w:ascii="Sakkal Majalla" w:hAnsi="Sakkal Majalla" w:hint="cs"/>
          <w:sz w:val="27"/>
          <w:rtl/>
        </w:rPr>
        <w:t>َ</w:t>
      </w:r>
      <w:r w:rsidRPr="006571AC">
        <w:rPr>
          <w:rFonts w:ascii="Sakkal Majalla" w:hAnsi="Sakkal Majalla"/>
          <w:sz w:val="27"/>
          <w:rtl/>
        </w:rPr>
        <w:t>وْلى بكم</w:t>
      </w:r>
      <w:r w:rsidRPr="006571AC">
        <w:rPr>
          <w:rFonts w:ascii="Sakkal Majalla" w:hAnsi="Sakkal Majalla"/>
          <w:sz w:val="27"/>
          <w:vertAlign w:val="superscript"/>
          <w:rtl/>
        </w:rPr>
        <w:t>(</w:t>
      </w:r>
      <w:r w:rsidRPr="006571AC">
        <w:rPr>
          <w:rStyle w:val="ac"/>
          <w:rFonts w:ascii="Sakkal Majalla" w:hAnsi="Sakkal Majalla"/>
          <w:sz w:val="27"/>
          <w:rtl/>
        </w:rPr>
        <w:endnoteReference w:id="360"/>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sz w:val="27"/>
          <w:rtl/>
        </w:rPr>
        <w:t xml:space="preserve">هذه </w:t>
      </w:r>
      <w:r w:rsidRPr="006571AC">
        <w:rPr>
          <w:rFonts w:ascii="Sakkal Majalla" w:hAnsi="Sakkal Majalla" w:hint="cs"/>
          <w:sz w:val="27"/>
          <w:rtl/>
        </w:rPr>
        <w:t>أ</w:t>
      </w:r>
      <w:r w:rsidRPr="006571AC">
        <w:rPr>
          <w:rFonts w:ascii="Sakkal Majalla" w:hAnsi="Sakkal Majalla"/>
          <w:sz w:val="27"/>
          <w:rtl/>
        </w:rPr>
        <w:t xml:space="preserve">قوال </w:t>
      </w:r>
      <w:r w:rsidRPr="006571AC">
        <w:rPr>
          <w:rFonts w:ascii="Sakkal Majalla" w:hAnsi="Sakkal Majalla" w:hint="cs"/>
          <w:sz w:val="27"/>
          <w:rtl/>
        </w:rPr>
        <w:t>أ</w:t>
      </w:r>
      <w:r w:rsidRPr="006571AC">
        <w:rPr>
          <w:rFonts w:ascii="Sakkal Majalla" w:hAnsi="Sakkal Majalla"/>
          <w:sz w:val="27"/>
          <w:rtl/>
        </w:rPr>
        <w:t>ئم</w:t>
      </w:r>
      <w:r w:rsidR="007B4669" w:rsidRPr="006571AC">
        <w:rPr>
          <w:rFonts w:ascii="Sakkal Majalla" w:hAnsi="Sakkal Majalla" w:hint="cs"/>
          <w:sz w:val="27"/>
          <w:rtl/>
        </w:rPr>
        <w:t>ّ</w:t>
      </w:r>
      <w:r w:rsidRPr="006571AC">
        <w:rPr>
          <w:rFonts w:ascii="Sakkal Majalla" w:hAnsi="Sakkal Majalla"/>
          <w:sz w:val="27"/>
          <w:rtl/>
        </w:rPr>
        <w:t>ة التفس</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واللغة من العامة</w:t>
      </w:r>
      <w:r w:rsidRPr="006571AC">
        <w:rPr>
          <w:rFonts w:ascii="Sakkal Majalla" w:hAnsi="Sakkal Majalla" w:hint="cs"/>
          <w:sz w:val="27"/>
          <w:rtl/>
        </w:rPr>
        <w:t xml:space="preserve">، </w:t>
      </w:r>
      <w:r w:rsidRPr="006571AC">
        <w:rPr>
          <w:rFonts w:ascii="Sakkal Majalla" w:hAnsi="Sakkal Majalla"/>
          <w:sz w:val="27"/>
          <w:rtl/>
        </w:rPr>
        <w:t>و</w:t>
      </w:r>
      <w:r w:rsidRPr="006571AC">
        <w:rPr>
          <w:rFonts w:ascii="Sakkal Majalla" w:hAnsi="Sakkal Majalla" w:hint="cs"/>
          <w:sz w:val="27"/>
          <w:rtl/>
        </w:rPr>
        <w:t>أ</w:t>
      </w:r>
      <w:r w:rsidRPr="006571AC">
        <w:rPr>
          <w:rFonts w:ascii="Sakkal Majalla" w:hAnsi="Sakkal Majalla"/>
          <w:sz w:val="27"/>
          <w:rtl/>
        </w:rPr>
        <w:t>مّا كبار المتكل</w:t>
      </w:r>
      <w:r w:rsidR="007B4669" w:rsidRPr="006571AC">
        <w:rPr>
          <w:rFonts w:ascii="Sakkal Majalla" w:hAnsi="Sakkal Majalla" w:hint="cs"/>
          <w:sz w:val="27"/>
          <w:rtl/>
        </w:rPr>
        <w:t>ِّ</w:t>
      </w:r>
      <w:r w:rsidRPr="006571AC">
        <w:rPr>
          <w:rFonts w:ascii="Sakkal Majalla" w:hAnsi="Sakkal Majalla"/>
          <w:sz w:val="27"/>
          <w:rtl/>
        </w:rPr>
        <w:t>م</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علمائهم</w:t>
      </w:r>
      <w:r w:rsidRPr="006571AC">
        <w:rPr>
          <w:rFonts w:ascii="Sakkal Majalla" w:hAnsi="Sakkal Majalla"/>
          <w:sz w:val="27"/>
          <w:rtl/>
        </w:rPr>
        <w:t xml:space="preserve"> </w:t>
      </w:r>
      <w:r w:rsidRPr="006571AC">
        <w:rPr>
          <w:rFonts w:ascii="Sakkal Majalla" w:hAnsi="Sakkal Majalla" w:hint="cs"/>
          <w:sz w:val="27"/>
          <w:rtl/>
        </w:rPr>
        <w:t>ف</w:t>
      </w:r>
      <w:r w:rsidRPr="006571AC">
        <w:rPr>
          <w:rFonts w:ascii="Sakkal Majalla" w:hAnsi="Sakkal Majalla"/>
          <w:sz w:val="27"/>
          <w:rtl/>
        </w:rPr>
        <w:t xml:space="preserve">قد </w:t>
      </w:r>
      <w:r w:rsidR="007B4669" w:rsidRPr="006571AC">
        <w:rPr>
          <w:rFonts w:ascii="Sakkal Majalla" w:hAnsi="Sakkal Majalla" w:hint="cs"/>
          <w:sz w:val="27"/>
          <w:rtl/>
        </w:rPr>
        <w:t>ا</w:t>
      </w:r>
      <w:r w:rsidRPr="006571AC">
        <w:rPr>
          <w:rFonts w:ascii="Sakkal Majalla" w:hAnsi="Sakkal Majalla"/>
          <w:sz w:val="27"/>
          <w:rtl/>
        </w:rPr>
        <w:t>عترفوا بمج</w:t>
      </w:r>
      <w:r w:rsidRPr="006571AC">
        <w:rPr>
          <w:rFonts w:ascii="Times New Roman" w:hAnsi="Times New Roman" w:hint="cs"/>
          <w:sz w:val="27"/>
          <w:rtl/>
        </w:rPr>
        <w:t>ي</w:t>
      </w:r>
      <w:r w:rsidRPr="006571AC">
        <w:rPr>
          <w:rFonts w:ascii="Sakkal Majalla" w:hAnsi="Sakkal Majalla" w:hint="cs"/>
          <w:sz w:val="27"/>
          <w:rtl/>
        </w:rPr>
        <w:t>ء</w:t>
      </w:r>
      <w:r w:rsidRPr="006571AC">
        <w:rPr>
          <w:rFonts w:ascii="Sakkal Majalla" w:hAnsi="Sakkal Majalla"/>
          <w:sz w:val="27"/>
          <w:rtl/>
        </w:rPr>
        <w:t xml:space="preserve"> </w:t>
      </w:r>
      <w:r w:rsidRPr="006571AC">
        <w:rPr>
          <w:rFonts w:ascii="Sakkal Majalla" w:hAnsi="Sakkal Majalla" w:hint="cs"/>
          <w:sz w:val="27"/>
          <w:rtl/>
        </w:rPr>
        <w:t>المول</w:t>
      </w:r>
      <w:r w:rsidR="007B466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بمعن</w:t>
      </w:r>
      <w:r w:rsidR="007B466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الأ</w:t>
      </w:r>
      <w:r w:rsidR="007B4669" w:rsidRPr="006571AC">
        <w:rPr>
          <w:rFonts w:ascii="Sakkal Majalla" w:hAnsi="Sakkal Majalla" w:hint="cs"/>
          <w:sz w:val="27"/>
          <w:rtl/>
        </w:rPr>
        <w:t>َ</w:t>
      </w:r>
      <w:r w:rsidRPr="006571AC">
        <w:rPr>
          <w:rFonts w:ascii="Sakkal Majalla" w:hAnsi="Sakkal Majalla"/>
          <w:sz w:val="27"/>
          <w:rtl/>
        </w:rPr>
        <w:t>و</w:t>
      </w:r>
      <w:r w:rsidR="007B4669" w:rsidRPr="006571AC">
        <w:rPr>
          <w:rFonts w:ascii="Sakkal Majalla" w:hAnsi="Sakkal Majalla" w:hint="cs"/>
          <w:sz w:val="27"/>
          <w:rtl/>
        </w:rPr>
        <w:t>ْ</w:t>
      </w:r>
      <w:r w:rsidRPr="006571AC">
        <w:rPr>
          <w:rFonts w:ascii="Sakkal Majalla" w:hAnsi="Sakkal Majalla"/>
          <w:sz w:val="27"/>
          <w:rtl/>
        </w:rPr>
        <w:t>ل</w:t>
      </w:r>
      <w:r w:rsidR="007B466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بالتصر</w:t>
      </w:r>
      <w:r w:rsidR="007B4669" w:rsidRPr="006571AC">
        <w:rPr>
          <w:rFonts w:ascii="Sakkal Majalla" w:hAnsi="Sakkal Majalla" w:hint="cs"/>
          <w:sz w:val="27"/>
          <w:rtl/>
        </w:rPr>
        <w:t>ُّ</w:t>
      </w:r>
      <w:r w:rsidRPr="006571AC">
        <w:rPr>
          <w:rFonts w:ascii="Sakkal Majalla" w:hAnsi="Sakkal Majalla" w:hint="cs"/>
          <w:sz w:val="27"/>
          <w:rtl/>
        </w:rPr>
        <w:t>ف</w:t>
      </w:r>
      <w:r w:rsidR="007B4669"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فقد جاء في شرح المقاصد وفي شرح ال</w:t>
      </w:r>
      <w:r w:rsidRPr="006571AC">
        <w:rPr>
          <w:rFonts w:ascii="Sakkal Majalla" w:hAnsi="Sakkal Majalla" w:hint="cs"/>
          <w:sz w:val="27"/>
          <w:rtl/>
        </w:rPr>
        <w:t xml:space="preserve">مواقف ـ </w:t>
      </w:r>
      <w:r w:rsidRPr="006571AC">
        <w:rPr>
          <w:rFonts w:ascii="Sakkal Majalla" w:hAnsi="Sakkal Majalla"/>
          <w:sz w:val="27"/>
          <w:rtl/>
        </w:rPr>
        <w:t>وهما من أشهر كتبهم العقائد</w:t>
      </w:r>
      <w:r w:rsidRPr="006571AC">
        <w:rPr>
          <w:rFonts w:ascii="Sakkal Majalla" w:hAnsi="Sakkal Majalla" w:hint="cs"/>
          <w:sz w:val="27"/>
          <w:rtl/>
        </w:rPr>
        <w:t xml:space="preserve">ية ـ </w:t>
      </w:r>
      <w:r w:rsidRPr="006571AC">
        <w:rPr>
          <w:rFonts w:ascii="Sakkal Majalla" w:hAnsi="Sakkal Majalla"/>
          <w:sz w:val="27"/>
          <w:rtl/>
        </w:rPr>
        <w:t xml:space="preserve">ما نصّه: </w:t>
      </w:r>
      <w:r w:rsidRPr="006571AC">
        <w:rPr>
          <w:rFonts w:ascii="Sakkal Majalla" w:hAnsi="Sakkal Majalla"/>
          <w:sz w:val="24"/>
          <w:szCs w:val="24"/>
          <w:rtl/>
        </w:rPr>
        <w:t>«</w:t>
      </w:r>
      <w:r w:rsidRPr="006571AC">
        <w:rPr>
          <w:rFonts w:ascii="Sakkal Majalla" w:hAnsi="Sakkal Majalla"/>
          <w:sz w:val="27"/>
          <w:rtl/>
        </w:rPr>
        <w:t>ولفظ (المولى) قد ي</w:t>
      </w:r>
      <w:r w:rsidR="007B4669" w:rsidRPr="006571AC">
        <w:rPr>
          <w:rFonts w:ascii="Sakkal Majalla" w:hAnsi="Sakkal Majalla" w:hint="cs"/>
          <w:sz w:val="27"/>
          <w:rtl/>
        </w:rPr>
        <w:t>ُ</w:t>
      </w:r>
      <w:r w:rsidRPr="006571AC">
        <w:rPr>
          <w:rFonts w:ascii="Sakkal Majalla" w:hAnsi="Sakkal Majalla"/>
          <w:sz w:val="27"/>
          <w:rtl/>
        </w:rPr>
        <w:t>راد به: المعتق، والحليف، والجار، وابن‏</w:t>
      </w:r>
      <w:r w:rsidRPr="006571AC">
        <w:rPr>
          <w:rFonts w:ascii="Sakkal Majalla" w:hAnsi="Sakkal Majalla" w:hint="cs"/>
          <w:sz w:val="27"/>
          <w:rtl/>
        </w:rPr>
        <w:t xml:space="preserve"> </w:t>
      </w:r>
      <w:r w:rsidRPr="006571AC">
        <w:rPr>
          <w:rFonts w:ascii="Sakkal Majalla" w:hAnsi="Sakkal Majalla"/>
          <w:sz w:val="27"/>
          <w:rtl/>
        </w:rPr>
        <w:t>العم، والناصر، والأ</w:t>
      </w:r>
      <w:r w:rsidR="007B4669" w:rsidRPr="006571AC">
        <w:rPr>
          <w:rFonts w:ascii="Sakkal Majalla" w:hAnsi="Sakkal Majalla" w:hint="cs"/>
          <w:sz w:val="27"/>
          <w:rtl/>
        </w:rPr>
        <w:t>َ</w:t>
      </w:r>
      <w:r w:rsidRPr="006571AC">
        <w:rPr>
          <w:rFonts w:ascii="Sakkal Majalla" w:hAnsi="Sakkal Majalla"/>
          <w:sz w:val="27"/>
          <w:rtl/>
        </w:rPr>
        <w:t>وْلى بالتصرّ</w:t>
      </w:r>
      <w:r w:rsidR="007B4669" w:rsidRPr="006571AC">
        <w:rPr>
          <w:rFonts w:ascii="Sakkal Majalla" w:hAnsi="Sakkal Majalla" w:hint="cs"/>
          <w:sz w:val="27"/>
          <w:rtl/>
        </w:rPr>
        <w:t>ُ</w:t>
      </w:r>
      <w:r w:rsidRPr="006571AC">
        <w:rPr>
          <w:rFonts w:ascii="Sakkal Majalla" w:hAnsi="Sakkal Majalla"/>
          <w:sz w:val="27"/>
          <w:rtl/>
        </w:rPr>
        <w:t>ف</w:t>
      </w:r>
      <w:r w:rsidRPr="006571AC">
        <w:rPr>
          <w:rFonts w:ascii="Sakkal Majalla" w:hAnsi="Sakkal Majalla"/>
          <w:sz w:val="27"/>
          <w:vertAlign w:val="superscript"/>
          <w:rtl/>
        </w:rPr>
        <w:t>(</w:t>
      </w:r>
      <w:r w:rsidRPr="006571AC">
        <w:rPr>
          <w:rStyle w:val="ac"/>
          <w:rFonts w:ascii="Sakkal Majalla" w:hAnsi="Sakkal Majalla"/>
          <w:sz w:val="27"/>
          <w:rtl/>
        </w:rPr>
        <w:endnoteReference w:id="361"/>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7B4669" w:rsidP="00B41BA0">
      <w:pPr>
        <w:rPr>
          <w:rFonts w:ascii="Sakkal Majalla" w:hAnsi="Sakkal Majalla"/>
          <w:sz w:val="27"/>
          <w:rtl/>
        </w:rPr>
      </w:pPr>
      <w:r w:rsidRPr="006571AC">
        <w:rPr>
          <w:rFonts w:ascii="Sakkal Majalla" w:hAnsi="Sakkal Majalla"/>
          <w:sz w:val="27"/>
          <w:rtl/>
        </w:rPr>
        <w:t>و</w:t>
      </w:r>
      <w:r w:rsidR="005D05A4" w:rsidRPr="006571AC">
        <w:rPr>
          <w:rFonts w:ascii="Sakkal Majalla" w:hAnsi="Sakkal Majalla"/>
          <w:sz w:val="27"/>
          <w:rtl/>
        </w:rPr>
        <w:t xml:space="preserve">بهذا </w:t>
      </w:r>
      <w:r w:rsidR="005D05A4" w:rsidRPr="006571AC">
        <w:rPr>
          <w:rFonts w:ascii="Sakkal Majalla" w:hAnsi="Sakkal Majalla" w:hint="cs"/>
          <w:sz w:val="27"/>
          <w:rtl/>
        </w:rPr>
        <w:t>ت</w:t>
      </w:r>
      <w:r w:rsidR="005D05A4" w:rsidRPr="006571AC">
        <w:rPr>
          <w:rFonts w:ascii="Sakkal Majalla" w:hAnsi="Sakkal Majalla"/>
          <w:sz w:val="27"/>
          <w:rtl/>
        </w:rPr>
        <w:t>عرف عدم صح</w:t>
      </w:r>
      <w:r w:rsidRPr="006571AC">
        <w:rPr>
          <w:rFonts w:ascii="Sakkal Majalla" w:hAnsi="Sakkal Majalla" w:hint="cs"/>
          <w:sz w:val="27"/>
          <w:rtl/>
        </w:rPr>
        <w:t>ّ</w:t>
      </w:r>
      <w:r w:rsidR="005D05A4" w:rsidRPr="006571AC">
        <w:rPr>
          <w:rFonts w:ascii="Sakkal Majalla" w:hAnsi="Sakkal Majalla"/>
          <w:sz w:val="27"/>
          <w:rtl/>
        </w:rPr>
        <w:t>ة قول الآلوس</w:t>
      </w:r>
      <w:r w:rsidR="005D05A4" w:rsidRPr="006571AC">
        <w:rPr>
          <w:rFonts w:ascii="Times New Roman" w:hAnsi="Times New Roman" w:hint="cs"/>
          <w:sz w:val="27"/>
          <w:rtl/>
        </w:rPr>
        <w:t>ي</w:t>
      </w:r>
      <w:r w:rsidRPr="006571AC">
        <w:rPr>
          <w:rFonts w:ascii="Times New Roman" w:hAnsi="Times New Roman" w:hint="cs"/>
          <w:sz w:val="27"/>
          <w:rtl/>
        </w:rPr>
        <w:t>،</w:t>
      </w:r>
      <w:r w:rsidR="005D05A4" w:rsidRPr="006571AC">
        <w:rPr>
          <w:rFonts w:ascii="Sakkal Majalla" w:hAnsi="Sakkal Majalla"/>
          <w:sz w:val="27"/>
          <w:rtl/>
        </w:rPr>
        <w:t xml:space="preserve"> وتدل</w:t>
      </w:r>
      <w:r w:rsidR="005D05A4" w:rsidRPr="006571AC">
        <w:rPr>
          <w:rFonts w:ascii="Times New Roman" w:hAnsi="Times New Roman" w:hint="cs"/>
          <w:sz w:val="27"/>
          <w:rtl/>
        </w:rPr>
        <w:t>ي</w:t>
      </w:r>
      <w:r w:rsidR="005D05A4" w:rsidRPr="006571AC">
        <w:rPr>
          <w:rFonts w:ascii="Sakkal Majalla" w:hAnsi="Sakkal Majalla" w:hint="cs"/>
          <w:sz w:val="27"/>
          <w:rtl/>
        </w:rPr>
        <w:t>سه</w:t>
      </w:r>
      <w:r w:rsidR="005D05A4" w:rsidRPr="006571AC">
        <w:rPr>
          <w:rFonts w:ascii="Sakkal Majalla" w:hAnsi="Sakkal Majalla"/>
          <w:sz w:val="27"/>
          <w:rtl/>
        </w:rPr>
        <w:t xml:space="preserve"> على </w:t>
      </w:r>
      <w:r w:rsidR="005D05A4" w:rsidRPr="006571AC">
        <w:rPr>
          <w:rFonts w:ascii="Sakkal Majalla" w:hAnsi="Sakkal Majalla" w:hint="cs"/>
          <w:sz w:val="27"/>
          <w:rtl/>
        </w:rPr>
        <w:t>القارئ</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عندما</w:t>
      </w:r>
      <w:r w:rsidR="005D05A4" w:rsidRPr="006571AC">
        <w:rPr>
          <w:rFonts w:ascii="Sakkal Majalla" w:hAnsi="Sakkal Majalla"/>
          <w:sz w:val="27"/>
          <w:rtl/>
        </w:rPr>
        <w:t xml:space="preserve"> </w:t>
      </w:r>
      <w:r w:rsidR="005D05A4" w:rsidRPr="006571AC">
        <w:rPr>
          <w:rFonts w:ascii="Times New Roman" w:hAnsi="Times New Roman" w:hint="cs"/>
          <w:sz w:val="27"/>
          <w:rtl/>
        </w:rPr>
        <w:t>ي</w:t>
      </w:r>
      <w:r w:rsidR="005D05A4" w:rsidRPr="006571AC">
        <w:rPr>
          <w:rFonts w:ascii="Sakkal Majalla" w:hAnsi="Sakkal Majalla" w:hint="cs"/>
          <w:sz w:val="27"/>
          <w:rtl/>
        </w:rPr>
        <w:t>قول</w:t>
      </w:r>
      <w:r w:rsidR="005D05A4" w:rsidRPr="006571AC">
        <w:rPr>
          <w:rFonts w:ascii="Sakkal Majalla" w:hAnsi="Sakkal Majalla"/>
          <w:sz w:val="27"/>
          <w:rtl/>
        </w:rPr>
        <w:t>: قد أنكر أهل العربية قاطبة</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أ</w:t>
      </w:r>
      <w:r w:rsidR="005D05A4" w:rsidRPr="006571AC">
        <w:rPr>
          <w:rFonts w:ascii="Sakkal Majalla" w:hAnsi="Sakkal Majalla"/>
          <w:sz w:val="27"/>
          <w:rtl/>
        </w:rPr>
        <w:t>ن</w:t>
      </w:r>
      <w:r w:rsidR="005D05A4"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Times New Roman" w:hAnsi="Times New Roman" w:hint="cs"/>
          <w:sz w:val="27"/>
          <w:rtl/>
        </w:rPr>
        <w:t>ي</w:t>
      </w:r>
      <w:r w:rsidR="005D05A4" w:rsidRPr="006571AC">
        <w:rPr>
          <w:rFonts w:ascii="Sakkal Majalla" w:hAnsi="Sakkal Majalla" w:hint="cs"/>
          <w:sz w:val="27"/>
          <w:rtl/>
        </w:rPr>
        <w:t>كون</w:t>
      </w:r>
      <w:r w:rsidR="005D05A4" w:rsidRPr="006571AC">
        <w:rPr>
          <w:rFonts w:ascii="Sakkal Majalla" w:hAnsi="Sakkal Majalla"/>
          <w:sz w:val="27"/>
          <w:rtl/>
        </w:rPr>
        <w:t xml:space="preserve"> </w:t>
      </w:r>
      <w:r w:rsidR="005D05A4" w:rsidRPr="006571AC">
        <w:rPr>
          <w:rFonts w:ascii="Sakkal Majalla" w:hAnsi="Sakkal Majalla" w:hint="cs"/>
          <w:sz w:val="27"/>
          <w:rtl/>
        </w:rPr>
        <w:t>المول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بمعن</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الأ</w:t>
      </w:r>
      <w:r w:rsidRPr="006571AC">
        <w:rPr>
          <w:rFonts w:ascii="Sakkal Majalla" w:hAnsi="Sakkal Majalla" w:hint="cs"/>
          <w:sz w:val="27"/>
          <w:rtl/>
        </w:rPr>
        <w:t>َ</w:t>
      </w:r>
      <w:r w:rsidR="005D05A4" w:rsidRPr="006571AC">
        <w:rPr>
          <w:rFonts w:ascii="Sakkal Majalla" w:hAnsi="Sakkal Majalla"/>
          <w:sz w:val="27"/>
          <w:rtl/>
        </w:rPr>
        <w:t>و</w:t>
      </w:r>
      <w:r w:rsidRPr="006571AC">
        <w:rPr>
          <w:rFonts w:ascii="Sakkal Majalla" w:hAnsi="Sakkal Majalla" w:hint="cs"/>
          <w:sz w:val="27"/>
          <w:rtl/>
        </w:rPr>
        <w:t>ْ</w:t>
      </w:r>
      <w:r w:rsidR="005D05A4" w:rsidRPr="006571AC">
        <w:rPr>
          <w:rFonts w:ascii="Sakkal Majalla" w:hAnsi="Sakkal Majalla"/>
          <w:sz w:val="27"/>
          <w:rtl/>
        </w:rPr>
        <w:t>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بالتصر</w:t>
      </w:r>
      <w:r w:rsidRPr="006571AC">
        <w:rPr>
          <w:rFonts w:ascii="Sakkal Majalla" w:hAnsi="Sakkal Majalla" w:hint="cs"/>
          <w:sz w:val="27"/>
          <w:rtl/>
        </w:rPr>
        <w:t>ُّ</w:t>
      </w:r>
      <w:r w:rsidR="005D05A4" w:rsidRPr="006571AC">
        <w:rPr>
          <w:rFonts w:ascii="Sakkal Majalla" w:hAnsi="Sakkal Majalla" w:hint="cs"/>
          <w:sz w:val="27"/>
          <w:rtl/>
        </w:rPr>
        <w:t>ف</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بل</w:t>
      </w:r>
      <w:r w:rsidR="005D05A4" w:rsidRPr="006571AC">
        <w:rPr>
          <w:rFonts w:ascii="Sakkal Majalla" w:hAnsi="Sakkal Majalla"/>
          <w:sz w:val="27"/>
          <w:rtl/>
        </w:rPr>
        <w:t xml:space="preserve"> </w:t>
      </w:r>
      <w:r w:rsidR="005D05A4" w:rsidRPr="006571AC">
        <w:rPr>
          <w:rFonts w:ascii="Sakkal Majalla" w:hAnsi="Sakkal Majalla" w:hint="cs"/>
          <w:sz w:val="27"/>
          <w:rtl/>
        </w:rPr>
        <w:t>قالوا</w:t>
      </w:r>
      <w:r w:rsidR="005D05A4" w:rsidRPr="006571AC">
        <w:rPr>
          <w:rFonts w:ascii="Sakkal Majalla" w:hAnsi="Sakkal Majalla"/>
          <w:sz w:val="27"/>
          <w:rtl/>
        </w:rPr>
        <w:t>: لم يجى‏ء مفعل بمعنى أفعل أصلا</w:t>
      </w:r>
      <w:r w:rsidRPr="006571AC">
        <w:rPr>
          <w:rFonts w:ascii="Sakkal Majalla" w:hAnsi="Sakkal Majalla" w:hint="cs"/>
          <w:sz w:val="27"/>
          <w:rtl/>
        </w:rPr>
        <w:t>ً؛</w:t>
      </w:r>
      <w:r w:rsidR="005D05A4" w:rsidRPr="006571AC">
        <w:rPr>
          <w:rFonts w:ascii="Sakkal Majalla" w:hAnsi="Sakkal Majalla"/>
          <w:sz w:val="27"/>
          <w:rtl/>
        </w:rPr>
        <w:t xml:space="preserve"> فقد لاح</w:t>
      </w:r>
      <w:r w:rsidR="00B51DF0" w:rsidRPr="006571AC">
        <w:rPr>
          <w:rFonts w:ascii="Sakkal Majalla" w:hAnsi="Sakkal Majalla" w:hint="cs"/>
          <w:sz w:val="27"/>
          <w:rtl/>
        </w:rPr>
        <w:t>َ</w:t>
      </w:r>
      <w:r w:rsidR="005D05A4" w:rsidRPr="006571AC">
        <w:rPr>
          <w:rFonts w:ascii="Sakkal Majalla" w:hAnsi="Sakkal Majalla"/>
          <w:sz w:val="27"/>
          <w:rtl/>
        </w:rPr>
        <w:t>ظ</w:t>
      </w:r>
      <w:r w:rsidR="00B51DF0" w:rsidRPr="006571AC">
        <w:rPr>
          <w:rFonts w:ascii="Sakkal Majalla" w:hAnsi="Sakkal Majalla" w:hint="cs"/>
          <w:sz w:val="27"/>
          <w:rtl/>
        </w:rPr>
        <w:t>ْ</w:t>
      </w:r>
      <w:r w:rsidR="005D05A4" w:rsidRPr="006571AC">
        <w:rPr>
          <w:rFonts w:ascii="Sakkal Majalla" w:hAnsi="Sakkal Majalla"/>
          <w:sz w:val="27"/>
          <w:rtl/>
        </w:rPr>
        <w:t xml:space="preserve">نا </w:t>
      </w:r>
      <w:r w:rsidR="005D05A4" w:rsidRPr="006571AC">
        <w:rPr>
          <w:rFonts w:ascii="Sakkal Majalla" w:hAnsi="Sakkal Majalla" w:hint="cs"/>
          <w:sz w:val="27"/>
          <w:rtl/>
        </w:rPr>
        <w:t>أ</w:t>
      </w:r>
      <w:r w:rsidR="005D05A4" w:rsidRPr="006571AC">
        <w:rPr>
          <w:rFonts w:ascii="Sakkal Majalla" w:hAnsi="Sakkal Majalla"/>
          <w:sz w:val="27"/>
          <w:rtl/>
        </w:rPr>
        <w:t>ن</w:t>
      </w:r>
      <w:r w:rsidR="005D05A4" w:rsidRPr="006571AC">
        <w:rPr>
          <w:rFonts w:ascii="Sakkal Majalla" w:hAnsi="Sakkal Majalla" w:hint="cs"/>
          <w:sz w:val="27"/>
          <w:rtl/>
        </w:rPr>
        <w:t>ّ</w:t>
      </w:r>
      <w:r w:rsidR="005D05A4" w:rsidRPr="006571AC">
        <w:rPr>
          <w:rFonts w:ascii="Sakkal Majalla" w:hAnsi="Sakkal Majalla"/>
          <w:sz w:val="27"/>
          <w:rtl/>
        </w:rPr>
        <w:t xml:space="preserve"> الكث</w:t>
      </w:r>
      <w:r w:rsidR="005D05A4" w:rsidRPr="006571AC">
        <w:rPr>
          <w:rFonts w:ascii="Times New Roman" w:hAnsi="Times New Roman" w:hint="cs"/>
          <w:sz w:val="27"/>
          <w:rtl/>
        </w:rPr>
        <w:t>ي</w:t>
      </w:r>
      <w:r w:rsidR="005D05A4" w:rsidRPr="006571AC">
        <w:rPr>
          <w:rFonts w:ascii="Sakkal Majalla" w:hAnsi="Sakkal Majalla" w:hint="cs"/>
          <w:sz w:val="27"/>
          <w:rtl/>
        </w:rPr>
        <w:t>ر</w:t>
      </w:r>
      <w:r w:rsidR="005D05A4" w:rsidRPr="006571AC">
        <w:rPr>
          <w:rFonts w:ascii="Sakkal Majalla" w:hAnsi="Sakkal Majalla"/>
          <w:sz w:val="27"/>
          <w:rtl/>
        </w:rPr>
        <w:t xml:space="preserve"> </w:t>
      </w:r>
      <w:r w:rsidR="005D05A4" w:rsidRPr="006571AC">
        <w:rPr>
          <w:rFonts w:ascii="Sakkal Majalla" w:hAnsi="Sakkal Majalla" w:hint="cs"/>
          <w:sz w:val="27"/>
          <w:rtl/>
        </w:rPr>
        <w:t>من</w:t>
      </w:r>
      <w:r w:rsidR="005D05A4" w:rsidRPr="006571AC">
        <w:rPr>
          <w:rFonts w:ascii="Sakkal Majalla" w:hAnsi="Sakkal Majalla"/>
          <w:sz w:val="27"/>
          <w:rtl/>
        </w:rPr>
        <w:t xml:space="preserve"> </w:t>
      </w:r>
      <w:r w:rsidR="005D05A4" w:rsidRPr="006571AC">
        <w:rPr>
          <w:rFonts w:ascii="Sakkal Majalla" w:hAnsi="Sakkal Majalla" w:hint="cs"/>
          <w:sz w:val="27"/>
          <w:rtl/>
        </w:rPr>
        <w:t>علماء</w:t>
      </w:r>
      <w:r w:rsidR="005D05A4" w:rsidRPr="006571AC">
        <w:rPr>
          <w:rFonts w:ascii="Sakkal Majalla" w:hAnsi="Sakkal Majalla"/>
          <w:sz w:val="27"/>
          <w:rtl/>
        </w:rPr>
        <w:t xml:space="preserve"> </w:t>
      </w:r>
      <w:r w:rsidR="005D05A4" w:rsidRPr="006571AC">
        <w:rPr>
          <w:rFonts w:ascii="Sakkal Majalla" w:hAnsi="Sakkal Majalla" w:hint="cs"/>
          <w:sz w:val="27"/>
          <w:rtl/>
        </w:rPr>
        <w:t>اللغة</w:t>
      </w:r>
      <w:r w:rsidR="005D05A4" w:rsidRPr="006571AC">
        <w:rPr>
          <w:rFonts w:ascii="Sakkal Majalla" w:hAnsi="Sakkal Majalla"/>
          <w:sz w:val="27"/>
          <w:rtl/>
        </w:rPr>
        <w:t xml:space="preserve"> والتفس</w:t>
      </w:r>
      <w:r w:rsidR="005D05A4" w:rsidRPr="006571AC">
        <w:rPr>
          <w:rFonts w:ascii="Times New Roman" w:hAnsi="Times New Roman" w:hint="cs"/>
          <w:sz w:val="27"/>
          <w:rtl/>
        </w:rPr>
        <w:t>ي</w:t>
      </w:r>
      <w:r w:rsidR="005D05A4" w:rsidRPr="006571AC">
        <w:rPr>
          <w:rFonts w:ascii="Sakkal Majalla" w:hAnsi="Sakkal Majalla" w:hint="cs"/>
          <w:sz w:val="27"/>
          <w:rtl/>
        </w:rPr>
        <w:t>ر</w:t>
      </w:r>
      <w:r w:rsidR="005D05A4" w:rsidRPr="006571AC">
        <w:rPr>
          <w:rFonts w:ascii="Sakkal Majalla" w:hAnsi="Sakkal Majalla"/>
          <w:sz w:val="27"/>
          <w:rtl/>
        </w:rPr>
        <w:t xml:space="preserve"> والكلام قد صرّ</w:t>
      </w:r>
      <w:r w:rsidR="00B51DF0" w:rsidRPr="006571AC">
        <w:rPr>
          <w:rFonts w:ascii="Sakkal Majalla" w:hAnsi="Sakkal Majalla" w:hint="cs"/>
          <w:sz w:val="27"/>
          <w:rtl/>
        </w:rPr>
        <w:t>َ</w:t>
      </w:r>
      <w:r w:rsidR="005D05A4" w:rsidRPr="006571AC">
        <w:rPr>
          <w:rFonts w:ascii="Sakkal Majalla" w:hAnsi="Sakkal Majalla"/>
          <w:sz w:val="27"/>
          <w:rtl/>
        </w:rPr>
        <w:t>حوا بمج</w:t>
      </w:r>
      <w:r w:rsidR="005D05A4" w:rsidRPr="006571AC">
        <w:rPr>
          <w:rFonts w:ascii="Times New Roman" w:hAnsi="Times New Roman" w:hint="cs"/>
          <w:sz w:val="27"/>
          <w:rtl/>
        </w:rPr>
        <w:t>ي</w:t>
      </w:r>
      <w:r w:rsidR="005D05A4" w:rsidRPr="006571AC">
        <w:rPr>
          <w:rFonts w:ascii="Sakkal Majalla" w:hAnsi="Sakkal Majalla" w:hint="cs"/>
          <w:sz w:val="27"/>
          <w:rtl/>
        </w:rPr>
        <w:t>ء</w:t>
      </w:r>
      <w:r w:rsidR="005D05A4" w:rsidRPr="006571AC">
        <w:rPr>
          <w:rFonts w:ascii="Sakkal Majalla" w:hAnsi="Sakkal Majalla"/>
          <w:sz w:val="27"/>
          <w:rtl/>
        </w:rPr>
        <w:t xml:space="preserve"> </w:t>
      </w:r>
      <w:r w:rsidR="005D05A4" w:rsidRPr="006571AC">
        <w:rPr>
          <w:rFonts w:ascii="Sakkal Majalla" w:hAnsi="Sakkal Majalla" w:hint="cs"/>
          <w:sz w:val="27"/>
          <w:rtl/>
        </w:rPr>
        <w:t>المول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بمعن</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الأ</w:t>
      </w:r>
      <w:r w:rsidRPr="006571AC">
        <w:rPr>
          <w:rFonts w:ascii="Sakkal Majalla" w:hAnsi="Sakkal Majalla" w:hint="cs"/>
          <w:sz w:val="27"/>
          <w:rtl/>
        </w:rPr>
        <w:t>َ</w:t>
      </w:r>
      <w:r w:rsidR="005D05A4" w:rsidRPr="006571AC">
        <w:rPr>
          <w:rFonts w:ascii="Sakkal Majalla" w:hAnsi="Sakkal Majalla"/>
          <w:sz w:val="27"/>
          <w:rtl/>
        </w:rPr>
        <w:t>و</w:t>
      </w:r>
      <w:r w:rsidRPr="006571AC">
        <w:rPr>
          <w:rFonts w:ascii="Sakkal Majalla" w:hAnsi="Sakkal Majalla" w:hint="cs"/>
          <w:sz w:val="27"/>
          <w:rtl/>
        </w:rPr>
        <w:t>ْ</w:t>
      </w:r>
      <w:r w:rsidR="005D05A4" w:rsidRPr="006571AC">
        <w:rPr>
          <w:rFonts w:ascii="Sakkal Majalla" w:hAnsi="Sakkal Majalla"/>
          <w:sz w:val="27"/>
          <w:rtl/>
        </w:rPr>
        <w:t>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بالتصر</w:t>
      </w:r>
      <w:r w:rsidRPr="006571AC">
        <w:rPr>
          <w:rFonts w:ascii="Sakkal Majalla" w:hAnsi="Sakkal Majalla" w:hint="cs"/>
          <w:sz w:val="27"/>
          <w:rtl/>
        </w:rPr>
        <w:t>ُّ</w:t>
      </w:r>
      <w:r w:rsidR="005D05A4" w:rsidRPr="006571AC">
        <w:rPr>
          <w:rFonts w:ascii="Sakkal Majalla" w:hAnsi="Sakkal Majalla" w:hint="cs"/>
          <w:sz w:val="27"/>
          <w:rtl/>
        </w:rPr>
        <w:t>ف</w:t>
      </w:r>
      <w:r w:rsidR="005D05A4" w:rsidRPr="006571AC">
        <w:rPr>
          <w:rFonts w:ascii="Sakkal Majalla" w:hAnsi="Sakkal Majalla"/>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b/>
          <w:bCs/>
          <w:sz w:val="27"/>
          <w:rtl/>
        </w:rPr>
        <w:t>جواب</w:t>
      </w:r>
      <w:r w:rsidRPr="006571AC">
        <w:rPr>
          <w:rFonts w:ascii="Sakkal Majalla" w:hAnsi="Sakkal Majalla" w:hint="cs"/>
          <w:b/>
          <w:bCs/>
          <w:sz w:val="27"/>
          <w:rtl/>
        </w:rPr>
        <w:t xml:space="preserve"> ال</w:t>
      </w:r>
      <w:r w:rsidR="007B4669" w:rsidRPr="006571AC">
        <w:rPr>
          <w:rFonts w:ascii="Sakkal Majalla" w:hAnsi="Sakkal Majalla" w:hint="cs"/>
          <w:b/>
          <w:bCs/>
          <w:sz w:val="27"/>
          <w:rtl/>
        </w:rPr>
        <w:t>إ</w:t>
      </w:r>
      <w:r w:rsidRPr="006571AC">
        <w:rPr>
          <w:rFonts w:ascii="Sakkal Majalla" w:hAnsi="Sakkal Majalla" w:hint="cs"/>
          <w:b/>
          <w:bCs/>
          <w:sz w:val="27"/>
          <w:rtl/>
        </w:rPr>
        <w:t>شكال</w:t>
      </w:r>
      <w:r w:rsidRPr="006571AC">
        <w:rPr>
          <w:rFonts w:ascii="Sakkal Majalla" w:hAnsi="Sakkal Majalla"/>
          <w:b/>
          <w:bCs/>
          <w:sz w:val="27"/>
          <w:rtl/>
        </w:rPr>
        <w:t xml:space="preserve"> الثالث</w:t>
      </w:r>
      <w:r w:rsidRPr="006571AC">
        <w:rPr>
          <w:rFonts w:ascii="Sakkal Majalla" w:hAnsi="Sakkal Majalla"/>
          <w:sz w:val="27"/>
          <w:rtl/>
        </w:rPr>
        <w:t xml:space="preserve">: لقد </w:t>
      </w:r>
      <w:r w:rsidR="007B4669" w:rsidRPr="006571AC">
        <w:rPr>
          <w:rFonts w:ascii="Sakkal Majalla" w:hAnsi="Sakkal Majalla" w:hint="cs"/>
          <w:sz w:val="27"/>
          <w:rtl/>
        </w:rPr>
        <w:t>ا</w:t>
      </w:r>
      <w:r w:rsidRPr="006571AC">
        <w:rPr>
          <w:rFonts w:ascii="Sakkal Majalla" w:hAnsi="Sakkal Majalla"/>
          <w:sz w:val="27"/>
          <w:rtl/>
        </w:rPr>
        <w:t>د</w:t>
      </w:r>
      <w:r w:rsidR="007B4669" w:rsidRPr="006571AC">
        <w:rPr>
          <w:rFonts w:ascii="Sakkal Majalla" w:hAnsi="Sakkal Majalla" w:hint="cs"/>
          <w:sz w:val="27"/>
          <w:rtl/>
        </w:rPr>
        <w:t>ّ</w:t>
      </w:r>
      <w:r w:rsidRPr="006571AC">
        <w:rPr>
          <w:rFonts w:ascii="Sakkal Majalla" w:hAnsi="Sakkal Majalla"/>
          <w:sz w:val="27"/>
          <w:rtl/>
        </w:rPr>
        <w:t>ع</w:t>
      </w:r>
      <w:r w:rsidR="007B466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الآلوس</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نّ ما </w:t>
      </w:r>
      <w:r w:rsidRPr="006571AC">
        <w:rPr>
          <w:rFonts w:ascii="Sakkal Majalla" w:hAnsi="Sakkal Majalla" w:hint="cs"/>
          <w:sz w:val="27"/>
          <w:rtl/>
        </w:rPr>
        <w:t>أ</w:t>
      </w:r>
      <w:r w:rsidRPr="006571AC">
        <w:rPr>
          <w:rFonts w:ascii="Sakkal Majalla" w:hAnsi="Sakkal Majalla"/>
          <w:sz w:val="27"/>
          <w:rtl/>
        </w:rPr>
        <w:t>راده النب</w:t>
      </w:r>
      <w:r w:rsidRPr="006571AC">
        <w:rPr>
          <w:rFonts w:ascii="Sakkal Majalla" w:hAnsi="Sakkal Majalla" w:hint="cs"/>
          <w:sz w:val="27"/>
          <w:rtl/>
        </w:rPr>
        <w:t>ي</w:t>
      </w:r>
      <w:r w:rsidR="007B4669" w:rsidRPr="006571AC">
        <w:rPr>
          <w:rFonts w:ascii="Sakkal Majalla" w:hAnsi="Sakkal Majalla" w:hint="cs"/>
          <w:sz w:val="27"/>
          <w:rtl/>
        </w:rPr>
        <w:t>ّ</w:t>
      </w:r>
      <w:r w:rsidRPr="006571AC">
        <w:rPr>
          <w:rFonts w:ascii="Sakkal Majalla" w:hAnsi="Sakkal Majalla"/>
          <w:sz w:val="27"/>
          <w:rtl/>
        </w:rPr>
        <w:t xml:space="preserve"> ال</w:t>
      </w:r>
      <w:r w:rsidRPr="006571AC">
        <w:rPr>
          <w:rFonts w:ascii="Sakkal Majalla" w:hAnsi="Sakkal Majalla" w:hint="cs"/>
          <w:sz w:val="27"/>
          <w:rtl/>
        </w:rPr>
        <w:t>أ</w:t>
      </w:r>
      <w:r w:rsidRPr="006571AC">
        <w:rPr>
          <w:rFonts w:ascii="Sakkal Majalla" w:hAnsi="Sakkal Majalla"/>
          <w:sz w:val="27"/>
          <w:rtl/>
        </w:rPr>
        <w:t>كرم</w:t>
      </w:r>
      <w:r w:rsidR="002A2C90" w:rsidRPr="006571AC">
        <w:rPr>
          <w:rFonts w:ascii="Mosawi" w:hAnsi="Mosawi" w:cs="Mosawi"/>
          <w:sz w:val="22"/>
          <w:szCs w:val="22"/>
          <w:rtl/>
        </w:rPr>
        <w:t>|</w:t>
      </w:r>
      <w:r w:rsidRPr="006571AC">
        <w:rPr>
          <w:rFonts w:ascii="Sakkal Majalla" w:hAnsi="Sakkal Majalla" w:hint="cs"/>
          <w:sz w:val="27"/>
          <w:rtl/>
        </w:rPr>
        <w:t xml:space="preserve"> </w:t>
      </w:r>
      <w:r w:rsidRPr="006571AC">
        <w:rPr>
          <w:rFonts w:ascii="Sakkal Majalla" w:hAnsi="Sakkal Majalla"/>
          <w:sz w:val="27"/>
          <w:rtl/>
        </w:rPr>
        <w:t>من قوله</w:t>
      </w:r>
      <w:r w:rsidR="007B466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4"/>
          <w:szCs w:val="24"/>
          <w:rtl/>
        </w:rPr>
        <w:t>«</w:t>
      </w:r>
      <w:r w:rsidRPr="006571AC">
        <w:rPr>
          <w:rFonts w:ascii="Sakkal Majalla" w:hAnsi="Sakkal Majalla"/>
          <w:sz w:val="27"/>
          <w:rtl/>
        </w:rPr>
        <w:t>م</w:t>
      </w:r>
      <w:r w:rsidR="007B4669" w:rsidRPr="006571AC">
        <w:rPr>
          <w:rFonts w:ascii="Sakkal Majalla" w:hAnsi="Sakkal Majalla" w:hint="cs"/>
          <w:sz w:val="27"/>
          <w:rtl/>
        </w:rPr>
        <w:t>َ</w:t>
      </w:r>
      <w:r w:rsidRPr="006571AC">
        <w:rPr>
          <w:rFonts w:ascii="Sakkal Majalla" w:hAnsi="Sakkal Majalla"/>
          <w:sz w:val="27"/>
          <w:rtl/>
        </w:rPr>
        <w:t>ن</w:t>
      </w:r>
      <w:r w:rsidR="007B4669" w:rsidRPr="006571AC">
        <w:rPr>
          <w:rFonts w:ascii="Sakkal Majalla" w:hAnsi="Sakkal Majalla" w:hint="cs"/>
          <w:sz w:val="27"/>
          <w:rtl/>
        </w:rPr>
        <w:t>ْ</w:t>
      </w:r>
      <w:r w:rsidRPr="006571AC">
        <w:rPr>
          <w:rFonts w:ascii="Sakkal Majalla" w:hAnsi="Sakkal Majalla"/>
          <w:sz w:val="27"/>
          <w:rtl/>
        </w:rPr>
        <w:t xml:space="preserve"> كنت مولاه فهذا عل</w:t>
      </w:r>
      <w:r w:rsidR="007B4669" w:rsidRPr="006571AC">
        <w:rPr>
          <w:rFonts w:ascii="Sakkal Majalla" w:hAnsi="Sakkal Majalla" w:hint="cs"/>
          <w:sz w:val="27"/>
          <w:rtl/>
        </w:rPr>
        <w:t>يٌّ</w:t>
      </w:r>
      <w:r w:rsidRPr="006571AC">
        <w:rPr>
          <w:rFonts w:ascii="Sakkal Majalla" w:hAnsi="Sakkal Majalla"/>
          <w:sz w:val="27"/>
          <w:rtl/>
        </w:rPr>
        <w:t xml:space="preserve"> </w:t>
      </w:r>
      <w:r w:rsidRPr="006571AC">
        <w:rPr>
          <w:rFonts w:ascii="Sakkal Majalla" w:hAnsi="Sakkal Majalla" w:hint="cs"/>
          <w:sz w:val="27"/>
          <w:rtl/>
        </w:rPr>
        <w:t>مولاه</w:t>
      </w:r>
      <w:r w:rsidRPr="006571AC">
        <w:rPr>
          <w:rFonts w:ascii="Sakkal Majalla" w:hAnsi="Sakkal Majalla" w:hint="cs"/>
          <w:sz w:val="24"/>
          <w:szCs w:val="24"/>
          <w:rtl/>
        </w:rPr>
        <w:t>»</w:t>
      </w:r>
      <w:r w:rsidRPr="006571AC">
        <w:rPr>
          <w:rFonts w:ascii="Sakkal Majalla" w:hAnsi="Sakkal Majalla" w:hint="cs"/>
          <w:sz w:val="27"/>
          <w:rtl/>
        </w:rPr>
        <w:t xml:space="preserve"> هو </w:t>
      </w:r>
      <w:r w:rsidRPr="006571AC">
        <w:rPr>
          <w:rFonts w:ascii="Sakkal Majalla" w:hAnsi="Sakkal Majalla"/>
          <w:sz w:val="27"/>
          <w:rtl/>
        </w:rPr>
        <w:t xml:space="preserve">المحبة ـ بعد </w:t>
      </w:r>
      <w:r w:rsidRPr="006571AC">
        <w:rPr>
          <w:rFonts w:ascii="Sakkal Majalla" w:hAnsi="Sakkal Majalla" w:hint="cs"/>
          <w:sz w:val="27"/>
          <w:rtl/>
        </w:rPr>
        <w:t>أ</w:t>
      </w:r>
      <w:r w:rsidRPr="006571AC">
        <w:rPr>
          <w:rFonts w:ascii="Sakkal Majalla" w:hAnsi="Sakkal Majalla"/>
          <w:sz w:val="27"/>
          <w:rtl/>
        </w:rPr>
        <w:t xml:space="preserve">ن </w:t>
      </w:r>
      <w:r w:rsidRPr="006571AC">
        <w:rPr>
          <w:rFonts w:ascii="Sakkal Majalla" w:hAnsi="Sakkal Majalla" w:hint="cs"/>
          <w:sz w:val="27"/>
          <w:rtl/>
        </w:rPr>
        <w:t>أ</w:t>
      </w:r>
      <w:r w:rsidRPr="006571AC">
        <w:rPr>
          <w:rFonts w:ascii="Sakkal Majalla" w:hAnsi="Sakkal Majalla"/>
          <w:sz w:val="27"/>
          <w:rtl/>
        </w:rPr>
        <w:t>بطل بزعمه الخاط</w:t>
      </w:r>
      <w:r w:rsidRPr="006571AC">
        <w:rPr>
          <w:rFonts w:ascii="Sakkal Majalla" w:hAnsi="Sakkal Majalla" w:hint="cs"/>
          <w:sz w:val="27"/>
          <w:rtl/>
        </w:rPr>
        <w:t>ئ 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كون</w:t>
      </w:r>
      <w:r w:rsidRPr="006571AC">
        <w:rPr>
          <w:rFonts w:ascii="Sakkal Majalla" w:hAnsi="Sakkal Majalla"/>
          <w:sz w:val="27"/>
          <w:rtl/>
        </w:rPr>
        <w:t xml:space="preserve"> </w:t>
      </w:r>
      <w:r w:rsidRPr="006571AC">
        <w:rPr>
          <w:rFonts w:ascii="Sakkal Majalla" w:hAnsi="Sakkal Majalla" w:hint="cs"/>
          <w:sz w:val="27"/>
          <w:rtl/>
        </w:rPr>
        <w:t>معن</w:t>
      </w:r>
      <w:r w:rsidR="006B1F41" w:rsidRPr="006571AC">
        <w:rPr>
          <w:rFonts w:ascii="Times New Roman" w:hAnsi="Times New Roman" w:hint="cs"/>
          <w:sz w:val="27"/>
          <w:rtl/>
        </w:rPr>
        <w:t>ى</w:t>
      </w:r>
      <w:r w:rsidRPr="006571AC">
        <w:rPr>
          <w:rFonts w:ascii="Sakkal Majalla" w:hAnsi="Sakkal Majalla"/>
          <w:sz w:val="27"/>
          <w:rtl/>
        </w:rPr>
        <w:t xml:space="preserve"> المول</w:t>
      </w:r>
      <w:r w:rsidR="006B1F4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 xml:space="preserve">هو </w:t>
      </w:r>
      <w:r w:rsidRPr="006571AC">
        <w:rPr>
          <w:rFonts w:ascii="Sakkal Majalla" w:hAnsi="Sakkal Majalla"/>
          <w:sz w:val="27"/>
          <w:rtl/>
        </w:rPr>
        <w:t>ال</w:t>
      </w:r>
      <w:r w:rsidRPr="006571AC">
        <w:rPr>
          <w:rFonts w:ascii="Sakkal Majalla" w:hAnsi="Sakkal Majalla" w:hint="cs"/>
          <w:sz w:val="27"/>
          <w:rtl/>
        </w:rPr>
        <w:t>أ</w:t>
      </w:r>
      <w:r w:rsidR="006B1F41" w:rsidRPr="006571AC">
        <w:rPr>
          <w:rFonts w:ascii="Sakkal Majalla" w:hAnsi="Sakkal Majalla" w:hint="cs"/>
          <w:sz w:val="27"/>
          <w:rtl/>
        </w:rPr>
        <w:t>َ</w:t>
      </w:r>
      <w:r w:rsidRPr="006571AC">
        <w:rPr>
          <w:rFonts w:ascii="Sakkal Majalla" w:hAnsi="Sakkal Majalla"/>
          <w:sz w:val="27"/>
          <w:rtl/>
        </w:rPr>
        <w:t>و</w:t>
      </w:r>
      <w:r w:rsidR="006B1F41" w:rsidRPr="006571AC">
        <w:rPr>
          <w:rFonts w:ascii="Sakkal Majalla" w:hAnsi="Sakkal Majalla" w:hint="cs"/>
          <w:sz w:val="27"/>
          <w:rtl/>
        </w:rPr>
        <w:t>ْ</w:t>
      </w:r>
      <w:r w:rsidRPr="006571AC">
        <w:rPr>
          <w:rFonts w:ascii="Sakkal Majalla" w:hAnsi="Sakkal Majalla"/>
          <w:sz w:val="27"/>
          <w:rtl/>
        </w:rPr>
        <w:t>ل</w:t>
      </w:r>
      <w:r w:rsidR="006B1F41" w:rsidRPr="006571AC">
        <w:rPr>
          <w:rFonts w:ascii="Times New Roman" w:hAnsi="Times New Roman" w:hint="cs"/>
          <w:sz w:val="27"/>
          <w:rtl/>
        </w:rPr>
        <w:t>ى</w:t>
      </w:r>
      <w:r w:rsidRPr="006571AC">
        <w:rPr>
          <w:rFonts w:ascii="Sakkal Majalla" w:hAnsi="Sakkal Majalla" w:hint="cs"/>
          <w:sz w:val="27"/>
          <w:rtl/>
        </w:rPr>
        <w:t xml:space="preserve"> </w:t>
      </w:r>
      <w:r w:rsidRPr="006571AC">
        <w:rPr>
          <w:rFonts w:ascii="Sakkal Majalla" w:hAnsi="Sakkal Majalla"/>
          <w:sz w:val="27"/>
          <w:rtl/>
        </w:rPr>
        <w:t>بالتصر</w:t>
      </w:r>
      <w:r w:rsidR="006B1F41" w:rsidRPr="006571AC">
        <w:rPr>
          <w:rFonts w:ascii="Sakkal Majalla" w:hAnsi="Sakkal Majalla" w:hint="cs"/>
          <w:sz w:val="27"/>
          <w:rtl/>
        </w:rPr>
        <w:t>ُّ</w:t>
      </w:r>
      <w:r w:rsidRPr="006571AC">
        <w:rPr>
          <w:rFonts w:ascii="Sakkal Majalla" w:hAnsi="Sakkal Majalla"/>
          <w:sz w:val="27"/>
          <w:rtl/>
        </w:rPr>
        <w:t>ف ـ</w:t>
      </w:r>
      <w:r w:rsidR="006B1F41" w:rsidRPr="006571AC">
        <w:rPr>
          <w:rFonts w:ascii="Sakkal Majalla" w:hAnsi="Sakkal Majalla" w:hint="cs"/>
          <w:sz w:val="27"/>
          <w:rtl/>
        </w:rPr>
        <w:t>،</w:t>
      </w:r>
      <w:r w:rsidRPr="006571AC">
        <w:rPr>
          <w:rFonts w:ascii="Sakkal Majalla" w:hAnsi="Sakkal Majalla"/>
          <w:sz w:val="27"/>
          <w:rtl/>
        </w:rPr>
        <w:t xml:space="preserve"> وقال</w:t>
      </w:r>
      <w:r w:rsidR="006B1F4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 معن</w:t>
      </w:r>
      <w:r w:rsidR="006B1F4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قوله</w:t>
      </w:r>
      <w:r w:rsidR="006B1F41"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hint="cs"/>
          <w:sz w:val="24"/>
          <w:szCs w:val="24"/>
          <w:rtl/>
        </w:rPr>
        <w:t>«</w:t>
      </w:r>
      <w:r w:rsidR="006B1F41" w:rsidRPr="006571AC">
        <w:rPr>
          <w:rFonts w:ascii="Sakkal Majalla" w:hAnsi="Sakkal Majalla" w:hint="cs"/>
          <w:sz w:val="27"/>
          <w:rtl/>
        </w:rPr>
        <w:t>أ</w:t>
      </w:r>
      <w:r w:rsidRPr="006571AC">
        <w:rPr>
          <w:rFonts w:ascii="Sakkal Majalla" w:hAnsi="Sakkal Majalla"/>
          <w:sz w:val="27"/>
          <w:rtl/>
        </w:rPr>
        <w:t>لست</w:t>
      </w:r>
      <w:r w:rsidR="006B1F4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أ</w:t>
      </w:r>
      <w:r w:rsidR="006B1F41" w:rsidRPr="006571AC">
        <w:rPr>
          <w:rFonts w:ascii="Sakkal Majalla" w:hAnsi="Sakkal Majalla" w:hint="cs"/>
          <w:sz w:val="27"/>
          <w:rtl/>
        </w:rPr>
        <w:t>َ</w:t>
      </w:r>
      <w:r w:rsidRPr="006571AC">
        <w:rPr>
          <w:rFonts w:ascii="Sakkal Majalla" w:hAnsi="Sakkal Majalla"/>
          <w:sz w:val="27"/>
          <w:rtl/>
        </w:rPr>
        <w:t>و</w:t>
      </w:r>
      <w:r w:rsidR="006B1F41" w:rsidRPr="006571AC">
        <w:rPr>
          <w:rFonts w:ascii="Sakkal Majalla" w:hAnsi="Sakkal Majalla" w:hint="cs"/>
          <w:sz w:val="27"/>
          <w:rtl/>
        </w:rPr>
        <w:t>ْ</w:t>
      </w:r>
      <w:r w:rsidRPr="006571AC">
        <w:rPr>
          <w:rFonts w:ascii="Sakkal Majalla" w:hAnsi="Sakkal Majalla"/>
          <w:sz w:val="27"/>
          <w:rtl/>
        </w:rPr>
        <w:t>ل</w:t>
      </w:r>
      <w:r w:rsidR="006B1F4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بكم</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نفسكم</w:t>
      </w:r>
      <w:r w:rsidRPr="006571AC">
        <w:rPr>
          <w:rFonts w:ascii="Sakkal Majalla" w:hAnsi="Sakkal Majalla" w:hint="cs"/>
          <w:sz w:val="24"/>
          <w:szCs w:val="24"/>
          <w:rtl/>
        </w:rPr>
        <w:t>»</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عن</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4"/>
          <w:szCs w:val="24"/>
          <w:rtl/>
        </w:rPr>
        <w:t>«</w:t>
      </w:r>
      <w:r w:rsidRPr="006571AC">
        <w:rPr>
          <w:rFonts w:ascii="Sakkal Majalla" w:hAnsi="Sakkal Majalla" w:hint="cs"/>
          <w:sz w:val="27"/>
          <w:rtl/>
        </w:rPr>
        <w:t>أ</w:t>
      </w:r>
      <w:r w:rsidRPr="006571AC">
        <w:rPr>
          <w:rFonts w:ascii="Sakkal Majalla" w:hAnsi="Sakkal Majalla"/>
          <w:sz w:val="27"/>
          <w:rtl/>
        </w:rPr>
        <w:t>لست</w:t>
      </w:r>
      <w:r w:rsidR="006B1F4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حبّ لكم من </w:t>
      </w:r>
      <w:r w:rsidRPr="006571AC">
        <w:rPr>
          <w:rFonts w:ascii="Sakkal Majalla" w:hAnsi="Sakkal Majalla" w:hint="cs"/>
          <w:sz w:val="27"/>
          <w:rtl/>
        </w:rPr>
        <w:t>أ</w:t>
      </w:r>
      <w:r w:rsidRPr="006571AC">
        <w:rPr>
          <w:rFonts w:ascii="Sakkal Majalla" w:hAnsi="Sakkal Majalla"/>
          <w:sz w:val="27"/>
          <w:rtl/>
        </w:rPr>
        <w:t>نفسكم</w:t>
      </w:r>
      <w:r w:rsidRPr="006571AC">
        <w:rPr>
          <w:rFonts w:ascii="Sakkal Majalla" w:hAnsi="Sakkal Majalla" w:hint="cs"/>
          <w:sz w:val="24"/>
          <w:szCs w:val="24"/>
          <w:rtl/>
        </w:rPr>
        <w:t>»</w:t>
      </w:r>
      <w:r w:rsidR="006B1F41" w:rsidRPr="006571AC">
        <w:rPr>
          <w:rFonts w:ascii="Sakkal Majalla" w:hAnsi="Sakkal Majalla" w:hint="cs"/>
          <w:sz w:val="27"/>
          <w:rtl/>
        </w:rPr>
        <w:t>.</w:t>
      </w:r>
    </w:p>
    <w:p w:rsidR="005D05A4" w:rsidRPr="006571AC" w:rsidRDefault="006B1F41" w:rsidP="00B41BA0">
      <w:pPr>
        <w:rPr>
          <w:rFonts w:ascii="Sakkal Majalla" w:hAnsi="Sakkal Majalla"/>
          <w:b/>
          <w:bCs/>
          <w:sz w:val="27"/>
          <w:rtl/>
        </w:rPr>
      </w:pPr>
      <w:r w:rsidRPr="006571AC">
        <w:rPr>
          <w:rFonts w:ascii="Sakkal Majalla" w:hAnsi="Sakkal Majalla"/>
          <w:b/>
          <w:bCs/>
          <w:sz w:val="27"/>
          <w:rtl/>
        </w:rPr>
        <w:t>و</w:t>
      </w:r>
      <w:r w:rsidR="005D05A4" w:rsidRPr="006571AC">
        <w:rPr>
          <w:rFonts w:ascii="Sakkal Majalla" w:hAnsi="Sakkal Majalla"/>
          <w:b/>
          <w:bCs/>
          <w:sz w:val="27"/>
          <w:rtl/>
        </w:rPr>
        <w:t>لكن</w:t>
      </w:r>
      <w:r w:rsidRPr="006571AC">
        <w:rPr>
          <w:rFonts w:ascii="Sakkal Majalla" w:hAnsi="Sakkal Majalla" w:hint="cs"/>
          <w:b/>
          <w:bCs/>
          <w:sz w:val="27"/>
          <w:rtl/>
        </w:rPr>
        <w:t>ْ</w:t>
      </w:r>
      <w:r w:rsidR="005D05A4" w:rsidRPr="006571AC">
        <w:rPr>
          <w:rFonts w:ascii="Sakkal Majalla" w:hAnsi="Sakkal Majalla"/>
          <w:b/>
          <w:bCs/>
          <w:sz w:val="27"/>
          <w:rtl/>
        </w:rPr>
        <w:t xml:space="preserve"> </w:t>
      </w:r>
      <w:r w:rsidR="005D05A4" w:rsidRPr="006571AC">
        <w:rPr>
          <w:rFonts w:ascii="Times New Roman" w:hAnsi="Times New Roman" w:hint="cs"/>
          <w:b/>
          <w:bCs/>
          <w:sz w:val="27"/>
          <w:rtl/>
        </w:rPr>
        <w:t>ي</w:t>
      </w:r>
      <w:r w:rsidR="00B51DF0" w:rsidRPr="006571AC">
        <w:rPr>
          <w:rFonts w:ascii="Times New Roman" w:hAnsi="Times New Roman" w:hint="cs"/>
          <w:b/>
          <w:bCs/>
          <w:sz w:val="27"/>
          <w:rtl/>
        </w:rPr>
        <w:t>ُ</w:t>
      </w:r>
      <w:r w:rsidR="005D05A4" w:rsidRPr="006571AC">
        <w:rPr>
          <w:rFonts w:ascii="Sakkal Majalla" w:hAnsi="Sakkal Majalla" w:hint="cs"/>
          <w:b/>
          <w:bCs/>
          <w:sz w:val="27"/>
          <w:rtl/>
        </w:rPr>
        <w:t>لاح</w:t>
      </w:r>
      <w:r w:rsidR="00B51DF0" w:rsidRPr="006571AC">
        <w:rPr>
          <w:rFonts w:ascii="Sakkal Majalla" w:hAnsi="Sakkal Majalla" w:hint="cs"/>
          <w:b/>
          <w:bCs/>
          <w:sz w:val="27"/>
          <w:rtl/>
        </w:rPr>
        <w:t>َ</w:t>
      </w:r>
      <w:r w:rsidR="005D05A4" w:rsidRPr="006571AC">
        <w:rPr>
          <w:rFonts w:ascii="Sakkal Majalla" w:hAnsi="Sakkal Majalla" w:hint="cs"/>
          <w:b/>
          <w:bCs/>
          <w:sz w:val="27"/>
          <w:rtl/>
        </w:rPr>
        <w:t>ظ</w:t>
      </w:r>
      <w:r w:rsidR="005D05A4" w:rsidRPr="006571AC">
        <w:rPr>
          <w:rFonts w:ascii="Sakkal Majalla" w:hAnsi="Sakkal Majalla"/>
          <w:b/>
          <w:bCs/>
          <w:sz w:val="27"/>
          <w:rtl/>
        </w:rPr>
        <w:t xml:space="preserve"> </w:t>
      </w:r>
      <w:r w:rsidR="005D05A4" w:rsidRPr="006571AC">
        <w:rPr>
          <w:rFonts w:ascii="Sakkal Majalla" w:hAnsi="Sakkal Majalla" w:hint="cs"/>
          <w:b/>
          <w:bCs/>
          <w:sz w:val="27"/>
          <w:rtl/>
        </w:rPr>
        <w:t>عل</w:t>
      </w:r>
      <w:r w:rsidR="005D05A4" w:rsidRPr="006571AC">
        <w:rPr>
          <w:rFonts w:ascii="Times New Roman" w:hAnsi="Times New Roman" w:hint="cs"/>
          <w:b/>
          <w:bCs/>
          <w:sz w:val="27"/>
          <w:rtl/>
        </w:rPr>
        <w:t>ي</w:t>
      </w:r>
      <w:r w:rsidR="005D05A4" w:rsidRPr="006571AC">
        <w:rPr>
          <w:rFonts w:ascii="Sakkal Majalla" w:hAnsi="Sakkal Majalla" w:hint="cs"/>
          <w:b/>
          <w:bCs/>
          <w:sz w:val="27"/>
          <w:rtl/>
        </w:rPr>
        <w:t>ه</w:t>
      </w:r>
      <w:r w:rsidR="005D05A4" w:rsidRPr="006571AC">
        <w:rPr>
          <w:rFonts w:ascii="Sakkal Majalla" w:hAnsi="Sakkal Majalla"/>
          <w:b/>
          <w:bCs/>
          <w:sz w:val="27"/>
          <w:rtl/>
        </w:rPr>
        <w:t xml:space="preserve">: </w:t>
      </w:r>
    </w:p>
    <w:p w:rsidR="005D05A4" w:rsidRPr="006571AC" w:rsidRDefault="006B1F41" w:rsidP="00B41BA0">
      <w:pPr>
        <w:rPr>
          <w:rFonts w:ascii="Sakkal Majalla" w:hAnsi="Sakkal Majalla"/>
          <w:sz w:val="27"/>
          <w:rtl/>
        </w:rPr>
      </w:pPr>
      <w:r w:rsidRPr="006571AC">
        <w:rPr>
          <w:rFonts w:ascii="Sakkal Majalla" w:hAnsi="Sakkal Majalla" w:hint="cs"/>
          <w:b/>
          <w:bCs/>
          <w:sz w:val="27"/>
          <w:rtl/>
        </w:rPr>
        <w:t>أ</w:t>
      </w:r>
      <w:r w:rsidR="005D05A4" w:rsidRPr="006571AC">
        <w:rPr>
          <w:rFonts w:ascii="Sakkal Majalla" w:hAnsi="Sakkal Majalla"/>
          <w:b/>
          <w:bCs/>
          <w:sz w:val="27"/>
          <w:rtl/>
        </w:rPr>
        <w:t>و</w:t>
      </w:r>
      <w:r w:rsidRPr="006571AC">
        <w:rPr>
          <w:rFonts w:ascii="Sakkal Majalla" w:hAnsi="Sakkal Majalla" w:hint="cs"/>
          <w:b/>
          <w:bCs/>
          <w:sz w:val="27"/>
          <w:rtl/>
        </w:rPr>
        <w:t>ّ</w:t>
      </w:r>
      <w:r w:rsidR="005D05A4" w:rsidRPr="006571AC">
        <w:rPr>
          <w:rFonts w:ascii="Sakkal Majalla" w:hAnsi="Sakkal Majalla"/>
          <w:b/>
          <w:bCs/>
          <w:sz w:val="27"/>
          <w:rtl/>
        </w:rPr>
        <w:t xml:space="preserve">لاً: </w:t>
      </w:r>
      <w:r w:rsidR="005D05A4" w:rsidRPr="006571AC">
        <w:rPr>
          <w:rFonts w:ascii="Sakkal Majalla" w:hAnsi="Sakkal Majalla"/>
          <w:sz w:val="27"/>
          <w:rtl/>
        </w:rPr>
        <w:t>قد جاء ف</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بعض</w:t>
      </w:r>
      <w:r w:rsidR="005D05A4" w:rsidRPr="006571AC">
        <w:rPr>
          <w:rFonts w:ascii="Sakkal Majalla" w:hAnsi="Sakkal Majalla"/>
          <w:sz w:val="27"/>
          <w:rtl/>
        </w:rPr>
        <w:t xml:space="preserve"> </w:t>
      </w:r>
      <w:r w:rsidR="005D05A4" w:rsidRPr="006571AC">
        <w:rPr>
          <w:rFonts w:ascii="Sakkal Majalla" w:hAnsi="Sakkal Majalla" w:hint="cs"/>
          <w:sz w:val="27"/>
          <w:rtl/>
        </w:rPr>
        <w:t>الروا</w:t>
      </w:r>
      <w:r w:rsidR="005D05A4" w:rsidRPr="006571AC">
        <w:rPr>
          <w:rFonts w:ascii="Times New Roman" w:hAnsi="Times New Roman" w:hint="cs"/>
          <w:sz w:val="27"/>
          <w:rtl/>
        </w:rPr>
        <w:t>ي</w:t>
      </w:r>
      <w:r w:rsidR="005D05A4" w:rsidRPr="006571AC">
        <w:rPr>
          <w:rFonts w:ascii="Sakkal Majalla" w:hAnsi="Sakkal Majalla" w:hint="cs"/>
          <w:sz w:val="27"/>
          <w:rtl/>
        </w:rPr>
        <w:t>ات</w:t>
      </w:r>
      <w:r w:rsidR="005D05A4" w:rsidRPr="006571AC">
        <w:rPr>
          <w:rFonts w:ascii="Sakkal Majalla" w:hAnsi="Sakkal Majalla"/>
          <w:sz w:val="27"/>
          <w:rtl/>
        </w:rPr>
        <w:t xml:space="preserve"> </w:t>
      </w:r>
      <w:r w:rsidRPr="006571AC">
        <w:rPr>
          <w:rFonts w:ascii="Sakkal Majalla" w:hAnsi="Sakkal Majalla" w:hint="cs"/>
          <w:sz w:val="27"/>
          <w:rtl/>
        </w:rPr>
        <w:t>أ</w:t>
      </w:r>
      <w:r w:rsidR="005D05A4" w:rsidRPr="006571AC">
        <w:rPr>
          <w:rFonts w:ascii="Sakkal Majalla" w:hAnsi="Sakkal Majalla" w:hint="cs"/>
          <w:sz w:val="27"/>
          <w:rtl/>
        </w:rPr>
        <w:t>نّ</w:t>
      </w:r>
      <w:r w:rsidR="005D05A4" w:rsidRPr="006571AC">
        <w:rPr>
          <w:rFonts w:ascii="Sakkal Majalla" w:hAnsi="Sakkal Majalla"/>
          <w:sz w:val="27"/>
          <w:rtl/>
        </w:rPr>
        <w:t xml:space="preserve"> </w:t>
      </w:r>
      <w:r w:rsidR="005D05A4" w:rsidRPr="006571AC">
        <w:rPr>
          <w:rFonts w:ascii="Sakkal Majalla" w:hAnsi="Sakkal Majalla" w:hint="cs"/>
          <w:sz w:val="27"/>
          <w:rtl/>
        </w:rPr>
        <w:t>النب</w:t>
      </w:r>
      <w:r w:rsidR="005D05A4" w:rsidRPr="006571AC">
        <w:rPr>
          <w:rFonts w:ascii="Times New Roman" w:hAnsi="Times New Roman" w:hint="cs"/>
          <w:sz w:val="27"/>
          <w:rtl/>
        </w:rPr>
        <w:t>ي</w:t>
      </w:r>
      <w:r w:rsidR="002A2C90" w:rsidRPr="006571AC">
        <w:rPr>
          <w:rFonts w:ascii="Mosawi" w:hAnsi="Mosawi" w:cs="Mosawi"/>
          <w:sz w:val="22"/>
          <w:szCs w:val="22"/>
          <w:rtl/>
        </w:rPr>
        <w:t>|</w:t>
      </w:r>
      <w:r w:rsidR="005D05A4" w:rsidRPr="006571AC">
        <w:rPr>
          <w:rFonts w:ascii="Sakkal Majalla" w:hAnsi="Sakkal Majalla"/>
          <w:sz w:val="27"/>
          <w:rtl/>
        </w:rPr>
        <w:t xml:space="preserve"> </w:t>
      </w:r>
      <w:r w:rsidRPr="006571AC">
        <w:rPr>
          <w:rFonts w:ascii="Sakkal Majalla" w:hAnsi="Sakkal Majalla" w:hint="cs"/>
          <w:sz w:val="27"/>
          <w:rtl/>
        </w:rPr>
        <w:t>ضمّ</w:t>
      </w:r>
      <w:r w:rsidR="005D05A4" w:rsidRPr="006571AC">
        <w:rPr>
          <w:rFonts w:ascii="Sakkal Majalla" w:hAnsi="Sakkal Majalla"/>
          <w:sz w:val="27"/>
          <w:rtl/>
        </w:rPr>
        <w:t xml:space="preserve"> ف</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دعائه</w:t>
      </w:r>
      <w:r w:rsidR="005D05A4" w:rsidRPr="006571AC">
        <w:rPr>
          <w:rFonts w:ascii="Sakkal Majalla" w:hAnsi="Sakkal Majalla"/>
          <w:sz w:val="27"/>
          <w:rtl/>
        </w:rPr>
        <w:t xml:space="preserve"> </w:t>
      </w:r>
      <w:r w:rsidR="005D05A4" w:rsidRPr="006571AC">
        <w:rPr>
          <w:rFonts w:ascii="Sakkal Majalla" w:hAnsi="Sakkal Majalla" w:hint="cs"/>
          <w:sz w:val="27"/>
          <w:rtl/>
        </w:rPr>
        <w:t>كلمة</w:t>
      </w:r>
      <w:r w:rsidR="005D05A4" w:rsidRPr="006571AC">
        <w:rPr>
          <w:rFonts w:ascii="Sakkal Majalla" w:hAnsi="Sakkal Majalla"/>
          <w:sz w:val="27"/>
          <w:rtl/>
        </w:rPr>
        <w:t xml:space="preserve"> </w:t>
      </w:r>
      <w:r w:rsidR="005D05A4" w:rsidRPr="006571AC">
        <w:rPr>
          <w:rFonts w:ascii="Sakkal Majalla" w:hAnsi="Sakkal Majalla" w:hint="cs"/>
          <w:sz w:val="24"/>
          <w:szCs w:val="24"/>
          <w:rtl/>
        </w:rPr>
        <w:t>«</w:t>
      </w:r>
      <w:r w:rsidR="005D05A4" w:rsidRPr="006571AC">
        <w:rPr>
          <w:rFonts w:ascii="Sakkal Majalla" w:hAnsi="Sakkal Majalla" w:hint="cs"/>
          <w:sz w:val="27"/>
          <w:rtl/>
        </w:rPr>
        <w:t>أحبّ</w:t>
      </w:r>
      <w:r w:rsidR="005D05A4" w:rsidRPr="006571AC">
        <w:rPr>
          <w:rFonts w:ascii="Sakkal Majalla" w:hAnsi="Sakkal Majalla"/>
          <w:sz w:val="27"/>
          <w:rtl/>
        </w:rPr>
        <w:t xml:space="preserve"> </w:t>
      </w:r>
      <w:r w:rsidR="005D05A4" w:rsidRPr="006571AC">
        <w:rPr>
          <w:rFonts w:ascii="Sakkal Majalla" w:hAnsi="Sakkal Majalla" w:hint="cs"/>
          <w:sz w:val="27"/>
          <w:rtl/>
        </w:rPr>
        <w:t>من</w:t>
      </w:r>
      <w:r w:rsidR="005D05A4" w:rsidRPr="006571AC">
        <w:rPr>
          <w:rFonts w:ascii="Sakkal Majalla" w:hAnsi="Sakkal Majalla"/>
          <w:sz w:val="27"/>
          <w:rtl/>
        </w:rPr>
        <w:t xml:space="preserve"> </w:t>
      </w:r>
      <w:r w:rsidR="005D05A4" w:rsidRPr="006571AC">
        <w:rPr>
          <w:rFonts w:ascii="Sakkal Majalla" w:hAnsi="Sakkal Majalla" w:hint="cs"/>
          <w:sz w:val="27"/>
          <w:rtl/>
        </w:rPr>
        <w:t>أحبّه</w:t>
      </w:r>
      <w:r w:rsidR="005D05A4" w:rsidRPr="006571AC">
        <w:rPr>
          <w:rFonts w:ascii="Sakkal Majalla" w:hAnsi="Sakkal Majalla" w:hint="cs"/>
          <w:sz w:val="24"/>
          <w:szCs w:val="24"/>
          <w:rtl/>
        </w:rPr>
        <w:t>»</w:t>
      </w:r>
      <w:r w:rsidR="005D05A4" w:rsidRPr="006571AC">
        <w:rPr>
          <w:rFonts w:ascii="Sakkal Majalla" w:hAnsi="Sakkal Majalla"/>
          <w:sz w:val="27"/>
          <w:rtl/>
        </w:rPr>
        <w:t xml:space="preserve"> إلى </w:t>
      </w:r>
      <w:r w:rsidR="005D05A4" w:rsidRPr="006571AC">
        <w:rPr>
          <w:rFonts w:ascii="Sakkal Majalla" w:hAnsi="Sakkal Majalla" w:hint="cs"/>
          <w:sz w:val="24"/>
          <w:szCs w:val="24"/>
          <w:rtl/>
        </w:rPr>
        <w:t>«</w:t>
      </w:r>
      <w:r w:rsidR="005D05A4" w:rsidRPr="006571AC">
        <w:rPr>
          <w:rFonts w:ascii="Sakkal Majalla" w:hAnsi="Sakkal Majalla" w:hint="cs"/>
          <w:sz w:val="27"/>
          <w:rtl/>
        </w:rPr>
        <w:t>وال</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م</w:t>
      </w:r>
      <w:r w:rsidRPr="006571AC">
        <w:rPr>
          <w:rFonts w:ascii="Sakkal Majalla" w:hAnsi="Sakkal Majalla" w:hint="cs"/>
          <w:sz w:val="27"/>
          <w:rtl/>
        </w:rPr>
        <w:t>َ</w:t>
      </w:r>
      <w:r w:rsidR="005D05A4" w:rsidRPr="006571AC">
        <w:rPr>
          <w:rFonts w:ascii="Sakkal Majalla" w:hAnsi="Sakkal Majalla" w:hint="cs"/>
          <w:sz w:val="27"/>
          <w:rtl/>
        </w:rPr>
        <w:t>ن</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والاه</w:t>
      </w:r>
      <w:r w:rsidR="005D05A4" w:rsidRPr="006571AC">
        <w:rPr>
          <w:rFonts w:ascii="Sakkal Majalla" w:hAnsi="Sakkal Majalla" w:hint="cs"/>
          <w:sz w:val="24"/>
          <w:szCs w:val="24"/>
          <w:rtl/>
        </w:rPr>
        <w:t>»</w:t>
      </w:r>
      <w:r w:rsidRPr="006571AC">
        <w:rPr>
          <w:rFonts w:ascii="Sakkal Majalla" w:hAnsi="Sakkal Majalla" w:hint="cs"/>
          <w:sz w:val="27"/>
          <w:rtl/>
        </w:rPr>
        <w:t>؛</w:t>
      </w:r>
      <w:r w:rsidR="005D05A4" w:rsidRPr="006571AC">
        <w:rPr>
          <w:rFonts w:ascii="Sakkal Majalla" w:hAnsi="Sakkal Majalla"/>
          <w:sz w:val="27"/>
          <w:rtl/>
        </w:rPr>
        <w:t xml:space="preserve"> فقد رو</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أبو</w:t>
      </w:r>
      <w:r w:rsidRPr="006571AC">
        <w:rPr>
          <w:rFonts w:ascii="Sakkal Majalla" w:hAnsi="Sakkal Majalla" w:hint="cs"/>
          <w:sz w:val="27"/>
          <w:rtl/>
        </w:rPr>
        <w:t xml:space="preserve"> </w:t>
      </w:r>
      <w:r w:rsidR="005D05A4" w:rsidRPr="006571AC">
        <w:rPr>
          <w:rFonts w:ascii="Sakkal Majalla" w:hAnsi="Sakkal Majalla" w:hint="cs"/>
          <w:sz w:val="27"/>
          <w:rtl/>
        </w:rPr>
        <w:t>العبّاس</w:t>
      </w:r>
      <w:r w:rsidR="005D05A4" w:rsidRPr="006571AC">
        <w:rPr>
          <w:rFonts w:ascii="Sakkal Majalla" w:hAnsi="Sakkal Majalla"/>
          <w:sz w:val="27"/>
          <w:rtl/>
        </w:rPr>
        <w:t xml:space="preserve"> ابن عقدة عن الحسن بن عل</w:t>
      </w:r>
      <w:r w:rsidRPr="006571AC">
        <w:rPr>
          <w:rFonts w:ascii="Sakkal Majalla" w:hAnsi="Sakkal Majalla" w:hint="cs"/>
          <w:sz w:val="27"/>
          <w:rtl/>
        </w:rPr>
        <w:t>يّ</w:t>
      </w:r>
      <w:r w:rsidR="005D05A4" w:rsidRPr="006571AC">
        <w:rPr>
          <w:rFonts w:ascii="Sakkal Majalla" w:hAnsi="Sakkal Majalla"/>
          <w:sz w:val="27"/>
          <w:rtl/>
        </w:rPr>
        <w:t xml:space="preserve"> بن عفّان العامري، عن عبيد</w:t>
      </w:r>
      <w:r w:rsidR="0097633B" w:rsidRPr="006571AC">
        <w:rPr>
          <w:rFonts w:ascii="Sakkal Majalla" w:hAnsi="Sakkal Majalla"/>
          <w:sz w:val="27"/>
          <w:rtl/>
        </w:rPr>
        <w:t>الل</w:t>
      </w:r>
      <w:r w:rsidR="005D05A4" w:rsidRPr="006571AC">
        <w:rPr>
          <w:rFonts w:ascii="Sakkal Majalla" w:hAnsi="Sakkal Majalla"/>
          <w:sz w:val="27"/>
          <w:rtl/>
        </w:rPr>
        <w:t>ه بن موسى، عن فطر، عن أبي إسحاق، عن عمرو بن ذي مر</w:t>
      </w:r>
      <w:r w:rsidRPr="006571AC">
        <w:rPr>
          <w:rFonts w:ascii="Sakkal Majalla" w:hAnsi="Sakkal Majalla" w:hint="cs"/>
          <w:sz w:val="27"/>
          <w:rtl/>
        </w:rPr>
        <w:t>ّ</w:t>
      </w:r>
      <w:r w:rsidR="005D05A4" w:rsidRPr="006571AC">
        <w:rPr>
          <w:rFonts w:ascii="Sakkal Majalla" w:hAnsi="Sakkal Majalla"/>
          <w:sz w:val="27"/>
          <w:rtl/>
        </w:rPr>
        <w:t xml:space="preserve"> وسعيد بن وهب، وعن زيد بن يثيع، قالوا: </w:t>
      </w:r>
      <w:r w:rsidR="005D05A4" w:rsidRPr="006571AC">
        <w:rPr>
          <w:rFonts w:ascii="Sakkal Majalla" w:hAnsi="Sakkal Majalla" w:hint="cs"/>
          <w:sz w:val="24"/>
          <w:szCs w:val="24"/>
          <w:rtl/>
        </w:rPr>
        <w:t>«</w:t>
      </w:r>
      <w:r w:rsidR="005D05A4" w:rsidRPr="006571AC">
        <w:rPr>
          <w:rFonts w:ascii="Sakkal Majalla" w:hAnsi="Sakkal Majalla"/>
          <w:sz w:val="27"/>
          <w:rtl/>
        </w:rPr>
        <w:t>سمعنا عليّاً يقول في الرحبة: فذكر نحوه</w:t>
      </w:r>
      <w:r w:rsidR="00833E9B"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sz w:val="27"/>
          <w:rtl/>
        </w:rPr>
        <w:lastRenderedPageBreak/>
        <w:t xml:space="preserve">فقام ثلاثة عشر رجلاً فشهدوا </w:t>
      </w:r>
      <w:r w:rsidR="00833E9B" w:rsidRPr="006571AC">
        <w:rPr>
          <w:rFonts w:ascii="Sakkal Majalla" w:hAnsi="Sakkal Majalla" w:hint="cs"/>
          <w:sz w:val="27"/>
          <w:rtl/>
        </w:rPr>
        <w:t>أ</w:t>
      </w:r>
      <w:r w:rsidR="005D05A4" w:rsidRPr="006571AC">
        <w:rPr>
          <w:rFonts w:ascii="Sakkal Majalla" w:hAnsi="Sakkal Majalla"/>
          <w:sz w:val="27"/>
          <w:rtl/>
        </w:rPr>
        <w:t xml:space="preserve">نّ رسول </w:t>
      </w:r>
      <w:r w:rsidR="0097633B" w:rsidRPr="006571AC">
        <w:rPr>
          <w:rFonts w:ascii="Sakkal Majalla" w:hAnsi="Sakkal Majalla"/>
          <w:sz w:val="27"/>
          <w:rtl/>
        </w:rPr>
        <w:t>الل</w:t>
      </w:r>
      <w:r w:rsidR="005D05A4" w:rsidRPr="006571AC">
        <w:rPr>
          <w:rFonts w:ascii="Sakkal Majalla" w:hAnsi="Sakkal Majalla"/>
          <w:sz w:val="27"/>
          <w:rtl/>
        </w:rPr>
        <w:t>ه</w:t>
      </w:r>
      <w:r w:rsidR="002A2C90" w:rsidRPr="006571AC">
        <w:rPr>
          <w:rFonts w:ascii="Mosawi" w:hAnsi="Mosawi" w:cs="Mosawi"/>
          <w:sz w:val="22"/>
          <w:szCs w:val="22"/>
          <w:rtl/>
        </w:rPr>
        <w:t>|</w:t>
      </w:r>
      <w:r w:rsidR="005D05A4" w:rsidRPr="006571AC">
        <w:rPr>
          <w:rFonts w:ascii="Sakkal Majalla" w:hAnsi="Sakkal Majalla"/>
          <w:sz w:val="27"/>
          <w:rtl/>
        </w:rPr>
        <w:t xml:space="preserve"> قال: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كنت مولاه فعليّ</w:t>
      </w:r>
      <w:r w:rsidR="00833E9B" w:rsidRPr="006571AC">
        <w:rPr>
          <w:rFonts w:ascii="Sakkal Majalla" w:hAnsi="Sakkal Majalla" w:hint="cs"/>
          <w:sz w:val="27"/>
          <w:rtl/>
        </w:rPr>
        <w:t>ٌ</w:t>
      </w:r>
      <w:r w:rsidR="005D05A4" w:rsidRPr="006571AC">
        <w:rPr>
          <w:rFonts w:ascii="Sakkal Majalla" w:hAnsi="Sakkal Majalla"/>
          <w:sz w:val="27"/>
          <w:rtl/>
        </w:rPr>
        <w:t xml:space="preserve"> مولاه، </w:t>
      </w:r>
      <w:r w:rsidR="0097633B" w:rsidRPr="006571AC">
        <w:rPr>
          <w:rFonts w:ascii="Sakkal Majalla" w:hAnsi="Sakkal Majalla"/>
          <w:sz w:val="27"/>
          <w:rtl/>
        </w:rPr>
        <w:t>الل</w:t>
      </w:r>
      <w:r w:rsidR="005D05A4" w:rsidRPr="006571AC">
        <w:rPr>
          <w:rFonts w:ascii="Sakkal Majalla" w:hAnsi="Sakkal Majalla"/>
          <w:sz w:val="27"/>
          <w:rtl/>
        </w:rPr>
        <w:t>همّ والِ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والاه وعادِ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عاداه، وأحب</w:t>
      </w:r>
      <w:r w:rsidR="00833E9B" w:rsidRPr="006571AC">
        <w:rPr>
          <w:rFonts w:ascii="Sakkal Majalla" w:hAnsi="Sakkal Majalla" w:hint="cs"/>
          <w:sz w:val="27"/>
          <w:rtl/>
        </w:rPr>
        <w:t>ّ</w:t>
      </w:r>
      <w:r w:rsidR="005D05A4" w:rsidRPr="006571AC">
        <w:rPr>
          <w:rFonts w:ascii="Sakkal Majalla" w:hAnsi="Sakkal Majalla"/>
          <w:sz w:val="27"/>
          <w:rtl/>
        </w:rPr>
        <w:t xml:space="preserve">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أحبّه</w:t>
      </w:r>
      <w:r w:rsidR="00833E9B" w:rsidRPr="006571AC">
        <w:rPr>
          <w:rFonts w:ascii="Sakkal Majalla" w:hAnsi="Sakkal Majalla" w:hint="cs"/>
          <w:sz w:val="27"/>
          <w:rtl/>
        </w:rPr>
        <w:t>،</w:t>
      </w:r>
      <w:r w:rsidR="005D05A4" w:rsidRPr="006571AC">
        <w:rPr>
          <w:rFonts w:ascii="Sakkal Majalla" w:hAnsi="Sakkal Majalla"/>
          <w:sz w:val="27"/>
          <w:rtl/>
        </w:rPr>
        <w:t xml:space="preserve"> و</w:t>
      </w:r>
      <w:r w:rsidR="00833E9B" w:rsidRPr="006571AC">
        <w:rPr>
          <w:rFonts w:ascii="Sakkal Majalla" w:hAnsi="Sakkal Majalla" w:hint="cs"/>
          <w:sz w:val="27"/>
          <w:rtl/>
        </w:rPr>
        <w:t>أ</w:t>
      </w:r>
      <w:r w:rsidR="005D05A4" w:rsidRPr="006571AC">
        <w:rPr>
          <w:rFonts w:ascii="Sakkal Majalla" w:hAnsi="Sakkal Majalla"/>
          <w:sz w:val="27"/>
          <w:rtl/>
        </w:rPr>
        <w:t>بغ</w:t>
      </w:r>
      <w:r w:rsidR="00833E9B" w:rsidRPr="006571AC">
        <w:rPr>
          <w:rFonts w:ascii="Sakkal Majalla" w:hAnsi="Sakkal Majalla" w:hint="cs"/>
          <w:sz w:val="27"/>
          <w:rtl/>
        </w:rPr>
        <w:t>ِ</w:t>
      </w:r>
      <w:r w:rsidR="005D05A4" w:rsidRPr="006571AC">
        <w:rPr>
          <w:rFonts w:ascii="Sakkal Majalla" w:hAnsi="Sakkal Majalla"/>
          <w:sz w:val="27"/>
          <w:rtl/>
        </w:rPr>
        <w:t>ض</w:t>
      </w:r>
      <w:r w:rsidR="00833E9B" w:rsidRPr="006571AC">
        <w:rPr>
          <w:rFonts w:ascii="Sakkal Majalla" w:hAnsi="Sakkal Majalla" w:hint="cs"/>
          <w:sz w:val="27"/>
          <w:rtl/>
        </w:rPr>
        <w:t>ْ</w:t>
      </w:r>
      <w:r w:rsidR="005D05A4" w:rsidRPr="006571AC">
        <w:rPr>
          <w:rFonts w:ascii="Sakkal Majalla" w:hAnsi="Sakkal Majalla"/>
          <w:sz w:val="27"/>
          <w:rtl/>
        </w:rPr>
        <w:t xml:space="preserve">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أبغضه، وانص</w:t>
      </w:r>
      <w:r w:rsidR="00833E9B" w:rsidRPr="006571AC">
        <w:rPr>
          <w:rFonts w:ascii="Sakkal Majalla" w:hAnsi="Sakkal Majalla" w:hint="cs"/>
          <w:sz w:val="27"/>
          <w:rtl/>
        </w:rPr>
        <w:t>ُ</w:t>
      </w:r>
      <w:r w:rsidR="005D05A4" w:rsidRPr="006571AC">
        <w:rPr>
          <w:rFonts w:ascii="Sakkal Majalla" w:hAnsi="Sakkal Majalla"/>
          <w:sz w:val="27"/>
          <w:rtl/>
        </w:rPr>
        <w:t>ر</w:t>
      </w:r>
      <w:r w:rsidR="00833E9B" w:rsidRPr="006571AC">
        <w:rPr>
          <w:rFonts w:ascii="Sakkal Majalla" w:hAnsi="Sakkal Majalla" w:hint="cs"/>
          <w:sz w:val="27"/>
          <w:rtl/>
        </w:rPr>
        <w:t>ْ</w:t>
      </w:r>
      <w:r w:rsidR="005D05A4" w:rsidRPr="006571AC">
        <w:rPr>
          <w:rFonts w:ascii="Sakkal Majalla" w:hAnsi="Sakkal Majalla"/>
          <w:sz w:val="27"/>
          <w:rtl/>
        </w:rPr>
        <w:t xml:space="preserve">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نصره</w:t>
      </w:r>
      <w:r w:rsidR="00833E9B" w:rsidRPr="006571AC">
        <w:rPr>
          <w:rFonts w:ascii="Sakkal Majalla" w:hAnsi="Sakkal Majalla" w:hint="cs"/>
          <w:sz w:val="27"/>
          <w:rtl/>
        </w:rPr>
        <w:t>،</w:t>
      </w:r>
      <w:r w:rsidR="005D05A4" w:rsidRPr="006571AC">
        <w:rPr>
          <w:rFonts w:ascii="Sakkal Majalla" w:hAnsi="Sakkal Majalla"/>
          <w:sz w:val="27"/>
          <w:rtl/>
        </w:rPr>
        <w:t xml:space="preserve"> واخذل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خذله</w:t>
      </w:r>
      <w:r w:rsidR="005D05A4" w:rsidRPr="006571AC">
        <w:rPr>
          <w:rFonts w:ascii="Sakkal Majalla" w:hAnsi="Sakkal Majalla" w:hint="cs"/>
          <w:sz w:val="24"/>
          <w:szCs w:val="24"/>
          <w:rtl/>
        </w:rPr>
        <w:t>»</w:t>
      </w:r>
      <w:r w:rsidR="005D05A4" w:rsidRPr="006571AC">
        <w:rPr>
          <w:rFonts w:ascii="Sakkal Majalla" w:hAnsi="Sakkal Majalla"/>
          <w:sz w:val="27"/>
          <w:vertAlign w:val="superscript"/>
          <w:rtl/>
        </w:rPr>
        <w:t>(</w:t>
      </w:r>
      <w:r w:rsidR="005D05A4" w:rsidRPr="006571AC">
        <w:rPr>
          <w:rStyle w:val="ac"/>
          <w:rFonts w:ascii="Sakkal Majalla" w:hAnsi="Sakkal Majalla"/>
          <w:sz w:val="27"/>
          <w:rtl/>
        </w:rPr>
        <w:endnoteReference w:id="362"/>
      </w:r>
      <w:r w:rsidR="005D05A4" w:rsidRPr="006571AC">
        <w:rPr>
          <w:rFonts w:ascii="Sakkal Majalla" w:hAnsi="Sakkal Majalla"/>
          <w:sz w:val="27"/>
          <w:vertAlign w:val="superscript"/>
          <w:rtl/>
        </w:rPr>
        <w:t>)</w:t>
      </w:r>
      <w:r w:rsidR="005D05A4" w:rsidRPr="006571AC">
        <w:rPr>
          <w:rFonts w:ascii="Sakkal Majalla" w:hAnsi="Sakkal Majalla"/>
          <w:sz w:val="27"/>
          <w:rtl/>
        </w:rPr>
        <w:t>. وهو قر</w:t>
      </w:r>
      <w:r w:rsidR="005D05A4" w:rsidRPr="006571AC">
        <w:rPr>
          <w:rFonts w:ascii="Times New Roman" w:hAnsi="Times New Roman" w:hint="cs"/>
          <w:sz w:val="27"/>
          <w:rtl/>
        </w:rPr>
        <w:t>ي</w:t>
      </w:r>
      <w:r w:rsidR="005D05A4" w:rsidRPr="006571AC">
        <w:rPr>
          <w:rFonts w:ascii="Sakkal Majalla" w:hAnsi="Sakkal Majalla" w:hint="cs"/>
          <w:sz w:val="27"/>
          <w:rtl/>
        </w:rPr>
        <w:t>نة</w:t>
      </w:r>
      <w:r w:rsidR="00833E9B" w:rsidRPr="006571AC">
        <w:rPr>
          <w:rFonts w:ascii="Sakkal Majalla" w:hAnsi="Sakkal Majalla" w:hint="cs"/>
          <w:sz w:val="27"/>
          <w:rtl/>
        </w:rPr>
        <w:t>ٌ</w:t>
      </w:r>
      <w:r w:rsidR="005D05A4" w:rsidRPr="006571AC">
        <w:rPr>
          <w:rFonts w:ascii="Sakkal Majalla" w:hAnsi="Sakkal Majalla"/>
          <w:sz w:val="27"/>
          <w:rtl/>
        </w:rPr>
        <w:t xml:space="preserve"> على </w:t>
      </w:r>
      <w:r w:rsidR="00833E9B" w:rsidRPr="006571AC">
        <w:rPr>
          <w:rFonts w:ascii="Sakkal Majalla" w:hAnsi="Sakkal Majalla" w:hint="cs"/>
          <w:sz w:val="27"/>
          <w:rtl/>
        </w:rPr>
        <w:t>أ</w:t>
      </w:r>
      <w:r w:rsidR="005D05A4" w:rsidRPr="006571AC">
        <w:rPr>
          <w:rFonts w:ascii="Sakkal Majalla" w:hAnsi="Sakkal Majalla" w:hint="cs"/>
          <w:sz w:val="27"/>
          <w:rtl/>
        </w:rPr>
        <w:t>نّ</w:t>
      </w:r>
      <w:r w:rsidR="005D05A4" w:rsidRPr="006571AC">
        <w:rPr>
          <w:rFonts w:ascii="Sakkal Majalla" w:hAnsi="Sakkal Majalla"/>
          <w:sz w:val="27"/>
          <w:rtl/>
        </w:rPr>
        <w:t xml:space="preserve"> </w:t>
      </w:r>
      <w:r w:rsidR="005D05A4" w:rsidRPr="006571AC">
        <w:rPr>
          <w:rFonts w:ascii="Sakkal Majalla" w:hAnsi="Sakkal Majalla" w:hint="cs"/>
          <w:sz w:val="27"/>
          <w:rtl/>
        </w:rPr>
        <w:t>المول</w:t>
      </w:r>
      <w:r w:rsidR="00833E9B"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ف</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الحد</w:t>
      </w:r>
      <w:r w:rsidR="005D05A4" w:rsidRPr="006571AC">
        <w:rPr>
          <w:rFonts w:ascii="Times New Roman" w:hAnsi="Times New Roman" w:hint="cs"/>
          <w:sz w:val="27"/>
          <w:rtl/>
        </w:rPr>
        <w:t>ي</w:t>
      </w:r>
      <w:r w:rsidR="005D05A4" w:rsidRPr="006571AC">
        <w:rPr>
          <w:rFonts w:ascii="Sakkal Majalla" w:hAnsi="Sakkal Majalla" w:hint="cs"/>
          <w:sz w:val="27"/>
          <w:rtl/>
        </w:rPr>
        <w:t>ث</w:t>
      </w:r>
      <w:r w:rsidR="005D05A4" w:rsidRPr="006571AC">
        <w:rPr>
          <w:rFonts w:ascii="Sakkal Majalla" w:hAnsi="Sakkal Majalla"/>
          <w:sz w:val="27"/>
          <w:rtl/>
        </w:rPr>
        <w:t xml:space="preserve"> </w:t>
      </w:r>
      <w:r w:rsidR="005D05A4" w:rsidRPr="006571AC">
        <w:rPr>
          <w:rFonts w:ascii="Sakkal Majalla" w:hAnsi="Sakkal Majalla" w:hint="cs"/>
          <w:sz w:val="27"/>
          <w:rtl/>
        </w:rPr>
        <w:t>ل</w:t>
      </w:r>
      <w:r w:rsidR="005D05A4" w:rsidRPr="006571AC">
        <w:rPr>
          <w:rFonts w:ascii="Times New Roman" w:hAnsi="Times New Roman" w:hint="cs"/>
          <w:sz w:val="27"/>
          <w:rtl/>
        </w:rPr>
        <w:t>ي</w:t>
      </w:r>
      <w:r w:rsidR="005D05A4" w:rsidRPr="006571AC">
        <w:rPr>
          <w:rFonts w:ascii="Sakkal Majalla" w:hAnsi="Sakkal Majalla" w:hint="cs"/>
          <w:sz w:val="27"/>
          <w:rtl/>
        </w:rPr>
        <w:t>س</w:t>
      </w:r>
      <w:r w:rsidR="005D05A4" w:rsidRPr="006571AC">
        <w:rPr>
          <w:rFonts w:ascii="Sakkal Majalla" w:hAnsi="Sakkal Majalla"/>
          <w:sz w:val="27"/>
          <w:rtl/>
        </w:rPr>
        <w:t xml:space="preserve"> </w:t>
      </w:r>
      <w:r w:rsidR="005D05A4" w:rsidRPr="006571AC">
        <w:rPr>
          <w:rFonts w:ascii="Sakkal Majalla" w:hAnsi="Sakkal Majalla" w:hint="cs"/>
          <w:sz w:val="27"/>
          <w:rtl/>
        </w:rPr>
        <w:t>بمعن</w:t>
      </w:r>
      <w:r w:rsidR="00833E9B"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المحب</w:t>
      </w:r>
      <w:r w:rsidR="00833E9B" w:rsidRPr="006571AC">
        <w:rPr>
          <w:rFonts w:ascii="Sakkal Majalla" w:hAnsi="Sakkal Majalla" w:hint="cs"/>
          <w:sz w:val="27"/>
          <w:rtl/>
        </w:rPr>
        <w:t>ّ</w:t>
      </w:r>
      <w:r w:rsidR="005D05A4" w:rsidRPr="006571AC">
        <w:rPr>
          <w:rFonts w:ascii="Sakkal Majalla" w:hAnsi="Sakkal Majalla" w:hint="cs"/>
          <w:sz w:val="27"/>
          <w:rtl/>
        </w:rPr>
        <w:t>ة</w:t>
      </w:r>
      <w:r w:rsidR="00833E9B" w:rsidRPr="006571AC">
        <w:rPr>
          <w:rFonts w:ascii="Sakkal Majalla" w:hAnsi="Sakkal Majalla" w:hint="cs"/>
          <w:sz w:val="27"/>
          <w:rtl/>
        </w:rPr>
        <w:t>،</w:t>
      </w:r>
      <w:r w:rsidR="005D05A4" w:rsidRPr="006571AC">
        <w:rPr>
          <w:rFonts w:ascii="Sakkal Majalla" w:hAnsi="Sakkal Majalla"/>
          <w:sz w:val="27"/>
          <w:rtl/>
        </w:rPr>
        <w:t xml:space="preserve"> و</w:t>
      </w:r>
      <w:r w:rsidR="00833E9B" w:rsidRPr="006571AC">
        <w:rPr>
          <w:rFonts w:ascii="Sakkal Majalla" w:hAnsi="Sakkal Majalla" w:hint="cs"/>
          <w:sz w:val="27"/>
          <w:rtl/>
        </w:rPr>
        <w:t>إ</w:t>
      </w:r>
      <w:r w:rsidR="003C2639" w:rsidRPr="006571AC">
        <w:rPr>
          <w:rFonts w:ascii="Sakkal Majalla" w:hAnsi="Sakkal Majalla"/>
          <w:sz w:val="27"/>
          <w:rtl/>
        </w:rPr>
        <w:t>لاّ</w:t>
      </w:r>
      <w:r w:rsidR="005D05A4" w:rsidRPr="006571AC">
        <w:rPr>
          <w:rFonts w:ascii="Sakkal Majalla" w:hAnsi="Sakkal Majalla"/>
          <w:sz w:val="27"/>
          <w:rtl/>
        </w:rPr>
        <w:t xml:space="preserve"> ل</w:t>
      </w:r>
      <w:r w:rsidR="005D05A4" w:rsidRPr="006571AC">
        <w:rPr>
          <w:rFonts w:ascii="Sakkal Majalla" w:hAnsi="Sakkal Majalla" w:hint="cs"/>
          <w:sz w:val="27"/>
          <w:rtl/>
        </w:rPr>
        <w:t>كان</w:t>
      </w:r>
      <w:r w:rsidR="005D05A4" w:rsidRPr="006571AC">
        <w:rPr>
          <w:rFonts w:ascii="Sakkal Majalla" w:hAnsi="Sakkal Majalla"/>
          <w:sz w:val="27"/>
          <w:rtl/>
        </w:rPr>
        <w:t xml:space="preserve"> عطف الش</w:t>
      </w:r>
      <w:r w:rsidR="005D05A4" w:rsidRPr="006571AC">
        <w:rPr>
          <w:rFonts w:ascii="Times New Roman" w:hAnsi="Times New Roman" w:hint="cs"/>
          <w:sz w:val="27"/>
          <w:rtl/>
        </w:rPr>
        <w:t>ي</w:t>
      </w:r>
      <w:r w:rsidR="005D05A4" w:rsidRPr="006571AC">
        <w:rPr>
          <w:rFonts w:ascii="Sakkal Majalla" w:hAnsi="Sakkal Majalla" w:hint="cs"/>
          <w:sz w:val="27"/>
          <w:rtl/>
        </w:rPr>
        <w:t>ء</w:t>
      </w:r>
      <w:r w:rsidR="005D05A4" w:rsidRPr="006571AC">
        <w:rPr>
          <w:rFonts w:ascii="Sakkal Majalla" w:hAnsi="Sakkal Majalla"/>
          <w:sz w:val="27"/>
          <w:rtl/>
        </w:rPr>
        <w:t xml:space="preserve"> على </w:t>
      </w:r>
      <w:r w:rsidR="005D05A4" w:rsidRPr="006571AC">
        <w:rPr>
          <w:rFonts w:ascii="Sakkal Majalla" w:hAnsi="Sakkal Majalla" w:hint="cs"/>
          <w:sz w:val="27"/>
          <w:rtl/>
        </w:rPr>
        <w:t xml:space="preserve">نفسه. </w:t>
      </w:r>
    </w:p>
    <w:p w:rsidR="005D05A4" w:rsidRPr="006571AC" w:rsidRDefault="005D05A4" w:rsidP="00B41BA0">
      <w:pPr>
        <w:rPr>
          <w:rFonts w:ascii="Sakkal Majalla" w:hAnsi="Sakkal Majalla"/>
          <w:sz w:val="27"/>
          <w:rtl/>
        </w:rPr>
      </w:pPr>
      <w:r w:rsidRPr="006571AC">
        <w:rPr>
          <w:rFonts w:ascii="Sakkal Majalla" w:hAnsi="Sakkal Majalla"/>
          <w:b/>
          <w:bCs/>
          <w:sz w:val="27"/>
          <w:rtl/>
        </w:rPr>
        <w:t>ثان</w:t>
      </w:r>
      <w:r w:rsidRPr="006571AC">
        <w:rPr>
          <w:rFonts w:ascii="Times New Roman" w:hAnsi="Times New Roman" w:hint="cs"/>
          <w:b/>
          <w:bCs/>
          <w:sz w:val="27"/>
          <w:rtl/>
        </w:rPr>
        <w:t>ي</w:t>
      </w:r>
      <w:r w:rsidRPr="006571AC">
        <w:rPr>
          <w:rFonts w:ascii="Sakkal Majalla" w:hAnsi="Sakkal Majalla" w:hint="cs"/>
          <w:b/>
          <w:bCs/>
          <w:sz w:val="27"/>
          <w:rtl/>
        </w:rPr>
        <w:t>اً</w:t>
      </w:r>
      <w:r w:rsidRPr="006571AC">
        <w:rPr>
          <w:rFonts w:ascii="Sakkal Majalla" w:hAnsi="Sakkal Majalla"/>
          <w:sz w:val="27"/>
          <w:rtl/>
        </w:rPr>
        <w:t xml:space="preserve">: إنّه قد ورد في بعض ألفاظ الحديث كلمة: </w:t>
      </w:r>
      <w:r w:rsidRPr="006571AC">
        <w:rPr>
          <w:rFonts w:ascii="Sakkal Majalla" w:hAnsi="Sakkal Majalla"/>
          <w:sz w:val="24"/>
          <w:szCs w:val="24"/>
          <w:rtl/>
        </w:rPr>
        <w:t>«</w:t>
      </w:r>
      <w:r w:rsidRPr="006571AC">
        <w:rPr>
          <w:rFonts w:ascii="Sakkal Majalla" w:hAnsi="Sakkal Majalla"/>
          <w:sz w:val="27"/>
          <w:rtl/>
        </w:rPr>
        <w:t>بعدي</w:t>
      </w:r>
      <w:r w:rsidRPr="006571AC">
        <w:rPr>
          <w:rFonts w:ascii="Sakkal Majalla" w:hAnsi="Sakkal Majalla"/>
          <w:sz w:val="24"/>
          <w:szCs w:val="24"/>
          <w:rtl/>
        </w:rPr>
        <w:t>»</w:t>
      </w:r>
      <w:r w:rsidR="002D4377" w:rsidRPr="006571AC">
        <w:rPr>
          <w:rFonts w:ascii="Sakkal Majalla" w:hAnsi="Sakkal Majalla" w:hint="cs"/>
          <w:sz w:val="27"/>
          <w:rtl/>
        </w:rPr>
        <w:t>،</w:t>
      </w:r>
      <w:r w:rsidRPr="006571AC">
        <w:rPr>
          <w:rFonts w:ascii="Sakkal Majalla" w:hAnsi="Sakkal Majalla"/>
          <w:sz w:val="27"/>
          <w:rtl/>
        </w:rPr>
        <w:t xml:space="preserve"> مع تهنئة عمر بن الخطّاب</w:t>
      </w:r>
      <w:r w:rsidRPr="006571AC">
        <w:rPr>
          <w:rFonts w:ascii="Sakkal Majalla" w:hAnsi="Sakkal Majalla" w:hint="cs"/>
          <w:sz w:val="27"/>
          <w:rtl/>
        </w:rPr>
        <w:t xml:space="preserve">. </w:t>
      </w:r>
      <w:r w:rsidRPr="006571AC">
        <w:rPr>
          <w:rFonts w:ascii="Sakkal Majalla" w:hAnsi="Sakkal Majalla"/>
          <w:sz w:val="27"/>
          <w:rtl/>
        </w:rPr>
        <w:t xml:space="preserve">قال ابن كثير: </w:t>
      </w:r>
      <w:r w:rsidRPr="006571AC">
        <w:rPr>
          <w:rFonts w:ascii="Sakkal Majalla" w:hAnsi="Sakkal Majalla"/>
          <w:sz w:val="24"/>
          <w:szCs w:val="24"/>
          <w:rtl/>
        </w:rPr>
        <w:t>«</w:t>
      </w:r>
      <w:r w:rsidRPr="006571AC">
        <w:rPr>
          <w:rFonts w:ascii="Sakkal Majalla" w:hAnsi="Sakkal Majalla"/>
          <w:sz w:val="27"/>
          <w:rtl/>
        </w:rPr>
        <w:t>قال عبد</w:t>
      </w:r>
      <w:r w:rsidR="002D4377" w:rsidRPr="006571AC">
        <w:rPr>
          <w:rFonts w:ascii="Sakkal Majalla" w:hAnsi="Sakkal Majalla" w:hint="cs"/>
          <w:sz w:val="27"/>
          <w:rtl/>
        </w:rPr>
        <w:t xml:space="preserve"> </w:t>
      </w:r>
      <w:r w:rsidRPr="006571AC">
        <w:rPr>
          <w:rFonts w:ascii="Sakkal Majalla" w:hAnsi="Sakkal Majalla"/>
          <w:sz w:val="27"/>
          <w:rtl/>
        </w:rPr>
        <w:t>الرزّاق: أ</w:t>
      </w:r>
      <w:r w:rsidR="002D4377" w:rsidRPr="006571AC">
        <w:rPr>
          <w:rFonts w:ascii="Sakkal Majalla" w:hAnsi="Sakkal Majalla" w:hint="cs"/>
          <w:sz w:val="27"/>
          <w:rtl/>
        </w:rPr>
        <w:t>نبأ</w:t>
      </w:r>
      <w:r w:rsidRPr="006571AC">
        <w:rPr>
          <w:rFonts w:ascii="Sakkal Majalla" w:hAnsi="Sakkal Majalla"/>
          <w:sz w:val="27"/>
          <w:rtl/>
        </w:rPr>
        <w:t>نا معمر، عن عل</w:t>
      </w:r>
      <w:r w:rsidR="002D4377" w:rsidRPr="006571AC">
        <w:rPr>
          <w:rFonts w:ascii="Sakkal Majalla" w:hAnsi="Sakkal Majalla" w:hint="cs"/>
          <w:sz w:val="27"/>
          <w:rtl/>
        </w:rPr>
        <w:t>يّ</w:t>
      </w:r>
      <w:r w:rsidRPr="006571AC">
        <w:rPr>
          <w:rFonts w:ascii="Sakkal Majalla" w:hAnsi="Sakkal Majalla"/>
          <w:sz w:val="27"/>
          <w:rtl/>
        </w:rPr>
        <w:t xml:space="preserve"> بن زيد بن جدعان، عن عدي بن ثابت، عن البراء بن عازب قال: نزلنا مع رسول </w:t>
      </w:r>
      <w:r w:rsidR="0097633B" w:rsidRPr="006571AC">
        <w:rPr>
          <w:rFonts w:ascii="Sakkal Majalla" w:hAnsi="Sakkal Majalla"/>
          <w:sz w:val="27"/>
          <w:rtl/>
        </w:rPr>
        <w:t>الل</w:t>
      </w:r>
      <w:r w:rsidRPr="006571AC">
        <w:rPr>
          <w:rFonts w:ascii="Sakkal Majalla" w:hAnsi="Sakkal Majalla"/>
          <w:sz w:val="27"/>
          <w:rtl/>
        </w:rPr>
        <w:t>ه</w:t>
      </w:r>
      <w:r w:rsidR="002A2C90" w:rsidRPr="006571AC">
        <w:rPr>
          <w:rFonts w:ascii="Mosawi" w:hAnsi="Mosawi" w:cs="Mosawi"/>
          <w:sz w:val="22"/>
          <w:szCs w:val="22"/>
          <w:rtl/>
        </w:rPr>
        <w:t>|</w:t>
      </w:r>
      <w:r w:rsidRPr="006571AC">
        <w:rPr>
          <w:rFonts w:ascii="Sakkal Majalla" w:hAnsi="Sakkal Majalla"/>
          <w:sz w:val="27"/>
          <w:rtl/>
        </w:rPr>
        <w:t xml:space="preserve"> عند غدير خم</w:t>
      </w:r>
      <w:r w:rsidR="002D4377" w:rsidRPr="006571AC">
        <w:rPr>
          <w:rFonts w:ascii="Sakkal Majalla" w:hAnsi="Sakkal Majalla" w:hint="cs"/>
          <w:sz w:val="27"/>
          <w:rtl/>
        </w:rPr>
        <w:t>ّ</w:t>
      </w:r>
      <w:r w:rsidRPr="006571AC">
        <w:rPr>
          <w:rFonts w:ascii="Sakkal Majalla" w:hAnsi="Sakkal Majalla"/>
          <w:sz w:val="27"/>
          <w:rtl/>
        </w:rPr>
        <w:t>، فبعث منادياً ينادي، فلمّا اجتمعنا قال: ألست</w:t>
      </w:r>
      <w:r w:rsidR="002D4377" w:rsidRPr="006571AC">
        <w:rPr>
          <w:rFonts w:ascii="Sakkal Majalla" w:hAnsi="Sakkal Majalla" w:hint="cs"/>
          <w:sz w:val="27"/>
          <w:rtl/>
        </w:rPr>
        <w:t>ُ</w:t>
      </w:r>
      <w:r w:rsidRPr="006571AC">
        <w:rPr>
          <w:rFonts w:ascii="Sakkal Majalla" w:hAnsi="Sakkal Majalla"/>
          <w:sz w:val="27"/>
          <w:rtl/>
        </w:rPr>
        <w:t xml:space="preserve"> أ</w:t>
      </w:r>
      <w:r w:rsidR="002D4377" w:rsidRPr="006571AC">
        <w:rPr>
          <w:rFonts w:ascii="Sakkal Majalla" w:hAnsi="Sakkal Majalla" w:hint="cs"/>
          <w:sz w:val="27"/>
          <w:rtl/>
        </w:rPr>
        <w:t>َ</w:t>
      </w:r>
      <w:r w:rsidRPr="006571AC">
        <w:rPr>
          <w:rFonts w:ascii="Sakkal Majalla" w:hAnsi="Sakkal Majalla"/>
          <w:sz w:val="27"/>
          <w:rtl/>
        </w:rPr>
        <w:t xml:space="preserve">وْلى بكم من أنفسكم؟! قلنا: بلى يا رسول </w:t>
      </w:r>
      <w:r w:rsidR="0097633B" w:rsidRPr="006571AC">
        <w:rPr>
          <w:rFonts w:ascii="Sakkal Majalla" w:hAnsi="Sakkal Majalla"/>
          <w:sz w:val="27"/>
          <w:rtl/>
        </w:rPr>
        <w:t>الل</w:t>
      </w:r>
      <w:r w:rsidRPr="006571AC">
        <w:rPr>
          <w:rFonts w:ascii="Sakkal Majalla" w:hAnsi="Sakkal Majalla"/>
          <w:sz w:val="27"/>
          <w:rtl/>
        </w:rPr>
        <w:t>ه! قال: ألست</w:t>
      </w:r>
      <w:r w:rsidR="002D4377" w:rsidRPr="006571AC">
        <w:rPr>
          <w:rFonts w:ascii="Sakkal Majalla" w:hAnsi="Sakkal Majalla" w:hint="cs"/>
          <w:sz w:val="27"/>
          <w:rtl/>
        </w:rPr>
        <w:t>ُ</w:t>
      </w:r>
      <w:r w:rsidRPr="006571AC">
        <w:rPr>
          <w:rFonts w:ascii="Sakkal Majalla" w:hAnsi="Sakkal Majalla"/>
          <w:sz w:val="27"/>
          <w:rtl/>
        </w:rPr>
        <w:t>؟ ألست</w:t>
      </w:r>
      <w:r w:rsidR="002D4377" w:rsidRPr="006571AC">
        <w:rPr>
          <w:rFonts w:ascii="Sakkal Majalla" w:hAnsi="Sakkal Majalla" w:hint="cs"/>
          <w:sz w:val="27"/>
          <w:rtl/>
        </w:rPr>
        <w:t>ُ</w:t>
      </w:r>
      <w:r w:rsidRPr="006571AC">
        <w:rPr>
          <w:rFonts w:ascii="Sakkal Majalla" w:hAnsi="Sakkal Majalla"/>
          <w:sz w:val="27"/>
          <w:rtl/>
        </w:rPr>
        <w:t xml:space="preserve">؟ قلنا: بلى يا رسول </w:t>
      </w:r>
      <w:r w:rsidR="0097633B" w:rsidRPr="006571AC">
        <w:rPr>
          <w:rFonts w:ascii="Sakkal Majalla" w:hAnsi="Sakkal Majalla"/>
          <w:sz w:val="27"/>
          <w:rtl/>
        </w:rPr>
        <w:t>الل</w:t>
      </w:r>
      <w:r w:rsidRPr="006571AC">
        <w:rPr>
          <w:rFonts w:ascii="Sakkal Majalla" w:hAnsi="Sakkal Majalla"/>
          <w:sz w:val="27"/>
          <w:rtl/>
        </w:rPr>
        <w:t>ه! قال: م</w:t>
      </w:r>
      <w:r w:rsidR="002D4377" w:rsidRPr="006571AC">
        <w:rPr>
          <w:rFonts w:ascii="Sakkal Majalla" w:hAnsi="Sakkal Majalla" w:hint="cs"/>
          <w:sz w:val="27"/>
          <w:rtl/>
        </w:rPr>
        <w:t>َ</w:t>
      </w:r>
      <w:r w:rsidRPr="006571AC">
        <w:rPr>
          <w:rFonts w:ascii="Sakkal Majalla" w:hAnsi="Sakkal Majalla"/>
          <w:sz w:val="27"/>
          <w:rtl/>
        </w:rPr>
        <w:t>ن</w:t>
      </w:r>
      <w:r w:rsidR="002D4377" w:rsidRPr="006571AC">
        <w:rPr>
          <w:rFonts w:ascii="Sakkal Majalla" w:hAnsi="Sakkal Majalla" w:hint="cs"/>
          <w:sz w:val="27"/>
          <w:rtl/>
        </w:rPr>
        <w:t>ْ</w:t>
      </w:r>
      <w:r w:rsidRPr="006571AC">
        <w:rPr>
          <w:rFonts w:ascii="Sakkal Majalla" w:hAnsi="Sakkal Majalla"/>
          <w:sz w:val="27"/>
          <w:rtl/>
        </w:rPr>
        <w:t xml:space="preserve"> كنت مولاه فإنّ عليّاً بعدي مولاه، </w:t>
      </w:r>
      <w:r w:rsidR="0097633B" w:rsidRPr="006571AC">
        <w:rPr>
          <w:rFonts w:ascii="Sakkal Majalla" w:hAnsi="Sakkal Majalla"/>
          <w:sz w:val="27"/>
          <w:rtl/>
        </w:rPr>
        <w:t>الل</w:t>
      </w:r>
      <w:r w:rsidRPr="006571AC">
        <w:rPr>
          <w:rFonts w:ascii="Sakkal Majalla" w:hAnsi="Sakkal Majalla"/>
          <w:sz w:val="27"/>
          <w:rtl/>
        </w:rPr>
        <w:t>همّ والِ م</w:t>
      </w:r>
      <w:r w:rsidR="002D4377" w:rsidRPr="006571AC">
        <w:rPr>
          <w:rFonts w:ascii="Sakkal Majalla" w:hAnsi="Sakkal Majalla" w:hint="cs"/>
          <w:sz w:val="27"/>
          <w:rtl/>
        </w:rPr>
        <w:t>َ</w:t>
      </w:r>
      <w:r w:rsidRPr="006571AC">
        <w:rPr>
          <w:rFonts w:ascii="Sakkal Majalla" w:hAnsi="Sakkal Majalla"/>
          <w:sz w:val="27"/>
          <w:rtl/>
        </w:rPr>
        <w:t>ن</w:t>
      </w:r>
      <w:r w:rsidR="002D4377" w:rsidRPr="006571AC">
        <w:rPr>
          <w:rFonts w:ascii="Sakkal Majalla" w:hAnsi="Sakkal Majalla" w:hint="cs"/>
          <w:sz w:val="27"/>
          <w:rtl/>
        </w:rPr>
        <w:t>ْ</w:t>
      </w:r>
      <w:r w:rsidRPr="006571AC">
        <w:rPr>
          <w:rFonts w:ascii="Sakkal Majalla" w:hAnsi="Sakkal Majalla"/>
          <w:sz w:val="27"/>
          <w:rtl/>
        </w:rPr>
        <w:t xml:space="preserve"> ولاه</w:t>
      </w:r>
      <w:r w:rsidR="002D4377" w:rsidRPr="006571AC">
        <w:rPr>
          <w:rFonts w:ascii="Sakkal Majalla" w:hAnsi="Sakkal Majalla" w:hint="cs"/>
          <w:sz w:val="27"/>
          <w:rtl/>
        </w:rPr>
        <w:t>،</w:t>
      </w:r>
      <w:r w:rsidRPr="006571AC">
        <w:rPr>
          <w:rFonts w:ascii="Sakkal Majalla" w:hAnsi="Sakkal Majalla"/>
          <w:sz w:val="27"/>
          <w:rtl/>
        </w:rPr>
        <w:t xml:space="preserve"> وعادِ م</w:t>
      </w:r>
      <w:r w:rsidR="002D4377" w:rsidRPr="006571AC">
        <w:rPr>
          <w:rFonts w:ascii="Sakkal Majalla" w:hAnsi="Sakkal Majalla" w:hint="cs"/>
          <w:sz w:val="27"/>
          <w:rtl/>
        </w:rPr>
        <w:t>َ</w:t>
      </w:r>
      <w:r w:rsidRPr="006571AC">
        <w:rPr>
          <w:rFonts w:ascii="Sakkal Majalla" w:hAnsi="Sakkal Majalla"/>
          <w:sz w:val="27"/>
          <w:rtl/>
        </w:rPr>
        <w:t>ن</w:t>
      </w:r>
      <w:r w:rsidR="002D4377" w:rsidRPr="006571AC">
        <w:rPr>
          <w:rFonts w:ascii="Sakkal Majalla" w:hAnsi="Sakkal Majalla" w:hint="cs"/>
          <w:sz w:val="27"/>
          <w:rtl/>
        </w:rPr>
        <w:t>ْ</w:t>
      </w:r>
      <w:r w:rsidRPr="006571AC">
        <w:rPr>
          <w:rFonts w:ascii="Sakkal Majalla" w:hAnsi="Sakkal Majalla"/>
          <w:sz w:val="27"/>
          <w:rtl/>
        </w:rPr>
        <w:t xml:space="preserve"> عاداه</w:t>
      </w:r>
      <w:r w:rsidR="002D4377"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 xml:space="preserve">فقال عمر بن الخطّاب: هنيئاً لك يا </w:t>
      </w:r>
      <w:r w:rsidR="00B51DF0" w:rsidRPr="006571AC">
        <w:rPr>
          <w:rFonts w:ascii="Sakkal Majalla" w:hAnsi="Sakkal Majalla" w:hint="cs"/>
          <w:sz w:val="27"/>
          <w:rtl/>
        </w:rPr>
        <w:t>ا</w:t>
      </w:r>
      <w:r w:rsidRPr="006571AC">
        <w:rPr>
          <w:rFonts w:ascii="Sakkal Majalla" w:hAnsi="Sakkal Majalla"/>
          <w:sz w:val="27"/>
          <w:rtl/>
        </w:rPr>
        <w:t>بن أبي طالب، أصبح</w:t>
      </w:r>
      <w:r w:rsidR="002D4377" w:rsidRPr="006571AC">
        <w:rPr>
          <w:rFonts w:ascii="Sakkal Majalla" w:hAnsi="Sakkal Majalla" w:hint="cs"/>
          <w:sz w:val="27"/>
          <w:rtl/>
        </w:rPr>
        <w:t>ْ</w:t>
      </w:r>
      <w:r w:rsidRPr="006571AC">
        <w:rPr>
          <w:rFonts w:ascii="Sakkal Majalla" w:hAnsi="Sakkal Majalla"/>
          <w:sz w:val="27"/>
          <w:rtl/>
        </w:rPr>
        <w:t>ت</w:t>
      </w:r>
      <w:r w:rsidR="002D4377" w:rsidRPr="006571AC">
        <w:rPr>
          <w:rFonts w:ascii="Sakkal Majalla" w:hAnsi="Sakkal Majalla" w:hint="cs"/>
          <w:sz w:val="27"/>
          <w:rtl/>
        </w:rPr>
        <w:t>َ</w:t>
      </w:r>
      <w:r w:rsidRPr="006571AC">
        <w:rPr>
          <w:rFonts w:ascii="Sakkal Majalla" w:hAnsi="Sakkal Majalla"/>
          <w:sz w:val="27"/>
          <w:rtl/>
        </w:rPr>
        <w:t xml:space="preserve"> اليوم وليّ</w:t>
      </w:r>
      <w:r w:rsidR="002D4377" w:rsidRPr="006571AC">
        <w:rPr>
          <w:rFonts w:ascii="Sakkal Majalla" w:hAnsi="Sakkal Majalla" w:hint="cs"/>
          <w:sz w:val="27"/>
          <w:rtl/>
        </w:rPr>
        <w:t>َ</w:t>
      </w:r>
      <w:r w:rsidRPr="006571AC">
        <w:rPr>
          <w:rFonts w:ascii="Sakkal Majalla" w:hAnsi="Sakkal Majalla"/>
          <w:sz w:val="27"/>
          <w:rtl/>
        </w:rPr>
        <w:t xml:space="preserve"> كلّ</w:t>
      </w:r>
      <w:r w:rsidR="002D4377" w:rsidRPr="006571AC">
        <w:rPr>
          <w:rFonts w:ascii="Sakkal Majalla" w:hAnsi="Sakkal Majalla" w:hint="cs"/>
          <w:sz w:val="27"/>
          <w:rtl/>
        </w:rPr>
        <w:t>ِ</w:t>
      </w:r>
      <w:r w:rsidRPr="006571AC">
        <w:rPr>
          <w:rFonts w:ascii="Sakkal Majalla" w:hAnsi="Sakkal Majalla"/>
          <w:sz w:val="27"/>
          <w:rtl/>
        </w:rPr>
        <w:t xml:space="preserve"> مؤمن</w:t>
      </w:r>
      <w:r w:rsidR="002D4377" w:rsidRPr="006571AC">
        <w:rPr>
          <w:rFonts w:ascii="Sakkal Majalla" w:hAnsi="Sakkal Majalla" w:hint="cs"/>
          <w:sz w:val="27"/>
          <w:rtl/>
        </w:rPr>
        <w:t>ٍ</w:t>
      </w:r>
      <w:r w:rsidRPr="006571AC">
        <w:rPr>
          <w:rFonts w:ascii="Sakkal Majalla" w:hAnsi="Sakkal Majalla"/>
          <w:sz w:val="24"/>
          <w:szCs w:val="24"/>
          <w:rtl/>
        </w:rPr>
        <w:t>»</w:t>
      </w:r>
      <w:r w:rsidRPr="006571AC">
        <w:rPr>
          <w:rFonts w:ascii="Sakkal Majalla" w:hAnsi="Sakkal Majalla"/>
          <w:sz w:val="27"/>
          <w:vertAlign w:val="superscript"/>
          <w:rtl/>
        </w:rPr>
        <w:t>(</w:t>
      </w:r>
      <w:r w:rsidRPr="006571AC">
        <w:rPr>
          <w:rFonts w:ascii="Sakkal Majalla" w:hAnsi="Sakkal Majalla"/>
          <w:sz w:val="27"/>
          <w:vertAlign w:val="superscript"/>
          <w:rtl/>
        </w:rPr>
        <w:endnoteReference w:id="363"/>
      </w:r>
      <w:r w:rsidRPr="006571AC">
        <w:rPr>
          <w:rFonts w:ascii="Sakkal Majalla" w:hAnsi="Sakkal Majalla"/>
          <w:sz w:val="27"/>
          <w:vertAlign w:val="superscript"/>
          <w:rtl/>
        </w:rPr>
        <w:t>)</w:t>
      </w:r>
      <w:r w:rsidRPr="006571AC">
        <w:rPr>
          <w:rFonts w:ascii="Sakkal Majalla" w:hAnsi="Sakkal Majalla"/>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sz w:val="27"/>
          <w:rtl/>
        </w:rPr>
        <w:t>فلو كان النبيّ</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 xml:space="preserve">يريد </w:t>
      </w:r>
      <w:r w:rsidRPr="006571AC">
        <w:rPr>
          <w:rFonts w:ascii="Sakkal Majalla" w:hAnsi="Sakkal Majalla"/>
          <w:sz w:val="24"/>
          <w:szCs w:val="24"/>
          <w:rtl/>
        </w:rPr>
        <w:t>«</w:t>
      </w:r>
      <w:r w:rsidRPr="006571AC">
        <w:rPr>
          <w:rFonts w:ascii="Sakkal Majalla" w:hAnsi="Sakkal Majalla"/>
          <w:sz w:val="27"/>
          <w:rtl/>
        </w:rPr>
        <w:t>المحبّة</w:t>
      </w:r>
      <w:r w:rsidRPr="006571AC">
        <w:rPr>
          <w:rFonts w:ascii="Sakkal Majalla" w:hAnsi="Sakkal Majalla"/>
          <w:sz w:val="24"/>
          <w:szCs w:val="24"/>
          <w:rtl/>
        </w:rPr>
        <w:t>»</w:t>
      </w:r>
      <w:r w:rsidR="002D4377" w:rsidRPr="006571AC">
        <w:rPr>
          <w:rFonts w:ascii="Sakkal Majalla" w:hAnsi="Sakkal Majalla"/>
          <w:sz w:val="27"/>
          <w:rtl/>
        </w:rPr>
        <w:t xml:space="preserve"> ل</w:t>
      </w:r>
      <w:r w:rsidRPr="006571AC">
        <w:rPr>
          <w:rFonts w:ascii="Sakkal Majalla" w:hAnsi="Sakkal Majalla"/>
          <w:sz w:val="27"/>
          <w:rtl/>
        </w:rPr>
        <w:t xml:space="preserve">ما كان </w:t>
      </w:r>
      <w:r w:rsidRPr="006571AC">
        <w:rPr>
          <w:rFonts w:ascii="Sakkal Majalla" w:hAnsi="Sakkal Majalla" w:hint="cs"/>
          <w:sz w:val="27"/>
          <w:rtl/>
        </w:rPr>
        <w:t>وجه</w:t>
      </w:r>
      <w:r w:rsidR="002D4377"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 xml:space="preserve">لتقييد </w:t>
      </w:r>
      <w:r w:rsidRPr="006571AC">
        <w:rPr>
          <w:rFonts w:ascii="Sakkal Majalla" w:hAnsi="Sakkal Majalla" w:hint="cs"/>
          <w:sz w:val="27"/>
          <w:rtl/>
        </w:rPr>
        <w:t xml:space="preserve">كلامه </w:t>
      </w:r>
      <w:r w:rsidRPr="006571AC">
        <w:rPr>
          <w:rFonts w:ascii="Sakkal Majalla" w:hAnsi="Sakkal Majalla"/>
          <w:sz w:val="27"/>
          <w:rtl/>
        </w:rPr>
        <w:t xml:space="preserve">بقوله: </w:t>
      </w:r>
      <w:r w:rsidRPr="006571AC">
        <w:rPr>
          <w:rFonts w:ascii="Sakkal Majalla" w:hAnsi="Sakkal Majalla"/>
          <w:sz w:val="24"/>
          <w:szCs w:val="24"/>
          <w:rtl/>
        </w:rPr>
        <w:t>«</w:t>
      </w:r>
      <w:r w:rsidRPr="006571AC">
        <w:rPr>
          <w:rFonts w:ascii="Sakkal Majalla" w:hAnsi="Sakkal Majalla"/>
          <w:sz w:val="27"/>
          <w:rtl/>
        </w:rPr>
        <w:t>بعدي</w:t>
      </w:r>
      <w:r w:rsidRPr="006571AC">
        <w:rPr>
          <w:rFonts w:ascii="Sakkal Majalla" w:hAnsi="Sakkal Majalla"/>
          <w:sz w:val="24"/>
          <w:szCs w:val="24"/>
          <w:rtl/>
        </w:rPr>
        <w:t>»</w:t>
      </w:r>
      <w:r w:rsidR="002D4377" w:rsidRPr="006571AC">
        <w:rPr>
          <w:rFonts w:ascii="Sakkal Majalla" w:hAnsi="Sakkal Majalla"/>
          <w:sz w:val="27"/>
          <w:rtl/>
        </w:rPr>
        <w:t>، ول</w:t>
      </w:r>
      <w:r w:rsidRPr="006571AC">
        <w:rPr>
          <w:rFonts w:ascii="Sakkal Majalla" w:hAnsi="Sakkal Majalla"/>
          <w:sz w:val="27"/>
          <w:rtl/>
        </w:rPr>
        <w:t>ما صحّ</w:t>
      </w:r>
      <w:r w:rsidR="002D4377" w:rsidRPr="006571AC">
        <w:rPr>
          <w:rFonts w:ascii="Sakkal Majalla" w:hAnsi="Sakkal Majalla" w:hint="cs"/>
          <w:sz w:val="27"/>
          <w:rtl/>
        </w:rPr>
        <w:t>َ</w:t>
      </w:r>
      <w:r w:rsidRPr="006571AC">
        <w:rPr>
          <w:rFonts w:ascii="Sakkal Majalla" w:hAnsi="Sakkal Majalla"/>
          <w:sz w:val="27"/>
          <w:rtl/>
        </w:rPr>
        <w:t xml:space="preserve"> لعمر أن يقول: </w:t>
      </w:r>
      <w:r w:rsidRPr="006571AC">
        <w:rPr>
          <w:rFonts w:ascii="Sakkal Majalla" w:hAnsi="Sakkal Majalla"/>
          <w:sz w:val="24"/>
          <w:szCs w:val="24"/>
          <w:rtl/>
        </w:rPr>
        <w:t>«</w:t>
      </w:r>
      <w:r w:rsidRPr="006571AC">
        <w:rPr>
          <w:rFonts w:ascii="Sakkal Majalla" w:hAnsi="Sakkal Majalla"/>
          <w:sz w:val="27"/>
          <w:rtl/>
        </w:rPr>
        <w:t>أصبح</w:t>
      </w:r>
      <w:r w:rsidR="002D4377" w:rsidRPr="006571AC">
        <w:rPr>
          <w:rFonts w:ascii="Sakkal Majalla" w:hAnsi="Sakkal Majalla" w:hint="cs"/>
          <w:sz w:val="27"/>
          <w:rtl/>
        </w:rPr>
        <w:t>ْ</w:t>
      </w:r>
      <w:r w:rsidRPr="006571AC">
        <w:rPr>
          <w:rFonts w:ascii="Sakkal Majalla" w:hAnsi="Sakkal Majalla"/>
          <w:sz w:val="27"/>
          <w:rtl/>
        </w:rPr>
        <w:t>ت</w:t>
      </w:r>
      <w:r w:rsidR="002D4377" w:rsidRPr="006571AC">
        <w:rPr>
          <w:rFonts w:ascii="Sakkal Majalla" w:hAnsi="Sakkal Majalla" w:hint="cs"/>
          <w:sz w:val="27"/>
          <w:rtl/>
        </w:rPr>
        <w:t>َ</w:t>
      </w:r>
      <w:r w:rsidRPr="006571AC">
        <w:rPr>
          <w:rFonts w:ascii="Sakkal Majalla" w:hAnsi="Sakkal Majalla"/>
          <w:sz w:val="27"/>
          <w:rtl/>
        </w:rPr>
        <w:t xml:space="preserve"> اليوم...</w:t>
      </w:r>
      <w:r w:rsidRPr="006571AC">
        <w:rPr>
          <w:rFonts w:ascii="Sakkal Majalla" w:hAnsi="Sakkal Majalla"/>
          <w:sz w:val="24"/>
          <w:szCs w:val="24"/>
          <w:rtl/>
        </w:rPr>
        <w:t>»</w:t>
      </w:r>
      <w:r w:rsidRPr="006571AC">
        <w:rPr>
          <w:rFonts w:ascii="Sakkal Majalla" w:hAnsi="Sakkal Majalla"/>
          <w:sz w:val="27"/>
          <w:rtl/>
        </w:rPr>
        <w:t xml:space="preserve">. </w:t>
      </w:r>
    </w:p>
    <w:p w:rsidR="005D05A4" w:rsidRPr="006571AC" w:rsidRDefault="002D4377" w:rsidP="00B41BA0">
      <w:pPr>
        <w:rPr>
          <w:rFonts w:ascii="Sakkal Majalla" w:hAnsi="Sakkal Majalla"/>
          <w:sz w:val="27"/>
        </w:rPr>
      </w:pPr>
      <w:r w:rsidRPr="006571AC">
        <w:rPr>
          <w:rFonts w:ascii="Sakkal Majalla" w:hAnsi="Sakkal Majalla" w:hint="cs"/>
          <w:b/>
          <w:bCs/>
          <w:sz w:val="27"/>
          <w:rtl/>
        </w:rPr>
        <w:t>ثالثاً</w:t>
      </w:r>
      <w:r w:rsidR="005D05A4" w:rsidRPr="006571AC">
        <w:rPr>
          <w:rFonts w:ascii="Sakkal Majalla" w:hAnsi="Sakkal Majalla"/>
          <w:b/>
          <w:bCs/>
          <w:sz w:val="27"/>
          <w:rtl/>
        </w:rPr>
        <w:t xml:space="preserve">: </w:t>
      </w:r>
      <w:r w:rsidR="005D05A4" w:rsidRPr="006571AC">
        <w:rPr>
          <w:rFonts w:ascii="Sakkal Majalla" w:hAnsi="Sakkal Majalla"/>
          <w:sz w:val="27"/>
          <w:rtl/>
        </w:rPr>
        <w:t>من ال</w:t>
      </w:r>
      <w:r w:rsidRPr="006571AC">
        <w:rPr>
          <w:rFonts w:ascii="Sakkal Majalla" w:hAnsi="Sakkal Majalla" w:hint="cs"/>
          <w:sz w:val="27"/>
          <w:rtl/>
        </w:rPr>
        <w:t>أ</w:t>
      </w:r>
      <w:r w:rsidR="005D05A4" w:rsidRPr="006571AC">
        <w:rPr>
          <w:rFonts w:ascii="Sakkal Majalla" w:hAnsi="Sakkal Majalla"/>
          <w:sz w:val="27"/>
          <w:rtl/>
        </w:rPr>
        <w:t>دلة الت</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دلّت</w:t>
      </w:r>
      <w:r w:rsidR="005D05A4" w:rsidRPr="006571AC">
        <w:rPr>
          <w:rFonts w:ascii="Sakkal Majalla" w:hAnsi="Sakkal Majalla"/>
          <w:sz w:val="27"/>
          <w:rtl/>
        </w:rPr>
        <w:t xml:space="preserve"> على </w:t>
      </w:r>
      <w:r w:rsidRPr="006571AC">
        <w:rPr>
          <w:rFonts w:ascii="Sakkal Majalla" w:hAnsi="Sakkal Majalla" w:hint="cs"/>
          <w:sz w:val="27"/>
          <w:rtl/>
        </w:rPr>
        <w:t>أ</w:t>
      </w:r>
      <w:r w:rsidR="005D05A4" w:rsidRPr="006571AC">
        <w:rPr>
          <w:rFonts w:ascii="Sakkal Majalla" w:hAnsi="Sakkal Majalla" w:hint="cs"/>
          <w:sz w:val="27"/>
          <w:rtl/>
        </w:rPr>
        <w:t>ن</w:t>
      </w:r>
      <w:r w:rsidR="005D05A4" w:rsidRPr="006571AC">
        <w:rPr>
          <w:rFonts w:ascii="Sakkal Majalla" w:hAnsi="Sakkal Majalla"/>
          <w:sz w:val="27"/>
          <w:rtl/>
        </w:rPr>
        <w:t xml:space="preserve"> </w:t>
      </w:r>
      <w:r w:rsidR="005D05A4" w:rsidRPr="006571AC">
        <w:rPr>
          <w:rFonts w:ascii="Sakkal Majalla" w:hAnsi="Sakkal Majalla" w:hint="cs"/>
          <w:sz w:val="27"/>
          <w:rtl/>
        </w:rPr>
        <w:t>المقصود</w:t>
      </w:r>
      <w:r w:rsidR="005D05A4" w:rsidRPr="006571AC">
        <w:rPr>
          <w:rFonts w:ascii="Sakkal Majalla" w:hAnsi="Sakkal Majalla"/>
          <w:sz w:val="27"/>
          <w:rtl/>
        </w:rPr>
        <w:t xml:space="preserve"> </w:t>
      </w:r>
      <w:r w:rsidR="005D05A4" w:rsidRPr="006571AC">
        <w:rPr>
          <w:rFonts w:ascii="Sakkal Majalla" w:hAnsi="Sakkal Majalla" w:hint="cs"/>
          <w:sz w:val="27"/>
          <w:rtl/>
        </w:rPr>
        <w:t>من</w:t>
      </w:r>
      <w:r w:rsidR="005D05A4" w:rsidRPr="006571AC">
        <w:rPr>
          <w:rFonts w:ascii="Sakkal Majalla" w:hAnsi="Sakkal Majalla"/>
          <w:sz w:val="27"/>
          <w:rtl/>
        </w:rPr>
        <w:t xml:space="preserve"> </w:t>
      </w:r>
      <w:r w:rsidR="005D05A4" w:rsidRPr="006571AC">
        <w:rPr>
          <w:rFonts w:ascii="Sakkal Majalla" w:hAnsi="Sakkal Majalla" w:hint="cs"/>
          <w:sz w:val="27"/>
          <w:rtl/>
        </w:rPr>
        <w:t>المول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ف</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حد</w:t>
      </w:r>
      <w:r w:rsidR="005D05A4" w:rsidRPr="006571AC">
        <w:rPr>
          <w:rFonts w:ascii="Times New Roman" w:hAnsi="Times New Roman" w:hint="cs"/>
          <w:sz w:val="27"/>
          <w:rtl/>
        </w:rPr>
        <w:t>ي</w:t>
      </w:r>
      <w:r w:rsidR="005D05A4" w:rsidRPr="006571AC">
        <w:rPr>
          <w:rFonts w:ascii="Sakkal Majalla" w:hAnsi="Sakkal Majalla" w:hint="cs"/>
          <w:sz w:val="27"/>
          <w:rtl/>
        </w:rPr>
        <w:t>ث</w:t>
      </w:r>
      <w:r w:rsidR="005D05A4" w:rsidRPr="006571AC">
        <w:rPr>
          <w:rFonts w:ascii="Sakkal Majalla" w:hAnsi="Sakkal Majalla"/>
          <w:sz w:val="27"/>
          <w:rtl/>
        </w:rPr>
        <w:t xml:space="preserve"> </w:t>
      </w:r>
      <w:r w:rsidR="005D05A4" w:rsidRPr="006571AC">
        <w:rPr>
          <w:rFonts w:ascii="Sakkal Majalla" w:hAnsi="Sakkal Majalla" w:hint="cs"/>
          <w:sz w:val="27"/>
          <w:rtl/>
        </w:rPr>
        <w:t>الغد</w:t>
      </w:r>
      <w:r w:rsidR="005D05A4" w:rsidRPr="006571AC">
        <w:rPr>
          <w:rFonts w:ascii="Times New Roman" w:hAnsi="Times New Roman" w:hint="cs"/>
          <w:sz w:val="27"/>
          <w:rtl/>
        </w:rPr>
        <w:t>ي</w:t>
      </w:r>
      <w:r w:rsidR="005D05A4" w:rsidRPr="006571AC">
        <w:rPr>
          <w:rFonts w:ascii="Sakkal Majalla" w:hAnsi="Sakkal Majalla" w:hint="cs"/>
          <w:sz w:val="27"/>
          <w:rtl/>
        </w:rPr>
        <w:t>ر</w:t>
      </w:r>
      <w:r w:rsidR="005D05A4" w:rsidRPr="006571AC">
        <w:rPr>
          <w:rFonts w:ascii="Sakkal Majalla" w:hAnsi="Sakkal Majalla"/>
          <w:sz w:val="27"/>
          <w:rtl/>
        </w:rPr>
        <w:t xml:space="preserve"> </w:t>
      </w:r>
      <w:r w:rsidR="005D05A4" w:rsidRPr="006571AC">
        <w:rPr>
          <w:rFonts w:ascii="Sakkal Majalla" w:hAnsi="Sakkal Majalla" w:hint="cs"/>
          <w:sz w:val="27"/>
          <w:rtl/>
        </w:rPr>
        <w:t>هو</w:t>
      </w:r>
      <w:r w:rsidR="005D05A4" w:rsidRPr="006571AC">
        <w:rPr>
          <w:rFonts w:ascii="Sakkal Majalla" w:hAnsi="Sakkal Majalla"/>
          <w:sz w:val="27"/>
          <w:rtl/>
        </w:rPr>
        <w:t xml:space="preserve"> </w:t>
      </w:r>
      <w:r w:rsidR="005D05A4" w:rsidRPr="006571AC">
        <w:rPr>
          <w:rFonts w:ascii="Sakkal Majalla" w:hAnsi="Sakkal Majalla" w:hint="cs"/>
          <w:sz w:val="27"/>
          <w:rtl/>
        </w:rPr>
        <w:t>ال</w:t>
      </w:r>
      <w:r w:rsidRPr="006571AC">
        <w:rPr>
          <w:rFonts w:ascii="Sakkal Majalla" w:hAnsi="Sakkal Majalla" w:hint="cs"/>
          <w:sz w:val="27"/>
          <w:rtl/>
        </w:rPr>
        <w:t>أَ</w:t>
      </w:r>
      <w:r w:rsidR="005D05A4" w:rsidRPr="006571AC">
        <w:rPr>
          <w:rFonts w:ascii="Sakkal Majalla" w:hAnsi="Sakkal Majalla" w:hint="cs"/>
          <w:sz w:val="27"/>
          <w:rtl/>
        </w:rPr>
        <w:t>و</w:t>
      </w:r>
      <w:r w:rsidRPr="006571AC">
        <w:rPr>
          <w:rFonts w:ascii="Sakkal Majalla" w:hAnsi="Sakkal Majalla" w:hint="cs"/>
          <w:sz w:val="27"/>
          <w:rtl/>
        </w:rPr>
        <w:t>ْ</w:t>
      </w:r>
      <w:r w:rsidR="005D05A4" w:rsidRPr="006571AC">
        <w:rPr>
          <w:rFonts w:ascii="Sakkal Majalla" w:hAnsi="Sakkal Majalla" w:hint="cs"/>
          <w:sz w:val="27"/>
          <w:rtl/>
        </w:rPr>
        <w:t>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بالتصر</w:t>
      </w:r>
      <w:r w:rsidRPr="006571AC">
        <w:rPr>
          <w:rFonts w:ascii="Sakkal Majalla" w:hAnsi="Sakkal Majalla" w:hint="cs"/>
          <w:sz w:val="27"/>
          <w:rtl/>
        </w:rPr>
        <w:t>ُّ</w:t>
      </w:r>
      <w:r w:rsidR="005D05A4" w:rsidRPr="006571AC">
        <w:rPr>
          <w:rFonts w:ascii="Sakkal Majalla" w:hAnsi="Sakkal Majalla" w:hint="cs"/>
          <w:sz w:val="27"/>
          <w:rtl/>
        </w:rPr>
        <w:t>ف</w:t>
      </w:r>
      <w:r w:rsidR="005D05A4" w:rsidRPr="006571AC">
        <w:rPr>
          <w:rFonts w:ascii="Sakkal Majalla" w:hAnsi="Sakkal Majalla"/>
          <w:sz w:val="27"/>
          <w:rtl/>
        </w:rPr>
        <w:t xml:space="preserve"> </w:t>
      </w:r>
      <w:r w:rsidR="005D05A4" w:rsidRPr="006571AC">
        <w:rPr>
          <w:rFonts w:ascii="Sakkal Majalla" w:hAnsi="Sakkal Majalla" w:hint="cs"/>
          <w:sz w:val="27"/>
          <w:rtl/>
        </w:rPr>
        <w:t>مناشدة</w:t>
      </w:r>
      <w:r w:rsidR="005D05A4" w:rsidRPr="006571AC">
        <w:rPr>
          <w:rFonts w:ascii="Sakkal Majalla" w:hAnsi="Sakkal Majalla"/>
          <w:sz w:val="27"/>
          <w:rtl/>
        </w:rPr>
        <w:t xml:space="preserve"> </w:t>
      </w:r>
      <w:r w:rsidR="005D05A4" w:rsidRPr="006571AC">
        <w:rPr>
          <w:rFonts w:ascii="Sakkal Majalla" w:hAnsi="Sakkal Majalla" w:hint="cs"/>
          <w:sz w:val="27"/>
          <w:rtl/>
        </w:rPr>
        <w:t>ال</w:t>
      </w:r>
      <w:r w:rsidRPr="006571AC">
        <w:rPr>
          <w:rFonts w:ascii="Sakkal Majalla" w:hAnsi="Sakkal Majalla" w:hint="cs"/>
          <w:sz w:val="27"/>
          <w:rtl/>
        </w:rPr>
        <w:t>إ</w:t>
      </w:r>
      <w:r w:rsidR="005D05A4" w:rsidRPr="006571AC">
        <w:rPr>
          <w:rFonts w:ascii="Sakkal Majalla" w:hAnsi="Sakkal Majalla" w:hint="cs"/>
          <w:sz w:val="27"/>
          <w:rtl/>
        </w:rPr>
        <w:t>مام</w:t>
      </w:r>
      <w:r w:rsidR="002A2C90" w:rsidRPr="006571AC">
        <w:rPr>
          <w:rFonts w:ascii="Mosawi" w:hAnsi="Mosawi" w:cs="Mosawi"/>
          <w:sz w:val="22"/>
          <w:szCs w:val="22"/>
          <w:rtl/>
        </w:rPr>
        <w:t>×</w:t>
      </w:r>
      <w:r w:rsidR="005D05A4" w:rsidRPr="006571AC">
        <w:rPr>
          <w:rFonts w:ascii="Sakkal Majalla" w:hAnsi="Sakkal Majalla"/>
          <w:sz w:val="27"/>
          <w:rtl/>
        </w:rPr>
        <w:t xml:space="preserve"> </w:t>
      </w:r>
      <w:r w:rsidR="005D05A4" w:rsidRPr="006571AC">
        <w:rPr>
          <w:rFonts w:ascii="Sakkal Majalla" w:hAnsi="Sakkal Majalla" w:hint="cs"/>
          <w:sz w:val="27"/>
          <w:rtl/>
        </w:rPr>
        <w:t>صحابة</w:t>
      </w:r>
      <w:r w:rsidR="005D05A4" w:rsidRPr="006571AC">
        <w:rPr>
          <w:rFonts w:ascii="Sakkal Majalla" w:hAnsi="Sakkal Majalla"/>
          <w:sz w:val="27"/>
          <w:rtl/>
        </w:rPr>
        <w:t xml:space="preserve"> </w:t>
      </w:r>
      <w:r w:rsidR="005D05A4" w:rsidRPr="006571AC">
        <w:rPr>
          <w:rFonts w:ascii="Sakkal Majalla" w:hAnsi="Sakkal Majalla" w:hint="cs"/>
          <w:sz w:val="27"/>
          <w:rtl/>
        </w:rPr>
        <w:t>النب</w:t>
      </w:r>
      <w:r w:rsidR="005D05A4" w:rsidRPr="006571AC">
        <w:rPr>
          <w:rFonts w:ascii="Times New Roman" w:hAnsi="Times New Roman" w:hint="cs"/>
          <w:sz w:val="27"/>
          <w:rtl/>
        </w:rPr>
        <w:t>ي</w:t>
      </w:r>
      <w:r w:rsidRPr="006571AC">
        <w:rPr>
          <w:rFonts w:ascii="Times New Roman" w:hAnsi="Times New Roman" w:hint="cs"/>
          <w:sz w:val="27"/>
          <w:rtl/>
        </w:rPr>
        <w:t>ّ</w:t>
      </w:r>
      <w:r w:rsidR="002A2C90" w:rsidRPr="006571AC">
        <w:rPr>
          <w:rFonts w:ascii="Mosawi" w:hAnsi="Mosawi" w:cs="Mosawi"/>
          <w:sz w:val="22"/>
          <w:szCs w:val="22"/>
          <w:rtl/>
        </w:rPr>
        <w:t>|</w:t>
      </w:r>
      <w:r w:rsidR="005D05A4" w:rsidRPr="006571AC">
        <w:rPr>
          <w:rFonts w:ascii="Sakkal Majalla" w:hAnsi="Sakkal Majalla"/>
          <w:sz w:val="27"/>
          <w:rtl/>
        </w:rPr>
        <w:t xml:space="preserve"> ف</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ذلك</w:t>
      </w:r>
      <w:r w:rsidRPr="006571AC">
        <w:rPr>
          <w:rFonts w:ascii="Sakkal Majalla" w:hAnsi="Sakkal Majalla" w:hint="cs"/>
          <w:sz w:val="27"/>
          <w:rtl/>
        </w:rPr>
        <w:t xml:space="preserve">، </w:t>
      </w:r>
      <w:r w:rsidR="005D05A4" w:rsidRPr="006571AC">
        <w:rPr>
          <w:rFonts w:ascii="Sakkal Majalla" w:hAnsi="Sakkal Majalla"/>
          <w:sz w:val="27"/>
          <w:rtl/>
        </w:rPr>
        <w:t>وقد رو</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هذه</w:t>
      </w:r>
      <w:r w:rsidR="005D05A4" w:rsidRPr="006571AC">
        <w:rPr>
          <w:rFonts w:ascii="Sakkal Majalla" w:hAnsi="Sakkal Majalla"/>
          <w:sz w:val="27"/>
          <w:rtl/>
        </w:rPr>
        <w:t xml:space="preserve"> المناشدة مجموعة</w:t>
      </w:r>
      <w:r w:rsidRPr="006571AC">
        <w:rPr>
          <w:rFonts w:ascii="Sakkal Majalla" w:hAnsi="Sakkal Majalla" w:hint="cs"/>
          <w:sz w:val="27"/>
          <w:rtl/>
        </w:rPr>
        <w:t>ٌ</w:t>
      </w:r>
      <w:r w:rsidRPr="006571AC">
        <w:rPr>
          <w:rFonts w:ascii="Sakkal Majalla" w:hAnsi="Sakkal Majalla"/>
          <w:sz w:val="27"/>
          <w:rtl/>
        </w:rPr>
        <w:t xml:space="preserve"> من الرواة</w:t>
      </w:r>
      <w:r w:rsidRPr="006571AC">
        <w:rPr>
          <w:rFonts w:ascii="Sakkal Majalla" w:hAnsi="Sakkal Majalla" w:hint="cs"/>
          <w:sz w:val="27"/>
          <w:rtl/>
        </w:rPr>
        <w:t>،</w:t>
      </w:r>
      <w:r w:rsidRPr="006571AC">
        <w:rPr>
          <w:rFonts w:ascii="Sakkal Majalla" w:hAnsi="Sakkal Majalla"/>
          <w:sz w:val="27"/>
          <w:rtl/>
        </w:rPr>
        <w:t xml:space="preserve"> و</w:t>
      </w:r>
      <w:r w:rsidR="005D05A4" w:rsidRPr="006571AC">
        <w:rPr>
          <w:rFonts w:ascii="Sakkal Majalla" w:hAnsi="Sakkal Majalla"/>
          <w:sz w:val="27"/>
          <w:rtl/>
        </w:rPr>
        <w:t>نقلت</w:t>
      </w:r>
      <w:r w:rsidR="005D05A4" w:rsidRPr="006571AC">
        <w:rPr>
          <w:rFonts w:ascii="Sakkal Majalla" w:hAnsi="Sakkal Majalla" w:hint="cs"/>
          <w:sz w:val="27"/>
          <w:rtl/>
        </w:rPr>
        <w:t>ها</w:t>
      </w:r>
      <w:r w:rsidR="005D05A4" w:rsidRPr="006571AC">
        <w:rPr>
          <w:rFonts w:ascii="Sakkal Majalla" w:hAnsi="Sakkal Majalla"/>
          <w:sz w:val="27"/>
          <w:rtl/>
        </w:rPr>
        <w:t xml:space="preserve"> كتب الس</w:t>
      </w:r>
      <w:r w:rsidRPr="006571AC">
        <w:rPr>
          <w:rFonts w:ascii="Sakkal Majalla" w:hAnsi="Sakkal Majalla" w:hint="cs"/>
          <w:sz w:val="27"/>
          <w:rtl/>
        </w:rPr>
        <w:t>ِّ</w:t>
      </w:r>
      <w:r w:rsidR="005D05A4" w:rsidRPr="006571AC">
        <w:rPr>
          <w:rFonts w:ascii="Times New Roman" w:hAnsi="Times New Roman" w:hint="cs"/>
          <w:sz w:val="27"/>
          <w:rtl/>
        </w:rPr>
        <w:t>ي</w:t>
      </w:r>
      <w:r w:rsidRPr="006571AC">
        <w:rPr>
          <w:rFonts w:ascii="Times New Roman" w:hAnsi="Times New Roman" w:hint="cs"/>
          <w:sz w:val="27"/>
          <w:rtl/>
        </w:rPr>
        <w:t>َ</w:t>
      </w:r>
      <w:r w:rsidR="005D05A4" w:rsidRPr="006571AC">
        <w:rPr>
          <w:rFonts w:ascii="Sakkal Majalla" w:hAnsi="Sakkal Majalla" w:hint="cs"/>
          <w:sz w:val="27"/>
          <w:rtl/>
        </w:rPr>
        <w:t>ر</w:t>
      </w:r>
      <w:r w:rsidR="005D05A4" w:rsidRPr="006571AC">
        <w:rPr>
          <w:rFonts w:ascii="Sakkal Majalla" w:hAnsi="Sakkal Majalla"/>
          <w:sz w:val="27"/>
          <w:rtl/>
        </w:rPr>
        <w:t xml:space="preserve"> والحد</w:t>
      </w:r>
      <w:r w:rsidR="005D05A4" w:rsidRPr="006571AC">
        <w:rPr>
          <w:rFonts w:ascii="Times New Roman" w:hAnsi="Times New Roman" w:hint="cs"/>
          <w:sz w:val="27"/>
          <w:rtl/>
        </w:rPr>
        <w:t>ي</w:t>
      </w:r>
      <w:r w:rsidR="005D05A4" w:rsidRPr="006571AC">
        <w:rPr>
          <w:rFonts w:ascii="Sakkal Majalla" w:hAnsi="Sakkal Majalla" w:hint="cs"/>
          <w:sz w:val="27"/>
          <w:rtl/>
        </w:rPr>
        <w:t>ث</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و</w:t>
      </w:r>
      <w:r w:rsidR="005D05A4" w:rsidRPr="006571AC">
        <w:rPr>
          <w:rFonts w:ascii="Sakkal Majalla" w:hAnsi="Sakkal Majalla"/>
          <w:sz w:val="27"/>
          <w:rtl/>
        </w:rPr>
        <w:t>من تلك المناشدات ما نقله ابن الأثير عن أب</w:t>
      </w:r>
      <w:r w:rsidR="007B33E0" w:rsidRPr="006571AC">
        <w:rPr>
          <w:rFonts w:ascii="Sakkal Majalla" w:hAnsi="Sakkal Majalla" w:hint="cs"/>
          <w:sz w:val="27"/>
          <w:rtl/>
        </w:rPr>
        <w:t>ي</w:t>
      </w:r>
      <w:r w:rsidR="005D05A4" w:rsidRPr="006571AC">
        <w:rPr>
          <w:rFonts w:ascii="Sakkal Majalla" w:hAnsi="Sakkal Majalla"/>
          <w:sz w:val="27"/>
          <w:rtl/>
        </w:rPr>
        <w:t xml:space="preserve"> زينب بن عوف الأنصاري</w:t>
      </w:r>
      <w:r w:rsidR="007B33E0" w:rsidRPr="006571AC">
        <w:rPr>
          <w:rFonts w:ascii="Sakkal Majalla" w:hAnsi="Sakkal Majalla" w:hint="cs"/>
          <w:sz w:val="27"/>
          <w:rtl/>
        </w:rPr>
        <w:t>:</w:t>
      </w:r>
      <w:r w:rsidR="005D05A4" w:rsidRPr="006571AC">
        <w:rPr>
          <w:rFonts w:ascii="Sakkal Majalla" w:hAnsi="Sakkal Majalla"/>
          <w:sz w:val="27"/>
          <w:rtl/>
        </w:rPr>
        <w:t xml:space="preserve"> روى الأصبغ بن نباتة قال: </w:t>
      </w:r>
      <w:r w:rsidR="005D05A4" w:rsidRPr="006571AC">
        <w:rPr>
          <w:rFonts w:ascii="Sakkal Majalla" w:hAnsi="Sakkal Majalla" w:hint="cs"/>
          <w:sz w:val="24"/>
          <w:szCs w:val="24"/>
          <w:rtl/>
        </w:rPr>
        <w:t>«</w:t>
      </w:r>
      <w:r w:rsidR="005D05A4" w:rsidRPr="006571AC">
        <w:rPr>
          <w:rFonts w:ascii="Sakkal Majalla" w:hAnsi="Sakkal Majalla"/>
          <w:sz w:val="27"/>
          <w:rtl/>
        </w:rPr>
        <w:t>نشد على الناس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سمع رسول </w:t>
      </w:r>
      <w:r w:rsidR="0097633B" w:rsidRPr="006571AC">
        <w:rPr>
          <w:rFonts w:ascii="Sakkal Majalla" w:hAnsi="Sakkal Majalla"/>
          <w:sz w:val="27"/>
          <w:rtl/>
        </w:rPr>
        <w:t>الل</w:t>
      </w:r>
      <w:r w:rsidR="005D05A4" w:rsidRPr="006571AC">
        <w:rPr>
          <w:rFonts w:ascii="Sakkal Majalla" w:hAnsi="Sakkal Majalla"/>
          <w:sz w:val="27"/>
          <w:rtl/>
        </w:rPr>
        <w:t>ه</w:t>
      </w:r>
      <w:r w:rsidR="004459D6" w:rsidRPr="006571AC">
        <w:rPr>
          <w:rFonts w:ascii="Mosawi" w:hAnsi="Mosawi" w:cs="Mosawi"/>
          <w:sz w:val="22"/>
          <w:szCs w:val="22"/>
          <w:rtl/>
        </w:rPr>
        <w:t>ﷺ</w:t>
      </w:r>
      <w:r w:rsidR="005D05A4" w:rsidRPr="006571AC">
        <w:rPr>
          <w:rFonts w:ascii="Sakkal Majalla" w:hAnsi="Sakkal Majalla"/>
          <w:sz w:val="27"/>
          <w:rtl/>
        </w:rPr>
        <w:t xml:space="preserve"> يقول يوم غدير خم</w:t>
      </w:r>
      <w:r w:rsidR="007B33E0" w:rsidRPr="006571AC">
        <w:rPr>
          <w:rFonts w:ascii="Sakkal Majalla" w:hAnsi="Sakkal Majalla" w:hint="cs"/>
          <w:sz w:val="27"/>
          <w:rtl/>
        </w:rPr>
        <w:t>ّ</w:t>
      </w:r>
      <w:r w:rsidR="005D05A4" w:rsidRPr="006571AC">
        <w:rPr>
          <w:rFonts w:ascii="Sakkal Majalla" w:hAnsi="Sakkal Majalla"/>
          <w:sz w:val="27"/>
          <w:rtl/>
        </w:rPr>
        <w:t xml:space="preserve"> ما قال إ</w:t>
      </w:r>
      <w:r w:rsidR="003C2639" w:rsidRPr="006571AC">
        <w:rPr>
          <w:rFonts w:ascii="Sakkal Majalla" w:hAnsi="Sakkal Majalla"/>
          <w:sz w:val="27"/>
          <w:rtl/>
        </w:rPr>
        <w:t>لاّ</w:t>
      </w:r>
      <w:r w:rsidR="005D05A4" w:rsidRPr="006571AC">
        <w:rPr>
          <w:rFonts w:ascii="Sakkal Majalla" w:hAnsi="Sakkal Majalla"/>
          <w:sz w:val="27"/>
          <w:rtl/>
        </w:rPr>
        <w:t xml:space="preserve"> قام</w:t>
      </w:r>
      <w:r w:rsidR="007B33E0" w:rsidRPr="006571AC">
        <w:rPr>
          <w:rFonts w:ascii="Sakkal Majalla" w:hAnsi="Sakkal Majalla" w:hint="cs"/>
          <w:sz w:val="27"/>
          <w:rtl/>
        </w:rPr>
        <w:t>،</w:t>
      </w:r>
      <w:r w:rsidR="005D05A4" w:rsidRPr="006571AC">
        <w:rPr>
          <w:rFonts w:ascii="Sakkal Majalla" w:hAnsi="Sakkal Majalla"/>
          <w:sz w:val="27"/>
          <w:rtl/>
        </w:rPr>
        <w:t xml:space="preserve"> فقام بضعة عشر</w:t>
      </w:r>
      <w:r w:rsidR="007B33E0" w:rsidRPr="006571AC">
        <w:rPr>
          <w:rFonts w:ascii="Sakkal Majalla" w:hAnsi="Sakkal Majalla" w:hint="cs"/>
          <w:sz w:val="27"/>
          <w:rtl/>
        </w:rPr>
        <w:t>،</w:t>
      </w:r>
      <w:r w:rsidR="005D05A4" w:rsidRPr="006571AC">
        <w:rPr>
          <w:rFonts w:ascii="Sakkal Majalla" w:hAnsi="Sakkal Majalla"/>
          <w:sz w:val="27"/>
          <w:rtl/>
        </w:rPr>
        <w:t xml:space="preserve"> فيهم</w:t>
      </w:r>
      <w:r w:rsidR="007B33E0" w:rsidRPr="006571AC">
        <w:rPr>
          <w:rFonts w:ascii="Sakkal Majalla" w:hAnsi="Sakkal Majalla" w:hint="cs"/>
          <w:sz w:val="27"/>
          <w:rtl/>
        </w:rPr>
        <w:t>:</w:t>
      </w:r>
      <w:r w:rsidR="005D05A4" w:rsidRPr="006571AC">
        <w:rPr>
          <w:rFonts w:ascii="Sakkal Majalla" w:hAnsi="Sakkal Majalla"/>
          <w:sz w:val="27"/>
          <w:rtl/>
        </w:rPr>
        <w:t xml:space="preserve"> أبو أيوب ال</w:t>
      </w:r>
      <w:r w:rsidR="007B33E0" w:rsidRPr="006571AC">
        <w:rPr>
          <w:rFonts w:ascii="Sakkal Majalla" w:hAnsi="Sakkal Majalla" w:hint="cs"/>
          <w:sz w:val="27"/>
          <w:rtl/>
        </w:rPr>
        <w:t>أ</w:t>
      </w:r>
      <w:r w:rsidR="005D05A4" w:rsidRPr="006571AC">
        <w:rPr>
          <w:rFonts w:ascii="Sakkal Majalla" w:hAnsi="Sakkal Majalla"/>
          <w:sz w:val="27"/>
          <w:rtl/>
        </w:rPr>
        <w:t>نصاري وأبو زينب</w:t>
      </w:r>
      <w:r w:rsidR="007B33E0" w:rsidRPr="006571AC">
        <w:rPr>
          <w:rFonts w:ascii="Sakkal Majalla" w:hAnsi="Sakkal Majalla" w:hint="cs"/>
          <w:sz w:val="27"/>
          <w:rtl/>
        </w:rPr>
        <w:t>،</w:t>
      </w:r>
      <w:r w:rsidR="005D05A4" w:rsidRPr="006571AC">
        <w:rPr>
          <w:rFonts w:ascii="Sakkal Majalla" w:hAnsi="Sakkal Majalla"/>
          <w:sz w:val="27"/>
          <w:rtl/>
        </w:rPr>
        <w:t xml:space="preserve"> فقالوا: نشهد أنّا سمعنا رسول </w:t>
      </w:r>
      <w:r w:rsidR="0097633B" w:rsidRPr="006571AC">
        <w:rPr>
          <w:rFonts w:ascii="Sakkal Majalla" w:hAnsi="Sakkal Majalla"/>
          <w:sz w:val="27"/>
          <w:rtl/>
        </w:rPr>
        <w:t>الل</w:t>
      </w:r>
      <w:r w:rsidR="005D05A4" w:rsidRPr="006571AC">
        <w:rPr>
          <w:rFonts w:ascii="Sakkal Majalla" w:hAnsi="Sakkal Majalla"/>
          <w:sz w:val="27"/>
          <w:rtl/>
        </w:rPr>
        <w:t>ه</w:t>
      </w:r>
      <w:r w:rsidR="004459D6" w:rsidRPr="006571AC">
        <w:rPr>
          <w:rFonts w:ascii="Mosawi" w:hAnsi="Mosawi" w:cs="Mosawi"/>
          <w:sz w:val="22"/>
          <w:szCs w:val="22"/>
          <w:rtl/>
        </w:rPr>
        <w:t>ﷺ</w:t>
      </w:r>
      <w:r w:rsidR="005D05A4" w:rsidRPr="006571AC">
        <w:rPr>
          <w:rFonts w:ascii="Sakkal Majalla" w:hAnsi="Sakkal Majalla"/>
          <w:sz w:val="27"/>
          <w:rtl/>
        </w:rPr>
        <w:t xml:space="preserve"> وأخذ بيدك يوم غدير خم</w:t>
      </w:r>
      <w:r w:rsidR="007B33E0" w:rsidRPr="006571AC">
        <w:rPr>
          <w:rFonts w:ascii="Sakkal Majalla" w:hAnsi="Sakkal Majalla" w:hint="cs"/>
          <w:sz w:val="27"/>
          <w:rtl/>
        </w:rPr>
        <w:t>ّ</w:t>
      </w:r>
      <w:r w:rsidR="00B51DF0" w:rsidRPr="006571AC">
        <w:rPr>
          <w:rFonts w:ascii="Sakkal Majalla" w:hAnsi="Sakkal Majalla" w:hint="cs"/>
          <w:sz w:val="27"/>
          <w:rtl/>
        </w:rPr>
        <w:t>،</w:t>
      </w:r>
      <w:r w:rsidR="005D05A4" w:rsidRPr="006571AC">
        <w:rPr>
          <w:rFonts w:ascii="Sakkal Majalla" w:hAnsi="Sakkal Majalla"/>
          <w:sz w:val="27"/>
          <w:rtl/>
        </w:rPr>
        <w:t xml:space="preserve"> فرفعها</w:t>
      </w:r>
      <w:r w:rsidR="00B51DF0" w:rsidRPr="006571AC">
        <w:rPr>
          <w:rFonts w:ascii="Sakkal Majalla" w:hAnsi="Sakkal Majalla" w:hint="cs"/>
          <w:sz w:val="27"/>
          <w:rtl/>
        </w:rPr>
        <w:t>،</w:t>
      </w:r>
      <w:r w:rsidR="005D05A4" w:rsidRPr="006571AC">
        <w:rPr>
          <w:rFonts w:ascii="Sakkal Majalla" w:hAnsi="Sakkal Majalla"/>
          <w:sz w:val="27"/>
          <w:rtl/>
        </w:rPr>
        <w:t xml:space="preserve"> فقال: ألست</w:t>
      </w:r>
      <w:r w:rsidR="007B33E0" w:rsidRPr="006571AC">
        <w:rPr>
          <w:rFonts w:ascii="Sakkal Majalla" w:hAnsi="Sakkal Majalla" w:hint="cs"/>
          <w:sz w:val="27"/>
          <w:rtl/>
        </w:rPr>
        <w:t>ُ</w:t>
      </w:r>
      <w:r w:rsidR="005D05A4" w:rsidRPr="006571AC">
        <w:rPr>
          <w:rFonts w:ascii="Sakkal Majalla" w:hAnsi="Sakkal Majalla"/>
          <w:sz w:val="27"/>
          <w:rtl/>
        </w:rPr>
        <w:t>م تشهدون أني قد بلّ</w:t>
      </w:r>
      <w:r w:rsidR="007B33E0" w:rsidRPr="006571AC">
        <w:rPr>
          <w:rFonts w:ascii="Sakkal Majalla" w:hAnsi="Sakkal Majalla" w:hint="cs"/>
          <w:sz w:val="27"/>
          <w:rtl/>
        </w:rPr>
        <w:t>َ</w:t>
      </w:r>
      <w:r w:rsidR="005D05A4" w:rsidRPr="006571AC">
        <w:rPr>
          <w:rFonts w:ascii="Sakkal Majalla" w:hAnsi="Sakkal Majalla"/>
          <w:sz w:val="27"/>
          <w:rtl/>
        </w:rPr>
        <w:t>غ</w:t>
      </w:r>
      <w:r w:rsidR="007B33E0" w:rsidRPr="006571AC">
        <w:rPr>
          <w:rFonts w:ascii="Sakkal Majalla" w:hAnsi="Sakkal Majalla" w:hint="cs"/>
          <w:sz w:val="27"/>
          <w:rtl/>
        </w:rPr>
        <w:t>ْ</w:t>
      </w:r>
      <w:r w:rsidR="005D05A4" w:rsidRPr="006571AC">
        <w:rPr>
          <w:rFonts w:ascii="Sakkal Majalla" w:hAnsi="Sakkal Majalla"/>
          <w:sz w:val="27"/>
          <w:rtl/>
        </w:rPr>
        <w:t>ت</w:t>
      </w:r>
      <w:r w:rsidR="007B33E0" w:rsidRPr="006571AC">
        <w:rPr>
          <w:rFonts w:ascii="Sakkal Majalla" w:hAnsi="Sakkal Majalla" w:hint="cs"/>
          <w:sz w:val="27"/>
          <w:rtl/>
        </w:rPr>
        <w:t>ُ</w:t>
      </w:r>
      <w:r w:rsidR="005D05A4" w:rsidRPr="006571AC">
        <w:rPr>
          <w:rFonts w:ascii="Sakkal Majalla" w:hAnsi="Sakkal Majalla"/>
          <w:sz w:val="27"/>
          <w:rtl/>
        </w:rPr>
        <w:t xml:space="preserve"> ونصح</w:t>
      </w:r>
      <w:r w:rsidR="007B33E0" w:rsidRPr="006571AC">
        <w:rPr>
          <w:rFonts w:ascii="Sakkal Majalla" w:hAnsi="Sakkal Majalla" w:hint="cs"/>
          <w:sz w:val="27"/>
          <w:rtl/>
        </w:rPr>
        <w:t>ْ</w:t>
      </w:r>
      <w:r w:rsidR="005D05A4" w:rsidRPr="006571AC">
        <w:rPr>
          <w:rFonts w:ascii="Sakkal Majalla" w:hAnsi="Sakkal Majalla"/>
          <w:sz w:val="27"/>
          <w:rtl/>
        </w:rPr>
        <w:t>ت</w:t>
      </w:r>
      <w:r w:rsidR="007B33E0" w:rsidRPr="006571AC">
        <w:rPr>
          <w:rFonts w:ascii="Sakkal Majalla" w:hAnsi="Sakkal Majalla" w:hint="cs"/>
          <w:sz w:val="27"/>
          <w:rtl/>
        </w:rPr>
        <w:t>ُ</w:t>
      </w:r>
      <w:r w:rsidR="005D05A4" w:rsidRPr="006571AC">
        <w:rPr>
          <w:rFonts w:ascii="Sakkal Majalla" w:hAnsi="Sakkal Majalla"/>
          <w:sz w:val="27"/>
          <w:rtl/>
        </w:rPr>
        <w:t xml:space="preserve">؟ قال: ألا إنّ </w:t>
      </w:r>
      <w:r w:rsidR="0097633B" w:rsidRPr="006571AC">
        <w:rPr>
          <w:rFonts w:ascii="Sakkal Majalla" w:hAnsi="Sakkal Majalla"/>
          <w:sz w:val="27"/>
          <w:rtl/>
        </w:rPr>
        <w:t>الل</w:t>
      </w:r>
      <w:r w:rsidR="005D05A4" w:rsidRPr="006571AC">
        <w:rPr>
          <w:rFonts w:ascii="Sakkal Majalla" w:hAnsi="Sakkal Majalla"/>
          <w:sz w:val="27"/>
          <w:rtl/>
        </w:rPr>
        <w:t>ه عزَّ وجلَّ ولي</w:t>
      </w:r>
      <w:r w:rsidR="007B33E0" w:rsidRPr="006571AC">
        <w:rPr>
          <w:rFonts w:ascii="Sakkal Majalla" w:hAnsi="Sakkal Majalla" w:hint="cs"/>
          <w:sz w:val="27"/>
          <w:rtl/>
        </w:rPr>
        <w:t>ّ</w:t>
      </w:r>
      <w:r w:rsidR="005D05A4" w:rsidRPr="006571AC">
        <w:rPr>
          <w:rFonts w:ascii="Sakkal Majalla" w:hAnsi="Sakkal Majalla"/>
          <w:sz w:val="27"/>
          <w:rtl/>
        </w:rPr>
        <w:t>ي</w:t>
      </w:r>
      <w:r w:rsidR="007B33E0" w:rsidRPr="006571AC">
        <w:rPr>
          <w:rFonts w:ascii="Sakkal Majalla" w:hAnsi="Sakkal Majalla" w:hint="cs"/>
          <w:sz w:val="27"/>
          <w:rtl/>
        </w:rPr>
        <w:t>،</w:t>
      </w:r>
      <w:r w:rsidR="005D05A4" w:rsidRPr="006571AC">
        <w:rPr>
          <w:rFonts w:ascii="Sakkal Majalla" w:hAnsi="Sakkal Majalla"/>
          <w:sz w:val="27"/>
          <w:rtl/>
        </w:rPr>
        <w:t xml:space="preserve"> وأنا وليّ المؤمنين</w:t>
      </w:r>
      <w:r w:rsidR="007B33E0" w:rsidRPr="006571AC">
        <w:rPr>
          <w:rFonts w:ascii="Sakkal Majalla" w:hAnsi="Sakkal Majalla" w:hint="cs"/>
          <w:sz w:val="27"/>
          <w:rtl/>
        </w:rPr>
        <w:t>،</w:t>
      </w:r>
      <w:r w:rsidR="005D05A4" w:rsidRPr="006571AC">
        <w:rPr>
          <w:rFonts w:ascii="Sakkal Majalla" w:hAnsi="Sakkal Majalla"/>
          <w:sz w:val="27"/>
          <w:rtl/>
        </w:rPr>
        <w:t xml:space="preserve"> فم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كنت</w:t>
      </w:r>
      <w:r w:rsidR="007B33E0" w:rsidRPr="006571AC">
        <w:rPr>
          <w:rFonts w:ascii="Sakkal Majalla" w:hAnsi="Sakkal Majalla" w:hint="cs"/>
          <w:sz w:val="27"/>
          <w:rtl/>
        </w:rPr>
        <w:t>ُ</w:t>
      </w:r>
      <w:r w:rsidR="005D05A4" w:rsidRPr="006571AC">
        <w:rPr>
          <w:rFonts w:ascii="Sakkal Majalla" w:hAnsi="Sakkal Majalla"/>
          <w:sz w:val="27"/>
          <w:rtl/>
        </w:rPr>
        <w:t xml:space="preserve"> مولاه فهذا عل</w:t>
      </w:r>
      <w:r w:rsidR="007B33E0" w:rsidRPr="006571AC">
        <w:rPr>
          <w:rFonts w:ascii="Sakkal Majalla" w:hAnsi="Sakkal Majalla" w:hint="cs"/>
          <w:sz w:val="27"/>
          <w:rtl/>
        </w:rPr>
        <w:t>يٌّ</w:t>
      </w:r>
      <w:r w:rsidR="005D05A4" w:rsidRPr="006571AC">
        <w:rPr>
          <w:rFonts w:ascii="Sakkal Majalla" w:hAnsi="Sakkal Majalla"/>
          <w:sz w:val="27"/>
          <w:rtl/>
        </w:rPr>
        <w:t xml:space="preserve"> مولاه</w:t>
      </w:r>
      <w:r w:rsidR="007B33E0" w:rsidRPr="006571AC">
        <w:rPr>
          <w:rFonts w:ascii="Sakkal Majalla" w:hAnsi="Sakkal Majalla" w:hint="cs"/>
          <w:sz w:val="27"/>
          <w:rtl/>
        </w:rPr>
        <w:t>،</w:t>
      </w:r>
      <w:r w:rsidR="005D05A4" w:rsidRPr="006571AC">
        <w:rPr>
          <w:rFonts w:ascii="Sakkal Majalla" w:hAnsi="Sakkal Majalla"/>
          <w:sz w:val="27"/>
          <w:rtl/>
        </w:rPr>
        <w:t xml:space="preserve"> اللهم وال</w:t>
      </w:r>
      <w:r w:rsidR="007B33E0" w:rsidRPr="006571AC">
        <w:rPr>
          <w:rFonts w:ascii="Sakkal Majalla" w:hAnsi="Sakkal Majalla" w:hint="cs"/>
          <w:sz w:val="27"/>
          <w:rtl/>
        </w:rPr>
        <w:t>ِ</w:t>
      </w:r>
      <w:r w:rsidR="005D05A4" w:rsidRPr="006571AC">
        <w:rPr>
          <w:rFonts w:ascii="Sakkal Majalla" w:hAnsi="Sakkal Majalla"/>
          <w:sz w:val="27"/>
          <w:rtl/>
        </w:rPr>
        <w:t xml:space="preserve">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والاه</w:t>
      </w:r>
      <w:r w:rsidR="007B33E0" w:rsidRPr="006571AC">
        <w:rPr>
          <w:rFonts w:ascii="Sakkal Majalla" w:hAnsi="Sakkal Majalla" w:hint="cs"/>
          <w:sz w:val="27"/>
          <w:rtl/>
        </w:rPr>
        <w:t>،</w:t>
      </w:r>
      <w:r w:rsidR="005D05A4" w:rsidRPr="006571AC">
        <w:rPr>
          <w:rFonts w:ascii="Sakkal Majalla" w:hAnsi="Sakkal Majalla"/>
          <w:sz w:val="27"/>
          <w:rtl/>
        </w:rPr>
        <w:t xml:space="preserve"> وعاد</w:t>
      </w:r>
      <w:r w:rsidR="007B33E0" w:rsidRPr="006571AC">
        <w:rPr>
          <w:rFonts w:ascii="Sakkal Majalla" w:hAnsi="Sakkal Majalla" w:hint="cs"/>
          <w:sz w:val="27"/>
          <w:rtl/>
        </w:rPr>
        <w:t>ِ</w:t>
      </w:r>
      <w:r w:rsidR="005D05A4" w:rsidRPr="006571AC">
        <w:rPr>
          <w:rFonts w:ascii="Sakkal Majalla" w:hAnsi="Sakkal Majalla"/>
          <w:sz w:val="27"/>
          <w:rtl/>
        </w:rPr>
        <w:t xml:space="preserve">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عاداه، وأحبّ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أحبّه</w:t>
      </w:r>
      <w:r w:rsidR="007B33E0" w:rsidRPr="006571AC">
        <w:rPr>
          <w:rFonts w:ascii="Sakkal Majalla" w:hAnsi="Sakkal Majalla" w:hint="cs"/>
          <w:sz w:val="27"/>
          <w:rtl/>
        </w:rPr>
        <w:t>،</w:t>
      </w:r>
      <w:r w:rsidR="005D05A4" w:rsidRPr="006571AC">
        <w:rPr>
          <w:rFonts w:ascii="Sakkal Majalla" w:hAnsi="Sakkal Majalla"/>
          <w:sz w:val="27"/>
          <w:rtl/>
        </w:rPr>
        <w:t xml:space="preserve"> وأع</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أعانه</w:t>
      </w:r>
      <w:r w:rsidR="007B33E0" w:rsidRPr="006571AC">
        <w:rPr>
          <w:rFonts w:ascii="Sakkal Majalla" w:hAnsi="Sakkal Majalla" w:hint="cs"/>
          <w:sz w:val="27"/>
          <w:rtl/>
        </w:rPr>
        <w:t>،</w:t>
      </w:r>
      <w:r w:rsidR="005D05A4" w:rsidRPr="006571AC">
        <w:rPr>
          <w:rFonts w:ascii="Sakkal Majalla" w:hAnsi="Sakkal Majalla"/>
          <w:sz w:val="27"/>
          <w:rtl/>
        </w:rPr>
        <w:t xml:space="preserve"> وابغض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أبغضه</w:t>
      </w:r>
      <w:r w:rsidR="005D05A4" w:rsidRPr="006571AC">
        <w:rPr>
          <w:rFonts w:ascii="Sakkal Majalla" w:hAnsi="Sakkal Majalla" w:hint="cs"/>
          <w:sz w:val="24"/>
          <w:szCs w:val="24"/>
          <w:rtl/>
        </w:rPr>
        <w:t>»</w:t>
      </w:r>
      <w:r w:rsidR="005D05A4" w:rsidRPr="006571AC">
        <w:rPr>
          <w:rFonts w:ascii="Sakkal Majalla" w:hAnsi="Sakkal Majalla"/>
          <w:sz w:val="27"/>
          <w:vertAlign w:val="superscript"/>
          <w:rtl/>
        </w:rPr>
        <w:t>(</w:t>
      </w:r>
      <w:r w:rsidR="005D05A4" w:rsidRPr="006571AC">
        <w:rPr>
          <w:rStyle w:val="ac"/>
          <w:rFonts w:ascii="Sakkal Majalla" w:hAnsi="Sakkal Majalla"/>
          <w:sz w:val="27"/>
          <w:rtl/>
        </w:rPr>
        <w:endnoteReference w:id="364"/>
      </w:r>
      <w:r w:rsidR="005D05A4" w:rsidRPr="006571AC">
        <w:rPr>
          <w:rFonts w:ascii="Sakkal Majalla" w:hAnsi="Sakkal Majalla"/>
          <w:sz w:val="27"/>
          <w:vertAlign w:val="superscript"/>
          <w:rtl/>
        </w:rPr>
        <w:t>)</w:t>
      </w:r>
      <w:r w:rsidR="007B33E0" w:rsidRPr="006571AC">
        <w:rPr>
          <w:rFonts w:ascii="Sakkal Majalla" w:hAnsi="Sakkal Majalla" w:hint="cs"/>
          <w:sz w:val="27"/>
          <w:rtl/>
        </w:rPr>
        <w:t xml:space="preserve">، </w:t>
      </w:r>
      <w:r w:rsidR="005D05A4" w:rsidRPr="006571AC">
        <w:rPr>
          <w:rFonts w:ascii="Sakkal Majalla" w:hAnsi="Sakkal Majalla"/>
          <w:sz w:val="27"/>
          <w:rtl/>
        </w:rPr>
        <w:t>فقال عل</w:t>
      </w:r>
      <w:r w:rsidR="007B33E0" w:rsidRPr="006571AC">
        <w:rPr>
          <w:rFonts w:ascii="Sakkal Majalla" w:hAnsi="Sakkal Majalla" w:hint="cs"/>
          <w:sz w:val="27"/>
          <w:rtl/>
        </w:rPr>
        <w:t>يٌّ</w:t>
      </w:r>
      <w:r w:rsidR="005D05A4" w:rsidRPr="006571AC">
        <w:rPr>
          <w:rFonts w:ascii="Sakkal Majalla" w:hAnsi="Sakkal Majalla"/>
          <w:sz w:val="27"/>
          <w:rtl/>
        </w:rPr>
        <w:t xml:space="preserve"> لأنس بن مالك والبراء بن عازب: ما منعكما أن تقوما فتشهدا</w:t>
      </w:r>
      <w:r w:rsidR="007B33E0" w:rsidRPr="006571AC">
        <w:rPr>
          <w:rFonts w:ascii="Sakkal Majalla" w:hAnsi="Sakkal Majalla" w:hint="cs"/>
          <w:sz w:val="27"/>
          <w:rtl/>
        </w:rPr>
        <w:t>؛</w:t>
      </w:r>
      <w:r w:rsidR="005D05A4" w:rsidRPr="006571AC">
        <w:rPr>
          <w:rFonts w:ascii="Sakkal Majalla" w:hAnsi="Sakkal Majalla"/>
          <w:sz w:val="27"/>
          <w:rtl/>
        </w:rPr>
        <w:t xml:space="preserve"> فقد سمعتما كما سمع القوم؟ فقال: اللهم</w:t>
      </w:r>
      <w:r w:rsidR="007B33E0" w:rsidRPr="006571AC">
        <w:rPr>
          <w:rFonts w:ascii="Sakkal Majalla" w:hAnsi="Sakkal Majalla" w:hint="cs"/>
          <w:sz w:val="27"/>
          <w:rtl/>
        </w:rPr>
        <w:t>ّ</w:t>
      </w:r>
      <w:r w:rsidR="005D05A4" w:rsidRPr="006571AC">
        <w:rPr>
          <w:rFonts w:ascii="Sakkal Majalla" w:hAnsi="Sakkal Majalla"/>
          <w:sz w:val="27"/>
          <w:rtl/>
        </w:rPr>
        <w:t xml:space="preserve"> إن</w:t>
      </w:r>
      <w:r w:rsidR="007B33E0" w:rsidRPr="006571AC">
        <w:rPr>
          <w:rFonts w:ascii="Sakkal Majalla" w:hAnsi="Sakkal Majalla" w:hint="cs"/>
          <w:sz w:val="27"/>
          <w:rtl/>
        </w:rPr>
        <w:t>ْ</w:t>
      </w:r>
      <w:r w:rsidR="005D05A4" w:rsidRPr="006571AC">
        <w:rPr>
          <w:rFonts w:ascii="Sakkal Majalla" w:hAnsi="Sakkal Majalla"/>
          <w:sz w:val="27"/>
          <w:rtl/>
        </w:rPr>
        <w:t xml:space="preserve"> كانا كتماها معاندة</w:t>
      </w:r>
      <w:r w:rsidR="007B33E0" w:rsidRPr="006571AC">
        <w:rPr>
          <w:rFonts w:ascii="Sakkal Majalla" w:hAnsi="Sakkal Majalla" w:hint="cs"/>
          <w:sz w:val="27"/>
          <w:rtl/>
        </w:rPr>
        <w:t>ً</w:t>
      </w:r>
      <w:r w:rsidR="005D05A4" w:rsidRPr="006571AC">
        <w:rPr>
          <w:rFonts w:ascii="Sakkal Majalla" w:hAnsi="Sakkal Majalla"/>
          <w:sz w:val="27"/>
          <w:rtl/>
        </w:rPr>
        <w:t xml:space="preserve"> فاب</w:t>
      </w:r>
      <w:r w:rsidR="007B33E0" w:rsidRPr="006571AC">
        <w:rPr>
          <w:rFonts w:ascii="Sakkal Majalla" w:hAnsi="Sakkal Majalla" w:hint="cs"/>
          <w:sz w:val="27"/>
          <w:rtl/>
        </w:rPr>
        <w:t>ْ</w:t>
      </w:r>
      <w:r w:rsidR="005D05A4" w:rsidRPr="006571AC">
        <w:rPr>
          <w:rFonts w:ascii="Sakkal Majalla" w:hAnsi="Sakkal Majalla"/>
          <w:sz w:val="27"/>
          <w:rtl/>
        </w:rPr>
        <w:t>ت</w:t>
      </w:r>
      <w:r w:rsidR="007B33E0" w:rsidRPr="006571AC">
        <w:rPr>
          <w:rFonts w:ascii="Sakkal Majalla" w:hAnsi="Sakkal Majalla" w:hint="cs"/>
          <w:sz w:val="27"/>
          <w:rtl/>
        </w:rPr>
        <w:t>َ</w:t>
      </w:r>
      <w:r w:rsidR="005D05A4" w:rsidRPr="006571AC">
        <w:rPr>
          <w:rFonts w:ascii="Sakkal Majalla" w:hAnsi="Sakkal Majalla"/>
          <w:sz w:val="27"/>
          <w:rtl/>
        </w:rPr>
        <w:t>ل</w:t>
      </w:r>
      <w:r w:rsidR="007B33E0" w:rsidRPr="006571AC">
        <w:rPr>
          <w:rFonts w:ascii="Sakkal Majalla" w:hAnsi="Sakkal Majalla" w:hint="cs"/>
          <w:sz w:val="27"/>
          <w:rtl/>
        </w:rPr>
        <w:t>ِ</w:t>
      </w:r>
      <w:r w:rsidR="005D05A4" w:rsidRPr="006571AC">
        <w:rPr>
          <w:rFonts w:ascii="Sakkal Majalla" w:hAnsi="Sakkal Majalla"/>
          <w:sz w:val="27"/>
          <w:rtl/>
        </w:rPr>
        <w:t>هما، فأمّا البراء فعمي، فكان يسأل عن منزله</w:t>
      </w:r>
      <w:r w:rsidR="007B33E0" w:rsidRPr="006571AC">
        <w:rPr>
          <w:rFonts w:ascii="Sakkal Majalla" w:hAnsi="Sakkal Majalla" w:hint="cs"/>
          <w:sz w:val="27"/>
          <w:rtl/>
        </w:rPr>
        <w:t>،</w:t>
      </w:r>
      <w:r w:rsidR="005D05A4" w:rsidRPr="006571AC">
        <w:rPr>
          <w:rFonts w:ascii="Sakkal Majalla" w:hAnsi="Sakkal Majalla"/>
          <w:sz w:val="27"/>
          <w:rtl/>
        </w:rPr>
        <w:t xml:space="preserve"> فيقول: كيف يرشد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أدركته الدعوة؟ وأمّا أنس فقد برصت قدماه، وقيل: لما استشهد علي</w:t>
      </w:r>
      <w:r w:rsidR="007B33E0" w:rsidRPr="006571AC">
        <w:rPr>
          <w:rFonts w:ascii="Sakkal Majalla" w:hAnsi="Sakkal Majalla" w:hint="cs"/>
          <w:sz w:val="27"/>
          <w:rtl/>
        </w:rPr>
        <w:t>ّ</w:t>
      </w:r>
      <w:r w:rsidR="002A2C90" w:rsidRPr="006571AC">
        <w:rPr>
          <w:rFonts w:ascii="Mosawi" w:hAnsi="Mosawi" w:cs="Mosawi"/>
          <w:sz w:val="22"/>
          <w:szCs w:val="22"/>
          <w:rtl/>
        </w:rPr>
        <w:t>×</w:t>
      </w:r>
      <w:r w:rsidR="005D05A4" w:rsidRPr="006571AC">
        <w:rPr>
          <w:rFonts w:ascii="Sakkal Majalla" w:hAnsi="Sakkal Majalla"/>
          <w:sz w:val="27"/>
          <w:rtl/>
        </w:rPr>
        <w:t xml:space="preserve"> قول النبي</w:t>
      </w:r>
      <w:r w:rsidR="007B33E0" w:rsidRPr="006571AC">
        <w:rPr>
          <w:rFonts w:ascii="Sakkal Majalla" w:hAnsi="Sakkal Majalla" w:hint="cs"/>
          <w:sz w:val="27"/>
          <w:rtl/>
        </w:rPr>
        <w:t>ّ</w:t>
      </w:r>
      <w:r w:rsidR="004459D6" w:rsidRPr="006571AC">
        <w:rPr>
          <w:rFonts w:ascii="Mosawi" w:hAnsi="Mosawi" w:cs="Mosawi"/>
          <w:sz w:val="22"/>
          <w:szCs w:val="22"/>
          <w:rtl/>
        </w:rPr>
        <w:t>ﷺ</w:t>
      </w:r>
      <w:r w:rsidR="007B33E0" w:rsidRPr="006571AC">
        <w:rPr>
          <w:rFonts w:ascii="Sakkal Majalla" w:hAnsi="Sakkal Majalla" w:hint="cs"/>
          <w:sz w:val="27"/>
          <w:rtl/>
        </w:rPr>
        <w:t>:</w:t>
      </w:r>
      <w:r w:rsidR="005D05A4" w:rsidRPr="006571AC">
        <w:rPr>
          <w:rFonts w:ascii="Sakkal Majalla" w:hAnsi="Sakkal Majalla"/>
          <w:sz w:val="27"/>
          <w:rtl/>
        </w:rPr>
        <w:t xml:space="preserve">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كنت</w:t>
      </w:r>
      <w:r w:rsidR="007B33E0" w:rsidRPr="006571AC">
        <w:rPr>
          <w:rFonts w:ascii="Sakkal Majalla" w:hAnsi="Sakkal Majalla" w:hint="cs"/>
          <w:sz w:val="27"/>
          <w:rtl/>
        </w:rPr>
        <w:t>ُ</w:t>
      </w:r>
      <w:r w:rsidR="005D05A4" w:rsidRPr="006571AC">
        <w:rPr>
          <w:rFonts w:ascii="Sakkal Majalla" w:hAnsi="Sakkal Majalla"/>
          <w:sz w:val="27"/>
          <w:rtl/>
        </w:rPr>
        <w:t xml:space="preserve"> مولاه فعلي</w:t>
      </w:r>
      <w:r w:rsidR="007B33E0" w:rsidRPr="006571AC">
        <w:rPr>
          <w:rFonts w:ascii="Sakkal Majalla" w:hAnsi="Sakkal Majalla" w:hint="cs"/>
          <w:sz w:val="27"/>
          <w:rtl/>
        </w:rPr>
        <w:t>ٌّ</w:t>
      </w:r>
      <w:r w:rsidR="005D05A4" w:rsidRPr="006571AC">
        <w:rPr>
          <w:rFonts w:ascii="Sakkal Majalla" w:hAnsi="Sakkal Majalla"/>
          <w:sz w:val="27"/>
          <w:rtl/>
        </w:rPr>
        <w:t xml:space="preserve"> مولاه اعتذر بالنسيان </w:t>
      </w:r>
      <w:r w:rsidR="005D05A4" w:rsidRPr="006571AC">
        <w:rPr>
          <w:rFonts w:ascii="Sakkal Majalla" w:hAnsi="Sakkal Majalla"/>
          <w:sz w:val="27"/>
          <w:rtl/>
        </w:rPr>
        <w:lastRenderedPageBreak/>
        <w:t>فقال: اللهم إن</w:t>
      </w:r>
      <w:r w:rsidR="007B33E0" w:rsidRPr="006571AC">
        <w:rPr>
          <w:rFonts w:ascii="Sakkal Majalla" w:hAnsi="Sakkal Majalla" w:hint="cs"/>
          <w:sz w:val="27"/>
          <w:rtl/>
        </w:rPr>
        <w:t>ْ</w:t>
      </w:r>
      <w:r w:rsidR="005D05A4" w:rsidRPr="006571AC">
        <w:rPr>
          <w:rFonts w:ascii="Sakkal Majalla" w:hAnsi="Sakkal Majalla"/>
          <w:sz w:val="27"/>
          <w:rtl/>
        </w:rPr>
        <w:t xml:space="preserve"> كان كاذبا</w:t>
      </w:r>
      <w:r w:rsidR="007B33E0" w:rsidRPr="006571AC">
        <w:rPr>
          <w:rFonts w:ascii="Sakkal Majalla" w:hAnsi="Sakkal Majalla" w:hint="cs"/>
          <w:sz w:val="27"/>
          <w:rtl/>
        </w:rPr>
        <w:t>ً</w:t>
      </w:r>
      <w:r w:rsidR="005D05A4" w:rsidRPr="006571AC">
        <w:rPr>
          <w:rFonts w:ascii="Sakkal Majalla" w:hAnsi="Sakkal Majalla"/>
          <w:sz w:val="27"/>
          <w:rtl/>
        </w:rPr>
        <w:t xml:space="preserve"> فاضربه ببياض</w:t>
      </w:r>
      <w:r w:rsidR="007B33E0" w:rsidRPr="006571AC">
        <w:rPr>
          <w:rFonts w:ascii="Sakkal Majalla" w:hAnsi="Sakkal Majalla" w:hint="cs"/>
          <w:sz w:val="27"/>
          <w:rtl/>
        </w:rPr>
        <w:t>ٍ</w:t>
      </w:r>
      <w:r w:rsidR="005D05A4" w:rsidRPr="006571AC">
        <w:rPr>
          <w:rFonts w:ascii="Sakkal Majalla" w:hAnsi="Sakkal Majalla"/>
          <w:sz w:val="27"/>
          <w:rtl/>
        </w:rPr>
        <w:t xml:space="preserve"> لا تواريه العمامة، فبرص وجهه</w:t>
      </w:r>
      <w:r w:rsidR="007B33E0" w:rsidRPr="006571AC">
        <w:rPr>
          <w:rFonts w:ascii="Sakkal Majalla" w:hAnsi="Sakkal Majalla" w:hint="cs"/>
          <w:sz w:val="27"/>
          <w:rtl/>
        </w:rPr>
        <w:t>،</w:t>
      </w:r>
      <w:r w:rsidR="005D05A4" w:rsidRPr="006571AC">
        <w:rPr>
          <w:rFonts w:ascii="Sakkal Majalla" w:hAnsi="Sakkal Majalla"/>
          <w:sz w:val="27"/>
          <w:rtl/>
        </w:rPr>
        <w:t xml:space="preserve"> فسدل بعد ذلك برقعا</w:t>
      </w:r>
      <w:r w:rsidR="007B33E0" w:rsidRPr="006571AC">
        <w:rPr>
          <w:rFonts w:ascii="Sakkal Majalla" w:hAnsi="Sakkal Majalla" w:hint="cs"/>
          <w:sz w:val="27"/>
          <w:rtl/>
        </w:rPr>
        <w:t>ً</w:t>
      </w:r>
      <w:r w:rsidR="005D05A4" w:rsidRPr="006571AC">
        <w:rPr>
          <w:rFonts w:ascii="Sakkal Majalla" w:hAnsi="Sakkal Majalla"/>
          <w:sz w:val="27"/>
          <w:rtl/>
        </w:rPr>
        <w:t xml:space="preserve"> على وجهه</w:t>
      </w:r>
      <w:r w:rsidR="005D05A4" w:rsidRPr="006571AC">
        <w:rPr>
          <w:rFonts w:ascii="Sakkal Majalla" w:hAnsi="Sakkal Majalla"/>
          <w:sz w:val="27"/>
          <w:vertAlign w:val="superscript"/>
          <w:rtl/>
        </w:rPr>
        <w:t>(</w:t>
      </w:r>
      <w:r w:rsidR="005D05A4" w:rsidRPr="006571AC">
        <w:rPr>
          <w:rStyle w:val="ac"/>
          <w:rFonts w:ascii="Sakkal Majalla" w:hAnsi="Sakkal Majalla"/>
          <w:sz w:val="27"/>
          <w:rtl/>
        </w:rPr>
        <w:endnoteReference w:id="365"/>
      </w:r>
      <w:r w:rsidR="005D05A4" w:rsidRPr="006571AC">
        <w:rPr>
          <w:rFonts w:ascii="Sakkal Majalla" w:hAnsi="Sakkal Majalla"/>
          <w:sz w:val="27"/>
          <w:vertAlign w:val="superscript"/>
          <w:rtl/>
        </w:rPr>
        <w:t>)</w:t>
      </w:r>
      <w:r w:rsidR="005D05A4" w:rsidRPr="006571AC">
        <w:rPr>
          <w:rFonts w:ascii="Sakkal Majalla" w:hAnsi="Sakkal Majalla"/>
          <w:sz w:val="27"/>
          <w:rtl/>
        </w:rPr>
        <w:t>.</w:t>
      </w:r>
      <w:r w:rsidR="005D05A4" w:rsidRPr="006571AC">
        <w:rPr>
          <w:rFonts w:ascii="Sakkal Majalla" w:hAnsi="Sakkal Majalla" w:hint="cs"/>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sz w:val="27"/>
          <w:rtl/>
        </w:rPr>
        <w:t>فلو كان المول</w:t>
      </w:r>
      <w:r w:rsidR="007B33E0"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الذ</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سمعه</w:t>
      </w:r>
      <w:r w:rsidRPr="006571AC">
        <w:rPr>
          <w:rFonts w:ascii="Sakkal Majalla" w:hAnsi="Sakkal Majalla"/>
          <w:sz w:val="27"/>
          <w:rtl/>
        </w:rPr>
        <w:t xml:space="preserve"> </w:t>
      </w:r>
      <w:r w:rsidRPr="006571AC">
        <w:rPr>
          <w:rFonts w:ascii="Sakkal Majalla" w:hAnsi="Sakkal Majalla" w:hint="cs"/>
          <w:sz w:val="27"/>
          <w:rtl/>
        </w:rPr>
        <w:t>ه</w:t>
      </w:r>
      <w:r w:rsidR="007B33E0" w:rsidRPr="006571AC">
        <w:rPr>
          <w:rFonts w:ascii="Sakkal Majalla" w:hAnsi="Sakkal Majalla" w:hint="cs"/>
          <w:sz w:val="27"/>
          <w:rtl/>
        </w:rPr>
        <w:t>ؤ</w:t>
      </w:r>
      <w:r w:rsidRPr="006571AC">
        <w:rPr>
          <w:rFonts w:ascii="Sakkal Majalla" w:hAnsi="Sakkal Majalla" w:hint="cs"/>
          <w:sz w:val="27"/>
          <w:rtl/>
        </w:rPr>
        <w:t>لاء</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النب</w:t>
      </w:r>
      <w:r w:rsidRPr="006571AC">
        <w:rPr>
          <w:rFonts w:ascii="Times New Roman" w:hAnsi="Times New Roman" w:hint="cs"/>
          <w:sz w:val="27"/>
          <w:rtl/>
        </w:rPr>
        <w:t>ي</w:t>
      </w:r>
      <w:r w:rsidR="007B33E0" w:rsidRPr="006571AC">
        <w:rPr>
          <w:rFonts w:ascii="Times New Roman" w:hAnsi="Times New Roman"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بمعن</w:t>
      </w:r>
      <w:r w:rsidR="007B33E0"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المحب</w:t>
      </w:r>
      <w:r w:rsidR="007B33E0"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لما</w:t>
      </w:r>
      <w:r w:rsidRPr="006571AC">
        <w:rPr>
          <w:rFonts w:ascii="Sakkal Majalla" w:hAnsi="Sakkal Majalla"/>
          <w:sz w:val="27"/>
          <w:rtl/>
        </w:rPr>
        <w:t xml:space="preserve"> </w:t>
      </w:r>
      <w:r w:rsidRPr="006571AC">
        <w:rPr>
          <w:rFonts w:ascii="Sakkal Majalla" w:hAnsi="Sakkal Majalla" w:hint="cs"/>
          <w:sz w:val="27"/>
          <w:rtl/>
        </w:rPr>
        <w:t>امت</w:t>
      </w:r>
      <w:r w:rsidRPr="006571AC">
        <w:rPr>
          <w:rFonts w:ascii="Sakkal Majalla" w:hAnsi="Sakkal Majalla"/>
          <w:sz w:val="27"/>
          <w:rtl/>
        </w:rPr>
        <w:t xml:space="preserve">نع </w:t>
      </w:r>
      <w:r w:rsidR="007B33E0" w:rsidRPr="006571AC">
        <w:rPr>
          <w:rFonts w:ascii="Sakkal Majalla" w:hAnsi="Sakkal Majalla" w:hint="cs"/>
          <w:sz w:val="27"/>
          <w:rtl/>
        </w:rPr>
        <w:t>أ</w:t>
      </w:r>
      <w:r w:rsidRPr="006571AC">
        <w:rPr>
          <w:rFonts w:ascii="Sakkal Majalla" w:hAnsi="Sakkal Majalla"/>
          <w:sz w:val="27"/>
          <w:rtl/>
        </w:rPr>
        <w:t>نس والبراء وغ</w:t>
      </w:r>
      <w:r w:rsidRPr="006571AC">
        <w:rPr>
          <w:rFonts w:ascii="Times New Roman" w:hAnsi="Times New Roman" w:hint="cs"/>
          <w:sz w:val="27"/>
          <w:rtl/>
        </w:rPr>
        <w:t>ي</w:t>
      </w:r>
      <w:r w:rsidRPr="006571AC">
        <w:rPr>
          <w:rFonts w:ascii="Sakkal Majalla" w:hAnsi="Sakkal Majalla" w:hint="cs"/>
          <w:sz w:val="27"/>
          <w:rtl/>
        </w:rPr>
        <w:t>رهما</w:t>
      </w:r>
      <w:r w:rsidRPr="006571AC">
        <w:rPr>
          <w:rFonts w:ascii="Sakkal Majalla" w:hAnsi="Sakkal Majalla"/>
          <w:sz w:val="27"/>
          <w:rtl/>
        </w:rPr>
        <w:t xml:space="preserve"> </w:t>
      </w:r>
      <w:r w:rsidR="007B33E0" w:rsidRPr="006571AC">
        <w:rPr>
          <w:rFonts w:ascii="Sakkal Majalla" w:hAnsi="Sakkal Majalla" w:hint="cs"/>
          <w:sz w:val="27"/>
          <w:rtl/>
        </w:rPr>
        <w:t>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صرّ</w:t>
      </w:r>
      <w:r w:rsidR="007B33E0" w:rsidRPr="006571AC">
        <w:rPr>
          <w:rFonts w:ascii="Sakkal Majalla" w:hAnsi="Sakkal Majalla" w:hint="cs"/>
          <w:sz w:val="27"/>
          <w:rtl/>
        </w:rPr>
        <w:t>ِ</w:t>
      </w:r>
      <w:r w:rsidRPr="006571AC">
        <w:rPr>
          <w:rFonts w:ascii="Sakkal Majalla" w:hAnsi="Sakkal Majalla" w:hint="cs"/>
          <w:sz w:val="27"/>
          <w:rtl/>
        </w:rPr>
        <w:t>حوا</w:t>
      </w:r>
      <w:r w:rsidRPr="006571AC">
        <w:rPr>
          <w:rFonts w:ascii="Sakkal Majalla" w:hAnsi="Sakkal Majalla"/>
          <w:sz w:val="27"/>
          <w:rtl/>
        </w:rPr>
        <w:t xml:space="preserve"> و</w:t>
      </w:r>
      <w:r w:rsidRPr="006571AC">
        <w:rPr>
          <w:rFonts w:ascii="Times New Roman" w:hAnsi="Times New Roman" w:hint="cs"/>
          <w:sz w:val="27"/>
          <w:rtl/>
        </w:rPr>
        <w:t>ي</w:t>
      </w:r>
      <w:r w:rsidRPr="006571AC">
        <w:rPr>
          <w:rFonts w:ascii="Sakkal Majalla" w:hAnsi="Sakkal Majalla" w:hint="cs"/>
          <w:sz w:val="27"/>
          <w:rtl/>
        </w:rPr>
        <w:t>شهدوا</w:t>
      </w:r>
      <w:r w:rsidRPr="006571AC">
        <w:rPr>
          <w:rFonts w:ascii="Sakkal Majalla" w:hAnsi="Sakkal Majalla"/>
          <w:sz w:val="27"/>
          <w:rtl/>
        </w:rPr>
        <w:t xml:space="preserve"> </w:t>
      </w:r>
      <w:r w:rsidRPr="006571AC">
        <w:rPr>
          <w:rFonts w:ascii="Sakkal Majalla" w:hAnsi="Sakkal Majalla" w:hint="cs"/>
          <w:sz w:val="27"/>
          <w:rtl/>
        </w:rPr>
        <w:t xml:space="preserve">بذلك، </w:t>
      </w:r>
      <w:r w:rsidRPr="006571AC">
        <w:rPr>
          <w:rFonts w:ascii="Sakkal Majalla" w:hAnsi="Sakkal Majalla"/>
          <w:sz w:val="27"/>
          <w:rtl/>
        </w:rPr>
        <w:t>ولقاموا وقالوا</w:t>
      </w:r>
      <w:r w:rsidR="007B33E0" w:rsidRPr="006571AC">
        <w:rPr>
          <w:rFonts w:ascii="Sakkal Majalla" w:hAnsi="Sakkal Majalla" w:hint="cs"/>
          <w:sz w:val="27"/>
          <w:rtl/>
        </w:rPr>
        <w:t>:</w:t>
      </w:r>
      <w:r w:rsidRPr="006571AC">
        <w:rPr>
          <w:rFonts w:ascii="Sakkal Majalla" w:hAnsi="Sakkal Majalla"/>
          <w:sz w:val="27"/>
          <w:rtl/>
        </w:rPr>
        <w:t xml:space="preserve"> نعم</w:t>
      </w:r>
      <w:r w:rsidR="007B33E0"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 رسول الله</w:t>
      </w:r>
      <w:r w:rsidR="002A2C90" w:rsidRPr="006571AC">
        <w:rPr>
          <w:rFonts w:ascii="Mosawi" w:hAnsi="Mosawi" w:cs="Mosawi"/>
          <w:sz w:val="22"/>
          <w:szCs w:val="22"/>
          <w:rtl/>
        </w:rPr>
        <w:t>|</w:t>
      </w:r>
      <w:r w:rsidRPr="006571AC">
        <w:rPr>
          <w:rFonts w:ascii="Sakkal Majalla" w:hAnsi="Sakkal Majalla" w:hint="cs"/>
          <w:sz w:val="27"/>
          <w:rtl/>
        </w:rPr>
        <w:t xml:space="preserve"> أ</w:t>
      </w:r>
      <w:r w:rsidRPr="006571AC">
        <w:rPr>
          <w:rFonts w:ascii="Sakkal Majalla" w:hAnsi="Sakkal Majalla"/>
          <w:sz w:val="27"/>
          <w:rtl/>
        </w:rPr>
        <w:t>مرنا بمحبت</w:t>
      </w:r>
      <w:r w:rsidRPr="006571AC">
        <w:rPr>
          <w:rFonts w:ascii="Sakkal Majalla" w:hAnsi="Sakkal Majalla" w:hint="cs"/>
          <w:sz w:val="27"/>
          <w:rtl/>
        </w:rPr>
        <w:t xml:space="preserve">ك، </w:t>
      </w:r>
      <w:r w:rsidRPr="006571AC">
        <w:rPr>
          <w:rFonts w:ascii="Sakkal Majalla" w:hAnsi="Sakkal Majalla"/>
          <w:sz w:val="27"/>
          <w:rtl/>
        </w:rPr>
        <w:t>و</w:t>
      </w:r>
      <w:r w:rsidRPr="006571AC">
        <w:rPr>
          <w:rFonts w:ascii="Sakkal Majalla" w:hAnsi="Sakkal Majalla" w:hint="cs"/>
          <w:sz w:val="27"/>
          <w:rtl/>
        </w:rPr>
        <w:t>أ</w:t>
      </w:r>
      <w:r w:rsidRPr="006571AC">
        <w:rPr>
          <w:rFonts w:ascii="Sakkal Majalla" w:hAnsi="Sakkal Majalla"/>
          <w:sz w:val="27"/>
          <w:rtl/>
        </w:rPr>
        <w:t>ن لا نبغض</w:t>
      </w:r>
      <w:r w:rsidRPr="006571AC">
        <w:rPr>
          <w:rFonts w:ascii="Sakkal Majalla" w:hAnsi="Sakkal Majalla" w:hint="cs"/>
          <w:sz w:val="27"/>
          <w:rtl/>
        </w:rPr>
        <w:t xml:space="preserve">ك، </w:t>
      </w:r>
      <w:r w:rsidRPr="006571AC">
        <w:rPr>
          <w:rFonts w:ascii="Sakkal Majalla" w:hAnsi="Sakkal Majalla"/>
          <w:sz w:val="27"/>
          <w:rtl/>
        </w:rPr>
        <w:t>و</w:t>
      </w:r>
      <w:r w:rsidRPr="006571AC">
        <w:rPr>
          <w:rFonts w:ascii="Sakkal Majalla" w:hAnsi="Sakkal Majalla" w:hint="cs"/>
          <w:sz w:val="27"/>
          <w:rtl/>
        </w:rPr>
        <w:t>إ</w:t>
      </w:r>
      <w:r w:rsidRPr="006571AC">
        <w:rPr>
          <w:rFonts w:ascii="Sakkal Majalla" w:hAnsi="Sakkal Majalla"/>
          <w:sz w:val="27"/>
          <w:rtl/>
        </w:rPr>
        <w:t>نّما فهموا من كلمة المول</w:t>
      </w:r>
      <w:r w:rsidR="00CC326C"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معنى ال</w:t>
      </w:r>
      <w:r w:rsidRPr="006571AC">
        <w:rPr>
          <w:rFonts w:ascii="Sakkal Majalla" w:hAnsi="Sakkal Majalla"/>
          <w:sz w:val="27"/>
          <w:rtl/>
        </w:rPr>
        <w:t>ولا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و</w:t>
      </w:r>
      <w:r w:rsidRPr="006571AC">
        <w:rPr>
          <w:rFonts w:ascii="Sakkal Majalla" w:hAnsi="Sakkal Majalla" w:hint="cs"/>
          <w:sz w:val="27"/>
          <w:rtl/>
        </w:rPr>
        <w:t>ال</w:t>
      </w:r>
      <w:r w:rsidRPr="006571AC">
        <w:rPr>
          <w:rFonts w:ascii="Sakkal Majalla" w:hAnsi="Sakkal Majalla"/>
          <w:sz w:val="27"/>
          <w:rtl/>
        </w:rPr>
        <w:t>ق</w:t>
      </w:r>
      <w:r w:rsidRPr="006571AC">
        <w:rPr>
          <w:rFonts w:ascii="Times New Roman" w:hAnsi="Times New Roman" w:hint="cs"/>
          <w:sz w:val="27"/>
          <w:rtl/>
        </w:rPr>
        <w:t>ي</w:t>
      </w:r>
      <w:r w:rsidRPr="006571AC">
        <w:rPr>
          <w:rFonts w:ascii="Sakkal Majalla" w:hAnsi="Sakkal Majalla" w:hint="cs"/>
          <w:sz w:val="27"/>
          <w:rtl/>
        </w:rPr>
        <w:t xml:space="preserve">ادة، </w:t>
      </w:r>
      <w:r w:rsidRPr="006571AC">
        <w:rPr>
          <w:rFonts w:ascii="Sakkal Majalla" w:hAnsi="Sakkal Majalla"/>
          <w:sz w:val="27"/>
          <w:rtl/>
        </w:rPr>
        <w:t>ولمّا كانت ق</w:t>
      </w:r>
      <w:r w:rsidRPr="006571AC">
        <w:rPr>
          <w:rFonts w:ascii="Times New Roman" w:hAnsi="Times New Roman" w:hint="cs"/>
          <w:sz w:val="27"/>
          <w:rtl/>
        </w:rPr>
        <w:t>ي</w:t>
      </w:r>
      <w:r w:rsidRPr="006571AC">
        <w:rPr>
          <w:rFonts w:ascii="Sakkal Majalla" w:hAnsi="Sakkal Majalla" w:hint="cs"/>
          <w:sz w:val="27"/>
          <w:rtl/>
        </w:rPr>
        <w:t>ادة</w:t>
      </w:r>
      <w:r w:rsidRPr="006571AC">
        <w:rPr>
          <w:rFonts w:ascii="Sakkal Majalla" w:hAnsi="Sakkal Majalla"/>
          <w:sz w:val="27"/>
          <w:rtl/>
        </w:rPr>
        <w:t xml:space="preserve"> و</w:t>
      </w:r>
      <w:r w:rsidRPr="006571AC">
        <w:rPr>
          <w:rFonts w:ascii="Sakkal Majalla" w:hAnsi="Sakkal Majalla" w:hint="cs"/>
          <w:sz w:val="27"/>
          <w:rtl/>
        </w:rPr>
        <w:t>إ</w:t>
      </w:r>
      <w:r w:rsidRPr="006571AC">
        <w:rPr>
          <w:rFonts w:ascii="Sakkal Majalla" w:hAnsi="Sakkal Majalla"/>
          <w:sz w:val="27"/>
          <w:rtl/>
        </w:rPr>
        <w:t>مامة ال</w:t>
      </w:r>
      <w:r w:rsidRPr="006571AC">
        <w:rPr>
          <w:rFonts w:ascii="Sakkal Majalla" w:hAnsi="Sakkal Majalla" w:hint="cs"/>
          <w:sz w:val="27"/>
          <w:rtl/>
        </w:rPr>
        <w:t>إ</w:t>
      </w:r>
      <w:r w:rsidRPr="006571AC">
        <w:rPr>
          <w:rFonts w:ascii="Sakkal Majalla" w:hAnsi="Sakkal Majalla"/>
          <w:sz w:val="27"/>
          <w:rtl/>
        </w:rPr>
        <w:t>مام تعارض مصالحهم أب</w:t>
      </w:r>
      <w:r w:rsidR="00CC326C" w:rsidRPr="006571AC">
        <w:rPr>
          <w:rFonts w:ascii="Sakkal Majalla" w:hAnsi="Sakkal Majalla" w:hint="cs"/>
          <w:sz w:val="27"/>
          <w:rtl/>
        </w:rPr>
        <w:t>َ</w:t>
      </w:r>
      <w:r w:rsidRPr="006571AC">
        <w:rPr>
          <w:rFonts w:ascii="Sakkal Majalla" w:hAnsi="Sakkal Majalla"/>
          <w:sz w:val="27"/>
          <w:rtl/>
        </w:rPr>
        <w:t>و</w:t>
      </w:r>
      <w:r w:rsidR="00CC326C" w:rsidRPr="006571AC">
        <w:rPr>
          <w:rFonts w:ascii="Sakkal Majalla" w:hAnsi="Sakkal Majalla" w:hint="cs"/>
          <w:sz w:val="27"/>
          <w:rtl/>
        </w:rPr>
        <w:t>ْ</w:t>
      </w:r>
      <w:r w:rsidRPr="006571AC">
        <w:rPr>
          <w:rFonts w:ascii="Sakkal Majalla" w:hAnsi="Sakkal Majalla"/>
          <w:sz w:val="27"/>
          <w:rtl/>
        </w:rPr>
        <w:t xml:space="preserve">ا </w:t>
      </w:r>
      <w:r w:rsidRPr="006571AC">
        <w:rPr>
          <w:rFonts w:ascii="Sakkal Majalla" w:hAnsi="Sakkal Majalla" w:hint="cs"/>
          <w:sz w:val="27"/>
          <w:rtl/>
        </w:rPr>
        <w:t>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شهدوا</w:t>
      </w:r>
      <w:r w:rsidRPr="006571AC">
        <w:rPr>
          <w:rFonts w:ascii="Sakkal Majalla" w:hAnsi="Sakkal Majalla"/>
          <w:sz w:val="27"/>
          <w:rtl/>
        </w:rPr>
        <w:t xml:space="preserve"> </w:t>
      </w:r>
      <w:r w:rsidRPr="006571AC">
        <w:rPr>
          <w:rFonts w:ascii="Sakkal Majalla" w:hAnsi="Sakkal Majalla" w:hint="cs"/>
          <w:sz w:val="27"/>
          <w:rtl/>
        </w:rPr>
        <w:t>له</w:t>
      </w:r>
      <w:r w:rsidRPr="006571AC">
        <w:rPr>
          <w:rFonts w:ascii="Sakkal Majalla" w:hAnsi="Sakkal Majalla"/>
          <w:sz w:val="27"/>
          <w:rtl/>
        </w:rPr>
        <w:t xml:space="preserve"> </w:t>
      </w:r>
      <w:r w:rsidRPr="006571AC">
        <w:rPr>
          <w:rFonts w:ascii="Sakkal Majalla" w:hAnsi="Sakkal Majalla" w:hint="cs"/>
          <w:sz w:val="27"/>
          <w:rtl/>
        </w:rPr>
        <w:t>بذلك</w:t>
      </w:r>
      <w:r w:rsidRPr="006571AC">
        <w:rPr>
          <w:rFonts w:ascii="Sakkal Majalla" w:hAnsi="Sakkal Majalla"/>
          <w:sz w:val="27"/>
          <w:rtl/>
        </w:rPr>
        <w:t xml:space="preserve">. </w:t>
      </w:r>
    </w:p>
    <w:p w:rsidR="005D05A4" w:rsidRPr="006571AC" w:rsidRDefault="00CC326C" w:rsidP="00B41BA0">
      <w:pPr>
        <w:rPr>
          <w:rFonts w:ascii="Sakkal Majalla" w:hAnsi="Sakkal Majalla"/>
          <w:sz w:val="27"/>
          <w:rtl/>
        </w:rPr>
      </w:pPr>
      <w:r w:rsidRPr="006571AC">
        <w:rPr>
          <w:rFonts w:ascii="Sakkal Majalla" w:hAnsi="Sakkal Majalla" w:hint="cs"/>
          <w:b/>
          <w:bCs/>
          <w:sz w:val="27"/>
          <w:rtl/>
        </w:rPr>
        <w:t>رابعاً</w:t>
      </w:r>
      <w:r w:rsidR="005D05A4" w:rsidRPr="006571AC">
        <w:rPr>
          <w:rFonts w:ascii="Sakkal Majalla" w:hAnsi="Sakkal Majalla"/>
          <w:sz w:val="27"/>
          <w:rtl/>
        </w:rPr>
        <w:t xml:space="preserve">: </w:t>
      </w:r>
      <w:r w:rsidR="005D05A4" w:rsidRPr="006571AC">
        <w:rPr>
          <w:rFonts w:ascii="Sakkal Majalla" w:hAnsi="Sakkal Majalla" w:hint="cs"/>
          <w:sz w:val="27"/>
          <w:rtl/>
        </w:rPr>
        <w:t>أ</w:t>
      </w:r>
      <w:r w:rsidR="005D05A4" w:rsidRPr="006571AC">
        <w:rPr>
          <w:rFonts w:ascii="Sakkal Majalla" w:hAnsi="Sakkal Majalla"/>
          <w:sz w:val="27"/>
          <w:rtl/>
        </w:rPr>
        <w:t>نّ تذك</w:t>
      </w:r>
      <w:r w:rsidR="005D05A4" w:rsidRPr="006571AC">
        <w:rPr>
          <w:rFonts w:ascii="Times New Roman" w:hAnsi="Times New Roman" w:hint="cs"/>
          <w:sz w:val="27"/>
          <w:rtl/>
        </w:rPr>
        <w:t>ي</w:t>
      </w:r>
      <w:r w:rsidR="005D05A4" w:rsidRPr="006571AC">
        <w:rPr>
          <w:rFonts w:ascii="Sakkal Majalla" w:hAnsi="Sakkal Majalla" w:hint="cs"/>
          <w:sz w:val="27"/>
          <w:rtl/>
        </w:rPr>
        <w:t>ر</w:t>
      </w:r>
      <w:r w:rsidR="005D05A4" w:rsidRPr="006571AC">
        <w:rPr>
          <w:rFonts w:ascii="Sakkal Majalla" w:hAnsi="Sakkal Majalla"/>
          <w:sz w:val="27"/>
          <w:rtl/>
        </w:rPr>
        <w:t xml:space="preserve"> </w:t>
      </w:r>
      <w:r w:rsidR="005D05A4" w:rsidRPr="006571AC">
        <w:rPr>
          <w:rFonts w:ascii="Sakkal Majalla" w:hAnsi="Sakkal Majalla" w:hint="cs"/>
          <w:sz w:val="27"/>
          <w:rtl/>
        </w:rPr>
        <w:t>الناس</w:t>
      </w:r>
      <w:r w:rsidR="005D05A4" w:rsidRPr="006571AC">
        <w:rPr>
          <w:rFonts w:ascii="Sakkal Majalla" w:hAnsi="Sakkal Majalla"/>
          <w:sz w:val="27"/>
          <w:rtl/>
        </w:rPr>
        <w:t xml:space="preserve"> </w:t>
      </w:r>
      <w:r w:rsidR="005D05A4" w:rsidRPr="006571AC">
        <w:rPr>
          <w:rFonts w:ascii="Sakkal Majalla" w:hAnsi="Sakkal Majalla" w:hint="cs"/>
          <w:sz w:val="27"/>
          <w:rtl/>
        </w:rPr>
        <w:t>بمحبّة</w:t>
      </w:r>
      <w:r w:rsidR="005D05A4" w:rsidRPr="006571AC">
        <w:rPr>
          <w:rFonts w:ascii="Sakkal Majalla" w:hAnsi="Sakkal Majalla"/>
          <w:sz w:val="27"/>
          <w:rtl/>
        </w:rPr>
        <w:t xml:space="preserve"> علي</w:t>
      </w:r>
      <w:r w:rsidRPr="006571AC">
        <w:rPr>
          <w:rFonts w:ascii="Sakkal Majalla" w:hAnsi="Sakkal Majalla" w:hint="cs"/>
          <w:sz w:val="27"/>
          <w:rtl/>
        </w:rPr>
        <w:t>ٍّ</w:t>
      </w:r>
      <w:r w:rsidR="002A2C90" w:rsidRPr="006571AC">
        <w:rPr>
          <w:rFonts w:ascii="Mosawi" w:hAnsi="Mosawi" w:cs="Mosawi"/>
          <w:sz w:val="22"/>
          <w:szCs w:val="22"/>
          <w:rtl/>
        </w:rPr>
        <w:t>×</w:t>
      </w:r>
      <w:r w:rsidR="005D05A4" w:rsidRPr="006571AC">
        <w:rPr>
          <w:rFonts w:ascii="Sakkal Majalla" w:hAnsi="Sakkal Majalla"/>
          <w:sz w:val="27"/>
          <w:rtl/>
        </w:rPr>
        <w:t xml:space="preserve"> لا</w:t>
      </w:r>
      <w:r w:rsidR="005D05A4" w:rsidRPr="006571AC">
        <w:rPr>
          <w:rFonts w:ascii="Times New Roman" w:hAnsi="Times New Roman" w:hint="cs"/>
          <w:sz w:val="27"/>
          <w:rtl/>
        </w:rPr>
        <w:t>ي</w:t>
      </w:r>
      <w:r w:rsidR="005D05A4" w:rsidRPr="006571AC">
        <w:rPr>
          <w:rFonts w:ascii="Sakkal Majalla" w:hAnsi="Sakkal Majalla" w:hint="cs"/>
          <w:sz w:val="27"/>
          <w:rtl/>
        </w:rPr>
        <w:t>حتاج</w:t>
      </w:r>
      <w:r w:rsidR="005D05A4" w:rsidRPr="006571AC">
        <w:rPr>
          <w:rFonts w:ascii="Sakkal Majalla" w:hAnsi="Sakkal Majalla"/>
          <w:sz w:val="27"/>
          <w:rtl/>
        </w:rPr>
        <w:t xml:space="preserve"> </w:t>
      </w:r>
      <w:r w:rsidRPr="006571AC">
        <w:rPr>
          <w:rFonts w:ascii="Sakkal Majalla" w:hAnsi="Sakkal Majalla" w:hint="cs"/>
          <w:sz w:val="27"/>
          <w:rtl/>
        </w:rPr>
        <w:t xml:space="preserve">إلى </w:t>
      </w:r>
      <w:r w:rsidR="005D05A4" w:rsidRPr="006571AC">
        <w:rPr>
          <w:rFonts w:ascii="Sakkal Majalla" w:hAnsi="Sakkal Majalla" w:hint="cs"/>
          <w:sz w:val="27"/>
          <w:rtl/>
        </w:rPr>
        <w:t>تلك</w:t>
      </w:r>
      <w:r w:rsidR="005D05A4" w:rsidRPr="006571AC">
        <w:rPr>
          <w:rFonts w:ascii="Sakkal Majalla" w:hAnsi="Sakkal Majalla"/>
          <w:sz w:val="27"/>
          <w:rtl/>
        </w:rPr>
        <w:t xml:space="preserve"> المقد</w:t>
      </w:r>
      <w:r w:rsidRPr="006571AC">
        <w:rPr>
          <w:rFonts w:ascii="Sakkal Majalla" w:hAnsi="Sakkal Majalla" w:hint="cs"/>
          <w:sz w:val="27"/>
          <w:rtl/>
        </w:rPr>
        <w:t>ّ</w:t>
      </w:r>
      <w:r w:rsidR="005D05A4" w:rsidRPr="006571AC">
        <w:rPr>
          <w:rFonts w:ascii="Sakkal Majalla" w:hAnsi="Sakkal Majalla"/>
          <w:sz w:val="27"/>
          <w:rtl/>
        </w:rPr>
        <w:t xml:space="preserve">مات </w:t>
      </w:r>
      <w:r w:rsidR="005D05A4" w:rsidRPr="006571AC">
        <w:rPr>
          <w:rFonts w:ascii="Sakkal Majalla" w:hAnsi="Sakkal Majalla" w:hint="cs"/>
          <w:sz w:val="27"/>
          <w:rtl/>
        </w:rPr>
        <w:t>الكث</w:t>
      </w:r>
      <w:r w:rsidR="005D05A4" w:rsidRPr="006571AC">
        <w:rPr>
          <w:rFonts w:ascii="Times New Roman" w:hAnsi="Times New Roman" w:hint="cs"/>
          <w:sz w:val="27"/>
          <w:rtl/>
        </w:rPr>
        <w:t>ي</w:t>
      </w:r>
      <w:r w:rsidR="005D05A4" w:rsidRPr="006571AC">
        <w:rPr>
          <w:rFonts w:ascii="Sakkal Majalla" w:hAnsi="Sakkal Majalla" w:hint="cs"/>
          <w:sz w:val="27"/>
          <w:rtl/>
        </w:rPr>
        <w:t>رة</w:t>
      </w:r>
      <w:r w:rsidRPr="006571AC">
        <w:rPr>
          <w:rFonts w:ascii="Sakkal Majalla" w:hAnsi="Sakkal Majalla" w:hint="cs"/>
          <w:sz w:val="27"/>
          <w:rtl/>
        </w:rPr>
        <w:t>،</w:t>
      </w:r>
      <w:r w:rsidR="005D05A4" w:rsidRPr="006571AC">
        <w:rPr>
          <w:rFonts w:ascii="Sakkal Majalla" w:hAnsi="Sakkal Majalla" w:hint="cs"/>
          <w:sz w:val="27"/>
          <w:rtl/>
        </w:rPr>
        <w:t xml:space="preserve"> من</w:t>
      </w:r>
      <w:r w:rsidR="005D05A4" w:rsidRPr="006571AC">
        <w:rPr>
          <w:rFonts w:ascii="Sakkal Majalla" w:hAnsi="Sakkal Majalla"/>
          <w:sz w:val="27"/>
          <w:rtl/>
        </w:rPr>
        <w:t xml:space="preserve"> إلقاء خطبة</w:t>
      </w:r>
      <w:r w:rsidR="00B51DF0" w:rsidRPr="006571AC">
        <w:rPr>
          <w:rFonts w:ascii="Sakkal Majalla" w:hAnsi="Sakkal Majalla" w:hint="cs"/>
          <w:sz w:val="27"/>
          <w:rtl/>
        </w:rPr>
        <w:t>ٍ</w:t>
      </w:r>
      <w:r w:rsidR="005D05A4" w:rsidRPr="006571AC">
        <w:rPr>
          <w:rFonts w:ascii="Sakkal Majalla" w:hAnsi="Sakkal Majalla"/>
          <w:sz w:val="27"/>
          <w:rtl/>
        </w:rPr>
        <w:t xml:space="preserve"> في تلك الصحراء القاحلة</w:t>
      </w:r>
      <w:r w:rsidR="005D05A4" w:rsidRPr="006571AC">
        <w:rPr>
          <w:rFonts w:ascii="Sakkal Majalla" w:hAnsi="Sakkal Majalla" w:hint="cs"/>
          <w:sz w:val="27"/>
          <w:rtl/>
        </w:rPr>
        <w:t xml:space="preserve">، </w:t>
      </w:r>
      <w:r w:rsidR="005D05A4" w:rsidRPr="006571AC">
        <w:rPr>
          <w:rFonts w:ascii="Sakkal Majalla" w:hAnsi="Sakkal Majalla"/>
          <w:sz w:val="27"/>
          <w:rtl/>
        </w:rPr>
        <w:t xml:space="preserve">وتحت </w:t>
      </w:r>
      <w:r w:rsidR="005D05A4" w:rsidRPr="006571AC">
        <w:rPr>
          <w:rFonts w:ascii="Sakkal Majalla" w:hAnsi="Sakkal Majalla" w:hint="cs"/>
          <w:sz w:val="27"/>
          <w:rtl/>
        </w:rPr>
        <w:t>تلك الحرارة المحرقة</w:t>
      </w:r>
      <w:r w:rsidR="005D05A4" w:rsidRPr="006571AC">
        <w:rPr>
          <w:rFonts w:ascii="Sakkal Majalla" w:hAnsi="Sakkal Majalla"/>
          <w:sz w:val="27"/>
          <w:rtl/>
        </w:rPr>
        <w:t xml:space="preserve">، ولا </w:t>
      </w:r>
      <w:r w:rsidR="005D05A4" w:rsidRPr="006571AC">
        <w:rPr>
          <w:rFonts w:ascii="Sakkal Majalla" w:hAnsi="Sakkal Majalla" w:hint="cs"/>
          <w:sz w:val="27"/>
          <w:rtl/>
        </w:rPr>
        <w:t>يحتاج إلى إيقاف</w:t>
      </w:r>
      <w:r w:rsidR="005D05A4" w:rsidRPr="006571AC">
        <w:rPr>
          <w:rFonts w:ascii="Sakkal Majalla" w:hAnsi="Sakkal Majalla"/>
          <w:sz w:val="27"/>
          <w:rtl/>
        </w:rPr>
        <w:t xml:space="preserve"> </w:t>
      </w:r>
      <w:r w:rsidR="005D05A4" w:rsidRPr="006571AC">
        <w:rPr>
          <w:rFonts w:ascii="Sakkal Majalla" w:hAnsi="Sakkal Majalla" w:hint="cs"/>
          <w:sz w:val="27"/>
          <w:rtl/>
        </w:rPr>
        <w:t>تلك</w:t>
      </w:r>
      <w:r w:rsidR="005D05A4" w:rsidRPr="006571AC">
        <w:rPr>
          <w:rFonts w:ascii="Sakkal Majalla" w:hAnsi="Sakkal Majalla"/>
          <w:sz w:val="27"/>
          <w:rtl/>
        </w:rPr>
        <w:t xml:space="preserve"> </w:t>
      </w:r>
      <w:r w:rsidR="005D05A4" w:rsidRPr="006571AC">
        <w:rPr>
          <w:rFonts w:ascii="Sakkal Majalla" w:hAnsi="Sakkal Majalla" w:hint="cs"/>
          <w:sz w:val="27"/>
          <w:rtl/>
        </w:rPr>
        <w:t>الجموع</w:t>
      </w:r>
      <w:r w:rsidR="005D05A4" w:rsidRPr="006571AC">
        <w:rPr>
          <w:rFonts w:ascii="Sakkal Majalla" w:hAnsi="Sakkal Majalla"/>
          <w:sz w:val="27"/>
          <w:rtl/>
        </w:rPr>
        <w:t xml:space="preserve"> </w:t>
      </w:r>
      <w:r w:rsidR="005D05A4" w:rsidRPr="006571AC">
        <w:rPr>
          <w:rFonts w:ascii="Sakkal Majalla" w:hAnsi="Sakkal Majalla" w:hint="cs"/>
          <w:sz w:val="27"/>
          <w:rtl/>
        </w:rPr>
        <w:t>الغف</w:t>
      </w:r>
      <w:r w:rsidR="005D05A4" w:rsidRPr="006571AC">
        <w:rPr>
          <w:rFonts w:ascii="Times New Roman" w:hAnsi="Times New Roman" w:hint="cs"/>
          <w:sz w:val="27"/>
          <w:rtl/>
        </w:rPr>
        <w:t>ي</w:t>
      </w:r>
      <w:r w:rsidR="005D05A4" w:rsidRPr="006571AC">
        <w:rPr>
          <w:rFonts w:ascii="Sakkal Majalla" w:hAnsi="Sakkal Majalla" w:hint="cs"/>
          <w:sz w:val="27"/>
          <w:rtl/>
        </w:rPr>
        <w:t>رة</w:t>
      </w:r>
      <w:r w:rsidR="005D05A4" w:rsidRPr="006571AC">
        <w:rPr>
          <w:rFonts w:ascii="Sakkal Majalla" w:hAnsi="Sakkal Majalla"/>
          <w:sz w:val="27"/>
          <w:rtl/>
        </w:rPr>
        <w:t xml:space="preserve"> </w:t>
      </w:r>
      <w:r w:rsidR="005D05A4" w:rsidRPr="006571AC">
        <w:rPr>
          <w:rFonts w:ascii="Sakkal Majalla" w:hAnsi="Sakkal Majalla" w:hint="cs"/>
          <w:sz w:val="27"/>
          <w:rtl/>
        </w:rPr>
        <w:t>التي</w:t>
      </w:r>
      <w:r w:rsidR="005D05A4" w:rsidRPr="006571AC">
        <w:rPr>
          <w:rFonts w:ascii="Sakkal Majalla" w:hAnsi="Sakkal Majalla"/>
          <w:sz w:val="27"/>
          <w:rtl/>
        </w:rPr>
        <w:t xml:space="preserve"> </w:t>
      </w:r>
      <w:r w:rsidR="005D05A4" w:rsidRPr="006571AC">
        <w:rPr>
          <w:rFonts w:ascii="Sakkal Majalla" w:hAnsi="Sakkal Majalla" w:hint="cs"/>
          <w:sz w:val="27"/>
          <w:rtl/>
        </w:rPr>
        <w:t>أ</w:t>
      </w:r>
      <w:r w:rsidR="005D05A4" w:rsidRPr="006571AC">
        <w:rPr>
          <w:rFonts w:ascii="Sakkal Majalla" w:hAnsi="Sakkal Majalla"/>
          <w:sz w:val="27"/>
          <w:rtl/>
        </w:rPr>
        <w:t>تعبها طول الطر</w:t>
      </w:r>
      <w:r w:rsidR="005D05A4" w:rsidRPr="006571AC">
        <w:rPr>
          <w:rFonts w:ascii="Times New Roman" w:hAnsi="Times New Roman" w:hint="cs"/>
          <w:sz w:val="27"/>
          <w:rtl/>
        </w:rPr>
        <w:t>ي</w:t>
      </w:r>
      <w:r w:rsidR="005D05A4" w:rsidRPr="006571AC">
        <w:rPr>
          <w:rFonts w:ascii="Sakkal Majalla" w:hAnsi="Sakkal Majalla" w:hint="cs"/>
          <w:sz w:val="27"/>
          <w:rtl/>
        </w:rPr>
        <w:t>ق</w:t>
      </w:r>
      <w:r w:rsidRPr="006571AC">
        <w:rPr>
          <w:rFonts w:ascii="Sakkal Majalla" w:hAnsi="Sakkal Majalla" w:hint="cs"/>
          <w:sz w:val="27"/>
          <w:rtl/>
        </w:rPr>
        <w:t>،</w:t>
      </w:r>
      <w:r w:rsidR="005D05A4" w:rsidRPr="006571AC">
        <w:rPr>
          <w:rFonts w:ascii="Sakkal Majalla" w:hAnsi="Sakkal Majalla"/>
          <w:sz w:val="27"/>
          <w:rtl/>
        </w:rPr>
        <w:t xml:space="preserve"> وف</w:t>
      </w:r>
      <w:r w:rsidR="005D05A4" w:rsidRPr="006571AC">
        <w:rPr>
          <w:rFonts w:ascii="Times New Roman" w:hAnsi="Times New Roman" w:hint="cs"/>
          <w:sz w:val="27"/>
          <w:rtl/>
        </w:rPr>
        <w:t>ي</w:t>
      </w:r>
      <w:r w:rsidR="005D05A4" w:rsidRPr="006571AC">
        <w:rPr>
          <w:rFonts w:ascii="Sakkal Majalla" w:hAnsi="Sakkal Majalla" w:hint="cs"/>
          <w:sz w:val="27"/>
          <w:rtl/>
        </w:rPr>
        <w:t>هم</w:t>
      </w:r>
      <w:r w:rsidR="005D05A4" w:rsidRPr="006571AC">
        <w:rPr>
          <w:rFonts w:ascii="Sakkal Majalla" w:hAnsi="Sakkal Majalla"/>
          <w:sz w:val="27"/>
          <w:rtl/>
        </w:rPr>
        <w:t xml:space="preserve"> </w:t>
      </w:r>
      <w:r w:rsidR="005D05A4" w:rsidRPr="006571AC">
        <w:rPr>
          <w:rFonts w:ascii="Sakkal Majalla" w:hAnsi="Sakkal Majalla" w:hint="cs"/>
          <w:sz w:val="27"/>
          <w:rtl/>
        </w:rPr>
        <w:t>الش</w:t>
      </w:r>
      <w:r w:rsidR="005D05A4" w:rsidRPr="006571AC">
        <w:rPr>
          <w:rFonts w:ascii="Times New Roman" w:hAnsi="Times New Roman" w:hint="cs"/>
          <w:sz w:val="27"/>
          <w:rtl/>
        </w:rPr>
        <w:t>ي</w:t>
      </w:r>
      <w:r w:rsidR="005D05A4" w:rsidRPr="006571AC">
        <w:rPr>
          <w:rFonts w:ascii="Sakkal Majalla" w:hAnsi="Sakkal Majalla" w:hint="cs"/>
          <w:sz w:val="27"/>
          <w:rtl/>
        </w:rPr>
        <w:t>خ</w:t>
      </w:r>
      <w:r w:rsidR="005D05A4" w:rsidRPr="006571AC">
        <w:rPr>
          <w:rFonts w:ascii="Sakkal Majalla" w:hAnsi="Sakkal Majalla"/>
          <w:sz w:val="27"/>
          <w:rtl/>
        </w:rPr>
        <w:t xml:space="preserve"> والش</w:t>
      </w:r>
      <w:r w:rsidR="005D05A4" w:rsidRPr="006571AC">
        <w:rPr>
          <w:rFonts w:ascii="Times New Roman" w:hAnsi="Times New Roman" w:hint="cs"/>
          <w:sz w:val="27"/>
          <w:rtl/>
        </w:rPr>
        <w:t>ي</w:t>
      </w:r>
      <w:r w:rsidR="005D05A4" w:rsidRPr="006571AC">
        <w:rPr>
          <w:rFonts w:ascii="Sakkal Majalla" w:hAnsi="Sakkal Majalla" w:hint="cs"/>
          <w:sz w:val="27"/>
          <w:rtl/>
        </w:rPr>
        <w:t>خة</w:t>
      </w:r>
      <w:r w:rsidR="005D05A4" w:rsidRPr="006571AC">
        <w:rPr>
          <w:rFonts w:ascii="Sakkal Majalla" w:hAnsi="Sakkal Majalla"/>
          <w:sz w:val="27"/>
          <w:rtl/>
        </w:rPr>
        <w:t xml:space="preserve"> والطفل</w:t>
      </w:r>
      <w:r w:rsidR="005D05A4" w:rsidRPr="006571AC">
        <w:rPr>
          <w:rFonts w:ascii="Sakkal Majalla" w:hAnsi="Sakkal Majalla" w:hint="cs"/>
          <w:sz w:val="27"/>
          <w:rtl/>
        </w:rPr>
        <w:t xml:space="preserve">، </w:t>
      </w:r>
      <w:r w:rsidR="005D05A4" w:rsidRPr="006571AC">
        <w:rPr>
          <w:rFonts w:ascii="Sakkal Majalla" w:hAnsi="Sakkal Majalla"/>
          <w:sz w:val="27"/>
          <w:rtl/>
        </w:rPr>
        <w:t xml:space="preserve">ولا إلى </w:t>
      </w:r>
      <w:r w:rsidR="005D05A4" w:rsidRPr="006571AC">
        <w:rPr>
          <w:rFonts w:ascii="Sakkal Majalla" w:hAnsi="Sakkal Majalla" w:hint="cs"/>
          <w:sz w:val="27"/>
          <w:rtl/>
        </w:rPr>
        <w:t>أ</w:t>
      </w:r>
      <w:r w:rsidR="005D05A4" w:rsidRPr="006571AC">
        <w:rPr>
          <w:rFonts w:ascii="Sakkal Majalla" w:hAnsi="Sakkal Majalla"/>
          <w:sz w:val="27"/>
          <w:rtl/>
        </w:rPr>
        <w:t>خذ تل</w:t>
      </w:r>
      <w:r w:rsidR="005D05A4" w:rsidRPr="006571AC">
        <w:rPr>
          <w:rFonts w:ascii="Sakkal Majalla" w:hAnsi="Sakkal Majalla" w:hint="cs"/>
          <w:sz w:val="27"/>
          <w:rtl/>
        </w:rPr>
        <w:t>ك</w:t>
      </w:r>
      <w:r w:rsidR="005D05A4" w:rsidRPr="006571AC">
        <w:rPr>
          <w:rFonts w:ascii="Sakkal Majalla" w:hAnsi="Sakkal Majalla"/>
          <w:sz w:val="27"/>
          <w:rtl/>
        </w:rPr>
        <w:t xml:space="preserve"> الاعترافات والمواث</w:t>
      </w:r>
      <w:r w:rsidR="005D05A4" w:rsidRPr="006571AC">
        <w:rPr>
          <w:rFonts w:ascii="Times New Roman" w:hAnsi="Times New Roman" w:hint="cs"/>
          <w:sz w:val="27"/>
          <w:rtl/>
        </w:rPr>
        <w:t>ي</w:t>
      </w:r>
      <w:r w:rsidR="005D05A4" w:rsidRPr="006571AC">
        <w:rPr>
          <w:rFonts w:ascii="Sakkal Majalla" w:hAnsi="Sakkal Majalla" w:hint="cs"/>
          <w:sz w:val="27"/>
          <w:rtl/>
        </w:rPr>
        <w:t>ق</w:t>
      </w:r>
      <w:r w:rsidR="005D05A4" w:rsidRPr="006571AC">
        <w:rPr>
          <w:rFonts w:ascii="Sakkal Majalla" w:hAnsi="Sakkal Majalla"/>
          <w:sz w:val="27"/>
          <w:rtl/>
        </w:rPr>
        <w:t xml:space="preserve"> </w:t>
      </w:r>
      <w:r w:rsidR="005D05A4" w:rsidRPr="006571AC">
        <w:rPr>
          <w:rFonts w:ascii="Sakkal Majalla" w:hAnsi="Sakkal Majalla" w:hint="cs"/>
          <w:sz w:val="27"/>
          <w:rtl/>
        </w:rPr>
        <w:t>المؤك</w:t>
      </w:r>
      <w:r w:rsidRPr="006571AC">
        <w:rPr>
          <w:rFonts w:ascii="Sakkal Majalla" w:hAnsi="Sakkal Majalla" w:hint="cs"/>
          <w:sz w:val="27"/>
          <w:rtl/>
        </w:rPr>
        <w:t>َّ</w:t>
      </w:r>
      <w:r w:rsidR="005D05A4" w:rsidRPr="006571AC">
        <w:rPr>
          <w:rFonts w:ascii="Sakkal Majalla" w:hAnsi="Sakkal Majalla" w:hint="cs"/>
          <w:sz w:val="27"/>
          <w:rtl/>
        </w:rPr>
        <w:t>دة</w:t>
      </w:r>
      <w:r w:rsidR="005D05A4" w:rsidRPr="006571AC">
        <w:rPr>
          <w:rFonts w:ascii="Sakkal Majalla" w:hAnsi="Sakkal Majalla"/>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hint="cs"/>
          <w:sz w:val="27"/>
          <w:rtl/>
        </w:rPr>
        <w:t>كما</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w:t>
      </w:r>
      <w:r w:rsidRPr="006571AC">
        <w:rPr>
          <w:rFonts w:ascii="Sakkal Majalla" w:hAnsi="Sakkal Majalla" w:hint="cs"/>
          <w:sz w:val="27"/>
          <w:rtl/>
        </w:rPr>
        <w:t>ّ</w:t>
      </w:r>
      <w:r w:rsidRPr="006571AC">
        <w:rPr>
          <w:rFonts w:ascii="Sakkal Majalla" w:hAnsi="Sakkal Majalla"/>
          <w:sz w:val="27"/>
          <w:rtl/>
        </w:rPr>
        <w:t xml:space="preserve"> مجرد المحب</w:t>
      </w:r>
      <w:r w:rsidR="00CC326C" w:rsidRPr="006571AC">
        <w:rPr>
          <w:rFonts w:ascii="Sakkal Majalla" w:hAnsi="Sakkal Majalla" w:hint="cs"/>
          <w:sz w:val="27"/>
          <w:rtl/>
        </w:rPr>
        <w:t>ّ</w:t>
      </w:r>
      <w:r w:rsidRPr="006571AC">
        <w:rPr>
          <w:rFonts w:ascii="Sakkal Majalla" w:hAnsi="Sakkal Majalla"/>
          <w:sz w:val="27"/>
          <w:rtl/>
        </w:rPr>
        <w:t>ة ل</w:t>
      </w:r>
      <w:r w:rsidRPr="006571AC">
        <w:rPr>
          <w:rFonts w:ascii="Times New Roman" w:hAnsi="Times New Roman" w:hint="cs"/>
          <w:sz w:val="27"/>
          <w:rtl/>
        </w:rPr>
        <w:t>ي</w:t>
      </w:r>
      <w:r w:rsidRPr="006571AC">
        <w:rPr>
          <w:rFonts w:ascii="Sakkal Majalla" w:hAnsi="Sakkal Majalla" w:hint="cs"/>
          <w:sz w:val="27"/>
          <w:rtl/>
        </w:rPr>
        <w:t>س</w:t>
      </w:r>
      <w:r w:rsidRPr="006571AC">
        <w:rPr>
          <w:rFonts w:ascii="Sakkal Majalla" w:hAnsi="Sakkal Majalla"/>
          <w:sz w:val="27"/>
          <w:rtl/>
        </w:rPr>
        <w:t xml:space="preserve"> </w:t>
      </w:r>
      <w:r w:rsidRPr="006571AC">
        <w:rPr>
          <w:rFonts w:ascii="Sakkal Majalla" w:hAnsi="Sakkal Majalla" w:hint="cs"/>
          <w:sz w:val="27"/>
          <w:rtl/>
        </w:rPr>
        <w:t>لها</w:t>
      </w:r>
      <w:r w:rsidRPr="006571AC">
        <w:rPr>
          <w:rFonts w:ascii="Sakkal Majalla" w:hAnsi="Sakkal Majalla"/>
          <w:sz w:val="27"/>
          <w:rtl/>
        </w:rPr>
        <w:t xml:space="preserve"> </w:t>
      </w:r>
      <w:r w:rsidRPr="006571AC">
        <w:rPr>
          <w:rFonts w:ascii="Sakkal Majalla" w:hAnsi="Sakkal Majalla" w:hint="cs"/>
          <w:sz w:val="27"/>
          <w:rtl/>
        </w:rPr>
        <w:t>تلك</w:t>
      </w:r>
      <w:r w:rsidRPr="006571AC">
        <w:rPr>
          <w:rFonts w:ascii="Sakkal Majalla" w:hAnsi="Sakkal Majalla"/>
          <w:sz w:val="27"/>
          <w:rtl/>
        </w:rPr>
        <w:t xml:space="preserve"> ال</w:t>
      </w:r>
      <w:r w:rsidRPr="006571AC">
        <w:rPr>
          <w:rFonts w:ascii="Sakkal Majalla" w:hAnsi="Sakkal Majalla" w:hint="cs"/>
          <w:sz w:val="27"/>
          <w:rtl/>
        </w:rPr>
        <w:t>أ</w:t>
      </w:r>
      <w:r w:rsidRPr="006571AC">
        <w:rPr>
          <w:rFonts w:ascii="Sakkal Majalla" w:hAnsi="Sakkal Majalla"/>
          <w:sz w:val="27"/>
          <w:rtl/>
        </w:rPr>
        <w:t>هم</w:t>
      </w:r>
      <w:r w:rsidR="00CC326C" w:rsidRPr="006571AC">
        <w:rPr>
          <w:rFonts w:ascii="Sakkal Majalla" w:hAnsi="Sakkal Majalla" w:hint="cs"/>
          <w:sz w:val="27"/>
          <w:rtl/>
        </w:rPr>
        <w:t>ّ</w:t>
      </w:r>
      <w:r w:rsidRPr="006571AC">
        <w:rPr>
          <w:rFonts w:ascii="Times New Roman" w:hAnsi="Times New Roman" w:hint="cs"/>
          <w:sz w:val="27"/>
          <w:rtl/>
        </w:rPr>
        <w:t>ي</w:t>
      </w:r>
      <w:r w:rsidRPr="006571AC">
        <w:rPr>
          <w:rFonts w:ascii="Sakkal Majalla" w:hAnsi="Sakkal Majalla" w:hint="cs"/>
          <w:sz w:val="27"/>
          <w:rtl/>
        </w:rPr>
        <w:t>ة</w:t>
      </w:r>
      <w:r w:rsidR="00CC326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بح</w:t>
      </w:r>
      <w:r w:rsidRPr="006571AC">
        <w:rPr>
          <w:rFonts w:ascii="Times New Roman" w:hAnsi="Times New Roman" w:hint="cs"/>
          <w:sz w:val="27"/>
          <w:rtl/>
        </w:rPr>
        <w:t>ي</w:t>
      </w:r>
      <w:r w:rsidRPr="006571AC">
        <w:rPr>
          <w:rFonts w:ascii="Sakkal Majalla" w:hAnsi="Sakkal Majalla" w:hint="cs"/>
          <w:sz w:val="27"/>
          <w:rtl/>
        </w:rPr>
        <w:t>ث</w:t>
      </w:r>
      <w:r w:rsidRPr="006571AC">
        <w:rPr>
          <w:rFonts w:ascii="Sakkal Majalla" w:hAnsi="Sakkal Majalla"/>
          <w:sz w:val="27"/>
          <w:rtl/>
        </w:rPr>
        <w:t xml:space="preserve"> </w:t>
      </w:r>
      <w:r w:rsidRPr="006571AC">
        <w:rPr>
          <w:rFonts w:ascii="Sakkal Majalla" w:hAnsi="Sakkal Majalla" w:hint="cs"/>
          <w:sz w:val="27"/>
          <w:rtl/>
        </w:rPr>
        <w:t>تت</w:t>
      </w:r>
      <w:r w:rsidR="00CC326C" w:rsidRPr="006571AC">
        <w:rPr>
          <w:rFonts w:ascii="Sakkal Majalla" w:hAnsi="Sakkal Majalla" w:hint="cs"/>
          <w:sz w:val="27"/>
          <w:rtl/>
        </w:rPr>
        <w:t>ّ</w:t>
      </w:r>
      <w:r w:rsidRPr="006571AC">
        <w:rPr>
          <w:rFonts w:ascii="Sakkal Majalla" w:hAnsi="Sakkal Majalla" w:hint="cs"/>
          <w:sz w:val="27"/>
          <w:rtl/>
        </w:rPr>
        <w:t>خذ</w:t>
      </w:r>
      <w:r w:rsidRPr="006571AC">
        <w:rPr>
          <w:rFonts w:ascii="Sakkal Majalla" w:hAnsi="Sakkal Majalla"/>
          <w:sz w:val="27"/>
          <w:rtl/>
        </w:rPr>
        <w:t xml:space="preserve"> </w:t>
      </w:r>
      <w:r w:rsidRPr="006571AC">
        <w:rPr>
          <w:rFonts w:ascii="Sakkal Majalla" w:hAnsi="Sakkal Majalla" w:hint="cs"/>
          <w:sz w:val="27"/>
          <w:rtl/>
        </w:rPr>
        <w:t>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ذلك</w:t>
      </w:r>
      <w:r w:rsidRPr="006571AC">
        <w:rPr>
          <w:rFonts w:ascii="Sakkal Majalla" w:hAnsi="Sakkal Majalla"/>
          <w:sz w:val="27"/>
          <w:rtl/>
        </w:rPr>
        <w:t xml:space="preserve"> الأسلوب الشد</w:t>
      </w:r>
      <w:r w:rsidRPr="006571AC">
        <w:rPr>
          <w:rFonts w:ascii="Times New Roman" w:hAnsi="Times New Roman" w:hint="cs"/>
          <w:sz w:val="27"/>
          <w:rtl/>
        </w:rPr>
        <w:t>ي</w:t>
      </w:r>
      <w:r w:rsidRPr="006571AC">
        <w:rPr>
          <w:rFonts w:ascii="Sakkal Majalla" w:hAnsi="Sakkal Majalla" w:hint="cs"/>
          <w:sz w:val="27"/>
          <w:rtl/>
        </w:rPr>
        <w:t>د</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مخاطبة الرسول</w:t>
      </w:r>
      <w:r w:rsidR="002A2C90" w:rsidRPr="006571AC">
        <w:rPr>
          <w:rFonts w:ascii="Mosawi" w:hAnsi="Mosawi" w:cs="Mosawi"/>
          <w:sz w:val="22"/>
          <w:szCs w:val="22"/>
          <w:rtl/>
        </w:rPr>
        <w:t>|</w:t>
      </w:r>
      <w:r w:rsidR="00CC326C" w:rsidRPr="006571AC">
        <w:rPr>
          <w:rFonts w:ascii="Sakkal Majalla" w:hAnsi="Sakkal Majalla" w:hint="cs"/>
          <w:sz w:val="27"/>
          <w:rtl/>
        </w:rPr>
        <w:t>،</w:t>
      </w:r>
      <w:r w:rsidRPr="006571AC">
        <w:rPr>
          <w:rFonts w:ascii="Sakkal Majalla" w:hAnsi="Sakkal Majalla"/>
          <w:sz w:val="27"/>
          <w:rtl/>
        </w:rPr>
        <w:t xml:space="preserve"> وتقول له</w:t>
      </w:r>
      <w:r w:rsidR="00CC326C"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sz w:val="24"/>
          <w:szCs w:val="24"/>
          <w:rtl/>
        </w:rPr>
        <w:t>﴿</w:t>
      </w:r>
      <w:r w:rsidRPr="006571AC">
        <w:rPr>
          <w:rFonts w:ascii="Sakkal Majalla" w:hAnsi="Sakkal Majalla"/>
          <w:b/>
          <w:bCs/>
          <w:sz w:val="27"/>
          <w:rtl/>
        </w:rPr>
        <w:t>وَإِنْ لَمْ تَفْعَلْ فَم</w:t>
      </w:r>
      <w:r w:rsidR="00CC326C" w:rsidRPr="006571AC">
        <w:rPr>
          <w:rFonts w:ascii="Sakkal Majalla" w:hAnsi="Sakkal Majalla" w:hint="cs"/>
          <w:b/>
          <w:bCs/>
          <w:sz w:val="27"/>
          <w:rtl/>
        </w:rPr>
        <w:t>َ</w:t>
      </w:r>
      <w:r w:rsidRPr="006571AC">
        <w:rPr>
          <w:rFonts w:ascii="Sakkal Majalla" w:hAnsi="Sakkal Majalla"/>
          <w:b/>
          <w:bCs/>
          <w:sz w:val="27"/>
          <w:rtl/>
        </w:rPr>
        <w:t>ا بَلَّغْتَ رِس</w:t>
      </w:r>
      <w:r w:rsidR="00CC326C" w:rsidRPr="006571AC">
        <w:rPr>
          <w:rFonts w:ascii="Sakkal Majalla" w:hAnsi="Sakkal Majalla" w:hint="cs"/>
          <w:b/>
          <w:bCs/>
          <w:sz w:val="27"/>
          <w:rtl/>
        </w:rPr>
        <w:t>َ</w:t>
      </w:r>
      <w:r w:rsidRPr="006571AC">
        <w:rPr>
          <w:rFonts w:ascii="Sakkal Majalla" w:hAnsi="Sakkal Majalla"/>
          <w:b/>
          <w:bCs/>
          <w:sz w:val="27"/>
          <w:rtl/>
        </w:rPr>
        <w:t>الَتَهُ</w:t>
      </w:r>
      <w:r w:rsidRPr="006571AC">
        <w:rPr>
          <w:rFonts w:ascii="Sakkal Majalla" w:hAnsi="Sakkal Majalla"/>
          <w:sz w:val="27"/>
          <w:rtl/>
        </w:rPr>
        <w:t>‏</w:t>
      </w:r>
      <w:r w:rsidRPr="006571AC">
        <w:rPr>
          <w:rFonts w:ascii="Mosawi" w:hAnsi="Mosawi" w:cs="Mosawi"/>
          <w:sz w:val="24"/>
          <w:szCs w:val="24"/>
          <w:rtl/>
        </w:rPr>
        <w:t>﴾</w:t>
      </w:r>
      <w:r w:rsidR="00CC326C" w:rsidRPr="006571AC">
        <w:rPr>
          <w:rFonts w:ascii="Sakkal Majalla" w:hAnsi="Sakkal Majalla" w:hint="cs"/>
          <w:sz w:val="27"/>
          <w:rtl/>
        </w:rPr>
        <w:t>؛</w:t>
      </w:r>
      <w:r w:rsidRPr="006571AC">
        <w:rPr>
          <w:rFonts w:ascii="Sakkal Majalla" w:hAnsi="Sakkal Majalla"/>
          <w:sz w:val="27"/>
          <w:rtl/>
        </w:rPr>
        <w:t xml:space="preserve"> ف</w:t>
      </w:r>
      <w:r w:rsidR="00CC326C" w:rsidRPr="006571AC">
        <w:rPr>
          <w:rFonts w:ascii="Sakkal Majalla" w:hAnsi="Sakkal Majalla" w:hint="cs"/>
          <w:sz w:val="27"/>
          <w:rtl/>
        </w:rPr>
        <w:t>إ</w:t>
      </w:r>
      <w:r w:rsidRPr="006571AC">
        <w:rPr>
          <w:rFonts w:ascii="Sakkal Majalla" w:hAnsi="Sakkal Majalla"/>
          <w:sz w:val="27"/>
          <w:rtl/>
        </w:rPr>
        <w:t>ن</w:t>
      </w:r>
      <w:r w:rsidRPr="006571AC">
        <w:rPr>
          <w:rFonts w:ascii="Sakkal Majalla" w:hAnsi="Sakkal Majalla" w:hint="cs"/>
          <w:sz w:val="27"/>
          <w:rtl/>
        </w:rPr>
        <w:t>ّ</w:t>
      </w:r>
      <w:r w:rsidRPr="006571AC">
        <w:rPr>
          <w:rFonts w:ascii="Sakkal Majalla" w:hAnsi="Sakkal Majalla"/>
          <w:sz w:val="27"/>
          <w:rtl/>
        </w:rPr>
        <w:t xml:space="preserve"> المحبة ب</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المؤمن</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تعتبر</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وّل</w:t>
      </w:r>
      <w:r w:rsidRPr="006571AC">
        <w:rPr>
          <w:rFonts w:ascii="Times New Roman" w:hAnsi="Times New Roman" w:hint="cs"/>
          <w:sz w:val="27"/>
          <w:rtl/>
        </w:rPr>
        <w:t>ي</w:t>
      </w:r>
      <w:r w:rsidRPr="006571AC">
        <w:rPr>
          <w:rFonts w:ascii="Sakkal Majalla" w:hAnsi="Sakkal Majalla" w:hint="cs"/>
          <w:sz w:val="27"/>
          <w:rtl/>
        </w:rPr>
        <w:t>ات</w:t>
      </w:r>
      <w:r w:rsidRPr="006571AC">
        <w:rPr>
          <w:rFonts w:ascii="Sakkal Majalla" w:hAnsi="Sakkal Majalla"/>
          <w:sz w:val="27"/>
          <w:rtl/>
        </w:rPr>
        <w:t xml:space="preserve"> </w:t>
      </w:r>
      <w:r w:rsidRPr="006571AC">
        <w:rPr>
          <w:rFonts w:ascii="Sakkal Majalla" w:hAnsi="Sakkal Majalla" w:hint="cs"/>
          <w:sz w:val="27"/>
          <w:rtl/>
        </w:rPr>
        <w:t>التعال</w:t>
      </w:r>
      <w:r w:rsidRPr="006571AC">
        <w:rPr>
          <w:rFonts w:ascii="Times New Roman" w:hAnsi="Times New Roman" w:hint="cs"/>
          <w:sz w:val="27"/>
          <w:rtl/>
        </w:rPr>
        <w:t>ي</w:t>
      </w:r>
      <w:r w:rsidRPr="006571AC">
        <w:rPr>
          <w:rFonts w:ascii="Sakkal Majalla" w:hAnsi="Sakkal Majalla" w:hint="cs"/>
          <w:sz w:val="27"/>
          <w:rtl/>
        </w:rPr>
        <w:t>م</w:t>
      </w:r>
      <w:r w:rsidRPr="006571AC">
        <w:rPr>
          <w:rFonts w:ascii="Sakkal Majalla" w:hAnsi="Sakkal Majalla"/>
          <w:sz w:val="27"/>
          <w:rtl/>
        </w:rPr>
        <w:t xml:space="preserve"> </w:t>
      </w:r>
      <w:r w:rsidRPr="006571AC">
        <w:rPr>
          <w:rFonts w:ascii="Sakkal Majalla" w:hAnsi="Sakkal Majalla" w:hint="cs"/>
          <w:sz w:val="27"/>
          <w:rtl/>
        </w:rPr>
        <w:t>الإ</w:t>
      </w:r>
      <w:r w:rsidRPr="006571AC">
        <w:rPr>
          <w:rFonts w:ascii="Sakkal Majalla" w:hAnsi="Sakkal Majalla"/>
          <w:sz w:val="27"/>
          <w:rtl/>
        </w:rPr>
        <w:t>سلام</w:t>
      </w:r>
      <w:r w:rsidRPr="006571AC">
        <w:rPr>
          <w:rFonts w:ascii="Times New Roman" w:hAnsi="Times New Roman" w:hint="cs"/>
          <w:sz w:val="27"/>
          <w:rtl/>
        </w:rPr>
        <w:t>ي</w:t>
      </w:r>
      <w:r w:rsidRPr="006571AC">
        <w:rPr>
          <w:rFonts w:ascii="Sakkal Majalla" w:hAnsi="Sakkal Majalla" w:hint="cs"/>
          <w:sz w:val="27"/>
          <w:rtl/>
        </w:rPr>
        <w:t>ة، و</w:t>
      </w:r>
      <w:r w:rsidRPr="006571AC">
        <w:rPr>
          <w:rFonts w:ascii="Sakkal Majalla" w:hAnsi="Sakkal Majalla"/>
          <w:sz w:val="27"/>
          <w:rtl/>
        </w:rPr>
        <w:t xml:space="preserve">قد </w:t>
      </w:r>
      <w:r w:rsidRPr="006571AC">
        <w:rPr>
          <w:rFonts w:ascii="Sakkal Majalla" w:hAnsi="Sakkal Majalla" w:hint="cs"/>
          <w:sz w:val="27"/>
          <w:rtl/>
        </w:rPr>
        <w:t>أ</w:t>
      </w:r>
      <w:r w:rsidRPr="006571AC">
        <w:rPr>
          <w:rFonts w:ascii="Sakkal Majalla" w:hAnsi="Sakkal Majalla"/>
          <w:sz w:val="27"/>
          <w:rtl/>
        </w:rPr>
        <w:t>ك</w:t>
      </w:r>
      <w:r w:rsidR="00CC326C" w:rsidRPr="006571AC">
        <w:rPr>
          <w:rFonts w:ascii="Sakkal Majalla" w:hAnsi="Sakkal Majalla" w:hint="cs"/>
          <w:sz w:val="27"/>
          <w:rtl/>
        </w:rPr>
        <w:t>َّ</w:t>
      </w:r>
      <w:r w:rsidRPr="006571AC">
        <w:rPr>
          <w:rFonts w:ascii="Sakkal Majalla" w:hAnsi="Sakkal Majalla"/>
          <w:sz w:val="27"/>
          <w:rtl/>
        </w:rPr>
        <w:t>د عل</w:t>
      </w:r>
      <w:r w:rsidRPr="006571AC">
        <w:rPr>
          <w:rFonts w:ascii="Times New Roman" w:hAnsi="Times New Roman" w:hint="cs"/>
          <w:sz w:val="27"/>
          <w:rtl/>
        </w:rPr>
        <w:t>ي</w:t>
      </w:r>
      <w:r w:rsidRPr="006571AC">
        <w:rPr>
          <w:rFonts w:ascii="Sakkal Majalla" w:hAnsi="Sakkal Majalla" w:hint="cs"/>
          <w:sz w:val="27"/>
          <w:rtl/>
        </w:rPr>
        <w:t>ها</w:t>
      </w:r>
      <w:r w:rsidRPr="006571AC">
        <w:rPr>
          <w:rFonts w:ascii="Sakkal Majalla" w:hAnsi="Sakkal Majalla"/>
          <w:sz w:val="27"/>
          <w:rtl/>
        </w:rPr>
        <w:t xml:space="preserve"> </w:t>
      </w:r>
      <w:r w:rsidRPr="006571AC">
        <w:rPr>
          <w:rFonts w:ascii="Sakkal Majalla" w:hAnsi="Sakkal Majalla" w:hint="cs"/>
          <w:sz w:val="27"/>
          <w:rtl/>
        </w:rPr>
        <w:t>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الإ</w:t>
      </w:r>
      <w:r w:rsidRPr="006571AC">
        <w:rPr>
          <w:rFonts w:ascii="Sakkal Majalla" w:hAnsi="Sakkal Majalla"/>
          <w:sz w:val="27"/>
          <w:rtl/>
        </w:rPr>
        <w:t>سلام</w:t>
      </w:r>
      <w:r w:rsidRPr="006571AC">
        <w:rPr>
          <w:rFonts w:ascii="Sakkal Majalla" w:hAnsi="Sakkal Majalla" w:hint="cs"/>
          <w:sz w:val="27"/>
          <w:rtl/>
        </w:rPr>
        <w:t>ي</w:t>
      </w:r>
      <w:r w:rsidRPr="006571AC">
        <w:rPr>
          <w:rFonts w:ascii="Sakkal Majalla" w:hAnsi="Sakkal Majalla"/>
          <w:sz w:val="27"/>
          <w:rtl/>
        </w:rPr>
        <w:t xml:space="preserve"> منذ ظهوره ف</w:t>
      </w:r>
      <w:r w:rsidRPr="006571AC">
        <w:rPr>
          <w:rFonts w:ascii="Sakkal Majalla" w:hAnsi="Sakkal Majalla" w:hint="cs"/>
          <w:sz w:val="27"/>
          <w:rtl/>
        </w:rPr>
        <w:t>ي</w:t>
      </w:r>
      <w:r w:rsidRPr="006571AC">
        <w:rPr>
          <w:rFonts w:ascii="Sakkal Majalla" w:hAnsi="Sakkal Majalla"/>
          <w:sz w:val="27"/>
          <w:rtl/>
        </w:rPr>
        <w:t xml:space="preserve"> الجز</w:t>
      </w:r>
      <w:r w:rsidRPr="006571AC">
        <w:rPr>
          <w:rFonts w:ascii="Times New Roman" w:hAnsi="Times New Roman" w:hint="cs"/>
          <w:sz w:val="27"/>
          <w:rtl/>
        </w:rPr>
        <w:t>ي</w:t>
      </w:r>
      <w:r w:rsidRPr="006571AC">
        <w:rPr>
          <w:rFonts w:ascii="Sakkal Majalla" w:hAnsi="Sakkal Majalla" w:hint="cs"/>
          <w:sz w:val="27"/>
          <w:rtl/>
        </w:rPr>
        <w:t>رة</w:t>
      </w:r>
      <w:r w:rsidRPr="006571AC">
        <w:rPr>
          <w:rFonts w:ascii="Sakkal Majalla" w:hAnsi="Sakkal Majalla"/>
          <w:sz w:val="27"/>
          <w:rtl/>
        </w:rPr>
        <w:t xml:space="preserve"> </w:t>
      </w:r>
      <w:r w:rsidRPr="006571AC">
        <w:rPr>
          <w:rFonts w:ascii="Sakkal Majalla" w:hAnsi="Sakkal Majalla" w:hint="cs"/>
          <w:sz w:val="27"/>
          <w:rtl/>
        </w:rPr>
        <w:t>العرب</w:t>
      </w:r>
      <w:r w:rsidRPr="006571AC">
        <w:rPr>
          <w:rFonts w:ascii="Times New Roman" w:hAnsi="Times New Roman" w:hint="cs"/>
          <w:sz w:val="27"/>
          <w:rtl/>
        </w:rPr>
        <w:t>ي</w:t>
      </w:r>
      <w:r w:rsidRPr="006571AC">
        <w:rPr>
          <w:rFonts w:ascii="Sakkal Majalla" w:hAnsi="Sakkal Majalla" w:hint="cs"/>
          <w:sz w:val="27"/>
          <w:rtl/>
        </w:rPr>
        <w:t xml:space="preserve">ة. </w:t>
      </w:r>
    </w:p>
    <w:p w:rsidR="005D05A4" w:rsidRPr="006571AC" w:rsidRDefault="00CC326C" w:rsidP="00B41BA0">
      <w:pPr>
        <w:rPr>
          <w:rFonts w:ascii="Sakkal Majalla" w:hAnsi="Sakkal Majalla"/>
          <w:sz w:val="27"/>
          <w:rtl/>
        </w:rPr>
      </w:pPr>
      <w:r w:rsidRPr="006571AC">
        <w:rPr>
          <w:rFonts w:ascii="Sakkal Majalla" w:hAnsi="Sakkal Majalla" w:hint="cs"/>
          <w:sz w:val="27"/>
          <w:rtl/>
        </w:rPr>
        <w:t>مضافاً إ</w:t>
      </w:r>
      <w:r w:rsidR="005D05A4" w:rsidRPr="006571AC">
        <w:rPr>
          <w:rFonts w:ascii="Sakkal Majalla" w:hAnsi="Sakkal Majalla"/>
          <w:sz w:val="27"/>
          <w:rtl/>
        </w:rPr>
        <w:t>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أ</w:t>
      </w:r>
      <w:r w:rsidR="005D05A4" w:rsidRPr="006571AC">
        <w:rPr>
          <w:rFonts w:ascii="Sakkal Majalla" w:hAnsi="Sakkal Majalla"/>
          <w:sz w:val="27"/>
          <w:rtl/>
        </w:rPr>
        <w:t>نّ النب</w:t>
      </w:r>
      <w:r w:rsidR="005D05A4" w:rsidRPr="006571AC">
        <w:rPr>
          <w:rFonts w:ascii="Sakkal Majalla" w:hAnsi="Sakkal Majalla" w:hint="cs"/>
          <w:sz w:val="27"/>
          <w:rtl/>
        </w:rPr>
        <w:t>ي</w:t>
      </w:r>
      <w:r w:rsidR="002A2C90" w:rsidRPr="006571AC">
        <w:rPr>
          <w:rFonts w:ascii="Mosawi" w:hAnsi="Mosawi" w:cs="Mosawi"/>
          <w:sz w:val="22"/>
          <w:szCs w:val="22"/>
          <w:rtl/>
        </w:rPr>
        <w:t>|</w:t>
      </w:r>
      <w:r w:rsidR="005D05A4" w:rsidRPr="006571AC">
        <w:rPr>
          <w:rFonts w:ascii="Sakkal Majalla" w:hAnsi="Sakkal Majalla"/>
          <w:sz w:val="27"/>
          <w:rtl/>
        </w:rPr>
        <w:t xml:space="preserve"> كان قد أك</w:t>
      </w:r>
      <w:r w:rsidRPr="006571AC">
        <w:rPr>
          <w:rFonts w:ascii="Sakkal Majalla" w:hAnsi="Sakkal Majalla" w:hint="cs"/>
          <w:sz w:val="27"/>
          <w:rtl/>
        </w:rPr>
        <w:t>َّ</w:t>
      </w:r>
      <w:r w:rsidR="005D05A4" w:rsidRPr="006571AC">
        <w:rPr>
          <w:rFonts w:ascii="Sakkal Majalla" w:hAnsi="Sakkal Majalla"/>
          <w:sz w:val="27"/>
          <w:rtl/>
        </w:rPr>
        <w:t>د مراراً</w:t>
      </w:r>
      <w:r w:rsidRPr="006571AC">
        <w:rPr>
          <w:rFonts w:ascii="Sakkal Majalla" w:hAnsi="Sakkal Majalla" w:hint="cs"/>
          <w:sz w:val="27"/>
          <w:rtl/>
        </w:rPr>
        <w:t>،</w:t>
      </w:r>
      <w:r w:rsidR="005D05A4" w:rsidRPr="006571AC">
        <w:rPr>
          <w:rFonts w:ascii="Sakkal Majalla" w:hAnsi="Sakkal Majalla"/>
          <w:sz w:val="27"/>
          <w:rtl/>
        </w:rPr>
        <w:t xml:space="preserve"> وف</w:t>
      </w:r>
      <w:r w:rsidR="005D05A4" w:rsidRPr="006571AC">
        <w:rPr>
          <w:rFonts w:ascii="Sakkal Majalla" w:hAnsi="Sakkal Majalla" w:hint="cs"/>
          <w:sz w:val="27"/>
          <w:rtl/>
        </w:rPr>
        <w:t>ي</w:t>
      </w:r>
      <w:r w:rsidR="005D05A4" w:rsidRPr="006571AC">
        <w:rPr>
          <w:rFonts w:ascii="Sakkal Majalla" w:hAnsi="Sakkal Majalla"/>
          <w:sz w:val="27"/>
          <w:rtl/>
        </w:rPr>
        <w:t xml:space="preserve"> مواقف كث</w:t>
      </w:r>
      <w:r w:rsidR="005D05A4" w:rsidRPr="006571AC">
        <w:rPr>
          <w:rFonts w:ascii="Times New Roman" w:hAnsi="Times New Roman" w:hint="cs"/>
          <w:sz w:val="27"/>
          <w:rtl/>
        </w:rPr>
        <w:t>ي</w:t>
      </w:r>
      <w:r w:rsidR="005D05A4" w:rsidRPr="006571AC">
        <w:rPr>
          <w:rFonts w:ascii="Sakkal Majalla" w:hAnsi="Sakkal Majalla" w:hint="cs"/>
          <w:sz w:val="27"/>
          <w:rtl/>
        </w:rPr>
        <w:t>رة</w:t>
      </w:r>
      <w:r w:rsidRPr="006571AC">
        <w:rPr>
          <w:rFonts w:ascii="Sakkal Majalla" w:hAnsi="Sakkal Majalla" w:hint="cs"/>
          <w:sz w:val="27"/>
          <w:rtl/>
        </w:rPr>
        <w:t>،</w:t>
      </w:r>
      <w:r w:rsidR="005D05A4" w:rsidRPr="006571AC">
        <w:rPr>
          <w:rFonts w:ascii="Sakkal Majalla" w:hAnsi="Sakkal Majalla"/>
          <w:sz w:val="27"/>
          <w:rtl/>
        </w:rPr>
        <w:t xml:space="preserve"> على </w:t>
      </w:r>
      <w:r w:rsidR="005D05A4" w:rsidRPr="006571AC">
        <w:rPr>
          <w:rFonts w:ascii="Sakkal Majalla" w:hAnsi="Sakkal Majalla" w:hint="cs"/>
          <w:sz w:val="27"/>
          <w:rtl/>
        </w:rPr>
        <w:t>محبّة</w:t>
      </w:r>
      <w:r w:rsidR="005D05A4" w:rsidRPr="006571AC">
        <w:rPr>
          <w:rFonts w:ascii="Sakkal Majalla" w:hAnsi="Sakkal Majalla"/>
          <w:sz w:val="27"/>
          <w:rtl/>
        </w:rPr>
        <w:t xml:space="preserve"> علي</w:t>
      </w:r>
      <w:r w:rsidR="00B83D81" w:rsidRPr="006571AC">
        <w:rPr>
          <w:rFonts w:ascii="Sakkal Majalla" w:hAnsi="Sakkal Majalla" w:hint="cs"/>
          <w:sz w:val="27"/>
          <w:rtl/>
        </w:rPr>
        <w:t>ٍّ</w:t>
      </w:r>
      <w:r w:rsidR="002A2C90" w:rsidRPr="006571AC">
        <w:rPr>
          <w:rFonts w:ascii="Mosawi" w:hAnsi="Mosawi" w:cs="Mosawi"/>
          <w:sz w:val="22"/>
          <w:szCs w:val="22"/>
          <w:rtl/>
        </w:rPr>
        <w:t>×</w:t>
      </w:r>
      <w:r w:rsidR="005D05A4" w:rsidRPr="006571AC">
        <w:rPr>
          <w:rFonts w:ascii="Sakkal Majalla" w:hAnsi="Sakkal Majalla" w:hint="cs"/>
          <w:sz w:val="27"/>
          <w:rtl/>
        </w:rPr>
        <w:t xml:space="preserve">، </w:t>
      </w:r>
      <w:r w:rsidR="005D05A4" w:rsidRPr="006571AC">
        <w:rPr>
          <w:rFonts w:ascii="Sakkal Majalla" w:hAnsi="Sakkal Majalla"/>
          <w:sz w:val="27"/>
          <w:rtl/>
        </w:rPr>
        <w:t xml:space="preserve">ولم </w:t>
      </w:r>
      <w:r w:rsidR="005D05A4" w:rsidRPr="006571AC">
        <w:rPr>
          <w:rFonts w:ascii="Times New Roman" w:hAnsi="Times New Roman" w:hint="cs"/>
          <w:sz w:val="27"/>
          <w:rtl/>
        </w:rPr>
        <w:t>ي</w:t>
      </w:r>
      <w:r w:rsidR="005D05A4" w:rsidRPr="006571AC">
        <w:rPr>
          <w:rFonts w:ascii="Sakkal Majalla" w:hAnsi="Sakkal Majalla" w:hint="cs"/>
          <w:sz w:val="27"/>
          <w:rtl/>
        </w:rPr>
        <w:t>كن</w:t>
      </w:r>
      <w:r w:rsidR="005D05A4" w:rsidRPr="006571AC">
        <w:rPr>
          <w:rFonts w:ascii="Sakkal Majalla" w:hAnsi="Sakkal Majalla"/>
          <w:sz w:val="27"/>
          <w:rtl/>
        </w:rPr>
        <w:t xml:space="preserve"> الموضوع </w:t>
      </w:r>
      <w:r w:rsidR="005D05A4" w:rsidRPr="006571AC">
        <w:rPr>
          <w:rFonts w:ascii="Sakkal Majalla" w:hAnsi="Sakkal Majalla" w:hint="cs"/>
          <w:sz w:val="27"/>
          <w:rtl/>
        </w:rPr>
        <w:t>أ</w:t>
      </w:r>
      <w:r w:rsidR="005D05A4" w:rsidRPr="006571AC">
        <w:rPr>
          <w:rFonts w:ascii="Sakkal Majalla" w:hAnsi="Sakkal Majalla"/>
          <w:sz w:val="27"/>
          <w:rtl/>
        </w:rPr>
        <w:t>مراً جد</w:t>
      </w:r>
      <w:r w:rsidR="005D05A4" w:rsidRPr="006571AC">
        <w:rPr>
          <w:rFonts w:ascii="Times New Roman" w:hAnsi="Times New Roman" w:hint="cs"/>
          <w:sz w:val="27"/>
          <w:rtl/>
        </w:rPr>
        <w:t>ي</w:t>
      </w:r>
      <w:r w:rsidR="005D05A4" w:rsidRPr="006571AC">
        <w:rPr>
          <w:rFonts w:ascii="Sakkal Majalla" w:hAnsi="Sakkal Majalla" w:hint="cs"/>
          <w:sz w:val="27"/>
          <w:rtl/>
        </w:rPr>
        <w:t>داً</w:t>
      </w:r>
      <w:r w:rsidR="005D05A4" w:rsidRPr="006571AC">
        <w:rPr>
          <w:rFonts w:ascii="Sakkal Majalla" w:hAnsi="Sakkal Majalla"/>
          <w:sz w:val="27"/>
          <w:rtl/>
        </w:rPr>
        <w:t xml:space="preserve"> بالنسبة إلى </w:t>
      </w:r>
      <w:r w:rsidR="005D05A4" w:rsidRPr="006571AC">
        <w:rPr>
          <w:rFonts w:ascii="Sakkal Majalla" w:hAnsi="Sakkal Majalla" w:hint="cs"/>
          <w:sz w:val="27"/>
          <w:rtl/>
        </w:rPr>
        <w:t xml:space="preserve">الناس، </w:t>
      </w:r>
      <w:r w:rsidR="005D05A4" w:rsidRPr="006571AC">
        <w:rPr>
          <w:rFonts w:ascii="Sakkal Majalla" w:hAnsi="Sakkal Majalla"/>
          <w:sz w:val="27"/>
          <w:rtl/>
        </w:rPr>
        <w:t xml:space="preserve">كما </w:t>
      </w:r>
      <w:r w:rsidR="00B83D81" w:rsidRPr="006571AC">
        <w:rPr>
          <w:rFonts w:ascii="Sakkal Majalla" w:hAnsi="Sakkal Majalla" w:hint="cs"/>
          <w:sz w:val="27"/>
          <w:rtl/>
        </w:rPr>
        <w:t>أ</w:t>
      </w:r>
      <w:r w:rsidR="005D05A4" w:rsidRPr="006571AC">
        <w:rPr>
          <w:rFonts w:ascii="Sakkal Majalla" w:hAnsi="Sakkal Majalla"/>
          <w:sz w:val="27"/>
          <w:rtl/>
        </w:rPr>
        <w:t>نّه</w:t>
      </w:r>
      <w:r w:rsidR="005D05A4" w:rsidRPr="006571AC">
        <w:rPr>
          <w:rFonts w:ascii="Sakkal Majalla" w:hAnsi="Sakkal Majalla" w:hint="cs"/>
          <w:sz w:val="27"/>
          <w:rtl/>
        </w:rPr>
        <w:t>ا</w:t>
      </w:r>
      <w:r w:rsidR="005D05A4" w:rsidRPr="006571AC">
        <w:rPr>
          <w:rFonts w:ascii="Sakkal Majalla" w:hAnsi="Sakkal Majalla"/>
          <w:sz w:val="27"/>
          <w:rtl/>
        </w:rPr>
        <w:t xml:space="preserve"> لم </w:t>
      </w:r>
      <w:r w:rsidR="005D05A4" w:rsidRPr="006571AC">
        <w:rPr>
          <w:rFonts w:ascii="Sakkal Majalla" w:hAnsi="Sakkal Majalla" w:hint="cs"/>
          <w:sz w:val="27"/>
          <w:rtl/>
        </w:rPr>
        <w:t>ت</w:t>
      </w:r>
      <w:r w:rsidR="005D05A4" w:rsidRPr="006571AC">
        <w:rPr>
          <w:rFonts w:ascii="Sakkal Majalla" w:hAnsi="Sakkal Majalla"/>
          <w:sz w:val="27"/>
          <w:rtl/>
        </w:rPr>
        <w:t xml:space="preserve">كن من الأمور التي تثير قلق رسول </w:t>
      </w:r>
      <w:r w:rsidR="0097633B" w:rsidRPr="006571AC">
        <w:rPr>
          <w:rFonts w:ascii="Sakkal Majalla" w:hAnsi="Sakkal Majalla"/>
          <w:sz w:val="27"/>
          <w:rtl/>
        </w:rPr>
        <w:t>الل</w:t>
      </w:r>
      <w:r w:rsidR="005D05A4" w:rsidRPr="006571AC">
        <w:rPr>
          <w:rFonts w:ascii="Sakkal Majalla" w:hAnsi="Sakkal Majalla"/>
          <w:sz w:val="27"/>
          <w:rtl/>
        </w:rPr>
        <w:t>ه</w:t>
      </w:r>
      <w:r w:rsidR="002A2C90" w:rsidRPr="006571AC">
        <w:rPr>
          <w:rFonts w:ascii="Mosawi" w:hAnsi="Mosawi" w:cs="Mosawi"/>
          <w:sz w:val="22"/>
          <w:szCs w:val="22"/>
          <w:rtl/>
        </w:rPr>
        <w:t>|</w:t>
      </w:r>
      <w:r w:rsidR="005D05A4" w:rsidRPr="006571AC">
        <w:rPr>
          <w:rFonts w:ascii="Sakkal Majalla" w:hAnsi="Sakkal Majalla"/>
          <w:sz w:val="27"/>
          <w:rtl/>
        </w:rPr>
        <w:t xml:space="preserve"> وتخو</w:t>
      </w:r>
      <w:r w:rsidR="00B83D81" w:rsidRPr="006571AC">
        <w:rPr>
          <w:rFonts w:ascii="Sakkal Majalla" w:hAnsi="Sakkal Majalla" w:hint="cs"/>
          <w:sz w:val="27"/>
          <w:rtl/>
        </w:rPr>
        <w:t>ُّ</w:t>
      </w:r>
      <w:r w:rsidR="005D05A4" w:rsidRPr="006571AC">
        <w:rPr>
          <w:rFonts w:ascii="Sakkal Majalla" w:hAnsi="Sakkal Majalla"/>
          <w:sz w:val="27"/>
          <w:rtl/>
        </w:rPr>
        <w:t>فه حت</w:t>
      </w:r>
      <w:r w:rsidR="00B83D81" w:rsidRPr="006571AC">
        <w:rPr>
          <w:rFonts w:ascii="Sakkal Majalla" w:hAnsi="Sakkal Majalla" w:hint="cs"/>
          <w:sz w:val="27"/>
          <w:rtl/>
        </w:rPr>
        <w:t>ّ</w:t>
      </w:r>
      <w:r w:rsidR="005D05A4" w:rsidRPr="006571AC">
        <w:rPr>
          <w:rFonts w:ascii="Sakkal Majalla" w:hAnsi="Sakkal Majalla"/>
          <w:sz w:val="27"/>
          <w:rtl/>
        </w:rPr>
        <w:t xml:space="preserve">ى يطمئنه </w:t>
      </w:r>
      <w:r w:rsidR="0097633B" w:rsidRPr="006571AC">
        <w:rPr>
          <w:rFonts w:ascii="Sakkal Majalla" w:hAnsi="Sakkal Majalla"/>
          <w:sz w:val="27"/>
          <w:rtl/>
        </w:rPr>
        <w:t>الل</w:t>
      </w:r>
      <w:r w:rsidR="005D05A4" w:rsidRPr="006571AC">
        <w:rPr>
          <w:rFonts w:ascii="Sakkal Majalla" w:hAnsi="Sakkal Majalla"/>
          <w:sz w:val="27"/>
          <w:rtl/>
        </w:rPr>
        <w:t>ه تعالى بشأنه</w:t>
      </w:r>
      <w:r w:rsidR="005D05A4" w:rsidRPr="006571AC">
        <w:rPr>
          <w:rFonts w:ascii="Sakkal Majalla" w:hAnsi="Sakkal Majalla" w:hint="cs"/>
          <w:sz w:val="27"/>
          <w:rtl/>
        </w:rPr>
        <w:t xml:space="preserve">. </w:t>
      </w:r>
    </w:p>
    <w:p w:rsidR="005D05A4" w:rsidRPr="006571AC" w:rsidRDefault="005D05A4" w:rsidP="003E303F">
      <w:pPr>
        <w:rPr>
          <w:rFonts w:ascii="Sakkal Majalla" w:hAnsi="Sakkal Majalla"/>
          <w:sz w:val="27"/>
        </w:rPr>
      </w:pPr>
      <w:r w:rsidRPr="006571AC">
        <w:rPr>
          <w:rFonts w:ascii="Sakkal Majalla" w:hAnsi="Sakkal Majalla"/>
          <w:sz w:val="27"/>
          <w:rtl/>
        </w:rPr>
        <w:t>ولا نر</w:t>
      </w:r>
      <w:r w:rsidRPr="006571AC">
        <w:rPr>
          <w:rFonts w:ascii="Times New Roman" w:hAnsi="Times New Roman" w:hint="cs"/>
          <w:sz w:val="27"/>
          <w:rtl/>
        </w:rPr>
        <w:t>ي</w:t>
      </w:r>
      <w:r w:rsidRPr="006571AC">
        <w:rPr>
          <w:rFonts w:ascii="Sakkal Majalla" w:hAnsi="Sakkal Majalla" w:hint="cs"/>
          <w:sz w:val="27"/>
          <w:rtl/>
        </w:rPr>
        <w:t>د</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 نستقص</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الأ</w:t>
      </w:r>
      <w:r w:rsidRPr="006571AC">
        <w:rPr>
          <w:rFonts w:ascii="Sakkal Majalla" w:hAnsi="Sakkal Majalla"/>
          <w:sz w:val="27"/>
          <w:rtl/>
        </w:rPr>
        <w:t>دل</w:t>
      </w:r>
      <w:r w:rsidR="00B83D81" w:rsidRPr="006571AC">
        <w:rPr>
          <w:rFonts w:ascii="Sakkal Majalla" w:hAnsi="Sakkal Majalla" w:hint="cs"/>
          <w:sz w:val="27"/>
          <w:rtl/>
        </w:rPr>
        <w:t>ّ</w:t>
      </w:r>
      <w:r w:rsidRPr="006571AC">
        <w:rPr>
          <w:rFonts w:ascii="Sakkal Majalla" w:hAnsi="Sakkal Majalla"/>
          <w:sz w:val="27"/>
          <w:rtl/>
        </w:rPr>
        <w:t xml:space="preserve">ة على </w:t>
      </w:r>
      <w:r w:rsidRPr="006571AC">
        <w:rPr>
          <w:rFonts w:ascii="Sakkal Majalla" w:hAnsi="Sakkal Majalla" w:hint="cs"/>
          <w:sz w:val="27"/>
          <w:rtl/>
        </w:rPr>
        <w:t>تع</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المعن</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الذ</w:t>
      </w:r>
      <w:r w:rsidRPr="006571AC">
        <w:rPr>
          <w:rFonts w:ascii="Times New Roman" w:hAnsi="Times New Roman" w:hint="cs"/>
          <w:sz w:val="27"/>
          <w:rtl/>
        </w:rPr>
        <w:t>ي</w:t>
      </w:r>
      <w:r w:rsidRPr="006571AC">
        <w:rPr>
          <w:rFonts w:ascii="Sakkal Majalla" w:hAnsi="Sakkal Majalla"/>
          <w:sz w:val="27"/>
          <w:rtl/>
        </w:rPr>
        <w:t xml:space="preserve"> </w:t>
      </w:r>
      <w:r w:rsidR="00B83D81" w:rsidRPr="006571AC">
        <w:rPr>
          <w:rFonts w:ascii="Sakkal Majalla" w:hAnsi="Sakkal Majalla" w:hint="cs"/>
          <w:sz w:val="27"/>
          <w:rtl/>
        </w:rPr>
        <w:t>أ</w:t>
      </w:r>
      <w:r w:rsidRPr="006571AC">
        <w:rPr>
          <w:rFonts w:ascii="Sakkal Majalla" w:hAnsi="Sakkal Majalla" w:hint="cs"/>
          <w:sz w:val="27"/>
          <w:rtl/>
        </w:rPr>
        <w:t>راده</w:t>
      </w:r>
      <w:r w:rsidRPr="006571AC">
        <w:rPr>
          <w:rFonts w:ascii="Sakkal Majalla" w:hAnsi="Sakkal Majalla"/>
          <w:sz w:val="27"/>
          <w:rtl/>
        </w:rPr>
        <w:t xml:space="preserve"> </w:t>
      </w:r>
      <w:r w:rsidRPr="006571AC">
        <w:rPr>
          <w:rFonts w:ascii="Sakkal Majalla" w:hAnsi="Sakkal Majalla" w:hint="cs"/>
          <w:sz w:val="27"/>
          <w:rtl/>
        </w:rPr>
        <w:t>النب</w:t>
      </w:r>
      <w:r w:rsidRPr="006571AC">
        <w:rPr>
          <w:rFonts w:ascii="Times New Roman" w:hAnsi="Times New Roman" w:hint="cs"/>
          <w:sz w:val="27"/>
          <w:rtl/>
        </w:rPr>
        <w:t>ي</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 xml:space="preserve">في </w:t>
      </w:r>
      <w:r w:rsidRPr="006571AC">
        <w:rPr>
          <w:rFonts w:ascii="Sakkal Majalla" w:hAnsi="Sakkal Majalla"/>
          <w:sz w:val="27"/>
          <w:rtl/>
        </w:rPr>
        <w:t>قوله</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sz w:val="24"/>
          <w:szCs w:val="24"/>
          <w:rtl/>
        </w:rPr>
        <w:t>«</w:t>
      </w:r>
      <w:r w:rsidRPr="006571AC">
        <w:rPr>
          <w:rFonts w:ascii="Sakkal Majalla" w:hAnsi="Sakkal Majalla"/>
          <w:sz w:val="27"/>
          <w:rtl/>
        </w:rPr>
        <w:t>م</w:t>
      </w:r>
      <w:r w:rsidR="00B83D81" w:rsidRPr="006571AC">
        <w:rPr>
          <w:rFonts w:ascii="Sakkal Majalla" w:hAnsi="Sakkal Majalla" w:hint="cs"/>
          <w:sz w:val="27"/>
          <w:rtl/>
        </w:rPr>
        <w:t>َ</w:t>
      </w:r>
      <w:r w:rsidRPr="006571AC">
        <w:rPr>
          <w:rFonts w:ascii="Sakkal Majalla" w:hAnsi="Sakkal Majalla"/>
          <w:sz w:val="27"/>
          <w:rtl/>
        </w:rPr>
        <w:t>ن</w:t>
      </w:r>
      <w:r w:rsidR="00B83D81" w:rsidRPr="006571AC">
        <w:rPr>
          <w:rFonts w:ascii="Sakkal Majalla" w:hAnsi="Sakkal Majalla" w:hint="cs"/>
          <w:sz w:val="27"/>
          <w:rtl/>
        </w:rPr>
        <w:t>ْ</w:t>
      </w:r>
      <w:r w:rsidRPr="006571AC">
        <w:rPr>
          <w:rFonts w:ascii="Sakkal Majalla" w:hAnsi="Sakkal Majalla"/>
          <w:sz w:val="27"/>
          <w:rtl/>
        </w:rPr>
        <w:t xml:space="preserve"> كنت مولاه فهذا عل</w:t>
      </w:r>
      <w:r w:rsidR="00B83D81" w:rsidRPr="006571AC">
        <w:rPr>
          <w:rFonts w:ascii="Sakkal Majalla" w:hAnsi="Sakkal Majalla" w:hint="cs"/>
          <w:sz w:val="27"/>
          <w:rtl/>
        </w:rPr>
        <w:t>يٌّ</w:t>
      </w:r>
      <w:r w:rsidRPr="006571AC">
        <w:rPr>
          <w:rFonts w:ascii="Sakkal Majalla" w:hAnsi="Sakkal Majalla"/>
          <w:sz w:val="27"/>
          <w:rtl/>
        </w:rPr>
        <w:t xml:space="preserve"> </w:t>
      </w:r>
      <w:r w:rsidRPr="006571AC">
        <w:rPr>
          <w:rFonts w:ascii="Sakkal Majalla" w:hAnsi="Sakkal Majalla" w:hint="cs"/>
          <w:sz w:val="27"/>
          <w:rtl/>
        </w:rPr>
        <w:t>مولاه</w:t>
      </w:r>
      <w:r w:rsidRPr="006571AC">
        <w:rPr>
          <w:rFonts w:ascii="Sakkal Majalla" w:hAnsi="Sakkal Majalla" w:hint="cs"/>
          <w:sz w:val="24"/>
          <w:szCs w:val="24"/>
          <w:rtl/>
        </w:rPr>
        <w:t>»</w:t>
      </w:r>
      <w:r w:rsidRPr="006571AC">
        <w:rPr>
          <w:rFonts w:ascii="Sakkal Majalla" w:hAnsi="Sakkal Majalla" w:hint="cs"/>
          <w:sz w:val="27"/>
          <w:rtl/>
        </w:rPr>
        <w:t xml:space="preserve">، </w:t>
      </w:r>
      <w:r w:rsidRPr="006571AC">
        <w:rPr>
          <w:rFonts w:ascii="Sakkal Majalla" w:hAnsi="Sakkal Majalla"/>
          <w:sz w:val="27"/>
          <w:rtl/>
        </w:rPr>
        <w:t>و</w:t>
      </w:r>
      <w:r w:rsidRPr="006571AC">
        <w:rPr>
          <w:rFonts w:ascii="Sakkal Majalla" w:hAnsi="Sakkal Majalla" w:hint="cs"/>
          <w:sz w:val="27"/>
          <w:rtl/>
        </w:rPr>
        <w:t>أ</w:t>
      </w:r>
      <w:r w:rsidRPr="006571AC">
        <w:rPr>
          <w:rFonts w:ascii="Sakkal Majalla" w:hAnsi="Sakkal Majalla"/>
          <w:sz w:val="27"/>
          <w:rtl/>
        </w:rPr>
        <w:t>نّ معن</w:t>
      </w:r>
      <w:r w:rsidR="003E303F"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المول</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هو</w:t>
      </w:r>
      <w:r w:rsidRPr="006571AC">
        <w:rPr>
          <w:rFonts w:ascii="Sakkal Majalla" w:hAnsi="Sakkal Majalla"/>
          <w:sz w:val="27"/>
          <w:rtl/>
        </w:rPr>
        <w:t xml:space="preserve"> </w:t>
      </w:r>
      <w:r w:rsidRPr="006571AC">
        <w:rPr>
          <w:rFonts w:ascii="Sakkal Majalla" w:hAnsi="Sakkal Majalla" w:hint="cs"/>
          <w:sz w:val="27"/>
          <w:rtl/>
        </w:rPr>
        <w:t>ال</w:t>
      </w:r>
      <w:r w:rsidR="00B83D81" w:rsidRPr="006571AC">
        <w:rPr>
          <w:rFonts w:ascii="Sakkal Majalla" w:hAnsi="Sakkal Majalla" w:hint="cs"/>
          <w:sz w:val="27"/>
          <w:rtl/>
        </w:rPr>
        <w:t>أَ</w:t>
      </w:r>
      <w:r w:rsidRPr="006571AC">
        <w:rPr>
          <w:rFonts w:ascii="Sakkal Majalla" w:hAnsi="Sakkal Majalla" w:hint="cs"/>
          <w:sz w:val="27"/>
          <w:rtl/>
        </w:rPr>
        <w:t>و</w:t>
      </w:r>
      <w:r w:rsidR="00B83D81" w:rsidRPr="006571AC">
        <w:rPr>
          <w:rFonts w:ascii="Sakkal Majalla" w:hAnsi="Sakkal Majalla" w:hint="cs"/>
          <w:sz w:val="27"/>
          <w:rtl/>
        </w:rPr>
        <w:t>ْ</w:t>
      </w:r>
      <w:r w:rsidRPr="006571AC">
        <w:rPr>
          <w:rFonts w:ascii="Sakkal Majalla" w:hAnsi="Sakkal Majalla" w:hint="cs"/>
          <w:sz w:val="27"/>
          <w:rtl/>
        </w:rPr>
        <w:t>ل</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بالتصر</w:t>
      </w:r>
      <w:r w:rsidR="00B83D81" w:rsidRPr="006571AC">
        <w:rPr>
          <w:rFonts w:ascii="Sakkal Majalla" w:hAnsi="Sakkal Majalla" w:hint="cs"/>
          <w:sz w:val="27"/>
          <w:rtl/>
        </w:rPr>
        <w:t>ُّ</w:t>
      </w:r>
      <w:r w:rsidRPr="006571AC">
        <w:rPr>
          <w:rFonts w:ascii="Sakkal Majalla" w:hAnsi="Sakkal Majalla" w:hint="cs"/>
          <w:sz w:val="27"/>
          <w:rtl/>
        </w:rPr>
        <w:t>ف</w:t>
      </w:r>
      <w:r w:rsidR="003E303F"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فقد ذكروا ف</w:t>
      </w:r>
      <w:r w:rsidRPr="006571AC">
        <w:rPr>
          <w:rFonts w:ascii="Sakkal Majalla" w:hAnsi="Sakkal Majalla" w:hint="cs"/>
          <w:sz w:val="27"/>
          <w:rtl/>
        </w:rPr>
        <w:t>ي</w:t>
      </w:r>
      <w:r w:rsidRPr="006571AC">
        <w:rPr>
          <w:rFonts w:ascii="Sakkal Majalla" w:hAnsi="Sakkal Majalla"/>
          <w:sz w:val="27"/>
          <w:rtl/>
        </w:rPr>
        <w:t xml:space="preserve"> محل</w:t>
      </w:r>
      <w:r w:rsidR="00B83D81" w:rsidRPr="006571AC">
        <w:rPr>
          <w:rFonts w:ascii="Sakkal Majalla" w:hAnsi="Sakkal Majalla" w:hint="cs"/>
          <w:sz w:val="27"/>
          <w:rtl/>
        </w:rPr>
        <w:t>ّ</w:t>
      </w:r>
      <w:r w:rsidRPr="006571AC">
        <w:rPr>
          <w:rFonts w:ascii="Sakkal Majalla" w:hAnsi="Sakkal Majalla"/>
          <w:sz w:val="27"/>
          <w:rtl/>
        </w:rPr>
        <w:t xml:space="preserve">ه </w:t>
      </w:r>
      <w:r w:rsidRPr="006571AC">
        <w:rPr>
          <w:rFonts w:ascii="Sakkal Majalla" w:hAnsi="Sakkal Majalla" w:hint="cs"/>
          <w:sz w:val="27"/>
          <w:rtl/>
        </w:rPr>
        <w:t>أ</w:t>
      </w:r>
      <w:r w:rsidRPr="006571AC">
        <w:rPr>
          <w:rFonts w:ascii="Sakkal Majalla" w:hAnsi="Sakkal Majalla"/>
          <w:sz w:val="27"/>
          <w:rtl/>
        </w:rPr>
        <w:t>دل</w:t>
      </w:r>
      <w:r w:rsidR="00B83D81" w:rsidRPr="006571AC">
        <w:rPr>
          <w:rFonts w:ascii="Sakkal Majalla" w:hAnsi="Sakkal Majalla" w:hint="cs"/>
          <w:sz w:val="27"/>
          <w:rtl/>
        </w:rPr>
        <w:t>ّ</w:t>
      </w:r>
      <w:r w:rsidRPr="006571AC">
        <w:rPr>
          <w:rFonts w:ascii="Sakkal Majalla" w:hAnsi="Sakkal Majalla"/>
          <w:sz w:val="27"/>
          <w:rtl/>
        </w:rPr>
        <w:t>ة</w:t>
      </w:r>
      <w:r w:rsidR="003E303F" w:rsidRPr="006571AC">
        <w:rPr>
          <w:rFonts w:ascii="Sakkal Majalla" w:hAnsi="Sakkal Majalla" w:hint="cs"/>
          <w:sz w:val="27"/>
          <w:rtl/>
        </w:rPr>
        <w:t>ً</w:t>
      </w:r>
      <w:r w:rsidRPr="006571AC">
        <w:rPr>
          <w:rFonts w:ascii="Sakkal Majalla" w:hAnsi="Sakkal Majalla"/>
          <w:sz w:val="27"/>
          <w:rtl/>
        </w:rPr>
        <w:t xml:space="preserve"> كث</w:t>
      </w:r>
      <w:r w:rsidRPr="006571AC">
        <w:rPr>
          <w:rFonts w:ascii="Times New Roman" w:hAnsi="Times New Roman" w:hint="cs"/>
          <w:sz w:val="27"/>
          <w:rtl/>
        </w:rPr>
        <w:t>ي</w:t>
      </w:r>
      <w:r w:rsidRPr="006571AC">
        <w:rPr>
          <w:rFonts w:ascii="Sakkal Majalla" w:hAnsi="Sakkal Majalla" w:hint="cs"/>
          <w:sz w:val="27"/>
          <w:rtl/>
        </w:rPr>
        <w:t>رة</w:t>
      </w:r>
      <w:r w:rsidRPr="006571AC">
        <w:rPr>
          <w:rFonts w:ascii="Sakkal Majalla" w:hAnsi="Sakkal Majalla"/>
          <w:sz w:val="27"/>
          <w:rtl/>
        </w:rPr>
        <w:t xml:space="preserve"> على </w:t>
      </w:r>
      <w:r w:rsidRPr="006571AC">
        <w:rPr>
          <w:rFonts w:ascii="Sakkal Majalla" w:hAnsi="Sakkal Majalla" w:hint="cs"/>
          <w:sz w:val="27"/>
          <w:rtl/>
        </w:rPr>
        <w:t>ذلك</w:t>
      </w:r>
      <w:r w:rsidR="00B83D81" w:rsidRPr="006571AC">
        <w:rPr>
          <w:rFonts w:ascii="Sakkal Majalla" w:hAnsi="Sakkal Majalla" w:hint="cs"/>
          <w:sz w:val="27"/>
          <w:rtl/>
        </w:rPr>
        <w:t>،</w:t>
      </w:r>
      <w:r w:rsidRPr="006571AC">
        <w:rPr>
          <w:rFonts w:ascii="Sakkal Majalla" w:hAnsi="Sakkal Majalla" w:hint="cs"/>
          <w:sz w:val="27"/>
          <w:rtl/>
        </w:rPr>
        <w:t xml:space="preserve"> و</w:t>
      </w:r>
      <w:r w:rsidRPr="006571AC">
        <w:rPr>
          <w:rFonts w:ascii="Times New Roman" w:hAnsi="Times New Roman" w:hint="cs"/>
          <w:sz w:val="27"/>
          <w:rtl/>
        </w:rPr>
        <w:t>ي</w:t>
      </w:r>
      <w:r w:rsidRPr="006571AC">
        <w:rPr>
          <w:rFonts w:ascii="Sakkal Majalla" w:hAnsi="Sakkal Majalla" w:hint="cs"/>
          <w:sz w:val="27"/>
          <w:rtl/>
        </w:rPr>
        <w:t>كف</w:t>
      </w:r>
      <w:r w:rsidRPr="006571AC">
        <w:rPr>
          <w:rFonts w:ascii="Times New Roman" w:hAnsi="Times New Roman" w:hint="cs"/>
          <w:sz w:val="27"/>
          <w:rtl/>
        </w:rPr>
        <w:t>ي</w:t>
      </w:r>
      <w:r w:rsidRPr="006571AC">
        <w:rPr>
          <w:rFonts w:ascii="Sakkal Majalla" w:hAnsi="Sakkal Majalla" w:hint="cs"/>
          <w:sz w:val="27"/>
          <w:rtl/>
        </w:rPr>
        <w:t xml:space="preserve"> ما ذكرناه في المقام. </w:t>
      </w:r>
    </w:p>
    <w:p w:rsidR="005D05A4" w:rsidRPr="006571AC" w:rsidRDefault="005D05A4" w:rsidP="00B41BA0">
      <w:pPr>
        <w:rPr>
          <w:rFonts w:ascii="Sakkal Majalla" w:hAnsi="Sakkal Majalla"/>
          <w:sz w:val="27"/>
          <w:rtl/>
        </w:rPr>
      </w:pPr>
      <w:r w:rsidRPr="006571AC">
        <w:rPr>
          <w:rFonts w:ascii="Sakkal Majalla" w:hAnsi="Sakkal Majalla"/>
          <w:b/>
          <w:bCs/>
          <w:sz w:val="27"/>
          <w:rtl/>
        </w:rPr>
        <w:t xml:space="preserve">جواب </w:t>
      </w:r>
      <w:r w:rsidRPr="006571AC">
        <w:rPr>
          <w:rFonts w:ascii="Sakkal Majalla" w:hAnsi="Sakkal Majalla" w:hint="cs"/>
          <w:b/>
          <w:bCs/>
          <w:sz w:val="27"/>
          <w:rtl/>
        </w:rPr>
        <w:t xml:space="preserve">الإشكال </w:t>
      </w:r>
      <w:r w:rsidRPr="006571AC">
        <w:rPr>
          <w:rFonts w:ascii="Sakkal Majalla" w:hAnsi="Sakkal Majalla"/>
          <w:b/>
          <w:bCs/>
          <w:sz w:val="27"/>
          <w:rtl/>
        </w:rPr>
        <w:t xml:space="preserve">الرابع: </w:t>
      </w:r>
      <w:r w:rsidRPr="006571AC">
        <w:rPr>
          <w:rFonts w:ascii="Sakkal Majalla" w:hAnsi="Sakkal Majalla" w:hint="cs"/>
          <w:sz w:val="27"/>
          <w:rtl/>
        </w:rPr>
        <w:t>أ</w:t>
      </w:r>
      <w:r w:rsidRPr="006571AC">
        <w:rPr>
          <w:rFonts w:ascii="Sakkal Majalla" w:hAnsi="Sakkal Majalla"/>
          <w:sz w:val="27"/>
          <w:rtl/>
        </w:rPr>
        <w:t>مّا قوله</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 xml:space="preserve">ذا </w:t>
      </w:r>
      <w:r w:rsidRPr="006571AC">
        <w:rPr>
          <w:rFonts w:ascii="Sakkal Majalla" w:hAnsi="Sakkal Majalla" w:hint="cs"/>
          <w:sz w:val="27"/>
          <w:rtl/>
        </w:rPr>
        <w:t>أ</w:t>
      </w:r>
      <w:r w:rsidRPr="006571AC">
        <w:rPr>
          <w:rFonts w:ascii="Sakkal Majalla" w:hAnsi="Sakkal Majalla"/>
          <w:sz w:val="27"/>
          <w:rtl/>
        </w:rPr>
        <w:t>خذنا المول</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بمعن</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الأ</w:t>
      </w:r>
      <w:r w:rsidR="00B83D81" w:rsidRPr="006571AC">
        <w:rPr>
          <w:rFonts w:ascii="Sakkal Majalla" w:hAnsi="Sakkal Majalla" w:hint="cs"/>
          <w:sz w:val="27"/>
          <w:rtl/>
        </w:rPr>
        <w:t>َ</w:t>
      </w:r>
      <w:r w:rsidRPr="006571AC">
        <w:rPr>
          <w:rFonts w:ascii="Sakkal Majalla" w:hAnsi="Sakkal Majalla"/>
          <w:sz w:val="27"/>
          <w:rtl/>
        </w:rPr>
        <w:t>و</w:t>
      </w:r>
      <w:r w:rsidR="00B83D81" w:rsidRPr="006571AC">
        <w:rPr>
          <w:rFonts w:ascii="Sakkal Majalla" w:hAnsi="Sakkal Majalla" w:hint="cs"/>
          <w:sz w:val="27"/>
          <w:rtl/>
        </w:rPr>
        <w:t>ْ</w:t>
      </w:r>
      <w:r w:rsidRPr="006571AC">
        <w:rPr>
          <w:rFonts w:ascii="Sakkal Majalla" w:hAnsi="Sakkal Majalla"/>
          <w:sz w:val="27"/>
          <w:rtl/>
        </w:rPr>
        <w:t>ل</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بالتصر</w:t>
      </w:r>
      <w:r w:rsidR="00B83D81" w:rsidRPr="006571AC">
        <w:rPr>
          <w:rFonts w:ascii="Sakkal Majalla" w:hAnsi="Sakkal Majalla" w:hint="cs"/>
          <w:sz w:val="27"/>
          <w:rtl/>
        </w:rPr>
        <w:t>ُّ</w:t>
      </w:r>
      <w:r w:rsidRPr="006571AC">
        <w:rPr>
          <w:rFonts w:ascii="Sakkal Majalla" w:hAnsi="Sakkal Majalla" w:hint="cs"/>
          <w:sz w:val="27"/>
          <w:rtl/>
        </w:rPr>
        <w:t>ف</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لزم</w:t>
      </w:r>
      <w:r w:rsidRPr="006571AC">
        <w:rPr>
          <w:rFonts w:ascii="Sakkal Majalla" w:hAnsi="Sakkal Majalla"/>
          <w:sz w:val="27"/>
          <w:rtl/>
        </w:rPr>
        <w:t xml:space="preserve"> </w:t>
      </w:r>
      <w:r w:rsidRPr="006571AC">
        <w:rPr>
          <w:rFonts w:ascii="Sakkal Majalla" w:hAnsi="Sakkal Majalla" w:hint="cs"/>
          <w:sz w:val="27"/>
          <w:rtl/>
        </w:rPr>
        <w:t>منه</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 تجتمع ولا</w:t>
      </w:r>
      <w:r w:rsidRPr="006571AC">
        <w:rPr>
          <w:rFonts w:ascii="Times New Roman" w:hAnsi="Times New Roman" w:hint="cs"/>
          <w:sz w:val="27"/>
          <w:rtl/>
        </w:rPr>
        <w:t>ي</w:t>
      </w:r>
      <w:r w:rsidRPr="006571AC">
        <w:rPr>
          <w:rFonts w:ascii="Sakkal Majalla" w:hAnsi="Sakkal Majalla" w:hint="cs"/>
          <w:sz w:val="27"/>
          <w:rtl/>
        </w:rPr>
        <w:t>تان</w:t>
      </w:r>
      <w:r w:rsidR="00B83D81"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ولا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للنب</w:t>
      </w:r>
      <w:r w:rsidRPr="006571AC">
        <w:rPr>
          <w:rFonts w:ascii="Times New Roman" w:hAnsi="Times New Roman" w:hint="cs"/>
          <w:sz w:val="27"/>
          <w:rtl/>
        </w:rPr>
        <w:t>ي</w:t>
      </w:r>
      <w:r w:rsidR="00B83D81" w:rsidRPr="006571AC">
        <w:rPr>
          <w:rFonts w:ascii="Times New Roman" w:hAnsi="Times New Roman" w:hint="cs"/>
          <w:sz w:val="27"/>
          <w:rtl/>
        </w:rPr>
        <w:t>ّ</w:t>
      </w:r>
      <w:r w:rsidR="002A2C90" w:rsidRPr="006571AC">
        <w:rPr>
          <w:rFonts w:ascii="Mosawi" w:hAnsi="Mosawi" w:cs="Mosawi"/>
          <w:sz w:val="22"/>
          <w:szCs w:val="22"/>
          <w:rtl/>
        </w:rPr>
        <w:t>|</w:t>
      </w:r>
      <w:r w:rsidR="00B83D81"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وولا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لعل</w:t>
      </w:r>
      <w:r w:rsidRPr="006571AC">
        <w:rPr>
          <w:rFonts w:ascii="Times New Roman" w:hAnsi="Times New Roman" w:hint="cs"/>
          <w:sz w:val="27"/>
          <w:rtl/>
        </w:rPr>
        <w:t>ي</w:t>
      </w:r>
      <w:r w:rsidR="00B83D81" w:rsidRPr="006571AC">
        <w:rPr>
          <w:rFonts w:ascii="Times New Roman" w:hAnsi="Times New Roman" w:hint="cs"/>
          <w:sz w:val="27"/>
          <w:rtl/>
        </w:rPr>
        <w:t>ّ</w:t>
      </w:r>
      <w:r w:rsidR="002A2C90" w:rsidRPr="006571AC">
        <w:rPr>
          <w:rFonts w:ascii="Mosawi" w:hAnsi="Mosawi" w:cs="Mosawi"/>
          <w:sz w:val="22"/>
          <w:szCs w:val="22"/>
          <w:rtl/>
        </w:rPr>
        <w:t>×</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ف</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زمان</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واحد</w:t>
      </w:r>
      <w:r w:rsidR="00B83D81" w:rsidRPr="006571AC">
        <w:rPr>
          <w:rFonts w:ascii="Sakkal Majalla" w:hAnsi="Sakkal Majalla" w:hint="cs"/>
          <w:sz w:val="27"/>
          <w:rtl/>
        </w:rPr>
        <w:t>،</w:t>
      </w:r>
      <w:r w:rsidR="00B83D81" w:rsidRPr="006571AC">
        <w:rPr>
          <w:rFonts w:ascii="Sakkal Majalla" w:hAnsi="Sakkal Majalla"/>
          <w:sz w:val="27"/>
          <w:rtl/>
        </w:rPr>
        <w:t xml:space="preserve"> </w:t>
      </w:r>
      <w:r w:rsidRPr="006571AC">
        <w:rPr>
          <w:rFonts w:ascii="Sakkal Majalla" w:hAnsi="Sakkal Majalla"/>
          <w:sz w:val="27"/>
          <w:rtl/>
        </w:rPr>
        <w:t xml:space="preserve">فهو </w:t>
      </w:r>
      <w:r w:rsidRPr="006571AC">
        <w:rPr>
          <w:rFonts w:ascii="Sakkal Majalla" w:hAnsi="Sakkal Majalla" w:hint="cs"/>
          <w:sz w:val="27"/>
          <w:rtl/>
        </w:rPr>
        <w:t>إ</w:t>
      </w:r>
      <w:r w:rsidRPr="006571AC">
        <w:rPr>
          <w:rFonts w:hint="cs"/>
          <w:sz w:val="27"/>
          <w:rtl/>
        </w:rPr>
        <w:t>ي</w:t>
      </w:r>
      <w:r w:rsidRPr="006571AC">
        <w:rPr>
          <w:rFonts w:ascii="Sakkal Majalla" w:hAnsi="Sakkal Majalla" w:hint="cs"/>
          <w:sz w:val="27"/>
          <w:rtl/>
        </w:rPr>
        <w:t>هام</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ل</w:t>
      </w:r>
      <w:r w:rsidRPr="006571AC">
        <w:rPr>
          <w:rFonts w:ascii="Sakkal Majalla" w:hAnsi="Sakkal Majalla"/>
          <w:sz w:val="27"/>
          <w:rtl/>
        </w:rPr>
        <w:t>لقارئ</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ذ ل</w:t>
      </w:r>
      <w:r w:rsidRPr="006571AC">
        <w:rPr>
          <w:rFonts w:hint="cs"/>
          <w:sz w:val="27"/>
          <w:rtl/>
        </w:rPr>
        <w:t>ي</w:t>
      </w:r>
      <w:r w:rsidRPr="006571AC">
        <w:rPr>
          <w:rFonts w:ascii="Sakkal Majalla" w:hAnsi="Sakkal Majalla" w:hint="cs"/>
          <w:sz w:val="27"/>
          <w:rtl/>
        </w:rPr>
        <w:t>س</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w:t>
      </w:r>
      <w:r w:rsidR="00B83D81" w:rsidRPr="006571AC">
        <w:rPr>
          <w:rFonts w:ascii="Sakkal Majalla" w:hAnsi="Sakkal Majalla" w:hint="cs"/>
          <w:sz w:val="27"/>
          <w:rtl/>
        </w:rPr>
        <w:t>ا</w:t>
      </w:r>
      <w:r w:rsidRPr="006571AC">
        <w:rPr>
          <w:rFonts w:ascii="Sakkal Majalla" w:hAnsi="Sakkal Majalla"/>
          <w:sz w:val="27"/>
          <w:rtl/>
        </w:rPr>
        <w:t>جتماع الولا</w:t>
      </w:r>
      <w:r w:rsidRPr="006571AC">
        <w:rPr>
          <w:rFonts w:hint="cs"/>
          <w:sz w:val="27"/>
          <w:rtl/>
        </w:rPr>
        <w:t>ي</w:t>
      </w:r>
      <w:r w:rsidRPr="006571AC">
        <w:rPr>
          <w:rFonts w:ascii="Sakkal Majalla" w:hAnsi="Sakkal Majalla" w:hint="cs"/>
          <w:sz w:val="27"/>
          <w:rtl/>
        </w:rPr>
        <w:t>ت</w:t>
      </w:r>
      <w:r w:rsidRPr="006571AC">
        <w:rPr>
          <w:rFonts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أ</w:t>
      </w:r>
      <w:r w:rsidRPr="006571AC">
        <w:rPr>
          <w:rFonts w:hint="cs"/>
          <w:sz w:val="27"/>
          <w:rtl/>
        </w:rPr>
        <w:t>ي</w:t>
      </w:r>
      <w:r w:rsidR="00B83D81" w:rsidRPr="006571AC">
        <w:rPr>
          <w:rFonts w:hint="cs"/>
          <w:sz w:val="27"/>
          <w:rtl/>
        </w:rPr>
        <w:t>ّ</w:t>
      </w:r>
      <w:r w:rsidRPr="006571AC">
        <w:rPr>
          <w:rFonts w:ascii="Sakkal Majalla" w:hAnsi="Sakkal Majalla"/>
          <w:sz w:val="27"/>
          <w:rtl/>
        </w:rPr>
        <w:t xml:space="preserve"> </w:t>
      </w:r>
      <w:r w:rsidRPr="006571AC">
        <w:rPr>
          <w:rFonts w:ascii="Sakkal Majalla" w:hAnsi="Sakkal Majalla" w:hint="cs"/>
          <w:sz w:val="27"/>
          <w:rtl/>
        </w:rPr>
        <w:t>محذور</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وقد</w:t>
      </w:r>
      <w:r w:rsidRPr="006571AC">
        <w:rPr>
          <w:rFonts w:ascii="Sakkal Majalla" w:hAnsi="Sakkal Majalla"/>
          <w:sz w:val="27"/>
          <w:rtl/>
        </w:rPr>
        <w:t xml:space="preserve"> </w:t>
      </w:r>
      <w:r w:rsidR="00B83D81" w:rsidRPr="006571AC">
        <w:rPr>
          <w:rFonts w:ascii="Sakkal Majalla" w:hAnsi="Sakkal Majalla" w:hint="cs"/>
          <w:sz w:val="27"/>
          <w:rtl/>
        </w:rPr>
        <w:t>ا</w:t>
      </w:r>
      <w:r w:rsidRPr="006571AC">
        <w:rPr>
          <w:rFonts w:ascii="Sakkal Majalla" w:hAnsi="Sakkal Majalla"/>
          <w:sz w:val="27"/>
          <w:rtl/>
        </w:rPr>
        <w:t>جتمعت ولا</w:t>
      </w:r>
      <w:r w:rsidRPr="006571AC">
        <w:rPr>
          <w:rFonts w:hint="cs"/>
          <w:sz w:val="27"/>
          <w:rtl/>
        </w:rPr>
        <w:t>ي</w:t>
      </w:r>
      <w:r w:rsidRPr="006571AC">
        <w:rPr>
          <w:rFonts w:ascii="Sakkal Majalla" w:hAnsi="Sakkal Majalla" w:hint="cs"/>
          <w:sz w:val="27"/>
          <w:rtl/>
        </w:rPr>
        <w:t>ة</w:t>
      </w:r>
      <w:r w:rsidRPr="006571AC">
        <w:rPr>
          <w:rFonts w:ascii="Sakkal Majalla" w:hAnsi="Sakkal Majalla"/>
          <w:sz w:val="27"/>
          <w:rtl/>
        </w:rPr>
        <w:t xml:space="preserve"> ونبو</w:t>
      </w:r>
      <w:r w:rsidR="00B83D81" w:rsidRPr="006571AC">
        <w:rPr>
          <w:rFonts w:ascii="Sakkal Majalla" w:hAnsi="Sakkal Majalla" w:hint="cs"/>
          <w:sz w:val="27"/>
          <w:rtl/>
        </w:rPr>
        <w:t>ّ</w:t>
      </w:r>
      <w:r w:rsidRPr="006571AC">
        <w:rPr>
          <w:rFonts w:ascii="Sakkal Majalla" w:hAnsi="Sakkal Majalla"/>
          <w:sz w:val="27"/>
          <w:rtl/>
        </w:rPr>
        <w:t>ة موس</w:t>
      </w:r>
      <w:r w:rsidR="00B83D81" w:rsidRPr="006571AC">
        <w:rPr>
          <w:rFonts w:hint="cs"/>
          <w:sz w:val="27"/>
          <w:rtl/>
        </w:rPr>
        <w:t>ى</w:t>
      </w:r>
      <w:r w:rsidRPr="006571AC">
        <w:rPr>
          <w:rFonts w:ascii="Sakkal Majalla" w:hAnsi="Sakkal Majalla"/>
          <w:sz w:val="27"/>
          <w:rtl/>
        </w:rPr>
        <w:t xml:space="preserve"> و</w:t>
      </w:r>
      <w:r w:rsidRPr="006571AC">
        <w:rPr>
          <w:rFonts w:ascii="Sakkal Majalla" w:hAnsi="Sakkal Majalla" w:hint="cs"/>
          <w:sz w:val="27"/>
          <w:rtl/>
        </w:rPr>
        <w:t>أ</w:t>
      </w:r>
      <w:r w:rsidRPr="006571AC">
        <w:rPr>
          <w:rFonts w:ascii="Sakkal Majalla" w:hAnsi="Sakkal Majalla"/>
          <w:sz w:val="27"/>
          <w:rtl/>
        </w:rPr>
        <w:t>خ</w:t>
      </w:r>
      <w:r w:rsidRPr="006571AC">
        <w:rPr>
          <w:rFonts w:hint="cs"/>
          <w:sz w:val="27"/>
          <w:rtl/>
        </w:rPr>
        <w:t>ي</w:t>
      </w:r>
      <w:r w:rsidRPr="006571AC">
        <w:rPr>
          <w:rFonts w:ascii="Sakkal Majalla" w:hAnsi="Sakkal Majalla" w:hint="cs"/>
          <w:sz w:val="27"/>
          <w:rtl/>
        </w:rPr>
        <w:t>ه</w:t>
      </w:r>
      <w:r w:rsidRPr="006571AC">
        <w:rPr>
          <w:rFonts w:ascii="Sakkal Majalla" w:hAnsi="Sakkal Majalla"/>
          <w:sz w:val="27"/>
          <w:rtl/>
        </w:rPr>
        <w:t xml:space="preserve"> </w:t>
      </w:r>
      <w:r w:rsidRPr="006571AC">
        <w:rPr>
          <w:rFonts w:ascii="Sakkal Majalla" w:hAnsi="Sakkal Majalla" w:hint="cs"/>
          <w:sz w:val="27"/>
          <w:rtl/>
        </w:rPr>
        <w:t>هارون</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زمن</w:t>
      </w:r>
      <w:r w:rsidR="00B83D81" w:rsidRPr="006571AC">
        <w:rPr>
          <w:rFonts w:ascii="Sakkal Majalla" w:hAnsi="Sakkal Majalla" w:hint="cs"/>
          <w:sz w:val="27"/>
          <w:rtl/>
        </w:rPr>
        <w:t>ٍ</w:t>
      </w:r>
      <w:r w:rsidRPr="006571AC">
        <w:rPr>
          <w:rFonts w:ascii="Sakkal Majalla" w:hAnsi="Sakkal Majalla"/>
          <w:sz w:val="27"/>
          <w:rtl/>
        </w:rPr>
        <w:t xml:space="preserve"> واحد</w:t>
      </w:r>
      <w:r w:rsidRPr="006571AC">
        <w:rPr>
          <w:rFonts w:ascii="Sakkal Majalla" w:hAnsi="Sakkal Majalla" w:hint="cs"/>
          <w:sz w:val="27"/>
          <w:rtl/>
        </w:rPr>
        <w:t xml:space="preserve">، </w:t>
      </w:r>
      <w:r w:rsidRPr="006571AC">
        <w:rPr>
          <w:rFonts w:ascii="Sakkal Majalla" w:hAnsi="Sakkal Majalla"/>
          <w:sz w:val="27"/>
          <w:rtl/>
        </w:rPr>
        <w:t>قال تعالى</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rtl/>
        </w:rPr>
        <w:t>﴿</w:t>
      </w:r>
      <w:r w:rsidRPr="006571AC">
        <w:rPr>
          <w:rFonts w:ascii="Sakkal Majalla" w:hAnsi="Sakkal Majalla"/>
          <w:b/>
          <w:bCs/>
          <w:sz w:val="27"/>
          <w:rtl/>
        </w:rPr>
        <w:t>وَاذْكُرْ فِي الْكِت</w:t>
      </w:r>
      <w:r w:rsidR="00B83D81" w:rsidRPr="006571AC">
        <w:rPr>
          <w:rFonts w:ascii="Sakkal Majalla" w:hAnsi="Sakkal Majalla" w:hint="cs"/>
          <w:b/>
          <w:bCs/>
          <w:sz w:val="27"/>
          <w:rtl/>
        </w:rPr>
        <w:t>َ</w:t>
      </w:r>
      <w:r w:rsidRPr="006571AC">
        <w:rPr>
          <w:rFonts w:ascii="Sakkal Majalla" w:hAnsi="Sakkal Majalla"/>
          <w:b/>
          <w:bCs/>
          <w:sz w:val="27"/>
          <w:rtl/>
        </w:rPr>
        <w:t>ابِ مُوس</w:t>
      </w:r>
      <w:r w:rsidR="00B83D81" w:rsidRPr="006571AC">
        <w:rPr>
          <w:rFonts w:ascii="Sakkal Majalla" w:hAnsi="Sakkal Majalla" w:hint="cs"/>
          <w:b/>
          <w:bCs/>
          <w:sz w:val="27"/>
          <w:rtl/>
        </w:rPr>
        <w:t>َ</w:t>
      </w:r>
      <w:r w:rsidRPr="006571AC">
        <w:rPr>
          <w:rFonts w:ascii="Sakkal Majalla" w:hAnsi="Sakkal Majalla"/>
          <w:b/>
          <w:bCs/>
          <w:sz w:val="27"/>
          <w:rtl/>
        </w:rPr>
        <w:t>ى‏ إِنَّهُ ك</w:t>
      </w:r>
      <w:r w:rsidR="00B83D81" w:rsidRPr="006571AC">
        <w:rPr>
          <w:rFonts w:ascii="Sakkal Majalla" w:hAnsi="Sakkal Majalla" w:hint="cs"/>
          <w:b/>
          <w:bCs/>
          <w:sz w:val="27"/>
          <w:rtl/>
        </w:rPr>
        <w:t>َ</w:t>
      </w:r>
      <w:r w:rsidRPr="006571AC">
        <w:rPr>
          <w:rFonts w:ascii="Sakkal Majalla" w:hAnsi="Sakkal Majalla"/>
          <w:b/>
          <w:bCs/>
          <w:sz w:val="27"/>
          <w:rtl/>
        </w:rPr>
        <w:t>انَ مُخْلَصاً و</w:t>
      </w:r>
      <w:r w:rsidR="00B83D81" w:rsidRPr="006571AC">
        <w:rPr>
          <w:rFonts w:ascii="Sakkal Majalla" w:hAnsi="Sakkal Majalla" w:hint="cs"/>
          <w:b/>
          <w:bCs/>
          <w:sz w:val="27"/>
          <w:rtl/>
        </w:rPr>
        <w:t>َ</w:t>
      </w:r>
      <w:r w:rsidRPr="006571AC">
        <w:rPr>
          <w:rFonts w:ascii="Sakkal Majalla" w:hAnsi="Sakkal Majalla"/>
          <w:b/>
          <w:bCs/>
          <w:sz w:val="27"/>
          <w:rtl/>
        </w:rPr>
        <w:t>ك</w:t>
      </w:r>
      <w:r w:rsidR="00B83D81" w:rsidRPr="006571AC">
        <w:rPr>
          <w:rFonts w:ascii="Sakkal Majalla" w:hAnsi="Sakkal Majalla" w:hint="cs"/>
          <w:b/>
          <w:bCs/>
          <w:sz w:val="27"/>
          <w:rtl/>
        </w:rPr>
        <w:t>َ</w:t>
      </w:r>
      <w:r w:rsidRPr="006571AC">
        <w:rPr>
          <w:rFonts w:ascii="Sakkal Majalla" w:hAnsi="Sakkal Majalla"/>
          <w:b/>
          <w:bCs/>
          <w:sz w:val="27"/>
          <w:rtl/>
        </w:rPr>
        <w:t>انَ رَسُولاً نَبِيّاً</w:t>
      </w:r>
      <w:r w:rsidR="00B83D81" w:rsidRPr="006571AC">
        <w:rPr>
          <w:rFonts w:ascii="Sakkal Majalla" w:hAnsi="Sakkal Majalla"/>
          <w:b/>
          <w:bCs/>
          <w:sz w:val="27"/>
          <w:rtl/>
        </w:rPr>
        <w:t xml:space="preserve"> *</w:t>
      </w:r>
      <w:r w:rsidR="00B83D81" w:rsidRPr="006571AC">
        <w:rPr>
          <w:rFonts w:ascii="Sakkal Majalla" w:hAnsi="Sakkal Majalla" w:hint="cs"/>
          <w:b/>
          <w:bCs/>
          <w:sz w:val="27"/>
          <w:rtl/>
        </w:rPr>
        <w:t xml:space="preserve"> </w:t>
      </w:r>
      <w:r w:rsidR="00B83D81" w:rsidRPr="006571AC">
        <w:rPr>
          <w:rFonts w:ascii="Sakkal Majalla" w:hAnsi="Sakkal Majalla"/>
          <w:b/>
          <w:bCs/>
          <w:sz w:val="27"/>
          <w:rtl/>
        </w:rPr>
        <w:t>وَ</w:t>
      </w:r>
      <w:r w:rsidRPr="006571AC">
        <w:rPr>
          <w:rFonts w:ascii="Sakkal Majalla" w:hAnsi="Sakkal Majalla"/>
          <w:b/>
          <w:bCs/>
          <w:sz w:val="27"/>
          <w:rtl/>
        </w:rPr>
        <w:t>ن</w:t>
      </w:r>
      <w:r w:rsidR="00B83D81" w:rsidRPr="006571AC">
        <w:rPr>
          <w:rFonts w:ascii="Sakkal Majalla" w:hAnsi="Sakkal Majalla" w:hint="cs"/>
          <w:b/>
          <w:bCs/>
          <w:sz w:val="27"/>
          <w:rtl/>
        </w:rPr>
        <w:t>َ</w:t>
      </w:r>
      <w:r w:rsidRPr="006571AC">
        <w:rPr>
          <w:rFonts w:ascii="Sakkal Majalla" w:hAnsi="Sakkal Majalla"/>
          <w:b/>
          <w:bCs/>
          <w:sz w:val="27"/>
          <w:rtl/>
        </w:rPr>
        <w:t>ادَيْن</w:t>
      </w:r>
      <w:r w:rsidR="00B83D81" w:rsidRPr="006571AC">
        <w:rPr>
          <w:rFonts w:ascii="Sakkal Majalla" w:hAnsi="Sakkal Majalla" w:hint="cs"/>
          <w:b/>
          <w:bCs/>
          <w:sz w:val="27"/>
          <w:rtl/>
        </w:rPr>
        <w:t>َ</w:t>
      </w:r>
      <w:r w:rsidRPr="006571AC">
        <w:rPr>
          <w:rFonts w:ascii="Sakkal Majalla" w:hAnsi="Sakkal Majalla"/>
          <w:b/>
          <w:bCs/>
          <w:sz w:val="27"/>
          <w:rtl/>
        </w:rPr>
        <w:t>اهُ مِنْ ج</w:t>
      </w:r>
      <w:r w:rsidR="00B83D81" w:rsidRPr="006571AC">
        <w:rPr>
          <w:rFonts w:ascii="Sakkal Majalla" w:hAnsi="Sakkal Majalla" w:hint="cs"/>
          <w:b/>
          <w:bCs/>
          <w:sz w:val="27"/>
          <w:rtl/>
        </w:rPr>
        <w:t>َ</w:t>
      </w:r>
      <w:r w:rsidRPr="006571AC">
        <w:rPr>
          <w:rFonts w:ascii="Sakkal Majalla" w:hAnsi="Sakkal Majalla"/>
          <w:b/>
          <w:bCs/>
          <w:sz w:val="27"/>
          <w:rtl/>
        </w:rPr>
        <w:t>انِبِ الطُّ</w:t>
      </w:r>
      <w:r w:rsidR="00B83D81" w:rsidRPr="006571AC">
        <w:rPr>
          <w:rFonts w:ascii="Sakkal Majalla" w:hAnsi="Sakkal Majalla"/>
          <w:b/>
          <w:bCs/>
          <w:sz w:val="27"/>
          <w:rtl/>
        </w:rPr>
        <w:t>ورِ ال</w:t>
      </w:r>
      <w:r w:rsidRPr="006571AC">
        <w:rPr>
          <w:rFonts w:ascii="Sakkal Majalla" w:hAnsi="Sakkal Majalla"/>
          <w:b/>
          <w:bCs/>
          <w:sz w:val="27"/>
          <w:rtl/>
        </w:rPr>
        <w:t>أَيْمَنِ و</w:t>
      </w:r>
      <w:r w:rsidR="00B83D81" w:rsidRPr="006571AC">
        <w:rPr>
          <w:rFonts w:ascii="Sakkal Majalla" w:hAnsi="Sakkal Majalla" w:hint="cs"/>
          <w:b/>
          <w:bCs/>
          <w:sz w:val="27"/>
          <w:rtl/>
        </w:rPr>
        <w:t>َ</w:t>
      </w:r>
      <w:r w:rsidRPr="006571AC">
        <w:rPr>
          <w:rFonts w:ascii="Sakkal Majalla" w:hAnsi="Sakkal Majalla"/>
          <w:b/>
          <w:bCs/>
          <w:sz w:val="27"/>
          <w:rtl/>
        </w:rPr>
        <w:t>قَرَّبْناهُ نَجِيّاً * و</w:t>
      </w:r>
      <w:r w:rsidR="00B83D81" w:rsidRPr="006571AC">
        <w:rPr>
          <w:rFonts w:ascii="Sakkal Majalla" w:hAnsi="Sakkal Majalla" w:hint="cs"/>
          <w:b/>
          <w:bCs/>
          <w:sz w:val="27"/>
          <w:rtl/>
        </w:rPr>
        <w:t>َ</w:t>
      </w:r>
      <w:r w:rsidRPr="006571AC">
        <w:rPr>
          <w:rFonts w:ascii="Sakkal Majalla" w:hAnsi="Sakkal Majalla"/>
          <w:b/>
          <w:bCs/>
          <w:sz w:val="27"/>
          <w:rtl/>
        </w:rPr>
        <w:t>وَهَبْنا لَهُ مِنْ رَحْمَتِنا أَخ</w:t>
      </w:r>
      <w:r w:rsidR="00B83D81" w:rsidRPr="006571AC">
        <w:rPr>
          <w:rFonts w:ascii="Sakkal Majalla" w:hAnsi="Sakkal Majalla" w:hint="cs"/>
          <w:b/>
          <w:bCs/>
          <w:sz w:val="27"/>
          <w:rtl/>
        </w:rPr>
        <w:t>َ</w:t>
      </w:r>
      <w:r w:rsidRPr="006571AC">
        <w:rPr>
          <w:rFonts w:ascii="Sakkal Majalla" w:hAnsi="Sakkal Majalla"/>
          <w:b/>
          <w:bCs/>
          <w:sz w:val="27"/>
          <w:rtl/>
        </w:rPr>
        <w:t>اهُ ه</w:t>
      </w:r>
      <w:r w:rsidR="00B83D81" w:rsidRPr="006571AC">
        <w:rPr>
          <w:rFonts w:ascii="Sakkal Majalla" w:hAnsi="Sakkal Majalla" w:hint="cs"/>
          <w:b/>
          <w:bCs/>
          <w:sz w:val="27"/>
          <w:rtl/>
        </w:rPr>
        <w:t>َ</w:t>
      </w:r>
      <w:r w:rsidRPr="006571AC">
        <w:rPr>
          <w:rFonts w:ascii="Sakkal Majalla" w:hAnsi="Sakkal Majalla"/>
          <w:b/>
          <w:bCs/>
          <w:sz w:val="27"/>
          <w:rtl/>
        </w:rPr>
        <w:t>ارُونَ نَبِيّاً</w:t>
      </w:r>
      <w:r w:rsidRPr="006571AC">
        <w:rPr>
          <w:rFonts w:ascii="Mosawi" w:hAnsi="Mosawi" w:cs="Mosawi"/>
          <w:rtl/>
        </w:rPr>
        <w:t>﴾</w:t>
      </w:r>
      <w:r w:rsidRPr="006571AC">
        <w:rPr>
          <w:rFonts w:ascii="Sakkal Majalla" w:hAnsi="Sakkal Majalla"/>
          <w:sz w:val="27"/>
          <w:rtl/>
        </w:rPr>
        <w:t xml:space="preserve"> </w:t>
      </w:r>
      <w:r w:rsidRPr="006571AC">
        <w:rPr>
          <w:rFonts w:ascii="Sakkal Majalla" w:hAnsi="Sakkal Majalla" w:hint="cs"/>
          <w:sz w:val="27"/>
          <w:rtl/>
        </w:rPr>
        <w:t>(</w:t>
      </w:r>
      <w:r w:rsidRPr="006571AC">
        <w:rPr>
          <w:rFonts w:ascii="Sakkal Majalla" w:hAnsi="Sakkal Majalla"/>
          <w:sz w:val="27"/>
          <w:rtl/>
        </w:rPr>
        <w:t>مر</w:t>
      </w:r>
      <w:r w:rsidRPr="006571AC">
        <w:rPr>
          <w:rFonts w:hint="cs"/>
          <w:sz w:val="27"/>
          <w:rtl/>
        </w:rPr>
        <w:t>ي</w:t>
      </w:r>
      <w:r w:rsidRPr="006571AC">
        <w:rPr>
          <w:rFonts w:ascii="Sakkal Majalla" w:hAnsi="Sakkal Majalla"/>
          <w:sz w:val="27"/>
          <w:rtl/>
        </w:rPr>
        <w:t>م</w:t>
      </w:r>
      <w:r w:rsidRPr="006571AC">
        <w:rPr>
          <w:rFonts w:ascii="Sakkal Majalla" w:hAnsi="Sakkal Majalla" w:hint="cs"/>
          <w:sz w:val="27"/>
          <w:rtl/>
        </w:rPr>
        <w:t>: 51 ـ 53)</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فنر</w:t>
      </w:r>
      <w:r w:rsidRPr="006571AC">
        <w:rPr>
          <w:rFonts w:hint="cs"/>
          <w:sz w:val="27"/>
          <w:rtl/>
        </w:rPr>
        <w:t>ى</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 نبوة وولا</w:t>
      </w:r>
      <w:r w:rsidRPr="006571AC">
        <w:rPr>
          <w:rFonts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الأ</w:t>
      </w:r>
      <w:r w:rsidRPr="006571AC">
        <w:rPr>
          <w:rFonts w:ascii="Sakkal Majalla" w:hAnsi="Sakkal Majalla"/>
          <w:sz w:val="27"/>
          <w:rtl/>
        </w:rPr>
        <w:t>خو</w:t>
      </w:r>
      <w:r w:rsidRPr="006571AC">
        <w:rPr>
          <w:rFonts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قد</w:t>
      </w:r>
      <w:r w:rsidRPr="006571AC">
        <w:rPr>
          <w:rFonts w:ascii="Sakkal Majalla" w:hAnsi="Sakkal Majalla"/>
          <w:sz w:val="27"/>
          <w:rtl/>
        </w:rPr>
        <w:t xml:space="preserve"> </w:t>
      </w:r>
      <w:r w:rsidR="008B0E29" w:rsidRPr="006571AC">
        <w:rPr>
          <w:rFonts w:ascii="Sakkal Majalla" w:hAnsi="Sakkal Majalla" w:hint="cs"/>
          <w:sz w:val="27"/>
          <w:rtl/>
        </w:rPr>
        <w:t>ا</w:t>
      </w:r>
      <w:r w:rsidRPr="006571AC">
        <w:rPr>
          <w:rFonts w:ascii="Sakkal Majalla" w:hAnsi="Sakkal Majalla"/>
          <w:sz w:val="27"/>
          <w:rtl/>
        </w:rPr>
        <w:t xml:space="preserve">جتمعت </w:t>
      </w:r>
      <w:r w:rsidRPr="006571AC">
        <w:rPr>
          <w:rFonts w:ascii="Sakkal Majalla" w:hAnsi="Sakkal Majalla"/>
          <w:sz w:val="27"/>
          <w:rtl/>
        </w:rPr>
        <w:lastRenderedPageBreak/>
        <w:t>ف</w:t>
      </w:r>
      <w:r w:rsidRPr="006571AC">
        <w:rPr>
          <w:rFonts w:ascii="Sakkal Majalla" w:hAnsi="Sakkal Majalla" w:hint="cs"/>
          <w:sz w:val="27"/>
          <w:rtl/>
        </w:rPr>
        <w:t>ي</w:t>
      </w:r>
      <w:r w:rsidRPr="006571AC">
        <w:rPr>
          <w:rFonts w:ascii="Sakkal Majalla" w:hAnsi="Sakkal Majalla"/>
          <w:sz w:val="27"/>
          <w:rtl/>
        </w:rPr>
        <w:t xml:space="preserve"> زمن</w:t>
      </w:r>
      <w:r w:rsidR="008B0E29" w:rsidRPr="006571AC">
        <w:rPr>
          <w:rFonts w:ascii="Sakkal Majalla" w:hAnsi="Sakkal Majalla" w:hint="cs"/>
          <w:sz w:val="27"/>
          <w:rtl/>
        </w:rPr>
        <w:t>ٍ</w:t>
      </w:r>
      <w:r w:rsidRPr="006571AC">
        <w:rPr>
          <w:rFonts w:ascii="Sakkal Majalla" w:hAnsi="Sakkal Majalla"/>
          <w:sz w:val="27"/>
          <w:rtl/>
        </w:rPr>
        <w:t xml:space="preserve"> واحد</w:t>
      </w:r>
      <w:r w:rsidRPr="006571AC">
        <w:rPr>
          <w:rFonts w:ascii="Sakkal Majalla" w:hAnsi="Sakkal Majalla" w:hint="cs"/>
          <w:sz w:val="27"/>
          <w:rtl/>
        </w:rPr>
        <w:t xml:space="preserve">، </w:t>
      </w:r>
      <w:r w:rsidRPr="006571AC">
        <w:rPr>
          <w:rFonts w:ascii="Sakkal Majalla" w:hAnsi="Sakkal Majalla"/>
          <w:sz w:val="27"/>
          <w:rtl/>
        </w:rPr>
        <w:t xml:space="preserve">ولم </w:t>
      </w:r>
      <w:r w:rsidRPr="006571AC">
        <w:rPr>
          <w:rFonts w:hint="cs"/>
          <w:sz w:val="27"/>
          <w:rtl/>
        </w:rPr>
        <w:t>ي</w:t>
      </w:r>
      <w:r w:rsidRPr="006571AC">
        <w:rPr>
          <w:rFonts w:ascii="Sakkal Majalla" w:hAnsi="Sakkal Majalla" w:hint="cs"/>
          <w:sz w:val="27"/>
          <w:rtl/>
        </w:rPr>
        <w:t>كن</w:t>
      </w:r>
      <w:r w:rsidRPr="006571AC">
        <w:rPr>
          <w:rFonts w:ascii="Sakkal Majalla" w:hAnsi="Sakkal Majalla"/>
          <w:sz w:val="27"/>
          <w:rtl/>
        </w:rPr>
        <w:t xml:space="preserve"> </w:t>
      </w:r>
      <w:r w:rsidRPr="006571AC">
        <w:rPr>
          <w:rFonts w:ascii="Sakkal Majalla" w:hAnsi="Sakkal Majalla" w:hint="cs"/>
          <w:sz w:val="27"/>
          <w:rtl/>
        </w:rPr>
        <w:t>أ</w:t>
      </w:r>
      <w:r w:rsidRPr="006571AC">
        <w:rPr>
          <w:rFonts w:hint="cs"/>
          <w:sz w:val="27"/>
          <w:rtl/>
        </w:rPr>
        <w:t>ي</w:t>
      </w:r>
      <w:r w:rsidR="008B0E29" w:rsidRPr="006571AC">
        <w:rPr>
          <w:rFonts w:hint="cs"/>
          <w:sz w:val="27"/>
          <w:rtl/>
        </w:rPr>
        <w:t>ّ</w:t>
      </w:r>
      <w:r w:rsidRPr="006571AC">
        <w:rPr>
          <w:rFonts w:ascii="Sakkal Majalla" w:hAnsi="Sakkal Majalla"/>
          <w:sz w:val="27"/>
          <w:rtl/>
        </w:rPr>
        <w:t xml:space="preserve"> </w:t>
      </w:r>
      <w:r w:rsidRPr="006571AC">
        <w:rPr>
          <w:rFonts w:ascii="Sakkal Majalla" w:hAnsi="Sakkal Majalla" w:hint="cs"/>
          <w:sz w:val="27"/>
          <w:rtl/>
        </w:rPr>
        <w:t>مانع</w:t>
      </w:r>
      <w:r w:rsidR="008B0E2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ذل</w:t>
      </w:r>
      <w:r w:rsidRPr="006571AC">
        <w:rPr>
          <w:rFonts w:ascii="Sakkal Majalla" w:hAnsi="Sakkal Majalla" w:hint="cs"/>
          <w:sz w:val="27"/>
          <w:rtl/>
        </w:rPr>
        <w:t>ك</w:t>
      </w:r>
      <w:r w:rsidR="008B0E29" w:rsidRPr="006571AC">
        <w:rPr>
          <w:rFonts w:ascii="Sakkal Majalla" w:hAnsi="Sakkal Majalla" w:hint="cs"/>
          <w:sz w:val="27"/>
          <w:rtl/>
        </w:rPr>
        <w:t>.</w:t>
      </w:r>
      <w:r w:rsidRPr="006571AC">
        <w:rPr>
          <w:rFonts w:ascii="Sakkal Majalla" w:hAnsi="Sakkal Majalla"/>
          <w:sz w:val="27"/>
          <w:rtl/>
        </w:rPr>
        <w:t xml:space="preserve"> نعم المحذور ف</w:t>
      </w:r>
      <w:r w:rsidRPr="006571AC">
        <w:rPr>
          <w:rFonts w:ascii="Sakkal Majalla" w:hAnsi="Sakkal Majalla" w:hint="cs"/>
          <w:sz w:val="27"/>
          <w:rtl/>
        </w:rPr>
        <w:t>ي</w:t>
      </w:r>
      <w:r w:rsidRPr="006571AC">
        <w:rPr>
          <w:rFonts w:ascii="Sakkal Majalla" w:hAnsi="Sakkal Majalla"/>
          <w:sz w:val="27"/>
          <w:rtl/>
        </w:rPr>
        <w:t xml:space="preserve"> </w:t>
      </w:r>
      <w:r w:rsidR="008B0E29" w:rsidRPr="006571AC">
        <w:rPr>
          <w:rFonts w:ascii="Sakkal Majalla" w:hAnsi="Sakkal Majalla" w:hint="cs"/>
          <w:sz w:val="27"/>
          <w:rtl/>
        </w:rPr>
        <w:t>ا</w:t>
      </w:r>
      <w:r w:rsidRPr="006571AC">
        <w:rPr>
          <w:rFonts w:ascii="Sakkal Majalla" w:hAnsi="Sakkal Majalla"/>
          <w:sz w:val="27"/>
          <w:rtl/>
        </w:rPr>
        <w:t>جتماع التصرّ</w:t>
      </w:r>
      <w:r w:rsidR="008B0E29" w:rsidRPr="006571AC">
        <w:rPr>
          <w:rFonts w:ascii="Sakkal Majalla" w:hAnsi="Sakkal Majalla" w:hint="cs"/>
          <w:sz w:val="27"/>
          <w:rtl/>
        </w:rPr>
        <w:t>ُ</w:t>
      </w:r>
      <w:r w:rsidRPr="006571AC">
        <w:rPr>
          <w:rFonts w:ascii="Sakkal Majalla" w:hAnsi="Sakkal Majalla"/>
          <w:sz w:val="27"/>
          <w:rtl/>
        </w:rPr>
        <w:t>ف</w:t>
      </w:r>
      <w:r w:rsidRPr="006571AC">
        <w:rPr>
          <w:rFonts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 xml:space="preserve">ذا كان </w:t>
      </w:r>
      <w:r w:rsidRPr="006571AC">
        <w:rPr>
          <w:rFonts w:ascii="Sakkal Majalla" w:hAnsi="Sakkal Majalla" w:hint="cs"/>
          <w:sz w:val="27"/>
          <w:rtl/>
        </w:rPr>
        <w:t>أ</w:t>
      </w:r>
      <w:r w:rsidRPr="006571AC">
        <w:rPr>
          <w:rFonts w:ascii="Sakkal Majalla" w:hAnsi="Sakkal Majalla"/>
          <w:sz w:val="27"/>
          <w:rtl/>
        </w:rPr>
        <w:t xml:space="preserve">حدهما على </w:t>
      </w:r>
      <w:r w:rsidRPr="006571AC">
        <w:rPr>
          <w:rFonts w:ascii="Sakkal Majalla" w:hAnsi="Sakkal Majalla" w:hint="cs"/>
          <w:sz w:val="27"/>
          <w:rtl/>
        </w:rPr>
        <w:t>خلاف</w:t>
      </w:r>
      <w:r w:rsidRPr="006571AC">
        <w:rPr>
          <w:rFonts w:ascii="Sakkal Majalla" w:hAnsi="Sakkal Majalla"/>
          <w:sz w:val="27"/>
          <w:rtl/>
        </w:rPr>
        <w:t xml:space="preserve"> </w:t>
      </w:r>
      <w:r w:rsidRPr="006571AC">
        <w:rPr>
          <w:rFonts w:ascii="Sakkal Majalla" w:hAnsi="Sakkal Majalla" w:hint="cs"/>
          <w:sz w:val="27"/>
          <w:rtl/>
        </w:rPr>
        <w:t>الثاني</w:t>
      </w:r>
      <w:r w:rsidR="008B0E29" w:rsidRPr="006571AC">
        <w:rPr>
          <w:rFonts w:ascii="Sakkal Majalla" w:hAnsi="Sakkal Majalla" w:hint="cs"/>
          <w:sz w:val="27"/>
          <w:rtl/>
        </w:rPr>
        <w:t>،</w:t>
      </w:r>
      <w:r w:rsidRPr="006571AC">
        <w:rPr>
          <w:rFonts w:ascii="Sakkal Majalla" w:hAnsi="Sakkal Majalla"/>
          <w:sz w:val="27"/>
          <w:rtl/>
        </w:rPr>
        <w:t xml:space="preserve"> ولم تكن ولا</w:t>
      </w:r>
      <w:r w:rsidRPr="006571AC">
        <w:rPr>
          <w:rFonts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الإ</w:t>
      </w:r>
      <w:r w:rsidRPr="006571AC">
        <w:rPr>
          <w:rFonts w:ascii="Sakkal Majalla" w:hAnsi="Sakkal Majalla"/>
          <w:sz w:val="27"/>
          <w:rtl/>
        </w:rPr>
        <w:t>مام علي</w:t>
      </w:r>
      <w:r w:rsidR="008B0E29"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 xml:space="preserve">كذلك، </w:t>
      </w:r>
      <w:r w:rsidRPr="006571AC">
        <w:rPr>
          <w:rFonts w:ascii="Sakkal Majalla" w:hAnsi="Sakkal Majalla"/>
          <w:sz w:val="27"/>
          <w:rtl/>
        </w:rPr>
        <w:t>بل حت</w:t>
      </w:r>
      <w:r w:rsidR="008B0E29" w:rsidRPr="006571AC">
        <w:rPr>
          <w:rFonts w:ascii="Sakkal Majalla" w:hAnsi="Sakkal Majalla" w:hint="cs"/>
          <w:sz w:val="27"/>
          <w:rtl/>
        </w:rPr>
        <w:t>ّ</w:t>
      </w:r>
      <w:r w:rsidRPr="006571AC">
        <w:rPr>
          <w:rFonts w:ascii="Sakkal Majalla" w:hAnsi="Sakkal Majalla"/>
          <w:sz w:val="27"/>
          <w:rtl/>
        </w:rPr>
        <w:t xml:space="preserve">ى </w:t>
      </w:r>
      <w:r w:rsidRPr="006571AC">
        <w:rPr>
          <w:rFonts w:ascii="Sakkal Majalla" w:hAnsi="Sakkal Majalla" w:hint="cs"/>
          <w:sz w:val="27"/>
          <w:rtl/>
        </w:rPr>
        <w:t>لو</w:t>
      </w:r>
      <w:r w:rsidRPr="006571AC">
        <w:rPr>
          <w:rFonts w:ascii="Sakkal Majalla" w:hAnsi="Sakkal Majalla"/>
          <w:sz w:val="27"/>
          <w:rtl/>
        </w:rPr>
        <w:t xml:space="preserve"> </w:t>
      </w:r>
      <w:r w:rsidRPr="006571AC">
        <w:rPr>
          <w:rFonts w:ascii="Sakkal Majalla" w:hAnsi="Sakkal Majalla" w:hint="cs"/>
          <w:sz w:val="27"/>
          <w:rtl/>
        </w:rPr>
        <w:t>قلنا</w:t>
      </w:r>
      <w:r w:rsidR="008B0E2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نّه</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كان</w:t>
      </w:r>
      <w:r w:rsidRPr="006571AC">
        <w:rPr>
          <w:rFonts w:ascii="Sakkal Majalla" w:hAnsi="Sakkal Majalla"/>
          <w:sz w:val="27"/>
          <w:rtl/>
        </w:rPr>
        <w:t xml:space="preserve"> </w:t>
      </w:r>
      <w:r w:rsidRPr="006571AC">
        <w:rPr>
          <w:rFonts w:ascii="Sakkal Majalla" w:hAnsi="Sakkal Majalla" w:hint="cs"/>
          <w:sz w:val="27"/>
          <w:rtl/>
        </w:rPr>
        <w:t>له</w:t>
      </w:r>
      <w:r w:rsidRPr="006571AC">
        <w:rPr>
          <w:rFonts w:ascii="Sakkal Majalla" w:hAnsi="Sakkal Majalla"/>
          <w:sz w:val="27"/>
          <w:rtl/>
        </w:rPr>
        <w:t xml:space="preserve"> </w:t>
      </w:r>
      <w:r w:rsidRPr="006571AC">
        <w:rPr>
          <w:rFonts w:ascii="Sakkal Majalla" w:hAnsi="Sakkal Majalla" w:hint="cs"/>
          <w:sz w:val="27"/>
          <w:rtl/>
        </w:rPr>
        <w:t>حق</w:t>
      </w:r>
      <w:r w:rsidR="008B0E2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التصرّف</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زمن النب</w:t>
      </w:r>
      <w:r w:rsidRPr="006571AC">
        <w:rPr>
          <w:rFonts w:hint="cs"/>
          <w:sz w:val="27"/>
          <w:rtl/>
        </w:rPr>
        <w:t>ي</w:t>
      </w:r>
      <w:r w:rsidR="008B0E29" w:rsidRPr="006571AC">
        <w:rPr>
          <w:rFonts w:hint="cs"/>
          <w:sz w:val="27"/>
          <w:rtl/>
        </w:rPr>
        <w:t>ّ</w:t>
      </w:r>
      <w:r w:rsidR="002A2C90" w:rsidRPr="006571AC">
        <w:rPr>
          <w:rFonts w:ascii="Mosawi" w:hAnsi="Mosawi" w:cs="Mosawi"/>
          <w:sz w:val="22"/>
          <w:szCs w:val="22"/>
          <w:rtl/>
        </w:rPr>
        <w:t>|</w:t>
      </w:r>
      <w:r w:rsidRPr="006571AC">
        <w:rPr>
          <w:rFonts w:ascii="Sakkal Majalla" w:hAnsi="Sakkal Majalla" w:hint="cs"/>
          <w:sz w:val="27"/>
          <w:rtl/>
        </w:rPr>
        <w:t xml:space="preserve"> </w:t>
      </w:r>
      <w:r w:rsidRPr="006571AC">
        <w:rPr>
          <w:rFonts w:ascii="Sakkal Majalla" w:hAnsi="Sakkal Majalla"/>
          <w:sz w:val="27"/>
          <w:rtl/>
        </w:rPr>
        <w:t xml:space="preserve">فهو لم </w:t>
      </w:r>
      <w:r w:rsidRPr="006571AC">
        <w:rPr>
          <w:rFonts w:hint="cs"/>
          <w:sz w:val="27"/>
          <w:rtl/>
        </w:rPr>
        <w:t>ي</w:t>
      </w:r>
      <w:r w:rsidRPr="006571AC">
        <w:rPr>
          <w:rFonts w:ascii="Sakkal Majalla" w:hAnsi="Sakkal Majalla" w:hint="cs"/>
          <w:sz w:val="27"/>
          <w:rtl/>
        </w:rPr>
        <w:t>خالف</w:t>
      </w:r>
      <w:r w:rsidRPr="006571AC">
        <w:rPr>
          <w:rFonts w:ascii="Sakkal Majalla" w:hAnsi="Sakkal Majalla"/>
          <w:sz w:val="27"/>
          <w:rtl/>
        </w:rPr>
        <w:t xml:space="preserve"> </w:t>
      </w:r>
      <w:r w:rsidRPr="006571AC">
        <w:rPr>
          <w:rFonts w:ascii="Sakkal Majalla" w:hAnsi="Sakkal Majalla" w:hint="cs"/>
          <w:sz w:val="27"/>
          <w:rtl/>
        </w:rPr>
        <w:t>النب</w:t>
      </w:r>
      <w:r w:rsidRPr="006571AC">
        <w:rPr>
          <w:rFonts w:hint="cs"/>
          <w:sz w:val="27"/>
          <w:rtl/>
        </w:rPr>
        <w:t>ي</w:t>
      </w:r>
      <w:r w:rsidR="008B0E29" w:rsidRPr="006571AC">
        <w:rPr>
          <w:rFonts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ق</w:t>
      </w:r>
      <w:r w:rsidRPr="006571AC">
        <w:rPr>
          <w:rFonts w:hint="cs"/>
          <w:sz w:val="27"/>
          <w:rtl/>
        </w:rPr>
        <w:t>ي</w:t>
      </w:r>
      <w:r w:rsidRPr="006571AC">
        <w:rPr>
          <w:rFonts w:ascii="Sakkal Majalla" w:hAnsi="Sakkal Majalla" w:hint="cs"/>
          <w:sz w:val="27"/>
          <w:rtl/>
        </w:rPr>
        <w:t>د</w:t>
      </w:r>
      <w:r w:rsidRPr="006571AC">
        <w:rPr>
          <w:rFonts w:ascii="Sakkal Majalla" w:hAnsi="Sakkal Majalla"/>
          <w:sz w:val="27"/>
          <w:rtl/>
        </w:rPr>
        <w:t xml:space="preserve"> </w:t>
      </w:r>
      <w:r w:rsidR="008B0E29" w:rsidRPr="006571AC">
        <w:rPr>
          <w:rFonts w:ascii="Sakkal Majalla" w:hAnsi="Sakkal Majalla" w:hint="cs"/>
          <w:sz w:val="27"/>
          <w:rtl/>
        </w:rPr>
        <w:t>أ</w:t>
      </w:r>
      <w:r w:rsidRPr="006571AC">
        <w:rPr>
          <w:rFonts w:ascii="Sakkal Majalla" w:hAnsi="Sakkal Majalla" w:hint="cs"/>
          <w:sz w:val="27"/>
          <w:rtl/>
        </w:rPr>
        <w:t>نملة</w:t>
      </w:r>
      <w:r w:rsidR="008B0E29" w:rsidRPr="006571AC">
        <w:rPr>
          <w:rFonts w:ascii="Sakkal Majalla" w:hAnsi="Sakkal Majalla" w:hint="cs"/>
          <w:sz w:val="27"/>
          <w:rtl/>
        </w:rPr>
        <w:t>ٍ</w:t>
      </w:r>
      <w:r w:rsidRPr="006571AC">
        <w:rPr>
          <w:rFonts w:ascii="Sakkal Majalla" w:hAnsi="Sakkal Majalla" w:hint="cs"/>
          <w:sz w:val="27"/>
          <w:rtl/>
        </w:rPr>
        <w:t xml:space="preserve">. </w:t>
      </w:r>
    </w:p>
    <w:p w:rsidR="005D05A4" w:rsidRPr="006571AC" w:rsidRDefault="005D05A4" w:rsidP="003345FE">
      <w:pPr>
        <w:pStyle w:val="af"/>
        <w:rPr>
          <w:rFonts w:ascii="Sakkal Majalla" w:hAnsi="Sakkal Majalla" w:cs="AL-Mohanad"/>
          <w:sz w:val="27"/>
          <w:szCs w:val="27"/>
        </w:rPr>
      </w:pPr>
      <w:r w:rsidRPr="006571AC">
        <w:rPr>
          <w:rFonts w:ascii="Sakkal Majalla" w:hAnsi="Sakkal Majalla" w:cs="AL-Mohanad"/>
          <w:sz w:val="27"/>
          <w:szCs w:val="27"/>
          <w:rtl/>
        </w:rPr>
        <w:t xml:space="preserve">ثم </w:t>
      </w:r>
      <w:r w:rsidRPr="006571AC">
        <w:rPr>
          <w:rFonts w:cs="AL-Mohanad" w:hint="cs"/>
          <w:sz w:val="27"/>
          <w:szCs w:val="27"/>
          <w:rtl/>
        </w:rPr>
        <w:t>ي</w:t>
      </w:r>
      <w:r w:rsidRPr="006571AC">
        <w:rPr>
          <w:rFonts w:ascii="Sakkal Majalla" w:hAnsi="Sakkal Majalla" w:cs="AL-Mohanad" w:hint="cs"/>
          <w:sz w:val="27"/>
          <w:szCs w:val="27"/>
          <w:rtl/>
        </w:rPr>
        <w:t>جب</w:t>
      </w:r>
      <w:r w:rsidRPr="006571AC">
        <w:rPr>
          <w:rFonts w:ascii="Sakkal Majalla" w:hAnsi="Sakkal Majalla" w:cs="AL-Mohanad"/>
          <w:sz w:val="27"/>
          <w:szCs w:val="27"/>
          <w:rtl/>
        </w:rPr>
        <w:t xml:space="preserve"> </w:t>
      </w:r>
      <w:r w:rsidR="008B0E29"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نعلم </w:t>
      </w:r>
      <w:r w:rsidR="008B0E29" w:rsidRPr="006571AC">
        <w:rPr>
          <w:rFonts w:ascii="Sakkal Majalla" w:hAnsi="Sakkal Majalla" w:cs="AL-Mohanad" w:hint="cs"/>
          <w:sz w:val="27"/>
          <w:szCs w:val="27"/>
          <w:rtl/>
        </w:rPr>
        <w:t>أ</w:t>
      </w:r>
      <w:r w:rsidRPr="006571AC">
        <w:rPr>
          <w:rFonts w:ascii="Sakkal Majalla" w:hAnsi="Sakkal Majalla" w:cs="AL-Mohanad"/>
          <w:sz w:val="27"/>
          <w:szCs w:val="27"/>
          <w:rtl/>
        </w:rPr>
        <w:t>نّ هذه الواقعة قد حصل</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ت</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أواخر عمر النب</w:t>
      </w:r>
      <w:r w:rsidRPr="006571AC">
        <w:rPr>
          <w:rFonts w:ascii="Sakkal Majalla" w:hAnsi="Sakkal Majalla" w:cs="AL-Mohanad" w:hint="cs"/>
          <w:sz w:val="27"/>
          <w:szCs w:val="27"/>
          <w:rtl/>
        </w:rPr>
        <w:t>ي</w:t>
      </w:r>
      <w:r w:rsidR="008B0E29" w:rsidRPr="006571AC">
        <w:rPr>
          <w:rFonts w:ascii="Mosawi" w:hAnsi="Mosawi" w:cs="Mosawi" w:hint="cs"/>
          <w:sz w:val="22"/>
          <w:szCs w:val="22"/>
          <w:rtl/>
        </w:rPr>
        <w:t>ّ</w:t>
      </w:r>
      <w:r w:rsidR="002A2C90" w:rsidRPr="006571AC">
        <w:rPr>
          <w:rFonts w:ascii="Mosawi" w:hAnsi="Mosawi" w:cs="Mosawi"/>
          <w:sz w:val="22"/>
          <w:szCs w:val="22"/>
          <w:rtl/>
        </w:rPr>
        <w:t>|</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كما نب</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على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بقوله</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rtl/>
        </w:rPr>
        <w:t>«</w:t>
      </w:r>
      <w:r w:rsidR="008B0E29" w:rsidRPr="006571AC">
        <w:rPr>
          <w:rFonts w:ascii="Sakkal Majalla" w:hAnsi="Sakkal Majalla" w:cs="AL-Mohanad"/>
          <w:sz w:val="27"/>
          <w:szCs w:val="27"/>
          <w:rtl/>
        </w:rPr>
        <w:t>و</w:t>
      </w:r>
      <w:r w:rsidRPr="006571AC">
        <w:rPr>
          <w:rFonts w:ascii="Sakkal Majalla" w:hAnsi="Sakkal Majalla" w:cs="AL-Mohanad"/>
          <w:sz w:val="27"/>
          <w:szCs w:val="27"/>
          <w:rtl/>
        </w:rPr>
        <w:t>إنّي أوشك أن أ</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د</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ع</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ى فأجيب</w:t>
      </w:r>
      <w:r w:rsidRPr="006571AC">
        <w:rPr>
          <w:rFonts w:ascii="Sakkal Majalla" w:hAnsi="Sakkal Majalla" w:cs="AL-Mohanad"/>
          <w:rtl/>
        </w:rPr>
        <w:t>»</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ولم </w:t>
      </w:r>
      <w:r w:rsidRPr="006571AC">
        <w:rPr>
          <w:rFonts w:cs="AL-Mohanad" w:hint="cs"/>
          <w:sz w:val="27"/>
          <w:szCs w:val="27"/>
          <w:rtl/>
        </w:rPr>
        <w:t>ي</w:t>
      </w:r>
      <w:r w:rsidRPr="006571AC">
        <w:rPr>
          <w:rFonts w:ascii="Sakkal Majalla" w:hAnsi="Sakkal Majalla" w:cs="AL-Mohanad" w:hint="cs"/>
          <w:sz w:val="27"/>
          <w:szCs w:val="27"/>
          <w:rtl/>
        </w:rPr>
        <w:t>قصد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علان ول</w:t>
      </w:r>
      <w:r w:rsidRPr="006571AC">
        <w:rPr>
          <w:rFonts w:cs="AL-Mohanad" w:hint="cs"/>
          <w:sz w:val="27"/>
          <w:szCs w:val="27"/>
          <w:rtl/>
        </w:rPr>
        <w:t>ي</w:t>
      </w:r>
      <w:r w:rsidR="008B0E29" w:rsidRPr="006571AC">
        <w:rPr>
          <w:rFonts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 حاكم</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الناس</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w:t>
      </w:r>
      <w:r w:rsidRPr="006571AC">
        <w:rPr>
          <w:rFonts w:ascii="Sakkal Majalla" w:hAnsi="Sakkal Majalla" w:cs="AL-Mohanad"/>
          <w:sz w:val="27"/>
          <w:szCs w:val="27"/>
          <w:rtl/>
        </w:rPr>
        <w:t xml:space="preserve">ن </w:t>
      </w:r>
      <w:r w:rsidR="003345FE" w:rsidRPr="006571AC">
        <w:rPr>
          <w:rFonts w:ascii="Sakkal Majalla" w:hAnsi="Sakkal Majalla" w:cs="AL-Mohanad" w:hint="cs"/>
          <w:sz w:val="27"/>
          <w:szCs w:val="27"/>
          <w:rtl/>
        </w:rPr>
        <w:t xml:space="preserve">في </w:t>
      </w:r>
      <w:r w:rsidRPr="006571AC">
        <w:rPr>
          <w:rFonts w:ascii="Sakkal Majalla" w:hAnsi="Sakkal Majalla" w:cs="AL-Mohanad"/>
          <w:sz w:val="27"/>
          <w:szCs w:val="27"/>
          <w:rtl/>
        </w:rPr>
        <w:t>صدد تع</w:t>
      </w:r>
      <w:r w:rsidRPr="006571AC">
        <w:rPr>
          <w:rFonts w:cs="AL-Mohanad" w:hint="cs"/>
          <w:sz w:val="27"/>
          <w:szCs w:val="27"/>
          <w:rtl/>
        </w:rPr>
        <w:t>يي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الخل</w:t>
      </w:r>
      <w:r w:rsidRPr="006571AC">
        <w:rPr>
          <w:rFonts w:cs="AL-Mohanad" w:hint="cs"/>
          <w:sz w:val="27"/>
          <w:szCs w:val="27"/>
          <w:rtl/>
        </w:rPr>
        <w:t>ي</w:t>
      </w:r>
      <w:r w:rsidRPr="006571AC">
        <w:rPr>
          <w:rFonts w:ascii="Sakkal Majalla" w:hAnsi="Sakkal Majalla" w:cs="AL-Mohanad" w:hint="cs"/>
          <w:sz w:val="27"/>
          <w:szCs w:val="27"/>
          <w:rtl/>
        </w:rPr>
        <w:t>فة</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hint="cs"/>
          <w:sz w:val="27"/>
          <w:szCs w:val="27"/>
          <w:rtl/>
        </w:rPr>
        <w:t>كمل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مس</w:t>
      </w:r>
      <w:r w:rsidRPr="006571AC">
        <w:rPr>
          <w:rFonts w:cs="AL-Mohanad" w:hint="cs"/>
          <w:sz w:val="27"/>
          <w:szCs w:val="27"/>
          <w:rtl/>
        </w:rPr>
        <w:t>ي</w:t>
      </w:r>
      <w:r w:rsidRPr="006571AC">
        <w:rPr>
          <w:rFonts w:ascii="Sakkal Majalla" w:hAnsi="Sakkal Majalla" w:cs="AL-Mohanad" w:hint="cs"/>
          <w:sz w:val="27"/>
          <w:szCs w:val="27"/>
          <w:rtl/>
        </w:rPr>
        <w:t>رته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بعده</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66"/>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8B0E29" w:rsidP="00B41BA0">
      <w:pPr>
        <w:rPr>
          <w:rFonts w:ascii="Sakkal Majalla" w:hAnsi="Sakkal Majalla"/>
          <w:sz w:val="27"/>
          <w:rtl/>
        </w:rPr>
      </w:pPr>
      <w:r w:rsidRPr="006571AC">
        <w:rPr>
          <w:rFonts w:ascii="Sakkal Majalla" w:hAnsi="Sakkal Majalla"/>
          <w:sz w:val="27"/>
          <w:rtl/>
        </w:rPr>
        <w:t>و</w:t>
      </w:r>
      <w:r w:rsidR="005D05A4" w:rsidRPr="006571AC">
        <w:rPr>
          <w:rFonts w:ascii="Sakkal Majalla" w:hAnsi="Sakkal Majalla"/>
          <w:sz w:val="27"/>
          <w:rtl/>
        </w:rPr>
        <w:t>هكذا تندفع ال</w:t>
      </w:r>
      <w:r w:rsidR="005D05A4" w:rsidRPr="006571AC">
        <w:rPr>
          <w:rFonts w:ascii="Sakkal Majalla" w:hAnsi="Sakkal Majalla" w:hint="cs"/>
          <w:sz w:val="27"/>
          <w:rtl/>
        </w:rPr>
        <w:t>إ</w:t>
      </w:r>
      <w:r w:rsidR="005D05A4" w:rsidRPr="006571AC">
        <w:rPr>
          <w:rFonts w:ascii="Sakkal Majalla" w:hAnsi="Sakkal Majalla"/>
          <w:sz w:val="27"/>
          <w:rtl/>
        </w:rPr>
        <w:t>شكالات والشبهات الثلاثة</w:t>
      </w:r>
      <w:r w:rsidRPr="006571AC">
        <w:rPr>
          <w:rFonts w:ascii="Sakkal Majalla" w:hAnsi="Sakkal Majalla" w:hint="cs"/>
          <w:sz w:val="27"/>
          <w:rtl/>
        </w:rPr>
        <w:t>،</w:t>
      </w:r>
      <w:r w:rsidR="005D05A4" w:rsidRPr="006571AC">
        <w:rPr>
          <w:rFonts w:ascii="Sakkal Majalla" w:hAnsi="Sakkal Majalla"/>
          <w:sz w:val="27"/>
          <w:rtl/>
        </w:rPr>
        <w:t xml:space="preserve"> الت</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أ</w:t>
      </w:r>
      <w:r w:rsidR="005D05A4" w:rsidRPr="006571AC">
        <w:rPr>
          <w:rFonts w:ascii="Sakkal Majalla" w:hAnsi="Sakkal Majalla"/>
          <w:sz w:val="27"/>
          <w:rtl/>
        </w:rPr>
        <w:t>وردها الآلوس</w:t>
      </w:r>
      <w:r w:rsidR="005D05A4" w:rsidRPr="006571AC">
        <w:rPr>
          <w:rFonts w:ascii="Times New Roman" w:hAnsi="Times New Roman" w:hint="cs"/>
          <w:sz w:val="27"/>
          <w:rtl/>
        </w:rPr>
        <w:t>ي</w:t>
      </w:r>
      <w:r w:rsidR="005D05A4" w:rsidRPr="006571AC">
        <w:rPr>
          <w:rFonts w:ascii="Sakkal Majalla" w:hAnsi="Sakkal Majalla"/>
          <w:sz w:val="27"/>
          <w:rtl/>
        </w:rPr>
        <w:t xml:space="preserve"> وغ</w:t>
      </w:r>
      <w:r w:rsidR="005D05A4" w:rsidRPr="006571AC">
        <w:rPr>
          <w:rFonts w:ascii="Times New Roman" w:hAnsi="Times New Roman" w:hint="cs"/>
          <w:sz w:val="27"/>
          <w:rtl/>
        </w:rPr>
        <w:t>ي</w:t>
      </w:r>
      <w:r w:rsidR="005D05A4" w:rsidRPr="006571AC">
        <w:rPr>
          <w:rFonts w:ascii="Sakkal Majalla" w:hAnsi="Sakkal Majalla" w:hint="cs"/>
          <w:sz w:val="27"/>
          <w:rtl/>
        </w:rPr>
        <w:t>ره</w:t>
      </w:r>
      <w:r w:rsidR="005D05A4" w:rsidRPr="006571AC">
        <w:rPr>
          <w:rFonts w:ascii="Sakkal Majalla" w:hAnsi="Sakkal Majalla"/>
          <w:sz w:val="27"/>
          <w:rtl/>
        </w:rPr>
        <w:t xml:space="preserve"> </w:t>
      </w:r>
      <w:r w:rsidR="005D05A4" w:rsidRPr="006571AC">
        <w:rPr>
          <w:rFonts w:ascii="Sakkal Majalla" w:hAnsi="Sakkal Majalla" w:hint="cs"/>
          <w:sz w:val="27"/>
          <w:rtl/>
        </w:rPr>
        <w:t>ممّ</w:t>
      </w:r>
      <w:r w:rsidRPr="006571AC">
        <w:rPr>
          <w:rFonts w:ascii="Sakkal Majalla" w:hAnsi="Sakkal Majalla" w:hint="cs"/>
          <w:sz w:val="27"/>
          <w:rtl/>
        </w:rPr>
        <w:t>َ</w:t>
      </w:r>
      <w:r w:rsidR="005D05A4" w:rsidRPr="006571AC">
        <w:rPr>
          <w:rFonts w:ascii="Sakkal Majalla" w:hAnsi="Sakkal Majalla" w:hint="cs"/>
          <w:sz w:val="27"/>
          <w:rtl/>
        </w:rPr>
        <w:t>ن</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سبقه</w:t>
      </w:r>
      <w:r w:rsidR="005D05A4" w:rsidRPr="006571AC">
        <w:rPr>
          <w:rFonts w:ascii="Sakkal Majalla" w:hAnsi="Sakkal Majalla"/>
          <w:sz w:val="27"/>
          <w:rtl/>
        </w:rPr>
        <w:t xml:space="preserve"> </w:t>
      </w:r>
      <w:r w:rsidR="005D05A4" w:rsidRPr="006571AC">
        <w:rPr>
          <w:rFonts w:ascii="Sakkal Majalla" w:hAnsi="Sakkal Majalla" w:hint="cs"/>
          <w:sz w:val="27"/>
          <w:rtl/>
        </w:rPr>
        <w:t>من</w:t>
      </w:r>
      <w:r w:rsidR="005D05A4" w:rsidRPr="006571AC">
        <w:rPr>
          <w:rFonts w:ascii="Sakkal Majalla" w:hAnsi="Sakkal Majalla"/>
          <w:sz w:val="27"/>
          <w:rtl/>
        </w:rPr>
        <w:t xml:space="preserve"> </w:t>
      </w:r>
      <w:r w:rsidRPr="006571AC">
        <w:rPr>
          <w:rFonts w:ascii="Sakkal Majalla" w:hAnsi="Sakkal Majalla" w:hint="cs"/>
          <w:sz w:val="27"/>
          <w:rtl/>
        </w:rPr>
        <w:t>ال</w:t>
      </w:r>
      <w:r w:rsidR="005D05A4" w:rsidRPr="006571AC">
        <w:rPr>
          <w:rFonts w:ascii="Sakkal Majalla" w:hAnsi="Sakkal Majalla" w:hint="cs"/>
          <w:sz w:val="27"/>
          <w:rtl/>
        </w:rPr>
        <w:t>علماء</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والتي</w:t>
      </w:r>
      <w:r w:rsidR="005D05A4" w:rsidRPr="006571AC">
        <w:rPr>
          <w:rFonts w:ascii="Sakkal Majalla" w:hAnsi="Sakkal Majalla"/>
          <w:sz w:val="27"/>
          <w:rtl/>
        </w:rPr>
        <w:t xml:space="preserve"> </w:t>
      </w:r>
      <w:r w:rsidR="005D05A4" w:rsidRPr="006571AC">
        <w:rPr>
          <w:rFonts w:ascii="Sakkal Majalla" w:hAnsi="Sakkal Majalla" w:hint="cs"/>
          <w:sz w:val="27"/>
          <w:rtl/>
        </w:rPr>
        <w:t>ردّ</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عليها</w:t>
      </w:r>
      <w:r w:rsidR="005D05A4" w:rsidRPr="006571AC">
        <w:rPr>
          <w:rFonts w:ascii="Sakkal Majalla" w:hAnsi="Sakkal Majalla"/>
          <w:sz w:val="27"/>
          <w:rtl/>
        </w:rPr>
        <w:t xml:space="preserve"> </w:t>
      </w:r>
      <w:r w:rsidR="005D05A4" w:rsidRPr="006571AC">
        <w:rPr>
          <w:rFonts w:ascii="Sakkal Majalla" w:hAnsi="Sakkal Majalla" w:hint="cs"/>
          <w:sz w:val="27"/>
          <w:rtl/>
        </w:rPr>
        <w:t>علماؤنا</w:t>
      </w:r>
      <w:r w:rsidR="005D05A4" w:rsidRPr="006571AC">
        <w:rPr>
          <w:rFonts w:ascii="Sakkal Majalla" w:hAnsi="Sakkal Majalla"/>
          <w:sz w:val="27"/>
          <w:rtl/>
        </w:rPr>
        <w:t xml:space="preserve"> </w:t>
      </w:r>
      <w:r w:rsidR="005D05A4" w:rsidRPr="006571AC">
        <w:rPr>
          <w:rFonts w:ascii="Sakkal Majalla" w:hAnsi="Sakkal Majalla" w:hint="cs"/>
          <w:sz w:val="27"/>
          <w:rtl/>
        </w:rPr>
        <w:t>في</w:t>
      </w:r>
      <w:r w:rsidR="005D05A4" w:rsidRPr="006571AC">
        <w:rPr>
          <w:rFonts w:ascii="Sakkal Majalla" w:hAnsi="Sakkal Majalla"/>
          <w:sz w:val="27"/>
          <w:rtl/>
        </w:rPr>
        <w:t xml:space="preserve"> </w:t>
      </w:r>
      <w:r w:rsidR="005D05A4" w:rsidRPr="006571AC">
        <w:rPr>
          <w:rFonts w:ascii="Sakkal Majalla" w:hAnsi="Sakkal Majalla" w:hint="cs"/>
          <w:sz w:val="27"/>
          <w:rtl/>
        </w:rPr>
        <w:t>مختلف</w:t>
      </w:r>
      <w:r w:rsidR="005D05A4" w:rsidRPr="006571AC">
        <w:rPr>
          <w:rFonts w:ascii="Sakkal Majalla" w:hAnsi="Sakkal Majalla"/>
          <w:sz w:val="27"/>
          <w:rtl/>
        </w:rPr>
        <w:t xml:space="preserve"> </w:t>
      </w:r>
      <w:r w:rsidR="005D05A4" w:rsidRPr="006571AC">
        <w:rPr>
          <w:rFonts w:ascii="Sakkal Majalla" w:hAnsi="Sakkal Majalla" w:hint="cs"/>
          <w:sz w:val="27"/>
          <w:rtl/>
        </w:rPr>
        <w:t>الأدوار</w:t>
      </w:r>
      <w:r w:rsidR="005D05A4" w:rsidRPr="006571AC">
        <w:rPr>
          <w:rFonts w:ascii="Sakkal Majalla" w:hAnsi="Sakkal Majalla"/>
          <w:sz w:val="27"/>
          <w:rtl/>
        </w:rPr>
        <w:t xml:space="preserve">. </w:t>
      </w:r>
    </w:p>
    <w:p w:rsidR="005D3BB1" w:rsidRPr="006571AC" w:rsidRDefault="005D3BB1" w:rsidP="005D3BB1">
      <w:pPr>
        <w:spacing w:line="420" w:lineRule="exact"/>
        <w:rPr>
          <w:sz w:val="27"/>
          <w:rtl/>
        </w:rPr>
      </w:pPr>
    </w:p>
    <w:p w:rsidR="005D05A4" w:rsidRPr="006571AC" w:rsidRDefault="00CD28C4" w:rsidP="002B3461">
      <w:pPr>
        <w:pStyle w:val="31"/>
        <w:rPr>
          <w:color w:val="auto"/>
          <w:rtl/>
        </w:rPr>
      </w:pPr>
      <w:bookmarkStart w:id="156" w:name="_Toc114164644"/>
      <w:r w:rsidRPr="006571AC">
        <w:rPr>
          <w:rFonts w:hint="cs"/>
          <w:color w:val="auto"/>
          <w:rtl/>
        </w:rPr>
        <w:t>3ـ</w:t>
      </w:r>
      <w:r w:rsidR="005D05A4" w:rsidRPr="006571AC">
        <w:rPr>
          <w:rFonts w:hint="cs"/>
          <w:color w:val="auto"/>
          <w:rtl/>
        </w:rPr>
        <w:t xml:space="preserve"> </w:t>
      </w:r>
      <w:r w:rsidR="005D05A4" w:rsidRPr="006571AC">
        <w:rPr>
          <w:color w:val="auto"/>
          <w:rtl/>
        </w:rPr>
        <w:t xml:space="preserve">شبهة </w:t>
      </w:r>
      <w:r w:rsidR="005D05A4" w:rsidRPr="006571AC">
        <w:rPr>
          <w:rFonts w:hint="cs"/>
          <w:color w:val="auto"/>
          <w:rtl/>
        </w:rPr>
        <w:t>لزوم التكف</w:t>
      </w:r>
      <w:r w:rsidR="005D05A4" w:rsidRPr="006571AC">
        <w:rPr>
          <w:rFonts w:ascii="Times New Roman" w:hAnsi="Times New Roman" w:hint="cs"/>
          <w:color w:val="auto"/>
          <w:rtl/>
        </w:rPr>
        <w:t>ي</w:t>
      </w:r>
      <w:r w:rsidR="005D05A4" w:rsidRPr="006571AC">
        <w:rPr>
          <w:rFonts w:hint="cs"/>
          <w:color w:val="auto"/>
          <w:rtl/>
        </w:rPr>
        <w:t>ر</w:t>
      </w:r>
      <w:bookmarkEnd w:id="156"/>
      <w:r w:rsidR="005D05A4" w:rsidRPr="006571AC">
        <w:rPr>
          <w:color w:val="auto"/>
          <w:rtl/>
        </w:rPr>
        <w:t xml:space="preserve"> </w:t>
      </w:r>
    </w:p>
    <w:p w:rsidR="005D05A4" w:rsidRPr="006571AC" w:rsidRDefault="005D05A4" w:rsidP="00B41BA0">
      <w:pPr>
        <w:rPr>
          <w:rFonts w:ascii="Sakkal Majalla" w:hAnsi="Sakkal Majalla"/>
          <w:sz w:val="27"/>
          <w:rtl/>
        </w:rPr>
      </w:pPr>
      <w:r w:rsidRPr="006571AC">
        <w:rPr>
          <w:rFonts w:ascii="Sakkal Majalla" w:hAnsi="Sakkal Majalla"/>
          <w:b/>
          <w:bCs/>
          <w:sz w:val="27"/>
          <w:rtl/>
        </w:rPr>
        <w:t>ر</w:t>
      </w:r>
      <w:r w:rsidR="008B0E29" w:rsidRPr="006571AC">
        <w:rPr>
          <w:rFonts w:ascii="Sakkal Majalla" w:hAnsi="Sakkal Majalla" w:hint="cs"/>
          <w:b/>
          <w:bCs/>
          <w:sz w:val="27"/>
          <w:rtl/>
        </w:rPr>
        <w:t>ُ</w:t>
      </w:r>
      <w:r w:rsidRPr="006571AC">
        <w:rPr>
          <w:rFonts w:ascii="Sakkal Majalla" w:hAnsi="Sakkal Majalla"/>
          <w:b/>
          <w:bCs/>
          <w:sz w:val="27"/>
          <w:rtl/>
        </w:rPr>
        <w:t>ب</w:t>
      </w:r>
      <w:r w:rsidR="008B0E29" w:rsidRPr="006571AC">
        <w:rPr>
          <w:rFonts w:ascii="Sakkal Majalla" w:hAnsi="Sakkal Majalla" w:hint="cs"/>
          <w:b/>
          <w:bCs/>
          <w:sz w:val="27"/>
          <w:rtl/>
        </w:rPr>
        <w:t>َ</w:t>
      </w:r>
      <w:r w:rsidRPr="006571AC">
        <w:rPr>
          <w:rFonts w:ascii="Sakkal Majalla" w:hAnsi="Sakkal Majalla"/>
          <w:b/>
          <w:bCs/>
          <w:sz w:val="27"/>
          <w:rtl/>
        </w:rPr>
        <w:t xml:space="preserve">ما </w:t>
      </w:r>
      <w:r w:rsidRPr="006571AC">
        <w:rPr>
          <w:rFonts w:ascii="Times New Roman" w:hAnsi="Times New Roman" w:hint="cs"/>
          <w:b/>
          <w:bCs/>
          <w:sz w:val="27"/>
          <w:rtl/>
        </w:rPr>
        <w:t>ي</w:t>
      </w:r>
      <w:r w:rsidR="008B0E29" w:rsidRPr="006571AC">
        <w:rPr>
          <w:rFonts w:ascii="Sakkal Majalla" w:hAnsi="Sakkal Majalla" w:hint="cs"/>
          <w:b/>
          <w:bCs/>
          <w:sz w:val="27"/>
          <w:rtl/>
        </w:rPr>
        <w:t>ُ</w:t>
      </w:r>
      <w:r w:rsidRPr="006571AC">
        <w:rPr>
          <w:rFonts w:ascii="Sakkal Majalla" w:hAnsi="Sakkal Majalla" w:hint="cs"/>
          <w:b/>
          <w:bCs/>
          <w:sz w:val="27"/>
          <w:rtl/>
        </w:rPr>
        <w:t>قال</w:t>
      </w:r>
      <w:r w:rsidR="008B0E2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لو</w:t>
      </w:r>
      <w:r w:rsidRPr="006571AC">
        <w:rPr>
          <w:rFonts w:ascii="Sakkal Majalla" w:hAnsi="Sakkal Majalla"/>
          <w:sz w:val="27"/>
          <w:rtl/>
        </w:rPr>
        <w:t xml:space="preserve"> </w:t>
      </w:r>
      <w:r w:rsidRPr="006571AC">
        <w:rPr>
          <w:rFonts w:ascii="Sakkal Majalla" w:hAnsi="Sakkal Majalla" w:hint="cs"/>
          <w:sz w:val="27"/>
          <w:rtl/>
        </w:rPr>
        <w:t>كانت</w:t>
      </w:r>
      <w:r w:rsidRPr="006571AC">
        <w:rPr>
          <w:rFonts w:ascii="Sakkal Majalla" w:hAnsi="Sakkal Majalla"/>
          <w:sz w:val="27"/>
          <w:rtl/>
        </w:rPr>
        <w:t xml:space="preserve"> </w:t>
      </w:r>
      <w:r w:rsidRPr="006571AC">
        <w:rPr>
          <w:rFonts w:ascii="Sakkal Majalla" w:hAnsi="Sakkal Majalla" w:hint="cs"/>
          <w:sz w:val="27"/>
          <w:rtl/>
        </w:rPr>
        <w:t>تش</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إلى </w:t>
      </w:r>
      <w:r w:rsidRPr="006571AC">
        <w:rPr>
          <w:rFonts w:ascii="Sakkal Majalla" w:hAnsi="Sakkal Majalla" w:hint="cs"/>
          <w:sz w:val="27"/>
          <w:rtl/>
        </w:rPr>
        <w:t>خلافة</w:t>
      </w:r>
      <w:r w:rsidRPr="006571AC">
        <w:rPr>
          <w:rFonts w:ascii="Sakkal Majalla" w:hAnsi="Sakkal Majalla"/>
          <w:sz w:val="27"/>
          <w:rtl/>
        </w:rPr>
        <w:t xml:space="preserve"> وولا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علي</w:t>
      </w:r>
      <w:r w:rsidR="002A2C90" w:rsidRPr="006571AC">
        <w:rPr>
          <w:rFonts w:ascii="Mosawi" w:hAnsi="Mosawi" w:cs="Mosawi"/>
          <w:sz w:val="22"/>
          <w:szCs w:val="22"/>
          <w:rtl/>
        </w:rPr>
        <w:t>×</w:t>
      </w:r>
      <w:r w:rsidRPr="006571AC">
        <w:rPr>
          <w:rFonts w:ascii="Sakkal Majalla" w:hAnsi="Sakkal Majalla" w:hint="cs"/>
          <w:sz w:val="27"/>
          <w:rtl/>
        </w:rPr>
        <w:t xml:space="preserve">، </w:t>
      </w:r>
      <w:r w:rsidRPr="006571AC">
        <w:rPr>
          <w:rFonts w:ascii="Sakkal Majalla" w:hAnsi="Sakkal Majalla"/>
          <w:sz w:val="27"/>
          <w:rtl/>
        </w:rPr>
        <w:t>وتنص</w:t>
      </w:r>
      <w:r w:rsidRPr="006571AC">
        <w:rPr>
          <w:rFonts w:ascii="Times New Roman" w:hAnsi="Times New Roman" w:hint="cs"/>
          <w:sz w:val="27"/>
          <w:rtl/>
        </w:rPr>
        <w:t>ي</w:t>
      </w:r>
      <w:r w:rsidRPr="006571AC">
        <w:rPr>
          <w:rFonts w:ascii="Sakkal Majalla" w:hAnsi="Sakkal Majalla" w:hint="cs"/>
          <w:sz w:val="27"/>
          <w:rtl/>
        </w:rPr>
        <w:t>به</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ماماً للناس</w:t>
      </w:r>
      <w:r w:rsidR="008B0E29" w:rsidRPr="006571AC">
        <w:rPr>
          <w:rFonts w:ascii="Sakkal Majalla" w:hAnsi="Sakkal Majalla" w:hint="cs"/>
          <w:sz w:val="27"/>
          <w:rtl/>
        </w:rPr>
        <w:t>،</w:t>
      </w:r>
      <w:r w:rsidRPr="006571AC">
        <w:rPr>
          <w:rFonts w:ascii="Sakkal Majalla" w:hAnsi="Sakkal Majalla"/>
          <w:sz w:val="27"/>
          <w:rtl/>
        </w:rPr>
        <w:t xml:space="preserve"> فما معن</w:t>
      </w:r>
      <w:r w:rsidR="008B0E2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الفقرة</w:t>
      </w:r>
      <w:r w:rsidRPr="006571AC">
        <w:rPr>
          <w:rFonts w:ascii="Sakkal Majalla" w:hAnsi="Sakkal Majalla"/>
          <w:sz w:val="27"/>
          <w:rtl/>
        </w:rPr>
        <w:t xml:space="preserve"> </w:t>
      </w:r>
      <w:r w:rsidRPr="006571AC">
        <w:rPr>
          <w:rFonts w:ascii="Sakkal Majalla" w:hAnsi="Sakkal Majalla" w:hint="cs"/>
          <w:sz w:val="27"/>
          <w:rtl/>
        </w:rPr>
        <w:t>ال</w:t>
      </w:r>
      <w:r w:rsidR="008B0E29" w:rsidRPr="006571AC">
        <w:rPr>
          <w:rFonts w:ascii="Sakkal Majalla" w:hAnsi="Sakkal Majalla" w:hint="cs"/>
          <w:sz w:val="27"/>
          <w:rtl/>
        </w:rPr>
        <w:t>أ</w:t>
      </w:r>
      <w:r w:rsidRPr="006571AC">
        <w:rPr>
          <w:rFonts w:ascii="Sakkal Majalla" w:hAnsi="Sakkal Majalla" w:hint="cs"/>
          <w:sz w:val="27"/>
          <w:rtl/>
        </w:rPr>
        <w:t>خ</w:t>
      </w:r>
      <w:r w:rsidRPr="006571AC">
        <w:rPr>
          <w:rFonts w:ascii="Times New Roman" w:hAnsi="Times New Roman" w:hint="cs"/>
          <w:sz w:val="27"/>
          <w:rtl/>
        </w:rPr>
        <w:t>ي</w:t>
      </w:r>
      <w:r w:rsidRPr="006571AC">
        <w:rPr>
          <w:rFonts w:ascii="Sakkal Majalla" w:hAnsi="Sakkal Majalla" w:hint="cs"/>
          <w:sz w:val="27"/>
          <w:rtl/>
        </w:rPr>
        <w:t>رة</w:t>
      </w:r>
      <w:r w:rsidRPr="006571AC">
        <w:rPr>
          <w:rFonts w:ascii="Sakkal Majalla" w:hAnsi="Sakkal Majalla"/>
          <w:sz w:val="27"/>
          <w:rtl/>
        </w:rPr>
        <w:t xml:space="preserve"> </w:t>
      </w:r>
      <w:r w:rsidRPr="006571AC">
        <w:rPr>
          <w:rFonts w:ascii="Sakkal Majalla" w:hAnsi="Sakkal Majalla" w:hint="cs"/>
          <w:sz w:val="27"/>
          <w:rtl/>
        </w:rPr>
        <w:t>التي</w:t>
      </w:r>
      <w:r w:rsidRPr="006571AC">
        <w:rPr>
          <w:rFonts w:ascii="Sakkal Majalla" w:hAnsi="Sakkal Majalla"/>
          <w:sz w:val="27"/>
          <w:rtl/>
        </w:rPr>
        <w:t xml:space="preserve"> تهد</w:t>
      </w:r>
      <w:r w:rsidR="008B0E29" w:rsidRPr="006571AC">
        <w:rPr>
          <w:rFonts w:ascii="Sakkal Majalla" w:hAnsi="Sakkal Majalla" w:hint="cs"/>
          <w:sz w:val="27"/>
          <w:rtl/>
        </w:rPr>
        <w:t>ِّ</w:t>
      </w:r>
      <w:r w:rsidRPr="006571AC">
        <w:rPr>
          <w:rFonts w:ascii="Sakkal Majalla" w:hAnsi="Sakkal Majalla"/>
          <w:sz w:val="27"/>
          <w:rtl/>
        </w:rPr>
        <w:t>د المتخل</w:t>
      </w:r>
      <w:r w:rsidR="003E303F" w:rsidRPr="006571AC">
        <w:rPr>
          <w:rFonts w:ascii="Sakkal Majalla" w:hAnsi="Sakkal Majalla" w:hint="cs"/>
          <w:sz w:val="27"/>
          <w:rtl/>
        </w:rPr>
        <w:t>ِّ</w:t>
      </w:r>
      <w:r w:rsidRPr="006571AC">
        <w:rPr>
          <w:rFonts w:ascii="Sakkal Majalla" w:hAnsi="Sakkal Majalla"/>
          <w:sz w:val="27"/>
          <w:rtl/>
        </w:rPr>
        <w:t>ف</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عن</w:t>
      </w:r>
      <w:r w:rsidRPr="006571AC">
        <w:rPr>
          <w:rFonts w:ascii="Sakkal Majalla" w:hAnsi="Sakkal Majalla"/>
          <w:sz w:val="27"/>
          <w:rtl/>
        </w:rPr>
        <w:t xml:space="preserve"> </w:t>
      </w:r>
      <w:r w:rsidRPr="006571AC">
        <w:rPr>
          <w:rFonts w:ascii="Sakkal Majalla" w:hAnsi="Sakkal Majalla" w:hint="cs"/>
          <w:sz w:val="27"/>
          <w:rtl/>
        </w:rPr>
        <w:t>ذلك</w:t>
      </w:r>
      <w:r w:rsidRPr="006571AC">
        <w:rPr>
          <w:rFonts w:ascii="Sakkal Majalla" w:hAnsi="Sakkal Majalla"/>
          <w:sz w:val="27"/>
          <w:rtl/>
        </w:rPr>
        <w:t xml:space="preserve"> بالكفر والضلالة</w:t>
      </w:r>
      <w:r w:rsidRPr="006571AC">
        <w:rPr>
          <w:rFonts w:ascii="Sakkal Majalla" w:hAnsi="Sakkal Majalla" w:hint="cs"/>
          <w:sz w:val="27"/>
          <w:rtl/>
        </w:rPr>
        <w:t xml:space="preserve">؟ </w:t>
      </w:r>
      <w:r w:rsidRPr="006571AC">
        <w:rPr>
          <w:rFonts w:ascii="Sakkal Majalla" w:hAnsi="Sakkal Majalla"/>
          <w:sz w:val="27"/>
          <w:rtl/>
        </w:rPr>
        <w:t xml:space="preserve">وهل </w:t>
      </w:r>
      <w:r w:rsidRPr="006571AC">
        <w:rPr>
          <w:rFonts w:ascii="Times New Roman" w:hAnsi="Times New Roman" w:hint="cs"/>
          <w:sz w:val="27"/>
          <w:rtl/>
        </w:rPr>
        <w:t>ي</w:t>
      </w:r>
      <w:r w:rsidRPr="006571AC">
        <w:rPr>
          <w:rFonts w:ascii="Sakkal Majalla" w:hAnsi="Sakkal Majalla" w:hint="cs"/>
          <w:sz w:val="27"/>
          <w:rtl/>
        </w:rPr>
        <w:t>لزم</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عدم</w:t>
      </w:r>
      <w:r w:rsidRPr="006571AC">
        <w:rPr>
          <w:rFonts w:ascii="Sakkal Majalla" w:hAnsi="Sakkal Majalla"/>
          <w:sz w:val="27"/>
          <w:rtl/>
        </w:rPr>
        <w:t xml:space="preserve"> </w:t>
      </w:r>
      <w:r w:rsidRPr="006571AC">
        <w:rPr>
          <w:rFonts w:ascii="Sakkal Majalla" w:hAnsi="Sakkal Majalla" w:hint="cs"/>
          <w:sz w:val="27"/>
          <w:rtl/>
        </w:rPr>
        <w:t>قبول</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مامة علي</w:t>
      </w:r>
      <w:r w:rsidR="008B0E29"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الكفر</w:t>
      </w:r>
      <w:r w:rsidRPr="006571AC">
        <w:rPr>
          <w:rFonts w:ascii="Sakkal Majalla" w:hAnsi="Sakkal Majalla"/>
          <w:sz w:val="27"/>
          <w:rtl/>
        </w:rPr>
        <w:t xml:space="preserve"> </w:t>
      </w:r>
      <w:r w:rsidRPr="006571AC">
        <w:rPr>
          <w:rFonts w:ascii="Sakkal Majalla" w:hAnsi="Sakkal Majalla" w:hint="cs"/>
          <w:sz w:val="27"/>
          <w:rtl/>
        </w:rPr>
        <w:t>بالله</w:t>
      </w:r>
      <w:r w:rsidRPr="006571AC">
        <w:rPr>
          <w:rFonts w:ascii="Sakkal Majalla" w:hAnsi="Sakkal Majalla"/>
          <w:sz w:val="27"/>
          <w:rtl/>
        </w:rPr>
        <w:t xml:space="preserve"> </w:t>
      </w:r>
      <w:r w:rsidRPr="006571AC">
        <w:rPr>
          <w:rFonts w:ascii="Sakkal Majalla" w:hAnsi="Sakkal Majalla" w:hint="cs"/>
          <w:sz w:val="27"/>
          <w:rtl/>
        </w:rPr>
        <w:t>تعال</w:t>
      </w:r>
      <w:r w:rsidR="008B0E29" w:rsidRPr="006571AC">
        <w:rPr>
          <w:rFonts w:ascii="Times New Roman" w:hAnsi="Times New Roman" w:hint="cs"/>
          <w:sz w:val="27"/>
          <w:rtl/>
        </w:rPr>
        <w:t>ى</w:t>
      </w:r>
      <w:r w:rsidRPr="006571AC">
        <w:rPr>
          <w:rFonts w:ascii="Sakkal Majalla" w:hAnsi="Sakkal Majalla" w:hint="cs"/>
          <w:sz w:val="27"/>
          <w:rtl/>
        </w:rPr>
        <w:t xml:space="preserve">؟ </w:t>
      </w:r>
      <w:r w:rsidRPr="006571AC">
        <w:rPr>
          <w:rFonts w:ascii="Sakkal Majalla" w:hAnsi="Sakkal Majalla"/>
          <w:sz w:val="27"/>
          <w:rtl/>
        </w:rPr>
        <w:t xml:space="preserve">وهل </w:t>
      </w:r>
      <w:r w:rsidRPr="006571AC">
        <w:rPr>
          <w:rFonts w:ascii="Times New Roman" w:hAnsi="Times New Roman" w:hint="cs"/>
          <w:sz w:val="27"/>
          <w:rtl/>
        </w:rPr>
        <w:t>ي</w:t>
      </w:r>
      <w:r w:rsidRPr="006571AC">
        <w:rPr>
          <w:rFonts w:ascii="Sakkal Majalla" w:hAnsi="Sakkal Majalla" w:hint="cs"/>
          <w:sz w:val="27"/>
          <w:rtl/>
        </w:rPr>
        <w:t>قول</w:t>
      </w:r>
      <w:r w:rsidRPr="006571AC">
        <w:rPr>
          <w:rFonts w:ascii="Sakkal Majalla" w:hAnsi="Sakkal Majalla"/>
          <w:sz w:val="27"/>
          <w:rtl/>
        </w:rPr>
        <w:t xml:space="preserve"> </w:t>
      </w:r>
      <w:r w:rsidRPr="006571AC">
        <w:rPr>
          <w:rFonts w:ascii="Sakkal Majalla" w:hAnsi="Sakkal Majalla" w:hint="cs"/>
          <w:sz w:val="27"/>
          <w:rtl/>
        </w:rPr>
        <w:t>الش</w:t>
      </w:r>
      <w:r w:rsidRPr="006571AC">
        <w:rPr>
          <w:rFonts w:ascii="Times New Roman" w:hAnsi="Times New Roman" w:hint="cs"/>
          <w:sz w:val="27"/>
          <w:rtl/>
        </w:rPr>
        <w:t>ي</w:t>
      </w:r>
      <w:r w:rsidRPr="006571AC">
        <w:rPr>
          <w:rFonts w:ascii="Sakkal Majalla" w:hAnsi="Sakkal Majalla" w:hint="cs"/>
          <w:sz w:val="27"/>
          <w:rtl/>
        </w:rPr>
        <w:t>عة</w:t>
      </w:r>
      <w:r w:rsidRPr="006571AC">
        <w:rPr>
          <w:rFonts w:ascii="Sakkal Majalla" w:hAnsi="Sakkal Majalla"/>
          <w:sz w:val="27"/>
          <w:rtl/>
        </w:rPr>
        <w:t xml:space="preserve"> </w:t>
      </w:r>
      <w:r w:rsidRPr="006571AC">
        <w:rPr>
          <w:rFonts w:ascii="Sakkal Majalla" w:hAnsi="Sakkal Majalla" w:hint="cs"/>
          <w:sz w:val="27"/>
          <w:rtl/>
        </w:rPr>
        <w:t>بكفر</w:t>
      </w:r>
      <w:r w:rsidRPr="006571AC">
        <w:rPr>
          <w:rFonts w:ascii="Sakkal Majalla" w:hAnsi="Sakkal Majalla"/>
          <w:sz w:val="27"/>
          <w:rtl/>
        </w:rPr>
        <w:t xml:space="preserve"> </w:t>
      </w:r>
      <w:r w:rsidRPr="006571AC">
        <w:rPr>
          <w:rFonts w:ascii="Sakkal Majalla" w:hAnsi="Sakkal Majalla" w:hint="cs"/>
          <w:sz w:val="27"/>
          <w:rtl/>
        </w:rPr>
        <w:t>جم</w:t>
      </w:r>
      <w:r w:rsidRPr="006571AC">
        <w:rPr>
          <w:rFonts w:ascii="Times New Roman" w:hAnsi="Times New Roman" w:hint="cs"/>
          <w:sz w:val="27"/>
          <w:rtl/>
        </w:rPr>
        <w:t>ي</w:t>
      </w:r>
      <w:r w:rsidRPr="006571AC">
        <w:rPr>
          <w:rFonts w:ascii="Sakkal Majalla" w:hAnsi="Sakkal Majalla" w:hint="cs"/>
          <w:sz w:val="27"/>
          <w:rtl/>
        </w:rPr>
        <w:t>ع</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هل السن</w:t>
      </w:r>
      <w:r w:rsidR="008B0E29" w:rsidRPr="006571AC">
        <w:rPr>
          <w:rFonts w:ascii="Sakkal Majalla" w:hAnsi="Sakkal Majalla" w:hint="cs"/>
          <w:sz w:val="27"/>
          <w:rtl/>
        </w:rPr>
        <w:t>ّ</w:t>
      </w:r>
      <w:r w:rsidRPr="006571AC">
        <w:rPr>
          <w:rFonts w:ascii="Sakkal Majalla" w:hAnsi="Sakkal Majalla"/>
          <w:sz w:val="27"/>
          <w:rtl/>
        </w:rPr>
        <w:t>ة</w:t>
      </w:r>
      <w:r w:rsidR="008B0E29" w:rsidRPr="006571AC">
        <w:rPr>
          <w:rFonts w:ascii="Sakkal Majalla" w:hAnsi="Sakkal Majalla" w:hint="cs"/>
          <w:sz w:val="27"/>
          <w:rtl/>
        </w:rPr>
        <w:t>؛</w:t>
      </w:r>
      <w:r w:rsidRPr="006571AC">
        <w:rPr>
          <w:rFonts w:ascii="Sakkal Majalla" w:hAnsi="Sakkal Majalla"/>
          <w:sz w:val="27"/>
          <w:rtl/>
        </w:rPr>
        <w:t xml:space="preserve"> لعدم قبولهم </w:t>
      </w:r>
      <w:r w:rsidRPr="006571AC">
        <w:rPr>
          <w:rFonts w:ascii="Sakkal Majalla" w:hAnsi="Sakkal Majalla" w:hint="cs"/>
          <w:sz w:val="27"/>
          <w:rtl/>
        </w:rPr>
        <w:t>إ</w:t>
      </w:r>
      <w:r w:rsidRPr="006571AC">
        <w:rPr>
          <w:rFonts w:ascii="Sakkal Majalla" w:hAnsi="Sakkal Majalla"/>
          <w:sz w:val="27"/>
          <w:rtl/>
        </w:rPr>
        <w:t>مامة علي</w:t>
      </w:r>
      <w:r w:rsidR="008B0E29"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w:t>
      </w:r>
    </w:p>
    <w:p w:rsidR="00DB64E7" w:rsidRPr="006571AC" w:rsidRDefault="008B0E29" w:rsidP="00B41BA0">
      <w:pPr>
        <w:pStyle w:val="af"/>
        <w:rPr>
          <w:rFonts w:ascii="Sakkal Majalla" w:hAnsi="Sakkal Majalla" w:cs="AL-Mohanad"/>
          <w:sz w:val="27"/>
          <w:szCs w:val="27"/>
          <w:rtl/>
        </w:rPr>
      </w:pPr>
      <w:r w:rsidRPr="006571AC">
        <w:rPr>
          <w:rFonts w:ascii="Sakkal Majalla" w:hAnsi="Sakkal Majalla" w:cs="AL-Mohanad" w:hint="cs"/>
          <w:b/>
          <w:bCs/>
          <w:sz w:val="27"/>
          <w:szCs w:val="27"/>
          <w:rtl/>
        </w:rPr>
        <w:t>و</w:t>
      </w:r>
      <w:r w:rsidR="005D05A4" w:rsidRPr="006571AC">
        <w:rPr>
          <w:rFonts w:ascii="Sakkal Majalla" w:hAnsi="Sakkal Majalla" w:cs="AL-Mohanad"/>
          <w:b/>
          <w:bCs/>
          <w:sz w:val="27"/>
          <w:szCs w:val="27"/>
          <w:rtl/>
        </w:rPr>
        <w:t>للجواب ع</w:t>
      </w:r>
      <w:r w:rsidR="004C3163" w:rsidRPr="006571AC">
        <w:rPr>
          <w:rFonts w:ascii="Sakkal Majalla" w:hAnsi="Sakkal Majalla" w:cs="AL-Mohanad" w:hint="cs"/>
          <w:b/>
          <w:bCs/>
          <w:sz w:val="27"/>
          <w:szCs w:val="27"/>
          <w:rtl/>
        </w:rPr>
        <w:t>ن</w:t>
      </w:r>
      <w:r w:rsidR="005D05A4" w:rsidRPr="006571AC">
        <w:rPr>
          <w:rFonts w:ascii="Sakkal Majalla" w:hAnsi="Sakkal Majalla" w:cs="AL-Mohanad"/>
          <w:b/>
          <w:bCs/>
          <w:sz w:val="27"/>
          <w:szCs w:val="27"/>
          <w:rtl/>
        </w:rPr>
        <w:t xml:space="preserve"> هذه الشبهة نقول</w:t>
      </w:r>
      <w:r w:rsidR="005D05A4" w:rsidRPr="006571AC">
        <w:rPr>
          <w:rFonts w:ascii="Sakkal Majalla" w:hAnsi="Sakkal Majalla" w:cs="AL-Mohanad"/>
          <w:sz w:val="27"/>
          <w:szCs w:val="27"/>
          <w:rtl/>
        </w:rPr>
        <w:t>: جاء الكفر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اللغة وف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الآ</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القرآ</w:t>
      </w:r>
      <w:r w:rsidR="005D05A4" w:rsidRPr="006571AC">
        <w:rPr>
          <w:rFonts w:ascii="Sakkal Majalla" w:hAnsi="Sakkal Majalla" w:cs="AL-Mohanad"/>
          <w:sz w:val="27"/>
          <w:szCs w:val="27"/>
          <w:rtl/>
        </w:rPr>
        <w:t>ن</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بمعن</w:t>
      </w:r>
      <w:r w:rsidRPr="006571AC">
        <w:rPr>
          <w:rFonts w:cs="AL-Mohanad" w:hint="cs"/>
          <w:sz w:val="27"/>
          <w:szCs w:val="27"/>
          <w:rtl/>
        </w:rPr>
        <w:t>ى</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الإ</w:t>
      </w:r>
      <w:r w:rsidR="005D05A4" w:rsidRPr="006571AC">
        <w:rPr>
          <w:rFonts w:ascii="Sakkal Majalla" w:hAnsi="Sakkal Majalla" w:cs="AL-Mohanad"/>
          <w:sz w:val="27"/>
          <w:szCs w:val="27"/>
          <w:rtl/>
        </w:rPr>
        <w:t>نكار والمخالفة والردّ وعدم ال</w:t>
      </w:r>
      <w:r w:rsidRPr="006571AC">
        <w:rPr>
          <w:rFonts w:ascii="Sakkal Majalla" w:hAnsi="Sakkal Majalla" w:cs="AL-Mohanad" w:hint="cs"/>
          <w:sz w:val="27"/>
          <w:szCs w:val="27"/>
          <w:rtl/>
        </w:rPr>
        <w:t>ا</w:t>
      </w:r>
      <w:r w:rsidR="005D05A4" w:rsidRPr="006571AC">
        <w:rPr>
          <w:rFonts w:ascii="Sakkal Majalla" w:hAnsi="Sakkal Majalla" w:cs="AL-Mohanad"/>
          <w:sz w:val="27"/>
          <w:szCs w:val="27"/>
          <w:rtl/>
        </w:rPr>
        <w:t>عتناء</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وله مراتب من ح</w:t>
      </w:r>
      <w:r w:rsidR="005D05A4" w:rsidRPr="006571AC">
        <w:rPr>
          <w:rFonts w:cs="AL-Mohanad" w:hint="cs"/>
          <w:sz w:val="27"/>
          <w:szCs w:val="27"/>
          <w:rtl/>
        </w:rPr>
        <w:t>ي</w:t>
      </w:r>
      <w:r w:rsidR="005D05A4" w:rsidRPr="006571AC">
        <w:rPr>
          <w:rFonts w:ascii="Sakkal Majalla" w:hAnsi="Sakkal Majalla" w:cs="AL-Mohanad" w:hint="cs"/>
          <w:sz w:val="27"/>
          <w:szCs w:val="27"/>
          <w:rtl/>
        </w:rPr>
        <w:t>ث</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المردود</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فتارة</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كون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نكار</w:t>
      </w:r>
      <w:r w:rsidR="00DB64E7" w:rsidRPr="006571AC">
        <w:rPr>
          <w:rFonts w:ascii="Sakkal Majalla" w:hAnsi="Sakkal Majalla" w:cs="AL-Mohanad" w:hint="cs"/>
          <w:sz w:val="27"/>
          <w:szCs w:val="27"/>
          <w:rtl/>
        </w:rPr>
        <w:t>اً</w:t>
      </w:r>
      <w:r w:rsidR="005D05A4" w:rsidRPr="006571AC">
        <w:rPr>
          <w:rFonts w:ascii="Sakkal Majalla" w:hAnsi="Sakkal Majalla" w:cs="AL-Mohanad"/>
          <w:sz w:val="27"/>
          <w:szCs w:val="27"/>
          <w:rtl/>
        </w:rPr>
        <w:t xml:space="preserve"> وردّ</w:t>
      </w:r>
      <w:r w:rsidR="00DB64E7" w:rsidRPr="006571AC">
        <w:rPr>
          <w:rFonts w:ascii="Sakkal Majalla" w:hAnsi="Sakkal Majalla" w:cs="AL-Mohanad" w:hint="cs"/>
          <w:sz w:val="27"/>
          <w:szCs w:val="27"/>
          <w:rtl/>
        </w:rPr>
        <w:t>اً</w:t>
      </w:r>
      <w:r w:rsidR="005D05A4" w:rsidRPr="006571AC">
        <w:rPr>
          <w:rFonts w:ascii="Sakkal Majalla" w:hAnsi="Sakkal Majalla" w:cs="AL-Mohanad"/>
          <w:sz w:val="27"/>
          <w:szCs w:val="27"/>
          <w:rtl/>
        </w:rPr>
        <w:t xml:space="preserve"> لله تعالى وللرسول</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ول</w:t>
      </w:r>
      <w:r w:rsidR="005D05A4" w:rsidRPr="006571AC">
        <w:rPr>
          <w:rFonts w:ascii="Sakkal Majalla" w:hAnsi="Sakkal Majalla" w:cs="AL-Mohanad" w:hint="cs"/>
          <w:sz w:val="27"/>
          <w:szCs w:val="27"/>
          <w:rtl/>
        </w:rPr>
        <w:t>ل</w:t>
      </w:r>
      <w:r w:rsidR="005D05A4" w:rsidRPr="006571AC">
        <w:rPr>
          <w:rFonts w:cs="AL-Mohanad" w:hint="cs"/>
          <w:sz w:val="27"/>
          <w:szCs w:val="27"/>
          <w:rtl/>
        </w:rPr>
        <w:t>ي</w:t>
      </w:r>
      <w:r w:rsidR="005D05A4" w:rsidRPr="006571AC">
        <w:rPr>
          <w:rFonts w:ascii="Sakkal Majalla" w:hAnsi="Sakkal Majalla" w:cs="AL-Mohanad" w:hint="cs"/>
          <w:sz w:val="27"/>
          <w:szCs w:val="27"/>
          <w:rtl/>
        </w:rPr>
        <w:t>وم</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الآخر</w:t>
      </w:r>
      <w:r w:rsidR="004C3163"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كما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قال</w:t>
      </w:r>
      <w:r w:rsidR="005D05A4" w:rsidRPr="006571AC">
        <w:rPr>
          <w:rFonts w:ascii="Sakkal Majalla" w:hAnsi="Sakkal Majalla" w:cs="AL-Mohanad"/>
          <w:sz w:val="27"/>
          <w:szCs w:val="27"/>
          <w:rtl/>
        </w:rPr>
        <w:t xml:space="preserve"> تعالى</w:t>
      </w:r>
      <w:r w:rsidR="005D05A4"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Mosawi" w:hAnsi="Mosawi" w:cs="Mosawi"/>
          <w:rtl/>
        </w:rPr>
        <w:t>﴿</w:t>
      </w:r>
      <w:r w:rsidR="005D05A4" w:rsidRPr="006571AC">
        <w:rPr>
          <w:rFonts w:ascii="Sakkal Majalla" w:hAnsi="Sakkal Majalla" w:cs="AL-Mohanad"/>
          <w:b/>
          <w:bCs/>
          <w:sz w:val="27"/>
          <w:szCs w:val="27"/>
          <w:rtl/>
        </w:rPr>
        <w:t>و</w:t>
      </w:r>
      <w:r w:rsidR="004C3163"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مَنْ يَكْفُرْ بِ</w:t>
      </w:r>
      <w:r w:rsidR="0097633B" w:rsidRPr="006571AC">
        <w:rPr>
          <w:rFonts w:ascii="Sakkal Majalla" w:hAnsi="Sakkal Majalla" w:cs="AL-Mohanad"/>
          <w:b/>
          <w:bCs/>
          <w:sz w:val="27"/>
          <w:szCs w:val="27"/>
          <w:rtl/>
        </w:rPr>
        <w:t>الل</w:t>
      </w:r>
      <w:r w:rsidR="005D05A4" w:rsidRPr="006571AC">
        <w:rPr>
          <w:rFonts w:ascii="Sakkal Majalla" w:hAnsi="Sakkal Majalla" w:cs="AL-Mohanad"/>
          <w:b/>
          <w:bCs/>
          <w:sz w:val="27"/>
          <w:szCs w:val="27"/>
          <w:rtl/>
        </w:rPr>
        <w:t>هِ و</w:t>
      </w:r>
      <w:r w:rsidR="00DB64E7"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مَلا</w:t>
      </w:r>
      <w:r w:rsidR="00DB64E7"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ئِكَتِهِ و</w:t>
      </w:r>
      <w:r w:rsidR="00DB64E7"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كُتُبِهِ و</w:t>
      </w:r>
      <w:r w:rsidR="00DB64E7"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رُسُلِهِ و</w:t>
      </w:r>
      <w:r w:rsidR="00DB64E7" w:rsidRPr="006571AC">
        <w:rPr>
          <w:rFonts w:ascii="Sakkal Majalla" w:hAnsi="Sakkal Majalla" w:cs="AL-Mohanad" w:hint="cs"/>
          <w:b/>
          <w:bCs/>
          <w:sz w:val="27"/>
          <w:szCs w:val="27"/>
          <w:rtl/>
        </w:rPr>
        <w:t>َ</w:t>
      </w:r>
      <w:r w:rsidR="00DB64E7" w:rsidRPr="006571AC">
        <w:rPr>
          <w:rFonts w:ascii="Sakkal Majalla" w:hAnsi="Sakkal Majalla" w:cs="AL-Mohanad"/>
          <w:b/>
          <w:bCs/>
          <w:sz w:val="27"/>
          <w:szCs w:val="27"/>
          <w:rtl/>
        </w:rPr>
        <w:t>الْيَوْمِ ال</w:t>
      </w:r>
      <w:r w:rsidR="005D05A4" w:rsidRPr="006571AC">
        <w:rPr>
          <w:rFonts w:ascii="Sakkal Majalla" w:hAnsi="Sakkal Majalla" w:cs="AL-Mohanad"/>
          <w:b/>
          <w:bCs/>
          <w:sz w:val="27"/>
          <w:szCs w:val="27"/>
          <w:rtl/>
        </w:rPr>
        <w:t>آخِرِ فَقَدْ ضَلَّ ضَلا</w:t>
      </w:r>
      <w:r w:rsidR="00DB64E7"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لاً بَعِيدا</w:t>
      </w:r>
      <w:r w:rsidR="005D05A4" w:rsidRPr="006571AC">
        <w:rPr>
          <w:rFonts w:ascii="Sakkal Majalla" w:hAnsi="Sakkal Majalla" w:cs="AL-Mohanad" w:hint="cs"/>
          <w:b/>
          <w:bCs/>
          <w:sz w:val="27"/>
          <w:szCs w:val="27"/>
          <w:rtl/>
        </w:rPr>
        <w:t>ً</w:t>
      </w:r>
      <w:r w:rsidR="005D05A4" w:rsidRPr="006571AC">
        <w:rPr>
          <w:rFonts w:ascii="Mosawi" w:hAnsi="Mosawi" w:cs="Mosawi"/>
          <w:rtl/>
        </w:rPr>
        <w:t>﴾</w:t>
      </w:r>
      <w:r w:rsidR="00DB64E7" w:rsidRPr="006571AC">
        <w:rPr>
          <w:rFonts w:ascii="Sakkal Majalla" w:hAnsi="Sakkal Majalla" w:cs="AL-Mohanad" w:hint="cs"/>
          <w:sz w:val="27"/>
          <w:szCs w:val="27"/>
          <w:rtl/>
        </w:rPr>
        <w:t>.</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 xml:space="preserve">وقد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نكار</w:t>
      </w:r>
      <w:r w:rsidR="00DB64E7"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ومخالفة</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لبعض </w:t>
      </w:r>
      <w:r w:rsidRPr="006571AC">
        <w:rPr>
          <w:rFonts w:ascii="Sakkal Majalla" w:hAnsi="Sakkal Majalla" w:cs="AL-Mohanad" w:hint="cs"/>
          <w:sz w:val="27"/>
          <w:szCs w:val="27"/>
          <w:rtl/>
        </w:rPr>
        <w:t>أ</w:t>
      </w:r>
      <w:r w:rsidRPr="006571AC">
        <w:rPr>
          <w:rFonts w:ascii="Sakkal Majalla" w:hAnsi="Sakkal Majalla" w:cs="AL-Mohanad"/>
          <w:sz w:val="27"/>
          <w:szCs w:val="27"/>
          <w:rtl/>
        </w:rPr>
        <w:t>حكام الله تعالى</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قال</w:t>
      </w:r>
      <w:r w:rsidRPr="006571AC">
        <w:rPr>
          <w:rFonts w:ascii="Sakkal Majalla" w:hAnsi="Sakkal Majalla" w:cs="AL-Mohanad"/>
          <w:sz w:val="27"/>
          <w:szCs w:val="27"/>
          <w:rtl/>
        </w:rPr>
        <w:t xml:space="preserve"> تعالى </w:t>
      </w:r>
      <w:r w:rsidRPr="006571AC">
        <w:rPr>
          <w:rFonts w:ascii="Mosawi" w:hAnsi="Mosawi" w:cs="Mosawi"/>
          <w:rtl/>
        </w:rPr>
        <w:t>﴿</w:t>
      </w:r>
      <w:r w:rsidRPr="006571AC">
        <w:rPr>
          <w:rFonts w:ascii="Sakkal Majalla" w:hAnsi="Sakkal Majalla" w:cs="AL-Mohanad"/>
          <w:b/>
          <w:bCs/>
          <w:sz w:val="27"/>
          <w:szCs w:val="27"/>
          <w:rtl/>
        </w:rPr>
        <w:t>أَفَتُؤْمِنُونَ بِبَعْضِ الْكِت</w:t>
      </w:r>
      <w:r w:rsidR="00DB64E7" w:rsidRPr="006571AC">
        <w:rPr>
          <w:rFonts w:ascii="Sakkal Majalla" w:hAnsi="Sakkal Majalla" w:cs="AL-Mohanad" w:hint="cs"/>
          <w:b/>
          <w:bCs/>
          <w:sz w:val="27"/>
          <w:szCs w:val="27"/>
          <w:rtl/>
        </w:rPr>
        <w:t>َ</w:t>
      </w:r>
      <w:r w:rsidRPr="006571AC">
        <w:rPr>
          <w:rFonts w:ascii="Sakkal Majalla" w:hAnsi="Sakkal Majalla" w:cs="AL-Mohanad"/>
          <w:b/>
          <w:bCs/>
          <w:sz w:val="27"/>
          <w:szCs w:val="27"/>
          <w:rtl/>
        </w:rPr>
        <w:t>ابِ و</w:t>
      </w:r>
      <w:r w:rsidR="00DB64E7" w:rsidRPr="006571AC">
        <w:rPr>
          <w:rFonts w:ascii="Sakkal Majalla" w:hAnsi="Sakkal Majalla" w:cs="AL-Mohanad" w:hint="cs"/>
          <w:b/>
          <w:bCs/>
          <w:sz w:val="27"/>
          <w:szCs w:val="27"/>
          <w:rtl/>
        </w:rPr>
        <w:t>َ</w:t>
      </w:r>
      <w:r w:rsidRPr="006571AC">
        <w:rPr>
          <w:rFonts w:ascii="Sakkal Majalla" w:hAnsi="Sakkal Majalla" w:cs="AL-Mohanad"/>
          <w:b/>
          <w:bCs/>
          <w:sz w:val="27"/>
          <w:szCs w:val="27"/>
          <w:rtl/>
        </w:rPr>
        <w:t>تَكْفُرُونَ بِبَعْض</w:t>
      </w:r>
      <w:r w:rsidR="00DB64E7"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67"/>
      </w:r>
      <w:r w:rsidRPr="006571AC">
        <w:rPr>
          <w:rFonts w:ascii="Sakkal Majalla" w:hAnsi="Sakkal Majalla" w:cs="AL-Mohanad"/>
          <w:sz w:val="27"/>
          <w:szCs w:val="27"/>
          <w:vertAlign w:val="superscript"/>
          <w:rtl/>
        </w:rPr>
        <w:t>)</w:t>
      </w:r>
      <w:r w:rsidRPr="006571AC">
        <w:rPr>
          <w:rFonts w:ascii="Sakkal Majalla" w:hAnsi="Sakkal Majalla" w:cs="AL-Mohanad" w:hint="cs"/>
          <w:sz w:val="27"/>
          <w:szCs w:val="27"/>
          <w:rtl/>
        </w:rPr>
        <w:t>.</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 xml:space="preserve">وقد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الكفر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بمعن</w:t>
      </w:r>
      <w:r w:rsidR="00DB64E7"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نكار الخلافة وال</w:t>
      </w:r>
      <w:r w:rsidRPr="006571AC">
        <w:rPr>
          <w:rFonts w:ascii="Sakkal Majalla" w:hAnsi="Sakkal Majalla" w:cs="AL-Mohanad" w:hint="cs"/>
          <w:sz w:val="27"/>
          <w:szCs w:val="27"/>
          <w:rtl/>
        </w:rPr>
        <w:t>إ</w:t>
      </w:r>
      <w:r w:rsidRPr="006571AC">
        <w:rPr>
          <w:rFonts w:ascii="Sakkal Majalla" w:hAnsi="Sakkal Majalla" w:cs="AL-Mohanad"/>
          <w:sz w:val="27"/>
          <w:szCs w:val="27"/>
          <w:rtl/>
        </w:rPr>
        <w:t>مامة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قام بتبل</w:t>
      </w:r>
      <w:r w:rsidRPr="006571AC">
        <w:rPr>
          <w:rFonts w:cs="AL-Mohanad" w:hint="cs"/>
          <w:sz w:val="27"/>
          <w:szCs w:val="27"/>
          <w:rtl/>
        </w:rPr>
        <w:t>ي</w:t>
      </w:r>
      <w:r w:rsidRPr="006571AC">
        <w:rPr>
          <w:rFonts w:ascii="Sakkal Majalla" w:hAnsi="Sakkal Majalla" w:cs="AL-Mohanad" w:hint="cs"/>
          <w:sz w:val="27"/>
          <w:szCs w:val="27"/>
          <w:rtl/>
        </w:rPr>
        <w:t>غها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غد</w:t>
      </w:r>
      <w:r w:rsidRPr="006571AC">
        <w:rPr>
          <w:rFonts w:cs="AL-Mohanad" w:hint="cs"/>
          <w:sz w:val="27"/>
          <w:szCs w:val="27"/>
          <w:rtl/>
        </w:rPr>
        <w:t>ي</w:t>
      </w:r>
      <w:r w:rsidRPr="006571AC">
        <w:rPr>
          <w:rFonts w:ascii="Sakkal Majalla" w:hAnsi="Sakkal Majalla" w:cs="AL-Mohanad" w:hint="cs"/>
          <w:sz w:val="27"/>
          <w:szCs w:val="27"/>
          <w:rtl/>
        </w:rPr>
        <w:t>ر</w:t>
      </w:r>
      <w:r w:rsidR="00DB64E7"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خم</w:t>
      </w:r>
      <w:r w:rsidR="00DB64E7" w:rsidRPr="006571AC">
        <w:rPr>
          <w:rFonts w:ascii="Sakkal Majalla" w:hAnsi="Sakkal Majalla" w:cs="AL-Mohanad" w:hint="cs"/>
          <w:sz w:val="27"/>
          <w:szCs w:val="27"/>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68"/>
      </w:r>
      <w:r w:rsidRPr="006571AC">
        <w:rPr>
          <w:rFonts w:ascii="Sakkal Majalla" w:hAnsi="Sakkal Majalla" w:cs="AL-Mohanad"/>
          <w:sz w:val="27"/>
          <w:szCs w:val="27"/>
          <w:vertAlign w:val="superscript"/>
          <w:rtl/>
        </w:rPr>
        <w:t>)</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و</w:t>
      </w:r>
      <w:r w:rsidRPr="006571AC">
        <w:rPr>
          <w:rFonts w:ascii="Sakkal Majalla" w:hAnsi="Sakkal Majalla" w:cs="AL-Mohanad"/>
          <w:sz w:val="27"/>
          <w:szCs w:val="27"/>
          <w:rtl/>
        </w:rPr>
        <w:t xml:space="preserve">لا </w:t>
      </w:r>
      <w:r w:rsidRPr="006571AC">
        <w:rPr>
          <w:rFonts w:cs="AL-Mohanad" w:hint="cs"/>
          <w:sz w:val="27"/>
          <w:szCs w:val="27"/>
          <w:rtl/>
        </w:rPr>
        <w:t>ي</w:t>
      </w:r>
      <w:r w:rsidRPr="006571AC">
        <w:rPr>
          <w:rFonts w:ascii="Sakkal Majalla" w:hAnsi="Sakkal Majalla" w:cs="AL-Mohanad" w:hint="cs"/>
          <w:sz w:val="27"/>
          <w:szCs w:val="27"/>
          <w:rtl/>
        </w:rPr>
        <w:t>لزم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نكارها </w:t>
      </w:r>
      <w:r w:rsidRPr="006571AC">
        <w:rPr>
          <w:rFonts w:ascii="Sakkal Majalla" w:hAnsi="Sakkal Majalla" w:cs="AL-Mohanad" w:hint="cs"/>
          <w:sz w:val="27"/>
          <w:szCs w:val="27"/>
          <w:rtl/>
        </w:rPr>
        <w:t>إ</w:t>
      </w:r>
      <w:r w:rsidRPr="006571AC">
        <w:rPr>
          <w:rFonts w:ascii="Sakkal Majalla" w:hAnsi="Sakkal Majalla" w:cs="AL-Mohanad"/>
          <w:sz w:val="27"/>
          <w:szCs w:val="27"/>
          <w:rtl/>
        </w:rPr>
        <w:t>نكار المبدأ والرسالة والمعاد. نعم</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ذا كان المخالف والمنكر على </w:t>
      </w:r>
      <w:r w:rsidRPr="006571AC">
        <w:rPr>
          <w:rFonts w:cs="AL-Mohanad" w:hint="cs"/>
          <w:sz w:val="27"/>
          <w:szCs w:val="27"/>
          <w:rtl/>
        </w:rPr>
        <w:t>ي</w:t>
      </w:r>
      <w:r w:rsidRPr="006571AC">
        <w:rPr>
          <w:rFonts w:ascii="Sakkal Majalla" w:hAnsi="Sakkal Majalla" w:cs="AL-Mohanad" w:hint="cs"/>
          <w:sz w:val="27"/>
          <w:szCs w:val="27"/>
          <w:rtl/>
        </w:rPr>
        <w:t>ق</w:t>
      </w:r>
      <w:r w:rsidRPr="006571AC">
        <w:rPr>
          <w:rFonts w:cs="AL-Mohanad" w:hint="cs"/>
          <w:sz w:val="27"/>
          <w:szCs w:val="27"/>
          <w:rtl/>
        </w:rPr>
        <w:t>ي</w:t>
      </w:r>
      <w:r w:rsidRPr="006571AC">
        <w:rPr>
          <w:rFonts w:ascii="Sakkal Majalla" w:hAnsi="Sakkal Majalla" w:cs="AL-Mohanad" w:hint="cs"/>
          <w:sz w:val="27"/>
          <w:szCs w:val="27"/>
          <w:rtl/>
        </w:rPr>
        <w:t>ن</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ما </w:t>
      </w:r>
      <w:r w:rsidRPr="006571AC">
        <w:rPr>
          <w:rFonts w:cs="AL-Mohanad" w:hint="cs"/>
          <w:sz w:val="27"/>
          <w:szCs w:val="27"/>
          <w:rtl/>
        </w:rPr>
        <w:t>ي</w:t>
      </w:r>
      <w:r w:rsidRPr="006571AC">
        <w:rPr>
          <w:rFonts w:ascii="Sakkal Majalla" w:hAnsi="Sakkal Majalla" w:cs="AL-Mohanad" w:hint="cs"/>
          <w:sz w:val="27"/>
          <w:szCs w:val="27"/>
          <w:rtl/>
        </w:rPr>
        <w:t>قوله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الإ</w:t>
      </w:r>
      <w:r w:rsidRPr="006571AC">
        <w:rPr>
          <w:rFonts w:ascii="Sakkal Majalla" w:hAnsi="Sakkal Majalla" w:cs="AL-Mohanad"/>
          <w:sz w:val="27"/>
          <w:szCs w:val="27"/>
          <w:rtl/>
        </w:rPr>
        <w:t>مام</w:t>
      </w:r>
      <w:r w:rsidRPr="006571AC">
        <w:rPr>
          <w:rFonts w:cs="AL-Mohanad" w:hint="cs"/>
          <w:sz w:val="27"/>
          <w:szCs w:val="27"/>
          <w:rtl/>
        </w:rPr>
        <w:t>ي</w:t>
      </w:r>
      <w:r w:rsidR="003E303F"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الصادر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رسول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002A2C90" w:rsidRPr="006571AC">
        <w:rPr>
          <w:rFonts w:ascii="Mosawi" w:hAnsi="Mosawi" w:cs="Mosawi"/>
          <w:sz w:val="22"/>
          <w:szCs w:val="22"/>
          <w:rtl/>
        </w:rPr>
        <w:t>|</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 xml:space="preserve">أراد </w:t>
      </w:r>
      <w:r w:rsidRPr="006571AC">
        <w:rPr>
          <w:rFonts w:ascii="Sakkal Majalla" w:hAnsi="Sakkal Majalla" w:cs="AL-Mohanad"/>
          <w:sz w:val="27"/>
          <w:szCs w:val="27"/>
          <w:rtl/>
        </w:rPr>
        <w:t>بمخالفته</w:t>
      </w:r>
      <w:r w:rsidRPr="006571AC">
        <w:rPr>
          <w:rFonts w:ascii="Sakkal Majalla" w:hAnsi="Sakkal Majalla" w:cs="AL-Mohanad" w:hint="cs"/>
          <w:sz w:val="27"/>
          <w:szCs w:val="27"/>
          <w:rtl/>
        </w:rPr>
        <w:t xml:space="preserve"> لأمر الأمامة والولاية </w:t>
      </w:r>
      <w:r w:rsidRPr="006571AC">
        <w:rPr>
          <w:rFonts w:ascii="Sakkal Majalla" w:hAnsi="Sakkal Majalla" w:cs="AL-Mohanad"/>
          <w:sz w:val="27"/>
          <w:szCs w:val="27"/>
          <w:rtl/>
        </w:rPr>
        <w:t>الردّ على الله تعالى ورسوله</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w:t>
      </w:r>
      <w:r w:rsidR="00731867" w:rsidRPr="006571AC">
        <w:rPr>
          <w:rFonts w:ascii="Sakkal Majalla" w:hAnsi="Sakkal Majalla" w:cs="AL-Mohanad"/>
          <w:sz w:val="27"/>
          <w:szCs w:val="27"/>
          <w:rtl/>
        </w:rPr>
        <w:t>لا شَكَّ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مثل هذا </w:t>
      </w:r>
      <w:r w:rsidRPr="006571AC">
        <w:rPr>
          <w:rFonts w:cs="AL-Mohanad" w:hint="cs"/>
          <w:sz w:val="27"/>
          <w:szCs w:val="27"/>
          <w:rtl/>
        </w:rPr>
        <w:t>ي</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بالكفر</w:t>
      </w:r>
      <w:r w:rsidRPr="006571AC">
        <w:rPr>
          <w:rFonts w:ascii="Sakkal Majalla" w:hAnsi="Sakkal Majalla" w:cs="AL-Mohanad"/>
          <w:sz w:val="27"/>
          <w:szCs w:val="27"/>
          <w:rtl/>
        </w:rPr>
        <w:t xml:space="preserve"> وال</w:t>
      </w:r>
      <w:r w:rsidRPr="006571AC">
        <w:rPr>
          <w:rFonts w:ascii="Sakkal Majalla" w:hAnsi="Sakkal Majalla" w:cs="AL-Mohanad" w:hint="cs"/>
          <w:sz w:val="27"/>
          <w:szCs w:val="27"/>
          <w:rtl/>
        </w:rPr>
        <w:t>إ</w:t>
      </w:r>
      <w:r w:rsidRPr="006571AC">
        <w:rPr>
          <w:rFonts w:ascii="Sakkal Majalla" w:hAnsi="Sakkal Majalla" w:cs="AL-Mohanad"/>
          <w:sz w:val="27"/>
          <w:szCs w:val="27"/>
          <w:rtl/>
        </w:rPr>
        <w:t>لحاد</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ولكن</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الكث</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هل السن</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ة لم </w:t>
      </w:r>
      <w:r w:rsidRPr="006571AC">
        <w:rPr>
          <w:rFonts w:cs="AL-Mohanad" w:hint="cs"/>
          <w:sz w:val="27"/>
          <w:szCs w:val="27"/>
          <w:rtl/>
        </w:rPr>
        <w:t>ي</w:t>
      </w:r>
      <w:r w:rsidRPr="006571AC">
        <w:rPr>
          <w:rFonts w:ascii="Sakkal Majalla" w:hAnsi="Sakkal Majalla" w:cs="AL-Mohanad" w:hint="cs"/>
          <w:sz w:val="27"/>
          <w:szCs w:val="27"/>
          <w:rtl/>
        </w:rPr>
        <w:t>ثبت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لد</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ثبت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للإ</w:t>
      </w:r>
      <w:r w:rsidRPr="006571AC">
        <w:rPr>
          <w:rFonts w:ascii="Sakkal Majalla" w:hAnsi="Sakkal Majalla" w:cs="AL-Mohanad"/>
          <w:sz w:val="27"/>
          <w:szCs w:val="27"/>
          <w:rtl/>
        </w:rPr>
        <w:t>مام</w:t>
      </w:r>
      <w:r w:rsidRPr="006571AC">
        <w:rPr>
          <w:rFonts w:cs="AL-Mohanad" w:hint="cs"/>
          <w:sz w:val="27"/>
          <w:szCs w:val="27"/>
          <w:rtl/>
        </w:rPr>
        <w:t>ي</w:t>
      </w:r>
      <w:r w:rsidRPr="006571AC">
        <w:rPr>
          <w:rFonts w:ascii="Sakkal Majalla" w:hAnsi="Sakkal Majalla" w:cs="AL-Mohanad" w:hint="cs"/>
          <w:sz w:val="27"/>
          <w:szCs w:val="27"/>
          <w:rtl/>
        </w:rPr>
        <w:t>ة</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نّ هذه ال</w:t>
      </w:r>
      <w:r w:rsidRPr="006571AC">
        <w:rPr>
          <w:rFonts w:ascii="Sakkal Majalla" w:hAnsi="Sakkal Majalla" w:cs="AL-Mohanad" w:hint="cs"/>
          <w:sz w:val="27"/>
          <w:szCs w:val="27"/>
          <w:rtl/>
        </w:rPr>
        <w:t>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صادرة</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رسول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002A2C90" w:rsidRPr="006571AC">
        <w:rPr>
          <w:rFonts w:ascii="Mosawi" w:hAnsi="Mosawi" w:cs="Mosawi"/>
          <w:sz w:val="22"/>
          <w:szCs w:val="22"/>
          <w:rtl/>
        </w:rPr>
        <w:t>|</w:t>
      </w:r>
      <w:r w:rsidRPr="006571AC">
        <w:rPr>
          <w:rFonts w:ascii="Sakkal Majalla" w:hAnsi="Sakkal Majalla" w:cs="AL-Mohanad"/>
          <w:sz w:val="27"/>
          <w:szCs w:val="27"/>
          <w:rtl/>
        </w:rPr>
        <w:t xml:space="preserve"> ق</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ط</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عاً</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sz w:val="27"/>
          <w:szCs w:val="27"/>
          <w:rtl/>
        </w:rPr>
        <w:lastRenderedPageBreak/>
        <w:t>وعل</w:t>
      </w:r>
      <w:r w:rsidR="00EC21E9" w:rsidRPr="006571AC">
        <w:rPr>
          <w:rFonts w:cs="AL-Mohanad" w:hint="cs"/>
          <w:sz w:val="27"/>
          <w:szCs w:val="27"/>
          <w:rtl/>
        </w:rPr>
        <w:t>ى</w:t>
      </w:r>
      <w:r w:rsidRPr="006571AC">
        <w:rPr>
          <w:rFonts w:ascii="Sakkal Majalla" w:hAnsi="Sakkal Majalla" w:cs="AL-Mohanad" w:hint="cs"/>
          <w:sz w:val="27"/>
          <w:szCs w:val="27"/>
          <w:rtl/>
        </w:rPr>
        <w:t xml:space="preserve"> هذا ال</w:t>
      </w:r>
      <w:r w:rsidR="00EC21E9" w:rsidRPr="006571AC">
        <w:rPr>
          <w:rFonts w:ascii="Sakkal Majalla" w:hAnsi="Sakkal Majalla" w:cs="AL-Mohanad" w:hint="cs"/>
          <w:sz w:val="27"/>
          <w:szCs w:val="27"/>
          <w:rtl/>
        </w:rPr>
        <w:t>أ</w:t>
      </w:r>
      <w:r w:rsidRPr="006571AC">
        <w:rPr>
          <w:rFonts w:ascii="Sakkal Majalla" w:hAnsi="Sakkal Majalla" w:cs="AL-Mohanad" w:hint="cs"/>
          <w:sz w:val="27"/>
          <w:szCs w:val="27"/>
          <w:rtl/>
        </w:rPr>
        <w:t>ساس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فلا</w:t>
      </w:r>
      <w:r w:rsidR="00EC21E9" w:rsidRPr="006571AC">
        <w:rPr>
          <w:rFonts w:cs="AL-Mohanad" w:hint="cs"/>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w:t>
      </w:r>
      <w:r w:rsidRPr="006571AC">
        <w:rPr>
          <w:rFonts w:cs="AL-Mohanad" w:hint="cs"/>
          <w:sz w:val="27"/>
          <w:szCs w:val="27"/>
          <w:rtl/>
        </w:rPr>
        <w:t>ي</w:t>
      </w:r>
      <w:r w:rsidRPr="006571AC">
        <w:rPr>
          <w:rFonts w:ascii="Sakkal Majalla" w:hAnsi="Sakkal Majalla" w:cs="AL-Mohanad" w:hint="cs"/>
          <w:sz w:val="27"/>
          <w:szCs w:val="27"/>
          <w:rtl/>
        </w:rPr>
        <w:t>عة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بكفر أهل السن</w:t>
      </w:r>
      <w:r w:rsidR="00EC21E9"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أنّهم منكرون</w:t>
      </w:r>
      <w:r w:rsidRPr="006571AC">
        <w:rPr>
          <w:rFonts w:ascii="Sakkal Majalla" w:hAnsi="Sakkal Majalla" w:cs="AL-Mohanad"/>
          <w:sz w:val="27"/>
          <w:szCs w:val="27"/>
          <w:rtl/>
        </w:rPr>
        <w:t xml:space="preserve"> للمبدأ والمعاد. </w:t>
      </w:r>
    </w:p>
    <w:p w:rsidR="005D05A4" w:rsidRPr="006571AC" w:rsidRDefault="005D05A4" w:rsidP="00FB4949">
      <w:pPr>
        <w:pStyle w:val="af"/>
        <w:spacing w:line="420" w:lineRule="exact"/>
        <w:rPr>
          <w:rFonts w:ascii="Sakkal Majalla" w:hAnsi="Sakkal Majalla" w:cs="AL-Mohanad"/>
          <w:sz w:val="27"/>
          <w:szCs w:val="27"/>
          <w:rtl/>
        </w:rPr>
      </w:pPr>
    </w:p>
    <w:p w:rsidR="005D05A4" w:rsidRPr="006571AC" w:rsidRDefault="00CD28C4" w:rsidP="00523DB3">
      <w:pPr>
        <w:pStyle w:val="31"/>
        <w:rPr>
          <w:rFonts w:ascii="Angsana New" w:hAnsi="Angsana New"/>
          <w:color w:val="auto"/>
          <w:rtl/>
        </w:rPr>
      </w:pPr>
      <w:bookmarkStart w:id="157" w:name="_Toc114164645"/>
      <w:r w:rsidRPr="006571AC">
        <w:rPr>
          <w:rFonts w:hint="cs"/>
          <w:color w:val="auto"/>
          <w:rtl/>
        </w:rPr>
        <w:t>2ـ</w:t>
      </w:r>
      <w:r w:rsidR="005D05A4" w:rsidRPr="006571AC">
        <w:rPr>
          <w:rFonts w:ascii="Angsana New" w:hAnsi="Angsana New"/>
          <w:color w:val="auto"/>
          <w:rtl/>
        </w:rPr>
        <w:t xml:space="preserve"> </w:t>
      </w:r>
      <w:r w:rsidR="005D05A4" w:rsidRPr="006571AC">
        <w:rPr>
          <w:rFonts w:hint="cs"/>
          <w:color w:val="auto"/>
          <w:rtl/>
        </w:rPr>
        <w:t>أقوال أهل</w:t>
      </w:r>
      <w:r w:rsidR="005D05A4" w:rsidRPr="006571AC">
        <w:rPr>
          <w:rFonts w:ascii="Angsana New" w:hAnsi="Angsana New"/>
          <w:color w:val="auto"/>
          <w:rtl/>
        </w:rPr>
        <w:t xml:space="preserve"> </w:t>
      </w:r>
      <w:r w:rsidR="005D05A4" w:rsidRPr="006571AC">
        <w:rPr>
          <w:rFonts w:hint="cs"/>
          <w:color w:val="auto"/>
          <w:rtl/>
        </w:rPr>
        <w:t>السن</w:t>
      </w:r>
      <w:r w:rsidR="00EC21E9" w:rsidRPr="006571AC">
        <w:rPr>
          <w:rFonts w:hint="cs"/>
          <w:color w:val="auto"/>
          <w:rtl/>
        </w:rPr>
        <w:t>ّ</w:t>
      </w:r>
      <w:r w:rsidR="005D05A4" w:rsidRPr="006571AC">
        <w:rPr>
          <w:rFonts w:hint="cs"/>
          <w:color w:val="auto"/>
          <w:rtl/>
        </w:rPr>
        <w:t xml:space="preserve">ة في </w:t>
      </w:r>
      <w:r w:rsidR="00523DB3" w:rsidRPr="006571AC">
        <w:rPr>
          <w:rFonts w:hint="cs"/>
          <w:color w:val="auto"/>
          <w:rtl/>
        </w:rPr>
        <w:t>شؤون نزولها</w:t>
      </w:r>
      <w:bookmarkEnd w:id="157"/>
    </w:p>
    <w:p w:rsidR="005D05A4" w:rsidRPr="006571AC" w:rsidRDefault="005D05A4" w:rsidP="00B41BA0">
      <w:pPr>
        <w:rPr>
          <w:rFonts w:ascii="Sakkal Majalla" w:hAnsi="Sakkal Majalla"/>
          <w:sz w:val="27"/>
          <w:rtl/>
        </w:rPr>
      </w:pPr>
      <w:r w:rsidRPr="006571AC">
        <w:rPr>
          <w:rFonts w:ascii="Sakkal Majalla" w:hAnsi="Sakkal Majalla" w:hint="cs"/>
          <w:sz w:val="27"/>
          <w:rtl/>
        </w:rPr>
        <w:t>ا</w:t>
      </w:r>
      <w:r w:rsidRPr="006571AC">
        <w:rPr>
          <w:rFonts w:ascii="Sakkal Majalla" w:hAnsi="Sakkal Majalla"/>
          <w:sz w:val="27"/>
          <w:rtl/>
        </w:rPr>
        <w:t>ختلف</w:t>
      </w:r>
      <w:r w:rsidR="003E303F" w:rsidRPr="006571AC">
        <w:rPr>
          <w:rFonts w:ascii="Sakkal Majalla" w:hAnsi="Sakkal Majalla" w:hint="cs"/>
          <w:sz w:val="27"/>
          <w:rtl/>
        </w:rPr>
        <w:t>َ</w:t>
      </w:r>
      <w:r w:rsidRPr="006571AC">
        <w:rPr>
          <w:rFonts w:ascii="Sakkal Majalla" w:hAnsi="Sakkal Majalla"/>
          <w:sz w:val="27"/>
          <w:rtl/>
        </w:rPr>
        <w:t>ت</w:t>
      </w:r>
      <w:r w:rsidR="003E303F" w:rsidRPr="006571AC">
        <w:rPr>
          <w:rFonts w:ascii="Sakkal Majalla" w:hAnsi="Sakkal Majalla" w:hint="cs"/>
          <w:sz w:val="27"/>
          <w:rtl/>
        </w:rPr>
        <w:t>ْ</w:t>
      </w:r>
      <w:r w:rsidRPr="006571AC">
        <w:rPr>
          <w:rFonts w:ascii="Sakkal Majalla" w:hAnsi="Sakkal Majalla"/>
          <w:sz w:val="27"/>
          <w:rtl/>
        </w:rPr>
        <w:t xml:space="preserve"> كلمة ال</w:t>
      </w:r>
      <w:r w:rsidRPr="006571AC">
        <w:rPr>
          <w:rFonts w:ascii="Sakkal Majalla" w:hAnsi="Sakkal Majalla" w:hint="cs"/>
          <w:sz w:val="27"/>
          <w:rtl/>
        </w:rPr>
        <w:t>عام</w:t>
      </w:r>
      <w:r w:rsidR="003E303F" w:rsidRPr="006571AC">
        <w:rPr>
          <w:rFonts w:ascii="Sakkal Majalla" w:hAnsi="Sakkal Majalla" w:hint="cs"/>
          <w:sz w:val="27"/>
          <w:rtl/>
        </w:rPr>
        <w:t>ّ</w:t>
      </w:r>
      <w:r w:rsidRPr="006571AC">
        <w:rPr>
          <w:rFonts w:ascii="Sakkal Majalla" w:hAnsi="Sakkal Majalla" w:hint="cs"/>
          <w:sz w:val="27"/>
          <w:rtl/>
        </w:rPr>
        <w:t>ة</w:t>
      </w:r>
      <w:r w:rsidRPr="006571AC">
        <w:rPr>
          <w:rFonts w:ascii="Sakkal Majalla" w:hAnsi="Sakkal Majalla"/>
          <w:sz w:val="27"/>
          <w:rtl/>
        </w:rPr>
        <w:t xml:space="preserve"> ف</w:t>
      </w:r>
      <w:r w:rsidRPr="006571AC">
        <w:rPr>
          <w:rFonts w:ascii="Sakkal Majalla" w:hAnsi="Sakkal Majalla" w:hint="cs"/>
          <w:sz w:val="27"/>
          <w:rtl/>
        </w:rPr>
        <w:t>ي</w:t>
      </w:r>
      <w:r w:rsidRPr="006571AC">
        <w:rPr>
          <w:rFonts w:ascii="Sakkal Majalla" w:hAnsi="Sakkal Majalla"/>
          <w:sz w:val="27"/>
          <w:rtl/>
        </w:rPr>
        <w:t xml:space="preserve"> تفس</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w:t>
      </w:r>
      <w:r w:rsidRPr="006571AC">
        <w:rPr>
          <w:rFonts w:ascii="Sakkal Majalla" w:hAnsi="Sakkal Majalla" w:hint="cs"/>
          <w:sz w:val="27"/>
          <w:rtl/>
        </w:rPr>
        <w:t>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وب</w:t>
      </w:r>
      <w:r w:rsidRPr="006571AC">
        <w:rPr>
          <w:rFonts w:ascii="Times New Roman" w:hAnsi="Times New Roman" w:hint="cs"/>
          <w:sz w:val="27"/>
          <w:rtl/>
        </w:rPr>
        <w:t>ي</w:t>
      </w:r>
      <w:r w:rsidRPr="006571AC">
        <w:rPr>
          <w:rFonts w:ascii="Sakkal Majalla" w:hAnsi="Sakkal Majalla" w:hint="cs"/>
          <w:sz w:val="27"/>
          <w:rtl/>
        </w:rPr>
        <w:t>ان</w:t>
      </w:r>
      <w:r w:rsidRPr="006571AC">
        <w:rPr>
          <w:rFonts w:ascii="Sakkal Majalla" w:hAnsi="Sakkal Majalla"/>
          <w:sz w:val="27"/>
          <w:rtl/>
        </w:rPr>
        <w:t xml:space="preserve"> </w:t>
      </w:r>
      <w:r w:rsidRPr="006571AC">
        <w:rPr>
          <w:rFonts w:ascii="Sakkal Majalla" w:hAnsi="Sakkal Majalla" w:hint="cs"/>
          <w:sz w:val="27"/>
          <w:rtl/>
        </w:rPr>
        <w:t>المعن</w:t>
      </w:r>
      <w:r w:rsidR="00EC21E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المقصود</w:t>
      </w:r>
      <w:r w:rsidRPr="006571AC">
        <w:rPr>
          <w:rFonts w:ascii="Sakkal Majalla" w:hAnsi="Sakkal Majalla"/>
          <w:sz w:val="27"/>
          <w:rtl/>
        </w:rPr>
        <w:t xml:space="preserve"> </w:t>
      </w:r>
      <w:r w:rsidRPr="006571AC">
        <w:rPr>
          <w:rFonts w:ascii="Sakkal Majalla" w:hAnsi="Sakkal Majalla" w:hint="cs"/>
          <w:sz w:val="27"/>
          <w:rtl/>
        </w:rPr>
        <w:t>منها</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فذهب</w:t>
      </w:r>
      <w:r w:rsidRPr="006571AC">
        <w:rPr>
          <w:rFonts w:ascii="Sakkal Majalla" w:hAnsi="Sakkal Majalla"/>
          <w:sz w:val="27"/>
          <w:rtl/>
        </w:rPr>
        <w:t xml:space="preserve"> </w:t>
      </w:r>
      <w:r w:rsidRPr="006571AC">
        <w:rPr>
          <w:rFonts w:ascii="Sakkal Majalla" w:hAnsi="Sakkal Majalla" w:hint="cs"/>
          <w:sz w:val="27"/>
          <w:rtl/>
        </w:rPr>
        <w:t>جمهورهم</w:t>
      </w:r>
      <w:r w:rsidRPr="006571AC">
        <w:rPr>
          <w:rFonts w:ascii="Sakkal Majalla" w:hAnsi="Sakkal Majalla"/>
          <w:sz w:val="27"/>
          <w:rtl/>
        </w:rPr>
        <w:t xml:space="preserve"> إلى </w:t>
      </w:r>
      <w:r w:rsidRPr="006571AC">
        <w:rPr>
          <w:rFonts w:ascii="Sakkal Majalla" w:hAnsi="Sakkal Majalla" w:hint="cs"/>
          <w:sz w:val="27"/>
          <w:rtl/>
        </w:rPr>
        <w:t>أ</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لم</w:t>
      </w:r>
      <w:r w:rsidRPr="006571AC">
        <w:rPr>
          <w:rFonts w:ascii="Sakkal Majalla" w:hAnsi="Sakkal Majalla"/>
          <w:sz w:val="27"/>
          <w:rtl/>
        </w:rPr>
        <w:t xml:space="preserve"> </w:t>
      </w:r>
      <w:r w:rsidRPr="006571AC">
        <w:rPr>
          <w:rFonts w:ascii="Sakkal Majalla" w:hAnsi="Sakkal Majalla" w:hint="cs"/>
          <w:sz w:val="27"/>
          <w:rtl/>
        </w:rPr>
        <w:t>تهدف</w:t>
      </w:r>
      <w:r w:rsidRPr="006571AC">
        <w:rPr>
          <w:rFonts w:ascii="Sakkal Majalla" w:hAnsi="Sakkal Majalla"/>
          <w:sz w:val="27"/>
          <w:rtl/>
        </w:rPr>
        <w:t xml:space="preserve"> </w:t>
      </w:r>
      <w:r w:rsidRPr="006571AC">
        <w:rPr>
          <w:rFonts w:ascii="Sakkal Majalla" w:hAnsi="Sakkal Majalla" w:hint="cs"/>
          <w:sz w:val="27"/>
          <w:rtl/>
        </w:rPr>
        <w:t>موضوعاً</w:t>
      </w:r>
      <w:r w:rsidRPr="006571AC">
        <w:rPr>
          <w:rFonts w:ascii="Sakkal Majalla" w:hAnsi="Sakkal Majalla"/>
          <w:sz w:val="27"/>
          <w:rtl/>
        </w:rPr>
        <w:t xml:space="preserve"> </w:t>
      </w:r>
      <w:r w:rsidRPr="006571AC">
        <w:rPr>
          <w:rFonts w:ascii="Sakkal Majalla" w:hAnsi="Sakkal Majalla" w:hint="cs"/>
          <w:sz w:val="27"/>
          <w:rtl/>
        </w:rPr>
        <w:t>محد</w:t>
      </w:r>
      <w:r w:rsidR="00EC21E9" w:rsidRPr="006571AC">
        <w:rPr>
          <w:rFonts w:ascii="Sakkal Majalla" w:hAnsi="Sakkal Majalla" w:hint="cs"/>
          <w:sz w:val="27"/>
          <w:rtl/>
        </w:rPr>
        <w:t>ّ</w:t>
      </w:r>
      <w:r w:rsidRPr="006571AC">
        <w:rPr>
          <w:rFonts w:ascii="Sakkal Majalla" w:hAnsi="Sakkal Majalla" w:hint="cs"/>
          <w:sz w:val="27"/>
          <w:rtl/>
        </w:rPr>
        <w:t>داً</w:t>
      </w:r>
      <w:r w:rsidRPr="006571AC">
        <w:rPr>
          <w:rFonts w:ascii="Sakkal Majalla" w:hAnsi="Sakkal Majalla"/>
          <w:sz w:val="27"/>
          <w:rtl/>
        </w:rPr>
        <w:t xml:space="preserve"> ومع</w:t>
      </w:r>
      <w:r w:rsidRPr="006571AC">
        <w:rPr>
          <w:rFonts w:ascii="Times New Roman" w:hAnsi="Times New Roman" w:hint="cs"/>
          <w:sz w:val="27"/>
          <w:rtl/>
        </w:rPr>
        <w:t>ي</w:t>
      </w:r>
      <w:r w:rsidR="00EC21E9" w:rsidRPr="006571AC">
        <w:rPr>
          <w:rFonts w:ascii="Times New Roman" w:hAnsi="Times New Roman" w:hint="cs"/>
          <w:sz w:val="27"/>
          <w:rtl/>
        </w:rPr>
        <w:t>ّ</w:t>
      </w:r>
      <w:r w:rsidRPr="006571AC">
        <w:rPr>
          <w:rFonts w:ascii="Sakkal Majalla" w:hAnsi="Sakkal Majalla" w:hint="cs"/>
          <w:sz w:val="27"/>
          <w:rtl/>
        </w:rPr>
        <w:t>ناً</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بل</w:t>
      </w:r>
      <w:r w:rsidRPr="006571AC">
        <w:rPr>
          <w:rFonts w:ascii="Sakkal Majalla" w:hAnsi="Sakkal Majalla"/>
          <w:sz w:val="27"/>
          <w:rtl/>
        </w:rPr>
        <w:t xml:space="preserve"> </w:t>
      </w:r>
      <w:r w:rsidRPr="006571AC">
        <w:rPr>
          <w:rFonts w:ascii="Sakkal Majalla" w:hAnsi="Sakkal Majalla" w:hint="cs"/>
          <w:sz w:val="27"/>
          <w:rtl/>
        </w:rPr>
        <w:t>أمر</w:t>
      </w:r>
      <w:r w:rsidR="00EC21E9" w:rsidRPr="006571AC">
        <w:rPr>
          <w:rFonts w:ascii="Sakkal Majalla" w:hAnsi="Sakkal Majalla" w:hint="cs"/>
          <w:sz w:val="27"/>
          <w:rtl/>
        </w:rPr>
        <w:t>َ</w:t>
      </w:r>
      <w:r w:rsidRPr="006571AC">
        <w:rPr>
          <w:rFonts w:ascii="Sakkal Majalla" w:hAnsi="Sakkal Majalla" w:hint="cs"/>
          <w:sz w:val="27"/>
          <w:rtl/>
        </w:rPr>
        <w:t>ت</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النبي</w:t>
      </w:r>
      <w:r w:rsidR="00EC21E9"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قوم</w:t>
      </w:r>
      <w:r w:rsidRPr="006571AC">
        <w:rPr>
          <w:rFonts w:ascii="Sakkal Majalla" w:hAnsi="Sakkal Majalla"/>
          <w:sz w:val="27"/>
          <w:rtl/>
        </w:rPr>
        <w:t xml:space="preserve"> </w:t>
      </w:r>
      <w:r w:rsidRPr="006571AC">
        <w:rPr>
          <w:rFonts w:ascii="Sakkal Majalla" w:hAnsi="Sakkal Majalla" w:hint="cs"/>
          <w:sz w:val="27"/>
          <w:rtl/>
        </w:rPr>
        <w:t>بتبل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كل</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أ</w:t>
      </w:r>
      <w:r w:rsidR="00EC21E9" w:rsidRPr="006571AC">
        <w:rPr>
          <w:rFonts w:ascii="Sakkal Majalla" w:hAnsi="Sakkal Majalla" w:hint="cs"/>
          <w:sz w:val="27"/>
          <w:rtl/>
        </w:rPr>
        <w:t>ُ</w:t>
      </w:r>
      <w:r w:rsidRPr="006571AC">
        <w:rPr>
          <w:rFonts w:ascii="Sakkal Majalla" w:hAnsi="Sakkal Majalla"/>
          <w:sz w:val="27"/>
          <w:rtl/>
        </w:rPr>
        <w:t xml:space="preserve">نزل </w:t>
      </w:r>
      <w:r w:rsidRPr="006571AC">
        <w:rPr>
          <w:rFonts w:ascii="Sakkal Majalla" w:hAnsi="Sakkal Majalla" w:hint="cs"/>
          <w:sz w:val="27"/>
          <w:rtl/>
        </w:rPr>
        <w:t>إ</w:t>
      </w:r>
      <w:r w:rsidRPr="006571AC">
        <w:rPr>
          <w:rFonts w:ascii="Sakkal Majalla" w:hAnsi="Sakkal Majalla"/>
          <w:sz w:val="27"/>
          <w:rtl/>
        </w:rPr>
        <w:t>ل</w:t>
      </w:r>
      <w:r w:rsidRPr="006571AC">
        <w:rPr>
          <w:rFonts w:ascii="Times New Roman" w:hAnsi="Times New Roman" w:hint="cs"/>
          <w:sz w:val="27"/>
          <w:rtl/>
        </w:rPr>
        <w:t>ي</w:t>
      </w:r>
      <w:r w:rsidRPr="006571AC">
        <w:rPr>
          <w:rFonts w:ascii="Sakkal Majalla" w:hAnsi="Sakkal Majalla" w:hint="cs"/>
          <w:sz w:val="27"/>
          <w:rtl/>
        </w:rPr>
        <w:t>ه</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ربّ</w:t>
      </w:r>
      <w:r w:rsidR="00EC21E9" w:rsidRPr="006571AC">
        <w:rPr>
          <w:rFonts w:ascii="Sakkal Majalla" w:hAnsi="Sakkal Majalla" w:hint="cs"/>
          <w:sz w:val="27"/>
          <w:rtl/>
        </w:rPr>
        <w:t>ِ</w:t>
      </w:r>
      <w:r w:rsidRPr="006571AC">
        <w:rPr>
          <w:rFonts w:ascii="Sakkal Majalla" w:hAnsi="Sakkal Majalla"/>
          <w:sz w:val="27"/>
          <w:rtl/>
        </w:rPr>
        <w:t xml:space="preserve">ه ولا </w:t>
      </w:r>
      <w:r w:rsidRPr="006571AC">
        <w:rPr>
          <w:rFonts w:ascii="Times New Roman" w:hAnsi="Times New Roman" w:hint="cs"/>
          <w:sz w:val="27"/>
          <w:rtl/>
        </w:rPr>
        <w:t>ي</w:t>
      </w:r>
      <w:r w:rsidRPr="006571AC">
        <w:rPr>
          <w:rFonts w:ascii="Sakkal Majalla" w:hAnsi="Sakkal Majalla" w:hint="cs"/>
          <w:sz w:val="27"/>
          <w:rtl/>
        </w:rPr>
        <w:t>خش</w:t>
      </w:r>
      <w:r w:rsidR="00EC21E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Times New Roman" w:hAnsi="Times New Roman" w:hint="cs"/>
          <w:sz w:val="27"/>
          <w:rtl/>
        </w:rPr>
        <w:t>ي</w:t>
      </w:r>
      <w:r w:rsidR="00EC21E9" w:rsidRPr="006571AC">
        <w:rPr>
          <w:rFonts w:ascii="Times New Roman" w:hAnsi="Times New Roman" w:hint="cs"/>
          <w:sz w:val="27"/>
          <w:rtl/>
        </w:rPr>
        <w:t>َّ</w:t>
      </w:r>
      <w:r w:rsidRPr="006571AC">
        <w:rPr>
          <w:rFonts w:ascii="Sakkal Majalla" w:hAnsi="Sakkal Majalla"/>
          <w:sz w:val="27"/>
          <w:rtl/>
        </w:rPr>
        <w:t xml:space="preserve"> </w:t>
      </w:r>
      <w:r w:rsidRPr="006571AC">
        <w:rPr>
          <w:rFonts w:ascii="Sakkal Majalla" w:hAnsi="Sakkal Majalla" w:hint="cs"/>
          <w:sz w:val="27"/>
          <w:rtl/>
        </w:rPr>
        <w:t>أحدٍ</w:t>
      </w:r>
      <w:r w:rsidRPr="006571AC">
        <w:rPr>
          <w:rFonts w:ascii="Sakkal Majalla" w:hAnsi="Sakkal Majalla"/>
          <w:sz w:val="27"/>
          <w:rtl/>
        </w:rPr>
        <w:t xml:space="preserve"> ف</w:t>
      </w:r>
      <w:r w:rsidRPr="006571AC">
        <w:rPr>
          <w:rFonts w:ascii="Sakkal Majalla" w:hAnsi="Sakkal Majalla" w:hint="cs"/>
          <w:sz w:val="27"/>
          <w:rtl/>
        </w:rPr>
        <w:t>ي</w:t>
      </w:r>
      <w:r w:rsidRPr="006571AC">
        <w:rPr>
          <w:rFonts w:ascii="Sakkal Majalla" w:hAnsi="Sakkal Majalla"/>
          <w:sz w:val="27"/>
          <w:rtl/>
        </w:rPr>
        <w:t xml:space="preserve"> ذل</w:t>
      </w:r>
      <w:r w:rsidRPr="006571AC">
        <w:rPr>
          <w:rFonts w:ascii="Sakkal Majalla" w:hAnsi="Sakkal Majalla" w:hint="cs"/>
          <w:sz w:val="27"/>
          <w:rtl/>
        </w:rPr>
        <w:t>ك</w:t>
      </w:r>
      <w:r w:rsidR="00EC21E9" w:rsidRPr="006571AC">
        <w:rPr>
          <w:rFonts w:ascii="Sakkal Majalla" w:hAnsi="Sakkal Majalla" w:hint="cs"/>
          <w:sz w:val="27"/>
          <w:rtl/>
        </w:rPr>
        <w:t>؛</w:t>
      </w:r>
      <w:r w:rsidRPr="006571AC">
        <w:rPr>
          <w:rFonts w:ascii="Sakkal Majalla" w:hAnsi="Sakkal Majalla"/>
          <w:sz w:val="27"/>
          <w:rtl/>
        </w:rPr>
        <w:t xml:space="preserve"> ف</w:t>
      </w:r>
      <w:r w:rsidRPr="006571AC">
        <w:rPr>
          <w:rFonts w:ascii="Sakkal Majalla" w:hAnsi="Sakkal Majalla" w:hint="cs"/>
          <w:sz w:val="27"/>
          <w:rtl/>
        </w:rPr>
        <w:t>إ</w:t>
      </w:r>
      <w:r w:rsidRPr="006571AC">
        <w:rPr>
          <w:rFonts w:ascii="Sakkal Majalla" w:hAnsi="Sakkal Majalla"/>
          <w:sz w:val="27"/>
          <w:rtl/>
        </w:rPr>
        <w:t xml:space="preserve">نّ الله تعالى </w:t>
      </w:r>
      <w:r w:rsidRPr="006571AC">
        <w:rPr>
          <w:rFonts w:ascii="Sakkal Majalla" w:hAnsi="Sakkal Majalla" w:hint="cs"/>
          <w:sz w:val="27"/>
          <w:rtl/>
        </w:rPr>
        <w:t>عاصمه</w:t>
      </w:r>
      <w:r w:rsidRPr="006571AC">
        <w:rPr>
          <w:rFonts w:ascii="Sakkal Majalla" w:hAnsi="Sakkal Majalla"/>
          <w:sz w:val="27"/>
          <w:rtl/>
        </w:rPr>
        <w:t xml:space="preserve"> وحافظه</w:t>
      </w:r>
      <w:r w:rsidRPr="006571AC">
        <w:rPr>
          <w:rFonts w:ascii="Sakkal Majalla" w:hAnsi="Sakkal Majalla"/>
          <w:sz w:val="27"/>
          <w:vertAlign w:val="superscript"/>
          <w:rtl/>
        </w:rPr>
        <w:t>(</w:t>
      </w:r>
      <w:r w:rsidRPr="006571AC">
        <w:rPr>
          <w:rStyle w:val="ac"/>
          <w:rFonts w:ascii="Sakkal Majalla" w:hAnsi="Sakkal Majalla"/>
          <w:sz w:val="27"/>
          <w:rtl/>
        </w:rPr>
        <w:endnoteReference w:id="369"/>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3E303F">
      <w:pPr>
        <w:rPr>
          <w:rFonts w:ascii="Sakkal Majalla" w:hAnsi="Sakkal Majalla"/>
          <w:sz w:val="27"/>
          <w:rtl/>
        </w:rPr>
      </w:pPr>
      <w:r w:rsidRPr="006571AC">
        <w:rPr>
          <w:rFonts w:ascii="Sakkal Majalla" w:hAnsi="Sakkal Majalla"/>
          <w:sz w:val="27"/>
          <w:rtl/>
        </w:rPr>
        <w:t>و</w:t>
      </w:r>
      <w:r w:rsidRPr="006571AC">
        <w:rPr>
          <w:rFonts w:ascii="Times New Roman" w:hAnsi="Times New Roman" w:hint="cs"/>
          <w:sz w:val="27"/>
          <w:rtl/>
        </w:rPr>
        <w:t>ي</w:t>
      </w:r>
      <w:r w:rsidRPr="006571AC">
        <w:rPr>
          <w:rFonts w:ascii="Sakkal Majalla" w:hAnsi="Sakkal Majalla" w:hint="cs"/>
          <w:sz w:val="27"/>
          <w:rtl/>
        </w:rPr>
        <w:t>ر</w:t>
      </w:r>
      <w:r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بعض</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آخر</w:t>
      </w:r>
      <w:r w:rsidRPr="006571AC">
        <w:rPr>
          <w:rFonts w:ascii="Sakkal Majalla" w:hAnsi="Sakkal Majalla"/>
          <w:sz w:val="27"/>
          <w:rtl/>
        </w:rPr>
        <w:t xml:space="preserve"> </w:t>
      </w:r>
      <w:r w:rsidRPr="006571AC">
        <w:rPr>
          <w:rFonts w:ascii="Sakkal Majalla" w:hAnsi="Sakkal Majalla" w:hint="cs"/>
          <w:sz w:val="27"/>
          <w:rtl/>
        </w:rPr>
        <w:t>منهم</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تهدف</w:t>
      </w:r>
      <w:r w:rsidRPr="006571AC">
        <w:rPr>
          <w:rFonts w:ascii="Sakkal Majalla" w:hAnsi="Sakkal Majalla"/>
          <w:sz w:val="27"/>
          <w:rtl/>
        </w:rPr>
        <w:t xml:space="preserve"> </w:t>
      </w:r>
      <w:r w:rsidRPr="006571AC">
        <w:rPr>
          <w:rFonts w:ascii="Sakkal Majalla" w:hAnsi="Sakkal Majalla" w:hint="cs"/>
          <w:sz w:val="27"/>
          <w:rtl/>
        </w:rPr>
        <w:t>موضوعاً</w:t>
      </w:r>
      <w:r w:rsidRPr="006571AC">
        <w:rPr>
          <w:rFonts w:ascii="Sakkal Majalla" w:hAnsi="Sakkal Majalla"/>
          <w:sz w:val="27"/>
          <w:rtl/>
        </w:rPr>
        <w:t xml:space="preserve"> </w:t>
      </w:r>
      <w:r w:rsidRPr="006571AC">
        <w:rPr>
          <w:rFonts w:ascii="Sakkal Majalla" w:hAnsi="Sakkal Majalla" w:hint="cs"/>
          <w:sz w:val="27"/>
          <w:rtl/>
        </w:rPr>
        <w:t>محد</w:t>
      </w:r>
      <w:r w:rsidR="00EC21E9" w:rsidRPr="006571AC">
        <w:rPr>
          <w:rFonts w:ascii="Sakkal Majalla" w:hAnsi="Sakkal Majalla" w:hint="cs"/>
          <w:sz w:val="27"/>
          <w:rtl/>
        </w:rPr>
        <w:t>ّ</w:t>
      </w:r>
      <w:r w:rsidRPr="006571AC">
        <w:rPr>
          <w:rFonts w:ascii="Sakkal Majalla" w:hAnsi="Sakkal Majalla" w:hint="cs"/>
          <w:sz w:val="27"/>
          <w:rtl/>
        </w:rPr>
        <w:t>داً</w:t>
      </w:r>
      <w:r w:rsidRPr="006571AC">
        <w:rPr>
          <w:rFonts w:ascii="Sakkal Majalla" w:hAnsi="Sakkal Majalla"/>
          <w:sz w:val="27"/>
          <w:rtl/>
        </w:rPr>
        <w:t xml:space="preserve"> ومع</w:t>
      </w:r>
      <w:r w:rsidRPr="006571AC">
        <w:rPr>
          <w:rFonts w:ascii="Times New Roman" w:hAnsi="Times New Roman" w:hint="cs"/>
          <w:sz w:val="27"/>
          <w:rtl/>
        </w:rPr>
        <w:t>ي</w:t>
      </w:r>
      <w:r w:rsidR="00EC21E9" w:rsidRPr="006571AC">
        <w:rPr>
          <w:rFonts w:ascii="Times New Roman" w:hAnsi="Times New Roman" w:hint="cs"/>
          <w:sz w:val="27"/>
          <w:rtl/>
        </w:rPr>
        <w:t>ّ</w:t>
      </w:r>
      <w:r w:rsidRPr="006571AC">
        <w:rPr>
          <w:rFonts w:ascii="Sakkal Majalla" w:hAnsi="Sakkal Majalla" w:hint="cs"/>
          <w:sz w:val="27"/>
          <w:rtl/>
        </w:rPr>
        <w:t xml:space="preserve">ناً، </w:t>
      </w:r>
      <w:r w:rsidRPr="006571AC">
        <w:rPr>
          <w:rFonts w:ascii="Sakkal Majalla" w:hAnsi="Sakkal Majalla"/>
          <w:sz w:val="27"/>
          <w:rtl/>
        </w:rPr>
        <w:t>ولكن</w:t>
      </w:r>
      <w:r w:rsidR="00EC21E9" w:rsidRPr="006571AC">
        <w:rPr>
          <w:rFonts w:ascii="Sakkal Majalla" w:hAnsi="Sakkal Majalla" w:hint="cs"/>
          <w:sz w:val="27"/>
          <w:rtl/>
        </w:rPr>
        <w:t>ْ</w:t>
      </w:r>
      <w:r w:rsidRPr="006571AC">
        <w:rPr>
          <w:rFonts w:ascii="Sakkal Majalla" w:hAnsi="Sakkal Majalla"/>
          <w:sz w:val="27"/>
          <w:rtl/>
        </w:rPr>
        <w:t xml:space="preserve"> </w:t>
      </w:r>
      <w:r w:rsidR="00EC21E9" w:rsidRPr="006571AC">
        <w:rPr>
          <w:rFonts w:ascii="Sakkal Majalla" w:hAnsi="Sakkal Majalla" w:hint="cs"/>
          <w:sz w:val="27"/>
          <w:rtl/>
        </w:rPr>
        <w:t>ا</w:t>
      </w:r>
      <w:r w:rsidRPr="006571AC">
        <w:rPr>
          <w:rFonts w:ascii="Sakkal Majalla" w:hAnsi="Sakkal Majalla"/>
          <w:sz w:val="27"/>
          <w:rtl/>
        </w:rPr>
        <w:t>ختلفوا ف</w:t>
      </w:r>
      <w:r w:rsidRPr="006571AC">
        <w:rPr>
          <w:rFonts w:ascii="Sakkal Majalla" w:hAnsi="Sakkal Majalla" w:hint="cs"/>
          <w:sz w:val="27"/>
          <w:rtl/>
        </w:rPr>
        <w:t>ي</w:t>
      </w:r>
      <w:r w:rsidRPr="006571AC">
        <w:rPr>
          <w:rFonts w:ascii="Sakkal Majalla" w:hAnsi="Sakkal Majalla"/>
          <w:sz w:val="27"/>
          <w:rtl/>
        </w:rPr>
        <w:t xml:space="preserve"> ذل</w:t>
      </w:r>
      <w:r w:rsidRPr="006571AC">
        <w:rPr>
          <w:rFonts w:ascii="Sakkal Majalla" w:hAnsi="Sakkal Majalla" w:hint="cs"/>
          <w:sz w:val="27"/>
          <w:rtl/>
        </w:rPr>
        <w:t>ك</w:t>
      </w:r>
      <w:r w:rsidRPr="006571AC">
        <w:rPr>
          <w:rFonts w:ascii="Sakkal Majalla" w:hAnsi="Sakkal Majalla"/>
          <w:sz w:val="27"/>
          <w:rtl/>
        </w:rPr>
        <w:t xml:space="preserve"> المعن</w:t>
      </w:r>
      <w:r w:rsidR="00EC21E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المحدّ</w:t>
      </w:r>
      <w:r w:rsidR="00EC21E9" w:rsidRPr="006571AC">
        <w:rPr>
          <w:rFonts w:ascii="Sakkal Majalla" w:hAnsi="Sakkal Majalla" w:hint="cs"/>
          <w:sz w:val="27"/>
          <w:rtl/>
        </w:rPr>
        <w:t>َ</w:t>
      </w:r>
      <w:r w:rsidRPr="006571AC">
        <w:rPr>
          <w:rFonts w:ascii="Sakkal Majalla" w:hAnsi="Sakkal Majalla" w:hint="cs"/>
          <w:sz w:val="27"/>
          <w:rtl/>
        </w:rPr>
        <w:t xml:space="preserve">د، </w:t>
      </w:r>
      <w:r w:rsidRPr="006571AC">
        <w:rPr>
          <w:rFonts w:ascii="Sakkal Majalla" w:hAnsi="Sakkal Majalla"/>
          <w:sz w:val="27"/>
          <w:rtl/>
        </w:rPr>
        <w:t xml:space="preserve">وما أراده الله تعالى </w:t>
      </w:r>
      <w:r w:rsidRPr="006571AC">
        <w:rPr>
          <w:rFonts w:ascii="Sakkal Majalla" w:hAnsi="Sakkal Majalla" w:hint="cs"/>
          <w:sz w:val="27"/>
          <w:rtl/>
        </w:rPr>
        <w:t>بقوله</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sz w:val="24"/>
          <w:szCs w:val="24"/>
          <w:rtl/>
        </w:rPr>
        <w:t>﴿</w:t>
      </w:r>
      <w:r w:rsidRPr="006571AC">
        <w:rPr>
          <w:rFonts w:ascii="Sakkal Majalla" w:hAnsi="Sakkal Majalla" w:hint="cs"/>
          <w:b/>
          <w:bCs/>
          <w:sz w:val="27"/>
          <w:rtl/>
        </w:rPr>
        <w:t>م</w:t>
      </w:r>
      <w:r w:rsidR="00EC21E9" w:rsidRPr="006571AC">
        <w:rPr>
          <w:rFonts w:ascii="Sakkal Majalla" w:hAnsi="Sakkal Majalla" w:hint="cs"/>
          <w:b/>
          <w:bCs/>
          <w:sz w:val="27"/>
          <w:rtl/>
        </w:rPr>
        <w:t>َ</w:t>
      </w:r>
      <w:r w:rsidRPr="006571AC">
        <w:rPr>
          <w:rFonts w:ascii="Sakkal Majalla" w:hAnsi="Sakkal Majalla" w:hint="cs"/>
          <w:b/>
          <w:bCs/>
          <w:sz w:val="27"/>
          <w:rtl/>
        </w:rPr>
        <w:t>ا</w:t>
      </w:r>
      <w:r w:rsidRPr="006571AC">
        <w:rPr>
          <w:rFonts w:ascii="Sakkal Majalla" w:hAnsi="Sakkal Majalla"/>
          <w:b/>
          <w:bCs/>
          <w:sz w:val="27"/>
          <w:rtl/>
        </w:rPr>
        <w:t xml:space="preserve"> </w:t>
      </w:r>
      <w:r w:rsidRPr="006571AC">
        <w:rPr>
          <w:rFonts w:ascii="Sakkal Majalla" w:hAnsi="Sakkal Majalla" w:hint="cs"/>
          <w:b/>
          <w:bCs/>
          <w:sz w:val="27"/>
          <w:rtl/>
        </w:rPr>
        <w:t>أ</w:t>
      </w:r>
      <w:r w:rsidR="00EC21E9" w:rsidRPr="006571AC">
        <w:rPr>
          <w:rFonts w:ascii="Sakkal Majalla" w:hAnsi="Sakkal Majalla" w:hint="cs"/>
          <w:b/>
          <w:bCs/>
          <w:sz w:val="27"/>
          <w:rtl/>
        </w:rPr>
        <w:t>ُ</w:t>
      </w:r>
      <w:r w:rsidRPr="006571AC">
        <w:rPr>
          <w:rFonts w:ascii="Sakkal Majalla" w:hAnsi="Sakkal Majalla"/>
          <w:b/>
          <w:bCs/>
          <w:sz w:val="27"/>
          <w:rtl/>
        </w:rPr>
        <w:t>ن</w:t>
      </w:r>
      <w:r w:rsidR="00EC21E9" w:rsidRPr="006571AC">
        <w:rPr>
          <w:rFonts w:ascii="Sakkal Majalla" w:hAnsi="Sakkal Majalla" w:hint="cs"/>
          <w:b/>
          <w:bCs/>
          <w:sz w:val="27"/>
          <w:rtl/>
        </w:rPr>
        <w:t>ْ</w:t>
      </w:r>
      <w:r w:rsidRPr="006571AC">
        <w:rPr>
          <w:rFonts w:ascii="Sakkal Majalla" w:hAnsi="Sakkal Majalla"/>
          <w:b/>
          <w:bCs/>
          <w:sz w:val="27"/>
          <w:rtl/>
        </w:rPr>
        <w:t>ز</w:t>
      </w:r>
      <w:r w:rsidR="00EC21E9" w:rsidRPr="006571AC">
        <w:rPr>
          <w:rFonts w:ascii="Sakkal Majalla" w:hAnsi="Sakkal Majalla" w:hint="cs"/>
          <w:b/>
          <w:bCs/>
          <w:sz w:val="27"/>
          <w:rtl/>
        </w:rPr>
        <w:t>ِ</w:t>
      </w:r>
      <w:r w:rsidRPr="006571AC">
        <w:rPr>
          <w:rFonts w:ascii="Sakkal Majalla" w:hAnsi="Sakkal Majalla"/>
          <w:b/>
          <w:bCs/>
          <w:sz w:val="27"/>
          <w:rtl/>
        </w:rPr>
        <w:t>ل</w:t>
      </w:r>
      <w:r w:rsidR="00EC21E9" w:rsidRPr="006571AC">
        <w:rPr>
          <w:rFonts w:ascii="Sakkal Majalla" w:hAnsi="Sakkal Majalla" w:hint="cs"/>
          <w:b/>
          <w:bCs/>
          <w:sz w:val="27"/>
          <w:rtl/>
        </w:rPr>
        <w:t>َ</w:t>
      </w:r>
      <w:r w:rsidRPr="006571AC">
        <w:rPr>
          <w:rFonts w:ascii="Sakkal Majalla" w:hAnsi="Sakkal Majalla"/>
          <w:b/>
          <w:bCs/>
          <w:sz w:val="27"/>
          <w:rtl/>
        </w:rPr>
        <w:t xml:space="preserve"> </w:t>
      </w:r>
      <w:r w:rsidR="00EC21E9" w:rsidRPr="006571AC">
        <w:rPr>
          <w:rFonts w:ascii="Sakkal Majalla" w:hAnsi="Sakkal Majalla" w:hint="cs"/>
          <w:b/>
          <w:bCs/>
          <w:sz w:val="27"/>
          <w:rtl/>
        </w:rPr>
        <w:t>إِ</w:t>
      </w:r>
      <w:r w:rsidRPr="006571AC">
        <w:rPr>
          <w:rFonts w:ascii="Sakkal Majalla" w:hAnsi="Sakkal Majalla"/>
          <w:b/>
          <w:bCs/>
          <w:sz w:val="27"/>
          <w:rtl/>
        </w:rPr>
        <w:t>ل</w:t>
      </w:r>
      <w:r w:rsidR="00EC21E9" w:rsidRPr="006571AC">
        <w:rPr>
          <w:rFonts w:ascii="Times New Roman" w:hAnsi="Times New Roman" w:hint="cs"/>
          <w:b/>
          <w:bCs/>
          <w:sz w:val="27"/>
          <w:rtl/>
        </w:rPr>
        <w:t>َ</w:t>
      </w:r>
      <w:r w:rsidRPr="006571AC">
        <w:rPr>
          <w:rFonts w:ascii="Times New Roman" w:hAnsi="Times New Roman" w:hint="cs"/>
          <w:b/>
          <w:bCs/>
          <w:sz w:val="27"/>
          <w:rtl/>
        </w:rPr>
        <w:t>ي</w:t>
      </w:r>
      <w:r w:rsidR="00EC21E9" w:rsidRPr="006571AC">
        <w:rPr>
          <w:rFonts w:ascii="Times New Roman" w:hAnsi="Times New Roman" w:hint="cs"/>
          <w:b/>
          <w:bCs/>
          <w:sz w:val="27"/>
          <w:rtl/>
        </w:rPr>
        <w:t>ْ</w:t>
      </w:r>
      <w:r w:rsidRPr="006571AC">
        <w:rPr>
          <w:rFonts w:ascii="Sakkal Majalla" w:hAnsi="Sakkal Majalla" w:hint="cs"/>
          <w:b/>
          <w:bCs/>
          <w:sz w:val="27"/>
          <w:rtl/>
        </w:rPr>
        <w:t>ك</w:t>
      </w:r>
      <w:r w:rsidR="00EC21E9" w:rsidRPr="006571AC">
        <w:rPr>
          <w:rFonts w:ascii="Sakkal Majalla" w:hAnsi="Sakkal Majalla" w:hint="cs"/>
          <w:b/>
          <w:bCs/>
          <w:sz w:val="27"/>
          <w:rtl/>
        </w:rPr>
        <w:t>َ</w:t>
      </w:r>
      <w:r w:rsidRPr="006571AC">
        <w:rPr>
          <w:rFonts w:ascii="Mosawi" w:hAnsi="Mosawi" w:cs="Mosawi"/>
          <w:sz w:val="24"/>
          <w:szCs w:val="24"/>
          <w:rtl/>
        </w:rPr>
        <w:t>﴾</w:t>
      </w:r>
      <w:r w:rsidRPr="006571AC">
        <w:rPr>
          <w:rFonts w:ascii="Sakkal Majalla" w:hAnsi="Sakkal Majalla" w:hint="cs"/>
          <w:sz w:val="27"/>
          <w:rtl/>
        </w:rPr>
        <w:t xml:space="preserve">، </w:t>
      </w:r>
      <w:r w:rsidRPr="006571AC">
        <w:rPr>
          <w:rFonts w:ascii="Sakkal Majalla" w:hAnsi="Sakkal Majalla"/>
          <w:sz w:val="27"/>
          <w:rtl/>
        </w:rPr>
        <w:t xml:space="preserve">وسنذكر </w:t>
      </w:r>
      <w:r w:rsidR="003E303F" w:rsidRPr="006571AC">
        <w:rPr>
          <w:rFonts w:ascii="Sakkal Majalla" w:hAnsi="Sakkal Majalla" w:hint="cs"/>
          <w:sz w:val="27"/>
          <w:rtl/>
        </w:rPr>
        <w:t>هاهنا</w:t>
      </w:r>
      <w:r w:rsidRPr="006571AC">
        <w:rPr>
          <w:rFonts w:ascii="Sakkal Majalla" w:hAnsi="Sakkal Majalla"/>
          <w:sz w:val="27"/>
          <w:rtl/>
        </w:rPr>
        <w:t xml:space="preserve"> ال</w:t>
      </w:r>
      <w:r w:rsidRPr="006571AC">
        <w:rPr>
          <w:rFonts w:ascii="Sakkal Majalla" w:hAnsi="Sakkal Majalla" w:hint="cs"/>
          <w:sz w:val="27"/>
          <w:rtl/>
        </w:rPr>
        <w:t>أ</w:t>
      </w:r>
      <w:r w:rsidRPr="006571AC">
        <w:rPr>
          <w:rFonts w:ascii="Sakkal Majalla" w:hAnsi="Sakkal Majalla"/>
          <w:sz w:val="27"/>
          <w:rtl/>
        </w:rPr>
        <w:t>قوال المتعد</w:t>
      </w:r>
      <w:r w:rsidR="00EC21E9" w:rsidRPr="006571AC">
        <w:rPr>
          <w:rFonts w:ascii="Sakkal Majalla" w:hAnsi="Sakkal Majalla" w:hint="cs"/>
          <w:sz w:val="27"/>
          <w:rtl/>
        </w:rPr>
        <w:t>ِّ</w:t>
      </w:r>
      <w:r w:rsidRPr="006571AC">
        <w:rPr>
          <w:rFonts w:ascii="Sakkal Majalla" w:hAnsi="Sakkal Majalla"/>
          <w:sz w:val="27"/>
          <w:rtl/>
        </w:rPr>
        <w:t>دة الت</w:t>
      </w:r>
      <w:r w:rsidRPr="006571AC">
        <w:rPr>
          <w:rFonts w:ascii="Sakkal Majalla" w:hAnsi="Sakkal Majalla" w:hint="cs"/>
          <w:sz w:val="27"/>
          <w:rtl/>
        </w:rPr>
        <w:t>ي</w:t>
      </w:r>
      <w:r w:rsidRPr="006571AC">
        <w:rPr>
          <w:rFonts w:ascii="Sakkal Majalla" w:hAnsi="Sakkal Majalla"/>
          <w:sz w:val="27"/>
          <w:rtl/>
        </w:rPr>
        <w:t xml:space="preserve"> ذكر</w:t>
      </w:r>
      <w:r w:rsidR="00EC21E9" w:rsidRPr="006571AC">
        <w:rPr>
          <w:rFonts w:ascii="Sakkal Majalla" w:hAnsi="Sakkal Majalla" w:hint="cs"/>
          <w:sz w:val="27"/>
          <w:rtl/>
        </w:rPr>
        <w:t>و</w:t>
      </w:r>
      <w:r w:rsidR="00EC21E9" w:rsidRPr="006571AC">
        <w:rPr>
          <w:rFonts w:ascii="Sakkal Majalla" w:hAnsi="Sakkal Majalla"/>
          <w:sz w:val="27"/>
          <w:rtl/>
        </w:rPr>
        <w:t>ها</w:t>
      </w:r>
      <w:r w:rsidR="00EC21E9" w:rsidRPr="006571AC">
        <w:rPr>
          <w:rFonts w:ascii="Sakkal Majalla" w:hAnsi="Sakkal Majalla" w:hint="cs"/>
          <w:sz w:val="27"/>
          <w:rtl/>
        </w:rPr>
        <w:t>،</w:t>
      </w:r>
      <w:r w:rsidRPr="006571AC">
        <w:rPr>
          <w:rFonts w:ascii="Sakkal Majalla" w:hAnsi="Sakkal Majalla"/>
          <w:sz w:val="27"/>
          <w:rtl/>
        </w:rPr>
        <w:t xml:space="preserve"> مع مناقشة كل</w:t>
      </w:r>
      <w:r w:rsidR="00EC21E9" w:rsidRPr="006571AC">
        <w:rPr>
          <w:rFonts w:ascii="Sakkal Majalla" w:hAnsi="Sakkal Majalla" w:hint="cs"/>
          <w:sz w:val="27"/>
          <w:rtl/>
        </w:rPr>
        <w:t>ٍّ</w:t>
      </w:r>
      <w:r w:rsidRPr="006571AC">
        <w:rPr>
          <w:rFonts w:ascii="Sakkal Majalla" w:hAnsi="Sakkal Majalla"/>
          <w:sz w:val="27"/>
          <w:rtl/>
        </w:rPr>
        <w:t xml:space="preserve"> منها</w:t>
      </w:r>
      <w:r w:rsidRPr="006571AC">
        <w:rPr>
          <w:rFonts w:ascii="Sakkal Majalla" w:hAnsi="Sakkal Majalla" w:hint="cs"/>
          <w:sz w:val="27"/>
          <w:rtl/>
        </w:rPr>
        <w:t xml:space="preserve">. </w:t>
      </w:r>
    </w:p>
    <w:p w:rsidR="005D05A4" w:rsidRPr="006571AC" w:rsidRDefault="005D05A4" w:rsidP="005D3BB1">
      <w:pPr>
        <w:spacing w:line="440" w:lineRule="exact"/>
        <w:rPr>
          <w:rFonts w:ascii="Sakkal Majalla" w:hAnsi="Sakkal Majalla"/>
          <w:sz w:val="27"/>
          <w:rtl/>
        </w:rPr>
      </w:pPr>
    </w:p>
    <w:p w:rsidR="005D05A4" w:rsidRPr="006571AC" w:rsidRDefault="00523DB3" w:rsidP="002C25C3">
      <w:pPr>
        <w:pStyle w:val="31"/>
        <w:rPr>
          <w:color w:val="auto"/>
          <w:rtl/>
        </w:rPr>
      </w:pPr>
      <w:bookmarkStart w:id="158" w:name="_Toc114164646"/>
      <w:r w:rsidRPr="006571AC">
        <w:rPr>
          <w:rFonts w:hint="cs"/>
          <w:color w:val="auto"/>
          <w:rtl/>
        </w:rPr>
        <w:t>أـ</w:t>
      </w:r>
      <w:r w:rsidR="005D05A4" w:rsidRPr="006571AC">
        <w:rPr>
          <w:color w:val="auto"/>
          <w:rtl/>
        </w:rPr>
        <w:t xml:space="preserve"> تبل</w:t>
      </w:r>
      <w:r w:rsidR="005D05A4" w:rsidRPr="006571AC">
        <w:rPr>
          <w:rFonts w:ascii="Times New Roman" w:hAnsi="Times New Roman" w:hint="cs"/>
          <w:color w:val="auto"/>
          <w:rtl/>
        </w:rPr>
        <w:t>ي</w:t>
      </w:r>
      <w:r w:rsidR="005D05A4" w:rsidRPr="006571AC">
        <w:rPr>
          <w:rFonts w:hint="cs"/>
          <w:color w:val="auto"/>
          <w:rtl/>
        </w:rPr>
        <w:t>غ</w:t>
      </w:r>
      <w:r w:rsidR="005D05A4" w:rsidRPr="006571AC">
        <w:rPr>
          <w:color w:val="auto"/>
          <w:rtl/>
        </w:rPr>
        <w:t xml:space="preserve"> </w:t>
      </w:r>
      <w:r w:rsidR="005D05A4" w:rsidRPr="006571AC">
        <w:rPr>
          <w:rFonts w:hint="cs"/>
          <w:color w:val="auto"/>
          <w:rtl/>
        </w:rPr>
        <w:t>كل</w:t>
      </w:r>
      <w:r w:rsidR="00EC21E9" w:rsidRPr="006571AC">
        <w:rPr>
          <w:rFonts w:hint="cs"/>
          <w:color w:val="auto"/>
          <w:rtl/>
        </w:rPr>
        <w:t>ّ</w:t>
      </w:r>
      <w:r w:rsidR="005D05A4" w:rsidRPr="006571AC">
        <w:rPr>
          <w:color w:val="auto"/>
          <w:rtl/>
        </w:rPr>
        <w:t xml:space="preserve"> </w:t>
      </w:r>
      <w:r w:rsidR="005D05A4" w:rsidRPr="006571AC">
        <w:rPr>
          <w:rFonts w:hint="cs"/>
          <w:color w:val="auto"/>
          <w:rtl/>
        </w:rPr>
        <w:t>الرسالة</w:t>
      </w:r>
      <w:r w:rsidR="005D05A4" w:rsidRPr="006571AC">
        <w:rPr>
          <w:color w:val="auto"/>
          <w:rtl/>
        </w:rPr>
        <w:t xml:space="preserve"> </w:t>
      </w:r>
      <w:r w:rsidR="005D05A4" w:rsidRPr="006571AC">
        <w:rPr>
          <w:rFonts w:hint="cs"/>
          <w:color w:val="auto"/>
          <w:rtl/>
        </w:rPr>
        <w:t>ال</w:t>
      </w:r>
      <w:r w:rsidR="00EC21E9" w:rsidRPr="006571AC">
        <w:rPr>
          <w:rFonts w:hint="cs"/>
          <w:color w:val="auto"/>
          <w:rtl/>
        </w:rPr>
        <w:t>إ</w:t>
      </w:r>
      <w:r w:rsidR="005D05A4" w:rsidRPr="006571AC">
        <w:rPr>
          <w:rFonts w:hint="cs"/>
          <w:color w:val="auto"/>
          <w:rtl/>
        </w:rPr>
        <w:t>له</w:t>
      </w:r>
      <w:r w:rsidR="005D05A4" w:rsidRPr="006571AC">
        <w:rPr>
          <w:rFonts w:ascii="Times New Roman" w:hAnsi="Times New Roman" w:hint="cs"/>
          <w:color w:val="auto"/>
          <w:rtl/>
        </w:rPr>
        <w:t>ي</w:t>
      </w:r>
      <w:r w:rsidRPr="006571AC">
        <w:rPr>
          <w:rFonts w:ascii="Times New Roman" w:hAnsi="Times New Roman" w:hint="cs"/>
          <w:color w:val="auto"/>
          <w:rtl/>
        </w:rPr>
        <w:t>ّ</w:t>
      </w:r>
      <w:r w:rsidR="005D05A4" w:rsidRPr="006571AC">
        <w:rPr>
          <w:rFonts w:hint="cs"/>
          <w:color w:val="auto"/>
          <w:rtl/>
        </w:rPr>
        <w:t>ة</w:t>
      </w:r>
      <w:bookmarkEnd w:id="158"/>
    </w:p>
    <w:p w:rsidR="005D05A4" w:rsidRPr="006571AC" w:rsidRDefault="005D05A4" w:rsidP="00B41BA0">
      <w:pPr>
        <w:rPr>
          <w:rFonts w:ascii="Sakkal Majalla" w:hAnsi="Sakkal Majalla"/>
          <w:sz w:val="27"/>
          <w:rtl/>
        </w:rPr>
      </w:pPr>
      <w:r w:rsidRPr="006571AC">
        <w:rPr>
          <w:rFonts w:ascii="Sakkal Majalla" w:hAnsi="Sakkal Majalla"/>
          <w:sz w:val="27"/>
          <w:rtl/>
        </w:rPr>
        <w:t xml:space="preserve"> ذهب </w:t>
      </w:r>
      <w:r w:rsidRPr="006571AC">
        <w:rPr>
          <w:rFonts w:ascii="Sakkal Majalla" w:hAnsi="Sakkal Majalla" w:hint="cs"/>
          <w:sz w:val="27"/>
          <w:rtl/>
        </w:rPr>
        <w:t>جمهور</w:t>
      </w:r>
      <w:r w:rsidRPr="006571AC">
        <w:rPr>
          <w:rFonts w:ascii="Sakkal Majalla" w:hAnsi="Sakkal Majalla"/>
          <w:sz w:val="27"/>
          <w:rtl/>
        </w:rPr>
        <w:t xml:space="preserve"> علماء العام</w:t>
      </w:r>
      <w:r w:rsidR="00EC21E9" w:rsidRPr="006571AC">
        <w:rPr>
          <w:rFonts w:ascii="Sakkal Majalla" w:hAnsi="Sakkal Majalla" w:hint="cs"/>
          <w:sz w:val="27"/>
          <w:rtl/>
        </w:rPr>
        <w:t>ّ</w:t>
      </w:r>
      <w:r w:rsidRPr="006571AC">
        <w:rPr>
          <w:rFonts w:ascii="Sakkal Majalla" w:hAnsi="Sakkal Majalla"/>
          <w:sz w:val="27"/>
          <w:rtl/>
        </w:rPr>
        <w:t xml:space="preserve">ة إلى </w:t>
      </w:r>
      <w:r w:rsidRPr="006571AC">
        <w:rPr>
          <w:rFonts w:ascii="Sakkal Majalla" w:hAnsi="Sakkal Majalla" w:hint="cs"/>
          <w:sz w:val="27"/>
          <w:rtl/>
        </w:rPr>
        <w:t>أ</w:t>
      </w:r>
      <w:r w:rsidRPr="006571AC">
        <w:rPr>
          <w:rFonts w:ascii="Sakkal Majalla" w:hAnsi="Sakkal Majalla"/>
          <w:sz w:val="27"/>
          <w:rtl/>
        </w:rPr>
        <w:t>نّ ما أ</w:t>
      </w:r>
      <w:r w:rsidR="00EC21E9" w:rsidRPr="006571AC">
        <w:rPr>
          <w:rFonts w:ascii="Sakkal Majalla" w:hAnsi="Sakkal Majalla" w:hint="cs"/>
          <w:sz w:val="27"/>
          <w:rtl/>
        </w:rPr>
        <w:t>ُ</w:t>
      </w:r>
      <w:r w:rsidRPr="006571AC">
        <w:rPr>
          <w:rFonts w:ascii="Sakkal Majalla" w:hAnsi="Sakkal Majalla"/>
          <w:sz w:val="27"/>
          <w:rtl/>
        </w:rPr>
        <w:t>مر النب</w:t>
      </w:r>
      <w:r w:rsidRPr="006571AC">
        <w:rPr>
          <w:rFonts w:ascii="Sakkal Majalla" w:hAnsi="Sakkal Majalla" w:hint="cs"/>
          <w:sz w:val="27"/>
          <w:rtl/>
        </w:rPr>
        <w:t>ي</w:t>
      </w:r>
      <w:r w:rsidR="00EC21E9"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sz w:val="27"/>
          <w:rtl/>
        </w:rPr>
        <w:t xml:space="preserve"> بتبل</w:t>
      </w:r>
      <w:r w:rsidRPr="006571AC">
        <w:rPr>
          <w:rFonts w:ascii="Times New Roman" w:hAnsi="Times New Roman" w:hint="cs"/>
          <w:sz w:val="27"/>
          <w:rtl/>
        </w:rPr>
        <w:t>ي</w:t>
      </w:r>
      <w:r w:rsidRPr="006571AC">
        <w:rPr>
          <w:rFonts w:ascii="Sakkal Majalla" w:hAnsi="Sakkal Majalla" w:hint="cs"/>
          <w:sz w:val="27"/>
          <w:rtl/>
        </w:rPr>
        <w:t>غه</w:t>
      </w:r>
      <w:r w:rsidRPr="006571AC">
        <w:rPr>
          <w:rFonts w:ascii="Sakkal Majalla" w:hAnsi="Sakkal Majalla"/>
          <w:sz w:val="27"/>
          <w:rtl/>
        </w:rPr>
        <w:t xml:space="preserve"> </w:t>
      </w:r>
      <w:r w:rsidRPr="006571AC">
        <w:rPr>
          <w:rFonts w:ascii="Sakkal Majalla" w:hAnsi="Sakkal Majalla" w:hint="cs"/>
          <w:sz w:val="27"/>
          <w:rtl/>
        </w:rPr>
        <w:t>هو</w:t>
      </w:r>
      <w:r w:rsidRPr="006571AC">
        <w:rPr>
          <w:rFonts w:ascii="Sakkal Majalla" w:hAnsi="Sakkal Majalla"/>
          <w:sz w:val="27"/>
          <w:rtl/>
        </w:rPr>
        <w:t xml:space="preserve"> </w:t>
      </w:r>
      <w:r w:rsidRPr="006571AC">
        <w:rPr>
          <w:rFonts w:ascii="Sakkal Majalla" w:hAnsi="Sakkal Majalla" w:hint="cs"/>
          <w:sz w:val="27"/>
          <w:rtl/>
        </w:rPr>
        <w:t>جم</w:t>
      </w:r>
      <w:r w:rsidRPr="006571AC">
        <w:rPr>
          <w:rFonts w:ascii="Times New Roman" w:hAnsi="Times New Roman" w:hint="cs"/>
          <w:sz w:val="27"/>
          <w:rtl/>
        </w:rPr>
        <w:t>ي</w:t>
      </w:r>
      <w:r w:rsidRPr="006571AC">
        <w:rPr>
          <w:rFonts w:ascii="Sakkal Majalla" w:hAnsi="Sakkal Majalla" w:hint="cs"/>
          <w:sz w:val="27"/>
          <w:rtl/>
        </w:rPr>
        <w:t>ع</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نزله الله عل</w:t>
      </w:r>
      <w:r w:rsidRPr="006571AC">
        <w:rPr>
          <w:rFonts w:ascii="Times New Roman" w:hAnsi="Times New Roman" w:hint="cs"/>
          <w:sz w:val="27"/>
          <w:rtl/>
        </w:rPr>
        <w:t>ي</w:t>
      </w:r>
      <w:r w:rsidRPr="006571AC">
        <w:rPr>
          <w:rFonts w:ascii="Sakkal Majalla" w:hAnsi="Sakkal Majalla" w:hint="cs"/>
          <w:sz w:val="27"/>
          <w:rtl/>
        </w:rPr>
        <w:t xml:space="preserve">ه، </w:t>
      </w:r>
      <w:r w:rsidRPr="006571AC">
        <w:rPr>
          <w:rFonts w:ascii="Sakkal Majalla" w:hAnsi="Sakkal Majalla"/>
          <w:sz w:val="27"/>
          <w:rtl/>
        </w:rPr>
        <w:t>وقد قام</w:t>
      </w:r>
      <w:r w:rsidR="002A2C90" w:rsidRPr="006571AC">
        <w:rPr>
          <w:rFonts w:ascii="Mosawi" w:hAnsi="Mosawi" w:cs="Mosawi"/>
          <w:sz w:val="22"/>
          <w:szCs w:val="22"/>
          <w:rtl/>
        </w:rPr>
        <w:t>|</w:t>
      </w:r>
      <w:r w:rsidRPr="006571AC">
        <w:rPr>
          <w:rFonts w:ascii="Sakkal Majalla" w:hAnsi="Sakkal Majalla"/>
          <w:sz w:val="27"/>
          <w:rtl/>
        </w:rPr>
        <w:t xml:space="preserve"> بهذا الواجب ب</w:t>
      </w:r>
      <w:r w:rsidRPr="006571AC">
        <w:rPr>
          <w:rFonts w:ascii="Sakkal Majalla" w:hAnsi="Sakkal Majalla" w:hint="cs"/>
          <w:sz w:val="27"/>
          <w:rtl/>
        </w:rPr>
        <w:t>أ</w:t>
      </w:r>
      <w:r w:rsidRPr="006571AC">
        <w:rPr>
          <w:rFonts w:ascii="Sakkal Majalla" w:hAnsi="Sakkal Majalla"/>
          <w:sz w:val="27"/>
          <w:rtl/>
        </w:rPr>
        <w:t xml:space="preserve">حسن ما </w:t>
      </w:r>
      <w:r w:rsidRPr="006571AC">
        <w:rPr>
          <w:rFonts w:ascii="Times New Roman" w:hAnsi="Times New Roman" w:hint="cs"/>
          <w:sz w:val="27"/>
          <w:rtl/>
        </w:rPr>
        <w:t>ي</w:t>
      </w:r>
      <w:r w:rsidRPr="006571AC">
        <w:rPr>
          <w:rFonts w:ascii="Sakkal Majalla" w:hAnsi="Sakkal Majalla" w:hint="cs"/>
          <w:sz w:val="27"/>
          <w:rtl/>
        </w:rPr>
        <w:t xml:space="preserve">مكن، </w:t>
      </w:r>
      <w:r w:rsidRPr="006571AC">
        <w:rPr>
          <w:rFonts w:ascii="Sakkal Majalla" w:hAnsi="Sakkal Majalla"/>
          <w:sz w:val="27"/>
          <w:rtl/>
        </w:rPr>
        <w:t>فبلّ</w:t>
      </w:r>
      <w:r w:rsidR="00EC21E9" w:rsidRPr="006571AC">
        <w:rPr>
          <w:rFonts w:ascii="Sakkal Majalla" w:hAnsi="Sakkal Majalla" w:hint="cs"/>
          <w:sz w:val="27"/>
          <w:rtl/>
        </w:rPr>
        <w:t>َ</w:t>
      </w:r>
      <w:r w:rsidRPr="006571AC">
        <w:rPr>
          <w:rFonts w:ascii="Sakkal Majalla" w:hAnsi="Sakkal Majalla"/>
          <w:sz w:val="27"/>
          <w:rtl/>
        </w:rPr>
        <w:t>غ الرسالة</w:t>
      </w:r>
      <w:r w:rsidRPr="006571AC">
        <w:rPr>
          <w:rFonts w:ascii="Sakkal Majalla" w:hAnsi="Sakkal Majalla" w:hint="cs"/>
          <w:sz w:val="27"/>
          <w:rtl/>
        </w:rPr>
        <w:t xml:space="preserve">، </w:t>
      </w:r>
      <w:r w:rsidRPr="006571AC">
        <w:rPr>
          <w:rFonts w:ascii="Sakkal Majalla" w:hAnsi="Sakkal Majalla"/>
          <w:sz w:val="27"/>
          <w:rtl/>
        </w:rPr>
        <w:t>وأدّ</w:t>
      </w:r>
      <w:r w:rsidR="00EC21E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الأ</w:t>
      </w:r>
      <w:r w:rsidRPr="006571AC">
        <w:rPr>
          <w:rFonts w:ascii="Sakkal Majalla" w:hAnsi="Sakkal Majalla"/>
          <w:sz w:val="27"/>
          <w:rtl/>
        </w:rPr>
        <w:t>مانة</w:t>
      </w:r>
      <w:r w:rsidRPr="006571AC">
        <w:rPr>
          <w:rFonts w:ascii="Sakkal Majalla" w:hAnsi="Sakkal Majalla" w:hint="cs"/>
          <w:sz w:val="27"/>
          <w:rtl/>
        </w:rPr>
        <w:t xml:space="preserve">، </w:t>
      </w:r>
      <w:r w:rsidRPr="006571AC">
        <w:rPr>
          <w:rFonts w:ascii="Sakkal Majalla" w:hAnsi="Sakkal Majalla"/>
          <w:sz w:val="27"/>
          <w:rtl/>
        </w:rPr>
        <w:t>ونصح الأم</w:t>
      </w:r>
      <w:r w:rsidR="00EC21E9" w:rsidRPr="006571AC">
        <w:rPr>
          <w:rFonts w:ascii="Sakkal Majalla" w:hAnsi="Sakkal Majalla" w:hint="cs"/>
          <w:sz w:val="27"/>
          <w:rtl/>
        </w:rPr>
        <w:t>ّ</w:t>
      </w:r>
      <w:r w:rsidRPr="006571AC">
        <w:rPr>
          <w:rFonts w:ascii="Sakkal Majalla" w:hAnsi="Sakkal Majalla"/>
          <w:sz w:val="27"/>
          <w:rtl/>
        </w:rPr>
        <w:t>ة</w:t>
      </w:r>
      <w:r w:rsidRPr="006571AC">
        <w:rPr>
          <w:rFonts w:ascii="Sakkal Majalla" w:hAnsi="Sakkal Majalla" w:hint="cs"/>
          <w:sz w:val="27"/>
          <w:rtl/>
        </w:rPr>
        <w:t xml:space="preserve">، </w:t>
      </w:r>
      <w:r w:rsidRPr="006571AC">
        <w:rPr>
          <w:rFonts w:ascii="Sakkal Majalla" w:hAnsi="Sakkal Majalla"/>
          <w:sz w:val="27"/>
          <w:rtl/>
        </w:rPr>
        <w:t>ثم</w:t>
      </w:r>
      <w:r w:rsidR="00EC21E9" w:rsidRPr="006571AC">
        <w:rPr>
          <w:rFonts w:ascii="Sakkal Majalla" w:hAnsi="Sakkal Majalla" w:hint="cs"/>
          <w:sz w:val="27"/>
          <w:rtl/>
        </w:rPr>
        <w:t>ّ</w:t>
      </w:r>
      <w:r w:rsidRPr="006571AC">
        <w:rPr>
          <w:rFonts w:ascii="Sakkal Majalla" w:hAnsi="Sakkal Majalla"/>
          <w:sz w:val="27"/>
          <w:rtl/>
        </w:rPr>
        <w:t xml:space="preserve"> استشهد</w:t>
      </w:r>
      <w:r w:rsidRPr="006571AC">
        <w:rPr>
          <w:rFonts w:ascii="Sakkal Majalla" w:hAnsi="Sakkal Majalla" w:hint="cs"/>
          <w:sz w:val="27"/>
          <w:rtl/>
        </w:rPr>
        <w:t>وا على ذلك</w:t>
      </w:r>
      <w:r w:rsidRPr="006571AC">
        <w:rPr>
          <w:rFonts w:ascii="Sakkal Majalla" w:hAnsi="Sakkal Majalla"/>
          <w:sz w:val="27"/>
          <w:rtl/>
        </w:rPr>
        <w:t xml:space="preserve"> بما </w:t>
      </w:r>
      <w:r w:rsidRPr="006571AC">
        <w:rPr>
          <w:rFonts w:ascii="Sakkal Majalla" w:hAnsi="Sakkal Majalla" w:hint="cs"/>
          <w:sz w:val="27"/>
          <w:rtl/>
        </w:rPr>
        <w:t>ورد</w:t>
      </w:r>
      <w:r w:rsidRPr="006571AC">
        <w:rPr>
          <w:rFonts w:ascii="Sakkal Majalla" w:hAnsi="Sakkal Majalla"/>
          <w:sz w:val="27"/>
          <w:rtl/>
        </w:rPr>
        <w:t xml:space="preserve"> عن عا</w:t>
      </w:r>
      <w:r w:rsidR="00EC21E9" w:rsidRPr="006571AC">
        <w:rPr>
          <w:rFonts w:ascii="Times New Roman" w:hAnsi="Times New Roman" w:hint="cs"/>
          <w:sz w:val="27"/>
          <w:rtl/>
        </w:rPr>
        <w:t>ئ</w:t>
      </w:r>
      <w:r w:rsidRPr="006571AC">
        <w:rPr>
          <w:rFonts w:ascii="Sakkal Majalla" w:hAnsi="Sakkal Majalla" w:hint="cs"/>
          <w:sz w:val="27"/>
          <w:rtl/>
        </w:rPr>
        <w:t>شة</w:t>
      </w:r>
      <w:r w:rsidRPr="006571AC">
        <w:rPr>
          <w:rFonts w:ascii="Sakkal Majalla" w:hAnsi="Sakkal Majalla"/>
          <w:sz w:val="27"/>
          <w:rtl/>
        </w:rPr>
        <w:t xml:space="preserve"> </w:t>
      </w:r>
      <w:r w:rsidRPr="006571AC">
        <w:rPr>
          <w:rFonts w:ascii="Sakkal Majalla" w:hAnsi="Sakkal Majalla" w:hint="cs"/>
          <w:sz w:val="27"/>
          <w:rtl/>
        </w:rPr>
        <w:t>ح</w:t>
      </w:r>
      <w:r w:rsidRPr="006571AC">
        <w:rPr>
          <w:rFonts w:ascii="Times New Roman" w:hAnsi="Times New Roman" w:hint="cs"/>
          <w:sz w:val="27"/>
          <w:rtl/>
        </w:rPr>
        <w:t>ي</w:t>
      </w:r>
      <w:r w:rsidRPr="006571AC">
        <w:rPr>
          <w:rFonts w:ascii="Sakkal Majalla" w:hAnsi="Sakkal Majalla" w:hint="cs"/>
          <w:sz w:val="27"/>
          <w:rtl/>
        </w:rPr>
        <w:t>ث</w:t>
      </w:r>
      <w:r w:rsidRPr="006571AC">
        <w:rPr>
          <w:rFonts w:ascii="Sakkal Majalla" w:hAnsi="Sakkal Majalla"/>
          <w:sz w:val="27"/>
          <w:rtl/>
        </w:rPr>
        <w:t xml:space="preserve"> </w:t>
      </w:r>
      <w:r w:rsidRPr="006571AC">
        <w:rPr>
          <w:rFonts w:ascii="Sakkal Majalla" w:hAnsi="Sakkal Majalla" w:hint="cs"/>
          <w:sz w:val="27"/>
          <w:rtl/>
        </w:rPr>
        <w:t>قالت</w:t>
      </w:r>
      <w:r w:rsidRPr="006571AC">
        <w:rPr>
          <w:rFonts w:ascii="Sakkal Majalla" w:hAnsi="Sakkal Majalla"/>
          <w:sz w:val="27"/>
          <w:rtl/>
        </w:rPr>
        <w:t>: م</w:t>
      </w:r>
      <w:r w:rsidR="00EC21E9" w:rsidRPr="006571AC">
        <w:rPr>
          <w:rFonts w:ascii="Sakkal Majalla" w:hAnsi="Sakkal Majalla" w:hint="cs"/>
          <w:sz w:val="27"/>
          <w:rtl/>
        </w:rPr>
        <w:t>َ</w:t>
      </w:r>
      <w:r w:rsidRPr="006571AC">
        <w:rPr>
          <w:rFonts w:ascii="Sakkal Majalla" w:hAnsi="Sakkal Majalla"/>
          <w:sz w:val="27"/>
          <w:rtl/>
        </w:rPr>
        <w:t>ن</w:t>
      </w:r>
      <w:r w:rsidR="00EC21E9" w:rsidRPr="006571AC">
        <w:rPr>
          <w:rFonts w:ascii="Sakkal Majalla" w:hAnsi="Sakkal Majalla" w:hint="cs"/>
          <w:sz w:val="27"/>
          <w:rtl/>
        </w:rPr>
        <w:t>ْ</w:t>
      </w:r>
      <w:r w:rsidRPr="006571AC">
        <w:rPr>
          <w:rFonts w:ascii="Sakkal Majalla" w:hAnsi="Sakkal Majalla"/>
          <w:sz w:val="27"/>
          <w:rtl/>
        </w:rPr>
        <w:t xml:space="preserve"> حد</w:t>
      </w:r>
      <w:r w:rsidR="00EC21E9" w:rsidRPr="006571AC">
        <w:rPr>
          <w:rFonts w:ascii="Sakkal Majalla" w:hAnsi="Sakkal Majalla" w:hint="cs"/>
          <w:sz w:val="27"/>
          <w:rtl/>
        </w:rPr>
        <w:t>َّ</w:t>
      </w:r>
      <w:r w:rsidRPr="006571AC">
        <w:rPr>
          <w:rFonts w:ascii="Sakkal Majalla" w:hAnsi="Sakkal Majalla"/>
          <w:sz w:val="27"/>
          <w:rtl/>
        </w:rPr>
        <w:t>ثك أن محمدا</w:t>
      </w:r>
      <w:r w:rsidRPr="006571AC">
        <w:rPr>
          <w:rFonts w:ascii="Sakkal Majalla" w:hAnsi="Sakkal Majalla" w:hint="cs"/>
          <w:sz w:val="27"/>
          <w:rtl/>
        </w:rPr>
        <w:t>ً</w:t>
      </w:r>
      <w:r w:rsidRPr="006571AC">
        <w:rPr>
          <w:rFonts w:ascii="Sakkal Majalla" w:hAnsi="Sakkal Majalla"/>
          <w:sz w:val="27"/>
          <w:rtl/>
        </w:rPr>
        <w:t xml:space="preserve"> كتم شيئا</w:t>
      </w:r>
      <w:r w:rsidR="00EC21E9" w:rsidRPr="006571AC">
        <w:rPr>
          <w:rFonts w:ascii="Sakkal Majalla" w:hAnsi="Sakkal Majalla" w:hint="cs"/>
          <w:sz w:val="27"/>
          <w:rtl/>
        </w:rPr>
        <w:t>ً</w:t>
      </w:r>
      <w:r w:rsidRPr="006571AC">
        <w:rPr>
          <w:rFonts w:ascii="Sakkal Majalla" w:hAnsi="Sakkal Majalla"/>
          <w:sz w:val="27"/>
          <w:rtl/>
        </w:rPr>
        <w:t xml:space="preserve"> مم</w:t>
      </w:r>
      <w:r w:rsidR="00EC21E9" w:rsidRPr="006571AC">
        <w:rPr>
          <w:rFonts w:ascii="Sakkal Majalla" w:hAnsi="Sakkal Majalla" w:hint="cs"/>
          <w:sz w:val="27"/>
          <w:rtl/>
        </w:rPr>
        <w:t>ّ</w:t>
      </w:r>
      <w:r w:rsidRPr="006571AC">
        <w:rPr>
          <w:rFonts w:ascii="Sakkal Majalla" w:hAnsi="Sakkal Majalla"/>
          <w:sz w:val="27"/>
          <w:rtl/>
        </w:rPr>
        <w:t xml:space="preserve">ا أنزل </w:t>
      </w:r>
      <w:r w:rsidR="0097633B" w:rsidRPr="006571AC">
        <w:rPr>
          <w:rFonts w:ascii="Sakkal Majalla" w:hAnsi="Sakkal Majalla"/>
          <w:sz w:val="27"/>
          <w:rtl/>
        </w:rPr>
        <w:t>الل</w:t>
      </w:r>
      <w:r w:rsidRPr="006571AC">
        <w:rPr>
          <w:rFonts w:ascii="Sakkal Majalla" w:hAnsi="Sakkal Majalla"/>
          <w:sz w:val="27"/>
          <w:rtl/>
        </w:rPr>
        <w:t xml:space="preserve">ه عليه فقد كذب، وهو يقول: </w:t>
      </w:r>
      <w:r w:rsidRPr="006571AC">
        <w:rPr>
          <w:rFonts w:ascii="Mosawi" w:hAnsi="Mosawi" w:cs="Mosawi"/>
          <w:sz w:val="24"/>
          <w:szCs w:val="24"/>
          <w:rtl/>
        </w:rPr>
        <w:t>﴿</w:t>
      </w:r>
      <w:r w:rsidRPr="006571AC">
        <w:rPr>
          <w:rFonts w:ascii="Sakkal Majalla" w:hAnsi="Sakkal Majalla"/>
          <w:b/>
          <w:bCs/>
          <w:sz w:val="27"/>
          <w:rtl/>
        </w:rPr>
        <w:t>ي</w:t>
      </w:r>
      <w:r w:rsidR="00EC21E9" w:rsidRPr="006571AC">
        <w:rPr>
          <w:rFonts w:ascii="Sakkal Majalla" w:hAnsi="Sakkal Majalla" w:hint="cs"/>
          <w:b/>
          <w:bCs/>
          <w:sz w:val="27"/>
          <w:rtl/>
        </w:rPr>
        <w:t>َ</w:t>
      </w:r>
      <w:r w:rsidRPr="006571AC">
        <w:rPr>
          <w:rFonts w:ascii="Sakkal Majalla" w:hAnsi="Sakkal Majalla"/>
          <w:b/>
          <w:bCs/>
          <w:sz w:val="27"/>
          <w:rtl/>
        </w:rPr>
        <w:t>ا أَيُّهَا الرَّسُولُ بَلِّغْ م</w:t>
      </w:r>
      <w:r w:rsidR="00EC21E9" w:rsidRPr="006571AC">
        <w:rPr>
          <w:rFonts w:ascii="Sakkal Majalla" w:hAnsi="Sakkal Majalla" w:hint="cs"/>
          <w:b/>
          <w:bCs/>
          <w:sz w:val="27"/>
          <w:rtl/>
        </w:rPr>
        <w:t>َ</w:t>
      </w:r>
      <w:r w:rsidRPr="006571AC">
        <w:rPr>
          <w:rFonts w:ascii="Sakkal Majalla" w:hAnsi="Sakkal Majalla"/>
          <w:b/>
          <w:bCs/>
          <w:sz w:val="27"/>
          <w:rtl/>
        </w:rPr>
        <w:t>ا أ</w:t>
      </w:r>
      <w:r w:rsidR="00EC21E9" w:rsidRPr="006571AC">
        <w:rPr>
          <w:rFonts w:ascii="Sakkal Majalla" w:hAnsi="Sakkal Majalla" w:hint="cs"/>
          <w:b/>
          <w:bCs/>
          <w:sz w:val="27"/>
          <w:rtl/>
        </w:rPr>
        <w:t>ُ</w:t>
      </w:r>
      <w:r w:rsidRPr="006571AC">
        <w:rPr>
          <w:rFonts w:ascii="Sakkal Majalla" w:hAnsi="Sakkal Majalla"/>
          <w:b/>
          <w:bCs/>
          <w:sz w:val="27"/>
          <w:rtl/>
        </w:rPr>
        <w:t>نْزِلَ إِلَيْكَ مِنْ رَبِّك</w:t>
      </w:r>
      <w:r w:rsidR="00F72BDC" w:rsidRPr="006571AC">
        <w:rPr>
          <w:rFonts w:ascii="Sakkal Majalla" w:hAnsi="Sakkal Majalla" w:hint="cs"/>
          <w:b/>
          <w:bCs/>
          <w:sz w:val="27"/>
          <w:rtl/>
        </w:rPr>
        <w:t>َ</w:t>
      </w:r>
      <w:r w:rsidRPr="006571AC">
        <w:rPr>
          <w:rFonts w:ascii="Mosawi" w:hAnsi="Mosawi" w:cs="Mosawi"/>
          <w:sz w:val="24"/>
          <w:szCs w:val="24"/>
          <w:rtl/>
        </w:rPr>
        <w:t>﴾</w:t>
      </w:r>
      <w:r w:rsidRPr="006571AC">
        <w:rPr>
          <w:rFonts w:ascii="Sakkal Majalla" w:hAnsi="Sakkal Majalla"/>
          <w:sz w:val="27"/>
          <w:vertAlign w:val="superscript"/>
          <w:rtl/>
        </w:rPr>
        <w:t>(</w:t>
      </w:r>
      <w:r w:rsidRPr="006571AC">
        <w:rPr>
          <w:rStyle w:val="ac"/>
          <w:rFonts w:ascii="Sakkal Majalla" w:hAnsi="Sakkal Majalla"/>
          <w:sz w:val="27"/>
          <w:rtl/>
        </w:rPr>
        <w:endnoteReference w:id="370"/>
      </w:r>
      <w:r w:rsidRPr="006571AC">
        <w:rPr>
          <w:rFonts w:ascii="Sakkal Majalla" w:hAnsi="Sakkal Majalla"/>
          <w:sz w:val="27"/>
          <w:vertAlign w:val="superscript"/>
          <w:rtl/>
        </w:rPr>
        <w:t>)</w:t>
      </w:r>
      <w:r w:rsidRPr="006571AC">
        <w:rPr>
          <w:rFonts w:ascii="Sakkal Majalla" w:hAnsi="Sakkal Majalla" w:hint="cs"/>
          <w:sz w:val="27"/>
          <w:rtl/>
        </w:rPr>
        <w:t>.</w:t>
      </w:r>
    </w:p>
    <w:p w:rsidR="005D05A4" w:rsidRPr="006571AC" w:rsidRDefault="005D05A4" w:rsidP="00FB4949">
      <w:pPr>
        <w:spacing w:line="420" w:lineRule="exact"/>
        <w:rPr>
          <w:rFonts w:ascii="Sakkal Majalla" w:hAnsi="Sakkal Majalla"/>
          <w:sz w:val="27"/>
          <w:rtl/>
        </w:rPr>
      </w:pPr>
    </w:p>
    <w:p w:rsidR="005D05A4" w:rsidRPr="006571AC" w:rsidRDefault="002C25C3" w:rsidP="002B3461">
      <w:pPr>
        <w:pStyle w:val="31"/>
        <w:rPr>
          <w:color w:val="auto"/>
          <w:rtl/>
        </w:rPr>
      </w:pPr>
      <w:bookmarkStart w:id="159" w:name="_Toc114164647"/>
      <w:r w:rsidRPr="006571AC">
        <w:rPr>
          <w:rFonts w:hint="cs"/>
          <w:color w:val="auto"/>
          <w:rtl/>
        </w:rPr>
        <w:t>ردٌّ ونقد</w:t>
      </w:r>
      <w:bookmarkEnd w:id="159"/>
    </w:p>
    <w:p w:rsidR="005D05A4" w:rsidRPr="006571AC" w:rsidRDefault="005D05A4" w:rsidP="00B41BA0">
      <w:pPr>
        <w:rPr>
          <w:rFonts w:ascii="Sakkal Majalla" w:hAnsi="Sakkal Majalla"/>
          <w:sz w:val="27"/>
          <w:rtl/>
        </w:rPr>
      </w:pPr>
      <w:r w:rsidRPr="006571AC">
        <w:rPr>
          <w:rFonts w:ascii="Sakkal Majalla" w:hAnsi="Sakkal Majalla" w:hint="cs"/>
          <w:b/>
          <w:bCs/>
          <w:sz w:val="27"/>
          <w:rtl/>
        </w:rPr>
        <w:t>أ</w:t>
      </w:r>
      <w:r w:rsidRPr="006571AC">
        <w:rPr>
          <w:rFonts w:ascii="Sakkal Majalla" w:hAnsi="Sakkal Majalla"/>
          <w:b/>
          <w:bCs/>
          <w:sz w:val="27"/>
          <w:rtl/>
        </w:rPr>
        <w:t>و</w:t>
      </w:r>
      <w:r w:rsidR="00F72BDC" w:rsidRPr="006571AC">
        <w:rPr>
          <w:rFonts w:ascii="Sakkal Majalla" w:hAnsi="Sakkal Majalla" w:hint="cs"/>
          <w:b/>
          <w:bCs/>
          <w:sz w:val="27"/>
          <w:rtl/>
        </w:rPr>
        <w:t>ّ</w:t>
      </w:r>
      <w:r w:rsidRPr="006571AC">
        <w:rPr>
          <w:rFonts w:ascii="Sakkal Majalla" w:hAnsi="Sakkal Majalla"/>
          <w:b/>
          <w:bCs/>
          <w:sz w:val="27"/>
          <w:rtl/>
        </w:rPr>
        <w:t xml:space="preserve">لاً: </w:t>
      </w:r>
      <w:r w:rsidRPr="006571AC">
        <w:rPr>
          <w:rFonts w:ascii="Sakkal Majalla" w:hAnsi="Sakkal Majalla"/>
          <w:sz w:val="27"/>
          <w:rtl/>
        </w:rPr>
        <w:t xml:space="preserve">لو كان المقصود من </w:t>
      </w:r>
      <w:r w:rsidRPr="006571AC">
        <w:rPr>
          <w:rFonts w:ascii="Mosawi" w:hAnsi="Mosawi" w:cs="Mosawi"/>
          <w:sz w:val="24"/>
          <w:szCs w:val="24"/>
          <w:rtl/>
        </w:rPr>
        <w:t>﴿</w:t>
      </w:r>
      <w:r w:rsidRPr="006571AC">
        <w:rPr>
          <w:rFonts w:ascii="Sakkal Majalla" w:hAnsi="Sakkal Majalla" w:hint="cs"/>
          <w:b/>
          <w:bCs/>
          <w:sz w:val="27"/>
          <w:rtl/>
        </w:rPr>
        <w:t>م</w:t>
      </w:r>
      <w:r w:rsidR="00F72BDC" w:rsidRPr="006571AC">
        <w:rPr>
          <w:rFonts w:ascii="Sakkal Majalla" w:hAnsi="Sakkal Majalla" w:hint="cs"/>
          <w:b/>
          <w:bCs/>
          <w:sz w:val="27"/>
          <w:rtl/>
        </w:rPr>
        <w:t>َ</w:t>
      </w:r>
      <w:r w:rsidRPr="006571AC">
        <w:rPr>
          <w:rFonts w:ascii="Sakkal Majalla" w:hAnsi="Sakkal Majalla" w:hint="cs"/>
          <w:b/>
          <w:bCs/>
          <w:sz w:val="27"/>
          <w:rtl/>
        </w:rPr>
        <w:t>ا</w:t>
      </w:r>
      <w:r w:rsidRPr="006571AC">
        <w:rPr>
          <w:rFonts w:ascii="Sakkal Majalla" w:hAnsi="Sakkal Majalla"/>
          <w:b/>
          <w:bCs/>
          <w:sz w:val="27"/>
          <w:rtl/>
        </w:rPr>
        <w:t xml:space="preserve"> </w:t>
      </w:r>
      <w:r w:rsidRPr="006571AC">
        <w:rPr>
          <w:rFonts w:ascii="Sakkal Majalla" w:hAnsi="Sakkal Majalla" w:hint="cs"/>
          <w:b/>
          <w:bCs/>
          <w:sz w:val="27"/>
          <w:rtl/>
        </w:rPr>
        <w:t>أ</w:t>
      </w:r>
      <w:r w:rsidR="00F72BDC" w:rsidRPr="006571AC">
        <w:rPr>
          <w:rFonts w:ascii="Sakkal Majalla" w:hAnsi="Sakkal Majalla" w:hint="cs"/>
          <w:b/>
          <w:bCs/>
          <w:sz w:val="27"/>
          <w:rtl/>
        </w:rPr>
        <w:t>ُ</w:t>
      </w:r>
      <w:r w:rsidRPr="006571AC">
        <w:rPr>
          <w:rFonts w:ascii="Sakkal Majalla" w:hAnsi="Sakkal Majalla"/>
          <w:b/>
          <w:bCs/>
          <w:sz w:val="27"/>
          <w:rtl/>
        </w:rPr>
        <w:t>ن</w:t>
      </w:r>
      <w:r w:rsidR="00F72BDC" w:rsidRPr="006571AC">
        <w:rPr>
          <w:rFonts w:ascii="Sakkal Majalla" w:hAnsi="Sakkal Majalla" w:hint="cs"/>
          <w:b/>
          <w:bCs/>
          <w:sz w:val="27"/>
          <w:rtl/>
        </w:rPr>
        <w:t>ْ</w:t>
      </w:r>
      <w:r w:rsidRPr="006571AC">
        <w:rPr>
          <w:rFonts w:ascii="Sakkal Majalla" w:hAnsi="Sakkal Majalla"/>
          <w:b/>
          <w:bCs/>
          <w:sz w:val="27"/>
          <w:rtl/>
        </w:rPr>
        <w:t>ز</w:t>
      </w:r>
      <w:r w:rsidR="00F72BDC" w:rsidRPr="006571AC">
        <w:rPr>
          <w:rFonts w:ascii="Sakkal Majalla" w:hAnsi="Sakkal Majalla" w:hint="cs"/>
          <w:b/>
          <w:bCs/>
          <w:sz w:val="27"/>
          <w:rtl/>
        </w:rPr>
        <w:t>ِ</w:t>
      </w:r>
      <w:r w:rsidRPr="006571AC">
        <w:rPr>
          <w:rFonts w:ascii="Sakkal Majalla" w:hAnsi="Sakkal Majalla"/>
          <w:b/>
          <w:bCs/>
          <w:sz w:val="27"/>
          <w:rtl/>
        </w:rPr>
        <w:t>ل</w:t>
      </w:r>
      <w:r w:rsidR="00F72BDC" w:rsidRPr="006571AC">
        <w:rPr>
          <w:rFonts w:ascii="Sakkal Majalla" w:hAnsi="Sakkal Majalla" w:hint="cs"/>
          <w:b/>
          <w:bCs/>
          <w:sz w:val="27"/>
          <w:rtl/>
        </w:rPr>
        <w:t>َ</w:t>
      </w:r>
      <w:r w:rsidRPr="006571AC">
        <w:rPr>
          <w:rFonts w:ascii="Sakkal Majalla" w:hAnsi="Sakkal Majalla"/>
          <w:b/>
          <w:bCs/>
          <w:sz w:val="27"/>
          <w:rtl/>
        </w:rPr>
        <w:t xml:space="preserve"> </w:t>
      </w:r>
      <w:r w:rsidR="00F72BDC" w:rsidRPr="006571AC">
        <w:rPr>
          <w:rFonts w:ascii="Sakkal Majalla" w:hAnsi="Sakkal Majalla" w:hint="cs"/>
          <w:b/>
          <w:bCs/>
          <w:sz w:val="27"/>
          <w:rtl/>
        </w:rPr>
        <w:t>إِ</w:t>
      </w:r>
      <w:r w:rsidRPr="006571AC">
        <w:rPr>
          <w:rFonts w:ascii="Sakkal Majalla" w:hAnsi="Sakkal Majalla"/>
          <w:b/>
          <w:bCs/>
          <w:sz w:val="27"/>
          <w:rtl/>
        </w:rPr>
        <w:t>ل</w:t>
      </w:r>
      <w:r w:rsidR="00F72BDC" w:rsidRPr="006571AC">
        <w:rPr>
          <w:rFonts w:ascii="Sakkal Majalla" w:hAnsi="Sakkal Majalla" w:hint="cs"/>
          <w:b/>
          <w:bCs/>
          <w:sz w:val="27"/>
          <w:rtl/>
        </w:rPr>
        <w:t>َ</w:t>
      </w:r>
      <w:r w:rsidRPr="006571AC">
        <w:rPr>
          <w:rFonts w:ascii="Times New Roman" w:hAnsi="Times New Roman" w:hint="cs"/>
          <w:b/>
          <w:bCs/>
          <w:sz w:val="27"/>
          <w:rtl/>
        </w:rPr>
        <w:t>ي</w:t>
      </w:r>
      <w:r w:rsidR="00F72BDC" w:rsidRPr="006571AC">
        <w:rPr>
          <w:rFonts w:ascii="Times New Roman" w:hAnsi="Times New Roman" w:hint="cs"/>
          <w:b/>
          <w:bCs/>
          <w:sz w:val="27"/>
          <w:rtl/>
        </w:rPr>
        <w:t>ْ</w:t>
      </w:r>
      <w:r w:rsidRPr="006571AC">
        <w:rPr>
          <w:rFonts w:ascii="Sakkal Majalla" w:hAnsi="Sakkal Majalla" w:hint="cs"/>
          <w:b/>
          <w:bCs/>
          <w:sz w:val="27"/>
          <w:rtl/>
        </w:rPr>
        <w:t>ك</w:t>
      </w:r>
      <w:r w:rsidR="00F72BDC" w:rsidRPr="006571AC">
        <w:rPr>
          <w:rFonts w:ascii="Sakkal Majalla" w:hAnsi="Sakkal Majalla" w:hint="cs"/>
          <w:b/>
          <w:bCs/>
          <w:sz w:val="27"/>
          <w:rtl/>
        </w:rPr>
        <w:t>َ</w:t>
      </w:r>
      <w:r w:rsidRPr="006571AC">
        <w:rPr>
          <w:rFonts w:ascii="Mosawi" w:hAnsi="Mosawi" w:cs="Mosawi"/>
          <w:sz w:val="24"/>
          <w:szCs w:val="24"/>
          <w:rtl/>
        </w:rPr>
        <w:t>﴾</w:t>
      </w:r>
      <w:r w:rsidRPr="006571AC">
        <w:rPr>
          <w:rFonts w:ascii="Sakkal Majalla" w:hAnsi="Sakkal Majalla"/>
          <w:sz w:val="27"/>
          <w:rtl/>
        </w:rPr>
        <w:t xml:space="preserve"> مجموع 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للزم أن يكون</w:t>
      </w:r>
      <w:r w:rsidRPr="006571AC">
        <w:rPr>
          <w:rFonts w:ascii="Sakkal Majalla" w:hAnsi="Sakkal Majalla"/>
          <w:sz w:val="27"/>
          <w:rtl/>
        </w:rPr>
        <w:t xml:space="preserve"> قوله تعالى: </w:t>
      </w:r>
      <w:r w:rsidRPr="006571AC">
        <w:rPr>
          <w:rFonts w:ascii="Mosawi" w:hAnsi="Mosawi" w:cs="Mosawi"/>
          <w:sz w:val="24"/>
          <w:szCs w:val="24"/>
          <w:rtl/>
        </w:rPr>
        <w:t>﴿</w:t>
      </w:r>
      <w:r w:rsidR="00F72BDC" w:rsidRPr="006571AC">
        <w:rPr>
          <w:b/>
          <w:bCs/>
          <w:sz w:val="27"/>
          <w:rtl/>
        </w:rPr>
        <w:t>بَلِّغْ مَا أُنزِلَ إِلَيْكَ مِنْ رَبِّكَ وَإِنْ لَمْ تَفْعَلْ فَمَا بَلَّغْتَ رِسَالَتَهُ</w:t>
      </w:r>
      <w:r w:rsidRPr="006571AC">
        <w:rPr>
          <w:rFonts w:ascii="Mosawi" w:hAnsi="Mosawi" w:cs="Mosawi"/>
          <w:sz w:val="24"/>
          <w:szCs w:val="24"/>
          <w:rtl/>
        </w:rPr>
        <w:t>﴾</w:t>
      </w:r>
      <w:r w:rsidRPr="006571AC">
        <w:rPr>
          <w:rFonts w:ascii="Sakkal Majalla" w:hAnsi="Sakkal Majalla"/>
          <w:sz w:val="27"/>
          <w:rtl/>
        </w:rPr>
        <w:t xml:space="preserve"> </w:t>
      </w:r>
      <w:r w:rsidRPr="006571AC">
        <w:rPr>
          <w:rFonts w:ascii="Sakkal Majalla" w:hAnsi="Sakkal Majalla" w:hint="cs"/>
          <w:sz w:val="27"/>
          <w:rtl/>
        </w:rPr>
        <w:t>ل</w:t>
      </w:r>
      <w:r w:rsidR="00F72BDC" w:rsidRPr="006571AC">
        <w:rPr>
          <w:rFonts w:ascii="Sakkal Majalla" w:hAnsi="Sakkal Majalla" w:hint="cs"/>
          <w:sz w:val="27"/>
          <w:rtl/>
        </w:rPr>
        <w:t>َ</w:t>
      </w:r>
      <w:r w:rsidRPr="006571AC">
        <w:rPr>
          <w:rFonts w:ascii="Sakkal Majalla" w:hAnsi="Sakkal Majalla" w:hint="cs"/>
          <w:sz w:val="27"/>
          <w:rtl/>
        </w:rPr>
        <w:t>غ</w:t>
      </w:r>
      <w:r w:rsidR="00F72BDC" w:rsidRPr="006571AC">
        <w:rPr>
          <w:rFonts w:ascii="Sakkal Majalla" w:hAnsi="Sakkal Majalla" w:hint="cs"/>
          <w:sz w:val="27"/>
          <w:rtl/>
        </w:rPr>
        <w:t>ْ</w:t>
      </w:r>
      <w:r w:rsidRPr="006571AC">
        <w:rPr>
          <w:rFonts w:ascii="Sakkal Majalla" w:hAnsi="Sakkal Majalla" w:hint="cs"/>
          <w:sz w:val="27"/>
          <w:rtl/>
        </w:rPr>
        <w:t>واً وعبثاً</w:t>
      </w:r>
      <w:r w:rsidR="00F72BDC"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لأنّ</w:t>
      </w:r>
      <w:r w:rsidRPr="006571AC">
        <w:rPr>
          <w:rFonts w:ascii="Sakkal Majalla" w:hAnsi="Sakkal Majalla" w:hint="cs"/>
          <w:sz w:val="27"/>
          <w:rtl/>
        </w:rPr>
        <w:t xml:space="preserve"> الكلام حينئذ</w:t>
      </w:r>
      <w:r w:rsidR="00F72BDC" w:rsidRPr="006571AC">
        <w:rPr>
          <w:rFonts w:ascii="Sakkal Majalla" w:hAnsi="Sakkal Majalla" w:hint="cs"/>
          <w:sz w:val="27"/>
          <w:rtl/>
        </w:rPr>
        <w:t>ٍ</w:t>
      </w:r>
      <w:r w:rsidRPr="006571AC">
        <w:rPr>
          <w:rFonts w:ascii="Sakkal Majalla" w:hAnsi="Sakkal Majalla" w:hint="cs"/>
          <w:sz w:val="27"/>
          <w:rtl/>
        </w:rPr>
        <w:t xml:space="preserve"> يكون كقول القائل: </w:t>
      </w:r>
      <w:r w:rsidRPr="006571AC">
        <w:rPr>
          <w:rFonts w:ascii="Sakkal Majalla" w:hAnsi="Sakkal Majalla"/>
          <w:sz w:val="24"/>
          <w:szCs w:val="24"/>
          <w:rtl/>
        </w:rPr>
        <w:t>«</w:t>
      </w:r>
      <w:r w:rsidRPr="006571AC">
        <w:rPr>
          <w:rFonts w:ascii="Times New Roman" w:hAnsi="Times New Roman" w:hint="cs"/>
          <w:sz w:val="27"/>
          <w:rtl/>
        </w:rPr>
        <w:t>ي</w:t>
      </w:r>
      <w:r w:rsidRPr="006571AC">
        <w:rPr>
          <w:rFonts w:ascii="Sakkal Majalla" w:hAnsi="Sakkal Majalla" w:hint="cs"/>
          <w:sz w:val="27"/>
          <w:rtl/>
        </w:rPr>
        <w:t>ا</w:t>
      </w:r>
      <w:r w:rsidRPr="006571AC">
        <w:rPr>
          <w:rFonts w:ascii="Sakkal Majalla" w:hAnsi="Sakkal Majalla"/>
          <w:sz w:val="27"/>
          <w:rtl/>
        </w:rPr>
        <w:t xml:space="preserve"> </w:t>
      </w:r>
      <w:r w:rsidR="00F72BDC" w:rsidRPr="006571AC">
        <w:rPr>
          <w:rFonts w:ascii="Sakkal Majalla" w:hAnsi="Sakkal Majalla" w:hint="cs"/>
          <w:sz w:val="27"/>
          <w:rtl/>
        </w:rPr>
        <w:t>أ</w:t>
      </w:r>
      <w:r w:rsidRPr="006571AC">
        <w:rPr>
          <w:rFonts w:ascii="Times New Roman" w:hAnsi="Times New Roman" w:hint="cs"/>
          <w:sz w:val="27"/>
          <w:rtl/>
        </w:rPr>
        <w:t>ي</w:t>
      </w:r>
      <w:r w:rsidRPr="006571AC">
        <w:rPr>
          <w:rFonts w:ascii="Sakkal Majalla" w:hAnsi="Sakkal Majalla" w:hint="cs"/>
          <w:sz w:val="27"/>
          <w:rtl/>
        </w:rPr>
        <w:t>ها</w:t>
      </w:r>
      <w:r w:rsidRPr="006571AC">
        <w:rPr>
          <w:rFonts w:ascii="Sakkal Majalla" w:hAnsi="Sakkal Majalla"/>
          <w:sz w:val="27"/>
          <w:rtl/>
        </w:rPr>
        <w:t xml:space="preserve"> </w:t>
      </w:r>
      <w:r w:rsidRPr="006571AC">
        <w:rPr>
          <w:rFonts w:ascii="Sakkal Majalla" w:hAnsi="Sakkal Majalla" w:hint="cs"/>
          <w:sz w:val="27"/>
          <w:rtl/>
        </w:rPr>
        <w:t>الرسول</w:t>
      </w:r>
      <w:r w:rsidRPr="006571AC">
        <w:rPr>
          <w:rFonts w:ascii="Sakkal Majalla" w:hAnsi="Sakkal Majalla"/>
          <w:sz w:val="27"/>
          <w:rtl/>
        </w:rPr>
        <w:t xml:space="preserve"> </w:t>
      </w:r>
      <w:r w:rsidRPr="006571AC">
        <w:rPr>
          <w:rFonts w:ascii="Sakkal Majalla" w:hAnsi="Sakkal Majalla" w:hint="cs"/>
          <w:sz w:val="27"/>
          <w:rtl/>
        </w:rPr>
        <w:t>بلّ</w:t>
      </w:r>
      <w:r w:rsidR="00F72BDC" w:rsidRPr="006571AC">
        <w:rPr>
          <w:rFonts w:ascii="Sakkal Majalla" w:hAnsi="Sakkal Majalla" w:hint="cs"/>
          <w:sz w:val="27"/>
          <w:rtl/>
        </w:rPr>
        <w:t>ِ</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فإ</w:t>
      </w:r>
      <w:r w:rsidRPr="006571AC">
        <w:rPr>
          <w:rFonts w:ascii="Sakkal Majalla" w:hAnsi="Sakkal Majalla"/>
          <w:sz w:val="27"/>
          <w:rtl/>
        </w:rPr>
        <w:t>ن لم تبلّ</w:t>
      </w:r>
      <w:r w:rsidR="00F72BDC" w:rsidRPr="006571AC">
        <w:rPr>
          <w:rFonts w:ascii="Sakkal Majalla" w:hAnsi="Sakkal Majalla" w:hint="cs"/>
          <w:sz w:val="27"/>
          <w:rtl/>
        </w:rPr>
        <w:t>ِ</w:t>
      </w:r>
      <w:r w:rsidRPr="006571AC">
        <w:rPr>
          <w:rFonts w:ascii="Sakkal Majalla" w:hAnsi="Sakkal Majalla"/>
          <w:sz w:val="27"/>
          <w:rtl/>
        </w:rPr>
        <w:t>غ 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فما</w:t>
      </w:r>
      <w:r w:rsidRPr="006571AC">
        <w:rPr>
          <w:rFonts w:ascii="Sakkal Majalla" w:hAnsi="Sakkal Majalla"/>
          <w:sz w:val="27"/>
          <w:rtl/>
        </w:rPr>
        <w:t xml:space="preserve"> </w:t>
      </w:r>
      <w:r w:rsidRPr="006571AC">
        <w:rPr>
          <w:rFonts w:ascii="Sakkal Majalla" w:hAnsi="Sakkal Majalla" w:hint="cs"/>
          <w:sz w:val="27"/>
          <w:rtl/>
        </w:rPr>
        <w:t>بلّ</w:t>
      </w:r>
      <w:r w:rsidR="00F72BDC" w:rsidRPr="006571AC">
        <w:rPr>
          <w:rFonts w:ascii="Sakkal Majalla" w:hAnsi="Sakkal Majalla" w:hint="cs"/>
          <w:sz w:val="27"/>
          <w:rtl/>
        </w:rPr>
        <w:t>َ</w:t>
      </w:r>
      <w:r w:rsidRPr="006571AC">
        <w:rPr>
          <w:rFonts w:ascii="Sakkal Majalla" w:hAnsi="Sakkal Majalla" w:hint="cs"/>
          <w:sz w:val="27"/>
          <w:rtl/>
        </w:rPr>
        <w:t>غ</w:t>
      </w:r>
      <w:r w:rsidR="00F72BDC" w:rsidRPr="006571AC">
        <w:rPr>
          <w:rFonts w:ascii="Sakkal Majalla" w:hAnsi="Sakkal Majalla" w:hint="cs"/>
          <w:sz w:val="27"/>
          <w:rtl/>
        </w:rPr>
        <w:t>ْ</w:t>
      </w:r>
      <w:r w:rsidRPr="006571AC">
        <w:rPr>
          <w:rFonts w:ascii="Sakkal Majalla" w:hAnsi="Sakkal Majalla" w:hint="cs"/>
          <w:sz w:val="27"/>
          <w:rtl/>
        </w:rPr>
        <w:t>ت</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hint="cs"/>
          <w:sz w:val="24"/>
          <w:szCs w:val="24"/>
          <w:rtl/>
        </w:rPr>
        <w:t>»</w:t>
      </w:r>
      <w:r w:rsidR="00F72BDC" w:rsidRPr="006571AC">
        <w:rPr>
          <w:rFonts w:ascii="Sakkal Majalla" w:hAnsi="Sakkal Majalla" w:hint="cs"/>
          <w:sz w:val="27"/>
          <w:rtl/>
        </w:rPr>
        <w:t>،</w:t>
      </w:r>
      <w:r w:rsidRPr="006571AC">
        <w:rPr>
          <w:rFonts w:ascii="Sakkal Majalla" w:hAnsi="Sakkal Majalla"/>
          <w:sz w:val="27"/>
          <w:rtl/>
        </w:rPr>
        <w:t xml:space="preserve"> وحاشا</w:t>
      </w:r>
      <w:r w:rsidRPr="006571AC">
        <w:rPr>
          <w:rFonts w:ascii="Sakkal Majalla" w:hAnsi="Sakkal Majalla" w:hint="cs"/>
          <w:sz w:val="27"/>
          <w:rtl/>
        </w:rPr>
        <w:t xml:space="preserve"> لله تعالى</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تكل</w:t>
      </w:r>
      <w:r w:rsidR="00F72BDC" w:rsidRPr="006571AC">
        <w:rPr>
          <w:rFonts w:ascii="Sakkal Majalla" w:hAnsi="Sakkal Majalla" w:hint="cs"/>
          <w:sz w:val="27"/>
          <w:rtl/>
        </w:rPr>
        <w:t>َّ</w:t>
      </w:r>
      <w:r w:rsidRPr="006571AC">
        <w:rPr>
          <w:rFonts w:ascii="Sakkal Majalla" w:hAnsi="Sakkal Majalla" w:hint="cs"/>
          <w:sz w:val="27"/>
          <w:rtl/>
        </w:rPr>
        <w:t>م</w:t>
      </w:r>
      <w:r w:rsidRPr="006571AC">
        <w:rPr>
          <w:rFonts w:ascii="Sakkal Majalla" w:hAnsi="Sakkal Majalla"/>
          <w:sz w:val="27"/>
          <w:rtl/>
        </w:rPr>
        <w:t xml:space="preserve"> </w:t>
      </w:r>
      <w:r w:rsidRPr="006571AC">
        <w:rPr>
          <w:rFonts w:ascii="Sakkal Majalla" w:hAnsi="Sakkal Majalla" w:hint="cs"/>
          <w:sz w:val="27"/>
          <w:rtl/>
        </w:rPr>
        <w:t>بمثل</w:t>
      </w:r>
      <w:r w:rsidRPr="006571AC">
        <w:rPr>
          <w:rFonts w:ascii="Sakkal Majalla" w:hAnsi="Sakkal Majalla"/>
          <w:sz w:val="27"/>
          <w:rtl/>
        </w:rPr>
        <w:t xml:space="preserve"> </w:t>
      </w:r>
      <w:r w:rsidRPr="006571AC">
        <w:rPr>
          <w:rFonts w:ascii="Sakkal Majalla" w:hAnsi="Sakkal Majalla" w:hint="cs"/>
          <w:sz w:val="27"/>
          <w:rtl/>
        </w:rPr>
        <w:t>هذا</w:t>
      </w:r>
      <w:r w:rsidRPr="006571AC">
        <w:rPr>
          <w:rFonts w:ascii="Sakkal Majalla" w:hAnsi="Sakkal Majalla"/>
          <w:sz w:val="27"/>
          <w:rtl/>
        </w:rPr>
        <w:t xml:space="preserve"> </w:t>
      </w:r>
      <w:r w:rsidRPr="006571AC">
        <w:rPr>
          <w:rFonts w:ascii="Sakkal Majalla" w:hAnsi="Sakkal Majalla" w:hint="cs"/>
          <w:sz w:val="27"/>
          <w:rtl/>
        </w:rPr>
        <w:t>الكلام</w:t>
      </w:r>
      <w:r w:rsidRPr="006571AC">
        <w:rPr>
          <w:rFonts w:ascii="Sakkal Majalla" w:hAnsi="Sakkal Majalla"/>
          <w:sz w:val="27"/>
          <w:rtl/>
        </w:rPr>
        <w:t xml:space="preserve"> </w:t>
      </w:r>
      <w:r w:rsidRPr="006571AC">
        <w:rPr>
          <w:rFonts w:ascii="Sakkal Majalla" w:hAnsi="Sakkal Majalla" w:hint="cs"/>
          <w:sz w:val="27"/>
          <w:rtl/>
        </w:rPr>
        <w:t>الل</w:t>
      </w:r>
      <w:r w:rsidR="00F72BDC" w:rsidRPr="006571AC">
        <w:rPr>
          <w:rFonts w:ascii="Sakkal Majalla" w:hAnsi="Sakkal Majalla" w:hint="cs"/>
          <w:sz w:val="27"/>
          <w:rtl/>
        </w:rPr>
        <w:t>َّ</w:t>
      </w:r>
      <w:r w:rsidRPr="006571AC">
        <w:rPr>
          <w:rFonts w:ascii="Sakkal Majalla" w:hAnsi="Sakkal Majalla"/>
          <w:sz w:val="27"/>
          <w:rtl/>
        </w:rPr>
        <w:t>غ</w:t>
      </w:r>
      <w:r w:rsidR="00F72BDC" w:rsidRPr="006571AC">
        <w:rPr>
          <w:rFonts w:ascii="Sakkal Majalla" w:hAnsi="Sakkal Majalla" w:hint="cs"/>
          <w:sz w:val="27"/>
          <w:rtl/>
        </w:rPr>
        <w:t>ْ</w:t>
      </w:r>
      <w:r w:rsidRPr="006571AC">
        <w:rPr>
          <w:rFonts w:ascii="Sakkal Majalla" w:hAnsi="Sakkal Majalla"/>
          <w:sz w:val="27"/>
          <w:rtl/>
        </w:rPr>
        <w:t>و</w:t>
      </w:r>
      <w:r w:rsidRPr="006571AC">
        <w:rPr>
          <w:rFonts w:ascii="Sakkal Majalla" w:hAnsi="Sakkal Majalla" w:hint="cs"/>
          <w:sz w:val="27"/>
          <w:rtl/>
        </w:rPr>
        <w:t xml:space="preserve">، </w:t>
      </w:r>
      <w:r w:rsidRPr="006571AC">
        <w:rPr>
          <w:rFonts w:ascii="Sakkal Majalla" w:hAnsi="Sakkal Majalla"/>
          <w:sz w:val="27"/>
          <w:rtl/>
        </w:rPr>
        <w:t>والخال</w:t>
      </w:r>
      <w:r w:rsidRPr="006571AC">
        <w:rPr>
          <w:rFonts w:ascii="Sakkal Majalla" w:hAnsi="Sakkal Majalla" w:hint="cs"/>
          <w:sz w:val="27"/>
          <w:rtl/>
        </w:rPr>
        <w:t>ي</w:t>
      </w:r>
      <w:r w:rsidRPr="006571AC">
        <w:rPr>
          <w:rFonts w:ascii="Sakkal Majalla" w:hAnsi="Sakkal Majalla"/>
          <w:sz w:val="27"/>
          <w:rtl/>
        </w:rPr>
        <w:t xml:space="preserve"> عن </w:t>
      </w:r>
      <w:r w:rsidRPr="006571AC">
        <w:rPr>
          <w:rFonts w:ascii="Sakkal Majalla" w:hAnsi="Sakkal Majalla" w:hint="cs"/>
          <w:sz w:val="27"/>
          <w:rtl/>
        </w:rPr>
        <w:t>أ</w:t>
      </w:r>
      <w:r w:rsidRPr="006571AC">
        <w:rPr>
          <w:rFonts w:ascii="Times New Roman" w:hAnsi="Times New Roman" w:hint="cs"/>
          <w:sz w:val="27"/>
          <w:rtl/>
        </w:rPr>
        <w:t>ي</w:t>
      </w:r>
      <w:r w:rsidR="00F72BDC" w:rsidRPr="006571AC">
        <w:rPr>
          <w:rFonts w:ascii="Times New Roman" w:hAnsi="Times New Roman" w:hint="cs"/>
          <w:sz w:val="27"/>
          <w:rtl/>
        </w:rPr>
        <w:t>ّ</w:t>
      </w:r>
      <w:r w:rsidRPr="006571AC">
        <w:rPr>
          <w:rFonts w:ascii="Sakkal Majalla" w:hAnsi="Sakkal Majalla"/>
          <w:sz w:val="27"/>
          <w:rtl/>
        </w:rPr>
        <w:t xml:space="preserve"> </w:t>
      </w:r>
      <w:r w:rsidRPr="006571AC">
        <w:rPr>
          <w:rFonts w:ascii="Sakkal Majalla" w:hAnsi="Sakkal Majalla" w:hint="cs"/>
          <w:sz w:val="27"/>
          <w:rtl/>
        </w:rPr>
        <w:t>فائدة</w:t>
      </w:r>
      <w:r w:rsidR="00F72BDC" w:rsidRPr="006571AC">
        <w:rPr>
          <w:rFonts w:ascii="Sakkal Majalla" w:hAnsi="Sakkal Majalla" w:hint="cs"/>
          <w:sz w:val="27"/>
          <w:rtl/>
        </w:rPr>
        <w:t>ٍ</w:t>
      </w:r>
      <w:r w:rsidRPr="006571AC">
        <w:rPr>
          <w:rFonts w:ascii="Sakkal Majalla" w:hAnsi="Sakkal Majalla"/>
          <w:sz w:val="27"/>
          <w:vertAlign w:val="superscript"/>
          <w:rtl/>
        </w:rPr>
        <w:t>(</w:t>
      </w:r>
      <w:r w:rsidRPr="006571AC">
        <w:rPr>
          <w:rStyle w:val="ac"/>
          <w:rFonts w:ascii="Sakkal Majalla" w:hAnsi="Sakkal Majalla"/>
          <w:sz w:val="27"/>
          <w:rtl/>
        </w:rPr>
        <w:endnoteReference w:id="371"/>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b/>
          <w:bCs/>
          <w:sz w:val="27"/>
          <w:rtl/>
        </w:rPr>
        <w:t>ثان</w:t>
      </w:r>
      <w:r w:rsidRPr="006571AC">
        <w:rPr>
          <w:rFonts w:ascii="Times New Roman" w:hAnsi="Times New Roman" w:hint="cs"/>
          <w:b/>
          <w:bCs/>
          <w:sz w:val="27"/>
          <w:rtl/>
        </w:rPr>
        <w:t>ي</w:t>
      </w:r>
      <w:r w:rsidRPr="006571AC">
        <w:rPr>
          <w:rFonts w:ascii="Sakkal Majalla" w:hAnsi="Sakkal Majalla" w:hint="cs"/>
          <w:b/>
          <w:bCs/>
          <w:sz w:val="27"/>
          <w:rtl/>
        </w:rPr>
        <w:t>اً</w:t>
      </w:r>
      <w:r w:rsidRPr="006571AC">
        <w:rPr>
          <w:rFonts w:ascii="Sakkal Majalla" w:hAnsi="Sakkal Majalla"/>
          <w:b/>
          <w:bCs/>
          <w:sz w:val="27"/>
          <w:rtl/>
        </w:rPr>
        <w:t xml:space="preserve">: </w:t>
      </w:r>
      <w:r w:rsidRPr="006571AC">
        <w:rPr>
          <w:rFonts w:ascii="Sakkal Majalla" w:hAnsi="Sakkal Majalla"/>
          <w:sz w:val="27"/>
          <w:rtl/>
        </w:rPr>
        <w:t>لو صحّ قول القائل</w:t>
      </w:r>
      <w:r w:rsidR="00F72BDC" w:rsidRPr="006571AC">
        <w:rPr>
          <w:rFonts w:ascii="Sakkal Majalla" w:hAnsi="Sakkal Majalla" w:hint="cs"/>
          <w:sz w:val="27"/>
          <w:rtl/>
        </w:rPr>
        <w:t>:</w:t>
      </w:r>
      <w:r w:rsidRPr="006571AC">
        <w:rPr>
          <w:rFonts w:ascii="Sakkal Majalla" w:hAnsi="Sakkal Majalla"/>
          <w:sz w:val="27"/>
          <w:rtl/>
        </w:rPr>
        <w:t xml:space="preserve"> </w:t>
      </w:r>
      <w:r w:rsidR="00F72BDC" w:rsidRPr="006571AC">
        <w:rPr>
          <w:rFonts w:ascii="Sakkal Majalla" w:hAnsi="Sakkal Majalla" w:hint="cs"/>
          <w:sz w:val="27"/>
          <w:rtl/>
        </w:rPr>
        <w:t>إ</w:t>
      </w:r>
      <w:r w:rsidRPr="006571AC">
        <w:rPr>
          <w:rFonts w:ascii="Sakkal Majalla" w:hAnsi="Sakkal Majalla"/>
          <w:sz w:val="27"/>
          <w:rtl/>
        </w:rPr>
        <w:t xml:space="preserve">نّ ما </w:t>
      </w:r>
      <w:r w:rsidRPr="006571AC">
        <w:rPr>
          <w:rFonts w:ascii="Sakkal Majalla" w:hAnsi="Sakkal Majalla" w:hint="cs"/>
          <w:sz w:val="27"/>
          <w:rtl/>
        </w:rPr>
        <w:t xml:space="preserve">أراده الله تعالى </w:t>
      </w:r>
      <w:r w:rsidRPr="006571AC">
        <w:rPr>
          <w:rFonts w:ascii="Sakkal Majalla" w:hAnsi="Sakkal Majalla"/>
          <w:sz w:val="27"/>
          <w:rtl/>
        </w:rPr>
        <w:t>من قوله</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sz w:val="24"/>
          <w:szCs w:val="24"/>
          <w:rtl/>
        </w:rPr>
        <w:t>﴿</w:t>
      </w:r>
      <w:r w:rsidR="00F72BDC" w:rsidRPr="006571AC">
        <w:rPr>
          <w:b/>
          <w:bCs/>
          <w:sz w:val="27"/>
          <w:rtl/>
        </w:rPr>
        <w:t>مَا أُنزِلَ إِلَيْكَ</w:t>
      </w:r>
      <w:r w:rsidRPr="006571AC">
        <w:rPr>
          <w:rFonts w:ascii="Mosawi" w:hAnsi="Mosawi" w:cs="Mosawi"/>
          <w:sz w:val="24"/>
          <w:szCs w:val="24"/>
          <w:rtl/>
        </w:rPr>
        <w:t>﴾</w:t>
      </w:r>
      <w:r w:rsidRPr="006571AC">
        <w:rPr>
          <w:rFonts w:ascii="Sakkal Majalla" w:hAnsi="Sakkal Majalla"/>
          <w:sz w:val="27"/>
          <w:rtl/>
        </w:rPr>
        <w:t xml:space="preserve"> </w:t>
      </w:r>
      <w:r w:rsidRPr="006571AC">
        <w:rPr>
          <w:rFonts w:ascii="Sakkal Majalla" w:hAnsi="Sakkal Majalla"/>
          <w:sz w:val="27"/>
          <w:rtl/>
        </w:rPr>
        <w:lastRenderedPageBreak/>
        <w:t>مجموع 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و</w:t>
      </w:r>
      <w:r w:rsidRPr="006571AC">
        <w:rPr>
          <w:rFonts w:ascii="Sakkal Majalla" w:hAnsi="Sakkal Majalla" w:hint="cs"/>
          <w:sz w:val="27"/>
          <w:rtl/>
        </w:rPr>
        <w:t>أ</w:t>
      </w:r>
      <w:r w:rsidRPr="006571AC">
        <w:rPr>
          <w:rFonts w:ascii="Sakkal Majalla" w:hAnsi="Sakkal Majalla"/>
          <w:sz w:val="27"/>
          <w:rtl/>
        </w:rPr>
        <w:t>صله لكان الأنسب صدور ذل</w:t>
      </w:r>
      <w:r w:rsidRPr="006571AC">
        <w:rPr>
          <w:rFonts w:ascii="Sakkal Majalla" w:hAnsi="Sakkal Majalla" w:hint="cs"/>
          <w:sz w:val="27"/>
          <w:rtl/>
        </w:rPr>
        <w:t>ك</w:t>
      </w:r>
      <w:r w:rsidRPr="006571AC">
        <w:rPr>
          <w:rFonts w:ascii="Sakkal Majalla" w:hAnsi="Sakkal Majalla"/>
          <w:sz w:val="27"/>
          <w:rtl/>
        </w:rPr>
        <w:t xml:space="preserve"> ف</w:t>
      </w:r>
      <w:r w:rsidRPr="006571AC">
        <w:rPr>
          <w:rFonts w:ascii="Sakkal Majalla" w:hAnsi="Sakkal Majalla" w:hint="cs"/>
          <w:sz w:val="27"/>
          <w:rtl/>
        </w:rPr>
        <w:t>ي</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و</w:t>
      </w:r>
      <w:r w:rsidR="00F72BDC" w:rsidRPr="006571AC">
        <w:rPr>
          <w:rFonts w:ascii="Sakkal Majalla" w:hAnsi="Sakkal Majalla" w:hint="cs"/>
          <w:sz w:val="27"/>
          <w:rtl/>
        </w:rPr>
        <w:t>ّ</w:t>
      </w:r>
      <w:r w:rsidRPr="006571AC">
        <w:rPr>
          <w:rFonts w:ascii="Sakkal Majalla" w:hAnsi="Sakkal Majalla"/>
          <w:sz w:val="27"/>
          <w:rtl/>
        </w:rPr>
        <w:t>ل بعث</w:t>
      </w:r>
      <w:r w:rsidRPr="006571AC">
        <w:rPr>
          <w:rFonts w:ascii="Sakkal Majalla" w:hAnsi="Sakkal Majalla" w:hint="cs"/>
          <w:sz w:val="27"/>
          <w:rtl/>
        </w:rPr>
        <w:t>ة النبي</w:t>
      </w:r>
      <w:r w:rsidR="002A2C90" w:rsidRPr="006571AC">
        <w:rPr>
          <w:rFonts w:ascii="Mosawi" w:hAnsi="Mosawi" w:cs="Mosawi"/>
          <w:sz w:val="22"/>
          <w:szCs w:val="22"/>
          <w:rtl/>
        </w:rPr>
        <w:t>|</w:t>
      </w:r>
      <w:r w:rsidR="00F72BDC" w:rsidRPr="006571AC">
        <w:rPr>
          <w:rFonts w:ascii="Sakkal Majalla" w:hAnsi="Sakkal Majalla" w:hint="cs"/>
          <w:sz w:val="27"/>
          <w:rtl/>
        </w:rPr>
        <w:t>؛</w:t>
      </w:r>
      <w:r w:rsidRPr="006571AC">
        <w:rPr>
          <w:rFonts w:ascii="Sakkal Majalla" w:hAnsi="Sakkal Majalla"/>
          <w:sz w:val="27"/>
          <w:rtl/>
        </w:rPr>
        <w:t xml:space="preserve"> ل</w:t>
      </w:r>
      <w:r w:rsidRPr="006571AC">
        <w:rPr>
          <w:rFonts w:ascii="Times New Roman" w:hAnsi="Times New Roman" w:hint="cs"/>
          <w:sz w:val="27"/>
          <w:rtl/>
        </w:rPr>
        <w:t>ي</w:t>
      </w:r>
      <w:r w:rsidRPr="006571AC">
        <w:rPr>
          <w:rFonts w:ascii="Sakkal Majalla" w:hAnsi="Sakkal Majalla" w:hint="cs"/>
          <w:sz w:val="27"/>
          <w:rtl/>
        </w:rPr>
        <w:t>كون</w:t>
      </w:r>
      <w:r w:rsidRPr="006571AC">
        <w:rPr>
          <w:rFonts w:ascii="Sakkal Majalla" w:hAnsi="Sakkal Majalla"/>
          <w:sz w:val="27"/>
          <w:rtl/>
        </w:rPr>
        <w:t xml:space="preserve"> </w:t>
      </w:r>
      <w:r w:rsidRPr="006571AC">
        <w:rPr>
          <w:rFonts w:ascii="Sakkal Majalla" w:hAnsi="Sakkal Majalla" w:hint="cs"/>
          <w:sz w:val="27"/>
          <w:rtl/>
        </w:rPr>
        <w:t>النبي</w:t>
      </w:r>
      <w:r w:rsidR="002A2C90" w:rsidRPr="006571AC">
        <w:rPr>
          <w:rFonts w:ascii="Mosawi" w:hAnsi="Mosawi" w:cs="Mosawi"/>
          <w:sz w:val="22"/>
          <w:szCs w:val="22"/>
          <w:rtl/>
        </w:rPr>
        <w:t>|</w:t>
      </w:r>
      <w:r w:rsidRPr="006571AC">
        <w:rPr>
          <w:rFonts w:ascii="Sakkal Majalla" w:hAnsi="Sakkal Majalla"/>
          <w:sz w:val="27"/>
          <w:rtl/>
        </w:rPr>
        <w:t xml:space="preserve"> على </w:t>
      </w:r>
      <w:r w:rsidRPr="006571AC">
        <w:rPr>
          <w:rFonts w:ascii="Sakkal Majalla" w:hAnsi="Sakkal Majalla" w:hint="cs"/>
          <w:sz w:val="27"/>
          <w:rtl/>
        </w:rPr>
        <w:t>علم</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من أ</w:t>
      </w:r>
      <w:r w:rsidRPr="006571AC">
        <w:rPr>
          <w:rFonts w:ascii="Sakkal Majalla" w:hAnsi="Sakkal Majalla"/>
          <w:sz w:val="27"/>
          <w:rtl/>
        </w:rPr>
        <w:t>نّه لا</w:t>
      </w:r>
      <w:r w:rsidRPr="006571AC">
        <w:rPr>
          <w:rFonts w:ascii="Times New Roman" w:hAnsi="Times New Roman" w:hint="cs"/>
          <w:sz w:val="27"/>
          <w:rtl/>
        </w:rPr>
        <w:t>ي</w:t>
      </w:r>
      <w:r w:rsidRPr="006571AC">
        <w:rPr>
          <w:rFonts w:ascii="Sakkal Majalla" w:hAnsi="Sakkal Majalla" w:hint="cs"/>
          <w:sz w:val="27"/>
          <w:rtl/>
        </w:rPr>
        <w:t>جوز</w:t>
      </w:r>
      <w:r w:rsidRPr="006571AC">
        <w:rPr>
          <w:rFonts w:ascii="Sakkal Majalla" w:hAnsi="Sakkal Majalla"/>
          <w:sz w:val="27"/>
          <w:rtl/>
        </w:rPr>
        <w:t xml:space="preserve"> </w:t>
      </w:r>
      <w:r w:rsidRPr="006571AC">
        <w:rPr>
          <w:rFonts w:ascii="Sakkal Majalla" w:hAnsi="Sakkal Majalla" w:hint="cs"/>
          <w:sz w:val="27"/>
          <w:rtl/>
        </w:rPr>
        <w:t>له</w:t>
      </w:r>
      <w:r w:rsidRPr="006571AC">
        <w:rPr>
          <w:rFonts w:ascii="Sakkal Majalla" w:hAnsi="Sakkal Majalla"/>
          <w:sz w:val="27"/>
          <w:rtl/>
        </w:rPr>
        <w:t xml:space="preserve"> </w:t>
      </w:r>
      <w:r w:rsidR="00F72BDC" w:rsidRPr="006571AC">
        <w:rPr>
          <w:rFonts w:ascii="Sakkal Majalla" w:hAnsi="Sakkal Majalla" w:hint="cs"/>
          <w:sz w:val="27"/>
          <w:rtl/>
        </w:rPr>
        <w:t>إ</w:t>
      </w:r>
      <w:r w:rsidRPr="006571AC">
        <w:rPr>
          <w:rFonts w:ascii="Sakkal Majalla" w:hAnsi="Sakkal Majalla" w:hint="cs"/>
          <w:sz w:val="27"/>
          <w:rtl/>
        </w:rPr>
        <w:t>خفاء</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Times New Roman" w:hAnsi="Times New Roman" w:hint="cs"/>
          <w:sz w:val="27"/>
          <w:rtl/>
        </w:rPr>
        <w:t>ي</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ش</w:t>
      </w:r>
      <w:r w:rsidRPr="006571AC">
        <w:rPr>
          <w:rFonts w:ascii="Times New Roman" w:hAnsi="Times New Roman" w:hint="cs"/>
          <w:sz w:val="27"/>
          <w:rtl/>
        </w:rPr>
        <w:t>ي</w:t>
      </w:r>
      <w:r w:rsidRPr="006571AC">
        <w:rPr>
          <w:rFonts w:ascii="Sakkal Majalla" w:hAnsi="Sakkal Majalla" w:hint="cs"/>
          <w:sz w:val="27"/>
          <w:rtl/>
        </w:rPr>
        <w:t>ء</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نزل</w:t>
      </w:r>
      <w:r w:rsidRPr="006571AC">
        <w:rPr>
          <w:rFonts w:ascii="Sakkal Majalla" w:hAnsi="Sakkal Majalla"/>
          <w:sz w:val="27"/>
          <w:rtl/>
        </w:rPr>
        <w:t xml:space="preserve"> عل</w:t>
      </w:r>
      <w:r w:rsidRPr="006571AC">
        <w:rPr>
          <w:rFonts w:ascii="Times New Roman" w:hAnsi="Times New Roman" w:hint="cs"/>
          <w:sz w:val="27"/>
          <w:rtl/>
        </w:rPr>
        <w:t>ي</w:t>
      </w:r>
      <w:r w:rsidRPr="006571AC">
        <w:rPr>
          <w:rFonts w:ascii="Sakkal Majalla" w:hAnsi="Sakkal Majalla" w:hint="cs"/>
          <w:sz w:val="27"/>
          <w:rtl/>
        </w:rPr>
        <w:t>ه</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مهما</w:t>
      </w:r>
      <w:r w:rsidRPr="006571AC">
        <w:rPr>
          <w:rFonts w:ascii="Sakkal Majalla" w:hAnsi="Sakkal Majalla"/>
          <w:sz w:val="27"/>
          <w:rtl/>
        </w:rPr>
        <w:t xml:space="preserve"> </w:t>
      </w:r>
      <w:r w:rsidRPr="006571AC">
        <w:rPr>
          <w:rFonts w:ascii="Sakkal Majalla" w:hAnsi="Sakkal Majalla" w:hint="cs"/>
          <w:sz w:val="27"/>
          <w:rtl/>
        </w:rPr>
        <w:t>بلغت</w:t>
      </w:r>
      <w:r w:rsidRPr="006571AC">
        <w:rPr>
          <w:rFonts w:ascii="Sakkal Majalla" w:hAnsi="Sakkal Majalla"/>
          <w:sz w:val="27"/>
          <w:rtl/>
        </w:rPr>
        <w:t xml:space="preserve"> </w:t>
      </w:r>
      <w:r w:rsidRPr="006571AC">
        <w:rPr>
          <w:rFonts w:ascii="Sakkal Majalla" w:hAnsi="Sakkal Majalla" w:hint="cs"/>
          <w:sz w:val="27"/>
          <w:rtl/>
        </w:rPr>
        <w:t>محاولة</w:t>
      </w:r>
      <w:r w:rsidRPr="006571AC">
        <w:rPr>
          <w:rFonts w:ascii="Sakkal Majalla" w:hAnsi="Sakkal Majalla"/>
          <w:sz w:val="27"/>
          <w:rtl/>
        </w:rPr>
        <w:t xml:space="preserve"> </w:t>
      </w:r>
      <w:r w:rsidRPr="006571AC">
        <w:rPr>
          <w:rFonts w:ascii="Sakkal Majalla" w:hAnsi="Sakkal Majalla" w:hint="cs"/>
          <w:sz w:val="27"/>
          <w:rtl/>
        </w:rPr>
        <w:t>الكف</w:t>
      </w:r>
      <w:r w:rsidR="00F72BDC" w:rsidRPr="006571AC">
        <w:rPr>
          <w:rFonts w:ascii="Sakkal Majalla" w:hAnsi="Sakkal Majalla" w:hint="cs"/>
          <w:sz w:val="27"/>
          <w:rtl/>
        </w:rPr>
        <w:t>ّ</w:t>
      </w:r>
      <w:r w:rsidRPr="006571AC">
        <w:rPr>
          <w:rFonts w:ascii="Sakkal Majalla" w:hAnsi="Sakkal Majalla" w:hint="cs"/>
          <w:sz w:val="27"/>
          <w:rtl/>
        </w:rPr>
        <w:t>ار</w:t>
      </w:r>
      <w:r w:rsidRPr="006571AC">
        <w:rPr>
          <w:rFonts w:ascii="Sakkal Majalla" w:hAnsi="Sakkal Majalla"/>
          <w:sz w:val="27"/>
          <w:rtl/>
        </w:rPr>
        <w:t xml:space="preserve"> والمشرك</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لمنعه</w:t>
      </w:r>
      <w:r w:rsidRPr="006571AC">
        <w:rPr>
          <w:rFonts w:ascii="Sakkal Majalla" w:hAnsi="Sakkal Majalla"/>
          <w:sz w:val="27"/>
          <w:rtl/>
        </w:rPr>
        <w:t xml:space="preserve"> </w:t>
      </w:r>
      <w:r w:rsidRPr="006571AC">
        <w:rPr>
          <w:rFonts w:ascii="Sakkal Majalla" w:hAnsi="Sakkal Majalla" w:hint="cs"/>
          <w:sz w:val="27"/>
          <w:rtl/>
        </w:rPr>
        <w:t xml:space="preserve">من </w:t>
      </w:r>
      <w:r w:rsidRPr="006571AC">
        <w:rPr>
          <w:rFonts w:ascii="Sakkal Majalla" w:hAnsi="Sakkal Majalla"/>
          <w:sz w:val="27"/>
          <w:rtl/>
        </w:rPr>
        <w:t>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الرسالة</w:t>
      </w:r>
      <w:r w:rsidR="0008380A" w:rsidRPr="006571AC">
        <w:rPr>
          <w:rFonts w:ascii="Sakkal Majalla" w:hAnsi="Sakkal Majalla"/>
          <w:sz w:val="27"/>
          <w:rtl/>
        </w:rPr>
        <w:t>، و</w:t>
      </w:r>
      <w:r w:rsidRPr="006571AC">
        <w:rPr>
          <w:rFonts w:ascii="Sakkal Majalla" w:hAnsi="Sakkal Majalla"/>
          <w:sz w:val="27"/>
          <w:rtl/>
        </w:rPr>
        <w:t xml:space="preserve">قد ثبت </w:t>
      </w:r>
      <w:r w:rsidRPr="006571AC">
        <w:rPr>
          <w:rFonts w:ascii="Sakkal Majalla" w:hAnsi="Sakkal Majalla" w:hint="cs"/>
          <w:sz w:val="27"/>
          <w:rtl/>
        </w:rPr>
        <w:t>أ</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نزلت</w:t>
      </w:r>
      <w:r w:rsidRPr="006571AC">
        <w:rPr>
          <w:rFonts w:ascii="Sakkal Majalla" w:hAnsi="Sakkal Majalla"/>
          <w:sz w:val="27"/>
          <w:rtl/>
        </w:rPr>
        <w:t xml:space="preserve"> </w:t>
      </w:r>
      <w:r w:rsidRPr="006571AC">
        <w:rPr>
          <w:rFonts w:ascii="Sakkal Majalla" w:hAnsi="Sakkal Majalla" w:hint="cs"/>
          <w:sz w:val="27"/>
          <w:rtl/>
        </w:rPr>
        <w:t>في أ</w:t>
      </w:r>
      <w:r w:rsidRPr="006571AC">
        <w:rPr>
          <w:rFonts w:ascii="Sakkal Majalla" w:hAnsi="Sakkal Majalla"/>
          <w:sz w:val="27"/>
          <w:rtl/>
        </w:rPr>
        <w:t>واخر عمر النب</w:t>
      </w:r>
      <w:r w:rsidRPr="006571AC">
        <w:rPr>
          <w:rFonts w:ascii="Sakkal Majalla" w:hAnsi="Sakkal Majalla" w:hint="cs"/>
          <w:sz w:val="27"/>
          <w:rtl/>
        </w:rPr>
        <w:t>ي</w:t>
      </w:r>
      <w:r w:rsidR="002A2C90" w:rsidRPr="006571AC">
        <w:rPr>
          <w:rFonts w:ascii="Mosawi" w:hAnsi="Mosawi" w:cs="Mosawi"/>
          <w:sz w:val="22"/>
          <w:szCs w:val="22"/>
          <w:rtl/>
        </w:rPr>
        <w:t>|</w:t>
      </w:r>
      <w:r w:rsidRPr="006571AC">
        <w:rPr>
          <w:rFonts w:ascii="Sakkal Majalla" w:hAnsi="Sakkal Majalla" w:hint="cs"/>
          <w:sz w:val="27"/>
          <w:rtl/>
        </w:rPr>
        <w:t xml:space="preserve">، </w:t>
      </w:r>
      <w:r w:rsidRPr="006571AC">
        <w:rPr>
          <w:rFonts w:ascii="Sakkal Majalla" w:hAnsi="Sakkal Majalla"/>
          <w:sz w:val="27"/>
          <w:rtl/>
        </w:rPr>
        <w:t>وذل</w:t>
      </w:r>
      <w:r w:rsidRPr="006571AC">
        <w:rPr>
          <w:rFonts w:ascii="Sakkal Majalla" w:hAnsi="Sakkal Majalla" w:hint="cs"/>
          <w:sz w:val="27"/>
          <w:rtl/>
        </w:rPr>
        <w:t>ك</w:t>
      </w:r>
      <w:r w:rsidRPr="006571AC">
        <w:rPr>
          <w:rFonts w:ascii="Sakkal Majalla" w:hAnsi="Sakkal Majalla"/>
          <w:sz w:val="27"/>
          <w:rtl/>
        </w:rPr>
        <w:t xml:space="preserve"> بما تقدّ</w:t>
      </w:r>
      <w:r w:rsidR="0008380A" w:rsidRPr="006571AC">
        <w:rPr>
          <w:rFonts w:ascii="Sakkal Majalla" w:hAnsi="Sakkal Majalla" w:hint="cs"/>
          <w:sz w:val="27"/>
          <w:rtl/>
        </w:rPr>
        <w:t>َ</w:t>
      </w:r>
      <w:r w:rsidRPr="006571AC">
        <w:rPr>
          <w:rFonts w:ascii="Sakkal Majalla" w:hAnsi="Sakkal Majalla"/>
          <w:sz w:val="27"/>
          <w:rtl/>
        </w:rPr>
        <w:t>م من ال</w:t>
      </w:r>
      <w:r w:rsidRPr="006571AC">
        <w:rPr>
          <w:rFonts w:ascii="Sakkal Majalla" w:hAnsi="Sakkal Majalla" w:hint="cs"/>
          <w:sz w:val="27"/>
          <w:rtl/>
        </w:rPr>
        <w:t>أ</w:t>
      </w:r>
      <w:r w:rsidRPr="006571AC">
        <w:rPr>
          <w:rFonts w:ascii="Sakkal Majalla" w:hAnsi="Sakkal Majalla"/>
          <w:sz w:val="27"/>
          <w:rtl/>
        </w:rPr>
        <w:t>حاد</w:t>
      </w:r>
      <w:r w:rsidRPr="006571AC">
        <w:rPr>
          <w:rFonts w:ascii="Times New Roman" w:hAnsi="Times New Roman" w:hint="cs"/>
          <w:sz w:val="27"/>
          <w:rtl/>
        </w:rPr>
        <w:t>ي</w:t>
      </w:r>
      <w:r w:rsidRPr="006571AC">
        <w:rPr>
          <w:rFonts w:ascii="Sakkal Majalla" w:hAnsi="Sakkal Majalla" w:hint="cs"/>
          <w:sz w:val="27"/>
          <w:rtl/>
        </w:rPr>
        <w:t>ث</w:t>
      </w:r>
      <w:r w:rsidRPr="006571AC">
        <w:rPr>
          <w:rFonts w:ascii="Sakkal Majalla" w:hAnsi="Sakkal Majalla"/>
          <w:sz w:val="27"/>
          <w:rtl/>
        </w:rPr>
        <w:t xml:space="preserve"> </w:t>
      </w:r>
      <w:r w:rsidRPr="006571AC">
        <w:rPr>
          <w:rFonts w:ascii="Sakkal Majalla" w:hAnsi="Sakkal Majalla" w:hint="cs"/>
          <w:sz w:val="27"/>
          <w:rtl/>
        </w:rPr>
        <w:t>الكث</w:t>
      </w:r>
      <w:r w:rsidRPr="006571AC">
        <w:rPr>
          <w:rFonts w:ascii="Times New Roman" w:hAnsi="Times New Roman" w:hint="cs"/>
          <w:sz w:val="27"/>
          <w:rtl/>
        </w:rPr>
        <w:t>ي</w:t>
      </w:r>
      <w:r w:rsidRPr="006571AC">
        <w:rPr>
          <w:rFonts w:ascii="Sakkal Majalla" w:hAnsi="Sakkal Majalla" w:hint="cs"/>
          <w:sz w:val="27"/>
          <w:rtl/>
        </w:rPr>
        <w:t>رة</w:t>
      </w:r>
      <w:r w:rsidRPr="006571AC">
        <w:rPr>
          <w:rFonts w:ascii="Sakkal Majalla" w:hAnsi="Sakkal Majalla"/>
          <w:sz w:val="27"/>
          <w:rtl/>
        </w:rPr>
        <w:t xml:space="preserve"> والمتواترة من </w:t>
      </w:r>
      <w:r w:rsidRPr="006571AC">
        <w:rPr>
          <w:rFonts w:ascii="Sakkal Majalla" w:hAnsi="Sakkal Majalla" w:hint="cs"/>
          <w:sz w:val="27"/>
          <w:rtl/>
        </w:rPr>
        <w:t>أ</w:t>
      </w:r>
      <w:r w:rsidRPr="006571AC">
        <w:rPr>
          <w:rFonts w:ascii="Sakkal Majalla" w:hAnsi="Sakkal Majalla"/>
          <w:sz w:val="27"/>
          <w:rtl/>
        </w:rPr>
        <w:t>نّ 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Mosawi" w:hAnsi="Mosawi" w:cs="Mosawi"/>
          <w:sz w:val="24"/>
          <w:szCs w:val="24"/>
          <w:rtl/>
        </w:rPr>
        <w:t>﴿</w:t>
      </w:r>
      <w:r w:rsidRPr="006571AC">
        <w:rPr>
          <w:rFonts w:ascii="Sakkal Majalla" w:hAnsi="Sakkal Majalla" w:hint="cs"/>
          <w:b/>
          <w:bCs/>
          <w:sz w:val="27"/>
          <w:rtl/>
        </w:rPr>
        <w:t>م</w:t>
      </w:r>
      <w:r w:rsidR="0008380A" w:rsidRPr="006571AC">
        <w:rPr>
          <w:rFonts w:ascii="Sakkal Majalla" w:hAnsi="Sakkal Majalla" w:hint="cs"/>
          <w:b/>
          <w:bCs/>
          <w:sz w:val="27"/>
          <w:rtl/>
        </w:rPr>
        <w:t>َ</w:t>
      </w:r>
      <w:r w:rsidRPr="006571AC">
        <w:rPr>
          <w:rFonts w:ascii="Sakkal Majalla" w:hAnsi="Sakkal Majalla" w:hint="cs"/>
          <w:b/>
          <w:bCs/>
          <w:sz w:val="27"/>
          <w:rtl/>
        </w:rPr>
        <w:t>ا</w:t>
      </w:r>
      <w:r w:rsidRPr="006571AC">
        <w:rPr>
          <w:rFonts w:ascii="Sakkal Majalla" w:hAnsi="Sakkal Majalla"/>
          <w:b/>
          <w:bCs/>
          <w:sz w:val="27"/>
          <w:rtl/>
        </w:rPr>
        <w:t xml:space="preserve"> </w:t>
      </w:r>
      <w:r w:rsidRPr="006571AC">
        <w:rPr>
          <w:rFonts w:ascii="Sakkal Majalla" w:hAnsi="Sakkal Majalla" w:hint="cs"/>
          <w:b/>
          <w:bCs/>
          <w:sz w:val="27"/>
          <w:rtl/>
        </w:rPr>
        <w:t>أ</w:t>
      </w:r>
      <w:r w:rsidR="0008380A" w:rsidRPr="006571AC">
        <w:rPr>
          <w:rFonts w:ascii="Sakkal Majalla" w:hAnsi="Sakkal Majalla" w:hint="cs"/>
          <w:b/>
          <w:bCs/>
          <w:sz w:val="27"/>
          <w:rtl/>
        </w:rPr>
        <w:t>ُ</w:t>
      </w:r>
      <w:r w:rsidRPr="006571AC">
        <w:rPr>
          <w:rFonts w:ascii="Sakkal Majalla" w:hAnsi="Sakkal Majalla"/>
          <w:b/>
          <w:bCs/>
          <w:sz w:val="27"/>
          <w:rtl/>
        </w:rPr>
        <w:t>ن</w:t>
      </w:r>
      <w:r w:rsidR="0008380A" w:rsidRPr="006571AC">
        <w:rPr>
          <w:rFonts w:ascii="Sakkal Majalla" w:hAnsi="Sakkal Majalla" w:hint="cs"/>
          <w:b/>
          <w:bCs/>
          <w:sz w:val="27"/>
          <w:rtl/>
        </w:rPr>
        <w:t>ْ</w:t>
      </w:r>
      <w:r w:rsidRPr="006571AC">
        <w:rPr>
          <w:rFonts w:ascii="Sakkal Majalla" w:hAnsi="Sakkal Majalla"/>
          <w:b/>
          <w:bCs/>
          <w:sz w:val="27"/>
          <w:rtl/>
        </w:rPr>
        <w:t>ز</w:t>
      </w:r>
      <w:r w:rsidR="0008380A" w:rsidRPr="006571AC">
        <w:rPr>
          <w:rFonts w:ascii="Sakkal Majalla" w:hAnsi="Sakkal Majalla" w:hint="cs"/>
          <w:b/>
          <w:bCs/>
          <w:sz w:val="27"/>
          <w:rtl/>
        </w:rPr>
        <w:t>ِ</w:t>
      </w:r>
      <w:r w:rsidRPr="006571AC">
        <w:rPr>
          <w:rFonts w:ascii="Sakkal Majalla" w:hAnsi="Sakkal Majalla"/>
          <w:b/>
          <w:bCs/>
          <w:sz w:val="27"/>
          <w:rtl/>
        </w:rPr>
        <w:t>ل</w:t>
      </w:r>
      <w:r w:rsidR="0008380A" w:rsidRPr="006571AC">
        <w:rPr>
          <w:rFonts w:ascii="Sakkal Majalla" w:hAnsi="Sakkal Majalla" w:hint="cs"/>
          <w:b/>
          <w:bCs/>
          <w:sz w:val="27"/>
          <w:rtl/>
        </w:rPr>
        <w:t>َ</w:t>
      </w:r>
      <w:r w:rsidRPr="006571AC">
        <w:rPr>
          <w:rFonts w:ascii="Mosawi" w:hAnsi="Mosawi" w:cs="Mosawi"/>
          <w:sz w:val="24"/>
          <w:szCs w:val="24"/>
          <w:rtl/>
        </w:rPr>
        <w:t>﴾</w:t>
      </w:r>
      <w:r w:rsidRPr="006571AC">
        <w:rPr>
          <w:rFonts w:ascii="Sakkal Majalla" w:hAnsi="Sakkal Majalla"/>
          <w:sz w:val="27"/>
          <w:rtl/>
        </w:rPr>
        <w:t xml:space="preserve"> قد تحق</w:t>
      </w:r>
      <w:r w:rsidR="0008380A" w:rsidRPr="006571AC">
        <w:rPr>
          <w:rFonts w:ascii="Sakkal Majalla" w:hAnsi="Sakkal Majalla" w:hint="cs"/>
          <w:sz w:val="27"/>
          <w:rtl/>
        </w:rPr>
        <w:t>َّ</w:t>
      </w:r>
      <w:r w:rsidRPr="006571AC">
        <w:rPr>
          <w:rFonts w:ascii="Sakkal Majalla" w:hAnsi="Sakkal Majalla"/>
          <w:sz w:val="27"/>
          <w:rtl/>
        </w:rPr>
        <w:t>ق ف</w:t>
      </w:r>
      <w:r w:rsidRPr="006571AC">
        <w:rPr>
          <w:rFonts w:ascii="Sakkal Majalla" w:hAnsi="Sakkal Majalla" w:hint="cs"/>
          <w:sz w:val="27"/>
          <w:rtl/>
        </w:rPr>
        <w:t>ي</w:t>
      </w:r>
      <w:r w:rsidRPr="006571AC">
        <w:rPr>
          <w:rFonts w:ascii="Sakkal Majalla" w:hAnsi="Sakkal Majalla"/>
          <w:sz w:val="27"/>
          <w:rtl/>
        </w:rPr>
        <w:t xml:space="preserve"> حج</w:t>
      </w:r>
      <w:r w:rsidR="0008380A" w:rsidRPr="006571AC">
        <w:rPr>
          <w:rFonts w:ascii="Sakkal Majalla" w:hAnsi="Sakkal Majalla" w:hint="cs"/>
          <w:sz w:val="27"/>
          <w:rtl/>
        </w:rPr>
        <w:t>ّ</w:t>
      </w:r>
      <w:r w:rsidRPr="006571AC">
        <w:rPr>
          <w:rFonts w:ascii="Sakkal Majalla" w:hAnsi="Sakkal Majalla"/>
          <w:sz w:val="27"/>
          <w:rtl/>
        </w:rPr>
        <w:t>ة الود</w:t>
      </w:r>
      <w:r w:rsidR="0008380A" w:rsidRPr="006571AC">
        <w:rPr>
          <w:rFonts w:ascii="Sakkal Majalla" w:hAnsi="Sakkal Majalla"/>
          <w:sz w:val="27"/>
          <w:rtl/>
        </w:rPr>
        <w:t>اع</w:t>
      </w:r>
      <w:r w:rsidR="0008380A" w:rsidRPr="006571AC">
        <w:rPr>
          <w:rFonts w:ascii="Sakkal Majalla" w:hAnsi="Sakkal Majalla" w:hint="cs"/>
          <w:sz w:val="27"/>
          <w:rtl/>
        </w:rPr>
        <w:t>.</w:t>
      </w:r>
    </w:p>
    <w:p w:rsidR="005D05A4" w:rsidRPr="006571AC" w:rsidRDefault="005D05A4" w:rsidP="00B41BA0">
      <w:pPr>
        <w:rPr>
          <w:rFonts w:ascii="Sakkal Majalla" w:hAnsi="Sakkal Majalla"/>
          <w:sz w:val="27"/>
          <w:rtl/>
        </w:rPr>
      </w:pPr>
      <w:r w:rsidRPr="006571AC">
        <w:rPr>
          <w:rFonts w:ascii="Sakkal Majalla" w:hAnsi="Sakkal Majalla" w:hint="cs"/>
          <w:sz w:val="27"/>
          <w:rtl/>
        </w:rPr>
        <w:t>أض</w:t>
      </w:r>
      <w:r w:rsidR="0008380A" w:rsidRPr="006571AC">
        <w:rPr>
          <w:rFonts w:ascii="Sakkal Majalla" w:hAnsi="Sakkal Majalla" w:hint="cs"/>
          <w:sz w:val="27"/>
          <w:rtl/>
        </w:rPr>
        <w:t>ِ</w:t>
      </w:r>
      <w:r w:rsidRPr="006571AC">
        <w:rPr>
          <w:rFonts w:ascii="Sakkal Majalla" w:hAnsi="Sakkal Majalla" w:hint="cs"/>
          <w:sz w:val="27"/>
          <w:rtl/>
        </w:rPr>
        <w:t>ف</w:t>
      </w:r>
      <w:r w:rsidR="0008380A" w:rsidRPr="006571AC">
        <w:rPr>
          <w:rFonts w:ascii="Sakkal Majalla" w:hAnsi="Sakkal Majalla" w:hint="cs"/>
          <w:sz w:val="27"/>
          <w:rtl/>
        </w:rPr>
        <w:t>ْ</w:t>
      </w:r>
      <w:r w:rsidRPr="006571AC">
        <w:rPr>
          <w:rFonts w:ascii="Sakkal Majalla" w:hAnsi="Sakkal Majalla" w:hint="cs"/>
          <w:sz w:val="27"/>
          <w:rtl/>
        </w:rPr>
        <w:t xml:space="preserve"> إلى ذلك أ</w:t>
      </w:r>
      <w:r w:rsidRPr="006571AC">
        <w:rPr>
          <w:rFonts w:ascii="Sakkal Majalla" w:hAnsi="Sakkal Majalla"/>
          <w:sz w:val="27"/>
          <w:rtl/>
        </w:rPr>
        <w:t>نّ الكث</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الأح</w:t>
      </w:r>
      <w:r w:rsidRPr="006571AC">
        <w:rPr>
          <w:rFonts w:ascii="Sakkal Majalla" w:hAnsi="Sakkal Majalla"/>
          <w:sz w:val="27"/>
          <w:rtl/>
        </w:rPr>
        <w:t>كام والقوان</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و</w:t>
      </w:r>
      <w:r w:rsidR="0008380A" w:rsidRPr="006571AC">
        <w:rPr>
          <w:rFonts w:ascii="Sakkal Majalla" w:hAnsi="Sakkal Majalla" w:hint="cs"/>
          <w:sz w:val="27"/>
          <w:rtl/>
        </w:rPr>
        <w:t>ّ</w:t>
      </w:r>
      <w:r w:rsidRPr="006571AC">
        <w:rPr>
          <w:rFonts w:ascii="Sakkal Majalla" w:hAnsi="Sakkal Majalla"/>
          <w:sz w:val="27"/>
          <w:rtl/>
        </w:rPr>
        <w:t>ل البعثة لم تشرّ</w:t>
      </w:r>
      <w:r w:rsidR="0008380A" w:rsidRPr="006571AC">
        <w:rPr>
          <w:rFonts w:ascii="Sakkal Majalla" w:hAnsi="Sakkal Majalla" w:hint="cs"/>
          <w:sz w:val="27"/>
          <w:rtl/>
        </w:rPr>
        <w:t>َ</w:t>
      </w:r>
      <w:r w:rsidRPr="006571AC">
        <w:rPr>
          <w:rFonts w:ascii="Sakkal Majalla" w:hAnsi="Sakkal Majalla"/>
          <w:sz w:val="27"/>
          <w:rtl/>
        </w:rPr>
        <w:t>ع</w:t>
      </w:r>
      <w:r w:rsidR="0008380A" w:rsidRPr="006571AC">
        <w:rPr>
          <w:rFonts w:ascii="Sakkal Majalla" w:hAnsi="Sakkal Majalla" w:hint="cs"/>
          <w:sz w:val="27"/>
          <w:rtl/>
        </w:rPr>
        <w:t>ْ</w:t>
      </w:r>
      <w:r w:rsidRPr="006571AC">
        <w:rPr>
          <w:rFonts w:ascii="Sakkal Majalla" w:hAnsi="Sakkal Majalla"/>
          <w:sz w:val="27"/>
          <w:rtl/>
        </w:rPr>
        <w:t xml:space="preserve"> بعد</w:t>
      </w:r>
      <w:r w:rsidRPr="006571AC">
        <w:rPr>
          <w:rFonts w:ascii="Sakkal Majalla" w:hAnsi="Sakkal Majalla" w:hint="cs"/>
          <w:sz w:val="27"/>
          <w:rtl/>
        </w:rPr>
        <w:t xml:space="preserve">، </w:t>
      </w:r>
      <w:r w:rsidRPr="006571AC">
        <w:rPr>
          <w:rFonts w:ascii="Sakkal Majalla" w:hAnsi="Sakkal Majalla"/>
          <w:sz w:val="27"/>
          <w:rtl/>
        </w:rPr>
        <w:t xml:space="preserve">فلا </w:t>
      </w:r>
      <w:r w:rsidRPr="006571AC">
        <w:rPr>
          <w:rFonts w:ascii="Times New Roman" w:hAnsi="Times New Roman" w:hint="cs"/>
          <w:sz w:val="27"/>
          <w:rtl/>
        </w:rPr>
        <w:t>ي</w:t>
      </w:r>
      <w:r w:rsidRPr="006571AC">
        <w:rPr>
          <w:rFonts w:ascii="Sakkal Majalla" w:hAnsi="Sakkal Majalla" w:hint="cs"/>
          <w:sz w:val="27"/>
          <w:rtl/>
        </w:rPr>
        <w:t>صحّ</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خاطبه</w:t>
      </w:r>
      <w:r w:rsidRPr="006571AC">
        <w:rPr>
          <w:rFonts w:ascii="Sakkal Majalla" w:hAnsi="Sakkal Majalla"/>
          <w:sz w:val="27"/>
          <w:rtl/>
        </w:rPr>
        <w:t xml:space="preserve"> </w:t>
      </w:r>
      <w:r w:rsidRPr="006571AC">
        <w:rPr>
          <w:rFonts w:ascii="Sakkal Majalla" w:hAnsi="Sakkal Majalla" w:hint="cs"/>
          <w:sz w:val="27"/>
          <w:rtl/>
        </w:rPr>
        <w:t>الله</w:t>
      </w:r>
      <w:r w:rsidRPr="006571AC">
        <w:rPr>
          <w:rFonts w:ascii="Sakkal Majalla" w:hAnsi="Sakkal Majalla"/>
          <w:sz w:val="27"/>
          <w:rtl/>
        </w:rPr>
        <w:t xml:space="preserve"> تعالى </w:t>
      </w:r>
      <w:r w:rsidRPr="006571AC">
        <w:rPr>
          <w:rFonts w:ascii="Sakkal Majalla" w:hAnsi="Sakkal Majalla" w:hint="cs"/>
          <w:sz w:val="27"/>
          <w:rtl/>
        </w:rPr>
        <w:t>بقوله</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w:t>
      </w:r>
      <w:r w:rsidR="0008380A" w:rsidRPr="006571AC">
        <w:rPr>
          <w:rFonts w:ascii="Sakkal Majalla" w:hAnsi="Sakkal Majalla" w:hint="cs"/>
          <w:sz w:val="27"/>
          <w:rtl/>
        </w:rPr>
        <w:t>ْ</w:t>
      </w:r>
      <w:r w:rsidRPr="006571AC">
        <w:rPr>
          <w:rFonts w:ascii="Sakkal Majalla" w:hAnsi="Sakkal Majalla"/>
          <w:sz w:val="27"/>
          <w:rtl/>
        </w:rPr>
        <w:t xml:space="preserve"> لم تبلّ</w:t>
      </w:r>
      <w:r w:rsidR="0008380A" w:rsidRPr="006571AC">
        <w:rPr>
          <w:rFonts w:ascii="Sakkal Majalla" w:hAnsi="Sakkal Majalla" w:hint="cs"/>
          <w:sz w:val="27"/>
          <w:rtl/>
        </w:rPr>
        <w:t>ِ</w:t>
      </w:r>
      <w:r w:rsidRPr="006571AC">
        <w:rPr>
          <w:rFonts w:ascii="Sakkal Majalla" w:hAnsi="Sakkal Majalla"/>
          <w:sz w:val="27"/>
          <w:rtl/>
        </w:rPr>
        <w:t>غ هذه الرسالة ب</w:t>
      </w:r>
      <w:r w:rsidRPr="006571AC">
        <w:rPr>
          <w:rFonts w:ascii="Sakkal Majalla" w:hAnsi="Sakkal Majalla" w:hint="cs"/>
          <w:sz w:val="27"/>
          <w:rtl/>
        </w:rPr>
        <w:t>أ</w:t>
      </w:r>
      <w:r w:rsidRPr="006571AC">
        <w:rPr>
          <w:rFonts w:ascii="Sakkal Majalla" w:hAnsi="Sakkal Majalla"/>
          <w:sz w:val="27"/>
          <w:rtl/>
        </w:rPr>
        <w:t>جمعها وبكل</w:t>
      </w:r>
      <w:r w:rsidR="0008380A" w:rsidRPr="006571AC">
        <w:rPr>
          <w:rFonts w:ascii="Sakkal Majalla" w:hAnsi="Sakkal Majalla" w:hint="cs"/>
          <w:sz w:val="27"/>
          <w:rtl/>
        </w:rPr>
        <w:t>ّ</w:t>
      </w:r>
      <w:r w:rsidRPr="006571AC">
        <w:rPr>
          <w:rFonts w:ascii="Sakkal Majalla" w:hAnsi="Sakkal Majalla"/>
          <w:sz w:val="27"/>
          <w:rtl/>
        </w:rPr>
        <w:t xml:space="preserve"> تفاص</w:t>
      </w:r>
      <w:r w:rsidRPr="006571AC">
        <w:rPr>
          <w:rFonts w:ascii="Times New Roman" w:hAnsi="Times New Roman" w:hint="cs"/>
          <w:sz w:val="27"/>
          <w:rtl/>
        </w:rPr>
        <w:t>ي</w:t>
      </w:r>
      <w:r w:rsidRPr="006571AC">
        <w:rPr>
          <w:rFonts w:ascii="Sakkal Majalla" w:hAnsi="Sakkal Majalla" w:hint="cs"/>
          <w:sz w:val="27"/>
          <w:rtl/>
        </w:rPr>
        <w:t>لها</w:t>
      </w:r>
      <w:r w:rsidR="0008380A" w:rsidRPr="006571AC">
        <w:rPr>
          <w:rFonts w:ascii="Sakkal Majalla" w:hAnsi="Sakkal Majalla" w:hint="cs"/>
          <w:sz w:val="27"/>
          <w:rtl/>
        </w:rPr>
        <w:t>،</w:t>
      </w:r>
      <w:r w:rsidRPr="006571AC">
        <w:rPr>
          <w:rFonts w:ascii="Sakkal Majalla" w:hAnsi="Sakkal Majalla"/>
          <w:sz w:val="27"/>
          <w:rtl/>
        </w:rPr>
        <w:t xml:space="preserve"> ك</w:t>
      </w:r>
      <w:r w:rsidRPr="006571AC">
        <w:rPr>
          <w:rFonts w:ascii="Times New Roman" w:hAnsi="Times New Roman" w:hint="cs"/>
          <w:sz w:val="27"/>
          <w:rtl/>
        </w:rPr>
        <w:t>ي</w:t>
      </w:r>
      <w:r w:rsidRPr="006571AC">
        <w:rPr>
          <w:rFonts w:ascii="Sakkal Majalla" w:hAnsi="Sakkal Majalla" w:hint="cs"/>
          <w:sz w:val="27"/>
          <w:rtl/>
        </w:rPr>
        <w:t>ف</w:t>
      </w:r>
      <w:r w:rsidR="0008380A" w:rsidRPr="006571AC">
        <w:rPr>
          <w:rFonts w:ascii="Sakkal Majalla" w:hAnsi="Sakkal Majalla" w:hint="cs"/>
          <w:sz w:val="27"/>
          <w:rtl/>
        </w:rPr>
        <w:t>،</w:t>
      </w:r>
      <w:r w:rsidRPr="006571AC">
        <w:rPr>
          <w:rFonts w:ascii="Sakkal Majalla" w:hAnsi="Sakkal Majalla"/>
          <w:sz w:val="27"/>
          <w:rtl/>
        </w:rPr>
        <w:t xml:space="preserve"> وه</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لم</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كتمل</w:t>
      </w:r>
      <w:r w:rsidRPr="006571AC">
        <w:rPr>
          <w:rFonts w:ascii="Sakkal Majalla" w:hAnsi="Sakkal Majalla"/>
          <w:sz w:val="27"/>
          <w:rtl/>
        </w:rPr>
        <w:t xml:space="preserve"> منها عشر معشارها؟! </w:t>
      </w:r>
    </w:p>
    <w:p w:rsidR="005D05A4" w:rsidRPr="006571AC" w:rsidRDefault="005D05A4" w:rsidP="003E303F">
      <w:pPr>
        <w:pStyle w:val="af"/>
        <w:rPr>
          <w:rFonts w:ascii="Sakkal Majalla" w:hAnsi="Sakkal Majalla" w:cs="AL-Mohanad"/>
          <w:sz w:val="27"/>
          <w:szCs w:val="27"/>
          <w:rtl/>
        </w:rPr>
      </w:pPr>
      <w:r w:rsidRPr="006571AC">
        <w:rPr>
          <w:rFonts w:ascii="Sakkal Majalla" w:hAnsi="Sakkal Majalla" w:cs="AL-Mohanad"/>
          <w:b/>
          <w:bCs/>
          <w:sz w:val="27"/>
          <w:szCs w:val="27"/>
          <w:rtl/>
        </w:rPr>
        <w:t xml:space="preserve">ثالثاً: </w:t>
      </w:r>
      <w:r w:rsidR="0008380A"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 الله تعالى </w:t>
      </w:r>
      <w:r w:rsidRPr="006571AC">
        <w:rPr>
          <w:rFonts w:ascii="Sakkal Majalla" w:hAnsi="Sakkal Majalla" w:cs="AL-Mohanad" w:hint="cs"/>
          <w:sz w:val="27"/>
          <w:szCs w:val="27"/>
          <w:rtl/>
        </w:rPr>
        <w:t>أ</w:t>
      </w:r>
      <w:r w:rsidRPr="006571AC">
        <w:rPr>
          <w:rFonts w:ascii="Sakkal Majalla" w:hAnsi="Sakkal Majalla" w:cs="AL-Mohanad"/>
          <w:sz w:val="27"/>
          <w:szCs w:val="27"/>
          <w:rtl/>
        </w:rPr>
        <w:t>مر نب</w:t>
      </w:r>
      <w:r w:rsidRPr="006571AC">
        <w:rPr>
          <w:rFonts w:cs="AL-Mohanad" w:hint="cs"/>
          <w:sz w:val="27"/>
          <w:szCs w:val="27"/>
          <w:rtl/>
        </w:rPr>
        <w:t>ي</w:t>
      </w:r>
      <w:r w:rsidR="0008380A" w:rsidRPr="006571AC">
        <w:rPr>
          <w:rFonts w:cs="AL-Mohanad" w:hint="cs"/>
          <w:sz w:val="27"/>
          <w:szCs w:val="27"/>
          <w:rtl/>
        </w:rPr>
        <w:t>َّ</w:t>
      </w:r>
      <w:r w:rsidRPr="006571AC">
        <w:rPr>
          <w:rFonts w:ascii="Sakkal Majalla" w:hAnsi="Sakkal Majalla" w:cs="AL-Mohanad" w:hint="cs"/>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ول البعثة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الفترة المك</w:t>
      </w:r>
      <w:r w:rsidR="0008380A"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ـ قبل نزول 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ـ</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w:t>
      </w:r>
      <w:r w:rsidRPr="006571AC">
        <w:rPr>
          <w:rFonts w:ascii="Sakkal Majalla" w:hAnsi="Sakkal Majalla" w:cs="AL-Mohanad" w:hint="cs"/>
          <w:sz w:val="27"/>
          <w:szCs w:val="27"/>
          <w:rtl/>
        </w:rPr>
        <w:t>إ</w:t>
      </w:r>
      <w:r w:rsidRPr="006571AC">
        <w:rPr>
          <w:rFonts w:ascii="Sakkal Majalla" w:hAnsi="Sakkal Majalla" w:cs="AL-Mohanad"/>
          <w:sz w:val="27"/>
          <w:szCs w:val="27"/>
          <w:rtl/>
        </w:rPr>
        <w:t>بلاغ كل</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w:t>
      </w:r>
      <w:r w:rsidRPr="006571AC">
        <w:rPr>
          <w:rFonts w:cs="AL-Mohanad" w:hint="cs"/>
          <w:sz w:val="27"/>
          <w:szCs w:val="27"/>
          <w:rtl/>
        </w:rPr>
        <w:t>ي</w:t>
      </w:r>
      <w:r w:rsidR="0008380A" w:rsidRPr="006571AC">
        <w:rPr>
          <w:rFonts w:cs="AL-Mohanad" w:hint="cs"/>
          <w:sz w:val="27"/>
          <w:szCs w:val="27"/>
          <w:rtl/>
        </w:rPr>
        <w:t>ُ</w:t>
      </w:r>
      <w:r w:rsidRPr="006571AC">
        <w:rPr>
          <w:rFonts w:ascii="Sakkal Majalla" w:hAnsi="Sakkal Majalla" w:cs="AL-Mohanad" w:hint="cs"/>
          <w:sz w:val="27"/>
          <w:szCs w:val="27"/>
          <w:rtl/>
        </w:rPr>
        <w:t>ؤ</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م</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نزل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قال تعالى</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فَاصْدَعْ بِم</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تُؤْمَرُ وأَعْرِضْ عَنِ الْمُشْرِكِينَ * إِنَّا كَفَيْن</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اكَ الْمُسْتَهْزِئِين</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w:t>
      </w:r>
      <w:r w:rsidRPr="006571AC">
        <w:rPr>
          <w:rFonts w:ascii="Mosawi" w:hAnsi="Mosawi" w:cs="Mosawi"/>
          <w:rtl/>
        </w:rPr>
        <w:t>﴾</w:t>
      </w:r>
      <w:r w:rsidRPr="006571AC">
        <w:rPr>
          <w:rFonts w:ascii="Sakkal Majalla" w:hAnsi="Sakkal Majalla" w:cs="AL-Mohanad" w:hint="cs"/>
          <w:sz w:val="27"/>
          <w:szCs w:val="27"/>
          <w:rtl/>
        </w:rPr>
        <w:t xml:space="preserve"> (الحجر: 94 ـ 95)</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والآ</w:t>
      </w:r>
      <w:r w:rsidRPr="006571AC">
        <w:rPr>
          <w:rFonts w:cs="AL-Mohanad" w:hint="cs"/>
          <w:sz w:val="27"/>
          <w:szCs w:val="27"/>
          <w:rtl/>
        </w:rPr>
        <w:t>ي</w:t>
      </w:r>
      <w:r w:rsidRPr="006571AC">
        <w:rPr>
          <w:rFonts w:ascii="Sakkal Majalla" w:hAnsi="Sakkal Majalla" w:cs="AL-Mohanad" w:hint="cs"/>
          <w:sz w:val="27"/>
          <w:szCs w:val="27"/>
          <w:rtl/>
        </w:rPr>
        <w:t>تان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نزلتا في</w:t>
      </w:r>
      <w:r w:rsidRPr="006571AC">
        <w:rPr>
          <w:rFonts w:ascii="Sakkal Majalla" w:hAnsi="Sakkal Majalla" w:cs="AL-Mohanad"/>
          <w:sz w:val="27"/>
          <w:szCs w:val="27"/>
          <w:rtl/>
        </w:rPr>
        <w:t xml:space="preserve"> جماعة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كانوا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مارسون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نوعاً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08380A" w:rsidRPr="006571AC">
        <w:rPr>
          <w:rFonts w:ascii="Sakkal Majalla" w:hAnsi="Sakkal Majalla" w:cs="AL-Mohanad" w:hint="cs"/>
          <w:sz w:val="27"/>
          <w:szCs w:val="27"/>
          <w:rtl/>
        </w:rPr>
        <w:t>ا</w:t>
      </w:r>
      <w:r w:rsidRPr="006571AC">
        <w:rPr>
          <w:rFonts w:ascii="Sakkal Majalla" w:hAnsi="Sakkal Majalla" w:cs="AL-Mohanad"/>
          <w:sz w:val="27"/>
          <w:szCs w:val="27"/>
          <w:rtl/>
        </w:rPr>
        <w:t xml:space="preserve">ستهزاء </w:t>
      </w:r>
      <w:r w:rsidR="0008380A" w:rsidRPr="006571AC">
        <w:rPr>
          <w:rFonts w:ascii="Sakkal Majalla" w:hAnsi="Sakkal Majalla" w:cs="AL-Mohanad" w:hint="cs"/>
          <w:sz w:val="27"/>
          <w:szCs w:val="27"/>
          <w:rtl/>
        </w:rPr>
        <w:t>ب</w:t>
      </w:r>
      <w:r w:rsidRPr="006571AC">
        <w:rPr>
          <w:rFonts w:ascii="Sakkal Majalla" w:hAnsi="Sakkal Majalla" w:cs="AL-Mohanad"/>
          <w:sz w:val="27"/>
          <w:szCs w:val="27"/>
          <w:rtl/>
        </w:rPr>
        <w:t>النب</w:t>
      </w:r>
      <w:r w:rsidRPr="006571AC">
        <w:rPr>
          <w:rFonts w:ascii="Sakkal Majalla" w:hAnsi="Sakkal Majalla" w:cs="AL-Mohanad" w:hint="cs"/>
          <w:sz w:val="27"/>
          <w:szCs w:val="27"/>
          <w:rtl/>
        </w:rPr>
        <w:t>ي</w:t>
      </w:r>
      <w:r w:rsidR="0008380A"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فكان</w:t>
      </w:r>
      <w:r w:rsidR="002A2C90" w:rsidRPr="006571AC">
        <w:rPr>
          <w:rFonts w:ascii="Mosawi" w:hAnsi="Mosawi" w:cs="Mosawi"/>
          <w:sz w:val="22"/>
          <w:szCs w:val="22"/>
          <w:rtl/>
        </w:rPr>
        <w:t>|</w:t>
      </w:r>
      <w:r w:rsidRPr="006571AC">
        <w:rPr>
          <w:rFonts w:ascii="Sakkal Majalla" w:hAnsi="Sakkal Majalla" w:cs="AL-Mohanad"/>
          <w:sz w:val="27"/>
          <w:szCs w:val="27"/>
          <w:rtl/>
        </w:rPr>
        <w:t xml:space="preserve"> كل</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ما صدع بالدعوة والتبل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خذوا </w:t>
      </w:r>
      <w:r w:rsidRPr="006571AC">
        <w:rPr>
          <w:rFonts w:cs="AL-Mohanad" w:hint="cs"/>
          <w:sz w:val="27"/>
          <w:szCs w:val="27"/>
          <w:rtl/>
        </w:rPr>
        <w:t>ي</w:t>
      </w:r>
      <w:r w:rsidRPr="006571AC">
        <w:rPr>
          <w:rFonts w:ascii="Sakkal Majalla" w:hAnsi="Sakkal Majalla" w:cs="AL-Mohanad" w:hint="cs"/>
          <w:sz w:val="27"/>
          <w:szCs w:val="27"/>
          <w:rtl/>
        </w:rPr>
        <w:t>ستهزئون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قل</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دونه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بأ</w:t>
      </w:r>
      <w:r w:rsidR="0008380A" w:rsidRPr="006571AC">
        <w:rPr>
          <w:rFonts w:ascii="Sakkal Majalla" w:hAnsi="Sakkal Majalla" w:cs="AL-Mohanad" w:hint="cs"/>
          <w:sz w:val="27"/>
          <w:szCs w:val="27"/>
          <w:rtl/>
        </w:rPr>
        <w:t>فع</w:t>
      </w:r>
      <w:r w:rsidRPr="006571AC">
        <w:rPr>
          <w:rFonts w:ascii="Sakkal Majalla" w:hAnsi="Sakkal Majalla" w:cs="AL-Mohanad"/>
          <w:sz w:val="27"/>
          <w:szCs w:val="27"/>
          <w:rtl/>
        </w:rPr>
        <w:t>ال سخ</w:t>
      </w:r>
      <w:r w:rsidRPr="006571AC">
        <w:rPr>
          <w:rFonts w:cs="AL-Mohanad" w:hint="cs"/>
          <w:sz w:val="27"/>
          <w:szCs w:val="27"/>
          <w:rtl/>
        </w:rPr>
        <w:t>ي</w:t>
      </w:r>
      <w:r w:rsidRPr="006571AC">
        <w:rPr>
          <w:rFonts w:ascii="Sakkal Majalla" w:hAnsi="Sakkal Majalla" w:cs="AL-Mohanad" w:hint="cs"/>
          <w:sz w:val="27"/>
          <w:szCs w:val="27"/>
          <w:rtl/>
        </w:rPr>
        <w:t>فة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Pr="006571AC">
        <w:rPr>
          <w:rFonts w:cs="AL-Mohanad" w:hint="cs"/>
          <w:sz w:val="27"/>
          <w:szCs w:val="27"/>
          <w:rtl/>
        </w:rPr>
        <w:t>ي</w:t>
      </w:r>
      <w:r w:rsidRPr="006571AC">
        <w:rPr>
          <w:rFonts w:ascii="Sakkal Majalla" w:hAnsi="Sakkal Majalla" w:cs="AL-Mohanad" w:hint="cs"/>
          <w:sz w:val="27"/>
          <w:szCs w:val="27"/>
          <w:rtl/>
        </w:rPr>
        <w:t>تفرّ</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ق</w:t>
      </w:r>
      <w:r w:rsidRPr="006571AC">
        <w:rPr>
          <w:rFonts w:ascii="Sakkal Majalla" w:hAnsi="Sakkal Majalla" w:cs="AL-Mohanad"/>
          <w:sz w:val="27"/>
          <w:szCs w:val="27"/>
          <w:rtl/>
        </w:rPr>
        <w:t xml:space="preserve"> الناس من حوله. فجاءت الآ</w:t>
      </w:r>
      <w:r w:rsidRPr="006571AC">
        <w:rPr>
          <w:rFonts w:cs="AL-Mohanad" w:hint="cs"/>
          <w:sz w:val="27"/>
          <w:szCs w:val="27"/>
          <w:rtl/>
        </w:rPr>
        <w:t>ي</w:t>
      </w:r>
      <w:r w:rsidRPr="006571AC">
        <w:rPr>
          <w:rFonts w:ascii="Sakkal Majalla" w:hAnsi="Sakkal Majalla" w:cs="AL-Mohanad" w:hint="cs"/>
          <w:sz w:val="27"/>
          <w:szCs w:val="27"/>
          <w:rtl/>
        </w:rPr>
        <w:t>تان</w:t>
      </w:r>
      <w:r w:rsidRPr="006571AC">
        <w:rPr>
          <w:rFonts w:ascii="Sakkal Majalla" w:hAnsi="Sakkal Majalla" w:cs="AL-Mohanad"/>
          <w:sz w:val="27"/>
          <w:szCs w:val="27"/>
          <w:rtl/>
        </w:rPr>
        <w:t xml:space="preserve"> لتشدّ</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0008380A"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عزمه</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الرسالة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حتى لا</w:t>
      </w:r>
      <w:r w:rsidR="0008380A"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تضعف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رادته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مام ما </w:t>
      </w:r>
      <w:r w:rsidRPr="006571AC">
        <w:rPr>
          <w:rFonts w:cs="AL-Mohanad" w:hint="cs"/>
          <w:sz w:val="27"/>
          <w:szCs w:val="27"/>
          <w:rtl/>
        </w:rPr>
        <w:t>ي</w:t>
      </w:r>
      <w:r w:rsidRPr="006571AC">
        <w:rPr>
          <w:rFonts w:ascii="Sakkal Majalla" w:hAnsi="Sakkal Majalla" w:cs="AL-Mohanad" w:hint="cs"/>
          <w:sz w:val="27"/>
          <w:szCs w:val="27"/>
          <w:rtl/>
        </w:rPr>
        <w:t>واجهه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0008380A" w:rsidRPr="006571AC">
        <w:rPr>
          <w:rFonts w:ascii="Sakkal Majalla" w:hAnsi="Sakkal Majalla" w:cs="AL-Mohanad" w:hint="cs"/>
          <w:sz w:val="27"/>
          <w:szCs w:val="27"/>
          <w:rtl/>
        </w:rPr>
        <w:t>ا</w:t>
      </w:r>
      <w:r w:rsidRPr="006571AC">
        <w:rPr>
          <w:rFonts w:ascii="Sakkal Majalla" w:hAnsi="Sakkal Majalla" w:cs="AL-Mohanad"/>
          <w:sz w:val="27"/>
          <w:szCs w:val="27"/>
          <w:rtl/>
        </w:rPr>
        <w:t>ستهزاءٍ وتهد</w:t>
      </w:r>
      <w:r w:rsidRPr="006571AC">
        <w:rPr>
          <w:rFonts w:cs="AL-Mohanad" w:hint="cs"/>
          <w:sz w:val="27"/>
          <w:szCs w:val="27"/>
          <w:rtl/>
        </w:rPr>
        <w:t>ي</w:t>
      </w:r>
      <w:r w:rsidRPr="006571AC">
        <w:rPr>
          <w:rFonts w:ascii="Sakkal Majalla" w:hAnsi="Sakkal Majalla" w:cs="AL-Mohanad" w:hint="cs"/>
          <w:sz w:val="27"/>
          <w:szCs w:val="27"/>
          <w:rtl/>
        </w:rPr>
        <w:t>د</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تلك</w:t>
      </w:r>
      <w:r w:rsidRPr="006571AC">
        <w:rPr>
          <w:rFonts w:ascii="Sakkal Majalla" w:hAnsi="Sakkal Majalla" w:cs="AL-Mohanad"/>
          <w:sz w:val="27"/>
          <w:szCs w:val="27"/>
          <w:rtl/>
        </w:rPr>
        <w:t xml:space="preserve"> الجماعة المشركة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وقد </w:t>
      </w:r>
      <w:r w:rsidRPr="006571AC">
        <w:rPr>
          <w:rFonts w:ascii="Sakkal Majalla" w:hAnsi="Sakkal Majalla" w:cs="AL-Mohanad" w:hint="cs"/>
          <w:sz w:val="27"/>
          <w:szCs w:val="27"/>
          <w:rtl/>
        </w:rPr>
        <w:t>أ</w:t>
      </w:r>
      <w:r w:rsidRPr="006571AC">
        <w:rPr>
          <w:rFonts w:ascii="Sakkal Majalla" w:hAnsi="Sakkal Majalla" w:cs="AL-Mohanad"/>
          <w:sz w:val="27"/>
          <w:szCs w:val="27"/>
          <w:rtl/>
        </w:rPr>
        <w:t>خبره سبحانه وتعال</w:t>
      </w:r>
      <w:r w:rsidR="0008380A" w:rsidRPr="006571AC">
        <w:rPr>
          <w:rFonts w:cs="AL-Mohanad" w:hint="cs"/>
          <w:sz w:val="27"/>
          <w:szCs w:val="27"/>
          <w:rtl/>
        </w:rPr>
        <w:t>ى</w:t>
      </w:r>
      <w:r w:rsidRPr="006571AC">
        <w:rPr>
          <w:rFonts w:ascii="Sakkal Majalla" w:hAnsi="Sakkal Majalla" w:cs="AL-Mohanad"/>
          <w:sz w:val="27"/>
          <w:szCs w:val="27"/>
          <w:rtl/>
        </w:rPr>
        <w:t xml:space="preserve"> </w:t>
      </w:r>
      <w:r w:rsidR="003E303F" w:rsidRPr="006571AC">
        <w:rPr>
          <w:rFonts w:ascii="Sakkal Majalla" w:hAnsi="Sakkal Majalla" w:cs="AL-Mohanad" w:hint="cs"/>
          <w:sz w:val="27"/>
          <w:szCs w:val="27"/>
          <w:rtl/>
        </w:rPr>
        <w:t>أ</w:t>
      </w:r>
      <w:r w:rsidRPr="006571AC">
        <w:rPr>
          <w:rFonts w:ascii="Sakkal Majalla" w:hAnsi="Sakkal Majalla" w:cs="AL-Mohanad"/>
          <w:sz w:val="27"/>
          <w:szCs w:val="27"/>
          <w:rtl/>
        </w:rPr>
        <w:t>نّه س</w:t>
      </w:r>
      <w:r w:rsidRPr="006571AC">
        <w:rPr>
          <w:rFonts w:cs="AL-Mohanad" w:hint="cs"/>
          <w:sz w:val="27"/>
          <w:szCs w:val="27"/>
          <w:rtl/>
        </w:rPr>
        <w:t>ي</w:t>
      </w:r>
      <w:r w:rsidRPr="006571AC">
        <w:rPr>
          <w:rFonts w:ascii="Sakkal Majalla" w:hAnsi="Sakkal Majalla" w:cs="AL-Mohanad" w:hint="cs"/>
          <w:sz w:val="27"/>
          <w:szCs w:val="27"/>
          <w:rtl/>
        </w:rPr>
        <w:t>كف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حم</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شرّ</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هم. </w:t>
      </w:r>
    </w:p>
    <w:p w:rsidR="005D05A4" w:rsidRPr="006571AC" w:rsidRDefault="005D05A4" w:rsidP="003E303F">
      <w:pPr>
        <w:pStyle w:val="af"/>
        <w:rPr>
          <w:rFonts w:ascii="Sakkal Majalla" w:hAnsi="Sakkal Majalla" w:cs="AL-Mohanad"/>
          <w:sz w:val="27"/>
          <w:szCs w:val="27"/>
          <w:rtl/>
        </w:rPr>
      </w:pPr>
      <w:r w:rsidRPr="006571AC">
        <w:rPr>
          <w:rFonts w:ascii="Sakkal Majalla" w:hAnsi="Sakkal Majalla" w:cs="AL-Mohanad"/>
          <w:sz w:val="27"/>
          <w:szCs w:val="27"/>
          <w:rtl/>
        </w:rPr>
        <w:t xml:space="preserve">وعلى </w:t>
      </w:r>
      <w:r w:rsidRPr="006571AC">
        <w:rPr>
          <w:rFonts w:ascii="Sakkal Majalla" w:hAnsi="Sakkal Majalla" w:cs="AL-Mohanad" w:hint="cs"/>
          <w:sz w:val="27"/>
          <w:szCs w:val="27"/>
          <w:rtl/>
        </w:rPr>
        <w:t>هذا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ساس</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فاذا كان ال</w:t>
      </w:r>
      <w:r w:rsidRPr="006571AC">
        <w:rPr>
          <w:rFonts w:ascii="Sakkal Majalla" w:hAnsi="Sakkal Majalla" w:cs="AL-Mohanad" w:hint="cs"/>
          <w:sz w:val="27"/>
          <w:szCs w:val="27"/>
          <w:rtl/>
        </w:rPr>
        <w:t>أ</w:t>
      </w:r>
      <w:r w:rsidRPr="006571AC">
        <w:rPr>
          <w:rFonts w:ascii="Sakkal Majalla" w:hAnsi="Sakkal Majalla" w:cs="AL-Mohanad"/>
          <w:sz w:val="27"/>
          <w:szCs w:val="27"/>
          <w:rtl/>
        </w:rPr>
        <w:t>مر ال</w:t>
      </w:r>
      <w:r w:rsidR="0008380A" w:rsidRPr="006571AC">
        <w:rPr>
          <w:rFonts w:ascii="Sakkal Majalla" w:hAnsi="Sakkal Majalla" w:cs="AL-Mohanad" w:hint="cs"/>
          <w:sz w:val="27"/>
          <w:szCs w:val="27"/>
          <w:rtl/>
        </w:rPr>
        <w:t>إ</w:t>
      </w:r>
      <w:r w:rsidRPr="006571AC">
        <w:rPr>
          <w:rFonts w:ascii="Sakkal Majalla" w:hAnsi="Sakkal Majalla" w:cs="AL-Mohanad"/>
          <w:sz w:val="27"/>
          <w:szCs w:val="27"/>
          <w:rtl/>
        </w:rPr>
        <w:t>له</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قد صدر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ل البعثة 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كل</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نزل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لا </w:t>
      </w:r>
      <w:r w:rsidRPr="006571AC">
        <w:rPr>
          <w:rFonts w:cs="AL-Mohanad" w:hint="cs"/>
          <w:sz w:val="27"/>
          <w:szCs w:val="27"/>
          <w:rtl/>
        </w:rPr>
        <w:t>ي</w:t>
      </w:r>
      <w:r w:rsidRPr="006571AC">
        <w:rPr>
          <w:rFonts w:ascii="Sakkal Majalla" w:hAnsi="Sakkal Majalla" w:cs="AL-Mohanad" w:hint="cs"/>
          <w:sz w:val="27"/>
          <w:szCs w:val="27"/>
          <w:rtl/>
        </w:rPr>
        <w:t>خش</w:t>
      </w:r>
      <w:r w:rsidR="0008380A"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حداً</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w:t>
      </w:r>
      <w:r w:rsidRPr="006571AC">
        <w:rPr>
          <w:rFonts w:ascii="Sakkal Majalla" w:hAnsi="Sakkal Majalla" w:cs="AL-Mohanad" w:hint="cs"/>
          <w:sz w:val="27"/>
          <w:szCs w:val="27"/>
          <w:rtl/>
        </w:rPr>
        <w:t>أ</w:t>
      </w:r>
      <w:r w:rsidRPr="006571AC">
        <w:rPr>
          <w:rFonts w:ascii="Sakkal Majalla" w:hAnsi="Sakkal Majalla" w:cs="AL-Mohanad"/>
          <w:sz w:val="27"/>
          <w:szCs w:val="27"/>
          <w:rtl/>
        </w:rPr>
        <w:t>نّه وعده البار</w:t>
      </w:r>
      <w:r w:rsidRPr="006571AC">
        <w:rPr>
          <w:rFonts w:cs="AL-Mohanad" w:hint="cs"/>
          <w:sz w:val="27"/>
          <w:szCs w:val="27"/>
          <w:rtl/>
        </w:rPr>
        <w:t>ي</w:t>
      </w:r>
      <w:r w:rsidRPr="006571AC">
        <w:rPr>
          <w:rFonts w:ascii="Sakkal Majalla" w:hAnsi="Sakkal Majalla" w:cs="AL-Mohanad"/>
          <w:sz w:val="27"/>
          <w:szCs w:val="27"/>
          <w:rtl/>
        </w:rPr>
        <w:t xml:space="preserve"> تعالى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حفظه</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حم</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فلا معن</w:t>
      </w:r>
      <w:r w:rsidR="0008380A"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أمره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سبحانه</w:t>
      </w:r>
      <w:r w:rsidRPr="006571AC">
        <w:rPr>
          <w:rFonts w:ascii="Sakkal Majalla" w:hAnsi="Sakkal Majalla" w:cs="AL-Mohanad"/>
          <w:sz w:val="27"/>
          <w:szCs w:val="27"/>
          <w:rtl/>
        </w:rPr>
        <w:t xml:space="preserve"> وتعال</w:t>
      </w:r>
      <w:r w:rsidR="0008380A"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ثان</w:t>
      </w:r>
      <w:r w:rsidRPr="006571AC">
        <w:rPr>
          <w:rFonts w:cs="AL-Mohanad" w:hint="cs"/>
          <w:sz w:val="27"/>
          <w:szCs w:val="27"/>
          <w:rtl/>
        </w:rPr>
        <w:t>ي</w:t>
      </w:r>
      <w:r w:rsidRPr="006571AC">
        <w:rPr>
          <w:rFonts w:ascii="Sakkal Majalla" w:hAnsi="Sakkal Majalla" w:cs="AL-Mohanad" w:hint="cs"/>
          <w:sz w:val="27"/>
          <w:szCs w:val="27"/>
          <w:rtl/>
        </w:rPr>
        <w:t>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نزل عل</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لا </w:t>
      </w:r>
      <w:r w:rsidRPr="006571AC">
        <w:rPr>
          <w:rFonts w:cs="AL-Mohanad" w:hint="cs"/>
          <w:sz w:val="27"/>
          <w:szCs w:val="27"/>
          <w:rtl/>
        </w:rPr>
        <w:t>ي</w:t>
      </w:r>
      <w:r w:rsidRPr="006571AC">
        <w:rPr>
          <w:rFonts w:ascii="Sakkal Majalla" w:hAnsi="Sakkal Majalla" w:cs="AL-Mohanad" w:hint="cs"/>
          <w:sz w:val="27"/>
          <w:szCs w:val="27"/>
          <w:rtl/>
        </w:rPr>
        <w:t>خش</w:t>
      </w:r>
      <w:r w:rsidR="003E303F"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حداً من الناس</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0008380A" w:rsidRPr="006571AC">
        <w:rPr>
          <w:rFonts w:ascii="Sakkal Majalla" w:hAnsi="Sakkal Majalla" w:cs="AL-Mohanad" w:hint="cs"/>
          <w:sz w:val="27"/>
          <w:szCs w:val="27"/>
          <w:rtl/>
        </w:rPr>
        <w:t>يع</w:t>
      </w:r>
      <w:r w:rsidRPr="006571AC">
        <w:rPr>
          <w:rFonts w:ascii="Sakkal Majalla" w:hAnsi="Sakkal Majalla" w:cs="AL-Mohanad" w:hint="cs"/>
          <w:sz w:val="27"/>
          <w:szCs w:val="27"/>
          <w:rtl/>
        </w:rPr>
        <w:t>ده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بالحفظ</w:t>
      </w:r>
      <w:r w:rsidRPr="006571AC">
        <w:rPr>
          <w:rFonts w:ascii="Sakkal Majalla" w:hAnsi="Sakkal Majalla" w:cs="AL-Mohanad"/>
          <w:sz w:val="27"/>
          <w:szCs w:val="27"/>
          <w:rtl/>
        </w:rPr>
        <w:t xml:space="preserve"> والحما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شرّ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شرار وك</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الكف</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ار</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لما </w:t>
      </w:r>
      <w:r w:rsidRPr="006571AC">
        <w:rPr>
          <w:rFonts w:cs="AL-Mohanad" w:hint="cs"/>
          <w:sz w:val="27"/>
          <w:szCs w:val="27"/>
          <w:rtl/>
        </w:rPr>
        <w:t>ي</w:t>
      </w:r>
      <w:r w:rsidRPr="006571AC">
        <w:rPr>
          <w:rFonts w:ascii="Sakkal Majalla" w:hAnsi="Sakkal Majalla" w:cs="AL-Mohanad" w:hint="cs"/>
          <w:sz w:val="27"/>
          <w:szCs w:val="27"/>
          <w:rtl/>
        </w:rPr>
        <w:t>لزم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التكرار والل</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غ</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hint="cs"/>
          <w:sz w:val="27"/>
          <w:szCs w:val="27"/>
          <w:rtl/>
        </w:rPr>
        <w:t>ة، و</w:t>
      </w:r>
      <w:r w:rsidRPr="006571AC">
        <w:rPr>
          <w:rFonts w:ascii="Sakkal Majalla" w:hAnsi="Sakkal Majalla" w:cs="AL-Mohanad"/>
          <w:sz w:val="27"/>
          <w:szCs w:val="27"/>
          <w:rtl/>
        </w:rPr>
        <w:t>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فلا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نبغي</w:t>
      </w:r>
      <w:r w:rsidRPr="006571AC">
        <w:rPr>
          <w:rFonts w:ascii="Sakkal Majalla" w:hAnsi="Sakkal Majalla" w:cs="AL-Mohanad"/>
          <w:sz w:val="27"/>
          <w:szCs w:val="27"/>
          <w:rtl/>
        </w:rPr>
        <w:t xml:space="preserve"> حمل </w:t>
      </w:r>
      <w:r w:rsidRPr="006571AC">
        <w:rPr>
          <w:rFonts w:ascii="Mosawi" w:hAnsi="Mosawi" w:cs="Mosawi"/>
          <w:rtl/>
        </w:rPr>
        <w:t>﴿</w:t>
      </w:r>
      <w:r w:rsidRPr="006571AC">
        <w:rPr>
          <w:rFonts w:ascii="Sakkal Majalla" w:hAnsi="Sakkal Majalla" w:cs="AL-Mohanad"/>
          <w:b/>
          <w:bCs/>
          <w:sz w:val="27"/>
          <w:szCs w:val="27"/>
          <w:rtl/>
        </w:rPr>
        <w:t>م</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ا </w:t>
      </w:r>
      <w:r w:rsidRPr="006571AC">
        <w:rPr>
          <w:rFonts w:ascii="Sakkal Majalla" w:hAnsi="Sakkal Majalla" w:cs="AL-Mohanad" w:hint="cs"/>
          <w:b/>
          <w:bCs/>
          <w:sz w:val="27"/>
          <w:szCs w:val="27"/>
          <w:rtl/>
        </w:rPr>
        <w:t>أ</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ن</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ز</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0008380A" w:rsidRPr="006571AC">
        <w:rPr>
          <w:rFonts w:ascii="Sakkal Majalla" w:hAnsi="Sakkal Majalla" w:cs="AL-Mohanad" w:hint="cs"/>
          <w:b/>
          <w:bCs/>
          <w:sz w:val="27"/>
          <w:szCs w:val="27"/>
          <w:rtl/>
        </w:rPr>
        <w:t>إِ</w:t>
      </w:r>
      <w:r w:rsidRPr="006571AC">
        <w:rPr>
          <w:rFonts w:ascii="Sakkal Majalla" w:hAnsi="Sakkal Majalla" w:cs="AL-Mohanad"/>
          <w:b/>
          <w:bCs/>
          <w:sz w:val="27"/>
          <w:szCs w:val="27"/>
          <w:rtl/>
        </w:rPr>
        <w:t>ل</w:t>
      </w:r>
      <w:r w:rsidR="0008380A" w:rsidRPr="006571AC">
        <w:rPr>
          <w:rFonts w:ascii="Sakkal Majalla" w:hAnsi="Sakkal Majalla" w:cs="AL-Mohanad" w:hint="cs"/>
          <w:b/>
          <w:bCs/>
          <w:sz w:val="27"/>
          <w:szCs w:val="27"/>
          <w:rtl/>
        </w:rPr>
        <w:t>َ</w:t>
      </w:r>
      <w:r w:rsidRPr="006571AC">
        <w:rPr>
          <w:rFonts w:cs="AL-Mohanad" w:hint="cs"/>
          <w:b/>
          <w:bCs/>
          <w:sz w:val="27"/>
          <w:szCs w:val="27"/>
          <w:rtl/>
        </w:rPr>
        <w:t>ي</w:t>
      </w:r>
      <w:r w:rsidR="0008380A" w:rsidRPr="006571AC">
        <w:rPr>
          <w:rFonts w:cs="AL-Mohanad" w:hint="cs"/>
          <w:b/>
          <w:bCs/>
          <w:sz w:val="27"/>
          <w:szCs w:val="27"/>
          <w:rtl/>
        </w:rPr>
        <w:t>ْ</w:t>
      </w:r>
      <w:r w:rsidRPr="006571AC">
        <w:rPr>
          <w:rFonts w:ascii="Sakkal Majalla" w:hAnsi="Sakkal Majalla" w:cs="AL-Mohanad" w:hint="cs"/>
          <w:b/>
          <w:bCs/>
          <w:sz w:val="27"/>
          <w:szCs w:val="27"/>
          <w:rtl/>
        </w:rPr>
        <w:t>ك</w:t>
      </w:r>
      <w:r w:rsidR="0008380A"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rtl/>
        </w:rPr>
        <w:t xml:space="preserve"> </w:t>
      </w:r>
      <w:r w:rsidR="003E303F" w:rsidRPr="006571AC">
        <w:rPr>
          <w:rFonts w:ascii="Sakkal Majalla" w:hAnsi="Sakkal Majalla" w:cs="AL-Mohanad" w:hint="cs"/>
          <w:sz w:val="27"/>
          <w:szCs w:val="27"/>
          <w:rtl/>
        </w:rPr>
        <w:t>ع</w:t>
      </w:r>
      <w:r w:rsidRPr="006571AC">
        <w:rPr>
          <w:rFonts w:ascii="Sakkal Majalla" w:hAnsi="Sakkal Majalla" w:cs="AL-Mohanad"/>
          <w:sz w:val="27"/>
          <w:szCs w:val="27"/>
          <w:rtl/>
        </w:rPr>
        <w:t xml:space="preserve">لى </w:t>
      </w:r>
      <w:r w:rsidRPr="006571AC">
        <w:rPr>
          <w:rFonts w:ascii="Sakkal Majalla" w:hAnsi="Sakkal Majalla" w:cs="AL-Mohanad" w:hint="cs"/>
          <w:sz w:val="27"/>
          <w:szCs w:val="27"/>
          <w:rtl/>
        </w:rPr>
        <w:t>أ</w:t>
      </w:r>
      <w:r w:rsidRPr="006571AC">
        <w:rPr>
          <w:rFonts w:ascii="Sakkal Majalla" w:hAnsi="Sakkal Majalla" w:cs="AL-Mohanad"/>
          <w:sz w:val="27"/>
          <w:szCs w:val="27"/>
          <w:rtl/>
        </w:rPr>
        <w:t>صل الد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ومجموعه</w:t>
      </w:r>
      <w:r w:rsidRPr="006571AC">
        <w:rPr>
          <w:rFonts w:ascii="Sakkal Majalla" w:hAnsi="Sakkal Majalla" w:cs="AL-Mohanad" w:hint="cs"/>
          <w:sz w:val="27"/>
          <w:szCs w:val="27"/>
          <w:rtl/>
        </w:rPr>
        <w:t xml:space="preserve">. </w:t>
      </w:r>
    </w:p>
    <w:p w:rsidR="00FB4949" w:rsidRPr="006571AC" w:rsidRDefault="00FB4949" w:rsidP="00FB4949">
      <w:pPr>
        <w:spacing w:line="420" w:lineRule="exact"/>
        <w:rPr>
          <w:sz w:val="27"/>
          <w:rtl/>
        </w:rPr>
      </w:pPr>
    </w:p>
    <w:p w:rsidR="005D05A4" w:rsidRPr="006571AC" w:rsidRDefault="002C25C3" w:rsidP="002C25C3">
      <w:pPr>
        <w:pStyle w:val="31"/>
        <w:rPr>
          <w:color w:val="auto"/>
          <w:rtl/>
        </w:rPr>
      </w:pPr>
      <w:bookmarkStart w:id="160" w:name="_Toc114164648"/>
      <w:r w:rsidRPr="006571AC">
        <w:rPr>
          <w:rFonts w:hint="cs"/>
          <w:color w:val="auto"/>
          <w:rtl/>
        </w:rPr>
        <w:t>ب ـ</w:t>
      </w:r>
      <w:r w:rsidR="005D05A4" w:rsidRPr="006571AC">
        <w:rPr>
          <w:color w:val="auto"/>
          <w:rtl/>
        </w:rPr>
        <w:t xml:space="preserve"> </w:t>
      </w:r>
      <w:r w:rsidR="0008380A" w:rsidRPr="006571AC">
        <w:rPr>
          <w:rFonts w:hint="cs"/>
          <w:color w:val="auto"/>
          <w:rtl/>
        </w:rPr>
        <w:t>أ</w:t>
      </w:r>
      <w:r w:rsidR="005D05A4" w:rsidRPr="006571AC">
        <w:rPr>
          <w:rFonts w:hint="cs"/>
          <w:color w:val="auto"/>
          <w:rtl/>
        </w:rPr>
        <w:t>هل</w:t>
      </w:r>
      <w:r w:rsidR="005D05A4" w:rsidRPr="006571AC">
        <w:rPr>
          <w:color w:val="auto"/>
          <w:rtl/>
        </w:rPr>
        <w:t xml:space="preserve"> الكتاب (ال</w:t>
      </w:r>
      <w:r w:rsidR="005D05A4" w:rsidRPr="006571AC">
        <w:rPr>
          <w:rFonts w:hint="cs"/>
          <w:color w:val="auto"/>
          <w:rtl/>
        </w:rPr>
        <w:t>يهود</w:t>
      </w:r>
      <w:r w:rsidR="005D05A4" w:rsidRPr="006571AC">
        <w:rPr>
          <w:color w:val="auto"/>
          <w:rtl/>
        </w:rPr>
        <w:t xml:space="preserve"> والنصار</w:t>
      </w:r>
      <w:r w:rsidR="0008380A" w:rsidRPr="006571AC">
        <w:rPr>
          <w:rFonts w:hint="cs"/>
          <w:color w:val="auto"/>
          <w:rtl/>
        </w:rPr>
        <w:t>ى</w:t>
      </w:r>
      <w:r w:rsidR="005D05A4" w:rsidRPr="006571AC">
        <w:rPr>
          <w:color w:val="auto"/>
          <w:rtl/>
        </w:rPr>
        <w:t>)</w:t>
      </w:r>
      <w:bookmarkEnd w:id="160"/>
      <w:r w:rsidR="005D05A4" w:rsidRPr="006571AC">
        <w:rPr>
          <w:color w:val="auto"/>
          <w:rtl/>
        </w:rPr>
        <w:t xml:space="preserve"> </w:t>
      </w:r>
    </w:p>
    <w:p w:rsidR="005D05A4" w:rsidRPr="006571AC" w:rsidRDefault="005D05A4" w:rsidP="003E303F">
      <w:pPr>
        <w:pStyle w:val="af"/>
        <w:rPr>
          <w:rFonts w:ascii="Sakkal Majalla" w:hAnsi="Sakkal Majalla" w:cs="AL-Mohanad"/>
          <w:sz w:val="27"/>
          <w:szCs w:val="27"/>
          <w:rtl/>
        </w:rPr>
      </w:pPr>
      <w:r w:rsidRPr="006571AC">
        <w:rPr>
          <w:rFonts w:ascii="Sakkal Majalla" w:hAnsi="Sakkal Majalla" w:cs="AL-Mohanad"/>
          <w:sz w:val="27"/>
          <w:szCs w:val="27"/>
          <w:rtl/>
        </w:rPr>
        <w:t>ذكر بعض علماء ال</w:t>
      </w:r>
      <w:r w:rsidRPr="006571AC">
        <w:rPr>
          <w:rFonts w:ascii="Sakkal Majalla" w:hAnsi="Sakkal Majalla" w:cs="AL-Mohanad" w:hint="cs"/>
          <w:sz w:val="27"/>
          <w:szCs w:val="27"/>
          <w:rtl/>
        </w:rPr>
        <w:t>عام</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ج</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هاً آخر لنزول 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التبل</w:t>
      </w:r>
      <w:r w:rsidRPr="006571AC">
        <w:rPr>
          <w:rFonts w:cs="AL-Mohanad" w:hint="cs"/>
          <w:sz w:val="27"/>
          <w:szCs w:val="27"/>
          <w:rtl/>
        </w:rPr>
        <w:t>ي</w:t>
      </w:r>
      <w:r w:rsidRPr="006571AC">
        <w:rPr>
          <w:rFonts w:ascii="Sakkal Majalla" w:hAnsi="Sakkal Majalla" w:cs="AL-Mohanad" w:hint="cs"/>
          <w:sz w:val="27"/>
          <w:szCs w:val="27"/>
          <w:rtl/>
        </w:rPr>
        <w:t>غ، ف</w:t>
      </w:r>
      <w:r w:rsidRPr="006571AC">
        <w:rPr>
          <w:rFonts w:ascii="Sakkal Majalla" w:hAnsi="Sakkal Majalla" w:cs="AL-Mohanad"/>
          <w:sz w:val="27"/>
          <w:szCs w:val="27"/>
          <w:rtl/>
        </w:rPr>
        <w:t xml:space="preserve">قالوا: </w:t>
      </w:r>
      <w:r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والنصار</w:t>
      </w:r>
      <w:r w:rsidR="0008380A" w:rsidRPr="006571AC">
        <w:rPr>
          <w:rFonts w:cs="AL-Mohanad" w:hint="cs"/>
          <w:sz w:val="27"/>
          <w:szCs w:val="27"/>
          <w:rtl/>
        </w:rPr>
        <w:t>ى</w:t>
      </w:r>
      <w:r w:rsidRPr="006571AC">
        <w:rPr>
          <w:rFonts w:ascii="Sakkal Majalla" w:hAnsi="Sakkal Majalla" w:cs="AL-Mohanad" w:hint="cs"/>
          <w:sz w:val="27"/>
          <w:szCs w:val="27"/>
          <w:rtl/>
        </w:rPr>
        <w:t xml:space="preserve"> عندما كانوا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ي</w:t>
      </w:r>
      <w:r w:rsidRPr="006571AC">
        <w:rPr>
          <w:rFonts w:ascii="Sakkal Majalla" w:hAnsi="Sakkal Majalla" w:cs="AL-Mohanad"/>
          <w:sz w:val="27"/>
          <w:szCs w:val="27"/>
          <w:rtl/>
        </w:rPr>
        <w:t>ستهزئو</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بالد</w:t>
      </w:r>
      <w:r w:rsidRPr="006571AC">
        <w:rPr>
          <w:rFonts w:cs="AL-Mohanad" w:hint="cs"/>
          <w:sz w:val="27"/>
          <w:szCs w:val="27"/>
          <w:rtl/>
        </w:rPr>
        <w:t>ي</w:t>
      </w:r>
      <w:r w:rsidRPr="006571AC">
        <w:rPr>
          <w:rFonts w:ascii="Sakkal Majalla" w:hAnsi="Sakkal Majalla" w:cs="AL-Mohanad" w:hint="cs"/>
          <w:sz w:val="27"/>
          <w:szCs w:val="27"/>
          <w:rtl/>
        </w:rPr>
        <w:t xml:space="preserve">ن </w:t>
      </w:r>
      <w:r w:rsidR="0008380A" w:rsidRPr="006571AC">
        <w:rPr>
          <w:rFonts w:ascii="Sakkal Majalla" w:hAnsi="Sakkal Majalla" w:cs="AL-Mohanad" w:hint="cs"/>
          <w:sz w:val="27"/>
          <w:szCs w:val="27"/>
          <w:rtl/>
        </w:rPr>
        <w:t>الإسلامي،</w:t>
      </w:r>
      <w:r w:rsidRPr="006571AC">
        <w:rPr>
          <w:rFonts w:ascii="Sakkal Majalla" w:hAnsi="Sakkal Majalla" w:cs="AL-Mohanad"/>
          <w:sz w:val="27"/>
          <w:szCs w:val="27"/>
          <w:rtl/>
        </w:rPr>
        <w:t xml:space="preserve"> وكان النب</w:t>
      </w:r>
      <w:r w:rsidRPr="006571AC">
        <w:rPr>
          <w:rFonts w:ascii="Sakkal Majalla" w:hAnsi="Sakkal Majalla" w:cs="AL-Mohanad" w:hint="cs"/>
          <w:sz w:val="27"/>
          <w:szCs w:val="27"/>
          <w:rtl/>
        </w:rPr>
        <w:t>ي</w:t>
      </w:r>
      <w:r w:rsidR="0008380A"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sz w:val="27"/>
          <w:szCs w:val="27"/>
          <w:rtl/>
        </w:rPr>
        <w:t xml:space="preserve">تخذ </w:t>
      </w:r>
      <w:r w:rsidRPr="006571AC">
        <w:rPr>
          <w:rFonts w:ascii="Sakkal Majalla" w:hAnsi="Sakkal Majalla" w:cs="AL-Mohanad"/>
          <w:sz w:val="27"/>
          <w:szCs w:val="27"/>
          <w:rtl/>
        </w:rPr>
        <w:lastRenderedPageBreak/>
        <w:t>أسلوب الصمت تجاههم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فلمّا نزلت 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كسر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الصمت</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وقام 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نزله الله ف</w:t>
      </w:r>
      <w:r w:rsidRPr="006571AC">
        <w:rPr>
          <w:rFonts w:cs="AL-Mohanad" w:hint="cs"/>
          <w:sz w:val="27"/>
          <w:szCs w:val="27"/>
          <w:rtl/>
        </w:rPr>
        <w:t>ي</w:t>
      </w:r>
      <w:r w:rsidRPr="006571AC">
        <w:rPr>
          <w:rFonts w:ascii="Sakkal Majalla" w:hAnsi="Sakkal Majalla" w:cs="AL-Mohanad" w:hint="cs"/>
          <w:sz w:val="27"/>
          <w:szCs w:val="27"/>
          <w:rtl/>
        </w:rPr>
        <w:t>هم</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وقد </w:t>
      </w:r>
      <w:r w:rsidR="004B2BC4" w:rsidRPr="006571AC">
        <w:rPr>
          <w:rFonts w:ascii="Sakkal Majalla" w:hAnsi="Sakkal Majalla" w:cs="AL-Mohanad" w:hint="cs"/>
          <w:sz w:val="27"/>
          <w:szCs w:val="27"/>
          <w:rtl/>
        </w:rPr>
        <w:t>ا</w:t>
      </w:r>
      <w:r w:rsidRPr="006571AC">
        <w:rPr>
          <w:rFonts w:ascii="Sakkal Majalla" w:hAnsi="Sakkal Majalla" w:cs="AL-Mohanad" w:hint="cs"/>
          <w:sz w:val="27"/>
          <w:szCs w:val="27"/>
          <w:rtl/>
        </w:rPr>
        <w:t xml:space="preserve">ستدلّ أصحاب هذا الرأي على </w:t>
      </w:r>
      <w:r w:rsidRPr="006571AC">
        <w:rPr>
          <w:rFonts w:ascii="Sakkal Majalla" w:hAnsi="Sakkal Majalla" w:cs="AL-Mohanad"/>
          <w:sz w:val="27"/>
          <w:szCs w:val="27"/>
          <w:rtl/>
        </w:rPr>
        <w:t>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بقرينة </w:t>
      </w:r>
      <w:r w:rsidRPr="006571AC">
        <w:rPr>
          <w:rFonts w:ascii="Sakkal Majalla" w:hAnsi="Sakkal Majalla" w:cs="AL-Mohanad"/>
          <w:sz w:val="27"/>
          <w:szCs w:val="27"/>
          <w:rtl/>
        </w:rPr>
        <w:t>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النازلة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قبل</w:t>
      </w:r>
      <w:r w:rsidRPr="006571AC">
        <w:rPr>
          <w:rFonts w:ascii="Sakkal Majalla" w:hAnsi="Sakkal Majalla" w:cs="AL-Mohanad"/>
          <w:sz w:val="27"/>
          <w:szCs w:val="27"/>
          <w:rtl/>
        </w:rPr>
        <w:t xml:space="preserve"> وبعد هذه الآ</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فقد جاء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مفص</w:t>
      </w:r>
      <w:r w:rsidR="004B2BC4" w:rsidRPr="006571AC">
        <w:rPr>
          <w:rFonts w:ascii="Sakkal Majalla" w:hAnsi="Sakkal Majalla" w:cs="AL-Mohanad" w:hint="cs"/>
          <w:sz w:val="27"/>
          <w:szCs w:val="27"/>
          <w:rtl/>
        </w:rPr>
        <w:t>َّ</w:t>
      </w:r>
      <w:r w:rsidRPr="006571AC">
        <w:rPr>
          <w:rFonts w:ascii="Sakkal Majalla" w:hAnsi="Sakkal Majalla" w:cs="AL-Mohanad" w:hint="cs"/>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وال</w:t>
      </w:r>
      <w:r w:rsidRPr="006571AC">
        <w:rPr>
          <w:rFonts w:ascii="Sakkal Majalla" w:hAnsi="Sakkal Majalla" w:cs="AL-Mohanad" w:hint="cs"/>
          <w:sz w:val="27"/>
          <w:szCs w:val="27"/>
          <w:rtl/>
        </w:rPr>
        <w:t>أ</w:t>
      </w:r>
      <w:r w:rsidRPr="006571AC">
        <w:rPr>
          <w:rFonts w:ascii="Sakkal Majalla" w:hAnsi="Sakkal Majalla" w:cs="AL-Mohanad"/>
          <w:sz w:val="27"/>
          <w:szCs w:val="27"/>
          <w:rtl/>
        </w:rPr>
        <w:t>عمال المنكرة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كانوا </w:t>
      </w:r>
      <w:r w:rsidRPr="006571AC">
        <w:rPr>
          <w:rFonts w:cs="AL-Mohanad" w:hint="cs"/>
          <w:sz w:val="27"/>
          <w:szCs w:val="27"/>
          <w:rtl/>
        </w:rPr>
        <w:t>ي</w:t>
      </w:r>
      <w:r w:rsidRPr="006571AC">
        <w:rPr>
          <w:rFonts w:ascii="Sakkal Majalla" w:hAnsi="Sakkal Majalla" w:cs="AL-Mohanad" w:hint="cs"/>
          <w:sz w:val="27"/>
          <w:szCs w:val="27"/>
          <w:rtl/>
        </w:rPr>
        <w:t xml:space="preserve">مارسونها، </w:t>
      </w:r>
      <w:r w:rsidRPr="006571AC">
        <w:rPr>
          <w:rFonts w:ascii="Sakkal Majalla" w:hAnsi="Sakkal Majalla" w:cs="AL-Mohanad"/>
          <w:sz w:val="27"/>
          <w:szCs w:val="27"/>
          <w:rtl/>
        </w:rPr>
        <w:t>و</w:t>
      </w:r>
      <w:r w:rsidR="004B2BC4" w:rsidRPr="006571AC">
        <w:rPr>
          <w:rFonts w:ascii="Sakkal Majalla" w:hAnsi="Sakkal Majalla" w:cs="AL-Mohanad" w:hint="cs"/>
          <w:sz w:val="27"/>
          <w:szCs w:val="27"/>
          <w:rtl/>
        </w:rPr>
        <w:t>ا</w:t>
      </w:r>
      <w:r w:rsidRPr="006571AC">
        <w:rPr>
          <w:rFonts w:ascii="Sakkal Majalla" w:hAnsi="Sakkal Majalla" w:cs="AL-Mohanad" w:hint="cs"/>
          <w:sz w:val="27"/>
          <w:szCs w:val="27"/>
          <w:rtl/>
        </w:rPr>
        <w:t>ستشهدوا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w:t>
      </w:r>
      <w:r w:rsidRPr="006571AC">
        <w:rPr>
          <w:rFonts w:ascii="Sakkal Majalla" w:hAnsi="Sakkal Majalla" w:cs="AL-Mohanad"/>
          <w:sz w:val="27"/>
          <w:szCs w:val="27"/>
          <w:rtl/>
        </w:rPr>
        <w:t>روا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مقاتل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سل</w:t>
      </w:r>
      <w:r w:rsidRPr="006571AC">
        <w:rPr>
          <w:rFonts w:cs="AL-Mohanad" w:hint="cs"/>
          <w:sz w:val="27"/>
          <w:szCs w:val="27"/>
          <w:rtl/>
        </w:rPr>
        <w:t>ي</w:t>
      </w:r>
      <w:r w:rsidRPr="006571AC">
        <w:rPr>
          <w:rFonts w:ascii="Sakkal Majalla" w:hAnsi="Sakkal Majalla" w:cs="AL-Mohanad" w:hint="cs"/>
          <w:sz w:val="27"/>
          <w:szCs w:val="27"/>
          <w:rtl/>
        </w:rPr>
        <w:t>مان</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حيث روى </w:t>
      </w:r>
      <w:r w:rsidRPr="006571AC">
        <w:rPr>
          <w:rFonts w:ascii="Sakkal Majalla" w:hAnsi="Sakkal Majalla" w:cs="AL-Mohanad"/>
          <w:sz w:val="27"/>
          <w:szCs w:val="27"/>
          <w:rtl/>
        </w:rPr>
        <w:t>أن النبي</w:t>
      </w:r>
      <w:r w:rsidR="004459D6" w:rsidRPr="006571AC">
        <w:rPr>
          <w:rFonts w:ascii="Mosawi" w:hAnsi="Mosawi" w:cs="Mosawi"/>
          <w:sz w:val="22"/>
          <w:szCs w:val="22"/>
          <w:rtl/>
        </w:rPr>
        <w:t>ﷺ</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دعا اليهود إلى الإسلام</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فأكثر الدعاء</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فجعلوا يستهزئون ويقولون</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أتريد يا محمد أن نت</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خذك حنانا</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كما ات</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خذت النصارى عيسى بن مريم حنانا</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فلما رأى النبي</w:t>
      </w:r>
      <w:r w:rsidR="004459D6" w:rsidRPr="006571AC">
        <w:rPr>
          <w:rFonts w:ascii="Mosawi" w:hAnsi="Mosawi" w:cs="Mosawi"/>
          <w:sz w:val="22"/>
          <w:szCs w:val="22"/>
          <w:rtl/>
        </w:rPr>
        <w:t>ﷺ</w:t>
      </w:r>
      <w:r w:rsidRPr="006571AC">
        <w:rPr>
          <w:rFonts w:ascii="Sakkal Majalla" w:hAnsi="Sakkal Majalla" w:cs="AL-Mohanad"/>
          <w:sz w:val="27"/>
          <w:szCs w:val="27"/>
          <w:rtl/>
        </w:rPr>
        <w:t xml:space="preserve"> ذلك سكت عنهم</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C5323E" w:rsidRPr="006571AC">
        <w:rPr>
          <w:rFonts w:ascii="Sakkal Majalla" w:hAnsi="Sakkal Majalla" w:cs="AL-Mohanad"/>
          <w:sz w:val="27"/>
          <w:szCs w:val="27"/>
          <w:rtl/>
        </w:rPr>
        <w:t>فحرض الله تعالى نبي</w:t>
      </w:r>
      <w:r w:rsidR="00C5323E" w:rsidRPr="006571AC">
        <w:rPr>
          <w:rFonts w:ascii="Sakkal Majalla" w:hAnsi="Sakkal Majalla" w:cs="AL-Mohanad" w:hint="cs"/>
          <w:sz w:val="27"/>
          <w:szCs w:val="27"/>
          <w:rtl/>
        </w:rPr>
        <w:t>ّ</w:t>
      </w:r>
      <w:r w:rsidR="00C5323E" w:rsidRPr="006571AC">
        <w:rPr>
          <w:rFonts w:ascii="Sakkal Majalla" w:hAnsi="Sakkal Majalla" w:cs="AL-Mohanad"/>
          <w:sz w:val="27"/>
          <w:szCs w:val="27"/>
          <w:rtl/>
        </w:rPr>
        <w:t>ه</w:t>
      </w:r>
      <w:r w:rsidR="00C5323E" w:rsidRPr="006571AC">
        <w:rPr>
          <w:rFonts w:ascii="Mosawi" w:hAnsi="Mosawi" w:cs="Mosawi"/>
          <w:sz w:val="22"/>
          <w:szCs w:val="22"/>
          <w:rtl/>
        </w:rPr>
        <w:t>ﷺ</w:t>
      </w:r>
      <w:r w:rsidR="00C5323E" w:rsidRPr="006571AC">
        <w:rPr>
          <w:rFonts w:ascii="Sakkal Majalla" w:hAnsi="Sakkal Majalla" w:cs="AL-Mohanad"/>
          <w:sz w:val="27"/>
          <w:szCs w:val="27"/>
          <w:rtl/>
        </w:rPr>
        <w:t xml:space="preserve"> على الدعاء إلى دينه</w:t>
      </w:r>
      <w:r w:rsidR="00C5323E" w:rsidRPr="006571AC">
        <w:rPr>
          <w:rFonts w:ascii="Sakkal Majalla" w:hAnsi="Sakkal Majalla" w:cs="AL-Mohanad" w:hint="cs"/>
          <w:sz w:val="27"/>
          <w:szCs w:val="27"/>
          <w:rtl/>
        </w:rPr>
        <w:t>،</w:t>
      </w:r>
      <w:r w:rsidR="00C5323E" w:rsidRPr="006571AC">
        <w:rPr>
          <w:rFonts w:ascii="Sakkal Majalla" w:hAnsi="Sakkal Majalla" w:cs="AL-Mohanad"/>
          <w:sz w:val="27"/>
          <w:szCs w:val="27"/>
          <w:rtl/>
        </w:rPr>
        <w:t xml:space="preserve"> لا يمنعه تكذيبهم إي</w:t>
      </w:r>
      <w:r w:rsidR="00C5323E" w:rsidRPr="006571AC">
        <w:rPr>
          <w:rFonts w:ascii="Sakkal Majalla" w:hAnsi="Sakkal Majalla" w:cs="AL-Mohanad" w:hint="cs"/>
          <w:sz w:val="27"/>
          <w:szCs w:val="27"/>
          <w:rtl/>
        </w:rPr>
        <w:t>ّ</w:t>
      </w:r>
      <w:r w:rsidR="00C5323E" w:rsidRPr="006571AC">
        <w:rPr>
          <w:rFonts w:ascii="Sakkal Majalla" w:hAnsi="Sakkal Majalla" w:cs="AL-Mohanad"/>
          <w:sz w:val="27"/>
          <w:szCs w:val="27"/>
          <w:rtl/>
        </w:rPr>
        <w:t>اه واستهزاؤهم به عن الدعاء</w:t>
      </w:r>
      <w:r w:rsidR="00C5323E"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فقال</w:t>
      </w:r>
      <w:r w:rsidRPr="006571AC">
        <w:rPr>
          <w:rFonts w:ascii="Sakkal Majalla" w:hAnsi="Sakkal Majalla" w:cs="AL-Mohanad"/>
          <w:sz w:val="27"/>
          <w:szCs w:val="27"/>
        </w:rPr>
        <w:t xml:space="preserve">: </w:t>
      </w:r>
      <w:r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 و</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إِنْ لَمْ تَفْعَلْ فَم</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بَلَّغْتَ رِس</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الَتَهُ و</w:t>
      </w:r>
      <w:r w:rsidR="00C5323E"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يَعْصِمُكَ مِنَ النَّاسِ</w:t>
      </w:r>
      <w:r w:rsidRPr="006571AC">
        <w:rPr>
          <w:rFonts w:ascii="Sakkal Majalla" w:hAnsi="Sakkal Majalla" w:cs="AL-Mohanad"/>
          <w:sz w:val="27"/>
          <w:szCs w:val="27"/>
          <w:rtl/>
        </w:rPr>
        <w:t xml:space="preserve">‏ (يعنى من اليهود فلا تقتل) </w:t>
      </w:r>
      <w:r w:rsidRPr="006571AC">
        <w:rPr>
          <w:rFonts w:ascii="Sakkal Majalla" w:hAnsi="Sakkal Majalla" w:cs="AL-Mohanad"/>
          <w:b/>
          <w:bCs/>
          <w:sz w:val="27"/>
          <w:szCs w:val="27"/>
          <w:rtl/>
        </w:rPr>
        <w:t xml:space="preserve">إِنَّ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لا</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يَهْدِي الْقَوْمَ الْكافِرِين</w:t>
      </w:r>
      <w:r w:rsidR="00C5323E"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hint="cs"/>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72"/>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p>
    <w:p w:rsidR="00FB4949" w:rsidRPr="006571AC" w:rsidRDefault="00FB4949" w:rsidP="00FB4949">
      <w:pPr>
        <w:spacing w:line="420" w:lineRule="exact"/>
        <w:rPr>
          <w:sz w:val="27"/>
          <w:rtl/>
        </w:rPr>
      </w:pPr>
    </w:p>
    <w:p w:rsidR="0074181B" w:rsidRPr="006571AC" w:rsidRDefault="0074181B" w:rsidP="0074181B">
      <w:pPr>
        <w:pStyle w:val="31"/>
        <w:rPr>
          <w:color w:val="auto"/>
        </w:rPr>
      </w:pPr>
      <w:bookmarkStart w:id="161" w:name="_Toc114164649"/>
      <w:r w:rsidRPr="006571AC">
        <w:rPr>
          <w:rFonts w:hint="cs"/>
          <w:color w:val="auto"/>
          <w:rtl/>
        </w:rPr>
        <w:t>تامُّلٌ واستبعاد</w:t>
      </w:r>
      <w:bookmarkEnd w:id="161"/>
    </w:p>
    <w:p w:rsidR="005D05A4" w:rsidRPr="006571AC" w:rsidRDefault="009037D1" w:rsidP="00B41BA0">
      <w:pPr>
        <w:pStyle w:val="af"/>
        <w:rPr>
          <w:rFonts w:ascii="Sakkal Majalla" w:hAnsi="Sakkal Majalla" w:cs="AL-Mohanad"/>
          <w:b/>
          <w:bCs/>
          <w:sz w:val="27"/>
          <w:szCs w:val="27"/>
        </w:rPr>
      </w:pPr>
      <w:r w:rsidRPr="006571AC">
        <w:rPr>
          <w:rFonts w:ascii="Sakkal Majalla" w:hAnsi="Sakkal Majalla" w:cs="AL-Mohanad" w:hint="cs"/>
          <w:b/>
          <w:bCs/>
          <w:sz w:val="27"/>
          <w:szCs w:val="27"/>
          <w:rtl/>
        </w:rPr>
        <w:t>و</w:t>
      </w:r>
      <w:r w:rsidR="005D05A4" w:rsidRPr="006571AC">
        <w:rPr>
          <w:rFonts w:ascii="Sakkal Majalla" w:hAnsi="Sakkal Majalla" w:cs="AL-Mohanad" w:hint="cs"/>
          <w:b/>
          <w:bCs/>
          <w:sz w:val="27"/>
          <w:szCs w:val="27"/>
          <w:rtl/>
        </w:rPr>
        <w:t xml:space="preserve">في الجواب نقول: </w:t>
      </w:r>
      <w:r w:rsidR="005D05A4" w:rsidRPr="006571AC">
        <w:rPr>
          <w:rFonts w:ascii="Sakkal Majalla" w:hAnsi="Sakkal Majalla" w:cs="AL-Mohanad" w:hint="cs"/>
          <w:sz w:val="27"/>
          <w:szCs w:val="27"/>
          <w:rtl/>
        </w:rPr>
        <w:t xml:space="preserve">لا </w:t>
      </w:r>
      <w:r w:rsidR="005D05A4" w:rsidRPr="006571AC">
        <w:rPr>
          <w:rFonts w:cs="AL-Mohanad" w:hint="cs"/>
          <w:sz w:val="27"/>
          <w:szCs w:val="27"/>
          <w:rtl/>
        </w:rPr>
        <w:t>ي</w:t>
      </w:r>
      <w:r w:rsidR="005D05A4" w:rsidRPr="006571AC">
        <w:rPr>
          <w:rFonts w:ascii="Sakkal Majalla" w:hAnsi="Sakkal Majalla" w:cs="AL-Mohanad" w:hint="cs"/>
          <w:sz w:val="27"/>
          <w:szCs w:val="27"/>
          <w:rtl/>
        </w:rPr>
        <w:t>مكن قبول هذا القول</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وذل</w:t>
      </w:r>
      <w:r w:rsidR="005D05A4" w:rsidRPr="006571AC">
        <w:rPr>
          <w:rFonts w:ascii="Sakkal Majalla" w:hAnsi="Sakkal Majalla" w:cs="AL-Mohanad" w:hint="cs"/>
          <w:sz w:val="27"/>
          <w:szCs w:val="27"/>
          <w:rtl/>
        </w:rPr>
        <w:t>ك</w:t>
      </w:r>
      <w:r w:rsidR="005D05A4" w:rsidRPr="006571AC">
        <w:rPr>
          <w:rFonts w:ascii="Sakkal Majalla" w:hAnsi="Sakkal Majalla" w:cs="AL-Mohanad"/>
          <w:sz w:val="27"/>
          <w:szCs w:val="27"/>
          <w:rtl/>
        </w:rPr>
        <w:t xml:space="preserve"> لعدّة وجوه</w:t>
      </w:r>
      <w:r w:rsidRPr="006571AC">
        <w:rPr>
          <w:rFonts w:ascii="Sakkal Majalla" w:hAnsi="Sakkal Majalla" w:cs="AL-Mohanad" w:hint="cs"/>
          <w:sz w:val="27"/>
          <w:szCs w:val="27"/>
          <w:rtl/>
        </w:rPr>
        <w:t>:</w:t>
      </w:r>
    </w:p>
    <w:p w:rsidR="005D05A4" w:rsidRPr="006571AC" w:rsidRDefault="005D05A4" w:rsidP="00513A82">
      <w:pPr>
        <w:pStyle w:val="af"/>
        <w:rPr>
          <w:rFonts w:ascii="Sakkal Majalla" w:hAnsi="Sakkal Majalla" w:cs="AL-Mohanad"/>
          <w:sz w:val="27"/>
          <w:szCs w:val="27"/>
        </w:rPr>
      </w:pPr>
      <w:r w:rsidRPr="006571AC">
        <w:rPr>
          <w:rFonts w:ascii="Sakkal Majalla" w:hAnsi="Sakkal Majalla" w:cs="AL-Mohanad"/>
          <w:b/>
          <w:bCs/>
          <w:sz w:val="27"/>
          <w:szCs w:val="27"/>
          <w:rtl/>
        </w:rPr>
        <w:t>ال</w:t>
      </w:r>
      <w:r w:rsidRPr="006571AC">
        <w:rPr>
          <w:rFonts w:ascii="Sakkal Majalla" w:hAnsi="Sakkal Majalla" w:cs="AL-Mohanad" w:hint="cs"/>
          <w:b/>
          <w:bCs/>
          <w:sz w:val="27"/>
          <w:szCs w:val="27"/>
          <w:rtl/>
        </w:rPr>
        <w:t>أ</w:t>
      </w:r>
      <w:r w:rsidRPr="006571AC">
        <w:rPr>
          <w:rFonts w:ascii="Sakkal Majalla" w:hAnsi="Sakkal Majalla" w:cs="AL-Mohanad"/>
          <w:b/>
          <w:bCs/>
          <w:sz w:val="27"/>
          <w:szCs w:val="27"/>
          <w:rtl/>
        </w:rPr>
        <w:t>و</w:t>
      </w:r>
      <w:r w:rsidR="009037D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ل: </w:t>
      </w:r>
      <w:r w:rsidR="009037D1" w:rsidRPr="006571AC">
        <w:rPr>
          <w:rFonts w:ascii="Sakkal Majalla" w:hAnsi="Sakkal Majalla" w:cs="AL-Mohanad" w:hint="cs"/>
          <w:sz w:val="27"/>
          <w:szCs w:val="27"/>
          <w:rtl/>
        </w:rPr>
        <w:t>إ</w:t>
      </w:r>
      <w:r w:rsidRPr="006571AC">
        <w:rPr>
          <w:rFonts w:ascii="Sakkal Majalla" w:hAnsi="Sakkal Majalla" w:cs="AL-Mohanad"/>
          <w:sz w:val="27"/>
          <w:szCs w:val="27"/>
          <w:rtl/>
        </w:rPr>
        <w:t>نّ 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أب</w:t>
      </w:r>
      <w:r w:rsidR="009037D1"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تكون مرتبطة</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بما قبلها وما بعدها</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لما جاء ف</w:t>
      </w:r>
      <w:r w:rsidRPr="006571AC">
        <w:rPr>
          <w:rFonts w:cs="AL-Mohanad" w:hint="cs"/>
          <w:sz w:val="27"/>
          <w:szCs w:val="27"/>
          <w:rtl/>
        </w:rPr>
        <w:t>ي</w:t>
      </w:r>
      <w:r w:rsidRPr="006571AC">
        <w:rPr>
          <w:rFonts w:ascii="Sakkal Majalla" w:hAnsi="Sakkal Majalla" w:cs="AL-Mohanad" w:hint="cs"/>
          <w:sz w:val="27"/>
          <w:szCs w:val="27"/>
          <w:rtl/>
        </w:rPr>
        <w:t>ها من</w:t>
      </w:r>
      <w:r w:rsidRPr="006571AC">
        <w:rPr>
          <w:rFonts w:ascii="Sakkal Majalla" w:hAnsi="Sakkal Majalla" w:cs="AL-Mohanad"/>
          <w:sz w:val="27"/>
          <w:szCs w:val="27"/>
          <w:rtl/>
        </w:rPr>
        <w:t xml:space="preserve"> قوله: </w:t>
      </w:r>
      <w:r w:rsidRPr="006571AC">
        <w:rPr>
          <w:rFonts w:ascii="Mosawi" w:hAnsi="Mosawi" w:cs="Mosawi"/>
          <w:rtl/>
        </w:rPr>
        <w:t>﴿</w:t>
      </w:r>
      <w:r w:rsidRPr="006571AC">
        <w:rPr>
          <w:rFonts w:ascii="Sakkal Majalla" w:hAnsi="Sakkal Majalla" w:cs="AL-Mohanad"/>
          <w:b/>
          <w:bCs/>
          <w:sz w:val="27"/>
          <w:szCs w:val="27"/>
          <w:rtl/>
        </w:rPr>
        <w:t>وَ</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يَعْصِمُكَ مِنَ النَّاسِ</w:t>
      </w:r>
      <w:r w:rsidRPr="006571AC">
        <w:rPr>
          <w:rFonts w:ascii="Mosawi" w:hAnsi="Mosawi" w:cs="Mosawi"/>
          <w:rtl/>
        </w:rPr>
        <w:t>﴾</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فقد وعد الله نب</w:t>
      </w:r>
      <w:r w:rsidRPr="006571AC">
        <w:rPr>
          <w:rFonts w:cs="AL-Mohanad" w:hint="cs"/>
          <w:sz w:val="27"/>
          <w:szCs w:val="27"/>
          <w:rtl/>
        </w:rPr>
        <w:t>ي</w:t>
      </w:r>
      <w:r w:rsidRPr="006571AC">
        <w:rPr>
          <w:rFonts w:ascii="Sakkal Majalla" w:hAnsi="Sakkal Majalla" w:cs="AL-Mohanad" w:hint="cs"/>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بالحفظ والعصمة من ال</w:t>
      </w:r>
      <w:r w:rsidR="009037D1" w:rsidRPr="006571AC">
        <w:rPr>
          <w:rFonts w:ascii="Sakkal Majalla" w:hAnsi="Sakkal Majalla" w:cs="AL-Mohanad" w:hint="cs"/>
          <w:sz w:val="27"/>
          <w:szCs w:val="27"/>
          <w:rtl/>
        </w:rPr>
        <w:t>أخطار</w:t>
      </w:r>
      <w:r w:rsidRPr="006571AC">
        <w:rPr>
          <w:rFonts w:ascii="Sakkal Majalla" w:hAnsi="Sakkal Majalla" w:cs="AL-Mohanad"/>
          <w:sz w:val="27"/>
          <w:szCs w:val="27"/>
          <w:rtl/>
        </w:rPr>
        <w:t xml:space="preserve"> والتهد</w:t>
      </w:r>
      <w:r w:rsidRPr="006571AC">
        <w:rPr>
          <w:rFonts w:cs="AL-Mohanad" w:hint="cs"/>
          <w:sz w:val="27"/>
          <w:szCs w:val="27"/>
          <w:rtl/>
        </w:rPr>
        <w:t>ي</w:t>
      </w:r>
      <w:r w:rsidRPr="006571AC">
        <w:rPr>
          <w:rFonts w:ascii="Sakkal Majalla" w:hAnsi="Sakkal Majalla" w:cs="AL-Mohanad" w:hint="cs"/>
          <w:sz w:val="27"/>
          <w:szCs w:val="27"/>
          <w:rtl/>
        </w:rPr>
        <w:t>دات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الموجّ</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هة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وم</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ن</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قرأ التار</w:t>
      </w:r>
      <w:r w:rsidRPr="006571AC">
        <w:rPr>
          <w:rFonts w:cs="AL-Mohanad" w:hint="cs"/>
          <w:sz w:val="27"/>
          <w:szCs w:val="27"/>
          <w:rtl/>
        </w:rPr>
        <w:t>ي</w:t>
      </w:r>
      <w:r w:rsidRPr="006571AC">
        <w:rPr>
          <w:rFonts w:ascii="Sakkal Majalla" w:hAnsi="Sakkal Majalla" w:cs="AL-Mohanad" w:hint="cs"/>
          <w:sz w:val="27"/>
          <w:szCs w:val="27"/>
          <w:rtl/>
        </w:rPr>
        <w:t>خ</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513A82" w:rsidRPr="006571AC">
        <w:rPr>
          <w:rFonts w:ascii="Sakkal Majalla" w:hAnsi="Sakkal Majalla" w:cs="AL-Mohanad" w:hint="cs"/>
          <w:sz w:val="27"/>
          <w:szCs w:val="27"/>
          <w:rtl/>
        </w:rPr>
        <w:t>إ</w:t>
      </w:r>
      <w:r w:rsidRPr="006571AC">
        <w:rPr>
          <w:rFonts w:ascii="Sakkal Majalla" w:hAnsi="Sakkal Majalla" w:cs="AL-Mohanad" w:hint="cs"/>
          <w:sz w:val="27"/>
          <w:szCs w:val="27"/>
          <w:rtl/>
        </w:rPr>
        <w:t>سلامي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w:t>
      </w:r>
      <w:r w:rsidRPr="006571AC">
        <w:rPr>
          <w:rFonts w:cs="AL-Mohanad" w:hint="cs"/>
          <w:sz w:val="27"/>
          <w:szCs w:val="27"/>
          <w:rtl/>
        </w:rPr>
        <w:t>ي</w:t>
      </w:r>
      <w:r w:rsidRPr="006571AC">
        <w:rPr>
          <w:rFonts w:ascii="Sakkal Majalla" w:hAnsi="Sakkal Majalla" w:cs="AL-Mohanad" w:hint="cs"/>
          <w:sz w:val="27"/>
          <w:szCs w:val="27"/>
          <w:rtl/>
        </w:rPr>
        <w:t>علم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آنذاك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شوكة</w:t>
      </w:r>
      <w:r w:rsidR="009037D1" w:rsidRPr="006571AC">
        <w:rPr>
          <w:rFonts w:ascii="Sakkal Majalla" w:hAnsi="Sakkal Majalla" w:cs="AL-Mohanad" w:hint="cs"/>
          <w:sz w:val="27"/>
          <w:szCs w:val="27"/>
          <w:rtl/>
        </w:rPr>
        <w:t>ٍ</w:t>
      </w:r>
      <w:r w:rsidR="009037D1" w:rsidRPr="006571AC">
        <w:rPr>
          <w:rFonts w:ascii="Sakkal Majalla" w:hAnsi="Sakkal Majalla" w:cs="AL-Mohanad"/>
          <w:sz w:val="27"/>
          <w:szCs w:val="27"/>
          <w:rtl/>
        </w:rPr>
        <w:t xml:space="preserve"> و</w:t>
      </w:r>
      <w:r w:rsidRPr="006571AC">
        <w:rPr>
          <w:rFonts w:ascii="Sakkal Majalla" w:hAnsi="Sakkal Majalla" w:cs="AL-Mohanad"/>
          <w:sz w:val="27"/>
          <w:szCs w:val="27"/>
          <w:rtl/>
        </w:rPr>
        <w:t>قدرة</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هدّ</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دون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بل لم </w:t>
      </w:r>
      <w:r w:rsidRPr="006571AC">
        <w:rPr>
          <w:rFonts w:cs="AL-Mohanad" w:hint="cs"/>
          <w:sz w:val="27"/>
          <w:szCs w:val="27"/>
          <w:rtl/>
        </w:rPr>
        <w:t>ي</w:t>
      </w:r>
      <w:r w:rsidRPr="006571AC">
        <w:rPr>
          <w:rFonts w:ascii="Sakkal Majalla" w:hAnsi="Sakkal Majalla" w:cs="AL-Mohanad" w:hint="cs"/>
          <w:sz w:val="27"/>
          <w:szCs w:val="27"/>
          <w:rtl/>
        </w:rPr>
        <w:t>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لهم</w:t>
      </w:r>
      <w:r w:rsidRPr="006571AC">
        <w:rPr>
          <w:rFonts w:ascii="Sakkal Majalla" w:hAnsi="Sakkal Majalla" w:cs="AL-Mohanad"/>
          <w:sz w:val="27"/>
          <w:szCs w:val="27"/>
          <w:rtl/>
        </w:rPr>
        <w:t xml:space="preserve"> </w:t>
      </w:r>
      <w:r w:rsidR="00EA38F1" w:rsidRPr="006571AC">
        <w:rPr>
          <w:rFonts w:ascii="Sakkal Majalla" w:hAnsi="Sakkal Majalla" w:cs="AL-Mohanad" w:hint="cs"/>
          <w:sz w:val="27"/>
          <w:szCs w:val="27"/>
          <w:rtl/>
        </w:rPr>
        <w:t>دَوْر</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وأثر</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كب</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 xml:space="preserve">نة، </w:t>
      </w:r>
      <w:r w:rsidRPr="006571AC">
        <w:rPr>
          <w:rFonts w:ascii="Sakkal Majalla" w:hAnsi="Sakkal Majalla" w:cs="AL-Mohanad"/>
          <w:sz w:val="27"/>
          <w:szCs w:val="27"/>
          <w:rtl/>
        </w:rPr>
        <w:t>فقد اضطرّوا بعد فشلهم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معركة خ</w:t>
      </w:r>
      <w:r w:rsidRPr="006571AC">
        <w:rPr>
          <w:rFonts w:cs="AL-Mohanad" w:hint="cs"/>
          <w:sz w:val="27"/>
          <w:szCs w:val="27"/>
          <w:rtl/>
        </w:rPr>
        <w:t>ي</w:t>
      </w:r>
      <w:r w:rsidRPr="006571AC">
        <w:rPr>
          <w:rFonts w:ascii="Sakkal Majalla" w:hAnsi="Sakkal Majalla" w:cs="AL-Mohanad" w:hint="cs"/>
          <w:sz w:val="27"/>
          <w:szCs w:val="27"/>
          <w:rtl/>
        </w:rPr>
        <w:t>بر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هاجروا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المد</w:t>
      </w:r>
      <w:r w:rsidRPr="006571AC">
        <w:rPr>
          <w:rFonts w:cs="AL-Mohanad" w:hint="cs"/>
          <w:sz w:val="27"/>
          <w:szCs w:val="27"/>
          <w:rtl/>
        </w:rPr>
        <w:t>ي</w:t>
      </w:r>
      <w:r w:rsidRPr="006571AC">
        <w:rPr>
          <w:rFonts w:ascii="Sakkal Majalla" w:hAnsi="Sakkal Majalla" w:cs="AL-Mohanad" w:hint="cs"/>
          <w:sz w:val="27"/>
          <w:szCs w:val="27"/>
          <w:rtl/>
        </w:rPr>
        <w:t>نة</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 xml:space="preserve">تركوها، </w:t>
      </w:r>
      <w:r w:rsidRPr="006571AC">
        <w:rPr>
          <w:rFonts w:ascii="Sakkal Majalla" w:hAnsi="Sakkal Majalla" w:cs="AL-Mohanad"/>
          <w:sz w:val="27"/>
          <w:szCs w:val="27"/>
          <w:rtl/>
        </w:rPr>
        <w:t xml:space="preserve">فلم </w:t>
      </w:r>
      <w:r w:rsidRPr="006571AC">
        <w:rPr>
          <w:rFonts w:cs="AL-Mohanad" w:hint="cs"/>
          <w:sz w:val="27"/>
          <w:szCs w:val="27"/>
          <w:rtl/>
        </w:rPr>
        <w:t>ي</w:t>
      </w:r>
      <w:r w:rsidRPr="006571AC">
        <w:rPr>
          <w:rFonts w:ascii="Sakkal Majalla" w:hAnsi="Sakkal Majalla" w:cs="AL-Mohanad" w:hint="cs"/>
          <w:sz w:val="27"/>
          <w:szCs w:val="27"/>
          <w:rtl/>
        </w:rPr>
        <w:t>بق</w:t>
      </w:r>
      <w:r w:rsidR="009037D1"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003C2639" w:rsidRPr="006571AC">
        <w:rPr>
          <w:rFonts w:ascii="Sakkal Majalla" w:hAnsi="Sakkal Majalla" w:cs="AL-Mohanad"/>
          <w:sz w:val="27"/>
          <w:szCs w:val="27"/>
          <w:rtl/>
        </w:rPr>
        <w:t>لاّ</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عداد القل</w:t>
      </w:r>
      <w:r w:rsidRPr="006571AC">
        <w:rPr>
          <w:rFonts w:cs="AL-Mohanad" w:hint="cs"/>
          <w:sz w:val="27"/>
          <w:szCs w:val="27"/>
          <w:rtl/>
        </w:rPr>
        <w:t>ي</w:t>
      </w:r>
      <w:r w:rsidRPr="006571AC">
        <w:rPr>
          <w:rFonts w:ascii="Sakkal Majalla" w:hAnsi="Sakkal Majalla" w:cs="AL-Mohanad" w:hint="cs"/>
          <w:sz w:val="27"/>
          <w:szCs w:val="27"/>
          <w:rtl/>
        </w:rPr>
        <w:t>لة</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كانوا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دفعون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للمسلم</w:t>
      </w:r>
      <w:r w:rsidRPr="006571AC">
        <w:rPr>
          <w:rFonts w:cs="AL-Mohanad" w:hint="cs"/>
          <w:sz w:val="27"/>
          <w:szCs w:val="27"/>
          <w:rtl/>
        </w:rPr>
        <w:t>ي</w:t>
      </w:r>
      <w:r w:rsidRPr="006571AC">
        <w:rPr>
          <w:rFonts w:ascii="Sakkal Majalla" w:hAnsi="Sakkal Majalla" w:cs="AL-Mohanad" w:hint="cs"/>
          <w:sz w:val="27"/>
          <w:szCs w:val="27"/>
          <w:rtl/>
        </w:rPr>
        <w:t>ن الج</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ز</w:t>
      </w:r>
      <w:r w:rsidR="009037D1"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 وهم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ذلا</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ء، ومع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فك</w:t>
      </w:r>
      <w:r w:rsidRPr="006571AC">
        <w:rPr>
          <w:rFonts w:cs="AL-Mohanad" w:hint="cs"/>
          <w:sz w:val="27"/>
          <w:szCs w:val="27"/>
          <w:rtl/>
        </w:rPr>
        <w:t>ي</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Pr="006571AC">
        <w:rPr>
          <w:rFonts w:cs="AL-Mohanad" w:hint="cs"/>
          <w:sz w:val="27"/>
          <w:szCs w:val="27"/>
          <w:rtl/>
        </w:rPr>
        <w:t>ي</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قال</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9037D1" w:rsidRPr="006571AC">
        <w:rPr>
          <w:rFonts w:ascii="Sakkal Majalla" w:hAnsi="Sakkal Majalla" w:cs="AL-Mohanad" w:hint="cs"/>
          <w:sz w:val="27"/>
          <w:szCs w:val="27"/>
          <w:rtl/>
        </w:rPr>
        <w:t>إ</w:t>
      </w:r>
      <w:r w:rsidRPr="006571AC">
        <w:rPr>
          <w:rFonts w:ascii="Sakkal Majalla" w:hAnsi="Sakkal Majalla" w:cs="AL-Mohanad"/>
          <w:sz w:val="27"/>
          <w:szCs w:val="27"/>
          <w:rtl/>
        </w:rPr>
        <w:t>ن النب</w:t>
      </w:r>
      <w:r w:rsidRPr="006571AC">
        <w:rPr>
          <w:rFonts w:ascii="Sakkal Majalla" w:hAnsi="Sakkal Majalla" w:cs="AL-Mohanad" w:hint="cs"/>
          <w:sz w:val="27"/>
          <w:szCs w:val="27"/>
          <w:rtl/>
        </w:rPr>
        <w:t>ي</w:t>
      </w:r>
      <w:r w:rsidR="009037D1"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 ي</w:t>
      </w:r>
      <w:r w:rsidRPr="006571AC">
        <w:rPr>
          <w:rFonts w:ascii="Sakkal Majalla" w:hAnsi="Sakkal Majalla" w:cs="AL-Mohanad"/>
          <w:sz w:val="27"/>
          <w:szCs w:val="27"/>
          <w:rtl/>
        </w:rPr>
        <w:t>خش</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Pr="006571AC">
        <w:rPr>
          <w:rFonts w:cs="AL-Mohanad" w:hint="cs"/>
          <w:sz w:val="27"/>
          <w:szCs w:val="27"/>
          <w:rtl/>
        </w:rPr>
        <w:t>ي</w:t>
      </w:r>
      <w:r w:rsidRPr="006571AC">
        <w:rPr>
          <w:rFonts w:ascii="Sakkal Majalla" w:hAnsi="Sakkal Majalla" w:cs="AL-Mohanad" w:hint="cs"/>
          <w:sz w:val="27"/>
          <w:szCs w:val="27"/>
          <w:rtl/>
        </w:rPr>
        <w:t>هود</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والحال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الله تعالى </w:t>
      </w:r>
      <w:r w:rsidRPr="006571AC">
        <w:rPr>
          <w:rFonts w:ascii="Sakkal Majalla" w:hAnsi="Sakkal Majalla" w:cs="AL-Mohanad" w:hint="cs"/>
          <w:sz w:val="27"/>
          <w:szCs w:val="27"/>
          <w:rtl/>
        </w:rPr>
        <w:t>وعده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بالحفظ</w:t>
      </w:r>
      <w:r w:rsidRPr="006571AC">
        <w:rPr>
          <w:rFonts w:ascii="Sakkal Majalla" w:hAnsi="Sakkal Majalla" w:cs="AL-Mohanad"/>
          <w:sz w:val="27"/>
          <w:szCs w:val="27"/>
          <w:rtl/>
        </w:rPr>
        <w:t xml:space="preserve"> والحما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مؤامراتهم</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73"/>
      </w:r>
      <w:r w:rsidRPr="006571AC">
        <w:rPr>
          <w:rFonts w:ascii="Sakkal Majalla" w:hAnsi="Sakkal Majalla" w:cs="AL-Mohanad" w:hint="cs"/>
          <w:sz w:val="27"/>
          <w:szCs w:val="27"/>
          <w:vertAlign w:val="superscript"/>
          <w:rtl/>
        </w:rPr>
        <w:t>)</w:t>
      </w:r>
      <w:r w:rsidRPr="006571AC">
        <w:rPr>
          <w:rFonts w:ascii="Sakkal Majalla" w:hAnsi="Sakkal Majalla" w:cs="AL-Mohanad" w:hint="cs"/>
          <w:sz w:val="27"/>
          <w:szCs w:val="27"/>
          <w:rtl/>
        </w:rPr>
        <w:t>.</w:t>
      </w:r>
      <w:r w:rsidRPr="006571AC">
        <w:rPr>
          <w:rFonts w:ascii="Sakkal Majalla" w:hAnsi="Sakkal Majalla" w:cs="AL-Mohanad" w:hint="cs"/>
          <w:sz w:val="27"/>
          <w:szCs w:val="27"/>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b/>
          <w:bCs/>
          <w:sz w:val="27"/>
          <w:szCs w:val="27"/>
          <w:rtl/>
        </w:rPr>
        <w:t>الثان</w:t>
      </w:r>
      <w:r w:rsidRPr="006571AC">
        <w:rPr>
          <w:rFonts w:ascii="Sakkal Majalla" w:hAnsi="Sakkal Majalla" w:cs="AL-Mohanad" w:hint="cs"/>
          <w:b/>
          <w:bCs/>
          <w:sz w:val="27"/>
          <w:szCs w:val="27"/>
          <w:rtl/>
        </w:rPr>
        <w:t>ي</w:t>
      </w:r>
      <w:r w:rsidRPr="006571AC">
        <w:rPr>
          <w:rFonts w:ascii="Sakkal Majalla" w:hAnsi="Sakkal Majalla" w:cs="AL-Mohanad"/>
          <w:sz w:val="27"/>
          <w:szCs w:val="27"/>
          <w:rtl/>
        </w:rPr>
        <w:t xml:space="preserve">: </w:t>
      </w:r>
      <w:r w:rsidR="00531649"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القرآن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تنزل</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ترت</w:t>
      </w:r>
      <w:r w:rsidRPr="006571AC">
        <w:rPr>
          <w:rFonts w:cs="AL-Mohanad" w:hint="cs"/>
          <w:sz w:val="27"/>
          <w:szCs w:val="27"/>
          <w:rtl/>
        </w:rPr>
        <w:t>ي</w:t>
      </w:r>
      <w:r w:rsidRPr="006571AC">
        <w:rPr>
          <w:rFonts w:ascii="Sakkal Majalla" w:hAnsi="Sakkal Majalla" w:cs="AL-Mohanad" w:hint="cs"/>
          <w:sz w:val="27"/>
          <w:szCs w:val="27"/>
          <w:rtl/>
        </w:rPr>
        <w:t>بها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الفعلي </w:t>
      </w:r>
      <w:r w:rsidRPr="006571AC">
        <w:rPr>
          <w:rFonts w:ascii="Sakkal Majalla" w:hAnsi="Sakkal Majalla" w:cs="AL-Mohanad"/>
          <w:sz w:val="27"/>
          <w:szCs w:val="27"/>
          <w:rtl/>
        </w:rPr>
        <w:t>الموجود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القرآن</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بل كانت تنزل على </w:t>
      </w:r>
      <w:r w:rsidRPr="006571AC">
        <w:rPr>
          <w:rFonts w:ascii="Sakkal Majalla" w:hAnsi="Sakkal Majalla" w:cs="AL-Mohanad" w:hint="cs"/>
          <w:sz w:val="27"/>
          <w:szCs w:val="27"/>
          <w:rtl/>
        </w:rPr>
        <w:t>النبي</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ح</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س</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ب المناسبات والظروف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كانت تح</w:t>
      </w:r>
      <w:r w:rsidRPr="006571AC">
        <w:rPr>
          <w:rFonts w:cs="AL-Mohanad" w:hint="cs"/>
          <w:sz w:val="27"/>
          <w:szCs w:val="27"/>
          <w:rtl/>
        </w:rPr>
        <w:t>ي</w:t>
      </w:r>
      <w:r w:rsidRPr="006571AC">
        <w:rPr>
          <w:rFonts w:ascii="Sakkal Majalla" w:hAnsi="Sakkal Majalla" w:cs="AL-Mohanad" w:hint="cs"/>
          <w:sz w:val="27"/>
          <w:szCs w:val="27"/>
          <w:rtl/>
        </w:rPr>
        <w:t>ط</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بالنبي</w:t>
      </w:r>
      <w:r w:rsidR="00531649"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والمسلم</w:t>
      </w:r>
      <w:r w:rsidRPr="006571AC">
        <w:rPr>
          <w:rFonts w:cs="AL-Mohanad" w:hint="cs"/>
          <w:sz w:val="27"/>
          <w:szCs w:val="27"/>
          <w:rtl/>
        </w:rPr>
        <w:t>ي</w:t>
      </w:r>
      <w:r w:rsidRPr="006571AC">
        <w:rPr>
          <w:rFonts w:ascii="Sakkal Majalla" w:hAnsi="Sakkal Majalla" w:cs="AL-Mohanad" w:hint="cs"/>
          <w:sz w:val="27"/>
          <w:szCs w:val="27"/>
          <w:rtl/>
        </w:rPr>
        <w:t xml:space="preserve">ن، </w:t>
      </w:r>
      <w:r w:rsidRPr="006571AC">
        <w:rPr>
          <w:rFonts w:ascii="Sakkal Majalla" w:hAnsi="Sakkal Majalla" w:cs="AL-Mohanad"/>
          <w:sz w:val="27"/>
          <w:szCs w:val="27"/>
          <w:rtl/>
        </w:rPr>
        <w:t>وكان النب</w:t>
      </w:r>
      <w:r w:rsidRPr="006571AC">
        <w:rPr>
          <w:rFonts w:ascii="Sakkal Majalla" w:hAnsi="Sakkal Majalla" w:cs="AL-Mohanad" w:hint="cs"/>
          <w:sz w:val="27"/>
          <w:szCs w:val="27"/>
          <w:rtl/>
        </w:rPr>
        <w:t>ي</w:t>
      </w:r>
      <w:r w:rsidR="00531649"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أمر</w:t>
      </w:r>
      <w:r w:rsidRPr="006571AC">
        <w:rPr>
          <w:rFonts w:ascii="Sakkal Majalla" w:hAnsi="Sakkal Majalla" w:cs="AL-Mohanad"/>
          <w:sz w:val="27"/>
          <w:szCs w:val="27"/>
          <w:rtl/>
        </w:rPr>
        <w:t xml:space="preserve"> بعض </w:t>
      </w:r>
      <w:r w:rsidRPr="006571AC">
        <w:rPr>
          <w:rFonts w:ascii="Sakkal Majalla" w:hAnsi="Sakkal Majalla" w:cs="AL-Mohanad" w:hint="cs"/>
          <w:sz w:val="27"/>
          <w:szCs w:val="27"/>
          <w:rtl/>
        </w:rPr>
        <w:t>أ</w:t>
      </w:r>
      <w:r w:rsidRPr="006571AC">
        <w:rPr>
          <w:rFonts w:ascii="Sakkal Majalla" w:hAnsi="Sakkal Majalla" w:cs="AL-Mohanad"/>
          <w:sz w:val="27"/>
          <w:szCs w:val="27"/>
          <w:rtl/>
        </w:rPr>
        <w:t>صحابه بوضع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النازلة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موضعها الخاص</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ولهذا نجد بعض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w:t>
      </w:r>
      <w:r w:rsidRPr="006571AC">
        <w:rPr>
          <w:rFonts w:ascii="Sakkal Majalla" w:hAnsi="Sakkal Majalla" w:cs="AL-Mohanad"/>
          <w:sz w:val="27"/>
          <w:szCs w:val="27"/>
          <w:rtl/>
        </w:rPr>
        <w:t>ك</w:t>
      </w:r>
      <w:r w:rsidR="00531649"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دخلت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سور مدن</w:t>
      </w:r>
      <w:r w:rsidRPr="006571AC">
        <w:rPr>
          <w:rFonts w:cs="AL-Mohanad" w:hint="cs"/>
          <w:sz w:val="27"/>
          <w:szCs w:val="27"/>
          <w:rtl/>
        </w:rPr>
        <w:t>ي</w:t>
      </w:r>
      <w:r w:rsidRPr="006571AC">
        <w:rPr>
          <w:rFonts w:ascii="Sakkal Majalla" w:hAnsi="Sakkal Majalla" w:cs="AL-Mohanad" w:hint="cs"/>
          <w:sz w:val="27"/>
          <w:szCs w:val="27"/>
          <w:rtl/>
        </w:rPr>
        <w:t>ة</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00531649" w:rsidRPr="006571AC">
        <w:rPr>
          <w:rFonts w:ascii="Sakkal Majalla" w:hAnsi="Sakkal Majalla" w:cs="AL-Mohanad" w:hint="cs"/>
          <w:sz w:val="27"/>
          <w:szCs w:val="27"/>
          <w:rtl/>
        </w:rPr>
        <w:t>بال</w:t>
      </w:r>
      <w:r w:rsidRPr="006571AC">
        <w:rPr>
          <w:rFonts w:ascii="Sakkal Majalla" w:hAnsi="Sakkal Majalla" w:cs="AL-Mohanad"/>
          <w:sz w:val="27"/>
          <w:szCs w:val="27"/>
          <w:rtl/>
        </w:rPr>
        <w:t>عكس. و</w:t>
      </w:r>
      <w:r w:rsidRPr="006571AC">
        <w:rPr>
          <w:rFonts w:cs="AL-Mohanad" w:hint="cs"/>
          <w:sz w:val="27"/>
          <w:szCs w:val="27"/>
          <w:rtl/>
        </w:rPr>
        <w:t>ي</w:t>
      </w:r>
      <w:r w:rsidRPr="006571AC">
        <w:rPr>
          <w:rFonts w:ascii="Sakkal Majalla" w:hAnsi="Sakkal Majalla" w:cs="AL-Mohanad" w:hint="cs"/>
          <w:sz w:val="27"/>
          <w:szCs w:val="27"/>
          <w:rtl/>
        </w:rPr>
        <w:t>ؤ</w:t>
      </w:r>
      <w:r w:rsidRPr="006571AC">
        <w:rPr>
          <w:rFonts w:cs="AL-Mohanad" w:hint="cs"/>
          <w:sz w:val="27"/>
          <w:szCs w:val="27"/>
          <w:rtl/>
        </w:rPr>
        <w:t>ي</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ما </w:t>
      </w:r>
      <w:r w:rsidRPr="006571AC">
        <w:rPr>
          <w:rFonts w:ascii="Sakkal Majalla" w:hAnsi="Sakkal Majalla" w:cs="AL-Mohanad" w:hint="cs"/>
          <w:sz w:val="27"/>
          <w:szCs w:val="27"/>
          <w:rtl/>
        </w:rPr>
        <w:t>رواه أبو دا</w:t>
      </w:r>
      <w:r w:rsidR="00531649" w:rsidRPr="006571AC">
        <w:rPr>
          <w:rFonts w:ascii="Sakkal Majalla" w:hAnsi="Sakkal Majalla" w:cs="AL-Mohanad" w:hint="cs"/>
          <w:sz w:val="27"/>
          <w:szCs w:val="27"/>
          <w:rtl/>
        </w:rPr>
        <w:t>و</w:t>
      </w:r>
      <w:r w:rsidRPr="006571AC">
        <w:rPr>
          <w:rFonts w:ascii="Sakkal Majalla" w:hAnsi="Sakkal Majalla" w:cs="AL-Mohanad" w:hint="cs"/>
          <w:sz w:val="27"/>
          <w:szCs w:val="27"/>
          <w:rtl/>
        </w:rPr>
        <w:t>ود</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في سننه</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عن عثمان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نّه قال: </w:t>
      </w:r>
      <w:r w:rsidRPr="006571AC">
        <w:rPr>
          <w:rFonts w:ascii="Sakkal Majalla" w:hAnsi="Sakkal Majalla" w:cs="AL-Mohanad" w:hint="cs"/>
          <w:rtl/>
        </w:rPr>
        <w:t>«</w:t>
      </w:r>
      <w:r w:rsidRPr="006571AC">
        <w:rPr>
          <w:rFonts w:ascii="Sakkal Majalla" w:hAnsi="Sakkal Majalla" w:cs="AL-Mohanad"/>
          <w:sz w:val="27"/>
          <w:szCs w:val="27"/>
          <w:rtl/>
        </w:rPr>
        <w:t>كان النبي</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00531649" w:rsidRPr="006571AC">
        <w:rPr>
          <w:rFonts w:ascii="Sakkal Majalla" w:hAnsi="Sakkal Majalla" w:cs="AL-Mohanad" w:hint="cs"/>
          <w:sz w:val="27"/>
          <w:szCs w:val="27"/>
          <w:rtl/>
        </w:rPr>
        <w:t>ت</w:t>
      </w:r>
      <w:r w:rsidRPr="006571AC">
        <w:rPr>
          <w:rFonts w:ascii="Sakkal Majalla" w:hAnsi="Sakkal Majalla" w:cs="AL-Mohanad"/>
          <w:sz w:val="27"/>
          <w:szCs w:val="27"/>
          <w:rtl/>
        </w:rPr>
        <w:t xml:space="preserve">نزل عليه </w:t>
      </w:r>
      <w:r w:rsidRPr="006571AC">
        <w:rPr>
          <w:rFonts w:ascii="Sakkal Majalla" w:hAnsi="Sakkal Majalla" w:cs="AL-Mohanad"/>
          <w:sz w:val="27"/>
          <w:szCs w:val="27"/>
          <w:rtl/>
        </w:rPr>
        <w:lastRenderedPageBreak/>
        <w:t>الآيات</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فيدعو بعض م</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ن</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كان يكتب له</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ويقول له</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ض</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ع</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هذه الآية في السورة التي يذكر فيها كذا وكذا</w:t>
      </w:r>
      <w:r w:rsidRPr="006571AC">
        <w:rPr>
          <w:rFonts w:ascii="Sakkal Majalla" w:hAnsi="Sakkal Majalla" w:cs="AL-Mohanad"/>
          <w:rtl/>
        </w:rPr>
        <w:t>»</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وتنزل عليه الآية والآيتان فيقول مثل ذلك‏</w:t>
      </w:r>
      <w:r w:rsidRPr="006571AC">
        <w:rPr>
          <w:rFonts w:ascii="Sakkal Majalla" w:hAnsi="Sakkal Majalla" w:cs="AL-Mohanad" w:hint="cs"/>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74"/>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r w:rsidR="00531649" w:rsidRPr="006571AC">
        <w:rPr>
          <w:rFonts w:ascii="Sakkal Majalla" w:hAnsi="Sakkal Majalla" w:cs="AL-Mohanad" w:hint="cs"/>
          <w:sz w:val="27"/>
          <w:szCs w:val="27"/>
          <w:rtl/>
        </w:rPr>
        <w:t>وعليه</w:t>
      </w:r>
      <w:r w:rsidRPr="006571AC">
        <w:rPr>
          <w:rFonts w:ascii="Sakkal Majalla" w:hAnsi="Sakkal Majalla" w:cs="AL-Mohanad" w:hint="cs"/>
          <w:sz w:val="27"/>
          <w:szCs w:val="27"/>
          <w:rtl/>
        </w:rPr>
        <w:t xml:space="preserve"> ف</w:t>
      </w:r>
      <w:r w:rsidRPr="006571AC">
        <w:rPr>
          <w:rFonts w:ascii="Sakkal Majalla" w:hAnsi="Sakkal Majalla" w:cs="AL-Mohanad"/>
          <w:sz w:val="27"/>
          <w:szCs w:val="27"/>
          <w:rtl/>
        </w:rPr>
        <w:t>ك</w:t>
      </w:r>
      <w:r w:rsidRPr="006571AC">
        <w:rPr>
          <w:rFonts w:cs="AL-Mohanad" w:hint="cs"/>
          <w:sz w:val="27"/>
          <w:szCs w:val="27"/>
          <w:rtl/>
        </w:rPr>
        <w:t>ي</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ستدل</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نزول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w:t>
      </w:r>
      <w:r w:rsidRPr="006571AC">
        <w:rPr>
          <w:rFonts w:cs="AL-Mohanad" w:hint="cs"/>
          <w:sz w:val="27"/>
          <w:szCs w:val="27"/>
          <w:rtl/>
        </w:rPr>
        <w:t>ي</w:t>
      </w:r>
      <w:r w:rsidRPr="006571AC">
        <w:rPr>
          <w:rFonts w:ascii="Sakkal Majalla" w:hAnsi="Sakkal Majalla" w:cs="AL-Mohanad" w:hint="cs"/>
          <w:sz w:val="27"/>
          <w:szCs w:val="27"/>
          <w:rtl/>
        </w:rPr>
        <w:t>هود</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p>
    <w:p w:rsidR="005D05A4" w:rsidRPr="006571AC" w:rsidRDefault="005D05A4" w:rsidP="00513A82">
      <w:pPr>
        <w:pStyle w:val="af"/>
        <w:rPr>
          <w:rFonts w:ascii="Sakkal Majalla" w:hAnsi="Sakkal Majalla" w:cs="AL-Mohanad"/>
          <w:sz w:val="27"/>
          <w:szCs w:val="27"/>
          <w:rtl/>
        </w:rPr>
      </w:pPr>
      <w:r w:rsidRPr="006571AC">
        <w:rPr>
          <w:rFonts w:ascii="Sakkal Majalla" w:hAnsi="Sakkal Majalla" w:cs="AL-Mohanad" w:hint="cs"/>
          <w:sz w:val="27"/>
          <w:szCs w:val="27"/>
          <w:rtl/>
        </w:rPr>
        <w:t>أ</w:t>
      </w:r>
      <w:r w:rsidRPr="006571AC">
        <w:rPr>
          <w:rFonts w:ascii="Sakkal Majalla" w:hAnsi="Sakkal Majalla" w:cs="AL-Mohanad"/>
          <w:sz w:val="27"/>
          <w:szCs w:val="27"/>
          <w:rtl/>
        </w:rPr>
        <w:t>ض</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ف</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أنّ من شروط الأخذ بقر</w:t>
      </w:r>
      <w:r w:rsidRPr="006571AC">
        <w:rPr>
          <w:rFonts w:cs="AL-Mohanad" w:hint="cs"/>
          <w:sz w:val="27"/>
          <w:szCs w:val="27"/>
          <w:rtl/>
        </w:rPr>
        <w:t>ي</w:t>
      </w:r>
      <w:r w:rsidRPr="006571AC">
        <w:rPr>
          <w:rFonts w:ascii="Sakkal Majalla" w:hAnsi="Sakkal Majalla" w:cs="AL-Mohanad" w:hint="cs"/>
          <w:sz w:val="27"/>
          <w:szCs w:val="27"/>
          <w:rtl/>
        </w:rPr>
        <w:t>نة الس</w:t>
      </w:r>
      <w:r w:rsidRPr="006571AC">
        <w:rPr>
          <w:rFonts w:cs="AL-Mohanad" w:hint="cs"/>
          <w:sz w:val="27"/>
          <w:szCs w:val="27"/>
          <w:rtl/>
        </w:rPr>
        <w:t>ي</w:t>
      </w:r>
      <w:r w:rsidRPr="006571AC">
        <w:rPr>
          <w:rFonts w:ascii="Sakkal Majalla" w:hAnsi="Sakkal Majalla" w:cs="AL-Mohanad" w:hint="cs"/>
          <w:sz w:val="27"/>
          <w:szCs w:val="27"/>
          <w:rtl/>
        </w:rPr>
        <w:t>اق في كشف المعن</w:t>
      </w:r>
      <w:r w:rsidR="00531649" w:rsidRPr="006571AC">
        <w:rPr>
          <w:rFonts w:cs="AL-Mohanad" w:hint="cs"/>
          <w:sz w:val="27"/>
          <w:szCs w:val="27"/>
          <w:rtl/>
        </w:rPr>
        <w:t>ى</w:t>
      </w:r>
      <w:r w:rsidRPr="006571AC">
        <w:rPr>
          <w:rFonts w:ascii="Sakkal Majalla" w:hAnsi="Sakkal Majalla" w:cs="AL-Mohanad" w:hint="cs"/>
          <w:sz w:val="27"/>
          <w:szCs w:val="27"/>
          <w:rtl/>
        </w:rPr>
        <w:t xml:space="preserve"> المراد هو عدم وجود دل</w:t>
      </w:r>
      <w:r w:rsidRPr="006571AC">
        <w:rPr>
          <w:rFonts w:cs="AL-Mohanad" w:hint="cs"/>
          <w:sz w:val="27"/>
          <w:szCs w:val="27"/>
          <w:rtl/>
        </w:rPr>
        <w:t>ي</w:t>
      </w:r>
      <w:r w:rsidRPr="006571AC">
        <w:rPr>
          <w:rFonts w:ascii="Sakkal Majalla" w:hAnsi="Sakkal Majalla" w:cs="AL-Mohanad" w:hint="cs"/>
          <w:sz w:val="27"/>
          <w:szCs w:val="27"/>
          <w:rtl/>
        </w:rPr>
        <w:t>ل</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وقر</w:t>
      </w:r>
      <w:r w:rsidRPr="006571AC">
        <w:rPr>
          <w:rFonts w:cs="AL-Mohanad" w:hint="cs"/>
          <w:sz w:val="27"/>
          <w:szCs w:val="27"/>
          <w:rtl/>
        </w:rPr>
        <w:t>ي</w:t>
      </w:r>
      <w:r w:rsidRPr="006571AC">
        <w:rPr>
          <w:rFonts w:ascii="Sakkal Majalla" w:hAnsi="Sakkal Majalla" w:cs="AL-Mohanad" w:hint="cs"/>
          <w:sz w:val="27"/>
          <w:szCs w:val="27"/>
          <w:rtl/>
        </w:rPr>
        <w:t>نة</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على خلافه، فلو قام دل</w:t>
      </w:r>
      <w:r w:rsidRPr="006571AC">
        <w:rPr>
          <w:rFonts w:cs="AL-Mohanad" w:hint="cs"/>
          <w:sz w:val="27"/>
          <w:szCs w:val="27"/>
          <w:rtl/>
        </w:rPr>
        <w:t>ي</w:t>
      </w:r>
      <w:r w:rsidRPr="006571AC">
        <w:rPr>
          <w:rFonts w:ascii="Sakkal Majalla" w:hAnsi="Sakkal Majalla" w:cs="AL-Mohanad" w:hint="cs"/>
          <w:sz w:val="27"/>
          <w:szCs w:val="27"/>
          <w:rtl/>
        </w:rPr>
        <w:t>ل</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00531649" w:rsidRPr="006571AC">
        <w:rPr>
          <w:rFonts w:ascii="Sakkal Majalla" w:hAnsi="Sakkal Majalla" w:cs="AL-Mohanad" w:hint="cs"/>
          <w:sz w:val="27"/>
          <w:szCs w:val="27"/>
          <w:rtl/>
        </w:rPr>
        <w:t>أ</w:t>
      </w:r>
      <w:r w:rsidRPr="006571AC">
        <w:rPr>
          <w:rFonts w:ascii="Sakkal Majalla" w:hAnsi="Sakkal Majalla" w:cs="AL-Mohanad" w:hint="cs"/>
          <w:sz w:val="27"/>
          <w:szCs w:val="27"/>
          <w:rtl/>
        </w:rPr>
        <w:t>و قر</w:t>
      </w:r>
      <w:r w:rsidRPr="006571AC">
        <w:rPr>
          <w:rFonts w:cs="AL-Mohanad" w:hint="cs"/>
          <w:sz w:val="27"/>
          <w:szCs w:val="27"/>
          <w:rtl/>
        </w:rPr>
        <w:t>ي</w:t>
      </w:r>
      <w:r w:rsidRPr="006571AC">
        <w:rPr>
          <w:rFonts w:ascii="Sakkal Majalla" w:hAnsi="Sakkal Majalla" w:cs="AL-Mohanad" w:hint="cs"/>
          <w:sz w:val="27"/>
          <w:szCs w:val="27"/>
          <w:rtl/>
        </w:rPr>
        <w:t>نة</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على خلاف قر</w:t>
      </w:r>
      <w:r w:rsidRPr="006571AC">
        <w:rPr>
          <w:rFonts w:cs="AL-Mohanad" w:hint="cs"/>
          <w:sz w:val="27"/>
          <w:szCs w:val="27"/>
          <w:rtl/>
        </w:rPr>
        <w:t>ي</w:t>
      </w:r>
      <w:r w:rsidRPr="006571AC">
        <w:rPr>
          <w:rFonts w:ascii="Sakkal Majalla" w:hAnsi="Sakkal Majalla" w:cs="AL-Mohanad" w:hint="cs"/>
          <w:sz w:val="27"/>
          <w:szCs w:val="27"/>
          <w:rtl/>
        </w:rPr>
        <w:t>نة الس</w:t>
      </w:r>
      <w:r w:rsidRPr="006571AC">
        <w:rPr>
          <w:rFonts w:cs="AL-Mohanad" w:hint="cs"/>
          <w:sz w:val="27"/>
          <w:szCs w:val="27"/>
          <w:rtl/>
        </w:rPr>
        <w:t>ي</w:t>
      </w:r>
      <w:r w:rsidRPr="006571AC">
        <w:rPr>
          <w:rFonts w:ascii="Sakkal Majalla" w:hAnsi="Sakkal Majalla" w:cs="AL-Mohanad" w:hint="cs"/>
          <w:sz w:val="27"/>
          <w:szCs w:val="27"/>
          <w:rtl/>
        </w:rPr>
        <w:t>اق فح</w:t>
      </w:r>
      <w:r w:rsidRPr="006571AC">
        <w:rPr>
          <w:rFonts w:cs="AL-Mohanad" w:hint="cs"/>
          <w:sz w:val="27"/>
          <w:szCs w:val="27"/>
          <w:rtl/>
        </w:rPr>
        <w:t>ي</w:t>
      </w:r>
      <w:r w:rsidRPr="006571AC">
        <w:rPr>
          <w:rFonts w:ascii="Sakkal Majalla" w:hAnsi="Sakkal Majalla" w:cs="AL-Mohanad" w:hint="cs"/>
          <w:sz w:val="27"/>
          <w:szCs w:val="27"/>
          <w:rtl/>
        </w:rPr>
        <w:t>ن</w:t>
      </w:r>
      <w:r w:rsidR="006172F9" w:rsidRPr="006571AC">
        <w:rPr>
          <w:rFonts w:ascii="Sakkal Majalla" w:hAnsi="Sakkal Majalla" w:cs="AL-Mohanad" w:hint="cs"/>
          <w:sz w:val="27"/>
          <w:szCs w:val="27"/>
          <w:rtl/>
        </w:rPr>
        <w:t>ئ</w:t>
      </w:r>
      <w:r w:rsidRPr="006571AC">
        <w:rPr>
          <w:rFonts w:ascii="Sakkal Majalla" w:hAnsi="Sakkal Majalla" w:cs="AL-Mohanad" w:hint="cs"/>
          <w:sz w:val="27"/>
          <w:szCs w:val="27"/>
          <w:rtl/>
        </w:rPr>
        <w:t>ذ</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نرفع ال</w:t>
      </w:r>
      <w:r w:rsidRPr="006571AC">
        <w:rPr>
          <w:rFonts w:cs="AL-Mohanad" w:hint="cs"/>
          <w:sz w:val="27"/>
          <w:szCs w:val="27"/>
          <w:rtl/>
        </w:rPr>
        <w:t>ي</w:t>
      </w:r>
      <w:r w:rsidRPr="006571AC">
        <w:rPr>
          <w:rFonts w:ascii="Sakkal Majalla" w:hAnsi="Sakkal Majalla" w:cs="AL-Mohanad" w:hint="cs"/>
          <w:sz w:val="27"/>
          <w:szCs w:val="27"/>
          <w:rtl/>
        </w:rPr>
        <w:t>د عن قر</w:t>
      </w:r>
      <w:r w:rsidRPr="006571AC">
        <w:rPr>
          <w:rFonts w:cs="AL-Mohanad" w:hint="cs"/>
          <w:sz w:val="27"/>
          <w:szCs w:val="27"/>
          <w:rtl/>
        </w:rPr>
        <w:t>ي</w:t>
      </w:r>
      <w:r w:rsidRPr="006571AC">
        <w:rPr>
          <w:rFonts w:ascii="Sakkal Majalla" w:hAnsi="Sakkal Majalla" w:cs="AL-Mohanad" w:hint="cs"/>
          <w:sz w:val="27"/>
          <w:szCs w:val="27"/>
          <w:rtl/>
        </w:rPr>
        <w:t>نة الس</w:t>
      </w:r>
      <w:r w:rsidRPr="006571AC">
        <w:rPr>
          <w:rFonts w:cs="AL-Mohanad" w:hint="cs"/>
          <w:sz w:val="27"/>
          <w:szCs w:val="27"/>
          <w:rtl/>
        </w:rPr>
        <w:t>ي</w:t>
      </w:r>
      <w:r w:rsidRPr="006571AC">
        <w:rPr>
          <w:rFonts w:ascii="Sakkal Majalla" w:hAnsi="Sakkal Majalla" w:cs="AL-Mohanad" w:hint="cs"/>
          <w:sz w:val="27"/>
          <w:szCs w:val="27"/>
          <w:rtl/>
        </w:rPr>
        <w:t>اق. وهذا ما ات</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فق عل</w:t>
      </w:r>
      <w:r w:rsidRPr="006571AC">
        <w:rPr>
          <w:rFonts w:cs="AL-Mohanad" w:hint="cs"/>
          <w:sz w:val="27"/>
          <w:szCs w:val="27"/>
          <w:rtl/>
        </w:rPr>
        <w:t>ي</w:t>
      </w:r>
      <w:r w:rsidRPr="006571AC">
        <w:rPr>
          <w:rFonts w:ascii="Sakkal Majalla" w:hAnsi="Sakkal Majalla" w:cs="AL-Mohanad" w:hint="cs"/>
          <w:sz w:val="27"/>
          <w:szCs w:val="27"/>
          <w:rtl/>
        </w:rPr>
        <w:t>ه المسلمون كاف</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فقالوا: إنّ ال</w:t>
      </w:r>
      <w:r w:rsidR="006172F9" w:rsidRPr="006571AC">
        <w:rPr>
          <w:rFonts w:ascii="Sakkal Majalla" w:hAnsi="Sakkal Majalla" w:cs="AL-Mohanad" w:hint="cs"/>
          <w:sz w:val="27"/>
          <w:szCs w:val="27"/>
          <w:rtl/>
        </w:rPr>
        <w:t>أ</w:t>
      </w:r>
      <w:r w:rsidRPr="006571AC">
        <w:rPr>
          <w:rFonts w:ascii="Sakkal Majalla" w:hAnsi="Sakkal Majalla" w:cs="AL-Mohanad" w:hint="cs"/>
          <w:sz w:val="27"/>
          <w:szCs w:val="27"/>
          <w:rtl/>
        </w:rPr>
        <w:t>دلة ترج</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ح على الس</w:t>
      </w:r>
      <w:r w:rsidRPr="006571AC">
        <w:rPr>
          <w:rFonts w:cs="AL-Mohanad" w:hint="cs"/>
          <w:sz w:val="27"/>
          <w:szCs w:val="27"/>
          <w:rtl/>
        </w:rPr>
        <w:t>ي</w:t>
      </w:r>
      <w:r w:rsidRPr="006571AC">
        <w:rPr>
          <w:rFonts w:ascii="Sakkal Majalla" w:hAnsi="Sakkal Majalla" w:cs="AL-Mohanad" w:hint="cs"/>
          <w:sz w:val="27"/>
          <w:szCs w:val="27"/>
          <w:rtl/>
        </w:rPr>
        <w:t>اق</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فإذا حصل تعارض بين السياق والدليل تركوا مدلول السياق واستسلموا لحكم الدليل</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75"/>
      </w:r>
      <w:r w:rsidRPr="006571AC">
        <w:rPr>
          <w:rFonts w:ascii="Sakkal Majalla" w:hAnsi="Sakkal Majalla" w:cs="AL-Mohanad"/>
          <w:sz w:val="27"/>
          <w:szCs w:val="27"/>
          <w:vertAlign w:val="superscript"/>
          <w:rtl/>
        </w:rPr>
        <w:t>)</w:t>
      </w:r>
      <w:r w:rsidR="006172F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6172F9" w:rsidRPr="006571AC">
        <w:rPr>
          <w:rFonts w:ascii="Sakkal Majalla" w:hAnsi="Sakkal Majalla" w:cs="AL-Mohanad" w:hint="cs"/>
          <w:sz w:val="27"/>
          <w:szCs w:val="27"/>
          <w:rtl/>
        </w:rPr>
        <w:t>و</w:t>
      </w:r>
      <w:r w:rsidRPr="006571AC">
        <w:rPr>
          <w:rFonts w:ascii="Sakkal Majalla" w:hAnsi="Sakkal Majalla" w:cs="AL-Mohanad" w:hint="cs"/>
          <w:sz w:val="27"/>
          <w:szCs w:val="27"/>
          <w:rtl/>
        </w:rPr>
        <w:t>ف</w:t>
      </w:r>
      <w:r w:rsidRPr="006571AC">
        <w:rPr>
          <w:rFonts w:cs="AL-Mohanad" w:hint="cs"/>
          <w:sz w:val="27"/>
          <w:szCs w:val="27"/>
          <w:rtl/>
        </w:rPr>
        <w:t>ي</w:t>
      </w:r>
      <w:r w:rsidR="006172F9"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 xml:space="preserve">ما </w:t>
      </w:r>
      <w:r w:rsidRPr="006571AC">
        <w:rPr>
          <w:rFonts w:cs="AL-Mohanad" w:hint="cs"/>
          <w:sz w:val="27"/>
          <w:szCs w:val="27"/>
          <w:rtl/>
        </w:rPr>
        <w:t>ي</w:t>
      </w:r>
      <w:r w:rsidRPr="006571AC">
        <w:rPr>
          <w:rFonts w:ascii="Sakkal Majalla" w:hAnsi="Sakkal Majalla" w:cs="AL-Mohanad" w:hint="cs"/>
          <w:sz w:val="27"/>
          <w:szCs w:val="27"/>
          <w:rtl/>
        </w:rPr>
        <w:t>رتبط بآ</w:t>
      </w:r>
      <w:r w:rsidRPr="006571AC">
        <w:rPr>
          <w:rFonts w:cs="AL-Mohanad" w:hint="cs"/>
          <w:sz w:val="27"/>
          <w:szCs w:val="27"/>
          <w:rtl/>
        </w:rPr>
        <w:t>ي</w:t>
      </w:r>
      <w:r w:rsidRPr="006571AC">
        <w:rPr>
          <w:rFonts w:ascii="Sakkal Majalla" w:hAnsi="Sakkal Majalla" w:cs="AL-Mohanad" w:hint="cs"/>
          <w:sz w:val="27"/>
          <w:szCs w:val="27"/>
          <w:rtl/>
        </w:rPr>
        <w:t>ة التبليغ توجد أحاد</w:t>
      </w:r>
      <w:r w:rsidRPr="006571AC">
        <w:rPr>
          <w:rFonts w:cs="AL-Mohanad" w:hint="cs"/>
          <w:sz w:val="27"/>
          <w:szCs w:val="27"/>
          <w:rtl/>
        </w:rPr>
        <w:t>ي</w:t>
      </w:r>
      <w:r w:rsidRPr="006571AC">
        <w:rPr>
          <w:rFonts w:ascii="Sakkal Majalla" w:hAnsi="Sakkal Majalla" w:cs="AL-Mohanad" w:hint="cs"/>
          <w:sz w:val="27"/>
          <w:szCs w:val="27"/>
          <w:rtl/>
        </w:rPr>
        <w:t>ث متواترة وقطع</w:t>
      </w:r>
      <w:r w:rsidRPr="006571AC">
        <w:rPr>
          <w:rFonts w:cs="AL-Mohanad" w:hint="cs"/>
          <w:sz w:val="27"/>
          <w:szCs w:val="27"/>
          <w:rtl/>
        </w:rPr>
        <w:t>ي</w:t>
      </w:r>
      <w:r w:rsidRPr="006571AC">
        <w:rPr>
          <w:rFonts w:ascii="Sakkal Majalla" w:hAnsi="Sakkal Majalla" w:cs="AL-Mohanad" w:hint="cs"/>
          <w:sz w:val="27"/>
          <w:szCs w:val="27"/>
          <w:rtl/>
        </w:rPr>
        <w:t>ة على أنّ الآ</w:t>
      </w:r>
      <w:r w:rsidRPr="006571AC">
        <w:rPr>
          <w:rFonts w:cs="AL-Mohanad" w:hint="cs"/>
          <w:sz w:val="27"/>
          <w:szCs w:val="27"/>
          <w:rtl/>
        </w:rPr>
        <w:t>ي</w:t>
      </w:r>
      <w:r w:rsidRPr="006571AC">
        <w:rPr>
          <w:rFonts w:ascii="Sakkal Majalla" w:hAnsi="Sakkal Majalla" w:cs="AL-Mohanad" w:hint="cs"/>
          <w:sz w:val="27"/>
          <w:szCs w:val="27"/>
          <w:rtl/>
        </w:rPr>
        <w:t>ة نزلت في علي</w:t>
      </w:r>
      <w:r w:rsidR="006172F9" w:rsidRPr="006571AC">
        <w:rPr>
          <w:rFonts w:ascii="Sakkal Majalla" w:hAnsi="Sakkal Majalla" w:cs="AL-Mohanad" w:hint="cs"/>
          <w:sz w:val="27"/>
          <w:szCs w:val="27"/>
          <w:rtl/>
        </w:rPr>
        <w:t>ٍّ</w:t>
      </w:r>
      <w:r w:rsidR="002A2C90" w:rsidRPr="006571AC">
        <w:rPr>
          <w:rFonts w:ascii="Mosawi" w:hAnsi="Mosawi" w:cs="Mosawi"/>
          <w:sz w:val="22"/>
          <w:szCs w:val="22"/>
          <w:rtl/>
        </w:rPr>
        <w:t>×</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وقد أش</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نا في ما تقد</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م </w:t>
      </w:r>
      <w:r w:rsidR="00513A82" w:rsidRPr="006571AC">
        <w:rPr>
          <w:rFonts w:ascii="Sakkal Majalla" w:hAnsi="Sakkal Majalla" w:cs="AL-Mohanad" w:hint="cs"/>
          <w:sz w:val="27"/>
          <w:szCs w:val="27"/>
          <w:rtl/>
        </w:rPr>
        <w:t>إ</w:t>
      </w:r>
      <w:r w:rsidRPr="006571AC">
        <w:rPr>
          <w:rFonts w:ascii="Sakkal Majalla" w:hAnsi="Sakkal Majalla" w:cs="AL-Mohanad" w:hint="cs"/>
          <w:sz w:val="27"/>
          <w:szCs w:val="27"/>
          <w:rtl/>
        </w:rPr>
        <w:t xml:space="preserve">لى بعض تلك الأحاديث. </w:t>
      </w:r>
    </w:p>
    <w:p w:rsidR="005D05A4" w:rsidRPr="006571AC" w:rsidRDefault="005D05A4" w:rsidP="00B41BA0">
      <w:pPr>
        <w:rPr>
          <w:rFonts w:ascii="Sakkal Majalla" w:hAnsi="Sakkal Majalla"/>
          <w:sz w:val="27"/>
          <w:rtl/>
        </w:rPr>
      </w:pPr>
      <w:r w:rsidRPr="006571AC">
        <w:rPr>
          <w:rFonts w:ascii="Sakkal Majalla" w:hAnsi="Sakkal Majalla"/>
          <w:b/>
          <w:bCs/>
          <w:sz w:val="27"/>
          <w:rtl/>
        </w:rPr>
        <w:t xml:space="preserve">الثالث: </w:t>
      </w:r>
      <w:r w:rsidR="006172F9" w:rsidRPr="006571AC">
        <w:rPr>
          <w:rFonts w:ascii="Sakkal Majalla" w:hAnsi="Sakkal Majalla" w:hint="cs"/>
          <w:sz w:val="27"/>
          <w:rtl/>
        </w:rPr>
        <w:t>إ</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لا</w:t>
      </w:r>
      <w:r w:rsidRPr="006571AC">
        <w:rPr>
          <w:rFonts w:ascii="Sakkal Majalla" w:hAnsi="Sakkal Majalla"/>
          <w:sz w:val="27"/>
          <w:rtl/>
        </w:rPr>
        <w:t xml:space="preserve"> </w:t>
      </w:r>
      <w:r w:rsidRPr="006571AC">
        <w:rPr>
          <w:rFonts w:ascii="Sakkal Majalla" w:hAnsi="Sakkal Majalla" w:hint="cs"/>
          <w:sz w:val="27"/>
          <w:rtl/>
        </w:rPr>
        <w:t>تحتو</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تكل</w:t>
      </w:r>
      <w:r w:rsidRPr="006571AC">
        <w:rPr>
          <w:rFonts w:ascii="Times New Roman" w:hAnsi="Times New Roman" w:hint="cs"/>
          <w:sz w:val="27"/>
          <w:rtl/>
        </w:rPr>
        <w:t>ي</w:t>
      </w:r>
      <w:r w:rsidRPr="006571AC">
        <w:rPr>
          <w:rFonts w:ascii="Sakkal Majalla" w:hAnsi="Sakkal Majalla" w:hint="cs"/>
          <w:sz w:val="27"/>
          <w:rtl/>
        </w:rPr>
        <w:t>فاً</w:t>
      </w:r>
      <w:r w:rsidRPr="006571AC">
        <w:rPr>
          <w:rFonts w:ascii="Sakkal Majalla" w:hAnsi="Sakkal Majalla"/>
          <w:sz w:val="27"/>
          <w:rtl/>
        </w:rPr>
        <w:t xml:space="preserve"> </w:t>
      </w:r>
      <w:r w:rsidRPr="006571AC">
        <w:rPr>
          <w:rFonts w:ascii="Sakkal Majalla" w:hAnsi="Sakkal Majalla" w:hint="cs"/>
          <w:sz w:val="27"/>
          <w:rtl/>
        </w:rPr>
        <w:t>شاق</w:t>
      </w:r>
      <w:r w:rsidR="00513A82" w:rsidRPr="006571AC">
        <w:rPr>
          <w:rFonts w:ascii="Sakkal Majalla" w:hAnsi="Sakkal Majalla" w:hint="cs"/>
          <w:sz w:val="27"/>
          <w:rtl/>
        </w:rPr>
        <w:t>ّ</w:t>
      </w:r>
      <w:r w:rsidRPr="006571AC">
        <w:rPr>
          <w:rFonts w:ascii="Sakkal Majalla" w:hAnsi="Sakkal Majalla" w:hint="cs"/>
          <w:sz w:val="27"/>
          <w:rtl/>
        </w:rPr>
        <w:t>اً</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حرج ال</w:t>
      </w:r>
      <w:r w:rsidRPr="006571AC">
        <w:rPr>
          <w:rFonts w:ascii="Times New Roman" w:hAnsi="Times New Roman" w:hint="cs"/>
          <w:sz w:val="27"/>
          <w:rtl/>
        </w:rPr>
        <w:t>ي</w:t>
      </w:r>
      <w:r w:rsidRPr="006571AC">
        <w:rPr>
          <w:rFonts w:ascii="Sakkal Majalla" w:hAnsi="Sakkal Majalla" w:hint="cs"/>
          <w:sz w:val="27"/>
          <w:rtl/>
        </w:rPr>
        <w:t>هود</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دائه</w:t>
      </w:r>
      <w:r w:rsidRPr="006571AC">
        <w:rPr>
          <w:rFonts w:ascii="Sakkal Majalla" w:hAnsi="Sakkal Majalla" w:hint="cs"/>
          <w:sz w:val="27"/>
          <w:rtl/>
        </w:rPr>
        <w:t xml:space="preserve">، </w:t>
      </w:r>
      <w:r w:rsidRPr="006571AC">
        <w:rPr>
          <w:rFonts w:ascii="Sakkal Majalla" w:hAnsi="Sakkal Majalla"/>
          <w:sz w:val="27"/>
          <w:rtl/>
        </w:rPr>
        <w:t>ولا قولاً حاد</w:t>
      </w:r>
      <w:r w:rsidR="006172F9" w:rsidRPr="006571AC">
        <w:rPr>
          <w:rFonts w:ascii="Sakkal Majalla" w:hAnsi="Sakkal Majalla" w:hint="cs"/>
          <w:sz w:val="27"/>
          <w:rtl/>
        </w:rPr>
        <w:t>ّ</w:t>
      </w:r>
      <w:r w:rsidRPr="006571AC">
        <w:rPr>
          <w:rFonts w:ascii="Sakkal Majalla" w:hAnsi="Sakkal Majalla"/>
          <w:sz w:val="27"/>
          <w:rtl/>
        </w:rPr>
        <w:t>اً بح</w:t>
      </w:r>
      <w:r w:rsidRPr="006571AC">
        <w:rPr>
          <w:rFonts w:ascii="Times New Roman" w:hAnsi="Times New Roman" w:hint="cs"/>
          <w:sz w:val="27"/>
          <w:rtl/>
        </w:rPr>
        <w:t>ي</w:t>
      </w:r>
      <w:r w:rsidRPr="006571AC">
        <w:rPr>
          <w:rFonts w:ascii="Sakkal Majalla" w:hAnsi="Sakkal Majalla" w:hint="cs"/>
          <w:sz w:val="27"/>
          <w:rtl/>
        </w:rPr>
        <w:t>ث</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منع</w:t>
      </w:r>
      <w:r w:rsidRPr="006571AC">
        <w:rPr>
          <w:rFonts w:ascii="Sakkal Majalla" w:hAnsi="Sakkal Majalla"/>
          <w:sz w:val="27"/>
          <w:rtl/>
        </w:rPr>
        <w:t xml:space="preserve"> </w:t>
      </w:r>
      <w:r w:rsidRPr="006571AC">
        <w:rPr>
          <w:rFonts w:ascii="Sakkal Majalla" w:hAnsi="Sakkal Majalla" w:hint="cs"/>
          <w:sz w:val="27"/>
          <w:rtl/>
        </w:rPr>
        <w:t>النبي</w:t>
      </w:r>
      <w:r w:rsidR="002A2C90" w:rsidRPr="006571AC">
        <w:rPr>
          <w:rFonts w:ascii="Mosawi" w:hAnsi="Mosawi" w:cs="Mosawi"/>
          <w:sz w:val="22"/>
          <w:szCs w:val="22"/>
          <w:rtl/>
        </w:rPr>
        <w:t>|</w:t>
      </w:r>
      <w:r w:rsidRPr="006571AC">
        <w:rPr>
          <w:rFonts w:ascii="Sakkal Majalla" w:hAnsi="Sakkal Majalla"/>
          <w:sz w:val="27"/>
          <w:rtl/>
        </w:rPr>
        <w:t xml:space="preserve"> من تبل</w:t>
      </w:r>
      <w:r w:rsidRPr="006571AC">
        <w:rPr>
          <w:rFonts w:ascii="Times New Roman" w:hAnsi="Times New Roman" w:hint="cs"/>
          <w:sz w:val="27"/>
          <w:rtl/>
        </w:rPr>
        <w:t>ي</w:t>
      </w:r>
      <w:r w:rsidRPr="006571AC">
        <w:rPr>
          <w:rFonts w:ascii="Sakkal Majalla" w:hAnsi="Sakkal Majalla" w:hint="cs"/>
          <w:sz w:val="27"/>
          <w:rtl/>
        </w:rPr>
        <w:t>غه</w:t>
      </w:r>
      <w:r w:rsidR="006172F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و</w:t>
      </w:r>
      <w:r w:rsidRPr="006571AC">
        <w:rPr>
          <w:rFonts w:ascii="Times New Roman" w:hAnsi="Times New Roman" w:hint="cs"/>
          <w:sz w:val="27"/>
          <w:rtl/>
        </w:rPr>
        <w:t>ي</w:t>
      </w:r>
      <w:r w:rsidR="006172F9" w:rsidRPr="006571AC">
        <w:rPr>
          <w:rFonts w:ascii="Sakkal Majalla" w:hAnsi="Sakkal Majalla" w:hint="cs"/>
          <w:sz w:val="27"/>
          <w:rtl/>
        </w:rPr>
        <w:t>ؤ</w:t>
      </w:r>
      <w:r w:rsidRPr="006571AC">
        <w:rPr>
          <w:rFonts w:ascii="Sakkal Majalla" w:hAnsi="Sakkal Majalla" w:hint="cs"/>
          <w:sz w:val="27"/>
          <w:rtl/>
        </w:rPr>
        <w:t>منه</w:t>
      </w:r>
      <w:r w:rsidRPr="006571AC">
        <w:rPr>
          <w:rFonts w:ascii="Sakkal Majalla" w:hAnsi="Sakkal Majalla"/>
          <w:sz w:val="27"/>
          <w:rtl/>
        </w:rPr>
        <w:t xml:space="preserve"> </w:t>
      </w:r>
      <w:r w:rsidRPr="006571AC">
        <w:rPr>
          <w:rFonts w:ascii="Sakkal Majalla" w:hAnsi="Sakkal Majalla" w:hint="cs"/>
          <w:sz w:val="27"/>
          <w:rtl/>
        </w:rPr>
        <w:t>الله</w:t>
      </w:r>
      <w:r w:rsidRPr="006571AC">
        <w:rPr>
          <w:rFonts w:ascii="Sakkal Majalla" w:hAnsi="Sakkal Majalla"/>
          <w:sz w:val="27"/>
          <w:rtl/>
        </w:rPr>
        <w:t xml:space="preserve"> </w:t>
      </w:r>
      <w:r w:rsidRPr="006571AC">
        <w:rPr>
          <w:rFonts w:ascii="Sakkal Majalla" w:hAnsi="Sakkal Majalla" w:hint="cs"/>
          <w:sz w:val="27"/>
          <w:rtl/>
        </w:rPr>
        <w:t>بالعصمة</w:t>
      </w:r>
      <w:r w:rsidRPr="006571AC">
        <w:rPr>
          <w:rFonts w:ascii="Sakkal Majalla" w:hAnsi="Sakkal Majalla"/>
          <w:sz w:val="27"/>
          <w:rtl/>
        </w:rPr>
        <w:t xml:space="preserve"> </w:t>
      </w:r>
      <w:r w:rsidRPr="006571AC">
        <w:rPr>
          <w:rFonts w:ascii="Sakkal Majalla" w:hAnsi="Sakkal Majalla" w:hint="cs"/>
          <w:sz w:val="27"/>
          <w:rtl/>
        </w:rPr>
        <w:t>منهم</w:t>
      </w:r>
      <w:r w:rsidRPr="006571AC">
        <w:rPr>
          <w:rFonts w:ascii="Sakkal Majalla" w:hAnsi="Sakkal Majalla"/>
          <w:sz w:val="27"/>
          <w:rtl/>
        </w:rPr>
        <w:t xml:space="preserve">، </w:t>
      </w:r>
      <w:r w:rsidRPr="006571AC">
        <w:rPr>
          <w:rFonts w:ascii="Sakkal Majalla" w:hAnsi="Sakkal Majalla" w:hint="cs"/>
          <w:sz w:val="27"/>
          <w:rtl/>
        </w:rPr>
        <w:t>ك</w:t>
      </w:r>
      <w:r w:rsidRPr="006571AC">
        <w:rPr>
          <w:rFonts w:ascii="Times New Roman" w:hAnsi="Times New Roman" w:hint="cs"/>
          <w:sz w:val="27"/>
          <w:rtl/>
        </w:rPr>
        <w:t>ي</w:t>
      </w:r>
      <w:r w:rsidRPr="006571AC">
        <w:rPr>
          <w:rFonts w:ascii="Sakkal Majalla" w:hAnsi="Sakkal Majalla" w:hint="cs"/>
          <w:sz w:val="27"/>
          <w:rtl/>
        </w:rPr>
        <w:t>ف</w:t>
      </w:r>
      <w:r w:rsidR="006172F9" w:rsidRPr="006571AC">
        <w:rPr>
          <w:rFonts w:ascii="Sakkal Majalla" w:hAnsi="Sakkal Majalla" w:hint="cs"/>
          <w:sz w:val="27"/>
          <w:rtl/>
        </w:rPr>
        <w:t>،</w:t>
      </w:r>
      <w:r w:rsidRPr="006571AC">
        <w:rPr>
          <w:rFonts w:ascii="Sakkal Majalla" w:hAnsi="Sakkal Majalla" w:hint="cs"/>
          <w:sz w:val="27"/>
          <w:rtl/>
        </w:rPr>
        <w:t xml:space="preserve"> و</w:t>
      </w:r>
      <w:r w:rsidRPr="006571AC">
        <w:rPr>
          <w:rFonts w:ascii="Sakkal Majalla" w:hAnsi="Sakkal Majalla"/>
          <w:sz w:val="27"/>
          <w:rtl/>
        </w:rPr>
        <w:t>قد تقدّ</w:t>
      </w:r>
      <w:r w:rsidR="006172F9" w:rsidRPr="006571AC">
        <w:rPr>
          <w:rFonts w:ascii="Sakkal Majalla" w:hAnsi="Sakkal Majalla" w:hint="cs"/>
          <w:sz w:val="27"/>
          <w:rtl/>
        </w:rPr>
        <w:t>َ</w:t>
      </w:r>
      <w:r w:rsidRPr="006571AC">
        <w:rPr>
          <w:rFonts w:ascii="Sakkal Majalla" w:hAnsi="Sakkal Majalla"/>
          <w:sz w:val="27"/>
          <w:rtl/>
        </w:rPr>
        <w:t xml:space="preserve">م ما هو </w:t>
      </w:r>
      <w:r w:rsidRPr="006571AC">
        <w:rPr>
          <w:rFonts w:ascii="Sakkal Majalla" w:hAnsi="Sakkal Majalla" w:hint="cs"/>
          <w:sz w:val="27"/>
          <w:rtl/>
        </w:rPr>
        <w:t>أ</w:t>
      </w:r>
      <w:r w:rsidRPr="006571AC">
        <w:rPr>
          <w:rFonts w:ascii="Sakkal Majalla" w:hAnsi="Sakkal Majalla"/>
          <w:sz w:val="27"/>
          <w:rtl/>
        </w:rPr>
        <w:t>شدّ و</w:t>
      </w:r>
      <w:r w:rsidRPr="006571AC">
        <w:rPr>
          <w:rFonts w:ascii="Sakkal Majalla" w:hAnsi="Sakkal Majalla" w:hint="cs"/>
          <w:sz w:val="27"/>
          <w:rtl/>
        </w:rPr>
        <w:t>أ</w:t>
      </w:r>
      <w:r w:rsidRPr="006571AC">
        <w:rPr>
          <w:rFonts w:ascii="Sakkal Majalla" w:hAnsi="Sakkal Majalla"/>
          <w:sz w:val="27"/>
          <w:rtl/>
        </w:rPr>
        <w:t>شقّ من ذل</w:t>
      </w:r>
      <w:r w:rsidRPr="006571AC">
        <w:rPr>
          <w:rFonts w:ascii="Sakkal Majalla" w:hAnsi="Sakkal Majalla" w:hint="cs"/>
          <w:sz w:val="27"/>
          <w:rtl/>
        </w:rPr>
        <w:t>ك</w:t>
      </w:r>
      <w:r w:rsidRPr="006571AC">
        <w:rPr>
          <w:rFonts w:ascii="Sakkal Majalla" w:hAnsi="Sakkal Majalla"/>
          <w:sz w:val="27"/>
          <w:rtl/>
        </w:rPr>
        <w:t xml:space="preserve"> على </w:t>
      </w:r>
      <w:r w:rsidRPr="006571AC">
        <w:rPr>
          <w:rFonts w:ascii="Sakkal Majalla" w:hAnsi="Sakkal Majalla" w:hint="cs"/>
          <w:sz w:val="27"/>
          <w:rtl/>
        </w:rPr>
        <w:t>ال</w:t>
      </w:r>
      <w:r w:rsidRPr="006571AC">
        <w:rPr>
          <w:rFonts w:ascii="Times New Roman" w:hAnsi="Times New Roman" w:hint="cs"/>
          <w:sz w:val="27"/>
          <w:rtl/>
        </w:rPr>
        <w:t>ي</w:t>
      </w:r>
      <w:r w:rsidRPr="006571AC">
        <w:rPr>
          <w:rFonts w:ascii="Sakkal Majalla" w:hAnsi="Sakkal Majalla" w:hint="cs"/>
          <w:sz w:val="27"/>
          <w:rtl/>
        </w:rPr>
        <w:t>هود</w:t>
      </w:r>
      <w:r w:rsidR="003240E0"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كقوله</w:t>
      </w:r>
      <w:r w:rsidRPr="006571AC">
        <w:rPr>
          <w:rFonts w:ascii="Sakkal Majalla" w:hAnsi="Sakkal Majalla"/>
          <w:sz w:val="27"/>
          <w:rtl/>
        </w:rPr>
        <w:t xml:space="preserve"> تعالى</w:t>
      </w:r>
      <w:r w:rsidR="006172F9"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sz w:val="24"/>
          <w:szCs w:val="24"/>
          <w:rtl/>
        </w:rPr>
        <w:t>﴿</w:t>
      </w:r>
      <w:r w:rsidRPr="006571AC">
        <w:rPr>
          <w:rFonts w:ascii="Sakkal Majalla" w:hAnsi="Sakkal Majalla"/>
          <w:b/>
          <w:bCs/>
          <w:sz w:val="27"/>
          <w:rtl/>
        </w:rPr>
        <w:t>وَق</w:t>
      </w:r>
      <w:r w:rsidR="006172F9" w:rsidRPr="006571AC">
        <w:rPr>
          <w:rFonts w:ascii="Sakkal Majalla" w:hAnsi="Sakkal Majalla" w:hint="cs"/>
          <w:b/>
          <w:bCs/>
          <w:sz w:val="27"/>
          <w:rtl/>
        </w:rPr>
        <w:t>َ</w:t>
      </w:r>
      <w:r w:rsidRPr="006571AC">
        <w:rPr>
          <w:rFonts w:ascii="Sakkal Majalla" w:hAnsi="Sakkal Majalla"/>
          <w:b/>
          <w:bCs/>
          <w:sz w:val="27"/>
          <w:rtl/>
        </w:rPr>
        <w:t xml:space="preserve">الَتِ‏ الْيَهُودُ يَدُ </w:t>
      </w:r>
      <w:r w:rsidR="0097633B" w:rsidRPr="006571AC">
        <w:rPr>
          <w:rFonts w:ascii="Sakkal Majalla" w:hAnsi="Sakkal Majalla"/>
          <w:b/>
          <w:bCs/>
          <w:sz w:val="27"/>
          <w:rtl/>
        </w:rPr>
        <w:t>الل</w:t>
      </w:r>
      <w:r w:rsidRPr="006571AC">
        <w:rPr>
          <w:rFonts w:ascii="Sakkal Majalla" w:hAnsi="Sakkal Majalla"/>
          <w:b/>
          <w:bCs/>
          <w:sz w:val="27"/>
          <w:rtl/>
        </w:rPr>
        <w:t>هِ‏ مَغْلُولَةٌ غُلَّتْ‏ أَيْدِيهِمْ‏ و</w:t>
      </w:r>
      <w:r w:rsidR="006172F9" w:rsidRPr="006571AC">
        <w:rPr>
          <w:rFonts w:ascii="Sakkal Majalla" w:hAnsi="Sakkal Majalla" w:hint="cs"/>
          <w:b/>
          <w:bCs/>
          <w:sz w:val="27"/>
          <w:rtl/>
        </w:rPr>
        <w:t>َ</w:t>
      </w:r>
      <w:r w:rsidRPr="006571AC">
        <w:rPr>
          <w:rFonts w:ascii="Sakkal Majalla" w:hAnsi="Sakkal Majalla"/>
          <w:b/>
          <w:bCs/>
          <w:sz w:val="27"/>
          <w:rtl/>
        </w:rPr>
        <w:t>لُعِنُوا بِم</w:t>
      </w:r>
      <w:r w:rsidR="006172F9" w:rsidRPr="006571AC">
        <w:rPr>
          <w:rFonts w:ascii="Sakkal Majalla" w:hAnsi="Sakkal Majalla" w:hint="cs"/>
          <w:b/>
          <w:bCs/>
          <w:sz w:val="27"/>
          <w:rtl/>
        </w:rPr>
        <w:t>َ</w:t>
      </w:r>
      <w:r w:rsidRPr="006571AC">
        <w:rPr>
          <w:rFonts w:ascii="Sakkal Majalla" w:hAnsi="Sakkal Majalla"/>
          <w:b/>
          <w:bCs/>
          <w:sz w:val="27"/>
          <w:rtl/>
        </w:rPr>
        <w:t>ا ق</w:t>
      </w:r>
      <w:r w:rsidR="006172F9" w:rsidRPr="006571AC">
        <w:rPr>
          <w:rFonts w:ascii="Sakkal Majalla" w:hAnsi="Sakkal Majalla" w:hint="cs"/>
          <w:b/>
          <w:bCs/>
          <w:sz w:val="27"/>
          <w:rtl/>
        </w:rPr>
        <w:t>َ</w:t>
      </w:r>
      <w:r w:rsidRPr="006571AC">
        <w:rPr>
          <w:rFonts w:ascii="Sakkal Majalla" w:hAnsi="Sakkal Majalla"/>
          <w:b/>
          <w:bCs/>
          <w:sz w:val="27"/>
          <w:rtl/>
        </w:rPr>
        <w:t>الُوا</w:t>
      </w:r>
      <w:r w:rsidRPr="006571AC">
        <w:rPr>
          <w:rFonts w:ascii="Mosawi" w:hAnsi="Mosawi" w:cs="Mosawi"/>
          <w:sz w:val="24"/>
          <w:szCs w:val="24"/>
          <w:rtl/>
        </w:rPr>
        <w:t>﴾</w:t>
      </w:r>
      <w:r w:rsidRPr="006571AC">
        <w:rPr>
          <w:rFonts w:ascii="Sakkal Majalla" w:hAnsi="Sakkal Majalla" w:hint="cs"/>
          <w:sz w:val="27"/>
          <w:rtl/>
        </w:rPr>
        <w:t xml:space="preserve"> (المائدة: 64)</w:t>
      </w:r>
      <w:r w:rsidR="006172F9" w:rsidRPr="006571AC">
        <w:rPr>
          <w:rFonts w:ascii="Sakkal Majalla" w:hAnsi="Sakkal Majalla" w:hint="cs"/>
          <w:sz w:val="27"/>
          <w:rtl/>
        </w:rPr>
        <w:t>،</w:t>
      </w:r>
      <w:r w:rsidRPr="006571AC">
        <w:rPr>
          <w:rFonts w:ascii="Sakkal Majalla" w:hAnsi="Sakkal Majalla"/>
          <w:sz w:val="27"/>
          <w:rtl/>
        </w:rPr>
        <w:t xml:space="preserve"> وقوله سبحانه</w:t>
      </w:r>
      <w:r w:rsidR="006172F9"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sz w:val="24"/>
          <w:szCs w:val="24"/>
          <w:rtl/>
        </w:rPr>
        <w:t>﴿</w:t>
      </w:r>
      <w:r w:rsidRPr="006571AC">
        <w:rPr>
          <w:rFonts w:ascii="Sakkal Majalla" w:hAnsi="Sakkal Majalla"/>
          <w:b/>
          <w:bCs/>
          <w:sz w:val="27"/>
          <w:rtl/>
        </w:rPr>
        <w:t>وَق</w:t>
      </w:r>
      <w:r w:rsidR="006172F9" w:rsidRPr="006571AC">
        <w:rPr>
          <w:rFonts w:ascii="Sakkal Majalla" w:hAnsi="Sakkal Majalla" w:hint="cs"/>
          <w:b/>
          <w:bCs/>
          <w:sz w:val="27"/>
          <w:rtl/>
        </w:rPr>
        <w:t>َ</w:t>
      </w:r>
      <w:r w:rsidRPr="006571AC">
        <w:rPr>
          <w:rFonts w:ascii="Sakkal Majalla" w:hAnsi="Sakkal Majalla"/>
          <w:b/>
          <w:bCs/>
          <w:sz w:val="27"/>
          <w:rtl/>
        </w:rPr>
        <w:t xml:space="preserve">الَتِ‏ الْيَهُودُ عُزَيْرٌ ابْنُ‏ </w:t>
      </w:r>
      <w:r w:rsidR="0097633B" w:rsidRPr="006571AC">
        <w:rPr>
          <w:rFonts w:ascii="Sakkal Majalla" w:hAnsi="Sakkal Majalla"/>
          <w:b/>
          <w:bCs/>
          <w:sz w:val="27"/>
          <w:rtl/>
        </w:rPr>
        <w:t>الل</w:t>
      </w:r>
      <w:r w:rsidRPr="006571AC">
        <w:rPr>
          <w:rFonts w:ascii="Sakkal Majalla" w:hAnsi="Sakkal Majalla"/>
          <w:b/>
          <w:bCs/>
          <w:sz w:val="27"/>
          <w:rtl/>
        </w:rPr>
        <w:t>هِ‏ و</w:t>
      </w:r>
      <w:r w:rsidR="006172F9" w:rsidRPr="006571AC">
        <w:rPr>
          <w:rFonts w:ascii="Sakkal Majalla" w:hAnsi="Sakkal Majalla" w:hint="cs"/>
          <w:b/>
          <w:bCs/>
          <w:sz w:val="27"/>
          <w:rtl/>
        </w:rPr>
        <w:t>َ</w:t>
      </w:r>
      <w:r w:rsidRPr="006571AC">
        <w:rPr>
          <w:rFonts w:ascii="Sakkal Majalla" w:hAnsi="Sakkal Majalla"/>
          <w:b/>
          <w:bCs/>
          <w:sz w:val="27"/>
          <w:rtl/>
        </w:rPr>
        <w:t>ق</w:t>
      </w:r>
      <w:r w:rsidR="006172F9" w:rsidRPr="006571AC">
        <w:rPr>
          <w:rFonts w:ascii="Sakkal Majalla" w:hAnsi="Sakkal Majalla" w:hint="cs"/>
          <w:b/>
          <w:bCs/>
          <w:sz w:val="27"/>
          <w:rtl/>
        </w:rPr>
        <w:t>َ</w:t>
      </w:r>
      <w:r w:rsidRPr="006571AC">
        <w:rPr>
          <w:rFonts w:ascii="Sakkal Majalla" w:hAnsi="Sakkal Majalla"/>
          <w:b/>
          <w:bCs/>
          <w:sz w:val="27"/>
          <w:rtl/>
        </w:rPr>
        <w:t>الَتِ‏ النَّص</w:t>
      </w:r>
      <w:r w:rsidR="006172F9" w:rsidRPr="006571AC">
        <w:rPr>
          <w:rFonts w:ascii="Sakkal Majalla" w:hAnsi="Sakkal Majalla" w:hint="cs"/>
          <w:b/>
          <w:bCs/>
          <w:sz w:val="27"/>
          <w:rtl/>
        </w:rPr>
        <w:t>َ</w:t>
      </w:r>
      <w:r w:rsidRPr="006571AC">
        <w:rPr>
          <w:rFonts w:ascii="Sakkal Majalla" w:hAnsi="Sakkal Majalla"/>
          <w:b/>
          <w:bCs/>
          <w:sz w:val="27"/>
          <w:rtl/>
        </w:rPr>
        <w:t>ار</w:t>
      </w:r>
      <w:r w:rsidR="006172F9" w:rsidRPr="006571AC">
        <w:rPr>
          <w:rFonts w:ascii="Sakkal Majalla" w:hAnsi="Sakkal Majalla" w:hint="cs"/>
          <w:b/>
          <w:bCs/>
          <w:sz w:val="27"/>
          <w:rtl/>
        </w:rPr>
        <w:t>َ</w:t>
      </w:r>
      <w:r w:rsidRPr="006571AC">
        <w:rPr>
          <w:rFonts w:ascii="Sakkal Majalla" w:hAnsi="Sakkal Majalla"/>
          <w:b/>
          <w:bCs/>
          <w:sz w:val="27"/>
          <w:rtl/>
        </w:rPr>
        <w:t xml:space="preserve">ى‏ الْمَسِيحُ‏ ابْنُ‏ </w:t>
      </w:r>
      <w:r w:rsidR="0097633B" w:rsidRPr="006571AC">
        <w:rPr>
          <w:rFonts w:ascii="Sakkal Majalla" w:hAnsi="Sakkal Majalla"/>
          <w:b/>
          <w:bCs/>
          <w:sz w:val="27"/>
          <w:rtl/>
        </w:rPr>
        <w:t>الل</w:t>
      </w:r>
      <w:r w:rsidRPr="006571AC">
        <w:rPr>
          <w:rFonts w:ascii="Sakkal Majalla" w:hAnsi="Sakkal Majalla"/>
          <w:b/>
          <w:bCs/>
          <w:sz w:val="27"/>
          <w:rtl/>
        </w:rPr>
        <w:t>هِ ذ</w:t>
      </w:r>
      <w:r w:rsidR="006172F9" w:rsidRPr="006571AC">
        <w:rPr>
          <w:rFonts w:ascii="Sakkal Majalla" w:hAnsi="Sakkal Majalla" w:hint="cs"/>
          <w:b/>
          <w:bCs/>
          <w:sz w:val="27"/>
          <w:rtl/>
        </w:rPr>
        <w:t>َ</w:t>
      </w:r>
      <w:r w:rsidRPr="006571AC">
        <w:rPr>
          <w:rFonts w:ascii="Sakkal Majalla" w:hAnsi="Sakkal Majalla"/>
          <w:b/>
          <w:bCs/>
          <w:sz w:val="27"/>
          <w:rtl/>
        </w:rPr>
        <w:t>لِكَ‏ قَوْلُهُمْ‏ بِأَفْو</w:t>
      </w:r>
      <w:r w:rsidR="006172F9" w:rsidRPr="006571AC">
        <w:rPr>
          <w:rFonts w:ascii="Sakkal Majalla" w:hAnsi="Sakkal Majalla" w:hint="cs"/>
          <w:b/>
          <w:bCs/>
          <w:sz w:val="27"/>
          <w:rtl/>
        </w:rPr>
        <w:t>َ</w:t>
      </w:r>
      <w:r w:rsidRPr="006571AC">
        <w:rPr>
          <w:rFonts w:ascii="Sakkal Majalla" w:hAnsi="Sakkal Majalla"/>
          <w:b/>
          <w:bCs/>
          <w:sz w:val="27"/>
          <w:rtl/>
        </w:rPr>
        <w:t>اهِهِمْ‏ يُض</w:t>
      </w:r>
      <w:r w:rsidR="006172F9" w:rsidRPr="006571AC">
        <w:rPr>
          <w:rFonts w:ascii="Sakkal Majalla" w:hAnsi="Sakkal Majalla" w:hint="cs"/>
          <w:b/>
          <w:bCs/>
          <w:sz w:val="27"/>
          <w:rtl/>
        </w:rPr>
        <w:t>َ</w:t>
      </w:r>
      <w:r w:rsidRPr="006571AC">
        <w:rPr>
          <w:rFonts w:ascii="Sakkal Majalla" w:hAnsi="Sakkal Majalla"/>
          <w:b/>
          <w:bCs/>
          <w:sz w:val="27"/>
          <w:rtl/>
        </w:rPr>
        <w:t>اهِ</w:t>
      </w:r>
      <w:r w:rsidR="006172F9" w:rsidRPr="006571AC">
        <w:rPr>
          <w:rFonts w:ascii="Sakkal Majalla" w:hAnsi="Sakkal Majalla" w:hint="cs"/>
          <w:b/>
          <w:bCs/>
          <w:sz w:val="27"/>
          <w:rtl/>
        </w:rPr>
        <w:t>ئُو</w:t>
      </w:r>
      <w:r w:rsidRPr="006571AC">
        <w:rPr>
          <w:rFonts w:ascii="Sakkal Majalla" w:hAnsi="Sakkal Majalla"/>
          <w:b/>
          <w:bCs/>
          <w:sz w:val="27"/>
          <w:rtl/>
        </w:rPr>
        <w:t>نَ‏ قَوْلَ‏ الَّذِينَ‏ كَفَرُوا مِنْ‏ قَبْلُ‏ ق</w:t>
      </w:r>
      <w:r w:rsidR="003240E0" w:rsidRPr="006571AC">
        <w:rPr>
          <w:rFonts w:ascii="Sakkal Majalla" w:hAnsi="Sakkal Majalla" w:hint="cs"/>
          <w:b/>
          <w:bCs/>
          <w:sz w:val="27"/>
          <w:rtl/>
        </w:rPr>
        <w:t>َ</w:t>
      </w:r>
      <w:r w:rsidRPr="006571AC">
        <w:rPr>
          <w:rFonts w:ascii="Sakkal Majalla" w:hAnsi="Sakkal Majalla"/>
          <w:b/>
          <w:bCs/>
          <w:sz w:val="27"/>
          <w:rtl/>
        </w:rPr>
        <w:t xml:space="preserve">اتَلَهُمُ‏ </w:t>
      </w:r>
      <w:r w:rsidR="0097633B" w:rsidRPr="006571AC">
        <w:rPr>
          <w:rFonts w:ascii="Sakkal Majalla" w:hAnsi="Sakkal Majalla"/>
          <w:b/>
          <w:bCs/>
          <w:sz w:val="27"/>
          <w:rtl/>
        </w:rPr>
        <w:t>الل</w:t>
      </w:r>
      <w:r w:rsidRPr="006571AC">
        <w:rPr>
          <w:rFonts w:ascii="Sakkal Majalla" w:hAnsi="Sakkal Majalla"/>
          <w:b/>
          <w:bCs/>
          <w:sz w:val="27"/>
          <w:rtl/>
        </w:rPr>
        <w:t>هُ‏ أَنَّى‏ يُؤْفَكُون</w:t>
      </w:r>
      <w:r w:rsidR="003240E0" w:rsidRPr="006571AC">
        <w:rPr>
          <w:rFonts w:ascii="Sakkal Majalla" w:hAnsi="Sakkal Majalla" w:hint="cs"/>
          <w:b/>
          <w:bCs/>
          <w:sz w:val="27"/>
          <w:rtl/>
        </w:rPr>
        <w:t>َ</w:t>
      </w:r>
      <w:r w:rsidRPr="006571AC">
        <w:rPr>
          <w:rFonts w:ascii="Mosawi" w:hAnsi="Mosawi" w:cs="Mosawi"/>
          <w:sz w:val="24"/>
          <w:szCs w:val="24"/>
          <w:rtl/>
        </w:rPr>
        <w:t>﴾</w:t>
      </w:r>
      <w:r w:rsidRPr="006571AC">
        <w:rPr>
          <w:rFonts w:ascii="Sakkal Majalla" w:hAnsi="Sakkal Majalla" w:hint="cs"/>
          <w:sz w:val="27"/>
          <w:rtl/>
        </w:rPr>
        <w:t xml:space="preserve"> (التوبة: 30)</w:t>
      </w:r>
      <w:r w:rsidR="003240E0" w:rsidRPr="006571AC">
        <w:rPr>
          <w:rFonts w:ascii="Sakkal Majalla" w:hAnsi="Sakkal Majalla" w:hint="cs"/>
          <w:sz w:val="27"/>
          <w:rtl/>
        </w:rPr>
        <w:t>،</w:t>
      </w:r>
      <w:r w:rsidRPr="006571AC">
        <w:rPr>
          <w:rFonts w:ascii="Sakkal Majalla" w:hAnsi="Sakkal Majalla"/>
          <w:sz w:val="27"/>
          <w:rtl/>
        </w:rPr>
        <w:t xml:space="preserve"> بل </w:t>
      </w:r>
      <w:r w:rsidRPr="006571AC">
        <w:rPr>
          <w:rFonts w:ascii="Sakkal Majalla" w:hAnsi="Sakkal Majalla" w:hint="cs"/>
          <w:sz w:val="27"/>
          <w:rtl/>
        </w:rPr>
        <w:t>أ</w:t>
      </w:r>
      <w:r w:rsidRPr="006571AC">
        <w:rPr>
          <w:rFonts w:ascii="Sakkal Majalla" w:hAnsi="Sakkal Majalla"/>
          <w:sz w:val="27"/>
          <w:rtl/>
        </w:rPr>
        <w:t>كثر من ذل</w:t>
      </w:r>
      <w:r w:rsidRPr="006571AC">
        <w:rPr>
          <w:rFonts w:ascii="Sakkal Majalla" w:hAnsi="Sakkal Majalla" w:hint="cs"/>
          <w:sz w:val="27"/>
          <w:rtl/>
        </w:rPr>
        <w:t>ك</w:t>
      </w:r>
      <w:r w:rsidRPr="006571AC">
        <w:rPr>
          <w:rFonts w:ascii="Sakkal Majalla" w:hAnsi="Sakkal Majalla"/>
          <w:sz w:val="27"/>
          <w:rtl/>
        </w:rPr>
        <w:t xml:space="preserve"> فقد </w:t>
      </w:r>
      <w:r w:rsidRPr="006571AC">
        <w:rPr>
          <w:rFonts w:ascii="Sakkal Majalla" w:hAnsi="Sakkal Majalla" w:hint="cs"/>
          <w:sz w:val="27"/>
          <w:rtl/>
        </w:rPr>
        <w:t>أ</w:t>
      </w:r>
      <w:r w:rsidRPr="006571AC">
        <w:rPr>
          <w:rFonts w:ascii="Sakkal Majalla" w:hAnsi="Sakkal Majalla"/>
          <w:sz w:val="27"/>
          <w:rtl/>
        </w:rPr>
        <w:t>مر</w:t>
      </w:r>
      <w:r w:rsidRPr="006571AC">
        <w:rPr>
          <w:rFonts w:ascii="Sakkal Majalla" w:hAnsi="Sakkal Majalla" w:hint="cs"/>
          <w:sz w:val="27"/>
          <w:rtl/>
        </w:rPr>
        <w:t xml:space="preserve"> الله</w:t>
      </w:r>
      <w:r w:rsidRPr="006571AC">
        <w:rPr>
          <w:rFonts w:ascii="Sakkal Majalla" w:hAnsi="Sakkal Majalla"/>
          <w:sz w:val="27"/>
          <w:rtl/>
        </w:rPr>
        <w:t xml:space="preserve"> نب</w:t>
      </w:r>
      <w:r w:rsidRPr="006571AC">
        <w:rPr>
          <w:rFonts w:ascii="Times New Roman" w:hAnsi="Times New Roman" w:hint="cs"/>
          <w:sz w:val="27"/>
          <w:rtl/>
        </w:rPr>
        <w:t>ي</w:t>
      </w:r>
      <w:r w:rsidR="003240E0" w:rsidRPr="006571AC">
        <w:rPr>
          <w:rFonts w:ascii="Times New Roman" w:hAnsi="Times New Roman" w:hint="cs"/>
          <w:sz w:val="27"/>
          <w:rtl/>
        </w:rPr>
        <w:t>َّ</w:t>
      </w:r>
      <w:r w:rsidRPr="006571AC">
        <w:rPr>
          <w:rFonts w:ascii="Sakkal Majalla" w:hAnsi="Sakkal Majalla" w:hint="cs"/>
          <w:sz w:val="27"/>
          <w:rtl/>
        </w:rPr>
        <w:t>ه</w:t>
      </w:r>
      <w:r w:rsidR="002A2C90" w:rsidRPr="006571AC">
        <w:rPr>
          <w:rFonts w:ascii="Mosawi" w:hAnsi="Mosawi" w:cs="Mosawi"/>
          <w:sz w:val="22"/>
          <w:szCs w:val="22"/>
          <w:rtl/>
        </w:rPr>
        <w:t>|</w:t>
      </w:r>
      <w:r w:rsidRPr="006571AC">
        <w:rPr>
          <w:rFonts w:ascii="Sakkal Majalla" w:hAnsi="Sakkal Majalla"/>
          <w:sz w:val="27"/>
          <w:rtl/>
        </w:rPr>
        <w:t xml:space="preserve"> بتبل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التوح</w:t>
      </w:r>
      <w:r w:rsidRPr="006571AC">
        <w:rPr>
          <w:rFonts w:ascii="Times New Roman" w:hAnsi="Times New Roman" w:hint="cs"/>
          <w:sz w:val="27"/>
          <w:rtl/>
        </w:rPr>
        <w:t>ي</w:t>
      </w:r>
      <w:r w:rsidRPr="006571AC">
        <w:rPr>
          <w:rFonts w:ascii="Sakkal Majalla" w:hAnsi="Sakkal Majalla" w:hint="cs"/>
          <w:sz w:val="27"/>
          <w:rtl/>
        </w:rPr>
        <w:t>د</w:t>
      </w:r>
      <w:r w:rsidRPr="006571AC">
        <w:rPr>
          <w:rFonts w:ascii="Sakkal Majalla" w:hAnsi="Sakkal Majalla"/>
          <w:sz w:val="27"/>
          <w:rtl/>
        </w:rPr>
        <w:t xml:space="preserve"> ونف</w:t>
      </w:r>
      <w:r w:rsidRPr="006571AC">
        <w:rPr>
          <w:rFonts w:ascii="Sakkal Majalla" w:hAnsi="Sakkal Majalla" w:hint="cs"/>
          <w:sz w:val="27"/>
          <w:rtl/>
        </w:rPr>
        <w:t>ي</w:t>
      </w:r>
      <w:r w:rsidRPr="006571AC">
        <w:rPr>
          <w:rFonts w:ascii="Sakkal Majalla" w:hAnsi="Sakkal Majalla"/>
          <w:sz w:val="27"/>
          <w:rtl/>
        </w:rPr>
        <w:t xml:space="preserve"> الشر</w:t>
      </w:r>
      <w:r w:rsidRPr="006571AC">
        <w:rPr>
          <w:rFonts w:ascii="Sakkal Majalla" w:hAnsi="Sakkal Majalla" w:hint="cs"/>
          <w:sz w:val="27"/>
          <w:rtl/>
        </w:rPr>
        <w:t>ك</w:t>
      </w:r>
      <w:r w:rsidRPr="006571AC">
        <w:rPr>
          <w:rFonts w:ascii="Sakkal Majalla" w:hAnsi="Sakkal Majalla"/>
          <w:sz w:val="27"/>
          <w:rtl/>
        </w:rPr>
        <w:t xml:space="preserve"> وتسف</w:t>
      </w:r>
      <w:r w:rsidRPr="006571AC">
        <w:rPr>
          <w:rFonts w:ascii="Times New Roman" w:hAnsi="Times New Roman" w:hint="cs"/>
          <w:sz w:val="27"/>
          <w:rtl/>
        </w:rPr>
        <w:t>ي</w:t>
      </w:r>
      <w:r w:rsidRPr="006571AC">
        <w:rPr>
          <w:rFonts w:ascii="Sakkal Majalla" w:hAnsi="Sakkal Majalla" w:hint="cs"/>
          <w:sz w:val="27"/>
          <w:rtl/>
        </w:rPr>
        <w:t>ه</w:t>
      </w:r>
      <w:r w:rsidRPr="006571AC">
        <w:rPr>
          <w:rFonts w:ascii="Sakkal Majalla" w:hAnsi="Sakkal Majalla"/>
          <w:sz w:val="27"/>
          <w:rtl/>
        </w:rPr>
        <w:t xml:space="preserve"> وتدم</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w:t>
      </w:r>
      <w:r w:rsidRPr="006571AC">
        <w:rPr>
          <w:rFonts w:ascii="Sakkal Majalla" w:hAnsi="Sakkal Majalla" w:hint="cs"/>
          <w:sz w:val="27"/>
          <w:rtl/>
        </w:rPr>
        <w:t>آلهة</w:t>
      </w:r>
      <w:r w:rsidRPr="006571AC">
        <w:rPr>
          <w:rFonts w:ascii="Sakkal Majalla" w:hAnsi="Sakkal Majalla"/>
          <w:sz w:val="27"/>
          <w:rtl/>
        </w:rPr>
        <w:t xml:space="preserve"> </w:t>
      </w:r>
      <w:r w:rsidRPr="006571AC">
        <w:rPr>
          <w:rFonts w:ascii="Sakkal Majalla" w:hAnsi="Sakkal Majalla" w:hint="cs"/>
          <w:sz w:val="27"/>
          <w:rtl/>
        </w:rPr>
        <w:t>الكف</w:t>
      </w:r>
      <w:r w:rsidR="003240E0" w:rsidRPr="006571AC">
        <w:rPr>
          <w:rFonts w:ascii="Sakkal Majalla" w:hAnsi="Sakkal Majalla" w:hint="cs"/>
          <w:sz w:val="27"/>
          <w:rtl/>
        </w:rPr>
        <w:t>ّ</w:t>
      </w:r>
      <w:r w:rsidRPr="006571AC">
        <w:rPr>
          <w:rFonts w:ascii="Sakkal Majalla" w:hAnsi="Sakkal Majalla" w:hint="cs"/>
          <w:sz w:val="27"/>
          <w:rtl/>
        </w:rPr>
        <w:t>ار</w:t>
      </w:r>
      <w:r w:rsidRPr="006571AC">
        <w:rPr>
          <w:rFonts w:ascii="Sakkal Majalla" w:hAnsi="Sakkal Majalla"/>
          <w:sz w:val="27"/>
          <w:rtl/>
        </w:rPr>
        <w:t xml:space="preserve"> </w:t>
      </w:r>
      <w:r w:rsidRPr="006571AC">
        <w:rPr>
          <w:rFonts w:ascii="Sakkal Majalla" w:hAnsi="Sakkal Majalla" w:hint="cs"/>
          <w:sz w:val="27"/>
          <w:rtl/>
        </w:rPr>
        <w:t>والمشر</w:t>
      </w:r>
      <w:r w:rsidR="003240E0" w:rsidRPr="006571AC">
        <w:rPr>
          <w:rFonts w:ascii="Sakkal Majalla" w:hAnsi="Sakkal Majalla" w:hint="cs"/>
          <w:sz w:val="27"/>
          <w:rtl/>
        </w:rPr>
        <w:t>ك</w:t>
      </w:r>
      <w:r w:rsidRPr="006571AC">
        <w:rPr>
          <w:rFonts w:ascii="Times New Roman" w:hAnsi="Times New Roman" w:hint="cs"/>
          <w:sz w:val="27"/>
          <w:rtl/>
        </w:rPr>
        <w:t>ي</w:t>
      </w:r>
      <w:r w:rsidRPr="006571AC">
        <w:rPr>
          <w:rFonts w:ascii="Sakkal Majalla" w:hAnsi="Sakkal Majalla" w:hint="cs"/>
          <w:sz w:val="27"/>
          <w:rtl/>
        </w:rPr>
        <w:t xml:space="preserve">ن، </w:t>
      </w:r>
      <w:r w:rsidRPr="006571AC">
        <w:rPr>
          <w:rFonts w:ascii="Sakkal Majalla" w:hAnsi="Sakkal Majalla"/>
          <w:sz w:val="27"/>
          <w:rtl/>
        </w:rPr>
        <w:t xml:space="preserve">وهو </w:t>
      </w:r>
      <w:r w:rsidRPr="006571AC">
        <w:rPr>
          <w:rFonts w:ascii="Sakkal Majalla" w:hAnsi="Sakkal Majalla" w:hint="cs"/>
          <w:sz w:val="27"/>
          <w:rtl/>
        </w:rPr>
        <w:t>أ</w:t>
      </w:r>
      <w:r w:rsidRPr="006571AC">
        <w:rPr>
          <w:rFonts w:ascii="Sakkal Majalla" w:hAnsi="Sakkal Majalla"/>
          <w:sz w:val="27"/>
          <w:rtl/>
        </w:rPr>
        <w:t>شدّ بطشاً و</w:t>
      </w:r>
      <w:r w:rsidRPr="006571AC">
        <w:rPr>
          <w:rFonts w:ascii="Sakkal Majalla" w:hAnsi="Sakkal Majalla" w:hint="cs"/>
          <w:sz w:val="27"/>
          <w:rtl/>
        </w:rPr>
        <w:t>أ</w:t>
      </w:r>
      <w:r w:rsidRPr="006571AC">
        <w:rPr>
          <w:rFonts w:ascii="Sakkal Majalla" w:hAnsi="Sakkal Majalla"/>
          <w:sz w:val="27"/>
          <w:rtl/>
        </w:rPr>
        <w:t>سفك للدماء من دعوة ال</w:t>
      </w:r>
      <w:r w:rsidRPr="006571AC">
        <w:rPr>
          <w:rFonts w:ascii="Times New Roman" w:hAnsi="Times New Roman" w:hint="cs"/>
          <w:sz w:val="27"/>
          <w:rtl/>
        </w:rPr>
        <w:t>ي</w:t>
      </w:r>
      <w:r w:rsidRPr="006571AC">
        <w:rPr>
          <w:rFonts w:ascii="Sakkal Majalla" w:hAnsi="Sakkal Majalla" w:hint="cs"/>
          <w:sz w:val="27"/>
          <w:rtl/>
        </w:rPr>
        <w:t>هود</w:t>
      </w:r>
      <w:r w:rsidRPr="006571AC">
        <w:rPr>
          <w:rFonts w:ascii="Sakkal Majalla" w:hAnsi="Sakkal Majalla"/>
          <w:sz w:val="27"/>
          <w:rtl/>
        </w:rPr>
        <w:t xml:space="preserve"> وتحذ</w:t>
      </w:r>
      <w:r w:rsidRPr="006571AC">
        <w:rPr>
          <w:rFonts w:ascii="Times New Roman" w:hAnsi="Times New Roman" w:hint="cs"/>
          <w:sz w:val="27"/>
          <w:rtl/>
        </w:rPr>
        <w:t>ي</w:t>
      </w:r>
      <w:r w:rsidRPr="006571AC">
        <w:rPr>
          <w:rFonts w:ascii="Sakkal Majalla" w:hAnsi="Sakkal Majalla" w:hint="cs"/>
          <w:sz w:val="27"/>
          <w:rtl/>
        </w:rPr>
        <w:t xml:space="preserve">رهم، </w:t>
      </w:r>
      <w:r w:rsidRPr="006571AC">
        <w:rPr>
          <w:rFonts w:ascii="Sakkal Majalla" w:hAnsi="Sakkal Majalla"/>
          <w:sz w:val="27"/>
          <w:rtl/>
        </w:rPr>
        <w:t>و</w:t>
      </w:r>
      <w:r w:rsidRPr="006571AC">
        <w:rPr>
          <w:rFonts w:ascii="Sakkal Majalla" w:hAnsi="Sakkal Majalla" w:hint="cs"/>
          <w:sz w:val="27"/>
          <w:rtl/>
        </w:rPr>
        <w:t>مع ذلك ف</w:t>
      </w:r>
      <w:r w:rsidRPr="006571AC">
        <w:rPr>
          <w:rFonts w:ascii="Sakkal Majalla" w:hAnsi="Sakkal Majalla"/>
          <w:sz w:val="27"/>
          <w:rtl/>
        </w:rPr>
        <w:t xml:space="preserve">لم </w:t>
      </w:r>
      <w:r w:rsidRPr="006571AC">
        <w:rPr>
          <w:rFonts w:ascii="Times New Roman" w:hAnsi="Times New Roman" w:hint="cs"/>
          <w:sz w:val="27"/>
          <w:rtl/>
        </w:rPr>
        <w:t>ي</w:t>
      </w:r>
      <w:r w:rsidR="003240E0" w:rsidRPr="006571AC">
        <w:rPr>
          <w:rFonts w:ascii="Times New Roman" w:hAnsi="Times New Roman" w:hint="cs"/>
          <w:sz w:val="27"/>
          <w:rtl/>
        </w:rPr>
        <w:t>َ</w:t>
      </w:r>
      <w:r w:rsidRPr="006571AC">
        <w:rPr>
          <w:rFonts w:ascii="Sakkal Majalla" w:hAnsi="Sakkal Majalla" w:hint="cs"/>
          <w:sz w:val="27"/>
          <w:rtl/>
        </w:rPr>
        <w:t>خ</w:t>
      </w:r>
      <w:r w:rsidR="003240E0" w:rsidRPr="006571AC">
        <w:rPr>
          <w:rFonts w:ascii="Sakkal Majalla" w:hAnsi="Sakkal Majalla" w:hint="cs"/>
          <w:sz w:val="27"/>
          <w:rtl/>
        </w:rPr>
        <w:t>ْ</w:t>
      </w:r>
      <w:r w:rsidRPr="006571AC">
        <w:rPr>
          <w:rFonts w:ascii="Sakkal Majalla" w:hAnsi="Sakkal Majalla" w:hint="cs"/>
          <w:sz w:val="27"/>
          <w:rtl/>
        </w:rPr>
        <w:t>ش</w:t>
      </w:r>
      <w:r w:rsidR="003240E0" w:rsidRPr="006571AC">
        <w:rPr>
          <w:rFonts w:ascii="Times New Roman" w:hAnsi="Times New Roman" w:hint="cs"/>
          <w:sz w:val="27"/>
          <w:rtl/>
        </w:rPr>
        <w:t>َ</w:t>
      </w:r>
      <w:r w:rsidRPr="006571AC">
        <w:rPr>
          <w:rFonts w:ascii="Sakkal Majalla" w:hAnsi="Sakkal Majalla"/>
          <w:sz w:val="27"/>
          <w:rtl/>
        </w:rPr>
        <w:t xml:space="preserve"> النب</w:t>
      </w:r>
      <w:r w:rsidRPr="006571AC">
        <w:rPr>
          <w:rFonts w:ascii="Sakkal Majalla" w:hAnsi="Sakkal Majalla" w:hint="cs"/>
          <w:sz w:val="27"/>
          <w:rtl/>
        </w:rPr>
        <w:t>ي</w:t>
      </w:r>
      <w:r w:rsidR="003240E0"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sz w:val="27"/>
          <w:rtl/>
        </w:rPr>
        <w:t xml:space="preserve"> من 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مر</w:t>
      </w:r>
      <w:r w:rsidRPr="006571AC">
        <w:rPr>
          <w:rFonts w:ascii="Sakkal Majalla" w:hAnsi="Sakkal Majalla" w:hint="cs"/>
          <w:sz w:val="27"/>
          <w:rtl/>
        </w:rPr>
        <w:t xml:space="preserve"> به</w:t>
      </w:r>
      <w:r w:rsidRPr="006571AC">
        <w:rPr>
          <w:rFonts w:ascii="Sakkal Majalla" w:hAnsi="Sakkal Majalla"/>
          <w:sz w:val="27"/>
          <w:rtl/>
        </w:rPr>
        <w:t>، و</w:t>
      </w:r>
      <w:r w:rsidRPr="006571AC">
        <w:rPr>
          <w:rFonts w:ascii="Sakkal Majalla" w:hAnsi="Sakkal Majalla" w:hint="cs"/>
          <w:sz w:val="27"/>
          <w:rtl/>
        </w:rPr>
        <w:t xml:space="preserve">لم </w:t>
      </w:r>
      <w:r w:rsidRPr="006571AC">
        <w:rPr>
          <w:rFonts w:ascii="Times New Roman" w:hAnsi="Times New Roman" w:hint="cs"/>
          <w:sz w:val="27"/>
          <w:rtl/>
        </w:rPr>
        <w:t>ي</w:t>
      </w:r>
      <w:r w:rsidRPr="006571AC">
        <w:rPr>
          <w:rFonts w:ascii="Sakkal Majalla" w:hAnsi="Sakkal Majalla" w:hint="cs"/>
          <w:sz w:val="27"/>
          <w:rtl/>
        </w:rPr>
        <w:t>هد</w:t>
      </w:r>
      <w:r w:rsidR="003240E0" w:rsidRPr="006571AC">
        <w:rPr>
          <w:rFonts w:ascii="Sakkal Majalla" w:hAnsi="Sakkal Majalla" w:hint="cs"/>
          <w:sz w:val="27"/>
          <w:rtl/>
        </w:rPr>
        <w:t>ِّ</w:t>
      </w:r>
      <w:r w:rsidRPr="006571AC">
        <w:rPr>
          <w:rFonts w:ascii="Sakkal Majalla" w:hAnsi="Sakkal Majalla" w:hint="cs"/>
          <w:sz w:val="27"/>
          <w:rtl/>
        </w:rPr>
        <w:t>ده</w:t>
      </w:r>
      <w:r w:rsidRPr="006571AC">
        <w:rPr>
          <w:rFonts w:ascii="Sakkal Majalla" w:hAnsi="Sakkal Majalla"/>
          <w:sz w:val="27"/>
          <w:rtl/>
        </w:rPr>
        <w:t xml:space="preserve"> </w:t>
      </w:r>
      <w:r w:rsidRPr="006571AC">
        <w:rPr>
          <w:rFonts w:ascii="Sakkal Majalla" w:hAnsi="Sakkal Majalla" w:hint="cs"/>
          <w:sz w:val="27"/>
          <w:rtl/>
        </w:rPr>
        <w:t>الله</w:t>
      </w:r>
      <w:r w:rsidRPr="006571AC">
        <w:rPr>
          <w:rFonts w:ascii="Sakkal Majalla" w:hAnsi="Sakkal Majalla"/>
          <w:sz w:val="27"/>
          <w:rtl/>
        </w:rPr>
        <w:t xml:space="preserve"> تعالى </w:t>
      </w:r>
      <w:r w:rsidRPr="006571AC">
        <w:rPr>
          <w:rFonts w:ascii="Sakkal Majalla" w:hAnsi="Sakkal Majalla" w:hint="cs"/>
          <w:sz w:val="27"/>
          <w:rtl/>
        </w:rPr>
        <w:t>في</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مر تبل</w:t>
      </w:r>
      <w:r w:rsidRPr="006571AC">
        <w:rPr>
          <w:rFonts w:ascii="Times New Roman" w:hAnsi="Times New Roman" w:hint="cs"/>
          <w:sz w:val="27"/>
          <w:rtl/>
        </w:rPr>
        <w:t>ي</w:t>
      </w:r>
      <w:r w:rsidRPr="006571AC">
        <w:rPr>
          <w:rFonts w:ascii="Sakkal Majalla" w:hAnsi="Sakkal Majalla" w:hint="cs"/>
          <w:sz w:val="27"/>
          <w:rtl/>
        </w:rPr>
        <w:t>غهم</w:t>
      </w:r>
      <w:r w:rsidR="003240E0" w:rsidRPr="006571AC">
        <w:rPr>
          <w:rFonts w:ascii="Sakkal Majalla" w:hAnsi="Sakkal Majalla" w:hint="cs"/>
          <w:sz w:val="27"/>
          <w:rtl/>
        </w:rPr>
        <w:t>،</w:t>
      </w:r>
      <w:r w:rsidRPr="006571AC">
        <w:rPr>
          <w:rFonts w:ascii="Sakkal Majalla" w:hAnsi="Sakkal Majalla"/>
          <w:sz w:val="27"/>
          <w:rtl/>
        </w:rPr>
        <w:t xml:space="preserve"> ولم </w:t>
      </w:r>
      <w:r w:rsidRPr="006571AC">
        <w:rPr>
          <w:rFonts w:ascii="Times New Roman" w:hAnsi="Times New Roman" w:hint="cs"/>
          <w:sz w:val="27"/>
          <w:rtl/>
        </w:rPr>
        <w:t>ي</w:t>
      </w:r>
      <w:r w:rsidRPr="006571AC">
        <w:rPr>
          <w:rFonts w:ascii="Sakkal Majalla" w:hAnsi="Sakkal Majalla" w:hint="cs"/>
          <w:sz w:val="27"/>
          <w:rtl/>
        </w:rPr>
        <w:t>ع</w:t>
      </w:r>
      <w:r w:rsidR="003240E0" w:rsidRPr="006571AC">
        <w:rPr>
          <w:rFonts w:ascii="Sakkal Majalla" w:hAnsi="Sakkal Majalla" w:hint="cs"/>
          <w:sz w:val="27"/>
          <w:rtl/>
        </w:rPr>
        <w:t>ِ</w:t>
      </w:r>
      <w:r w:rsidRPr="006571AC">
        <w:rPr>
          <w:rFonts w:ascii="Sakkal Majalla" w:hAnsi="Sakkal Majalla" w:hint="cs"/>
          <w:sz w:val="27"/>
          <w:rtl/>
        </w:rPr>
        <w:t>د</w:t>
      </w:r>
      <w:r w:rsidR="003240E0" w:rsidRPr="006571AC">
        <w:rPr>
          <w:rFonts w:ascii="Sakkal Majalla" w:hAnsi="Sakkal Majalla" w:hint="cs"/>
          <w:sz w:val="27"/>
          <w:rtl/>
        </w:rPr>
        <w:t>ْ</w:t>
      </w:r>
      <w:r w:rsidRPr="006571AC">
        <w:rPr>
          <w:rFonts w:ascii="Sakkal Majalla" w:hAnsi="Sakkal Majalla" w:hint="cs"/>
          <w:sz w:val="27"/>
          <w:rtl/>
        </w:rPr>
        <w:t>ه</w:t>
      </w:r>
      <w:r w:rsidRPr="006571AC">
        <w:rPr>
          <w:rFonts w:ascii="Sakkal Majalla" w:hAnsi="Sakkal Majalla"/>
          <w:sz w:val="27"/>
          <w:rtl/>
        </w:rPr>
        <w:t xml:space="preserve"> </w:t>
      </w:r>
      <w:r w:rsidRPr="006571AC">
        <w:rPr>
          <w:rFonts w:ascii="Sakkal Majalla" w:hAnsi="Sakkal Majalla" w:hint="cs"/>
          <w:sz w:val="27"/>
          <w:rtl/>
        </w:rPr>
        <w:t>بالحفظ</w:t>
      </w:r>
      <w:r w:rsidRPr="006571AC">
        <w:rPr>
          <w:rFonts w:ascii="Sakkal Majalla" w:hAnsi="Sakkal Majalla"/>
          <w:sz w:val="27"/>
          <w:rtl/>
        </w:rPr>
        <w:t xml:space="preserve"> والحما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p>
    <w:p w:rsidR="005D05A4" w:rsidRPr="006571AC" w:rsidRDefault="003240E0" w:rsidP="00B41BA0">
      <w:pPr>
        <w:pStyle w:val="af"/>
        <w:rPr>
          <w:rFonts w:ascii="Sakkal Majalla" w:hAnsi="Sakkal Majalla" w:cs="AL-Mohanad"/>
          <w:sz w:val="27"/>
          <w:szCs w:val="27"/>
          <w:rtl/>
        </w:rPr>
      </w:pPr>
      <w:r w:rsidRPr="006571AC">
        <w:rPr>
          <w:rFonts w:ascii="Sakkal Majalla" w:hAnsi="Sakkal Majalla" w:cs="AL-Mohanad" w:hint="cs"/>
          <w:sz w:val="27"/>
          <w:szCs w:val="27"/>
          <w:rtl/>
        </w:rPr>
        <w:t>و</w:t>
      </w:r>
      <w:r w:rsidR="005D05A4" w:rsidRPr="006571AC">
        <w:rPr>
          <w:rFonts w:ascii="Sakkal Majalla" w:hAnsi="Sakkal Majalla" w:cs="AL-Mohanad" w:hint="cs"/>
          <w:sz w:val="27"/>
          <w:szCs w:val="27"/>
          <w:rtl/>
        </w:rPr>
        <w:t xml:space="preserve">بهذا </w:t>
      </w:r>
      <w:r w:rsidR="005D05A4" w:rsidRPr="006571AC">
        <w:rPr>
          <w:rFonts w:cs="AL-Mohanad" w:hint="cs"/>
          <w:sz w:val="27"/>
          <w:szCs w:val="27"/>
          <w:rtl/>
        </w:rPr>
        <w:t>ي</w:t>
      </w:r>
      <w:r w:rsidR="005D05A4" w:rsidRPr="006571AC">
        <w:rPr>
          <w:rFonts w:ascii="Sakkal Majalla" w:hAnsi="Sakkal Majalla" w:cs="AL-Mohanad" w:hint="cs"/>
          <w:sz w:val="27"/>
          <w:szCs w:val="27"/>
          <w:rtl/>
        </w:rPr>
        <w:t>تّضح</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 الآ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w:t>
      </w:r>
      <w:r w:rsidR="005D05A4" w:rsidRPr="006571AC">
        <w:rPr>
          <w:rFonts w:ascii="Sakkal Majalla" w:hAnsi="Sakkal Majalla" w:cs="AL-Mohanad"/>
          <w:sz w:val="27"/>
          <w:szCs w:val="27"/>
          <w:rtl/>
        </w:rPr>
        <w:t>كر</w:t>
      </w:r>
      <w:r w:rsidR="005D05A4" w:rsidRPr="006571AC">
        <w:rPr>
          <w:rFonts w:cs="AL-Mohanad" w:hint="cs"/>
          <w:sz w:val="27"/>
          <w:szCs w:val="27"/>
          <w:rtl/>
        </w:rPr>
        <w:t>ي</w:t>
      </w:r>
      <w:r w:rsidR="005D05A4" w:rsidRPr="006571AC">
        <w:rPr>
          <w:rFonts w:ascii="Sakkal Majalla" w:hAnsi="Sakkal Majalla" w:cs="AL-Mohanad" w:hint="cs"/>
          <w:sz w:val="27"/>
          <w:szCs w:val="27"/>
          <w:rtl/>
        </w:rPr>
        <w:t>مة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لا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تشارك</w:t>
      </w:r>
      <w:r w:rsidR="005D05A4" w:rsidRPr="006571AC">
        <w:rPr>
          <w:rFonts w:ascii="Sakkal Majalla" w:hAnsi="Sakkal Majalla" w:cs="AL-Mohanad"/>
          <w:sz w:val="27"/>
          <w:szCs w:val="27"/>
          <w:rtl/>
        </w:rPr>
        <w:t xml:space="preserve"> الآ</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السابقة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عل</w:t>
      </w:r>
      <w:r w:rsidR="005D05A4" w:rsidRPr="006571AC">
        <w:rPr>
          <w:rFonts w:cs="AL-Mohanad" w:hint="cs"/>
          <w:sz w:val="27"/>
          <w:szCs w:val="27"/>
          <w:rtl/>
        </w:rPr>
        <w:t>ي</w:t>
      </w:r>
      <w:r w:rsidR="005D05A4" w:rsidRPr="006571AC">
        <w:rPr>
          <w:rFonts w:ascii="Sakkal Majalla" w:hAnsi="Sakkal Majalla" w:cs="AL-Mohanad" w:hint="cs"/>
          <w:sz w:val="27"/>
          <w:szCs w:val="27"/>
          <w:rtl/>
        </w:rPr>
        <w:t>ها</w:t>
      </w:r>
      <w:r w:rsidR="005D05A4" w:rsidRPr="006571AC">
        <w:rPr>
          <w:rFonts w:ascii="Sakkal Majalla" w:hAnsi="Sakkal Majalla" w:cs="AL-Mohanad"/>
          <w:sz w:val="27"/>
          <w:szCs w:val="27"/>
          <w:rtl/>
        </w:rPr>
        <w:t xml:space="preserve"> واللاحقة لها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الس</w:t>
      </w:r>
      <w:r w:rsidR="005D05A4" w:rsidRPr="006571AC">
        <w:rPr>
          <w:rFonts w:cs="AL-Mohanad" w:hint="cs"/>
          <w:sz w:val="27"/>
          <w:szCs w:val="27"/>
          <w:rtl/>
        </w:rPr>
        <w:t>ي</w:t>
      </w:r>
      <w:r w:rsidR="005D05A4" w:rsidRPr="006571AC">
        <w:rPr>
          <w:rFonts w:ascii="Sakkal Majalla" w:hAnsi="Sakkal Majalla" w:cs="AL-Mohanad" w:hint="cs"/>
          <w:sz w:val="27"/>
          <w:szCs w:val="27"/>
          <w:rtl/>
        </w:rPr>
        <w:t xml:space="preserve">اق، </w:t>
      </w:r>
      <w:r w:rsidR="005D05A4" w:rsidRPr="006571AC">
        <w:rPr>
          <w:rFonts w:ascii="Sakkal Majalla" w:hAnsi="Sakkal Majalla" w:cs="AL-Mohanad"/>
          <w:sz w:val="27"/>
          <w:szCs w:val="27"/>
          <w:rtl/>
        </w:rPr>
        <w:t>بل ه</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مفردة</w:t>
      </w:r>
      <w:r w:rsidR="005D05A4" w:rsidRPr="006571AC">
        <w:rPr>
          <w:rFonts w:ascii="Sakkal Majalla" w:hAnsi="Sakkal Majalla" w:cs="AL-Mohanad"/>
          <w:sz w:val="27"/>
          <w:szCs w:val="27"/>
          <w:rtl/>
        </w:rPr>
        <w:t xml:space="preserve"> ومستقل</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ة</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نزلت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غد</w:t>
      </w:r>
      <w:r w:rsidR="005D05A4" w:rsidRPr="006571AC">
        <w:rPr>
          <w:rFonts w:cs="AL-Mohanad" w:hint="cs"/>
          <w:sz w:val="27"/>
          <w:szCs w:val="27"/>
          <w:rtl/>
        </w:rPr>
        <w:t>ي</w:t>
      </w:r>
      <w:r w:rsidR="005D05A4" w:rsidRPr="006571AC">
        <w:rPr>
          <w:rFonts w:ascii="Sakkal Majalla" w:hAnsi="Sakkal Majalla" w:cs="AL-Mohanad" w:hint="cs"/>
          <w:sz w:val="27"/>
          <w:szCs w:val="27"/>
          <w:rtl/>
        </w:rPr>
        <w:t>ر</w:t>
      </w:r>
      <w:r w:rsidRPr="006571AC">
        <w:rPr>
          <w:rFonts w:ascii="Sakkal Majalla" w:hAnsi="Sakkal Majalla" w:cs="AL-Mohanad" w:hint="cs"/>
          <w:sz w:val="27"/>
          <w:szCs w:val="27"/>
          <w:rtl/>
        </w:rPr>
        <w:t xml:space="preserve"> </w:t>
      </w:r>
      <w:r w:rsidR="005D05A4" w:rsidRPr="006571AC">
        <w:rPr>
          <w:rFonts w:ascii="Sakkal Majalla" w:hAnsi="Sakkal Majalla" w:cs="AL-Mohanad" w:hint="cs"/>
          <w:sz w:val="27"/>
          <w:szCs w:val="27"/>
          <w:rtl/>
        </w:rPr>
        <w:t>خم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ولكن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ضع</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w:t>
      </w:r>
      <w:r w:rsidR="005D05A4" w:rsidRPr="006571AC">
        <w:rPr>
          <w:rFonts w:cs="AL-Mohanad" w:hint="cs"/>
          <w:sz w:val="27"/>
          <w:szCs w:val="27"/>
          <w:rtl/>
        </w:rPr>
        <w:t>ي</w:t>
      </w:r>
      <w:r w:rsidR="005D05A4" w:rsidRPr="006571AC">
        <w:rPr>
          <w:rFonts w:ascii="Sakkal Majalla" w:hAnsi="Sakkal Majalla" w:cs="AL-Mohanad" w:hint="cs"/>
          <w:sz w:val="27"/>
          <w:szCs w:val="27"/>
          <w:rtl/>
        </w:rPr>
        <w:t>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الآ</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الت</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تحد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ث</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عن ال</w:t>
      </w:r>
      <w:r w:rsidR="005D05A4" w:rsidRPr="006571AC">
        <w:rPr>
          <w:rFonts w:cs="AL-Mohanad" w:hint="cs"/>
          <w:sz w:val="27"/>
          <w:szCs w:val="27"/>
          <w:rtl/>
        </w:rPr>
        <w:t>ي</w:t>
      </w:r>
      <w:r w:rsidR="005D05A4" w:rsidRPr="006571AC">
        <w:rPr>
          <w:rFonts w:ascii="Sakkal Majalla" w:hAnsi="Sakkal Majalla" w:cs="AL-Mohanad" w:hint="cs"/>
          <w:sz w:val="27"/>
          <w:szCs w:val="27"/>
          <w:rtl/>
        </w:rPr>
        <w:t>هود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حت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ى </w:t>
      </w:r>
      <w:r w:rsidR="005D05A4" w:rsidRPr="006571AC">
        <w:rPr>
          <w:rFonts w:ascii="Sakkal Majalla" w:hAnsi="Sakkal Majalla" w:cs="AL-Mohanad" w:hint="cs"/>
          <w:sz w:val="27"/>
          <w:szCs w:val="27"/>
          <w:rtl/>
        </w:rPr>
        <w:t>لا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تصل</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ل</w:t>
      </w:r>
      <w:r w:rsidR="005D05A4" w:rsidRPr="006571AC">
        <w:rPr>
          <w:rFonts w:cs="AL-Mohanad" w:hint="cs"/>
          <w:sz w:val="27"/>
          <w:szCs w:val="27"/>
          <w:rtl/>
        </w:rPr>
        <w:t>ي</w:t>
      </w:r>
      <w:r w:rsidR="005D05A4" w:rsidRPr="006571AC">
        <w:rPr>
          <w:rFonts w:ascii="Sakkal Majalla" w:hAnsi="Sakkal Majalla" w:cs="AL-Mohanad" w:hint="cs"/>
          <w:sz w:val="27"/>
          <w:szCs w:val="27"/>
          <w:rtl/>
        </w:rPr>
        <w:t>ها</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التحر</w:t>
      </w:r>
      <w:r w:rsidR="005D05A4" w:rsidRPr="006571AC">
        <w:rPr>
          <w:rFonts w:cs="AL-Mohanad" w:hint="cs"/>
          <w:sz w:val="27"/>
          <w:szCs w:val="27"/>
          <w:rtl/>
        </w:rPr>
        <w:t>ي</w:t>
      </w:r>
      <w:r w:rsidR="005D05A4" w:rsidRPr="006571AC">
        <w:rPr>
          <w:rFonts w:ascii="Sakkal Majalla" w:hAnsi="Sakkal Majalla" w:cs="AL-Mohanad" w:hint="cs"/>
          <w:sz w:val="27"/>
          <w:szCs w:val="27"/>
          <w:rtl/>
        </w:rPr>
        <w:t>ف</w:t>
      </w:r>
      <w:r w:rsidR="005D05A4" w:rsidRPr="006571AC">
        <w:rPr>
          <w:rFonts w:ascii="Sakkal Majalla" w:hAnsi="Sakkal Majalla" w:cs="AL-Mohanad"/>
          <w:sz w:val="27"/>
          <w:szCs w:val="27"/>
          <w:rtl/>
        </w:rPr>
        <w:t xml:space="preserve"> والتغ</w:t>
      </w:r>
      <w:r w:rsidR="005D05A4" w:rsidRPr="006571AC">
        <w:rPr>
          <w:rFonts w:cs="AL-Mohanad" w:hint="cs"/>
          <w:sz w:val="27"/>
          <w:szCs w:val="27"/>
          <w:rtl/>
        </w:rPr>
        <w:t>يي</w:t>
      </w:r>
      <w:r w:rsidR="005D05A4" w:rsidRPr="006571AC">
        <w:rPr>
          <w:rFonts w:ascii="Sakkal Majalla" w:hAnsi="Sakkal Majalla" w:cs="AL-Mohanad" w:hint="cs"/>
          <w:sz w:val="27"/>
          <w:szCs w:val="27"/>
          <w:rtl/>
        </w:rPr>
        <w:t>ر</w:t>
      </w:r>
      <w:r w:rsidR="005D05A4" w:rsidRPr="006571AC">
        <w:rPr>
          <w:rFonts w:ascii="Sakkal Majalla" w:hAnsi="Sakkal Majalla" w:cs="AL-Mohanad"/>
          <w:sz w:val="27"/>
          <w:szCs w:val="27"/>
          <w:rtl/>
        </w:rPr>
        <w:t xml:space="preserve">. </w:t>
      </w:r>
    </w:p>
    <w:p w:rsidR="00FB4949" w:rsidRPr="006571AC" w:rsidRDefault="00FB4949" w:rsidP="00FB4949">
      <w:pPr>
        <w:spacing w:line="420" w:lineRule="exact"/>
        <w:rPr>
          <w:sz w:val="27"/>
          <w:rtl/>
        </w:rPr>
      </w:pPr>
    </w:p>
    <w:p w:rsidR="005D05A4" w:rsidRPr="006571AC" w:rsidRDefault="002C25C3" w:rsidP="0074181B">
      <w:pPr>
        <w:pStyle w:val="31"/>
        <w:rPr>
          <w:color w:val="auto"/>
          <w:rtl/>
        </w:rPr>
      </w:pPr>
      <w:bookmarkStart w:id="162" w:name="_Toc114164650"/>
      <w:r w:rsidRPr="006571AC">
        <w:rPr>
          <w:rFonts w:hint="cs"/>
          <w:color w:val="auto"/>
          <w:rtl/>
        </w:rPr>
        <w:t>ج ـ</w:t>
      </w:r>
      <w:r w:rsidR="005D05A4" w:rsidRPr="006571AC">
        <w:rPr>
          <w:color w:val="auto"/>
          <w:rtl/>
        </w:rPr>
        <w:t xml:space="preserve"> ب</w:t>
      </w:r>
      <w:r w:rsidR="005D05A4" w:rsidRPr="006571AC">
        <w:rPr>
          <w:rFonts w:hint="cs"/>
          <w:color w:val="auto"/>
          <w:rtl/>
        </w:rPr>
        <w:t>يان</w:t>
      </w:r>
      <w:r w:rsidR="005D05A4" w:rsidRPr="006571AC">
        <w:rPr>
          <w:color w:val="auto"/>
          <w:rtl/>
        </w:rPr>
        <w:t xml:space="preserve"> </w:t>
      </w:r>
      <w:r w:rsidR="005D05A4" w:rsidRPr="006571AC">
        <w:rPr>
          <w:rFonts w:hint="cs"/>
          <w:color w:val="auto"/>
          <w:rtl/>
        </w:rPr>
        <w:t>حكم</w:t>
      </w:r>
      <w:r w:rsidR="005D05A4" w:rsidRPr="006571AC">
        <w:rPr>
          <w:color w:val="auto"/>
          <w:rtl/>
        </w:rPr>
        <w:t xml:space="preserve"> </w:t>
      </w:r>
      <w:r w:rsidR="005D05A4" w:rsidRPr="006571AC">
        <w:rPr>
          <w:rFonts w:hint="cs"/>
          <w:color w:val="auto"/>
          <w:rtl/>
        </w:rPr>
        <w:t>الر</w:t>
      </w:r>
      <w:r w:rsidR="0074181B" w:rsidRPr="006571AC">
        <w:rPr>
          <w:rFonts w:hint="cs"/>
          <w:color w:val="auto"/>
          <w:rtl/>
        </w:rPr>
        <w:t>َّ</w:t>
      </w:r>
      <w:r w:rsidR="005D05A4" w:rsidRPr="006571AC">
        <w:rPr>
          <w:rFonts w:hint="cs"/>
          <w:color w:val="auto"/>
          <w:rtl/>
        </w:rPr>
        <w:t>ج</w:t>
      </w:r>
      <w:r w:rsidR="0074181B" w:rsidRPr="006571AC">
        <w:rPr>
          <w:rFonts w:hint="cs"/>
          <w:color w:val="auto"/>
          <w:rtl/>
        </w:rPr>
        <w:t>ْ</w:t>
      </w:r>
      <w:r w:rsidR="005D05A4" w:rsidRPr="006571AC">
        <w:rPr>
          <w:rFonts w:hint="cs"/>
          <w:color w:val="auto"/>
          <w:rtl/>
        </w:rPr>
        <w:t>م</w:t>
      </w:r>
      <w:r w:rsidR="005D05A4" w:rsidRPr="006571AC">
        <w:rPr>
          <w:color w:val="auto"/>
          <w:rtl/>
        </w:rPr>
        <w:t xml:space="preserve"> والقصاص</w:t>
      </w:r>
      <w:bookmarkEnd w:id="162"/>
    </w:p>
    <w:p w:rsidR="00A46B51"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ذكر بعض مفس</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ر</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العامة</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76"/>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الرجم</w:t>
      </w:r>
      <w:r w:rsidRPr="006571AC">
        <w:rPr>
          <w:rFonts w:ascii="Sakkal Majalla" w:hAnsi="Sakkal Majalla" w:cs="AL-Mohanad"/>
          <w:sz w:val="27"/>
          <w:szCs w:val="27"/>
          <w:rtl/>
        </w:rPr>
        <w:t xml:space="preserve"> والقصاص</w:t>
      </w:r>
      <w:r w:rsidR="00A46B51" w:rsidRPr="006571AC">
        <w:rPr>
          <w:rFonts w:ascii="Sakkal Majalla" w:hAnsi="Sakkal Majalla" w:cs="AL-Mohanad" w:hint="cs"/>
          <w:sz w:val="27"/>
          <w:szCs w:val="27"/>
          <w:rtl/>
        </w:rPr>
        <w:t>.</w:t>
      </w:r>
    </w:p>
    <w:p w:rsidR="005D05A4" w:rsidRPr="006571AC" w:rsidRDefault="005D05A4" w:rsidP="00513A82">
      <w:pPr>
        <w:pStyle w:val="af"/>
        <w:rPr>
          <w:rFonts w:ascii="Sakkal Majalla" w:hAnsi="Sakkal Majalla" w:cs="AL-Mohanad"/>
          <w:sz w:val="27"/>
          <w:szCs w:val="27"/>
          <w:rtl/>
        </w:rPr>
      </w:pPr>
      <w:r w:rsidRPr="006571AC">
        <w:rPr>
          <w:rFonts w:ascii="Sakkal Majalla" w:hAnsi="Sakkal Majalla" w:cs="AL-Mohanad"/>
          <w:sz w:val="27"/>
          <w:szCs w:val="27"/>
          <w:rtl/>
        </w:rPr>
        <w:t>فقد جاء وفد</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النبي</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كرم </w:t>
      </w:r>
      <w:r w:rsidRPr="006571AC">
        <w:rPr>
          <w:rFonts w:cs="AL-Mohanad" w:hint="cs"/>
          <w:sz w:val="27"/>
          <w:szCs w:val="27"/>
          <w:rtl/>
        </w:rPr>
        <w:t>ي</w:t>
      </w:r>
      <w:r w:rsidRPr="006571AC">
        <w:rPr>
          <w:rFonts w:ascii="Sakkal Majalla" w:hAnsi="Sakkal Majalla" w:cs="AL-Mohanad" w:hint="cs"/>
          <w:sz w:val="27"/>
          <w:szCs w:val="27"/>
          <w:rtl/>
        </w:rPr>
        <w:t>سألونه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الزن</w:t>
      </w:r>
      <w:r w:rsidR="003240E0" w:rsidRPr="006571AC">
        <w:rPr>
          <w:rFonts w:cs="AL-Mohanad" w:hint="cs"/>
          <w:sz w:val="27"/>
          <w:szCs w:val="27"/>
          <w:rtl/>
        </w:rPr>
        <w:t>ى</w:t>
      </w:r>
      <w:r w:rsidRPr="006571AC">
        <w:rPr>
          <w:rFonts w:ascii="Sakkal Majalla" w:hAnsi="Sakkal Majalla" w:cs="AL-Mohanad"/>
          <w:sz w:val="27"/>
          <w:szCs w:val="27"/>
          <w:rtl/>
        </w:rPr>
        <w:t xml:space="preserve"> </w:t>
      </w:r>
      <w:r w:rsidR="003240E0" w:rsidRPr="006571AC">
        <w:rPr>
          <w:rFonts w:ascii="Sakkal Majalla" w:hAnsi="Sakkal Majalla" w:cs="AL-Mohanad" w:hint="cs"/>
          <w:sz w:val="27"/>
          <w:szCs w:val="27"/>
          <w:rtl/>
        </w:rPr>
        <w:t>ب</w:t>
      </w:r>
      <w:r w:rsidRPr="006571AC">
        <w:rPr>
          <w:rFonts w:ascii="Sakkal Majalla" w:hAnsi="Sakkal Majalla" w:cs="AL-Mohanad" w:hint="cs"/>
          <w:sz w:val="27"/>
          <w:szCs w:val="27"/>
          <w:rtl/>
        </w:rPr>
        <w:t xml:space="preserve">المحصنة، </w:t>
      </w:r>
      <w:r w:rsidR="003240E0" w:rsidRPr="006571AC">
        <w:rPr>
          <w:rFonts w:ascii="Sakkal Majalla" w:hAnsi="Sakkal Majalla" w:cs="AL-Mohanad"/>
          <w:sz w:val="27"/>
          <w:szCs w:val="27"/>
          <w:rtl/>
        </w:rPr>
        <w:lastRenderedPageBreak/>
        <w:t>و</w:t>
      </w:r>
      <w:r w:rsidRPr="006571AC">
        <w:rPr>
          <w:rFonts w:ascii="Sakkal Majalla" w:hAnsi="Sakkal Majalla" w:cs="AL-Mohanad"/>
          <w:sz w:val="27"/>
          <w:szCs w:val="27"/>
          <w:rtl/>
        </w:rPr>
        <w:t>كانت التوراة قد حكم</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ت</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بالرجم</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003C2639" w:rsidRPr="006571AC">
        <w:rPr>
          <w:rFonts w:ascii="Sakkal Majalla" w:hAnsi="Sakkal Majalla" w:cs="AL-Mohanad"/>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نّهم كانوا </w:t>
      </w:r>
      <w:r w:rsidRPr="006571AC">
        <w:rPr>
          <w:rFonts w:cs="AL-Mohanad" w:hint="cs"/>
          <w:sz w:val="27"/>
          <w:szCs w:val="27"/>
          <w:rtl/>
        </w:rPr>
        <w:t>ي</w:t>
      </w:r>
      <w:r w:rsidRPr="006571AC">
        <w:rPr>
          <w:rFonts w:ascii="Sakkal Majalla" w:hAnsi="Sakkal Majalla" w:cs="AL-Mohanad" w:hint="cs"/>
          <w:sz w:val="27"/>
          <w:szCs w:val="27"/>
          <w:rtl/>
        </w:rPr>
        <w:t>بحثون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طر</w:t>
      </w:r>
      <w:r w:rsidRPr="006571AC">
        <w:rPr>
          <w:rFonts w:cs="AL-Mohanad" w:hint="cs"/>
          <w:sz w:val="27"/>
          <w:szCs w:val="27"/>
          <w:rtl/>
        </w:rPr>
        <w:t>ي</w:t>
      </w:r>
      <w:r w:rsidRPr="006571AC">
        <w:rPr>
          <w:rFonts w:ascii="Sakkal Majalla" w:hAnsi="Sakkal Majalla" w:cs="AL-Mohanad" w:hint="cs"/>
          <w:sz w:val="27"/>
          <w:szCs w:val="27"/>
          <w:rtl/>
        </w:rPr>
        <w:t>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للهروب</w:t>
      </w:r>
      <w:r w:rsidRPr="006571AC">
        <w:rPr>
          <w:rFonts w:ascii="Sakkal Majalla" w:hAnsi="Sakkal Majalla" w:cs="AL-Mohanad"/>
          <w:sz w:val="27"/>
          <w:szCs w:val="27"/>
          <w:rtl/>
        </w:rPr>
        <w:t xml:space="preserve"> </w:t>
      </w:r>
      <w:r w:rsidR="00DA0C21" w:rsidRPr="006571AC">
        <w:rPr>
          <w:rFonts w:ascii="Sakkal Majalla" w:hAnsi="Sakkal Majalla" w:cs="AL-Mohanad" w:hint="cs"/>
          <w:sz w:val="27"/>
          <w:szCs w:val="27"/>
          <w:rtl/>
        </w:rPr>
        <w:t>م</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الحكم ال</w:t>
      </w:r>
      <w:r w:rsidR="003240E0" w:rsidRPr="006571AC">
        <w:rPr>
          <w:rFonts w:ascii="Sakkal Majalla" w:hAnsi="Sakkal Majalla" w:cs="AL-Mohanad" w:hint="cs"/>
          <w:sz w:val="27"/>
          <w:szCs w:val="27"/>
          <w:rtl/>
        </w:rPr>
        <w:t>إ</w:t>
      </w:r>
      <w:r w:rsidRPr="006571AC">
        <w:rPr>
          <w:rFonts w:ascii="Sakkal Majalla" w:hAnsi="Sakkal Majalla" w:cs="AL-Mohanad" w:hint="cs"/>
          <w:sz w:val="27"/>
          <w:szCs w:val="27"/>
          <w:rtl/>
        </w:rPr>
        <w:t xml:space="preserve">لهي، </w:t>
      </w:r>
      <w:r w:rsidRPr="006571AC">
        <w:rPr>
          <w:rFonts w:ascii="Sakkal Majalla" w:hAnsi="Sakkal Majalla" w:cs="AL-Mohanad"/>
          <w:sz w:val="27"/>
          <w:szCs w:val="27"/>
          <w:rtl/>
        </w:rPr>
        <w:t>فلمّا سألوا النب</w:t>
      </w:r>
      <w:r w:rsidRPr="006571AC">
        <w:rPr>
          <w:rFonts w:ascii="Sakkal Majalla" w:hAnsi="Sakkal Majalla" w:cs="AL-Mohanad" w:hint="cs"/>
          <w:sz w:val="27"/>
          <w:szCs w:val="27"/>
          <w:rtl/>
        </w:rPr>
        <w:t>ي</w:t>
      </w:r>
      <w:r w:rsidR="00DA0C21"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عن ذل</w:t>
      </w:r>
      <w:r w:rsidRPr="006571AC">
        <w:rPr>
          <w:rFonts w:ascii="Sakkal Majalla" w:hAnsi="Sakkal Majalla" w:cs="AL-Mohanad" w:hint="cs"/>
          <w:sz w:val="27"/>
          <w:szCs w:val="27"/>
          <w:rtl/>
        </w:rPr>
        <w:t>ك</w:t>
      </w:r>
      <w:r w:rsidR="00A46B51" w:rsidRPr="006571AC">
        <w:rPr>
          <w:rFonts w:ascii="Sakkal Majalla" w:hAnsi="Sakkal Majalla" w:cs="AL-Mohanad"/>
          <w:sz w:val="27"/>
          <w:szCs w:val="27"/>
          <w:rtl/>
        </w:rPr>
        <w:t xml:space="preserve"> حكم لهم بالرجم. </w:t>
      </w:r>
      <w:r w:rsidRPr="006571AC">
        <w:rPr>
          <w:rFonts w:ascii="Sakkal Majalla" w:hAnsi="Sakkal Majalla" w:cs="AL-Mohanad"/>
          <w:sz w:val="27"/>
          <w:szCs w:val="27"/>
          <w:rtl/>
        </w:rPr>
        <w:t>فقد أخرج ابن مردويه</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w:t>
      </w:r>
      <w:r w:rsidRPr="006571AC">
        <w:rPr>
          <w:rFonts w:ascii="Sakkal Majalla" w:hAnsi="Sakkal Majalla" w:cs="AL-Mohanad"/>
          <w:sz w:val="27"/>
          <w:szCs w:val="27"/>
          <w:rtl/>
        </w:rPr>
        <w:t>هذا ال</w:t>
      </w:r>
      <w:r w:rsidRPr="006571AC">
        <w:rPr>
          <w:rFonts w:ascii="Sakkal Majalla" w:hAnsi="Sakkal Majalla" w:cs="AL-Mohanad" w:hint="cs"/>
          <w:sz w:val="27"/>
          <w:szCs w:val="27"/>
          <w:rtl/>
        </w:rPr>
        <w:t>صدد</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عن البراء بن عازب 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مر</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على رسول الله</w:t>
      </w:r>
      <w:r w:rsidR="004459D6" w:rsidRPr="006571AC">
        <w:rPr>
          <w:rFonts w:ascii="Mosawi" w:hAnsi="Mosawi" w:cs="Mosawi"/>
          <w:sz w:val="22"/>
          <w:szCs w:val="22"/>
          <w:rtl/>
        </w:rPr>
        <w:t>ﷺ</w:t>
      </w:r>
      <w:r w:rsidRPr="006571AC">
        <w:rPr>
          <w:rFonts w:ascii="Sakkal Majalla" w:hAnsi="Sakkal Majalla" w:cs="AL-Mohanad"/>
          <w:sz w:val="27"/>
          <w:szCs w:val="27"/>
          <w:rtl/>
        </w:rPr>
        <w:t xml:space="preserve"> يهودي</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محم</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م قد جلد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فسألهم</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شأن هذا</w:t>
      </w:r>
      <w:r w:rsidR="00DA0C2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قالوا</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زنى</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فس</w:t>
      </w:r>
      <w:r w:rsidRPr="006571AC">
        <w:rPr>
          <w:rFonts w:ascii="Sakkal Majalla" w:hAnsi="Sakkal Majalla" w:cs="AL-Mohanad" w:hint="cs"/>
          <w:sz w:val="27"/>
          <w:szCs w:val="27"/>
          <w:rtl/>
        </w:rPr>
        <w:t>أ</w:t>
      </w:r>
      <w:r w:rsidRPr="006571AC">
        <w:rPr>
          <w:rFonts w:ascii="Sakkal Majalla" w:hAnsi="Sakkal Majalla" w:cs="AL-Mohanad"/>
          <w:sz w:val="27"/>
          <w:szCs w:val="27"/>
          <w:rtl/>
        </w:rPr>
        <w:t>ل رسول الله</w:t>
      </w:r>
      <w:r w:rsidR="004459D6" w:rsidRPr="006571AC">
        <w:rPr>
          <w:rFonts w:ascii="Mosawi" w:hAnsi="Mosawi" w:cs="Mosawi"/>
          <w:sz w:val="22"/>
          <w:szCs w:val="22"/>
          <w:rtl/>
        </w:rPr>
        <w:t>ﷺ</w:t>
      </w:r>
      <w:r w:rsidRPr="006571AC">
        <w:rPr>
          <w:rFonts w:ascii="Sakkal Majalla" w:hAnsi="Sakkal Majalla" w:cs="AL-Mohanad"/>
          <w:sz w:val="27"/>
          <w:szCs w:val="27"/>
          <w:rtl/>
        </w:rPr>
        <w:t xml:space="preserve"> اليهود</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تجدون حد</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الزاني في كتابكم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قالوا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نجد حد</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ه التحميم والجلد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فسألهم</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أي</w:t>
      </w:r>
      <w:r w:rsidRPr="006571AC">
        <w:rPr>
          <w:rFonts w:ascii="Sakkal Majalla" w:hAnsi="Sakkal Majalla" w:cs="AL-Mohanad" w:hint="cs"/>
          <w:sz w:val="27"/>
          <w:szCs w:val="27"/>
          <w:rtl/>
        </w:rPr>
        <w:t>ّ</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كم أعلم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فوركوا ذلك إلى رجل</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منهم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قالوا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فلان</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فأرسل </w:t>
      </w:r>
      <w:r w:rsidR="00DA0C21" w:rsidRPr="006571AC">
        <w:rPr>
          <w:rFonts w:ascii="Sakkal Majalla" w:hAnsi="Sakkal Majalla" w:cs="AL-Mohanad" w:hint="cs"/>
          <w:sz w:val="27"/>
          <w:szCs w:val="27"/>
          <w:rtl/>
        </w:rPr>
        <w:t>إ</w:t>
      </w:r>
      <w:r w:rsidRPr="006571AC">
        <w:rPr>
          <w:rFonts w:ascii="Sakkal Majalla" w:hAnsi="Sakkal Majalla" w:cs="AL-Mohanad"/>
          <w:sz w:val="27"/>
          <w:szCs w:val="27"/>
          <w:rtl/>
        </w:rPr>
        <w:t>ليه فسأله</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نجد التحميم والجلد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فناشده رسول الله</w:t>
      </w:r>
      <w:r w:rsidR="004459D6" w:rsidRPr="006571AC">
        <w:rPr>
          <w:rFonts w:ascii="Mosawi" w:hAnsi="Mosawi" w:cs="Mosawi"/>
          <w:sz w:val="22"/>
          <w:szCs w:val="22"/>
          <w:rtl/>
        </w:rPr>
        <w:t>ﷺ</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تجدون حد</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الزاني في كتابكم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نجد الرجم</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ولكن</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ه كثر في عظمائنا فامتنعوا منهم بقومهم</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ووقع الرجم على ضعفائنا</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فقلنا نضع ش</w:t>
      </w:r>
      <w:r w:rsidRPr="006571AC">
        <w:rPr>
          <w:rFonts w:ascii="Sakkal Majalla" w:hAnsi="Sakkal Majalla" w:cs="AL-Mohanad" w:hint="cs"/>
          <w:sz w:val="27"/>
          <w:szCs w:val="27"/>
          <w:rtl/>
        </w:rPr>
        <w:t>يئ</w:t>
      </w:r>
      <w:r w:rsidRPr="006571AC">
        <w:rPr>
          <w:rFonts w:ascii="Sakkal Majalla" w:hAnsi="Sakkal Majalla" w:cs="AL-Mohanad"/>
          <w:sz w:val="27"/>
          <w:szCs w:val="27"/>
          <w:rtl/>
        </w:rPr>
        <w:t>ا</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يصلح بينهم</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ى يستووا فيه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فجعلنا التحميم والجلد</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 النبي</w:t>
      </w:r>
      <w:r w:rsidR="00E96AD1" w:rsidRPr="006571AC">
        <w:rPr>
          <w:rFonts w:ascii="Sakkal Majalla" w:hAnsi="Sakkal Majalla" w:cs="AL-Mohanad" w:hint="cs"/>
          <w:sz w:val="27"/>
          <w:szCs w:val="27"/>
          <w:rtl/>
        </w:rPr>
        <w:t>ّ</w:t>
      </w:r>
      <w:r w:rsidR="004459D6" w:rsidRPr="006571AC">
        <w:rPr>
          <w:rFonts w:ascii="Mosawi" w:hAnsi="Mosawi" w:cs="Mosawi"/>
          <w:sz w:val="22"/>
          <w:szCs w:val="22"/>
          <w:rtl/>
        </w:rPr>
        <w:t>ﷺ</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اللهم</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w:t>
      </w:r>
      <w:r w:rsidR="00E96AD1"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أو</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ل م</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ن</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حيا أمرك إذ أماتوه</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فأمر به فر</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ج</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ووقع اليهود بذلك الرجل الذي أخبر النبي</w:t>
      </w:r>
      <w:r w:rsidR="00E96AD1" w:rsidRPr="006571AC">
        <w:rPr>
          <w:rFonts w:ascii="Sakkal Majalla" w:hAnsi="Sakkal Majalla" w:cs="AL-Mohanad" w:hint="cs"/>
          <w:sz w:val="27"/>
          <w:szCs w:val="27"/>
          <w:rtl/>
        </w:rPr>
        <w:t>ّ</w:t>
      </w:r>
      <w:r w:rsidR="004459D6" w:rsidRPr="006571AC">
        <w:rPr>
          <w:rFonts w:ascii="Mosawi" w:hAnsi="Mosawi" w:cs="Mosawi"/>
          <w:sz w:val="22"/>
          <w:szCs w:val="22"/>
          <w:rtl/>
        </w:rPr>
        <w:t>ﷺ</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وشتموه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وقالوا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لو كن</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ا نعلم </w:t>
      </w:r>
      <w:r w:rsidRPr="006571AC">
        <w:rPr>
          <w:rFonts w:ascii="Sakkal Majalla" w:hAnsi="Sakkal Majalla" w:cs="AL-Mohanad" w:hint="cs"/>
          <w:sz w:val="27"/>
          <w:szCs w:val="27"/>
          <w:rtl/>
        </w:rPr>
        <w:t>أ</w:t>
      </w:r>
      <w:r w:rsidRPr="006571AC">
        <w:rPr>
          <w:rFonts w:ascii="Sakkal Majalla" w:hAnsi="Sakkal Majalla" w:cs="AL-Mohanad"/>
          <w:sz w:val="27"/>
          <w:szCs w:val="27"/>
          <w:rtl/>
        </w:rPr>
        <w:t>نك تقول هذا ما قلنا</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513A82" w:rsidRPr="006571AC">
        <w:rPr>
          <w:rFonts w:ascii="Sakkal Majalla" w:hAnsi="Sakkal Majalla" w:cs="AL-Mohanad" w:hint="cs"/>
          <w:sz w:val="27"/>
          <w:szCs w:val="27"/>
          <w:rtl/>
        </w:rPr>
        <w:t>إ</w:t>
      </w:r>
      <w:r w:rsidRPr="006571AC">
        <w:rPr>
          <w:rFonts w:ascii="Sakkal Majalla" w:hAnsi="Sakkal Majalla" w:cs="AL-Mohanad"/>
          <w:sz w:val="27"/>
          <w:szCs w:val="27"/>
          <w:rtl/>
        </w:rPr>
        <w:t>نك أعلمنا</w:t>
      </w:r>
      <w:r w:rsidR="00E96AD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ثم جعلوا بعد ذلك يسألون النبي</w:t>
      </w:r>
      <w:r w:rsidR="00E96AD1" w:rsidRPr="006571AC">
        <w:rPr>
          <w:rFonts w:ascii="Sakkal Majalla" w:hAnsi="Sakkal Majalla" w:cs="AL-Mohanad" w:hint="cs"/>
          <w:sz w:val="27"/>
          <w:szCs w:val="27"/>
          <w:rtl/>
        </w:rPr>
        <w:t>ّ</w:t>
      </w:r>
      <w:r w:rsidR="004459D6" w:rsidRPr="006571AC">
        <w:rPr>
          <w:rFonts w:ascii="Mosawi" w:hAnsi="Mosawi" w:cs="Mosawi"/>
          <w:sz w:val="22"/>
          <w:szCs w:val="22"/>
          <w:rtl/>
        </w:rPr>
        <w:t>ﷺ</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تجد في</w:t>
      </w:r>
      <w:r w:rsidR="00E96AD1"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ما أنزل إليك حد</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الزاني</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00E96AD1"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نزل الله </w:t>
      </w:r>
      <w:r w:rsidRPr="006571AC">
        <w:rPr>
          <w:rFonts w:ascii="Mosawi" w:hAnsi="Mosawi" w:cs="Mosawi"/>
          <w:rtl/>
        </w:rPr>
        <w:t>﴿</w:t>
      </w:r>
      <w:r w:rsidRPr="006571AC">
        <w:rPr>
          <w:rFonts w:ascii="Sakkal Majalla" w:hAnsi="Sakkal Majalla" w:cs="AL-Mohanad"/>
          <w:b/>
          <w:bCs/>
          <w:sz w:val="27"/>
          <w:szCs w:val="27"/>
          <w:rtl/>
        </w:rPr>
        <w:t>و</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كَيْفَ يُحَكِّمُونَكَ و</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عِنْدَهُمُ التَّوْر</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اةُ فِيه</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ا حُكْمُ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w:t>
      </w:r>
      <w:r w:rsidR="00E96AD1"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77"/>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p>
    <w:p w:rsidR="00A46B51"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كما تأمره</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القصاص</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الذي</w:t>
      </w:r>
      <w:r w:rsidRPr="006571AC">
        <w:rPr>
          <w:rFonts w:ascii="Sakkal Majalla" w:hAnsi="Sakkal Majalla" w:cs="AL-Mohanad"/>
          <w:sz w:val="27"/>
          <w:szCs w:val="27"/>
          <w:rtl/>
        </w:rPr>
        <w:t xml:space="preserve"> حاول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الهروب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w:t>
      </w:r>
      <w:r w:rsidR="00E96AD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فقد جاء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تفس</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الطبري</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تفس</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قوله</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لا</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يَحْزُنْكَ الَّذِينَ يُس</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ارِعُونَ فِي الْكُفْر</w:t>
      </w:r>
      <w:r w:rsidR="00E96AD1" w:rsidRPr="006571AC">
        <w:rPr>
          <w:rFonts w:ascii="Sakkal Majalla" w:hAnsi="Sakkal Majalla" w:cs="AL-Mohanad" w:hint="cs"/>
          <w:b/>
          <w:bCs/>
          <w:sz w:val="27"/>
          <w:szCs w:val="27"/>
          <w:rtl/>
        </w:rPr>
        <w:t>ِ</w:t>
      </w:r>
      <w:r w:rsidRPr="006571AC">
        <w:rPr>
          <w:rFonts w:ascii="Mosawi" w:hAnsi="Mosawi" w:cs="Mosawi"/>
          <w:rtl/>
        </w:rPr>
        <w:t>﴾</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رجل</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اليهود قتل رجلا</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أهل دينه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فقالوا لحلفائهم من المسلمين</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س</w:t>
      </w:r>
      <w:r w:rsidRPr="006571AC">
        <w:rPr>
          <w:rFonts w:ascii="Sakkal Majalla" w:hAnsi="Sakkal Majalla" w:cs="AL-Mohanad" w:hint="cs"/>
          <w:sz w:val="27"/>
          <w:szCs w:val="27"/>
          <w:rtl/>
        </w:rPr>
        <w:t>َ</w:t>
      </w:r>
      <w:r w:rsidRPr="006571AC">
        <w:rPr>
          <w:rFonts w:ascii="Sakkal Majalla" w:hAnsi="Sakkal Majalla" w:cs="AL-Mohanad"/>
          <w:sz w:val="27"/>
          <w:szCs w:val="27"/>
          <w:rtl/>
        </w:rPr>
        <w:t>ل</w:t>
      </w:r>
      <w:r w:rsidRPr="006571AC">
        <w:rPr>
          <w:rFonts w:ascii="Sakkal Majalla" w:hAnsi="Sakkal Majalla" w:cs="AL-Mohanad" w:hint="cs"/>
          <w:sz w:val="27"/>
          <w:szCs w:val="27"/>
          <w:rtl/>
        </w:rPr>
        <w:t>ُ</w:t>
      </w:r>
      <w:r w:rsidRPr="006571AC">
        <w:rPr>
          <w:rFonts w:ascii="Sakkal Majalla" w:hAnsi="Sakkal Majalla" w:cs="AL-Mohanad"/>
          <w:sz w:val="27"/>
          <w:szCs w:val="27"/>
          <w:rtl/>
        </w:rPr>
        <w:t>وا محمدا</w:t>
      </w:r>
      <w:r w:rsidRPr="006571AC">
        <w:rPr>
          <w:rFonts w:ascii="Sakkal Majalla" w:hAnsi="Sakkal Majalla" w:cs="AL-Mohanad" w:hint="cs"/>
          <w:sz w:val="27"/>
          <w:szCs w:val="27"/>
          <w:rtl/>
        </w:rPr>
        <w:t>ً</w:t>
      </w:r>
      <w:r w:rsidR="004459D6" w:rsidRPr="006571AC">
        <w:rPr>
          <w:rFonts w:ascii="Mosawi" w:hAnsi="Mosawi" w:cs="Mosawi"/>
          <w:sz w:val="22"/>
          <w:szCs w:val="22"/>
          <w:rtl/>
        </w:rPr>
        <w:t>ﷺ</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إ</w:t>
      </w:r>
      <w:r w:rsidRPr="006571AC">
        <w:rPr>
          <w:rFonts w:ascii="Sakkal Majalla" w:hAnsi="Sakkal Majalla" w:cs="AL-Mohanad"/>
          <w:sz w:val="27"/>
          <w:szCs w:val="27"/>
          <w:rtl/>
        </w:rPr>
        <w:t>ن</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كان يقض</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بالدية </w:t>
      </w:r>
      <w:r w:rsidR="00A46B51" w:rsidRPr="006571AC">
        <w:rPr>
          <w:rFonts w:ascii="Sakkal Majalla" w:hAnsi="Sakkal Majalla" w:cs="AL-Mohanad" w:hint="cs"/>
          <w:sz w:val="27"/>
          <w:szCs w:val="27"/>
          <w:rtl/>
        </w:rPr>
        <w:t>ا</w:t>
      </w:r>
      <w:r w:rsidRPr="006571AC">
        <w:rPr>
          <w:rFonts w:ascii="Sakkal Majalla" w:hAnsi="Sakkal Majalla" w:cs="AL-Mohanad"/>
          <w:sz w:val="27"/>
          <w:szCs w:val="27"/>
          <w:rtl/>
        </w:rPr>
        <w:t>ختص</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م</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نا </w:t>
      </w:r>
      <w:r w:rsidRPr="006571AC">
        <w:rPr>
          <w:rFonts w:ascii="Sakkal Majalla" w:hAnsi="Sakkal Majalla" w:cs="AL-Mohanad" w:hint="cs"/>
          <w:sz w:val="27"/>
          <w:szCs w:val="27"/>
          <w:rtl/>
        </w:rPr>
        <w:t>إ</w:t>
      </w:r>
      <w:r w:rsidRPr="006571AC">
        <w:rPr>
          <w:rFonts w:ascii="Sakkal Majalla" w:hAnsi="Sakkal Majalla" w:cs="AL-Mohanad"/>
          <w:sz w:val="27"/>
          <w:szCs w:val="27"/>
          <w:rtl/>
        </w:rPr>
        <w:t>ليه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إ</w:t>
      </w:r>
      <w:r w:rsidRPr="006571AC">
        <w:rPr>
          <w:rFonts w:ascii="Sakkal Majalla" w:hAnsi="Sakkal Majalla" w:cs="AL-Mohanad"/>
          <w:sz w:val="27"/>
          <w:szCs w:val="27"/>
          <w:rtl/>
        </w:rPr>
        <w:t>ن</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كان يقض</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بالقتل لم نأت</w:t>
      </w:r>
      <w:r w:rsidR="00A46B51" w:rsidRPr="006571AC">
        <w:rPr>
          <w:rFonts w:ascii="Sakkal Majalla" w:hAnsi="Sakkal Majalla" w:cs="AL-Mohanad" w:hint="cs"/>
          <w:sz w:val="27"/>
          <w:szCs w:val="27"/>
          <w:rtl/>
        </w:rPr>
        <w:t>ِه.</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فقالوا</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A46B51"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w:t>
      </w:r>
      <w:r w:rsidR="00A46B51"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A46B51"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w:t>
      </w:r>
      <w:r w:rsidRPr="006571AC">
        <w:rPr>
          <w:rFonts w:ascii="Mosawi" w:hAnsi="Mosawi" w:cs="Mosawi"/>
          <w:rtl/>
        </w:rPr>
        <w:t>﴾</w:t>
      </w:r>
      <w:r w:rsidRPr="006571AC">
        <w:rPr>
          <w:rFonts w:ascii="Sakkal Majalla" w:hAnsi="Sakkal Majalla" w:cs="AL-Mohanad"/>
          <w:sz w:val="27"/>
          <w:szCs w:val="27"/>
          <w:rtl/>
        </w:rPr>
        <w:t xml:space="preserve"> نزل</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لتأمر النب</w:t>
      </w:r>
      <w:r w:rsidRPr="006571AC">
        <w:rPr>
          <w:rFonts w:ascii="Sakkal Majalla" w:hAnsi="Sakkal Majalla" w:cs="AL-Mohanad" w:hint="cs"/>
          <w:sz w:val="27"/>
          <w:szCs w:val="27"/>
          <w:rtl/>
        </w:rPr>
        <w:t>ي</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الحكمين،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لا </w:t>
      </w:r>
      <w:r w:rsidRPr="006571AC">
        <w:rPr>
          <w:rFonts w:cs="AL-Mohanad" w:hint="cs"/>
          <w:sz w:val="27"/>
          <w:szCs w:val="27"/>
          <w:rtl/>
        </w:rPr>
        <w:t>ي</w:t>
      </w:r>
      <w:r w:rsidRPr="006571AC">
        <w:rPr>
          <w:rFonts w:ascii="Sakkal Majalla" w:hAnsi="Sakkal Majalla" w:cs="AL-Mohanad" w:hint="cs"/>
          <w:sz w:val="27"/>
          <w:szCs w:val="27"/>
          <w:rtl/>
        </w:rPr>
        <w:t>خش</w:t>
      </w:r>
      <w:r w:rsidR="00A46B51"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ذل</w:t>
      </w:r>
      <w:r w:rsidRPr="006571AC">
        <w:rPr>
          <w:rFonts w:ascii="Sakkal Majalla" w:hAnsi="Sakkal Majalla" w:cs="AL-Mohanad" w:hint="cs"/>
          <w:sz w:val="27"/>
          <w:szCs w:val="27"/>
          <w:rtl/>
        </w:rPr>
        <w:t xml:space="preserve">ك، </w:t>
      </w:r>
      <w:r w:rsidRPr="006571AC">
        <w:rPr>
          <w:rFonts w:ascii="Sakkal Majalla" w:hAnsi="Sakkal Majalla" w:cs="AL-Mohanad"/>
          <w:sz w:val="27"/>
          <w:szCs w:val="27"/>
          <w:rtl/>
        </w:rPr>
        <w:t>ف</w:t>
      </w:r>
      <w:r w:rsidRPr="006571AC">
        <w:rPr>
          <w:rFonts w:ascii="Sakkal Majalla" w:hAnsi="Sakkal Majalla" w:cs="AL-Mohanad" w:hint="cs"/>
          <w:sz w:val="27"/>
          <w:szCs w:val="27"/>
          <w:rtl/>
        </w:rPr>
        <w:t>إ</w:t>
      </w:r>
      <w:r w:rsidRPr="006571AC">
        <w:rPr>
          <w:rFonts w:ascii="Sakkal Majalla" w:hAnsi="Sakkal Majalla" w:cs="AL-Mohanad"/>
          <w:sz w:val="27"/>
          <w:szCs w:val="27"/>
          <w:rtl/>
        </w:rPr>
        <w:t>نّ الله قد عصمه من</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ك</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رهم </w:t>
      </w:r>
      <w:r w:rsidRPr="006571AC">
        <w:rPr>
          <w:rFonts w:ascii="Sakkal Majalla" w:hAnsi="Sakkal Majalla" w:cs="AL-Mohanad" w:hint="cs"/>
          <w:sz w:val="27"/>
          <w:szCs w:val="27"/>
          <w:rtl/>
        </w:rPr>
        <w:t>و</w:t>
      </w:r>
      <w:r w:rsidRPr="006571AC">
        <w:rPr>
          <w:rFonts w:ascii="Sakkal Majalla" w:hAnsi="Sakkal Majalla" w:cs="AL-Mohanad"/>
          <w:sz w:val="27"/>
          <w:szCs w:val="27"/>
          <w:rtl/>
        </w:rPr>
        <w:t>ك</w:t>
      </w:r>
      <w:r w:rsidR="00513A82" w:rsidRPr="006571AC">
        <w:rPr>
          <w:rFonts w:ascii="Sakkal Majalla" w:hAnsi="Sakkal Majalla" w:cs="AL-Mohanad" w:hint="cs"/>
          <w:sz w:val="27"/>
          <w:szCs w:val="27"/>
          <w:rtl/>
        </w:rPr>
        <w:t>َ</w:t>
      </w:r>
      <w:r w:rsidRPr="006571AC">
        <w:rPr>
          <w:rFonts w:cs="AL-Mohanad" w:hint="cs"/>
          <w:sz w:val="27"/>
          <w:szCs w:val="27"/>
          <w:rtl/>
        </w:rPr>
        <w:t>ي</w:t>
      </w:r>
      <w:r w:rsidR="00513A82" w:rsidRPr="006571AC">
        <w:rPr>
          <w:rFonts w:ascii="Sakkal Majalla" w:hAnsi="Sakkal Majalla" w:cs="AL-Mohanad" w:hint="cs"/>
          <w:sz w:val="27"/>
          <w:szCs w:val="27"/>
          <w:rtl/>
        </w:rPr>
        <w:t>ْ</w:t>
      </w:r>
      <w:r w:rsidRPr="006571AC">
        <w:rPr>
          <w:rFonts w:ascii="Sakkal Majalla" w:hAnsi="Sakkal Majalla" w:cs="AL-Mohanad" w:hint="cs"/>
          <w:sz w:val="27"/>
          <w:szCs w:val="27"/>
          <w:rtl/>
        </w:rPr>
        <w:t>دهم</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78"/>
      </w:r>
      <w:r w:rsidRPr="006571AC">
        <w:rPr>
          <w:rFonts w:ascii="Sakkal Majalla" w:hAnsi="Sakkal Majalla" w:cs="AL-Mohanad" w:hint="cs"/>
          <w:sz w:val="27"/>
          <w:szCs w:val="27"/>
          <w:vertAlign w:val="superscript"/>
          <w:rtl/>
        </w:rPr>
        <w:t>)</w:t>
      </w:r>
      <w:r w:rsidRPr="006571AC">
        <w:rPr>
          <w:rFonts w:ascii="Sakkal Majalla" w:hAnsi="Sakkal Majalla" w:cs="AL-Mohanad" w:hint="cs"/>
          <w:sz w:val="27"/>
          <w:szCs w:val="27"/>
          <w:rtl/>
        </w:rPr>
        <w:t>.</w:t>
      </w:r>
    </w:p>
    <w:p w:rsidR="00FB4949" w:rsidRPr="006571AC" w:rsidRDefault="00FB4949" w:rsidP="00FB4949">
      <w:pPr>
        <w:spacing w:line="420" w:lineRule="exact"/>
        <w:rPr>
          <w:sz w:val="27"/>
          <w:rtl/>
        </w:rPr>
      </w:pPr>
    </w:p>
    <w:p w:rsidR="005D05A4" w:rsidRPr="006571AC" w:rsidRDefault="0074181B" w:rsidP="002B3461">
      <w:pPr>
        <w:pStyle w:val="31"/>
        <w:rPr>
          <w:color w:val="auto"/>
          <w:rtl/>
        </w:rPr>
      </w:pPr>
      <w:bookmarkStart w:id="163" w:name="_Toc114164651"/>
      <w:r w:rsidRPr="006571AC">
        <w:rPr>
          <w:rFonts w:hint="cs"/>
          <w:color w:val="auto"/>
          <w:rtl/>
        </w:rPr>
        <w:t>تساؤلٌ وتعليق</w:t>
      </w:r>
      <w:bookmarkEnd w:id="163"/>
    </w:p>
    <w:p w:rsidR="005D05A4" w:rsidRPr="006571AC" w:rsidRDefault="005D05A4" w:rsidP="002B1DBD">
      <w:pPr>
        <w:pStyle w:val="af"/>
        <w:rPr>
          <w:rFonts w:ascii="Sakkal Majalla" w:hAnsi="Sakkal Majalla" w:cs="AL-Mohanad"/>
          <w:sz w:val="27"/>
          <w:szCs w:val="27"/>
          <w:rtl/>
        </w:rPr>
      </w:pPr>
      <w:r w:rsidRPr="006571AC">
        <w:rPr>
          <w:rFonts w:ascii="Sakkal Majalla" w:hAnsi="Sakkal Majalla" w:cs="AL-Mohanad" w:hint="cs"/>
          <w:b/>
          <w:bCs/>
          <w:sz w:val="27"/>
          <w:szCs w:val="27"/>
          <w:rtl/>
        </w:rPr>
        <w:t>الأو</w:t>
      </w:r>
      <w:r w:rsidR="00A46B5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ل</w:t>
      </w:r>
      <w:r w:rsidRPr="006571AC">
        <w:rPr>
          <w:rFonts w:ascii="Sakkal Majalla" w:hAnsi="Sakkal Majalla" w:cs="AL-Mohanad" w:hint="cs"/>
          <w:sz w:val="27"/>
          <w:szCs w:val="27"/>
          <w:rtl/>
        </w:rPr>
        <w:t xml:space="preserve">: </w:t>
      </w:r>
      <w:r w:rsidR="00A46B51"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المتقدّ</w:t>
      </w:r>
      <w:r w:rsidR="00A46B51" w:rsidRPr="006571AC">
        <w:rPr>
          <w:rFonts w:ascii="Sakkal Majalla" w:hAnsi="Sakkal Majalla" w:cs="AL-Mohanad" w:hint="cs"/>
          <w:sz w:val="27"/>
          <w:szCs w:val="27"/>
          <w:rtl/>
        </w:rPr>
        <w:t>ِ</w:t>
      </w:r>
      <w:r w:rsidRPr="006571AC">
        <w:rPr>
          <w:rFonts w:ascii="Sakkal Majalla" w:hAnsi="Sakkal Majalla" w:cs="AL-Mohanad" w:hint="cs"/>
          <w:sz w:val="27"/>
          <w:szCs w:val="27"/>
          <w:rtl/>
        </w:rPr>
        <w:t>مة</w:t>
      </w:r>
      <w:r w:rsidRPr="006571AC">
        <w:rPr>
          <w:rFonts w:ascii="Sakkal Majalla" w:hAnsi="Sakkal Majalla" w:cs="AL-Mohanad"/>
          <w:sz w:val="27"/>
          <w:szCs w:val="27"/>
          <w:rtl/>
        </w:rPr>
        <w:t xml:space="preserve"> (</w:t>
      </w:r>
      <w:r w:rsidR="002B1DBD" w:rsidRPr="006571AC">
        <w:rPr>
          <w:rFonts w:ascii="Sakkal Majalla" w:hAnsi="Sakkal Majalla" w:cs="AL-Mohanad" w:hint="cs"/>
          <w:sz w:val="27"/>
          <w:szCs w:val="27"/>
          <w:rtl/>
        </w:rPr>
        <w:t>المائدة: 41 فما بعدها</w:t>
      </w:r>
      <w:r w:rsidRPr="006571AC">
        <w:rPr>
          <w:rFonts w:ascii="Sakkal Majalla" w:hAnsi="Sakkal Majalla" w:cs="AL-Mohanad"/>
          <w:sz w:val="27"/>
          <w:szCs w:val="27"/>
          <w:rtl/>
        </w:rPr>
        <w:t>) قد تطرّق</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موضوع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الرجم، </w:t>
      </w:r>
      <w:r w:rsidRPr="006571AC">
        <w:rPr>
          <w:rFonts w:ascii="Sakkal Majalla" w:hAnsi="Sakkal Majalla" w:cs="AL-Mohanad"/>
          <w:sz w:val="27"/>
          <w:szCs w:val="27"/>
          <w:rtl/>
        </w:rPr>
        <w:t>وقد ب</w:t>
      </w:r>
      <w:r w:rsidRPr="006571AC">
        <w:rPr>
          <w:rFonts w:cs="AL-Mohanad" w:hint="cs"/>
          <w:sz w:val="27"/>
          <w:szCs w:val="27"/>
          <w:rtl/>
        </w:rPr>
        <w:t>ي</w:t>
      </w:r>
      <w:r w:rsidR="005C04DD" w:rsidRPr="006571AC">
        <w:rPr>
          <w:rFonts w:cs="AL-Mohanad" w:hint="cs"/>
          <w:sz w:val="27"/>
          <w:szCs w:val="27"/>
          <w:rtl/>
        </w:rPr>
        <w:t>َّ</w:t>
      </w:r>
      <w:r w:rsidRPr="006571AC">
        <w:rPr>
          <w:rFonts w:ascii="Sakkal Majalla" w:hAnsi="Sakkal Majalla" w:cs="AL-Mohanad" w:hint="cs"/>
          <w:sz w:val="27"/>
          <w:szCs w:val="27"/>
          <w:rtl/>
        </w:rPr>
        <w:t>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ـ كما جاء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الروا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المتقدّمة</w:t>
      </w:r>
      <w:r w:rsidRPr="006571AC">
        <w:rPr>
          <w:rFonts w:ascii="Sakkal Majalla" w:hAnsi="Sakkal Majalla" w:cs="AL-Mohanad"/>
          <w:sz w:val="27"/>
          <w:szCs w:val="27"/>
          <w:rtl/>
        </w:rPr>
        <w:t xml:space="preserve"> ـ بشكل</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مفص</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ل</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دون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طرأ عل</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خوف</w:t>
      </w:r>
      <w:r w:rsidR="005C04DD" w:rsidRPr="006571AC">
        <w:rPr>
          <w:rFonts w:ascii="Sakkal Majalla" w:hAnsi="Sakkal Majalla" w:cs="AL-Mohanad" w:hint="cs"/>
          <w:sz w:val="27"/>
          <w:szCs w:val="27"/>
          <w:rtl/>
        </w:rPr>
        <w:t>ٌ</w:t>
      </w:r>
      <w:r w:rsidRPr="006571AC">
        <w:rPr>
          <w:rFonts w:ascii="Sakkal Majalla" w:hAnsi="Sakkal Majalla" w:cs="AL-Mohanad" w:hint="cs"/>
          <w:sz w:val="27"/>
          <w:szCs w:val="27"/>
          <w:rtl/>
        </w:rPr>
        <w:t>، أ</w:t>
      </w:r>
      <w:r w:rsidRPr="006571AC">
        <w:rPr>
          <w:rFonts w:ascii="Sakkal Majalla" w:hAnsi="Sakkal Majalla" w:cs="AL-Mohanad"/>
          <w:sz w:val="27"/>
          <w:szCs w:val="27"/>
          <w:rtl/>
        </w:rPr>
        <w:t xml:space="preserve">و </w:t>
      </w:r>
      <w:r w:rsidRPr="006571AC">
        <w:rPr>
          <w:rFonts w:cs="AL-Mohanad" w:hint="cs"/>
          <w:sz w:val="27"/>
          <w:szCs w:val="27"/>
          <w:rtl/>
        </w:rPr>
        <w:t>ي</w:t>
      </w:r>
      <w:r w:rsidRPr="006571AC">
        <w:rPr>
          <w:rFonts w:ascii="Sakkal Majalla" w:hAnsi="Sakkal Majalla" w:cs="AL-Mohanad" w:hint="cs"/>
          <w:sz w:val="27"/>
          <w:szCs w:val="27"/>
          <w:rtl/>
        </w:rPr>
        <w:t>خش</w:t>
      </w:r>
      <w:r w:rsidR="005C04DD"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حداً من ال</w:t>
      </w:r>
      <w:r w:rsidRPr="006571AC">
        <w:rPr>
          <w:rFonts w:cs="AL-Mohanad" w:hint="cs"/>
          <w:sz w:val="27"/>
          <w:szCs w:val="27"/>
          <w:rtl/>
        </w:rPr>
        <w:t>ي</w:t>
      </w:r>
      <w:r w:rsidRPr="006571AC">
        <w:rPr>
          <w:rFonts w:ascii="Sakkal Majalla" w:hAnsi="Sakkal Majalla" w:cs="AL-Mohanad" w:hint="cs"/>
          <w:sz w:val="27"/>
          <w:szCs w:val="27"/>
          <w:rtl/>
        </w:rPr>
        <w:t>هود، وعندها</w:t>
      </w:r>
      <w:r w:rsidRPr="006571AC">
        <w:rPr>
          <w:rFonts w:ascii="Sakkal Majalla" w:hAnsi="Sakkal Majalla" w:cs="AL-Mohanad"/>
          <w:sz w:val="27"/>
          <w:szCs w:val="27"/>
          <w:rtl/>
        </w:rPr>
        <w:t xml:space="preserve"> لا داع</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lastRenderedPageBreak/>
        <w:t>ي</w:t>
      </w:r>
      <w:r w:rsidRPr="006571AC">
        <w:rPr>
          <w:rFonts w:ascii="Sakkal Majalla" w:hAnsi="Sakkal Majalla" w:cs="AL-Mohanad" w:hint="cs"/>
          <w:sz w:val="27"/>
          <w:szCs w:val="27"/>
          <w:rtl/>
        </w:rPr>
        <w:t>أمره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تعالى </w:t>
      </w:r>
      <w:r w:rsidRPr="006571AC">
        <w:rPr>
          <w:rFonts w:ascii="Sakkal Majalla" w:hAnsi="Sakkal Majalla" w:cs="AL-Mohanad" w:hint="cs"/>
          <w:sz w:val="27"/>
          <w:szCs w:val="27"/>
          <w:rtl/>
        </w:rPr>
        <w:t>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w:t>
      </w:r>
      <w:r w:rsidR="005C04DD"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ثان</w:t>
      </w:r>
      <w:r w:rsidRPr="006571AC">
        <w:rPr>
          <w:rFonts w:cs="AL-Mohanad" w:hint="cs"/>
          <w:sz w:val="27"/>
          <w:szCs w:val="27"/>
          <w:rtl/>
        </w:rPr>
        <w:t>ي</w:t>
      </w:r>
      <w:r w:rsidRPr="006571AC">
        <w:rPr>
          <w:rFonts w:ascii="Sakkal Majalla" w:hAnsi="Sakkal Majalla" w:cs="AL-Mohanad" w:hint="cs"/>
          <w:sz w:val="27"/>
          <w:szCs w:val="27"/>
          <w:rtl/>
        </w:rPr>
        <w:t>ة</w:t>
      </w:r>
      <w:r w:rsidR="005C04DD"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وهكذا ال</w:t>
      </w:r>
      <w:r w:rsidRPr="006571AC">
        <w:rPr>
          <w:rFonts w:ascii="Sakkal Majalla" w:hAnsi="Sakkal Majalla" w:cs="AL-Mohanad" w:hint="cs"/>
          <w:sz w:val="27"/>
          <w:szCs w:val="27"/>
          <w:rtl/>
        </w:rPr>
        <w:t>أ</w:t>
      </w:r>
      <w:r w:rsidRPr="006571AC">
        <w:rPr>
          <w:rFonts w:ascii="Sakkal Majalla" w:hAnsi="Sakkal Majalla" w:cs="AL-Mohanad"/>
          <w:sz w:val="27"/>
          <w:szCs w:val="27"/>
          <w:rtl/>
        </w:rPr>
        <w:t>مر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القصاص ف</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نّه </w:t>
      </w:r>
      <w:r w:rsidRPr="006571AC">
        <w:rPr>
          <w:rFonts w:cs="AL-Mohanad" w:hint="cs"/>
          <w:sz w:val="27"/>
          <w:szCs w:val="27"/>
          <w:rtl/>
        </w:rPr>
        <w:t>ي</w:t>
      </w:r>
      <w:r w:rsidRPr="006571AC">
        <w:rPr>
          <w:rFonts w:ascii="Sakkal Majalla" w:hAnsi="Sakkal Majalla" w:cs="AL-Mohanad" w:hint="cs"/>
          <w:sz w:val="27"/>
          <w:szCs w:val="27"/>
          <w:rtl/>
        </w:rPr>
        <w:t>عتبر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التشر</w:t>
      </w:r>
      <w:r w:rsidRPr="006571AC">
        <w:rPr>
          <w:rFonts w:cs="AL-Mohanad" w:hint="cs"/>
          <w:sz w:val="27"/>
          <w:szCs w:val="27"/>
          <w:rtl/>
        </w:rPr>
        <w:t>ي</w:t>
      </w:r>
      <w:r w:rsidRPr="006571AC">
        <w:rPr>
          <w:rFonts w:ascii="Sakkal Majalla" w:hAnsi="Sakkal Majalla" w:cs="AL-Mohanad" w:hint="cs"/>
          <w:sz w:val="27"/>
          <w:szCs w:val="27"/>
          <w:rtl/>
        </w:rPr>
        <w:t>عات</w:t>
      </w:r>
      <w:r w:rsidRPr="006571AC">
        <w:rPr>
          <w:rFonts w:ascii="Sakkal Majalla" w:hAnsi="Sakkal Majalla" w:cs="AL-Mohanad"/>
          <w:sz w:val="27"/>
          <w:szCs w:val="27"/>
          <w:rtl/>
        </w:rPr>
        <w:t xml:space="preserve"> وال</w:t>
      </w:r>
      <w:r w:rsidRPr="006571AC">
        <w:rPr>
          <w:rFonts w:ascii="Sakkal Majalla" w:hAnsi="Sakkal Majalla" w:cs="AL-Mohanad" w:hint="cs"/>
          <w:sz w:val="27"/>
          <w:szCs w:val="27"/>
          <w:rtl/>
        </w:rPr>
        <w:t>أ</w:t>
      </w:r>
      <w:r w:rsidRPr="006571AC">
        <w:rPr>
          <w:rFonts w:ascii="Sakkal Majalla" w:hAnsi="Sakkal Majalla" w:cs="AL-Mohanad"/>
          <w:sz w:val="27"/>
          <w:szCs w:val="27"/>
          <w:rtl/>
        </w:rPr>
        <w:t>حكام الأول</w:t>
      </w:r>
      <w:r w:rsidR="005C04DD"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نزلت على </w:t>
      </w:r>
      <w:r w:rsidRPr="006571AC">
        <w:rPr>
          <w:rFonts w:ascii="Sakkal Majalla" w:hAnsi="Sakkal Majalla" w:cs="AL-Mohanad" w:hint="cs"/>
          <w:sz w:val="27"/>
          <w:szCs w:val="27"/>
          <w:rtl/>
        </w:rPr>
        <w:t>النبي</w:t>
      </w:r>
      <w:r w:rsidR="005C04DD"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وقد قام النب</w:t>
      </w:r>
      <w:r w:rsidRPr="006571AC">
        <w:rPr>
          <w:rFonts w:ascii="Sakkal Majalla" w:hAnsi="Sakkal Majalla" w:cs="AL-Mohanad" w:hint="cs"/>
          <w:sz w:val="27"/>
          <w:szCs w:val="27"/>
          <w:rtl/>
        </w:rPr>
        <w:t>ي</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الوقت بب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وشرح حكم القصاص</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وتصح</w:t>
      </w:r>
      <w:r w:rsidRPr="006571AC">
        <w:rPr>
          <w:rFonts w:cs="AL-Mohanad" w:hint="cs"/>
          <w:sz w:val="27"/>
          <w:szCs w:val="27"/>
          <w:rtl/>
        </w:rPr>
        <w:t>ي</w:t>
      </w:r>
      <w:r w:rsidRPr="006571AC">
        <w:rPr>
          <w:rFonts w:ascii="Sakkal Majalla" w:hAnsi="Sakkal Majalla" w:cs="AL-Mohanad" w:hint="cs"/>
          <w:sz w:val="27"/>
          <w:szCs w:val="27"/>
          <w:rtl/>
        </w:rPr>
        <w:t>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الآراء</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الباطلة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كانت عند العرب حول هذا الحكم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وقد جاء ذكره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القرآن الكر</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الآ</w:t>
      </w:r>
      <w:r w:rsidRPr="006571AC">
        <w:rPr>
          <w:rFonts w:cs="AL-Mohanad" w:hint="cs"/>
          <w:sz w:val="27"/>
          <w:szCs w:val="27"/>
          <w:rtl/>
        </w:rPr>
        <w:t>ي</w:t>
      </w:r>
      <w:r w:rsidR="005C04DD" w:rsidRPr="006571AC">
        <w:rPr>
          <w:rFonts w:ascii="Sakkal Majalla" w:hAnsi="Sakkal Majalla" w:cs="AL-Mohanad" w:hint="cs"/>
          <w:sz w:val="27"/>
          <w:szCs w:val="27"/>
          <w:rtl/>
        </w:rPr>
        <w:t>تين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178</w:t>
      </w:r>
      <w:r w:rsidR="005C04DD"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و179</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سورة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البقرة</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5C04DD"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الَّذِينَ آمَنُوا كُتِبَ عَلَيْكُمُ الْقِص</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اصُ فِي الْقَتْل</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ى‏ الْحُرُّ بِالْحُرِّ و</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الْعَبْدُ بِالْعَبْدِ و</w:t>
      </w:r>
      <w:r w:rsidR="00B57F9D" w:rsidRPr="006571AC">
        <w:rPr>
          <w:rFonts w:ascii="Sakkal Majalla" w:hAnsi="Sakkal Majalla" w:cs="AL-Mohanad" w:hint="cs"/>
          <w:b/>
          <w:bCs/>
          <w:sz w:val="27"/>
          <w:szCs w:val="27"/>
          <w:rtl/>
        </w:rPr>
        <w:t>َ</w:t>
      </w:r>
      <w:r w:rsidR="00B57F9D" w:rsidRPr="006571AC">
        <w:rPr>
          <w:rFonts w:ascii="Sakkal Majalla" w:hAnsi="Sakkal Majalla" w:cs="AL-Mohanad"/>
          <w:b/>
          <w:bCs/>
          <w:sz w:val="27"/>
          <w:szCs w:val="27"/>
          <w:rtl/>
        </w:rPr>
        <w:t>ال</w:t>
      </w:r>
      <w:r w:rsidRPr="006571AC">
        <w:rPr>
          <w:rFonts w:ascii="Sakkal Majalla" w:hAnsi="Sakkal Majalla" w:cs="AL-Mohanad"/>
          <w:b/>
          <w:bCs/>
          <w:sz w:val="27"/>
          <w:szCs w:val="27"/>
          <w:rtl/>
        </w:rPr>
        <w:t>أ</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نْث</w:t>
      </w:r>
      <w:r w:rsidR="00B57F9D" w:rsidRPr="006571AC">
        <w:rPr>
          <w:rFonts w:ascii="Sakkal Majalla" w:hAnsi="Sakkal Majalla" w:cs="AL-Mohanad" w:hint="cs"/>
          <w:b/>
          <w:bCs/>
          <w:sz w:val="27"/>
          <w:szCs w:val="27"/>
          <w:rtl/>
        </w:rPr>
        <w:t>َ</w:t>
      </w:r>
      <w:r w:rsidR="00B57F9D" w:rsidRPr="006571AC">
        <w:rPr>
          <w:rFonts w:ascii="Sakkal Majalla" w:hAnsi="Sakkal Majalla" w:cs="AL-Mohanad"/>
          <w:b/>
          <w:bCs/>
          <w:sz w:val="27"/>
          <w:szCs w:val="27"/>
          <w:rtl/>
        </w:rPr>
        <w:t>ى‏ بِال</w:t>
      </w:r>
      <w:r w:rsidRPr="006571AC">
        <w:rPr>
          <w:rFonts w:ascii="Sakkal Majalla" w:hAnsi="Sakkal Majalla" w:cs="AL-Mohanad"/>
          <w:b/>
          <w:bCs/>
          <w:sz w:val="27"/>
          <w:szCs w:val="27"/>
          <w:rtl/>
        </w:rPr>
        <w:t>أ</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نْث</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ى‏ فَمَنْ عُفِيَ لَهُ مِنْ أَخِيهِ شَيْ‏ءٌ فَاتِّباعٌ بِالْمَعْرُوفِ و</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أَداءٌ إِلَيْهِ بِإِحْس</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انٍ ذ</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لِكَ تَخْفِيفٌ مِنْ رَبِّكُمْ و</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رَحْمَةٌ فَمَنِ اعْتَد</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ى‏ بَعْدَ ذ</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لِكَ فَلَهُ عَذ</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ابٌ أَلِيم</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 و</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لَكُمْ فِي الْقِص</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اصِ حَي</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اةٌ ي</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AF1257" w:rsidRPr="006571AC">
        <w:rPr>
          <w:rFonts w:ascii="Sakkal Majalla" w:hAnsi="Sakkal Majalla" w:cs="AL-Mohanad" w:hint="cs"/>
          <w:b/>
          <w:bCs/>
          <w:sz w:val="27"/>
          <w:szCs w:val="27"/>
          <w:rtl/>
        </w:rPr>
        <w:t>ُ</w:t>
      </w:r>
      <w:r w:rsidR="00AF1257" w:rsidRPr="006571AC">
        <w:rPr>
          <w:rFonts w:ascii="Sakkal Majalla" w:hAnsi="Sakkal Majalla" w:cs="AL-Mohanad"/>
          <w:b/>
          <w:bCs/>
          <w:sz w:val="27"/>
          <w:szCs w:val="27"/>
          <w:rtl/>
        </w:rPr>
        <w:t>ولِي ال</w:t>
      </w:r>
      <w:r w:rsidRPr="006571AC">
        <w:rPr>
          <w:rFonts w:ascii="Sakkal Majalla" w:hAnsi="Sakkal Majalla" w:cs="AL-Mohanad"/>
          <w:b/>
          <w:bCs/>
          <w:sz w:val="27"/>
          <w:szCs w:val="27"/>
          <w:rtl/>
        </w:rPr>
        <w:t>أَلْب</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ابِ لَعَلَّكُمْ تَتَّقُون</w:t>
      </w:r>
      <w:r w:rsidR="00AF1257"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79"/>
      </w:r>
      <w:r w:rsidRPr="006571AC">
        <w:rPr>
          <w:rFonts w:ascii="Sakkal Majalla" w:hAnsi="Sakkal Majalla" w:cs="AL-Mohanad" w:hint="cs"/>
          <w:sz w:val="27"/>
          <w:szCs w:val="27"/>
          <w:vertAlign w:val="superscript"/>
          <w:rtl/>
        </w:rPr>
        <w:t>)</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Pr="006571AC">
        <w:rPr>
          <w:rFonts w:ascii="Sakkal Majalla" w:hAnsi="Sakkal Majalla" w:cs="AL-Mohanad"/>
          <w:sz w:val="27"/>
          <w:szCs w:val="27"/>
          <w:rtl/>
        </w:rPr>
        <w:t>ذا كان</w:t>
      </w:r>
      <w:r w:rsidRPr="006571AC">
        <w:rPr>
          <w:rFonts w:ascii="Sakkal Majalla" w:hAnsi="Sakkal Majalla" w:cs="AL-Mohanad" w:hint="cs"/>
          <w:sz w:val="27"/>
          <w:szCs w:val="27"/>
          <w:rtl/>
        </w:rPr>
        <w:t xml:space="preserve"> النب</w:t>
      </w:r>
      <w:r w:rsidRPr="006571AC">
        <w:rPr>
          <w:rFonts w:cs="AL-Mohanad" w:hint="cs"/>
          <w:sz w:val="27"/>
          <w:szCs w:val="27"/>
          <w:rtl/>
        </w:rPr>
        <w:t>ي</w:t>
      </w:r>
      <w:r w:rsidR="002A2C90" w:rsidRPr="006571AC">
        <w:rPr>
          <w:rFonts w:ascii="Mosawi" w:hAnsi="Mosawi" w:cs="Mosawi"/>
          <w:sz w:val="22"/>
          <w:szCs w:val="22"/>
          <w:rtl/>
        </w:rPr>
        <w:t>|</w:t>
      </w:r>
      <w:r w:rsidRPr="006571AC">
        <w:rPr>
          <w:rFonts w:ascii="Sakkal Majalla" w:hAnsi="Sakkal Majalla" w:cs="AL-Mohanad"/>
          <w:sz w:val="27"/>
          <w:szCs w:val="27"/>
          <w:rtl/>
        </w:rPr>
        <w:t xml:space="preserve"> قد ب</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القصاص</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وائل الهجرة النبو</w:t>
      </w:r>
      <w:r w:rsidRPr="006571AC">
        <w:rPr>
          <w:rFonts w:cs="AL-Mohanad" w:hint="cs"/>
          <w:sz w:val="27"/>
          <w:szCs w:val="27"/>
          <w:rtl/>
        </w:rPr>
        <w:t>ي</w:t>
      </w:r>
      <w:r w:rsidR="006011DC" w:rsidRPr="006571AC">
        <w:rPr>
          <w:rFonts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داعي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أمره</w:t>
      </w:r>
      <w:r w:rsidRPr="006571AC">
        <w:rPr>
          <w:rFonts w:ascii="Sakkal Majalla" w:hAnsi="Sakkal Majalla" w:cs="AL-Mohanad"/>
          <w:sz w:val="27"/>
          <w:szCs w:val="27"/>
          <w:rtl/>
        </w:rPr>
        <w:t xml:space="preserve"> الله للمر</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ة الثان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قوم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بتبل</w:t>
      </w:r>
      <w:r w:rsidRPr="006571AC">
        <w:rPr>
          <w:rFonts w:cs="AL-Mohanad" w:hint="cs"/>
          <w:sz w:val="27"/>
          <w:szCs w:val="27"/>
          <w:rtl/>
        </w:rPr>
        <w:t>ي</w:t>
      </w:r>
      <w:r w:rsidRPr="006571AC">
        <w:rPr>
          <w:rFonts w:ascii="Sakkal Majalla" w:hAnsi="Sakkal Majalla" w:cs="AL-Mohanad" w:hint="cs"/>
          <w:sz w:val="27"/>
          <w:szCs w:val="27"/>
          <w:rtl/>
        </w:rPr>
        <w:t>غه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الناس</w:t>
      </w:r>
      <w:r w:rsidR="006011DC" w:rsidRPr="006571AC">
        <w:rPr>
          <w:rFonts w:ascii="Sakkal Majalla" w:hAnsi="Sakkal Majalla" w:cs="AL-Mohanad" w:hint="cs"/>
          <w:sz w:val="27"/>
          <w:szCs w:val="27"/>
          <w:rtl/>
        </w:rPr>
        <w:t>.</w:t>
      </w:r>
    </w:p>
    <w:p w:rsidR="005D05A4" w:rsidRPr="006571AC" w:rsidRDefault="005D05A4" w:rsidP="002053F1">
      <w:pPr>
        <w:pStyle w:val="af"/>
        <w:rPr>
          <w:rFonts w:ascii="Sakkal Majalla" w:hAnsi="Sakkal Majalla" w:cs="AL-Mohanad"/>
          <w:sz w:val="27"/>
          <w:szCs w:val="27"/>
          <w:rtl/>
        </w:rPr>
      </w:pPr>
      <w:r w:rsidRPr="006571AC">
        <w:rPr>
          <w:rFonts w:ascii="Sakkal Majalla" w:hAnsi="Sakkal Majalla" w:cs="AL-Mohanad" w:hint="cs"/>
          <w:b/>
          <w:bCs/>
          <w:sz w:val="27"/>
          <w:szCs w:val="27"/>
          <w:rtl/>
        </w:rPr>
        <w:t>الثاني</w:t>
      </w:r>
      <w:r w:rsidRPr="006571AC">
        <w:rPr>
          <w:rFonts w:ascii="Sakkal Majalla" w:hAnsi="Sakkal Majalla" w:cs="AL-Mohanad"/>
          <w:b/>
          <w:bCs/>
          <w:sz w:val="27"/>
          <w:szCs w:val="27"/>
          <w:rtl/>
        </w:rPr>
        <w:t xml:space="preserve">: </w:t>
      </w:r>
      <w:r w:rsidRPr="006571AC">
        <w:rPr>
          <w:rFonts w:ascii="Sakkal Majalla" w:hAnsi="Sakkal Majalla" w:cs="AL-Mohanad" w:hint="cs"/>
          <w:sz w:val="27"/>
          <w:szCs w:val="27"/>
          <w:rtl/>
        </w:rPr>
        <w:t xml:space="preserve">نحن </w:t>
      </w:r>
      <w:r w:rsidRPr="006571AC">
        <w:rPr>
          <w:rFonts w:ascii="Sakkal Majalla" w:hAnsi="Sakkal Majalla" w:cs="AL-Mohanad"/>
          <w:sz w:val="27"/>
          <w:szCs w:val="27"/>
          <w:rtl/>
        </w:rPr>
        <w:t>نسأل</w:t>
      </w:r>
      <w:r w:rsidRPr="006571AC">
        <w:rPr>
          <w:rFonts w:ascii="Sakkal Majalla" w:hAnsi="Sakkal Majalla" w:cs="AL-Mohanad" w:hint="cs"/>
          <w:sz w:val="27"/>
          <w:szCs w:val="27"/>
          <w:rtl/>
        </w:rPr>
        <w:t xml:space="preserve"> أصحاب هذا الرأي</w:t>
      </w:r>
      <w:r w:rsidR="006011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هل </w:t>
      </w:r>
      <w:r w:rsidRPr="006571AC">
        <w:rPr>
          <w:rFonts w:cs="AL-Mohanad" w:hint="cs"/>
          <w:sz w:val="27"/>
          <w:szCs w:val="27"/>
          <w:rtl/>
        </w:rPr>
        <w:t>ي</w:t>
      </w:r>
      <w:r w:rsidRPr="006571AC">
        <w:rPr>
          <w:rFonts w:ascii="Sakkal Majalla" w:hAnsi="Sakkal Majalla" w:cs="AL-Mohanad" w:hint="cs"/>
          <w:sz w:val="27"/>
          <w:szCs w:val="27"/>
          <w:rtl/>
        </w:rPr>
        <w:t>عقل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006011DC" w:rsidRPr="006571AC">
        <w:rPr>
          <w:rFonts w:ascii="Sakkal Majalla" w:hAnsi="Sakkal Majalla" w:cs="AL-Mohanad" w:hint="cs"/>
          <w:sz w:val="27"/>
          <w:szCs w:val="27"/>
          <w:rtl/>
        </w:rPr>
        <w:t>ل</w:t>
      </w:r>
      <w:r w:rsidRPr="006571AC">
        <w:rPr>
          <w:rFonts w:ascii="Sakkal Majalla" w:hAnsi="Sakkal Majalla" w:cs="AL-Mohanad" w:hint="cs"/>
          <w:sz w:val="27"/>
          <w:szCs w:val="27"/>
          <w:rtl/>
        </w:rPr>
        <w:t>حكم</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فرع</w:t>
      </w:r>
      <w:r w:rsidRPr="006571AC">
        <w:rPr>
          <w:rFonts w:cs="AL-Mohanad" w:hint="cs"/>
          <w:sz w:val="27"/>
          <w:szCs w:val="27"/>
          <w:rtl/>
        </w:rPr>
        <w:t>ي</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وفقه</w:t>
      </w:r>
      <w:r w:rsidRPr="006571AC">
        <w:rPr>
          <w:rFonts w:cs="AL-Mohanad" w:hint="cs"/>
          <w:sz w:val="27"/>
          <w:szCs w:val="27"/>
          <w:rtl/>
        </w:rPr>
        <w:t>ي</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كحكم القصاص </w:t>
      </w:r>
      <w:r w:rsidRPr="006571AC">
        <w:rPr>
          <w:rFonts w:ascii="Sakkal Majalla" w:hAnsi="Sakkal Majalla" w:cs="AL-Mohanad" w:hint="cs"/>
          <w:sz w:val="27"/>
          <w:szCs w:val="27"/>
          <w:rtl/>
        </w:rPr>
        <w:t>أ</w:t>
      </w:r>
      <w:r w:rsidRPr="006571AC">
        <w:rPr>
          <w:rFonts w:ascii="Sakkal Majalla" w:hAnsi="Sakkal Majalla" w:cs="AL-Mohanad"/>
          <w:sz w:val="27"/>
          <w:szCs w:val="27"/>
          <w:rtl/>
        </w:rPr>
        <w:t>و الرجم،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هم</w:t>
      </w:r>
      <w:r w:rsidR="006011DC"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البالغة عند الله تعالى</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جعل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للناس</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عادل</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ساو</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الرسالة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بكاملها، </w:t>
      </w:r>
      <w:r w:rsidRPr="006571AC">
        <w:rPr>
          <w:rFonts w:ascii="Sakkal Majalla" w:hAnsi="Sakkal Majalla" w:cs="AL-Mohanad"/>
          <w:sz w:val="27"/>
          <w:szCs w:val="27"/>
          <w:rtl/>
        </w:rPr>
        <w:t>و</w:t>
      </w:r>
      <w:r w:rsidRPr="006571AC">
        <w:rPr>
          <w:rFonts w:ascii="Sakkal Majalla" w:hAnsi="Sakkal Majalla" w:cs="AL-Mohanad" w:hint="cs"/>
          <w:sz w:val="27"/>
          <w:szCs w:val="27"/>
          <w:rtl/>
        </w:rPr>
        <w:t>إ</w:t>
      </w:r>
      <w:r w:rsidRPr="006571AC">
        <w:rPr>
          <w:rFonts w:ascii="Sakkal Majalla" w:hAnsi="Sakkal Majalla" w:cs="AL-Mohanad"/>
          <w:sz w:val="27"/>
          <w:szCs w:val="27"/>
          <w:rtl/>
        </w:rPr>
        <w:t>ن</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لم </w:t>
      </w:r>
      <w:r w:rsidRPr="006571AC">
        <w:rPr>
          <w:rFonts w:cs="AL-Mohanad" w:hint="cs"/>
          <w:sz w:val="27"/>
          <w:szCs w:val="27"/>
          <w:rtl/>
        </w:rPr>
        <w:t>ي</w:t>
      </w:r>
      <w:r w:rsidRPr="006571AC">
        <w:rPr>
          <w:rFonts w:ascii="Sakkal Majalla" w:hAnsi="Sakkal Majalla" w:cs="AL-Mohanad" w:hint="cs"/>
          <w:sz w:val="27"/>
          <w:szCs w:val="27"/>
          <w:rtl/>
        </w:rPr>
        <w:t>بلّغه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كأ</w:t>
      </w:r>
      <w:r w:rsidRPr="006571AC">
        <w:rPr>
          <w:rFonts w:ascii="Sakkal Majalla" w:hAnsi="Sakkal Majalla" w:cs="AL-Mohanad"/>
          <w:sz w:val="27"/>
          <w:szCs w:val="27"/>
          <w:rtl/>
        </w:rPr>
        <w:t xml:space="preserve">نّما لم </w:t>
      </w:r>
      <w:r w:rsidRPr="006571AC">
        <w:rPr>
          <w:rFonts w:cs="AL-Mohanad" w:hint="cs"/>
          <w:sz w:val="27"/>
          <w:szCs w:val="27"/>
          <w:rtl/>
        </w:rPr>
        <w:t>ي</w:t>
      </w:r>
      <w:r w:rsidRPr="006571AC">
        <w:rPr>
          <w:rFonts w:ascii="Sakkal Majalla" w:hAnsi="Sakkal Majalla" w:cs="AL-Mohanad" w:hint="cs"/>
          <w:sz w:val="27"/>
          <w:szCs w:val="27"/>
          <w:rtl/>
        </w:rPr>
        <w:t>بلّ</w:t>
      </w:r>
      <w:r w:rsidR="006011DC" w:rsidRPr="006571AC">
        <w:rPr>
          <w:rFonts w:ascii="Sakkal Majalla" w:hAnsi="Sakkal Majalla" w:cs="AL-Mohanad" w:hint="cs"/>
          <w:sz w:val="27"/>
          <w:szCs w:val="27"/>
          <w:rtl/>
        </w:rPr>
        <w:t>ِ</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ش</w:t>
      </w:r>
      <w:r w:rsidRPr="006571AC">
        <w:rPr>
          <w:rFonts w:cs="AL-Mohanad" w:hint="cs"/>
          <w:sz w:val="27"/>
          <w:szCs w:val="27"/>
          <w:rtl/>
        </w:rPr>
        <w:t>ي</w:t>
      </w:r>
      <w:r w:rsidRPr="006571AC">
        <w:rPr>
          <w:rFonts w:ascii="Sakkal Majalla" w:hAnsi="Sakkal Majalla" w:cs="AL-Mohanad" w:hint="cs"/>
          <w:sz w:val="27"/>
          <w:szCs w:val="27"/>
          <w:rtl/>
        </w:rPr>
        <w:t>ئاً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الرسالة</w:t>
      </w:r>
      <w:r w:rsidRPr="006571AC">
        <w:rPr>
          <w:rFonts w:ascii="Sakkal Majalla" w:hAnsi="Sakkal Majalla" w:cs="AL-Mohanad"/>
          <w:sz w:val="27"/>
          <w:szCs w:val="27"/>
          <w:rtl/>
        </w:rPr>
        <w:t>؟! وهل كان 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القصاص</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الرجم </w:t>
      </w:r>
      <w:r w:rsidRPr="006571AC">
        <w:rPr>
          <w:rFonts w:cs="AL-Mohanad" w:hint="cs"/>
          <w:sz w:val="27"/>
          <w:szCs w:val="27"/>
          <w:rtl/>
        </w:rPr>
        <w:t>ي</w:t>
      </w:r>
      <w:r w:rsidRPr="006571AC">
        <w:rPr>
          <w:rFonts w:ascii="Sakkal Majalla" w:hAnsi="Sakkal Majalla" w:cs="AL-Mohanad" w:hint="cs"/>
          <w:sz w:val="27"/>
          <w:szCs w:val="27"/>
          <w:rtl/>
        </w:rPr>
        <w:t>شك</w:t>
      </w:r>
      <w:r w:rsidR="006011DC" w:rsidRPr="006571AC">
        <w:rPr>
          <w:rFonts w:ascii="Sakkal Majalla" w:hAnsi="Sakkal Majalla" w:cs="AL-Mohanad" w:hint="cs"/>
          <w:sz w:val="27"/>
          <w:szCs w:val="27"/>
          <w:rtl/>
        </w:rPr>
        <w:t>ِّ</w:t>
      </w:r>
      <w:r w:rsidRPr="006571AC">
        <w:rPr>
          <w:rFonts w:ascii="Sakkal Majalla" w:hAnsi="Sakkal Majalla" w:cs="AL-Mohanad" w:hint="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تهد</w:t>
      </w:r>
      <w:r w:rsidRPr="006571AC">
        <w:rPr>
          <w:rFonts w:cs="AL-Mohanad" w:hint="cs"/>
          <w:sz w:val="27"/>
          <w:szCs w:val="27"/>
          <w:rtl/>
        </w:rPr>
        <w:t>ي</w:t>
      </w:r>
      <w:r w:rsidRPr="006571AC">
        <w:rPr>
          <w:rFonts w:ascii="Sakkal Majalla" w:hAnsi="Sakkal Majalla" w:cs="AL-Mohanad" w:hint="cs"/>
          <w:sz w:val="27"/>
          <w:szCs w:val="27"/>
          <w:rtl/>
        </w:rPr>
        <w:t>داً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لح</w:t>
      </w:r>
      <w:r w:rsidRPr="006571AC">
        <w:rPr>
          <w:rFonts w:cs="AL-Mohanad" w:hint="cs"/>
          <w:sz w:val="27"/>
          <w:szCs w:val="27"/>
          <w:rtl/>
        </w:rPr>
        <w:t>ي</w:t>
      </w:r>
      <w:r w:rsidRPr="006571AC">
        <w:rPr>
          <w:rFonts w:ascii="Sakkal Majalla" w:hAnsi="Sakkal Majalla" w:cs="AL-Mohanad" w:hint="cs"/>
          <w:sz w:val="27"/>
          <w:szCs w:val="27"/>
          <w:rtl/>
        </w:rPr>
        <w:t>اة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Pr="006571AC">
        <w:rPr>
          <w:rFonts w:ascii="Sakkal Majalla" w:hAnsi="Sakkal Majalla" w:cs="AL-Mohanad" w:hint="cs"/>
          <w:sz w:val="27"/>
          <w:szCs w:val="27"/>
          <w:rtl/>
        </w:rPr>
        <w:t>خاف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6011D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قو</w:t>
      </w:r>
      <w:r w:rsidRPr="006571AC">
        <w:rPr>
          <w:rFonts w:ascii="Sakkal Majalla" w:hAnsi="Sakkal Majalla" w:cs="AL-Mohanad"/>
          <w:sz w:val="27"/>
          <w:szCs w:val="27"/>
          <w:rtl/>
        </w:rPr>
        <w:t>م بتبل</w:t>
      </w:r>
      <w:r w:rsidRPr="006571AC">
        <w:rPr>
          <w:rFonts w:cs="AL-Mohanad" w:hint="cs"/>
          <w:sz w:val="27"/>
          <w:szCs w:val="27"/>
          <w:rtl/>
        </w:rPr>
        <w:t>ي</w:t>
      </w:r>
      <w:r w:rsidRPr="006571AC">
        <w:rPr>
          <w:rFonts w:ascii="Sakkal Majalla" w:hAnsi="Sakkal Majalla" w:cs="AL-Mohanad" w:hint="cs"/>
          <w:sz w:val="27"/>
          <w:szCs w:val="27"/>
          <w:rtl/>
        </w:rPr>
        <w:t>غه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وّل ال</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Pr="006571AC">
        <w:rPr>
          <w:rFonts w:ascii="Sakkal Majalla" w:hAnsi="Sakkal Majalla" w:cs="AL-Mohanad" w:hint="cs"/>
          <w:sz w:val="27"/>
          <w:szCs w:val="27"/>
          <w:rtl/>
        </w:rPr>
        <w:t>، ف</w:t>
      </w:r>
      <w:r w:rsidRPr="006571AC">
        <w:rPr>
          <w:rFonts w:ascii="Sakkal Majalla" w:hAnsi="Sakkal Majalla" w:cs="AL-Mohanad"/>
          <w:sz w:val="27"/>
          <w:szCs w:val="27"/>
          <w:rtl/>
        </w:rPr>
        <w:t xml:space="preserve">ضمن الله تعالى </w:t>
      </w:r>
      <w:r w:rsidRPr="006571AC">
        <w:rPr>
          <w:rFonts w:ascii="Sakkal Majalla" w:hAnsi="Sakkal Majalla" w:cs="AL-Mohanad" w:hint="cs"/>
          <w:sz w:val="27"/>
          <w:szCs w:val="27"/>
          <w:rtl/>
        </w:rPr>
        <w:t>له ال</w:t>
      </w:r>
      <w:r w:rsidRPr="006571AC">
        <w:rPr>
          <w:rFonts w:ascii="Sakkal Majalla" w:hAnsi="Sakkal Majalla" w:cs="AL-Mohanad"/>
          <w:sz w:val="27"/>
          <w:szCs w:val="27"/>
          <w:rtl/>
        </w:rPr>
        <w:t>حفظ و</w:t>
      </w:r>
      <w:r w:rsidRPr="006571AC">
        <w:rPr>
          <w:rFonts w:ascii="Sakkal Majalla" w:hAnsi="Sakkal Majalla" w:cs="AL-Mohanad" w:hint="cs"/>
          <w:sz w:val="27"/>
          <w:szCs w:val="27"/>
          <w:rtl/>
        </w:rPr>
        <w:t>ال</w:t>
      </w:r>
      <w:r w:rsidRPr="006571AC">
        <w:rPr>
          <w:rFonts w:ascii="Sakkal Majalla" w:hAnsi="Sakkal Majalla" w:cs="AL-Mohanad"/>
          <w:sz w:val="27"/>
          <w:szCs w:val="27"/>
          <w:rtl/>
        </w:rPr>
        <w:t>عصم</w:t>
      </w:r>
      <w:r w:rsidRPr="006571AC">
        <w:rPr>
          <w:rFonts w:ascii="Sakkal Majalla" w:hAnsi="Sakkal Majalla" w:cs="AL-Mohanad" w:hint="cs"/>
          <w:sz w:val="27"/>
          <w:szCs w:val="27"/>
          <w:rtl/>
        </w:rPr>
        <w:t>ة</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من ثمّ قام النبي</w:t>
      </w:r>
      <w:r w:rsidR="006011D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بتبليغ ما أ</w:t>
      </w:r>
      <w:r w:rsidR="006011DC" w:rsidRPr="006571AC">
        <w:rPr>
          <w:rFonts w:ascii="Sakkal Majalla" w:hAnsi="Sakkal Majalla" w:cs="AL-Mohanad" w:hint="cs"/>
          <w:sz w:val="27"/>
          <w:szCs w:val="27"/>
          <w:rtl/>
        </w:rPr>
        <w:t>ُ</w:t>
      </w:r>
      <w:r w:rsidRPr="006571AC">
        <w:rPr>
          <w:rFonts w:ascii="Sakkal Majalla" w:hAnsi="Sakkal Majalla" w:cs="AL-Mohanad" w:hint="cs"/>
          <w:sz w:val="27"/>
          <w:szCs w:val="27"/>
          <w:rtl/>
        </w:rPr>
        <w:t>مر به؟!</w:t>
      </w:r>
      <w:r w:rsidRPr="006571AC">
        <w:rPr>
          <w:rFonts w:ascii="Sakkal Majalla" w:hAnsi="Sakkal Majalla" w:cs="AL-Mohanad"/>
          <w:sz w:val="27"/>
          <w:szCs w:val="27"/>
          <w:rtl/>
        </w:rPr>
        <w:t xml:space="preserve"> </w:t>
      </w:r>
    </w:p>
    <w:p w:rsidR="005D05A4" w:rsidRPr="006571AC" w:rsidRDefault="005D05A4" w:rsidP="00FB4949">
      <w:pPr>
        <w:pStyle w:val="af"/>
        <w:spacing w:line="430" w:lineRule="exact"/>
        <w:rPr>
          <w:rFonts w:ascii="Sakkal Majalla" w:hAnsi="Sakkal Majalla" w:cs="AL-Mohanad"/>
          <w:sz w:val="27"/>
          <w:szCs w:val="27"/>
          <w:rtl/>
        </w:rPr>
      </w:pPr>
    </w:p>
    <w:p w:rsidR="005D05A4" w:rsidRPr="006571AC" w:rsidRDefault="0074181B" w:rsidP="002B3461">
      <w:pPr>
        <w:pStyle w:val="31"/>
        <w:rPr>
          <w:color w:val="auto"/>
          <w:rtl/>
        </w:rPr>
      </w:pPr>
      <w:bookmarkStart w:id="164" w:name="_Toc114164652"/>
      <w:r w:rsidRPr="006571AC">
        <w:rPr>
          <w:rFonts w:hint="cs"/>
          <w:color w:val="auto"/>
          <w:rtl/>
        </w:rPr>
        <w:t xml:space="preserve">د ـ </w:t>
      </w:r>
      <w:r w:rsidR="005D05A4" w:rsidRPr="006571AC">
        <w:rPr>
          <w:color w:val="auto"/>
          <w:rtl/>
        </w:rPr>
        <w:t>حكم الجهاد</w:t>
      </w:r>
      <w:bookmarkEnd w:id="164"/>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 xml:space="preserve"> فقد جاء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كلمات بعضهم</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لترغ</w:t>
      </w:r>
      <w:r w:rsidRPr="006571AC">
        <w:rPr>
          <w:rFonts w:cs="AL-Mohanad" w:hint="cs"/>
          <w:sz w:val="27"/>
          <w:szCs w:val="27"/>
          <w:rtl/>
        </w:rPr>
        <w:t>ي</w:t>
      </w:r>
      <w:r w:rsidRPr="006571AC">
        <w:rPr>
          <w:rFonts w:ascii="Sakkal Majalla" w:hAnsi="Sakkal Majalla" w:cs="AL-Mohanad" w:hint="cs"/>
          <w:sz w:val="27"/>
          <w:szCs w:val="27"/>
          <w:rtl/>
        </w:rPr>
        <w:t>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المنافق</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 xml:space="preserve">الجهاد، </w:t>
      </w:r>
      <w:r w:rsidRPr="006571AC">
        <w:rPr>
          <w:rFonts w:ascii="Sakkal Majalla" w:hAnsi="Sakkal Majalla" w:cs="AL-Mohanad"/>
          <w:sz w:val="27"/>
          <w:szCs w:val="27"/>
          <w:rtl/>
        </w:rPr>
        <w:t>فقد كان المنافق</w:t>
      </w:r>
      <w:r w:rsidRPr="006571AC">
        <w:rPr>
          <w:rFonts w:ascii="Sakkal Majalla" w:hAnsi="Sakkal Majalla" w:cs="AL-Mohanad" w:hint="cs"/>
          <w:sz w:val="27"/>
          <w:szCs w:val="27"/>
          <w:rtl/>
        </w:rPr>
        <w:t>و</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كرهون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الجهاد، و</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متنعون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المشاركة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غزوات النب</w:t>
      </w:r>
      <w:r w:rsidRPr="006571AC">
        <w:rPr>
          <w:rFonts w:ascii="Sakkal Majalla" w:hAnsi="Sakkal Majalla" w:cs="AL-Mohanad" w:hint="cs"/>
          <w:sz w:val="27"/>
          <w:szCs w:val="27"/>
          <w:rtl/>
        </w:rPr>
        <w:t>ي</w:t>
      </w:r>
      <w:r w:rsidR="006011D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وهو لم </w:t>
      </w:r>
      <w:r w:rsidRPr="006571AC">
        <w:rPr>
          <w:rFonts w:cs="AL-Mohanad" w:hint="cs"/>
          <w:sz w:val="27"/>
          <w:szCs w:val="27"/>
          <w:rtl/>
        </w:rPr>
        <w:t>ي</w:t>
      </w:r>
      <w:r w:rsidRPr="006571AC">
        <w:rPr>
          <w:rFonts w:ascii="Sakkal Majalla" w:hAnsi="Sakkal Majalla" w:cs="AL-Mohanad" w:hint="cs"/>
          <w:sz w:val="27"/>
          <w:szCs w:val="27"/>
          <w:rtl/>
        </w:rPr>
        <w:t>حثّ</w:t>
      </w:r>
      <w:r w:rsidRPr="006571AC">
        <w:rPr>
          <w:rFonts w:ascii="Sakkal Majalla" w:hAnsi="Sakkal Majalla" w:cs="AL-Mohanad"/>
          <w:sz w:val="27"/>
          <w:szCs w:val="27"/>
          <w:rtl/>
        </w:rPr>
        <w:t xml:space="preserve">هم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ه</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ولهذا نزلت الآ</w:t>
      </w:r>
      <w:r w:rsidRPr="006571AC">
        <w:rPr>
          <w:rFonts w:cs="AL-Mohanad" w:hint="cs"/>
          <w:sz w:val="27"/>
          <w:szCs w:val="27"/>
          <w:rtl/>
        </w:rPr>
        <w:t>ي</w:t>
      </w:r>
      <w:r w:rsidRPr="006571AC">
        <w:rPr>
          <w:rFonts w:ascii="Sakkal Majalla" w:hAnsi="Sakkal Majalla" w:cs="AL-Mohanad" w:hint="cs"/>
          <w:sz w:val="27"/>
          <w:szCs w:val="27"/>
          <w:rtl/>
        </w:rPr>
        <w:t>ة</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6011DC"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w:t>
      </w:r>
      <w:r w:rsidR="006011DC"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6011DC"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w:t>
      </w:r>
      <w:r w:rsidRPr="006571AC">
        <w:rPr>
          <w:rFonts w:ascii="Mosawi" w:hAnsi="Mosawi" w:cs="Mosawi"/>
          <w:rtl/>
        </w:rPr>
        <w:t>﴾</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تأمر النب</w:t>
      </w:r>
      <w:r w:rsidRPr="006571AC">
        <w:rPr>
          <w:rFonts w:ascii="Sakkal Majalla" w:hAnsi="Sakkal Majalla" w:cs="AL-Mohanad" w:hint="cs"/>
          <w:sz w:val="27"/>
          <w:szCs w:val="27"/>
          <w:rtl/>
        </w:rPr>
        <w:t>ي</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حثّ</w:t>
      </w:r>
      <w:r w:rsidRPr="006571AC">
        <w:rPr>
          <w:rFonts w:ascii="Sakkal Majalla" w:hAnsi="Sakkal Majalla" w:cs="AL-Mohanad"/>
          <w:sz w:val="27"/>
          <w:szCs w:val="27"/>
          <w:rtl/>
        </w:rPr>
        <w:t xml:space="preserve"> المنافق</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على الجهاد</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ولا </w:t>
      </w:r>
      <w:r w:rsidRPr="006571AC">
        <w:rPr>
          <w:rFonts w:cs="AL-Mohanad" w:hint="cs"/>
          <w:sz w:val="27"/>
          <w:szCs w:val="27"/>
          <w:rtl/>
        </w:rPr>
        <w:t>ي</w:t>
      </w:r>
      <w:r w:rsidRPr="006571AC">
        <w:rPr>
          <w:rFonts w:ascii="Sakkal Majalla" w:hAnsi="Sakkal Majalla" w:cs="AL-Mohanad" w:hint="cs"/>
          <w:sz w:val="27"/>
          <w:szCs w:val="27"/>
          <w:rtl/>
        </w:rPr>
        <w:t>تهاون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ذل</w:t>
      </w:r>
      <w:r w:rsidRPr="006571AC">
        <w:rPr>
          <w:rFonts w:ascii="Sakkal Majalla" w:hAnsi="Sakkal Majalla" w:cs="AL-Mohanad" w:hint="cs"/>
          <w:sz w:val="27"/>
          <w:szCs w:val="27"/>
          <w:rtl/>
        </w:rPr>
        <w:t>ك</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ولا </w:t>
      </w:r>
      <w:r w:rsidRPr="006571AC">
        <w:rPr>
          <w:rFonts w:cs="AL-Mohanad" w:hint="cs"/>
          <w:sz w:val="27"/>
          <w:szCs w:val="27"/>
          <w:rtl/>
        </w:rPr>
        <w:t>ي</w:t>
      </w:r>
      <w:r w:rsidRPr="006571AC">
        <w:rPr>
          <w:rFonts w:ascii="Sakkal Majalla" w:hAnsi="Sakkal Majalla" w:cs="AL-Mohanad" w:hint="cs"/>
          <w:sz w:val="27"/>
          <w:szCs w:val="27"/>
          <w:rtl/>
        </w:rPr>
        <w:t>خش</w:t>
      </w:r>
      <w:r w:rsidR="004D24FA" w:rsidRPr="006571AC">
        <w:rPr>
          <w:rFonts w:cs="AL-Mohanad" w:hint="cs"/>
          <w:sz w:val="27"/>
          <w:szCs w:val="27"/>
          <w:rtl/>
        </w:rPr>
        <w:t>ى</w:t>
      </w:r>
      <w:r w:rsidRPr="006571AC">
        <w:rPr>
          <w:rFonts w:ascii="Sakkal Majalla" w:hAnsi="Sakkal Majalla" w:cs="AL-Mohanad"/>
          <w:sz w:val="27"/>
          <w:szCs w:val="27"/>
          <w:rtl/>
        </w:rPr>
        <w:t xml:space="preserve"> </w:t>
      </w:r>
      <w:r w:rsidR="004D24FA" w:rsidRPr="006571AC">
        <w:rPr>
          <w:rFonts w:ascii="Sakkal Majalla" w:hAnsi="Sakkal Majalla" w:cs="AL-Mohanad" w:hint="cs"/>
          <w:sz w:val="27"/>
          <w:szCs w:val="27"/>
          <w:rtl/>
        </w:rPr>
        <w:t>أ</w:t>
      </w:r>
      <w:r w:rsidRPr="006571AC">
        <w:rPr>
          <w:rFonts w:ascii="Sakkal Majalla" w:hAnsi="Sakkal Majalla" w:cs="AL-Mohanad" w:hint="cs"/>
          <w:sz w:val="27"/>
          <w:szCs w:val="27"/>
          <w:rtl/>
        </w:rPr>
        <w:t>حداً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منهم</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80"/>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5D05A4" w:rsidP="00FB4949">
      <w:pPr>
        <w:pStyle w:val="af"/>
        <w:spacing w:line="420" w:lineRule="exact"/>
        <w:rPr>
          <w:rFonts w:ascii="Sakkal Majalla" w:hAnsi="Sakkal Majalla" w:cs="AL-Mohanad"/>
          <w:sz w:val="27"/>
          <w:szCs w:val="27"/>
          <w:rtl/>
        </w:rPr>
      </w:pPr>
    </w:p>
    <w:p w:rsidR="005D05A4" w:rsidRPr="006571AC" w:rsidRDefault="00D04188" w:rsidP="002B3461">
      <w:pPr>
        <w:pStyle w:val="31"/>
        <w:rPr>
          <w:color w:val="auto"/>
          <w:rtl/>
        </w:rPr>
      </w:pPr>
      <w:bookmarkStart w:id="165" w:name="_Toc114164653"/>
      <w:r w:rsidRPr="006571AC">
        <w:rPr>
          <w:rFonts w:hint="cs"/>
          <w:color w:val="auto"/>
          <w:rtl/>
        </w:rPr>
        <w:t>مقارباتٌ مختلفة</w:t>
      </w:r>
      <w:bookmarkEnd w:id="165"/>
      <w:r w:rsidR="005D05A4" w:rsidRPr="006571AC">
        <w:rPr>
          <w:rFonts w:hint="cs"/>
          <w:color w:val="auto"/>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b/>
          <w:bCs/>
          <w:sz w:val="27"/>
          <w:szCs w:val="27"/>
          <w:rtl/>
        </w:rPr>
        <w:t>أ</w:t>
      </w:r>
      <w:r w:rsidRPr="006571AC">
        <w:rPr>
          <w:rFonts w:ascii="Sakkal Majalla" w:hAnsi="Sakkal Majalla" w:cs="AL-Mohanad"/>
          <w:b/>
          <w:bCs/>
          <w:sz w:val="27"/>
          <w:szCs w:val="27"/>
          <w:rtl/>
        </w:rPr>
        <w:t>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لاً</w:t>
      </w:r>
      <w:r w:rsidRPr="006571AC">
        <w:rPr>
          <w:rFonts w:ascii="Sakkal Majalla" w:hAnsi="Sakkal Majalla" w:cs="AL-Mohanad"/>
          <w:sz w:val="27"/>
          <w:szCs w:val="27"/>
          <w:rtl/>
        </w:rPr>
        <w:t>: تقدّ</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م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آخر ما نزل على </w:t>
      </w:r>
      <w:r w:rsidRPr="006571AC">
        <w:rPr>
          <w:rFonts w:ascii="Sakkal Majalla" w:hAnsi="Sakkal Majalla" w:cs="AL-Mohanad" w:hint="cs"/>
          <w:sz w:val="27"/>
          <w:szCs w:val="27"/>
          <w:rtl/>
        </w:rPr>
        <w:t>النبي</w:t>
      </w:r>
      <w:r w:rsidR="004D24FA"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هو سورة المائدة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نّ 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lastRenderedPageBreak/>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واخر عمر النب</w:t>
      </w:r>
      <w:r w:rsidRPr="006571AC">
        <w:rPr>
          <w:rFonts w:ascii="Sakkal Majalla" w:hAnsi="Sakkal Majalla" w:cs="AL-Mohanad" w:hint="cs"/>
          <w:sz w:val="27"/>
          <w:szCs w:val="27"/>
          <w:rtl/>
        </w:rPr>
        <w:t>ي</w:t>
      </w:r>
      <w:r w:rsidR="004D24FA"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81"/>
      </w:r>
      <w:r w:rsidRPr="006571AC">
        <w:rPr>
          <w:rFonts w:ascii="Sakkal Majalla" w:hAnsi="Sakkal Majalla" w:cs="AL-Mohanad"/>
          <w:sz w:val="27"/>
          <w:szCs w:val="27"/>
          <w:vertAlign w:val="superscript"/>
          <w:rtl/>
        </w:rPr>
        <w:t>)</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مّا الجهاد فقد دع</w:t>
      </w:r>
      <w:r w:rsidR="004D24FA" w:rsidRPr="006571AC">
        <w:rPr>
          <w:rFonts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تعالى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منذ</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هاجر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المسلمون</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المد</w:t>
      </w:r>
      <w:r w:rsidRPr="006571AC">
        <w:rPr>
          <w:rFonts w:cs="AL-Mohanad" w:hint="cs"/>
          <w:sz w:val="27"/>
          <w:szCs w:val="27"/>
          <w:rtl/>
        </w:rPr>
        <w:t>ي</w:t>
      </w:r>
      <w:r w:rsidRPr="006571AC">
        <w:rPr>
          <w:rFonts w:ascii="Sakkal Majalla" w:hAnsi="Sakkal Majalla" w:cs="AL-Mohanad" w:hint="cs"/>
          <w:sz w:val="27"/>
          <w:szCs w:val="27"/>
          <w:rtl/>
        </w:rPr>
        <w:t xml:space="preserve">نة، </w:t>
      </w:r>
      <w:r w:rsidRPr="006571AC">
        <w:rPr>
          <w:rFonts w:ascii="Sakkal Majalla" w:hAnsi="Sakkal Majalla" w:cs="AL-Mohanad"/>
          <w:sz w:val="27"/>
          <w:szCs w:val="27"/>
          <w:rtl/>
        </w:rPr>
        <w:t>و</w:t>
      </w:r>
      <w:r w:rsidR="004D24FA" w:rsidRPr="006571AC">
        <w:rPr>
          <w:rFonts w:ascii="Sakkal Majalla" w:hAnsi="Sakkal Majalla" w:cs="AL-Mohanad" w:hint="cs"/>
          <w:sz w:val="27"/>
          <w:szCs w:val="27"/>
          <w:rtl/>
        </w:rPr>
        <w:t>ا</w:t>
      </w:r>
      <w:r w:rsidRPr="006571AC">
        <w:rPr>
          <w:rFonts w:ascii="Sakkal Majalla" w:hAnsi="Sakkal Majalla" w:cs="AL-Mohanad"/>
          <w:sz w:val="27"/>
          <w:szCs w:val="27"/>
          <w:rtl/>
        </w:rPr>
        <w:t>ستقر</w:t>
      </w:r>
      <w:r w:rsidR="004D24FA" w:rsidRPr="006571AC">
        <w:rPr>
          <w:rFonts w:ascii="Sakkal Majalla" w:hAnsi="Sakkal Majalla" w:cs="AL-Mohanad" w:hint="cs"/>
          <w:sz w:val="27"/>
          <w:szCs w:val="27"/>
          <w:rtl/>
        </w:rPr>
        <w:t>ّ</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لهم </w:t>
      </w:r>
      <w:r w:rsidRPr="006571AC">
        <w:rPr>
          <w:rFonts w:ascii="Sakkal Majalla" w:hAnsi="Sakkal Majalla" w:cs="AL-Mohanad" w:hint="cs"/>
          <w:sz w:val="27"/>
          <w:szCs w:val="27"/>
          <w:rtl/>
        </w:rPr>
        <w:t>ال</w:t>
      </w:r>
      <w:r w:rsidRPr="006571AC">
        <w:rPr>
          <w:rFonts w:ascii="Sakkal Majalla" w:hAnsi="Sakkal Majalla" w:cs="AL-Mohanad"/>
          <w:sz w:val="27"/>
          <w:szCs w:val="27"/>
          <w:rtl/>
        </w:rPr>
        <w:t>حكومة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قد</w:t>
      </w:r>
      <w:r w:rsidRPr="006571AC">
        <w:rPr>
          <w:rFonts w:ascii="Sakkal Majalla" w:hAnsi="Sakkal Majalla" w:cs="AL-Mohanad"/>
          <w:sz w:val="27"/>
          <w:szCs w:val="27"/>
          <w:rtl/>
        </w:rPr>
        <w:t xml:space="preserve"> وعد المجاهد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بالرحمة</w:t>
      </w:r>
      <w:r w:rsidRPr="006571AC">
        <w:rPr>
          <w:rFonts w:ascii="Sakkal Majalla" w:hAnsi="Sakkal Majalla" w:cs="AL-Mohanad"/>
          <w:sz w:val="27"/>
          <w:szCs w:val="27"/>
          <w:rtl/>
        </w:rPr>
        <w:t xml:space="preserve"> والمغفرة</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 </w:t>
      </w:r>
      <w:r w:rsidRPr="006571AC">
        <w:rPr>
          <w:rFonts w:ascii="Mosawi" w:hAnsi="Mosawi" w:cs="Mosawi"/>
          <w:rtl/>
        </w:rPr>
        <w:t>﴿</w:t>
      </w:r>
      <w:r w:rsidR="004D24FA" w:rsidRPr="006571AC">
        <w:rPr>
          <w:rFonts w:ascii="Sakkal Majalla" w:hAnsi="Sakkal Majalla" w:cs="AL-Mohanad"/>
          <w:b/>
          <w:bCs/>
          <w:sz w:val="27"/>
          <w:szCs w:val="27"/>
          <w:rtl/>
        </w:rPr>
        <w:t>إِن</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 الَّذِينَ‏ آمَنُوا 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الَّذِينَ‏ ه</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اجَرُوا 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ج</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اهَدُوا فِي‏ سَبِيلِ‏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أ</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ول</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ئِكَ‏ يَرْجُونَ‏ رَحْمَ</w:t>
      </w:r>
      <w:r w:rsidR="004D24FA" w:rsidRPr="006571AC">
        <w:rPr>
          <w:rFonts w:ascii="Sakkal Majalla" w:hAnsi="Sakkal Majalla" w:cs="AL-Mohanad" w:hint="cs"/>
          <w:b/>
          <w:bCs/>
          <w:sz w:val="27"/>
          <w:szCs w:val="27"/>
          <w:rtl/>
        </w:rPr>
        <w:t>ةَ</w:t>
      </w:r>
      <w:r w:rsidRPr="006571AC">
        <w:rPr>
          <w:rFonts w:ascii="Sakkal Majalla" w:hAnsi="Sakkal Majalla" w:cs="AL-Mohanad"/>
          <w:b/>
          <w:bCs/>
          <w:sz w:val="27"/>
          <w:szCs w:val="27"/>
          <w:rtl/>
        </w:rPr>
        <w:t xml:space="preserve">‏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و</w:t>
      </w:r>
      <w:r w:rsidR="004D24FA"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غَفُورٌ رَحِيم</w:t>
      </w:r>
      <w:r w:rsidR="004D24FA"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(البقرة: 218)</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كما </w:t>
      </w:r>
      <w:r w:rsidRPr="006571AC">
        <w:rPr>
          <w:rFonts w:ascii="Sakkal Majalla" w:hAnsi="Sakkal Majalla" w:cs="AL-Mohanad" w:hint="cs"/>
          <w:sz w:val="27"/>
          <w:szCs w:val="27"/>
          <w:rtl/>
        </w:rPr>
        <w:t xml:space="preserve">أنّه تعالى </w:t>
      </w:r>
      <w:r w:rsidR="004D24FA" w:rsidRPr="006571AC">
        <w:rPr>
          <w:rFonts w:ascii="Sakkal Majalla" w:hAnsi="Sakkal Majalla" w:cs="AL-Mohanad" w:hint="cs"/>
          <w:sz w:val="27"/>
          <w:szCs w:val="27"/>
          <w:rtl/>
        </w:rPr>
        <w:t>هدَّد</w:t>
      </w:r>
      <w:r w:rsidRPr="006571AC">
        <w:rPr>
          <w:rFonts w:ascii="Sakkal Majalla" w:hAnsi="Sakkal Majalla" w:cs="AL-Mohanad"/>
          <w:sz w:val="27"/>
          <w:szCs w:val="27"/>
          <w:rtl/>
        </w:rPr>
        <w:t xml:space="preserve"> المتخل</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ف</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المتقاعد</w:t>
      </w:r>
      <w:r w:rsidRPr="006571AC">
        <w:rPr>
          <w:rFonts w:cs="AL-Mohanad" w:hint="cs"/>
          <w:sz w:val="27"/>
          <w:szCs w:val="27"/>
          <w:rtl/>
        </w:rPr>
        <w:t>ي</w:t>
      </w:r>
      <w:r w:rsidRPr="006571AC">
        <w:rPr>
          <w:rFonts w:ascii="Sakkal Majalla" w:hAnsi="Sakkal Majalla" w:cs="AL-Mohanad" w:hint="cs"/>
          <w:sz w:val="27"/>
          <w:szCs w:val="27"/>
          <w:rtl/>
        </w:rPr>
        <w:t>ن</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تمس</w:t>
      </w:r>
      <w:r w:rsidR="004D24FA" w:rsidRPr="006571AC">
        <w:rPr>
          <w:rFonts w:ascii="Sakkal Majalla" w:hAnsi="Sakkal Majalla" w:cs="AL-Mohanad" w:hint="cs"/>
          <w:sz w:val="27"/>
          <w:szCs w:val="27"/>
          <w:rtl/>
        </w:rPr>
        <w:t>َّ</w:t>
      </w:r>
      <w:r w:rsidRPr="006571AC">
        <w:rPr>
          <w:rFonts w:ascii="Sakkal Majalla" w:hAnsi="Sakkal Majalla" w:cs="AL-Mohanad" w:hint="cs"/>
          <w:sz w:val="27"/>
          <w:szCs w:val="27"/>
          <w:rtl/>
        </w:rPr>
        <w:t>كوا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بأ</w:t>
      </w:r>
      <w:r w:rsidRPr="006571AC">
        <w:rPr>
          <w:rFonts w:ascii="Sakkal Majalla" w:hAnsi="Sakkal Majalla" w:cs="AL-Mohanad"/>
          <w:sz w:val="27"/>
          <w:szCs w:val="27"/>
          <w:rtl/>
        </w:rPr>
        <w:t>عذار واه</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لل</w:t>
      </w:r>
      <w:r w:rsidRPr="006571AC">
        <w:rPr>
          <w:rFonts w:ascii="Sakkal Majalla" w:hAnsi="Sakkal Majalla" w:cs="AL-Mohanad" w:hint="cs"/>
          <w:sz w:val="27"/>
          <w:szCs w:val="27"/>
          <w:rtl/>
        </w:rPr>
        <w:t>إ</w:t>
      </w:r>
      <w:r w:rsidRPr="006571AC">
        <w:rPr>
          <w:rFonts w:ascii="Sakkal Majalla" w:hAnsi="Sakkal Majalla" w:cs="AL-Mohanad"/>
          <w:sz w:val="27"/>
          <w:szCs w:val="27"/>
          <w:rtl/>
        </w:rPr>
        <w:t>عراض عن الجهاد</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بنار جهنّ</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م</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فَرِحَ‏ الْمُخَلَّفُونَ‏ بِمَقْعَدِهِمْ‏ خِلا</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فَ‏ رَسُولِ‏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كَرِهُوا أَنْ‏ يُج</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اهِدُوا بِأَمْو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الِهِمْ‏ 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أَنْفُسِهِمْ‏ فِي‏ سَبِيلِ‏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ق</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الُوا لا</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تَنْفِرُوا فِي‏ الْحَرِّ قُلْ‏ ن</w:t>
      </w:r>
      <w:r w:rsidR="00AB0B94" w:rsidRPr="006571AC">
        <w:rPr>
          <w:rFonts w:ascii="Sakkal Majalla" w:hAnsi="Sakkal Majalla" w:cs="AL-Mohanad" w:hint="cs"/>
          <w:b/>
          <w:bCs/>
          <w:sz w:val="27"/>
          <w:szCs w:val="27"/>
          <w:rtl/>
        </w:rPr>
        <w:t>َ</w:t>
      </w:r>
      <w:r w:rsidRPr="006571AC">
        <w:rPr>
          <w:rFonts w:ascii="Sakkal Majalla" w:hAnsi="Sakkal Majalla" w:cs="AL-Mohanad"/>
          <w:b/>
          <w:bCs/>
          <w:sz w:val="27"/>
          <w:szCs w:val="27"/>
          <w:rtl/>
        </w:rPr>
        <w:t>ارُ جَهَنَّمَ‏ أَشَدُّ حَرّاً لَوْ ك</w:t>
      </w:r>
      <w:r w:rsidR="00AB0B94" w:rsidRPr="006571AC">
        <w:rPr>
          <w:rFonts w:ascii="Sakkal Majalla" w:hAnsi="Sakkal Majalla" w:cs="AL-Mohanad" w:hint="cs"/>
          <w:b/>
          <w:bCs/>
          <w:sz w:val="27"/>
          <w:szCs w:val="27"/>
          <w:rtl/>
        </w:rPr>
        <w:t>َ</w:t>
      </w:r>
      <w:r w:rsidRPr="006571AC">
        <w:rPr>
          <w:rFonts w:ascii="Sakkal Majalla" w:hAnsi="Sakkal Majalla" w:cs="AL-Mohanad"/>
          <w:b/>
          <w:bCs/>
          <w:sz w:val="27"/>
          <w:szCs w:val="27"/>
          <w:rtl/>
        </w:rPr>
        <w:t>انُوا يَفْقَهُون</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w:t>
      </w:r>
      <w:r w:rsidRPr="006571AC">
        <w:rPr>
          <w:rFonts w:ascii="Mosawi" w:hAnsi="Mosawi" w:cs="Mosawi"/>
          <w:rtl/>
        </w:rPr>
        <w:t>﴾</w:t>
      </w:r>
      <w:r w:rsidRPr="006571AC">
        <w:rPr>
          <w:rFonts w:ascii="Sakkal Majalla" w:hAnsi="Sakkal Majalla" w:cs="AL-Mohanad" w:hint="cs"/>
          <w:sz w:val="27"/>
          <w:szCs w:val="27"/>
          <w:rtl/>
        </w:rPr>
        <w:t xml:space="preserve"> (التوبة: 81).</w:t>
      </w:r>
      <w:r w:rsidRPr="006571AC">
        <w:rPr>
          <w:rFonts w:ascii="Sakkal Majalla" w:hAnsi="Sakkal Majalla" w:cs="AL-Mohanad"/>
          <w:sz w:val="27"/>
          <w:szCs w:val="27"/>
          <w:rtl/>
        </w:rPr>
        <w:t xml:space="preserve"> </w:t>
      </w:r>
    </w:p>
    <w:p w:rsidR="005D05A4" w:rsidRPr="006571AC" w:rsidRDefault="005D05A4" w:rsidP="002053F1">
      <w:pPr>
        <w:pStyle w:val="af"/>
        <w:rPr>
          <w:rFonts w:ascii="Sakkal Majalla" w:hAnsi="Sakkal Majalla" w:cs="AL-Mohanad"/>
          <w:sz w:val="27"/>
          <w:szCs w:val="27"/>
          <w:rtl/>
        </w:rPr>
      </w:pPr>
      <w:r w:rsidRPr="006571AC">
        <w:rPr>
          <w:rFonts w:ascii="Sakkal Majalla" w:hAnsi="Sakkal Majalla" w:cs="AL-Mohanad" w:hint="cs"/>
          <w:sz w:val="27"/>
          <w:szCs w:val="27"/>
          <w:rtl/>
        </w:rPr>
        <w:t>إ</w:t>
      </w:r>
      <w:r w:rsidRPr="006571AC">
        <w:rPr>
          <w:rFonts w:ascii="Sakkal Majalla" w:hAnsi="Sakkal Majalla" w:cs="AL-Mohanad"/>
          <w:sz w:val="27"/>
          <w:szCs w:val="27"/>
          <w:rtl/>
        </w:rPr>
        <w:t>ذن هذه الآ</w:t>
      </w:r>
      <w:r w:rsidRPr="006571AC">
        <w:rPr>
          <w:rFonts w:cs="AL-Mohanad" w:hint="cs"/>
          <w:sz w:val="27"/>
          <w:szCs w:val="27"/>
          <w:rtl/>
        </w:rPr>
        <w:t>ي</w:t>
      </w:r>
      <w:r w:rsidRPr="006571AC">
        <w:rPr>
          <w:rFonts w:ascii="Sakkal Majalla" w:hAnsi="Sakkal Majalla" w:cs="AL-Mohanad" w:hint="cs"/>
          <w:sz w:val="27"/>
          <w:szCs w:val="27"/>
          <w:rtl/>
        </w:rPr>
        <w:t>ات</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وغ</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الجهاد</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82"/>
      </w:r>
      <w:r w:rsidRPr="006571AC">
        <w:rPr>
          <w:rFonts w:ascii="Sakkal Majalla" w:hAnsi="Sakkal Majalla" w:cs="AL-Mohanad"/>
          <w:sz w:val="27"/>
          <w:szCs w:val="27"/>
          <w:vertAlign w:val="superscript"/>
          <w:rtl/>
        </w:rPr>
        <w:t>)</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لم تنز</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ل</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واخر ح</w:t>
      </w:r>
      <w:r w:rsidRPr="006571AC">
        <w:rPr>
          <w:rFonts w:cs="AL-Mohanad" w:hint="cs"/>
          <w:sz w:val="27"/>
          <w:szCs w:val="27"/>
          <w:rtl/>
        </w:rPr>
        <w:t>ي</w:t>
      </w:r>
      <w:r w:rsidRPr="006571AC">
        <w:rPr>
          <w:rFonts w:ascii="Sakkal Majalla" w:hAnsi="Sakkal Majalla" w:cs="AL-Mohanad" w:hint="cs"/>
          <w:sz w:val="27"/>
          <w:szCs w:val="27"/>
          <w:rtl/>
        </w:rPr>
        <w:t>اة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AB0B94"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بل نزلت </w:t>
      </w:r>
      <w:r w:rsidRPr="006571AC">
        <w:rPr>
          <w:rFonts w:ascii="Sakkal Majalla" w:hAnsi="Sakkal Majalla" w:cs="AL-Mohanad" w:hint="cs"/>
          <w:sz w:val="27"/>
          <w:szCs w:val="27"/>
          <w:rtl/>
        </w:rPr>
        <w:t>ط</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الفترة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w:t>
      </w:r>
      <w:r w:rsidR="002053F1"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00AB0B94" w:rsidRPr="006571AC">
        <w:rPr>
          <w:rFonts w:ascii="Sakkal Majalla" w:hAnsi="Sakkal Majalla" w:cs="AL-Mohanad" w:hint="cs"/>
          <w:sz w:val="27"/>
          <w:szCs w:val="27"/>
          <w:rtl/>
        </w:rPr>
        <w:t>أ</w:t>
      </w:r>
      <w:r w:rsidRPr="006571AC">
        <w:rPr>
          <w:rFonts w:ascii="Sakkal Majalla" w:hAnsi="Sakkal Majalla" w:cs="AL-Mohanad"/>
          <w:sz w:val="27"/>
          <w:szCs w:val="27"/>
          <w:rtl/>
        </w:rPr>
        <w:t>قامها النب</w:t>
      </w:r>
      <w:r w:rsidR="002053F1" w:rsidRPr="006571AC">
        <w:rPr>
          <w:rFonts w:ascii="Sakkal Majalla" w:hAnsi="Sakkal Majalla" w:cs="AL-Mohanad" w:hint="cs"/>
          <w:sz w:val="27"/>
          <w:szCs w:val="27"/>
          <w:rtl/>
        </w:rPr>
        <w:t>يّ</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نة</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وم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الهجرة</w:t>
      </w:r>
      <w:r w:rsidRPr="006571AC">
        <w:rPr>
          <w:rFonts w:ascii="Sakkal Majalla" w:hAnsi="Sakkal Majalla" w:cs="AL-Mohanad"/>
          <w:sz w:val="27"/>
          <w:szCs w:val="27"/>
          <w:rtl/>
        </w:rPr>
        <w:t xml:space="preserve"> إلى </w:t>
      </w:r>
      <w:r w:rsidRPr="006571AC">
        <w:rPr>
          <w:rFonts w:cs="AL-Mohanad" w:hint="cs"/>
          <w:sz w:val="27"/>
          <w:szCs w:val="27"/>
          <w:rtl/>
        </w:rPr>
        <w:t>ي</w:t>
      </w:r>
      <w:r w:rsidRPr="006571AC">
        <w:rPr>
          <w:rFonts w:ascii="Sakkal Majalla" w:hAnsi="Sakkal Majalla" w:cs="AL-Mohanad" w:hint="cs"/>
          <w:sz w:val="27"/>
          <w:szCs w:val="27"/>
          <w:rtl/>
        </w:rPr>
        <w:t>وم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فتح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مك</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 xml:space="preserve">بل </w:t>
      </w:r>
      <w:r w:rsidR="00AB0B94" w:rsidRPr="006571AC">
        <w:rPr>
          <w:rFonts w:ascii="Sakkal Majalla" w:hAnsi="Sakkal Majalla" w:cs="AL-Mohanad" w:hint="cs"/>
          <w:sz w:val="27"/>
          <w:szCs w:val="27"/>
          <w:rtl/>
        </w:rPr>
        <w:t>إلى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فتح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مك</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عندما</w:t>
      </w:r>
      <w:r w:rsidRPr="006571AC">
        <w:rPr>
          <w:rFonts w:ascii="Sakkal Majalla" w:hAnsi="Sakkal Majalla" w:cs="AL-Mohanad"/>
          <w:sz w:val="27"/>
          <w:szCs w:val="27"/>
          <w:rtl/>
        </w:rPr>
        <w:t xml:space="preserve"> دخل ف</w:t>
      </w:r>
      <w:r w:rsidRPr="006571AC">
        <w:rPr>
          <w:rFonts w:ascii="Sakkal Majalla" w:hAnsi="Sakkal Majalla" w:cs="AL-Mohanad" w:hint="cs"/>
          <w:sz w:val="27"/>
          <w:szCs w:val="27"/>
          <w:rtl/>
        </w:rPr>
        <w:t>ي</w:t>
      </w:r>
      <w:r w:rsidR="002053F1" w:rsidRPr="006571AC">
        <w:rPr>
          <w:rFonts w:ascii="Sakkal Majalla" w:hAnsi="Sakkal Majalla" w:cs="AL-Mohanad"/>
          <w:sz w:val="27"/>
          <w:szCs w:val="27"/>
          <w:rtl/>
        </w:rPr>
        <w:t xml:space="preserve"> حر</w:t>
      </w:r>
      <w:r w:rsidR="002053F1" w:rsidRPr="006571AC">
        <w:rPr>
          <w:rFonts w:ascii="Sakkal Majalla" w:hAnsi="Sakkal Majalla" w:cs="AL-Mohanad" w:hint="cs"/>
          <w:sz w:val="27"/>
          <w:szCs w:val="27"/>
          <w:rtl/>
        </w:rPr>
        <w:t>بٍ</w:t>
      </w:r>
      <w:r w:rsidRPr="006571AC">
        <w:rPr>
          <w:rFonts w:ascii="Sakkal Majalla" w:hAnsi="Sakkal Majalla" w:cs="AL-Mohanad"/>
          <w:sz w:val="27"/>
          <w:szCs w:val="27"/>
          <w:rtl/>
        </w:rPr>
        <w:t xml:space="preserve"> مع الروم وبعض القبائل العرب</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غزوات حن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 الطائف وتبو</w:t>
      </w:r>
      <w:r w:rsidRPr="006571AC">
        <w:rPr>
          <w:rFonts w:ascii="Sakkal Majalla" w:hAnsi="Sakkal Majalla" w:cs="AL-Mohanad" w:hint="cs"/>
          <w:sz w:val="27"/>
          <w:szCs w:val="27"/>
          <w:rtl/>
        </w:rPr>
        <w:t xml:space="preserve">ك، </w:t>
      </w:r>
      <w:r w:rsidRPr="006571AC">
        <w:rPr>
          <w:rFonts w:ascii="Sakkal Majalla" w:hAnsi="Sakkal Majalla" w:cs="AL-Mohanad"/>
          <w:sz w:val="27"/>
          <w:szCs w:val="27"/>
          <w:rtl/>
        </w:rPr>
        <w:t>وقد قام النب</w:t>
      </w:r>
      <w:r w:rsidRPr="006571AC">
        <w:rPr>
          <w:rFonts w:ascii="Sakkal Majalla" w:hAnsi="Sakkal Majalla" w:cs="AL-Mohanad" w:hint="cs"/>
          <w:sz w:val="27"/>
          <w:szCs w:val="27"/>
          <w:rtl/>
        </w:rPr>
        <w:t>ي</w:t>
      </w:r>
      <w:r w:rsidR="00AB0B94"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ط</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السنوات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الممتد</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بتحر</w:t>
      </w:r>
      <w:r w:rsidRPr="006571AC">
        <w:rPr>
          <w:rFonts w:cs="AL-Mohanad" w:hint="cs"/>
          <w:sz w:val="27"/>
          <w:szCs w:val="27"/>
          <w:rtl/>
        </w:rPr>
        <w:t>ي</w:t>
      </w:r>
      <w:r w:rsidRPr="006571AC">
        <w:rPr>
          <w:rFonts w:ascii="Sakkal Majalla" w:hAnsi="Sakkal Majalla" w:cs="AL-Mohanad"/>
          <w:sz w:val="27"/>
          <w:szCs w:val="27"/>
          <w:rtl/>
        </w:rPr>
        <w:t>ض المسلم</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ـ بم</w:t>
      </w:r>
      <w:r w:rsidR="00AB0B94"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المنافق</w:t>
      </w:r>
      <w:r w:rsidR="00AB0B94" w:rsidRPr="006571AC">
        <w:rPr>
          <w:rFonts w:cs="AL-Mohanad" w:hint="cs"/>
          <w:sz w:val="27"/>
          <w:szCs w:val="27"/>
          <w:rtl/>
        </w:rPr>
        <w:t>و</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المتست</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00AB0B94" w:rsidRPr="006571AC">
        <w:rPr>
          <w:rFonts w:cs="AL-Mohanad" w:hint="cs"/>
          <w:sz w:val="27"/>
          <w:szCs w:val="27"/>
          <w:rtl/>
        </w:rPr>
        <w:t>و</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w:t>
      </w:r>
      <w:r w:rsidRPr="006571AC">
        <w:rPr>
          <w:rFonts w:cs="AL-Mohanad" w:hint="cs"/>
          <w:sz w:val="27"/>
          <w:szCs w:val="27"/>
          <w:rtl/>
        </w:rPr>
        <w:t>ي</w:t>
      </w:r>
      <w:r w:rsidRPr="006571AC">
        <w:rPr>
          <w:rFonts w:ascii="Sakkal Majalla" w:hAnsi="Sakkal Majalla" w:cs="AL-Mohanad" w:hint="cs"/>
          <w:sz w:val="27"/>
          <w:szCs w:val="27"/>
          <w:rtl/>
        </w:rPr>
        <w:t>نهم</w:t>
      </w:r>
      <w:r w:rsidRPr="006571AC">
        <w:rPr>
          <w:rFonts w:ascii="Sakkal Majalla" w:hAnsi="Sakkal Majalla" w:cs="AL-Mohanad"/>
          <w:sz w:val="27"/>
          <w:szCs w:val="27"/>
          <w:rtl/>
        </w:rPr>
        <w:t xml:space="preserve"> ـ وتر</w:t>
      </w:r>
      <w:r w:rsidR="00AB0B94" w:rsidRPr="006571AC">
        <w:rPr>
          <w:rFonts w:ascii="Sakkal Majalla" w:hAnsi="Sakkal Majalla" w:cs="AL-Mohanad" w:hint="cs"/>
          <w:sz w:val="27"/>
          <w:szCs w:val="27"/>
          <w:rtl/>
        </w:rPr>
        <w:t>غ</w:t>
      </w:r>
      <w:r w:rsidRPr="006571AC">
        <w:rPr>
          <w:rFonts w:cs="AL-Mohanad" w:hint="cs"/>
          <w:sz w:val="27"/>
          <w:szCs w:val="27"/>
          <w:rtl/>
        </w:rPr>
        <w:t>ي</w:t>
      </w:r>
      <w:r w:rsidRPr="006571AC">
        <w:rPr>
          <w:rFonts w:ascii="Sakkal Majalla" w:hAnsi="Sakkal Majalla" w:cs="AL-Mohanad" w:hint="cs"/>
          <w:sz w:val="27"/>
          <w:szCs w:val="27"/>
          <w:rtl/>
        </w:rPr>
        <w:t>به</w:t>
      </w:r>
      <w:r w:rsidR="00AB0B94" w:rsidRPr="006571AC">
        <w:rPr>
          <w:rFonts w:ascii="Sakkal Majalla" w:hAnsi="Sakkal Majalla" w:cs="AL-Mohanad" w:hint="cs"/>
          <w:sz w:val="27"/>
          <w:szCs w:val="27"/>
          <w:rtl/>
        </w:rPr>
        <w:t>م</w:t>
      </w:r>
      <w:r w:rsidRPr="006571AC">
        <w:rPr>
          <w:rFonts w:ascii="Sakkal Majalla" w:hAnsi="Sakkal Majalla" w:cs="AL-Mohanad" w:hint="cs"/>
          <w:sz w:val="27"/>
          <w:szCs w:val="27"/>
          <w:rtl/>
        </w:rPr>
        <w:t xml:space="preserve"> في</w:t>
      </w:r>
      <w:r w:rsidRPr="006571AC">
        <w:rPr>
          <w:rFonts w:ascii="Sakkal Majalla" w:hAnsi="Sakkal Majalla" w:cs="AL-Mohanad"/>
          <w:sz w:val="27"/>
          <w:szCs w:val="27"/>
          <w:rtl/>
        </w:rPr>
        <w:t xml:space="preserve"> الجهاد</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حكامه</w:t>
      </w:r>
      <w:r w:rsidRPr="006571AC">
        <w:rPr>
          <w:rFonts w:ascii="Sakkal Majalla" w:hAnsi="Sakkal Majalla" w:cs="AL-Mohanad" w:hint="cs"/>
          <w:sz w:val="27"/>
          <w:szCs w:val="27"/>
          <w:rtl/>
        </w:rPr>
        <w:t>، حت</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ى أ</w:t>
      </w:r>
      <w:r w:rsidRPr="006571AC">
        <w:rPr>
          <w:rFonts w:ascii="Sakkal Majalla" w:hAnsi="Sakkal Majalla" w:cs="AL-Mohanad"/>
          <w:sz w:val="27"/>
          <w:szCs w:val="27"/>
          <w:rtl/>
        </w:rPr>
        <w:t xml:space="preserve">صبحت </w:t>
      </w:r>
      <w:r w:rsidRPr="006571AC">
        <w:rPr>
          <w:rFonts w:ascii="Sakkal Majalla" w:hAnsi="Sakkal Majalla" w:cs="AL-Mohanad" w:hint="cs"/>
          <w:sz w:val="27"/>
          <w:szCs w:val="27"/>
          <w:rtl/>
        </w:rPr>
        <w:t>أ</w:t>
      </w:r>
      <w:r w:rsidRPr="006571AC">
        <w:rPr>
          <w:rFonts w:ascii="Sakkal Majalla" w:hAnsi="Sakkal Majalla" w:cs="AL-Mohanad"/>
          <w:sz w:val="27"/>
          <w:szCs w:val="27"/>
          <w:rtl/>
        </w:rPr>
        <w:t>هم</w:t>
      </w:r>
      <w:r w:rsidR="00AB0B94" w:rsidRPr="006571AC">
        <w:rPr>
          <w:rFonts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واضحة</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لد</w:t>
      </w:r>
      <w:r w:rsidR="00AB0B94" w:rsidRPr="006571AC">
        <w:rPr>
          <w:rFonts w:cs="AL-Mohanad" w:hint="cs"/>
          <w:sz w:val="27"/>
          <w:szCs w:val="27"/>
          <w:rtl/>
        </w:rPr>
        <w:t>ى</w:t>
      </w:r>
      <w:r w:rsidRPr="006571AC">
        <w:rPr>
          <w:rFonts w:ascii="Sakkal Majalla" w:hAnsi="Sakkal Majalla" w:cs="AL-Mohanad" w:hint="cs"/>
          <w:sz w:val="27"/>
          <w:szCs w:val="27"/>
          <w:rtl/>
        </w:rPr>
        <w:t xml:space="preserve"> 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المسلم</w:t>
      </w:r>
      <w:r w:rsidRPr="006571AC">
        <w:rPr>
          <w:rFonts w:cs="AL-Mohanad" w:hint="cs"/>
          <w:sz w:val="27"/>
          <w:szCs w:val="27"/>
          <w:rtl/>
        </w:rPr>
        <w:t>ي</w:t>
      </w:r>
      <w:r w:rsidRPr="006571AC">
        <w:rPr>
          <w:rFonts w:ascii="Sakkal Majalla" w:hAnsi="Sakkal Majalla" w:cs="AL-Mohanad" w:hint="cs"/>
          <w:sz w:val="27"/>
          <w:szCs w:val="27"/>
          <w:rtl/>
        </w:rPr>
        <w:t xml:space="preserve">ن، </w:t>
      </w:r>
      <w:r w:rsidR="00AB0B94" w:rsidRPr="006571AC">
        <w:rPr>
          <w:rFonts w:ascii="Sakkal Majalla" w:hAnsi="Sakkal Majalla" w:cs="AL-Mohanad"/>
          <w:sz w:val="27"/>
          <w:szCs w:val="27"/>
          <w:rtl/>
        </w:rPr>
        <w:t>و</w:t>
      </w:r>
      <w:r w:rsidRPr="006571AC">
        <w:rPr>
          <w:rFonts w:ascii="Sakkal Majalla" w:hAnsi="Sakkal Majalla" w:cs="AL-Mohanad"/>
          <w:sz w:val="27"/>
          <w:szCs w:val="27"/>
          <w:rtl/>
        </w:rPr>
        <w:t>قد ذكر لنا التار</w:t>
      </w:r>
      <w:r w:rsidRPr="006571AC">
        <w:rPr>
          <w:rFonts w:cs="AL-Mohanad" w:hint="cs"/>
          <w:sz w:val="27"/>
          <w:szCs w:val="27"/>
          <w:rtl/>
        </w:rPr>
        <w:t>ي</w:t>
      </w:r>
      <w:r w:rsidRPr="006571AC">
        <w:rPr>
          <w:rFonts w:ascii="Sakkal Majalla" w:hAnsi="Sakkal Majalla" w:cs="AL-Mohanad" w:hint="cs"/>
          <w:sz w:val="27"/>
          <w:szCs w:val="27"/>
          <w:rtl/>
        </w:rPr>
        <w:t>خ</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الاسلامي</w:t>
      </w:r>
      <w:r w:rsidRPr="006571AC">
        <w:rPr>
          <w:rFonts w:ascii="Sakkal Majalla" w:hAnsi="Sakkal Majalla" w:cs="AL-Mohanad"/>
          <w:sz w:val="27"/>
          <w:szCs w:val="27"/>
          <w:rtl/>
        </w:rPr>
        <w:t xml:space="preserve"> قصص</w:t>
      </w:r>
      <w:r w:rsidR="00AB0B94"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كث</w:t>
      </w:r>
      <w:r w:rsidRPr="006571AC">
        <w:rPr>
          <w:rFonts w:cs="AL-Mohanad" w:hint="cs"/>
          <w:sz w:val="27"/>
          <w:szCs w:val="27"/>
          <w:rtl/>
        </w:rPr>
        <w:t>ي</w:t>
      </w:r>
      <w:r w:rsidRPr="006571AC">
        <w:rPr>
          <w:rFonts w:ascii="Sakkal Majalla" w:hAnsi="Sakkal Majalla" w:cs="AL-Mohanad" w:hint="cs"/>
          <w:sz w:val="27"/>
          <w:szCs w:val="27"/>
          <w:rtl/>
        </w:rPr>
        <w:t>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الشباب</w:t>
      </w:r>
      <w:r w:rsidRPr="006571AC">
        <w:rPr>
          <w:rFonts w:ascii="Sakkal Majalla" w:hAnsi="Sakkal Majalla" w:cs="AL-Mohanad"/>
          <w:sz w:val="27"/>
          <w:szCs w:val="27"/>
          <w:rtl/>
        </w:rPr>
        <w:t xml:space="preserve"> والش</w:t>
      </w:r>
      <w:r w:rsidRPr="006571AC">
        <w:rPr>
          <w:rFonts w:cs="AL-Mohanad" w:hint="cs"/>
          <w:sz w:val="27"/>
          <w:szCs w:val="27"/>
          <w:rtl/>
        </w:rPr>
        <w:t>ي</w:t>
      </w:r>
      <w:r w:rsidRPr="006571AC">
        <w:rPr>
          <w:rFonts w:ascii="Sakkal Majalla" w:hAnsi="Sakkal Majalla" w:cs="AL-Mohanad" w:hint="cs"/>
          <w:sz w:val="27"/>
          <w:szCs w:val="27"/>
          <w:rtl/>
        </w:rPr>
        <w:t>وخ</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المتشو</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ق</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الجهاد</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كانوا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طلبون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الرخصة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AB0B94"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للجهاد والتضح</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سب</w:t>
      </w:r>
      <w:r w:rsidRPr="006571AC">
        <w:rPr>
          <w:rFonts w:cs="AL-Mohanad" w:hint="cs"/>
          <w:sz w:val="27"/>
          <w:szCs w:val="27"/>
          <w:rtl/>
        </w:rPr>
        <w:t>ي</w:t>
      </w:r>
      <w:r w:rsidRPr="006571AC">
        <w:rPr>
          <w:rFonts w:ascii="Sakkal Majalla" w:hAnsi="Sakkal Majalla" w:cs="AL-Mohanad" w:hint="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تعال</w:t>
      </w:r>
      <w:r w:rsidRPr="006571AC">
        <w:rPr>
          <w:rFonts w:cs="AL-Mohanad" w:hint="cs"/>
          <w:sz w:val="27"/>
          <w:szCs w:val="27"/>
          <w:rtl/>
        </w:rPr>
        <w:t>ى</w:t>
      </w:r>
      <w:r w:rsidRPr="006571AC">
        <w:rPr>
          <w:rFonts w:ascii="Sakkal Majalla" w:hAnsi="Sakkal Majalla" w:cs="AL-Mohanad" w:hint="cs"/>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و</w:t>
      </w:r>
      <w:r w:rsidRPr="006571AC">
        <w:rPr>
          <w:rFonts w:ascii="Sakkal Majalla" w:hAnsi="Sakkal Majalla" w:cs="AL-Mohanad" w:hint="cs"/>
          <w:sz w:val="27"/>
          <w:szCs w:val="27"/>
          <w:rtl/>
        </w:rPr>
        <w:t xml:space="preserve">لذلك </w:t>
      </w:r>
      <w:r w:rsidRPr="006571AC">
        <w:rPr>
          <w:rFonts w:ascii="Sakkal Majalla" w:hAnsi="Sakkal Majalla" w:cs="AL-Mohanad"/>
          <w:sz w:val="27"/>
          <w:szCs w:val="27"/>
          <w:rtl/>
        </w:rPr>
        <w:t xml:space="preserve">لا </w:t>
      </w:r>
      <w:r w:rsidRPr="006571AC">
        <w:rPr>
          <w:rFonts w:cs="AL-Mohanad" w:hint="cs"/>
          <w:sz w:val="27"/>
          <w:szCs w:val="27"/>
          <w:rtl/>
        </w:rPr>
        <w:t>ي</w:t>
      </w:r>
      <w:r w:rsidRPr="006571AC">
        <w:rPr>
          <w:rFonts w:ascii="Sakkal Majalla" w:hAnsi="Sakkal Majalla" w:cs="AL-Mohanad" w:hint="cs"/>
          <w:sz w:val="27"/>
          <w:szCs w:val="27"/>
          <w:rtl/>
        </w:rPr>
        <w:t>عقل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00AB0B94" w:rsidRPr="006571AC">
        <w:rPr>
          <w:rFonts w:cs="AL-Mohanad" w:hint="cs"/>
          <w:sz w:val="27"/>
          <w:szCs w:val="27"/>
          <w:rtl/>
        </w:rPr>
        <w:t>يتطرَّق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القرآن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ةً </w:t>
      </w:r>
      <w:r w:rsidR="00AB0B94" w:rsidRPr="006571AC">
        <w:rPr>
          <w:rFonts w:ascii="Sakkal Majalla" w:hAnsi="Sakkal Majalla" w:cs="AL-Mohanad" w:hint="cs"/>
          <w:sz w:val="27"/>
          <w:szCs w:val="27"/>
          <w:rtl/>
        </w:rPr>
        <w:t>أ</w:t>
      </w:r>
      <w:r w:rsidRPr="006571AC">
        <w:rPr>
          <w:rFonts w:ascii="Sakkal Majalla" w:hAnsi="Sakkal Majalla" w:cs="AL-Mohanad"/>
          <w:sz w:val="27"/>
          <w:szCs w:val="27"/>
          <w:rtl/>
        </w:rPr>
        <w:t>خر</w:t>
      </w:r>
      <w:r w:rsidR="00AB0B94" w:rsidRPr="006571AC">
        <w:rPr>
          <w:rFonts w:cs="AL-Mohanad" w:hint="cs"/>
          <w:sz w:val="27"/>
          <w:szCs w:val="27"/>
          <w:rtl/>
        </w:rPr>
        <w:t>ى،</w:t>
      </w:r>
      <w:r w:rsidRPr="006571AC">
        <w:rPr>
          <w:rFonts w:ascii="Sakkal Majalla" w:hAnsi="Sakkal Majalla" w:cs="AL-Mohanad"/>
          <w:sz w:val="27"/>
          <w:szCs w:val="27"/>
          <w:rtl/>
        </w:rPr>
        <w:t xml:space="preserve"> وبعد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الكث</w:t>
      </w:r>
      <w:r w:rsidRPr="006571AC">
        <w:rPr>
          <w:rFonts w:cs="AL-Mohanad" w:hint="cs"/>
          <w:sz w:val="27"/>
          <w:szCs w:val="27"/>
          <w:rtl/>
        </w:rPr>
        <w:t>ي</w:t>
      </w:r>
      <w:r w:rsidRPr="006571AC">
        <w:rPr>
          <w:rFonts w:ascii="Sakkal Majalla" w:hAnsi="Sakkal Majalla" w:cs="AL-Mohanad" w:hint="cs"/>
          <w:sz w:val="27"/>
          <w:szCs w:val="27"/>
          <w:rtl/>
        </w:rPr>
        <w:t>رة</w:t>
      </w:r>
      <w:r w:rsidRPr="006571AC">
        <w:rPr>
          <w:rFonts w:ascii="Sakkal Majalla" w:hAnsi="Sakkal Majalla" w:cs="AL-Mohanad"/>
          <w:sz w:val="27"/>
          <w:szCs w:val="27"/>
          <w:rtl/>
        </w:rPr>
        <w:t xml:space="preserve"> والمتكر</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رة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نزلت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الحثّ على </w:t>
      </w:r>
      <w:r w:rsidRPr="006571AC">
        <w:rPr>
          <w:rFonts w:ascii="Sakkal Majalla" w:hAnsi="Sakkal Majalla" w:cs="AL-Mohanad" w:hint="cs"/>
          <w:sz w:val="27"/>
          <w:szCs w:val="27"/>
          <w:rtl/>
        </w:rPr>
        <w:t xml:space="preserve">الجهاد، </w:t>
      </w:r>
      <w:r w:rsidRPr="006571AC">
        <w:rPr>
          <w:rFonts w:ascii="Sakkal Majalla" w:hAnsi="Sakkal Majalla" w:cs="AL-Mohanad"/>
          <w:sz w:val="27"/>
          <w:szCs w:val="27"/>
          <w:rtl/>
        </w:rPr>
        <w:t xml:space="preserve">إلى </w:t>
      </w:r>
      <w:r w:rsidRPr="006571AC">
        <w:rPr>
          <w:rFonts w:ascii="Sakkal Majalla" w:hAnsi="Sakkal Majalla" w:cs="AL-Mohanad" w:hint="cs"/>
          <w:sz w:val="27"/>
          <w:szCs w:val="27"/>
          <w:rtl/>
        </w:rPr>
        <w:t>موضوع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الجهاد</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عده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بالحفظ</w:t>
      </w:r>
      <w:r w:rsidRPr="006571AC">
        <w:rPr>
          <w:rFonts w:ascii="Sakkal Majalla" w:hAnsi="Sakkal Majalla" w:cs="AL-Mohanad"/>
          <w:sz w:val="27"/>
          <w:szCs w:val="27"/>
          <w:rtl/>
        </w:rPr>
        <w:t xml:space="preserve"> والعصمة </w:t>
      </w:r>
      <w:r w:rsidR="00C33236" w:rsidRPr="006571AC">
        <w:rPr>
          <w:rFonts w:ascii="Sakkal Majalla" w:hAnsi="Sakkal Majalla" w:cs="AL-Mohanad" w:hint="cs"/>
          <w:sz w:val="27"/>
          <w:szCs w:val="27"/>
          <w:rtl/>
        </w:rPr>
        <w:t>م</w:t>
      </w:r>
      <w:r w:rsidRPr="006571AC">
        <w:rPr>
          <w:rFonts w:ascii="Sakkal Majalla" w:hAnsi="Sakkal Majalla" w:cs="AL-Mohanad"/>
          <w:sz w:val="27"/>
          <w:szCs w:val="27"/>
          <w:rtl/>
        </w:rPr>
        <w:t xml:space="preserve">ن </w:t>
      </w:r>
      <w:r w:rsidRPr="006571AC">
        <w:rPr>
          <w:rFonts w:ascii="Sakkal Majalla" w:hAnsi="Sakkal Majalla" w:cs="AL-Mohanad" w:hint="cs"/>
          <w:sz w:val="27"/>
          <w:szCs w:val="27"/>
          <w:rtl/>
        </w:rPr>
        <w:t>أ</w:t>
      </w:r>
      <w:r w:rsidRPr="006571AC">
        <w:rPr>
          <w:rFonts w:cs="AL-Mohanad" w:hint="cs"/>
          <w:sz w:val="27"/>
          <w:szCs w:val="27"/>
          <w:rtl/>
        </w:rPr>
        <w:t>ي</w:t>
      </w:r>
      <w:r w:rsidR="00C33236"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خطرٍ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محت</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م</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ل</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توج</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83"/>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b/>
          <w:bCs/>
          <w:sz w:val="27"/>
          <w:szCs w:val="27"/>
          <w:rtl/>
        </w:rPr>
        <w:t>ثان</w:t>
      </w:r>
      <w:r w:rsidRPr="006571AC">
        <w:rPr>
          <w:rFonts w:cs="AL-Mohanad" w:hint="cs"/>
          <w:b/>
          <w:bCs/>
          <w:sz w:val="27"/>
          <w:szCs w:val="27"/>
          <w:rtl/>
        </w:rPr>
        <w:t>ي</w:t>
      </w:r>
      <w:r w:rsidRPr="006571AC">
        <w:rPr>
          <w:rFonts w:ascii="Sakkal Majalla" w:hAnsi="Sakkal Majalla" w:cs="AL-Mohanad" w:hint="cs"/>
          <w:b/>
          <w:bCs/>
          <w:sz w:val="27"/>
          <w:szCs w:val="27"/>
          <w:rtl/>
        </w:rPr>
        <w:t>اً</w:t>
      </w:r>
      <w:r w:rsidRPr="006571AC">
        <w:rPr>
          <w:rFonts w:ascii="Sakkal Majalla" w:hAnsi="Sakkal Majalla" w:cs="AL-Mohanad"/>
          <w:sz w:val="27"/>
          <w:szCs w:val="27"/>
          <w:rtl/>
        </w:rPr>
        <w:t xml:space="preserve">: </w:t>
      </w:r>
      <w:r w:rsidR="00731867" w:rsidRPr="006571AC">
        <w:rPr>
          <w:rFonts w:ascii="Sakkal Majalla" w:hAnsi="Sakkal Majalla" w:cs="AL-Mohanad"/>
          <w:sz w:val="27"/>
          <w:szCs w:val="27"/>
          <w:rtl/>
        </w:rPr>
        <w:t>لا شَكَّ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الجهاد والقتال مع ال</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عداء </w:t>
      </w:r>
      <w:r w:rsidRPr="006571AC">
        <w:rPr>
          <w:rFonts w:cs="AL-Mohanad" w:hint="cs"/>
          <w:sz w:val="27"/>
          <w:szCs w:val="27"/>
          <w:rtl/>
        </w:rPr>
        <w:t>ي</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المهم</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تضمن لنا العزّة والكرامة</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وتحفظ لنا ا</w:t>
      </w:r>
      <w:r w:rsidRPr="006571AC">
        <w:rPr>
          <w:rFonts w:ascii="Sakkal Majalla" w:hAnsi="Sakkal Majalla" w:cs="AL-Mohanad" w:hint="cs"/>
          <w:sz w:val="27"/>
          <w:szCs w:val="27"/>
          <w:rtl/>
        </w:rPr>
        <w:t>لأ</w:t>
      </w:r>
      <w:r w:rsidRPr="006571AC">
        <w:rPr>
          <w:rFonts w:ascii="Sakkal Majalla" w:hAnsi="Sakkal Majalla" w:cs="AL-Mohanad"/>
          <w:sz w:val="27"/>
          <w:szCs w:val="27"/>
          <w:rtl/>
        </w:rPr>
        <w:t>رض وال</w:t>
      </w:r>
      <w:r w:rsidRPr="006571AC">
        <w:rPr>
          <w:rFonts w:ascii="Sakkal Majalla" w:hAnsi="Sakkal Majalla" w:cs="AL-Mohanad" w:hint="cs"/>
          <w:sz w:val="27"/>
          <w:szCs w:val="27"/>
          <w:rtl/>
        </w:rPr>
        <w:t>أ</w:t>
      </w:r>
      <w:r w:rsidRPr="006571AC">
        <w:rPr>
          <w:rFonts w:ascii="Sakkal Majalla" w:hAnsi="Sakkal Majalla" w:cs="AL-Mohanad"/>
          <w:sz w:val="27"/>
          <w:szCs w:val="27"/>
          <w:rtl/>
        </w:rPr>
        <w:t>وطان</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وتستر لنا ال</w:t>
      </w:r>
      <w:r w:rsidRPr="006571AC">
        <w:rPr>
          <w:rFonts w:ascii="Sakkal Majalla" w:hAnsi="Sakkal Majalla" w:cs="AL-Mohanad" w:hint="cs"/>
          <w:sz w:val="27"/>
          <w:szCs w:val="27"/>
          <w:rtl/>
        </w:rPr>
        <w:t>أ</w:t>
      </w:r>
      <w:r w:rsidRPr="006571AC">
        <w:rPr>
          <w:rFonts w:ascii="Sakkal Majalla" w:hAnsi="Sakkal Majalla" w:cs="AL-Mohanad"/>
          <w:sz w:val="27"/>
          <w:szCs w:val="27"/>
          <w:rtl/>
        </w:rPr>
        <w:t>عراض و...</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ولكن</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على </w:t>
      </w:r>
      <w:r w:rsidRPr="006571AC">
        <w:rPr>
          <w:rFonts w:ascii="Sakkal Majalla" w:hAnsi="Sakkal Majalla" w:cs="AL-Mohanad"/>
          <w:sz w:val="27"/>
          <w:szCs w:val="27"/>
          <w:rtl/>
        </w:rPr>
        <w:t xml:space="preserve">رغم </w:t>
      </w:r>
      <w:r w:rsidRPr="006571AC">
        <w:rPr>
          <w:rFonts w:ascii="Sakkal Majalla" w:hAnsi="Sakkal Majalla" w:cs="AL-Mohanad" w:hint="cs"/>
          <w:sz w:val="27"/>
          <w:szCs w:val="27"/>
          <w:rtl/>
        </w:rPr>
        <w:t xml:space="preserve">من </w:t>
      </w:r>
      <w:r w:rsidRPr="006571AC">
        <w:rPr>
          <w:rFonts w:ascii="Sakkal Majalla" w:hAnsi="Sakkal Majalla" w:cs="AL-Mohanad"/>
          <w:sz w:val="27"/>
          <w:szCs w:val="27"/>
          <w:rtl/>
        </w:rPr>
        <w:t>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كل</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w:t>
      </w:r>
      <w:r w:rsidRPr="006571AC">
        <w:rPr>
          <w:rFonts w:ascii="Sakkal Majalla" w:hAnsi="Sakkal Majalla" w:cs="AL-Mohanad" w:hint="cs"/>
          <w:sz w:val="27"/>
          <w:szCs w:val="27"/>
          <w:rtl/>
        </w:rPr>
        <w:t>ي</w:t>
      </w:r>
      <w:r w:rsidRPr="006571AC">
        <w:rPr>
          <w:rFonts w:ascii="Sakkal Majalla" w:hAnsi="Sakkal Majalla" w:cs="AL-Mohanad"/>
          <w:sz w:val="27"/>
          <w:szCs w:val="27"/>
          <w:rtl/>
        </w:rPr>
        <w:t>بق</w:t>
      </w:r>
      <w:r w:rsidR="00C33236"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فقه</w:t>
      </w:r>
      <w:r w:rsidRPr="006571AC">
        <w:rPr>
          <w:rFonts w:cs="AL-Mohanad" w:hint="cs"/>
          <w:sz w:val="27"/>
          <w:szCs w:val="27"/>
          <w:rtl/>
        </w:rPr>
        <w:t>ي</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فرع</w:t>
      </w:r>
      <w:r w:rsidRPr="006571AC">
        <w:rPr>
          <w:rFonts w:cs="AL-Mohanad" w:hint="cs"/>
          <w:sz w:val="27"/>
          <w:szCs w:val="27"/>
          <w:rtl/>
        </w:rPr>
        <w:t>ي</w:t>
      </w:r>
      <w:r w:rsidRPr="006571AC">
        <w:rPr>
          <w:rFonts w:ascii="Sakkal Majalla" w:hAnsi="Sakkal Majalla" w:cs="AL-Mohanad" w:hint="cs"/>
          <w:sz w:val="27"/>
          <w:szCs w:val="27"/>
          <w:rtl/>
        </w:rPr>
        <w:t>اً</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w:t>
      </w:r>
      <w:r w:rsidRPr="006571AC">
        <w:rPr>
          <w:rFonts w:ascii="Sakkal Majalla" w:hAnsi="Sakkal Majalla" w:cs="AL-Mohanad"/>
          <w:sz w:val="27"/>
          <w:szCs w:val="27"/>
          <w:rtl/>
        </w:rPr>
        <w:t>تقدّ</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مه ال</w:t>
      </w:r>
      <w:r w:rsidRPr="006571AC">
        <w:rPr>
          <w:rFonts w:ascii="Sakkal Majalla" w:hAnsi="Sakkal Majalla" w:cs="AL-Mohanad" w:hint="cs"/>
          <w:sz w:val="27"/>
          <w:szCs w:val="27"/>
          <w:rtl/>
        </w:rPr>
        <w:t>أ</w:t>
      </w:r>
      <w:r w:rsidRPr="006571AC">
        <w:rPr>
          <w:rFonts w:ascii="Sakkal Majalla" w:hAnsi="Sakkal Majalla" w:cs="AL-Mohanad"/>
          <w:sz w:val="27"/>
          <w:szCs w:val="27"/>
          <w:rtl/>
        </w:rPr>
        <w:t>صول والمبادئ وال</w:t>
      </w:r>
      <w:r w:rsidRPr="006571AC">
        <w:rPr>
          <w:rFonts w:ascii="Sakkal Majalla" w:hAnsi="Sakkal Majalla" w:cs="AL-Mohanad" w:hint="cs"/>
          <w:sz w:val="27"/>
          <w:szCs w:val="27"/>
          <w:rtl/>
        </w:rPr>
        <w:t>أ</w:t>
      </w:r>
      <w:r w:rsidRPr="006571AC">
        <w:rPr>
          <w:rFonts w:ascii="Sakkal Majalla" w:hAnsi="Sakkal Majalla" w:cs="AL-Mohanad"/>
          <w:sz w:val="27"/>
          <w:szCs w:val="27"/>
          <w:rtl/>
        </w:rPr>
        <w:t>سس</w:t>
      </w:r>
      <w:r w:rsidRPr="006571AC">
        <w:rPr>
          <w:rFonts w:ascii="Sakkal Majalla" w:hAnsi="Sakkal Majalla" w:cs="AL-Mohanad" w:hint="cs"/>
          <w:sz w:val="27"/>
          <w:szCs w:val="27"/>
          <w:rtl/>
        </w:rPr>
        <w:t xml:space="preserve"> الإسلام</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وعل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فهو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ستحق</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بمثابة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التعال</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والمفاه</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cs="AL-Mohanad" w:hint="cs"/>
          <w:sz w:val="27"/>
          <w:szCs w:val="27"/>
          <w:rtl/>
        </w:rPr>
        <w:t>ي</w:t>
      </w:r>
      <w:r w:rsidRPr="006571AC">
        <w:rPr>
          <w:rFonts w:ascii="Sakkal Majalla" w:hAnsi="Sakkal Majalla" w:cs="AL-Mohanad" w:hint="cs"/>
          <w:sz w:val="27"/>
          <w:szCs w:val="27"/>
          <w:rtl/>
        </w:rPr>
        <w:t>ة</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ق</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م</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2053F1"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002053F1" w:rsidRPr="006571AC">
        <w:rPr>
          <w:rFonts w:ascii="Sakkal Majalla" w:hAnsi="Sakkal Majalla" w:cs="AL-Mohanad" w:hint="cs"/>
          <w:sz w:val="27"/>
          <w:szCs w:val="27"/>
          <w:rtl/>
        </w:rPr>
        <w:t>ب</w:t>
      </w:r>
      <w:r w:rsidRPr="006571AC">
        <w:rPr>
          <w:rFonts w:ascii="Sakkal Majalla" w:hAnsi="Sakkal Majalla" w:cs="AL-Mohanad"/>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غه</w:t>
      </w:r>
      <w:r w:rsidRPr="006571AC">
        <w:rPr>
          <w:rFonts w:ascii="Sakkal Majalla" w:hAnsi="Sakkal Majalla" w:cs="AL-Mohanad"/>
          <w:sz w:val="27"/>
          <w:szCs w:val="27"/>
          <w:rtl/>
        </w:rPr>
        <w:t xml:space="preserve"> </w:t>
      </w:r>
      <w:r w:rsidR="00C33236" w:rsidRPr="006571AC">
        <w:rPr>
          <w:rFonts w:ascii="Sakkal Majalla" w:hAnsi="Sakkal Majalla" w:cs="AL-Mohanad" w:hint="cs"/>
          <w:sz w:val="27"/>
          <w:szCs w:val="27"/>
          <w:rtl/>
        </w:rPr>
        <w:t>ل</w:t>
      </w:r>
      <w:r w:rsidRPr="006571AC">
        <w:rPr>
          <w:rFonts w:ascii="Sakkal Majalla" w:hAnsi="Sakkal Majalla" w:cs="AL-Mohanad" w:hint="cs"/>
          <w:sz w:val="27"/>
          <w:szCs w:val="27"/>
          <w:rtl/>
        </w:rPr>
        <w:t>لناس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أبداً، </w:t>
      </w:r>
      <w:r w:rsidRPr="006571AC">
        <w:rPr>
          <w:rFonts w:ascii="Sakkal Majalla" w:hAnsi="Sakkal Majalla" w:cs="AL-Mohanad"/>
          <w:sz w:val="27"/>
          <w:szCs w:val="27"/>
          <w:rtl/>
        </w:rPr>
        <w:t>ولذهبت جهوده الجبّارة ط</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23</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سنة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هباء</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ومن الواضح </w:t>
      </w:r>
      <w:r w:rsidRPr="006571AC">
        <w:rPr>
          <w:rFonts w:ascii="Sakkal Majalla" w:hAnsi="Sakkal Majalla" w:cs="AL-Mohanad" w:hint="cs"/>
          <w:sz w:val="27"/>
          <w:szCs w:val="27"/>
          <w:rtl/>
        </w:rPr>
        <w:t>أ</w:t>
      </w:r>
      <w:r w:rsidRPr="006571AC">
        <w:rPr>
          <w:rFonts w:ascii="Sakkal Majalla" w:hAnsi="Sakkal Majalla" w:cs="AL-Mohanad"/>
          <w:sz w:val="27"/>
          <w:szCs w:val="27"/>
          <w:rtl/>
        </w:rPr>
        <w:t>نّ هذا القول لا</w:t>
      </w:r>
      <w:r w:rsidR="00C33236" w:rsidRPr="006571AC">
        <w:rPr>
          <w:rFonts w:cs="AL-Mohanad" w:hint="cs"/>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قبله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00C33236" w:rsidRPr="006571AC">
        <w:rPr>
          <w:rFonts w:ascii="Sakkal Majalla" w:hAnsi="Sakkal Majalla" w:cs="AL-Mohanad" w:hint="cs"/>
          <w:sz w:val="27"/>
          <w:szCs w:val="27"/>
          <w:rtl/>
        </w:rPr>
        <w:t>ّ</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عاقل</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منصف</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فضلاً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المسلم. </w:t>
      </w:r>
    </w:p>
    <w:p w:rsidR="005D05A4" w:rsidRPr="006571AC" w:rsidRDefault="005D05A4" w:rsidP="002053F1">
      <w:pPr>
        <w:pStyle w:val="af"/>
        <w:rPr>
          <w:rFonts w:ascii="Sakkal Majalla" w:hAnsi="Sakkal Majalla" w:cs="AL-Mohanad"/>
          <w:sz w:val="27"/>
          <w:szCs w:val="27"/>
          <w:rtl/>
        </w:rPr>
      </w:pPr>
      <w:r w:rsidRPr="006571AC">
        <w:rPr>
          <w:rFonts w:ascii="Sakkal Majalla" w:hAnsi="Sakkal Majalla" w:cs="AL-Mohanad"/>
          <w:b/>
          <w:bCs/>
          <w:sz w:val="27"/>
          <w:szCs w:val="27"/>
          <w:rtl/>
        </w:rPr>
        <w:t>ثالثاً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 الخطر والتهد</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المتوق</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التوح</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ونف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الشرك</w:t>
      </w:r>
      <w:r w:rsidRPr="006571AC">
        <w:rPr>
          <w:rFonts w:ascii="Sakkal Majalla" w:hAnsi="Sakkal Majalla" w:cs="AL-Mohanad"/>
          <w:sz w:val="27"/>
          <w:szCs w:val="27"/>
          <w:rtl/>
        </w:rPr>
        <w:t xml:space="preserve"> وعبادة </w:t>
      </w:r>
      <w:r w:rsidRPr="006571AC">
        <w:rPr>
          <w:rFonts w:ascii="Sakkal Majalla" w:hAnsi="Sakkal Majalla" w:cs="AL-Mohanad"/>
          <w:sz w:val="27"/>
          <w:szCs w:val="27"/>
          <w:rtl/>
        </w:rPr>
        <w:lastRenderedPageBreak/>
        <w:t>ال</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صنام </w:t>
      </w:r>
      <w:r w:rsidRPr="006571AC">
        <w:rPr>
          <w:rFonts w:ascii="Sakkal Majalla" w:hAnsi="Sakkal Majalla" w:cs="AL-Mohanad" w:hint="cs"/>
          <w:sz w:val="27"/>
          <w:szCs w:val="27"/>
          <w:rtl/>
        </w:rPr>
        <w:t>أ</w:t>
      </w:r>
      <w:r w:rsidRPr="006571AC">
        <w:rPr>
          <w:rFonts w:ascii="Sakkal Majalla" w:hAnsi="Sakkal Majalla" w:cs="AL-Mohanad"/>
          <w:sz w:val="27"/>
          <w:szCs w:val="27"/>
          <w:rtl/>
        </w:rPr>
        <w:t>كثر بكث</w:t>
      </w:r>
      <w:r w:rsidRPr="006571AC">
        <w:rPr>
          <w:rFonts w:cs="AL-Mohanad" w:hint="cs"/>
          <w:sz w:val="27"/>
          <w:szCs w:val="27"/>
          <w:rtl/>
        </w:rPr>
        <w:t>ي</w:t>
      </w:r>
      <w:r w:rsidRPr="006571AC">
        <w:rPr>
          <w:rFonts w:ascii="Sakkal Majalla" w:hAnsi="Sakkal Majalla" w:cs="AL-Mohanad" w:hint="cs"/>
          <w:sz w:val="27"/>
          <w:szCs w:val="27"/>
          <w:rtl/>
        </w:rPr>
        <w:t>ر</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متوق</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الجهاد، </w:t>
      </w:r>
      <w:r w:rsidRPr="006571AC">
        <w:rPr>
          <w:rFonts w:ascii="Sakkal Majalla" w:hAnsi="Sakkal Majalla" w:cs="AL-Mohanad"/>
          <w:sz w:val="27"/>
          <w:szCs w:val="27"/>
          <w:rtl/>
        </w:rPr>
        <w:t>وقد قام النب</w:t>
      </w:r>
      <w:r w:rsidRPr="006571AC">
        <w:rPr>
          <w:rFonts w:ascii="Sakkal Majalla" w:hAnsi="Sakkal Majalla" w:cs="AL-Mohanad" w:hint="cs"/>
          <w:sz w:val="27"/>
          <w:szCs w:val="27"/>
          <w:rtl/>
        </w:rPr>
        <w:t>ي</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الفترة</w:t>
      </w:r>
      <w:r w:rsidR="00C33236" w:rsidRPr="006571AC">
        <w:rPr>
          <w:rFonts w:ascii="Sakkal Majalla" w:hAnsi="Sakkal Majalla" w:cs="AL-Mohanad" w:hint="cs"/>
          <w:sz w:val="27"/>
          <w:szCs w:val="27"/>
          <w:rtl/>
        </w:rPr>
        <w:t xml:space="preserve">، </w:t>
      </w:r>
      <w:r w:rsidRPr="006571AC">
        <w:rPr>
          <w:rFonts w:ascii="Sakkal Majalla" w:hAnsi="Sakkal Majalla" w:cs="AL-Mohanad"/>
          <w:sz w:val="27"/>
          <w:szCs w:val="27"/>
          <w:rtl/>
        </w:rPr>
        <w:t>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شاع</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ت</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عبادة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صنام وتنز</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الآلهة</w:t>
      </w:r>
      <w:r w:rsidRPr="006571AC">
        <w:rPr>
          <w:rFonts w:ascii="Sakkal Majalla" w:hAnsi="Sakkal Majalla" w:cs="AL-Mohanad"/>
          <w:sz w:val="27"/>
          <w:szCs w:val="27"/>
          <w:rtl/>
        </w:rPr>
        <w:t xml:space="preserve"> الصناع</w:t>
      </w:r>
      <w:r w:rsidRPr="006571AC">
        <w:rPr>
          <w:rFonts w:cs="AL-Mohanad" w:hint="cs"/>
          <w:sz w:val="27"/>
          <w:szCs w:val="27"/>
          <w:rtl/>
        </w:rPr>
        <w:t>ي</w:t>
      </w:r>
      <w:r w:rsidRPr="006571AC">
        <w:rPr>
          <w:rFonts w:ascii="Sakkal Majalla" w:hAnsi="Sakkal Majalla" w:cs="AL-Mohanad" w:hint="cs"/>
          <w:sz w:val="27"/>
          <w:szCs w:val="27"/>
          <w:rtl/>
        </w:rPr>
        <w:t>ة</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بمواجهة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وتسف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آلهتهم</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رادوا </w:t>
      </w:r>
      <w:r w:rsidRPr="006571AC">
        <w:rPr>
          <w:rFonts w:ascii="Sakkal Majalla" w:hAnsi="Sakkal Majalla" w:cs="AL-Mohanad" w:hint="cs"/>
          <w:sz w:val="27"/>
          <w:szCs w:val="27"/>
          <w:rtl/>
        </w:rPr>
        <w:t>ا</w:t>
      </w:r>
      <w:r w:rsidRPr="006571AC">
        <w:rPr>
          <w:rFonts w:ascii="Sakkal Majalla" w:hAnsi="Sakkal Majalla" w:cs="AL-Mohanad"/>
          <w:sz w:val="27"/>
          <w:szCs w:val="27"/>
          <w:rtl/>
        </w:rPr>
        <w:t>غت</w:t>
      </w:r>
      <w:r w:rsidRPr="006571AC">
        <w:rPr>
          <w:rFonts w:cs="AL-Mohanad" w:hint="cs"/>
          <w:sz w:val="27"/>
          <w:szCs w:val="27"/>
          <w:rtl/>
        </w:rPr>
        <w:t>ي</w:t>
      </w:r>
      <w:r w:rsidRPr="006571AC">
        <w:rPr>
          <w:rFonts w:ascii="Sakkal Majalla" w:hAnsi="Sakkal Majalla" w:cs="AL-Mohanad" w:hint="cs"/>
          <w:sz w:val="27"/>
          <w:szCs w:val="27"/>
          <w:rtl/>
        </w:rPr>
        <w:t xml:space="preserve">اله، </w:t>
      </w:r>
      <w:r w:rsidRPr="006571AC">
        <w:rPr>
          <w:rFonts w:ascii="Sakkal Majalla" w:hAnsi="Sakkal Majalla" w:cs="AL-Mohanad"/>
          <w:sz w:val="27"/>
          <w:szCs w:val="27"/>
          <w:rtl/>
        </w:rPr>
        <w:t>ولكن</w:t>
      </w:r>
      <w:r w:rsidR="00C33236"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لم </w:t>
      </w:r>
      <w:r w:rsidRPr="006571AC">
        <w:rPr>
          <w:rFonts w:cs="AL-Mohanad" w:hint="cs"/>
          <w:sz w:val="27"/>
          <w:szCs w:val="27"/>
          <w:rtl/>
        </w:rPr>
        <w:t>ي</w:t>
      </w:r>
      <w:r w:rsidRPr="006571AC">
        <w:rPr>
          <w:rFonts w:ascii="Sakkal Majalla" w:hAnsi="Sakkal Majalla" w:cs="AL-Mohanad" w:hint="cs"/>
          <w:sz w:val="27"/>
          <w:szCs w:val="27"/>
          <w:rtl/>
        </w:rPr>
        <w:t>توق</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مهمته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لقاها الله تعالى </w:t>
      </w:r>
      <w:r w:rsidR="00C33236" w:rsidRPr="006571AC">
        <w:rPr>
          <w:rFonts w:ascii="Sakkal Majalla" w:hAnsi="Sakkal Majalla" w:cs="AL-Mohanad" w:hint="cs"/>
          <w:sz w:val="27"/>
          <w:szCs w:val="27"/>
          <w:rtl/>
        </w:rPr>
        <w:t>ع</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 xml:space="preserve">ولم </w:t>
      </w:r>
      <w:r w:rsidRPr="006571AC">
        <w:rPr>
          <w:rFonts w:cs="AL-Mohanad" w:hint="cs"/>
          <w:sz w:val="27"/>
          <w:szCs w:val="27"/>
          <w:rtl/>
        </w:rPr>
        <w:t>ي</w:t>
      </w:r>
      <w:r w:rsidRPr="006571AC">
        <w:rPr>
          <w:rFonts w:ascii="Sakkal Majalla" w:hAnsi="Sakkal Majalla" w:cs="AL-Mohanad" w:hint="cs"/>
          <w:sz w:val="27"/>
          <w:szCs w:val="27"/>
          <w:rtl/>
        </w:rPr>
        <w:t>دخله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خوف</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 رعب</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ولم </w:t>
      </w:r>
      <w:r w:rsidRPr="006571AC">
        <w:rPr>
          <w:rFonts w:cs="AL-Mohanad" w:hint="cs"/>
          <w:sz w:val="27"/>
          <w:szCs w:val="27"/>
          <w:rtl/>
        </w:rPr>
        <w:t>ي</w:t>
      </w:r>
      <w:r w:rsidRPr="006571AC">
        <w:rPr>
          <w:rFonts w:ascii="Sakkal Majalla" w:hAnsi="Sakkal Majalla" w:cs="AL-Mohanad" w:hint="cs"/>
          <w:sz w:val="27"/>
          <w:szCs w:val="27"/>
          <w:rtl/>
        </w:rPr>
        <w:t>ع</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سبحانه</w:t>
      </w:r>
      <w:r w:rsidRPr="006571AC">
        <w:rPr>
          <w:rFonts w:ascii="Sakkal Majalla" w:hAnsi="Sakkal Majalla" w:cs="AL-Mohanad"/>
          <w:sz w:val="27"/>
          <w:szCs w:val="27"/>
          <w:rtl/>
        </w:rPr>
        <w:t xml:space="preserve"> وتعال</w:t>
      </w:r>
      <w:r w:rsidR="00C33236"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بالعصمة</w:t>
      </w:r>
      <w:r w:rsidRPr="006571AC">
        <w:rPr>
          <w:rFonts w:ascii="Sakkal Majalla" w:hAnsi="Sakkal Majalla" w:cs="AL-Mohanad"/>
          <w:sz w:val="27"/>
          <w:szCs w:val="27"/>
          <w:rtl/>
        </w:rPr>
        <w:t xml:space="preserve">، فلو كان </w:t>
      </w:r>
      <w:r w:rsidRPr="006571AC">
        <w:rPr>
          <w:rFonts w:cs="AL-Mohanad" w:hint="cs"/>
          <w:sz w:val="27"/>
          <w:szCs w:val="27"/>
          <w:rtl/>
        </w:rPr>
        <w:t>ي</w:t>
      </w:r>
      <w:r w:rsidRPr="006571AC">
        <w:rPr>
          <w:rFonts w:ascii="Sakkal Majalla" w:hAnsi="Sakkal Majalla" w:cs="AL-Mohanad"/>
          <w:sz w:val="27"/>
          <w:szCs w:val="27"/>
          <w:rtl/>
        </w:rPr>
        <w:t>نبغ</w:t>
      </w:r>
      <w:r w:rsidRPr="006571AC">
        <w:rPr>
          <w:rFonts w:ascii="Sakkal Majalla" w:hAnsi="Sakkal Majalla" w:cs="AL-Mohanad" w:hint="cs"/>
          <w:sz w:val="27"/>
          <w:szCs w:val="27"/>
          <w:rtl/>
        </w:rPr>
        <w:t xml:space="preserve">ي </w:t>
      </w:r>
      <w:r w:rsidR="002053F1" w:rsidRPr="006571AC">
        <w:rPr>
          <w:rFonts w:ascii="Sakkal Majalla" w:hAnsi="Sakkal Majalla" w:cs="AL-Mohanad" w:hint="cs"/>
          <w:sz w:val="27"/>
          <w:szCs w:val="27"/>
          <w:rtl/>
        </w:rPr>
        <w:t>دخول</w:t>
      </w:r>
      <w:r w:rsidRPr="006571AC">
        <w:rPr>
          <w:rFonts w:ascii="Sakkal Majalla" w:hAnsi="Sakkal Majalla" w:cs="AL-Mohanad"/>
          <w:sz w:val="27"/>
          <w:szCs w:val="27"/>
          <w:rtl/>
        </w:rPr>
        <w:t xml:space="preserve"> الخش</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والخوف </w:t>
      </w:r>
      <w:r w:rsidRPr="006571AC">
        <w:rPr>
          <w:rFonts w:ascii="Sakkal Majalla" w:hAnsi="Sakkal Majalla" w:cs="AL-Mohanad" w:hint="cs"/>
          <w:sz w:val="27"/>
          <w:szCs w:val="27"/>
          <w:rtl/>
        </w:rPr>
        <w:t>في قلبه من أجل</w:t>
      </w:r>
      <w:r w:rsidRPr="006571AC">
        <w:rPr>
          <w:rFonts w:ascii="Sakkal Majalla" w:hAnsi="Sakkal Majalla" w:cs="AL-Mohanad"/>
          <w:sz w:val="27"/>
          <w:szCs w:val="27"/>
          <w:rtl/>
        </w:rPr>
        <w:t xml:space="preserve"> 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لكان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و</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ل</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تدخله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الفترة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كان </w:t>
      </w:r>
      <w:r w:rsidRPr="006571AC">
        <w:rPr>
          <w:rFonts w:cs="AL-Mohanad" w:hint="cs"/>
          <w:sz w:val="27"/>
          <w:szCs w:val="27"/>
          <w:rtl/>
        </w:rPr>
        <w:t>ي</w:t>
      </w:r>
      <w:r w:rsidRPr="006571AC">
        <w:rPr>
          <w:rFonts w:ascii="Sakkal Majalla" w:hAnsi="Sakkal Majalla" w:cs="AL-Mohanad" w:hint="cs"/>
          <w:sz w:val="27"/>
          <w:szCs w:val="27"/>
          <w:rtl/>
        </w:rPr>
        <w:t>ع</w:t>
      </w:r>
      <w:r w:rsidRPr="006571AC">
        <w:rPr>
          <w:rFonts w:cs="AL-Mohanad" w:hint="cs"/>
          <w:sz w:val="27"/>
          <w:szCs w:val="27"/>
          <w:rtl/>
        </w:rPr>
        <w:t>ي</w:t>
      </w:r>
      <w:r w:rsidRPr="006571AC">
        <w:rPr>
          <w:rFonts w:ascii="Sakkal Majalla" w:hAnsi="Sakkal Majalla" w:cs="AL-Mohanad" w:hint="cs"/>
          <w:sz w:val="27"/>
          <w:szCs w:val="27"/>
          <w:rtl/>
        </w:rPr>
        <w:t>شها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w:t>
      </w:r>
      <w:r w:rsidRPr="006571AC">
        <w:rPr>
          <w:rFonts w:ascii="Sakkal Majalla" w:hAnsi="Sakkal Majalla" w:cs="AL-Mohanad"/>
          <w:sz w:val="27"/>
          <w:szCs w:val="27"/>
          <w:rtl/>
        </w:rPr>
        <w:t>ك</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ة ب</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لدّ الناس و</w:t>
      </w:r>
      <w:r w:rsidRPr="006571AC">
        <w:rPr>
          <w:rFonts w:ascii="Sakkal Majalla" w:hAnsi="Sakkal Majalla" w:cs="AL-Mohanad" w:hint="cs"/>
          <w:sz w:val="27"/>
          <w:szCs w:val="27"/>
          <w:rtl/>
        </w:rPr>
        <w:t>أ</w:t>
      </w:r>
      <w:r w:rsidR="004F480B" w:rsidRPr="006571AC">
        <w:rPr>
          <w:rFonts w:ascii="Sakkal Majalla" w:hAnsi="Sakkal Majalla" w:cs="AL-Mohanad" w:hint="cs"/>
          <w:sz w:val="27"/>
          <w:szCs w:val="27"/>
          <w:rtl/>
        </w:rPr>
        <w:t>شدّهم خصومةً،</w:t>
      </w:r>
      <w:r w:rsidRPr="006571AC">
        <w:rPr>
          <w:rFonts w:ascii="Sakkal Majalla" w:hAnsi="Sakkal Majalla" w:cs="AL-Mohanad"/>
          <w:sz w:val="27"/>
          <w:szCs w:val="27"/>
          <w:rtl/>
        </w:rPr>
        <w:t xml:space="preserve"> وهو </w:t>
      </w:r>
      <w:r w:rsidRPr="006571AC">
        <w:rPr>
          <w:rFonts w:cs="AL-Mohanad" w:hint="cs"/>
          <w:sz w:val="27"/>
          <w:szCs w:val="27"/>
          <w:rtl/>
        </w:rPr>
        <w:t>ي</w:t>
      </w:r>
      <w:r w:rsidRPr="006571AC">
        <w:rPr>
          <w:rFonts w:ascii="Sakkal Majalla" w:hAnsi="Sakkal Majalla" w:cs="AL-Mohanad" w:hint="cs"/>
          <w:sz w:val="27"/>
          <w:szCs w:val="27"/>
          <w:rtl/>
        </w:rPr>
        <w:t>واجه</w:t>
      </w:r>
      <w:r w:rsidR="002053F1" w:rsidRPr="006571AC">
        <w:rPr>
          <w:rFonts w:ascii="Sakkal Majalla" w:hAnsi="Sakkal Majalla" w:cs="AL-Mohanad" w:hint="cs"/>
          <w:sz w:val="27"/>
          <w:szCs w:val="27"/>
          <w:rtl/>
        </w:rPr>
        <w:t>ه</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بتسف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آلهت</w:t>
      </w:r>
      <w:r w:rsidR="002053F1" w:rsidRPr="006571AC">
        <w:rPr>
          <w:rFonts w:ascii="Sakkal Majalla" w:hAnsi="Sakkal Majalla" w:cs="AL-Mohanad" w:hint="cs"/>
          <w:sz w:val="27"/>
          <w:szCs w:val="27"/>
          <w:rtl/>
        </w:rPr>
        <w:t>ه</w:t>
      </w:r>
      <w:r w:rsidRPr="006571AC">
        <w:rPr>
          <w:rFonts w:ascii="Sakkal Majalla" w:hAnsi="Sakkal Majalla" w:cs="AL-Mohanad" w:hint="cs"/>
          <w:sz w:val="27"/>
          <w:szCs w:val="27"/>
          <w:rtl/>
        </w:rPr>
        <w:t xml:space="preserve">م، </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hint="cs"/>
          <w:sz w:val="27"/>
          <w:szCs w:val="27"/>
          <w:rtl/>
        </w:rPr>
        <w:t>دعوهم</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كلمة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التوح</w:t>
      </w:r>
      <w:r w:rsidRPr="006571AC">
        <w:rPr>
          <w:rFonts w:cs="AL-Mohanad" w:hint="cs"/>
          <w:sz w:val="27"/>
          <w:szCs w:val="27"/>
          <w:rtl/>
        </w:rPr>
        <w:t>ي</w:t>
      </w:r>
      <w:r w:rsidRPr="006571AC">
        <w:rPr>
          <w:rFonts w:ascii="Sakkal Majalla" w:hAnsi="Sakkal Majalla" w:cs="AL-Mohanad" w:hint="cs"/>
          <w:sz w:val="27"/>
          <w:szCs w:val="27"/>
          <w:rtl/>
        </w:rPr>
        <w:t>د</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كما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الله تعالى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ضمن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في تلك الفترة </w:t>
      </w:r>
      <w:r w:rsidRPr="006571AC">
        <w:rPr>
          <w:rFonts w:ascii="Sakkal Majalla" w:hAnsi="Sakkal Majalla" w:cs="AL-Mohanad"/>
          <w:sz w:val="27"/>
          <w:szCs w:val="27"/>
          <w:rtl/>
        </w:rPr>
        <w:t>العصمة والحما</w:t>
      </w:r>
      <w:r w:rsidRPr="006571AC">
        <w:rPr>
          <w:rFonts w:cs="AL-Mohanad" w:hint="cs"/>
          <w:sz w:val="27"/>
          <w:szCs w:val="27"/>
          <w:rtl/>
        </w:rPr>
        <w:t>ي</w:t>
      </w:r>
      <w:r w:rsidRPr="006571AC">
        <w:rPr>
          <w:rFonts w:ascii="Sakkal Majalla" w:hAnsi="Sakkal Majalla" w:cs="AL-Mohanad" w:hint="cs"/>
          <w:sz w:val="27"/>
          <w:szCs w:val="27"/>
          <w:rtl/>
        </w:rPr>
        <w:t>ة</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ومن هنا </w:t>
      </w:r>
      <w:r w:rsidRPr="006571AC">
        <w:rPr>
          <w:rFonts w:cs="AL-Mohanad" w:hint="cs"/>
          <w:sz w:val="27"/>
          <w:szCs w:val="27"/>
          <w:rtl/>
        </w:rPr>
        <w:t>ي</w:t>
      </w:r>
      <w:r w:rsidRPr="006571AC">
        <w:rPr>
          <w:rFonts w:ascii="Sakkal Majalla" w:hAnsi="Sakkal Majalla" w:cs="AL-Mohanad" w:hint="cs"/>
          <w:sz w:val="27"/>
          <w:szCs w:val="27"/>
          <w:rtl/>
        </w:rPr>
        <w:t>ت</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ضح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لنا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ما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راده الله تعالى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نزل </w:t>
      </w:r>
      <w:r w:rsidR="004F480B"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ك</w:t>
      </w:r>
      <w:r w:rsidRPr="006571AC">
        <w:rPr>
          <w:rFonts w:ascii="Sakkal Majalla" w:hAnsi="Sakkal Majalla" w:cs="AL-Mohanad"/>
          <w:rtl/>
        </w:rPr>
        <w:t>»</w:t>
      </w:r>
      <w:r w:rsidRPr="006571AC">
        <w:rPr>
          <w:rFonts w:ascii="Sakkal Majalla" w:hAnsi="Sakkal Majalla" w:cs="AL-Mohanad"/>
          <w:sz w:val="27"/>
          <w:szCs w:val="27"/>
          <w:rtl/>
        </w:rPr>
        <w:t xml:space="preserve"> ل</w:t>
      </w:r>
      <w:r w:rsidRPr="006571AC">
        <w:rPr>
          <w:rFonts w:cs="AL-Mohanad" w:hint="cs"/>
          <w:sz w:val="27"/>
          <w:szCs w:val="27"/>
          <w:rtl/>
        </w:rPr>
        <w:t>ي</w:t>
      </w:r>
      <w:r w:rsidRPr="006571AC">
        <w:rPr>
          <w:rFonts w:ascii="Sakkal Majalla" w:hAnsi="Sakkal Majalla" w:cs="AL-Mohanad" w:hint="cs"/>
          <w:sz w:val="27"/>
          <w:szCs w:val="27"/>
          <w:rtl/>
        </w:rPr>
        <w:t>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الجهاد</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إ</w:t>
      </w:r>
      <w:r w:rsidRPr="006571AC">
        <w:rPr>
          <w:rFonts w:ascii="Sakkal Majalla" w:hAnsi="Sakkal Majalla" w:cs="AL-Mohanad"/>
          <w:sz w:val="27"/>
          <w:szCs w:val="27"/>
          <w:rtl/>
        </w:rPr>
        <w:t>ذ ل</w:t>
      </w:r>
      <w:r w:rsidRPr="006571AC">
        <w:rPr>
          <w:rFonts w:cs="AL-Mohanad" w:hint="cs"/>
          <w:sz w:val="27"/>
          <w:szCs w:val="27"/>
          <w:rtl/>
        </w:rPr>
        <w:t>ي</w:t>
      </w:r>
      <w:r w:rsidRPr="006571AC">
        <w:rPr>
          <w:rFonts w:ascii="Sakkal Majalla" w:hAnsi="Sakkal Majalla" w:cs="AL-Mohanad" w:hint="cs"/>
          <w:sz w:val="27"/>
          <w:szCs w:val="27"/>
          <w:rtl/>
        </w:rPr>
        <w:t>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ستحق</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خش</w:t>
      </w:r>
      <w:r w:rsidR="004F480B"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غه</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w:t>
      </w:r>
      <w:r w:rsidRPr="006571AC">
        <w:rPr>
          <w:rFonts w:cs="AL-Mohanad" w:hint="cs"/>
          <w:sz w:val="27"/>
          <w:szCs w:val="27"/>
          <w:rtl/>
        </w:rPr>
        <w:t>ي</w:t>
      </w:r>
      <w:r w:rsidRPr="006571AC">
        <w:rPr>
          <w:rFonts w:ascii="Sakkal Majalla" w:hAnsi="Sakkal Majalla" w:cs="AL-Mohanad" w:hint="cs"/>
          <w:sz w:val="27"/>
          <w:szCs w:val="27"/>
          <w:rtl/>
        </w:rPr>
        <w:t>ع</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004F480B" w:rsidRPr="006571AC">
        <w:rPr>
          <w:rFonts w:ascii="Sakkal Majalla" w:hAnsi="Sakkal Majalla" w:cs="AL-Mohanad" w:hint="cs"/>
          <w:sz w:val="27"/>
          <w:szCs w:val="27"/>
          <w:rtl/>
        </w:rPr>
        <w:t>ب</w:t>
      </w:r>
      <w:r w:rsidRPr="006571AC">
        <w:rPr>
          <w:rFonts w:ascii="Sakkal Majalla" w:hAnsi="Sakkal Majalla" w:cs="AL-Mohanad" w:hint="cs"/>
          <w:sz w:val="27"/>
          <w:szCs w:val="27"/>
          <w:rtl/>
        </w:rPr>
        <w:t>الحفظ</w:t>
      </w:r>
      <w:r w:rsidRPr="006571AC">
        <w:rPr>
          <w:rFonts w:ascii="Sakkal Majalla" w:hAnsi="Sakkal Majalla" w:cs="AL-Mohanad"/>
          <w:sz w:val="27"/>
          <w:szCs w:val="27"/>
          <w:rtl/>
        </w:rPr>
        <w:t xml:space="preserve"> والعصمة</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84"/>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5D05A4" w:rsidP="00FB4949">
      <w:pPr>
        <w:pStyle w:val="af"/>
        <w:spacing w:line="420" w:lineRule="exact"/>
        <w:rPr>
          <w:rFonts w:ascii="Sakkal Majalla" w:hAnsi="Sakkal Majalla" w:cs="AL-Mohanad"/>
          <w:sz w:val="27"/>
          <w:szCs w:val="27"/>
          <w:rtl/>
        </w:rPr>
      </w:pPr>
    </w:p>
    <w:p w:rsidR="005D05A4" w:rsidRPr="006571AC" w:rsidRDefault="00D04188" w:rsidP="00D04188">
      <w:pPr>
        <w:pStyle w:val="31"/>
        <w:rPr>
          <w:color w:val="auto"/>
          <w:rtl/>
        </w:rPr>
      </w:pPr>
      <w:bookmarkStart w:id="166" w:name="_Toc114164654"/>
      <w:r w:rsidRPr="006571AC">
        <w:rPr>
          <w:rFonts w:hint="cs"/>
          <w:color w:val="auto"/>
          <w:rtl/>
        </w:rPr>
        <w:t>هـ ـ محاولة</w:t>
      </w:r>
      <w:r w:rsidR="005D05A4" w:rsidRPr="006571AC">
        <w:rPr>
          <w:color w:val="auto"/>
          <w:rtl/>
        </w:rPr>
        <w:t xml:space="preserve"> </w:t>
      </w:r>
      <w:r w:rsidR="004F480B" w:rsidRPr="006571AC">
        <w:rPr>
          <w:rFonts w:hint="cs"/>
          <w:color w:val="auto"/>
          <w:rtl/>
        </w:rPr>
        <w:t>أ</w:t>
      </w:r>
      <w:r w:rsidR="005D05A4" w:rsidRPr="006571AC">
        <w:rPr>
          <w:rFonts w:hint="cs"/>
          <w:color w:val="auto"/>
          <w:rtl/>
        </w:rPr>
        <w:t>عرابي</w:t>
      </w:r>
      <w:r w:rsidRPr="006571AC">
        <w:rPr>
          <w:rFonts w:hint="cs"/>
          <w:color w:val="auto"/>
          <w:rtl/>
        </w:rPr>
        <w:t>ٍّ اغتيال النبيّ</w:t>
      </w:r>
      <w:r w:rsidRPr="006571AC">
        <w:rPr>
          <w:rFonts w:ascii="Mosawi" w:hAnsi="Mosawi" w:cs="Mosawi"/>
          <w:color w:val="auto"/>
          <w:sz w:val="22"/>
          <w:szCs w:val="22"/>
          <w:rtl/>
        </w:rPr>
        <w:t>|</w:t>
      </w:r>
      <w:bookmarkEnd w:id="166"/>
    </w:p>
    <w:p w:rsidR="005D05A4" w:rsidRPr="006571AC" w:rsidRDefault="005D05A4" w:rsidP="00B41BA0">
      <w:pPr>
        <w:rPr>
          <w:rFonts w:ascii="Sakkal Majalla" w:hAnsi="Sakkal Majalla"/>
          <w:b/>
          <w:bCs/>
          <w:sz w:val="27"/>
          <w:rtl/>
        </w:rPr>
      </w:pPr>
      <w:r w:rsidRPr="006571AC">
        <w:rPr>
          <w:rFonts w:ascii="Sakkal Majalla" w:hAnsi="Sakkal Majalla"/>
          <w:sz w:val="27"/>
          <w:rtl/>
        </w:rPr>
        <w:t xml:space="preserve">ذكر بعضهم </w:t>
      </w:r>
      <w:r w:rsidRPr="006571AC">
        <w:rPr>
          <w:rFonts w:ascii="Sakkal Majalla" w:hAnsi="Sakkal Majalla" w:hint="cs"/>
          <w:sz w:val="27"/>
          <w:rtl/>
        </w:rPr>
        <w:t>أ</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نزلت</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ثر حادثة</w:t>
      </w:r>
      <w:r w:rsidR="002053F1" w:rsidRPr="006571AC">
        <w:rPr>
          <w:rFonts w:ascii="Sakkal Majalla" w:hAnsi="Sakkal Majalla" w:hint="cs"/>
          <w:sz w:val="27"/>
          <w:rtl/>
        </w:rPr>
        <w:t>ٍ</w:t>
      </w:r>
      <w:r w:rsidRPr="006571AC">
        <w:rPr>
          <w:rFonts w:ascii="Sakkal Majalla" w:hAnsi="Sakkal Majalla"/>
          <w:sz w:val="27"/>
          <w:rtl/>
        </w:rPr>
        <w:t xml:space="preserve"> كانت في غزوة بني أنمار</w:t>
      </w:r>
      <w:r w:rsidR="004163AC" w:rsidRPr="006571AC">
        <w:rPr>
          <w:rFonts w:ascii="Sakkal Majalla" w:hAnsi="Sakkal Majalla" w:hint="cs"/>
          <w:sz w:val="27"/>
          <w:rtl/>
        </w:rPr>
        <w:t>،</w:t>
      </w:r>
      <w:r w:rsidRPr="006571AC">
        <w:rPr>
          <w:rFonts w:ascii="Sakkal Majalla" w:hAnsi="Sakkal Majalla"/>
          <w:sz w:val="27"/>
          <w:rtl/>
        </w:rPr>
        <w:t xml:space="preserve"> المعروفة بذات الرقاع، وأن شخصاً جاء </w:t>
      </w:r>
      <w:r w:rsidRPr="006571AC">
        <w:rPr>
          <w:rFonts w:ascii="Sakkal Majalla" w:hAnsi="Sakkal Majalla" w:hint="cs"/>
          <w:sz w:val="27"/>
          <w:rtl/>
        </w:rPr>
        <w:t>إ</w:t>
      </w:r>
      <w:r w:rsidRPr="006571AC">
        <w:rPr>
          <w:rFonts w:ascii="Sakkal Majalla" w:hAnsi="Sakkal Majalla"/>
          <w:sz w:val="27"/>
          <w:rtl/>
        </w:rPr>
        <w:t>لى النبي</w:t>
      </w:r>
      <w:r w:rsidR="004163AC" w:rsidRPr="006571AC">
        <w:rPr>
          <w:rFonts w:ascii="Sakkal Majalla" w:hAnsi="Sakkal Majalla" w:hint="cs"/>
          <w:sz w:val="27"/>
          <w:rtl/>
        </w:rPr>
        <w:t>ّ</w:t>
      </w:r>
      <w:r w:rsidR="002A2C90" w:rsidRPr="006571AC">
        <w:rPr>
          <w:rFonts w:ascii="Mosawi" w:hAnsi="Mosawi" w:cs="Mosawi"/>
          <w:sz w:val="22"/>
          <w:szCs w:val="22"/>
          <w:rtl/>
        </w:rPr>
        <w:t>|</w:t>
      </w:r>
      <w:r w:rsidR="004163AC" w:rsidRPr="006571AC">
        <w:rPr>
          <w:rFonts w:ascii="Sakkal Majalla" w:hAnsi="Sakkal Majalla" w:hint="cs"/>
          <w:sz w:val="27"/>
          <w:rtl/>
        </w:rPr>
        <w:t>؛</w:t>
      </w:r>
      <w:r w:rsidRPr="006571AC">
        <w:rPr>
          <w:rFonts w:ascii="Sakkal Majalla" w:hAnsi="Sakkal Majalla"/>
          <w:sz w:val="27"/>
          <w:rtl/>
        </w:rPr>
        <w:t xml:space="preserve"> بقصد </w:t>
      </w:r>
      <w:r w:rsidR="004163AC" w:rsidRPr="006571AC">
        <w:rPr>
          <w:rFonts w:ascii="Sakkal Majalla" w:hAnsi="Sakkal Majalla" w:hint="cs"/>
          <w:sz w:val="27"/>
          <w:rtl/>
        </w:rPr>
        <w:t>ا</w:t>
      </w:r>
      <w:r w:rsidRPr="006571AC">
        <w:rPr>
          <w:rFonts w:ascii="Sakkal Majalla" w:hAnsi="Sakkal Majalla"/>
          <w:sz w:val="27"/>
          <w:rtl/>
        </w:rPr>
        <w:t>غتياله</w:t>
      </w:r>
      <w:r w:rsidRPr="006571AC">
        <w:rPr>
          <w:rFonts w:ascii="Sakkal Majalla" w:hAnsi="Sakkal Majalla" w:hint="cs"/>
          <w:sz w:val="27"/>
          <w:rtl/>
        </w:rPr>
        <w:t xml:space="preserve">، </w:t>
      </w:r>
      <w:r w:rsidRPr="006571AC">
        <w:rPr>
          <w:rFonts w:ascii="Sakkal Majalla" w:hAnsi="Sakkal Majalla"/>
          <w:sz w:val="27"/>
          <w:rtl/>
        </w:rPr>
        <w:t>وطلب منه أن يعطيه سيفه ليراه، فأعطاه النبي</w:t>
      </w:r>
      <w:r w:rsidR="004163AC"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إياه بكل</w:t>
      </w:r>
      <w:r w:rsidR="004163AC" w:rsidRPr="006571AC">
        <w:rPr>
          <w:rFonts w:ascii="Sakkal Majalla" w:hAnsi="Sakkal Majalla" w:hint="cs"/>
          <w:sz w:val="27"/>
          <w:rtl/>
        </w:rPr>
        <w:t>ّ</w:t>
      </w:r>
      <w:r w:rsidRPr="006571AC">
        <w:rPr>
          <w:rFonts w:ascii="Sakkal Majalla" w:hAnsi="Sakkal Majalla"/>
          <w:sz w:val="27"/>
          <w:rtl/>
        </w:rPr>
        <w:t xml:space="preserve"> سهولة</w:t>
      </w:r>
      <w:r w:rsidR="004163AC" w:rsidRPr="006571AC">
        <w:rPr>
          <w:rFonts w:ascii="Sakkal Majalla" w:hAnsi="Sakkal Majalla" w:hint="cs"/>
          <w:sz w:val="27"/>
          <w:rtl/>
        </w:rPr>
        <w:t>ٍ؛</w:t>
      </w:r>
      <w:r w:rsidRPr="006571AC">
        <w:rPr>
          <w:rFonts w:ascii="Sakkal Majalla" w:hAnsi="Sakkal Majalla"/>
          <w:sz w:val="27"/>
          <w:rtl/>
        </w:rPr>
        <w:t xml:space="preserve"> فقد رو</w:t>
      </w:r>
      <w:r w:rsidR="004163AC"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ابن</w:t>
      </w:r>
      <w:r w:rsidRPr="006571AC">
        <w:rPr>
          <w:rFonts w:ascii="Sakkal Majalla" w:hAnsi="Sakkal Majalla"/>
          <w:sz w:val="27"/>
          <w:rtl/>
        </w:rPr>
        <w:t xml:space="preserve"> </w:t>
      </w:r>
      <w:r w:rsidRPr="006571AC">
        <w:rPr>
          <w:rFonts w:ascii="Sakkal Majalla" w:hAnsi="Sakkal Majalla" w:hint="cs"/>
          <w:sz w:val="27"/>
          <w:rtl/>
        </w:rPr>
        <w:t>أب</w:t>
      </w:r>
      <w:r w:rsidR="004163AC" w:rsidRPr="006571AC">
        <w:rPr>
          <w:rFonts w:ascii="Sakkal Majalla" w:hAnsi="Sakkal Majalla" w:hint="cs"/>
          <w:sz w:val="27"/>
          <w:rtl/>
        </w:rPr>
        <w:t>ي</w:t>
      </w:r>
      <w:r w:rsidRPr="006571AC">
        <w:rPr>
          <w:rFonts w:ascii="Sakkal Majalla" w:hAnsi="Sakkal Majalla"/>
          <w:sz w:val="27"/>
          <w:rtl/>
        </w:rPr>
        <w:t xml:space="preserve"> </w:t>
      </w:r>
      <w:r w:rsidRPr="006571AC">
        <w:rPr>
          <w:rFonts w:ascii="Sakkal Majalla" w:hAnsi="Sakkal Majalla" w:hint="cs"/>
          <w:sz w:val="27"/>
          <w:rtl/>
        </w:rPr>
        <w:t>حاتم</w:t>
      </w:r>
      <w:r w:rsidRPr="006571AC">
        <w:rPr>
          <w:rFonts w:ascii="Sakkal Majalla" w:hAnsi="Sakkal Majalla"/>
          <w:sz w:val="27"/>
          <w:rtl/>
        </w:rPr>
        <w:t xml:space="preserve"> </w:t>
      </w:r>
      <w:r w:rsidRPr="006571AC">
        <w:rPr>
          <w:rFonts w:ascii="Sakkal Majalla" w:hAnsi="Sakkal Majalla" w:hint="cs"/>
          <w:sz w:val="27"/>
          <w:rtl/>
        </w:rPr>
        <w:t>عن</w:t>
      </w:r>
      <w:r w:rsidRPr="006571AC">
        <w:rPr>
          <w:rFonts w:ascii="Sakkal Majalla" w:hAnsi="Sakkal Majalla"/>
          <w:sz w:val="27"/>
          <w:rtl/>
        </w:rPr>
        <w:t xml:space="preserve"> </w:t>
      </w:r>
      <w:r w:rsidRPr="006571AC">
        <w:rPr>
          <w:rFonts w:ascii="Sakkal Majalla" w:hAnsi="Sakkal Majalla" w:hint="cs"/>
          <w:sz w:val="27"/>
          <w:rtl/>
        </w:rPr>
        <w:t>جابر</w:t>
      </w:r>
      <w:r w:rsidRPr="006571AC">
        <w:rPr>
          <w:rFonts w:ascii="Sakkal Majalla" w:hAnsi="Sakkal Majalla"/>
          <w:sz w:val="27"/>
          <w:rtl/>
        </w:rPr>
        <w:t xml:space="preserve"> </w:t>
      </w:r>
      <w:r w:rsidRPr="006571AC">
        <w:rPr>
          <w:rFonts w:ascii="Sakkal Majalla" w:hAnsi="Sakkal Majalla" w:hint="cs"/>
          <w:sz w:val="27"/>
          <w:rtl/>
        </w:rPr>
        <w:t>بن</w:t>
      </w:r>
      <w:r w:rsidRPr="006571AC">
        <w:rPr>
          <w:rFonts w:ascii="Sakkal Majalla" w:hAnsi="Sakkal Majalla"/>
          <w:sz w:val="27"/>
          <w:rtl/>
        </w:rPr>
        <w:t xml:space="preserve"> </w:t>
      </w:r>
      <w:r w:rsidRPr="006571AC">
        <w:rPr>
          <w:rFonts w:ascii="Sakkal Majalla" w:hAnsi="Sakkal Majalla" w:hint="cs"/>
          <w:sz w:val="27"/>
          <w:rtl/>
        </w:rPr>
        <w:t>عبد</w:t>
      </w:r>
      <w:r w:rsidRPr="006571AC">
        <w:rPr>
          <w:rFonts w:ascii="Sakkal Majalla" w:hAnsi="Sakkal Majalla"/>
          <w:sz w:val="27"/>
          <w:rtl/>
        </w:rPr>
        <w:t xml:space="preserve"> </w:t>
      </w:r>
      <w:r w:rsidRPr="006571AC">
        <w:rPr>
          <w:rFonts w:ascii="Sakkal Majalla" w:hAnsi="Sakkal Majalla" w:hint="cs"/>
          <w:sz w:val="27"/>
          <w:rtl/>
        </w:rPr>
        <w:t>الله</w:t>
      </w:r>
      <w:r w:rsidRPr="006571AC">
        <w:rPr>
          <w:rFonts w:ascii="Sakkal Majalla" w:hAnsi="Sakkal Majalla"/>
          <w:sz w:val="27"/>
          <w:rtl/>
        </w:rPr>
        <w:t xml:space="preserve"> </w:t>
      </w:r>
      <w:r w:rsidRPr="006571AC">
        <w:rPr>
          <w:rFonts w:ascii="Sakkal Majalla" w:hAnsi="Sakkal Majalla" w:hint="cs"/>
          <w:sz w:val="27"/>
          <w:rtl/>
        </w:rPr>
        <w:t xml:space="preserve">قال: </w:t>
      </w:r>
      <w:r w:rsidRPr="006571AC">
        <w:rPr>
          <w:rFonts w:ascii="Sakkal Majalla" w:hAnsi="Sakkal Majalla"/>
          <w:sz w:val="27"/>
          <w:rtl/>
        </w:rPr>
        <w:t>لم</w:t>
      </w:r>
      <w:r w:rsidR="004163AC" w:rsidRPr="006571AC">
        <w:rPr>
          <w:rFonts w:ascii="Sakkal Majalla" w:hAnsi="Sakkal Majalla" w:hint="cs"/>
          <w:sz w:val="27"/>
          <w:rtl/>
        </w:rPr>
        <w:t>ّ</w:t>
      </w:r>
      <w:r w:rsidRPr="006571AC">
        <w:rPr>
          <w:rFonts w:ascii="Sakkal Majalla" w:hAnsi="Sakkal Majalla"/>
          <w:sz w:val="27"/>
          <w:rtl/>
        </w:rPr>
        <w:t>ا غزا رسول الله</w:t>
      </w:r>
      <w:r w:rsidR="004459D6" w:rsidRPr="006571AC">
        <w:rPr>
          <w:rFonts w:ascii="Mosawi" w:hAnsi="Mosawi" w:cs="Mosawi"/>
          <w:sz w:val="22"/>
          <w:szCs w:val="22"/>
          <w:rtl/>
        </w:rPr>
        <w:t>ﷺ</w:t>
      </w:r>
      <w:r w:rsidRPr="006571AC">
        <w:rPr>
          <w:rFonts w:ascii="Sakkal Majalla" w:hAnsi="Sakkal Majalla"/>
          <w:sz w:val="27"/>
          <w:rtl/>
        </w:rPr>
        <w:t xml:space="preserve"> بن</w:t>
      </w:r>
      <w:r w:rsidRPr="006571AC">
        <w:rPr>
          <w:rFonts w:ascii="Sakkal Majalla" w:hAnsi="Sakkal Majalla" w:hint="cs"/>
          <w:sz w:val="27"/>
          <w:rtl/>
        </w:rPr>
        <w:t>ي</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نمار نزل ذات الرقاع بأعلى نخل</w:t>
      </w:r>
      <w:r w:rsidR="004163AC" w:rsidRPr="006571AC">
        <w:rPr>
          <w:rFonts w:ascii="Sakkal Majalla" w:hAnsi="Sakkal Majalla" w:hint="cs"/>
          <w:sz w:val="27"/>
          <w:rtl/>
        </w:rPr>
        <w:t>ٍ،</w:t>
      </w:r>
      <w:r w:rsidRPr="006571AC">
        <w:rPr>
          <w:rFonts w:ascii="Sakkal Majalla" w:hAnsi="Sakkal Majalla"/>
          <w:sz w:val="27"/>
          <w:rtl/>
        </w:rPr>
        <w:t xml:space="preserve"> فبينا هو جالس على رأس بئر</w:t>
      </w:r>
      <w:r w:rsidR="004163AC" w:rsidRPr="006571AC">
        <w:rPr>
          <w:rFonts w:ascii="Sakkal Majalla" w:hAnsi="Sakkal Majalla" w:hint="cs"/>
          <w:sz w:val="27"/>
          <w:rtl/>
        </w:rPr>
        <w:t>ٍ</w:t>
      </w:r>
      <w:r w:rsidRPr="006571AC">
        <w:rPr>
          <w:rFonts w:ascii="Sakkal Majalla" w:hAnsi="Sakkal Majalla"/>
          <w:sz w:val="27"/>
          <w:rtl/>
        </w:rPr>
        <w:t xml:space="preserve"> قد دل</w:t>
      </w:r>
      <w:r w:rsidR="004163AC" w:rsidRPr="006571AC">
        <w:rPr>
          <w:rFonts w:ascii="Sakkal Majalla" w:hAnsi="Sakkal Majalla" w:hint="cs"/>
          <w:sz w:val="27"/>
          <w:rtl/>
        </w:rPr>
        <w:t>ّ</w:t>
      </w:r>
      <w:r w:rsidRPr="006571AC">
        <w:rPr>
          <w:rFonts w:ascii="Sakkal Majalla" w:hAnsi="Sakkal Majalla"/>
          <w:sz w:val="27"/>
          <w:rtl/>
        </w:rPr>
        <w:t>ى رجل</w:t>
      </w:r>
      <w:r w:rsidR="004163AC" w:rsidRPr="006571AC">
        <w:rPr>
          <w:rFonts w:ascii="Sakkal Majalla" w:hAnsi="Sakkal Majalla" w:hint="cs"/>
          <w:sz w:val="27"/>
          <w:rtl/>
        </w:rPr>
        <w:t>َ</w:t>
      </w:r>
      <w:r w:rsidRPr="006571AC">
        <w:rPr>
          <w:rFonts w:ascii="Sakkal Majalla" w:hAnsi="Sakkal Majalla"/>
          <w:sz w:val="27"/>
          <w:rtl/>
        </w:rPr>
        <w:t>ي</w:t>
      </w:r>
      <w:r w:rsidR="004163AC" w:rsidRPr="006571AC">
        <w:rPr>
          <w:rFonts w:ascii="Sakkal Majalla" w:hAnsi="Sakkal Majalla" w:hint="cs"/>
          <w:sz w:val="27"/>
          <w:rtl/>
        </w:rPr>
        <w:t>ْ</w:t>
      </w:r>
      <w:r w:rsidRPr="006571AC">
        <w:rPr>
          <w:rFonts w:ascii="Sakkal Majalla" w:hAnsi="Sakkal Majalla"/>
          <w:sz w:val="27"/>
          <w:rtl/>
        </w:rPr>
        <w:t>ه</w:t>
      </w:r>
      <w:r w:rsidR="004163AC" w:rsidRPr="006571AC">
        <w:rPr>
          <w:rFonts w:ascii="Sakkal Majalla" w:hAnsi="Sakkal Majalla" w:hint="cs"/>
          <w:sz w:val="27"/>
          <w:rtl/>
        </w:rPr>
        <w:t>،</w:t>
      </w:r>
      <w:r w:rsidRPr="006571AC">
        <w:rPr>
          <w:rFonts w:ascii="Sakkal Majalla" w:hAnsi="Sakkal Majalla"/>
          <w:sz w:val="27"/>
          <w:rtl/>
        </w:rPr>
        <w:t xml:space="preserve"> فقال غورث به الحرث</w:t>
      </w:r>
      <w:r w:rsidR="004163AC" w:rsidRPr="006571AC">
        <w:rPr>
          <w:rFonts w:ascii="Sakkal Majalla" w:hAnsi="Sakkal Majalla" w:hint="cs"/>
          <w:sz w:val="27"/>
          <w:rtl/>
        </w:rPr>
        <w:t>:</w:t>
      </w:r>
      <w:r w:rsidRPr="006571AC">
        <w:rPr>
          <w:rFonts w:ascii="Sakkal Majalla" w:hAnsi="Sakkal Majalla"/>
          <w:sz w:val="27"/>
          <w:rtl/>
        </w:rPr>
        <w:t xml:space="preserve"> لأقتلن</w:t>
      </w:r>
      <w:r w:rsidR="004163AC" w:rsidRPr="006571AC">
        <w:rPr>
          <w:rFonts w:ascii="Sakkal Majalla" w:hAnsi="Sakkal Majalla" w:hint="cs"/>
          <w:sz w:val="27"/>
          <w:rtl/>
        </w:rPr>
        <w:t>ّ</w:t>
      </w:r>
      <w:r w:rsidRPr="006571AC">
        <w:rPr>
          <w:rFonts w:ascii="Sakkal Majalla" w:hAnsi="Sakkal Majalla"/>
          <w:sz w:val="27"/>
          <w:rtl/>
        </w:rPr>
        <w:t xml:space="preserve"> محمدا</w:t>
      </w:r>
      <w:r w:rsidR="004163AC" w:rsidRPr="006571AC">
        <w:rPr>
          <w:rFonts w:ascii="Sakkal Majalla" w:hAnsi="Sakkal Majalla" w:hint="cs"/>
          <w:sz w:val="27"/>
          <w:rtl/>
        </w:rPr>
        <w:t>ً،</w:t>
      </w:r>
      <w:r w:rsidRPr="006571AC">
        <w:rPr>
          <w:rFonts w:ascii="Sakkal Majalla" w:hAnsi="Sakkal Majalla"/>
          <w:sz w:val="27"/>
          <w:rtl/>
        </w:rPr>
        <w:t xml:space="preserve"> فقال له أصحابه</w:t>
      </w:r>
      <w:r w:rsidR="004163AC" w:rsidRPr="006571AC">
        <w:rPr>
          <w:rFonts w:ascii="Sakkal Majalla" w:hAnsi="Sakkal Majalla" w:hint="cs"/>
          <w:sz w:val="27"/>
          <w:rtl/>
        </w:rPr>
        <w:t>:</w:t>
      </w:r>
      <w:r w:rsidRPr="006571AC">
        <w:rPr>
          <w:rFonts w:ascii="Sakkal Majalla" w:hAnsi="Sakkal Majalla"/>
          <w:sz w:val="27"/>
          <w:rtl/>
        </w:rPr>
        <w:t xml:space="preserve"> كيف تقتله</w:t>
      </w:r>
      <w:r w:rsidR="004163AC" w:rsidRPr="006571AC">
        <w:rPr>
          <w:rFonts w:ascii="Sakkal Majalla" w:hAnsi="Sakkal Majalla" w:hint="cs"/>
          <w:sz w:val="27"/>
          <w:rtl/>
        </w:rPr>
        <w:t>؟</w:t>
      </w:r>
      <w:r w:rsidRPr="006571AC">
        <w:rPr>
          <w:rFonts w:ascii="Sakkal Majalla" w:hAnsi="Sakkal Majalla"/>
          <w:sz w:val="27"/>
          <w:rtl/>
        </w:rPr>
        <w:t xml:space="preserve"> قال</w:t>
      </w:r>
      <w:r w:rsidR="004163AC" w:rsidRPr="006571AC">
        <w:rPr>
          <w:rFonts w:ascii="Sakkal Majalla" w:hAnsi="Sakkal Majalla" w:hint="cs"/>
          <w:sz w:val="27"/>
          <w:rtl/>
        </w:rPr>
        <w:t>:</w:t>
      </w:r>
      <w:r w:rsidRPr="006571AC">
        <w:rPr>
          <w:rFonts w:ascii="Sakkal Majalla" w:hAnsi="Sakkal Majalla"/>
          <w:sz w:val="27"/>
          <w:rtl/>
        </w:rPr>
        <w:t xml:space="preserve"> أقول له</w:t>
      </w:r>
      <w:r w:rsidR="004163AC" w:rsidRPr="006571AC">
        <w:rPr>
          <w:rFonts w:ascii="Sakkal Majalla" w:hAnsi="Sakkal Majalla" w:hint="cs"/>
          <w:sz w:val="27"/>
          <w:rtl/>
        </w:rPr>
        <w:t>:</w:t>
      </w:r>
      <w:r w:rsidRPr="006571AC">
        <w:rPr>
          <w:rFonts w:ascii="Sakkal Majalla" w:hAnsi="Sakkal Majalla"/>
          <w:sz w:val="27"/>
          <w:rtl/>
        </w:rPr>
        <w:t xml:space="preserve"> أعطني سيفك</w:t>
      </w:r>
      <w:r w:rsidR="004163AC" w:rsidRPr="006571AC">
        <w:rPr>
          <w:rFonts w:ascii="Sakkal Majalla" w:hAnsi="Sakkal Majalla" w:hint="cs"/>
          <w:sz w:val="27"/>
          <w:rtl/>
        </w:rPr>
        <w:t>،</w:t>
      </w:r>
      <w:r w:rsidRPr="006571AC">
        <w:rPr>
          <w:rFonts w:ascii="Sakkal Majalla" w:hAnsi="Sakkal Majalla"/>
          <w:sz w:val="27"/>
          <w:rtl/>
        </w:rPr>
        <w:t xml:space="preserve"> فإذا أعطانيه قتل</w:t>
      </w:r>
      <w:r w:rsidR="004163AC" w:rsidRPr="006571AC">
        <w:rPr>
          <w:rFonts w:ascii="Sakkal Majalla" w:hAnsi="Sakkal Majalla" w:hint="cs"/>
          <w:sz w:val="27"/>
          <w:rtl/>
        </w:rPr>
        <w:t>ت</w:t>
      </w:r>
      <w:r w:rsidRPr="006571AC">
        <w:rPr>
          <w:rFonts w:ascii="Sakkal Majalla" w:hAnsi="Sakkal Majalla"/>
          <w:sz w:val="27"/>
          <w:rtl/>
        </w:rPr>
        <w:t>ه به</w:t>
      </w:r>
      <w:r w:rsidR="004163AC" w:rsidRPr="006571AC">
        <w:rPr>
          <w:rFonts w:ascii="Sakkal Majalla" w:hAnsi="Sakkal Majalla" w:hint="cs"/>
          <w:sz w:val="27"/>
          <w:rtl/>
        </w:rPr>
        <w:t>،</w:t>
      </w:r>
      <w:r w:rsidRPr="006571AC">
        <w:rPr>
          <w:rFonts w:ascii="Sakkal Majalla" w:hAnsi="Sakkal Majalla"/>
          <w:sz w:val="27"/>
          <w:rtl/>
        </w:rPr>
        <w:t xml:space="preserve"> فأتاه</w:t>
      </w:r>
      <w:r w:rsidR="004163AC" w:rsidRPr="006571AC">
        <w:rPr>
          <w:rFonts w:ascii="Sakkal Majalla" w:hAnsi="Sakkal Majalla" w:hint="cs"/>
          <w:sz w:val="27"/>
          <w:rtl/>
        </w:rPr>
        <w:t>،</w:t>
      </w:r>
      <w:r w:rsidRPr="006571AC">
        <w:rPr>
          <w:rFonts w:ascii="Sakkal Majalla" w:hAnsi="Sakkal Majalla"/>
          <w:sz w:val="27"/>
          <w:rtl/>
        </w:rPr>
        <w:t xml:space="preserve"> فقال</w:t>
      </w:r>
      <w:r w:rsidR="004163AC" w:rsidRPr="006571AC">
        <w:rPr>
          <w:rFonts w:ascii="Sakkal Majalla" w:hAnsi="Sakkal Majalla" w:hint="cs"/>
          <w:sz w:val="27"/>
          <w:rtl/>
        </w:rPr>
        <w:t>:</w:t>
      </w:r>
      <w:r w:rsidRPr="006571AC">
        <w:rPr>
          <w:rFonts w:ascii="Sakkal Majalla" w:hAnsi="Sakkal Majalla"/>
          <w:sz w:val="27"/>
          <w:rtl/>
        </w:rPr>
        <w:t xml:space="preserve"> يا محمد</w:t>
      </w:r>
      <w:r w:rsidR="004163AC" w:rsidRPr="006571AC">
        <w:rPr>
          <w:rFonts w:ascii="Sakkal Majalla" w:hAnsi="Sakkal Majalla" w:hint="cs"/>
          <w:sz w:val="27"/>
          <w:rtl/>
        </w:rPr>
        <w:t>،</w:t>
      </w:r>
      <w:r w:rsidRPr="006571AC">
        <w:rPr>
          <w:rFonts w:ascii="Sakkal Majalla" w:hAnsi="Sakkal Majalla"/>
          <w:sz w:val="27"/>
          <w:rtl/>
        </w:rPr>
        <w:t xml:space="preserve"> أعطني سيفك أشم</w:t>
      </w:r>
      <w:r w:rsidR="004163AC" w:rsidRPr="006571AC">
        <w:rPr>
          <w:rFonts w:ascii="Sakkal Majalla" w:hAnsi="Sakkal Majalla" w:hint="cs"/>
          <w:sz w:val="27"/>
          <w:rtl/>
        </w:rPr>
        <w:t>ّ</w:t>
      </w:r>
      <w:r w:rsidRPr="006571AC">
        <w:rPr>
          <w:rFonts w:ascii="Sakkal Majalla" w:hAnsi="Sakkal Majalla"/>
          <w:sz w:val="27"/>
          <w:rtl/>
        </w:rPr>
        <w:t>ه</w:t>
      </w:r>
      <w:r w:rsidRPr="006571AC">
        <w:rPr>
          <w:rFonts w:ascii="Sakkal Majalla" w:hAnsi="Sakkal Majalla" w:hint="cs"/>
          <w:sz w:val="27"/>
          <w:rtl/>
        </w:rPr>
        <w:t xml:space="preserve">، </w:t>
      </w:r>
      <w:r w:rsidRPr="006571AC">
        <w:rPr>
          <w:rFonts w:ascii="Sakkal Majalla" w:hAnsi="Sakkal Majalla"/>
          <w:sz w:val="27"/>
          <w:rtl/>
        </w:rPr>
        <w:t>فأعطاه إي</w:t>
      </w:r>
      <w:r w:rsidR="004163AC" w:rsidRPr="006571AC">
        <w:rPr>
          <w:rFonts w:ascii="Sakkal Majalla" w:hAnsi="Sakkal Majalla" w:hint="cs"/>
          <w:sz w:val="27"/>
          <w:rtl/>
        </w:rPr>
        <w:t>ّ</w:t>
      </w:r>
      <w:r w:rsidRPr="006571AC">
        <w:rPr>
          <w:rFonts w:ascii="Sakkal Majalla" w:hAnsi="Sakkal Majalla"/>
          <w:sz w:val="27"/>
          <w:rtl/>
        </w:rPr>
        <w:t>اه</w:t>
      </w:r>
      <w:r w:rsidRPr="006571AC">
        <w:rPr>
          <w:rFonts w:ascii="Sakkal Majalla" w:hAnsi="Sakkal Majalla" w:hint="cs"/>
          <w:sz w:val="27"/>
          <w:rtl/>
        </w:rPr>
        <w:t xml:space="preserve">، </w:t>
      </w:r>
      <w:r w:rsidRPr="006571AC">
        <w:rPr>
          <w:rFonts w:ascii="Sakkal Majalla" w:hAnsi="Sakkal Majalla"/>
          <w:sz w:val="27"/>
          <w:rtl/>
        </w:rPr>
        <w:t>فرعد</w:t>
      </w:r>
      <w:r w:rsidR="004163AC" w:rsidRPr="006571AC">
        <w:rPr>
          <w:rFonts w:ascii="Sakkal Majalla" w:hAnsi="Sakkal Majalla" w:hint="cs"/>
          <w:sz w:val="27"/>
          <w:rtl/>
        </w:rPr>
        <w:t>َ</w:t>
      </w:r>
      <w:r w:rsidRPr="006571AC">
        <w:rPr>
          <w:rFonts w:ascii="Sakkal Majalla" w:hAnsi="Sakkal Majalla"/>
          <w:sz w:val="27"/>
          <w:rtl/>
        </w:rPr>
        <w:t>ت</w:t>
      </w:r>
      <w:r w:rsidR="004163AC" w:rsidRPr="006571AC">
        <w:rPr>
          <w:rFonts w:ascii="Sakkal Majalla" w:hAnsi="Sakkal Majalla" w:hint="cs"/>
          <w:sz w:val="27"/>
          <w:rtl/>
        </w:rPr>
        <w:t>ْ</w:t>
      </w:r>
      <w:r w:rsidRPr="006571AC">
        <w:rPr>
          <w:rFonts w:ascii="Sakkal Majalla" w:hAnsi="Sakkal Majalla"/>
          <w:sz w:val="27"/>
          <w:rtl/>
        </w:rPr>
        <w:t xml:space="preserve"> يده</w:t>
      </w:r>
      <w:r w:rsidR="004163AC" w:rsidRPr="006571AC">
        <w:rPr>
          <w:rFonts w:ascii="Sakkal Majalla" w:hAnsi="Sakkal Majalla" w:hint="cs"/>
          <w:sz w:val="27"/>
          <w:rtl/>
        </w:rPr>
        <w:t>،</w:t>
      </w:r>
      <w:r w:rsidRPr="006571AC">
        <w:rPr>
          <w:rFonts w:ascii="Sakkal Majalla" w:hAnsi="Sakkal Majalla"/>
          <w:sz w:val="27"/>
          <w:rtl/>
        </w:rPr>
        <w:t xml:space="preserve"> فقال رسول الله</w:t>
      </w:r>
      <w:r w:rsidR="004459D6" w:rsidRPr="006571AC">
        <w:rPr>
          <w:rFonts w:ascii="Mosawi" w:hAnsi="Mosawi" w:cs="Mosawi"/>
          <w:sz w:val="22"/>
          <w:szCs w:val="22"/>
          <w:rtl/>
        </w:rPr>
        <w:t>ﷺ</w:t>
      </w:r>
      <w:r w:rsidRPr="006571AC">
        <w:rPr>
          <w:rFonts w:ascii="Sakkal Majalla" w:hAnsi="Sakkal Majalla"/>
          <w:sz w:val="27"/>
          <w:rtl/>
        </w:rPr>
        <w:t>:</w:t>
      </w:r>
      <w:r w:rsidRPr="006571AC">
        <w:rPr>
          <w:rFonts w:ascii="Sakkal Majalla" w:hAnsi="Sakkal Majalla" w:hint="cs"/>
          <w:sz w:val="27"/>
          <w:rtl/>
        </w:rPr>
        <w:t xml:space="preserve"> </w:t>
      </w:r>
      <w:r w:rsidRPr="006571AC">
        <w:rPr>
          <w:rFonts w:ascii="Sakkal Majalla" w:hAnsi="Sakkal Majalla"/>
          <w:sz w:val="27"/>
          <w:rtl/>
        </w:rPr>
        <w:t>حال الله بينك وبين ما تريد</w:t>
      </w:r>
      <w:r w:rsidRPr="006571AC">
        <w:rPr>
          <w:rFonts w:ascii="Sakkal Majalla" w:hAnsi="Sakkal Majalla" w:hint="cs"/>
          <w:sz w:val="27"/>
          <w:rtl/>
        </w:rPr>
        <w:t xml:space="preserve">، </w:t>
      </w:r>
      <w:r w:rsidRPr="006571AC">
        <w:rPr>
          <w:rFonts w:ascii="Sakkal Majalla" w:hAnsi="Sakkal Majalla"/>
          <w:sz w:val="27"/>
          <w:rtl/>
        </w:rPr>
        <w:t>ف</w:t>
      </w:r>
      <w:r w:rsidR="004163AC" w:rsidRPr="006571AC">
        <w:rPr>
          <w:rFonts w:ascii="Sakkal Majalla" w:hAnsi="Sakkal Majalla" w:hint="cs"/>
          <w:sz w:val="27"/>
          <w:rtl/>
        </w:rPr>
        <w:t>أ</w:t>
      </w:r>
      <w:r w:rsidRPr="006571AC">
        <w:rPr>
          <w:rFonts w:ascii="Sakkal Majalla" w:hAnsi="Sakkal Majalla"/>
          <w:sz w:val="27"/>
          <w:rtl/>
        </w:rPr>
        <w:t xml:space="preserve">نزل الله </w:t>
      </w:r>
      <w:r w:rsidRPr="006571AC">
        <w:rPr>
          <w:rFonts w:ascii="Mosawi" w:hAnsi="Mosawi" w:cs="Mosawi"/>
          <w:sz w:val="24"/>
          <w:szCs w:val="24"/>
          <w:rtl/>
        </w:rPr>
        <w:t>﴿</w:t>
      </w:r>
      <w:r w:rsidRPr="006571AC">
        <w:rPr>
          <w:rFonts w:ascii="Sakkal Majalla" w:hAnsi="Sakkal Majalla"/>
          <w:b/>
          <w:bCs/>
          <w:sz w:val="27"/>
          <w:rtl/>
        </w:rPr>
        <w:t>ي</w:t>
      </w:r>
      <w:r w:rsidR="004163AC" w:rsidRPr="006571AC">
        <w:rPr>
          <w:rFonts w:ascii="Sakkal Majalla" w:hAnsi="Sakkal Majalla" w:hint="cs"/>
          <w:b/>
          <w:bCs/>
          <w:sz w:val="27"/>
          <w:rtl/>
        </w:rPr>
        <w:t>َ</w:t>
      </w:r>
      <w:r w:rsidRPr="006571AC">
        <w:rPr>
          <w:rFonts w:ascii="Sakkal Majalla" w:hAnsi="Sakkal Majalla"/>
          <w:b/>
          <w:bCs/>
          <w:sz w:val="27"/>
          <w:rtl/>
        </w:rPr>
        <w:t>ا أَيُّهَا الرَّسُولُ بَلِّغْ م</w:t>
      </w:r>
      <w:r w:rsidR="004163AC" w:rsidRPr="006571AC">
        <w:rPr>
          <w:rFonts w:ascii="Sakkal Majalla" w:hAnsi="Sakkal Majalla" w:hint="cs"/>
          <w:b/>
          <w:bCs/>
          <w:sz w:val="27"/>
          <w:rtl/>
        </w:rPr>
        <w:t>َ</w:t>
      </w:r>
      <w:r w:rsidRPr="006571AC">
        <w:rPr>
          <w:rFonts w:ascii="Sakkal Majalla" w:hAnsi="Sakkal Majalla"/>
          <w:b/>
          <w:bCs/>
          <w:sz w:val="27"/>
          <w:rtl/>
        </w:rPr>
        <w:t>ا أ</w:t>
      </w:r>
      <w:r w:rsidR="004163AC" w:rsidRPr="006571AC">
        <w:rPr>
          <w:rFonts w:ascii="Sakkal Majalla" w:hAnsi="Sakkal Majalla" w:hint="cs"/>
          <w:b/>
          <w:bCs/>
          <w:sz w:val="27"/>
          <w:rtl/>
        </w:rPr>
        <w:t>ُ</w:t>
      </w:r>
      <w:r w:rsidRPr="006571AC">
        <w:rPr>
          <w:rFonts w:ascii="Sakkal Majalla" w:hAnsi="Sakkal Majalla"/>
          <w:b/>
          <w:bCs/>
          <w:sz w:val="27"/>
          <w:rtl/>
        </w:rPr>
        <w:t>نْزِلَ إِلَيْكَ مِنْ رَبِّكَ</w:t>
      </w:r>
      <w:r w:rsidRPr="006571AC">
        <w:rPr>
          <w:rFonts w:ascii="Mosawi" w:hAnsi="Mosawi" w:cs="Mosawi"/>
          <w:sz w:val="24"/>
          <w:szCs w:val="24"/>
          <w:rtl/>
        </w:rPr>
        <w:t>﴾</w:t>
      </w:r>
      <w:r w:rsidRPr="006571AC">
        <w:rPr>
          <w:rFonts w:ascii="Sakkal Majalla" w:hAnsi="Sakkal Majalla"/>
          <w:sz w:val="27"/>
          <w:vertAlign w:val="superscript"/>
          <w:rtl/>
        </w:rPr>
        <w:t>(</w:t>
      </w:r>
      <w:r w:rsidRPr="006571AC">
        <w:rPr>
          <w:rStyle w:val="ac"/>
          <w:rFonts w:ascii="Sakkal Majalla" w:hAnsi="Sakkal Majalla"/>
          <w:sz w:val="27"/>
          <w:rtl/>
        </w:rPr>
        <w:endnoteReference w:id="385"/>
      </w:r>
      <w:r w:rsidRPr="006571AC">
        <w:rPr>
          <w:rFonts w:ascii="Sakkal Majalla" w:hAnsi="Sakkal Majalla"/>
          <w:sz w:val="27"/>
          <w:vertAlign w:val="superscript"/>
          <w:rtl/>
        </w:rPr>
        <w:t>)</w:t>
      </w:r>
      <w:r w:rsidRPr="006571AC">
        <w:rPr>
          <w:rFonts w:ascii="Sakkal Majalla" w:hAnsi="Sakkal Majalla"/>
          <w:sz w:val="27"/>
          <w:rtl/>
        </w:rPr>
        <w:t xml:space="preserve">. </w:t>
      </w:r>
    </w:p>
    <w:p w:rsidR="00D04188" w:rsidRPr="006571AC" w:rsidRDefault="00D04188" w:rsidP="00FB4949">
      <w:pPr>
        <w:spacing w:line="430" w:lineRule="exact"/>
        <w:rPr>
          <w:rFonts w:ascii="Sakkal Majalla" w:hAnsi="Sakkal Majalla"/>
          <w:b/>
          <w:bCs/>
          <w:sz w:val="27"/>
          <w:rtl/>
        </w:rPr>
      </w:pPr>
    </w:p>
    <w:p w:rsidR="005D05A4" w:rsidRPr="006571AC" w:rsidRDefault="007204C4" w:rsidP="007204C4">
      <w:pPr>
        <w:pStyle w:val="31"/>
        <w:rPr>
          <w:color w:val="auto"/>
          <w:rtl/>
        </w:rPr>
      </w:pPr>
      <w:bookmarkStart w:id="167" w:name="_Toc114164655"/>
      <w:r w:rsidRPr="006571AC">
        <w:rPr>
          <w:rFonts w:hint="cs"/>
          <w:color w:val="auto"/>
          <w:rtl/>
        </w:rPr>
        <w:t>دراسةٌ وتحقيق</w:t>
      </w:r>
      <w:bookmarkEnd w:id="167"/>
      <w:r w:rsidR="005D05A4" w:rsidRPr="006571AC">
        <w:rPr>
          <w:color w:val="auto"/>
          <w:rtl/>
        </w:rPr>
        <w:t xml:space="preserve"> </w:t>
      </w:r>
    </w:p>
    <w:p w:rsidR="005D05A4" w:rsidRPr="006571AC" w:rsidRDefault="005D05A4" w:rsidP="00B41BA0">
      <w:pPr>
        <w:rPr>
          <w:rFonts w:ascii="Sakkal Majalla" w:hAnsi="Sakkal Majalla"/>
          <w:sz w:val="27"/>
          <w:rtl/>
        </w:rPr>
      </w:pPr>
      <w:r w:rsidRPr="006571AC">
        <w:rPr>
          <w:rFonts w:ascii="Sakkal Majalla" w:hAnsi="Sakkal Majalla"/>
          <w:b/>
          <w:bCs/>
          <w:sz w:val="27"/>
          <w:rtl/>
        </w:rPr>
        <w:t>أو</w:t>
      </w:r>
      <w:r w:rsidR="004163AC" w:rsidRPr="006571AC">
        <w:rPr>
          <w:rFonts w:ascii="Sakkal Majalla" w:hAnsi="Sakkal Majalla" w:hint="cs"/>
          <w:b/>
          <w:bCs/>
          <w:sz w:val="27"/>
          <w:rtl/>
        </w:rPr>
        <w:t>ّ</w:t>
      </w:r>
      <w:r w:rsidRPr="006571AC">
        <w:rPr>
          <w:rFonts w:ascii="Sakkal Majalla" w:hAnsi="Sakkal Majalla"/>
          <w:b/>
          <w:bCs/>
          <w:sz w:val="27"/>
          <w:rtl/>
        </w:rPr>
        <w:t xml:space="preserve">لاً: </w:t>
      </w:r>
      <w:r w:rsidRPr="006571AC">
        <w:rPr>
          <w:rFonts w:ascii="Times New Roman" w:hAnsi="Times New Roman" w:hint="cs"/>
          <w:sz w:val="27"/>
          <w:rtl/>
        </w:rPr>
        <w:t>ي</w:t>
      </w:r>
      <w:r w:rsidRPr="006571AC">
        <w:rPr>
          <w:rFonts w:ascii="Sakkal Majalla" w:hAnsi="Sakkal Majalla" w:hint="cs"/>
          <w:sz w:val="27"/>
          <w:rtl/>
        </w:rPr>
        <w:t>جب</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 نعلم أن غزوة ذات الرقاع أو بني أنمار كانت في السنة الرابعة من الهجرة</w:t>
      </w:r>
      <w:r w:rsidRPr="006571AC">
        <w:rPr>
          <w:rFonts w:ascii="Sakkal Majalla" w:hAnsi="Sakkal Majalla" w:hint="cs"/>
          <w:sz w:val="27"/>
          <w:rtl/>
        </w:rPr>
        <w:t xml:space="preserve">، </w:t>
      </w:r>
      <w:r w:rsidRPr="006571AC">
        <w:rPr>
          <w:rFonts w:ascii="Sakkal Majalla" w:hAnsi="Sakkal Majalla"/>
          <w:sz w:val="27"/>
          <w:rtl/>
        </w:rPr>
        <w:t xml:space="preserve">وهو تاريخٌ </w:t>
      </w:r>
      <w:r w:rsidRPr="006571AC">
        <w:rPr>
          <w:rFonts w:ascii="Times New Roman" w:hAnsi="Times New Roman" w:hint="cs"/>
          <w:sz w:val="27"/>
          <w:rtl/>
        </w:rPr>
        <w:t>ي</w:t>
      </w:r>
      <w:r w:rsidRPr="006571AC">
        <w:rPr>
          <w:rFonts w:ascii="Sakkal Majalla" w:hAnsi="Sakkal Majalla" w:hint="cs"/>
          <w:sz w:val="27"/>
          <w:rtl/>
        </w:rPr>
        <w:t>سبق</w:t>
      </w:r>
      <w:r w:rsidRPr="006571AC">
        <w:rPr>
          <w:rFonts w:ascii="Sakkal Majalla" w:hAnsi="Sakkal Majalla"/>
          <w:sz w:val="27"/>
          <w:rtl/>
        </w:rPr>
        <w:t xml:space="preserve"> </w:t>
      </w:r>
      <w:r w:rsidRPr="006571AC">
        <w:rPr>
          <w:rFonts w:ascii="Sakkal Majalla" w:hAnsi="Sakkal Majalla" w:hint="cs"/>
          <w:sz w:val="27"/>
          <w:rtl/>
        </w:rPr>
        <w:t>نزول</w:t>
      </w:r>
      <w:r w:rsidRPr="006571AC">
        <w:rPr>
          <w:rFonts w:ascii="Sakkal Majalla" w:hAnsi="Sakkal Majalla"/>
          <w:sz w:val="27"/>
          <w:rtl/>
        </w:rPr>
        <w:t xml:space="preserve"> </w:t>
      </w:r>
      <w:r w:rsidRPr="006571AC">
        <w:rPr>
          <w:rFonts w:ascii="Sakkal Majalla" w:hAnsi="Sakkal Majalla" w:hint="cs"/>
          <w:sz w:val="27"/>
          <w:rtl/>
        </w:rPr>
        <w:t>سورة</w:t>
      </w:r>
      <w:r w:rsidRPr="006571AC">
        <w:rPr>
          <w:rFonts w:ascii="Sakkal Majalla" w:hAnsi="Sakkal Majalla"/>
          <w:sz w:val="27"/>
          <w:rtl/>
        </w:rPr>
        <w:t xml:space="preserve"> </w:t>
      </w:r>
      <w:r w:rsidRPr="006571AC">
        <w:rPr>
          <w:rFonts w:ascii="Sakkal Majalla" w:hAnsi="Sakkal Majalla" w:hint="cs"/>
          <w:sz w:val="27"/>
          <w:rtl/>
        </w:rPr>
        <w:t>المائدة</w:t>
      </w:r>
      <w:r w:rsidRPr="006571AC">
        <w:rPr>
          <w:rFonts w:ascii="Sakkal Majalla" w:hAnsi="Sakkal Majalla"/>
          <w:sz w:val="27"/>
          <w:rtl/>
        </w:rPr>
        <w:t xml:space="preserve"> </w:t>
      </w:r>
      <w:r w:rsidRPr="006571AC">
        <w:rPr>
          <w:rFonts w:ascii="Sakkal Majalla" w:hAnsi="Sakkal Majalla" w:hint="cs"/>
          <w:sz w:val="27"/>
          <w:rtl/>
        </w:rPr>
        <w:t>بست</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سنوات</w:t>
      </w:r>
      <w:r w:rsidR="00592CED"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ل</w:t>
      </w:r>
      <w:r w:rsidRPr="006571AC">
        <w:rPr>
          <w:rFonts w:ascii="Sakkal Majalla" w:hAnsi="Sakkal Majalla" w:hint="cs"/>
          <w:sz w:val="27"/>
          <w:rtl/>
        </w:rPr>
        <w:t>أن</w:t>
      </w:r>
      <w:r w:rsidRPr="006571AC">
        <w:rPr>
          <w:rFonts w:ascii="Sakkal Majalla" w:hAnsi="Sakkal Majalla"/>
          <w:sz w:val="27"/>
          <w:rtl/>
        </w:rPr>
        <w:t>ّه تقدّ</w:t>
      </w:r>
      <w:r w:rsidR="00592CED" w:rsidRPr="006571AC">
        <w:rPr>
          <w:rFonts w:ascii="Sakkal Majalla" w:hAnsi="Sakkal Majalla" w:hint="cs"/>
          <w:sz w:val="27"/>
          <w:rtl/>
        </w:rPr>
        <w:t>َ</w:t>
      </w:r>
      <w:r w:rsidRPr="006571AC">
        <w:rPr>
          <w:rFonts w:ascii="Sakkal Majalla" w:hAnsi="Sakkal Majalla"/>
          <w:sz w:val="27"/>
          <w:rtl/>
        </w:rPr>
        <w:t xml:space="preserve">م </w:t>
      </w:r>
      <w:r w:rsidRPr="006571AC">
        <w:rPr>
          <w:rFonts w:ascii="Sakkal Majalla" w:hAnsi="Sakkal Majalla" w:hint="cs"/>
          <w:sz w:val="27"/>
          <w:rtl/>
        </w:rPr>
        <w:t>أ</w:t>
      </w:r>
      <w:r w:rsidRPr="006571AC">
        <w:rPr>
          <w:rFonts w:ascii="Sakkal Majalla" w:hAnsi="Sakkal Majalla"/>
          <w:sz w:val="27"/>
          <w:rtl/>
        </w:rPr>
        <w:t>نّ سورة المائدة</w:t>
      </w:r>
      <w:r w:rsidR="00592CED" w:rsidRPr="006571AC">
        <w:rPr>
          <w:rFonts w:ascii="Sakkal Majalla" w:hAnsi="Sakkal Majalla" w:hint="cs"/>
          <w:sz w:val="27"/>
          <w:rtl/>
        </w:rPr>
        <w:t>،</w:t>
      </w:r>
      <w:r w:rsidRPr="006571AC">
        <w:rPr>
          <w:rFonts w:ascii="Sakkal Majalla" w:hAnsi="Sakkal Majalla"/>
          <w:sz w:val="27"/>
          <w:rtl/>
        </w:rPr>
        <w:t xml:space="preserve"> وهذه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بالذات</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ه</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آخر</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نزل</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القرآن</w:t>
      </w:r>
      <w:r w:rsidRPr="006571AC">
        <w:rPr>
          <w:rFonts w:ascii="Sakkal Majalla" w:hAnsi="Sakkal Majalla"/>
          <w:sz w:val="27"/>
          <w:rtl/>
        </w:rPr>
        <w:t xml:space="preserve"> على </w:t>
      </w:r>
      <w:r w:rsidRPr="006571AC">
        <w:rPr>
          <w:rFonts w:ascii="Sakkal Majalla" w:hAnsi="Sakkal Majalla" w:hint="cs"/>
          <w:sz w:val="27"/>
          <w:rtl/>
        </w:rPr>
        <w:t>النب</w:t>
      </w:r>
      <w:r w:rsidRPr="006571AC">
        <w:rPr>
          <w:rFonts w:ascii="Times New Roman" w:hAnsi="Times New Roman" w:hint="cs"/>
          <w:sz w:val="27"/>
          <w:rtl/>
        </w:rPr>
        <w:t>ي</w:t>
      </w:r>
      <w:r w:rsidR="00592CED" w:rsidRPr="006571AC">
        <w:rPr>
          <w:rFonts w:ascii="Times New Roman" w:hAnsi="Times New Roman" w:hint="cs"/>
          <w:sz w:val="27"/>
          <w:rtl/>
        </w:rPr>
        <w:t>ّ</w:t>
      </w:r>
      <w:r w:rsidR="002A2C90" w:rsidRPr="006571AC">
        <w:rPr>
          <w:rFonts w:ascii="Mosawi" w:hAnsi="Mosawi" w:cs="Mosawi"/>
          <w:sz w:val="22"/>
          <w:szCs w:val="22"/>
          <w:rtl/>
        </w:rPr>
        <w:t>|</w:t>
      </w:r>
      <w:r w:rsidRPr="006571AC">
        <w:rPr>
          <w:rFonts w:ascii="Sakkal Majalla" w:hAnsi="Sakkal Majalla"/>
          <w:sz w:val="27"/>
          <w:vertAlign w:val="superscript"/>
          <w:rtl/>
        </w:rPr>
        <w:t>(</w:t>
      </w:r>
      <w:r w:rsidRPr="006571AC">
        <w:rPr>
          <w:rStyle w:val="ac"/>
          <w:rFonts w:ascii="Sakkal Majalla" w:hAnsi="Sakkal Majalla"/>
          <w:sz w:val="27"/>
          <w:rtl/>
        </w:rPr>
        <w:endnoteReference w:id="386"/>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2053F1">
      <w:pPr>
        <w:rPr>
          <w:rFonts w:ascii="Sakkal Majalla" w:hAnsi="Sakkal Majalla"/>
          <w:sz w:val="27"/>
          <w:rtl/>
        </w:rPr>
      </w:pPr>
      <w:r w:rsidRPr="006571AC">
        <w:rPr>
          <w:rFonts w:ascii="Sakkal Majalla" w:hAnsi="Sakkal Majalla"/>
          <w:b/>
          <w:bCs/>
          <w:sz w:val="27"/>
          <w:rtl/>
        </w:rPr>
        <w:t>ثان</w:t>
      </w:r>
      <w:r w:rsidRPr="006571AC">
        <w:rPr>
          <w:rFonts w:ascii="Times New Roman" w:hAnsi="Times New Roman" w:hint="cs"/>
          <w:b/>
          <w:bCs/>
          <w:sz w:val="27"/>
          <w:rtl/>
        </w:rPr>
        <w:t>ي</w:t>
      </w:r>
      <w:r w:rsidRPr="006571AC">
        <w:rPr>
          <w:rFonts w:ascii="Sakkal Majalla" w:hAnsi="Sakkal Majalla" w:hint="cs"/>
          <w:b/>
          <w:bCs/>
          <w:sz w:val="27"/>
          <w:rtl/>
        </w:rPr>
        <w:t>اً</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 روا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002053F1" w:rsidRPr="006571AC">
        <w:rPr>
          <w:rFonts w:ascii="Sakkal Majalla" w:hAnsi="Sakkal Majalla" w:hint="cs"/>
          <w:sz w:val="27"/>
          <w:rtl/>
        </w:rPr>
        <w:t>ا</w:t>
      </w:r>
      <w:r w:rsidRPr="006571AC">
        <w:rPr>
          <w:rFonts w:ascii="Sakkal Majalla" w:hAnsi="Sakkal Majalla"/>
          <w:sz w:val="27"/>
          <w:rtl/>
        </w:rPr>
        <w:t xml:space="preserve">بن </w:t>
      </w:r>
      <w:r w:rsidRPr="006571AC">
        <w:rPr>
          <w:rFonts w:ascii="Sakkal Majalla" w:hAnsi="Sakkal Majalla" w:hint="cs"/>
          <w:sz w:val="27"/>
          <w:rtl/>
        </w:rPr>
        <w:t>أ</w:t>
      </w:r>
      <w:r w:rsidRPr="006571AC">
        <w:rPr>
          <w:rFonts w:ascii="Sakkal Majalla" w:hAnsi="Sakkal Majalla"/>
          <w:sz w:val="27"/>
          <w:rtl/>
        </w:rPr>
        <w:t>ب</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حاتم</w:t>
      </w:r>
      <w:r w:rsidR="00592CED" w:rsidRPr="006571AC">
        <w:rPr>
          <w:rFonts w:ascii="Sakkal Majalla" w:hAnsi="Sakkal Majalla" w:hint="cs"/>
          <w:sz w:val="27"/>
          <w:rtl/>
        </w:rPr>
        <w:t xml:space="preserve"> ـ</w:t>
      </w:r>
      <w:r w:rsidRPr="006571AC">
        <w:rPr>
          <w:rFonts w:ascii="Sakkal Majalla" w:hAnsi="Sakkal Majalla"/>
          <w:sz w:val="27"/>
          <w:rtl/>
        </w:rPr>
        <w:t xml:space="preserve"> </w:t>
      </w:r>
      <w:r w:rsidRPr="006571AC">
        <w:rPr>
          <w:rFonts w:ascii="Sakkal Majalla" w:hAnsi="Sakkal Majalla" w:hint="cs"/>
          <w:sz w:val="27"/>
          <w:rtl/>
        </w:rPr>
        <w:t>بالإ</w:t>
      </w:r>
      <w:r w:rsidRPr="006571AC">
        <w:rPr>
          <w:rFonts w:ascii="Sakkal Majalla" w:hAnsi="Sakkal Majalla"/>
          <w:sz w:val="27"/>
          <w:rtl/>
        </w:rPr>
        <w:t xml:space="preserve">ضافة إلى </w:t>
      </w:r>
      <w:r w:rsidR="00592CED" w:rsidRPr="006571AC">
        <w:rPr>
          <w:rFonts w:ascii="Sakkal Majalla" w:hAnsi="Sakkal Majalla" w:hint="cs"/>
          <w:sz w:val="27"/>
          <w:rtl/>
        </w:rPr>
        <w:t>ت</w:t>
      </w:r>
      <w:r w:rsidRPr="006571AC">
        <w:rPr>
          <w:rFonts w:ascii="Sakkal Majalla" w:hAnsi="Sakkal Majalla" w:hint="cs"/>
          <w:sz w:val="27"/>
          <w:rtl/>
        </w:rPr>
        <w:t>عارضها</w:t>
      </w:r>
      <w:r w:rsidRPr="006571AC">
        <w:rPr>
          <w:rFonts w:ascii="Sakkal Majalla" w:hAnsi="Sakkal Majalla"/>
          <w:sz w:val="27"/>
          <w:rtl/>
        </w:rPr>
        <w:t xml:space="preserve"> </w:t>
      </w:r>
      <w:r w:rsidRPr="006571AC">
        <w:rPr>
          <w:rFonts w:ascii="Sakkal Majalla" w:hAnsi="Sakkal Majalla" w:hint="cs"/>
          <w:sz w:val="27"/>
          <w:rtl/>
        </w:rPr>
        <w:t>مع</w:t>
      </w:r>
      <w:r w:rsidRPr="006571AC">
        <w:rPr>
          <w:rFonts w:ascii="Sakkal Majalla" w:hAnsi="Sakkal Majalla"/>
          <w:sz w:val="27"/>
          <w:rtl/>
        </w:rPr>
        <w:t xml:space="preserve"> </w:t>
      </w:r>
      <w:r w:rsidRPr="006571AC">
        <w:rPr>
          <w:rFonts w:ascii="Sakkal Majalla" w:hAnsi="Sakkal Majalla" w:hint="cs"/>
          <w:sz w:val="27"/>
          <w:rtl/>
        </w:rPr>
        <w:t>كث</w:t>
      </w:r>
      <w:r w:rsidRPr="006571AC">
        <w:rPr>
          <w:rFonts w:ascii="Times New Roman" w:hAnsi="Times New Roman" w:hint="cs"/>
          <w:sz w:val="27"/>
          <w:rtl/>
        </w:rPr>
        <w:t>ي</w:t>
      </w:r>
      <w:r w:rsidRPr="006571AC">
        <w:rPr>
          <w:rFonts w:ascii="Sakkal Majalla" w:hAnsi="Sakkal Majalla" w:hint="cs"/>
          <w:sz w:val="27"/>
          <w:rtl/>
        </w:rPr>
        <w:t>ر</w:t>
      </w:r>
      <w:r w:rsidR="00592CED" w:rsidRPr="006571AC">
        <w:rPr>
          <w:rFonts w:ascii="Sakkal Majalla" w:hAnsi="Sakkal Majalla" w:hint="cs"/>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روا</w:t>
      </w:r>
      <w:r w:rsidRPr="006571AC">
        <w:rPr>
          <w:rFonts w:ascii="Times New Roman" w:hAnsi="Times New Roman" w:hint="cs"/>
          <w:sz w:val="27"/>
          <w:rtl/>
        </w:rPr>
        <w:t>ي</w:t>
      </w:r>
      <w:r w:rsidRPr="006571AC">
        <w:rPr>
          <w:rFonts w:ascii="Sakkal Majalla" w:hAnsi="Sakkal Majalla" w:hint="cs"/>
          <w:sz w:val="27"/>
          <w:rtl/>
        </w:rPr>
        <w:t>ات</w:t>
      </w:r>
      <w:r w:rsidRPr="006571AC">
        <w:rPr>
          <w:rFonts w:ascii="Sakkal Majalla" w:hAnsi="Sakkal Majalla"/>
          <w:sz w:val="27"/>
          <w:rtl/>
        </w:rPr>
        <w:t xml:space="preserve"> </w:t>
      </w:r>
      <w:r w:rsidRPr="006571AC">
        <w:rPr>
          <w:rFonts w:ascii="Sakkal Majalla" w:hAnsi="Sakkal Majalla" w:hint="cs"/>
          <w:sz w:val="27"/>
          <w:rtl/>
        </w:rPr>
        <w:lastRenderedPageBreak/>
        <w:t>العامة</w:t>
      </w:r>
      <w:r w:rsidR="00592CED" w:rsidRPr="006571AC">
        <w:rPr>
          <w:rFonts w:ascii="Sakkal Majalla" w:hAnsi="Sakkal Majalla" w:hint="cs"/>
          <w:sz w:val="27"/>
          <w:rtl/>
        </w:rPr>
        <w:t>،</w:t>
      </w:r>
      <w:r w:rsidRPr="006571AC">
        <w:rPr>
          <w:rFonts w:ascii="Sakkal Majalla" w:hAnsi="Sakkal Majalla"/>
          <w:sz w:val="27"/>
          <w:rtl/>
        </w:rPr>
        <w:t xml:space="preserve"> ومع ما نقله </w:t>
      </w:r>
      <w:r w:rsidR="00592CED" w:rsidRPr="006571AC">
        <w:rPr>
          <w:rFonts w:ascii="Sakkal Majalla" w:hAnsi="Sakkal Majalla" w:hint="cs"/>
          <w:sz w:val="27"/>
          <w:rtl/>
        </w:rPr>
        <w:t>أ</w:t>
      </w:r>
      <w:r w:rsidRPr="006571AC">
        <w:rPr>
          <w:rFonts w:ascii="Sakkal Majalla" w:hAnsi="Sakkal Majalla"/>
          <w:sz w:val="27"/>
          <w:rtl/>
        </w:rPr>
        <w:t>بو</w:t>
      </w:r>
      <w:r w:rsidR="00592CED" w:rsidRPr="006571AC">
        <w:rPr>
          <w:rFonts w:ascii="Sakkal Majalla" w:hAnsi="Sakkal Majalla" w:hint="cs"/>
          <w:sz w:val="27"/>
          <w:rtl/>
        </w:rPr>
        <w:t xml:space="preserve"> </w:t>
      </w:r>
      <w:r w:rsidRPr="006571AC">
        <w:rPr>
          <w:rFonts w:ascii="Sakkal Majalla" w:hAnsi="Sakkal Majalla"/>
          <w:sz w:val="27"/>
          <w:rtl/>
        </w:rPr>
        <w:t>هر</w:t>
      </w:r>
      <w:r w:rsidRPr="006571AC">
        <w:rPr>
          <w:rFonts w:ascii="Times New Roman" w:hAnsi="Times New Roman" w:hint="cs"/>
          <w:sz w:val="27"/>
          <w:rtl/>
        </w:rPr>
        <w:t>ي</w:t>
      </w:r>
      <w:r w:rsidRPr="006571AC">
        <w:rPr>
          <w:rFonts w:ascii="Sakkal Majalla" w:hAnsi="Sakkal Majalla" w:hint="cs"/>
          <w:sz w:val="27"/>
          <w:rtl/>
        </w:rPr>
        <w:t>رة</w:t>
      </w:r>
      <w:r w:rsidRPr="006571AC">
        <w:rPr>
          <w:rFonts w:ascii="Sakkal Majalla" w:hAnsi="Sakkal Majalla"/>
          <w:sz w:val="27"/>
          <w:rtl/>
        </w:rPr>
        <w:t xml:space="preserve"> </w:t>
      </w:r>
      <w:r w:rsidRPr="006571AC">
        <w:rPr>
          <w:rFonts w:ascii="Sakkal Majalla" w:hAnsi="Sakkal Majalla" w:hint="cs"/>
          <w:sz w:val="27"/>
          <w:rtl/>
        </w:rPr>
        <w:t>ف</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تفس</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w:t>
      </w:r>
      <w:r w:rsidRPr="006571AC">
        <w:rPr>
          <w:rFonts w:ascii="Sakkal Majalla" w:hAnsi="Sakkal Majalla" w:hint="cs"/>
          <w:sz w:val="27"/>
          <w:rtl/>
        </w:rPr>
        <w:t>الآ</w:t>
      </w:r>
      <w:r w:rsidRPr="006571AC">
        <w:rPr>
          <w:rFonts w:ascii="Times New Roman" w:hAnsi="Times New Roman" w:hint="cs"/>
          <w:sz w:val="27"/>
          <w:rtl/>
        </w:rPr>
        <w:t>ي</w:t>
      </w:r>
      <w:r w:rsidRPr="006571AC">
        <w:rPr>
          <w:rFonts w:ascii="Sakkal Majalla" w:hAnsi="Sakkal Majalla" w:hint="cs"/>
          <w:sz w:val="27"/>
          <w:rtl/>
        </w:rPr>
        <w:t>ة</w:t>
      </w:r>
      <w:r w:rsidR="00592CED" w:rsidRPr="006571AC">
        <w:rPr>
          <w:rFonts w:ascii="Sakkal Majalla" w:hAnsi="Sakkal Majalla" w:hint="cs"/>
          <w:sz w:val="27"/>
          <w:rtl/>
        </w:rPr>
        <w:t xml:space="preserve"> ـ</w:t>
      </w:r>
      <w:r w:rsidRPr="006571AC">
        <w:rPr>
          <w:rFonts w:ascii="Sakkal Majalla" w:hAnsi="Sakkal Majalla" w:hint="cs"/>
          <w:sz w:val="27"/>
          <w:rtl/>
        </w:rPr>
        <w:t xml:space="preserve"> </w:t>
      </w:r>
      <w:r w:rsidRPr="006571AC">
        <w:rPr>
          <w:rFonts w:ascii="Sakkal Majalla" w:hAnsi="Sakkal Majalla"/>
          <w:sz w:val="27"/>
          <w:rtl/>
        </w:rPr>
        <w:t>قد ضعّ</w:t>
      </w:r>
      <w:r w:rsidR="00592CED" w:rsidRPr="006571AC">
        <w:rPr>
          <w:rFonts w:ascii="Sakkal Majalla" w:hAnsi="Sakkal Majalla" w:hint="cs"/>
          <w:sz w:val="27"/>
          <w:rtl/>
        </w:rPr>
        <w:t>َ</w:t>
      </w:r>
      <w:r w:rsidRPr="006571AC">
        <w:rPr>
          <w:rFonts w:ascii="Sakkal Majalla" w:hAnsi="Sakkal Majalla"/>
          <w:sz w:val="27"/>
          <w:rtl/>
        </w:rPr>
        <w:t xml:space="preserve">فها بعض </w:t>
      </w:r>
      <w:r w:rsidR="00592CED" w:rsidRPr="006571AC">
        <w:rPr>
          <w:rFonts w:ascii="Sakkal Majalla" w:hAnsi="Sakkal Majalla" w:hint="cs"/>
          <w:sz w:val="27"/>
          <w:rtl/>
        </w:rPr>
        <w:t>العلماء</w:t>
      </w:r>
      <w:r w:rsidRPr="006571AC">
        <w:rPr>
          <w:rFonts w:ascii="Sakkal Majalla" w:hAnsi="Sakkal Majalla" w:hint="cs"/>
          <w:sz w:val="27"/>
          <w:rtl/>
        </w:rPr>
        <w:t xml:space="preserve">، </w:t>
      </w:r>
      <w:r w:rsidR="00592CED" w:rsidRPr="006571AC">
        <w:rPr>
          <w:rFonts w:ascii="Sakkal Majalla" w:hAnsi="Sakkal Majalla" w:hint="cs"/>
          <w:sz w:val="27"/>
          <w:rtl/>
        </w:rPr>
        <w:t>و</w:t>
      </w:r>
      <w:r w:rsidRPr="006571AC">
        <w:rPr>
          <w:rFonts w:ascii="Sakkal Majalla" w:hAnsi="Sakkal Majalla"/>
          <w:sz w:val="27"/>
          <w:rtl/>
        </w:rPr>
        <w:t>منهم</w:t>
      </w:r>
      <w:r w:rsidR="00592CED" w:rsidRPr="006571AC">
        <w:rPr>
          <w:rFonts w:ascii="Sakkal Majalla" w:hAnsi="Sakkal Majalla" w:hint="cs"/>
          <w:sz w:val="27"/>
          <w:rtl/>
        </w:rPr>
        <w:t>:</w:t>
      </w:r>
      <w:r w:rsidRPr="006571AC">
        <w:rPr>
          <w:rFonts w:ascii="Sakkal Majalla" w:hAnsi="Sakkal Majalla"/>
          <w:sz w:val="27"/>
          <w:rtl/>
        </w:rPr>
        <w:t xml:space="preserve"> الترمذ</w:t>
      </w:r>
      <w:r w:rsidRPr="006571AC">
        <w:rPr>
          <w:rFonts w:ascii="Times New Roman" w:hAnsi="Times New Roman" w:hint="cs"/>
          <w:sz w:val="27"/>
          <w:rtl/>
        </w:rPr>
        <w:t>ي</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كما</w:t>
      </w:r>
      <w:r w:rsidRPr="006571AC">
        <w:rPr>
          <w:rFonts w:ascii="Sakkal Majalla" w:hAnsi="Sakkal Majalla"/>
          <w:sz w:val="27"/>
          <w:rtl/>
        </w:rPr>
        <w:t xml:space="preserve"> نقل عنه ابن كث</w:t>
      </w:r>
      <w:r w:rsidRPr="006571AC">
        <w:rPr>
          <w:rFonts w:ascii="Times New Roman" w:hAnsi="Times New Roman" w:hint="cs"/>
          <w:sz w:val="27"/>
          <w:rtl/>
        </w:rPr>
        <w:t>ي</w:t>
      </w:r>
      <w:r w:rsidRPr="006571AC">
        <w:rPr>
          <w:rFonts w:ascii="Sakkal Majalla" w:hAnsi="Sakkal Majalla" w:hint="cs"/>
          <w:sz w:val="27"/>
          <w:rtl/>
        </w:rPr>
        <w:t>ر</w:t>
      </w:r>
      <w:r w:rsidR="00592CED"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ف</w:t>
      </w:r>
      <w:r w:rsidRPr="006571AC">
        <w:rPr>
          <w:rFonts w:ascii="Sakkal Majalla" w:hAnsi="Sakkal Majalla" w:hint="cs"/>
          <w:sz w:val="27"/>
          <w:rtl/>
        </w:rPr>
        <w:t>إ</w:t>
      </w:r>
      <w:r w:rsidRPr="006571AC">
        <w:rPr>
          <w:rFonts w:ascii="Sakkal Majalla" w:hAnsi="Sakkal Majalla"/>
          <w:sz w:val="27"/>
          <w:rtl/>
        </w:rPr>
        <w:t>نّه قال</w:t>
      </w:r>
      <w:r w:rsidR="002053F1" w:rsidRPr="006571AC">
        <w:rPr>
          <w:rFonts w:ascii="Sakkal Majalla" w:hAnsi="Sakkal Majalla" w:hint="cs"/>
          <w:sz w:val="27"/>
          <w:rtl/>
        </w:rPr>
        <w:t>،</w:t>
      </w:r>
      <w:r w:rsidRPr="006571AC">
        <w:rPr>
          <w:rFonts w:ascii="Sakkal Majalla" w:hAnsi="Sakkal Majalla"/>
          <w:sz w:val="27"/>
          <w:rtl/>
        </w:rPr>
        <w:t xml:space="preserve"> بعد نقل حد</w:t>
      </w:r>
      <w:r w:rsidRPr="006571AC">
        <w:rPr>
          <w:rFonts w:ascii="Times New Roman" w:hAnsi="Times New Roman" w:hint="cs"/>
          <w:sz w:val="27"/>
          <w:rtl/>
        </w:rPr>
        <w:t>ي</w:t>
      </w:r>
      <w:r w:rsidRPr="006571AC">
        <w:rPr>
          <w:rFonts w:ascii="Sakkal Majalla" w:hAnsi="Sakkal Majalla" w:hint="cs"/>
          <w:sz w:val="27"/>
          <w:rtl/>
        </w:rPr>
        <w:t>ث</w:t>
      </w:r>
      <w:r w:rsidRPr="006571AC">
        <w:rPr>
          <w:rFonts w:ascii="Sakkal Majalla" w:hAnsi="Sakkal Majalla"/>
          <w:sz w:val="27"/>
          <w:rtl/>
        </w:rPr>
        <w:t xml:space="preserve"> </w:t>
      </w:r>
      <w:r w:rsidR="002053F1" w:rsidRPr="006571AC">
        <w:rPr>
          <w:rFonts w:ascii="Sakkal Majalla" w:hAnsi="Sakkal Majalla" w:hint="cs"/>
          <w:sz w:val="27"/>
          <w:rtl/>
        </w:rPr>
        <w:t>ا</w:t>
      </w:r>
      <w:r w:rsidRPr="006571AC">
        <w:rPr>
          <w:rFonts w:ascii="Sakkal Majalla" w:hAnsi="Sakkal Majalla"/>
          <w:sz w:val="27"/>
          <w:rtl/>
        </w:rPr>
        <w:t xml:space="preserve">بن </w:t>
      </w:r>
      <w:r w:rsidRPr="006571AC">
        <w:rPr>
          <w:rFonts w:ascii="Sakkal Majalla" w:hAnsi="Sakkal Majalla" w:hint="cs"/>
          <w:sz w:val="27"/>
          <w:rtl/>
        </w:rPr>
        <w:t>أ</w:t>
      </w:r>
      <w:r w:rsidRPr="006571AC">
        <w:rPr>
          <w:rFonts w:ascii="Sakkal Majalla" w:hAnsi="Sakkal Majalla"/>
          <w:sz w:val="27"/>
          <w:rtl/>
        </w:rPr>
        <w:t>ب</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حاتم</w:t>
      </w:r>
      <w:r w:rsidR="002053F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4"/>
          <w:szCs w:val="24"/>
          <w:rtl/>
        </w:rPr>
        <w:t>«</w:t>
      </w:r>
      <w:r w:rsidRPr="006571AC">
        <w:rPr>
          <w:rFonts w:ascii="Sakkal Majalla" w:hAnsi="Sakkal Majalla" w:hint="cs"/>
          <w:sz w:val="27"/>
          <w:rtl/>
        </w:rPr>
        <w:t>وهذا</w:t>
      </w:r>
      <w:r w:rsidRPr="006571AC">
        <w:rPr>
          <w:rFonts w:ascii="Sakkal Majalla" w:hAnsi="Sakkal Majalla"/>
          <w:sz w:val="27"/>
          <w:rtl/>
        </w:rPr>
        <w:t xml:space="preserve"> </w:t>
      </w:r>
      <w:r w:rsidRPr="006571AC">
        <w:rPr>
          <w:rFonts w:ascii="Sakkal Majalla" w:hAnsi="Sakkal Majalla" w:hint="cs"/>
          <w:sz w:val="27"/>
          <w:rtl/>
        </w:rPr>
        <w:t>حديث</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غريب</w:t>
      </w:r>
      <w:r w:rsidRPr="006571AC">
        <w:rPr>
          <w:rFonts w:ascii="Sakkal Majalla" w:hAnsi="Sakkal Majalla" w:hint="cs"/>
          <w:sz w:val="24"/>
          <w:szCs w:val="24"/>
          <w:rtl/>
        </w:rPr>
        <w:t>»</w:t>
      </w:r>
      <w:r w:rsidRPr="006571AC">
        <w:rPr>
          <w:rFonts w:ascii="Sakkal Majalla" w:hAnsi="Sakkal Majalla"/>
          <w:sz w:val="27"/>
          <w:vertAlign w:val="superscript"/>
          <w:rtl/>
        </w:rPr>
        <w:t>(</w:t>
      </w:r>
      <w:r w:rsidRPr="006571AC">
        <w:rPr>
          <w:rStyle w:val="ac"/>
          <w:rFonts w:ascii="Sakkal Majalla" w:hAnsi="Sakkal Majalla"/>
          <w:sz w:val="27"/>
          <w:rtl/>
        </w:rPr>
        <w:endnoteReference w:id="387"/>
      </w:r>
      <w:r w:rsidRPr="006571AC">
        <w:rPr>
          <w:rFonts w:ascii="Sakkal Majalla" w:hAnsi="Sakkal Majalla"/>
          <w:sz w:val="27"/>
          <w:vertAlign w:val="superscript"/>
          <w:rtl/>
        </w:rPr>
        <w:t>)</w:t>
      </w:r>
      <w:r w:rsidRPr="006571AC">
        <w:rPr>
          <w:rFonts w:ascii="Sakkal Majalla" w:hAnsi="Sakkal Majalla" w:hint="cs"/>
          <w:sz w:val="27"/>
          <w:rtl/>
        </w:rPr>
        <w:t>.</w:t>
      </w:r>
    </w:p>
    <w:p w:rsidR="005D05A4" w:rsidRPr="006571AC" w:rsidRDefault="005D05A4" w:rsidP="00B41BA0">
      <w:pPr>
        <w:rPr>
          <w:rFonts w:ascii="Sakkal Majalla" w:hAnsi="Sakkal Majalla"/>
          <w:sz w:val="27"/>
        </w:rPr>
      </w:pPr>
      <w:r w:rsidRPr="006571AC">
        <w:rPr>
          <w:rFonts w:ascii="Sakkal Majalla" w:hAnsi="Sakkal Majalla"/>
          <w:b/>
          <w:bCs/>
          <w:sz w:val="27"/>
          <w:rtl/>
        </w:rPr>
        <w:t>ثالثاً</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 ما جاء ف</w:t>
      </w:r>
      <w:r w:rsidRPr="006571AC">
        <w:rPr>
          <w:rFonts w:ascii="Sakkal Majalla" w:hAnsi="Sakkal Majalla" w:hint="cs"/>
          <w:sz w:val="27"/>
          <w:rtl/>
        </w:rPr>
        <w:t>ي</w:t>
      </w:r>
      <w:r w:rsidRPr="006571AC">
        <w:rPr>
          <w:rFonts w:ascii="Sakkal Majalla" w:hAnsi="Sakkal Majalla"/>
          <w:sz w:val="27"/>
          <w:rtl/>
        </w:rPr>
        <w:t xml:space="preserve"> الروا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لا</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نسجم</w:t>
      </w:r>
      <w:r w:rsidRPr="006571AC">
        <w:rPr>
          <w:rFonts w:ascii="Sakkal Majalla" w:hAnsi="Sakkal Majalla"/>
          <w:sz w:val="27"/>
          <w:rtl/>
        </w:rPr>
        <w:t xml:space="preserve"> </w:t>
      </w:r>
      <w:r w:rsidRPr="006571AC">
        <w:rPr>
          <w:rFonts w:ascii="Sakkal Majalla" w:hAnsi="Sakkal Majalla" w:hint="cs"/>
          <w:sz w:val="27"/>
          <w:rtl/>
        </w:rPr>
        <w:t>مع</w:t>
      </w:r>
      <w:r w:rsidRPr="006571AC">
        <w:rPr>
          <w:rFonts w:ascii="Sakkal Majalla" w:hAnsi="Sakkal Majalla"/>
          <w:sz w:val="27"/>
          <w:rtl/>
        </w:rPr>
        <w:t xml:space="preserve"> </w:t>
      </w:r>
      <w:r w:rsidRPr="006571AC">
        <w:rPr>
          <w:rFonts w:ascii="Sakkal Majalla" w:hAnsi="Sakkal Majalla" w:hint="cs"/>
          <w:sz w:val="27"/>
          <w:rtl/>
        </w:rPr>
        <w:t>محتو</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التبل</w:t>
      </w:r>
      <w:r w:rsidRPr="006571AC">
        <w:rPr>
          <w:rFonts w:ascii="Times New Roman" w:hAnsi="Times New Roman" w:hint="cs"/>
          <w:sz w:val="27"/>
          <w:rtl/>
        </w:rPr>
        <w:t>ي</w:t>
      </w:r>
      <w:r w:rsidRPr="006571AC">
        <w:rPr>
          <w:rFonts w:ascii="Sakkal Majalla" w:hAnsi="Sakkal Majalla" w:hint="cs"/>
          <w:sz w:val="27"/>
          <w:rtl/>
        </w:rPr>
        <w:t xml:space="preserve">غ، </w:t>
      </w:r>
      <w:r w:rsidRPr="006571AC">
        <w:rPr>
          <w:rFonts w:ascii="Sakkal Majalla" w:hAnsi="Sakkal Majalla"/>
          <w:sz w:val="27"/>
          <w:rtl/>
        </w:rPr>
        <w:t>ف</w:t>
      </w:r>
      <w:r w:rsidRPr="006571AC">
        <w:rPr>
          <w:rFonts w:ascii="Sakkal Majalla" w:hAnsi="Sakkal Majalla" w:hint="cs"/>
          <w:sz w:val="27"/>
          <w:rtl/>
        </w:rPr>
        <w:t>أ</w:t>
      </w:r>
      <w:r w:rsidRPr="006571AC">
        <w:rPr>
          <w:rFonts w:ascii="Times New Roman" w:hAnsi="Times New Roman" w:hint="cs"/>
          <w:sz w:val="27"/>
          <w:rtl/>
        </w:rPr>
        <w:t>ي</w:t>
      </w:r>
      <w:r w:rsidR="00592CED" w:rsidRPr="006571AC">
        <w:rPr>
          <w:rFonts w:ascii="Times New Roman" w:hAnsi="Times New Roman" w:hint="cs"/>
          <w:sz w:val="27"/>
          <w:rtl/>
        </w:rPr>
        <w:t>ُّ</w:t>
      </w:r>
      <w:r w:rsidRPr="006571AC">
        <w:rPr>
          <w:rFonts w:ascii="Sakkal Majalla" w:hAnsi="Sakkal Majalla"/>
          <w:sz w:val="27"/>
          <w:rtl/>
        </w:rPr>
        <w:t xml:space="preserve"> </w:t>
      </w:r>
      <w:r w:rsidRPr="006571AC">
        <w:rPr>
          <w:rFonts w:ascii="Sakkal Majalla" w:hAnsi="Sakkal Majalla" w:hint="cs"/>
          <w:sz w:val="27"/>
          <w:rtl/>
        </w:rPr>
        <w:t>علاقة</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ب</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قص</w:t>
      </w:r>
      <w:r w:rsidR="00592CED" w:rsidRPr="006571AC">
        <w:rPr>
          <w:rFonts w:ascii="Sakkal Majalla" w:hAnsi="Sakkal Majalla" w:hint="cs"/>
          <w:sz w:val="27"/>
          <w:rtl/>
        </w:rPr>
        <w:t>ّ</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ذلك</w:t>
      </w:r>
      <w:r w:rsidRPr="006571AC">
        <w:rPr>
          <w:rFonts w:ascii="Sakkal Majalla" w:hAnsi="Sakkal Majalla"/>
          <w:sz w:val="27"/>
          <w:rtl/>
        </w:rPr>
        <w:t xml:space="preserve"> ال</w:t>
      </w:r>
      <w:r w:rsidRPr="006571AC">
        <w:rPr>
          <w:rFonts w:ascii="Sakkal Majalla" w:hAnsi="Sakkal Majalla" w:hint="cs"/>
          <w:sz w:val="27"/>
          <w:rtl/>
        </w:rPr>
        <w:t>إ</w:t>
      </w:r>
      <w:r w:rsidRPr="006571AC">
        <w:rPr>
          <w:rFonts w:ascii="Sakkal Majalla" w:hAnsi="Sakkal Majalla"/>
          <w:sz w:val="27"/>
          <w:rtl/>
        </w:rPr>
        <w:t>عراب</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مع</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نزله الله</w:t>
      </w:r>
      <w:r w:rsidRPr="006571AC">
        <w:rPr>
          <w:rFonts w:ascii="Sakkal Majalla" w:hAnsi="Sakkal Majalla" w:hint="cs"/>
          <w:sz w:val="27"/>
          <w:rtl/>
        </w:rPr>
        <w:t xml:space="preserve"> تعالى </w:t>
      </w:r>
      <w:r w:rsidRPr="006571AC">
        <w:rPr>
          <w:rFonts w:ascii="Sakkal Majalla" w:hAnsi="Sakkal Majalla"/>
          <w:sz w:val="27"/>
          <w:rtl/>
        </w:rPr>
        <w:t xml:space="preserve">على </w:t>
      </w:r>
      <w:r w:rsidRPr="006571AC">
        <w:rPr>
          <w:rFonts w:ascii="Sakkal Majalla" w:hAnsi="Sakkal Majalla" w:hint="cs"/>
          <w:sz w:val="27"/>
          <w:rtl/>
        </w:rPr>
        <w:t>الرسول</w:t>
      </w:r>
      <w:r w:rsidR="002A2C90" w:rsidRPr="006571AC">
        <w:rPr>
          <w:rFonts w:ascii="Mosawi" w:hAnsi="Mosawi" w:cs="Mosawi"/>
          <w:sz w:val="22"/>
          <w:szCs w:val="22"/>
          <w:rtl/>
        </w:rPr>
        <w:t>|</w:t>
      </w:r>
      <w:r w:rsidRPr="006571AC">
        <w:rPr>
          <w:rFonts w:ascii="Sakkal Majalla" w:hAnsi="Sakkal Majalla"/>
          <w:sz w:val="27"/>
          <w:rtl/>
        </w:rPr>
        <w:t xml:space="preserve">؟! فقد ضمن الله تعالى </w:t>
      </w:r>
      <w:r w:rsidRPr="006571AC">
        <w:rPr>
          <w:rFonts w:ascii="Sakkal Majalla" w:hAnsi="Sakkal Majalla" w:hint="cs"/>
          <w:sz w:val="27"/>
          <w:rtl/>
        </w:rPr>
        <w:t>لرسوله 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عصمه</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شرّ</w:t>
      </w:r>
      <w:r w:rsidRPr="006571AC">
        <w:rPr>
          <w:rFonts w:ascii="Sakkal Majalla" w:hAnsi="Sakkal Majalla"/>
          <w:sz w:val="27"/>
          <w:rtl/>
        </w:rPr>
        <w:t xml:space="preserve"> </w:t>
      </w:r>
      <w:r w:rsidRPr="006571AC">
        <w:rPr>
          <w:rFonts w:ascii="Sakkal Majalla" w:hAnsi="Sakkal Majalla" w:hint="cs"/>
          <w:sz w:val="27"/>
          <w:rtl/>
        </w:rPr>
        <w:t xml:space="preserve">الناس، </w:t>
      </w:r>
      <w:r w:rsidRPr="006571AC">
        <w:rPr>
          <w:rFonts w:ascii="Sakkal Majalla" w:hAnsi="Sakkal Majalla"/>
          <w:sz w:val="27"/>
          <w:rtl/>
        </w:rPr>
        <w:t>و</w:t>
      </w:r>
      <w:r w:rsidRPr="006571AC">
        <w:rPr>
          <w:rFonts w:ascii="Sakkal Majalla" w:hAnsi="Sakkal Majalla" w:hint="cs"/>
          <w:sz w:val="27"/>
          <w:rtl/>
        </w:rPr>
        <w:t>أ</w:t>
      </w:r>
      <w:r w:rsidRPr="006571AC">
        <w:rPr>
          <w:rFonts w:ascii="Sakkal Majalla" w:hAnsi="Sakkal Majalla"/>
          <w:sz w:val="27"/>
          <w:rtl/>
        </w:rPr>
        <w:t xml:space="preserve">ن لا </w:t>
      </w:r>
      <w:r w:rsidRPr="006571AC">
        <w:rPr>
          <w:rFonts w:ascii="Times New Roman" w:hAnsi="Times New Roman" w:hint="cs"/>
          <w:sz w:val="27"/>
          <w:rtl/>
        </w:rPr>
        <w:t>ي</w:t>
      </w:r>
      <w:r w:rsidRPr="006571AC">
        <w:rPr>
          <w:rFonts w:ascii="Sakkal Majalla" w:hAnsi="Sakkal Majalla" w:hint="cs"/>
          <w:sz w:val="27"/>
          <w:rtl/>
        </w:rPr>
        <w:t>خش</w:t>
      </w:r>
      <w:r w:rsidR="00592CED"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حداً ف</w:t>
      </w:r>
      <w:r w:rsidRPr="006571AC">
        <w:rPr>
          <w:rFonts w:ascii="Sakkal Majalla" w:hAnsi="Sakkal Majalla" w:hint="cs"/>
          <w:sz w:val="27"/>
          <w:rtl/>
        </w:rPr>
        <w:t>ي</w:t>
      </w:r>
      <w:r w:rsidRPr="006571AC">
        <w:rPr>
          <w:rFonts w:ascii="Sakkal Majalla" w:hAnsi="Sakkal Majalla"/>
          <w:sz w:val="27"/>
          <w:rtl/>
        </w:rPr>
        <w:t xml:space="preserve"> 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نزل </w:t>
      </w:r>
      <w:r w:rsidRPr="006571AC">
        <w:rPr>
          <w:rFonts w:ascii="Sakkal Majalla" w:hAnsi="Sakkal Majalla" w:hint="cs"/>
          <w:sz w:val="27"/>
          <w:rtl/>
        </w:rPr>
        <w:t>إ</w:t>
      </w:r>
      <w:r w:rsidRPr="006571AC">
        <w:rPr>
          <w:rFonts w:ascii="Sakkal Majalla" w:hAnsi="Sakkal Majalla"/>
          <w:sz w:val="27"/>
          <w:rtl/>
        </w:rPr>
        <w:t>ل</w:t>
      </w:r>
      <w:r w:rsidRPr="006571AC">
        <w:rPr>
          <w:rFonts w:ascii="Times New Roman" w:hAnsi="Times New Roman" w:hint="cs"/>
          <w:sz w:val="27"/>
          <w:rtl/>
        </w:rPr>
        <w:t>ي</w:t>
      </w:r>
      <w:r w:rsidRPr="006571AC">
        <w:rPr>
          <w:rFonts w:ascii="Sakkal Majalla" w:hAnsi="Sakkal Majalla" w:hint="cs"/>
          <w:sz w:val="27"/>
          <w:rtl/>
        </w:rPr>
        <w:t xml:space="preserve">ه، </w:t>
      </w:r>
      <w:r w:rsidRPr="006571AC">
        <w:rPr>
          <w:rFonts w:ascii="Sakkal Majalla" w:hAnsi="Sakkal Majalla"/>
          <w:sz w:val="27"/>
          <w:rtl/>
        </w:rPr>
        <w:t>ول</w:t>
      </w:r>
      <w:r w:rsidRPr="006571AC">
        <w:rPr>
          <w:rFonts w:ascii="Times New Roman" w:hAnsi="Times New Roman" w:hint="cs"/>
          <w:sz w:val="27"/>
          <w:rtl/>
        </w:rPr>
        <w:t>ي</w:t>
      </w:r>
      <w:r w:rsidRPr="006571AC">
        <w:rPr>
          <w:rFonts w:ascii="Sakkal Majalla" w:hAnsi="Sakkal Majalla" w:hint="cs"/>
          <w:sz w:val="27"/>
          <w:rtl/>
        </w:rPr>
        <w:t>س</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قص</w:t>
      </w:r>
      <w:r w:rsidR="00592CED" w:rsidRPr="006571AC">
        <w:rPr>
          <w:rFonts w:ascii="Sakkal Majalla" w:hAnsi="Sakkal Majalla" w:hint="cs"/>
          <w:sz w:val="27"/>
          <w:rtl/>
        </w:rPr>
        <w:t>ّ</w:t>
      </w:r>
      <w:r w:rsidRPr="006571AC">
        <w:rPr>
          <w:rFonts w:ascii="Sakkal Majalla" w:hAnsi="Sakkal Majalla"/>
          <w:sz w:val="27"/>
          <w:rtl/>
        </w:rPr>
        <w:t>ة ال</w:t>
      </w:r>
      <w:r w:rsidRPr="006571AC">
        <w:rPr>
          <w:rFonts w:ascii="Sakkal Majalla" w:hAnsi="Sakkal Majalla" w:hint="cs"/>
          <w:sz w:val="27"/>
          <w:rtl/>
        </w:rPr>
        <w:t>أ</w:t>
      </w:r>
      <w:r w:rsidRPr="006571AC">
        <w:rPr>
          <w:rFonts w:ascii="Sakkal Majalla" w:hAnsi="Sakkal Majalla"/>
          <w:sz w:val="27"/>
          <w:rtl/>
        </w:rPr>
        <w:t>عراب</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وجب</w:t>
      </w:r>
      <w:r w:rsidRPr="006571AC">
        <w:rPr>
          <w:rFonts w:ascii="Sakkal Majalla" w:hAnsi="Sakkal Majalla"/>
          <w:sz w:val="27"/>
          <w:rtl/>
        </w:rPr>
        <w:t xml:space="preserve"> </w:t>
      </w:r>
      <w:r w:rsidRPr="006571AC">
        <w:rPr>
          <w:rFonts w:ascii="Sakkal Majalla" w:hAnsi="Sakkal Majalla" w:hint="cs"/>
          <w:sz w:val="27"/>
          <w:rtl/>
        </w:rPr>
        <w:t>الخوف</w:t>
      </w:r>
      <w:r w:rsidRPr="006571AC">
        <w:rPr>
          <w:rFonts w:ascii="Sakkal Majalla" w:hAnsi="Sakkal Majalla"/>
          <w:sz w:val="27"/>
          <w:rtl/>
        </w:rPr>
        <w:t xml:space="preserve"> والخش</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له</w:t>
      </w:r>
      <w:r w:rsidR="00592CED" w:rsidRPr="006571AC">
        <w:rPr>
          <w:rFonts w:ascii="Sakkal Majalla" w:hAnsi="Sakkal Majalla" w:hint="cs"/>
          <w:sz w:val="27"/>
          <w:rtl/>
        </w:rPr>
        <w:t>،</w:t>
      </w:r>
      <w:r w:rsidRPr="006571AC">
        <w:rPr>
          <w:rFonts w:ascii="Sakkal Majalla" w:hAnsi="Sakkal Majalla"/>
          <w:sz w:val="27"/>
          <w:rtl/>
        </w:rPr>
        <w:t xml:space="preserve"> وما </w:t>
      </w:r>
      <w:r w:rsidRPr="006571AC">
        <w:rPr>
          <w:rFonts w:ascii="Times New Roman" w:hAnsi="Times New Roman" w:hint="cs"/>
          <w:sz w:val="27"/>
          <w:rtl/>
        </w:rPr>
        <w:t>ي</w:t>
      </w:r>
      <w:r w:rsidRPr="006571AC">
        <w:rPr>
          <w:rFonts w:ascii="Sakkal Majalla" w:hAnsi="Sakkal Majalla" w:hint="cs"/>
          <w:sz w:val="27"/>
          <w:rtl/>
        </w:rPr>
        <w:t>ستحق</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العصمة</w:t>
      </w:r>
      <w:r w:rsidRPr="006571AC">
        <w:rPr>
          <w:rFonts w:ascii="Sakkal Majalla" w:hAnsi="Sakkal Majalla"/>
          <w:sz w:val="27"/>
          <w:rtl/>
        </w:rPr>
        <w:t xml:space="preserve"> والحفظ من الله تعال</w:t>
      </w:r>
      <w:r w:rsidR="00592CED" w:rsidRPr="006571AC">
        <w:rPr>
          <w:rFonts w:ascii="Times New Roman" w:hAnsi="Times New Roman" w:hint="cs"/>
          <w:sz w:val="27"/>
          <w:rtl/>
        </w:rPr>
        <w:t>ى</w:t>
      </w:r>
      <w:r w:rsidR="00592CED" w:rsidRPr="006571AC">
        <w:rPr>
          <w:rFonts w:ascii="Sakkal Majalla" w:hAnsi="Sakkal Majalla" w:hint="cs"/>
          <w:sz w:val="27"/>
          <w:rtl/>
        </w:rPr>
        <w:t xml:space="preserve">. </w:t>
      </w:r>
      <w:r w:rsidRPr="006571AC">
        <w:rPr>
          <w:rFonts w:ascii="Sakkal Majalla" w:hAnsi="Sakkal Majalla"/>
          <w:sz w:val="27"/>
          <w:rtl/>
        </w:rPr>
        <w:t xml:space="preserve">وهل </w:t>
      </w:r>
      <w:r w:rsidRPr="006571AC">
        <w:rPr>
          <w:rFonts w:ascii="Sakkal Majalla" w:hAnsi="Sakkal Majalla" w:hint="cs"/>
          <w:sz w:val="27"/>
          <w:rtl/>
        </w:rPr>
        <w:t>إ</w:t>
      </w:r>
      <w:r w:rsidRPr="006571AC">
        <w:rPr>
          <w:rFonts w:ascii="Sakkal Majalla" w:hAnsi="Sakkal Majalla"/>
          <w:sz w:val="27"/>
          <w:rtl/>
        </w:rPr>
        <w:t>بلاغ ما جر</w:t>
      </w:r>
      <w:r w:rsidR="00592CED"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النبي</w:t>
      </w:r>
      <w:r w:rsidR="00592CED"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وب</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ذاك</w:t>
      </w:r>
      <w:r w:rsidRPr="006571AC">
        <w:rPr>
          <w:rFonts w:ascii="Sakkal Majalla" w:hAnsi="Sakkal Majalla"/>
          <w:sz w:val="27"/>
          <w:rtl/>
        </w:rPr>
        <w:t xml:space="preserve"> ال</w:t>
      </w:r>
      <w:r w:rsidRPr="006571AC">
        <w:rPr>
          <w:rFonts w:ascii="Sakkal Majalla" w:hAnsi="Sakkal Majalla" w:hint="cs"/>
          <w:sz w:val="27"/>
          <w:rtl/>
        </w:rPr>
        <w:t>أ</w:t>
      </w:r>
      <w:r w:rsidRPr="006571AC">
        <w:rPr>
          <w:rFonts w:ascii="Sakkal Majalla" w:hAnsi="Sakkal Majalla"/>
          <w:sz w:val="27"/>
          <w:rtl/>
        </w:rPr>
        <w:t>عراب</w:t>
      </w:r>
      <w:r w:rsidRPr="006571AC">
        <w:rPr>
          <w:rFonts w:ascii="Times New Roman" w:hAnsi="Times New Roman" w:hint="cs"/>
          <w:sz w:val="27"/>
          <w:rtl/>
        </w:rPr>
        <w:t>ي</w:t>
      </w:r>
      <w:r w:rsidRPr="006571AC">
        <w:rPr>
          <w:rFonts w:ascii="Sakkal Majalla" w:hAnsi="Sakkal Majalla"/>
          <w:sz w:val="27"/>
          <w:rtl/>
        </w:rPr>
        <w:t xml:space="preserve"> إلى </w:t>
      </w:r>
      <w:r w:rsidRPr="006571AC">
        <w:rPr>
          <w:rFonts w:ascii="Sakkal Majalla" w:hAnsi="Sakkal Majalla" w:hint="cs"/>
          <w:sz w:val="27"/>
          <w:rtl/>
        </w:rPr>
        <w:t>الناس</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ساوي</w:t>
      </w:r>
      <w:r w:rsidRPr="006571AC">
        <w:rPr>
          <w:rFonts w:ascii="Sakkal Majalla" w:hAnsi="Sakkal Majalla"/>
          <w:sz w:val="27"/>
          <w:rtl/>
        </w:rPr>
        <w:t xml:space="preserve"> الرسالة</w:t>
      </w:r>
      <w:r w:rsidRPr="006571AC">
        <w:rPr>
          <w:rFonts w:ascii="Sakkal Majalla" w:hAnsi="Sakkal Majalla" w:hint="cs"/>
          <w:sz w:val="27"/>
          <w:rtl/>
        </w:rPr>
        <w:t xml:space="preserve">، </w:t>
      </w:r>
      <w:r w:rsidRPr="006571AC">
        <w:rPr>
          <w:rFonts w:ascii="Sakkal Majalla" w:hAnsi="Sakkal Majalla"/>
          <w:sz w:val="27"/>
          <w:rtl/>
        </w:rPr>
        <w:t>و</w:t>
      </w:r>
      <w:r w:rsidRPr="006571AC">
        <w:rPr>
          <w:rFonts w:ascii="Times New Roman" w:hAnsi="Times New Roman" w:hint="cs"/>
          <w:sz w:val="27"/>
          <w:rtl/>
        </w:rPr>
        <w:t>ي</w:t>
      </w:r>
      <w:r w:rsidRPr="006571AC">
        <w:rPr>
          <w:rFonts w:ascii="Sakkal Majalla" w:hAnsi="Sakkal Majalla" w:hint="cs"/>
          <w:sz w:val="27"/>
          <w:rtl/>
        </w:rPr>
        <w:t>عادل</w:t>
      </w:r>
      <w:r w:rsidRPr="006571AC">
        <w:rPr>
          <w:rFonts w:ascii="Sakkal Majalla" w:hAnsi="Sakkal Majalla"/>
          <w:sz w:val="27"/>
          <w:rtl/>
        </w:rPr>
        <w:t xml:space="preserve"> كل</w:t>
      </w:r>
      <w:r w:rsidR="00592CED" w:rsidRPr="006571AC">
        <w:rPr>
          <w:rFonts w:ascii="Sakkal Majalla" w:hAnsi="Sakkal Majalla" w:hint="cs"/>
          <w:sz w:val="27"/>
          <w:rtl/>
        </w:rPr>
        <w:t>ّ</w:t>
      </w:r>
      <w:r w:rsidRPr="006571AC">
        <w:rPr>
          <w:rFonts w:ascii="Sakkal Majalla" w:hAnsi="Sakkal Majalla"/>
          <w:sz w:val="27"/>
          <w:rtl/>
        </w:rPr>
        <w:t xml:space="preserve"> ما تحمّ</w:t>
      </w:r>
      <w:r w:rsidR="00592CED" w:rsidRPr="006571AC">
        <w:rPr>
          <w:rFonts w:ascii="Sakkal Majalla" w:hAnsi="Sakkal Majalla" w:hint="cs"/>
          <w:sz w:val="27"/>
          <w:rtl/>
        </w:rPr>
        <w:t>َ</w:t>
      </w:r>
      <w:r w:rsidRPr="006571AC">
        <w:rPr>
          <w:rFonts w:ascii="Sakkal Majalla" w:hAnsi="Sakkal Majalla"/>
          <w:sz w:val="27"/>
          <w:rtl/>
        </w:rPr>
        <w:t>له النب</w:t>
      </w:r>
      <w:r w:rsidRPr="006571AC">
        <w:rPr>
          <w:rFonts w:ascii="Sakkal Majalla" w:hAnsi="Sakkal Majalla" w:hint="cs"/>
          <w:sz w:val="27"/>
          <w:rtl/>
        </w:rPr>
        <w:t>ي</w:t>
      </w:r>
      <w:r w:rsidR="00592CED"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sz w:val="27"/>
          <w:rtl/>
        </w:rPr>
        <w:t xml:space="preserve"> ف</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مدّة</w:t>
      </w:r>
      <w:r w:rsidRPr="006571AC">
        <w:rPr>
          <w:rFonts w:ascii="Sakkal Majalla" w:hAnsi="Sakkal Majalla"/>
          <w:sz w:val="27"/>
          <w:rtl/>
        </w:rPr>
        <w:t xml:space="preserve"> </w:t>
      </w:r>
      <w:r w:rsidRPr="006571AC">
        <w:rPr>
          <w:rFonts w:ascii="Sakkal Majalla" w:hAnsi="Sakkal Majalla" w:hint="cs"/>
          <w:sz w:val="27"/>
          <w:rtl/>
        </w:rPr>
        <w:t>23</w:t>
      </w:r>
      <w:r w:rsidRPr="006571AC">
        <w:rPr>
          <w:rFonts w:ascii="Sakkal Majalla" w:hAnsi="Sakkal Majalla"/>
          <w:sz w:val="27"/>
          <w:rtl/>
        </w:rPr>
        <w:t xml:space="preserve"> </w:t>
      </w:r>
      <w:r w:rsidRPr="006571AC">
        <w:rPr>
          <w:rFonts w:ascii="Sakkal Majalla" w:hAnsi="Sakkal Majalla" w:hint="cs"/>
          <w:sz w:val="27"/>
          <w:rtl/>
        </w:rPr>
        <w:t>سنة</w:t>
      </w:r>
      <w:r w:rsidRPr="006571AC">
        <w:rPr>
          <w:rFonts w:ascii="Sakkal Majalla" w:hAnsi="Sakkal Majalla"/>
          <w:sz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b/>
          <w:bCs/>
          <w:sz w:val="27"/>
          <w:szCs w:val="27"/>
          <w:rtl/>
        </w:rPr>
        <w:t xml:space="preserve">رابعاً: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مؤامرة </w:t>
      </w:r>
      <w:r w:rsidRPr="006571AC">
        <w:rPr>
          <w:rFonts w:ascii="Sakkal Majalla" w:hAnsi="Sakkal Majalla" w:cs="AL-Mohanad" w:hint="cs"/>
          <w:sz w:val="27"/>
          <w:szCs w:val="27"/>
          <w:rtl/>
        </w:rPr>
        <w:t>ا</w:t>
      </w:r>
      <w:r w:rsidRPr="006571AC">
        <w:rPr>
          <w:rFonts w:ascii="Sakkal Majalla" w:hAnsi="Sakkal Majalla" w:cs="AL-Mohanad"/>
          <w:sz w:val="27"/>
          <w:szCs w:val="27"/>
          <w:rtl/>
        </w:rPr>
        <w:t>غت</w:t>
      </w:r>
      <w:r w:rsidRPr="006571AC">
        <w:rPr>
          <w:rFonts w:cs="AL-Mohanad" w:hint="cs"/>
          <w:sz w:val="27"/>
          <w:szCs w:val="27"/>
          <w:rtl/>
        </w:rPr>
        <w:t>ي</w:t>
      </w:r>
      <w:r w:rsidRPr="006571AC">
        <w:rPr>
          <w:rFonts w:ascii="Sakkal Majalla" w:hAnsi="Sakkal Majalla" w:cs="AL-Mohanad" w:hint="cs"/>
          <w:sz w:val="27"/>
          <w:szCs w:val="27"/>
          <w:rtl/>
        </w:rPr>
        <w:t>ال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592CED"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على </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عراب</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hint="cs"/>
          <w:sz w:val="27"/>
          <w:szCs w:val="27"/>
          <w:rtl/>
        </w:rPr>
        <w:t>س</w:t>
      </w:r>
      <w:r w:rsidR="00592CED" w:rsidRPr="006571AC">
        <w:rPr>
          <w:rFonts w:ascii="Sakkal Majalla" w:hAnsi="Sakkal Majalla" w:cs="AL-Mohanad" w:hint="cs"/>
          <w:sz w:val="27"/>
          <w:szCs w:val="27"/>
          <w:rtl/>
        </w:rPr>
        <w:t>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مراً جد</w:t>
      </w:r>
      <w:r w:rsidRPr="006571AC">
        <w:rPr>
          <w:rFonts w:cs="AL-Mohanad" w:hint="cs"/>
          <w:sz w:val="27"/>
          <w:szCs w:val="27"/>
          <w:rtl/>
        </w:rPr>
        <w:t>ي</w:t>
      </w:r>
      <w:r w:rsidRPr="006571AC">
        <w:rPr>
          <w:rFonts w:ascii="Sakkal Majalla" w:hAnsi="Sakkal Majalla" w:cs="AL-Mohanad" w:hint="cs"/>
          <w:sz w:val="27"/>
          <w:szCs w:val="27"/>
          <w:rtl/>
        </w:rPr>
        <w:t>د</w:t>
      </w:r>
      <w:r w:rsidR="00DF6C99"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حت</w:t>
      </w:r>
      <w:r w:rsidR="00592CED"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00592CED" w:rsidRPr="006571AC">
        <w:rPr>
          <w:rFonts w:cs="AL-Mohanad" w:hint="cs"/>
          <w:sz w:val="27"/>
          <w:szCs w:val="27"/>
          <w:rtl/>
        </w:rPr>
        <w:t>يَعِد</w:t>
      </w:r>
      <w:r w:rsidR="00592CED"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تعالى </w:t>
      </w:r>
      <w:r w:rsidRPr="006571AC">
        <w:rPr>
          <w:rFonts w:ascii="Sakkal Majalla" w:hAnsi="Sakkal Majalla" w:cs="AL-Mohanad" w:hint="cs"/>
          <w:sz w:val="27"/>
          <w:szCs w:val="27"/>
          <w:rtl/>
        </w:rPr>
        <w:t>بالحفظ</w:t>
      </w:r>
      <w:r w:rsidRPr="006571AC">
        <w:rPr>
          <w:rFonts w:ascii="Sakkal Majalla" w:hAnsi="Sakkal Majalla" w:cs="AL-Mohanad"/>
          <w:sz w:val="27"/>
          <w:szCs w:val="27"/>
          <w:rtl/>
        </w:rPr>
        <w:t xml:space="preserve"> والعصمة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فقد تآمر الكف</w:t>
      </w:r>
      <w:r w:rsidR="00592CED" w:rsidRPr="006571AC">
        <w:rPr>
          <w:rFonts w:ascii="Sakkal Majalla" w:hAnsi="Sakkal Majalla" w:cs="AL-Mohanad" w:hint="cs"/>
          <w:sz w:val="27"/>
          <w:szCs w:val="27"/>
          <w:rtl/>
        </w:rPr>
        <w:t>ّ</w:t>
      </w:r>
      <w:r w:rsidRPr="006571AC">
        <w:rPr>
          <w:rFonts w:ascii="Sakkal Majalla" w:hAnsi="Sakkal Majalla" w:cs="AL-Mohanad"/>
          <w:sz w:val="27"/>
          <w:szCs w:val="27"/>
          <w:rtl/>
        </w:rPr>
        <w:t>ار وال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والمنافقون على </w:t>
      </w:r>
      <w:r w:rsidRPr="006571AC">
        <w:rPr>
          <w:rFonts w:ascii="Sakkal Majalla" w:hAnsi="Sakkal Majalla" w:cs="AL-Mohanad" w:hint="cs"/>
          <w:sz w:val="27"/>
          <w:szCs w:val="27"/>
          <w:rtl/>
        </w:rPr>
        <w:t>مرّ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التار</w:t>
      </w:r>
      <w:r w:rsidRPr="006571AC">
        <w:rPr>
          <w:rFonts w:cs="AL-Mohanad" w:hint="cs"/>
          <w:sz w:val="27"/>
          <w:szCs w:val="27"/>
          <w:rtl/>
        </w:rPr>
        <w:t>ي</w:t>
      </w:r>
      <w:r w:rsidRPr="006571AC">
        <w:rPr>
          <w:rFonts w:ascii="Sakkal Majalla" w:hAnsi="Sakkal Majalla" w:cs="AL-Mohanad" w:hint="cs"/>
          <w:sz w:val="27"/>
          <w:szCs w:val="27"/>
          <w:rtl/>
        </w:rPr>
        <w:t>خ</w:t>
      </w:r>
      <w:r w:rsidR="00592CE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منذ ولادته </w:t>
      </w:r>
      <w:r w:rsidR="00716C5D" w:rsidRPr="006571AC">
        <w:rPr>
          <w:rFonts w:ascii="Sakkal Majalla" w:hAnsi="Sakkal Majalla" w:cs="AL-Mohanad" w:hint="cs"/>
          <w:sz w:val="27"/>
          <w:szCs w:val="27"/>
          <w:rtl/>
        </w:rPr>
        <w:t>إلى وفاته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قد ورد</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قص</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ة الراهب النصران</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محاولة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w:t>
      </w:r>
      <w:r w:rsidR="00716C5D" w:rsidRPr="006571AC">
        <w:rPr>
          <w:rFonts w:ascii="Sakkal Majalla" w:hAnsi="Sakkal Majalla" w:cs="AL-Mohanad" w:hint="cs"/>
          <w:sz w:val="27"/>
          <w:szCs w:val="27"/>
          <w:rtl/>
        </w:rPr>
        <w:t>ا</w:t>
      </w:r>
      <w:r w:rsidRPr="006571AC">
        <w:rPr>
          <w:rFonts w:ascii="Sakkal Majalla" w:hAnsi="Sakkal Majalla" w:cs="AL-Mohanad"/>
          <w:sz w:val="27"/>
          <w:szCs w:val="27"/>
          <w:rtl/>
        </w:rPr>
        <w:t>غت</w:t>
      </w:r>
      <w:r w:rsidRPr="006571AC">
        <w:rPr>
          <w:rFonts w:cs="AL-Mohanad" w:hint="cs"/>
          <w:sz w:val="27"/>
          <w:szCs w:val="27"/>
          <w:rtl/>
        </w:rPr>
        <w:t>ي</w:t>
      </w:r>
      <w:r w:rsidRPr="006571AC">
        <w:rPr>
          <w:rFonts w:ascii="Sakkal Majalla" w:hAnsi="Sakkal Majalla" w:cs="AL-Mohanad" w:hint="cs"/>
          <w:sz w:val="27"/>
          <w:szCs w:val="27"/>
          <w:rtl/>
        </w:rPr>
        <w:t>ال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716C5D" w:rsidRPr="006571AC">
        <w:rPr>
          <w:rFonts w:ascii="Mosawi" w:hAnsi="Mosawi" w:cs="Mosawi" w:hint="cs"/>
          <w:sz w:val="22"/>
          <w:szCs w:val="22"/>
          <w:rtl/>
        </w:rPr>
        <w:t>ّ</w:t>
      </w:r>
      <w:r w:rsidR="002A2C90" w:rsidRPr="006571AC">
        <w:rPr>
          <w:rFonts w:ascii="Mosawi" w:hAnsi="Mosawi" w:cs="Mosawi"/>
          <w:sz w:val="22"/>
          <w:szCs w:val="22"/>
          <w:rtl/>
        </w:rPr>
        <w:t>|</w:t>
      </w:r>
      <w:r w:rsidR="00716C5D"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وما قام به المنافقون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العقبة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طر</w:t>
      </w:r>
      <w:r w:rsidRPr="006571AC">
        <w:rPr>
          <w:rFonts w:cs="AL-Mohanad" w:hint="cs"/>
          <w:sz w:val="27"/>
          <w:szCs w:val="27"/>
          <w:rtl/>
        </w:rPr>
        <w:t>ي</w:t>
      </w:r>
      <w:r w:rsidRPr="006571AC">
        <w:rPr>
          <w:rFonts w:ascii="Sakkal Majalla" w:hAnsi="Sakkal Majalla" w:cs="AL-Mohanad" w:hint="cs"/>
          <w:sz w:val="27"/>
          <w:szCs w:val="27"/>
          <w:rtl/>
        </w:rPr>
        <w:t>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عودته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تبوك</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وقد فشلوا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المحاولة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 أ</w:t>
      </w:r>
      <w:r w:rsidRPr="006571AC">
        <w:rPr>
          <w:rFonts w:ascii="Sakkal Majalla" w:hAnsi="Sakkal Majalla" w:cs="AL-Mohanad"/>
          <w:sz w:val="27"/>
          <w:szCs w:val="27"/>
          <w:rtl/>
        </w:rPr>
        <w:t xml:space="preserve">و ما </w:t>
      </w:r>
      <w:r w:rsidR="00716C5D" w:rsidRPr="006571AC">
        <w:rPr>
          <w:rFonts w:ascii="Sakkal Majalla" w:hAnsi="Sakkal Majalla" w:cs="AL-Mohanad" w:hint="cs"/>
          <w:sz w:val="27"/>
          <w:szCs w:val="27"/>
          <w:rtl/>
        </w:rPr>
        <w:t>ا</w:t>
      </w:r>
      <w:r w:rsidRPr="006571AC">
        <w:rPr>
          <w:rFonts w:ascii="Sakkal Majalla" w:hAnsi="Sakkal Majalla" w:cs="AL-Mohanad"/>
          <w:sz w:val="27"/>
          <w:szCs w:val="27"/>
          <w:rtl/>
        </w:rPr>
        <w:t>عترف به زعماء قر</w:t>
      </w:r>
      <w:r w:rsidRPr="006571AC">
        <w:rPr>
          <w:rFonts w:cs="AL-Mohanad" w:hint="cs"/>
          <w:sz w:val="27"/>
          <w:szCs w:val="27"/>
          <w:rtl/>
        </w:rPr>
        <w:t>ي</w:t>
      </w:r>
      <w:r w:rsidRPr="006571AC">
        <w:rPr>
          <w:rFonts w:ascii="Sakkal Majalla" w:hAnsi="Sakkal Majalla" w:cs="AL-Mohanad" w:hint="cs"/>
          <w:sz w:val="27"/>
          <w:szCs w:val="27"/>
          <w:rtl/>
        </w:rPr>
        <w:t>ش</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محاولة</w:t>
      </w:r>
      <w:r w:rsidRPr="006571AC">
        <w:rPr>
          <w:rFonts w:ascii="Sakkal Majalla" w:hAnsi="Sakkal Majalla" w:cs="AL-Mohanad"/>
          <w:sz w:val="27"/>
          <w:szCs w:val="27"/>
          <w:rtl/>
        </w:rPr>
        <w:t xml:space="preserve"> </w:t>
      </w:r>
      <w:r w:rsidR="00716C5D" w:rsidRPr="006571AC">
        <w:rPr>
          <w:rFonts w:ascii="Sakkal Majalla" w:hAnsi="Sakkal Majalla" w:cs="AL-Mohanad" w:hint="cs"/>
          <w:sz w:val="27"/>
          <w:szCs w:val="27"/>
          <w:rtl/>
        </w:rPr>
        <w:t>ا</w:t>
      </w:r>
      <w:r w:rsidRPr="006571AC">
        <w:rPr>
          <w:rFonts w:ascii="Sakkal Majalla" w:hAnsi="Sakkal Majalla" w:cs="AL-Mohanad"/>
          <w:sz w:val="27"/>
          <w:szCs w:val="27"/>
          <w:rtl/>
        </w:rPr>
        <w:t>غت</w:t>
      </w:r>
      <w:r w:rsidRPr="006571AC">
        <w:rPr>
          <w:rFonts w:cs="AL-Mohanad" w:hint="cs"/>
          <w:sz w:val="27"/>
          <w:szCs w:val="27"/>
          <w:rtl/>
        </w:rPr>
        <w:t>ي</w:t>
      </w:r>
      <w:r w:rsidRPr="006571AC">
        <w:rPr>
          <w:rFonts w:ascii="Sakkal Majalla" w:hAnsi="Sakkal Majalla" w:cs="AL-Mohanad" w:hint="cs"/>
          <w:sz w:val="27"/>
          <w:szCs w:val="27"/>
          <w:rtl/>
        </w:rPr>
        <w:t>اله</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حن</w:t>
      </w:r>
      <w:r w:rsidRPr="006571AC">
        <w:rPr>
          <w:rFonts w:cs="AL-Mohanad" w:hint="cs"/>
          <w:sz w:val="27"/>
          <w:szCs w:val="27"/>
          <w:rtl/>
        </w:rPr>
        <w:t>ي</w:t>
      </w:r>
      <w:r w:rsidRPr="006571AC">
        <w:rPr>
          <w:rFonts w:ascii="Sakkal Majalla" w:hAnsi="Sakkal Majalla" w:cs="AL-Mohanad" w:hint="cs"/>
          <w:sz w:val="27"/>
          <w:szCs w:val="27"/>
          <w:rtl/>
        </w:rPr>
        <w:t xml:space="preserve">ن، </w:t>
      </w:r>
      <w:r w:rsidRPr="006571AC">
        <w:rPr>
          <w:rFonts w:ascii="Sakkal Majalla" w:hAnsi="Sakkal Majalla" w:cs="AL-Mohanad"/>
          <w:sz w:val="27"/>
          <w:szCs w:val="27"/>
          <w:rtl/>
        </w:rPr>
        <w:t>و</w:t>
      </w:r>
      <w:r w:rsidR="00716C5D" w:rsidRPr="006571AC">
        <w:rPr>
          <w:rFonts w:ascii="Sakkal Majalla" w:hAnsi="Sakkal Majalla" w:cs="AL-Mohanad" w:hint="cs"/>
          <w:sz w:val="27"/>
          <w:szCs w:val="27"/>
          <w:rtl/>
        </w:rPr>
        <w:t>أيضاً</w:t>
      </w:r>
      <w:r w:rsidRPr="006571AC">
        <w:rPr>
          <w:rFonts w:ascii="Sakkal Majalla" w:hAnsi="Sakkal Majalla" w:cs="AL-Mohanad"/>
          <w:sz w:val="27"/>
          <w:szCs w:val="27"/>
          <w:rtl/>
        </w:rPr>
        <w:t xml:space="preserve"> ما قام</w:t>
      </w:r>
      <w:r w:rsidRPr="006571AC">
        <w:rPr>
          <w:rFonts w:ascii="Sakkal Majalla" w:hAnsi="Sakkal Majalla" w:cs="AL-Mohanad" w:hint="cs"/>
          <w:sz w:val="27"/>
          <w:szCs w:val="27"/>
          <w:rtl/>
        </w:rPr>
        <w:t>ت</w:t>
      </w:r>
      <w:r w:rsidRPr="006571AC">
        <w:rPr>
          <w:rFonts w:ascii="Sakkal Majalla" w:hAnsi="Sakkal Majalla" w:cs="AL-Mohanad"/>
          <w:sz w:val="27"/>
          <w:szCs w:val="27"/>
          <w:rtl/>
        </w:rPr>
        <w:t xml:space="preserve"> به قر</w:t>
      </w:r>
      <w:r w:rsidRPr="006571AC">
        <w:rPr>
          <w:rFonts w:cs="AL-Mohanad" w:hint="cs"/>
          <w:sz w:val="27"/>
          <w:szCs w:val="27"/>
          <w:rtl/>
        </w:rPr>
        <w:t>ي</w:t>
      </w:r>
      <w:r w:rsidRPr="006571AC">
        <w:rPr>
          <w:rFonts w:ascii="Sakkal Majalla" w:hAnsi="Sakkal Majalla" w:cs="AL-Mohanad" w:hint="cs"/>
          <w:sz w:val="27"/>
          <w:szCs w:val="27"/>
          <w:rtl/>
        </w:rPr>
        <w:t>ش</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ل</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الهجرة</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المعروفة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بل</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المب</w:t>
      </w:r>
      <w:r w:rsidRPr="006571AC">
        <w:rPr>
          <w:rFonts w:cs="AL-Mohanad" w:hint="cs"/>
          <w:sz w:val="27"/>
          <w:szCs w:val="27"/>
          <w:rtl/>
        </w:rPr>
        <w:t>ي</w:t>
      </w:r>
      <w:r w:rsidRPr="006571AC">
        <w:rPr>
          <w:rFonts w:ascii="Sakkal Majalla" w:hAnsi="Sakkal Majalla" w:cs="AL-Mohanad" w:hint="cs"/>
          <w:sz w:val="27"/>
          <w:szCs w:val="27"/>
          <w:rtl/>
        </w:rPr>
        <w:t>ت</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نام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علي</w:t>
      </w:r>
      <w:r w:rsidR="00716C5D"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فراشه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وغ</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حداث الخط</w:t>
      </w:r>
      <w:r w:rsidRPr="006571AC">
        <w:rPr>
          <w:rFonts w:cs="AL-Mohanad" w:hint="cs"/>
          <w:sz w:val="27"/>
          <w:szCs w:val="27"/>
          <w:rtl/>
        </w:rPr>
        <w:t>ي</w:t>
      </w:r>
      <w:r w:rsidRPr="006571AC">
        <w:rPr>
          <w:rFonts w:ascii="Sakkal Majalla" w:hAnsi="Sakkal Majalla" w:cs="AL-Mohanad" w:hint="cs"/>
          <w:sz w:val="27"/>
          <w:szCs w:val="27"/>
          <w:rtl/>
        </w:rPr>
        <w:t>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مرّ</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ت</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النبي</w:t>
      </w:r>
      <w:r w:rsidR="002A2C90" w:rsidRPr="006571AC">
        <w:rPr>
          <w:rFonts w:ascii="Mosawi" w:hAnsi="Mosawi" w:cs="Mosawi"/>
          <w:sz w:val="22"/>
          <w:szCs w:val="22"/>
          <w:rtl/>
        </w:rPr>
        <w:t>|</w:t>
      </w:r>
      <w:r w:rsidRPr="006571AC">
        <w:rPr>
          <w:rFonts w:ascii="Sakkal Majalla" w:hAnsi="Sakkal Majalla" w:cs="AL-Mohanad"/>
          <w:sz w:val="27"/>
          <w:szCs w:val="27"/>
          <w:rtl/>
        </w:rPr>
        <w:t>، فلو كان المقصود من قوله تعالى</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hint="cs"/>
          <w:b/>
          <w:bCs/>
          <w:sz w:val="27"/>
          <w:szCs w:val="27"/>
          <w:rtl/>
        </w:rPr>
        <w:t>و</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الله</w:t>
      </w:r>
      <w:r w:rsidR="00716C5D"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cs="AL-Mohanad" w:hint="cs"/>
          <w:b/>
          <w:bCs/>
          <w:sz w:val="27"/>
          <w:szCs w:val="27"/>
          <w:rtl/>
        </w:rPr>
        <w:t>ي</w:t>
      </w:r>
      <w:r w:rsidR="00716C5D" w:rsidRPr="006571AC">
        <w:rPr>
          <w:rFonts w:cs="AL-Mohanad" w:hint="cs"/>
          <w:b/>
          <w:bCs/>
          <w:sz w:val="27"/>
          <w:szCs w:val="27"/>
          <w:rtl/>
        </w:rPr>
        <w:t>َ</w:t>
      </w:r>
      <w:r w:rsidRPr="006571AC">
        <w:rPr>
          <w:rFonts w:ascii="Sakkal Majalla" w:hAnsi="Sakkal Majalla" w:cs="AL-Mohanad" w:hint="cs"/>
          <w:b/>
          <w:bCs/>
          <w:sz w:val="27"/>
          <w:szCs w:val="27"/>
          <w:rtl/>
        </w:rPr>
        <w:t>ع</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ص</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م</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ك</w:t>
      </w:r>
      <w:r w:rsidR="00716C5D"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ascii="Sakkal Majalla" w:hAnsi="Sakkal Majalla" w:cs="AL-Mohanad" w:hint="cs"/>
          <w:b/>
          <w:bCs/>
          <w:sz w:val="27"/>
          <w:szCs w:val="27"/>
          <w:rtl/>
        </w:rPr>
        <w:t>م</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ن</w:t>
      </w:r>
      <w:r w:rsidR="00716C5D"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ascii="Sakkal Majalla" w:hAnsi="Sakkal Majalla" w:cs="AL-Mohanad" w:hint="cs"/>
          <w:b/>
          <w:bCs/>
          <w:sz w:val="27"/>
          <w:szCs w:val="27"/>
          <w:rtl/>
        </w:rPr>
        <w:t>الن</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اس</w:t>
      </w:r>
      <w:r w:rsidR="00716C5D"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حفظه</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Pr="006571AC">
        <w:rPr>
          <w:rFonts w:ascii="Sakkal Majalla" w:hAnsi="Sakkal Majalla" w:cs="AL-Mohanad"/>
          <w:sz w:val="27"/>
          <w:szCs w:val="27"/>
          <w:rtl/>
        </w:rPr>
        <w:t>نقاذه من 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عراب</w:t>
      </w:r>
      <w:r w:rsidRPr="006571AC">
        <w:rPr>
          <w:rFonts w:cs="AL-Mohanad" w:hint="cs"/>
          <w:sz w:val="27"/>
          <w:szCs w:val="27"/>
          <w:rtl/>
        </w:rPr>
        <w:t>ي</w:t>
      </w:r>
      <w:r w:rsidR="00716C5D" w:rsidRPr="006571AC">
        <w:rPr>
          <w:rFonts w:cs="AL-Mohanad" w:hint="cs"/>
          <w:sz w:val="27"/>
          <w:szCs w:val="27"/>
          <w:rtl/>
        </w:rPr>
        <w:t>ّ</w:t>
      </w:r>
      <w:r w:rsidRPr="006571AC">
        <w:rPr>
          <w:rFonts w:ascii="Sakkal Majalla" w:hAnsi="Sakkal Majalla" w:cs="AL-Mohanad"/>
          <w:sz w:val="27"/>
          <w:szCs w:val="27"/>
          <w:rtl/>
        </w:rPr>
        <w:t xml:space="preserve"> لكان </w:t>
      </w:r>
      <w:r w:rsidRPr="006571AC">
        <w:rPr>
          <w:rFonts w:ascii="Sakkal Majalla" w:hAnsi="Sakkal Majalla" w:cs="AL-Mohanad" w:hint="cs"/>
          <w:sz w:val="27"/>
          <w:szCs w:val="27"/>
          <w:rtl/>
        </w:rPr>
        <w:t>الأ</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و</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ل</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خبر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حفظه</w:t>
      </w:r>
      <w:r w:rsidRPr="006571AC">
        <w:rPr>
          <w:rFonts w:ascii="Sakkal Majalla" w:hAnsi="Sakkal Majalla" w:cs="AL-Mohanad"/>
          <w:sz w:val="27"/>
          <w:szCs w:val="27"/>
          <w:rtl/>
        </w:rPr>
        <w:t xml:space="preserve"> وحما</w:t>
      </w:r>
      <w:r w:rsidRPr="006571AC">
        <w:rPr>
          <w:rFonts w:cs="AL-Mohanad" w:hint="cs"/>
          <w:sz w:val="27"/>
          <w:szCs w:val="27"/>
          <w:rtl/>
        </w:rPr>
        <w:t>ي</w:t>
      </w:r>
      <w:r w:rsidRPr="006571AC">
        <w:rPr>
          <w:rFonts w:ascii="Sakkal Majalla" w:hAnsi="Sakkal Majalla" w:cs="AL-Mohanad" w:hint="cs"/>
          <w:sz w:val="27"/>
          <w:szCs w:val="27"/>
          <w:rtl/>
        </w:rPr>
        <w:t>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الوقائع الم</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ه</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ل</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كة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مرّ</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ت</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عل</w:t>
      </w:r>
      <w:r w:rsidRPr="006571AC">
        <w:rPr>
          <w:rFonts w:cs="AL-Mohanad" w:hint="cs"/>
          <w:sz w:val="27"/>
          <w:szCs w:val="27"/>
          <w:rtl/>
        </w:rPr>
        <w:t>ي</w:t>
      </w:r>
      <w:r w:rsidRPr="006571AC">
        <w:rPr>
          <w:rFonts w:ascii="Sakkal Majalla" w:hAnsi="Sakkal Majalla" w:cs="AL-Mohanad" w:hint="cs"/>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p>
    <w:p w:rsidR="00FB4949" w:rsidRPr="006571AC" w:rsidRDefault="00FB4949" w:rsidP="00FB4949">
      <w:pPr>
        <w:spacing w:line="420" w:lineRule="exact"/>
        <w:rPr>
          <w:sz w:val="27"/>
          <w:rtl/>
        </w:rPr>
      </w:pPr>
    </w:p>
    <w:p w:rsidR="005D05A4" w:rsidRPr="006571AC" w:rsidRDefault="007204C4" w:rsidP="007204C4">
      <w:pPr>
        <w:pStyle w:val="31"/>
        <w:rPr>
          <w:color w:val="auto"/>
          <w:rtl/>
        </w:rPr>
      </w:pPr>
      <w:bookmarkStart w:id="168" w:name="_Toc114164656"/>
      <w:r w:rsidRPr="006571AC">
        <w:rPr>
          <w:rFonts w:hint="cs"/>
          <w:color w:val="auto"/>
          <w:rtl/>
        </w:rPr>
        <w:t>و ـ</w:t>
      </w:r>
      <w:r w:rsidR="005D05A4" w:rsidRPr="006571AC">
        <w:rPr>
          <w:color w:val="auto"/>
          <w:rtl/>
        </w:rPr>
        <w:t xml:space="preserve"> حراسة </w:t>
      </w:r>
      <w:r w:rsidRPr="006571AC">
        <w:rPr>
          <w:rFonts w:hint="cs"/>
          <w:color w:val="auto"/>
          <w:rtl/>
        </w:rPr>
        <w:t>الله ل</w:t>
      </w:r>
      <w:r w:rsidR="005D05A4" w:rsidRPr="006571AC">
        <w:rPr>
          <w:color w:val="auto"/>
          <w:rtl/>
        </w:rPr>
        <w:t>لنب</w:t>
      </w:r>
      <w:r w:rsidR="005D05A4" w:rsidRPr="006571AC">
        <w:rPr>
          <w:rFonts w:hint="cs"/>
          <w:color w:val="auto"/>
          <w:rtl/>
        </w:rPr>
        <w:t>ي</w:t>
      </w:r>
      <w:r w:rsidR="00716C5D" w:rsidRPr="006571AC">
        <w:rPr>
          <w:rFonts w:hint="cs"/>
          <w:color w:val="auto"/>
          <w:rtl/>
        </w:rPr>
        <w:t>ّ</w:t>
      </w:r>
      <w:r w:rsidR="002A2C90" w:rsidRPr="006571AC">
        <w:rPr>
          <w:rFonts w:ascii="Mosawi" w:hAnsi="Mosawi" w:cs="Mosawi"/>
          <w:color w:val="auto"/>
          <w:sz w:val="22"/>
          <w:szCs w:val="22"/>
          <w:rtl/>
        </w:rPr>
        <w:t>|</w:t>
      </w:r>
      <w:bookmarkEnd w:id="168"/>
      <w:r w:rsidR="005D05A4" w:rsidRPr="006571AC">
        <w:rPr>
          <w:color w:val="auto"/>
          <w:rtl/>
        </w:rPr>
        <w:t xml:space="preserve"> </w:t>
      </w:r>
    </w:p>
    <w:p w:rsidR="005D05A4" w:rsidRPr="006571AC" w:rsidRDefault="005D05A4" w:rsidP="00DF6C99">
      <w:pPr>
        <w:pStyle w:val="af"/>
        <w:rPr>
          <w:rFonts w:ascii="Sakkal Majalla" w:hAnsi="Sakkal Majalla" w:cs="AL-Mohanad"/>
          <w:sz w:val="27"/>
          <w:szCs w:val="27"/>
          <w:rtl/>
        </w:rPr>
      </w:pPr>
      <w:r w:rsidRPr="006571AC">
        <w:rPr>
          <w:rFonts w:ascii="Sakkal Majalla" w:hAnsi="Sakkal Majalla" w:cs="AL-Mohanad"/>
          <w:sz w:val="27"/>
          <w:szCs w:val="27"/>
          <w:rtl/>
        </w:rPr>
        <w:t>من ال</w:t>
      </w:r>
      <w:r w:rsidRPr="006571AC">
        <w:rPr>
          <w:rFonts w:ascii="Sakkal Majalla" w:hAnsi="Sakkal Majalla" w:cs="AL-Mohanad" w:hint="cs"/>
          <w:sz w:val="27"/>
          <w:szCs w:val="27"/>
          <w:rtl/>
        </w:rPr>
        <w:t>أ</w:t>
      </w:r>
      <w:r w:rsidRPr="006571AC">
        <w:rPr>
          <w:rFonts w:ascii="Sakkal Majalla" w:hAnsi="Sakkal Majalla" w:cs="AL-Mohanad"/>
          <w:sz w:val="27"/>
          <w:szCs w:val="27"/>
          <w:rtl/>
        </w:rPr>
        <w:t>قوال المشهورة عند العامة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تفس</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قبل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الهجرة</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مك</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ة</w:t>
      </w:r>
      <w:r w:rsidR="00716C5D" w:rsidRPr="006571AC">
        <w:rPr>
          <w:rFonts w:ascii="Sakkal Majalla" w:hAnsi="Sakkal Majalla" w:cs="AL-Mohanad" w:hint="cs"/>
          <w:sz w:val="27"/>
          <w:szCs w:val="27"/>
          <w:rtl/>
        </w:rPr>
        <w:t>،</w:t>
      </w:r>
      <w:r w:rsidR="00716C5D" w:rsidRPr="006571AC">
        <w:rPr>
          <w:rFonts w:ascii="Sakkal Majalla" w:hAnsi="Sakkal Majalla" w:cs="AL-Mohanad"/>
          <w:sz w:val="27"/>
          <w:szCs w:val="27"/>
          <w:rtl/>
        </w:rPr>
        <w:t xml:space="preserve"> عند</w:t>
      </w:r>
      <w:r w:rsidRPr="006571AC">
        <w:rPr>
          <w:rFonts w:ascii="Sakkal Majalla" w:hAnsi="Sakkal Majalla" w:cs="AL-Mohanad"/>
          <w:sz w:val="27"/>
          <w:szCs w:val="27"/>
          <w:rtl/>
        </w:rPr>
        <w:t xml:space="preserve">ما كان </w:t>
      </w:r>
      <w:r w:rsidRPr="006571AC">
        <w:rPr>
          <w:rFonts w:cs="AL-Mohanad" w:hint="cs"/>
          <w:sz w:val="27"/>
          <w:szCs w:val="27"/>
          <w:rtl/>
        </w:rPr>
        <w:t>ي</w:t>
      </w:r>
      <w:r w:rsidRPr="006571AC">
        <w:rPr>
          <w:rFonts w:ascii="Sakkal Majalla" w:hAnsi="Sakkal Majalla" w:cs="AL-Mohanad" w:hint="cs"/>
          <w:sz w:val="27"/>
          <w:szCs w:val="27"/>
          <w:rtl/>
        </w:rPr>
        <w:t>حرسه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عم</w:t>
      </w:r>
      <w:r w:rsidR="00716C5D"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المشرك</w:t>
      </w:r>
      <w:r w:rsidRPr="006571AC">
        <w:rPr>
          <w:rFonts w:cs="AL-Mohanad" w:hint="cs"/>
          <w:sz w:val="27"/>
          <w:szCs w:val="27"/>
          <w:rtl/>
        </w:rPr>
        <w:t>ي</w:t>
      </w:r>
      <w:r w:rsidRPr="006571AC">
        <w:rPr>
          <w:rFonts w:ascii="Sakkal Majalla" w:hAnsi="Sakkal Majalla" w:cs="AL-Mohanad" w:hint="cs"/>
          <w:sz w:val="27"/>
          <w:szCs w:val="27"/>
          <w:rtl/>
        </w:rPr>
        <w:t>ن</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دفع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صل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منهم</w:t>
      </w:r>
      <w:r w:rsidR="00716C5D"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ولكن</w:t>
      </w:r>
      <w:r w:rsidR="00716C5D" w:rsidRPr="006571AC">
        <w:rPr>
          <w:rFonts w:ascii="Sakkal Majalla" w:hAnsi="Sakkal Majalla" w:cs="AL-Mohanad" w:hint="cs"/>
          <w:sz w:val="27"/>
          <w:szCs w:val="27"/>
          <w:rtl/>
        </w:rPr>
        <w:t>ْ</w:t>
      </w:r>
      <w:r w:rsidR="00716C5D" w:rsidRPr="006571AC">
        <w:rPr>
          <w:rFonts w:ascii="Sakkal Majalla" w:hAnsi="Sakkal Majalla" w:cs="AL-Mohanad"/>
          <w:sz w:val="27"/>
          <w:szCs w:val="27"/>
          <w:rtl/>
        </w:rPr>
        <w:t xml:space="preserve"> بعد</w:t>
      </w:r>
      <w:r w:rsidRPr="006571AC">
        <w:rPr>
          <w:rFonts w:ascii="Sakkal Majalla" w:hAnsi="Sakkal Majalla" w:cs="AL-Mohanad"/>
          <w:sz w:val="27"/>
          <w:szCs w:val="27"/>
          <w:rtl/>
        </w:rPr>
        <w:t>ما نزلت الآ</w:t>
      </w:r>
      <w:r w:rsidRPr="006571AC">
        <w:rPr>
          <w:rFonts w:cs="AL-Mohanad" w:hint="cs"/>
          <w:sz w:val="27"/>
          <w:szCs w:val="27"/>
          <w:rtl/>
        </w:rPr>
        <w:t>ي</w:t>
      </w:r>
      <w:r w:rsidRPr="006571AC">
        <w:rPr>
          <w:rFonts w:ascii="Sakkal Majalla" w:hAnsi="Sakkal Majalla" w:cs="AL-Mohanad" w:hint="cs"/>
          <w:sz w:val="27"/>
          <w:szCs w:val="27"/>
          <w:rtl/>
        </w:rPr>
        <w:t>ة</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خبر</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ت</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الله تعالى </w:t>
      </w:r>
      <w:r w:rsidR="00DF6C99" w:rsidRPr="006571AC">
        <w:rPr>
          <w:rFonts w:ascii="Sakkal Majalla" w:hAnsi="Sakkal Majalla" w:cs="AL-Mohanad" w:hint="cs"/>
          <w:sz w:val="27"/>
          <w:szCs w:val="27"/>
          <w:rtl/>
        </w:rPr>
        <w:t>تعهَّد</w:t>
      </w:r>
      <w:r w:rsidRPr="006571AC">
        <w:rPr>
          <w:rFonts w:ascii="Sakkal Majalla" w:hAnsi="Sakkal Majalla" w:cs="AL-Mohanad"/>
          <w:sz w:val="27"/>
          <w:szCs w:val="27"/>
          <w:rtl/>
        </w:rPr>
        <w:t xml:space="preserve"> </w:t>
      </w:r>
      <w:r w:rsidR="00DF6C99" w:rsidRPr="006571AC">
        <w:rPr>
          <w:rFonts w:ascii="Sakkal Majalla" w:hAnsi="Sakkal Majalla" w:cs="AL-Mohanad" w:hint="cs"/>
          <w:sz w:val="27"/>
          <w:szCs w:val="27"/>
          <w:rtl/>
        </w:rPr>
        <w:t>بحفظه وحراسته</w:t>
      </w:r>
      <w:r w:rsidRPr="006571AC">
        <w:rPr>
          <w:rFonts w:ascii="Sakkal Majalla" w:hAnsi="Sakkal Majalla" w:cs="AL-Mohanad"/>
          <w:sz w:val="27"/>
          <w:szCs w:val="27"/>
          <w:rtl/>
        </w:rPr>
        <w:t xml:space="preserve"> من </w:t>
      </w:r>
      <w:r w:rsidRPr="006571AC">
        <w:rPr>
          <w:rFonts w:ascii="Sakkal Majalla" w:hAnsi="Sakkal Majalla" w:cs="AL-Mohanad" w:hint="cs"/>
          <w:sz w:val="27"/>
          <w:szCs w:val="27"/>
          <w:rtl/>
        </w:rPr>
        <w:t>أ</w:t>
      </w:r>
      <w:r w:rsidRPr="006571AC">
        <w:rPr>
          <w:rFonts w:cs="AL-Mohanad" w:hint="cs"/>
          <w:sz w:val="27"/>
          <w:szCs w:val="27"/>
          <w:rtl/>
        </w:rPr>
        <w:t>ي</w:t>
      </w:r>
      <w:r w:rsidR="0072372B"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مكروه</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توج</w:t>
      </w:r>
      <w:r w:rsidR="0072372B"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لغ</w:t>
      </w:r>
      <w:r w:rsidR="0072372B"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حراسة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عم</w:t>
      </w:r>
      <w:r w:rsidR="0072372B" w:rsidRPr="006571AC">
        <w:rPr>
          <w:rFonts w:ascii="Sakkal Majalla" w:hAnsi="Sakkal Majalla" w:cs="AL-Mohanad" w:hint="cs"/>
          <w:sz w:val="27"/>
          <w:szCs w:val="27"/>
          <w:rtl/>
        </w:rPr>
        <w:t>ِّ</w:t>
      </w:r>
      <w:r w:rsidRPr="006571AC">
        <w:rPr>
          <w:rFonts w:ascii="Sakkal Majalla" w:hAnsi="Sakkal Majalla" w:cs="AL-Mohanad" w:hint="cs"/>
          <w:sz w:val="27"/>
          <w:szCs w:val="27"/>
          <w:rtl/>
        </w:rPr>
        <w:t>ه. و</w:t>
      </w:r>
      <w:r w:rsidRPr="006571AC">
        <w:rPr>
          <w:rFonts w:ascii="Sakkal Majalla" w:hAnsi="Sakkal Majalla" w:cs="AL-Mohanad"/>
          <w:sz w:val="27"/>
          <w:szCs w:val="27"/>
          <w:rtl/>
        </w:rPr>
        <w:t xml:space="preserve">قد </w:t>
      </w:r>
      <w:r w:rsidR="0072372B" w:rsidRPr="006571AC">
        <w:rPr>
          <w:rFonts w:ascii="Sakkal Majalla" w:hAnsi="Sakkal Majalla" w:cs="AL-Mohanad" w:hint="cs"/>
          <w:sz w:val="27"/>
          <w:szCs w:val="27"/>
          <w:rtl/>
        </w:rPr>
        <w:t>ا</w:t>
      </w:r>
      <w:r w:rsidRPr="006571AC">
        <w:rPr>
          <w:rFonts w:ascii="Sakkal Majalla" w:hAnsi="Sakkal Majalla" w:cs="AL-Mohanad"/>
          <w:sz w:val="27"/>
          <w:szCs w:val="27"/>
          <w:rtl/>
        </w:rPr>
        <w:t>ستندوا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بعض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المرو</w:t>
      </w:r>
      <w:r w:rsidRPr="006571AC">
        <w:rPr>
          <w:rFonts w:cs="AL-Mohanad" w:hint="cs"/>
          <w:sz w:val="27"/>
          <w:szCs w:val="27"/>
          <w:rtl/>
        </w:rPr>
        <w:t>ي</w:t>
      </w:r>
      <w:r w:rsidR="0072372B" w:rsidRPr="006571AC">
        <w:rPr>
          <w:rFonts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صحاحهم ومسان</w:t>
      </w:r>
      <w:r w:rsidRPr="006571AC">
        <w:rPr>
          <w:rFonts w:cs="AL-Mohanad" w:hint="cs"/>
          <w:sz w:val="27"/>
          <w:szCs w:val="27"/>
          <w:rtl/>
        </w:rPr>
        <w:t>ي</w:t>
      </w:r>
      <w:r w:rsidRPr="006571AC">
        <w:rPr>
          <w:rFonts w:ascii="Sakkal Majalla" w:hAnsi="Sakkal Majalla" w:cs="AL-Mohanad" w:hint="cs"/>
          <w:sz w:val="27"/>
          <w:szCs w:val="27"/>
          <w:rtl/>
        </w:rPr>
        <w:t xml:space="preserve">دهم، </w:t>
      </w:r>
      <w:r w:rsidRPr="006571AC">
        <w:rPr>
          <w:rFonts w:ascii="Sakkal Majalla" w:hAnsi="Sakkal Majalla" w:cs="AL-Mohanad"/>
          <w:sz w:val="27"/>
          <w:szCs w:val="27"/>
          <w:rtl/>
        </w:rPr>
        <w:t>وه</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نوع</w:t>
      </w:r>
      <w:r w:rsidRPr="006571AC">
        <w:rPr>
          <w:rFonts w:cs="AL-Mohanad" w:hint="cs"/>
          <w:sz w:val="27"/>
          <w:szCs w:val="27"/>
          <w:rtl/>
        </w:rPr>
        <w:t>ي</w:t>
      </w:r>
      <w:r w:rsidRPr="006571AC">
        <w:rPr>
          <w:rFonts w:ascii="Sakkal Majalla" w:hAnsi="Sakkal Majalla" w:cs="AL-Mohanad" w:hint="cs"/>
          <w:sz w:val="27"/>
          <w:szCs w:val="27"/>
          <w:rtl/>
        </w:rPr>
        <w:t xml:space="preserve">ن: </w:t>
      </w:r>
      <w:r w:rsidRPr="006571AC">
        <w:rPr>
          <w:rFonts w:ascii="Sakkal Majalla" w:hAnsi="Sakkal Majalla" w:cs="AL-Mohanad"/>
          <w:sz w:val="27"/>
          <w:szCs w:val="27"/>
          <w:rtl/>
        </w:rPr>
        <w:t xml:space="preserve">بعضها تنصّ على </w:t>
      </w:r>
      <w:r w:rsidRPr="006571AC">
        <w:rPr>
          <w:rFonts w:ascii="Sakkal Majalla" w:hAnsi="Sakkal Majalla" w:cs="AL-Mohanad" w:hint="cs"/>
          <w:sz w:val="27"/>
          <w:szCs w:val="27"/>
          <w:rtl/>
        </w:rPr>
        <w:t>أ</w:t>
      </w:r>
      <w:r w:rsidRPr="006571AC">
        <w:rPr>
          <w:rFonts w:ascii="Sakkal Majalla" w:hAnsi="Sakkal Majalla" w:cs="AL-Mohanad"/>
          <w:sz w:val="27"/>
          <w:szCs w:val="27"/>
          <w:rtl/>
        </w:rPr>
        <w:t>نّ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الحراسة كانت من </w:t>
      </w:r>
      <w:r w:rsidRPr="006571AC">
        <w:rPr>
          <w:rFonts w:ascii="Sakkal Majalla" w:hAnsi="Sakkal Majalla" w:cs="AL-Mohanad" w:hint="cs"/>
          <w:sz w:val="27"/>
          <w:szCs w:val="27"/>
          <w:rtl/>
        </w:rPr>
        <w:t xml:space="preserve">قبل </w:t>
      </w:r>
      <w:r w:rsidRPr="006571AC">
        <w:rPr>
          <w:rFonts w:ascii="Sakkal Majalla" w:hAnsi="Sakkal Majalla" w:cs="AL-Mohanad"/>
          <w:sz w:val="27"/>
          <w:szCs w:val="27"/>
          <w:rtl/>
        </w:rPr>
        <w:t>عم</w:t>
      </w:r>
      <w:r w:rsidRPr="006571AC">
        <w:rPr>
          <w:rFonts w:ascii="Sakkal Majalla" w:hAnsi="Sakkal Majalla" w:cs="AL-Mohanad" w:hint="cs"/>
          <w:sz w:val="27"/>
          <w:szCs w:val="27"/>
          <w:rtl/>
        </w:rPr>
        <w:t>ّ</w:t>
      </w:r>
      <w:r w:rsidRPr="006571AC">
        <w:rPr>
          <w:rFonts w:ascii="Sakkal Majalla" w:hAnsi="Sakkal Majalla" w:cs="AL-Mohanad"/>
          <w:sz w:val="27"/>
          <w:szCs w:val="27"/>
          <w:rtl/>
        </w:rPr>
        <w:t>ه العباس بن عبد المط</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لب</w:t>
      </w:r>
      <w:r w:rsidR="0072372B"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وبعض</w:t>
      </w:r>
      <w:r w:rsidR="0072372B"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الآخر ترو</w:t>
      </w:r>
      <w:r w:rsidR="0072372B"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نّها كانت ل</w:t>
      </w:r>
      <w:r w:rsidRPr="006571AC">
        <w:rPr>
          <w:rFonts w:ascii="Sakkal Majalla" w:hAnsi="Sakkal Majalla" w:cs="AL-Mohanad" w:hint="cs"/>
          <w:sz w:val="27"/>
          <w:szCs w:val="27"/>
          <w:rtl/>
        </w:rPr>
        <w:t>أ</w:t>
      </w:r>
      <w:r w:rsidRPr="006571AC">
        <w:rPr>
          <w:rFonts w:ascii="Sakkal Majalla" w:hAnsi="Sakkal Majalla" w:cs="AL-Mohanad"/>
          <w:sz w:val="27"/>
          <w:szCs w:val="27"/>
          <w:rtl/>
        </w:rPr>
        <w:t>ب</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طالب. </w:t>
      </w:r>
      <w:r w:rsidRPr="006571AC">
        <w:rPr>
          <w:rFonts w:ascii="Sakkal Majalla" w:hAnsi="Sakkal Majalla" w:cs="AL-Mohanad"/>
          <w:sz w:val="27"/>
          <w:szCs w:val="27"/>
          <w:rtl/>
        </w:rPr>
        <w:t xml:space="preserve">فقد </w:t>
      </w:r>
      <w:r w:rsidRPr="006571AC">
        <w:rPr>
          <w:rFonts w:ascii="Sakkal Majalla" w:hAnsi="Sakkal Majalla" w:cs="AL-Mohanad"/>
          <w:sz w:val="27"/>
          <w:szCs w:val="27"/>
          <w:rtl/>
        </w:rPr>
        <w:lastRenderedPageBreak/>
        <w:t>ر</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ابن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عباس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نّه 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س</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ئل رسول الله</w:t>
      </w:r>
      <w:r w:rsidR="004459D6" w:rsidRPr="006571AC">
        <w:rPr>
          <w:rFonts w:ascii="Mosawi" w:hAnsi="Mosawi" w:cs="Mosawi"/>
          <w:sz w:val="22"/>
          <w:szCs w:val="22"/>
          <w:rtl/>
        </w:rPr>
        <w:t>ﷺ</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w:t>
      </w:r>
      <w:r w:rsidR="0072372B"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آية</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أنزلت من السماء أشد</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عليك</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كنت</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بم</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ن</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ى أيام موسم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0072372B" w:rsidRPr="006571AC">
        <w:rPr>
          <w:rFonts w:ascii="Sakkal Majalla" w:hAnsi="Sakkal Majalla" w:cs="AL-Mohanad" w:hint="cs"/>
          <w:sz w:val="27"/>
          <w:szCs w:val="27"/>
          <w:rtl/>
        </w:rPr>
        <w:t>ا</w:t>
      </w:r>
      <w:r w:rsidRPr="006571AC">
        <w:rPr>
          <w:rFonts w:ascii="Sakkal Majalla" w:hAnsi="Sakkal Majalla" w:cs="AL-Mohanad"/>
          <w:sz w:val="27"/>
          <w:szCs w:val="27"/>
          <w:rtl/>
        </w:rPr>
        <w:t>جتمع مشركو العرب و</w:t>
      </w:r>
      <w:r w:rsidRPr="006571AC">
        <w:rPr>
          <w:rFonts w:ascii="Sakkal Majalla" w:hAnsi="Sakkal Majalla" w:cs="AL-Mohanad" w:hint="cs"/>
          <w:sz w:val="27"/>
          <w:szCs w:val="27"/>
          <w:rtl/>
        </w:rPr>
        <w:t>أ</w:t>
      </w:r>
      <w:r w:rsidRPr="006571AC">
        <w:rPr>
          <w:rFonts w:ascii="Sakkal Majalla" w:hAnsi="Sakkal Majalla" w:cs="AL-Mohanad"/>
          <w:sz w:val="27"/>
          <w:szCs w:val="27"/>
          <w:rtl/>
        </w:rPr>
        <w:t>فناء الناس في الموسم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فنزل عل</w:t>
      </w:r>
      <w:r w:rsidR="0072372B"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جبريل</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w:t>
      </w:r>
      <w:r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72372B"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w:t>
      </w:r>
      <w:r w:rsidR="0072372B"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72372B"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 وإِنْ لَمْ تَفْعَلْ فَم</w:t>
      </w:r>
      <w:r w:rsidR="0072372B"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بَلَّغْتَ رِس</w:t>
      </w:r>
      <w:r w:rsidR="0072372B"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الَتَهُ و</w:t>
      </w:r>
      <w:r w:rsidR="0072372B"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يَعْصِمُكَ مِنَ النَّاسِ</w:t>
      </w:r>
      <w:r w:rsidRPr="006571AC">
        <w:rPr>
          <w:rFonts w:ascii="Mosawi" w:hAnsi="Mosawi" w:cs="Mosawi"/>
          <w:rtl/>
        </w:rPr>
        <w:t>﴾</w:t>
      </w:r>
      <w:r w:rsidRPr="006571AC">
        <w:rPr>
          <w:rFonts w:ascii="Sakkal Majalla" w:hAnsi="Sakkal Majalla" w:cs="AL-Mohanad"/>
          <w:sz w:val="27"/>
          <w:szCs w:val="27"/>
          <w:rtl/>
        </w:rPr>
        <w:t xml:space="preserve"> قال</w:t>
      </w:r>
      <w:r w:rsidRPr="006571AC">
        <w:rPr>
          <w:rFonts w:ascii="Sakkal Majalla" w:hAnsi="Sakkal Majalla" w:cs="AL-Mohanad" w:hint="cs"/>
          <w:sz w:val="27"/>
          <w:szCs w:val="27"/>
          <w:rtl/>
        </w:rPr>
        <w:t xml:space="preserve">: </w:t>
      </w:r>
      <w:r w:rsidR="00DF6C99" w:rsidRPr="006571AC">
        <w:rPr>
          <w:rFonts w:ascii="Sakkal Majalla" w:hAnsi="Sakkal Majalla" w:cs="AL-Mohanad"/>
          <w:sz w:val="27"/>
          <w:szCs w:val="27"/>
          <w:rtl/>
        </w:rPr>
        <w:t>ف</w:t>
      </w:r>
      <w:r w:rsidR="00DF6C99" w:rsidRPr="006571AC">
        <w:rPr>
          <w:rFonts w:ascii="Sakkal Majalla" w:hAnsi="Sakkal Majalla" w:cs="AL-Mohanad" w:hint="cs"/>
          <w:sz w:val="27"/>
          <w:szCs w:val="27"/>
          <w:rtl/>
        </w:rPr>
        <w:t>قُ</w:t>
      </w:r>
      <w:r w:rsidRPr="006571AC">
        <w:rPr>
          <w:rFonts w:ascii="Sakkal Majalla" w:hAnsi="Sakkal Majalla" w:cs="AL-Mohanad"/>
          <w:sz w:val="27"/>
          <w:szCs w:val="27"/>
          <w:rtl/>
        </w:rPr>
        <w:t>م</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ت</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عند العقبة</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فناديت</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يا أي</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ها الناس</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ن</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ينصرني على أن أبلغ رسالة رب</w:t>
      </w:r>
      <w:r w:rsidR="009C62A7"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ولكم الجن</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أيها الناس</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قولوا</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لا </w:t>
      </w:r>
      <w:r w:rsidR="009C62A7"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له </w:t>
      </w:r>
      <w:r w:rsidR="009C62A7" w:rsidRPr="006571AC">
        <w:rPr>
          <w:rFonts w:ascii="Sakkal Majalla" w:hAnsi="Sakkal Majalla" w:cs="AL-Mohanad" w:hint="cs"/>
          <w:sz w:val="27"/>
          <w:szCs w:val="27"/>
          <w:rtl/>
        </w:rPr>
        <w:t>إ</w:t>
      </w:r>
      <w:r w:rsidRPr="006571AC">
        <w:rPr>
          <w:rFonts w:ascii="Sakkal Majalla" w:hAnsi="Sakkal Majalla" w:cs="AL-Mohanad"/>
          <w:sz w:val="27"/>
          <w:szCs w:val="27"/>
          <w:rtl/>
        </w:rPr>
        <w:t>لا الله</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وأنا رسول الله إليكم</w:t>
      </w:r>
      <w:r w:rsidR="009C62A7" w:rsidRPr="006571AC">
        <w:rPr>
          <w:rFonts w:ascii="Sakkal Majalla" w:hAnsi="Sakkal Majalla" w:cs="AL-Mohanad" w:hint="cs"/>
          <w:sz w:val="27"/>
          <w:szCs w:val="27"/>
          <w:rtl/>
        </w:rPr>
        <w:t xml:space="preserve">، تفلحوا </w:t>
      </w:r>
      <w:r w:rsidRPr="006571AC">
        <w:rPr>
          <w:rFonts w:ascii="Sakkal Majalla" w:hAnsi="Sakkal Majalla" w:cs="AL-Mohanad"/>
          <w:sz w:val="27"/>
          <w:szCs w:val="27"/>
          <w:rtl/>
        </w:rPr>
        <w:t>وتنج</w:t>
      </w:r>
      <w:r w:rsidR="009C62A7" w:rsidRPr="006571AC">
        <w:rPr>
          <w:rFonts w:ascii="Sakkal Majalla" w:hAnsi="Sakkal Majalla" w:cs="AL-Mohanad" w:hint="cs"/>
          <w:sz w:val="27"/>
          <w:szCs w:val="27"/>
          <w:rtl/>
        </w:rPr>
        <w:t>ح</w:t>
      </w:r>
      <w:r w:rsidRPr="006571AC">
        <w:rPr>
          <w:rFonts w:ascii="Sakkal Majalla" w:hAnsi="Sakkal Majalla" w:cs="AL-Mohanad"/>
          <w:sz w:val="27"/>
          <w:szCs w:val="27"/>
          <w:rtl/>
        </w:rPr>
        <w:t>وا</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ولكم الجن</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ة</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فما بقي رجل</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ولا امرأة</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ولا صب</w:t>
      </w:r>
      <w:r w:rsidR="009C62A7"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009C62A7" w:rsidRPr="006571AC">
        <w:rPr>
          <w:rFonts w:ascii="Sakkal Majalla" w:hAnsi="Sakkal Majalla" w:cs="AL-Mohanad" w:hint="cs"/>
          <w:sz w:val="27"/>
          <w:szCs w:val="27"/>
          <w:rtl/>
        </w:rPr>
        <w:t>إ</w:t>
      </w:r>
      <w:r w:rsidRPr="006571AC">
        <w:rPr>
          <w:rFonts w:ascii="Sakkal Majalla" w:hAnsi="Sakkal Majalla" w:cs="AL-Mohanad"/>
          <w:sz w:val="27"/>
          <w:szCs w:val="27"/>
          <w:rtl/>
        </w:rPr>
        <w:t>لا</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يرمون عل</w:t>
      </w:r>
      <w:r w:rsidR="009C62A7" w:rsidRPr="006571AC">
        <w:rPr>
          <w:rFonts w:ascii="Sakkal Majalla" w:hAnsi="Sakkal Majalla" w:cs="AL-Mohanad" w:hint="cs"/>
          <w:sz w:val="27"/>
          <w:szCs w:val="27"/>
          <w:rtl/>
        </w:rPr>
        <w:t>يّ</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بالتراب والحجارة</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ويبصقون في وجه</w:t>
      </w:r>
      <w:r w:rsidR="009C62A7"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ويقولون</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كذ</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اب صابئ</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فعرض عل</w:t>
      </w:r>
      <w:r w:rsidR="009C62A7" w:rsidRPr="006571AC">
        <w:rPr>
          <w:rFonts w:ascii="Sakkal Majalla" w:hAnsi="Sakkal Majalla" w:cs="AL-Mohanad" w:hint="cs"/>
          <w:sz w:val="27"/>
          <w:szCs w:val="27"/>
          <w:rtl/>
        </w:rPr>
        <w:t>يّ</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عارض</w:t>
      </w:r>
      <w:r w:rsidR="00DF6C99" w:rsidRPr="006571AC">
        <w:rPr>
          <w:rFonts w:ascii="Sakkal Majalla" w:hAnsi="Sakkal Majalla" w:cs="AL-Mohanad" w:hint="cs"/>
          <w:sz w:val="27"/>
          <w:szCs w:val="27"/>
          <w:rtl/>
        </w:rPr>
        <w:t>ٌ</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يا محمد</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9C62A7" w:rsidRPr="006571AC">
        <w:rPr>
          <w:rFonts w:ascii="Sakkal Majalla" w:hAnsi="Sakkal Majalla" w:cs="AL-Mohanad" w:hint="cs"/>
          <w:sz w:val="27"/>
          <w:szCs w:val="27"/>
          <w:rtl/>
        </w:rPr>
        <w:t>إ</w:t>
      </w:r>
      <w:r w:rsidRPr="006571AC">
        <w:rPr>
          <w:rFonts w:ascii="Sakkal Majalla" w:hAnsi="Sakkal Majalla" w:cs="AL-Mohanad"/>
          <w:sz w:val="27"/>
          <w:szCs w:val="27"/>
          <w:rtl/>
        </w:rPr>
        <w:t>ن</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كنت</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رسول الله فقد آن لك أن تدعو عليهم كما دعا نوح</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على قومه بالهلاك</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 النبي</w:t>
      </w:r>
      <w:r w:rsidR="009C62A7" w:rsidRPr="006571AC">
        <w:rPr>
          <w:rFonts w:ascii="Sakkal Majalla" w:hAnsi="Sakkal Majalla" w:cs="AL-Mohanad" w:hint="cs"/>
          <w:sz w:val="27"/>
          <w:szCs w:val="27"/>
          <w:rtl/>
        </w:rPr>
        <w:t>ّ</w:t>
      </w:r>
      <w:r w:rsidR="004459D6" w:rsidRPr="006571AC">
        <w:rPr>
          <w:rFonts w:ascii="Mosawi" w:hAnsi="Mosawi" w:cs="Mosawi"/>
          <w:sz w:val="22"/>
          <w:szCs w:val="22"/>
          <w:rtl/>
        </w:rPr>
        <w:t>ﷺ</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اللهم</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اه</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د</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قومي</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فإنهم لا يعلمون</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وانصرني عليهم </w:t>
      </w:r>
      <w:r w:rsidR="009C62A7" w:rsidRPr="006571AC">
        <w:rPr>
          <w:rFonts w:ascii="Sakkal Majalla" w:hAnsi="Sakkal Majalla" w:cs="AL-Mohanad" w:hint="cs"/>
          <w:sz w:val="27"/>
          <w:szCs w:val="27"/>
          <w:rtl/>
        </w:rPr>
        <w:t>أ</w:t>
      </w:r>
      <w:r w:rsidRPr="006571AC">
        <w:rPr>
          <w:rFonts w:ascii="Sakkal Majalla" w:hAnsi="Sakkal Majalla" w:cs="AL-Mohanad"/>
          <w:sz w:val="27"/>
          <w:szCs w:val="27"/>
          <w:rtl/>
        </w:rPr>
        <w:t>ن يجيبوني إلى طاعتك</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فجاء العباس عم</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ه</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فأنقذه منهم</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وطردهم عنه</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88"/>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FB4949" w:rsidRPr="006571AC" w:rsidRDefault="00FB4949" w:rsidP="00FB4949">
      <w:pPr>
        <w:spacing w:line="420" w:lineRule="exact"/>
        <w:rPr>
          <w:sz w:val="27"/>
          <w:rtl/>
        </w:rPr>
      </w:pPr>
    </w:p>
    <w:p w:rsidR="005D05A4" w:rsidRPr="006571AC" w:rsidRDefault="006C3FDF" w:rsidP="006C3FDF">
      <w:pPr>
        <w:pStyle w:val="31"/>
        <w:rPr>
          <w:color w:val="auto"/>
          <w:rtl/>
        </w:rPr>
      </w:pPr>
      <w:bookmarkStart w:id="169" w:name="_Toc114164657"/>
      <w:r w:rsidRPr="006571AC">
        <w:rPr>
          <w:rFonts w:hint="cs"/>
          <w:color w:val="auto"/>
          <w:rtl/>
        </w:rPr>
        <w:t>تعارضٌ وتهافت</w:t>
      </w:r>
      <w:bookmarkEnd w:id="169"/>
      <w:r w:rsidR="005D05A4" w:rsidRPr="006571AC">
        <w:rPr>
          <w:rFonts w:hint="cs"/>
          <w:color w:val="auto"/>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sz w:val="27"/>
          <w:szCs w:val="27"/>
          <w:rtl/>
        </w:rPr>
        <w:t>إنّ علائم وبوادر الو</w:t>
      </w:r>
      <w:r w:rsidR="00DF6C99" w:rsidRPr="006571AC">
        <w:rPr>
          <w:rFonts w:ascii="Sakkal Majalla" w:hAnsi="Sakkal Majalla" w:cs="AL-Mohanad" w:hint="cs"/>
          <w:sz w:val="27"/>
          <w:szCs w:val="27"/>
          <w:rtl/>
        </w:rPr>
        <w:t>َ</w:t>
      </w:r>
      <w:r w:rsidRPr="006571AC">
        <w:rPr>
          <w:rFonts w:ascii="Sakkal Majalla" w:hAnsi="Sakkal Majalla" w:cs="AL-Mohanad" w:hint="cs"/>
          <w:sz w:val="27"/>
          <w:szCs w:val="27"/>
          <w:rtl/>
        </w:rPr>
        <w:t>ض</w:t>
      </w:r>
      <w:r w:rsidR="00DF6C99" w:rsidRPr="006571AC">
        <w:rPr>
          <w:rFonts w:ascii="Sakkal Majalla" w:hAnsi="Sakkal Majalla" w:cs="AL-Mohanad" w:hint="cs"/>
          <w:sz w:val="27"/>
          <w:szCs w:val="27"/>
          <w:rtl/>
        </w:rPr>
        <w:t>ْ</w:t>
      </w:r>
      <w:r w:rsidRPr="006571AC">
        <w:rPr>
          <w:rFonts w:ascii="Sakkal Majalla" w:hAnsi="Sakkal Majalla" w:cs="AL-Mohanad" w:hint="cs"/>
          <w:sz w:val="27"/>
          <w:szCs w:val="27"/>
          <w:rtl/>
        </w:rPr>
        <w:t>ع والج</w:t>
      </w:r>
      <w:r w:rsidR="00DF6C99"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00DF6C99" w:rsidRPr="006571AC">
        <w:rPr>
          <w:rFonts w:ascii="Sakkal Majalla" w:hAnsi="Sakkal Majalla" w:cs="AL-Mohanad" w:hint="cs"/>
          <w:sz w:val="27"/>
          <w:szCs w:val="27"/>
          <w:rtl/>
        </w:rPr>
        <w:t>ْ</w:t>
      </w:r>
      <w:r w:rsidRPr="006571AC">
        <w:rPr>
          <w:rFonts w:ascii="Sakkal Majalla" w:hAnsi="Sakkal Majalla" w:cs="AL-Mohanad" w:hint="cs"/>
          <w:sz w:val="27"/>
          <w:szCs w:val="27"/>
          <w:rtl/>
        </w:rPr>
        <w:t>ل ظاهرة</w:t>
      </w:r>
      <w:r w:rsidR="009C62A7"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على هذه الرواية</w:t>
      </w:r>
      <w:r w:rsidR="009C62A7"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w:t>
      </w:r>
      <w:r w:rsidRPr="006571AC">
        <w:rPr>
          <w:rFonts w:ascii="Sakkal Majalla" w:hAnsi="Sakkal Majalla" w:cs="AL-Mohanad" w:hint="cs"/>
          <w:sz w:val="27"/>
          <w:szCs w:val="27"/>
          <w:rtl/>
        </w:rPr>
        <w:t>إ</w:t>
      </w:r>
      <w:r w:rsidRPr="006571AC">
        <w:rPr>
          <w:rFonts w:ascii="Sakkal Majalla" w:hAnsi="Sakkal Majalla" w:cs="AL-Mohanad"/>
          <w:sz w:val="27"/>
          <w:szCs w:val="27"/>
          <w:rtl/>
        </w:rPr>
        <w:t>نّها تر</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ثبات فض</w:t>
      </w:r>
      <w:r w:rsidRPr="006571AC">
        <w:rPr>
          <w:rFonts w:cs="AL-Mohanad" w:hint="cs"/>
          <w:sz w:val="27"/>
          <w:szCs w:val="27"/>
          <w:rtl/>
        </w:rPr>
        <w:t>ي</w:t>
      </w:r>
      <w:r w:rsidRPr="006571AC">
        <w:rPr>
          <w:rFonts w:ascii="Sakkal Majalla" w:hAnsi="Sakkal Majalla" w:cs="AL-Mohanad" w:hint="cs"/>
          <w:sz w:val="27"/>
          <w:szCs w:val="27"/>
          <w:rtl/>
        </w:rPr>
        <w:t>لة</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للعباس</w:t>
      </w:r>
      <w:r w:rsidRPr="006571AC">
        <w:rPr>
          <w:rFonts w:ascii="Sakkal Majalla" w:hAnsi="Sakkal Majalla" w:cs="AL-Mohanad"/>
          <w:sz w:val="27"/>
          <w:szCs w:val="27"/>
          <w:rtl/>
        </w:rPr>
        <w:t xml:space="preserve"> بأن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كان </w:t>
      </w:r>
      <w:r w:rsidRPr="006571AC">
        <w:rPr>
          <w:rFonts w:cs="AL-Mohanad" w:hint="cs"/>
          <w:sz w:val="27"/>
          <w:szCs w:val="27"/>
          <w:rtl/>
        </w:rPr>
        <w:t>ي</w:t>
      </w:r>
      <w:r w:rsidRPr="006571AC">
        <w:rPr>
          <w:rFonts w:ascii="Sakkal Majalla" w:hAnsi="Sakkal Majalla" w:cs="AL-Mohanad" w:hint="cs"/>
          <w:sz w:val="27"/>
          <w:szCs w:val="27"/>
          <w:rtl/>
        </w:rPr>
        <w:t>حرس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9C62A7"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في مك</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ة</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د</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ل أبي طالب، وأنه هو الذي عصم الله به رسوله</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كما </w:t>
      </w:r>
      <w:r w:rsidRPr="006571AC">
        <w:rPr>
          <w:rFonts w:cs="AL-Mohanad" w:hint="cs"/>
          <w:sz w:val="27"/>
          <w:szCs w:val="27"/>
          <w:rtl/>
        </w:rPr>
        <w:t>ي</w:t>
      </w:r>
      <w:r w:rsidRPr="006571AC">
        <w:rPr>
          <w:rFonts w:ascii="Sakkal Majalla" w:hAnsi="Sakkal Majalla" w:cs="AL-Mohanad" w:hint="cs"/>
          <w:sz w:val="27"/>
          <w:szCs w:val="27"/>
          <w:rtl/>
        </w:rPr>
        <w:t>ظهر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من تعل</w:t>
      </w:r>
      <w:r w:rsidRPr="006571AC">
        <w:rPr>
          <w:rFonts w:cs="AL-Mohanad" w:hint="cs"/>
          <w:sz w:val="27"/>
          <w:szCs w:val="27"/>
          <w:rtl/>
        </w:rPr>
        <w:t>ي</w:t>
      </w:r>
      <w:r w:rsidRPr="006571AC">
        <w:rPr>
          <w:rFonts w:ascii="Sakkal Majalla" w:hAnsi="Sakkal Majalla" w:cs="AL-Mohanad" w:hint="cs"/>
          <w:sz w:val="27"/>
          <w:szCs w:val="27"/>
          <w:rtl/>
        </w:rPr>
        <w:t>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4742C1" w:rsidRPr="006571AC">
        <w:rPr>
          <w:rFonts w:ascii="Sakkal Majalla" w:hAnsi="Sakkal Majalla" w:cs="AL-Mohanad" w:hint="cs"/>
          <w:sz w:val="27"/>
          <w:szCs w:val="27"/>
          <w:rtl/>
        </w:rPr>
        <w:t>أ</w:t>
      </w:r>
      <w:r w:rsidRPr="006571AC">
        <w:rPr>
          <w:rFonts w:ascii="Sakkal Majalla" w:hAnsi="Sakkal Majalla" w:cs="AL-Mohanad" w:hint="cs"/>
          <w:sz w:val="27"/>
          <w:szCs w:val="27"/>
          <w:rtl/>
        </w:rPr>
        <w:t>عمش</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ها</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قال</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sz w:val="27"/>
          <w:szCs w:val="27"/>
          <w:rtl/>
        </w:rPr>
        <w:t>فبذلك تفتخر بنو العباس</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يقولون</w:t>
      </w:r>
      <w:r w:rsidR="004742C1"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في</w:t>
      </w:r>
      <w:r w:rsidR="004742C1" w:rsidRPr="006571AC">
        <w:rPr>
          <w:rFonts w:ascii="Sakkal Majalla" w:hAnsi="Sakkal Majalla" w:cs="AL-Mohanad" w:hint="cs"/>
          <w:sz w:val="27"/>
          <w:szCs w:val="27"/>
          <w:rtl/>
        </w:rPr>
        <w:t>ه</w:t>
      </w:r>
      <w:r w:rsidRPr="006571AC">
        <w:rPr>
          <w:rFonts w:ascii="Sakkal Majalla" w:hAnsi="Sakkal Majalla" w:cs="AL-Mohanad"/>
          <w:sz w:val="27"/>
          <w:szCs w:val="27"/>
          <w:rtl/>
        </w:rPr>
        <w:t>م نزل</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إِنَّكَ لا</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تَهْدِي مَنْ أَحْبَبْتَ و</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كِنَّ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يَهْدِي مَنْ يَش</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اءُ</w:t>
      </w:r>
      <w:r w:rsidRPr="006571AC">
        <w:rPr>
          <w:rFonts w:ascii="Mosawi" w:hAnsi="Mosawi" w:cs="Mosawi"/>
          <w:rtl/>
        </w:rPr>
        <w:t>﴾</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هوى النبي</w:t>
      </w:r>
      <w:r w:rsidR="004459D6" w:rsidRPr="006571AC">
        <w:rPr>
          <w:rFonts w:ascii="Mosawi" w:hAnsi="Mosawi" w:cs="Mosawi"/>
          <w:sz w:val="22"/>
          <w:szCs w:val="22"/>
          <w:rtl/>
        </w:rPr>
        <w:t>ﷺ</w:t>
      </w:r>
      <w:r w:rsidRPr="006571AC">
        <w:rPr>
          <w:rFonts w:ascii="Sakkal Majalla" w:hAnsi="Sakkal Majalla" w:cs="AL-Mohanad"/>
          <w:sz w:val="27"/>
          <w:szCs w:val="27"/>
          <w:rtl/>
        </w:rPr>
        <w:t xml:space="preserve"> أبا طالب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وشاء الله عب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اس بن عبد المط</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لب</w:t>
      </w:r>
      <w:r w:rsidRPr="006571AC">
        <w:rPr>
          <w:rFonts w:ascii="Sakkal Majalla" w:hAnsi="Sakkal Majalla" w:cs="AL-Mohanad"/>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89"/>
      </w:r>
      <w:r w:rsidRPr="006571AC">
        <w:rPr>
          <w:rFonts w:ascii="Sakkal Majalla" w:hAnsi="Sakkal Majalla" w:cs="AL-Mohanad"/>
          <w:sz w:val="27"/>
          <w:szCs w:val="27"/>
          <w:vertAlign w:val="superscript"/>
          <w:rtl/>
        </w:rPr>
        <w:t>)</w:t>
      </w:r>
      <w:r w:rsidRPr="006571AC">
        <w:rPr>
          <w:rFonts w:ascii="Sakkal Majalla" w:hAnsi="Sakkal Majalla" w:cs="AL-Mohanad" w:hint="cs"/>
          <w:sz w:val="27"/>
          <w:szCs w:val="27"/>
          <w:rtl/>
        </w:rPr>
        <w:t>.</w:t>
      </w:r>
    </w:p>
    <w:p w:rsidR="005D05A4" w:rsidRPr="006571AC" w:rsidRDefault="005D05A4" w:rsidP="00DF6C99">
      <w:pPr>
        <w:pStyle w:val="af"/>
        <w:rPr>
          <w:rFonts w:ascii="Sakkal Majalla" w:hAnsi="Sakkal Majalla" w:cs="AL-Mohanad"/>
          <w:sz w:val="27"/>
          <w:szCs w:val="27"/>
          <w:rtl/>
        </w:rPr>
      </w:pP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ض</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ف</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حراسة العب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اس للنب</w:t>
      </w:r>
      <w:r w:rsidRPr="006571AC">
        <w:rPr>
          <w:rFonts w:ascii="Sakkal Majalla" w:hAnsi="Sakkal Majalla" w:cs="AL-Mohanad" w:hint="cs"/>
          <w:sz w:val="27"/>
          <w:szCs w:val="27"/>
          <w:rtl/>
        </w:rPr>
        <w:t>ي</w:t>
      </w:r>
      <w:r w:rsidR="002A2C90" w:rsidRPr="006571AC">
        <w:rPr>
          <w:rFonts w:ascii="Mosawi" w:hAnsi="Mosawi" w:cs="Mosawi"/>
          <w:sz w:val="22"/>
          <w:szCs w:val="22"/>
          <w:rtl/>
        </w:rPr>
        <w:t>|</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Pr="006571AC">
        <w:rPr>
          <w:rFonts w:ascii="Sakkal Majalla" w:hAnsi="Sakkal Majalla" w:cs="AL-Mohanad"/>
          <w:sz w:val="27"/>
          <w:szCs w:val="27"/>
          <w:rtl/>
        </w:rPr>
        <w:t>نقاذه له من المشرك</w:t>
      </w:r>
      <w:r w:rsidRPr="006571AC">
        <w:rPr>
          <w:rFonts w:cs="AL-Mohanad" w:hint="cs"/>
          <w:sz w:val="27"/>
          <w:szCs w:val="27"/>
          <w:rtl/>
        </w:rPr>
        <w:t>ي</w:t>
      </w:r>
      <w:r w:rsidRPr="006571AC">
        <w:rPr>
          <w:rFonts w:ascii="Sakkal Majalla" w:hAnsi="Sakkal Majalla" w:cs="AL-Mohanad" w:hint="cs"/>
          <w:sz w:val="27"/>
          <w:szCs w:val="27"/>
          <w:rtl/>
        </w:rPr>
        <w:t xml:space="preserve">ن، </w:t>
      </w:r>
      <w:r w:rsidRPr="006571AC">
        <w:rPr>
          <w:rFonts w:ascii="Sakkal Majalla" w:hAnsi="Sakkal Majalla" w:cs="AL-Mohanad"/>
          <w:sz w:val="27"/>
          <w:szCs w:val="27"/>
          <w:rtl/>
        </w:rPr>
        <w:t xml:space="preserve">لا تدلّ على </w:t>
      </w:r>
      <w:r w:rsidRPr="006571AC">
        <w:rPr>
          <w:rFonts w:ascii="Sakkal Majalla" w:hAnsi="Sakkal Majalla" w:cs="AL-Mohanad" w:hint="cs"/>
          <w:sz w:val="27"/>
          <w:szCs w:val="27"/>
          <w:rtl/>
        </w:rPr>
        <w:t>إ</w:t>
      </w:r>
      <w:r w:rsidRPr="006571AC">
        <w:rPr>
          <w:rFonts w:cs="AL-Mohanad" w:hint="cs"/>
          <w:sz w:val="27"/>
          <w:szCs w:val="27"/>
          <w:rtl/>
        </w:rPr>
        <w:t>ي</w:t>
      </w:r>
      <w:r w:rsidRPr="006571AC">
        <w:rPr>
          <w:rFonts w:ascii="Sakkal Majalla" w:hAnsi="Sakkal Majalla" w:cs="AL-Mohanad" w:hint="cs"/>
          <w:sz w:val="27"/>
          <w:szCs w:val="27"/>
          <w:rtl/>
        </w:rPr>
        <w:t>مانه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برسول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فهو لم </w:t>
      </w:r>
      <w:r w:rsidRPr="006571AC">
        <w:rPr>
          <w:rFonts w:cs="AL-Mohanad" w:hint="cs"/>
          <w:sz w:val="27"/>
          <w:szCs w:val="27"/>
          <w:rtl/>
        </w:rPr>
        <w:t>ي</w:t>
      </w:r>
      <w:r w:rsidRPr="006571AC">
        <w:rPr>
          <w:rFonts w:ascii="Sakkal Majalla" w:hAnsi="Sakkal Majalla" w:cs="AL-Mohanad" w:hint="cs"/>
          <w:sz w:val="27"/>
          <w:szCs w:val="27"/>
          <w:rtl/>
        </w:rPr>
        <w:t>ؤمن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برسول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ل البعثة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وقد</w:t>
      </w:r>
      <w:r w:rsidR="004742C1" w:rsidRPr="006571AC">
        <w:rPr>
          <w:rFonts w:ascii="Sakkal Majalla" w:hAnsi="Sakkal Majalla" w:cs="AL-Mohanad" w:hint="cs"/>
          <w:sz w:val="27"/>
          <w:szCs w:val="27"/>
          <w:rtl/>
        </w:rPr>
        <w:t xml:space="preserve"> </w:t>
      </w:r>
      <w:r w:rsidRPr="006571AC">
        <w:rPr>
          <w:rFonts w:ascii="Sakkal Majalla" w:hAnsi="Sakkal Majalla" w:cs="AL-Mohanad"/>
          <w:sz w:val="27"/>
          <w:szCs w:val="27"/>
          <w:rtl/>
        </w:rPr>
        <w:t>كان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بدر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صفّ 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قاتل</w:t>
      </w:r>
      <w:r w:rsidRPr="006571AC">
        <w:rPr>
          <w:rFonts w:ascii="Sakkal Majalla" w:hAnsi="Sakkal Majalla" w:cs="AL-Mohanad"/>
          <w:sz w:val="27"/>
          <w:szCs w:val="27"/>
          <w:rtl/>
        </w:rPr>
        <w:t xml:space="preserve"> المسلم</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جاء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قص</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ة بدر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نّه أخذ رسول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كف</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ا</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تراب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فرماه إليهم ـ يعني إلى المشركين ـ</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وقال: شاه</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الوجوه، فلم يب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ق</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منهم أحد</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إلا</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اشتغل بف</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ر</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ك عين</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ي</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وقتل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من المشركين سبعين رجلا</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وأسر منهم سبعين رجلا</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منهم</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العب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اس‏ بن‏ عبد المط</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لب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 له رسول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00DF6C99" w:rsidRPr="006571AC">
        <w:rPr>
          <w:rFonts w:ascii="Sakkal Majalla" w:hAnsi="Sakkal Majalla" w:cs="AL-Mohanad" w:hint="cs"/>
          <w:sz w:val="27"/>
          <w:szCs w:val="27"/>
          <w:rtl/>
        </w:rPr>
        <w:t>اِ</w:t>
      </w:r>
      <w:r w:rsidRPr="006571AC">
        <w:rPr>
          <w:rFonts w:ascii="Sakkal Majalla" w:hAnsi="Sakkal Majalla" w:cs="AL-Mohanad"/>
          <w:sz w:val="27"/>
          <w:szCs w:val="27"/>
          <w:rtl/>
        </w:rPr>
        <w:t>ف</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د</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نفسك، فقال: ما لي مال</w:t>
      </w:r>
      <w:r w:rsidR="008A57EC" w:rsidRPr="006571AC">
        <w:rPr>
          <w:rFonts w:ascii="Sakkal Majalla" w:hAnsi="Sakkal Majalla" w:cs="AL-Mohanad" w:hint="cs"/>
          <w:sz w:val="27"/>
          <w:szCs w:val="27"/>
          <w:rtl/>
        </w:rPr>
        <w:t>ٌ</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 فأين المال الذي وضع</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ه عند أم</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الفضل بمك</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ة</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وليس معكما أحد</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فقلت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لها</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إن أ</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صب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في سفري هذا فهذا المال لبنيّ الفضل وعبد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وقثم؟ فقال: إن هذا شي‏ء</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w:t>
      </w:r>
      <w:r w:rsidRPr="006571AC">
        <w:rPr>
          <w:rFonts w:ascii="Sakkal Majalla" w:hAnsi="Sakkal Majalla" w:cs="AL-Mohanad"/>
          <w:sz w:val="27"/>
          <w:szCs w:val="27"/>
          <w:rtl/>
        </w:rPr>
        <w:lastRenderedPageBreak/>
        <w:t>علم به غيري وغير أم</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الفضل</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ثم ذكر أنه أسلم</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90"/>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b/>
          <w:bCs/>
          <w:sz w:val="27"/>
          <w:szCs w:val="27"/>
          <w:rtl/>
        </w:rPr>
        <w:t>ثان</w:t>
      </w:r>
      <w:r w:rsidRPr="006571AC">
        <w:rPr>
          <w:rFonts w:cs="AL-Mohanad" w:hint="cs"/>
          <w:b/>
          <w:bCs/>
          <w:sz w:val="27"/>
          <w:szCs w:val="27"/>
          <w:rtl/>
        </w:rPr>
        <w:t>ي</w:t>
      </w:r>
      <w:r w:rsidRPr="006571AC">
        <w:rPr>
          <w:rFonts w:ascii="Sakkal Majalla" w:hAnsi="Sakkal Majalla" w:cs="AL-Mohanad" w:hint="cs"/>
          <w:b/>
          <w:b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 الروا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خبر</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واحد</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وه</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تعارض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خبار الأخر</w:t>
      </w:r>
      <w:r w:rsidR="004742C1" w:rsidRPr="006571AC">
        <w:rPr>
          <w:rFonts w:cs="AL-Mohanad" w:hint="cs"/>
          <w:sz w:val="27"/>
          <w:szCs w:val="27"/>
          <w:rtl/>
        </w:rPr>
        <w:t>ى</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بل تعارض ظاهر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مة</w:t>
      </w:r>
      <w:r w:rsidR="004742C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إ</w:t>
      </w:r>
      <w:r w:rsidRPr="006571AC">
        <w:rPr>
          <w:rFonts w:ascii="Sakkal Majalla" w:hAnsi="Sakkal Majalla" w:cs="AL-Mohanad"/>
          <w:sz w:val="27"/>
          <w:szCs w:val="27"/>
          <w:rtl/>
        </w:rPr>
        <w:t>ذ نر</w:t>
      </w:r>
      <w:r w:rsidR="004742C1"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ذكر</w:t>
      </w:r>
      <w:r w:rsidR="004742C1" w:rsidRPr="006571AC">
        <w:rPr>
          <w:rFonts w:ascii="Sakkal Majalla" w:hAnsi="Sakkal Majalla" w:cs="AL-Mohanad" w:hint="cs"/>
          <w:sz w:val="27"/>
          <w:szCs w:val="27"/>
          <w:rtl/>
        </w:rPr>
        <w:t>َ</w:t>
      </w:r>
      <w:r w:rsidRPr="006571AC">
        <w:rPr>
          <w:rFonts w:ascii="Sakkal Majalla" w:hAnsi="Sakkal Majalla" w:cs="AL-Mohanad" w:hint="cs"/>
          <w:sz w:val="27"/>
          <w:szCs w:val="27"/>
          <w:rtl/>
        </w:rPr>
        <w:t>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الذ</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عصم النب</w:t>
      </w:r>
      <w:r w:rsidRPr="006571AC">
        <w:rPr>
          <w:rFonts w:ascii="Sakkal Majalla" w:hAnsi="Sakkal Majalla" w:cs="AL-Mohanad" w:hint="cs"/>
          <w:sz w:val="27"/>
          <w:szCs w:val="27"/>
          <w:rtl/>
        </w:rPr>
        <w:t>ي</w:t>
      </w:r>
      <w:r w:rsidR="004742C1"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هو الله تعالى</w:t>
      </w:r>
      <w:r w:rsidR="004742C1"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hint="cs"/>
          <w:b/>
          <w:bCs/>
          <w:sz w:val="27"/>
          <w:szCs w:val="27"/>
          <w:rtl/>
        </w:rPr>
        <w:t>و</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الله</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cs="AL-Mohanad" w:hint="cs"/>
          <w:b/>
          <w:bCs/>
          <w:sz w:val="27"/>
          <w:szCs w:val="27"/>
          <w:rtl/>
        </w:rPr>
        <w:t>ي</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ع</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ص</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م</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ك</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ascii="Sakkal Majalla" w:hAnsi="Sakkal Majalla" w:cs="AL-Mohanad" w:hint="cs"/>
          <w:b/>
          <w:bCs/>
          <w:sz w:val="27"/>
          <w:szCs w:val="27"/>
          <w:rtl/>
        </w:rPr>
        <w:t>م</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ن</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ascii="Sakkal Majalla" w:hAnsi="Sakkal Majalla" w:cs="AL-Mohanad" w:hint="cs"/>
          <w:b/>
          <w:bCs/>
          <w:sz w:val="27"/>
          <w:szCs w:val="27"/>
          <w:rtl/>
        </w:rPr>
        <w:t>الن</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اس</w:t>
      </w:r>
      <w:r w:rsidR="004742C1" w:rsidRPr="006571AC">
        <w:rPr>
          <w:rFonts w:ascii="Sakkal Majalla" w:hAnsi="Sakkal Majalla" w:cs="AL-Mohanad" w:hint="cs"/>
          <w:b/>
          <w:bCs/>
          <w:sz w:val="27"/>
          <w:szCs w:val="27"/>
          <w:rtl/>
        </w:rPr>
        <w:t>ِ</w:t>
      </w:r>
      <w:r w:rsidRPr="006571AC">
        <w:rPr>
          <w:rFonts w:ascii="Mosawi" w:hAnsi="Mosawi" w:cs="Mosawi"/>
          <w:rtl/>
        </w:rPr>
        <w:t>﴾</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214DC" w:rsidRPr="006571AC">
        <w:rPr>
          <w:rFonts w:ascii="Sakkal Majalla" w:hAnsi="Sakkal Majalla" w:cs="AL-Mohanad" w:hint="cs"/>
          <w:sz w:val="27"/>
          <w:szCs w:val="27"/>
          <w:rtl/>
        </w:rPr>
        <w:t>بينما</w:t>
      </w:r>
      <w:r w:rsidRPr="006571AC">
        <w:rPr>
          <w:rFonts w:ascii="Sakkal Majalla" w:hAnsi="Sakkal Majalla" w:cs="AL-Mohanad" w:hint="cs"/>
          <w:sz w:val="27"/>
          <w:szCs w:val="27"/>
          <w:rtl/>
        </w:rPr>
        <w:t xml:space="preserve"> نجد ف</w:t>
      </w:r>
      <w:r w:rsidRPr="006571AC">
        <w:rPr>
          <w:rFonts w:cs="AL-Mohanad" w:hint="cs"/>
          <w:sz w:val="27"/>
          <w:szCs w:val="27"/>
          <w:rtl/>
        </w:rPr>
        <w:t>ي</w:t>
      </w:r>
      <w:r w:rsidRPr="006571AC">
        <w:rPr>
          <w:rFonts w:ascii="Sakkal Majalla" w:hAnsi="Sakkal Majalla" w:cs="AL-Mohanad" w:hint="cs"/>
          <w:sz w:val="27"/>
          <w:szCs w:val="27"/>
          <w:rtl/>
        </w:rPr>
        <w:t xml:space="preserve"> الروا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تأك</w:t>
      </w:r>
      <w:r w:rsidRPr="006571AC">
        <w:rPr>
          <w:rFonts w:cs="AL-Mohanad" w:hint="cs"/>
          <w:sz w:val="27"/>
          <w:szCs w:val="27"/>
          <w:rtl/>
        </w:rPr>
        <w:t>ي</w:t>
      </w:r>
      <w:r w:rsidRPr="006571AC">
        <w:rPr>
          <w:rFonts w:ascii="Sakkal Majalla" w:hAnsi="Sakkal Majalla" w:cs="AL-Mohanad" w:hint="cs"/>
          <w:sz w:val="27"/>
          <w:szCs w:val="27"/>
          <w:rtl/>
        </w:rPr>
        <w:t>د</w:t>
      </w:r>
      <w:r w:rsidR="004742C1"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مبالغ</w:t>
      </w:r>
      <w:r w:rsidR="004742C1"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أ</w:t>
      </w:r>
      <w:r w:rsidRPr="006571AC">
        <w:rPr>
          <w:rFonts w:ascii="Sakkal Majalla" w:hAnsi="Sakkal Majalla" w:cs="AL-Mohanad"/>
          <w:sz w:val="27"/>
          <w:szCs w:val="27"/>
          <w:rtl/>
        </w:rPr>
        <w:t>نّ الذ</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عصم النب</w:t>
      </w:r>
      <w:r w:rsidRPr="006571AC">
        <w:rPr>
          <w:rFonts w:ascii="Sakkal Majalla" w:hAnsi="Sakkal Majalla" w:cs="AL-Mohanad" w:hint="cs"/>
          <w:sz w:val="27"/>
          <w:szCs w:val="27"/>
          <w:rtl/>
        </w:rPr>
        <w:t>ي</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هو العب</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اس بن عبد المط</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لب</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وهذا </w:t>
      </w:r>
      <w:r w:rsidRPr="006571AC">
        <w:rPr>
          <w:rFonts w:cs="AL-Mohanad" w:hint="cs"/>
          <w:sz w:val="27"/>
          <w:szCs w:val="27"/>
          <w:rtl/>
        </w:rPr>
        <w:t>ي</w:t>
      </w:r>
      <w:r w:rsidRPr="006571AC">
        <w:rPr>
          <w:rFonts w:ascii="Sakkal Majalla" w:hAnsi="Sakkal Majalla" w:cs="AL-Mohanad" w:hint="cs"/>
          <w:sz w:val="27"/>
          <w:szCs w:val="27"/>
          <w:rtl/>
        </w:rPr>
        <w:t>شهد على أنّها موضوعة</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b/>
          <w:bCs/>
          <w:sz w:val="27"/>
          <w:szCs w:val="27"/>
          <w:rtl/>
        </w:rPr>
        <w:t xml:space="preserve">ثالثاً: </w:t>
      </w:r>
      <w:r w:rsidRPr="006571AC">
        <w:rPr>
          <w:rFonts w:ascii="Sakkal Majalla" w:hAnsi="Sakkal Majalla" w:cs="AL-Mohanad"/>
          <w:sz w:val="27"/>
          <w:szCs w:val="27"/>
          <w:rtl/>
        </w:rPr>
        <w:t>تقدّ</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م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نة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00A214DC" w:rsidRPr="006571AC">
        <w:rPr>
          <w:rFonts w:ascii="Sakkal Majalla" w:hAnsi="Sakkal Majalla" w:cs="AL-Mohanad" w:hint="cs"/>
          <w:sz w:val="27"/>
          <w:szCs w:val="27"/>
          <w:rtl/>
        </w:rPr>
        <w:t>أواخر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A214D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وعل</w:t>
      </w:r>
      <w:r w:rsidR="00A214D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ساس فه</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لا تنسجم مع ما ر</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حراسة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العب</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اس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w:t>
      </w:r>
      <w:r w:rsidRPr="006571AC">
        <w:rPr>
          <w:rFonts w:ascii="Sakkal Majalla" w:hAnsi="Sakkal Majalla" w:cs="AL-Mohanad" w:hint="cs"/>
          <w:sz w:val="27"/>
          <w:szCs w:val="27"/>
          <w:rtl/>
        </w:rPr>
        <w:t>أ</w:t>
      </w:r>
      <w:r w:rsidRPr="006571AC">
        <w:rPr>
          <w:rFonts w:ascii="Sakkal Majalla" w:hAnsi="Sakkal Majalla" w:cs="AL-Mohanad"/>
          <w:sz w:val="27"/>
          <w:szCs w:val="27"/>
          <w:rtl/>
        </w:rPr>
        <w:t>ب</w:t>
      </w:r>
      <w:r w:rsidR="00A214DC" w:rsidRPr="006571AC">
        <w:rPr>
          <w:rFonts w:ascii="Sakkal Majalla" w:hAnsi="Sakkal Majalla" w:cs="AL-Mohanad" w:hint="cs"/>
          <w:sz w:val="27"/>
          <w:szCs w:val="27"/>
          <w:rtl/>
        </w:rPr>
        <w:t xml:space="preserve">ي </w:t>
      </w:r>
      <w:r w:rsidRPr="006571AC">
        <w:rPr>
          <w:rFonts w:ascii="Sakkal Majalla" w:hAnsi="Sakkal Majalla" w:cs="AL-Mohanad"/>
          <w:sz w:val="27"/>
          <w:szCs w:val="27"/>
          <w:rtl/>
        </w:rPr>
        <w:t>طالب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الفترة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عاشها النب</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مك</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ة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كنف</w:t>
      </w:r>
      <w:r w:rsidRPr="006571AC">
        <w:rPr>
          <w:rFonts w:ascii="Sakkal Majalla" w:hAnsi="Sakkal Majalla" w:cs="AL-Mohanad"/>
          <w:sz w:val="27"/>
          <w:szCs w:val="27"/>
          <w:rtl/>
        </w:rPr>
        <w:t xml:space="preserve"> وحراسة عم</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w:t>
      </w:r>
      <w:r w:rsidRPr="006571AC">
        <w:rPr>
          <w:rFonts w:ascii="Sakkal Majalla" w:hAnsi="Sakkal Majalla" w:cs="AL-Mohanad" w:hint="cs"/>
          <w:sz w:val="27"/>
          <w:szCs w:val="27"/>
          <w:rtl/>
        </w:rPr>
        <w:t>أ</w:t>
      </w:r>
      <w:r w:rsidRPr="006571AC">
        <w:rPr>
          <w:rFonts w:ascii="Sakkal Majalla" w:hAnsi="Sakkal Majalla" w:cs="AL-Mohanad"/>
          <w:sz w:val="27"/>
          <w:szCs w:val="27"/>
          <w:rtl/>
        </w:rPr>
        <w:t>ب</w:t>
      </w:r>
      <w:r w:rsidR="00A214DC" w:rsidRPr="006571AC">
        <w:rPr>
          <w:rFonts w:ascii="Sakkal Majalla" w:hAnsi="Sakkal Majalla" w:cs="AL-Mohanad" w:hint="cs"/>
          <w:sz w:val="27"/>
          <w:szCs w:val="27"/>
          <w:rtl/>
        </w:rPr>
        <w:t xml:space="preserve">ي </w:t>
      </w:r>
      <w:r w:rsidRPr="006571AC">
        <w:rPr>
          <w:rFonts w:ascii="Sakkal Majalla" w:hAnsi="Sakkal Majalla" w:cs="AL-Mohanad"/>
          <w:sz w:val="27"/>
          <w:szCs w:val="27"/>
          <w:rtl/>
        </w:rPr>
        <w:t>طالب</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ولذل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حاول بعض علماء العامة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د</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مرت</w:t>
      </w:r>
      <w:r w:rsidRPr="006571AC">
        <w:rPr>
          <w:rFonts w:cs="AL-Mohanad" w:hint="cs"/>
          <w:sz w:val="27"/>
          <w:szCs w:val="27"/>
          <w:rtl/>
        </w:rPr>
        <w:t>ي</w:t>
      </w:r>
      <w:r w:rsidRPr="006571AC">
        <w:rPr>
          <w:rFonts w:ascii="Sakkal Majalla" w:hAnsi="Sakkal Majalla" w:cs="AL-Mohanad" w:hint="cs"/>
          <w:sz w:val="27"/>
          <w:szCs w:val="27"/>
          <w:rtl/>
        </w:rPr>
        <w:t>ن</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مر</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بدء البعثة عند حراسته</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والمرة الثان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00A214DC" w:rsidRPr="006571AC">
        <w:rPr>
          <w:rFonts w:ascii="Sakkal Majalla" w:hAnsi="Sakkal Majalla" w:cs="AL-Mohanad" w:hint="cs"/>
          <w:sz w:val="27"/>
          <w:szCs w:val="27"/>
          <w:rtl/>
        </w:rPr>
        <w:t>أواخر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اته</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91"/>
      </w:r>
      <w:r w:rsidRPr="006571AC">
        <w:rPr>
          <w:rFonts w:ascii="Sakkal Majalla" w:hAnsi="Sakkal Majalla" w:cs="AL-Mohanad"/>
          <w:sz w:val="27"/>
          <w:szCs w:val="27"/>
          <w:vertAlign w:val="superscript"/>
          <w:rtl/>
        </w:rPr>
        <w:t>)</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إ</w:t>
      </w:r>
      <w:r w:rsidR="003C2639" w:rsidRPr="006571AC">
        <w:rPr>
          <w:rFonts w:ascii="Sakkal Majalla" w:hAnsi="Sakkal Majalla" w:cs="AL-Mohanad"/>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هذه المحاولة لا</w:t>
      </w:r>
      <w:r w:rsidR="00A214DC" w:rsidRPr="006571AC">
        <w:rPr>
          <w:rFonts w:ascii="Sakkal Majalla" w:hAnsi="Sakkal Majalla" w:cs="AL-Mohanad" w:hint="cs"/>
          <w:sz w:val="27"/>
          <w:szCs w:val="27"/>
          <w:rtl/>
        </w:rPr>
        <w:t xml:space="preserve"> </w:t>
      </w:r>
      <w:r w:rsidRPr="006571AC">
        <w:rPr>
          <w:rFonts w:ascii="Sakkal Majalla" w:hAnsi="Sakkal Majalla" w:cs="AL-Mohanad"/>
          <w:sz w:val="27"/>
          <w:szCs w:val="27"/>
          <w:rtl/>
        </w:rPr>
        <w:t>تجد</w:t>
      </w:r>
      <w:r w:rsidRPr="006571AC">
        <w:rPr>
          <w:rFonts w:cs="AL-Mohanad" w:hint="cs"/>
          <w:sz w:val="27"/>
          <w:szCs w:val="27"/>
          <w:rtl/>
        </w:rPr>
        <w:t>ي</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المقام نفعاً</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الله تعالى </w:t>
      </w:r>
      <w:r w:rsidRPr="006571AC">
        <w:rPr>
          <w:rFonts w:ascii="Sakkal Majalla" w:hAnsi="Sakkal Majalla" w:cs="AL-Mohanad" w:hint="cs"/>
          <w:sz w:val="27"/>
          <w:szCs w:val="27"/>
          <w:rtl/>
        </w:rPr>
        <w:t>قد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ضمن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هذه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لنب</w:t>
      </w:r>
      <w:r w:rsidRPr="006571AC">
        <w:rPr>
          <w:rFonts w:cs="AL-Mohanad" w:hint="cs"/>
          <w:sz w:val="27"/>
          <w:szCs w:val="27"/>
          <w:rtl/>
        </w:rPr>
        <w:t>ي</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الحما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والعصمة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فلو كانت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نازلة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ول البعثة لما </w:t>
      </w:r>
      <w:r w:rsidRPr="006571AC">
        <w:rPr>
          <w:rFonts w:ascii="Sakkal Majalla" w:hAnsi="Sakkal Majalla" w:cs="AL-Mohanad" w:hint="cs"/>
          <w:sz w:val="27"/>
          <w:szCs w:val="27"/>
          <w:rtl/>
        </w:rPr>
        <w:t>ا</w:t>
      </w:r>
      <w:r w:rsidRPr="006571AC">
        <w:rPr>
          <w:rFonts w:ascii="Sakkal Majalla" w:hAnsi="Sakkal Majalla" w:cs="AL-Mohanad"/>
          <w:sz w:val="27"/>
          <w:szCs w:val="27"/>
          <w:rtl/>
        </w:rPr>
        <w:t>حتاج النب</w:t>
      </w:r>
      <w:r w:rsidRPr="006571AC">
        <w:rPr>
          <w:rFonts w:ascii="Sakkal Majalla" w:hAnsi="Sakkal Majalla" w:cs="AL-Mohanad" w:hint="cs"/>
          <w:sz w:val="27"/>
          <w:szCs w:val="27"/>
          <w:rtl/>
        </w:rPr>
        <w:t>ي</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نة</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م</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ن</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حم</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ول</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خبرهم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الله تعالى </w:t>
      </w:r>
      <w:r w:rsidRPr="006571AC">
        <w:rPr>
          <w:rFonts w:ascii="Sakkal Majalla" w:hAnsi="Sakkal Majalla" w:cs="AL-Mohanad" w:hint="cs"/>
          <w:sz w:val="27"/>
          <w:szCs w:val="27"/>
          <w:rtl/>
        </w:rPr>
        <w:t>وعده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مك</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ة بالحفظ والعصمة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فلا داع</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حموه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عداء؛ وبعبارة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أخر</w:t>
      </w:r>
      <w:r w:rsidR="00A214D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w:t>
      </w:r>
      <w:r w:rsidR="00A214DC" w:rsidRPr="006571AC">
        <w:rPr>
          <w:rFonts w:ascii="Sakkal Majalla" w:hAnsi="Sakkal Majalla" w:cs="AL-Mohanad" w:hint="cs"/>
          <w:sz w:val="27"/>
          <w:szCs w:val="27"/>
          <w:rtl/>
        </w:rPr>
        <w:t>ا</w:t>
      </w:r>
      <w:r w:rsidRPr="006571AC">
        <w:rPr>
          <w:rFonts w:ascii="Sakkal Majalla" w:hAnsi="Sakkal Majalla" w:cs="AL-Mohanad"/>
          <w:sz w:val="27"/>
          <w:szCs w:val="27"/>
          <w:rtl/>
        </w:rPr>
        <w:t>نتف</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ت</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الحاجة إلى </w:t>
      </w:r>
      <w:r w:rsidRPr="006571AC">
        <w:rPr>
          <w:rFonts w:ascii="Sakkal Majalla" w:hAnsi="Sakkal Majalla" w:cs="AL-Mohanad" w:hint="cs"/>
          <w:sz w:val="27"/>
          <w:szCs w:val="27"/>
          <w:rtl/>
        </w:rPr>
        <w:t>إ</w:t>
      </w:r>
      <w:r w:rsidR="00A214DC" w:rsidRPr="006571AC">
        <w:rPr>
          <w:rFonts w:ascii="Sakkal Majalla" w:hAnsi="Sakkal Majalla" w:cs="AL-Mohanad"/>
          <w:sz w:val="27"/>
          <w:szCs w:val="27"/>
          <w:rtl/>
        </w:rPr>
        <w:t>نزال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ثان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نة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ولهذا </w:t>
      </w:r>
      <w:r w:rsidRPr="006571AC">
        <w:rPr>
          <w:rFonts w:ascii="Sakkal Majalla" w:hAnsi="Sakkal Majalla" w:cs="AL-Mohanad" w:hint="cs"/>
          <w:sz w:val="27"/>
          <w:szCs w:val="27"/>
          <w:rtl/>
        </w:rPr>
        <w:t>ف</w:t>
      </w:r>
      <w:r w:rsidRPr="006571AC">
        <w:rPr>
          <w:rFonts w:ascii="Sakkal Majalla" w:hAnsi="Sakkal Majalla" w:cs="AL-Mohanad"/>
          <w:sz w:val="27"/>
          <w:szCs w:val="27"/>
          <w:rtl/>
        </w:rPr>
        <w:t>القول بنزول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ت</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غ</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صائب</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p>
    <w:p w:rsidR="005D05A4" w:rsidRPr="006571AC" w:rsidRDefault="005D05A4" w:rsidP="00FB4949">
      <w:pPr>
        <w:pStyle w:val="af"/>
        <w:spacing w:line="420" w:lineRule="exact"/>
        <w:rPr>
          <w:rFonts w:ascii="Sakkal Majalla" w:hAnsi="Sakkal Majalla" w:cs="AL-Mohanad"/>
          <w:sz w:val="27"/>
          <w:szCs w:val="27"/>
          <w:rtl/>
        </w:rPr>
      </w:pPr>
    </w:p>
    <w:p w:rsidR="005D05A4" w:rsidRPr="006571AC" w:rsidRDefault="006C3FDF" w:rsidP="00A214DC">
      <w:pPr>
        <w:pStyle w:val="31"/>
        <w:rPr>
          <w:color w:val="auto"/>
          <w:rtl/>
        </w:rPr>
      </w:pPr>
      <w:bookmarkStart w:id="170" w:name="_Toc114164658"/>
      <w:r w:rsidRPr="006571AC">
        <w:rPr>
          <w:rFonts w:hint="cs"/>
          <w:color w:val="auto"/>
          <w:rtl/>
        </w:rPr>
        <w:t>ز ـ</w:t>
      </w:r>
      <w:r w:rsidR="005D05A4" w:rsidRPr="006571AC">
        <w:rPr>
          <w:color w:val="auto"/>
          <w:rtl/>
        </w:rPr>
        <w:t xml:space="preserve"> </w:t>
      </w:r>
      <w:r w:rsidRPr="006571AC">
        <w:rPr>
          <w:rFonts w:hint="cs"/>
          <w:color w:val="auto"/>
          <w:rtl/>
        </w:rPr>
        <w:t xml:space="preserve">الحماية من </w:t>
      </w:r>
      <w:r w:rsidR="005D05A4" w:rsidRPr="006571AC">
        <w:rPr>
          <w:rFonts w:hint="cs"/>
          <w:color w:val="auto"/>
          <w:rtl/>
        </w:rPr>
        <w:t>كفّار</w:t>
      </w:r>
      <w:r w:rsidR="005D05A4" w:rsidRPr="006571AC">
        <w:rPr>
          <w:color w:val="auto"/>
          <w:rtl/>
        </w:rPr>
        <w:t xml:space="preserve"> </w:t>
      </w:r>
      <w:r w:rsidR="005D05A4" w:rsidRPr="006571AC">
        <w:rPr>
          <w:rFonts w:hint="cs"/>
          <w:color w:val="auto"/>
          <w:rtl/>
        </w:rPr>
        <w:t>قريش</w:t>
      </w:r>
      <w:bookmarkEnd w:id="170"/>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ذكر بعض مفس</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ر</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العامة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كالزمخشر</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والراز</w:t>
      </w:r>
      <w:r w:rsidRPr="006571AC">
        <w:rPr>
          <w:rFonts w:ascii="Sakkal Majalla" w:hAnsi="Sakkal Majalla" w:cs="AL-Mohanad" w:hint="cs"/>
          <w:sz w:val="27"/>
          <w:szCs w:val="27"/>
          <w:rtl/>
        </w:rPr>
        <w:t>ي</w:t>
      </w:r>
      <w:r w:rsidR="001413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تفس</w:t>
      </w:r>
      <w:r w:rsidRPr="006571AC">
        <w:rPr>
          <w:rFonts w:cs="AL-Mohanad" w:hint="cs"/>
          <w:sz w:val="27"/>
          <w:szCs w:val="27"/>
          <w:rtl/>
        </w:rPr>
        <w:t>ي</w:t>
      </w:r>
      <w:r w:rsidRPr="006571AC">
        <w:rPr>
          <w:rFonts w:ascii="Sakkal Majalla" w:hAnsi="Sakkal Majalla" w:cs="AL-Mohanad" w:hint="cs"/>
          <w:sz w:val="27"/>
          <w:szCs w:val="27"/>
          <w:rtl/>
        </w:rPr>
        <w:t>راً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آخر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001413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فقالوا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إن</w:t>
      </w:r>
      <w:r w:rsidRPr="006571AC">
        <w:rPr>
          <w:rFonts w:ascii="Sakkal Majalla" w:hAnsi="Sakkal Majalla" w:cs="AL-Mohanad"/>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كان </w:t>
      </w:r>
      <w:r w:rsidRPr="006571AC">
        <w:rPr>
          <w:rFonts w:cs="AL-Mohanad" w:hint="cs"/>
          <w:sz w:val="27"/>
          <w:szCs w:val="27"/>
          <w:rtl/>
        </w:rPr>
        <w:t>ي</w:t>
      </w:r>
      <w:r w:rsidRPr="006571AC">
        <w:rPr>
          <w:rFonts w:ascii="Sakkal Majalla" w:hAnsi="Sakkal Majalla" w:cs="AL-Mohanad" w:hint="cs"/>
          <w:sz w:val="27"/>
          <w:szCs w:val="27"/>
          <w:rtl/>
        </w:rPr>
        <w:t>هاب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الرسالة، </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hint="cs"/>
          <w:sz w:val="27"/>
          <w:szCs w:val="27"/>
          <w:rtl/>
        </w:rPr>
        <w:t>خش</w:t>
      </w:r>
      <w:r w:rsidR="00337D37"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صل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سوء</w:t>
      </w:r>
      <w:r w:rsidR="008A57EC" w:rsidRPr="006571AC">
        <w:rPr>
          <w:rFonts w:ascii="Sakkal Majalla" w:hAnsi="Sakkal Majalla" w:cs="AL-Mohanad" w:hint="cs"/>
          <w:sz w:val="27"/>
          <w:szCs w:val="27"/>
          <w:rtl/>
        </w:rPr>
        <w:t>ٌ</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فأ</w:t>
      </w:r>
      <w:r w:rsidRPr="006571AC">
        <w:rPr>
          <w:rFonts w:ascii="Sakkal Majalla" w:hAnsi="Sakkal Majalla" w:cs="AL-Mohanad"/>
          <w:sz w:val="27"/>
          <w:szCs w:val="27"/>
          <w:rtl/>
        </w:rPr>
        <w:t xml:space="preserve">نزل الله تعالى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طمئنه</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عده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بالحفظ</w:t>
      </w:r>
      <w:r w:rsidRPr="006571AC">
        <w:rPr>
          <w:rFonts w:ascii="Sakkal Majalla" w:hAnsi="Sakkal Majalla" w:cs="AL-Mohanad"/>
          <w:sz w:val="27"/>
          <w:szCs w:val="27"/>
          <w:rtl/>
        </w:rPr>
        <w:t xml:space="preserve"> والعصمة والحما</w:t>
      </w:r>
      <w:r w:rsidRPr="006571AC">
        <w:rPr>
          <w:rFonts w:cs="AL-Mohanad" w:hint="cs"/>
          <w:sz w:val="27"/>
          <w:szCs w:val="27"/>
          <w:rtl/>
        </w:rPr>
        <w:t>ي</w:t>
      </w:r>
      <w:r w:rsidRPr="006571AC">
        <w:rPr>
          <w:rFonts w:ascii="Sakkal Majalla" w:hAnsi="Sakkal Majalla" w:cs="AL-Mohanad" w:hint="cs"/>
          <w:sz w:val="27"/>
          <w:szCs w:val="27"/>
          <w:rtl/>
        </w:rPr>
        <w:t>ة</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حذ</w:t>
      </w:r>
      <w:r w:rsidR="004442AE" w:rsidRPr="006571AC">
        <w:rPr>
          <w:rFonts w:ascii="Sakkal Majalla" w:hAnsi="Sakkal Majalla" w:cs="AL-Mohanad" w:hint="cs"/>
          <w:sz w:val="27"/>
          <w:szCs w:val="27"/>
          <w:rtl/>
        </w:rPr>
        <w:t>ِّ</w:t>
      </w:r>
      <w:r w:rsidRPr="006571AC">
        <w:rPr>
          <w:rFonts w:ascii="Sakkal Majalla" w:hAnsi="Sakkal Majalla" w:cs="AL-Mohanad" w:hint="cs"/>
          <w:sz w:val="27"/>
          <w:szCs w:val="27"/>
          <w:rtl/>
        </w:rPr>
        <w:t>ره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 ال</w:t>
      </w:r>
      <w:r w:rsidRPr="006571AC">
        <w:rPr>
          <w:rFonts w:ascii="Sakkal Majalla" w:hAnsi="Sakkal Majalla" w:cs="AL-Mohanad"/>
          <w:sz w:val="27"/>
          <w:szCs w:val="27"/>
          <w:rtl/>
        </w:rPr>
        <w:t>تسام</w:t>
      </w:r>
      <w:r w:rsidRPr="006571AC">
        <w:rPr>
          <w:rFonts w:ascii="Sakkal Majalla" w:hAnsi="Sakkal Majalla" w:cs="AL-Mohanad" w:hint="cs"/>
          <w:sz w:val="27"/>
          <w:szCs w:val="27"/>
          <w:rtl/>
        </w:rPr>
        <w:t>ح</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الرسالة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4442AE" w:rsidRPr="006571AC">
        <w:rPr>
          <w:rFonts w:ascii="Sakkal Majalla" w:hAnsi="Sakkal Majalla" w:cs="AL-Mohanad" w:hint="cs"/>
          <w:sz w:val="27"/>
          <w:szCs w:val="27"/>
          <w:rtl/>
        </w:rPr>
        <w:t>إ</w:t>
      </w:r>
      <w:r w:rsidRPr="006571AC">
        <w:rPr>
          <w:rFonts w:ascii="Sakkal Majalla" w:hAnsi="Sakkal Majalla" w:cs="AL-Mohanad" w:hint="cs"/>
          <w:sz w:val="27"/>
          <w:szCs w:val="27"/>
          <w:rtl/>
        </w:rPr>
        <w:t>له</w:t>
      </w:r>
      <w:r w:rsidRPr="006571AC">
        <w:rPr>
          <w:rFonts w:cs="AL-Mohanad" w:hint="cs"/>
          <w:sz w:val="27"/>
          <w:szCs w:val="27"/>
          <w:rtl/>
        </w:rPr>
        <w:t>ي</w:t>
      </w:r>
      <w:r w:rsidRPr="006571AC">
        <w:rPr>
          <w:rFonts w:ascii="Sakkal Majalla" w:hAnsi="Sakkal Majalla" w:cs="AL-Mohanad" w:hint="cs"/>
          <w:sz w:val="27"/>
          <w:szCs w:val="27"/>
          <w:rtl/>
        </w:rPr>
        <w:t>ة</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خش</w:t>
      </w:r>
      <w:r w:rsidRPr="006571AC">
        <w:rPr>
          <w:rFonts w:cs="AL-Mohanad" w:hint="cs"/>
          <w:sz w:val="27"/>
          <w:szCs w:val="27"/>
          <w:rtl/>
        </w:rPr>
        <w:t>ي</w:t>
      </w:r>
      <w:r w:rsidRPr="006571AC">
        <w:rPr>
          <w:rFonts w:ascii="Sakkal Majalla" w:hAnsi="Sakkal Majalla" w:cs="AL-Mohanad" w:hint="cs"/>
          <w:sz w:val="27"/>
          <w:szCs w:val="27"/>
          <w:rtl/>
        </w:rPr>
        <w:t>ة</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وخوفاً من قر</w:t>
      </w:r>
      <w:r w:rsidRPr="006571AC">
        <w:rPr>
          <w:rFonts w:cs="AL-Mohanad" w:hint="cs"/>
          <w:sz w:val="27"/>
          <w:szCs w:val="27"/>
          <w:rtl/>
        </w:rPr>
        <w:t>ي</w:t>
      </w:r>
      <w:r w:rsidRPr="006571AC">
        <w:rPr>
          <w:rFonts w:ascii="Sakkal Majalla" w:hAnsi="Sakkal Majalla" w:cs="AL-Mohanad" w:hint="cs"/>
          <w:sz w:val="27"/>
          <w:szCs w:val="27"/>
          <w:rtl/>
        </w:rPr>
        <w:t>ش</w:t>
      </w:r>
      <w:r w:rsidRPr="006571AC">
        <w:rPr>
          <w:rFonts w:ascii="Sakkal Majalla" w:hAnsi="Sakkal Majalla" w:cs="AL-Mohanad"/>
          <w:sz w:val="27"/>
          <w:szCs w:val="27"/>
          <w:rtl/>
        </w:rPr>
        <w:t xml:space="preserve"> والمشرك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92"/>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6C3FDF" w:rsidRPr="006571AC" w:rsidRDefault="006C3FDF" w:rsidP="00FB4949">
      <w:pPr>
        <w:pStyle w:val="af"/>
        <w:spacing w:line="430" w:lineRule="exact"/>
        <w:rPr>
          <w:rFonts w:ascii="Sakkal Majalla" w:hAnsi="Sakkal Majalla" w:cs="AL-Mohanad"/>
          <w:sz w:val="27"/>
          <w:szCs w:val="27"/>
          <w:rtl/>
        </w:rPr>
      </w:pPr>
    </w:p>
    <w:p w:rsidR="005D05A4" w:rsidRPr="006571AC" w:rsidRDefault="00F62067" w:rsidP="00F62067">
      <w:pPr>
        <w:pStyle w:val="31"/>
        <w:rPr>
          <w:color w:val="auto"/>
          <w:rtl/>
        </w:rPr>
      </w:pPr>
      <w:bookmarkStart w:id="171" w:name="_Toc114164659"/>
      <w:r w:rsidRPr="006571AC">
        <w:rPr>
          <w:rFonts w:hint="cs"/>
          <w:color w:val="auto"/>
          <w:rtl/>
        </w:rPr>
        <w:t>نقضٌ ورفض</w:t>
      </w:r>
      <w:bookmarkEnd w:id="171"/>
      <w:r w:rsidR="005D05A4" w:rsidRPr="006571AC">
        <w:rPr>
          <w:color w:val="auto"/>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hint="cs"/>
          <w:b/>
          <w:bCs/>
          <w:sz w:val="27"/>
          <w:szCs w:val="27"/>
          <w:rtl/>
        </w:rPr>
        <w:t xml:space="preserve"> أ</w:t>
      </w:r>
      <w:r w:rsidRPr="006571AC">
        <w:rPr>
          <w:rFonts w:ascii="Sakkal Majalla" w:hAnsi="Sakkal Majalla" w:cs="AL-Mohanad"/>
          <w:b/>
          <w:bCs/>
          <w:sz w:val="27"/>
          <w:szCs w:val="27"/>
          <w:rtl/>
        </w:rPr>
        <w:t>و</w:t>
      </w:r>
      <w:r w:rsidR="004442AE"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لاً: </w:t>
      </w:r>
      <w:r w:rsidR="004442AE" w:rsidRPr="006571AC">
        <w:rPr>
          <w:rFonts w:ascii="Sakkal Majalla" w:hAnsi="Sakkal Majalla" w:cs="AL-Mohanad" w:hint="cs"/>
          <w:sz w:val="27"/>
          <w:szCs w:val="27"/>
          <w:rtl/>
        </w:rPr>
        <w:t>إ</w:t>
      </w:r>
      <w:r w:rsidRPr="006571AC">
        <w:rPr>
          <w:rFonts w:ascii="Sakkal Majalla" w:hAnsi="Sakkal Majalla" w:cs="AL-Mohanad"/>
          <w:sz w:val="27"/>
          <w:szCs w:val="27"/>
          <w:rtl/>
        </w:rPr>
        <w:t>نّ الرسول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ـ كما </w:t>
      </w:r>
      <w:r w:rsidRPr="006571AC">
        <w:rPr>
          <w:rFonts w:ascii="Sakkal Majalla" w:hAnsi="Sakkal Majalla" w:cs="AL-Mohanad" w:hint="cs"/>
          <w:sz w:val="27"/>
          <w:szCs w:val="27"/>
          <w:rtl/>
        </w:rPr>
        <w:t>أ</w:t>
      </w:r>
      <w:r w:rsidRPr="006571AC">
        <w:rPr>
          <w:rFonts w:ascii="Sakkal Majalla" w:hAnsi="Sakkal Majalla" w:cs="AL-Mohanad"/>
          <w:sz w:val="27"/>
          <w:szCs w:val="27"/>
          <w:rtl/>
        </w:rPr>
        <w:t>شارت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مة</w:t>
      </w:r>
      <w:r w:rsidRPr="006571AC">
        <w:rPr>
          <w:rFonts w:ascii="Sakkal Majalla" w:hAnsi="Sakkal Majalla" w:cs="AL-Mohanad"/>
          <w:sz w:val="27"/>
          <w:szCs w:val="27"/>
          <w:rtl/>
        </w:rPr>
        <w:t xml:space="preserve"> ـ كان مأموراً 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رسالة</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مهم</w:t>
      </w:r>
      <w:r w:rsidR="004442AE"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تعادل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والقوان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جاء بها ط</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23</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سنة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الرسال</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hint="cs"/>
          <w:sz w:val="27"/>
          <w:szCs w:val="27"/>
          <w:rtl/>
        </w:rPr>
        <w:t>جب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نعلم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كثر التشر</w:t>
      </w:r>
      <w:r w:rsidRPr="006571AC">
        <w:rPr>
          <w:rFonts w:cs="AL-Mohanad" w:hint="cs"/>
          <w:sz w:val="27"/>
          <w:szCs w:val="27"/>
          <w:rtl/>
        </w:rPr>
        <w:t>ي</w:t>
      </w:r>
      <w:r w:rsidRPr="006571AC">
        <w:rPr>
          <w:rFonts w:ascii="Sakkal Majalla" w:hAnsi="Sakkal Majalla" w:cs="AL-Mohanad" w:hint="cs"/>
          <w:sz w:val="27"/>
          <w:szCs w:val="27"/>
          <w:rtl/>
        </w:rPr>
        <w:t>عات</w:t>
      </w:r>
      <w:r w:rsidRPr="006571AC">
        <w:rPr>
          <w:rFonts w:ascii="Sakkal Majalla" w:hAnsi="Sakkal Majalla" w:cs="AL-Mohanad"/>
          <w:sz w:val="27"/>
          <w:szCs w:val="27"/>
          <w:rtl/>
        </w:rPr>
        <w:t xml:space="preserve"> والقوان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ش</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ر</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ع</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ت</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ق</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ب</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ل الله تعال</w:t>
      </w:r>
      <w:r w:rsidR="004442AE" w:rsidRPr="006571AC">
        <w:rPr>
          <w:rFonts w:cs="AL-Mohanad" w:hint="cs"/>
          <w:sz w:val="27"/>
          <w:szCs w:val="27"/>
          <w:rtl/>
        </w:rPr>
        <w:t>ى</w:t>
      </w:r>
      <w:r w:rsidR="004442AE"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قد كانت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الفترة المدن</w:t>
      </w:r>
      <w:r w:rsidRPr="006571AC">
        <w:rPr>
          <w:rFonts w:cs="AL-Mohanad" w:hint="cs"/>
          <w:sz w:val="27"/>
          <w:szCs w:val="27"/>
          <w:rtl/>
        </w:rPr>
        <w:t>ي</w:t>
      </w:r>
      <w:r w:rsidRPr="006571AC">
        <w:rPr>
          <w:rFonts w:ascii="Sakkal Majalla" w:hAnsi="Sakkal Majalla" w:cs="AL-Mohanad" w:hint="cs"/>
          <w:sz w:val="27"/>
          <w:szCs w:val="27"/>
          <w:rtl/>
        </w:rPr>
        <w:t>ة</w:t>
      </w:r>
      <w:r w:rsidR="004442AE"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أ</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الوقت الذ</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هاجر 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4442AE"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المد</w:t>
      </w:r>
      <w:r w:rsidRPr="006571AC">
        <w:rPr>
          <w:rFonts w:cs="AL-Mohanad" w:hint="cs"/>
          <w:sz w:val="27"/>
          <w:szCs w:val="27"/>
          <w:rtl/>
        </w:rPr>
        <w:t>ي</w:t>
      </w:r>
      <w:r w:rsidRPr="006571AC">
        <w:rPr>
          <w:rFonts w:ascii="Sakkal Majalla" w:hAnsi="Sakkal Majalla" w:cs="AL-Mohanad" w:hint="cs"/>
          <w:sz w:val="27"/>
          <w:szCs w:val="27"/>
          <w:rtl/>
        </w:rPr>
        <w:t xml:space="preserve">نة، </w:t>
      </w:r>
      <w:r w:rsidRPr="006571AC">
        <w:rPr>
          <w:rFonts w:ascii="Sakkal Majalla" w:hAnsi="Sakkal Majalla" w:cs="AL-Mohanad"/>
          <w:sz w:val="27"/>
          <w:szCs w:val="27"/>
          <w:rtl/>
        </w:rPr>
        <w:t>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lastRenderedPageBreak/>
        <w:t>أ</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ت</w:t>
      </w:r>
      <w:r w:rsidRPr="006571AC">
        <w:rPr>
          <w:rFonts w:cs="AL-Mohanad" w:hint="cs"/>
          <w:sz w:val="27"/>
          <w:szCs w:val="27"/>
          <w:rtl/>
        </w:rPr>
        <w:t>ي</w:t>
      </w:r>
      <w:r w:rsidRPr="006571AC">
        <w:rPr>
          <w:rFonts w:ascii="Sakkal Majalla" w:hAnsi="Sakkal Majalla" w:cs="AL-Mohanad" w:hint="cs"/>
          <w:sz w:val="27"/>
          <w:szCs w:val="27"/>
          <w:rtl/>
        </w:rPr>
        <w:t>ح</w:t>
      </w:r>
      <w:r w:rsidR="008A57EC" w:rsidRPr="006571AC">
        <w:rPr>
          <w:rFonts w:ascii="Sakkal Majalla" w:hAnsi="Sakkal Majalla" w:cs="AL-Mohanad" w:hint="cs"/>
          <w:sz w:val="27"/>
          <w:szCs w:val="27"/>
          <w:rtl/>
        </w:rPr>
        <w:t>َ</w:t>
      </w:r>
      <w:r w:rsidRPr="006571AC">
        <w:rPr>
          <w:rFonts w:ascii="Sakkal Majalla" w:hAnsi="Sakkal Majalla" w:cs="AL-Mohanad" w:hint="cs"/>
          <w:sz w:val="27"/>
          <w:szCs w:val="27"/>
          <w:rtl/>
        </w:rPr>
        <w:t>ت</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الفرصة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لنشر</w:t>
      </w:r>
      <w:r w:rsidRPr="006571AC">
        <w:rPr>
          <w:rFonts w:ascii="Sakkal Majalla" w:hAnsi="Sakkal Majalla" w:cs="AL-Mohanad"/>
          <w:sz w:val="27"/>
          <w:szCs w:val="27"/>
          <w:rtl/>
        </w:rPr>
        <w:t xml:space="preserve"> وتبل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الد</w:t>
      </w:r>
      <w:r w:rsidRPr="006571AC">
        <w:rPr>
          <w:rFonts w:cs="AL-Mohanad" w:hint="cs"/>
          <w:sz w:val="27"/>
          <w:szCs w:val="27"/>
          <w:rtl/>
        </w:rPr>
        <w:t>ي</w:t>
      </w:r>
      <w:r w:rsidRPr="006571AC">
        <w:rPr>
          <w:rFonts w:ascii="Sakkal Majalla" w:hAnsi="Sakkal Majalla" w:cs="AL-Mohanad" w:hint="cs"/>
          <w:sz w:val="27"/>
          <w:szCs w:val="27"/>
          <w:rtl/>
        </w:rPr>
        <w:t>ن</w:t>
      </w:r>
      <w:r w:rsidR="004442AE" w:rsidRPr="006571AC">
        <w:rPr>
          <w:rFonts w:ascii="Sakkal Majalla" w:hAnsi="Sakkal Majalla" w:cs="AL-Mohanad"/>
          <w:sz w:val="27"/>
          <w:szCs w:val="27"/>
          <w:rtl/>
        </w:rPr>
        <w:t xml:space="preserve"> والرسالة ا</w:t>
      </w:r>
      <w:r w:rsidR="004442AE" w:rsidRPr="006571AC">
        <w:rPr>
          <w:rFonts w:ascii="Sakkal Majalla" w:hAnsi="Sakkal Majalla" w:cs="AL-Mohanad" w:hint="cs"/>
          <w:sz w:val="27"/>
          <w:szCs w:val="27"/>
          <w:rtl/>
        </w:rPr>
        <w:t>لإ</w:t>
      </w:r>
      <w:r w:rsidRPr="006571AC">
        <w:rPr>
          <w:rFonts w:ascii="Sakkal Majalla" w:hAnsi="Sakkal Majalla" w:cs="AL-Mohanad"/>
          <w:sz w:val="27"/>
          <w:szCs w:val="27"/>
          <w:rtl/>
        </w:rPr>
        <w:t>له</w:t>
      </w:r>
      <w:r w:rsidRPr="006571AC">
        <w:rPr>
          <w:rFonts w:cs="AL-Mohanad" w:hint="cs"/>
          <w:sz w:val="27"/>
          <w:szCs w:val="27"/>
          <w:rtl/>
        </w:rPr>
        <w:t>ي</w:t>
      </w:r>
      <w:r w:rsidRPr="006571AC">
        <w:rPr>
          <w:rFonts w:ascii="Sakkal Majalla" w:hAnsi="Sakkal Majalla" w:cs="AL-Mohanad" w:hint="cs"/>
          <w:sz w:val="27"/>
          <w:szCs w:val="27"/>
          <w:rtl/>
        </w:rPr>
        <w:t>ة، أ</w:t>
      </w:r>
      <w:r w:rsidRPr="006571AC">
        <w:rPr>
          <w:rFonts w:ascii="Sakkal Majalla" w:hAnsi="Sakkal Majalla" w:cs="AL-Mohanad"/>
          <w:sz w:val="27"/>
          <w:szCs w:val="27"/>
          <w:rtl/>
        </w:rPr>
        <w:t>مّا الفترة المك</w:t>
      </w:r>
      <w:r w:rsidR="004442AE"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عاش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مك</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ة المكر</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مة</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وب</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د</w:t>
      </w:r>
      <w:r w:rsidR="004442AE" w:rsidRPr="006571AC">
        <w:rPr>
          <w:rFonts w:cs="AL-Mohanad" w:hint="cs"/>
          <w:sz w:val="27"/>
          <w:szCs w:val="27"/>
          <w:rtl/>
        </w:rPr>
        <w:t>َ</w:t>
      </w:r>
      <w:r w:rsidRPr="006571AC">
        <w:rPr>
          <w:rFonts w:cs="AL-Mohanad" w:hint="cs"/>
          <w:sz w:val="27"/>
          <w:szCs w:val="27"/>
          <w:rtl/>
        </w:rPr>
        <w:t>ي</w:t>
      </w:r>
      <w:r w:rsidR="004442AE"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قر</w:t>
      </w:r>
      <w:r w:rsidR="004442AE" w:rsidRPr="006571AC">
        <w:rPr>
          <w:rFonts w:ascii="Sakkal Majalla" w:hAnsi="Sakkal Majalla" w:cs="AL-Mohanad" w:hint="cs"/>
          <w:sz w:val="27"/>
          <w:szCs w:val="27"/>
          <w:rtl/>
        </w:rPr>
        <w:t>يش،</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فهو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سنّ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قوان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وتشر</w:t>
      </w:r>
      <w:r w:rsidRPr="006571AC">
        <w:rPr>
          <w:rFonts w:cs="AL-Mohanad" w:hint="cs"/>
          <w:sz w:val="27"/>
          <w:szCs w:val="27"/>
          <w:rtl/>
        </w:rPr>
        <w:t>ي</w:t>
      </w:r>
      <w:r w:rsidRPr="006571AC">
        <w:rPr>
          <w:rFonts w:ascii="Sakkal Majalla" w:hAnsi="Sakkal Majalla" w:cs="AL-Mohanad" w:hint="cs"/>
          <w:sz w:val="27"/>
          <w:szCs w:val="27"/>
          <w:rtl/>
        </w:rPr>
        <w:t>عات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كث</w:t>
      </w:r>
      <w:r w:rsidRPr="006571AC">
        <w:rPr>
          <w:rFonts w:cs="AL-Mohanad" w:hint="cs"/>
          <w:sz w:val="27"/>
          <w:szCs w:val="27"/>
          <w:rtl/>
        </w:rPr>
        <w:t>ي</w:t>
      </w:r>
      <w:r w:rsidRPr="006571AC">
        <w:rPr>
          <w:rFonts w:ascii="Sakkal Majalla" w:hAnsi="Sakkal Majalla" w:cs="AL-Mohanad" w:hint="cs"/>
          <w:sz w:val="27"/>
          <w:szCs w:val="27"/>
          <w:rtl/>
        </w:rPr>
        <w:t>رة</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عدا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صول المرتبطة بالمبدأ والمعاد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فلم </w:t>
      </w:r>
      <w:r w:rsidRPr="006571AC">
        <w:rPr>
          <w:rFonts w:cs="AL-Mohanad" w:hint="cs"/>
          <w:sz w:val="27"/>
          <w:szCs w:val="27"/>
          <w:rtl/>
        </w:rPr>
        <w:t>ي</w:t>
      </w:r>
      <w:r w:rsidRPr="006571AC">
        <w:rPr>
          <w:rFonts w:ascii="Sakkal Majalla" w:hAnsi="Sakkal Majalla" w:cs="AL-Mohanad" w:hint="cs"/>
          <w:sz w:val="27"/>
          <w:szCs w:val="27"/>
          <w:rtl/>
        </w:rPr>
        <w:t>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الفترة كاملا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ولم </w:t>
      </w:r>
      <w:r w:rsidRPr="006571AC">
        <w:rPr>
          <w:rFonts w:cs="AL-Mohanad" w:hint="cs"/>
          <w:sz w:val="27"/>
          <w:szCs w:val="27"/>
          <w:rtl/>
        </w:rPr>
        <w:t>ي</w:t>
      </w:r>
      <w:r w:rsidRPr="006571AC">
        <w:rPr>
          <w:rFonts w:ascii="Sakkal Majalla" w:hAnsi="Sakkal Majalla" w:cs="AL-Mohanad" w:hint="cs"/>
          <w:sz w:val="27"/>
          <w:szCs w:val="27"/>
          <w:rtl/>
        </w:rPr>
        <w:t>بل</w:t>
      </w:r>
      <w:r w:rsidR="004442AE" w:rsidRPr="006571AC">
        <w:rPr>
          <w:rFonts w:ascii="Sakkal Majalla" w:hAnsi="Sakkal Majalla" w:cs="AL-Mohanad" w:hint="cs"/>
          <w:sz w:val="27"/>
          <w:szCs w:val="27"/>
          <w:rtl/>
        </w:rPr>
        <w:t>ِّ</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الرسول</w:t>
      </w:r>
      <w:r w:rsidR="002A2C90" w:rsidRPr="006571AC">
        <w:rPr>
          <w:rFonts w:ascii="Mosawi" w:hAnsi="Mosawi" w:cs="Mosawi"/>
          <w:sz w:val="22"/>
          <w:szCs w:val="22"/>
          <w:rtl/>
        </w:rPr>
        <w:t>|</w:t>
      </w:r>
      <w:r w:rsidRPr="006571AC">
        <w:rPr>
          <w:rFonts w:ascii="Sakkal Majalla" w:hAnsi="Sakkal Majalla" w:cs="AL-Mohanad"/>
          <w:sz w:val="27"/>
          <w:szCs w:val="27"/>
          <w:rtl/>
        </w:rPr>
        <w:t xml:space="preserve"> ش</w:t>
      </w:r>
      <w:r w:rsidRPr="006571AC">
        <w:rPr>
          <w:rFonts w:cs="AL-Mohanad" w:hint="cs"/>
          <w:sz w:val="27"/>
          <w:szCs w:val="27"/>
          <w:rtl/>
        </w:rPr>
        <w:t>ي</w:t>
      </w:r>
      <w:r w:rsidRPr="006571AC">
        <w:rPr>
          <w:rFonts w:ascii="Sakkal Majalla" w:hAnsi="Sakkal Majalla" w:cs="AL-Mohanad" w:hint="cs"/>
          <w:sz w:val="27"/>
          <w:szCs w:val="27"/>
          <w:rtl/>
        </w:rPr>
        <w:t>ئاً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كث</w:t>
      </w:r>
      <w:r w:rsidRPr="006571AC">
        <w:rPr>
          <w:rFonts w:cs="AL-Mohanad" w:hint="cs"/>
          <w:sz w:val="27"/>
          <w:szCs w:val="27"/>
          <w:rtl/>
        </w:rPr>
        <w:t>ي</w:t>
      </w:r>
      <w:r w:rsidRPr="006571AC">
        <w:rPr>
          <w:rFonts w:ascii="Sakkal Majalla" w:hAnsi="Sakkal Majalla" w:cs="AL-Mohanad" w:hint="cs"/>
          <w:sz w:val="27"/>
          <w:szCs w:val="27"/>
          <w:rtl/>
        </w:rPr>
        <w:t>راً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الد</w:t>
      </w:r>
      <w:r w:rsidRPr="006571AC">
        <w:rPr>
          <w:rFonts w:cs="AL-Mohanad" w:hint="cs"/>
          <w:sz w:val="27"/>
          <w:szCs w:val="27"/>
          <w:rtl/>
        </w:rPr>
        <w:t>ي</w:t>
      </w:r>
      <w:r w:rsidRPr="006571AC">
        <w:rPr>
          <w:rFonts w:ascii="Sakkal Majalla" w:hAnsi="Sakkal Majalla" w:cs="AL-Mohanad" w:hint="cs"/>
          <w:sz w:val="27"/>
          <w:szCs w:val="27"/>
          <w:rtl/>
        </w:rPr>
        <w:t>ن</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Pr="006571AC">
        <w:rPr>
          <w:rFonts w:cs="AL-Mohanad" w:hint="cs"/>
          <w:sz w:val="27"/>
          <w:szCs w:val="27"/>
          <w:rtl/>
        </w:rPr>
        <w:t>ي</w:t>
      </w:r>
      <w:r w:rsidRPr="006571AC">
        <w:rPr>
          <w:rFonts w:ascii="Sakkal Majalla" w:hAnsi="Sakkal Majalla" w:cs="AL-Mohanad" w:hint="cs"/>
          <w:sz w:val="27"/>
          <w:szCs w:val="27"/>
          <w:rtl/>
        </w:rPr>
        <w:t>صحّ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قوله</w:t>
      </w:r>
      <w:r w:rsidRPr="006571AC">
        <w:rPr>
          <w:rFonts w:ascii="Sakkal Majalla" w:hAnsi="Sakkal Majalla" w:cs="AL-Mohanad"/>
          <w:sz w:val="27"/>
          <w:szCs w:val="27"/>
          <w:rtl/>
        </w:rPr>
        <w:t xml:space="preserve"> تعالى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وَإِنْ لَمْ تَفْعَلْ فَم</w:t>
      </w:r>
      <w:r w:rsidR="004442A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بَلَّغْتَ رِس</w:t>
      </w:r>
      <w:r w:rsidR="004442AE"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الَتَهُ</w:t>
      </w:r>
      <w:r w:rsidRPr="006571AC">
        <w:rPr>
          <w:rFonts w:ascii="Mosawi" w:hAnsi="Mosawi" w:cs="Mosawi"/>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وهذا بخلاف الفترة </w:t>
      </w:r>
      <w:r w:rsidRPr="006571AC">
        <w:rPr>
          <w:rFonts w:ascii="Sakkal Majalla" w:hAnsi="Sakkal Majalla" w:cs="AL-Mohanad" w:hint="cs"/>
          <w:sz w:val="27"/>
          <w:szCs w:val="27"/>
          <w:rtl/>
        </w:rPr>
        <w:t xml:space="preserve">التي عاشها في </w:t>
      </w:r>
      <w:r w:rsidRPr="006571AC">
        <w:rPr>
          <w:rFonts w:ascii="Sakkal Majalla" w:hAnsi="Sakkal Majalla" w:cs="AL-Mohanad"/>
          <w:sz w:val="27"/>
          <w:szCs w:val="27"/>
          <w:rtl/>
        </w:rPr>
        <w:t>المد</w:t>
      </w:r>
      <w:r w:rsidRPr="006571AC">
        <w:rPr>
          <w:rFonts w:cs="AL-Mohanad" w:hint="cs"/>
          <w:sz w:val="27"/>
          <w:szCs w:val="27"/>
          <w:rtl/>
        </w:rPr>
        <w:t>ي</w:t>
      </w:r>
      <w:r w:rsidRPr="006571AC">
        <w:rPr>
          <w:rFonts w:ascii="Sakkal Majalla" w:hAnsi="Sakkal Majalla" w:cs="AL-Mohanad" w:hint="cs"/>
          <w:sz w:val="27"/>
          <w:szCs w:val="27"/>
          <w:rtl/>
        </w:rPr>
        <w:t>نة</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ا</w:t>
      </w:r>
      <w:r w:rsidRPr="006571AC">
        <w:rPr>
          <w:rFonts w:ascii="Sakkal Majalla" w:hAnsi="Sakkal Majalla" w:cs="AL-Mohanad"/>
          <w:sz w:val="27"/>
          <w:szCs w:val="27"/>
          <w:rtl/>
        </w:rPr>
        <w:t>كتمل</w:t>
      </w:r>
      <w:r w:rsidR="008A57EC" w:rsidRPr="006571AC">
        <w:rPr>
          <w:rFonts w:ascii="Sakkal Majalla" w:hAnsi="Sakkal Majalla" w:cs="AL-Mohanad" w:hint="cs"/>
          <w:sz w:val="27"/>
          <w:szCs w:val="27"/>
          <w:rtl/>
        </w:rPr>
        <w:t>َ</w:t>
      </w:r>
      <w:r w:rsidRPr="006571AC">
        <w:rPr>
          <w:rFonts w:ascii="Sakkal Majalla" w:hAnsi="Sakkal Majalla" w:cs="AL-Mohanad" w:hint="cs"/>
          <w:sz w:val="27"/>
          <w:szCs w:val="27"/>
          <w:rtl/>
        </w:rPr>
        <w:t>ت</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القوان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والتشر</w:t>
      </w:r>
      <w:r w:rsidRPr="006571AC">
        <w:rPr>
          <w:rFonts w:cs="AL-Mohanad" w:hint="cs"/>
          <w:sz w:val="27"/>
          <w:szCs w:val="27"/>
          <w:rtl/>
        </w:rPr>
        <w:t>ي</w:t>
      </w:r>
      <w:r w:rsidRPr="006571AC">
        <w:rPr>
          <w:rFonts w:ascii="Sakkal Majalla" w:hAnsi="Sakkal Majalla" w:cs="AL-Mohanad" w:hint="cs"/>
          <w:sz w:val="27"/>
          <w:szCs w:val="27"/>
          <w:rtl/>
        </w:rPr>
        <w:t>عات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الإ</w:t>
      </w:r>
      <w:r w:rsidRPr="006571AC">
        <w:rPr>
          <w:rFonts w:ascii="Sakkal Majalla" w:hAnsi="Sakkal Majalla" w:cs="AL-Mohanad"/>
          <w:sz w:val="27"/>
          <w:szCs w:val="27"/>
          <w:rtl/>
        </w:rPr>
        <w:t>سلام</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فلا بأس ح</w:t>
      </w:r>
      <w:r w:rsidRPr="006571AC">
        <w:rPr>
          <w:rFonts w:cs="AL-Mohanad" w:hint="cs"/>
          <w:sz w:val="27"/>
          <w:szCs w:val="27"/>
          <w:rtl/>
        </w:rPr>
        <w:t>ي</w:t>
      </w:r>
      <w:r w:rsidRPr="006571AC">
        <w:rPr>
          <w:rFonts w:ascii="Sakkal Majalla" w:hAnsi="Sakkal Majalla" w:cs="AL-Mohanad" w:hint="cs"/>
          <w:sz w:val="27"/>
          <w:szCs w:val="27"/>
          <w:rtl/>
        </w:rPr>
        <w:t>نئ</w:t>
      </w:r>
      <w:r w:rsidR="00AA38F1" w:rsidRPr="006571AC">
        <w:rPr>
          <w:rFonts w:ascii="Sakkal Majalla" w:hAnsi="Sakkal Majalla" w:cs="AL-Mohanad" w:hint="cs"/>
          <w:sz w:val="27"/>
          <w:szCs w:val="27"/>
          <w:rtl/>
        </w:rPr>
        <w:t>ذٍ</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خاطبه</w:t>
      </w:r>
      <w:r w:rsidRPr="006571AC">
        <w:rPr>
          <w:rFonts w:ascii="Sakkal Majalla" w:hAnsi="Sakkal Majalla" w:cs="AL-Mohanad"/>
          <w:sz w:val="27"/>
          <w:szCs w:val="27"/>
          <w:rtl/>
        </w:rPr>
        <w:t xml:space="preserve"> تعالى بهذا الخطاب</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قو</w:t>
      </w:r>
      <w:r w:rsidRPr="006571AC">
        <w:rPr>
          <w:rFonts w:ascii="Sakkal Majalla" w:hAnsi="Sakkal Majalla" w:cs="AL-Mohanad"/>
          <w:sz w:val="27"/>
          <w:szCs w:val="27"/>
          <w:rtl/>
        </w:rPr>
        <w:t>ل له</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وَإِنْ لَمْ تَفْعَلْ فَم</w:t>
      </w:r>
      <w:r w:rsidR="00AA38F1"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بَلَّغْتَ رِسالَتَهُ</w:t>
      </w:r>
      <w:r w:rsidRPr="006571AC">
        <w:rPr>
          <w:rFonts w:ascii="Mosawi" w:hAnsi="Mosawi" w:cs="Mosawi"/>
          <w:rtl/>
        </w:rPr>
        <w:t>﴾</w:t>
      </w:r>
      <w:r w:rsidRPr="006571AC">
        <w:rPr>
          <w:rFonts w:ascii="Sakkal Majalla" w:hAnsi="Sakkal Majalla" w:cs="AL-Mohanad"/>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b/>
          <w:bCs/>
          <w:sz w:val="27"/>
          <w:szCs w:val="27"/>
          <w:rtl/>
        </w:rPr>
        <w:t>ثان</w:t>
      </w:r>
      <w:r w:rsidRPr="006571AC">
        <w:rPr>
          <w:rFonts w:cs="AL-Mohanad" w:hint="cs"/>
          <w:b/>
          <w:bCs/>
          <w:sz w:val="27"/>
          <w:szCs w:val="27"/>
          <w:rtl/>
        </w:rPr>
        <w:t>ي</w:t>
      </w:r>
      <w:r w:rsidRPr="006571AC">
        <w:rPr>
          <w:rFonts w:ascii="Sakkal Majalla" w:hAnsi="Sakkal Majalla" w:cs="AL-Mohanad" w:hint="cs"/>
          <w:b/>
          <w:bCs/>
          <w:sz w:val="27"/>
          <w:szCs w:val="27"/>
          <w:rtl/>
        </w:rPr>
        <w:t>اً</w:t>
      </w:r>
      <w:r w:rsidRPr="006571AC">
        <w:rPr>
          <w:rFonts w:ascii="Sakkal Majalla" w:hAnsi="Sakkal Majalla" w:cs="AL-Mohanad"/>
          <w:b/>
          <w:bCs/>
          <w:sz w:val="27"/>
          <w:szCs w:val="27"/>
          <w:rtl/>
        </w:rPr>
        <w:t xml:space="preserve">: </w:t>
      </w:r>
      <w:r w:rsidRPr="006571AC">
        <w:rPr>
          <w:rFonts w:ascii="Sakkal Majalla" w:hAnsi="Sakkal Majalla" w:cs="AL-Mohanad"/>
          <w:sz w:val="27"/>
          <w:szCs w:val="27"/>
          <w:rtl/>
        </w:rPr>
        <w:t xml:space="preserve">لقد وعد الله تعالى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هذه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رسوله</w:t>
      </w:r>
      <w:r w:rsidR="002A2C90" w:rsidRPr="006571AC">
        <w:rPr>
          <w:rFonts w:ascii="Mosawi" w:hAnsi="Mosawi" w:cs="Mosawi"/>
          <w:sz w:val="22"/>
          <w:szCs w:val="22"/>
          <w:rtl/>
        </w:rPr>
        <w:t>|</w:t>
      </w:r>
      <w:r w:rsidRPr="006571AC">
        <w:rPr>
          <w:rFonts w:ascii="Sakkal Majalla" w:hAnsi="Sakkal Majalla" w:cs="AL-Mohanad"/>
          <w:sz w:val="27"/>
          <w:szCs w:val="27"/>
          <w:rtl/>
        </w:rPr>
        <w:t xml:space="preserve"> بالحفظ والعصمة والحما</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فقال</w:t>
      </w:r>
      <w:r w:rsidR="00AA38F1" w:rsidRPr="006571AC">
        <w:rPr>
          <w:rFonts w:ascii="Sakkal Majalla" w:hAnsi="Sakkal Majalla" w:cs="AL-Mohanad" w:hint="cs"/>
          <w:sz w:val="27"/>
          <w:szCs w:val="27"/>
          <w:rtl/>
        </w:rPr>
        <w:t xml:space="preserve">: </w:t>
      </w:r>
      <w:r w:rsidR="00AA38F1" w:rsidRPr="006571AC">
        <w:rPr>
          <w:rFonts w:ascii="Mosawi" w:hAnsi="Mosawi" w:cs="Mosawi"/>
          <w:rtl/>
        </w:rPr>
        <w:t>﴿</w:t>
      </w:r>
      <w:r w:rsidR="00AA38F1" w:rsidRPr="006571AC">
        <w:rPr>
          <w:rFonts w:ascii="Sakkal Majalla" w:hAnsi="Sakkal Majalla" w:cs="AL-Mohanad"/>
          <w:b/>
          <w:bCs/>
          <w:sz w:val="27"/>
          <w:szCs w:val="27"/>
          <w:rtl/>
        </w:rPr>
        <w:t>واللهُ يَعْصِمُكَ مِنَ النَّاسِ</w:t>
      </w:r>
      <w:r w:rsidR="00AA38F1" w:rsidRPr="006571AC">
        <w:rPr>
          <w:rFonts w:ascii="Mosawi" w:hAnsi="Mosawi" w:cs="Mosawi"/>
          <w:rtl/>
        </w:rPr>
        <w:t>﴾</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فلو قلنا</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قر</w:t>
      </w:r>
      <w:r w:rsidRPr="006571AC">
        <w:rPr>
          <w:rFonts w:cs="AL-Mohanad" w:hint="cs"/>
          <w:sz w:val="27"/>
          <w:szCs w:val="27"/>
          <w:rtl/>
        </w:rPr>
        <w:t>ي</w:t>
      </w:r>
      <w:r w:rsidRPr="006571AC">
        <w:rPr>
          <w:rFonts w:ascii="Sakkal Majalla" w:hAnsi="Sakkal Majalla" w:cs="AL-Mohanad" w:hint="cs"/>
          <w:sz w:val="27"/>
          <w:szCs w:val="27"/>
          <w:rtl/>
        </w:rPr>
        <w:t xml:space="preserve">ش، </w:t>
      </w:r>
      <w:r w:rsidRPr="006571AC">
        <w:rPr>
          <w:rFonts w:ascii="Sakkal Majalla" w:hAnsi="Sakkal Majalla" w:cs="AL-Mohanad"/>
          <w:sz w:val="27"/>
          <w:szCs w:val="27"/>
          <w:rtl/>
        </w:rPr>
        <w:t>وف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الفترة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عاشها النب</w:t>
      </w:r>
      <w:r w:rsidRPr="006571AC">
        <w:rPr>
          <w:rFonts w:ascii="Sakkal Majalla" w:hAnsi="Sakkal Majalla" w:cs="AL-Mohanad" w:hint="cs"/>
          <w:sz w:val="27"/>
          <w:szCs w:val="27"/>
          <w:rtl/>
        </w:rPr>
        <w:t>ي</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مك</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ة</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لكان قوله تعال</w:t>
      </w:r>
      <w:r w:rsidRPr="006571AC">
        <w:rPr>
          <w:rFonts w:cs="AL-Mohanad" w:hint="cs"/>
          <w:sz w:val="27"/>
          <w:szCs w:val="27"/>
          <w:rtl/>
        </w:rPr>
        <w:t>ى</w:t>
      </w:r>
      <w:r w:rsidR="00AA38F1" w:rsidRPr="006571AC">
        <w:rPr>
          <w:rFonts w:cs="AL-Mohanad" w:hint="cs"/>
          <w:sz w:val="27"/>
          <w:szCs w:val="27"/>
          <w:rtl/>
        </w:rPr>
        <w:t>:</w:t>
      </w:r>
      <w:r w:rsidRPr="006571AC">
        <w:rPr>
          <w:rFonts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و</w:t>
      </w:r>
      <w:r w:rsidR="00AA38F1"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يَعْصِمُكَ مِنَ النَّاسِ</w:t>
      </w:r>
      <w:r w:rsidRPr="006571AC">
        <w:rPr>
          <w:rFonts w:ascii="Mosawi" w:hAnsi="Mosawi" w:cs="Mosawi"/>
          <w:rtl/>
        </w:rPr>
        <w:t>﴾</w:t>
      </w:r>
      <w:r w:rsidRPr="006571AC">
        <w:rPr>
          <w:rFonts w:ascii="Sakkal Majalla" w:hAnsi="Sakkal Majalla" w:cs="AL-Mohanad"/>
          <w:sz w:val="27"/>
          <w:szCs w:val="27"/>
          <w:rtl/>
        </w:rPr>
        <w:t xml:space="preserve"> غ</w:t>
      </w:r>
      <w:r w:rsidRPr="006571AC">
        <w:rPr>
          <w:rFonts w:cs="AL-Mohanad" w:hint="cs"/>
          <w:sz w:val="27"/>
          <w:szCs w:val="27"/>
          <w:rtl/>
        </w:rPr>
        <w:t>ي</w:t>
      </w:r>
      <w:r w:rsidRPr="006571AC">
        <w:rPr>
          <w:rFonts w:ascii="Sakkal Majalla" w:hAnsi="Sakkal Majalla" w:cs="AL-Mohanad" w:hint="cs"/>
          <w:sz w:val="27"/>
          <w:szCs w:val="27"/>
          <w:rtl/>
        </w:rPr>
        <w:t>ر</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8A57EC" w:rsidRPr="006571AC">
        <w:rPr>
          <w:rFonts w:ascii="Sakkal Majalla" w:hAnsi="Sakkal Majalla" w:cs="AL-Mohanad" w:hint="cs"/>
          <w:sz w:val="27"/>
          <w:szCs w:val="27"/>
          <w:rtl/>
        </w:rPr>
        <w:t>صادقٍ</w:t>
      </w:r>
      <w:r w:rsidRPr="006571AC">
        <w:rPr>
          <w:rFonts w:ascii="Sakkal Majalla" w:hAnsi="Sakkal Majalla" w:cs="AL-Mohanad"/>
          <w:sz w:val="27"/>
          <w:szCs w:val="27"/>
          <w:rtl/>
        </w:rPr>
        <w:t xml:space="preserve"> ـ و الع</w:t>
      </w:r>
      <w:r w:rsidRPr="006571AC">
        <w:rPr>
          <w:rFonts w:cs="AL-Mohanad" w:hint="cs"/>
          <w:sz w:val="27"/>
          <w:szCs w:val="27"/>
          <w:rtl/>
        </w:rPr>
        <w:t>ي</w:t>
      </w:r>
      <w:r w:rsidRPr="006571AC">
        <w:rPr>
          <w:rFonts w:ascii="Sakkal Majalla" w:hAnsi="Sakkal Majalla" w:cs="AL-Mohanad" w:hint="cs"/>
          <w:sz w:val="27"/>
          <w:szCs w:val="27"/>
          <w:rtl/>
        </w:rPr>
        <w:t>اذ</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بالله</w:t>
      </w:r>
      <w:r w:rsidRPr="006571AC">
        <w:rPr>
          <w:rFonts w:ascii="Sakkal Majalla" w:hAnsi="Sakkal Majalla" w:cs="AL-Mohanad"/>
          <w:sz w:val="27"/>
          <w:szCs w:val="27"/>
          <w:rtl/>
        </w:rPr>
        <w:t xml:space="preserve"> ـ</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إ</w:t>
      </w:r>
      <w:r w:rsidRPr="006571AC">
        <w:rPr>
          <w:rFonts w:ascii="Sakkal Majalla" w:hAnsi="Sakkal Majalla" w:cs="AL-Mohanad"/>
          <w:sz w:val="27"/>
          <w:szCs w:val="27"/>
          <w:rtl/>
        </w:rPr>
        <w:t>ذ ك</w:t>
      </w:r>
      <w:r w:rsidRPr="006571AC">
        <w:rPr>
          <w:rFonts w:cs="AL-Mohanad" w:hint="cs"/>
          <w:sz w:val="27"/>
          <w:szCs w:val="27"/>
          <w:rtl/>
        </w:rPr>
        <w:t>ي</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عاصم</w:t>
      </w:r>
      <w:r w:rsidR="00AA38F1"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w:t>
      </w:r>
      <w:r w:rsidRPr="006571AC">
        <w:rPr>
          <w:rFonts w:ascii="Sakkal Majalla" w:hAnsi="Sakkal Majalla" w:cs="AL-Mohanad"/>
          <w:sz w:val="27"/>
          <w:szCs w:val="27"/>
          <w:rtl/>
        </w:rPr>
        <w:t xml:space="preserve"> وقد قام</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ت</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قر</w:t>
      </w:r>
      <w:r w:rsidRPr="006571AC">
        <w:rPr>
          <w:rFonts w:cs="AL-Mohanad" w:hint="cs"/>
          <w:sz w:val="27"/>
          <w:szCs w:val="27"/>
          <w:rtl/>
        </w:rPr>
        <w:t>ي</w:t>
      </w:r>
      <w:r w:rsidRPr="006571AC">
        <w:rPr>
          <w:rFonts w:ascii="Sakkal Majalla" w:hAnsi="Sakkal Majalla" w:cs="AL-Mohanad" w:hint="cs"/>
          <w:sz w:val="27"/>
          <w:szCs w:val="27"/>
          <w:rtl/>
        </w:rPr>
        <w:t>ش</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بتعذ</w:t>
      </w:r>
      <w:r w:rsidRPr="006571AC">
        <w:rPr>
          <w:rFonts w:cs="AL-Mohanad" w:hint="cs"/>
          <w:sz w:val="27"/>
          <w:szCs w:val="27"/>
          <w:rtl/>
        </w:rPr>
        <w:t>ي</w:t>
      </w:r>
      <w:r w:rsidRPr="006571AC">
        <w:rPr>
          <w:rFonts w:ascii="Sakkal Majalla" w:hAnsi="Sakkal Majalla" w:cs="AL-Mohanad" w:hint="cs"/>
          <w:sz w:val="27"/>
          <w:szCs w:val="27"/>
          <w:rtl/>
        </w:rPr>
        <w:t>به</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Pr="006571AC">
        <w:rPr>
          <w:rFonts w:cs="AL-Mohanad" w:hint="cs"/>
          <w:sz w:val="27"/>
          <w:szCs w:val="27"/>
          <w:rtl/>
        </w:rPr>
        <w:t>ي</w:t>
      </w:r>
      <w:r w:rsidRPr="006571AC">
        <w:rPr>
          <w:rFonts w:ascii="Sakkal Majalla" w:hAnsi="Sakkal Majalla" w:cs="AL-Mohanad" w:hint="cs"/>
          <w:sz w:val="27"/>
          <w:szCs w:val="27"/>
          <w:rtl/>
        </w:rPr>
        <w:t>ذائه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بشت</w:t>
      </w:r>
      <w:r w:rsidR="00AA38F1"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AA38F1" w:rsidRPr="006571AC">
        <w:rPr>
          <w:rFonts w:ascii="Sakkal Majalla" w:hAnsi="Sakkal Majalla" w:cs="AL-Mohanad" w:hint="cs"/>
          <w:sz w:val="27"/>
          <w:szCs w:val="27"/>
          <w:rtl/>
        </w:rPr>
        <w:t>أ</w:t>
      </w:r>
      <w:r w:rsidRPr="006571AC">
        <w:rPr>
          <w:rFonts w:ascii="Sakkal Majalla" w:hAnsi="Sakkal Majalla" w:cs="AL-Mohanad" w:hint="cs"/>
          <w:sz w:val="27"/>
          <w:szCs w:val="27"/>
          <w:rtl/>
        </w:rPr>
        <w:t>نواع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طو</w:t>
      </w:r>
      <w:r w:rsidR="00AA38F1" w:rsidRPr="006571AC">
        <w:rPr>
          <w:rFonts w:ascii="Sakkal Majalla" w:hAnsi="Sakkal Majalla" w:cs="AL-Mohanad" w:hint="cs"/>
          <w:sz w:val="27"/>
          <w:szCs w:val="27"/>
          <w:rtl/>
        </w:rPr>
        <w:t>ا</w:t>
      </w:r>
      <w:r w:rsidRPr="006571AC">
        <w:rPr>
          <w:rFonts w:ascii="Sakkal Majalla" w:hAnsi="Sakkal Majalla" w:cs="AL-Mohanad" w:hint="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13</w:t>
      </w:r>
      <w:r w:rsidR="008A57EC" w:rsidRPr="006571AC">
        <w:rPr>
          <w:rFonts w:ascii="Sakkal Majalla" w:hAnsi="Sakkal Majalla" w:cs="AL-Mohanad" w:hint="cs"/>
          <w:sz w:val="27"/>
          <w:szCs w:val="27"/>
          <w:rtl/>
        </w:rPr>
        <w:t xml:space="preserve"> </w:t>
      </w:r>
      <w:r w:rsidR="00AA38F1" w:rsidRPr="006571AC">
        <w:rPr>
          <w:rFonts w:ascii="Sakkal Majalla" w:hAnsi="Sakkal Majalla" w:cs="AL-Mohanad" w:hint="cs"/>
          <w:sz w:val="27"/>
          <w:szCs w:val="27"/>
          <w:rtl/>
        </w:rPr>
        <w:t>سن</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عاشها ب</w:t>
      </w:r>
      <w:r w:rsidRPr="006571AC">
        <w:rPr>
          <w:rFonts w:cs="AL-Mohanad" w:hint="cs"/>
          <w:sz w:val="27"/>
          <w:szCs w:val="27"/>
          <w:rtl/>
        </w:rPr>
        <w:t>ي</w:t>
      </w:r>
      <w:r w:rsidRPr="006571AC">
        <w:rPr>
          <w:rFonts w:ascii="Sakkal Majalla" w:hAnsi="Sakkal Majalla" w:cs="AL-Mohanad" w:hint="cs"/>
          <w:sz w:val="27"/>
          <w:szCs w:val="27"/>
          <w:rtl/>
        </w:rPr>
        <w:t>نهم</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حتى </w:t>
      </w:r>
      <w:r w:rsidRPr="006571AC">
        <w:rPr>
          <w:rFonts w:ascii="Sakkal Majalla" w:hAnsi="Sakkal Majalla" w:cs="AL-Mohanad" w:hint="cs"/>
          <w:sz w:val="27"/>
          <w:szCs w:val="27"/>
          <w:rtl/>
        </w:rPr>
        <w:t>قال</w:t>
      </w:r>
      <w:r w:rsidR="002A2C90" w:rsidRPr="006571AC">
        <w:rPr>
          <w:rFonts w:ascii="Mosawi" w:hAnsi="Mosawi" w:cs="Mosawi"/>
          <w:sz w:val="22"/>
          <w:szCs w:val="22"/>
          <w:rtl/>
        </w:rPr>
        <w:t>|</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ما أ</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وذ</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نبي</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كما أ</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وذ</w:t>
      </w:r>
      <w:r w:rsidRPr="006571AC">
        <w:rPr>
          <w:rFonts w:cs="AL-Mohanad" w:hint="cs"/>
          <w:sz w:val="27"/>
          <w:szCs w:val="27"/>
          <w:rtl/>
        </w:rPr>
        <w:t>ي</w:t>
      </w:r>
      <w:r w:rsidRPr="006571AC">
        <w:rPr>
          <w:rFonts w:ascii="Sakkal Majalla" w:hAnsi="Sakkal Majalla" w:cs="AL-Mohanad" w:hint="cs"/>
          <w:sz w:val="27"/>
          <w:szCs w:val="27"/>
          <w:rtl/>
        </w:rPr>
        <w:t>ت</w:t>
      </w:r>
      <w:r w:rsidRPr="006571AC">
        <w:rPr>
          <w:rFonts w:ascii="Sakkal Majalla" w:hAnsi="Sakkal Majalla" w:cs="AL-Mohanad" w:hint="cs"/>
          <w:rtl/>
        </w:rPr>
        <w:t>»</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 xml:space="preserve">وهذا </w:t>
      </w:r>
      <w:r w:rsidRPr="006571AC">
        <w:rPr>
          <w:rFonts w:ascii="Sakkal Majalla" w:hAnsi="Sakkal Majalla" w:cs="AL-Mohanad" w:hint="cs"/>
          <w:sz w:val="27"/>
          <w:szCs w:val="27"/>
          <w:rtl/>
        </w:rPr>
        <w:t>بخلاف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ذا قلنا</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 xml:space="preserve">نة، </w:t>
      </w:r>
      <w:r w:rsidRPr="006571AC">
        <w:rPr>
          <w:rFonts w:ascii="Sakkal Majalla" w:hAnsi="Sakkal Majalla" w:cs="AL-Mohanad"/>
          <w:sz w:val="27"/>
          <w:szCs w:val="27"/>
          <w:rtl/>
        </w:rPr>
        <w:t>وف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أواخر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اته</w:t>
      </w:r>
      <w:r w:rsidR="002A2C90" w:rsidRPr="006571AC">
        <w:rPr>
          <w:rFonts w:ascii="Mosawi" w:hAnsi="Mosawi" w:cs="Mosawi"/>
          <w:sz w:val="22"/>
          <w:szCs w:val="22"/>
          <w:rtl/>
        </w:rPr>
        <w:t>|</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تخل</w:t>
      </w:r>
      <w:r w:rsidR="00AA38F1" w:rsidRPr="006571AC">
        <w:rPr>
          <w:rFonts w:ascii="Sakkal Majalla" w:hAnsi="Sakkal Majalla" w:cs="AL-Mohanad" w:hint="cs"/>
          <w:sz w:val="27"/>
          <w:szCs w:val="27"/>
          <w:rtl/>
        </w:rPr>
        <w:t>َّ</w:t>
      </w:r>
      <w:r w:rsidRPr="006571AC">
        <w:rPr>
          <w:rFonts w:ascii="Sakkal Majalla" w:hAnsi="Sakkal Majalla" w:cs="AL-Mohanad" w:hint="cs"/>
          <w:sz w:val="27"/>
          <w:szCs w:val="27"/>
          <w:rtl/>
        </w:rPr>
        <w:t>ص</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شرّ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قر</w:t>
      </w:r>
      <w:r w:rsidRPr="006571AC">
        <w:rPr>
          <w:rFonts w:cs="AL-Mohanad" w:hint="cs"/>
          <w:sz w:val="27"/>
          <w:szCs w:val="27"/>
          <w:rtl/>
        </w:rPr>
        <w:t>ي</w:t>
      </w:r>
      <w:r w:rsidRPr="006571AC">
        <w:rPr>
          <w:rFonts w:ascii="Sakkal Majalla" w:hAnsi="Sakkal Majalla" w:cs="AL-Mohanad" w:hint="cs"/>
          <w:sz w:val="27"/>
          <w:szCs w:val="27"/>
          <w:rtl/>
        </w:rPr>
        <w:t>ش</w:t>
      </w:r>
      <w:r w:rsidRPr="006571AC">
        <w:rPr>
          <w:rFonts w:ascii="Sakkal Majalla" w:hAnsi="Sakkal Majalla" w:cs="AL-Mohanad"/>
          <w:sz w:val="27"/>
          <w:szCs w:val="27"/>
          <w:rtl/>
        </w:rPr>
        <w:t xml:space="preserve"> وغ</w:t>
      </w:r>
      <w:r w:rsidRPr="006571AC">
        <w:rPr>
          <w:rFonts w:cs="AL-Mohanad" w:hint="cs"/>
          <w:sz w:val="27"/>
          <w:szCs w:val="27"/>
          <w:rtl/>
        </w:rPr>
        <w:t>ي</w:t>
      </w:r>
      <w:r w:rsidRPr="006571AC">
        <w:rPr>
          <w:rFonts w:ascii="Sakkal Majalla" w:hAnsi="Sakkal Majalla" w:cs="AL-Mohanad" w:hint="cs"/>
          <w:sz w:val="27"/>
          <w:szCs w:val="27"/>
          <w:rtl/>
        </w:rPr>
        <w:t>رهم</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لما وعده الله تعالى</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و</w:t>
      </w:r>
      <w:r w:rsidR="00AA38F1"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يَعْصِمُكَ مِنَ النَّاسِ</w:t>
      </w:r>
      <w:r w:rsidRPr="006571AC">
        <w:rPr>
          <w:rFonts w:ascii="Mosawi" w:hAnsi="Mosawi" w:cs="Mosawi"/>
          <w:rtl/>
        </w:rPr>
        <w:t>﴾</w:t>
      </w:r>
      <w:r w:rsidRPr="006571AC">
        <w:rPr>
          <w:rFonts w:ascii="Sakkal Majalla" w:hAnsi="Sakkal Majalla" w:cs="AL-Mohanad"/>
          <w:sz w:val="27"/>
          <w:szCs w:val="27"/>
          <w:vertAlign w:val="superscript"/>
          <w:rtl/>
        </w:rPr>
        <w:t>(</w:t>
      </w:r>
      <w:r w:rsidRPr="006571AC">
        <w:rPr>
          <w:rStyle w:val="ac"/>
          <w:rFonts w:ascii="Sakkal Majalla" w:hAnsi="Sakkal Majalla" w:cs="AL-Mohanad"/>
          <w:sz w:val="27"/>
          <w:szCs w:val="27"/>
          <w:rtl/>
        </w:rPr>
        <w:endnoteReference w:id="393"/>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b/>
          <w:bCs/>
          <w:sz w:val="27"/>
          <w:szCs w:val="27"/>
          <w:rtl/>
        </w:rPr>
        <w:t xml:space="preserve">ثالثاً: </w:t>
      </w:r>
      <w:r w:rsidRPr="006571AC">
        <w:rPr>
          <w:rFonts w:ascii="Sakkal Majalla" w:hAnsi="Sakkal Majalla" w:cs="AL-Mohanad"/>
          <w:sz w:val="27"/>
          <w:szCs w:val="27"/>
          <w:rtl/>
        </w:rPr>
        <w:t>من القرائن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تجعلنا نقطع ب</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مك</w:t>
      </w:r>
      <w:r w:rsidR="000D46AC"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000D46A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أ</w:t>
      </w:r>
      <w:r w:rsidRPr="006571AC">
        <w:rPr>
          <w:rFonts w:ascii="Sakkal Majalla" w:hAnsi="Sakkal Majalla" w:cs="AL-Mohanad"/>
          <w:sz w:val="27"/>
          <w:szCs w:val="27"/>
          <w:rtl/>
        </w:rPr>
        <w:t>نّ الس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والأسلوب الخطاب</w:t>
      </w:r>
      <w:r w:rsidRPr="006571AC">
        <w:rPr>
          <w:rFonts w:cs="AL-Mohanad" w:hint="cs"/>
          <w:sz w:val="27"/>
          <w:szCs w:val="27"/>
          <w:rtl/>
        </w:rPr>
        <w:t>ي</w:t>
      </w:r>
      <w:r w:rsidR="000D46AC"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الذي</w:t>
      </w:r>
      <w:r w:rsidRPr="006571AC">
        <w:rPr>
          <w:rFonts w:ascii="Sakkal Majalla" w:hAnsi="Sakkal Majalla" w:cs="AL-Mohanad"/>
          <w:sz w:val="27"/>
          <w:szCs w:val="27"/>
          <w:rtl/>
        </w:rPr>
        <w:t xml:space="preserve"> </w:t>
      </w:r>
      <w:r w:rsidR="000D46AC" w:rsidRPr="006571AC">
        <w:rPr>
          <w:rFonts w:ascii="Sakkal Majalla" w:hAnsi="Sakkal Majalla" w:cs="AL-Mohanad" w:hint="cs"/>
          <w:sz w:val="27"/>
          <w:szCs w:val="27"/>
          <w:rtl/>
        </w:rPr>
        <w:t>ا</w:t>
      </w:r>
      <w:r w:rsidRPr="006571AC">
        <w:rPr>
          <w:rFonts w:ascii="Sakkal Majalla" w:hAnsi="Sakkal Majalla" w:cs="AL-Mohanad"/>
          <w:sz w:val="27"/>
          <w:szCs w:val="27"/>
          <w:rtl/>
        </w:rPr>
        <w:t>ست</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خدم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هذه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الكر</w:t>
      </w:r>
      <w:r w:rsidRPr="006571AC">
        <w:rPr>
          <w:rFonts w:cs="AL-Mohanad" w:hint="cs"/>
          <w:sz w:val="27"/>
          <w:szCs w:val="27"/>
          <w:rtl/>
        </w:rPr>
        <w:t>ي</w:t>
      </w:r>
      <w:r w:rsidRPr="006571AC">
        <w:rPr>
          <w:rFonts w:ascii="Sakkal Majalla" w:hAnsi="Sakkal Majalla" w:cs="AL-Mohanad" w:hint="cs"/>
          <w:sz w:val="27"/>
          <w:szCs w:val="27"/>
          <w:rtl/>
        </w:rPr>
        <w:t>مة</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ختلف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تماماً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سال</w:t>
      </w:r>
      <w:r w:rsidRPr="006571AC">
        <w:rPr>
          <w:rFonts w:cs="AL-Mohanad" w:hint="cs"/>
          <w:sz w:val="27"/>
          <w:szCs w:val="27"/>
          <w:rtl/>
        </w:rPr>
        <w:t>ي</w:t>
      </w:r>
      <w:r w:rsidRPr="006571AC">
        <w:rPr>
          <w:rFonts w:ascii="Sakkal Majalla" w:hAnsi="Sakkal Majalla" w:cs="AL-Mohanad" w:hint="cs"/>
          <w:sz w:val="27"/>
          <w:szCs w:val="27"/>
          <w:rtl/>
        </w:rPr>
        <w:t>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المك</w:t>
      </w:r>
      <w:r w:rsidR="000D46AC"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نلاحظ</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الأسلوب الخطاب</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المك</w:t>
      </w:r>
      <w:r w:rsidR="000D46AC"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نوع</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والنعومة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فه</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عندما تأمر النب</w:t>
      </w:r>
      <w:r w:rsidRPr="006571AC">
        <w:rPr>
          <w:rFonts w:ascii="Sakkal Majalla" w:hAnsi="Sakkal Majalla" w:cs="AL-Mohanad" w:hint="cs"/>
          <w:sz w:val="27"/>
          <w:szCs w:val="27"/>
          <w:rtl/>
        </w:rPr>
        <w:t>ي</w:t>
      </w:r>
      <w:r w:rsidR="000D46A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أ</w:t>
      </w:r>
      <w:r w:rsidRPr="006571AC">
        <w:rPr>
          <w:rFonts w:ascii="Sakkal Majalla" w:hAnsi="Sakkal Majalla" w:cs="AL-Mohanad"/>
          <w:sz w:val="27"/>
          <w:szCs w:val="27"/>
          <w:rtl/>
        </w:rPr>
        <w:t>و تنهاه عن ش</w:t>
      </w:r>
      <w:r w:rsidRPr="006571AC">
        <w:rPr>
          <w:rFonts w:cs="AL-Mohanad" w:hint="cs"/>
          <w:sz w:val="27"/>
          <w:szCs w:val="27"/>
          <w:rtl/>
        </w:rPr>
        <w:t>ي</w:t>
      </w:r>
      <w:r w:rsidRPr="006571AC">
        <w:rPr>
          <w:rFonts w:ascii="Sakkal Majalla" w:hAnsi="Sakkal Majalla" w:cs="AL-Mohanad" w:hint="cs"/>
          <w:sz w:val="27"/>
          <w:szCs w:val="27"/>
          <w:rtl/>
        </w:rPr>
        <w:t>ء</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تستخدم أسلوب الرق</w:t>
      </w:r>
      <w:r w:rsidRPr="006571AC">
        <w:rPr>
          <w:rFonts w:ascii="Sakkal Majalla" w:hAnsi="Sakkal Majalla" w:cs="AL-Mohanad" w:hint="cs"/>
          <w:sz w:val="27"/>
          <w:szCs w:val="27"/>
          <w:rtl/>
        </w:rPr>
        <w:t>ّ</w:t>
      </w:r>
      <w:r w:rsidRPr="006571AC">
        <w:rPr>
          <w:rFonts w:ascii="Sakkal Majalla" w:hAnsi="Sakkal Majalla" w:cs="AL-Mohanad"/>
          <w:sz w:val="27"/>
          <w:szCs w:val="27"/>
          <w:rtl/>
        </w:rPr>
        <w:t>ة والرخ</w:t>
      </w:r>
      <w:r w:rsidR="000D46AC" w:rsidRPr="006571AC">
        <w:rPr>
          <w:rFonts w:ascii="Sakkal Majalla" w:hAnsi="Sakkal Majalla" w:cs="AL-Mohanad" w:hint="cs"/>
          <w:sz w:val="27"/>
          <w:szCs w:val="27"/>
          <w:rtl/>
        </w:rPr>
        <w:t>ا</w:t>
      </w:r>
      <w:r w:rsidRPr="006571AC">
        <w:rPr>
          <w:rFonts w:ascii="Sakkal Majalla" w:hAnsi="Sakkal Majalla" w:cs="AL-Mohanad"/>
          <w:sz w:val="27"/>
          <w:szCs w:val="27"/>
          <w:rtl/>
        </w:rPr>
        <w:t>وة</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كقوله تعالى</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hint="cs"/>
          <w:b/>
          <w:bCs/>
          <w:sz w:val="27"/>
          <w:szCs w:val="27"/>
          <w:rtl/>
        </w:rPr>
        <w:t>اقْرَأْ</w:t>
      </w:r>
      <w:r w:rsidRPr="006571AC">
        <w:rPr>
          <w:rFonts w:ascii="Sakkal Majalla" w:hAnsi="Sakkal Majalla" w:cs="AL-Mohanad"/>
          <w:b/>
          <w:bCs/>
          <w:sz w:val="27"/>
          <w:szCs w:val="27"/>
          <w:rtl/>
        </w:rPr>
        <w:t xml:space="preserve"> بِاسْمِ‏ رَبِّكَ‏ الَّذِي‏ خَلَق</w:t>
      </w:r>
      <w:r w:rsidR="000D46AC" w:rsidRPr="006571AC">
        <w:rPr>
          <w:rFonts w:ascii="Sakkal Majalla" w:hAnsi="Sakkal Majalla" w:cs="AL-Mohanad" w:hint="cs"/>
          <w:b/>
          <w:bCs/>
          <w:sz w:val="27"/>
          <w:szCs w:val="27"/>
          <w:rtl/>
        </w:rPr>
        <w:t>َ</w:t>
      </w:r>
      <w:r w:rsidRPr="006571AC">
        <w:rPr>
          <w:rFonts w:ascii="Mosawi" w:hAnsi="Mosawi" w:cs="Mosawi"/>
          <w:rtl/>
        </w:rPr>
        <w:t>﴾</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فنجد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تأمر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0D46A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بالقراءة تعطف 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بالخلقة</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وترق</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ق من شد</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ة ال</w:t>
      </w:r>
      <w:r w:rsidR="000D46AC" w:rsidRPr="006571AC">
        <w:rPr>
          <w:rFonts w:ascii="Sakkal Majalla" w:hAnsi="Sakkal Majalla" w:cs="AL-Mohanad" w:hint="cs"/>
          <w:sz w:val="27"/>
          <w:szCs w:val="27"/>
          <w:rtl/>
        </w:rPr>
        <w:t>أ</w:t>
      </w:r>
      <w:r w:rsidRPr="006571AC">
        <w:rPr>
          <w:rFonts w:ascii="Sakkal Majalla" w:hAnsi="Sakkal Majalla" w:cs="AL-Mohanad"/>
          <w:sz w:val="27"/>
          <w:szCs w:val="27"/>
          <w:rtl/>
        </w:rPr>
        <w:t>مر المذكور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الخطاب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مّا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فنلاحظ</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الخطاب 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نوع</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الشدّة</w:t>
      </w:r>
      <w:r w:rsidRPr="006571AC">
        <w:rPr>
          <w:rFonts w:ascii="Sakkal Majalla" w:hAnsi="Sakkal Majalla" w:cs="AL-Mohanad"/>
          <w:sz w:val="27"/>
          <w:szCs w:val="27"/>
          <w:rtl/>
        </w:rPr>
        <w:t xml:space="preserve"> والغلظة</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م</w:t>
      </w:r>
      <w:r w:rsidRPr="006571AC">
        <w:rPr>
          <w:rFonts w:cs="AL-Mohanad" w:hint="cs"/>
          <w:sz w:val="27"/>
          <w:szCs w:val="27"/>
          <w:rtl/>
        </w:rPr>
        <w:t>ي</w:t>
      </w:r>
      <w:r w:rsidR="000D46AC" w:rsidRPr="006571AC">
        <w:rPr>
          <w:rFonts w:cs="AL-Mohanad" w:hint="cs"/>
          <w:sz w:val="27"/>
          <w:szCs w:val="27"/>
          <w:rtl/>
        </w:rPr>
        <w:t>ِّ</w:t>
      </w:r>
      <w:r w:rsidRPr="006571AC">
        <w:rPr>
          <w:rFonts w:ascii="Sakkal Majalla" w:hAnsi="Sakkal Majalla" w:cs="AL-Mohanad" w:hint="cs"/>
          <w:sz w:val="27"/>
          <w:szCs w:val="27"/>
          <w:rtl/>
        </w:rPr>
        <w:t>زه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الخطابات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ذ</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كر</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ت</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المك</w:t>
      </w:r>
      <w:r w:rsidR="000D46AC" w:rsidRPr="006571AC">
        <w:rPr>
          <w:rFonts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p>
    <w:p w:rsidR="008E4EBC"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فهذه ال</w:t>
      </w:r>
      <w:r w:rsidRPr="006571AC">
        <w:rPr>
          <w:rFonts w:ascii="Sakkal Majalla" w:hAnsi="Sakkal Majalla" w:cs="AL-Mohanad" w:hint="cs"/>
          <w:sz w:val="27"/>
          <w:szCs w:val="27"/>
          <w:rtl/>
        </w:rPr>
        <w:t>إ</w:t>
      </w:r>
      <w:r w:rsidRPr="006571AC">
        <w:rPr>
          <w:rFonts w:ascii="Sakkal Majalla" w:hAnsi="Sakkal Majalla" w:cs="AL-Mohanad"/>
          <w:sz w:val="27"/>
          <w:szCs w:val="27"/>
          <w:rtl/>
        </w:rPr>
        <w:t>شكالات والتساؤلات وغ</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تجعلنا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نطمئن</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0D46AC" w:rsidRPr="006571AC">
        <w:rPr>
          <w:rFonts w:ascii="Sakkal Majalla" w:hAnsi="Sakkal Majalla" w:cs="AL-Mohanad" w:hint="cs"/>
          <w:sz w:val="27"/>
          <w:szCs w:val="27"/>
          <w:rtl/>
        </w:rPr>
        <w:t xml:space="preserve">إلى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ascii="Sakkal Majalla" w:hAnsi="Sakkal Majalla" w:cs="AL-Mohanad" w:hint="cs"/>
          <w:sz w:val="27"/>
          <w:szCs w:val="27"/>
          <w:rtl/>
        </w:rPr>
        <w:t>ال</w:t>
      </w:r>
      <w:r w:rsidRPr="006571AC">
        <w:rPr>
          <w:rFonts w:ascii="Sakkal Majalla" w:hAnsi="Sakkal Majalla" w:cs="AL-Mohanad"/>
          <w:sz w:val="27"/>
          <w:szCs w:val="27"/>
          <w:rtl/>
        </w:rPr>
        <w:t>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تنزل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مك</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ة</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قر</w:t>
      </w:r>
      <w:r w:rsidRPr="006571AC">
        <w:rPr>
          <w:rFonts w:cs="AL-Mohanad" w:hint="cs"/>
          <w:sz w:val="27"/>
          <w:szCs w:val="27"/>
          <w:rtl/>
        </w:rPr>
        <w:t>ي</w:t>
      </w:r>
      <w:r w:rsidRPr="006571AC">
        <w:rPr>
          <w:rFonts w:ascii="Sakkal Majalla" w:hAnsi="Sakkal Majalla" w:cs="AL-Mohanad" w:hint="cs"/>
          <w:sz w:val="27"/>
          <w:szCs w:val="27"/>
          <w:rtl/>
        </w:rPr>
        <w:t>ش</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هي</w:t>
      </w:r>
      <w:r w:rsidRPr="006571AC">
        <w:rPr>
          <w:rFonts w:ascii="Sakkal Majalla" w:hAnsi="Sakkal Majalla" w:cs="AL-Mohanad"/>
          <w:sz w:val="27"/>
          <w:szCs w:val="27"/>
          <w:rtl/>
        </w:rPr>
        <w:t xml:space="preserve"> تنسجم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والمعن</w:t>
      </w:r>
      <w:r w:rsidR="000D46AC" w:rsidRPr="006571AC">
        <w:rPr>
          <w:rFonts w:cs="AL-Mohanad" w:hint="cs"/>
          <w:sz w:val="27"/>
          <w:szCs w:val="27"/>
          <w:rtl/>
        </w:rPr>
        <w:t>ى</w:t>
      </w:r>
      <w:r w:rsidRPr="006571AC">
        <w:rPr>
          <w:rFonts w:ascii="Sakkal Majalla" w:hAnsi="Sakkal Majalla" w:cs="AL-Mohanad"/>
          <w:sz w:val="27"/>
          <w:szCs w:val="27"/>
          <w:rtl/>
        </w:rPr>
        <w:t xml:space="preserve"> مع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المدن</w:t>
      </w:r>
      <w:r w:rsidRPr="006571AC">
        <w:rPr>
          <w:rFonts w:cs="AL-Mohanad" w:hint="cs"/>
          <w:sz w:val="27"/>
          <w:szCs w:val="27"/>
          <w:rtl/>
        </w:rPr>
        <w:t>ي</w:t>
      </w:r>
      <w:r w:rsidR="008E4EBC" w:rsidRPr="006571AC">
        <w:rPr>
          <w:rFonts w:ascii="Sakkal Majalla" w:hAnsi="Sakkal Majalla" w:cs="AL-Mohanad" w:hint="cs"/>
          <w:sz w:val="27"/>
          <w:szCs w:val="27"/>
          <w:rtl/>
        </w:rPr>
        <w:t>ة.</w:t>
      </w:r>
    </w:p>
    <w:p w:rsidR="005D05A4" w:rsidRPr="006571AC" w:rsidRDefault="005D05A4" w:rsidP="00B41BA0">
      <w:pPr>
        <w:pStyle w:val="af"/>
        <w:rPr>
          <w:rFonts w:ascii="Sakkal Majalla" w:hAnsi="Sakkal Majalla" w:cs="AL-Mohanad"/>
          <w:sz w:val="27"/>
          <w:szCs w:val="27"/>
          <w:rtl/>
        </w:rPr>
      </w:pP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مّا من منطلق 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ثبت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الكث</w:t>
      </w:r>
      <w:r w:rsidRPr="006571AC">
        <w:rPr>
          <w:rFonts w:cs="AL-Mohanad" w:hint="cs"/>
          <w:sz w:val="27"/>
          <w:szCs w:val="27"/>
          <w:rtl/>
        </w:rPr>
        <w:t>ي</w:t>
      </w:r>
      <w:r w:rsidRPr="006571AC">
        <w:rPr>
          <w:rFonts w:ascii="Sakkal Majalla" w:hAnsi="Sakkal Majalla" w:cs="AL-Mohanad" w:hint="cs"/>
          <w:sz w:val="27"/>
          <w:szCs w:val="27"/>
          <w:rtl/>
        </w:rPr>
        <w:t>رة</w:t>
      </w:r>
      <w:r w:rsidRPr="006571AC">
        <w:rPr>
          <w:rFonts w:ascii="Sakkal Majalla" w:hAnsi="Sakkal Majalla" w:cs="AL-Mohanad"/>
          <w:sz w:val="27"/>
          <w:szCs w:val="27"/>
          <w:rtl/>
        </w:rPr>
        <w:t xml:space="preserve"> والمستف</w:t>
      </w:r>
      <w:r w:rsidRPr="006571AC">
        <w:rPr>
          <w:rFonts w:cs="AL-Mohanad" w:hint="cs"/>
          <w:sz w:val="27"/>
          <w:szCs w:val="27"/>
          <w:rtl/>
        </w:rPr>
        <w:t>ي</w:t>
      </w:r>
      <w:r w:rsidRPr="006571AC">
        <w:rPr>
          <w:rFonts w:ascii="Sakkal Majalla" w:hAnsi="Sakkal Majalla" w:cs="AL-Mohanad" w:hint="cs"/>
          <w:sz w:val="27"/>
          <w:szCs w:val="27"/>
          <w:rtl/>
        </w:rPr>
        <w:t>ضة</w:t>
      </w:r>
      <w:r w:rsidRPr="006571AC">
        <w:rPr>
          <w:rFonts w:ascii="Sakkal Majalla" w:hAnsi="Sakkal Majalla" w:cs="AL-Mohanad"/>
          <w:sz w:val="27"/>
          <w:szCs w:val="27"/>
          <w:rtl/>
        </w:rPr>
        <w:t xml:space="preserve"> ـ </w:t>
      </w:r>
      <w:r w:rsidRPr="006571AC">
        <w:rPr>
          <w:rFonts w:ascii="Sakkal Majalla" w:hAnsi="Sakkal Majalla" w:cs="AL-Mohanad" w:hint="cs"/>
          <w:sz w:val="27"/>
          <w:szCs w:val="27"/>
          <w:rtl/>
        </w:rPr>
        <w:t xml:space="preserve">بل </w:t>
      </w:r>
      <w:r w:rsidRPr="006571AC">
        <w:rPr>
          <w:rFonts w:ascii="Sakkal Majalla" w:hAnsi="Sakkal Majalla" w:cs="AL-Mohanad"/>
          <w:sz w:val="27"/>
          <w:szCs w:val="27"/>
          <w:rtl/>
        </w:rPr>
        <w:t>المتواترة عند الش</w:t>
      </w:r>
      <w:r w:rsidRPr="006571AC">
        <w:rPr>
          <w:rFonts w:cs="AL-Mohanad" w:hint="cs"/>
          <w:sz w:val="27"/>
          <w:szCs w:val="27"/>
          <w:rtl/>
        </w:rPr>
        <w:t>ي</w:t>
      </w:r>
      <w:r w:rsidRPr="006571AC">
        <w:rPr>
          <w:rFonts w:ascii="Sakkal Majalla" w:hAnsi="Sakkal Majalla" w:cs="AL-Mohanad" w:hint="cs"/>
          <w:sz w:val="27"/>
          <w:szCs w:val="27"/>
          <w:rtl/>
        </w:rPr>
        <w:t>عة</w:t>
      </w:r>
      <w:r w:rsidRPr="006571AC">
        <w:rPr>
          <w:rFonts w:ascii="Sakkal Majalla" w:hAnsi="Sakkal Majalla" w:cs="AL-Mohanad"/>
          <w:sz w:val="27"/>
          <w:szCs w:val="27"/>
          <w:rtl/>
        </w:rPr>
        <w:t xml:space="preserve"> ـ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مدن</w:t>
      </w:r>
      <w:r w:rsidRPr="006571AC">
        <w:rPr>
          <w:rFonts w:cs="AL-Mohanad" w:hint="cs"/>
          <w:sz w:val="27"/>
          <w:szCs w:val="27"/>
          <w:rtl/>
        </w:rPr>
        <w:t>ي</w:t>
      </w:r>
      <w:r w:rsidR="000D46AC"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نزلت ف</w:t>
      </w:r>
      <w:r w:rsidRPr="006571AC">
        <w:rPr>
          <w:rFonts w:cs="AL-Mohanad" w:hint="cs"/>
          <w:sz w:val="27"/>
          <w:szCs w:val="27"/>
          <w:rtl/>
        </w:rPr>
        <w:t>ي</w:t>
      </w:r>
      <w:r w:rsidRPr="006571AC">
        <w:rPr>
          <w:rFonts w:ascii="Sakkal Majalla" w:hAnsi="Sakkal Majalla" w:cs="AL-Mohanad"/>
          <w:sz w:val="27"/>
          <w:szCs w:val="27"/>
          <w:rtl/>
        </w:rPr>
        <w:t xml:space="preserve"> </w:t>
      </w:r>
      <w:r w:rsidR="000D46AC" w:rsidRPr="006571AC">
        <w:rPr>
          <w:rFonts w:ascii="Sakkal Majalla" w:hAnsi="Sakkal Majalla" w:cs="AL-Mohanad" w:hint="cs"/>
          <w:sz w:val="27"/>
          <w:szCs w:val="27"/>
          <w:rtl/>
        </w:rPr>
        <w:t>أواخر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0D46A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p>
    <w:p w:rsidR="005D05A4" w:rsidRPr="006571AC" w:rsidRDefault="005D05A4" w:rsidP="002B3461">
      <w:pPr>
        <w:pStyle w:val="31"/>
        <w:rPr>
          <w:color w:val="auto"/>
          <w:rtl/>
        </w:rPr>
      </w:pPr>
      <w:bookmarkStart w:id="172" w:name="_Toc114164660"/>
      <w:r w:rsidRPr="006571AC">
        <w:rPr>
          <w:rFonts w:hint="cs"/>
          <w:color w:val="auto"/>
          <w:rtl/>
        </w:rPr>
        <w:lastRenderedPageBreak/>
        <w:t>النتيجة</w:t>
      </w:r>
      <w:bookmarkEnd w:id="172"/>
      <w:r w:rsidRPr="006571AC">
        <w:rPr>
          <w:rFonts w:hint="cs"/>
          <w:color w:val="auto"/>
          <w:rtl/>
        </w:rPr>
        <w:t xml:space="preserve"> </w:t>
      </w:r>
    </w:p>
    <w:p w:rsidR="005D05A4" w:rsidRPr="006571AC" w:rsidRDefault="005D05A4" w:rsidP="008A57EC">
      <w:pPr>
        <w:pStyle w:val="af"/>
        <w:rPr>
          <w:rFonts w:ascii="Sakkal Majalla" w:hAnsi="Sakkal Majalla" w:cs="AL-Mohanad"/>
          <w:sz w:val="27"/>
          <w:szCs w:val="27"/>
          <w:rtl/>
        </w:rPr>
      </w:pPr>
      <w:r w:rsidRPr="006571AC">
        <w:rPr>
          <w:rFonts w:ascii="Sakkal Majalla" w:hAnsi="Sakkal Majalla" w:cs="AL-Mohanad" w:hint="cs"/>
          <w:sz w:val="27"/>
          <w:szCs w:val="27"/>
          <w:rtl/>
        </w:rPr>
        <w:t>بعد هذه الدراسة المختصرة للآ</w:t>
      </w:r>
      <w:r w:rsidRPr="006571AC">
        <w:rPr>
          <w:rFonts w:cs="AL-Mohanad" w:hint="cs"/>
          <w:sz w:val="27"/>
          <w:szCs w:val="27"/>
          <w:rtl/>
        </w:rPr>
        <w:t>ي</w:t>
      </w:r>
      <w:r w:rsidRPr="006571AC">
        <w:rPr>
          <w:rFonts w:ascii="Sakkal Majalla" w:hAnsi="Sakkal Majalla" w:cs="AL-Mohanad" w:hint="cs"/>
          <w:sz w:val="27"/>
          <w:szCs w:val="27"/>
          <w:rtl/>
        </w:rPr>
        <w:t>ة الكر</w:t>
      </w:r>
      <w:r w:rsidRPr="006571AC">
        <w:rPr>
          <w:rFonts w:cs="AL-Mohanad" w:hint="cs"/>
          <w:sz w:val="27"/>
          <w:szCs w:val="27"/>
          <w:rtl/>
        </w:rPr>
        <w:t>ي</w:t>
      </w:r>
      <w:r w:rsidRPr="006571AC">
        <w:rPr>
          <w:rFonts w:ascii="Sakkal Majalla" w:hAnsi="Sakkal Majalla" w:cs="AL-Mohanad" w:hint="cs"/>
          <w:sz w:val="27"/>
          <w:szCs w:val="27"/>
          <w:rtl/>
        </w:rPr>
        <w:t>مة، وب</w:t>
      </w:r>
      <w:r w:rsidRPr="006571AC">
        <w:rPr>
          <w:rFonts w:cs="AL-Mohanad" w:hint="cs"/>
          <w:sz w:val="27"/>
          <w:szCs w:val="27"/>
          <w:rtl/>
        </w:rPr>
        <w:t>ي</w:t>
      </w:r>
      <w:r w:rsidRPr="006571AC">
        <w:rPr>
          <w:rFonts w:ascii="Sakkal Majalla" w:hAnsi="Sakkal Majalla" w:cs="AL-Mohanad" w:hint="cs"/>
          <w:sz w:val="27"/>
          <w:szCs w:val="27"/>
          <w:rtl/>
        </w:rPr>
        <w:t>ان الأقوال ف</w:t>
      </w:r>
      <w:r w:rsidRPr="006571AC">
        <w:rPr>
          <w:rFonts w:cs="AL-Mohanad" w:hint="cs"/>
          <w:sz w:val="27"/>
          <w:szCs w:val="27"/>
          <w:rtl/>
        </w:rPr>
        <w:t>ي</w:t>
      </w:r>
      <w:r w:rsidRPr="006571AC">
        <w:rPr>
          <w:rFonts w:ascii="Sakkal Majalla" w:hAnsi="Sakkal Majalla" w:cs="AL-Mohanad" w:hint="cs"/>
          <w:sz w:val="27"/>
          <w:szCs w:val="27"/>
          <w:rtl/>
        </w:rPr>
        <w:t>ها، وما است</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دلّ به لتلك الأقوال، وب</w:t>
      </w:r>
      <w:r w:rsidRPr="006571AC">
        <w:rPr>
          <w:rFonts w:cs="AL-Mohanad" w:hint="cs"/>
          <w:sz w:val="27"/>
          <w:szCs w:val="27"/>
          <w:rtl/>
        </w:rPr>
        <w:t>ي</w:t>
      </w:r>
      <w:r w:rsidRPr="006571AC">
        <w:rPr>
          <w:rFonts w:ascii="Sakkal Majalla" w:hAnsi="Sakkal Majalla" w:cs="AL-Mohanad" w:hint="cs"/>
          <w:sz w:val="27"/>
          <w:szCs w:val="27"/>
          <w:rtl/>
        </w:rPr>
        <w:t>ان المناقشات والإشكالات والش</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ب</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هات، </w:t>
      </w:r>
      <w:r w:rsidR="008E4EBC" w:rsidRPr="006571AC">
        <w:rPr>
          <w:rFonts w:ascii="Sakkal Majalla" w:hAnsi="Sakkal Majalla" w:cs="AL-Mohanad" w:hint="cs"/>
          <w:sz w:val="27"/>
          <w:szCs w:val="27"/>
          <w:rtl/>
        </w:rPr>
        <w:t>ا</w:t>
      </w:r>
      <w:r w:rsidRPr="006571AC">
        <w:rPr>
          <w:rFonts w:ascii="Sakkal Majalla" w:hAnsi="Sakkal Majalla" w:cs="AL-Mohanad" w:hint="cs"/>
          <w:sz w:val="27"/>
          <w:szCs w:val="27"/>
          <w:rtl/>
        </w:rPr>
        <w:t>تّ</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ضح جل</w:t>
      </w:r>
      <w:r w:rsidRPr="006571AC">
        <w:rPr>
          <w:rFonts w:cs="AL-Mohanad" w:hint="cs"/>
          <w:sz w:val="27"/>
          <w:szCs w:val="27"/>
          <w:rtl/>
        </w:rPr>
        <w:t>ي</w:t>
      </w:r>
      <w:r w:rsidR="008E4EBC" w:rsidRPr="006571AC">
        <w:rPr>
          <w:rFonts w:cs="AL-Mohanad" w:hint="cs"/>
          <w:sz w:val="27"/>
          <w:szCs w:val="27"/>
          <w:rtl/>
        </w:rPr>
        <w:t>ّ</w:t>
      </w:r>
      <w:r w:rsidRPr="006571AC">
        <w:rPr>
          <w:rFonts w:ascii="Sakkal Majalla" w:hAnsi="Sakkal Majalla" w:cs="AL-Mohanad" w:hint="cs"/>
          <w:sz w:val="27"/>
          <w:szCs w:val="27"/>
          <w:rtl/>
        </w:rPr>
        <w:t>اً أنّ القول الحقّ</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والذي </w:t>
      </w:r>
      <w:r w:rsidRPr="006571AC">
        <w:rPr>
          <w:rFonts w:cs="AL-Mohanad" w:hint="cs"/>
          <w:sz w:val="27"/>
          <w:szCs w:val="27"/>
          <w:rtl/>
        </w:rPr>
        <w:t>ي</w:t>
      </w:r>
      <w:r w:rsidRPr="006571AC">
        <w:rPr>
          <w:rFonts w:ascii="Sakkal Majalla" w:hAnsi="Sakkal Majalla" w:cs="AL-Mohanad" w:hint="cs"/>
          <w:sz w:val="27"/>
          <w:szCs w:val="27"/>
          <w:rtl/>
        </w:rPr>
        <w:t>قتض</w:t>
      </w:r>
      <w:r w:rsidRPr="006571AC">
        <w:rPr>
          <w:rFonts w:cs="AL-Mohanad" w:hint="cs"/>
          <w:sz w:val="27"/>
          <w:szCs w:val="27"/>
          <w:rtl/>
        </w:rPr>
        <w:t>ي</w:t>
      </w:r>
      <w:r w:rsidRPr="006571AC">
        <w:rPr>
          <w:rFonts w:ascii="Sakkal Majalla" w:hAnsi="Sakkal Majalla" w:cs="AL-Mohanad" w:hint="cs"/>
          <w:sz w:val="27"/>
          <w:szCs w:val="27"/>
          <w:rtl/>
        </w:rPr>
        <w:t>ه الطبع السل</w:t>
      </w:r>
      <w:r w:rsidRPr="006571AC">
        <w:rPr>
          <w:rFonts w:cs="AL-Mohanad" w:hint="cs"/>
          <w:sz w:val="27"/>
          <w:szCs w:val="27"/>
          <w:rtl/>
        </w:rPr>
        <w:t>ي</w:t>
      </w:r>
      <w:r w:rsidRPr="006571AC">
        <w:rPr>
          <w:rFonts w:ascii="Sakkal Majalla" w:hAnsi="Sakkal Majalla" w:cs="AL-Mohanad" w:hint="cs"/>
          <w:sz w:val="27"/>
          <w:szCs w:val="27"/>
          <w:rtl/>
        </w:rPr>
        <w:t>م والفهم المستق</w:t>
      </w:r>
      <w:r w:rsidRPr="006571AC">
        <w:rPr>
          <w:rFonts w:cs="AL-Mohanad" w:hint="cs"/>
          <w:sz w:val="27"/>
          <w:szCs w:val="27"/>
          <w:rtl/>
        </w:rPr>
        <w:t>ي</w:t>
      </w:r>
      <w:r w:rsidRPr="006571AC">
        <w:rPr>
          <w:rFonts w:ascii="Sakkal Majalla" w:hAnsi="Sakkal Majalla" w:cs="AL-Mohanad" w:hint="cs"/>
          <w:sz w:val="27"/>
          <w:szCs w:val="27"/>
          <w:rtl/>
        </w:rPr>
        <w:t>م، بع</w:t>
      </w:r>
      <w:r w:rsidRPr="006571AC">
        <w:rPr>
          <w:rFonts w:cs="AL-Mohanad" w:hint="cs"/>
          <w:sz w:val="27"/>
          <w:szCs w:val="27"/>
          <w:rtl/>
        </w:rPr>
        <w:t>ي</w:t>
      </w:r>
      <w:r w:rsidRPr="006571AC">
        <w:rPr>
          <w:rFonts w:ascii="Sakkal Majalla" w:hAnsi="Sakkal Majalla" w:cs="AL-Mohanad" w:hint="cs"/>
          <w:sz w:val="27"/>
          <w:szCs w:val="27"/>
          <w:rtl/>
        </w:rPr>
        <w:t>داً عن الأهواء والر</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غ</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بات، وطبقاً لما تقتض</w:t>
      </w:r>
      <w:r w:rsidRPr="006571AC">
        <w:rPr>
          <w:rFonts w:cs="AL-Mohanad" w:hint="cs"/>
          <w:sz w:val="27"/>
          <w:szCs w:val="27"/>
          <w:rtl/>
        </w:rPr>
        <w:t>ي</w:t>
      </w:r>
      <w:r w:rsidRPr="006571AC">
        <w:rPr>
          <w:rFonts w:ascii="Sakkal Majalla" w:hAnsi="Sakkal Majalla" w:cs="AL-Mohanad" w:hint="cs"/>
          <w:sz w:val="27"/>
          <w:szCs w:val="27"/>
          <w:rtl/>
        </w:rPr>
        <w:t>ه المواز</w:t>
      </w:r>
      <w:r w:rsidRPr="006571AC">
        <w:rPr>
          <w:rFonts w:cs="AL-Mohanad" w:hint="cs"/>
          <w:sz w:val="27"/>
          <w:szCs w:val="27"/>
          <w:rtl/>
        </w:rPr>
        <w:t>ي</w:t>
      </w:r>
      <w:r w:rsidRPr="006571AC">
        <w:rPr>
          <w:rFonts w:ascii="Sakkal Majalla" w:hAnsi="Sakkal Majalla" w:cs="AL-Mohanad" w:hint="cs"/>
          <w:sz w:val="27"/>
          <w:szCs w:val="27"/>
          <w:rtl/>
        </w:rPr>
        <w:t>ن العلم</w:t>
      </w:r>
      <w:r w:rsidRPr="006571AC">
        <w:rPr>
          <w:rFonts w:cs="AL-Mohanad" w:hint="cs"/>
          <w:sz w:val="27"/>
          <w:szCs w:val="27"/>
          <w:rtl/>
        </w:rPr>
        <w:t>ي</w:t>
      </w:r>
      <w:r w:rsidRPr="006571AC">
        <w:rPr>
          <w:rFonts w:ascii="Sakkal Majalla" w:hAnsi="Sakkal Majalla" w:cs="AL-Mohanad" w:hint="cs"/>
          <w:sz w:val="27"/>
          <w:szCs w:val="27"/>
          <w:rtl/>
        </w:rPr>
        <w:t>ة، هو نزول الآ</w:t>
      </w:r>
      <w:r w:rsidRPr="006571AC">
        <w:rPr>
          <w:rFonts w:cs="AL-Mohanad" w:hint="cs"/>
          <w:sz w:val="27"/>
          <w:szCs w:val="27"/>
          <w:rtl/>
        </w:rPr>
        <w:t>ي</w:t>
      </w:r>
      <w:r w:rsidRPr="006571AC">
        <w:rPr>
          <w:rFonts w:ascii="Sakkal Majalla" w:hAnsi="Sakkal Majalla" w:cs="AL-Mohanad" w:hint="cs"/>
          <w:sz w:val="27"/>
          <w:szCs w:val="27"/>
          <w:rtl/>
        </w:rPr>
        <w:t>ة الكر</w:t>
      </w:r>
      <w:r w:rsidRPr="006571AC">
        <w:rPr>
          <w:rFonts w:cs="AL-Mohanad" w:hint="cs"/>
          <w:sz w:val="27"/>
          <w:szCs w:val="27"/>
          <w:rtl/>
        </w:rPr>
        <w:t>ي</w:t>
      </w:r>
      <w:r w:rsidRPr="006571AC">
        <w:rPr>
          <w:rFonts w:ascii="Sakkal Majalla" w:hAnsi="Sakkal Majalla" w:cs="AL-Mohanad" w:hint="cs"/>
          <w:sz w:val="27"/>
          <w:szCs w:val="27"/>
          <w:rtl/>
        </w:rPr>
        <w:t>مة في ولا</w:t>
      </w:r>
      <w:r w:rsidRPr="006571AC">
        <w:rPr>
          <w:rFonts w:cs="AL-Mohanad" w:hint="cs"/>
          <w:sz w:val="27"/>
          <w:szCs w:val="27"/>
          <w:rtl/>
        </w:rPr>
        <w:t>ي</w:t>
      </w:r>
      <w:r w:rsidRPr="006571AC">
        <w:rPr>
          <w:rFonts w:ascii="Sakkal Majalla" w:hAnsi="Sakkal Majalla" w:cs="AL-Mohanad" w:hint="cs"/>
          <w:sz w:val="27"/>
          <w:szCs w:val="27"/>
          <w:rtl/>
        </w:rPr>
        <w:t>ة أم</w:t>
      </w:r>
      <w:r w:rsidRPr="006571AC">
        <w:rPr>
          <w:rFonts w:cs="AL-Mohanad" w:hint="cs"/>
          <w:sz w:val="27"/>
          <w:szCs w:val="27"/>
          <w:rtl/>
        </w:rPr>
        <w:t>ي</w:t>
      </w:r>
      <w:r w:rsidRPr="006571AC">
        <w:rPr>
          <w:rFonts w:ascii="Sakkal Majalla" w:hAnsi="Sakkal Majalla" w:cs="AL-Mohanad" w:hint="cs"/>
          <w:sz w:val="27"/>
          <w:szCs w:val="27"/>
          <w:rtl/>
        </w:rPr>
        <w:t>ر المؤمن</w:t>
      </w:r>
      <w:r w:rsidRPr="006571AC">
        <w:rPr>
          <w:rFonts w:cs="AL-Mohanad" w:hint="cs"/>
          <w:sz w:val="27"/>
          <w:szCs w:val="27"/>
          <w:rtl/>
        </w:rPr>
        <w:t>ي</w:t>
      </w:r>
      <w:r w:rsidRPr="006571AC">
        <w:rPr>
          <w:rFonts w:ascii="Sakkal Majalla" w:hAnsi="Sakkal Majalla" w:cs="AL-Mohanad" w:hint="cs"/>
          <w:sz w:val="27"/>
          <w:szCs w:val="27"/>
          <w:rtl/>
        </w:rPr>
        <w:t>ن علي</w:t>
      </w:r>
      <w:r w:rsidR="008E4EB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وأنّه الخل</w:t>
      </w:r>
      <w:r w:rsidRPr="006571AC">
        <w:rPr>
          <w:rFonts w:cs="AL-Mohanad" w:hint="cs"/>
          <w:sz w:val="27"/>
          <w:szCs w:val="27"/>
          <w:rtl/>
        </w:rPr>
        <w:t>ي</w:t>
      </w:r>
      <w:r w:rsidRPr="006571AC">
        <w:rPr>
          <w:rFonts w:ascii="Sakkal Majalla" w:hAnsi="Sakkal Majalla" w:cs="AL-Mohanad" w:hint="cs"/>
          <w:sz w:val="27"/>
          <w:szCs w:val="27"/>
          <w:rtl/>
        </w:rPr>
        <w:t>فة بعد رسول الله</w:t>
      </w:r>
      <w:r w:rsidR="002A2C90" w:rsidRPr="006571AC">
        <w:rPr>
          <w:rFonts w:ascii="Mosawi" w:hAnsi="Mosawi" w:cs="Mosawi"/>
          <w:sz w:val="22"/>
          <w:szCs w:val="22"/>
          <w:rtl/>
        </w:rPr>
        <w:t>|</w:t>
      </w:r>
      <w:r w:rsidR="008A57E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وهشاشة الأقوال الأخر</w:t>
      </w:r>
      <w:r w:rsidR="008E4EBC" w:rsidRPr="006571AC">
        <w:rPr>
          <w:rFonts w:cs="AL-Mohanad" w:hint="cs"/>
          <w:sz w:val="27"/>
          <w:szCs w:val="27"/>
          <w:rtl/>
        </w:rPr>
        <w:t>ى</w:t>
      </w:r>
      <w:r w:rsidRPr="006571AC">
        <w:rPr>
          <w:rFonts w:ascii="Sakkal Majalla" w:hAnsi="Sakkal Majalla" w:cs="AL-Mohanad" w:hint="cs"/>
          <w:sz w:val="27"/>
          <w:szCs w:val="27"/>
          <w:rtl/>
        </w:rPr>
        <w:t xml:space="preserve">. </w:t>
      </w:r>
    </w:p>
    <w:p w:rsidR="005D05A4" w:rsidRPr="006571AC" w:rsidRDefault="008E4EBC" w:rsidP="00B41BA0">
      <w:pPr>
        <w:pStyle w:val="af"/>
        <w:rPr>
          <w:rFonts w:ascii="Sakkal Majalla" w:hAnsi="Sakkal Majalla" w:cs="AL-Mohanad"/>
          <w:sz w:val="27"/>
          <w:szCs w:val="27"/>
          <w:rtl/>
        </w:rPr>
      </w:pPr>
      <w:r w:rsidRPr="006571AC">
        <w:rPr>
          <w:rFonts w:ascii="Sakkal Majalla" w:hAnsi="Sakkal Majalla" w:cs="AL-Mohanad" w:hint="cs"/>
          <w:sz w:val="27"/>
          <w:szCs w:val="27"/>
          <w:rtl/>
        </w:rPr>
        <w:t>و</w:t>
      </w:r>
      <w:r w:rsidR="005D05A4" w:rsidRPr="006571AC">
        <w:rPr>
          <w:rFonts w:ascii="Sakkal Majalla" w:hAnsi="Sakkal Majalla" w:cs="AL-Mohanad" w:hint="cs"/>
          <w:sz w:val="27"/>
          <w:szCs w:val="27"/>
          <w:rtl/>
        </w:rPr>
        <w:t>لا</w:t>
      </w:r>
      <w:r w:rsidRPr="006571AC">
        <w:rPr>
          <w:rFonts w:cs="AL-Mohanad" w:hint="cs"/>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خف</w:t>
      </w:r>
      <w:r w:rsidRPr="006571AC">
        <w:rPr>
          <w:rFonts w:cs="AL-Mohanad" w:hint="cs"/>
          <w:sz w:val="27"/>
          <w:szCs w:val="27"/>
          <w:rtl/>
        </w:rPr>
        <w:t>ى</w:t>
      </w:r>
      <w:r w:rsidR="005D05A4" w:rsidRPr="006571AC">
        <w:rPr>
          <w:rFonts w:ascii="Sakkal Majalla" w:hAnsi="Sakkal Majalla" w:cs="AL-Mohanad" w:hint="cs"/>
          <w:sz w:val="27"/>
          <w:szCs w:val="27"/>
          <w:rtl/>
        </w:rPr>
        <w:t xml:space="preserve"> أنّنا عالجنا في هذه الرسالة أمراً خط</w:t>
      </w:r>
      <w:r w:rsidR="005D05A4" w:rsidRPr="006571AC">
        <w:rPr>
          <w:rFonts w:cs="AL-Mohanad" w:hint="cs"/>
          <w:sz w:val="27"/>
          <w:szCs w:val="27"/>
          <w:rtl/>
        </w:rPr>
        <w:t>ي</w:t>
      </w:r>
      <w:r w:rsidR="005D05A4" w:rsidRPr="006571AC">
        <w:rPr>
          <w:rFonts w:ascii="Sakkal Majalla" w:hAnsi="Sakkal Majalla" w:cs="AL-Mohanad" w:hint="cs"/>
          <w:sz w:val="27"/>
          <w:szCs w:val="27"/>
          <w:rtl/>
        </w:rPr>
        <w:t>راً وفي غا</w:t>
      </w:r>
      <w:r w:rsidR="005D05A4" w:rsidRPr="006571AC">
        <w:rPr>
          <w:rFonts w:cs="AL-Mohanad" w:hint="cs"/>
          <w:sz w:val="27"/>
          <w:szCs w:val="27"/>
          <w:rtl/>
        </w:rPr>
        <w:t>ي</w:t>
      </w:r>
      <w:r w:rsidR="005D05A4" w:rsidRPr="006571AC">
        <w:rPr>
          <w:rFonts w:ascii="Sakkal Majalla" w:hAnsi="Sakkal Majalla" w:cs="AL-Mohanad" w:hint="cs"/>
          <w:sz w:val="27"/>
          <w:szCs w:val="27"/>
          <w:rtl/>
        </w:rPr>
        <w:t>ة الأهم</w:t>
      </w:r>
      <w:r w:rsidRPr="006571AC">
        <w:rPr>
          <w:rFonts w:ascii="Sakkal Majalla" w:hAnsi="Sakkal Majalla" w:cs="AL-Mohanad" w:hint="cs"/>
          <w:sz w:val="27"/>
          <w:szCs w:val="27"/>
          <w:rtl/>
        </w:rPr>
        <w:t>ّ</w:t>
      </w:r>
      <w:r w:rsidR="005D05A4" w:rsidRPr="006571AC">
        <w:rPr>
          <w:rFonts w:cs="AL-Mohanad" w:hint="cs"/>
          <w:sz w:val="27"/>
          <w:szCs w:val="27"/>
          <w:rtl/>
        </w:rPr>
        <w:t>ي</w:t>
      </w:r>
      <w:r w:rsidR="005D05A4" w:rsidRPr="006571AC">
        <w:rPr>
          <w:rFonts w:ascii="Sakkal Majalla" w:hAnsi="Sakkal Majalla" w:cs="AL-Mohanad" w:hint="cs"/>
          <w:sz w:val="27"/>
          <w:szCs w:val="27"/>
          <w:rtl/>
        </w:rPr>
        <w:t xml:space="preserve">ة، كما </w:t>
      </w:r>
      <w:r w:rsidR="005D05A4" w:rsidRPr="006571AC">
        <w:rPr>
          <w:rFonts w:cs="AL-Mohanad" w:hint="cs"/>
          <w:sz w:val="27"/>
          <w:szCs w:val="27"/>
          <w:rtl/>
        </w:rPr>
        <w:t>ي</w:t>
      </w:r>
      <w:r w:rsidR="005D05A4" w:rsidRPr="006571AC">
        <w:rPr>
          <w:rFonts w:ascii="Sakkal Majalla" w:hAnsi="Sakkal Majalla" w:cs="AL-Mohanad" w:hint="cs"/>
          <w:sz w:val="27"/>
          <w:szCs w:val="27"/>
          <w:rtl/>
        </w:rPr>
        <w:t xml:space="preserve">كاد </w:t>
      </w:r>
      <w:r w:rsidR="005D05A4" w:rsidRPr="006571AC">
        <w:rPr>
          <w:rFonts w:cs="AL-Mohanad" w:hint="cs"/>
          <w:sz w:val="27"/>
          <w:szCs w:val="27"/>
          <w:rtl/>
        </w:rPr>
        <w:t>ي</w:t>
      </w:r>
      <w:r w:rsidR="005D05A4" w:rsidRPr="006571AC">
        <w:rPr>
          <w:rFonts w:ascii="Sakkal Majalla" w:hAnsi="Sakkal Majalla" w:cs="AL-Mohanad" w:hint="cs"/>
          <w:sz w:val="27"/>
          <w:szCs w:val="27"/>
          <w:rtl/>
        </w:rPr>
        <w:t>كون ذلك صر</w:t>
      </w:r>
      <w:r w:rsidR="005D05A4" w:rsidRPr="006571AC">
        <w:rPr>
          <w:rFonts w:cs="AL-Mohanad" w:hint="cs"/>
          <w:sz w:val="27"/>
          <w:szCs w:val="27"/>
          <w:rtl/>
        </w:rPr>
        <w:t>ي</w:t>
      </w:r>
      <w:r w:rsidR="005D05A4" w:rsidRPr="006571AC">
        <w:rPr>
          <w:rFonts w:ascii="Sakkal Majalla" w:hAnsi="Sakkal Majalla" w:cs="AL-Mohanad" w:hint="cs"/>
          <w:sz w:val="27"/>
          <w:szCs w:val="27"/>
          <w:rtl/>
        </w:rPr>
        <w:t>حاً في الآ</w:t>
      </w:r>
      <w:r w:rsidR="005D05A4" w:rsidRPr="006571AC">
        <w:rPr>
          <w:rFonts w:cs="AL-Mohanad" w:hint="cs"/>
          <w:sz w:val="27"/>
          <w:szCs w:val="27"/>
          <w:rtl/>
        </w:rPr>
        <w:t>ي</w:t>
      </w:r>
      <w:r w:rsidR="005D05A4" w:rsidRPr="006571AC">
        <w:rPr>
          <w:rFonts w:ascii="Sakkal Majalla" w:hAnsi="Sakkal Majalla" w:cs="AL-Mohanad" w:hint="cs"/>
          <w:sz w:val="27"/>
          <w:szCs w:val="27"/>
          <w:rtl/>
        </w:rPr>
        <w:t>ة الكر</w:t>
      </w:r>
      <w:r w:rsidR="005D05A4" w:rsidRPr="006571AC">
        <w:rPr>
          <w:rFonts w:cs="AL-Mohanad" w:hint="cs"/>
          <w:sz w:val="27"/>
          <w:szCs w:val="27"/>
          <w:rtl/>
        </w:rPr>
        <w:t>ي</w:t>
      </w:r>
      <w:r w:rsidR="005D05A4" w:rsidRPr="006571AC">
        <w:rPr>
          <w:rFonts w:ascii="Sakkal Majalla" w:hAnsi="Sakkal Majalla" w:cs="AL-Mohanad" w:hint="cs"/>
          <w:sz w:val="27"/>
          <w:szCs w:val="27"/>
          <w:rtl/>
        </w:rPr>
        <w:t>مة</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w:t>
      </w:r>
      <w:r w:rsidR="005D05A4" w:rsidRPr="006571AC">
        <w:rPr>
          <w:rFonts w:ascii="Mosawi" w:hAnsi="Mosawi" w:cs="Mosawi"/>
          <w:rtl/>
        </w:rPr>
        <w:t>﴿</w:t>
      </w:r>
      <w:r w:rsidR="005D05A4" w:rsidRPr="006571AC">
        <w:rPr>
          <w:rFonts w:ascii="Sakkal Majalla" w:hAnsi="Sakkal Majalla" w:cs="AL-Mohanad"/>
          <w:b/>
          <w:bCs/>
          <w:sz w:val="27"/>
          <w:szCs w:val="27"/>
          <w:rtl/>
        </w:rPr>
        <w:t>وَإِنْ لَمْ تَفْعَلْ فَم</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بَلَّغْتَ رِسالَتَهُ</w:t>
      </w:r>
      <w:r w:rsidR="005D05A4" w:rsidRPr="006571AC">
        <w:rPr>
          <w:rFonts w:ascii="Mosawi" w:hAnsi="Mosawi" w:cs="Mosawi"/>
          <w:rtl/>
        </w:rPr>
        <w:t>﴾</w:t>
      </w:r>
      <w:r w:rsidR="005D05A4" w:rsidRPr="006571AC">
        <w:rPr>
          <w:rFonts w:ascii="Sakkal Majalla" w:hAnsi="Sakkal Majalla" w:cs="AL-Mohanad"/>
          <w:sz w:val="27"/>
          <w:szCs w:val="27"/>
          <w:rtl/>
        </w:rPr>
        <w:t>. و</w:t>
      </w:r>
      <w:r w:rsidR="005D05A4" w:rsidRPr="006571AC">
        <w:rPr>
          <w:rFonts w:ascii="Sakkal Majalla" w:hAnsi="Sakkal Majalla" w:cs="AL-Mohanad" w:hint="cs"/>
          <w:sz w:val="27"/>
          <w:szCs w:val="27"/>
          <w:rtl/>
        </w:rPr>
        <w:t>لو أنّ المسلم</w:t>
      </w:r>
      <w:r w:rsidR="005D05A4" w:rsidRPr="006571AC">
        <w:rPr>
          <w:rFonts w:cs="AL-Mohanad" w:hint="cs"/>
          <w:sz w:val="27"/>
          <w:szCs w:val="27"/>
          <w:rtl/>
        </w:rPr>
        <w:t>ي</w:t>
      </w:r>
      <w:r w:rsidR="005D05A4" w:rsidRPr="006571AC">
        <w:rPr>
          <w:rFonts w:ascii="Sakkal Majalla" w:hAnsi="Sakkal Majalla" w:cs="AL-Mohanad" w:hint="cs"/>
          <w:sz w:val="27"/>
          <w:szCs w:val="27"/>
          <w:rtl/>
        </w:rPr>
        <w:t>ن امتثلوا أمره سبحانه وتعال</w:t>
      </w:r>
      <w:r w:rsidRPr="006571AC">
        <w:rPr>
          <w:rFonts w:cs="AL-Mohanad" w:hint="cs"/>
          <w:sz w:val="27"/>
          <w:szCs w:val="27"/>
          <w:rtl/>
        </w:rPr>
        <w:t>ى</w:t>
      </w:r>
      <w:r w:rsidR="005D05A4" w:rsidRPr="006571AC">
        <w:rPr>
          <w:rFonts w:ascii="Sakkal Majalla" w:hAnsi="Sakkal Majalla" w:cs="AL-Mohanad" w:hint="cs"/>
          <w:sz w:val="27"/>
          <w:szCs w:val="27"/>
          <w:rtl/>
        </w:rPr>
        <w:t xml:space="preserve"> في ولا</w:t>
      </w:r>
      <w:r w:rsidR="005D05A4" w:rsidRPr="006571AC">
        <w:rPr>
          <w:rFonts w:cs="AL-Mohanad" w:hint="cs"/>
          <w:sz w:val="27"/>
          <w:szCs w:val="27"/>
          <w:rtl/>
        </w:rPr>
        <w:t>ي</w:t>
      </w:r>
      <w:r w:rsidR="005D05A4" w:rsidRPr="006571AC">
        <w:rPr>
          <w:rFonts w:ascii="Sakkal Majalla" w:hAnsi="Sakkal Majalla" w:cs="AL-Mohanad" w:hint="cs"/>
          <w:sz w:val="27"/>
          <w:szCs w:val="27"/>
          <w:rtl/>
        </w:rPr>
        <w:t>ة أم</w:t>
      </w:r>
      <w:r w:rsidR="005D05A4" w:rsidRPr="006571AC">
        <w:rPr>
          <w:rFonts w:cs="AL-Mohanad" w:hint="cs"/>
          <w:sz w:val="27"/>
          <w:szCs w:val="27"/>
          <w:rtl/>
        </w:rPr>
        <w:t>ي</w:t>
      </w:r>
      <w:r w:rsidR="005D05A4" w:rsidRPr="006571AC">
        <w:rPr>
          <w:rFonts w:ascii="Sakkal Majalla" w:hAnsi="Sakkal Majalla" w:cs="AL-Mohanad" w:hint="cs"/>
          <w:sz w:val="27"/>
          <w:szCs w:val="27"/>
          <w:rtl/>
        </w:rPr>
        <w:t>ر المؤمن</w:t>
      </w:r>
      <w:r w:rsidR="005D05A4" w:rsidRPr="006571AC">
        <w:rPr>
          <w:rFonts w:cs="AL-Mohanad" w:hint="cs"/>
          <w:sz w:val="27"/>
          <w:szCs w:val="27"/>
          <w:rtl/>
        </w:rPr>
        <w:t>ي</w:t>
      </w:r>
      <w:r w:rsidR="005D05A4" w:rsidRPr="006571AC">
        <w:rPr>
          <w:rFonts w:ascii="Sakkal Majalla" w:hAnsi="Sakkal Majalla" w:cs="AL-Mohanad" w:hint="cs"/>
          <w:sz w:val="27"/>
          <w:szCs w:val="27"/>
          <w:rtl/>
        </w:rPr>
        <w:t>ن</w:t>
      </w:r>
      <w:r w:rsidR="002A2C90" w:rsidRPr="006571AC">
        <w:rPr>
          <w:rFonts w:ascii="Mosawi" w:hAnsi="Mosawi" w:cs="Mosawi"/>
          <w:sz w:val="22"/>
          <w:szCs w:val="22"/>
          <w:rtl/>
        </w:rPr>
        <w:t>×</w:t>
      </w:r>
      <w:r w:rsidR="005D05A4" w:rsidRPr="006571AC">
        <w:rPr>
          <w:rFonts w:ascii="Sakkal Majalla" w:hAnsi="Sakkal Majalla" w:cs="AL-Mohanad" w:hint="cs"/>
          <w:sz w:val="27"/>
          <w:szCs w:val="27"/>
          <w:rtl/>
        </w:rPr>
        <w:t xml:space="preserve"> لساد السلام والوئام الكرة الأرض</w:t>
      </w:r>
      <w:r w:rsidR="005D05A4" w:rsidRPr="006571AC">
        <w:rPr>
          <w:rFonts w:cs="AL-Mohanad" w:hint="cs"/>
          <w:sz w:val="27"/>
          <w:szCs w:val="27"/>
          <w:rtl/>
        </w:rPr>
        <w:t>ي</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ة، ولعاش</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ت</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البشر</w:t>
      </w:r>
      <w:r w:rsidR="005D05A4" w:rsidRPr="006571AC">
        <w:rPr>
          <w:rFonts w:cs="AL-Mohanad" w:hint="cs"/>
          <w:sz w:val="27"/>
          <w:szCs w:val="27"/>
          <w:rtl/>
        </w:rPr>
        <w:t>ي</w:t>
      </w:r>
      <w:r w:rsidR="005D05A4" w:rsidRPr="006571AC">
        <w:rPr>
          <w:rFonts w:ascii="Sakkal Majalla" w:hAnsi="Sakkal Majalla" w:cs="AL-Mohanad" w:hint="cs"/>
          <w:sz w:val="27"/>
          <w:szCs w:val="27"/>
          <w:rtl/>
        </w:rPr>
        <w:t>ة ح</w:t>
      </w:r>
      <w:r w:rsidR="005D05A4" w:rsidRPr="006571AC">
        <w:rPr>
          <w:rFonts w:cs="AL-Mohanad" w:hint="cs"/>
          <w:sz w:val="27"/>
          <w:szCs w:val="27"/>
          <w:rtl/>
        </w:rPr>
        <w:t>ي</w:t>
      </w:r>
      <w:r w:rsidR="005D05A4" w:rsidRPr="006571AC">
        <w:rPr>
          <w:rFonts w:ascii="Sakkal Majalla" w:hAnsi="Sakkal Majalla" w:cs="AL-Mohanad" w:hint="cs"/>
          <w:sz w:val="27"/>
          <w:szCs w:val="27"/>
          <w:rtl/>
        </w:rPr>
        <w:t>اةً ط</w:t>
      </w:r>
      <w:r w:rsidR="005D05A4" w:rsidRPr="006571AC">
        <w:rPr>
          <w:rFonts w:cs="AL-Mohanad" w:hint="cs"/>
          <w:sz w:val="27"/>
          <w:szCs w:val="27"/>
          <w:rtl/>
        </w:rPr>
        <w:t>ي</w:t>
      </w:r>
      <w:r w:rsidRPr="006571AC">
        <w:rPr>
          <w:rFonts w:cs="AL-Mohanad" w:hint="cs"/>
          <w:sz w:val="27"/>
          <w:szCs w:val="27"/>
          <w:rtl/>
        </w:rPr>
        <w:t>ِّ</w:t>
      </w:r>
      <w:r w:rsidRPr="006571AC">
        <w:rPr>
          <w:rFonts w:ascii="Sakkal Majalla" w:hAnsi="Sakkal Majalla" w:cs="AL-Mohanad" w:hint="cs"/>
          <w:sz w:val="27"/>
          <w:szCs w:val="27"/>
          <w:rtl/>
        </w:rPr>
        <w:t>بة،</w:t>
      </w:r>
      <w:r w:rsidR="005D05A4" w:rsidRPr="006571AC">
        <w:rPr>
          <w:rFonts w:ascii="Sakkal Majalla" w:hAnsi="Sakkal Majalla" w:cs="AL-Mohanad" w:hint="cs"/>
          <w:sz w:val="27"/>
          <w:szCs w:val="27"/>
          <w:rtl/>
        </w:rPr>
        <w:t xml:space="preserve"> وضمن</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ت</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سعادتها في الدن</w:t>
      </w:r>
      <w:r w:rsidR="005D05A4" w:rsidRPr="006571AC">
        <w:rPr>
          <w:rFonts w:cs="AL-Mohanad" w:hint="cs"/>
          <w:sz w:val="27"/>
          <w:szCs w:val="27"/>
          <w:rtl/>
        </w:rPr>
        <w:t>ي</w:t>
      </w:r>
      <w:r w:rsidR="005D05A4" w:rsidRPr="006571AC">
        <w:rPr>
          <w:rFonts w:ascii="Sakkal Majalla" w:hAnsi="Sakkal Majalla" w:cs="AL-Mohanad" w:hint="cs"/>
          <w:sz w:val="27"/>
          <w:szCs w:val="27"/>
          <w:rtl/>
        </w:rPr>
        <w:t xml:space="preserve">ا والآخرة. </w:t>
      </w:r>
    </w:p>
    <w:p w:rsidR="00E83C22" w:rsidRPr="006571AC" w:rsidRDefault="00E83C22" w:rsidP="00B41BA0">
      <w:pPr>
        <w:rPr>
          <w:rtl/>
        </w:rPr>
      </w:pPr>
    </w:p>
    <w:p w:rsidR="00E83C22" w:rsidRPr="006571AC" w:rsidRDefault="00E83C22" w:rsidP="00B41BA0">
      <w:pPr>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71"/>
          <w:headerReference w:type="default" r:id="rId72"/>
          <w:footerReference w:type="even" r:id="rId73"/>
          <w:footerReference w:type="default" r:id="rId7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75"/>
          <w:headerReference w:type="default" r:id="rId76"/>
          <w:footerReference w:type="even" r:id="rId77"/>
          <w:footerReference w:type="default" r:id="rId78"/>
          <w:headerReference w:type="first" r:id="rId7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FB4949">
      <w:pPr>
        <w:spacing w:line="390" w:lineRule="exact"/>
        <w:rPr>
          <w:rtl/>
        </w:rPr>
      </w:pPr>
    </w:p>
    <w:p w:rsidR="00E83C22" w:rsidRPr="006571AC" w:rsidRDefault="00E83C22" w:rsidP="00FB4949">
      <w:pPr>
        <w:spacing w:line="380" w:lineRule="exact"/>
        <w:rPr>
          <w:rtl/>
        </w:rPr>
      </w:pPr>
    </w:p>
    <w:p w:rsidR="00E83C22" w:rsidRPr="006571AC" w:rsidRDefault="00411510" w:rsidP="00237EB1">
      <w:pPr>
        <w:pStyle w:val="10"/>
        <w:spacing w:line="216" w:lineRule="auto"/>
        <w:rPr>
          <w:rtl/>
        </w:rPr>
      </w:pPr>
      <w:bookmarkStart w:id="173" w:name="_Toc114164661"/>
      <w:r w:rsidRPr="006571AC">
        <w:rPr>
          <w:rFonts w:hint="cs"/>
          <w:rtl/>
        </w:rPr>
        <w:t xml:space="preserve">مقدار </w:t>
      </w:r>
      <w:r w:rsidR="00237EB1" w:rsidRPr="006571AC">
        <w:rPr>
          <w:rtl/>
        </w:rPr>
        <w:t>المهر وتحديده</w:t>
      </w:r>
      <w:bookmarkEnd w:id="173"/>
    </w:p>
    <w:p w:rsidR="00E83C22" w:rsidRPr="006571AC" w:rsidRDefault="00237EB1" w:rsidP="00237EB1">
      <w:pPr>
        <w:pStyle w:val="10"/>
        <w:spacing w:line="216" w:lineRule="auto"/>
        <w:rPr>
          <w:sz w:val="26"/>
          <w:szCs w:val="42"/>
          <w:rtl/>
        </w:rPr>
      </w:pPr>
      <w:bookmarkStart w:id="174" w:name="_Toc114164662"/>
      <w:r w:rsidRPr="006571AC">
        <w:rPr>
          <w:sz w:val="26"/>
          <w:szCs w:val="42"/>
          <w:rtl/>
        </w:rPr>
        <w:t>مقارنة</w:t>
      </w:r>
      <w:r w:rsidR="000B32E4" w:rsidRPr="006571AC">
        <w:rPr>
          <w:rFonts w:hint="cs"/>
          <w:sz w:val="26"/>
          <w:szCs w:val="42"/>
          <w:rtl/>
        </w:rPr>
        <w:t>ٌ</w:t>
      </w:r>
      <w:r w:rsidRPr="006571AC">
        <w:rPr>
          <w:sz w:val="26"/>
          <w:szCs w:val="42"/>
          <w:rtl/>
        </w:rPr>
        <w:t xml:space="preserve"> بين الفقه الإمامي</w:t>
      </w:r>
      <w:r w:rsidR="00175DA9" w:rsidRPr="006571AC">
        <w:rPr>
          <w:rFonts w:hint="cs"/>
          <w:sz w:val="26"/>
          <w:szCs w:val="42"/>
          <w:rtl/>
        </w:rPr>
        <w:t>ّ</w:t>
      </w:r>
      <w:r w:rsidRPr="006571AC">
        <w:rPr>
          <w:sz w:val="26"/>
          <w:szCs w:val="42"/>
          <w:rtl/>
        </w:rPr>
        <w:t xml:space="preserve"> والقانون المدني</w:t>
      </w:r>
      <w:r w:rsidR="00175DA9" w:rsidRPr="006571AC">
        <w:rPr>
          <w:rFonts w:hint="cs"/>
          <w:sz w:val="26"/>
          <w:szCs w:val="42"/>
          <w:rtl/>
        </w:rPr>
        <w:t>ّ</w:t>
      </w:r>
      <w:r w:rsidRPr="006571AC">
        <w:rPr>
          <w:sz w:val="26"/>
          <w:szCs w:val="42"/>
          <w:rtl/>
        </w:rPr>
        <w:t xml:space="preserve"> الإيراني</w:t>
      </w:r>
      <w:r w:rsidR="00175DA9" w:rsidRPr="006571AC">
        <w:rPr>
          <w:rFonts w:hint="cs"/>
          <w:sz w:val="26"/>
          <w:szCs w:val="42"/>
          <w:rtl/>
        </w:rPr>
        <w:t>ّ</w:t>
      </w:r>
      <w:bookmarkEnd w:id="174"/>
    </w:p>
    <w:p w:rsidR="00E83C22" w:rsidRPr="006571AC" w:rsidRDefault="00E83C22" w:rsidP="00E83C22">
      <w:pPr>
        <w:spacing w:line="300" w:lineRule="exact"/>
        <w:rPr>
          <w:rtl/>
        </w:rPr>
      </w:pPr>
    </w:p>
    <w:p w:rsidR="00E83C22" w:rsidRPr="006571AC" w:rsidRDefault="00E629CB" w:rsidP="00E629CB">
      <w:pPr>
        <w:pStyle w:val="Author"/>
        <w:rPr>
          <w:rtl/>
        </w:rPr>
      </w:pPr>
      <w:r w:rsidRPr="006571AC">
        <w:rPr>
          <w:rFonts w:hint="cs"/>
          <w:rtl/>
        </w:rPr>
        <w:t>أ. شروق فقيه</w:t>
      </w:r>
      <w:r w:rsidR="00527634" w:rsidRPr="006571AC">
        <w:rPr>
          <w:rFonts w:cs="Taher" w:hint="cs"/>
          <w:vertAlign w:val="superscript"/>
          <w:rtl/>
        </w:rPr>
        <w:t>(</w:t>
      </w:r>
      <w:r w:rsidR="00527634" w:rsidRPr="006571AC">
        <w:rPr>
          <w:rFonts w:cs="Taher"/>
          <w:vertAlign w:val="superscript"/>
          <w:rtl/>
        </w:rPr>
        <w:footnoteReference w:customMarkFollows="1" w:id="10"/>
        <w:t>*)</w:t>
      </w:r>
    </w:p>
    <w:p w:rsidR="00E629CB" w:rsidRPr="006571AC" w:rsidRDefault="00E629CB" w:rsidP="00E629CB">
      <w:pPr>
        <w:pStyle w:val="Author"/>
        <w:rPr>
          <w:rtl/>
        </w:rPr>
      </w:pPr>
      <w:r w:rsidRPr="006571AC">
        <w:rPr>
          <w:rFonts w:hint="cs"/>
          <w:b/>
          <w:rtl/>
        </w:rPr>
        <w:t>د. الشيخ محسن ملك أفضلي الأردكاني</w:t>
      </w:r>
      <w:r w:rsidRPr="006571AC">
        <w:rPr>
          <w:rFonts w:cs="Taher" w:hint="cs"/>
          <w:vertAlign w:val="superscript"/>
          <w:rtl/>
        </w:rPr>
        <w:t>(*</w:t>
      </w:r>
      <w:r w:rsidRPr="006571AC">
        <w:rPr>
          <w:rFonts w:cs="Taher"/>
          <w:vertAlign w:val="superscript"/>
          <w:rtl/>
        </w:rPr>
        <w:footnoteReference w:customMarkFollows="1" w:id="11"/>
        <w:t>*)</w:t>
      </w:r>
    </w:p>
    <w:p w:rsidR="00E83C22" w:rsidRPr="006571AC" w:rsidRDefault="00E83C22" w:rsidP="00E83C22">
      <w:pPr>
        <w:spacing w:line="300" w:lineRule="exact"/>
        <w:rPr>
          <w:rtl/>
        </w:rPr>
      </w:pPr>
    </w:p>
    <w:p w:rsidR="00237EB1" w:rsidRPr="006571AC" w:rsidRDefault="00237EB1" w:rsidP="00E629CB">
      <w:pPr>
        <w:pStyle w:val="31"/>
        <w:rPr>
          <w:color w:val="auto"/>
          <w:rtl/>
        </w:rPr>
      </w:pPr>
      <w:bookmarkStart w:id="175" w:name="_Toc79281883"/>
      <w:bookmarkStart w:id="176" w:name="_Toc114164663"/>
      <w:r w:rsidRPr="006571AC">
        <w:rPr>
          <w:color w:val="auto"/>
          <w:rtl/>
        </w:rPr>
        <w:t>مقد</w:t>
      </w:r>
      <w:r w:rsidRPr="006571AC">
        <w:rPr>
          <w:rFonts w:hint="cs"/>
          <w:color w:val="auto"/>
          <w:rtl/>
        </w:rPr>
        <w:t>ّ</w:t>
      </w:r>
      <w:r w:rsidRPr="006571AC">
        <w:rPr>
          <w:color w:val="auto"/>
          <w:rtl/>
        </w:rPr>
        <w:t>مة</w:t>
      </w:r>
      <w:bookmarkEnd w:id="175"/>
      <w:r w:rsidR="0059083D" w:rsidRPr="006571AC">
        <w:rPr>
          <w:rFonts w:hint="cs"/>
          <w:color w:val="auto"/>
          <w:rtl/>
        </w:rPr>
        <w:t>ٌ</w:t>
      </w:r>
      <w:bookmarkEnd w:id="176"/>
      <w:r w:rsidRPr="006571AC">
        <w:rPr>
          <w:color w:val="auto"/>
          <w:rtl/>
        </w:rPr>
        <w:t xml:space="preserve"> </w:t>
      </w:r>
    </w:p>
    <w:p w:rsidR="00237EB1" w:rsidRPr="006571AC" w:rsidRDefault="005F1AD6" w:rsidP="009F31B5">
      <w:pPr>
        <w:rPr>
          <w:sz w:val="27"/>
          <w:rtl/>
        </w:rPr>
      </w:pPr>
      <w:r w:rsidRPr="006571AC">
        <w:rPr>
          <w:rFonts w:hint="cs"/>
          <w:sz w:val="27"/>
          <w:rtl/>
        </w:rPr>
        <w:t xml:space="preserve">تُعَدّ </w:t>
      </w:r>
      <w:r w:rsidR="00237EB1" w:rsidRPr="006571AC">
        <w:rPr>
          <w:rFonts w:hint="cs"/>
          <w:sz w:val="27"/>
          <w:rtl/>
        </w:rPr>
        <w:t>قضي</w:t>
      </w:r>
      <w:r w:rsidRPr="006571AC">
        <w:rPr>
          <w:rFonts w:hint="cs"/>
          <w:sz w:val="27"/>
          <w:rtl/>
        </w:rPr>
        <w:t>ة</w:t>
      </w:r>
      <w:r w:rsidR="00237EB1" w:rsidRPr="006571AC">
        <w:rPr>
          <w:sz w:val="27"/>
          <w:rtl/>
        </w:rPr>
        <w:t xml:space="preserve"> </w:t>
      </w:r>
      <w:r w:rsidR="00237EB1" w:rsidRPr="006571AC">
        <w:rPr>
          <w:rFonts w:hint="cs"/>
          <w:sz w:val="27"/>
          <w:rtl/>
        </w:rPr>
        <w:t>المهر</w:t>
      </w:r>
      <w:r w:rsidR="00237EB1" w:rsidRPr="006571AC">
        <w:rPr>
          <w:sz w:val="27"/>
          <w:rtl/>
        </w:rPr>
        <w:t xml:space="preserve"> </w:t>
      </w:r>
      <w:r w:rsidR="00237EB1" w:rsidRPr="006571AC">
        <w:rPr>
          <w:rFonts w:hint="cs"/>
          <w:sz w:val="27"/>
          <w:rtl/>
        </w:rPr>
        <w:t>قضي</w:t>
      </w:r>
      <w:r w:rsidRPr="006571AC">
        <w:rPr>
          <w:rFonts w:hint="cs"/>
          <w:sz w:val="27"/>
          <w:rtl/>
        </w:rPr>
        <w:t>ّ</w:t>
      </w:r>
      <w:r w:rsidR="00237EB1" w:rsidRPr="006571AC">
        <w:rPr>
          <w:rFonts w:hint="cs"/>
          <w:sz w:val="27"/>
          <w:rtl/>
        </w:rPr>
        <w:t>ة</w:t>
      </w:r>
      <w:r w:rsidRPr="006571AC">
        <w:rPr>
          <w:rFonts w:hint="cs"/>
          <w:sz w:val="27"/>
          <w:rtl/>
        </w:rPr>
        <w:t>ً</w:t>
      </w:r>
      <w:r w:rsidR="00237EB1" w:rsidRPr="006571AC">
        <w:rPr>
          <w:sz w:val="27"/>
          <w:rtl/>
        </w:rPr>
        <w:t xml:space="preserve"> </w:t>
      </w:r>
      <w:r w:rsidR="00237EB1" w:rsidRPr="006571AC">
        <w:rPr>
          <w:rFonts w:hint="cs"/>
          <w:sz w:val="27"/>
          <w:rtl/>
        </w:rPr>
        <w:t>مهم</w:t>
      </w:r>
      <w:r w:rsidRPr="006571AC">
        <w:rPr>
          <w:rFonts w:hint="cs"/>
          <w:sz w:val="27"/>
          <w:rtl/>
        </w:rPr>
        <w:t>ّ</w:t>
      </w:r>
      <w:r w:rsidR="00237EB1" w:rsidRPr="006571AC">
        <w:rPr>
          <w:rFonts w:hint="cs"/>
          <w:sz w:val="27"/>
          <w:rtl/>
        </w:rPr>
        <w:t>ة</w:t>
      </w:r>
      <w:r w:rsidRPr="006571AC">
        <w:rPr>
          <w:rFonts w:hint="cs"/>
          <w:sz w:val="27"/>
          <w:rtl/>
        </w:rPr>
        <w:t>ً</w:t>
      </w:r>
      <w:r w:rsidR="00237EB1" w:rsidRPr="006571AC">
        <w:rPr>
          <w:sz w:val="27"/>
          <w:rtl/>
        </w:rPr>
        <w:t xml:space="preserve"> </w:t>
      </w:r>
      <w:r w:rsidR="00237EB1" w:rsidRPr="006571AC">
        <w:rPr>
          <w:rFonts w:hint="cs"/>
          <w:sz w:val="27"/>
          <w:rtl/>
        </w:rPr>
        <w:t>ودقيقة</w:t>
      </w:r>
      <w:r w:rsidRPr="006571AC">
        <w:rPr>
          <w:rFonts w:hint="cs"/>
          <w:sz w:val="27"/>
          <w:rtl/>
        </w:rPr>
        <w:t>ً</w:t>
      </w:r>
      <w:r w:rsidR="00237EB1" w:rsidRPr="006571AC">
        <w:rPr>
          <w:rFonts w:hint="cs"/>
          <w:sz w:val="27"/>
          <w:rtl/>
        </w:rPr>
        <w:t xml:space="preserve"> في الشريعة الإسلامية</w:t>
      </w:r>
      <w:r w:rsidRPr="006571AC">
        <w:rPr>
          <w:rFonts w:hint="cs"/>
          <w:sz w:val="27"/>
          <w:rtl/>
        </w:rPr>
        <w:t>،</w:t>
      </w:r>
      <w:r w:rsidR="00237EB1" w:rsidRPr="006571AC">
        <w:rPr>
          <w:rFonts w:hint="cs"/>
          <w:sz w:val="27"/>
          <w:rtl/>
        </w:rPr>
        <w:t xml:space="preserve"> وحذا ح</w:t>
      </w:r>
      <w:r w:rsidR="009F31B5" w:rsidRPr="006571AC">
        <w:rPr>
          <w:rFonts w:hint="cs"/>
          <w:sz w:val="27"/>
          <w:rtl/>
        </w:rPr>
        <w:t>َ</w:t>
      </w:r>
      <w:r w:rsidR="00237EB1" w:rsidRPr="006571AC">
        <w:rPr>
          <w:rFonts w:hint="cs"/>
          <w:sz w:val="27"/>
          <w:rtl/>
        </w:rPr>
        <w:t>ذ</w:t>
      </w:r>
      <w:r w:rsidR="009F31B5" w:rsidRPr="006571AC">
        <w:rPr>
          <w:rFonts w:hint="cs"/>
          <w:sz w:val="27"/>
          <w:rtl/>
        </w:rPr>
        <w:t>ْ</w:t>
      </w:r>
      <w:r w:rsidR="00237EB1" w:rsidRPr="006571AC">
        <w:rPr>
          <w:rFonts w:hint="cs"/>
          <w:sz w:val="27"/>
          <w:rtl/>
        </w:rPr>
        <w:t>وها القانون المدني الإيراني</w:t>
      </w:r>
      <w:r w:rsidRPr="006571AC">
        <w:rPr>
          <w:rFonts w:hint="cs"/>
          <w:sz w:val="27"/>
          <w:rtl/>
        </w:rPr>
        <w:t>،</w:t>
      </w:r>
      <w:r w:rsidR="00237EB1" w:rsidRPr="006571AC">
        <w:rPr>
          <w:rFonts w:hint="cs"/>
          <w:sz w:val="27"/>
          <w:rtl/>
        </w:rPr>
        <w:t xml:space="preserve"> حيث </w:t>
      </w:r>
      <w:r w:rsidRPr="006571AC">
        <w:rPr>
          <w:rFonts w:hint="cs"/>
          <w:sz w:val="27"/>
          <w:rtl/>
        </w:rPr>
        <w:t>أُ</w:t>
      </w:r>
      <w:r w:rsidR="00237EB1" w:rsidRPr="006571AC">
        <w:rPr>
          <w:rFonts w:hint="cs"/>
          <w:sz w:val="27"/>
          <w:rtl/>
        </w:rPr>
        <w:t xml:space="preserve">درجت </w:t>
      </w:r>
      <w:r w:rsidR="009F31B5" w:rsidRPr="006571AC">
        <w:rPr>
          <w:rFonts w:hint="cs"/>
          <w:sz w:val="27"/>
          <w:rtl/>
        </w:rPr>
        <w:t>أ</w:t>
      </w:r>
      <w:r w:rsidR="00237EB1" w:rsidRPr="006571AC">
        <w:rPr>
          <w:rFonts w:hint="cs"/>
          <w:sz w:val="27"/>
          <w:rtl/>
        </w:rPr>
        <w:t>حكامه ضمن المواد القانونية طبقا</w:t>
      </w:r>
      <w:r w:rsidRPr="006571AC">
        <w:rPr>
          <w:rFonts w:hint="cs"/>
          <w:sz w:val="27"/>
          <w:rtl/>
        </w:rPr>
        <w:t>ً</w:t>
      </w:r>
      <w:r w:rsidR="00237EB1" w:rsidRPr="006571AC">
        <w:rPr>
          <w:rFonts w:hint="cs"/>
          <w:sz w:val="27"/>
          <w:rtl/>
        </w:rPr>
        <w:t xml:space="preserve"> لأحكام الشارع المقد</w:t>
      </w:r>
      <w:r w:rsidRPr="006571AC">
        <w:rPr>
          <w:rFonts w:hint="cs"/>
          <w:sz w:val="27"/>
          <w:rtl/>
        </w:rPr>
        <w:t>َّ</w:t>
      </w:r>
      <w:r w:rsidR="00237EB1" w:rsidRPr="006571AC">
        <w:rPr>
          <w:rFonts w:hint="cs"/>
          <w:sz w:val="27"/>
          <w:rtl/>
        </w:rPr>
        <w:t>س</w:t>
      </w:r>
      <w:r w:rsidRPr="006571AC">
        <w:rPr>
          <w:rFonts w:hint="cs"/>
          <w:sz w:val="27"/>
          <w:rtl/>
        </w:rPr>
        <w:t>؛</w:t>
      </w:r>
      <w:r w:rsidR="00237EB1" w:rsidRPr="006571AC">
        <w:rPr>
          <w:rFonts w:hint="cs"/>
          <w:sz w:val="27"/>
          <w:rtl/>
        </w:rPr>
        <w:t xml:space="preserve"> لأنّ المهر</w:t>
      </w:r>
      <w:r w:rsidR="00237EB1" w:rsidRPr="006571AC">
        <w:rPr>
          <w:sz w:val="27"/>
          <w:rtl/>
        </w:rPr>
        <w:t xml:space="preserve"> </w:t>
      </w:r>
      <w:r w:rsidR="00237EB1" w:rsidRPr="006571AC">
        <w:rPr>
          <w:rFonts w:hint="cs"/>
          <w:sz w:val="27"/>
          <w:rtl/>
        </w:rPr>
        <w:t>بح</w:t>
      </w:r>
      <w:r w:rsidRPr="006571AC">
        <w:rPr>
          <w:rFonts w:hint="cs"/>
          <w:sz w:val="27"/>
          <w:rtl/>
        </w:rPr>
        <w:t>َ</w:t>
      </w:r>
      <w:r w:rsidR="00237EB1" w:rsidRPr="006571AC">
        <w:rPr>
          <w:rFonts w:hint="cs"/>
          <w:sz w:val="27"/>
          <w:rtl/>
        </w:rPr>
        <w:t>س</w:t>
      </w:r>
      <w:r w:rsidRPr="006571AC">
        <w:rPr>
          <w:rFonts w:hint="cs"/>
          <w:sz w:val="27"/>
          <w:rtl/>
        </w:rPr>
        <w:t>َ</w:t>
      </w:r>
      <w:r w:rsidR="00237EB1" w:rsidRPr="006571AC">
        <w:rPr>
          <w:rFonts w:hint="cs"/>
          <w:sz w:val="27"/>
          <w:rtl/>
        </w:rPr>
        <w:t>ب الآيات والروايات له فلسفة</w:t>
      </w:r>
      <w:r w:rsidRPr="006571AC">
        <w:rPr>
          <w:rFonts w:hint="cs"/>
          <w:sz w:val="27"/>
          <w:rtl/>
        </w:rPr>
        <w:t>ٌ</w:t>
      </w:r>
      <w:r w:rsidR="00237EB1" w:rsidRPr="006571AC">
        <w:rPr>
          <w:rFonts w:hint="cs"/>
          <w:sz w:val="27"/>
          <w:rtl/>
        </w:rPr>
        <w:t xml:space="preserve"> خاص</w:t>
      </w:r>
      <w:r w:rsidR="00CE0F84" w:rsidRPr="006571AC">
        <w:rPr>
          <w:rFonts w:hint="cs"/>
          <w:sz w:val="27"/>
          <w:rtl/>
        </w:rPr>
        <w:t>ّ</w:t>
      </w:r>
      <w:r w:rsidR="00237EB1" w:rsidRPr="006571AC">
        <w:rPr>
          <w:rFonts w:hint="cs"/>
          <w:sz w:val="27"/>
          <w:rtl/>
        </w:rPr>
        <w:t>ة</w:t>
      </w:r>
      <w:r w:rsidRPr="006571AC">
        <w:rPr>
          <w:rFonts w:hint="cs"/>
          <w:sz w:val="27"/>
          <w:rtl/>
        </w:rPr>
        <w:t>،</w:t>
      </w:r>
      <w:r w:rsidR="00237EB1" w:rsidRPr="006571AC">
        <w:rPr>
          <w:rFonts w:hint="cs"/>
          <w:sz w:val="27"/>
          <w:rtl/>
        </w:rPr>
        <w:t xml:space="preserve"> وأقسام</w:t>
      </w:r>
      <w:r w:rsidRPr="006571AC">
        <w:rPr>
          <w:rFonts w:hint="cs"/>
          <w:sz w:val="27"/>
          <w:rtl/>
        </w:rPr>
        <w:t>ٌ،</w:t>
      </w:r>
      <w:r w:rsidR="00237EB1" w:rsidRPr="006571AC">
        <w:rPr>
          <w:rFonts w:hint="cs"/>
          <w:sz w:val="27"/>
          <w:rtl/>
        </w:rPr>
        <w:t xml:space="preserve"> وأحكام</w:t>
      </w:r>
      <w:r w:rsidRPr="006571AC">
        <w:rPr>
          <w:rFonts w:hint="cs"/>
          <w:sz w:val="27"/>
          <w:rtl/>
        </w:rPr>
        <w:t>ٌ،</w:t>
      </w:r>
      <w:r w:rsidR="00237EB1" w:rsidRPr="006571AC">
        <w:rPr>
          <w:rFonts w:hint="cs"/>
          <w:sz w:val="27"/>
          <w:rtl/>
        </w:rPr>
        <w:t xml:space="preserve"> وآثار</w:t>
      </w:r>
      <w:r w:rsidRPr="006571AC">
        <w:rPr>
          <w:rFonts w:hint="cs"/>
          <w:sz w:val="27"/>
          <w:rtl/>
        </w:rPr>
        <w:t>ٌ،</w:t>
      </w:r>
      <w:r w:rsidR="00237EB1" w:rsidRPr="006571AC">
        <w:rPr>
          <w:rFonts w:hint="cs"/>
          <w:sz w:val="27"/>
          <w:rtl/>
        </w:rPr>
        <w:t xml:space="preserve"> سوف نتعر</w:t>
      </w:r>
      <w:r w:rsidRPr="006571AC">
        <w:rPr>
          <w:rFonts w:hint="cs"/>
          <w:sz w:val="27"/>
          <w:rtl/>
        </w:rPr>
        <w:t>َّ</w:t>
      </w:r>
      <w:r w:rsidR="00237EB1" w:rsidRPr="006571AC">
        <w:rPr>
          <w:rFonts w:hint="cs"/>
          <w:sz w:val="27"/>
          <w:rtl/>
        </w:rPr>
        <w:t>ف عليها في هذا المقال</w:t>
      </w:r>
      <w:r w:rsidRPr="006571AC">
        <w:rPr>
          <w:rFonts w:hint="cs"/>
          <w:sz w:val="27"/>
          <w:rtl/>
        </w:rPr>
        <w:t>.</w:t>
      </w:r>
      <w:r w:rsidR="00237EB1" w:rsidRPr="006571AC">
        <w:rPr>
          <w:rFonts w:hint="cs"/>
          <w:sz w:val="27"/>
          <w:rtl/>
        </w:rPr>
        <w:t xml:space="preserve"> ومم</w:t>
      </w:r>
      <w:r w:rsidR="00B53048" w:rsidRPr="006571AC">
        <w:rPr>
          <w:rFonts w:hint="cs"/>
          <w:sz w:val="27"/>
          <w:rtl/>
        </w:rPr>
        <w:t>ّ</w:t>
      </w:r>
      <w:r w:rsidR="00237EB1" w:rsidRPr="006571AC">
        <w:rPr>
          <w:rFonts w:hint="cs"/>
          <w:sz w:val="27"/>
          <w:rtl/>
        </w:rPr>
        <w:t>ا ي</w:t>
      </w:r>
      <w:r w:rsidRPr="006571AC">
        <w:rPr>
          <w:rFonts w:hint="cs"/>
          <w:sz w:val="27"/>
          <w:rtl/>
        </w:rPr>
        <w:t>ُ</w:t>
      </w:r>
      <w:r w:rsidR="00237EB1" w:rsidRPr="006571AC">
        <w:rPr>
          <w:rFonts w:hint="cs"/>
          <w:sz w:val="27"/>
          <w:rtl/>
        </w:rPr>
        <w:t>ؤس</w:t>
      </w:r>
      <w:r w:rsidRPr="006571AC">
        <w:rPr>
          <w:rFonts w:hint="cs"/>
          <w:sz w:val="27"/>
          <w:rtl/>
        </w:rPr>
        <w:t>َ</w:t>
      </w:r>
      <w:r w:rsidR="00237EB1" w:rsidRPr="006571AC">
        <w:rPr>
          <w:rFonts w:hint="cs"/>
          <w:sz w:val="27"/>
          <w:rtl/>
        </w:rPr>
        <w:t>ف له أنّ</w:t>
      </w:r>
      <w:r w:rsidR="00237EB1" w:rsidRPr="006571AC">
        <w:rPr>
          <w:sz w:val="27"/>
          <w:rtl/>
        </w:rPr>
        <w:t xml:space="preserve"> </w:t>
      </w:r>
      <w:r w:rsidR="00EE14F1" w:rsidRPr="006571AC">
        <w:rPr>
          <w:rFonts w:hint="cs"/>
          <w:sz w:val="27"/>
          <w:rtl/>
        </w:rPr>
        <w:t xml:space="preserve">غلاء </w:t>
      </w:r>
      <w:r w:rsidR="00237EB1" w:rsidRPr="006571AC">
        <w:rPr>
          <w:rFonts w:hint="cs"/>
          <w:sz w:val="27"/>
          <w:rtl/>
        </w:rPr>
        <w:t>المهر</w:t>
      </w:r>
      <w:r w:rsidR="00B53048" w:rsidRPr="006571AC">
        <w:rPr>
          <w:rFonts w:hint="cs"/>
          <w:sz w:val="27"/>
          <w:rtl/>
        </w:rPr>
        <w:t xml:space="preserve"> ـ</w:t>
      </w:r>
      <w:r w:rsidR="00237EB1" w:rsidRPr="006571AC">
        <w:rPr>
          <w:sz w:val="27"/>
          <w:rtl/>
        </w:rPr>
        <w:t xml:space="preserve"> </w:t>
      </w:r>
      <w:r w:rsidR="00237EB1" w:rsidRPr="006571AC">
        <w:rPr>
          <w:rFonts w:hint="cs"/>
          <w:sz w:val="27"/>
          <w:rtl/>
        </w:rPr>
        <w:t>الذي</w:t>
      </w:r>
      <w:r w:rsidR="00237EB1" w:rsidRPr="006571AC">
        <w:rPr>
          <w:sz w:val="27"/>
          <w:rtl/>
        </w:rPr>
        <w:t xml:space="preserve"> </w:t>
      </w:r>
      <w:r w:rsidR="00237EB1" w:rsidRPr="006571AC">
        <w:rPr>
          <w:rFonts w:hint="cs"/>
          <w:sz w:val="27"/>
          <w:rtl/>
        </w:rPr>
        <w:t>تمّ</w:t>
      </w:r>
      <w:r w:rsidR="00237EB1" w:rsidRPr="006571AC">
        <w:rPr>
          <w:sz w:val="27"/>
          <w:rtl/>
        </w:rPr>
        <w:t xml:space="preserve"> </w:t>
      </w:r>
      <w:r w:rsidR="00237EB1" w:rsidRPr="006571AC">
        <w:rPr>
          <w:rFonts w:hint="cs"/>
          <w:sz w:val="27"/>
          <w:rtl/>
        </w:rPr>
        <w:t>إنشاؤه</w:t>
      </w:r>
      <w:r w:rsidR="00237EB1" w:rsidRPr="006571AC">
        <w:rPr>
          <w:sz w:val="27"/>
          <w:rtl/>
        </w:rPr>
        <w:t xml:space="preserve"> </w:t>
      </w:r>
      <w:r w:rsidR="00237EB1" w:rsidRPr="006571AC">
        <w:rPr>
          <w:rFonts w:hint="cs"/>
          <w:sz w:val="27"/>
          <w:rtl/>
        </w:rPr>
        <w:t>للمساعدة</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تأسيس</w:t>
      </w:r>
      <w:r w:rsidR="00237EB1" w:rsidRPr="006571AC">
        <w:rPr>
          <w:sz w:val="27"/>
          <w:rtl/>
        </w:rPr>
        <w:t xml:space="preserve"> </w:t>
      </w:r>
      <w:r w:rsidR="00237EB1" w:rsidRPr="006571AC">
        <w:rPr>
          <w:rFonts w:hint="cs"/>
          <w:sz w:val="27"/>
          <w:rtl/>
        </w:rPr>
        <w:t>وتقوية</w:t>
      </w:r>
      <w:r w:rsidR="00237EB1" w:rsidRPr="006571AC">
        <w:rPr>
          <w:sz w:val="27"/>
          <w:rtl/>
        </w:rPr>
        <w:t xml:space="preserve"> </w:t>
      </w:r>
      <w:r w:rsidR="00237EB1" w:rsidRPr="006571AC">
        <w:rPr>
          <w:rFonts w:hint="cs"/>
          <w:sz w:val="27"/>
          <w:rtl/>
        </w:rPr>
        <w:t>الرابطة</w:t>
      </w:r>
      <w:r w:rsidR="00237EB1" w:rsidRPr="006571AC">
        <w:rPr>
          <w:sz w:val="27"/>
          <w:rtl/>
        </w:rPr>
        <w:t xml:space="preserve"> </w:t>
      </w:r>
      <w:r w:rsidR="00237EB1" w:rsidRPr="006571AC">
        <w:rPr>
          <w:rFonts w:hint="cs"/>
          <w:sz w:val="27"/>
          <w:rtl/>
        </w:rPr>
        <w:t>الزوجية</w:t>
      </w:r>
      <w:r w:rsidR="00CE0F84" w:rsidRPr="006571AC">
        <w:rPr>
          <w:rFonts w:hint="cs"/>
          <w:sz w:val="27"/>
          <w:rtl/>
        </w:rPr>
        <w:t>،</w:t>
      </w:r>
      <w:r w:rsidR="00237EB1" w:rsidRPr="006571AC">
        <w:rPr>
          <w:rFonts w:hint="cs"/>
          <w:sz w:val="27"/>
          <w:rtl/>
        </w:rPr>
        <w:t xml:space="preserve"> </w:t>
      </w:r>
      <w:r w:rsidR="00CE0F84" w:rsidRPr="006571AC">
        <w:rPr>
          <w:rFonts w:hint="cs"/>
          <w:sz w:val="27"/>
          <w:rtl/>
        </w:rPr>
        <w:t>و</w:t>
      </w:r>
      <w:r w:rsidR="00237EB1" w:rsidRPr="006571AC">
        <w:rPr>
          <w:rFonts w:hint="cs"/>
          <w:sz w:val="27"/>
          <w:rtl/>
        </w:rPr>
        <w:t>الذي هو المهر الخفيف</w:t>
      </w:r>
      <w:r w:rsidR="00CE0F84" w:rsidRPr="006571AC">
        <w:rPr>
          <w:rFonts w:hint="cs"/>
          <w:sz w:val="27"/>
          <w:rtl/>
        </w:rPr>
        <w:t>،</w:t>
      </w:r>
      <w:r w:rsidR="00237EB1" w:rsidRPr="006571AC">
        <w:rPr>
          <w:rFonts w:hint="cs"/>
          <w:sz w:val="27"/>
          <w:rtl/>
        </w:rPr>
        <w:t xml:space="preserve"> بح</w:t>
      </w:r>
      <w:r w:rsidR="00CE0F84" w:rsidRPr="006571AC">
        <w:rPr>
          <w:rFonts w:hint="cs"/>
          <w:sz w:val="27"/>
          <w:rtl/>
        </w:rPr>
        <w:t>َ</w:t>
      </w:r>
      <w:r w:rsidR="00237EB1" w:rsidRPr="006571AC">
        <w:rPr>
          <w:rFonts w:hint="cs"/>
          <w:sz w:val="27"/>
          <w:rtl/>
        </w:rPr>
        <w:t>س</w:t>
      </w:r>
      <w:r w:rsidR="00CE0F84" w:rsidRPr="006571AC">
        <w:rPr>
          <w:rFonts w:hint="cs"/>
          <w:sz w:val="27"/>
          <w:rtl/>
        </w:rPr>
        <w:t>َ</w:t>
      </w:r>
      <w:r w:rsidR="00237EB1" w:rsidRPr="006571AC">
        <w:rPr>
          <w:rFonts w:hint="cs"/>
          <w:sz w:val="27"/>
          <w:rtl/>
        </w:rPr>
        <w:t xml:space="preserve">ب </w:t>
      </w:r>
      <w:r w:rsidR="00CE0F84" w:rsidRPr="006571AC">
        <w:rPr>
          <w:rFonts w:hint="cs"/>
          <w:sz w:val="27"/>
          <w:rtl/>
        </w:rPr>
        <w:t>تأكيد</w:t>
      </w:r>
      <w:r w:rsidR="00237EB1" w:rsidRPr="006571AC">
        <w:rPr>
          <w:rFonts w:hint="cs"/>
          <w:sz w:val="27"/>
          <w:rtl/>
        </w:rPr>
        <w:t xml:space="preserve"> الروايات</w:t>
      </w:r>
      <w:r w:rsidR="00CE0F84" w:rsidRPr="006571AC">
        <w:rPr>
          <w:rFonts w:hint="cs"/>
          <w:sz w:val="27"/>
          <w:rtl/>
        </w:rPr>
        <w:t>،</w:t>
      </w:r>
      <w:r w:rsidR="00237EB1" w:rsidRPr="006571AC">
        <w:rPr>
          <w:rFonts w:hint="cs"/>
          <w:sz w:val="27"/>
          <w:rtl/>
        </w:rPr>
        <w:t xml:space="preserve"> وإعلان الشارع رفضه للمهور الغالية</w:t>
      </w:r>
      <w:r w:rsidR="00CE0F84" w:rsidRPr="006571AC">
        <w:rPr>
          <w:rFonts w:hint="cs"/>
          <w:sz w:val="27"/>
          <w:rtl/>
        </w:rPr>
        <w:t>،</w:t>
      </w:r>
      <w:r w:rsidR="00237EB1" w:rsidRPr="006571AC">
        <w:rPr>
          <w:rFonts w:hint="cs"/>
          <w:sz w:val="27"/>
          <w:rtl/>
        </w:rPr>
        <w:t xml:space="preserve"> </w:t>
      </w:r>
      <w:r w:rsidR="00CE0F84" w:rsidRPr="006571AC">
        <w:rPr>
          <w:rFonts w:hint="cs"/>
          <w:sz w:val="27"/>
          <w:rtl/>
        </w:rPr>
        <w:t>حيث</w:t>
      </w:r>
      <w:r w:rsidR="00237EB1" w:rsidRPr="006571AC">
        <w:rPr>
          <w:rFonts w:hint="cs"/>
          <w:sz w:val="27"/>
          <w:rtl/>
        </w:rPr>
        <w:t xml:space="preserve"> ورد </w:t>
      </w:r>
      <w:r w:rsidR="00B53048" w:rsidRPr="006571AC">
        <w:rPr>
          <w:rFonts w:hint="cs"/>
          <w:sz w:val="27"/>
          <w:rtl/>
        </w:rPr>
        <w:t>أنهم</w:t>
      </w:r>
      <w:r w:rsidR="00237EB1" w:rsidRPr="006571AC">
        <w:rPr>
          <w:rFonts w:hint="cs"/>
          <w:sz w:val="27"/>
          <w:rtl/>
        </w:rPr>
        <w:t xml:space="preserve"> </w:t>
      </w:r>
      <w:r w:rsidR="00237EB1" w:rsidRPr="006571AC">
        <w:rPr>
          <w:rFonts w:hint="eastAsia"/>
          <w:sz w:val="24"/>
          <w:szCs w:val="24"/>
          <w:rtl/>
        </w:rPr>
        <w:t>«</w:t>
      </w:r>
      <w:r w:rsidR="00237EB1" w:rsidRPr="006571AC">
        <w:rPr>
          <w:rFonts w:hint="cs"/>
          <w:sz w:val="27"/>
          <w:rtl/>
        </w:rPr>
        <w:t>تَذَاكَرُوا</w:t>
      </w:r>
      <w:r w:rsidR="00237EB1" w:rsidRPr="006571AC">
        <w:rPr>
          <w:sz w:val="27"/>
          <w:rtl/>
        </w:rPr>
        <w:t xml:space="preserve"> </w:t>
      </w:r>
      <w:r w:rsidR="00237EB1" w:rsidRPr="006571AC">
        <w:rPr>
          <w:rFonts w:hint="cs"/>
          <w:sz w:val="27"/>
          <w:rtl/>
        </w:rPr>
        <w:t>الشُّؤْمَ</w:t>
      </w:r>
      <w:r w:rsidR="00237EB1" w:rsidRPr="006571AC">
        <w:rPr>
          <w:sz w:val="27"/>
          <w:rtl/>
        </w:rPr>
        <w:t xml:space="preserve"> </w:t>
      </w:r>
      <w:r w:rsidR="00237EB1" w:rsidRPr="006571AC">
        <w:rPr>
          <w:rFonts w:hint="cs"/>
          <w:sz w:val="27"/>
          <w:rtl/>
        </w:rPr>
        <w:t>عِنْدَ</w:t>
      </w:r>
      <w:r w:rsidR="00237EB1" w:rsidRPr="006571AC">
        <w:rPr>
          <w:sz w:val="27"/>
          <w:rtl/>
        </w:rPr>
        <w:t xml:space="preserve"> </w:t>
      </w:r>
      <w:r w:rsidR="00237EB1" w:rsidRPr="006571AC">
        <w:rPr>
          <w:rFonts w:hint="cs"/>
          <w:sz w:val="27"/>
          <w:rtl/>
        </w:rPr>
        <w:t>أَبِي</w:t>
      </w:r>
      <w:r w:rsidR="00237EB1" w:rsidRPr="006571AC">
        <w:rPr>
          <w:sz w:val="27"/>
          <w:rtl/>
        </w:rPr>
        <w:t xml:space="preserve"> </w:t>
      </w:r>
      <w:r w:rsidR="00237EB1" w:rsidRPr="006571AC">
        <w:rPr>
          <w:rFonts w:hint="cs"/>
          <w:sz w:val="27"/>
          <w:rtl/>
        </w:rPr>
        <w:t>عَبْدِ</w:t>
      </w:r>
      <w:r w:rsidR="00237EB1" w:rsidRPr="006571AC">
        <w:rPr>
          <w:sz w:val="27"/>
          <w:rtl/>
        </w:rPr>
        <w:t xml:space="preserve"> </w:t>
      </w:r>
      <w:r w:rsidR="0097633B" w:rsidRPr="006571AC">
        <w:rPr>
          <w:rFonts w:hint="cs"/>
          <w:sz w:val="27"/>
          <w:rtl/>
        </w:rPr>
        <w:t>الل</w:t>
      </w:r>
      <w:r w:rsidR="00237EB1" w:rsidRPr="006571AC">
        <w:rPr>
          <w:rFonts w:hint="cs"/>
          <w:sz w:val="27"/>
          <w:rtl/>
        </w:rPr>
        <w:t>هِ</w:t>
      </w:r>
      <w:r w:rsidR="002A2C90" w:rsidRPr="006571AC">
        <w:rPr>
          <w:rFonts w:ascii="Mosawi" w:hAnsi="Mosawi" w:cs="Mosawi"/>
          <w:sz w:val="22"/>
          <w:szCs w:val="22"/>
          <w:rtl/>
        </w:rPr>
        <w:t>×</w:t>
      </w:r>
      <w:r w:rsidR="00237EB1" w:rsidRPr="006571AC">
        <w:rPr>
          <w:sz w:val="27"/>
          <w:rtl/>
        </w:rPr>
        <w:t xml:space="preserve"> </w:t>
      </w:r>
      <w:r w:rsidR="00237EB1" w:rsidRPr="006571AC">
        <w:rPr>
          <w:rFonts w:hint="cs"/>
          <w:sz w:val="27"/>
          <w:rtl/>
        </w:rPr>
        <w:t>فَقَالَ</w:t>
      </w:r>
      <w:r w:rsidR="00B53048" w:rsidRPr="006571AC">
        <w:rPr>
          <w:rFonts w:hint="cs"/>
          <w:sz w:val="27"/>
          <w:rtl/>
        </w:rPr>
        <w:t>:</w:t>
      </w:r>
      <w:r w:rsidR="00237EB1" w:rsidRPr="006571AC">
        <w:rPr>
          <w:sz w:val="27"/>
          <w:rtl/>
        </w:rPr>
        <w:t xml:space="preserve"> </w:t>
      </w:r>
      <w:r w:rsidR="00237EB1" w:rsidRPr="006571AC">
        <w:rPr>
          <w:rFonts w:hint="cs"/>
          <w:sz w:val="27"/>
          <w:rtl/>
        </w:rPr>
        <w:t>الشُّؤْمُ</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B53048" w:rsidRPr="006571AC">
        <w:rPr>
          <w:rFonts w:hint="cs"/>
          <w:sz w:val="27"/>
          <w:rtl/>
        </w:rPr>
        <w:t>ثَل</w:t>
      </w:r>
      <w:r w:rsidR="00237EB1" w:rsidRPr="006571AC">
        <w:rPr>
          <w:rFonts w:hint="cs"/>
          <w:sz w:val="27"/>
          <w:rtl/>
        </w:rPr>
        <w:t>ا</w:t>
      </w:r>
      <w:r w:rsidR="00B53048" w:rsidRPr="006571AC">
        <w:rPr>
          <w:rFonts w:hint="cs"/>
          <w:sz w:val="27"/>
          <w:rtl/>
        </w:rPr>
        <w:t>َ</w:t>
      </w:r>
      <w:r w:rsidR="00237EB1" w:rsidRPr="006571AC">
        <w:rPr>
          <w:rFonts w:hint="cs"/>
          <w:sz w:val="27"/>
          <w:rtl/>
        </w:rPr>
        <w:t>ثٍ</w:t>
      </w:r>
      <w:r w:rsidR="00B53048" w:rsidRPr="006571AC">
        <w:rPr>
          <w:rFonts w:hint="cs"/>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الْمَرْأَةِ</w:t>
      </w:r>
      <w:r w:rsidR="00237EB1" w:rsidRPr="006571AC">
        <w:rPr>
          <w:sz w:val="27"/>
          <w:rtl/>
        </w:rPr>
        <w:t xml:space="preserve"> و</w:t>
      </w:r>
      <w:r w:rsidR="00237EB1" w:rsidRPr="006571AC">
        <w:rPr>
          <w:rFonts w:hint="cs"/>
          <w:sz w:val="27"/>
          <w:rtl/>
        </w:rPr>
        <w:t>الدَّابَّةِ</w:t>
      </w:r>
      <w:r w:rsidR="00237EB1" w:rsidRPr="006571AC">
        <w:rPr>
          <w:sz w:val="27"/>
          <w:rtl/>
        </w:rPr>
        <w:t xml:space="preserve"> و</w:t>
      </w:r>
      <w:r w:rsidR="00237EB1" w:rsidRPr="006571AC">
        <w:rPr>
          <w:rFonts w:hint="cs"/>
          <w:sz w:val="27"/>
          <w:rtl/>
        </w:rPr>
        <w:t>الدَّارِ</w:t>
      </w:r>
      <w:r w:rsidR="00B53048" w:rsidRPr="006571AC">
        <w:rPr>
          <w:rFonts w:hint="cs"/>
          <w:sz w:val="27"/>
          <w:rtl/>
        </w:rPr>
        <w:t>.</w:t>
      </w:r>
      <w:r w:rsidR="00237EB1" w:rsidRPr="006571AC">
        <w:rPr>
          <w:sz w:val="27"/>
          <w:rtl/>
        </w:rPr>
        <w:t xml:space="preserve"> </w:t>
      </w:r>
      <w:r w:rsidR="00237EB1" w:rsidRPr="006571AC">
        <w:rPr>
          <w:rFonts w:hint="cs"/>
          <w:sz w:val="27"/>
          <w:rtl/>
        </w:rPr>
        <w:t>فَأَمَّا</w:t>
      </w:r>
      <w:r w:rsidR="00237EB1" w:rsidRPr="006571AC">
        <w:rPr>
          <w:sz w:val="27"/>
          <w:rtl/>
        </w:rPr>
        <w:t xml:space="preserve"> </w:t>
      </w:r>
      <w:r w:rsidR="00237EB1" w:rsidRPr="006571AC">
        <w:rPr>
          <w:rFonts w:hint="cs"/>
          <w:sz w:val="27"/>
          <w:rtl/>
        </w:rPr>
        <w:t>شُؤْمُ</w:t>
      </w:r>
      <w:r w:rsidR="00237EB1" w:rsidRPr="006571AC">
        <w:rPr>
          <w:sz w:val="27"/>
          <w:rtl/>
        </w:rPr>
        <w:t xml:space="preserve"> </w:t>
      </w:r>
      <w:r w:rsidR="00237EB1" w:rsidRPr="006571AC">
        <w:rPr>
          <w:rFonts w:hint="cs"/>
          <w:sz w:val="27"/>
          <w:rtl/>
        </w:rPr>
        <w:t>الْمَرْأَةِ</w:t>
      </w:r>
      <w:r w:rsidR="00237EB1" w:rsidRPr="006571AC">
        <w:rPr>
          <w:sz w:val="27"/>
          <w:rtl/>
        </w:rPr>
        <w:t xml:space="preserve"> </w:t>
      </w:r>
      <w:r w:rsidR="00237EB1" w:rsidRPr="006571AC">
        <w:rPr>
          <w:rFonts w:hint="cs"/>
          <w:sz w:val="27"/>
          <w:rtl/>
        </w:rPr>
        <w:t>فَكَثْرَةُ</w:t>
      </w:r>
      <w:r w:rsidR="00237EB1" w:rsidRPr="006571AC">
        <w:rPr>
          <w:sz w:val="27"/>
          <w:rtl/>
        </w:rPr>
        <w:t xml:space="preserve"> </w:t>
      </w:r>
      <w:r w:rsidR="00237EB1" w:rsidRPr="006571AC">
        <w:rPr>
          <w:rFonts w:hint="cs"/>
          <w:sz w:val="27"/>
          <w:rtl/>
        </w:rPr>
        <w:t>مَهْرِهَا</w:t>
      </w:r>
      <w:r w:rsidR="00237EB1" w:rsidRPr="006571AC">
        <w:rPr>
          <w:sz w:val="27"/>
          <w:rtl/>
        </w:rPr>
        <w:t xml:space="preserve"> و</w:t>
      </w:r>
      <w:r w:rsidR="00237EB1" w:rsidRPr="006571AC">
        <w:rPr>
          <w:rFonts w:hint="cs"/>
          <w:sz w:val="27"/>
          <w:rtl/>
        </w:rPr>
        <w:t>عُقْمُ</w:t>
      </w:r>
      <w:r w:rsidR="00237EB1" w:rsidRPr="006571AC">
        <w:rPr>
          <w:sz w:val="27"/>
          <w:rtl/>
        </w:rPr>
        <w:t xml:space="preserve"> </w:t>
      </w:r>
      <w:r w:rsidR="00237EB1" w:rsidRPr="006571AC">
        <w:rPr>
          <w:rFonts w:hint="cs"/>
          <w:sz w:val="27"/>
          <w:rtl/>
        </w:rPr>
        <w:t>رَحِمِهَا</w:t>
      </w:r>
      <w:r w:rsidR="00237EB1" w:rsidRPr="006571AC">
        <w:rPr>
          <w:rFonts w:hint="eastAsia"/>
          <w:sz w:val="24"/>
          <w:szCs w:val="24"/>
          <w:rtl/>
        </w:rPr>
        <w:t>»</w:t>
      </w:r>
      <w:r w:rsidR="00237EB1" w:rsidRPr="006571AC">
        <w:rPr>
          <w:sz w:val="27"/>
          <w:vertAlign w:val="superscript"/>
          <w:rtl/>
        </w:rPr>
        <w:t>(</w:t>
      </w:r>
      <w:r w:rsidR="00237EB1" w:rsidRPr="006571AC">
        <w:rPr>
          <w:sz w:val="27"/>
          <w:vertAlign w:val="superscript"/>
          <w:rtl/>
        </w:rPr>
        <w:endnoteReference w:id="394"/>
      </w:r>
      <w:r w:rsidR="00237EB1" w:rsidRPr="006571AC">
        <w:rPr>
          <w:sz w:val="27"/>
          <w:vertAlign w:val="superscript"/>
          <w:rtl/>
        </w:rPr>
        <w:t>)</w:t>
      </w:r>
      <w:r w:rsidR="00B53048" w:rsidRPr="006571AC">
        <w:rPr>
          <w:rFonts w:hint="cs"/>
          <w:sz w:val="27"/>
          <w:rtl/>
        </w:rPr>
        <w:t xml:space="preserve"> ـ</w:t>
      </w:r>
      <w:r w:rsidR="00EE14F1" w:rsidRPr="006571AC">
        <w:rPr>
          <w:rFonts w:hint="cs"/>
          <w:sz w:val="27"/>
          <w:rtl/>
        </w:rPr>
        <w:t>،</w:t>
      </w:r>
      <w:r w:rsidR="00237EB1" w:rsidRPr="006571AC">
        <w:rPr>
          <w:rFonts w:hint="cs"/>
          <w:sz w:val="27"/>
          <w:rtl/>
        </w:rPr>
        <w:t xml:space="preserve"> </w:t>
      </w:r>
      <w:r w:rsidR="00B53048" w:rsidRPr="006571AC">
        <w:rPr>
          <w:rFonts w:hint="cs"/>
          <w:sz w:val="27"/>
          <w:rtl/>
        </w:rPr>
        <w:t>و</w:t>
      </w:r>
      <w:r w:rsidR="00237EB1" w:rsidRPr="006571AC">
        <w:rPr>
          <w:rFonts w:hint="cs"/>
          <w:sz w:val="27"/>
          <w:rtl/>
        </w:rPr>
        <w:t>على الرغم من إعلان الشريعة رفضها للمغالاة بالمهور</w:t>
      </w:r>
      <w:r w:rsidR="00B53048" w:rsidRPr="006571AC">
        <w:rPr>
          <w:rFonts w:hint="cs"/>
          <w:sz w:val="27"/>
          <w:rtl/>
        </w:rPr>
        <w:t>،</w:t>
      </w:r>
      <w:r w:rsidR="00237EB1" w:rsidRPr="006571AC">
        <w:rPr>
          <w:rFonts w:hint="cs"/>
          <w:sz w:val="27"/>
          <w:rtl/>
        </w:rPr>
        <w:t xml:space="preserve"> وتأكيدها على كراهة ذلك، </w:t>
      </w:r>
      <w:r w:rsidR="00EE14F1" w:rsidRPr="006571AC">
        <w:rPr>
          <w:rFonts w:hint="cs"/>
          <w:sz w:val="27"/>
          <w:rtl/>
        </w:rPr>
        <w:t>قد صار</w:t>
      </w:r>
      <w:r w:rsidR="00237EB1" w:rsidRPr="006571AC">
        <w:rPr>
          <w:sz w:val="27"/>
          <w:rtl/>
        </w:rPr>
        <w:t xml:space="preserve"> </w:t>
      </w:r>
      <w:r w:rsidR="00237EB1" w:rsidRPr="006571AC">
        <w:rPr>
          <w:rFonts w:hint="cs"/>
          <w:sz w:val="27"/>
          <w:rtl/>
        </w:rPr>
        <w:t xml:space="preserve">اليوم </w:t>
      </w:r>
      <w:r w:rsidR="00EE14F1" w:rsidRPr="006571AC">
        <w:rPr>
          <w:rFonts w:hint="cs"/>
          <w:sz w:val="27"/>
          <w:rtl/>
        </w:rPr>
        <w:t>إ</w:t>
      </w:r>
      <w:r w:rsidR="00237EB1" w:rsidRPr="006571AC">
        <w:rPr>
          <w:rFonts w:hint="cs"/>
          <w:sz w:val="27"/>
          <w:rtl/>
        </w:rPr>
        <w:t>حدى</w:t>
      </w:r>
      <w:r w:rsidR="00237EB1" w:rsidRPr="006571AC">
        <w:rPr>
          <w:sz w:val="27"/>
          <w:rtl/>
        </w:rPr>
        <w:t xml:space="preserve"> </w:t>
      </w:r>
      <w:r w:rsidR="00237EB1" w:rsidRPr="006571AC">
        <w:rPr>
          <w:rFonts w:hint="cs"/>
          <w:sz w:val="27"/>
          <w:rtl/>
        </w:rPr>
        <w:t>المشاكل</w:t>
      </w:r>
      <w:r w:rsidR="00237EB1" w:rsidRPr="006571AC">
        <w:rPr>
          <w:sz w:val="27"/>
          <w:rtl/>
        </w:rPr>
        <w:t xml:space="preserve"> </w:t>
      </w:r>
      <w:r w:rsidR="00237EB1" w:rsidRPr="006571AC">
        <w:rPr>
          <w:rFonts w:hint="cs"/>
          <w:sz w:val="27"/>
          <w:rtl/>
        </w:rPr>
        <w:t>الرئيسة</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المجتمع</w:t>
      </w:r>
      <w:r w:rsidR="00237EB1" w:rsidRPr="006571AC">
        <w:rPr>
          <w:sz w:val="27"/>
          <w:rtl/>
        </w:rPr>
        <w:t xml:space="preserve"> </w:t>
      </w:r>
      <w:r w:rsidR="00237EB1" w:rsidRPr="006571AC">
        <w:rPr>
          <w:rFonts w:hint="cs"/>
          <w:sz w:val="27"/>
          <w:rtl/>
        </w:rPr>
        <w:t>ال</w:t>
      </w:r>
      <w:r w:rsidR="00EE14F1" w:rsidRPr="006571AC">
        <w:rPr>
          <w:rFonts w:hint="cs"/>
          <w:sz w:val="27"/>
          <w:rtl/>
        </w:rPr>
        <w:t>إ</w:t>
      </w:r>
      <w:r w:rsidR="00237EB1" w:rsidRPr="006571AC">
        <w:rPr>
          <w:rFonts w:hint="cs"/>
          <w:sz w:val="27"/>
          <w:rtl/>
        </w:rPr>
        <w:t>سلامي</w:t>
      </w:r>
      <w:r w:rsidR="00237EB1" w:rsidRPr="006571AC">
        <w:rPr>
          <w:sz w:val="27"/>
          <w:rtl/>
        </w:rPr>
        <w:t xml:space="preserve"> </w:t>
      </w:r>
      <w:r w:rsidR="00237EB1" w:rsidRPr="006571AC">
        <w:rPr>
          <w:rFonts w:hint="cs"/>
          <w:sz w:val="27"/>
          <w:rtl/>
        </w:rPr>
        <w:t>بشكل</w:t>
      </w:r>
      <w:r w:rsidR="00EE14F1" w:rsidRPr="006571AC">
        <w:rPr>
          <w:rFonts w:hint="cs"/>
          <w:sz w:val="27"/>
          <w:rtl/>
        </w:rPr>
        <w:t>ٍ</w:t>
      </w:r>
      <w:r w:rsidR="00237EB1" w:rsidRPr="006571AC">
        <w:rPr>
          <w:sz w:val="27"/>
          <w:rtl/>
        </w:rPr>
        <w:t xml:space="preserve"> </w:t>
      </w:r>
      <w:r w:rsidR="00237EB1" w:rsidRPr="006571AC">
        <w:rPr>
          <w:rFonts w:hint="cs"/>
          <w:sz w:val="27"/>
          <w:rtl/>
        </w:rPr>
        <w:t>عام</w:t>
      </w:r>
      <w:r w:rsidR="00EE14F1" w:rsidRPr="006571AC">
        <w:rPr>
          <w:rFonts w:hint="cs"/>
          <w:sz w:val="27"/>
          <w:rtl/>
        </w:rPr>
        <w:t>ّ،</w:t>
      </w:r>
      <w:r w:rsidR="00237EB1" w:rsidRPr="006571AC">
        <w:rPr>
          <w:sz w:val="27"/>
          <w:rtl/>
        </w:rPr>
        <w:t xml:space="preserve"> </w:t>
      </w:r>
      <w:r w:rsidR="00237EB1" w:rsidRPr="006571AC">
        <w:rPr>
          <w:rFonts w:hint="cs"/>
          <w:sz w:val="27"/>
          <w:rtl/>
        </w:rPr>
        <w:t>و</w:t>
      </w:r>
      <w:r w:rsidR="00EE14F1" w:rsidRPr="006571AC">
        <w:rPr>
          <w:rFonts w:hint="cs"/>
          <w:sz w:val="27"/>
          <w:rtl/>
        </w:rPr>
        <w:t xml:space="preserve">في </w:t>
      </w:r>
      <w:r w:rsidR="00237EB1" w:rsidRPr="006571AC">
        <w:rPr>
          <w:rFonts w:hint="cs"/>
          <w:sz w:val="27"/>
          <w:rtl/>
        </w:rPr>
        <w:t>الجمهورية</w:t>
      </w:r>
      <w:r w:rsidR="00237EB1" w:rsidRPr="006571AC">
        <w:rPr>
          <w:sz w:val="27"/>
          <w:rtl/>
        </w:rPr>
        <w:t xml:space="preserve"> </w:t>
      </w:r>
      <w:r w:rsidR="00237EB1" w:rsidRPr="006571AC">
        <w:rPr>
          <w:rFonts w:hint="cs"/>
          <w:sz w:val="27"/>
          <w:rtl/>
        </w:rPr>
        <w:t>الإسلامية</w:t>
      </w:r>
      <w:r w:rsidR="00237EB1" w:rsidRPr="006571AC">
        <w:rPr>
          <w:sz w:val="27"/>
          <w:rtl/>
        </w:rPr>
        <w:t xml:space="preserve"> </w:t>
      </w:r>
      <w:r w:rsidR="00237EB1" w:rsidRPr="006571AC">
        <w:rPr>
          <w:rFonts w:hint="cs"/>
          <w:sz w:val="27"/>
          <w:rtl/>
        </w:rPr>
        <w:t xml:space="preserve">الإيرانية </w:t>
      </w:r>
      <w:r w:rsidR="00EE14F1" w:rsidRPr="006571AC">
        <w:rPr>
          <w:rFonts w:hint="cs"/>
          <w:sz w:val="27"/>
          <w:rtl/>
        </w:rPr>
        <w:t>ب</w:t>
      </w:r>
      <w:r w:rsidR="00237EB1" w:rsidRPr="006571AC">
        <w:rPr>
          <w:rFonts w:hint="cs"/>
          <w:sz w:val="27"/>
          <w:rtl/>
        </w:rPr>
        <w:t>صورة</w:t>
      </w:r>
      <w:r w:rsidR="00EE14F1" w:rsidRPr="006571AC">
        <w:rPr>
          <w:rFonts w:hint="cs"/>
          <w:sz w:val="27"/>
          <w:rtl/>
        </w:rPr>
        <w:t>ٍ</w:t>
      </w:r>
      <w:r w:rsidR="00237EB1" w:rsidRPr="006571AC">
        <w:rPr>
          <w:sz w:val="27"/>
          <w:rtl/>
        </w:rPr>
        <w:t xml:space="preserve"> </w:t>
      </w:r>
      <w:r w:rsidR="00237EB1" w:rsidRPr="006571AC">
        <w:rPr>
          <w:rFonts w:hint="cs"/>
          <w:sz w:val="27"/>
          <w:rtl/>
        </w:rPr>
        <w:t>خاص</w:t>
      </w:r>
      <w:r w:rsidR="00EE14F1" w:rsidRPr="006571AC">
        <w:rPr>
          <w:rFonts w:hint="cs"/>
          <w:sz w:val="27"/>
          <w:rtl/>
        </w:rPr>
        <w:t>ّ</w:t>
      </w:r>
      <w:r w:rsidR="00237EB1" w:rsidRPr="006571AC">
        <w:rPr>
          <w:rFonts w:hint="cs"/>
          <w:sz w:val="27"/>
          <w:rtl/>
        </w:rPr>
        <w:t>ة، حيث</w:t>
      </w:r>
      <w:r w:rsidR="00237EB1" w:rsidRPr="006571AC">
        <w:rPr>
          <w:sz w:val="27"/>
          <w:rtl/>
        </w:rPr>
        <w:t xml:space="preserve"> </w:t>
      </w:r>
      <w:r w:rsidR="00D54E66" w:rsidRPr="006571AC">
        <w:rPr>
          <w:rFonts w:hint="cs"/>
          <w:sz w:val="27"/>
          <w:rtl/>
        </w:rPr>
        <w:t>يجري استغلاله بطريقةٍ</w:t>
      </w:r>
      <w:r w:rsidR="00237EB1" w:rsidRPr="006571AC">
        <w:rPr>
          <w:rFonts w:hint="cs"/>
          <w:sz w:val="27"/>
          <w:rtl/>
        </w:rPr>
        <w:t xml:space="preserve"> غير</w:t>
      </w:r>
      <w:r w:rsidR="00237EB1" w:rsidRPr="006571AC">
        <w:rPr>
          <w:sz w:val="27"/>
          <w:rtl/>
        </w:rPr>
        <w:t xml:space="preserve"> </w:t>
      </w:r>
      <w:r w:rsidR="00237EB1" w:rsidRPr="006571AC">
        <w:rPr>
          <w:rFonts w:hint="cs"/>
          <w:sz w:val="27"/>
          <w:rtl/>
        </w:rPr>
        <w:t>لائقة</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ق</w:t>
      </w:r>
      <w:r w:rsidR="00EE14F1" w:rsidRPr="006571AC">
        <w:rPr>
          <w:rFonts w:hint="cs"/>
          <w:sz w:val="27"/>
          <w:rtl/>
        </w:rPr>
        <w:t>ِ</w:t>
      </w:r>
      <w:r w:rsidR="00237EB1" w:rsidRPr="006571AC">
        <w:rPr>
          <w:rFonts w:hint="cs"/>
          <w:sz w:val="27"/>
          <w:rtl/>
        </w:rPr>
        <w:t>ب</w:t>
      </w:r>
      <w:r w:rsidR="00EE14F1" w:rsidRPr="006571AC">
        <w:rPr>
          <w:rFonts w:hint="cs"/>
          <w:sz w:val="27"/>
          <w:rtl/>
        </w:rPr>
        <w:t>َ</w:t>
      </w:r>
      <w:r w:rsidR="00237EB1" w:rsidRPr="006571AC">
        <w:rPr>
          <w:rFonts w:hint="cs"/>
          <w:sz w:val="27"/>
          <w:rtl/>
        </w:rPr>
        <w:t>ل</w:t>
      </w:r>
      <w:r w:rsidR="00237EB1" w:rsidRPr="006571AC">
        <w:rPr>
          <w:sz w:val="27"/>
          <w:rtl/>
        </w:rPr>
        <w:t xml:space="preserve"> </w:t>
      </w:r>
      <w:r w:rsidR="00237EB1" w:rsidRPr="006571AC">
        <w:rPr>
          <w:rFonts w:hint="cs"/>
          <w:sz w:val="27"/>
          <w:rtl/>
        </w:rPr>
        <w:t>بعض العوائل</w:t>
      </w:r>
      <w:r w:rsidR="00EE14F1" w:rsidRPr="006571AC">
        <w:rPr>
          <w:rFonts w:hint="cs"/>
          <w:sz w:val="27"/>
          <w:rtl/>
        </w:rPr>
        <w:t>،</w:t>
      </w:r>
      <w:r w:rsidR="00237EB1" w:rsidRPr="006571AC">
        <w:rPr>
          <w:rFonts w:hint="cs"/>
          <w:sz w:val="27"/>
          <w:rtl/>
        </w:rPr>
        <w:t xml:space="preserve"> من خلال التطبيق غير الصحيح للآيات القرآنية وروايات </w:t>
      </w:r>
      <w:r w:rsidR="00D54E66" w:rsidRPr="006571AC">
        <w:rPr>
          <w:rFonts w:hint="cs"/>
          <w:sz w:val="27"/>
          <w:rtl/>
        </w:rPr>
        <w:t>أ</w:t>
      </w:r>
      <w:r w:rsidR="00237EB1" w:rsidRPr="006571AC">
        <w:rPr>
          <w:rFonts w:hint="cs"/>
          <w:sz w:val="27"/>
          <w:rtl/>
        </w:rPr>
        <w:t>هل البيت</w:t>
      </w:r>
      <w:r w:rsidR="002A2C90" w:rsidRPr="006571AC">
        <w:rPr>
          <w:rFonts w:ascii="Mosawi" w:hAnsi="Mosawi" w:cs="Mosawi"/>
          <w:sz w:val="22"/>
          <w:szCs w:val="22"/>
          <w:rtl/>
        </w:rPr>
        <w:t>^</w:t>
      </w:r>
      <w:r w:rsidR="00237EB1" w:rsidRPr="006571AC">
        <w:rPr>
          <w:rFonts w:hint="cs"/>
          <w:sz w:val="27"/>
          <w:rtl/>
        </w:rPr>
        <w:t xml:space="preserve"> من جهة</w:t>
      </w:r>
      <w:r w:rsidR="00D54E66" w:rsidRPr="006571AC">
        <w:rPr>
          <w:rFonts w:hint="cs"/>
          <w:sz w:val="27"/>
          <w:rtl/>
        </w:rPr>
        <w:t>ٍ</w:t>
      </w:r>
      <w:r w:rsidR="00237EB1" w:rsidRPr="006571AC">
        <w:rPr>
          <w:rFonts w:hint="cs"/>
          <w:sz w:val="27"/>
          <w:rtl/>
        </w:rPr>
        <w:t>، والقانون المدني الإيراني من جهة</w:t>
      </w:r>
      <w:r w:rsidR="00D54E66" w:rsidRPr="006571AC">
        <w:rPr>
          <w:rFonts w:hint="cs"/>
          <w:sz w:val="27"/>
          <w:rtl/>
        </w:rPr>
        <w:t>ٍ</w:t>
      </w:r>
      <w:r w:rsidR="00237EB1" w:rsidRPr="006571AC">
        <w:rPr>
          <w:rFonts w:hint="cs"/>
          <w:sz w:val="27"/>
          <w:rtl/>
        </w:rPr>
        <w:t xml:space="preserve"> أخرى، لذلك</w:t>
      </w:r>
      <w:r w:rsidR="00237EB1" w:rsidRPr="006571AC">
        <w:rPr>
          <w:sz w:val="27"/>
          <w:rtl/>
        </w:rPr>
        <w:t xml:space="preserve"> </w:t>
      </w:r>
      <w:r w:rsidR="00237EB1" w:rsidRPr="006571AC">
        <w:rPr>
          <w:rFonts w:hint="cs"/>
          <w:sz w:val="27"/>
          <w:rtl/>
        </w:rPr>
        <w:t>تلجأ أغلب العوائل</w:t>
      </w:r>
      <w:r w:rsidR="00237EB1" w:rsidRPr="006571AC">
        <w:rPr>
          <w:sz w:val="27"/>
          <w:rtl/>
        </w:rPr>
        <w:t xml:space="preserve"> </w:t>
      </w:r>
      <w:r w:rsidR="00237EB1" w:rsidRPr="006571AC">
        <w:rPr>
          <w:rFonts w:hint="cs"/>
          <w:sz w:val="27"/>
          <w:rtl/>
        </w:rPr>
        <w:t>إلى</w:t>
      </w:r>
      <w:r w:rsidR="00237EB1" w:rsidRPr="006571AC">
        <w:rPr>
          <w:sz w:val="27"/>
          <w:rtl/>
        </w:rPr>
        <w:t xml:space="preserve"> </w:t>
      </w:r>
      <w:r w:rsidR="00237EB1" w:rsidRPr="006571AC">
        <w:rPr>
          <w:rFonts w:hint="cs"/>
          <w:sz w:val="27"/>
          <w:rtl/>
        </w:rPr>
        <w:t>طلب مهور</w:t>
      </w:r>
      <w:r w:rsidR="00D54E66" w:rsidRPr="006571AC">
        <w:rPr>
          <w:rFonts w:hint="cs"/>
          <w:sz w:val="27"/>
          <w:rtl/>
        </w:rPr>
        <w:t>ٍ</w:t>
      </w:r>
      <w:r w:rsidR="00237EB1" w:rsidRPr="006571AC">
        <w:rPr>
          <w:rFonts w:hint="cs"/>
          <w:sz w:val="27"/>
          <w:rtl/>
        </w:rPr>
        <w:t xml:space="preserve"> غالية</w:t>
      </w:r>
      <w:r w:rsidR="00D54E66" w:rsidRPr="006571AC">
        <w:rPr>
          <w:rFonts w:hint="cs"/>
          <w:sz w:val="27"/>
          <w:rtl/>
        </w:rPr>
        <w:t xml:space="preserve">؛ </w:t>
      </w:r>
      <w:r w:rsidR="00237EB1" w:rsidRPr="006571AC">
        <w:rPr>
          <w:rFonts w:hint="cs"/>
          <w:sz w:val="27"/>
          <w:rtl/>
        </w:rPr>
        <w:t>من أجل تحقيق</w:t>
      </w:r>
      <w:r w:rsidR="00237EB1" w:rsidRPr="006571AC">
        <w:rPr>
          <w:sz w:val="27"/>
          <w:rtl/>
        </w:rPr>
        <w:t xml:space="preserve"> </w:t>
      </w:r>
      <w:r w:rsidR="00D54E66" w:rsidRPr="006571AC">
        <w:rPr>
          <w:rFonts w:hint="cs"/>
          <w:sz w:val="27"/>
          <w:rtl/>
        </w:rPr>
        <w:t>أ</w:t>
      </w:r>
      <w:r w:rsidR="00237EB1" w:rsidRPr="006571AC">
        <w:rPr>
          <w:rFonts w:hint="cs"/>
          <w:sz w:val="27"/>
          <w:rtl/>
        </w:rPr>
        <w:t>هداف</w:t>
      </w:r>
      <w:r w:rsidR="00D54E66" w:rsidRPr="006571AC">
        <w:rPr>
          <w:rFonts w:hint="cs"/>
          <w:sz w:val="27"/>
          <w:rtl/>
        </w:rPr>
        <w:t>ٍ</w:t>
      </w:r>
      <w:r w:rsidR="00237EB1" w:rsidRPr="006571AC">
        <w:rPr>
          <w:rFonts w:hint="cs"/>
          <w:sz w:val="27"/>
          <w:rtl/>
        </w:rPr>
        <w:t xml:space="preserve"> مالية</w:t>
      </w:r>
      <w:r w:rsidR="00237EB1" w:rsidRPr="006571AC">
        <w:rPr>
          <w:sz w:val="27"/>
          <w:rtl/>
        </w:rPr>
        <w:t xml:space="preserve"> </w:t>
      </w:r>
      <w:r w:rsidR="00237EB1" w:rsidRPr="006571AC">
        <w:rPr>
          <w:rFonts w:hint="cs"/>
          <w:sz w:val="27"/>
          <w:rtl/>
        </w:rPr>
        <w:t>تحت عنوان</w:t>
      </w:r>
      <w:r w:rsidR="00D54E66" w:rsidRPr="006571AC">
        <w:rPr>
          <w:rFonts w:hint="cs"/>
          <w:sz w:val="27"/>
          <w:rtl/>
        </w:rPr>
        <w:t>:</w:t>
      </w:r>
      <w:r w:rsidR="00237EB1" w:rsidRPr="006571AC">
        <w:rPr>
          <w:sz w:val="27"/>
          <w:rtl/>
        </w:rPr>
        <w:t xml:space="preserve"> </w:t>
      </w:r>
      <w:r w:rsidR="00D54E66" w:rsidRPr="006571AC">
        <w:rPr>
          <w:rFonts w:hint="cs"/>
          <w:sz w:val="27"/>
          <w:rtl/>
        </w:rPr>
        <w:t>(</w:t>
      </w:r>
      <w:r w:rsidR="00237EB1" w:rsidRPr="006571AC">
        <w:rPr>
          <w:rFonts w:hint="cs"/>
          <w:sz w:val="27"/>
          <w:rtl/>
        </w:rPr>
        <w:t>أخذ</w:t>
      </w:r>
      <w:r w:rsidR="00237EB1" w:rsidRPr="006571AC">
        <w:rPr>
          <w:sz w:val="27"/>
          <w:rtl/>
        </w:rPr>
        <w:t xml:space="preserve"> </w:t>
      </w:r>
      <w:r w:rsidR="00237EB1" w:rsidRPr="006571AC">
        <w:rPr>
          <w:rFonts w:hint="cs"/>
          <w:sz w:val="27"/>
          <w:rtl/>
        </w:rPr>
        <w:t>ضمانة</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الرجل</w:t>
      </w:r>
      <w:r w:rsidR="00D54E66" w:rsidRPr="006571AC">
        <w:rPr>
          <w:rFonts w:hint="cs"/>
          <w:sz w:val="27"/>
          <w:rtl/>
        </w:rPr>
        <w:t xml:space="preserve">)؛ </w:t>
      </w:r>
      <w:r w:rsidR="00237EB1" w:rsidRPr="006571AC">
        <w:rPr>
          <w:rFonts w:hint="cs"/>
          <w:sz w:val="27"/>
          <w:rtl/>
        </w:rPr>
        <w:t>بحج</w:t>
      </w:r>
      <w:r w:rsidR="00D54E66" w:rsidRPr="006571AC">
        <w:rPr>
          <w:rFonts w:hint="cs"/>
          <w:sz w:val="27"/>
          <w:rtl/>
        </w:rPr>
        <w:t>ّ</w:t>
      </w:r>
      <w:r w:rsidR="00237EB1" w:rsidRPr="006571AC">
        <w:rPr>
          <w:rFonts w:hint="cs"/>
          <w:sz w:val="27"/>
          <w:rtl/>
        </w:rPr>
        <w:t>ة</w:t>
      </w:r>
      <w:r w:rsidR="00237EB1" w:rsidRPr="006571AC">
        <w:rPr>
          <w:sz w:val="27"/>
          <w:rtl/>
        </w:rPr>
        <w:t xml:space="preserve"> </w:t>
      </w:r>
      <w:r w:rsidR="00237EB1" w:rsidRPr="006571AC">
        <w:rPr>
          <w:rFonts w:hint="cs"/>
          <w:sz w:val="27"/>
          <w:rtl/>
        </w:rPr>
        <w:lastRenderedPageBreak/>
        <w:t>استمرارية</w:t>
      </w:r>
      <w:r w:rsidR="00237EB1" w:rsidRPr="006571AC">
        <w:rPr>
          <w:sz w:val="27"/>
          <w:rtl/>
        </w:rPr>
        <w:t xml:space="preserve"> </w:t>
      </w:r>
      <w:r w:rsidR="00237EB1" w:rsidRPr="006571AC">
        <w:rPr>
          <w:rFonts w:hint="cs"/>
          <w:sz w:val="27"/>
          <w:rtl/>
        </w:rPr>
        <w:t>الزواج</w:t>
      </w:r>
      <w:r w:rsidR="00237EB1" w:rsidRPr="006571AC">
        <w:rPr>
          <w:sz w:val="27"/>
          <w:rtl/>
        </w:rPr>
        <w:t xml:space="preserve"> </w:t>
      </w:r>
      <w:r w:rsidR="00237EB1" w:rsidRPr="006571AC">
        <w:rPr>
          <w:rFonts w:hint="cs"/>
          <w:sz w:val="27"/>
          <w:rtl/>
        </w:rPr>
        <w:t>وعدم</w:t>
      </w:r>
      <w:r w:rsidR="00237EB1" w:rsidRPr="006571AC">
        <w:rPr>
          <w:sz w:val="27"/>
          <w:rtl/>
        </w:rPr>
        <w:t xml:space="preserve"> </w:t>
      </w:r>
      <w:r w:rsidR="00237EB1" w:rsidRPr="006571AC">
        <w:rPr>
          <w:rFonts w:hint="cs"/>
          <w:sz w:val="27"/>
          <w:rtl/>
        </w:rPr>
        <w:t>اللجوء إلى</w:t>
      </w:r>
      <w:r w:rsidR="00237EB1" w:rsidRPr="006571AC">
        <w:rPr>
          <w:sz w:val="27"/>
          <w:rtl/>
        </w:rPr>
        <w:t xml:space="preserve"> </w:t>
      </w:r>
      <w:r w:rsidR="00237EB1" w:rsidRPr="006571AC">
        <w:rPr>
          <w:rFonts w:hint="cs"/>
          <w:sz w:val="27"/>
          <w:rtl/>
        </w:rPr>
        <w:t>الطلاق</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أدنى</w:t>
      </w:r>
      <w:r w:rsidR="00237EB1" w:rsidRPr="006571AC">
        <w:rPr>
          <w:sz w:val="27"/>
          <w:rtl/>
        </w:rPr>
        <w:t xml:space="preserve"> </w:t>
      </w:r>
      <w:r w:rsidR="00237EB1" w:rsidRPr="006571AC">
        <w:rPr>
          <w:rFonts w:hint="cs"/>
          <w:sz w:val="27"/>
          <w:rtl/>
        </w:rPr>
        <w:t>مشكلة</w:t>
      </w:r>
      <w:r w:rsidR="00D54E66" w:rsidRPr="006571AC">
        <w:rPr>
          <w:rFonts w:hint="cs"/>
          <w:sz w:val="27"/>
          <w:rtl/>
        </w:rPr>
        <w:t>ٍ،</w:t>
      </w:r>
      <w:r w:rsidR="00237EB1" w:rsidRPr="006571AC">
        <w:rPr>
          <w:rFonts w:hint="cs"/>
          <w:sz w:val="27"/>
          <w:rtl/>
        </w:rPr>
        <w:t xml:space="preserve"> بح</w:t>
      </w:r>
      <w:r w:rsidR="00D54E66" w:rsidRPr="006571AC">
        <w:rPr>
          <w:rFonts w:hint="cs"/>
          <w:sz w:val="27"/>
          <w:rtl/>
        </w:rPr>
        <w:t>َ</w:t>
      </w:r>
      <w:r w:rsidR="00237EB1" w:rsidRPr="006571AC">
        <w:rPr>
          <w:rFonts w:hint="cs"/>
          <w:sz w:val="27"/>
          <w:rtl/>
        </w:rPr>
        <w:t>س</w:t>
      </w:r>
      <w:r w:rsidR="00D54E66" w:rsidRPr="006571AC">
        <w:rPr>
          <w:rFonts w:hint="cs"/>
          <w:sz w:val="27"/>
          <w:rtl/>
        </w:rPr>
        <w:t>َ</w:t>
      </w:r>
      <w:r w:rsidR="00237EB1" w:rsidRPr="006571AC">
        <w:rPr>
          <w:rFonts w:hint="cs"/>
          <w:sz w:val="27"/>
          <w:rtl/>
        </w:rPr>
        <w:t>ب تفكيرهم، بحيث تحو</w:t>
      </w:r>
      <w:r w:rsidR="00D54E66" w:rsidRPr="006571AC">
        <w:rPr>
          <w:rFonts w:hint="cs"/>
          <w:sz w:val="27"/>
          <w:rtl/>
        </w:rPr>
        <w:t>َّ</w:t>
      </w:r>
      <w:r w:rsidR="00237EB1" w:rsidRPr="006571AC">
        <w:rPr>
          <w:rFonts w:hint="cs"/>
          <w:sz w:val="27"/>
          <w:rtl/>
        </w:rPr>
        <w:t>لت هذه الظاهرة إلى ع</w:t>
      </w:r>
      <w:r w:rsidR="00D54E66" w:rsidRPr="006571AC">
        <w:rPr>
          <w:rFonts w:hint="cs"/>
          <w:sz w:val="27"/>
          <w:rtl/>
        </w:rPr>
        <w:t>ُ</w:t>
      </w:r>
      <w:r w:rsidR="00237EB1" w:rsidRPr="006571AC">
        <w:rPr>
          <w:rFonts w:hint="cs"/>
          <w:sz w:val="27"/>
          <w:rtl/>
        </w:rPr>
        <w:t>ر</w:t>
      </w:r>
      <w:r w:rsidR="00D54E66" w:rsidRPr="006571AC">
        <w:rPr>
          <w:rFonts w:hint="cs"/>
          <w:sz w:val="27"/>
          <w:rtl/>
        </w:rPr>
        <w:t>ْ</w:t>
      </w:r>
      <w:r w:rsidR="00237EB1" w:rsidRPr="006571AC">
        <w:rPr>
          <w:rFonts w:hint="cs"/>
          <w:sz w:val="27"/>
          <w:rtl/>
        </w:rPr>
        <w:t>ف</w:t>
      </w:r>
      <w:r w:rsidR="00D54E66" w:rsidRPr="006571AC">
        <w:rPr>
          <w:rFonts w:hint="cs"/>
          <w:sz w:val="27"/>
          <w:rtl/>
        </w:rPr>
        <w:t>ٍ</w:t>
      </w:r>
      <w:r w:rsidR="00237EB1" w:rsidRPr="006571AC">
        <w:rPr>
          <w:rFonts w:hint="cs"/>
          <w:sz w:val="27"/>
          <w:rtl/>
        </w:rPr>
        <w:t xml:space="preserve"> آخذ في التجذ</w:t>
      </w:r>
      <w:r w:rsidR="00D54E66" w:rsidRPr="006571AC">
        <w:rPr>
          <w:rFonts w:hint="cs"/>
          <w:sz w:val="27"/>
          <w:rtl/>
        </w:rPr>
        <w:t>ُّ</w:t>
      </w:r>
      <w:r w:rsidR="00237EB1" w:rsidRPr="006571AC">
        <w:rPr>
          <w:rFonts w:hint="cs"/>
          <w:sz w:val="27"/>
          <w:rtl/>
        </w:rPr>
        <w:t>ر</w:t>
      </w:r>
      <w:r w:rsidR="00D54E66" w:rsidRPr="006571AC">
        <w:rPr>
          <w:rFonts w:hint="cs"/>
          <w:sz w:val="27"/>
          <w:rtl/>
        </w:rPr>
        <w:t>،</w:t>
      </w:r>
      <w:r w:rsidR="00237EB1" w:rsidRPr="006571AC">
        <w:rPr>
          <w:rFonts w:hint="cs"/>
          <w:sz w:val="27"/>
          <w:rtl/>
        </w:rPr>
        <w:t xml:space="preserve"> بدون أي</w:t>
      </w:r>
      <w:r w:rsidR="00D54E66" w:rsidRPr="006571AC">
        <w:rPr>
          <w:rFonts w:hint="cs"/>
          <w:sz w:val="27"/>
          <w:rtl/>
        </w:rPr>
        <w:t>ّ</w:t>
      </w:r>
      <w:r w:rsidR="00237EB1" w:rsidRPr="006571AC">
        <w:rPr>
          <w:rFonts w:hint="cs"/>
          <w:sz w:val="27"/>
          <w:rtl/>
        </w:rPr>
        <w:t xml:space="preserve"> محاربة</w:t>
      </w:r>
      <w:r w:rsidR="00D54E66" w:rsidRPr="006571AC">
        <w:rPr>
          <w:rFonts w:hint="cs"/>
          <w:sz w:val="27"/>
          <w:rtl/>
        </w:rPr>
        <w:t>ٍ</w:t>
      </w:r>
      <w:r w:rsidR="00237EB1" w:rsidRPr="006571AC">
        <w:rPr>
          <w:rFonts w:hint="cs"/>
          <w:sz w:val="27"/>
          <w:rtl/>
        </w:rPr>
        <w:t xml:space="preserve"> له. ولذلك</w:t>
      </w:r>
      <w:r w:rsidR="00D54E66" w:rsidRPr="006571AC">
        <w:rPr>
          <w:rFonts w:hint="cs"/>
          <w:sz w:val="27"/>
          <w:rtl/>
        </w:rPr>
        <w:t>؛</w:t>
      </w:r>
      <w:r w:rsidR="00237EB1" w:rsidRPr="006571AC">
        <w:rPr>
          <w:rFonts w:hint="cs"/>
          <w:sz w:val="27"/>
          <w:rtl/>
        </w:rPr>
        <w:t xml:space="preserve"> من أجل الحد</w:t>
      </w:r>
      <w:r w:rsidR="00D54E66" w:rsidRPr="006571AC">
        <w:rPr>
          <w:rFonts w:hint="cs"/>
          <w:sz w:val="27"/>
          <w:rtl/>
        </w:rPr>
        <w:t>ّ</w:t>
      </w:r>
      <w:r w:rsidR="00237EB1" w:rsidRPr="006571AC">
        <w:rPr>
          <w:rFonts w:hint="cs"/>
          <w:sz w:val="27"/>
          <w:rtl/>
        </w:rPr>
        <w:t xml:space="preserve"> من هذه الظاهرة السي</w:t>
      </w:r>
      <w:r w:rsidR="00D54E66" w:rsidRPr="006571AC">
        <w:rPr>
          <w:rFonts w:hint="cs"/>
          <w:sz w:val="27"/>
          <w:rtl/>
        </w:rPr>
        <w:t>ِّ</w:t>
      </w:r>
      <w:r w:rsidR="00237EB1" w:rsidRPr="006571AC">
        <w:rPr>
          <w:rFonts w:hint="cs"/>
          <w:sz w:val="27"/>
          <w:rtl/>
        </w:rPr>
        <w:t>ئة</w:t>
      </w:r>
      <w:r w:rsidR="00D54E66" w:rsidRPr="006571AC">
        <w:rPr>
          <w:rFonts w:hint="cs"/>
          <w:sz w:val="27"/>
          <w:rtl/>
        </w:rPr>
        <w:t>،</w:t>
      </w:r>
      <w:r w:rsidR="00237EB1" w:rsidRPr="006571AC">
        <w:rPr>
          <w:rFonts w:hint="cs"/>
          <w:sz w:val="27"/>
          <w:rtl/>
        </w:rPr>
        <w:t xml:space="preserve"> فإن السؤال المطروح في هذا المقال: ما هو موقف الشريعة الإسلامي</w:t>
      </w:r>
      <w:r w:rsidR="00411510" w:rsidRPr="006571AC">
        <w:rPr>
          <w:rFonts w:hint="cs"/>
          <w:sz w:val="27"/>
          <w:rtl/>
        </w:rPr>
        <w:t>ّ</w:t>
      </w:r>
      <w:r w:rsidR="00237EB1" w:rsidRPr="006571AC">
        <w:rPr>
          <w:rFonts w:hint="cs"/>
          <w:sz w:val="27"/>
          <w:rtl/>
        </w:rPr>
        <w:t>ة والقانون المدني الإيراني من مسألة تحديد نصاب المهر؟</w:t>
      </w:r>
    </w:p>
    <w:p w:rsidR="00175DA9" w:rsidRPr="006571AC" w:rsidRDefault="00175DA9" w:rsidP="00291BAF">
      <w:pPr>
        <w:spacing w:line="420" w:lineRule="exact"/>
        <w:rPr>
          <w:sz w:val="27"/>
          <w:rtl/>
        </w:rPr>
      </w:pPr>
    </w:p>
    <w:p w:rsidR="00175DA9" w:rsidRPr="006571AC" w:rsidRDefault="00175DA9" w:rsidP="00175DA9">
      <w:pPr>
        <w:pStyle w:val="31"/>
        <w:rPr>
          <w:color w:val="auto"/>
          <w:rtl/>
        </w:rPr>
      </w:pPr>
      <w:bookmarkStart w:id="177" w:name="_Toc79281882"/>
      <w:bookmarkStart w:id="178" w:name="_Toc114164664"/>
      <w:r w:rsidRPr="006571AC">
        <w:rPr>
          <w:rFonts w:hint="cs"/>
          <w:color w:val="auto"/>
          <w:rtl/>
        </w:rPr>
        <w:t>هدف المقال</w:t>
      </w:r>
      <w:bookmarkEnd w:id="177"/>
      <w:bookmarkEnd w:id="178"/>
    </w:p>
    <w:p w:rsidR="00175DA9" w:rsidRPr="006571AC" w:rsidRDefault="00175DA9" w:rsidP="00E60D93">
      <w:pPr>
        <w:rPr>
          <w:sz w:val="27"/>
          <w:rtl/>
        </w:rPr>
      </w:pPr>
      <w:r w:rsidRPr="006571AC">
        <w:rPr>
          <w:rFonts w:hint="cs"/>
          <w:sz w:val="27"/>
          <w:rtl/>
        </w:rPr>
        <w:t>يعتبر</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تمّ</w:t>
      </w:r>
      <w:r w:rsidRPr="006571AC">
        <w:rPr>
          <w:sz w:val="27"/>
          <w:rtl/>
        </w:rPr>
        <w:t xml:space="preserve"> </w:t>
      </w:r>
      <w:r w:rsidRPr="006571AC">
        <w:rPr>
          <w:rFonts w:hint="cs"/>
          <w:sz w:val="27"/>
          <w:rtl/>
        </w:rPr>
        <w:t>تشريعه</w:t>
      </w:r>
      <w:r w:rsidRPr="006571AC">
        <w:rPr>
          <w:sz w:val="27"/>
          <w:rtl/>
        </w:rPr>
        <w:t xml:space="preserve"> </w:t>
      </w:r>
      <w:r w:rsidRPr="006571AC">
        <w:rPr>
          <w:rFonts w:hint="cs"/>
          <w:sz w:val="27"/>
          <w:rtl/>
        </w:rPr>
        <w:t>للمساعدة</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تأسيس</w:t>
      </w:r>
      <w:r w:rsidRPr="006571AC">
        <w:rPr>
          <w:sz w:val="27"/>
          <w:rtl/>
        </w:rPr>
        <w:t xml:space="preserve"> </w:t>
      </w:r>
      <w:r w:rsidRPr="006571AC">
        <w:rPr>
          <w:rFonts w:hint="cs"/>
          <w:sz w:val="27"/>
          <w:rtl/>
        </w:rPr>
        <w:t>وتقوية</w:t>
      </w:r>
      <w:r w:rsidRPr="006571AC">
        <w:rPr>
          <w:sz w:val="27"/>
          <w:rtl/>
        </w:rPr>
        <w:t xml:space="preserve"> </w:t>
      </w:r>
      <w:r w:rsidRPr="006571AC">
        <w:rPr>
          <w:rFonts w:hint="cs"/>
          <w:sz w:val="27"/>
          <w:rtl/>
        </w:rPr>
        <w:t>الرابطة</w:t>
      </w:r>
      <w:r w:rsidRPr="006571AC">
        <w:rPr>
          <w:sz w:val="27"/>
          <w:rtl/>
        </w:rPr>
        <w:t xml:space="preserve"> </w:t>
      </w:r>
      <w:r w:rsidRPr="006571AC">
        <w:rPr>
          <w:rFonts w:hint="cs"/>
          <w:sz w:val="27"/>
          <w:rtl/>
        </w:rPr>
        <w:t>الزوجية من جهةٍ؛ وإعطاء المرأة أهمّية</w:t>
      </w:r>
      <w:r w:rsidR="009F31B5" w:rsidRPr="006571AC">
        <w:rPr>
          <w:rFonts w:hint="cs"/>
          <w:sz w:val="27"/>
          <w:rtl/>
        </w:rPr>
        <w:t>ً</w:t>
      </w:r>
      <w:r w:rsidRPr="006571AC">
        <w:rPr>
          <w:rFonts w:hint="cs"/>
          <w:sz w:val="27"/>
          <w:rtl/>
        </w:rPr>
        <w:t xml:space="preserve"> كبيرة من جهةٍ أخرى، أضحى</w:t>
      </w:r>
      <w:r w:rsidRPr="006571AC">
        <w:rPr>
          <w:sz w:val="27"/>
          <w:rtl/>
        </w:rPr>
        <w:t xml:space="preserve"> </w:t>
      </w:r>
      <w:r w:rsidRPr="006571AC">
        <w:rPr>
          <w:rFonts w:hint="cs"/>
          <w:sz w:val="27"/>
          <w:rtl/>
        </w:rPr>
        <w:t>اليوم إحدى</w:t>
      </w:r>
      <w:r w:rsidRPr="006571AC">
        <w:rPr>
          <w:sz w:val="27"/>
          <w:rtl/>
        </w:rPr>
        <w:t xml:space="preserve"> </w:t>
      </w:r>
      <w:r w:rsidRPr="006571AC">
        <w:rPr>
          <w:rFonts w:hint="cs"/>
          <w:sz w:val="27"/>
          <w:rtl/>
        </w:rPr>
        <w:t>المشاكل</w:t>
      </w:r>
      <w:r w:rsidRPr="006571AC">
        <w:rPr>
          <w:sz w:val="27"/>
          <w:rtl/>
        </w:rPr>
        <w:t xml:space="preserve"> </w:t>
      </w:r>
      <w:r w:rsidRPr="006571AC">
        <w:rPr>
          <w:rFonts w:hint="cs"/>
          <w:sz w:val="27"/>
          <w:rtl/>
        </w:rPr>
        <w:t>الرئيسة؛</w:t>
      </w:r>
      <w:r w:rsidRPr="006571AC">
        <w:rPr>
          <w:sz w:val="27"/>
          <w:rtl/>
        </w:rPr>
        <w:t xml:space="preserve"> </w:t>
      </w:r>
      <w:r w:rsidRPr="006571AC">
        <w:rPr>
          <w:rFonts w:hint="cs"/>
          <w:sz w:val="27"/>
          <w:rtl/>
        </w:rPr>
        <w:t>بسبب إطلاقه من قِبَل الشريعة والقانون المدني الإيراني، وعدم تقييده بمقدارٍ معين، وقد تمَّ</w:t>
      </w:r>
      <w:r w:rsidRPr="006571AC">
        <w:rPr>
          <w:sz w:val="27"/>
          <w:rtl/>
        </w:rPr>
        <w:t xml:space="preserve"> </w:t>
      </w:r>
      <w:r w:rsidRPr="006571AC">
        <w:rPr>
          <w:rFonts w:hint="cs"/>
          <w:sz w:val="27"/>
          <w:rtl/>
        </w:rPr>
        <w:t>استغلال ذلك</w:t>
      </w:r>
      <w:r w:rsidRPr="006571AC">
        <w:rPr>
          <w:sz w:val="27"/>
          <w:rtl/>
        </w:rPr>
        <w:t xml:space="preserve"> </w:t>
      </w:r>
      <w:r w:rsidRPr="006571AC">
        <w:rPr>
          <w:rFonts w:hint="cs"/>
          <w:sz w:val="27"/>
          <w:rtl/>
        </w:rPr>
        <w:t>من قِبَل العوائل؛ بهدف تحقيق مقاصد مالية</w:t>
      </w:r>
      <w:r w:rsidRPr="006571AC">
        <w:rPr>
          <w:sz w:val="27"/>
          <w:rtl/>
        </w:rPr>
        <w:t xml:space="preserve"> </w:t>
      </w:r>
      <w:r w:rsidRPr="006571AC">
        <w:rPr>
          <w:rFonts w:hint="cs"/>
          <w:sz w:val="27"/>
          <w:rtl/>
        </w:rPr>
        <w:t>من الزوج، مما خلّف آثاراً سلبية جسيمة على الأفراد والمجتمع. وبدل أن يكون الزواج عاملاً مهمّاً في تكوين الأسرة تحوَّل؛ بفعل استخدام المرأة حقَّها في طلب مهرٍ مرتفع، إلى كابوسٍ يعيشه الزوج، وبالتالي انهيار العلاقة الزوجية، وتفكُّك الأسرة؛ لأنه ـ وللأسف ـ بُني</w:t>
      </w:r>
      <w:r w:rsidR="009F31B5" w:rsidRPr="006571AC">
        <w:rPr>
          <w:rFonts w:hint="cs"/>
          <w:sz w:val="27"/>
          <w:rtl/>
        </w:rPr>
        <w:t>َ</w:t>
      </w:r>
      <w:r w:rsidRPr="006571AC">
        <w:rPr>
          <w:rFonts w:hint="cs"/>
          <w:sz w:val="27"/>
          <w:rtl/>
        </w:rPr>
        <w:t>ت</w:t>
      </w:r>
      <w:r w:rsidR="009F31B5" w:rsidRPr="006571AC">
        <w:rPr>
          <w:rFonts w:hint="cs"/>
          <w:sz w:val="27"/>
          <w:rtl/>
        </w:rPr>
        <w:t>ْ</w:t>
      </w:r>
      <w:r w:rsidRPr="006571AC">
        <w:rPr>
          <w:rFonts w:hint="cs"/>
          <w:sz w:val="27"/>
          <w:rtl/>
        </w:rPr>
        <w:t xml:space="preserve"> على أسسٍ مادّية، كالبيع والشراء، رغم أن ملاك الزواج هو تكوين علاقةٍ مبنيّة على المودّة والرحمة، كما ورد في كتاب الله سبحانه وتعالى. لذلك كان الهدف من كتابة هذه المقالة تسليط الضوء على معالجة المشكلة المستفحلة في المجتمع الإسلامي، من خلال الحديث حول فلسفة تشريع المهر، وحقيقته، وأحكامه، وشرائطه، والأضرار التي تنجم عن إطلاقه وعدم تقييده، والحديث حول إمكانية تحديده من قِبَل الوليّ الفقيه المعنيّ بالحفاظ على أغراض الشريعة والمجتمع الإسلامي.</w:t>
      </w:r>
    </w:p>
    <w:p w:rsidR="00237EB1" w:rsidRPr="006571AC" w:rsidRDefault="00237EB1" w:rsidP="00291BAF">
      <w:pPr>
        <w:spacing w:line="430" w:lineRule="exact"/>
        <w:rPr>
          <w:sz w:val="27"/>
          <w:rtl/>
        </w:rPr>
      </w:pPr>
    </w:p>
    <w:p w:rsidR="00237EB1" w:rsidRPr="006571AC" w:rsidRDefault="00237EB1" w:rsidP="00E629CB">
      <w:pPr>
        <w:pStyle w:val="31"/>
        <w:rPr>
          <w:color w:val="auto"/>
          <w:rtl/>
        </w:rPr>
      </w:pPr>
      <w:bookmarkStart w:id="179" w:name="_Toc114164665"/>
      <w:bookmarkStart w:id="180" w:name="_Toc79281885"/>
      <w:r w:rsidRPr="006571AC">
        <w:rPr>
          <w:color w:val="auto"/>
          <w:rtl/>
        </w:rPr>
        <w:t>المهر لغة</w:t>
      </w:r>
      <w:r w:rsidR="00D54E66" w:rsidRPr="006571AC">
        <w:rPr>
          <w:rFonts w:hint="cs"/>
          <w:color w:val="auto"/>
          <w:rtl/>
        </w:rPr>
        <w:t>ً</w:t>
      </w:r>
      <w:r w:rsidRPr="006571AC">
        <w:rPr>
          <w:color w:val="auto"/>
          <w:rtl/>
        </w:rPr>
        <w:t xml:space="preserve"> واصطلاحاً</w:t>
      </w:r>
      <w:bookmarkEnd w:id="179"/>
      <w:r w:rsidRPr="006571AC">
        <w:rPr>
          <w:color w:val="auto"/>
          <w:rtl/>
        </w:rPr>
        <w:t xml:space="preserve"> </w:t>
      </w:r>
      <w:bookmarkEnd w:id="180"/>
    </w:p>
    <w:p w:rsidR="00237EB1" w:rsidRPr="006571AC" w:rsidRDefault="00981257" w:rsidP="00E60D93">
      <w:pPr>
        <w:rPr>
          <w:sz w:val="27"/>
          <w:rtl/>
        </w:rPr>
      </w:pPr>
      <w:r w:rsidRPr="006571AC">
        <w:rPr>
          <w:rFonts w:hint="cs"/>
          <w:sz w:val="27"/>
          <w:rtl/>
        </w:rPr>
        <w:t>أما في اللغة ف</w:t>
      </w:r>
      <w:r w:rsidR="00237EB1" w:rsidRPr="006571AC">
        <w:rPr>
          <w:rFonts w:hint="cs"/>
          <w:sz w:val="27"/>
          <w:rtl/>
        </w:rPr>
        <w:t>الميم</w:t>
      </w:r>
      <w:r w:rsidR="00237EB1" w:rsidRPr="006571AC">
        <w:rPr>
          <w:sz w:val="27"/>
          <w:rtl/>
        </w:rPr>
        <w:t xml:space="preserve"> </w:t>
      </w:r>
      <w:r w:rsidR="00237EB1" w:rsidRPr="006571AC">
        <w:rPr>
          <w:rFonts w:hint="cs"/>
          <w:sz w:val="27"/>
          <w:rtl/>
        </w:rPr>
        <w:t>والهاء</w:t>
      </w:r>
      <w:r w:rsidR="00237EB1" w:rsidRPr="006571AC">
        <w:rPr>
          <w:sz w:val="27"/>
          <w:rtl/>
        </w:rPr>
        <w:t xml:space="preserve"> </w:t>
      </w:r>
      <w:r w:rsidR="00237EB1" w:rsidRPr="006571AC">
        <w:rPr>
          <w:rFonts w:hint="cs"/>
          <w:sz w:val="27"/>
          <w:rtl/>
        </w:rPr>
        <w:t>والراء</w:t>
      </w:r>
      <w:r w:rsidR="00237EB1" w:rsidRPr="006571AC">
        <w:rPr>
          <w:sz w:val="27"/>
          <w:rtl/>
        </w:rPr>
        <w:t xml:space="preserve"> </w:t>
      </w:r>
      <w:r w:rsidR="00237EB1" w:rsidRPr="006571AC">
        <w:rPr>
          <w:rFonts w:hint="cs"/>
          <w:sz w:val="27"/>
          <w:rtl/>
        </w:rPr>
        <w:t>أصلان</w:t>
      </w:r>
      <w:r w:rsidR="009A311D" w:rsidRPr="006571AC">
        <w:rPr>
          <w:rFonts w:hint="cs"/>
          <w:sz w:val="27"/>
          <w:rtl/>
        </w:rPr>
        <w:t>؛</w:t>
      </w:r>
      <w:r w:rsidR="00237EB1" w:rsidRPr="006571AC">
        <w:rPr>
          <w:sz w:val="27"/>
          <w:rtl/>
        </w:rPr>
        <w:t xml:space="preserve"> </w:t>
      </w:r>
      <w:r w:rsidR="00237EB1" w:rsidRPr="006571AC">
        <w:rPr>
          <w:rFonts w:hint="cs"/>
          <w:sz w:val="27"/>
          <w:rtl/>
        </w:rPr>
        <w:t>يدل</w:t>
      </w:r>
      <w:r w:rsidR="00D54E66" w:rsidRPr="006571AC">
        <w:rPr>
          <w:rFonts w:hint="cs"/>
          <w:sz w:val="27"/>
          <w:rtl/>
        </w:rPr>
        <w:t>ّ</w:t>
      </w:r>
      <w:r w:rsidR="00237EB1" w:rsidRPr="006571AC">
        <w:rPr>
          <w:sz w:val="27"/>
          <w:rtl/>
        </w:rPr>
        <w:t xml:space="preserve"> </w:t>
      </w:r>
      <w:r w:rsidR="00237EB1" w:rsidRPr="006571AC">
        <w:rPr>
          <w:rFonts w:hint="cs"/>
          <w:b/>
          <w:bCs/>
          <w:sz w:val="27"/>
          <w:rtl/>
        </w:rPr>
        <w:t>أحدهما</w:t>
      </w:r>
      <w:r w:rsidR="00237EB1" w:rsidRPr="006571AC">
        <w:rPr>
          <w:sz w:val="27"/>
          <w:rtl/>
        </w:rPr>
        <w:t xml:space="preserve"> </w:t>
      </w:r>
      <w:r w:rsidR="00237EB1" w:rsidRPr="006571AC">
        <w:rPr>
          <w:rFonts w:hint="cs"/>
          <w:sz w:val="27"/>
          <w:rtl/>
        </w:rPr>
        <w:t>على</w:t>
      </w:r>
      <w:r w:rsidR="00237EB1" w:rsidRPr="006571AC">
        <w:rPr>
          <w:sz w:val="27"/>
          <w:rtl/>
        </w:rPr>
        <w:t xml:space="preserve"> </w:t>
      </w:r>
      <w:r w:rsidR="00237EB1" w:rsidRPr="006571AC">
        <w:rPr>
          <w:rFonts w:hint="cs"/>
          <w:sz w:val="27"/>
          <w:rtl/>
        </w:rPr>
        <w:t>أجر</w:t>
      </w:r>
      <w:r w:rsidR="00D54E66" w:rsidRPr="006571AC">
        <w:rPr>
          <w:rFonts w:hint="cs"/>
          <w:sz w:val="27"/>
          <w:rtl/>
        </w:rPr>
        <w:t>ٍ</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شيء</w:t>
      </w:r>
      <w:r w:rsidR="00D54E66" w:rsidRPr="006571AC">
        <w:rPr>
          <w:rFonts w:hint="cs"/>
          <w:sz w:val="27"/>
          <w:rtl/>
        </w:rPr>
        <w:t>ٍ</w:t>
      </w:r>
      <w:r w:rsidR="00237EB1" w:rsidRPr="006571AC">
        <w:rPr>
          <w:sz w:val="27"/>
          <w:rtl/>
        </w:rPr>
        <w:t xml:space="preserve"> </w:t>
      </w:r>
      <w:r w:rsidR="00237EB1" w:rsidRPr="006571AC">
        <w:rPr>
          <w:rFonts w:hint="cs"/>
          <w:sz w:val="27"/>
          <w:rtl/>
        </w:rPr>
        <w:t>خاص</w:t>
      </w:r>
      <w:r w:rsidR="00D54E66" w:rsidRPr="006571AC">
        <w:rPr>
          <w:rFonts w:hint="cs"/>
          <w:sz w:val="27"/>
          <w:rtl/>
        </w:rPr>
        <w:t>ّ</w:t>
      </w:r>
      <w:r w:rsidR="009A311D" w:rsidRPr="006571AC">
        <w:rPr>
          <w:rFonts w:hint="cs"/>
          <w:sz w:val="27"/>
          <w:rtl/>
        </w:rPr>
        <w:t>؛</w:t>
      </w:r>
      <w:r w:rsidR="00237EB1" w:rsidRPr="006571AC">
        <w:rPr>
          <w:rFonts w:hint="cs"/>
          <w:sz w:val="27"/>
          <w:rtl/>
        </w:rPr>
        <w:t xml:space="preserve"> </w:t>
      </w:r>
      <w:r w:rsidR="00237EB1" w:rsidRPr="006571AC">
        <w:rPr>
          <w:rFonts w:hint="cs"/>
          <w:b/>
          <w:bCs/>
          <w:sz w:val="27"/>
          <w:rtl/>
        </w:rPr>
        <w:t>والآخر</w:t>
      </w:r>
      <w:r w:rsidR="009F31B5" w:rsidRPr="006571AC">
        <w:rPr>
          <w:rFonts w:hint="cs"/>
          <w:sz w:val="27"/>
          <w:rtl/>
        </w:rPr>
        <w:t>:</w:t>
      </w:r>
      <w:r w:rsidR="00237EB1" w:rsidRPr="006571AC">
        <w:rPr>
          <w:sz w:val="27"/>
          <w:rtl/>
        </w:rPr>
        <w:t xml:space="preserve"> </w:t>
      </w:r>
      <w:r w:rsidR="00237EB1" w:rsidRPr="006571AC">
        <w:rPr>
          <w:rFonts w:hint="cs"/>
          <w:sz w:val="27"/>
          <w:rtl/>
        </w:rPr>
        <w:t>شيء</w:t>
      </w:r>
      <w:r w:rsidR="00D54E66" w:rsidRPr="006571AC">
        <w:rPr>
          <w:rFonts w:hint="cs"/>
          <w:sz w:val="27"/>
          <w:rtl/>
        </w:rPr>
        <w:t>ٌ</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الحيوان</w:t>
      </w:r>
      <w:r w:rsidR="00237EB1" w:rsidRPr="006571AC">
        <w:rPr>
          <w:sz w:val="27"/>
          <w:rtl/>
        </w:rPr>
        <w:t xml:space="preserve">. </w:t>
      </w:r>
      <w:r w:rsidR="00237EB1" w:rsidRPr="006571AC">
        <w:rPr>
          <w:rFonts w:hint="cs"/>
          <w:sz w:val="27"/>
          <w:rtl/>
        </w:rPr>
        <w:t>فالأو</w:t>
      </w:r>
      <w:r w:rsidR="009A311D" w:rsidRPr="006571AC">
        <w:rPr>
          <w:rFonts w:hint="cs"/>
          <w:sz w:val="27"/>
          <w:rtl/>
        </w:rPr>
        <w:t>ّ</w:t>
      </w:r>
      <w:r w:rsidR="00237EB1" w:rsidRPr="006571AC">
        <w:rPr>
          <w:rFonts w:hint="cs"/>
          <w:sz w:val="27"/>
          <w:rtl/>
        </w:rPr>
        <w:t>ل</w:t>
      </w:r>
      <w:r w:rsidR="00237EB1" w:rsidRPr="006571AC">
        <w:rPr>
          <w:sz w:val="27"/>
          <w:rtl/>
        </w:rPr>
        <w:t xml:space="preserve"> </w:t>
      </w:r>
      <w:r w:rsidR="00237EB1" w:rsidRPr="006571AC">
        <w:rPr>
          <w:rFonts w:hint="cs"/>
          <w:sz w:val="27"/>
          <w:rtl/>
        </w:rPr>
        <w:t>المهر</w:t>
      </w:r>
      <w:r w:rsidR="00237EB1" w:rsidRPr="006571AC">
        <w:rPr>
          <w:sz w:val="27"/>
          <w:rtl/>
        </w:rPr>
        <w:t xml:space="preserve">: </w:t>
      </w:r>
      <w:r w:rsidR="00237EB1" w:rsidRPr="006571AC">
        <w:rPr>
          <w:rFonts w:hint="cs"/>
          <w:sz w:val="27"/>
          <w:rtl/>
        </w:rPr>
        <w:t>مهر</w:t>
      </w:r>
      <w:r w:rsidR="00237EB1" w:rsidRPr="006571AC">
        <w:rPr>
          <w:sz w:val="27"/>
          <w:rtl/>
        </w:rPr>
        <w:t xml:space="preserve"> </w:t>
      </w:r>
      <w:r w:rsidR="00237EB1" w:rsidRPr="006571AC">
        <w:rPr>
          <w:rFonts w:hint="cs"/>
          <w:sz w:val="27"/>
          <w:rtl/>
        </w:rPr>
        <w:t>المرأة</w:t>
      </w:r>
      <w:r w:rsidR="00237EB1" w:rsidRPr="006571AC">
        <w:rPr>
          <w:sz w:val="27"/>
          <w:rtl/>
        </w:rPr>
        <w:t xml:space="preserve"> </w:t>
      </w:r>
      <w:r w:rsidR="00237EB1" w:rsidRPr="006571AC">
        <w:rPr>
          <w:rFonts w:hint="cs"/>
          <w:sz w:val="27"/>
          <w:rtl/>
        </w:rPr>
        <w:t>أجرها</w:t>
      </w:r>
      <w:r w:rsidR="00237EB1" w:rsidRPr="006571AC">
        <w:rPr>
          <w:sz w:val="27"/>
          <w:vertAlign w:val="superscript"/>
          <w:rtl/>
        </w:rPr>
        <w:t>(</w:t>
      </w:r>
      <w:r w:rsidR="00237EB1" w:rsidRPr="006571AC">
        <w:rPr>
          <w:sz w:val="27"/>
          <w:vertAlign w:val="superscript"/>
          <w:rtl/>
        </w:rPr>
        <w:endnoteReference w:id="395"/>
      </w:r>
      <w:r w:rsidR="00237EB1" w:rsidRPr="006571AC">
        <w:rPr>
          <w:sz w:val="27"/>
          <w:vertAlign w:val="superscript"/>
          <w:rtl/>
        </w:rPr>
        <w:t>)</w:t>
      </w:r>
      <w:r w:rsidR="00237EB1" w:rsidRPr="006571AC">
        <w:rPr>
          <w:sz w:val="27"/>
          <w:rtl/>
        </w:rPr>
        <w:t>،</w:t>
      </w:r>
      <w:r w:rsidR="00237EB1" w:rsidRPr="006571AC">
        <w:rPr>
          <w:rFonts w:hint="cs"/>
          <w:sz w:val="27"/>
          <w:rtl/>
        </w:rPr>
        <w:t xml:space="preserve"> وقيل: المهر</w:t>
      </w:r>
      <w:r w:rsidR="00237EB1" w:rsidRPr="006571AC">
        <w:rPr>
          <w:sz w:val="27"/>
          <w:rtl/>
        </w:rPr>
        <w:t xml:space="preserve">: </w:t>
      </w:r>
      <w:r w:rsidR="00237EB1" w:rsidRPr="006571AC">
        <w:rPr>
          <w:rFonts w:hint="cs"/>
          <w:sz w:val="27"/>
          <w:rtl/>
        </w:rPr>
        <w:t>الصداق</w:t>
      </w:r>
      <w:r w:rsidR="00237EB1" w:rsidRPr="006571AC">
        <w:rPr>
          <w:sz w:val="27"/>
          <w:vertAlign w:val="superscript"/>
          <w:rtl/>
        </w:rPr>
        <w:t>(</w:t>
      </w:r>
      <w:r w:rsidR="00237EB1" w:rsidRPr="006571AC">
        <w:rPr>
          <w:sz w:val="27"/>
          <w:vertAlign w:val="superscript"/>
          <w:rtl/>
        </w:rPr>
        <w:endnoteReference w:id="396"/>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37EB1" w:rsidRPr="006571AC" w:rsidRDefault="00981257" w:rsidP="00E60D93">
      <w:pPr>
        <w:rPr>
          <w:sz w:val="27"/>
          <w:rtl/>
        </w:rPr>
      </w:pPr>
      <w:r w:rsidRPr="006571AC">
        <w:rPr>
          <w:rFonts w:hint="cs"/>
          <w:sz w:val="27"/>
          <w:rtl/>
        </w:rPr>
        <w:t>وأما اصطلاحاً ف</w:t>
      </w:r>
      <w:r w:rsidR="00237EB1" w:rsidRPr="006571AC">
        <w:rPr>
          <w:rFonts w:hint="cs"/>
          <w:sz w:val="27"/>
          <w:rtl/>
        </w:rPr>
        <w:t>الم</w:t>
      </w:r>
      <w:r w:rsidR="009A311D" w:rsidRPr="006571AC">
        <w:rPr>
          <w:rFonts w:hint="cs"/>
          <w:sz w:val="27"/>
          <w:rtl/>
        </w:rPr>
        <w:t>َ</w:t>
      </w:r>
      <w:r w:rsidR="00237EB1" w:rsidRPr="006571AC">
        <w:rPr>
          <w:rFonts w:hint="cs"/>
          <w:sz w:val="27"/>
          <w:rtl/>
        </w:rPr>
        <w:t>ه</w:t>
      </w:r>
      <w:r w:rsidR="009A311D" w:rsidRPr="006571AC">
        <w:rPr>
          <w:rFonts w:hint="cs"/>
          <w:sz w:val="27"/>
          <w:rtl/>
        </w:rPr>
        <w:t>ْ</w:t>
      </w:r>
      <w:r w:rsidR="00237EB1" w:rsidRPr="006571AC">
        <w:rPr>
          <w:rFonts w:hint="cs"/>
          <w:sz w:val="27"/>
          <w:rtl/>
        </w:rPr>
        <w:t>ر بفتح الميم: صداق</w:t>
      </w:r>
      <w:r w:rsidR="00237EB1" w:rsidRPr="006571AC">
        <w:rPr>
          <w:sz w:val="27"/>
          <w:rtl/>
        </w:rPr>
        <w:t xml:space="preserve"> </w:t>
      </w:r>
      <w:r w:rsidR="00237EB1" w:rsidRPr="006571AC">
        <w:rPr>
          <w:rFonts w:hint="cs"/>
          <w:sz w:val="27"/>
          <w:rtl/>
        </w:rPr>
        <w:t>المرأة، والجمع مهور، ويُقال</w:t>
      </w:r>
      <w:r w:rsidR="009A311D" w:rsidRPr="006571AC">
        <w:rPr>
          <w:rFonts w:hint="cs"/>
          <w:sz w:val="27"/>
          <w:rtl/>
        </w:rPr>
        <w:t>:</w:t>
      </w:r>
      <w:r w:rsidR="00237EB1" w:rsidRPr="006571AC">
        <w:rPr>
          <w:rFonts w:hint="cs"/>
          <w:sz w:val="27"/>
          <w:rtl/>
        </w:rPr>
        <w:t xml:space="preserve"> مهرت المرأة مهراً ـ من باب نفع ونصر ـ أي: أعطيتها المهر، وأمهرتها بالألف: زو</w:t>
      </w:r>
      <w:r w:rsidR="009A311D" w:rsidRPr="006571AC">
        <w:rPr>
          <w:rFonts w:hint="cs"/>
          <w:sz w:val="27"/>
          <w:rtl/>
        </w:rPr>
        <w:t>ّ</w:t>
      </w:r>
      <w:r w:rsidR="00237EB1" w:rsidRPr="006571AC">
        <w:rPr>
          <w:rFonts w:hint="cs"/>
          <w:sz w:val="27"/>
          <w:rtl/>
        </w:rPr>
        <w:t>جتها من رجل</w:t>
      </w:r>
      <w:r w:rsidR="009A311D" w:rsidRPr="006571AC">
        <w:rPr>
          <w:rFonts w:hint="cs"/>
          <w:sz w:val="27"/>
          <w:rtl/>
        </w:rPr>
        <w:t>ٍ</w:t>
      </w:r>
      <w:r w:rsidR="00237EB1" w:rsidRPr="006571AC">
        <w:rPr>
          <w:rFonts w:hint="cs"/>
          <w:sz w:val="27"/>
          <w:rtl/>
        </w:rPr>
        <w:t xml:space="preserve"> على مهر</w:t>
      </w:r>
      <w:r w:rsidR="009A311D" w:rsidRPr="006571AC">
        <w:rPr>
          <w:rFonts w:hint="cs"/>
          <w:sz w:val="27"/>
          <w:rtl/>
        </w:rPr>
        <w:t>ٍ</w:t>
      </w:r>
      <w:r w:rsidR="00237EB1" w:rsidRPr="006571AC">
        <w:rPr>
          <w:sz w:val="27"/>
          <w:vertAlign w:val="superscript"/>
          <w:rtl/>
        </w:rPr>
        <w:t>(</w:t>
      </w:r>
      <w:r w:rsidR="00237EB1" w:rsidRPr="006571AC">
        <w:rPr>
          <w:sz w:val="27"/>
          <w:vertAlign w:val="superscript"/>
          <w:rtl/>
        </w:rPr>
        <w:endnoteReference w:id="397"/>
      </w:r>
      <w:r w:rsidR="00237EB1" w:rsidRPr="006571AC">
        <w:rPr>
          <w:sz w:val="27"/>
          <w:vertAlign w:val="superscript"/>
          <w:rtl/>
        </w:rPr>
        <w:t>)</w:t>
      </w:r>
      <w:r w:rsidR="00237EB1" w:rsidRPr="006571AC">
        <w:rPr>
          <w:sz w:val="27"/>
          <w:rtl/>
        </w:rPr>
        <w:t>.</w:t>
      </w:r>
      <w:r w:rsidR="00237EB1" w:rsidRPr="006571AC">
        <w:rPr>
          <w:rFonts w:hint="cs"/>
          <w:sz w:val="27"/>
          <w:rtl/>
        </w:rPr>
        <w:t xml:space="preserve"> وعرّف أيضا</w:t>
      </w:r>
      <w:r w:rsidR="009A311D" w:rsidRPr="006571AC">
        <w:rPr>
          <w:rFonts w:hint="cs"/>
          <w:sz w:val="27"/>
          <w:rtl/>
        </w:rPr>
        <w:t>ً</w:t>
      </w:r>
      <w:r w:rsidR="00237EB1" w:rsidRPr="006571AC">
        <w:rPr>
          <w:rFonts w:hint="cs"/>
          <w:sz w:val="27"/>
          <w:rtl/>
        </w:rPr>
        <w:t xml:space="preserve"> أنه</w:t>
      </w:r>
      <w:r w:rsidR="00237EB1" w:rsidRPr="006571AC">
        <w:rPr>
          <w:sz w:val="27"/>
          <w:rtl/>
        </w:rPr>
        <w:t xml:space="preserve"> </w:t>
      </w:r>
      <w:r w:rsidR="00237EB1" w:rsidRPr="006571AC">
        <w:rPr>
          <w:rFonts w:hint="cs"/>
          <w:sz w:val="27"/>
          <w:rtl/>
        </w:rPr>
        <w:t>ما</w:t>
      </w:r>
      <w:r w:rsidR="00237EB1" w:rsidRPr="006571AC">
        <w:rPr>
          <w:sz w:val="27"/>
          <w:rtl/>
        </w:rPr>
        <w:t xml:space="preserve"> </w:t>
      </w:r>
      <w:r w:rsidR="00237EB1" w:rsidRPr="006571AC">
        <w:rPr>
          <w:rFonts w:hint="cs"/>
          <w:sz w:val="27"/>
          <w:rtl/>
        </w:rPr>
        <w:t>وجب</w:t>
      </w:r>
      <w:r w:rsidR="00237EB1" w:rsidRPr="006571AC">
        <w:rPr>
          <w:sz w:val="27"/>
          <w:rtl/>
        </w:rPr>
        <w:t xml:space="preserve"> </w:t>
      </w:r>
      <w:r w:rsidR="00237EB1" w:rsidRPr="006571AC">
        <w:rPr>
          <w:rFonts w:hint="cs"/>
          <w:sz w:val="27"/>
          <w:rtl/>
        </w:rPr>
        <w:t>للمرأة</w:t>
      </w:r>
      <w:r w:rsidR="00237EB1" w:rsidRPr="006571AC">
        <w:rPr>
          <w:sz w:val="27"/>
          <w:rtl/>
        </w:rPr>
        <w:t xml:space="preserve"> </w:t>
      </w:r>
      <w:r w:rsidR="00237EB1" w:rsidRPr="006571AC">
        <w:rPr>
          <w:rFonts w:hint="cs"/>
          <w:sz w:val="27"/>
          <w:rtl/>
        </w:rPr>
        <w:t>بنكاح</w:t>
      </w:r>
      <w:r w:rsidR="009A311D" w:rsidRPr="006571AC">
        <w:rPr>
          <w:rFonts w:hint="cs"/>
          <w:sz w:val="27"/>
          <w:rtl/>
        </w:rPr>
        <w:t>ٍ</w:t>
      </w:r>
      <w:r w:rsidR="00237EB1" w:rsidRPr="006571AC">
        <w:rPr>
          <w:sz w:val="27"/>
          <w:rtl/>
        </w:rPr>
        <w:t xml:space="preserve"> </w:t>
      </w:r>
      <w:r w:rsidR="00237EB1" w:rsidRPr="006571AC">
        <w:rPr>
          <w:rFonts w:hint="cs"/>
          <w:sz w:val="27"/>
          <w:rtl/>
        </w:rPr>
        <w:t>أو</w:t>
      </w:r>
      <w:r w:rsidR="00237EB1" w:rsidRPr="006571AC">
        <w:rPr>
          <w:sz w:val="27"/>
          <w:rtl/>
        </w:rPr>
        <w:t xml:space="preserve"> </w:t>
      </w:r>
      <w:r w:rsidR="00237EB1" w:rsidRPr="006571AC">
        <w:rPr>
          <w:rFonts w:hint="cs"/>
          <w:sz w:val="27"/>
          <w:rtl/>
        </w:rPr>
        <w:t>وطء</w:t>
      </w:r>
      <w:r w:rsidR="009A311D" w:rsidRPr="006571AC">
        <w:rPr>
          <w:rFonts w:hint="cs"/>
          <w:sz w:val="27"/>
          <w:rtl/>
        </w:rPr>
        <w:t>ٍ</w:t>
      </w:r>
      <w:r w:rsidR="00237EB1" w:rsidRPr="006571AC">
        <w:rPr>
          <w:sz w:val="27"/>
          <w:rtl/>
        </w:rPr>
        <w:t xml:space="preserve"> </w:t>
      </w:r>
      <w:r w:rsidR="00237EB1" w:rsidRPr="006571AC">
        <w:rPr>
          <w:rFonts w:hint="cs"/>
          <w:sz w:val="27"/>
          <w:rtl/>
        </w:rPr>
        <w:t>أو</w:t>
      </w:r>
      <w:r w:rsidR="00237EB1" w:rsidRPr="006571AC">
        <w:rPr>
          <w:sz w:val="27"/>
          <w:rtl/>
        </w:rPr>
        <w:t xml:space="preserve"> </w:t>
      </w:r>
      <w:r w:rsidR="00237EB1" w:rsidRPr="006571AC">
        <w:rPr>
          <w:rFonts w:hint="cs"/>
          <w:sz w:val="27"/>
          <w:rtl/>
        </w:rPr>
        <w:t>تفويت</w:t>
      </w:r>
      <w:r w:rsidR="00237EB1" w:rsidRPr="006571AC">
        <w:rPr>
          <w:sz w:val="27"/>
          <w:rtl/>
        </w:rPr>
        <w:t xml:space="preserve"> </w:t>
      </w:r>
      <w:r w:rsidR="00237EB1" w:rsidRPr="006571AC">
        <w:rPr>
          <w:rFonts w:hint="cs"/>
          <w:sz w:val="27"/>
          <w:rtl/>
        </w:rPr>
        <w:t>بضع</w:t>
      </w:r>
      <w:r w:rsidR="009A311D" w:rsidRPr="006571AC">
        <w:rPr>
          <w:rFonts w:hint="cs"/>
          <w:sz w:val="27"/>
          <w:rtl/>
        </w:rPr>
        <w:t>ٍ.</w:t>
      </w:r>
      <w:r w:rsidR="00237EB1" w:rsidRPr="006571AC">
        <w:rPr>
          <w:rFonts w:hint="cs"/>
          <w:sz w:val="27"/>
          <w:rtl/>
        </w:rPr>
        <w:t xml:space="preserve"> وذكروا </w:t>
      </w:r>
      <w:r w:rsidR="00237EB1" w:rsidRPr="006571AC">
        <w:rPr>
          <w:rFonts w:hint="cs"/>
          <w:sz w:val="27"/>
          <w:rtl/>
        </w:rPr>
        <w:lastRenderedPageBreak/>
        <w:t>في تسمية</w:t>
      </w:r>
      <w:r w:rsidR="00237EB1" w:rsidRPr="006571AC">
        <w:rPr>
          <w:sz w:val="27"/>
          <w:rtl/>
        </w:rPr>
        <w:t xml:space="preserve"> </w:t>
      </w:r>
      <w:r w:rsidR="00237EB1" w:rsidRPr="006571AC">
        <w:rPr>
          <w:rFonts w:hint="cs"/>
          <w:sz w:val="27"/>
          <w:rtl/>
        </w:rPr>
        <w:t>المهر</w:t>
      </w:r>
      <w:r w:rsidR="00237EB1" w:rsidRPr="006571AC">
        <w:rPr>
          <w:sz w:val="27"/>
          <w:rtl/>
        </w:rPr>
        <w:t xml:space="preserve"> </w:t>
      </w:r>
      <w:r w:rsidR="00237EB1" w:rsidRPr="006571AC">
        <w:rPr>
          <w:rFonts w:hint="cs"/>
          <w:sz w:val="27"/>
          <w:rtl/>
        </w:rPr>
        <w:t>صداقا</w:t>
      </w:r>
      <w:r w:rsidR="009A311D" w:rsidRPr="006571AC">
        <w:rPr>
          <w:rFonts w:hint="cs"/>
          <w:sz w:val="27"/>
          <w:rtl/>
        </w:rPr>
        <w:t>ً</w:t>
      </w:r>
      <w:r w:rsidR="00237EB1" w:rsidRPr="006571AC">
        <w:rPr>
          <w:sz w:val="27"/>
          <w:rtl/>
        </w:rPr>
        <w:t xml:space="preserve"> </w:t>
      </w:r>
      <w:r w:rsidR="00237EB1" w:rsidRPr="006571AC">
        <w:rPr>
          <w:rFonts w:hint="cs"/>
          <w:sz w:val="27"/>
          <w:rtl/>
        </w:rPr>
        <w:t>لإشعاره</w:t>
      </w:r>
      <w:r w:rsidR="00237EB1" w:rsidRPr="006571AC">
        <w:rPr>
          <w:sz w:val="27"/>
          <w:rtl/>
        </w:rPr>
        <w:t xml:space="preserve"> </w:t>
      </w:r>
      <w:r w:rsidR="00237EB1" w:rsidRPr="006571AC">
        <w:rPr>
          <w:rFonts w:hint="cs"/>
          <w:sz w:val="27"/>
          <w:rtl/>
        </w:rPr>
        <w:t>بصدق</w:t>
      </w:r>
      <w:r w:rsidR="00237EB1" w:rsidRPr="006571AC">
        <w:rPr>
          <w:sz w:val="27"/>
          <w:rtl/>
        </w:rPr>
        <w:t xml:space="preserve"> </w:t>
      </w:r>
      <w:r w:rsidR="00237EB1" w:rsidRPr="006571AC">
        <w:rPr>
          <w:rFonts w:hint="cs"/>
          <w:sz w:val="27"/>
          <w:rtl/>
        </w:rPr>
        <w:t>رغبة</w:t>
      </w:r>
      <w:r w:rsidR="00237EB1" w:rsidRPr="006571AC">
        <w:rPr>
          <w:sz w:val="27"/>
          <w:rtl/>
        </w:rPr>
        <w:t xml:space="preserve"> </w:t>
      </w:r>
      <w:r w:rsidR="00237EB1" w:rsidRPr="006571AC">
        <w:rPr>
          <w:rFonts w:hint="cs"/>
          <w:sz w:val="27"/>
          <w:rtl/>
        </w:rPr>
        <w:t>باذله</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النكاح</w:t>
      </w:r>
      <w:r w:rsidR="009A311D" w:rsidRPr="006571AC">
        <w:rPr>
          <w:rFonts w:hint="cs"/>
          <w:sz w:val="27"/>
          <w:rtl/>
        </w:rPr>
        <w:t>،</w:t>
      </w:r>
      <w:r w:rsidR="00237EB1" w:rsidRPr="006571AC">
        <w:rPr>
          <w:sz w:val="27"/>
          <w:rtl/>
        </w:rPr>
        <w:t xml:space="preserve"> </w:t>
      </w:r>
      <w:r w:rsidR="00237EB1" w:rsidRPr="006571AC">
        <w:rPr>
          <w:rFonts w:hint="cs"/>
          <w:sz w:val="27"/>
          <w:rtl/>
        </w:rPr>
        <w:t>الذي</w:t>
      </w:r>
      <w:r w:rsidR="00237EB1" w:rsidRPr="006571AC">
        <w:rPr>
          <w:sz w:val="27"/>
          <w:rtl/>
        </w:rPr>
        <w:t xml:space="preserve"> </w:t>
      </w:r>
      <w:r w:rsidR="00237EB1" w:rsidRPr="006571AC">
        <w:rPr>
          <w:rFonts w:hint="cs"/>
          <w:sz w:val="27"/>
          <w:rtl/>
        </w:rPr>
        <w:t>هو</w:t>
      </w:r>
      <w:r w:rsidR="00237EB1" w:rsidRPr="006571AC">
        <w:rPr>
          <w:sz w:val="27"/>
          <w:rtl/>
        </w:rPr>
        <w:t xml:space="preserve"> </w:t>
      </w:r>
      <w:r w:rsidR="00237EB1" w:rsidRPr="006571AC">
        <w:rPr>
          <w:rFonts w:hint="cs"/>
          <w:sz w:val="27"/>
          <w:rtl/>
        </w:rPr>
        <w:t>الأصل</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إيجاب</w:t>
      </w:r>
      <w:r w:rsidR="00237EB1" w:rsidRPr="006571AC">
        <w:rPr>
          <w:sz w:val="27"/>
          <w:rtl/>
        </w:rPr>
        <w:t xml:space="preserve"> </w:t>
      </w:r>
      <w:r w:rsidR="00237EB1" w:rsidRPr="006571AC">
        <w:rPr>
          <w:rFonts w:hint="cs"/>
          <w:sz w:val="27"/>
          <w:rtl/>
        </w:rPr>
        <w:t>المهر</w:t>
      </w:r>
      <w:r w:rsidR="00237EB1" w:rsidRPr="006571AC">
        <w:rPr>
          <w:sz w:val="27"/>
          <w:vertAlign w:val="superscript"/>
          <w:rtl/>
        </w:rPr>
        <w:t>(</w:t>
      </w:r>
      <w:r w:rsidR="00237EB1" w:rsidRPr="006571AC">
        <w:rPr>
          <w:sz w:val="27"/>
          <w:vertAlign w:val="superscript"/>
          <w:rtl/>
        </w:rPr>
        <w:endnoteReference w:id="398"/>
      </w:r>
      <w:r w:rsidR="00237EB1" w:rsidRPr="006571AC">
        <w:rPr>
          <w:sz w:val="27"/>
          <w:vertAlign w:val="superscript"/>
          <w:rtl/>
        </w:rPr>
        <w:t>)</w:t>
      </w:r>
      <w:r w:rsidR="00237EB1" w:rsidRPr="006571AC">
        <w:rPr>
          <w:sz w:val="27"/>
          <w:rtl/>
        </w:rPr>
        <w:t xml:space="preserve">. </w:t>
      </w:r>
    </w:p>
    <w:p w:rsidR="00291BAF" w:rsidRPr="006571AC" w:rsidRDefault="00291BAF" w:rsidP="00291BAF">
      <w:pPr>
        <w:spacing w:line="420" w:lineRule="exact"/>
        <w:rPr>
          <w:sz w:val="27"/>
          <w:rtl/>
        </w:rPr>
      </w:pPr>
      <w:bookmarkStart w:id="181" w:name="_Toc79281888"/>
    </w:p>
    <w:p w:rsidR="00237EB1" w:rsidRPr="006571AC" w:rsidRDefault="00237EB1" w:rsidP="00E629CB">
      <w:pPr>
        <w:pStyle w:val="31"/>
        <w:rPr>
          <w:color w:val="auto"/>
          <w:rtl/>
        </w:rPr>
      </w:pPr>
      <w:bookmarkStart w:id="182" w:name="_Toc114164666"/>
      <w:r w:rsidRPr="006571AC">
        <w:rPr>
          <w:color w:val="auto"/>
          <w:rtl/>
        </w:rPr>
        <w:t>تعريف المهر في القانون المدني الإيراني</w:t>
      </w:r>
      <w:bookmarkEnd w:id="181"/>
      <w:bookmarkEnd w:id="182"/>
    </w:p>
    <w:p w:rsidR="00237EB1" w:rsidRPr="006571AC" w:rsidRDefault="00237EB1" w:rsidP="00E60D93">
      <w:pPr>
        <w:rPr>
          <w:sz w:val="27"/>
          <w:rtl/>
        </w:rPr>
      </w:pPr>
      <w:r w:rsidRPr="006571AC">
        <w:rPr>
          <w:rFonts w:hint="cs"/>
          <w:sz w:val="27"/>
          <w:rtl/>
        </w:rPr>
        <w:t>لم يذكر القانون المدني الإيراني تعريفا</w:t>
      </w:r>
      <w:r w:rsidR="009A311D" w:rsidRPr="006571AC">
        <w:rPr>
          <w:rFonts w:hint="cs"/>
          <w:sz w:val="27"/>
          <w:rtl/>
        </w:rPr>
        <w:t>ً</w:t>
      </w:r>
      <w:r w:rsidRPr="006571AC">
        <w:rPr>
          <w:rFonts w:hint="cs"/>
          <w:sz w:val="27"/>
          <w:rtl/>
        </w:rPr>
        <w:t xml:space="preserve"> خاص</w:t>
      </w:r>
      <w:r w:rsidR="009A311D" w:rsidRPr="006571AC">
        <w:rPr>
          <w:rFonts w:hint="cs"/>
          <w:sz w:val="27"/>
          <w:rtl/>
        </w:rPr>
        <w:t>ّ</w:t>
      </w:r>
      <w:r w:rsidRPr="006571AC">
        <w:rPr>
          <w:rFonts w:hint="cs"/>
          <w:sz w:val="27"/>
          <w:rtl/>
        </w:rPr>
        <w:t>ا</w:t>
      </w:r>
      <w:r w:rsidR="009A311D" w:rsidRPr="006571AC">
        <w:rPr>
          <w:rFonts w:hint="cs"/>
          <w:sz w:val="27"/>
          <w:rtl/>
        </w:rPr>
        <w:t>ً</w:t>
      </w:r>
      <w:r w:rsidRPr="006571AC">
        <w:rPr>
          <w:rFonts w:hint="cs"/>
          <w:sz w:val="27"/>
          <w:rtl/>
        </w:rPr>
        <w:t xml:space="preserve"> للمهر</w:t>
      </w:r>
      <w:r w:rsidR="009A311D" w:rsidRPr="006571AC">
        <w:rPr>
          <w:rFonts w:hint="cs"/>
          <w:sz w:val="27"/>
          <w:rtl/>
        </w:rPr>
        <w:t>،</w:t>
      </w:r>
      <w:r w:rsidRPr="006571AC">
        <w:rPr>
          <w:rFonts w:hint="cs"/>
          <w:sz w:val="27"/>
          <w:rtl/>
        </w:rPr>
        <w:t xml:space="preserve"> إلاّ أنّ المادّة</w:t>
      </w:r>
      <w:r w:rsidRPr="006571AC">
        <w:rPr>
          <w:sz w:val="27"/>
          <w:rtl/>
        </w:rPr>
        <w:t xml:space="preserve"> 1078 </w:t>
      </w:r>
      <w:r w:rsidRPr="006571AC">
        <w:rPr>
          <w:rFonts w:hint="cs"/>
          <w:sz w:val="27"/>
          <w:rtl/>
        </w:rPr>
        <w:t>تنص</w:t>
      </w:r>
      <w:r w:rsidR="009A311D" w:rsidRPr="006571AC">
        <w:rPr>
          <w:rFonts w:hint="cs"/>
          <w:sz w:val="27"/>
          <w:rtl/>
        </w:rPr>
        <w:t>ّ</w:t>
      </w:r>
      <w:r w:rsidRPr="006571AC">
        <w:rPr>
          <w:rFonts w:hint="cs"/>
          <w:sz w:val="27"/>
          <w:rtl/>
        </w:rPr>
        <w:t xml:space="preserve"> على</w:t>
      </w:r>
      <w:r w:rsidRPr="006571AC">
        <w:rPr>
          <w:sz w:val="27"/>
          <w:rtl/>
        </w:rPr>
        <w:t xml:space="preserve"> </w:t>
      </w:r>
      <w:r w:rsidRPr="006571AC">
        <w:rPr>
          <w:rFonts w:hint="cs"/>
          <w:sz w:val="27"/>
          <w:rtl/>
        </w:rPr>
        <w:t>أنّ</w:t>
      </w:r>
      <w:r w:rsidRPr="006571AC">
        <w:rPr>
          <w:sz w:val="27"/>
          <w:rtl/>
        </w:rPr>
        <w:t xml:space="preserve">: </w:t>
      </w:r>
      <w:r w:rsidRPr="006571AC">
        <w:rPr>
          <w:sz w:val="24"/>
          <w:szCs w:val="24"/>
          <w:rtl/>
        </w:rPr>
        <w:t>«</w:t>
      </w:r>
      <w:r w:rsidRPr="006571AC">
        <w:rPr>
          <w:rFonts w:hint="cs"/>
          <w:sz w:val="27"/>
          <w:rtl/>
        </w:rPr>
        <w:t>كلّ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ماليّة، ويكون</w:t>
      </w:r>
      <w:r w:rsidRPr="006571AC">
        <w:rPr>
          <w:sz w:val="27"/>
          <w:rtl/>
        </w:rPr>
        <w:t xml:space="preserve"> </w:t>
      </w:r>
      <w:r w:rsidRPr="006571AC">
        <w:rPr>
          <w:rFonts w:hint="cs"/>
          <w:sz w:val="27"/>
          <w:rtl/>
        </w:rPr>
        <w:t>قابلاً</w:t>
      </w:r>
      <w:r w:rsidRPr="006571AC">
        <w:rPr>
          <w:sz w:val="27"/>
          <w:rtl/>
        </w:rPr>
        <w:t xml:space="preserve"> </w:t>
      </w:r>
      <w:r w:rsidRPr="006571AC">
        <w:rPr>
          <w:rFonts w:hint="cs"/>
          <w:sz w:val="27"/>
          <w:rtl/>
        </w:rPr>
        <w:t>للتملّ</w:t>
      </w:r>
      <w:r w:rsidR="009A311D" w:rsidRPr="006571AC">
        <w:rPr>
          <w:rFonts w:hint="cs"/>
          <w:sz w:val="27"/>
          <w:rtl/>
        </w:rPr>
        <w:t>ُ</w:t>
      </w:r>
      <w:r w:rsidRPr="006571AC">
        <w:rPr>
          <w:rFonts w:hint="cs"/>
          <w:sz w:val="27"/>
          <w:rtl/>
        </w:rPr>
        <w:t>ك، يمكن</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م</w:t>
      </w:r>
      <w:r w:rsidR="009A311D" w:rsidRPr="006571AC">
        <w:rPr>
          <w:rFonts w:hint="cs"/>
          <w:sz w:val="27"/>
          <w:rtl/>
        </w:rPr>
        <w:t>َ</w:t>
      </w:r>
      <w:r w:rsidRPr="006571AC">
        <w:rPr>
          <w:rFonts w:hint="cs"/>
          <w:sz w:val="27"/>
          <w:rtl/>
        </w:rPr>
        <w:t>ه</w:t>
      </w:r>
      <w:r w:rsidR="009A311D" w:rsidRPr="006571AC">
        <w:rPr>
          <w:rFonts w:hint="cs"/>
          <w:sz w:val="27"/>
          <w:rtl/>
        </w:rPr>
        <w:t>ْ</w:t>
      </w:r>
      <w:r w:rsidRPr="006571AC">
        <w:rPr>
          <w:rFonts w:hint="cs"/>
          <w:sz w:val="27"/>
          <w:rtl/>
        </w:rPr>
        <w:t>راً</w:t>
      </w:r>
      <w:r w:rsidRPr="006571AC">
        <w:rPr>
          <w:rFonts w:hint="eastAsia"/>
          <w:sz w:val="24"/>
          <w:szCs w:val="24"/>
          <w:rtl/>
        </w:rPr>
        <w:t>»</w:t>
      </w:r>
      <w:r w:rsidRPr="006571AC">
        <w:rPr>
          <w:sz w:val="27"/>
          <w:rtl/>
        </w:rPr>
        <w:t xml:space="preserve">. </w:t>
      </w:r>
    </w:p>
    <w:p w:rsidR="00291BAF" w:rsidRPr="006571AC" w:rsidRDefault="00291BAF" w:rsidP="00291BAF">
      <w:pPr>
        <w:spacing w:line="430" w:lineRule="exact"/>
        <w:rPr>
          <w:sz w:val="27"/>
          <w:rtl/>
        </w:rPr>
      </w:pPr>
      <w:bookmarkStart w:id="183" w:name="_Toc79281889"/>
    </w:p>
    <w:p w:rsidR="00237EB1" w:rsidRPr="006571AC" w:rsidRDefault="00237EB1" w:rsidP="00E629CB">
      <w:pPr>
        <w:pStyle w:val="31"/>
        <w:rPr>
          <w:color w:val="auto"/>
          <w:rtl/>
        </w:rPr>
      </w:pPr>
      <w:bookmarkStart w:id="184" w:name="_Toc114164667"/>
      <w:r w:rsidRPr="006571AC">
        <w:rPr>
          <w:rFonts w:hint="cs"/>
          <w:color w:val="auto"/>
          <w:rtl/>
        </w:rPr>
        <w:t>التحديد لغةً واصطلاحاً</w:t>
      </w:r>
      <w:bookmarkEnd w:id="183"/>
      <w:bookmarkEnd w:id="184"/>
    </w:p>
    <w:p w:rsidR="00237EB1" w:rsidRPr="006571AC" w:rsidRDefault="00981257" w:rsidP="00E60D93">
      <w:pPr>
        <w:rPr>
          <w:sz w:val="27"/>
          <w:rtl/>
        </w:rPr>
      </w:pPr>
      <w:bookmarkStart w:id="185" w:name="_Toc114164668"/>
      <w:r w:rsidRPr="006571AC">
        <w:rPr>
          <w:rStyle w:val="1Char"/>
          <w:rFonts w:cs="AL-Mohanad" w:hint="cs"/>
          <w:sz w:val="27"/>
          <w:szCs w:val="27"/>
          <w:rtl/>
        </w:rPr>
        <w:t>في اللغة</w:t>
      </w:r>
      <w:bookmarkEnd w:id="185"/>
      <w:r w:rsidR="00237EB1" w:rsidRPr="006571AC">
        <w:rPr>
          <w:rStyle w:val="1Char"/>
          <w:rFonts w:cs="AL-Mohanad" w:hint="cs"/>
          <w:sz w:val="27"/>
          <w:szCs w:val="27"/>
          <w:rtl/>
        </w:rPr>
        <w:t xml:space="preserve"> </w:t>
      </w:r>
      <w:r w:rsidR="00237EB1" w:rsidRPr="006571AC">
        <w:rPr>
          <w:rFonts w:hint="cs"/>
          <w:sz w:val="27"/>
          <w:rtl/>
        </w:rPr>
        <w:t>أصل الماد</w:t>
      </w:r>
      <w:r w:rsidRPr="006571AC">
        <w:rPr>
          <w:rFonts w:hint="cs"/>
          <w:sz w:val="27"/>
          <w:rtl/>
        </w:rPr>
        <w:t>ّ</w:t>
      </w:r>
      <w:r w:rsidR="00237EB1" w:rsidRPr="006571AC">
        <w:rPr>
          <w:rFonts w:hint="cs"/>
          <w:sz w:val="27"/>
          <w:rtl/>
        </w:rPr>
        <w:t xml:space="preserve">ة من </w:t>
      </w:r>
      <w:r w:rsidR="00237EB1" w:rsidRPr="006571AC">
        <w:rPr>
          <w:sz w:val="24"/>
          <w:szCs w:val="24"/>
          <w:rtl/>
        </w:rPr>
        <w:t>«</w:t>
      </w:r>
      <w:r w:rsidR="00237EB1" w:rsidRPr="006571AC">
        <w:rPr>
          <w:rFonts w:hint="cs"/>
          <w:sz w:val="27"/>
          <w:rtl/>
        </w:rPr>
        <w:t>الحَدّ</w:t>
      </w:r>
      <w:r w:rsidR="00237EB1" w:rsidRPr="006571AC">
        <w:rPr>
          <w:sz w:val="27"/>
          <w:rtl/>
        </w:rPr>
        <w:t xml:space="preserve"> </w:t>
      </w:r>
      <w:r w:rsidR="00237EB1" w:rsidRPr="006571AC">
        <w:rPr>
          <w:rFonts w:hint="cs"/>
          <w:sz w:val="27"/>
          <w:rtl/>
        </w:rPr>
        <w:t>والحُدُود</w:t>
      </w:r>
      <w:r w:rsidR="00237EB1" w:rsidRPr="006571AC">
        <w:rPr>
          <w:rFonts w:hint="eastAsia"/>
          <w:sz w:val="24"/>
          <w:szCs w:val="24"/>
          <w:rtl/>
        </w:rPr>
        <w:t>»</w:t>
      </w:r>
      <w:r w:rsidR="00D27066" w:rsidRPr="006571AC">
        <w:rPr>
          <w:rFonts w:hint="cs"/>
          <w:sz w:val="27"/>
          <w:rtl/>
        </w:rPr>
        <w:t>.</w:t>
      </w:r>
      <w:r w:rsidR="00237EB1" w:rsidRPr="006571AC">
        <w:rPr>
          <w:rFonts w:hint="cs"/>
          <w:sz w:val="27"/>
          <w:rtl/>
        </w:rPr>
        <w:t xml:space="preserve"> </w:t>
      </w:r>
      <w:r w:rsidR="00D27066" w:rsidRPr="006571AC">
        <w:rPr>
          <w:rFonts w:hint="cs"/>
          <w:sz w:val="27"/>
          <w:rtl/>
        </w:rPr>
        <w:t>و</w:t>
      </w:r>
      <w:r w:rsidR="00237EB1" w:rsidRPr="006571AC">
        <w:rPr>
          <w:rFonts w:hint="cs"/>
          <w:sz w:val="27"/>
          <w:rtl/>
        </w:rPr>
        <w:t>الحاء</w:t>
      </w:r>
      <w:r w:rsidR="00237EB1" w:rsidRPr="006571AC">
        <w:rPr>
          <w:sz w:val="27"/>
          <w:rtl/>
        </w:rPr>
        <w:t xml:space="preserve"> </w:t>
      </w:r>
      <w:r w:rsidR="00237EB1" w:rsidRPr="006571AC">
        <w:rPr>
          <w:rFonts w:hint="cs"/>
          <w:sz w:val="27"/>
          <w:rtl/>
        </w:rPr>
        <w:t>والدال</w:t>
      </w:r>
      <w:r w:rsidR="00237EB1" w:rsidRPr="006571AC">
        <w:rPr>
          <w:sz w:val="27"/>
          <w:rtl/>
        </w:rPr>
        <w:t xml:space="preserve"> </w:t>
      </w:r>
      <w:r w:rsidR="00237EB1" w:rsidRPr="006571AC">
        <w:rPr>
          <w:rFonts w:hint="cs"/>
          <w:sz w:val="27"/>
          <w:rtl/>
        </w:rPr>
        <w:t>أصلان</w:t>
      </w:r>
      <w:r w:rsidR="00237EB1" w:rsidRPr="006571AC">
        <w:rPr>
          <w:sz w:val="27"/>
          <w:rtl/>
        </w:rPr>
        <w:t xml:space="preserve">: </w:t>
      </w:r>
      <w:r w:rsidR="00237EB1" w:rsidRPr="006571AC">
        <w:rPr>
          <w:rFonts w:hint="cs"/>
          <w:b/>
          <w:bCs/>
          <w:sz w:val="27"/>
          <w:rtl/>
        </w:rPr>
        <w:t>الأو</w:t>
      </w:r>
      <w:r w:rsidR="009F31B5" w:rsidRPr="006571AC">
        <w:rPr>
          <w:rFonts w:hint="cs"/>
          <w:b/>
          <w:bCs/>
          <w:sz w:val="27"/>
          <w:rtl/>
        </w:rPr>
        <w:t>ّ</w:t>
      </w:r>
      <w:r w:rsidR="00237EB1" w:rsidRPr="006571AC">
        <w:rPr>
          <w:rFonts w:hint="cs"/>
          <w:b/>
          <w:bCs/>
          <w:sz w:val="27"/>
          <w:rtl/>
        </w:rPr>
        <w:t>ل</w:t>
      </w:r>
      <w:r w:rsidR="00D27066" w:rsidRPr="006571AC">
        <w:rPr>
          <w:rFonts w:hint="cs"/>
          <w:sz w:val="27"/>
          <w:rtl/>
        </w:rPr>
        <w:t>:</w:t>
      </w:r>
      <w:r w:rsidR="00237EB1" w:rsidRPr="006571AC">
        <w:rPr>
          <w:sz w:val="27"/>
          <w:rtl/>
        </w:rPr>
        <w:t xml:space="preserve"> </w:t>
      </w:r>
      <w:r w:rsidR="00237EB1" w:rsidRPr="006571AC">
        <w:rPr>
          <w:rFonts w:hint="cs"/>
          <w:sz w:val="27"/>
          <w:rtl/>
        </w:rPr>
        <w:t>المنع</w:t>
      </w:r>
      <w:r w:rsidR="00D27066" w:rsidRPr="006571AC">
        <w:rPr>
          <w:rFonts w:hint="cs"/>
          <w:sz w:val="27"/>
          <w:rtl/>
        </w:rPr>
        <w:t>؛</w:t>
      </w:r>
      <w:r w:rsidR="00237EB1" w:rsidRPr="006571AC">
        <w:rPr>
          <w:rFonts w:hint="cs"/>
          <w:sz w:val="27"/>
          <w:rtl/>
        </w:rPr>
        <w:t xml:space="preserve"> </w:t>
      </w:r>
      <w:r w:rsidR="00237EB1" w:rsidRPr="006571AC">
        <w:rPr>
          <w:rFonts w:hint="cs"/>
          <w:b/>
          <w:bCs/>
          <w:sz w:val="27"/>
          <w:rtl/>
        </w:rPr>
        <w:t>والثاني</w:t>
      </w:r>
      <w:r w:rsidR="00D27066" w:rsidRPr="006571AC">
        <w:rPr>
          <w:rFonts w:hint="cs"/>
          <w:sz w:val="27"/>
          <w:rtl/>
        </w:rPr>
        <w:t>:</w:t>
      </w:r>
      <w:r w:rsidR="00237EB1" w:rsidRPr="006571AC">
        <w:rPr>
          <w:sz w:val="27"/>
          <w:rtl/>
        </w:rPr>
        <w:t xml:space="preserve"> </w:t>
      </w:r>
      <w:r w:rsidR="00237EB1" w:rsidRPr="006571AC">
        <w:rPr>
          <w:rFonts w:hint="cs"/>
          <w:sz w:val="27"/>
          <w:rtl/>
        </w:rPr>
        <w:t>طرف</w:t>
      </w:r>
      <w:r w:rsidR="00237EB1" w:rsidRPr="006571AC">
        <w:rPr>
          <w:sz w:val="27"/>
          <w:rtl/>
        </w:rPr>
        <w:t xml:space="preserve"> </w:t>
      </w:r>
      <w:r w:rsidR="00237EB1" w:rsidRPr="006571AC">
        <w:rPr>
          <w:rFonts w:hint="cs"/>
          <w:sz w:val="27"/>
          <w:rtl/>
        </w:rPr>
        <w:t>الشيء</w:t>
      </w:r>
      <w:r w:rsidR="00D27066" w:rsidRPr="006571AC">
        <w:rPr>
          <w:rFonts w:hint="cs"/>
          <w:sz w:val="27"/>
          <w:rtl/>
        </w:rPr>
        <w:t xml:space="preserve">، </w:t>
      </w:r>
      <w:r w:rsidR="00237EB1" w:rsidRPr="006571AC">
        <w:rPr>
          <w:rFonts w:hint="cs"/>
          <w:sz w:val="27"/>
          <w:rtl/>
        </w:rPr>
        <w:t>فيكون الحدّ: الحاجز</w:t>
      </w:r>
      <w:r w:rsidR="00237EB1" w:rsidRPr="006571AC">
        <w:rPr>
          <w:sz w:val="27"/>
          <w:rtl/>
        </w:rPr>
        <w:t xml:space="preserve"> </w:t>
      </w:r>
      <w:r w:rsidR="00237EB1" w:rsidRPr="006571AC">
        <w:rPr>
          <w:rFonts w:hint="cs"/>
          <w:sz w:val="27"/>
          <w:rtl/>
        </w:rPr>
        <w:t>بين</w:t>
      </w:r>
      <w:r w:rsidR="00237EB1" w:rsidRPr="006571AC">
        <w:rPr>
          <w:sz w:val="27"/>
          <w:rtl/>
        </w:rPr>
        <w:t xml:space="preserve"> </w:t>
      </w:r>
      <w:r w:rsidR="00237EB1" w:rsidRPr="006571AC">
        <w:rPr>
          <w:rFonts w:hint="cs"/>
          <w:sz w:val="27"/>
          <w:rtl/>
        </w:rPr>
        <w:t>الشيئين، وي</w:t>
      </w:r>
      <w:r w:rsidR="00D27066" w:rsidRPr="006571AC">
        <w:rPr>
          <w:rFonts w:hint="cs"/>
          <w:sz w:val="27"/>
          <w:rtl/>
        </w:rPr>
        <w:t>ُ</w:t>
      </w:r>
      <w:r w:rsidR="00237EB1" w:rsidRPr="006571AC">
        <w:rPr>
          <w:rFonts w:hint="cs"/>
          <w:sz w:val="27"/>
          <w:rtl/>
        </w:rPr>
        <w:t>قال: فلان</w:t>
      </w:r>
      <w:r w:rsidR="00D27066" w:rsidRPr="006571AC">
        <w:rPr>
          <w:rFonts w:hint="cs"/>
          <w:sz w:val="27"/>
          <w:rtl/>
        </w:rPr>
        <w:t>ٌ</w:t>
      </w:r>
      <w:r w:rsidR="00237EB1" w:rsidRPr="006571AC">
        <w:rPr>
          <w:sz w:val="27"/>
          <w:rtl/>
        </w:rPr>
        <w:t xml:space="preserve"> </w:t>
      </w:r>
      <w:r w:rsidR="00237EB1" w:rsidRPr="006571AC">
        <w:rPr>
          <w:rFonts w:hint="cs"/>
          <w:sz w:val="27"/>
          <w:rtl/>
        </w:rPr>
        <w:t>محدود</w:t>
      </w:r>
      <w:r w:rsidR="00D27066" w:rsidRPr="006571AC">
        <w:rPr>
          <w:rFonts w:hint="cs"/>
          <w:sz w:val="27"/>
          <w:rtl/>
        </w:rPr>
        <w:t>ٌ</w:t>
      </w:r>
      <w:r w:rsidR="00237EB1" w:rsidRPr="006571AC">
        <w:rPr>
          <w:rFonts w:hint="cs"/>
          <w:sz w:val="27"/>
          <w:rtl/>
        </w:rPr>
        <w:t xml:space="preserve"> إذا</w:t>
      </w:r>
      <w:r w:rsidR="00237EB1" w:rsidRPr="006571AC">
        <w:rPr>
          <w:sz w:val="27"/>
          <w:rtl/>
        </w:rPr>
        <w:t xml:space="preserve"> </w:t>
      </w:r>
      <w:r w:rsidR="00237EB1" w:rsidRPr="006571AC">
        <w:rPr>
          <w:rFonts w:hint="cs"/>
          <w:sz w:val="27"/>
          <w:rtl/>
        </w:rPr>
        <w:t>كان</w:t>
      </w:r>
      <w:r w:rsidR="00237EB1" w:rsidRPr="006571AC">
        <w:rPr>
          <w:sz w:val="27"/>
          <w:rtl/>
        </w:rPr>
        <w:t xml:space="preserve"> </w:t>
      </w:r>
      <w:r w:rsidR="00237EB1" w:rsidRPr="006571AC">
        <w:rPr>
          <w:rFonts w:hint="cs"/>
          <w:sz w:val="27"/>
          <w:rtl/>
        </w:rPr>
        <w:t>ممنوعاً</w:t>
      </w:r>
      <w:r w:rsidR="00237EB1" w:rsidRPr="006571AC">
        <w:rPr>
          <w:sz w:val="27"/>
          <w:vertAlign w:val="superscript"/>
          <w:rtl/>
        </w:rPr>
        <w:t>(</w:t>
      </w:r>
      <w:r w:rsidR="00237EB1" w:rsidRPr="006571AC">
        <w:rPr>
          <w:sz w:val="27"/>
          <w:vertAlign w:val="superscript"/>
          <w:rtl/>
        </w:rPr>
        <w:endnoteReference w:id="399"/>
      </w:r>
      <w:r w:rsidR="00237EB1" w:rsidRPr="006571AC">
        <w:rPr>
          <w:sz w:val="27"/>
          <w:vertAlign w:val="superscript"/>
          <w:rtl/>
        </w:rPr>
        <w:t>)</w:t>
      </w:r>
      <w:r w:rsidR="00237EB1" w:rsidRPr="006571AC">
        <w:rPr>
          <w:sz w:val="27"/>
          <w:rtl/>
        </w:rPr>
        <w:t>،</w:t>
      </w:r>
      <w:r w:rsidR="00237EB1" w:rsidRPr="006571AC">
        <w:rPr>
          <w:rFonts w:hint="cs"/>
          <w:sz w:val="27"/>
          <w:rtl/>
        </w:rPr>
        <w:t xml:space="preserve"> أو المنع</w:t>
      </w:r>
      <w:r w:rsidR="00237EB1" w:rsidRPr="006571AC">
        <w:rPr>
          <w:sz w:val="27"/>
          <w:rtl/>
        </w:rPr>
        <w:t xml:space="preserve"> </w:t>
      </w:r>
      <w:r w:rsidR="00237EB1" w:rsidRPr="006571AC">
        <w:rPr>
          <w:rFonts w:hint="cs"/>
          <w:sz w:val="27"/>
          <w:rtl/>
        </w:rPr>
        <w:t>والفصل</w:t>
      </w:r>
      <w:r w:rsidR="00237EB1" w:rsidRPr="006571AC">
        <w:rPr>
          <w:sz w:val="27"/>
          <w:rtl/>
        </w:rPr>
        <w:t xml:space="preserve"> </w:t>
      </w:r>
      <w:r w:rsidR="00237EB1" w:rsidRPr="006571AC">
        <w:rPr>
          <w:rFonts w:hint="cs"/>
          <w:sz w:val="27"/>
          <w:rtl/>
        </w:rPr>
        <w:t>بين</w:t>
      </w:r>
      <w:r w:rsidR="00237EB1" w:rsidRPr="006571AC">
        <w:rPr>
          <w:sz w:val="27"/>
          <w:rtl/>
        </w:rPr>
        <w:t xml:space="preserve"> </w:t>
      </w:r>
      <w:r w:rsidR="00237EB1" w:rsidRPr="006571AC">
        <w:rPr>
          <w:rFonts w:hint="cs"/>
          <w:sz w:val="27"/>
          <w:rtl/>
        </w:rPr>
        <w:t>الشيئين</w:t>
      </w:r>
      <w:r w:rsidR="00D27066" w:rsidRPr="006571AC">
        <w:rPr>
          <w:rFonts w:hint="cs"/>
          <w:sz w:val="27"/>
          <w:rtl/>
        </w:rPr>
        <w:t>؛</w:t>
      </w:r>
      <w:r w:rsidR="00237EB1" w:rsidRPr="006571AC">
        <w:rPr>
          <w:rFonts w:hint="cs"/>
          <w:sz w:val="27"/>
          <w:rtl/>
        </w:rPr>
        <w:t xml:space="preserve"> لئلا</w:t>
      </w:r>
      <w:r w:rsidR="00237EB1" w:rsidRPr="006571AC">
        <w:rPr>
          <w:sz w:val="27"/>
          <w:rtl/>
        </w:rPr>
        <w:t xml:space="preserve"> </w:t>
      </w:r>
      <w:r w:rsidR="00237EB1" w:rsidRPr="006571AC">
        <w:rPr>
          <w:rFonts w:hint="cs"/>
          <w:sz w:val="27"/>
          <w:rtl/>
        </w:rPr>
        <w:t>يختلط</w:t>
      </w:r>
      <w:r w:rsidR="00237EB1" w:rsidRPr="006571AC">
        <w:rPr>
          <w:sz w:val="27"/>
          <w:rtl/>
        </w:rPr>
        <w:t xml:space="preserve"> </w:t>
      </w:r>
      <w:r w:rsidR="00237EB1" w:rsidRPr="006571AC">
        <w:rPr>
          <w:rFonts w:hint="cs"/>
          <w:sz w:val="27"/>
          <w:rtl/>
        </w:rPr>
        <w:t>أحدهما</w:t>
      </w:r>
      <w:r w:rsidR="00237EB1" w:rsidRPr="006571AC">
        <w:rPr>
          <w:sz w:val="27"/>
          <w:rtl/>
        </w:rPr>
        <w:t xml:space="preserve"> </w:t>
      </w:r>
      <w:r w:rsidR="00237EB1" w:rsidRPr="006571AC">
        <w:rPr>
          <w:rFonts w:hint="cs"/>
          <w:sz w:val="27"/>
          <w:rtl/>
        </w:rPr>
        <w:t>بالآخر</w:t>
      </w:r>
      <w:r w:rsidR="00D27066" w:rsidRPr="006571AC">
        <w:rPr>
          <w:rFonts w:hint="cs"/>
          <w:sz w:val="27"/>
          <w:rtl/>
        </w:rPr>
        <w:t>،</w:t>
      </w:r>
      <w:r w:rsidR="00237EB1" w:rsidRPr="006571AC">
        <w:rPr>
          <w:sz w:val="27"/>
          <w:rtl/>
        </w:rPr>
        <w:t xml:space="preserve"> </w:t>
      </w:r>
      <w:r w:rsidR="00237EB1" w:rsidRPr="006571AC">
        <w:rPr>
          <w:rFonts w:hint="cs"/>
          <w:sz w:val="27"/>
          <w:rtl/>
        </w:rPr>
        <w:t>أو</w:t>
      </w:r>
      <w:r w:rsidR="00237EB1" w:rsidRPr="006571AC">
        <w:rPr>
          <w:sz w:val="27"/>
          <w:rtl/>
        </w:rPr>
        <w:t xml:space="preserve"> </w:t>
      </w:r>
      <w:r w:rsidR="00237EB1" w:rsidRPr="006571AC">
        <w:rPr>
          <w:rFonts w:hint="cs"/>
          <w:sz w:val="27"/>
          <w:rtl/>
        </w:rPr>
        <w:t>لئلا</w:t>
      </w:r>
      <w:r w:rsidR="00237EB1" w:rsidRPr="006571AC">
        <w:rPr>
          <w:sz w:val="27"/>
          <w:rtl/>
        </w:rPr>
        <w:t xml:space="preserve"> </w:t>
      </w:r>
      <w:r w:rsidR="00237EB1" w:rsidRPr="006571AC">
        <w:rPr>
          <w:rFonts w:hint="cs"/>
          <w:sz w:val="27"/>
          <w:rtl/>
        </w:rPr>
        <w:t>يتعد</w:t>
      </w:r>
      <w:r w:rsidR="00D27066" w:rsidRPr="006571AC">
        <w:rPr>
          <w:rFonts w:hint="cs"/>
          <w:sz w:val="27"/>
          <w:rtl/>
        </w:rPr>
        <w:t>ّ</w:t>
      </w:r>
      <w:r w:rsidR="00237EB1" w:rsidRPr="006571AC">
        <w:rPr>
          <w:rFonts w:hint="cs"/>
          <w:sz w:val="27"/>
          <w:rtl/>
        </w:rPr>
        <w:t>ى</w:t>
      </w:r>
      <w:r w:rsidR="00237EB1" w:rsidRPr="006571AC">
        <w:rPr>
          <w:sz w:val="27"/>
          <w:rtl/>
        </w:rPr>
        <w:t xml:space="preserve"> </w:t>
      </w:r>
      <w:r w:rsidR="00237EB1" w:rsidRPr="006571AC">
        <w:rPr>
          <w:rFonts w:hint="cs"/>
          <w:sz w:val="27"/>
          <w:rtl/>
        </w:rPr>
        <w:t>أحدهما</w:t>
      </w:r>
      <w:r w:rsidR="00237EB1" w:rsidRPr="006571AC">
        <w:rPr>
          <w:sz w:val="27"/>
          <w:rtl/>
        </w:rPr>
        <w:t xml:space="preserve"> </w:t>
      </w:r>
      <w:r w:rsidR="00237EB1" w:rsidRPr="006571AC">
        <w:rPr>
          <w:rFonts w:hint="cs"/>
          <w:sz w:val="27"/>
          <w:rtl/>
        </w:rPr>
        <w:t>على</w:t>
      </w:r>
      <w:r w:rsidR="00237EB1" w:rsidRPr="006571AC">
        <w:rPr>
          <w:sz w:val="27"/>
          <w:rtl/>
        </w:rPr>
        <w:t xml:space="preserve"> </w:t>
      </w:r>
      <w:r w:rsidR="00237EB1" w:rsidRPr="006571AC">
        <w:rPr>
          <w:rFonts w:hint="cs"/>
          <w:sz w:val="27"/>
          <w:rtl/>
        </w:rPr>
        <w:t>الآخر، وجمعه</w:t>
      </w:r>
      <w:r w:rsidR="00237EB1" w:rsidRPr="006571AC">
        <w:rPr>
          <w:sz w:val="27"/>
          <w:rtl/>
        </w:rPr>
        <w:t xml:space="preserve"> </w:t>
      </w:r>
      <w:r w:rsidR="00237EB1" w:rsidRPr="006571AC">
        <w:rPr>
          <w:rFonts w:hint="cs"/>
          <w:sz w:val="27"/>
          <w:rtl/>
        </w:rPr>
        <w:t>حدود</w:t>
      </w:r>
      <w:r w:rsidR="00237EB1" w:rsidRPr="006571AC">
        <w:rPr>
          <w:sz w:val="27"/>
          <w:rtl/>
        </w:rPr>
        <w:t xml:space="preserve">. </w:t>
      </w:r>
      <w:r w:rsidR="00237EB1" w:rsidRPr="006571AC">
        <w:rPr>
          <w:rFonts w:hint="cs"/>
          <w:sz w:val="27"/>
          <w:rtl/>
        </w:rPr>
        <w:t>وفصل</w:t>
      </w:r>
      <w:r w:rsidR="00237EB1" w:rsidRPr="006571AC">
        <w:rPr>
          <w:sz w:val="27"/>
          <w:rtl/>
        </w:rPr>
        <w:t xml:space="preserve"> </w:t>
      </w:r>
      <w:r w:rsidR="00237EB1" w:rsidRPr="006571AC">
        <w:rPr>
          <w:rFonts w:hint="cs"/>
          <w:sz w:val="27"/>
          <w:rtl/>
        </w:rPr>
        <w:t>ما</w:t>
      </w:r>
      <w:r w:rsidR="00237EB1" w:rsidRPr="006571AC">
        <w:rPr>
          <w:sz w:val="27"/>
          <w:rtl/>
        </w:rPr>
        <w:t xml:space="preserve"> </w:t>
      </w:r>
      <w:r w:rsidR="00237EB1" w:rsidRPr="006571AC">
        <w:rPr>
          <w:rFonts w:hint="cs"/>
          <w:sz w:val="27"/>
          <w:rtl/>
        </w:rPr>
        <w:t>بين</w:t>
      </w:r>
      <w:r w:rsidR="00237EB1" w:rsidRPr="006571AC">
        <w:rPr>
          <w:sz w:val="27"/>
          <w:rtl/>
        </w:rPr>
        <w:t xml:space="preserve"> </w:t>
      </w:r>
      <w:r w:rsidR="00237EB1" w:rsidRPr="006571AC">
        <w:rPr>
          <w:rFonts w:hint="cs"/>
          <w:sz w:val="27"/>
          <w:rtl/>
        </w:rPr>
        <w:t>كل</w:t>
      </w:r>
      <w:r w:rsidR="00D27066" w:rsidRPr="006571AC">
        <w:rPr>
          <w:rFonts w:hint="cs"/>
          <w:sz w:val="27"/>
          <w:rtl/>
        </w:rPr>
        <w:t>ّ</w:t>
      </w:r>
      <w:r w:rsidR="00237EB1" w:rsidRPr="006571AC">
        <w:rPr>
          <w:sz w:val="27"/>
          <w:rtl/>
        </w:rPr>
        <w:t xml:space="preserve"> </w:t>
      </w:r>
      <w:r w:rsidR="00237EB1" w:rsidRPr="006571AC">
        <w:rPr>
          <w:rFonts w:hint="cs"/>
          <w:sz w:val="27"/>
          <w:rtl/>
        </w:rPr>
        <w:t>شيئين</w:t>
      </w:r>
      <w:r w:rsidR="00237EB1" w:rsidRPr="006571AC">
        <w:rPr>
          <w:sz w:val="27"/>
          <w:rtl/>
        </w:rPr>
        <w:t xml:space="preserve">: </w:t>
      </w:r>
      <w:r w:rsidR="00237EB1" w:rsidRPr="006571AC">
        <w:rPr>
          <w:rFonts w:hint="cs"/>
          <w:sz w:val="27"/>
          <w:rtl/>
        </w:rPr>
        <w:t>حد</w:t>
      </w:r>
      <w:r w:rsidR="00D27066" w:rsidRPr="006571AC">
        <w:rPr>
          <w:rFonts w:hint="cs"/>
          <w:sz w:val="27"/>
          <w:rtl/>
        </w:rPr>
        <w:t>ّ</w:t>
      </w:r>
      <w:r w:rsidR="00237EB1" w:rsidRPr="006571AC">
        <w:rPr>
          <w:sz w:val="27"/>
          <w:rtl/>
        </w:rPr>
        <w:t xml:space="preserve"> </w:t>
      </w:r>
      <w:r w:rsidR="00237EB1" w:rsidRPr="006571AC">
        <w:rPr>
          <w:rFonts w:hint="cs"/>
          <w:sz w:val="27"/>
          <w:rtl/>
        </w:rPr>
        <w:t>بينهما</w:t>
      </w:r>
      <w:r w:rsidR="00237EB1" w:rsidRPr="006571AC">
        <w:rPr>
          <w:sz w:val="27"/>
          <w:rtl/>
        </w:rPr>
        <w:t xml:space="preserve">. </w:t>
      </w:r>
      <w:r w:rsidR="00237EB1" w:rsidRPr="006571AC">
        <w:rPr>
          <w:rFonts w:hint="cs"/>
          <w:sz w:val="27"/>
          <w:rtl/>
        </w:rPr>
        <w:t>ومنتهى</w:t>
      </w:r>
      <w:r w:rsidR="00237EB1" w:rsidRPr="006571AC">
        <w:rPr>
          <w:sz w:val="27"/>
          <w:rtl/>
        </w:rPr>
        <w:t xml:space="preserve"> </w:t>
      </w:r>
      <w:r w:rsidR="00237EB1" w:rsidRPr="006571AC">
        <w:rPr>
          <w:rFonts w:hint="cs"/>
          <w:sz w:val="27"/>
          <w:rtl/>
        </w:rPr>
        <w:t>كل</w:t>
      </w:r>
      <w:r w:rsidR="00D27066" w:rsidRPr="006571AC">
        <w:rPr>
          <w:rFonts w:hint="cs"/>
          <w:sz w:val="27"/>
          <w:rtl/>
        </w:rPr>
        <w:t>ّ</w:t>
      </w:r>
      <w:r w:rsidR="00237EB1" w:rsidRPr="006571AC">
        <w:rPr>
          <w:sz w:val="27"/>
          <w:rtl/>
        </w:rPr>
        <w:t xml:space="preserve"> </w:t>
      </w:r>
      <w:r w:rsidR="00237EB1" w:rsidRPr="006571AC">
        <w:rPr>
          <w:rFonts w:hint="cs"/>
          <w:sz w:val="27"/>
          <w:rtl/>
        </w:rPr>
        <w:t>شيء</w:t>
      </w:r>
      <w:r w:rsidR="00237EB1" w:rsidRPr="006571AC">
        <w:rPr>
          <w:sz w:val="27"/>
          <w:vertAlign w:val="superscript"/>
          <w:rtl/>
        </w:rPr>
        <w:t>(</w:t>
      </w:r>
      <w:r w:rsidR="00237EB1" w:rsidRPr="006571AC">
        <w:rPr>
          <w:sz w:val="27"/>
          <w:vertAlign w:val="superscript"/>
          <w:rtl/>
        </w:rPr>
        <w:endnoteReference w:id="400"/>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37EB1" w:rsidRPr="006571AC" w:rsidRDefault="00D27066" w:rsidP="009F31B5">
      <w:pPr>
        <w:rPr>
          <w:sz w:val="27"/>
          <w:rtl/>
        </w:rPr>
      </w:pPr>
      <w:bookmarkStart w:id="186" w:name="_Toc79281891"/>
      <w:bookmarkStart w:id="187" w:name="_Toc114164669"/>
      <w:r w:rsidRPr="006571AC">
        <w:rPr>
          <w:rStyle w:val="1Char"/>
          <w:rFonts w:cs="AL-Mohanad" w:hint="cs"/>
          <w:sz w:val="27"/>
          <w:szCs w:val="27"/>
          <w:rtl/>
        </w:rPr>
        <w:t xml:space="preserve">وأما </w:t>
      </w:r>
      <w:bookmarkEnd w:id="186"/>
      <w:r w:rsidRPr="006571AC">
        <w:rPr>
          <w:rStyle w:val="1Char"/>
          <w:rFonts w:cs="AL-Mohanad" w:hint="cs"/>
          <w:sz w:val="27"/>
          <w:szCs w:val="27"/>
          <w:rtl/>
        </w:rPr>
        <w:t>في الاصطلاح فهو</w:t>
      </w:r>
      <w:bookmarkEnd w:id="187"/>
      <w:r w:rsidR="00237EB1" w:rsidRPr="006571AC">
        <w:rPr>
          <w:rStyle w:val="1Char"/>
          <w:rFonts w:cs="AL-Mohanad" w:hint="cs"/>
          <w:sz w:val="27"/>
          <w:szCs w:val="27"/>
          <w:rtl/>
        </w:rPr>
        <w:t xml:space="preserve"> </w:t>
      </w:r>
      <w:r w:rsidR="00237EB1" w:rsidRPr="006571AC">
        <w:rPr>
          <w:rFonts w:hint="cs"/>
          <w:sz w:val="27"/>
          <w:rtl/>
        </w:rPr>
        <w:t>ما</w:t>
      </w:r>
      <w:r w:rsidR="00237EB1" w:rsidRPr="006571AC">
        <w:rPr>
          <w:sz w:val="27"/>
          <w:rtl/>
        </w:rPr>
        <w:t xml:space="preserve"> </w:t>
      </w:r>
      <w:r w:rsidR="00237EB1" w:rsidRPr="006571AC">
        <w:rPr>
          <w:rFonts w:hint="cs"/>
          <w:sz w:val="27"/>
          <w:rtl/>
        </w:rPr>
        <w:t>يمنع</w:t>
      </w:r>
      <w:r w:rsidR="00237EB1" w:rsidRPr="006571AC">
        <w:rPr>
          <w:sz w:val="27"/>
          <w:rtl/>
        </w:rPr>
        <w:t xml:space="preserve"> </w:t>
      </w:r>
      <w:r w:rsidR="00237EB1" w:rsidRPr="006571AC">
        <w:rPr>
          <w:rFonts w:hint="cs"/>
          <w:sz w:val="27"/>
          <w:rtl/>
        </w:rPr>
        <w:t>المحدود</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الع</w:t>
      </w:r>
      <w:r w:rsidRPr="006571AC">
        <w:rPr>
          <w:rFonts w:hint="cs"/>
          <w:sz w:val="27"/>
          <w:rtl/>
        </w:rPr>
        <w:t>َ</w:t>
      </w:r>
      <w:r w:rsidR="00237EB1" w:rsidRPr="006571AC">
        <w:rPr>
          <w:rFonts w:hint="cs"/>
          <w:sz w:val="27"/>
          <w:rtl/>
        </w:rPr>
        <w:t>و</w:t>
      </w:r>
      <w:r w:rsidRPr="006571AC">
        <w:rPr>
          <w:rFonts w:hint="cs"/>
          <w:sz w:val="27"/>
          <w:rtl/>
        </w:rPr>
        <w:t>ْ</w:t>
      </w:r>
      <w:r w:rsidR="00237EB1" w:rsidRPr="006571AC">
        <w:rPr>
          <w:rFonts w:hint="cs"/>
          <w:sz w:val="27"/>
          <w:rtl/>
        </w:rPr>
        <w:t>د</w:t>
      </w:r>
      <w:r w:rsidR="00237EB1" w:rsidRPr="006571AC">
        <w:rPr>
          <w:sz w:val="27"/>
          <w:rtl/>
        </w:rPr>
        <w:t xml:space="preserve"> </w:t>
      </w:r>
      <w:r w:rsidR="00237EB1" w:rsidRPr="006571AC">
        <w:rPr>
          <w:rFonts w:hint="cs"/>
          <w:sz w:val="27"/>
          <w:rtl/>
        </w:rPr>
        <w:t>إلى</w:t>
      </w:r>
      <w:r w:rsidR="00237EB1" w:rsidRPr="006571AC">
        <w:rPr>
          <w:sz w:val="27"/>
          <w:rtl/>
        </w:rPr>
        <w:t xml:space="preserve"> </w:t>
      </w:r>
      <w:r w:rsidR="00237EB1" w:rsidRPr="006571AC">
        <w:rPr>
          <w:rFonts w:hint="cs"/>
          <w:sz w:val="27"/>
          <w:rtl/>
        </w:rPr>
        <w:t>ما</w:t>
      </w:r>
      <w:r w:rsidR="00237EB1" w:rsidRPr="006571AC">
        <w:rPr>
          <w:sz w:val="27"/>
          <w:rtl/>
        </w:rPr>
        <w:t xml:space="preserve"> </w:t>
      </w:r>
      <w:r w:rsidR="00237EB1" w:rsidRPr="006571AC">
        <w:rPr>
          <w:rFonts w:hint="cs"/>
          <w:sz w:val="27"/>
          <w:rtl/>
        </w:rPr>
        <w:t>كان</w:t>
      </w:r>
      <w:r w:rsidR="00237EB1" w:rsidRPr="006571AC">
        <w:rPr>
          <w:sz w:val="27"/>
          <w:rtl/>
        </w:rPr>
        <w:t xml:space="preserve"> </w:t>
      </w:r>
      <w:r w:rsidR="00237EB1" w:rsidRPr="006571AC">
        <w:rPr>
          <w:rFonts w:hint="cs"/>
          <w:sz w:val="27"/>
          <w:rtl/>
        </w:rPr>
        <w:t>ارتكبه</w:t>
      </w:r>
      <w:r w:rsidR="009F31B5" w:rsidRPr="006571AC">
        <w:rPr>
          <w:rFonts w:hint="cs"/>
          <w:sz w:val="27"/>
          <w:rtl/>
        </w:rPr>
        <w:t>.</w:t>
      </w:r>
      <w:r w:rsidR="00237EB1" w:rsidRPr="006571AC">
        <w:rPr>
          <w:rFonts w:hint="cs"/>
          <w:sz w:val="27"/>
          <w:rtl/>
        </w:rPr>
        <w:t xml:space="preserve"> وحدود</w:t>
      </w:r>
      <w:r w:rsidR="00237EB1" w:rsidRPr="006571AC">
        <w:rPr>
          <w:sz w:val="27"/>
          <w:rtl/>
        </w:rPr>
        <w:t xml:space="preserve"> </w:t>
      </w:r>
      <w:r w:rsidR="00237EB1" w:rsidRPr="006571AC">
        <w:rPr>
          <w:rFonts w:hint="cs"/>
          <w:sz w:val="27"/>
          <w:rtl/>
        </w:rPr>
        <w:t>الشرع: موانع</w:t>
      </w:r>
      <w:r w:rsidR="00237EB1" w:rsidRPr="006571AC">
        <w:rPr>
          <w:sz w:val="27"/>
          <w:rtl/>
        </w:rPr>
        <w:t xml:space="preserve"> و</w:t>
      </w:r>
      <w:r w:rsidR="00237EB1" w:rsidRPr="006571AC">
        <w:rPr>
          <w:rFonts w:hint="cs"/>
          <w:sz w:val="27"/>
          <w:rtl/>
        </w:rPr>
        <w:t>زواجر</w:t>
      </w:r>
      <w:r w:rsidR="00237EB1" w:rsidRPr="006571AC">
        <w:rPr>
          <w:sz w:val="27"/>
          <w:rtl/>
        </w:rPr>
        <w:t xml:space="preserve"> </w:t>
      </w:r>
      <w:r w:rsidR="00237EB1" w:rsidRPr="006571AC">
        <w:rPr>
          <w:rFonts w:hint="cs"/>
          <w:sz w:val="27"/>
          <w:rtl/>
        </w:rPr>
        <w:t>عن</w:t>
      </w:r>
      <w:r w:rsidR="00237EB1" w:rsidRPr="006571AC">
        <w:rPr>
          <w:sz w:val="27"/>
          <w:rtl/>
        </w:rPr>
        <w:t xml:space="preserve"> </w:t>
      </w:r>
      <w:r w:rsidR="00237EB1" w:rsidRPr="006571AC">
        <w:rPr>
          <w:rFonts w:hint="cs"/>
          <w:sz w:val="27"/>
          <w:rtl/>
        </w:rPr>
        <w:t>ارتكاب</w:t>
      </w:r>
      <w:r w:rsidR="00237EB1" w:rsidRPr="006571AC">
        <w:rPr>
          <w:sz w:val="27"/>
          <w:rtl/>
        </w:rPr>
        <w:t xml:space="preserve"> </w:t>
      </w:r>
      <w:r w:rsidR="00237EB1" w:rsidRPr="006571AC">
        <w:rPr>
          <w:rFonts w:hint="cs"/>
          <w:sz w:val="27"/>
          <w:rtl/>
        </w:rPr>
        <w:t>أسبابها، وما لا</w:t>
      </w:r>
      <w:r w:rsidR="00237EB1" w:rsidRPr="006571AC">
        <w:rPr>
          <w:sz w:val="27"/>
          <w:rtl/>
        </w:rPr>
        <w:t xml:space="preserve"> </w:t>
      </w:r>
      <w:r w:rsidR="00237EB1" w:rsidRPr="006571AC">
        <w:rPr>
          <w:rFonts w:hint="cs"/>
          <w:sz w:val="27"/>
          <w:rtl/>
        </w:rPr>
        <w:t>يجوز</w:t>
      </w:r>
      <w:r w:rsidR="00237EB1" w:rsidRPr="006571AC">
        <w:rPr>
          <w:sz w:val="27"/>
          <w:rtl/>
        </w:rPr>
        <w:t xml:space="preserve"> </w:t>
      </w:r>
      <w:r w:rsidR="00237EB1" w:rsidRPr="006571AC">
        <w:rPr>
          <w:rFonts w:hint="cs"/>
          <w:sz w:val="27"/>
          <w:rtl/>
        </w:rPr>
        <w:t>فيه</w:t>
      </w:r>
      <w:r w:rsidR="00237EB1" w:rsidRPr="006571AC">
        <w:rPr>
          <w:sz w:val="27"/>
          <w:rtl/>
        </w:rPr>
        <w:t xml:space="preserve"> </w:t>
      </w:r>
      <w:r w:rsidR="00237EB1" w:rsidRPr="006571AC">
        <w:rPr>
          <w:rFonts w:hint="cs"/>
          <w:sz w:val="27"/>
          <w:rtl/>
        </w:rPr>
        <w:t>الزيادة</w:t>
      </w:r>
      <w:r w:rsidR="00237EB1" w:rsidRPr="006571AC">
        <w:rPr>
          <w:sz w:val="27"/>
          <w:rtl/>
        </w:rPr>
        <w:t xml:space="preserve"> و</w:t>
      </w:r>
      <w:r w:rsidR="00237EB1" w:rsidRPr="006571AC">
        <w:rPr>
          <w:rFonts w:hint="cs"/>
          <w:sz w:val="27"/>
          <w:rtl/>
        </w:rPr>
        <w:t>لا</w:t>
      </w:r>
      <w:r w:rsidR="00237EB1" w:rsidRPr="006571AC">
        <w:rPr>
          <w:sz w:val="27"/>
          <w:rtl/>
        </w:rPr>
        <w:t xml:space="preserve"> </w:t>
      </w:r>
      <w:r w:rsidR="00237EB1" w:rsidRPr="006571AC">
        <w:rPr>
          <w:rFonts w:hint="cs"/>
          <w:sz w:val="27"/>
          <w:rtl/>
        </w:rPr>
        <w:t>النقصان</w:t>
      </w:r>
      <w:r w:rsidR="009F31B5" w:rsidRPr="006571AC">
        <w:rPr>
          <w:rFonts w:hint="cs"/>
          <w:sz w:val="27"/>
          <w:rtl/>
        </w:rPr>
        <w:t>.</w:t>
      </w:r>
      <w:r w:rsidR="00237EB1" w:rsidRPr="006571AC">
        <w:rPr>
          <w:rFonts w:hint="cs"/>
          <w:sz w:val="27"/>
          <w:rtl/>
        </w:rPr>
        <w:t xml:space="preserve"> وحدود</w:t>
      </w:r>
      <w:r w:rsidR="00237EB1" w:rsidRPr="006571AC">
        <w:rPr>
          <w:sz w:val="27"/>
          <w:rtl/>
        </w:rPr>
        <w:t xml:space="preserve"> </w:t>
      </w:r>
      <w:r w:rsidR="0097633B" w:rsidRPr="006571AC">
        <w:rPr>
          <w:rFonts w:hint="cs"/>
          <w:sz w:val="27"/>
          <w:rtl/>
        </w:rPr>
        <w:t>الل</w:t>
      </w:r>
      <w:r w:rsidR="00237EB1" w:rsidRPr="006571AC">
        <w:rPr>
          <w:rFonts w:hint="cs"/>
          <w:sz w:val="27"/>
          <w:rtl/>
        </w:rPr>
        <w:t>ه</w:t>
      </w:r>
      <w:r w:rsidR="00237EB1" w:rsidRPr="006571AC">
        <w:rPr>
          <w:sz w:val="27"/>
          <w:rtl/>
        </w:rPr>
        <w:t xml:space="preserve"> </w:t>
      </w:r>
      <w:r w:rsidR="00237EB1" w:rsidRPr="006571AC">
        <w:rPr>
          <w:rFonts w:hint="cs"/>
          <w:sz w:val="27"/>
          <w:rtl/>
        </w:rPr>
        <w:t>تعالى</w:t>
      </w:r>
      <w:r w:rsidR="00237EB1" w:rsidRPr="006571AC">
        <w:rPr>
          <w:sz w:val="27"/>
          <w:rtl/>
        </w:rPr>
        <w:t xml:space="preserve">: </w:t>
      </w:r>
      <w:r w:rsidR="00237EB1" w:rsidRPr="006571AC">
        <w:rPr>
          <w:rFonts w:hint="cs"/>
          <w:sz w:val="27"/>
          <w:rtl/>
        </w:rPr>
        <w:t>محارمه، كقوله</w:t>
      </w:r>
      <w:r w:rsidR="00237EB1" w:rsidRPr="006571AC">
        <w:rPr>
          <w:sz w:val="27"/>
          <w:rtl/>
        </w:rPr>
        <w:t xml:space="preserve"> </w:t>
      </w:r>
      <w:r w:rsidR="00237EB1" w:rsidRPr="006571AC">
        <w:rPr>
          <w:rFonts w:hint="cs"/>
          <w:sz w:val="27"/>
          <w:rtl/>
        </w:rPr>
        <w:t>تعالى:</w:t>
      </w:r>
      <w:r w:rsidR="00237EB1" w:rsidRPr="006571AC">
        <w:rPr>
          <w:sz w:val="27"/>
          <w:rtl/>
        </w:rPr>
        <w:t xml:space="preserve"> </w:t>
      </w:r>
      <w:r w:rsidR="00237EB1" w:rsidRPr="006571AC">
        <w:rPr>
          <w:rFonts w:ascii="Mosawi" w:hAnsi="Mosawi" w:cs="Mosawi"/>
          <w:sz w:val="24"/>
          <w:szCs w:val="24"/>
          <w:rtl/>
        </w:rPr>
        <w:t>﴿</w:t>
      </w:r>
      <w:r w:rsidR="00237EB1" w:rsidRPr="006571AC">
        <w:rPr>
          <w:rFonts w:hint="cs"/>
          <w:b/>
          <w:bCs/>
          <w:sz w:val="27"/>
          <w:rtl/>
        </w:rPr>
        <w:t>تِلْكَ</w:t>
      </w:r>
      <w:r w:rsidR="00237EB1" w:rsidRPr="006571AC">
        <w:rPr>
          <w:b/>
          <w:bCs/>
          <w:sz w:val="27"/>
          <w:rtl/>
        </w:rPr>
        <w:t xml:space="preserve"> </w:t>
      </w:r>
      <w:r w:rsidR="00237EB1" w:rsidRPr="006571AC">
        <w:rPr>
          <w:rFonts w:hint="cs"/>
          <w:b/>
          <w:bCs/>
          <w:sz w:val="27"/>
          <w:rtl/>
        </w:rPr>
        <w:t>حُدُودُ</w:t>
      </w:r>
      <w:r w:rsidR="00237EB1" w:rsidRPr="006571AC">
        <w:rPr>
          <w:b/>
          <w:bCs/>
          <w:sz w:val="27"/>
          <w:rtl/>
        </w:rPr>
        <w:t xml:space="preserve"> </w:t>
      </w:r>
      <w:r w:rsidR="0097633B" w:rsidRPr="006571AC">
        <w:rPr>
          <w:rFonts w:hint="cs"/>
          <w:b/>
          <w:bCs/>
          <w:sz w:val="27"/>
          <w:rtl/>
        </w:rPr>
        <w:t>الل</w:t>
      </w:r>
      <w:r w:rsidR="00237EB1" w:rsidRPr="006571AC">
        <w:rPr>
          <w:rFonts w:hint="cs"/>
          <w:b/>
          <w:bCs/>
          <w:sz w:val="27"/>
          <w:rtl/>
        </w:rPr>
        <w:t>هِ</w:t>
      </w:r>
      <w:r w:rsidR="00237EB1" w:rsidRPr="006571AC">
        <w:rPr>
          <w:b/>
          <w:bCs/>
          <w:sz w:val="27"/>
          <w:rtl/>
        </w:rPr>
        <w:t xml:space="preserve"> </w:t>
      </w:r>
      <w:r w:rsidR="00237EB1" w:rsidRPr="006571AC">
        <w:rPr>
          <w:rFonts w:hint="cs"/>
          <w:b/>
          <w:bCs/>
          <w:sz w:val="27"/>
          <w:rtl/>
        </w:rPr>
        <w:t>فَلا</w:t>
      </w:r>
      <w:r w:rsidRPr="006571AC">
        <w:rPr>
          <w:rFonts w:hint="cs"/>
          <w:b/>
          <w:bCs/>
          <w:sz w:val="27"/>
          <w:rtl/>
        </w:rPr>
        <w:t>َ</w:t>
      </w:r>
      <w:r w:rsidR="00237EB1" w:rsidRPr="006571AC">
        <w:rPr>
          <w:b/>
          <w:bCs/>
          <w:sz w:val="27"/>
          <w:rtl/>
        </w:rPr>
        <w:t xml:space="preserve"> </w:t>
      </w:r>
      <w:r w:rsidR="00237EB1" w:rsidRPr="006571AC">
        <w:rPr>
          <w:rFonts w:hint="cs"/>
          <w:b/>
          <w:bCs/>
          <w:sz w:val="27"/>
          <w:rtl/>
        </w:rPr>
        <w:t>تَقْرَبُوه</w:t>
      </w:r>
      <w:r w:rsidRPr="006571AC">
        <w:rPr>
          <w:rFonts w:hint="cs"/>
          <w:b/>
          <w:bCs/>
          <w:sz w:val="27"/>
          <w:rtl/>
        </w:rPr>
        <w:t>َ</w:t>
      </w:r>
      <w:r w:rsidR="00237EB1" w:rsidRPr="006571AC">
        <w:rPr>
          <w:rFonts w:hint="cs"/>
          <w:b/>
          <w:bCs/>
          <w:sz w:val="27"/>
          <w:rtl/>
        </w:rPr>
        <w:t>ا</w:t>
      </w:r>
      <w:r w:rsidR="00237EB1" w:rsidRPr="006571AC">
        <w:rPr>
          <w:rFonts w:ascii="Mosawi" w:hAnsi="Mosawi" w:cs="Mosawi"/>
          <w:sz w:val="24"/>
          <w:szCs w:val="24"/>
          <w:rtl/>
        </w:rPr>
        <w:t>﴾ (</w:t>
      </w:r>
      <w:r w:rsidR="00237EB1" w:rsidRPr="006571AC">
        <w:rPr>
          <w:rFonts w:hint="cs"/>
          <w:sz w:val="27"/>
          <w:rtl/>
        </w:rPr>
        <w:t xml:space="preserve">البقرة: </w:t>
      </w:r>
      <w:r w:rsidR="00237EB1" w:rsidRPr="006571AC">
        <w:rPr>
          <w:sz w:val="27"/>
          <w:rtl/>
        </w:rPr>
        <w:t>187</w:t>
      </w:r>
      <w:r w:rsidR="00237EB1" w:rsidRPr="006571AC">
        <w:rPr>
          <w:rFonts w:hint="cs"/>
          <w:sz w:val="27"/>
          <w:rtl/>
        </w:rPr>
        <w:t>)</w:t>
      </w:r>
      <w:r w:rsidR="00237EB1" w:rsidRPr="006571AC">
        <w:rPr>
          <w:sz w:val="27"/>
          <w:vertAlign w:val="superscript"/>
          <w:rtl/>
        </w:rPr>
        <w:t>(</w:t>
      </w:r>
      <w:r w:rsidR="00237EB1" w:rsidRPr="006571AC">
        <w:rPr>
          <w:sz w:val="27"/>
          <w:vertAlign w:val="superscript"/>
          <w:rtl/>
        </w:rPr>
        <w:endnoteReference w:id="401"/>
      </w:r>
      <w:r w:rsidR="00237EB1" w:rsidRPr="006571AC">
        <w:rPr>
          <w:sz w:val="27"/>
          <w:vertAlign w:val="superscript"/>
          <w:rtl/>
        </w:rPr>
        <w:t>)</w:t>
      </w:r>
      <w:r w:rsidR="00237EB1" w:rsidRPr="006571AC">
        <w:rPr>
          <w:sz w:val="27"/>
          <w:rtl/>
        </w:rPr>
        <w:t xml:space="preserve">. </w:t>
      </w:r>
    </w:p>
    <w:p w:rsidR="00291BAF" w:rsidRPr="006571AC" w:rsidRDefault="00291BAF" w:rsidP="00291BAF">
      <w:pPr>
        <w:spacing w:line="420" w:lineRule="exact"/>
        <w:rPr>
          <w:sz w:val="27"/>
          <w:rtl/>
        </w:rPr>
      </w:pPr>
      <w:bookmarkStart w:id="188" w:name="_Toc79281892"/>
    </w:p>
    <w:p w:rsidR="00237EB1" w:rsidRPr="006571AC" w:rsidRDefault="00237EB1" w:rsidP="00E629CB">
      <w:pPr>
        <w:pStyle w:val="31"/>
        <w:rPr>
          <w:color w:val="auto"/>
          <w:rtl/>
        </w:rPr>
      </w:pPr>
      <w:bookmarkStart w:id="189" w:name="_Toc114164670"/>
      <w:r w:rsidRPr="006571AC">
        <w:rPr>
          <w:color w:val="auto"/>
          <w:rtl/>
        </w:rPr>
        <w:t>القانون لغة</w:t>
      </w:r>
      <w:r w:rsidR="00D27066" w:rsidRPr="006571AC">
        <w:rPr>
          <w:rFonts w:hint="cs"/>
          <w:color w:val="auto"/>
          <w:rtl/>
        </w:rPr>
        <w:t>ً</w:t>
      </w:r>
      <w:r w:rsidRPr="006571AC">
        <w:rPr>
          <w:color w:val="auto"/>
          <w:rtl/>
        </w:rPr>
        <w:t xml:space="preserve"> واصطلاحاً</w:t>
      </w:r>
      <w:bookmarkEnd w:id="189"/>
      <w:r w:rsidRPr="006571AC">
        <w:rPr>
          <w:color w:val="auto"/>
          <w:rtl/>
        </w:rPr>
        <w:t xml:space="preserve"> </w:t>
      </w:r>
      <w:bookmarkEnd w:id="188"/>
    </w:p>
    <w:p w:rsidR="00237EB1" w:rsidRPr="006571AC" w:rsidRDefault="00D27066" w:rsidP="00E60D93">
      <w:pPr>
        <w:rPr>
          <w:sz w:val="27"/>
          <w:rtl/>
        </w:rPr>
      </w:pPr>
      <w:bookmarkStart w:id="190" w:name="_Toc114164671"/>
      <w:r w:rsidRPr="006571AC">
        <w:rPr>
          <w:rStyle w:val="1Char"/>
          <w:rFonts w:cs="AL-Mohanad" w:hint="cs"/>
          <w:sz w:val="27"/>
          <w:szCs w:val="27"/>
          <w:rtl/>
        </w:rPr>
        <w:t>أما في اللغة</w:t>
      </w:r>
      <w:r w:rsidR="00237EB1" w:rsidRPr="006571AC">
        <w:rPr>
          <w:rStyle w:val="1Char"/>
          <w:rFonts w:cs="AL-Mohanad" w:hint="cs"/>
          <w:sz w:val="27"/>
          <w:szCs w:val="27"/>
          <w:rtl/>
        </w:rPr>
        <w:t xml:space="preserve"> </w:t>
      </w:r>
      <w:r w:rsidRPr="006571AC">
        <w:rPr>
          <w:rStyle w:val="1Char"/>
          <w:rFonts w:cs="AL-Mohanad" w:hint="cs"/>
          <w:sz w:val="27"/>
          <w:szCs w:val="27"/>
          <w:rtl/>
        </w:rPr>
        <w:t>ف</w:t>
      </w:r>
      <w:bookmarkEnd w:id="190"/>
      <w:r w:rsidR="00237EB1" w:rsidRPr="006571AC">
        <w:rPr>
          <w:rFonts w:hint="cs"/>
          <w:sz w:val="27"/>
          <w:rtl/>
        </w:rPr>
        <w:t>القانون في الأصل كلمة</w:t>
      </w:r>
      <w:r w:rsidRPr="006571AC">
        <w:rPr>
          <w:rFonts w:hint="cs"/>
          <w:sz w:val="27"/>
          <w:rtl/>
        </w:rPr>
        <w:t>ٌ</w:t>
      </w:r>
      <w:r w:rsidR="00237EB1" w:rsidRPr="006571AC">
        <w:rPr>
          <w:rFonts w:hint="cs"/>
          <w:sz w:val="27"/>
          <w:rtl/>
        </w:rPr>
        <w:t xml:space="preserve"> فارسية</w:t>
      </w:r>
      <w:r w:rsidRPr="006571AC">
        <w:rPr>
          <w:rFonts w:hint="cs"/>
          <w:sz w:val="27"/>
          <w:rtl/>
        </w:rPr>
        <w:t>،</w:t>
      </w:r>
      <w:r w:rsidR="00237EB1" w:rsidRPr="006571AC">
        <w:rPr>
          <w:rFonts w:hint="cs"/>
          <w:sz w:val="27"/>
          <w:rtl/>
        </w:rPr>
        <w:t xml:space="preserve"> جمع قوانين</w:t>
      </w:r>
      <w:r w:rsidRPr="006571AC">
        <w:rPr>
          <w:rFonts w:hint="cs"/>
          <w:sz w:val="27"/>
          <w:rtl/>
        </w:rPr>
        <w:t>،</w:t>
      </w:r>
      <w:r w:rsidR="00237EB1" w:rsidRPr="006571AC">
        <w:rPr>
          <w:rFonts w:hint="cs"/>
          <w:sz w:val="27"/>
          <w:rtl/>
        </w:rPr>
        <w:t xml:space="preserve"> </w:t>
      </w:r>
      <w:r w:rsidRPr="006571AC">
        <w:rPr>
          <w:rFonts w:hint="cs"/>
          <w:sz w:val="27"/>
          <w:rtl/>
        </w:rPr>
        <w:t>و</w:t>
      </w:r>
      <w:r w:rsidR="00237EB1" w:rsidRPr="006571AC">
        <w:rPr>
          <w:rFonts w:hint="cs"/>
          <w:sz w:val="27"/>
          <w:rtl/>
        </w:rPr>
        <w:t>معناه الأصل</w:t>
      </w:r>
      <w:r w:rsidR="00237EB1" w:rsidRPr="006571AC">
        <w:rPr>
          <w:sz w:val="27"/>
          <w:vertAlign w:val="superscript"/>
          <w:rtl/>
        </w:rPr>
        <w:t>(</w:t>
      </w:r>
      <w:r w:rsidR="00237EB1" w:rsidRPr="006571AC">
        <w:rPr>
          <w:sz w:val="27"/>
          <w:vertAlign w:val="superscript"/>
          <w:rtl/>
        </w:rPr>
        <w:endnoteReference w:id="402"/>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37EB1" w:rsidRPr="006571AC" w:rsidRDefault="00D27066" w:rsidP="00E60D93">
      <w:pPr>
        <w:rPr>
          <w:sz w:val="27"/>
          <w:rtl/>
        </w:rPr>
      </w:pPr>
      <w:bookmarkStart w:id="191" w:name="_Toc79281894"/>
      <w:bookmarkStart w:id="192" w:name="_Toc114164672"/>
      <w:r w:rsidRPr="006571AC">
        <w:rPr>
          <w:rStyle w:val="1Char"/>
          <w:rFonts w:cs="AL-Mohanad" w:hint="cs"/>
          <w:sz w:val="27"/>
          <w:szCs w:val="27"/>
          <w:rtl/>
        </w:rPr>
        <w:t>و</w:t>
      </w:r>
      <w:r w:rsidR="00237EB1" w:rsidRPr="006571AC">
        <w:rPr>
          <w:rStyle w:val="1Char"/>
          <w:rFonts w:cs="AL-Mohanad" w:hint="cs"/>
          <w:sz w:val="27"/>
          <w:szCs w:val="27"/>
          <w:rtl/>
        </w:rPr>
        <w:t>اصطلاحاً</w:t>
      </w:r>
      <w:bookmarkEnd w:id="191"/>
      <w:bookmarkEnd w:id="192"/>
      <w:r w:rsidR="00237EB1" w:rsidRPr="006571AC">
        <w:rPr>
          <w:rStyle w:val="1Char"/>
          <w:rFonts w:cs="AL-Mohanad" w:hint="cs"/>
          <w:sz w:val="27"/>
          <w:szCs w:val="27"/>
          <w:rtl/>
        </w:rPr>
        <w:t xml:space="preserve"> </w:t>
      </w:r>
      <w:r w:rsidR="00237EB1" w:rsidRPr="006571AC">
        <w:rPr>
          <w:rFonts w:hint="cs"/>
          <w:sz w:val="27"/>
          <w:rtl/>
        </w:rPr>
        <w:t>هو كل</w:t>
      </w:r>
      <w:r w:rsidRPr="006571AC">
        <w:rPr>
          <w:rFonts w:hint="cs"/>
          <w:sz w:val="27"/>
          <w:rtl/>
        </w:rPr>
        <w:t>ِّ</w:t>
      </w:r>
      <w:r w:rsidR="00237EB1" w:rsidRPr="006571AC">
        <w:rPr>
          <w:rFonts w:hint="cs"/>
          <w:sz w:val="27"/>
          <w:rtl/>
        </w:rPr>
        <w:t>ي</w:t>
      </w:r>
      <w:r w:rsidRPr="006571AC">
        <w:rPr>
          <w:rFonts w:hint="cs"/>
          <w:sz w:val="27"/>
          <w:rtl/>
        </w:rPr>
        <w:t>ٌّ</w:t>
      </w:r>
      <w:r w:rsidR="00237EB1" w:rsidRPr="006571AC">
        <w:rPr>
          <w:sz w:val="27"/>
          <w:rtl/>
        </w:rPr>
        <w:t xml:space="preserve"> </w:t>
      </w:r>
      <w:r w:rsidR="00237EB1" w:rsidRPr="006571AC">
        <w:rPr>
          <w:rFonts w:hint="cs"/>
          <w:sz w:val="27"/>
          <w:rtl/>
        </w:rPr>
        <w:t>منطبق</w:t>
      </w:r>
      <w:r w:rsidRPr="006571AC">
        <w:rPr>
          <w:rFonts w:hint="cs"/>
          <w:sz w:val="27"/>
          <w:rtl/>
        </w:rPr>
        <w:t>ٌ</w:t>
      </w:r>
      <w:r w:rsidR="00237EB1" w:rsidRPr="006571AC">
        <w:rPr>
          <w:sz w:val="27"/>
          <w:rtl/>
        </w:rPr>
        <w:t xml:space="preserve"> </w:t>
      </w:r>
      <w:r w:rsidR="00237EB1" w:rsidRPr="006571AC">
        <w:rPr>
          <w:rFonts w:hint="cs"/>
          <w:sz w:val="27"/>
          <w:rtl/>
        </w:rPr>
        <w:t>على</w:t>
      </w:r>
      <w:r w:rsidR="00237EB1" w:rsidRPr="006571AC">
        <w:rPr>
          <w:sz w:val="27"/>
          <w:rtl/>
        </w:rPr>
        <w:t xml:space="preserve"> </w:t>
      </w:r>
      <w:r w:rsidR="00237EB1" w:rsidRPr="006571AC">
        <w:rPr>
          <w:rFonts w:hint="cs"/>
          <w:sz w:val="27"/>
          <w:rtl/>
        </w:rPr>
        <w:t>جميع</w:t>
      </w:r>
      <w:r w:rsidR="00237EB1" w:rsidRPr="006571AC">
        <w:rPr>
          <w:sz w:val="27"/>
          <w:rtl/>
        </w:rPr>
        <w:t xml:space="preserve"> </w:t>
      </w:r>
      <w:r w:rsidR="00237EB1" w:rsidRPr="006571AC">
        <w:rPr>
          <w:rFonts w:hint="cs"/>
          <w:sz w:val="27"/>
          <w:rtl/>
        </w:rPr>
        <w:t>جزئي</w:t>
      </w:r>
      <w:r w:rsidRPr="006571AC">
        <w:rPr>
          <w:rFonts w:hint="cs"/>
          <w:sz w:val="27"/>
          <w:rtl/>
        </w:rPr>
        <w:t>ّ</w:t>
      </w:r>
      <w:r w:rsidR="00237EB1" w:rsidRPr="006571AC">
        <w:rPr>
          <w:rFonts w:hint="cs"/>
          <w:sz w:val="27"/>
          <w:rtl/>
        </w:rPr>
        <w:t>اته</w:t>
      </w:r>
      <w:r w:rsidR="00237EB1" w:rsidRPr="006571AC">
        <w:rPr>
          <w:sz w:val="27"/>
          <w:rtl/>
        </w:rPr>
        <w:t xml:space="preserve"> </w:t>
      </w:r>
      <w:r w:rsidR="00237EB1" w:rsidRPr="006571AC">
        <w:rPr>
          <w:rFonts w:hint="cs"/>
          <w:sz w:val="27"/>
          <w:rtl/>
        </w:rPr>
        <w:t>التي</w:t>
      </w:r>
      <w:r w:rsidR="00237EB1" w:rsidRPr="006571AC">
        <w:rPr>
          <w:sz w:val="27"/>
          <w:rtl/>
        </w:rPr>
        <w:t xml:space="preserve"> </w:t>
      </w:r>
      <w:r w:rsidR="00237EB1" w:rsidRPr="006571AC">
        <w:rPr>
          <w:rFonts w:hint="cs"/>
          <w:sz w:val="27"/>
          <w:rtl/>
        </w:rPr>
        <w:t>يتعر</w:t>
      </w:r>
      <w:r w:rsidRPr="006571AC">
        <w:rPr>
          <w:rFonts w:hint="cs"/>
          <w:sz w:val="27"/>
          <w:rtl/>
        </w:rPr>
        <w:t>ّ</w:t>
      </w:r>
      <w:r w:rsidR="00237EB1" w:rsidRPr="006571AC">
        <w:rPr>
          <w:rFonts w:hint="cs"/>
          <w:sz w:val="27"/>
          <w:rtl/>
        </w:rPr>
        <w:t>ف</w:t>
      </w:r>
      <w:r w:rsidR="00237EB1" w:rsidRPr="006571AC">
        <w:rPr>
          <w:sz w:val="27"/>
          <w:rtl/>
        </w:rPr>
        <w:t xml:space="preserve"> </w:t>
      </w:r>
      <w:r w:rsidR="00237EB1" w:rsidRPr="006571AC">
        <w:rPr>
          <w:rFonts w:hint="cs"/>
          <w:sz w:val="27"/>
          <w:rtl/>
        </w:rPr>
        <w:t>أحكامها</w:t>
      </w:r>
      <w:r w:rsidR="00237EB1" w:rsidRPr="006571AC">
        <w:rPr>
          <w:sz w:val="27"/>
          <w:rtl/>
        </w:rPr>
        <w:t xml:space="preserve"> </w:t>
      </w:r>
      <w:r w:rsidR="00237EB1" w:rsidRPr="006571AC">
        <w:rPr>
          <w:rFonts w:hint="cs"/>
          <w:sz w:val="27"/>
          <w:rtl/>
        </w:rPr>
        <w:t>منه</w:t>
      </w:r>
      <w:r w:rsidR="00237EB1" w:rsidRPr="006571AC">
        <w:rPr>
          <w:sz w:val="27"/>
          <w:vertAlign w:val="superscript"/>
          <w:rtl/>
        </w:rPr>
        <w:t>(</w:t>
      </w:r>
      <w:r w:rsidR="00237EB1" w:rsidRPr="006571AC">
        <w:rPr>
          <w:sz w:val="27"/>
          <w:vertAlign w:val="superscript"/>
          <w:rtl/>
        </w:rPr>
        <w:endnoteReference w:id="403"/>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91BAF" w:rsidRPr="006571AC" w:rsidRDefault="00291BAF" w:rsidP="00291BAF">
      <w:pPr>
        <w:spacing w:line="430" w:lineRule="exact"/>
        <w:rPr>
          <w:sz w:val="27"/>
          <w:rtl/>
        </w:rPr>
      </w:pPr>
      <w:bookmarkStart w:id="193" w:name="_Toc79281895"/>
    </w:p>
    <w:p w:rsidR="00237EB1" w:rsidRPr="006571AC" w:rsidRDefault="00D27066" w:rsidP="00E629CB">
      <w:pPr>
        <w:pStyle w:val="31"/>
        <w:rPr>
          <w:color w:val="auto"/>
          <w:rtl/>
        </w:rPr>
      </w:pPr>
      <w:bookmarkStart w:id="194" w:name="_Toc114164673"/>
      <w:r w:rsidRPr="006571AC">
        <w:rPr>
          <w:rFonts w:hint="cs"/>
          <w:color w:val="auto"/>
          <w:rtl/>
        </w:rPr>
        <w:t>تسمياتٌ أخرى للمهر</w:t>
      </w:r>
      <w:bookmarkEnd w:id="194"/>
      <w:r w:rsidR="00237EB1" w:rsidRPr="006571AC">
        <w:rPr>
          <w:color w:val="auto"/>
          <w:rtl/>
        </w:rPr>
        <w:t xml:space="preserve"> </w:t>
      </w:r>
      <w:bookmarkEnd w:id="193"/>
    </w:p>
    <w:p w:rsidR="00237EB1" w:rsidRPr="006571AC" w:rsidRDefault="00237EB1" w:rsidP="00E60D93">
      <w:pPr>
        <w:rPr>
          <w:sz w:val="27"/>
          <w:rtl/>
        </w:rPr>
      </w:pPr>
      <w:r w:rsidRPr="006571AC">
        <w:rPr>
          <w:rFonts w:hint="cs"/>
          <w:sz w:val="27"/>
          <w:rtl/>
        </w:rPr>
        <w:t xml:space="preserve">وقد </w:t>
      </w:r>
      <w:r w:rsidR="00D27066" w:rsidRPr="006571AC">
        <w:rPr>
          <w:rFonts w:hint="cs"/>
          <w:sz w:val="27"/>
          <w:rtl/>
        </w:rPr>
        <w:t>أ</w:t>
      </w:r>
      <w:r w:rsidR="006340E8" w:rsidRPr="006571AC">
        <w:rPr>
          <w:rFonts w:hint="cs"/>
          <w:sz w:val="27"/>
          <w:rtl/>
        </w:rPr>
        <w:t>ُ</w:t>
      </w:r>
      <w:r w:rsidRPr="006571AC">
        <w:rPr>
          <w:rFonts w:hint="cs"/>
          <w:sz w:val="27"/>
          <w:rtl/>
        </w:rPr>
        <w:t>طلق على المهر تسميات</w:t>
      </w:r>
      <w:r w:rsidR="001C5C7C" w:rsidRPr="006571AC">
        <w:rPr>
          <w:rFonts w:hint="cs"/>
          <w:sz w:val="27"/>
          <w:rtl/>
        </w:rPr>
        <w:t>ٌ</w:t>
      </w:r>
      <w:r w:rsidRPr="006571AC">
        <w:rPr>
          <w:rFonts w:hint="cs"/>
          <w:sz w:val="27"/>
          <w:rtl/>
        </w:rPr>
        <w:t xml:space="preserve"> متعد</w:t>
      </w:r>
      <w:r w:rsidR="00D27066" w:rsidRPr="006571AC">
        <w:rPr>
          <w:rFonts w:hint="cs"/>
          <w:sz w:val="27"/>
          <w:rtl/>
        </w:rPr>
        <w:t>ِّ</w:t>
      </w:r>
      <w:r w:rsidRPr="006571AC">
        <w:rPr>
          <w:rFonts w:hint="cs"/>
          <w:sz w:val="27"/>
          <w:rtl/>
        </w:rPr>
        <w:t>دة</w:t>
      </w:r>
      <w:r w:rsidR="00D27066" w:rsidRPr="006571AC">
        <w:rPr>
          <w:rFonts w:hint="cs"/>
          <w:sz w:val="27"/>
          <w:rtl/>
        </w:rPr>
        <w:t>،</w:t>
      </w:r>
      <w:r w:rsidRPr="006571AC">
        <w:rPr>
          <w:rFonts w:hint="cs"/>
          <w:sz w:val="27"/>
          <w:rtl/>
        </w:rPr>
        <w:t xml:space="preserve"> نذكر منها: </w:t>
      </w:r>
    </w:p>
    <w:p w:rsidR="00237EB1" w:rsidRPr="006571AC" w:rsidRDefault="00237EB1" w:rsidP="00E60D93">
      <w:pPr>
        <w:rPr>
          <w:sz w:val="27"/>
          <w:rtl/>
        </w:rPr>
      </w:pPr>
      <w:bookmarkStart w:id="195" w:name="_Toc79281896"/>
      <w:bookmarkStart w:id="196" w:name="_Toc114164674"/>
      <w:r w:rsidRPr="006571AC">
        <w:rPr>
          <w:rStyle w:val="1Char"/>
          <w:rFonts w:cs="AL-Mohanad" w:hint="cs"/>
          <w:b w:val="0"/>
          <w:bCs/>
          <w:sz w:val="27"/>
          <w:szCs w:val="27"/>
          <w:rtl/>
        </w:rPr>
        <w:t>1ـ الصداق</w:t>
      </w:r>
      <w:r w:rsidRPr="006571AC">
        <w:rPr>
          <w:rStyle w:val="1Char"/>
          <w:rFonts w:cs="AL-Mohanad" w:hint="cs"/>
          <w:sz w:val="27"/>
          <w:szCs w:val="27"/>
          <w:rtl/>
        </w:rPr>
        <w:t>:</w:t>
      </w:r>
      <w:bookmarkEnd w:id="195"/>
      <w:bookmarkEnd w:id="196"/>
      <w:r w:rsidRPr="006571AC">
        <w:rPr>
          <w:rStyle w:val="1Char"/>
          <w:rFonts w:cs="AL-Mohanad" w:hint="cs"/>
          <w:sz w:val="27"/>
          <w:szCs w:val="27"/>
          <w:rtl/>
        </w:rPr>
        <w:t xml:space="preserve"> </w:t>
      </w:r>
      <w:r w:rsidRPr="006571AC">
        <w:rPr>
          <w:rFonts w:hint="cs"/>
          <w:sz w:val="27"/>
          <w:rtl/>
        </w:rPr>
        <w:t>أي</w:t>
      </w:r>
      <w:r w:rsidR="00D27066" w:rsidRPr="006571AC">
        <w:rPr>
          <w:rFonts w:hint="cs"/>
          <w:sz w:val="27"/>
          <w:rtl/>
        </w:rPr>
        <w:t xml:space="preserve"> </w:t>
      </w:r>
      <w:r w:rsidRPr="006571AC">
        <w:rPr>
          <w:rFonts w:hint="cs"/>
          <w:sz w:val="27"/>
          <w:rtl/>
        </w:rPr>
        <w:t>صداق</w:t>
      </w:r>
      <w:r w:rsidRPr="006571AC">
        <w:rPr>
          <w:sz w:val="27"/>
          <w:rtl/>
        </w:rPr>
        <w:t xml:space="preserve"> </w:t>
      </w:r>
      <w:r w:rsidRPr="006571AC">
        <w:rPr>
          <w:rFonts w:hint="cs"/>
          <w:sz w:val="27"/>
          <w:rtl/>
        </w:rPr>
        <w:t>المرأة، س</w:t>
      </w:r>
      <w:r w:rsidR="00D27066" w:rsidRPr="006571AC">
        <w:rPr>
          <w:rFonts w:hint="cs"/>
          <w:sz w:val="27"/>
          <w:rtl/>
        </w:rPr>
        <w:t>ُ</w:t>
      </w:r>
      <w:r w:rsidRPr="006571AC">
        <w:rPr>
          <w:rFonts w:hint="cs"/>
          <w:sz w:val="27"/>
          <w:rtl/>
        </w:rPr>
        <w:t>م</w:t>
      </w:r>
      <w:r w:rsidR="00D27066" w:rsidRPr="006571AC">
        <w:rPr>
          <w:rFonts w:hint="cs"/>
          <w:sz w:val="27"/>
          <w:rtl/>
        </w:rPr>
        <w:t>ِّ</w:t>
      </w:r>
      <w:r w:rsidRPr="006571AC">
        <w:rPr>
          <w:rFonts w:hint="cs"/>
          <w:sz w:val="27"/>
          <w:rtl/>
        </w:rPr>
        <w:t>ي</w:t>
      </w:r>
      <w:r w:rsidRPr="006571AC">
        <w:rPr>
          <w:sz w:val="27"/>
          <w:rtl/>
        </w:rPr>
        <w:t xml:space="preserve"> </w:t>
      </w:r>
      <w:r w:rsidRPr="006571AC">
        <w:rPr>
          <w:rFonts w:hint="cs"/>
          <w:sz w:val="27"/>
          <w:rtl/>
        </w:rPr>
        <w:t>بذلك</w:t>
      </w:r>
      <w:r w:rsidRPr="006571AC">
        <w:rPr>
          <w:sz w:val="27"/>
          <w:rtl/>
        </w:rPr>
        <w:t xml:space="preserve"> </w:t>
      </w:r>
      <w:r w:rsidRPr="006571AC">
        <w:rPr>
          <w:rFonts w:hint="cs"/>
          <w:sz w:val="27"/>
          <w:rtl/>
        </w:rPr>
        <w:t>لقو</w:t>
      </w:r>
      <w:r w:rsidR="00D27066" w:rsidRPr="006571AC">
        <w:rPr>
          <w:rFonts w:hint="cs"/>
          <w:sz w:val="27"/>
          <w:rtl/>
        </w:rPr>
        <w:t>ّ</w:t>
      </w:r>
      <w:r w:rsidRPr="006571AC">
        <w:rPr>
          <w:rFonts w:hint="cs"/>
          <w:sz w:val="27"/>
          <w:rtl/>
        </w:rPr>
        <w:t>ته</w:t>
      </w:r>
      <w:r w:rsidR="00D27066" w:rsidRPr="006571AC">
        <w:rPr>
          <w:rFonts w:hint="cs"/>
          <w:sz w:val="27"/>
          <w:rtl/>
        </w:rPr>
        <w:t>،</w:t>
      </w:r>
      <w:r w:rsidRPr="006571AC">
        <w:rPr>
          <w:sz w:val="27"/>
          <w:rtl/>
        </w:rPr>
        <w:t xml:space="preserve"> </w:t>
      </w:r>
      <w:r w:rsidRPr="006571AC">
        <w:rPr>
          <w:rFonts w:hint="cs"/>
          <w:sz w:val="27"/>
          <w:rtl/>
        </w:rPr>
        <w:t>وأنه</w:t>
      </w:r>
      <w:r w:rsidRPr="006571AC">
        <w:rPr>
          <w:sz w:val="27"/>
          <w:rtl/>
        </w:rPr>
        <w:t xml:space="preserve"> </w:t>
      </w:r>
      <w:r w:rsidRPr="006571AC">
        <w:rPr>
          <w:rFonts w:hint="cs"/>
          <w:sz w:val="27"/>
          <w:rtl/>
        </w:rPr>
        <w:t>حق</w:t>
      </w:r>
      <w:r w:rsidR="00D27066" w:rsidRPr="006571AC">
        <w:rPr>
          <w:rFonts w:hint="cs"/>
          <w:sz w:val="27"/>
          <w:rtl/>
        </w:rPr>
        <w:t>ٌّ</w:t>
      </w:r>
      <w:r w:rsidRPr="006571AC">
        <w:rPr>
          <w:sz w:val="27"/>
          <w:rtl/>
        </w:rPr>
        <w:t xml:space="preserve"> </w:t>
      </w:r>
      <w:r w:rsidRPr="006571AC">
        <w:rPr>
          <w:rFonts w:hint="cs"/>
          <w:sz w:val="27"/>
          <w:rtl/>
        </w:rPr>
        <w:t>يلزم</w:t>
      </w:r>
      <w:r w:rsidRPr="006571AC">
        <w:rPr>
          <w:sz w:val="27"/>
          <w:rtl/>
        </w:rPr>
        <w:t xml:space="preserve">. </w:t>
      </w:r>
      <w:r w:rsidRPr="006571AC">
        <w:rPr>
          <w:rFonts w:hint="cs"/>
          <w:sz w:val="27"/>
          <w:rtl/>
        </w:rPr>
        <w:t>ويقال</w:t>
      </w:r>
      <w:r w:rsidRPr="006571AC">
        <w:rPr>
          <w:sz w:val="27"/>
          <w:rtl/>
        </w:rPr>
        <w:t xml:space="preserve">: </w:t>
      </w:r>
      <w:r w:rsidRPr="006571AC">
        <w:rPr>
          <w:rFonts w:hint="cs"/>
          <w:sz w:val="27"/>
          <w:rtl/>
        </w:rPr>
        <w:t>صَدَاقٌ</w:t>
      </w:r>
      <w:r w:rsidRPr="006571AC">
        <w:rPr>
          <w:sz w:val="27"/>
          <w:rtl/>
        </w:rPr>
        <w:t xml:space="preserve"> </w:t>
      </w:r>
      <w:r w:rsidRPr="006571AC">
        <w:rPr>
          <w:rFonts w:hint="cs"/>
          <w:sz w:val="27"/>
          <w:rtl/>
        </w:rPr>
        <w:t>وَصُدْقَةٌ</w:t>
      </w:r>
      <w:r w:rsidRPr="006571AC">
        <w:rPr>
          <w:sz w:val="27"/>
          <w:rtl/>
        </w:rPr>
        <w:t xml:space="preserve"> </w:t>
      </w:r>
      <w:r w:rsidRPr="006571AC">
        <w:rPr>
          <w:rFonts w:hint="cs"/>
          <w:sz w:val="27"/>
          <w:rtl/>
        </w:rPr>
        <w:t>وَصَدُقَةٌ. قال</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تعالى</w:t>
      </w:r>
      <w:r w:rsidRPr="006571AC">
        <w:rPr>
          <w:sz w:val="27"/>
          <w:rtl/>
        </w:rPr>
        <w:t xml:space="preserve">: </w:t>
      </w:r>
      <w:r w:rsidRPr="006571AC">
        <w:rPr>
          <w:rFonts w:ascii="Mosawi" w:hAnsi="Mosawi" w:cs="Mosawi"/>
          <w:sz w:val="24"/>
          <w:szCs w:val="24"/>
          <w:rtl/>
        </w:rPr>
        <w:t>﴿</w:t>
      </w:r>
      <w:r w:rsidRPr="006571AC">
        <w:rPr>
          <w:rFonts w:hint="cs"/>
          <w:b/>
          <w:bCs/>
          <w:sz w:val="27"/>
          <w:rtl/>
        </w:rPr>
        <w:t>وَآتُوا</w:t>
      </w:r>
      <w:r w:rsidRPr="006571AC">
        <w:rPr>
          <w:b/>
          <w:bCs/>
          <w:sz w:val="27"/>
          <w:rtl/>
        </w:rPr>
        <w:t xml:space="preserve"> </w:t>
      </w:r>
      <w:r w:rsidRPr="006571AC">
        <w:rPr>
          <w:rFonts w:hint="cs"/>
          <w:b/>
          <w:bCs/>
          <w:sz w:val="27"/>
          <w:rtl/>
        </w:rPr>
        <w:t>النِّسَاءَ</w:t>
      </w:r>
      <w:r w:rsidRPr="006571AC">
        <w:rPr>
          <w:b/>
          <w:bCs/>
          <w:sz w:val="27"/>
          <w:rtl/>
        </w:rPr>
        <w:t xml:space="preserve"> </w:t>
      </w:r>
      <w:r w:rsidRPr="006571AC">
        <w:rPr>
          <w:rFonts w:hint="cs"/>
          <w:b/>
          <w:bCs/>
          <w:sz w:val="27"/>
          <w:rtl/>
        </w:rPr>
        <w:t>صَدُقَاتِهِنَّ</w:t>
      </w:r>
      <w:r w:rsidRPr="006571AC">
        <w:rPr>
          <w:b/>
          <w:bCs/>
          <w:sz w:val="27"/>
          <w:rtl/>
        </w:rPr>
        <w:t xml:space="preserve"> </w:t>
      </w:r>
      <w:r w:rsidRPr="006571AC">
        <w:rPr>
          <w:rFonts w:hint="cs"/>
          <w:b/>
          <w:bCs/>
          <w:sz w:val="27"/>
          <w:rtl/>
        </w:rPr>
        <w:t>نِحْلَةً</w:t>
      </w:r>
      <w:r w:rsidRPr="006571AC">
        <w:rPr>
          <w:rFonts w:ascii="Mosawi" w:hAnsi="Mosawi" w:cs="Mosawi"/>
          <w:sz w:val="24"/>
          <w:szCs w:val="24"/>
          <w:rtl/>
        </w:rPr>
        <w:t>﴾ (</w:t>
      </w:r>
      <w:r w:rsidRPr="006571AC">
        <w:rPr>
          <w:rFonts w:hint="cs"/>
          <w:sz w:val="27"/>
          <w:rtl/>
        </w:rPr>
        <w:t>النساء</w:t>
      </w:r>
      <w:r w:rsidRPr="006571AC">
        <w:rPr>
          <w:sz w:val="27"/>
          <w:rtl/>
        </w:rPr>
        <w:t>: 4</w:t>
      </w:r>
      <w:r w:rsidRPr="006571AC">
        <w:rPr>
          <w:rFonts w:hint="cs"/>
          <w:sz w:val="27"/>
          <w:rtl/>
        </w:rPr>
        <w:t>)</w:t>
      </w:r>
      <w:r w:rsidRPr="006571AC">
        <w:rPr>
          <w:sz w:val="27"/>
          <w:rtl/>
        </w:rPr>
        <w:t xml:space="preserve">. </w:t>
      </w:r>
      <w:r w:rsidRPr="006571AC">
        <w:rPr>
          <w:rFonts w:hint="cs"/>
          <w:sz w:val="27"/>
          <w:rtl/>
        </w:rPr>
        <w:t>وَقُرِئَتْ</w:t>
      </w:r>
      <w:r w:rsidRPr="006571AC">
        <w:rPr>
          <w:sz w:val="27"/>
          <w:rtl/>
        </w:rPr>
        <w:t xml:space="preserve">: </w:t>
      </w:r>
      <w:r w:rsidRPr="006571AC">
        <w:rPr>
          <w:rFonts w:hint="eastAsia"/>
          <w:sz w:val="24"/>
          <w:szCs w:val="24"/>
          <w:rtl/>
        </w:rPr>
        <w:lastRenderedPageBreak/>
        <w:t>«</w:t>
      </w:r>
      <w:r w:rsidRPr="006571AC">
        <w:rPr>
          <w:rFonts w:hint="cs"/>
          <w:sz w:val="27"/>
          <w:rtl/>
        </w:rPr>
        <w:t>ص</w:t>
      </w:r>
      <w:r w:rsidR="00493D80" w:rsidRPr="006571AC">
        <w:rPr>
          <w:rFonts w:hint="cs"/>
          <w:sz w:val="27"/>
          <w:rtl/>
        </w:rPr>
        <w:t>َ</w:t>
      </w:r>
      <w:r w:rsidRPr="006571AC">
        <w:rPr>
          <w:rFonts w:hint="cs"/>
          <w:sz w:val="27"/>
          <w:rtl/>
        </w:rPr>
        <w:t>د</w:t>
      </w:r>
      <w:r w:rsidR="00493D80" w:rsidRPr="006571AC">
        <w:rPr>
          <w:rFonts w:hint="cs"/>
          <w:sz w:val="27"/>
          <w:rtl/>
        </w:rPr>
        <w:t>َ</w:t>
      </w:r>
      <w:r w:rsidRPr="006571AC">
        <w:rPr>
          <w:rFonts w:hint="cs"/>
          <w:sz w:val="27"/>
          <w:rtl/>
        </w:rPr>
        <w:t>قَاتِهِنَّ</w:t>
      </w:r>
      <w:r w:rsidRPr="006571AC">
        <w:rPr>
          <w:rFonts w:hint="eastAsia"/>
          <w:sz w:val="24"/>
          <w:szCs w:val="24"/>
          <w:rtl/>
        </w:rPr>
        <w:t>»</w:t>
      </w:r>
      <w:r w:rsidRPr="006571AC">
        <w:rPr>
          <w:sz w:val="27"/>
          <w:rtl/>
        </w:rPr>
        <w:t xml:space="preserve">. </w:t>
      </w:r>
      <w:r w:rsidRPr="006571AC">
        <w:rPr>
          <w:rFonts w:hint="cs"/>
          <w:sz w:val="27"/>
          <w:rtl/>
        </w:rPr>
        <w:t>وَ</w:t>
      </w:r>
      <w:r w:rsidRPr="006571AC">
        <w:rPr>
          <w:sz w:val="27"/>
          <w:rtl/>
        </w:rPr>
        <w:t>[</w:t>
      </w:r>
      <w:r w:rsidRPr="006571AC">
        <w:rPr>
          <w:rFonts w:hint="cs"/>
          <w:sz w:val="27"/>
          <w:rtl/>
        </w:rPr>
        <w:t>مِنَ</w:t>
      </w:r>
      <w:r w:rsidRPr="006571AC">
        <w:rPr>
          <w:sz w:val="27"/>
          <w:rtl/>
        </w:rPr>
        <w:t xml:space="preserve">] </w:t>
      </w:r>
      <w:r w:rsidRPr="006571AC">
        <w:rPr>
          <w:rFonts w:hint="cs"/>
          <w:sz w:val="27"/>
          <w:rtl/>
        </w:rPr>
        <w:t>الْبَابِ</w:t>
      </w:r>
      <w:r w:rsidRPr="006571AC">
        <w:rPr>
          <w:sz w:val="27"/>
          <w:rtl/>
        </w:rPr>
        <w:t xml:space="preserve"> </w:t>
      </w:r>
      <w:r w:rsidRPr="006571AC">
        <w:rPr>
          <w:rFonts w:hint="cs"/>
          <w:sz w:val="27"/>
          <w:rtl/>
        </w:rPr>
        <w:t>الصَّدَقَةُ</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يَتَصَدَّقُ</w:t>
      </w:r>
      <w:r w:rsidRPr="006571AC">
        <w:rPr>
          <w:sz w:val="27"/>
          <w:rtl/>
        </w:rPr>
        <w:t xml:space="preserve"> </w:t>
      </w:r>
      <w:r w:rsidRPr="006571AC">
        <w:rPr>
          <w:rFonts w:hint="cs"/>
          <w:sz w:val="27"/>
          <w:rtl/>
        </w:rPr>
        <w:t>بِهِ</w:t>
      </w:r>
      <w:r w:rsidRPr="006571AC">
        <w:rPr>
          <w:sz w:val="27"/>
          <w:rtl/>
        </w:rPr>
        <w:t xml:space="preserve"> </w:t>
      </w:r>
      <w:r w:rsidRPr="006571AC">
        <w:rPr>
          <w:rFonts w:hint="cs"/>
          <w:sz w:val="27"/>
          <w:rtl/>
        </w:rPr>
        <w:t>الْمَرْءُ</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نَفْسِهِ</w:t>
      </w:r>
      <w:r w:rsidRPr="006571AC">
        <w:rPr>
          <w:sz w:val="27"/>
          <w:rtl/>
        </w:rPr>
        <w:t xml:space="preserve"> </w:t>
      </w:r>
      <w:r w:rsidRPr="006571AC">
        <w:rPr>
          <w:rFonts w:hint="cs"/>
          <w:sz w:val="27"/>
          <w:rtl/>
        </w:rPr>
        <w:t>وَمَالِهِ</w:t>
      </w:r>
      <w:r w:rsidRPr="006571AC">
        <w:rPr>
          <w:sz w:val="27"/>
          <w:vertAlign w:val="superscript"/>
          <w:rtl/>
        </w:rPr>
        <w:t>(</w:t>
      </w:r>
      <w:r w:rsidRPr="006571AC">
        <w:rPr>
          <w:sz w:val="27"/>
          <w:vertAlign w:val="superscript"/>
          <w:rtl/>
        </w:rPr>
        <w:endnoteReference w:id="404"/>
      </w:r>
      <w:r w:rsidRPr="006571AC">
        <w:rPr>
          <w:sz w:val="27"/>
          <w:vertAlign w:val="superscript"/>
          <w:rtl/>
        </w:rPr>
        <w:t>)</w:t>
      </w:r>
      <w:r w:rsidRPr="006571AC">
        <w:rPr>
          <w:sz w:val="27"/>
          <w:rtl/>
        </w:rPr>
        <w:t xml:space="preserve">. </w:t>
      </w:r>
    </w:p>
    <w:p w:rsidR="00237EB1" w:rsidRPr="006571AC" w:rsidRDefault="00237EB1" w:rsidP="00E60D93">
      <w:pPr>
        <w:rPr>
          <w:sz w:val="27"/>
          <w:rtl/>
        </w:rPr>
      </w:pPr>
      <w:bookmarkStart w:id="197" w:name="_Toc79281897"/>
      <w:bookmarkStart w:id="198" w:name="_Toc114164675"/>
      <w:r w:rsidRPr="006571AC">
        <w:rPr>
          <w:rStyle w:val="1Char"/>
          <w:rFonts w:cs="AL-Mohanad" w:hint="cs"/>
          <w:b w:val="0"/>
          <w:bCs/>
          <w:sz w:val="27"/>
          <w:szCs w:val="27"/>
          <w:rtl/>
        </w:rPr>
        <w:t>2ـ الن</w:t>
      </w:r>
      <w:r w:rsidR="00D27066" w:rsidRPr="006571AC">
        <w:rPr>
          <w:rStyle w:val="1Char"/>
          <w:rFonts w:cs="AL-Mohanad" w:hint="cs"/>
          <w:b w:val="0"/>
          <w:bCs/>
          <w:sz w:val="27"/>
          <w:szCs w:val="27"/>
          <w:rtl/>
        </w:rPr>
        <w:t>ِّ</w:t>
      </w:r>
      <w:r w:rsidRPr="006571AC">
        <w:rPr>
          <w:rStyle w:val="1Char"/>
          <w:rFonts w:cs="AL-Mohanad" w:hint="cs"/>
          <w:b w:val="0"/>
          <w:bCs/>
          <w:sz w:val="27"/>
          <w:szCs w:val="27"/>
          <w:rtl/>
        </w:rPr>
        <w:t>ح</w:t>
      </w:r>
      <w:r w:rsidR="00D27066" w:rsidRPr="006571AC">
        <w:rPr>
          <w:rStyle w:val="1Char"/>
          <w:rFonts w:cs="AL-Mohanad" w:hint="cs"/>
          <w:b w:val="0"/>
          <w:bCs/>
          <w:sz w:val="27"/>
          <w:szCs w:val="27"/>
          <w:rtl/>
        </w:rPr>
        <w:t>ْ</w:t>
      </w:r>
      <w:r w:rsidRPr="006571AC">
        <w:rPr>
          <w:rStyle w:val="1Char"/>
          <w:rFonts w:cs="AL-Mohanad" w:hint="cs"/>
          <w:b w:val="0"/>
          <w:bCs/>
          <w:sz w:val="27"/>
          <w:szCs w:val="27"/>
          <w:rtl/>
        </w:rPr>
        <w:t>لة</w:t>
      </w:r>
      <w:r w:rsidRPr="006571AC">
        <w:rPr>
          <w:rStyle w:val="1Char"/>
          <w:rFonts w:cs="AL-Mohanad" w:hint="cs"/>
          <w:sz w:val="27"/>
          <w:szCs w:val="27"/>
          <w:rtl/>
        </w:rPr>
        <w:t>:</w:t>
      </w:r>
      <w:bookmarkEnd w:id="197"/>
      <w:bookmarkEnd w:id="198"/>
      <w:r w:rsidRPr="006571AC">
        <w:rPr>
          <w:rStyle w:val="1Char"/>
          <w:rFonts w:cs="AL-Mohanad" w:hint="cs"/>
          <w:sz w:val="27"/>
          <w:szCs w:val="27"/>
          <w:rtl/>
        </w:rPr>
        <w:t xml:space="preserve"> </w:t>
      </w:r>
      <w:r w:rsidRPr="006571AC">
        <w:rPr>
          <w:rFonts w:hint="cs"/>
          <w:sz w:val="27"/>
          <w:rtl/>
        </w:rPr>
        <w:t>وأصلها النحل</w:t>
      </w:r>
      <w:r w:rsidR="00493D80" w:rsidRPr="006571AC">
        <w:rPr>
          <w:rFonts w:hint="cs"/>
          <w:sz w:val="27"/>
          <w:rtl/>
        </w:rPr>
        <w:t>.</w:t>
      </w:r>
      <w:r w:rsidRPr="006571AC">
        <w:rPr>
          <w:rFonts w:hint="cs"/>
          <w:sz w:val="27"/>
          <w:rtl/>
        </w:rPr>
        <w:t xml:space="preserve"> </w:t>
      </w:r>
      <w:r w:rsidR="00493D80" w:rsidRPr="006571AC">
        <w:rPr>
          <w:rFonts w:hint="cs"/>
          <w:sz w:val="27"/>
          <w:rtl/>
        </w:rPr>
        <w:t>و</w:t>
      </w:r>
      <w:r w:rsidRPr="006571AC">
        <w:rPr>
          <w:rFonts w:hint="cs"/>
          <w:sz w:val="27"/>
          <w:rtl/>
        </w:rPr>
        <w:t>من إحدى دلالتها العطاء، ي</w:t>
      </w:r>
      <w:r w:rsidR="00493D80" w:rsidRPr="006571AC">
        <w:rPr>
          <w:rFonts w:hint="cs"/>
          <w:sz w:val="27"/>
          <w:rtl/>
        </w:rPr>
        <w:t>ُ</w:t>
      </w:r>
      <w:r w:rsidRPr="006571AC">
        <w:rPr>
          <w:rFonts w:hint="cs"/>
          <w:sz w:val="27"/>
          <w:rtl/>
        </w:rPr>
        <w:t>قال: نحلته</w:t>
      </w:r>
      <w:r w:rsidRPr="006571AC">
        <w:rPr>
          <w:sz w:val="27"/>
          <w:rtl/>
        </w:rPr>
        <w:t xml:space="preserve"> </w:t>
      </w:r>
      <w:r w:rsidRPr="006571AC">
        <w:rPr>
          <w:rFonts w:hint="cs"/>
          <w:sz w:val="27"/>
          <w:rtl/>
        </w:rPr>
        <w:t>كذا أي</w:t>
      </w:r>
      <w:r w:rsidRPr="006571AC">
        <w:rPr>
          <w:sz w:val="27"/>
          <w:rtl/>
        </w:rPr>
        <w:t xml:space="preserve"> </w:t>
      </w:r>
      <w:r w:rsidRPr="006571AC">
        <w:rPr>
          <w:rFonts w:hint="cs"/>
          <w:sz w:val="27"/>
          <w:rtl/>
        </w:rPr>
        <w:t>أعطيته. ويقولون</w:t>
      </w:r>
      <w:r w:rsidRPr="006571AC">
        <w:rPr>
          <w:sz w:val="27"/>
          <w:rtl/>
        </w:rPr>
        <w:t xml:space="preserve">: </w:t>
      </w:r>
      <w:r w:rsidRPr="006571AC">
        <w:rPr>
          <w:rFonts w:hint="cs"/>
          <w:sz w:val="27"/>
          <w:rtl/>
        </w:rPr>
        <w:t>النحل</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تعطي</w:t>
      </w:r>
      <w:r w:rsidRPr="006571AC">
        <w:rPr>
          <w:sz w:val="27"/>
          <w:rtl/>
        </w:rPr>
        <w:t xml:space="preserve"> </w:t>
      </w:r>
      <w:r w:rsidRPr="006571AC">
        <w:rPr>
          <w:rFonts w:hint="cs"/>
          <w:sz w:val="27"/>
          <w:rtl/>
        </w:rPr>
        <w:t>شيئا</w:t>
      </w:r>
      <w:r w:rsidR="00493D80" w:rsidRPr="006571AC">
        <w:rPr>
          <w:rFonts w:hint="cs"/>
          <w:sz w:val="27"/>
          <w:rtl/>
        </w:rPr>
        <w:t>ً</w:t>
      </w:r>
      <w:r w:rsidRPr="006571AC">
        <w:rPr>
          <w:sz w:val="27"/>
          <w:rtl/>
        </w:rPr>
        <w:t xml:space="preserve"> </w:t>
      </w:r>
      <w:r w:rsidRPr="006571AC">
        <w:rPr>
          <w:rFonts w:hint="cs"/>
          <w:sz w:val="27"/>
          <w:rtl/>
        </w:rPr>
        <w:t>بلا</w:t>
      </w:r>
      <w:r w:rsidRPr="006571AC">
        <w:rPr>
          <w:sz w:val="27"/>
          <w:rtl/>
        </w:rPr>
        <w:t xml:space="preserve"> </w:t>
      </w:r>
      <w:r w:rsidRPr="006571AC">
        <w:rPr>
          <w:rFonts w:hint="cs"/>
          <w:sz w:val="27"/>
          <w:rtl/>
        </w:rPr>
        <w:t>استعواض</w:t>
      </w:r>
      <w:r w:rsidR="00493D80" w:rsidRPr="006571AC">
        <w:rPr>
          <w:rFonts w:hint="cs"/>
          <w:sz w:val="27"/>
          <w:rtl/>
        </w:rPr>
        <w:t>ٍ</w:t>
      </w:r>
      <w:r w:rsidRPr="006571AC">
        <w:rPr>
          <w:sz w:val="27"/>
          <w:rtl/>
        </w:rPr>
        <w:t xml:space="preserve">. </w:t>
      </w:r>
      <w:r w:rsidRPr="006571AC">
        <w:rPr>
          <w:rFonts w:hint="cs"/>
          <w:sz w:val="27"/>
          <w:rtl/>
        </w:rPr>
        <w:t>ونحلت</w:t>
      </w:r>
      <w:r w:rsidRPr="006571AC">
        <w:rPr>
          <w:sz w:val="27"/>
          <w:rtl/>
        </w:rPr>
        <w:t xml:space="preserve"> </w:t>
      </w:r>
      <w:r w:rsidRPr="006571AC">
        <w:rPr>
          <w:rFonts w:hint="cs"/>
          <w:sz w:val="27"/>
          <w:rtl/>
        </w:rPr>
        <w:t>المرأة</w:t>
      </w:r>
      <w:r w:rsidRPr="006571AC">
        <w:rPr>
          <w:sz w:val="27"/>
          <w:rtl/>
        </w:rPr>
        <w:t xml:space="preserve"> </w:t>
      </w:r>
      <w:r w:rsidRPr="006571AC">
        <w:rPr>
          <w:rFonts w:hint="cs"/>
          <w:sz w:val="27"/>
          <w:rtl/>
        </w:rPr>
        <w:t>مهرها</w:t>
      </w:r>
      <w:r w:rsidRPr="006571AC">
        <w:rPr>
          <w:sz w:val="27"/>
          <w:rtl/>
        </w:rPr>
        <w:t xml:space="preserve"> </w:t>
      </w:r>
      <w:r w:rsidRPr="006571AC">
        <w:rPr>
          <w:rFonts w:hint="cs"/>
          <w:sz w:val="27"/>
          <w:rtl/>
        </w:rPr>
        <w:t>نحلة</w:t>
      </w:r>
      <w:r w:rsidR="00493D80" w:rsidRPr="006571AC">
        <w:rPr>
          <w:rFonts w:hint="cs"/>
          <w:sz w:val="27"/>
          <w:rtl/>
        </w:rPr>
        <w:t>ً</w:t>
      </w:r>
      <w:r w:rsidRPr="006571AC">
        <w:rPr>
          <w:rFonts w:hint="cs"/>
          <w:sz w:val="27"/>
          <w:rtl/>
        </w:rPr>
        <w:t>، أي</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طيب</w:t>
      </w:r>
      <w:r w:rsidRPr="006571AC">
        <w:rPr>
          <w:sz w:val="27"/>
          <w:rtl/>
        </w:rPr>
        <w:t xml:space="preserve"> </w:t>
      </w:r>
      <w:r w:rsidRPr="006571AC">
        <w:rPr>
          <w:rFonts w:hint="cs"/>
          <w:sz w:val="27"/>
          <w:rtl/>
        </w:rPr>
        <w:t>نفس</w:t>
      </w:r>
      <w:r w:rsidR="00493D80"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غير</w:t>
      </w:r>
      <w:r w:rsidRPr="006571AC">
        <w:rPr>
          <w:sz w:val="27"/>
          <w:rtl/>
        </w:rPr>
        <w:t xml:space="preserve"> </w:t>
      </w:r>
      <w:r w:rsidRPr="006571AC">
        <w:rPr>
          <w:rFonts w:hint="cs"/>
          <w:sz w:val="27"/>
          <w:rtl/>
        </w:rPr>
        <w:t>مطالبة</w:t>
      </w:r>
      <w:r w:rsidR="00493D80" w:rsidRPr="006571AC">
        <w:rPr>
          <w:rFonts w:hint="cs"/>
          <w:sz w:val="27"/>
          <w:rtl/>
        </w:rPr>
        <w:t>ٍ</w:t>
      </w:r>
      <w:r w:rsidRPr="006571AC">
        <w:rPr>
          <w:sz w:val="27"/>
          <w:vertAlign w:val="superscript"/>
          <w:rtl/>
        </w:rPr>
        <w:t>(</w:t>
      </w:r>
      <w:r w:rsidRPr="006571AC">
        <w:rPr>
          <w:sz w:val="27"/>
          <w:vertAlign w:val="superscript"/>
          <w:rtl/>
        </w:rPr>
        <w:endnoteReference w:id="405"/>
      </w:r>
      <w:r w:rsidRPr="006571AC">
        <w:rPr>
          <w:sz w:val="27"/>
          <w:vertAlign w:val="superscript"/>
          <w:rtl/>
        </w:rPr>
        <w:t>)</w:t>
      </w:r>
      <w:r w:rsidRPr="006571AC">
        <w:rPr>
          <w:sz w:val="27"/>
          <w:rtl/>
        </w:rPr>
        <w:t xml:space="preserve">. </w:t>
      </w:r>
    </w:p>
    <w:p w:rsidR="00237EB1" w:rsidRPr="006571AC" w:rsidRDefault="00237EB1" w:rsidP="00E60D93">
      <w:pPr>
        <w:rPr>
          <w:sz w:val="27"/>
          <w:rtl/>
        </w:rPr>
      </w:pPr>
      <w:bookmarkStart w:id="199" w:name="_Toc79281898"/>
      <w:bookmarkStart w:id="200" w:name="_Toc114164676"/>
      <w:r w:rsidRPr="006571AC">
        <w:rPr>
          <w:rStyle w:val="1Char"/>
          <w:rFonts w:cs="AL-Mohanad" w:hint="cs"/>
          <w:b w:val="0"/>
          <w:bCs/>
          <w:sz w:val="27"/>
          <w:szCs w:val="27"/>
          <w:rtl/>
        </w:rPr>
        <w:t>3ـ الأ</w:t>
      </w:r>
      <w:r w:rsidR="00D27066" w:rsidRPr="006571AC">
        <w:rPr>
          <w:rStyle w:val="1Char"/>
          <w:rFonts w:cs="AL-Mohanad" w:hint="cs"/>
          <w:b w:val="0"/>
          <w:bCs/>
          <w:sz w:val="27"/>
          <w:szCs w:val="27"/>
          <w:rtl/>
        </w:rPr>
        <w:t>َ</w:t>
      </w:r>
      <w:r w:rsidRPr="006571AC">
        <w:rPr>
          <w:rStyle w:val="1Char"/>
          <w:rFonts w:cs="AL-Mohanad" w:hint="cs"/>
          <w:b w:val="0"/>
          <w:bCs/>
          <w:sz w:val="27"/>
          <w:szCs w:val="27"/>
          <w:rtl/>
        </w:rPr>
        <w:t>ج</w:t>
      </w:r>
      <w:r w:rsidR="00D27066" w:rsidRPr="006571AC">
        <w:rPr>
          <w:rStyle w:val="1Char"/>
          <w:rFonts w:cs="AL-Mohanad" w:hint="cs"/>
          <w:b w:val="0"/>
          <w:bCs/>
          <w:sz w:val="27"/>
          <w:szCs w:val="27"/>
          <w:rtl/>
        </w:rPr>
        <w:t>ْ</w:t>
      </w:r>
      <w:r w:rsidRPr="006571AC">
        <w:rPr>
          <w:rStyle w:val="1Char"/>
          <w:rFonts w:cs="AL-Mohanad" w:hint="cs"/>
          <w:b w:val="0"/>
          <w:bCs/>
          <w:sz w:val="27"/>
          <w:szCs w:val="27"/>
          <w:rtl/>
        </w:rPr>
        <w:t>ر</w:t>
      </w:r>
      <w:r w:rsidRPr="006571AC">
        <w:rPr>
          <w:rStyle w:val="1Char"/>
          <w:rFonts w:cs="AL-Mohanad" w:hint="cs"/>
          <w:sz w:val="27"/>
          <w:szCs w:val="27"/>
          <w:rtl/>
        </w:rPr>
        <w:t>:</w:t>
      </w:r>
      <w:bookmarkEnd w:id="199"/>
      <w:bookmarkEnd w:id="200"/>
      <w:r w:rsidRPr="006571AC">
        <w:rPr>
          <w:rStyle w:val="1Char"/>
          <w:rFonts w:cs="AL-Mohanad" w:hint="cs"/>
          <w:sz w:val="27"/>
          <w:szCs w:val="27"/>
          <w:rtl/>
        </w:rPr>
        <w:t xml:space="preserve"> </w:t>
      </w:r>
      <w:r w:rsidRPr="006571AC">
        <w:rPr>
          <w:rFonts w:hint="cs"/>
          <w:sz w:val="27"/>
          <w:rtl/>
        </w:rPr>
        <w:t>قد</w:t>
      </w:r>
      <w:r w:rsidRPr="006571AC">
        <w:rPr>
          <w:sz w:val="27"/>
          <w:rtl/>
        </w:rPr>
        <w:t xml:space="preserve"> </w:t>
      </w:r>
      <w:r w:rsidRPr="006571AC">
        <w:rPr>
          <w:rFonts w:hint="cs"/>
          <w:sz w:val="27"/>
          <w:rtl/>
        </w:rPr>
        <w:t>سم</w:t>
      </w:r>
      <w:r w:rsidR="00493D80" w:rsidRPr="006571AC">
        <w:rPr>
          <w:rFonts w:hint="cs"/>
          <w:sz w:val="27"/>
          <w:rtl/>
        </w:rPr>
        <w:t>ّ</w:t>
      </w:r>
      <w:r w:rsidRPr="006571AC">
        <w:rPr>
          <w:rFonts w:hint="cs"/>
          <w:sz w:val="27"/>
          <w:rtl/>
        </w:rPr>
        <w:t>ى</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تعالى</w:t>
      </w:r>
      <w:r w:rsidRPr="006571AC">
        <w:rPr>
          <w:sz w:val="27"/>
          <w:rtl/>
        </w:rPr>
        <w:t xml:space="preserve"> </w:t>
      </w:r>
      <w:r w:rsidRPr="006571AC">
        <w:rPr>
          <w:rFonts w:hint="cs"/>
          <w:sz w:val="27"/>
          <w:rtl/>
        </w:rPr>
        <w:t>الم</w:t>
      </w:r>
      <w:r w:rsidR="00493D80" w:rsidRPr="006571AC">
        <w:rPr>
          <w:rFonts w:hint="cs"/>
          <w:sz w:val="27"/>
          <w:rtl/>
        </w:rPr>
        <w:t>َ</w:t>
      </w:r>
      <w:r w:rsidRPr="006571AC">
        <w:rPr>
          <w:rFonts w:hint="cs"/>
          <w:sz w:val="27"/>
          <w:rtl/>
        </w:rPr>
        <w:t>ه</w:t>
      </w:r>
      <w:r w:rsidR="00493D80" w:rsidRPr="006571AC">
        <w:rPr>
          <w:rFonts w:hint="cs"/>
          <w:sz w:val="27"/>
          <w:rtl/>
        </w:rPr>
        <w:t>ْ</w:t>
      </w:r>
      <w:r w:rsidRPr="006571AC">
        <w:rPr>
          <w:rFonts w:hint="cs"/>
          <w:sz w:val="27"/>
          <w:rtl/>
        </w:rPr>
        <w:t>ر</w:t>
      </w:r>
      <w:r w:rsidRPr="006571AC">
        <w:rPr>
          <w:sz w:val="27"/>
          <w:rtl/>
        </w:rPr>
        <w:t xml:space="preserve"> </w:t>
      </w:r>
      <w:r w:rsidRPr="006571AC">
        <w:rPr>
          <w:rFonts w:hint="cs"/>
          <w:sz w:val="27"/>
          <w:rtl/>
        </w:rPr>
        <w:t>أ</w:t>
      </w:r>
      <w:r w:rsidR="00493D80" w:rsidRPr="006571AC">
        <w:rPr>
          <w:rFonts w:hint="cs"/>
          <w:sz w:val="27"/>
          <w:rtl/>
        </w:rPr>
        <w:t>َ</w:t>
      </w:r>
      <w:r w:rsidRPr="006571AC">
        <w:rPr>
          <w:rFonts w:hint="cs"/>
          <w:sz w:val="27"/>
          <w:rtl/>
        </w:rPr>
        <w:t>ج</w:t>
      </w:r>
      <w:r w:rsidR="00493D80" w:rsidRPr="006571AC">
        <w:rPr>
          <w:rFonts w:hint="cs"/>
          <w:sz w:val="27"/>
          <w:rtl/>
        </w:rPr>
        <w:t>ْ</w:t>
      </w:r>
      <w:r w:rsidRPr="006571AC">
        <w:rPr>
          <w:rFonts w:hint="cs"/>
          <w:sz w:val="27"/>
          <w:rtl/>
        </w:rPr>
        <w:t>راً</w:t>
      </w:r>
      <w:r w:rsidR="00493D80" w:rsidRPr="006571AC">
        <w:rPr>
          <w:rFonts w:hint="cs"/>
          <w:sz w:val="27"/>
          <w:rtl/>
        </w:rPr>
        <w:t>،</w:t>
      </w:r>
      <w:r w:rsidRPr="006571AC">
        <w:rPr>
          <w:sz w:val="27"/>
          <w:rtl/>
        </w:rPr>
        <w:t xml:space="preserve"> </w:t>
      </w:r>
      <w:r w:rsidRPr="006571AC">
        <w:rPr>
          <w:rFonts w:hint="cs"/>
          <w:sz w:val="27"/>
          <w:rtl/>
        </w:rPr>
        <w:t>كما ورد في قوله</w:t>
      </w:r>
      <w:r w:rsidRPr="006571AC">
        <w:rPr>
          <w:sz w:val="27"/>
          <w:rtl/>
        </w:rPr>
        <w:t xml:space="preserve"> </w:t>
      </w:r>
      <w:r w:rsidRPr="006571AC">
        <w:rPr>
          <w:rFonts w:hint="cs"/>
          <w:sz w:val="27"/>
          <w:rtl/>
        </w:rPr>
        <w:t>تعالى</w:t>
      </w:r>
      <w:r w:rsidRPr="006571AC">
        <w:rPr>
          <w:sz w:val="27"/>
          <w:rtl/>
        </w:rPr>
        <w:t xml:space="preserve">: </w:t>
      </w:r>
      <w:r w:rsidRPr="006571AC">
        <w:rPr>
          <w:rFonts w:ascii="Mosawi" w:hAnsi="Mosawi" w:cs="Mosawi"/>
          <w:sz w:val="24"/>
          <w:szCs w:val="24"/>
          <w:rtl/>
        </w:rPr>
        <w:t>﴿</w:t>
      </w:r>
      <w:r w:rsidRPr="006571AC">
        <w:rPr>
          <w:rFonts w:hint="cs"/>
          <w:b/>
          <w:bCs/>
          <w:sz w:val="27"/>
          <w:rtl/>
        </w:rPr>
        <w:t>فَمَا</w:t>
      </w:r>
      <w:r w:rsidRPr="006571AC">
        <w:rPr>
          <w:b/>
          <w:bCs/>
          <w:sz w:val="27"/>
          <w:rtl/>
        </w:rPr>
        <w:t xml:space="preserve"> </w:t>
      </w:r>
      <w:r w:rsidRPr="006571AC">
        <w:rPr>
          <w:rFonts w:hint="cs"/>
          <w:b/>
          <w:bCs/>
          <w:sz w:val="27"/>
          <w:rtl/>
        </w:rPr>
        <w:t>اسْتَمْتَعْتُمْ</w:t>
      </w:r>
      <w:r w:rsidRPr="006571AC">
        <w:rPr>
          <w:b/>
          <w:bCs/>
          <w:sz w:val="27"/>
          <w:rtl/>
        </w:rPr>
        <w:t xml:space="preserve"> </w:t>
      </w:r>
      <w:r w:rsidRPr="006571AC">
        <w:rPr>
          <w:rFonts w:hint="cs"/>
          <w:b/>
          <w:bCs/>
          <w:sz w:val="27"/>
          <w:rtl/>
        </w:rPr>
        <w:t>بِهِ</w:t>
      </w:r>
      <w:r w:rsidRPr="006571AC">
        <w:rPr>
          <w:b/>
          <w:bCs/>
          <w:sz w:val="27"/>
          <w:rtl/>
        </w:rPr>
        <w:t xml:space="preserve"> </w:t>
      </w:r>
      <w:r w:rsidRPr="006571AC">
        <w:rPr>
          <w:rFonts w:hint="cs"/>
          <w:b/>
          <w:bCs/>
          <w:sz w:val="27"/>
          <w:rtl/>
        </w:rPr>
        <w:t>مِنْهُنَّ</w:t>
      </w:r>
      <w:r w:rsidRPr="006571AC">
        <w:rPr>
          <w:b/>
          <w:bCs/>
          <w:sz w:val="27"/>
          <w:rtl/>
        </w:rPr>
        <w:t xml:space="preserve"> </w:t>
      </w:r>
      <w:r w:rsidRPr="006571AC">
        <w:rPr>
          <w:rFonts w:hint="cs"/>
          <w:b/>
          <w:bCs/>
          <w:sz w:val="27"/>
          <w:rtl/>
        </w:rPr>
        <w:t>فَآتُوهُنَّ</w:t>
      </w:r>
      <w:r w:rsidRPr="006571AC">
        <w:rPr>
          <w:b/>
          <w:bCs/>
          <w:sz w:val="27"/>
          <w:rtl/>
        </w:rPr>
        <w:t xml:space="preserve"> </w:t>
      </w:r>
      <w:r w:rsidRPr="006571AC">
        <w:rPr>
          <w:rFonts w:hint="cs"/>
          <w:b/>
          <w:bCs/>
          <w:sz w:val="27"/>
          <w:rtl/>
        </w:rPr>
        <w:t>أجُورَهُنَّ</w:t>
      </w:r>
      <w:r w:rsidRPr="006571AC">
        <w:rPr>
          <w:b/>
          <w:bCs/>
          <w:sz w:val="27"/>
          <w:rtl/>
        </w:rPr>
        <w:t xml:space="preserve"> </w:t>
      </w:r>
      <w:r w:rsidRPr="006571AC">
        <w:rPr>
          <w:rFonts w:hint="cs"/>
          <w:b/>
          <w:bCs/>
          <w:sz w:val="27"/>
          <w:rtl/>
        </w:rPr>
        <w:t>فَرِيضَةً</w:t>
      </w:r>
      <w:r w:rsidRPr="006571AC">
        <w:rPr>
          <w:b/>
          <w:bCs/>
          <w:sz w:val="27"/>
          <w:rtl/>
        </w:rPr>
        <w:t xml:space="preserve"> </w:t>
      </w:r>
      <w:r w:rsidR="00493D80" w:rsidRPr="006571AC">
        <w:rPr>
          <w:rFonts w:hint="cs"/>
          <w:b/>
          <w:bCs/>
          <w:sz w:val="27"/>
          <w:rtl/>
        </w:rPr>
        <w:t>وَل</w:t>
      </w:r>
      <w:r w:rsidRPr="006571AC">
        <w:rPr>
          <w:rFonts w:hint="cs"/>
          <w:b/>
          <w:bCs/>
          <w:sz w:val="27"/>
          <w:rtl/>
        </w:rPr>
        <w:t>ا</w:t>
      </w:r>
      <w:r w:rsidR="00493D80" w:rsidRPr="006571AC">
        <w:rPr>
          <w:rFonts w:hint="cs"/>
          <w:b/>
          <w:bCs/>
          <w:sz w:val="27"/>
          <w:rtl/>
        </w:rPr>
        <w:t>َ</w:t>
      </w:r>
      <w:r w:rsidRPr="006571AC">
        <w:rPr>
          <w:b/>
          <w:bCs/>
          <w:sz w:val="27"/>
          <w:rtl/>
        </w:rPr>
        <w:t xml:space="preserve"> </w:t>
      </w:r>
      <w:r w:rsidRPr="006571AC">
        <w:rPr>
          <w:rFonts w:hint="cs"/>
          <w:b/>
          <w:bCs/>
          <w:sz w:val="27"/>
          <w:rtl/>
        </w:rPr>
        <w:t>جُنَاحَ</w:t>
      </w:r>
      <w:r w:rsidRPr="006571AC">
        <w:rPr>
          <w:b/>
          <w:bCs/>
          <w:sz w:val="27"/>
          <w:rtl/>
        </w:rPr>
        <w:t xml:space="preserve"> </w:t>
      </w:r>
      <w:r w:rsidRPr="006571AC">
        <w:rPr>
          <w:rFonts w:hint="cs"/>
          <w:b/>
          <w:bCs/>
          <w:sz w:val="27"/>
          <w:rtl/>
        </w:rPr>
        <w:t>عَلَيْكُمْ</w:t>
      </w:r>
      <w:r w:rsidRPr="006571AC">
        <w:rPr>
          <w:b/>
          <w:bCs/>
          <w:sz w:val="27"/>
          <w:rtl/>
        </w:rPr>
        <w:t xml:space="preserve"> </w:t>
      </w:r>
      <w:r w:rsidRPr="006571AC">
        <w:rPr>
          <w:rFonts w:hint="cs"/>
          <w:b/>
          <w:bCs/>
          <w:sz w:val="27"/>
          <w:rtl/>
        </w:rPr>
        <w:t>فِي</w:t>
      </w:r>
      <w:r w:rsidR="00493D80" w:rsidRPr="006571AC">
        <w:rPr>
          <w:rFonts w:hint="cs"/>
          <w:b/>
          <w:bCs/>
          <w:sz w:val="27"/>
          <w:rtl/>
        </w:rPr>
        <w:t xml:space="preserve"> </w:t>
      </w:r>
      <w:r w:rsidRPr="006571AC">
        <w:rPr>
          <w:rFonts w:hint="cs"/>
          <w:b/>
          <w:bCs/>
          <w:sz w:val="27"/>
          <w:rtl/>
        </w:rPr>
        <w:t>مَا</w:t>
      </w:r>
      <w:r w:rsidRPr="006571AC">
        <w:rPr>
          <w:b/>
          <w:bCs/>
          <w:sz w:val="27"/>
          <w:rtl/>
        </w:rPr>
        <w:t xml:space="preserve"> </w:t>
      </w:r>
      <w:r w:rsidRPr="006571AC">
        <w:rPr>
          <w:rFonts w:hint="cs"/>
          <w:b/>
          <w:bCs/>
          <w:sz w:val="27"/>
          <w:rtl/>
        </w:rPr>
        <w:t>تَرَاضَيْتُمْ</w:t>
      </w:r>
      <w:r w:rsidRPr="006571AC">
        <w:rPr>
          <w:b/>
          <w:bCs/>
          <w:sz w:val="27"/>
          <w:rtl/>
        </w:rPr>
        <w:t xml:space="preserve"> </w:t>
      </w:r>
      <w:r w:rsidRPr="006571AC">
        <w:rPr>
          <w:rFonts w:hint="cs"/>
          <w:b/>
          <w:bCs/>
          <w:sz w:val="27"/>
          <w:rtl/>
        </w:rPr>
        <w:t>بِهِ</w:t>
      </w:r>
      <w:r w:rsidRPr="006571AC">
        <w:rPr>
          <w:b/>
          <w:bCs/>
          <w:sz w:val="27"/>
          <w:rtl/>
        </w:rPr>
        <w:t xml:space="preserve"> </w:t>
      </w:r>
      <w:r w:rsidRPr="006571AC">
        <w:rPr>
          <w:rFonts w:hint="cs"/>
          <w:b/>
          <w:bCs/>
          <w:sz w:val="27"/>
          <w:rtl/>
        </w:rPr>
        <w:t>مِنْ</w:t>
      </w:r>
      <w:r w:rsidRPr="006571AC">
        <w:rPr>
          <w:b/>
          <w:bCs/>
          <w:sz w:val="27"/>
          <w:rtl/>
        </w:rPr>
        <w:t xml:space="preserve"> </w:t>
      </w:r>
      <w:r w:rsidRPr="006571AC">
        <w:rPr>
          <w:rFonts w:hint="cs"/>
          <w:b/>
          <w:bCs/>
          <w:sz w:val="27"/>
          <w:rtl/>
        </w:rPr>
        <w:t>بَعْدِ</w:t>
      </w:r>
      <w:r w:rsidRPr="006571AC">
        <w:rPr>
          <w:b/>
          <w:bCs/>
          <w:sz w:val="27"/>
          <w:rtl/>
        </w:rPr>
        <w:t xml:space="preserve"> </w:t>
      </w:r>
      <w:r w:rsidRPr="006571AC">
        <w:rPr>
          <w:rFonts w:hint="cs"/>
          <w:b/>
          <w:bCs/>
          <w:sz w:val="27"/>
          <w:rtl/>
        </w:rPr>
        <w:t>الْفَرِيضَةِ</w:t>
      </w:r>
      <w:r w:rsidRPr="006571AC">
        <w:rPr>
          <w:b/>
          <w:bCs/>
          <w:sz w:val="27"/>
          <w:rtl/>
        </w:rPr>
        <w:t xml:space="preserve"> </w:t>
      </w:r>
      <w:r w:rsidRPr="006571AC">
        <w:rPr>
          <w:rFonts w:hint="cs"/>
          <w:b/>
          <w:bCs/>
          <w:sz w:val="27"/>
          <w:rtl/>
        </w:rPr>
        <w:t>إِنَّ</w:t>
      </w:r>
      <w:r w:rsidRPr="006571AC">
        <w:rPr>
          <w:b/>
          <w:bCs/>
          <w:sz w:val="27"/>
          <w:rtl/>
        </w:rPr>
        <w:t xml:space="preserve"> </w:t>
      </w:r>
      <w:r w:rsidR="0097633B" w:rsidRPr="006571AC">
        <w:rPr>
          <w:rFonts w:hint="cs"/>
          <w:b/>
          <w:bCs/>
          <w:sz w:val="27"/>
          <w:rtl/>
        </w:rPr>
        <w:t>الل</w:t>
      </w:r>
      <w:r w:rsidRPr="006571AC">
        <w:rPr>
          <w:rFonts w:hint="cs"/>
          <w:b/>
          <w:bCs/>
          <w:sz w:val="27"/>
          <w:rtl/>
        </w:rPr>
        <w:t>هَ</w:t>
      </w:r>
      <w:r w:rsidRPr="006571AC">
        <w:rPr>
          <w:b/>
          <w:bCs/>
          <w:sz w:val="27"/>
          <w:rtl/>
        </w:rPr>
        <w:t xml:space="preserve"> </w:t>
      </w:r>
      <w:r w:rsidRPr="006571AC">
        <w:rPr>
          <w:rFonts w:hint="cs"/>
          <w:b/>
          <w:bCs/>
          <w:sz w:val="27"/>
          <w:rtl/>
        </w:rPr>
        <w:t>كَانَ</w:t>
      </w:r>
      <w:r w:rsidRPr="006571AC">
        <w:rPr>
          <w:b/>
          <w:bCs/>
          <w:sz w:val="27"/>
          <w:rtl/>
        </w:rPr>
        <w:t xml:space="preserve"> </w:t>
      </w:r>
      <w:r w:rsidRPr="006571AC">
        <w:rPr>
          <w:rFonts w:hint="cs"/>
          <w:b/>
          <w:bCs/>
          <w:sz w:val="27"/>
          <w:rtl/>
        </w:rPr>
        <w:t>عَلِيم</w:t>
      </w:r>
      <w:r w:rsidR="00731867" w:rsidRPr="006571AC">
        <w:rPr>
          <w:rFonts w:hint="cs"/>
          <w:b/>
          <w:bCs/>
          <w:sz w:val="27"/>
          <w:rtl/>
        </w:rPr>
        <w:t>اً</w:t>
      </w:r>
      <w:r w:rsidRPr="006571AC">
        <w:rPr>
          <w:b/>
          <w:bCs/>
          <w:sz w:val="27"/>
          <w:rtl/>
        </w:rPr>
        <w:t xml:space="preserve"> </w:t>
      </w:r>
      <w:r w:rsidRPr="006571AC">
        <w:rPr>
          <w:rFonts w:hint="cs"/>
          <w:b/>
          <w:bCs/>
          <w:sz w:val="27"/>
          <w:rtl/>
        </w:rPr>
        <w:t>حَكِيم</w:t>
      </w:r>
      <w:r w:rsidR="00731867" w:rsidRPr="006571AC">
        <w:rPr>
          <w:rFonts w:hint="cs"/>
          <w:b/>
          <w:bCs/>
          <w:sz w:val="27"/>
          <w:rtl/>
        </w:rPr>
        <w:t>اً</w:t>
      </w:r>
      <w:r w:rsidRPr="006571AC">
        <w:rPr>
          <w:rFonts w:ascii="Mosawi" w:hAnsi="Mosawi" w:cs="Mosawi"/>
          <w:sz w:val="24"/>
          <w:szCs w:val="24"/>
          <w:rtl/>
        </w:rPr>
        <w:t>﴾ (</w:t>
      </w:r>
      <w:r w:rsidRPr="006571AC">
        <w:rPr>
          <w:rFonts w:hint="cs"/>
          <w:sz w:val="27"/>
          <w:rtl/>
        </w:rPr>
        <w:t xml:space="preserve">النساء: </w:t>
      </w:r>
      <w:r w:rsidRPr="006571AC">
        <w:rPr>
          <w:sz w:val="27"/>
          <w:rtl/>
        </w:rPr>
        <w:t>24</w:t>
      </w:r>
      <w:r w:rsidRPr="006571AC">
        <w:rPr>
          <w:rFonts w:hint="cs"/>
          <w:sz w:val="27"/>
          <w:rtl/>
        </w:rPr>
        <w:t>).</w:t>
      </w:r>
      <w:r w:rsidRPr="006571AC">
        <w:rPr>
          <w:sz w:val="27"/>
          <w:rtl/>
        </w:rPr>
        <w:t xml:space="preserve"> </w:t>
      </w:r>
    </w:p>
    <w:p w:rsidR="00237EB1" w:rsidRPr="006571AC" w:rsidRDefault="00237EB1" w:rsidP="00E60D93">
      <w:pPr>
        <w:rPr>
          <w:sz w:val="27"/>
          <w:rtl/>
        </w:rPr>
      </w:pPr>
      <w:r w:rsidRPr="006571AC">
        <w:rPr>
          <w:rFonts w:hint="cs"/>
          <w:sz w:val="27"/>
          <w:rtl/>
        </w:rPr>
        <w:t>والتعبير</w:t>
      </w:r>
      <w:r w:rsidR="00493D80" w:rsidRPr="006571AC">
        <w:rPr>
          <w:rFonts w:hint="cs"/>
          <w:sz w:val="27"/>
          <w:rtl/>
        </w:rPr>
        <w:t>ُ</w:t>
      </w:r>
      <w:r w:rsidRPr="006571AC">
        <w:rPr>
          <w:sz w:val="27"/>
          <w:rtl/>
        </w:rPr>
        <w:t xml:space="preserve"> </w:t>
      </w:r>
      <w:r w:rsidRPr="006571AC">
        <w:rPr>
          <w:rFonts w:hint="cs"/>
          <w:sz w:val="27"/>
          <w:rtl/>
        </w:rPr>
        <w:t>بكلمة</w:t>
      </w:r>
      <w:r w:rsidRPr="006571AC">
        <w:rPr>
          <w:sz w:val="27"/>
          <w:rtl/>
        </w:rPr>
        <w:t xml:space="preserve"> </w:t>
      </w:r>
      <w:r w:rsidR="001C5C7C" w:rsidRPr="006571AC">
        <w:rPr>
          <w:sz w:val="24"/>
          <w:szCs w:val="24"/>
          <w:rtl/>
        </w:rPr>
        <w:t>«</w:t>
      </w:r>
      <w:r w:rsidRPr="006571AC">
        <w:rPr>
          <w:rFonts w:hint="cs"/>
          <w:sz w:val="27"/>
          <w:rtl/>
        </w:rPr>
        <w:t>ما</w:t>
      </w:r>
      <w:r w:rsidR="001C5C7C" w:rsidRPr="006571AC">
        <w:rPr>
          <w:rFonts w:hint="eastAsia"/>
          <w:sz w:val="24"/>
          <w:szCs w:val="24"/>
          <w:rtl/>
        </w:rPr>
        <w:t>»</w:t>
      </w:r>
      <w:r w:rsidRPr="006571AC">
        <w:rPr>
          <w:rFonts w:hint="cs"/>
          <w:sz w:val="27"/>
          <w:rtl/>
        </w:rPr>
        <w:t xml:space="preserve"> في بداية الآية</w:t>
      </w:r>
      <w:r w:rsidRPr="006571AC">
        <w:rPr>
          <w:rFonts w:ascii="Mosawi" w:hAnsi="Mosawi" w:cs="Mosawi" w:hint="cs"/>
          <w:sz w:val="24"/>
          <w:szCs w:val="24"/>
          <w:rtl/>
        </w:rPr>
        <w:t xml:space="preserve"> </w:t>
      </w:r>
      <w:r w:rsidRPr="006571AC">
        <w:rPr>
          <w:rFonts w:ascii="Mosawi" w:hAnsi="Mosawi" w:cs="Mosawi"/>
          <w:sz w:val="24"/>
          <w:szCs w:val="24"/>
          <w:rtl/>
        </w:rPr>
        <w:t>﴿</w:t>
      </w:r>
      <w:r w:rsidRPr="006571AC">
        <w:rPr>
          <w:rFonts w:hint="cs"/>
          <w:b/>
          <w:bCs/>
          <w:sz w:val="27"/>
          <w:rtl/>
        </w:rPr>
        <w:t>فَمَا</w:t>
      </w:r>
      <w:r w:rsidRPr="006571AC">
        <w:rPr>
          <w:b/>
          <w:bCs/>
          <w:sz w:val="27"/>
          <w:rtl/>
        </w:rPr>
        <w:t xml:space="preserve"> </w:t>
      </w:r>
      <w:r w:rsidRPr="006571AC">
        <w:rPr>
          <w:rFonts w:hint="cs"/>
          <w:b/>
          <w:bCs/>
          <w:sz w:val="27"/>
          <w:rtl/>
        </w:rPr>
        <w:t>اسْتَمْتَعْتُمْ</w:t>
      </w:r>
      <w:r w:rsidRPr="006571AC">
        <w:rPr>
          <w:rFonts w:ascii="Mosawi" w:hAnsi="Mosawi" w:cs="Mosawi"/>
          <w:sz w:val="24"/>
          <w:szCs w:val="24"/>
          <w:rtl/>
        </w:rPr>
        <w:t>﴾</w:t>
      </w:r>
      <w:r w:rsidR="00493D80" w:rsidRPr="006571AC">
        <w:rPr>
          <w:rFonts w:hint="cs"/>
          <w:sz w:val="27"/>
          <w:rtl/>
        </w:rPr>
        <w:t>، ا</w:t>
      </w:r>
      <w:r w:rsidRPr="006571AC">
        <w:rPr>
          <w:rFonts w:hint="cs"/>
          <w:sz w:val="27"/>
          <w:rtl/>
        </w:rPr>
        <w:t>لمستعمل</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غير</w:t>
      </w:r>
      <w:r w:rsidRPr="006571AC">
        <w:rPr>
          <w:sz w:val="27"/>
          <w:rtl/>
        </w:rPr>
        <w:t xml:space="preserve"> </w:t>
      </w:r>
      <w:r w:rsidRPr="006571AC">
        <w:rPr>
          <w:rFonts w:hint="cs"/>
          <w:sz w:val="27"/>
          <w:rtl/>
        </w:rPr>
        <w:t>العقلاء</w:t>
      </w:r>
      <w:r w:rsidR="00493D80" w:rsidRPr="006571AC">
        <w:rPr>
          <w:rFonts w:hint="cs"/>
          <w:sz w:val="27"/>
          <w:rtl/>
        </w:rPr>
        <w:t>،</w:t>
      </w:r>
      <w:r w:rsidRPr="006571AC">
        <w:rPr>
          <w:sz w:val="27"/>
          <w:rtl/>
        </w:rPr>
        <w:t xml:space="preserve"> </w:t>
      </w:r>
      <w:r w:rsidRPr="006571AC">
        <w:rPr>
          <w:rFonts w:hint="cs"/>
          <w:sz w:val="27"/>
          <w:rtl/>
        </w:rPr>
        <w:t>إشارة</w:t>
      </w:r>
      <w:r w:rsidR="00493D80" w:rsidRPr="006571AC">
        <w:rPr>
          <w:rFonts w:hint="cs"/>
          <w:sz w:val="27"/>
          <w:rtl/>
        </w:rPr>
        <w:t>ٌ</w:t>
      </w:r>
      <w:r w:rsidRPr="006571AC">
        <w:rPr>
          <w:sz w:val="27"/>
          <w:rtl/>
        </w:rPr>
        <w:t xml:space="preserve"> </w:t>
      </w:r>
      <w:r w:rsidRPr="006571AC">
        <w:rPr>
          <w:rFonts w:hint="cs"/>
          <w:sz w:val="27"/>
          <w:rtl/>
        </w:rPr>
        <w:t>الى</w:t>
      </w:r>
      <w:r w:rsidRPr="006571AC">
        <w:rPr>
          <w:sz w:val="27"/>
          <w:rtl/>
        </w:rPr>
        <w:t xml:space="preserve"> </w:t>
      </w:r>
      <w:r w:rsidRPr="006571AC">
        <w:rPr>
          <w:rFonts w:hint="cs"/>
          <w:sz w:val="27"/>
          <w:rtl/>
        </w:rPr>
        <w:t>تعميم</w:t>
      </w:r>
      <w:r w:rsidRPr="006571AC">
        <w:rPr>
          <w:sz w:val="27"/>
          <w:rtl/>
        </w:rPr>
        <w:t xml:space="preserve"> </w:t>
      </w:r>
      <w:r w:rsidRPr="006571AC">
        <w:rPr>
          <w:rFonts w:hint="cs"/>
          <w:sz w:val="27"/>
          <w:rtl/>
        </w:rPr>
        <w:t>مفهوم</w:t>
      </w:r>
      <w:r w:rsidRPr="006571AC">
        <w:rPr>
          <w:sz w:val="27"/>
          <w:rtl/>
        </w:rPr>
        <w:t xml:space="preserve"> </w:t>
      </w:r>
      <w:r w:rsidRPr="006571AC">
        <w:rPr>
          <w:rFonts w:hint="cs"/>
          <w:sz w:val="27"/>
          <w:rtl/>
        </w:rPr>
        <w:t>الانتفاع</w:t>
      </w:r>
      <w:r w:rsidRPr="006571AC">
        <w:rPr>
          <w:sz w:val="27"/>
          <w:rtl/>
        </w:rPr>
        <w:t xml:space="preserve"> و</w:t>
      </w:r>
      <w:r w:rsidRPr="006571AC">
        <w:rPr>
          <w:rFonts w:hint="cs"/>
          <w:sz w:val="27"/>
          <w:rtl/>
        </w:rPr>
        <w:t>الاستمتاع</w:t>
      </w:r>
      <w:r w:rsidRPr="006571AC">
        <w:rPr>
          <w:sz w:val="27"/>
          <w:rtl/>
        </w:rPr>
        <w:t xml:space="preserve"> </w:t>
      </w:r>
      <w:r w:rsidRPr="006571AC">
        <w:rPr>
          <w:rFonts w:hint="cs"/>
          <w:sz w:val="27"/>
          <w:rtl/>
        </w:rPr>
        <w:t>بأيّ</w:t>
      </w:r>
      <w:r w:rsidRPr="006571AC">
        <w:rPr>
          <w:sz w:val="27"/>
          <w:rtl/>
        </w:rPr>
        <w:t xml:space="preserve"> </w:t>
      </w:r>
      <w:r w:rsidRPr="006571AC">
        <w:rPr>
          <w:rFonts w:hint="cs"/>
          <w:sz w:val="27"/>
          <w:rtl/>
        </w:rPr>
        <w:t>نحو</w:t>
      </w:r>
      <w:r w:rsidR="00493D80" w:rsidRPr="006571AC">
        <w:rPr>
          <w:rFonts w:hint="cs"/>
          <w:sz w:val="27"/>
          <w:rtl/>
        </w:rPr>
        <w:t>ٍ،</w:t>
      </w:r>
      <w:r w:rsidRPr="006571AC">
        <w:rPr>
          <w:sz w:val="27"/>
          <w:rtl/>
        </w:rPr>
        <w:t xml:space="preserve"> و</w:t>
      </w:r>
      <w:r w:rsidRPr="006571AC">
        <w:rPr>
          <w:rFonts w:hint="cs"/>
          <w:sz w:val="27"/>
          <w:rtl/>
        </w:rPr>
        <w:t>بأيّ</w:t>
      </w:r>
      <w:r w:rsidRPr="006571AC">
        <w:rPr>
          <w:sz w:val="27"/>
          <w:rtl/>
        </w:rPr>
        <w:t xml:space="preserve"> </w:t>
      </w:r>
      <w:r w:rsidRPr="006571AC">
        <w:rPr>
          <w:rFonts w:hint="cs"/>
          <w:sz w:val="27"/>
          <w:rtl/>
        </w:rPr>
        <w:t>عضو</w:t>
      </w:r>
      <w:r w:rsidR="00493D80" w:rsidRPr="006571AC">
        <w:rPr>
          <w:rFonts w:hint="cs"/>
          <w:sz w:val="27"/>
          <w:rtl/>
        </w:rPr>
        <w:t>ٍ،</w:t>
      </w:r>
      <w:r w:rsidRPr="006571AC">
        <w:rPr>
          <w:sz w:val="27"/>
          <w:rtl/>
        </w:rPr>
        <w:t xml:space="preserve"> و</w:t>
      </w:r>
      <w:r w:rsidRPr="006571AC">
        <w:rPr>
          <w:rFonts w:hint="cs"/>
          <w:sz w:val="27"/>
          <w:rtl/>
        </w:rPr>
        <w:t>بأيّ</w:t>
      </w:r>
      <w:r w:rsidRPr="006571AC">
        <w:rPr>
          <w:sz w:val="27"/>
          <w:rtl/>
        </w:rPr>
        <w:t xml:space="preserve"> </w:t>
      </w:r>
      <w:r w:rsidRPr="006571AC">
        <w:rPr>
          <w:rFonts w:hint="cs"/>
          <w:sz w:val="27"/>
          <w:rtl/>
        </w:rPr>
        <w:t>خصوصيّة</w:t>
      </w:r>
      <w:r w:rsidR="00493D80" w:rsidRPr="006571AC">
        <w:rPr>
          <w:rFonts w:hint="cs"/>
          <w:sz w:val="27"/>
          <w:rtl/>
        </w:rPr>
        <w:t>ٍ</w:t>
      </w:r>
      <w:r w:rsidRPr="006571AC">
        <w:rPr>
          <w:sz w:val="27"/>
          <w:rtl/>
        </w:rPr>
        <w:t xml:space="preserve"> </w:t>
      </w:r>
      <w:r w:rsidRPr="006571AC">
        <w:rPr>
          <w:rFonts w:hint="cs"/>
          <w:sz w:val="27"/>
          <w:rtl/>
        </w:rPr>
        <w:t>تتعلّ</w:t>
      </w:r>
      <w:r w:rsidR="00493D80" w:rsidRPr="006571AC">
        <w:rPr>
          <w:rFonts w:hint="cs"/>
          <w:sz w:val="27"/>
          <w:rtl/>
        </w:rPr>
        <w:t>َ</w:t>
      </w:r>
      <w:r w:rsidRPr="006571AC">
        <w:rPr>
          <w:rFonts w:hint="cs"/>
          <w:sz w:val="27"/>
          <w:rtl/>
        </w:rPr>
        <w:t>ق</w:t>
      </w:r>
      <w:r w:rsidRPr="006571AC">
        <w:rPr>
          <w:sz w:val="27"/>
          <w:rtl/>
        </w:rPr>
        <w:t xml:space="preserve"> </w:t>
      </w:r>
      <w:r w:rsidRPr="006571AC">
        <w:rPr>
          <w:rFonts w:hint="cs"/>
          <w:sz w:val="27"/>
          <w:rtl/>
        </w:rPr>
        <w:t>بهنّ، ولا</w:t>
      </w:r>
      <w:r w:rsidRPr="006571AC">
        <w:rPr>
          <w:sz w:val="27"/>
          <w:rtl/>
        </w:rPr>
        <w:t xml:space="preserve"> </w:t>
      </w:r>
      <w:r w:rsidRPr="006571AC">
        <w:rPr>
          <w:rFonts w:hint="cs"/>
          <w:sz w:val="27"/>
          <w:rtl/>
        </w:rPr>
        <w:t>اختصاص</w:t>
      </w:r>
      <w:r w:rsidRPr="006571AC">
        <w:rPr>
          <w:sz w:val="27"/>
          <w:rtl/>
        </w:rPr>
        <w:t xml:space="preserve"> </w:t>
      </w:r>
      <w:r w:rsidRPr="006571AC">
        <w:rPr>
          <w:rFonts w:hint="cs"/>
          <w:sz w:val="27"/>
          <w:rtl/>
        </w:rPr>
        <w:t>بالانتفاع</w:t>
      </w:r>
      <w:r w:rsidRPr="006571AC">
        <w:rPr>
          <w:sz w:val="27"/>
          <w:rtl/>
        </w:rPr>
        <w:t xml:space="preserve"> و</w:t>
      </w:r>
      <w:r w:rsidRPr="006571AC">
        <w:rPr>
          <w:rFonts w:hint="cs"/>
          <w:sz w:val="27"/>
          <w:rtl/>
        </w:rPr>
        <w:t>الالتذاذ</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مجموع</w:t>
      </w:r>
      <w:r w:rsidRPr="006571AC">
        <w:rPr>
          <w:sz w:val="27"/>
          <w:rtl/>
        </w:rPr>
        <w:t xml:space="preserve"> </w:t>
      </w:r>
      <w:r w:rsidRPr="006571AC">
        <w:rPr>
          <w:rFonts w:hint="cs"/>
          <w:sz w:val="27"/>
          <w:rtl/>
        </w:rPr>
        <w:t>وجودهنّ</w:t>
      </w:r>
      <w:r w:rsidRPr="006571AC">
        <w:rPr>
          <w:sz w:val="27"/>
          <w:rtl/>
        </w:rPr>
        <w:t>. و</w:t>
      </w:r>
      <w:r w:rsidRPr="006571AC">
        <w:rPr>
          <w:rFonts w:hint="cs"/>
          <w:sz w:val="27"/>
          <w:rtl/>
        </w:rPr>
        <w:t>أيضا</w:t>
      </w:r>
      <w:r w:rsidR="00E93D31" w:rsidRPr="006571AC">
        <w:rPr>
          <w:rFonts w:hint="cs"/>
          <w:sz w:val="27"/>
          <w:rtl/>
        </w:rPr>
        <w:t>ً</w:t>
      </w:r>
      <w:r w:rsidRPr="006571AC">
        <w:rPr>
          <w:sz w:val="27"/>
          <w:rtl/>
        </w:rPr>
        <w:t xml:space="preserve"> </w:t>
      </w:r>
      <w:r w:rsidRPr="006571AC">
        <w:rPr>
          <w:rFonts w:hint="cs"/>
          <w:sz w:val="27"/>
          <w:rtl/>
        </w:rPr>
        <w:t>فيه</w:t>
      </w:r>
      <w:r w:rsidRPr="006571AC">
        <w:rPr>
          <w:sz w:val="27"/>
          <w:rtl/>
        </w:rPr>
        <w:t xml:space="preserve"> </w:t>
      </w:r>
      <w:r w:rsidRPr="006571AC">
        <w:rPr>
          <w:rFonts w:hint="cs"/>
          <w:sz w:val="27"/>
          <w:rtl/>
        </w:rPr>
        <w:t>تجليل</w:t>
      </w:r>
      <w:r w:rsidR="00E93D31" w:rsidRPr="006571AC">
        <w:rPr>
          <w:rFonts w:hint="cs"/>
          <w:sz w:val="27"/>
          <w:rtl/>
        </w:rPr>
        <w:t>ٌ</w:t>
      </w:r>
      <w:r w:rsidRPr="006571AC">
        <w:rPr>
          <w:sz w:val="27"/>
          <w:rtl/>
        </w:rPr>
        <w:t xml:space="preserve"> و</w:t>
      </w:r>
      <w:r w:rsidRPr="006571AC">
        <w:rPr>
          <w:rFonts w:hint="cs"/>
          <w:sz w:val="27"/>
          <w:rtl/>
        </w:rPr>
        <w:t>تعظيم</w:t>
      </w:r>
      <w:r w:rsidR="006340E8" w:rsidRPr="006571AC">
        <w:rPr>
          <w:rFonts w:hint="cs"/>
          <w:sz w:val="27"/>
          <w:rtl/>
        </w:rPr>
        <w:t>ٌ</w:t>
      </w:r>
      <w:r w:rsidRPr="006571AC">
        <w:rPr>
          <w:sz w:val="27"/>
          <w:rtl/>
        </w:rPr>
        <w:t xml:space="preserve"> </w:t>
      </w:r>
      <w:r w:rsidRPr="006571AC">
        <w:rPr>
          <w:rFonts w:hint="cs"/>
          <w:sz w:val="27"/>
          <w:rtl/>
        </w:rPr>
        <w:t>لمقام</w:t>
      </w:r>
      <w:r w:rsidRPr="006571AC">
        <w:rPr>
          <w:sz w:val="27"/>
          <w:rtl/>
        </w:rPr>
        <w:t xml:space="preserve"> </w:t>
      </w:r>
      <w:r w:rsidRPr="006571AC">
        <w:rPr>
          <w:rFonts w:hint="cs"/>
          <w:sz w:val="27"/>
          <w:rtl/>
        </w:rPr>
        <w:t>المرأة</w:t>
      </w:r>
      <w:r w:rsidR="00E93D31" w:rsidRPr="006571AC">
        <w:rPr>
          <w:rFonts w:hint="cs"/>
          <w:sz w:val="27"/>
          <w:rtl/>
        </w:rPr>
        <w:t>؛</w:t>
      </w:r>
      <w:r w:rsidRPr="006571AC">
        <w:rPr>
          <w:rFonts w:hint="cs"/>
          <w:sz w:val="27"/>
          <w:rtl/>
        </w:rPr>
        <w:t xml:space="preserve"> ف</w:t>
      </w:r>
      <w:r w:rsidR="00E93D31" w:rsidRPr="006571AC">
        <w:rPr>
          <w:rFonts w:hint="cs"/>
          <w:sz w:val="27"/>
          <w:rtl/>
        </w:rPr>
        <w:t>إ</w:t>
      </w:r>
      <w:r w:rsidRPr="006571AC">
        <w:rPr>
          <w:rFonts w:hint="cs"/>
          <w:sz w:val="27"/>
          <w:rtl/>
        </w:rPr>
        <w:t>نّ</w:t>
      </w:r>
      <w:r w:rsidRPr="006571AC">
        <w:rPr>
          <w:sz w:val="27"/>
          <w:rtl/>
        </w:rPr>
        <w:t xml:space="preserve"> </w:t>
      </w:r>
      <w:r w:rsidRPr="006571AC">
        <w:rPr>
          <w:rFonts w:hint="cs"/>
          <w:sz w:val="27"/>
          <w:rtl/>
        </w:rPr>
        <w:t>المرأة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حيث</w:t>
      </w:r>
      <w:r w:rsidRPr="006571AC">
        <w:rPr>
          <w:sz w:val="27"/>
          <w:rtl/>
        </w:rPr>
        <w:t xml:space="preserve"> </w:t>
      </w:r>
      <w:r w:rsidRPr="006571AC">
        <w:rPr>
          <w:rFonts w:hint="cs"/>
          <w:sz w:val="27"/>
          <w:rtl/>
        </w:rPr>
        <w:t>هي</w:t>
      </w:r>
      <w:r w:rsidRPr="006571AC">
        <w:rPr>
          <w:sz w:val="27"/>
          <w:rtl/>
        </w:rPr>
        <w:t xml:space="preserve"> </w:t>
      </w:r>
      <w:r w:rsidRPr="006571AC">
        <w:rPr>
          <w:rFonts w:hint="cs"/>
          <w:sz w:val="27"/>
          <w:rtl/>
        </w:rPr>
        <w:t>ليست</w:t>
      </w:r>
      <w:r w:rsidRPr="006571AC">
        <w:rPr>
          <w:sz w:val="27"/>
          <w:rtl/>
        </w:rPr>
        <w:t xml:space="preserve"> </w:t>
      </w:r>
      <w:r w:rsidRPr="006571AC">
        <w:rPr>
          <w:rFonts w:hint="cs"/>
          <w:sz w:val="27"/>
          <w:rtl/>
        </w:rPr>
        <w:t>مخصوصة</w:t>
      </w:r>
      <w:r w:rsidR="00E93D31" w:rsidRPr="006571AC">
        <w:rPr>
          <w:rFonts w:hint="cs"/>
          <w:sz w:val="27"/>
          <w:rtl/>
        </w:rPr>
        <w:t>ً</w:t>
      </w:r>
      <w:r w:rsidRPr="006571AC">
        <w:rPr>
          <w:sz w:val="27"/>
          <w:rtl/>
        </w:rPr>
        <w:t xml:space="preserve"> </w:t>
      </w:r>
      <w:r w:rsidRPr="006571AC">
        <w:rPr>
          <w:rFonts w:hint="cs"/>
          <w:sz w:val="27"/>
          <w:rtl/>
        </w:rPr>
        <w:t>بالاستمتاع</w:t>
      </w:r>
      <w:r w:rsidRPr="006571AC">
        <w:rPr>
          <w:sz w:val="27"/>
          <w:rtl/>
        </w:rPr>
        <w:t xml:space="preserve"> و</w:t>
      </w:r>
      <w:r w:rsidRPr="006571AC">
        <w:rPr>
          <w:rFonts w:hint="cs"/>
          <w:sz w:val="27"/>
          <w:rtl/>
        </w:rPr>
        <w:t>الانتفاع</w:t>
      </w:r>
      <w:r w:rsidRPr="006571AC">
        <w:rPr>
          <w:sz w:val="27"/>
          <w:rtl/>
        </w:rPr>
        <w:t xml:space="preserve"> و</w:t>
      </w:r>
      <w:r w:rsidRPr="006571AC">
        <w:rPr>
          <w:rFonts w:hint="cs"/>
          <w:sz w:val="27"/>
          <w:rtl/>
        </w:rPr>
        <w:t>الالتذاذ</w:t>
      </w:r>
      <w:r w:rsidR="00E93D31" w:rsidRPr="006571AC">
        <w:rPr>
          <w:rFonts w:hint="cs"/>
          <w:sz w:val="27"/>
          <w:rtl/>
        </w:rPr>
        <w:t>:</w:t>
      </w:r>
      <w:r w:rsidRPr="006571AC">
        <w:rPr>
          <w:sz w:val="27"/>
          <w:rtl/>
        </w:rPr>
        <w:t xml:space="preserve"> </w:t>
      </w:r>
      <w:r w:rsidRPr="006571AC">
        <w:rPr>
          <w:rFonts w:ascii="Mosawi" w:hAnsi="Mosawi" w:cs="Mosawi"/>
          <w:sz w:val="24"/>
          <w:szCs w:val="24"/>
          <w:rtl/>
        </w:rPr>
        <w:t>﴿</w:t>
      </w:r>
      <w:r w:rsidRPr="006571AC">
        <w:rPr>
          <w:b/>
          <w:bCs/>
          <w:sz w:val="27"/>
          <w:rtl/>
        </w:rPr>
        <w:t>و</w:t>
      </w:r>
      <w:r w:rsidRPr="006571AC">
        <w:rPr>
          <w:rFonts w:hint="cs"/>
          <w:b/>
          <w:bCs/>
          <w:sz w:val="27"/>
          <w:rtl/>
        </w:rPr>
        <w:t>مِنْ</w:t>
      </w:r>
      <w:r w:rsidRPr="006571AC">
        <w:rPr>
          <w:b/>
          <w:bCs/>
          <w:sz w:val="27"/>
          <w:rtl/>
        </w:rPr>
        <w:t xml:space="preserve"> </w:t>
      </w:r>
      <w:r w:rsidRPr="006571AC">
        <w:rPr>
          <w:rFonts w:hint="cs"/>
          <w:b/>
          <w:bCs/>
          <w:sz w:val="27"/>
          <w:rtl/>
        </w:rPr>
        <w:t>آياتِهِ</w:t>
      </w:r>
      <w:r w:rsidRPr="006571AC">
        <w:rPr>
          <w:b/>
          <w:bCs/>
          <w:sz w:val="27"/>
          <w:rtl/>
        </w:rPr>
        <w:t xml:space="preserve"> </w:t>
      </w:r>
      <w:r w:rsidRPr="006571AC">
        <w:rPr>
          <w:rFonts w:hint="cs"/>
          <w:b/>
          <w:bCs/>
          <w:sz w:val="27"/>
          <w:rtl/>
        </w:rPr>
        <w:t>أَنْ</w:t>
      </w:r>
      <w:r w:rsidRPr="006571AC">
        <w:rPr>
          <w:b/>
          <w:bCs/>
          <w:sz w:val="27"/>
          <w:rtl/>
        </w:rPr>
        <w:t xml:space="preserve"> </w:t>
      </w:r>
      <w:r w:rsidRPr="006571AC">
        <w:rPr>
          <w:rFonts w:hint="cs"/>
          <w:b/>
          <w:bCs/>
          <w:sz w:val="27"/>
          <w:rtl/>
        </w:rPr>
        <w:t>خَلَقَ</w:t>
      </w:r>
      <w:r w:rsidRPr="006571AC">
        <w:rPr>
          <w:b/>
          <w:bCs/>
          <w:sz w:val="27"/>
          <w:rtl/>
        </w:rPr>
        <w:t xml:space="preserve"> </w:t>
      </w:r>
      <w:r w:rsidRPr="006571AC">
        <w:rPr>
          <w:rFonts w:hint="cs"/>
          <w:b/>
          <w:bCs/>
          <w:sz w:val="27"/>
          <w:rtl/>
        </w:rPr>
        <w:t>لَكُمْ</w:t>
      </w:r>
      <w:r w:rsidRPr="006571AC">
        <w:rPr>
          <w:b/>
          <w:bCs/>
          <w:sz w:val="27"/>
          <w:rtl/>
        </w:rPr>
        <w:t xml:space="preserve"> </w:t>
      </w:r>
      <w:r w:rsidRPr="006571AC">
        <w:rPr>
          <w:rFonts w:hint="cs"/>
          <w:b/>
          <w:bCs/>
          <w:sz w:val="27"/>
          <w:rtl/>
        </w:rPr>
        <w:t>مِنْ</w:t>
      </w:r>
      <w:r w:rsidRPr="006571AC">
        <w:rPr>
          <w:b/>
          <w:bCs/>
          <w:sz w:val="27"/>
          <w:rtl/>
        </w:rPr>
        <w:t xml:space="preserve"> </w:t>
      </w:r>
      <w:r w:rsidRPr="006571AC">
        <w:rPr>
          <w:rFonts w:hint="cs"/>
          <w:b/>
          <w:bCs/>
          <w:sz w:val="27"/>
          <w:rtl/>
        </w:rPr>
        <w:t>أَنْفُسِكُمْ</w:t>
      </w:r>
      <w:r w:rsidRPr="006571AC">
        <w:rPr>
          <w:b/>
          <w:bCs/>
          <w:sz w:val="27"/>
          <w:rtl/>
        </w:rPr>
        <w:t xml:space="preserve"> </w:t>
      </w:r>
      <w:r w:rsidRPr="006571AC">
        <w:rPr>
          <w:rFonts w:hint="cs"/>
          <w:b/>
          <w:bCs/>
          <w:sz w:val="27"/>
          <w:rtl/>
        </w:rPr>
        <w:t>أَزْواجاً</w:t>
      </w:r>
      <w:r w:rsidRPr="006571AC">
        <w:rPr>
          <w:b/>
          <w:bCs/>
          <w:sz w:val="27"/>
          <w:rtl/>
        </w:rPr>
        <w:t xml:space="preserve"> </w:t>
      </w:r>
      <w:r w:rsidRPr="006571AC">
        <w:rPr>
          <w:rFonts w:hint="cs"/>
          <w:b/>
          <w:bCs/>
          <w:sz w:val="27"/>
          <w:rtl/>
        </w:rPr>
        <w:t>لِتَسْكُنُوا</w:t>
      </w:r>
      <w:r w:rsidRPr="006571AC">
        <w:rPr>
          <w:b/>
          <w:bCs/>
          <w:sz w:val="27"/>
          <w:rtl/>
        </w:rPr>
        <w:t xml:space="preserve"> </w:t>
      </w:r>
      <w:r w:rsidRPr="006571AC">
        <w:rPr>
          <w:rFonts w:hint="cs"/>
          <w:b/>
          <w:bCs/>
          <w:sz w:val="27"/>
          <w:rtl/>
        </w:rPr>
        <w:t>إِلَيْها</w:t>
      </w:r>
      <w:r w:rsidRPr="006571AC">
        <w:rPr>
          <w:b/>
          <w:bCs/>
          <w:sz w:val="27"/>
          <w:rtl/>
        </w:rPr>
        <w:t xml:space="preserve"> و</w:t>
      </w:r>
      <w:r w:rsidRPr="006571AC">
        <w:rPr>
          <w:rFonts w:hint="cs"/>
          <w:b/>
          <w:bCs/>
          <w:sz w:val="27"/>
          <w:rtl/>
        </w:rPr>
        <w:t>جَعَلَ</w:t>
      </w:r>
      <w:r w:rsidRPr="006571AC">
        <w:rPr>
          <w:b/>
          <w:bCs/>
          <w:sz w:val="27"/>
          <w:rtl/>
        </w:rPr>
        <w:t xml:space="preserve"> </w:t>
      </w:r>
      <w:r w:rsidRPr="006571AC">
        <w:rPr>
          <w:rFonts w:hint="cs"/>
          <w:b/>
          <w:bCs/>
          <w:sz w:val="27"/>
          <w:rtl/>
        </w:rPr>
        <w:t>بَيْنَكُمْ</w:t>
      </w:r>
      <w:r w:rsidRPr="006571AC">
        <w:rPr>
          <w:b/>
          <w:bCs/>
          <w:sz w:val="27"/>
          <w:rtl/>
        </w:rPr>
        <w:t xml:space="preserve"> </w:t>
      </w:r>
      <w:r w:rsidRPr="006571AC">
        <w:rPr>
          <w:rFonts w:hint="cs"/>
          <w:b/>
          <w:bCs/>
          <w:sz w:val="27"/>
          <w:rtl/>
        </w:rPr>
        <w:t>مَوَدَّةً</w:t>
      </w:r>
      <w:r w:rsidRPr="006571AC">
        <w:rPr>
          <w:b/>
          <w:bCs/>
          <w:sz w:val="27"/>
          <w:rtl/>
        </w:rPr>
        <w:t xml:space="preserve"> و</w:t>
      </w:r>
      <w:r w:rsidRPr="006571AC">
        <w:rPr>
          <w:rFonts w:hint="cs"/>
          <w:b/>
          <w:bCs/>
          <w:sz w:val="27"/>
          <w:rtl/>
        </w:rPr>
        <w:t>رَحْمَةً</w:t>
      </w:r>
      <w:r w:rsidRPr="006571AC">
        <w:rPr>
          <w:rFonts w:ascii="Mosawi" w:hAnsi="Mosawi" w:cs="Mosawi"/>
          <w:sz w:val="24"/>
          <w:szCs w:val="24"/>
          <w:rtl/>
        </w:rPr>
        <w:t>﴾</w:t>
      </w:r>
      <w:r w:rsidRPr="006571AC">
        <w:rPr>
          <w:sz w:val="27"/>
          <w:rtl/>
        </w:rPr>
        <w:t xml:space="preserve"> (</w:t>
      </w:r>
      <w:r w:rsidRPr="006571AC">
        <w:rPr>
          <w:rFonts w:hint="cs"/>
          <w:sz w:val="27"/>
          <w:rtl/>
        </w:rPr>
        <w:t xml:space="preserve">الروم: </w:t>
      </w:r>
      <w:r w:rsidRPr="006571AC">
        <w:rPr>
          <w:sz w:val="27"/>
          <w:rtl/>
        </w:rPr>
        <w:t>21</w:t>
      </w:r>
      <w:r w:rsidRPr="006571AC">
        <w:rPr>
          <w:rFonts w:hint="cs"/>
          <w:sz w:val="27"/>
          <w:rtl/>
        </w:rPr>
        <w:t>)</w:t>
      </w:r>
      <w:r w:rsidR="00E93D31" w:rsidRPr="006571AC">
        <w:rPr>
          <w:rFonts w:hint="cs"/>
          <w:sz w:val="27"/>
          <w:rtl/>
        </w:rPr>
        <w:t>،</w:t>
      </w:r>
      <w:r w:rsidRPr="006571AC">
        <w:rPr>
          <w:rFonts w:hint="cs"/>
          <w:sz w:val="27"/>
          <w:rtl/>
        </w:rPr>
        <w:t xml:space="preserve"> وأمّا</w:t>
      </w:r>
      <w:r w:rsidRPr="006571AC">
        <w:rPr>
          <w:sz w:val="27"/>
          <w:rtl/>
        </w:rPr>
        <w:t xml:space="preserve"> </w:t>
      </w:r>
      <w:r w:rsidRPr="006571AC">
        <w:rPr>
          <w:rFonts w:hint="cs"/>
          <w:sz w:val="27"/>
          <w:rtl/>
        </w:rPr>
        <w:t>مُتْعَةُ</w:t>
      </w:r>
      <w:r w:rsidRPr="006571AC">
        <w:rPr>
          <w:sz w:val="27"/>
          <w:rtl/>
        </w:rPr>
        <w:t xml:space="preserve"> </w:t>
      </w:r>
      <w:r w:rsidRPr="006571AC">
        <w:rPr>
          <w:rFonts w:hint="cs"/>
          <w:sz w:val="27"/>
          <w:rtl/>
        </w:rPr>
        <w:t>النكاح</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شرائط</w:t>
      </w:r>
      <w:r w:rsidRPr="006571AC">
        <w:rPr>
          <w:sz w:val="27"/>
          <w:rtl/>
        </w:rPr>
        <w:t xml:space="preserve"> </w:t>
      </w:r>
      <w:r w:rsidRPr="006571AC">
        <w:rPr>
          <w:rFonts w:hint="cs"/>
          <w:sz w:val="27"/>
          <w:rtl/>
        </w:rPr>
        <w:t>مقرّ</w:t>
      </w:r>
      <w:r w:rsidR="00E93D31" w:rsidRPr="006571AC">
        <w:rPr>
          <w:rFonts w:hint="cs"/>
          <w:sz w:val="27"/>
          <w:rtl/>
        </w:rPr>
        <w:t>َ</w:t>
      </w:r>
      <w:r w:rsidRPr="006571AC">
        <w:rPr>
          <w:rFonts w:hint="cs"/>
          <w:sz w:val="27"/>
          <w:rtl/>
        </w:rPr>
        <w:t>رة</w:t>
      </w:r>
      <w:r w:rsidR="00E93D31" w:rsidRPr="006571AC">
        <w:rPr>
          <w:rFonts w:hint="cs"/>
          <w:sz w:val="27"/>
          <w:rtl/>
        </w:rPr>
        <w:t>،</w:t>
      </w:r>
      <w:r w:rsidRPr="006571AC">
        <w:rPr>
          <w:sz w:val="27"/>
          <w:rtl/>
        </w:rPr>
        <w:t xml:space="preserve"> و</w:t>
      </w:r>
      <w:r w:rsidRPr="006571AC">
        <w:rPr>
          <w:rFonts w:hint="cs"/>
          <w:sz w:val="27"/>
          <w:rtl/>
        </w:rPr>
        <w:t>حفظ</w:t>
      </w:r>
      <w:r w:rsidRPr="006571AC">
        <w:rPr>
          <w:sz w:val="27"/>
          <w:rtl/>
        </w:rPr>
        <w:t xml:space="preserve"> </w:t>
      </w:r>
      <w:r w:rsidRPr="006571AC">
        <w:rPr>
          <w:rFonts w:hint="cs"/>
          <w:sz w:val="27"/>
          <w:rtl/>
        </w:rPr>
        <w:t>الصلاح</w:t>
      </w:r>
      <w:r w:rsidRPr="006571AC">
        <w:rPr>
          <w:sz w:val="27"/>
          <w:rtl/>
        </w:rPr>
        <w:t xml:space="preserve"> </w:t>
      </w:r>
      <w:r w:rsidRPr="006571AC">
        <w:rPr>
          <w:rFonts w:hint="cs"/>
          <w:sz w:val="27"/>
          <w:rtl/>
        </w:rPr>
        <w:t>للرجل</w:t>
      </w:r>
      <w:r w:rsidRPr="006571AC">
        <w:rPr>
          <w:sz w:val="27"/>
          <w:rtl/>
        </w:rPr>
        <w:t xml:space="preserve"> و</w:t>
      </w:r>
      <w:r w:rsidRPr="006571AC">
        <w:rPr>
          <w:rFonts w:hint="cs"/>
          <w:sz w:val="27"/>
          <w:rtl/>
        </w:rPr>
        <w:t>المرأة</w:t>
      </w:r>
      <w:r w:rsidR="00E93D31" w:rsidRPr="006571AC">
        <w:rPr>
          <w:rFonts w:hint="cs"/>
          <w:sz w:val="27"/>
          <w:rtl/>
        </w:rPr>
        <w:t>،</w:t>
      </w:r>
      <w:r w:rsidRPr="006571AC">
        <w:rPr>
          <w:sz w:val="27"/>
          <w:rtl/>
        </w:rPr>
        <w:t xml:space="preserve"> و</w:t>
      </w:r>
      <w:r w:rsidRPr="006571AC">
        <w:rPr>
          <w:rFonts w:hint="cs"/>
          <w:sz w:val="27"/>
          <w:rtl/>
        </w:rPr>
        <w:t>رعاية</w:t>
      </w:r>
      <w:r w:rsidRPr="006571AC">
        <w:rPr>
          <w:sz w:val="27"/>
          <w:rtl/>
        </w:rPr>
        <w:t xml:space="preserve"> </w:t>
      </w:r>
      <w:r w:rsidRPr="006571AC">
        <w:rPr>
          <w:rFonts w:hint="cs"/>
          <w:sz w:val="27"/>
          <w:rtl/>
        </w:rPr>
        <w:t>عواقب</w:t>
      </w:r>
      <w:r w:rsidRPr="006571AC">
        <w:rPr>
          <w:sz w:val="27"/>
          <w:rtl/>
        </w:rPr>
        <w:t xml:space="preserve"> </w:t>
      </w:r>
      <w:r w:rsidRPr="006571AC">
        <w:rPr>
          <w:rFonts w:hint="cs"/>
          <w:sz w:val="27"/>
          <w:rtl/>
        </w:rPr>
        <w:t>الأمور</w:t>
      </w:r>
      <w:r w:rsidR="00E93D31"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التوليد</w:t>
      </w:r>
      <w:r w:rsidRPr="006571AC">
        <w:rPr>
          <w:sz w:val="27"/>
          <w:rtl/>
        </w:rPr>
        <w:t xml:space="preserve"> و</w:t>
      </w:r>
      <w:r w:rsidRPr="006571AC">
        <w:rPr>
          <w:rFonts w:hint="cs"/>
          <w:sz w:val="27"/>
          <w:rtl/>
        </w:rPr>
        <w:t>هتك</w:t>
      </w:r>
      <w:r w:rsidRPr="006571AC">
        <w:rPr>
          <w:sz w:val="27"/>
          <w:rtl/>
        </w:rPr>
        <w:t xml:space="preserve"> </w:t>
      </w:r>
      <w:r w:rsidRPr="006571AC">
        <w:rPr>
          <w:rFonts w:hint="cs"/>
          <w:sz w:val="27"/>
          <w:rtl/>
        </w:rPr>
        <w:t>الحرمة</w:t>
      </w:r>
      <w:r w:rsidRPr="006571AC">
        <w:rPr>
          <w:sz w:val="27"/>
          <w:rtl/>
        </w:rPr>
        <w:t xml:space="preserve"> و</w:t>
      </w:r>
      <w:r w:rsidRPr="006571AC">
        <w:rPr>
          <w:rFonts w:hint="cs"/>
          <w:sz w:val="27"/>
          <w:rtl/>
        </w:rPr>
        <w:t>الابتلاءات</w:t>
      </w:r>
      <w:r w:rsidRPr="006571AC">
        <w:rPr>
          <w:sz w:val="27"/>
          <w:rtl/>
        </w:rPr>
        <w:t xml:space="preserve"> </w:t>
      </w:r>
      <w:r w:rsidRPr="006571AC">
        <w:rPr>
          <w:rFonts w:hint="cs"/>
          <w:sz w:val="27"/>
          <w:rtl/>
        </w:rPr>
        <w:t>الناشئة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العمل</w:t>
      </w:r>
      <w:r w:rsidRPr="006571AC">
        <w:rPr>
          <w:sz w:val="27"/>
          <w:vertAlign w:val="superscript"/>
          <w:rtl/>
        </w:rPr>
        <w:t>(</w:t>
      </w:r>
      <w:r w:rsidRPr="006571AC">
        <w:rPr>
          <w:sz w:val="27"/>
          <w:vertAlign w:val="superscript"/>
          <w:rtl/>
        </w:rPr>
        <w:endnoteReference w:id="406"/>
      </w:r>
      <w:r w:rsidRPr="006571AC">
        <w:rPr>
          <w:sz w:val="27"/>
          <w:vertAlign w:val="superscript"/>
          <w:rtl/>
        </w:rPr>
        <w:t>)</w:t>
      </w:r>
      <w:r w:rsidRPr="006571AC">
        <w:rPr>
          <w:sz w:val="27"/>
          <w:rtl/>
        </w:rPr>
        <w:t>.</w:t>
      </w:r>
      <w:r w:rsidRPr="006571AC">
        <w:rPr>
          <w:rFonts w:hint="cs"/>
          <w:sz w:val="27"/>
          <w:rtl/>
        </w:rPr>
        <w:t xml:space="preserve"> </w:t>
      </w:r>
    </w:p>
    <w:p w:rsidR="00291BAF" w:rsidRPr="006571AC" w:rsidRDefault="00291BAF" w:rsidP="00291BAF">
      <w:pPr>
        <w:spacing w:line="420" w:lineRule="exact"/>
        <w:rPr>
          <w:sz w:val="27"/>
          <w:rtl/>
        </w:rPr>
      </w:pPr>
      <w:bookmarkStart w:id="201" w:name="_Toc79281899"/>
    </w:p>
    <w:p w:rsidR="00237EB1" w:rsidRPr="006571AC" w:rsidRDefault="00237EB1" w:rsidP="00E629CB">
      <w:pPr>
        <w:pStyle w:val="31"/>
        <w:rPr>
          <w:color w:val="auto"/>
          <w:rtl/>
        </w:rPr>
      </w:pPr>
      <w:bookmarkStart w:id="202" w:name="_Toc114164677"/>
      <w:r w:rsidRPr="006571AC">
        <w:rPr>
          <w:color w:val="auto"/>
          <w:rtl/>
        </w:rPr>
        <w:t>فلسفة المهر</w:t>
      </w:r>
      <w:bookmarkEnd w:id="201"/>
      <w:bookmarkEnd w:id="202"/>
      <w:r w:rsidRPr="006571AC">
        <w:rPr>
          <w:color w:val="auto"/>
          <w:rtl/>
        </w:rPr>
        <w:t xml:space="preserve"> </w:t>
      </w:r>
    </w:p>
    <w:p w:rsidR="00237EB1" w:rsidRPr="006571AC" w:rsidRDefault="00237EB1" w:rsidP="00E60D93">
      <w:pPr>
        <w:rPr>
          <w:sz w:val="27"/>
          <w:rtl/>
        </w:rPr>
      </w:pPr>
      <w:r w:rsidRPr="006571AC">
        <w:rPr>
          <w:rFonts w:hint="cs"/>
          <w:sz w:val="27"/>
          <w:rtl/>
        </w:rPr>
        <w:t>ات</w:t>
      </w:r>
      <w:r w:rsidR="00E93D31" w:rsidRPr="006571AC">
        <w:rPr>
          <w:rFonts w:hint="cs"/>
          <w:sz w:val="27"/>
          <w:rtl/>
        </w:rPr>
        <w:t>َّ</w:t>
      </w:r>
      <w:r w:rsidRPr="006571AC">
        <w:rPr>
          <w:rFonts w:hint="cs"/>
          <w:sz w:val="27"/>
          <w:rtl/>
        </w:rPr>
        <w:t>فق</w:t>
      </w:r>
      <w:r w:rsidRPr="006571AC">
        <w:rPr>
          <w:sz w:val="27"/>
          <w:rtl/>
        </w:rPr>
        <w:t xml:space="preserve"> </w:t>
      </w:r>
      <w:r w:rsidRPr="006571AC">
        <w:rPr>
          <w:rFonts w:hint="cs"/>
          <w:sz w:val="27"/>
          <w:rtl/>
        </w:rPr>
        <w:t>علماء</w:t>
      </w:r>
      <w:r w:rsidRPr="006571AC">
        <w:rPr>
          <w:sz w:val="27"/>
          <w:rtl/>
        </w:rPr>
        <w:t xml:space="preserve"> </w:t>
      </w:r>
      <w:r w:rsidRPr="006571AC">
        <w:rPr>
          <w:rFonts w:hint="cs"/>
          <w:sz w:val="27"/>
          <w:rtl/>
        </w:rPr>
        <w:t>وفقهاء</w:t>
      </w:r>
      <w:r w:rsidRPr="006571AC">
        <w:rPr>
          <w:sz w:val="27"/>
          <w:rtl/>
        </w:rPr>
        <w:t xml:space="preserve"> </w:t>
      </w:r>
      <w:r w:rsidRPr="006571AC">
        <w:rPr>
          <w:rFonts w:hint="cs"/>
          <w:sz w:val="27"/>
          <w:rtl/>
        </w:rPr>
        <w:t>ومتكلّ</w:t>
      </w:r>
      <w:r w:rsidR="00E93D31" w:rsidRPr="006571AC">
        <w:rPr>
          <w:rFonts w:hint="cs"/>
          <w:sz w:val="27"/>
          <w:rtl/>
        </w:rPr>
        <w:t>ِ</w:t>
      </w:r>
      <w:r w:rsidRPr="006571AC">
        <w:rPr>
          <w:rFonts w:hint="cs"/>
          <w:sz w:val="27"/>
          <w:rtl/>
        </w:rPr>
        <w:t>مو</w:t>
      </w:r>
      <w:r w:rsidRPr="006571AC">
        <w:rPr>
          <w:sz w:val="27"/>
          <w:rtl/>
        </w:rPr>
        <w:t xml:space="preserve"> </w:t>
      </w:r>
      <w:r w:rsidRPr="006571AC">
        <w:rPr>
          <w:rFonts w:hint="cs"/>
          <w:sz w:val="27"/>
          <w:rtl/>
        </w:rPr>
        <w:t>مدرسة</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البيت</w:t>
      </w:r>
      <w:r w:rsidR="002A2C90" w:rsidRPr="006571AC">
        <w:rPr>
          <w:rFonts w:ascii="Mosawi" w:hAnsi="Mosawi" w:cs="Mosawi"/>
          <w:sz w:val="22"/>
          <w:szCs w:val="22"/>
          <w:rtl/>
        </w:rPr>
        <w:t>^</w:t>
      </w:r>
      <w:r w:rsidRPr="006571AC">
        <w:rPr>
          <w:sz w:val="27"/>
          <w:rtl/>
        </w:rPr>
        <w:t xml:space="preserve"> </w:t>
      </w:r>
      <w:r w:rsidRPr="006571AC">
        <w:rPr>
          <w:rFonts w:hint="cs"/>
          <w:sz w:val="27"/>
          <w:rtl/>
        </w:rPr>
        <w:t>بالإجماع</w:t>
      </w:r>
      <w:r w:rsidRPr="006571AC">
        <w:rPr>
          <w:sz w:val="27"/>
          <w:rtl/>
        </w:rPr>
        <w:t xml:space="preserve"> </w:t>
      </w:r>
      <w:r w:rsidR="00E93D31" w:rsidRPr="006571AC">
        <w:rPr>
          <w:rFonts w:hint="cs"/>
          <w:sz w:val="27"/>
          <w:rtl/>
        </w:rPr>
        <w:t>على</w:t>
      </w:r>
      <w:r w:rsidRPr="006571AC">
        <w:rPr>
          <w:rFonts w:hint="cs"/>
          <w:sz w:val="27"/>
          <w:rtl/>
        </w:rPr>
        <w:t xml:space="preserve"> </w:t>
      </w:r>
      <w:r w:rsidR="00E93D31" w:rsidRPr="006571AC">
        <w:rPr>
          <w:rFonts w:hint="cs"/>
          <w:sz w:val="27"/>
          <w:rtl/>
        </w:rPr>
        <w:t>أ</w:t>
      </w:r>
      <w:r w:rsidRPr="006571AC">
        <w:rPr>
          <w:rFonts w:hint="cs"/>
          <w:sz w:val="27"/>
          <w:rtl/>
        </w:rPr>
        <w:t>نّ الأحكام الشرعية</w:t>
      </w:r>
      <w:r w:rsidR="008B32BA" w:rsidRPr="006571AC">
        <w:rPr>
          <w:rFonts w:hint="cs"/>
          <w:sz w:val="27"/>
          <w:rtl/>
        </w:rPr>
        <w:t>،</w:t>
      </w:r>
      <w:r w:rsidRPr="006571AC">
        <w:rPr>
          <w:rFonts w:hint="cs"/>
          <w:sz w:val="27"/>
          <w:rtl/>
        </w:rPr>
        <w:t xml:space="preserve"> سواء كانت تكليفية أو وضعية</w:t>
      </w:r>
      <w:r w:rsidR="008B32BA" w:rsidRPr="006571AC">
        <w:rPr>
          <w:rFonts w:hint="cs"/>
          <w:sz w:val="27"/>
          <w:rtl/>
        </w:rPr>
        <w:t>،</w:t>
      </w:r>
      <w:r w:rsidRPr="006571AC">
        <w:rPr>
          <w:rFonts w:hint="cs"/>
          <w:sz w:val="27"/>
          <w:rtl/>
        </w:rPr>
        <w:t xml:space="preserve"> قد شرّعت على ضوء فلسفة</w:t>
      </w:r>
      <w:r w:rsidR="008B32BA" w:rsidRPr="006571AC">
        <w:rPr>
          <w:rFonts w:hint="cs"/>
          <w:sz w:val="27"/>
          <w:rtl/>
        </w:rPr>
        <w:t>ٍ</w:t>
      </w:r>
      <w:r w:rsidRPr="006571AC">
        <w:rPr>
          <w:rFonts w:hint="cs"/>
          <w:sz w:val="27"/>
          <w:rtl/>
        </w:rPr>
        <w:t xml:space="preserve"> خاصة بها</w:t>
      </w:r>
      <w:r w:rsidR="008B32BA" w:rsidRPr="006571AC">
        <w:rPr>
          <w:rFonts w:hint="cs"/>
          <w:sz w:val="27"/>
          <w:rtl/>
        </w:rPr>
        <w:t>،</w:t>
      </w:r>
      <w:r w:rsidRPr="006571AC">
        <w:rPr>
          <w:rFonts w:hint="cs"/>
          <w:sz w:val="27"/>
          <w:rtl/>
        </w:rPr>
        <w:t xml:space="preserve"> وهو ج</w:t>
      </w:r>
      <w:r w:rsidR="006340E8" w:rsidRPr="006571AC">
        <w:rPr>
          <w:rFonts w:hint="cs"/>
          <w:sz w:val="27"/>
          <w:rtl/>
        </w:rPr>
        <w:t>َ</w:t>
      </w:r>
      <w:r w:rsidRPr="006571AC">
        <w:rPr>
          <w:rFonts w:hint="cs"/>
          <w:sz w:val="27"/>
          <w:rtl/>
        </w:rPr>
        <w:t>ع</w:t>
      </w:r>
      <w:r w:rsidR="006340E8" w:rsidRPr="006571AC">
        <w:rPr>
          <w:rFonts w:hint="cs"/>
          <w:sz w:val="27"/>
          <w:rtl/>
        </w:rPr>
        <w:t>ْ</w:t>
      </w:r>
      <w:r w:rsidRPr="006571AC">
        <w:rPr>
          <w:rFonts w:hint="cs"/>
          <w:sz w:val="27"/>
          <w:rtl/>
        </w:rPr>
        <w:t>ل الحكم على أساس ملاكات</w:t>
      </w:r>
      <w:r w:rsidR="008B32BA" w:rsidRPr="006571AC">
        <w:rPr>
          <w:rFonts w:hint="cs"/>
          <w:sz w:val="27"/>
          <w:rtl/>
        </w:rPr>
        <w:t>ٍ</w:t>
      </w:r>
      <w:r w:rsidRPr="006571AC">
        <w:rPr>
          <w:rFonts w:hint="cs"/>
          <w:sz w:val="27"/>
          <w:rtl/>
        </w:rPr>
        <w:t xml:space="preserve"> معينة</w:t>
      </w:r>
      <w:r w:rsidR="008B32BA" w:rsidRPr="006571AC">
        <w:rPr>
          <w:rFonts w:hint="cs"/>
          <w:sz w:val="27"/>
          <w:rtl/>
        </w:rPr>
        <w:t>،</w:t>
      </w:r>
      <w:r w:rsidRPr="006571AC">
        <w:rPr>
          <w:rFonts w:hint="cs"/>
          <w:sz w:val="27"/>
          <w:rtl/>
        </w:rPr>
        <w:t xml:space="preserve"> يوجد حكمة وعل</w:t>
      </w:r>
      <w:r w:rsidR="008B32BA" w:rsidRPr="006571AC">
        <w:rPr>
          <w:rFonts w:hint="cs"/>
          <w:sz w:val="27"/>
          <w:rtl/>
        </w:rPr>
        <w:t>ّ</w:t>
      </w:r>
      <w:r w:rsidRPr="006571AC">
        <w:rPr>
          <w:rFonts w:hint="cs"/>
          <w:sz w:val="27"/>
          <w:rtl/>
        </w:rPr>
        <w:t>ة من وراء تشريعها</w:t>
      </w:r>
      <w:r w:rsidR="008B32BA" w:rsidRPr="006571AC">
        <w:rPr>
          <w:rFonts w:hint="cs"/>
          <w:sz w:val="27"/>
          <w:rtl/>
        </w:rPr>
        <w:t>،</w:t>
      </w:r>
      <w:r w:rsidRPr="006571AC">
        <w:rPr>
          <w:rFonts w:hint="cs"/>
          <w:sz w:val="27"/>
          <w:rtl/>
        </w:rPr>
        <w:t xml:space="preserve"> باعتبار أفعال</w:t>
      </w:r>
      <w:r w:rsidRPr="006571AC">
        <w:rPr>
          <w:sz w:val="27"/>
          <w:rtl/>
        </w:rPr>
        <w:t xml:space="preserve"> </w:t>
      </w:r>
      <w:r w:rsidR="0097633B" w:rsidRPr="006571AC">
        <w:rPr>
          <w:rFonts w:hint="cs"/>
          <w:sz w:val="27"/>
          <w:rtl/>
        </w:rPr>
        <w:t>الل</w:t>
      </w:r>
      <w:r w:rsidRPr="006571AC">
        <w:rPr>
          <w:rFonts w:hint="cs"/>
          <w:sz w:val="27"/>
          <w:rtl/>
        </w:rPr>
        <w:t>ه</w:t>
      </w:r>
      <w:r w:rsidRPr="006571AC">
        <w:rPr>
          <w:sz w:val="27"/>
          <w:rtl/>
        </w:rPr>
        <w:t xml:space="preserve"> </w:t>
      </w:r>
      <w:r w:rsidRPr="006571AC">
        <w:rPr>
          <w:rFonts w:hint="cs"/>
          <w:sz w:val="27"/>
          <w:rtl/>
        </w:rPr>
        <w:t>معلّلة</w:t>
      </w:r>
      <w:r w:rsidRPr="006571AC">
        <w:rPr>
          <w:sz w:val="27"/>
          <w:rtl/>
        </w:rPr>
        <w:t xml:space="preserve"> </w:t>
      </w:r>
      <w:r w:rsidRPr="006571AC">
        <w:rPr>
          <w:rFonts w:hint="cs"/>
          <w:sz w:val="27"/>
          <w:rtl/>
        </w:rPr>
        <w:t>بالأغراض</w:t>
      </w:r>
      <w:r w:rsidRPr="006571AC">
        <w:rPr>
          <w:sz w:val="27"/>
          <w:rtl/>
        </w:rPr>
        <w:t xml:space="preserve"> </w:t>
      </w:r>
      <w:r w:rsidRPr="006571AC">
        <w:rPr>
          <w:rFonts w:hint="cs"/>
          <w:sz w:val="27"/>
          <w:rtl/>
        </w:rPr>
        <w:t>والأهداف، وهذه الملاكات تكون ب</w:t>
      </w:r>
      <w:r w:rsidR="00EA38F1" w:rsidRPr="006571AC">
        <w:rPr>
          <w:rFonts w:hint="cs"/>
          <w:sz w:val="27"/>
          <w:rtl/>
        </w:rPr>
        <w:t>دَوْر</w:t>
      </w:r>
      <w:r w:rsidRPr="006571AC">
        <w:rPr>
          <w:rFonts w:hint="cs"/>
          <w:sz w:val="27"/>
          <w:rtl/>
        </w:rPr>
        <w:t>ها خاضعة للمصالح والمفاسد الواقعية</w:t>
      </w:r>
      <w:r w:rsidR="008B32BA" w:rsidRPr="006571AC">
        <w:rPr>
          <w:rFonts w:hint="cs"/>
          <w:sz w:val="27"/>
          <w:rtl/>
        </w:rPr>
        <w:t>،</w:t>
      </w:r>
      <w:r w:rsidRPr="006571AC">
        <w:rPr>
          <w:rFonts w:hint="cs"/>
          <w:sz w:val="27"/>
          <w:rtl/>
        </w:rPr>
        <w:t xml:space="preserve"> </w:t>
      </w:r>
      <w:r w:rsidR="008B32BA" w:rsidRPr="006571AC">
        <w:rPr>
          <w:rFonts w:hint="cs"/>
          <w:sz w:val="27"/>
          <w:rtl/>
        </w:rPr>
        <w:t xml:space="preserve">التي </w:t>
      </w:r>
      <w:r w:rsidRPr="006571AC">
        <w:rPr>
          <w:rFonts w:hint="cs"/>
          <w:sz w:val="27"/>
          <w:rtl/>
        </w:rPr>
        <w:t>تعود على الفرد والمجتمع دنيوي</w:t>
      </w:r>
      <w:r w:rsidR="008B32BA" w:rsidRPr="006571AC">
        <w:rPr>
          <w:rFonts w:hint="cs"/>
          <w:sz w:val="27"/>
          <w:rtl/>
        </w:rPr>
        <w:t>ّ</w:t>
      </w:r>
      <w:r w:rsidRPr="006571AC">
        <w:rPr>
          <w:rFonts w:hint="cs"/>
          <w:sz w:val="27"/>
          <w:rtl/>
        </w:rPr>
        <w:t>ا</w:t>
      </w:r>
      <w:r w:rsidR="008B32BA" w:rsidRPr="006571AC">
        <w:rPr>
          <w:rFonts w:hint="cs"/>
          <w:sz w:val="27"/>
          <w:rtl/>
        </w:rPr>
        <w:t>ً</w:t>
      </w:r>
      <w:r w:rsidRPr="006571AC">
        <w:rPr>
          <w:rFonts w:hint="cs"/>
          <w:sz w:val="27"/>
          <w:rtl/>
        </w:rPr>
        <w:t xml:space="preserve"> وأخروي</w:t>
      </w:r>
      <w:r w:rsidR="008B32BA" w:rsidRPr="006571AC">
        <w:rPr>
          <w:rFonts w:hint="cs"/>
          <w:sz w:val="27"/>
          <w:rtl/>
        </w:rPr>
        <w:t>ّ</w:t>
      </w:r>
      <w:r w:rsidRPr="006571AC">
        <w:rPr>
          <w:rFonts w:hint="cs"/>
          <w:sz w:val="27"/>
          <w:rtl/>
        </w:rPr>
        <w:t>ا</w:t>
      </w:r>
      <w:r w:rsidR="008B32BA" w:rsidRPr="006571AC">
        <w:rPr>
          <w:rFonts w:hint="cs"/>
          <w:sz w:val="27"/>
          <w:rtl/>
        </w:rPr>
        <w:t>ً.</w:t>
      </w:r>
      <w:r w:rsidRPr="006571AC">
        <w:rPr>
          <w:rFonts w:hint="cs"/>
          <w:sz w:val="27"/>
          <w:rtl/>
        </w:rPr>
        <w:t xml:space="preserve"> وبناء</w:t>
      </w:r>
      <w:r w:rsidR="008B32BA" w:rsidRPr="006571AC">
        <w:rPr>
          <w:rFonts w:hint="cs"/>
          <w:sz w:val="27"/>
          <w:rtl/>
        </w:rPr>
        <w:t>ً</w:t>
      </w:r>
      <w:r w:rsidRPr="006571AC">
        <w:rPr>
          <w:rFonts w:hint="cs"/>
          <w:sz w:val="27"/>
          <w:rtl/>
        </w:rPr>
        <w:t xml:space="preserve"> عليه فإنه من المهم</w:t>
      </w:r>
      <w:r w:rsidR="008B32BA" w:rsidRPr="006571AC">
        <w:rPr>
          <w:rFonts w:hint="cs"/>
          <w:sz w:val="27"/>
          <w:rtl/>
        </w:rPr>
        <w:t>ّ</w:t>
      </w:r>
      <w:r w:rsidRPr="006571AC">
        <w:rPr>
          <w:rFonts w:hint="cs"/>
          <w:sz w:val="27"/>
          <w:rtl/>
        </w:rPr>
        <w:t xml:space="preserve"> الحديث عن فلسفة تشريع المهر</w:t>
      </w:r>
      <w:r w:rsidR="008B32BA" w:rsidRPr="006571AC">
        <w:rPr>
          <w:rFonts w:hint="cs"/>
          <w:sz w:val="27"/>
          <w:rtl/>
        </w:rPr>
        <w:t>،</w:t>
      </w:r>
      <w:r w:rsidRPr="006571AC">
        <w:rPr>
          <w:rFonts w:hint="cs"/>
          <w:sz w:val="27"/>
          <w:rtl/>
        </w:rPr>
        <w:t xml:space="preserve"> وغايته</w:t>
      </w:r>
      <w:r w:rsidR="008B32BA" w:rsidRPr="006571AC">
        <w:rPr>
          <w:rFonts w:hint="cs"/>
          <w:sz w:val="27"/>
          <w:rtl/>
        </w:rPr>
        <w:t>،</w:t>
      </w:r>
      <w:r w:rsidRPr="006571AC">
        <w:rPr>
          <w:rFonts w:hint="cs"/>
          <w:sz w:val="27"/>
          <w:rtl/>
        </w:rPr>
        <w:t xml:space="preserve"> والحكمة منه</w:t>
      </w:r>
      <w:r w:rsidR="008B32BA" w:rsidRPr="006571AC">
        <w:rPr>
          <w:rFonts w:hint="cs"/>
          <w:sz w:val="27"/>
          <w:rtl/>
        </w:rPr>
        <w:t xml:space="preserve">، </w:t>
      </w:r>
      <w:r w:rsidRPr="006571AC">
        <w:rPr>
          <w:rFonts w:hint="cs"/>
          <w:sz w:val="27"/>
          <w:rtl/>
        </w:rPr>
        <w:t>وعل</w:t>
      </w:r>
      <w:r w:rsidR="008B32BA" w:rsidRPr="006571AC">
        <w:rPr>
          <w:rFonts w:hint="cs"/>
          <w:sz w:val="27"/>
          <w:rtl/>
        </w:rPr>
        <w:t>ّ</w:t>
      </w:r>
      <w:r w:rsidRPr="006571AC">
        <w:rPr>
          <w:rFonts w:hint="cs"/>
          <w:sz w:val="27"/>
          <w:rtl/>
        </w:rPr>
        <w:t>ته</w:t>
      </w:r>
      <w:r w:rsidR="008B32BA" w:rsidRPr="006571AC">
        <w:rPr>
          <w:rFonts w:hint="cs"/>
          <w:sz w:val="27"/>
          <w:rtl/>
        </w:rPr>
        <w:t>.</w:t>
      </w:r>
      <w:r w:rsidRPr="006571AC">
        <w:rPr>
          <w:rFonts w:hint="cs"/>
          <w:sz w:val="27"/>
          <w:rtl/>
        </w:rPr>
        <w:t xml:space="preserve"> وقبل الخ</w:t>
      </w:r>
      <w:r w:rsidR="006340E8" w:rsidRPr="006571AC">
        <w:rPr>
          <w:rFonts w:hint="cs"/>
          <w:sz w:val="27"/>
          <w:rtl/>
        </w:rPr>
        <w:t>َ</w:t>
      </w:r>
      <w:r w:rsidRPr="006571AC">
        <w:rPr>
          <w:rFonts w:hint="cs"/>
          <w:sz w:val="27"/>
          <w:rtl/>
        </w:rPr>
        <w:t>و</w:t>
      </w:r>
      <w:r w:rsidR="006340E8" w:rsidRPr="006571AC">
        <w:rPr>
          <w:rFonts w:hint="cs"/>
          <w:sz w:val="27"/>
          <w:rtl/>
        </w:rPr>
        <w:t>ْ</w:t>
      </w:r>
      <w:r w:rsidRPr="006571AC">
        <w:rPr>
          <w:rFonts w:hint="cs"/>
          <w:sz w:val="27"/>
          <w:rtl/>
        </w:rPr>
        <w:t>ض به لا</w:t>
      </w:r>
      <w:r w:rsidR="008B32BA" w:rsidRPr="006571AC">
        <w:rPr>
          <w:rFonts w:hint="cs"/>
          <w:sz w:val="27"/>
          <w:rtl/>
        </w:rPr>
        <w:t xml:space="preserve"> </w:t>
      </w:r>
      <w:r w:rsidRPr="006571AC">
        <w:rPr>
          <w:rFonts w:hint="cs"/>
          <w:sz w:val="27"/>
          <w:rtl/>
        </w:rPr>
        <w:t>بأس بتوضيح معنى الاستعمال الاصطلاحي لمفردات المطلب</w:t>
      </w:r>
      <w:r w:rsidR="008B32BA" w:rsidRPr="006571AC">
        <w:rPr>
          <w:rFonts w:hint="cs"/>
          <w:sz w:val="27"/>
          <w:rtl/>
        </w:rPr>
        <w:t>،</w:t>
      </w:r>
      <w:r w:rsidRPr="006571AC">
        <w:rPr>
          <w:rFonts w:hint="cs"/>
          <w:sz w:val="27"/>
          <w:rtl/>
        </w:rPr>
        <w:t xml:space="preserve"> كاصطلاح </w:t>
      </w:r>
      <w:r w:rsidR="008B32BA" w:rsidRPr="006571AC">
        <w:rPr>
          <w:rFonts w:hint="cs"/>
          <w:sz w:val="27"/>
          <w:rtl/>
        </w:rPr>
        <w:t>(</w:t>
      </w:r>
      <w:r w:rsidRPr="006571AC">
        <w:rPr>
          <w:rFonts w:hint="cs"/>
          <w:sz w:val="27"/>
          <w:rtl/>
        </w:rPr>
        <w:t>فلسفة الحكم</w:t>
      </w:r>
      <w:r w:rsidR="008B32BA" w:rsidRPr="006571AC">
        <w:rPr>
          <w:rFonts w:hint="cs"/>
          <w:sz w:val="27"/>
          <w:rtl/>
        </w:rPr>
        <w:t>)</w:t>
      </w:r>
      <w:r w:rsidRPr="006571AC">
        <w:rPr>
          <w:rFonts w:hint="cs"/>
          <w:sz w:val="27"/>
          <w:rtl/>
        </w:rPr>
        <w:t xml:space="preserve">، </w:t>
      </w:r>
      <w:r w:rsidR="008B32BA" w:rsidRPr="006571AC">
        <w:rPr>
          <w:rFonts w:hint="cs"/>
          <w:sz w:val="27"/>
          <w:rtl/>
        </w:rPr>
        <w:t>(</w:t>
      </w:r>
      <w:r w:rsidRPr="006571AC">
        <w:rPr>
          <w:rFonts w:hint="cs"/>
          <w:sz w:val="27"/>
          <w:rtl/>
        </w:rPr>
        <w:t>مقصد الشريعة</w:t>
      </w:r>
      <w:r w:rsidR="008B32BA" w:rsidRPr="006571AC">
        <w:rPr>
          <w:rFonts w:hint="cs"/>
          <w:sz w:val="27"/>
          <w:rtl/>
        </w:rPr>
        <w:t>)</w:t>
      </w:r>
      <w:r w:rsidRPr="006571AC">
        <w:rPr>
          <w:rFonts w:hint="cs"/>
          <w:sz w:val="27"/>
          <w:rtl/>
        </w:rPr>
        <w:t xml:space="preserve">، </w:t>
      </w:r>
      <w:r w:rsidR="008B32BA" w:rsidRPr="006571AC">
        <w:rPr>
          <w:rFonts w:hint="cs"/>
          <w:sz w:val="27"/>
          <w:rtl/>
        </w:rPr>
        <w:t>(</w:t>
      </w:r>
      <w:r w:rsidRPr="006571AC">
        <w:rPr>
          <w:rFonts w:hint="cs"/>
          <w:sz w:val="27"/>
          <w:rtl/>
        </w:rPr>
        <w:t>الحكمة</w:t>
      </w:r>
      <w:r w:rsidR="008B32BA" w:rsidRPr="006571AC">
        <w:rPr>
          <w:rFonts w:hint="cs"/>
          <w:sz w:val="27"/>
          <w:rtl/>
        </w:rPr>
        <w:t>)</w:t>
      </w:r>
      <w:r w:rsidRPr="006571AC">
        <w:rPr>
          <w:rFonts w:hint="cs"/>
          <w:sz w:val="27"/>
          <w:rtl/>
        </w:rPr>
        <w:t xml:space="preserve">، </w:t>
      </w:r>
      <w:r w:rsidR="008B32BA" w:rsidRPr="006571AC">
        <w:rPr>
          <w:rFonts w:hint="cs"/>
          <w:sz w:val="27"/>
          <w:rtl/>
        </w:rPr>
        <w:t>(</w:t>
      </w:r>
      <w:r w:rsidRPr="006571AC">
        <w:rPr>
          <w:rFonts w:hint="cs"/>
          <w:sz w:val="27"/>
          <w:rtl/>
        </w:rPr>
        <w:t>العل</w:t>
      </w:r>
      <w:r w:rsidR="009B1065" w:rsidRPr="006571AC">
        <w:rPr>
          <w:rFonts w:hint="cs"/>
          <w:sz w:val="27"/>
          <w:rtl/>
        </w:rPr>
        <w:t>ّ</w:t>
      </w:r>
      <w:r w:rsidRPr="006571AC">
        <w:rPr>
          <w:rFonts w:hint="cs"/>
          <w:sz w:val="27"/>
          <w:rtl/>
        </w:rPr>
        <w:t>ة</w:t>
      </w:r>
      <w:r w:rsidR="008B32BA" w:rsidRPr="006571AC">
        <w:rPr>
          <w:rFonts w:hint="cs"/>
          <w:sz w:val="27"/>
          <w:rtl/>
        </w:rPr>
        <w:t>)</w:t>
      </w:r>
      <w:r w:rsidRPr="006571AC">
        <w:rPr>
          <w:rFonts w:hint="cs"/>
          <w:sz w:val="27"/>
          <w:rtl/>
        </w:rPr>
        <w:t xml:space="preserve">، على ما ذهب </w:t>
      </w:r>
      <w:r w:rsidR="00644CE6" w:rsidRPr="006571AC">
        <w:rPr>
          <w:rFonts w:hint="cs"/>
          <w:sz w:val="27"/>
          <w:rtl/>
        </w:rPr>
        <w:t>إ</w:t>
      </w:r>
      <w:r w:rsidRPr="006571AC">
        <w:rPr>
          <w:rFonts w:hint="cs"/>
          <w:sz w:val="27"/>
          <w:rtl/>
        </w:rPr>
        <w:t>ليه الفقهاء في استعمالاتهم</w:t>
      </w:r>
      <w:r w:rsidR="008B32BA" w:rsidRPr="006571AC">
        <w:rPr>
          <w:rFonts w:hint="cs"/>
          <w:sz w:val="27"/>
          <w:rtl/>
        </w:rPr>
        <w:t>،</w:t>
      </w:r>
      <w:r w:rsidRPr="006571AC">
        <w:rPr>
          <w:rFonts w:hint="cs"/>
          <w:sz w:val="27"/>
          <w:rtl/>
        </w:rPr>
        <w:t xml:space="preserve"> بما يلي: </w:t>
      </w:r>
    </w:p>
    <w:p w:rsidR="00237EB1" w:rsidRPr="006571AC" w:rsidRDefault="00237EB1" w:rsidP="009B1065">
      <w:pPr>
        <w:pStyle w:val="31"/>
        <w:rPr>
          <w:color w:val="auto"/>
          <w:sz w:val="26"/>
          <w:rtl/>
        </w:rPr>
      </w:pPr>
      <w:bookmarkStart w:id="203" w:name="_Toc79281900"/>
      <w:bookmarkStart w:id="204" w:name="_Toc114164678"/>
      <w:r w:rsidRPr="006571AC">
        <w:rPr>
          <w:rStyle w:val="1Char"/>
          <w:rFonts w:cs="Abz-3 (Yagut)" w:hint="cs"/>
          <w:b w:val="0"/>
          <w:color w:val="auto"/>
          <w:sz w:val="26"/>
          <w:szCs w:val="26"/>
          <w:rtl/>
        </w:rPr>
        <w:lastRenderedPageBreak/>
        <w:t>فلسفة الحكم</w:t>
      </w:r>
      <w:bookmarkEnd w:id="203"/>
      <w:bookmarkEnd w:id="204"/>
      <w:r w:rsidRPr="006571AC">
        <w:rPr>
          <w:rStyle w:val="1Char"/>
          <w:rFonts w:cs="Abz-3 (Yagut)" w:hint="cs"/>
          <w:b w:val="0"/>
          <w:color w:val="auto"/>
          <w:sz w:val="26"/>
          <w:szCs w:val="26"/>
          <w:rtl/>
        </w:rPr>
        <w:t xml:space="preserve"> </w:t>
      </w:r>
    </w:p>
    <w:p w:rsidR="00237EB1" w:rsidRPr="006571AC" w:rsidRDefault="00237EB1" w:rsidP="00291BAF">
      <w:pPr>
        <w:spacing w:line="420" w:lineRule="exact"/>
        <w:rPr>
          <w:sz w:val="27"/>
          <w:rtl/>
        </w:rPr>
      </w:pPr>
      <w:r w:rsidRPr="006571AC">
        <w:rPr>
          <w:rFonts w:hint="cs"/>
          <w:sz w:val="27"/>
          <w:rtl/>
        </w:rPr>
        <w:t>تعني</w:t>
      </w:r>
      <w:r w:rsidRPr="006571AC">
        <w:rPr>
          <w:sz w:val="27"/>
          <w:rtl/>
        </w:rPr>
        <w:t xml:space="preserve"> </w:t>
      </w:r>
      <w:r w:rsidRPr="006571AC">
        <w:rPr>
          <w:rFonts w:hint="cs"/>
          <w:sz w:val="27"/>
          <w:rtl/>
        </w:rPr>
        <w:t>لفظة</w:t>
      </w:r>
      <w:r w:rsidRPr="006571AC">
        <w:rPr>
          <w:sz w:val="27"/>
          <w:rtl/>
        </w:rPr>
        <w:t xml:space="preserve"> </w:t>
      </w:r>
      <w:r w:rsidRPr="006571AC">
        <w:rPr>
          <w:sz w:val="24"/>
          <w:szCs w:val="24"/>
          <w:rtl/>
        </w:rPr>
        <w:t>«</w:t>
      </w:r>
      <w:r w:rsidRPr="006571AC">
        <w:rPr>
          <w:rFonts w:hint="cs"/>
          <w:sz w:val="27"/>
          <w:rtl/>
        </w:rPr>
        <w:t>الفلسفة</w:t>
      </w:r>
      <w:r w:rsidRPr="006571AC">
        <w:rPr>
          <w:rFonts w:hint="eastAsia"/>
          <w:sz w:val="24"/>
          <w:szCs w:val="24"/>
          <w:rtl/>
        </w:rPr>
        <w:t>»</w:t>
      </w:r>
      <w:r w:rsidRPr="006571AC">
        <w:rPr>
          <w:sz w:val="27"/>
          <w:rtl/>
        </w:rPr>
        <w:t xml:space="preserve"> </w:t>
      </w:r>
      <w:r w:rsidRPr="006571AC">
        <w:rPr>
          <w:rFonts w:hint="cs"/>
          <w:sz w:val="27"/>
          <w:rtl/>
        </w:rPr>
        <w:t>عندما</w:t>
      </w:r>
      <w:r w:rsidRPr="006571AC">
        <w:rPr>
          <w:sz w:val="27"/>
          <w:rtl/>
        </w:rPr>
        <w:t xml:space="preserve"> </w:t>
      </w:r>
      <w:r w:rsidRPr="006571AC">
        <w:rPr>
          <w:rFonts w:hint="cs"/>
          <w:sz w:val="27"/>
          <w:rtl/>
        </w:rPr>
        <w:t>ترد</w:t>
      </w:r>
      <w:r w:rsidRPr="006571AC">
        <w:rPr>
          <w:sz w:val="27"/>
          <w:rtl/>
        </w:rPr>
        <w:t xml:space="preserve"> </w:t>
      </w:r>
      <w:r w:rsidRPr="006571AC">
        <w:rPr>
          <w:rFonts w:hint="cs"/>
          <w:sz w:val="27"/>
          <w:rtl/>
        </w:rPr>
        <w:t>دون</w:t>
      </w:r>
      <w:r w:rsidRPr="006571AC">
        <w:rPr>
          <w:sz w:val="27"/>
          <w:rtl/>
        </w:rPr>
        <w:t xml:space="preserve"> </w:t>
      </w:r>
      <w:r w:rsidRPr="006571AC">
        <w:rPr>
          <w:rFonts w:hint="cs"/>
          <w:sz w:val="27"/>
          <w:rtl/>
        </w:rPr>
        <w:t>إضافة</w:t>
      </w:r>
      <w:r w:rsidR="008B32BA" w:rsidRPr="006571AC">
        <w:rPr>
          <w:rFonts w:hint="cs"/>
          <w:sz w:val="27"/>
          <w:rtl/>
        </w:rPr>
        <w:t>ٍ</w:t>
      </w:r>
      <w:r w:rsidRPr="006571AC">
        <w:rPr>
          <w:sz w:val="27"/>
          <w:rtl/>
        </w:rPr>
        <w:t xml:space="preserve">: </w:t>
      </w:r>
      <w:r w:rsidRPr="006571AC">
        <w:rPr>
          <w:sz w:val="24"/>
          <w:szCs w:val="24"/>
          <w:rtl/>
        </w:rPr>
        <w:t>«</w:t>
      </w:r>
      <w:r w:rsidRPr="006571AC">
        <w:rPr>
          <w:rFonts w:hint="cs"/>
          <w:sz w:val="27"/>
          <w:rtl/>
        </w:rPr>
        <w:t>معرفة</w:t>
      </w:r>
      <w:r w:rsidRPr="006571AC">
        <w:rPr>
          <w:sz w:val="27"/>
          <w:rtl/>
        </w:rPr>
        <w:t xml:space="preserve"> </w:t>
      </w:r>
      <w:r w:rsidRPr="006571AC">
        <w:rPr>
          <w:rFonts w:hint="cs"/>
          <w:sz w:val="27"/>
          <w:rtl/>
        </w:rPr>
        <w:t>الوجود</w:t>
      </w:r>
      <w:r w:rsidRPr="006571AC">
        <w:rPr>
          <w:rFonts w:hint="eastAsia"/>
          <w:sz w:val="24"/>
          <w:szCs w:val="24"/>
          <w:rtl/>
        </w:rPr>
        <w:t>»</w:t>
      </w:r>
      <w:r w:rsidRPr="006571AC">
        <w:rPr>
          <w:sz w:val="27"/>
          <w:rtl/>
        </w:rPr>
        <w:t xml:space="preserve">. </w:t>
      </w:r>
      <w:r w:rsidRPr="006571AC">
        <w:rPr>
          <w:rFonts w:hint="cs"/>
          <w:sz w:val="27"/>
          <w:rtl/>
        </w:rPr>
        <w:t>وإذا</w:t>
      </w:r>
      <w:r w:rsidRPr="006571AC">
        <w:rPr>
          <w:sz w:val="27"/>
          <w:rtl/>
        </w:rPr>
        <w:t xml:space="preserve"> </w:t>
      </w:r>
      <w:r w:rsidRPr="006571AC">
        <w:rPr>
          <w:rFonts w:hint="cs"/>
          <w:sz w:val="27"/>
          <w:rtl/>
        </w:rPr>
        <w:t>أ</w:t>
      </w:r>
      <w:r w:rsidR="00810607" w:rsidRPr="006571AC">
        <w:rPr>
          <w:rFonts w:hint="cs"/>
          <w:sz w:val="27"/>
          <w:rtl/>
        </w:rPr>
        <w:t>ُ</w:t>
      </w:r>
      <w:r w:rsidRPr="006571AC">
        <w:rPr>
          <w:rFonts w:hint="cs"/>
          <w:sz w:val="27"/>
          <w:rtl/>
        </w:rPr>
        <w:t>ضيف</w:t>
      </w:r>
      <w:r w:rsidR="00810607" w:rsidRPr="006571AC">
        <w:rPr>
          <w:rFonts w:hint="cs"/>
          <w:sz w:val="27"/>
          <w:rtl/>
        </w:rPr>
        <w:t>َ</w:t>
      </w:r>
      <w:r w:rsidRPr="006571AC">
        <w:rPr>
          <w:rFonts w:hint="cs"/>
          <w:sz w:val="27"/>
          <w:rtl/>
        </w:rPr>
        <w:t>ت</w:t>
      </w:r>
      <w:r w:rsidR="00810607" w:rsidRPr="006571AC">
        <w:rPr>
          <w:rFonts w:hint="cs"/>
          <w:sz w:val="27"/>
          <w:rtl/>
        </w:rPr>
        <w:t>ْ</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لفظة</w:t>
      </w:r>
      <w:r w:rsidR="00810607" w:rsidRPr="006571AC">
        <w:rPr>
          <w:rFonts w:hint="cs"/>
          <w:sz w:val="27"/>
          <w:rtl/>
        </w:rPr>
        <w:t>ٍ</w:t>
      </w:r>
      <w:r w:rsidRPr="006571AC">
        <w:rPr>
          <w:sz w:val="27"/>
          <w:rtl/>
        </w:rPr>
        <w:t xml:space="preserve"> </w:t>
      </w:r>
      <w:r w:rsidRPr="006571AC">
        <w:rPr>
          <w:rFonts w:hint="cs"/>
          <w:sz w:val="27"/>
          <w:rtl/>
        </w:rPr>
        <w:t>أخرى، كما</w:t>
      </w:r>
      <w:r w:rsidRPr="006571AC">
        <w:rPr>
          <w:sz w:val="27"/>
          <w:rtl/>
        </w:rPr>
        <w:t xml:space="preserve"> </w:t>
      </w:r>
      <w:r w:rsidRPr="006571AC">
        <w:rPr>
          <w:rFonts w:hint="cs"/>
          <w:sz w:val="27"/>
          <w:rtl/>
        </w:rPr>
        <w:t>لو</w:t>
      </w:r>
      <w:r w:rsidRPr="006571AC">
        <w:rPr>
          <w:sz w:val="27"/>
          <w:rtl/>
        </w:rPr>
        <w:t xml:space="preserve"> </w:t>
      </w:r>
      <w:r w:rsidRPr="006571AC">
        <w:rPr>
          <w:rFonts w:hint="cs"/>
          <w:sz w:val="27"/>
          <w:rtl/>
        </w:rPr>
        <w:t>ألحق</w:t>
      </w:r>
      <w:r w:rsidR="00810607" w:rsidRPr="006571AC">
        <w:rPr>
          <w:rFonts w:hint="cs"/>
          <w:sz w:val="27"/>
          <w:rtl/>
        </w:rPr>
        <w:t>َ</w:t>
      </w:r>
      <w:r w:rsidRPr="006571AC">
        <w:rPr>
          <w:rFonts w:hint="cs"/>
          <w:sz w:val="27"/>
          <w:rtl/>
        </w:rPr>
        <w:t>ت</w:t>
      </w:r>
      <w:r w:rsidR="00810607" w:rsidRPr="006571AC">
        <w:rPr>
          <w:rFonts w:hint="cs"/>
          <w:sz w:val="27"/>
          <w:rtl/>
        </w:rPr>
        <w:t>ْ</w:t>
      </w:r>
      <w:r w:rsidRPr="006571AC">
        <w:rPr>
          <w:sz w:val="27"/>
          <w:rtl/>
        </w:rPr>
        <w:t xml:space="preserve"> </w:t>
      </w:r>
      <w:r w:rsidRPr="006571AC">
        <w:rPr>
          <w:rFonts w:hint="cs"/>
          <w:sz w:val="27"/>
          <w:rtl/>
        </w:rPr>
        <w:t>بها</w:t>
      </w:r>
      <w:r w:rsidRPr="006571AC">
        <w:rPr>
          <w:sz w:val="27"/>
          <w:rtl/>
        </w:rPr>
        <w:t xml:space="preserve"> </w:t>
      </w:r>
      <w:r w:rsidRPr="006571AC">
        <w:rPr>
          <w:rFonts w:hint="cs"/>
          <w:sz w:val="27"/>
          <w:rtl/>
        </w:rPr>
        <w:t>كلمة</w:t>
      </w:r>
      <w:r w:rsidR="00810607" w:rsidRPr="006571AC">
        <w:rPr>
          <w:rFonts w:hint="cs"/>
          <w:sz w:val="27"/>
          <w:rtl/>
        </w:rPr>
        <w:t>ٌ</w:t>
      </w:r>
      <w:r w:rsidRPr="006571AC">
        <w:rPr>
          <w:sz w:val="27"/>
          <w:rtl/>
        </w:rPr>
        <w:t xml:space="preserve"> </w:t>
      </w:r>
      <w:r w:rsidRPr="006571AC">
        <w:rPr>
          <w:rFonts w:hint="cs"/>
          <w:sz w:val="27"/>
          <w:rtl/>
        </w:rPr>
        <w:t>أخرى، فإنّها</w:t>
      </w:r>
      <w:r w:rsidRPr="006571AC">
        <w:rPr>
          <w:sz w:val="27"/>
          <w:rtl/>
        </w:rPr>
        <w:t xml:space="preserve"> </w:t>
      </w:r>
      <w:r w:rsidRPr="006571AC">
        <w:rPr>
          <w:rFonts w:hint="cs"/>
          <w:sz w:val="27"/>
          <w:rtl/>
        </w:rPr>
        <w:t>تكتسب</w:t>
      </w:r>
      <w:r w:rsidRPr="006571AC">
        <w:rPr>
          <w:sz w:val="27"/>
          <w:rtl/>
        </w:rPr>
        <w:t xml:space="preserve"> </w:t>
      </w:r>
      <w:r w:rsidRPr="006571AC">
        <w:rPr>
          <w:rFonts w:hint="cs"/>
          <w:sz w:val="27"/>
          <w:rtl/>
        </w:rPr>
        <w:t>معنى</w:t>
      </w:r>
      <w:r w:rsidR="00810607" w:rsidRPr="006571AC">
        <w:rPr>
          <w:rFonts w:hint="cs"/>
          <w:sz w:val="27"/>
          <w:rtl/>
        </w:rPr>
        <w:t>ً</w:t>
      </w:r>
      <w:r w:rsidRPr="006571AC">
        <w:rPr>
          <w:sz w:val="27"/>
          <w:rtl/>
        </w:rPr>
        <w:t xml:space="preserve"> </w:t>
      </w:r>
      <w:r w:rsidRPr="006571AC">
        <w:rPr>
          <w:rFonts w:hint="cs"/>
          <w:sz w:val="27"/>
          <w:rtl/>
        </w:rPr>
        <w:t>آخر</w:t>
      </w:r>
      <w:r w:rsidR="00810607" w:rsidRPr="006571AC">
        <w:rPr>
          <w:rFonts w:hint="cs"/>
          <w:sz w:val="27"/>
          <w:rtl/>
        </w:rPr>
        <w:t>،</w:t>
      </w:r>
      <w:r w:rsidRPr="006571AC">
        <w:rPr>
          <w:sz w:val="27"/>
          <w:rtl/>
        </w:rPr>
        <w:t xml:space="preserve"> </w:t>
      </w:r>
      <w:r w:rsidRPr="006571AC">
        <w:rPr>
          <w:rFonts w:hint="cs"/>
          <w:sz w:val="27"/>
          <w:rtl/>
        </w:rPr>
        <w:t>يتناسب</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يعكسه</w:t>
      </w:r>
      <w:r w:rsidRPr="006571AC">
        <w:rPr>
          <w:sz w:val="27"/>
          <w:rtl/>
        </w:rPr>
        <w:t xml:space="preserve"> </w:t>
      </w:r>
      <w:r w:rsidRPr="006571AC">
        <w:rPr>
          <w:rFonts w:hint="cs"/>
          <w:sz w:val="27"/>
          <w:rtl/>
        </w:rPr>
        <w:t>المركّ</w:t>
      </w:r>
      <w:r w:rsidR="00810607" w:rsidRPr="006571AC">
        <w:rPr>
          <w:rFonts w:hint="cs"/>
          <w:sz w:val="27"/>
          <w:rtl/>
        </w:rPr>
        <w:t>َ</w:t>
      </w:r>
      <w:r w:rsidRPr="006571AC">
        <w:rPr>
          <w:rFonts w:hint="cs"/>
          <w:sz w:val="27"/>
          <w:rtl/>
        </w:rPr>
        <w:t>ب</w:t>
      </w:r>
      <w:r w:rsidRPr="006571AC">
        <w:rPr>
          <w:sz w:val="27"/>
          <w:rtl/>
        </w:rPr>
        <w:t xml:space="preserve"> </w:t>
      </w:r>
      <w:r w:rsidRPr="006571AC">
        <w:rPr>
          <w:rFonts w:hint="cs"/>
          <w:sz w:val="27"/>
          <w:rtl/>
        </w:rPr>
        <w:t>الجديد</w:t>
      </w:r>
      <w:r w:rsidRPr="006571AC">
        <w:rPr>
          <w:sz w:val="27"/>
          <w:vertAlign w:val="superscript"/>
          <w:rtl/>
        </w:rPr>
        <w:t>(</w:t>
      </w:r>
      <w:r w:rsidRPr="006571AC">
        <w:rPr>
          <w:sz w:val="27"/>
          <w:vertAlign w:val="superscript"/>
          <w:rtl/>
        </w:rPr>
        <w:endnoteReference w:id="407"/>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291BAF">
      <w:pPr>
        <w:spacing w:line="420" w:lineRule="exact"/>
        <w:rPr>
          <w:sz w:val="27"/>
          <w:rtl/>
        </w:rPr>
      </w:pPr>
      <w:r w:rsidRPr="006571AC">
        <w:rPr>
          <w:rFonts w:hint="cs"/>
          <w:sz w:val="27"/>
          <w:rtl/>
        </w:rPr>
        <w:t xml:space="preserve"> المراد</w:t>
      </w:r>
      <w:r w:rsidR="00810607" w:rsidRPr="006571AC">
        <w:rPr>
          <w:rFonts w:hint="cs"/>
          <w:sz w:val="27"/>
          <w:rtl/>
        </w:rPr>
        <w:t>ُ</w:t>
      </w:r>
      <w:r w:rsidRPr="006571AC">
        <w:rPr>
          <w:sz w:val="27"/>
          <w:rtl/>
        </w:rPr>
        <w:t xml:space="preserve"> </w:t>
      </w:r>
      <w:r w:rsidRPr="006571AC">
        <w:rPr>
          <w:rFonts w:hint="cs"/>
          <w:sz w:val="27"/>
          <w:rtl/>
        </w:rPr>
        <w:t>من فلسفة</w:t>
      </w:r>
      <w:r w:rsidRPr="006571AC">
        <w:rPr>
          <w:sz w:val="27"/>
          <w:rtl/>
        </w:rPr>
        <w:t xml:space="preserve"> </w:t>
      </w:r>
      <w:r w:rsidRPr="006571AC">
        <w:rPr>
          <w:rFonts w:hint="cs"/>
          <w:sz w:val="27"/>
          <w:rtl/>
        </w:rPr>
        <w:t>الحكم أو الحكمة الهدف</w:t>
      </w:r>
      <w:r w:rsidR="00810607" w:rsidRPr="006571AC">
        <w:rPr>
          <w:rFonts w:hint="cs"/>
          <w:sz w:val="27"/>
          <w:rtl/>
        </w:rPr>
        <w:t>ُ</w:t>
      </w:r>
      <w:r w:rsidRPr="006571AC">
        <w:rPr>
          <w:sz w:val="27"/>
          <w:rtl/>
        </w:rPr>
        <w:t xml:space="preserve"> </w:t>
      </w:r>
      <w:r w:rsidRPr="006571AC">
        <w:rPr>
          <w:rFonts w:hint="cs"/>
          <w:sz w:val="27"/>
          <w:rtl/>
        </w:rPr>
        <w:t>والغرض</w:t>
      </w:r>
      <w:r w:rsidR="00810607"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الحكم</w:t>
      </w:r>
      <w:r w:rsidRPr="006571AC">
        <w:rPr>
          <w:sz w:val="27"/>
          <w:rtl/>
        </w:rPr>
        <w:t xml:space="preserve"> </w:t>
      </w:r>
      <w:r w:rsidRPr="006571AC">
        <w:rPr>
          <w:rFonts w:hint="cs"/>
          <w:sz w:val="27"/>
          <w:rtl/>
        </w:rPr>
        <w:t>الشرعيّ، باعتبار جميع أفعال الله معلّ</w:t>
      </w:r>
      <w:r w:rsidR="00810607" w:rsidRPr="006571AC">
        <w:rPr>
          <w:rFonts w:hint="cs"/>
          <w:sz w:val="27"/>
          <w:rtl/>
        </w:rPr>
        <w:t>َ</w:t>
      </w:r>
      <w:r w:rsidRPr="006571AC">
        <w:rPr>
          <w:rFonts w:hint="cs"/>
          <w:sz w:val="27"/>
          <w:rtl/>
        </w:rPr>
        <w:t>لة</w:t>
      </w:r>
      <w:r w:rsidR="00810607" w:rsidRPr="006571AC">
        <w:rPr>
          <w:rFonts w:hint="cs"/>
          <w:sz w:val="27"/>
          <w:rtl/>
        </w:rPr>
        <w:t>ً</w:t>
      </w:r>
      <w:r w:rsidRPr="006571AC">
        <w:rPr>
          <w:sz w:val="27"/>
          <w:rtl/>
        </w:rPr>
        <w:t xml:space="preserve"> </w:t>
      </w:r>
      <w:r w:rsidRPr="006571AC">
        <w:rPr>
          <w:rFonts w:hint="cs"/>
          <w:sz w:val="27"/>
          <w:rtl/>
        </w:rPr>
        <w:t>بالأهداف</w:t>
      </w:r>
      <w:r w:rsidRPr="006571AC">
        <w:rPr>
          <w:sz w:val="27"/>
          <w:rtl/>
        </w:rPr>
        <w:t xml:space="preserve"> </w:t>
      </w:r>
      <w:r w:rsidRPr="006571AC">
        <w:rPr>
          <w:rFonts w:hint="cs"/>
          <w:sz w:val="27"/>
          <w:rtl/>
        </w:rPr>
        <w:t>والأغراض</w:t>
      </w:r>
      <w:r w:rsidR="00810607" w:rsidRPr="006571AC">
        <w:rPr>
          <w:rFonts w:hint="cs"/>
          <w:sz w:val="27"/>
          <w:rtl/>
        </w:rPr>
        <w:t>،</w:t>
      </w:r>
      <w:r w:rsidRPr="006571AC">
        <w:rPr>
          <w:rFonts w:hint="cs"/>
          <w:sz w:val="27"/>
          <w:rtl/>
        </w:rPr>
        <w:t xml:space="preserve"> كما أجمع فقهاء ال</w:t>
      </w:r>
      <w:r w:rsidR="00810607" w:rsidRPr="006571AC">
        <w:rPr>
          <w:rFonts w:hint="cs"/>
          <w:sz w:val="27"/>
          <w:rtl/>
        </w:rPr>
        <w:t>إ</w:t>
      </w:r>
      <w:r w:rsidRPr="006571AC">
        <w:rPr>
          <w:rFonts w:hint="cs"/>
          <w:sz w:val="27"/>
          <w:rtl/>
        </w:rPr>
        <w:t>مامية، والدليل</w:t>
      </w:r>
      <w:r w:rsidR="00810607" w:rsidRPr="006571AC">
        <w:rPr>
          <w:rFonts w:hint="cs"/>
          <w:sz w:val="27"/>
          <w:rtl/>
        </w:rPr>
        <w:t>ُ</w:t>
      </w:r>
      <w:r w:rsidRPr="006571AC">
        <w:rPr>
          <w:rFonts w:hint="cs"/>
          <w:sz w:val="27"/>
          <w:rtl/>
        </w:rPr>
        <w:t xml:space="preserve"> على ذلك</w:t>
      </w:r>
      <w:r w:rsidRPr="006571AC">
        <w:rPr>
          <w:sz w:val="27"/>
          <w:rtl/>
        </w:rPr>
        <w:t xml:space="preserve"> </w:t>
      </w:r>
      <w:r w:rsidRPr="006571AC">
        <w:rPr>
          <w:rFonts w:hint="cs"/>
          <w:sz w:val="27"/>
          <w:rtl/>
        </w:rPr>
        <w:t>وصف</w:t>
      </w:r>
      <w:r w:rsidR="00810607" w:rsidRPr="006571AC">
        <w:rPr>
          <w:rFonts w:hint="cs"/>
          <w:sz w:val="27"/>
          <w:rtl/>
        </w:rPr>
        <w:t>ُ</w:t>
      </w:r>
      <w:r w:rsidRPr="006571AC">
        <w:rPr>
          <w:rFonts w:hint="cs"/>
          <w:sz w:val="27"/>
          <w:rtl/>
        </w:rPr>
        <w:t xml:space="preserve"> الله تعالى</w:t>
      </w:r>
      <w:r w:rsidRPr="006571AC">
        <w:rPr>
          <w:sz w:val="27"/>
          <w:rtl/>
        </w:rPr>
        <w:t xml:space="preserve"> </w:t>
      </w:r>
      <w:r w:rsidRPr="006571AC">
        <w:rPr>
          <w:rFonts w:hint="cs"/>
          <w:sz w:val="27"/>
          <w:rtl/>
        </w:rPr>
        <w:t>نفسه</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آيات</w:t>
      </w:r>
      <w:r w:rsidRPr="006571AC">
        <w:rPr>
          <w:sz w:val="27"/>
          <w:rtl/>
        </w:rPr>
        <w:t xml:space="preserve"> </w:t>
      </w:r>
      <w:r w:rsidRPr="006571AC">
        <w:rPr>
          <w:rFonts w:hint="cs"/>
          <w:sz w:val="27"/>
          <w:rtl/>
        </w:rPr>
        <w:t>قرآنية</w:t>
      </w:r>
      <w:r w:rsidRPr="006571AC">
        <w:rPr>
          <w:sz w:val="27"/>
          <w:rtl/>
        </w:rPr>
        <w:t xml:space="preserve"> </w:t>
      </w:r>
      <w:r w:rsidRPr="006571AC">
        <w:rPr>
          <w:rFonts w:hint="cs"/>
          <w:sz w:val="27"/>
          <w:rtl/>
        </w:rPr>
        <w:t>كثيرة</w:t>
      </w:r>
      <w:r w:rsidRPr="006571AC">
        <w:rPr>
          <w:sz w:val="27"/>
          <w:rtl/>
        </w:rPr>
        <w:t xml:space="preserve"> </w:t>
      </w:r>
      <w:r w:rsidRPr="006571AC">
        <w:rPr>
          <w:rFonts w:hint="cs"/>
          <w:sz w:val="27"/>
          <w:rtl/>
        </w:rPr>
        <w:t>أنّه</w:t>
      </w:r>
      <w:r w:rsidRPr="006571AC">
        <w:rPr>
          <w:sz w:val="27"/>
          <w:rtl/>
        </w:rPr>
        <w:t xml:space="preserve"> </w:t>
      </w:r>
      <w:r w:rsidRPr="006571AC">
        <w:rPr>
          <w:sz w:val="24"/>
          <w:szCs w:val="24"/>
          <w:rtl/>
        </w:rPr>
        <w:t>«</w:t>
      </w:r>
      <w:r w:rsidRPr="006571AC">
        <w:rPr>
          <w:rFonts w:hint="cs"/>
          <w:sz w:val="27"/>
          <w:rtl/>
        </w:rPr>
        <w:t>حكيم</w:t>
      </w:r>
      <w:r w:rsidR="00810607" w:rsidRPr="006571AC">
        <w:rPr>
          <w:rFonts w:hint="cs"/>
          <w:sz w:val="27"/>
          <w:rtl/>
        </w:rPr>
        <w:t>ٌ</w:t>
      </w:r>
      <w:r w:rsidRPr="006571AC">
        <w:rPr>
          <w:rFonts w:hint="eastAsia"/>
          <w:sz w:val="24"/>
          <w:szCs w:val="24"/>
          <w:rtl/>
        </w:rPr>
        <w:t>»</w:t>
      </w:r>
      <w:r w:rsidR="00810607" w:rsidRPr="006571AC">
        <w:rPr>
          <w:rFonts w:hint="cs"/>
          <w:sz w:val="27"/>
          <w:rtl/>
        </w:rPr>
        <w:t>،</w:t>
      </w:r>
      <w:r w:rsidRPr="006571AC">
        <w:rPr>
          <w:sz w:val="27"/>
          <w:rtl/>
        </w:rPr>
        <w:t xml:space="preserve"> </w:t>
      </w:r>
      <w:r w:rsidRPr="006571AC">
        <w:rPr>
          <w:rFonts w:hint="cs"/>
          <w:sz w:val="27"/>
          <w:rtl/>
        </w:rPr>
        <w:t>وأنّ</w:t>
      </w:r>
      <w:r w:rsidRPr="006571AC">
        <w:rPr>
          <w:sz w:val="27"/>
          <w:rtl/>
        </w:rPr>
        <w:t xml:space="preserve"> </w:t>
      </w:r>
      <w:r w:rsidRPr="006571AC">
        <w:rPr>
          <w:rFonts w:hint="cs"/>
          <w:sz w:val="27"/>
          <w:rtl/>
        </w:rPr>
        <w:t>جميع</w:t>
      </w:r>
      <w:r w:rsidRPr="006571AC">
        <w:rPr>
          <w:sz w:val="27"/>
          <w:rtl/>
        </w:rPr>
        <w:t xml:space="preserve"> </w:t>
      </w:r>
      <w:r w:rsidRPr="006571AC">
        <w:rPr>
          <w:rFonts w:hint="cs"/>
          <w:sz w:val="27"/>
          <w:rtl/>
        </w:rPr>
        <w:t>أفعال</w:t>
      </w:r>
      <w:r w:rsidRPr="006571AC">
        <w:rPr>
          <w:sz w:val="27"/>
          <w:rtl/>
        </w:rPr>
        <w:t xml:space="preserve"> </w:t>
      </w:r>
      <w:r w:rsidR="0097633B" w:rsidRPr="006571AC">
        <w:rPr>
          <w:rFonts w:hint="cs"/>
          <w:sz w:val="27"/>
          <w:rtl/>
        </w:rPr>
        <w:t>الل</w:t>
      </w:r>
      <w:r w:rsidRPr="006571AC">
        <w:rPr>
          <w:rFonts w:hint="cs"/>
          <w:sz w:val="27"/>
          <w:rtl/>
        </w:rPr>
        <w:t>ه</w:t>
      </w:r>
      <w:r w:rsidRPr="006571AC">
        <w:rPr>
          <w:sz w:val="27"/>
          <w:rtl/>
        </w:rPr>
        <w:t xml:space="preserve"> </w:t>
      </w:r>
      <w:r w:rsidRPr="006571AC">
        <w:rPr>
          <w:rFonts w:hint="cs"/>
          <w:sz w:val="27"/>
          <w:rtl/>
        </w:rPr>
        <w:t>حكيمة</w:t>
      </w:r>
      <w:r w:rsidR="00810607" w:rsidRPr="006571AC">
        <w:rPr>
          <w:rFonts w:hint="cs"/>
          <w:sz w:val="27"/>
          <w:rtl/>
        </w:rPr>
        <w:t>ٌ</w:t>
      </w:r>
      <w:r w:rsidRPr="006571AC">
        <w:rPr>
          <w:sz w:val="27"/>
          <w:rtl/>
        </w:rPr>
        <w:t xml:space="preserve"> </w:t>
      </w:r>
      <w:r w:rsidRPr="006571AC">
        <w:rPr>
          <w:rFonts w:hint="cs"/>
          <w:sz w:val="27"/>
          <w:rtl/>
        </w:rPr>
        <w:t>وبعيدة</w:t>
      </w:r>
      <w:r w:rsidR="00810607" w:rsidRPr="006571AC">
        <w:rPr>
          <w:rFonts w:hint="cs"/>
          <w:sz w:val="27"/>
          <w:rtl/>
        </w:rPr>
        <w:t>ٌ</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الل</w:t>
      </w:r>
      <w:r w:rsidR="00810607" w:rsidRPr="006571AC">
        <w:rPr>
          <w:rFonts w:hint="cs"/>
          <w:sz w:val="27"/>
          <w:rtl/>
        </w:rPr>
        <w:t>َّ</w:t>
      </w:r>
      <w:r w:rsidRPr="006571AC">
        <w:rPr>
          <w:rFonts w:hint="cs"/>
          <w:sz w:val="27"/>
          <w:rtl/>
        </w:rPr>
        <w:t>غ</w:t>
      </w:r>
      <w:r w:rsidR="00810607" w:rsidRPr="006571AC">
        <w:rPr>
          <w:rFonts w:hint="cs"/>
          <w:sz w:val="27"/>
          <w:rtl/>
        </w:rPr>
        <w:t>ْ</w:t>
      </w:r>
      <w:r w:rsidRPr="006571AC">
        <w:rPr>
          <w:rFonts w:hint="cs"/>
          <w:sz w:val="27"/>
          <w:rtl/>
        </w:rPr>
        <w:t>و</w:t>
      </w:r>
      <w:r w:rsidRPr="006571AC">
        <w:rPr>
          <w:sz w:val="27"/>
          <w:rtl/>
        </w:rPr>
        <w:t xml:space="preserve"> </w:t>
      </w:r>
      <w:r w:rsidRPr="006571AC">
        <w:rPr>
          <w:rFonts w:hint="cs"/>
          <w:sz w:val="27"/>
          <w:rtl/>
        </w:rPr>
        <w:t>والع</w:t>
      </w:r>
      <w:r w:rsidR="00810607" w:rsidRPr="006571AC">
        <w:rPr>
          <w:rFonts w:hint="cs"/>
          <w:sz w:val="27"/>
          <w:rtl/>
        </w:rPr>
        <w:t>َ</w:t>
      </w:r>
      <w:r w:rsidRPr="006571AC">
        <w:rPr>
          <w:rFonts w:hint="cs"/>
          <w:sz w:val="27"/>
          <w:rtl/>
        </w:rPr>
        <w:t>ب</w:t>
      </w:r>
      <w:r w:rsidR="00810607" w:rsidRPr="006571AC">
        <w:rPr>
          <w:rFonts w:hint="cs"/>
          <w:sz w:val="27"/>
          <w:rtl/>
        </w:rPr>
        <w:t>َ</w:t>
      </w:r>
      <w:r w:rsidRPr="006571AC">
        <w:rPr>
          <w:rFonts w:hint="cs"/>
          <w:sz w:val="27"/>
          <w:rtl/>
        </w:rPr>
        <w:t>ث</w:t>
      </w:r>
      <w:r w:rsidR="00810607" w:rsidRPr="006571AC">
        <w:rPr>
          <w:rFonts w:hint="cs"/>
          <w:sz w:val="27"/>
          <w:rtl/>
        </w:rPr>
        <w:t>،</w:t>
      </w:r>
      <w:r w:rsidRPr="006571AC">
        <w:rPr>
          <w:sz w:val="27"/>
          <w:rtl/>
        </w:rPr>
        <w:t xml:space="preserve"> </w:t>
      </w:r>
      <w:r w:rsidRPr="006571AC">
        <w:rPr>
          <w:rFonts w:hint="cs"/>
          <w:sz w:val="27"/>
          <w:rtl/>
        </w:rPr>
        <w:t xml:space="preserve">كما في قوله تعالى: </w:t>
      </w:r>
      <w:r w:rsidRPr="006571AC">
        <w:rPr>
          <w:rFonts w:ascii="Mosawi" w:hAnsi="Mosawi" w:cs="Mosawi"/>
          <w:sz w:val="24"/>
          <w:szCs w:val="24"/>
          <w:rtl/>
        </w:rPr>
        <w:t>﴿</w:t>
      </w:r>
      <w:r w:rsidRPr="006571AC">
        <w:rPr>
          <w:rFonts w:hint="cs"/>
          <w:b/>
          <w:bCs/>
          <w:sz w:val="27"/>
          <w:rtl/>
        </w:rPr>
        <w:t>أَفَحَسِبْتُمْ</w:t>
      </w:r>
      <w:r w:rsidRPr="006571AC">
        <w:rPr>
          <w:b/>
          <w:bCs/>
          <w:sz w:val="27"/>
          <w:rtl/>
        </w:rPr>
        <w:t xml:space="preserve"> </w:t>
      </w:r>
      <w:r w:rsidR="00810607" w:rsidRPr="006571AC">
        <w:rPr>
          <w:rFonts w:hint="cs"/>
          <w:b/>
          <w:bCs/>
          <w:sz w:val="27"/>
          <w:rtl/>
        </w:rPr>
        <w:t>أَ</w:t>
      </w:r>
      <w:r w:rsidRPr="006571AC">
        <w:rPr>
          <w:rFonts w:hint="cs"/>
          <w:b/>
          <w:bCs/>
          <w:sz w:val="27"/>
          <w:rtl/>
        </w:rPr>
        <w:t>نَّم</w:t>
      </w:r>
      <w:r w:rsidR="00810607" w:rsidRPr="006571AC">
        <w:rPr>
          <w:rFonts w:hint="cs"/>
          <w:b/>
          <w:bCs/>
          <w:sz w:val="27"/>
          <w:rtl/>
        </w:rPr>
        <w:t>َ</w:t>
      </w:r>
      <w:r w:rsidRPr="006571AC">
        <w:rPr>
          <w:rFonts w:hint="cs"/>
          <w:b/>
          <w:bCs/>
          <w:sz w:val="27"/>
          <w:rtl/>
        </w:rPr>
        <w:t>ا</w:t>
      </w:r>
      <w:r w:rsidRPr="006571AC">
        <w:rPr>
          <w:b/>
          <w:bCs/>
          <w:sz w:val="27"/>
          <w:rtl/>
        </w:rPr>
        <w:t xml:space="preserve"> </w:t>
      </w:r>
      <w:r w:rsidRPr="006571AC">
        <w:rPr>
          <w:rFonts w:hint="cs"/>
          <w:b/>
          <w:bCs/>
          <w:sz w:val="27"/>
          <w:rtl/>
        </w:rPr>
        <w:t>خَلَقْن</w:t>
      </w:r>
      <w:r w:rsidR="00810607" w:rsidRPr="006571AC">
        <w:rPr>
          <w:rFonts w:hint="cs"/>
          <w:b/>
          <w:bCs/>
          <w:sz w:val="27"/>
          <w:rtl/>
        </w:rPr>
        <w:t>َ</w:t>
      </w:r>
      <w:r w:rsidRPr="006571AC">
        <w:rPr>
          <w:rFonts w:hint="cs"/>
          <w:b/>
          <w:bCs/>
          <w:sz w:val="27"/>
          <w:rtl/>
        </w:rPr>
        <w:t>اكُمْ</w:t>
      </w:r>
      <w:r w:rsidRPr="006571AC">
        <w:rPr>
          <w:b/>
          <w:bCs/>
          <w:sz w:val="27"/>
          <w:rtl/>
        </w:rPr>
        <w:t xml:space="preserve"> </w:t>
      </w:r>
      <w:r w:rsidRPr="006571AC">
        <w:rPr>
          <w:rFonts w:hint="cs"/>
          <w:b/>
          <w:bCs/>
          <w:sz w:val="27"/>
          <w:rtl/>
        </w:rPr>
        <w:t>عَبَثاً</w:t>
      </w:r>
      <w:r w:rsidRPr="006571AC">
        <w:rPr>
          <w:rFonts w:ascii="Mosawi" w:hAnsi="Mosawi" w:cs="Mosawi"/>
          <w:sz w:val="24"/>
          <w:szCs w:val="24"/>
          <w:rtl/>
        </w:rPr>
        <w:t>﴾ (</w:t>
      </w:r>
      <w:r w:rsidRPr="006571AC">
        <w:rPr>
          <w:rFonts w:hint="cs"/>
          <w:sz w:val="27"/>
          <w:rtl/>
        </w:rPr>
        <w:t xml:space="preserve">المؤمنون: </w:t>
      </w:r>
      <w:r w:rsidRPr="006571AC">
        <w:rPr>
          <w:sz w:val="27"/>
          <w:rtl/>
        </w:rPr>
        <w:t>115</w:t>
      </w:r>
      <w:r w:rsidRPr="006571AC">
        <w:rPr>
          <w:rFonts w:hint="cs"/>
          <w:sz w:val="27"/>
          <w:rtl/>
        </w:rPr>
        <w:t xml:space="preserve">)، وقوله تعالى: </w:t>
      </w:r>
      <w:r w:rsidRPr="006571AC">
        <w:rPr>
          <w:rFonts w:ascii="Mosawi" w:hAnsi="Mosawi" w:cs="Mosawi"/>
          <w:sz w:val="24"/>
          <w:szCs w:val="24"/>
          <w:rtl/>
        </w:rPr>
        <w:t>﴿</w:t>
      </w:r>
      <w:r w:rsidRPr="006571AC">
        <w:rPr>
          <w:rFonts w:hint="cs"/>
          <w:b/>
          <w:bCs/>
          <w:sz w:val="27"/>
          <w:rtl/>
        </w:rPr>
        <w:t>رَبَّن</w:t>
      </w:r>
      <w:r w:rsidR="00810607" w:rsidRPr="006571AC">
        <w:rPr>
          <w:rFonts w:hint="cs"/>
          <w:b/>
          <w:bCs/>
          <w:sz w:val="27"/>
          <w:rtl/>
        </w:rPr>
        <w:t>َ</w:t>
      </w:r>
      <w:r w:rsidRPr="006571AC">
        <w:rPr>
          <w:rFonts w:hint="cs"/>
          <w:b/>
          <w:bCs/>
          <w:sz w:val="27"/>
          <w:rtl/>
        </w:rPr>
        <w:t>ا</w:t>
      </w:r>
      <w:r w:rsidRPr="006571AC">
        <w:rPr>
          <w:b/>
          <w:bCs/>
          <w:sz w:val="27"/>
          <w:rtl/>
        </w:rPr>
        <w:t xml:space="preserve"> </w:t>
      </w:r>
      <w:r w:rsidRPr="006571AC">
        <w:rPr>
          <w:rFonts w:hint="cs"/>
          <w:b/>
          <w:bCs/>
          <w:sz w:val="27"/>
          <w:rtl/>
        </w:rPr>
        <w:t>م</w:t>
      </w:r>
      <w:r w:rsidR="00810607" w:rsidRPr="006571AC">
        <w:rPr>
          <w:rFonts w:hint="cs"/>
          <w:b/>
          <w:bCs/>
          <w:sz w:val="27"/>
          <w:rtl/>
        </w:rPr>
        <w:t>َ</w:t>
      </w:r>
      <w:r w:rsidRPr="006571AC">
        <w:rPr>
          <w:rFonts w:hint="cs"/>
          <w:b/>
          <w:bCs/>
          <w:sz w:val="27"/>
          <w:rtl/>
        </w:rPr>
        <w:t>ا</w:t>
      </w:r>
      <w:r w:rsidRPr="006571AC">
        <w:rPr>
          <w:b/>
          <w:bCs/>
          <w:sz w:val="27"/>
          <w:rtl/>
        </w:rPr>
        <w:t xml:space="preserve"> </w:t>
      </w:r>
      <w:r w:rsidRPr="006571AC">
        <w:rPr>
          <w:rFonts w:hint="cs"/>
          <w:b/>
          <w:bCs/>
          <w:sz w:val="27"/>
          <w:rtl/>
        </w:rPr>
        <w:t>خَلَقْتَ</w:t>
      </w:r>
      <w:r w:rsidRPr="006571AC">
        <w:rPr>
          <w:b/>
          <w:bCs/>
          <w:sz w:val="27"/>
          <w:rtl/>
        </w:rPr>
        <w:t xml:space="preserve"> </w:t>
      </w:r>
      <w:r w:rsidRPr="006571AC">
        <w:rPr>
          <w:rFonts w:hint="cs"/>
          <w:b/>
          <w:bCs/>
          <w:sz w:val="27"/>
          <w:rtl/>
        </w:rPr>
        <w:t>ه</w:t>
      </w:r>
      <w:r w:rsidR="00810607" w:rsidRPr="006571AC">
        <w:rPr>
          <w:rFonts w:hint="cs"/>
          <w:b/>
          <w:bCs/>
          <w:sz w:val="27"/>
          <w:rtl/>
        </w:rPr>
        <w:t>َ</w:t>
      </w:r>
      <w:r w:rsidRPr="006571AC">
        <w:rPr>
          <w:rFonts w:hint="cs"/>
          <w:b/>
          <w:bCs/>
          <w:sz w:val="27"/>
          <w:rtl/>
        </w:rPr>
        <w:t>ذ</w:t>
      </w:r>
      <w:r w:rsidR="00810607" w:rsidRPr="006571AC">
        <w:rPr>
          <w:rFonts w:hint="cs"/>
          <w:b/>
          <w:bCs/>
          <w:sz w:val="27"/>
          <w:rtl/>
        </w:rPr>
        <w:t>َ</w:t>
      </w:r>
      <w:r w:rsidRPr="006571AC">
        <w:rPr>
          <w:rFonts w:hint="cs"/>
          <w:b/>
          <w:bCs/>
          <w:sz w:val="27"/>
          <w:rtl/>
        </w:rPr>
        <w:t>ا</w:t>
      </w:r>
      <w:r w:rsidRPr="006571AC">
        <w:rPr>
          <w:b/>
          <w:bCs/>
          <w:sz w:val="27"/>
          <w:rtl/>
        </w:rPr>
        <w:t xml:space="preserve"> </w:t>
      </w:r>
      <w:r w:rsidRPr="006571AC">
        <w:rPr>
          <w:rFonts w:hint="cs"/>
          <w:b/>
          <w:bCs/>
          <w:sz w:val="27"/>
          <w:rtl/>
        </w:rPr>
        <w:t>ب</w:t>
      </w:r>
      <w:r w:rsidR="00810607" w:rsidRPr="006571AC">
        <w:rPr>
          <w:rFonts w:hint="cs"/>
          <w:b/>
          <w:bCs/>
          <w:sz w:val="27"/>
          <w:rtl/>
        </w:rPr>
        <w:t>َ</w:t>
      </w:r>
      <w:r w:rsidRPr="006571AC">
        <w:rPr>
          <w:rFonts w:hint="cs"/>
          <w:b/>
          <w:bCs/>
          <w:sz w:val="27"/>
          <w:rtl/>
        </w:rPr>
        <w:t>اطِل</w:t>
      </w:r>
      <w:r w:rsidR="00731867" w:rsidRPr="006571AC">
        <w:rPr>
          <w:rFonts w:hint="cs"/>
          <w:b/>
          <w:bCs/>
          <w:sz w:val="27"/>
          <w:rtl/>
        </w:rPr>
        <w:t>اً</w:t>
      </w:r>
      <w:r w:rsidRPr="006571AC">
        <w:rPr>
          <w:rFonts w:ascii="Mosawi" w:hAnsi="Mosawi" w:cs="Mosawi"/>
          <w:sz w:val="24"/>
          <w:szCs w:val="24"/>
          <w:rtl/>
        </w:rPr>
        <w:t>﴾ (</w:t>
      </w:r>
      <w:r w:rsidRPr="006571AC">
        <w:rPr>
          <w:rFonts w:hint="cs"/>
          <w:sz w:val="27"/>
          <w:rtl/>
        </w:rPr>
        <w:t xml:space="preserve">آل عمران: </w:t>
      </w:r>
      <w:r w:rsidRPr="006571AC">
        <w:rPr>
          <w:sz w:val="27"/>
          <w:rtl/>
        </w:rPr>
        <w:t>19</w:t>
      </w:r>
      <w:r w:rsidRPr="006571AC">
        <w:rPr>
          <w:rFonts w:hint="cs"/>
          <w:sz w:val="27"/>
          <w:rtl/>
        </w:rPr>
        <w:t>)</w:t>
      </w:r>
      <w:r w:rsidRPr="006571AC">
        <w:rPr>
          <w:sz w:val="27"/>
          <w:vertAlign w:val="superscript"/>
          <w:rtl/>
        </w:rPr>
        <w:t>(</w:t>
      </w:r>
      <w:r w:rsidRPr="006571AC">
        <w:rPr>
          <w:sz w:val="27"/>
          <w:vertAlign w:val="superscript"/>
          <w:rtl/>
        </w:rPr>
        <w:endnoteReference w:id="408"/>
      </w:r>
      <w:r w:rsidRPr="006571AC">
        <w:rPr>
          <w:sz w:val="27"/>
          <w:vertAlign w:val="superscript"/>
          <w:rtl/>
        </w:rPr>
        <w:t>)</w:t>
      </w:r>
      <w:r w:rsidRPr="006571AC">
        <w:rPr>
          <w:sz w:val="27"/>
          <w:rtl/>
        </w:rPr>
        <w:t xml:space="preserve">. </w:t>
      </w:r>
    </w:p>
    <w:p w:rsidR="009B1065" w:rsidRPr="006571AC" w:rsidRDefault="009B1065" w:rsidP="00291BAF">
      <w:pPr>
        <w:spacing w:line="410" w:lineRule="exact"/>
        <w:rPr>
          <w:sz w:val="27"/>
          <w:rtl/>
        </w:rPr>
      </w:pPr>
    </w:p>
    <w:p w:rsidR="009B1065" w:rsidRPr="006571AC" w:rsidRDefault="009B1065" w:rsidP="009B1065">
      <w:pPr>
        <w:pStyle w:val="31"/>
        <w:rPr>
          <w:color w:val="auto"/>
          <w:rtl/>
        </w:rPr>
      </w:pPr>
      <w:bookmarkStart w:id="205" w:name="_Toc114164679"/>
      <w:r w:rsidRPr="006571AC">
        <w:rPr>
          <w:rFonts w:hint="cs"/>
          <w:color w:val="auto"/>
          <w:rtl/>
        </w:rPr>
        <w:t>الحكمة</w:t>
      </w:r>
      <w:bookmarkEnd w:id="205"/>
    </w:p>
    <w:p w:rsidR="00237EB1" w:rsidRPr="006571AC" w:rsidRDefault="00810607" w:rsidP="00291BAF">
      <w:pPr>
        <w:spacing w:line="420" w:lineRule="exact"/>
        <w:rPr>
          <w:sz w:val="27"/>
          <w:rtl/>
        </w:rPr>
      </w:pPr>
      <w:bookmarkStart w:id="206" w:name="_Toc79281901"/>
      <w:bookmarkStart w:id="207" w:name="_Toc114164680"/>
      <w:r w:rsidRPr="006571AC">
        <w:rPr>
          <w:rStyle w:val="1Char"/>
          <w:rFonts w:cs="AL-Mohanad" w:hint="cs"/>
          <w:sz w:val="27"/>
          <w:szCs w:val="27"/>
          <w:rtl/>
        </w:rPr>
        <w:t xml:space="preserve">وأما </w:t>
      </w:r>
      <w:r w:rsidR="00237EB1" w:rsidRPr="006571AC">
        <w:rPr>
          <w:rStyle w:val="1Char"/>
          <w:rFonts w:cs="AL-Mohanad" w:hint="cs"/>
          <w:sz w:val="27"/>
          <w:szCs w:val="27"/>
          <w:rtl/>
        </w:rPr>
        <w:t>الحكمة</w:t>
      </w:r>
      <w:bookmarkEnd w:id="206"/>
      <w:bookmarkEnd w:id="207"/>
      <w:r w:rsidR="00237EB1" w:rsidRPr="006571AC">
        <w:rPr>
          <w:rStyle w:val="1Char"/>
          <w:rFonts w:cs="AL-Mohanad" w:hint="cs"/>
          <w:sz w:val="27"/>
          <w:szCs w:val="27"/>
          <w:rtl/>
        </w:rPr>
        <w:t xml:space="preserve"> </w:t>
      </w:r>
      <w:r w:rsidR="00237EB1" w:rsidRPr="006571AC">
        <w:rPr>
          <w:rFonts w:hint="cs"/>
          <w:sz w:val="27"/>
          <w:rtl/>
        </w:rPr>
        <w:t>فقد أ</w:t>
      </w:r>
      <w:r w:rsidRPr="006571AC">
        <w:rPr>
          <w:rFonts w:hint="cs"/>
          <w:sz w:val="27"/>
          <w:rtl/>
        </w:rPr>
        <w:t>ُ</w:t>
      </w:r>
      <w:r w:rsidR="00237EB1" w:rsidRPr="006571AC">
        <w:rPr>
          <w:rFonts w:hint="cs"/>
          <w:sz w:val="27"/>
          <w:rtl/>
        </w:rPr>
        <w:t xml:space="preserve">خذ في تعريفها معنيان: </w:t>
      </w:r>
    </w:p>
    <w:p w:rsidR="00237EB1" w:rsidRPr="006571AC" w:rsidRDefault="00237EB1" w:rsidP="00291BAF">
      <w:pPr>
        <w:spacing w:line="420" w:lineRule="exact"/>
        <w:rPr>
          <w:sz w:val="27"/>
          <w:rtl/>
        </w:rPr>
      </w:pPr>
      <w:r w:rsidRPr="006571AC">
        <w:rPr>
          <w:rFonts w:hint="cs"/>
          <w:sz w:val="27"/>
          <w:rtl/>
        </w:rPr>
        <w:t>1ـ ما عليه أكثر العلماء</w:t>
      </w:r>
      <w:r w:rsidR="00810607" w:rsidRPr="006571AC">
        <w:rPr>
          <w:rFonts w:hint="cs"/>
          <w:sz w:val="27"/>
          <w:rtl/>
        </w:rPr>
        <w:t>،</w:t>
      </w:r>
      <w:r w:rsidRPr="006571AC">
        <w:rPr>
          <w:rFonts w:hint="cs"/>
          <w:sz w:val="27"/>
          <w:rtl/>
        </w:rPr>
        <w:t xml:space="preserve"> وهو: ما قصد إليه الشارع من جلب نفع</w:t>
      </w:r>
      <w:r w:rsidR="00810607" w:rsidRPr="006571AC">
        <w:rPr>
          <w:rFonts w:hint="cs"/>
          <w:sz w:val="27"/>
          <w:rtl/>
        </w:rPr>
        <w:t>ٍ</w:t>
      </w:r>
      <w:r w:rsidRPr="006571AC">
        <w:rPr>
          <w:rFonts w:hint="cs"/>
          <w:sz w:val="27"/>
          <w:rtl/>
        </w:rPr>
        <w:t xml:space="preserve"> أو دفع ضرر</w:t>
      </w:r>
      <w:r w:rsidR="00810607" w:rsidRPr="006571AC">
        <w:rPr>
          <w:rFonts w:hint="cs"/>
          <w:sz w:val="27"/>
          <w:rtl/>
        </w:rPr>
        <w:t>ٍ</w:t>
      </w:r>
      <w:r w:rsidRPr="006571AC">
        <w:rPr>
          <w:rFonts w:hint="cs"/>
          <w:sz w:val="27"/>
          <w:rtl/>
        </w:rPr>
        <w:t xml:space="preserve">. </w:t>
      </w:r>
    </w:p>
    <w:p w:rsidR="00237EB1" w:rsidRPr="006571AC" w:rsidRDefault="00237EB1" w:rsidP="00291BAF">
      <w:pPr>
        <w:spacing w:line="420" w:lineRule="exact"/>
        <w:rPr>
          <w:sz w:val="27"/>
          <w:rtl/>
        </w:rPr>
      </w:pPr>
      <w:r w:rsidRPr="006571AC">
        <w:rPr>
          <w:rFonts w:hint="cs"/>
          <w:sz w:val="27"/>
          <w:rtl/>
        </w:rPr>
        <w:t>2ـ ما عليه بعض</w:t>
      </w:r>
      <w:r w:rsidR="00810607" w:rsidRPr="006571AC">
        <w:rPr>
          <w:rFonts w:hint="cs"/>
          <w:sz w:val="27"/>
          <w:rtl/>
        </w:rPr>
        <w:t>ٌ،</w:t>
      </w:r>
      <w:r w:rsidRPr="006571AC">
        <w:rPr>
          <w:rFonts w:hint="cs"/>
          <w:sz w:val="27"/>
          <w:rtl/>
        </w:rPr>
        <w:t xml:space="preserve"> وهو: المناسب أو التناسب</w:t>
      </w:r>
      <w:r w:rsidRPr="006571AC">
        <w:rPr>
          <w:sz w:val="27"/>
          <w:vertAlign w:val="superscript"/>
          <w:rtl/>
        </w:rPr>
        <w:t>(</w:t>
      </w:r>
      <w:r w:rsidRPr="006571AC">
        <w:rPr>
          <w:sz w:val="27"/>
          <w:vertAlign w:val="superscript"/>
          <w:rtl/>
        </w:rPr>
        <w:endnoteReference w:id="409"/>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291BAF">
      <w:pPr>
        <w:spacing w:line="420" w:lineRule="exact"/>
        <w:rPr>
          <w:sz w:val="27"/>
          <w:rtl/>
        </w:rPr>
      </w:pPr>
      <w:r w:rsidRPr="006571AC">
        <w:rPr>
          <w:rFonts w:hint="cs"/>
          <w:sz w:val="27"/>
          <w:rtl/>
        </w:rPr>
        <w:t>وعليه</w:t>
      </w:r>
      <w:r w:rsidR="00810607" w:rsidRPr="006571AC">
        <w:rPr>
          <w:rFonts w:hint="cs"/>
          <w:sz w:val="27"/>
          <w:rtl/>
        </w:rPr>
        <w:t>،</w:t>
      </w:r>
      <w:r w:rsidRPr="006571AC">
        <w:rPr>
          <w:rFonts w:hint="cs"/>
          <w:sz w:val="27"/>
          <w:rtl/>
        </w:rPr>
        <w:t xml:space="preserve"> يكون معنى </w:t>
      </w:r>
      <w:r w:rsidR="009B1065" w:rsidRPr="006571AC">
        <w:rPr>
          <w:rFonts w:hint="cs"/>
          <w:sz w:val="27"/>
          <w:rtl/>
        </w:rPr>
        <w:t>الاصطلاحين:</w:t>
      </w:r>
      <w:r w:rsidRPr="006571AC">
        <w:rPr>
          <w:rFonts w:hint="cs"/>
          <w:sz w:val="27"/>
          <w:rtl/>
        </w:rPr>
        <w:t xml:space="preserve"> </w:t>
      </w:r>
      <w:r w:rsidR="009B1065" w:rsidRPr="006571AC">
        <w:rPr>
          <w:rFonts w:hint="cs"/>
          <w:sz w:val="27"/>
          <w:rtl/>
        </w:rPr>
        <w:t>(</w:t>
      </w:r>
      <w:r w:rsidRPr="006571AC">
        <w:rPr>
          <w:rFonts w:hint="cs"/>
          <w:sz w:val="27"/>
          <w:rtl/>
        </w:rPr>
        <w:t>حكمة الحكم</w:t>
      </w:r>
      <w:r w:rsidR="009B1065" w:rsidRPr="006571AC">
        <w:rPr>
          <w:rFonts w:hint="cs"/>
          <w:sz w:val="27"/>
          <w:rtl/>
        </w:rPr>
        <w:t>)</w:t>
      </w:r>
      <w:r w:rsidRPr="006571AC">
        <w:rPr>
          <w:rFonts w:hint="cs"/>
          <w:sz w:val="27"/>
          <w:rtl/>
        </w:rPr>
        <w:t xml:space="preserve"> و</w:t>
      </w:r>
      <w:r w:rsidR="009B1065" w:rsidRPr="006571AC">
        <w:rPr>
          <w:rFonts w:hint="cs"/>
          <w:sz w:val="27"/>
          <w:rtl/>
        </w:rPr>
        <w:t>(</w:t>
      </w:r>
      <w:r w:rsidRPr="006571AC">
        <w:rPr>
          <w:rFonts w:hint="cs"/>
          <w:sz w:val="27"/>
          <w:rtl/>
        </w:rPr>
        <w:t>فلسفته</w:t>
      </w:r>
      <w:r w:rsidR="009B1065" w:rsidRPr="006571AC">
        <w:rPr>
          <w:rFonts w:hint="cs"/>
          <w:sz w:val="27"/>
          <w:rtl/>
        </w:rPr>
        <w:t>)</w:t>
      </w:r>
      <w:r w:rsidRPr="006571AC">
        <w:rPr>
          <w:rFonts w:hint="cs"/>
          <w:sz w:val="27"/>
          <w:rtl/>
        </w:rPr>
        <w:t xml:space="preserve"> واحد</w:t>
      </w:r>
      <w:r w:rsidR="009B1065" w:rsidRPr="006571AC">
        <w:rPr>
          <w:rFonts w:hint="cs"/>
          <w:sz w:val="27"/>
          <w:rtl/>
        </w:rPr>
        <w:t>اً،</w:t>
      </w:r>
      <w:r w:rsidRPr="006571AC">
        <w:rPr>
          <w:rFonts w:hint="cs"/>
          <w:sz w:val="27"/>
          <w:rtl/>
        </w:rPr>
        <w:t xml:space="preserve"> وهو: الأمر الذي له مدخلي</w:t>
      </w:r>
      <w:r w:rsidR="009B1065" w:rsidRPr="006571AC">
        <w:rPr>
          <w:rFonts w:hint="cs"/>
          <w:sz w:val="27"/>
          <w:rtl/>
        </w:rPr>
        <w:t>ّ</w:t>
      </w:r>
      <w:r w:rsidRPr="006571AC">
        <w:rPr>
          <w:rFonts w:hint="cs"/>
          <w:sz w:val="27"/>
          <w:rtl/>
        </w:rPr>
        <w:t xml:space="preserve">ة مباشرة في تشريع الحكم، من غير إناطته بها ـ </w:t>
      </w:r>
      <w:r w:rsidR="009B1065" w:rsidRPr="006571AC">
        <w:rPr>
          <w:rFonts w:hint="cs"/>
          <w:sz w:val="27"/>
          <w:rtl/>
        </w:rPr>
        <w:t>أ</w:t>
      </w:r>
      <w:r w:rsidRPr="006571AC">
        <w:rPr>
          <w:rFonts w:hint="cs"/>
          <w:sz w:val="27"/>
          <w:rtl/>
        </w:rPr>
        <w:t>ي من غير إناطة وجود الحكم وعدمه بالحكمة ـ</w:t>
      </w:r>
      <w:r w:rsidR="009B1065" w:rsidRPr="006571AC">
        <w:rPr>
          <w:rFonts w:hint="cs"/>
          <w:sz w:val="27"/>
          <w:rtl/>
        </w:rPr>
        <w:t>،</w:t>
      </w:r>
      <w:r w:rsidRPr="006571AC">
        <w:rPr>
          <w:rFonts w:hint="cs"/>
          <w:sz w:val="27"/>
          <w:rtl/>
        </w:rPr>
        <w:t xml:space="preserve"> وبعبارة</w:t>
      </w:r>
      <w:r w:rsidR="009B1065" w:rsidRPr="006571AC">
        <w:rPr>
          <w:rFonts w:hint="cs"/>
          <w:sz w:val="27"/>
          <w:rtl/>
        </w:rPr>
        <w:t>ٍ</w:t>
      </w:r>
      <w:r w:rsidRPr="006571AC">
        <w:rPr>
          <w:rFonts w:hint="cs"/>
          <w:sz w:val="27"/>
          <w:rtl/>
        </w:rPr>
        <w:t xml:space="preserve"> أخرى</w:t>
      </w:r>
      <w:r w:rsidR="009B1065" w:rsidRPr="006571AC">
        <w:rPr>
          <w:rFonts w:hint="cs"/>
          <w:sz w:val="27"/>
          <w:rtl/>
        </w:rPr>
        <w:t>:</w:t>
      </w:r>
      <w:r w:rsidRPr="006571AC">
        <w:rPr>
          <w:rFonts w:hint="cs"/>
          <w:sz w:val="27"/>
          <w:rtl/>
        </w:rPr>
        <w:t xml:space="preserve"> هي المصلحة المقصودة للشارع من تشريع الحكم، مع عدم كونها علّة</w:t>
      </w:r>
      <w:r w:rsidR="009B1065" w:rsidRPr="006571AC">
        <w:rPr>
          <w:rFonts w:hint="cs"/>
          <w:sz w:val="27"/>
          <w:rtl/>
        </w:rPr>
        <w:t>ً</w:t>
      </w:r>
      <w:r w:rsidRPr="006571AC">
        <w:rPr>
          <w:rFonts w:hint="cs"/>
          <w:sz w:val="27"/>
          <w:rtl/>
        </w:rPr>
        <w:t xml:space="preserve"> تام</w:t>
      </w:r>
      <w:r w:rsidR="009B1065" w:rsidRPr="006571AC">
        <w:rPr>
          <w:rFonts w:hint="cs"/>
          <w:sz w:val="27"/>
          <w:rtl/>
        </w:rPr>
        <w:t>ّ</w:t>
      </w:r>
      <w:r w:rsidRPr="006571AC">
        <w:rPr>
          <w:rFonts w:hint="cs"/>
          <w:sz w:val="27"/>
          <w:rtl/>
        </w:rPr>
        <w:t>ة</w:t>
      </w:r>
      <w:r w:rsidR="009B1065" w:rsidRPr="006571AC">
        <w:rPr>
          <w:rFonts w:hint="cs"/>
          <w:sz w:val="27"/>
          <w:rtl/>
        </w:rPr>
        <w:t>ً</w:t>
      </w:r>
      <w:r w:rsidRPr="006571AC">
        <w:rPr>
          <w:rFonts w:hint="cs"/>
          <w:sz w:val="27"/>
          <w:rtl/>
        </w:rPr>
        <w:t xml:space="preserve"> في إيجاد الحكم </w:t>
      </w:r>
      <w:r w:rsidR="009B1065" w:rsidRPr="006571AC">
        <w:rPr>
          <w:rFonts w:hint="cs"/>
          <w:sz w:val="27"/>
          <w:rtl/>
        </w:rPr>
        <w:t>أ</w:t>
      </w:r>
      <w:r w:rsidRPr="006571AC">
        <w:rPr>
          <w:rFonts w:hint="cs"/>
          <w:sz w:val="27"/>
          <w:rtl/>
        </w:rPr>
        <w:t>و عدمه، بمعنى أنّه قد تتوف</w:t>
      </w:r>
      <w:r w:rsidR="009B1065" w:rsidRPr="006571AC">
        <w:rPr>
          <w:rFonts w:hint="cs"/>
          <w:sz w:val="27"/>
          <w:rtl/>
        </w:rPr>
        <w:t>َّ</w:t>
      </w:r>
      <w:r w:rsidRPr="006571AC">
        <w:rPr>
          <w:rFonts w:hint="cs"/>
          <w:sz w:val="27"/>
          <w:rtl/>
        </w:rPr>
        <w:t xml:space="preserve">ر الحكمة من دون </w:t>
      </w:r>
      <w:r w:rsidR="009B1065" w:rsidRPr="006571AC">
        <w:rPr>
          <w:rFonts w:hint="cs"/>
          <w:sz w:val="27"/>
          <w:rtl/>
        </w:rPr>
        <w:t>أ</w:t>
      </w:r>
      <w:r w:rsidRPr="006571AC">
        <w:rPr>
          <w:rFonts w:hint="cs"/>
          <w:sz w:val="27"/>
          <w:rtl/>
        </w:rPr>
        <w:t>ن يتواجد الحكم، أو يتواجد الحكم ولا تكون الحكمة</w:t>
      </w:r>
      <w:r w:rsidR="009B1065" w:rsidRPr="006571AC">
        <w:rPr>
          <w:rFonts w:hint="cs"/>
          <w:sz w:val="27"/>
          <w:rtl/>
        </w:rPr>
        <w:t xml:space="preserve">، </w:t>
      </w:r>
      <w:r w:rsidRPr="006571AC">
        <w:rPr>
          <w:rFonts w:hint="cs"/>
          <w:sz w:val="27"/>
          <w:rtl/>
        </w:rPr>
        <w:t>كالمشق</w:t>
      </w:r>
      <w:r w:rsidR="009B1065" w:rsidRPr="006571AC">
        <w:rPr>
          <w:rFonts w:hint="cs"/>
          <w:sz w:val="27"/>
          <w:rtl/>
        </w:rPr>
        <w:t>ّ</w:t>
      </w:r>
      <w:r w:rsidRPr="006571AC">
        <w:rPr>
          <w:rFonts w:hint="cs"/>
          <w:sz w:val="27"/>
          <w:rtl/>
        </w:rPr>
        <w:t>ة في السفر</w:t>
      </w:r>
      <w:r w:rsidR="009B1065" w:rsidRPr="006571AC">
        <w:rPr>
          <w:rFonts w:hint="cs"/>
          <w:sz w:val="27"/>
          <w:rtl/>
        </w:rPr>
        <w:t>؛</w:t>
      </w:r>
      <w:r w:rsidRPr="006571AC">
        <w:rPr>
          <w:rFonts w:hint="cs"/>
          <w:sz w:val="27"/>
          <w:rtl/>
        </w:rPr>
        <w:t xml:space="preserve"> إذ اعتبروها الحكمة في قصر الصلاة، لكن</w:t>
      </w:r>
      <w:r w:rsidR="009B1065" w:rsidRPr="006571AC">
        <w:rPr>
          <w:rFonts w:hint="cs"/>
          <w:sz w:val="27"/>
          <w:rtl/>
        </w:rPr>
        <w:t>ْ</w:t>
      </w:r>
      <w:r w:rsidRPr="006571AC">
        <w:rPr>
          <w:rFonts w:hint="cs"/>
          <w:sz w:val="27"/>
          <w:rtl/>
        </w:rPr>
        <w:t xml:space="preserve"> لا أحد يد</w:t>
      </w:r>
      <w:r w:rsidR="009B1065" w:rsidRPr="006571AC">
        <w:rPr>
          <w:rFonts w:hint="cs"/>
          <w:sz w:val="27"/>
          <w:rtl/>
        </w:rPr>
        <w:t>َّ</w:t>
      </w:r>
      <w:r w:rsidRPr="006571AC">
        <w:rPr>
          <w:rFonts w:hint="cs"/>
          <w:sz w:val="27"/>
          <w:rtl/>
        </w:rPr>
        <w:t>عي بأنها تشكّ</w:t>
      </w:r>
      <w:r w:rsidR="009B1065" w:rsidRPr="006571AC">
        <w:rPr>
          <w:rFonts w:hint="cs"/>
          <w:sz w:val="27"/>
          <w:rtl/>
        </w:rPr>
        <w:t>ِ</w:t>
      </w:r>
      <w:r w:rsidRPr="006571AC">
        <w:rPr>
          <w:rFonts w:hint="cs"/>
          <w:sz w:val="27"/>
          <w:rtl/>
        </w:rPr>
        <w:t>ل العل</w:t>
      </w:r>
      <w:r w:rsidR="006340E8" w:rsidRPr="006571AC">
        <w:rPr>
          <w:rFonts w:hint="cs"/>
          <w:sz w:val="27"/>
          <w:rtl/>
        </w:rPr>
        <w:t>ّ</w:t>
      </w:r>
      <w:r w:rsidRPr="006571AC">
        <w:rPr>
          <w:rFonts w:hint="cs"/>
          <w:sz w:val="27"/>
          <w:rtl/>
        </w:rPr>
        <w:t>ة التام</w:t>
      </w:r>
      <w:r w:rsidR="006340E8" w:rsidRPr="006571AC">
        <w:rPr>
          <w:rFonts w:hint="cs"/>
          <w:sz w:val="27"/>
          <w:rtl/>
        </w:rPr>
        <w:t>ّ</w:t>
      </w:r>
      <w:r w:rsidRPr="006571AC">
        <w:rPr>
          <w:rFonts w:hint="cs"/>
          <w:sz w:val="27"/>
          <w:rtl/>
        </w:rPr>
        <w:t>ة للق</w:t>
      </w:r>
      <w:r w:rsidR="006340E8" w:rsidRPr="006571AC">
        <w:rPr>
          <w:rFonts w:hint="cs"/>
          <w:sz w:val="27"/>
          <w:rtl/>
        </w:rPr>
        <w:t>َ</w:t>
      </w:r>
      <w:r w:rsidRPr="006571AC">
        <w:rPr>
          <w:rFonts w:hint="cs"/>
          <w:sz w:val="27"/>
          <w:rtl/>
        </w:rPr>
        <w:t>ص</w:t>
      </w:r>
      <w:r w:rsidR="006340E8" w:rsidRPr="006571AC">
        <w:rPr>
          <w:rFonts w:hint="cs"/>
          <w:sz w:val="27"/>
          <w:rtl/>
        </w:rPr>
        <w:t>ْ</w:t>
      </w:r>
      <w:r w:rsidRPr="006571AC">
        <w:rPr>
          <w:rFonts w:hint="cs"/>
          <w:sz w:val="27"/>
          <w:rtl/>
        </w:rPr>
        <w:t>ر، ومن هنا فإن</w:t>
      </w:r>
      <w:r w:rsidR="009B1065" w:rsidRPr="006571AC">
        <w:rPr>
          <w:rFonts w:hint="cs"/>
          <w:sz w:val="27"/>
          <w:rtl/>
        </w:rPr>
        <w:t>ْ</w:t>
      </w:r>
      <w:r w:rsidRPr="006571AC">
        <w:rPr>
          <w:rFonts w:hint="cs"/>
          <w:sz w:val="27"/>
          <w:rtl/>
        </w:rPr>
        <w:t xml:space="preserve"> أ</w:t>
      </w:r>
      <w:r w:rsidR="009B1065" w:rsidRPr="006571AC">
        <w:rPr>
          <w:rFonts w:hint="cs"/>
          <w:sz w:val="27"/>
          <w:rtl/>
        </w:rPr>
        <w:t>ُ</w:t>
      </w:r>
      <w:r w:rsidRPr="006571AC">
        <w:rPr>
          <w:rFonts w:hint="cs"/>
          <w:sz w:val="27"/>
          <w:rtl/>
        </w:rPr>
        <w:t>صيب المرء بتعب</w:t>
      </w:r>
      <w:r w:rsidR="009B1065" w:rsidRPr="006571AC">
        <w:rPr>
          <w:rFonts w:hint="cs"/>
          <w:sz w:val="27"/>
          <w:rtl/>
        </w:rPr>
        <w:t>ٍ</w:t>
      </w:r>
      <w:r w:rsidRPr="006571AC">
        <w:rPr>
          <w:rFonts w:hint="cs"/>
          <w:sz w:val="27"/>
          <w:rtl/>
        </w:rPr>
        <w:t xml:space="preserve"> ومشق</w:t>
      </w:r>
      <w:r w:rsidR="009B1065" w:rsidRPr="006571AC">
        <w:rPr>
          <w:rFonts w:hint="cs"/>
          <w:sz w:val="27"/>
          <w:rtl/>
        </w:rPr>
        <w:t>ّ</w:t>
      </w:r>
      <w:r w:rsidRPr="006571AC">
        <w:rPr>
          <w:rFonts w:hint="cs"/>
          <w:sz w:val="27"/>
          <w:rtl/>
        </w:rPr>
        <w:t>ة</w:t>
      </w:r>
      <w:r w:rsidR="009B1065" w:rsidRPr="006571AC">
        <w:rPr>
          <w:rFonts w:hint="cs"/>
          <w:sz w:val="27"/>
          <w:rtl/>
        </w:rPr>
        <w:t>ٍ</w:t>
      </w:r>
      <w:r w:rsidRPr="006571AC">
        <w:rPr>
          <w:rFonts w:hint="cs"/>
          <w:sz w:val="27"/>
          <w:rtl/>
        </w:rPr>
        <w:t xml:space="preserve"> من غير سفر</w:t>
      </w:r>
      <w:r w:rsidR="009B1065" w:rsidRPr="006571AC">
        <w:rPr>
          <w:rFonts w:hint="cs"/>
          <w:sz w:val="27"/>
          <w:rtl/>
        </w:rPr>
        <w:t>ٍ</w:t>
      </w:r>
      <w:r w:rsidRPr="006571AC">
        <w:rPr>
          <w:rFonts w:hint="cs"/>
          <w:sz w:val="27"/>
          <w:rtl/>
        </w:rPr>
        <w:t xml:space="preserve"> فحكمه التمام</w:t>
      </w:r>
      <w:r w:rsidR="009B1065" w:rsidRPr="006571AC">
        <w:rPr>
          <w:rFonts w:hint="cs"/>
          <w:sz w:val="27"/>
          <w:rtl/>
        </w:rPr>
        <w:t>،</w:t>
      </w:r>
      <w:r w:rsidRPr="006571AC">
        <w:rPr>
          <w:rFonts w:hint="cs"/>
          <w:sz w:val="27"/>
          <w:rtl/>
        </w:rPr>
        <w:t xml:space="preserve"> ولا يقصر صلاته، و</w:t>
      </w:r>
      <w:r w:rsidR="009B1065" w:rsidRPr="006571AC">
        <w:rPr>
          <w:rFonts w:hint="cs"/>
          <w:sz w:val="27"/>
          <w:rtl/>
        </w:rPr>
        <w:t xml:space="preserve">في </w:t>
      </w:r>
      <w:r w:rsidRPr="006571AC">
        <w:rPr>
          <w:rFonts w:hint="cs"/>
          <w:sz w:val="27"/>
          <w:rtl/>
        </w:rPr>
        <w:t>المقابل إذا سافر من غير مشق</w:t>
      </w:r>
      <w:r w:rsidR="009B1065" w:rsidRPr="006571AC">
        <w:rPr>
          <w:rFonts w:hint="cs"/>
          <w:sz w:val="27"/>
          <w:rtl/>
        </w:rPr>
        <w:t>ّ</w:t>
      </w:r>
      <w:r w:rsidRPr="006571AC">
        <w:rPr>
          <w:rFonts w:hint="cs"/>
          <w:sz w:val="27"/>
          <w:rtl/>
        </w:rPr>
        <w:t>ة</w:t>
      </w:r>
      <w:r w:rsidR="009B1065" w:rsidRPr="006571AC">
        <w:rPr>
          <w:rFonts w:hint="cs"/>
          <w:sz w:val="27"/>
          <w:rtl/>
        </w:rPr>
        <w:t>ٍ</w:t>
      </w:r>
      <w:r w:rsidRPr="006571AC">
        <w:rPr>
          <w:rFonts w:hint="cs"/>
          <w:sz w:val="27"/>
          <w:rtl/>
        </w:rPr>
        <w:t xml:space="preserve"> فحكمه الق</w:t>
      </w:r>
      <w:r w:rsidR="006340E8" w:rsidRPr="006571AC">
        <w:rPr>
          <w:rFonts w:hint="cs"/>
          <w:sz w:val="27"/>
          <w:rtl/>
        </w:rPr>
        <w:t>َ</w:t>
      </w:r>
      <w:r w:rsidRPr="006571AC">
        <w:rPr>
          <w:rFonts w:hint="cs"/>
          <w:sz w:val="27"/>
          <w:rtl/>
        </w:rPr>
        <w:t>ص</w:t>
      </w:r>
      <w:r w:rsidR="006340E8" w:rsidRPr="006571AC">
        <w:rPr>
          <w:rFonts w:hint="cs"/>
          <w:sz w:val="27"/>
          <w:rtl/>
        </w:rPr>
        <w:t>ْ</w:t>
      </w:r>
      <w:r w:rsidRPr="006571AC">
        <w:rPr>
          <w:rFonts w:hint="cs"/>
          <w:sz w:val="27"/>
          <w:rtl/>
        </w:rPr>
        <w:t>ر</w:t>
      </w:r>
      <w:r w:rsidR="009B1065" w:rsidRPr="006571AC">
        <w:rPr>
          <w:rFonts w:hint="cs"/>
          <w:sz w:val="27"/>
          <w:rtl/>
        </w:rPr>
        <w:t>،</w:t>
      </w:r>
      <w:r w:rsidRPr="006571AC">
        <w:rPr>
          <w:rFonts w:hint="cs"/>
          <w:sz w:val="27"/>
          <w:rtl/>
        </w:rPr>
        <w:t xml:space="preserve"> دون التمام</w:t>
      </w:r>
      <w:r w:rsidR="009B1065" w:rsidRPr="006571AC">
        <w:rPr>
          <w:rFonts w:hint="cs"/>
          <w:sz w:val="27"/>
          <w:rtl/>
        </w:rPr>
        <w:t>؛</w:t>
      </w:r>
      <w:r w:rsidRPr="006571AC">
        <w:rPr>
          <w:rFonts w:hint="cs"/>
          <w:sz w:val="27"/>
          <w:rtl/>
        </w:rPr>
        <w:t xml:space="preserve"> وذلك لأن المصلحة المقصودة من التشريع، كالمشق</w:t>
      </w:r>
      <w:r w:rsidR="009B1065" w:rsidRPr="006571AC">
        <w:rPr>
          <w:rFonts w:hint="cs"/>
          <w:sz w:val="27"/>
          <w:rtl/>
        </w:rPr>
        <w:t>ّ</w:t>
      </w:r>
      <w:r w:rsidRPr="006571AC">
        <w:rPr>
          <w:rFonts w:hint="cs"/>
          <w:sz w:val="27"/>
          <w:rtl/>
        </w:rPr>
        <w:t>ة في المثال السابق، ليست علّة</w:t>
      </w:r>
      <w:r w:rsidR="009B1065" w:rsidRPr="006571AC">
        <w:rPr>
          <w:rFonts w:hint="cs"/>
          <w:sz w:val="27"/>
          <w:rtl/>
        </w:rPr>
        <w:t>ً</w:t>
      </w:r>
      <w:r w:rsidRPr="006571AC">
        <w:rPr>
          <w:rFonts w:hint="cs"/>
          <w:sz w:val="27"/>
          <w:rtl/>
        </w:rPr>
        <w:t xml:space="preserve"> في جعل الحكم</w:t>
      </w:r>
      <w:r w:rsidRPr="006571AC">
        <w:rPr>
          <w:sz w:val="27"/>
          <w:vertAlign w:val="superscript"/>
          <w:rtl/>
        </w:rPr>
        <w:t>(</w:t>
      </w:r>
      <w:r w:rsidRPr="006571AC">
        <w:rPr>
          <w:sz w:val="27"/>
          <w:vertAlign w:val="superscript"/>
          <w:rtl/>
        </w:rPr>
        <w:endnoteReference w:id="410"/>
      </w:r>
      <w:r w:rsidRPr="006571AC">
        <w:rPr>
          <w:sz w:val="27"/>
          <w:vertAlign w:val="superscript"/>
          <w:rtl/>
        </w:rPr>
        <w:t>)</w:t>
      </w:r>
      <w:r w:rsidRPr="006571AC">
        <w:rPr>
          <w:sz w:val="27"/>
          <w:rtl/>
        </w:rPr>
        <w:t>.</w:t>
      </w:r>
      <w:r w:rsidRPr="006571AC">
        <w:rPr>
          <w:rFonts w:hint="cs"/>
          <w:sz w:val="27"/>
          <w:rtl/>
        </w:rPr>
        <w:t xml:space="preserve"> </w:t>
      </w:r>
    </w:p>
    <w:p w:rsidR="009B1065" w:rsidRPr="006571AC" w:rsidRDefault="00237EB1" w:rsidP="009B1065">
      <w:pPr>
        <w:pStyle w:val="31"/>
        <w:rPr>
          <w:rStyle w:val="1Char"/>
          <w:rFonts w:cs="Abz-3 (Yagut)"/>
          <w:b w:val="0"/>
          <w:color w:val="auto"/>
          <w:sz w:val="26"/>
          <w:szCs w:val="26"/>
          <w:rtl/>
        </w:rPr>
      </w:pPr>
      <w:bookmarkStart w:id="208" w:name="_Toc79281902"/>
      <w:bookmarkStart w:id="209" w:name="_Toc114164681"/>
      <w:r w:rsidRPr="006571AC">
        <w:rPr>
          <w:rStyle w:val="1Char"/>
          <w:rFonts w:cs="Abz-3 (Yagut)" w:hint="cs"/>
          <w:b w:val="0"/>
          <w:color w:val="auto"/>
          <w:sz w:val="26"/>
          <w:szCs w:val="26"/>
          <w:rtl/>
        </w:rPr>
        <w:lastRenderedPageBreak/>
        <w:t>العلّة</w:t>
      </w:r>
      <w:bookmarkEnd w:id="208"/>
      <w:bookmarkEnd w:id="209"/>
    </w:p>
    <w:p w:rsidR="00237EB1" w:rsidRPr="006571AC" w:rsidRDefault="009B1065" w:rsidP="00E60D93">
      <w:pPr>
        <w:rPr>
          <w:sz w:val="27"/>
          <w:rtl/>
        </w:rPr>
      </w:pPr>
      <w:r w:rsidRPr="006571AC">
        <w:rPr>
          <w:rFonts w:hint="cs"/>
          <w:sz w:val="27"/>
          <w:rtl/>
        </w:rPr>
        <w:t xml:space="preserve">يُستَخْدَم </w:t>
      </w:r>
      <w:r w:rsidR="00237EB1" w:rsidRPr="006571AC">
        <w:rPr>
          <w:rFonts w:hint="cs"/>
          <w:sz w:val="27"/>
          <w:rtl/>
        </w:rPr>
        <w:t>لفظ العلّة في موارد متعد</w:t>
      </w:r>
      <w:r w:rsidRPr="006571AC">
        <w:rPr>
          <w:rFonts w:hint="cs"/>
          <w:sz w:val="27"/>
          <w:rtl/>
        </w:rPr>
        <w:t>ِّ</w:t>
      </w:r>
      <w:r w:rsidR="00237EB1" w:rsidRPr="006571AC">
        <w:rPr>
          <w:rFonts w:hint="cs"/>
          <w:sz w:val="27"/>
          <w:rtl/>
        </w:rPr>
        <w:t>دة لجهة</w:t>
      </w:r>
      <w:r w:rsidRPr="006571AC">
        <w:rPr>
          <w:rFonts w:hint="cs"/>
          <w:sz w:val="27"/>
          <w:rtl/>
        </w:rPr>
        <w:t>ٍ</w:t>
      </w:r>
      <w:r w:rsidR="00237EB1" w:rsidRPr="006571AC">
        <w:rPr>
          <w:rFonts w:hint="cs"/>
          <w:sz w:val="27"/>
          <w:rtl/>
        </w:rPr>
        <w:t xml:space="preserve"> ما، كالفعل الذي يترت</w:t>
      </w:r>
      <w:r w:rsidRPr="006571AC">
        <w:rPr>
          <w:rFonts w:hint="cs"/>
          <w:sz w:val="27"/>
          <w:rtl/>
        </w:rPr>
        <w:t>َّ</w:t>
      </w:r>
      <w:r w:rsidR="00237EB1" w:rsidRPr="006571AC">
        <w:rPr>
          <w:rFonts w:hint="cs"/>
          <w:sz w:val="27"/>
          <w:rtl/>
        </w:rPr>
        <w:t>ب عليه نفع</w:t>
      </w:r>
      <w:r w:rsidRPr="006571AC">
        <w:rPr>
          <w:rFonts w:hint="cs"/>
          <w:sz w:val="27"/>
          <w:rtl/>
        </w:rPr>
        <w:t>ٌ</w:t>
      </w:r>
      <w:r w:rsidR="00237EB1" w:rsidRPr="006571AC">
        <w:rPr>
          <w:rFonts w:hint="cs"/>
          <w:sz w:val="27"/>
          <w:rtl/>
        </w:rPr>
        <w:t xml:space="preserve"> </w:t>
      </w:r>
      <w:r w:rsidRPr="006571AC">
        <w:rPr>
          <w:rFonts w:hint="cs"/>
          <w:sz w:val="27"/>
          <w:rtl/>
        </w:rPr>
        <w:t>أ</w:t>
      </w:r>
      <w:r w:rsidR="00237EB1" w:rsidRPr="006571AC">
        <w:rPr>
          <w:rFonts w:hint="cs"/>
          <w:sz w:val="27"/>
          <w:rtl/>
        </w:rPr>
        <w:t>و ضرر</w:t>
      </w:r>
      <w:r w:rsidRPr="006571AC">
        <w:rPr>
          <w:rFonts w:hint="cs"/>
          <w:sz w:val="27"/>
          <w:rtl/>
        </w:rPr>
        <w:t>ٌ</w:t>
      </w:r>
      <w:r w:rsidR="00237EB1" w:rsidRPr="006571AC">
        <w:rPr>
          <w:rFonts w:hint="cs"/>
          <w:sz w:val="27"/>
          <w:rtl/>
        </w:rPr>
        <w:t>، أو ما يترت</w:t>
      </w:r>
      <w:r w:rsidR="0057564D" w:rsidRPr="006571AC">
        <w:rPr>
          <w:rFonts w:hint="cs"/>
          <w:sz w:val="27"/>
          <w:rtl/>
        </w:rPr>
        <w:t>َّ</w:t>
      </w:r>
      <w:r w:rsidR="00237EB1" w:rsidRPr="006571AC">
        <w:rPr>
          <w:rFonts w:hint="cs"/>
          <w:sz w:val="27"/>
          <w:rtl/>
        </w:rPr>
        <w:t>ب على الحكم من مصلحة</w:t>
      </w:r>
      <w:r w:rsidR="0057564D" w:rsidRPr="006571AC">
        <w:rPr>
          <w:rFonts w:hint="cs"/>
          <w:sz w:val="27"/>
          <w:rtl/>
        </w:rPr>
        <w:t>ٍ</w:t>
      </w:r>
      <w:r w:rsidR="00237EB1" w:rsidRPr="006571AC">
        <w:rPr>
          <w:rFonts w:hint="cs"/>
          <w:sz w:val="27"/>
          <w:rtl/>
        </w:rPr>
        <w:t xml:space="preserve"> أو مفسدة، إلاّ أنّ الفقهاء استخدموا لفظ العلّة بمعناه الخاص</w:t>
      </w:r>
      <w:r w:rsidR="0057564D" w:rsidRPr="006571AC">
        <w:rPr>
          <w:rFonts w:hint="cs"/>
          <w:sz w:val="27"/>
          <w:rtl/>
        </w:rPr>
        <w:t>ّ،</w:t>
      </w:r>
      <w:r w:rsidR="00237EB1" w:rsidRPr="006571AC">
        <w:rPr>
          <w:rFonts w:hint="cs"/>
          <w:sz w:val="27"/>
          <w:rtl/>
        </w:rPr>
        <w:t xml:space="preserve"> وهو الوصف الظاهر المنضبط المترت</w:t>
      </w:r>
      <w:r w:rsidR="0057564D" w:rsidRPr="006571AC">
        <w:rPr>
          <w:rFonts w:hint="cs"/>
          <w:sz w:val="27"/>
          <w:rtl/>
        </w:rPr>
        <w:t>ِّ</w:t>
      </w:r>
      <w:r w:rsidR="00237EB1" w:rsidRPr="006571AC">
        <w:rPr>
          <w:rFonts w:hint="cs"/>
          <w:sz w:val="27"/>
          <w:rtl/>
        </w:rPr>
        <w:t>ب على تشريع الحكم، كالإسكار الناجم عن الخمر</w:t>
      </w:r>
      <w:r w:rsidR="0057564D" w:rsidRPr="006571AC">
        <w:rPr>
          <w:rFonts w:hint="cs"/>
          <w:sz w:val="27"/>
          <w:rtl/>
        </w:rPr>
        <w:t>،</w:t>
      </w:r>
      <w:r w:rsidR="00237EB1" w:rsidRPr="006571AC">
        <w:rPr>
          <w:rFonts w:hint="cs"/>
          <w:sz w:val="27"/>
          <w:rtl/>
        </w:rPr>
        <w:t xml:space="preserve"> المستفاد من ظاهر النص</w:t>
      </w:r>
      <w:r w:rsidR="0057564D" w:rsidRPr="006571AC">
        <w:rPr>
          <w:rFonts w:hint="cs"/>
          <w:sz w:val="27"/>
          <w:rtl/>
        </w:rPr>
        <w:t>ّ</w:t>
      </w:r>
      <w:r w:rsidR="00237EB1" w:rsidRPr="006571AC">
        <w:rPr>
          <w:rFonts w:hint="cs"/>
          <w:sz w:val="27"/>
          <w:rtl/>
        </w:rPr>
        <w:t>، والذي على أساسه ش</w:t>
      </w:r>
      <w:r w:rsidR="0057564D" w:rsidRPr="006571AC">
        <w:rPr>
          <w:rFonts w:hint="cs"/>
          <w:sz w:val="27"/>
          <w:rtl/>
        </w:rPr>
        <w:t>ُ</w:t>
      </w:r>
      <w:r w:rsidR="00237EB1" w:rsidRPr="006571AC">
        <w:rPr>
          <w:rFonts w:hint="cs"/>
          <w:sz w:val="27"/>
          <w:rtl/>
        </w:rPr>
        <w:t>ر</w:t>
      </w:r>
      <w:r w:rsidR="0057564D" w:rsidRPr="006571AC">
        <w:rPr>
          <w:rFonts w:hint="cs"/>
          <w:sz w:val="27"/>
          <w:rtl/>
        </w:rPr>
        <w:t>ِّ</w:t>
      </w:r>
      <w:r w:rsidR="00237EB1" w:rsidRPr="006571AC">
        <w:rPr>
          <w:rFonts w:hint="cs"/>
          <w:sz w:val="27"/>
          <w:rtl/>
        </w:rPr>
        <w:t>ع الحكم، وكذلك لوجود المصلحة في تركه</w:t>
      </w:r>
      <w:r w:rsidR="00237EB1" w:rsidRPr="006571AC">
        <w:rPr>
          <w:sz w:val="27"/>
          <w:vertAlign w:val="superscript"/>
          <w:rtl/>
        </w:rPr>
        <w:t>(</w:t>
      </w:r>
      <w:r w:rsidR="00237EB1" w:rsidRPr="006571AC">
        <w:rPr>
          <w:sz w:val="27"/>
          <w:vertAlign w:val="superscript"/>
          <w:rtl/>
        </w:rPr>
        <w:endnoteReference w:id="411"/>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37EB1" w:rsidRPr="006571AC" w:rsidRDefault="00237EB1" w:rsidP="00291BAF">
      <w:pPr>
        <w:spacing w:line="440" w:lineRule="exact"/>
        <w:rPr>
          <w:sz w:val="27"/>
          <w:rtl/>
        </w:rPr>
      </w:pPr>
    </w:p>
    <w:p w:rsidR="00237EB1" w:rsidRPr="006571AC" w:rsidRDefault="00237EB1" w:rsidP="0057564D">
      <w:pPr>
        <w:pStyle w:val="31"/>
        <w:rPr>
          <w:color w:val="auto"/>
          <w:rtl/>
        </w:rPr>
      </w:pPr>
      <w:bookmarkStart w:id="210" w:name="_Toc114164682"/>
      <w:bookmarkStart w:id="211" w:name="_Toc79281903"/>
      <w:r w:rsidRPr="006571AC">
        <w:rPr>
          <w:rFonts w:hint="cs"/>
          <w:color w:val="auto"/>
          <w:rtl/>
        </w:rPr>
        <w:t xml:space="preserve">الاختلاف </w:t>
      </w:r>
      <w:r w:rsidR="0057564D" w:rsidRPr="006571AC">
        <w:rPr>
          <w:rFonts w:hint="cs"/>
          <w:color w:val="auto"/>
          <w:rtl/>
        </w:rPr>
        <w:t>بين</w:t>
      </w:r>
      <w:r w:rsidRPr="006571AC">
        <w:rPr>
          <w:rFonts w:hint="cs"/>
          <w:color w:val="auto"/>
          <w:rtl/>
        </w:rPr>
        <w:t xml:space="preserve"> الحكمة والعلّة</w:t>
      </w:r>
      <w:bookmarkEnd w:id="210"/>
      <w:r w:rsidRPr="006571AC">
        <w:rPr>
          <w:rFonts w:hint="cs"/>
          <w:color w:val="auto"/>
          <w:rtl/>
        </w:rPr>
        <w:t xml:space="preserve"> </w:t>
      </w:r>
      <w:bookmarkEnd w:id="211"/>
    </w:p>
    <w:p w:rsidR="00237EB1" w:rsidRPr="006571AC" w:rsidRDefault="00237EB1" w:rsidP="00E60D93">
      <w:pPr>
        <w:rPr>
          <w:sz w:val="27"/>
          <w:rtl/>
        </w:rPr>
      </w:pPr>
      <w:r w:rsidRPr="006571AC">
        <w:rPr>
          <w:rFonts w:hint="cs"/>
          <w:sz w:val="27"/>
          <w:rtl/>
        </w:rPr>
        <w:t>الحكمة هي المصلحة بعينها، والمصلحة هي المقصودة للشارع من تشريع الحكم، وإن</w:t>
      </w:r>
      <w:r w:rsidR="0057564D" w:rsidRPr="006571AC">
        <w:rPr>
          <w:rFonts w:hint="cs"/>
          <w:sz w:val="27"/>
          <w:rtl/>
        </w:rPr>
        <w:t>ْ</w:t>
      </w:r>
      <w:r w:rsidRPr="006571AC">
        <w:rPr>
          <w:rFonts w:hint="cs"/>
          <w:sz w:val="27"/>
          <w:rtl/>
        </w:rPr>
        <w:t xml:space="preserve"> لم يصر</w:t>
      </w:r>
      <w:r w:rsidR="0057564D" w:rsidRPr="006571AC">
        <w:rPr>
          <w:rFonts w:hint="cs"/>
          <w:sz w:val="27"/>
          <w:rtl/>
        </w:rPr>
        <w:t>ِّ</w:t>
      </w:r>
      <w:r w:rsidRPr="006571AC">
        <w:rPr>
          <w:rFonts w:hint="cs"/>
          <w:sz w:val="27"/>
          <w:rtl/>
        </w:rPr>
        <w:t>ح بها</w:t>
      </w:r>
      <w:r w:rsidR="0057564D" w:rsidRPr="006571AC">
        <w:rPr>
          <w:rFonts w:hint="cs"/>
          <w:sz w:val="27"/>
          <w:rtl/>
        </w:rPr>
        <w:t>،</w:t>
      </w:r>
      <w:r w:rsidRPr="006571AC">
        <w:rPr>
          <w:rFonts w:hint="cs"/>
          <w:sz w:val="27"/>
          <w:rtl/>
        </w:rPr>
        <w:t xml:space="preserve"> أو صر</w:t>
      </w:r>
      <w:r w:rsidR="0057564D" w:rsidRPr="006571AC">
        <w:rPr>
          <w:rFonts w:hint="cs"/>
          <w:sz w:val="27"/>
          <w:rtl/>
        </w:rPr>
        <w:t>َّ</w:t>
      </w:r>
      <w:r w:rsidRPr="006571AC">
        <w:rPr>
          <w:rFonts w:hint="cs"/>
          <w:sz w:val="27"/>
          <w:rtl/>
        </w:rPr>
        <w:t>ح لكن</w:t>
      </w:r>
      <w:r w:rsidR="0057564D" w:rsidRPr="006571AC">
        <w:rPr>
          <w:rFonts w:hint="cs"/>
          <w:sz w:val="27"/>
          <w:rtl/>
        </w:rPr>
        <w:t>ْ</w:t>
      </w:r>
      <w:r w:rsidRPr="006571AC">
        <w:rPr>
          <w:rFonts w:hint="cs"/>
          <w:sz w:val="27"/>
          <w:rtl/>
        </w:rPr>
        <w:t xml:space="preserve"> من غير ذكر الحكم الذي يدور مدارها</w:t>
      </w:r>
      <w:r w:rsidR="0057564D" w:rsidRPr="006571AC">
        <w:rPr>
          <w:rFonts w:hint="cs"/>
          <w:sz w:val="27"/>
          <w:rtl/>
        </w:rPr>
        <w:t>؛</w:t>
      </w:r>
      <w:r w:rsidRPr="006571AC">
        <w:rPr>
          <w:rFonts w:hint="cs"/>
          <w:sz w:val="27"/>
          <w:rtl/>
        </w:rPr>
        <w:t xml:space="preserve"> في حين أنّ العلة هي الوصف الذي </w:t>
      </w:r>
      <w:r w:rsidR="0057564D" w:rsidRPr="006571AC">
        <w:rPr>
          <w:rFonts w:hint="cs"/>
          <w:sz w:val="27"/>
          <w:rtl/>
        </w:rPr>
        <w:t>أُ</w:t>
      </w:r>
      <w:r w:rsidRPr="006571AC">
        <w:rPr>
          <w:rFonts w:hint="cs"/>
          <w:sz w:val="27"/>
          <w:rtl/>
        </w:rPr>
        <w:t>نيط به الحكم، بوجوده يوجد وبعدمه ينعدم، فهي مظنّة</w:t>
      </w:r>
      <w:r w:rsidR="0057564D" w:rsidRPr="006571AC">
        <w:rPr>
          <w:rFonts w:hint="cs"/>
          <w:sz w:val="27"/>
          <w:rtl/>
        </w:rPr>
        <w:t>ٌ</w:t>
      </w:r>
      <w:r w:rsidRPr="006571AC">
        <w:rPr>
          <w:rFonts w:hint="cs"/>
          <w:sz w:val="27"/>
          <w:rtl/>
        </w:rPr>
        <w:t xml:space="preserve"> لتحقيق المصلحة المقصودة للشارع، وليست هي المصلحة بعينها</w:t>
      </w:r>
      <w:r w:rsidRPr="006571AC">
        <w:rPr>
          <w:sz w:val="27"/>
          <w:vertAlign w:val="superscript"/>
          <w:rtl/>
        </w:rPr>
        <w:t>(</w:t>
      </w:r>
      <w:r w:rsidRPr="006571AC">
        <w:rPr>
          <w:sz w:val="27"/>
          <w:vertAlign w:val="superscript"/>
          <w:rtl/>
        </w:rPr>
        <w:endnoteReference w:id="412"/>
      </w:r>
      <w:r w:rsidRPr="006571AC">
        <w:rPr>
          <w:sz w:val="27"/>
          <w:vertAlign w:val="superscript"/>
          <w:rtl/>
        </w:rPr>
        <w:t>)</w:t>
      </w:r>
      <w:r w:rsidRPr="006571AC">
        <w:rPr>
          <w:sz w:val="27"/>
          <w:rtl/>
        </w:rPr>
        <w:t>.</w:t>
      </w:r>
    </w:p>
    <w:p w:rsidR="00237EB1" w:rsidRPr="006571AC" w:rsidRDefault="00237EB1" w:rsidP="00291BAF">
      <w:pPr>
        <w:spacing w:line="440" w:lineRule="exact"/>
        <w:rPr>
          <w:sz w:val="27"/>
          <w:rtl/>
        </w:rPr>
      </w:pPr>
      <w:r w:rsidRPr="006571AC">
        <w:rPr>
          <w:rFonts w:hint="cs"/>
          <w:sz w:val="27"/>
          <w:rtl/>
        </w:rPr>
        <w:t xml:space="preserve"> </w:t>
      </w:r>
    </w:p>
    <w:p w:rsidR="00237EB1" w:rsidRPr="006571AC" w:rsidRDefault="00237EB1" w:rsidP="0057564D">
      <w:pPr>
        <w:pStyle w:val="31"/>
        <w:rPr>
          <w:color w:val="auto"/>
          <w:sz w:val="26"/>
          <w:rtl/>
        </w:rPr>
      </w:pPr>
      <w:bookmarkStart w:id="212" w:name="_Toc79281904"/>
      <w:bookmarkStart w:id="213" w:name="_Toc114164683"/>
      <w:r w:rsidRPr="006571AC">
        <w:rPr>
          <w:rStyle w:val="1Char"/>
          <w:rFonts w:cs="Abz-3 (Yagut)" w:hint="cs"/>
          <w:b w:val="0"/>
          <w:color w:val="auto"/>
          <w:sz w:val="26"/>
          <w:szCs w:val="26"/>
          <w:rtl/>
        </w:rPr>
        <w:t>مقصد الشريعة</w:t>
      </w:r>
      <w:bookmarkEnd w:id="212"/>
      <w:bookmarkEnd w:id="213"/>
      <w:r w:rsidRPr="006571AC">
        <w:rPr>
          <w:rStyle w:val="1Char"/>
          <w:rFonts w:cs="Abz-3 (Yagut)" w:hint="cs"/>
          <w:b w:val="0"/>
          <w:color w:val="auto"/>
          <w:sz w:val="26"/>
          <w:szCs w:val="26"/>
          <w:rtl/>
        </w:rPr>
        <w:t xml:space="preserve"> </w:t>
      </w:r>
    </w:p>
    <w:p w:rsidR="00237EB1" w:rsidRPr="006571AC" w:rsidRDefault="00237EB1" w:rsidP="00E60D93">
      <w:pPr>
        <w:rPr>
          <w:sz w:val="27"/>
          <w:rtl/>
        </w:rPr>
      </w:pPr>
      <w:r w:rsidRPr="006571AC">
        <w:rPr>
          <w:rFonts w:hint="cs"/>
          <w:sz w:val="27"/>
          <w:rtl/>
        </w:rPr>
        <w:t>هو اصطلاح</w:t>
      </w:r>
      <w:r w:rsidR="0057564D" w:rsidRPr="006571AC">
        <w:rPr>
          <w:rFonts w:hint="cs"/>
          <w:sz w:val="27"/>
          <w:rtl/>
        </w:rPr>
        <w:t>ٌ</w:t>
      </w:r>
      <w:r w:rsidRPr="006571AC">
        <w:rPr>
          <w:rFonts w:hint="cs"/>
          <w:sz w:val="27"/>
          <w:rtl/>
        </w:rPr>
        <w:t xml:space="preserve"> مرك</w:t>
      </w:r>
      <w:r w:rsidR="0057564D" w:rsidRPr="006571AC">
        <w:rPr>
          <w:rFonts w:hint="cs"/>
          <w:sz w:val="27"/>
          <w:rtl/>
        </w:rPr>
        <w:t>َّ</w:t>
      </w:r>
      <w:r w:rsidRPr="006571AC">
        <w:rPr>
          <w:rFonts w:hint="cs"/>
          <w:sz w:val="27"/>
          <w:rtl/>
        </w:rPr>
        <w:t>ب</w:t>
      </w:r>
      <w:r w:rsidR="0057564D" w:rsidRPr="006571AC">
        <w:rPr>
          <w:rFonts w:hint="cs"/>
          <w:sz w:val="27"/>
          <w:rtl/>
        </w:rPr>
        <w:t>،</w:t>
      </w:r>
      <w:r w:rsidRPr="006571AC">
        <w:rPr>
          <w:rFonts w:hint="cs"/>
          <w:sz w:val="27"/>
          <w:rtl/>
        </w:rPr>
        <w:t xml:space="preserve"> ذكروا له ثلاث</w:t>
      </w:r>
      <w:r w:rsidR="0057564D" w:rsidRPr="006571AC">
        <w:rPr>
          <w:rFonts w:hint="cs"/>
          <w:sz w:val="27"/>
          <w:rtl/>
        </w:rPr>
        <w:t>ة</w:t>
      </w:r>
      <w:r w:rsidRPr="006571AC">
        <w:rPr>
          <w:rFonts w:hint="cs"/>
          <w:sz w:val="27"/>
          <w:rtl/>
        </w:rPr>
        <w:t xml:space="preserve"> استعمالات</w:t>
      </w:r>
      <w:r w:rsidR="0057564D" w:rsidRPr="006571AC">
        <w:rPr>
          <w:rFonts w:hint="cs"/>
          <w:sz w:val="27"/>
          <w:rtl/>
        </w:rPr>
        <w:t>،</w:t>
      </w:r>
      <w:r w:rsidRPr="006571AC">
        <w:rPr>
          <w:rFonts w:hint="cs"/>
          <w:sz w:val="27"/>
          <w:rtl/>
        </w:rPr>
        <w:t xml:space="preserve"> ت</w:t>
      </w:r>
      <w:r w:rsidR="0057564D" w:rsidRPr="006571AC">
        <w:rPr>
          <w:rFonts w:hint="cs"/>
          <w:sz w:val="27"/>
          <w:rtl/>
        </w:rPr>
        <w:t>َ</w:t>
      </w:r>
      <w:r w:rsidRPr="006571AC">
        <w:rPr>
          <w:rFonts w:hint="cs"/>
          <w:sz w:val="27"/>
          <w:rtl/>
        </w:rPr>
        <w:t>ب</w:t>
      </w:r>
      <w:r w:rsidR="0057564D" w:rsidRPr="006571AC">
        <w:rPr>
          <w:rFonts w:hint="cs"/>
          <w:sz w:val="27"/>
          <w:rtl/>
        </w:rPr>
        <w:t>َ</w:t>
      </w:r>
      <w:r w:rsidRPr="006571AC">
        <w:rPr>
          <w:rFonts w:hint="cs"/>
          <w:sz w:val="27"/>
          <w:rtl/>
        </w:rPr>
        <w:t>عا</w:t>
      </w:r>
      <w:r w:rsidR="0057564D" w:rsidRPr="006571AC">
        <w:rPr>
          <w:rFonts w:hint="cs"/>
          <w:sz w:val="27"/>
          <w:rtl/>
        </w:rPr>
        <w:t>ً</w:t>
      </w:r>
      <w:r w:rsidRPr="006571AC">
        <w:rPr>
          <w:rFonts w:hint="cs"/>
          <w:sz w:val="27"/>
          <w:rtl/>
        </w:rPr>
        <w:t xml:space="preserve"> لما أ</w:t>
      </w:r>
      <w:r w:rsidR="0057564D" w:rsidRPr="006571AC">
        <w:rPr>
          <w:rFonts w:hint="cs"/>
          <w:sz w:val="27"/>
          <w:rtl/>
        </w:rPr>
        <w:t>ُ</w:t>
      </w:r>
      <w:r w:rsidRPr="006571AC">
        <w:rPr>
          <w:rFonts w:hint="cs"/>
          <w:sz w:val="27"/>
          <w:rtl/>
        </w:rPr>
        <w:t>ريد منه من مفهوم الشريعة، لذا سيتم</w:t>
      </w:r>
      <w:r w:rsidR="0057564D" w:rsidRPr="006571AC">
        <w:rPr>
          <w:rFonts w:hint="cs"/>
          <w:sz w:val="27"/>
          <w:rtl/>
        </w:rPr>
        <w:t>ّ</w:t>
      </w:r>
      <w:r w:rsidRPr="006571AC">
        <w:rPr>
          <w:rFonts w:hint="cs"/>
          <w:sz w:val="27"/>
          <w:rtl/>
        </w:rPr>
        <w:t xml:space="preserve"> ذكر الاستعمال الذي يتناسب مع البحث. </w:t>
      </w:r>
    </w:p>
    <w:p w:rsidR="00237EB1" w:rsidRPr="006571AC" w:rsidRDefault="00237EB1" w:rsidP="00E60D93">
      <w:pPr>
        <w:rPr>
          <w:sz w:val="27"/>
          <w:rtl/>
        </w:rPr>
      </w:pPr>
      <w:r w:rsidRPr="006571AC">
        <w:rPr>
          <w:rFonts w:hint="cs"/>
          <w:sz w:val="27"/>
          <w:rtl/>
        </w:rPr>
        <w:t>المراد</w:t>
      </w:r>
      <w:r w:rsidR="0057564D" w:rsidRPr="006571AC">
        <w:rPr>
          <w:rFonts w:hint="cs"/>
          <w:sz w:val="27"/>
          <w:rtl/>
        </w:rPr>
        <w:t>ُ</w:t>
      </w:r>
      <w:r w:rsidRPr="006571AC">
        <w:rPr>
          <w:rFonts w:hint="cs"/>
          <w:sz w:val="27"/>
          <w:rtl/>
        </w:rPr>
        <w:t xml:space="preserve"> من مقصد الشريعة أهداف</w:t>
      </w:r>
      <w:r w:rsidR="0057564D" w:rsidRPr="006571AC">
        <w:rPr>
          <w:rFonts w:hint="cs"/>
          <w:sz w:val="27"/>
          <w:rtl/>
        </w:rPr>
        <w:t>ُ</w:t>
      </w:r>
      <w:r w:rsidRPr="006571AC">
        <w:rPr>
          <w:rFonts w:hint="cs"/>
          <w:sz w:val="27"/>
          <w:rtl/>
        </w:rPr>
        <w:t xml:space="preserve"> الله تعالى من تشريع المقر</w:t>
      </w:r>
      <w:r w:rsidR="0057564D" w:rsidRPr="006571AC">
        <w:rPr>
          <w:rFonts w:hint="cs"/>
          <w:sz w:val="27"/>
          <w:rtl/>
        </w:rPr>
        <w:t>َّ</w:t>
      </w:r>
      <w:r w:rsidRPr="006571AC">
        <w:rPr>
          <w:rFonts w:hint="cs"/>
          <w:sz w:val="27"/>
          <w:rtl/>
        </w:rPr>
        <w:t>رات الاعتباري</w:t>
      </w:r>
      <w:r w:rsidR="0057564D" w:rsidRPr="006571AC">
        <w:rPr>
          <w:rFonts w:hint="cs"/>
          <w:sz w:val="27"/>
          <w:rtl/>
        </w:rPr>
        <w:t>ّ</w:t>
      </w:r>
      <w:r w:rsidRPr="006571AC">
        <w:rPr>
          <w:rFonts w:hint="cs"/>
          <w:sz w:val="27"/>
          <w:rtl/>
        </w:rPr>
        <w:t>ة والعملي</w:t>
      </w:r>
      <w:r w:rsidR="0057564D" w:rsidRPr="006571AC">
        <w:rPr>
          <w:rFonts w:hint="cs"/>
          <w:sz w:val="27"/>
          <w:rtl/>
        </w:rPr>
        <w:t>ّ</w:t>
      </w:r>
      <w:r w:rsidRPr="006571AC">
        <w:rPr>
          <w:rFonts w:hint="cs"/>
          <w:sz w:val="27"/>
          <w:rtl/>
        </w:rPr>
        <w:t>ة في دين ال</w:t>
      </w:r>
      <w:r w:rsidR="0057564D" w:rsidRPr="006571AC">
        <w:rPr>
          <w:rFonts w:hint="cs"/>
          <w:sz w:val="27"/>
          <w:rtl/>
        </w:rPr>
        <w:t>إ</w:t>
      </w:r>
      <w:r w:rsidRPr="006571AC">
        <w:rPr>
          <w:rFonts w:hint="cs"/>
          <w:sz w:val="27"/>
          <w:rtl/>
        </w:rPr>
        <w:t xml:space="preserve">سلام، ومن البديهي أن يكون المراد من </w:t>
      </w:r>
      <w:r w:rsidRPr="006571AC">
        <w:rPr>
          <w:rFonts w:hint="eastAsia"/>
          <w:sz w:val="24"/>
          <w:szCs w:val="24"/>
          <w:rtl/>
        </w:rPr>
        <w:t>«</w:t>
      </w:r>
      <w:r w:rsidRPr="006571AC">
        <w:rPr>
          <w:rFonts w:hint="cs"/>
          <w:sz w:val="27"/>
          <w:rtl/>
        </w:rPr>
        <w:t>الشريعة</w:t>
      </w:r>
      <w:r w:rsidRPr="006571AC">
        <w:rPr>
          <w:rFonts w:hint="eastAsia"/>
          <w:sz w:val="24"/>
          <w:szCs w:val="24"/>
          <w:rtl/>
        </w:rPr>
        <w:t>»</w:t>
      </w:r>
      <w:r w:rsidRPr="006571AC">
        <w:rPr>
          <w:rFonts w:hint="cs"/>
          <w:sz w:val="27"/>
          <w:rtl/>
        </w:rPr>
        <w:t xml:space="preserve"> في هذا الاستعمال هو </w:t>
      </w:r>
      <w:r w:rsidRPr="006571AC">
        <w:rPr>
          <w:rFonts w:hint="eastAsia"/>
          <w:sz w:val="24"/>
          <w:szCs w:val="24"/>
          <w:rtl/>
        </w:rPr>
        <w:t>«</w:t>
      </w:r>
      <w:r w:rsidRPr="006571AC">
        <w:rPr>
          <w:rFonts w:hint="cs"/>
          <w:sz w:val="27"/>
          <w:rtl/>
        </w:rPr>
        <w:t>أحكام الإسلام</w:t>
      </w:r>
      <w:r w:rsidRPr="006571AC">
        <w:rPr>
          <w:rFonts w:hint="eastAsia"/>
          <w:sz w:val="24"/>
          <w:szCs w:val="24"/>
          <w:rtl/>
        </w:rPr>
        <w:t>»</w:t>
      </w:r>
      <w:r w:rsidRPr="006571AC">
        <w:rPr>
          <w:sz w:val="27"/>
          <w:vertAlign w:val="superscript"/>
          <w:rtl/>
        </w:rPr>
        <w:t>(</w:t>
      </w:r>
      <w:r w:rsidRPr="006571AC">
        <w:rPr>
          <w:sz w:val="27"/>
          <w:vertAlign w:val="superscript"/>
          <w:rtl/>
        </w:rPr>
        <w:endnoteReference w:id="413"/>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r w:rsidRPr="006571AC">
        <w:rPr>
          <w:rFonts w:hint="cs"/>
          <w:sz w:val="27"/>
          <w:rtl/>
        </w:rPr>
        <w:t>بعدما ات</w:t>
      </w:r>
      <w:r w:rsidR="0057564D" w:rsidRPr="006571AC">
        <w:rPr>
          <w:rFonts w:hint="cs"/>
          <w:sz w:val="27"/>
          <w:rtl/>
        </w:rPr>
        <w:t>َّ</w:t>
      </w:r>
      <w:r w:rsidRPr="006571AC">
        <w:rPr>
          <w:rFonts w:hint="cs"/>
          <w:sz w:val="27"/>
          <w:rtl/>
        </w:rPr>
        <w:t>ضح معنى حكمة تشريع الحكم والمقصد منه وعل</w:t>
      </w:r>
      <w:r w:rsidR="00CE3992" w:rsidRPr="006571AC">
        <w:rPr>
          <w:rFonts w:hint="cs"/>
          <w:sz w:val="27"/>
          <w:rtl/>
        </w:rPr>
        <w:t>ّ</w:t>
      </w:r>
      <w:r w:rsidRPr="006571AC">
        <w:rPr>
          <w:rFonts w:hint="cs"/>
          <w:sz w:val="27"/>
          <w:rtl/>
        </w:rPr>
        <w:t>ته يأتي الحديث عن فلسفة وحكمة تشريع المهر</w:t>
      </w:r>
      <w:r w:rsidR="00CE3992" w:rsidRPr="006571AC">
        <w:rPr>
          <w:rFonts w:hint="cs"/>
          <w:sz w:val="27"/>
          <w:rtl/>
        </w:rPr>
        <w:t>.</w:t>
      </w:r>
      <w:r w:rsidRPr="006571AC">
        <w:rPr>
          <w:rFonts w:hint="cs"/>
          <w:sz w:val="27"/>
          <w:rtl/>
        </w:rPr>
        <w:t xml:space="preserve"> </w:t>
      </w:r>
      <w:r w:rsidR="00CE3992" w:rsidRPr="006571AC">
        <w:rPr>
          <w:rFonts w:hint="cs"/>
          <w:sz w:val="27"/>
          <w:rtl/>
        </w:rPr>
        <w:t>و</w:t>
      </w:r>
      <w:r w:rsidRPr="006571AC">
        <w:rPr>
          <w:rFonts w:hint="cs"/>
          <w:sz w:val="27"/>
          <w:rtl/>
        </w:rPr>
        <w:t>الآيات القرآنية التي تحد</w:t>
      </w:r>
      <w:r w:rsidR="00CE3992" w:rsidRPr="006571AC">
        <w:rPr>
          <w:rFonts w:hint="cs"/>
          <w:sz w:val="27"/>
          <w:rtl/>
        </w:rPr>
        <w:t>َّ</w:t>
      </w:r>
      <w:r w:rsidRPr="006571AC">
        <w:rPr>
          <w:rFonts w:hint="cs"/>
          <w:sz w:val="27"/>
          <w:rtl/>
        </w:rPr>
        <w:t>ث</w:t>
      </w:r>
      <w:r w:rsidR="00CE3992" w:rsidRPr="006571AC">
        <w:rPr>
          <w:rFonts w:hint="cs"/>
          <w:sz w:val="27"/>
          <w:rtl/>
        </w:rPr>
        <w:t>َ</w:t>
      </w:r>
      <w:r w:rsidRPr="006571AC">
        <w:rPr>
          <w:rFonts w:hint="cs"/>
          <w:sz w:val="27"/>
          <w:rtl/>
        </w:rPr>
        <w:t>ت</w:t>
      </w:r>
      <w:r w:rsidR="00CE3992" w:rsidRPr="006571AC">
        <w:rPr>
          <w:rFonts w:hint="cs"/>
          <w:sz w:val="27"/>
          <w:rtl/>
        </w:rPr>
        <w:t>ْ</w:t>
      </w:r>
      <w:r w:rsidRPr="006571AC">
        <w:rPr>
          <w:rFonts w:hint="cs"/>
          <w:sz w:val="27"/>
          <w:rtl/>
        </w:rPr>
        <w:t xml:space="preserve"> عن المهر لم تصر</w:t>
      </w:r>
      <w:r w:rsidR="00CE3992" w:rsidRPr="006571AC">
        <w:rPr>
          <w:rFonts w:hint="cs"/>
          <w:sz w:val="27"/>
          <w:rtl/>
        </w:rPr>
        <w:t>ِّ</w:t>
      </w:r>
      <w:r w:rsidRPr="006571AC">
        <w:rPr>
          <w:rFonts w:hint="cs"/>
          <w:sz w:val="27"/>
          <w:rtl/>
        </w:rPr>
        <w:t>ح عن عل</w:t>
      </w:r>
      <w:r w:rsidR="00CE3992" w:rsidRPr="006571AC">
        <w:rPr>
          <w:rFonts w:hint="cs"/>
          <w:sz w:val="27"/>
          <w:rtl/>
        </w:rPr>
        <w:t>ّ</w:t>
      </w:r>
      <w:r w:rsidRPr="006571AC">
        <w:rPr>
          <w:rFonts w:hint="cs"/>
          <w:sz w:val="27"/>
          <w:rtl/>
        </w:rPr>
        <w:t>ة تشريعه</w:t>
      </w:r>
      <w:r w:rsidR="00CE3992" w:rsidRPr="006571AC">
        <w:rPr>
          <w:rFonts w:hint="cs"/>
          <w:sz w:val="27"/>
          <w:rtl/>
        </w:rPr>
        <w:t>،</w:t>
      </w:r>
      <w:r w:rsidRPr="006571AC">
        <w:rPr>
          <w:rFonts w:hint="cs"/>
          <w:sz w:val="27"/>
          <w:rtl/>
        </w:rPr>
        <w:t xml:space="preserve"> على غرار بعض الآيات الأخرى التي تحد</w:t>
      </w:r>
      <w:r w:rsidR="00CE3992" w:rsidRPr="006571AC">
        <w:rPr>
          <w:rFonts w:hint="cs"/>
          <w:sz w:val="27"/>
          <w:rtl/>
        </w:rPr>
        <w:t>َّ</w:t>
      </w:r>
      <w:r w:rsidRPr="006571AC">
        <w:rPr>
          <w:rFonts w:hint="cs"/>
          <w:sz w:val="27"/>
          <w:rtl/>
        </w:rPr>
        <w:t>ثت عن علل الأحكام</w:t>
      </w:r>
      <w:r w:rsidR="00CE3992" w:rsidRPr="006571AC">
        <w:rPr>
          <w:rFonts w:hint="cs"/>
          <w:sz w:val="27"/>
          <w:rtl/>
        </w:rPr>
        <w:t>.</w:t>
      </w:r>
      <w:r w:rsidRPr="006571AC">
        <w:rPr>
          <w:rFonts w:hint="cs"/>
          <w:sz w:val="27"/>
          <w:rtl/>
        </w:rPr>
        <w:t xml:space="preserve"> نعم</w:t>
      </w:r>
      <w:r w:rsidR="00CE3992" w:rsidRPr="006571AC">
        <w:rPr>
          <w:rFonts w:hint="cs"/>
          <w:sz w:val="27"/>
          <w:rtl/>
        </w:rPr>
        <w:t>،</w:t>
      </w:r>
      <w:r w:rsidRPr="006571AC">
        <w:rPr>
          <w:rFonts w:hint="cs"/>
          <w:sz w:val="27"/>
          <w:rtl/>
        </w:rPr>
        <w:t xml:space="preserve"> لقد صرّ</w:t>
      </w:r>
      <w:r w:rsidR="00CE3992" w:rsidRPr="006571AC">
        <w:rPr>
          <w:rFonts w:hint="cs"/>
          <w:sz w:val="27"/>
          <w:rtl/>
        </w:rPr>
        <w:t>َ</w:t>
      </w:r>
      <w:r w:rsidRPr="006571AC">
        <w:rPr>
          <w:rFonts w:hint="cs"/>
          <w:sz w:val="27"/>
          <w:rtl/>
        </w:rPr>
        <w:t>ح</w:t>
      </w:r>
      <w:r w:rsidR="00CE3992" w:rsidRPr="006571AC">
        <w:rPr>
          <w:rFonts w:hint="cs"/>
          <w:sz w:val="27"/>
          <w:rtl/>
        </w:rPr>
        <w:t>َ</w:t>
      </w:r>
      <w:r w:rsidRPr="006571AC">
        <w:rPr>
          <w:rFonts w:hint="cs"/>
          <w:sz w:val="27"/>
          <w:rtl/>
        </w:rPr>
        <w:t>ت</w:t>
      </w:r>
      <w:r w:rsidR="00CE3992" w:rsidRPr="006571AC">
        <w:rPr>
          <w:rFonts w:hint="cs"/>
          <w:sz w:val="27"/>
          <w:rtl/>
        </w:rPr>
        <w:t>ْ</w:t>
      </w:r>
      <w:r w:rsidRPr="006571AC">
        <w:rPr>
          <w:rFonts w:hint="cs"/>
          <w:sz w:val="27"/>
          <w:rtl/>
        </w:rPr>
        <w:t xml:space="preserve"> الروايات عن عل</w:t>
      </w:r>
      <w:r w:rsidR="00CE3992" w:rsidRPr="006571AC">
        <w:rPr>
          <w:rFonts w:hint="cs"/>
          <w:sz w:val="27"/>
          <w:rtl/>
        </w:rPr>
        <w:t>ّ</w:t>
      </w:r>
      <w:r w:rsidRPr="006571AC">
        <w:rPr>
          <w:rFonts w:hint="cs"/>
          <w:sz w:val="27"/>
          <w:rtl/>
        </w:rPr>
        <w:t>ة وجوبه على الرجال</w:t>
      </w:r>
      <w:r w:rsidR="00CE3992" w:rsidRPr="006571AC">
        <w:rPr>
          <w:rFonts w:hint="cs"/>
          <w:sz w:val="27"/>
          <w:rtl/>
        </w:rPr>
        <w:t>،</w:t>
      </w:r>
      <w:r w:rsidRPr="006571AC">
        <w:rPr>
          <w:rFonts w:hint="cs"/>
          <w:sz w:val="27"/>
          <w:rtl/>
        </w:rPr>
        <w:t xml:space="preserve"> والسبب الموجب لاستحقاق المرأة كامل المهر هو الدخول</w:t>
      </w:r>
      <w:r w:rsidR="00CE3992" w:rsidRPr="006571AC">
        <w:rPr>
          <w:rFonts w:hint="cs"/>
          <w:sz w:val="27"/>
          <w:rtl/>
        </w:rPr>
        <w:t>؛</w:t>
      </w:r>
      <w:r w:rsidRPr="006571AC">
        <w:rPr>
          <w:rFonts w:hint="cs"/>
          <w:sz w:val="27"/>
          <w:rtl/>
        </w:rPr>
        <w:t xml:space="preserve"> باعتبار </w:t>
      </w:r>
      <w:r w:rsidR="00CE3992" w:rsidRPr="006571AC">
        <w:rPr>
          <w:rFonts w:hint="cs"/>
          <w:sz w:val="27"/>
          <w:rtl/>
        </w:rPr>
        <w:t>أ</w:t>
      </w:r>
      <w:r w:rsidRPr="006571AC">
        <w:rPr>
          <w:rFonts w:hint="cs"/>
          <w:sz w:val="27"/>
          <w:rtl/>
        </w:rPr>
        <w:t>ن المرأة تملك تمام المهر بالعقد</w:t>
      </w:r>
      <w:r w:rsidR="00CE3992" w:rsidRPr="006571AC">
        <w:rPr>
          <w:rFonts w:hint="cs"/>
          <w:sz w:val="27"/>
          <w:rtl/>
        </w:rPr>
        <w:t>،</w:t>
      </w:r>
      <w:r w:rsidRPr="006571AC">
        <w:rPr>
          <w:rFonts w:hint="cs"/>
          <w:sz w:val="27"/>
          <w:rtl/>
        </w:rPr>
        <w:t xml:space="preserve"> ويسقط نصفه بالطلاق قبل الدخول</w:t>
      </w:r>
      <w:r w:rsidR="00CE3992" w:rsidRPr="006571AC">
        <w:rPr>
          <w:rFonts w:hint="cs"/>
          <w:sz w:val="27"/>
          <w:rtl/>
        </w:rPr>
        <w:t>.</w:t>
      </w:r>
      <w:r w:rsidRPr="006571AC">
        <w:rPr>
          <w:rFonts w:hint="cs"/>
          <w:sz w:val="27"/>
          <w:rtl/>
        </w:rPr>
        <w:t xml:space="preserve"> ولكن</w:t>
      </w:r>
      <w:r w:rsidR="00CE3992" w:rsidRPr="006571AC">
        <w:rPr>
          <w:rFonts w:hint="cs"/>
          <w:sz w:val="27"/>
          <w:rtl/>
        </w:rPr>
        <w:t>ْ</w:t>
      </w:r>
      <w:r w:rsidRPr="006571AC">
        <w:rPr>
          <w:rFonts w:hint="cs"/>
          <w:sz w:val="27"/>
          <w:rtl/>
        </w:rPr>
        <w:t xml:space="preserve"> نستشف</w:t>
      </w:r>
      <w:r w:rsidR="00CE3992" w:rsidRPr="006571AC">
        <w:rPr>
          <w:rFonts w:hint="cs"/>
          <w:sz w:val="27"/>
          <w:rtl/>
        </w:rPr>
        <w:t>ّ</w:t>
      </w:r>
      <w:r w:rsidRPr="006571AC">
        <w:rPr>
          <w:rFonts w:hint="cs"/>
          <w:sz w:val="27"/>
          <w:rtl/>
        </w:rPr>
        <w:t xml:space="preserve"> من الروايات خصوصي</w:t>
      </w:r>
      <w:r w:rsidR="00CE3992" w:rsidRPr="006571AC">
        <w:rPr>
          <w:rFonts w:hint="cs"/>
          <w:sz w:val="27"/>
          <w:rtl/>
        </w:rPr>
        <w:t>ّ</w:t>
      </w:r>
      <w:r w:rsidRPr="006571AC">
        <w:rPr>
          <w:rFonts w:hint="cs"/>
          <w:sz w:val="27"/>
          <w:rtl/>
        </w:rPr>
        <w:t>ة</w:t>
      </w:r>
      <w:r w:rsidR="00CE3992" w:rsidRPr="006571AC">
        <w:rPr>
          <w:rFonts w:hint="cs"/>
          <w:sz w:val="27"/>
          <w:rtl/>
        </w:rPr>
        <w:t>ً</w:t>
      </w:r>
      <w:r w:rsidRPr="006571AC">
        <w:rPr>
          <w:rFonts w:hint="cs"/>
          <w:sz w:val="27"/>
          <w:rtl/>
        </w:rPr>
        <w:t xml:space="preserve"> ما لإبراز الحكم</w:t>
      </w:r>
      <w:r w:rsidR="00CE3992" w:rsidRPr="006571AC">
        <w:rPr>
          <w:rFonts w:hint="cs"/>
          <w:sz w:val="27"/>
          <w:rtl/>
        </w:rPr>
        <w:t>،</w:t>
      </w:r>
      <w:r w:rsidRPr="006571AC">
        <w:rPr>
          <w:rFonts w:hint="cs"/>
          <w:sz w:val="27"/>
          <w:rtl/>
        </w:rPr>
        <w:t xml:space="preserve"> إلا</w:t>
      </w:r>
      <w:r w:rsidR="00CE3992" w:rsidRPr="006571AC">
        <w:rPr>
          <w:rFonts w:hint="cs"/>
          <w:sz w:val="27"/>
          <w:rtl/>
        </w:rPr>
        <w:t>ّ</w:t>
      </w:r>
      <w:r w:rsidRPr="006571AC">
        <w:rPr>
          <w:rFonts w:hint="cs"/>
          <w:sz w:val="27"/>
          <w:rtl/>
        </w:rPr>
        <w:t xml:space="preserve"> </w:t>
      </w:r>
      <w:r w:rsidR="00CE3992" w:rsidRPr="006571AC">
        <w:rPr>
          <w:rFonts w:hint="cs"/>
          <w:sz w:val="27"/>
          <w:rtl/>
        </w:rPr>
        <w:t>أ</w:t>
      </w:r>
      <w:r w:rsidRPr="006571AC">
        <w:rPr>
          <w:rFonts w:hint="cs"/>
          <w:sz w:val="27"/>
          <w:rtl/>
        </w:rPr>
        <w:t>ن المقصد الحقيقي خاف</w:t>
      </w:r>
      <w:r w:rsidR="00CE3992" w:rsidRPr="006571AC">
        <w:rPr>
          <w:rFonts w:hint="cs"/>
          <w:sz w:val="27"/>
          <w:rtl/>
        </w:rPr>
        <w:t>ٍ</w:t>
      </w:r>
      <w:r w:rsidRPr="006571AC">
        <w:rPr>
          <w:rFonts w:hint="cs"/>
          <w:sz w:val="27"/>
          <w:rtl/>
        </w:rPr>
        <w:t xml:space="preserve"> وم</w:t>
      </w:r>
      <w:r w:rsidR="00CE3992" w:rsidRPr="006571AC">
        <w:rPr>
          <w:rFonts w:hint="cs"/>
          <w:sz w:val="27"/>
          <w:rtl/>
        </w:rPr>
        <w:t>ُ</w:t>
      </w:r>
      <w:r w:rsidRPr="006571AC">
        <w:rPr>
          <w:rFonts w:hint="cs"/>
          <w:sz w:val="27"/>
          <w:rtl/>
        </w:rPr>
        <w:t>ب</w:t>
      </w:r>
      <w:r w:rsidR="00CE3992" w:rsidRPr="006571AC">
        <w:rPr>
          <w:rFonts w:hint="cs"/>
          <w:sz w:val="27"/>
          <w:rtl/>
        </w:rPr>
        <w:t>ْ</w:t>
      </w:r>
      <w:r w:rsidRPr="006571AC">
        <w:rPr>
          <w:rFonts w:hint="cs"/>
          <w:sz w:val="27"/>
          <w:rtl/>
        </w:rPr>
        <w:t>ه</w:t>
      </w:r>
      <w:r w:rsidR="00CE3992" w:rsidRPr="006571AC">
        <w:rPr>
          <w:rFonts w:hint="cs"/>
          <w:sz w:val="27"/>
          <w:rtl/>
        </w:rPr>
        <w:t>َ</w:t>
      </w:r>
      <w:r w:rsidRPr="006571AC">
        <w:rPr>
          <w:rFonts w:hint="cs"/>
          <w:sz w:val="27"/>
          <w:rtl/>
        </w:rPr>
        <w:t>م</w:t>
      </w:r>
      <w:r w:rsidR="00CE3992" w:rsidRPr="006571AC">
        <w:rPr>
          <w:rFonts w:hint="cs"/>
          <w:sz w:val="27"/>
          <w:rtl/>
        </w:rPr>
        <w:t>ٌ</w:t>
      </w:r>
      <w:r w:rsidRPr="006571AC">
        <w:rPr>
          <w:rFonts w:hint="cs"/>
          <w:sz w:val="27"/>
          <w:rtl/>
        </w:rPr>
        <w:t>، في حين أن العلماء ذكروا في فلسفة تشريع المهر عد</w:t>
      </w:r>
      <w:r w:rsidR="00CE3992" w:rsidRPr="006571AC">
        <w:rPr>
          <w:rFonts w:hint="cs"/>
          <w:sz w:val="27"/>
          <w:rtl/>
        </w:rPr>
        <w:t>ّ</w:t>
      </w:r>
      <w:r w:rsidRPr="006571AC">
        <w:rPr>
          <w:rFonts w:hint="cs"/>
          <w:sz w:val="27"/>
          <w:rtl/>
        </w:rPr>
        <w:t>ة أمور</w:t>
      </w:r>
      <w:r w:rsidR="00CE3992" w:rsidRPr="006571AC">
        <w:rPr>
          <w:rFonts w:hint="cs"/>
          <w:sz w:val="27"/>
          <w:rtl/>
        </w:rPr>
        <w:t>،</w:t>
      </w:r>
      <w:r w:rsidRPr="006571AC">
        <w:rPr>
          <w:rFonts w:hint="cs"/>
          <w:sz w:val="27"/>
          <w:rtl/>
        </w:rPr>
        <w:t xml:space="preserve"> </w:t>
      </w:r>
      <w:r w:rsidRPr="006571AC">
        <w:rPr>
          <w:rFonts w:hint="cs"/>
          <w:sz w:val="27"/>
          <w:rtl/>
        </w:rPr>
        <w:lastRenderedPageBreak/>
        <w:t>اعتبروها جزء</w:t>
      </w:r>
      <w:r w:rsidR="00CE3992" w:rsidRPr="006571AC">
        <w:rPr>
          <w:rFonts w:hint="cs"/>
          <w:sz w:val="27"/>
          <w:rtl/>
        </w:rPr>
        <w:t>اً</w:t>
      </w:r>
      <w:r w:rsidRPr="006571AC">
        <w:rPr>
          <w:rFonts w:hint="cs"/>
          <w:sz w:val="27"/>
          <w:rtl/>
        </w:rPr>
        <w:t xml:space="preserve"> من الهدف والغاية من تشريع المهر</w:t>
      </w:r>
      <w:r w:rsidR="00CE3992" w:rsidRPr="006571AC">
        <w:rPr>
          <w:rFonts w:hint="cs"/>
          <w:sz w:val="27"/>
          <w:rtl/>
        </w:rPr>
        <w:t>،</w:t>
      </w:r>
      <w:r w:rsidRPr="006571AC">
        <w:rPr>
          <w:rFonts w:hint="cs"/>
          <w:sz w:val="27"/>
          <w:rtl/>
        </w:rPr>
        <w:t xml:space="preserve"> وهي: </w:t>
      </w:r>
    </w:p>
    <w:p w:rsidR="00237EB1" w:rsidRPr="006571AC" w:rsidRDefault="00237EB1" w:rsidP="00E60D93">
      <w:pPr>
        <w:rPr>
          <w:sz w:val="27"/>
          <w:rtl/>
        </w:rPr>
      </w:pPr>
      <w:bookmarkStart w:id="214" w:name="_Toc79281905"/>
      <w:bookmarkStart w:id="215" w:name="_Toc114164684"/>
      <w:r w:rsidRPr="006571AC">
        <w:rPr>
          <w:rStyle w:val="1Char"/>
          <w:rFonts w:cs="AL-Mohanad" w:hint="cs"/>
          <w:b w:val="0"/>
          <w:bCs/>
          <w:sz w:val="27"/>
          <w:szCs w:val="27"/>
          <w:rtl/>
        </w:rPr>
        <w:t>1ـ المهر مقابل الاستمتاع</w:t>
      </w:r>
      <w:r w:rsidRPr="006571AC">
        <w:rPr>
          <w:rStyle w:val="1Char"/>
          <w:rFonts w:cs="AL-Mohanad" w:hint="cs"/>
          <w:sz w:val="27"/>
          <w:szCs w:val="27"/>
          <w:rtl/>
        </w:rPr>
        <w:t>:</w:t>
      </w:r>
      <w:bookmarkEnd w:id="214"/>
      <w:bookmarkEnd w:id="215"/>
      <w:r w:rsidRPr="006571AC">
        <w:rPr>
          <w:rStyle w:val="1Char"/>
          <w:rFonts w:cs="AL-Mohanad" w:hint="cs"/>
          <w:sz w:val="27"/>
          <w:szCs w:val="27"/>
          <w:rtl/>
        </w:rPr>
        <w:t xml:space="preserve"> </w:t>
      </w:r>
      <w:r w:rsidRPr="006571AC">
        <w:rPr>
          <w:rFonts w:hint="cs"/>
          <w:sz w:val="27"/>
          <w:rtl/>
        </w:rPr>
        <w:t>كما</w:t>
      </w:r>
      <w:r w:rsidRPr="006571AC">
        <w:rPr>
          <w:sz w:val="27"/>
          <w:rtl/>
        </w:rPr>
        <w:t xml:space="preserve"> </w:t>
      </w:r>
      <w:r w:rsidRPr="006571AC">
        <w:rPr>
          <w:rFonts w:hint="cs"/>
          <w:sz w:val="27"/>
          <w:rtl/>
        </w:rPr>
        <w:t>ذهب الفقهاء</w:t>
      </w:r>
      <w:r w:rsidRPr="006571AC">
        <w:rPr>
          <w:sz w:val="27"/>
          <w:vertAlign w:val="superscript"/>
          <w:rtl/>
        </w:rPr>
        <w:t>(</w:t>
      </w:r>
      <w:r w:rsidRPr="006571AC">
        <w:rPr>
          <w:sz w:val="27"/>
          <w:vertAlign w:val="superscript"/>
          <w:rtl/>
        </w:rPr>
        <w:endnoteReference w:id="414"/>
      </w:r>
      <w:r w:rsidRPr="006571AC">
        <w:rPr>
          <w:sz w:val="27"/>
          <w:vertAlign w:val="superscript"/>
          <w:rtl/>
        </w:rPr>
        <w:t>)</w:t>
      </w:r>
      <w:r w:rsidR="00CE3992" w:rsidRPr="006571AC">
        <w:rPr>
          <w:rFonts w:hint="cs"/>
          <w:sz w:val="27"/>
          <w:rtl/>
        </w:rPr>
        <w:t>،</w:t>
      </w:r>
      <w:r w:rsidRPr="006571AC">
        <w:rPr>
          <w:sz w:val="27"/>
          <w:rtl/>
        </w:rPr>
        <w:t xml:space="preserve"> </w:t>
      </w:r>
      <w:r w:rsidRPr="006571AC">
        <w:rPr>
          <w:rFonts w:hint="cs"/>
          <w:sz w:val="27"/>
          <w:rtl/>
        </w:rPr>
        <w:t>وتبعا</w:t>
      </w:r>
      <w:r w:rsidR="00CE3992" w:rsidRPr="006571AC">
        <w:rPr>
          <w:rFonts w:hint="cs"/>
          <w:sz w:val="27"/>
          <w:rtl/>
        </w:rPr>
        <w:t>ً</w:t>
      </w:r>
      <w:r w:rsidRPr="006571AC">
        <w:rPr>
          <w:rFonts w:hint="cs"/>
          <w:sz w:val="27"/>
          <w:rtl/>
        </w:rPr>
        <w:t xml:space="preserve"> لما ورد في روايات أهل البيت</w:t>
      </w:r>
      <w:r w:rsidR="002A2C90" w:rsidRPr="006571AC">
        <w:rPr>
          <w:rFonts w:ascii="Mosawi" w:hAnsi="Mosawi" w:cs="Mosawi"/>
          <w:sz w:val="22"/>
          <w:szCs w:val="22"/>
          <w:rtl/>
        </w:rPr>
        <w:t>^</w:t>
      </w:r>
      <w:r w:rsidR="00CE3992"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إنّما</w:t>
      </w:r>
      <w:r w:rsidRPr="006571AC">
        <w:rPr>
          <w:sz w:val="27"/>
          <w:rtl/>
        </w:rPr>
        <w:t xml:space="preserve"> </w:t>
      </w:r>
      <w:r w:rsidRPr="006571AC">
        <w:rPr>
          <w:rFonts w:hint="cs"/>
          <w:sz w:val="27"/>
          <w:rtl/>
        </w:rPr>
        <w:t>يشتريها</w:t>
      </w:r>
      <w:r w:rsidRPr="006571AC">
        <w:rPr>
          <w:sz w:val="27"/>
          <w:rtl/>
        </w:rPr>
        <w:t xml:space="preserve"> </w:t>
      </w:r>
      <w:r w:rsidRPr="006571AC">
        <w:rPr>
          <w:rFonts w:hint="cs"/>
          <w:sz w:val="27"/>
          <w:rtl/>
        </w:rPr>
        <w:t>بأغلى</w:t>
      </w:r>
      <w:r w:rsidRPr="006571AC">
        <w:rPr>
          <w:sz w:val="27"/>
          <w:rtl/>
        </w:rPr>
        <w:t xml:space="preserve"> </w:t>
      </w:r>
      <w:r w:rsidRPr="006571AC">
        <w:rPr>
          <w:rFonts w:hint="cs"/>
          <w:sz w:val="27"/>
          <w:rtl/>
        </w:rPr>
        <w:t>الثمن</w:t>
      </w:r>
      <w:r w:rsidRPr="006571AC">
        <w:rPr>
          <w:rFonts w:hint="eastAsia"/>
          <w:sz w:val="24"/>
          <w:szCs w:val="24"/>
          <w:rtl/>
        </w:rPr>
        <w:t>»</w:t>
      </w:r>
      <w:r w:rsidRPr="006571AC">
        <w:rPr>
          <w:sz w:val="27"/>
          <w:vertAlign w:val="superscript"/>
          <w:rtl/>
        </w:rPr>
        <w:t>(</w:t>
      </w:r>
      <w:r w:rsidRPr="006571AC">
        <w:rPr>
          <w:sz w:val="27"/>
          <w:vertAlign w:val="superscript"/>
          <w:rtl/>
        </w:rPr>
        <w:endnoteReference w:id="415"/>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CE3992" w:rsidP="00E60D93">
      <w:pPr>
        <w:rPr>
          <w:sz w:val="27"/>
          <w:rtl/>
        </w:rPr>
      </w:pPr>
      <w:r w:rsidRPr="006571AC">
        <w:rPr>
          <w:rFonts w:hint="cs"/>
          <w:sz w:val="27"/>
          <w:rtl/>
        </w:rPr>
        <w:t>و</w:t>
      </w:r>
      <w:r w:rsidR="00237EB1" w:rsidRPr="006571AC">
        <w:rPr>
          <w:rFonts w:hint="cs"/>
          <w:sz w:val="27"/>
          <w:rtl/>
        </w:rPr>
        <w:t>المستفاد</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كلمات</w:t>
      </w:r>
      <w:r w:rsidR="00237EB1" w:rsidRPr="006571AC">
        <w:rPr>
          <w:sz w:val="27"/>
          <w:rtl/>
        </w:rPr>
        <w:t xml:space="preserve"> </w:t>
      </w:r>
      <w:r w:rsidR="00237EB1" w:rsidRPr="006571AC">
        <w:rPr>
          <w:rFonts w:hint="cs"/>
          <w:sz w:val="27"/>
          <w:rtl/>
        </w:rPr>
        <w:t>الفقهاء</w:t>
      </w:r>
      <w:r w:rsidR="00237EB1" w:rsidRPr="006571AC">
        <w:rPr>
          <w:sz w:val="27"/>
          <w:rtl/>
        </w:rPr>
        <w:t xml:space="preserve"> </w:t>
      </w:r>
      <w:r w:rsidR="00237EB1" w:rsidRPr="006571AC">
        <w:rPr>
          <w:rFonts w:hint="cs"/>
          <w:sz w:val="27"/>
          <w:rtl/>
        </w:rPr>
        <w:t>أنّ</w:t>
      </w:r>
      <w:r w:rsidR="00237EB1" w:rsidRPr="006571AC">
        <w:rPr>
          <w:sz w:val="27"/>
          <w:rtl/>
        </w:rPr>
        <w:t xml:space="preserve"> </w:t>
      </w:r>
      <w:r w:rsidR="00237EB1" w:rsidRPr="006571AC">
        <w:rPr>
          <w:rFonts w:hint="cs"/>
          <w:sz w:val="27"/>
          <w:rtl/>
        </w:rPr>
        <w:t>المقصود</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ملكية</w:t>
      </w:r>
      <w:r w:rsidR="00237EB1" w:rsidRPr="006571AC">
        <w:rPr>
          <w:sz w:val="27"/>
          <w:rtl/>
        </w:rPr>
        <w:t xml:space="preserve"> </w:t>
      </w:r>
      <w:r w:rsidR="00237EB1" w:rsidRPr="006571AC">
        <w:rPr>
          <w:rFonts w:hint="cs"/>
          <w:sz w:val="27"/>
          <w:rtl/>
        </w:rPr>
        <w:t>الزوج</w:t>
      </w:r>
      <w:r w:rsidR="00237EB1" w:rsidRPr="006571AC">
        <w:rPr>
          <w:sz w:val="27"/>
          <w:rtl/>
        </w:rPr>
        <w:t xml:space="preserve"> </w:t>
      </w:r>
      <w:r w:rsidR="00237EB1" w:rsidRPr="006571AC">
        <w:rPr>
          <w:rFonts w:hint="cs"/>
          <w:sz w:val="27"/>
          <w:rtl/>
        </w:rPr>
        <w:t>لبضع</w:t>
      </w:r>
      <w:r w:rsidR="00237EB1" w:rsidRPr="006571AC">
        <w:rPr>
          <w:sz w:val="27"/>
          <w:rtl/>
        </w:rPr>
        <w:t xml:space="preserve"> </w:t>
      </w:r>
      <w:r w:rsidR="00237EB1" w:rsidRPr="006571AC">
        <w:rPr>
          <w:rFonts w:hint="cs"/>
          <w:sz w:val="27"/>
          <w:rtl/>
        </w:rPr>
        <w:t>الزوجة</w:t>
      </w:r>
      <w:r w:rsidR="00237EB1" w:rsidRPr="006571AC">
        <w:rPr>
          <w:sz w:val="27"/>
          <w:rtl/>
        </w:rPr>
        <w:t xml:space="preserve"> </w:t>
      </w:r>
      <w:r w:rsidR="00237EB1" w:rsidRPr="006571AC">
        <w:rPr>
          <w:rFonts w:hint="cs"/>
          <w:sz w:val="27"/>
          <w:rtl/>
        </w:rPr>
        <w:t>هو</w:t>
      </w:r>
      <w:r w:rsidR="00237EB1" w:rsidRPr="006571AC">
        <w:rPr>
          <w:sz w:val="27"/>
          <w:rtl/>
        </w:rPr>
        <w:t xml:space="preserve"> </w:t>
      </w:r>
      <w:r w:rsidR="00237EB1" w:rsidRPr="006571AC">
        <w:rPr>
          <w:rFonts w:hint="cs"/>
          <w:sz w:val="27"/>
          <w:rtl/>
        </w:rPr>
        <w:t>حقّ</w:t>
      </w:r>
      <w:r w:rsidR="00237EB1" w:rsidRPr="006571AC">
        <w:rPr>
          <w:sz w:val="27"/>
          <w:rtl/>
        </w:rPr>
        <w:t xml:space="preserve"> </w:t>
      </w:r>
      <w:r w:rsidR="00237EB1" w:rsidRPr="006571AC">
        <w:rPr>
          <w:rFonts w:hint="cs"/>
          <w:sz w:val="27"/>
          <w:rtl/>
        </w:rPr>
        <w:t>الاستمتاع</w:t>
      </w:r>
      <w:r w:rsidR="00237EB1" w:rsidRPr="006571AC">
        <w:rPr>
          <w:sz w:val="27"/>
          <w:rtl/>
        </w:rPr>
        <w:t xml:space="preserve"> </w:t>
      </w:r>
      <w:r w:rsidR="00237EB1" w:rsidRPr="006571AC">
        <w:rPr>
          <w:rFonts w:hint="cs"/>
          <w:sz w:val="27"/>
          <w:rtl/>
        </w:rPr>
        <w:t>به</w:t>
      </w:r>
      <w:r w:rsidR="00237EB1" w:rsidRPr="006571AC">
        <w:rPr>
          <w:sz w:val="27"/>
          <w:rtl/>
        </w:rPr>
        <w:t xml:space="preserve">. </w:t>
      </w:r>
    </w:p>
    <w:p w:rsidR="00237EB1" w:rsidRPr="006571AC" w:rsidRDefault="00237EB1" w:rsidP="00E60D93">
      <w:pPr>
        <w:rPr>
          <w:sz w:val="27"/>
          <w:rtl/>
        </w:rPr>
      </w:pPr>
      <w:r w:rsidRPr="006571AC">
        <w:rPr>
          <w:rFonts w:hint="cs"/>
          <w:sz w:val="27"/>
          <w:rtl/>
        </w:rPr>
        <w:t xml:space="preserve">وذكر الشيخ الطوسي </w:t>
      </w:r>
      <w:r w:rsidR="00CE3992" w:rsidRPr="006571AC">
        <w:rPr>
          <w:rFonts w:hint="cs"/>
          <w:sz w:val="27"/>
          <w:rtl/>
        </w:rPr>
        <w:t>هذه</w:t>
      </w:r>
      <w:r w:rsidRPr="006571AC">
        <w:rPr>
          <w:rFonts w:hint="cs"/>
          <w:sz w:val="27"/>
          <w:rtl/>
        </w:rPr>
        <w:t xml:space="preserve"> المسألة </w:t>
      </w:r>
      <w:r w:rsidR="00CE3992" w:rsidRPr="006571AC">
        <w:rPr>
          <w:rFonts w:hint="cs"/>
          <w:sz w:val="27"/>
          <w:rtl/>
        </w:rPr>
        <w:t>ف</w:t>
      </w:r>
      <w:r w:rsidRPr="006571AC">
        <w:rPr>
          <w:rFonts w:hint="cs"/>
          <w:sz w:val="27"/>
          <w:rtl/>
        </w:rPr>
        <w:t>قال</w:t>
      </w:r>
      <w:r w:rsidRPr="006571AC">
        <w:rPr>
          <w:sz w:val="27"/>
          <w:rtl/>
        </w:rPr>
        <w:t xml:space="preserve">: </w:t>
      </w:r>
      <w:r w:rsidRPr="006571AC">
        <w:rPr>
          <w:sz w:val="24"/>
          <w:szCs w:val="24"/>
          <w:rtl/>
        </w:rPr>
        <w:t>«</w:t>
      </w:r>
      <w:r w:rsidRPr="006571AC">
        <w:rPr>
          <w:rFonts w:hint="cs"/>
          <w:sz w:val="27"/>
          <w:rtl/>
        </w:rPr>
        <w:t>إذا</w:t>
      </w:r>
      <w:r w:rsidRPr="006571AC">
        <w:rPr>
          <w:sz w:val="27"/>
          <w:rtl/>
        </w:rPr>
        <w:t xml:space="preserve"> </w:t>
      </w:r>
      <w:r w:rsidRPr="006571AC">
        <w:rPr>
          <w:rFonts w:hint="cs"/>
          <w:sz w:val="27"/>
          <w:rtl/>
        </w:rPr>
        <w:t>تزوّ</w:t>
      </w:r>
      <w:r w:rsidR="00CE3992" w:rsidRPr="006571AC">
        <w:rPr>
          <w:rFonts w:hint="cs"/>
          <w:sz w:val="27"/>
          <w:rtl/>
        </w:rPr>
        <w:t>َ</w:t>
      </w:r>
      <w:r w:rsidRPr="006571AC">
        <w:rPr>
          <w:rFonts w:hint="cs"/>
          <w:sz w:val="27"/>
          <w:rtl/>
        </w:rPr>
        <w:t>ج</w:t>
      </w:r>
      <w:r w:rsidRPr="006571AC">
        <w:rPr>
          <w:sz w:val="27"/>
          <w:rtl/>
        </w:rPr>
        <w:t xml:space="preserve"> </w:t>
      </w:r>
      <w:r w:rsidRPr="006571AC">
        <w:rPr>
          <w:rFonts w:hint="cs"/>
          <w:sz w:val="27"/>
          <w:rtl/>
        </w:rPr>
        <w:t>الرجل</w:t>
      </w:r>
      <w:r w:rsidRPr="006571AC">
        <w:rPr>
          <w:sz w:val="27"/>
          <w:rtl/>
        </w:rPr>
        <w:t xml:space="preserve"> </w:t>
      </w:r>
      <w:r w:rsidRPr="006571AC">
        <w:rPr>
          <w:rFonts w:hint="cs"/>
          <w:sz w:val="27"/>
          <w:rtl/>
        </w:rPr>
        <w:t>امرأة</w:t>
      </w:r>
      <w:r w:rsidR="00CE3992" w:rsidRPr="006571AC">
        <w:rPr>
          <w:rFonts w:hint="cs"/>
          <w:sz w:val="27"/>
          <w:rtl/>
        </w:rPr>
        <w:t>ً</w:t>
      </w:r>
      <w:r w:rsidRPr="006571AC">
        <w:rPr>
          <w:sz w:val="27"/>
          <w:rtl/>
        </w:rPr>
        <w:t xml:space="preserve"> </w:t>
      </w:r>
      <w:r w:rsidRPr="006571AC">
        <w:rPr>
          <w:rFonts w:hint="cs"/>
          <w:sz w:val="27"/>
          <w:rtl/>
        </w:rPr>
        <w:t>بمهرٍ</w:t>
      </w:r>
      <w:r w:rsidRPr="006571AC">
        <w:rPr>
          <w:sz w:val="27"/>
          <w:rtl/>
        </w:rPr>
        <w:t xml:space="preserve"> </w:t>
      </w:r>
      <w:r w:rsidRPr="006571AC">
        <w:rPr>
          <w:rFonts w:hint="cs"/>
          <w:sz w:val="27"/>
          <w:rtl/>
        </w:rPr>
        <w:t>معلوم ملك</w:t>
      </w:r>
      <w:r w:rsidR="00CE3992" w:rsidRPr="006571AC">
        <w:rPr>
          <w:rFonts w:hint="cs"/>
          <w:sz w:val="27"/>
          <w:rtl/>
        </w:rPr>
        <w:t>َ</w:t>
      </w:r>
      <w:r w:rsidRPr="006571AC">
        <w:rPr>
          <w:rFonts w:hint="cs"/>
          <w:sz w:val="27"/>
          <w:rtl/>
        </w:rPr>
        <w:t>ت</w:t>
      </w:r>
      <w:r w:rsidR="00CE3992" w:rsidRPr="006571AC">
        <w:rPr>
          <w:rFonts w:hint="cs"/>
          <w:sz w:val="27"/>
          <w:rtl/>
        </w:rPr>
        <w:t>ْ</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بالعقد، وملك</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البضع</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الوقت</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ملك</w:t>
      </w:r>
      <w:r w:rsidR="00AB1A97" w:rsidRPr="006571AC">
        <w:rPr>
          <w:rFonts w:hint="cs"/>
          <w:sz w:val="27"/>
          <w:rtl/>
        </w:rPr>
        <w:t>َ</w:t>
      </w:r>
      <w:r w:rsidRPr="006571AC">
        <w:rPr>
          <w:rFonts w:hint="cs"/>
          <w:sz w:val="27"/>
          <w:rtl/>
        </w:rPr>
        <w:t>ت</w:t>
      </w:r>
      <w:r w:rsidR="00AB1A97" w:rsidRPr="006571AC">
        <w:rPr>
          <w:rFonts w:hint="cs"/>
          <w:sz w:val="27"/>
          <w:rtl/>
        </w:rPr>
        <w:t>ْ</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المهر؛ لأنّه</w:t>
      </w:r>
      <w:r w:rsidRPr="006571AC">
        <w:rPr>
          <w:sz w:val="27"/>
          <w:rtl/>
        </w:rPr>
        <w:t xml:space="preserve"> </w:t>
      </w:r>
      <w:r w:rsidRPr="006571AC">
        <w:rPr>
          <w:rFonts w:hint="cs"/>
          <w:sz w:val="27"/>
          <w:rtl/>
        </w:rPr>
        <w:t>عقد</w:t>
      </w:r>
      <w:r w:rsidRPr="006571AC">
        <w:rPr>
          <w:sz w:val="27"/>
          <w:rtl/>
        </w:rPr>
        <w:t xml:space="preserve"> </w:t>
      </w:r>
      <w:r w:rsidRPr="006571AC">
        <w:rPr>
          <w:rFonts w:hint="cs"/>
          <w:sz w:val="27"/>
          <w:rtl/>
        </w:rPr>
        <w:t>معاوضة</w:t>
      </w:r>
      <w:r w:rsidR="00AB1A97" w:rsidRPr="006571AC">
        <w:rPr>
          <w:rFonts w:hint="cs"/>
          <w:sz w:val="27"/>
          <w:rtl/>
        </w:rPr>
        <w:t>ٍ</w:t>
      </w:r>
      <w:r w:rsidRPr="006571AC">
        <w:rPr>
          <w:rFonts w:hint="cs"/>
          <w:sz w:val="27"/>
          <w:rtl/>
        </w:rPr>
        <w:t>، فملك</w:t>
      </w:r>
      <w:r w:rsidRPr="006571AC">
        <w:rPr>
          <w:sz w:val="27"/>
          <w:rtl/>
        </w:rPr>
        <w:t xml:space="preserve"> </w:t>
      </w:r>
      <w:r w:rsidRPr="006571AC">
        <w:rPr>
          <w:rFonts w:hint="cs"/>
          <w:sz w:val="27"/>
          <w:rtl/>
        </w:rPr>
        <w:t>كلّ</w:t>
      </w:r>
      <w:r w:rsidRPr="006571AC">
        <w:rPr>
          <w:sz w:val="27"/>
          <w:rtl/>
        </w:rPr>
        <w:t xml:space="preserve"> </w:t>
      </w:r>
      <w:r w:rsidRPr="006571AC">
        <w:rPr>
          <w:rFonts w:hint="cs"/>
          <w:sz w:val="27"/>
          <w:rtl/>
        </w:rPr>
        <w:t>واحد</w:t>
      </w:r>
      <w:r w:rsidR="00AB1A97" w:rsidRPr="006571AC">
        <w:rPr>
          <w:rFonts w:hint="cs"/>
          <w:sz w:val="27"/>
          <w:rtl/>
        </w:rPr>
        <w:t>ٍ</w:t>
      </w:r>
      <w:r w:rsidRPr="006571AC">
        <w:rPr>
          <w:sz w:val="27"/>
          <w:rtl/>
        </w:rPr>
        <w:t xml:space="preserve"> </w:t>
      </w:r>
      <w:r w:rsidRPr="006571AC">
        <w:rPr>
          <w:rFonts w:hint="cs"/>
          <w:sz w:val="27"/>
          <w:rtl/>
        </w:rPr>
        <w:t>منهما</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صاحبه</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الوقت</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ملك</w:t>
      </w:r>
      <w:r w:rsidRPr="006571AC">
        <w:rPr>
          <w:sz w:val="27"/>
          <w:rtl/>
        </w:rPr>
        <w:t xml:space="preserve"> </w:t>
      </w:r>
      <w:r w:rsidRPr="006571AC">
        <w:rPr>
          <w:rFonts w:hint="cs"/>
          <w:sz w:val="27"/>
          <w:rtl/>
        </w:rPr>
        <w:t>صاحبه</w:t>
      </w:r>
      <w:r w:rsidRPr="006571AC">
        <w:rPr>
          <w:sz w:val="27"/>
          <w:rtl/>
        </w:rPr>
        <w:t xml:space="preserve"> </w:t>
      </w:r>
      <w:r w:rsidRPr="006571AC">
        <w:rPr>
          <w:rFonts w:hint="cs"/>
          <w:sz w:val="27"/>
          <w:rtl/>
        </w:rPr>
        <w:t>عليه</w:t>
      </w:r>
      <w:r w:rsidR="00AB1A97" w:rsidRPr="006571AC">
        <w:rPr>
          <w:rFonts w:hint="cs"/>
          <w:sz w:val="27"/>
          <w:rtl/>
        </w:rPr>
        <w:t>.</w:t>
      </w:r>
      <w:r w:rsidRPr="006571AC">
        <w:rPr>
          <w:rFonts w:hint="cs"/>
          <w:sz w:val="27"/>
          <w:rtl/>
        </w:rPr>
        <w:t xml:space="preserve"> وإن</w:t>
      </w:r>
      <w:r w:rsidR="00AB1A97" w:rsidRPr="006571AC">
        <w:rPr>
          <w:rFonts w:hint="cs"/>
          <w:sz w:val="27"/>
          <w:rtl/>
        </w:rPr>
        <w:t>ْ</w:t>
      </w:r>
      <w:r w:rsidRPr="006571AC">
        <w:rPr>
          <w:sz w:val="27"/>
          <w:rtl/>
        </w:rPr>
        <w:t xml:space="preserve"> </w:t>
      </w:r>
      <w:r w:rsidRPr="006571AC">
        <w:rPr>
          <w:rFonts w:hint="cs"/>
          <w:sz w:val="27"/>
          <w:rtl/>
        </w:rPr>
        <w:t>خالعها</w:t>
      </w:r>
      <w:r w:rsidRPr="006571AC">
        <w:rPr>
          <w:sz w:val="27"/>
          <w:rtl/>
        </w:rPr>
        <w:t xml:space="preserve"> </w:t>
      </w:r>
      <w:r w:rsidRPr="006571AC">
        <w:rPr>
          <w:rFonts w:hint="cs"/>
          <w:sz w:val="27"/>
          <w:rtl/>
        </w:rPr>
        <w:t>بعد</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بعوضٍ</w:t>
      </w:r>
      <w:r w:rsidR="00AB1A97" w:rsidRPr="006571AC">
        <w:rPr>
          <w:rFonts w:hint="cs"/>
          <w:sz w:val="27"/>
          <w:rtl/>
        </w:rPr>
        <w:t>،</w:t>
      </w:r>
      <w:r w:rsidRPr="006571AC">
        <w:rPr>
          <w:sz w:val="27"/>
          <w:rtl/>
        </w:rPr>
        <w:t xml:space="preserve"> </w:t>
      </w:r>
      <w:r w:rsidRPr="006571AC">
        <w:rPr>
          <w:rFonts w:hint="cs"/>
          <w:sz w:val="27"/>
          <w:rtl/>
        </w:rPr>
        <w:t>وبذل</w:t>
      </w:r>
      <w:r w:rsidR="006340E8" w:rsidRPr="006571AC">
        <w:rPr>
          <w:rFonts w:hint="cs"/>
          <w:sz w:val="27"/>
          <w:rtl/>
        </w:rPr>
        <w:t>َ</w:t>
      </w:r>
      <w:r w:rsidRPr="006571AC">
        <w:rPr>
          <w:rFonts w:hint="cs"/>
          <w:sz w:val="27"/>
          <w:rtl/>
        </w:rPr>
        <w:t>ت</w:t>
      </w:r>
      <w:r w:rsidR="006340E8" w:rsidRPr="006571AC">
        <w:rPr>
          <w:rFonts w:hint="cs"/>
          <w:sz w:val="27"/>
          <w:rtl/>
        </w:rPr>
        <w:t>ْ</w:t>
      </w:r>
      <w:r w:rsidRPr="006571AC">
        <w:rPr>
          <w:rFonts w:hint="cs"/>
          <w:sz w:val="27"/>
          <w:rtl/>
        </w:rPr>
        <w:t>ه</w:t>
      </w:r>
      <w:r w:rsidRPr="006571AC">
        <w:rPr>
          <w:sz w:val="27"/>
          <w:rtl/>
        </w:rPr>
        <w:t xml:space="preserve"> </w:t>
      </w:r>
      <w:r w:rsidRPr="006571AC">
        <w:rPr>
          <w:rFonts w:hint="cs"/>
          <w:sz w:val="27"/>
          <w:rtl/>
        </w:rPr>
        <w:t>له</w:t>
      </w:r>
      <w:r w:rsidR="00AB1A97" w:rsidRPr="006571AC">
        <w:rPr>
          <w:rFonts w:hint="cs"/>
          <w:sz w:val="27"/>
          <w:rtl/>
        </w:rPr>
        <w:t>،</w:t>
      </w:r>
      <w:r w:rsidRPr="006571AC">
        <w:rPr>
          <w:sz w:val="27"/>
          <w:rtl/>
        </w:rPr>
        <w:t xml:space="preserve"> </w:t>
      </w:r>
      <w:r w:rsidRPr="006571AC">
        <w:rPr>
          <w:rFonts w:hint="cs"/>
          <w:sz w:val="27"/>
          <w:rtl/>
        </w:rPr>
        <w:t>ملك</w:t>
      </w:r>
      <w:r w:rsidRPr="006571AC">
        <w:rPr>
          <w:sz w:val="27"/>
          <w:rtl/>
        </w:rPr>
        <w:t xml:space="preserve"> </w:t>
      </w:r>
      <w:r w:rsidRPr="006571AC">
        <w:rPr>
          <w:rFonts w:hint="cs"/>
          <w:sz w:val="27"/>
          <w:rtl/>
        </w:rPr>
        <w:t>العوض</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عقد</w:t>
      </w:r>
      <w:r w:rsidRPr="006571AC">
        <w:rPr>
          <w:sz w:val="27"/>
          <w:rtl/>
        </w:rPr>
        <w:t xml:space="preserve"> </w:t>
      </w:r>
      <w:r w:rsidRPr="006571AC">
        <w:rPr>
          <w:rFonts w:hint="cs"/>
          <w:sz w:val="27"/>
          <w:rtl/>
        </w:rPr>
        <w:t>الخلع</w:t>
      </w:r>
      <w:r w:rsidRPr="006571AC">
        <w:rPr>
          <w:sz w:val="27"/>
          <w:rtl/>
        </w:rPr>
        <w:t xml:space="preserve"> </w:t>
      </w:r>
      <w:r w:rsidRPr="006571AC">
        <w:rPr>
          <w:rFonts w:hint="cs"/>
          <w:sz w:val="27"/>
          <w:rtl/>
        </w:rPr>
        <w:t>به، وزال</w:t>
      </w:r>
      <w:r w:rsidRPr="006571AC">
        <w:rPr>
          <w:sz w:val="27"/>
          <w:rtl/>
        </w:rPr>
        <w:t xml:space="preserve"> </w:t>
      </w:r>
      <w:r w:rsidRPr="006571AC">
        <w:rPr>
          <w:rFonts w:hint="cs"/>
          <w:sz w:val="27"/>
          <w:rtl/>
        </w:rPr>
        <w:t>ملكه</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بضعها</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الوقت</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ملك</w:t>
      </w:r>
      <w:r w:rsidRPr="006571AC">
        <w:rPr>
          <w:sz w:val="27"/>
          <w:rtl/>
        </w:rPr>
        <w:t xml:space="preserve"> </w:t>
      </w:r>
      <w:r w:rsidRPr="006571AC">
        <w:rPr>
          <w:rFonts w:hint="cs"/>
          <w:sz w:val="27"/>
          <w:rtl/>
        </w:rPr>
        <w:t>العوض</w:t>
      </w:r>
      <w:r w:rsidRPr="006571AC">
        <w:rPr>
          <w:sz w:val="27"/>
          <w:rtl/>
        </w:rPr>
        <w:t xml:space="preserve"> </w:t>
      </w:r>
      <w:r w:rsidRPr="006571AC">
        <w:rPr>
          <w:rFonts w:hint="cs"/>
          <w:sz w:val="27"/>
          <w:rtl/>
        </w:rPr>
        <w:t>عليها، ولا</w:t>
      </w:r>
      <w:r w:rsidRPr="006571AC">
        <w:rPr>
          <w:sz w:val="27"/>
          <w:rtl/>
        </w:rPr>
        <w:t xml:space="preserve"> </w:t>
      </w:r>
      <w:r w:rsidRPr="006571AC">
        <w:rPr>
          <w:rFonts w:hint="cs"/>
          <w:sz w:val="27"/>
          <w:rtl/>
        </w:rPr>
        <w:t>يقال</w:t>
      </w:r>
      <w:r w:rsidRPr="006571AC">
        <w:rPr>
          <w:sz w:val="27"/>
          <w:rtl/>
        </w:rPr>
        <w:t xml:space="preserve">: </w:t>
      </w:r>
      <w:r w:rsidRPr="006571AC">
        <w:rPr>
          <w:rFonts w:hint="cs"/>
          <w:sz w:val="27"/>
          <w:rtl/>
        </w:rPr>
        <w:t>زال</w:t>
      </w:r>
      <w:r w:rsidRPr="006571AC">
        <w:rPr>
          <w:sz w:val="27"/>
          <w:rtl/>
        </w:rPr>
        <w:t xml:space="preserve"> </w:t>
      </w:r>
      <w:r w:rsidRPr="006571AC">
        <w:rPr>
          <w:rFonts w:hint="cs"/>
          <w:sz w:val="27"/>
          <w:rtl/>
        </w:rPr>
        <w:t>بضعها</w:t>
      </w:r>
      <w:r w:rsidRPr="006571AC">
        <w:rPr>
          <w:sz w:val="27"/>
          <w:rtl/>
        </w:rPr>
        <w:t xml:space="preserve"> </w:t>
      </w:r>
      <w:r w:rsidRPr="006571AC">
        <w:rPr>
          <w:rFonts w:hint="cs"/>
          <w:sz w:val="27"/>
          <w:rtl/>
        </w:rPr>
        <w:t>إليها</w:t>
      </w:r>
      <w:r w:rsidRPr="006571AC">
        <w:rPr>
          <w:sz w:val="27"/>
          <w:rtl/>
        </w:rPr>
        <w:t xml:space="preserve"> </w:t>
      </w:r>
      <w:r w:rsidRPr="006571AC">
        <w:rPr>
          <w:rFonts w:hint="cs"/>
          <w:sz w:val="27"/>
          <w:rtl/>
        </w:rPr>
        <w:t>فملكته؛ لأنّها</w:t>
      </w:r>
      <w:r w:rsidRPr="006571AC">
        <w:rPr>
          <w:sz w:val="27"/>
          <w:rtl/>
        </w:rPr>
        <w:t xml:space="preserve"> </w:t>
      </w:r>
      <w:r w:rsidRPr="006571AC">
        <w:rPr>
          <w:rFonts w:hint="cs"/>
          <w:sz w:val="27"/>
          <w:rtl/>
        </w:rPr>
        <w:t>لا</w:t>
      </w:r>
      <w:r w:rsidRPr="006571AC">
        <w:rPr>
          <w:sz w:val="27"/>
          <w:rtl/>
        </w:rPr>
        <w:t xml:space="preserve"> </w:t>
      </w:r>
      <w:r w:rsidRPr="006571AC">
        <w:rPr>
          <w:rFonts w:hint="cs"/>
          <w:sz w:val="27"/>
          <w:rtl/>
        </w:rPr>
        <w:t>تملك</w:t>
      </w:r>
      <w:r w:rsidRPr="006571AC">
        <w:rPr>
          <w:sz w:val="27"/>
          <w:rtl/>
        </w:rPr>
        <w:t xml:space="preserve"> </w:t>
      </w:r>
      <w:r w:rsidRPr="006571AC">
        <w:rPr>
          <w:rFonts w:hint="cs"/>
          <w:sz w:val="27"/>
          <w:rtl/>
        </w:rPr>
        <w:t>بضعها، فإنّ</w:t>
      </w:r>
      <w:r w:rsidRPr="006571AC">
        <w:rPr>
          <w:sz w:val="27"/>
          <w:rtl/>
        </w:rPr>
        <w:t xml:space="preserve"> </w:t>
      </w:r>
      <w:r w:rsidRPr="006571AC">
        <w:rPr>
          <w:rFonts w:hint="cs"/>
          <w:sz w:val="27"/>
          <w:rtl/>
        </w:rPr>
        <w:t>البضع</w:t>
      </w:r>
      <w:r w:rsidRPr="006571AC">
        <w:rPr>
          <w:sz w:val="27"/>
          <w:rtl/>
        </w:rPr>
        <w:t xml:space="preserve"> </w:t>
      </w:r>
      <w:r w:rsidRPr="006571AC">
        <w:rPr>
          <w:rFonts w:hint="cs"/>
          <w:sz w:val="27"/>
          <w:rtl/>
        </w:rPr>
        <w:t>عبارة</w:t>
      </w:r>
      <w:r w:rsidR="00AB1A97" w:rsidRPr="006571AC">
        <w:rPr>
          <w:rFonts w:hint="cs"/>
          <w:sz w:val="27"/>
          <w:rtl/>
        </w:rPr>
        <w:t>ٌ</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الاستمتاع</w:t>
      </w:r>
      <w:r w:rsidRPr="006571AC">
        <w:rPr>
          <w:sz w:val="27"/>
          <w:rtl/>
        </w:rPr>
        <w:t>...</w:t>
      </w:r>
      <w:r w:rsidRPr="006571AC">
        <w:rPr>
          <w:rFonts w:hint="eastAsia"/>
          <w:sz w:val="24"/>
          <w:szCs w:val="24"/>
          <w:rtl/>
        </w:rPr>
        <w:t>»</w:t>
      </w:r>
      <w:r w:rsidRPr="006571AC">
        <w:rPr>
          <w:sz w:val="27"/>
          <w:vertAlign w:val="superscript"/>
          <w:rtl/>
        </w:rPr>
        <w:t>(</w:t>
      </w:r>
      <w:r w:rsidRPr="006571AC">
        <w:rPr>
          <w:sz w:val="27"/>
          <w:vertAlign w:val="superscript"/>
          <w:rtl/>
        </w:rPr>
        <w:endnoteReference w:id="416"/>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bookmarkStart w:id="216" w:name="_Toc79281906"/>
      <w:bookmarkStart w:id="217" w:name="_Toc114164685"/>
      <w:r w:rsidRPr="006571AC">
        <w:rPr>
          <w:rStyle w:val="1Char"/>
          <w:rFonts w:cs="AL-Mohanad" w:hint="cs"/>
          <w:b w:val="0"/>
          <w:bCs/>
          <w:sz w:val="27"/>
          <w:szCs w:val="27"/>
          <w:rtl/>
        </w:rPr>
        <w:t xml:space="preserve">2ـ </w:t>
      </w:r>
      <w:r w:rsidR="00AB1A97" w:rsidRPr="006571AC">
        <w:rPr>
          <w:rStyle w:val="1Char"/>
          <w:rFonts w:cs="AL-Mohanad" w:hint="cs"/>
          <w:b w:val="0"/>
          <w:bCs/>
          <w:sz w:val="27"/>
          <w:szCs w:val="27"/>
          <w:rtl/>
        </w:rPr>
        <w:t xml:space="preserve">المهر </w:t>
      </w:r>
      <w:r w:rsidRPr="006571AC">
        <w:rPr>
          <w:rStyle w:val="1Char"/>
          <w:rFonts w:cs="AL-Mohanad" w:hint="cs"/>
          <w:b w:val="0"/>
          <w:bCs/>
          <w:sz w:val="27"/>
          <w:szCs w:val="27"/>
          <w:rtl/>
        </w:rPr>
        <w:t>هدي</w:t>
      </w:r>
      <w:r w:rsidR="00AB1A97" w:rsidRPr="006571AC">
        <w:rPr>
          <w:rStyle w:val="1Char"/>
          <w:rFonts w:cs="AL-Mohanad" w:hint="cs"/>
          <w:b w:val="0"/>
          <w:bCs/>
          <w:sz w:val="27"/>
          <w:szCs w:val="27"/>
          <w:rtl/>
        </w:rPr>
        <w:t>ّ</w:t>
      </w:r>
      <w:r w:rsidRPr="006571AC">
        <w:rPr>
          <w:rStyle w:val="1Char"/>
          <w:rFonts w:cs="AL-Mohanad" w:hint="cs"/>
          <w:b w:val="0"/>
          <w:bCs/>
          <w:sz w:val="27"/>
          <w:szCs w:val="27"/>
          <w:rtl/>
        </w:rPr>
        <w:t>ة</w:t>
      </w:r>
      <w:r w:rsidR="00AB1A97" w:rsidRPr="006571AC">
        <w:rPr>
          <w:rStyle w:val="1Char"/>
          <w:rFonts w:cs="AL-Mohanad" w:hint="cs"/>
          <w:b w:val="0"/>
          <w:bCs/>
          <w:sz w:val="27"/>
          <w:szCs w:val="27"/>
          <w:rtl/>
        </w:rPr>
        <w:t>ٌ</w:t>
      </w:r>
      <w:r w:rsidRPr="006571AC">
        <w:rPr>
          <w:rStyle w:val="1Char"/>
          <w:rFonts w:cs="AL-Mohanad" w:hint="cs"/>
          <w:sz w:val="27"/>
          <w:szCs w:val="27"/>
          <w:rtl/>
        </w:rPr>
        <w:t>:</w:t>
      </w:r>
      <w:bookmarkEnd w:id="216"/>
      <w:bookmarkEnd w:id="217"/>
      <w:r w:rsidRPr="006571AC">
        <w:rPr>
          <w:rStyle w:val="1Char"/>
          <w:rFonts w:cs="AL-Mohanad" w:hint="cs"/>
          <w:sz w:val="27"/>
          <w:szCs w:val="27"/>
          <w:rtl/>
        </w:rPr>
        <w:t xml:space="preserve"> </w:t>
      </w:r>
      <w:r w:rsidRPr="006571AC">
        <w:rPr>
          <w:rFonts w:hint="cs"/>
          <w:sz w:val="27"/>
          <w:rtl/>
        </w:rPr>
        <w:t>من جملة ما ذهب إليه العلماء في فلسفة تشريع المهر أنه</w:t>
      </w:r>
      <w:r w:rsidRPr="006571AC">
        <w:rPr>
          <w:sz w:val="27"/>
          <w:rtl/>
        </w:rPr>
        <w:t xml:space="preserve"> </w:t>
      </w:r>
      <w:r w:rsidRPr="006571AC">
        <w:rPr>
          <w:rFonts w:hint="cs"/>
          <w:sz w:val="27"/>
          <w:rtl/>
        </w:rPr>
        <w:t>هبة</w:t>
      </w:r>
      <w:r w:rsidR="00AB1A97" w:rsidRPr="006571AC">
        <w:rPr>
          <w:rFonts w:hint="cs"/>
          <w:sz w:val="27"/>
          <w:rtl/>
        </w:rPr>
        <w:t>ٌ</w:t>
      </w:r>
      <w:r w:rsidRPr="006571AC">
        <w:rPr>
          <w:sz w:val="27"/>
          <w:rtl/>
        </w:rPr>
        <w:t xml:space="preserve"> </w:t>
      </w:r>
      <w:r w:rsidRPr="006571AC">
        <w:rPr>
          <w:rFonts w:hint="cs"/>
          <w:sz w:val="27"/>
          <w:rtl/>
        </w:rPr>
        <w:t>ش</w:t>
      </w:r>
      <w:r w:rsidR="00AB1A97" w:rsidRPr="006571AC">
        <w:rPr>
          <w:rFonts w:hint="cs"/>
          <w:sz w:val="27"/>
          <w:rtl/>
        </w:rPr>
        <w:t>ُ</w:t>
      </w:r>
      <w:r w:rsidRPr="006571AC">
        <w:rPr>
          <w:rFonts w:hint="cs"/>
          <w:sz w:val="27"/>
          <w:rtl/>
        </w:rPr>
        <w:t>رّ</w:t>
      </w:r>
      <w:r w:rsidR="00AB1A97" w:rsidRPr="006571AC">
        <w:rPr>
          <w:rFonts w:hint="cs"/>
          <w:sz w:val="27"/>
          <w:rtl/>
        </w:rPr>
        <w:t>ِ</w:t>
      </w:r>
      <w:r w:rsidRPr="006571AC">
        <w:rPr>
          <w:rFonts w:hint="cs"/>
          <w:sz w:val="27"/>
          <w:rtl/>
        </w:rPr>
        <w:t>ع</w:t>
      </w:r>
      <w:r w:rsidR="00AB1A97" w:rsidRPr="006571AC">
        <w:rPr>
          <w:rFonts w:hint="cs"/>
          <w:sz w:val="27"/>
          <w:rtl/>
        </w:rPr>
        <w:t>َ</w:t>
      </w:r>
      <w:r w:rsidRPr="006571AC">
        <w:rPr>
          <w:rFonts w:hint="cs"/>
          <w:sz w:val="27"/>
          <w:rtl/>
        </w:rPr>
        <w:t>ت</w:t>
      </w:r>
      <w:r w:rsidR="00AB1A97"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أجل</w:t>
      </w:r>
      <w:r w:rsidRPr="006571AC">
        <w:rPr>
          <w:sz w:val="27"/>
          <w:rtl/>
        </w:rPr>
        <w:t xml:space="preserve"> </w:t>
      </w:r>
      <w:r w:rsidRPr="006571AC">
        <w:rPr>
          <w:rFonts w:hint="cs"/>
          <w:sz w:val="27"/>
          <w:rtl/>
        </w:rPr>
        <w:t>تقوية</w:t>
      </w:r>
      <w:r w:rsidRPr="006571AC">
        <w:rPr>
          <w:sz w:val="27"/>
          <w:rtl/>
        </w:rPr>
        <w:t xml:space="preserve"> </w:t>
      </w:r>
      <w:r w:rsidRPr="006571AC">
        <w:rPr>
          <w:rFonts w:hint="cs"/>
          <w:sz w:val="27"/>
          <w:rtl/>
        </w:rPr>
        <w:t>ع</w:t>
      </w:r>
      <w:r w:rsidR="00AB1A97" w:rsidRPr="006571AC">
        <w:rPr>
          <w:rFonts w:hint="cs"/>
          <w:sz w:val="27"/>
          <w:rtl/>
        </w:rPr>
        <w:t>ُ</w:t>
      </w:r>
      <w:r w:rsidRPr="006571AC">
        <w:rPr>
          <w:rFonts w:hint="cs"/>
          <w:sz w:val="27"/>
          <w:rtl/>
        </w:rPr>
        <w:t>رى</w:t>
      </w:r>
      <w:r w:rsidRPr="006571AC">
        <w:rPr>
          <w:sz w:val="27"/>
          <w:rtl/>
        </w:rPr>
        <w:t xml:space="preserve"> </w:t>
      </w:r>
      <w:r w:rsidRPr="006571AC">
        <w:rPr>
          <w:rFonts w:hint="cs"/>
          <w:sz w:val="27"/>
          <w:rtl/>
        </w:rPr>
        <w:t>ال</w:t>
      </w:r>
      <w:r w:rsidR="00AB1A97" w:rsidRPr="006571AC">
        <w:rPr>
          <w:rFonts w:hint="cs"/>
          <w:sz w:val="27"/>
          <w:rtl/>
        </w:rPr>
        <w:t>أ</w:t>
      </w:r>
      <w:r w:rsidRPr="006571AC">
        <w:rPr>
          <w:rFonts w:hint="cs"/>
          <w:sz w:val="27"/>
          <w:rtl/>
        </w:rPr>
        <w:t>لفة</w:t>
      </w:r>
      <w:r w:rsidRPr="006571AC">
        <w:rPr>
          <w:sz w:val="27"/>
          <w:rtl/>
        </w:rPr>
        <w:t xml:space="preserve"> </w:t>
      </w:r>
      <w:r w:rsidRPr="006571AC">
        <w:rPr>
          <w:rFonts w:hint="cs"/>
          <w:sz w:val="27"/>
          <w:rtl/>
        </w:rPr>
        <w:t>وأواصر</w:t>
      </w:r>
      <w:r w:rsidRPr="006571AC">
        <w:rPr>
          <w:sz w:val="27"/>
          <w:rtl/>
        </w:rPr>
        <w:t xml:space="preserve"> </w:t>
      </w:r>
      <w:r w:rsidRPr="006571AC">
        <w:rPr>
          <w:rFonts w:hint="cs"/>
          <w:sz w:val="27"/>
          <w:rtl/>
        </w:rPr>
        <w:t>المحبّة</w:t>
      </w:r>
      <w:r w:rsidRPr="006571AC">
        <w:rPr>
          <w:sz w:val="27"/>
          <w:rtl/>
        </w:rPr>
        <w:t xml:space="preserve"> </w:t>
      </w:r>
      <w:r w:rsidRPr="006571AC">
        <w:rPr>
          <w:rFonts w:hint="cs"/>
          <w:sz w:val="27"/>
          <w:rtl/>
        </w:rPr>
        <w:t>بين</w:t>
      </w:r>
      <w:r w:rsidRPr="006571AC">
        <w:rPr>
          <w:sz w:val="27"/>
          <w:rtl/>
        </w:rPr>
        <w:t xml:space="preserve"> </w:t>
      </w:r>
      <w:r w:rsidRPr="006571AC">
        <w:rPr>
          <w:rFonts w:hint="cs"/>
          <w:sz w:val="27"/>
          <w:rtl/>
        </w:rPr>
        <w:t>الزوج</w:t>
      </w:r>
      <w:r w:rsidRPr="006571AC">
        <w:rPr>
          <w:sz w:val="27"/>
          <w:rtl/>
        </w:rPr>
        <w:t xml:space="preserve"> </w:t>
      </w:r>
      <w:r w:rsidRPr="006571AC">
        <w:rPr>
          <w:rFonts w:hint="cs"/>
          <w:sz w:val="27"/>
          <w:rtl/>
        </w:rPr>
        <w:t>والزوجة، وأن</w:t>
      </w:r>
      <w:r w:rsidRPr="006571AC">
        <w:rPr>
          <w:sz w:val="27"/>
          <w:rtl/>
        </w:rPr>
        <w:t xml:space="preserve"> </w:t>
      </w:r>
      <w:r w:rsidRPr="006571AC">
        <w:rPr>
          <w:rFonts w:hint="cs"/>
          <w:sz w:val="27"/>
          <w:rtl/>
        </w:rPr>
        <w:t>يبقى</w:t>
      </w:r>
      <w:r w:rsidRPr="006571AC">
        <w:rPr>
          <w:sz w:val="27"/>
          <w:rtl/>
        </w:rPr>
        <w:t xml:space="preserve"> </w:t>
      </w:r>
      <w:r w:rsidRPr="006571AC">
        <w:rPr>
          <w:rFonts w:hint="cs"/>
          <w:sz w:val="27"/>
          <w:rtl/>
        </w:rPr>
        <w:t>الحبّ</w:t>
      </w:r>
      <w:r w:rsidRPr="006571AC">
        <w:rPr>
          <w:sz w:val="27"/>
          <w:rtl/>
        </w:rPr>
        <w:t xml:space="preserve"> </w:t>
      </w:r>
      <w:r w:rsidRPr="006571AC">
        <w:rPr>
          <w:rFonts w:hint="cs"/>
          <w:sz w:val="27"/>
          <w:rtl/>
        </w:rPr>
        <w:t>والوداد</w:t>
      </w:r>
      <w:r w:rsidRPr="006571AC">
        <w:rPr>
          <w:sz w:val="27"/>
          <w:rtl/>
        </w:rPr>
        <w:t xml:space="preserve"> </w:t>
      </w:r>
      <w:r w:rsidRPr="006571AC">
        <w:rPr>
          <w:rFonts w:hint="cs"/>
          <w:sz w:val="27"/>
          <w:rtl/>
        </w:rPr>
        <w:t>مستقرّاً</w:t>
      </w:r>
      <w:r w:rsidRPr="006571AC">
        <w:rPr>
          <w:sz w:val="27"/>
          <w:rtl/>
        </w:rPr>
        <w:t xml:space="preserve"> </w:t>
      </w:r>
      <w:r w:rsidRPr="006571AC">
        <w:rPr>
          <w:rFonts w:hint="cs"/>
          <w:sz w:val="27"/>
          <w:rtl/>
        </w:rPr>
        <w:t>ومستمرّاً</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الأبد</w:t>
      </w:r>
      <w:r w:rsidRPr="006571AC">
        <w:rPr>
          <w:sz w:val="27"/>
          <w:rtl/>
        </w:rPr>
        <w:t xml:space="preserve">. </w:t>
      </w:r>
      <w:r w:rsidRPr="006571AC">
        <w:rPr>
          <w:rFonts w:hint="cs"/>
          <w:sz w:val="27"/>
          <w:rtl/>
        </w:rPr>
        <w:t>وتشريع</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بهذه</w:t>
      </w:r>
      <w:r w:rsidRPr="006571AC">
        <w:rPr>
          <w:sz w:val="27"/>
          <w:rtl/>
        </w:rPr>
        <w:t xml:space="preserve"> </w:t>
      </w:r>
      <w:r w:rsidRPr="006571AC">
        <w:rPr>
          <w:rFonts w:hint="cs"/>
          <w:sz w:val="27"/>
          <w:rtl/>
        </w:rPr>
        <w:t>الكيفية</w:t>
      </w:r>
      <w:r w:rsidRPr="006571AC">
        <w:rPr>
          <w:sz w:val="27"/>
          <w:rtl/>
        </w:rPr>
        <w:t xml:space="preserve"> </w:t>
      </w:r>
      <w:r w:rsidRPr="006571AC">
        <w:rPr>
          <w:rFonts w:hint="cs"/>
          <w:sz w:val="27"/>
          <w:rtl/>
        </w:rPr>
        <w:t>ينسجم</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قانون</w:t>
      </w:r>
      <w:r w:rsidRPr="006571AC">
        <w:rPr>
          <w:sz w:val="27"/>
          <w:rtl/>
        </w:rPr>
        <w:t xml:space="preserve"> </w:t>
      </w:r>
      <w:r w:rsidRPr="006571AC">
        <w:rPr>
          <w:rFonts w:hint="cs"/>
          <w:sz w:val="27"/>
          <w:rtl/>
        </w:rPr>
        <w:t>الفطرة</w:t>
      </w:r>
      <w:r w:rsidRPr="006571AC">
        <w:rPr>
          <w:sz w:val="27"/>
          <w:rtl/>
        </w:rPr>
        <w:t xml:space="preserve"> </w:t>
      </w:r>
      <w:r w:rsidRPr="006571AC">
        <w:rPr>
          <w:rFonts w:hint="cs"/>
          <w:sz w:val="27"/>
          <w:rtl/>
        </w:rPr>
        <w:t>والطبيعة؛ فإنّ</w:t>
      </w:r>
      <w:r w:rsidRPr="006571AC">
        <w:rPr>
          <w:sz w:val="27"/>
          <w:rtl/>
        </w:rPr>
        <w:t xml:space="preserve"> </w:t>
      </w:r>
      <w:r w:rsidRPr="006571AC">
        <w:rPr>
          <w:rFonts w:hint="cs"/>
          <w:sz w:val="27"/>
          <w:rtl/>
        </w:rPr>
        <w:t>الحبّ</w:t>
      </w:r>
      <w:r w:rsidRPr="006571AC">
        <w:rPr>
          <w:sz w:val="27"/>
          <w:rtl/>
        </w:rPr>
        <w:t xml:space="preserve"> </w:t>
      </w:r>
      <w:r w:rsidRPr="006571AC">
        <w:rPr>
          <w:rFonts w:hint="cs"/>
          <w:sz w:val="27"/>
          <w:rtl/>
        </w:rPr>
        <w:t>والوداد</w:t>
      </w:r>
      <w:r w:rsidRPr="006571AC">
        <w:rPr>
          <w:sz w:val="27"/>
          <w:rtl/>
        </w:rPr>
        <w:t xml:space="preserve"> </w:t>
      </w:r>
      <w:r w:rsidRPr="006571AC">
        <w:rPr>
          <w:rFonts w:hint="cs"/>
          <w:sz w:val="27"/>
          <w:rtl/>
        </w:rPr>
        <w:t>بح</w:t>
      </w:r>
      <w:r w:rsidR="00AB1A97" w:rsidRPr="006571AC">
        <w:rPr>
          <w:rFonts w:hint="cs"/>
          <w:sz w:val="27"/>
          <w:rtl/>
        </w:rPr>
        <w:t>َ</w:t>
      </w:r>
      <w:r w:rsidRPr="006571AC">
        <w:rPr>
          <w:rFonts w:hint="cs"/>
          <w:sz w:val="27"/>
          <w:rtl/>
        </w:rPr>
        <w:t>س</w:t>
      </w:r>
      <w:r w:rsidR="00AB1A97" w:rsidRPr="006571AC">
        <w:rPr>
          <w:rFonts w:hint="cs"/>
          <w:sz w:val="27"/>
          <w:rtl/>
        </w:rPr>
        <w:t>َ</w:t>
      </w:r>
      <w:r w:rsidRPr="006571AC">
        <w:rPr>
          <w:rFonts w:hint="cs"/>
          <w:sz w:val="27"/>
          <w:rtl/>
        </w:rPr>
        <w:t>ب</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القانون</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يبدأ</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الرجل</w:t>
      </w:r>
      <w:r w:rsidR="00AB1A97" w:rsidRPr="006571AC">
        <w:rPr>
          <w:rFonts w:hint="cs"/>
          <w:sz w:val="27"/>
          <w:rtl/>
        </w:rPr>
        <w:t xml:space="preserve">، </w:t>
      </w:r>
      <w:r w:rsidRPr="006571AC">
        <w:rPr>
          <w:rFonts w:hint="cs"/>
          <w:sz w:val="27"/>
          <w:rtl/>
        </w:rPr>
        <w:t>لا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المرأة، وأمّا</w:t>
      </w:r>
      <w:r w:rsidRPr="006571AC">
        <w:rPr>
          <w:sz w:val="27"/>
          <w:rtl/>
        </w:rPr>
        <w:t xml:space="preserve"> </w:t>
      </w:r>
      <w:r w:rsidRPr="006571AC">
        <w:rPr>
          <w:rFonts w:hint="cs"/>
          <w:sz w:val="27"/>
          <w:rtl/>
        </w:rPr>
        <w:t>حبّها</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فهو</w:t>
      </w:r>
      <w:r w:rsidRPr="006571AC">
        <w:rPr>
          <w:sz w:val="27"/>
          <w:rtl/>
        </w:rPr>
        <w:t xml:space="preserve"> </w:t>
      </w:r>
      <w:r w:rsidRPr="006571AC">
        <w:rPr>
          <w:rFonts w:hint="cs"/>
          <w:sz w:val="27"/>
          <w:rtl/>
        </w:rPr>
        <w:t>ردّ</w:t>
      </w:r>
      <w:r w:rsidR="00AB1A97" w:rsidRPr="006571AC">
        <w:rPr>
          <w:rFonts w:hint="cs"/>
          <w:sz w:val="27"/>
          <w:rtl/>
        </w:rPr>
        <w:t>ُ</w:t>
      </w:r>
      <w:r w:rsidRPr="006571AC">
        <w:rPr>
          <w:sz w:val="27"/>
          <w:rtl/>
        </w:rPr>
        <w:t xml:space="preserve"> </w:t>
      </w:r>
      <w:r w:rsidRPr="006571AC">
        <w:rPr>
          <w:rFonts w:hint="cs"/>
          <w:sz w:val="27"/>
          <w:rtl/>
        </w:rPr>
        <w:t>فعل</w:t>
      </w:r>
      <w:r w:rsidR="00AB1A97" w:rsidRPr="006571AC">
        <w:rPr>
          <w:rFonts w:hint="cs"/>
          <w:sz w:val="27"/>
          <w:rtl/>
        </w:rPr>
        <w:t>ٍ</w:t>
      </w:r>
      <w:r w:rsidRPr="006571AC">
        <w:rPr>
          <w:sz w:val="27"/>
          <w:rtl/>
        </w:rPr>
        <w:t xml:space="preserve"> </w:t>
      </w:r>
      <w:r w:rsidRPr="006571AC">
        <w:rPr>
          <w:rFonts w:hint="cs"/>
          <w:sz w:val="27"/>
          <w:rtl/>
        </w:rPr>
        <w:t>لحبّ</w:t>
      </w:r>
      <w:r w:rsidR="00AB1A97" w:rsidRPr="006571AC">
        <w:rPr>
          <w:rFonts w:hint="cs"/>
          <w:sz w:val="27"/>
          <w:rtl/>
        </w:rPr>
        <w:t>ِ</w:t>
      </w:r>
      <w:r w:rsidRPr="006571AC">
        <w:rPr>
          <w:rFonts w:hint="cs"/>
          <w:sz w:val="27"/>
          <w:rtl/>
        </w:rPr>
        <w:t>ه</w:t>
      </w:r>
      <w:r w:rsidR="00AB1A97" w:rsidRPr="006571AC">
        <w:rPr>
          <w:rFonts w:hint="cs"/>
          <w:sz w:val="27"/>
          <w:rtl/>
        </w:rPr>
        <w:t>،</w:t>
      </w:r>
      <w:r w:rsidRPr="006571AC">
        <w:rPr>
          <w:sz w:val="27"/>
          <w:rtl/>
        </w:rPr>
        <w:t xml:space="preserve"> </w:t>
      </w:r>
      <w:r w:rsidRPr="006571AC">
        <w:rPr>
          <w:rFonts w:hint="cs"/>
          <w:sz w:val="27"/>
          <w:rtl/>
        </w:rPr>
        <w:t>واستجابة</w:t>
      </w:r>
      <w:r w:rsidR="00AB1A97" w:rsidRPr="006571AC">
        <w:rPr>
          <w:rFonts w:hint="cs"/>
          <w:sz w:val="27"/>
          <w:rtl/>
        </w:rPr>
        <w:t>ٌ</w:t>
      </w:r>
      <w:r w:rsidRPr="006571AC">
        <w:rPr>
          <w:sz w:val="27"/>
          <w:rtl/>
        </w:rPr>
        <w:t xml:space="preserve"> </w:t>
      </w:r>
      <w:r w:rsidRPr="006571AC">
        <w:rPr>
          <w:rFonts w:hint="cs"/>
          <w:sz w:val="27"/>
          <w:rtl/>
        </w:rPr>
        <w:t>له</w:t>
      </w:r>
      <w:r w:rsidR="00AB1A97" w:rsidRPr="006571AC">
        <w:rPr>
          <w:rFonts w:hint="cs"/>
          <w:sz w:val="27"/>
          <w:rtl/>
        </w:rPr>
        <w:t>.</w:t>
      </w:r>
      <w:r w:rsidRPr="006571AC">
        <w:rPr>
          <w:rFonts w:hint="cs"/>
          <w:sz w:val="27"/>
          <w:rtl/>
        </w:rPr>
        <w:t xml:space="preserve"> ويدلّ</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كون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هبة</w:t>
      </w:r>
      <w:r w:rsidR="00AB1A97" w:rsidRPr="006571AC">
        <w:rPr>
          <w:rFonts w:hint="cs"/>
          <w:sz w:val="27"/>
          <w:rtl/>
        </w:rPr>
        <w:t>ً</w:t>
      </w:r>
      <w:r w:rsidRPr="006571AC">
        <w:rPr>
          <w:sz w:val="27"/>
          <w:rtl/>
        </w:rPr>
        <w:t xml:space="preserve"> </w:t>
      </w:r>
      <w:r w:rsidRPr="006571AC">
        <w:rPr>
          <w:rFonts w:hint="cs"/>
          <w:sz w:val="27"/>
          <w:rtl/>
        </w:rPr>
        <w:t>وهدي</w:t>
      </w:r>
      <w:r w:rsidR="00AB1A97" w:rsidRPr="006571AC">
        <w:rPr>
          <w:rFonts w:hint="cs"/>
          <w:sz w:val="27"/>
          <w:rtl/>
        </w:rPr>
        <w:t>ّ</w:t>
      </w:r>
      <w:r w:rsidRPr="006571AC">
        <w:rPr>
          <w:rFonts w:hint="cs"/>
          <w:sz w:val="27"/>
          <w:rtl/>
        </w:rPr>
        <w:t>ةً</w:t>
      </w:r>
      <w:r w:rsidRPr="006571AC">
        <w:rPr>
          <w:sz w:val="27"/>
          <w:rtl/>
        </w:rPr>
        <w:t xml:space="preserve"> </w:t>
      </w:r>
      <w:r w:rsidRPr="006571AC">
        <w:rPr>
          <w:rFonts w:hint="cs"/>
          <w:sz w:val="27"/>
          <w:rtl/>
        </w:rPr>
        <w:t>قوله</w:t>
      </w:r>
      <w:r w:rsidRPr="006571AC">
        <w:rPr>
          <w:sz w:val="27"/>
          <w:rtl/>
        </w:rPr>
        <w:t xml:space="preserve"> </w:t>
      </w:r>
      <w:r w:rsidRPr="006571AC">
        <w:rPr>
          <w:rFonts w:hint="cs"/>
          <w:sz w:val="27"/>
          <w:rtl/>
        </w:rPr>
        <w:t>سبحانه</w:t>
      </w:r>
      <w:r w:rsidRPr="006571AC">
        <w:rPr>
          <w:sz w:val="27"/>
          <w:rtl/>
        </w:rPr>
        <w:t xml:space="preserve"> </w:t>
      </w:r>
      <w:r w:rsidRPr="006571AC">
        <w:rPr>
          <w:rFonts w:hint="cs"/>
          <w:sz w:val="27"/>
          <w:rtl/>
        </w:rPr>
        <w:t>وتعالى</w:t>
      </w:r>
      <w:r w:rsidRPr="006571AC">
        <w:rPr>
          <w:sz w:val="27"/>
          <w:rtl/>
        </w:rPr>
        <w:t xml:space="preserve">: </w:t>
      </w:r>
      <w:r w:rsidR="00AB1A97" w:rsidRPr="006571AC">
        <w:rPr>
          <w:rFonts w:ascii="Mosawi" w:hAnsi="Mosawi" w:cs="Mosawi"/>
          <w:sz w:val="24"/>
          <w:szCs w:val="24"/>
          <w:rtl/>
        </w:rPr>
        <w:t>﴿</w:t>
      </w:r>
      <w:r w:rsidRPr="006571AC">
        <w:rPr>
          <w:rFonts w:hint="cs"/>
          <w:b/>
          <w:bCs/>
          <w:sz w:val="27"/>
          <w:rtl/>
        </w:rPr>
        <w:t>وَآتُوا</w:t>
      </w:r>
      <w:r w:rsidRPr="006571AC">
        <w:rPr>
          <w:b/>
          <w:bCs/>
          <w:sz w:val="27"/>
          <w:rtl/>
        </w:rPr>
        <w:t xml:space="preserve"> </w:t>
      </w:r>
      <w:r w:rsidRPr="006571AC">
        <w:rPr>
          <w:rFonts w:hint="cs"/>
          <w:b/>
          <w:bCs/>
          <w:sz w:val="27"/>
          <w:rtl/>
        </w:rPr>
        <w:t>النِّسَاءَ</w:t>
      </w:r>
      <w:r w:rsidRPr="006571AC">
        <w:rPr>
          <w:b/>
          <w:bCs/>
          <w:sz w:val="27"/>
          <w:rtl/>
        </w:rPr>
        <w:t xml:space="preserve"> </w:t>
      </w:r>
      <w:r w:rsidRPr="006571AC">
        <w:rPr>
          <w:rFonts w:hint="cs"/>
          <w:b/>
          <w:bCs/>
          <w:sz w:val="27"/>
          <w:rtl/>
        </w:rPr>
        <w:t>صَدُقَاتِهِنَّ</w:t>
      </w:r>
      <w:r w:rsidRPr="006571AC">
        <w:rPr>
          <w:b/>
          <w:bCs/>
          <w:sz w:val="27"/>
          <w:rtl/>
        </w:rPr>
        <w:t xml:space="preserve"> </w:t>
      </w:r>
      <w:r w:rsidRPr="006571AC">
        <w:rPr>
          <w:rFonts w:hint="cs"/>
          <w:b/>
          <w:bCs/>
          <w:sz w:val="27"/>
          <w:rtl/>
        </w:rPr>
        <w:t>نِحْلَةً</w:t>
      </w:r>
      <w:r w:rsidR="00AB1A97" w:rsidRPr="006571AC">
        <w:rPr>
          <w:rFonts w:ascii="Mosawi" w:hAnsi="Mosawi" w:cs="Mosawi"/>
          <w:sz w:val="24"/>
          <w:szCs w:val="24"/>
          <w:rtl/>
        </w:rPr>
        <w:t>﴾</w:t>
      </w:r>
      <w:r w:rsidRPr="006571AC">
        <w:rPr>
          <w:sz w:val="27"/>
          <w:vertAlign w:val="superscript"/>
          <w:rtl/>
        </w:rPr>
        <w:t>(</w:t>
      </w:r>
      <w:r w:rsidRPr="006571AC">
        <w:rPr>
          <w:sz w:val="27"/>
          <w:vertAlign w:val="superscript"/>
          <w:rtl/>
        </w:rPr>
        <w:endnoteReference w:id="417"/>
      </w:r>
      <w:r w:rsidRPr="006571AC">
        <w:rPr>
          <w:sz w:val="27"/>
          <w:vertAlign w:val="superscript"/>
          <w:rtl/>
        </w:rPr>
        <w:t>)</w:t>
      </w:r>
      <w:r w:rsidR="00AB1A97" w:rsidRPr="006571AC">
        <w:rPr>
          <w:rFonts w:hint="cs"/>
          <w:sz w:val="27"/>
          <w:rtl/>
        </w:rPr>
        <w:t>.</w:t>
      </w:r>
      <w:r w:rsidRPr="006571AC">
        <w:rPr>
          <w:rFonts w:hint="cs"/>
          <w:sz w:val="27"/>
          <w:rtl/>
        </w:rPr>
        <w:t xml:space="preserve"> ولقد تقد</w:t>
      </w:r>
      <w:r w:rsidR="00AB1A97" w:rsidRPr="006571AC">
        <w:rPr>
          <w:rFonts w:hint="cs"/>
          <w:sz w:val="27"/>
          <w:rtl/>
        </w:rPr>
        <w:t>َّ</w:t>
      </w:r>
      <w:r w:rsidRPr="006571AC">
        <w:rPr>
          <w:rFonts w:hint="cs"/>
          <w:sz w:val="27"/>
          <w:rtl/>
        </w:rPr>
        <w:t>م تعريف الن</w:t>
      </w:r>
      <w:r w:rsidR="00AB1A97" w:rsidRPr="006571AC">
        <w:rPr>
          <w:rFonts w:hint="cs"/>
          <w:sz w:val="27"/>
          <w:rtl/>
        </w:rPr>
        <w:t>ِّ</w:t>
      </w:r>
      <w:r w:rsidRPr="006571AC">
        <w:rPr>
          <w:rFonts w:hint="cs"/>
          <w:sz w:val="27"/>
          <w:rtl/>
        </w:rPr>
        <w:t>ح</w:t>
      </w:r>
      <w:r w:rsidR="00AB1A97" w:rsidRPr="006571AC">
        <w:rPr>
          <w:rFonts w:hint="cs"/>
          <w:sz w:val="27"/>
          <w:rtl/>
        </w:rPr>
        <w:t>ْ</w:t>
      </w:r>
      <w:r w:rsidRPr="006571AC">
        <w:rPr>
          <w:rFonts w:hint="cs"/>
          <w:sz w:val="27"/>
          <w:rtl/>
        </w:rPr>
        <w:t>لة</w:t>
      </w:r>
      <w:r w:rsidR="00AB1A97" w:rsidRPr="006571AC">
        <w:rPr>
          <w:rFonts w:hint="cs"/>
          <w:sz w:val="27"/>
          <w:rtl/>
        </w:rPr>
        <w:t>،</w:t>
      </w:r>
      <w:r w:rsidRPr="006571AC">
        <w:rPr>
          <w:rFonts w:hint="cs"/>
          <w:sz w:val="27"/>
          <w:rtl/>
        </w:rPr>
        <w:t xml:space="preserve"> أي عطاء بلا مقابل</w:t>
      </w:r>
      <w:r w:rsidR="000D4812" w:rsidRPr="006571AC">
        <w:rPr>
          <w:rFonts w:hint="cs"/>
          <w:sz w:val="27"/>
          <w:rtl/>
        </w:rPr>
        <w:t>،</w:t>
      </w:r>
      <w:r w:rsidRPr="006571AC">
        <w:rPr>
          <w:rFonts w:hint="cs"/>
          <w:sz w:val="27"/>
          <w:rtl/>
        </w:rPr>
        <w:t xml:space="preserve"> أي بمعنى الهدي</w:t>
      </w:r>
      <w:r w:rsidR="000D4812" w:rsidRPr="006571AC">
        <w:rPr>
          <w:rFonts w:hint="cs"/>
          <w:sz w:val="27"/>
          <w:rtl/>
        </w:rPr>
        <w:t>ّ</w:t>
      </w:r>
      <w:r w:rsidRPr="006571AC">
        <w:rPr>
          <w:rFonts w:hint="cs"/>
          <w:sz w:val="27"/>
          <w:rtl/>
        </w:rPr>
        <w:t xml:space="preserve">ة </w:t>
      </w:r>
      <w:r w:rsidR="000D4812" w:rsidRPr="006571AC">
        <w:rPr>
          <w:rFonts w:hint="cs"/>
          <w:sz w:val="27"/>
          <w:rtl/>
        </w:rPr>
        <w:t>أ</w:t>
      </w:r>
      <w:r w:rsidRPr="006571AC">
        <w:rPr>
          <w:rFonts w:hint="cs"/>
          <w:sz w:val="27"/>
          <w:rtl/>
        </w:rPr>
        <w:t xml:space="preserve">و الهبة. </w:t>
      </w:r>
    </w:p>
    <w:p w:rsidR="00237EB1" w:rsidRPr="006571AC" w:rsidRDefault="00237EB1" w:rsidP="00E60D93">
      <w:pPr>
        <w:rPr>
          <w:bCs/>
          <w:rtl/>
        </w:rPr>
      </w:pPr>
      <w:bookmarkStart w:id="218" w:name="_Toc79281907"/>
      <w:r w:rsidRPr="006571AC">
        <w:rPr>
          <w:rFonts w:hint="cs"/>
          <w:b/>
          <w:bCs/>
          <w:rtl/>
        </w:rPr>
        <w:t xml:space="preserve">3ـ </w:t>
      </w:r>
      <w:r w:rsidR="000D4812" w:rsidRPr="006571AC">
        <w:rPr>
          <w:rFonts w:hint="cs"/>
          <w:b/>
          <w:bCs/>
          <w:rtl/>
        </w:rPr>
        <w:t xml:space="preserve">المهر </w:t>
      </w:r>
      <w:r w:rsidRPr="006571AC">
        <w:rPr>
          <w:rFonts w:hint="cs"/>
          <w:b/>
          <w:bCs/>
          <w:rtl/>
        </w:rPr>
        <w:t>عامل</w:t>
      </w:r>
      <w:r w:rsidR="000D4812" w:rsidRPr="006571AC">
        <w:rPr>
          <w:rFonts w:hint="cs"/>
          <w:b/>
          <w:bCs/>
          <w:rtl/>
        </w:rPr>
        <w:t>ٌ</w:t>
      </w:r>
      <w:r w:rsidRPr="006571AC">
        <w:rPr>
          <w:rFonts w:hint="cs"/>
          <w:b/>
          <w:bCs/>
          <w:rtl/>
        </w:rPr>
        <w:t xml:space="preserve"> وقائ</w:t>
      </w:r>
      <w:r w:rsidR="000D4812" w:rsidRPr="006571AC">
        <w:rPr>
          <w:rFonts w:hint="cs"/>
          <w:b/>
          <w:bCs/>
          <w:rtl/>
        </w:rPr>
        <w:t>ي</w:t>
      </w:r>
      <w:r w:rsidRPr="006571AC">
        <w:rPr>
          <w:rFonts w:hint="cs"/>
          <w:b/>
          <w:bCs/>
          <w:rtl/>
        </w:rPr>
        <w:t xml:space="preserve"> إزاء الطلاق</w:t>
      </w:r>
      <w:bookmarkEnd w:id="218"/>
      <w:r w:rsidR="000D4812" w:rsidRPr="006571AC">
        <w:rPr>
          <w:rFonts w:hint="cs"/>
          <w:bCs/>
          <w:rtl/>
        </w:rPr>
        <w:t xml:space="preserve">: </w:t>
      </w:r>
      <w:r w:rsidRPr="006571AC">
        <w:rPr>
          <w:rFonts w:hint="cs"/>
          <w:sz w:val="27"/>
          <w:rtl/>
        </w:rPr>
        <w:t>المهر</w:t>
      </w:r>
      <w:r w:rsidRPr="006571AC">
        <w:rPr>
          <w:sz w:val="27"/>
          <w:rtl/>
        </w:rPr>
        <w:t xml:space="preserve"> </w:t>
      </w:r>
      <w:r w:rsidRPr="006571AC">
        <w:rPr>
          <w:rFonts w:hint="cs"/>
          <w:sz w:val="27"/>
          <w:rtl/>
        </w:rPr>
        <w:t>غير</w:t>
      </w:r>
      <w:r w:rsidRPr="006571AC">
        <w:rPr>
          <w:sz w:val="27"/>
          <w:rtl/>
        </w:rPr>
        <w:t xml:space="preserve"> </w:t>
      </w:r>
      <w:r w:rsidRPr="006571AC">
        <w:rPr>
          <w:rFonts w:hint="cs"/>
          <w:sz w:val="27"/>
          <w:rtl/>
        </w:rPr>
        <w:t>النقد</w:t>
      </w:r>
      <w:r w:rsidR="000D4812" w:rsidRPr="006571AC">
        <w:rPr>
          <w:rFonts w:hint="cs"/>
          <w:sz w:val="27"/>
          <w:rtl/>
        </w:rPr>
        <w:t>ي</w:t>
      </w:r>
      <w:r w:rsidRPr="006571AC">
        <w:rPr>
          <w:sz w:val="27"/>
          <w:rtl/>
        </w:rPr>
        <w:t xml:space="preserve"> </w:t>
      </w:r>
      <w:r w:rsidRPr="006571AC">
        <w:rPr>
          <w:rFonts w:hint="cs"/>
          <w:sz w:val="27"/>
          <w:rtl/>
        </w:rPr>
        <w:t>عامل</w:t>
      </w:r>
      <w:r w:rsidR="000D4812" w:rsidRPr="006571AC">
        <w:rPr>
          <w:rFonts w:hint="cs"/>
          <w:sz w:val="27"/>
          <w:rtl/>
        </w:rPr>
        <w:t>ٌ</w:t>
      </w:r>
      <w:r w:rsidRPr="006571AC">
        <w:rPr>
          <w:sz w:val="27"/>
          <w:rtl/>
        </w:rPr>
        <w:t xml:space="preserve"> </w:t>
      </w:r>
      <w:r w:rsidRPr="006571AC">
        <w:rPr>
          <w:rFonts w:hint="cs"/>
          <w:sz w:val="27"/>
          <w:rtl/>
        </w:rPr>
        <w:t>وقائي</w:t>
      </w:r>
      <w:r w:rsidRPr="006571AC">
        <w:rPr>
          <w:sz w:val="27"/>
          <w:rtl/>
        </w:rPr>
        <w:t xml:space="preserve"> </w:t>
      </w:r>
      <w:r w:rsidRPr="006571AC">
        <w:rPr>
          <w:rFonts w:hint="cs"/>
          <w:sz w:val="27"/>
          <w:rtl/>
        </w:rPr>
        <w:t>إزاء</w:t>
      </w:r>
      <w:r w:rsidRPr="006571AC">
        <w:rPr>
          <w:sz w:val="27"/>
          <w:rtl/>
        </w:rPr>
        <w:t xml:space="preserve"> </w:t>
      </w:r>
      <w:r w:rsidRPr="006571AC">
        <w:rPr>
          <w:rFonts w:hint="cs"/>
          <w:sz w:val="27"/>
          <w:rtl/>
        </w:rPr>
        <w:t>الطلاق</w:t>
      </w:r>
      <w:r w:rsidRPr="006571AC">
        <w:rPr>
          <w:sz w:val="27"/>
          <w:rtl/>
        </w:rPr>
        <w:t xml:space="preserve">. </w:t>
      </w:r>
      <w:r w:rsidRPr="006571AC">
        <w:rPr>
          <w:rFonts w:hint="cs"/>
          <w:sz w:val="27"/>
          <w:rtl/>
        </w:rPr>
        <w:t>ولعلّ</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السبب</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جعل</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المقد</w:t>
      </w:r>
      <w:r w:rsidR="000D4812" w:rsidRPr="006571AC">
        <w:rPr>
          <w:rFonts w:hint="cs"/>
          <w:sz w:val="27"/>
          <w:rtl/>
        </w:rPr>
        <w:t>َّ</w:t>
      </w:r>
      <w:r w:rsidRPr="006571AC">
        <w:rPr>
          <w:rFonts w:hint="cs"/>
          <w:sz w:val="27"/>
          <w:rtl/>
        </w:rPr>
        <w:t>س</w:t>
      </w:r>
      <w:r w:rsidRPr="006571AC">
        <w:rPr>
          <w:sz w:val="27"/>
          <w:rtl/>
        </w:rPr>
        <w:t xml:space="preserve"> </w:t>
      </w:r>
      <w:r w:rsidRPr="006571AC">
        <w:rPr>
          <w:rFonts w:hint="cs"/>
          <w:sz w:val="27"/>
          <w:rtl/>
        </w:rPr>
        <w:t>لا</w:t>
      </w:r>
      <w:r w:rsidRPr="006571AC">
        <w:rPr>
          <w:sz w:val="27"/>
          <w:rtl/>
        </w:rPr>
        <w:t xml:space="preserve"> </w:t>
      </w:r>
      <w:r w:rsidRPr="006571AC">
        <w:rPr>
          <w:rFonts w:hint="cs"/>
          <w:sz w:val="27"/>
          <w:rtl/>
        </w:rPr>
        <w:t>يعين</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حدّاً</w:t>
      </w:r>
      <w:r w:rsidR="000D4812" w:rsidRPr="006571AC">
        <w:rPr>
          <w:rFonts w:hint="cs"/>
          <w:sz w:val="27"/>
          <w:rtl/>
        </w:rPr>
        <w:t>،</w:t>
      </w:r>
      <w:r w:rsidRPr="006571AC">
        <w:rPr>
          <w:sz w:val="27"/>
          <w:rtl/>
        </w:rPr>
        <w:t xml:space="preserve"> </w:t>
      </w:r>
      <w:r w:rsidRPr="006571AC">
        <w:rPr>
          <w:rFonts w:hint="cs"/>
          <w:sz w:val="27"/>
          <w:rtl/>
        </w:rPr>
        <w:t>ولم</w:t>
      </w:r>
      <w:r w:rsidRPr="006571AC">
        <w:rPr>
          <w:sz w:val="27"/>
          <w:rtl/>
        </w:rPr>
        <w:t xml:space="preserve"> </w:t>
      </w:r>
      <w:r w:rsidRPr="006571AC">
        <w:rPr>
          <w:rFonts w:hint="cs"/>
          <w:sz w:val="27"/>
          <w:rtl/>
        </w:rPr>
        <w:t>يق</w:t>
      </w:r>
      <w:r w:rsidR="000D4812" w:rsidRPr="006571AC">
        <w:rPr>
          <w:rFonts w:hint="cs"/>
          <w:sz w:val="27"/>
          <w:rtl/>
        </w:rPr>
        <w:t>ُ</w:t>
      </w:r>
      <w:r w:rsidRPr="006571AC">
        <w:rPr>
          <w:rFonts w:hint="cs"/>
          <w:sz w:val="27"/>
          <w:rtl/>
        </w:rPr>
        <w:t>ل</w:t>
      </w:r>
      <w:r w:rsidR="000D4812" w:rsidRPr="006571AC">
        <w:rPr>
          <w:rFonts w:hint="cs"/>
          <w:sz w:val="27"/>
          <w:rtl/>
        </w:rPr>
        <w:t>ْ</w:t>
      </w:r>
      <w:r w:rsidRPr="006571AC">
        <w:rPr>
          <w:sz w:val="27"/>
          <w:rtl/>
        </w:rPr>
        <w:t xml:space="preserve"> </w:t>
      </w:r>
      <w:r w:rsidRPr="006571AC">
        <w:rPr>
          <w:rFonts w:hint="cs"/>
          <w:sz w:val="27"/>
          <w:rtl/>
        </w:rPr>
        <w:t>بنوع</w:t>
      </w:r>
      <w:r w:rsidR="000D4812" w:rsidRPr="006571AC">
        <w:rPr>
          <w:rFonts w:hint="cs"/>
          <w:sz w:val="27"/>
          <w:rtl/>
        </w:rPr>
        <w:t>ٍ</w:t>
      </w:r>
      <w:r w:rsidRPr="006571AC">
        <w:rPr>
          <w:sz w:val="27"/>
          <w:rtl/>
        </w:rPr>
        <w:t xml:space="preserve"> </w:t>
      </w:r>
      <w:r w:rsidRPr="006571AC">
        <w:rPr>
          <w:rFonts w:hint="cs"/>
          <w:sz w:val="27"/>
          <w:rtl/>
        </w:rPr>
        <w:t>معين</w:t>
      </w:r>
      <w:r w:rsidR="000D4812" w:rsidRPr="006571AC">
        <w:rPr>
          <w:rFonts w:hint="cs"/>
          <w:sz w:val="27"/>
          <w:rtl/>
        </w:rPr>
        <w:t>،</w:t>
      </w:r>
      <w:r w:rsidRPr="006571AC">
        <w:rPr>
          <w:sz w:val="27"/>
          <w:rtl/>
        </w:rPr>
        <w:t xml:space="preserve"> </w:t>
      </w:r>
      <w:r w:rsidRPr="006571AC">
        <w:rPr>
          <w:rFonts w:hint="cs"/>
          <w:sz w:val="27"/>
          <w:rtl/>
        </w:rPr>
        <w:t>بد</w:t>
      </w:r>
      <w:r w:rsidR="000D4812" w:rsidRPr="006571AC">
        <w:rPr>
          <w:rFonts w:hint="cs"/>
          <w:sz w:val="27"/>
          <w:rtl/>
        </w:rPr>
        <w:t>ءاً</w:t>
      </w:r>
      <w:r w:rsidRPr="006571AC">
        <w:rPr>
          <w:sz w:val="27"/>
          <w:rtl/>
        </w:rPr>
        <w:t xml:space="preserve"> </w:t>
      </w:r>
      <w:r w:rsidRPr="006571AC">
        <w:rPr>
          <w:rFonts w:hint="cs"/>
          <w:sz w:val="27"/>
          <w:rtl/>
        </w:rPr>
        <w:t>بالأمور</w:t>
      </w:r>
      <w:r w:rsidRPr="006571AC">
        <w:rPr>
          <w:sz w:val="27"/>
          <w:rtl/>
        </w:rPr>
        <w:t xml:space="preserve"> </w:t>
      </w:r>
      <w:r w:rsidRPr="006571AC">
        <w:rPr>
          <w:rFonts w:hint="cs"/>
          <w:sz w:val="27"/>
          <w:rtl/>
        </w:rPr>
        <w:t>التي</w:t>
      </w:r>
      <w:r w:rsidRPr="006571AC">
        <w:rPr>
          <w:sz w:val="27"/>
          <w:rtl/>
        </w:rPr>
        <w:t xml:space="preserve"> </w:t>
      </w:r>
      <w:r w:rsidRPr="006571AC">
        <w:rPr>
          <w:rFonts w:hint="cs"/>
          <w:sz w:val="27"/>
          <w:rtl/>
        </w:rPr>
        <w:t>تقتصر</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الجانب</w:t>
      </w:r>
      <w:r w:rsidRPr="006571AC">
        <w:rPr>
          <w:sz w:val="27"/>
          <w:rtl/>
        </w:rPr>
        <w:t xml:space="preserve"> </w:t>
      </w:r>
      <w:r w:rsidRPr="006571AC">
        <w:rPr>
          <w:rFonts w:hint="cs"/>
          <w:sz w:val="27"/>
          <w:rtl/>
        </w:rPr>
        <w:t>المعنوي</w:t>
      </w:r>
      <w:r w:rsidR="000D4812" w:rsidRPr="006571AC">
        <w:rPr>
          <w:rFonts w:hint="cs"/>
          <w:sz w:val="27"/>
          <w:rtl/>
        </w:rPr>
        <w:t>،</w:t>
      </w:r>
      <w:r w:rsidRPr="006571AC">
        <w:rPr>
          <w:sz w:val="27"/>
          <w:rtl/>
        </w:rPr>
        <w:t xml:space="preserve"> </w:t>
      </w:r>
      <w:r w:rsidRPr="006571AC">
        <w:rPr>
          <w:rFonts w:hint="cs"/>
          <w:sz w:val="27"/>
          <w:rtl/>
        </w:rPr>
        <w:t>مثل</w:t>
      </w:r>
      <w:r w:rsidR="000D4812" w:rsidRPr="006571AC">
        <w:rPr>
          <w:rFonts w:hint="cs"/>
          <w:sz w:val="27"/>
          <w:rtl/>
        </w:rPr>
        <w:t>:</w:t>
      </w:r>
      <w:r w:rsidRPr="006571AC">
        <w:rPr>
          <w:sz w:val="27"/>
          <w:rtl/>
        </w:rPr>
        <w:t xml:space="preserve"> </w:t>
      </w:r>
      <w:r w:rsidRPr="006571AC">
        <w:rPr>
          <w:sz w:val="24"/>
          <w:szCs w:val="24"/>
          <w:rtl/>
        </w:rPr>
        <w:t>«</w:t>
      </w:r>
      <w:r w:rsidRPr="006571AC">
        <w:rPr>
          <w:rFonts w:hint="cs"/>
          <w:sz w:val="27"/>
          <w:rtl/>
        </w:rPr>
        <w:t>تعليم</w:t>
      </w:r>
      <w:r w:rsidRPr="006571AC">
        <w:rPr>
          <w:sz w:val="27"/>
          <w:rtl/>
        </w:rPr>
        <w:t xml:space="preserve"> </w:t>
      </w:r>
      <w:r w:rsidRPr="006571AC">
        <w:rPr>
          <w:rFonts w:hint="cs"/>
          <w:sz w:val="27"/>
          <w:rtl/>
        </w:rPr>
        <w:t>القرآن</w:t>
      </w:r>
      <w:r w:rsidRPr="006571AC">
        <w:rPr>
          <w:rFonts w:hint="eastAsia"/>
          <w:sz w:val="24"/>
          <w:szCs w:val="24"/>
          <w:rtl/>
        </w:rPr>
        <w:t>»</w:t>
      </w:r>
      <w:r w:rsidR="000D4812" w:rsidRPr="006571AC">
        <w:rPr>
          <w:rFonts w:hint="cs"/>
          <w:sz w:val="27"/>
          <w:rtl/>
        </w:rPr>
        <w:t>،</w:t>
      </w:r>
      <w:r w:rsidRPr="006571AC">
        <w:rPr>
          <w:sz w:val="27"/>
          <w:rtl/>
        </w:rPr>
        <w:t xml:space="preserve"> </w:t>
      </w:r>
      <w:r w:rsidRPr="006571AC">
        <w:rPr>
          <w:rFonts w:hint="cs"/>
          <w:sz w:val="27"/>
          <w:rtl/>
        </w:rPr>
        <w:t>وانتهاء</w:t>
      </w:r>
      <w:r w:rsidR="000D4812" w:rsidRPr="006571AC">
        <w:rPr>
          <w:rFonts w:hint="cs"/>
          <w:sz w:val="27"/>
          <w:rtl/>
        </w:rPr>
        <w:t>ً</w:t>
      </w:r>
      <w:r w:rsidRPr="006571AC">
        <w:rPr>
          <w:sz w:val="27"/>
          <w:rtl/>
        </w:rPr>
        <w:t xml:space="preserve"> </w:t>
      </w:r>
      <w:r w:rsidRPr="006571AC">
        <w:rPr>
          <w:rFonts w:hint="cs"/>
          <w:sz w:val="27"/>
          <w:rtl/>
        </w:rPr>
        <w:t>بالمهور</w:t>
      </w:r>
      <w:r w:rsidRPr="006571AC">
        <w:rPr>
          <w:sz w:val="27"/>
          <w:rtl/>
        </w:rPr>
        <w:t xml:space="preserve"> </w:t>
      </w:r>
      <w:r w:rsidRPr="006571AC">
        <w:rPr>
          <w:rFonts w:hint="cs"/>
          <w:sz w:val="27"/>
          <w:rtl/>
        </w:rPr>
        <w:t>الماد</w:t>
      </w:r>
      <w:r w:rsidR="000D4812" w:rsidRPr="006571AC">
        <w:rPr>
          <w:rFonts w:hint="cs"/>
          <w:sz w:val="27"/>
          <w:rtl/>
        </w:rPr>
        <w:t>ّ</w:t>
      </w:r>
      <w:r w:rsidRPr="006571AC">
        <w:rPr>
          <w:rFonts w:hint="cs"/>
          <w:sz w:val="27"/>
          <w:rtl/>
        </w:rPr>
        <w:t>ية</w:t>
      </w:r>
      <w:r w:rsidRPr="006571AC">
        <w:rPr>
          <w:sz w:val="27"/>
          <w:rtl/>
        </w:rPr>
        <w:t xml:space="preserve"> </w:t>
      </w:r>
      <w:r w:rsidRPr="006571AC">
        <w:rPr>
          <w:rFonts w:hint="cs"/>
          <w:sz w:val="27"/>
          <w:rtl/>
        </w:rPr>
        <w:t>الغالية؛ ح</w:t>
      </w:r>
      <w:r w:rsidR="000D4812" w:rsidRPr="006571AC">
        <w:rPr>
          <w:rFonts w:hint="cs"/>
          <w:sz w:val="27"/>
          <w:rtl/>
        </w:rPr>
        <w:t>َ</w:t>
      </w:r>
      <w:r w:rsidRPr="006571AC">
        <w:rPr>
          <w:rFonts w:hint="cs"/>
          <w:sz w:val="27"/>
          <w:rtl/>
        </w:rPr>
        <w:t>س</w:t>
      </w:r>
      <w:r w:rsidR="000D4812" w:rsidRPr="006571AC">
        <w:rPr>
          <w:rFonts w:hint="cs"/>
          <w:sz w:val="27"/>
          <w:rtl/>
        </w:rPr>
        <w:t>ْ</w:t>
      </w:r>
      <w:r w:rsidRPr="006571AC">
        <w:rPr>
          <w:rFonts w:hint="cs"/>
          <w:sz w:val="27"/>
          <w:rtl/>
        </w:rPr>
        <w:t>ب</w:t>
      </w:r>
      <w:r w:rsidRPr="006571AC">
        <w:rPr>
          <w:sz w:val="27"/>
          <w:rtl/>
        </w:rPr>
        <w:t xml:space="preserve"> </w:t>
      </w:r>
      <w:r w:rsidRPr="006571AC">
        <w:rPr>
          <w:rFonts w:hint="cs"/>
          <w:sz w:val="27"/>
          <w:rtl/>
        </w:rPr>
        <w:t>اختلاف</w:t>
      </w:r>
      <w:r w:rsidRPr="006571AC">
        <w:rPr>
          <w:sz w:val="27"/>
          <w:rtl/>
        </w:rPr>
        <w:t xml:space="preserve"> </w:t>
      </w:r>
      <w:r w:rsidRPr="006571AC">
        <w:rPr>
          <w:rFonts w:hint="cs"/>
          <w:sz w:val="27"/>
          <w:rtl/>
        </w:rPr>
        <w:t>الشرائط</w:t>
      </w:r>
      <w:r w:rsidR="000D4812" w:rsidRPr="006571AC">
        <w:rPr>
          <w:rFonts w:hint="cs"/>
          <w:sz w:val="27"/>
          <w:rtl/>
        </w:rPr>
        <w:t>،</w:t>
      </w:r>
      <w:r w:rsidRPr="006571AC">
        <w:rPr>
          <w:sz w:val="27"/>
          <w:rtl/>
        </w:rPr>
        <w:t xml:space="preserve"> </w:t>
      </w:r>
      <w:r w:rsidRPr="006571AC">
        <w:rPr>
          <w:rFonts w:hint="cs"/>
          <w:sz w:val="27"/>
          <w:rtl/>
        </w:rPr>
        <w:t>وتفاوت</w:t>
      </w:r>
      <w:r w:rsidRPr="006571AC">
        <w:rPr>
          <w:sz w:val="27"/>
          <w:rtl/>
        </w:rPr>
        <w:t xml:space="preserve"> </w:t>
      </w:r>
      <w:r w:rsidRPr="006571AC">
        <w:rPr>
          <w:rFonts w:hint="cs"/>
          <w:sz w:val="27"/>
          <w:rtl/>
        </w:rPr>
        <w:t>الأفراد</w:t>
      </w:r>
      <w:r w:rsidRPr="006571AC">
        <w:rPr>
          <w:sz w:val="27"/>
          <w:vertAlign w:val="superscript"/>
          <w:rtl/>
        </w:rPr>
        <w:t>(</w:t>
      </w:r>
      <w:r w:rsidRPr="006571AC">
        <w:rPr>
          <w:sz w:val="27"/>
          <w:vertAlign w:val="superscript"/>
          <w:rtl/>
        </w:rPr>
        <w:endnoteReference w:id="418"/>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bCs/>
          <w:rtl/>
        </w:rPr>
      </w:pPr>
      <w:bookmarkStart w:id="219" w:name="_Toc79281908"/>
      <w:r w:rsidRPr="006571AC">
        <w:rPr>
          <w:rFonts w:hint="cs"/>
          <w:b/>
          <w:bCs/>
          <w:rtl/>
        </w:rPr>
        <w:t>4ـ المهر وثيقة ت</w:t>
      </w:r>
      <w:r w:rsidR="000D4812" w:rsidRPr="006571AC">
        <w:rPr>
          <w:rFonts w:hint="cs"/>
          <w:b/>
          <w:bCs/>
          <w:rtl/>
        </w:rPr>
        <w:t>أ</w:t>
      </w:r>
      <w:r w:rsidRPr="006571AC">
        <w:rPr>
          <w:rFonts w:hint="cs"/>
          <w:b/>
          <w:bCs/>
          <w:rtl/>
        </w:rPr>
        <w:t>مين مقابل الطلاق</w:t>
      </w:r>
      <w:bookmarkEnd w:id="219"/>
      <w:r w:rsidR="000D4812" w:rsidRPr="006571AC">
        <w:rPr>
          <w:rFonts w:hint="cs"/>
          <w:rtl/>
        </w:rPr>
        <w:t xml:space="preserve">: </w:t>
      </w:r>
      <w:r w:rsidRPr="006571AC">
        <w:rPr>
          <w:rFonts w:hint="cs"/>
          <w:sz w:val="27"/>
          <w:rtl/>
        </w:rPr>
        <w:t>لقد قيل في فلسفة المهر</w:t>
      </w:r>
      <w:r w:rsidR="000D4812" w:rsidRPr="006571AC">
        <w:rPr>
          <w:rFonts w:hint="cs"/>
          <w:sz w:val="27"/>
          <w:rtl/>
        </w:rPr>
        <w:t>:</w:t>
      </w:r>
      <w:r w:rsidRPr="006571AC">
        <w:rPr>
          <w:rFonts w:hint="cs"/>
          <w:sz w:val="27"/>
          <w:rtl/>
        </w:rPr>
        <w:t xml:space="preserve"> بما أن الطلاق حق</w:t>
      </w:r>
      <w:r w:rsidR="000D4812" w:rsidRPr="006571AC">
        <w:rPr>
          <w:rFonts w:hint="cs"/>
          <w:sz w:val="27"/>
          <w:rtl/>
        </w:rPr>
        <w:t>ٌّ</w:t>
      </w:r>
      <w:r w:rsidRPr="006571AC">
        <w:rPr>
          <w:rFonts w:hint="cs"/>
          <w:sz w:val="27"/>
          <w:rtl/>
        </w:rPr>
        <w:t xml:space="preserve"> إيقاعي للرجل</w:t>
      </w:r>
      <w:r w:rsidR="000D4812" w:rsidRPr="006571AC">
        <w:rPr>
          <w:rFonts w:hint="cs"/>
          <w:sz w:val="27"/>
          <w:rtl/>
        </w:rPr>
        <w:t>،</w:t>
      </w:r>
      <w:r w:rsidRPr="006571AC">
        <w:rPr>
          <w:rFonts w:hint="cs"/>
          <w:sz w:val="27"/>
          <w:rtl/>
        </w:rPr>
        <w:t xml:space="preserve"> فيستطيع </w:t>
      </w:r>
      <w:r w:rsidR="000D4812" w:rsidRPr="006571AC">
        <w:rPr>
          <w:rFonts w:hint="cs"/>
          <w:sz w:val="27"/>
          <w:rtl/>
        </w:rPr>
        <w:t>أ</w:t>
      </w:r>
      <w:r w:rsidRPr="006571AC">
        <w:rPr>
          <w:rFonts w:hint="cs"/>
          <w:sz w:val="27"/>
          <w:rtl/>
        </w:rPr>
        <w:t>ن يطل</w:t>
      </w:r>
      <w:r w:rsidR="000D4812" w:rsidRPr="006571AC">
        <w:rPr>
          <w:rFonts w:hint="cs"/>
          <w:sz w:val="27"/>
          <w:rtl/>
        </w:rPr>
        <w:t>ِّ</w:t>
      </w:r>
      <w:r w:rsidRPr="006571AC">
        <w:rPr>
          <w:rFonts w:hint="cs"/>
          <w:sz w:val="27"/>
          <w:rtl/>
        </w:rPr>
        <w:t xml:space="preserve">ق زوجته متى </w:t>
      </w:r>
      <w:r w:rsidR="000D4812" w:rsidRPr="006571AC">
        <w:rPr>
          <w:rFonts w:hint="cs"/>
          <w:sz w:val="27"/>
          <w:rtl/>
        </w:rPr>
        <w:t>أ</w:t>
      </w:r>
      <w:r w:rsidRPr="006571AC">
        <w:rPr>
          <w:rFonts w:hint="cs"/>
          <w:sz w:val="27"/>
          <w:rtl/>
        </w:rPr>
        <w:t>راد هذا الفعل، ففي المقابل شرّ</w:t>
      </w:r>
      <w:r w:rsidR="000D4812" w:rsidRPr="006571AC">
        <w:rPr>
          <w:rFonts w:hint="cs"/>
          <w:sz w:val="27"/>
          <w:rtl/>
        </w:rPr>
        <w:t>َ</w:t>
      </w:r>
      <w:r w:rsidRPr="006571AC">
        <w:rPr>
          <w:rFonts w:hint="cs"/>
          <w:sz w:val="27"/>
          <w:rtl/>
        </w:rPr>
        <w:t>ع الله تعالى المهر</w:t>
      </w:r>
      <w:r w:rsidR="000D4812" w:rsidRPr="006571AC">
        <w:rPr>
          <w:rFonts w:hint="cs"/>
          <w:sz w:val="27"/>
          <w:rtl/>
        </w:rPr>
        <w:t>؛</w:t>
      </w:r>
      <w:r w:rsidRPr="006571AC">
        <w:rPr>
          <w:rFonts w:hint="cs"/>
          <w:sz w:val="27"/>
          <w:rtl/>
        </w:rPr>
        <w:t xml:space="preserve"> ليكون وثيقة</w:t>
      </w:r>
      <w:r w:rsidR="000D4812" w:rsidRPr="006571AC">
        <w:rPr>
          <w:rFonts w:hint="cs"/>
          <w:sz w:val="27"/>
          <w:rtl/>
        </w:rPr>
        <w:t>ً</w:t>
      </w:r>
      <w:r w:rsidRPr="006571AC">
        <w:rPr>
          <w:rFonts w:hint="cs"/>
          <w:sz w:val="27"/>
          <w:rtl/>
        </w:rPr>
        <w:t xml:space="preserve"> مالي</w:t>
      </w:r>
      <w:r w:rsidR="000D4812" w:rsidRPr="006571AC">
        <w:rPr>
          <w:rFonts w:hint="cs"/>
          <w:sz w:val="27"/>
          <w:rtl/>
        </w:rPr>
        <w:t>ّ</w:t>
      </w:r>
      <w:r w:rsidRPr="006571AC">
        <w:rPr>
          <w:rFonts w:hint="cs"/>
          <w:sz w:val="27"/>
          <w:rtl/>
        </w:rPr>
        <w:t>ة للمرأة</w:t>
      </w:r>
      <w:r w:rsidR="000D4812" w:rsidRPr="006571AC">
        <w:rPr>
          <w:rFonts w:hint="cs"/>
          <w:sz w:val="27"/>
          <w:rtl/>
        </w:rPr>
        <w:t>،</w:t>
      </w:r>
      <w:r w:rsidRPr="006571AC">
        <w:rPr>
          <w:rFonts w:hint="cs"/>
          <w:sz w:val="27"/>
          <w:rtl/>
        </w:rPr>
        <w:t xml:space="preserve"> تضمن استمراري</w:t>
      </w:r>
      <w:r w:rsidR="000D4812" w:rsidRPr="006571AC">
        <w:rPr>
          <w:rFonts w:hint="cs"/>
          <w:sz w:val="27"/>
          <w:rtl/>
        </w:rPr>
        <w:t>ّ</w:t>
      </w:r>
      <w:r w:rsidRPr="006571AC">
        <w:rPr>
          <w:rFonts w:hint="cs"/>
          <w:sz w:val="27"/>
          <w:rtl/>
        </w:rPr>
        <w:t>ة حياتها بعد الطلاق</w:t>
      </w:r>
      <w:r w:rsidR="000D4812" w:rsidRPr="006571AC">
        <w:rPr>
          <w:rFonts w:hint="cs"/>
          <w:sz w:val="27"/>
          <w:rtl/>
        </w:rPr>
        <w:t>،</w:t>
      </w:r>
      <w:r w:rsidRPr="006571AC">
        <w:rPr>
          <w:rFonts w:hint="cs"/>
          <w:sz w:val="27"/>
          <w:rtl/>
        </w:rPr>
        <w:t xml:space="preserve"> ريثما ترت</w:t>
      </w:r>
      <w:r w:rsidR="000D4812" w:rsidRPr="006571AC">
        <w:rPr>
          <w:rFonts w:hint="cs"/>
          <w:sz w:val="27"/>
          <w:rtl/>
        </w:rPr>
        <w:t>ِّ</w:t>
      </w:r>
      <w:r w:rsidRPr="006571AC">
        <w:rPr>
          <w:rFonts w:hint="cs"/>
          <w:sz w:val="27"/>
          <w:rtl/>
        </w:rPr>
        <w:t xml:space="preserve">ب </w:t>
      </w:r>
      <w:r w:rsidR="000D4812" w:rsidRPr="006571AC">
        <w:rPr>
          <w:rFonts w:hint="cs"/>
          <w:sz w:val="27"/>
          <w:rtl/>
        </w:rPr>
        <w:t>أ</w:t>
      </w:r>
      <w:r w:rsidRPr="006571AC">
        <w:rPr>
          <w:rFonts w:hint="cs"/>
          <w:sz w:val="27"/>
          <w:rtl/>
        </w:rPr>
        <w:t xml:space="preserve">مورها. </w:t>
      </w:r>
    </w:p>
    <w:p w:rsidR="00237EB1" w:rsidRPr="006571AC" w:rsidRDefault="00237EB1" w:rsidP="009543F3">
      <w:pPr>
        <w:rPr>
          <w:sz w:val="27"/>
          <w:rtl/>
        </w:rPr>
      </w:pPr>
      <w:r w:rsidRPr="006571AC">
        <w:rPr>
          <w:rFonts w:hint="cs"/>
          <w:sz w:val="27"/>
          <w:rtl/>
        </w:rPr>
        <w:lastRenderedPageBreak/>
        <w:t>إ</w:t>
      </w:r>
      <w:r w:rsidR="000D4812" w:rsidRPr="006571AC">
        <w:rPr>
          <w:rFonts w:hint="cs"/>
          <w:sz w:val="27"/>
          <w:rtl/>
        </w:rPr>
        <w:t>لاَّ</w:t>
      </w:r>
      <w:r w:rsidRPr="006571AC">
        <w:rPr>
          <w:rFonts w:hint="cs"/>
          <w:sz w:val="27"/>
          <w:rtl/>
        </w:rPr>
        <w:t xml:space="preserve"> أن هذا الرأي مردود</w:t>
      </w:r>
      <w:r w:rsidR="000D4812" w:rsidRPr="006571AC">
        <w:rPr>
          <w:rFonts w:hint="cs"/>
          <w:sz w:val="27"/>
          <w:rtl/>
        </w:rPr>
        <w:t>ٌ</w:t>
      </w:r>
      <w:r w:rsidRPr="006571AC">
        <w:rPr>
          <w:rFonts w:hint="cs"/>
          <w:sz w:val="27"/>
          <w:rtl/>
        </w:rPr>
        <w:t xml:space="preserve"> عليه: </w:t>
      </w:r>
      <w:r w:rsidR="000D4812" w:rsidRPr="006571AC">
        <w:rPr>
          <w:rFonts w:hint="cs"/>
          <w:sz w:val="27"/>
          <w:rtl/>
        </w:rPr>
        <w:t>إ</w:t>
      </w:r>
      <w:r w:rsidRPr="006571AC">
        <w:rPr>
          <w:rFonts w:hint="cs"/>
          <w:sz w:val="27"/>
          <w:rtl/>
        </w:rPr>
        <w:t xml:space="preserve">نه لو كان من جملة </w:t>
      </w:r>
      <w:r w:rsidR="000D4812" w:rsidRPr="006571AC">
        <w:rPr>
          <w:rFonts w:hint="cs"/>
          <w:sz w:val="27"/>
          <w:rtl/>
        </w:rPr>
        <w:t>أ</w:t>
      </w:r>
      <w:r w:rsidRPr="006571AC">
        <w:rPr>
          <w:rFonts w:hint="cs"/>
          <w:sz w:val="27"/>
          <w:rtl/>
        </w:rPr>
        <w:t>هداف تشريع المهر أن يكون ضمانة</w:t>
      </w:r>
      <w:r w:rsidR="000D4812" w:rsidRPr="006571AC">
        <w:rPr>
          <w:rFonts w:hint="cs"/>
          <w:sz w:val="27"/>
          <w:rtl/>
        </w:rPr>
        <w:t>ً</w:t>
      </w:r>
      <w:r w:rsidRPr="006571AC">
        <w:rPr>
          <w:rFonts w:hint="cs"/>
          <w:sz w:val="27"/>
          <w:rtl/>
        </w:rPr>
        <w:t xml:space="preserve"> مالية للمرأة إذن لماذا حث</w:t>
      </w:r>
      <w:r w:rsidR="000D4812" w:rsidRPr="006571AC">
        <w:rPr>
          <w:rFonts w:hint="cs"/>
          <w:sz w:val="27"/>
          <w:rtl/>
        </w:rPr>
        <w:t>َّ</w:t>
      </w:r>
      <w:r w:rsidRPr="006571AC">
        <w:rPr>
          <w:rFonts w:hint="cs"/>
          <w:sz w:val="27"/>
          <w:rtl/>
        </w:rPr>
        <w:t>ت</w:t>
      </w:r>
      <w:r w:rsidR="000D4812" w:rsidRPr="006571AC">
        <w:rPr>
          <w:rFonts w:hint="cs"/>
          <w:sz w:val="27"/>
          <w:rtl/>
        </w:rPr>
        <w:t>ْ</w:t>
      </w:r>
      <w:r w:rsidRPr="006571AC">
        <w:rPr>
          <w:rFonts w:hint="cs"/>
          <w:sz w:val="27"/>
          <w:rtl/>
        </w:rPr>
        <w:t xml:space="preserve"> الشريعة على تقليل المهور</w:t>
      </w:r>
      <w:r w:rsidR="000D4812" w:rsidRPr="006571AC">
        <w:rPr>
          <w:rFonts w:hint="cs"/>
          <w:sz w:val="27"/>
          <w:rtl/>
        </w:rPr>
        <w:t xml:space="preserve">؟! </w:t>
      </w:r>
      <w:r w:rsidRPr="006571AC">
        <w:rPr>
          <w:rFonts w:hint="cs"/>
          <w:sz w:val="27"/>
          <w:rtl/>
        </w:rPr>
        <w:t>ولماذا جعل الرسول</w:t>
      </w:r>
      <w:r w:rsidR="000D4812" w:rsidRPr="006571AC">
        <w:rPr>
          <w:rFonts w:ascii="Mosawi" w:hAnsi="Mosawi" w:cs="Mosawi"/>
          <w:sz w:val="22"/>
          <w:szCs w:val="22"/>
          <w:rtl/>
        </w:rPr>
        <w:t>|</w:t>
      </w:r>
      <w:r w:rsidRPr="006571AC">
        <w:rPr>
          <w:rFonts w:hint="cs"/>
          <w:sz w:val="27"/>
          <w:rtl/>
        </w:rPr>
        <w:t xml:space="preserve"> مهر زوجاته وابنته الزهراء</w:t>
      </w:r>
      <w:r w:rsidR="00EF3467" w:rsidRPr="006571AC">
        <w:rPr>
          <w:rFonts w:ascii="Mosawi" w:hAnsi="Mosawi" w:cs="Mosawi"/>
          <w:sz w:val="22"/>
          <w:szCs w:val="22"/>
        </w:rPr>
        <w:t>÷</w:t>
      </w:r>
      <w:r w:rsidRPr="006571AC">
        <w:rPr>
          <w:rFonts w:hint="cs"/>
          <w:sz w:val="27"/>
          <w:rtl/>
        </w:rPr>
        <w:t xml:space="preserve"> متواضعا</w:t>
      </w:r>
      <w:r w:rsidR="00EF3467" w:rsidRPr="006571AC">
        <w:rPr>
          <w:rFonts w:hint="cs"/>
          <w:sz w:val="27"/>
          <w:rtl/>
        </w:rPr>
        <w:t>ً</w:t>
      </w:r>
      <w:r w:rsidR="009543F3" w:rsidRPr="006571AC">
        <w:rPr>
          <w:rFonts w:hint="cs"/>
          <w:sz w:val="27"/>
          <w:rtl/>
        </w:rPr>
        <w:t>؟!</w:t>
      </w:r>
      <w:r w:rsidR="00EF3467" w:rsidRPr="006571AC">
        <w:rPr>
          <w:rFonts w:hint="cs"/>
          <w:sz w:val="27"/>
          <w:rtl/>
        </w:rPr>
        <w:t xml:space="preserve"> </w:t>
      </w:r>
      <w:r w:rsidRPr="006571AC">
        <w:rPr>
          <w:rFonts w:hint="cs"/>
          <w:sz w:val="27"/>
          <w:rtl/>
        </w:rPr>
        <w:t>و</w:t>
      </w:r>
      <w:r w:rsidR="009543F3" w:rsidRPr="006571AC">
        <w:rPr>
          <w:rFonts w:hint="cs"/>
          <w:sz w:val="27"/>
          <w:rtl/>
        </w:rPr>
        <w:t xml:space="preserve">لماذا </w:t>
      </w:r>
      <w:r w:rsidRPr="006571AC">
        <w:rPr>
          <w:rFonts w:hint="cs"/>
          <w:sz w:val="27"/>
          <w:rtl/>
        </w:rPr>
        <w:t>شج</w:t>
      </w:r>
      <w:r w:rsidR="00EF3467" w:rsidRPr="006571AC">
        <w:rPr>
          <w:rFonts w:hint="cs"/>
          <w:sz w:val="27"/>
          <w:rtl/>
        </w:rPr>
        <w:t>َّ</w:t>
      </w:r>
      <w:r w:rsidRPr="006571AC">
        <w:rPr>
          <w:rFonts w:hint="cs"/>
          <w:sz w:val="27"/>
          <w:rtl/>
        </w:rPr>
        <w:t>ع النساء على إبراء الزوج من المهر</w:t>
      </w:r>
      <w:r w:rsidR="00EF3467" w:rsidRPr="006571AC">
        <w:rPr>
          <w:rFonts w:hint="cs"/>
          <w:sz w:val="27"/>
          <w:rtl/>
        </w:rPr>
        <w:t>؟!</w:t>
      </w:r>
      <w:r w:rsidRPr="006571AC">
        <w:rPr>
          <w:sz w:val="27"/>
          <w:rtl/>
        </w:rPr>
        <w:t xml:space="preserve"> </w:t>
      </w:r>
      <w:r w:rsidRPr="006571AC">
        <w:rPr>
          <w:rFonts w:hint="cs"/>
          <w:sz w:val="27"/>
          <w:rtl/>
        </w:rPr>
        <w:t>ولماذا</w:t>
      </w:r>
      <w:r w:rsidRPr="006571AC">
        <w:rPr>
          <w:sz w:val="27"/>
          <w:rtl/>
        </w:rPr>
        <w:t xml:space="preserve"> </w:t>
      </w:r>
      <w:r w:rsidRPr="006571AC">
        <w:rPr>
          <w:rFonts w:hint="cs"/>
          <w:sz w:val="27"/>
          <w:rtl/>
        </w:rPr>
        <w:t>قال</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تعالى</w:t>
      </w:r>
      <w:r w:rsidRPr="006571AC">
        <w:rPr>
          <w:sz w:val="27"/>
          <w:rtl/>
        </w:rPr>
        <w:t xml:space="preserve">: </w:t>
      </w:r>
      <w:r w:rsidRPr="006571AC">
        <w:rPr>
          <w:rFonts w:ascii="Mosawi" w:hAnsi="Mosawi" w:cs="Mosawi"/>
          <w:sz w:val="24"/>
          <w:szCs w:val="24"/>
          <w:rtl/>
        </w:rPr>
        <w:t>﴿</w:t>
      </w:r>
      <w:r w:rsidRPr="006571AC">
        <w:rPr>
          <w:rFonts w:hint="cs"/>
          <w:b/>
          <w:bCs/>
          <w:sz w:val="27"/>
          <w:rtl/>
        </w:rPr>
        <w:t>و</w:t>
      </w:r>
      <w:r w:rsidR="00EF3467" w:rsidRPr="006571AC">
        <w:rPr>
          <w:rFonts w:hint="cs"/>
          <w:b/>
          <w:bCs/>
          <w:sz w:val="27"/>
          <w:rtl/>
        </w:rPr>
        <w:t>َ</w:t>
      </w:r>
      <w:r w:rsidRPr="006571AC">
        <w:rPr>
          <w:rFonts w:hint="cs"/>
          <w:b/>
          <w:bCs/>
          <w:sz w:val="27"/>
          <w:rtl/>
        </w:rPr>
        <w:t>آت</w:t>
      </w:r>
      <w:r w:rsidR="00EF3467" w:rsidRPr="006571AC">
        <w:rPr>
          <w:rFonts w:hint="cs"/>
          <w:b/>
          <w:bCs/>
          <w:sz w:val="27"/>
          <w:rtl/>
        </w:rPr>
        <w:t>ُ</w:t>
      </w:r>
      <w:r w:rsidRPr="006571AC">
        <w:rPr>
          <w:rFonts w:hint="cs"/>
          <w:b/>
          <w:bCs/>
          <w:sz w:val="27"/>
          <w:rtl/>
        </w:rPr>
        <w:t>وا</w:t>
      </w:r>
      <w:r w:rsidRPr="006571AC">
        <w:rPr>
          <w:b/>
          <w:bCs/>
          <w:sz w:val="27"/>
          <w:rtl/>
        </w:rPr>
        <w:t xml:space="preserve"> </w:t>
      </w:r>
      <w:r w:rsidRPr="006571AC">
        <w:rPr>
          <w:rFonts w:hint="cs"/>
          <w:b/>
          <w:bCs/>
          <w:sz w:val="27"/>
          <w:rtl/>
        </w:rPr>
        <w:t>الن</w:t>
      </w:r>
      <w:r w:rsidR="00EF3467" w:rsidRPr="006571AC">
        <w:rPr>
          <w:rFonts w:hint="cs"/>
          <w:b/>
          <w:bCs/>
          <w:sz w:val="27"/>
          <w:rtl/>
        </w:rPr>
        <w:t>ِّ</w:t>
      </w:r>
      <w:r w:rsidRPr="006571AC">
        <w:rPr>
          <w:rFonts w:hint="cs"/>
          <w:b/>
          <w:bCs/>
          <w:sz w:val="27"/>
          <w:rtl/>
        </w:rPr>
        <w:t>س</w:t>
      </w:r>
      <w:r w:rsidR="00EF3467" w:rsidRPr="006571AC">
        <w:rPr>
          <w:rFonts w:hint="cs"/>
          <w:b/>
          <w:bCs/>
          <w:sz w:val="27"/>
          <w:rtl/>
        </w:rPr>
        <w:t>َ</w:t>
      </w:r>
      <w:r w:rsidRPr="006571AC">
        <w:rPr>
          <w:rFonts w:hint="cs"/>
          <w:b/>
          <w:bCs/>
          <w:sz w:val="27"/>
          <w:rtl/>
        </w:rPr>
        <w:t>اء</w:t>
      </w:r>
      <w:r w:rsidR="00EF3467" w:rsidRPr="006571AC">
        <w:rPr>
          <w:rFonts w:hint="cs"/>
          <w:b/>
          <w:bCs/>
          <w:sz w:val="27"/>
          <w:rtl/>
        </w:rPr>
        <w:t>َ</w:t>
      </w:r>
      <w:r w:rsidRPr="006571AC">
        <w:rPr>
          <w:b/>
          <w:bCs/>
          <w:sz w:val="27"/>
          <w:rtl/>
        </w:rPr>
        <w:t xml:space="preserve"> </w:t>
      </w:r>
      <w:r w:rsidRPr="006571AC">
        <w:rPr>
          <w:rFonts w:hint="cs"/>
          <w:b/>
          <w:bCs/>
          <w:sz w:val="27"/>
          <w:rtl/>
        </w:rPr>
        <w:t>ص</w:t>
      </w:r>
      <w:r w:rsidR="00EF3467" w:rsidRPr="006571AC">
        <w:rPr>
          <w:rFonts w:hint="cs"/>
          <w:b/>
          <w:bCs/>
          <w:sz w:val="27"/>
          <w:rtl/>
        </w:rPr>
        <w:t>َ</w:t>
      </w:r>
      <w:r w:rsidRPr="006571AC">
        <w:rPr>
          <w:rFonts w:hint="cs"/>
          <w:b/>
          <w:bCs/>
          <w:sz w:val="27"/>
          <w:rtl/>
        </w:rPr>
        <w:t>د</w:t>
      </w:r>
      <w:r w:rsidR="00EF3467" w:rsidRPr="006571AC">
        <w:rPr>
          <w:rFonts w:hint="cs"/>
          <w:b/>
          <w:bCs/>
          <w:sz w:val="27"/>
          <w:rtl/>
        </w:rPr>
        <w:t>ُ</w:t>
      </w:r>
      <w:r w:rsidRPr="006571AC">
        <w:rPr>
          <w:rFonts w:hint="cs"/>
          <w:b/>
          <w:bCs/>
          <w:sz w:val="27"/>
          <w:rtl/>
        </w:rPr>
        <w:t>ق</w:t>
      </w:r>
      <w:r w:rsidR="00EF3467" w:rsidRPr="006571AC">
        <w:rPr>
          <w:rFonts w:hint="cs"/>
          <w:b/>
          <w:bCs/>
          <w:sz w:val="27"/>
          <w:rtl/>
        </w:rPr>
        <w:t>َ</w:t>
      </w:r>
      <w:r w:rsidRPr="006571AC">
        <w:rPr>
          <w:rFonts w:hint="cs"/>
          <w:b/>
          <w:bCs/>
          <w:sz w:val="27"/>
          <w:rtl/>
        </w:rPr>
        <w:t>ات</w:t>
      </w:r>
      <w:r w:rsidR="00EF3467" w:rsidRPr="006571AC">
        <w:rPr>
          <w:rFonts w:hint="cs"/>
          <w:b/>
          <w:bCs/>
          <w:sz w:val="27"/>
          <w:rtl/>
        </w:rPr>
        <w:t>ِ</w:t>
      </w:r>
      <w:r w:rsidRPr="006571AC">
        <w:rPr>
          <w:rFonts w:hint="cs"/>
          <w:b/>
          <w:bCs/>
          <w:sz w:val="27"/>
          <w:rtl/>
        </w:rPr>
        <w:t>ه</w:t>
      </w:r>
      <w:r w:rsidR="00EF3467" w:rsidRPr="006571AC">
        <w:rPr>
          <w:rFonts w:hint="cs"/>
          <w:b/>
          <w:bCs/>
          <w:sz w:val="27"/>
          <w:rtl/>
        </w:rPr>
        <w:t>ِ</w:t>
      </w:r>
      <w:r w:rsidRPr="006571AC">
        <w:rPr>
          <w:rFonts w:hint="cs"/>
          <w:b/>
          <w:bCs/>
          <w:sz w:val="27"/>
          <w:rtl/>
        </w:rPr>
        <w:t>ن</w:t>
      </w:r>
      <w:r w:rsidR="00EF3467" w:rsidRPr="006571AC">
        <w:rPr>
          <w:rFonts w:hint="cs"/>
          <w:b/>
          <w:bCs/>
          <w:sz w:val="27"/>
          <w:rtl/>
        </w:rPr>
        <w:t>َّ</w:t>
      </w:r>
      <w:r w:rsidRPr="006571AC">
        <w:rPr>
          <w:b/>
          <w:bCs/>
          <w:sz w:val="27"/>
          <w:rtl/>
        </w:rPr>
        <w:t xml:space="preserve"> </w:t>
      </w:r>
      <w:r w:rsidRPr="006571AC">
        <w:rPr>
          <w:rFonts w:hint="cs"/>
          <w:b/>
          <w:bCs/>
          <w:sz w:val="27"/>
          <w:rtl/>
        </w:rPr>
        <w:t>ن</w:t>
      </w:r>
      <w:r w:rsidR="00EF3467" w:rsidRPr="006571AC">
        <w:rPr>
          <w:rFonts w:hint="cs"/>
          <w:b/>
          <w:bCs/>
          <w:sz w:val="27"/>
          <w:rtl/>
        </w:rPr>
        <w:t>ِ</w:t>
      </w:r>
      <w:r w:rsidRPr="006571AC">
        <w:rPr>
          <w:rFonts w:hint="cs"/>
          <w:b/>
          <w:bCs/>
          <w:sz w:val="27"/>
          <w:rtl/>
        </w:rPr>
        <w:t>ح</w:t>
      </w:r>
      <w:r w:rsidR="00EF3467" w:rsidRPr="006571AC">
        <w:rPr>
          <w:rFonts w:hint="cs"/>
          <w:b/>
          <w:bCs/>
          <w:sz w:val="27"/>
          <w:rtl/>
        </w:rPr>
        <w:t>ْ</w:t>
      </w:r>
      <w:r w:rsidRPr="006571AC">
        <w:rPr>
          <w:rFonts w:hint="cs"/>
          <w:b/>
          <w:bCs/>
          <w:sz w:val="27"/>
          <w:rtl/>
        </w:rPr>
        <w:t>ل</w:t>
      </w:r>
      <w:r w:rsidR="00EF3467" w:rsidRPr="006571AC">
        <w:rPr>
          <w:rFonts w:hint="cs"/>
          <w:b/>
          <w:bCs/>
          <w:sz w:val="27"/>
          <w:rtl/>
        </w:rPr>
        <w:t>َةً</w:t>
      </w:r>
      <w:r w:rsidRPr="006571AC">
        <w:rPr>
          <w:rFonts w:ascii="Mosawi" w:hAnsi="Mosawi" w:cs="Mosawi"/>
          <w:sz w:val="24"/>
          <w:szCs w:val="24"/>
          <w:rtl/>
        </w:rPr>
        <w:t>﴾</w:t>
      </w:r>
      <w:r w:rsidR="00EF3467" w:rsidRPr="006571AC">
        <w:rPr>
          <w:rFonts w:hint="cs"/>
          <w:sz w:val="27"/>
          <w:rtl/>
        </w:rPr>
        <w:t>؟!</w:t>
      </w:r>
      <w:r w:rsidRPr="006571AC">
        <w:rPr>
          <w:rFonts w:ascii="Mosawi" w:hAnsi="Mosawi"/>
          <w:sz w:val="27"/>
          <w:vertAlign w:val="superscript"/>
          <w:rtl/>
        </w:rPr>
        <w:t>(</w:t>
      </w:r>
      <w:r w:rsidRPr="006571AC">
        <w:rPr>
          <w:sz w:val="27"/>
          <w:vertAlign w:val="superscript"/>
          <w:rtl/>
        </w:rPr>
        <w:endnoteReference w:id="419"/>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430" w:lineRule="exact"/>
        <w:rPr>
          <w:sz w:val="27"/>
          <w:rtl/>
        </w:rPr>
      </w:pPr>
    </w:p>
    <w:p w:rsidR="00237EB1" w:rsidRPr="006571AC" w:rsidRDefault="00237EB1" w:rsidP="00E629CB">
      <w:pPr>
        <w:pStyle w:val="31"/>
        <w:rPr>
          <w:color w:val="auto"/>
          <w:rtl/>
        </w:rPr>
      </w:pPr>
      <w:bookmarkStart w:id="220" w:name="_Toc79281909"/>
      <w:bookmarkStart w:id="221" w:name="_Toc114164686"/>
      <w:r w:rsidRPr="006571AC">
        <w:rPr>
          <w:rFonts w:hint="cs"/>
          <w:color w:val="auto"/>
          <w:rtl/>
        </w:rPr>
        <w:t>فلسفة المهر في القانون الإيراني</w:t>
      </w:r>
      <w:bookmarkEnd w:id="220"/>
      <w:bookmarkEnd w:id="221"/>
    </w:p>
    <w:p w:rsidR="00237EB1" w:rsidRPr="006571AC" w:rsidRDefault="00237EB1" w:rsidP="009543F3">
      <w:pPr>
        <w:rPr>
          <w:rFonts w:asciiTheme="majorBidi" w:hAnsiTheme="majorBidi"/>
          <w:sz w:val="27"/>
          <w:rtl/>
        </w:rPr>
      </w:pPr>
      <w:r w:rsidRPr="006571AC">
        <w:rPr>
          <w:rFonts w:hint="cs"/>
          <w:sz w:val="27"/>
          <w:rtl/>
        </w:rPr>
        <w:t>إنّ الحديث عن فلسفة المهر في القانون الإيراني هي مثل فلسفة تشريع بقية المواد القانونية الأخرى</w:t>
      </w:r>
      <w:r w:rsidR="00B32B0B" w:rsidRPr="006571AC">
        <w:rPr>
          <w:rFonts w:hint="cs"/>
          <w:sz w:val="27"/>
          <w:rtl/>
        </w:rPr>
        <w:t>،</w:t>
      </w:r>
      <w:r w:rsidRPr="006571AC">
        <w:rPr>
          <w:rFonts w:hint="cs"/>
          <w:sz w:val="27"/>
          <w:rtl/>
        </w:rPr>
        <w:t xml:space="preserve"> والتي تكون خاضعة</w:t>
      </w:r>
      <w:r w:rsidR="00B32B0B" w:rsidRPr="006571AC">
        <w:rPr>
          <w:rFonts w:hint="cs"/>
          <w:sz w:val="27"/>
          <w:rtl/>
        </w:rPr>
        <w:t>ً</w:t>
      </w:r>
      <w:r w:rsidRPr="006571AC">
        <w:rPr>
          <w:rFonts w:hint="cs"/>
          <w:sz w:val="27"/>
          <w:rtl/>
        </w:rPr>
        <w:t xml:space="preserve"> للفقه ال</w:t>
      </w:r>
      <w:r w:rsidR="00B32B0B" w:rsidRPr="006571AC">
        <w:rPr>
          <w:rFonts w:hint="cs"/>
          <w:sz w:val="27"/>
          <w:rtl/>
        </w:rPr>
        <w:t>إ</w:t>
      </w:r>
      <w:r w:rsidRPr="006571AC">
        <w:rPr>
          <w:rFonts w:hint="cs"/>
          <w:sz w:val="27"/>
          <w:rtl/>
        </w:rPr>
        <w:t>مامي، فتكون العلّة الرئيسة</w:t>
      </w:r>
      <w:r w:rsidRPr="006571AC">
        <w:rPr>
          <w:sz w:val="27"/>
          <w:rtl/>
        </w:rPr>
        <w:t xml:space="preserve"> </w:t>
      </w:r>
      <w:r w:rsidRPr="006571AC">
        <w:rPr>
          <w:rFonts w:hint="cs"/>
          <w:sz w:val="27"/>
          <w:rtl/>
        </w:rPr>
        <w:t>لتشريع المواد القانونية هو</w:t>
      </w:r>
      <w:r w:rsidRPr="006571AC">
        <w:rPr>
          <w:sz w:val="27"/>
          <w:rtl/>
        </w:rPr>
        <w:t xml:space="preserve"> </w:t>
      </w:r>
      <w:r w:rsidRPr="006571AC">
        <w:rPr>
          <w:rFonts w:hint="cs"/>
          <w:sz w:val="27"/>
          <w:rtl/>
        </w:rPr>
        <w:t>تنظيم</w:t>
      </w:r>
      <w:r w:rsidRPr="006571AC">
        <w:rPr>
          <w:sz w:val="27"/>
          <w:rtl/>
        </w:rPr>
        <w:t xml:space="preserve"> </w:t>
      </w:r>
      <w:r w:rsidRPr="006571AC">
        <w:rPr>
          <w:rFonts w:hint="cs"/>
          <w:sz w:val="27"/>
          <w:rtl/>
        </w:rPr>
        <w:t>علاقات الناس في الدولة ال</w:t>
      </w:r>
      <w:r w:rsidR="009543F3" w:rsidRPr="006571AC">
        <w:rPr>
          <w:rFonts w:hint="cs"/>
          <w:sz w:val="27"/>
          <w:rtl/>
        </w:rPr>
        <w:t>إ</w:t>
      </w:r>
      <w:r w:rsidRPr="006571AC">
        <w:rPr>
          <w:rFonts w:hint="cs"/>
          <w:sz w:val="27"/>
          <w:rtl/>
        </w:rPr>
        <w:t>سلامية</w:t>
      </w:r>
      <w:r w:rsidRPr="006571AC">
        <w:rPr>
          <w:sz w:val="27"/>
          <w:vertAlign w:val="superscript"/>
          <w:rtl/>
        </w:rPr>
        <w:t>(</w:t>
      </w:r>
      <w:r w:rsidRPr="006571AC">
        <w:rPr>
          <w:sz w:val="27"/>
          <w:vertAlign w:val="superscript"/>
          <w:rtl/>
        </w:rPr>
        <w:endnoteReference w:id="420"/>
      </w:r>
      <w:r w:rsidRPr="006571AC">
        <w:rPr>
          <w:sz w:val="27"/>
          <w:vertAlign w:val="superscript"/>
          <w:rtl/>
        </w:rPr>
        <w:t>)</w:t>
      </w:r>
      <w:r w:rsidR="00B32B0B" w:rsidRPr="006571AC">
        <w:rPr>
          <w:rFonts w:hint="cs"/>
          <w:sz w:val="27"/>
          <w:rtl/>
        </w:rPr>
        <w:t>.</w:t>
      </w:r>
      <w:r w:rsidR="00B32B0B" w:rsidRPr="006571AC">
        <w:rPr>
          <w:rFonts w:asciiTheme="majorBidi" w:hAnsiTheme="majorBidi" w:hint="cs"/>
          <w:sz w:val="27"/>
          <w:rtl/>
        </w:rPr>
        <w:t xml:space="preserve"> </w:t>
      </w:r>
      <w:r w:rsidRPr="006571AC">
        <w:rPr>
          <w:rFonts w:asciiTheme="majorBidi" w:hAnsiTheme="majorBidi" w:hint="cs"/>
          <w:sz w:val="27"/>
          <w:rtl/>
        </w:rPr>
        <w:t>وبالتالي</w:t>
      </w:r>
      <w:r w:rsidRPr="006571AC">
        <w:rPr>
          <w:rFonts w:asciiTheme="majorBidi" w:hAnsiTheme="majorBidi"/>
          <w:sz w:val="27"/>
          <w:rtl/>
        </w:rPr>
        <w:t xml:space="preserve"> </w:t>
      </w:r>
      <w:r w:rsidRPr="006571AC">
        <w:rPr>
          <w:rFonts w:asciiTheme="majorBidi" w:hAnsiTheme="majorBidi" w:hint="cs"/>
          <w:sz w:val="27"/>
          <w:rtl/>
        </w:rPr>
        <w:t>يمكن</w:t>
      </w:r>
      <w:r w:rsidRPr="006571AC">
        <w:rPr>
          <w:rFonts w:asciiTheme="majorBidi" w:hAnsiTheme="majorBidi"/>
          <w:sz w:val="27"/>
          <w:rtl/>
        </w:rPr>
        <w:t xml:space="preserve"> </w:t>
      </w:r>
      <w:r w:rsidR="00B32B0B" w:rsidRPr="006571AC">
        <w:rPr>
          <w:rFonts w:asciiTheme="majorBidi" w:hAnsiTheme="majorBidi" w:hint="cs"/>
          <w:sz w:val="27"/>
          <w:rtl/>
        </w:rPr>
        <w:t>أ</w:t>
      </w:r>
      <w:r w:rsidRPr="006571AC">
        <w:rPr>
          <w:rFonts w:asciiTheme="majorBidi" w:hAnsiTheme="majorBidi" w:hint="cs"/>
          <w:sz w:val="27"/>
          <w:rtl/>
        </w:rPr>
        <w:t>ن</w:t>
      </w:r>
      <w:r w:rsidRPr="006571AC">
        <w:rPr>
          <w:rFonts w:asciiTheme="majorBidi" w:hAnsiTheme="majorBidi"/>
          <w:sz w:val="27"/>
          <w:rtl/>
        </w:rPr>
        <w:t xml:space="preserve"> </w:t>
      </w:r>
      <w:r w:rsidR="00B32B0B" w:rsidRPr="006571AC">
        <w:rPr>
          <w:rFonts w:asciiTheme="majorBidi" w:hAnsiTheme="majorBidi" w:hint="cs"/>
          <w:sz w:val="27"/>
          <w:rtl/>
        </w:rPr>
        <w:t>نفهم</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فلسفة</w:t>
      </w:r>
      <w:r w:rsidRPr="006571AC">
        <w:rPr>
          <w:rFonts w:asciiTheme="majorBidi" w:hAnsiTheme="majorBidi"/>
          <w:sz w:val="27"/>
          <w:rtl/>
        </w:rPr>
        <w:t xml:space="preserve"> </w:t>
      </w:r>
      <w:r w:rsidRPr="006571AC">
        <w:rPr>
          <w:rFonts w:asciiTheme="majorBidi" w:hAnsiTheme="majorBidi" w:hint="cs"/>
          <w:sz w:val="27"/>
          <w:rtl/>
        </w:rPr>
        <w:t>تشريع</w:t>
      </w:r>
      <w:r w:rsidRPr="006571AC">
        <w:rPr>
          <w:rFonts w:asciiTheme="majorBidi" w:hAnsiTheme="majorBidi"/>
          <w:sz w:val="27"/>
          <w:rtl/>
        </w:rPr>
        <w:t xml:space="preserve"> </w:t>
      </w:r>
      <w:r w:rsidRPr="006571AC">
        <w:rPr>
          <w:rFonts w:asciiTheme="majorBidi" w:hAnsiTheme="majorBidi" w:hint="cs"/>
          <w:sz w:val="27"/>
          <w:rtl/>
        </w:rPr>
        <w:t>قانون</w:t>
      </w:r>
      <w:r w:rsidR="00B32B0B"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حقوقي</w:t>
      </w:r>
      <w:r w:rsidR="00B32B0B"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يتعل</w:t>
      </w:r>
      <w:r w:rsidR="00B32B0B" w:rsidRPr="006571AC">
        <w:rPr>
          <w:rFonts w:asciiTheme="majorBidi" w:hAnsiTheme="majorBidi" w:hint="cs"/>
          <w:sz w:val="27"/>
          <w:rtl/>
        </w:rPr>
        <w:t>َّ</w:t>
      </w:r>
      <w:r w:rsidRPr="006571AC">
        <w:rPr>
          <w:rFonts w:asciiTheme="majorBidi" w:hAnsiTheme="majorBidi" w:hint="cs"/>
          <w:sz w:val="27"/>
          <w:rtl/>
        </w:rPr>
        <w:t>ق</w:t>
      </w:r>
      <w:r w:rsidRPr="006571AC">
        <w:rPr>
          <w:rFonts w:asciiTheme="majorBidi" w:hAnsiTheme="majorBidi"/>
          <w:sz w:val="27"/>
          <w:rtl/>
        </w:rPr>
        <w:t xml:space="preserve"> </w:t>
      </w:r>
      <w:r w:rsidRPr="006571AC">
        <w:rPr>
          <w:rFonts w:asciiTheme="majorBidi" w:hAnsiTheme="majorBidi" w:hint="cs"/>
          <w:sz w:val="27"/>
          <w:rtl/>
        </w:rPr>
        <w:t>بالمهر</w:t>
      </w:r>
      <w:r w:rsidRPr="006571AC">
        <w:rPr>
          <w:rFonts w:asciiTheme="majorBidi" w:hAnsiTheme="majorBidi"/>
          <w:sz w:val="27"/>
          <w:rtl/>
        </w:rPr>
        <w:t xml:space="preserve"> </w:t>
      </w:r>
      <w:r w:rsidRPr="006571AC">
        <w:rPr>
          <w:rFonts w:asciiTheme="majorBidi" w:hAnsiTheme="majorBidi" w:hint="cs"/>
          <w:sz w:val="27"/>
          <w:rtl/>
        </w:rPr>
        <w:t>هو</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أجل</w:t>
      </w:r>
      <w:r w:rsidRPr="006571AC">
        <w:rPr>
          <w:rFonts w:asciiTheme="majorBidi" w:hAnsiTheme="majorBidi"/>
          <w:sz w:val="27"/>
          <w:rtl/>
        </w:rPr>
        <w:t xml:space="preserve"> </w:t>
      </w:r>
      <w:r w:rsidRPr="006571AC">
        <w:rPr>
          <w:rFonts w:asciiTheme="majorBidi" w:hAnsiTheme="majorBidi" w:hint="cs"/>
          <w:sz w:val="27"/>
          <w:rtl/>
        </w:rPr>
        <w:t>تنظيم</w:t>
      </w:r>
      <w:r w:rsidRPr="006571AC">
        <w:rPr>
          <w:rFonts w:asciiTheme="majorBidi" w:hAnsiTheme="majorBidi"/>
          <w:sz w:val="27"/>
          <w:rtl/>
        </w:rPr>
        <w:t xml:space="preserve"> </w:t>
      </w:r>
      <w:r w:rsidRPr="006571AC">
        <w:rPr>
          <w:rFonts w:asciiTheme="majorBidi" w:hAnsiTheme="majorBidi" w:hint="cs"/>
          <w:sz w:val="27"/>
          <w:rtl/>
        </w:rPr>
        <w:t>حياة</w:t>
      </w:r>
      <w:r w:rsidRPr="006571AC">
        <w:rPr>
          <w:rFonts w:asciiTheme="majorBidi" w:hAnsiTheme="majorBidi"/>
          <w:sz w:val="27"/>
          <w:rtl/>
        </w:rPr>
        <w:t xml:space="preserve"> </w:t>
      </w:r>
      <w:r w:rsidRPr="006571AC">
        <w:rPr>
          <w:rFonts w:asciiTheme="majorBidi" w:hAnsiTheme="majorBidi" w:hint="cs"/>
          <w:sz w:val="27"/>
          <w:rtl/>
        </w:rPr>
        <w:t>الأسرة</w:t>
      </w:r>
      <w:r w:rsidRPr="006571AC">
        <w:rPr>
          <w:rFonts w:asciiTheme="majorBidi" w:hAnsiTheme="majorBidi"/>
          <w:sz w:val="27"/>
          <w:rtl/>
        </w:rPr>
        <w:t xml:space="preserve"> </w:t>
      </w:r>
      <w:r w:rsidRPr="006571AC">
        <w:rPr>
          <w:rFonts w:asciiTheme="majorBidi" w:hAnsiTheme="majorBidi" w:hint="cs"/>
          <w:sz w:val="27"/>
          <w:rtl/>
        </w:rPr>
        <w:t>الإيرانية</w:t>
      </w:r>
      <w:r w:rsidR="00B32B0B"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وحمايتها</w:t>
      </w:r>
      <w:r w:rsidR="00B32B0B"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والحفاظ</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حقوق</w:t>
      </w:r>
      <w:r w:rsidRPr="006571AC">
        <w:rPr>
          <w:rFonts w:asciiTheme="majorBidi" w:hAnsiTheme="majorBidi"/>
          <w:sz w:val="27"/>
          <w:rtl/>
        </w:rPr>
        <w:t xml:space="preserve"> </w:t>
      </w:r>
      <w:r w:rsidRPr="006571AC">
        <w:rPr>
          <w:rFonts w:asciiTheme="majorBidi" w:hAnsiTheme="majorBidi" w:hint="cs"/>
          <w:sz w:val="27"/>
          <w:rtl/>
        </w:rPr>
        <w:t xml:space="preserve">المرأة. </w:t>
      </w:r>
    </w:p>
    <w:p w:rsidR="00237EB1" w:rsidRPr="006571AC" w:rsidRDefault="00237EB1" w:rsidP="00291BAF">
      <w:pPr>
        <w:spacing w:line="420" w:lineRule="exact"/>
        <w:rPr>
          <w:rFonts w:asciiTheme="majorBidi" w:hAnsiTheme="majorBidi"/>
          <w:sz w:val="27"/>
          <w:rtl/>
        </w:rPr>
      </w:pPr>
    </w:p>
    <w:p w:rsidR="00237EB1" w:rsidRPr="006571AC" w:rsidRDefault="00237EB1" w:rsidP="00E629CB">
      <w:pPr>
        <w:pStyle w:val="31"/>
        <w:rPr>
          <w:color w:val="auto"/>
          <w:rtl/>
        </w:rPr>
      </w:pPr>
      <w:bookmarkStart w:id="222" w:name="_Toc79281910"/>
      <w:bookmarkStart w:id="223" w:name="_Toc114164687"/>
      <w:r w:rsidRPr="006571AC">
        <w:rPr>
          <w:color w:val="auto"/>
          <w:rtl/>
        </w:rPr>
        <w:t>حقيقة المهر في الفقه الإمامي</w:t>
      </w:r>
      <w:bookmarkEnd w:id="222"/>
      <w:bookmarkEnd w:id="223"/>
    </w:p>
    <w:p w:rsidR="00237EB1" w:rsidRPr="006571AC" w:rsidRDefault="00237EB1" w:rsidP="00E60D93">
      <w:pPr>
        <w:rPr>
          <w:sz w:val="27"/>
          <w:rtl/>
        </w:rPr>
      </w:pPr>
      <w:r w:rsidRPr="006571AC">
        <w:rPr>
          <w:rFonts w:hint="cs"/>
          <w:sz w:val="27"/>
          <w:rtl/>
        </w:rPr>
        <w:t>ذكر العلماء بعض الأمور حول المهر</w:t>
      </w:r>
      <w:r w:rsidR="00B32B0B" w:rsidRPr="006571AC">
        <w:rPr>
          <w:rFonts w:hint="cs"/>
          <w:sz w:val="27"/>
          <w:rtl/>
        </w:rPr>
        <w:t>،</w:t>
      </w:r>
      <w:r w:rsidRPr="006571AC">
        <w:rPr>
          <w:rFonts w:hint="cs"/>
          <w:sz w:val="27"/>
          <w:rtl/>
        </w:rPr>
        <w:t xml:space="preserve"> يمكن </w:t>
      </w:r>
      <w:r w:rsidR="00B32B0B" w:rsidRPr="006571AC">
        <w:rPr>
          <w:rFonts w:hint="cs"/>
          <w:sz w:val="27"/>
          <w:rtl/>
        </w:rPr>
        <w:t>أ</w:t>
      </w:r>
      <w:r w:rsidRPr="006571AC">
        <w:rPr>
          <w:rFonts w:hint="cs"/>
          <w:sz w:val="27"/>
          <w:rtl/>
        </w:rPr>
        <w:t>ن تعتبر من مقو</w:t>
      </w:r>
      <w:r w:rsidR="00B32B0B" w:rsidRPr="006571AC">
        <w:rPr>
          <w:rFonts w:hint="cs"/>
          <w:sz w:val="27"/>
          <w:rtl/>
        </w:rPr>
        <w:t>ِّ</w:t>
      </w:r>
      <w:r w:rsidRPr="006571AC">
        <w:rPr>
          <w:rFonts w:hint="cs"/>
          <w:sz w:val="27"/>
          <w:rtl/>
        </w:rPr>
        <w:t>ماته وحقيقته</w:t>
      </w:r>
      <w:r w:rsidR="00B32B0B" w:rsidRPr="006571AC">
        <w:rPr>
          <w:rFonts w:hint="cs"/>
          <w:sz w:val="27"/>
          <w:rtl/>
        </w:rPr>
        <w:t>،</w:t>
      </w:r>
      <w:r w:rsidRPr="006571AC">
        <w:rPr>
          <w:rFonts w:hint="cs"/>
          <w:sz w:val="27"/>
          <w:rtl/>
        </w:rPr>
        <w:t xml:space="preserve"> وهي: </w:t>
      </w:r>
    </w:p>
    <w:p w:rsidR="00237EB1" w:rsidRPr="006571AC" w:rsidRDefault="00237EB1" w:rsidP="00E60D93">
      <w:pPr>
        <w:rPr>
          <w:sz w:val="27"/>
          <w:rtl/>
        </w:rPr>
      </w:pPr>
      <w:r w:rsidRPr="006571AC">
        <w:rPr>
          <w:rFonts w:hint="cs"/>
          <w:sz w:val="27"/>
          <w:rtl/>
        </w:rPr>
        <w:t xml:space="preserve"> كل</w:t>
      </w:r>
      <w:r w:rsidR="005F28B8" w:rsidRPr="006571AC">
        <w:rPr>
          <w:rFonts w:hint="cs"/>
          <w:sz w:val="27"/>
          <w:rtl/>
        </w:rPr>
        <w:t>ّ</w:t>
      </w:r>
      <w:r w:rsidRPr="006571AC">
        <w:rPr>
          <w:rFonts w:hint="cs"/>
          <w:sz w:val="27"/>
          <w:rtl/>
        </w:rPr>
        <w:t xml:space="preserve"> ما يصح</w:t>
      </w:r>
      <w:r w:rsidR="009543F3" w:rsidRPr="006571AC">
        <w:rPr>
          <w:rFonts w:hint="cs"/>
          <w:sz w:val="27"/>
          <w:rtl/>
        </w:rPr>
        <w:t>ّ</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يملكه‌</w:t>
      </w:r>
      <w:r w:rsidRPr="006571AC">
        <w:rPr>
          <w:sz w:val="27"/>
          <w:rtl/>
        </w:rPr>
        <w:t xml:space="preserve"> </w:t>
      </w:r>
      <w:r w:rsidRPr="006571AC">
        <w:rPr>
          <w:rFonts w:hint="cs"/>
          <w:sz w:val="27"/>
          <w:rtl/>
        </w:rPr>
        <w:t>المسلم</w:t>
      </w:r>
      <w:r w:rsidR="009543F3" w:rsidRPr="006571AC">
        <w:rPr>
          <w:rFonts w:hint="cs"/>
          <w:sz w:val="27"/>
          <w:rtl/>
        </w:rPr>
        <w:t>،</w:t>
      </w:r>
      <w:r w:rsidRPr="006571AC">
        <w:rPr>
          <w:sz w:val="27"/>
          <w:rtl/>
        </w:rPr>
        <w:t xml:space="preserve"> </w:t>
      </w:r>
      <w:r w:rsidRPr="006571AC">
        <w:rPr>
          <w:rFonts w:hint="cs"/>
          <w:sz w:val="27"/>
          <w:rtl/>
        </w:rPr>
        <w:t>ع</w:t>
      </w:r>
      <w:r w:rsidR="009543F3" w:rsidRPr="006571AC">
        <w:rPr>
          <w:rFonts w:hint="cs"/>
          <w:sz w:val="27"/>
          <w:rtl/>
        </w:rPr>
        <w:t>َ</w:t>
      </w:r>
      <w:r w:rsidRPr="006571AC">
        <w:rPr>
          <w:rFonts w:hint="cs"/>
          <w:sz w:val="27"/>
          <w:rtl/>
        </w:rPr>
        <w:t>ي</w:t>
      </w:r>
      <w:r w:rsidR="009543F3" w:rsidRPr="006571AC">
        <w:rPr>
          <w:rFonts w:hint="cs"/>
          <w:sz w:val="27"/>
          <w:rtl/>
        </w:rPr>
        <w:t>ْ</w:t>
      </w:r>
      <w:r w:rsidRPr="006571AC">
        <w:rPr>
          <w:rFonts w:hint="cs"/>
          <w:sz w:val="27"/>
          <w:rtl/>
        </w:rPr>
        <w:t>نا</w:t>
      </w:r>
      <w:r w:rsidR="005F28B8"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منفعة</w:t>
      </w:r>
      <w:r w:rsidR="005F28B8" w:rsidRPr="006571AC">
        <w:rPr>
          <w:rFonts w:hint="cs"/>
          <w:sz w:val="27"/>
          <w:rtl/>
        </w:rPr>
        <w:t>ً،</w:t>
      </w:r>
      <w:r w:rsidRPr="006571AC">
        <w:rPr>
          <w:sz w:val="27"/>
          <w:rtl/>
        </w:rPr>
        <w:t xml:space="preserve"> </w:t>
      </w:r>
      <w:r w:rsidRPr="006571AC">
        <w:rPr>
          <w:rFonts w:hint="cs"/>
          <w:sz w:val="27"/>
          <w:rtl/>
        </w:rPr>
        <w:t>لعقار</w:t>
      </w:r>
      <w:r w:rsidR="005F28B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حيوان</w:t>
      </w:r>
      <w:r w:rsidR="005F28B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إنسان</w:t>
      </w:r>
      <w:r w:rsidR="005F28B8" w:rsidRPr="006571AC">
        <w:rPr>
          <w:rFonts w:hint="cs"/>
          <w:sz w:val="27"/>
          <w:rtl/>
        </w:rPr>
        <w:t>ٍ،</w:t>
      </w:r>
      <w:r w:rsidRPr="006571AC">
        <w:rPr>
          <w:sz w:val="27"/>
          <w:rtl/>
        </w:rPr>
        <w:t xml:space="preserve"> </w:t>
      </w:r>
      <w:r w:rsidRPr="006571AC">
        <w:rPr>
          <w:rFonts w:hint="cs"/>
          <w:sz w:val="27"/>
          <w:rtl/>
        </w:rPr>
        <w:t>عبد</w:t>
      </w:r>
      <w:r w:rsidR="005F28B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ح</w:t>
      </w:r>
      <w:r w:rsidR="005F28B8" w:rsidRPr="006571AC">
        <w:rPr>
          <w:rFonts w:hint="cs"/>
          <w:sz w:val="27"/>
          <w:rtl/>
        </w:rPr>
        <w:t>ُ</w:t>
      </w:r>
      <w:r w:rsidRPr="006571AC">
        <w:rPr>
          <w:rFonts w:hint="cs"/>
          <w:sz w:val="27"/>
          <w:rtl/>
        </w:rPr>
        <w:t>ر</w:t>
      </w:r>
      <w:r w:rsidR="005F28B8" w:rsidRPr="006571AC">
        <w:rPr>
          <w:rFonts w:hint="cs"/>
          <w:sz w:val="27"/>
          <w:rtl/>
        </w:rPr>
        <w:t>ٍّ،</w:t>
      </w:r>
      <w:r w:rsidRPr="006571AC">
        <w:rPr>
          <w:sz w:val="27"/>
          <w:rtl/>
        </w:rPr>
        <w:t xml:space="preserve"> </w:t>
      </w:r>
      <w:r w:rsidRPr="006571AC">
        <w:rPr>
          <w:rFonts w:hint="cs"/>
          <w:sz w:val="27"/>
          <w:rtl/>
        </w:rPr>
        <w:t>ولو</w:t>
      </w:r>
      <w:r w:rsidRPr="006571AC">
        <w:rPr>
          <w:sz w:val="27"/>
          <w:rtl/>
        </w:rPr>
        <w:t xml:space="preserve"> </w:t>
      </w:r>
      <w:r w:rsidRPr="006571AC">
        <w:rPr>
          <w:rFonts w:hint="cs"/>
          <w:sz w:val="27"/>
          <w:rtl/>
        </w:rPr>
        <w:t>الزوج</w:t>
      </w:r>
      <w:r w:rsidRPr="006571AC">
        <w:rPr>
          <w:sz w:val="27"/>
          <w:rtl/>
        </w:rPr>
        <w:t xml:space="preserve"> </w:t>
      </w:r>
      <w:r w:rsidRPr="006571AC">
        <w:rPr>
          <w:rFonts w:hint="cs"/>
          <w:sz w:val="27"/>
          <w:rtl/>
        </w:rPr>
        <w:t>نفسه</w:t>
      </w:r>
      <w:r w:rsidR="00AD5EBE" w:rsidRPr="006571AC">
        <w:rPr>
          <w:rFonts w:hint="cs"/>
          <w:sz w:val="27"/>
          <w:rtl/>
        </w:rPr>
        <w:t>؛</w:t>
      </w:r>
      <w:r w:rsidRPr="006571AC">
        <w:rPr>
          <w:rFonts w:hint="cs"/>
          <w:sz w:val="27"/>
          <w:rtl/>
        </w:rPr>
        <w:t xml:space="preserve"> للأصل</w:t>
      </w:r>
      <w:r w:rsidR="005F28B8" w:rsidRPr="006571AC">
        <w:rPr>
          <w:rFonts w:hint="cs"/>
          <w:sz w:val="27"/>
          <w:rtl/>
        </w:rPr>
        <w:t>،</w:t>
      </w:r>
      <w:r w:rsidRPr="006571AC">
        <w:rPr>
          <w:sz w:val="27"/>
          <w:rtl/>
        </w:rPr>
        <w:t xml:space="preserve"> </w:t>
      </w:r>
      <w:r w:rsidRPr="006571AC">
        <w:rPr>
          <w:rFonts w:hint="cs"/>
          <w:sz w:val="27"/>
          <w:rtl/>
        </w:rPr>
        <w:t>والمعتبرة</w:t>
      </w:r>
      <w:r w:rsidRPr="006571AC">
        <w:rPr>
          <w:sz w:val="27"/>
          <w:rtl/>
        </w:rPr>
        <w:t xml:space="preserve"> </w:t>
      </w:r>
      <w:r w:rsidRPr="006571AC">
        <w:rPr>
          <w:rFonts w:hint="cs"/>
          <w:sz w:val="27"/>
          <w:rtl/>
        </w:rPr>
        <w:t>المستفيضة</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تحديد</w:t>
      </w:r>
      <w:r w:rsidRPr="006571AC">
        <w:rPr>
          <w:sz w:val="27"/>
          <w:rtl/>
        </w:rPr>
        <w:t xml:space="preserve"> </w:t>
      </w:r>
      <w:r w:rsidRPr="006571AC">
        <w:rPr>
          <w:rFonts w:hint="cs"/>
          <w:sz w:val="27"/>
          <w:rtl/>
        </w:rPr>
        <w:t>الصداق</w:t>
      </w:r>
      <w:r w:rsidRPr="006571AC">
        <w:rPr>
          <w:sz w:val="27"/>
          <w:rtl/>
        </w:rPr>
        <w:t xml:space="preserve"> </w:t>
      </w:r>
      <w:r w:rsidRPr="006571AC">
        <w:rPr>
          <w:rFonts w:hint="cs"/>
          <w:sz w:val="27"/>
          <w:rtl/>
        </w:rPr>
        <w:t>بما</w:t>
      </w:r>
      <w:r w:rsidRPr="006571AC">
        <w:rPr>
          <w:sz w:val="27"/>
          <w:rtl/>
        </w:rPr>
        <w:t xml:space="preserve"> </w:t>
      </w:r>
      <w:r w:rsidRPr="006571AC">
        <w:rPr>
          <w:rFonts w:hint="cs"/>
          <w:sz w:val="27"/>
          <w:rtl/>
        </w:rPr>
        <w:t>تراضيا</w:t>
      </w:r>
      <w:r w:rsidRPr="006571AC">
        <w:rPr>
          <w:sz w:val="27"/>
          <w:rtl/>
        </w:rPr>
        <w:t xml:space="preserve"> </w:t>
      </w:r>
      <w:r w:rsidRPr="006571AC">
        <w:rPr>
          <w:rFonts w:hint="cs"/>
          <w:sz w:val="27"/>
          <w:rtl/>
        </w:rPr>
        <w:t>عليه</w:t>
      </w:r>
      <w:r w:rsidR="005F28B8" w:rsidRPr="006571AC">
        <w:rPr>
          <w:rFonts w:hint="cs"/>
          <w:sz w:val="27"/>
          <w:rtl/>
        </w:rPr>
        <w:t>،</w:t>
      </w:r>
      <w:r w:rsidRPr="006571AC">
        <w:rPr>
          <w:sz w:val="27"/>
          <w:rtl/>
        </w:rPr>
        <w:t xml:space="preserve"> </w:t>
      </w:r>
      <w:r w:rsidRPr="006571AC">
        <w:rPr>
          <w:rFonts w:hint="cs"/>
          <w:sz w:val="27"/>
          <w:rtl/>
        </w:rPr>
        <w:t>وأن</w:t>
      </w:r>
      <w:r w:rsidRPr="006571AC">
        <w:rPr>
          <w:sz w:val="27"/>
          <w:rtl/>
        </w:rPr>
        <w:t xml:space="preserve"> </w:t>
      </w:r>
      <w:r w:rsidRPr="006571AC">
        <w:rPr>
          <w:rFonts w:hint="cs"/>
          <w:sz w:val="27"/>
          <w:rtl/>
        </w:rPr>
        <w:t>المنساق</w:t>
      </w:r>
      <w:r w:rsidRPr="006571AC">
        <w:rPr>
          <w:sz w:val="27"/>
          <w:rtl/>
        </w:rPr>
        <w:t xml:space="preserve"> </w:t>
      </w:r>
      <w:r w:rsidRPr="006571AC">
        <w:rPr>
          <w:rFonts w:hint="cs"/>
          <w:sz w:val="27"/>
          <w:rtl/>
        </w:rPr>
        <w:t>منها</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بالنسبة</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الكثرة</w:t>
      </w:r>
      <w:r w:rsidRPr="006571AC">
        <w:rPr>
          <w:sz w:val="27"/>
          <w:rtl/>
        </w:rPr>
        <w:t xml:space="preserve"> </w:t>
      </w:r>
      <w:r w:rsidRPr="006571AC">
        <w:rPr>
          <w:rFonts w:hint="cs"/>
          <w:sz w:val="27"/>
          <w:rtl/>
        </w:rPr>
        <w:t>والقل</w:t>
      </w:r>
      <w:r w:rsidR="005F28B8" w:rsidRPr="006571AC">
        <w:rPr>
          <w:rFonts w:hint="cs"/>
          <w:sz w:val="27"/>
          <w:rtl/>
        </w:rPr>
        <w:t>ّ</w:t>
      </w:r>
      <w:r w:rsidRPr="006571AC">
        <w:rPr>
          <w:rFonts w:hint="cs"/>
          <w:sz w:val="27"/>
          <w:rtl/>
        </w:rPr>
        <w:t>ة</w:t>
      </w:r>
      <w:r w:rsidRPr="006571AC">
        <w:rPr>
          <w:sz w:val="27"/>
          <w:rtl/>
        </w:rPr>
        <w:t>،</w:t>
      </w:r>
      <w:r w:rsidRPr="006571AC">
        <w:rPr>
          <w:rFonts w:hint="cs"/>
          <w:sz w:val="27"/>
          <w:rtl/>
        </w:rPr>
        <w:t xml:space="preserve"> فقد ورد في</w:t>
      </w:r>
      <w:r w:rsidRPr="006571AC">
        <w:rPr>
          <w:sz w:val="27"/>
          <w:rtl/>
        </w:rPr>
        <w:t xml:space="preserve"> </w:t>
      </w:r>
      <w:r w:rsidRPr="006571AC">
        <w:rPr>
          <w:rFonts w:hint="cs"/>
          <w:sz w:val="27"/>
          <w:rtl/>
        </w:rPr>
        <w:t>صحيح</w:t>
      </w:r>
      <w:r w:rsidRPr="006571AC">
        <w:rPr>
          <w:sz w:val="27"/>
          <w:rtl/>
        </w:rPr>
        <w:t xml:space="preserve"> </w:t>
      </w:r>
      <w:r w:rsidRPr="006571AC">
        <w:rPr>
          <w:rFonts w:hint="cs"/>
          <w:sz w:val="27"/>
          <w:rtl/>
        </w:rPr>
        <w:t>الكناني</w:t>
      </w:r>
      <w:r w:rsidR="005F28B8" w:rsidRPr="006571AC">
        <w:rPr>
          <w:rFonts w:hint="cs"/>
          <w:sz w:val="27"/>
          <w:rtl/>
        </w:rPr>
        <w:t>:</w:t>
      </w:r>
      <w:r w:rsidRPr="006571AC">
        <w:rPr>
          <w:sz w:val="27"/>
          <w:rtl/>
        </w:rPr>
        <w:t xml:space="preserve"> </w:t>
      </w:r>
      <w:r w:rsidRPr="006571AC">
        <w:rPr>
          <w:sz w:val="24"/>
          <w:szCs w:val="24"/>
          <w:rtl/>
        </w:rPr>
        <w:t>«</w:t>
      </w:r>
      <w:r w:rsidRPr="006571AC">
        <w:rPr>
          <w:rFonts w:hint="cs"/>
          <w:sz w:val="27"/>
          <w:rtl/>
        </w:rPr>
        <w:t>سألت</w:t>
      </w:r>
      <w:r w:rsidR="005F28B8" w:rsidRPr="006571AC">
        <w:rPr>
          <w:rFonts w:hint="cs"/>
          <w:sz w:val="27"/>
          <w:rtl/>
        </w:rPr>
        <w:t>ُه</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المهر</w:t>
      </w:r>
      <w:r w:rsidR="005F28B8" w:rsidRPr="006571AC">
        <w:rPr>
          <w:rFonts w:hint="cs"/>
          <w:sz w:val="27"/>
          <w:rtl/>
        </w:rPr>
        <w:t>،</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هو؟ فقال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w:t>
      </w:r>
      <w:r w:rsidR="005F28B8" w:rsidRPr="006571AC">
        <w:rPr>
          <w:rFonts w:hint="cs"/>
          <w:sz w:val="27"/>
          <w:rtl/>
        </w:rPr>
        <w:t>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الناس</w:t>
      </w:r>
      <w:r w:rsidRPr="006571AC">
        <w:rPr>
          <w:sz w:val="24"/>
          <w:szCs w:val="24"/>
          <w:rtl/>
        </w:rPr>
        <w:t>»</w:t>
      </w:r>
      <w:r w:rsidRPr="006571AC">
        <w:rPr>
          <w:sz w:val="27"/>
          <w:vertAlign w:val="superscript"/>
          <w:rtl/>
        </w:rPr>
        <w:t>(</w:t>
      </w:r>
      <w:r w:rsidRPr="006571AC">
        <w:rPr>
          <w:sz w:val="27"/>
          <w:vertAlign w:val="superscript"/>
          <w:rtl/>
        </w:rPr>
        <w:endnoteReference w:id="421"/>
      </w:r>
      <w:r w:rsidRPr="006571AC">
        <w:rPr>
          <w:sz w:val="27"/>
          <w:vertAlign w:val="superscript"/>
          <w:rtl/>
        </w:rPr>
        <w:t>)</w:t>
      </w:r>
      <w:r w:rsidR="005F28B8" w:rsidRPr="006571AC">
        <w:rPr>
          <w:rFonts w:hint="cs"/>
          <w:sz w:val="27"/>
          <w:rtl/>
        </w:rPr>
        <w:t>؛</w:t>
      </w:r>
      <w:r w:rsidRPr="006571AC">
        <w:rPr>
          <w:sz w:val="27"/>
          <w:rtl/>
        </w:rPr>
        <w:t xml:space="preserve"> </w:t>
      </w:r>
      <w:r w:rsidRPr="006571AC">
        <w:rPr>
          <w:rFonts w:hint="cs"/>
          <w:sz w:val="27"/>
          <w:rtl/>
        </w:rPr>
        <w:t>وصحيح</w:t>
      </w:r>
      <w:r w:rsidRPr="006571AC">
        <w:rPr>
          <w:sz w:val="27"/>
          <w:rtl/>
        </w:rPr>
        <w:t xml:space="preserve"> </w:t>
      </w:r>
      <w:r w:rsidRPr="006571AC">
        <w:rPr>
          <w:rFonts w:hint="cs"/>
          <w:sz w:val="27"/>
          <w:rtl/>
        </w:rPr>
        <w:t>زرارة</w:t>
      </w:r>
      <w:r w:rsidR="005F28B8" w:rsidRPr="006571AC">
        <w:rPr>
          <w:rFonts w:hint="cs"/>
          <w:sz w:val="27"/>
          <w:rtl/>
        </w:rPr>
        <w:t>،</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أبي</w:t>
      </w:r>
      <w:r w:rsidRPr="006571AC">
        <w:rPr>
          <w:sz w:val="27"/>
          <w:rtl/>
        </w:rPr>
        <w:t xml:space="preserve"> </w:t>
      </w:r>
      <w:r w:rsidRPr="006571AC">
        <w:rPr>
          <w:rFonts w:hint="cs"/>
          <w:sz w:val="27"/>
          <w:rtl/>
        </w:rPr>
        <w:t>جعفر</w:t>
      </w:r>
      <w:r w:rsidR="002A2C90" w:rsidRPr="006571AC">
        <w:rPr>
          <w:rFonts w:ascii="Mosawi" w:hAnsi="Mosawi" w:cs="Mosawi"/>
          <w:sz w:val="22"/>
          <w:szCs w:val="22"/>
          <w:rtl/>
        </w:rPr>
        <w:t>×</w:t>
      </w:r>
      <w:r w:rsidR="005F28B8" w:rsidRPr="006571AC">
        <w:rPr>
          <w:rFonts w:hint="cs"/>
          <w:sz w:val="27"/>
          <w:rtl/>
        </w:rPr>
        <w:t>:</w:t>
      </w:r>
      <w:r w:rsidRPr="006571AC">
        <w:rPr>
          <w:sz w:val="27"/>
          <w:rtl/>
        </w:rPr>
        <w:t xml:space="preserve"> </w:t>
      </w:r>
      <w:r w:rsidRPr="006571AC">
        <w:rPr>
          <w:sz w:val="24"/>
          <w:szCs w:val="24"/>
          <w:rtl/>
        </w:rPr>
        <w:t>«</w:t>
      </w:r>
      <w:r w:rsidRPr="006571AC">
        <w:rPr>
          <w:rFonts w:hint="cs"/>
          <w:sz w:val="27"/>
          <w:rtl/>
        </w:rPr>
        <w:t>الصداق</w:t>
      </w:r>
      <w:r w:rsidRPr="006571AC">
        <w:rPr>
          <w:sz w:val="27"/>
          <w:rtl/>
        </w:rPr>
        <w:t xml:space="preserve"> </w:t>
      </w:r>
      <w:r w:rsidRPr="006571AC">
        <w:rPr>
          <w:rFonts w:hint="cs"/>
          <w:sz w:val="27"/>
          <w:rtl/>
        </w:rPr>
        <w:t>كل</w:t>
      </w:r>
      <w:r w:rsidR="005F28B8" w:rsidRPr="006571AC">
        <w:rPr>
          <w:rFonts w:hint="cs"/>
          <w:sz w:val="27"/>
          <w:rtl/>
        </w:rPr>
        <w:t>ّ</w:t>
      </w:r>
      <w:r w:rsidRPr="006571AC">
        <w:rPr>
          <w:sz w:val="27"/>
          <w:rtl/>
        </w:rPr>
        <w:t xml:space="preserve"> </w:t>
      </w:r>
      <w:r w:rsidRPr="006571AC">
        <w:rPr>
          <w:rFonts w:hint="cs"/>
          <w:sz w:val="27"/>
          <w:rtl/>
        </w:rPr>
        <w:t>شي‌ء</w:t>
      </w:r>
      <w:r w:rsidR="005F28B8" w:rsidRPr="006571AC">
        <w:rPr>
          <w:rFonts w:hint="cs"/>
          <w:sz w:val="27"/>
          <w:rtl/>
        </w:rPr>
        <w:t>ٍ</w:t>
      </w:r>
      <w:r w:rsidRPr="006571AC">
        <w:rPr>
          <w:sz w:val="27"/>
          <w:rtl/>
        </w:rPr>
        <w:t xml:space="preserve"> </w:t>
      </w:r>
      <w:r w:rsidRPr="006571AC">
        <w:rPr>
          <w:rFonts w:hint="cs"/>
          <w:sz w:val="27"/>
          <w:rtl/>
        </w:rPr>
        <w:t>يتراضى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الناس</w:t>
      </w:r>
      <w:r w:rsidR="005F28B8" w:rsidRPr="006571AC">
        <w:rPr>
          <w:rFonts w:hint="cs"/>
          <w:sz w:val="27"/>
          <w:rtl/>
        </w:rPr>
        <w:t>،</w:t>
      </w:r>
      <w:r w:rsidRPr="006571AC">
        <w:rPr>
          <w:sz w:val="27"/>
          <w:rtl/>
        </w:rPr>
        <w:t xml:space="preserve"> </w:t>
      </w:r>
      <w:r w:rsidRPr="006571AC">
        <w:rPr>
          <w:rFonts w:hint="cs"/>
          <w:sz w:val="27"/>
          <w:rtl/>
        </w:rPr>
        <w:t>قل</w:t>
      </w:r>
      <w:r w:rsidR="005F28B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كثر</w:t>
      </w:r>
      <w:r w:rsidRPr="006571AC">
        <w:rPr>
          <w:sz w:val="24"/>
          <w:szCs w:val="24"/>
          <w:rtl/>
        </w:rPr>
        <w:t>»</w:t>
      </w:r>
      <w:r w:rsidRPr="006571AC">
        <w:rPr>
          <w:sz w:val="27"/>
          <w:vertAlign w:val="superscript"/>
          <w:rtl/>
        </w:rPr>
        <w:t>(</w:t>
      </w:r>
      <w:r w:rsidRPr="006571AC">
        <w:rPr>
          <w:sz w:val="27"/>
          <w:vertAlign w:val="superscript"/>
          <w:rtl/>
        </w:rPr>
        <w:endnoteReference w:id="422"/>
      </w:r>
      <w:r w:rsidRPr="006571AC">
        <w:rPr>
          <w:sz w:val="27"/>
          <w:vertAlign w:val="superscript"/>
          <w:rtl/>
        </w:rPr>
        <w:t>)</w:t>
      </w:r>
      <w:r w:rsidR="005F28B8" w:rsidRPr="006571AC">
        <w:rPr>
          <w:rFonts w:hint="cs"/>
          <w:sz w:val="27"/>
          <w:rtl/>
        </w:rPr>
        <w:t xml:space="preserve">؛ </w:t>
      </w:r>
      <w:r w:rsidRPr="006571AC">
        <w:rPr>
          <w:sz w:val="27"/>
          <w:rtl/>
        </w:rPr>
        <w:t>‌</w:t>
      </w:r>
      <w:r w:rsidRPr="006571AC">
        <w:rPr>
          <w:rFonts w:hint="cs"/>
          <w:sz w:val="27"/>
          <w:rtl/>
        </w:rPr>
        <w:t>وصحيح</w:t>
      </w:r>
      <w:r w:rsidRPr="006571AC">
        <w:rPr>
          <w:sz w:val="27"/>
          <w:rtl/>
        </w:rPr>
        <w:t xml:space="preserve"> </w:t>
      </w:r>
      <w:r w:rsidRPr="006571AC">
        <w:rPr>
          <w:rFonts w:hint="cs"/>
          <w:sz w:val="27"/>
          <w:rtl/>
        </w:rPr>
        <w:t>فضيل</w:t>
      </w:r>
      <w:r w:rsidR="005F28B8" w:rsidRPr="006571AC">
        <w:rPr>
          <w:rFonts w:hint="cs"/>
          <w:sz w:val="27"/>
          <w:rtl/>
        </w:rPr>
        <w:t>،</w:t>
      </w:r>
      <w:r w:rsidRPr="006571AC">
        <w:rPr>
          <w:sz w:val="27"/>
          <w:rtl/>
        </w:rPr>
        <w:t xml:space="preserve"> </w:t>
      </w:r>
      <w:r w:rsidRPr="006571AC">
        <w:rPr>
          <w:rFonts w:hint="cs"/>
          <w:sz w:val="27"/>
          <w:rtl/>
        </w:rPr>
        <w:t>عنه</w:t>
      </w:r>
      <w:r w:rsidR="002A2C90" w:rsidRPr="006571AC">
        <w:rPr>
          <w:rFonts w:ascii="Mosawi" w:hAnsi="Mosawi" w:cs="Mosawi"/>
          <w:sz w:val="22"/>
          <w:szCs w:val="22"/>
          <w:rtl/>
        </w:rPr>
        <w:t>×</w:t>
      </w:r>
      <w:r w:rsidRPr="006571AC">
        <w:rPr>
          <w:sz w:val="27"/>
          <w:rtl/>
        </w:rPr>
        <w:t xml:space="preserve"> </w:t>
      </w:r>
      <w:r w:rsidRPr="006571AC">
        <w:rPr>
          <w:rFonts w:hint="cs"/>
          <w:sz w:val="27"/>
          <w:rtl/>
        </w:rPr>
        <w:t>أيضا</w:t>
      </w:r>
      <w:r w:rsidR="005F28B8" w:rsidRPr="006571AC">
        <w:rPr>
          <w:rFonts w:hint="cs"/>
          <w:sz w:val="27"/>
          <w:rtl/>
        </w:rPr>
        <w:t>ً:</w:t>
      </w:r>
      <w:r w:rsidRPr="006571AC">
        <w:rPr>
          <w:sz w:val="27"/>
          <w:rtl/>
        </w:rPr>
        <w:t xml:space="preserve"> </w:t>
      </w:r>
      <w:r w:rsidRPr="006571AC">
        <w:rPr>
          <w:sz w:val="24"/>
          <w:szCs w:val="24"/>
          <w:rtl/>
        </w:rPr>
        <w:t>«</w:t>
      </w:r>
      <w:r w:rsidRPr="006571AC">
        <w:rPr>
          <w:rFonts w:hint="cs"/>
          <w:sz w:val="27"/>
          <w:rtl/>
        </w:rPr>
        <w:t>الصداق</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الناس</w:t>
      </w:r>
      <w:r w:rsidR="005F28B8"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قليل</w:t>
      </w:r>
      <w:r w:rsidR="005F28B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كثير</w:t>
      </w:r>
      <w:r w:rsidR="005F28B8" w:rsidRPr="006571AC">
        <w:rPr>
          <w:rFonts w:hint="cs"/>
          <w:sz w:val="27"/>
          <w:rtl/>
        </w:rPr>
        <w:t>،</w:t>
      </w:r>
      <w:r w:rsidRPr="006571AC">
        <w:rPr>
          <w:sz w:val="27"/>
          <w:rtl/>
        </w:rPr>
        <w:t xml:space="preserve"> </w:t>
      </w:r>
      <w:r w:rsidRPr="006571AC">
        <w:rPr>
          <w:rFonts w:hint="cs"/>
          <w:sz w:val="27"/>
          <w:rtl/>
        </w:rPr>
        <w:t>فهو</w:t>
      </w:r>
      <w:r w:rsidRPr="006571AC">
        <w:rPr>
          <w:sz w:val="27"/>
          <w:rtl/>
        </w:rPr>
        <w:t xml:space="preserve"> </w:t>
      </w:r>
      <w:r w:rsidRPr="006571AC">
        <w:rPr>
          <w:rFonts w:hint="cs"/>
          <w:sz w:val="27"/>
          <w:rtl/>
        </w:rPr>
        <w:t>الصداق</w:t>
      </w:r>
      <w:r w:rsidR="005F28B8" w:rsidRPr="006571AC">
        <w:rPr>
          <w:sz w:val="24"/>
          <w:szCs w:val="24"/>
          <w:rtl/>
        </w:rPr>
        <w:t>»</w:t>
      </w:r>
      <w:r w:rsidRPr="006571AC">
        <w:rPr>
          <w:sz w:val="27"/>
          <w:vertAlign w:val="superscript"/>
          <w:rtl/>
        </w:rPr>
        <w:t>(</w:t>
      </w:r>
      <w:r w:rsidRPr="006571AC">
        <w:rPr>
          <w:sz w:val="27"/>
          <w:vertAlign w:val="superscript"/>
          <w:rtl/>
        </w:rPr>
        <w:endnoteReference w:id="423"/>
      </w:r>
      <w:r w:rsidRPr="006571AC">
        <w:rPr>
          <w:sz w:val="27"/>
          <w:vertAlign w:val="superscript"/>
          <w:rtl/>
        </w:rPr>
        <w:t>)(</w:t>
      </w:r>
      <w:r w:rsidRPr="006571AC">
        <w:rPr>
          <w:sz w:val="27"/>
          <w:vertAlign w:val="superscript"/>
          <w:rtl/>
        </w:rPr>
        <w:endnoteReference w:id="424"/>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r w:rsidRPr="006571AC">
        <w:rPr>
          <w:rFonts w:hint="cs"/>
          <w:sz w:val="27"/>
          <w:rtl/>
        </w:rPr>
        <w:t>كلّ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يملكه</w:t>
      </w:r>
      <w:r w:rsidRPr="006571AC">
        <w:rPr>
          <w:sz w:val="27"/>
          <w:rtl/>
        </w:rPr>
        <w:t xml:space="preserve"> </w:t>
      </w:r>
      <w:r w:rsidRPr="006571AC">
        <w:rPr>
          <w:rFonts w:hint="cs"/>
          <w:sz w:val="27"/>
          <w:rtl/>
        </w:rPr>
        <w:t>المسلم</w:t>
      </w:r>
      <w:r w:rsidRPr="006571AC">
        <w:rPr>
          <w:sz w:val="27"/>
          <w:rtl/>
        </w:rPr>
        <w:t xml:space="preserve"> </w:t>
      </w:r>
      <w:r w:rsidRPr="006571AC">
        <w:rPr>
          <w:rFonts w:hint="cs"/>
          <w:sz w:val="27"/>
          <w:rtl/>
        </w:rPr>
        <w:t>يصحّ</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مهراً؛ ع</w:t>
      </w:r>
      <w:r w:rsidR="009543F3" w:rsidRPr="006571AC">
        <w:rPr>
          <w:rFonts w:hint="cs"/>
          <w:sz w:val="27"/>
          <w:rtl/>
        </w:rPr>
        <w:t>َ</w:t>
      </w:r>
      <w:r w:rsidRPr="006571AC">
        <w:rPr>
          <w:rFonts w:hint="cs"/>
          <w:sz w:val="27"/>
          <w:rtl/>
        </w:rPr>
        <w:t>ي</w:t>
      </w:r>
      <w:r w:rsidR="009543F3" w:rsidRPr="006571AC">
        <w:rPr>
          <w:rFonts w:hint="cs"/>
          <w:sz w:val="27"/>
          <w:rtl/>
        </w:rPr>
        <w:t>ْ</w:t>
      </w:r>
      <w:r w:rsidRPr="006571AC">
        <w:rPr>
          <w:rFonts w:hint="cs"/>
          <w:sz w:val="27"/>
          <w:rtl/>
        </w:rPr>
        <w:t>ناً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د</w:t>
      </w:r>
      <w:r w:rsidR="00F3386E" w:rsidRPr="006571AC">
        <w:rPr>
          <w:rFonts w:hint="cs"/>
          <w:sz w:val="27"/>
          <w:rtl/>
        </w:rPr>
        <w:t>َ</w:t>
      </w:r>
      <w:r w:rsidRPr="006571AC">
        <w:rPr>
          <w:rFonts w:hint="cs"/>
          <w:sz w:val="27"/>
          <w:rtl/>
        </w:rPr>
        <w:t>ي</w:t>
      </w:r>
      <w:r w:rsidR="00F3386E" w:rsidRPr="006571AC">
        <w:rPr>
          <w:rFonts w:hint="cs"/>
          <w:sz w:val="27"/>
          <w:rtl/>
        </w:rPr>
        <w:t>ْ</w:t>
      </w:r>
      <w:r w:rsidRPr="006571AC">
        <w:rPr>
          <w:rFonts w:hint="cs"/>
          <w:sz w:val="27"/>
          <w:rtl/>
        </w:rPr>
        <w:t>ناً</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منفعة</w:t>
      </w:r>
      <w:r w:rsidR="00F3386E" w:rsidRPr="006571AC">
        <w:rPr>
          <w:rFonts w:hint="cs"/>
          <w:sz w:val="27"/>
          <w:rtl/>
        </w:rPr>
        <w:t>ً</w:t>
      </w:r>
      <w:r w:rsidRPr="006571AC">
        <w:rPr>
          <w:sz w:val="27"/>
          <w:rtl/>
        </w:rPr>
        <w:t xml:space="preserve"> </w:t>
      </w:r>
      <w:r w:rsidRPr="006571AC">
        <w:rPr>
          <w:rFonts w:hint="cs"/>
          <w:sz w:val="27"/>
          <w:rtl/>
        </w:rPr>
        <w:t>لعين</w:t>
      </w:r>
      <w:r w:rsidR="00F3386E" w:rsidRPr="006571AC">
        <w:rPr>
          <w:rFonts w:hint="cs"/>
          <w:sz w:val="27"/>
          <w:rtl/>
        </w:rPr>
        <w:t>ٍ</w:t>
      </w:r>
      <w:r w:rsidRPr="006571AC">
        <w:rPr>
          <w:sz w:val="27"/>
          <w:rtl/>
        </w:rPr>
        <w:t xml:space="preserve"> </w:t>
      </w:r>
      <w:r w:rsidRPr="006571AC">
        <w:rPr>
          <w:rFonts w:hint="cs"/>
          <w:sz w:val="27"/>
          <w:rtl/>
        </w:rPr>
        <w:t>مملوكة</w:t>
      </w:r>
      <w:r w:rsidR="00F3386E" w:rsidRPr="006571AC">
        <w:rPr>
          <w:rFonts w:hint="cs"/>
          <w:sz w:val="27"/>
          <w:rtl/>
        </w:rPr>
        <w:t>ٍ،</w:t>
      </w:r>
      <w:r w:rsidRPr="006571AC">
        <w:rPr>
          <w:rFonts w:hint="cs"/>
          <w:sz w:val="27"/>
          <w:rtl/>
        </w:rPr>
        <w:t xml:space="preserve"> من</w:t>
      </w:r>
      <w:r w:rsidRPr="006571AC">
        <w:rPr>
          <w:sz w:val="27"/>
          <w:rtl/>
        </w:rPr>
        <w:t xml:space="preserve"> </w:t>
      </w:r>
      <w:r w:rsidRPr="006571AC">
        <w:rPr>
          <w:rFonts w:hint="cs"/>
          <w:sz w:val="27"/>
          <w:rtl/>
        </w:rPr>
        <w:t>دار</w:t>
      </w:r>
      <w:r w:rsidR="00F3386E"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عقار</w:t>
      </w:r>
      <w:r w:rsidR="00F3386E"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حيوان</w:t>
      </w:r>
      <w:r w:rsidR="00F3386E" w:rsidRPr="006571AC">
        <w:rPr>
          <w:rFonts w:hint="cs"/>
          <w:sz w:val="27"/>
          <w:rtl/>
        </w:rPr>
        <w:t>ٍ</w:t>
      </w:r>
      <w:r w:rsidRPr="006571AC">
        <w:rPr>
          <w:sz w:val="27"/>
          <w:rtl/>
        </w:rPr>
        <w:t xml:space="preserve">. </w:t>
      </w:r>
      <w:r w:rsidRPr="006571AC">
        <w:rPr>
          <w:rFonts w:hint="cs"/>
          <w:sz w:val="27"/>
          <w:rtl/>
        </w:rPr>
        <w:t>ويصحّ</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منفعة</w:t>
      </w:r>
      <w:r w:rsidRPr="006571AC">
        <w:rPr>
          <w:sz w:val="27"/>
          <w:rtl/>
        </w:rPr>
        <w:t xml:space="preserve"> </w:t>
      </w:r>
      <w:r w:rsidRPr="006571AC">
        <w:rPr>
          <w:rFonts w:hint="cs"/>
          <w:sz w:val="27"/>
          <w:rtl/>
        </w:rPr>
        <w:t>الح</w:t>
      </w:r>
      <w:r w:rsidR="00F3386E" w:rsidRPr="006571AC">
        <w:rPr>
          <w:rFonts w:hint="cs"/>
          <w:sz w:val="27"/>
          <w:rtl/>
        </w:rPr>
        <w:t>ُ</w:t>
      </w:r>
      <w:r w:rsidRPr="006571AC">
        <w:rPr>
          <w:rFonts w:hint="cs"/>
          <w:sz w:val="27"/>
          <w:rtl/>
        </w:rPr>
        <w:t>رّ</w:t>
      </w:r>
      <w:r w:rsidR="00F3386E" w:rsidRPr="006571AC">
        <w:rPr>
          <w:rFonts w:hint="cs"/>
          <w:sz w:val="27"/>
          <w:rtl/>
        </w:rPr>
        <w:t>،</w:t>
      </w:r>
      <w:r w:rsidRPr="006571AC">
        <w:rPr>
          <w:sz w:val="27"/>
          <w:rtl/>
        </w:rPr>
        <w:t xml:space="preserve"> </w:t>
      </w:r>
      <w:r w:rsidRPr="006571AC">
        <w:rPr>
          <w:rFonts w:hint="cs"/>
          <w:sz w:val="27"/>
          <w:rtl/>
        </w:rPr>
        <w:t>كتعليم</w:t>
      </w:r>
      <w:r w:rsidRPr="006571AC">
        <w:rPr>
          <w:sz w:val="27"/>
          <w:rtl/>
        </w:rPr>
        <w:t xml:space="preserve"> </w:t>
      </w:r>
      <w:r w:rsidRPr="006571AC">
        <w:rPr>
          <w:rFonts w:hint="cs"/>
          <w:sz w:val="27"/>
          <w:rtl/>
        </w:rPr>
        <w:t>صنعة</w:t>
      </w:r>
      <w:r w:rsidRPr="006571AC">
        <w:rPr>
          <w:sz w:val="27"/>
          <w:rtl/>
        </w:rPr>
        <w:t xml:space="preserve"> </w:t>
      </w:r>
      <w:r w:rsidRPr="006571AC">
        <w:rPr>
          <w:rFonts w:hint="cs"/>
          <w:sz w:val="27"/>
          <w:rtl/>
        </w:rPr>
        <w:t>ونحوه</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كلّ</w:t>
      </w:r>
      <w:r w:rsidRPr="006571AC">
        <w:rPr>
          <w:sz w:val="27"/>
          <w:rtl/>
        </w:rPr>
        <w:t xml:space="preserve"> </w:t>
      </w:r>
      <w:r w:rsidRPr="006571AC">
        <w:rPr>
          <w:rFonts w:hint="cs"/>
          <w:sz w:val="27"/>
          <w:rtl/>
        </w:rPr>
        <w:t>عمل</w:t>
      </w:r>
      <w:r w:rsidR="00F3386E" w:rsidRPr="006571AC">
        <w:rPr>
          <w:rFonts w:hint="cs"/>
          <w:sz w:val="27"/>
          <w:rtl/>
        </w:rPr>
        <w:t>ٍ</w:t>
      </w:r>
      <w:r w:rsidRPr="006571AC">
        <w:rPr>
          <w:sz w:val="27"/>
          <w:rtl/>
        </w:rPr>
        <w:t xml:space="preserve"> </w:t>
      </w:r>
      <w:r w:rsidRPr="006571AC">
        <w:rPr>
          <w:rFonts w:hint="cs"/>
          <w:sz w:val="27"/>
          <w:rtl/>
        </w:rPr>
        <w:t>محلّ</w:t>
      </w:r>
      <w:r w:rsidR="00F3386E" w:rsidRPr="006571AC">
        <w:rPr>
          <w:rFonts w:hint="cs"/>
          <w:sz w:val="27"/>
          <w:rtl/>
        </w:rPr>
        <w:t>َ</w:t>
      </w:r>
      <w:r w:rsidRPr="006571AC">
        <w:rPr>
          <w:rFonts w:hint="cs"/>
          <w:sz w:val="27"/>
          <w:rtl/>
        </w:rPr>
        <w:t>ل</w:t>
      </w:r>
      <w:r w:rsidR="00F3386E" w:rsidRPr="006571AC">
        <w:rPr>
          <w:rFonts w:hint="cs"/>
          <w:sz w:val="27"/>
          <w:rtl/>
        </w:rPr>
        <w:t>ٍ</w:t>
      </w:r>
      <w:r w:rsidRPr="006571AC">
        <w:rPr>
          <w:rFonts w:hint="cs"/>
          <w:sz w:val="27"/>
          <w:rtl/>
        </w:rPr>
        <w:t>، بل</w:t>
      </w:r>
      <w:r w:rsidRPr="006571AC">
        <w:rPr>
          <w:sz w:val="27"/>
          <w:rtl/>
        </w:rPr>
        <w:t xml:space="preserve"> </w:t>
      </w:r>
      <w:r w:rsidRPr="006571AC">
        <w:rPr>
          <w:rFonts w:hint="cs"/>
          <w:sz w:val="27"/>
          <w:rtl/>
        </w:rPr>
        <w:t>الظاهر</w:t>
      </w:r>
      <w:r w:rsidRPr="006571AC">
        <w:rPr>
          <w:sz w:val="27"/>
          <w:rtl/>
        </w:rPr>
        <w:t xml:space="preserve"> </w:t>
      </w:r>
      <w:r w:rsidRPr="006571AC">
        <w:rPr>
          <w:rFonts w:hint="cs"/>
          <w:sz w:val="27"/>
          <w:rtl/>
        </w:rPr>
        <w:t>صحّة</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حقّاً</w:t>
      </w:r>
      <w:r w:rsidRPr="006571AC">
        <w:rPr>
          <w:sz w:val="27"/>
          <w:rtl/>
        </w:rPr>
        <w:t xml:space="preserve"> </w:t>
      </w:r>
      <w:r w:rsidRPr="006571AC">
        <w:rPr>
          <w:rFonts w:hint="cs"/>
          <w:sz w:val="27"/>
          <w:rtl/>
        </w:rPr>
        <w:t>ماليّاً</w:t>
      </w:r>
      <w:r w:rsidRPr="006571AC">
        <w:rPr>
          <w:sz w:val="27"/>
          <w:rtl/>
        </w:rPr>
        <w:t xml:space="preserve"> </w:t>
      </w:r>
      <w:r w:rsidRPr="006571AC">
        <w:rPr>
          <w:rFonts w:hint="cs"/>
          <w:sz w:val="27"/>
          <w:rtl/>
        </w:rPr>
        <w:t>قابل</w:t>
      </w:r>
      <w:r w:rsidR="00731867" w:rsidRPr="006571AC">
        <w:rPr>
          <w:rFonts w:hint="cs"/>
          <w:sz w:val="27"/>
          <w:rtl/>
        </w:rPr>
        <w:t>اً</w:t>
      </w:r>
      <w:r w:rsidRPr="006571AC">
        <w:rPr>
          <w:sz w:val="27"/>
          <w:rtl/>
        </w:rPr>
        <w:t xml:space="preserve"> </w:t>
      </w:r>
      <w:r w:rsidRPr="006571AC">
        <w:rPr>
          <w:rFonts w:hint="cs"/>
          <w:sz w:val="27"/>
          <w:rtl/>
        </w:rPr>
        <w:t>للنقل</w:t>
      </w:r>
      <w:r w:rsidRPr="006571AC">
        <w:rPr>
          <w:sz w:val="27"/>
          <w:rtl/>
        </w:rPr>
        <w:t xml:space="preserve"> </w:t>
      </w:r>
      <w:r w:rsidRPr="006571AC">
        <w:rPr>
          <w:rFonts w:hint="cs"/>
          <w:sz w:val="27"/>
          <w:rtl/>
        </w:rPr>
        <w:t>والانتقال</w:t>
      </w:r>
      <w:r w:rsidR="00F3386E" w:rsidRPr="006571AC">
        <w:rPr>
          <w:rFonts w:hint="cs"/>
          <w:sz w:val="27"/>
          <w:rtl/>
        </w:rPr>
        <w:t>،</w:t>
      </w:r>
      <w:r w:rsidRPr="006571AC">
        <w:rPr>
          <w:sz w:val="27"/>
          <w:rtl/>
        </w:rPr>
        <w:t xml:space="preserve"> </w:t>
      </w:r>
      <w:r w:rsidRPr="006571AC">
        <w:rPr>
          <w:rFonts w:hint="cs"/>
          <w:sz w:val="27"/>
          <w:rtl/>
        </w:rPr>
        <w:t>كحقّ</w:t>
      </w:r>
      <w:r w:rsidRPr="006571AC">
        <w:rPr>
          <w:sz w:val="27"/>
          <w:rtl/>
        </w:rPr>
        <w:t xml:space="preserve"> </w:t>
      </w:r>
      <w:r w:rsidRPr="006571AC">
        <w:rPr>
          <w:rFonts w:hint="cs"/>
          <w:sz w:val="27"/>
          <w:rtl/>
        </w:rPr>
        <w:t>التحجير</w:t>
      </w:r>
      <w:r w:rsidRPr="006571AC">
        <w:rPr>
          <w:sz w:val="27"/>
          <w:rtl/>
        </w:rPr>
        <w:t xml:space="preserve"> </w:t>
      </w:r>
      <w:r w:rsidRPr="006571AC">
        <w:rPr>
          <w:rFonts w:hint="cs"/>
          <w:sz w:val="27"/>
          <w:rtl/>
        </w:rPr>
        <w:t>ونحوه</w:t>
      </w:r>
      <w:r w:rsidRPr="006571AC">
        <w:rPr>
          <w:sz w:val="27"/>
          <w:rtl/>
        </w:rPr>
        <w:t xml:space="preserve">. </w:t>
      </w:r>
      <w:r w:rsidRPr="006571AC">
        <w:rPr>
          <w:rFonts w:hint="cs"/>
          <w:sz w:val="27"/>
          <w:rtl/>
        </w:rPr>
        <w:t>ولا يتقدّ</w:t>
      </w:r>
      <w:r w:rsidR="00F3386E" w:rsidRPr="006571AC">
        <w:rPr>
          <w:rFonts w:hint="cs"/>
          <w:sz w:val="27"/>
          <w:rtl/>
        </w:rPr>
        <w:t>َ</w:t>
      </w:r>
      <w:r w:rsidRPr="006571AC">
        <w:rPr>
          <w:rFonts w:hint="cs"/>
          <w:sz w:val="27"/>
          <w:rtl/>
        </w:rPr>
        <w:t>ر</w:t>
      </w:r>
      <w:r w:rsidRPr="006571AC">
        <w:rPr>
          <w:sz w:val="27"/>
          <w:rtl/>
        </w:rPr>
        <w:t xml:space="preserve"> </w:t>
      </w:r>
      <w:r w:rsidRPr="006571AC">
        <w:rPr>
          <w:rFonts w:hint="cs"/>
          <w:sz w:val="27"/>
          <w:rtl/>
        </w:rPr>
        <w:t>بق</w:t>
      </w:r>
      <w:r w:rsidR="00F3386E" w:rsidRPr="006571AC">
        <w:rPr>
          <w:rFonts w:hint="cs"/>
          <w:sz w:val="27"/>
          <w:rtl/>
        </w:rPr>
        <w:t>َ</w:t>
      </w:r>
      <w:r w:rsidRPr="006571AC">
        <w:rPr>
          <w:rFonts w:hint="cs"/>
          <w:sz w:val="27"/>
          <w:rtl/>
        </w:rPr>
        <w:t>د</w:t>
      </w:r>
      <w:r w:rsidR="00F3386E" w:rsidRPr="006571AC">
        <w:rPr>
          <w:rFonts w:hint="cs"/>
          <w:sz w:val="27"/>
          <w:rtl/>
        </w:rPr>
        <w:t>ْ</w:t>
      </w:r>
      <w:r w:rsidRPr="006571AC">
        <w:rPr>
          <w:rFonts w:hint="cs"/>
          <w:sz w:val="27"/>
          <w:rtl/>
        </w:rPr>
        <w:t>ر</w:t>
      </w:r>
      <w:r w:rsidR="00F3386E" w:rsidRPr="006571AC">
        <w:rPr>
          <w:rFonts w:hint="cs"/>
          <w:sz w:val="27"/>
          <w:rtl/>
        </w:rPr>
        <w:t>ٍ</w:t>
      </w:r>
      <w:r w:rsidRPr="006571AC">
        <w:rPr>
          <w:rFonts w:hint="cs"/>
          <w:sz w:val="27"/>
          <w:rtl/>
        </w:rPr>
        <w:t>، بل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الزوجان</w:t>
      </w:r>
      <w:r w:rsidR="00F3386E" w:rsidRPr="006571AC">
        <w:rPr>
          <w:rFonts w:hint="cs"/>
          <w:sz w:val="27"/>
          <w:rtl/>
        </w:rPr>
        <w:t>،</w:t>
      </w:r>
      <w:r w:rsidRPr="006571AC">
        <w:rPr>
          <w:sz w:val="27"/>
          <w:rtl/>
        </w:rPr>
        <w:t xml:space="preserve"> </w:t>
      </w:r>
      <w:r w:rsidRPr="006571AC">
        <w:rPr>
          <w:rFonts w:hint="cs"/>
          <w:sz w:val="27"/>
          <w:rtl/>
        </w:rPr>
        <w:t>كثيراً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lastRenderedPageBreak/>
        <w:t>قليل</w:t>
      </w:r>
      <w:r w:rsidR="00731867" w:rsidRPr="006571AC">
        <w:rPr>
          <w:rFonts w:hint="cs"/>
          <w:sz w:val="27"/>
          <w:rtl/>
        </w:rPr>
        <w:t>اً</w:t>
      </w:r>
      <w:r w:rsidR="00F3386E" w:rsidRPr="006571AC">
        <w:rPr>
          <w:rFonts w:hint="cs"/>
          <w:sz w:val="27"/>
          <w:rtl/>
        </w:rPr>
        <w:t>،</w:t>
      </w:r>
      <w:r w:rsidRPr="006571AC">
        <w:rPr>
          <w:rFonts w:hint="cs"/>
          <w:sz w:val="27"/>
          <w:rtl/>
        </w:rPr>
        <w:t xml:space="preserve"> ما</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يخرج</w:t>
      </w:r>
      <w:r w:rsidRPr="006571AC">
        <w:rPr>
          <w:sz w:val="27"/>
          <w:rtl/>
        </w:rPr>
        <w:t xml:space="preserve"> </w:t>
      </w:r>
      <w:r w:rsidRPr="006571AC">
        <w:rPr>
          <w:rFonts w:hint="cs"/>
          <w:sz w:val="27"/>
          <w:rtl/>
        </w:rPr>
        <w:t>بسبب</w:t>
      </w:r>
      <w:r w:rsidRPr="006571AC">
        <w:rPr>
          <w:sz w:val="27"/>
          <w:rtl/>
        </w:rPr>
        <w:t xml:space="preserve"> </w:t>
      </w:r>
      <w:r w:rsidRPr="006571AC">
        <w:rPr>
          <w:rFonts w:hint="cs"/>
          <w:sz w:val="27"/>
          <w:rtl/>
        </w:rPr>
        <w:t>القلّة</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الماليّة</w:t>
      </w:r>
      <w:r w:rsidRPr="006571AC">
        <w:rPr>
          <w:sz w:val="27"/>
          <w:rtl/>
        </w:rPr>
        <w:t xml:space="preserve">. </w:t>
      </w:r>
      <w:r w:rsidRPr="006571AC">
        <w:rPr>
          <w:rFonts w:hint="cs"/>
          <w:sz w:val="27"/>
          <w:rtl/>
        </w:rPr>
        <w:t>نعم</w:t>
      </w:r>
      <w:r w:rsidR="00F3386E" w:rsidRPr="006571AC">
        <w:rPr>
          <w:rFonts w:hint="cs"/>
          <w:sz w:val="27"/>
          <w:rtl/>
        </w:rPr>
        <w:t xml:space="preserve">، </w:t>
      </w:r>
      <w:r w:rsidRPr="006571AC">
        <w:rPr>
          <w:rFonts w:hint="cs"/>
          <w:sz w:val="27"/>
          <w:rtl/>
        </w:rPr>
        <w:t>يستحبّ</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جانب</w:t>
      </w:r>
      <w:r w:rsidRPr="006571AC">
        <w:rPr>
          <w:sz w:val="27"/>
          <w:rtl/>
        </w:rPr>
        <w:t xml:space="preserve"> </w:t>
      </w:r>
      <w:r w:rsidRPr="006571AC">
        <w:rPr>
          <w:rFonts w:hint="cs"/>
          <w:sz w:val="27"/>
          <w:rtl/>
        </w:rPr>
        <w:t>الكثرة</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لا يزيد</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مهر</w:t>
      </w:r>
      <w:r w:rsidRPr="006571AC">
        <w:rPr>
          <w:sz w:val="27"/>
          <w:rtl/>
        </w:rPr>
        <w:t xml:space="preserve"> </w:t>
      </w:r>
      <w:r w:rsidRPr="006571AC">
        <w:rPr>
          <w:rFonts w:hint="cs"/>
          <w:sz w:val="27"/>
          <w:rtl/>
        </w:rPr>
        <w:t>الس</w:t>
      </w:r>
      <w:r w:rsidR="00F3386E" w:rsidRPr="006571AC">
        <w:rPr>
          <w:rFonts w:hint="cs"/>
          <w:sz w:val="27"/>
          <w:rtl/>
        </w:rPr>
        <w:t>ُّ</w:t>
      </w:r>
      <w:r w:rsidRPr="006571AC">
        <w:rPr>
          <w:rFonts w:hint="cs"/>
          <w:sz w:val="27"/>
          <w:rtl/>
        </w:rPr>
        <w:t>نّ</w:t>
      </w:r>
      <w:r w:rsidR="00F3386E" w:rsidRPr="006571AC">
        <w:rPr>
          <w:rFonts w:hint="cs"/>
          <w:sz w:val="27"/>
          <w:rtl/>
        </w:rPr>
        <w:t>َ</w:t>
      </w:r>
      <w:r w:rsidRPr="006571AC">
        <w:rPr>
          <w:rFonts w:hint="cs"/>
          <w:sz w:val="27"/>
          <w:rtl/>
        </w:rPr>
        <w:t>ة، وهو</w:t>
      </w:r>
      <w:r w:rsidRPr="006571AC">
        <w:rPr>
          <w:sz w:val="27"/>
          <w:rtl/>
        </w:rPr>
        <w:t xml:space="preserve"> </w:t>
      </w:r>
      <w:r w:rsidRPr="006571AC">
        <w:rPr>
          <w:rFonts w:hint="cs"/>
          <w:sz w:val="27"/>
          <w:rtl/>
        </w:rPr>
        <w:t>خمسمائة</w:t>
      </w:r>
      <w:r w:rsidRPr="006571AC">
        <w:rPr>
          <w:sz w:val="27"/>
          <w:rtl/>
        </w:rPr>
        <w:t xml:space="preserve"> </w:t>
      </w:r>
      <w:r w:rsidRPr="006571AC">
        <w:rPr>
          <w:rFonts w:hint="cs"/>
          <w:sz w:val="27"/>
          <w:rtl/>
        </w:rPr>
        <w:t>درهم</w:t>
      </w:r>
      <w:r w:rsidRPr="006571AC">
        <w:rPr>
          <w:sz w:val="27"/>
          <w:vertAlign w:val="superscript"/>
          <w:rtl/>
        </w:rPr>
        <w:t>(</w:t>
      </w:r>
      <w:r w:rsidRPr="006571AC">
        <w:rPr>
          <w:sz w:val="27"/>
          <w:vertAlign w:val="superscript"/>
          <w:rtl/>
        </w:rPr>
        <w:endnoteReference w:id="425"/>
      </w:r>
      <w:r w:rsidRPr="006571AC">
        <w:rPr>
          <w:sz w:val="27"/>
          <w:vertAlign w:val="superscript"/>
          <w:rtl/>
        </w:rPr>
        <w:t>)</w:t>
      </w:r>
      <w:r w:rsidRPr="006571AC">
        <w:rPr>
          <w:sz w:val="27"/>
          <w:rtl/>
        </w:rPr>
        <w:t xml:space="preserve">. </w:t>
      </w:r>
    </w:p>
    <w:p w:rsidR="00237EB1" w:rsidRPr="006571AC" w:rsidRDefault="00237EB1" w:rsidP="00E60D93">
      <w:pPr>
        <w:rPr>
          <w:bCs/>
          <w:rtl/>
        </w:rPr>
      </w:pPr>
      <w:bookmarkStart w:id="224" w:name="_Toc79281911"/>
      <w:r w:rsidRPr="006571AC">
        <w:rPr>
          <w:b/>
          <w:bCs/>
          <w:rtl/>
        </w:rPr>
        <w:t>ومن متفر</w:t>
      </w:r>
      <w:r w:rsidR="00F3386E" w:rsidRPr="006571AC">
        <w:rPr>
          <w:rFonts w:hint="cs"/>
          <w:b/>
          <w:bCs/>
          <w:rtl/>
        </w:rPr>
        <w:t>ِّ</w:t>
      </w:r>
      <w:r w:rsidRPr="006571AC">
        <w:rPr>
          <w:b/>
          <w:bCs/>
          <w:rtl/>
        </w:rPr>
        <w:t>عات حقيقته</w:t>
      </w:r>
      <w:r w:rsidRPr="006571AC">
        <w:rPr>
          <w:rtl/>
        </w:rPr>
        <w:t>:</w:t>
      </w:r>
      <w:bookmarkEnd w:id="224"/>
      <w:r w:rsidRPr="006571AC">
        <w:rPr>
          <w:rtl/>
        </w:rPr>
        <w:t xml:space="preserve"> </w:t>
      </w:r>
    </w:p>
    <w:p w:rsidR="00237EB1" w:rsidRPr="006571AC" w:rsidRDefault="00237EB1" w:rsidP="00E60D93">
      <w:pPr>
        <w:rPr>
          <w:sz w:val="27"/>
          <w:rtl/>
        </w:rPr>
      </w:pPr>
      <w:bookmarkStart w:id="225" w:name="_Toc79281912"/>
      <w:bookmarkStart w:id="226" w:name="_Toc114164688"/>
      <w:r w:rsidRPr="006571AC">
        <w:rPr>
          <w:rStyle w:val="1Char"/>
          <w:rFonts w:cs="AL-Mohanad" w:hint="cs"/>
          <w:b w:val="0"/>
          <w:bCs/>
          <w:sz w:val="27"/>
          <w:szCs w:val="27"/>
          <w:rtl/>
        </w:rPr>
        <w:t xml:space="preserve">1ـ بالنسبة </w:t>
      </w:r>
      <w:r w:rsidR="00F3386E" w:rsidRPr="006571AC">
        <w:rPr>
          <w:rStyle w:val="1Char"/>
          <w:rFonts w:cs="AL-Mohanad" w:hint="cs"/>
          <w:b w:val="0"/>
          <w:bCs/>
          <w:sz w:val="27"/>
          <w:szCs w:val="27"/>
          <w:rtl/>
        </w:rPr>
        <w:t>إلى ا</w:t>
      </w:r>
      <w:r w:rsidRPr="006571AC">
        <w:rPr>
          <w:rStyle w:val="1Char"/>
          <w:rFonts w:cs="AL-Mohanad" w:hint="cs"/>
          <w:b w:val="0"/>
          <w:bCs/>
          <w:sz w:val="27"/>
          <w:szCs w:val="27"/>
          <w:rtl/>
        </w:rPr>
        <w:t>لعقد الدائم</w:t>
      </w:r>
      <w:r w:rsidRPr="006571AC">
        <w:rPr>
          <w:rStyle w:val="1Char"/>
          <w:rFonts w:cs="AL-Mohanad" w:hint="cs"/>
          <w:sz w:val="27"/>
          <w:szCs w:val="27"/>
          <w:rtl/>
        </w:rPr>
        <w:t>:</w:t>
      </w:r>
      <w:bookmarkEnd w:id="225"/>
      <w:bookmarkEnd w:id="226"/>
      <w:r w:rsidRPr="006571AC">
        <w:rPr>
          <w:rStyle w:val="1Char"/>
          <w:rFonts w:cs="AL-Mohanad" w:hint="cs"/>
          <w:sz w:val="27"/>
          <w:szCs w:val="27"/>
          <w:rtl/>
        </w:rPr>
        <w:t xml:space="preserve"> </w:t>
      </w:r>
      <w:r w:rsidRPr="006571AC">
        <w:rPr>
          <w:rFonts w:hint="cs"/>
          <w:sz w:val="27"/>
          <w:rtl/>
        </w:rPr>
        <w:t xml:space="preserve">ذكر العلماء </w:t>
      </w:r>
      <w:r w:rsidR="007403AE" w:rsidRPr="006571AC">
        <w:rPr>
          <w:rFonts w:hint="cs"/>
          <w:sz w:val="27"/>
          <w:rtl/>
        </w:rPr>
        <w:t xml:space="preserve">في </w:t>
      </w:r>
      <w:r w:rsidRPr="006571AC">
        <w:rPr>
          <w:rFonts w:hint="cs"/>
          <w:sz w:val="27"/>
          <w:rtl/>
        </w:rPr>
        <w:t>ما يرتبط بحقيقة المهر بأنّه ليس شرطاً في صح</w:t>
      </w:r>
      <w:r w:rsidR="007403AE" w:rsidRPr="006571AC">
        <w:rPr>
          <w:rFonts w:hint="cs"/>
          <w:sz w:val="27"/>
          <w:rtl/>
        </w:rPr>
        <w:t>ّ</w:t>
      </w:r>
      <w:r w:rsidRPr="006571AC">
        <w:rPr>
          <w:rFonts w:hint="cs"/>
          <w:sz w:val="27"/>
          <w:rtl/>
        </w:rPr>
        <w:t>ة عقد النكاح الدائم، وإنما</w:t>
      </w:r>
      <w:r w:rsidRPr="006571AC">
        <w:rPr>
          <w:sz w:val="27"/>
          <w:rtl/>
        </w:rPr>
        <w:t xml:space="preserve"> </w:t>
      </w:r>
      <w:r w:rsidRPr="006571AC">
        <w:rPr>
          <w:rFonts w:hint="cs"/>
          <w:sz w:val="27"/>
          <w:rtl/>
        </w:rPr>
        <w:t>يعتبر</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التوابع</w:t>
      </w:r>
      <w:r w:rsidR="007403AE" w:rsidRPr="006571AC">
        <w:rPr>
          <w:rFonts w:hint="cs"/>
          <w:sz w:val="27"/>
          <w:rtl/>
        </w:rPr>
        <w:t>؛</w:t>
      </w:r>
      <w:r w:rsidRPr="006571AC">
        <w:rPr>
          <w:rFonts w:hint="cs"/>
          <w:sz w:val="27"/>
          <w:rtl/>
        </w:rPr>
        <w:t xml:space="preserve"> لأنه</w:t>
      </w:r>
      <w:r w:rsidRPr="006571AC">
        <w:rPr>
          <w:sz w:val="27"/>
          <w:rtl/>
        </w:rPr>
        <w:t xml:space="preserve"> </w:t>
      </w:r>
      <w:r w:rsidRPr="006571AC">
        <w:rPr>
          <w:rFonts w:hint="cs"/>
          <w:sz w:val="27"/>
          <w:rtl/>
        </w:rPr>
        <w:t>ليس</w:t>
      </w:r>
      <w:r w:rsidRPr="006571AC">
        <w:rPr>
          <w:sz w:val="27"/>
          <w:rtl/>
        </w:rPr>
        <w:t xml:space="preserve"> </w:t>
      </w:r>
      <w:r w:rsidRPr="006571AC">
        <w:rPr>
          <w:rFonts w:hint="cs"/>
          <w:sz w:val="27"/>
          <w:rtl/>
        </w:rPr>
        <w:t>ركنا</w:t>
      </w:r>
      <w:r w:rsidR="007403AE"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العقد</w:t>
      </w:r>
      <w:r w:rsidR="007403AE" w:rsidRPr="006571AC">
        <w:rPr>
          <w:rFonts w:hint="cs"/>
          <w:sz w:val="27"/>
          <w:rtl/>
        </w:rPr>
        <w:t>؛</w:t>
      </w:r>
      <w:r w:rsidRPr="006571AC">
        <w:rPr>
          <w:rFonts w:hint="cs"/>
          <w:sz w:val="27"/>
          <w:rtl/>
        </w:rPr>
        <w:t xml:space="preserve"> لأنّ عقد النكاح لا يخلو منه</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الواقع؛ لأنّ</w:t>
      </w:r>
      <w:r w:rsidRPr="006571AC">
        <w:rPr>
          <w:sz w:val="27"/>
          <w:rtl/>
        </w:rPr>
        <w:t xml:space="preserve"> </w:t>
      </w:r>
      <w:r w:rsidRPr="006571AC">
        <w:rPr>
          <w:rFonts w:hint="cs"/>
          <w:sz w:val="27"/>
          <w:rtl/>
        </w:rPr>
        <w:t>النكاح</w:t>
      </w:r>
      <w:r w:rsidRPr="006571AC">
        <w:rPr>
          <w:sz w:val="27"/>
          <w:rtl/>
        </w:rPr>
        <w:t xml:space="preserve"> </w:t>
      </w:r>
      <w:r w:rsidRPr="006571AC">
        <w:rPr>
          <w:rFonts w:hint="cs"/>
          <w:sz w:val="27"/>
          <w:rtl/>
        </w:rPr>
        <w:t>إذا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الدخول لا</w:t>
      </w:r>
      <w:r w:rsidRPr="006571AC">
        <w:rPr>
          <w:sz w:val="27"/>
          <w:rtl/>
        </w:rPr>
        <w:t xml:space="preserve"> </w:t>
      </w:r>
      <w:r w:rsidRPr="006571AC">
        <w:rPr>
          <w:rFonts w:hint="cs"/>
          <w:sz w:val="27"/>
          <w:rtl/>
        </w:rPr>
        <w:t>يخلو</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مهر</w:t>
      </w:r>
      <w:r w:rsidR="007403AE" w:rsidRPr="006571AC">
        <w:rPr>
          <w:rFonts w:hint="cs"/>
          <w:sz w:val="27"/>
          <w:rtl/>
        </w:rPr>
        <w:t>ٍ</w:t>
      </w:r>
      <w:r w:rsidRPr="006571AC">
        <w:rPr>
          <w:sz w:val="27"/>
          <w:rtl/>
        </w:rPr>
        <w:t xml:space="preserve"> ـ </w:t>
      </w:r>
      <w:r w:rsidRPr="006571AC">
        <w:rPr>
          <w:rFonts w:hint="cs"/>
          <w:sz w:val="27"/>
          <w:rtl/>
        </w:rPr>
        <w:t>وإن</w:t>
      </w:r>
      <w:r w:rsidR="007403AE"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مهر</w:t>
      </w:r>
      <w:r w:rsidRPr="006571AC">
        <w:rPr>
          <w:sz w:val="27"/>
          <w:rtl/>
        </w:rPr>
        <w:t xml:space="preserve"> </w:t>
      </w:r>
      <w:r w:rsidRPr="006571AC">
        <w:rPr>
          <w:rFonts w:hint="cs"/>
          <w:sz w:val="27"/>
          <w:rtl/>
        </w:rPr>
        <w:t>الم</w:t>
      </w:r>
      <w:r w:rsidR="007403AE" w:rsidRPr="006571AC">
        <w:rPr>
          <w:rFonts w:hint="cs"/>
          <w:sz w:val="27"/>
          <w:rtl/>
        </w:rPr>
        <w:t>ِ</w:t>
      </w:r>
      <w:r w:rsidRPr="006571AC">
        <w:rPr>
          <w:rFonts w:hint="cs"/>
          <w:sz w:val="27"/>
          <w:rtl/>
        </w:rPr>
        <w:t>ث</w:t>
      </w:r>
      <w:r w:rsidR="007403AE" w:rsidRPr="006571AC">
        <w:rPr>
          <w:rFonts w:hint="cs"/>
          <w:sz w:val="27"/>
          <w:rtl/>
        </w:rPr>
        <w:t>ْ</w:t>
      </w:r>
      <w:r w:rsidRPr="006571AC">
        <w:rPr>
          <w:rFonts w:hint="cs"/>
          <w:sz w:val="27"/>
          <w:rtl/>
        </w:rPr>
        <w:t>ل</w:t>
      </w:r>
      <w:r w:rsidRPr="006571AC">
        <w:rPr>
          <w:sz w:val="27"/>
          <w:rtl/>
        </w:rPr>
        <w:t xml:space="preserve"> ـ</w:t>
      </w:r>
      <w:r w:rsidR="007403AE" w:rsidRPr="006571AC">
        <w:rPr>
          <w:rFonts w:hint="cs"/>
          <w:sz w:val="27"/>
          <w:rtl/>
        </w:rPr>
        <w:t>؛</w:t>
      </w:r>
      <w:r w:rsidRPr="006571AC">
        <w:rPr>
          <w:sz w:val="27"/>
          <w:rtl/>
        </w:rPr>
        <w:t xml:space="preserve"> </w:t>
      </w:r>
      <w:r w:rsidRPr="006571AC">
        <w:rPr>
          <w:rFonts w:hint="cs"/>
          <w:sz w:val="27"/>
          <w:rtl/>
        </w:rPr>
        <w:t>بالإجماع، وبصريح</w:t>
      </w:r>
      <w:r w:rsidRPr="006571AC">
        <w:rPr>
          <w:sz w:val="27"/>
          <w:rtl/>
        </w:rPr>
        <w:t xml:space="preserve"> </w:t>
      </w:r>
      <w:r w:rsidRPr="006571AC">
        <w:rPr>
          <w:rFonts w:hint="cs"/>
          <w:sz w:val="27"/>
          <w:rtl/>
        </w:rPr>
        <w:t>النصوص؛ فإنّ</w:t>
      </w:r>
      <w:r w:rsidRPr="006571AC">
        <w:rPr>
          <w:sz w:val="27"/>
          <w:rtl/>
        </w:rPr>
        <w:t xml:space="preserve"> </w:t>
      </w:r>
      <w:r w:rsidRPr="006571AC">
        <w:rPr>
          <w:rFonts w:hint="cs"/>
          <w:sz w:val="27"/>
          <w:rtl/>
        </w:rPr>
        <w:t>هبة</w:t>
      </w:r>
      <w:r w:rsidRPr="006571AC">
        <w:rPr>
          <w:sz w:val="27"/>
          <w:rtl/>
        </w:rPr>
        <w:t xml:space="preserve"> </w:t>
      </w:r>
      <w:r w:rsidRPr="006571AC">
        <w:rPr>
          <w:rFonts w:hint="cs"/>
          <w:sz w:val="27"/>
          <w:rtl/>
        </w:rPr>
        <w:t>النفس</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ناحية</w:t>
      </w:r>
      <w:r w:rsidRPr="006571AC">
        <w:rPr>
          <w:sz w:val="27"/>
          <w:rtl/>
        </w:rPr>
        <w:t xml:space="preserve"> </w:t>
      </w:r>
      <w:r w:rsidRPr="006571AC">
        <w:rPr>
          <w:rFonts w:hint="cs"/>
          <w:sz w:val="27"/>
          <w:rtl/>
        </w:rPr>
        <w:t>المرأة</w:t>
      </w:r>
      <w:r w:rsidRPr="006571AC">
        <w:rPr>
          <w:sz w:val="27"/>
          <w:rtl/>
        </w:rPr>
        <w:t xml:space="preserve"> ـ </w:t>
      </w:r>
      <w:r w:rsidRPr="006571AC">
        <w:rPr>
          <w:rFonts w:hint="cs"/>
          <w:sz w:val="27"/>
          <w:rtl/>
        </w:rPr>
        <w:t>أي</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بدون</w:t>
      </w:r>
      <w:r w:rsidRPr="006571AC">
        <w:rPr>
          <w:sz w:val="27"/>
          <w:rtl/>
        </w:rPr>
        <w:t xml:space="preserve"> </w:t>
      </w:r>
      <w:r w:rsidRPr="006571AC">
        <w:rPr>
          <w:rFonts w:hint="cs"/>
          <w:sz w:val="27"/>
          <w:rtl/>
        </w:rPr>
        <w:t>مهر</w:t>
      </w:r>
      <w:r w:rsidR="007403AE" w:rsidRPr="006571AC">
        <w:rPr>
          <w:rFonts w:hint="cs"/>
          <w:sz w:val="27"/>
          <w:rtl/>
        </w:rPr>
        <w:t>ٍ</w:t>
      </w:r>
      <w:r w:rsidRPr="006571AC">
        <w:rPr>
          <w:sz w:val="27"/>
          <w:rtl/>
        </w:rPr>
        <w:t xml:space="preserve"> </w:t>
      </w:r>
      <w:r w:rsidRPr="006571AC">
        <w:rPr>
          <w:rFonts w:hint="cs"/>
          <w:sz w:val="27"/>
          <w:rtl/>
        </w:rPr>
        <w:t>مطلقاً</w:t>
      </w:r>
      <w:r w:rsidRPr="006571AC">
        <w:rPr>
          <w:sz w:val="27"/>
          <w:rtl/>
        </w:rPr>
        <w:t xml:space="preserve"> ـ </w:t>
      </w:r>
      <w:r w:rsidRPr="006571AC">
        <w:rPr>
          <w:rFonts w:hint="cs"/>
          <w:sz w:val="27"/>
          <w:rtl/>
        </w:rPr>
        <w:t>باطل</w:t>
      </w:r>
      <w:r w:rsidR="007403AE" w:rsidRPr="006571AC">
        <w:rPr>
          <w:rFonts w:hint="cs"/>
          <w:sz w:val="27"/>
          <w:rtl/>
        </w:rPr>
        <w:t>ٌ</w:t>
      </w:r>
      <w:r w:rsidRPr="006571AC">
        <w:rPr>
          <w:sz w:val="27"/>
          <w:rtl/>
        </w:rPr>
        <w:t xml:space="preserve"> </w:t>
      </w:r>
      <w:r w:rsidRPr="006571AC">
        <w:rPr>
          <w:rFonts w:hint="cs"/>
          <w:sz w:val="27"/>
          <w:rtl/>
        </w:rPr>
        <w:t>بالإجماع</w:t>
      </w:r>
      <w:r w:rsidR="007403AE" w:rsidRPr="006571AC">
        <w:rPr>
          <w:rFonts w:hint="cs"/>
          <w:sz w:val="27"/>
          <w:rtl/>
        </w:rPr>
        <w:t>،</w:t>
      </w:r>
      <w:r w:rsidRPr="006571AC">
        <w:rPr>
          <w:rFonts w:hint="cs"/>
          <w:sz w:val="27"/>
          <w:rtl/>
        </w:rPr>
        <w:t xml:space="preserve"> وقد</w:t>
      </w:r>
      <w:r w:rsidRPr="006571AC">
        <w:rPr>
          <w:sz w:val="27"/>
          <w:rtl/>
        </w:rPr>
        <w:t xml:space="preserve"> </w:t>
      </w:r>
      <w:r w:rsidRPr="006571AC">
        <w:rPr>
          <w:rFonts w:hint="cs"/>
          <w:sz w:val="27"/>
          <w:rtl/>
        </w:rPr>
        <w:t>صرّ</w:t>
      </w:r>
      <w:r w:rsidR="007403AE" w:rsidRPr="006571AC">
        <w:rPr>
          <w:rFonts w:hint="cs"/>
          <w:sz w:val="27"/>
          <w:rtl/>
        </w:rPr>
        <w:t>َ</w:t>
      </w:r>
      <w:r w:rsidRPr="006571AC">
        <w:rPr>
          <w:rFonts w:hint="cs"/>
          <w:sz w:val="27"/>
          <w:rtl/>
        </w:rPr>
        <w:t>حوا</w:t>
      </w:r>
      <w:r w:rsidRPr="006571AC">
        <w:rPr>
          <w:sz w:val="27"/>
          <w:rtl/>
        </w:rPr>
        <w:t xml:space="preserve"> </w:t>
      </w:r>
      <w:r w:rsidRPr="006571AC">
        <w:rPr>
          <w:rFonts w:hint="cs"/>
          <w:sz w:val="27"/>
          <w:rtl/>
        </w:rPr>
        <w:t>بأنّ</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خصائص</w:t>
      </w:r>
      <w:r w:rsidRPr="006571AC">
        <w:rPr>
          <w:sz w:val="27"/>
          <w:rtl/>
        </w:rPr>
        <w:t xml:space="preserve"> </w:t>
      </w:r>
      <w:r w:rsidRPr="006571AC">
        <w:rPr>
          <w:rFonts w:hint="cs"/>
          <w:sz w:val="27"/>
          <w:rtl/>
        </w:rPr>
        <w:t>النبي</w:t>
      </w:r>
      <w:r w:rsidR="007403AE" w:rsidRPr="006571AC">
        <w:rPr>
          <w:rFonts w:hint="cs"/>
          <w:sz w:val="27"/>
          <w:rtl/>
        </w:rPr>
        <w:t>ّ</w:t>
      </w:r>
      <w:r w:rsidR="007403AE" w:rsidRPr="006571AC">
        <w:rPr>
          <w:rFonts w:ascii="Mosawi" w:hAnsi="Mosawi" w:cs="Mosawi"/>
          <w:sz w:val="22"/>
          <w:szCs w:val="22"/>
          <w:rtl/>
        </w:rPr>
        <w:t>|</w:t>
      </w:r>
      <w:r w:rsidR="007403AE" w:rsidRPr="006571AC">
        <w:rPr>
          <w:rFonts w:hint="cs"/>
          <w:sz w:val="27"/>
          <w:rtl/>
        </w:rPr>
        <w:t xml:space="preserve">، </w:t>
      </w:r>
      <w:r w:rsidRPr="006571AC">
        <w:rPr>
          <w:rFonts w:hint="cs"/>
          <w:sz w:val="27"/>
          <w:rtl/>
        </w:rPr>
        <w:t>وقد</w:t>
      </w:r>
      <w:r w:rsidRPr="006571AC">
        <w:rPr>
          <w:sz w:val="27"/>
          <w:rtl/>
        </w:rPr>
        <w:t xml:space="preserve"> </w:t>
      </w:r>
      <w:r w:rsidRPr="006571AC">
        <w:rPr>
          <w:rFonts w:hint="cs"/>
          <w:sz w:val="27"/>
          <w:rtl/>
        </w:rPr>
        <w:t>ورد</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آية</w:t>
      </w:r>
      <w:r w:rsidRPr="006571AC">
        <w:rPr>
          <w:sz w:val="27"/>
          <w:rtl/>
        </w:rPr>
        <w:t xml:space="preserve"> </w:t>
      </w:r>
      <w:r w:rsidRPr="006571AC">
        <w:rPr>
          <w:rFonts w:hint="cs"/>
          <w:sz w:val="27"/>
          <w:rtl/>
        </w:rPr>
        <w:t>الأحزاب</w:t>
      </w:r>
      <w:r w:rsidRPr="006571AC">
        <w:rPr>
          <w:sz w:val="27"/>
          <w:rtl/>
        </w:rPr>
        <w:t xml:space="preserve">: </w:t>
      </w:r>
      <w:r w:rsidRPr="006571AC">
        <w:rPr>
          <w:rFonts w:ascii="Mosawi" w:hAnsi="Mosawi" w:cs="Mosawi"/>
          <w:sz w:val="24"/>
          <w:szCs w:val="24"/>
          <w:rtl/>
        </w:rPr>
        <w:t>﴿</w:t>
      </w:r>
      <w:r w:rsidRPr="006571AC">
        <w:rPr>
          <w:rFonts w:hint="cs"/>
          <w:b/>
          <w:bCs/>
          <w:sz w:val="27"/>
          <w:rtl/>
        </w:rPr>
        <w:t>وَامْرَأَةً</w:t>
      </w:r>
      <w:r w:rsidRPr="006571AC">
        <w:rPr>
          <w:b/>
          <w:bCs/>
          <w:sz w:val="27"/>
          <w:rtl/>
        </w:rPr>
        <w:t xml:space="preserve"> </w:t>
      </w:r>
      <w:r w:rsidRPr="006571AC">
        <w:rPr>
          <w:rFonts w:hint="cs"/>
          <w:b/>
          <w:bCs/>
          <w:sz w:val="27"/>
          <w:rtl/>
        </w:rPr>
        <w:t>مُؤْمِنَةً</w:t>
      </w:r>
      <w:r w:rsidRPr="006571AC">
        <w:rPr>
          <w:b/>
          <w:bCs/>
          <w:sz w:val="27"/>
          <w:rtl/>
        </w:rPr>
        <w:t xml:space="preserve"> </w:t>
      </w:r>
      <w:r w:rsidRPr="006571AC">
        <w:rPr>
          <w:rFonts w:hint="cs"/>
          <w:b/>
          <w:bCs/>
          <w:sz w:val="27"/>
          <w:rtl/>
        </w:rPr>
        <w:t>إِنْ</w:t>
      </w:r>
      <w:r w:rsidRPr="006571AC">
        <w:rPr>
          <w:b/>
          <w:bCs/>
          <w:sz w:val="27"/>
          <w:rtl/>
        </w:rPr>
        <w:t xml:space="preserve"> </w:t>
      </w:r>
      <w:r w:rsidRPr="006571AC">
        <w:rPr>
          <w:rFonts w:hint="cs"/>
          <w:b/>
          <w:bCs/>
          <w:sz w:val="27"/>
          <w:rtl/>
        </w:rPr>
        <w:t>وَهَبَتْ</w:t>
      </w:r>
      <w:r w:rsidRPr="006571AC">
        <w:rPr>
          <w:b/>
          <w:bCs/>
          <w:sz w:val="27"/>
          <w:rtl/>
        </w:rPr>
        <w:t xml:space="preserve"> </w:t>
      </w:r>
      <w:r w:rsidRPr="006571AC">
        <w:rPr>
          <w:rFonts w:hint="cs"/>
          <w:b/>
          <w:bCs/>
          <w:sz w:val="27"/>
          <w:rtl/>
        </w:rPr>
        <w:t>نَفْسَهَا</w:t>
      </w:r>
      <w:r w:rsidRPr="006571AC">
        <w:rPr>
          <w:b/>
          <w:bCs/>
          <w:sz w:val="27"/>
          <w:rtl/>
        </w:rPr>
        <w:t xml:space="preserve"> </w:t>
      </w:r>
      <w:r w:rsidRPr="006571AC">
        <w:rPr>
          <w:rFonts w:hint="cs"/>
          <w:b/>
          <w:bCs/>
          <w:sz w:val="27"/>
          <w:rtl/>
        </w:rPr>
        <w:t>لِلنَّبِ</w:t>
      </w:r>
      <w:r w:rsidR="007403AE" w:rsidRPr="006571AC">
        <w:rPr>
          <w:rFonts w:hint="cs"/>
          <w:b/>
          <w:bCs/>
          <w:sz w:val="27"/>
          <w:rtl/>
        </w:rPr>
        <w:t>يِّ</w:t>
      </w:r>
      <w:r w:rsidRPr="006571AC">
        <w:rPr>
          <w:b/>
          <w:bCs/>
          <w:sz w:val="27"/>
          <w:rtl/>
        </w:rPr>
        <w:t xml:space="preserve"> </w:t>
      </w:r>
      <w:r w:rsidRPr="006571AC">
        <w:rPr>
          <w:rFonts w:hint="cs"/>
          <w:b/>
          <w:bCs/>
          <w:sz w:val="27"/>
          <w:rtl/>
        </w:rPr>
        <w:t>إِنْ</w:t>
      </w:r>
      <w:r w:rsidRPr="006571AC">
        <w:rPr>
          <w:b/>
          <w:bCs/>
          <w:sz w:val="27"/>
          <w:rtl/>
        </w:rPr>
        <w:t xml:space="preserve"> </w:t>
      </w:r>
      <w:r w:rsidRPr="006571AC">
        <w:rPr>
          <w:rFonts w:hint="cs"/>
          <w:b/>
          <w:bCs/>
          <w:sz w:val="27"/>
          <w:rtl/>
        </w:rPr>
        <w:t>أَرَادَ</w:t>
      </w:r>
      <w:r w:rsidRPr="006571AC">
        <w:rPr>
          <w:b/>
          <w:bCs/>
          <w:sz w:val="27"/>
          <w:rtl/>
        </w:rPr>
        <w:t xml:space="preserve"> </w:t>
      </w:r>
      <w:r w:rsidRPr="006571AC">
        <w:rPr>
          <w:rFonts w:hint="cs"/>
          <w:b/>
          <w:bCs/>
          <w:sz w:val="27"/>
          <w:rtl/>
        </w:rPr>
        <w:t>النَّبِ</w:t>
      </w:r>
      <w:r w:rsidR="007403AE" w:rsidRPr="006571AC">
        <w:rPr>
          <w:rFonts w:hint="cs"/>
          <w:b/>
          <w:bCs/>
          <w:sz w:val="27"/>
          <w:rtl/>
        </w:rPr>
        <w:t>يُّ</w:t>
      </w:r>
      <w:r w:rsidRPr="006571AC">
        <w:rPr>
          <w:b/>
          <w:bCs/>
          <w:sz w:val="27"/>
          <w:rtl/>
        </w:rPr>
        <w:t xml:space="preserve"> </w:t>
      </w:r>
      <w:r w:rsidRPr="006571AC">
        <w:rPr>
          <w:rFonts w:hint="cs"/>
          <w:b/>
          <w:bCs/>
          <w:sz w:val="27"/>
          <w:rtl/>
        </w:rPr>
        <w:t>أَنْ</w:t>
      </w:r>
      <w:r w:rsidRPr="006571AC">
        <w:rPr>
          <w:b/>
          <w:bCs/>
          <w:sz w:val="27"/>
          <w:rtl/>
        </w:rPr>
        <w:t xml:space="preserve"> </w:t>
      </w:r>
      <w:r w:rsidRPr="006571AC">
        <w:rPr>
          <w:rFonts w:hint="cs"/>
          <w:b/>
          <w:bCs/>
          <w:sz w:val="27"/>
          <w:rtl/>
        </w:rPr>
        <w:t>يَسْتَنكِحَهَا</w:t>
      </w:r>
      <w:r w:rsidRPr="006571AC">
        <w:rPr>
          <w:b/>
          <w:bCs/>
          <w:sz w:val="27"/>
          <w:rtl/>
        </w:rPr>
        <w:t xml:space="preserve"> </w:t>
      </w:r>
      <w:r w:rsidRPr="006571AC">
        <w:rPr>
          <w:rFonts w:hint="cs"/>
          <w:b/>
          <w:bCs/>
          <w:sz w:val="27"/>
          <w:rtl/>
        </w:rPr>
        <w:t>خَالِصَةً</w:t>
      </w:r>
      <w:r w:rsidRPr="006571AC">
        <w:rPr>
          <w:b/>
          <w:bCs/>
          <w:sz w:val="27"/>
          <w:rtl/>
        </w:rPr>
        <w:t xml:space="preserve"> </w:t>
      </w:r>
      <w:r w:rsidRPr="006571AC">
        <w:rPr>
          <w:rFonts w:hint="cs"/>
          <w:b/>
          <w:bCs/>
          <w:sz w:val="27"/>
          <w:rtl/>
        </w:rPr>
        <w:t>لَكَ</w:t>
      </w:r>
      <w:r w:rsidRPr="006571AC">
        <w:rPr>
          <w:b/>
          <w:bCs/>
          <w:sz w:val="27"/>
          <w:rtl/>
        </w:rPr>
        <w:t xml:space="preserve"> </w:t>
      </w:r>
      <w:r w:rsidRPr="006571AC">
        <w:rPr>
          <w:rFonts w:hint="cs"/>
          <w:b/>
          <w:bCs/>
          <w:sz w:val="27"/>
          <w:rtl/>
        </w:rPr>
        <w:t>مِنْ</w:t>
      </w:r>
      <w:r w:rsidRPr="006571AC">
        <w:rPr>
          <w:b/>
          <w:bCs/>
          <w:sz w:val="27"/>
          <w:rtl/>
        </w:rPr>
        <w:t xml:space="preserve"> </w:t>
      </w:r>
      <w:r w:rsidRPr="006571AC">
        <w:rPr>
          <w:rFonts w:hint="cs"/>
          <w:b/>
          <w:bCs/>
          <w:sz w:val="27"/>
          <w:rtl/>
        </w:rPr>
        <w:t>دُونِ</w:t>
      </w:r>
      <w:r w:rsidRPr="006571AC">
        <w:rPr>
          <w:b/>
          <w:bCs/>
          <w:sz w:val="27"/>
          <w:rtl/>
        </w:rPr>
        <w:t xml:space="preserve"> </w:t>
      </w:r>
      <w:r w:rsidRPr="006571AC">
        <w:rPr>
          <w:rFonts w:hint="cs"/>
          <w:b/>
          <w:bCs/>
          <w:sz w:val="27"/>
          <w:rtl/>
        </w:rPr>
        <w:t>الْمُؤْمِنِينَ</w:t>
      </w:r>
      <w:r w:rsidRPr="006571AC">
        <w:rPr>
          <w:b/>
          <w:bCs/>
          <w:sz w:val="27"/>
          <w:rtl/>
        </w:rPr>
        <w:t>...</w:t>
      </w:r>
      <w:r w:rsidRPr="006571AC">
        <w:rPr>
          <w:rFonts w:ascii="Mosawi" w:hAnsi="Mosawi" w:cs="Mosawi"/>
          <w:sz w:val="24"/>
          <w:szCs w:val="24"/>
          <w:rtl/>
        </w:rPr>
        <w:t>﴾</w:t>
      </w:r>
      <w:r w:rsidRPr="006571AC">
        <w:rPr>
          <w:sz w:val="27"/>
          <w:rtl/>
        </w:rPr>
        <w:t xml:space="preserve"> (</w:t>
      </w:r>
      <w:r w:rsidRPr="006571AC">
        <w:rPr>
          <w:rFonts w:hint="cs"/>
          <w:sz w:val="27"/>
          <w:rtl/>
        </w:rPr>
        <w:t>الأحزاب: 33)</w:t>
      </w:r>
      <w:r w:rsidRPr="006571AC">
        <w:rPr>
          <w:sz w:val="27"/>
          <w:vertAlign w:val="superscript"/>
          <w:rtl/>
        </w:rPr>
        <w:t>(</w:t>
      </w:r>
      <w:r w:rsidRPr="006571AC">
        <w:rPr>
          <w:sz w:val="27"/>
          <w:vertAlign w:val="superscript"/>
          <w:rtl/>
        </w:rPr>
        <w:endnoteReference w:id="426"/>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bookmarkStart w:id="227" w:name="_Toc79281913"/>
      <w:bookmarkStart w:id="228" w:name="_Toc114164689"/>
      <w:r w:rsidRPr="006571AC">
        <w:rPr>
          <w:rStyle w:val="1Char"/>
          <w:rFonts w:cs="AL-Mohanad" w:hint="cs"/>
          <w:b w:val="0"/>
          <w:bCs/>
          <w:sz w:val="27"/>
          <w:szCs w:val="27"/>
          <w:rtl/>
        </w:rPr>
        <w:t xml:space="preserve">2ـ بالنسبة </w:t>
      </w:r>
      <w:r w:rsidR="007403AE" w:rsidRPr="006571AC">
        <w:rPr>
          <w:rStyle w:val="1Char"/>
          <w:rFonts w:cs="AL-Mohanad" w:hint="cs"/>
          <w:b w:val="0"/>
          <w:bCs/>
          <w:sz w:val="27"/>
          <w:szCs w:val="27"/>
          <w:rtl/>
        </w:rPr>
        <w:t>إلى ا</w:t>
      </w:r>
      <w:r w:rsidRPr="006571AC">
        <w:rPr>
          <w:rStyle w:val="1Char"/>
          <w:rFonts w:cs="AL-Mohanad" w:hint="cs"/>
          <w:b w:val="0"/>
          <w:bCs/>
          <w:sz w:val="27"/>
          <w:szCs w:val="27"/>
          <w:rtl/>
        </w:rPr>
        <w:t>لعقد المؤق</w:t>
      </w:r>
      <w:r w:rsidR="007403AE" w:rsidRPr="006571AC">
        <w:rPr>
          <w:rStyle w:val="1Char"/>
          <w:rFonts w:cs="AL-Mohanad" w:hint="cs"/>
          <w:b w:val="0"/>
          <w:bCs/>
          <w:sz w:val="27"/>
          <w:szCs w:val="27"/>
          <w:rtl/>
        </w:rPr>
        <w:t>َّ</w:t>
      </w:r>
      <w:r w:rsidRPr="006571AC">
        <w:rPr>
          <w:rStyle w:val="1Char"/>
          <w:rFonts w:cs="AL-Mohanad" w:hint="cs"/>
          <w:b w:val="0"/>
          <w:bCs/>
          <w:sz w:val="27"/>
          <w:szCs w:val="27"/>
          <w:rtl/>
        </w:rPr>
        <w:t>ت</w:t>
      </w:r>
      <w:r w:rsidRPr="006571AC">
        <w:rPr>
          <w:rStyle w:val="1Char"/>
          <w:rFonts w:cs="AL-Mohanad" w:hint="cs"/>
          <w:sz w:val="27"/>
          <w:szCs w:val="27"/>
          <w:rtl/>
        </w:rPr>
        <w:t>:</w:t>
      </w:r>
      <w:bookmarkEnd w:id="227"/>
      <w:bookmarkEnd w:id="228"/>
      <w:r w:rsidRPr="006571AC">
        <w:rPr>
          <w:rStyle w:val="1Char"/>
          <w:rFonts w:cs="AL-Mohanad" w:hint="cs"/>
          <w:sz w:val="27"/>
          <w:szCs w:val="27"/>
          <w:rtl/>
        </w:rPr>
        <w:t xml:space="preserve"> </w:t>
      </w:r>
      <w:r w:rsidRPr="006571AC">
        <w:rPr>
          <w:rFonts w:hint="cs"/>
          <w:sz w:val="27"/>
          <w:rtl/>
        </w:rPr>
        <w:t>يعتبر المهر</w:t>
      </w:r>
      <w:r w:rsidRPr="006571AC">
        <w:rPr>
          <w:sz w:val="27"/>
          <w:rtl/>
        </w:rPr>
        <w:t xml:space="preserve"> </w:t>
      </w:r>
      <w:r w:rsidRPr="006571AC">
        <w:rPr>
          <w:rFonts w:hint="cs"/>
          <w:sz w:val="27"/>
          <w:rtl/>
        </w:rPr>
        <w:t>شرط</w:t>
      </w:r>
      <w:r w:rsidR="00F85E0D" w:rsidRPr="006571AC">
        <w:rPr>
          <w:rFonts w:hint="cs"/>
          <w:sz w:val="27"/>
          <w:rtl/>
        </w:rPr>
        <w:t>اً</w:t>
      </w:r>
      <w:r w:rsidRPr="006571AC">
        <w:rPr>
          <w:sz w:val="27"/>
          <w:rtl/>
        </w:rPr>
        <w:t xml:space="preserve"> </w:t>
      </w:r>
      <w:r w:rsidRPr="006571AC">
        <w:rPr>
          <w:rFonts w:hint="cs"/>
          <w:sz w:val="27"/>
          <w:rtl/>
        </w:rPr>
        <w:t>فيه</w:t>
      </w:r>
      <w:r w:rsidRPr="006571AC">
        <w:rPr>
          <w:sz w:val="27"/>
          <w:rtl/>
        </w:rPr>
        <w:t xml:space="preserve"> </w:t>
      </w:r>
      <w:r w:rsidRPr="006571AC">
        <w:rPr>
          <w:rFonts w:hint="cs"/>
          <w:sz w:val="27"/>
          <w:rtl/>
        </w:rPr>
        <w:t>خاص</w:t>
      </w:r>
      <w:r w:rsidR="00F85E0D" w:rsidRPr="006571AC">
        <w:rPr>
          <w:rFonts w:hint="cs"/>
          <w:sz w:val="27"/>
          <w:rtl/>
        </w:rPr>
        <w:t>ّ</w:t>
      </w:r>
      <w:r w:rsidRPr="006571AC">
        <w:rPr>
          <w:rFonts w:hint="cs"/>
          <w:sz w:val="27"/>
          <w:rtl/>
        </w:rPr>
        <w:t>ة</w:t>
      </w:r>
      <w:r w:rsidR="00F85E0D" w:rsidRPr="006571AC">
        <w:rPr>
          <w:rFonts w:hint="cs"/>
          <w:sz w:val="27"/>
          <w:rtl/>
        </w:rPr>
        <w:t>ً،</w:t>
      </w:r>
      <w:r w:rsidRPr="006571AC">
        <w:rPr>
          <w:sz w:val="27"/>
          <w:rtl/>
        </w:rPr>
        <w:t xml:space="preserve"> </w:t>
      </w:r>
      <w:r w:rsidRPr="006571AC">
        <w:rPr>
          <w:rFonts w:hint="cs"/>
          <w:sz w:val="27"/>
          <w:rtl/>
        </w:rPr>
        <w:t>فلو</w:t>
      </w:r>
      <w:r w:rsidRPr="006571AC">
        <w:rPr>
          <w:sz w:val="27"/>
          <w:rtl/>
        </w:rPr>
        <w:t xml:space="preserve"> </w:t>
      </w:r>
      <w:r w:rsidRPr="006571AC">
        <w:rPr>
          <w:rFonts w:hint="cs"/>
          <w:sz w:val="27"/>
          <w:rtl/>
        </w:rPr>
        <w:t>أخلّ</w:t>
      </w:r>
      <w:r w:rsidR="00F85E0D" w:rsidRPr="006571AC">
        <w:rPr>
          <w:rFonts w:hint="cs"/>
          <w:sz w:val="27"/>
          <w:rtl/>
        </w:rPr>
        <w:t>َ</w:t>
      </w:r>
      <w:r w:rsidRPr="006571AC">
        <w:rPr>
          <w:sz w:val="27"/>
          <w:rtl/>
        </w:rPr>
        <w:t xml:space="preserve"> </w:t>
      </w:r>
      <w:r w:rsidRPr="006571AC">
        <w:rPr>
          <w:rFonts w:hint="cs"/>
          <w:sz w:val="27"/>
          <w:rtl/>
        </w:rPr>
        <w:t>به</w:t>
      </w:r>
      <w:r w:rsidRPr="006571AC">
        <w:rPr>
          <w:sz w:val="27"/>
          <w:rtl/>
        </w:rPr>
        <w:t xml:space="preserve"> </w:t>
      </w:r>
      <w:r w:rsidRPr="006571AC">
        <w:rPr>
          <w:rFonts w:hint="cs"/>
          <w:sz w:val="27"/>
          <w:rtl/>
        </w:rPr>
        <w:t>بطل</w:t>
      </w:r>
      <w:r w:rsidRPr="006571AC">
        <w:rPr>
          <w:sz w:val="27"/>
          <w:rtl/>
        </w:rPr>
        <w:t xml:space="preserve"> </w:t>
      </w:r>
      <w:r w:rsidRPr="006571AC">
        <w:rPr>
          <w:rFonts w:hint="cs"/>
          <w:sz w:val="27"/>
          <w:rtl/>
        </w:rPr>
        <w:t>العقد</w:t>
      </w:r>
      <w:r w:rsidR="00F85E0D" w:rsidRPr="006571AC">
        <w:rPr>
          <w:rFonts w:hint="cs"/>
          <w:sz w:val="27"/>
          <w:rtl/>
        </w:rPr>
        <w:t>.</w:t>
      </w:r>
      <w:r w:rsidRPr="006571AC">
        <w:rPr>
          <w:sz w:val="27"/>
          <w:rtl/>
        </w:rPr>
        <w:t xml:space="preserve"> و</w:t>
      </w:r>
      <w:r w:rsidRPr="006571AC">
        <w:rPr>
          <w:rFonts w:hint="cs"/>
          <w:sz w:val="27"/>
          <w:rtl/>
        </w:rPr>
        <w:t>يشترط</w:t>
      </w:r>
      <w:r w:rsidRPr="006571AC">
        <w:rPr>
          <w:sz w:val="27"/>
          <w:rtl/>
        </w:rPr>
        <w:t xml:space="preserve"> </w:t>
      </w:r>
      <w:r w:rsidRPr="006571AC">
        <w:rPr>
          <w:rFonts w:hint="cs"/>
          <w:sz w:val="27"/>
          <w:rtl/>
        </w:rPr>
        <w:t>الملكية</w:t>
      </w:r>
      <w:r w:rsidRPr="006571AC">
        <w:rPr>
          <w:sz w:val="27"/>
          <w:rtl/>
        </w:rPr>
        <w:t xml:space="preserve"> و</w:t>
      </w:r>
      <w:r w:rsidRPr="006571AC">
        <w:rPr>
          <w:rFonts w:hint="cs"/>
          <w:sz w:val="27"/>
          <w:rtl/>
        </w:rPr>
        <w:t>العلم</w:t>
      </w:r>
      <w:r w:rsidRPr="006571AC">
        <w:rPr>
          <w:sz w:val="27"/>
          <w:rtl/>
        </w:rPr>
        <w:t xml:space="preserve"> </w:t>
      </w:r>
      <w:r w:rsidRPr="006571AC">
        <w:rPr>
          <w:rFonts w:hint="cs"/>
          <w:sz w:val="27"/>
          <w:rtl/>
        </w:rPr>
        <w:t>بق</w:t>
      </w:r>
      <w:r w:rsidR="00F85E0D" w:rsidRPr="006571AC">
        <w:rPr>
          <w:rFonts w:hint="cs"/>
          <w:sz w:val="27"/>
          <w:rtl/>
        </w:rPr>
        <w:t>َ</w:t>
      </w:r>
      <w:r w:rsidRPr="006571AC">
        <w:rPr>
          <w:rFonts w:hint="cs"/>
          <w:sz w:val="27"/>
          <w:rtl/>
        </w:rPr>
        <w:t>د</w:t>
      </w:r>
      <w:r w:rsidR="00F85E0D" w:rsidRPr="006571AC">
        <w:rPr>
          <w:rFonts w:hint="cs"/>
          <w:sz w:val="27"/>
          <w:rtl/>
        </w:rPr>
        <w:t>ْ</w:t>
      </w:r>
      <w:r w:rsidRPr="006571AC">
        <w:rPr>
          <w:rFonts w:hint="cs"/>
          <w:sz w:val="27"/>
          <w:rtl/>
        </w:rPr>
        <w:t>ره</w:t>
      </w:r>
      <w:r w:rsidR="00F85E0D" w:rsidRPr="006571AC">
        <w:rPr>
          <w:rFonts w:hint="cs"/>
          <w:sz w:val="27"/>
          <w:rtl/>
        </w:rPr>
        <w:t>،</w:t>
      </w:r>
      <w:r w:rsidRPr="006571AC">
        <w:rPr>
          <w:sz w:val="27"/>
          <w:rtl/>
        </w:rPr>
        <w:t xml:space="preserve"> </w:t>
      </w:r>
      <w:r w:rsidRPr="006571AC">
        <w:rPr>
          <w:rFonts w:hint="cs"/>
          <w:sz w:val="27"/>
          <w:rtl/>
        </w:rPr>
        <w:t>ك</w:t>
      </w:r>
      <w:r w:rsidR="009543F3" w:rsidRPr="006571AC">
        <w:rPr>
          <w:rFonts w:hint="cs"/>
          <w:sz w:val="27"/>
          <w:rtl/>
        </w:rPr>
        <w:t>َ</w:t>
      </w:r>
      <w:r w:rsidRPr="006571AC">
        <w:rPr>
          <w:rFonts w:hint="cs"/>
          <w:sz w:val="27"/>
          <w:rtl/>
        </w:rPr>
        <w:t>ي</w:t>
      </w:r>
      <w:r w:rsidR="009543F3" w:rsidRPr="006571AC">
        <w:rPr>
          <w:rFonts w:hint="cs"/>
          <w:sz w:val="27"/>
          <w:rtl/>
        </w:rPr>
        <w:t>ْ</w:t>
      </w:r>
      <w:r w:rsidRPr="006571AC">
        <w:rPr>
          <w:rFonts w:hint="cs"/>
          <w:sz w:val="27"/>
          <w:rtl/>
        </w:rPr>
        <w:t>لا</w:t>
      </w:r>
      <w:r w:rsidR="00F85E0D"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و</w:t>
      </w:r>
      <w:r w:rsidR="009543F3" w:rsidRPr="006571AC">
        <w:rPr>
          <w:rFonts w:hint="cs"/>
          <w:sz w:val="27"/>
          <w:rtl/>
        </w:rPr>
        <w:t>َ</w:t>
      </w:r>
      <w:r w:rsidRPr="006571AC">
        <w:rPr>
          <w:rFonts w:hint="cs"/>
          <w:sz w:val="27"/>
          <w:rtl/>
        </w:rPr>
        <w:t>ز</w:t>
      </w:r>
      <w:r w:rsidR="009543F3" w:rsidRPr="006571AC">
        <w:rPr>
          <w:rFonts w:hint="cs"/>
          <w:sz w:val="27"/>
          <w:rtl/>
        </w:rPr>
        <w:t>ْ</w:t>
      </w:r>
      <w:r w:rsidRPr="006571AC">
        <w:rPr>
          <w:rFonts w:hint="cs"/>
          <w:sz w:val="27"/>
          <w:rtl/>
        </w:rPr>
        <w:t>نا</w:t>
      </w:r>
      <w:r w:rsidR="00F85E0D"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مشاهدة</w:t>
      </w:r>
      <w:r w:rsidR="00F85E0D"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وصفا</w:t>
      </w:r>
      <w:r w:rsidR="00F85E0D" w:rsidRPr="006571AC">
        <w:rPr>
          <w:rFonts w:hint="cs"/>
          <w:sz w:val="27"/>
          <w:rtl/>
        </w:rPr>
        <w:t>ً.</w:t>
      </w:r>
      <w:r w:rsidRPr="006571AC">
        <w:rPr>
          <w:sz w:val="27"/>
          <w:rtl/>
        </w:rPr>
        <w:t xml:space="preserve"> و</w:t>
      </w:r>
      <w:r w:rsidRPr="006571AC">
        <w:rPr>
          <w:rFonts w:hint="cs"/>
          <w:sz w:val="27"/>
          <w:rtl/>
        </w:rPr>
        <w:t>لا</w:t>
      </w:r>
      <w:r w:rsidRPr="006571AC">
        <w:rPr>
          <w:sz w:val="27"/>
          <w:rtl/>
        </w:rPr>
        <w:t xml:space="preserve"> </w:t>
      </w:r>
      <w:r w:rsidRPr="006571AC">
        <w:rPr>
          <w:rFonts w:hint="cs"/>
          <w:sz w:val="27"/>
          <w:rtl/>
        </w:rPr>
        <w:t>ح</w:t>
      </w:r>
      <w:r w:rsidR="00F85E0D" w:rsidRPr="006571AC">
        <w:rPr>
          <w:rFonts w:hint="cs"/>
          <w:sz w:val="27"/>
          <w:rtl/>
        </w:rPr>
        <w:t>َ</w:t>
      </w:r>
      <w:r w:rsidRPr="006571AC">
        <w:rPr>
          <w:rFonts w:hint="cs"/>
          <w:sz w:val="27"/>
          <w:rtl/>
        </w:rPr>
        <w:t>د</w:t>
      </w:r>
      <w:r w:rsidR="00F85E0D" w:rsidRPr="006571AC">
        <w:rPr>
          <w:rFonts w:hint="cs"/>
          <w:sz w:val="27"/>
          <w:rtl/>
        </w:rPr>
        <w:t>َّ</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قل</w:t>
      </w:r>
      <w:r w:rsidR="00F85E0D" w:rsidRPr="006571AC">
        <w:rPr>
          <w:rFonts w:hint="cs"/>
          <w:sz w:val="27"/>
          <w:rtl/>
        </w:rPr>
        <w:t>ّ</w:t>
      </w:r>
      <w:r w:rsidRPr="006571AC">
        <w:rPr>
          <w:rFonts w:hint="cs"/>
          <w:sz w:val="27"/>
          <w:rtl/>
        </w:rPr>
        <w:t>ة</w:t>
      </w:r>
      <w:r w:rsidR="00F85E0D" w:rsidRPr="006571AC">
        <w:rPr>
          <w:rFonts w:hint="cs"/>
          <w:sz w:val="27"/>
          <w:rtl/>
        </w:rPr>
        <w:t>ً</w:t>
      </w:r>
      <w:r w:rsidRPr="006571AC">
        <w:rPr>
          <w:sz w:val="27"/>
          <w:rtl/>
        </w:rPr>
        <w:t xml:space="preserve"> و</w:t>
      </w:r>
      <w:r w:rsidRPr="006571AC">
        <w:rPr>
          <w:rFonts w:hint="cs"/>
          <w:sz w:val="27"/>
          <w:rtl/>
        </w:rPr>
        <w:t>كثرة</w:t>
      </w:r>
      <w:r w:rsidR="00F85E0D" w:rsidRPr="006571AC">
        <w:rPr>
          <w:rFonts w:hint="cs"/>
          <w:sz w:val="27"/>
          <w:rtl/>
        </w:rPr>
        <w:t>ً.</w:t>
      </w:r>
      <w:r w:rsidRPr="006571AC">
        <w:rPr>
          <w:sz w:val="27"/>
          <w:rtl/>
        </w:rPr>
        <w:t xml:space="preserve"> و</w:t>
      </w:r>
      <w:r w:rsidRPr="006571AC">
        <w:rPr>
          <w:rFonts w:hint="cs"/>
          <w:sz w:val="27"/>
          <w:rtl/>
        </w:rPr>
        <w:t>يجب</w:t>
      </w:r>
      <w:r w:rsidRPr="006571AC">
        <w:rPr>
          <w:sz w:val="27"/>
          <w:rtl/>
        </w:rPr>
        <w:t xml:space="preserve"> </w:t>
      </w:r>
      <w:r w:rsidRPr="006571AC">
        <w:rPr>
          <w:rFonts w:hint="cs"/>
          <w:sz w:val="27"/>
          <w:rtl/>
        </w:rPr>
        <w:t>دفعه</w:t>
      </w:r>
      <w:r w:rsidRPr="006571AC">
        <w:rPr>
          <w:sz w:val="27"/>
          <w:rtl/>
        </w:rPr>
        <w:t xml:space="preserve"> </w:t>
      </w:r>
      <w:r w:rsidRPr="006571AC">
        <w:rPr>
          <w:rFonts w:hint="cs"/>
          <w:sz w:val="27"/>
          <w:rtl/>
        </w:rPr>
        <w:t>بالعقد</w:t>
      </w:r>
      <w:r w:rsidR="00F85E0D" w:rsidRPr="006571AC">
        <w:rPr>
          <w:rFonts w:hint="cs"/>
          <w:sz w:val="27"/>
          <w:rtl/>
        </w:rPr>
        <w:t>،</w:t>
      </w:r>
      <w:r w:rsidRPr="006571AC">
        <w:rPr>
          <w:sz w:val="27"/>
          <w:rtl/>
        </w:rPr>
        <w:t xml:space="preserve"> </w:t>
      </w:r>
      <w:r w:rsidRPr="006571AC">
        <w:rPr>
          <w:rFonts w:hint="cs"/>
          <w:sz w:val="27"/>
          <w:rtl/>
        </w:rPr>
        <w:t>ف</w:t>
      </w:r>
      <w:r w:rsidR="00F85E0D" w:rsidRPr="006571AC">
        <w:rPr>
          <w:rFonts w:hint="cs"/>
          <w:sz w:val="27"/>
          <w:rtl/>
        </w:rPr>
        <w:t>إ</w:t>
      </w:r>
      <w:r w:rsidRPr="006571AC">
        <w:rPr>
          <w:rFonts w:hint="cs"/>
          <w:sz w:val="27"/>
          <w:rtl/>
        </w:rPr>
        <w:t>ن</w:t>
      </w:r>
      <w:r w:rsidR="00F85E0D" w:rsidRPr="006571AC">
        <w:rPr>
          <w:rFonts w:hint="cs"/>
          <w:sz w:val="27"/>
          <w:rtl/>
        </w:rPr>
        <w:t>ْ</w:t>
      </w:r>
      <w:r w:rsidRPr="006571AC">
        <w:rPr>
          <w:sz w:val="27"/>
          <w:rtl/>
        </w:rPr>
        <w:t xml:space="preserve"> </w:t>
      </w:r>
      <w:r w:rsidRPr="006571AC">
        <w:rPr>
          <w:rFonts w:hint="cs"/>
          <w:sz w:val="27"/>
          <w:rtl/>
        </w:rPr>
        <w:t>دخل</w:t>
      </w:r>
      <w:r w:rsidRPr="006571AC">
        <w:rPr>
          <w:sz w:val="27"/>
          <w:rtl/>
        </w:rPr>
        <w:t xml:space="preserve"> </w:t>
      </w:r>
      <w:r w:rsidRPr="006571AC">
        <w:rPr>
          <w:rFonts w:hint="cs"/>
          <w:sz w:val="27"/>
          <w:rtl/>
        </w:rPr>
        <w:t>استقر</w:t>
      </w:r>
      <w:r w:rsidR="00F85E0D" w:rsidRPr="006571AC">
        <w:rPr>
          <w:rFonts w:hint="cs"/>
          <w:sz w:val="27"/>
          <w:rtl/>
        </w:rPr>
        <w:t>ّ</w:t>
      </w:r>
      <w:r w:rsidRPr="006571AC">
        <w:rPr>
          <w:sz w:val="27"/>
          <w:rtl/>
        </w:rPr>
        <w:t xml:space="preserve"> </w:t>
      </w:r>
      <w:r w:rsidR="00F85E0D" w:rsidRPr="006571AC">
        <w:rPr>
          <w:rFonts w:hint="cs"/>
          <w:sz w:val="27"/>
          <w:rtl/>
        </w:rPr>
        <w:t>إ</w:t>
      </w:r>
      <w:r w:rsidRPr="006571AC">
        <w:rPr>
          <w:rFonts w:hint="cs"/>
          <w:sz w:val="27"/>
          <w:rtl/>
        </w:rPr>
        <w:t>ن</w:t>
      </w:r>
      <w:r w:rsidR="009543F3" w:rsidRPr="006571AC">
        <w:rPr>
          <w:rFonts w:hint="cs"/>
          <w:sz w:val="27"/>
          <w:rtl/>
        </w:rPr>
        <w:t>ْ</w:t>
      </w:r>
      <w:r w:rsidRPr="006571AC">
        <w:rPr>
          <w:sz w:val="27"/>
          <w:rtl/>
        </w:rPr>
        <w:t xml:space="preserve"> </w:t>
      </w:r>
      <w:r w:rsidRPr="006571AC">
        <w:rPr>
          <w:rFonts w:hint="cs"/>
          <w:sz w:val="27"/>
          <w:rtl/>
        </w:rPr>
        <w:t>و</w:t>
      </w:r>
      <w:r w:rsidR="00F85E0D" w:rsidRPr="006571AC">
        <w:rPr>
          <w:rFonts w:hint="cs"/>
          <w:sz w:val="27"/>
          <w:rtl/>
        </w:rPr>
        <w:t>َ</w:t>
      </w:r>
      <w:r w:rsidRPr="006571AC">
        <w:rPr>
          <w:rFonts w:hint="cs"/>
          <w:sz w:val="27"/>
          <w:rtl/>
        </w:rPr>
        <w:t>ف</w:t>
      </w:r>
      <w:r w:rsidR="00F85E0D" w:rsidRPr="006571AC">
        <w:rPr>
          <w:rFonts w:hint="cs"/>
          <w:sz w:val="27"/>
          <w:rtl/>
        </w:rPr>
        <w:t>َ</w:t>
      </w:r>
      <w:r w:rsidRPr="006571AC">
        <w:rPr>
          <w:rFonts w:hint="cs"/>
          <w:sz w:val="27"/>
          <w:rtl/>
        </w:rPr>
        <w:t>ت</w:t>
      </w:r>
      <w:r w:rsidR="00F85E0D" w:rsidRPr="006571AC">
        <w:rPr>
          <w:rFonts w:hint="cs"/>
          <w:sz w:val="27"/>
          <w:rtl/>
        </w:rPr>
        <w:t>ْ</w:t>
      </w:r>
      <w:r w:rsidRPr="006571AC">
        <w:rPr>
          <w:sz w:val="27"/>
          <w:rtl/>
        </w:rPr>
        <w:t xml:space="preserve"> </w:t>
      </w:r>
      <w:r w:rsidRPr="006571AC">
        <w:rPr>
          <w:rFonts w:hint="cs"/>
          <w:sz w:val="27"/>
          <w:rtl/>
        </w:rPr>
        <w:t>بالمد</w:t>
      </w:r>
      <w:r w:rsidR="00F85E0D" w:rsidRPr="006571AC">
        <w:rPr>
          <w:rFonts w:hint="cs"/>
          <w:sz w:val="27"/>
          <w:rtl/>
        </w:rPr>
        <w:t>ّ</w:t>
      </w:r>
      <w:r w:rsidRPr="006571AC">
        <w:rPr>
          <w:rFonts w:hint="cs"/>
          <w:sz w:val="27"/>
          <w:rtl/>
        </w:rPr>
        <w:t>ة</w:t>
      </w:r>
      <w:r w:rsidR="00F85E0D" w:rsidRPr="006571AC">
        <w:rPr>
          <w:rFonts w:hint="cs"/>
          <w:sz w:val="27"/>
          <w:rtl/>
        </w:rPr>
        <w:t>؛</w:t>
      </w:r>
      <w:r w:rsidRPr="006571AC">
        <w:rPr>
          <w:sz w:val="27"/>
          <w:rtl/>
        </w:rPr>
        <w:t xml:space="preserve"> و</w:t>
      </w:r>
      <w:r w:rsidR="00F85E0D" w:rsidRPr="006571AC">
        <w:rPr>
          <w:rFonts w:hint="cs"/>
          <w:sz w:val="27"/>
          <w:rtl/>
        </w:rPr>
        <w:t>إ</w:t>
      </w:r>
      <w:r w:rsidRPr="006571AC">
        <w:rPr>
          <w:rFonts w:hint="cs"/>
          <w:sz w:val="27"/>
          <w:rtl/>
        </w:rPr>
        <w:t>ن</w:t>
      </w:r>
      <w:r w:rsidR="00F85E0D" w:rsidRPr="006571AC">
        <w:rPr>
          <w:rFonts w:hint="cs"/>
          <w:sz w:val="27"/>
          <w:rtl/>
        </w:rPr>
        <w:t>ْ</w:t>
      </w:r>
      <w:r w:rsidRPr="006571AC">
        <w:rPr>
          <w:sz w:val="27"/>
          <w:rtl/>
        </w:rPr>
        <w:t xml:space="preserve"> </w:t>
      </w:r>
      <w:r w:rsidRPr="006571AC">
        <w:rPr>
          <w:rFonts w:hint="cs"/>
          <w:sz w:val="27"/>
          <w:rtl/>
        </w:rPr>
        <w:t>أخل</w:t>
      </w:r>
      <w:r w:rsidR="00F85E0D" w:rsidRPr="006571AC">
        <w:rPr>
          <w:rFonts w:hint="cs"/>
          <w:sz w:val="27"/>
          <w:rtl/>
        </w:rPr>
        <w:t>َّ</w:t>
      </w:r>
      <w:r w:rsidRPr="006571AC">
        <w:rPr>
          <w:rFonts w:hint="cs"/>
          <w:sz w:val="27"/>
          <w:rtl/>
        </w:rPr>
        <w:t>ت</w:t>
      </w:r>
      <w:r w:rsidR="00F85E0D" w:rsidRPr="006571AC">
        <w:rPr>
          <w:rFonts w:hint="cs"/>
          <w:sz w:val="27"/>
          <w:rtl/>
        </w:rPr>
        <w:t>ْ</w:t>
      </w:r>
      <w:r w:rsidRPr="006571AC">
        <w:rPr>
          <w:sz w:val="27"/>
          <w:rtl/>
        </w:rPr>
        <w:t xml:space="preserve"> </w:t>
      </w:r>
      <w:r w:rsidRPr="006571AC">
        <w:rPr>
          <w:rFonts w:hint="cs"/>
          <w:sz w:val="27"/>
          <w:rtl/>
        </w:rPr>
        <w:t>ببعضها</w:t>
      </w:r>
      <w:r w:rsidRPr="006571AC">
        <w:rPr>
          <w:sz w:val="27"/>
          <w:rtl/>
        </w:rPr>
        <w:t xml:space="preserve"> </w:t>
      </w:r>
      <w:r w:rsidRPr="006571AC">
        <w:rPr>
          <w:rFonts w:hint="cs"/>
          <w:sz w:val="27"/>
          <w:rtl/>
        </w:rPr>
        <w:t>وضع</w:t>
      </w:r>
      <w:r w:rsidRPr="006571AC">
        <w:rPr>
          <w:sz w:val="27"/>
          <w:rtl/>
        </w:rPr>
        <w:t xml:space="preserve"> </w:t>
      </w:r>
      <w:r w:rsidRPr="006571AC">
        <w:rPr>
          <w:rFonts w:hint="cs"/>
          <w:sz w:val="27"/>
          <w:rtl/>
        </w:rPr>
        <w:t>منه</w:t>
      </w:r>
      <w:r w:rsidRPr="006571AC">
        <w:rPr>
          <w:sz w:val="27"/>
          <w:rtl/>
        </w:rPr>
        <w:t xml:space="preserve"> </w:t>
      </w:r>
      <w:r w:rsidRPr="006571AC">
        <w:rPr>
          <w:rFonts w:hint="cs"/>
          <w:sz w:val="27"/>
          <w:rtl/>
        </w:rPr>
        <w:t>بنسبتها</w:t>
      </w:r>
      <w:r w:rsidR="00F85E0D" w:rsidRPr="006571AC">
        <w:rPr>
          <w:rFonts w:hint="cs"/>
          <w:sz w:val="27"/>
          <w:rtl/>
        </w:rPr>
        <w:t>.</w:t>
      </w:r>
      <w:r w:rsidRPr="006571AC">
        <w:rPr>
          <w:sz w:val="27"/>
          <w:rtl/>
        </w:rPr>
        <w:t xml:space="preserve"> و</w:t>
      </w:r>
      <w:r w:rsidRPr="006571AC">
        <w:rPr>
          <w:rFonts w:hint="cs"/>
          <w:sz w:val="27"/>
          <w:rtl/>
        </w:rPr>
        <w:t>لو</w:t>
      </w:r>
      <w:r w:rsidRPr="006571AC">
        <w:rPr>
          <w:sz w:val="27"/>
          <w:rtl/>
        </w:rPr>
        <w:t xml:space="preserve"> </w:t>
      </w:r>
      <w:r w:rsidRPr="006571AC">
        <w:rPr>
          <w:rFonts w:hint="cs"/>
          <w:sz w:val="27"/>
          <w:rtl/>
        </w:rPr>
        <w:t>وهبها</w:t>
      </w:r>
      <w:r w:rsidRPr="006571AC">
        <w:rPr>
          <w:sz w:val="27"/>
          <w:rtl/>
        </w:rPr>
        <w:t xml:space="preserve"> </w:t>
      </w:r>
      <w:r w:rsidRPr="006571AC">
        <w:rPr>
          <w:rFonts w:hint="cs"/>
          <w:sz w:val="27"/>
          <w:rtl/>
        </w:rPr>
        <w:t>المد</w:t>
      </w:r>
      <w:r w:rsidR="00F85E0D" w:rsidRPr="006571AC">
        <w:rPr>
          <w:rFonts w:hint="cs"/>
          <w:sz w:val="27"/>
          <w:rtl/>
        </w:rPr>
        <w:t>ّ</w:t>
      </w:r>
      <w:r w:rsidRPr="006571AC">
        <w:rPr>
          <w:rFonts w:hint="cs"/>
          <w:sz w:val="27"/>
          <w:rtl/>
        </w:rPr>
        <w:t>ة</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الدخول</w:t>
      </w:r>
      <w:r w:rsidRPr="006571AC">
        <w:rPr>
          <w:sz w:val="27"/>
          <w:rtl/>
        </w:rPr>
        <w:t xml:space="preserve"> </w:t>
      </w:r>
      <w:r w:rsidRPr="006571AC">
        <w:rPr>
          <w:rFonts w:hint="cs"/>
          <w:sz w:val="27"/>
          <w:rtl/>
        </w:rPr>
        <w:t>لزمه</w:t>
      </w:r>
      <w:r w:rsidRPr="006571AC">
        <w:rPr>
          <w:sz w:val="27"/>
          <w:rtl/>
        </w:rPr>
        <w:t xml:space="preserve"> </w:t>
      </w:r>
      <w:r w:rsidRPr="006571AC">
        <w:rPr>
          <w:rFonts w:hint="cs"/>
          <w:sz w:val="27"/>
          <w:rtl/>
        </w:rPr>
        <w:t>النصف</w:t>
      </w:r>
      <w:r w:rsidRPr="006571AC">
        <w:rPr>
          <w:sz w:val="27"/>
          <w:vertAlign w:val="superscript"/>
          <w:rtl/>
        </w:rPr>
        <w:t>(</w:t>
      </w:r>
      <w:r w:rsidRPr="006571AC">
        <w:rPr>
          <w:sz w:val="27"/>
          <w:vertAlign w:val="superscript"/>
          <w:rtl/>
        </w:rPr>
        <w:endnoteReference w:id="427"/>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420" w:lineRule="exact"/>
        <w:rPr>
          <w:sz w:val="27"/>
          <w:rtl/>
        </w:rPr>
      </w:pPr>
    </w:p>
    <w:p w:rsidR="00237EB1" w:rsidRPr="006571AC" w:rsidRDefault="00237EB1" w:rsidP="00F85E0D">
      <w:pPr>
        <w:pStyle w:val="31"/>
        <w:rPr>
          <w:color w:val="auto"/>
          <w:rtl/>
        </w:rPr>
      </w:pPr>
      <w:bookmarkStart w:id="229" w:name="_Toc79281914"/>
      <w:bookmarkStart w:id="230" w:name="_Toc114164690"/>
      <w:r w:rsidRPr="006571AC">
        <w:rPr>
          <w:color w:val="auto"/>
          <w:rtl/>
        </w:rPr>
        <w:t>حقيقة المهر في القانون الإيراني</w:t>
      </w:r>
      <w:bookmarkEnd w:id="229"/>
      <w:bookmarkEnd w:id="230"/>
      <w:r w:rsidRPr="006571AC">
        <w:rPr>
          <w:color w:val="auto"/>
          <w:rtl/>
        </w:rPr>
        <w:t xml:space="preserve"> </w:t>
      </w:r>
    </w:p>
    <w:p w:rsidR="00237EB1" w:rsidRPr="006571AC" w:rsidRDefault="00237EB1" w:rsidP="00E60D93">
      <w:pPr>
        <w:rPr>
          <w:sz w:val="27"/>
          <w:rtl/>
        </w:rPr>
      </w:pPr>
      <w:r w:rsidRPr="006571AC">
        <w:rPr>
          <w:rFonts w:hint="cs"/>
          <w:sz w:val="27"/>
          <w:rtl/>
        </w:rPr>
        <w:t xml:space="preserve"> إن حقيقة المهر في القانون الإيراني تكون ت</w:t>
      </w:r>
      <w:r w:rsidR="00F85E0D" w:rsidRPr="006571AC">
        <w:rPr>
          <w:rFonts w:hint="cs"/>
          <w:sz w:val="27"/>
          <w:rtl/>
        </w:rPr>
        <w:t>َ</w:t>
      </w:r>
      <w:r w:rsidRPr="006571AC">
        <w:rPr>
          <w:rFonts w:hint="cs"/>
          <w:sz w:val="27"/>
          <w:rtl/>
        </w:rPr>
        <w:t>ب</w:t>
      </w:r>
      <w:r w:rsidR="00F85E0D" w:rsidRPr="006571AC">
        <w:rPr>
          <w:rFonts w:hint="cs"/>
          <w:sz w:val="27"/>
          <w:rtl/>
        </w:rPr>
        <w:t>َ</w:t>
      </w:r>
      <w:r w:rsidRPr="006571AC">
        <w:rPr>
          <w:rFonts w:hint="cs"/>
          <w:sz w:val="27"/>
          <w:rtl/>
        </w:rPr>
        <w:t>عاً للفقه الإمامي</w:t>
      </w:r>
      <w:r w:rsidR="00F85E0D" w:rsidRPr="006571AC">
        <w:rPr>
          <w:rFonts w:hint="cs"/>
          <w:sz w:val="27"/>
          <w:rtl/>
        </w:rPr>
        <w:t>،</w:t>
      </w:r>
      <w:r w:rsidRPr="006571AC">
        <w:rPr>
          <w:rFonts w:hint="cs"/>
          <w:sz w:val="27"/>
          <w:rtl/>
        </w:rPr>
        <w:t xml:space="preserve"> لذلك ينصّ</w:t>
      </w:r>
      <w:r w:rsidRPr="006571AC">
        <w:rPr>
          <w:sz w:val="27"/>
          <w:rtl/>
        </w:rPr>
        <w:t xml:space="preserve"> </w:t>
      </w:r>
      <w:r w:rsidRPr="006571AC">
        <w:rPr>
          <w:rFonts w:hint="cs"/>
          <w:sz w:val="27"/>
          <w:rtl/>
        </w:rPr>
        <w:t>القانون</w:t>
      </w:r>
      <w:r w:rsidRPr="006571AC">
        <w:rPr>
          <w:sz w:val="27"/>
          <w:rtl/>
        </w:rPr>
        <w:t xml:space="preserve"> </w:t>
      </w:r>
      <w:r w:rsidRPr="006571AC">
        <w:rPr>
          <w:rFonts w:hint="cs"/>
          <w:sz w:val="27"/>
          <w:rtl/>
        </w:rPr>
        <w:t>المدني، في</w:t>
      </w:r>
      <w:r w:rsidRPr="006571AC">
        <w:rPr>
          <w:sz w:val="27"/>
          <w:rtl/>
        </w:rPr>
        <w:t xml:space="preserve"> </w:t>
      </w:r>
      <w:r w:rsidRPr="006571AC">
        <w:rPr>
          <w:rFonts w:hint="cs"/>
          <w:sz w:val="27"/>
          <w:rtl/>
        </w:rPr>
        <w:t>مادّته</w:t>
      </w:r>
      <w:r w:rsidRPr="006571AC">
        <w:rPr>
          <w:sz w:val="27"/>
          <w:rtl/>
        </w:rPr>
        <w:t xml:space="preserve"> 1078</w:t>
      </w:r>
      <w:r w:rsidR="00F85E0D" w:rsidRPr="006571AC">
        <w:rPr>
          <w:rFonts w:hint="cs"/>
          <w:sz w:val="27"/>
          <w:rtl/>
        </w:rPr>
        <w:t>،</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w:t>
      </w:r>
      <w:r w:rsidRPr="006571AC">
        <w:rPr>
          <w:sz w:val="27"/>
          <w:rtl/>
        </w:rPr>
        <w:t xml:space="preserve"> </w:t>
      </w:r>
      <w:r w:rsidRPr="006571AC">
        <w:rPr>
          <w:sz w:val="24"/>
          <w:szCs w:val="24"/>
          <w:rtl/>
        </w:rPr>
        <w:t>«</w:t>
      </w:r>
      <w:r w:rsidRPr="006571AC">
        <w:rPr>
          <w:rFonts w:hint="cs"/>
          <w:sz w:val="27"/>
          <w:rtl/>
        </w:rPr>
        <w:t>كلّ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ماليّة، ويكون</w:t>
      </w:r>
      <w:r w:rsidRPr="006571AC">
        <w:rPr>
          <w:sz w:val="27"/>
          <w:rtl/>
        </w:rPr>
        <w:t xml:space="preserve"> </w:t>
      </w:r>
      <w:r w:rsidRPr="006571AC">
        <w:rPr>
          <w:rFonts w:hint="cs"/>
          <w:sz w:val="27"/>
          <w:rtl/>
        </w:rPr>
        <w:t>قابلاً</w:t>
      </w:r>
      <w:r w:rsidRPr="006571AC">
        <w:rPr>
          <w:sz w:val="27"/>
          <w:rtl/>
        </w:rPr>
        <w:t xml:space="preserve"> </w:t>
      </w:r>
      <w:r w:rsidRPr="006571AC">
        <w:rPr>
          <w:rFonts w:hint="cs"/>
          <w:sz w:val="27"/>
          <w:rtl/>
        </w:rPr>
        <w:t>للتملّ</w:t>
      </w:r>
      <w:r w:rsidR="00F85E0D" w:rsidRPr="006571AC">
        <w:rPr>
          <w:rFonts w:hint="cs"/>
          <w:sz w:val="27"/>
          <w:rtl/>
        </w:rPr>
        <w:t>ُ</w:t>
      </w:r>
      <w:r w:rsidRPr="006571AC">
        <w:rPr>
          <w:rFonts w:hint="cs"/>
          <w:sz w:val="27"/>
          <w:rtl/>
        </w:rPr>
        <w:t>ك، يمكن</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مهراً</w:t>
      </w:r>
      <w:r w:rsidRPr="006571AC">
        <w:rPr>
          <w:rFonts w:hint="eastAsia"/>
          <w:sz w:val="24"/>
          <w:szCs w:val="24"/>
          <w:rtl/>
        </w:rPr>
        <w:t>»</w:t>
      </w:r>
      <w:r w:rsidRPr="006571AC">
        <w:rPr>
          <w:sz w:val="27"/>
          <w:rtl/>
        </w:rPr>
        <w:t xml:space="preserve">. </w:t>
      </w:r>
    </w:p>
    <w:p w:rsidR="00237EB1" w:rsidRPr="006571AC" w:rsidRDefault="00237EB1" w:rsidP="00E60D93">
      <w:pPr>
        <w:rPr>
          <w:sz w:val="27"/>
          <w:rtl/>
        </w:rPr>
      </w:pPr>
      <w:r w:rsidRPr="006571AC">
        <w:rPr>
          <w:sz w:val="27"/>
          <w:rtl/>
        </w:rPr>
        <w:t xml:space="preserve"> </w:t>
      </w:r>
      <w:r w:rsidRPr="006571AC">
        <w:rPr>
          <w:rFonts w:hint="cs"/>
          <w:sz w:val="27"/>
          <w:rtl/>
        </w:rPr>
        <w:t>بناءً على تلك الماد</w:t>
      </w:r>
      <w:r w:rsidR="00F85E0D" w:rsidRPr="006571AC">
        <w:rPr>
          <w:rFonts w:hint="cs"/>
          <w:sz w:val="27"/>
          <w:rtl/>
        </w:rPr>
        <w:t>ّ</w:t>
      </w:r>
      <w:r w:rsidRPr="006571AC">
        <w:rPr>
          <w:rFonts w:hint="cs"/>
          <w:sz w:val="27"/>
          <w:rtl/>
        </w:rPr>
        <w:t>ة المطب</w:t>
      </w:r>
      <w:r w:rsidR="00F85E0D" w:rsidRPr="006571AC">
        <w:rPr>
          <w:rFonts w:hint="cs"/>
          <w:sz w:val="27"/>
          <w:rtl/>
        </w:rPr>
        <w:t>َّ</w:t>
      </w:r>
      <w:r w:rsidRPr="006571AC">
        <w:rPr>
          <w:rFonts w:hint="cs"/>
          <w:sz w:val="27"/>
          <w:rtl/>
        </w:rPr>
        <w:t xml:space="preserve">قة في القانون المدني الإيراني يمكن القول: </w:t>
      </w:r>
      <w:r w:rsidR="00F85E0D" w:rsidRPr="006571AC">
        <w:rPr>
          <w:rFonts w:hint="cs"/>
          <w:sz w:val="27"/>
          <w:rtl/>
        </w:rPr>
        <w:t>إ</w:t>
      </w:r>
      <w:r w:rsidRPr="006571AC">
        <w:rPr>
          <w:rFonts w:hint="cs"/>
          <w:sz w:val="27"/>
          <w:rtl/>
        </w:rPr>
        <w:t>نّ المهر</w:t>
      </w:r>
      <w:r w:rsidR="00F85E0D" w:rsidRPr="006571AC">
        <w:rPr>
          <w:rFonts w:hint="cs"/>
          <w:sz w:val="27"/>
          <w:rtl/>
        </w:rPr>
        <w:t>؛</w:t>
      </w:r>
      <w:r w:rsidRPr="006571AC">
        <w:rPr>
          <w:rFonts w:hint="cs"/>
          <w:sz w:val="27"/>
          <w:rtl/>
        </w:rPr>
        <w:t xml:space="preserve"> ت</w:t>
      </w:r>
      <w:r w:rsidR="00F85E0D" w:rsidRPr="006571AC">
        <w:rPr>
          <w:rFonts w:hint="cs"/>
          <w:sz w:val="27"/>
          <w:rtl/>
        </w:rPr>
        <w:t>َ</w:t>
      </w:r>
      <w:r w:rsidRPr="006571AC">
        <w:rPr>
          <w:rFonts w:hint="cs"/>
          <w:sz w:val="27"/>
          <w:rtl/>
        </w:rPr>
        <w:t>ب</w:t>
      </w:r>
      <w:r w:rsidR="00F85E0D" w:rsidRPr="006571AC">
        <w:rPr>
          <w:rFonts w:hint="cs"/>
          <w:sz w:val="27"/>
          <w:rtl/>
        </w:rPr>
        <w:t>َ</w:t>
      </w:r>
      <w:r w:rsidRPr="006571AC">
        <w:rPr>
          <w:rFonts w:hint="cs"/>
          <w:sz w:val="27"/>
          <w:rtl/>
        </w:rPr>
        <w:t xml:space="preserve">عاً لعقد النكاح، يجب </w:t>
      </w:r>
      <w:r w:rsidR="00F85E0D" w:rsidRPr="006571AC">
        <w:rPr>
          <w:rFonts w:hint="cs"/>
          <w:sz w:val="27"/>
          <w:rtl/>
        </w:rPr>
        <w:t>أ</w:t>
      </w:r>
      <w:r w:rsidRPr="006571AC">
        <w:rPr>
          <w:rFonts w:hint="cs"/>
          <w:sz w:val="27"/>
          <w:rtl/>
        </w:rPr>
        <w:t>ن يكون له مالي</w:t>
      </w:r>
      <w:r w:rsidR="00F85E0D" w:rsidRPr="006571AC">
        <w:rPr>
          <w:rFonts w:hint="cs"/>
          <w:sz w:val="27"/>
          <w:rtl/>
        </w:rPr>
        <w:t>ّ</w:t>
      </w:r>
      <w:r w:rsidRPr="006571AC">
        <w:rPr>
          <w:rFonts w:hint="cs"/>
          <w:sz w:val="27"/>
          <w:rtl/>
        </w:rPr>
        <w:t>ة</w:t>
      </w:r>
      <w:r w:rsidR="00F85E0D" w:rsidRPr="006571AC">
        <w:rPr>
          <w:rFonts w:hint="cs"/>
          <w:sz w:val="27"/>
          <w:rtl/>
        </w:rPr>
        <w:t>ٌ،</w:t>
      </w:r>
      <w:r w:rsidRPr="006571AC">
        <w:rPr>
          <w:rFonts w:hint="cs"/>
          <w:sz w:val="27"/>
          <w:rtl/>
        </w:rPr>
        <w:t xml:space="preserve"> وبالتالي يصبح ملكاً</w:t>
      </w:r>
      <w:r w:rsidRPr="006571AC">
        <w:rPr>
          <w:sz w:val="27"/>
          <w:rtl/>
        </w:rPr>
        <w:t xml:space="preserve"> </w:t>
      </w:r>
      <w:r w:rsidRPr="006571AC">
        <w:rPr>
          <w:rFonts w:hint="cs"/>
          <w:sz w:val="27"/>
          <w:rtl/>
        </w:rPr>
        <w:t>للمرأة، أو</w:t>
      </w:r>
      <w:r w:rsidRPr="006571AC">
        <w:rPr>
          <w:sz w:val="27"/>
          <w:rtl/>
        </w:rPr>
        <w:t xml:space="preserve"> </w:t>
      </w:r>
      <w:r w:rsidRPr="006571AC">
        <w:rPr>
          <w:rFonts w:hint="cs"/>
          <w:sz w:val="27"/>
          <w:rtl/>
        </w:rPr>
        <w:t>حقّاً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 xml:space="preserve">حقوقها، </w:t>
      </w:r>
      <w:r w:rsidR="00F85E0D" w:rsidRPr="006571AC">
        <w:rPr>
          <w:rFonts w:hint="cs"/>
          <w:sz w:val="27"/>
          <w:rtl/>
        </w:rPr>
        <w:t>أ</w:t>
      </w:r>
      <w:r w:rsidRPr="006571AC">
        <w:rPr>
          <w:rFonts w:hint="cs"/>
          <w:sz w:val="27"/>
          <w:rtl/>
        </w:rPr>
        <w:t xml:space="preserve">مّا الأشياء الفاقدة لوصف المالية </w:t>
      </w:r>
      <w:r w:rsidR="00F85E0D" w:rsidRPr="006571AC">
        <w:rPr>
          <w:rFonts w:hint="cs"/>
          <w:sz w:val="27"/>
          <w:rtl/>
        </w:rPr>
        <w:t>ف</w:t>
      </w:r>
      <w:r w:rsidRPr="006571AC">
        <w:rPr>
          <w:rFonts w:hint="cs"/>
          <w:sz w:val="27"/>
          <w:rtl/>
        </w:rPr>
        <w:t>لا تصلح أن تكون مهرا</w:t>
      </w:r>
      <w:r w:rsidR="00F85E0D" w:rsidRPr="006571AC">
        <w:rPr>
          <w:rFonts w:hint="cs"/>
          <w:sz w:val="27"/>
          <w:rtl/>
        </w:rPr>
        <w:t>ً</w:t>
      </w:r>
      <w:r w:rsidRPr="006571AC">
        <w:rPr>
          <w:rFonts w:hint="cs"/>
          <w:sz w:val="27"/>
          <w:rtl/>
        </w:rPr>
        <w:t xml:space="preserve">. </w:t>
      </w:r>
    </w:p>
    <w:p w:rsidR="00237EB1" w:rsidRPr="006571AC" w:rsidRDefault="00237EB1" w:rsidP="00311177">
      <w:pPr>
        <w:spacing w:line="430" w:lineRule="exact"/>
        <w:rPr>
          <w:sz w:val="27"/>
          <w:rtl/>
        </w:rPr>
      </w:pPr>
    </w:p>
    <w:p w:rsidR="00237EB1" w:rsidRPr="006571AC" w:rsidRDefault="00237EB1" w:rsidP="00F85E0D">
      <w:pPr>
        <w:pStyle w:val="31"/>
        <w:rPr>
          <w:color w:val="auto"/>
          <w:rtl/>
        </w:rPr>
      </w:pPr>
      <w:r w:rsidRPr="006571AC">
        <w:rPr>
          <w:color w:val="auto"/>
          <w:rtl/>
        </w:rPr>
        <w:t xml:space="preserve"> </w:t>
      </w:r>
      <w:bookmarkStart w:id="231" w:name="_Toc114164691"/>
      <w:bookmarkStart w:id="232" w:name="_Toc79281915"/>
      <w:r w:rsidRPr="006571AC">
        <w:rPr>
          <w:color w:val="auto"/>
          <w:rtl/>
        </w:rPr>
        <w:t>شرائط المهر في الفقه الإمامي</w:t>
      </w:r>
      <w:bookmarkEnd w:id="231"/>
      <w:r w:rsidRPr="006571AC">
        <w:rPr>
          <w:color w:val="auto"/>
          <w:rtl/>
        </w:rPr>
        <w:t xml:space="preserve"> </w:t>
      </w:r>
      <w:bookmarkEnd w:id="232"/>
    </w:p>
    <w:p w:rsidR="00237EB1" w:rsidRPr="006571AC" w:rsidRDefault="00237EB1" w:rsidP="00E60D93">
      <w:pPr>
        <w:rPr>
          <w:sz w:val="27"/>
          <w:rtl/>
        </w:rPr>
      </w:pPr>
      <w:bookmarkStart w:id="233" w:name="_Toc79281916"/>
      <w:bookmarkStart w:id="234" w:name="_Toc114164692"/>
      <w:r w:rsidRPr="006571AC">
        <w:rPr>
          <w:rStyle w:val="1Char"/>
          <w:rFonts w:cs="AL-Mohanad" w:hint="cs"/>
          <w:sz w:val="27"/>
          <w:szCs w:val="27"/>
          <w:rtl/>
        </w:rPr>
        <w:t>1ـ يشترط</w:t>
      </w:r>
      <w:r w:rsidRPr="006571AC">
        <w:rPr>
          <w:rStyle w:val="1Char"/>
          <w:rFonts w:cs="AL-Mohanad"/>
          <w:sz w:val="27"/>
          <w:szCs w:val="27"/>
          <w:rtl/>
        </w:rPr>
        <w:t xml:space="preserve"> </w:t>
      </w:r>
      <w:r w:rsidRPr="006571AC">
        <w:rPr>
          <w:rStyle w:val="1Char"/>
          <w:rFonts w:cs="AL-Mohanad" w:hint="cs"/>
          <w:sz w:val="27"/>
          <w:szCs w:val="27"/>
          <w:rtl/>
        </w:rPr>
        <w:t>في</w:t>
      </w:r>
      <w:r w:rsidRPr="006571AC">
        <w:rPr>
          <w:rStyle w:val="1Char"/>
          <w:rFonts w:cs="AL-Mohanad"/>
          <w:sz w:val="27"/>
          <w:szCs w:val="27"/>
          <w:rtl/>
        </w:rPr>
        <w:t xml:space="preserve"> </w:t>
      </w:r>
      <w:r w:rsidRPr="006571AC">
        <w:rPr>
          <w:rStyle w:val="1Char"/>
          <w:rFonts w:cs="AL-Mohanad" w:hint="cs"/>
          <w:sz w:val="27"/>
          <w:szCs w:val="27"/>
          <w:rtl/>
        </w:rPr>
        <w:t>المهر</w:t>
      </w:r>
      <w:r w:rsidRPr="006571AC">
        <w:rPr>
          <w:rStyle w:val="1Char"/>
          <w:rFonts w:cs="AL-Mohanad"/>
          <w:sz w:val="27"/>
          <w:szCs w:val="27"/>
          <w:rtl/>
        </w:rPr>
        <w:t xml:space="preserve"> </w:t>
      </w:r>
      <w:r w:rsidRPr="006571AC">
        <w:rPr>
          <w:rStyle w:val="1Char"/>
          <w:rFonts w:cs="AL-Mohanad" w:hint="cs"/>
          <w:sz w:val="27"/>
          <w:szCs w:val="27"/>
          <w:rtl/>
        </w:rPr>
        <w:t>أن</w:t>
      </w:r>
      <w:r w:rsidRPr="006571AC">
        <w:rPr>
          <w:rStyle w:val="1Char"/>
          <w:rFonts w:cs="AL-Mohanad"/>
          <w:sz w:val="27"/>
          <w:szCs w:val="27"/>
          <w:rtl/>
        </w:rPr>
        <w:t xml:space="preserve"> </w:t>
      </w:r>
      <w:r w:rsidRPr="006571AC">
        <w:rPr>
          <w:rStyle w:val="1Char"/>
          <w:rFonts w:cs="AL-Mohanad" w:hint="cs"/>
          <w:sz w:val="27"/>
          <w:szCs w:val="27"/>
          <w:rtl/>
        </w:rPr>
        <w:t>يكون</w:t>
      </w:r>
      <w:r w:rsidRPr="006571AC">
        <w:rPr>
          <w:rStyle w:val="1Char"/>
          <w:rFonts w:cs="AL-Mohanad"/>
          <w:sz w:val="27"/>
          <w:szCs w:val="27"/>
          <w:rtl/>
        </w:rPr>
        <w:t xml:space="preserve"> </w:t>
      </w:r>
      <w:r w:rsidRPr="006571AC">
        <w:rPr>
          <w:rStyle w:val="1Char"/>
          <w:rFonts w:cs="AL-Mohanad" w:hint="cs"/>
          <w:sz w:val="27"/>
          <w:szCs w:val="27"/>
          <w:rtl/>
        </w:rPr>
        <w:t>مم</w:t>
      </w:r>
      <w:r w:rsidR="00F85E0D" w:rsidRPr="006571AC">
        <w:rPr>
          <w:rStyle w:val="1Char"/>
          <w:rFonts w:cs="AL-Mohanad" w:hint="cs"/>
          <w:sz w:val="27"/>
          <w:szCs w:val="27"/>
          <w:rtl/>
        </w:rPr>
        <w:t>ّ</w:t>
      </w:r>
      <w:r w:rsidRPr="006571AC">
        <w:rPr>
          <w:rStyle w:val="1Char"/>
          <w:rFonts w:cs="AL-Mohanad" w:hint="cs"/>
          <w:sz w:val="27"/>
          <w:szCs w:val="27"/>
          <w:rtl/>
        </w:rPr>
        <w:t>ا</w:t>
      </w:r>
      <w:r w:rsidRPr="006571AC">
        <w:rPr>
          <w:rStyle w:val="1Char"/>
          <w:rFonts w:cs="AL-Mohanad"/>
          <w:sz w:val="27"/>
          <w:szCs w:val="27"/>
          <w:rtl/>
        </w:rPr>
        <w:t xml:space="preserve"> </w:t>
      </w:r>
      <w:r w:rsidRPr="006571AC">
        <w:rPr>
          <w:rStyle w:val="1Char"/>
          <w:rFonts w:cs="AL-Mohanad" w:hint="cs"/>
          <w:sz w:val="27"/>
          <w:szCs w:val="27"/>
          <w:rtl/>
        </w:rPr>
        <w:t>يملكه</w:t>
      </w:r>
      <w:r w:rsidRPr="006571AC">
        <w:rPr>
          <w:rStyle w:val="1Char"/>
          <w:rFonts w:cs="AL-Mohanad"/>
          <w:sz w:val="27"/>
          <w:szCs w:val="27"/>
          <w:rtl/>
        </w:rPr>
        <w:t xml:space="preserve"> </w:t>
      </w:r>
      <w:r w:rsidRPr="006571AC">
        <w:rPr>
          <w:rStyle w:val="1Char"/>
          <w:rFonts w:cs="AL-Mohanad" w:hint="cs"/>
          <w:sz w:val="27"/>
          <w:szCs w:val="27"/>
          <w:rtl/>
        </w:rPr>
        <w:t>المتعاقدان</w:t>
      </w:r>
      <w:bookmarkEnd w:id="233"/>
      <w:bookmarkEnd w:id="234"/>
      <w:r w:rsidRPr="006571AC">
        <w:rPr>
          <w:rFonts w:hint="cs"/>
          <w:sz w:val="27"/>
          <w:rtl/>
        </w:rPr>
        <w:t>، فلا</w:t>
      </w:r>
      <w:r w:rsidRPr="006571AC">
        <w:rPr>
          <w:sz w:val="27"/>
          <w:rtl/>
        </w:rPr>
        <w:t xml:space="preserve"> </w:t>
      </w:r>
      <w:r w:rsidRPr="006571AC">
        <w:rPr>
          <w:rFonts w:hint="cs"/>
          <w:sz w:val="27"/>
          <w:rtl/>
        </w:rPr>
        <w:t>يصح</w:t>
      </w:r>
      <w:r w:rsidR="00F85E0D" w:rsidRPr="006571AC">
        <w:rPr>
          <w:rFonts w:hint="cs"/>
          <w:sz w:val="27"/>
          <w:rtl/>
        </w:rPr>
        <w:t>ّ</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للمسلم</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الخمر</w:t>
      </w:r>
      <w:r w:rsidRPr="006571AC">
        <w:rPr>
          <w:sz w:val="27"/>
          <w:rtl/>
        </w:rPr>
        <w:t xml:space="preserve"> و</w:t>
      </w:r>
      <w:r w:rsidRPr="006571AC">
        <w:rPr>
          <w:rFonts w:hint="cs"/>
          <w:sz w:val="27"/>
          <w:rtl/>
        </w:rPr>
        <w:t>الخنزير</w:t>
      </w:r>
      <w:r w:rsidRPr="006571AC">
        <w:rPr>
          <w:sz w:val="27"/>
          <w:rtl/>
        </w:rPr>
        <w:t>. و</w:t>
      </w:r>
      <w:r w:rsidRPr="006571AC">
        <w:rPr>
          <w:rFonts w:hint="cs"/>
          <w:sz w:val="27"/>
          <w:rtl/>
        </w:rPr>
        <w:t>يشترط</w:t>
      </w:r>
      <w:r w:rsidRPr="006571AC">
        <w:rPr>
          <w:sz w:val="27"/>
          <w:rtl/>
        </w:rPr>
        <w:t xml:space="preserve"> </w:t>
      </w:r>
      <w:r w:rsidRPr="006571AC">
        <w:rPr>
          <w:rFonts w:hint="cs"/>
          <w:sz w:val="27"/>
          <w:rtl/>
        </w:rPr>
        <w:t>كونه</w:t>
      </w:r>
      <w:r w:rsidRPr="006571AC">
        <w:rPr>
          <w:sz w:val="27"/>
          <w:rtl/>
        </w:rPr>
        <w:t xml:space="preserve"> </w:t>
      </w:r>
      <w:r w:rsidRPr="006571AC">
        <w:rPr>
          <w:rFonts w:hint="cs"/>
          <w:sz w:val="27"/>
          <w:rtl/>
        </w:rPr>
        <w:t>مملوكا</w:t>
      </w:r>
      <w:r w:rsidR="00F85E0D" w:rsidRPr="006571AC">
        <w:rPr>
          <w:rFonts w:hint="cs"/>
          <w:sz w:val="27"/>
          <w:rtl/>
        </w:rPr>
        <w:t>ً</w:t>
      </w:r>
      <w:r w:rsidRPr="006571AC">
        <w:rPr>
          <w:sz w:val="27"/>
          <w:rtl/>
        </w:rPr>
        <w:t xml:space="preserve"> </w:t>
      </w:r>
      <w:r w:rsidRPr="006571AC">
        <w:rPr>
          <w:rFonts w:hint="cs"/>
          <w:sz w:val="27"/>
          <w:rtl/>
        </w:rPr>
        <w:t>للعاقد، فلو</w:t>
      </w:r>
      <w:r w:rsidRPr="006571AC">
        <w:rPr>
          <w:sz w:val="27"/>
          <w:rtl/>
        </w:rPr>
        <w:t xml:space="preserve"> </w:t>
      </w:r>
      <w:r w:rsidRPr="006571AC">
        <w:rPr>
          <w:rFonts w:hint="cs"/>
          <w:sz w:val="27"/>
          <w:rtl/>
        </w:rPr>
        <w:t>عقد</w:t>
      </w:r>
      <w:r w:rsidRPr="006571AC">
        <w:rPr>
          <w:sz w:val="27"/>
          <w:rtl/>
        </w:rPr>
        <w:t xml:space="preserve"> </w:t>
      </w:r>
      <w:r w:rsidRPr="006571AC">
        <w:rPr>
          <w:rFonts w:hint="cs"/>
          <w:sz w:val="27"/>
          <w:rtl/>
        </w:rPr>
        <w:t>لنفسه</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مال</w:t>
      </w:r>
      <w:r w:rsidRPr="006571AC">
        <w:rPr>
          <w:sz w:val="27"/>
          <w:rtl/>
        </w:rPr>
        <w:t xml:space="preserve"> </w:t>
      </w:r>
      <w:r w:rsidRPr="006571AC">
        <w:rPr>
          <w:rFonts w:hint="cs"/>
          <w:sz w:val="27"/>
          <w:rtl/>
        </w:rPr>
        <w:t>الغير</w:t>
      </w:r>
      <w:r w:rsidRPr="006571AC">
        <w:rPr>
          <w:sz w:val="27"/>
          <w:rtl/>
        </w:rPr>
        <w:t xml:space="preserve"> </w:t>
      </w:r>
      <w:r w:rsidRPr="006571AC">
        <w:rPr>
          <w:rFonts w:hint="cs"/>
          <w:sz w:val="27"/>
          <w:rtl/>
        </w:rPr>
        <w:lastRenderedPageBreak/>
        <w:t>لم</w:t>
      </w:r>
      <w:r w:rsidRPr="006571AC">
        <w:rPr>
          <w:sz w:val="27"/>
          <w:rtl/>
        </w:rPr>
        <w:t xml:space="preserve"> </w:t>
      </w:r>
      <w:r w:rsidRPr="006571AC">
        <w:rPr>
          <w:rFonts w:hint="cs"/>
          <w:sz w:val="27"/>
          <w:rtl/>
        </w:rPr>
        <w:t>يصح</w:t>
      </w:r>
      <w:r w:rsidR="00F85E0D" w:rsidRPr="006571AC">
        <w:rPr>
          <w:rFonts w:hint="cs"/>
          <w:sz w:val="27"/>
          <w:rtl/>
        </w:rPr>
        <w:t>ّ؛</w:t>
      </w:r>
      <w:r w:rsidRPr="006571AC">
        <w:rPr>
          <w:rFonts w:hint="cs"/>
          <w:sz w:val="27"/>
          <w:rtl/>
        </w:rPr>
        <w:t xml:space="preserve"> لامتناع</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يملك</w:t>
      </w:r>
      <w:r w:rsidRPr="006571AC">
        <w:rPr>
          <w:sz w:val="27"/>
          <w:rtl/>
        </w:rPr>
        <w:t xml:space="preserve"> </w:t>
      </w:r>
      <w:r w:rsidRPr="006571AC">
        <w:rPr>
          <w:rFonts w:hint="cs"/>
          <w:sz w:val="27"/>
          <w:rtl/>
        </w:rPr>
        <w:t>البضع</w:t>
      </w:r>
      <w:r w:rsidRPr="006571AC">
        <w:rPr>
          <w:sz w:val="27"/>
          <w:rtl/>
        </w:rPr>
        <w:t xml:space="preserve"> </w:t>
      </w:r>
      <w:r w:rsidRPr="006571AC">
        <w:rPr>
          <w:rFonts w:hint="cs"/>
          <w:sz w:val="27"/>
          <w:rtl/>
        </w:rPr>
        <w:t>بمال</w:t>
      </w:r>
      <w:r w:rsidRPr="006571AC">
        <w:rPr>
          <w:sz w:val="27"/>
          <w:rtl/>
        </w:rPr>
        <w:t xml:space="preserve"> </w:t>
      </w:r>
      <w:r w:rsidRPr="006571AC">
        <w:rPr>
          <w:rFonts w:hint="cs"/>
          <w:sz w:val="27"/>
          <w:rtl/>
        </w:rPr>
        <w:t>غيره، ولا</w:t>
      </w:r>
      <w:r w:rsidRPr="006571AC">
        <w:rPr>
          <w:sz w:val="27"/>
          <w:rtl/>
        </w:rPr>
        <w:t xml:space="preserve"> </w:t>
      </w:r>
      <w:r w:rsidRPr="006571AC">
        <w:rPr>
          <w:rFonts w:hint="cs"/>
          <w:sz w:val="27"/>
          <w:rtl/>
        </w:rPr>
        <w:t>أثر</w:t>
      </w:r>
      <w:r w:rsidRPr="006571AC">
        <w:rPr>
          <w:sz w:val="27"/>
          <w:rtl/>
        </w:rPr>
        <w:t xml:space="preserve"> </w:t>
      </w:r>
      <w:r w:rsidRPr="006571AC">
        <w:rPr>
          <w:rFonts w:hint="cs"/>
          <w:sz w:val="27"/>
          <w:rtl/>
        </w:rPr>
        <w:t>لرضا</w:t>
      </w:r>
      <w:r w:rsidRPr="006571AC">
        <w:rPr>
          <w:sz w:val="27"/>
          <w:rtl/>
        </w:rPr>
        <w:t xml:space="preserve"> </w:t>
      </w:r>
      <w:r w:rsidRPr="006571AC">
        <w:rPr>
          <w:rFonts w:hint="cs"/>
          <w:sz w:val="27"/>
          <w:rtl/>
        </w:rPr>
        <w:t>المالك</w:t>
      </w:r>
      <w:r w:rsidRPr="006571AC">
        <w:rPr>
          <w:sz w:val="27"/>
          <w:rtl/>
        </w:rPr>
        <w:t xml:space="preserve"> </w:t>
      </w:r>
      <w:r w:rsidRPr="006571AC">
        <w:rPr>
          <w:rFonts w:hint="cs"/>
          <w:sz w:val="27"/>
          <w:rtl/>
        </w:rPr>
        <w:t>بعد</w:t>
      </w:r>
      <w:r w:rsidRPr="006571AC">
        <w:rPr>
          <w:sz w:val="27"/>
          <w:rtl/>
        </w:rPr>
        <w:t xml:space="preserve"> </w:t>
      </w:r>
      <w:r w:rsidRPr="006571AC">
        <w:rPr>
          <w:rFonts w:hint="cs"/>
          <w:sz w:val="27"/>
          <w:rtl/>
        </w:rPr>
        <w:t>العقد</w:t>
      </w:r>
      <w:r w:rsidRPr="006571AC">
        <w:rPr>
          <w:sz w:val="27"/>
          <w:rtl/>
        </w:rPr>
        <w:t xml:space="preserve">. </w:t>
      </w:r>
    </w:p>
    <w:p w:rsidR="00237EB1" w:rsidRPr="006571AC" w:rsidRDefault="00237EB1" w:rsidP="00E60D93">
      <w:pPr>
        <w:rPr>
          <w:sz w:val="27"/>
          <w:rtl/>
        </w:rPr>
      </w:pPr>
      <w:bookmarkStart w:id="235" w:name="_Toc79281917"/>
      <w:bookmarkStart w:id="236" w:name="_Toc114164693"/>
      <w:r w:rsidRPr="006571AC">
        <w:rPr>
          <w:rStyle w:val="1Char"/>
          <w:rFonts w:cs="AL-Mohanad" w:hint="cs"/>
          <w:sz w:val="27"/>
          <w:szCs w:val="27"/>
          <w:rtl/>
        </w:rPr>
        <w:t>2ـ يشترط</w:t>
      </w:r>
      <w:r w:rsidRPr="006571AC">
        <w:rPr>
          <w:rStyle w:val="1Char"/>
          <w:rFonts w:cs="AL-Mohanad"/>
          <w:sz w:val="27"/>
          <w:szCs w:val="27"/>
          <w:rtl/>
        </w:rPr>
        <w:t xml:space="preserve"> </w:t>
      </w:r>
      <w:r w:rsidRPr="006571AC">
        <w:rPr>
          <w:rStyle w:val="1Char"/>
          <w:rFonts w:cs="AL-Mohanad" w:hint="cs"/>
          <w:sz w:val="27"/>
          <w:szCs w:val="27"/>
          <w:rtl/>
        </w:rPr>
        <w:t>العلم</w:t>
      </w:r>
      <w:r w:rsidRPr="006571AC">
        <w:rPr>
          <w:rStyle w:val="1Char"/>
          <w:rFonts w:cs="AL-Mohanad"/>
          <w:sz w:val="27"/>
          <w:szCs w:val="27"/>
          <w:rtl/>
        </w:rPr>
        <w:t xml:space="preserve"> </w:t>
      </w:r>
      <w:r w:rsidRPr="006571AC">
        <w:rPr>
          <w:rStyle w:val="1Char"/>
          <w:rFonts w:cs="AL-Mohanad" w:hint="cs"/>
          <w:sz w:val="27"/>
          <w:szCs w:val="27"/>
          <w:rtl/>
        </w:rPr>
        <w:t>بق</w:t>
      </w:r>
      <w:r w:rsidR="0003398D" w:rsidRPr="006571AC">
        <w:rPr>
          <w:rStyle w:val="1Char"/>
          <w:rFonts w:cs="AL-Mohanad" w:hint="cs"/>
          <w:sz w:val="27"/>
          <w:szCs w:val="27"/>
          <w:rtl/>
        </w:rPr>
        <w:t>َ</w:t>
      </w:r>
      <w:r w:rsidRPr="006571AC">
        <w:rPr>
          <w:rStyle w:val="1Char"/>
          <w:rFonts w:cs="AL-Mohanad" w:hint="cs"/>
          <w:sz w:val="27"/>
          <w:szCs w:val="27"/>
          <w:rtl/>
        </w:rPr>
        <w:t>د</w:t>
      </w:r>
      <w:r w:rsidR="0003398D" w:rsidRPr="006571AC">
        <w:rPr>
          <w:rStyle w:val="1Char"/>
          <w:rFonts w:cs="AL-Mohanad" w:hint="cs"/>
          <w:sz w:val="27"/>
          <w:szCs w:val="27"/>
          <w:rtl/>
        </w:rPr>
        <w:t>ْ</w:t>
      </w:r>
      <w:r w:rsidRPr="006571AC">
        <w:rPr>
          <w:rStyle w:val="1Char"/>
          <w:rFonts w:cs="AL-Mohanad" w:hint="cs"/>
          <w:sz w:val="27"/>
          <w:szCs w:val="27"/>
          <w:rtl/>
        </w:rPr>
        <w:t>ره</w:t>
      </w:r>
      <w:r w:rsidR="0003398D" w:rsidRPr="006571AC">
        <w:rPr>
          <w:rStyle w:val="1Char"/>
          <w:rFonts w:cs="AL-Mohanad" w:hint="cs"/>
          <w:sz w:val="27"/>
          <w:szCs w:val="27"/>
          <w:rtl/>
        </w:rPr>
        <w:t>،</w:t>
      </w:r>
      <w:r w:rsidRPr="006571AC">
        <w:rPr>
          <w:rStyle w:val="1Char"/>
          <w:rFonts w:cs="AL-Mohanad"/>
          <w:sz w:val="27"/>
          <w:szCs w:val="27"/>
          <w:rtl/>
        </w:rPr>
        <w:t xml:space="preserve"> </w:t>
      </w:r>
      <w:r w:rsidRPr="006571AC">
        <w:rPr>
          <w:rStyle w:val="1Char"/>
          <w:rFonts w:cs="AL-Mohanad" w:hint="cs"/>
          <w:sz w:val="27"/>
          <w:szCs w:val="27"/>
          <w:rtl/>
        </w:rPr>
        <w:t>بالك</w:t>
      </w:r>
      <w:r w:rsidR="009543F3" w:rsidRPr="006571AC">
        <w:rPr>
          <w:rStyle w:val="1Char"/>
          <w:rFonts w:cs="AL-Mohanad" w:hint="cs"/>
          <w:sz w:val="27"/>
          <w:szCs w:val="27"/>
          <w:rtl/>
        </w:rPr>
        <w:t>َ</w:t>
      </w:r>
      <w:r w:rsidRPr="006571AC">
        <w:rPr>
          <w:rStyle w:val="1Char"/>
          <w:rFonts w:cs="AL-Mohanad" w:hint="cs"/>
          <w:sz w:val="27"/>
          <w:szCs w:val="27"/>
          <w:rtl/>
        </w:rPr>
        <w:t>ي</w:t>
      </w:r>
      <w:r w:rsidR="009543F3" w:rsidRPr="006571AC">
        <w:rPr>
          <w:rStyle w:val="1Char"/>
          <w:rFonts w:cs="AL-Mohanad" w:hint="cs"/>
          <w:sz w:val="27"/>
          <w:szCs w:val="27"/>
          <w:rtl/>
        </w:rPr>
        <w:t>ْ</w:t>
      </w:r>
      <w:r w:rsidRPr="006571AC">
        <w:rPr>
          <w:rStyle w:val="1Char"/>
          <w:rFonts w:cs="AL-Mohanad" w:hint="cs"/>
          <w:sz w:val="27"/>
          <w:szCs w:val="27"/>
          <w:rtl/>
        </w:rPr>
        <w:t>ل</w:t>
      </w:r>
      <w:r w:rsidRPr="006571AC">
        <w:rPr>
          <w:rStyle w:val="1Char"/>
          <w:rFonts w:cs="AL-Mohanad"/>
          <w:sz w:val="27"/>
          <w:szCs w:val="27"/>
          <w:rtl/>
        </w:rPr>
        <w:t xml:space="preserve"> </w:t>
      </w:r>
      <w:r w:rsidRPr="006571AC">
        <w:rPr>
          <w:rStyle w:val="1Char"/>
          <w:rFonts w:cs="AL-Mohanad" w:hint="cs"/>
          <w:sz w:val="27"/>
          <w:szCs w:val="27"/>
          <w:rtl/>
        </w:rPr>
        <w:t>أو</w:t>
      </w:r>
      <w:r w:rsidRPr="006571AC">
        <w:rPr>
          <w:rStyle w:val="1Char"/>
          <w:rFonts w:cs="AL-Mohanad"/>
          <w:sz w:val="27"/>
          <w:szCs w:val="27"/>
          <w:rtl/>
        </w:rPr>
        <w:t xml:space="preserve"> </w:t>
      </w:r>
      <w:r w:rsidRPr="006571AC">
        <w:rPr>
          <w:rStyle w:val="1Char"/>
          <w:rFonts w:cs="AL-Mohanad" w:hint="cs"/>
          <w:sz w:val="27"/>
          <w:szCs w:val="27"/>
          <w:rtl/>
        </w:rPr>
        <w:t>الو</w:t>
      </w:r>
      <w:r w:rsidR="009543F3" w:rsidRPr="006571AC">
        <w:rPr>
          <w:rStyle w:val="1Char"/>
          <w:rFonts w:cs="AL-Mohanad" w:hint="cs"/>
          <w:sz w:val="27"/>
          <w:szCs w:val="27"/>
          <w:rtl/>
        </w:rPr>
        <w:t>َ</w:t>
      </w:r>
      <w:r w:rsidRPr="006571AC">
        <w:rPr>
          <w:rStyle w:val="1Char"/>
          <w:rFonts w:cs="AL-Mohanad" w:hint="cs"/>
          <w:sz w:val="27"/>
          <w:szCs w:val="27"/>
          <w:rtl/>
        </w:rPr>
        <w:t>ز</w:t>
      </w:r>
      <w:r w:rsidR="009543F3" w:rsidRPr="006571AC">
        <w:rPr>
          <w:rStyle w:val="1Char"/>
          <w:rFonts w:cs="AL-Mohanad" w:hint="cs"/>
          <w:sz w:val="27"/>
          <w:szCs w:val="27"/>
          <w:rtl/>
        </w:rPr>
        <w:t>ْ</w:t>
      </w:r>
      <w:r w:rsidRPr="006571AC">
        <w:rPr>
          <w:rStyle w:val="1Char"/>
          <w:rFonts w:cs="AL-Mohanad" w:hint="cs"/>
          <w:sz w:val="27"/>
          <w:szCs w:val="27"/>
          <w:rtl/>
        </w:rPr>
        <w:t>ن</w:t>
      </w:r>
      <w:bookmarkEnd w:id="235"/>
      <w:bookmarkEnd w:id="236"/>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المكيل</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الموزون، وبالمشاهدة</w:t>
      </w:r>
      <w:r w:rsidRPr="006571AC">
        <w:rPr>
          <w:sz w:val="27"/>
          <w:rtl/>
        </w:rPr>
        <w:t xml:space="preserve"> </w:t>
      </w:r>
      <w:r w:rsidRPr="006571AC">
        <w:rPr>
          <w:rFonts w:hint="cs"/>
          <w:sz w:val="27"/>
          <w:rtl/>
        </w:rPr>
        <w:t>فيهما</w:t>
      </w:r>
      <w:r w:rsidRPr="006571AC">
        <w:rPr>
          <w:sz w:val="27"/>
          <w:rtl/>
        </w:rPr>
        <w:t xml:space="preserve"> و</w:t>
      </w:r>
      <w:r w:rsidRPr="006571AC">
        <w:rPr>
          <w:rFonts w:hint="cs"/>
          <w:sz w:val="27"/>
          <w:rtl/>
        </w:rPr>
        <w:t>في</w:t>
      </w:r>
      <w:r w:rsidRPr="006571AC">
        <w:rPr>
          <w:sz w:val="27"/>
          <w:rtl/>
        </w:rPr>
        <w:t xml:space="preserve"> </w:t>
      </w:r>
      <w:r w:rsidRPr="006571AC">
        <w:rPr>
          <w:rFonts w:hint="cs"/>
          <w:sz w:val="27"/>
          <w:rtl/>
        </w:rPr>
        <w:t>غيرهما</w:t>
      </w:r>
      <w:r w:rsidRPr="006571AC">
        <w:rPr>
          <w:sz w:val="27"/>
          <w:vertAlign w:val="superscript"/>
          <w:rtl/>
        </w:rPr>
        <w:t>(</w:t>
      </w:r>
      <w:r w:rsidRPr="006571AC">
        <w:rPr>
          <w:sz w:val="27"/>
          <w:vertAlign w:val="superscript"/>
          <w:rtl/>
        </w:rPr>
        <w:endnoteReference w:id="428"/>
      </w:r>
      <w:r w:rsidRPr="006571AC">
        <w:rPr>
          <w:sz w:val="27"/>
          <w:vertAlign w:val="superscript"/>
          <w:rtl/>
        </w:rPr>
        <w:t>)</w:t>
      </w:r>
      <w:r w:rsidRPr="006571AC">
        <w:rPr>
          <w:sz w:val="27"/>
          <w:rtl/>
        </w:rPr>
        <w:t xml:space="preserve">. </w:t>
      </w:r>
    </w:p>
    <w:p w:rsidR="00237EB1" w:rsidRPr="006571AC" w:rsidRDefault="00237EB1" w:rsidP="00E60D93">
      <w:pPr>
        <w:rPr>
          <w:sz w:val="27"/>
          <w:rtl/>
        </w:rPr>
      </w:pPr>
      <w:bookmarkStart w:id="237" w:name="_Toc79281918"/>
      <w:bookmarkStart w:id="238" w:name="_Toc114164694"/>
      <w:r w:rsidRPr="006571AC">
        <w:rPr>
          <w:rStyle w:val="1Char"/>
          <w:rFonts w:cs="AL-Mohanad" w:hint="cs"/>
          <w:sz w:val="27"/>
          <w:szCs w:val="27"/>
          <w:rtl/>
        </w:rPr>
        <w:t>3ـ يشترط</w:t>
      </w:r>
      <w:r w:rsidRPr="006571AC">
        <w:rPr>
          <w:rStyle w:val="1Char"/>
          <w:rFonts w:cs="AL-Mohanad"/>
          <w:sz w:val="27"/>
          <w:szCs w:val="27"/>
          <w:rtl/>
        </w:rPr>
        <w:t xml:space="preserve"> </w:t>
      </w:r>
      <w:r w:rsidRPr="006571AC">
        <w:rPr>
          <w:rStyle w:val="1Char"/>
          <w:rFonts w:cs="AL-Mohanad" w:hint="cs"/>
          <w:sz w:val="27"/>
          <w:szCs w:val="27"/>
          <w:rtl/>
        </w:rPr>
        <w:t>تعيين المهر</w:t>
      </w:r>
      <w:bookmarkEnd w:id="237"/>
      <w:bookmarkEnd w:id="238"/>
      <w:r w:rsidR="0003398D" w:rsidRPr="006571AC">
        <w:rPr>
          <w:rFonts w:hint="cs"/>
          <w:sz w:val="27"/>
          <w:rtl/>
        </w:rPr>
        <w:t>،</w:t>
      </w:r>
      <w:r w:rsidRPr="006571AC">
        <w:rPr>
          <w:sz w:val="27"/>
          <w:rtl/>
        </w:rPr>
        <w:t xml:space="preserve"> </w:t>
      </w:r>
      <w:r w:rsidRPr="006571AC">
        <w:rPr>
          <w:rFonts w:hint="cs"/>
          <w:sz w:val="27"/>
          <w:rtl/>
        </w:rPr>
        <w:t>فإن</w:t>
      </w:r>
      <w:r w:rsidR="0003398D" w:rsidRPr="006571AC">
        <w:rPr>
          <w:rFonts w:hint="cs"/>
          <w:sz w:val="27"/>
          <w:rtl/>
        </w:rPr>
        <w:t>ْ</w:t>
      </w:r>
      <w:r w:rsidRPr="006571AC">
        <w:rPr>
          <w:sz w:val="27"/>
          <w:rtl/>
        </w:rPr>
        <w:t xml:space="preserve"> </w:t>
      </w:r>
      <w:r w:rsidRPr="006571AC">
        <w:rPr>
          <w:rFonts w:hint="cs"/>
          <w:sz w:val="27"/>
          <w:rtl/>
        </w:rPr>
        <w:t>أبهم</w:t>
      </w:r>
      <w:r w:rsidRPr="006571AC">
        <w:rPr>
          <w:sz w:val="27"/>
          <w:rtl/>
        </w:rPr>
        <w:t xml:space="preserve"> </w:t>
      </w:r>
      <w:r w:rsidRPr="006571AC">
        <w:rPr>
          <w:rFonts w:hint="cs"/>
          <w:sz w:val="27"/>
          <w:rtl/>
        </w:rPr>
        <w:t>ثبت</w:t>
      </w:r>
      <w:r w:rsidRPr="006571AC">
        <w:rPr>
          <w:sz w:val="27"/>
          <w:rtl/>
        </w:rPr>
        <w:t xml:space="preserve"> </w:t>
      </w:r>
      <w:r w:rsidRPr="006571AC">
        <w:rPr>
          <w:rFonts w:hint="cs"/>
          <w:sz w:val="27"/>
          <w:rtl/>
        </w:rPr>
        <w:t>مهر</w:t>
      </w:r>
      <w:r w:rsidRPr="006571AC">
        <w:rPr>
          <w:sz w:val="27"/>
          <w:rtl/>
        </w:rPr>
        <w:t xml:space="preserve"> </w:t>
      </w:r>
      <w:r w:rsidRPr="006571AC">
        <w:rPr>
          <w:rFonts w:hint="cs"/>
          <w:sz w:val="27"/>
          <w:rtl/>
        </w:rPr>
        <w:t>الم</w:t>
      </w:r>
      <w:r w:rsidR="0003398D" w:rsidRPr="006571AC">
        <w:rPr>
          <w:rFonts w:hint="cs"/>
          <w:sz w:val="27"/>
          <w:rtl/>
        </w:rPr>
        <w:t>ِ</w:t>
      </w:r>
      <w:r w:rsidRPr="006571AC">
        <w:rPr>
          <w:rFonts w:hint="cs"/>
          <w:sz w:val="27"/>
          <w:rtl/>
        </w:rPr>
        <w:t>ث</w:t>
      </w:r>
      <w:r w:rsidR="0003398D" w:rsidRPr="006571AC">
        <w:rPr>
          <w:rFonts w:hint="cs"/>
          <w:sz w:val="27"/>
          <w:rtl/>
        </w:rPr>
        <w:t>ْ</w:t>
      </w:r>
      <w:r w:rsidRPr="006571AC">
        <w:rPr>
          <w:rFonts w:hint="cs"/>
          <w:sz w:val="27"/>
          <w:rtl/>
        </w:rPr>
        <w:t>ل</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الدخول</w:t>
      </w:r>
      <w:r w:rsidR="0003398D" w:rsidRPr="006571AC">
        <w:rPr>
          <w:rFonts w:hint="cs"/>
          <w:sz w:val="27"/>
          <w:rtl/>
        </w:rPr>
        <w:t>،</w:t>
      </w:r>
      <w:r w:rsidRPr="006571AC">
        <w:rPr>
          <w:sz w:val="27"/>
          <w:rtl/>
        </w:rPr>
        <w:t xml:space="preserve"> و</w:t>
      </w:r>
      <w:r w:rsidRPr="006571AC">
        <w:rPr>
          <w:rFonts w:hint="cs"/>
          <w:sz w:val="27"/>
          <w:rtl/>
        </w:rPr>
        <w:t>المتعة</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الطلاق</w:t>
      </w:r>
      <w:r w:rsidRPr="006571AC">
        <w:rPr>
          <w:sz w:val="27"/>
          <w:rtl/>
        </w:rPr>
        <w:t xml:space="preserve"> </w:t>
      </w:r>
      <w:r w:rsidRPr="006571AC">
        <w:rPr>
          <w:rFonts w:hint="cs"/>
          <w:sz w:val="27"/>
          <w:rtl/>
        </w:rPr>
        <w:t>قبله</w:t>
      </w:r>
      <w:r w:rsidR="0003398D" w:rsidRPr="006571AC">
        <w:rPr>
          <w:rFonts w:hint="cs"/>
          <w:sz w:val="27"/>
          <w:rtl/>
        </w:rPr>
        <w:t>.</w:t>
      </w:r>
      <w:r w:rsidRPr="006571AC">
        <w:rPr>
          <w:sz w:val="27"/>
          <w:rtl/>
        </w:rPr>
        <w:t xml:space="preserve"> و</w:t>
      </w:r>
      <w:r w:rsidRPr="006571AC">
        <w:rPr>
          <w:rFonts w:hint="cs"/>
          <w:sz w:val="27"/>
          <w:rtl/>
        </w:rPr>
        <w:t>يكفي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مشاهدته</w:t>
      </w:r>
      <w:r w:rsidRPr="006571AC">
        <w:rPr>
          <w:sz w:val="27"/>
          <w:rtl/>
        </w:rPr>
        <w:t xml:space="preserve"> </w:t>
      </w:r>
      <w:r w:rsidRPr="006571AC">
        <w:rPr>
          <w:rFonts w:hint="cs"/>
          <w:sz w:val="27"/>
          <w:rtl/>
        </w:rPr>
        <w:t>إن</w:t>
      </w:r>
      <w:r w:rsidR="0003398D"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حاضرا</w:t>
      </w:r>
      <w:r w:rsidR="0003398D" w:rsidRPr="006571AC">
        <w:rPr>
          <w:rFonts w:hint="cs"/>
          <w:sz w:val="27"/>
          <w:rtl/>
        </w:rPr>
        <w:t>ً</w:t>
      </w:r>
      <w:r w:rsidRPr="006571AC">
        <w:rPr>
          <w:sz w:val="27"/>
          <w:vertAlign w:val="superscript"/>
          <w:rtl/>
        </w:rPr>
        <w:t>(</w:t>
      </w:r>
      <w:r w:rsidRPr="006571AC">
        <w:rPr>
          <w:sz w:val="27"/>
          <w:vertAlign w:val="superscript"/>
          <w:rtl/>
        </w:rPr>
        <w:endnoteReference w:id="429"/>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430" w:lineRule="exact"/>
        <w:rPr>
          <w:sz w:val="27"/>
          <w:rtl/>
        </w:rPr>
      </w:pPr>
    </w:p>
    <w:p w:rsidR="00237EB1" w:rsidRPr="006571AC" w:rsidRDefault="00237EB1" w:rsidP="00E629CB">
      <w:pPr>
        <w:pStyle w:val="31"/>
        <w:rPr>
          <w:color w:val="auto"/>
          <w:rtl/>
        </w:rPr>
      </w:pPr>
      <w:bookmarkStart w:id="239" w:name="_Toc79281919"/>
      <w:bookmarkStart w:id="240" w:name="_Toc114164695"/>
      <w:r w:rsidRPr="006571AC">
        <w:rPr>
          <w:color w:val="auto"/>
          <w:rtl/>
        </w:rPr>
        <w:t>شرائط المهر في القانون الإيراني</w:t>
      </w:r>
      <w:bookmarkEnd w:id="239"/>
      <w:bookmarkEnd w:id="240"/>
    </w:p>
    <w:p w:rsidR="00237EB1" w:rsidRPr="006571AC" w:rsidRDefault="00237EB1" w:rsidP="00E60D93">
      <w:pPr>
        <w:rPr>
          <w:sz w:val="27"/>
          <w:rtl/>
        </w:rPr>
      </w:pPr>
      <w:r w:rsidRPr="006571AC">
        <w:rPr>
          <w:rFonts w:hint="cs"/>
          <w:sz w:val="27"/>
          <w:rtl/>
        </w:rPr>
        <w:t xml:space="preserve">ينصّ القانون الإيراني على أن المهر لا يعتبر </w:t>
      </w:r>
      <w:r w:rsidR="0003398D" w:rsidRPr="006571AC">
        <w:rPr>
          <w:rFonts w:hint="cs"/>
          <w:sz w:val="27"/>
          <w:rtl/>
        </w:rPr>
        <w:t>أ</w:t>
      </w:r>
      <w:r w:rsidRPr="006571AC">
        <w:rPr>
          <w:rFonts w:hint="cs"/>
          <w:sz w:val="27"/>
          <w:rtl/>
        </w:rPr>
        <w:t>ساساً ومقو</w:t>
      </w:r>
      <w:r w:rsidR="0003398D" w:rsidRPr="006571AC">
        <w:rPr>
          <w:rFonts w:hint="cs"/>
          <w:sz w:val="27"/>
          <w:rtl/>
        </w:rPr>
        <w:t>ِّ</w:t>
      </w:r>
      <w:r w:rsidRPr="006571AC">
        <w:rPr>
          <w:rFonts w:hint="cs"/>
          <w:sz w:val="27"/>
          <w:rtl/>
        </w:rPr>
        <w:t>ماً لعقد الزواج، إلا</w:t>
      </w:r>
      <w:r w:rsidR="0003398D" w:rsidRPr="006571AC">
        <w:rPr>
          <w:rFonts w:hint="cs"/>
          <w:sz w:val="27"/>
          <w:rtl/>
        </w:rPr>
        <w:t>ّ</w:t>
      </w:r>
      <w:r w:rsidRPr="006571AC">
        <w:rPr>
          <w:rFonts w:hint="cs"/>
          <w:sz w:val="27"/>
          <w:rtl/>
        </w:rPr>
        <w:t xml:space="preserve"> أنه يعتبر من متفر</w:t>
      </w:r>
      <w:r w:rsidR="0003398D" w:rsidRPr="006571AC">
        <w:rPr>
          <w:rFonts w:hint="cs"/>
          <w:sz w:val="27"/>
          <w:rtl/>
        </w:rPr>
        <w:t>ِّ</w:t>
      </w:r>
      <w:r w:rsidRPr="006571AC">
        <w:rPr>
          <w:rFonts w:hint="cs"/>
          <w:sz w:val="27"/>
          <w:rtl/>
        </w:rPr>
        <w:t>عاته</w:t>
      </w:r>
      <w:r w:rsidR="0003398D" w:rsidRPr="006571AC">
        <w:rPr>
          <w:rFonts w:hint="cs"/>
          <w:sz w:val="27"/>
          <w:rtl/>
        </w:rPr>
        <w:t>،</w:t>
      </w:r>
      <w:r w:rsidRPr="006571AC">
        <w:rPr>
          <w:rFonts w:hint="cs"/>
          <w:sz w:val="27"/>
          <w:rtl/>
        </w:rPr>
        <w:t xml:space="preserve"> </w:t>
      </w:r>
      <w:r w:rsidR="0003398D" w:rsidRPr="006571AC">
        <w:rPr>
          <w:rFonts w:hint="cs"/>
          <w:sz w:val="27"/>
          <w:rtl/>
        </w:rPr>
        <w:t>و</w:t>
      </w:r>
      <w:r w:rsidRPr="006571AC">
        <w:rPr>
          <w:rFonts w:hint="cs"/>
          <w:sz w:val="27"/>
          <w:rtl/>
        </w:rPr>
        <w:t>له شرائطه الخاصة به</w:t>
      </w:r>
      <w:r w:rsidR="0003398D" w:rsidRPr="006571AC">
        <w:rPr>
          <w:rFonts w:hint="cs"/>
          <w:sz w:val="27"/>
          <w:rtl/>
        </w:rPr>
        <w:t>،</w:t>
      </w:r>
      <w:r w:rsidRPr="006571AC">
        <w:rPr>
          <w:rFonts w:hint="cs"/>
          <w:sz w:val="27"/>
          <w:rtl/>
        </w:rPr>
        <w:t xml:space="preserve"> </w:t>
      </w:r>
      <w:r w:rsidR="0003398D" w:rsidRPr="006571AC">
        <w:rPr>
          <w:rFonts w:hint="cs"/>
          <w:sz w:val="27"/>
          <w:rtl/>
        </w:rPr>
        <w:t>و</w:t>
      </w:r>
      <w:r w:rsidR="00731867" w:rsidRPr="006571AC">
        <w:rPr>
          <w:rFonts w:hint="cs"/>
          <w:sz w:val="27"/>
          <w:rtl/>
        </w:rPr>
        <w:t>لا بُدَّ</w:t>
      </w:r>
      <w:r w:rsidRPr="006571AC">
        <w:rPr>
          <w:rFonts w:hint="cs"/>
          <w:sz w:val="27"/>
          <w:rtl/>
        </w:rPr>
        <w:t xml:space="preserve"> من مراعاتها حين إجراء عقد الزواج</w:t>
      </w:r>
      <w:r w:rsidR="0003398D" w:rsidRPr="006571AC">
        <w:rPr>
          <w:rFonts w:hint="cs"/>
          <w:sz w:val="27"/>
          <w:rtl/>
        </w:rPr>
        <w:t>،</w:t>
      </w:r>
      <w:r w:rsidRPr="006571AC">
        <w:rPr>
          <w:rFonts w:hint="cs"/>
          <w:sz w:val="27"/>
          <w:rtl/>
        </w:rPr>
        <w:t xml:space="preserve"> وهي: </w:t>
      </w:r>
    </w:p>
    <w:p w:rsidR="00237EB1" w:rsidRPr="006571AC" w:rsidRDefault="00237EB1" w:rsidP="00E60D93">
      <w:pPr>
        <w:rPr>
          <w:sz w:val="27"/>
          <w:rtl/>
        </w:rPr>
      </w:pPr>
      <w:bookmarkStart w:id="241" w:name="_Toc79281920"/>
      <w:bookmarkStart w:id="242" w:name="_Toc114164696"/>
      <w:r w:rsidRPr="006571AC">
        <w:rPr>
          <w:rStyle w:val="1Char"/>
          <w:rFonts w:cs="AL-Mohanad" w:hint="cs"/>
          <w:sz w:val="27"/>
          <w:szCs w:val="27"/>
          <w:rtl/>
        </w:rPr>
        <w:t xml:space="preserve">1ـ يشترط في المهر </w:t>
      </w:r>
      <w:r w:rsidR="0003398D" w:rsidRPr="006571AC">
        <w:rPr>
          <w:rStyle w:val="1Char"/>
          <w:rFonts w:cs="AL-Mohanad" w:hint="cs"/>
          <w:sz w:val="27"/>
          <w:szCs w:val="27"/>
          <w:rtl/>
        </w:rPr>
        <w:t>أ</w:t>
      </w:r>
      <w:r w:rsidRPr="006571AC">
        <w:rPr>
          <w:rStyle w:val="1Char"/>
          <w:rFonts w:cs="AL-Mohanad" w:hint="cs"/>
          <w:sz w:val="27"/>
          <w:szCs w:val="27"/>
          <w:rtl/>
        </w:rPr>
        <w:t>ن يكون له مالي</w:t>
      </w:r>
      <w:r w:rsidR="0003398D" w:rsidRPr="006571AC">
        <w:rPr>
          <w:rStyle w:val="1Char"/>
          <w:rFonts w:cs="AL-Mohanad" w:hint="cs"/>
          <w:sz w:val="27"/>
          <w:szCs w:val="27"/>
          <w:rtl/>
        </w:rPr>
        <w:t>ّ</w:t>
      </w:r>
      <w:r w:rsidRPr="006571AC">
        <w:rPr>
          <w:rStyle w:val="1Char"/>
          <w:rFonts w:cs="AL-Mohanad" w:hint="cs"/>
          <w:sz w:val="27"/>
          <w:szCs w:val="27"/>
          <w:rtl/>
        </w:rPr>
        <w:t>ة</w:t>
      </w:r>
      <w:bookmarkEnd w:id="241"/>
      <w:r w:rsidR="0003398D" w:rsidRPr="006571AC">
        <w:rPr>
          <w:rStyle w:val="1Char"/>
          <w:rFonts w:cs="AL-Mohanad" w:hint="cs"/>
          <w:sz w:val="27"/>
          <w:szCs w:val="27"/>
          <w:rtl/>
        </w:rPr>
        <w:t>،</w:t>
      </w:r>
      <w:bookmarkEnd w:id="242"/>
      <w:r w:rsidRPr="006571AC">
        <w:rPr>
          <w:rFonts w:hint="cs"/>
          <w:sz w:val="27"/>
          <w:rtl/>
        </w:rPr>
        <w:t xml:space="preserve"> وقابلا ل</w:t>
      </w:r>
      <w:r w:rsidR="0003398D" w:rsidRPr="006571AC">
        <w:rPr>
          <w:rFonts w:hint="cs"/>
          <w:sz w:val="27"/>
          <w:rtl/>
        </w:rPr>
        <w:t>ل</w:t>
      </w:r>
      <w:r w:rsidRPr="006571AC">
        <w:rPr>
          <w:rFonts w:hint="cs"/>
          <w:sz w:val="27"/>
          <w:rtl/>
        </w:rPr>
        <w:t>تمل</w:t>
      </w:r>
      <w:r w:rsidR="0003398D" w:rsidRPr="006571AC">
        <w:rPr>
          <w:rFonts w:hint="cs"/>
          <w:sz w:val="27"/>
          <w:rtl/>
        </w:rPr>
        <w:t>ُّ</w:t>
      </w:r>
      <w:r w:rsidRPr="006571AC">
        <w:rPr>
          <w:rFonts w:hint="cs"/>
          <w:sz w:val="27"/>
          <w:rtl/>
        </w:rPr>
        <w:t>ك [الماد</w:t>
      </w:r>
      <w:r w:rsidR="0003398D" w:rsidRPr="006571AC">
        <w:rPr>
          <w:rFonts w:hint="cs"/>
          <w:sz w:val="27"/>
          <w:rtl/>
        </w:rPr>
        <w:t>ّ</w:t>
      </w:r>
      <w:r w:rsidRPr="006571AC">
        <w:rPr>
          <w:rFonts w:hint="cs"/>
          <w:sz w:val="27"/>
          <w:rtl/>
        </w:rPr>
        <w:t xml:space="preserve">ة </w:t>
      </w:r>
      <w:r w:rsidRPr="006571AC">
        <w:rPr>
          <w:sz w:val="27"/>
          <w:rtl/>
        </w:rPr>
        <w:t>1078</w:t>
      </w:r>
      <w:r w:rsidRPr="006571AC">
        <w:rPr>
          <w:rFonts w:hint="cs"/>
          <w:sz w:val="27"/>
          <w:rtl/>
        </w:rPr>
        <w:t xml:space="preserve">]. </w:t>
      </w:r>
    </w:p>
    <w:p w:rsidR="00237EB1" w:rsidRPr="006571AC" w:rsidRDefault="00237EB1" w:rsidP="00E60D93">
      <w:pPr>
        <w:rPr>
          <w:spacing w:val="-4"/>
          <w:sz w:val="27"/>
          <w:rtl/>
        </w:rPr>
      </w:pPr>
      <w:bookmarkStart w:id="243" w:name="_Toc79281921"/>
      <w:bookmarkStart w:id="244" w:name="_Toc114164697"/>
      <w:r w:rsidRPr="006571AC">
        <w:rPr>
          <w:rStyle w:val="1Char"/>
          <w:rFonts w:cs="AL-Mohanad" w:hint="cs"/>
          <w:sz w:val="27"/>
          <w:szCs w:val="27"/>
          <w:rtl/>
        </w:rPr>
        <w:t>2</w:t>
      </w:r>
      <w:r w:rsidRPr="006571AC">
        <w:rPr>
          <w:rStyle w:val="1Char"/>
          <w:rFonts w:cs="AL-Mohanad" w:hint="cs"/>
          <w:spacing w:val="-4"/>
          <w:sz w:val="27"/>
          <w:szCs w:val="27"/>
          <w:rtl/>
        </w:rPr>
        <w:t>ـ يجب تعيين</w:t>
      </w:r>
      <w:r w:rsidRPr="006571AC">
        <w:rPr>
          <w:rStyle w:val="1Char"/>
          <w:rFonts w:cs="AL-Mohanad"/>
          <w:spacing w:val="-4"/>
          <w:sz w:val="27"/>
          <w:szCs w:val="27"/>
          <w:rtl/>
        </w:rPr>
        <w:t xml:space="preserve"> </w:t>
      </w:r>
      <w:r w:rsidRPr="006571AC">
        <w:rPr>
          <w:rStyle w:val="1Char"/>
          <w:rFonts w:cs="AL-Mohanad" w:hint="cs"/>
          <w:spacing w:val="-4"/>
          <w:sz w:val="27"/>
          <w:szCs w:val="27"/>
          <w:rtl/>
        </w:rPr>
        <w:t>المهر</w:t>
      </w:r>
      <w:bookmarkEnd w:id="243"/>
      <w:bookmarkEnd w:id="244"/>
      <w:r w:rsidRPr="006571AC">
        <w:rPr>
          <w:rFonts w:hint="cs"/>
          <w:spacing w:val="-4"/>
          <w:sz w:val="27"/>
          <w:rtl/>
        </w:rPr>
        <w:t xml:space="preserve"> ورفع الجهالة بحيث يكون معلوما</w:t>
      </w:r>
      <w:r w:rsidR="0003398D" w:rsidRPr="006571AC">
        <w:rPr>
          <w:rFonts w:hint="cs"/>
          <w:spacing w:val="-4"/>
          <w:sz w:val="27"/>
          <w:rtl/>
        </w:rPr>
        <w:t>ً</w:t>
      </w:r>
      <w:r w:rsidRPr="006571AC">
        <w:rPr>
          <w:rFonts w:hint="cs"/>
          <w:spacing w:val="-4"/>
          <w:sz w:val="27"/>
          <w:rtl/>
        </w:rPr>
        <w:t xml:space="preserve"> عند الطرفين المتعاقدين [المادة 1079]. </w:t>
      </w:r>
    </w:p>
    <w:p w:rsidR="00237EB1" w:rsidRPr="006571AC" w:rsidRDefault="00237EB1" w:rsidP="00311177">
      <w:pPr>
        <w:spacing w:line="420" w:lineRule="exact"/>
        <w:rPr>
          <w:sz w:val="27"/>
          <w:rtl/>
        </w:rPr>
      </w:pPr>
    </w:p>
    <w:p w:rsidR="00237EB1" w:rsidRPr="006571AC" w:rsidRDefault="00237EB1" w:rsidP="00E629CB">
      <w:pPr>
        <w:pStyle w:val="31"/>
        <w:rPr>
          <w:color w:val="auto"/>
          <w:rtl/>
        </w:rPr>
      </w:pPr>
      <w:bookmarkStart w:id="245" w:name="_Toc79281922"/>
      <w:bookmarkStart w:id="246" w:name="_Toc114164698"/>
      <w:r w:rsidRPr="006571AC">
        <w:rPr>
          <w:color w:val="auto"/>
          <w:rtl/>
        </w:rPr>
        <w:t>أحكام المهر في الفقه الإمامي</w:t>
      </w:r>
      <w:bookmarkEnd w:id="245"/>
      <w:bookmarkEnd w:id="246"/>
    </w:p>
    <w:p w:rsidR="00237EB1" w:rsidRPr="006571AC" w:rsidRDefault="00237EB1" w:rsidP="00E60D93">
      <w:pPr>
        <w:rPr>
          <w:sz w:val="27"/>
          <w:rtl/>
        </w:rPr>
      </w:pPr>
      <w:r w:rsidRPr="006571AC">
        <w:rPr>
          <w:rFonts w:hint="cs"/>
          <w:sz w:val="27"/>
          <w:rtl/>
        </w:rPr>
        <w:t xml:space="preserve">لقد ذكر العلماء </w:t>
      </w:r>
      <w:r w:rsidR="0003398D" w:rsidRPr="006571AC">
        <w:rPr>
          <w:rFonts w:hint="cs"/>
          <w:sz w:val="27"/>
          <w:rtl/>
        </w:rPr>
        <w:t>أ</w:t>
      </w:r>
      <w:r w:rsidRPr="006571AC">
        <w:rPr>
          <w:rFonts w:hint="cs"/>
          <w:sz w:val="27"/>
          <w:rtl/>
        </w:rPr>
        <w:t>حكاما</w:t>
      </w:r>
      <w:r w:rsidR="0003398D" w:rsidRPr="006571AC">
        <w:rPr>
          <w:rFonts w:hint="cs"/>
          <w:sz w:val="27"/>
          <w:rtl/>
        </w:rPr>
        <w:t>ً</w:t>
      </w:r>
      <w:r w:rsidRPr="006571AC">
        <w:rPr>
          <w:rFonts w:hint="cs"/>
          <w:sz w:val="27"/>
          <w:rtl/>
        </w:rPr>
        <w:t xml:space="preserve"> متعل</w:t>
      </w:r>
      <w:r w:rsidR="0003398D" w:rsidRPr="006571AC">
        <w:rPr>
          <w:rFonts w:hint="cs"/>
          <w:sz w:val="27"/>
          <w:rtl/>
        </w:rPr>
        <w:t>ِّ</w:t>
      </w:r>
      <w:r w:rsidRPr="006571AC">
        <w:rPr>
          <w:rFonts w:hint="cs"/>
          <w:sz w:val="27"/>
          <w:rtl/>
        </w:rPr>
        <w:t>قة بالمهر</w:t>
      </w:r>
      <w:r w:rsidR="0003398D" w:rsidRPr="006571AC">
        <w:rPr>
          <w:rFonts w:hint="cs"/>
          <w:sz w:val="27"/>
          <w:rtl/>
        </w:rPr>
        <w:t>،</w:t>
      </w:r>
      <w:r w:rsidRPr="006571AC">
        <w:rPr>
          <w:rFonts w:hint="cs"/>
          <w:sz w:val="27"/>
          <w:rtl/>
        </w:rPr>
        <w:t xml:space="preserve"> وهي: </w:t>
      </w:r>
    </w:p>
    <w:p w:rsidR="00237EB1" w:rsidRPr="006571AC" w:rsidRDefault="00237EB1" w:rsidP="00E60D93">
      <w:pPr>
        <w:rPr>
          <w:sz w:val="27"/>
          <w:rtl/>
        </w:rPr>
      </w:pPr>
      <w:bookmarkStart w:id="247" w:name="_Toc79281923"/>
      <w:bookmarkStart w:id="248" w:name="_Toc114164699"/>
      <w:r w:rsidRPr="006571AC">
        <w:rPr>
          <w:rStyle w:val="1Char"/>
          <w:rFonts w:cs="AL-Mohanad" w:hint="cs"/>
          <w:b w:val="0"/>
          <w:bCs/>
          <w:sz w:val="27"/>
          <w:szCs w:val="27"/>
          <w:rtl/>
        </w:rPr>
        <w:t>1ـ تمليك</w:t>
      </w:r>
      <w:r w:rsidRPr="006571AC">
        <w:rPr>
          <w:rStyle w:val="1Char"/>
          <w:rFonts w:cs="AL-Mohanad"/>
          <w:b w:val="0"/>
          <w:bCs/>
          <w:sz w:val="27"/>
          <w:szCs w:val="27"/>
          <w:rtl/>
        </w:rPr>
        <w:t xml:space="preserve"> </w:t>
      </w:r>
      <w:r w:rsidRPr="006571AC">
        <w:rPr>
          <w:rStyle w:val="1Char"/>
          <w:rFonts w:cs="AL-Mohanad" w:hint="cs"/>
          <w:b w:val="0"/>
          <w:bCs/>
          <w:sz w:val="27"/>
          <w:szCs w:val="27"/>
          <w:rtl/>
        </w:rPr>
        <w:t>المهر</w:t>
      </w:r>
      <w:r w:rsidRPr="006571AC">
        <w:rPr>
          <w:rStyle w:val="1Char"/>
          <w:rFonts w:cs="AL-Mohanad" w:hint="cs"/>
          <w:sz w:val="27"/>
          <w:szCs w:val="27"/>
          <w:rtl/>
        </w:rPr>
        <w:t>:</w:t>
      </w:r>
      <w:bookmarkEnd w:id="247"/>
      <w:bookmarkEnd w:id="248"/>
      <w:r w:rsidRPr="006571AC">
        <w:rPr>
          <w:rStyle w:val="1Char"/>
          <w:rFonts w:cs="AL-Mohanad" w:hint="cs"/>
          <w:sz w:val="27"/>
          <w:szCs w:val="27"/>
          <w:rtl/>
        </w:rPr>
        <w:t xml:space="preserve"> </w:t>
      </w:r>
      <w:r w:rsidRPr="006571AC">
        <w:rPr>
          <w:rFonts w:hint="cs"/>
          <w:sz w:val="27"/>
          <w:rtl/>
        </w:rPr>
        <w:t>تملك</w:t>
      </w:r>
      <w:r w:rsidRPr="006571AC">
        <w:rPr>
          <w:sz w:val="27"/>
          <w:rtl/>
        </w:rPr>
        <w:t xml:space="preserve"> </w:t>
      </w:r>
      <w:r w:rsidRPr="006571AC">
        <w:rPr>
          <w:rFonts w:hint="cs"/>
          <w:sz w:val="27"/>
          <w:rtl/>
        </w:rPr>
        <w:t>المرأة</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بالعقد</w:t>
      </w:r>
      <w:r w:rsidRPr="006571AC">
        <w:rPr>
          <w:sz w:val="27"/>
          <w:vertAlign w:val="superscript"/>
          <w:rtl/>
        </w:rPr>
        <w:t>(</w:t>
      </w:r>
      <w:r w:rsidRPr="006571AC">
        <w:rPr>
          <w:sz w:val="27"/>
          <w:vertAlign w:val="superscript"/>
          <w:rtl/>
        </w:rPr>
        <w:endnoteReference w:id="430"/>
      </w:r>
      <w:r w:rsidRPr="006571AC">
        <w:rPr>
          <w:sz w:val="27"/>
          <w:vertAlign w:val="superscript"/>
          <w:rtl/>
        </w:rPr>
        <w:t>)</w:t>
      </w:r>
      <w:r w:rsidR="0003398D" w:rsidRPr="006571AC">
        <w:rPr>
          <w:rFonts w:hint="cs"/>
          <w:sz w:val="27"/>
          <w:rtl/>
        </w:rPr>
        <w:t>؛</w:t>
      </w:r>
      <w:r w:rsidRPr="006571AC">
        <w:rPr>
          <w:sz w:val="27"/>
          <w:rtl/>
        </w:rPr>
        <w:t xml:space="preserve"> </w:t>
      </w:r>
      <w:r w:rsidRPr="006571AC">
        <w:rPr>
          <w:rFonts w:hint="cs"/>
          <w:sz w:val="27"/>
          <w:rtl/>
        </w:rPr>
        <w:t xml:space="preserve">لعموم قوله تعالى: </w:t>
      </w:r>
      <w:r w:rsidRPr="006571AC">
        <w:rPr>
          <w:rFonts w:ascii="Mosawi" w:hAnsi="Mosawi" w:cs="Mosawi"/>
          <w:sz w:val="24"/>
          <w:szCs w:val="24"/>
          <w:rtl/>
        </w:rPr>
        <w:t>﴿</w:t>
      </w:r>
      <w:r w:rsidRPr="006571AC">
        <w:rPr>
          <w:rFonts w:hint="cs"/>
          <w:b/>
          <w:bCs/>
          <w:sz w:val="27"/>
          <w:rtl/>
        </w:rPr>
        <w:t>وَآتُوا</w:t>
      </w:r>
      <w:r w:rsidRPr="006571AC">
        <w:rPr>
          <w:b/>
          <w:bCs/>
          <w:sz w:val="27"/>
          <w:rtl/>
        </w:rPr>
        <w:t xml:space="preserve"> </w:t>
      </w:r>
      <w:r w:rsidRPr="006571AC">
        <w:rPr>
          <w:rFonts w:hint="cs"/>
          <w:b/>
          <w:bCs/>
          <w:sz w:val="27"/>
          <w:rtl/>
        </w:rPr>
        <w:t>النِّساءَ</w:t>
      </w:r>
      <w:r w:rsidRPr="006571AC">
        <w:rPr>
          <w:b/>
          <w:bCs/>
          <w:sz w:val="27"/>
          <w:rtl/>
        </w:rPr>
        <w:t xml:space="preserve"> </w:t>
      </w:r>
      <w:r w:rsidRPr="006571AC">
        <w:rPr>
          <w:rFonts w:hint="cs"/>
          <w:b/>
          <w:bCs/>
          <w:sz w:val="27"/>
          <w:rtl/>
        </w:rPr>
        <w:t>صَدُقاتِهِنَّ</w:t>
      </w:r>
      <w:r w:rsidRPr="006571AC">
        <w:rPr>
          <w:rFonts w:ascii="Mosawi" w:hAnsi="Mosawi" w:cs="Mosawi"/>
          <w:sz w:val="24"/>
          <w:szCs w:val="24"/>
          <w:rtl/>
        </w:rPr>
        <w:t>﴾ (</w:t>
      </w:r>
      <w:r w:rsidRPr="006571AC">
        <w:rPr>
          <w:rFonts w:hint="cs"/>
          <w:sz w:val="27"/>
          <w:rtl/>
        </w:rPr>
        <w:t>النساء: 4)</w:t>
      </w:r>
      <w:r w:rsidR="0003398D" w:rsidRPr="006571AC">
        <w:rPr>
          <w:rFonts w:hint="cs"/>
          <w:sz w:val="27"/>
          <w:rtl/>
        </w:rPr>
        <w:t>.</w:t>
      </w:r>
      <w:r w:rsidRPr="006571AC">
        <w:rPr>
          <w:rFonts w:hint="cs"/>
          <w:sz w:val="27"/>
          <w:rtl/>
        </w:rPr>
        <w:t xml:space="preserve"> وينتصف</w:t>
      </w:r>
      <w:r w:rsidRPr="006571AC">
        <w:rPr>
          <w:sz w:val="27"/>
          <w:rtl/>
        </w:rPr>
        <w:t xml:space="preserve"> </w:t>
      </w:r>
      <w:r w:rsidRPr="006571AC">
        <w:rPr>
          <w:rFonts w:hint="cs"/>
          <w:sz w:val="27"/>
          <w:rtl/>
        </w:rPr>
        <w:t>بالطلاق</w:t>
      </w:r>
      <w:r w:rsidR="0003398D" w:rsidRPr="006571AC">
        <w:rPr>
          <w:rFonts w:hint="cs"/>
          <w:sz w:val="27"/>
          <w:rtl/>
        </w:rPr>
        <w:t>؛</w:t>
      </w:r>
      <w:r w:rsidRPr="006571AC">
        <w:rPr>
          <w:sz w:val="27"/>
          <w:rtl/>
        </w:rPr>
        <w:t xml:space="preserve"> </w:t>
      </w:r>
      <w:r w:rsidRPr="006571AC">
        <w:rPr>
          <w:rFonts w:hint="cs"/>
          <w:sz w:val="27"/>
          <w:rtl/>
        </w:rPr>
        <w:t>بالنّص</w:t>
      </w:r>
      <w:r w:rsidRPr="006571AC">
        <w:rPr>
          <w:sz w:val="27"/>
          <w:rtl/>
        </w:rPr>
        <w:t xml:space="preserve"> </w:t>
      </w:r>
      <w:r w:rsidRPr="006571AC">
        <w:rPr>
          <w:rFonts w:hint="cs"/>
          <w:sz w:val="27"/>
          <w:rtl/>
        </w:rPr>
        <w:t>والوفاق، والأول</w:t>
      </w:r>
      <w:r w:rsidRPr="006571AC">
        <w:rPr>
          <w:sz w:val="27"/>
          <w:rtl/>
        </w:rPr>
        <w:t xml:space="preserve"> </w:t>
      </w:r>
      <w:r w:rsidRPr="006571AC">
        <w:rPr>
          <w:rFonts w:hint="cs"/>
          <w:sz w:val="27"/>
          <w:rtl/>
        </w:rPr>
        <w:t>متواتر</w:t>
      </w:r>
      <w:r w:rsidR="0003398D" w:rsidRPr="006571AC">
        <w:rPr>
          <w:rFonts w:hint="cs"/>
          <w:sz w:val="27"/>
          <w:rtl/>
        </w:rPr>
        <w:t>ٌ</w:t>
      </w:r>
      <w:r w:rsidRPr="006571AC">
        <w:rPr>
          <w:sz w:val="27"/>
          <w:rtl/>
        </w:rPr>
        <w:t xml:space="preserve"> </w:t>
      </w:r>
      <w:r w:rsidRPr="006571AC">
        <w:rPr>
          <w:rFonts w:hint="cs"/>
          <w:sz w:val="27"/>
          <w:rtl/>
        </w:rPr>
        <w:t>معتضد</w:t>
      </w:r>
      <w:r w:rsidR="0003398D" w:rsidRPr="006571AC">
        <w:rPr>
          <w:rFonts w:hint="cs"/>
          <w:sz w:val="27"/>
          <w:rtl/>
        </w:rPr>
        <w:t>ٌ</w:t>
      </w:r>
      <w:r w:rsidRPr="006571AC">
        <w:rPr>
          <w:sz w:val="27"/>
          <w:rtl/>
        </w:rPr>
        <w:t xml:space="preserve"> </w:t>
      </w:r>
      <w:r w:rsidRPr="006571AC">
        <w:rPr>
          <w:rFonts w:hint="cs"/>
          <w:sz w:val="27"/>
          <w:rtl/>
        </w:rPr>
        <w:t>بنصّ</w:t>
      </w:r>
      <w:r w:rsidRPr="006571AC">
        <w:rPr>
          <w:sz w:val="27"/>
          <w:rtl/>
        </w:rPr>
        <w:t xml:space="preserve"> </w:t>
      </w:r>
      <w:r w:rsidRPr="006571AC">
        <w:rPr>
          <w:rFonts w:hint="cs"/>
          <w:sz w:val="27"/>
          <w:rtl/>
        </w:rPr>
        <w:t>الكتاب</w:t>
      </w:r>
      <w:r w:rsidRPr="006571AC">
        <w:rPr>
          <w:sz w:val="27"/>
          <w:rtl/>
        </w:rPr>
        <w:t xml:space="preserve">: </w:t>
      </w:r>
      <w:r w:rsidRPr="006571AC">
        <w:rPr>
          <w:rFonts w:ascii="Mosawi" w:hAnsi="Mosawi" w:cs="Mosawi"/>
          <w:sz w:val="24"/>
          <w:szCs w:val="24"/>
          <w:rtl/>
        </w:rPr>
        <w:t>﴿</w:t>
      </w:r>
      <w:r w:rsidRPr="006571AC">
        <w:rPr>
          <w:rFonts w:hint="cs"/>
          <w:b/>
          <w:bCs/>
          <w:sz w:val="27"/>
          <w:rtl/>
        </w:rPr>
        <w:t>وَإِنْ</w:t>
      </w:r>
      <w:r w:rsidRPr="006571AC">
        <w:rPr>
          <w:b/>
          <w:bCs/>
          <w:sz w:val="27"/>
          <w:rtl/>
        </w:rPr>
        <w:t xml:space="preserve"> </w:t>
      </w:r>
      <w:r w:rsidRPr="006571AC">
        <w:rPr>
          <w:rFonts w:hint="cs"/>
          <w:b/>
          <w:bCs/>
          <w:sz w:val="27"/>
          <w:rtl/>
        </w:rPr>
        <w:t>طَلَّقْتُمُوهُنَّ</w:t>
      </w:r>
      <w:r w:rsidRPr="006571AC">
        <w:rPr>
          <w:b/>
          <w:bCs/>
          <w:sz w:val="27"/>
          <w:rtl/>
        </w:rPr>
        <w:t xml:space="preserve"> </w:t>
      </w:r>
      <w:r w:rsidRPr="006571AC">
        <w:rPr>
          <w:rFonts w:hint="cs"/>
          <w:b/>
          <w:bCs/>
          <w:sz w:val="27"/>
          <w:rtl/>
        </w:rPr>
        <w:t>مِنْ</w:t>
      </w:r>
      <w:r w:rsidRPr="006571AC">
        <w:rPr>
          <w:b/>
          <w:bCs/>
          <w:sz w:val="27"/>
          <w:rtl/>
        </w:rPr>
        <w:t xml:space="preserve"> </w:t>
      </w:r>
      <w:r w:rsidRPr="006571AC">
        <w:rPr>
          <w:rFonts w:hint="cs"/>
          <w:b/>
          <w:bCs/>
          <w:sz w:val="27"/>
          <w:rtl/>
        </w:rPr>
        <w:t>قَبْلِ</w:t>
      </w:r>
      <w:r w:rsidRPr="006571AC">
        <w:rPr>
          <w:b/>
          <w:bCs/>
          <w:sz w:val="27"/>
          <w:rtl/>
        </w:rPr>
        <w:t xml:space="preserve"> </w:t>
      </w:r>
      <w:r w:rsidRPr="006571AC">
        <w:rPr>
          <w:rFonts w:hint="cs"/>
          <w:b/>
          <w:bCs/>
          <w:sz w:val="27"/>
          <w:rtl/>
        </w:rPr>
        <w:t>أَنْ</w:t>
      </w:r>
      <w:r w:rsidRPr="006571AC">
        <w:rPr>
          <w:b/>
          <w:bCs/>
          <w:sz w:val="27"/>
          <w:rtl/>
        </w:rPr>
        <w:t xml:space="preserve"> </w:t>
      </w:r>
      <w:r w:rsidRPr="006571AC">
        <w:rPr>
          <w:rFonts w:hint="cs"/>
          <w:b/>
          <w:bCs/>
          <w:sz w:val="27"/>
          <w:rtl/>
        </w:rPr>
        <w:t>تَمَسُّوهُنَّ</w:t>
      </w:r>
      <w:r w:rsidRPr="006571AC">
        <w:rPr>
          <w:b/>
          <w:bCs/>
          <w:sz w:val="27"/>
          <w:rtl/>
        </w:rPr>
        <w:t xml:space="preserve"> </w:t>
      </w:r>
      <w:r w:rsidRPr="006571AC">
        <w:rPr>
          <w:rFonts w:hint="cs"/>
          <w:b/>
          <w:bCs/>
          <w:sz w:val="27"/>
          <w:rtl/>
        </w:rPr>
        <w:t>وَقَدْ</w:t>
      </w:r>
      <w:r w:rsidRPr="006571AC">
        <w:rPr>
          <w:b/>
          <w:bCs/>
          <w:sz w:val="27"/>
          <w:rtl/>
        </w:rPr>
        <w:t xml:space="preserve"> </w:t>
      </w:r>
      <w:r w:rsidRPr="006571AC">
        <w:rPr>
          <w:rFonts w:hint="cs"/>
          <w:b/>
          <w:bCs/>
          <w:sz w:val="27"/>
          <w:rtl/>
        </w:rPr>
        <w:t>فَرَضْتُمْ</w:t>
      </w:r>
      <w:r w:rsidRPr="006571AC">
        <w:rPr>
          <w:b/>
          <w:bCs/>
          <w:sz w:val="27"/>
          <w:rtl/>
        </w:rPr>
        <w:t xml:space="preserve"> </w:t>
      </w:r>
      <w:r w:rsidRPr="006571AC">
        <w:rPr>
          <w:rFonts w:hint="cs"/>
          <w:b/>
          <w:bCs/>
          <w:sz w:val="27"/>
          <w:rtl/>
        </w:rPr>
        <w:t>لَهُنَّ</w:t>
      </w:r>
      <w:r w:rsidRPr="006571AC">
        <w:rPr>
          <w:b/>
          <w:bCs/>
          <w:sz w:val="27"/>
          <w:rtl/>
        </w:rPr>
        <w:t xml:space="preserve"> </w:t>
      </w:r>
      <w:r w:rsidRPr="006571AC">
        <w:rPr>
          <w:rFonts w:hint="cs"/>
          <w:b/>
          <w:bCs/>
          <w:sz w:val="27"/>
          <w:rtl/>
        </w:rPr>
        <w:t>فَرِيضَةً</w:t>
      </w:r>
      <w:r w:rsidRPr="006571AC">
        <w:rPr>
          <w:b/>
          <w:bCs/>
          <w:sz w:val="27"/>
          <w:rtl/>
        </w:rPr>
        <w:t xml:space="preserve"> </w:t>
      </w:r>
      <w:r w:rsidRPr="006571AC">
        <w:rPr>
          <w:rFonts w:hint="cs"/>
          <w:b/>
          <w:bCs/>
          <w:sz w:val="27"/>
          <w:rtl/>
        </w:rPr>
        <w:t>فَنِصْفُ</w:t>
      </w:r>
      <w:r w:rsidRPr="006571AC">
        <w:rPr>
          <w:b/>
          <w:bCs/>
          <w:sz w:val="27"/>
          <w:rtl/>
        </w:rPr>
        <w:t xml:space="preserve"> </w:t>
      </w:r>
      <w:r w:rsidRPr="006571AC">
        <w:rPr>
          <w:rFonts w:hint="cs"/>
          <w:b/>
          <w:bCs/>
          <w:sz w:val="27"/>
          <w:rtl/>
        </w:rPr>
        <w:t>م</w:t>
      </w:r>
      <w:r w:rsidR="0003398D" w:rsidRPr="006571AC">
        <w:rPr>
          <w:rFonts w:hint="cs"/>
          <w:b/>
          <w:bCs/>
          <w:sz w:val="27"/>
          <w:rtl/>
        </w:rPr>
        <w:t>َ</w:t>
      </w:r>
      <w:r w:rsidRPr="006571AC">
        <w:rPr>
          <w:rFonts w:hint="cs"/>
          <w:b/>
          <w:bCs/>
          <w:sz w:val="27"/>
          <w:rtl/>
        </w:rPr>
        <w:t>ا</w:t>
      </w:r>
      <w:r w:rsidRPr="006571AC">
        <w:rPr>
          <w:b/>
          <w:bCs/>
          <w:sz w:val="27"/>
          <w:rtl/>
        </w:rPr>
        <w:t xml:space="preserve"> </w:t>
      </w:r>
      <w:r w:rsidRPr="006571AC">
        <w:rPr>
          <w:rFonts w:hint="cs"/>
          <w:b/>
          <w:bCs/>
          <w:sz w:val="27"/>
          <w:rtl/>
        </w:rPr>
        <w:t>فَرَضْتُم</w:t>
      </w:r>
      <w:r w:rsidR="0003398D" w:rsidRPr="006571AC">
        <w:rPr>
          <w:rFonts w:hint="cs"/>
          <w:b/>
          <w:bCs/>
          <w:sz w:val="27"/>
          <w:rtl/>
        </w:rPr>
        <w:t>ْ</w:t>
      </w:r>
      <w:r w:rsidRPr="006571AC">
        <w:rPr>
          <w:rFonts w:ascii="Mosawi" w:hAnsi="Mosawi" w:cs="Mosawi"/>
          <w:sz w:val="24"/>
          <w:szCs w:val="24"/>
          <w:rtl/>
        </w:rPr>
        <w:t>﴾</w:t>
      </w:r>
      <w:r w:rsidRPr="006571AC">
        <w:rPr>
          <w:rFonts w:hint="cs"/>
          <w:sz w:val="27"/>
          <w:rtl/>
        </w:rPr>
        <w:t xml:space="preserve">. </w:t>
      </w:r>
    </w:p>
    <w:p w:rsidR="00237EB1" w:rsidRPr="006571AC" w:rsidRDefault="00237EB1" w:rsidP="00E60D93">
      <w:pPr>
        <w:rPr>
          <w:sz w:val="27"/>
          <w:rtl/>
        </w:rPr>
      </w:pPr>
      <w:bookmarkStart w:id="249" w:name="_Toc79281924"/>
      <w:bookmarkStart w:id="250" w:name="_Toc114164700"/>
      <w:r w:rsidRPr="006571AC">
        <w:rPr>
          <w:rStyle w:val="1Char"/>
          <w:rFonts w:cs="AL-Mohanad" w:hint="cs"/>
          <w:b w:val="0"/>
          <w:bCs/>
          <w:sz w:val="27"/>
          <w:szCs w:val="27"/>
          <w:rtl/>
        </w:rPr>
        <w:t>2ـ استقرار المهر</w:t>
      </w:r>
      <w:r w:rsidRPr="006571AC">
        <w:rPr>
          <w:rStyle w:val="1Char"/>
          <w:rFonts w:cs="AL-Mohanad" w:hint="cs"/>
          <w:sz w:val="27"/>
          <w:szCs w:val="27"/>
          <w:rtl/>
        </w:rPr>
        <w:t>:</w:t>
      </w:r>
      <w:bookmarkEnd w:id="249"/>
      <w:bookmarkEnd w:id="250"/>
      <w:r w:rsidRPr="006571AC">
        <w:rPr>
          <w:rStyle w:val="1Char"/>
          <w:rFonts w:cs="AL-Mohanad" w:hint="cs"/>
          <w:sz w:val="27"/>
          <w:szCs w:val="27"/>
          <w:rtl/>
        </w:rPr>
        <w:t xml:space="preserve"> </w:t>
      </w:r>
      <w:r w:rsidRPr="006571AC">
        <w:rPr>
          <w:rFonts w:hint="cs"/>
          <w:sz w:val="27"/>
          <w:rtl/>
        </w:rPr>
        <w:t>يستقر</w:t>
      </w:r>
      <w:r w:rsidR="00716BC4" w:rsidRPr="006571AC">
        <w:rPr>
          <w:rFonts w:hint="cs"/>
          <w:sz w:val="27"/>
          <w:rtl/>
        </w:rPr>
        <w:t>ّ</w:t>
      </w:r>
      <w:r w:rsidRPr="006571AC">
        <w:rPr>
          <w:rFonts w:hint="cs"/>
          <w:sz w:val="27"/>
          <w:rtl/>
        </w:rPr>
        <w:t xml:space="preserve"> المهر بأحد </w:t>
      </w:r>
      <w:r w:rsidR="00716BC4" w:rsidRPr="006571AC">
        <w:rPr>
          <w:rFonts w:hint="cs"/>
          <w:sz w:val="27"/>
          <w:rtl/>
        </w:rPr>
        <w:t>أ</w:t>
      </w:r>
      <w:r w:rsidRPr="006571AC">
        <w:rPr>
          <w:rFonts w:hint="cs"/>
          <w:sz w:val="27"/>
          <w:rtl/>
        </w:rPr>
        <w:t>مور أربعة: بالدخول، وهو</w:t>
      </w:r>
      <w:r w:rsidRPr="006571AC">
        <w:rPr>
          <w:sz w:val="27"/>
          <w:rtl/>
        </w:rPr>
        <w:t xml:space="preserve"> </w:t>
      </w:r>
      <w:r w:rsidRPr="006571AC">
        <w:rPr>
          <w:rFonts w:hint="cs"/>
          <w:sz w:val="27"/>
          <w:rtl/>
        </w:rPr>
        <w:t>الوطء</w:t>
      </w:r>
      <w:r w:rsidRPr="006571AC">
        <w:rPr>
          <w:sz w:val="27"/>
          <w:rtl/>
        </w:rPr>
        <w:t xml:space="preserve"> </w:t>
      </w:r>
      <w:r w:rsidRPr="006571AC">
        <w:rPr>
          <w:rFonts w:hint="cs"/>
          <w:sz w:val="27"/>
          <w:rtl/>
        </w:rPr>
        <w:t>ق</w:t>
      </w:r>
      <w:r w:rsidR="00716BC4" w:rsidRPr="006571AC">
        <w:rPr>
          <w:rFonts w:hint="cs"/>
          <w:sz w:val="27"/>
          <w:rtl/>
        </w:rPr>
        <w:t>ُ</w:t>
      </w:r>
      <w:r w:rsidRPr="006571AC">
        <w:rPr>
          <w:rFonts w:hint="cs"/>
          <w:sz w:val="27"/>
          <w:rtl/>
        </w:rPr>
        <w:t>ب</w:t>
      </w:r>
      <w:r w:rsidR="00716BC4" w:rsidRPr="006571AC">
        <w:rPr>
          <w:rFonts w:hint="cs"/>
          <w:sz w:val="27"/>
          <w:rtl/>
        </w:rPr>
        <w:t>ُ</w:t>
      </w:r>
      <w:r w:rsidRPr="006571AC">
        <w:rPr>
          <w:rFonts w:hint="cs"/>
          <w:sz w:val="27"/>
          <w:rtl/>
        </w:rPr>
        <w:t>لاً</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د</w:t>
      </w:r>
      <w:r w:rsidR="00716BC4" w:rsidRPr="006571AC">
        <w:rPr>
          <w:rFonts w:hint="cs"/>
          <w:sz w:val="27"/>
          <w:rtl/>
        </w:rPr>
        <w:t>ُ</w:t>
      </w:r>
      <w:r w:rsidRPr="006571AC">
        <w:rPr>
          <w:rFonts w:hint="cs"/>
          <w:sz w:val="27"/>
          <w:rtl/>
        </w:rPr>
        <w:t>ب</w:t>
      </w:r>
      <w:r w:rsidR="00716BC4" w:rsidRPr="006571AC">
        <w:rPr>
          <w:rFonts w:hint="cs"/>
          <w:sz w:val="27"/>
          <w:rtl/>
        </w:rPr>
        <w:t>ُ</w:t>
      </w:r>
      <w:r w:rsidRPr="006571AC">
        <w:rPr>
          <w:rFonts w:hint="cs"/>
          <w:sz w:val="27"/>
          <w:rtl/>
        </w:rPr>
        <w:t>راً</w:t>
      </w:r>
      <w:r w:rsidRPr="006571AC">
        <w:rPr>
          <w:sz w:val="27"/>
          <w:vertAlign w:val="superscript"/>
          <w:rtl/>
        </w:rPr>
        <w:t>(</w:t>
      </w:r>
      <w:r w:rsidRPr="006571AC">
        <w:rPr>
          <w:sz w:val="27"/>
          <w:vertAlign w:val="superscript"/>
          <w:rtl/>
        </w:rPr>
        <w:endnoteReference w:id="431"/>
      </w:r>
      <w:r w:rsidRPr="006571AC">
        <w:rPr>
          <w:sz w:val="27"/>
          <w:vertAlign w:val="superscript"/>
          <w:rtl/>
        </w:rPr>
        <w:t>)</w:t>
      </w:r>
      <w:r w:rsidR="00716BC4" w:rsidRPr="006571AC">
        <w:rPr>
          <w:rFonts w:hint="cs"/>
          <w:sz w:val="27"/>
          <w:rtl/>
        </w:rPr>
        <w:t>؛</w:t>
      </w:r>
      <w:r w:rsidRPr="006571AC">
        <w:rPr>
          <w:sz w:val="27"/>
          <w:rtl/>
        </w:rPr>
        <w:t xml:space="preserve"> </w:t>
      </w:r>
      <w:r w:rsidRPr="006571AC">
        <w:rPr>
          <w:rFonts w:hint="cs"/>
          <w:sz w:val="27"/>
          <w:rtl/>
        </w:rPr>
        <w:t>وبردّة</w:t>
      </w:r>
      <w:r w:rsidRPr="006571AC">
        <w:rPr>
          <w:sz w:val="27"/>
          <w:rtl/>
        </w:rPr>
        <w:t xml:space="preserve"> </w:t>
      </w:r>
      <w:r w:rsidRPr="006571AC">
        <w:rPr>
          <w:rFonts w:hint="cs"/>
          <w:sz w:val="27"/>
          <w:rtl/>
        </w:rPr>
        <w:t>الزوج</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فطرة</w:t>
      </w:r>
      <w:r w:rsidR="00716BC4" w:rsidRPr="006571AC">
        <w:rPr>
          <w:rFonts w:hint="cs"/>
          <w:sz w:val="27"/>
          <w:rtl/>
        </w:rPr>
        <w:t>ٍ</w:t>
      </w:r>
      <w:r w:rsidRPr="006571AC">
        <w:rPr>
          <w:rFonts w:hint="cs"/>
          <w:sz w:val="27"/>
          <w:rtl/>
        </w:rPr>
        <w:t>؛ وبموت</w:t>
      </w:r>
      <w:r w:rsidRPr="006571AC">
        <w:rPr>
          <w:sz w:val="27"/>
          <w:rtl/>
        </w:rPr>
        <w:t xml:space="preserve"> </w:t>
      </w:r>
      <w:r w:rsidRPr="006571AC">
        <w:rPr>
          <w:rFonts w:hint="cs"/>
          <w:sz w:val="27"/>
          <w:rtl/>
        </w:rPr>
        <w:t>الزوج</w:t>
      </w:r>
      <w:r w:rsidRPr="006571AC">
        <w:rPr>
          <w:sz w:val="27"/>
          <w:vertAlign w:val="superscript"/>
          <w:rtl/>
        </w:rPr>
        <w:t>(</w:t>
      </w:r>
      <w:r w:rsidRPr="006571AC">
        <w:rPr>
          <w:sz w:val="27"/>
          <w:vertAlign w:val="superscript"/>
          <w:rtl/>
        </w:rPr>
        <w:endnoteReference w:id="432"/>
      </w:r>
      <w:r w:rsidRPr="006571AC">
        <w:rPr>
          <w:sz w:val="27"/>
          <w:vertAlign w:val="superscript"/>
          <w:rtl/>
        </w:rPr>
        <w:t>)</w:t>
      </w:r>
      <w:r w:rsidR="00716BC4" w:rsidRPr="006571AC">
        <w:rPr>
          <w:rFonts w:hint="cs"/>
          <w:sz w:val="27"/>
          <w:rtl/>
        </w:rPr>
        <w:t>؛</w:t>
      </w:r>
      <w:r w:rsidRPr="006571AC">
        <w:rPr>
          <w:rFonts w:hint="cs"/>
          <w:sz w:val="27"/>
          <w:rtl/>
        </w:rPr>
        <w:t xml:space="preserve"> وبموت</w:t>
      </w:r>
      <w:r w:rsidRPr="006571AC">
        <w:rPr>
          <w:sz w:val="27"/>
          <w:rtl/>
        </w:rPr>
        <w:t xml:space="preserve"> </w:t>
      </w:r>
      <w:r w:rsidRPr="006571AC">
        <w:rPr>
          <w:rFonts w:hint="cs"/>
          <w:sz w:val="27"/>
          <w:rtl/>
        </w:rPr>
        <w:t>الزوجة</w:t>
      </w:r>
      <w:r w:rsidR="00716BC4" w:rsidRPr="006571AC">
        <w:rPr>
          <w:rFonts w:hint="cs"/>
          <w:sz w:val="27"/>
          <w:rtl/>
        </w:rPr>
        <w:t>؛</w:t>
      </w:r>
      <w:r w:rsidRPr="006571AC">
        <w:rPr>
          <w:rFonts w:hint="cs"/>
          <w:sz w:val="27"/>
          <w:rtl/>
        </w:rPr>
        <w:t xml:space="preserve"> لصحيحة زُرَارَةَ</w:t>
      </w:r>
      <w:r w:rsidRPr="006571AC">
        <w:rPr>
          <w:sz w:val="27"/>
          <w:rtl/>
        </w:rPr>
        <w:t xml:space="preserve"> </w:t>
      </w:r>
      <w:r w:rsidRPr="006571AC">
        <w:rPr>
          <w:rFonts w:hint="cs"/>
          <w:sz w:val="27"/>
          <w:rtl/>
        </w:rPr>
        <w:t>قَالَ</w:t>
      </w:r>
      <w:r w:rsidRPr="006571AC">
        <w:rPr>
          <w:sz w:val="27"/>
          <w:rtl/>
        </w:rPr>
        <w:t xml:space="preserve">: </w:t>
      </w:r>
      <w:r w:rsidRPr="006571AC">
        <w:rPr>
          <w:rFonts w:hint="eastAsia"/>
          <w:sz w:val="24"/>
          <w:szCs w:val="24"/>
          <w:rtl/>
        </w:rPr>
        <w:t>«</w:t>
      </w:r>
      <w:r w:rsidRPr="006571AC">
        <w:rPr>
          <w:rFonts w:hint="cs"/>
          <w:sz w:val="27"/>
          <w:rtl/>
        </w:rPr>
        <w:t>سَأَلْتُ</w:t>
      </w:r>
      <w:r w:rsidRPr="006571AC">
        <w:rPr>
          <w:sz w:val="27"/>
          <w:rtl/>
        </w:rPr>
        <w:t xml:space="preserve"> </w:t>
      </w:r>
      <w:r w:rsidRPr="006571AC">
        <w:rPr>
          <w:rFonts w:hint="cs"/>
          <w:sz w:val="27"/>
          <w:rtl/>
        </w:rPr>
        <w:t>أَبَا</w:t>
      </w:r>
      <w:r w:rsidRPr="006571AC">
        <w:rPr>
          <w:sz w:val="27"/>
          <w:rtl/>
        </w:rPr>
        <w:t xml:space="preserve"> </w:t>
      </w:r>
      <w:r w:rsidRPr="006571AC">
        <w:rPr>
          <w:rFonts w:hint="cs"/>
          <w:sz w:val="27"/>
          <w:rtl/>
        </w:rPr>
        <w:t>عَبْدِ</w:t>
      </w:r>
      <w:r w:rsidRPr="006571AC">
        <w:rPr>
          <w:sz w:val="27"/>
          <w:rtl/>
        </w:rPr>
        <w:t xml:space="preserve"> </w:t>
      </w:r>
      <w:r w:rsidR="0097633B" w:rsidRPr="006571AC">
        <w:rPr>
          <w:rFonts w:hint="cs"/>
          <w:sz w:val="27"/>
          <w:rtl/>
        </w:rPr>
        <w:t>الل</w:t>
      </w:r>
      <w:r w:rsidRPr="006571AC">
        <w:rPr>
          <w:rFonts w:hint="cs"/>
          <w:sz w:val="27"/>
          <w:rtl/>
        </w:rPr>
        <w:t>هِ</w:t>
      </w:r>
      <w:r w:rsidR="002A2C90" w:rsidRPr="006571AC">
        <w:rPr>
          <w:rFonts w:ascii="Mosawi" w:hAnsi="Mosawi" w:cs="Mosawi"/>
          <w:sz w:val="22"/>
          <w:szCs w:val="22"/>
          <w:rtl/>
        </w:rPr>
        <w:t>×</w:t>
      </w:r>
      <w:r w:rsidR="004459D6"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رَجُلٍ</w:t>
      </w:r>
      <w:r w:rsidRPr="006571AC">
        <w:rPr>
          <w:sz w:val="27"/>
          <w:rtl/>
        </w:rPr>
        <w:t xml:space="preserve"> </w:t>
      </w:r>
      <w:r w:rsidRPr="006571AC">
        <w:rPr>
          <w:rFonts w:hint="cs"/>
          <w:sz w:val="27"/>
          <w:rtl/>
        </w:rPr>
        <w:t>تَزَوَّجَ</w:t>
      </w:r>
      <w:r w:rsidRPr="006571AC">
        <w:rPr>
          <w:sz w:val="27"/>
          <w:rtl/>
        </w:rPr>
        <w:t xml:space="preserve"> </w:t>
      </w:r>
      <w:r w:rsidRPr="006571AC">
        <w:rPr>
          <w:rFonts w:hint="cs"/>
          <w:sz w:val="27"/>
          <w:rtl/>
        </w:rPr>
        <w:t>امْرَأَةً</w:t>
      </w:r>
      <w:r w:rsidRPr="006571AC">
        <w:rPr>
          <w:sz w:val="27"/>
          <w:rtl/>
        </w:rPr>
        <w:t xml:space="preserve"> و</w:t>
      </w:r>
      <w:r w:rsidRPr="006571AC">
        <w:rPr>
          <w:rFonts w:hint="cs"/>
          <w:sz w:val="27"/>
          <w:rtl/>
        </w:rPr>
        <w:t>لَمْ</w:t>
      </w:r>
      <w:r w:rsidRPr="006571AC">
        <w:rPr>
          <w:sz w:val="27"/>
          <w:rtl/>
        </w:rPr>
        <w:t xml:space="preserve"> </w:t>
      </w:r>
      <w:r w:rsidRPr="006571AC">
        <w:rPr>
          <w:rFonts w:hint="cs"/>
          <w:sz w:val="27"/>
          <w:rtl/>
        </w:rPr>
        <w:t>يَدْخُلْ</w:t>
      </w:r>
      <w:r w:rsidRPr="006571AC">
        <w:rPr>
          <w:sz w:val="27"/>
          <w:rtl/>
        </w:rPr>
        <w:t xml:space="preserve"> </w:t>
      </w:r>
      <w:r w:rsidRPr="006571AC">
        <w:rPr>
          <w:rFonts w:hint="cs"/>
          <w:sz w:val="27"/>
          <w:rtl/>
        </w:rPr>
        <w:t>بِهَا</w:t>
      </w:r>
      <w:r w:rsidR="00716BC4" w:rsidRPr="006571AC">
        <w:rPr>
          <w:rFonts w:hint="cs"/>
          <w:sz w:val="27"/>
          <w:rtl/>
        </w:rPr>
        <w:t>؟</w:t>
      </w:r>
      <w:r w:rsidRPr="006571AC">
        <w:rPr>
          <w:sz w:val="27"/>
          <w:rtl/>
        </w:rPr>
        <w:t xml:space="preserve"> </w:t>
      </w:r>
      <w:r w:rsidRPr="006571AC">
        <w:rPr>
          <w:rFonts w:hint="cs"/>
          <w:sz w:val="27"/>
          <w:rtl/>
        </w:rPr>
        <w:t>قَالَ</w:t>
      </w:r>
      <w:r w:rsidR="00716BC4" w:rsidRPr="006571AC">
        <w:rPr>
          <w:rFonts w:hint="cs"/>
          <w:sz w:val="27"/>
          <w:rtl/>
        </w:rPr>
        <w:t>:</w:t>
      </w:r>
      <w:r w:rsidRPr="006571AC">
        <w:rPr>
          <w:sz w:val="27"/>
          <w:rtl/>
        </w:rPr>
        <w:t xml:space="preserve"> </w:t>
      </w:r>
      <w:r w:rsidRPr="006571AC">
        <w:rPr>
          <w:rFonts w:hint="cs"/>
          <w:sz w:val="27"/>
          <w:rtl/>
        </w:rPr>
        <w:t>إِنْ</w:t>
      </w:r>
      <w:r w:rsidRPr="006571AC">
        <w:rPr>
          <w:sz w:val="27"/>
          <w:rtl/>
        </w:rPr>
        <w:t xml:space="preserve"> </w:t>
      </w:r>
      <w:r w:rsidRPr="006571AC">
        <w:rPr>
          <w:rFonts w:hint="cs"/>
          <w:sz w:val="27"/>
          <w:rtl/>
        </w:rPr>
        <w:t>هَلَكَتْ</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هَلَكَ</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طَلَّقَهَا</w:t>
      </w:r>
      <w:r w:rsidRPr="006571AC">
        <w:rPr>
          <w:sz w:val="27"/>
          <w:rtl/>
        </w:rPr>
        <w:t xml:space="preserve"> </w:t>
      </w:r>
      <w:r w:rsidRPr="006571AC">
        <w:rPr>
          <w:rFonts w:hint="cs"/>
          <w:sz w:val="27"/>
          <w:rtl/>
        </w:rPr>
        <w:t>فَلَهَا</w:t>
      </w:r>
      <w:r w:rsidRPr="006571AC">
        <w:rPr>
          <w:sz w:val="27"/>
          <w:rtl/>
        </w:rPr>
        <w:t xml:space="preserve"> </w:t>
      </w:r>
      <w:r w:rsidRPr="006571AC">
        <w:rPr>
          <w:rFonts w:hint="cs"/>
          <w:sz w:val="27"/>
          <w:rtl/>
        </w:rPr>
        <w:t>النِّصْفُ</w:t>
      </w:r>
      <w:r w:rsidR="00716BC4" w:rsidRPr="006571AC">
        <w:rPr>
          <w:rFonts w:hint="cs"/>
          <w:sz w:val="27"/>
          <w:rtl/>
        </w:rPr>
        <w:t>،</w:t>
      </w:r>
      <w:r w:rsidRPr="006571AC">
        <w:rPr>
          <w:sz w:val="27"/>
          <w:rtl/>
        </w:rPr>
        <w:t xml:space="preserve"> و</w:t>
      </w:r>
      <w:r w:rsidRPr="006571AC">
        <w:rPr>
          <w:rFonts w:hint="cs"/>
          <w:sz w:val="27"/>
          <w:rtl/>
        </w:rPr>
        <w:t>عَلَيْهَا</w:t>
      </w:r>
      <w:r w:rsidRPr="006571AC">
        <w:rPr>
          <w:sz w:val="27"/>
          <w:rtl/>
        </w:rPr>
        <w:t xml:space="preserve"> </w:t>
      </w:r>
      <w:r w:rsidRPr="006571AC">
        <w:rPr>
          <w:rFonts w:hint="cs"/>
          <w:sz w:val="27"/>
          <w:rtl/>
        </w:rPr>
        <w:t>الْعِدَّةُ</w:t>
      </w:r>
      <w:r w:rsidRPr="006571AC">
        <w:rPr>
          <w:sz w:val="27"/>
          <w:rtl/>
        </w:rPr>
        <w:t xml:space="preserve"> </w:t>
      </w:r>
      <w:r w:rsidRPr="006571AC">
        <w:rPr>
          <w:rFonts w:hint="cs"/>
          <w:sz w:val="27"/>
          <w:rtl/>
        </w:rPr>
        <w:t>كَمَل</w:t>
      </w:r>
      <w:r w:rsidR="00731867" w:rsidRPr="006571AC">
        <w:rPr>
          <w:rFonts w:hint="cs"/>
          <w:sz w:val="27"/>
          <w:rtl/>
        </w:rPr>
        <w:t>اً</w:t>
      </w:r>
      <w:r w:rsidR="00716BC4" w:rsidRPr="006571AC">
        <w:rPr>
          <w:rFonts w:hint="cs"/>
          <w:sz w:val="27"/>
          <w:rtl/>
        </w:rPr>
        <w:t>،</w:t>
      </w:r>
      <w:r w:rsidRPr="006571AC">
        <w:rPr>
          <w:sz w:val="27"/>
          <w:rtl/>
        </w:rPr>
        <w:t xml:space="preserve"> و</w:t>
      </w:r>
      <w:r w:rsidRPr="006571AC">
        <w:rPr>
          <w:rFonts w:hint="cs"/>
          <w:sz w:val="27"/>
          <w:rtl/>
        </w:rPr>
        <w:t>لَهَا</w:t>
      </w:r>
      <w:r w:rsidRPr="006571AC">
        <w:rPr>
          <w:sz w:val="27"/>
          <w:rtl/>
        </w:rPr>
        <w:t xml:space="preserve"> </w:t>
      </w:r>
      <w:r w:rsidRPr="006571AC">
        <w:rPr>
          <w:rFonts w:hint="cs"/>
          <w:sz w:val="27"/>
          <w:rtl/>
        </w:rPr>
        <w:t>الْمِيرَاثُ</w:t>
      </w:r>
      <w:r w:rsidRPr="006571AC">
        <w:rPr>
          <w:rFonts w:hint="eastAsia"/>
          <w:sz w:val="24"/>
          <w:szCs w:val="24"/>
          <w:rtl/>
        </w:rPr>
        <w:t>»</w:t>
      </w:r>
      <w:r w:rsidRPr="006571AC">
        <w:rPr>
          <w:sz w:val="27"/>
          <w:vertAlign w:val="superscript"/>
          <w:rtl/>
        </w:rPr>
        <w:t>(</w:t>
      </w:r>
      <w:r w:rsidRPr="006571AC">
        <w:rPr>
          <w:sz w:val="27"/>
          <w:vertAlign w:val="superscript"/>
          <w:rtl/>
        </w:rPr>
        <w:endnoteReference w:id="433"/>
      </w:r>
      <w:r w:rsidRPr="006571AC">
        <w:rPr>
          <w:sz w:val="27"/>
          <w:vertAlign w:val="superscript"/>
          <w:rtl/>
        </w:rPr>
        <w:t>)</w:t>
      </w:r>
      <w:r w:rsidRPr="006571AC">
        <w:rPr>
          <w:sz w:val="27"/>
          <w:rtl/>
        </w:rPr>
        <w:t xml:space="preserve">. </w:t>
      </w:r>
      <w:r w:rsidRPr="006571AC">
        <w:rPr>
          <w:rFonts w:hint="cs"/>
          <w:sz w:val="27"/>
          <w:rtl/>
        </w:rPr>
        <w:t>ولا يسقط معه ولو لم يقبض</w:t>
      </w:r>
      <w:r w:rsidR="00716BC4" w:rsidRPr="006571AC">
        <w:rPr>
          <w:rFonts w:hint="cs"/>
          <w:sz w:val="27"/>
          <w:rtl/>
        </w:rPr>
        <w:t>.</w:t>
      </w:r>
      <w:r w:rsidRPr="006571AC">
        <w:rPr>
          <w:rFonts w:hint="cs"/>
          <w:sz w:val="27"/>
          <w:rtl/>
        </w:rPr>
        <w:t xml:space="preserve"> ولا يستقر</w:t>
      </w:r>
      <w:r w:rsidR="00716BC4" w:rsidRPr="006571AC">
        <w:rPr>
          <w:rFonts w:hint="cs"/>
          <w:sz w:val="27"/>
          <w:rtl/>
        </w:rPr>
        <w:t>ّ</w:t>
      </w:r>
      <w:r w:rsidRPr="006571AC">
        <w:rPr>
          <w:rFonts w:hint="cs"/>
          <w:sz w:val="27"/>
          <w:rtl/>
        </w:rPr>
        <w:t xml:space="preserve"> بمجر</w:t>
      </w:r>
      <w:r w:rsidR="00FC7458" w:rsidRPr="006571AC">
        <w:rPr>
          <w:rFonts w:hint="cs"/>
          <w:sz w:val="27"/>
          <w:rtl/>
        </w:rPr>
        <w:t>ّ</w:t>
      </w:r>
      <w:r w:rsidRPr="006571AC">
        <w:rPr>
          <w:rFonts w:hint="cs"/>
          <w:sz w:val="27"/>
          <w:rtl/>
        </w:rPr>
        <w:t>د الخ</w:t>
      </w:r>
      <w:r w:rsidR="001C5FD8" w:rsidRPr="006571AC">
        <w:rPr>
          <w:rFonts w:hint="cs"/>
          <w:sz w:val="27"/>
          <w:rtl/>
        </w:rPr>
        <w:t>َ</w:t>
      </w:r>
      <w:r w:rsidRPr="006571AC">
        <w:rPr>
          <w:rFonts w:hint="cs"/>
          <w:sz w:val="27"/>
          <w:rtl/>
        </w:rPr>
        <w:t>ل</w:t>
      </w:r>
      <w:r w:rsidR="001C5FD8" w:rsidRPr="006571AC">
        <w:rPr>
          <w:rFonts w:hint="cs"/>
          <w:sz w:val="27"/>
          <w:rtl/>
        </w:rPr>
        <w:t>ْ</w:t>
      </w:r>
      <w:r w:rsidRPr="006571AC">
        <w:rPr>
          <w:rFonts w:hint="cs"/>
          <w:sz w:val="27"/>
          <w:rtl/>
        </w:rPr>
        <w:t>وة على الأشهر</w:t>
      </w:r>
      <w:r w:rsidR="00716BC4" w:rsidRPr="006571AC">
        <w:rPr>
          <w:rFonts w:hint="cs"/>
          <w:sz w:val="27"/>
          <w:rtl/>
        </w:rPr>
        <w:t>؛</w:t>
      </w:r>
      <w:r w:rsidRPr="006571AC">
        <w:rPr>
          <w:rFonts w:hint="cs"/>
          <w:sz w:val="27"/>
          <w:rtl/>
        </w:rPr>
        <w:t xml:space="preserve"> للأصل</w:t>
      </w:r>
      <w:r w:rsidR="00BE03C2" w:rsidRPr="006571AC">
        <w:rPr>
          <w:rFonts w:hint="cs"/>
          <w:sz w:val="27"/>
          <w:rtl/>
        </w:rPr>
        <w:t>؛</w:t>
      </w:r>
      <w:r w:rsidRPr="006571AC">
        <w:rPr>
          <w:rFonts w:hint="cs"/>
          <w:sz w:val="27"/>
          <w:rtl/>
        </w:rPr>
        <w:t xml:space="preserve"> وقوله تعالى: </w:t>
      </w:r>
      <w:r w:rsidRPr="006571AC">
        <w:rPr>
          <w:rFonts w:ascii="Mosawi" w:hAnsi="Mosawi" w:cs="Mosawi"/>
          <w:sz w:val="24"/>
          <w:szCs w:val="24"/>
          <w:rtl/>
        </w:rPr>
        <w:t>﴿</w:t>
      </w:r>
      <w:r w:rsidRPr="006571AC">
        <w:rPr>
          <w:rFonts w:hint="cs"/>
          <w:b/>
          <w:bCs/>
          <w:sz w:val="27"/>
          <w:rtl/>
        </w:rPr>
        <w:t>وَإِنْ</w:t>
      </w:r>
      <w:r w:rsidRPr="006571AC">
        <w:rPr>
          <w:b/>
          <w:bCs/>
          <w:sz w:val="27"/>
          <w:rtl/>
        </w:rPr>
        <w:t xml:space="preserve"> </w:t>
      </w:r>
      <w:r w:rsidRPr="006571AC">
        <w:rPr>
          <w:rFonts w:hint="cs"/>
          <w:b/>
          <w:bCs/>
          <w:sz w:val="27"/>
          <w:rtl/>
        </w:rPr>
        <w:t>طَلَّقْتُمُوهُنَّ</w:t>
      </w:r>
      <w:r w:rsidRPr="006571AC">
        <w:rPr>
          <w:b/>
          <w:bCs/>
          <w:sz w:val="27"/>
          <w:rtl/>
        </w:rPr>
        <w:t xml:space="preserve"> </w:t>
      </w:r>
      <w:r w:rsidRPr="006571AC">
        <w:rPr>
          <w:rFonts w:hint="cs"/>
          <w:b/>
          <w:bCs/>
          <w:sz w:val="27"/>
          <w:rtl/>
        </w:rPr>
        <w:t>مِنْ</w:t>
      </w:r>
      <w:r w:rsidRPr="006571AC">
        <w:rPr>
          <w:b/>
          <w:bCs/>
          <w:sz w:val="27"/>
          <w:rtl/>
        </w:rPr>
        <w:t xml:space="preserve"> </w:t>
      </w:r>
      <w:r w:rsidRPr="006571AC">
        <w:rPr>
          <w:rFonts w:hint="cs"/>
          <w:b/>
          <w:bCs/>
          <w:sz w:val="27"/>
          <w:rtl/>
        </w:rPr>
        <w:t>قَبْلِ</w:t>
      </w:r>
      <w:r w:rsidRPr="006571AC">
        <w:rPr>
          <w:b/>
          <w:bCs/>
          <w:sz w:val="27"/>
          <w:rtl/>
        </w:rPr>
        <w:t xml:space="preserve"> </w:t>
      </w:r>
      <w:r w:rsidRPr="006571AC">
        <w:rPr>
          <w:rFonts w:hint="cs"/>
          <w:b/>
          <w:bCs/>
          <w:sz w:val="27"/>
          <w:rtl/>
        </w:rPr>
        <w:t>أَنْ</w:t>
      </w:r>
      <w:r w:rsidRPr="006571AC">
        <w:rPr>
          <w:b/>
          <w:bCs/>
          <w:sz w:val="27"/>
          <w:rtl/>
        </w:rPr>
        <w:t xml:space="preserve"> </w:t>
      </w:r>
      <w:r w:rsidRPr="006571AC">
        <w:rPr>
          <w:rFonts w:hint="cs"/>
          <w:b/>
          <w:bCs/>
          <w:sz w:val="27"/>
          <w:rtl/>
        </w:rPr>
        <w:t>تَمَسُّوهُنَّ</w:t>
      </w:r>
      <w:r w:rsidRPr="006571AC">
        <w:rPr>
          <w:rFonts w:ascii="Mosawi" w:hAnsi="Mosawi" w:cs="Mosawi"/>
          <w:sz w:val="24"/>
          <w:szCs w:val="24"/>
          <w:rtl/>
        </w:rPr>
        <w:t>﴾</w:t>
      </w:r>
      <w:r w:rsidR="00BE03C2" w:rsidRPr="006571AC">
        <w:rPr>
          <w:rFonts w:hint="cs"/>
          <w:sz w:val="27"/>
          <w:rtl/>
        </w:rPr>
        <w:t>.</w:t>
      </w:r>
      <w:r w:rsidRPr="006571AC">
        <w:rPr>
          <w:rFonts w:hint="cs"/>
          <w:sz w:val="27"/>
          <w:rtl/>
        </w:rPr>
        <w:t xml:space="preserve"> والنصوص المعتبرة به مستفيضة</w:t>
      </w:r>
      <w:r w:rsidR="00BE03C2" w:rsidRPr="006571AC">
        <w:rPr>
          <w:rFonts w:hint="cs"/>
          <w:sz w:val="27"/>
          <w:rtl/>
        </w:rPr>
        <w:t>ٌ،</w:t>
      </w:r>
      <w:r w:rsidRPr="006571AC">
        <w:rPr>
          <w:rFonts w:hint="cs"/>
          <w:sz w:val="27"/>
          <w:rtl/>
        </w:rPr>
        <w:t xml:space="preserve"> منها: </w:t>
      </w:r>
      <w:r w:rsidR="00BE03C2" w:rsidRPr="006571AC">
        <w:rPr>
          <w:rFonts w:hint="cs"/>
          <w:sz w:val="27"/>
          <w:rtl/>
        </w:rPr>
        <w:t>خبر</w:t>
      </w:r>
      <w:r w:rsidRPr="006571AC">
        <w:rPr>
          <w:sz w:val="27"/>
          <w:rtl/>
        </w:rPr>
        <w:t xml:space="preserve"> </w:t>
      </w:r>
      <w:r w:rsidRPr="006571AC">
        <w:rPr>
          <w:rFonts w:hint="cs"/>
          <w:sz w:val="27"/>
          <w:rtl/>
        </w:rPr>
        <w:t>يُونُسَ</w:t>
      </w:r>
      <w:r w:rsidRPr="006571AC">
        <w:rPr>
          <w:sz w:val="27"/>
          <w:rtl/>
        </w:rPr>
        <w:t xml:space="preserve"> </w:t>
      </w:r>
      <w:r w:rsidRPr="006571AC">
        <w:rPr>
          <w:rFonts w:hint="cs"/>
          <w:sz w:val="27"/>
          <w:rtl/>
        </w:rPr>
        <w:t>بْنِ</w:t>
      </w:r>
      <w:r w:rsidRPr="006571AC">
        <w:rPr>
          <w:sz w:val="27"/>
          <w:rtl/>
        </w:rPr>
        <w:t xml:space="preserve"> </w:t>
      </w:r>
      <w:r w:rsidRPr="006571AC">
        <w:rPr>
          <w:rFonts w:hint="cs"/>
          <w:sz w:val="27"/>
          <w:rtl/>
        </w:rPr>
        <w:t>يَعْقُوبَ</w:t>
      </w:r>
      <w:r w:rsidRPr="006571AC">
        <w:rPr>
          <w:sz w:val="27"/>
          <w:rtl/>
        </w:rPr>
        <w:t xml:space="preserve"> </w:t>
      </w:r>
      <w:r w:rsidRPr="006571AC">
        <w:rPr>
          <w:rFonts w:hint="cs"/>
          <w:sz w:val="27"/>
          <w:rtl/>
        </w:rPr>
        <w:lastRenderedPageBreak/>
        <w:t>قَالَ</w:t>
      </w:r>
      <w:r w:rsidRPr="006571AC">
        <w:rPr>
          <w:sz w:val="27"/>
          <w:rtl/>
        </w:rPr>
        <w:t xml:space="preserve">: </w:t>
      </w:r>
      <w:r w:rsidRPr="006571AC">
        <w:rPr>
          <w:rFonts w:hint="eastAsia"/>
          <w:sz w:val="24"/>
          <w:szCs w:val="24"/>
          <w:rtl/>
        </w:rPr>
        <w:t>«</w:t>
      </w:r>
      <w:r w:rsidRPr="006571AC">
        <w:rPr>
          <w:rFonts w:hint="cs"/>
          <w:sz w:val="27"/>
          <w:rtl/>
        </w:rPr>
        <w:t>سَأَلْتُ</w:t>
      </w:r>
      <w:r w:rsidRPr="006571AC">
        <w:rPr>
          <w:sz w:val="27"/>
          <w:rtl/>
        </w:rPr>
        <w:t xml:space="preserve"> </w:t>
      </w:r>
      <w:r w:rsidRPr="006571AC">
        <w:rPr>
          <w:rFonts w:hint="cs"/>
          <w:sz w:val="27"/>
          <w:rtl/>
        </w:rPr>
        <w:t>أَبَا</w:t>
      </w:r>
      <w:r w:rsidRPr="006571AC">
        <w:rPr>
          <w:sz w:val="27"/>
          <w:rtl/>
        </w:rPr>
        <w:t xml:space="preserve"> </w:t>
      </w:r>
      <w:r w:rsidRPr="006571AC">
        <w:rPr>
          <w:rFonts w:hint="cs"/>
          <w:sz w:val="27"/>
          <w:rtl/>
        </w:rPr>
        <w:t>عَبْدِ</w:t>
      </w:r>
      <w:r w:rsidRPr="006571AC">
        <w:rPr>
          <w:sz w:val="27"/>
          <w:rtl/>
        </w:rPr>
        <w:t xml:space="preserve"> </w:t>
      </w:r>
      <w:r w:rsidR="0097633B" w:rsidRPr="006571AC">
        <w:rPr>
          <w:rFonts w:hint="cs"/>
          <w:sz w:val="27"/>
          <w:rtl/>
        </w:rPr>
        <w:t>الل</w:t>
      </w:r>
      <w:r w:rsidRPr="006571AC">
        <w:rPr>
          <w:rFonts w:hint="cs"/>
          <w:sz w:val="27"/>
          <w:rtl/>
        </w:rPr>
        <w:t>هِ</w:t>
      </w:r>
      <w:r w:rsidR="002A2C90" w:rsidRPr="006571AC">
        <w:rPr>
          <w:rFonts w:ascii="Mosawi" w:hAnsi="Mosawi" w:cs="Mosawi"/>
          <w:sz w:val="22"/>
          <w:szCs w:val="22"/>
          <w:rtl/>
        </w:rPr>
        <w:t>×</w:t>
      </w:r>
      <w:r w:rsidR="004459D6"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رَجُلٍ</w:t>
      </w:r>
      <w:r w:rsidRPr="006571AC">
        <w:rPr>
          <w:sz w:val="27"/>
          <w:rtl/>
        </w:rPr>
        <w:t xml:space="preserve"> </w:t>
      </w:r>
      <w:r w:rsidRPr="006571AC">
        <w:rPr>
          <w:rFonts w:hint="cs"/>
          <w:sz w:val="27"/>
          <w:rtl/>
        </w:rPr>
        <w:t>تَزَوَّجَ</w:t>
      </w:r>
      <w:r w:rsidRPr="006571AC">
        <w:rPr>
          <w:sz w:val="27"/>
          <w:rtl/>
        </w:rPr>
        <w:t xml:space="preserve"> </w:t>
      </w:r>
      <w:r w:rsidRPr="006571AC">
        <w:rPr>
          <w:rFonts w:hint="cs"/>
          <w:sz w:val="27"/>
          <w:rtl/>
        </w:rPr>
        <w:t>امْرَأَةً</w:t>
      </w:r>
      <w:r w:rsidR="00BE03C2" w:rsidRPr="006571AC">
        <w:rPr>
          <w:rFonts w:hint="cs"/>
          <w:sz w:val="27"/>
          <w:rtl/>
        </w:rPr>
        <w:t>،</w:t>
      </w:r>
      <w:r w:rsidRPr="006571AC">
        <w:rPr>
          <w:sz w:val="27"/>
          <w:rtl/>
        </w:rPr>
        <w:t xml:space="preserve"> </w:t>
      </w:r>
      <w:r w:rsidRPr="006571AC">
        <w:rPr>
          <w:rFonts w:hint="cs"/>
          <w:sz w:val="27"/>
          <w:rtl/>
        </w:rPr>
        <w:t>فَأَغْلَقَ</w:t>
      </w:r>
      <w:r w:rsidRPr="006571AC">
        <w:rPr>
          <w:sz w:val="27"/>
          <w:rtl/>
        </w:rPr>
        <w:t xml:space="preserve"> </w:t>
      </w:r>
      <w:r w:rsidRPr="006571AC">
        <w:rPr>
          <w:rFonts w:hint="cs"/>
          <w:sz w:val="27"/>
          <w:rtl/>
        </w:rPr>
        <w:t>بَاباً</w:t>
      </w:r>
      <w:r w:rsidR="00BE03C2" w:rsidRPr="006571AC">
        <w:rPr>
          <w:rFonts w:hint="cs"/>
          <w:sz w:val="27"/>
          <w:rtl/>
        </w:rPr>
        <w:t>،</w:t>
      </w:r>
      <w:r w:rsidRPr="006571AC">
        <w:rPr>
          <w:sz w:val="27"/>
          <w:rtl/>
        </w:rPr>
        <w:t xml:space="preserve"> و</w:t>
      </w:r>
      <w:r w:rsidRPr="006571AC">
        <w:rPr>
          <w:rFonts w:hint="cs"/>
          <w:sz w:val="27"/>
          <w:rtl/>
        </w:rPr>
        <w:t>أَرْخَى</w:t>
      </w:r>
      <w:r w:rsidRPr="006571AC">
        <w:rPr>
          <w:sz w:val="27"/>
          <w:rtl/>
        </w:rPr>
        <w:t xml:space="preserve"> </w:t>
      </w:r>
      <w:r w:rsidRPr="006571AC">
        <w:rPr>
          <w:rFonts w:hint="cs"/>
          <w:sz w:val="27"/>
          <w:rtl/>
        </w:rPr>
        <w:t>سِتْراً</w:t>
      </w:r>
      <w:r w:rsidR="00BE03C2" w:rsidRPr="006571AC">
        <w:rPr>
          <w:rFonts w:hint="cs"/>
          <w:sz w:val="27"/>
          <w:rtl/>
        </w:rPr>
        <w:t>،</w:t>
      </w:r>
      <w:r w:rsidRPr="006571AC">
        <w:rPr>
          <w:sz w:val="27"/>
          <w:rtl/>
        </w:rPr>
        <w:t xml:space="preserve"> و</w:t>
      </w:r>
      <w:r w:rsidRPr="006571AC">
        <w:rPr>
          <w:rFonts w:hint="cs"/>
          <w:sz w:val="27"/>
          <w:rtl/>
        </w:rPr>
        <w:t>لَمَسَ</w:t>
      </w:r>
      <w:r w:rsidRPr="006571AC">
        <w:rPr>
          <w:sz w:val="27"/>
          <w:rtl/>
        </w:rPr>
        <w:t xml:space="preserve"> و</w:t>
      </w:r>
      <w:r w:rsidRPr="006571AC">
        <w:rPr>
          <w:rFonts w:hint="cs"/>
          <w:sz w:val="27"/>
          <w:rtl/>
        </w:rPr>
        <w:t>قَبَّلَ</w:t>
      </w:r>
      <w:r w:rsidR="00BE03C2" w:rsidRPr="006571AC">
        <w:rPr>
          <w:rFonts w:hint="cs"/>
          <w:sz w:val="27"/>
          <w:rtl/>
        </w:rPr>
        <w:t>،</w:t>
      </w:r>
      <w:r w:rsidRPr="006571AC">
        <w:rPr>
          <w:sz w:val="27"/>
          <w:rtl/>
        </w:rPr>
        <w:t xml:space="preserve"> </w:t>
      </w:r>
      <w:r w:rsidRPr="006571AC">
        <w:rPr>
          <w:rFonts w:hint="cs"/>
          <w:sz w:val="27"/>
          <w:rtl/>
        </w:rPr>
        <w:t>ثُمَّ</w:t>
      </w:r>
      <w:r w:rsidRPr="006571AC">
        <w:rPr>
          <w:sz w:val="27"/>
          <w:rtl/>
        </w:rPr>
        <w:t xml:space="preserve"> </w:t>
      </w:r>
      <w:r w:rsidRPr="006571AC">
        <w:rPr>
          <w:rFonts w:hint="cs"/>
          <w:sz w:val="27"/>
          <w:rtl/>
        </w:rPr>
        <w:t>طَلَّقَهَا</w:t>
      </w:r>
      <w:r w:rsidR="00BE03C2" w:rsidRPr="006571AC">
        <w:rPr>
          <w:rFonts w:hint="cs"/>
          <w:sz w:val="27"/>
          <w:rtl/>
        </w:rPr>
        <w:t>،</w:t>
      </w:r>
      <w:r w:rsidRPr="006571AC">
        <w:rPr>
          <w:sz w:val="27"/>
          <w:rtl/>
        </w:rPr>
        <w:t xml:space="preserve"> </w:t>
      </w:r>
      <w:r w:rsidRPr="006571AC">
        <w:rPr>
          <w:rFonts w:hint="cs"/>
          <w:sz w:val="27"/>
          <w:rtl/>
        </w:rPr>
        <w:t>أَيُوجِبُ</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الصَّدَاقَ</w:t>
      </w:r>
      <w:r w:rsidR="00BE03C2" w:rsidRPr="006571AC">
        <w:rPr>
          <w:rFonts w:hint="cs"/>
          <w:sz w:val="27"/>
          <w:rtl/>
        </w:rPr>
        <w:t>؟</w:t>
      </w:r>
      <w:r w:rsidRPr="006571AC">
        <w:rPr>
          <w:sz w:val="27"/>
          <w:rtl/>
        </w:rPr>
        <w:t xml:space="preserve"> </w:t>
      </w:r>
      <w:r w:rsidRPr="006571AC">
        <w:rPr>
          <w:rFonts w:hint="cs"/>
          <w:sz w:val="27"/>
          <w:rtl/>
        </w:rPr>
        <w:t>قَالَ</w:t>
      </w:r>
      <w:r w:rsidR="00BE03C2" w:rsidRPr="006571AC">
        <w:rPr>
          <w:rFonts w:hint="cs"/>
          <w:sz w:val="27"/>
          <w:rtl/>
        </w:rPr>
        <w:t>:</w:t>
      </w:r>
      <w:r w:rsidRPr="006571AC">
        <w:rPr>
          <w:sz w:val="27"/>
          <w:rtl/>
        </w:rPr>
        <w:t xml:space="preserve"> </w:t>
      </w:r>
      <w:r w:rsidR="00BE03C2" w:rsidRPr="006571AC">
        <w:rPr>
          <w:rFonts w:hint="cs"/>
          <w:sz w:val="27"/>
          <w:rtl/>
        </w:rPr>
        <w:t>ل</w:t>
      </w:r>
      <w:r w:rsidRPr="006571AC">
        <w:rPr>
          <w:rFonts w:hint="cs"/>
          <w:sz w:val="27"/>
          <w:rtl/>
        </w:rPr>
        <w:t>ا</w:t>
      </w:r>
      <w:r w:rsidRPr="006571AC">
        <w:rPr>
          <w:sz w:val="27"/>
          <w:rtl/>
        </w:rPr>
        <w:t xml:space="preserve"> </w:t>
      </w:r>
      <w:r w:rsidRPr="006571AC">
        <w:rPr>
          <w:rFonts w:hint="cs"/>
          <w:sz w:val="27"/>
          <w:rtl/>
        </w:rPr>
        <w:t>يُوجِبُ</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الصَّدَاقَ</w:t>
      </w:r>
      <w:r w:rsidRPr="006571AC">
        <w:rPr>
          <w:sz w:val="27"/>
          <w:rtl/>
        </w:rPr>
        <w:t xml:space="preserve"> </w:t>
      </w:r>
      <w:r w:rsidRPr="006571AC">
        <w:rPr>
          <w:rFonts w:hint="cs"/>
          <w:sz w:val="27"/>
          <w:rtl/>
        </w:rPr>
        <w:t>إِلاَّ</w:t>
      </w:r>
      <w:r w:rsidRPr="006571AC">
        <w:rPr>
          <w:sz w:val="27"/>
          <w:rtl/>
        </w:rPr>
        <w:t xml:space="preserve"> </w:t>
      </w:r>
      <w:r w:rsidRPr="006571AC">
        <w:rPr>
          <w:rFonts w:hint="cs"/>
          <w:sz w:val="27"/>
          <w:rtl/>
        </w:rPr>
        <w:t>الْوِقَاعُ</w:t>
      </w:r>
      <w:r w:rsidRPr="006571AC">
        <w:rPr>
          <w:rFonts w:hint="eastAsia"/>
          <w:sz w:val="24"/>
          <w:szCs w:val="24"/>
          <w:rtl/>
        </w:rPr>
        <w:t>»</w:t>
      </w:r>
      <w:r w:rsidRPr="006571AC">
        <w:rPr>
          <w:sz w:val="27"/>
          <w:vertAlign w:val="superscript"/>
          <w:rtl/>
        </w:rPr>
        <w:t>(</w:t>
      </w:r>
      <w:r w:rsidRPr="006571AC">
        <w:rPr>
          <w:sz w:val="27"/>
          <w:vertAlign w:val="superscript"/>
          <w:rtl/>
        </w:rPr>
        <w:endnoteReference w:id="434"/>
      </w:r>
      <w:r w:rsidRPr="006571AC">
        <w:rPr>
          <w:sz w:val="27"/>
          <w:vertAlign w:val="superscript"/>
          <w:rtl/>
        </w:rPr>
        <w:t>)(</w:t>
      </w:r>
      <w:r w:rsidRPr="006571AC">
        <w:rPr>
          <w:sz w:val="27"/>
          <w:vertAlign w:val="superscript"/>
          <w:rtl/>
        </w:rPr>
        <w:endnoteReference w:id="435"/>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386" w:lineRule="exact"/>
        <w:rPr>
          <w:sz w:val="27"/>
          <w:rtl/>
        </w:rPr>
      </w:pPr>
      <w:r w:rsidRPr="006571AC">
        <w:rPr>
          <w:rFonts w:hint="cs"/>
          <w:b/>
          <w:bCs/>
          <w:sz w:val="27"/>
          <w:rtl/>
        </w:rPr>
        <w:t xml:space="preserve">3ـ </w:t>
      </w:r>
      <w:r w:rsidR="00BE03C2" w:rsidRPr="006571AC">
        <w:rPr>
          <w:rFonts w:hint="cs"/>
          <w:b/>
          <w:bCs/>
          <w:sz w:val="27"/>
          <w:rtl/>
        </w:rPr>
        <w:t xml:space="preserve">ضمان </w:t>
      </w:r>
      <w:r w:rsidRPr="006571AC">
        <w:rPr>
          <w:rFonts w:hint="cs"/>
          <w:b/>
          <w:bCs/>
          <w:sz w:val="27"/>
          <w:rtl/>
        </w:rPr>
        <w:t>المهر</w:t>
      </w:r>
      <w:r w:rsidR="00BE03C2" w:rsidRPr="006571AC">
        <w:rPr>
          <w:rFonts w:hint="cs"/>
          <w:sz w:val="27"/>
          <w:rtl/>
        </w:rPr>
        <w:t>:</w:t>
      </w:r>
      <w:r w:rsidRPr="006571AC">
        <w:rPr>
          <w:sz w:val="27"/>
          <w:rtl/>
        </w:rPr>
        <w:t xml:space="preserve"> </w:t>
      </w:r>
      <w:r w:rsidR="00BE03C2" w:rsidRPr="006571AC">
        <w:rPr>
          <w:rFonts w:hint="cs"/>
          <w:sz w:val="27"/>
          <w:rtl/>
        </w:rPr>
        <w:t xml:space="preserve">فهو </w:t>
      </w:r>
      <w:r w:rsidRPr="006571AC">
        <w:rPr>
          <w:rFonts w:hint="cs"/>
          <w:sz w:val="27"/>
          <w:rtl/>
        </w:rPr>
        <w:t>مضمون</w:t>
      </w:r>
      <w:r w:rsidR="00BE03C2"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يد</w:t>
      </w:r>
      <w:r w:rsidRPr="006571AC">
        <w:rPr>
          <w:sz w:val="27"/>
          <w:rtl/>
        </w:rPr>
        <w:t xml:space="preserve"> </w:t>
      </w:r>
      <w:r w:rsidRPr="006571AC">
        <w:rPr>
          <w:rFonts w:hint="cs"/>
          <w:sz w:val="27"/>
          <w:rtl/>
        </w:rPr>
        <w:t>الزوج</w:t>
      </w:r>
      <w:r w:rsidR="00BE03C2" w:rsidRPr="006571AC">
        <w:rPr>
          <w:rFonts w:hint="cs"/>
          <w:sz w:val="27"/>
          <w:rtl/>
        </w:rPr>
        <w:t>،</w:t>
      </w:r>
      <w:r w:rsidRPr="006571AC">
        <w:rPr>
          <w:sz w:val="27"/>
          <w:rtl/>
        </w:rPr>
        <w:t xml:space="preserve"> </w:t>
      </w:r>
      <w:r w:rsidR="00BE03C2" w:rsidRPr="006571AC">
        <w:rPr>
          <w:rFonts w:hint="cs"/>
          <w:sz w:val="27"/>
          <w:rtl/>
        </w:rPr>
        <w:t>ف</w:t>
      </w:r>
      <w:r w:rsidRPr="006571AC">
        <w:rPr>
          <w:rFonts w:hint="cs"/>
          <w:sz w:val="27"/>
          <w:rtl/>
        </w:rPr>
        <w:t>لو</w:t>
      </w:r>
      <w:r w:rsidRPr="006571AC">
        <w:rPr>
          <w:sz w:val="27"/>
          <w:rtl/>
        </w:rPr>
        <w:t xml:space="preserve"> </w:t>
      </w:r>
      <w:r w:rsidRPr="006571AC">
        <w:rPr>
          <w:rFonts w:hint="cs"/>
          <w:sz w:val="27"/>
          <w:rtl/>
        </w:rPr>
        <w:t>تلف</w:t>
      </w:r>
      <w:r w:rsidRPr="006571AC">
        <w:rPr>
          <w:sz w:val="27"/>
          <w:rtl/>
        </w:rPr>
        <w:t xml:space="preserve"> </w:t>
      </w:r>
      <w:r w:rsidRPr="006571AC">
        <w:rPr>
          <w:rFonts w:hint="cs"/>
          <w:sz w:val="27"/>
          <w:rtl/>
        </w:rPr>
        <w:t>رجع</w:t>
      </w:r>
      <w:r w:rsidR="00BE03C2" w:rsidRPr="006571AC">
        <w:rPr>
          <w:rFonts w:hint="cs"/>
          <w:sz w:val="27"/>
          <w:rtl/>
        </w:rPr>
        <w:t>َ</w:t>
      </w:r>
      <w:r w:rsidRPr="006571AC">
        <w:rPr>
          <w:rFonts w:hint="cs"/>
          <w:sz w:val="27"/>
          <w:rtl/>
        </w:rPr>
        <w:t>ت</w:t>
      </w:r>
      <w:r w:rsidR="00BE03C2" w:rsidRPr="006571AC">
        <w:rPr>
          <w:rFonts w:hint="cs"/>
          <w:sz w:val="27"/>
          <w:rtl/>
        </w:rPr>
        <w:t>ْ</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بقيمته</w:t>
      </w:r>
      <w:r w:rsidRPr="006571AC">
        <w:rPr>
          <w:sz w:val="27"/>
          <w:vertAlign w:val="superscript"/>
          <w:rtl/>
        </w:rPr>
        <w:t>(</w:t>
      </w:r>
      <w:r w:rsidRPr="006571AC">
        <w:rPr>
          <w:sz w:val="27"/>
          <w:vertAlign w:val="superscript"/>
          <w:rtl/>
        </w:rPr>
        <w:endnoteReference w:id="436"/>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386" w:lineRule="exact"/>
        <w:rPr>
          <w:sz w:val="27"/>
          <w:rtl/>
        </w:rPr>
      </w:pPr>
    </w:p>
    <w:p w:rsidR="00237EB1" w:rsidRPr="006571AC" w:rsidRDefault="00E4060F" w:rsidP="00E629CB">
      <w:pPr>
        <w:pStyle w:val="31"/>
        <w:rPr>
          <w:color w:val="auto"/>
          <w:rtl/>
        </w:rPr>
      </w:pPr>
      <w:bookmarkStart w:id="251" w:name="_Toc79281925"/>
      <w:bookmarkStart w:id="252" w:name="_Toc114164701"/>
      <w:r w:rsidRPr="006571AC">
        <w:rPr>
          <w:rFonts w:hint="cs"/>
          <w:color w:val="auto"/>
          <w:rtl/>
        </w:rPr>
        <w:t xml:space="preserve">أـ </w:t>
      </w:r>
      <w:r w:rsidR="00FC7458" w:rsidRPr="006571AC">
        <w:rPr>
          <w:rFonts w:hint="cs"/>
          <w:color w:val="auto"/>
          <w:rtl/>
        </w:rPr>
        <w:t>أ</w:t>
      </w:r>
      <w:r w:rsidR="00237EB1" w:rsidRPr="006571AC">
        <w:rPr>
          <w:color w:val="auto"/>
          <w:rtl/>
        </w:rPr>
        <w:t>حكام المهر قبل الدخول</w:t>
      </w:r>
      <w:bookmarkEnd w:id="251"/>
      <w:bookmarkEnd w:id="252"/>
    </w:p>
    <w:p w:rsidR="00237EB1" w:rsidRPr="006571AC" w:rsidRDefault="00237EB1" w:rsidP="00311177">
      <w:pPr>
        <w:spacing w:line="386" w:lineRule="exact"/>
        <w:rPr>
          <w:sz w:val="27"/>
          <w:rtl/>
        </w:rPr>
      </w:pPr>
      <w:r w:rsidRPr="006571AC">
        <w:rPr>
          <w:rFonts w:hint="cs"/>
          <w:sz w:val="27"/>
          <w:rtl/>
        </w:rPr>
        <w:t xml:space="preserve"> </w:t>
      </w:r>
      <w:r w:rsidR="008D70E8" w:rsidRPr="006571AC">
        <w:rPr>
          <w:rFonts w:hint="cs"/>
          <w:sz w:val="27"/>
          <w:rtl/>
        </w:rPr>
        <w:t xml:space="preserve">ذكر الفقهاء </w:t>
      </w:r>
      <w:r w:rsidRPr="006571AC">
        <w:rPr>
          <w:rFonts w:hint="cs"/>
          <w:sz w:val="27"/>
          <w:rtl/>
        </w:rPr>
        <w:t>جملة</w:t>
      </w:r>
      <w:r w:rsidR="008D70E8" w:rsidRPr="006571AC">
        <w:rPr>
          <w:rFonts w:hint="cs"/>
          <w:sz w:val="27"/>
          <w:rtl/>
        </w:rPr>
        <w:t>ً</w:t>
      </w:r>
      <w:r w:rsidRPr="006571AC">
        <w:rPr>
          <w:rFonts w:hint="cs"/>
          <w:sz w:val="27"/>
          <w:rtl/>
        </w:rPr>
        <w:t xml:space="preserve"> من ال</w:t>
      </w:r>
      <w:r w:rsidR="008D70E8" w:rsidRPr="006571AC">
        <w:rPr>
          <w:rFonts w:hint="cs"/>
          <w:sz w:val="27"/>
          <w:rtl/>
        </w:rPr>
        <w:t>أ</w:t>
      </w:r>
      <w:r w:rsidRPr="006571AC">
        <w:rPr>
          <w:rFonts w:hint="cs"/>
          <w:sz w:val="27"/>
          <w:rtl/>
        </w:rPr>
        <w:t>حكام المتعل</w:t>
      </w:r>
      <w:r w:rsidR="00BE03C2" w:rsidRPr="006571AC">
        <w:rPr>
          <w:rFonts w:hint="cs"/>
          <w:sz w:val="27"/>
          <w:rtl/>
        </w:rPr>
        <w:t>ِّ</w:t>
      </w:r>
      <w:r w:rsidRPr="006571AC">
        <w:rPr>
          <w:rFonts w:hint="cs"/>
          <w:sz w:val="27"/>
          <w:rtl/>
        </w:rPr>
        <w:t>قة بالمهر قبل الدخول</w:t>
      </w:r>
      <w:r w:rsidR="008D70E8" w:rsidRPr="006571AC">
        <w:rPr>
          <w:rFonts w:hint="cs"/>
          <w:sz w:val="27"/>
          <w:rtl/>
        </w:rPr>
        <w:t>،</w:t>
      </w:r>
      <w:r w:rsidRPr="006571AC">
        <w:rPr>
          <w:rFonts w:hint="cs"/>
          <w:sz w:val="27"/>
          <w:rtl/>
        </w:rPr>
        <w:t xml:space="preserve"> وهي: </w:t>
      </w:r>
    </w:p>
    <w:p w:rsidR="00237EB1" w:rsidRPr="006571AC" w:rsidRDefault="00237EB1" w:rsidP="00311177">
      <w:pPr>
        <w:spacing w:line="386" w:lineRule="exact"/>
        <w:rPr>
          <w:sz w:val="27"/>
          <w:rtl/>
        </w:rPr>
      </w:pPr>
      <w:r w:rsidRPr="006571AC">
        <w:rPr>
          <w:rFonts w:hint="cs"/>
          <w:sz w:val="27"/>
          <w:rtl/>
        </w:rPr>
        <w:t>1ـ إذا</w:t>
      </w:r>
      <w:r w:rsidRPr="006571AC">
        <w:rPr>
          <w:sz w:val="27"/>
          <w:rtl/>
        </w:rPr>
        <w:t xml:space="preserve"> </w:t>
      </w:r>
      <w:r w:rsidRPr="006571AC">
        <w:rPr>
          <w:rFonts w:hint="cs"/>
          <w:sz w:val="27"/>
          <w:rtl/>
        </w:rPr>
        <w:t>تزوّج</w:t>
      </w:r>
      <w:r w:rsidRPr="006571AC">
        <w:rPr>
          <w:sz w:val="27"/>
          <w:rtl/>
        </w:rPr>
        <w:t xml:space="preserve"> </w:t>
      </w:r>
      <w:r w:rsidRPr="006571AC">
        <w:rPr>
          <w:rFonts w:hint="cs"/>
          <w:sz w:val="27"/>
          <w:rtl/>
        </w:rPr>
        <w:t>الرجل</w:t>
      </w:r>
      <w:r w:rsidRPr="006571AC">
        <w:rPr>
          <w:sz w:val="27"/>
          <w:rtl/>
        </w:rPr>
        <w:t xml:space="preserve"> </w:t>
      </w:r>
      <w:r w:rsidRPr="006571AC">
        <w:rPr>
          <w:rFonts w:hint="cs"/>
          <w:sz w:val="27"/>
          <w:rtl/>
        </w:rPr>
        <w:t>المرأة</w:t>
      </w:r>
      <w:r w:rsidR="008D70E8" w:rsidRPr="006571AC">
        <w:rPr>
          <w:rFonts w:hint="cs"/>
          <w:sz w:val="27"/>
          <w:rtl/>
        </w:rPr>
        <w:t>،</w:t>
      </w:r>
      <w:r w:rsidRPr="006571AC">
        <w:rPr>
          <w:sz w:val="27"/>
          <w:rtl/>
        </w:rPr>
        <w:t xml:space="preserve"> </w:t>
      </w:r>
      <w:r w:rsidRPr="006571AC">
        <w:rPr>
          <w:rFonts w:hint="cs"/>
          <w:sz w:val="27"/>
          <w:rtl/>
        </w:rPr>
        <w:t>ولم</w:t>
      </w:r>
      <w:r w:rsidRPr="006571AC">
        <w:rPr>
          <w:sz w:val="27"/>
          <w:rtl/>
        </w:rPr>
        <w:t xml:space="preserve"> </w:t>
      </w:r>
      <w:r w:rsidRPr="006571AC">
        <w:rPr>
          <w:rFonts w:hint="cs"/>
          <w:sz w:val="27"/>
          <w:rtl/>
        </w:rPr>
        <w:t>يسمّ</w:t>
      </w:r>
      <w:r w:rsidR="008D70E8" w:rsidRPr="006571AC">
        <w:rPr>
          <w:rFonts w:hint="cs"/>
          <w:sz w:val="27"/>
          <w:rtl/>
        </w:rPr>
        <w:t>ِ</w:t>
      </w:r>
      <w:r w:rsidRPr="006571AC">
        <w:rPr>
          <w:sz w:val="27"/>
          <w:rtl/>
        </w:rPr>
        <w:t xml:space="preserve"> </w:t>
      </w:r>
      <w:r w:rsidRPr="006571AC">
        <w:rPr>
          <w:rFonts w:hint="cs"/>
          <w:sz w:val="27"/>
          <w:rtl/>
        </w:rPr>
        <w:t>لها</w:t>
      </w:r>
      <w:r w:rsidRPr="006571AC">
        <w:rPr>
          <w:sz w:val="27"/>
          <w:rtl/>
        </w:rPr>
        <w:t xml:space="preserve"> </w:t>
      </w:r>
      <w:r w:rsidRPr="006571AC">
        <w:rPr>
          <w:rFonts w:hint="cs"/>
          <w:sz w:val="27"/>
          <w:rtl/>
        </w:rPr>
        <w:t>مهراً، وقدّ</w:t>
      </w:r>
      <w:r w:rsidR="008D70E8" w:rsidRPr="006571AC">
        <w:rPr>
          <w:rFonts w:hint="cs"/>
          <w:sz w:val="27"/>
          <w:rtl/>
        </w:rPr>
        <w:t>َ</w:t>
      </w:r>
      <w:r w:rsidRPr="006571AC">
        <w:rPr>
          <w:rFonts w:hint="cs"/>
          <w:sz w:val="27"/>
          <w:rtl/>
        </w:rPr>
        <w:t>م</w:t>
      </w:r>
      <w:r w:rsidRPr="006571AC">
        <w:rPr>
          <w:sz w:val="27"/>
          <w:rtl/>
        </w:rPr>
        <w:t xml:space="preserve"> </w:t>
      </w:r>
      <w:r w:rsidRPr="006571AC">
        <w:rPr>
          <w:rFonts w:hint="cs"/>
          <w:sz w:val="27"/>
          <w:rtl/>
        </w:rPr>
        <w:t>إليها</w:t>
      </w:r>
      <w:r w:rsidRPr="006571AC">
        <w:rPr>
          <w:sz w:val="27"/>
          <w:rtl/>
        </w:rPr>
        <w:t xml:space="preserve"> </w:t>
      </w:r>
      <w:r w:rsidRPr="006571AC">
        <w:rPr>
          <w:rFonts w:hint="cs"/>
          <w:sz w:val="27"/>
          <w:rtl/>
        </w:rPr>
        <w:t>شيئاً</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الدخول، كان</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مهر</w:t>
      </w:r>
      <w:r w:rsidR="008D70E8" w:rsidRPr="006571AC">
        <w:rPr>
          <w:rFonts w:hint="cs"/>
          <w:sz w:val="27"/>
          <w:rtl/>
        </w:rPr>
        <w:t>ُ</w:t>
      </w:r>
      <w:r w:rsidRPr="006571AC">
        <w:rPr>
          <w:rFonts w:hint="cs"/>
          <w:sz w:val="27"/>
          <w:rtl/>
        </w:rPr>
        <w:t>ها، ما</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يشترط</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الدخول</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غير</w:t>
      </w:r>
      <w:r w:rsidR="008D70E8" w:rsidRPr="006571AC">
        <w:rPr>
          <w:rFonts w:hint="cs"/>
          <w:sz w:val="27"/>
          <w:rtl/>
        </w:rPr>
        <w:t>ُ</w:t>
      </w:r>
      <w:r w:rsidRPr="006571AC">
        <w:rPr>
          <w:rFonts w:hint="cs"/>
          <w:sz w:val="27"/>
          <w:rtl/>
        </w:rPr>
        <w:t>ه</w:t>
      </w:r>
      <w:r w:rsidR="008D70E8" w:rsidRPr="006571AC">
        <w:rPr>
          <w:rFonts w:hint="cs"/>
          <w:sz w:val="27"/>
          <w:rtl/>
        </w:rPr>
        <w:t>؛</w:t>
      </w:r>
      <w:r w:rsidRPr="006571AC">
        <w:rPr>
          <w:sz w:val="27"/>
          <w:rtl/>
        </w:rPr>
        <w:t xml:space="preserve"> </w:t>
      </w:r>
      <w:r w:rsidRPr="006571AC">
        <w:rPr>
          <w:rFonts w:hint="cs"/>
          <w:sz w:val="27"/>
          <w:rtl/>
        </w:rPr>
        <w:t>بكونه</w:t>
      </w:r>
      <w:r w:rsidRPr="006571AC">
        <w:rPr>
          <w:sz w:val="27"/>
          <w:rtl/>
        </w:rPr>
        <w:t xml:space="preserve"> </w:t>
      </w:r>
      <w:r w:rsidRPr="006571AC">
        <w:rPr>
          <w:rFonts w:hint="cs"/>
          <w:sz w:val="27"/>
          <w:rtl/>
        </w:rPr>
        <w:t>بعض</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مبايناً</w:t>
      </w:r>
      <w:r w:rsidRPr="006571AC">
        <w:rPr>
          <w:sz w:val="27"/>
          <w:rtl/>
        </w:rPr>
        <w:t xml:space="preserve"> </w:t>
      </w:r>
      <w:r w:rsidRPr="006571AC">
        <w:rPr>
          <w:rFonts w:hint="cs"/>
          <w:sz w:val="27"/>
          <w:rtl/>
        </w:rPr>
        <w:t>له</w:t>
      </w:r>
      <w:r w:rsidRPr="006571AC">
        <w:rPr>
          <w:sz w:val="27"/>
          <w:vertAlign w:val="superscript"/>
          <w:rtl/>
        </w:rPr>
        <w:t>(</w:t>
      </w:r>
      <w:r w:rsidRPr="006571AC">
        <w:rPr>
          <w:sz w:val="27"/>
          <w:vertAlign w:val="superscript"/>
          <w:rtl/>
        </w:rPr>
        <w:endnoteReference w:id="437"/>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386" w:lineRule="exact"/>
        <w:rPr>
          <w:sz w:val="27"/>
          <w:rtl/>
        </w:rPr>
      </w:pPr>
      <w:r w:rsidRPr="006571AC">
        <w:rPr>
          <w:rFonts w:hint="cs"/>
          <w:sz w:val="27"/>
          <w:rtl/>
        </w:rPr>
        <w:t>2ـ إذا</w:t>
      </w:r>
      <w:r w:rsidRPr="006571AC">
        <w:rPr>
          <w:sz w:val="27"/>
          <w:rtl/>
        </w:rPr>
        <w:t xml:space="preserve"> </w:t>
      </w:r>
      <w:r w:rsidRPr="006571AC">
        <w:rPr>
          <w:rFonts w:hint="cs"/>
          <w:sz w:val="27"/>
          <w:rtl/>
        </w:rPr>
        <w:t>طل</w:t>
      </w:r>
      <w:r w:rsidR="008D70E8" w:rsidRPr="006571AC">
        <w:rPr>
          <w:rFonts w:hint="cs"/>
          <w:sz w:val="27"/>
          <w:rtl/>
        </w:rPr>
        <w:t>َّ</w:t>
      </w:r>
      <w:r w:rsidRPr="006571AC">
        <w:rPr>
          <w:rFonts w:hint="cs"/>
          <w:sz w:val="27"/>
          <w:rtl/>
        </w:rPr>
        <w:t>ق</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الدخول</w:t>
      </w:r>
      <w:r w:rsidRPr="006571AC">
        <w:rPr>
          <w:sz w:val="27"/>
          <w:rtl/>
        </w:rPr>
        <w:t xml:space="preserve"> </w:t>
      </w:r>
      <w:r w:rsidRPr="006571AC">
        <w:rPr>
          <w:rFonts w:hint="cs"/>
          <w:sz w:val="27"/>
          <w:rtl/>
        </w:rPr>
        <w:t>رجع</w:t>
      </w:r>
      <w:r w:rsidRPr="006571AC">
        <w:rPr>
          <w:sz w:val="27"/>
          <w:rtl/>
        </w:rPr>
        <w:t xml:space="preserve"> </w:t>
      </w:r>
      <w:r w:rsidRPr="006571AC">
        <w:rPr>
          <w:rFonts w:hint="cs"/>
          <w:sz w:val="27"/>
          <w:rtl/>
        </w:rPr>
        <w:t>بالنصف</w:t>
      </w:r>
      <w:r w:rsidRPr="006571AC">
        <w:rPr>
          <w:sz w:val="27"/>
          <w:rtl/>
        </w:rPr>
        <w:t xml:space="preserve"> </w:t>
      </w:r>
      <w:r w:rsidRPr="006571AC">
        <w:rPr>
          <w:rFonts w:hint="cs"/>
          <w:sz w:val="27"/>
          <w:rtl/>
        </w:rPr>
        <w:t>إن</w:t>
      </w:r>
      <w:r w:rsidR="008D70E8"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أقبضها</w:t>
      </w:r>
      <w:r w:rsidR="008D70E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طالبت</w:t>
      </w:r>
      <w:r w:rsidRPr="006571AC">
        <w:rPr>
          <w:sz w:val="27"/>
          <w:rtl/>
        </w:rPr>
        <w:t xml:space="preserve"> </w:t>
      </w:r>
      <w:r w:rsidRPr="006571AC">
        <w:rPr>
          <w:rFonts w:hint="cs"/>
          <w:sz w:val="27"/>
          <w:rtl/>
        </w:rPr>
        <w:t>بالنصف</w:t>
      </w:r>
      <w:r w:rsidRPr="006571AC">
        <w:rPr>
          <w:sz w:val="27"/>
          <w:rtl/>
        </w:rPr>
        <w:t xml:space="preserve"> </w:t>
      </w:r>
      <w:r w:rsidRPr="006571AC">
        <w:rPr>
          <w:rFonts w:hint="cs"/>
          <w:sz w:val="27"/>
          <w:rtl/>
        </w:rPr>
        <w:t>إذا</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يكن</w:t>
      </w:r>
      <w:r w:rsidRPr="006571AC">
        <w:rPr>
          <w:sz w:val="27"/>
          <w:rtl/>
        </w:rPr>
        <w:t xml:space="preserve"> </w:t>
      </w:r>
      <w:r w:rsidRPr="006571AC">
        <w:rPr>
          <w:rFonts w:hint="cs"/>
          <w:sz w:val="27"/>
          <w:rtl/>
        </w:rPr>
        <w:t>أقبضها</w:t>
      </w:r>
      <w:r w:rsidR="008D70E8" w:rsidRPr="006571AC">
        <w:rPr>
          <w:rFonts w:hint="cs"/>
          <w:sz w:val="27"/>
          <w:rtl/>
        </w:rPr>
        <w:t>.</w:t>
      </w:r>
      <w:r w:rsidRPr="006571AC">
        <w:rPr>
          <w:rFonts w:hint="cs"/>
          <w:sz w:val="27"/>
          <w:rtl/>
        </w:rPr>
        <w:t xml:space="preserve"> ولا</w:t>
      </w:r>
      <w:r w:rsidRPr="006571AC">
        <w:rPr>
          <w:sz w:val="27"/>
          <w:rtl/>
        </w:rPr>
        <w:t xml:space="preserve"> </w:t>
      </w:r>
      <w:r w:rsidRPr="006571AC">
        <w:rPr>
          <w:rFonts w:hint="cs"/>
          <w:sz w:val="27"/>
          <w:rtl/>
        </w:rPr>
        <w:t>يستعيد</w:t>
      </w:r>
      <w:r w:rsidRPr="006571AC">
        <w:rPr>
          <w:sz w:val="27"/>
          <w:rtl/>
        </w:rPr>
        <w:t xml:space="preserve"> </w:t>
      </w:r>
      <w:r w:rsidRPr="006571AC">
        <w:rPr>
          <w:rFonts w:hint="cs"/>
          <w:sz w:val="27"/>
          <w:rtl/>
        </w:rPr>
        <w:t>الزوج</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تجد</w:t>
      </w:r>
      <w:r w:rsidR="008D70E8" w:rsidRPr="006571AC">
        <w:rPr>
          <w:rFonts w:hint="cs"/>
          <w:sz w:val="27"/>
          <w:rtl/>
        </w:rPr>
        <w:t>َّ</w:t>
      </w:r>
      <w:r w:rsidRPr="006571AC">
        <w:rPr>
          <w:rFonts w:hint="cs"/>
          <w:sz w:val="27"/>
          <w:rtl/>
        </w:rPr>
        <w:t>د</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النماء</w:t>
      </w:r>
      <w:r w:rsidRPr="006571AC">
        <w:rPr>
          <w:sz w:val="27"/>
          <w:rtl/>
        </w:rPr>
        <w:t xml:space="preserve"> </w:t>
      </w:r>
      <w:r w:rsidRPr="006571AC">
        <w:rPr>
          <w:rFonts w:hint="cs"/>
          <w:sz w:val="27"/>
          <w:rtl/>
        </w:rPr>
        <w:t>بين</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والطلاق، متصلا</w:t>
      </w:r>
      <w:r w:rsidR="008D70E8" w:rsidRPr="006571AC">
        <w:rPr>
          <w:rFonts w:hint="cs"/>
          <w:sz w:val="27"/>
          <w:rtl/>
        </w:rPr>
        <w:t>ً</w:t>
      </w:r>
      <w:r w:rsidRPr="006571AC">
        <w:rPr>
          <w:sz w:val="27"/>
          <w:rtl/>
        </w:rPr>
        <w:t xml:space="preserve"> </w:t>
      </w:r>
      <w:r w:rsidRPr="006571AC">
        <w:rPr>
          <w:rFonts w:hint="cs"/>
          <w:sz w:val="27"/>
          <w:rtl/>
        </w:rPr>
        <w:t>كان، كاللبن</w:t>
      </w:r>
      <w:r w:rsidR="008D70E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منفصلا</w:t>
      </w:r>
      <w:r w:rsidR="008D70E8" w:rsidRPr="006571AC">
        <w:rPr>
          <w:rFonts w:hint="cs"/>
          <w:sz w:val="27"/>
          <w:rtl/>
        </w:rPr>
        <w:t>ً،</w:t>
      </w:r>
      <w:r w:rsidRPr="006571AC">
        <w:rPr>
          <w:sz w:val="27"/>
          <w:rtl/>
        </w:rPr>
        <w:t xml:space="preserve"> </w:t>
      </w:r>
      <w:r w:rsidRPr="006571AC">
        <w:rPr>
          <w:rFonts w:hint="cs"/>
          <w:sz w:val="27"/>
          <w:rtl/>
        </w:rPr>
        <w:t>كالولد</w:t>
      </w:r>
      <w:r w:rsidRPr="006571AC">
        <w:rPr>
          <w:sz w:val="27"/>
          <w:vertAlign w:val="superscript"/>
          <w:rtl/>
        </w:rPr>
        <w:t>(</w:t>
      </w:r>
      <w:r w:rsidRPr="006571AC">
        <w:rPr>
          <w:sz w:val="27"/>
          <w:vertAlign w:val="superscript"/>
          <w:rtl/>
        </w:rPr>
        <w:endnoteReference w:id="438"/>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386" w:lineRule="exact"/>
        <w:rPr>
          <w:sz w:val="27"/>
          <w:rtl/>
        </w:rPr>
      </w:pPr>
      <w:r w:rsidRPr="006571AC">
        <w:rPr>
          <w:rFonts w:hint="cs"/>
          <w:sz w:val="27"/>
          <w:rtl/>
        </w:rPr>
        <w:t>3ـ لو</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النماء</w:t>
      </w:r>
      <w:r w:rsidRPr="006571AC">
        <w:rPr>
          <w:sz w:val="27"/>
          <w:rtl/>
        </w:rPr>
        <w:t xml:space="preserve"> </w:t>
      </w:r>
      <w:r w:rsidRPr="006571AC">
        <w:rPr>
          <w:rFonts w:hint="cs"/>
          <w:sz w:val="27"/>
          <w:rtl/>
        </w:rPr>
        <w:t>موجودا</w:t>
      </w:r>
      <w:r w:rsidR="008D70E8" w:rsidRPr="006571AC">
        <w:rPr>
          <w:rFonts w:hint="cs"/>
          <w:sz w:val="27"/>
          <w:rtl/>
        </w:rPr>
        <w:t>ً</w:t>
      </w:r>
      <w:r w:rsidRPr="006571AC">
        <w:rPr>
          <w:sz w:val="27"/>
          <w:rtl/>
        </w:rPr>
        <w:t xml:space="preserve"> </w:t>
      </w:r>
      <w:r w:rsidRPr="006571AC">
        <w:rPr>
          <w:rFonts w:hint="cs"/>
          <w:sz w:val="27"/>
          <w:rtl/>
        </w:rPr>
        <w:t>وقت</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رجع</w:t>
      </w:r>
      <w:r w:rsidRPr="006571AC">
        <w:rPr>
          <w:sz w:val="27"/>
          <w:rtl/>
        </w:rPr>
        <w:t xml:space="preserve"> </w:t>
      </w:r>
      <w:r w:rsidRPr="006571AC">
        <w:rPr>
          <w:rFonts w:hint="cs"/>
          <w:sz w:val="27"/>
          <w:rtl/>
        </w:rPr>
        <w:t>بنصفه</w:t>
      </w:r>
      <w:r w:rsidR="008D70E8" w:rsidRPr="006571AC">
        <w:rPr>
          <w:rFonts w:hint="cs"/>
          <w:sz w:val="27"/>
          <w:rtl/>
        </w:rPr>
        <w:t>،</w:t>
      </w:r>
      <w:r w:rsidRPr="006571AC">
        <w:rPr>
          <w:sz w:val="27"/>
          <w:rtl/>
        </w:rPr>
        <w:t xml:space="preserve"> </w:t>
      </w:r>
      <w:r w:rsidRPr="006571AC">
        <w:rPr>
          <w:rFonts w:hint="cs"/>
          <w:sz w:val="27"/>
          <w:rtl/>
        </w:rPr>
        <w:t>كالحمل</w:t>
      </w:r>
      <w:r w:rsidR="008D70E8" w:rsidRPr="006571AC">
        <w:rPr>
          <w:rFonts w:hint="cs"/>
          <w:sz w:val="27"/>
          <w:rtl/>
        </w:rPr>
        <w:t>.</w:t>
      </w:r>
      <w:r w:rsidRPr="006571AC">
        <w:rPr>
          <w:rFonts w:hint="cs"/>
          <w:sz w:val="27"/>
          <w:rtl/>
        </w:rPr>
        <w:t xml:space="preserve"> ولو</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تعليم</w:t>
      </w:r>
      <w:r w:rsidRPr="006571AC">
        <w:rPr>
          <w:sz w:val="27"/>
          <w:rtl/>
        </w:rPr>
        <w:t xml:space="preserve"> </w:t>
      </w:r>
      <w:r w:rsidRPr="006571AC">
        <w:rPr>
          <w:rFonts w:hint="cs"/>
          <w:sz w:val="27"/>
          <w:rtl/>
        </w:rPr>
        <w:t>صنعة</w:t>
      </w:r>
      <w:r w:rsidR="008D70E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علم</w:t>
      </w:r>
      <w:r w:rsidR="008D70E8" w:rsidRPr="006571AC">
        <w:rPr>
          <w:rFonts w:hint="cs"/>
          <w:sz w:val="27"/>
          <w:rtl/>
        </w:rPr>
        <w:t>ٍ،</w:t>
      </w:r>
      <w:r w:rsidRPr="006571AC">
        <w:rPr>
          <w:sz w:val="27"/>
          <w:rtl/>
        </w:rPr>
        <w:t xml:space="preserve"> </w:t>
      </w:r>
      <w:r w:rsidRPr="006571AC">
        <w:rPr>
          <w:rFonts w:hint="cs"/>
          <w:sz w:val="27"/>
          <w:rtl/>
        </w:rPr>
        <w:t>فعل</w:t>
      </w:r>
      <w:r w:rsidR="008D70E8" w:rsidRPr="006571AC">
        <w:rPr>
          <w:rFonts w:hint="cs"/>
          <w:sz w:val="27"/>
          <w:rtl/>
        </w:rPr>
        <w:t>َّ</w:t>
      </w:r>
      <w:r w:rsidRPr="006571AC">
        <w:rPr>
          <w:rFonts w:hint="cs"/>
          <w:sz w:val="27"/>
          <w:rtl/>
        </w:rPr>
        <w:t>مها</w:t>
      </w:r>
      <w:r w:rsidR="008D70E8" w:rsidRPr="006571AC">
        <w:rPr>
          <w:rFonts w:hint="cs"/>
          <w:sz w:val="27"/>
          <w:rtl/>
        </w:rPr>
        <w:t>،</w:t>
      </w:r>
      <w:r w:rsidRPr="006571AC">
        <w:rPr>
          <w:sz w:val="27"/>
          <w:rtl/>
        </w:rPr>
        <w:t xml:space="preserve"> </w:t>
      </w:r>
      <w:r w:rsidRPr="006571AC">
        <w:rPr>
          <w:rFonts w:hint="cs"/>
          <w:sz w:val="27"/>
          <w:rtl/>
        </w:rPr>
        <w:t>رجع</w:t>
      </w:r>
      <w:r w:rsidRPr="006571AC">
        <w:rPr>
          <w:sz w:val="27"/>
          <w:rtl/>
        </w:rPr>
        <w:t xml:space="preserve"> </w:t>
      </w:r>
      <w:r w:rsidRPr="006571AC">
        <w:rPr>
          <w:rFonts w:hint="cs"/>
          <w:sz w:val="27"/>
          <w:rtl/>
        </w:rPr>
        <w:t>بنصف</w:t>
      </w:r>
      <w:r w:rsidRPr="006571AC">
        <w:rPr>
          <w:sz w:val="27"/>
          <w:rtl/>
        </w:rPr>
        <w:t xml:space="preserve"> </w:t>
      </w:r>
      <w:r w:rsidRPr="006571AC">
        <w:rPr>
          <w:rFonts w:hint="cs"/>
          <w:sz w:val="27"/>
          <w:rtl/>
        </w:rPr>
        <w:t>أجرته</w:t>
      </w:r>
      <w:r w:rsidR="008D70E8" w:rsidRPr="006571AC">
        <w:rPr>
          <w:rFonts w:hint="cs"/>
          <w:sz w:val="27"/>
          <w:rtl/>
        </w:rPr>
        <w:t>.</w:t>
      </w:r>
      <w:r w:rsidRPr="006571AC">
        <w:rPr>
          <w:rFonts w:hint="cs"/>
          <w:sz w:val="27"/>
          <w:rtl/>
        </w:rPr>
        <w:t xml:space="preserve"> ولو</w:t>
      </w:r>
      <w:r w:rsidRPr="006571AC">
        <w:rPr>
          <w:sz w:val="27"/>
          <w:rtl/>
        </w:rPr>
        <w:t xml:space="preserve"> </w:t>
      </w:r>
      <w:r w:rsidRPr="006571AC">
        <w:rPr>
          <w:rFonts w:hint="cs"/>
          <w:sz w:val="27"/>
          <w:rtl/>
        </w:rPr>
        <w:t>أبرأ</w:t>
      </w:r>
      <w:r w:rsidR="008D70E8" w:rsidRPr="006571AC">
        <w:rPr>
          <w:rFonts w:hint="cs"/>
          <w:sz w:val="27"/>
          <w:rtl/>
        </w:rPr>
        <w:t>َ</w:t>
      </w:r>
      <w:r w:rsidRPr="006571AC">
        <w:rPr>
          <w:rFonts w:hint="cs"/>
          <w:sz w:val="27"/>
          <w:rtl/>
        </w:rPr>
        <w:t>ت</w:t>
      </w:r>
      <w:r w:rsidR="008D70E8" w:rsidRPr="006571AC">
        <w:rPr>
          <w:rFonts w:hint="cs"/>
          <w:sz w:val="27"/>
          <w:rtl/>
        </w:rPr>
        <w:t>ْ</w:t>
      </w:r>
      <w:r w:rsidRPr="006571AC">
        <w:rPr>
          <w:rFonts w:hint="cs"/>
          <w:sz w:val="27"/>
          <w:rtl/>
        </w:rPr>
        <w:t>ه</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الصداق</w:t>
      </w:r>
      <w:r w:rsidRPr="006571AC">
        <w:rPr>
          <w:sz w:val="27"/>
          <w:rtl/>
        </w:rPr>
        <w:t xml:space="preserve"> </w:t>
      </w:r>
      <w:r w:rsidRPr="006571AC">
        <w:rPr>
          <w:rFonts w:hint="cs"/>
          <w:sz w:val="27"/>
          <w:rtl/>
        </w:rPr>
        <w:t>رجع</w:t>
      </w:r>
      <w:r w:rsidRPr="006571AC">
        <w:rPr>
          <w:sz w:val="27"/>
          <w:rtl/>
        </w:rPr>
        <w:t xml:space="preserve"> </w:t>
      </w:r>
      <w:r w:rsidRPr="006571AC">
        <w:rPr>
          <w:rFonts w:hint="cs"/>
          <w:sz w:val="27"/>
          <w:rtl/>
        </w:rPr>
        <w:t>بنصفه</w:t>
      </w:r>
      <w:r w:rsidRPr="006571AC">
        <w:rPr>
          <w:sz w:val="27"/>
          <w:vertAlign w:val="superscript"/>
          <w:rtl/>
        </w:rPr>
        <w:t>(</w:t>
      </w:r>
      <w:r w:rsidRPr="006571AC">
        <w:rPr>
          <w:sz w:val="27"/>
          <w:vertAlign w:val="superscript"/>
          <w:rtl/>
        </w:rPr>
        <w:endnoteReference w:id="439"/>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386" w:lineRule="exact"/>
        <w:rPr>
          <w:sz w:val="27"/>
          <w:rtl/>
        </w:rPr>
      </w:pPr>
    </w:p>
    <w:p w:rsidR="00237EB1" w:rsidRPr="006571AC" w:rsidRDefault="00E4060F" w:rsidP="00E629CB">
      <w:pPr>
        <w:pStyle w:val="31"/>
        <w:rPr>
          <w:color w:val="auto"/>
          <w:rtl/>
        </w:rPr>
      </w:pPr>
      <w:bookmarkStart w:id="253" w:name="_Toc79281926"/>
      <w:bookmarkStart w:id="254" w:name="_Toc114164702"/>
      <w:r w:rsidRPr="006571AC">
        <w:rPr>
          <w:rFonts w:hint="cs"/>
          <w:color w:val="auto"/>
          <w:rtl/>
        </w:rPr>
        <w:t xml:space="preserve">ب ـ </w:t>
      </w:r>
      <w:r w:rsidR="00237EB1" w:rsidRPr="006571AC">
        <w:rPr>
          <w:color w:val="auto"/>
          <w:rtl/>
        </w:rPr>
        <w:t>اختلاف الزوجين في المهر</w:t>
      </w:r>
      <w:bookmarkEnd w:id="253"/>
      <w:bookmarkEnd w:id="254"/>
    </w:p>
    <w:p w:rsidR="00237EB1" w:rsidRPr="006571AC" w:rsidRDefault="00237EB1" w:rsidP="00311177">
      <w:pPr>
        <w:spacing w:line="386" w:lineRule="exact"/>
        <w:rPr>
          <w:sz w:val="27"/>
          <w:rtl/>
        </w:rPr>
      </w:pPr>
      <w:r w:rsidRPr="006571AC">
        <w:rPr>
          <w:rFonts w:hint="cs"/>
          <w:sz w:val="27"/>
          <w:rtl/>
        </w:rPr>
        <w:t>لو</w:t>
      </w:r>
      <w:r w:rsidRPr="006571AC">
        <w:rPr>
          <w:sz w:val="27"/>
          <w:rtl/>
        </w:rPr>
        <w:t xml:space="preserve"> </w:t>
      </w:r>
      <w:r w:rsidRPr="006571AC">
        <w:rPr>
          <w:rFonts w:hint="cs"/>
          <w:sz w:val="27"/>
          <w:rtl/>
        </w:rPr>
        <w:t>اختلف</w:t>
      </w:r>
      <w:r w:rsidRPr="006571AC">
        <w:rPr>
          <w:sz w:val="27"/>
          <w:rtl/>
        </w:rPr>
        <w:t xml:space="preserve"> </w:t>
      </w:r>
      <w:r w:rsidRPr="006571AC">
        <w:rPr>
          <w:rFonts w:hint="cs"/>
          <w:sz w:val="27"/>
          <w:rtl/>
        </w:rPr>
        <w:t>الزوجان</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أصل</w:t>
      </w:r>
      <w:r w:rsidRPr="006571AC">
        <w:rPr>
          <w:sz w:val="27"/>
          <w:rtl/>
        </w:rPr>
        <w:t xml:space="preserve"> </w:t>
      </w:r>
      <w:r w:rsidRPr="006571AC">
        <w:rPr>
          <w:rFonts w:hint="cs"/>
          <w:sz w:val="27"/>
          <w:rtl/>
        </w:rPr>
        <w:t>المهر</w:t>
      </w:r>
      <w:r w:rsidR="008D70E8" w:rsidRPr="006571AC">
        <w:rPr>
          <w:rFonts w:hint="cs"/>
          <w:sz w:val="27"/>
          <w:rtl/>
        </w:rPr>
        <w:t>،</w:t>
      </w:r>
      <w:r w:rsidRPr="006571AC">
        <w:rPr>
          <w:sz w:val="27"/>
          <w:rtl/>
        </w:rPr>
        <w:t xml:space="preserve"> </w:t>
      </w:r>
      <w:r w:rsidRPr="006571AC">
        <w:rPr>
          <w:rFonts w:hint="cs"/>
          <w:sz w:val="27"/>
          <w:rtl/>
        </w:rPr>
        <w:t>بأن</w:t>
      </w:r>
      <w:r w:rsidRPr="006571AC">
        <w:rPr>
          <w:sz w:val="27"/>
          <w:rtl/>
        </w:rPr>
        <w:t xml:space="preserve"> </w:t>
      </w:r>
      <w:r w:rsidRPr="006571AC">
        <w:rPr>
          <w:rFonts w:hint="cs"/>
          <w:sz w:val="27"/>
          <w:rtl/>
        </w:rPr>
        <w:t>ادّ</w:t>
      </w:r>
      <w:r w:rsidR="008D70E8" w:rsidRPr="006571AC">
        <w:rPr>
          <w:rFonts w:hint="cs"/>
          <w:sz w:val="27"/>
          <w:rtl/>
        </w:rPr>
        <w:t>َ</w:t>
      </w:r>
      <w:r w:rsidRPr="006571AC">
        <w:rPr>
          <w:rFonts w:hint="cs"/>
          <w:sz w:val="27"/>
          <w:rtl/>
        </w:rPr>
        <w:t>عته</w:t>
      </w:r>
      <w:r w:rsidRPr="006571AC">
        <w:rPr>
          <w:sz w:val="27"/>
          <w:rtl/>
        </w:rPr>
        <w:t xml:space="preserve"> </w:t>
      </w:r>
      <w:r w:rsidRPr="006571AC">
        <w:rPr>
          <w:rFonts w:hint="cs"/>
          <w:sz w:val="27"/>
          <w:rtl/>
        </w:rPr>
        <w:t>المرأة</w:t>
      </w:r>
      <w:r w:rsidR="008D70E8" w:rsidRPr="006571AC">
        <w:rPr>
          <w:rFonts w:hint="cs"/>
          <w:sz w:val="27"/>
          <w:rtl/>
        </w:rPr>
        <w:t>،</w:t>
      </w:r>
      <w:r w:rsidRPr="006571AC">
        <w:rPr>
          <w:sz w:val="27"/>
          <w:rtl/>
        </w:rPr>
        <w:t xml:space="preserve"> </w:t>
      </w:r>
      <w:r w:rsidRPr="006571AC">
        <w:rPr>
          <w:rFonts w:hint="cs"/>
          <w:sz w:val="27"/>
          <w:rtl/>
        </w:rPr>
        <w:t>وأنكره</w:t>
      </w:r>
      <w:r w:rsidRPr="006571AC">
        <w:rPr>
          <w:sz w:val="27"/>
          <w:rtl/>
        </w:rPr>
        <w:t xml:space="preserve"> </w:t>
      </w:r>
      <w:r w:rsidRPr="006571AC">
        <w:rPr>
          <w:rFonts w:hint="cs"/>
          <w:sz w:val="27"/>
          <w:rtl/>
        </w:rPr>
        <w:t>الزوج، فالقول</w:t>
      </w:r>
      <w:r w:rsidRPr="006571AC">
        <w:rPr>
          <w:sz w:val="27"/>
          <w:rtl/>
        </w:rPr>
        <w:t xml:space="preserve"> </w:t>
      </w:r>
      <w:r w:rsidRPr="006571AC">
        <w:rPr>
          <w:rFonts w:hint="cs"/>
          <w:sz w:val="27"/>
          <w:rtl/>
        </w:rPr>
        <w:t>قول</w:t>
      </w:r>
      <w:r w:rsidRPr="006571AC">
        <w:rPr>
          <w:sz w:val="27"/>
          <w:rtl/>
        </w:rPr>
        <w:t xml:space="preserve"> </w:t>
      </w:r>
      <w:r w:rsidRPr="006571AC">
        <w:rPr>
          <w:rFonts w:hint="cs"/>
          <w:sz w:val="27"/>
          <w:rtl/>
        </w:rPr>
        <w:t>الزوج</w:t>
      </w:r>
      <w:r w:rsidRPr="006571AC">
        <w:rPr>
          <w:sz w:val="27"/>
          <w:rtl/>
        </w:rPr>
        <w:t xml:space="preserve"> </w:t>
      </w:r>
      <w:r w:rsidRPr="006571AC">
        <w:rPr>
          <w:rFonts w:hint="cs"/>
          <w:sz w:val="27"/>
          <w:rtl/>
        </w:rPr>
        <w:t>بيمينه</w:t>
      </w:r>
      <w:r w:rsidR="008D70E8" w:rsidRPr="006571AC">
        <w:rPr>
          <w:rFonts w:hint="cs"/>
          <w:sz w:val="27"/>
          <w:rtl/>
        </w:rPr>
        <w:t>،</w:t>
      </w:r>
      <w:r w:rsidRPr="006571AC">
        <w:rPr>
          <w:sz w:val="27"/>
          <w:rtl/>
        </w:rPr>
        <w:t xml:space="preserve"> </w:t>
      </w:r>
      <w:r w:rsidRPr="006571AC">
        <w:rPr>
          <w:rFonts w:hint="cs"/>
          <w:sz w:val="27"/>
          <w:rtl/>
        </w:rPr>
        <w:t>إن</w:t>
      </w:r>
      <w:r w:rsidR="008D70E8"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الاختلاف</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الدخول</w:t>
      </w:r>
      <w:r w:rsidR="008D70E8" w:rsidRPr="006571AC">
        <w:rPr>
          <w:rFonts w:hint="cs"/>
          <w:sz w:val="27"/>
          <w:rtl/>
        </w:rPr>
        <w:t>؛</w:t>
      </w:r>
      <w:r w:rsidRPr="006571AC">
        <w:rPr>
          <w:rFonts w:hint="cs"/>
          <w:sz w:val="27"/>
          <w:rtl/>
        </w:rPr>
        <w:t xml:space="preserve"> وكذا</w:t>
      </w:r>
      <w:r w:rsidRPr="006571AC">
        <w:rPr>
          <w:sz w:val="27"/>
          <w:rtl/>
        </w:rPr>
        <w:t xml:space="preserve"> </w:t>
      </w:r>
      <w:r w:rsidRPr="006571AC">
        <w:rPr>
          <w:rFonts w:hint="cs"/>
          <w:sz w:val="27"/>
          <w:rtl/>
        </w:rPr>
        <w:t>لو</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بعد</w:t>
      </w:r>
      <w:r w:rsidRPr="006571AC">
        <w:rPr>
          <w:sz w:val="27"/>
          <w:rtl/>
        </w:rPr>
        <w:t xml:space="preserve"> </w:t>
      </w:r>
      <w:r w:rsidRPr="006571AC">
        <w:rPr>
          <w:rFonts w:hint="cs"/>
          <w:sz w:val="27"/>
          <w:rtl/>
        </w:rPr>
        <w:t>الدخول</w:t>
      </w:r>
      <w:r w:rsidR="008D70E8" w:rsidRPr="006571AC">
        <w:rPr>
          <w:rFonts w:hint="cs"/>
          <w:sz w:val="27"/>
          <w:rtl/>
        </w:rPr>
        <w:t>.</w:t>
      </w:r>
      <w:r w:rsidRPr="006571AC">
        <w:rPr>
          <w:rFonts w:hint="cs"/>
          <w:sz w:val="27"/>
          <w:rtl/>
        </w:rPr>
        <w:t xml:space="preserve"> ولو</w:t>
      </w:r>
      <w:r w:rsidRPr="006571AC">
        <w:rPr>
          <w:sz w:val="27"/>
          <w:rtl/>
        </w:rPr>
        <w:t xml:space="preserve"> </w:t>
      </w:r>
      <w:r w:rsidRPr="006571AC">
        <w:rPr>
          <w:rFonts w:hint="cs"/>
          <w:sz w:val="27"/>
          <w:rtl/>
        </w:rPr>
        <w:t>ادّعى</w:t>
      </w:r>
      <w:r w:rsidRPr="006571AC">
        <w:rPr>
          <w:sz w:val="27"/>
          <w:rtl/>
        </w:rPr>
        <w:t xml:space="preserve"> </w:t>
      </w:r>
      <w:r w:rsidRPr="006571AC">
        <w:rPr>
          <w:rFonts w:hint="cs"/>
          <w:sz w:val="27"/>
          <w:rtl/>
        </w:rPr>
        <w:t>أحد</w:t>
      </w:r>
      <w:r w:rsidRPr="006571AC">
        <w:rPr>
          <w:sz w:val="27"/>
          <w:rtl/>
        </w:rPr>
        <w:t xml:space="preserve"> </w:t>
      </w:r>
      <w:r w:rsidRPr="006571AC">
        <w:rPr>
          <w:rFonts w:hint="cs"/>
          <w:sz w:val="27"/>
          <w:rtl/>
        </w:rPr>
        <w:t>الزوجين</w:t>
      </w:r>
      <w:r w:rsidRPr="006571AC">
        <w:rPr>
          <w:sz w:val="27"/>
          <w:rtl/>
        </w:rPr>
        <w:t xml:space="preserve"> </w:t>
      </w:r>
      <w:r w:rsidRPr="006571AC">
        <w:rPr>
          <w:rFonts w:hint="cs"/>
          <w:sz w:val="27"/>
          <w:rtl/>
        </w:rPr>
        <w:t>التفويض</w:t>
      </w:r>
      <w:r w:rsidR="008D70E8" w:rsidRPr="006571AC">
        <w:rPr>
          <w:rFonts w:hint="cs"/>
          <w:sz w:val="27"/>
          <w:rtl/>
        </w:rPr>
        <w:t>،</w:t>
      </w:r>
      <w:r w:rsidRPr="006571AC">
        <w:rPr>
          <w:sz w:val="27"/>
          <w:rtl/>
        </w:rPr>
        <w:t xml:space="preserve"> </w:t>
      </w:r>
      <w:r w:rsidRPr="006571AC">
        <w:rPr>
          <w:rFonts w:hint="cs"/>
          <w:sz w:val="27"/>
          <w:rtl/>
        </w:rPr>
        <w:t>والآخر</w:t>
      </w:r>
      <w:r w:rsidRPr="006571AC">
        <w:rPr>
          <w:sz w:val="27"/>
          <w:rtl/>
        </w:rPr>
        <w:t xml:space="preserve"> </w:t>
      </w:r>
      <w:r w:rsidRPr="006571AC">
        <w:rPr>
          <w:rFonts w:hint="cs"/>
          <w:sz w:val="27"/>
          <w:rtl/>
        </w:rPr>
        <w:t>التسمية، فالأظهر</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القول</w:t>
      </w:r>
      <w:r w:rsidRPr="006571AC">
        <w:rPr>
          <w:sz w:val="27"/>
          <w:rtl/>
        </w:rPr>
        <w:t xml:space="preserve"> </w:t>
      </w:r>
      <w:r w:rsidRPr="006571AC">
        <w:rPr>
          <w:rFonts w:hint="cs"/>
          <w:sz w:val="27"/>
          <w:rtl/>
        </w:rPr>
        <w:t>قول</w:t>
      </w:r>
      <w:r w:rsidRPr="006571AC">
        <w:rPr>
          <w:sz w:val="27"/>
          <w:rtl/>
        </w:rPr>
        <w:t xml:space="preserve"> </w:t>
      </w:r>
      <w:r w:rsidRPr="006571AC">
        <w:rPr>
          <w:rFonts w:hint="cs"/>
          <w:sz w:val="27"/>
          <w:rtl/>
        </w:rPr>
        <w:t>مدّ</w:t>
      </w:r>
      <w:r w:rsidR="008D70E8" w:rsidRPr="006571AC">
        <w:rPr>
          <w:rFonts w:hint="cs"/>
          <w:sz w:val="27"/>
          <w:rtl/>
        </w:rPr>
        <w:t>َ</w:t>
      </w:r>
      <w:r w:rsidRPr="006571AC">
        <w:rPr>
          <w:rFonts w:hint="cs"/>
          <w:sz w:val="27"/>
          <w:rtl/>
        </w:rPr>
        <w:t>عي</w:t>
      </w:r>
      <w:r w:rsidRPr="006571AC">
        <w:rPr>
          <w:sz w:val="27"/>
          <w:rtl/>
        </w:rPr>
        <w:t xml:space="preserve"> </w:t>
      </w:r>
      <w:r w:rsidRPr="006571AC">
        <w:rPr>
          <w:rFonts w:hint="cs"/>
          <w:sz w:val="27"/>
          <w:rtl/>
        </w:rPr>
        <w:t>التفويض</w:t>
      </w:r>
      <w:r w:rsidRPr="006571AC">
        <w:rPr>
          <w:sz w:val="27"/>
          <w:vertAlign w:val="superscript"/>
          <w:rtl/>
        </w:rPr>
        <w:t>(</w:t>
      </w:r>
      <w:r w:rsidRPr="006571AC">
        <w:rPr>
          <w:sz w:val="27"/>
          <w:vertAlign w:val="superscript"/>
          <w:rtl/>
        </w:rPr>
        <w:endnoteReference w:id="440"/>
      </w:r>
      <w:r w:rsidRPr="006571AC">
        <w:rPr>
          <w:sz w:val="27"/>
          <w:vertAlign w:val="superscript"/>
          <w:rtl/>
        </w:rPr>
        <w:t>)</w:t>
      </w:r>
      <w:r w:rsidR="008D70E8" w:rsidRPr="006571AC">
        <w:rPr>
          <w:rFonts w:hint="cs"/>
          <w:sz w:val="27"/>
          <w:rtl/>
        </w:rPr>
        <w:t>.</w:t>
      </w:r>
      <w:r w:rsidRPr="006571AC">
        <w:rPr>
          <w:rFonts w:hint="cs"/>
          <w:sz w:val="27"/>
          <w:rtl/>
        </w:rPr>
        <w:t xml:space="preserve"> ولو</w:t>
      </w:r>
      <w:r w:rsidRPr="006571AC">
        <w:rPr>
          <w:sz w:val="27"/>
          <w:rtl/>
        </w:rPr>
        <w:t xml:space="preserve"> </w:t>
      </w:r>
      <w:r w:rsidRPr="006571AC">
        <w:rPr>
          <w:rFonts w:hint="cs"/>
          <w:sz w:val="27"/>
          <w:rtl/>
        </w:rPr>
        <w:t>اختلفا</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 xml:space="preserve">المقدار </w:t>
      </w:r>
      <w:r w:rsidR="008D70E8" w:rsidRPr="006571AC">
        <w:rPr>
          <w:rFonts w:hint="cs"/>
          <w:sz w:val="27"/>
          <w:rtl/>
        </w:rPr>
        <w:t>فإ</w:t>
      </w:r>
      <w:r w:rsidRPr="006571AC">
        <w:rPr>
          <w:rFonts w:hint="cs"/>
          <w:sz w:val="27"/>
          <w:rtl/>
        </w:rPr>
        <w:t>نّ</w:t>
      </w:r>
      <w:r w:rsidRPr="006571AC">
        <w:rPr>
          <w:sz w:val="27"/>
          <w:rtl/>
        </w:rPr>
        <w:t xml:space="preserve"> </w:t>
      </w:r>
      <w:r w:rsidRPr="006571AC">
        <w:rPr>
          <w:rFonts w:hint="cs"/>
          <w:sz w:val="27"/>
          <w:rtl/>
        </w:rPr>
        <w:t>القول</w:t>
      </w:r>
      <w:r w:rsidRPr="006571AC">
        <w:rPr>
          <w:sz w:val="27"/>
          <w:rtl/>
        </w:rPr>
        <w:t xml:space="preserve"> </w:t>
      </w:r>
      <w:r w:rsidRPr="006571AC">
        <w:rPr>
          <w:rFonts w:hint="cs"/>
          <w:sz w:val="27"/>
          <w:rtl/>
        </w:rPr>
        <w:t>قول</w:t>
      </w:r>
      <w:r w:rsidRPr="006571AC">
        <w:rPr>
          <w:sz w:val="27"/>
          <w:rtl/>
        </w:rPr>
        <w:t xml:space="preserve"> </w:t>
      </w:r>
      <w:r w:rsidRPr="006571AC">
        <w:rPr>
          <w:rFonts w:hint="cs"/>
          <w:sz w:val="27"/>
          <w:rtl/>
        </w:rPr>
        <w:t>منكر</w:t>
      </w:r>
      <w:r w:rsidRPr="006571AC">
        <w:rPr>
          <w:sz w:val="27"/>
          <w:rtl/>
        </w:rPr>
        <w:t xml:space="preserve"> </w:t>
      </w:r>
      <w:r w:rsidRPr="006571AC">
        <w:rPr>
          <w:rFonts w:hint="cs"/>
          <w:sz w:val="27"/>
          <w:rtl/>
        </w:rPr>
        <w:t>الزيادة</w:t>
      </w:r>
      <w:r w:rsidRPr="006571AC">
        <w:rPr>
          <w:sz w:val="27"/>
          <w:rtl/>
        </w:rPr>
        <w:t xml:space="preserve"> </w:t>
      </w:r>
      <w:r w:rsidRPr="006571AC">
        <w:rPr>
          <w:rFonts w:hint="cs"/>
          <w:sz w:val="27"/>
          <w:rtl/>
        </w:rPr>
        <w:t>مطلقاً</w:t>
      </w:r>
      <w:r w:rsidRPr="006571AC">
        <w:rPr>
          <w:sz w:val="27"/>
          <w:vertAlign w:val="superscript"/>
          <w:rtl/>
        </w:rPr>
        <w:t>(</w:t>
      </w:r>
      <w:r w:rsidRPr="006571AC">
        <w:rPr>
          <w:sz w:val="27"/>
          <w:vertAlign w:val="superscript"/>
          <w:rtl/>
        </w:rPr>
        <w:endnoteReference w:id="441"/>
      </w:r>
      <w:r w:rsidRPr="006571AC">
        <w:rPr>
          <w:sz w:val="27"/>
          <w:vertAlign w:val="superscript"/>
          <w:rtl/>
        </w:rPr>
        <w:t>)</w:t>
      </w:r>
      <w:r w:rsidR="008D70E8" w:rsidRPr="006571AC">
        <w:rPr>
          <w:rFonts w:hint="cs"/>
          <w:sz w:val="27"/>
          <w:rtl/>
        </w:rPr>
        <w:t>.</w:t>
      </w:r>
      <w:r w:rsidRPr="006571AC">
        <w:rPr>
          <w:sz w:val="27"/>
          <w:rtl/>
        </w:rPr>
        <w:t xml:space="preserve"> </w:t>
      </w:r>
      <w:r w:rsidRPr="006571AC">
        <w:rPr>
          <w:rFonts w:hint="cs"/>
          <w:sz w:val="27"/>
          <w:rtl/>
        </w:rPr>
        <w:t>وكذا</w:t>
      </w:r>
      <w:r w:rsidRPr="006571AC">
        <w:rPr>
          <w:sz w:val="27"/>
          <w:rtl/>
        </w:rPr>
        <w:t xml:space="preserve"> </w:t>
      </w:r>
      <w:r w:rsidRPr="006571AC">
        <w:rPr>
          <w:rFonts w:hint="cs"/>
          <w:sz w:val="27"/>
          <w:rtl/>
        </w:rPr>
        <w:t>لو</w:t>
      </w:r>
      <w:r w:rsidRPr="006571AC">
        <w:rPr>
          <w:sz w:val="27"/>
          <w:rtl/>
        </w:rPr>
        <w:t xml:space="preserve"> </w:t>
      </w:r>
      <w:r w:rsidRPr="006571AC">
        <w:rPr>
          <w:rFonts w:hint="cs"/>
          <w:sz w:val="27"/>
          <w:rtl/>
        </w:rPr>
        <w:t>خلا</w:t>
      </w:r>
      <w:r w:rsidRPr="006571AC">
        <w:rPr>
          <w:sz w:val="27"/>
          <w:rtl/>
        </w:rPr>
        <w:t xml:space="preserve"> </w:t>
      </w:r>
      <w:r w:rsidRPr="006571AC">
        <w:rPr>
          <w:rFonts w:hint="cs"/>
          <w:sz w:val="27"/>
          <w:rtl/>
        </w:rPr>
        <w:t>بها</w:t>
      </w:r>
      <w:r w:rsidRPr="006571AC">
        <w:rPr>
          <w:sz w:val="27"/>
          <w:rtl/>
        </w:rPr>
        <w:t xml:space="preserve"> </w:t>
      </w:r>
      <w:r w:rsidRPr="006571AC">
        <w:rPr>
          <w:rFonts w:hint="cs"/>
          <w:sz w:val="27"/>
          <w:rtl/>
        </w:rPr>
        <w:t>فادّ</w:t>
      </w:r>
      <w:r w:rsidR="008D70E8" w:rsidRPr="006571AC">
        <w:rPr>
          <w:rFonts w:hint="cs"/>
          <w:sz w:val="27"/>
          <w:rtl/>
        </w:rPr>
        <w:t>َ</w:t>
      </w:r>
      <w:r w:rsidRPr="006571AC">
        <w:rPr>
          <w:rFonts w:hint="cs"/>
          <w:sz w:val="27"/>
          <w:rtl/>
        </w:rPr>
        <w:t>ع</w:t>
      </w:r>
      <w:r w:rsidR="008D70E8" w:rsidRPr="006571AC">
        <w:rPr>
          <w:rFonts w:hint="cs"/>
          <w:sz w:val="27"/>
          <w:rtl/>
        </w:rPr>
        <w:t>َ</w:t>
      </w:r>
      <w:r w:rsidRPr="006571AC">
        <w:rPr>
          <w:rFonts w:hint="cs"/>
          <w:sz w:val="27"/>
          <w:rtl/>
        </w:rPr>
        <w:t>ت</w:t>
      </w:r>
      <w:r w:rsidR="008D70E8" w:rsidRPr="006571AC">
        <w:rPr>
          <w:rFonts w:hint="cs"/>
          <w:sz w:val="27"/>
          <w:rtl/>
        </w:rPr>
        <w:t>ْ</w:t>
      </w:r>
      <w:r w:rsidRPr="006571AC">
        <w:rPr>
          <w:sz w:val="27"/>
          <w:rtl/>
        </w:rPr>
        <w:t xml:space="preserve"> </w:t>
      </w:r>
      <w:r w:rsidRPr="006571AC">
        <w:rPr>
          <w:rFonts w:hint="cs"/>
          <w:sz w:val="27"/>
          <w:rtl/>
        </w:rPr>
        <w:t>المواقعة</w:t>
      </w:r>
      <w:r w:rsidR="008D70E8" w:rsidRPr="006571AC">
        <w:rPr>
          <w:rFonts w:hint="cs"/>
          <w:sz w:val="27"/>
          <w:rtl/>
        </w:rPr>
        <w:t>،</w:t>
      </w:r>
      <w:r w:rsidRPr="006571AC">
        <w:rPr>
          <w:sz w:val="27"/>
          <w:rtl/>
        </w:rPr>
        <w:t xml:space="preserve"> </w:t>
      </w:r>
      <w:r w:rsidRPr="006571AC">
        <w:rPr>
          <w:rFonts w:hint="cs"/>
          <w:sz w:val="27"/>
          <w:rtl/>
        </w:rPr>
        <w:t>وأنكرها</w:t>
      </w:r>
      <w:r w:rsidRPr="006571AC">
        <w:rPr>
          <w:sz w:val="27"/>
          <w:rtl/>
        </w:rPr>
        <w:t xml:space="preserve"> </w:t>
      </w:r>
      <w:r w:rsidRPr="006571AC">
        <w:rPr>
          <w:rFonts w:hint="cs"/>
          <w:sz w:val="27"/>
          <w:rtl/>
        </w:rPr>
        <w:t>الزوج، كان</w:t>
      </w:r>
      <w:r w:rsidRPr="006571AC">
        <w:rPr>
          <w:sz w:val="27"/>
          <w:rtl/>
        </w:rPr>
        <w:t xml:space="preserve"> </w:t>
      </w:r>
      <w:r w:rsidRPr="006571AC">
        <w:rPr>
          <w:rFonts w:hint="cs"/>
          <w:sz w:val="27"/>
          <w:rtl/>
        </w:rPr>
        <w:t>القول</w:t>
      </w:r>
      <w:r w:rsidRPr="006571AC">
        <w:rPr>
          <w:sz w:val="27"/>
          <w:rtl/>
        </w:rPr>
        <w:t xml:space="preserve"> </w:t>
      </w:r>
      <w:r w:rsidRPr="006571AC">
        <w:rPr>
          <w:rFonts w:hint="cs"/>
          <w:sz w:val="27"/>
          <w:rtl/>
        </w:rPr>
        <w:t>قوله</w:t>
      </w:r>
      <w:r w:rsidRPr="006571AC">
        <w:rPr>
          <w:sz w:val="27"/>
          <w:rtl/>
        </w:rPr>
        <w:t xml:space="preserve"> </w:t>
      </w:r>
      <w:r w:rsidRPr="006571AC">
        <w:rPr>
          <w:rFonts w:hint="cs"/>
          <w:sz w:val="27"/>
          <w:rtl/>
        </w:rPr>
        <w:t>بيمينه</w:t>
      </w:r>
      <w:r w:rsidRPr="006571AC">
        <w:rPr>
          <w:sz w:val="27"/>
          <w:rtl/>
        </w:rPr>
        <w:t xml:space="preserve">. </w:t>
      </w:r>
    </w:p>
    <w:p w:rsidR="00237EB1" w:rsidRPr="006571AC" w:rsidRDefault="00237EB1" w:rsidP="00311177">
      <w:pPr>
        <w:spacing w:line="380" w:lineRule="exact"/>
        <w:rPr>
          <w:sz w:val="27"/>
          <w:rtl/>
        </w:rPr>
      </w:pPr>
    </w:p>
    <w:p w:rsidR="00237EB1" w:rsidRPr="006571AC" w:rsidRDefault="00E4060F" w:rsidP="00E4060F">
      <w:pPr>
        <w:pStyle w:val="31"/>
        <w:rPr>
          <w:color w:val="auto"/>
          <w:rtl/>
        </w:rPr>
      </w:pPr>
      <w:bookmarkStart w:id="255" w:name="_Toc79281927"/>
      <w:bookmarkStart w:id="256" w:name="_Toc114164703"/>
      <w:r w:rsidRPr="006571AC">
        <w:rPr>
          <w:rFonts w:hint="cs"/>
          <w:color w:val="auto"/>
          <w:rtl/>
        </w:rPr>
        <w:t xml:space="preserve">ج ـ حقّ </w:t>
      </w:r>
      <w:r w:rsidR="00237EB1" w:rsidRPr="006571AC">
        <w:rPr>
          <w:color w:val="auto"/>
          <w:rtl/>
        </w:rPr>
        <w:t>المنع من الت</w:t>
      </w:r>
      <w:r w:rsidRPr="006571AC">
        <w:rPr>
          <w:rFonts w:hint="cs"/>
          <w:color w:val="auto"/>
          <w:rtl/>
        </w:rPr>
        <w:t>مكين</w:t>
      </w:r>
      <w:r w:rsidR="00237EB1" w:rsidRPr="006571AC">
        <w:rPr>
          <w:color w:val="auto"/>
          <w:rtl/>
        </w:rPr>
        <w:t xml:space="preserve"> </w:t>
      </w:r>
      <w:r w:rsidRPr="006571AC">
        <w:rPr>
          <w:rFonts w:hint="cs"/>
          <w:color w:val="auto"/>
          <w:rtl/>
        </w:rPr>
        <w:t xml:space="preserve">قبل </w:t>
      </w:r>
      <w:r w:rsidR="00237EB1" w:rsidRPr="006571AC">
        <w:rPr>
          <w:color w:val="auto"/>
          <w:rtl/>
        </w:rPr>
        <w:t>قبض المهر</w:t>
      </w:r>
      <w:bookmarkEnd w:id="255"/>
      <w:bookmarkEnd w:id="256"/>
    </w:p>
    <w:p w:rsidR="00237EB1" w:rsidRPr="006571AC" w:rsidRDefault="00237EB1" w:rsidP="00311177">
      <w:pPr>
        <w:spacing w:line="386" w:lineRule="exact"/>
        <w:rPr>
          <w:rFonts w:asciiTheme="majorBidi" w:hAnsiTheme="majorBidi"/>
          <w:sz w:val="27"/>
          <w:rtl/>
        </w:rPr>
      </w:pPr>
      <w:r w:rsidRPr="006571AC">
        <w:rPr>
          <w:rFonts w:asciiTheme="majorBidi" w:hAnsiTheme="majorBidi" w:hint="cs"/>
          <w:sz w:val="27"/>
          <w:rtl/>
        </w:rPr>
        <w:t>للمرأة</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تمنع</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تسليم</w:t>
      </w:r>
      <w:r w:rsidRPr="006571AC">
        <w:rPr>
          <w:rFonts w:asciiTheme="majorBidi" w:hAnsiTheme="majorBidi"/>
          <w:sz w:val="27"/>
          <w:rtl/>
        </w:rPr>
        <w:t xml:space="preserve"> </w:t>
      </w:r>
      <w:r w:rsidRPr="006571AC">
        <w:rPr>
          <w:rFonts w:asciiTheme="majorBidi" w:hAnsiTheme="majorBidi" w:hint="cs"/>
          <w:sz w:val="27"/>
          <w:rtl/>
        </w:rPr>
        <w:t>نفسها</w:t>
      </w:r>
      <w:r w:rsidRPr="006571AC">
        <w:rPr>
          <w:rFonts w:asciiTheme="majorBidi" w:hAnsiTheme="majorBidi"/>
          <w:sz w:val="27"/>
          <w:rtl/>
        </w:rPr>
        <w:t xml:space="preserve"> </w:t>
      </w:r>
      <w:r w:rsidRPr="006571AC">
        <w:rPr>
          <w:rFonts w:asciiTheme="majorBidi" w:hAnsiTheme="majorBidi" w:hint="cs"/>
          <w:sz w:val="27"/>
          <w:rtl/>
        </w:rPr>
        <w:t>إلى</w:t>
      </w:r>
      <w:r w:rsidRPr="006571AC">
        <w:rPr>
          <w:rFonts w:asciiTheme="majorBidi" w:hAnsiTheme="majorBidi"/>
          <w:sz w:val="27"/>
          <w:rtl/>
        </w:rPr>
        <w:t xml:space="preserve"> </w:t>
      </w:r>
      <w:r w:rsidRPr="006571AC">
        <w:rPr>
          <w:rFonts w:asciiTheme="majorBidi" w:hAnsiTheme="majorBidi" w:hint="cs"/>
          <w:sz w:val="27"/>
          <w:rtl/>
        </w:rPr>
        <w:t>الزوج</w:t>
      </w:r>
      <w:r w:rsidRPr="006571AC">
        <w:rPr>
          <w:rFonts w:asciiTheme="majorBidi" w:hAnsiTheme="majorBidi"/>
          <w:sz w:val="27"/>
          <w:rtl/>
        </w:rPr>
        <w:t xml:space="preserve"> </w:t>
      </w:r>
      <w:r w:rsidRPr="006571AC">
        <w:rPr>
          <w:rFonts w:asciiTheme="majorBidi" w:hAnsiTheme="majorBidi" w:hint="cs"/>
          <w:sz w:val="27"/>
          <w:rtl/>
        </w:rPr>
        <w:t>حتى</w:t>
      </w:r>
      <w:r w:rsidRPr="006571AC">
        <w:rPr>
          <w:rFonts w:asciiTheme="majorBidi" w:hAnsiTheme="majorBidi"/>
          <w:sz w:val="27"/>
          <w:rtl/>
        </w:rPr>
        <w:t xml:space="preserve"> </w:t>
      </w:r>
      <w:r w:rsidRPr="006571AC">
        <w:rPr>
          <w:rFonts w:asciiTheme="majorBidi" w:hAnsiTheme="majorBidi" w:hint="cs"/>
          <w:sz w:val="27"/>
          <w:rtl/>
        </w:rPr>
        <w:t>تقبض</w:t>
      </w:r>
      <w:r w:rsidRPr="006571AC">
        <w:rPr>
          <w:rFonts w:asciiTheme="majorBidi" w:hAnsiTheme="majorBidi"/>
          <w:sz w:val="27"/>
          <w:rtl/>
        </w:rPr>
        <w:t xml:space="preserve"> </w:t>
      </w:r>
      <w:r w:rsidRPr="006571AC">
        <w:rPr>
          <w:rFonts w:asciiTheme="majorBidi" w:hAnsiTheme="majorBidi" w:hint="cs"/>
          <w:sz w:val="27"/>
          <w:rtl/>
        </w:rPr>
        <w:t>مهرها</w:t>
      </w:r>
      <w:r w:rsidRPr="006571AC">
        <w:rPr>
          <w:rFonts w:asciiTheme="majorBidi" w:hAnsiTheme="majorBidi"/>
          <w:sz w:val="27"/>
          <w:vertAlign w:val="superscript"/>
          <w:rtl/>
        </w:rPr>
        <w:t>(</w:t>
      </w:r>
      <w:r w:rsidRPr="006571AC">
        <w:rPr>
          <w:rFonts w:asciiTheme="majorBidi" w:hAnsiTheme="majorBidi"/>
          <w:sz w:val="27"/>
          <w:vertAlign w:val="superscript"/>
          <w:rtl/>
        </w:rPr>
        <w:endnoteReference w:id="442"/>
      </w:r>
      <w:r w:rsidRPr="006571AC">
        <w:rPr>
          <w:rFonts w:asciiTheme="majorBidi" w:hAnsiTheme="majorBidi"/>
          <w:sz w:val="27"/>
          <w:vertAlign w:val="superscript"/>
          <w:rtl/>
        </w:rPr>
        <w:t>)</w:t>
      </w:r>
      <w:r w:rsidRPr="006571AC">
        <w:rPr>
          <w:rFonts w:asciiTheme="majorBidi" w:hAnsiTheme="majorBidi"/>
          <w:sz w:val="27"/>
          <w:rtl/>
        </w:rPr>
        <w:t>.</w:t>
      </w:r>
      <w:r w:rsidRPr="006571AC">
        <w:rPr>
          <w:rFonts w:asciiTheme="majorBidi" w:hAnsiTheme="majorBidi" w:hint="cs"/>
          <w:sz w:val="27"/>
          <w:rtl/>
        </w:rPr>
        <w:t xml:space="preserve"> </w:t>
      </w:r>
    </w:p>
    <w:p w:rsidR="00237EB1" w:rsidRPr="006571AC" w:rsidRDefault="00237EB1" w:rsidP="00311177">
      <w:pPr>
        <w:spacing w:line="380" w:lineRule="exact"/>
        <w:rPr>
          <w:rFonts w:asciiTheme="majorBidi" w:hAnsiTheme="majorBidi"/>
          <w:sz w:val="27"/>
          <w:rtl/>
        </w:rPr>
      </w:pPr>
    </w:p>
    <w:p w:rsidR="00237EB1" w:rsidRPr="006571AC" w:rsidRDefault="00237EB1" w:rsidP="00E629CB">
      <w:pPr>
        <w:pStyle w:val="31"/>
        <w:rPr>
          <w:color w:val="auto"/>
          <w:rtl/>
        </w:rPr>
      </w:pPr>
      <w:bookmarkStart w:id="257" w:name="_Toc79281928"/>
      <w:bookmarkStart w:id="258" w:name="_Toc114164704"/>
      <w:r w:rsidRPr="006571AC">
        <w:rPr>
          <w:color w:val="auto"/>
          <w:rtl/>
        </w:rPr>
        <w:t>أحكام المهر في القانون الإيراني</w:t>
      </w:r>
      <w:bookmarkEnd w:id="257"/>
      <w:bookmarkEnd w:id="258"/>
      <w:r w:rsidRPr="006571AC">
        <w:rPr>
          <w:color w:val="auto"/>
          <w:rtl/>
        </w:rPr>
        <w:t xml:space="preserve"> </w:t>
      </w:r>
    </w:p>
    <w:p w:rsidR="00237EB1" w:rsidRPr="006571AC" w:rsidRDefault="00237EB1" w:rsidP="00E60D93">
      <w:pPr>
        <w:rPr>
          <w:rStyle w:val="1Char"/>
          <w:rFonts w:cs="AL-Mohanad"/>
          <w:b w:val="0"/>
          <w:bCs/>
          <w:sz w:val="27"/>
          <w:szCs w:val="27"/>
          <w:rtl/>
        </w:rPr>
      </w:pPr>
      <w:bookmarkStart w:id="259" w:name="_Toc114164705"/>
      <w:bookmarkStart w:id="260" w:name="_Toc79281929"/>
      <w:r w:rsidRPr="006571AC">
        <w:rPr>
          <w:rStyle w:val="1Char"/>
          <w:rFonts w:cs="AL-Mohanad" w:hint="cs"/>
          <w:b w:val="0"/>
          <w:bCs/>
          <w:sz w:val="27"/>
          <w:szCs w:val="27"/>
          <w:rtl/>
        </w:rPr>
        <w:t>الأو</w:t>
      </w:r>
      <w:r w:rsidR="00DD7DBF" w:rsidRPr="006571AC">
        <w:rPr>
          <w:rStyle w:val="1Char"/>
          <w:rFonts w:cs="AL-Mohanad" w:hint="cs"/>
          <w:b w:val="0"/>
          <w:bCs/>
          <w:sz w:val="27"/>
          <w:szCs w:val="27"/>
          <w:rtl/>
        </w:rPr>
        <w:t>ّ</w:t>
      </w:r>
      <w:r w:rsidRPr="006571AC">
        <w:rPr>
          <w:rStyle w:val="1Char"/>
          <w:rFonts w:cs="AL-Mohanad" w:hint="cs"/>
          <w:b w:val="0"/>
          <w:bCs/>
          <w:sz w:val="27"/>
          <w:szCs w:val="27"/>
          <w:rtl/>
        </w:rPr>
        <w:t>ل</w:t>
      </w:r>
      <w:r w:rsidRPr="006571AC">
        <w:rPr>
          <w:rStyle w:val="1Char"/>
          <w:rFonts w:cs="AL-Mohanad" w:hint="cs"/>
          <w:sz w:val="27"/>
          <w:szCs w:val="27"/>
          <w:rtl/>
        </w:rPr>
        <w:t xml:space="preserve">: </w:t>
      </w:r>
      <w:r w:rsidRPr="006571AC">
        <w:rPr>
          <w:rStyle w:val="1Char"/>
          <w:rFonts w:cs="AL-Mohanad"/>
          <w:sz w:val="27"/>
          <w:szCs w:val="27"/>
          <w:rtl/>
        </w:rPr>
        <w:t>تعيين المهر منوط</w:t>
      </w:r>
      <w:r w:rsidR="00DD7DBF" w:rsidRPr="006571AC">
        <w:rPr>
          <w:rStyle w:val="1Char"/>
          <w:rFonts w:cs="AL-Mohanad" w:hint="cs"/>
          <w:sz w:val="27"/>
          <w:szCs w:val="27"/>
          <w:rtl/>
        </w:rPr>
        <w:t>ٌ</w:t>
      </w:r>
      <w:r w:rsidRPr="006571AC">
        <w:rPr>
          <w:rStyle w:val="1Char"/>
          <w:rFonts w:cs="AL-Mohanad"/>
          <w:sz w:val="27"/>
          <w:szCs w:val="27"/>
          <w:rtl/>
        </w:rPr>
        <w:t xml:space="preserve"> بتراضي الطرفين [الماد</w:t>
      </w:r>
      <w:r w:rsidR="00DD7DBF" w:rsidRPr="006571AC">
        <w:rPr>
          <w:rStyle w:val="1Char"/>
          <w:rFonts w:cs="AL-Mohanad" w:hint="cs"/>
          <w:sz w:val="27"/>
          <w:szCs w:val="27"/>
          <w:rtl/>
        </w:rPr>
        <w:t>ّ</w:t>
      </w:r>
      <w:r w:rsidRPr="006571AC">
        <w:rPr>
          <w:rStyle w:val="1Char"/>
          <w:rFonts w:cs="AL-Mohanad"/>
          <w:sz w:val="27"/>
          <w:szCs w:val="27"/>
          <w:rtl/>
        </w:rPr>
        <w:t>ة 1080].</w:t>
      </w:r>
      <w:bookmarkEnd w:id="259"/>
      <w:r w:rsidRPr="006571AC">
        <w:rPr>
          <w:rStyle w:val="1Char"/>
          <w:rFonts w:cs="AL-Mohanad"/>
          <w:sz w:val="27"/>
          <w:szCs w:val="27"/>
          <w:rtl/>
        </w:rPr>
        <w:t xml:space="preserve"> </w:t>
      </w:r>
      <w:bookmarkEnd w:id="260"/>
    </w:p>
    <w:p w:rsidR="00237EB1" w:rsidRPr="006571AC" w:rsidRDefault="00237EB1" w:rsidP="00FC7458">
      <w:pPr>
        <w:rPr>
          <w:sz w:val="27"/>
          <w:rtl/>
        </w:rPr>
      </w:pPr>
      <w:bookmarkStart w:id="261" w:name="_Toc79281930"/>
      <w:bookmarkStart w:id="262" w:name="_Toc114164706"/>
      <w:r w:rsidRPr="006571AC">
        <w:rPr>
          <w:rStyle w:val="1Char"/>
          <w:rFonts w:cs="AL-Mohanad" w:hint="cs"/>
          <w:b w:val="0"/>
          <w:bCs/>
          <w:sz w:val="27"/>
          <w:szCs w:val="27"/>
          <w:rtl/>
        </w:rPr>
        <w:lastRenderedPageBreak/>
        <w:t>الثاني</w:t>
      </w:r>
      <w:r w:rsidRPr="006571AC">
        <w:rPr>
          <w:rStyle w:val="1Char"/>
          <w:rFonts w:cs="AL-Mohanad" w:hint="cs"/>
          <w:sz w:val="27"/>
          <w:szCs w:val="27"/>
          <w:rtl/>
        </w:rPr>
        <w:t xml:space="preserve">: </w:t>
      </w:r>
      <w:r w:rsidRPr="006571AC">
        <w:rPr>
          <w:rStyle w:val="1Char"/>
          <w:rFonts w:cs="AL-Mohanad" w:hint="cs"/>
          <w:b w:val="0"/>
          <w:bCs/>
          <w:sz w:val="27"/>
          <w:szCs w:val="27"/>
          <w:rtl/>
        </w:rPr>
        <w:t>تمليك المهر</w:t>
      </w:r>
      <w:r w:rsidRPr="006571AC">
        <w:rPr>
          <w:rStyle w:val="1Char"/>
          <w:rFonts w:cs="AL-Mohanad" w:hint="cs"/>
          <w:sz w:val="27"/>
          <w:szCs w:val="27"/>
          <w:rtl/>
        </w:rPr>
        <w:t>:</w:t>
      </w:r>
      <w:bookmarkEnd w:id="261"/>
      <w:bookmarkEnd w:id="262"/>
      <w:r w:rsidRPr="006571AC">
        <w:rPr>
          <w:rStyle w:val="1Char"/>
          <w:rFonts w:cs="AL-Mohanad" w:hint="cs"/>
          <w:sz w:val="27"/>
          <w:szCs w:val="27"/>
          <w:rtl/>
        </w:rPr>
        <w:t xml:space="preserve"> </w:t>
      </w:r>
      <w:r w:rsidRPr="006571AC">
        <w:rPr>
          <w:rFonts w:hint="cs"/>
          <w:sz w:val="27"/>
          <w:rtl/>
        </w:rPr>
        <w:t>وتبعا</w:t>
      </w:r>
      <w:r w:rsidR="00DD7DBF" w:rsidRPr="006571AC">
        <w:rPr>
          <w:rFonts w:hint="cs"/>
          <w:sz w:val="27"/>
          <w:rtl/>
        </w:rPr>
        <w:t>ً</w:t>
      </w:r>
      <w:r w:rsidRPr="006571AC">
        <w:rPr>
          <w:rFonts w:hint="cs"/>
          <w:sz w:val="27"/>
          <w:rtl/>
        </w:rPr>
        <w:t xml:space="preserve"> للفقه الإمامي أدرج في القانون المدني مادّة تنصّ على أنّ المرأة تملك المهر بالعقد</w:t>
      </w:r>
      <w:r w:rsidR="00DD7DBF" w:rsidRPr="006571AC">
        <w:rPr>
          <w:rFonts w:hint="cs"/>
          <w:sz w:val="27"/>
          <w:rtl/>
        </w:rPr>
        <w:t>،</w:t>
      </w:r>
      <w:r w:rsidRPr="006571AC">
        <w:rPr>
          <w:rFonts w:hint="cs"/>
          <w:sz w:val="27"/>
          <w:rtl/>
        </w:rPr>
        <w:t xml:space="preserve"> وه</w:t>
      </w:r>
      <w:r w:rsidR="00DD7DBF" w:rsidRPr="006571AC">
        <w:rPr>
          <w:rFonts w:hint="cs"/>
          <w:sz w:val="27"/>
          <w:rtl/>
        </w:rPr>
        <w:t>ذ</w:t>
      </w:r>
      <w:r w:rsidRPr="006571AC">
        <w:rPr>
          <w:rFonts w:hint="cs"/>
          <w:sz w:val="27"/>
          <w:rtl/>
        </w:rPr>
        <w:t>ا التملك لا يستقر</w:t>
      </w:r>
      <w:r w:rsidR="00DD7DBF" w:rsidRPr="006571AC">
        <w:rPr>
          <w:rFonts w:hint="cs"/>
          <w:sz w:val="27"/>
          <w:rtl/>
        </w:rPr>
        <w:t>ّ</w:t>
      </w:r>
      <w:r w:rsidRPr="006571AC">
        <w:rPr>
          <w:rFonts w:hint="cs"/>
          <w:sz w:val="27"/>
          <w:rtl/>
        </w:rPr>
        <w:t xml:space="preserve"> إلا</w:t>
      </w:r>
      <w:r w:rsidR="00DD7DBF" w:rsidRPr="006571AC">
        <w:rPr>
          <w:rFonts w:hint="cs"/>
          <w:sz w:val="27"/>
          <w:rtl/>
        </w:rPr>
        <w:t>ّ</w:t>
      </w:r>
      <w:r w:rsidRPr="006571AC">
        <w:rPr>
          <w:rFonts w:hint="cs"/>
          <w:sz w:val="27"/>
          <w:rtl/>
        </w:rPr>
        <w:t xml:space="preserve"> بعد الدخول [</w:t>
      </w:r>
      <w:r w:rsidR="00DD7DBF" w:rsidRPr="006571AC">
        <w:rPr>
          <w:rFonts w:hint="cs"/>
          <w:sz w:val="27"/>
          <w:rtl/>
        </w:rPr>
        <w:t>المادّة</w:t>
      </w:r>
      <w:r w:rsidRPr="006571AC">
        <w:rPr>
          <w:rFonts w:hint="cs"/>
          <w:sz w:val="27"/>
          <w:rtl/>
        </w:rPr>
        <w:t xml:space="preserve"> 1082]</w:t>
      </w:r>
      <w:r w:rsidR="00DD7DBF" w:rsidRPr="006571AC">
        <w:rPr>
          <w:rFonts w:hint="cs"/>
          <w:sz w:val="27"/>
          <w:rtl/>
        </w:rPr>
        <w:t>.</w:t>
      </w:r>
      <w:r w:rsidRPr="006571AC">
        <w:rPr>
          <w:rFonts w:hint="cs"/>
          <w:sz w:val="27"/>
          <w:rtl/>
        </w:rPr>
        <w:t xml:space="preserve"> وبموجب [المادّة 2] للتعديل في اللوائح التنفيذيّة للقانون الإيراني ألحقت بـ [المادّة 1082] مواد حقوقية متفر</w:t>
      </w:r>
      <w:r w:rsidR="00DD7DBF" w:rsidRPr="006571AC">
        <w:rPr>
          <w:rFonts w:hint="cs"/>
          <w:sz w:val="27"/>
          <w:rtl/>
        </w:rPr>
        <w:t>ّ</w:t>
      </w:r>
      <w:r w:rsidRPr="006571AC">
        <w:rPr>
          <w:rFonts w:hint="cs"/>
          <w:sz w:val="27"/>
          <w:rtl/>
        </w:rPr>
        <w:t>عة عليها، لم يتعر</w:t>
      </w:r>
      <w:r w:rsidR="00DD7DBF" w:rsidRPr="006571AC">
        <w:rPr>
          <w:rFonts w:hint="cs"/>
          <w:sz w:val="27"/>
          <w:rtl/>
        </w:rPr>
        <w:t>ّ</w:t>
      </w:r>
      <w:r w:rsidRPr="006571AC">
        <w:rPr>
          <w:rFonts w:hint="cs"/>
          <w:sz w:val="27"/>
          <w:rtl/>
        </w:rPr>
        <w:t>ض لها الفقه الإمامي، فهي حقوق</w:t>
      </w:r>
      <w:r w:rsidR="00DD7DBF" w:rsidRPr="006571AC">
        <w:rPr>
          <w:rFonts w:hint="cs"/>
          <w:sz w:val="27"/>
          <w:rtl/>
        </w:rPr>
        <w:t>ٌ</w:t>
      </w:r>
      <w:r w:rsidRPr="006571AC">
        <w:rPr>
          <w:rFonts w:hint="cs"/>
          <w:sz w:val="27"/>
          <w:rtl/>
        </w:rPr>
        <w:t xml:space="preserve"> مدنية موضوعة من ق</w:t>
      </w:r>
      <w:r w:rsidR="00DD7DBF" w:rsidRPr="006571AC">
        <w:rPr>
          <w:rFonts w:hint="cs"/>
          <w:sz w:val="27"/>
          <w:rtl/>
        </w:rPr>
        <w:t>ِ</w:t>
      </w:r>
      <w:r w:rsidRPr="006571AC">
        <w:rPr>
          <w:rFonts w:hint="cs"/>
          <w:sz w:val="27"/>
          <w:rtl/>
        </w:rPr>
        <w:t>ب</w:t>
      </w:r>
      <w:r w:rsidR="00DD7DBF" w:rsidRPr="006571AC">
        <w:rPr>
          <w:rFonts w:hint="cs"/>
          <w:sz w:val="27"/>
          <w:rtl/>
        </w:rPr>
        <w:t>َ</w:t>
      </w:r>
      <w:r w:rsidRPr="006571AC">
        <w:rPr>
          <w:rFonts w:hint="cs"/>
          <w:sz w:val="27"/>
          <w:rtl/>
        </w:rPr>
        <w:t>ل المشر</w:t>
      </w:r>
      <w:r w:rsidR="00DD7DBF" w:rsidRPr="006571AC">
        <w:rPr>
          <w:rFonts w:hint="cs"/>
          <w:sz w:val="27"/>
          <w:rtl/>
        </w:rPr>
        <w:t>ِّ</w:t>
      </w:r>
      <w:r w:rsidRPr="006571AC">
        <w:rPr>
          <w:rFonts w:hint="cs"/>
          <w:sz w:val="27"/>
          <w:rtl/>
        </w:rPr>
        <w:t>عين القانونين في إيران</w:t>
      </w:r>
      <w:r w:rsidR="00DD7DBF" w:rsidRPr="006571AC">
        <w:rPr>
          <w:rFonts w:hint="cs"/>
          <w:sz w:val="27"/>
          <w:rtl/>
        </w:rPr>
        <w:t>، تمّ</w:t>
      </w:r>
      <w:r w:rsidR="00FC7458" w:rsidRPr="006571AC">
        <w:rPr>
          <w:rFonts w:hint="cs"/>
          <w:sz w:val="27"/>
          <w:rtl/>
        </w:rPr>
        <w:t>ت</w:t>
      </w:r>
      <w:r w:rsidR="00DD7DBF" w:rsidRPr="006571AC">
        <w:rPr>
          <w:rFonts w:hint="cs"/>
          <w:sz w:val="27"/>
          <w:rtl/>
        </w:rPr>
        <w:t xml:space="preserve"> </w:t>
      </w:r>
      <w:r w:rsidR="00FC7458" w:rsidRPr="006571AC">
        <w:rPr>
          <w:rFonts w:hint="cs"/>
          <w:sz w:val="27"/>
          <w:rtl/>
        </w:rPr>
        <w:t>الموافقة</w:t>
      </w:r>
      <w:r w:rsidR="00DD7DBF" w:rsidRPr="006571AC">
        <w:rPr>
          <w:rFonts w:hint="cs"/>
          <w:sz w:val="27"/>
          <w:rtl/>
        </w:rPr>
        <w:t xml:space="preserve"> عليها سنة 1377هـ.</w:t>
      </w:r>
      <w:r w:rsidRPr="006571AC">
        <w:rPr>
          <w:rFonts w:hint="cs"/>
          <w:sz w:val="27"/>
          <w:rtl/>
        </w:rPr>
        <w:t>ش</w:t>
      </w:r>
      <w:r w:rsidR="00DD7DBF" w:rsidRPr="006571AC">
        <w:rPr>
          <w:rFonts w:hint="cs"/>
          <w:sz w:val="27"/>
          <w:rtl/>
        </w:rPr>
        <w:t>.</w:t>
      </w:r>
      <w:r w:rsidRPr="006571AC">
        <w:rPr>
          <w:rFonts w:hint="cs"/>
          <w:sz w:val="27"/>
          <w:rtl/>
        </w:rPr>
        <w:t xml:space="preserve"> وبطبيعة الحال فإن هذه المواد المنصوص عليها لا تتنافى مع أحكام الشريعة</w:t>
      </w:r>
      <w:r w:rsidR="00DD7DBF" w:rsidRPr="006571AC">
        <w:rPr>
          <w:rFonts w:hint="cs"/>
          <w:sz w:val="27"/>
          <w:rtl/>
        </w:rPr>
        <w:t>؛</w:t>
      </w:r>
      <w:r w:rsidRPr="006571AC">
        <w:rPr>
          <w:rFonts w:hint="cs"/>
          <w:sz w:val="27"/>
          <w:rtl/>
        </w:rPr>
        <w:t xml:space="preserve"> باعتبار أن القانون المعتمد في إيران هو القانون ال</w:t>
      </w:r>
      <w:r w:rsidR="00DD7DBF" w:rsidRPr="006571AC">
        <w:rPr>
          <w:rFonts w:hint="cs"/>
          <w:sz w:val="27"/>
          <w:rtl/>
        </w:rPr>
        <w:t>إ</w:t>
      </w:r>
      <w:r w:rsidRPr="006571AC">
        <w:rPr>
          <w:rFonts w:hint="cs"/>
          <w:sz w:val="27"/>
          <w:rtl/>
        </w:rPr>
        <w:t>سلامي وفق المذهب الشيعي الاثن</w:t>
      </w:r>
      <w:r w:rsidR="00DD7DBF" w:rsidRPr="006571AC">
        <w:rPr>
          <w:rFonts w:hint="cs"/>
          <w:sz w:val="27"/>
          <w:rtl/>
        </w:rPr>
        <w:t>ي</w:t>
      </w:r>
      <w:r w:rsidRPr="006571AC">
        <w:rPr>
          <w:rFonts w:hint="cs"/>
          <w:sz w:val="27"/>
          <w:rtl/>
        </w:rPr>
        <w:t xml:space="preserve"> عشري</w:t>
      </w:r>
      <w:r w:rsidR="00DD7DBF" w:rsidRPr="006571AC">
        <w:rPr>
          <w:rFonts w:hint="cs"/>
          <w:sz w:val="27"/>
          <w:rtl/>
        </w:rPr>
        <w:t>.</w:t>
      </w:r>
      <w:r w:rsidRPr="006571AC">
        <w:rPr>
          <w:rFonts w:hint="cs"/>
          <w:sz w:val="27"/>
          <w:rtl/>
        </w:rPr>
        <w:t xml:space="preserve"> </w:t>
      </w:r>
      <w:r w:rsidR="00DD7DBF" w:rsidRPr="006571AC">
        <w:rPr>
          <w:rFonts w:hint="cs"/>
          <w:sz w:val="27"/>
          <w:rtl/>
        </w:rPr>
        <w:t>وهذه</w:t>
      </w:r>
      <w:r w:rsidRPr="006571AC">
        <w:rPr>
          <w:rFonts w:hint="cs"/>
          <w:sz w:val="27"/>
          <w:rtl/>
        </w:rPr>
        <w:t xml:space="preserve"> المواد التي أ</w:t>
      </w:r>
      <w:r w:rsidR="00DD7DBF" w:rsidRPr="006571AC">
        <w:rPr>
          <w:rFonts w:hint="cs"/>
          <w:sz w:val="27"/>
          <w:rtl/>
        </w:rPr>
        <w:t>ُ</w:t>
      </w:r>
      <w:r w:rsidRPr="006571AC">
        <w:rPr>
          <w:rFonts w:hint="cs"/>
          <w:sz w:val="27"/>
          <w:rtl/>
        </w:rPr>
        <w:t xml:space="preserve">لحقت بالمادة 1082 هي: </w:t>
      </w:r>
    </w:p>
    <w:p w:rsidR="00237EB1" w:rsidRPr="006571AC" w:rsidRDefault="00237EB1" w:rsidP="00336C10">
      <w:pPr>
        <w:rPr>
          <w:sz w:val="27"/>
          <w:rtl/>
        </w:rPr>
      </w:pPr>
      <w:r w:rsidRPr="006571AC">
        <w:rPr>
          <w:rFonts w:hint="cs"/>
          <w:sz w:val="27"/>
          <w:rtl/>
        </w:rPr>
        <w:t>1ـ إذا</w:t>
      </w:r>
      <w:r w:rsidRPr="006571AC">
        <w:rPr>
          <w:sz w:val="27"/>
          <w:rtl/>
        </w:rPr>
        <w:t xml:space="preserve"> </w:t>
      </w:r>
      <w:r w:rsidRPr="006571AC">
        <w:rPr>
          <w:rFonts w:hint="cs"/>
          <w:sz w:val="27"/>
          <w:rtl/>
        </w:rPr>
        <w:t>كان المهر</w:t>
      </w:r>
      <w:r w:rsidRPr="006571AC">
        <w:rPr>
          <w:sz w:val="27"/>
          <w:rtl/>
        </w:rPr>
        <w:t xml:space="preserve"> </w:t>
      </w:r>
      <w:r w:rsidRPr="006571AC">
        <w:rPr>
          <w:rFonts w:hint="cs"/>
          <w:sz w:val="27"/>
          <w:rtl/>
        </w:rPr>
        <w:t>مما تتفاوت قيمته مع تغيّ</w:t>
      </w:r>
      <w:r w:rsidR="00DD7DBF" w:rsidRPr="006571AC">
        <w:rPr>
          <w:rFonts w:hint="cs"/>
          <w:sz w:val="27"/>
          <w:rtl/>
        </w:rPr>
        <w:t>ُ</w:t>
      </w:r>
      <w:r w:rsidRPr="006571AC">
        <w:rPr>
          <w:rFonts w:hint="cs"/>
          <w:sz w:val="27"/>
          <w:rtl/>
        </w:rPr>
        <w:t>ر الزمان، وبناء</w:t>
      </w:r>
      <w:r w:rsidR="00DD7DBF" w:rsidRPr="006571AC">
        <w:rPr>
          <w:rFonts w:hint="cs"/>
          <w:sz w:val="27"/>
          <w:rtl/>
        </w:rPr>
        <w:t>ً</w:t>
      </w:r>
      <w:r w:rsidRPr="006571AC">
        <w:rPr>
          <w:rFonts w:hint="cs"/>
          <w:sz w:val="27"/>
          <w:rtl/>
        </w:rPr>
        <w:t xml:space="preserve"> على طلب </w:t>
      </w:r>
      <w:r w:rsidR="00DD7DBF" w:rsidRPr="006571AC">
        <w:rPr>
          <w:rFonts w:hint="cs"/>
          <w:sz w:val="27"/>
          <w:rtl/>
        </w:rPr>
        <w:t>أ</w:t>
      </w:r>
      <w:r w:rsidRPr="006571AC">
        <w:rPr>
          <w:rFonts w:hint="cs"/>
          <w:sz w:val="27"/>
          <w:rtl/>
        </w:rPr>
        <w:t>حد الزوجين</w:t>
      </w:r>
      <w:r w:rsidR="00DD7DBF" w:rsidRPr="006571AC">
        <w:rPr>
          <w:rFonts w:hint="cs"/>
          <w:sz w:val="27"/>
          <w:rtl/>
        </w:rPr>
        <w:t>،</w:t>
      </w:r>
      <w:r w:rsidRPr="006571AC">
        <w:rPr>
          <w:rFonts w:hint="cs"/>
          <w:sz w:val="27"/>
          <w:rtl/>
        </w:rPr>
        <w:t xml:space="preserve"> فإن </w:t>
      </w:r>
      <w:r w:rsidR="00336C10" w:rsidRPr="006571AC">
        <w:rPr>
          <w:rFonts w:hint="cs"/>
          <w:sz w:val="27"/>
          <w:rtl/>
        </w:rPr>
        <w:t>هذه المادّة</w:t>
      </w:r>
      <w:r w:rsidRPr="006571AC">
        <w:rPr>
          <w:rFonts w:hint="cs"/>
          <w:sz w:val="27"/>
          <w:rtl/>
        </w:rPr>
        <w:t xml:space="preserve"> تنصّ</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احتساب</w:t>
      </w:r>
      <w:r w:rsidRPr="006571AC">
        <w:rPr>
          <w:sz w:val="27"/>
          <w:rtl/>
        </w:rPr>
        <w:t xml:space="preserve"> </w:t>
      </w:r>
      <w:r w:rsidRPr="006571AC">
        <w:rPr>
          <w:rFonts w:hint="cs"/>
          <w:sz w:val="27"/>
          <w:rtl/>
        </w:rPr>
        <w:t>قيمة</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عند</w:t>
      </w:r>
      <w:r w:rsidRPr="006571AC">
        <w:rPr>
          <w:sz w:val="27"/>
          <w:rtl/>
        </w:rPr>
        <w:t xml:space="preserve"> </w:t>
      </w:r>
      <w:r w:rsidRPr="006571AC">
        <w:rPr>
          <w:rFonts w:hint="cs"/>
          <w:sz w:val="27"/>
          <w:rtl/>
        </w:rPr>
        <w:t>دفعه</w:t>
      </w:r>
      <w:r w:rsidRPr="006571AC">
        <w:rPr>
          <w:sz w:val="27"/>
          <w:rtl/>
        </w:rPr>
        <w:t xml:space="preserve"> </w:t>
      </w:r>
      <w:r w:rsidRPr="006571AC">
        <w:rPr>
          <w:rFonts w:hint="cs"/>
          <w:sz w:val="27"/>
          <w:rtl/>
        </w:rPr>
        <w:t>تكون</w:t>
      </w:r>
      <w:r w:rsidRPr="006571AC">
        <w:rPr>
          <w:sz w:val="27"/>
          <w:rtl/>
        </w:rPr>
        <w:t xml:space="preserve"> </w:t>
      </w:r>
      <w:r w:rsidRPr="006571AC">
        <w:rPr>
          <w:rFonts w:hint="cs"/>
          <w:sz w:val="27"/>
          <w:rtl/>
        </w:rPr>
        <w:t>مطابقة</w:t>
      </w:r>
      <w:r w:rsidR="00545ACE" w:rsidRPr="006571AC">
        <w:rPr>
          <w:rFonts w:hint="cs"/>
          <w:sz w:val="27"/>
          <w:rtl/>
        </w:rPr>
        <w:t>ً</w:t>
      </w:r>
      <w:r w:rsidRPr="006571AC">
        <w:rPr>
          <w:rFonts w:hint="cs"/>
          <w:sz w:val="27"/>
          <w:rtl/>
        </w:rPr>
        <w:t xml:space="preserve"> لسنة وقوع العقد</w:t>
      </w:r>
      <w:r w:rsidRPr="006571AC">
        <w:rPr>
          <w:sz w:val="27"/>
          <w:rtl/>
        </w:rPr>
        <w:t xml:space="preserve"> </w:t>
      </w:r>
      <w:r w:rsidRPr="006571AC">
        <w:rPr>
          <w:rFonts w:hint="cs"/>
          <w:sz w:val="27"/>
          <w:rtl/>
        </w:rPr>
        <w:t>[</w:t>
      </w:r>
      <w:r w:rsidR="00545ACE" w:rsidRPr="006571AC">
        <w:rPr>
          <w:rFonts w:hint="cs"/>
          <w:sz w:val="27"/>
          <w:rtl/>
        </w:rPr>
        <w:t>ال</w:t>
      </w:r>
      <w:r w:rsidRPr="006571AC">
        <w:rPr>
          <w:rFonts w:hint="cs"/>
          <w:sz w:val="27"/>
          <w:rtl/>
        </w:rPr>
        <w:t>ماد</w:t>
      </w:r>
      <w:r w:rsidR="00545ACE" w:rsidRPr="006571AC">
        <w:rPr>
          <w:rFonts w:hint="cs"/>
          <w:sz w:val="27"/>
          <w:rtl/>
        </w:rPr>
        <w:t>ّ</w:t>
      </w:r>
      <w:r w:rsidRPr="006571AC">
        <w:rPr>
          <w:rFonts w:hint="cs"/>
          <w:sz w:val="27"/>
          <w:rtl/>
        </w:rPr>
        <w:t>ة 1].</w:t>
      </w:r>
    </w:p>
    <w:p w:rsidR="00237EB1" w:rsidRPr="006571AC" w:rsidRDefault="00237EB1" w:rsidP="00E60D93">
      <w:pPr>
        <w:rPr>
          <w:sz w:val="27"/>
          <w:rtl/>
        </w:rPr>
      </w:pPr>
      <w:r w:rsidRPr="006571AC">
        <w:rPr>
          <w:sz w:val="27"/>
          <w:rtl/>
        </w:rPr>
        <w:t xml:space="preserve"> </w:t>
      </w:r>
      <w:r w:rsidRPr="006571AC">
        <w:rPr>
          <w:rFonts w:hint="cs"/>
          <w:sz w:val="27"/>
          <w:rtl/>
        </w:rPr>
        <w:t>ملحوظة: في حال توافق الزوجان على خلاف هذه الماد</w:t>
      </w:r>
      <w:r w:rsidR="00545ACE" w:rsidRPr="006571AC">
        <w:rPr>
          <w:rFonts w:hint="cs"/>
          <w:sz w:val="27"/>
          <w:rtl/>
        </w:rPr>
        <w:t>ّ</w:t>
      </w:r>
      <w:r w:rsidRPr="006571AC">
        <w:rPr>
          <w:rFonts w:hint="cs"/>
          <w:sz w:val="27"/>
          <w:rtl/>
        </w:rPr>
        <w:t>ة فإنّ الحكم القانوني الوضعي</w:t>
      </w:r>
      <w:r w:rsidRPr="006571AC">
        <w:rPr>
          <w:sz w:val="27"/>
          <w:rtl/>
        </w:rPr>
        <w:t xml:space="preserve"> </w:t>
      </w:r>
      <w:r w:rsidRPr="006571AC">
        <w:rPr>
          <w:rFonts w:hint="cs"/>
          <w:sz w:val="27"/>
          <w:rtl/>
        </w:rPr>
        <w:t>يطب</w:t>
      </w:r>
      <w:r w:rsidR="00545ACE" w:rsidRPr="006571AC">
        <w:rPr>
          <w:rFonts w:hint="cs"/>
          <w:sz w:val="27"/>
          <w:rtl/>
        </w:rPr>
        <w:t>ّ</w:t>
      </w:r>
      <w:r w:rsidRPr="006571AC">
        <w:rPr>
          <w:rFonts w:hint="cs"/>
          <w:sz w:val="27"/>
          <w:rtl/>
        </w:rPr>
        <w:t xml:space="preserve">ق على طبق ما توافق عليه الزوجان. </w:t>
      </w:r>
    </w:p>
    <w:p w:rsidR="00237EB1" w:rsidRPr="006571AC" w:rsidRDefault="00237EB1" w:rsidP="00E60D93">
      <w:pPr>
        <w:rPr>
          <w:sz w:val="27"/>
          <w:rtl/>
        </w:rPr>
      </w:pPr>
      <w:r w:rsidRPr="006571AC">
        <w:rPr>
          <w:rFonts w:hint="cs"/>
          <w:sz w:val="27"/>
          <w:rtl/>
        </w:rPr>
        <w:t>2ـ وطريقة احتساب المهر اذا كان مما تتغي</w:t>
      </w:r>
      <w:r w:rsidR="00545ACE" w:rsidRPr="006571AC">
        <w:rPr>
          <w:rFonts w:hint="cs"/>
          <w:sz w:val="27"/>
          <w:rtl/>
        </w:rPr>
        <w:t xml:space="preserve">َّر قيمته مع الزمان تكون كالتالي: </w:t>
      </w:r>
      <w:r w:rsidRPr="006571AC">
        <w:rPr>
          <w:rFonts w:hint="cs"/>
          <w:sz w:val="27"/>
          <w:rtl/>
        </w:rPr>
        <w:t>إنّ</w:t>
      </w:r>
      <w:r w:rsidRPr="006571AC">
        <w:rPr>
          <w:sz w:val="27"/>
          <w:rtl/>
        </w:rPr>
        <w:t xml:space="preserve"> </w:t>
      </w:r>
      <w:r w:rsidRPr="006571AC">
        <w:rPr>
          <w:rFonts w:hint="cs"/>
          <w:sz w:val="27"/>
          <w:rtl/>
        </w:rPr>
        <w:t>مؤشر</w:t>
      </w:r>
      <w:r w:rsidRPr="006571AC">
        <w:rPr>
          <w:sz w:val="27"/>
          <w:rtl/>
        </w:rPr>
        <w:t xml:space="preserve"> </w:t>
      </w:r>
      <w:r w:rsidRPr="006571AC">
        <w:rPr>
          <w:rFonts w:hint="cs"/>
          <w:sz w:val="27"/>
          <w:rtl/>
        </w:rPr>
        <w:t>السعر</w:t>
      </w:r>
      <w:r w:rsidRPr="006571AC">
        <w:rPr>
          <w:sz w:val="27"/>
          <w:rtl/>
        </w:rPr>
        <w:t xml:space="preserve"> </w:t>
      </w:r>
      <w:r w:rsidRPr="006571AC">
        <w:rPr>
          <w:rFonts w:hint="cs"/>
          <w:sz w:val="27"/>
          <w:rtl/>
        </w:rPr>
        <w:t>المتوسط</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سنة</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يقس</w:t>
      </w:r>
      <w:r w:rsidR="00545ACE" w:rsidRPr="006571AC">
        <w:rPr>
          <w:rFonts w:hint="cs"/>
          <w:sz w:val="27"/>
          <w:rtl/>
        </w:rPr>
        <w:t>ّ</w:t>
      </w:r>
      <w:r w:rsidRPr="006571AC">
        <w:rPr>
          <w:rFonts w:hint="cs"/>
          <w:sz w:val="27"/>
          <w:rtl/>
        </w:rPr>
        <w:t>م على الرقم القياسي لقيمة المهر في سنة العقد</w:t>
      </w:r>
      <w:r w:rsidR="00545ACE" w:rsidRPr="006571AC">
        <w:rPr>
          <w:rFonts w:hint="cs"/>
          <w:sz w:val="27"/>
          <w:rtl/>
        </w:rPr>
        <w:t>،</w:t>
      </w:r>
      <w:r w:rsidRPr="006571AC">
        <w:rPr>
          <w:rFonts w:hint="cs"/>
          <w:sz w:val="27"/>
          <w:rtl/>
        </w:rPr>
        <w:t xml:space="preserve"> مضروب</w:t>
      </w:r>
      <w:r w:rsidR="00731867" w:rsidRPr="006571AC">
        <w:rPr>
          <w:rFonts w:hint="cs"/>
          <w:sz w:val="27"/>
          <w:rtl/>
        </w:rPr>
        <w:t>اً</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المنصوص</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العقد [الماد</w:t>
      </w:r>
      <w:r w:rsidR="00545ACE" w:rsidRPr="006571AC">
        <w:rPr>
          <w:rFonts w:hint="cs"/>
          <w:sz w:val="27"/>
          <w:rtl/>
        </w:rPr>
        <w:t>ّ</w:t>
      </w:r>
      <w:r w:rsidRPr="006571AC">
        <w:rPr>
          <w:rFonts w:hint="cs"/>
          <w:sz w:val="27"/>
          <w:rtl/>
        </w:rPr>
        <w:t xml:space="preserve">ة 2]. </w:t>
      </w:r>
    </w:p>
    <w:p w:rsidR="00237EB1" w:rsidRPr="006571AC" w:rsidRDefault="00237EB1" w:rsidP="00E60D93">
      <w:pPr>
        <w:rPr>
          <w:sz w:val="27"/>
          <w:rtl/>
        </w:rPr>
      </w:pPr>
      <w:r w:rsidRPr="006571AC">
        <w:rPr>
          <w:rFonts w:hint="cs"/>
          <w:sz w:val="27"/>
          <w:rtl/>
        </w:rPr>
        <w:t>3ـ إذا كان الزوج متوف</w:t>
      </w:r>
      <w:r w:rsidR="00545ACE" w:rsidRPr="006571AC">
        <w:rPr>
          <w:rFonts w:hint="cs"/>
          <w:sz w:val="27"/>
          <w:rtl/>
        </w:rPr>
        <w:t>ّ</w:t>
      </w:r>
      <w:r w:rsidRPr="006571AC">
        <w:rPr>
          <w:rFonts w:hint="cs"/>
          <w:sz w:val="27"/>
          <w:rtl/>
        </w:rPr>
        <w:t>ى</w:t>
      </w:r>
      <w:r w:rsidR="00545ACE" w:rsidRPr="006571AC">
        <w:rPr>
          <w:rFonts w:hint="cs"/>
          <w:sz w:val="27"/>
          <w:rtl/>
        </w:rPr>
        <w:t>ً</w:t>
      </w:r>
      <w:r w:rsidRPr="006571AC">
        <w:rPr>
          <w:rFonts w:hint="cs"/>
          <w:sz w:val="27"/>
          <w:rtl/>
        </w:rPr>
        <w:t xml:space="preserve"> يُخ</w:t>
      </w:r>
      <w:r w:rsidR="00545ACE" w:rsidRPr="006571AC">
        <w:rPr>
          <w:rFonts w:hint="cs"/>
          <w:sz w:val="27"/>
          <w:rtl/>
        </w:rPr>
        <w:t>ْ</w:t>
      </w:r>
      <w:r w:rsidRPr="006571AC">
        <w:rPr>
          <w:rFonts w:hint="cs"/>
          <w:sz w:val="27"/>
          <w:rtl/>
        </w:rPr>
        <w:t>ر</w:t>
      </w:r>
      <w:r w:rsidR="00545ACE" w:rsidRPr="006571AC">
        <w:rPr>
          <w:rFonts w:hint="cs"/>
          <w:sz w:val="27"/>
          <w:rtl/>
        </w:rPr>
        <w:t>َ</w:t>
      </w:r>
      <w:r w:rsidRPr="006571AC">
        <w:rPr>
          <w:rFonts w:hint="cs"/>
          <w:sz w:val="27"/>
          <w:rtl/>
        </w:rPr>
        <w:t>ج المهر من ت</w:t>
      </w:r>
      <w:r w:rsidR="00336C10" w:rsidRPr="006571AC">
        <w:rPr>
          <w:rFonts w:hint="cs"/>
          <w:sz w:val="27"/>
          <w:rtl/>
        </w:rPr>
        <w:t>َ</w:t>
      </w:r>
      <w:r w:rsidRPr="006571AC">
        <w:rPr>
          <w:rFonts w:hint="cs"/>
          <w:sz w:val="27"/>
          <w:rtl/>
        </w:rPr>
        <w:t>ر</w:t>
      </w:r>
      <w:r w:rsidR="00336C10" w:rsidRPr="006571AC">
        <w:rPr>
          <w:rFonts w:hint="cs"/>
          <w:sz w:val="27"/>
          <w:rtl/>
        </w:rPr>
        <w:t>ِ</w:t>
      </w:r>
      <w:r w:rsidRPr="006571AC">
        <w:rPr>
          <w:rFonts w:hint="cs"/>
          <w:sz w:val="27"/>
          <w:rtl/>
        </w:rPr>
        <w:t>ك</w:t>
      </w:r>
      <w:r w:rsidR="00336C10" w:rsidRPr="006571AC">
        <w:rPr>
          <w:rFonts w:hint="cs"/>
          <w:sz w:val="27"/>
          <w:rtl/>
        </w:rPr>
        <w:t>َ</w:t>
      </w:r>
      <w:r w:rsidRPr="006571AC">
        <w:rPr>
          <w:rFonts w:hint="cs"/>
          <w:sz w:val="27"/>
          <w:rtl/>
        </w:rPr>
        <w:t>ته</w:t>
      </w:r>
      <w:r w:rsidR="00545ACE" w:rsidRPr="006571AC">
        <w:rPr>
          <w:rFonts w:hint="cs"/>
          <w:sz w:val="27"/>
          <w:rtl/>
        </w:rPr>
        <w:t>،</w:t>
      </w:r>
      <w:r w:rsidRPr="006571AC">
        <w:rPr>
          <w:rFonts w:hint="cs"/>
          <w:sz w:val="27"/>
          <w:rtl/>
        </w:rPr>
        <w:t xml:space="preserve"> وتحسب قيمة المهر طبق القيمة الفعلي</w:t>
      </w:r>
      <w:r w:rsidR="00545ACE" w:rsidRPr="006571AC">
        <w:rPr>
          <w:rFonts w:hint="cs"/>
          <w:sz w:val="27"/>
          <w:rtl/>
        </w:rPr>
        <w:t>ّ</w:t>
      </w:r>
      <w:r w:rsidRPr="006571AC">
        <w:rPr>
          <w:rFonts w:hint="cs"/>
          <w:sz w:val="27"/>
          <w:rtl/>
        </w:rPr>
        <w:t>ة لسنة موت الزوج [الماد</w:t>
      </w:r>
      <w:r w:rsidR="00545ACE" w:rsidRPr="006571AC">
        <w:rPr>
          <w:rFonts w:hint="cs"/>
          <w:sz w:val="27"/>
          <w:rtl/>
        </w:rPr>
        <w:t>ّ</w:t>
      </w:r>
      <w:r w:rsidRPr="006571AC">
        <w:rPr>
          <w:rFonts w:hint="cs"/>
          <w:sz w:val="27"/>
          <w:rtl/>
        </w:rPr>
        <w:t xml:space="preserve">ة 3]. </w:t>
      </w:r>
    </w:p>
    <w:p w:rsidR="00237EB1" w:rsidRPr="006571AC" w:rsidRDefault="00237EB1" w:rsidP="00E60D93">
      <w:pPr>
        <w:rPr>
          <w:sz w:val="27"/>
          <w:rtl/>
        </w:rPr>
      </w:pPr>
      <w:r w:rsidRPr="006571AC">
        <w:rPr>
          <w:rFonts w:hint="cs"/>
          <w:sz w:val="27"/>
          <w:rtl/>
        </w:rPr>
        <w:t>4ـ بموجب [المادّة 4] يكل</w:t>
      </w:r>
      <w:r w:rsidR="00545ACE" w:rsidRPr="006571AC">
        <w:rPr>
          <w:rFonts w:hint="cs"/>
          <w:sz w:val="27"/>
          <w:rtl/>
        </w:rPr>
        <w:t>َّ</w:t>
      </w:r>
      <w:r w:rsidRPr="006571AC">
        <w:rPr>
          <w:rFonts w:hint="cs"/>
          <w:sz w:val="27"/>
          <w:rtl/>
        </w:rPr>
        <w:t xml:space="preserve">ف البنك المركزي الإيراني بالقيام بالأمور التالية: </w:t>
      </w:r>
    </w:p>
    <w:p w:rsidR="00237EB1" w:rsidRPr="006571AC" w:rsidRDefault="00237EB1" w:rsidP="00E60D93">
      <w:pPr>
        <w:rPr>
          <w:sz w:val="27"/>
          <w:rtl/>
        </w:rPr>
      </w:pPr>
      <w:r w:rsidRPr="006571AC">
        <w:rPr>
          <w:rFonts w:hint="cs"/>
          <w:sz w:val="27"/>
          <w:rtl/>
        </w:rPr>
        <w:t>أـ إعداد مؤش</w:t>
      </w:r>
      <w:r w:rsidR="00545ACE" w:rsidRPr="006571AC">
        <w:rPr>
          <w:rFonts w:hint="cs"/>
          <w:sz w:val="27"/>
          <w:rtl/>
        </w:rPr>
        <w:t>ِّ</w:t>
      </w:r>
      <w:r w:rsidRPr="006571AC">
        <w:rPr>
          <w:rFonts w:hint="cs"/>
          <w:sz w:val="27"/>
          <w:rtl/>
        </w:rPr>
        <w:t>رات أسعار السنوات السابقة</w:t>
      </w:r>
      <w:r w:rsidR="00545ACE" w:rsidRPr="006571AC">
        <w:rPr>
          <w:rFonts w:hint="cs"/>
          <w:sz w:val="27"/>
          <w:rtl/>
        </w:rPr>
        <w:t>،</w:t>
      </w:r>
      <w:r w:rsidRPr="006571AC">
        <w:rPr>
          <w:rFonts w:hint="cs"/>
          <w:sz w:val="27"/>
          <w:rtl/>
        </w:rPr>
        <w:t xml:space="preserve"> وتقديمها للقضاء</w:t>
      </w:r>
      <w:r w:rsidR="00545ACE" w:rsidRPr="006571AC">
        <w:rPr>
          <w:rFonts w:hint="cs"/>
          <w:sz w:val="27"/>
          <w:rtl/>
        </w:rPr>
        <w:t>،</w:t>
      </w:r>
      <w:r w:rsidRPr="006571AC">
        <w:rPr>
          <w:rFonts w:hint="cs"/>
          <w:sz w:val="27"/>
          <w:rtl/>
        </w:rPr>
        <w:t xml:space="preserve"> قبل تنفيذ الحكم القانوني. </w:t>
      </w:r>
    </w:p>
    <w:p w:rsidR="00237EB1" w:rsidRPr="006571AC" w:rsidRDefault="00237EB1" w:rsidP="00336C10">
      <w:pPr>
        <w:rPr>
          <w:sz w:val="27"/>
          <w:rtl/>
        </w:rPr>
      </w:pPr>
      <w:r w:rsidRPr="006571AC">
        <w:rPr>
          <w:rFonts w:hint="cs"/>
          <w:sz w:val="27"/>
          <w:rtl/>
        </w:rPr>
        <w:t>ب ـ يجب سنوي</w:t>
      </w:r>
      <w:r w:rsidR="00545ACE" w:rsidRPr="006571AC">
        <w:rPr>
          <w:rFonts w:hint="cs"/>
          <w:sz w:val="27"/>
          <w:rtl/>
        </w:rPr>
        <w:t>ّ</w:t>
      </w:r>
      <w:r w:rsidRPr="006571AC">
        <w:rPr>
          <w:rFonts w:hint="cs"/>
          <w:sz w:val="27"/>
          <w:rtl/>
        </w:rPr>
        <w:t>ا</w:t>
      </w:r>
      <w:r w:rsidR="00545ACE" w:rsidRPr="006571AC">
        <w:rPr>
          <w:rFonts w:hint="cs"/>
          <w:sz w:val="27"/>
          <w:rtl/>
        </w:rPr>
        <w:t>ً</w:t>
      </w:r>
      <w:r w:rsidRPr="006571AC">
        <w:rPr>
          <w:rFonts w:hint="cs"/>
          <w:sz w:val="27"/>
          <w:rtl/>
        </w:rPr>
        <w:t xml:space="preserve"> تهيئة الأرقام القياسية للأسعار المتعل</w:t>
      </w:r>
      <w:r w:rsidR="00545ACE" w:rsidRPr="006571AC">
        <w:rPr>
          <w:rFonts w:hint="cs"/>
          <w:sz w:val="27"/>
          <w:rtl/>
        </w:rPr>
        <w:t>ِّ</w:t>
      </w:r>
      <w:r w:rsidRPr="006571AC">
        <w:rPr>
          <w:rFonts w:hint="cs"/>
          <w:sz w:val="27"/>
          <w:rtl/>
        </w:rPr>
        <w:t>قة في كل</w:t>
      </w:r>
      <w:r w:rsidR="00545ACE" w:rsidRPr="006571AC">
        <w:rPr>
          <w:rFonts w:hint="cs"/>
          <w:sz w:val="27"/>
          <w:rtl/>
        </w:rPr>
        <w:t>ّ</w:t>
      </w:r>
      <w:r w:rsidRPr="006571AC">
        <w:rPr>
          <w:rFonts w:hint="cs"/>
          <w:sz w:val="27"/>
          <w:rtl/>
        </w:rPr>
        <w:t xml:space="preserve"> سنة</w:t>
      </w:r>
      <w:r w:rsidR="00545ACE" w:rsidRPr="006571AC">
        <w:rPr>
          <w:rFonts w:hint="cs"/>
          <w:sz w:val="27"/>
          <w:rtl/>
        </w:rPr>
        <w:t>ٍ،</w:t>
      </w:r>
      <w:r w:rsidRPr="006571AC">
        <w:rPr>
          <w:rFonts w:hint="cs"/>
          <w:sz w:val="27"/>
          <w:rtl/>
        </w:rPr>
        <w:t xml:space="preserve"> ويتمّ إعلانها للقوّة القضائية</w:t>
      </w:r>
      <w:r w:rsidR="00545ACE" w:rsidRPr="006571AC">
        <w:rPr>
          <w:rFonts w:hint="cs"/>
          <w:sz w:val="27"/>
          <w:rtl/>
        </w:rPr>
        <w:t>،</w:t>
      </w:r>
      <w:r w:rsidRPr="006571AC">
        <w:rPr>
          <w:rFonts w:hint="cs"/>
          <w:sz w:val="27"/>
          <w:rtl/>
        </w:rPr>
        <w:t xml:space="preserve"> بمد</w:t>
      </w:r>
      <w:r w:rsidR="00545ACE" w:rsidRPr="006571AC">
        <w:rPr>
          <w:rFonts w:hint="cs"/>
          <w:sz w:val="27"/>
          <w:rtl/>
        </w:rPr>
        <w:t>ّ</w:t>
      </w:r>
      <w:r w:rsidRPr="006571AC">
        <w:rPr>
          <w:rFonts w:hint="cs"/>
          <w:sz w:val="27"/>
          <w:rtl/>
        </w:rPr>
        <w:t>ة</w:t>
      </w:r>
      <w:r w:rsidR="00336C10" w:rsidRPr="006571AC">
        <w:rPr>
          <w:rFonts w:hint="cs"/>
          <w:sz w:val="27"/>
          <w:rtl/>
        </w:rPr>
        <w:t>ٍ</w:t>
      </w:r>
      <w:r w:rsidRPr="006571AC">
        <w:rPr>
          <w:rFonts w:hint="cs"/>
          <w:sz w:val="27"/>
          <w:rtl/>
        </w:rPr>
        <w:t xml:space="preserve"> أقصاها نهاية شهر خرداد (حزيران). </w:t>
      </w:r>
    </w:p>
    <w:p w:rsidR="00237EB1" w:rsidRPr="006571AC" w:rsidRDefault="00237EB1" w:rsidP="009A7D9E">
      <w:pPr>
        <w:rPr>
          <w:sz w:val="27"/>
          <w:rtl/>
        </w:rPr>
      </w:pPr>
      <w:r w:rsidRPr="006571AC">
        <w:rPr>
          <w:rFonts w:hint="cs"/>
          <w:sz w:val="27"/>
          <w:rtl/>
        </w:rPr>
        <w:t>5ـ تلزم المحاكم والدوائر الإدارية لتسجيل العقارات والأملاك ح</w:t>
      </w:r>
      <w:r w:rsidR="00545ACE" w:rsidRPr="006571AC">
        <w:rPr>
          <w:rFonts w:hint="cs"/>
          <w:sz w:val="27"/>
          <w:rtl/>
        </w:rPr>
        <w:t>َ</w:t>
      </w:r>
      <w:r w:rsidRPr="006571AC">
        <w:rPr>
          <w:rFonts w:hint="cs"/>
          <w:sz w:val="27"/>
          <w:rtl/>
        </w:rPr>
        <w:t>س</w:t>
      </w:r>
      <w:r w:rsidR="00545ACE" w:rsidRPr="006571AC">
        <w:rPr>
          <w:rFonts w:hint="cs"/>
          <w:sz w:val="27"/>
          <w:rtl/>
        </w:rPr>
        <w:t>ْ</w:t>
      </w:r>
      <w:r w:rsidRPr="006571AC">
        <w:rPr>
          <w:rFonts w:hint="cs"/>
          <w:sz w:val="27"/>
          <w:rtl/>
        </w:rPr>
        <w:t>ب مقدار المهر</w:t>
      </w:r>
      <w:r w:rsidR="00545ACE" w:rsidRPr="006571AC">
        <w:rPr>
          <w:rFonts w:hint="cs"/>
          <w:sz w:val="27"/>
          <w:rtl/>
        </w:rPr>
        <w:t>،</w:t>
      </w:r>
      <w:r w:rsidRPr="006571AC">
        <w:rPr>
          <w:rFonts w:hint="cs"/>
          <w:sz w:val="27"/>
          <w:rtl/>
        </w:rPr>
        <w:t xml:space="preserve"> ويطبق وفق الماد</w:t>
      </w:r>
      <w:r w:rsidR="00545ACE" w:rsidRPr="006571AC">
        <w:rPr>
          <w:rFonts w:hint="cs"/>
          <w:sz w:val="27"/>
          <w:rtl/>
        </w:rPr>
        <w:t>ّ</w:t>
      </w:r>
      <w:r w:rsidRPr="006571AC">
        <w:rPr>
          <w:rFonts w:hint="cs"/>
          <w:sz w:val="27"/>
          <w:rtl/>
        </w:rPr>
        <w:t>ة 2</w:t>
      </w:r>
      <w:r w:rsidR="00545ACE" w:rsidRPr="006571AC">
        <w:rPr>
          <w:rFonts w:hint="cs"/>
          <w:sz w:val="27"/>
          <w:rtl/>
        </w:rPr>
        <w:t>،</w:t>
      </w:r>
      <w:r w:rsidRPr="006571AC">
        <w:rPr>
          <w:rFonts w:hint="cs"/>
          <w:sz w:val="27"/>
          <w:rtl/>
        </w:rPr>
        <w:t xml:space="preserve"> كما تقد</w:t>
      </w:r>
      <w:r w:rsidR="00545ACE" w:rsidRPr="006571AC">
        <w:rPr>
          <w:rFonts w:hint="cs"/>
          <w:sz w:val="27"/>
          <w:rtl/>
        </w:rPr>
        <w:t>َّ</w:t>
      </w:r>
      <w:r w:rsidRPr="006571AC">
        <w:rPr>
          <w:rFonts w:hint="cs"/>
          <w:sz w:val="27"/>
          <w:rtl/>
        </w:rPr>
        <w:t xml:space="preserve">م، </w:t>
      </w:r>
      <w:r w:rsidR="00545ACE" w:rsidRPr="006571AC">
        <w:rPr>
          <w:rFonts w:hint="cs"/>
          <w:sz w:val="27"/>
          <w:rtl/>
        </w:rPr>
        <w:t>أ</w:t>
      </w:r>
      <w:r w:rsidRPr="006571AC">
        <w:rPr>
          <w:rFonts w:hint="cs"/>
          <w:sz w:val="27"/>
          <w:rtl/>
        </w:rPr>
        <w:t>ما بالنسبة الى تغيير المؤش</w:t>
      </w:r>
      <w:r w:rsidR="00545ACE" w:rsidRPr="006571AC">
        <w:rPr>
          <w:rFonts w:hint="cs"/>
          <w:sz w:val="27"/>
          <w:rtl/>
        </w:rPr>
        <w:t>ِّ</w:t>
      </w:r>
      <w:r w:rsidRPr="006571AC">
        <w:rPr>
          <w:rFonts w:hint="cs"/>
          <w:sz w:val="27"/>
          <w:rtl/>
        </w:rPr>
        <w:t xml:space="preserve">ر القياسي لقيمة المهر </w:t>
      </w:r>
      <w:r w:rsidR="00545ACE" w:rsidRPr="006571AC">
        <w:rPr>
          <w:rFonts w:hint="cs"/>
          <w:sz w:val="27"/>
          <w:rtl/>
        </w:rPr>
        <w:t>ف</w:t>
      </w:r>
      <w:r w:rsidRPr="006571AC">
        <w:rPr>
          <w:rFonts w:hint="cs"/>
          <w:sz w:val="27"/>
          <w:rtl/>
        </w:rPr>
        <w:t>يطبق الحكم الوضعي الذي نص</w:t>
      </w:r>
      <w:r w:rsidR="00545ACE" w:rsidRPr="006571AC">
        <w:rPr>
          <w:rFonts w:hint="cs"/>
          <w:sz w:val="27"/>
          <w:rtl/>
        </w:rPr>
        <w:t>َّ</w:t>
      </w:r>
      <w:r w:rsidRPr="006571AC">
        <w:rPr>
          <w:rFonts w:hint="cs"/>
          <w:sz w:val="27"/>
          <w:rtl/>
        </w:rPr>
        <w:t>ت</w:t>
      </w:r>
      <w:r w:rsidR="00545ACE" w:rsidRPr="006571AC">
        <w:rPr>
          <w:rFonts w:hint="cs"/>
          <w:sz w:val="27"/>
          <w:rtl/>
        </w:rPr>
        <w:t>ْ</w:t>
      </w:r>
      <w:r w:rsidRPr="006571AC">
        <w:rPr>
          <w:rFonts w:hint="cs"/>
          <w:sz w:val="27"/>
          <w:rtl/>
        </w:rPr>
        <w:t xml:space="preserve"> عليه الماد</w:t>
      </w:r>
      <w:r w:rsidR="00F13EF2" w:rsidRPr="006571AC">
        <w:rPr>
          <w:rFonts w:hint="cs"/>
          <w:sz w:val="27"/>
          <w:rtl/>
        </w:rPr>
        <w:t>ّ</w:t>
      </w:r>
      <w:r w:rsidRPr="006571AC">
        <w:rPr>
          <w:rFonts w:hint="cs"/>
          <w:sz w:val="27"/>
          <w:rtl/>
        </w:rPr>
        <w:t xml:space="preserve">ة 4 [المادّة 5]. </w:t>
      </w:r>
    </w:p>
    <w:p w:rsidR="00237EB1" w:rsidRPr="006571AC" w:rsidRDefault="00237EB1" w:rsidP="00E60D93">
      <w:pPr>
        <w:rPr>
          <w:sz w:val="27"/>
          <w:rtl/>
        </w:rPr>
      </w:pPr>
      <w:r w:rsidRPr="006571AC">
        <w:rPr>
          <w:rFonts w:hint="cs"/>
          <w:sz w:val="27"/>
          <w:rtl/>
        </w:rPr>
        <w:lastRenderedPageBreak/>
        <w:t>6ـ تنص</w:t>
      </w:r>
      <w:r w:rsidR="00F13EF2" w:rsidRPr="006571AC">
        <w:rPr>
          <w:rFonts w:hint="cs"/>
          <w:sz w:val="27"/>
          <w:rtl/>
        </w:rPr>
        <w:t>ّ</w:t>
      </w:r>
      <w:r w:rsidRPr="006571AC">
        <w:rPr>
          <w:rFonts w:hint="cs"/>
          <w:sz w:val="27"/>
          <w:rtl/>
        </w:rPr>
        <w:t xml:space="preserve"> هذه الماد</w:t>
      </w:r>
      <w:r w:rsidR="00F13EF2" w:rsidRPr="006571AC">
        <w:rPr>
          <w:rFonts w:hint="cs"/>
          <w:sz w:val="27"/>
          <w:rtl/>
        </w:rPr>
        <w:t>ّ</w:t>
      </w:r>
      <w:r w:rsidRPr="006571AC">
        <w:rPr>
          <w:rFonts w:hint="cs"/>
          <w:sz w:val="27"/>
          <w:rtl/>
        </w:rPr>
        <w:t>ة انه بإمكان الزوج دفع جزء</w:t>
      </w:r>
      <w:r w:rsidR="00F13EF2" w:rsidRPr="006571AC">
        <w:rPr>
          <w:rFonts w:hint="cs"/>
          <w:sz w:val="27"/>
          <w:rtl/>
        </w:rPr>
        <w:t>ٍ</w:t>
      </w:r>
      <w:r w:rsidRPr="006571AC">
        <w:rPr>
          <w:rFonts w:hint="cs"/>
          <w:sz w:val="27"/>
          <w:rtl/>
        </w:rPr>
        <w:t xml:space="preserve"> من المهر </w:t>
      </w:r>
      <w:r w:rsidR="00F13EF2" w:rsidRPr="006571AC">
        <w:rPr>
          <w:rFonts w:hint="cs"/>
          <w:sz w:val="27"/>
          <w:rtl/>
        </w:rPr>
        <w:t>إ</w:t>
      </w:r>
      <w:r w:rsidRPr="006571AC">
        <w:rPr>
          <w:rFonts w:hint="cs"/>
          <w:sz w:val="27"/>
          <w:rtl/>
        </w:rPr>
        <w:t>لى مد</w:t>
      </w:r>
      <w:r w:rsidR="00F13EF2" w:rsidRPr="006571AC">
        <w:rPr>
          <w:rFonts w:hint="cs"/>
          <w:sz w:val="27"/>
          <w:rtl/>
        </w:rPr>
        <w:t>ّ</w:t>
      </w:r>
      <w:r w:rsidRPr="006571AC">
        <w:rPr>
          <w:rFonts w:hint="cs"/>
          <w:sz w:val="27"/>
          <w:rtl/>
        </w:rPr>
        <w:t>ة</w:t>
      </w:r>
      <w:r w:rsidR="00F13EF2" w:rsidRPr="006571AC">
        <w:rPr>
          <w:rFonts w:hint="cs"/>
          <w:sz w:val="27"/>
          <w:rtl/>
        </w:rPr>
        <w:t>ٍ</w:t>
      </w:r>
      <w:r w:rsidRPr="006571AC">
        <w:rPr>
          <w:rFonts w:hint="cs"/>
          <w:sz w:val="27"/>
          <w:rtl/>
        </w:rPr>
        <w:t xml:space="preserve"> معي</w:t>
      </w:r>
      <w:r w:rsidR="00F13EF2" w:rsidRPr="006571AC">
        <w:rPr>
          <w:rFonts w:hint="cs"/>
          <w:sz w:val="27"/>
          <w:rtl/>
        </w:rPr>
        <w:t>َّ</w:t>
      </w:r>
      <w:r w:rsidRPr="006571AC">
        <w:rPr>
          <w:rFonts w:hint="cs"/>
          <w:sz w:val="27"/>
          <w:rtl/>
        </w:rPr>
        <w:t>نة أو تقسيطه على دفعات</w:t>
      </w:r>
      <w:r w:rsidR="00F13EF2" w:rsidRPr="006571AC">
        <w:rPr>
          <w:rFonts w:hint="cs"/>
          <w:sz w:val="27"/>
          <w:rtl/>
        </w:rPr>
        <w:t>ٍ</w:t>
      </w:r>
      <w:r w:rsidRPr="006571AC">
        <w:rPr>
          <w:rFonts w:hint="cs"/>
          <w:sz w:val="27"/>
          <w:rtl/>
        </w:rPr>
        <w:t xml:space="preserve"> [الماد</w:t>
      </w:r>
      <w:r w:rsidR="00F13EF2" w:rsidRPr="006571AC">
        <w:rPr>
          <w:rFonts w:hint="cs"/>
          <w:sz w:val="27"/>
          <w:rtl/>
        </w:rPr>
        <w:t>ّ</w:t>
      </w:r>
      <w:r w:rsidRPr="006571AC">
        <w:rPr>
          <w:rFonts w:hint="cs"/>
          <w:sz w:val="27"/>
          <w:rtl/>
        </w:rPr>
        <w:t xml:space="preserve">ة 1083]. </w:t>
      </w:r>
    </w:p>
    <w:p w:rsidR="00237EB1" w:rsidRPr="006571AC" w:rsidRDefault="00237EB1" w:rsidP="00E60D93">
      <w:pPr>
        <w:rPr>
          <w:sz w:val="27"/>
          <w:rtl/>
        </w:rPr>
      </w:pPr>
      <w:r w:rsidRPr="006571AC">
        <w:rPr>
          <w:rFonts w:hint="cs"/>
          <w:sz w:val="27"/>
          <w:rtl/>
        </w:rPr>
        <w:t>7ـ إذا كان المهر ع</w:t>
      </w:r>
      <w:r w:rsidR="009A7D9E" w:rsidRPr="006571AC">
        <w:rPr>
          <w:rFonts w:hint="cs"/>
          <w:sz w:val="27"/>
          <w:rtl/>
        </w:rPr>
        <w:t>َ</w:t>
      </w:r>
      <w:r w:rsidRPr="006571AC">
        <w:rPr>
          <w:rFonts w:hint="cs"/>
          <w:sz w:val="27"/>
          <w:rtl/>
        </w:rPr>
        <w:t>ي</w:t>
      </w:r>
      <w:r w:rsidR="009A7D9E" w:rsidRPr="006571AC">
        <w:rPr>
          <w:rFonts w:hint="cs"/>
          <w:sz w:val="27"/>
          <w:rtl/>
        </w:rPr>
        <w:t>ْ</w:t>
      </w:r>
      <w:r w:rsidRPr="006571AC">
        <w:rPr>
          <w:rFonts w:hint="cs"/>
          <w:sz w:val="27"/>
          <w:rtl/>
        </w:rPr>
        <w:t>ن</w:t>
      </w:r>
      <w:r w:rsidR="00F13EF2" w:rsidRPr="006571AC">
        <w:rPr>
          <w:rFonts w:hint="cs"/>
          <w:sz w:val="27"/>
          <w:rtl/>
        </w:rPr>
        <w:t>اً</w:t>
      </w:r>
      <w:r w:rsidRPr="006571AC">
        <w:rPr>
          <w:rFonts w:hint="cs"/>
          <w:sz w:val="27"/>
          <w:rtl/>
        </w:rPr>
        <w:t xml:space="preserve"> معينة ومعلومة، إلا</w:t>
      </w:r>
      <w:r w:rsidR="00F13EF2" w:rsidRPr="006571AC">
        <w:rPr>
          <w:rFonts w:hint="cs"/>
          <w:sz w:val="27"/>
          <w:rtl/>
        </w:rPr>
        <w:t>ّ</w:t>
      </w:r>
      <w:r w:rsidRPr="006571AC">
        <w:rPr>
          <w:rFonts w:hint="cs"/>
          <w:sz w:val="27"/>
          <w:rtl/>
        </w:rPr>
        <w:t xml:space="preserve"> أنه حدث فيه ع</w:t>
      </w:r>
      <w:r w:rsidR="009A7D9E" w:rsidRPr="006571AC">
        <w:rPr>
          <w:rFonts w:hint="cs"/>
          <w:sz w:val="27"/>
          <w:rtl/>
        </w:rPr>
        <w:t>َ</w:t>
      </w:r>
      <w:r w:rsidRPr="006571AC">
        <w:rPr>
          <w:rFonts w:hint="cs"/>
          <w:sz w:val="27"/>
          <w:rtl/>
        </w:rPr>
        <w:t>ي</w:t>
      </w:r>
      <w:r w:rsidR="009A7D9E" w:rsidRPr="006571AC">
        <w:rPr>
          <w:rFonts w:hint="cs"/>
          <w:sz w:val="27"/>
          <w:rtl/>
        </w:rPr>
        <w:t>ْ</w:t>
      </w:r>
      <w:r w:rsidRPr="006571AC">
        <w:rPr>
          <w:rFonts w:hint="cs"/>
          <w:sz w:val="27"/>
          <w:rtl/>
        </w:rPr>
        <w:t>ب</w:t>
      </w:r>
      <w:r w:rsidR="00F13EF2" w:rsidRPr="006571AC">
        <w:rPr>
          <w:rFonts w:hint="cs"/>
          <w:sz w:val="27"/>
          <w:rtl/>
        </w:rPr>
        <w:t>ٌ</w:t>
      </w:r>
      <w:r w:rsidRPr="006571AC">
        <w:rPr>
          <w:rFonts w:hint="cs"/>
          <w:sz w:val="27"/>
          <w:rtl/>
        </w:rPr>
        <w:t xml:space="preserve"> قبل العقد أو بعده</w:t>
      </w:r>
      <w:r w:rsidR="00F13EF2" w:rsidRPr="006571AC">
        <w:rPr>
          <w:rFonts w:hint="cs"/>
          <w:sz w:val="27"/>
          <w:rtl/>
        </w:rPr>
        <w:t>،</w:t>
      </w:r>
      <w:r w:rsidRPr="006571AC">
        <w:rPr>
          <w:rFonts w:hint="cs"/>
          <w:sz w:val="27"/>
          <w:rtl/>
        </w:rPr>
        <w:t xml:space="preserve"> أو تلف</w:t>
      </w:r>
      <w:r w:rsidR="00F13EF2" w:rsidRPr="006571AC">
        <w:rPr>
          <w:rFonts w:hint="cs"/>
          <w:sz w:val="27"/>
          <w:rtl/>
        </w:rPr>
        <w:t>،</w:t>
      </w:r>
      <w:r w:rsidRPr="006571AC">
        <w:rPr>
          <w:rFonts w:hint="cs"/>
          <w:sz w:val="27"/>
          <w:rtl/>
        </w:rPr>
        <w:t xml:space="preserve"> فيكون الزوج ضامن</w:t>
      </w:r>
      <w:r w:rsidR="00F13EF2" w:rsidRPr="006571AC">
        <w:rPr>
          <w:rFonts w:hint="cs"/>
          <w:sz w:val="27"/>
          <w:rtl/>
        </w:rPr>
        <w:t>اً</w:t>
      </w:r>
      <w:r w:rsidRPr="006571AC">
        <w:rPr>
          <w:rFonts w:hint="cs"/>
          <w:sz w:val="27"/>
          <w:rtl/>
        </w:rPr>
        <w:t xml:space="preserve"> له [الماد</w:t>
      </w:r>
      <w:r w:rsidR="00F13EF2" w:rsidRPr="006571AC">
        <w:rPr>
          <w:rFonts w:hint="cs"/>
          <w:sz w:val="27"/>
          <w:rtl/>
        </w:rPr>
        <w:t>ّ</w:t>
      </w:r>
      <w:r w:rsidRPr="006571AC">
        <w:rPr>
          <w:rFonts w:hint="cs"/>
          <w:sz w:val="27"/>
          <w:rtl/>
        </w:rPr>
        <w:t xml:space="preserve">ة 1084]. </w:t>
      </w:r>
    </w:p>
    <w:p w:rsidR="00237EB1" w:rsidRPr="006571AC" w:rsidRDefault="00237EB1" w:rsidP="009A7D9E">
      <w:pPr>
        <w:rPr>
          <w:sz w:val="27"/>
          <w:rtl/>
        </w:rPr>
      </w:pPr>
      <w:r w:rsidRPr="006571AC">
        <w:rPr>
          <w:rFonts w:hint="cs"/>
          <w:sz w:val="27"/>
          <w:rtl/>
        </w:rPr>
        <w:t>8ـ إذا كان المهر حال</w:t>
      </w:r>
      <w:r w:rsidR="00F13EF2" w:rsidRPr="006571AC">
        <w:rPr>
          <w:rFonts w:hint="cs"/>
          <w:sz w:val="27"/>
          <w:rtl/>
        </w:rPr>
        <w:t>اًّ</w:t>
      </w:r>
      <w:r w:rsidRPr="006571AC">
        <w:rPr>
          <w:rFonts w:hint="cs"/>
          <w:sz w:val="27"/>
          <w:rtl/>
        </w:rPr>
        <w:t xml:space="preserve"> يحق</w:t>
      </w:r>
      <w:r w:rsidR="00F13EF2" w:rsidRPr="006571AC">
        <w:rPr>
          <w:rFonts w:hint="cs"/>
          <w:sz w:val="27"/>
          <w:rtl/>
        </w:rPr>
        <w:t>ّ</w:t>
      </w:r>
      <w:r w:rsidRPr="006571AC">
        <w:rPr>
          <w:rFonts w:hint="cs"/>
          <w:sz w:val="27"/>
          <w:rtl/>
        </w:rPr>
        <w:t xml:space="preserve"> للمرأة ان تمتنع عن القيام بواجباتها تجاه زوجها إلى </w:t>
      </w:r>
      <w:r w:rsidR="009A7D9E" w:rsidRPr="006571AC">
        <w:rPr>
          <w:rFonts w:hint="cs"/>
          <w:sz w:val="27"/>
          <w:rtl/>
        </w:rPr>
        <w:t>أ</w:t>
      </w:r>
      <w:r w:rsidRPr="006571AC">
        <w:rPr>
          <w:rFonts w:hint="cs"/>
          <w:sz w:val="27"/>
          <w:rtl/>
        </w:rPr>
        <w:t>ن تستلم المهر، وهذا الامتناع لا يسقط حق</w:t>
      </w:r>
      <w:r w:rsidR="00F13EF2" w:rsidRPr="006571AC">
        <w:rPr>
          <w:rFonts w:hint="cs"/>
          <w:sz w:val="27"/>
          <w:rtl/>
        </w:rPr>
        <w:t>َّ</w:t>
      </w:r>
      <w:r w:rsidRPr="006571AC">
        <w:rPr>
          <w:rFonts w:hint="cs"/>
          <w:sz w:val="27"/>
          <w:rtl/>
        </w:rPr>
        <w:t>ها في النفقة [الماد</w:t>
      </w:r>
      <w:r w:rsidR="00F13EF2" w:rsidRPr="006571AC">
        <w:rPr>
          <w:rFonts w:hint="cs"/>
          <w:sz w:val="27"/>
          <w:rtl/>
        </w:rPr>
        <w:t>ّ</w:t>
      </w:r>
      <w:r w:rsidRPr="006571AC">
        <w:rPr>
          <w:rFonts w:hint="cs"/>
          <w:sz w:val="27"/>
          <w:rtl/>
        </w:rPr>
        <w:t xml:space="preserve">ة 1085]. </w:t>
      </w:r>
    </w:p>
    <w:p w:rsidR="00237EB1" w:rsidRPr="006571AC" w:rsidRDefault="00237EB1" w:rsidP="00E60D93">
      <w:pPr>
        <w:rPr>
          <w:sz w:val="27"/>
          <w:rtl/>
        </w:rPr>
      </w:pPr>
      <w:r w:rsidRPr="006571AC">
        <w:rPr>
          <w:rFonts w:hint="cs"/>
          <w:sz w:val="27"/>
          <w:rtl/>
        </w:rPr>
        <w:t>9ـ إذا مك</w:t>
      </w:r>
      <w:r w:rsidR="00F13EF2" w:rsidRPr="006571AC">
        <w:rPr>
          <w:rFonts w:hint="cs"/>
          <w:sz w:val="27"/>
          <w:rtl/>
        </w:rPr>
        <w:t>َّ</w:t>
      </w:r>
      <w:r w:rsidRPr="006571AC">
        <w:rPr>
          <w:rFonts w:hint="cs"/>
          <w:sz w:val="27"/>
          <w:rtl/>
        </w:rPr>
        <w:t>ن</w:t>
      </w:r>
      <w:r w:rsidR="00F13EF2" w:rsidRPr="006571AC">
        <w:rPr>
          <w:rFonts w:hint="cs"/>
          <w:sz w:val="27"/>
          <w:rtl/>
        </w:rPr>
        <w:t>َ</w:t>
      </w:r>
      <w:r w:rsidRPr="006571AC">
        <w:rPr>
          <w:rFonts w:hint="cs"/>
          <w:sz w:val="27"/>
          <w:rtl/>
        </w:rPr>
        <w:t>ت</w:t>
      </w:r>
      <w:r w:rsidR="00F13EF2" w:rsidRPr="006571AC">
        <w:rPr>
          <w:rFonts w:hint="cs"/>
          <w:sz w:val="27"/>
          <w:rtl/>
        </w:rPr>
        <w:t>ْ</w:t>
      </w:r>
      <w:r w:rsidRPr="006571AC">
        <w:rPr>
          <w:rFonts w:hint="cs"/>
          <w:sz w:val="27"/>
          <w:rtl/>
        </w:rPr>
        <w:t xml:space="preserve"> الزوجة نفسها باختيارها قبل استلام المهر فل</w:t>
      </w:r>
      <w:r w:rsidR="00F13EF2" w:rsidRPr="006571AC">
        <w:rPr>
          <w:rFonts w:hint="cs"/>
          <w:sz w:val="27"/>
          <w:rtl/>
        </w:rPr>
        <w:t>ا</w:t>
      </w:r>
      <w:r w:rsidRPr="006571AC">
        <w:rPr>
          <w:rFonts w:hint="cs"/>
          <w:sz w:val="27"/>
          <w:rtl/>
        </w:rPr>
        <w:t xml:space="preserve"> يع</w:t>
      </w:r>
      <w:r w:rsidR="00F13EF2" w:rsidRPr="006571AC">
        <w:rPr>
          <w:rFonts w:hint="cs"/>
          <w:sz w:val="27"/>
          <w:rtl/>
        </w:rPr>
        <w:t>و</w:t>
      </w:r>
      <w:r w:rsidRPr="006571AC">
        <w:rPr>
          <w:rFonts w:hint="cs"/>
          <w:sz w:val="27"/>
          <w:rtl/>
        </w:rPr>
        <w:t>د لها حق</w:t>
      </w:r>
      <w:r w:rsidR="00F13EF2" w:rsidRPr="006571AC">
        <w:rPr>
          <w:rFonts w:hint="cs"/>
          <w:sz w:val="27"/>
          <w:rtl/>
        </w:rPr>
        <w:t>ُّ</w:t>
      </w:r>
      <w:r w:rsidRPr="006571AC">
        <w:rPr>
          <w:rFonts w:hint="cs"/>
          <w:sz w:val="27"/>
          <w:rtl/>
        </w:rPr>
        <w:t xml:space="preserve"> الاستفادة من الماد</w:t>
      </w:r>
      <w:r w:rsidR="00F13EF2" w:rsidRPr="006571AC">
        <w:rPr>
          <w:rFonts w:hint="cs"/>
          <w:sz w:val="27"/>
          <w:rtl/>
        </w:rPr>
        <w:t>ّ</w:t>
      </w:r>
      <w:r w:rsidRPr="006571AC">
        <w:rPr>
          <w:rFonts w:hint="cs"/>
          <w:sz w:val="27"/>
          <w:rtl/>
        </w:rPr>
        <w:t xml:space="preserve">ة 1085، </w:t>
      </w:r>
      <w:r w:rsidR="00F13EF2" w:rsidRPr="006571AC">
        <w:rPr>
          <w:rFonts w:hint="cs"/>
          <w:sz w:val="27"/>
          <w:rtl/>
        </w:rPr>
        <w:t>إ</w:t>
      </w:r>
      <w:r w:rsidRPr="006571AC">
        <w:rPr>
          <w:rFonts w:hint="cs"/>
          <w:sz w:val="27"/>
          <w:rtl/>
        </w:rPr>
        <w:t>لا</w:t>
      </w:r>
      <w:r w:rsidR="00F13EF2" w:rsidRPr="006571AC">
        <w:rPr>
          <w:rFonts w:hint="cs"/>
          <w:sz w:val="27"/>
          <w:rtl/>
        </w:rPr>
        <w:t>ّ</w:t>
      </w:r>
      <w:r w:rsidRPr="006571AC">
        <w:rPr>
          <w:rFonts w:hint="cs"/>
          <w:sz w:val="27"/>
          <w:rtl/>
        </w:rPr>
        <w:t xml:space="preserve"> </w:t>
      </w:r>
      <w:r w:rsidR="00F13EF2" w:rsidRPr="006571AC">
        <w:rPr>
          <w:rFonts w:hint="cs"/>
          <w:sz w:val="27"/>
          <w:rtl/>
        </w:rPr>
        <w:t>أ</w:t>
      </w:r>
      <w:r w:rsidRPr="006571AC">
        <w:rPr>
          <w:rFonts w:hint="cs"/>
          <w:sz w:val="27"/>
          <w:rtl/>
        </w:rPr>
        <w:t>نه لا يسقط حق</w:t>
      </w:r>
      <w:r w:rsidR="00F13EF2" w:rsidRPr="006571AC">
        <w:rPr>
          <w:rFonts w:hint="cs"/>
          <w:sz w:val="27"/>
          <w:rtl/>
        </w:rPr>
        <w:t>ُّ</w:t>
      </w:r>
      <w:r w:rsidRPr="006571AC">
        <w:rPr>
          <w:rFonts w:hint="cs"/>
          <w:sz w:val="27"/>
          <w:rtl/>
        </w:rPr>
        <w:t>ها في المطالبة بالمهر [الماد</w:t>
      </w:r>
      <w:r w:rsidR="00F13EF2" w:rsidRPr="006571AC">
        <w:rPr>
          <w:rFonts w:hint="cs"/>
          <w:sz w:val="27"/>
          <w:rtl/>
        </w:rPr>
        <w:t>ّ</w:t>
      </w:r>
      <w:r w:rsidRPr="006571AC">
        <w:rPr>
          <w:rFonts w:hint="cs"/>
          <w:sz w:val="27"/>
          <w:rtl/>
        </w:rPr>
        <w:t xml:space="preserve">ة 1086]. </w:t>
      </w:r>
    </w:p>
    <w:p w:rsidR="00237EB1" w:rsidRPr="006571AC" w:rsidRDefault="00237EB1" w:rsidP="00E60D93">
      <w:pPr>
        <w:rPr>
          <w:sz w:val="27"/>
          <w:rtl/>
        </w:rPr>
      </w:pPr>
      <w:r w:rsidRPr="006571AC">
        <w:rPr>
          <w:sz w:val="27"/>
          <w:rtl/>
        </w:rPr>
        <w:t>3ـ تعيين المهر منوط</w:t>
      </w:r>
      <w:r w:rsidR="00F13EF2" w:rsidRPr="006571AC">
        <w:rPr>
          <w:rFonts w:hint="cs"/>
          <w:sz w:val="27"/>
          <w:rtl/>
        </w:rPr>
        <w:t>ٌ</w:t>
      </w:r>
      <w:r w:rsidRPr="006571AC">
        <w:rPr>
          <w:sz w:val="27"/>
          <w:rtl/>
        </w:rPr>
        <w:t xml:space="preserve"> بتراضي الطرفين [الماد</w:t>
      </w:r>
      <w:r w:rsidR="00F13EF2" w:rsidRPr="006571AC">
        <w:rPr>
          <w:rFonts w:hint="cs"/>
          <w:sz w:val="27"/>
          <w:rtl/>
        </w:rPr>
        <w:t>ّ</w:t>
      </w:r>
      <w:r w:rsidRPr="006571AC">
        <w:rPr>
          <w:sz w:val="27"/>
          <w:rtl/>
        </w:rPr>
        <w:t xml:space="preserve">ة 1080]. </w:t>
      </w:r>
    </w:p>
    <w:p w:rsidR="00237EB1" w:rsidRPr="006571AC" w:rsidRDefault="00237EB1" w:rsidP="00311177">
      <w:pPr>
        <w:spacing w:line="420" w:lineRule="exact"/>
        <w:rPr>
          <w:sz w:val="27"/>
          <w:rtl/>
        </w:rPr>
      </w:pPr>
    </w:p>
    <w:p w:rsidR="00237EB1" w:rsidRPr="006571AC" w:rsidRDefault="00237EB1" w:rsidP="00D93C0C">
      <w:pPr>
        <w:pStyle w:val="31"/>
        <w:rPr>
          <w:color w:val="auto"/>
          <w:rtl/>
        </w:rPr>
      </w:pPr>
      <w:bookmarkStart w:id="263" w:name="_Toc114164707"/>
      <w:bookmarkStart w:id="264" w:name="_Toc79281931"/>
      <w:r w:rsidRPr="006571AC">
        <w:rPr>
          <w:color w:val="auto"/>
          <w:rtl/>
        </w:rPr>
        <w:t xml:space="preserve">مقدار المهر </w:t>
      </w:r>
      <w:r w:rsidR="00D93C0C" w:rsidRPr="006571AC">
        <w:rPr>
          <w:color w:val="auto"/>
          <w:rtl/>
        </w:rPr>
        <w:t xml:space="preserve">في </w:t>
      </w:r>
      <w:r w:rsidR="00D93C0C" w:rsidRPr="006571AC">
        <w:rPr>
          <w:rFonts w:hint="cs"/>
          <w:color w:val="auto"/>
          <w:rtl/>
        </w:rPr>
        <w:t xml:space="preserve">الفقه </w:t>
      </w:r>
      <w:r w:rsidR="00D93C0C" w:rsidRPr="006571AC">
        <w:rPr>
          <w:color w:val="auto"/>
          <w:rtl/>
        </w:rPr>
        <w:t>الإمامي</w:t>
      </w:r>
      <w:r w:rsidR="00D93C0C" w:rsidRPr="006571AC">
        <w:rPr>
          <w:rFonts w:hint="cs"/>
          <w:color w:val="auto"/>
          <w:rtl/>
        </w:rPr>
        <w:t>،</w:t>
      </w:r>
      <w:r w:rsidR="00D93C0C" w:rsidRPr="006571AC">
        <w:rPr>
          <w:color w:val="auto"/>
          <w:rtl/>
        </w:rPr>
        <w:t xml:space="preserve"> </w:t>
      </w:r>
      <w:r w:rsidRPr="006571AC">
        <w:rPr>
          <w:color w:val="auto"/>
          <w:rtl/>
        </w:rPr>
        <w:t>بين ال</w:t>
      </w:r>
      <w:r w:rsidRPr="006571AC">
        <w:rPr>
          <w:rFonts w:hint="cs"/>
          <w:color w:val="auto"/>
          <w:rtl/>
        </w:rPr>
        <w:t>إ</w:t>
      </w:r>
      <w:r w:rsidRPr="006571AC">
        <w:rPr>
          <w:color w:val="auto"/>
          <w:rtl/>
        </w:rPr>
        <w:t>طلاق والتقييد</w:t>
      </w:r>
      <w:bookmarkEnd w:id="263"/>
      <w:r w:rsidRPr="006571AC">
        <w:rPr>
          <w:color w:val="auto"/>
          <w:rtl/>
        </w:rPr>
        <w:t xml:space="preserve"> </w:t>
      </w:r>
      <w:bookmarkEnd w:id="264"/>
    </w:p>
    <w:p w:rsidR="00855E56" w:rsidRPr="006571AC" w:rsidRDefault="00237EB1" w:rsidP="00E60D93">
      <w:pPr>
        <w:rPr>
          <w:sz w:val="27"/>
          <w:rtl/>
        </w:rPr>
      </w:pPr>
      <w:r w:rsidRPr="006571AC">
        <w:rPr>
          <w:rFonts w:hint="cs"/>
          <w:sz w:val="27"/>
          <w:rtl/>
        </w:rPr>
        <w:t>اتفق الفقهاء أنه لا ح</w:t>
      </w:r>
      <w:r w:rsidR="00F13EF2" w:rsidRPr="006571AC">
        <w:rPr>
          <w:rFonts w:hint="cs"/>
          <w:sz w:val="27"/>
          <w:rtl/>
        </w:rPr>
        <w:t>َ</w:t>
      </w:r>
      <w:r w:rsidRPr="006571AC">
        <w:rPr>
          <w:rFonts w:hint="cs"/>
          <w:sz w:val="27"/>
          <w:rtl/>
        </w:rPr>
        <w:t>د</w:t>
      </w:r>
      <w:r w:rsidR="00F13EF2" w:rsidRPr="006571AC">
        <w:rPr>
          <w:rFonts w:hint="cs"/>
          <w:sz w:val="27"/>
          <w:rtl/>
        </w:rPr>
        <w:t>َّ</w:t>
      </w:r>
      <w:r w:rsidRPr="006571AC">
        <w:rPr>
          <w:rFonts w:hint="cs"/>
          <w:sz w:val="27"/>
          <w:rtl/>
        </w:rPr>
        <w:t xml:space="preserve"> لأكثر المهر</w:t>
      </w:r>
      <w:r w:rsidR="00F13EF2" w:rsidRPr="006571AC">
        <w:rPr>
          <w:rFonts w:hint="cs"/>
          <w:sz w:val="27"/>
          <w:rtl/>
        </w:rPr>
        <w:t>،</w:t>
      </w:r>
      <w:r w:rsidRPr="006571AC">
        <w:rPr>
          <w:rFonts w:hint="cs"/>
          <w:sz w:val="27"/>
          <w:rtl/>
        </w:rPr>
        <w:t xml:space="preserve"> وإن</w:t>
      </w:r>
      <w:r w:rsidR="00F13EF2" w:rsidRPr="006571AC">
        <w:rPr>
          <w:rFonts w:hint="cs"/>
          <w:sz w:val="27"/>
          <w:rtl/>
        </w:rPr>
        <w:t>ْ</w:t>
      </w:r>
      <w:r w:rsidRPr="006571AC">
        <w:rPr>
          <w:rFonts w:hint="cs"/>
          <w:sz w:val="27"/>
          <w:rtl/>
        </w:rPr>
        <w:t xml:space="preserve"> اختلفوا في تحديده من ناحية القلّة</w:t>
      </w:r>
      <w:r w:rsidR="00F13EF2" w:rsidRPr="006571AC">
        <w:rPr>
          <w:rFonts w:hint="cs"/>
          <w:sz w:val="27"/>
          <w:rtl/>
        </w:rPr>
        <w:t>.</w:t>
      </w:r>
      <w:r w:rsidRPr="006571AC">
        <w:rPr>
          <w:rFonts w:hint="cs"/>
          <w:sz w:val="27"/>
          <w:rtl/>
        </w:rPr>
        <w:t xml:space="preserve"> إلاّ أنه يظهر من رسالة المهر</w:t>
      </w:r>
      <w:r w:rsidR="00855E56" w:rsidRPr="006571AC">
        <w:rPr>
          <w:rFonts w:hint="cs"/>
          <w:sz w:val="27"/>
          <w:rtl/>
        </w:rPr>
        <w:t>،</w:t>
      </w:r>
      <w:r w:rsidRPr="006571AC">
        <w:rPr>
          <w:rFonts w:hint="cs"/>
          <w:sz w:val="27"/>
          <w:rtl/>
        </w:rPr>
        <w:t xml:space="preserve"> للشيخ المفيد</w:t>
      </w:r>
      <w:r w:rsidR="00855E56" w:rsidRPr="006571AC">
        <w:rPr>
          <w:rFonts w:hint="cs"/>
          <w:sz w:val="27"/>
          <w:rtl/>
        </w:rPr>
        <w:t>،</w:t>
      </w:r>
      <w:r w:rsidRPr="006571AC">
        <w:rPr>
          <w:rFonts w:hint="cs"/>
          <w:sz w:val="27"/>
          <w:rtl/>
        </w:rPr>
        <w:t xml:space="preserve"> أن هناك اختلافاً في تحديد المهر كثرة</w:t>
      </w:r>
      <w:r w:rsidR="00855E56" w:rsidRPr="006571AC">
        <w:rPr>
          <w:rFonts w:hint="cs"/>
          <w:sz w:val="27"/>
          <w:rtl/>
        </w:rPr>
        <w:t>ً</w:t>
      </w:r>
      <w:r w:rsidRPr="006571AC">
        <w:rPr>
          <w:rFonts w:hint="cs"/>
          <w:sz w:val="27"/>
          <w:rtl/>
        </w:rPr>
        <w:t xml:space="preserve"> أيضاً</w:t>
      </w:r>
      <w:r w:rsidR="00855E56" w:rsidRPr="006571AC">
        <w:rPr>
          <w:rFonts w:hint="cs"/>
          <w:sz w:val="27"/>
          <w:rtl/>
        </w:rPr>
        <w:t>؛</w:t>
      </w:r>
      <w:r w:rsidRPr="006571AC">
        <w:rPr>
          <w:rFonts w:hint="cs"/>
          <w:sz w:val="27"/>
          <w:rtl/>
        </w:rPr>
        <w:t xml:space="preserve"> فقد صرّح الشيخ المفيد أنّ هناك م</w:t>
      </w:r>
      <w:r w:rsidR="00855E56" w:rsidRPr="006571AC">
        <w:rPr>
          <w:rFonts w:hint="cs"/>
          <w:sz w:val="27"/>
          <w:rtl/>
        </w:rPr>
        <w:t>َ</w:t>
      </w:r>
      <w:r w:rsidRPr="006571AC">
        <w:rPr>
          <w:rFonts w:hint="cs"/>
          <w:sz w:val="27"/>
          <w:rtl/>
        </w:rPr>
        <w:t>ن</w:t>
      </w:r>
      <w:r w:rsidR="00855E56" w:rsidRPr="006571AC">
        <w:rPr>
          <w:rFonts w:hint="cs"/>
          <w:sz w:val="27"/>
          <w:rtl/>
        </w:rPr>
        <w:t>ْ</w:t>
      </w:r>
      <w:r w:rsidRPr="006571AC">
        <w:rPr>
          <w:rFonts w:hint="cs"/>
          <w:sz w:val="27"/>
          <w:rtl/>
        </w:rPr>
        <w:t xml:space="preserve"> قال بتحديد المهر في عقد الزواج الدائم</w:t>
      </w:r>
      <w:r w:rsidR="00855E56" w:rsidRPr="006571AC">
        <w:rPr>
          <w:rFonts w:hint="cs"/>
          <w:sz w:val="27"/>
          <w:rtl/>
        </w:rPr>
        <w:t>،</w:t>
      </w:r>
      <w:r w:rsidRPr="006571AC">
        <w:rPr>
          <w:rFonts w:hint="cs"/>
          <w:sz w:val="27"/>
          <w:rtl/>
        </w:rPr>
        <w:t xml:space="preserve"> فكتب رسالته هذه للردّ عليه</w:t>
      </w:r>
      <w:r w:rsidR="00855E56" w:rsidRPr="006571AC">
        <w:rPr>
          <w:rFonts w:hint="cs"/>
          <w:sz w:val="27"/>
          <w:rtl/>
        </w:rPr>
        <w:t xml:space="preserve">؛ </w:t>
      </w:r>
      <w:r w:rsidRPr="006571AC">
        <w:rPr>
          <w:rFonts w:hint="cs"/>
          <w:sz w:val="27"/>
          <w:rtl/>
        </w:rPr>
        <w:t>كما أنه يظهر من السيد المرتضى</w:t>
      </w:r>
      <w:r w:rsidR="00855E56" w:rsidRPr="006571AC">
        <w:rPr>
          <w:rFonts w:hint="cs"/>
          <w:sz w:val="27"/>
          <w:rtl/>
        </w:rPr>
        <w:t>،</w:t>
      </w:r>
      <w:r w:rsidRPr="006571AC">
        <w:rPr>
          <w:rFonts w:hint="cs"/>
          <w:sz w:val="27"/>
          <w:rtl/>
        </w:rPr>
        <w:t xml:space="preserve"> بل هو صريح كلامه</w:t>
      </w:r>
      <w:r w:rsidR="00855E56" w:rsidRPr="006571AC">
        <w:rPr>
          <w:sz w:val="27"/>
          <w:vertAlign w:val="superscript"/>
          <w:rtl/>
        </w:rPr>
        <w:t>(</w:t>
      </w:r>
      <w:r w:rsidR="00855E56" w:rsidRPr="006571AC">
        <w:rPr>
          <w:sz w:val="27"/>
          <w:vertAlign w:val="superscript"/>
          <w:rtl/>
        </w:rPr>
        <w:endnoteReference w:id="443"/>
      </w:r>
      <w:r w:rsidR="00855E56" w:rsidRPr="006571AC">
        <w:rPr>
          <w:sz w:val="27"/>
          <w:vertAlign w:val="superscript"/>
          <w:rtl/>
        </w:rPr>
        <w:t>)</w:t>
      </w:r>
      <w:r w:rsidR="00855E56" w:rsidRPr="006571AC">
        <w:rPr>
          <w:rFonts w:hint="cs"/>
          <w:sz w:val="27"/>
          <w:rtl/>
        </w:rPr>
        <w:t>، أ</w:t>
      </w:r>
      <w:r w:rsidRPr="006571AC">
        <w:rPr>
          <w:rFonts w:hint="cs"/>
          <w:sz w:val="27"/>
          <w:rtl/>
        </w:rPr>
        <w:t>ن المهر يتحدّ</w:t>
      </w:r>
      <w:r w:rsidR="00855E56" w:rsidRPr="006571AC">
        <w:rPr>
          <w:rFonts w:hint="cs"/>
          <w:sz w:val="27"/>
          <w:rtl/>
        </w:rPr>
        <w:t>َد من ناحية الكثرة، وأن</w:t>
      </w:r>
      <w:r w:rsidRPr="006571AC">
        <w:rPr>
          <w:rFonts w:hint="cs"/>
          <w:sz w:val="27"/>
          <w:rtl/>
        </w:rPr>
        <w:t>ه لا يتجاوز مهر السن</w:t>
      </w:r>
      <w:r w:rsidR="00855E56" w:rsidRPr="006571AC">
        <w:rPr>
          <w:rFonts w:hint="cs"/>
          <w:sz w:val="27"/>
          <w:rtl/>
        </w:rPr>
        <w:t>ّ</w:t>
      </w:r>
      <w:r w:rsidRPr="006571AC">
        <w:rPr>
          <w:rFonts w:hint="cs"/>
          <w:sz w:val="27"/>
          <w:rtl/>
        </w:rPr>
        <w:t>ة</w:t>
      </w:r>
      <w:r w:rsidR="00855E56" w:rsidRPr="006571AC">
        <w:rPr>
          <w:rFonts w:hint="cs"/>
          <w:sz w:val="27"/>
          <w:rtl/>
        </w:rPr>
        <w:t>،</w:t>
      </w:r>
      <w:r w:rsidRPr="006571AC">
        <w:rPr>
          <w:rFonts w:hint="cs"/>
          <w:sz w:val="27"/>
          <w:rtl/>
        </w:rPr>
        <w:t xml:space="preserve"> وهو 500 درهم جيادا</w:t>
      </w:r>
      <w:r w:rsidR="00855E56" w:rsidRPr="006571AC">
        <w:rPr>
          <w:rFonts w:hint="cs"/>
          <w:sz w:val="27"/>
          <w:rtl/>
        </w:rPr>
        <w:t>ً،</w:t>
      </w:r>
      <w:r w:rsidRPr="006571AC">
        <w:rPr>
          <w:rFonts w:hint="cs"/>
          <w:sz w:val="27"/>
          <w:rtl/>
        </w:rPr>
        <w:t xml:space="preserve"> فما زاد على ذلك ر</w:t>
      </w:r>
      <w:r w:rsidR="00855E56" w:rsidRPr="006571AC">
        <w:rPr>
          <w:rFonts w:hint="cs"/>
          <w:sz w:val="27"/>
          <w:rtl/>
        </w:rPr>
        <w:t>ُ</w:t>
      </w:r>
      <w:r w:rsidRPr="006571AC">
        <w:rPr>
          <w:rFonts w:hint="cs"/>
          <w:sz w:val="27"/>
          <w:rtl/>
        </w:rPr>
        <w:t>دّ</w:t>
      </w:r>
      <w:r w:rsidR="00855E56" w:rsidRPr="006571AC">
        <w:rPr>
          <w:rFonts w:hint="cs"/>
          <w:sz w:val="27"/>
          <w:rtl/>
        </w:rPr>
        <w:t>َ</w:t>
      </w:r>
      <w:r w:rsidRPr="006571AC">
        <w:rPr>
          <w:rFonts w:hint="cs"/>
          <w:sz w:val="27"/>
          <w:rtl/>
        </w:rPr>
        <w:t xml:space="preserve"> </w:t>
      </w:r>
      <w:r w:rsidR="00855E56" w:rsidRPr="006571AC">
        <w:rPr>
          <w:rFonts w:hint="cs"/>
          <w:sz w:val="27"/>
          <w:rtl/>
        </w:rPr>
        <w:t>إ</w:t>
      </w:r>
      <w:r w:rsidRPr="006571AC">
        <w:rPr>
          <w:rFonts w:hint="cs"/>
          <w:sz w:val="27"/>
          <w:rtl/>
        </w:rPr>
        <w:t>لى هذه السن</w:t>
      </w:r>
      <w:r w:rsidR="00855E56" w:rsidRPr="006571AC">
        <w:rPr>
          <w:rFonts w:hint="cs"/>
          <w:sz w:val="27"/>
          <w:rtl/>
        </w:rPr>
        <w:t>ّ</w:t>
      </w:r>
      <w:r w:rsidRPr="006571AC">
        <w:rPr>
          <w:rFonts w:hint="cs"/>
          <w:sz w:val="27"/>
          <w:rtl/>
        </w:rPr>
        <w:t>ة</w:t>
      </w:r>
      <w:r w:rsidR="00855E56" w:rsidRPr="006571AC">
        <w:rPr>
          <w:rFonts w:hint="cs"/>
          <w:sz w:val="27"/>
          <w:rtl/>
        </w:rPr>
        <w:t>.</w:t>
      </w:r>
    </w:p>
    <w:p w:rsidR="00237EB1" w:rsidRPr="006571AC" w:rsidRDefault="00237EB1" w:rsidP="00E60D93">
      <w:pPr>
        <w:rPr>
          <w:sz w:val="27"/>
          <w:rtl/>
        </w:rPr>
      </w:pPr>
      <w:r w:rsidRPr="006571AC">
        <w:rPr>
          <w:rFonts w:hint="cs"/>
          <w:sz w:val="27"/>
          <w:rtl/>
        </w:rPr>
        <w:t xml:space="preserve">ومن هنا </w:t>
      </w:r>
      <w:r w:rsidR="00731867" w:rsidRPr="006571AC">
        <w:rPr>
          <w:rFonts w:hint="cs"/>
          <w:sz w:val="27"/>
          <w:rtl/>
        </w:rPr>
        <w:t>لا بُدَّ</w:t>
      </w:r>
      <w:r w:rsidRPr="006571AC">
        <w:rPr>
          <w:rFonts w:hint="cs"/>
          <w:sz w:val="27"/>
          <w:rtl/>
        </w:rPr>
        <w:t xml:space="preserve"> من البحث في مسألة تحديد المهور</w:t>
      </w:r>
      <w:r w:rsidR="00855E56" w:rsidRPr="006571AC">
        <w:rPr>
          <w:rFonts w:hint="cs"/>
          <w:sz w:val="27"/>
          <w:rtl/>
        </w:rPr>
        <w:t>،</w:t>
      </w:r>
      <w:r w:rsidRPr="006571AC">
        <w:rPr>
          <w:rFonts w:hint="cs"/>
          <w:sz w:val="27"/>
          <w:rtl/>
        </w:rPr>
        <w:t xml:space="preserve"> قلّة</w:t>
      </w:r>
      <w:r w:rsidR="00855E56" w:rsidRPr="006571AC">
        <w:rPr>
          <w:rFonts w:hint="cs"/>
          <w:sz w:val="27"/>
          <w:rtl/>
        </w:rPr>
        <w:t>ً</w:t>
      </w:r>
      <w:r w:rsidRPr="006571AC">
        <w:rPr>
          <w:rFonts w:hint="cs"/>
          <w:sz w:val="27"/>
          <w:rtl/>
        </w:rPr>
        <w:t xml:space="preserve"> وكثرة</w:t>
      </w:r>
      <w:r w:rsidR="00855E56" w:rsidRPr="006571AC">
        <w:rPr>
          <w:rFonts w:hint="cs"/>
          <w:sz w:val="27"/>
          <w:rtl/>
        </w:rPr>
        <w:t>ً:</w:t>
      </w:r>
      <w:r w:rsidRPr="006571AC">
        <w:rPr>
          <w:rFonts w:hint="cs"/>
          <w:sz w:val="27"/>
          <w:rtl/>
        </w:rPr>
        <w:t xml:space="preserve"> </w:t>
      </w:r>
    </w:p>
    <w:p w:rsidR="00237EB1" w:rsidRPr="006571AC" w:rsidRDefault="00237EB1" w:rsidP="00311177">
      <w:pPr>
        <w:spacing w:line="430" w:lineRule="exact"/>
        <w:rPr>
          <w:sz w:val="27"/>
          <w:rtl/>
        </w:rPr>
      </w:pPr>
    </w:p>
    <w:p w:rsidR="00237EB1" w:rsidRPr="006571AC" w:rsidRDefault="00D93C0C" w:rsidP="00E629CB">
      <w:pPr>
        <w:pStyle w:val="31"/>
        <w:rPr>
          <w:color w:val="auto"/>
          <w:rtl/>
        </w:rPr>
      </w:pPr>
      <w:bookmarkStart w:id="265" w:name="_Toc79281932"/>
      <w:bookmarkStart w:id="266" w:name="_Toc114164708"/>
      <w:r w:rsidRPr="006571AC">
        <w:rPr>
          <w:rFonts w:hint="cs"/>
          <w:color w:val="auto"/>
          <w:rtl/>
        </w:rPr>
        <w:t xml:space="preserve">أـ </w:t>
      </w:r>
      <w:r w:rsidR="00237EB1" w:rsidRPr="006571AC">
        <w:rPr>
          <w:color w:val="auto"/>
          <w:rtl/>
        </w:rPr>
        <w:t>مقدار المهر من حيث القلّة</w:t>
      </w:r>
      <w:bookmarkEnd w:id="265"/>
      <w:bookmarkEnd w:id="266"/>
      <w:r w:rsidR="00237EB1" w:rsidRPr="006571AC">
        <w:rPr>
          <w:color w:val="auto"/>
          <w:rtl/>
        </w:rPr>
        <w:t xml:space="preserve"> </w:t>
      </w:r>
    </w:p>
    <w:p w:rsidR="0067170E" w:rsidRPr="006571AC" w:rsidRDefault="00237EB1" w:rsidP="00E60D93">
      <w:pPr>
        <w:rPr>
          <w:sz w:val="27"/>
          <w:rtl/>
        </w:rPr>
      </w:pPr>
      <w:r w:rsidRPr="006571AC">
        <w:rPr>
          <w:rFonts w:hint="cs"/>
          <w:sz w:val="27"/>
          <w:rtl/>
        </w:rPr>
        <w:t>أما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حيث</w:t>
      </w:r>
      <w:r w:rsidRPr="006571AC">
        <w:rPr>
          <w:sz w:val="27"/>
          <w:rtl/>
        </w:rPr>
        <w:t xml:space="preserve"> </w:t>
      </w:r>
      <w:r w:rsidRPr="006571AC">
        <w:rPr>
          <w:rFonts w:hint="cs"/>
          <w:sz w:val="27"/>
          <w:rtl/>
        </w:rPr>
        <w:t>الكم</w:t>
      </w:r>
      <w:r w:rsidR="00855E56" w:rsidRPr="006571AC">
        <w:rPr>
          <w:rFonts w:hint="cs"/>
          <w:sz w:val="27"/>
          <w:rtl/>
        </w:rPr>
        <w:t>ّي</w:t>
      </w:r>
      <w:r w:rsidRPr="006571AC">
        <w:rPr>
          <w:rFonts w:hint="cs"/>
          <w:sz w:val="27"/>
          <w:rtl/>
        </w:rPr>
        <w:t>ة فلم</w:t>
      </w:r>
      <w:r w:rsidRPr="006571AC">
        <w:rPr>
          <w:sz w:val="27"/>
          <w:rtl/>
        </w:rPr>
        <w:t xml:space="preserve"> </w:t>
      </w:r>
      <w:r w:rsidRPr="006571AC">
        <w:rPr>
          <w:rFonts w:hint="cs"/>
          <w:sz w:val="27"/>
          <w:rtl/>
        </w:rPr>
        <w:t>يحدّ</w:t>
      </w:r>
      <w:r w:rsidR="00855E56" w:rsidRPr="006571AC">
        <w:rPr>
          <w:rFonts w:hint="cs"/>
          <w:sz w:val="27"/>
          <w:rtl/>
        </w:rPr>
        <w:t>ِ</w:t>
      </w:r>
      <w:r w:rsidRPr="006571AC">
        <w:rPr>
          <w:rFonts w:hint="cs"/>
          <w:sz w:val="27"/>
          <w:rtl/>
        </w:rPr>
        <w:t>د</w:t>
      </w:r>
      <w:r w:rsidRPr="006571AC">
        <w:rPr>
          <w:sz w:val="27"/>
          <w:rtl/>
        </w:rPr>
        <w:t xml:space="preserve"> </w:t>
      </w:r>
      <w:r w:rsidRPr="006571AC">
        <w:rPr>
          <w:rFonts w:hint="cs"/>
          <w:sz w:val="27"/>
          <w:rtl/>
        </w:rPr>
        <w:t>الإسلام</w:t>
      </w:r>
      <w:r w:rsidRPr="006571AC">
        <w:rPr>
          <w:sz w:val="27"/>
          <w:rtl/>
        </w:rPr>
        <w:t xml:space="preserve"> </w:t>
      </w:r>
      <w:r w:rsidRPr="006571AC">
        <w:rPr>
          <w:rFonts w:hint="cs"/>
          <w:sz w:val="27"/>
          <w:rtl/>
        </w:rPr>
        <w:t>للمهر</w:t>
      </w:r>
      <w:r w:rsidRPr="006571AC">
        <w:rPr>
          <w:sz w:val="27"/>
          <w:rtl/>
        </w:rPr>
        <w:t xml:space="preserve"> </w:t>
      </w:r>
      <w:r w:rsidRPr="006571AC">
        <w:rPr>
          <w:rFonts w:hint="cs"/>
          <w:sz w:val="27"/>
          <w:rtl/>
        </w:rPr>
        <w:t>حدّا</w:t>
      </w:r>
      <w:r w:rsidR="00855E56" w:rsidRPr="006571AC">
        <w:rPr>
          <w:rFonts w:hint="cs"/>
          <w:sz w:val="27"/>
          <w:rtl/>
        </w:rPr>
        <w:t>ً</w:t>
      </w:r>
      <w:r w:rsidRPr="006571AC">
        <w:rPr>
          <w:sz w:val="27"/>
          <w:rtl/>
        </w:rPr>
        <w:t xml:space="preserve"> </w:t>
      </w:r>
      <w:r w:rsidRPr="006571AC">
        <w:rPr>
          <w:rFonts w:hint="cs"/>
          <w:sz w:val="27"/>
          <w:rtl/>
        </w:rPr>
        <w:t>معيّ</w:t>
      </w:r>
      <w:r w:rsidR="00855E56" w:rsidRPr="006571AC">
        <w:rPr>
          <w:rFonts w:hint="cs"/>
          <w:sz w:val="27"/>
          <w:rtl/>
        </w:rPr>
        <w:t>َ</w:t>
      </w:r>
      <w:r w:rsidRPr="006571AC">
        <w:rPr>
          <w:rFonts w:hint="cs"/>
          <w:sz w:val="27"/>
          <w:rtl/>
        </w:rPr>
        <w:t>نا</w:t>
      </w:r>
      <w:r w:rsidR="00855E56"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حيث</w:t>
      </w:r>
      <w:r w:rsidRPr="006571AC">
        <w:rPr>
          <w:sz w:val="27"/>
          <w:rtl/>
        </w:rPr>
        <w:t xml:space="preserve"> </w:t>
      </w:r>
      <w:r w:rsidRPr="006571AC">
        <w:rPr>
          <w:rFonts w:hint="cs"/>
          <w:sz w:val="27"/>
          <w:rtl/>
        </w:rPr>
        <w:t>الكثرة</w:t>
      </w:r>
      <w:r w:rsidRPr="006571AC">
        <w:rPr>
          <w:sz w:val="27"/>
          <w:rtl/>
        </w:rPr>
        <w:t xml:space="preserve"> و</w:t>
      </w:r>
      <w:r w:rsidRPr="006571AC">
        <w:rPr>
          <w:rFonts w:hint="cs"/>
          <w:sz w:val="27"/>
          <w:rtl/>
        </w:rPr>
        <w:t>القلّة، بل</w:t>
      </w:r>
      <w:r w:rsidRPr="006571AC">
        <w:rPr>
          <w:sz w:val="27"/>
          <w:rtl/>
        </w:rPr>
        <w:t xml:space="preserve"> </w:t>
      </w:r>
      <w:r w:rsidRPr="006571AC">
        <w:rPr>
          <w:rFonts w:hint="cs"/>
          <w:sz w:val="27"/>
          <w:rtl/>
        </w:rPr>
        <w:t>المدار</w:t>
      </w:r>
      <w:r w:rsidRPr="006571AC">
        <w:rPr>
          <w:sz w:val="27"/>
          <w:rtl/>
        </w:rPr>
        <w:t xml:space="preserve"> </w:t>
      </w:r>
      <w:r w:rsidRPr="006571AC">
        <w:rPr>
          <w:rFonts w:hint="cs"/>
          <w:sz w:val="27"/>
          <w:rtl/>
        </w:rPr>
        <w:t>فيه</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رضا</w:t>
      </w:r>
      <w:r w:rsidRPr="006571AC">
        <w:rPr>
          <w:sz w:val="27"/>
          <w:rtl/>
        </w:rPr>
        <w:t xml:space="preserve"> </w:t>
      </w:r>
      <w:r w:rsidRPr="006571AC">
        <w:rPr>
          <w:rFonts w:hint="cs"/>
          <w:sz w:val="27"/>
          <w:rtl/>
        </w:rPr>
        <w:t>الزوجين، فمتى</w:t>
      </w:r>
      <w:r w:rsidRPr="006571AC">
        <w:rPr>
          <w:sz w:val="27"/>
          <w:rtl/>
        </w:rPr>
        <w:t xml:space="preserve"> </w:t>
      </w:r>
      <w:r w:rsidRPr="006571AC">
        <w:rPr>
          <w:rFonts w:hint="cs"/>
          <w:sz w:val="27"/>
          <w:rtl/>
        </w:rPr>
        <w:t>تراضيا</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شي‌ء</w:t>
      </w:r>
      <w:r w:rsidR="00855E56" w:rsidRPr="006571AC">
        <w:rPr>
          <w:rFonts w:hint="cs"/>
          <w:sz w:val="27"/>
          <w:rtl/>
        </w:rPr>
        <w:t>ٍ</w:t>
      </w:r>
      <w:r w:rsidRPr="006571AC">
        <w:rPr>
          <w:sz w:val="27"/>
          <w:rtl/>
        </w:rPr>
        <w:t xml:space="preserve"> ـ </w:t>
      </w:r>
      <w:r w:rsidRPr="006571AC">
        <w:rPr>
          <w:rFonts w:hint="cs"/>
          <w:sz w:val="27"/>
          <w:rtl/>
        </w:rPr>
        <w:t>مهما</w:t>
      </w:r>
      <w:r w:rsidRPr="006571AC">
        <w:rPr>
          <w:sz w:val="27"/>
          <w:rtl/>
        </w:rPr>
        <w:t xml:space="preserve"> </w:t>
      </w:r>
      <w:r w:rsidRPr="006571AC">
        <w:rPr>
          <w:rFonts w:hint="cs"/>
          <w:sz w:val="27"/>
          <w:rtl/>
        </w:rPr>
        <w:t>كان</w:t>
      </w:r>
      <w:r w:rsidRPr="006571AC">
        <w:rPr>
          <w:sz w:val="27"/>
          <w:rtl/>
        </w:rPr>
        <w:t xml:space="preserve"> ـ </w:t>
      </w:r>
      <w:r w:rsidRPr="006571AC">
        <w:rPr>
          <w:rFonts w:hint="cs"/>
          <w:sz w:val="27"/>
          <w:rtl/>
        </w:rPr>
        <w:t>فهو</w:t>
      </w:r>
      <w:r w:rsidRPr="006571AC">
        <w:rPr>
          <w:sz w:val="27"/>
          <w:rtl/>
        </w:rPr>
        <w:t xml:space="preserve"> </w:t>
      </w:r>
      <w:r w:rsidRPr="006571AC">
        <w:rPr>
          <w:rFonts w:hint="cs"/>
          <w:sz w:val="27"/>
          <w:rtl/>
        </w:rPr>
        <w:t>المهر</w:t>
      </w:r>
      <w:r w:rsidRPr="006571AC">
        <w:rPr>
          <w:sz w:val="27"/>
          <w:rtl/>
        </w:rPr>
        <w:t>.</w:t>
      </w:r>
    </w:p>
    <w:p w:rsidR="00237EB1" w:rsidRPr="006571AC" w:rsidRDefault="00237EB1" w:rsidP="00E60D93">
      <w:pPr>
        <w:rPr>
          <w:sz w:val="27"/>
          <w:rtl/>
        </w:rPr>
      </w:pPr>
      <w:r w:rsidRPr="006571AC">
        <w:rPr>
          <w:sz w:val="27"/>
          <w:rtl/>
        </w:rPr>
        <w:t>و</w:t>
      </w:r>
      <w:r w:rsidR="0067170E" w:rsidRPr="006571AC">
        <w:rPr>
          <w:rFonts w:hint="cs"/>
          <w:sz w:val="27"/>
          <w:rtl/>
        </w:rPr>
        <w:t xml:space="preserve">قد </w:t>
      </w:r>
      <w:r w:rsidRPr="006571AC">
        <w:rPr>
          <w:rFonts w:hint="cs"/>
          <w:sz w:val="27"/>
          <w:rtl/>
        </w:rPr>
        <w:t>جاءت</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الحقيقة</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لسان</w:t>
      </w:r>
      <w:r w:rsidRPr="006571AC">
        <w:rPr>
          <w:sz w:val="27"/>
          <w:rtl/>
        </w:rPr>
        <w:t xml:space="preserve"> </w:t>
      </w:r>
      <w:r w:rsidRPr="006571AC">
        <w:rPr>
          <w:rFonts w:hint="cs"/>
          <w:sz w:val="27"/>
          <w:rtl/>
        </w:rPr>
        <w:t>أئم</w:t>
      </w:r>
      <w:r w:rsidR="00855E56" w:rsidRPr="006571AC">
        <w:rPr>
          <w:rFonts w:hint="cs"/>
          <w:sz w:val="27"/>
          <w:rtl/>
        </w:rPr>
        <w:t>ّ</w:t>
      </w:r>
      <w:r w:rsidRPr="006571AC">
        <w:rPr>
          <w:rFonts w:hint="cs"/>
          <w:sz w:val="27"/>
          <w:rtl/>
        </w:rPr>
        <w:t>ة</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البيت</w:t>
      </w:r>
      <w:r w:rsidR="002A2C90" w:rsidRPr="006571AC">
        <w:rPr>
          <w:rFonts w:ascii="Mosawi" w:hAnsi="Mosawi" w:cs="Mosawi"/>
          <w:sz w:val="22"/>
          <w:szCs w:val="22"/>
          <w:rtl/>
        </w:rPr>
        <w:t>^</w:t>
      </w:r>
      <w:r w:rsidRPr="006571AC">
        <w:rPr>
          <w:rFonts w:hint="cs"/>
          <w:sz w:val="27"/>
          <w:rtl/>
        </w:rPr>
        <w:t>، بقولهم</w:t>
      </w:r>
      <w:r w:rsidRPr="006571AC">
        <w:rPr>
          <w:sz w:val="27"/>
          <w:rtl/>
        </w:rPr>
        <w:t xml:space="preserve">: </w:t>
      </w:r>
      <w:r w:rsidRPr="006571AC">
        <w:rPr>
          <w:rFonts w:hint="cs"/>
          <w:sz w:val="27"/>
          <w:rtl/>
        </w:rPr>
        <w:t>إنّ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 xml:space="preserve">الناس. </w:t>
      </w:r>
    </w:p>
    <w:p w:rsidR="00237EB1" w:rsidRPr="006571AC" w:rsidRDefault="00237EB1" w:rsidP="009A7D9E">
      <w:pPr>
        <w:rPr>
          <w:sz w:val="27"/>
          <w:rtl/>
        </w:rPr>
      </w:pPr>
      <w:r w:rsidRPr="006571AC">
        <w:rPr>
          <w:rFonts w:hint="cs"/>
          <w:sz w:val="27"/>
          <w:rtl/>
        </w:rPr>
        <w:t xml:space="preserve"> وهذا</w:t>
      </w:r>
      <w:r w:rsidRPr="006571AC">
        <w:rPr>
          <w:sz w:val="27"/>
          <w:rtl/>
        </w:rPr>
        <w:t xml:space="preserve"> </w:t>
      </w:r>
      <w:r w:rsidRPr="006571AC">
        <w:rPr>
          <w:rFonts w:hint="cs"/>
          <w:sz w:val="27"/>
          <w:rtl/>
        </w:rPr>
        <w:t>النصّ</w:t>
      </w:r>
      <w:r w:rsidRPr="006571AC">
        <w:rPr>
          <w:sz w:val="27"/>
          <w:rtl/>
        </w:rPr>
        <w:t xml:space="preserve"> </w:t>
      </w:r>
      <w:r w:rsidRPr="006571AC">
        <w:rPr>
          <w:rFonts w:hint="cs"/>
          <w:sz w:val="27"/>
          <w:rtl/>
        </w:rPr>
        <w:t>مطلق</w:t>
      </w:r>
      <w:r w:rsidR="00855E56"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ظاهر</w:t>
      </w:r>
      <w:r w:rsidRPr="006571AC">
        <w:rPr>
          <w:sz w:val="27"/>
          <w:rtl/>
        </w:rPr>
        <w:t xml:space="preserve"> </w:t>
      </w:r>
      <w:r w:rsidRPr="006571AC">
        <w:rPr>
          <w:rFonts w:hint="cs"/>
          <w:sz w:val="27"/>
          <w:rtl/>
        </w:rPr>
        <w:t>لفظه، يشمل</w:t>
      </w:r>
      <w:r w:rsidRPr="006571AC">
        <w:rPr>
          <w:sz w:val="27"/>
          <w:rtl/>
        </w:rPr>
        <w:t xml:space="preserve"> </w:t>
      </w:r>
      <w:r w:rsidRPr="006571AC">
        <w:rPr>
          <w:rFonts w:hint="cs"/>
          <w:sz w:val="27"/>
          <w:rtl/>
        </w:rPr>
        <w:t>جميع</w:t>
      </w:r>
      <w:r w:rsidRPr="006571AC">
        <w:rPr>
          <w:sz w:val="27"/>
          <w:rtl/>
        </w:rPr>
        <w:t xml:space="preserve"> </w:t>
      </w:r>
      <w:r w:rsidRPr="006571AC">
        <w:rPr>
          <w:rFonts w:hint="cs"/>
          <w:sz w:val="27"/>
          <w:rtl/>
        </w:rPr>
        <w:t>أنواع</w:t>
      </w:r>
      <w:r w:rsidRPr="006571AC">
        <w:rPr>
          <w:sz w:val="27"/>
          <w:rtl/>
        </w:rPr>
        <w:t xml:space="preserve"> </w:t>
      </w:r>
      <w:r w:rsidRPr="006571AC">
        <w:rPr>
          <w:rFonts w:hint="cs"/>
          <w:sz w:val="27"/>
          <w:rtl/>
        </w:rPr>
        <w:t>النكاح</w:t>
      </w:r>
      <w:r w:rsidR="0067170E" w:rsidRPr="006571AC">
        <w:rPr>
          <w:rFonts w:hint="cs"/>
          <w:sz w:val="27"/>
          <w:rtl/>
        </w:rPr>
        <w:t>،</w:t>
      </w:r>
      <w:r w:rsidRPr="006571AC">
        <w:rPr>
          <w:sz w:val="27"/>
          <w:rtl/>
        </w:rPr>
        <w:t xml:space="preserve"> </w:t>
      </w:r>
      <w:r w:rsidRPr="006571AC">
        <w:rPr>
          <w:rFonts w:hint="cs"/>
          <w:sz w:val="27"/>
          <w:rtl/>
        </w:rPr>
        <w:t>الدائم</w:t>
      </w:r>
      <w:r w:rsidRPr="006571AC">
        <w:rPr>
          <w:sz w:val="27"/>
          <w:rtl/>
        </w:rPr>
        <w:t xml:space="preserve"> </w:t>
      </w:r>
      <w:r w:rsidRPr="006571AC">
        <w:rPr>
          <w:rFonts w:hint="cs"/>
          <w:sz w:val="27"/>
          <w:rtl/>
        </w:rPr>
        <w:t>منه</w:t>
      </w:r>
      <w:r w:rsidRPr="006571AC">
        <w:rPr>
          <w:sz w:val="27"/>
          <w:rtl/>
        </w:rPr>
        <w:t xml:space="preserve"> </w:t>
      </w:r>
      <w:r w:rsidRPr="006571AC">
        <w:rPr>
          <w:sz w:val="27"/>
          <w:rtl/>
        </w:rPr>
        <w:lastRenderedPageBreak/>
        <w:t>و</w:t>
      </w:r>
      <w:r w:rsidRPr="006571AC">
        <w:rPr>
          <w:rFonts w:hint="cs"/>
          <w:sz w:val="27"/>
          <w:rtl/>
        </w:rPr>
        <w:t>المنقطع</w:t>
      </w:r>
      <w:r w:rsidRPr="006571AC">
        <w:rPr>
          <w:sz w:val="27"/>
          <w:rtl/>
        </w:rPr>
        <w:t xml:space="preserve"> ـ </w:t>
      </w:r>
      <w:r w:rsidRPr="006571AC">
        <w:rPr>
          <w:rFonts w:hint="cs"/>
          <w:sz w:val="27"/>
          <w:rtl/>
        </w:rPr>
        <w:t>الذي</w:t>
      </w:r>
      <w:r w:rsidRPr="006571AC">
        <w:rPr>
          <w:sz w:val="27"/>
          <w:rtl/>
        </w:rPr>
        <w:t xml:space="preserve"> </w:t>
      </w:r>
      <w:r w:rsidRPr="006571AC">
        <w:rPr>
          <w:rFonts w:hint="cs"/>
          <w:sz w:val="27"/>
          <w:rtl/>
        </w:rPr>
        <w:t>ي</w:t>
      </w:r>
      <w:r w:rsidR="0067170E" w:rsidRPr="006571AC">
        <w:rPr>
          <w:rFonts w:hint="cs"/>
          <w:sz w:val="27"/>
          <w:rtl/>
        </w:rPr>
        <w:t>ُ</w:t>
      </w:r>
      <w:r w:rsidRPr="006571AC">
        <w:rPr>
          <w:rFonts w:hint="cs"/>
          <w:sz w:val="27"/>
          <w:rtl/>
        </w:rPr>
        <w:t>سمّى</w:t>
      </w:r>
      <w:r w:rsidRPr="006571AC">
        <w:rPr>
          <w:sz w:val="27"/>
          <w:rtl/>
        </w:rPr>
        <w:t xml:space="preserve"> </w:t>
      </w:r>
      <w:r w:rsidRPr="006571AC">
        <w:rPr>
          <w:rFonts w:hint="cs"/>
          <w:sz w:val="27"/>
          <w:rtl/>
        </w:rPr>
        <w:t>بالمتعة</w:t>
      </w:r>
      <w:r w:rsidRPr="006571AC">
        <w:rPr>
          <w:sz w:val="27"/>
          <w:rtl/>
        </w:rPr>
        <w:t xml:space="preserve"> ـ</w:t>
      </w:r>
      <w:r w:rsidRPr="006571AC">
        <w:rPr>
          <w:sz w:val="27"/>
          <w:vertAlign w:val="superscript"/>
          <w:rtl/>
        </w:rPr>
        <w:t>(</w:t>
      </w:r>
      <w:r w:rsidRPr="006571AC">
        <w:rPr>
          <w:sz w:val="27"/>
          <w:vertAlign w:val="superscript"/>
          <w:rtl/>
        </w:rPr>
        <w:endnoteReference w:id="444"/>
      </w:r>
      <w:r w:rsidRPr="006571AC">
        <w:rPr>
          <w:sz w:val="27"/>
          <w:vertAlign w:val="superscript"/>
          <w:rtl/>
        </w:rPr>
        <w:t>)</w:t>
      </w:r>
      <w:r w:rsidR="0067170E" w:rsidRPr="006571AC">
        <w:rPr>
          <w:rFonts w:hint="cs"/>
          <w:sz w:val="27"/>
          <w:rtl/>
        </w:rPr>
        <w:t>،</w:t>
      </w:r>
      <w:r w:rsidRPr="006571AC">
        <w:rPr>
          <w:sz w:val="27"/>
          <w:rtl/>
        </w:rPr>
        <w:t xml:space="preserve"> </w:t>
      </w:r>
      <w:r w:rsidRPr="006571AC">
        <w:rPr>
          <w:rFonts w:hint="cs"/>
          <w:sz w:val="27"/>
          <w:rtl/>
        </w:rPr>
        <w:t>يكفي</w:t>
      </w:r>
      <w:r w:rsidRPr="006571AC">
        <w:rPr>
          <w:sz w:val="27"/>
          <w:rtl/>
        </w:rPr>
        <w:t xml:space="preserve"> </w:t>
      </w:r>
      <w:r w:rsidRPr="006571AC">
        <w:rPr>
          <w:rFonts w:hint="cs"/>
          <w:sz w:val="27"/>
          <w:rtl/>
        </w:rPr>
        <w:t>فيه</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به</w:t>
      </w:r>
      <w:r w:rsidRPr="006571AC">
        <w:rPr>
          <w:sz w:val="27"/>
          <w:rtl/>
        </w:rPr>
        <w:t xml:space="preserve"> </w:t>
      </w:r>
      <w:r w:rsidRPr="006571AC">
        <w:rPr>
          <w:rFonts w:hint="cs"/>
          <w:sz w:val="27"/>
          <w:rtl/>
        </w:rPr>
        <w:t>الناس</w:t>
      </w:r>
      <w:r w:rsidR="0067170E" w:rsidRPr="006571AC">
        <w:rPr>
          <w:rFonts w:hint="cs"/>
          <w:sz w:val="27"/>
          <w:rtl/>
        </w:rPr>
        <w:t>،</w:t>
      </w:r>
      <w:r w:rsidRPr="006571AC">
        <w:rPr>
          <w:rFonts w:hint="cs"/>
          <w:sz w:val="27"/>
          <w:rtl/>
        </w:rPr>
        <w:t xml:space="preserve"> كما ورد في الروايات عن</w:t>
      </w:r>
      <w:r w:rsidRPr="006571AC">
        <w:rPr>
          <w:sz w:val="27"/>
          <w:rtl/>
        </w:rPr>
        <w:t xml:space="preserve"> </w:t>
      </w:r>
      <w:r w:rsidRPr="006571AC">
        <w:rPr>
          <w:rFonts w:hint="cs"/>
          <w:sz w:val="27"/>
          <w:rtl/>
        </w:rPr>
        <w:t>أئم</w:t>
      </w:r>
      <w:r w:rsidR="0067170E" w:rsidRPr="006571AC">
        <w:rPr>
          <w:rFonts w:hint="cs"/>
          <w:sz w:val="27"/>
          <w:rtl/>
        </w:rPr>
        <w:t>ّ</w:t>
      </w:r>
      <w:r w:rsidRPr="006571AC">
        <w:rPr>
          <w:rFonts w:hint="cs"/>
          <w:sz w:val="27"/>
          <w:rtl/>
        </w:rPr>
        <w:t>ة</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البيت</w:t>
      </w:r>
      <w:r w:rsidR="002A2C90" w:rsidRPr="006571AC">
        <w:rPr>
          <w:rFonts w:ascii="Mosawi" w:hAnsi="Mosawi" w:cs="Mosawi"/>
          <w:sz w:val="22"/>
          <w:szCs w:val="22"/>
          <w:rtl/>
        </w:rPr>
        <w:t>^</w:t>
      </w:r>
      <w:r w:rsidRPr="006571AC">
        <w:rPr>
          <w:sz w:val="27"/>
          <w:rtl/>
        </w:rPr>
        <w:t xml:space="preserve"> </w:t>
      </w:r>
      <w:r w:rsidRPr="006571AC">
        <w:rPr>
          <w:rFonts w:hint="cs"/>
          <w:sz w:val="27"/>
          <w:rtl/>
        </w:rPr>
        <w:t>بأنّ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عبارة</w:t>
      </w:r>
      <w:r w:rsidR="0067170E" w:rsidRPr="006571AC">
        <w:rPr>
          <w:rFonts w:hint="cs"/>
          <w:sz w:val="27"/>
          <w:rtl/>
        </w:rPr>
        <w:t>ٌ</w:t>
      </w:r>
      <w:r w:rsidRPr="006571AC">
        <w:rPr>
          <w:sz w:val="27"/>
          <w:rtl/>
        </w:rPr>
        <w:t xml:space="preserve"> </w:t>
      </w:r>
      <w:r w:rsidRPr="006571AC">
        <w:rPr>
          <w:rFonts w:hint="cs"/>
          <w:sz w:val="27"/>
          <w:rtl/>
        </w:rPr>
        <w:t>عم</w:t>
      </w:r>
      <w:r w:rsidR="0067170E" w:rsidRPr="006571AC">
        <w:rPr>
          <w:rFonts w:hint="cs"/>
          <w:sz w:val="27"/>
          <w:rtl/>
        </w:rPr>
        <w:t>ّ</w:t>
      </w:r>
      <w:r w:rsidRPr="006571AC">
        <w:rPr>
          <w:rFonts w:hint="cs"/>
          <w:sz w:val="27"/>
          <w:rtl/>
        </w:rPr>
        <w:t>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الناس</w:t>
      </w:r>
      <w:r w:rsidRPr="006571AC">
        <w:rPr>
          <w:sz w:val="27"/>
          <w:vertAlign w:val="superscript"/>
          <w:rtl/>
        </w:rPr>
        <w:t>(</w:t>
      </w:r>
      <w:r w:rsidRPr="006571AC">
        <w:rPr>
          <w:sz w:val="27"/>
          <w:vertAlign w:val="superscript"/>
          <w:rtl/>
        </w:rPr>
        <w:endnoteReference w:id="445"/>
      </w:r>
      <w:r w:rsidRPr="006571AC">
        <w:rPr>
          <w:sz w:val="27"/>
          <w:vertAlign w:val="superscript"/>
          <w:rtl/>
        </w:rPr>
        <w:t>)</w:t>
      </w:r>
      <w:r w:rsidRPr="006571AC">
        <w:rPr>
          <w:sz w:val="27"/>
          <w:rtl/>
        </w:rPr>
        <w:t>.</w:t>
      </w:r>
      <w:r w:rsidRPr="006571AC">
        <w:rPr>
          <w:rFonts w:hint="cs"/>
          <w:sz w:val="27"/>
          <w:rtl/>
        </w:rPr>
        <w:t xml:space="preserve"> فهذه</w:t>
      </w:r>
      <w:r w:rsidRPr="006571AC">
        <w:rPr>
          <w:sz w:val="27"/>
          <w:rtl/>
        </w:rPr>
        <w:t xml:space="preserve"> </w:t>
      </w:r>
      <w:r w:rsidRPr="006571AC">
        <w:rPr>
          <w:rFonts w:hint="cs"/>
          <w:sz w:val="27"/>
          <w:rtl/>
        </w:rPr>
        <w:t>الأخبار</w:t>
      </w:r>
      <w:r w:rsidRPr="006571AC">
        <w:rPr>
          <w:sz w:val="27"/>
          <w:rtl/>
        </w:rPr>
        <w:t xml:space="preserve"> </w:t>
      </w:r>
      <w:r w:rsidRPr="006571AC">
        <w:rPr>
          <w:rFonts w:hint="cs"/>
          <w:sz w:val="27"/>
          <w:rtl/>
        </w:rPr>
        <w:t>تنطق</w:t>
      </w:r>
      <w:r w:rsidRPr="006571AC">
        <w:rPr>
          <w:sz w:val="27"/>
          <w:rtl/>
        </w:rPr>
        <w:t xml:space="preserve"> </w:t>
      </w:r>
      <w:r w:rsidRPr="006571AC">
        <w:rPr>
          <w:rFonts w:hint="cs"/>
          <w:sz w:val="27"/>
          <w:rtl/>
        </w:rPr>
        <w:t>بأن</w:t>
      </w:r>
      <w:r w:rsidRPr="006571AC">
        <w:rPr>
          <w:sz w:val="27"/>
          <w:rtl/>
        </w:rPr>
        <w:t xml:space="preserve"> </w:t>
      </w:r>
      <w:r w:rsidRPr="006571AC">
        <w:rPr>
          <w:rFonts w:hint="cs"/>
          <w:sz w:val="27"/>
          <w:rtl/>
        </w:rPr>
        <w:t>كل</w:t>
      </w:r>
      <w:r w:rsidR="0067170E" w:rsidRPr="006571AC">
        <w:rPr>
          <w:rFonts w:hint="cs"/>
          <w:sz w:val="27"/>
          <w:rtl/>
        </w:rPr>
        <w:t>ّ</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الزوجان</w:t>
      </w:r>
      <w:r w:rsidR="0067170E" w:rsidRPr="006571AC">
        <w:rPr>
          <w:rFonts w:hint="cs"/>
          <w:sz w:val="27"/>
          <w:rtl/>
        </w:rPr>
        <w:t xml:space="preserve">، </w:t>
      </w:r>
      <w:r w:rsidRPr="006571AC">
        <w:rPr>
          <w:rFonts w:hint="cs"/>
          <w:sz w:val="27"/>
          <w:rtl/>
        </w:rPr>
        <w:t>من</w:t>
      </w:r>
      <w:r w:rsidRPr="006571AC">
        <w:rPr>
          <w:sz w:val="27"/>
          <w:rtl/>
        </w:rPr>
        <w:t xml:space="preserve"> </w:t>
      </w:r>
      <w:r w:rsidRPr="006571AC">
        <w:rPr>
          <w:rFonts w:hint="cs"/>
          <w:sz w:val="27"/>
          <w:rtl/>
        </w:rPr>
        <w:t>قليل</w:t>
      </w:r>
      <w:r w:rsidR="0067170E"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كثير</w:t>
      </w:r>
      <w:r w:rsidR="0067170E" w:rsidRPr="006571AC">
        <w:rPr>
          <w:rFonts w:hint="cs"/>
          <w:sz w:val="27"/>
          <w:rtl/>
        </w:rPr>
        <w:t>ٍ،</w:t>
      </w:r>
      <w:r w:rsidRPr="006571AC">
        <w:rPr>
          <w:sz w:val="27"/>
          <w:rtl/>
        </w:rPr>
        <w:t xml:space="preserve"> </w:t>
      </w:r>
      <w:r w:rsidRPr="006571AC">
        <w:rPr>
          <w:rFonts w:hint="cs"/>
          <w:sz w:val="27"/>
          <w:rtl/>
        </w:rPr>
        <w:t>فهو</w:t>
      </w:r>
      <w:r w:rsidRPr="006571AC">
        <w:rPr>
          <w:sz w:val="27"/>
          <w:rtl/>
        </w:rPr>
        <w:t xml:space="preserve"> </w:t>
      </w:r>
      <w:r w:rsidRPr="006571AC">
        <w:rPr>
          <w:rFonts w:hint="cs"/>
          <w:sz w:val="27"/>
          <w:rtl/>
        </w:rPr>
        <w:t>المهر</w:t>
      </w:r>
      <w:r w:rsidR="0067170E" w:rsidRPr="006571AC">
        <w:rPr>
          <w:rFonts w:hint="cs"/>
          <w:sz w:val="27"/>
          <w:rtl/>
        </w:rPr>
        <w:t>؛</w:t>
      </w:r>
      <w:r w:rsidRPr="006571AC">
        <w:rPr>
          <w:sz w:val="27"/>
          <w:rtl/>
        </w:rPr>
        <w:t xml:space="preserve"> </w:t>
      </w:r>
      <w:r w:rsidRPr="006571AC">
        <w:rPr>
          <w:rFonts w:hint="cs"/>
          <w:sz w:val="27"/>
          <w:rtl/>
        </w:rPr>
        <w:t>لأن</w:t>
      </w:r>
      <w:r w:rsidRPr="006571AC">
        <w:rPr>
          <w:sz w:val="27"/>
          <w:rtl/>
        </w:rPr>
        <w:t xml:space="preserve"> </w:t>
      </w:r>
      <w:r w:rsidRPr="006571AC">
        <w:rPr>
          <w:rFonts w:hint="cs"/>
          <w:sz w:val="27"/>
          <w:rtl/>
        </w:rPr>
        <w:t>كم</w:t>
      </w:r>
      <w:r w:rsidR="0067170E" w:rsidRPr="006571AC">
        <w:rPr>
          <w:rFonts w:hint="cs"/>
          <w:sz w:val="27"/>
          <w:rtl/>
        </w:rPr>
        <w:t>ّ</w:t>
      </w:r>
      <w:r w:rsidRPr="006571AC">
        <w:rPr>
          <w:rFonts w:hint="cs"/>
          <w:sz w:val="27"/>
          <w:rtl/>
        </w:rPr>
        <w:t>ية</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تتعل</w:t>
      </w:r>
      <w:r w:rsidR="0067170E" w:rsidRPr="006571AC">
        <w:rPr>
          <w:rFonts w:hint="cs"/>
          <w:sz w:val="27"/>
          <w:rtl/>
        </w:rPr>
        <w:t>َّ</w:t>
      </w:r>
      <w:r w:rsidRPr="006571AC">
        <w:rPr>
          <w:rFonts w:hint="cs"/>
          <w:sz w:val="27"/>
          <w:rtl/>
        </w:rPr>
        <w:t>ق</w:t>
      </w:r>
      <w:r w:rsidRPr="006571AC">
        <w:rPr>
          <w:sz w:val="27"/>
          <w:rtl/>
        </w:rPr>
        <w:t xml:space="preserve"> </w:t>
      </w:r>
      <w:r w:rsidRPr="006571AC">
        <w:rPr>
          <w:rFonts w:hint="cs"/>
          <w:sz w:val="27"/>
          <w:rtl/>
        </w:rPr>
        <w:t>برضاهما</w:t>
      </w:r>
      <w:r w:rsidR="0067170E" w:rsidRPr="006571AC">
        <w:rPr>
          <w:rFonts w:hint="cs"/>
          <w:sz w:val="27"/>
          <w:rtl/>
        </w:rPr>
        <w:t>،</w:t>
      </w:r>
      <w:r w:rsidRPr="006571AC">
        <w:rPr>
          <w:sz w:val="27"/>
          <w:rtl/>
        </w:rPr>
        <w:t xml:space="preserve"> </w:t>
      </w:r>
      <w:r w:rsidRPr="006571AC">
        <w:rPr>
          <w:rFonts w:hint="cs"/>
          <w:sz w:val="27"/>
          <w:rtl/>
        </w:rPr>
        <w:t>كائنا</w:t>
      </w:r>
      <w:r w:rsidR="0067170E" w:rsidRPr="006571AC">
        <w:rPr>
          <w:rFonts w:hint="cs"/>
          <w:sz w:val="27"/>
          <w:rtl/>
        </w:rPr>
        <w:t>ً</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كان</w:t>
      </w:r>
      <w:r w:rsidR="0067170E" w:rsidRPr="006571AC">
        <w:rPr>
          <w:rFonts w:hint="cs"/>
          <w:sz w:val="27"/>
          <w:rtl/>
        </w:rPr>
        <w:t>؛</w:t>
      </w:r>
      <w:r w:rsidRPr="006571AC">
        <w:rPr>
          <w:sz w:val="27"/>
          <w:rtl/>
        </w:rPr>
        <w:t xml:space="preserve"> و</w:t>
      </w:r>
      <w:r w:rsidRPr="006571AC">
        <w:rPr>
          <w:rFonts w:hint="cs"/>
          <w:sz w:val="27"/>
          <w:rtl/>
        </w:rPr>
        <w:t>لأن</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تعالى</w:t>
      </w:r>
      <w:r w:rsidRPr="006571AC">
        <w:rPr>
          <w:sz w:val="27"/>
          <w:rtl/>
        </w:rPr>
        <w:t xml:space="preserve"> </w:t>
      </w:r>
      <w:r w:rsidRPr="006571AC">
        <w:rPr>
          <w:rFonts w:hint="cs"/>
          <w:sz w:val="27"/>
          <w:rtl/>
        </w:rPr>
        <w:t>فرض</w:t>
      </w:r>
      <w:r w:rsidRPr="006571AC">
        <w:rPr>
          <w:sz w:val="27"/>
          <w:rtl/>
        </w:rPr>
        <w:t xml:space="preserve"> </w:t>
      </w:r>
      <w:r w:rsidRPr="006571AC">
        <w:rPr>
          <w:rFonts w:hint="cs"/>
          <w:sz w:val="27"/>
          <w:rtl/>
        </w:rPr>
        <w:t>الصداق</w:t>
      </w:r>
      <w:r w:rsidRPr="006571AC">
        <w:rPr>
          <w:sz w:val="27"/>
          <w:rtl/>
        </w:rPr>
        <w:t xml:space="preserve"> و</w:t>
      </w:r>
      <w:r w:rsidRPr="006571AC">
        <w:rPr>
          <w:rFonts w:hint="cs"/>
          <w:sz w:val="27"/>
          <w:rtl/>
        </w:rPr>
        <w:t>لم</w:t>
      </w:r>
      <w:r w:rsidRPr="006571AC">
        <w:rPr>
          <w:sz w:val="27"/>
          <w:rtl/>
        </w:rPr>
        <w:t xml:space="preserve"> </w:t>
      </w:r>
      <w:r w:rsidRPr="006571AC">
        <w:rPr>
          <w:rFonts w:hint="cs"/>
          <w:sz w:val="27"/>
          <w:rtl/>
        </w:rPr>
        <w:t>يحد</w:t>
      </w:r>
      <w:r w:rsidR="0067170E" w:rsidRPr="006571AC">
        <w:rPr>
          <w:rFonts w:hint="cs"/>
          <w:sz w:val="27"/>
          <w:rtl/>
        </w:rPr>
        <w:t>ّ</w:t>
      </w:r>
      <w:r w:rsidRPr="006571AC">
        <w:rPr>
          <w:sz w:val="27"/>
          <w:rtl/>
        </w:rPr>
        <w:t xml:space="preserve"> </w:t>
      </w:r>
      <w:r w:rsidRPr="006571AC">
        <w:rPr>
          <w:rFonts w:hint="cs"/>
          <w:sz w:val="27"/>
          <w:rtl/>
        </w:rPr>
        <w:t>فيه</w:t>
      </w:r>
      <w:r w:rsidRPr="006571AC">
        <w:rPr>
          <w:sz w:val="27"/>
          <w:rtl/>
        </w:rPr>
        <w:t xml:space="preserve"> </w:t>
      </w:r>
      <w:r w:rsidRPr="006571AC">
        <w:rPr>
          <w:rFonts w:hint="cs"/>
          <w:sz w:val="27"/>
          <w:rtl/>
        </w:rPr>
        <w:t>حد</w:t>
      </w:r>
      <w:r w:rsidR="0067170E" w:rsidRPr="006571AC">
        <w:rPr>
          <w:rFonts w:hint="cs"/>
          <w:sz w:val="27"/>
          <w:rtl/>
        </w:rPr>
        <w:t>ّ</w:t>
      </w:r>
      <w:r w:rsidRPr="006571AC">
        <w:rPr>
          <w:rFonts w:hint="cs"/>
          <w:sz w:val="27"/>
          <w:rtl/>
        </w:rPr>
        <w:t>ا</w:t>
      </w:r>
      <w:r w:rsidR="0067170E" w:rsidRPr="006571AC">
        <w:rPr>
          <w:rFonts w:hint="cs"/>
          <w:sz w:val="27"/>
          <w:rtl/>
        </w:rPr>
        <w:t>ً</w:t>
      </w:r>
      <w:r w:rsidRPr="006571AC">
        <w:rPr>
          <w:sz w:val="27"/>
          <w:rtl/>
        </w:rPr>
        <w:t xml:space="preserve"> </w:t>
      </w:r>
      <w:r w:rsidRPr="006571AC">
        <w:rPr>
          <w:rFonts w:hint="cs"/>
          <w:sz w:val="27"/>
          <w:rtl/>
        </w:rPr>
        <w:t>بقليل</w:t>
      </w:r>
      <w:r w:rsidR="0067170E" w:rsidRPr="006571AC">
        <w:rPr>
          <w:rFonts w:hint="cs"/>
          <w:sz w:val="27"/>
          <w:rtl/>
        </w:rPr>
        <w:t>ٍ</w:t>
      </w:r>
      <w:r w:rsidRPr="006571AC">
        <w:rPr>
          <w:sz w:val="27"/>
          <w:rtl/>
        </w:rPr>
        <w:t xml:space="preserve"> و</w:t>
      </w:r>
      <w:r w:rsidRPr="006571AC">
        <w:rPr>
          <w:rFonts w:hint="cs"/>
          <w:sz w:val="27"/>
          <w:rtl/>
        </w:rPr>
        <w:t>لا</w:t>
      </w:r>
      <w:r w:rsidRPr="006571AC">
        <w:rPr>
          <w:sz w:val="27"/>
          <w:rtl/>
        </w:rPr>
        <w:t xml:space="preserve"> </w:t>
      </w:r>
      <w:r w:rsidRPr="006571AC">
        <w:rPr>
          <w:rFonts w:hint="cs"/>
          <w:sz w:val="27"/>
          <w:rtl/>
        </w:rPr>
        <w:t>كثير</w:t>
      </w:r>
      <w:r w:rsidR="0067170E" w:rsidRPr="006571AC">
        <w:rPr>
          <w:rFonts w:hint="cs"/>
          <w:sz w:val="27"/>
          <w:rtl/>
        </w:rPr>
        <w:t>،</w:t>
      </w:r>
      <w:r w:rsidRPr="006571AC">
        <w:rPr>
          <w:sz w:val="27"/>
          <w:rtl/>
        </w:rPr>
        <w:t xml:space="preserve"> </w:t>
      </w:r>
      <w:r w:rsidRPr="006571AC">
        <w:rPr>
          <w:rFonts w:hint="cs"/>
          <w:sz w:val="27"/>
          <w:rtl/>
        </w:rPr>
        <w:t>فما</w:t>
      </w:r>
      <w:r w:rsidRPr="006571AC">
        <w:rPr>
          <w:sz w:val="27"/>
          <w:rtl/>
        </w:rPr>
        <w:t xml:space="preserve"> </w:t>
      </w:r>
      <w:r w:rsidRPr="006571AC">
        <w:rPr>
          <w:rFonts w:hint="cs"/>
          <w:sz w:val="27"/>
          <w:rtl/>
        </w:rPr>
        <w:t>وقع</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رضاهما</w:t>
      </w:r>
      <w:r w:rsidRPr="006571AC">
        <w:rPr>
          <w:sz w:val="27"/>
          <w:rtl/>
        </w:rPr>
        <w:t xml:space="preserve"> </w:t>
      </w:r>
      <w:r w:rsidR="009A7D9E" w:rsidRPr="006571AC">
        <w:rPr>
          <w:rFonts w:hint="cs"/>
          <w:sz w:val="27"/>
          <w:rtl/>
        </w:rPr>
        <w:t>فإن</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ي</w:t>
      </w:r>
      <w:r w:rsidR="009A7D9E" w:rsidRPr="006571AC">
        <w:rPr>
          <w:rFonts w:hint="cs"/>
          <w:sz w:val="27"/>
          <w:rtl/>
        </w:rPr>
        <w:t>ُ</w:t>
      </w:r>
      <w:r w:rsidRPr="006571AC">
        <w:rPr>
          <w:rFonts w:hint="cs"/>
          <w:sz w:val="27"/>
          <w:rtl/>
        </w:rPr>
        <w:t>سم</w:t>
      </w:r>
      <w:r w:rsidR="0067170E" w:rsidRPr="006571AC">
        <w:rPr>
          <w:rFonts w:hint="cs"/>
          <w:sz w:val="27"/>
          <w:rtl/>
        </w:rPr>
        <w:t>ّ</w:t>
      </w:r>
      <w:r w:rsidRPr="006571AC">
        <w:rPr>
          <w:rFonts w:hint="cs"/>
          <w:sz w:val="27"/>
          <w:rtl/>
        </w:rPr>
        <w:t>ى</w:t>
      </w:r>
      <w:r w:rsidRPr="006571AC">
        <w:rPr>
          <w:sz w:val="27"/>
          <w:rtl/>
        </w:rPr>
        <w:t xml:space="preserve"> </w:t>
      </w:r>
      <w:r w:rsidRPr="006571AC">
        <w:rPr>
          <w:rFonts w:hint="cs"/>
          <w:sz w:val="27"/>
          <w:rtl/>
        </w:rPr>
        <w:t>مهرا</w:t>
      </w:r>
      <w:r w:rsidR="0067170E" w:rsidRPr="006571AC">
        <w:rPr>
          <w:rFonts w:hint="cs"/>
          <w:sz w:val="27"/>
          <w:rtl/>
        </w:rPr>
        <w:t>ً</w:t>
      </w:r>
      <w:r w:rsidRPr="006571AC">
        <w:rPr>
          <w:sz w:val="27"/>
          <w:rtl/>
        </w:rPr>
        <w:t xml:space="preserve">. </w:t>
      </w:r>
    </w:p>
    <w:p w:rsidR="00817501" w:rsidRPr="006571AC" w:rsidRDefault="00237EB1" w:rsidP="00841D16">
      <w:pPr>
        <w:spacing w:line="380" w:lineRule="exact"/>
        <w:rPr>
          <w:sz w:val="27"/>
          <w:rtl/>
        </w:rPr>
      </w:pPr>
      <w:r w:rsidRPr="006571AC">
        <w:rPr>
          <w:rFonts w:hint="cs"/>
          <w:sz w:val="27"/>
          <w:rtl/>
        </w:rPr>
        <w:t>و</w:t>
      </w:r>
      <w:r w:rsidR="0067170E" w:rsidRPr="006571AC">
        <w:rPr>
          <w:rFonts w:hint="cs"/>
          <w:sz w:val="27"/>
          <w:rtl/>
        </w:rPr>
        <w:t>ال</w:t>
      </w:r>
      <w:r w:rsidRPr="006571AC">
        <w:rPr>
          <w:rFonts w:hint="cs"/>
          <w:sz w:val="27"/>
          <w:rtl/>
        </w:rPr>
        <w:t>دليل</w:t>
      </w:r>
      <w:r w:rsidR="00886947" w:rsidRPr="006571AC">
        <w:rPr>
          <w:rFonts w:hint="cs"/>
          <w:sz w:val="27"/>
          <w:rtl/>
        </w:rPr>
        <w:t>ُ</w:t>
      </w:r>
      <w:r w:rsidRPr="006571AC">
        <w:rPr>
          <w:sz w:val="27"/>
          <w:rtl/>
        </w:rPr>
        <w:t xml:space="preserve"> </w:t>
      </w:r>
      <w:r w:rsidR="0067170E" w:rsidRPr="006571AC">
        <w:rPr>
          <w:rFonts w:hint="cs"/>
          <w:sz w:val="27"/>
          <w:rtl/>
        </w:rPr>
        <w:t>ال</w:t>
      </w:r>
      <w:r w:rsidRPr="006571AC">
        <w:rPr>
          <w:rFonts w:hint="cs"/>
          <w:sz w:val="27"/>
          <w:rtl/>
        </w:rPr>
        <w:t>آخر</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ليس</w:t>
      </w:r>
      <w:r w:rsidRPr="006571AC">
        <w:rPr>
          <w:sz w:val="27"/>
          <w:rtl/>
        </w:rPr>
        <w:t xml:space="preserve"> </w:t>
      </w:r>
      <w:r w:rsidRPr="006571AC">
        <w:rPr>
          <w:rFonts w:hint="cs"/>
          <w:sz w:val="27"/>
          <w:rtl/>
        </w:rPr>
        <w:t>للمهر</w:t>
      </w:r>
      <w:r w:rsidRPr="006571AC">
        <w:rPr>
          <w:sz w:val="27"/>
          <w:rtl/>
        </w:rPr>
        <w:t xml:space="preserve"> </w:t>
      </w:r>
      <w:r w:rsidRPr="006571AC">
        <w:rPr>
          <w:rFonts w:hint="cs"/>
          <w:sz w:val="27"/>
          <w:rtl/>
        </w:rPr>
        <w:t>حد</w:t>
      </w:r>
      <w:r w:rsidR="0067170E" w:rsidRPr="006571AC">
        <w:rPr>
          <w:rFonts w:hint="cs"/>
          <w:sz w:val="27"/>
          <w:rtl/>
        </w:rPr>
        <w:t>ٌّ</w:t>
      </w:r>
      <w:r w:rsidRPr="006571AC">
        <w:rPr>
          <w:sz w:val="27"/>
          <w:rtl/>
        </w:rPr>
        <w:t xml:space="preserve"> </w:t>
      </w:r>
      <w:r w:rsidRPr="006571AC">
        <w:rPr>
          <w:rFonts w:hint="cs"/>
          <w:sz w:val="27"/>
          <w:rtl/>
        </w:rPr>
        <w:t>يعقد</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النكاح</w:t>
      </w:r>
      <w:r w:rsidR="000E48D2" w:rsidRPr="006571AC">
        <w:rPr>
          <w:rFonts w:hint="cs"/>
          <w:sz w:val="27"/>
          <w:rtl/>
        </w:rPr>
        <w:t xml:space="preserve"> ـ</w:t>
      </w:r>
      <w:r w:rsidRPr="006571AC">
        <w:rPr>
          <w:sz w:val="27"/>
          <w:rtl/>
        </w:rPr>
        <w:t xml:space="preserve"> </w:t>
      </w:r>
      <w:r w:rsidRPr="006571AC">
        <w:rPr>
          <w:rFonts w:hint="cs"/>
          <w:sz w:val="27"/>
          <w:rtl/>
        </w:rPr>
        <w:t>إذا</w:t>
      </w:r>
      <w:r w:rsidRPr="006571AC">
        <w:rPr>
          <w:sz w:val="27"/>
          <w:rtl/>
        </w:rPr>
        <w:t xml:space="preserve"> </w:t>
      </w:r>
      <w:r w:rsidRPr="006571AC">
        <w:rPr>
          <w:rFonts w:hint="cs"/>
          <w:sz w:val="27"/>
          <w:rtl/>
        </w:rPr>
        <w:t>جاوزوا</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الحد</w:t>
      </w:r>
      <w:r w:rsidR="0067170E" w:rsidRPr="006571AC">
        <w:rPr>
          <w:rFonts w:hint="cs"/>
          <w:sz w:val="27"/>
          <w:rtl/>
        </w:rPr>
        <w:t>ّ</w:t>
      </w:r>
      <w:r w:rsidRPr="006571AC">
        <w:rPr>
          <w:sz w:val="27"/>
          <w:rtl/>
        </w:rPr>
        <w:t xml:space="preserve"> </w:t>
      </w:r>
      <w:r w:rsidRPr="006571AC">
        <w:rPr>
          <w:rFonts w:hint="cs"/>
          <w:sz w:val="27"/>
          <w:rtl/>
        </w:rPr>
        <w:t>لا</w:t>
      </w:r>
      <w:r w:rsidRPr="006571AC">
        <w:rPr>
          <w:sz w:val="27"/>
          <w:rtl/>
        </w:rPr>
        <w:t xml:space="preserve"> </w:t>
      </w:r>
      <w:r w:rsidRPr="006571AC">
        <w:rPr>
          <w:rFonts w:hint="cs"/>
          <w:sz w:val="27"/>
          <w:rtl/>
        </w:rPr>
        <w:t>ينعقد</w:t>
      </w:r>
      <w:r w:rsidRPr="006571AC">
        <w:rPr>
          <w:sz w:val="27"/>
          <w:rtl/>
        </w:rPr>
        <w:t xml:space="preserve"> </w:t>
      </w:r>
      <w:r w:rsidRPr="006571AC">
        <w:rPr>
          <w:rFonts w:hint="cs"/>
          <w:sz w:val="27"/>
          <w:rtl/>
        </w:rPr>
        <w:t>ال</w:t>
      </w:r>
      <w:r w:rsidR="000E48D2" w:rsidRPr="006571AC">
        <w:rPr>
          <w:rFonts w:hint="cs"/>
          <w:sz w:val="27"/>
          <w:rtl/>
        </w:rPr>
        <w:t>نكاح</w:t>
      </w:r>
      <w:r w:rsidR="0067170E"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000E48D2" w:rsidRPr="006571AC">
        <w:rPr>
          <w:rFonts w:hint="cs"/>
          <w:sz w:val="27"/>
          <w:rtl/>
        </w:rPr>
        <w:t xml:space="preserve">إذا </w:t>
      </w:r>
      <w:r w:rsidRPr="006571AC">
        <w:rPr>
          <w:rFonts w:hint="cs"/>
          <w:sz w:val="27"/>
          <w:rtl/>
        </w:rPr>
        <w:t>ع</w:t>
      </w:r>
      <w:r w:rsidR="000E48D2" w:rsidRPr="006571AC">
        <w:rPr>
          <w:rFonts w:hint="cs"/>
          <w:sz w:val="27"/>
          <w:rtl/>
        </w:rPr>
        <w:t>ُ</w:t>
      </w:r>
      <w:r w:rsidRPr="006571AC">
        <w:rPr>
          <w:rFonts w:hint="cs"/>
          <w:sz w:val="27"/>
          <w:rtl/>
        </w:rPr>
        <w:t>قد</w:t>
      </w:r>
      <w:r w:rsidRPr="006571AC">
        <w:rPr>
          <w:sz w:val="27"/>
          <w:rtl/>
        </w:rPr>
        <w:t xml:space="preserve"> </w:t>
      </w:r>
      <w:r w:rsidRPr="006571AC">
        <w:rPr>
          <w:rFonts w:hint="cs"/>
          <w:sz w:val="27"/>
          <w:rtl/>
        </w:rPr>
        <w:t>النكاح</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شي‌ء</w:t>
      </w:r>
      <w:r w:rsidR="000E48D2" w:rsidRPr="006571AC">
        <w:rPr>
          <w:rFonts w:hint="cs"/>
          <w:sz w:val="27"/>
          <w:rtl/>
        </w:rPr>
        <w:t>ٍ</w:t>
      </w:r>
      <w:r w:rsidRPr="006571AC">
        <w:rPr>
          <w:sz w:val="27"/>
          <w:rtl/>
        </w:rPr>
        <w:t xml:space="preserve"> </w:t>
      </w:r>
      <w:r w:rsidRPr="006571AC">
        <w:rPr>
          <w:rFonts w:hint="cs"/>
          <w:sz w:val="27"/>
          <w:rtl/>
        </w:rPr>
        <w:t>دون</w:t>
      </w:r>
      <w:r w:rsidRPr="006571AC">
        <w:rPr>
          <w:sz w:val="27"/>
          <w:rtl/>
        </w:rPr>
        <w:t xml:space="preserve"> </w:t>
      </w:r>
      <w:r w:rsidRPr="006571AC">
        <w:rPr>
          <w:rFonts w:hint="cs"/>
          <w:sz w:val="27"/>
          <w:rtl/>
        </w:rPr>
        <w:t>بلوغ</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الحد</w:t>
      </w:r>
      <w:r w:rsidR="000E48D2" w:rsidRPr="006571AC">
        <w:rPr>
          <w:rFonts w:hint="cs"/>
          <w:sz w:val="27"/>
          <w:rtl/>
        </w:rPr>
        <w:t>ّ</w:t>
      </w:r>
      <w:r w:rsidRPr="006571AC">
        <w:rPr>
          <w:sz w:val="27"/>
          <w:rtl/>
        </w:rPr>
        <w:t xml:space="preserve"> </w:t>
      </w:r>
      <w:r w:rsidR="000E48D2" w:rsidRPr="006571AC">
        <w:rPr>
          <w:rFonts w:hint="cs"/>
          <w:sz w:val="27"/>
          <w:rtl/>
        </w:rPr>
        <w:t>ف</w:t>
      </w:r>
      <w:r w:rsidRPr="006571AC">
        <w:rPr>
          <w:rFonts w:hint="cs"/>
          <w:sz w:val="27"/>
          <w:rtl/>
        </w:rPr>
        <w:t>لا</w:t>
      </w:r>
      <w:r w:rsidRPr="006571AC">
        <w:rPr>
          <w:sz w:val="27"/>
          <w:rtl/>
        </w:rPr>
        <w:t xml:space="preserve"> </w:t>
      </w:r>
      <w:r w:rsidRPr="006571AC">
        <w:rPr>
          <w:rFonts w:hint="cs"/>
          <w:sz w:val="27"/>
          <w:rtl/>
        </w:rPr>
        <w:t>ينعقد</w:t>
      </w:r>
      <w:r w:rsidRPr="006571AC">
        <w:rPr>
          <w:sz w:val="27"/>
          <w:rtl/>
        </w:rPr>
        <w:t xml:space="preserve"> </w:t>
      </w:r>
      <w:r w:rsidRPr="006571AC">
        <w:rPr>
          <w:rFonts w:hint="cs"/>
          <w:sz w:val="27"/>
          <w:rtl/>
        </w:rPr>
        <w:t>النكاح</w:t>
      </w:r>
      <w:r w:rsidRPr="006571AC">
        <w:rPr>
          <w:sz w:val="27"/>
          <w:rtl/>
        </w:rPr>
        <w:t xml:space="preserve"> و</w:t>
      </w:r>
      <w:r w:rsidRPr="006571AC">
        <w:rPr>
          <w:rFonts w:hint="cs"/>
          <w:sz w:val="27"/>
          <w:rtl/>
        </w:rPr>
        <w:t>المهر</w:t>
      </w:r>
      <w:r w:rsidRPr="006571AC">
        <w:rPr>
          <w:sz w:val="27"/>
          <w:rtl/>
        </w:rPr>
        <w:t xml:space="preserve"> </w:t>
      </w:r>
      <w:r w:rsidRPr="006571AC">
        <w:rPr>
          <w:rFonts w:hint="cs"/>
          <w:sz w:val="27"/>
          <w:rtl/>
        </w:rPr>
        <w:t>بخلاف</w:t>
      </w:r>
      <w:r w:rsidRPr="006571AC">
        <w:rPr>
          <w:sz w:val="27"/>
          <w:rtl/>
        </w:rPr>
        <w:t xml:space="preserve"> </w:t>
      </w:r>
      <w:r w:rsidRPr="006571AC">
        <w:rPr>
          <w:rFonts w:hint="cs"/>
          <w:sz w:val="27"/>
          <w:rtl/>
        </w:rPr>
        <w:t>السن</w:t>
      </w:r>
      <w:r w:rsidR="000E48D2" w:rsidRPr="006571AC">
        <w:rPr>
          <w:rFonts w:hint="cs"/>
          <w:sz w:val="27"/>
          <w:rtl/>
        </w:rPr>
        <w:t>ّ</w:t>
      </w:r>
      <w:r w:rsidRPr="006571AC">
        <w:rPr>
          <w:rFonts w:hint="cs"/>
          <w:sz w:val="27"/>
          <w:rtl/>
        </w:rPr>
        <w:t>ة</w:t>
      </w:r>
      <w:r w:rsidRPr="006571AC">
        <w:rPr>
          <w:sz w:val="27"/>
          <w:rtl/>
        </w:rPr>
        <w:t xml:space="preserve"> </w:t>
      </w:r>
      <w:r w:rsidR="001D2F43" w:rsidRPr="006571AC">
        <w:rPr>
          <w:rFonts w:hint="cs"/>
          <w:sz w:val="27"/>
          <w:rtl/>
        </w:rPr>
        <w:t xml:space="preserve">ـ </w:t>
      </w:r>
      <w:r w:rsidRPr="006571AC">
        <w:rPr>
          <w:rFonts w:hint="cs"/>
          <w:sz w:val="27"/>
          <w:rtl/>
        </w:rPr>
        <w:t>إلا</w:t>
      </w:r>
      <w:r w:rsidR="000E48D2" w:rsidRPr="006571AC">
        <w:rPr>
          <w:rFonts w:hint="cs"/>
          <w:sz w:val="27"/>
          <w:rtl/>
        </w:rPr>
        <w:t>ّ</w:t>
      </w:r>
      <w:r w:rsidRPr="006571AC">
        <w:rPr>
          <w:sz w:val="27"/>
          <w:rtl/>
        </w:rPr>
        <w:t xml:space="preserve"> </w:t>
      </w:r>
      <w:r w:rsidRPr="006571AC">
        <w:rPr>
          <w:rFonts w:hint="cs"/>
          <w:sz w:val="27"/>
          <w:rtl/>
        </w:rPr>
        <w:t>برضا</w:t>
      </w:r>
      <w:r w:rsidRPr="006571AC">
        <w:rPr>
          <w:sz w:val="27"/>
          <w:rtl/>
        </w:rPr>
        <w:t xml:space="preserve"> </w:t>
      </w:r>
      <w:r w:rsidRPr="006571AC">
        <w:rPr>
          <w:rFonts w:hint="cs"/>
          <w:sz w:val="27"/>
          <w:rtl/>
        </w:rPr>
        <w:t>الزوجين</w:t>
      </w:r>
      <w:r w:rsidR="00A431A7" w:rsidRPr="006571AC">
        <w:rPr>
          <w:rFonts w:hint="cs"/>
          <w:sz w:val="27"/>
          <w:rtl/>
        </w:rPr>
        <w:t xml:space="preserve">، </w:t>
      </w:r>
      <w:r w:rsidRPr="006571AC">
        <w:rPr>
          <w:rFonts w:hint="cs"/>
          <w:sz w:val="27"/>
          <w:rtl/>
        </w:rPr>
        <w:t>هو</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الرجل</w:t>
      </w:r>
      <w:r w:rsidRPr="006571AC">
        <w:rPr>
          <w:sz w:val="27"/>
          <w:rtl/>
        </w:rPr>
        <w:t xml:space="preserve"> </w:t>
      </w:r>
      <w:r w:rsidRPr="006571AC">
        <w:rPr>
          <w:rFonts w:hint="cs"/>
          <w:sz w:val="27"/>
          <w:rtl/>
        </w:rPr>
        <w:t>إذا</w:t>
      </w:r>
      <w:r w:rsidRPr="006571AC">
        <w:rPr>
          <w:sz w:val="27"/>
          <w:rtl/>
        </w:rPr>
        <w:t xml:space="preserve"> </w:t>
      </w:r>
      <w:r w:rsidRPr="006571AC">
        <w:rPr>
          <w:rFonts w:hint="cs"/>
          <w:sz w:val="27"/>
          <w:rtl/>
        </w:rPr>
        <w:t>تزو</w:t>
      </w:r>
      <w:r w:rsidR="00A431A7" w:rsidRPr="006571AC">
        <w:rPr>
          <w:rFonts w:hint="cs"/>
          <w:sz w:val="27"/>
          <w:rtl/>
        </w:rPr>
        <w:t>َّ</w:t>
      </w:r>
      <w:r w:rsidRPr="006571AC">
        <w:rPr>
          <w:rFonts w:hint="cs"/>
          <w:sz w:val="27"/>
          <w:rtl/>
        </w:rPr>
        <w:t>ج</w:t>
      </w:r>
      <w:r w:rsidRPr="006571AC">
        <w:rPr>
          <w:sz w:val="27"/>
          <w:rtl/>
        </w:rPr>
        <w:t xml:space="preserve"> </w:t>
      </w:r>
      <w:r w:rsidRPr="006571AC">
        <w:rPr>
          <w:rFonts w:hint="cs"/>
          <w:sz w:val="27"/>
          <w:rtl/>
        </w:rPr>
        <w:t>امرأة</w:t>
      </w:r>
      <w:r w:rsidR="00A431A7" w:rsidRPr="006571AC">
        <w:rPr>
          <w:rFonts w:hint="cs"/>
          <w:sz w:val="27"/>
          <w:rtl/>
        </w:rPr>
        <w:t>ً،</w:t>
      </w:r>
      <w:r w:rsidRPr="006571AC">
        <w:rPr>
          <w:sz w:val="27"/>
          <w:rtl/>
        </w:rPr>
        <w:t xml:space="preserve"> و</w:t>
      </w:r>
      <w:r w:rsidRPr="006571AC">
        <w:rPr>
          <w:rFonts w:hint="cs"/>
          <w:sz w:val="27"/>
          <w:rtl/>
        </w:rPr>
        <w:t>لم</w:t>
      </w:r>
      <w:r w:rsidRPr="006571AC">
        <w:rPr>
          <w:sz w:val="27"/>
          <w:rtl/>
        </w:rPr>
        <w:t xml:space="preserve"> </w:t>
      </w:r>
      <w:r w:rsidRPr="006571AC">
        <w:rPr>
          <w:rFonts w:hint="cs"/>
          <w:sz w:val="27"/>
          <w:rtl/>
        </w:rPr>
        <w:t>يفرض</w:t>
      </w:r>
      <w:r w:rsidRPr="006571AC">
        <w:rPr>
          <w:sz w:val="27"/>
          <w:rtl/>
        </w:rPr>
        <w:t xml:space="preserve"> </w:t>
      </w:r>
      <w:r w:rsidRPr="006571AC">
        <w:rPr>
          <w:rFonts w:hint="cs"/>
          <w:sz w:val="27"/>
          <w:rtl/>
        </w:rPr>
        <w:t>لها</w:t>
      </w:r>
      <w:r w:rsidRPr="006571AC">
        <w:rPr>
          <w:sz w:val="27"/>
          <w:rtl/>
        </w:rPr>
        <w:t xml:space="preserve"> </w:t>
      </w:r>
      <w:r w:rsidRPr="006571AC">
        <w:rPr>
          <w:rFonts w:hint="cs"/>
          <w:sz w:val="27"/>
          <w:rtl/>
        </w:rPr>
        <w:t>مهرا</w:t>
      </w:r>
      <w:r w:rsidR="00A431A7" w:rsidRPr="006571AC">
        <w:rPr>
          <w:rFonts w:hint="cs"/>
          <w:sz w:val="27"/>
          <w:rtl/>
        </w:rPr>
        <w:t>ً،</w:t>
      </w:r>
      <w:r w:rsidRPr="006571AC">
        <w:rPr>
          <w:sz w:val="27"/>
          <w:rtl/>
        </w:rPr>
        <w:t xml:space="preserve"> </w:t>
      </w:r>
      <w:r w:rsidRPr="006571AC">
        <w:rPr>
          <w:rFonts w:hint="cs"/>
          <w:sz w:val="27"/>
          <w:rtl/>
        </w:rPr>
        <w:t>فطل</w:t>
      </w:r>
      <w:r w:rsidR="00A431A7" w:rsidRPr="006571AC">
        <w:rPr>
          <w:rFonts w:hint="cs"/>
          <w:sz w:val="27"/>
          <w:rtl/>
        </w:rPr>
        <w:t>َّ</w:t>
      </w:r>
      <w:r w:rsidRPr="006571AC">
        <w:rPr>
          <w:rFonts w:hint="cs"/>
          <w:sz w:val="27"/>
          <w:rtl/>
        </w:rPr>
        <w:t>قها</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مات</w:t>
      </w:r>
      <w:r w:rsidRPr="006571AC">
        <w:rPr>
          <w:sz w:val="27"/>
          <w:rtl/>
        </w:rPr>
        <w:t xml:space="preserve"> </w:t>
      </w:r>
      <w:r w:rsidRPr="006571AC">
        <w:rPr>
          <w:rFonts w:hint="cs"/>
          <w:sz w:val="27"/>
          <w:rtl/>
        </w:rPr>
        <w:t>عنها</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يدخل</w:t>
      </w:r>
      <w:r w:rsidRPr="006571AC">
        <w:rPr>
          <w:sz w:val="27"/>
          <w:rtl/>
        </w:rPr>
        <w:t xml:space="preserve"> </w:t>
      </w:r>
      <w:r w:rsidRPr="006571AC">
        <w:rPr>
          <w:rFonts w:hint="cs"/>
          <w:sz w:val="27"/>
          <w:rtl/>
        </w:rPr>
        <w:t>بها</w:t>
      </w:r>
      <w:r w:rsidR="00A431A7" w:rsidRPr="006571AC">
        <w:rPr>
          <w:rFonts w:hint="cs"/>
          <w:sz w:val="27"/>
          <w:rtl/>
        </w:rPr>
        <w:t>،</w:t>
      </w:r>
      <w:r w:rsidRPr="006571AC">
        <w:rPr>
          <w:sz w:val="27"/>
          <w:rtl/>
        </w:rPr>
        <w:t xml:space="preserve"> </w:t>
      </w:r>
      <w:r w:rsidRPr="006571AC">
        <w:rPr>
          <w:rFonts w:hint="cs"/>
          <w:sz w:val="27"/>
          <w:rtl/>
        </w:rPr>
        <w:t>فلا</w:t>
      </w:r>
      <w:r w:rsidRPr="006571AC">
        <w:rPr>
          <w:sz w:val="27"/>
          <w:rtl/>
        </w:rPr>
        <w:t xml:space="preserve"> </w:t>
      </w:r>
      <w:r w:rsidRPr="006571AC">
        <w:rPr>
          <w:rFonts w:hint="cs"/>
          <w:sz w:val="27"/>
          <w:rtl/>
        </w:rPr>
        <w:t>مهر</w:t>
      </w:r>
      <w:r w:rsidRPr="006571AC">
        <w:rPr>
          <w:sz w:val="27"/>
          <w:rtl/>
        </w:rPr>
        <w:t xml:space="preserve"> </w:t>
      </w:r>
      <w:r w:rsidRPr="006571AC">
        <w:rPr>
          <w:rFonts w:hint="cs"/>
          <w:sz w:val="27"/>
          <w:rtl/>
        </w:rPr>
        <w:t>لها</w:t>
      </w:r>
      <w:r w:rsidR="00A431A7" w:rsidRPr="006571AC">
        <w:rPr>
          <w:rFonts w:hint="cs"/>
          <w:sz w:val="27"/>
          <w:rtl/>
        </w:rPr>
        <w:t>،</w:t>
      </w:r>
      <w:r w:rsidRPr="006571AC">
        <w:rPr>
          <w:sz w:val="27"/>
          <w:rtl/>
        </w:rPr>
        <w:t xml:space="preserve"> و</w:t>
      </w:r>
      <w:r w:rsidRPr="006571AC">
        <w:rPr>
          <w:rFonts w:hint="cs"/>
          <w:sz w:val="27"/>
          <w:rtl/>
        </w:rPr>
        <w:t>هي</w:t>
      </w:r>
      <w:r w:rsidRPr="006571AC">
        <w:rPr>
          <w:sz w:val="27"/>
          <w:rtl/>
        </w:rPr>
        <w:t xml:space="preserve"> </w:t>
      </w:r>
      <w:r w:rsidRPr="006571AC">
        <w:rPr>
          <w:rFonts w:hint="cs"/>
          <w:sz w:val="27"/>
          <w:rtl/>
        </w:rPr>
        <w:t>امرأته</w:t>
      </w:r>
      <w:r w:rsidR="00A431A7" w:rsidRPr="006571AC">
        <w:rPr>
          <w:rFonts w:hint="cs"/>
          <w:sz w:val="27"/>
          <w:rtl/>
        </w:rPr>
        <w:t>،</w:t>
      </w:r>
      <w:r w:rsidRPr="006571AC">
        <w:rPr>
          <w:sz w:val="27"/>
          <w:rtl/>
        </w:rPr>
        <w:t xml:space="preserve"> </w:t>
      </w:r>
      <w:r w:rsidRPr="006571AC">
        <w:rPr>
          <w:rFonts w:hint="cs"/>
          <w:sz w:val="27"/>
          <w:rtl/>
        </w:rPr>
        <w:t>ترثه</w:t>
      </w:r>
      <w:r w:rsidRPr="006571AC">
        <w:rPr>
          <w:sz w:val="27"/>
          <w:rtl/>
        </w:rPr>
        <w:t xml:space="preserve"> و</w:t>
      </w:r>
      <w:r w:rsidRPr="006571AC">
        <w:rPr>
          <w:rFonts w:hint="cs"/>
          <w:sz w:val="27"/>
          <w:rtl/>
        </w:rPr>
        <w:t>يرثها</w:t>
      </w:r>
      <w:r w:rsidRPr="006571AC">
        <w:rPr>
          <w:sz w:val="27"/>
          <w:rtl/>
        </w:rPr>
        <w:t xml:space="preserve"> </w:t>
      </w:r>
      <w:r w:rsidRPr="006571AC">
        <w:rPr>
          <w:rFonts w:hint="cs"/>
          <w:sz w:val="27"/>
          <w:rtl/>
        </w:rPr>
        <w:t>إن</w:t>
      </w:r>
      <w:r w:rsidR="00A431A7" w:rsidRPr="006571AC">
        <w:rPr>
          <w:rFonts w:hint="cs"/>
          <w:sz w:val="27"/>
          <w:rtl/>
        </w:rPr>
        <w:t>ْ</w:t>
      </w:r>
      <w:r w:rsidRPr="006571AC">
        <w:rPr>
          <w:sz w:val="27"/>
          <w:rtl/>
        </w:rPr>
        <w:t xml:space="preserve"> </w:t>
      </w:r>
      <w:r w:rsidRPr="006571AC">
        <w:rPr>
          <w:rFonts w:hint="cs"/>
          <w:sz w:val="27"/>
          <w:rtl/>
        </w:rPr>
        <w:t>ماتت</w:t>
      </w:r>
      <w:r w:rsidRPr="006571AC">
        <w:rPr>
          <w:sz w:val="27"/>
          <w:rtl/>
        </w:rPr>
        <w:t xml:space="preserve"> </w:t>
      </w:r>
      <w:r w:rsidRPr="006571AC">
        <w:rPr>
          <w:rFonts w:hint="cs"/>
          <w:sz w:val="27"/>
          <w:rtl/>
        </w:rPr>
        <w:t>هي</w:t>
      </w:r>
      <w:r w:rsidR="00A431A7" w:rsidRPr="006571AC">
        <w:rPr>
          <w:rFonts w:hint="cs"/>
          <w:sz w:val="27"/>
          <w:rtl/>
        </w:rPr>
        <w:t>،</w:t>
      </w:r>
      <w:r w:rsidRPr="006571AC">
        <w:rPr>
          <w:sz w:val="27"/>
          <w:rtl/>
        </w:rPr>
        <w:t xml:space="preserve"> </w:t>
      </w:r>
      <w:r w:rsidR="00A431A7" w:rsidRPr="006571AC">
        <w:rPr>
          <w:rFonts w:hint="cs"/>
          <w:sz w:val="27"/>
          <w:rtl/>
        </w:rPr>
        <w:t>كما في</w:t>
      </w:r>
      <w:r w:rsidRPr="006571AC">
        <w:rPr>
          <w:sz w:val="27"/>
          <w:rtl/>
        </w:rPr>
        <w:t xml:space="preserve"> </w:t>
      </w:r>
      <w:r w:rsidR="00A431A7" w:rsidRPr="006571AC">
        <w:rPr>
          <w:rFonts w:hint="cs"/>
          <w:sz w:val="27"/>
          <w:rtl/>
        </w:rPr>
        <w:t>الحديث</w:t>
      </w:r>
      <w:r w:rsidR="00A431A7" w:rsidRPr="006571AC">
        <w:rPr>
          <w:sz w:val="27"/>
          <w:rtl/>
        </w:rPr>
        <w:t xml:space="preserve"> </w:t>
      </w:r>
      <w:r w:rsidR="00817501" w:rsidRPr="006571AC">
        <w:rPr>
          <w:rFonts w:hint="cs"/>
          <w:sz w:val="27"/>
          <w:rtl/>
        </w:rPr>
        <w:t>عن الصادق</w:t>
      </w:r>
      <w:r w:rsidR="00817501" w:rsidRPr="006571AC">
        <w:rPr>
          <w:rFonts w:ascii="Mosawi" w:hAnsi="Mosawi" w:cs="Mosawi"/>
          <w:sz w:val="22"/>
          <w:szCs w:val="22"/>
          <w:rtl/>
        </w:rPr>
        <w:t>×</w:t>
      </w:r>
      <w:r w:rsidR="00817501" w:rsidRPr="006571AC">
        <w:rPr>
          <w:sz w:val="27"/>
          <w:vertAlign w:val="superscript"/>
          <w:rtl/>
        </w:rPr>
        <w:t>(</w:t>
      </w:r>
      <w:r w:rsidR="00817501" w:rsidRPr="006571AC">
        <w:rPr>
          <w:sz w:val="27"/>
          <w:vertAlign w:val="superscript"/>
          <w:rtl/>
        </w:rPr>
        <w:endnoteReference w:id="446"/>
      </w:r>
      <w:r w:rsidR="00817501" w:rsidRPr="006571AC">
        <w:rPr>
          <w:sz w:val="27"/>
          <w:vertAlign w:val="superscript"/>
          <w:rtl/>
        </w:rPr>
        <w:t>)</w:t>
      </w:r>
      <w:r w:rsidR="000C7215" w:rsidRPr="006571AC">
        <w:rPr>
          <w:rFonts w:hint="cs"/>
          <w:sz w:val="27"/>
          <w:rtl/>
        </w:rPr>
        <w:t>، فلو</w:t>
      </w:r>
      <w:r w:rsidR="000C7215" w:rsidRPr="006571AC">
        <w:rPr>
          <w:sz w:val="27"/>
          <w:rtl/>
        </w:rPr>
        <w:t xml:space="preserve"> </w:t>
      </w:r>
      <w:r w:rsidR="000C7215" w:rsidRPr="006571AC">
        <w:rPr>
          <w:rFonts w:hint="cs"/>
          <w:sz w:val="27"/>
          <w:rtl/>
        </w:rPr>
        <w:t>كان</w:t>
      </w:r>
      <w:r w:rsidR="000C7215" w:rsidRPr="006571AC">
        <w:rPr>
          <w:sz w:val="27"/>
          <w:rtl/>
        </w:rPr>
        <w:t xml:space="preserve"> </w:t>
      </w:r>
      <w:r w:rsidR="000C7215" w:rsidRPr="006571AC">
        <w:rPr>
          <w:rFonts w:hint="cs"/>
          <w:sz w:val="27"/>
          <w:rtl/>
        </w:rPr>
        <w:t>للمهر</w:t>
      </w:r>
      <w:r w:rsidR="000C7215" w:rsidRPr="006571AC">
        <w:rPr>
          <w:sz w:val="27"/>
          <w:rtl/>
        </w:rPr>
        <w:t xml:space="preserve"> </w:t>
      </w:r>
      <w:r w:rsidR="000C7215" w:rsidRPr="006571AC">
        <w:rPr>
          <w:rFonts w:hint="cs"/>
          <w:sz w:val="27"/>
          <w:rtl/>
        </w:rPr>
        <w:t>حدٌّ</w:t>
      </w:r>
      <w:r w:rsidR="000C7215" w:rsidRPr="006571AC">
        <w:rPr>
          <w:sz w:val="27"/>
          <w:rtl/>
        </w:rPr>
        <w:t xml:space="preserve"> </w:t>
      </w:r>
      <w:r w:rsidR="000C7215" w:rsidRPr="006571AC">
        <w:rPr>
          <w:rFonts w:hint="cs"/>
          <w:sz w:val="27"/>
          <w:rtl/>
        </w:rPr>
        <w:t>معروف</w:t>
      </w:r>
      <w:r w:rsidR="000C7215" w:rsidRPr="006571AC">
        <w:rPr>
          <w:sz w:val="27"/>
          <w:rtl/>
        </w:rPr>
        <w:t xml:space="preserve"> </w:t>
      </w:r>
      <w:r w:rsidR="000C7215" w:rsidRPr="006571AC">
        <w:rPr>
          <w:rFonts w:hint="cs"/>
          <w:sz w:val="27"/>
          <w:rtl/>
        </w:rPr>
        <w:t>لوجب</w:t>
      </w:r>
      <w:r w:rsidR="000C7215" w:rsidRPr="006571AC">
        <w:rPr>
          <w:sz w:val="27"/>
          <w:rtl/>
        </w:rPr>
        <w:t xml:space="preserve"> </w:t>
      </w:r>
      <w:r w:rsidR="000C7215" w:rsidRPr="006571AC">
        <w:rPr>
          <w:rFonts w:hint="cs"/>
          <w:sz w:val="27"/>
          <w:rtl/>
        </w:rPr>
        <w:t>على</w:t>
      </w:r>
      <w:r w:rsidR="000C7215" w:rsidRPr="006571AC">
        <w:rPr>
          <w:sz w:val="27"/>
          <w:rtl/>
        </w:rPr>
        <w:t xml:space="preserve"> </w:t>
      </w:r>
      <w:r w:rsidR="000C7215" w:rsidRPr="006571AC">
        <w:rPr>
          <w:rFonts w:hint="cs"/>
          <w:sz w:val="27"/>
          <w:rtl/>
        </w:rPr>
        <w:t>هذا</w:t>
      </w:r>
      <w:r w:rsidR="000C7215" w:rsidRPr="006571AC">
        <w:rPr>
          <w:sz w:val="27"/>
          <w:rtl/>
        </w:rPr>
        <w:t xml:space="preserve"> </w:t>
      </w:r>
      <w:r w:rsidR="000C7215" w:rsidRPr="006571AC">
        <w:rPr>
          <w:rFonts w:hint="cs"/>
          <w:sz w:val="27"/>
          <w:rtl/>
        </w:rPr>
        <w:t>الذي</w:t>
      </w:r>
      <w:r w:rsidR="000C7215" w:rsidRPr="006571AC">
        <w:rPr>
          <w:sz w:val="27"/>
          <w:rtl/>
        </w:rPr>
        <w:t xml:space="preserve"> </w:t>
      </w:r>
      <w:r w:rsidR="000C7215" w:rsidRPr="006571AC">
        <w:rPr>
          <w:rFonts w:hint="cs"/>
          <w:sz w:val="27"/>
          <w:rtl/>
        </w:rPr>
        <w:t>لم</w:t>
      </w:r>
      <w:r w:rsidR="000C7215" w:rsidRPr="006571AC">
        <w:rPr>
          <w:sz w:val="27"/>
          <w:rtl/>
        </w:rPr>
        <w:t xml:space="preserve"> </w:t>
      </w:r>
      <w:r w:rsidR="000C7215" w:rsidRPr="006571AC">
        <w:rPr>
          <w:rFonts w:hint="cs"/>
          <w:sz w:val="27"/>
          <w:rtl/>
        </w:rPr>
        <w:t>يفرض</w:t>
      </w:r>
      <w:r w:rsidR="000C7215" w:rsidRPr="006571AC">
        <w:rPr>
          <w:sz w:val="27"/>
          <w:rtl/>
        </w:rPr>
        <w:t xml:space="preserve"> </w:t>
      </w:r>
      <w:r w:rsidR="000C7215" w:rsidRPr="006571AC">
        <w:rPr>
          <w:rFonts w:hint="cs"/>
          <w:sz w:val="27"/>
          <w:rtl/>
        </w:rPr>
        <w:t>المهر</w:t>
      </w:r>
      <w:r w:rsidR="000C7215" w:rsidRPr="006571AC">
        <w:rPr>
          <w:sz w:val="27"/>
          <w:rtl/>
        </w:rPr>
        <w:t xml:space="preserve"> </w:t>
      </w:r>
      <w:r w:rsidR="000C7215" w:rsidRPr="006571AC">
        <w:rPr>
          <w:rFonts w:hint="cs"/>
          <w:sz w:val="27"/>
          <w:rtl/>
        </w:rPr>
        <w:t>عند</w:t>
      </w:r>
      <w:r w:rsidR="000C7215" w:rsidRPr="006571AC">
        <w:rPr>
          <w:sz w:val="27"/>
          <w:rtl/>
        </w:rPr>
        <w:t xml:space="preserve"> </w:t>
      </w:r>
      <w:r w:rsidR="000C7215" w:rsidRPr="006571AC">
        <w:rPr>
          <w:rFonts w:hint="cs"/>
          <w:sz w:val="27"/>
          <w:rtl/>
        </w:rPr>
        <w:t>عقدة</w:t>
      </w:r>
      <w:r w:rsidR="000C7215" w:rsidRPr="006571AC">
        <w:rPr>
          <w:sz w:val="27"/>
          <w:rtl/>
        </w:rPr>
        <w:t xml:space="preserve"> </w:t>
      </w:r>
      <w:r w:rsidR="000C7215" w:rsidRPr="006571AC">
        <w:rPr>
          <w:rFonts w:hint="cs"/>
          <w:sz w:val="27"/>
          <w:rtl/>
        </w:rPr>
        <w:t>النكاح</w:t>
      </w:r>
      <w:r w:rsidR="000C7215" w:rsidRPr="006571AC">
        <w:rPr>
          <w:sz w:val="27"/>
          <w:rtl/>
        </w:rPr>
        <w:t xml:space="preserve"> </w:t>
      </w:r>
      <w:r w:rsidR="000C7215" w:rsidRPr="006571AC">
        <w:rPr>
          <w:rFonts w:hint="cs"/>
          <w:sz w:val="27"/>
          <w:rtl/>
        </w:rPr>
        <w:t>توفير</w:t>
      </w:r>
      <w:r w:rsidR="000C7215" w:rsidRPr="006571AC">
        <w:rPr>
          <w:sz w:val="27"/>
          <w:rtl/>
        </w:rPr>
        <w:t xml:space="preserve"> </w:t>
      </w:r>
      <w:r w:rsidR="000C7215" w:rsidRPr="006571AC">
        <w:rPr>
          <w:rFonts w:hint="cs"/>
          <w:sz w:val="27"/>
          <w:rtl/>
        </w:rPr>
        <w:t>المهر</w:t>
      </w:r>
      <w:r w:rsidR="000C7215" w:rsidRPr="006571AC">
        <w:rPr>
          <w:sz w:val="27"/>
          <w:rtl/>
        </w:rPr>
        <w:t xml:space="preserve"> </w:t>
      </w:r>
      <w:r w:rsidR="000C7215" w:rsidRPr="006571AC">
        <w:rPr>
          <w:rFonts w:hint="cs"/>
          <w:sz w:val="27"/>
          <w:rtl/>
        </w:rPr>
        <w:t>المتعارف</w:t>
      </w:r>
      <w:r w:rsidR="000C7215" w:rsidRPr="006571AC">
        <w:rPr>
          <w:sz w:val="27"/>
          <w:rtl/>
        </w:rPr>
        <w:t xml:space="preserve"> </w:t>
      </w:r>
      <w:r w:rsidR="000C7215" w:rsidRPr="006571AC">
        <w:rPr>
          <w:rFonts w:hint="cs"/>
          <w:sz w:val="27"/>
          <w:rtl/>
        </w:rPr>
        <w:t>بين</w:t>
      </w:r>
      <w:r w:rsidR="000C7215" w:rsidRPr="006571AC">
        <w:rPr>
          <w:sz w:val="27"/>
          <w:rtl/>
        </w:rPr>
        <w:t xml:space="preserve"> </w:t>
      </w:r>
      <w:r w:rsidR="000C7215" w:rsidRPr="006571AC">
        <w:rPr>
          <w:rFonts w:hint="cs"/>
          <w:sz w:val="27"/>
          <w:rtl/>
        </w:rPr>
        <w:t>الناس،</w:t>
      </w:r>
      <w:r w:rsidR="000C7215" w:rsidRPr="006571AC">
        <w:rPr>
          <w:sz w:val="27"/>
          <w:rtl/>
        </w:rPr>
        <w:t xml:space="preserve"> و</w:t>
      </w:r>
      <w:r w:rsidR="000C7215" w:rsidRPr="006571AC">
        <w:rPr>
          <w:rFonts w:hint="cs"/>
          <w:sz w:val="27"/>
          <w:rtl/>
        </w:rPr>
        <w:t>إنْ</w:t>
      </w:r>
      <w:r w:rsidR="000C7215" w:rsidRPr="006571AC">
        <w:rPr>
          <w:sz w:val="27"/>
          <w:rtl/>
        </w:rPr>
        <w:t xml:space="preserve"> </w:t>
      </w:r>
      <w:r w:rsidR="000C7215" w:rsidRPr="006571AC">
        <w:rPr>
          <w:rFonts w:hint="cs"/>
          <w:sz w:val="27"/>
          <w:rtl/>
        </w:rPr>
        <w:t>لم</w:t>
      </w:r>
      <w:r w:rsidR="000C7215" w:rsidRPr="006571AC">
        <w:rPr>
          <w:sz w:val="27"/>
          <w:rtl/>
        </w:rPr>
        <w:t xml:space="preserve"> </w:t>
      </w:r>
      <w:r w:rsidR="000C7215" w:rsidRPr="006571AC">
        <w:rPr>
          <w:rFonts w:hint="cs"/>
          <w:sz w:val="27"/>
          <w:rtl/>
        </w:rPr>
        <w:t>يسمِّه</w:t>
      </w:r>
      <w:r w:rsidR="000C7215" w:rsidRPr="006571AC">
        <w:rPr>
          <w:sz w:val="27"/>
          <w:rtl/>
        </w:rPr>
        <w:t xml:space="preserve"> </w:t>
      </w:r>
      <w:r w:rsidR="000C7215" w:rsidRPr="006571AC">
        <w:rPr>
          <w:rFonts w:hint="cs"/>
          <w:sz w:val="27"/>
          <w:rtl/>
        </w:rPr>
        <w:t>عند</w:t>
      </w:r>
      <w:r w:rsidR="000C7215" w:rsidRPr="006571AC">
        <w:rPr>
          <w:sz w:val="27"/>
          <w:rtl/>
        </w:rPr>
        <w:t xml:space="preserve"> </w:t>
      </w:r>
      <w:r w:rsidR="000C7215" w:rsidRPr="006571AC">
        <w:rPr>
          <w:rFonts w:hint="cs"/>
          <w:sz w:val="27"/>
          <w:rtl/>
        </w:rPr>
        <w:t>النكاح،</w:t>
      </w:r>
      <w:r w:rsidR="000C7215" w:rsidRPr="006571AC">
        <w:rPr>
          <w:sz w:val="27"/>
          <w:rtl/>
        </w:rPr>
        <w:t xml:space="preserve"> </w:t>
      </w:r>
      <w:r w:rsidR="000C7215" w:rsidRPr="006571AC">
        <w:rPr>
          <w:rFonts w:hint="cs"/>
          <w:sz w:val="27"/>
          <w:rtl/>
        </w:rPr>
        <w:t>كما</w:t>
      </w:r>
      <w:r w:rsidR="000C7215" w:rsidRPr="006571AC">
        <w:rPr>
          <w:sz w:val="27"/>
          <w:rtl/>
        </w:rPr>
        <w:t xml:space="preserve"> </w:t>
      </w:r>
      <w:r w:rsidR="000C7215" w:rsidRPr="006571AC">
        <w:rPr>
          <w:rFonts w:hint="cs"/>
          <w:sz w:val="27"/>
          <w:rtl/>
        </w:rPr>
        <w:t>يلزم</w:t>
      </w:r>
      <w:r w:rsidR="000C7215" w:rsidRPr="006571AC">
        <w:rPr>
          <w:sz w:val="27"/>
          <w:rtl/>
        </w:rPr>
        <w:t xml:space="preserve"> </w:t>
      </w:r>
      <w:r w:rsidR="000C7215" w:rsidRPr="006571AC">
        <w:rPr>
          <w:rFonts w:hint="cs"/>
          <w:sz w:val="27"/>
          <w:rtl/>
        </w:rPr>
        <w:t>المتمتِّعين</w:t>
      </w:r>
      <w:r w:rsidR="000C7215" w:rsidRPr="006571AC">
        <w:rPr>
          <w:sz w:val="27"/>
          <w:rtl/>
        </w:rPr>
        <w:t xml:space="preserve"> </w:t>
      </w:r>
      <w:r w:rsidR="000C7215" w:rsidRPr="006571AC">
        <w:rPr>
          <w:rFonts w:hint="cs"/>
          <w:sz w:val="27"/>
          <w:rtl/>
        </w:rPr>
        <w:t>شروط</w:t>
      </w:r>
      <w:r w:rsidR="000C7215" w:rsidRPr="006571AC">
        <w:rPr>
          <w:sz w:val="27"/>
          <w:rtl/>
        </w:rPr>
        <w:t xml:space="preserve"> </w:t>
      </w:r>
      <w:r w:rsidR="000C7215" w:rsidRPr="006571AC">
        <w:rPr>
          <w:rFonts w:hint="cs"/>
          <w:sz w:val="27"/>
          <w:rtl/>
        </w:rPr>
        <w:t>المتعة</w:t>
      </w:r>
      <w:r w:rsidR="000C7215" w:rsidRPr="006571AC">
        <w:rPr>
          <w:sz w:val="27"/>
          <w:rtl/>
        </w:rPr>
        <w:t xml:space="preserve"> </w:t>
      </w:r>
      <w:r w:rsidR="000C7215" w:rsidRPr="006571AC">
        <w:rPr>
          <w:rFonts w:hint="cs"/>
          <w:sz w:val="27"/>
          <w:rtl/>
        </w:rPr>
        <w:t>إذا</w:t>
      </w:r>
      <w:r w:rsidR="000C7215" w:rsidRPr="006571AC">
        <w:rPr>
          <w:sz w:val="27"/>
          <w:rtl/>
        </w:rPr>
        <w:t xml:space="preserve"> </w:t>
      </w:r>
      <w:r w:rsidR="000C7215" w:rsidRPr="006571AC">
        <w:rPr>
          <w:rFonts w:hint="cs"/>
          <w:sz w:val="27"/>
          <w:rtl/>
        </w:rPr>
        <w:t>نسُوا</w:t>
      </w:r>
      <w:r w:rsidR="000C7215" w:rsidRPr="006571AC">
        <w:rPr>
          <w:sz w:val="27"/>
          <w:rtl/>
        </w:rPr>
        <w:t xml:space="preserve"> </w:t>
      </w:r>
      <w:r w:rsidR="000C7215" w:rsidRPr="006571AC">
        <w:rPr>
          <w:rFonts w:hint="cs"/>
          <w:sz w:val="27"/>
          <w:rtl/>
        </w:rPr>
        <w:t>ذكر</w:t>
      </w:r>
      <w:r w:rsidR="000C7215" w:rsidRPr="006571AC">
        <w:rPr>
          <w:sz w:val="27"/>
          <w:rtl/>
        </w:rPr>
        <w:t xml:space="preserve"> </w:t>
      </w:r>
      <w:r w:rsidR="000C7215" w:rsidRPr="006571AC">
        <w:rPr>
          <w:rFonts w:hint="cs"/>
          <w:sz w:val="27"/>
          <w:rtl/>
        </w:rPr>
        <w:t>بعضها</w:t>
      </w:r>
      <w:r w:rsidR="000C7215" w:rsidRPr="006571AC">
        <w:rPr>
          <w:sz w:val="27"/>
          <w:rtl/>
        </w:rPr>
        <w:t xml:space="preserve"> </w:t>
      </w:r>
      <w:r w:rsidR="000C7215" w:rsidRPr="006571AC">
        <w:rPr>
          <w:rFonts w:hint="cs"/>
          <w:sz w:val="27"/>
          <w:rtl/>
        </w:rPr>
        <w:t>عند</w:t>
      </w:r>
      <w:r w:rsidR="000C7215" w:rsidRPr="006571AC">
        <w:rPr>
          <w:sz w:val="27"/>
          <w:rtl/>
        </w:rPr>
        <w:t xml:space="preserve"> </w:t>
      </w:r>
      <w:r w:rsidR="000C7215" w:rsidRPr="006571AC">
        <w:rPr>
          <w:rFonts w:hint="cs"/>
          <w:sz w:val="27"/>
          <w:rtl/>
        </w:rPr>
        <w:t>عقد</w:t>
      </w:r>
      <w:r w:rsidR="000C7215" w:rsidRPr="006571AC">
        <w:rPr>
          <w:sz w:val="27"/>
          <w:rtl/>
        </w:rPr>
        <w:t xml:space="preserve"> </w:t>
      </w:r>
      <w:r w:rsidR="000C7215" w:rsidRPr="006571AC">
        <w:rPr>
          <w:rFonts w:hint="cs"/>
          <w:sz w:val="27"/>
          <w:rtl/>
        </w:rPr>
        <w:t>النكاح؛</w:t>
      </w:r>
      <w:r w:rsidR="000C7215" w:rsidRPr="006571AC">
        <w:rPr>
          <w:sz w:val="27"/>
          <w:rtl/>
        </w:rPr>
        <w:t xml:space="preserve"> </w:t>
      </w:r>
      <w:r w:rsidR="000C7215" w:rsidRPr="006571AC">
        <w:rPr>
          <w:rFonts w:hint="cs"/>
          <w:sz w:val="27"/>
          <w:rtl/>
        </w:rPr>
        <w:t>لأن</w:t>
      </w:r>
      <w:r w:rsidR="000C7215" w:rsidRPr="006571AC">
        <w:rPr>
          <w:sz w:val="27"/>
          <w:rtl/>
        </w:rPr>
        <w:t xml:space="preserve"> </w:t>
      </w:r>
      <w:r w:rsidR="000C7215" w:rsidRPr="006571AC">
        <w:rPr>
          <w:rFonts w:hint="cs"/>
          <w:sz w:val="27"/>
          <w:rtl/>
        </w:rPr>
        <w:t>شروط</w:t>
      </w:r>
      <w:r w:rsidR="000C7215" w:rsidRPr="006571AC">
        <w:rPr>
          <w:sz w:val="27"/>
          <w:rtl/>
        </w:rPr>
        <w:t xml:space="preserve"> </w:t>
      </w:r>
      <w:r w:rsidR="000C7215" w:rsidRPr="006571AC">
        <w:rPr>
          <w:rFonts w:hint="cs"/>
          <w:sz w:val="27"/>
          <w:rtl/>
        </w:rPr>
        <w:t>المتعة</w:t>
      </w:r>
      <w:r w:rsidR="000C7215" w:rsidRPr="006571AC">
        <w:rPr>
          <w:sz w:val="27"/>
          <w:rtl/>
        </w:rPr>
        <w:t xml:space="preserve"> </w:t>
      </w:r>
      <w:r w:rsidR="000C7215" w:rsidRPr="006571AC">
        <w:rPr>
          <w:rFonts w:hint="cs"/>
          <w:sz w:val="27"/>
          <w:rtl/>
        </w:rPr>
        <w:t>معروفةٌ</w:t>
      </w:r>
      <w:r w:rsidR="000C7215" w:rsidRPr="006571AC">
        <w:rPr>
          <w:sz w:val="27"/>
          <w:rtl/>
        </w:rPr>
        <w:t xml:space="preserve"> </w:t>
      </w:r>
      <w:r w:rsidR="000C7215" w:rsidRPr="006571AC">
        <w:rPr>
          <w:rFonts w:hint="cs"/>
          <w:sz w:val="27"/>
          <w:rtl/>
        </w:rPr>
        <w:t>متعارفة</w:t>
      </w:r>
      <w:r w:rsidR="000C7215" w:rsidRPr="006571AC">
        <w:rPr>
          <w:sz w:val="27"/>
          <w:rtl/>
        </w:rPr>
        <w:t xml:space="preserve"> </w:t>
      </w:r>
      <w:r w:rsidR="000C7215" w:rsidRPr="006571AC">
        <w:rPr>
          <w:rFonts w:hint="cs"/>
          <w:sz w:val="27"/>
          <w:rtl/>
        </w:rPr>
        <w:t>بيننا.</w:t>
      </w:r>
      <w:r w:rsidR="000C7215" w:rsidRPr="006571AC">
        <w:rPr>
          <w:sz w:val="27"/>
          <w:rtl/>
        </w:rPr>
        <w:t xml:space="preserve"> و</w:t>
      </w:r>
      <w:r w:rsidR="000C7215" w:rsidRPr="006571AC">
        <w:rPr>
          <w:rFonts w:hint="cs"/>
          <w:sz w:val="27"/>
          <w:rtl/>
        </w:rPr>
        <w:t>هذا</w:t>
      </w:r>
      <w:r w:rsidR="000C7215" w:rsidRPr="006571AC">
        <w:rPr>
          <w:sz w:val="27"/>
          <w:rtl/>
        </w:rPr>
        <w:t xml:space="preserve"> </w:t>
      </w:r>
      <w:r w:rsidR="000C7215" w:rsidRPr="006571AC">
        <w:rPr>
          <w:rFonts w:hint="cs"/>
          <w:sz w:val="27"/>
          <w:rtl/>
        </w:rPr>
        <w:t>دليلٌ</w:t>
      </w:r>
      <w:r w:rsidR="000C7215" w:rsidRPr="006571AC">
        <w:rPr>
          <w:sz w:val="27"/>
          <w:rtl/>
        </w:rPr>
        <w:t xml:space="preserve"> </w:t>
      </w:r>
      <w:r w:rsidR="000C7215" w:rsidRPr="006571AC">
        <w:rPr>
          <w:rFonts w:hint="cs"/>
          <w:sz w:val="27"/>
          <w:rtl/>
        </w:rPr>
        <w:t>واضح</w:t>
      </w:r>
      <w:r w:rsidR="000C7215" w:rsidRPr="006571AC">
        <w:rPr>
          <w:sz w:val="27"/>
          <w:rtl/>
        </w:rPr>
        <w:t>.</w:t>
      </w:r>
    </w:p>
    <w:p w:rsidR="00237EB1" w:rsidRPr="006571AC" w:rsidRDefault="000C7215" w:rsidP="00841D16">
      <w:pPr>
        <w:spacing w:line="380" w:lineRule="exact"/>
        <w:rPr>
          <w:sz w:val="27"/>
          <w:rtl/>
        </w:rPr>
      </w:pPr>
      <w:r w:rsidRPr="006571AC">
        <w:rPr>
          <w:rFonts w:hint="cs"/>
          <w:sz w:val="27"/>
          <w:rtl/>
        </w:rPr>
        <w:t xml:space="preserve">وأما الحديث </w:t>
      </w:r>
      <w:r w:rsidR="00A431A7" w:rsidRPr="006571AC">
        <w:rPr>
          <w:rFonts w:hint="cs"/>
          <w:sz w:val="27"/>
          <w:rtl/>
        </w:rPr>
        <w:t>الذي</w:t>
      </w:r>
      <w:r w:rsidR="00A431A7" w:rsidRPr="006571AC">
        <w:rPr>
          <w:sz w:val="27"/>
          <w:rtl/>
        </w:rPr>
        <w:t xml:space="preserve"> </w:t>
      </w:r>
      <w:r w:rsidR="00A431A7" w:rsidRPr="006571AC">
        <w:rPr>
          <w:rFonts w:hint="cs"/>
          <w:sz w:val="27"/>
          <w:rtl/>
        </w:rPr>
        <w:t>رُوي</w:t>
      </w:r>
      <w:r w:rsidR="00A431A7" w:rsidRPr="006571AC">
        <w:rPr>
          <w:sz w:val="27"/>
          <w:rtl/>
        </w:rPr>
        <w:t xml:space="preserve"> </w:t>
      </w:r>
      <w:r w:rsidR="00A431A7" w:rsidRPr="006571AC">
        <w:rPr>
          <w:rFonts w:hint="cs"/>
          <w:sz w:val="27"/>
          <w:rtl/>
        </w:rPr>
        <w:t>عن</w:t>
      </w:r>
      <w:r w:rsidR="00A431A7" w:rsidRPr="006571AC">
        <w:rPr>
          <w:sz w:val="27"/>
          <w:rtl/>
        </w:rPr>
        <w:t xml:space="preserve"> </w:t>
      </w:r>
      <w:r w:rsidR="00A431A7" w:rsidRPr="006571AC">
        <w:rPr>
          <w:rFonts w:hint="cs"/>
          <w:sz w:val="27"/>
          <w:rtl/>
        </w:rPr>
        <w:t>الصادق</w:t>
      </w:r>
      <w:r w:rsidR="00A431A7" w:rsidRPr="006571AC">
        <w:rPr>
          <w:rFonts w:ascii="Mosawi" w:hAnsi="Mosawi" w:cs="Mosawi"/>
          <w:sz w:val="22"/>
          <w:szCs w:val="22"/>
          <w:rtl/>
        </w:rPr>
        <w:t>×</w:t>
      </w:r>
      <w:r w:rsidRPr="006571AC">
        <w:rPr>
          <w:rFonts w:hint="cs"/>
          <w:sz w:val="27"/>
          <w:rtl/>
        </w:rPr>
        <w:t xml:space="preserve"> أنه قال</w:t>
      </w:r>
      <w:r w:rsidR="00F67B2A" w:rsidRPr="006571AC">
        <w:rPr>
          <w:rFonts w:hint="cs"/>
          <w:sz w:val="27"/>
          <w:rtl/>
        </w:rPr>
        <w:t>:</w:t>
      </w:r>
      <w:r w:rsidR="00A431A7" w:rsidRPr="006571AC">
        <w:rPr>
          <w:sz w:val="27"/>
          <w:rtl/>
        </w:rPr>
        <w:t xml:space="preserve"> </w:t>
      </w:r>
      <w:r w:rsidR="00A431A7" w:rsidRPr="006571AC">
        <w:rPr>
          <w:rFonts w:hint="eastAsia"/>
          <w:sz w:val="24"/>
          <w:szCs w:val="24"/>
          <w:rtl/>
        </w:rPr>
        <w:t>«</w:t>
      </w:r>
      <w:r w:rsidR="00A431A7" w:rsidRPr="006571AC">
        <w:rPr>
          <w:rFonts w:hint="cs"/>
          <w:sz w:val="27"/>
          <w:rtl/>
        </w:rPr>
        <w:t>مَا</w:t>
      </w:r>
      <w:r w:rsidR="00A431A7" w:rsidRPr="006571AC">
        <w:rPr>
          <w:sz w:val="27"/>
          <w:rtl/>
        </w:rPr>
        <w:t xml:space="preserve"> </w:t>
      </w:r>
      <w:r w:rsidR="00A431A7" w:rsidRPr="006571AC">
        <w:rPr>
          <w:rFonts w:hint="cs"/>
          <w:sz w:val="27"/>
          <w:rtl/>
        </w:rPr>
        <w:t>زَوَّجَ</w:t>
      </w:r>
      <w:r w:rsidR="00A431A7" w:rsidRPr="006571AC">
        <w:rPr>
          <w:sz w:val="27"/>
          <w:rtl/>
        </w:rPr>
        <w:t xml:space="preserve"> </w:t>
      </w:r>
      <w:r w:rsidR="00A431A7" w:rsidRPr="006571AC">
        <w:rPr>
          <w:rFonts w:hint="cs"/>
          <w:sz w:val="27"/>
          <w:rtl/>
        </w:rPr>
        <w:t>رَسُولُ</w:t>
      </w:r>
      <w:r w:rsidR="00A431A7" w:rsidRPr="006571AC">
        <w:rPr>
          <w:sz w:val="27"/>
          <w:rtl/>
        </w:rPr>
        <w:t xml:space="preserve"> </w:t>
      </w:r>
      <w:r w:rsidR="00A431A7" w:rsidRPr="006571AC">
        <w:rPr>
          <w:rFonts w:hint="cs"/>
          <w:sz w:val="27"/>
          <w:rtl/>
        </w:rPr>
        <w:t>اللهِ</w:t>
      </w:r>
      <w:r w:rsidR="00A431A7" w:rsidRPr="006571AC">
        <w:rPr>
          <w:rFonts w:ascii="Mosawi" w:hAnsi="Mosawi" w:cs="Mosawi"/>
          <w:sz w:val="22"/>
          <w:szCs w:val="22"/>
          <w:rtl/>
        </w:rPr>
        <w:t>|</w:t>
      </w:r>
      <w:r w:rsidR="00A431A7" w:rsidRPr="006571AC">
        <w:rPr>
          <w:rFonts w:hint="cs"/>
          <w:sz w:val="27"/>
          <w:rtl/>
        </w:rPr>
        <w:t xml:space="preserve"> سَائِرَ</w:t>
      </w:r>
      <w:r w:rsidR="00A431A7" w:rsidRPr="006571AC">
        <w:rPr>
          <w:sz w:val="27"/>
          <w:rtl/>
        </w:rPr>
        <w:t xml:space="preserve"> </w:t>
      </w:r>
      <w:r w:rsidR="00A431A7" w:rsidRPr="006571AC">
        <w:rPr>
          <w:rFonts w:hint="cs"/>
          <w:sz w:val="27"/>
          <w:rtl/>
        </w:rPr>
        <w:t>بَنَاتِهِ</w:t>
      </w:r>
      <w:r w:rsidR="00F67B2A" w:rsidRPr="006571AC">
        <w:rPr>
          <w:rFonts w:hint="cs"/>
          <w:sz w:val="27"/>
          <w:rtl/>
        </w:rPr>
        <w:t>،</w:t>
      </w:r>
      <w:r w:rsidR="00A431A7" w:rsidRPr="006571AC">
        <w:rPr>
          <w:sz w:val="27"/>
          <w:rtl/>
        </w:rPr>
        <w:t xml:space="preserve"> و</w:t>
      </w:r>
      <w:r w:rsidR="00F67B2A" w:rsidRPr="006571AC">
        <w:rPr>
          <w:rFonts w:hint="cs"/>
          <w:sz w:val="27"/>
          <w:rtl/>
        </w:rPr>
        <w:t>ل</w:t>
      </w:r>
      <w:r w:rsidR="00A431A7" w:rsidRPr="006571AC">
        <w:rPr>
          <w:rFonts w:hint="cs"/>
          <w:sz w:val="27"/>
          <w:rtl/>
        </w:rPr>
        <w:t>ا</w:t>
      </w:r>
      <w:r w:rsidR="00F67B2A" w:rsidRPr="006571AC">
        <w:rPr>
          <w:rFonts w:hint="cs"/>
          <w:sz w:val="27"/>
          <w:rtl/>
        </w:rPr>
        <w:t>َ</w:t>
      </w:r>
      <w:r w:rsidR="00A431A7" w:rsidRPr="006571AC">
        <w:rPr>
          <w:sz w:val="27"/>
          <w:rtl/>
        </w:rPr>
        <w:t xml:space="preserve"> </w:t>
      </w:r>
      <w:r w:rsidR="00A431A7" w:rsidRPr="006571AC">
        <w:rPr>
          <w:rFonts w:hint="cs"/>
          <w:sz w:val="27"/>
          <w:rtl/>
        </w:rPr>
        <w:t>تَزَوَّجَ</w:t>
      </w:r>
      <w:r w:rsidR="00A431A7" w:rsidRPr="006571AC">
        <w:rPr>
          <w:sz w:val="27"/>
          <w:rtl/>
        </w:rPr>
        <w:t xml:space="preserve"> </w:t>
      </w:r>
      <w:r w:rsidR="00A431A7" w:rsidRPr="006571AC">
        <w:rPr>
          <w:rFonts w:hint="cs"/>
          <w:sz w:val="27"/>
          <w:rtl/>
        </w:rPr>
        <w:t>شَيْئاً</w:t>
      </w:r>
      <w:r w:rsidR="00A431A7" w:rsidRPr="006571AC">
        <w:rPr>
          <w:sz w:val="27"/>
          <w:rtl/>
        </w:rPr>
        <w:t xml:space="preserve"> </w:t>
      </w:r>
      <w:r w:rsidR="00A431A7" w:rsidRPr="006571AC">
        <w:rPr>
          <w:rFonts w:hint="cs"/>
          <w:sz w:val="27"/>
          <w:rtl/>
        </w:rPr>
        <w:t>مِنْ</w:t>
      </w:r>
      <w:r w:rsidR="00A431A7" w:rsidRPr="006571AC">
        <w:rPr>
          <w:sz w:val="27"/>
          <w:rtl/>
        </w:rPr>
        <w:t xml:space="preserve"> </w:t>
      </w:r>
      <w:r w:rsidR="00A431A7" w:rsidRPr="006571AC">
        <w:rPr>
          <w:rFonts w:hint="cs"/>
          <w:sz w:val="27"/>
          <w:rtl/>
        </w:rPr>
        <w:t>نِسَائِهِ</w:t>
      </w:r>
      <w:r w:rsidR="00F67B2A" w:rsidRPr="006571AC">
        <w:rPr>
          <w:rFonts w:hint="cs"/>
          <w:sz w:val="27"/>
          <w:rtl/>
        </w:rPr>
        <w:t>،</w:t>
      </w:r>
      <w:r w:rsidR="00A431A7" w:rsidRPr="006571AC">
        <w:rPr>
          <w:sz w:val="27"/>
          <w:rtl/>
        </w:rPr>
        <w:t xml:space="preserve"> </w:t>
      </w:r>
      <w:r w:rsidR="00A431A7" w:rsidRPr="006571AC">
        <w:rPr>
          <w:rFonts w:hint="cs"/>
          <w:sz w:val="27"/>
          <w:rtl/>
        </w:rPr>
        <w:t>عَلَى</w:t>
      </w:r>
      <w:r w:rsidR="00A431A7" w:rsidRPr="006571AC">
        <w:rPr>
          <w:sz w:val="27"/>
          <w:rtl/>
        </w:rPr>
        <w:t xml:space="preserve"> </w:t>
      </w:r>
      <w:r w:rsidR="00A431A7" w:rsidRPr="006571AC">
        <w:rPr>
          <w:rFonts w:hint="cs"/>
          <w:sz w:val="27"/>
          <w:rtl/>
        </w:rPr>
        <w:t>أَكْثَرَ</w:t>
      </w:r>
      <w:r w:rsidR="00A431A7" w:rsidRPr="006571AC">
        <w:rPr>
          <w:sz w:val="27"/>
          <w:rtl/>
        </w:rPr>
        <w:t xml:space="preserve"> </w:t>
      </w:r>
      <w:r w:rsidR="00A431A7" w:rsidRPr="006571AC">
        <w:rPr>
          <w:rFonts w:hint="cs"/>
          <w:sz w:val="27"/>
          <w:rtl/>
        </w:rPr>
        <w:t>مِنِ</w:t>
      </w:r>
      <w:r w:rsidR="00A431A7" w:rsidRPr="006571AC">
        <w:rPr>
          <w:sz w:val="27"/>
          <w:rtl/>
        </w:rPr>
        <w:t xml:space="preserve"> </w:t>
      </w:r>
      <w:r w:rsidR="00A431A7" w:rsidRPr="006571AC">
        <w:rPr>
          <w:rFonts w:hint="cs"/>
          <w:sz w:val="27"/>
          <w:rtl/>
        </w:rPr>
        <w:t>اثْنَتَيْ</w:t>
      </w:r>
      <w:r w:rsidR="00A431A7" w:rsidRPr="006571AC">
        <w:rPr>
          <w:sz w:val="27"/>
          <w:rtl/>
        </w:rPr>
        <w:t xml:space="preserve"> </w:t>
      </w:r>
      <w:r w:rsidR="00A431A7" w:rsidRPr="006571AC">
        <w:rPr>
          <w:rFonts w:hint="cs"/>
          <w:sz w:val="27"/>
          <w:rtl/>
        </w:rPr>
        <w:t>عَشْرَةَ</w:t>
      </w:r>
      <w:r w:rsidR="00A431A7" w:rsidRPr="006571AC">
        <w:rPr>
          <w:sz w:val="27"/>
          <w:rtl/>
        </w:rPr>
        <w:t xml:space="preserve"> </w:t>
      </w:r>
      <w:r w:rsidR="00A431A7" w:rsidRPr="006571AC">
        <w:rPr>
          <w:rFonts w:hint="cs"/>
          <w:sz w:val="27"/>
          <w:rtl/>
        </w:rPr>
        <w:t>أوقِيَّةً</w:t>
      </w:r>
      <w:r w:rsidR="00A431A7" w:rsidRPr="006571AC">
        <w:rPr>
          <w:sz w:val="27"/>
          <w:rtl/>
        </w:rPr>
        <w:t xml:space="preserve"> و</w:t>
      </w:r>
      <w:r w:rsidR="00A431A7" w:rsidRPr="006571AC">
        <w:rPr>
          <w:rFonts w:hint="cs"/>
          <w:sz w:val="27"/>
          <w:rtl/>
        </w:rPr>
        <w:t>نَشٍّ</w:t>
      </w:r>
      <w:r w:rsidR="00F67B2A" w:rsidRPr="006571AC">
        <w:rPr>
          <w:rFonts w:hint="cs"/>
          <w:sz w:val="27"/>
          <w:rtl/>
        </w:rPr>
        <w:t>.</w:t>
      </w:r>
      <w:r w:rsidR="00A431A7" w:rsidRPr="006571AC">
        <w:rPr>
          <w:sz w:val="27"/>
          <w:rtl/>
        </w:rPr>
        <w:t xml:space="preserve"> </w:t>
      </w:r>
      <w:r w:rsidR="00F67B2A" w:rsidRPr="006571AC">
        <w:rPr>
          <w:rFonts w:hint="cs"/>
          <w:sz w:val="27"/>
          <w:rtl/>
        </w:rPr>
        <w:t>ال</w:t>
      </w:r>
      <w:r w:rsidR="00A431A7" w:rsidRPr="006571AC">
        <w:rPr>
          <w:rFonts w:hint="cs"/>
          <w:sz w:val="27"/>
          <w:rtl/>
        </w:rPr>
        <w:t>أوقِيَّةُ</w:t>
      </w:r>
      <w:r w:rsidR="00A431A7" w:rsidRPr="006571AC">
        <w:rPr>
          <w:sz w:val="27"/>
          <w:rtl/>
        </w:rPr>
        <w:t xml:space="preserve"> </w:t>
      </w:r>
      <w:r w:rsidR="00A431A7" w:rsidRPr="006571AC">
        <w:rPr>
          <w:rFonts w:hint="cs"/>
          <w:sz w:val="27"/>
          <w:rtl/>
        </w:rPr>
        <w:t>أَرْبَعُونَ</w:t>
      </w:r>
      <w:r w:rsidR="00F67B2A" w:rsidRPr="006571AC">
        <w:rPr>
          <w:rFonts w:hint="cs"/>
          <w:sz w:val="27"/>
          <w:rtl/>
        </w:rPr>
        <w:t>،</w:t>
      </w:r>
      <w:r w:rsidR="00A431A7" w:rsidRPr="006571AC">
        <w:rPr>
          <w:sz w:val="27"/>
          <w:rtl/>
        </w:rPr>
        <w:t xml:space="preserve"> و</w:t>
      </w:r>
      <w:r w:rsidR="00A431A7" w:rsidRPr="006571AC">
        <w:rPr>
          <w:rFonts w:hint="cs"/>
          <w:sz w:val="27"/>
          <w:rtl/>
        </w:rPr>
        <w:t>النَّشُّ</w:t>
      </w:r>
      <w:r w:rsidR="00A431A7" w:rsidRPr="006571AC">
        <w:rPr>
          <w:sz w:val="27"/>
          <w:rtl/>
        </w:rPr>
        <w:t xml:space="preserve"> </w:t>
      </w:r>
      <w:r w:rsidR="00A431A7" w:rsidRPr="006571AC">
        <w:rPr>
          <w:rFonts w:hint="cs"/>
          <w:sz w:val="27"/>
          <w:rtl/>
        </w:rPr>
        <w:t>عِشْرُونَ</w:t>
      </w:r>
      <w:r w:rsidR="00A431A7" w:rsidRPr="006571AC">
        <w:rPr>
          <w:sz w:val="27"/>
          <w:rtl/>
        </w:rPr>
        <w:t xml:space="preserve"> </w:t>
      </w:r>
      <w:r w:rsidR="00A431A7" w:rsidRPr="006571AC">
        <w:rPr>
          <w:rFonts w:hint="cs"/>
          <w:sz w:val="27"/>
          <w:rtl/>
        </w:rPr>
        <w:t>دِرْهَماً</w:t>
      </w:r>
      <w:r w:rsidR="00A431A7" w:rsidRPr="006571AC">
        <w:rPr>
          <w:rFonts w:hint="eastAsia"/>
          <w:sz w:val="24"/>
          <w:szCs w:val="24"/>
          <w:rtl/>
        </w:rPr>
        <w:t>»</w:t>
      </w:r>
      <w:r w:rsidR="00A431A7" w:rsidRPr="006571AC">
        <w:rPr>
          <w:sz w:val="27"/>
          <w:vertAlign w:val="superscript"/>
          <w:rtl/>
        </w:rPr>
        <w:t>(</w:t>
      </w:r>
      <w:r w:rsidR="00A431A7" w:rsidRPr="006571AC">
        <w:rPr>
          <w:sz w:val="27"/>
          <w:vertAlign w:val="superscript"/>
          <w:rtl/>
        </w:rPr>
        <w:endnoteReference w:id="447"/>
      </w:r>
      <w:r w:rsidR="00A431A7" w:rsidRPr="006571AC">
        <w:rPr>
          <w:sz w:val="27"/>
          <w:vertAlign w:val="superscript"/>
          <w:rtl/>
        </w:rPr>
        <w:t>)</w:t>
      </w:r>
      <w:r w:rsidR="00F67B2A" w:rsidRPr="006571AC">
        <w:rPr>
          <w:rFonts w:hint="cs"/>
          <w:sz w:val="27"/>
          <w:rtl/>
        </w:rPr>
        <w:t>،</w:t>
      </w:r>
      <w:r w:rsidR="00237EB1" w:rsidRPr="006571AC">
        <w:rPr>
          <w:rFonts w:hint="cs"/>
          <w:sz w:val="27"/>
          <w:rtl/>
        </w:rPr>
        <w:t xml:space="preserve"> </w:t>
      </w:r>
      <w:r w:rsidR="00F67B2A" w:rsidRPr="006571AC">
        <w:rPr>
          <w:rFonts w:hint="cs"/>
          <w:sz w:val="27"/>
          <w:rtl/>
        </w:rPr>
        <w:t>فكان</w:t>
      </w:r>
      <w:r w:rsidR="00F67B2A" w:rsidRPr="006571AC">
        <w:rPr>
          <w:sz w:val="27"/>
          <w:rtl/>
        </w:rPr>
        <w:t xml:space="preserve"> </w:t>
      </w:r>
      <w:r w:rsidR="00F67B2A" w:rsidRPr="006571AC">
        <w:rPr>
          <w:rFonts w:hint="cs"/>
          <w:sz w:val="27"/>
          <w:rtl/>
        </w:rPr>
        <w:t>ذلك</w:t>
      </w:r>
      <w:r w:rsidR="00F67B2A" w:rsidRPr="006571AC">
        <w:rPr>
          <w:sz w:val="27"/>
          <w:rtl/>
        </w:rPr>
        <w:t xml:space="preserve"> </w:t>
      </w:r>
      <w:r w:rsidR="00F67B2A" w:rsidRPr="006571AC">
        <w:rPr>
          <w:rFonts w:hint="cs"/>
          <w:sz w:val="27"/>
          <w:rtl/>
        </w:rPr>
        <w:t>خمسمائة</w:t>
      </w:r>
      <w:r w:rsidR="00F67B2A" w:rsidRPr="006571AC">
        <w:rPr>
          <w:sz w:val="27"/>
          <w:rtl/>
        </w:rPr>
        <w:t xml:space="preserve"> </w:t>
      </w:r>
      <w:r w:rsidRPr="006571AC">
        <w:rPr>
          <w:rFonts w:hint="cs"/>
          <w:sz w:val="27"/>
          <w:rtl/>
        </w:rPr>
        <w:t>درهم، ف</w:t>
      </w:r>
      <w:r w:rsidR="00237EB1" w:rsidRPr="006571AC">
        <w:rPr>
          <w:rFonts w:hint="cs"/>
          <w:sz w:val="27"/>
          <w:rtl/>
        </w:rPr>
        <w:t>لا</w:t>
      </w:r>
      <w:r w:rsidR="00237EB1" w:rsidRPr="006571AC">
        <w:rPr>
          <w:sz w:val="27"/>
          <w:rtl/>
        </w:rPr>
        <w:t xml:space="preserve"> </w:t>
      </w:r>
      <w:r w:rsidR="00237EB1" w:rsidRPr="006571AC">
        <w:rPr>
          <w:rFonts w:hint="cs"/>
          <w:sz w:val="27"/>
          <w:rtl/>
        </w:rPr>
        <w:t>ينقض</w:t>
      </w:r>
      <w:r w:rsidR="00237EB1" w:rsidRPr="006571AC">
        <w:rPr>
          <w:sz w:val="27"/>
          <w:rtl/>
        </w:rPr>
        <w:t xml:space="preserve"> </w:t>
      </w:r>
      <w:r w:rsidR="00237EB1" w:rsidRPr="006571AC">
        <w:rPr>
          <w:rFonts w:hint="cs"/>
          <w:sz w:val="27"/>
          <w:rtl/>
        </w:rPr>
        <w:t>ما</w:t>
      </w:r>
      <w:r w:rsidR="00237EB1" w:rsidRPr="006571AC">
        <w:rPr>
          <w:sz w:val="27"/>
          <w:rtl/>
        </w:rPr>
        <w:t xml:space="preserve"> </w:t>
      </w:r>
      <w:r w:rsidR="00237EB1" w:rsidRPr="006571AC">
        <w:rPr>
          <w:rFonts w:hint="cs"/>
          <w:sz w:val="27"/>
          <w:rtl/>
        </w:rPr>
        <w:t>ذكر</w:t>
      </w:r>
      <w:r w:rsidR="00886947" w:rsidRPr="006571AC">
        <w:rPr>
          <w:rFonts w:hint="cs"/>
          <w:sz w:val="27"/>
          <w:rtl/>
        </w:rPr>
        <w:t>ناه؛</w:t>
      </w:r>
      <w:r w:rsidR="00237EB1" w:rsidRPr="006571AC">
        <w:rPr>
          <w:sz w:val="27"/>
          <w:rtl/>
        </w:rPr>
        <w:t xml:space="preserve"> </w:t>
      </w:r>
      <w:r w:rsidR="00237EB1" w:rsidRPr="006571AC">
        <w:rPr>
          <w:rFonts w:hint="cs"/>
          <w:sz w:val="27"/>
          <w:rtl/>
        </w:rPr>
        <w:t>لأن</w:t>
      </w:r>
      <w:r w:rsidR="00237EB1" w:rsidRPr="006571AC">
        <w:rPr>
          <w:sz w:val="27"/>
          <w:rtl/>
        </w:rPr>
        <w:t xml:space="preserve"> </w:t>
      </w:r>
      <w:r w:rsidR="00237EB1" w:rsidRPr="006571AC">
        <w:rPr>
          <w:rFonts w:hint="cs"/>
          <w:sz w:val="27"/>
          <w:rtl/>
        </w:rPr>
        <w:t>رسول</w:t>
      </w:r>
      <w:r w:rsidR="00237EB1" w:rsidRPr="006571AC">
        <w:rPr>
          <w:sz w:val="27"/>
          <w:rtl/>
        </w:rPr>
        <w:t xml:space="preserve"> </w:t>
      </w:r>
      <w:r w:rsidR="00237EB1" w:rsidRPr="006571AC">
        <w:rPr>
          <w:rFonts w:hint="cs"/>
          <w:sz w:val="27"/>
          <w:rtl/>
        </w:rPr>
        <w:t>الله</w:t>
      </w:r>
      <w:r w:rsidR="002A2C90" w:rsidRPr="006571AC">
        <w:rPr>
          <w:rFonts w:ascii="Mosawi" w:hAnsi="Mosawi" w:cs="Mosawi"/>
          <w:sz w:val="22"/>
          <w:szCs w:val="22"/>
          <w:rtl/>
        </w:rPr>
        <w:t>|</w:t>
      </w:r>
      <w:r w:rsidR="00237EB1" w:rsidRPr="006571AC">
        <w:rPr>
          <w:sz w:val="27"/>
          <w:rtl/>
        </w:rPr>
        <w:t xml:space="preserve"> </w:t>
      </w:r>
      <w:r w:rsidR="00237EB1" w:rsidRPr="006571AC">
        <w:rPr>
          <w:rFonts w:hint="cs"/>
          <w:sz w:val="27"/>
          <w:rtl/>
        </w:rPr>
        <w:t>فعله</w:t>
      </w:r>
      <w:r w:rsidR="00237EB1" w:rsidRPr="006571AC">
        <w:rPr>
          <w:sz w:val="27"/>
          <w:rtl/>
        </w:rPr>
        <w:t xml:space="preserve"> </w:t>
      </w:r>
      <w:r w:rsidR="00237EB1" w:rsidRPr="006571AC">
        <w:rPr>
          <w:rFonts w:hint="cs"/>
          <w:sz w:val="27"/>
          <w:rtl/>
        </w:rPr>
        <w:t>استحباباً</w:t>
      </w:r>
      <w:r w:rsidR="001D2F43" w:rsidRPr="006571AC">
        <w:rPr>
          <w:rFonts w:hint="cs"/>
          <w:sz w:val="27"/>
          <w:rtl/>
        </w:rPr>
        <w:t>،</w:t>
      </w:r>
      <w:r w:rsidR="00237EB1" w:rsidRPr="006571AC">
        <w:rPr>
          <w:sz w:val="27"/>
          <w:rtl/>
        </w:rPr>
        <w:t xml:space="preserve"> </w:t>
      </w:r>
      <w:r w:rsidR="00237EB1" w:rsidRPr="006571AC">
        <w:rPr>
          <w:rFonts w:hint="cs"/>
          <w:sz w:val="27"/>
          <w:rtl/>
        </w:rPr>
        <w:t>بل</w:t>
      </w:r>
      <w:r w:rsidR="00237EB1" w:rsidRPr="006571AC">
        <w:rPr>
          <w:sz w:val="27"/>
          <w:rtl/>
        </w:rPr>
        <w:t xml:space="preserve"> </w:t>
      </w:r>
      <w:r w:rsidR="00237EB1" w:rsidRPr="006571AC">
        <w:rPr>
          <w:rFonts w:hint="cs"/>
          <w:sz w:val="27"/>
          <w:rtl/>
        </w:rPr>
        <w:t>تواضعاً</w:t>
      </w:r>
      <w:r w:rsidR="00237EB1" w:rsidRPr="006571AC">
        <w:rPr>
          <w:sz w:val="27"/>
          <w:rtl/>
        </w:rPr>
        <w:t xml:space="preserve"> </w:t>
      </w:r>
      <w:r w:rsidR="00237EB1" w:rsidRPr="006571AC">
        <w:rPr>
          <w:rFonts w:hint="cs"/>
          <w:sz w:val="27"/>
          <w:rtl/>
        </w:rPr>
        <w:t>لله</w:t>
      </w:r>
      <w:r w:rsidR="00237EB1" w:rsidRPr="006571AC">
        <w:rPr>
          <w:sz w:val="27"/>
          <w:rtl/>
        </w:rPr>
        <w:t xml:space="preserve"> </w:t>
      </w:r>
      <w:r w:rsidR="00237EB1" w:rsidRPr="006571AC">
        <w:rPr>
          <w:rFonts w:hint="cs"/>
          <w:sz w:val="27"/>
          <w:rtl/>
        </w:rPr>
        <w:t>تعالى</w:t>
      </w:r>
      <w:r w:rsidR="00886947" w:rsidRPr="006571AC">
        <w:rPr>
          <w:rFonts w:hint="cs"/>
          <w:sz w:val="27"/>
          <w:rtl/>
        </w:rPr>
        <w:t>،</w:t>
      </w:r>
      <w:r w:rsidR="00237EB1" w:rsidRPr="006571AC">
        <w:rPr>
          <w:sz w:val="27"/>
          <w:rtl/>
        </w:rPr>
        <w:t xml:space="preserve"> و</w:t>
      </w:r>
      <w:r w:rsidR="00237EB1" w:rsidRPr="006571AC">
        <w:rPr>
          <w:rFonts w:hint="cs"/>
          <w:sz w:val="27"/>
          <w:rtl/>
        </w:rPr>
        <w:t>رحمة</w:t>
      </w:r>
      <w:r w:rsidR="001D2F43" w:rsidRPr="006571AC">
        <w:rPr>
          <w:rFonts w:hint="cs"/>
          <w:sz w:val="27"/>
          <w:rtl/>
        </w:rPr>
        <w:t>ً</w:t>
      </w:r>
      <w:r w:rsidR="00237EB1" w:rsidRPr="006571AC">
        <w:rPr>
          <w:sz w:val="27"/>
          <w:rtl/>
        </w:rPr>
        <w:t xml:space="preserve"> </w:t>
      </w:r>
      <w:r w:rsidR="00237EB1" w:rsidRPr="006571AC">
        <w:rPr>
          <w:rFonts w:hint="cs"/>
          <w:sz w:val="27"/>
          <w:rtl/>
        </w:rPr>
        <w:t>على</w:t>
      </w:r>
      <w:r w:rsidR="00237EB1" w:rsidRPr="006571AC">
        <w:rPr>
          <w:sz w:val="27"/>
          <w:rtl/>
        </w:rPr>
        <w:t xml:space="preserve"> </w:t>
      </w:r>
      <w:r w:rsidR="00237EB1" w:rsidRPr="006571AC">
        <w:rPr>
          <w:rFonts w:hint="cs"/>
          <w:sz w:val="27"/>
          <w:rtl/>
        </w:rPr>
        <w:t>أم</w:t>
      </w:r>
      <w:r w:rsidR="001D2F43" w:rsidRPr="006571AC">
        <w:rPr>
          <w:rFonts w:hint="cs"/>
          <w:sz w:val="27"/>
          <w:rtl/>
        </w:rPr>
        <w:t>ّ</w:t>
      </w:r>
      <w:r w:rsidR="00237EB1" w:rsidRPr="006571AC">
        <w:rPr>
          <w:rFonts w:hint="cs"/>
          <w:sz w:val="27"/>
          <w:rtl/>
        </w:rPr>
        <w:t>ته</w:t>
      </w:r>
      <w:r w:rsidR="00886947" w:rsidRPr="006571AC">
        <w:rPr>
          <w:rFonts w:hint="cs"/>
          <w:sz w:val="27"/>
          <w:rtl/>
        </w:rPr>
        <w:t>؛</w:t>
      </w:r>
      <w:r w:rsidR="00237EB1" w:rsidRPr="006571AC">
        <w:rPr>
          <w:sz w:val="27"/>
          <w:rtl/>
        </w:rPr>
        <w:t xml:space="preserve"> </w:t>
      </w:r>
      <w:r w:rsidR="00237EB1" w:rsidRPr="006571AC">
        <w:rPr>
          <w:rFonts w:hint="cs"/>
          <w:sz w:val="27"/>
          <w:rtl/>
        </w:rPr>
        <w:t>ليؤجر</w:t>
      </w:r>
      <w:r w:rsidR="00886947" w:rsidRPr="006571AC">
        <w:rPr>
          <w:rFonts w:hint="cs"/>
          <w:sz w:val="27"/>
          <w:rtl/>
        </w:rPr>
        <w:t xml:space="preserve"> المقتدي به</w:t>
      </w:r>
      <w:r w:rsidR="00237EB1" w:rsidRPr="006571AC">
        <w:rPr>
          <w:sz w:val="27"/>
          <w:vertAlign w:val="superscript"/>
          <w:rtl/>
        </w:rPr>
        <w:t>(</w:t>
      </w:r>
      <w:r w:rsidR="00237EB1" w:rsidRPr="006571AC">
        <w:rPr>
          <w:sz w:val="27"/>
          <w:vertAlign w:val="superscript"/>
          <w:rtl/>
        </w:rPr>
        <w:endnoteReference w:id="448"/>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37EB1" w:rsidRPr="006571AC" w:rsidRDefault="00940A03" w:rsidP="00841D16">
      <w:pPr>
        <w:rPr>
          <w:sz w:val="27"/>
          <w:rtl/>
        </w:rPr>
      </w:pPr>
      <w:r w:rsidRPr="006571AC">
        <w:rPr>
          <w:rFonts w:hint="cs"/>
          <w:sz w:val="27"/>
          <w:rtl/>
        </w:rPr>
        <w:t>ف</w:t>
      </w:r>
      <w:r w:rsidR="00237EB1" w:rsidRPr="006571AC">
        <w:rPr>
          <w:rFonts w:hint="cs"/>
          <w:sz w:val="27"/>
          <w:rtl/>
        </w:rPr>
        <w:t>تبين أنه لا خلاف عند فقهاء ال</w:t>
      </w:r>
      <w:r w:rsidRPr="006571AC">
        <w:rPr>
          <w:rFonts w:hint="cs"/>
          <w:sz w:val="27"/>
          <w:rtl/>
        </w:rPr>
        <w:t>إ</w:t>
      </w:r>
      <w:r w:rsidR="00237EB1" w:rsidRPr="006571AC">
        <w:rPr>
          <w:rFonts w:hint="cs"/>
          <w:sz w:val="27"/>
          <w:rtl/>
        </w:rPr>
        <w:t>مامية في عدم تحديد المهر من حيث القل</w:t>
      </w:r>
      <w:r w:rsidRPr="006571AC">
        <w:rPr>
          <w:rFonts w:hint="cs"/>
          <w:sz w:val="27"/>
          <w:rtl/>
        </w:rPr>
        <w:t>ّ</w:t>
      </w:r>
      <w:r w:rsidR="00237EB1" w:rsidRPr="006571AC">
        <w:rPr>
          <w:rFonts w:hint="cs"/>
          <w:sz w:val="27"/>
          <w:rtl/>
        </w:rPr>
        <w:t>ة</w:t>
      </w:r>
      <w:r w:rsidRPr="006571AC">
        <w:rPr>
          <w:rFonts w:hint="cs"/>
          <w:sz w:val="27"/>
          <w:rtl/>
        </w:rPr>
        <w:t>.</w:t>
      </w:r>
      <w:r w:rsidR="00237EB1" w:rsidRPr="006571AC">
        <w:rPr>
          <w:rFonts w:hint="cs"/>
          <w:sz w:val="27"/>
          <w:rtl/>
        </w:rPr>
        <w:t xml:space="preserve"> نعم</w:t>
      </w:r>
      <w:r w:rsidRPr="006571AC">
        <w:rPr>
          <w:rFonts w:hint="cs"/>
          <w:sz w:val="27"/>
          <w:rtl/>
        </w:rPr>
        <w:t>،</w:t>
      </w:r>
      <w:r w:rsidR="00237EB1" w:rsidRPr="006571AC">
        <w:rPr>
          <w:rFonts w:hint="cs"/>
          <w:sz w:val="27"/>
          <w:rtl/>
        </w:rPr>
        <w:t xml:space="preserve"> وقع الخلاف عند المذاهب ال</w:t>
      </w:r>
      <w:r w:rsidRPr="006571AC">
        <w:rPr>
          <w:rFonts w:hint="cs"/>
          <w:sz w:val="27"/>
          <w:rtl/>
        </w:rPr>
        <w:t>إ</w:t>
      </w:r>
      <w:r w:rsidR="00237EB1" w:rsidRPr="006571AC">
        <w:rPr>
          <w:rFonts w:hint="cs"/>
          <w:sz w:val="27"/>
          <w:rtl/>
        </w:rPr>
        <w:t>سلامية الأخرى</w:t>
      </w:r>
      <w:r w:rsidRPr="006571AC">
        <w:rPr>
          <w:rFonts w:hint="cs"/>
          <w:sz w:val="27"/>
          <w:rtl/>
        </w:rPr>
        <w:t>؛</w:t>
      </w:r>
      <w:r w:rsidR="00237EB1" w:rsidRPr="006571AC">
        <w:rPr>
          <w:rFonts w:hint="cs"/>
          <w:sz w:val="27"/>
          <w:rtl/>
        </w:rPr>
        <w:t xml:space="preserve"> فمنهم</w:t>
      </w:r>
      <w:r w:rsidR="00841D16" w:rsidRPr="006571AC">
        <w:rPr>
          <w:rFonts w:hint="cs"/>
          <w:sz w:val="27"/>
          <w:rtl/>
        </w:rPr>
        <w:t>:</w:t>
      </w:r>
      <w:r w:rsidR="00237EB1" w:rsidRPr="006571AC">
        <w:rPr>
          <w:rFonts w:hint="cs"/>
          <w:sz w:val="27"/>
          <w:rtl/>
        </w:rPr>
        <w:t xml:space="preserve"> م</w:t>
      </w:r>
      <w:r w:rsidRPr="006571AC">
        <w:rPr>
          <w:rFonts w:hint="cs"/>
          <w:sz w:val="27"/>
          <w:rtl/>
        </w:rPr>
        <w:t>َ</w:t>
      </w:r>
      <w:r w:rsidR="00237EB1" w:rsidRPr="006571AC">
        <w:rPr>
          <w:rFonts w:hint="cs"/>
          <w:sz w:val="27"/>
          <w:rtl/>
        </w:rPr>
        <w:t>ن</w:t>
      </w:r>
      <w:r w:rsidRPr="006571AC">
        <w:rPr>
          <w:rFonts w:hint="cs"/>
          <w:sz w:val="27"/>
          <w:rtl/>
        </w:rPr>
        <w:t>ْ</w:t>
      </w:r>
      <w:r w:rsidR="00237EB1" w:rsidRPr="006571AC">
        <w:rPr>
          <w:rFonts w:hint="cs"/>
          <w:sz w:val="27"/>
          <w:rtl/>
        </w:rPr>
        <w:t xml:space="preserve"> ذهب </w:t>
      </w:r>
      <w:r w:rsidRPr="006571AC">
        <w:rPr>
          <w:rFonts w:hint="cs"/>
          <w:sz w:val="27"/>
          <w:rtl/>
        </w:rPr>
        <w:t>إ</w:t>
      </w:r>
      <w:r w:rsidR="00237EB1" w:rsidRPr="006571AC">
        <w:rPr>
          <w:rFonts w:hint="cs"/>
          <w:sz w:val="27"/>
          <w:rtl/>
        </w:rPr>
        <w:t>لى تحديده</w:t>
      </w:r>
      <w:r w:rsidRPr="006571AC">
        <w:rPr>
          <w:rFonts w:hint="cs"/>
          <w:sz w:val="27"/>
          <w:rtl/>
        </w:rPr>
        <w:t>؛</w:t>
      </w:r>
      <w:r w:rsidR="00237EB1" w:rsidRPr="006571AC">
        <w:rPr>
          <w:rFonts w:hint="cs"/>
          <w:sz w:val="27"/>
          <w:rtl/>
        </w:rPr>
        <w:t xml:space="preserve"> </w:t>
      </w:r>
      <w:r w:rsidRPr="006571AC">
        <w:rPr>
          <w:rFonts w:hint="cs"/>
          <w:sz w:val="27"/>
          <w:rtl/>
        </w:rPr>
        <w:t>و</w:t>
      </w:r>
      <w:r w:rsidR="00237EB1" w:rsidRPr="006571AC">
        <w:rPr>
          <w:rFonts w:hint="cs"/>
          <w:sz w:val="27"/>
          <w:rtl/>
        </w:rPr>
        <w:t>م</w:t>
      </w:r>
      <w:r w:rsidRPr="006571AC">
        <w:rPr>
          <w:rFonts w:hint="cs"/>
          <w:sz w:val="27"/>
          <w:rtl/>
        </w:rPr>
        <w:t>َ</w:t>
      </w:r>
      <w:r w:rsidR="00237EB1" w:rsidRPr="006571AC">
        <w:rPr>
          <w:rFonts w:hint="cs"/>
          <w:sz w:val="27"/>
          <w:rtl/>
        </w:rPr>
        <w:t>ن</w:t>
      </w:r>
      <w:r w:rsidRPr="006571AC">
        <w:rPr>
          <w:rFonts w:hint="cs"/>
          <w:sz w:val="27"/>
          <w:rtl/>
        </w:rPr>
        <w:t>ْ</w:t>
      </w:r>
      <w:r w:rsidR="00237EB1" w:rsidRPr="006571AC">
        <w:rPr>
          <w:rFonts w:hint="cs"/>
          <w:sz w:val="27"/>
          <w:rtl/>
        </w:rPr>
        <w:t xml:space="preserve"> اختلف في تحديده اختلف في مقداره. </w:t>
      </w:r>
    </w:p>
    <w:p w:rsidR="00237EB1" w:rsidRPr="006571AC" w:rsidRDefault="00237EB1" w:rsidP="00841D16">
      <w:pPr>
        <w:spacing w:line="360" w:lineRule="exact"/>
        <w:rPr>
          <w:sz w:val="27"/>
          <w:rtl/>
        </w:rPr>
      </w:pPr>
    </w:p>
    <w:p w:rsidR="00237EB1" w:rsidRPr="006571AC" w:rsidRDefault="00D93C0C" w:rsidP="0022224E">
      <w:pPr>
        <w:pStyle w:val="31"/>
        <w:rPr>
          <w:color w:val="auto"/>
          <w:rtl/>
        </w:rPr>
      </w:pPr>
      <w:bookmarkStart w:id="267" w:name="_Toc79281933"/>
      <w:bookmarkStart w:id="268" w:name="_Toc114164709"/>
      <w:r w:rsidRPr="006571AC">
        <w:rPr>
          <w:rFonts w:hint="cs"/>
          <w:color w:val="auto"/>
          <w:rtl/>
        </w:rPr>
        <w:t xml:space="preserve">ب ـ </w:t>
      </w:r>
      <w:r w:rsidR="00237EB1" w:rsidRPr="006571AC">
        <w:rPr>
          <w:color w:val="auto"/>
          <w:rtl/>
        </w:rPr>
        <w:t>تحديد المهر من حيث الكثرة</w:t>
      </w:r>
      <w:r w:rsidR="00940A03" w:rsidRPr="006571AC">
        <w:rPr>
          <w:rFonts w:hint="cs"/>
          <w:color w:val="auto"/>
          <w:rtl/>
        </w:rPr>
        <w:t>،</w:t>
      </w:r>
      <w:r w:rsidR="00237EB1" w:rsidRPr="006571AC">
        <w:rPr>
          <w:rFonts w:hint="cs"/>
          <w:color w:val="auto"/>
          <w:rtl/>
        </w:rPr>
        <w:t xml:space="preserve"> الأقوال والأدلة</w:t>
      </w:r>
      <w:bookmarkEnd w:id="267"/>
      <w:bookmarkEnd w:id="268"/>
      <w:r w:rsidR="00237EB1" w:rsidRPr="006571AC">
        <w:rPr>
          <w:color w:val="auto"/>
          <w:rtl/>
        </w:rPr>
        <w:t xml:space="preserve"> </w:t>
      </w:r>
    </w:p>
    <w:p w:rsidR="00237EB1" w:rsidRPr="006571AC" w:rsidRDefault="00237EB1" w:rsidP="00940A03">
      <w:pPr>
        <w:pStyle w:val="31"/>
        <w:rPr>
          <w:color w:val="auto"/>
          <w:rtl/>
        </w:rPr>
      </w:pPr>
      <w:bookmarkStart w:id="269" w:name="_Toc114164710"/>
      <w:bookmarkStart w:id="270" w:name="_Toc79281934"/>
      <w:r w:rsidRPr="006571AC">
        <w:rPr>
          <w:rFonts w:hint="cs"/>
          <w:color w:val="auto"/>
          <w:rtl/>
        </w:rPr>
        <w:t>أو</w:t>
      </w:r>
      <w:r w:rsidR="00940A03" w:rsidRPr="006571AC">
        <w:rPr>
          <w:rFonts w:hint="cs"/>
          <w:color w:val="auto"/>
          <w:rtl/>
        </w:rPr>
        <w:t>ّ</w:t>
      </w:r>
      <w:r w:rsidRPr="006571AC">
        <w:rPr>
          <w:rFonts w:hint="cs"/>
          <w:color w:val="auto"/>
          <w:rtl/>
        </w:rPr>
        <w:t>لاً: الأقوال</w:t>
      </w:r>
      <w:bookmarkEnd w:id="269"/>
      <w:r w:rsidRPr="006571AC">
        <w:rPr>
          <w:rFonts w:hint="cs"/>
          <w:color w:val="auto"/>
          <w:rtl/>
        </w:rPr>
        <w:t xml:space="preserve"> </w:t>
      </w:r>
      <w:bookmarkEnd w:id="270"/>
    </w:p>
    <w:p w:rsidR="00237EB1" w:rsidRPr="006571AC" w:rsidRDefault="00237EB1" w:rsidP="00D93C0C">
      <w:pPr>
        <w:pStyle w:val="31"/>
        <w:rPr>
          <w:color w:val="auto"/>
          <w:rtl/>
        </w:rPr>
      </w:pPr>
      <w:bookmarkStart w:id="271" w:name="_Toc79281935"/>
      <w:bookmarkStart w:id="272" w:name="_Toc114164711"/>
      <w:r w:rsidRPr="006571AC">
        <w:rPr>
          <w:rFonts w:hint="cs"/>
          <w:color w:val="auto"/>
          <w:rtl/>
        </w:rPr>
        <w:t xml:space="preserve">1ـ </w:t>
      </w:r>
      <w:bookmarkEnd w:id="271"/>
      <w:r w:rsidR="00D93C0C" w:rsidRPr="006571AC">
        <w:rPr>
          <w:rFonts w:hint="cs"/>
          <w:color w:val="auto"/>
          <w:rtl/>
        </w:rPr>
        <w:t>لا حدّ للمهر</w:t>
      </w:r>
      <w:bookmarkEnd w:id="272"/>
    </w:p>
    <w:p w:rsidR="00237EB1" w:rsidRPr="006571AC" w:rsidRDefault="00237EB1" w:rsidP="00E60D93">
      <w:pPr>
        <w:rPr>
          <w:rFonts w:asciiTheme="majorBidi" w:hAnsiTheme="majorBidi"/>
          <w:sz w:val="27"/>
          <w:rtl/>
        </w:rPr>
      </w:pPr>
      <w:r w:rsidRPr="006571AC">
        <w:rPr>
          <w:rFonts w:asciiTheme="majorBidi" w:hAnsiTheme="majorBidi" w:hint="cs"/>
          <w:sz w:val="27"/>
          <w:rtl/>
        </w:rPr>
        <w:t>ذهب مشهور فقهاء الإمامية إلى أنّ المهر لا يتحد</w:t>
      </w:r>
      <w:r w:rsidR="00940A03" w:rsidRPr="006571AC">
        <w:rPr>
          <w:rFonts w:asciiTheme="majorBidi" w:hAnsiTheme="majorBidi" w:hint="cs"/>
          <w:sz w:val="27"/>
          <w:rtl/>
        </w:rPr>
        <w:t>َّ</w:t>
      </w:r>
      <w:r w:rsidRPr="006571AC">
        <w:rPr>
          <w:rFonts w:asciiTheme="majorBidi" w:hAnsiTheme="majorBidi" w:hint="cs"/>
          <w:sz w:val="27"/>
          <w:rtl/>
        </w:rPr>
        <w:t>د من حيث الكثرة</w:t>
      </w:r>
      <w:r w:rsidR="00940A03" w:rsidRPr="006571AC">
        <w:rPr>
          <w:rFonts w:asciiTheme="majorBidi" w:hAnsiTheme="majorBidi" w:hint="cs"/>
          <w:sz w:val="27"/>
          <w:rtl/>
        </w:rPr>
        <w:t>،</w:t>
      </w:r>
      <w:r w:rsidRPr="006571AC">
        <w:rPr>
          <w:rFonts w:asciiTheme="majorBidi" w:hAnsiTheme="majorBidi" w:hint="cs"/>
          <w:sz w:val="27"/>
          <w:rtl/>
        </w:rPr>
        <w:t xml:space="preserve"> فيجوز </w:t>
      </w:r>
      <w:r w:rsidRPr="006571AC">
        <w:rPr>
          <w:rFonts w:asciiTheme="majorBidi" w:hAnsiTheme="majorBidi" w:hint="cs"/>
          <w:sz w:val="27"/>
          <w:rtl/>
        </w:rPr>
        <w:lastRenderedPageBreak/>
        <w:t>العقد على أكثر من مهر السن</w:t>
      </w:r>
      <w:r w:rsidR="00940A03" w:rsidRPr="006571AC">
        <w:rPr>
          <w:rFonts w:asciiTheme="majorBidi" w:hAnsiTheme="majorBidi" w:hint="cs"/>
          <w:sz w:val="27"/>
          <w:rtl/>
        </w:rPr>
        <w:t>ّ</w:t>
      </w:r>
      <w:r w:rsidRPr="006571AC">
        <w:rPr>
          <w:rFonts w:asciiTheme="majorBidi" w:hAnsiTheme="majorBidi" w:hint="cs"/>
          <w:sz w:val="27"/>
          <w:rtl/>
        </w:rPr>
        <w:t>ة</w:t>
      </w:r>
      <w:r w:rsidR="00940A03" w:rsidRPr="006571AC">
        <w:rPr>
          <w:rFonts w:asciiTheme="majorBidi" w:hAnsiTheme="majorBidi" w:hint="cs"/>
          <w:sz w:val="27"/>
          <w:rtl/>
        </w:rPr>
        <w:t>،</w:t>
      </w:r>
      <w:r w:rsidRPr="006571AC">
        <w:rPr>
          <w:rFonts w:asciiTheme="majorBidi" w:hAnsiTheme="majorBidi" w:hint="cs"/>
          <w:sz w:val="27"/>
          <w:rtl/>
        </w:rPr>
        <w:t xml:space="preserve"> أضعافا</w:t>
      </w:r>
      <w:r w:rsidR="00940A03" w:rsidRPr="006571AC">
        <w:rPr>
          <w:rFonts w:asciiTheme="majorBidi" w:hAnsiTheme="majorBidi" w:hint="cs"/>
          <w:sz w:val="27"/>
          <w:rtl/>
        </w:rPr>
        <w:t>ً</w:t>
      </w:r>
      <w:r w:rsidRPr="006571AC">
        <w:rPr>
          <w:rFonts w:asciiTheme="majorBidi" w:hAnsiTheme="majorBidi" w:hint="cs"/>
          <w:sz w:val="27"/>
          <w:rtl/>
        </w:rPr>
        <w:t xml:space="preserve"> مضاعفة. </w:t>
      </w:r>
    </w:p>
    <w:p w:rsidR="00237EB1" w:rsidRPr="006571AC" w:rsidRDefault="00237EB1" w:rsidP="00C3538C">
      <w:pPr>
        <w:spacing w:line="440" w:lineRule="exact"/>
        <w:rPr>
          <w:rFonts w:asciiTheme="majorBidi" w:hAnsiTheme="majorBidi"/>
          <w:sz w:val="27"/>
          <w:rtl/>
        </w:rPr>
      </w:pPr>
    </w:p>
    <w:p w:rsidR="00237EB1" w:rsidRPr="006571AC" w:rsidRDefault="00237EB1" w:rsidP="00824114">
      <w:pPr>
        <w:pStyle w:val="31"/>
        <w:rPr>
          <w:color w:val="auto"/>
          <w:rtl/>
        </w:rPr>
      </w:pPr>
      <w:bookmarkStart w:id="273" w:name="_Toc79281936"/>
      <w:bookmarkStart w:id="274" w:name="_Toc114164712"/>
      <w:r w:rsidRPr="006571AC">
        <w:rPr>
          <w:rFonts w:hint="cs"/>
          <w:color w:val="auto"/>
          <w:rtl/>
        </w:rPr>
        <w:t>2ـ مهر السن</w:t>
      </w:r>
      <w:r w:rsidR="00940A03" w:rsidRPr="006571AC">
        <w:rPr>
          <w:rFonts w:hint="cs"/>
          <w:color w:val="auto"/>
          <w:rtl/>
        </w:rPr>
        <w:t>ّ</w:t>
      </w:r>
      <w:r w:rsidRPr="006571AC">
        <w:rPr>
          <w:rFonts w:hint="cs"/>
          <w:color w:val="auto"/>
          <w:rtl/>
        </w:rPr>
        <w:t>ة</w:t>
      </w:r>
      <w:bookmarkEnd w:id="273"/>
      <w:bookmarkEnd w:id="274"/>
      <w:r w:rsidRPr="006571AC">
        <w:rPr>
          <w:rFonts w:hint="cs"/>
          <w:color w:val="auto"/>
          <w:rtl/>
        </w:rPr>
        <w:t xml:space="preserve"> </w:t>
      </w:r>
    </w:p>
    <w:p w:rsidR="00237EB1" w:rsidRPr="006571AC" w:rsidRDefault="00237EB1" w:rsidP="00E81C41">
      <w:pPr>
        <w:rPr>
          <w:sz w:val="27"/>
          <w:rtl/>
        </w:rPr>
      </w:pPr>
      <w:r w:rsidRPr="006571AC">
        <w:rPr>
          <w:rFonts w:asciiTheme="majorBidi" w:hAnsiTheme="majorBidi" w:hint="cs"/>
          <w:sz w:val="27"/>
          <w:rtl/>
        </w:rPr>
        <w:t xml:space="preserve"> وفي مقابل المشهور </w:t>
      </w:r>
      <w:r w:rsidRPr="006571AC">
        <w:rPr>
          <w:rFonts w:hint="cs"/>
          <w:sz w:val="27"/>
          <w:rtl/>
        </w:rPr>
        <w:t>ذهب بعض الفقهاء المعاصرين للشيخ المفيد والسيد المرتضى إلى أنّ المهر يتحد</w:t>
      </w:r>
      <w:r w:rsidR="00940A03" w:rsidRPr="006571AC">
        <w:rPr>
          <w:rFonts w:hint="cs"/>
          <w:sz w:val="27"/>
          <w:rtl/>
        </w:rPr>
        <w:t>َّ</w:t>
      </w:r>
      <w:r w:rsidRPr="006571AC">
        <w:rPr>
          <w:rFonts w:hint="cs"/>
          <w:sz w:val="27"/>
          <w:rtl/>
        </w:rPr>
        <w:t>د كثرة</w:t>
      </w:r>
      <w:r w:rsidR="00940A03" w:rsidRPr="006571AC">
        <w:rPr>
          <w:rFonts w:hint="cs"/>
          <w:sz w:val="27"/>
          <w:rtl/>
        </w:rPr>
        <w:t>ً</w:t>
      </w:r>
      <w:r w:rsidRPr="006571AC">
        <w:rPr>
          <w:rFonts w:hint="cs"/>
          <w:sz w:val="27"/>
          <w:rtl/>
        </w:rPr>
        <w:t xml:space="preserve"> بمهر السن</w:t>
      </w:r>
      <w:r w:rsidR="00940A03" w:rsidRPr="006571AC">
        <w:rPr>
          <w:rFonts w:hint="cs"/>
          <w:sz w:val="27"/>
          <w:rtl/>
        </w:rPr>
        <w:t>ّ</w:t>
      </w:r>
      <w:r w:rsidRPr="006571AC">
        <w:rPr>
          <w:rFonts w:hint="cs"/>
          <w:sz w:val="27"/>
          <w:rtl/>
        </w:rPr>
        <w:t>ة</w:t>
      </w:r>
      <w:r w:rsidR="00940A03" w:rsidRPr="006571AC">
        <w:rPr>
          <w:rFonts w:hint="cs"/>
          <w:sz w:val="27"/>
          <w:rtl/>
        </w:rPr>
        <w:t>،</w:t>
      </w:r>
      <w:r w:rsidRPr="006571AC">
        <w:rPr>
          <w:rFonts w:hint="cs"/>
          <w:sz w:val="27"/>
          <w:rtl/>
        </w:rPr>
        <w:t xml:space="preserve"> ولا يجوز تجاوزه. وأمّا ما ورد مطلقاً فق</w:t>
      </w:r>
      <w:r w:rsidR="00E81C41" w:rsidRPr="006571AC">
        <w:rPr>
          <w:rFonts w:hint="cs"/>
          <w:sz w:val="27"/>
          <w:rtl/>
        </w:rPr>
        <w:t>د</w:t>
      </w:r>
      <w:r w:rsidRPr="006571AC">
        <w:rPr>
          <w:rFonts w:hint="cs"/>
          <w:sz w:val="27"/>
          <w:rtl/>
        </w:rPr>
        <w:t xml:space="preserve"> خص</w:t>
      </w:r>
      <w:r w:rsidR="00940A03" w:rsidRPr="006571AC">
        <w:rPr>
          <w:rFonts w:hint="cs"/>
          <w:sz w:val="27"/>
          <w:rtl/>
        </w:rPr>
        <w:t>ّ</w:t>
      </w:r>
      <w:r w:rsidRPr="006571AC">
        <w:rPr>
          <w:rFonts w:hint="cs"/>
          <w:sz w:val="27"/>
          <w:rtl/>
        </w:rPr>
        <w:t>ه المعاصر للشيخ المفيد بالنكاح المنقطع</w:t>
      </w:r>
      <w:r w:rsidR="00940A03" w:rsidRPr="006571AC">
        <w:rPr>
          <w:rFonts w:hint="cs"/>
          <w:sz w:val="27"/>
          <w:rtl/>
        </w:rPr>
        <w:t>،</w:t>
      </w:r>
      <w:r w:rsidRPr="006571AC">
        <w:rPr>
          <w:rFonts w:hint="cs"/>
          <w:sz w:val="27"/>
          <w:rtl/>
        </w:rPr>
        <w:t xml:space="preserve"> وأمّا في العقد الدائم فالمهر ليس مطلقاً من حيث الكثرة</w:t>
      </w:r>
      <w:r w:rsidR="00940A03" w:rsidRPr="006571AC">
        <w:rPr>
          <w:rFonts w:hint="cs"/>
          <w:sz w:val="27"/>
          <w:rtl/>
        </w:rPr>
        <w:t>،</w:t>
      </w:r>
      <w:r w:rsidRPr="006571AC">
        <w:rPr>
          <w:rFonts w:hint="cs"/>
          <w:sz w:val="27"/>
          <w:rtl/>
        </w:rPr>
        <w:t xml:space="preserve"> وإنما هو مقي</w:t>
      </w:r>
      <w:r w:rsidR="00940A03" w:rsidRPr="006571AC">
        <w:rPr>
          <w:rFonts w:hint="cs"/>
          <w:sz w:val="27"/>
          <w:rtl/>
        </w:rPr>
        <w:t>َّ</w:t>
      </w:r>
      <w:r w:rsidRPr="006571AC">
        <w:rPr>
          <w:rFonts w:hint="cs"/>
          <w:sz w:val="27"/>
          <w:rtl/>
        </w:rPr>
        <w:t>د بمهر السن</w:t>
      </w:r>
      <w:r w:rsidR="00940A03" w:rsidRPr="006571AC">
        <w:rPr>
          <w:rFonts w:hint="cs"/>
          <w:sz w:val="27"/>
          <w:rtl/>
        </w:rPr>
        <w:t>ّ</w:t>
      </w:r>
      <w:r w:rsidRPr="006571AC">
        <w:rPr>
          <w:rFonts w:hint="cs"/>
          <w:sz w:val="27"/>
          <w:rtl/>
        </w:rPr>
        <w:t xml:space="preserve">ة. </w:t>
      </w:r>
    </w:p>
    <w:p w:rsidR="00237EB1" w:rsidRPr="006571AC" w:rsidRDefault="00237EB1" w:rsidP="00C3538C">
      <w:pPr>
        <w:spacing w:line="440" w:lineRule="exact"/>
        <w:rPr>
          <w:sz w:val="27"/>
          <w:rtl/>
        </w:rPr>
      </w:pPr>
    </w:p>
    <w:p w:rsidR="00237EB1" w:rsidRPr="006571AC" w:rsidRDefault="00237EB1" w:rsidP="0022224E">
      <w:pPr>
        <w:pStyle w:val="31"/>
        <w:rPr>
          <w:color w:val="auto"/>
          <w:rtl/>
        </w:rPr>
      </w:pPr>
      <w:bookmarkStart w:id="275" w:name="_Toc79281937"/>
      <w:bookmarkStart w:id="276" w:name="_Toc114164713"/>
      <w:r w:rsidRPr="006571AC">
        <w:rPr>
          <w:rFonts w:hint="cs"/>
          <w:color w:val="auto"/>
          <w:rtl/>
        </w:rPr>
        <w:t>ثانياً: الأدل</w:t>
      </w:r>
      <w:r w:rsidR="00940A03" w:rsidRPr="006571AC">
        <w:rPr>
          <w:rFonts w:hint="cs"/>
          <w:color w:val="auto"/>
          <w:rtl/>
        </w:rPr>
        <w:t>ّ</w:t>
      </w:r>
      <w:r w:rsidRPr="006571AC">
        <w:rPr>
          <w:rFonts w:hint="cs"/>
          <w:color w:val="auto"/>
          <w:rtl/>
        </w:rPr>
        <w:t>ة</w:t>
      </w:r>
      <w:bookmarkEnd w:id="275"/>
      <w:bookmarkEnd w:id="276"/>
    </w:p>
    <w:p w:rsidR="00237EB1" w:rsidRPr="006571AC" w:rsidRDefault="00237EB1" w:rsidP="0022224E">
      <w:pPr>
        <w:pStyle w:val="31"/>
        <w:rPr>
          <w:color w:val="auto"/>
          <w:rtl/>
        </w:rPr>
      </w:pPr>
      <w:bookmarkStart w:id="277" w:name="_Toc79281938"/>
      <w:bookmarkStart w:id="278" w:name="_Toc114164714"/>
      <w:r w:rsidRPr="006571AC">
        <w:rPr>
          <w:rFonts w:hint="cs"/>
          <w:color w:val="auto"/>
          <w:rtl/>
        </w:rPr>
        <w:t>1ـ أدل</w:t>
      </w:r>
      <w:r w:rsidR="00A71A46" w:rsidRPr="006571AC">
        <w:rPr>
          <w:rFonts w:hint="cs"/>
          <w:color w:val="auto"/>
          <w:rtl/>
        </w:rPr>
        <w:t>ّ</w:t>
      </w:r>
      <w:r w:rsidRPr="006571AC">
        <w:rPr>
          <w:rFonts w:hint="cs"/>
          <w:color w:val="auto"/>
          <w:rtl/>
        </w:rPr>
        <w:t>ة غير المشهور</w:t>
      </w:r>
      <w:bookmarkEnd w:id="277"/>
      <w:bookmarkEnd w:id="278"/>
      <w:r w:rsidRPr="006571AC">
        <w:rPr>
          <w:rFonts w:hint="cs"/>
          <w:color w:val="auto"/>
          <w:rtl/>
        </w:rPr>
        <w:t xml:space="preserve"> </w:t>
      </w:r>
    </w:p>
    <w:p w:rsidR="00CA36A4" w:rsidRPr="006571AC" w:rsidRDefault="00237EB1" w:rsidP="00E60D93">
      <w:pPr>
        <w:rPr>
          <w:sz w:val="27"/>
          <w:rtl/>
        </w:rPr>
      </w:pPr>
      <w:r w:rsidRPr="006571AC">
        <w:rPr>
          <w:rFonts w:hint="cs"/>
          <w:sz w:val="27"/>
          <w:rtl/>
        </w:rPr>
        <w:t xml:space="preserve">ويمكن </w:t>
      </w:r>
      <w:r w:rsidR="00940A03" w:rsidRPr="006571AC">
        <w:rPr>
          <w:rFonts w:hint="cs"/>
          <w:sz w:val="27"/>
          <w:rtl/>
        </w:rPr>
        <w:t>أ</w:t>
      </w:r>
      <w:r w:rsidRPr="006571AC">
        <w:rPr>
          <w:rFonts w:hint="cs"/>
          <w:sz w:val="27"/>
          <w:rtl/>
        </w:rPr>
        <w:t>ن يستدل</w:t>
      </w:r>
      <w:r w:rsidR="00940A03" w:rsidRPr="006571AC">
        <w:rPr>
          <w:rFonts w:hint="cs"/>
          <w:sz w:val="27"/>
          <w:rtl/>
        </w:rPr>
        <w:t>ّ</w:t>
      </w:r>
      <w:r w:rsidRPr="006571AC">
        <w:rPr>
          <w:rFonts w:hint="cs"/>
          <w:sz w:val="27"/>
          <w:rtl/>
        </w:rPr>
        <w:t xml:space="preserve"> لقول غير المشهور على هذ</w:t>
      </w:r>
      <w:r w:rsidR="00940A03" w:rsidRPr="006571AC">
        <w:rPr>
          <w:rFonts w:hint="cs"/>
          <w:sz w:val="27"/>
          <w:rtl/>
        </w:rPr>
        <w:t>ا</w:t>
      </w:r>
      <w:r w:rsidRPr="006571AC">
        <w:rPr>
          <w:rFonts w:hint="cs"/>
          <w:sz w:val="27"/>
          <w:rtl/>
        </w:rPr>
        <w:t xml:space="preserve"> التفصيل بما ورد في</w:t>
      </w:r>
      <w:r w:rsidRPr="006571AC">
        <w:rPr>
          <w:sz w:val="27"/>
          <w:rtl/>
        </w:rPr>
        <w:t xml:space="preserve"> </w:t>
      </w:r>
      <w:r w:rsidRPr="006571AC">
        <w:rPr>
          <w:rFonts w:hint="cs"/>
          <w:sz w:val="27"/>
          <w:rtl/>
        </w:rPr>
        <w:t>رواية</w:t>
      </w:r>
      <w:r w:rsidRPr="006571AC">
        <w:rPr>
          <w:sz w:val="27"/>
          <w:rtl/>
        </w:rPr>
        <w:t xml:space="preserve"> </w:t>
      </w:r>
      <w:r w:rsidR="00940A03" w:rsidRPr="006571AC">
        <w:rPr>
          <w:rFonts w:hint="cs"/>
          <w:sz w:val="27"/>
          <w:rtl/>
        </w:rPr>
        <w:t>محم</w:t>
      </w:r>
      <w:r w:rsidRPr="006571AC">
        <w:rPr>
          <w:rFonts w:hint="cs"/>
          <w:sz w:val="27"/>
          <w:rtl/>
        </w:rPr>
        <w:t>د</w:t>
      </w:r>
      <w:r w:rsidRPr="006571AC">
        <w:rPr>
          <w:sz w:val="27"/>
          <w:rtl/>
        </w:rPr>
        <w:t xml:space="preserve"> </w:t>
      </w:r>
      <w:r w:rsidRPr="006571AC">
        <w:rPr>
          <w:rFonts w:hint="cs"/>
          <w:sz w:val="27"/>
          <w:rtl/>
        </w:rPr>
        <w:t>بن</w:t>
      </w:r>
      <w:r w:rsidRPr="006571AC">
        <w:rPr>
          <w:sz w:val="27"/>
          <w:rtl/>
        </w:rPr>
        <w:t xml:space="preserve"> </w:t>
      </w:r>
      <w:r w:rsidRPr="006571AC">
        <w:rPr>
          <w:rFonts w:hint="cs"/>
          <w:sz w:val="27"/>
          <w:rtl/>
        </w:rPr>
        <w:t>مسلم</w:t>
      </w:r>
      <w:r w:rsidRPr="006571AC">
        <w:rPr>
          <w:sz w:val="27"/>
          <w:rtl/>
        </w:rPr>
        <w:t xml:space="preserve"> </w:t>
      </w:r>
      <w:r w:rsidRPr="006571AC">
        <w:rPr>
          <w:rFonts w:hint="cs"/>
          <w:sz w:val="27"/>
          <w:rtl/>
        </w:rPr>
        <w:t>قال</w:t>
      </w:r>
      <w:r w:rsidRPr="006571AC">
        <w:rPr>
          <w:sz w:val="27"/>
          <w:rtl/>
        </w:rPr>
        <w:t xml:space="preserve">: </w:t>
      </w:r>
      <w:r w:rsidRPr="006571AC">
        <w:rPr>
          <w:rFonts w:hint="eastAsia"/>
          <w:sz w:val="24"/>
          <w:szCs w:val="24"/>
          <w:rtl/>
        </w:rPr>
        <w:t>«</w:t>
      </w:r>
      <w:r w:rsidRPr="006571AC">
        <w:rPr>
          <w:rFonts w:hint="cs"/>
          <w:sz w:val="27"/>
          <w:rtl/>
        </w:rPr>
        <w:t>سألت</w:t>
      </w:r>
      <w:r w:rsidR="00940A03" w:rsidRPr="006571AC">
        <w:rPr>
          <w:rFonts w:hint="cs"/>
          <w:sz w:val="27"/>
          <w:rtl/>
        </w:rPr>
        <w:t>ُ</w:t>
      </w:r>
      <w:r w:rsidRPr="006571AC">
        <w:rPr>
          <w:sz w:val="27"/>
          <w:rtl/>
        </w:rPr>
        <w:t xml:space="preserve"> </w:t>
      </w:r>
      <w:r w:rsidRPr="006571AC">
        <w:rPr>
          <w:rFonts w:hint="cs"/>
          <w:sz w:val="27"/>
          <w:rtl/>
        </w:rPr>
        <w:t>أبا</w:t>
      </w:r>
      <w:r w:rsidRPr="006571AC">
        <w:rPr>
          <w:sz w:val="27"/>
          <w:rtl/>
        </w:rPr>
        <w:t xml:space="preserve"> </w:t>
      </w:r>
      <w:r w:rsidRPr="006571AC">
        <w:rPr>
          <w:rFonts w:hint="cs"/>
          <w:sz w:val="27"/>
          <w:rtl/>
        </w:rPr>
        <w:t>عبد</w:t>
      </w:r>
      <w:r w:rsidRPr="006571AC">
        <w:rPr>
          <w:sz w:val="27"/>
          <w:rtl/>
        </w:rPr>
        <w:t xml:space="preserve"> </w:t>
      </w:r>
      <w:r w:rsidR="0097633B" w:rsidRPr="006571AC">
        <w:rPr>
          <w:rFonts w:hint="cs"/>
          <w:sz w:val="27"/>
          <w:rtl/>
        </w:rPr>
        <w:t>الل</w:t>
      </w:r>
      <w:r w:rsidRPr="006571AC">
        <w:rPr>
          <w:rFonts w:hint="cs"/>
          <w:sz w:val="27"/>
          <w:rtl/>
        </w:rPr>
        <w:t>ه</w:t>
      </w:r>
      <w:r w:rsidR="002A2C90" w:rsidRPr="006571AC">
        <w:rPr>
          <w:rFonts w:ascii="Mosawi" w:hAnsi="Mosawi" w:cs="Mosawi"/>
          <w:sz w:val="22"/>
          <w:szCs w:val="22"/>
          <w:rtl/>
        </w:rPr>
        <w:t>×</w:t>
      </w:r>
      <w:r w:rsidRPr="006571AC">
        <w:rPr>
          <w:sz w:val="27"/>
          <w:rtl/>
        </w:rPr>
        <w:t xml:space="preserve">: </w:t>
      </w:r>
      <w:r w:rsidRPr="006571AC">
        <w:rPr>
          <w:rFonts w:hint="cs"/>
          <w:sz w:val="27"/>
          <w:rtl/>
        </w:rPr>
        <w:t>كم</w:t>
      </w:r>
      <w:r w:rsidRPr="006571AC">
        <w:rPr>
          <w:sz w:val="27"/>
          <w:rtl/>
        </w:rPr>
        <w:t xml:space="preserve"> </w:t>
      </w:r>
      <w:r w:rsidRPr="006571AC">
        <w:rPr>
          <w:rFonts w:hint="cs"/>
          <w:sz w:val="27"/>
          <w:rtl/>
        </w:rPr>
        <w:t>المهر</w:t>
      </w:r>
      <w:r w:rsidRPr="006571AC">
        <w:rPr>
          <w:sz w:val="27"/>
          <w:rtl/>
        </w:rPr>
        <w:t xml:space="preserve"> ـ </w:t>
      </w:r>
      <w:r w:rsidRPr="006571AC">
        <w:rPr>
          <w:rFonts w:hint="cs"/>
          <w:sz w:val="27"/>
          <w:rtl/>
        </w:rPr>
        <w:t>يعني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المتعة</w:t>
      </w:r>
      <w:r w:rsidR="00940A03" w:rsidRPr="006571AC">
        <w:rPr>
          <w:sz w:val="27"/>
          <w:rtl/>
        </w:rPr>
        <w:t xml:space="preserve"> ـ</w:t>
      </w:r>
      <w:r w:rsidRPr="006571AC">
        <w:rPr>
          <w:rFonts w:hint="cs"/>
          <w:sz w:val="27"/>
          <w:rtl/>
        </w:rPr>
        <w:t>؟ فقال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تراضيا</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شاءا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الأجل</w:t>
      </w:r>
      <w:r w:rsidRPr="006571AC">
        <w:rPr>
          <w:rFonts w:hint="eastAsia"/>
          <w:sz w:val="24"/>
          <w:szCs w:val="24"/>
          <w:rtl/>
        </w:rPr>
        <w:t>»</w:t>
      </w:r>
      <w:r w:rsidRPr="006571AC">
        <w:rPr>
          <w:sz w:val="27"/>
          <w:vertAlign w:val="superscript"/>
          <w:rtl/>
        </w:rPr>
        <w:t>(</w:t>
      </w:r>
      <w:r w:rsidRPr="006571AC">
        <w:rPr>
          <w:sz w:val="27"/>
          <w:vertAlign w:val="superscript"/>
          <w:rtl/>
        </w:rPr>
        <w:endnoteReference w:id="449"/>
      </w:r>
      <w:r w:rsidRPr="006571AC">
        <w:rPr>
          <w:sz w:val="27"/>
          <w:vertAlign w:val="superscript"/>
          <w:rtl/>
        </w:rPr>
        <w:t>)</w:t>
      </w:r>
      <w:r w:rsidR="00CA36A4" w:rsidRPr="006571AC">
        <w:rPr>
          <w:sz w:val="27"/>
          <w:rtl/>
        </w:rPr>
        <w:t>.</w:t>
      </w:r>
    </w:p>
    <w:p w:rsidR="00237EB1" w:rsidRPr="006571AC" w:rsidRDefault="00237EB1" w:rsidP="00E60D93">
      <w:pPr>
        <w:rPr>
          <w:rFonts w:asciiTheme="majorBidi" w:hAnsiTheme="majorBidi"/>
          <w:sz w:val="27"/>
          <w:rtl/>
        </w:rPr>
      </w:pPr>
      <w:r w:rsidRPr="006571AC">
        <w:rPr>
          <w:rFonts w:hint="cs"/>
          <w:sz w:val="27"/>
          <w:rtl/>
        </w:rPr>
        <w:t>فظاهر</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الحديث</w:t>
      </w:r>
      <w:r w:rsidRPr="006571AC">
        <w:rPr>
          <w:sz w:val="27"/>
          <w:rtl/>
        </w:rPr>
        <w:t xml:space="preserve"> </w:t>
      </w:r>
      <w:r w:rsidRPr="006571AC">
        <w:rPr>
          <w:rFonts w:hint="cs"/>
          <w:sz w:val="27"/>
          <w:rtl/>
        </w:rPr>
        <w:t>أنّه</w:t>
      </w:r>
      <w:r w:rsidRPr="006571AC">
        <w:rPr>
          <w:sz w:val="27"/>
          <w:rtl/>
        </w:rPr>
        <w:t xml:space="preserve"> </w:t>
      </w:r>
      <w:r w:rsidRPr="006571AC">
        <w:rPr>
          <w:rFonts w:hint="cs"/>
          <w:sz w:val="27"/>
          <w:rtl/>
        </w:rPr>
        <w:t>خاصّ</w:t>
      </w:r>
      <w:r w:rsidR="00CA36A4" w:rsidRPr="006571AC">
        <w:rPr>
          <w:rFonts w:hint="cs"/>
          <w:sz w:val="27"/>
          <w:rtl/>
        </w:rPr>
        <w:t>ٌ</w:t>
      </w:r>
      <w:r w:rsidRPr="006571AC">
        <w:rPr>
          <w:sz w:val="27"/>
          <w:rtl/>
        </w:rPr>
        <w:t xml:space="preserve"> </w:t>
      </w:r>
      <w:r w:rsidRPr="006571AC">
        <w:rPr>
          <w:rFonts w:hint="cs"/>
          <w:sz w:val="27"/>
          <w:rtl/>
        </w:rPr>
        <w:t>بالمتعة</w:t>
      </w:r>
      <w:r w:rsidR="00CA36A4" w:rsidRPr="006571AC">
        <w:rPr>
          <w:rFonts w:hint="cs"/>
          <w:sz w:val="27"/>
          <w:rtl/>
        </w:rPr>
        <w:t>؛</w:t>
      </w:r>
      <w:r w:rsidRPr="006571AC">
        <w:rPr>
          <w:rFonts w:hint="cs"/>
          <w:sz w:val="27"/>
          <w:rtl/>
        </w:rPr>
        <w:t xml:space="preserve"> لقوله</w:t>
      </w:r>
      <w:r w:rsidRPr="006571AC">
        <w:rPr>
          <w:sz w:val="27"/>
          <w:rtl/>
        </w:rPr>
        <w:t xml:space="preserve">: </w:t>
      </w:r>
      <w:r w:rsidRPr="006571AC">
        <w:rPr>
          <w:sz w:val="24"/>
          <w:szCs w:val="24"/>
          <w:rtl/>
        </w:rPr>
        <w:t>«</w:t>
      </w:r>
      <w:r w:rsidRPr="006571AC">
        <w:rPr>
          <w:rFonts w:hint="cs"/>
          <w:sz w:val="27"/>
          <w:rtl/>
        </w:rPr>
        <w:t>يعني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المتعة</w:t>
      </w:r>
      <w:r w:rsidRPr="006571AC">
        <w:rPr>
          <w:rFonts w:hint="eastAsia"/>
          <w:sz w:val="24"/>
          <w:szCs w:val="24"/>
          <w:rtl/>
        </w:rPr>
        <w:t>»</w:t>
      </w:r>
      <w:r w:rsidR="00CA36A4" w:rsidRPr="006571AC">
        <w:rPr>
          <w:rFonts w:hint="cs"/>
          <w:sz w:val="27"/>
          <w:rtl/>
        </w:rPr>
        <w:t>؛</w:t>
      </w:r>
      <w:r w:rsidRPr="006571AC">
        <w:rPr>
          <w:sz w:val="27"/>
          <w:rtl/>
        </w:rPr>
        <w:t xml:space="preserve"> و</w:t>
      </w:r>
      <w:r w:rsidR="00CA36A4" w:rsidRPr="006571AC">
        <w:rPr>
          <w:rFonts w:hint="cs"/>
          <w:sz w:val="27"/>
          <w:rtl/>
        </w:rPr>
        <w:t>لذكره‌ الأجل،</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لا</w:t>
      </w:r>
      <w:r w:rsidRPr="006571AC">
        <w:rPr>
          <w:sz w:val="27"/>
          <w:rtl/>
        </w:rPr>
        <w:t xml:space="preserve"> </w:t>
      </w:r>
      <w:r w:rsidRPr="006571AC">
        <w:rPr>
          <w:rFonts w:hint="cs"/>
          <w:sz w:val="27"/>
          <w:rtl/>
        </w:rPr>
        <w:t>يكون</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النكاح</w:t>
      </w:r>
      <w:r w:rsidRPr="006571AC">
        <w:rPr>
          <w:sz w:val="27"/>
          <w:rtl/>
        </w:rPr>
        <w:t xml:space="preserve"> </w:t>
      </w:r>
      <w:r w:rsidRPr="006571AC">
        <w:rPr>
          <w:rFonts w:hint="cs"/>
          <w:sz w:val="27"/>
          <w:rtl/>
        </w:rPr>
        <w:t>الدائم</w:t>
      </w:r>
      <w:r w:rsidRPr="006571AC">
        <w:rPr>
          <w:sz w:val="27"/>
          <w:rtl/>
        </w:rPr>
        <w:t xml:space="preserve">. </w:t>
      </w:r>
    </w:p>
    <w:p w:rsidR="00237EB1" w:rsidRPr="006571AC" w:rsidRDefault="00237EB1" w:rsidP="00E60D93">
      <w:pPr>
        <w:rPr>
          <w:sz w:val="27"/>
          <w:rtl/>
        </w:rPr>
      </w:pPr>
      <w:r w:rsidRPr="006571AC">
        <w:rPr>
          <w:rFonts w:hint="cs"/>
          <w:sz w:val="27"/>
          <w:rtl/>
        </w:rPr>
        <w:t>فدلّ</w:t>
      </w:r>
      <w:r w:rsidRPr="006571AC">
        <w:rPr>
          <w:sz w:val="27"/>
          <w:rtl/>
        </w:rPr>
        <w:t xml:space="preserve"> </w:t>
      </w:r>
      <w:r w:rsidRPr="006571AC">
        <w:rPr>
          <w:rFonts w:hint="cs"/>
          <w:sz w:val="27"/>
          <w:rtl/>
        </w:rPr>
        <w:t>على</w:t>
      </w:r>
      <w:r w:rsidRPr="006571AC">
        <w:rPr>
          <w:sz w:val="27"/>
          <w:rtl/>
        </w:rPr>
        <w:t xml:space="preserve"> </w:t>
      </w:r>
      <w:r w:rsidR="00CA36A4" w:rsidRPr="006571AC">
        <w:rPr>
          <w:rFonts w:hint="cs"/>
          <w:sz w:val="27"/>
          <w:rtl/>
        </w:rPr>
        <w:t>أ</w:t>
      </w:r>
      <w:r w:rsidRPr="006571AC">
        <w:rPr>
          <w:rFonts w:hint="cs"/>
          <w:sz w:val="27"/>
          <w:rtl/>
        </w:rPr>
        <w:t>ن</w:t>
      </w:r>
      <w:r w:rsidRPr="006571AC">
        <w:rPr>
          <w:sz w:val="27"/>
          <w:rtl/>
        </w:rPr>
        <w:t xml:space="preserve"> </w:t>
      </w:r>
      <w:r w:rsidRPr="006571AC">
        <w:rPr>
          <w:rFonts w:hint="cs"/>
          <w:sz w:val="27"/>
          <w:rtl/>
        </w:rPr>
        <w:t>كفاية</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يقع</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التراضي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خاصّ</w:t>
      </w:r>
      <w:r w:rsidR="00CA36A4" w:rsidRPr="006571AC">
        <w:rPr>
          <w:rFonts w:hint="cs"/>
          <w:sz w:val="27"/>
          <w:rtl/>
        </w:rPr>
        <w:t>ٌ</w:t>
      </w:r>
      <w:r w:rsidRPr="006571AC">
        <w:rPr>
          <w:sz w:val="27"/>
          <w:rtl/>
        </w:rPr>
        <w:t xml:space="preserve"> </w:t>
      </w:r>
      <w:r w:rsidRPr="006571AC">
        <w:rPr>
          <w:rFonts w:hint="cs"/>
          <w:sz w:val="27"/>
          <w:rtl/>
        </w:rPr>
        <w:t>بعقد</w:t>
      </w:r>
      <w:r w:rsidRPr="006571AC">
        <w:rPr>
          <w:sz w:val="27"/>
          <w:rtl/>
        </w:rPr>
        <w:t xml:space="preserve"> </w:t>
      </w:r>
      <w:r w:rsidRPr="006571AC">
        <w:rPr>
          <w:rFonts w:hint="cs"/>
          <w:sz w:val="27"/>
          <w:rtl/>
        </w:rPr>
        <w:t>المتعة، وبهذا</w:t>
      </w:r>
      <w:r w:rsidRPr="006571AC">
        <w:rPr>
          <w:sz w:val="27"/>
          <w:rtl/>
        </w:rPr>
        <w:t xml:space="preserve"> </w:t>
      </w:r>
      <w:r w:rsidRPr="006571AC">
        <w:rPr>
          <w:rFonts w:hint="cs"/>
          <w:sz w:val="27"/>
          <w:rtl/>
        </w:rPr>
        <w:t>الحديث</w:t>
      </w:r>
      <w:r w:rsidRPr="006571AC">
        <w:rPr>
          <w:sz w:val="27"/>
          <w:rtl/>
        </w:rPr>
        <w:t xml:space="preserve"> </w:t>
      </w:r>
      <w:r w:rsidRPr="006571AC">
        <w:rPr>
          <w:rFonts w:hint="cs"/>
          <w:sz w:val="27"/>
          <w:rtl/>
        </w:rPr>
        <w:t>تقيّ</w:t>
      </w:r>
      <w:r w:rsidR="00CA36A4" w:rsidRPr="006571AC">
        <w:rPr>
          <w:rFonts w:hint="cs"/>
          <w:sz w:val="27"/>
          <w:rtl/>
        </w:rPr>
        <w:t>َ</w:t>
      </w:r>
      <w:r w:rsidRPr="006571AC">
        <w:rPr>
          <w:rFonts w:hint="cs"/>
          <w:sz w:val="27"/>
          <w:rtl/>
        </w:rPr>
        <w:t>د</w:t>
      </w:r>
      <w:r w:rsidRPr="006571AC">
        <w:rPr>
          <w:sz w:val="27"/>
          <w:rtl/>
        </w:rPr>
        <w:t xml:space="preserve"> </w:t>
      </w:r>
      <w:r w:rsidRPr="006571AC">
        <w:rPr>
          <w:rFonts w:hint="cs"/>
          <w:sz w:val="27"/>
          <w:rtl/>
        </w:rPr>
        <w:t>الروايات</w:t>
      </w:r>
      <w:r w:rsidRPr="006571AC">
        <w:rPr>
          <w:sz w:val="27"/>
          <w:rtl/>
        </w:rPr>
        <w:t xml:space="preserve"> </w:t>
      </w:r>
      <w:r w:rsidRPr="006571AC">
        <w:rPr>
          <w:rFonts w:hint="cs"/>
          <w:sz w:val="27"/>
          <w:rtl/>
        </w:rPr>
        <w:t>المطلقة</w:t>
      </w:r>
      <w:r w:rsidRPr="006571AC">
        <w:rPr>
          <w:sz w:val="27"/>
          <w:rtl/>
        </w:rPr>
        <w:t xml:space="preserve"> </w:t>
      </w:r>
      <w:r w:rsidRPr="006571AC">
        <w:rPr>
          <w:rFonts w:hint="cs"/>
          <w:sz w:val="27"/>
          <w:rtl/>
        </w:rPr>
        <w:t>الواردة</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الباب</w:t>
      </w:r>
      <w:r w:rsidRPr="006571AC">
        <w:rPr>
          <w:sz w:val="27"/>
          <w:vertAlign w:val="superscript"/>
          <w:rtl/>
        </w:rPr>
        <w:t>(</w:t>
      </w:r>
      <w:r w:rsidRPr="006571AC">
        <w:rPr>
          <w:sz w:val="27"/>
          <w:vertAlign w:val="superscript"/>
          <w:rtl/>
        </w:rPr>
        <w:endnoteReference w:id="450"/>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r w:rsidRPr="006571AC">
        <w:rPr>
          <w:rFonts w:hint="cs"/>
          <w:sz w:val="27"/>
          <w:rtl/>
        </w:rPr>
        <w:t xml:space="preserve">وأمّا السيد المرتضى فقد استدلّ على </w:t>
      </w:r>
      <w:r w:rsidR="00CA36A4" w:rsidRPr="006571AC">
        <w:rPr>
          <w:rFonts w:hint="cs"/>
          <w:sz w:val="27"/>
          <w:rtl/>
        </w:rPr>
        <w:t>أ</w:t>
      </w:r>
      <w:r w:rsidRPr="006571AC">
        <w:rPr>
          <w:rFonts w:hint="cs"/>
          <w:sz w:val="27"/>
          <w:rtl/>
        </w:rPr>
        <w:t>ن المهر ليس مطلقاً من ناحية الكثرة</w:t>
      </w:r>
      <w:r w:rsidR="00CA36A4" w:rsidRPr="006571AC">
        <w:rPr>
          <w:rFonts w:hint="cs"/>
          <w:sz w:val="27"/>
          <w:rtl/>
        </w:rPr>
        <w:t>،</w:t>
      </w:r>
      <w:r w:rsidRPr="006571AC">
        <w:rPr>
          <w:rFonts w:hint="cs"/>
          <w:sz w:val="27"/>
          <w:rtl/>
        </w:rPr>
        <w:t xml:space="preserve"> بل هو مقي</w:t>
      </w:r>
      <w:r w:rsidR="00CA36A4" w:rsidRPr="006571AC">
        <w:rPr>
          <w:rFonts w:hint="cs"/>
          <w:sz w:val="27"/>
          <w:rtl/>
        </w:rPr>
        <w:t>َّ</w:t>
      </w:r>
      <w:r w:rsidRPr="006571AC">
        <w:rPr>
          <w:rFonts w:hint="cs"/>
          <w:sz w:val="27"/>
          <w:rtl/>
        </w:rPr>
        <w:t>د</w:t>
      </w:r>
      <w:r w:rsidR="00CA36A4" w:rsidRPr="006571AC">
        <w:rPr>
          <w:rFonts w:hint="cs"/>
          <w:sz w:val="27"/>
          <w:rtl/>
        </w:rPr>
        <w:t>ٌ</w:t>
      </w:r>
      <w:r w:rsidRPr="006571AC">
        <w:rPr>
          <w:rFonts w:hint="cs"/>
          <w:sz w:val="27"/>
          <w:rtl/>
        </w:rPr>
        <w:t xml:space="preserve"> بمهر السن</w:t>
      </w:r>
      <w:r w:rsidR="00CA36A4" w:rsidRPr="006571AC">
        <w:rPr>
          <w:rFonts w:hint="cs"/>
          <w:sz w:val="27"/>
          <w:rtl/>
        </w:rPr>
        <w:t>ّ</w:t>
      </w:r>
      <w:r w:rsidRPr="006571AC">
        <w:rPr>
          <w:rFonts w:hint="cs"/>
          <w:sz w:val="27"/>
          <w:rtl/>
        </w:rPr>
        <w:t>ة</w:t>
      </w:r>
      <w:r w:rsidR="00CA36A4" w:rsidRPr="006571AC">
        <w:rPr>
          <w:rFonts w:hint="cs"/>
          <w:sz w:val="27"/>
          <w:rtl/>
        </w:rPr>
        <w:t>،</w:t>
      </w:r>
      <w:r w:rsidRPr="006571AC">
        <w:rPr>
          <w:rFonts w:hint="cs"/>
          <w:sz w:val="27"/>
          <w:rtl/>
        </w:rPr>
        <w:t xml:space="preserve"> بما يلي: </w:t>
      </w:r>
    </w:p>
    <w:p w:rsidR="00237EB1" w:rsidRPr="006571AC" w:rsidRDefault="00237EB1" w:rsidP="00E60D93">
      <w:pPr>
        <w:rPr>
          <w:sz w:val="27"/>
          <w:rtl/>
        </w:rPr>
      </w:pPr>
      <w:r w:rsidRPr="006571AC">
        <w:rPr>
          <w:rFonts w:hint="cs"/>
          <w:b/>
          <w:bCs/>
          <w:sz w:val="27"/>
          <w:rtl/>
        </w:rPr>
        <w:t>أو</w:t>
      </w:r>
      <w:r w:rsidR="00CA36A4" w:rsidRPr="006571AC">
        <w:rPr>
          <w:rFonts w:hint="cs"/>
          <w:b/>
          <w:bCs/>
          <w:sz w:val="27"/>
          <w:rtl/>
        </w:rPr>
        <w:t>ّ</w:t>
      </w:r>
      <w:r w:rsidRPr="006571AC">
        <w:rPr>
          <w:rFonts w:hint="cs"/>
          <w:b/>
          <w:bCs/>
          <w:sz w:val="27"/>
          <w:rtl/>
        </w:rPr>
        <w:t>لاً</w:t>
      </w:r>
      <w:r w:rsidRPr="006571AC">
        <w:rPr>
          <w:rFonts w:hint="cs"/>
          <w:sz w:val="27"/>
          <w:rtl/>
        </w:rPr>
        <w:t>: إجماع الطائفة</w:t>
      </w:r>
      <w:r w:rsidRPr="006571AC">
        <w:rPr>
          <w:sz w:val="27"/>
          <w:vertAlign w:val="superscript"/>
          <w:rtl/>
        </w:rPr>
        <w:t>(</w:t>
      </w:r>
      <w:r w:rsidRPr="006571AC">
        <w:rPr>
          <w:sz w:val="27"/>
          <w:vertAlign w:val="superscript"/>
          <w:rtl/>
        </w:rPr>
        <w:endnoteReference w:id="451"/>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r w:rsidRPr="006571AC">
        <w:rPr>
          <w:rFonts w:hint="cs"/>
          <w:b/>
          <w:bCs/>
          <w:sz w:val="27"/>
          <w:rtl/>
        </w:rPr>
        <w:t>ثانياً</w:t>
      </w:r>
      <w:r w:rsidRPr="006571AC">
        <w:rPr>
          <w:rFonts w:hint="cs"/>
          <w:sz w:val="27"/>
          <w:rtl/>
        </w:rPr>
        <w:t xml:space="preserve">: </w:t>
      </w:r>
      <w:r w:rsidR="00CA36A4" w:rsidRPr="006571AC">
        <w:rPr>
          <w:rFonts w:hint="cs"/>
          <w:sz w:val="27"/>
          <w:rtl/>
        </w:rPr>
        <w:t>خبر</w:t>
      </w:r>
      <w:r w:rsidRPr="006571AC">
        <w:rPr>
          <w:sz w:val="27"/>
          <w:rtl/>
        </w:rPr>
        <w:t xml:space="preserve"> </w:t>
      </w:r>
      <w:r w:rsidR="00CA36A4" w:rsidRPr="006571AC">
        <w:rPr>
          <w:rFonts w:hint="cs"/>
          <w:sz w:val="27"/>
          <w:rtl/>
        </w:rPr>
        <w:t>ال</w:t>
      </w:r>
      <w:r w:rsidRPr="006571AC">
        <w:rPr>
          <w:rFonts w:hint="cs"/>
          <w:sz w:val="27"/>
          <w:rtl/>
        </w:rPr>
        <w:t>مفض</w:t>
      </w:r>
      <w:r w:rsidR="00CA36A4" w:rsidRPr="006571AC">
        <w:rPr>
          <w:rFonts w:hint="cs"/>
          <w:sz w:val="27"/>
          <w:rtl/>
        </w:rPr>
        <w:t>َّ</w:t>
      </w:r>
      <w:r w:rsidRPr="006571AC">
        <w:rPr>
          <w:rFonts w:hint="cs"/>
          <w:sz w:val="27"/>
          <w:rtl/>
        </w:rPr>
        <w:t>ل</w:t>
      </w:r>
      <w:r w:rsidRPr="006571AC">
        <w:rPr>
          <w:sz w:val="27"/>
          <w:rtl/>
        </w:rPr>
        <w:t xml:space="preserve"> </w:t>
      </w:r>
      <w:r w:rsidRPr="006571AC">
        <w:rPr>
          <w:rFonts w:hint="cs"/>
          <w:sz w:val="27"/>
          <w:rtl/>
        </w:rPr>
        <w:t>بن</w:t>
      </w:r>
      <w:r w:rsidRPr="006571AC">
        <w:rPr>
          <w:sz w:val="27"/>
          <w:rtl/>
        </w:rPr>
        <w:t xml:space="preserve"> </w:t>
      </w:r>
      <w:r w:rsidRPr="006571AC">
        <w:rPr>
          <w:rFonts w:hint="cs"/>
          <w:sz w:val="27"/>
          <w:rtl/>
        </w:rPr>
        <w:t>عمر</w:t>
      </w:r>
      <w:r w:rsidRPr="006571AC">
        <w:rPr>
          <w:sz w:val="27"/>
          <w:rtl/>
        </w:rPr>
        <w:t xml:space="preserve"> </w:t>
      </w:r>
      <w:r w:rsidRPr="006571AC">
        <w:rPr>
          <w:rFonts w:hint="cs"/>
          <w:sz w:val="27"/>
          <w:rtl/>
        </w:rPr>
        <w:t>قال</w:t>
      </w:r>
      <w:r w:rsidRPr="006571AC">
        <w:rPr>
          <w:sz w:val="27"/>
          <w:rtl/>
        </w:rPr>
        <w:t xml:space="preserve">: </w:t>
      </w:r>
      <w:r w:rsidRPr="006571AC">
        <w:rPr>
          <w:rFonts w:hint="cs"/>
          <w:sz w:val="27"/>
          <w:rtl/>
        </w:rPr>
        <w:t>دخلت</w:t>
      </w:r>
      <w:r w:rsidR="00CA36A4" w:rsidRPr="006571AC">
        <w:rPr>
          <w:rFonts w:hint="cs"/>
          <w:sz w:val="27"/>
          <w:rtl/>
        </w:rPr>
        <w:t>ُ</w:t>
      </w:r>
      <w:r w:rsidRPr="006571AC">
        <w:rPr>
          <w:sz w:val="27"/>
          <w:rtl/>
        </w:rPr>
        <w:t xml:space="preserve"> </w:t>
      </w:r>
      <w:r w:rsidRPr="006571AC">
        <w:rPr>
          <w:rFonts w:hint="cs"/>
          <w:sz w:val="27"/>
          <w:rtl/>
        </w:rPr>
        <w:t>على</w:t>
      </w:r>
      <w:r w:rsidRPr="006571AC">
        <w:rPr>
          <w:sz w:val="27"/>
          <w:rtl/>
        </w:rPr>
        <w:t xml:space="preserve"> </w:t>
      </w:r>
      <w:r w:rsidR="00CA36A4" w:rsidRPr="006571AC">
        <w:rPr>
          <w:rFonts w:hint="cs"/>
          <w:sz w:val="27"/>
          <w:rtl/>
        </w:rPr>
        <w:t>أ</w:t>
      </w:r>
      <w:r w:rsidRPr="006571AC">
        <w:rPr>
          <w:rFonts w:hint="cs"/>
          <w:sz w:val="27"/>
          <w:rtl/>
        </w:rPr>
        <w:t>بي</w:t>
      </w:r>
      <w:r w:rsidRPr="006571AC">
        <w:rPr>
          <w:sz w:val="27"/>
          <w:rtl/>
        </w:rPr>
        <w:t xml:space="preserve"> </w:t>
      </w:r>
      <w:r w:rsidRPr="006571AC">
        <w:rPr>
          <w:rFonts w:hint="cs"/>
          <w:sz w:val="27"/>
          <w:rtl/>
        </w:rPr>
        <w:t>عبد</w:t>
      </w:r>
      <w:r w:rsidRPr="006571AC">
        <w:rPr>
          <w:sz w:val="27"/>
          <w:rtl/>
        </w:rPr>
        <w:t xml:space="preserve"> </w:t>
      </w:r>
      <w:r w:rsidRPr="006571AC">
        <w:rPr>
          <w:rFonts w:hint="cs"/>
          <w:sz w:val="27"/>
          <w:rtl/>
        </w:rPr>
        <w:t>الله</w:t>
      </w:r>
      <w:r w:rsidR="002A2C90" w:rsidRPr="006571AC">
        <w:rPr>
          <w:rFonts w:ascii="Mosawi" w:hAnsi="Mosawi" w:cs="Mosawi"/>
          <w:sz w:val="22"/>
          <w:szCs w:val="22"/>
          <w:rtl/>
        </w:rPr>
        <w:t>^</w:t>
      </w:r>
      <w:r w:rsidRPr="006571AC">
        <w:rPr>
          <w:sz w:val="27"/>
          <w:rtl/>
        </w:rPr>
        <w:t xml:space="preserve"> </w:t>
      </w:r>
      <w:r w:rsidRPr="006571AC">
        <w:rPr>
          <w:rFonts w:hint="cs"/>
          <w:sz w:val="27"/>
          <w:rtl/>
        </w:rPr>
        <w:t>فقلت</w:t>
      </w:r>
      <w:r w:rsidR="00CA36A4" w:rsidRPr="006571AC">
        <w:rPr>
          <w:rFonts w:hint="cs"/>
          <w:sz w:val="27"/>
          <w:rtl/>
        </w:rPr>
        <w:t>ُ</w:t>
      </w:r>
      <w:r w:rsidRPr="006571AC">
        <w:rPr>
          <w:sz w:val="27"/>
          <w:rtl/>
        </w:rPr>
        <w:t xml:space="preserve"> </w:t>
      </w:r>
      <w:r w:rsidRPr="006571AC">
        <w:rPr>
          <w:rFonts w:hint="cs"/>
          <w:sz w:val="27"/>
          <w:rtl/>
        </w:rPr>
        <w:t>له</w:t>
      </w:r>
      <w:r w:rsidRPr="006571AC">
        <w:rPr>
          <w:sz w:val="27"/>
          <w:rtl/>
        </w:rPr>
        <w:t xml:space="preserve">: </w:t>
      </w:r>
      <w:r w:rsidRPr="006571AC">
        <w:rPr>
          <w:rFonts w:hint="eastAsia"/>
          <w:sz w:val="24"/>
          <w:szCs w:val="24"/>
          <w:rtl/>
        </w:rPr>
        <w:t>«</w:t>
      </w:r>
      <w:r w:rsidR="00CA36A4" w:rsidRPr="006571AC">
        <w:rPr>
          <w:rFonts w:hint="cs"/>
          <w:sz w:val="27"/>
          <w:rtl/>
        </w:rPr>
        <w:t>أ</w:t>
      </w:r>
      <w:r w:rsidRPr="006571AC">
        <w:rPr>
          <w:rFonts w:hint="cs"/>
          <w:sz w:val="27"/>
          <w:rtl/>
        </w:rPr>
        <w:t>خبرني</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مهر</w:t>
      </w:r>
      <w:r w:rsidRPr="006571AC">
        <w:rPr>
          <w:sz w:val="27"/>
          <w:rtl/>
        </w:rPr>
        <w:t xml:space="preserve"> </w:t>
      </w:r>
      <w:r w:rsidRPr="006571AC">
        <w:rPr>
          <w:rFonts w:hint="cs"/>
          <w:sz w:val="27"/>
          <w:rtl/>
        </w:rPr>
        <w:t>المرأة</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لا</w:t>
      </w:r>
      <w:r w:rsidRPr="006571AC">
        <w:rPr>
          <w:sz w:val="27"/>
          <w:rtl/>
        </w:rPr>
        <w:t xml:space="preserve"> </w:t>
      </w:r>
      <w:r w:rsidRPr="006571AC">
        <w:rPr>
          <w:rFonts w:hint="cs"/>
          <w:sz w:val="27"/>
          <w:rtl/>
        </w:rPr>
        <w:t>يجوز</w:t>
      </w:r>
      <w:r w:rsidRPr="006571AC">
        <w:rPr>
          <w:sz w:val="27"/>
          <w:rtl/>
        </w:rPr>
        <w:t xml:space="preserve"> </w:t>
      </w:r>
      <w:r w:rsidRPr="006571AC">
        <w:rPr>
          <w:rFonts w:hint="cs"/>
          <w:sz w:val="27"/>
          <w:rtl/>
        </w:rPr>
        <w:t>للمؤمنين</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يجوزوه</w:t>
      </w:r>
      <w:r w:rsidR="00CA36A4" w:rsidRPr="006571AC">
        <w:rPr>
          <w:rFonts w:hint="cs"/>
          <w:sz w:val="27"/>
          <w:rtl/>
        </w:rPr>
        <w:t>،</w:t>
      </w:r>
      <w:r w:rsidRPr="006571AC">
        <w:rPr>
          <w:sz w:val="27"/>
          <w:rtl/>
        </w:rPr>
        <w:t xml:space="preserve"> </w:t>
      </w:r>
      <w:r w:rsidRPr="006571AC">
        <w:rPr>
          <w:rFonts w:hint="cs"/>
          <w:sz w:val="27"/>
          <w:rtl/>
        </w:rPr>
        <w:t>قال</w:t>
      </w:r>
      <w:r w:rsidR="00CA36A4" w:rsidRPr="006571AC">
        <w:rPr>
          <w:rFonts w:hint="cs"/>
          <w:sz w:val="27"/>
          <w:rtl/>
        </w:rPr>
        <w:t>:</w:t>
      </w:r>
      <w:r w:rsidRPr="006571AC">
        <w:rPr>
          <w:sz w:val="27"/>
          <w:rtl/>
        </w:rPr>
        <w:t xml:space="preserve"> </w:t>
      </w:r>
      <w:r w:rsidRPr="006571AC">
        <w:rPr>
          <w:rFonts w:hint="cs"/>
          <w:sz w:val="27"/>
          <w:rtl/>
        </w:rPr>
        <w:t>فقال</w:t>
      </w:r>
      <w:r w:rsidRPr="006571AC">
        <w:rPr>
          <w:sz w:val="27"/>
          <w:rtl/>
        </w:rPr>
        <w:t xml:space="preserve">: </w:t>
      </w:r>
      <w:r w:rsidRPr="006571AC">
        <w:rPr>
          <w:rFonts w:hint="cs"/>
          <w:sz w:val="27"/>
          <w:rtl/>
        </w:rPr>
        <w:t>السن</w:t>
      </w:r>
      <w:r w:rsidR="00CA36A4" w:rsidRPr="006571AC">
        <w:rPr>
          <w:rFonts w:hint="cs"/>
          <w:sz w:val="27"/>
          <w:rtl/>
        </w:rPr>
        <w:t>ّ</w:t>
      </w:r>
      <w:r w:rsidRPr="006571AC">
        <w:rPr>
          <w:rFonts w:hint="cs"/>
          <w:sz w:val="27"/>
          <w:rtl/>
        </w:rPr>
        <w:t>ة</w:t>
      </w:r>
      <w:r w:rsidRPr="006571AC">
        <w:rPr>
          <w:sz w:val="27"/>
          <w:rtl/>
        </w:rPr>
        <w:t xml:space="preserve"> </w:t>
      </w:r>
      <w:r w:rsidRPr="006571AC">
        <w:rPr>
          <w:rFonts w:hint="cs"/>
          <w:sz w:val="27"/>
          <w:rtl/>
        </w:rPr>
        <w:t>المحم</w:t>
      </w:r>
      <w:r w:rsidR="00CA36A4" w:rsidRPr="006571AC">
        <w:rPr>
          <w:rFonts w:hint="cs"/>
          <w:sz w:val="27"/>
          <w:rtl/>
        </w:rPr>
        <w:t>ّ</w:t>
      </w:r>
      <w:r w:rsidRPr="006571AC">
        <w:rPr>
          <w:rFonts w:hint="cs"/>
          <w:sz w:val="27"/>
          <w:rtl/>
        </w:rPr>
        <w:t>دية</w:t>
      </w:r>
      <w:r w:rsidRPr="006571AC">
        <w:rPr>
          <w:sz w:val="27"/>
          <w:rtl/>
        </w:rPr>
        <w:t xml:space="preserve"> </w:t>
      </w:r>
      <w:r w:rsidRPr="006571AC">
        <w:rPr>
          <w:rFonts w:hint="cs"/>
          <w:sz w:val="27"/>
          <w:rtl/>
        </w:rPr>
        <w:t>خمسمائة</w:t>
      </w:r>
      <w:r w:rsidRPr="006571AC">
        <w:rPr>
          <w:sz w:val="27"/>
          <w:rtl/>
        </w:rPr>
        <w:t xml:space="preserve"> </w:t>
      </w:r>
      <w:r w:rsidRPr="006571AC">
        <w:rPr>
          <w:rFonts w:hint="cs"/>
          <w:sz w:val="27"/>
          <w:rtl/>
        </w:rPr>
        <w:t>درهم</w:t>
      </w:r>
      <w:r w:rsidR="00CA36A4" w:rsidRPr="006571AC">
        <w:rPr>
          <w:rFonts w:hint="cs"/>
          <w:sz w:val="27"/>
          <w:rtl/>
        </w:rPr>
        <w:t>،</w:t>
      </w:r>
      <w:r w:rsidRPr="006571AC">
        <w:rPr>
          <w:sz w:val="27"/>
          <w:rtl/>
        </w:rPr>
        <w:t xml:space="preserve"> </w:t>
      </w:r>
      <w:r w:rsidRPr="006571AC">
        <w:rPr>
          <w:rFonts w:hint="cs"/>
          <w:sz w:val="27"/>
          <w:rtl/>
        </w:rPr>
        <w:t>فم</w:t>
      </w:r>
      <w:r w:rsidR="00CA36A4" w:rsidRPr="006571AC">
        <w:rPr>
          <w:rFonts w:hint="cs"/>
          <w:sz w:val="27"/>
          <w:rtl/>
        </w:rPr>
        <w:t>َ</w:t>
      </w:r>
      <w:r w:rsidRPr="006571AC">
        <w:rPr>
          <w:rFonts w:hint="cs"/>
          <w:sz w:val="27"/>
          <w:rtl/>
        </w:rPr>
        <w:t>ن</w:t>
      </w:r>
      <w:r w:rsidR="00CA36A4" w:rsidRPr="006571AC">
        <w:rPr>
          <w:rFonts w:hint="cs"/>
          <w:sz w:val="27"/>
          <w:rtl/>
        </w:rPr>
        <w:t>ْ</w:t>
      </w:r>
      <w:r w:rsidRPr="006571AC">
        <w:rPr>
          <w:sz w:val="27"/>
          <w:rtl/>
        </w:rPr>
        <w:t xml:space="preserve"> </w:t>
      </w:r>
      <w:r w:rsidRPr="006571AC">
        <w:rPr>
          <w:rFonts w:hint="cs"/>
          <w:sz w:val="27"/>
          <w:rtl/>
        </w:rPr>
        <w:t>زاد</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ر</w:t>
      </w:r>
      <w:r w:rsidR="00CA36A4" w:rsidRPr="006571AC">
        <w:rPr>
          <w:rFonts w:hint="cs"/>
          <w:sz w:val="27"/>
          <w:rtl/>
        </w:rPr>
        <w:t>ُ</w:t>
      </w:r>
      <w:r w:rsidRPr="006571AC">
        <w:rPr>
          <w:rFonts w:hint="cs"/>
          <w:sz w:val="27"/>
          <w:rtl/>
        </w:rPr>
        <w:t>د</w:t>
      </w:r>
      <w:r w:rsidR="00CA36A4" w:rsidRPr="006571AC">
        <w:rPr>
          <w:rFonts w:hint="cs"/>
          <w:sz w:val="27"/>
          <w:rtl/>
        </w:rPr>
        <w:t>ّ</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السن</w:t>
      </w:r>
      <w:r w:rsidR="00CA36A4" w:rsidRPr="006571AC">
        <w:rPr>
          <w:rFonts w:hint="cs"/>
          <w:sz w:val="27"/>
          <w:rtl/>
        </w:rPr>
        <w:t>ّ</w:t>
      </w:r>
      <w:r w:rsidRPr="006571AC">
        <w:rPr>
          <w:rFonts w:hint="cs"/>
          <w:sz w:val="27"/>
          <w:rtl/>
        </w:rPr>
        <w:t>ة</w:t>
      </w:r>
      <w:r w:rsidR="00CA36A4" w:rsidRPr="006571AC">
        <w:rPr>
          <w:rFonts w:hint="cs"/>
          <w:sz w:val="27"/>
          <w:rtl/>
        </w:rPr>
        <w:t>،</w:t>
      </w:r>
      <w:r w:rsidRPr="006571AC">
        <w:rPr>
          <w:sz w:val="27"/>
          <w:rtl/>
        </w:rPr>
        <w:t xml:space="preserve"> </w:t>
      </w:r>
      <w:r w:rsidRPr="006571AC">
        <w:rPr>
          <w:rFonts w:hint="cs"/>
          <w:sz w:val="27"/>
          <w:rtl/>
        </w:rPr>
        <w:t>ولا</w:t>
      </w:r>
      <w:r w:rsidRPr="006571AC">
        <w:rPr>
          <w:sz w:val="27"/>
          <w:rtl/>
        </w:rPr>
        <w:t xml:space="preserve"> </w:t>
      </w:r>
      <w:r w:rsidRPr="006571AC">
        <w:rPr>
          <w:rFonts w:hint="cs"/>
          <w:sz w:val="27"/>
          <w:rtl/>
        </w:rPr>
        <w:t>شيء</w:t>
      </w:r>
      <w:r w:rsidRPr="006571AC">
        <w:rPr>
          <w:sz w:val="27"/>
          <w:rtl/>
        </w:rPr>
        <w:t xml:space="preserve"> </w:t>
      </w:r>
      <w:r w:rsidRPr="006571AC">
        <w:rPr>
          <w:rFonts w:hint="cs"/>
          <w:sz w:val="27"/>
          <w:rtl/>
        </w:rPr>
        <w:t>عليه</w:t>
      </w:r>
      <w:r w:rsidRPr="006571AC">
        <w:rPr>
          <w:sz w:val="27"/>
          <w:rtl/>
        </w:rPr>
        <w:t xml:space="preserve"> </w:t>
      </w:r>
      <w:r w:rsidR="00CA36A4" w:rsidRPr="006571AC">
        <w:rPr>
          <w:rFonts w:hint="cs"/>
          <w:sz w:val="27"/>
          <w:rtl/>
        </w:rPr>
        <w:t>أ</w:t>
      </w:r>
      <w:r w:rsidRPr="006571AC">
        <w:rPr>
          <w:rFonts w:hint="cs"/>
          <w:sz w:val="27"/>
          <w:rtl/>
        </w:rPr>
        <w:t>كثر</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الخمسمائة</w:t>
      </w:r>
      <w:r w:rsidRPr="006571AC">
        <w:rPr>
          <w:sz w:val="27"/>
          <w:rtl/>
        </w:rPr>
        <w:t xml:space="preserve"> </w:t>
      </w:r>
      <w:r w:rsidRPr="006571AC">
        <w:rPr>
          <w:rFonts w:hint="cs"/>
          <w:sz w:val="27"/>
          <w:rtl/>
        </w:rPr>
        <w:t>درهم</w:t>
      </w:r>
      <w:r w:rsidRPr="006571AC">
        <w:rPr>
          <w:rFonts w:hint="eastAsia"/>
          <w:sz w:val="24"/>
          <w:szCs w:val="24"/>
          <w:rtl/>
        </w:rPr>
        <w:t>»</w:t>
      </w:r>
      <w:r w:rsidRPr="006571AC">
        <w:rPr>
          <w:sz w:val="27"/>
          <w:vertAlign w:val="superscript"/>
          <w:rtl/>
        </w:rPr>
        <w:t>(</w:t>
      </w:r>
      <w:r w:rsidRPr="006571AC">
        <w:rPr>
          <w:sz w:val="27"/>
          <w:vertAlign w:val="superscript"/>
          <w:rtl/>
        </w:rPr>
        <w:endnoteReference w:id="452"/>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r w:rsidRPr="006571AC">
        <w:rPr>
          <w:rFonts w:hint="cs"/>
          <w:b/>
          <w:bCs/>
          <w:sz w:val="27"/>
          <w:rtl/>
        </w:rPr>
        <w:t>ثالثاً</w:t>
      </w:r>
      <w:r w:rsidRPr="006571AC">
        <w:rPr>
          <w:rFonts w:hint="cs"/>
          <w:sz w:val="27"/>
          <w:rtl/>
        </w:rPr>
        <w:t xml:space="preserve">: </w:t>
      </w:r>
      <w:r w:rsidR="00CA36A4" w:rsidRPr="006571AC">
        <w:rPr>
          <w:rFonts w:hint="cs"/>
          <w:sz w:val="27"/>
          <w:rtl/>
        </w:rPr>
        <w:t>إ</w:t>
      </w:r>
      <w:r w:rsidRPr="006571AC">
        <w:rPr>
          <w:rFonts w:hint="cs"/>
          <w:sz w:val="27"/>
          <w:rtl/>
        </w:rPr>
        <w:t>ن القول</w:t>
      </w:r>
      <w:r w:rsidRPr="006571AC">
        <w:rPr>
          <w:sz w:val="27"/>
          <w:rtl/>
        </w:rPr>
        <w:t xml:space="preserve"> </w:t>
      </w:r>
      <w:r w:rsidRPr="006571AC">
        <w:rPr>
          <w:sz w:val="24"/>
          <w:szCs w:val="24"/>
          <w:rtl/>
        </w:rPr>
        <w:t>«</w:t>
      </w:r>
      <w:r w:rsidRPr="006571AC">
        <w:rPr>
          <w:rFonts w:hint="cs"/>
          <w:sz w:val="27"/>
          <w:rtl/>
        </w:rPr>
        <w:t>مهر</w:t>
      </w:r>
      <w:r w:rsidRPr="006571AC">
        <w:rPr>
          <w:rFonts w:hint="eastAsia"/>
          <w:sz w:val="24"/>
          <w:szCs w:val="24"/>
          <w:rtl/>
        </w:rPr>
        <w:t>»</w:t>
      </w:r>
      <w:r w:rsidRPr="006571AC">
        <w:rPr>
          <w:sz w:val="27"/>
          <w:rtl/>
        </w:rPr>
        <w:t xml:space="preserve"> </w:t>
      </w:r>
      <w:r w:rsidRPr="006571AC">
        <w:rPr>
          <w:rFonts w:hint="cs"/>
          <w:sz w:val="27"/>
          <w:rtl/>
        </w:rPr>
        <w:t>يتبعه</w:t>
      </w:r>
      <w:r w:rsidRPr="006571AC">
        <w:rPr>
          <w:sz w:val="27"/>
          <w:rtl/>
        </w:rPr>
        <w:t xml:space="preserve"> </w:t>
      </w:r>
      <w:r w:rsidRPr="006571AC">
        <w:rPr>
          <w:rFonts w:hint="cs"/>
          <w:sz w:val="27"/>
          <w:rtl/>
        </w:rPr>
        <w:t>أحكام</w:t>
      </w:r>
      <w:r w:rsidR="00CA36A4" w:rsidRPr="006571AC">
        <w:rPr>
          <w:rFonts w:hint="cs"/>
          <w:sz w:val="27"/>
          <w:rtl/>
        </w:rPr>
        <w:t>ٌ</w:t>
      </w:r>
      <w:r w:rsidRPr="006571AC">
        <w:rPr>
          <w:sz w:val="27"/>
          <w:rtl/>
        </w:rPr>
        <w:t xml:space="preserve"> </w:t>
      </w:r>
      <w:r w:rsidRPr="006571AC">
        <w:rPr>
          <w:rFonts w:hint="cs"/>
          <w:sz w:val="27"/>
          <w:rtl/>
        </w:rPr>
        <w:t>شرعية، وقد</w:t>
      </w:r>
      <w:r w:rsidRPr="006571AC">
        <w:rPr>
          <w:sz w:val="27"/>
          <w:rtl/>
        </w:rPr>
        <w:t xml:space="preserve"> </w:t>
      </w:r>
      <w:r w:rsidRPr="006571AC">
        <w:rPr>
          <w:rFonts w:hint="cs"/>
          <w:sz w:val="27"/>
          <w:rtl/>
        </w:rPr>
        <w:t>أ</w:t>
      </w:r>
      <w:r w:rsidR="00A1010E" w:rsidRPr="006571AC">
        <w:rPr>
          <w:rFonts w:hint="cs"/>
          <w:sz w:val="27"/>
          <w:rtl/>
        </w:rPr>
        <w:t>ُ</w:t>
      </w:r>
      <w:r w:rsidRPr="006571AC">
        <w:rPr>
          <w:rFonts w:hint="cs"/>
          <w:sz w:val="27"/>
          <w:rtl/>
        </w:rPr>
        <w:t>ج</w:t>
      </w:r>
      <w:r w:rsidR="00A1010E" w:rsidRPr="006571AC">
        <w:rPr>
          <w:rFonts w:hint="cs"/>
          <w:sz w:val="27"/>
          <w:rtl/>
        </w:rPr>
        <w:t>ْ</w:t>
      </w:r>
      <w:r w:rsidRPr="006571AC">
        <w:rPr>
          <w:rFonts w:hint="cs"/>
          <w:sz w:val="27"/>
          <w:rtl/>
        </w:rPr>
        <w:t>م</w:t>
      </w:r>
      <w:r w:rsidR="00A1010E" w:rsidRPr="006571AC">
        <w:rPr>
          <w:rFonts w:hint="cs"/>
          <w:sz w:val="27"/>
          <w:rtl/>
        </w:rPr>
        <w:t>ِ</w:t>
      </w:r>
      <w:r w:rsidRPr="006571AC">
        <w:rPr>
          <w:rFonts w:hint="cs"/>
          <w:sz w:val="27"/>
          <w:rtl/>
        </w:rPr>
        <w:t>ع</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الأحكام</w:t>
      </w:r>
      <w:r w:rsidRPr="006571AC">
        <w:rPr>
          <w:sz w:val="27"/>
          <w:rtl/>
        </w:rPr>
        <w:t xml:space="preserve"> </w:t>
      </w:r>
      <w:r w:rsidRPr="006571AC">
        <w:rPr>
          <w:rFonts w:hint="cs"/>
          <w:sz w:val="27"/>
          <w:rtl/>
        </w:rPr>
        <w:t>الشرعية</w:t>
      </w:r>
      <w:r w:rsidRPr="006571AC">
        <w:rPr>
          <w:sz w:val="27"/>
          <w:rtl/>
        </w:rPr>
        <w:t xml:space="preserve"> </w:t>
      </w:r>
      <w:r w:rsidRPr="006571AC">
        <w:rPr>
          <w:rFonts w:hint="cs"/>
          <w:sz w:val="27"/>
          <w:rtl/>
        </w:rPr>
        <w:t>تتبع</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قيل</w:t>
      </w:r>
      <w:r w:rsidRPr="006571AC">
        <w:rPr>
          <w:sz w:val="27"/>
          <w:rtl/>
        </w:rPr>
        <w:t xml:space="preserve"> </w:t>
      </w:r>
      <w:r w:rsidRPr="006571AC">
        <w:rPr>
          <w:rFonts w:hint="cs"/>
          <w:sz w:val="27"/>
          <w:rtl/>
        </w:rPr>
        <w:t>به (مهر السن</w:t>
      </w:r>
      <w:r w:rsidR="00CA36A4" w:rsidRPr="006571AC">
        <w:rPr>
          <w:rFonts w:hint="cs"/>
          <w:sz w:val="27"/>
          <w:rtl/>
        </w:rPr>
        <w:t>ّ</w:t>
      </w:r>
      <w:r w:rsidRPr="006571AC">
        <w:rPr>
          <w:rFonts w:hint="cs"/>
          <w:sz w:val="27"/>
          <w:rtl/>
        </w:rPr>
        <w:t>ة) إذا</w:t>
      </w:r>
      <w:r w:rsidRPr="006571AC">
        <w:rPr>
          <w:sz w:val="27"/>
          <w:rtl/>
        </w:rPr>
        <w:t xml:space="preserve"> </w:t>
      </w:r>
      <w:r w:rsidRPr="006571AC">
        <w:rPr>
          <w:rFonts w:hint="cs"/>
          <w:sz w:val="27"/>
          <w:rtl/>
        </w:rPr>
        <w:t>وقع</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عليه، وما</w:t>
      </w:r>
      <w:r w:rsidRPr="006571AC">
        <w:rPr>
          <w:sz w:val="27"/>
          <w:rtl/>
        </w:rPr>
        <w:t xml:space="preserve"> </w:t>
      </w:r>
      <w:r w:rsidRPr="006571AC">
        <w:rPr>
          <w:rFonts w:hint="cs"/>
          <w:sz w:val="27"/>
          <w:rtl/>
        </w:rPr>
        <w:t xml:space="preserve">زاد </w:t>
      </w:r>
      <w:r w:rsidR="00CA36A4" w:rsidRPr="006571AC">
        <w:rPr>
          <w:rFonts w:hint="cs"/>
          <w:sz w:val="27"/>
          <w:rtl/>
        </w:rPr>
        <w:t xml:space="preserve">عليه </w:t>
      </w:r>
      <w:r w:rsidRPr="006571AC">
        <w:rPr>
          <w:rFonts w:hint="cs"/>
          <w:sz w:val="27"/>
          <w:rtl/>
        </w:rPr>
        <w:t>(على مهر السن</w:t>
      </w:r>
      <w:r w:rsidR="00CA36A4" w:rsidRPr="006571AC">
        <w:rPr>
          <w:rFonts w:hint="cs"/>
          <w:sz w:val="27"/>
          <w:rtl/>
        </w:rPr>
        <w:t>ّ</w:t>
      </w:r>
      <w:r w:rsidRPr="006571AC">
        <w:rPr>
          <w:rFonts w:hint="cs"/>
          <w:sz w:val="27"/>
          <w:rtl/>
        </w:rPr>
        <w:t>ة) لا</w:t>
      </w:r>
      <w:r w:rsidRPr="006571AC">
        <w:rPr>
          <w:sz w:val="27"/>
          <w:rtl/>
        </w:rPr>
        <w:t xml:space="preserve"> </w:t>
      </w:r>
      <w:r w:rsidRPr="006571AC">
        <w:rPr>
          <w:rFonts w:hint="cs"/>
          <w:sz w:val="27"/>
          <w:rtl/>
        </w:rPr>
        <w:t>إجماع</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أنه</w:t>
      </w:r>
      <w:r w:rsidRPr="006571AC">
        <w:rPr>
          <w:sz w:val="27"/>
          <w:rtl/>
        </w:rPr>
        <w:t xml:space="preserve"> </w:t>
      </w:r>
      <w:r w:rsidRPr="006571AC">
        <w:rPr>
          <w:rFonts w:hint="cs"/>
          <w:sz w:val="27"/>
          <w:rtl/>
        </w:rPr>
        <w:t>يكون</w:t>
      </w:r>
      <w:r w:rsidRPr="006571AC">
        <w:rPr>
          <w:sz w:val="27"/>
          <w:rtl/>
        </w:rPr>
        <w:t xml:space="preserve"> </w:t>
      </w:r>
      <w:r w:rsidRPr="006571AC">
        <w:rPr>
          <w:rFonts w:hint="cs"/>
          <w:sz w:val="27"/>
          <w:rtl/>
        </w:rPr>
        <w:t>مهرا</w:t>
      </w:r>
      <w:r w:rsidR="00CA36A4" w:rsidRPr="006571AC">
        <w:rPr>
          <w:rFonts w:hint="cs"/>
          <w:sz w:val="27"/>
          <w:rtl/>
        </w:rPr>
        <w:t>ً</w:t>
      </w:r>
      <w:r w:rsidRPr="006571AC">
        <w:rPr>
          <w:rFonts w:hint="cs"/>
          <w:sz w:val="27"/>
          <w:rtl/>
        </w:rPr>
        <w:t>، ولا</w:t>
      </w:r>
      <w:r w:rsidRPr="006571AC">
        <w:rPr>
          <w:sz w:val="27"/>
          <w:rtl/>
        </w:rPr>
        <w:t xml:space="preserve"> </w:t>
      </w:r>
      <w:r w:rsidRPr="006571AC">
        <w:rPr>
          <w:rFonts w:hint="cs"/>
          <w:sz w:val="27"/>
          <w:rtl/>
        </w:rPr>
        <w:t>دليل</w:t>
      </w:r>
      <w:r w:rsidRPr="006571AC">
        <w:rPr>
          <w:sz w:val="27"/>
          <w:rtl/>
        </w:rPr>
        <w:t xml:space="preserve"> </w:t>
      </w:r>
      <w:r w:rsidRPr="006571AC">
        <w:rPr>
          <w:rFonts w:hint="cs"/>
          <w:sz w:val="27"/>
          <w:rtl/>
        </w:rPr>
        <w:t>شرعيا</w:t>
      </w:r>
      <w:r w:rsidR="00CA36A4" w:rsidRPr="006571AC">
        <w:rPr>
          <w:rFonts w:hint="cs"/>
          <w:sz w:val="27"/>
          <w:rtl/>
        </w:rPr>
        <w:t>ً</w:t>
      </w:r>
      <w:r w:rsidRPr="006571AC">
        <w:rPr>
          <w:rFonts w:hint="cs"/>
          <w:sz w:val="27"/>
          <w:rtl/>
        </w:rPr>
        <w:t>، فيجب</w:t>
      </w:r>
      <w:r w:rsidRPr="006571AC">
        <w:rPr>
          <w:sz w:val="27"/>
          <w:rtl/>
        </w:rPr>
        <w:t xml:space="preserve"> </w:t>
      </w:r>
      <w:r w:rsidRPr="006571AC">
        <w:rPr>
          <w:rFonts w:hint="cs"/>
          <w:sz w:val="27"/>
          <w:rtl/>
        </w:rPr>
        <w:t>نفي</w:t>
      </w:r>
      <w:r w:rsidRPr="006571AC">
        <w:rPr>
          <w:sz w:val="27"/>
          <w:rtl/>
        </w:rPr>
        <w:t xml:space="preserve"> </w:t>
      </w:r>
      <w:r w:rsidRPr="006571AC">
        <w:rPr>
          <w:rFonts w:hint="cs"/>
          <w:sz w:val="27"/>
          <w:rtl/>
        </w:rPr>
        <w:t>الزيادة</w:t>
      </w:r>
      <w:r w:rsidRPr="006571AC">
        <w:rPr>
          <w:sz w:val="27"/>
          <w:vertAlign w:val="superscript"/>
          <w:rtl/>
        </w:rPr>
        <w:t>(</w:t>
      </w:r>
      <w:r w:rsidRPr="006571AC">
        <w:rPr>
          <w:sz w:val="27"/>
          <w:vertAlign w:val="superscript"/>
          <w:rtl/>
        </w:rPr>
        <w:endnoteReference w:id="453"/>
      </w:r>
      <w:r w:rsidRPr="006571AC">
        <w:rPr>
          <w:sz w:val="27"/>
          <w:vertAlign w:val="superscript"/>
          <w:rtl/>
        </w:rPr>
        <w:t>)</w:t>
      </w:r>
      <w:r w:rsidRPr="006571AC">
        <w:rPr>
          <w:sz w:val="27"/>
          <w:rtl/>
        </w:rPr>
        <w:t xml:space="preserve">. </w:t>
      </w:r>
    </w:p>
    <w:p w:rsidR="00237EB1" w:rsidRPr="006571AC" w:rsidRDefault="00237EB1" w:rsidP="0022224E">
      <w:pPr>
        <w:pStyle w:val="31"/>
        <w:rPr>
          <w:color w:val="auto"/>
          <w:rtl/>
        </w:rPr>
      </w:pPr>
      <w:bookmarkStart w:id="279" w:name="_Toc79281939"/>
      <w:bookmarkStart w:id="280" w:name="_Toc114164715"/>
      <w:r w:rsidRPr="006571AC">
        <w:rPr>
          <w:rFonts w:hint="cs"/>
          <w:color w:val="auto"/>
          <w:rtl/>
        </w:rPr>
        <w:lastRenderedPageBreak/>
        <w:t>2ـ أدل</w:t>
      </w:r>
      <w:r w:rsidR="00A71A46" w:rsidRPr="006571AC">
        <w:rPr>
          <w:rFonts w:hint="cs"/>
          <w:color w:val="auto"/>
          <w:rtl/>
        </w:rPr>
        <w:t>ّ</w:t>
      </w:r>
      <w:r w:rsidRPr="006571AC">
        <w:rPr>
          <w:rFonts w:hint="cs"/>
          <w:color w:val="auto"/>
          <w:rtl/>
        </w:rPr>
        <w:t>ة المشهور</w:t>
      </w:r>
      <w:bookmarkEnd w:id="279"/>
      <w:bookmarkEnd w:id="280"/>
    </w:p>
    <w:p w:rsidR="00237EB1" w:rsidRPr="006571AC" w:rsidRDefault="00237EB1" w:rsidP="00C3538C">
      <w:pPr>
        <w:spacing w:line="410" w:lineRule="exact"/>
        <w:rPr>
          <w:sz w:val="27"/>
          <w:rtl/>
        </w:rPr>
      </w:pPr>
      <w:r w:rsidRPr="006571AC">
        <w:rPr>
          <w:rFonts w:hint="cs"/>
          <w:sz w:val="27"/>
          <w:rtl/>
        </w:rPr>
        <w:t>وأمّا المشهور فقد استدل</w:t>
      </w:r>
      <w:r w:rsidR="00A71A46" w:rsidRPr="006571AC">
        <w:rPr>
          <w:rFonts w:hint="cs"/>
          <w:sz w:val="27"/>
          <w:rtl/>
        </w:rPr>
        <w:t>ّ</w:t>
      </w:r>
      <w:r w:rsidRPr="006571AC">
        <w:rPr>
          <w:rFonts w:hint="cs"/>
          <w:sz w:val="27"/>
          <w:rtl/>
        </w:rPr>
        <w:t xml:space="preserve">وا على إطلاق المهر من ناحية الكثرة بما يلي: </w:t>
      </w:r>
    </w:p>
    <w:p w:rsidR="00237EB1" w:rsidRPr="006571AC" w:rsidRDefault="00237EB1" w:rsidP="00E81C41">
      <w:pPr>
        <w:rPr>
          <w:sz w:val="27"/>
          <w:rtl/>
        </w:rPr>
      </w:pPr>
      <w:r w:rsidRPr="006571AC">
        <w:rPr>
          <w:rFonts w:hint="cs"/>
          <w:b/>
          <w:bCs/>
          <w:sz w:val="27"/>
          <w:rtl/>
        </w:rPr>
        <w:t>أو</w:t>
      </w:r>
      <w:r w:rsidR="00A71A46" w:rsidRPr="006571AC">
        <w:rPr>
          <w:rFonts w:hint="cs"/>
          <w:b/>
          <w:bCs/>
          <w:sz w:val="27"/>
          <w:rtl/>
        </w:rPr>
        <w:t>ّ</w:t>
      </w:r>
      <w:r w:rsidRPr="006571AC">
        <w:rPr>
          <w:rFonts w:hint="cs"/>
          <w:b/>
          <w:bCs/>
          <w:sz w:val="27"/>
          <w:rtl/>
        </w:rPr>
        <w:t>لاً</w:t>
      </w:r>
      <w:r w:rsidRPr="006571AC">
        <w:rPr>
          <w:rFonts w:hint="cs"/>
          <w:sz w:val="27"/>
          <w:rtl/>
        </w:rPr>
        <w:t xml:space="preserve">: قوله تعالى: </w:t>
      </w:r>
      <w:r w:rsidRPr="006571AC">
        <w:rPr>
          <w:rFonts w:ascii="Mosawi" w:hAnsi="Mosawi" w:cs="Mosawi"/>
          <w:sz w:val="24"/>
          <w:szCs w:val="24"/>
          <w:rtl/>
        </w:rPr>
        <w:t>﴿</w:t>
      </w:r>
      <w:r w:rsidRPr="006571AC">
        <w:rPr>
          <w:rFonts w:hint="cs"/>
          <w:b/>
          <w:bCs/>
          <w:sz w:val="27"/>
          <w:rtl/>
        </w:rPr>
        <w:t>وَآتَيْتُمْ</w:t>
      </w:r>
      <w:r w:rsidRPr="006571AC">
        <w:rPr>
          <w:b/>
          <w:bCs/>
          <w:sz w:val="27"/>
          <w:rtl/>
        </w:rPr>
        <w:t xml:space="preserve"> </w:t>
      </w:r>
      <w:r w:rsidRPr="006571AC">
        <w:rPr>
          <w:rFonts w:hint="cs"/>
          <w:b/>
          <w:bCs/>
          <w:sz w:val="27"/>
          <w:rtl/>
        </w:rPr>
        <w:t>إِحْد</w:t>
      </w:r>
      <w:r w:rsidR="00A71A46" w:rsidRPr="006571AC">
        <w:rPr>
          <w:rFonts w:hint="cs"/>
          <w:b/>
          <w:bCs/>
          <w:sz w:val="27"/>
          <w:rtl/>
        </w:rPr>
        <w:t>َ</w:t>
      </w:r>
      <w:r w:rsidRPr="006571AC">
        <w:rPr>
          <w:rFonts w:hint="cs"/>
          <w:b/>
          <w:bCs/>
          <w:sz w:val="27"/>
          <w:rtl/>
        </w:rPr>
        <w:t>اهُنَّ قِنْطاراً فَلا</w:t>
      </w:r>
      <w:r w:rsidR="00A71A46" w:rsidRPr="006571AC">
        <w:rPr>
          <w:rFonts w:hint="cs"/>
          <w:b/>
          <w:bCs/>
          <w:sz w:val="27"/>
          <w:rtl/>
        </w:rPr>
        <w:t>َ</w:t>
      </w:r>
      <w:r w:rsidRPr="006571AC">
        <w:rPr>
          <w:b/>
          <w:bCs/>
          <w:sz w:val="27"/>
          <w:rtl/>
        </w:rPr>
        <w:t xml:space="preserve"> </w:t>
      </w:r>
      <w:r w:rsidRPr="006571AC">
        <w:rPr>
          <w:rFonts w:hint="cs"/>
          <w:b/>
          <w:bCs/>
          <w:sz w:val="27"/>
          <w:rtl/>
        </w:rPr>
        <w:t>تَأْخُذُوا</w:t>
      </w:r>
      <w:r w:rsidRPr="006571AC">
        <w:rPr>
          <w:b/>
          <w:bCs/>
          <w:sz w:val="27"/>
          <w:rtl/>
        </w:rPr>
        <w:t xml:space="preserve"> </w:t>
      </w:r>
      <w:r w:rsidRPr="006571AC">
        <w:rPr>
          <w:rFonts w:hint="cs"/>
          <w:b/>
          <w:bCs/>
          <w:sz w:val="27"/>
          <w:rtl/>
        </w:rPr>
        <w:t>مِنْهُ</w:t>
      </w:r>
      <w:r w:rsidRPr="006571AC">
        <w:rPr>
          <w:b/>
          <w:bCs/>
          <w:sz w:val="27"/>
          <w:rtl/>
        </w:rPr>
        <w:t xml:space="preserve"> </w:t>
      </w:r>
      <w:r w:rsidRPr="006571AC">
        <w:rPr>
          <w:rFonts w:hint="cs"/>
          <w:b/>
          <w:bCs/>
          <w:sz w:val="27"/>
          <w:rtl/>
        </w:rPr>
        <w:t>شَيْئاً</w:t>
      </w:r>
      <w:r w:rsidRPr="006571AC">
        <w:rPr>
          <w:b/>
          <w:bCs/>
          <w:sz w:val="27"/>
          <w:rtl/>
        </w:rPr>
        <w:t xml:space="preserve"> </w:t>
      </w:r>
      <w:r w:rsidRPr="006571AC">
        <w:rPr>
          <w:rFonts w:hint="cs"/>
          <w:b/>
          <w:bCs/>
          <w:sz w:val="27"/>
          <w:rtl/>
        </w:rPr>
        <w:t>أَتَأْخُذُونَهُ</w:t>
      </w:r>
      <w:r w:rsidRPr="006571AC">
        <w:rPr>
          <w:b/>
          <w:bCs/>
          <w:sz w:val="27"/>
          <w:rtl/>
        </w:rPr>
        <w:t xml:space="preserve"> </w:t>
      </w:r>
      <w:r w:rsidRPr="006571AC">
        <w:rPr>
          <w:rFonts w:hint="cs"/>
          <w:b/>
          <w:bCs/>
          <w:sz w:val="27"/>
          <w:rtl/>
        </w:rPr>
        <w:t>بُهْت</w:t>
      </w:r>
      <w:r w:rsidR="00A71A46" w:rsidRPr="006571AC">
        <w:rPr>
          <w:rFonts w:hint="cs"/>
          <w:b/>
          <w:bCs/>
          <w:sz w:val="27"/>
          <w:rtl/>
        </w:rPr>
        <w:t>َ</w:t>
      </w:r>
      <w:r w:rsidRPr="006571AC">
        <w:rPr>
          <w:rFonts w:hint="cs"/>
          <w:b/>
          <w:bCs/>
          <w:sz w:val="27"/>
          <w:rtl/>
        </w:rPr>
        <w:t>اناً</w:t>
      </w:r>
      <w:r w:rsidRPr="006571AC">
        <w:rPr>
          <w:b/>
          <w:bCs/>
          <w:sz w:val="27"/>
          <w:rtl/>
        </w:rPr>
        <w:t xml:space="preserve"> </w:t>
      </w:r>
      <w:r w:rsidRPr="006571AC">
        <w:rPr>
          <w:rFonts w:hint="cs"/>
          <w:b/>
          <w:bCs/>
          <w:sz w:val="27"/>
          <w:rtl/>
        </w:rPr>
        <w:t>وَإِثْماً</w:t>
      </w:r>
      <w:r w:rsidRPr="006571AC">
        <w:rPr>
          <w:b/>
          <w:bCs/>
          <w:sz w:val="27"/>
          <w:rtl/>
        </w:rPr>
        <w:t xml:space="preserve"> </w:t>
      </w:r>
      <w:r w:rsidRPr="006571AC">
        <w:rPr>
          <w:rFonts w:hint="cs"/>
          <w:b/>
          <w:bCs/>
          <w:sz w:val="27"/>
          <w:rtl/>
        </w:rPr>
        <w:t>مُبِيناً</w:t>
      </w:r>
      <w:r w:rsidRPr="006571AC">
        <w:rPr>
          <w:rFonts w:ascii="Mosawi" w:hAnsi="Mosawi" w:cs="Mosawi"/>
          <w:sz w:val="24"/>
          <w:szCs w:val="24"/>
          <w:rtl/>
        </w:rPr>
        <w:t>﴾</w:t>
      </w:r>
      <w:r w:rsidRPr="006571AC">
        <w:rPr>
          <w:sz w:val="27"/>
          <w:rtl/>
        </w:rPr>
        <w:t xml:space="preserve"> (</w:t>
      </w:r>
      <w:r w:rsidRPr="006571AC">
        <w:rPr>
          <w:rFonts w:hint="cs"/>
          <w:sz w:val="27"/>
          <w:rtl/>
        </w:rPr>
        <w:t>النساء: 20</w:t>
      </w:r>
      <w:r w:rsidR="00A71A46" w:rsidRPr="006571AC">
        <w:rPr>
          <w:rFonts w:hint="cs"/>
          <w:sz w:val="27"/>
          <w:rtl/>
        </w:rPr>
        <w:t>)،</w:t>
      </w:r>
      <w:r w:rsidRPr="006571AC">
        <w:rPr>
          <w:rFonts w:hint="cs"/>
          <w:sz w:val="27"/>
          <w:rtl/>
        </w:rPr>
        <w:t xml:space="preserve"> وعموم</w:t>
      </w:r>
      <w:r w:rsidR="00A71A46" w:rsidRPr="006571AC">
        <w:rPr>
          <w:rFonts w:hint="cs"/>
          <w:sz w:val="27"/>
          <w:rtl/>
        </w:rPr>
        <w:t xml:space="preserve"> قوله:</w:t>
      </w:r>
      <w:r w:rsidR="00A71A46" w:rsidRPr="006571AC">
        <w:rPr>
          <w:rFonts w:ascii="Mosawi" w:hAnsi="Mosawi" w:cs="Mosawi" w:hint="cs"/>
          <w:sz w:val="24"/>
          <w:szCs w:val="24"/>
          <w:rtl/>
        </w:rPr>
        <w:t xml:space="preserve"> </w:t>
      </w:r>
      <w:r w:rsidRPr="006571AC">
        <w:rPr>
          <w:rFonts w:ascii="Mosawi" w:hAnsi="Mosawi" w:cs="Mosawi"/>
          <w:sz w:val="24"/>
          <w:szCs w:val="24"/>
          <w:rtl/>
        </w:rPr>
        <w:t>﴿</w:t>
      </w:r>
      <w:r w:rsidRPr="006571AC">
        <w:rPr>
          <w:rFonts w:hint="cs"/>
          <w:bCs/>
          <w:sz w:val="27"/>
          <w:rtl/>
        </w:rPr>
        <w:t>ف</w:t>
      </w:r>
      <w:r w:rsidR="00A71A46" w:rsidRPr="006571AC">
        <w:rPr>
          <w:rFonts w:hint="cs"/>
          <w:bCs/>
          <w:sz w:val="27"/>
          <w:rtl/>
        </w:rPr>
        <w:t>َ</w:t>
      </w:r>
      <w:r w:rsidRPr="006571AC">
        <w:rPr>
          <w:rFonts w:hint="cs"/>
          <w:bCs/>
          <w:sz w:val="27"/>
          <w:rtl/>
        </w:rPr>
        <w:t>ن</w:t>
      </w:r>
      <w:r w:rsidR="00A71A46" w:rsidRPr="006571AC">
        <w:rPr>
          <w:rFonts w:hint="cs"/>
          <w:bCs/>
          <w:sz w:val="27"/>
          <w:rtl/>
        </w:rPr>
        <w:t>ِ</w:t>
      </w:r>
      <w:r w:rsidRPr="006571AC">
        <w:rPr>
          <w:rFonts w:hint="cs"/>
          <w:bCs/>
          <w:sz w:val="27"/>
          <w:rtl/>
        </w:rPr>
        <w:t>ص</w:t>
      </w:r>
      <w:r w:rsidR="00A71A46" w:rsidRPr="006571AC">
        <w:rPr>
          <w:rFonts w:hint="cs"/>
          <w:bCs/>
          <w:sz w:val="27"/>
          <w:rtl/>
        </w:rPr>
        <w:t>ْ</w:t>
      </w:r>
      <w:r w:rsidRPr="006571AC">
        <w:rPr>
          <w:rFonts w:hint="cs"/>
          <w:bCs/>
          <w:sz w:val="27"/>
          <w:rtl/>
        </w:rPr>
        <w:t>ف</w:t>
      </w:r>
      <w:r w:rsidR="00A71A46" w:rsidRPr="006571AC">
        <w:rPr>
          <w:rFonts w:hint="cs"/>
          <w:bCs/>
          <w:sz w:val="27"/>
          <w:rtl/>
        </w:rPr>
        <w:t>ُ</w:t>
      </w:r>
      <w:r w:rsidRPr="006571AC">
        <w:rPr>
          <w:bCs/>
          <w:sz w:val="27"/>
          <w:rtl/>
        </w:rPr>
        <w:t xml:space="preserve"> </w:t>
      </w:r>
      <w:r w:rsidRPr="006571AC">
        <w:rPr>
          <w:rFonts w:hint="cs"/>
          <w:bCs/>
          <w:sz w:val="27"/>
          <w:rtl/>
        </w:rPr>
        <w:t>م</w:t>
      </w:r>
      <w:r w:rsidR="00A71A46" w:rsidRPr="006571AC">
        <w:rPr>
          <w:rFonts w:hint="cs"/>
          <w:bCs/>
          <w:sz w:val="27"/>
          <w:rtl/>
        </w:rPr>
        <w:t>َ</w:t>
      </w:r>
      <w:r w:rsidRPr="006571AC">
        <w:rPr>
          <w:rFonts w:hint="cs"/>
          <w:bCs/>
          <w:sz w:val="27"/>
          <w:rtl/>
        </w:rPr>
        <w:t>ا</w:t>
      </w:r>
      <w:r w:rsidRPr="006571AC">
        <w:rPr>
          <w:bCs/>
          <w:sz w:val="27"/>
          <w:rtl/>
        </w:rPr>
        <w:t xml:space="preserve"> </w:t>
      </w:r>
      <w:r w:rsidRPr="006571AC">
        <w:rPr>
          <w:rFonts w:hint="cs"/>
          <w:bCs/>
          <w:sz w:val="27"/>
          <w:rtl/>
        </w:rPr>
        <w:t>ف</w:t>
      </w:r>
      <w:r w:rsidR="00A71A46" w:rsidRPr="006571AC">
        <w:rPr>
          <w:rFonts w:hint="cs"/>
          <w:bCs/>
          <w:sz w:val="27"/>
          <w:rtl/>
        </w:rPr>
        <w:t>َ</w:t>
      </w:r>
      <w:r w:rsidRPr="006571AC">
        <w:rPr>
          <w:rFonts w:hint="cs"/>
          <w:bCs/>
          <w:sz w:val="27"/>
          <w:rtl/>
        </w:rPr>
        <w:t>ر</w:t>
      </w:r>
      <w:r w:rsidR="00A71A46" w:rsidRPr="006571AC">
        <w:rPr>
          <w:rFonts w:hint="cs"/>
          <w:bCs/>
          <w:sz w:val="27"/>
          <w:rtl/>
        </w:rPr>
        <w:t>َ</w:t>
      </w:r>
      <w:r w:rsidRPr="006571AC">
        <w:rPr>
          <w:rFonts w:hint="cs"/>
          <w:bCs/>
          <w:sz w:val="27"/>
          <w:rtl/>
        </w:rPr>
        <w:t>ض</w:t>
      </w:r>
      <w:r w:rsidR="00A71A46" w:rsidRPr="006571AC">
        <w:rPr>
          <w:rFonts w:hint="cs"/>
          <w:bCs/>
          <w:sz w:val="27"/>
          <w:rtl/>
        </w:rPr>
        <w:t>ْ</w:t>
      </w:r>
      <w:r w:rsidRPr="006571AC">
        <w:rPr>
          <w:rFonts w:hint="cs"/>
          <w:bCs/>
          <w:sz w:val="27"/>
          <w:rtl/>
        </w:rPr>
        <w:t>ت</w:t>
      </w:r>
      <w:r w:rsidR="00A71A46" w:rsidRPr="006571AC">
        <w:rPr>
          <w:rFonts w:hint="cs"/>
          <w:bCs/>
          <w:sz w:val="27"/>
          <w:rtl/>
        </w:rPr>
        <w:t>ُ</w:t>
      </w:r>
      <w:r w:rsidRPr="006571AC">
        <w:rPr>
          <w:rFonts w:hint="cs"/>
          <w:bCs/>
          <w:sz w:val="27"/>
          <w:rtl/>
        </w:rPr>
        <w:t>م</w:t>
      </w:r>
      <w:r w:rsidR="00A71A46" w:rsidRPr="006571AC">
        <w:rPr>
          <w:rFonts w:hint="cs"/>
          <w:bCs/>
          <w:sz w:val="27"/>
          <w:rtl/>
        </w:rPr>
        <w:t>ْ</w:t>
      </w:r>
      <w:r w:rsidRPr="006571AC">
        <w:rPr>
          <w:rFonts w:ascii="Mosawi" w:hAnsi="Mosawi" w:cs="Mosawi"/>
          <w:sz w:val="24"/>
          <w:szCs w:val="24"/>
          <w:rtl/>
        </w:rPr>
        <w:t>﴾</w:t>
      </w:r>
      <w:r w:rsidRPr="006571AC">
        <w:rPr>
          <w:sz w:val="27"/>
          <w:rtl/>
        </w:rPr>
        <w:t xml:space="preserve"> (</w:t>
      </w:r>
      <w:r w:rsidRPr="006571AC">
        <w:rPr>
          <w:rFonts w:hint="cs"/>
          <w:sz w:val="27"/>
          <w:rtl/>
        </w:rPr>
        <w:t>البقرة: 237)</w:t>
      </w:r>
      <w:r w:rsidR="00A71A46" w:rsidRPr="006571AC">
        <w:rPr>
          <w:rFonts w:hint="cs"/>
          <w:sz w:val="27"/>
          <w:rtl/>
        </w:rPr>
        <w:t>، وقوله:</w:t>
      </w:r>
      <w:r w:rsidRPr="006571AC">
        <w:rPr>
          <w:rFonts w:hint="cs"/>
          <w:sz w:val="27"/>
          <w:rtl/>
        </w:rPr>
        <w:t xml:space="preserve"> </w:t>
      </w:r>
      <w:r w:rsidRPr="006571AC">
        <w:rPr>
          <w:rFonts w:ascii="Mosawi" w:hAnsi="Mosawi" w:cs="Mosawi"/>
          <w:sz w:val="24"/>
          <w:szCs w:val="24"/>
          <w:rtl/>
        </w:rPr>
        <w:t>﴿</w:t>
      </w:r>
      <w:r w:rsidRPr="006571AC">
        <w:rPr>
          <w:rFonts w:hint="cs"/>
          <w:bCs/>
          <w:sz w:val="27"/>
          <w:rtl/>
        </w:rPr>
        <w:t>و</w:t>
      </w:r>
      <w:r w:rsidR="00A71A46" w:rsidRPr="006571AC">
        <w:rPr>
          <w:rFonts w:hint="cs"/>
          <w:bCs/>
          <w:sz w:val="27"/>
          <w:rtl/>
        </w:rPr>
        <w:t>َ</w:t>
      </w:r>
      <w:r w:rsidRPr="006571AC">
        <w:rPr>
          <w:rFonts w:hint="cs"/>
          <w:bCs/>
          <w:sz w:val="27"/>
          <w:rtl/>
        </w:rPr>
        <w:t>آت</w:t>
      </w:r>
      <w:r w:rsidR="00A71A46" w:rsidRPr="006571AC">
        <w:rPr>
          <w:rFonts w:hint="cs"/>
          <w:bCs/>
          <w:sz w:val="27"/>
          <w:rtl/>
        </w:rPr>
        <w:t>ُ</w:t>
      </w:r>
      <w:r w:rsidRPr="006571AC">
        <w:rPr>
          <w:rFonts w:hint="cs"/>
          <w:bCs/>
          <w:sz w:val="27"/>
          <w:rtl/>
        </w:rPr>
        <w:t>وا</w:t>
      </w:r>
      <w:r w:rsidRPr="006571AC">
        <w:rPr>
          <w:bCs/>
          <w:sz w:val="27"/>
          <w:rtl/>
        </w:rPr>
        <w:t xml:space="preserve"> </w:t>
      </w:r>
      <w:r w:rsidRPr="006571AC">
        <w:rPr>
          <w:rFonts w:hint="cs"/>
          <w:bCs/>
          <w:sz w:val="27"/>
          <w:rtl/>
        </w:rPr>
        <w:t>الن</w:t>
      </w:r>
      <w:r w:rsidR="00A71A46" w:rsidRPr="006571AC">
        <w:rPr>
          <w:rFonts w:hint="cs"/>
          <w:bCs/>
          <w:sz w:val="27"/>
          <w:rtl/>
        </w:rPr>
        <w:t>ِّ</w:t>
      </w:r>
      <w:r w:rsidRPr="006571AC">
        <w:rPr>
          <w:rFonts w:hint="cs"/>
          <w:bCs/>
          <w:sz w:val="27"/>
          <w:rtl/>
        </w:rPr>
        <w:t>س</w:t>
      </w:r>
      <w:r w:rsidR="00A71A46" w:rsidRPr="006571AC">
        <w:rPr>
          <w:rFonts w:hint="cs"/>
          <w:bCs/>
          <w:sz w:val="27"/>
          <w:rtl/>
        </w:rPr>
        <w:t>َ</w:t>
      </w:r>
      <w:r w:rsidRPr="006571AC">
        <w:rPr>
          <w:rFonts w:hint="cs"/>
          <w:bCs/>
          <w:sz w:val="27"/>
          <w:rtl/>
        </w:rPr>
        <w:t>اء</w:t>
      </w:r>
      <w:r w:rsidR="00A71A46" w:rsidRPr="006571AC">
        <w:rPr>
          <w:rFonts w:hint="cs"/>
          <w:bCs/>
          <w:sz w:val="27"/>
          <w:rtl/>
        </w:rPr>
        <w:t>َ</w:t>
      </w:r>
      <w:r w:rsidRPr="006571AC">
        <w:rPr>
          <w:bCs/>
          <w:sz w:val="27"/>
          <w:rtl/>
        </w:rPr>
        <w:t xml:space="preserve"> </w:t>
      </w:r>
      <w:r w:rsidRPr="006571AC">
        <w:rPr>
          <w:rFonts w:hint="cs"/>
          <w:bCs/>
          <w:sz w:val="27"/>
          <w:rtl/>
        </w:rPr>
        <w:t>ص</w:t>
      </w:r>
      <w:r w:rsidR="00A71A46" w:rsidRPr="006571AC">
        <w:rPr>
          <w:rFonts w:hint="cs"/>
          <w:bCs/>
          <w:sz w:val="27"/>
          <w:rtl/>
        </w:rPr>
        <w:t>َ</w:t>
      </w:r>
      <w:r w:rsidRPr="006571AC">
        <w:rPr>
          <w:rFonts w:hint="cs"/>
          <w:bCs/>
          <w:sz w:val="27"/>
          <w:rtl/>
        </w:rPr>
        <w:t>د</w:t>
      </w:r>
      <w:r w:rsidR="00A71A46" w:rsidRPr="006571AC">
        <w:rPr>
          <w:rFonts w:hint="cs"/>
          <w:bCs/>
          <w:sz w:val="27"/>
          <w:rtl/>
        </w:rPr>
        <w:t>ُ</w:t>
      </w:r>
      <w:r w:rsidRPr="006571AC">
        <w:rPr>
          <w:rFonts w:hint="cs"/>
          <w:bCs/>
          <w:sz w:val="27"/>
          <w:rtl/>
        </w:rPr>
        <w:t>ق</w:t>
      </w:r>
      <w:r w:rsidR="00A71A46" w:rsidRPr="006571AC">
        <w:rPr>
          <w:rFonts w:hint="cs"/>
          <w:bCs/>
          <w:sz w:val="27"/>
          <w:rtl/>
        </w:rPr>
        <w:t>َ</w:t>
      </w:r>
      <w:r w:rsidRPr="006571AC">
        <w:rPr>
          <w:rFonts w:hint="cs"/>
          <w:bCs/>
          <w:sz w:val="27"/>
          <w:rtl/>
        </w:rPr>
        <w:t>ات</w:t>
      </w:r>
      <w:r w:rsidR="00A71A46" w:rsidRPr="006571AC">
        <w:rPr>
          <w:rFonts w:hint="cs"/>
          <w:bCs/>
          <w:sz w:val="27"/>
          <w:rtl/>
        </w:rPr>
        <w:t>ِ</w:t>
      </w:r>
      <w:r w:rsidRPr="006571AC">
        <w:rPr>
          <w:rFonts w:hint="cs"/>
          <w:bCs/>
          <w:sz w:val="27"/>
          <w:rtl/>
        </w:rPr>
        <w:t>ه</w:t>
      </w:r>
      <w:r w:rsidR="00A71A46" w:rsidRPr="006571AC">
        <w:rPr>
          <w:rFonts w:hint="cs"/>
          <w:bCs/>
          <w:sz w:val="27"/>
          <w:rtl/>
        </w:rPr>
        <w:t>ِ</w:t>
      </w:r>
      <w:r w:rsidRPr="006571AC">
        <w:rPr>
          <w:rFonts w:hint="cs"/>
          <w:bCs/>
          <w:sz w:val="27"/>
          <w:rtl/>
        </w:rPr>
        <w:t>ن</w:t>
      </w:r>
      <w:r w:rsidR="00A71A46" w:rsidRPr="006571AC">
        <w:rPr>
          <w:rFonts w:hint="cs"/>
          <w:bCs/>
          <w:sz w:val="27"/>
          <w:rtl/>
        </w:rPr>
        <w:t>َّ</w:t>
      </w:r>
      <w:r w:rsidRPr="006571AC">
        <w:rPr>
          <w:bCs/>
          <w:sz w:val="27"/>
          <w:rtl/>
        </w:rPr>
        <w:t xml:space="preserve"> </w:t>
      </w:r>
      <w:r w:rsidRPr="006571AC">
        <w:rPr>
          <w:rFonts w:hint="cs"/>
          <w:bCs/>
          <w:sz w:val="27"/>
          <w:rtl/>
        </w:rPr>
        <w:t>ن</w:t>
      </w:r>
      <w:r w:rsidR="00A71A46" w:rsidRPr="006571AC">
        <w:rPr>
          <w:rFonts w:hint="cs"/>
          <w:bCs/>
          <w:sz w:val="27"/>
          <w:rtl/>
        </w:rPr>
        <w:t>ِ</w:t>
      </w:r>
      <w:r w:rsidRPr="006571AC">
        <w:rPr>
          <w:rFonts w:hint="cs"/>
          <w:bCs/>
          <w:sz w:val="27"/>
          <w:rtl/>
        </w:rPr>
        <w:t>ح</w:t>
      </w:r>
      <w:r w:rsidR="00A71A46" w:rsidRPr="006571AC">
        <w:rPr>
          <w:rFonts w:hint="cs"/>
          <w:bCs/>
          <w:sz w:val="27"/>
          <w:rtl/>
        </w:rPr>
        <w:t>ْ</w:t>
      </w:r>
      <w:r w:rsidRPr="006571AC">
        <w:rPr>
          <w:rFonts w:hint="cs"/>
          <w:bCs/>
          <w:sz w:val="27"/>
          <w:rtl/>
        </w:rPr>
        <w:t>ل</w:t>
      </w:r>
      <w:r w:rsidR="00A71A46" w:rsidRPr="006571AC">
        <w:rPr>
          <w:rFonts w:hint="cs"/>
          <w:bCs/>
          <w:sz w:val="27"/>
          <w:rtl/>
        </w:rPr>
        <w:t>َ</w:t>
      </w:r>
      <w:r w:rsidRPr="006571AC">
        <w:rPr>
          <w:rFonts w:hint="cs"/>
          <w:bCs/>
          <w:sz w:val="27"/>
          <w:rtl/>
        </w:rPr>
        <w:t>ة</w:t>
      </w:r>
      <w:r w:rsidR="00A71A46" w:rsidRPr="006571AC">
        <w:rPr>
          <w:rFonts w:hint="cs"/>
          <w:bCs/>
          <w:sz w:val="27"/>
          <w:rtl/>
        </w:rPr>
        <w:t>ً</w:t>
      </w:r>
      <w:r w:rsidRPr="006571AC">
        <w:rPr>
          <w:rFonts w:ascii="Mosawi" w:hAnsi="Mosawi" w:cs="Mosawi"/>
          <w:sz w:val="24"/>
          <w:szCs w:val="24"/>
          <w:rtl/>
        </w:rPr>
        <w:t>﴾ (</w:t>
      </w:r>
      <w:r w:rsidRPr="006571AC">
        <w:rPr>
          <w:rFonts w:hint="cs"/>
          <w:sz w:val="27"/>
          <w:rtl/>
        </w:rPr>
        <w:t xml:space="preserve">النساء: 4). </w:t>
      </w:r>
    </w:p>
    <w:p w:rsidR="00237EB1" w:rsidRPr="006571AC" w:rsidRDefault="00237EB1" w:rsidP="00E81C41">
      <w:pPr>
        <w:rPr>
          <w:sz w:val="27"/>
          <w:rtl/>
        </w:rPr>
      </w:pPr>
      <w:r w:rsidRPr="006571AC">
        <w:rPr>
          <w:rFonts w:hint="cs"/>
          <w:b/>
          <w:bCs/>
          <w:sz w:val="27"/>
          <w:rtl/>
        </w:rPr>
        <w:t>ثانياً</w:t>
      </w:r>
      <w:r w:rsidRPr="006571AC">
        <w:rPr>
          <w:rFonts w:hint="cs"/>
          <w:sz w:val="27"/>
          <w:rtl/>
        </w:rPr>
        <w:t>: ما</w:t>
      </w:r>
      <w:r w:rsidRPr="006571AC">
        <w:rPr>
          <w:sz w:val="27"/>
          <w:rtl/>
        </w:rPr>
        <w:t xml:space="preserve"> </w:t>
      </w:r>
      <w:r w:rsidRPr="006571AC">
        <w:rPr>
          <w:rFonts w:hint="cs"/>
          <w:sz w:val="27"/>
          <w:rtl/>
        </w:rPr>
        <w:t>ورد</w:t>
      </w:r>
      <w:r w:rsidRPr="006571AC">
        <w:rPr>
          <w:sz w:val="27"/>
          <w:rtl/>
        </w:rPr>
        <w:t xml:space="preserve"> </w:t>
      </w:r>
      <w:r w:rsidRPr="006571AC">
        <w:rPr>
          <w:rFonts w:hint="cs"/>
          <w:sz w:val="27"/>
          <w:rtl/>
        </w:rPr>
        <w:t>في صحيحة الوش</w:t>
      </w:r>
      <w:r w:rsidR="00A71A46" w:rsidRPr="006571AC">
        <w:rPr>
          <w:rFonts w:hint="cs"/>
          <w:sz w:val="27"/>
          <w:rtl/>
        </w:rPr>
        <w:t>ّ</w:t>
      </w:r>
      <w:r w:rsidRPr="006571AC">
        <w:rPr>
          <w:rFonts w:hint="cs"/>
          <w:sz w:val="27"/>
          <w:rtl/>
        </w:rPr>
        <w:t>ا</w:t>
      </w:r>
      <w:r w:rsidR="00A71A46" w:rsidRPr="006571AC">
        <w:rPr>
          <w:rFonts w:hint="cs"/>
          <w:sz w:val="27"/>
          <w:rtl/>
        </w:rPr>
        <w:t>ء</w:t>
      </w:r>
      <w:r w:rsidRPr="006571AC">
        <w:rPr>
          <w:rFonts w:hint="cs"/>
          <w:sz w:val="27"/>
          <w:rtl/>
        </w:rPr>
        <w:t>، عن</w:t>
      </w:r>
      <w:r w:rsidRPr="006571AC">
        <w:rPr>
          <w:sz w:val="27"/>
          <w:rtl/>
        </w:rPr>
        <w:t xml:space="preserve"> </w:t>
      </w:r>
      <w:r w:rsidRPr="006571AC">
        <w:rPr>
          <w:rFonts w:hint="cs"/>
          <w:sz w:val="27"/>
          <w:rtl/>
        </w:rPr>
        <w:t>الرضا</w:t>
      </w:r>
      <w:r w:rsidR="002A2C90" w:rsidRPr="006571AC">
        <w:rPr>
          <w:rFonts w:ascii="Mosawi" w:hAnsi="Mosawi" w:cs="Mosawi"/>
          <w:sz w:val="22"/>
          <w:szCs w:val="22"/>
          <w:rtl/>
        </w:rPr>
        <w:t>×</w:t>
      </w:r>
      <w:r w:rsidR="00A71A46" w:rsidRPr="006571AC">
        <w:rPr>
          <w:rFonts w:hint="cs"/>
          <w:sz w:val="27"/>
          <w:rtl/>
        </w:rPr>
        <w:t>،</w:t>
      </w:r>
      <w:r w:rsidRPr="006571AC">
        <w:rPr>
          <w:sz w:val="27"/>
          <w:rtl/>
        </w:rPr>
        <w:t xml:space="preserve"> </w:t>
      </w:r>
      <w:r w:rsidRPr="006571AC">
        <w:rPr>
          <w:rFonts w:hint="cs"/>
          <w:sz w:val="27"/>
          <w:rtl/>
        </w:rPr>
        <w:t>قال</w:t>
      </w:r>
      <w:r w:rsidRPr="006571AC">
        <w:rPr>
          <w:sz w:val="27"/>
          <w:rtl/>
        </w:rPr>
        <w:t xml:space="preserve">: </w:t>
      </w:r>
      <w:r w:rsidRPr="006571AC">
        <w:rPr>
          <w:rFonts w:hint="cs"/>
          <w:sz w:val="27"/>
          <w:rtl/>
        </w:rPr>
        <w:t>سمعت</w:t>
      </w:r>
      <w:r w:rsidR="00A71A46" w:rsidRPr="006571AC">
        <w:rPr>
          <w:rFonts w:hint="cs"/>
          <w:sz w:val="27"/>
          <w:rtl/>
        </w:rPr>
        <w:t>ُ</w:t>
      </w:r>
      <w:r w:rsidRPr="006571AC">
        <w:rPr>
          <w:rFonts w:hint="cs"/>
          <w:sz w:val="27"/>
          <w:rtl/>
        </w:rPr>
        <w:t>ه</w:t>
      </w:r>
      <w:r w:rsidRPr="006571AC">
        <w:rPr>
          <w:sz w:val="27"/>
          <w:rtl/>
        </w:rPr>
        <w:t xml:space="preserve"> </w:t>
      </w:r>
      <w:r w:rsidRPr="006571AC">
        <w:rPr>
          <w:rFonts w:hint="cs"/>
          <w:sz w:val="27"/>
          <w:rtl/>
        </w:rPr>
        <w:t>يقول</w:t>
      </w:r>
      <w:r w:rsidRPr="006571AC">
        <w:rPr>
          <w:sz w:val="27"/>
          <w:rtl/>
        </w:rPr>
        <w:t xml:space="preserve">: </w:t>
      </w:r>
      <w:r w:rsidRPr="006571AC">
        <w:rPr>
          <w:rFonts w:hint="eastAsia"/>
          <w:sz w:val="24"/>
          <w:szCs w:val="24"/>
          <w:rtl/>
        </w:rPr>
        <w:t>«</w:t>
      </w:r>
      <w:r w:rsidRPr="006571AC">
        <w:rPr>
          <w:rFonts w:hint="cs"/>
          <w:sz w:val="27"/>
          <w:rtl/>
        </w:rPr>
        <w:t>لو</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رجلا</w:t>
      </w:r>
      <w:r w:rsidR="00A71A46" w:rsidRPr="006571AC">
        <w:rPr>
          <w:rFonts w:hint="cs"/>
          <w:sz w:val="27"/>
          <w:rtl/>
        </w:rPr>
        <w:t>ً</w:t>
      </w:r>
      <w:r w:rsidRPr="006571AC">
        <w:rPr>
          <w:sz w:val="27"/>
          <w:rtl/>
        </w:rPr>
        <w:t xml:space="preserve"> </w:t>
      </w:r>
      <w:r w:rsidRPr="006571AC">
        <w:rPr>
          <w:rFonts w:hint="cs"/>
          <w:sz w:val="27"/>
          <w:rtl/>
        </w:rPr>
        <w:t>تزو</w:t>
      </w:r>
      <w:r w:rsidR="00A71A46" w:rsidRPr="006571AC">
        <w:rPr>
          <w:rFonts w:hint="cs"/>
          <w:sz w:val="27"/>
          <w:rtl/>
        </w:rPr>
        <w:t>ّ</w:t>
      </w:r>
      <w:r w:rsidRPr="006571AC">
        <w:rPr>
          <w:rFonts w:hint="cs"/>
          <w:sz w:val="27"/>
          <w:rtl/>
        </w:rPr>
        <w:t>ج</w:t>
      </w:r>
      <w:r w:rsidRPr="006571AC">
        <w:rPr>
          <w:sz w:val="27"/>
          <w:rtl/>
        </w:rPr>
        <w:t xml:space="preserve"> </w:t>
      </w:r>
      <w:r w:rsidRPr="006571AC">
        <w:rPr>
          <w:rFonts w:hint="cs"/>
          <w:sz w:val="27"/>
          <w:rtl/>
        </w:rPr>
        <w:t>امرأة</w:t>
      </w:r>
      <w:r w:rsidR="00A71A46" w:rsidRPr="006571AC">
        <w:rPr>
          <w:rFonts w:hint="cs"/>
          <w:sz w:val="27"/>
          <w:rtl/>
        </w:rPr>
        <w:t>ً،</w:t>
      </w:r>
      <w:r w:rsidRPr="006571AC">
        <w:rPr>
          <w:sz w:val="27"/>
          <w:rtl/>
        </w:rPr>
        <w:t xml:space="preserve"> </w:t>
      </w:r>
      <w:r w:rsidRPr="006571AC">
        <w:rPr>
          <w:rFonts w:hint="cs"/>
          <w:sz w:val="27"/>
          <w:rtl/>
        </w:rPr>
        <w:t>وجعل</w:t>
      </w:r>
      <w:r w:rsidRPr="006571AC">
        <w:rPr>
          <w:sz w:val="27"/>
          <w:rtl/>
        </w:rPr>
        <w:t xml:space="preserve"> </w:t>
      </w:r>
      <w:r w:rsidRPr="006571AC">
        <w:rPr>
          <w:rFonts w:hint="cs"/>
          <w:sz w:val="27"/>
          <w:rtl/>
        </w:rPr>
        <w:t>مهرها</w:t>
      </w:r>
      <w:r w:rsidRPr="006571AC">
        <w:rPr>
          <w:sz w:val="27"/>
          <w:rtl/>
        </w:rPr>
        <w:t xml:space="preserve"> </w:t>
      </w:r>
      <w:r w:rsidRPr="006571AC">
        <w:rPr>
          <w:rFonts w:hint="cs"/>
          <w:sz w:val="27"/>
          <w:rtl/>
        </w:rPr>
        <w:t>عشرين</w:t>
      </w:r>
      <w:r w:rsidRPr="006571AC">
        <w:rPr>
          <w:sz w:val="27"/>
          <w:rtl/>
        </w:rPr>
        <w:t xml:space="preserve"> </w:t>
      </w:r>
      <w:r w:rsidRPr="006571AC">
        <w:rPr>
          <w:rFonts w:hint="cs"/>
          <w:sz w:val="27"/>
          <w:rtl/>
        </w:rPr>
        <w:t>ألفا</w:t>
      </w:r>
      <w:r w:rsidR="00A71A46" w:rsidRPr="006571AC">
        <w:rPr>
          <w:rFonts w:hint="cs"/>
          <w:sz w:val="27"/>
          <w:rtl/>
        </w:rPr>
        <w:t>ً،</w:t>
      </w:r>
      <w:r w:rsidRPr="006571AC">
        <w:rPr>
          <w:sz w:val="27"/>
          <w:rtl/>
        </w:rPr>
        <w:t xml:space="preserve"> </w:t>
      </w:r>
      <w:r w:rsidRPr="006571AC">
        <w:rPr>
          <w:rFonts w:hint="cs"/>
          <w:sz w:val="27"/>
          <w:rtl/>
        </w:rPr>
        <w:t>وجعل</w:t>
      </w:r>
      <w:r w:rsidRPr="006571AC">
        <w:rPr>
          <w:sz w:val="27"/>
          <w:rtl/>
        </w:rPr>
        <w:t xml:space="preserve"> </w:t>
      </w:r>
      <w:r w:rsidRPr="006571AC">
        <w:rPr>
          <w:rFonts w:hint="cs"/>
          <w:sz w:val="27"/>
          <w:rtl/>
        </w:rPr>
        <w:t>لأبيها</w:t>
      </w:r>
      <w:r w:rsidRPr="006571AC">
        <w:rPr>
          <w:sz w:val="27"/>
          <w:rtl/>
        </w:rPr>
        <w:t xml:space="preserve"> </w:t>
      </w:r>
      <w:r w:rsidRPr="006571AC">
        <w:rPr>
          <w:rFonts w:hint="cs"/>
          <w:sz w:val="27"/>
          <w:rtl/>
        </w:rPr>
        <w:t>عشرة</w:t>
      </w:r>
      <w:r w:rsidRPr="006571AC">
        <w:rPr>
          <w:sz w:val="27"/>
          <w:rtl/>
        </w:rPr>
        <w:t xml:space="preserve"> </w:t>
      </w:r>
      <w:r w:rsidRPr="006571AC">
        <w:rPr>
          <w:rFonts w:hint="cs"/>
          <w:sz w:val="27"/>
          <w:rtl/>
        </w:rPr>
        <w:t>آلاف</w:t>
      </w:r>
      <w:r w:rsidR="00A71A46"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جائزاً، والذي</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لأبيها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فاسدا</w:t>
      </w:r>
      <w:r w:rsidR="00A71A46" w:rsidRPr="006571AC">
        <w:rPr>
          <w:rFonts w:hint="cs"/>
          <w:sz w:val="27"/>
          <w:rtl/>
        </w:rPr>
        <w:t>ً</w:t>
      </w:r>
      <w:r w:rsidRPr="006571AC">
        <w:rPr>
          <w:rFonts w:hint="eastAsia"/>
          <w:sz w:val="24"/>
          <w:szCs w:val="24"/>
          <w:rtl/>
        </w:rPr>
        <w:t>»</w:t>
      </w:r>
      <w:r w:rsidRPr="006571AC">
        <w:rPr>
          <w:sz w:val="27"/>
          <w:vertAlign w:val="superscript"/>
          <w:rtl/>
        </w:rPr>
        <w:t>(</w:t>
      </w:r>
      <w:r w:rsidRPr="006571AC">
        <w:rPr>
          <w:sz w:val="27"/>
          <w:vertAlign w:val="superscript"/>
          <w:rtl/>
        </w:rPr>
        <w:endnoteReference w:id="454"/>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81C41">
      <w:pPr>
        <w:rPr>
          <w:spacing w:val="-6"/>
          <w:sz w:val="27"/>
          <w:rtl/>
        </w:rPr>
      </w:pPr>
      <w:r w:rsidRPr="006571AC">
        <w:rPr>
          <w:rFonts w:hint="cs"/>
          <w:b/>
          <w:bCs/>
          <w:spacing w:val="-6"/>
          <w:sz w:val="27"/>
          <w:rtl/>
        </w:rPr>
        <w:t>ثالثاً</w:t>
      </w:r>
      <w:r w:rsidRPr="006571AC">
        <w:rPr>
          <w:rFonts w:hint="cs"/>
          <w:spacing w:val="-6"/>
          <w:sz w:val="27"/>
          <w:rtl/>
        </w:rPr>
        <w:t xml:space="preserve">: </w:t>
      </w:r>
      <w:r w:rsidR="00E81C41" w:rsidRPr="006571AC">
        <w:rPr>
          <w:rFonts w:hint="cs"/>
          <w:spacing w:val="-6"/>
          <w:sz w:val="27"/>
          <w:rtl/>
        </w:rPr>
        <w:t>إ</w:t>
      </w:r>
      <w:r w:rsidRPr="006571AC">
        <w:rPr>
          <w:rFonts w:hint="cs"/>
          <w:spacing w:val="-6"/>
          <w:sz w:val="27"/>
          <w:rtl/>
        </w:rPr>
        <w:t>نّ المهر</w:t>
      </w:r>
      <w:r w:rsidRPr="006571AC">
        <w:rPr>
          <w:spacing w:val="-6"/>
          <w:sz w:val="27"/>
          <w:rtl/>
        </w:rPr>
        <w:t xml:space="preserve"> </w:t>
      </w:r>
      <w:r w:rsidRPr="006571AC">
        <w:rPr>
          <w:rFonts w:hint="cs"/>
          <w:spacing w:val="-6"/>
          <w:sz w:val="27"/>
          <w:rtl/>
        </w:rPr>
        <w:t>نوع</w:t>
      </w:r>
      <w:r w:rsidR="00A71A46" w:rsidRPr="006571AC">
        <w:rPr>
          <w:rFonts w:hint="cs"/>
          <w:spacing w:val="-6"/>
          <w:sz w:val="27"/>
          <w:rtl/>
        </w:rPr>
        <w:t>ُ</w:t>
      </w:r>
      <w:r w:rsidRPr="006571AC">
        <w:rPr>
          <w:spacing w:val="-6"/>
          <w:sz w:val="27"/>
          <w:rtl/>
        </w:rPr>
        <w:t xml:space="preserve"> </w:t>
      </w:r>
      <w:r w:rsidRPr="006571AC">
        <w:rPr>
          <w:rFonts w:hint="cs"/>
          <w:spacing w:val="-6"/>
          <w:sz w:val="27"/>
          <w:rtl/>
        </w:rPr>
        <w:t>معاوضة</w:t>
      </w:r>
      <w:r w:rsidR="00A71A46" w:rsidRPr="006571AC">
        <w:rPr>
          <w:rFonts w:hint="cs"/>
          <w:spacing w:val="-6"/>
          <w:sz w:val="27"/>
          <w:rtl/>
        </w:rPr>
        <w:t>ٍ</w:t>
      </w:r>
      <w:r w:rsidRPr="006571AC">
        <w:rPr>
          <w:rFonts w:hint="cs"/>
          <w:spacing w:val="-6"/>
          <w:sz w:val="27"/>
          <w:rtl/>
        </w:rPr>
        <w:t>، فكانت</w:t>
      </w:r>
      <w:r w:rsidRPr="006571AC">
        <w:rPr>
          <w:spacing w:val="-6"/>
          <w:sz w:val="27"/>
          <w:rtl/>
        </w:rPr>
        <w:t xml:space="preserve"> </w:t>
      </w:r>
      <w:r w:rsidRPr="006571AC">
        <w:rPr>
          <w:rFonts w:hint="cs"/>
          <w:spacing w:val="-6"/>
          <w:sz w:val="27"/>
          <w:rtl/>
        </w:rPr>
        <w:t>تابعة</w:t>
      </w:r>
      <w:r w:rsidR="00A71A46" w:rsidRPr="006571AC">
        <w:rPr>
          <w:rFonts w:hint="cs"/>
          <w:spacing w:val="-6"/>
          <w:sz w:val="27"/>
          <w:rtl/>
        </w:rPr>
        <w:t>ً</w:t>
      </w:r>
      <w:r w:rsidRPr="006571AC">
        <w:rPr>
          <w:spacing w:val="-6"/>
          <w:sz w:val="27"/>
          <w:rtl/>
        </w:rPr>
        <w:t xml:space="preserve"> </w:t>
      </w:r>
      <w:r w:rsidRPr="006571AC">
        <w:rPr>
          <w:rFonts w:hint="cs"/>
          <w:spacing w:val="-6"/>
          <w:sz w:val="27"/>
          <w:rtl/>
        </w:rPr>
        <w:t>لاختيار</w:t>
      </w:r>
      <w:r w:rsidRPr="006571AC">
        <w:rPr>
          <w:spacing w:val="-6"/>
          <w:sz w:val="27"/>
          <w:rtl/>
        </w:rPr>
        <w:t xml:space="preserve"> </w:t>
      </w:r>
      <w:r w:rsidRPr="006571AC">
        <w:rPr>
          <w:rFonts w:hint="cs"/>
          <w:spacing w:val="-6"/>
          <w:sz w:val="27"/>
          <w:rtl/>
        </w:rPr>
        <w:t>المتعاوضين</w:t>
      </w:r>
      <w:r w:rsidRPr="006571AC">
        <w:rPr>
          <w:spacing w:val="-6"/>
          <w:sz w:val="27"/>
          <w:rtl/>
        </w:rPr>
        <w:t xml:space="preserve"> </w:t>
      </w:r>
      <w:r w:rsidRPr="006571AC">
        <w:rPr>
          <w:rFonts w:hint="cs"/>
          <w:spacing w:val="-6"/>
          <w:sz w:val="27"/>
          <w:rtl/>
        </w:rPr>
        <w:t>في</w:t>
      </w:r>
      <w:r w:rsidRPr="006571AC">
        <w:rPr>
          <w:spacing w:val="-6"/>
          <w:sz w:val="27"/>
          <w:rtl/>
        </w:rPr>
        <w:t xml:space="preserve"> </w:t>
      </w:r>
      <w:r w:rsidRPr="006571AC">
        <w:rPr>
          <w:rFonts w:hint="cs"/>
          <w:spacing w:val="-6"/>
          <w:sz w:val="27"/>
          <w:rtl/>
        </w:rPr>
        <w:t>الق</w:t>
      </w:r>
      <w:r w:rsidR="00A71A46" w:rsidRPr="006571AC">
        <w:rPr>
          <w:rFonts w:hint="cs"/>
          <w:spacing w:val="-6"/>
          <w:sz w:val="27"/>
          <w:rtl/>
        </w:rPr>
        <w:t>َ</w:t>
      </w:r>
      <w:r w:rsidRPr="006571AC">
        <w:rPr>
          <w:rFonts w:hint="cs"/>
          <w:spacing w:val="-6"/>
          <w:sz w:val="27"/>
          <w:rtl/>
        </w:rPr>
        <w:t>د</w:t>
      </w:r>
      <w:r w:rsidR="00A71A46" w:rsidRPr="006571AC">
        <w:rPr>
          <w:rFonts w:hint="cs"/>
          <w:spacing w:val="-6"/>
          <w:sz w:val="27"/>
          <w:rtl/>
        </w:rPr>
        <w:t>ْ</w:t>
      </w:r>
      <w:r w:rsidRPr="006571AC">
        <w:rPr>
          <w:rFonts w:hint="cs"/>
          <w:spacing w:val="-6"/>
          <w:sz w:val="27"/>
          <w:rtl/>
        </w:rPr>
        <w:t>ر، كالمعاوضات</w:t>
      </w:r>
      <w:r w:rsidRPr="006571AC">
        <w:rPr>
          <w:spacing w:val="-6"/>
          <w:sz w:val="27"/>
          <w:rtl/>
        </w:rPr>
        <w:t xml:space="preserve"> </w:t>
      </w:r>
      <w:r w:rsidRPr="006571AC">
        <w:rPr>
          <w:rFonts w:hint="cs"/>
          <w:spacing w:val="-6"/>
          <w:sz w:val="27"/>
          <w:rtl/>
        </w:rPr>
        <w:t>الباقية</w:t>
      </w:r>
      <w:r w:rsidRPr="006571AC">
        <w:rPr>
          <w:spacing w:val="-6"/>
          <w:sz w:val="27"/>
          <w:vertAlign w:val="superscript"/>
          <w:rtl/>
        </w:rPr>
        <w:t>(</w:t>
      </w:r>
      <w:r w:rsidRPr="006571AC">
        <w:rPr>
          <w:spacing w:val="-6"/>
          <w:sz w:val="27"/>
          <w:vertAlign w:val="superscript"/>
          <w:rtl/>
        </w:rPr>
        <w:endnoteReference w:id="455"/>
      </w:r>
      <w:r w:rsidRPr="006571AC">
        <w:rPr>
          <w:spacing w:val="-6"/>
          <w:sz w:val="27"/>
          <w:vertAlign w:val="superscript"/>
          <w:rtl/>
        </w:rPr>
        <w:t>)</w:t>
      </w:r>
      <w:r w:rsidRPr="006571AC">
        <w:rPr>
          <w:spacing w:val="-6"/>
          <w:sz w:val="27"/>
          <w:rtl/>
        </w:rPr>
        <w:t>.</w:t>
      </w:r>
    </w:p>
    <w:p w:rsidR="00237EB1" w:rsidRPr="006571AC" w:rsidRDefault="00237EB1" w:rsidP="00C3538C">
      <w:pPr>
        <w:spacing w:line="440" w:lineRule="exact"/>
        <w:rPr>
          <w:spacing w:val="-6"/>
          <w:sz w:val="27"/>
          <w:rtl/>
        </w:rPr>
      </w:pPr>
      <w:r w:rsidRPr="006571AC">
        <w:rPr>
          <w:rFonts w:hint="cs"/>
          <w:spacing w:val="-6"/>
          <w:sz w:val="27"/>
          <w:rtl/>
        </w:rPr>
        <w:t xml:space="preserve"> </w:t>
      </w:r>
    </w:p>
    <w:p w:rsidR="00237EB1" w:rsidRPr="006571AC" w:rsidRDefault="00237EB1" w:rsidP="0022224E">
      <w:pPr>
        <w:pStyle w:val="31"/>
        <w:rPr>
          <w:color w:val="auto"/>
          <w:rtl/>
        </w:rPr>
      </w:pPr>
      <w:bookmarkStart w:id="281" w:name="_Toc79281940"/>
      <w:bookmarkStart w:id="282" w:name="_Toc114164716"/>
      <w:r w:rsidRPr="006571AC">
        <w:rPr>
          <w:rFonts w:hint="cs"/>
          <w:color w:val="auto"/>
          <w:rtl/>
        </w:rPr>
        <w:t>3ـ مناقشة أدل</w:t>
      </w:r>
      <w:r w:rsidR="00824114" w:rsidRPr="006571AC">
        <w:rPr>
          <w:rFonts w:hint="cs"/>
          <w:color w:val="auto"/>
          <w:rtl/>
        </w:rPr>
        <w:t>ّ</w:t>
      </w:r>
      <w:r w:rsidRPr="006571AC">
        <w:rPr>
          <w:rFonts w:hint="cs"/>
          <w:color w:val="auto"/>
          <w:rtl/>
        </w:rPr>
        <w:t>ة غير المشهور</w:t>
      </w:r>
      <w:bookmarkEnd w:id="281"/>
      <w:bookmarkEnd w:id="282"/>
    </w:p>
    <w:p w:rsidR="00237EB1" w:rsidRPr="006571AC" w:rsidRDefault="00237EB1" w:rsidP="00E60D93">
      <w:pPr>
        <w:rPr>
          <w:sz w:val="27"/>
          <w:rtl/>
        </w:rPr>
      </w:pPr>
      <w:r w:rsidRPr="006571AC">
        <w:rPr>
          <w:rFonts w:hint="cs"/>
          <w:sz w:val="27"/>
          <w:rtl/>
        </w:rPr>
        <w:t>ونوقشت أدل</w:t>
      </w:r>
      <w:r w:rsidR="00A71A46" w:rsidRPr="006571AC">
        <w:rPr>
          <w:rFonts w:hint="cs"/>
          <w:sz w:val="27"/>
          <w:rtl/>
        </w:rPr>
        <w:t>ّ</w:t>
      </w:r>
      <w:r w:rsidRPr="006571AC">
        <w:rPr>
          <w:rFonts w:hint="cs"/>
          <w:sz w:val="27"/>
          <w:rtl/>
        </w:rPr>
        <w:t xml:space="preserve">ة المانعين في مسألة الإطلاق في المهر من حيث الكثرة بما يلي: </w:t>
      </w:r>
    </w:p>
    <w:p w:rsidR="00237EB1" w:rsidRPr="006571AC" w:rsidRDefault="00237EB1" w:rsidP="00E60D93">
      <w:pPr>
        <w:rPr>
          <w:sz w:val="27"/>
          <w:rtl/>
        </w:rPr>
      </w:pPr>
      <w:r w:rsidRPr="006571AC">
        <w:rPr>
          <w:rFonts w:hint="cs"/>
          <w:sz w:val="27"/>
          <w:rtl/>
        </w:rPr>
        <w:t>ـ أمّا دليل المعاصر للشيخ المفيد فإنّ</w:t>
      </w:r>
      <w:r w:rsidRPr="006571AC">
        <w:rPr>
          <w:sz w:val="27"/>
          <w:rtl/>
        </w:rPr>
        <w:t xml:space="preserve"> </w:t>
      </w:r>
      <w:r w:rsidRPr="006571AC">
        <w:rPr>
          <w:rFonts w:hint="cs"/>
          <w:sz w:val="27"/>
          <w:rtl/>
        </w:rPr>
        <w:t>التقييد</w:t>
      </w:r>
      <w:r w:rsidRPr="006571AC">
        <w:rPr>
          <w:sz w:val="27"/>
          <w:rtl/>
        </w:rPr>
        <w:t xml:space="preserve"> </w:t>
      </w:r>
      <w:r w:rsidRPr="006571AC">
        <w:rPr>
          <w:rFonts w:hint="cs"/>
          <w:sz w:val="27"/>
          <w:rtl/>
        </w:rPr>
        <w:t>بالمتعة</w:t>
      </w:r>
      <w:r w:rsidRPr="006571AC">
        <w:rPr>
          <w:sz w:val="27"/>
          <w:rtl/>
        </w:rPr>
        <w:t xml:space="preserve"> </w:t>
      </w:r>
      <w:r w:rsidRPr="006571AC">
        <w:rPr>
          <w:rFonts w:hint="cs"/>
          <w:sz w:val="27"/>
          <w:rtl/>
        </w:rPr>
        <w:t>بقوله</w:t>
      </w:r>
      <w:r w:rsidR="00222DCE" w:rsidRPr="006571AC">
        <w:rPr>
          <w:rFonts w:hint="cs"/>
          <w:sz w:val="27"/>
          <w:rtl/>
        </w:rPr>
        <w:t>:</w:t>
      </w:r>
      <w:r w:rsidRPr="006571AC">
        <w:rPr>
          <w:sz w:val="27"/>
          <w:rtl/>
        </w:rPr>
        <w:t xml:space="preserve"> </w:t>
      </w:r>
      <w:r w:rsidRPr="006571AC">
        <w:rPr>
          <w:sz w:val="24"/>
          <w:szCs w:val="24"/>
          <w:rtl/>
        </w:rPr>
        <w:t>«</w:t>
      </w:r>
      <w:r w:rsidRPr="006571AC">
        <w:rPr>
          <w:rFonts w:hint="cs"/>
          <w:sz w:val="27"/>
          <w:rtl/>
        </w:rPr>
        <w:t>يعني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المتعة</w:t>
      </w:r>
      <w:r w:rsidRPr="006571AC">
        <w:rPr>
          <w:rFonts w:hint="eastAsia"/>
          <w:sz w:val="24"/>
          <w:szCs w:val="24"/>
          <w:rtl/>
        </w:rPr>
        <w:t>»</w:t>
      </w:r>
      <w:r w:rsidRPr="006571AC">
        <w:rPr>
          <w:sz w:val="27"/>
          <w:rtl/>
        </w:rPr>
        <w:t xml:space="preserve"> </w:t>
      </w:r>
      <w:r w:rsidRPr="006571AC">
        <w:rPr>
          <w:rFonts w:hint="cs"/>
          <w:sz w:val="27"/>
          <w:rtl/>
        </w:rPr>
        <w:t>إنّما</w:t>
      </w:r>
      <w:r w:rsidRPr="006571AC">
        <w:rPr>
          <w:sz w:val="27"/>
          <w:rtl/>
        </w:rPr>
        <w:t xml:space="preserve"> </w:t>
      </w:r>
      <w:r w:rsidRPr="006571AC">
        <w:rPr>
          <w:rFonts w:hint="cs"/>
          <w:sz w:val="27"/>
          <w:rtl/>
        </w:rPr>
        <w:t>جاء</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سؤال</w:t>
      </w:r>
      <w:r w:rsidRPr="006571AC">
        <w:rPr>
          <w:sz w:val="27"/>
          <w:rtl/>
        </w:rPr>
        <w:t xml:space="preserve"> </w:t>
      </w:r>
      <w:r w:rsidRPr="006571AC">
        <w:rPr>
          <w:rFonts w:hint="cs"/>
          <w:sz w:val="27"/>
          <w:rtl/>
        </w:rPr>
        <w:t>الراوي، ولازم</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يكون</w:t>
      </w:r>
      <w:r w:rsidRPr="006571AC">
        <w:rPr>
          <w:sz w:val="27"/>
          <w:rtl/>
        </w:rPr>
        <w:t xml:space="preserve"> </w:t>
      </w:r>
      <w:r w:rsidRPr="006571AC">
        <w:rPr>
          <w:rFonts w:hint="cs"/>
          <w:sz w:val="27"/>
          <w:rtl/>
        </w:rPr>
        <w:t>إنّما</w:t>
      </w:r>
      <w:r w:rsidRPr="006571AC">
        <w:rPr>
          <w:sz w:val="27"/>
          <w:rtl/>
        </w:rPr>
        <w:t xml:space="preserve"> </w:t>
      </w:r>
      <w:r w:rsidRPr="006571AC">
        <w:rPr>
          <w:rFonts w:hint="cs"/>
          <w:sz w:val="27"/>
          <w:rtl/>
        </w:rPr>
        <w:t>خصّ</w:t>
      </w:r>
      <w:r w:rsidRPr="006571AC">
        <w:rPr>
          <w:sz w:val="27"/>
          <w:rtl/>
        </w:rPr>
        <w:t xml:space="preserve"> </w:t>
      </w:r>
      <w:r w:rsidRPr="006571AC">
        <w:rPr>
          <w:rFonts w:hint="cs"/>
          <w:sz w:val="27"/>
          <w:rtl/>
        </w:rPr>
        <w:t>سؤاله</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عقد</w:t>
      </w:r>
      <w:r w:rsidRPr="006571AC">
        <w:rPr>
          <w:sz w:val="27"/>
          <w:rtl/>
        </w:rPr>
        <w:t xml:space="preserve"> </w:t>
      </w:r>
      <w:r w:rsidRPr="006571AC">
        <w:rPr>
          <w:rFonts w:hint="cs"/>
          <w:sz w:val="27"/>
          <w:rtl/>
        </w:rPr>
        <w:t>المتعة؟ فلذا</w:t>
      </w:r>
      <w:r w:rsidRPr="006571AC">
        <w:rPr>
          <w:sz w:val="27"/>
          <w:rtl/>
        </w:rPr>
        <w:t xml:space="preserve"> </w:t>
      </w:r>
      <w:r w:rsidRPr="006571AC">
        <w:rPr>
          <w:rFonts w:hint="cs"/>
          <w:sz w:val="27"/>
          <w:rtl/>
        </w:rPr>
        <w:t>أجابه</w:t>
      </w:r>
      <w:r w:rsidRPr="006571AC">
        <w:rPr>
          <w:sz w:val="27"/>
          <w:rtl/>
        </w:rPr>
        <w:t xml:space="preserve"> </w:t>
      </w:r>
      <w:r w:rsidRPr="006571AC">
        <w:rPr>
          <w:rFonts w:hint="cs"/>
          <w:sz w:val="27"/>
          <w:rtl/>
        </w:rPr>
        <w:t>الإمام</w:t>
      </w:r>
      <w:r w:rsidR="002A2C90" w:rsidRPr="006571AC">
        <w:rPr>
          <w:rFonts w:ascii="Mosawi" w:hAnsi="Mosawi" w:cs="Mosawi"/>
          <w:sz w:val="22"/>
          <w:szCs w:val="22"/>
          <w:rtl/>
        </w:rPr>
        <w:t>×</w:t>
      </w:r>
      <w:r w:rsidRPr="006571AC">
        <w:rPr>
          <w:sz w:val="27"/>
          <w:rtl/>
        </w:rPr>
        <w:t xml:space="preserve"> </w:t>
      </w:r>
      <w:r w:rsidRPr="006571AC">
        <w:rPr>
          <w:rFonts w:hint="cs"/>
          <w:sz w:val="27"/>
          <w:rtl/>
        </w:rPr>
        <w:t>بذكر</w:t>
      </w:r>
      <w:r w:rsidRPr="006571AC">
        <w:rPr>
          <w:sz w:val="27"/>
          <w:rtl/>
        </w:rPr>
        <w:t xml:space="preserve"> </w:t>
      </w:r>
      <w:r w:rsidRPr="006571AC">
        <w:rPr>
          <w:rFonts w:hint="cs"/>
          <w:sz w:val="27"/>
          <w:rtl/>
        </w:rPr>
        <w:t>الأ</w:t>
      </w:r>
      <w:r w:rsidR="00222DCE" w:rsidRPr="006571AC">
        <w:rPr>
          <w:rFonts w:hint="cs"/>
          <w:sz w:val="27"/>
          <w:rtl/>
        </w:rPr>
        <w:t>َ</w:t>
      </w:r>
      <w:r w:rsidRPr="006571AC">
        <w:rPr>
          <w:rFonts w:hint="cs"/>
          <w:sz w:val="27"/>
          <w:rtl/>
        </w:rPr>
        <w:t>ج</w:t>
      </w:r>
      <w:r w:rsidR="00222DCE" w:rsidRPr="006571AC">
        <w:rPr>
          <w:rFonts w:hint="cs"/>
          <w:sz w:val="27"/>
          <w:rtl/>
        </w:rPr>
        <w:t>َ</w:t>
      </w:r>
      <w:r w:rsidRPr="006571AC">
        <w:rPr>
          <w:rFonts w:hint="cs"/>
          <w:sz w:val="27"/>
          <w:rtl/>
        </w:rPr>
        <w:t>ل</w:t>
      </w:r>
      <w:r w:rsidRPr="006571AC">
        <w:rPr>
          <w:sz w:val="27"/>
          <w:vertAlign w:val="superscript"/>
          <w:rtl/>
        </w:rPr>
        <w:t>(</w:t>
      </w:r>
      <w:r w:rsidRPr="006571AC">
        <w:rPr>
          <w:sz w:val="27"/>
          <w:vertAlign w:val="superscript"/>
          <w:rtl/>
        </w:rPr>
        <w:endnoteReference w:id="456"/>
      </w:r>
      <w:r w:rsidRPr="006571AC">
        <w:rPr>
          <w:sz w:val="27"/>
          <w:vertAlign w:val="superscript"/>
          <w:rtl/>
        </w:rPr>
        <w:t>)</w:t>
      </w:r>
      <w:r w:rsidRPr="006571AC">
        <w:rPr>
          <w:sz w:val="27"/>
          <w:rtl/>
        </w:rPr>
        <w:t xml:space="preserve">. </w:t>
      </w:r>
    </w:p>
    <w:p w:rsidR="00237EB1" w:rsidRPr="006571AC" w:rsidRDefault="00237EB1" w:rsidP="00E60D93">
      <w:pPr>
        <w:rPr>
          <w:sz w:val="27"/>
          <w:rtl/>
        </w:rPr>
      </w:pPr>
      <w:r w:rsidRPr="006571AC">
        <w:rPr>
          <w:rFonts w:hint="cs"/>
          <w:sz w:val="27"/>
          <w:rtl/>
        </w:rPr>
        <w:t xml:space="preserve">ـ وأمّا بالنسبة </w:t>
      </w:r>
      <w:r w:rsidR="00222DCE" w:rsidRPr="006571AC">
        <w:rPr>
          <w:rFonts w:hint="cs"/>
          <w:sz w:val="27"/>
          <w:rtl/>
        </w:rPr>
        <w:t>إلى ا</w:t>
      </w:r>
      <w:r w:rsidRPr="006571AC">
        <w:rPr>
          <w:rFonts w:hint="cs"/>
          <w:sz w:val="27"/>
          <w:rtl/>
        </w:rPr>
        <w:t xml:space="preserve">لسيد المرتضى </w:t>
      </w:r>
      <w:r w:rsidR="00222DCE" w:rsidRPr="006571AC">
        <w:rPr>
          <w:rFonts w:hint="cs"/>
          <w:sz w:val="27"/>
          <w:rtl/>
        </w:rPr>
        <w:t>ف</w:t>
      </w:r>
      <w:r w:rsidRPr="006571AC">
        <w:rPr>
          <w:rFonts w:hint="cs"/>
          <w:sz w:val="27"/>
          <w:rtl/>
        </w:rPr>
        <w:t xml:space="preserve">يمكن مناقشة استدلاله بما يلي: </w:t>
      </w:r>
    </w:p>
    <w:p w:rsidR="00237EB1" w:rsidRPr="006571AC" w:rsidRDefault="00237EB1" w:rsidP="00E60D93">
      <w:pPr>
        <w:rPr>
          <w:sz w:val="27"/>
          <w:rtl/>
        </w:rPr>
      </w:pPr>
      <w:r w:rsidRPr="006571AC">
        <w:rPr>
          <w:rFonts w:hint="cs"/>
          <w:sz w:val="27"/>
          <w:rtl/>
        </w:rPr>
        <w:t xml:space="preserve"> أمّا بالنسبة للإجماع المد</w:t>
      </w:r>
      <w:r w:rsidR="00222DCE" w:rsidRPr="006571AC">
        <w:rPr>
          <w:rFonts w:hint="cs"/>
          <w:sz w:val="27"/>
          <w:rtl/>
        </w:rPr>
        <w:t>َّ</w:t>
      </w:r>
      <w:r w:rsidRPr="006571AC">
        <w:rPr>
          <w:rFonts w:hint="cs"/>
          <w:sz w:val="27"/>
          <w:rtl/>
        </w:rPr>
        <w:t>عى فهو محتمل</w:t>
      </w:r>
      <w:r w:rsidR="00222DCE" w:rsidRPr="006571AC">
        <w:rPr>
          <w:rFonts w:hint="cs"/>
          <w:sz w:val="27"/>
          <w:rtl/>
        </w:rPr>
        <w:t>ُ</w:t>
      </w:r>
      <w:r w:rsidRPr="006571AC">
        <w:rPr>
          <w:rFonts w:hint="cs"/>
          <w:sz w:val="27"/>
          <w:rtl/>
        </w:rPr>
        <w:t xml:space="preserve"> الم</w:t>
      </w:r>
      <w:r w:rsidR="00222DCE" w:rsidRPr="006571AC">
        <w:rPr>
          <w:rFonts w:hint="cs"/>
          <w:sz w:val="27"/>
          <w:rtl/>
        </w:rPr>
        <w:t>َ</w:t>
      </w:r>
      <w:r w:rsidRPr="006571AC">
        <w:rPr>
          <w:rFonts w:hint="cs"/>
          <w:sz w:val="27"/>
          <w:rtl/>
        </w:rPr>
        <w:t>د</w:t>
      </w:r>
      <w:r w:rsidR="00222DCE" w:rsidRPr="006571AC">
        <w:rPr>
          <w:rFonts w:hint="cs"/>
          <w:sz w:val="27"/>
          <w:rtl/>
        </w:rPr>
        <w:t>ْ</w:t>
      </w:r>
      <w:r w:rsidRPr="006571AC">
        <w:rPr>
          <w:rFonts w:hint="cs"/>
          <w:sz w:val="27"/>
          <w:rtl/>
        </w:rPr>
        <w:t>ر</w:t>
      </w:r>
      <w:r w:rsidR="00222DCE" w:rsidRPr="006571AC">
        <w:rPr>
          <w:rFonts w:hint="cs"/>
          <w:sz w:val="27"/>
          <w:rtl/>
        </w:rPr>
        <w:t>َ</w:t>
      </w:r>
      <w:r w:rsidRPr="006571AC">
        <w:rPr>
          <w:rFonts w:hint="cs"/>
          <w:sz w:val="27"/>
          <w:rtl/>
        </w:rPr>
        <w:t>كيّة</w:t>
      </w:r>
      <w:r w:rsidR="00222DCE" w:rsidRPr="006571AC">
        <w:rPr>
          <w:rFonts w:hint="cs"/>
          <w:sz w:val="27"/>
          <w:rtl/>
        </w:rPr>
        <w:t>،</w:t>
      </w:r>
      <w:r w:rsidRPr="006571AC">
        <w:rPr>
          <w:rFonts w:hint="cs"/>
          <w:sz w:val="27"/>
          <w:rtl/>
        </w:rPr>
        <w:t xml:space="preserve"> إن</w:t>
      </w:r>
      <w:r w:rsidR="00222DCE" w:rsidRPr="006571AC">
        <w:rPr>
          <w:rFonts w:hint="cs"/>
          <w:sz w:val="27"/>
          <w:rtl/>
        </w:rPr>
        <w:t>ْ</w:t>
      </w:r>
      <w:r w:rsidRPr="006571AC">
        <w:rPr>
          <w:rFonts w:hint="cs"/>
          <w:sz w:val="27"/>
          <w:rtl/>
        </w:rPr>
        <w:t xml:space="preserve"> لم يكن معلوم الم</w:t>
      </w:r>
      <w:r w:rsidR="00222DCE" w:rsidRPr="006571AC">
        <w:rPr>
          <w:rFonts w:hint="cs"/>
          <w:sz w:val="27"/>
          <w:rtl/>
        </w:rPr>
        <w:t>َ</w:t>
      </w:r>
      <w:r w:rsidRPr="006571AC">
        <w:rPr>
          <w:rFonts w:hint="cs"/>
          <w:sz w:val="27"/>
          <w:rtl/>
        </w:rPr>
        <w:t>د</w:t>
      </w:r>
      <w:r w:rsidR="00222DCE" w:rsidRPr="006571AC">
        <w:rPr>
          <w:rFonts w:hint="cs"/>
          <w:sz w:val="27"/>
          <w:rtl/>
        </w:rPr>
        <w:t>ْ</w:t>
      </w:r>
      <w:r w:rsidRPr="006571AC">
        <w:rPr>
          <w:rFonts w:hint="cs"/>
          <w:sz w:val="27"/>
          <w:rtl/>
        </w:rPr>
        <w:t>ر</w:t>
      </w:r>
      <w:r w:rsidR="00222DCE" w:rsidRPr="006571AC">
        <w:rPr>
          <w:rFonts w:hint="cs"/>
          <w:sz w:val="27"/>
          <w:rtl/>
        </w:rPr>
        <w:t>َ</w:t>
      </w:r>
      <w:r w:rsidRPr="006571AC">
        <w:rPr>
          <w:rFonts w:hint="cs"/>
          <w:sz w:val="27"/>
          <w:rtl/>
        </w:rPr>
        <w:t>كيّة</w:t>
      </w:r>
      <w:r w:rsidR="00222DCE" w:rsidRPr="006571AC">
        <w:rPr>
          <w:rFonts w:hint="cs"/>
          <w:sz w:val="27"/>
          <w:rtl/>
        </w:rPr>
        <w:t>.</w:t>
      </w:r>
    </w:p>
    <w:p w:rsidR="00237EB1" w:rsidRPr="006571AC" w:rsidRDefault="00237EB1" w:rsidP="00E60D93">
      <w:pPr>
        <w:rPr>
          <w:sz w:val="27"/>
          <w:rtl/>
        </w:rPr>
      </w:pPr>
      <w:r w:rsidRPr="006571AC">
        <w:rPr>
          <w:rFonts w:hint="cs"/>
          <w:sz w:val="27"/>
          <w:rtl/>
        </w:rPr>
        <w:t>وأمّا رواية المفضّ</w:t>
      </w:r>
      <w:r w:rsidR="00222DCE" w:rsidRPr="006571AC">
        <w:rPr>
          <w:rFonts w:hint="cs"/>
          <w:sz w:val="27"/>
          <w:rtl/>
        </w:rPr>
        <w:t>َ</w:t>
      </w:r>
      <w:r w:rsidRPr="006571AC">
        <w:rPr>
          <w:rFonts w:hint="cs"/>
          <w:sz w:val="27"/>
          <w:rtl/>
        </w:rPr>
        <w:t xml:space="preserve">ل فهي </w:t>
      </w:r>
      <w:r w:rsidR="00222DCE" w:rsidRPr="006571AC">
        <w:rPr>
          <w:rFonts w:hint="cs"/>
          <w:b/>
          <w:bCs/>
          <w:sz w:val="27"/>
          <w:rtl/>
        </w:rPr>
        <w:t>أوّلاً</w:t>
      </w:r>
      <w:r w:rsidR="00222DCE" w:rsidRPr="006571AC">
        <w:rPr>
          <w:rFonts w:hint="cs"/>
          <w:sz w:val="27"/>
          <w:rtl/>
        </w:rPr>
        <w:t xml:space="preserve">: </w:t>
      </w:r>
      <w:r w:rsidRPr="006571AC">
        <w:rPr>
          <w:rFonts w:hint="cs"/>
          <w:sz w:val="27"/>
          <w:rtl/>
        </w:rPr>
        <w:t>ضعيفة</w:t>
      </w:r>
      <w:r w:rsidR="00222DCE" w:rsidRPr="006571AC">
        <w:rPr>
          <w:rFonts w:hint="cs"/>
          <w:sz w:val="27"/>
          <w:rtl/>
        </w:rPr>
        <w:t>ٌ</w:t>
      </w:r>
      <w:r w:rsidRPr="006571AC">
        <w:rPr>
          <w:rFonts w:hint="cs"/>
          <w:sz w:val="27"/>
          <w:rtl/>
        </w:rPr>
        <w:t xml:space="preserve"> </w:t>
      </w:r>
      <w:r w:rsidR="00222DCE" w:rsidRPr="006571AC">
        <w:rPr>
          <w:rFonts w:hint="cs"/>
          <w:sz w:val="27"/>
          <w:rtl/>
        </w:rPr>
        <w:t xml:space="preserve">ـ </w:t>
      </w:r>
      <w:r w:rsidRPr="006571AC">
        <w:rPr>
          <w:rFonts w:hint="cs"/>
          <w:sz w:val="27"/>
          <w:rtl/>
        </w:rPr>
        <w:t xml:space="preserve">على المشهور </w:t>
      </w:r>
      <w:r w:rsidR="00222DCE" w:rsidRPr="006571AC">
        <w:rPr>
          <w:rFonts w:hint="cs"/>
          <w:sz w:val="27"/>
          <w:rtl/>
        </w:rPr>
        <w:t xml:space="preserve">ـ </w:t>
      </w:r>
      <w:r w:rsidRPr="006571AC">
        <w:rPr>
          <w:rFonts w:hint="cs"/>
          <w:sz w:val="27"/>
          <w:rtl/>
        </w:rPr>
        <w:t>بسهل بن زياد</w:t>
      </w:r>
      <w:r w:rsidR="00222DCE" w:rsidRPr="006571AC">
        <w:rPr>
          <w:rFonts w:hint="cs"/>
          <w:sz w:val="27"/>
          <w:rtl/>
        </w:rPr>
        <w:t>؛</w:t>
      </w:r>
      <w:r w:rsidRPr="006571AC">
        <w:rPr>
          <w:rFonts w:hint="cs"/>
          <w:sz w:val="27"/>
          <w:rtl/>
        </w:rPr>
        <w:t xml:space="preserve"> </w:t>
      </w:r>
      <w:r w:rsidRPr="006571AC">
        <w:rPr>
          <w:rFonts w:hint="cs"/>
          <w:b/>
          <w:bCs/>
          <w:sz w:val="27"/>
          <w:rtl/>
        </w:rPr>
        <w:t>وثانياً</w:t>
      </w:r>
      <w:r w:rsidRPr="006571AC">
        <w:rPr>
          <w:rFonts w:hint="cs"/>
          <w:sz w:val="27"/>
          <w:rtl/>
        </w:rPr>
        <w:t>: لو سل</w:t>
      </w:r>
      <w:r w:rsidR="00222DCE" w:rsidRPr="006571AC">
        <w:rPr>
          <w:rFonts w:hint="cs"/>
          <w:sz w:val="27"/>
          <w:rtl/>
        </w:rPr>
        <w:t>َّ</w:t>
      </w:r>
      <w:r w:rsidRPr="006571AC">
        <w:rPr>
          <w:rFonts w:hint="cs"/>
          <w:sz w:val="27"/>
          <w:rtl/>
        </w:rPr>
        <w:t xml:space="preserve">منا بتمامية سندها </w:t>
      </w:r>
      <w:r w:rsidR="00222DCE" w:rsidRPr="006571AC">
        <w:rPr>
          <w:rFonts w:hint="cs"/>
          <w:sz w:val="27"/>
          <w:rtl/>
        </w:rPr>
        <w:t>فإ</w:t>
      </w:r>
      <w:r w:rsidRPr="006571AC">
        <w:rPr>
          <w:rFonts w:hint="cs"/>
          <w:sz w:val="27"/>
          <w:rtl/>
        </w:rPr>
        <w:t>نها معار</w:t>
      </w:r>
      <w:r w:rsidR="00222DCE" w:rsidRPr="006571AC">
        <w:rPr>
          <w:rFonts w:hint="cs"/>
          <w:sz w:val="27"/>
          <w:rtl/>
        </w:rPr>
        <w:t>َ</w:t>
      </w:r>
      <w:r w:rsidRPr="006571AC">
        <w:rPr>
          <w:rFonts w:hint="cs"/>
          <w:sz w:val="27"/>
          <w:rtl/>
        </w:rPr>
        <w:t>ضة</w:t>
      </w:r>
      <w:r w:rsidR="00222DCE" w:rsidRPr="006571AC">
        <w:rPr>
          <w:rFonts w:hint="cs"/>
          <w:sz w:val="27"/>
          <w:rtl/>
        </w:rPr>
        <w:t>ٌ</w:t>
      </w:r>
      <w:r w:rsidRPr="006571AC">
        <w:rPr>
          <w:rFonts w:hint="cs"/>
          <w:sz w:val="27"/>
          <w:rtl/>
        </w:rPr>
        <w:t xml:space="preserve"> بما دلّ على عدم تقييد المهر بمهر السن</w:t>
      </w:r>
      <w:r w:rsidR="00222DCE" w:rsidRPr="006571AC">
        <w:rPr>
          <w:rFonts w:hint="cs"/>
          <w:sz w:val="27"/>
          <w:rtl/>
        </w:rPr>
        <w:t>ّ</w:t>
      </w:r>
      <w:r w:rsidRPr="006571AC">
        <w:rPr>
          <w:rFonts w:hint="cs"/>
          <w:sz w:val="27"/>
          <w:rtl/>
        </w:rPr>
        <w:t>ة</w:t>
      </w:r>
      <w:r w:rsidR="00222DCE" w:rsidRPr="006571AC">
        <w:rPr>
          <w:rFonts w:hint="cs"/>
          <w:sz w:val="27"/>
          <w:rtl/>
        </w:rPr>
        <w:t>،</w:t>
      </w:r>
      <w:r w:rsidRPr="006571AC">
        <w:rPr>
          <w:rFonts w:hint="cs"/>
          <w:sz w:val="27"/>
          <w:rtl/>
        </w:rPr>
        <w:t xml:space="preserve"> و</w:t>
      </w:r>
      <w:r w:rsidR="00222DCE" w:rsidRPr="006571AC">
        <w:rPr>
          <w:rFonts w:hint="cs"/>
          <w:sz w:val="27"/>
          <w:rtl/>
        </w:rPr>
        <w:t>أ</w:t>
      </w:r>
      <w:r w:rsidRPr="006571AC">
        <w:rPr>
          <w:rFonts w:hint="cs"/>
          <w:sz w:val="27"/>
          <w:rtl/>
        </w:rPr>
        <w:t>نه على</w:t>
      </w:r>
      <w:r w:rsidR="00222DCE" w:rsidRPr="006571AC">
        <w:rPr>
          <w:rFonts w:hint="cs"/>
          <w:sz w:val="27"/>
          <w:rtl/>
        </w:rPr>
        <w:t xml:space="preserve"> ما تراضى عليه الزوجان؛ وبما أن هذ</w:t>
      </w:r>
      <w:r w:rsidRPr="006571AC">
        <w:rPr>
          <w:rFonts w:hint="cs"/>
          <w:sz w:val="27"/>
          <w:rtl/>
        </w:rPr>
        <w:t>ا التعارض ليس مستقر</w:t>
      </w:r>
      <w:r w:rsidR="00222DCE" w:rsidRPr="006571AC">
        <w:rPr>
          <w:rFonts w:hint="cs"/>
          <w:sz w:val="27"/>
          <w:rtl/>
        </w:rPr>
        <w:t>ّ</w:t>
      </w:r>
      <w:r w:rsidRPr="006571AC">
        <w:rPr>
          <w:rFonts w:hint="cs"/>
          <w:sz w:val="27"/>
          <w:rtl/>
        </w:rPr>
        <w:t>اً فيمكن حمل رواية المفض</w:t>
      </w:r>
      <w:r w:rsidR="00222DCE" w:rsidRPr="006571AC">
        <w:rPr>
          <w:rFonts w:hint="cs"/>
          <w:sz w:val="27"/>
          <w:rtl/>
        </w:rPr>
        <w:t>َّ</w:t>
      </w:r>
      <w:r w:rsidRPr="006571AC">
        <w:rPr>
          <w:rFonts w:hint="cs"/>
          <w:sz w:val="27"/>
          <w:rtl/>
        </w:rPr>
        <w:t>ل على الاستحباب</w:t>
      </w:r>
      <w:r w:rsidR="00222DCE" w:rsidRPr="006571AC">
        <w:rPr>
          <w:rFonts w:hint="cs"/>
          <w:sz w:val="27"/>
          <w:rtl/>
        </w:rPr>
        <w:t>؛</w:t>
      </w:r>
      <w:r w:rsidRPr="006571AC">
        <w:rPr>
          <w:rFonts w:hint="cs"/>
          <w:sz w:val="27"/>
          <w:rtl/>
        </w:rPr>
        <w:t xml:space="preserve"> وعلى فرض استقرار التعارض فالمرجع بعد التساقط قوله تعالى: </w:t>
      </w:r>
      <w:r w:rsidRPr="006571AC">
        <w:rPr>
          <w:rFonts w:ascii="Mosawi" w:hAnsi="Mosawi" w:cs="Mosawi"/>
          <w:sz w:val="24"/>
          <w:szCs w:val="24"/>
          <w:rtl/>
        </w:rPr>
        <w:t>﴿</w:t>
      </w:r>
      <w:r w:rsidRPr="006571AC">
        <w:rPr>
          <w:rFonts w:hint="cs"/>
          <w:b/>
          <w:bCs/>
          <w:sz w:val="27"/>
          <w:rtl/>
        </w:rPr>
        <w:t>وَآتَيْتُمْ</w:t>
      </w:r>
      <w:r w:rsidRPr="006571AC">
        <w:rPr>
          <w:b/>
          <w:bCs/>
          <w:sz w:val="27"/>
          <w:rtl/>
        </w:rPr>
        <w:t xml:space="preserve"> </w:t>
      </w:r>
      <w:r w:rsidRPr="006571AC">
        <w:rPr>
          <w:rFonts w:hint="cs"/>
          <w:b/>
          <w:bCs/>
          <w:sz w:val="27"/>
          <w:rtl/>
        </w:rPr>
        <w:t>إِحْد</w:t>
      </w:r>
      <w:r w:rsidR="00222DCE" w:rsidRPr="006571AC">
        <w:rPr>
          <w:rFonts w:hint="cs"/>
          <w:b/>
          <w:bCs/>
          <w:sz w:val="27"/>
          <w:rtl/>
        </w:rPr>
        <w:t>َ</w:t>
      </w:r>
      <w:r w:rsidRPr="006571AC">
        <w:rPr>
          <w:rFonts w:hint="cs"/>
          <w:b/>
          <w:bCs/>
          <w:sz w:val="27"/>
          <w:rtl/>
        </w:rPr>
        <w:t>اهُنَّ</w:t>
      </w:r>
      <w:r w:rsidRPr="006571AC">
        <w:rPr>
          <w:b/>
          <w:bCs/>
          <w:sz w:val="27"/>
          <w:rtl/>
        </w:rPr>
        <w:t xml:space="preserve"> </w:t>
      </w:r>
      <w:r w:rsidRPr="006571AC">
        <w:rPr>
          <w:rFonts w:hint="cs"/>
          <w:b/>
          <w:bCs/>
          <w:sz w:val="27"/>
          <w:rtl/>
        </w:rPr>
        <w:t>قِنْطاراً</w:t>
      </w:r>
      <w:r w:rsidRPr="006571AC">
        <w:rPr>
          <w:rFonts w:ascii="Mosawi" w:hAnsi="Mosawi" w:cs="Mosawi"/>
          <w:sz w:val="24"/>
          <w:szCs w:val="24"/>
          <w:rtl/>
        </w:rPr>
        <w:t>﴾</w:t>
      </w:r>
      <w:r w:rsidR="00222DCE" w:rsidRPr="006571AC">
        <w:rPr>
          <w:rFonts w:hint="cs"/>
          <w:sz w:val="27"/>
          <w:rtl/>
        </w:rPr>
        <w:t xml:space="preserve">، </w:t>
      </w:r>
      <w:r w:rsidRPr="006571AC">
        <w:rPr>
          <w:rFonts w:hint="cs"/>
          <w:sz w:val="27"/>
          <w:rtl/>
        </w:rPr>
        <w:t>وهو يقتضي عد</w:t>
      </w:r>
      <w:r w:rsidR="00222DCE" w:rsidRPr="006571AC">
        <w:rPr>
          <w:rFonts w:hint="cs"/>
          <w:sz w:val="27"/>
          <w:rtl/>
        </w:rPr>
        <w:t>م</w:t>
      </w:r>
      <w:r w:rsidRPr="006571AC">
        <w:rPr>
          <w:rFonts w:hint="cs"/>
          <w:sz w:val="27"/>
          <w:rtl/>
        </w:rPr>
        <w:t xml:space="preserve"> التحديد. </w:t>
      </w:r>
    </w:p>
    <w:p w:rsidR="00237EB1" w:rsidRPr="006571AC" w:rsidRDefault="00237EB1" w:rsidP="00E60D93">
      <w:pPr>
        <w:rPr>
          <w:sz w:val="27"/>
          <w:rtl/>
        </w:rPr>
      </w:pPr>
      <w:r w:rsidRPr="006571AC">
        <w:rPr>
          <w:rFonts w:hint="cs"/>
          <w:sz w:val="27"/>
          <w:rtl/>
        </w:rPr>
        <w:t>وأمّا ما استدل</w:t>
      </w:r>
      <w:r w:rsidR="006A6A92" w:rsidRPr="006571AC">
        <w:rPr>
          <w:rFonts w:hint="cs"/>
          <w:sz w:val="27"/>
          <w:rtl/>
        </w:rPr>
        <w:t>ّ</w:t>
      </w:r>
      <w:r w:rsidRPr="006571AC">
        <w:rPr>
          <w:rFonts w:hint="cs"/>
          <w:sz w:val="27"/>
          <w:rtl/>
        </w:rPr>
        <w:t xml:space="preserve"> به ثالثاً </w:t>
      </w:r>
      <w:r w:rsidR="006A6A92" w:rsidRPr="006571AC">
        <w:rPr>
          <w:rFonts w:hint="cs"/>
          <w:sz w:val="27"/>
          <w:rtl/>
        </w:rPr>
        <w:t>ف</w:t>
      </w:r>
      <w:r w:rsidRPr="006571AC">
        <w:rPr>
          <w:rFonts w:hint="cs"/>
          <w:sz w:val="27"/>
          <w:rtl/>
        </w:rPr>
        <w:t>بمنع عدم</w:t>
      </w:r>
      <w:r w:rsidRPr="006571AC">
        <w:rPr>
          <w:sz w:val="27"/>
          <w:rtl/>
        </w:rPr>
        <w:t xml:space="preserve"> </w:t>
      </w:r>
      <w:r w:rsidRPr="006571AC">
        <w:rPr>
          <w:rFonts w:hint="cs"/>
          <w:sz w:val="27"/>
          <w:rtl/>
        </w:rPr>
        <w:t>الإجماع</w:t>
      </w:r>
      <w:r w:rsidRPr="006571AC">
        <w:rPr>
          <w:sz w:val="27"/>
          <w:rtl/>
        </w:rPr>
        <w:t xml:space="preserve"> </w:t>
      </w:r>
      <w:r w:rsidRPr="006571AC">
        <w:rPr>
          <w:rFonts w:hint="cs"/>
          <w:sz w:val="27"/>
          <w:rtl/>
        </w:rPr>
        <w:t>عليه</w:t>
      </w:r>
      <w:r w:rsidR="00A1010E" w:rsidRPr="006571AC">
        <w:rPr>
          <w:rFonts w:hint="cs"/>
          <w:sz w:val="27"/>
          <w:rtl/>
        </w:rPr>
        <w:t>.</w:t>
      </w:r>
      <w:r w:rsidRPr="006571AC">
        <w:rPr>
          <w:rFonts w:hint="cs"/>
          <w:sz w:val="27"/>
          <w:rtl/>
        </w:rPr>
        <w:t xml:space="preserve"> وعلى فرض عدم الإجماع لا</w:t>
      </w:r>
      <w:r w:rsidRPr="006571AC">
        <w:rPr>
          <w:sz w:val="27"/>
          <w:rtl/>
        </w:rPr>
        <w:t xml:space="preserve"> </w:t>
      </w:r>
      <w:r w:rsidRPr="006571AC">
        <w:rPr>
          <w:rFonts w:hint="cs"/>
          <w:sz w:val="27"/>
          <w:rtl/>
        </w:rPr>
        <w:t>يلزم</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نفي</w:t>
      </w:r>
      <w:r w:rsidRPr="006571AC">
        <w:rPr>
          <w:sz w:val="27"/>
          <w:rtl/>
        </w:rPr>
        <w:t xml:space="preserve"> </w:t>
      </w:r>
      <w:r w:rsidRPr="006571AC">
        <w:rPr>
          <w:rFonts w:hint="cs"/>
          <w:sz w:val="27"/>
          <w:rtl/>
        </w:rPr>
        <w:t>الإجماع</w:t>
      </w:r>
      <w:r w:rsidRPr="006571AC">
        <w:rPr>
          <w:sz w:val="27"/>
          <w:rtl/>
        </w:rPr>
        <w:t xml:space="preserve"> </w:t>
      </w:r>
      <w:r w:rsidRPr="006571AC">
        <w:rPr>
          <w:rFonts w:hint="cs"/>
          <w:sz w:val="27"/>
          <w:rtl/>
        </w:rPr>
        <w:t>نفي</w:t>
      </w:r>
      <w:r w:rsidRPr="006571AC">
        <w:rPr>
          <w:sz w:val="27"/>
          <w:rtl/>
        </w:rPr>
        <w:t xml:space="preserve"> </w:t>
      </w:r>
      <w:r w:rsidRPr="006571AC">
        <w:rPr>
          <w:rFonts w:hint="cs"/>
          <w:sz w:val="27"/>
          <w:rtl/>
        </w:rPr>
        <w:t>باقي</w:t>
      </w:r>
      <w:r w:rsidRPr="006571AC">
        <w:rPr>
          <w:sz w:val="27"/>
          <w:rtl/>
        </w:rPr>
        <w:t xml:space="preserve"> </w:t>
      </w:r>
      <w:r w:rsidRPr="006571AC">
        <w:rPr>
          <w:rFonts w:hint="cs"/>
          <w:sz w:val="27"/>
          <w:rtl/>
        </w:rPr>
        <w:t>الأدل</w:t>
      </w:r>
      <w:r w:rsidR="00A1010E" w:rsidRPr="006571AC">
        <w:rPr>
          <w:rFonts w:hint="cs"/>
          <w:sz w:val="27"/>
          <w:rtl/>
        </w:rPr>
        <w:t>ّ</w:t>
      </w:r>
      <w:r w:rsidRPr="006571AC">
        <w:rPr>
          <w:rFonts w:hint="cs"/>
          <w:sz w:val="27"/>
          <w:rtl/>
        </w:rPr>
        <w:t>ة</w:t>
      </w:r>
      <w:r w:rsidRPr="006571AC">
        <w:rPr>
          <w:sz w:val="27"/>
          <w:vertAlign w:val="superscript"/>
          <w:rtl/>
        </w:rPr>
        <w:t>(</w:t>
      </w:r>
      <w:r w:rsidRPr="006571AC">
        <w:rPr>
          <w:sz w:val="27"/>
          <w:vertAlign w:val="superscript"/>
          <w:rtl/>
        </w:rPr>
        <w:endnoteReference w:id="457"/>
      </w:r>
      <w:r w:rsidRPr="006571AC">
        <w:rPr>
          <w:sz w:val="27"/>
          <w:vertAlign w:val="superscript"/>
          <w:rtl/>
        </w:rPr>
        <w:t>)</w:t>
      </w:r>
      <w:r w:rsidRPr="006571AC">
        <w:rPr>
          <w:sz w:val="27"/>
          <w:rtl/>
        </w:rPr>
        <w:t xml:space="preserve">. </w:t>
      </w:r>
    </w:p>
    <w:p w:rsidR="00237EB1" w:rsidRPr="006571AC" w:rsidRDefault="00237EB1" w:rsidP="0022224E">
      <w:pPr>
        <w:pStyle w:val="31"/>
        <w:rPr>
          <w:color w:val="auto"/>
          <w:rtl/>
        </w:rPr>
      </w:pPr>
      <w:bookmarkStart w:id="283" w:name="_Toc114164717"/>
      <w:bookmarkStart w:id="284" w:name="_Toc79281941"/>
      <w:r w:rsidRPr="006571AC">
        <w:rPr>
          <w:color w:val="auto"/>
          <w:rtl/>
        </w:rPr>
        <w:lastRenderedPageBreak/>
        <w:t>تحديد المهر كثرة</w:t>
      </w:r>
      <w:r w:rsidR="00A1010E" w:rsidRPr="006571AC">
        <w:rPr>
          <w:rFonts w:hint="cs"/>
          <w:color w:val="auto"/>
          <w:rtl/>
        </w:rPr>
        <w:t>ً</w:t>
      </w:r>
      <w:r w:rsidRPr="006571AC">
        <w:rPr>
          <w:color w:val="auto"/>
          <w:rtl/>
        </w:rPr>
        <w:t xml:space="preserve"> من سنخ الأحكام الولائي</w:t>
      </w:r>
      <w:r w:rsidR="00C3538C" w:rsidRPr="006571AC">
        <w:rPr>
          <w:rFonts w:hint="cs"/>
          <w:color w:val="auto"/>
          <w:rtl/>
        </w:rPr>
        <w:t>ّ</w:t>
      </w:r>
      <w:r w:rsidRPr="006571AC">
        <w:rPr>
          <w:color w:val="auto"/>
          <w:rtl/>
        </w:rPr>
        <w:t>ة</w:t>
      </w:r>
      <w:bookmarkEnd w:id="283"/>
      <w:r w:rsidRPr="006571AC">
        <w:rPr>
          <w:color w:val="auto"/>
          <w:rtl/>
        </w:rPr>
        <w:t xml:space="preserve"> </w:t>
      </w:r>
      <w:bookmarkEnd w:id="284"/>
    </w:p>
    <w:p w:rsidR="007026DA" w:rsidRPr="006571AC" w:rsidRDefault="00237EB1" w:rsidP="00E60D93">
      <w:pPr>
        <w:rPr>
          <w:sz w:val="27"/>
          <w:rtl/>
        </w:rPr>
      </w:pPr>
      <w:r w:rsidRPr="006571AC">
        <w:rPr>
          <w:rFonts w:hint="cs"/>
          <w:sz w:val="27"/>
          <w:rtl/>
        </w:rPr>
        <w:t>ما تقد</w:t>
      </w:r>
      <w:r w:rsidR="00A1010E" w:rsidRPr="006571AC">
        <w:rPr>
          <w:rFonts w:hint="cs"/>
          <w:sz w:val="27"/>
          <w:rtl/>
        </w:rPr>
        <w:t>َّ</w:t>
      </w:r>
      <w:r w:rsidRPr="006571AC">
        <w:rPr>
          <w:rFonts w:hint="cs"/>
          <w:sz w:val="27"/>
          <w:rtl/>
        </w:rPr>
        <w:t>م من عرض الأدلة ومناقشتها هو وفق ما تقتضيه الصناعة العلمية الفقهية</w:t>
      </w:r>
      <w:r w:rsidR="00E81C41" w:rsidRPr="006571AC">
        <w:rPr>
          <w:rFonts w:hint="cs"/>
          <w:sz w:val="27"/>
          <w:rtl/>
        </w:rPr>
        <w:t>،</w:t>
      </w:r>
      <w:r w:rsidRPr="006571AC">
        <w:rPr>
          <w:rFonts w:hint="cs"/>
          <w:sz w:val="27"/>
          <w:rtl/>
        </w:rPr>
        <w:t xml:space="preserve"> إلاّ</w:t>
      </w:r>
      <w:r w:rsidR="00A1010E" w:rsidRPr="006571AC">
        <w:rPr>
          <w:rFonts w:hint="cs"/>
          <w:sz w:val="27"/>
          <w:rtl/>
        </w:rPr>
        <w:t xml:space="preserve"> أن</w:t>
      </w:r>
      <w:r w:rsidRPr="006571AC">
        <w:rPr>
          <w:rFonts w:hint="cs"/>
          <w:sz w:val="27"/>
          <w:rtl/>
        </w:rPr>
        <w:t>ه يمكن أن يقال بأن ما ورد من أخبار</w:t>
      </w:r>
      <w:r w:rsidR="00A1010E" w:rsidRPr="006571AC">
        <w:rPr>
          <w:rFonts w:hint="cs"/>
          <w:sz w:val="27"/>
          <w:rtl/>
        </w:rPr>
        <w:t>ٍ</w:t>
      </w:r>
      <w:r w:rsidRPr="006571AC">
        <w:rPr>
          <w:rFonts w:hint="cs"/>
          <w:sz w:val="27"/>
          <w:rtl/>
        </w:rPr>
        <w:t xml:space="preserve"> في تحديد المهر من ناحية الكثرة بمهر السن</w:t>
      </w:r>
      <w:r w:rsidR="00A1010E" w:rsidRPr="006571AC">
        <w:rPr>
          <w:rFonts w:hint="cs"/>
          <w:sz w:val="27"/>
          <w:rtl/>
        </w:rPr>
        <w:t>ّ</w:t>
      </w:r>
      <w:r w:rsidRPr="006571AC">
        <w:rPr>
          <w:rFonts w:hint="cs"/>
          <w:sz w:val="27"/>
          <w:rtl/>
        </w:rPr>
        <w:t>ة</w:t>
      </w:r>
      <w:r w:rsidR="00A1010E" w:rsidRPr="006571AC">
        <w:rPr>
          <w:rFonts w:hint="cs"/>
          <w:sz w:val="27"/>
          <w:rtl/>
        </w:rPr>
        <w:t>،</w:t>
      </w:r>
      <w:r w:rsidRPr="006571AC">
        <w:rPr>
          <w:rFonts w:hint="cs"/>
          <w:sz w:val="27"/>
          <w:rtl/>
        </w:rPr>
        <w:t xml:space="preserve"> وهو (500 درهم)</w:t>
      </w:r>
      <w:r w:rsidR="00A1010E" w:rsidRPr="006571AC">
        <w:rPr>
          <w:rFonts w:hint="cs"/>
          <w:sz w:val="27"/>
          <w:rtl/>
        </w:rPr>
        <w:t>،</w:t>
      </w:r>
      <w:r w:rsidRPr="006571AC">
        <w:rPr>
          <w:rFonts w:hint="cs"/>
          <w:sz w:val="27"/>
          <w:rtl/>
        </w:rPr>
        <w:t xml:space="preserve"> </w:t>
      </w:r>
      <w:r w:rsidR="00A1010E" w:rsidRPr="006571AC">
        <w:rPr>
          <w:rFonts w:hint="cs"/>
          <w:sz w:val="27"/>
          <w:rtl/>
        </w:rPr>
        <w:t>و</w:t>
      </w:r>
      <w:r w:rsidRPr="006571AC">
        <w:rPr>
          <w:rFonts w:hint="cs"/>
          <w:sz w:val="27"/>
          <w:rtl/>
        </w:rPr>
        <w:t>أنّ ما زاد عنها فيرد</w:t>
      </w:r>
      <w:r w:rsidR="00A1010E" w:rsidRPr="006571AC">
        <w:rPr>
          <w:rFonts w:hint="cs"/>
          <w:sz w:val="27"/>
          <w:rtl/>
        </w:rPr>
        <w:t>ّ</w:t>
      </w:r>
      <w:r w:rsidRPr="006571AC">
        <w:rPr>
          <w:rFonts w:hint="cs"/>
          <w:sz w:val="27"/>
          <w:rtl/>
        </w:rPr>
        <w:t xml:space="preserve"> إليها</w:t>
      </w:r>
      <w:r w:rsidR="00A1010E" w:rsidRPr="006571AC">
        <w:rPr>
          <w:rFonts w:hint="cs"/>
          <w:sz w:val="27"/>
          <w:rtl/>
        </w:rPr>
        <w:t>،</w:t>
      </w:r>
      <w:r w:rsidRPr="006571AC">
        <w:rPr>
          <w:rFonts w:hint="cs"/>
          <w:sz w:val="27"/>
          <w:rtl/>
        </w:rPr>
        <w:t xml:space="preserve"> يمكن أن يحمل على كونه حكماً ولائي</w:t>
      </w:r>
      <w:r w:rsidR="00E81C41" w:rsidRPr="006571AC">
        <w:rPr>
          <w:rFonts w:hint="cs"/>
          <w:sz w:val="27"/>
          <w:rtl/>
        </w:rPr>
        <w:t>ّ</w:t>
      </w:r>
      <w:r w:rsidRPr="006571AC">
        <w:rPr>
          <w:rFonts w:hint="cs"/>
          <w:sz w:val="27"/>
          <w:rtl/>
        </w:rPr>
        <w:t>اً من ق</w:t>
      </w:r>
      <w:r w:rsidR="00A1010E" w:rsidRPr="006571AC">
        <w:rPr>
          <w:rFonts w:hint="cs"/>
          <w:sz w:val="27"/>
          <w:rtl/>
        </w:rPr>
        <w:t>ِ</w:t>
      </w:r>
      <w:r w:rsidRPr="006571AC">
        <w:rPr>
          <w:rFonts w:hint="cs"/>
          <w:sz w:val="27"/>
          <w:rtl/>
        </w:rPr>
        <w:t>ب</w:t>
      </w:r>
      <w:r w:rsidR="00A1010E" w:rsidRPr="006571AC">
        <w:rPr>
          <w:rFonts w:hint="cs"/>
          <w:sz w:val="27"/>
          <w:rtl/>
        </w:rPr>
        <w:t>َ</w:t>
      </w:r>
      <w:r w:rsidRPr="006571AC">
        <w:rPr>
          <w:rFonts w:hint="cs"/>
          <w:sz w:val="27"/>
          <w:rtl/>
        </w:rPr>
        <w:t>ل الإمام</w:t>
      </w:r>
      <w:r w:rsidR="002A2C90" w:rsidRPr="006571AC">
        <w:rPr>
          <w:rFonts w:ascii="Mosawi" w:hAnsi="Mosawi" w:cs="Mosawi"/>
          <w:sz w:val="22"/>
          <w:szCs w:val="22"/>
          <w:rtl/>
        </w:rPr>
        <w:t>×</w:t>
      </w:r>
      <w:r w:rsidR="00A1010E" w:rsidRPr="006571AC">
        <w:rPr>
          <w:rFonts w:hint="cs"/>
          <w:sz w:val="27"/>
          <w:rtl/>
        </w:rPr>
        <w:t>؛</w:t>
      </w:r>
      <w:r w:rsidRPr="006571AC">
        <w:rPr>
          <w:rFonts w:hint="cs"/>
          <w:sz w:val="27"/>
          <w:rtl/>
        </w:rPr>
        <w:t xml:space="preserve"> نظراً لما تقتضيه بعض الظروف والملابسات القاضية بوضع حد</w:t>
      </w:r>
      <w:r w:rsidR="00A1010E" w:rsidRPr="006571AC">
        <w:rPr>
          <w:rFonts w:hint="cs"/>
          <w:sz w:val="27"/>
          <w:rtl/>
        </w:rPr>
        <w:t>ٍّ</w:t>
      </w:r>
      <w:r w:rsidRPr="006571AC">
        <w:rPr>
          <w:rFonts w:hint="cs"/>
          <w:sz w:val="27"/>
          <w:rtl/>
        </w:rPr>
        <w:t xml:space="preserve"> للمهر</w:t>
      </w:r>
      <w:r w:rsidR="00A1010E" w:rsidRPr="006571AC">
        <w:rPr>
          <w:rFonts w:hint="cs"/>
          <w:sz w:val="27"/>
          <w:rtl/>
        </w:rPr>
        <w:t>.</w:t>
      </w:r>
    </w:p>
    <w:p w:rsidR="00237EB1" w:rsidRPr="006571AC" w:rsidRDefault="00237EB1" w:rsidP="00C3538C">
      <w:pPr>
        <w:spacing w:line="420" w:lineRule="exact"/>
        <w:rPr>
          <w:sz w:val="27"/>
          <w:rtl/>
        </w:rPr>
      </w:pPr>
      <w:r w:rsidRPr="006571AC">
        <w:rPr>
          <w:rFonts w:hint="cs"/>
          <w:sz w:val="27"/>
          <w:rtl/>
        </w:rPr>
        <w:t>ولمزيد توضيح</w:t>
      </w:r>
      <w:r w:rsidR="00A1010E" w:rsidRPr="006571AC">
        <w:rPr>
          <w:rFonts w:hint="cs"/>
          <w:sz w:val="27"/>
          <w:rtl/>
        </w:rPr>
        <w:t>ٍ</w:t>
      </w:r>
      <w:r w:rsidRPr="006571AC">
        <w:rPr>
          <w:rFonts w:hint="cs"/>
          <w:sz w:val="27"/>
          <w:rtl/>
        </w:rPr>
        <w:t xml:space="preserve"> </w:t>
      </w:r>
      <w:r w:rsidR="00A1010E" w:rsidRPr="006571AC">
        <w:rPr>
          <w:rFonts w:hint="cs"/>
          <w:sz w:val="27"/>
          <w:rtl/>
        </w:rPr>
        <w:t>ل</w:t>
      </w:r>
      <w:r w:rsidRPr="006571AC">
        <w:rPr>
          <w:rFonts w:hint="cs"/>
          <w:sz w:val="27"/>
          <w:rtl/>
        </w:rPr>
        <w:t>هذه الفكرة</w:t>
      </w:r>
      <w:r w:rsidR="00A1010E" w:rsidRPr="006571AC">
        <w:rPr>
          <w:rFonts w:hint="cs"/>
          <w:sz w:val="27"/>
          <w:rtl/>
        </w:rPr>
        <w:t xml:space="preserve"> نقول</w:t>
      </w:r>
      <w:r w:rsidRPr="006571AC">
        <w:rPr>
          <w:rFonts w:hint="cs"/>
          <w:sz w:val="27"/>
          <w:rtl/>
        </w:rPr>
        <w:t xml:space="preserve">: </w:t>
      </w:r>
    </w:p>
    <w:p w:rsidR="00237EB1" w:rsidRPr="006571AC" w:rsidRDefault="00237EB1" w:rsidP="00E60D93">
      <w:pPr>
        <w:rPr>
          <w:sz w:val="27"/>
          <w:rtl/>
        </w:rPr>
      </w:pPr>
      <w:r w:rsidRPr="006571AC">
        <w:rPr>
          <w:rFonts w:hint="cs"/>
          <w:sz w:val="27"/>
          <w:rtl/>
        </w:rPr>
        <w:t>1ـ إنّ عدم تحديد المهر من حيث الكثرة</w:t>
      </w:r>
      <w:r w:rsidR="00A1010E" w:rsidRPr="006571AC">
        <w:rPr>
          <w:rFonts w:hint="cs"/>
          <w:sz w:val="27"/>
          <w:rtl/>
        </w:rPr>
        <w:t>،</w:t>
      </w:r>
      <w:r w:rsidRPr="006571AC">
        <w:rPr>
          <w:rFonts w:hint="cs"/>
          <w:sz w:val="27"/>
          <w:rtl/>
        </w:rPr>
        <w:t xml:space="preserve"> وترك ذلك إلى الع</w:t>
      </w:r>
      <w:r w:rsidR="00A1010E" w:rsidRPr="006571AC">
        <w:rPr>
          <w:rFonts w:hint="cs"/>
          <w:sz w:val="27"/>
          <w:rtl/>
        </w:rPr>
        <w:t>ُ</w:t>
      </w:r>
      <w:r w:rsidRPr="006571AC">
        <w:rPr>
          <w:rFonts w:hint="cs"/>
          <w:sz w:val="27"/>
          <w:rtl/>
        </w:rPr>
        <w:t>ر</w:t>
      </w:r>
      <w:r w:rsidR="00A1010E" w:rsidRPr="006571AC">
        <w:rPr>
          <w:rFonts w:hint="cs"/>
          <w:sz w:val="27"/>
          <w:rtl/>
        </w:rPr>
        <w:t>ْ</w:t>
      </w:r>
      <w:r w:rsidRPr="006571AC">
        <w:rPr>
          <w:rFonts w:hint="cs"/>
          <w:sz w:val="27"/>
          <w:rtl/>
        </w:rPr>
        <w:t>ف</w:t>
      </w:r>
      <w:r w:rsidR="00A1010E" w:rsidRPr="006571AC">
        <w:rPr>
          <w:rFonts w:hint="cs"/>
          <w:sz w:val="27"/>
          <w:rtl/>
        </w:rPr>
        <w:t>،</w:t>
      </w:r>
      <w:r w:rsidRPr="006571AC">
        <w:rPr>
          <w:rFonts w:hint="cs"/>
          <w:sz w:val="27"/>
          <w:rtl/>
        </w:rPr>
        <w:t xml:space="preserve"> خلّ</w:t>
      </w:r>
      <w:r w:rsidR="00A1010E" w:rsidRPr="006571AC">
        <w:rPr>
          <w:rFonts w:hint="cs"/>
          <w:sz w:val="27"/>
          <w:rtl/>
        </w:rPr>
        <w:t>َ</w:t>
      </w:r>
      <w:r w:rsidRPr="006571AC">
        <w:rPr>
          <w:rFonts w:hint="cs"/>
          <w:sz w:val="27"/>
          <w:rtl/>
        </w:rPr>
        <w:t>ف آثارا</w:t>
      </w:r>
      <w:r w:rsidR="00A1010E" w:rsidRPr="006571AC">
        <w:rPr>
          <w:rFonts w:hint="cs"/>
          <w:sz w:val="27"/>
          <w:rtl/>
        </w:rPr>
        <w:t>ً</w:t>
      </w:r>
      <w:r w:rsidRPr="006571AC">
        <w:rPr>
          <w:rFonts w:hint="cs"/>
          <w:sz w:val="27"/>
          <w:rtl/>
        </w:rPr>
        <w:t xml:space="preserve"> سلبي</w:t>
      </w:r>
      <w:r w:rsidR="00A1010E" w:rsidRPr="006571AC">
        <w:rPr>
          <w:rFonts w:hint="cs"/>
          <w:sz w:val="27"/>
          <w:rtl/>
        </w:rPr>
        <w:t>ّ</w:t>
      </w:r>
      <w:r w:rsidRPr="006571AC">
        <w:rPr>
          <w:rFonts w:hint="cs"/>
          <w:sz w:val="27"/>
          <w:rtl/>
        </w:rPr>
        <w:t>ة</w:t>
      </w:r>
      <w:r w:rsidR="00A1010E" w:rsidRPr="006571AC">
        <w:rPr>
          <w:rFonts w:hint="cs"/>
          <w:sz w:val="27"/>
          <w:rtl/>
        </w:rPr>
        <w:t>ً</w:t>
      </w:r>
      <w:r w:rsidRPr="006571AC">
        <w:rPr>
          <w:rFonts w:hint="cs"/>
          <w:sz w:val="27"/>
          <w:rtl/>
        </w:rPr>
        <w:t xml:space="preserve"> على نفس</w:t>
      </w:r>
      <w:r w:rsidRPr="006571AC">
        <w:rPr>
          <w:sz w:val="27"/>
          <w:rtl/>
        </w:rPr>
        <w:t xml:space="preserve"> </w:t>
      </w:r>
      <w:r w:rsidRPr="006571AC">
        <w:rPr>
          <w:rFonts w:hint="cs"/>
          <w:sz w:val="27"/>
          <w:rtl/>
        </w:rPr>
        <w:t>النكاح الذي حث</w:t>
      </w:r>
      <w:r w:rsidR="00A1010E" w:rsidRPr="006571AC">
        <w:rPr>
          <w:rFonts w:hint="cs"/>
          <w:sz w:val="27"/>
          <w:rtl/>
        </w:rPr>
        <w:t>َّ</w:t>
      </w:r>
      <w:r w:rsidRPr="006571AC">
        <w:rPr>
          <w:rFonts w:hint="cs"/>
          <w:sz w:val="27"/>
          <w:rtl/>
        </w:rPr>
        <w:t>ت</w:t>
      </w:r>
      <w:r w:rsidR="00A1010E" w:rsidRPr="006571AC">
        <w:rPr>
          <w:rFonts w:hint="cs"/>
          <w:sz w:val="27"/>
          <w:rtl/>
        </w:rPr>
        <w:t>ْ</w:t>
      </w:r>
      <w:r w:rsidRPr="006571AC">
        <w:rPr>
          <w:rFonts w:hint="cs"/>
          <w:sz w:val="27"/>
          <w:rtl/>
        </w:rPr>
        <w:t xml:space="preserve"> عليه الشريعة المقد</w:t>
      </w:r>
      <w:r w:rsidR="00A1010E" w:rsidRPr="006571AC">
        <w:rPr>
          <w:rFonts w:hint="cs"/>
          <w:sz w:val="27"/>
          <w:rtl/>
        </w:rPr>
        <w:t>َّ</w:t>
      </w:r>
      <w:r w:rsidRPr="006571AC">
        <w:rPr>
          <w:rFonts w:hint="cs"/>
          <w:sz w:val="27"/>
          <w:rtl/>
        </w:rPr>
        <w:t>سة ـ بل يعتبر واجبا</w:t>
      </w:r>
      <w:r w:rsidR="00A1010E" w:rsidRPr="006571AC">
        <w:rPr>
          <w:rFonts w:hint="cs"/>
          <w:sz w:val="27"/>
          <w:rtl/>
        </w:rPr>
        <w:t>ً</w:t>
      </w:r>
      <w:r w:rsidRPr="006571AC">
        <w:rPr>
          <w:rFonts w:hint="cs"/>
          <w:sz w:val="27"/>
          <w:rtl/>
        </w:rPr>
        <w:t xml:space="preserve"> في كثير</w:t>
      </w:r>
      <w:r w:rsidR="00A1010E" w:rsidRPr="006571AC">
        <w:rPr>
          <w:rFonts w:hint="cs"/>
          <w:sz w:val="27"/>
          <w:rtl/>
        </w:rPr>
        <w:t>ٍ</w:t>
      </w:r>
      <w:r w:rsidRPr="006571AC">
        <w:rPr>
          <w:rFonts w:hint="cs"/>
          <w:sz w:val="27"/>
          <w:rtl/>
        </w:rPr>
        <w:t xml:space="preserve"> من الحالات ـ، وبسبب غلاء المهور عزف</w:t>
      </w:r>
      <w:r w:rsidRPr="006571AC">
        <w:rPr>
          <w:sz w:val="27"/>
          <w:rtl/>
        </w:rPr>
        <w:t xml:space="preserve"> </w:t>
      </w:r>
      <w:r w:rsidRPr="006571AC">
        <w:rPr>
          <w:rFonts w:hint="cs"/>
          <w:sz w:val="27"/>
          <w:rtl/>
        </w:rPr>
        <w:t>كثير</w:t>
      </w:r>
      <w:r w:rsidR="007026DA" w:rsidRPr="006571AC">
        <w:rPr>
          <w:rFonts w:hint="cs"/>
          <w:sz w:val="27"/>
          <w:rtl/>
        </w:rPr>
        <w:t>ٌ</w:t>
      </w:r>
      <w:r w:rsidRPr="006571AC">
        <w:rPr>
          <w:rFonts w:hint="cs"/>
          <w:sz w:val="27"/>
          <w:rtl/>
        </w:rPr>
        <w:t xml:space="preserve"> من الشباب</w:t>
      </w:r>
      <w:r w:rsidRPr="006571AC">
        <w:rPr>
          <w:sz w:val="27"/>
          <w:rtl/>
        </w:rPr>
        <w:t xml:space="preserve"> </w:t>
      </w:r>
      <w:r w:rsidRPr="006571AC">
        <w:rPr>
          <w:rFonts w:hint="cs"/>
          <w:sz w:val="27"/>
          <w:rtl/>
        </w:rPr>
        <w:t>عن الزواج</w:t>
      </w:r>
      <w:r w:rsidR="007026DA" w:rsidRPr="006571AC">
        <w:rPr>
          <w:rFonts w:hint="cs"/>
          <w:sz w:val="27"/>
          <w:rtl/>
        </w:rPr>
        <w:t>،</w:t>
      </w:r>
      <w:r w:rsidRPr="006571AC">
        <w:rPr>
          <w:rFonts w:hint="cs"/>
          <w:sz w:val="27"/>
          <w:rtl/>
        </w:rPr>
        <w:t xml:space="preserve"> ورج</w:t>
      </w:r>
      <w:r w:rsidR="007026DA" w:rsidRPr="006571AC">
        <w:rPr>
          <w:rFonts w:hint="cs"/>
          <w:sz w:val="27"/>
          <w:rtl/>
        </w:rPr>
        <w:t>َّ</w:t>
      </w:r>
      <w:r w:rsidRPr="006571AC">
        <w:rPr>
          <w:rFonts w:hint="cs"/>
          <w:sz w:val="27"/>
          <w:rtl/>
        </w:rPr>
        <w:t>حوا العزوبية، التي تخل</w:t>
      </w:r>
      <w:r w:rsidR="007026DA" w:rsidRPr="006571AC">
        <w:rPr>
          <w:rFonts w:hint="cs"/>
          <w:sz w:val="27"/>
          <w:rtl/>
        </w:rPr>
        <w:t>ِّ</w:t>
      </w:r>
      <w:r w:rsidRPr="006571AC">
        <w:rPr>
          <w:rFonts w:hint="cs"/>
          <w:sz w:val="27"/>
          <w:rtl/>
        </w:rPr>
        <w:t>ف نتائج سي</w:t>
      </w:r>
      <w:r w:rsidR="007026DA" w:rsidRPr="006571AC">
        <w:rPr>
          <w:rFonts w:hint="cs"/>
          <w:sz w:val="27"/>
          <w:rtl/>
        </w:rPr>
        <w:t>ّ</w:t>
      </w:r>
      <w:r w:rsidRPr="006571AC">
        <w:rPr>
          <w:rFonts w:hint="cs"/>
          <w:sz w:val="27"/>
          <w:rtl/>
        </w:rPr>
        <w:t>ئة جد</w:t>
      </w:r>
      <w:r w:rsidR="007026DA" w:rsidRPr="006571AC">
        <w:rPr>
          <w:rFonts w:hint="cs"/>
          <w:sz w:val="27"/>
          <w:rtl/>
        </w:rPr>
        <w:t>ّ</w:t>
      </w:r>
      <w:r w:rsidRPr="006571AC">
        <w:rPr>
          <w:rFonts w:hint="cs"/>
          <w:sz w:val="27"/>
          <w:rtl/>
        </w:rPr>
        <w:t>ا</w:t>
      </w:r>
      <w:r w:rsidR="007026DA" w:rsidRPr="006571AC">
        <w:rPr>
          <w:rFonts w:hint="cs"/>
          <w:sz w:val="27"/>
          <w:rtl/>
        </w:rPr>
        <w:t>ً</w:t>
      </w:r>
      <w:r w:rsidRPr="006571AC">
        <w:rPr>
          <w:rFonts w:hint="cs"/>
          <w:sz w:val="27"/>
          <w:rtl/>
        </w:rPr>
        <w:t xml:space="preserve"> على الفرد والأسرة</w:t>
      </w:r>
      <w:r w:rsidR="007026DA" w:rsidRPr="006571AC">
        <w:rPr>
          <w:rFonts w:hint="cs"/>
          <w:sz w:val="27"/>
          <w:rtl/>
        </w:rPr>
        <w:t>،</w:t>
      </w:r>
      <w:r w:rsidRPr="006571AC">
        <w:rPr>
          <w:rFonts w:hint="cs"/>
          <w:sz w:val="27"/>
          <w:rtl/>
        </w:rPr>
        <w:t xml:space="preserve"> بل المجتمع الإسلامي بأ</w:t>
      </w:r>
      <w:r w:rsidR="007026DA" w:rsidRPr="006571AC">
        <w:rPr>
          <w:rFonts w:hint="cs"/>
          <w:sz w:val="27"/>
          <w:rtl/>
        </w:rPr>
        <w:t>َ</w:t>
      </w:r>
      <w:r w:rsidRPr="006571AC">
        <w:rPr>
          <w:rFonts w:hint="cs"/>
          <w:sz w:val="27"/>
          <w:rtl/>
        </w:rPr>
        <w:t>س</w:t>
      </w:r>
      <w:r w:rsidR="007026DA" w:rsidRPr="006571AC">
        <w:rPr>
          <w:rFonts w:hint="cs"/>
          <w:sz w:val="27"/>
          <w:rtl/>
        </w:rPr>
        <w:t>ْ</w:t>
      </w:r>
      <w:r w:rsidRPr="006571AC">
        <w:rPr>
          <w:rFonts w:hint="cs"/>
          <w:sz w:val="27"/>
          <w:rtl/>
        </w:rPr>
        <w:t xml:space="preserve">ره. </w:t>
      </w:r>
    </w:p>
    <w:p w:rsidR="007026DA" w:rsidRPr="006571AC" w:rsidRDefault="00237EB1" w:rsidP="00E60D93">
      <w:pPr>
        <w:rPr>
          <w:sz w:val="27"/>
          <w:rtl/>
        </w:rPr>
      </w:pPr>
      <w:r w:rsidRPr="006571AC">
        <w:rPr>
          <w:rFonts w:hint="cs"/>
          <w:sz w:val="27"/>
          <w:rtl/>
        </w:rPr>
        <w:t xml:space="preserve">2ـ </w:t>
      </w:r>
      <w:r w:rsidR="007026DA" w:rsidRPr="006571AC">
        <w:rPr>
          <w:rFonts w:hint="cs"/>
          <w:sz w:val="27"/>
          <w:rtl/>
        </w:rPr>
        <w:t xml:space="preserve">إن </w:t>
      </w:r>
      <w:r w:rsidRPr="006571AC">
        <w:rPr>
          <w:rFonts w:hint="cs"/>
          <w:sz w:val="27"/>
          <w:rtl/>
        </w:rPr>
        <w:t>عدم قدرة الأزواج على دفع المهور أد</w:t>
      </w:r>
      <w:r w:rsidR="007026DA" w:rsidRPr="006571AC">
        <w:rPr>
          <w:rFonts w:hint="cs"/>
          <w:sz w:val="27"/>
          <w:rtl/>
        </w:rPr>
        <w:t>ّى إلى:</w:t>
      </w:r>
    </w:p>
    <w:p w:rsidR="00237EB1" w:rsidRPr="006571AC" w:rsidRDefault="007026DA" w:rsidP="00E60D93">
      <w:pPr>
        <w:rPr>
          <w:sz w:val="27"/>
          <w:rtl/>
        </w:rPr>
      </w:pPr>
      <w:r w:rsidRPr="006571AC">
        <w:rPr>
          <w:rFonts w:hint="cs"/>
          <w:sz w:val="27"/>
          <w:rtl/>
        </w:rPr>
        <w:t xml:space="preserve">أـ </w:t>
      </w:r>
      <w:r w:rsidR="00237EB1" w:rsidRPr="006571AC">
        <w:rPr>
          <w:rFonts w:hint="cs"/>
          <w:sz w:val="27"/>
          <w:rtl/>
        </w:rPr>
        <w:t>ازدياد عدد نزلاء السجون</w:t>
      </w:r>
      <w:r w:rsidRPr="006571AC">
        <w:rPr>
          <w:rFonts w:hint="cs"/>
          <w:sz w:val="27"/>
          <w:rtl/>
        </w:rPr>
        <w:t>،</w:t>
      </w:r>
      <w:r w:rsidR="00237EB1" w:rsidRPr="006571AC">
        <w:rPr>
          <w:rFonts w:hint="cs"/>
          <w:sz w:val="27"/>
          <w:rtl/>
        </w:rPr>
        <w:t xml:space="preserve"> وترك الأسرة بلا ولي</w:t>
      </w:r>
      <w:r w:rsidRPr="006571AC">
        <w:rPr>
          <w:rFonts w:hint="cs"/>
          <w:sz w:val="27"/>
          <w:rtl/>
        </w:rPr>
        <w:t>ٍّ</w:t>
      </w:r>
      <w:r w:rsidR="00237EB1" w:rsidRPr="006571AC">
        <w:rPr>
          <w:rFonts w:hint="cs"/>
          <w:sz w:val="27"/>
          <w:rtl/>
        </w:rPr>
        <w:t xml:space="preserve"> يقوم بحمايتها، وإيجاد حالة</w:t>
      </w:r>
      <w:r w:rsidRPr="006571AC">
        <w:rPr>
          <w:rFonts w:hint="cs"/>
          <w:sz w:val="27"/>
          <w:rtl/>
        </w:rPr>
        <w:t>ٍ</w:t>
      </w:r>
      <w:r w:rsidR="00237EB1" w:rsidRPr="006571AC">
        <w:rPr>
          <w:rFonts w:hint="cs"/>
          <w:sz w:val="27"/>
          <w:rtl/>
        </w:rPr>
        <w:t xml:space="preserve"> نفسي</w:t>
      </w:r>
      <w:r w:rsidRPr="006571AC">
        <w:rPr>
          <w:rFonts w:hint="cs"/>
          <w:sz w:val="27"/>
          <w:rtl/>
        </w:rPr>
        <w:t>ّ</w:t>
      </w:r>
      <w:r w:rsidR="00237EB1" w:rsidRPr="006571AC">
        <w:rPr>
          <w:rFonts w:hint="cs"/>
          <w:sz w:val="27"/>
          <w:rtl/>
        </w:rPr>
        <w:t>ة</w:t>
      </w:r>
      <w:r w:rsidRPr="006571AC">
        <w:rPr>
          <w:rFonts w:hint="cs"/>
          <w:sz w:val="27"/>
          <w:rtl/>
        </w:rPr>
        <w:t>ٍ</w:t>
      </w:r>
      <w:r w:rsidR="00237EB1" w:rsidRPr="006571AC">
        <w:rPr>
          <w:rFonts w:hint="cs"/>
          <w:sz w:val="27"/>
          <w:rtl/>
        </w:rPr>
        <w:t xml:space="preserve"> سي</w:t>
      </w:r>
      <w:r w:rsidRPr="006571AC">
        <w:rPr>
          <w:rFonts w:hint="cs"/>
          <w:sz w:val="27"/>
          <w:rtl/>
        </w:rPr>
        <w:t>ّ</w:t>
      </w:r>
      <w:r w:rsidR="00237EB1" w:rsidRPr="006571AC">
        <w:rPr>
          <w:rFonts w:hint="cs"/>
          <w:sz w:val="27"/>
          <w:rtl/>
        </w:rPr>
        <w:t>ئة عند الأطفال</w:t>
      </w:r>
      <w:r w:rsidRPr="006571AC">
        <w:rPr>
          <w:rFonts w:hint="cs"/>
          <w:sz w:val="27"/>
          <w:rtl/>
        </w:rPr>
        <w:t>؛</w:t>
      </w:r>
      <w:r w:rsidR="00237EB1" w:rsidRPr="006571AC">
        <w:rPr>
          <w:rFonts w:hint="cs"/>
          <w:sz w:val="27"/>
          <w:rtl/>
        </w:rPr>
        <w:t xml:space="preserve"> بسبب وجود الأب في السجن. </w:t>
      </w:r>
    </w:p>
    <w:p w:rsidR="00237EB1" w:rsidRPr="006571AC" w:rsidRDefault="007026DA" w:rsidP="00E60D93">
      <w:pPr>
        <w:rPr>
          <w:sz w:val="27"/>
          <w:rtl/>
        </w:rPr>
      </w:pPr>
      <w:r w:rsidRPr="006571AC">
        <w:rPr>
          <w:rFonts w:hint="cs"/>
          <w:sz w:val="27"/>
          <w:rtl/>
        </w:rPr>
        <w:t xml:space="preserve">ب </w:t>
      </w:r>
      <w:r w:rsidR="00237EB1" w:rsidRPr="006571AC">
        <w:rPr>
          <w:rFonts w:hint="cs"/>
          <w:sz w:val="27"/>
          <w:rtl/>
        </w:rPr>
        <w:t>ـ ازدياد معد</w:t>
      </w:r>
      <w:r w:rsidRPr="006571AC">
        <w:rPr>
          <w:rFonts w:hint="cs"/>
          <w:sz w:val="27"/>
          <w:rtl/>
        </w:rPr>
        <w:t>ّ</w:t>
      </w:r>
      <w:r w:rsidR="00237EB1" w:rsidRPr="006571AC">
        <w:rPr>
          <w:rFonts w:hint="cs"/>
          <w:sz w:val="27"/>
          <w:rtl/>
        </w:rPr>
        <w:t xml:space="preserve">ل الطلاق، الذي ينتج عنه </w:t>
      </w:r>
      <w:r w:rsidRPr="006571AC">
        <w:rPr>
          <w:rFonts w:hint="cs"/>
          <w:sz w:val="27"/>
          <w:rtl/>
        </w:rPr>
        <w:t>أ</w:t>
      </w:r>
      <w:r w:rsidR="00237EB1" w:rsidRPr="006571AC">
        <w:rPr>
          <w:rFonts w:hint="cs"/>
          <w:sz w:val="27"/>
          <w:rtl/>
        </w:rPr>
        <w:t>طفال</w:t>
      </w:r>
      <w:r w:rsidRPr="006571AC">
        <w:rPr>
          <w:rFonts w:hint="cs"/>
          <w:sz w:val="27"/>
          <w:rtl/>
        </w:rPr>
        <w:t>ٌ</w:t>
      </w:r>
      <w:r w:rsidR="00237EB1" w:rsidRPr="006571AC">
        <w:rPr>
          <w:rFonts w:hint="cs"/>
          <w:sz w:val="27"/>
          <w:rtl/>
        </w:rPr>
        <w:t xml:space="preserve"> حيارى بلا والدين، وبالتالي</w:t>
      </w:r>
      <w:r w:rsidR="00237EB1" w:rsidRPr="006571AC">
        <w:rPr>
          <w:sz w:val="27"/>
          <w:rtl/>
        </w:rPr>
        <w:t xml:space="preserve"> </w:t>
      </w:r>
      <w:r w:rsidR="00237EB1" w:rsidRPr="006571AC">
        <w:rPr>
          <w:rFonts w:hint="cs"/>
          <w:sz w:val="27"/>
          <w:rtl/>
        </w:rPr>
        <w:t>حلول</w:t>
      </w:r>
      <w:r w:rsidR="00237EB1" w:rsidRPr="006571AC">
        <w:rPr>
          <w:sz w:val="27"/>
          <w:rtl/>
        </w:rPr>
        <w:t xml:space="preserve"> </w:t>
      </w:r>
      <w:r w:rsidR="00237EB1" w:rsidRPr="006571AC">
        <w:rPr>
          <w:rFonts w:hint="cs"/>
          <w:sz w:val="27"/>
          <w:rtl/>
        </w:rPr>
        <w:t>أحد</w:t>
      </w:r>
      <w:r w:rsidR="00237EB1" w:rsidRPr="006571AC">
        <w:rPr>
          <w:sz w:val="27"/>
          <w:rtl/>
        </w:rPr>
        <w:t xml:space="preserve"> </w:t>
      </w:r>
      <w:r w:rsidR="00237EB1" w:rsidRPr="006571AC">
        <w:rPr>
          <w:rFonts w:hint="cs"/>
          <w:sz w:val="27"/>
          <w:rtl/>
        </w:rPr>
        <w:t>الأقرباء</w:t>
      </w:r>
      <w:r w:rsidR="00237EB1" w:rsidRPr="006571AC">
        <w:rPr>
          <w:sz w:val="27"/>
          <w:rtl/>
        </w:rPr>
        <w:t xml:space="preserve"> </w:t>
      </w:r>
      <w:r w:rsidR="00237EB1" w:rsidRPr="006571AC">
        <w:rPr>
          <w:rFonts w:hint="cs"/>
          <w:sz w:val="27"/>
          <w:rtl/>
        </w:rPr>
        <w:t>محل</w:t>
      </w:r>
      <w:r w:rsidRPr="006571AC">
        <w:rPr>
          <w:rFonts w:hint="cs"/>
          <w:sz w:val="27"/>
          <w:rtl/>
        </w:rPr>
        <w:t>ّ</w:t>
      </w:r>
      <w:r w:rsidR="00237EB1" w:rsidRPr="006571AC">
        <w:rPr>
          <w:sz w:val="27"/>
          <w:rtl/>
        </w:rPr>
        <w:t xml:space="preserve"> </w:t>
      </w:r>
      <w:r w:rsidR="00237EB1" w:rsidRPr="006571AC">
        <w:rPr>
          <w:rFonts w:hint="cs"/>
          <w:sz w:val="27"/>
          <w:rtl/>
        </w:rPr>
        <w:t>الأب</w:t>
      </w:r>
      <w:r w:rsidR="00237EB1" w:rsidRPr="006571AC">
        <w:rPr>
          <w:sz w:val="27"/>
          <w:rtl/>
        </w:rPr>
        <w:t xml:space="preserve"> </w:t>
      </w:r>
      <w:r w:rsidR="00237EB1" w:rsidRPr="006571AC">
        <w:rPr>
          <w:rFonts w:hint="cs"/>
          <w:sz w:val="27"/>
          <w:rtl/>
        </w:rPr>
        <w:t>أو</w:t>
      </w:r>
      <w:r w:rsidR="00237EB1" w:rsidRPr="006571AC">
        <w:rPr>
          <w:sz w:val="27"/>
          <w:rtl/>
        </w:rPr>
        <w:t xml:space="preserve"> </w:t>
      </w:r>
      <w:r w:rsidR="00237EB1" w:rsidRPr="006571AC">
        <w:rPr>
          <w:rFonts w:hint="cs"/>
          <w:sz w:val="27"/>
          <w:rtl/>
        </w:rPr>
        <w:t>الأم</w:t>
      </w:r>
      <w:r w:rsidRPr="006571AC">
        <w:rPr>
          <w:rFonts w:hint="cs"/>
          <w:sz w:val="27"/>
          <w:rtl/>
        </w:rPr>
        <w:t>ّ؛</w:t>
      </w:r>
      <w:r w:rsidR="00237EB1" w:rsidRPr="006571AC">
        <w:rPr>
          <w:sz w:val="27"/>
          <w:rtl/>
        </w:rPr>
        <w:t xml:space="preserve"> </w:t>
      </w:r>
      <w:r w:rsidR="00237EB1" w:rsidRPr="006571AC">
        <w:rPr>
          <w:rFonts w:hint="cs"/>
          <w:sz w:val="27"/>
          <w:rtl/>
        </w:rPr>
        <w:t>للقيام</w:t>
      </w:r>
      <w:r w:rsidR="00237EB1" w:rsidRPr="006571AC">
        <w:rPr>
          <w:sz w:val="27"/>
          <w:rtl/>
        </w:rPr>
        <w:t xml:space="preserve"> </w:t>
      </w:r>
      <w:r w:rsidR="00237EB1" w:rsidRPr="006571AC">
        <w:rPr>
          <w:rFonts w:hint="cs"/>
          <w:sz w:val="27"/>
          <w:rtl/>
        </w:rPr>
        <w:t>بمهمّة</w:t>
      </w:r>
      <w:r w:rsidR="00237EB1" w:rsidRPr="006571AC">
        <w:rPr>
          <w:sz w:val="27"/>
          <w:rtl/>
        </w:rPr>
        <w:t xml:space="preserve"> </w:t>
      </w:r>
      <w:r w:rsidR="00237EB1" w:rsidRPr="006571AC">
        <w:rPr>
          <w:rFonts w:hint="cs"/>
          <w:sz w:val="27"/>
          <w:rtl/>
        </w:rPr>
        <w:t>حضانتهم</w:t>
      </w:r>
      <w:r w:rsidR="00237EB1" w:rsidRPr="006571AC">
        <w:rPr>
          <w:sz w:val="27"/>
          <w:rtl/>
        </w:rPr>
        <w:t xml:space="preserve"> </w:t>
      </w:r>
      <w:r w:rsidR="00237EB1" w:rsidRPr="006571AC">
        <w:rPr>
          <w:rFonts w:hint="cs"/>
          <w:sz w:val="27"/>
          <w:rtl/>
        </w:rPr>
        <w:t>ورعايتهم</w:t>
      </w:r>
      <w:r w:rsidRPr="006571AC">
        <w:rPr>
          <w:rFonts w:hint="cs"/>
          <w:sz w:val="27"/>
          <w:rtl/>
        </w:rPr>
        <w:t>،</w:t>
      </w:r>
      <w:r w:rsidR="00237EB1" w:rsidRPr="006571AC">
        <w:rPr>
          <w:rFonts w:hint="cs"/>
          <w:sz w:val="27"/>
          <w:rtl/>
        </w:rPr>
        <w:t xml:space="preserve"> والتي ينتج عنها آثار</w:t>
      </w:r>
      <w:r w:rsidRPr="006571AC">
        <w:rPr>
          <w:rFonts w:hint="cs"/>
          <w:sz w:val="27"/>
          <w:rtl/>
        </w:rPr>
        <w:t>ٌ</w:t>
      </w:r>
      <w:r w:rsidR="00237EB1" w:rsidRPr="006571AC">
        <w:rPr>
          <w:rFonts w:hint="cs"/>
          <w:sz w:val="27"/>
          <w:rtl/>
        </w:rPr>
        <w:t xml:space="preserve"> وخيمة على الفرد والمجتمع. </w:t>
      </w:r>
    </w:p>
    <w:p w:rsidR="00237EB1" w:rsidRPr="006571AC" w:rsidRDefault="007026DA" w:rsidP="00E81C41">
      <w:pPr>
        <w:rPr>
          <w:sz w:val="27"/>
          <w:rtl/>
        </w:rPr>
      </w:pPr>
      <w:r w:rsidRPr="006571AC">
        <w:rPr>
          <w:rFonts w:hint="cs"/>
          <w:sz w:val="27"/>
          <w:rtl/>
        </w:rPr>
        <w:t>3</w:t>
      </w:r>
      <w:r w:rsidR="00237EB1" w:rsidRPr="006571AC">
        <w:rPr>
          <w:rFonts w:hint="cs"/>
          <w:sz w:val="27"/>
          <w:rtl/>
        </w:rPr>
        <w:t xml:space="preserve">ـ </w:t>
      </w:r>
      <w:r w:rsidRPr="006571AC">
        <w:rPr>
          <w:rFonts w:hint="cs"/>
          <w:sz w:val="27"/>
          <w:rtl/>
        </w:rPr>
        <w:t>إن</w:t>
      </w:r>
      <w:r w:rsidR="00237EB1" w:rsidRPr="006571AC">
        <w:rPr>
          <w:sz w:val="27"/>
          <w:rtl/>
        </w:rPr>
        <w:t xml:space="preserve"> </w:t>
      </w:r>
      <w:r w:rsidR="00237EB1" w:rsidRPr="006571AC">
        <w:rPr>
          <w:rFonts w:hint="cs"/>
          <w:sz w:val="27"/>
          <w:rtl/>
        </w:rPr>
        <w:t>المهر</w:t>
      </w:r>
      <w:r w:rsidRPr="006571AC">
        <w:rPr>
          <w:rFonts w:hint="cs"/>
          <w:sz w:val="27"/>
          <w:rtl/>
        </w:rPr>
        <w:t>،</w:t>
      </w:r>
      <w:r w:rsidR="00237EB1" w:rsidRPr="006571AC">
        <w:rPr>
          <w:sz w:val="27"/>
          <w:rtl/>
        </w:rPr>
        <w:t xml:space="preserve"> </w:t>
      </w:r>
      <w:r w:rsidR="00237EB1" w:rsidRPr="006571AC">
        <w:rPr>
          <w:rFonts w:hint="cs"/>
          <w:sz w:val="27"/>
          <w:rtl/>
        </w:rPr>
        <w:t>ال</w:t>
      </w:r>
      <w:r w:rsidRPr="006571AC">
        <w:rPr>
          <w:rFonts w:hint="cs"/>
          <w:sz w:val="27"/>
          <w:rtl/>
        </w:rPr>
        <w:t>ذ</w:t>
      </w:r>
      <w:r w:rsidR="00237EB1" w:rsidRPr="006571AC">
        <w:rPr>
          <w:rFonts w:hint="cs"/>
          <w:sz w:val="27"/>
          <w:rtl/>
        </w:rPr>
        <w:t>ي</w:t>
      </w:r>
      <w:r w:rsidR="00237EB1" w:rsidRPr="006571AC">
        <w:rPr>
          <w:sz w:val="27"/>
          <w:rtl/>
        </w:rPr>
        <w:t xml:space="preserve"> </w:t>
      </w:r>
      <w:r w:rsidR="00237EB1" w:rsidRPr="006571AC">
        <w:rPr>
          <w:rFonts w:hint="cs"/>
          <w:sz w:val="27"/>
          <w:rtl/>
        </w:rPr>
        <w:t>تم</w:t>
      </w:r>
      <w:r w:rsidRPr="006571AC">
        <w:rPr>
          <w:rFonts w:hint="cs"/>
          <w:sz w:val="27"/>
          <w:rtl/>
        </w:rPr>
        <w:t>ّ</w:t>
      </w:r>
      <w:r w:rsidR="00237EB1" w:rsidRPr="006571AC">
        <w:rPr>
          <w:sz w:val="27"/>
          <w:rtl/>
        </w:rPr>
        <w:t xml:space="preserve"> </w:t>
      </w:r>
      <w:r w:rsidR="00237EB1" w:rsidRPr="006571AC">
        <w:rPr>
          <w:rFonts w:hint="cs"/>
          <w:sz w:val="27"/>
          <w:rtl/>
        </w:rPr>
        <w:t>إنشاؤه</w:t>
      </w:r>
      <w:r w:rsidR="00237EB1" w:rsidRPr="006571AC">
        <w:rPr>
          <w:sz w:val="27"/>
          <w:rtl/>
        </w:rPr>
        <w:t xml:space="preserve"> </w:t>
      </w:r>
      <w:r w:rsidR="00237EB1" w:rsidRPr="006571AC">
        <w:rPr>
          <w:rFonts w:hint="cs"/>
          <w:sz w:val="27"/>
          <w:rtl/>
        </w:rPr>
        <w:t>للمساعدة</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تأسيس</w:t>
      </w:r>
      <w:r w:rsidR="00237EB1" w:rsidRPr="006571AC">
        <w:rPr>
          <w:sz w:val="27"/>
          <w:rtl/>
        </w:rPr>
        <w:t xml:space="preserve"> </w:t>
      </w:r>
      <w:r w:rsidR="00237EB1" w:rsidRPr="006571AC">
        <w:rPr>
          <w:rFonts w:hint="cs"/>
          <w:sz w:val="27"/>
          <w:rtl/>
        </w:rPr>
        <w:t>وتقوية</w:t>
      </w:r>
      <w:r w:rsidR="00237EB1" w:rsidRPr="006571AC">
        <w:rPr>
          <w:sz w:val="27"/>
          <w:rtl/>
        </w:rPr>
        <w:t xml:space="preserve"> </w:t>
      </w:r>
      <w:r w:rsidR="00237EB1" w:rsidRPr="006571AC">
        <w:rPr>
          <w:rFonts w:hint="cs"/>
          <w:sz w:val="27"/>
          <w:rtl/>
        </w:rPr>
        <w:t>الرابطة</w:t>
      </w:r>
      <w:r w:rsidR="00237EB1" w:rsidRPr="006571AC">
        <w:rPr>
          <w:sz w:val="27"/>
          <w:rtl/>
        </w:rPr>
        <w:t xml:space="preserve"> </w:t>
      </w:r>
      <w:r w:rsidR="00237EB1" w:rsidRPr="006571AC">
        <w:rPr>
          <w:rFonts w:hint="cs"/>
          <w:sz w:val="27"/>
          <w:rtl/>
        </w:rPr>
        <w:t>الزوجية</w:t>
      </w:r>
      <w:r w:rsidR="00237EB1" w:rsidRPr="006571AC">
        <w:rPr>
          <w:sz w:val="27"/>
          <w:rtl/>
        </w:rPr>
        <w:t>،</w:t>
      </w:r>
      <w:r w:rsidR="00237EB1" w:rsidRPr="006571AC">
        <w:rPr>
          <w:rFonts w:hint="cs"/>
          <w:sz w:val="27"/>
          <w:rtl/>
        </w:rPr>
        <w:t xml:space="preserve"> </w:t>
      </w:r>
      <w:r w:rsidRPr="006571AC">
        <w:rPr>
          <w:rFonts w:hint="cs"/>
          <w:sz w:val="27"/>
          <w:rtl/>
        </w:rPr>
        <w:t>صار</w:t>
      </w:r>
      <w:r w:rsidR="00237EB1" w:rsidRPr="006571AC">
        <w:rPr>
          <w:sz w:val="27"/>
          <w:rtl/>
        </w:rPr>
        <w:t xml:space="preserve"> </w:t>
      </w:r>
      <w:r w:rsidR="00237EB1" w:rsidRPr="006571AC">
        <w:rPr>
          <w:rFonts w:hint="cs"/>
          <w:sz w:val="27"/>
          <w:rtl/>
        </w:rPr>
        <w:t>اليوم</w:t>
      </w:r>
      <w:r w:rsidR="00237EB1" w:rsidRPr="006571AC">
        <w:rPr>
          <w:sz w:val="27"/>
          <w:rtl/>
        </w:rPr>
        <w:t xml:space="preserve"> </w:t>
      </w:r>
      <w:r w:rsidRPr="006571AC">
        <w:rPr>
          <w:rFonts w:hint="cs"/>
          <w:sz w:val="27"/>
          <w:rtl/>
        </w:rPr>
        <w:t>إحدى</w:t>
      </w:r>
      <w:r w:rsidR="00237EB1" w:rsidRPr="006571AC">
        <w:rPr>
          <w:sz w:val="27"/>
          <w:rtl/>
        </w:rPr>
        <w:t xml:space="preserve"> </w:t>
      </w:r>
      <w:r w:rsidR="00237EB1" w:rsidRPr="006571AC">
        <w:rPr>
          <w:rFonts w:hint="cs"/>
          <w:sz w:val="27"/>
          <w:rtl/>
        </w:rPr>
        <w:t>المشاكل</w:t>
      </w:r>
      <w:r w:rsidR="00237EB1" w:rsidRPr="006571AC">
        <w:rPr>
          <w:sz w:val="27"/>
          <w:rtl/>
        </w:rPr>
        <w:t xml:space="preserve"> </w:t>
      </w:r>
      <w:r w:rsidR="00237EB1" w:rsidRPr="006571AC">
        <w:rPr>
          <w:rFonts w:hint="cs"/>
          <w:sz w:val="27"/>
          <w:rtl/>
        </w:rPr>
        <w:t>الرئيسة</w:t>
      </w:r>
      <w:r w:rsidR="00237EB1" w:rsidRPr="006571AC">
        <w:rPr>
          <w:sz w:val="27"/>
          <w:rtl/>
        </w:rPr>
        <w:t xml:space="preserve"> </w:t>
      </w:r>
      <w:r w:rsidR="00237EB1" w:rsidRPr="006571AC">
        <w:rPr>
          <w:rFonts w:hint="cs"/>
          <w:sz w:val="27"/>
          <w:rtl/>
        </w:rPr>
        <w:t>في المجتمع</w:t>
      </w:r>
      <w:r w:rsidRPr="006571AC">
        <w:rPr>
          <w:rFonts w:hint="cs"/>
          <w:sz w:val="27"/>
          <w:rtl/>
        </w:rPr>
        <w:t>،</w:t>
      </w:r>
      <w:r w:rsidR="00237EB1" w:rsidRPr="006571AC">
        <w:rPr>
          <w:rFonts w:hint="cs"/>
          <w:sz w:val="27"/>
          <w:rtl/>
        </w:rPr>
        <w:t xml:space="preserve"> </w:t>
      </w:r>
      <w:r w:rsidR="00AB5A0C" w:rsidRPr="006571AC">
        <w:rPr>
          <w:rFonts w:hint="cs"/>
          <w:sz w:val="27"/>
          <w:rtl/>
        </w:rPr>
        <w:t>واستخدمه بعض الاستغلاليين بطريقةٍ</w:t>
      </w:r>
      <w:r w:rsidR="00237EB1" w:rsidRPr="006571AC">
        <w:rPr>
          <w:sz w:val="27"/>
          <w:rtl/>
        </w:rPr>
        <w:t xml:space="preserve"> </w:t>
      </w:r>
      <w:r w:rsidR="00237EB1" w:rsidRPr="006571AC">
        <w:rPr>
          <w:rFonts w:hint="cs"/>
          <w:sz w:val="27"/>
          <w:rtl/>
        </w:rPr>
        <w:t>غير</w:t>
      </w:r>
      <w:r w:rsidR="00237EB1" w:rsidRPr="006571AC">
        <w:rPr>
          <w:sz w:val="27"/>
          <w:rtl/>
        </w:rPr>
        <w:t xml:space="preserve"> </w:t>
      </w:r>
      <w:r w:rsidR="00237EB1" w:rsidRPr="006571AC">
        <w:rPr>
          <w:rFonts w:hint="cs"/>
          <w:sz w:val="27"/>
          <w:rtl/>
        </w:rPr>
        <w:t>لائق</w:t>
      </w:r>
      <w:r w:rsidR="00AB5A0C" w:rsidRPr="006571AC">
        <w:rPr>
          <w:rFonts w:hint="cs"/>
          <w:sz w:val="27"/>
          <w:rtl/>
        </w:rPr>
        <w:t>ة؛</w:t>
      </w:r>
      <w:r w:rsidR="00237EB1" w:rsidRPr="006571AC">
        <w:rPr>
          <w:sz w:val="27"/>
          <w:rtl/>
        </w:rPr>
        <w:t xml:space="preserve"> </w:t>
      </w:r>
      <w:r w:rsidR="00237EB1" w:rsidRPr="006571AC">
        <w:rPr>
          <w:rFonts w:hint="cs"/>
          <w:sz w:val="27"/>
          <w:rtl/>
        </w:rPr>
        <w:t>من أجل تحقيق</w:t>
      </w:r>
      <w:r w:rsidR="00237EB1" w:rsidRPr="006571AC">
        <w:rPr>
          <w:sz w:val="27"/>
          <w:rtl/>
        </w:rPr>
        <w:t xml:space="preserve"> </w:t>
      </w:r>
      <w:r w:rsidR="00237EB1" w:rsidRPr="006571AC">
        <w:rPr>
          <w:rFonts w:hint="cs"/>
          <w:sz w:val="27"/>
          <w:rtl/>
        </w:rPr>
        <w:t>أهداف</w:t>
      </w:r>
      <w:r w:rsidR="00237EB1" w:rsidRPr="006571AC">
        <w:rPr>
          <w:sz w:val="27"/>
          <w:rtl/>
        </w:rPr>
        <w:t xml:space="preserve"> </w:t>
      </w:r>
      <w:r w:rsidR="00237EB1" w:rsidRPr="006571AC">
        <w:rPr>
          <w:rFonts w:hint="cs"/>
          <w:sz w:val="27"/>
          <w:rtl/>
        </w:rPr>
        <w:t>مالية</w:t>
      </w:r>
      <w:r w:rsidR="00AB5A0C" w:rsidRPr="006571AC">
        <w:rPr>
          <w:rFonts w:hint="cs"/>
          <w:sz w:val="27"/>
          <w:rtl/>
        </w:rPr>
        <w:t>؛</w:t>
      </w:r>
      <w:r w:rsidR="00237EB1" w:rsidRPr="006571AC">
        <w:rPr>
          <w:sz w:val="27"/>
          <w:rtl/>
        </w:rPr>
        <w:t xml:space="preserve"> </w:t>
      </w:r>
      <w:r w:rsidR="00AB5A0C" w:rsidRPr="006571AC">
        <w:rPr>
          <w:rFonts w:hint="cs"/>
          <w:sz w:val="27"/>
          <w:rtl/>
        </w:rPr>
        <w:t>وذلك عبر</w:t>
      </w:r>
      <w:r w:rsidR="00237EB1" w:rsidRPr="006571AC">
        <w:rPr>
          <w:sz w:val="27"/>
          <w:rtl/>
        </w:rPr>
        <w:t xml:space="preserve"> </w:t>
      </w:r>
      <w:r w:rsidR="00237EB1" w:rsidRPr="006571AC">
        <w:rPr>
          <w:rFonts w:hint="cs"/>
          <w:sz w:val="27"/>
          <w:rtl/>
        </w:rPr>
        <w:t>التطبيق</w:t>
      </w:r>
      <w:r w:rsidR="00237EB1" w:rsidRPr="006571AC">
        <w:rPr>
          <w:sz w:val="27"/>
          <w:rtl/>
        </w:rPr>
        <w:t xml:space="preserve"> </w:t>
      </w:r>
      <w:r w:rsidR="00237EB1" w:rsidRPr="006571AC">
        <w:rPr>
          <w:rFonts w:hint="cs"/>
          <w:sz w:val="27"/>
          <w:rtl/>
        </w:rPr>
        <w:t>غير</w:t>
      </w:r>
      <w:r w:rsidR="00237EB1" w:rsidRPr="006571AC">
        <w:rPr>
          <w:sz w:val="27"/>
          <w:rtl/>
        </w:rPr>
        <w:t xml:space="preserve"> </w:t>
      </w:r>
      <w:r w:rsidR="00237EB1" w:rsidRPr="006571AC">
        <w:rPr>
          <w:rFonts w:hint="cs"/>
          <w:sz w:val="27"/>
          <w:rtl/>
        </w:rPr>
        <w:t>الصحيح</w:t>
      </w:r>
      <w:r w:rsidR="00237EB1" w:rsidRPr="006571AC">
        <w:rPr>
          <w:sz w:val="27"/>
          <w:rtl/>
        </w:rPr>
        <w:t xml:space="preserve"> </w:t>
      </w:r>
      <w:r w:rsidR="00237EB1" w:rsidRPr="006571AC">
        <w:rPr>
          <w:rFonts w:hint="cs"/>
          <w:sz w:val="27"/>
          <w:rtl/>
        </w:rPr>
        <w:t>لبعض</w:t>
      </w:r>
      <w:r w:rsidR="00237EB1" w:rsidRPr="006571AC">
        <w:rPr>
          <w:sz w:val="27"/>
          <w:rtl/>
        </w:rPr>
        <w:t xml:space="preserve"> </w:t>
      </w:r>
      <w:r w:rsidR="00237EB1" w:rsidRPr="006571AC">
        <w:rPr>
          <w:rFonts w:hint="cs"/>
          <w:sz w:val="27"/>
          <w:rtl/>
        </w:rPr>
        <w:t>الآيات</w:t>
      </w:r>
      <w:r w:rsidR="00237EB1" w:rsidRPr="006571AC">
        <w:rPr>
          <w:sz w:val="27"/>
          <w:rtl/>
        </w:rPr>
        <w:t xml:space="preserve"> </w:t>
      </w:r>
      <w:r w:rsidR="00237EB1" w:rsidRPr="006571AC">
        <w:rPr>
          <w:rFonts w:hint="cs"/>
          <w:sz w:val="27"/>
          <w:rtl/>
        </w:rPr>
        <w:t>والروايات</w:t>
      </w:r>
      <w:r w:rsidR="00237EB1" w:rsidRPr="006571AC">
        <w:rPr>
          <w:sz w:val="27"/>
          <w:rtl/>
        </w:rPr>
        <w:t xml:space="preserve"> </w:t>
      </w:r>
      <w:r w:rsidR="00237EB1" w:rsidRPr="006571AC">
        <w:rPr>
          <w:rFonts w:hint="cs"/>
          <w:sz w:val="27"/>
          <w:rtl/>
        </w:rPr>
        <w:t>والمواد</w:t>
      </w:r>
      <w:r w:rsidR="00AB5A0C" w:rsidRPr="006571AC">
        <w:rPr>
          <w:rFonts w:hint="cs"/>
          <w:sz w:val="27"/>
          <w:rtl/>
        </w:rPr>
        <w:t>ّ</w:t>
      </w:r>
      <w:r w:rsidR="00237EB1" w:rsidRPr="006571AC">
        <w:rPr>
          <w:sz w:val="27"/>
          <w:rtl/>
        </w:rPr>
        <w:t xml:space="preserve"> </w:t>
      </w:r>
      <w:r w:rsidR="00237EB1" w:rsidRPr="006571AC">
        <w:rPr>
          <w:rFonts w:hint="cs"/>
          <w:sz w:val="27"/>
          <w:rtl/>
        </w:rPr>
        <w:t>الحقوقية</w:t>
      </w:r>
      <w:r w:rsidR="00237EB1" w:rsidRPr="006571AC">
        <w:rPr>
          <w:sz w:val="27"/>
          <w:rtl/>
        </w:rPr>
        <w:t xml:space="preserve"> </w:t>
      </w:r>
      <w:r w:rsidR="00237EB1" w:rsidRPr="006571AC">
        <w:rPr>
          <w:rFonts w:hint="cs"/>
          <w:sz w:val="27"/>
          <w:rtl/>
        </w:rPr>
        <w:t>للقانون</w:t>
      </w:r>
      <w:r w:rsidR="00237EB1" w:rsidRPr="006571AC">
        <w:rPr>
          <w:sz w:val="27"/>
          <w:rtl/>
        </w:rPr>
        <w:t xml:space="preserve"> </w:t>
      </w:r>
      <w:r w:rsidR="00237EB1" w:rsidRPr="006571AC">
        <w:rPr>
          <w:rFonts w:hint="cs"/>
          <w:sz w:val="27"/>
          <w:rtl/>
        </w:rPr>
        <w:t>المدني</w:t>
      </w:r>
      <w:r w:rsidR="00237EB1" w:rsidRPr="006571AC">
        <w:rPr>
          <w:sz w:val="27"/>
          <w:rtl/>
        </w:rPr>
        <w:t xml:space="preserve"> </w:t>
      </w:r>
      <w:r w:rsidR="00237EB1" w:rsidRPr="006571AC">
        <w:rPr>
          <w:rFonts w:hint="cs"/>
          <w:sz w:val="27"/>
          <w:rtl/>
        </w:rPr>
        <w:t xml:space="preserve">الإيراني. </w:t>
      </w:r>
    </w:p>
    <w:p w:rsidR="00A44787" w:rsidRPr="006571AC" w:rsidRDefault="007026DA" w:rsidP="00E81C41">
      <w:pPr>
        <w:rPr>
          <w:sz w:val="27"/>
          <w:rtl/>
        </w:rPr>
      </w:pPr>
      <w:r w:rsidRPr="006571AC">
        <w:rPr>
          <w:rFonts w:hint="cs"/>
          <w:sz w:val="27"/>
          <w:rtl/>
        </w:rPr>
        <w:t>4</w:t>
      </w:r>
      <w:r w:rsidR="00AB5A0C" w:rsidRPr="006571AC">
        <w:rPr>
          <w:rFonts w:hint="cs"/>
          <w:sz w:val="27"/>
          <w:rtl/>
        </w:rPr>
        <w:t xml:space="preserve">ـ </w:t>
      </w:r>
      <w:r w:rsidR="004B1C33" w:rsidRPr="006571AC">
        <w:rPr>
          <w:rFonts w:hint="cs"/>
          <w:sz w:val="27"/>
          <w:rtl/>
        </w:rPr>
        <w:t xml:space="preserve">بسبب </w:t>
      </w:r>
      <w:r w:rsidR="00AB5A0C" w:rsidRPr="006571AC">
        <w:rPr>
          <w:rFonts w:hint="cs"/>
          <w:sz w:val="27"/>
          <w:rtl/>
        </w:rPr>
        <w:t>ابتعاد المجتمع ال</w:t>
      </w:r>
      <w:r w:rsidR="00E81C41" w:rsidRPr="006571AC">
        <w:rPr>
          <w:rFonts w:hint="cs"/>
          <w:sz w:val="27"/>
          <w:rtl/>
        </w:rPr>
        <w:t>إ</w:t>
      </w:r>
      <w:r w:rsidR="00AB5A0C" w:rsidRPr="006571AC">
        <w:rPr>
          <w:rFonts w:hint="cs"/>
          <w:sz w:val="27"/>
          <w:rtl/>
        </w:rPr>
        <w:t>سلامي ع</w:t>
      </w:r>
      <w:r w:rsidR="00237EB1" w:rsidRPr="006571AC">
        <w:rPr>
          <w:rFonts w:hint="cs"/>
          <w:sz w:val="27"/>
          <w:rtl/>
        </w:rPr>
        <w:t>م</w:t>
      </w:r>
      <w:r w:rsidR="00AB5A0C" w:rsidRPr="006571AC">
        <w:rPr>
          <w:rFonts w:hint="cs"/>
          <w:sz w:val="27"/>
          <w:rtl/>
        </w:rPr>
        <w:t>ّ</w:t>
      </w:r>
      <w:r w:rsidR="00237EB1" w:rsidRPr="006571AC">
        <w:rPr>
          <w:rFonts w:hint="cs"/>
          <w:sz w:val="27"/>
          <w:rtl/>
        </w:rPr>
        <w:t>ا ورد في الروايات حول التأكيد على المهر القليل</w:t>
      </w:r>
      <w:r w:rsidR="00AB5A0C" w:rsidRPr="006571AC">
        <w:rPr>
          <w:rFonts w:hint="cs"/>
          <w:sz w:val="27"/>
          <w:rtl/>
        </w:rPr>
        <w:t>؛</w:t>
      </w:r>
      <w:r w:rsidR="00237EB1" w:rsidRPr="006571AC">
        <w:rPr>
          <w:rFonts w:hint="cs"/>
          <w:sz w:val="27"/>
          <w:rtl/>
        </w:rPr>
        <w:t xml:space="preserve"> لما </w:t>
      </w:r>
      <w:r w:rsidR="004B1C33" w:rsidRPr="006571AC">
        <w:rPr>
          <w:rFonts w:hint="cs"/>
          <w:sz w:val="27"/>
          <w:rtl/>
        </w:rPr>
        <w:t xml:space="preserve">له من آثار إيجابية على الزوجين، </w:t>
      </w:r>
      <w:r w:rsidR="00237EB1" w:rsidRPr="006571AC">
        <w:rPr>
          <w:rFonts w:hint="cs"/>
          <w:sz w:val="27"/>
          <w:rtl/>
        </w:rPr>
        <w:t>وبناء</w:t>
      </w:r>
      <w:r w:rsidR="004B1C33" w:rsidRPr="006571AC">
        <w:rPr>
          <w:rFonts w:hint="cs"/>
          <w:sz w:val="27"/>
          <w:rtl/>
        </w:rPr>
        <w:t>ً</w:t>
      </w:r>
      <w:r w:rsidR="00237EB1" w:rsidRPr="006571AC">
        <w:rPr>
          <w:rFonts w:hint="cs"/>
          <w:sz w:val="27"/>
          <w:rtl/>
        </w:rPr>
        <w:t xml:space="preserve"> على ما هو الملموس واقعا</w:t>
      </w:r>
      <w:r w:rsidR="004B1C33" w:rsidRPr="006571AC">
        <w:rPr>
          <w:rFonts w:hint="cs"/>
          <w:sz w:val="27"/>
          <w:rtl/>
        </w:rPr>
        <w:t>ً</w:t>
      </w:r>
      <w:r w:rsidR="00237EB1" w:rsidRPr="006571AC">
        <w:rPr>
          <w:rFonts w:hint="cs"/>
          <w:sz w:val="27"/>
          <w:rtl/>
        </w:rPr>
        <w:t xml:space="preserve"> من الآثار السلبية التي يشعر بها كل</w:t>
      </w:r>
      <w:r w:rsidR="004B1C33" w:rsidRPr="006571AC">
        <w:rPr>
          <w:rFonts w:hint="cs"/>
          <w:sz w:val="27"/>
          <w:rtl/>
        </w:rPr>
        <w:t>ّ</w:t>
      </w:r>
      <w:r w:rsidR="00237EB1" w:rsidRPr="006571AC">
        <w:rPr>
          <w:rFonts w:hint="cs"/>
          <w:sz w:val="27"/>
          <w:rtl/>
        </w:rPr>
        <w:t xml:space="preserve"> شاب</w:t>
      </w:r>
      <w:r w:rsidR="004B1C33" w:rsidRPr="006571AC">
        <w:rPr>
          <w:rFonts w:hint="cs"/>
          <w:sz w:val="27"/>
          <w:rtl/>
        </w:rPr>
        <w:t>ٍّ</w:t>
      </w:r>
      <w:r w:rsidR="00237EB1" w:rsidRPr="006571AC">
        <w:rPr>
          <w:rFonts w:hint="cs"/>
          <w:sz w:val="27"/>
          <w:rtl/>
        </w:rPr>
        <w:t xml:space="preserve"> </w:t>
      </w:r>
      <w:r w:rsidR="004B1C33" w:rsidRPr="006571AC">
        <w:rPr>
          <w:rFonts w:hint="cs"/>
          <w:sz w:val="27"/>
          <w:rtl/>
        </w:rPr>
        <w:t>و</w:t>
      </w:r>
      <w:r w:rsidR="00237EB1" w:rsidRPr="006571AC">
        <w:rPr>
          <w:rFonts w:hint="cs"/>
          <w:sz w:val="27"/>
          <w:rtl/>
        </w:rPr>
        <w:t>فتاة</w:t>
      </w:r>
      <w:r w:rsidR="004B1C33" w:rsidRPr="006571AC">
        <w:rPr>
          <w:rFonts w:hint="cs"/>
          <w:sz w:val="27"/>
          <w:rtl/>
        </w:rPr>
        <w:t>،</w:t>
      </w:r>
      <w:r w:rsidR="00237EB1" w:rsidRPr="006571AC">
        <w:rPr>
          <w:rFonts w:hint="cs"/>
          <w:sz w:val="27"/>
          <w:rtl/>
        </w:rPr>
        <w:t xml:space="preserve"> وكل</w:t>
      </w:r>
      <w:r w:rsidR="004B1C33" w:rsidRPr="006571AC">
        <w:rPr>
          <w:rFonts w:hint="cs"/>
          <w:sz w:val="27"/>
          <w:rtl/>
        </w:rPr>
        <w:t>ّ</w:t>
      </w:r>
      <w:r w:rsidR="00237EB1" w:rsidRPr="006571AC">
        <w:rPr>
          <w:rFonts w:hint="cs"/>
          <w:sz w:val="27"/>
          <w:rtl/>
        </w:rPr>
        <w:t xml:space="preserve"> زوج</w:t>
      </w:r>
      <w:r w:rsidR="004B1C33" w:rsidRPr="006571AC">
        <w:rPr>
          <w:rFonts w:hint="cs"/>
          <w:sz w:val="27"/>
          <w:rtl/>
        </w:rPr>
        <w:t>ٍ</w:t>
      </w:r>
      <w:r w:rsidR="00237EB1" w:rsidRPr="006571AC">
        <w:rPr>
          <w:rFonts w:hint="cs"/>
          <w:sz w:val="27"/>
          <w:rtl/>
        </w:rPr>
        <w:t xml:space="preserve"> وزوجة</w:t>
      </w:r>
      <w:r w:rsidR="004B1C33" w:rsidRPr="006571AC">
        <w:rPr>
          <w:rFonts w:hint="cs"/>
          <w:sz w:val="27"/>
          <w:rtl/>
        </w:rPr>
        <w:t>ٍ،</w:t>
      </w:r>
      <w:r w:rsidR="00237EB1" w:rsidRPr="006571AC">
        <w:rPr>
          <w:rFonts w:hint="cs"/>
          <w:sz w:val="27"/>
          <w:rtl/>
        </w:rPr>
        <w:t xml:space="preserve"> سوف تحل</w:t>
      </w:r>
      <w:r w:rsidR="004B1C33" w:rsidRPr="006571AC">
        <w:rPr>
          <w:rFonts w:hint="cs"/>
          <w:sz w:val="27"/>
          <w:rtl/>
        </w:rPr>
        <w:t>ّ</w:t>
      </w:r>
      <w:r w:rsidR="00237EB1" w:rsidRPr="006571AC">
        <w:rPr>
          <w:rFonts w:hint="cs"/>
          <w:sz w:val="27"/>
          <w:rtl/>
        </w:rPr>
        <w:t xml:space="preserve"> الرهبانية والعزوبية وغيرها من الانحرافات مكان الزواج وتكوين الأسرة</w:t>
      </w:r>
      <w:r w:rsidR="004B1C33" w:rsidRPr="006571AC">
        <w:rPr>
          <w:rFonts w:hint="cs"/>
          <w:sz w:val="27"/>
          <w:rtl/>
        </w:rPr>
        <w:t>،</w:t>
      </w:r>
      <w:r w:rsidR="00237EB1" w:rsidRPr="006571AC">
        <w:rPr>
          <w:rFonts w:hint="cs"/>
          <w:sz w:val="27"/>
          <w:rtl/>
        </w:rPr>
        <w:t xml:space="preserve"> </w:t>
      </w:r>
      <w:r w:rsidR="00A44787" w:rsidRPr="006571AC">
        <w:rPr>
          <w:rFonts w:hint="cs"/>
          <w:sz w:val="27"/>
          <w:rtl/>
        </w:rPr>
        <w:t>الذي</w:t>
      </w:r>
      <w:r w:rsidR="00237EB1" w:rsidRPr="006571AC">
        <w:rPr>
          <w:rFonts w:hint="cs"/>
          <w:sz w:val="27"/>
          <w:rtl/>
        </w:rPr>
        <w:t xml:space="preserve"> حث</w:t>
      </w:r>
      <w:r w:rsidR="004B1C33" w:rsidRPr="006571AC">
        <w:rPr>
          <w:rFonts w:hint="cs"/>
          <w:sz w:val="27"/>
          <w:rtl/>
        </w:rPr>
        <w:t>َّ</w:t>
      </w:r>
      <w:r w:rsidR="00237EB1" w:rsidRPr="006571AC">
        <w:rPr>
          <w:rFonts w:hint="cs"/>
          <w:sz w:val="27"/>
          <w:rtl/>
        </w:rPr>
        <w:t>ت</w:t>
      </w:r>
      <w:r w:rsidR="004B1C33" w:rsidRPr="006571AC">
        <w:rPr>
          <w:rFonts w:hint="cs"/>
          <w:sz w:val="27"/>
          <w:rtl/>
        </w:rPr>
        <w:t>ْ</w:t>
      </w:r>
      <w:r w:rsidR="00237EB1" w:rsidRPr="006571AC">
        <w:rPr>
          <w:rFonts w:hint="cs"/>
          <w:sz w:val="27"/>
          <w:rtl/>
        </w:rPr>
        <w:t xml:space="preserve"> عليه الشريعة عبر عدد</w:t>
      </w:r>
      <w:r w:rsidR="00A44787" w:rsidRPr="006571AC">
        <w:rPr>
          <w:rFonts w:hint="cs"/>
          <w:sz w:val="27"/>
          <w:rtl/>
        </w:rPr>
        <w:t>ٍ</w:t>
      </w:r>
      <w:r w:rsidR="00237EB1" w:rsidRPr="006571AC">
        <w:rPr>
          <w:rFonts w:hint="cs"/>
          <w:sz w:val="27"/>
          <w:rtl/>
        </w:rPr>
        <w:t xml:space="preserve"> كبير من الروايات المذكورة في الكتب الحديثية</w:t>
      </w:r>
      <w:r w:rsidR="00A44787" w:rsidRPr="006571AC">
        <w:rPr>
          <w:rFonts w:hint="cs"/>
          <w:sz w:val="27"/>
          <w:rtl/>
        </w:rPr>
        <w:t>.</w:t>
      </w:r>
      <w:r w:rsidR="00237EB1" w:rsidRPr="006571AC">
        <w:rPr>
          <w:rFonts w:hint="cs"/>
          <w:sz w:val="27"/>
          <w:rtl/>
        </w:rPr>
        <w:t xml:space="preserve"> وهذا سوف يؤد</w:t>
      </w:r>
      <w:r w:rsidR="00A44787" w:rsidRPr="006571AC">
        <w:rPr>
          <w:rFonts w:hint="cs"/>
          <w:sz w:val="27"/>
          <w:rtl/>
        </w:rPr>
        <w:t>ّ</w:t>
      </w:r>
      <w:r w:rsidR="00237EB1" w:rsidRPr="006571AC">
        <w:rPr>
          <w:rFonts w:hint="cs"/>
          <w:sz w:val="27"/>
          <w:rtl/>
        </w:rPr>
        <w:t xml:space="preserve">ي </w:t>
      </w:r>
      <w:r w:rsidR="00237EB1" w:rsidRPr="006571AC">
        <w:rPr>
          <w:rFonts w:hint="cs"/>
          <w:sz w:val="27"/>
          <w:rtl/>
        </w:rPr>
        <w:lastRenderedPageBreak/>
        <w:t>ـ إن</w:t>
      </w:r>
      <w:r w:rsidR="00A44787" w:rsidRPr="006571AC">
        <w:rPr>
          <w:rFonts w:hint="cs"/>
          <w:sz w:val="27"/>
          <w:rtl/>
        </w:rPr>
        <w:t>ْ</w:t>
      </w:r>
      <w:r w:rsidR="00237EB1" w:rsidRPr="006571AC">
        <w:rPr>
          <w:rFonts w:hint="cs"/>
          <w:sz w:val="27"/>
          <w:rtl/>
        </w:rPr>
        <w:t xml:space="preserve"> لم يتم</w:t>
      </w:r>
      <w:r w:rsidR="00A44787" w:rsidRPr="006571AC">
        <w:rPr>
          <w:rFonts w:hint="cs"/>
          <w:sz w:val="27"/>
          <w:rtl/>
        </w:rPr>
        <w:t>ّ</w:t>
      </w:r>
      <w:r w:rsidR="00237EB1" w:rsidRPr="006571AC">
        <w:rPr>
          <w:rFonts w:hint="cs"/>
          <w:sz w:val="27"/>
          <w:rtl/>
        </w:rPr>
        <w:t xml:space="preserve"> تحديد المهر وو</w:t>
      </w:r>
      <w:r w:rsidR="00E81C41" w:rsidRPr="006571AC">
        <w:rPr>
          <w:rFonts w:hint="cs"/>
          <w:sz w:val="27"/>
          <w:rtl/>
        </w:rPr>
        <w:t>َ</w:t>
      </w:r>
      <w:r w:rsidR="00237EB1" w:rsidRPr="006571AC">
        <w:rPr>
          <w:rFonts w:hint="cs"/>
          <w:sz w:val="27"/>
          <w:rtl/>
        </w:rPr>
        <w:t>ض</w:t>
      </w:r>
      <w:r w:rsidR="00E81C41" w:rsidRPr="006571AC">
        <w:rPr>
          <w:rFonts w:hint="cs"/>
          <w:sz w:val="27"/>
          <w:rtl/>
        </w:rPr>
        <w:t>ْ</w:t>
      </w:r>
      <w:r w:rsidR="00237EB1" w:rsidRPr="006571AC">
        <w:rPr>
          <w:rFonts w:hint="cs"/>
          <w:sz w:val="27"/>
          <w:rtl/>
        </w:rPr>
        <w:t>ع حد</w:t>
      </w:r>
      <w:r w:rsidR="00A44787" w:rsidRPr="006571AC">
        <w:rPr>
          <w:rFonts w:hint="cs"/>
          <w:sz w:val="27"/>
          <w:rtl/>
        </w:rPr>
        <w:t>ٍّ</w:t>
      </w:r>
      <w:r w:rsidR="00237EB1" w:rsidRPr="006571AC">
        <w:rPr>
          <w:rFonts w:hint="cs"/>
          <w:sz w:val="27"/>
          <w:rtl/>
        </w:rPr>
        <w:t xml:space="preserve"> لغلاء المهور ـ إلى حمل هذا الكم</w:t>
      </w:r>
      <w:r w:rsidR="00A44787" w:rsidRPr="006571AC">
        <w:rPr>
          <w:rFonts w:hint="cs"/>
          <w:sz w:val="27"/>
          <w:rtl/>
        </w:rPr>
        <w:t>ّ</w:t>
      </w:r>
      <w:r w:rsidR="00237EB1" w:rsidRPr="006571AC">
        <w:rPr>
          <w:rFonts w:hint="cs"/>
          <w:sz w:val="27"/>
          <w:rtl/>
        </w:rPr>
        <w:t xml:space="preserve"> الكبير من الروايات على الفرد النادر</w:t>
      </w:r>
      <w:r w:rsidR="00A44787" w:rsidRPr="006571AC">
        <w:rPr>
          <w:rFonts w:hint="cs"/>
          <w:sz w:val="27"/>
          <w:rtl/>
        </w:rPr>
        <w:t>،</w:t>
      </w:r>
      <w:r w:rsidR="00237EB1" w:rsidRPr="006571AC">
        <w:rPr>
          <w:rFonts w:hint="cs"/>
          <w:sz w:val="27"/>
          <w:rtl/>
        </w:rPr>
        <w:t xml:space="preserve"> وهذا مست</w:t>
      </w:r>
      <w:r w:rsidR="00A44787" w:rsidRPr="006571AC">
        <w:rPr>
          <w:rFonts w:hint="cs"/>
          <w:sz w:val="27"/>
          <w:rtl/>
        </w:rPr>
        <w:t>َ</w:t>
      </w:r>
      <w:r w:rsidR="00237EB1" w:rsidRPr="006571AC">
        <w:rPr>
          <w:rFonts w:hint="cs"/>
          <w:sz w:val="27"/>
          <w:rtl/>
        </w:rPr>
        <w:t>ه</w:t>
      </w:r>
      <w:r w:rsidR="00A44787" w:rsidRPr="006571AC">
        <w:rPr>
          <w:rFonts w:hint="cs"/>
          <w:sz w:val="27"/>
          <w:rtl/>
        </w:rPr>
        <w:t>ْ</w:t>
      </w:r>
      <w:r w:rsidR="00237EB1" w:rsidRPr="006571AC">
        <w:rPr>
          <w:rFonts w:hint="cs"/>
          <w:sz w:val="27"/>
          <w:rtl/>
        </w:rPr>
        <w:t>ج</w:t>
      </w:r>
      <w:r w:rsidR="00A44787" w:rsidRPr="006571AC">
        <w:rPr>
          <w:rFonts w:hint="cs"/>
          <w:sz w:val="27"/>
          <w:rtl/>
        </w:rPr>
        <w:t>َ</w:t>
      </w:r>
      <w:r w:rsidR="00237EB1" w:rsidRPr="006571AC">
        <w:rPr>
          <w:rFonts w:hint="cs"/>
          <w:sz w:val="27"/>
          <w:rtl/>
        </w:rPr>
        <w:t>ن</w:t>
      </w:r>
      <w:r w:rsidR="00A44787" w:rsidRPr="006571AC">
        <w:rPr>
          <w:rFonts w:hint="cs"/>
          <w:sz w:val="27"/>
          <w:rtl/>
        </w:rPr>
        <w:t>ٌ</w:t>
      </w:r>
      <w:r w:rsidR="00237EB1" w:rsidRPr="006571AC">
        <w:rPr>
          <w:rFonts w:hint="cs"/>
          <w:sz w:val="27"/>
          <w:rtl/>
        </w:rPr>
        <w:t xml:space="preserve"> ع</w:t>
      </w:r>
      <w:r w:rsidR="00A44787" w:rsidRPr="006571AC">
        <w:rPr>
          <w:rFonts w:hint="cs"/>
          <w:sz w:val="27"/>
          <w:rtl/>
        </w:rPr>
        <w:t>ُ</w:t>
      </w:r>
      <w:r w:rsidR="00237EB1" w:rsidRPr="006571AC">
        <w:rPr>
          <w:rFonts w:hint="cs"/>
          <w:sz w:val="27"/>
          <w:rtl/>
        </w:rPr>
        <w:t>ر</w:t>
      </w:r>
      <w:r w:rsidR="00A44787" w:rsidRPr="006571AC">
        <w:rPr>
          <w:rFonts w:hint="cs"/>
          <w:sz w:val="27"/>
          <w:rtl/>
        </w:rPr>
        <w:t>ْ</w:t>
      </w:r>
      <w:r w:rsidR="00237EB1" w:rsidRPr="006571AC">
        <w:rPr>
          <w:rFonts w:hint="cs"/>
          <w:sz w:val="27"/>
          <w:rtl/>
        </w:rPr>
        <w:t>فاً</w:t>
      </w:r>
      <w:r w:rsidR="00A44787" w:rsidRPr="006571AC">
        <w:rPr>
          <w:rFonts w:hint="cs"/>
          <w:sz w:val="27"/>
          <w:rtl/>
        </w:rPr>
        <w:t>، ويقبح حمل هذه الروايات عليه.</w:t>
      </w:r>
    </w:p>
    <w:p w:rsidR="00237EB1" w:rsidRPr="006571AC" w:rsidRDefault="00237EB1" w:rsidP="00E60D93">
      <w:pPr>
        <w:rPr>
          <w:sz w:val="27"/>
          <w:rtl/>
        </w:rPr>
      </w:pPr>
      <w:r w:rsidRPr="006571AC">
        <w:rPr>
          <w:rFonts w:hint="cs"/>
          <w:sz w:val="27"/>
          <w:rtl/>
        </w:rPr>
        <w:t>و</w:t>
      </w:r>
      <w:r w:rsidR="00A44787" w:rsidRPr="006571AC">
        <w:rPr>
          <w:rFonts w:hint="cs"/>
          <w:sz w:val="27"/>
          <w:rtl/>
        </w:rPr>
        <w:t xml:space="preserve">بما أنه </w:t>
      </w:r>
      <w:r w:rsidRPr="006571AC">
        <w:rPr>
          <w:rFonts w:hint="cs"/>
          <w:sz w:val="27"/>
          <w:rtl/>
        </w:rPr>
        <w:t>لا يمكن العمل بهذه الروايات في ظل</w:t>
      </w:r>
      <w:r w:rsidR="00A44787" w:rsidRPr="006571AC">
        <w:rPr>
          <w:rFonts w:hint="cs"/>
          <w:sz w:val="27"/>
          <w:rtl/>
        </w:rPr>
        <w:t>ّ</w:t>
      </w:r>
      <w:r w:rsidRPr="006571AC">
        <w:rPr>
          <w:rFonts w:hint="cs"/>
          <w:sz w:val="27"/>
          <w:rtl/>
        </w:rPr>
        <w:t xml:space="preserve"> المهر غير المقيّد إذن </w:t>
      </w:r>
      <w:r w:rsidR="00731867" w:rsidRPr="006571AC">
        <w:rPr>
          <w:rFonts w:hint="cs"/>
          <w:sz w:val="27"/>
          <w:rtl/>
        </w:rPr>
        <w:t>لا بُدَّ</w:t>
      </w:r>
      <w:r w:rsidRPr="006571AC">
        <w:rPr>
          <w:rFonts w:hint="cs"/>
          <w:sz w:val="27"/>
          <w:rtl/>
        </w:rPr>
        <w:t xml:space="preserve"> من حلّ</w:t>
      </w:r>
      <w:r w:rsidR="00A44787" w:rsidRPr="006571AC">
        <w:rPr>
          <w:rFonts w:hint="cs"/>
          <w:sz w:val="27"/>
          <w:rtl/>
        </w:rPr>
        <w:t>ٍ</w:t>
      </w:r>
      <w:r w:rsidRPr="006571AC">
        <w:rPr>
          <w:rFonts w:hint="cs"/>
          <w:sz w:val="27"/>
          <w:rtl/>
        </w:rPr>
        <w:t xml:space="preserve"> لهذه المعضلة التي تهدّ</w:t>
      </w:r>
      <w:r w:rsidR="00A44787" w:rsidRPr="006571AC">
        <w:rPr>
          <w:rFonts w:hint="cs"/>
          <w:sz w:val="27"/>
          <w:rtl/>
        </w:rPr>
        <w:t>ِ</w:t>
      </w:r>
      <w:r w:rsidRPr="006571AC">
        <w:rPr>
          <w:rFonts w:hint="cs"/>
          <w:sz w:val="27"/>
          <w:rtl/>
        </w:rPr>
        <w:t>د أغراض الشارع</w:t>
      </w:r>
      <w:r w:rsidR="00A44787" w:rsidRPr="006571AC">
        <w:rPr>
          <w:rFonts w:hint="cs"/>
          <w:sz w:val="27"/>
          <w:rtl/>
        </w:rPr>
        <w:t>،</w:t>
      </w:r>
      <w:r w:rsidRPr="006571AC">
        <w:rPr>
          <w:rFonts w:hint="cs"/>
          <w:sz w:val="27"/>
          <w:rtl/>
        </w:rPr>
        <w:t xml:space="preserve"> بحيث تكون المحافظة على الروايات الدال</w:t>
      </w:r>
      <w:r w:rsidR="00A44787" w:rsidRPr="006571AC">
        <w:rPr>
          <w:rFonts w:hint="cs"/>
          <w:sz w:val="27"/>
          <w:rtl/>
        </w:rPr>
        <w:t>ّ</w:t>
      </w:r>
      <w:r w:rsidRPr="006571AC">
        <w:rPr>
          <w:rFonts w:hint="cs"/>
          <w:sz w:val="27"/>
          <w:rtl/>
        </w:rPr>
        <w:t>ة على أن المهر مطلق</w:t>
      </w:r>
      <w:r w:rsidR="00A44787" w:rsidRPr="006571AC">
        <w:rPr>
          <w:rFonts w:hint="cs"/>
          <w:sz w:val="27"/>
          <w:rtl/>
        </w:rPr>
        <w:t>ٌ</w:t>
      </w:r>
      <w:r w:rsidRPr="006571AC">
        <w:rPr>
          <w:rFonts w:hint="cs"/>
          <w:sz w:val="27"/>
          <w:rtl/>
        </w:rPr>
        <w:t xml:space="preserve"> وغير</w:t>
      </w:r>
      <w:r w:rsidR="00A44787" w:rsidRPr="006571AC">
        <w:rPr>
          <w:rFonts w:hint="cs"/>
          <w:sz w:val="27"/>
          <w:rtl/>
        </w:rPr>
        <w:t>ُ</w:t>
      </w:r>
      <w:r w:rsidRPr="006571AC">
        <w:rPr>
          <w:rFonts w:hint="cs"/>
          <w:sz w:val="27"/>
          <w:rtl/>
        </w:rPr>
        <w:t xml:space="preserve"> مقيّ</w:t>
      </w:r>
      <w:r w:rsidR="00A44787" w:rsidRPr="006571AC">
        <w:rPr>
          <w:rFonts w:hint="cs"/>
          <w:sz w:val="27"/>
          <w:rtl/>
        </w:rPr>
        <w:t>َ</w:t>
      </w:r>
      <w:r w:rsidRPr="006571AC">
        <w:rPr>
          <w:rFonts w:hint="cs"/>
          <w:sz w:val="27"/>
          <w:rtl/>
        </w:rPr>
        <w:t>د ناقض</w:t>
      </w:r>
      <w:r w:rsidR="00A44787" w:rsidRPr="006571AC">
        <w:rPr>
          <w:rFonts w:hint="cs"/>
          <w:sz w:val="27"/>
          <w:rtl/>
        </w:rPr>
        <w:t>ةً</w:t>
      </w:r>
      <w:r w:rsidRPr="006571AC">
        <w:rPr>
          <w:rFonts w:hint="cs"/>
          <w:sz w:val="27"/>
          <w:rtl/>
        </w:rPr>
        <w:t xml:space="preserve"> لغرض الشارع</w:t>
      </w:r>
      <w:r w:rsidR="00A44787" w:rsidRPr="006571AC">
        <w:rPr>
          <w:rFonts w:hint="cs"/>
          <w:sz w:val="27"/>
          <w:rtl/>
        </w:rPr>
        <w:t>،</w:t>
      </w:r>
      <w:r w:rsidRPr="006571AC">
        <w:rPr>
          <w:rFonts w:hint="cs"/>
          <w:sz w:val="27"/>
          <w:rtl/>
        </w:rPr>
        <w:t xml:space="preserve"> ومضي</w:t>
      </w:r>
      <w:r w:rsidR="00A44787" w:rsidRPr="006571AC">
        <w:rPr>
          <w:rFonts w:hint="cs"/>
          <w:sz w:val="27"/>
          <w:rtl/>
        </w:rPr>
        <w:t>ِّ</w:t>
      </w:r>
      <w:r w:rsidRPr="006571AC">
        <w:rPr>
          <w:rFonts w:hint="cs"/>
          <w:sz w:val="27"/>
          <w:rtl/>
        </w:rPr>
        <w:t>ع</w:t>
      </w:r>
      <w:r w:rsidR="00A44787" w:rsidRPr="006571AC">
        <w:rPr>
          <w:rFonts w:hint="cs"/>
          <w:sz w:val="27"/>
          <w:rtl/>
        </w:rPr>
        <w:t>ةً</w:t>
      </w:r>
      <w:r w:rsidRPr="006571AC">
        <w:rPr>
          <w:rFonts w:hint="cs"/>
          <w:sz w:val="27"/>
          <w:rtl/>
        </w:rPr>
        <w:t xml:space="preserve"> لمقصده وهدفه من تشريع الزواج، وه</w:t>
      </w:r>
      <w:r w:rsidR="00A44787" w:rsidRPr="006571AC">
        <w:rPr>
          <w:rFonts w:hint="cs"/>
          <w:sz w:val="27"/>
          <w:rtl/>
        </w:rPr>
        <w:t>ن</w:t>
      </w:r>
      <w:r w:rsidRPr="006571AC">
        <w:rPr>
          <w:rFonts w:hint="cs"/>
          <w:sz w:val="27"/>
          <w:rtl/>
        </w:rPr>
        <w:t>ا يجب على الحاكم (</w:t>
      </w:r>
      <w:r w:rsidR="00A44787" w:rsidRPr="006571AC">
        <w:rPr>
          <w:rFonts w:hint="cs"/>
          <w:sz w:val="27"/>
          <w:rtl/>
        </w:rPr>
        <w:t>أو ال</w:t>
      </w:r>
      <w:r w:rsidRPr="006571AC">
        <w:rPr>
          <w:rFonts w:hint="cs"/>
          <w:sz w:val="27"/>
          <w:rtl/>
        </w:rPr>
        <w:t>ولي</w:t>
      </w:r>
      <w:r w:rsidR="00A44787" w:rsidRPr="006571AC">
        <w:rPr>
          <w:rFonts w:hint="cs"/>
          <w:sz w:val="27"/>
          <w:rtl/>
        </w:rPr>
        <w:t>ّ</w:t>
      </w:r>
      <w:r w:rsidRPr="006571AC">
        <w:rPr>
          <w:rFonts w:hint="cs"/>
          <w:sz w:val="27"/>
          <w:rtl/>
        </w:rPr>
        <w:t xml:space="preserve"> الفقيه) </w:t>
      </w:r>
      <w:r w:rsidR="00A44787" w:rsidRPr="006571AC">
        <w:rPr>
          <w:rFonts w:hint="cs"/>
          <w:sz w:val="27"/>
          <w:rtl/>
        </w:rPr>
        <w:t>أ</w:t>
      </w:r>
      <w:r w:rsidRPr="006571AC">
        <w:rPr>
          <w:rFonts w:hint="cs"/>
          <w:sz w:val="27"/>
          <w:rtl/>
        </w:rPr>
        <w:t>ن يتدخ</w:t>
      </w:r>
      <w:r w:rsidR="00A44787" w:rsidRPr="006571AC">
        <w:rPr>
          <w:rFonts w:hint="cs"/>
          <w:sz w:val="27"/>
          <w:rtl/>
        </w:rPr>
        <w:t>َّ</w:t>
      </w:r>
      <w:r w:rsidRPr="006571AC">
        <w:rPr>
          <w:rFonts w:hint="cs"/>
          <w:sz w:val="27"/>
          <w:rtl/>
        </w:rPr>
        <w:t>ل من باب ولايته</w:t>
      </w:r>
      <w:r w:rsidR="00A44787" w:rsidRPr="006571AC">
        <w:rPr>
          <w:rFonts w:hint="cs"/>
          <w:sz w:val="27"/>
          <w:rtl/>
        </w:rPr>
        <w:t>،</w:t>
      </w:r>
      <w:r w:rsidRPr="006571AC">
        <w:rPr>
          <w:rFonts w:hint="cs"/>
          <w:sz w:val="27"/>
          <w:rtl/>
        </w:rPr>
        <w:t xml:space="preserve"> ولو </w:t>
      </w:r>
      <w:r w:rsidR="00A44787" w:rsidRPr="006571AC">
        <w:rPr>
          <w:rFonts w:hint="cs"/>
          <w:sz w:val="27"/>
          <w:rtl/>
        </w:rPr>
        <w:t>من خلال</w:t>
      </w:r>
      <w:r w:rsidRPr="006571AC">
        <w:rPr>
          <w:rFonts w:hint="cs"/>
          <w:sz w:val="27"/>
          <w:rtl/>
        </w:rPr>
        <w:t xml:space="preserve"> العنوان الثانوي</w:t>
      </w:r>
      <w:r w:rsidR="00A44787" w:rsidRPr="006571AC">
        <w:rPr>
          <w:rFonts w:hint="cs"/>
          <w:sz w:val="27"/>
          <w:rtl/>
        </w:rPr>
        <w:t>،</w:t>
      </w:r>
      <w:r w:rsidRPr="006571AC">
        <w:rPr>
          <w:rFonts w:hint="cs"/>
          <w:sz w:val="27"/>
          <w:rtl/>
        </w:rPr>
        <w:t xml:space="preserve"> </w:t>
      </w:r>
      <w:r w:rsidR="00A44787" w:rsidRPr="006571AC">
        <w:rPr>
          <w:rFonts w:hint="cs"/>
          <w:sz w:val="27"/>
          <w:rtl/>
        </w:rPr>
        <w:t>ف</w:t>
      </w:r>
      <w:r w:rsidRPr="006571AC">
        <w:rPr>
          <w:rFonts w:hint="cs"/>
          <w:sz w:val="27"/>
          <w:rtl/>
        </w:rPr>
        <w:t>يحدّ</w:t>
      </w:r>
      <w:r w:rsidR="00A44787" w:rsidRPr="006571AC">
        <w:rPr>
          <w:rFonts w:hint="cs"/>
          <w:sz w:val="27"/>
          <w:rtl/>
        </w:rPr>
        <w:t>ِ</w:t>
      </w:r>
      <w:r w:rsidRPr="006571AC">
        <w:rPr>
          <w:rFonts w:hint="cs"/>
          <w:sz w:val="27"/>
          <w:rtl/>
        </w:rPr>
        <w:t>د مقدار</w:t>
      </w:r>
      <w:r w:rsidR="00A44787" w:rsidRPr="006571AC">
        <w:rPr>
          <w:rFonts w:hint="cs"/>
          <w:sz w:val="27"/>
          <w:rtl/>
        </w:rPr>
        <w:t xml:space="preserve"> المهر</w:t>
      </w:r>
      <w:r w:rsidRPr="006571AC">
        <w:rPr>
          <w:rFonts w:hint="cs"/>
          <w:sz w:val="27"/>
          <w:rtl/>
        </w:rPr>
        <w:t xml:space="preserve"> من ناحية الكثر</w:t>
      </w:r>
      <w:r w:rsidR="00A44787" w:rsidRPr="006571AC">
        <w:rPr>
          <w:rFonts w:hint="cs"/>
          <w:sz w:val="27"/>
          <w:rtl/>
        </w:rPr>
        <w:t>ة،</w:t>
      </w:r>
      <w:r w:rsidRPr="006571AC">
        <w:rPr>
          <w:rFonts w:hint="cs"/>
          <w:sz w:val="27"/>
          <w:rtl/>
        </w:rPr>
        <w:t xml:space="preserve"> بحيث لا يتنافى مع مقصدية الحفاظ على كرامة المرأة</w:t>
      </w:r>
      <w:r w:rsidR="00A44787" w:rsidRPr="006571AC">
        <w:rPr>
          <w:rFonts w:hint="cs"/>
          <w:sz w:val="27"/>
          <w:rtl/>
        </w:rPr>
        <w:t>،</w:t>
      </w:r>
      <w:r w:rsidRPr="006571AC">
        <w:rPr>
          <w:rFonts w:hint="cs"/>
          <w:sz w:val="27"/>
          <w:rtl/>
        </w:rPr>
        <w:t xml:space="preserve"> ولا يؤد</w:t>
      </w:r>
      <w:r w:rsidR="00A44787" w:rsidRPr="006571AC">
        <w:rPr>
          <w:rFonts w:hint="cs"/>
          <w:sz w:val="27"/>
          <w:rtl/>
        </w:rPr>
        <w:t>ّ</w:t>
      </w:r>
      <w:r w:rsidR="00DE2F09" w:rsidRPr="006571AC">
        <w:rPr>
          <w:rFonts w:hint="cs"/>
          <w:sz w:val="27"/>
          <w:rtl/>
        </w:rPr>
        <w:t xml:space="preserve">ي إلى تعجيز الزوج. </w:t>
      </w:r>
      <w:r w:rsidRPr="006571AC">
        <w:rPr>
          <w:rFonts w:hint="cs"/>
          <w:sz w:val="27"/>
          <w:rtl/>
        </w:rPr>
        <w:t>وحمل الروايات الدالة على التحديد على كونها ض</w:t>
      </w:r>
      <w:r w:rsidR="00DE2F09" w:rsidRPr="006571AC">
        <w:rPr>
          <w:rFonts w:hint="cs"/>
          <w:sz w:val="27"/>
          <w:rtl/>
        </w:rPr>
        <w:t>َ</w:t>
      </w:r>
      <w:r w:rsidRPr="006571AC">
        <w:rPr>
          <w:rFonts w:hint="cs"/>
          <w:sz w:val="27"/>
          <w:rtl/>
        </w:rPr>
        <w:t>ر</w:t>
      </w:r>
      <w:r w:rsidR="00DE2F09" w:rsidRPr="006571AC">
        <w:rPr>
          <w:rFonts w:hint="cs"/>
          <w:sz w:val="27"/>
          <w:rtl/>
        </w:rPr>
        <w:t>ْ</w:t>
      </w:r>
      <w:r w:rsidRPr="006571AC">
        <w:rPr>
          <w:rFonts w:hint="cs"/>
          <w:sz w:val="27"/>
          <w:rtl/>
        </w:rPr>
        <w:t>با</w:t>
      </w:r>
      <w:r w:rsidR="00DE2F09" w:rsidRPr="006571AC">
        <w:rPr>
          <w:rFonts w:hint="cs"/>
          <w:sz w:val="27"/>
          <w:rtl/>
        </w:rPr>
        <w:t>ً</w:t>
      </w:r>
      <w:r w:rsidRPr="006571AC">
        <w:rPr>
          <w:rFonts w:hint="cs"/>
          <w:sz w:val="27"/>
          <w:rtl/>
        </w:rPr>
        <w:t xml:space="preserve"> من الحكم الولائي هو نوع</w:t>
      </w:r>
      <w:r w:rsidR="00DE2F09" w:rsidRPr="006571AC">
        <w:rPr>
          <w:rFonts w:hint="cs"/>
          <w:sz w:val="27"/>
          <w:rtl/>
        </w:rPr>
        <w:t>ٌ</w:t>
      </w:r>
      <w:r w:rsidRPr="006571AC">
        <w:rPr>
          <w:rFonts w:hint="cs"/>
          <w:sz w:val="27"/>
          <w:rtl/>
        </w:rPr>
        <w:t xml:space="preserve"> من الج</w:t>
      </w:r>
      <w:r w:rsidR="00E81C41" w:rsidRPr="006571AC">
        <w:rPr>
          <w:rFonts w:hint="cs"/>
          <w:sz w:val="27"/>
          <w:rtl/>
        </w:rPr>
        <w:t>َ</w:t>
      </w:r>
      <w:r w:rsidRPr="006571AC">
        <w:rPr>
          <w:rFonts w:hint="cs"/>
          <w:sz w:val="27"/>
          <w:rtl/>
        </w:rPr>
        <w:t>م</w:t>
      </w:r>
      <w:r w:rsidR="00E81C41" w:rsidRPr="006571AC">
        <w:rPr>
          <w:rFonts w:hint="cs"/>
          <w:sz w:val="27"/>
          <w:rtl/>
        </w:rPr>
        <w:t>ْ</w:t>
      </w:r>
      <w:r w:rsidRPr="006571AC">
        <w:rPr>
          <w:rFonts w:hint="cs"/>
          <w:sz w:val="27"/>
          <w:rtl/>
        </w:rPr>
        <w:t>ع بين الروايات</w:t>
      </w:r>
      <w:r w:rsidR="00DE2F09" w:rsidRPr="006571AC">
        <w:rPr>
          <w:rFonts w:hint="cs"/>
          <w:sz w:val="27"/>
          <w:rtl/>
        </w:rPr>
        <w:t>،</w:t>
      </w:r>
      <w:r w:rsidRPr="006571AC">
        <w:rPr>
          <w:rFonts w:hint="cs"/>
          <w:sz w:val="27"/>
          <w:rtl/>
        </w:rPr>
        <w:t xml:space="preserve"> بناء</w:t>
      </w:r>
      <w:r w:rsidR="00DE2F09" w:rsidRPr="006571AC">
        <w:rPr>
          <w:rFonts w:hint="cs"/>
          <w:sz w:val="27"/>
          <w:rtl/>
        </w:rPr>
        <w:t>ً</w:t>
      </w:r>
      <w:r w:rsidRPr="006571AC">
        <w:rPr>
          <w:rFonts w:hint="cs"/>
          <w:sz w:val="27"/>
          <w:rtl/>
        </w:rPr>
        <w:t xml:space="preserve"> على نظرية الج</w:t>
      </w:r>
      <w:r w:rsidR="00E81C41" w:rsidRPr="006571AC">
        <w:rPr>
          <w:rFonts w:hint="cs"/>
          <w:sz w:val="27"/>
          <w:rtl/>
        </w:rPr>
        <w:t>َ</w:t>
      </w:r>
      <w:r w:rsidRPr="006571AC">
        <w:rPr>
          <w:rFonts w:hint="cs"/>
          <w:sz w:val="27"/>
          <w:rtl/>
        </w:rPr>
        <w:t>م</w:t>
      </w:r>
      <w:r w:rsidR="00E81C41" w:rsidRPr="006571AC">
        <w:rPr>
          <w:rFonts w:hint="cs"/>
          <w:sz w:val="27"/>
          <w:rtl/>
        </w:rPr>
        <w:t>ْ</w:t>
      </w:r>
      <w:r w:rsidRPr="006571AC">
        <w:rPr>
          <w:rFonts w:hint="cs"/>
          <w:sz w:val="27"/>
          <w:rtl/>
        </w:rPr>
        <w:t>ع الاستنباطي</w:t>
      </w:r>
      <w:r w:rsidR="00DE2F09" w:rsidRPr="006571AC">
        <w:rPr>
          <w:rFonts w:hint="cs"/>
          <w:sz w:val="27"/>
          <w:rtl/>
        </w:rPr>
        <w:t>،</w:t>
      </w:r>
      <w:r w:rsidRPr="006571AC">
        <w:rPr>
          <w:rFonts w:hint="cs"/>
          <w:sz w:val="27"/>
          <w:rtl/>
        </w:rPr>
        <w:t xml:space="preserve"> أو كما يمكن أن يعبّ</w:t>
      </w:r>
      <w:r w:rsidR="00DE2F09" w:rsidRPr="006571AC">
        <w:rPr>
          <w:rFonts w:hint="cs"/>
          <w:sz w:val="27"/>
          <w:rtl/>
        </w:rPr>
        <w:t>َ</w:t>
      </w:r>
      <w:r w:rsidRPr="006571AC">
        <w:rPr>
          <w:rFonts w:hint="cs"/>
          <w:sz w:val="27"/>
          <w:rtl/>
        </w:rPr>
        <w:t>ر عنه بالج</w:t>
      </w:r>
      <w:r w:rsidR="00E81C41" w:rsidRPr="006571AC">
        <w:rPr>
          <w:rFonts w:hint="cs"/>
          <w:sz w:val="27"/>
          <w:rtl/>
        </w:rPr>
        <w:t>َ</w:t>
      </w:r>
      <w:r w:rsidRPr="006571AC">
        <w:rPr>
          <w:rFonts w:hint="cs"/>
          <w:sz w:val="27"/>
          <w:rtl/>
        </w:rPr>
        <w:t>م</w:t>
      </w:r>
      <w:r w:rsidR="00E81C41" w:rsidRPr="006571AC">
        <w:rPr>
          <w:rFonts w:hint="cs"/>
          <w:sz w:val="27"/>
          <w:rtl/>
        </w:rPr>
        <w:t>ْ</w:t>
      </w:r>
      <w:r w:rsidRPr="006571AC">
        <w:rPr>
          <w:rFonts w:hint="cs"/>
          <w:sz w:val="27"/>
          <w:rtl/>
        </w:rPr>
        <w:t xml:space="preserve">ع الضوابطي والقواعدي. </w:t>
      </w:r>
    </w:p>
    <w:p w:rsidR="00237EB1" w:rsidRPr="006571AC" w:rsidRDefault="00237EB1" w:rsidP="00E60D93">
      <w:pPr>
        <w:rPr>
          <w:sz w:val="27"/>
          <w:rtl/>
        </w:rPr>
      </w:pPr>
      <w:r w:rsidRPr="006571AC">
        <w:rPr>
          <w:rFonts w:hint="cs"/>
          <w:sz w:val="27"/>
          <w:rtl/>
        </w:rPr>
        <w:t>والنتيجة من كل</w:t>
      </w:r>
      <w:r w:rsidR="00DE2F09" w:rsidRPr="006571AC">
        <w:rPr>
          <w:rFonts w:hint="cs"/>
          <w:sz w:val="27"/>
          <w:rtl/>
        </w:rPr>
        <w:t>ّ</w:t>
      </w:r>
      <w:r w:rsidRPr="006571AC">
        <w:rPr>
          <w:rFonts w:hint="cs"/>
          <w:sz w:val="27"/>
          <w:rtl/>
        </w:rPr>
        <w:t xml:space="preserve"> ما ذ</w:t>
      </w:r>
      <w:r w:rsidR="00DE2F09" w:rsidRPr="006571AC">
        <w:rPr>
          <w:rFonts w:hint="cs"/>
          <w:sz w:val="27"/>
          <w:rtl/>
        </w:rPr>
        <w:t>ُ</w:t>
      </w:r>
      <w:r w:rsidRPr="006571AC">
        <w:rPr>
          <w:rFonts w:hint="cs"/>
          <w:sz w:val="27"/>
          <w:rtl/>
        </w:rPr>
        <w:t>كر ه</w:t>
      </w:r>
      <w:r w:rsidR="00DE2F09" w:rsidRPr="006571AC">
        <w:rPr>
          <w:rFonts w:hint="cs"/>
          <w:sz w:val="27"/>
          <w:rtl/>
        </w:rPr>
        <w:t>ي</w:t>
      </w:r>
      <w:r w:rsidRPr="006571AC">
        <w:rPr>
          <w:rFonts w:hint="cs"/>
          <w:sz w:val="27"/>
          <w:rtl/>
        </w:rPr>
        <w:t xml:space="preserve"> أن المصلحة العامة والحفاظ على النظام ال</w:t>
      </w:r>
      <w:r w:rsidR="00DE2F09" w:rsidRPr="006571AC">
        <w:rPr>
          <w:rFonts w:hint="cs"/>
          <w:sz w:val="27"/>
          <w:rtl/>
        </w:rPr>
        <w:t>إ</w:t>
      </w:r>
      <w:r w:rsidRPr="006571AC">
        <w:rPr>
          <w:rFonts w:hint="cs"/>
          <w:sz w:val="27"/>
          <w:rtl/>
        </w:rPr>
        <w:t>نساني ـ وعلى الأقل</w:t>
      </w:r>
      <w:r w:rsidR="00DE2F09" w:rsidRPr="006571AC">
        <w:rPr>
          <w:rFonts w:hint="cs"/>
          <w:sz w:val="27"/>
          <w:rtl/>
        </w:rPr>
        <w:t>ّ</w:t>
      </w:r>
      <w:r w:rsidRPr="006571AC">
        <w:rPr>
          <w:rFonts w:hint="cs"/>
          <w:sz w:val="27"/>
          <w:rtl/>
        </w:rPr>
        <w:t xml:space="preserve"> في ظل</w:t>
      </w:r>
      <w:r w:rsidR="00DE2F09" w:rsidRPr="006571AC">
        <w:rPr>
          <w:rFonts w:hint="cs"/>
          <w:sz w:val="27"/>
          <w:rtl/>
        </w:rPr>
        <w:t>ّ</w:t>
      </w:r>
      <w:r w:rsidRPr="006571AC">
        <w:rPr>
          <w:rFonts w:hint="cs"/>
          <w:sz w:val="27"/>
          <w:rtl/>
        </w:rPr>
        <w:t xml:space="preserve"> الظروف الاقتصادية الخاص</w:t>
      </w:r>
      <w:r w:rsidR="00DE2F09" w:rsidRPr="006571AC">
        <w:rPr>
          <w:rFonts w:hint="cs"/>
          <w:sz w:val="27"/>
          <w:rtl/>
        </w:rPr>
        <w:t>ّ</w:t>
      </w:r>
      <w:r w:rsidRPr="006571AC">
        <w:rPr>
          <w:rFonts w:hint="cs"/>
          <w:sz w:val="27"/>
          <w:rtl/>
        </w:rPr>
        <w:t>ة ـ يحتّ</w:t>
      </w:r>
      <w:r w:rsidR="00DE2F09" w:rsidRPr="006571AC">
        <w:rPr>
          <w:rFonts w:hint="cs"/>
          <w:sz w:val="27"/>
          <w:rtl/>
        </w:rPr>
        <w:t>ِ</w:t>
      </w:r>
      <w:r w:rsidRPr="006571AC">
        <w:rPr>
          <w:rFonts w:hint="cs"/>
          <w:sz w:val="27"/>
          <w:rtl/>
        </w:rPr>
        <w:t>م وضع حدّ</w:t>
      </w:r>
      <w:r w:rsidR="00DE2F09" w:rsidRPr="006571AC">
        <w:rPr>
          <w:rFonts w:hint="cs"/>
          <w:sz w:val="27"/>
          <w:rtl/>
        </w:rPr>
        <w:t>ٍ</w:t>
      </w:r>
      <w:r w:rsidRPr="006571AC">
        <w:rPr>
          <w:rFonts w:hint="cs"/>
          <w:sz w:val="27"/>
          <w:rtl/>
        </w:rPr>
        <w:t xml:space="preserve"> لمهر الزواج من ناحية الكثرة. </w:t>
      </w:r>
    </w:p>
    <w:p w:rsidR="00C3538C" w:rsidRPr="006571AC" w:rsidRDefault="00C3538C" w:rsidP="00C3538C">
      <w:pPr>
        <w:spacing w:line="420" w:lineRule="exact"/>
        <w:rPr>
          <w:sz w:val="27"/>
          <w:rtl/>
        </w:rPr>
      </w:pPr>
      <w:bookmarkStart w:id="285" w:name="_Toc79281942"/>
    </w:p>
    <w:p w:rsidR="00237EB1" w:rsidRPr="006571AC" w:rsidRDefault="00237EB1" w:rsidP="00824114">
      <w:pPr>
        <w:pStyle w:val="31"/>
        <w:rPr>
          <w:color w:val="auto"/>
          <w:rtl/>
        </w:rPr>
      </w:pPr>
      <w:bookmarkStart w:id="286" w:name="_Toc114164718"/>
      <w:r w:rsidRPr="006571AC">
        <w:rPr>
          <w:rFonts w:hint="cs"/>
          <w:color w:val="auto"/>
          <w:rtl/>
        </w:rPr>
        <w:t>إطلاق المهر و</w:t>
      </w:r>
      <w:r w:rsidRPr="006571AC">
        <w:rPr>
          <w:color w:val="auto"/>
          <w:rtl/>
        </w:rPr>
        <w:t xml:space="preserve">قاعدة نفي </w:t>
      </w:r>
      <w:r w:rsidR="00824114" w:rsidRPr="006571AC">
        <w:rPr>
          <w:rFonts w:hint="cs"/>
          <w:color w:val="auto"/>
          <w:rtl/>
        </w:rPr>
        <w:t>العُسْر و</w:t>
      </w:r>
      <w:r w:rsidRPr="006571AC">
        <w:rPr>
          <w:color w:val="auto"/>
          <w:rtl/>
        </w:rPr>
        <w:t>الح</w:t>
      </w:r>
      <w:r w:rsidR="00DE2F09" w:rsidRPr="006571AC">
        <w:rPr>
          <w:rFonts w:hint="cs"/>
          <w:color w:val="auto"/>
          <w:rtl/>
        </w:rPr>
        <w:t>َ</w:t>
      </w:r>
      <w:r w:rsidRPr="006571AC">
        <w:rPr>
          <w:color w:val="auto"/>
          <w:rtl/>
        </w:rPr>
        <w:t>ر</w:t>
      </w:r>
      <w:r w:rsidR="00DE2F09" w:rsidRPr="006571AC">
        <w:rPr>
          <w:rFonts w:hint="cs"/>
          <w:color w:val="auto"/>
          <w:rtl/>
        </w:rPr>
        <w:t>َ</w:t>
      </w:r>
      <w:r w:rsidRPr="006571AC">
        <w:rPr>
          <w:color w:val="auto"/>
          <w:rtl/>
        </w:rPr>
        <w:t>ج</w:t>
      </w:r>
      <w:bookmarkEnd w:id="285"/>
      <w:bookmarkEnd w:id="286"/>
    </w:p>
    <w:p w:rsidR="00892823" w:rsidRPr="006571AC" w:rsidRDefault="00237EB1" w:rsidP="00E60D93">
      <w:pPr>
        <w:rPr>
          <w:sz w:val="27"/>
          <w:rtl/>
        </w:rPr>
      </w:pPr>
      <w:r w:rsidRPr="006571AC">
        <w:rPr>
          <w:rFonts w:hint="cs"/>
          <w:sz w:val="27"/>
          <w:rtl/>
        </w:rPr>
        <w:t>والكلام يدور حول الع</w:t>
      </w:r>
      <w:r w:rsidR="00DE2F09" w:rsidRPr="006571AC">
        <w:rPr>
          <w:rFonts w:hint="cs"/>
          <w:sz w:val="27"/>
          <w:rtl/>
        </w:rPr>
        <w:t>ُ</w:t>
      </w:r>
      <w:r w:rsidRPr="006571AC">
        <w:rPr>
          <w:rFonts w:hint="cs"/>
          <w:sz w:val="27"/>
          <w:rtl/>
        </w:rPr>
        <w:t>س</w:t>
      </w:r>
      <w:r w:rsidR="00DE2F09" w:rsidRPr="006571AC">
        <w:rPr>
          <w:rFonts w:hint="cs"/>
          <w:sz w:val="27"/>
          <w:rtl/>
        </w:rPr>
        <w:t>ْ</w:t>
      </w:r>
      <w:r w:rsidRPr="006571AC">
        <w:rPr>
          <w:rFonts w:hint="cs"/>
          <w:sz w:val="27"/>
          <w:rtl/>
        </w:rPr>
        <w:t>ر والح</w:t>
      </w:r>
      <w:r w:rsidR="00DE2F09" w:rsidRPr="006571AC">
        <w:rPr>
          <w:rFonts w:hint="cs"/>
          <w:sz w:val="27"/>
          <w:rtl/>
        </w:rPr>
        <w:t>َ</w:t>
      </w:r>
      <w:r w:rsidRPr="006571AC">
        <w:rPr>
          <w:rFonts w:hint="cs"/>
          <w:sz w:val="27"/>
          <w:rtl/>
        </w:rPr>
        <w:t>ر</w:t>
      </w:r>
      <w:r w:rsidR="00DE2F09" w:rsidRPr="006571AC">
        <w:rPr>
          <w:rFonts w:hint="cs"/>
          <w:sz w:val="27"/>
          <w:rtl/>
        </w:rPr>
        <w:t>َ</w:t>
      </w:r>
      <w:r w:rsidRPr="006571AC">
        <w:rPr>
          <w:rFonts w:hint="cs"/>
          <w:sz w:val="27"/>
          <w:rtl/>
        </w:rPr>
        <w:t>ج من حيث تأثيره على المجتمع</w:t>
      </w:r>
      <w:r w:rsidR="00DE2F09" w:rsidRPr="006571AC">
        <w:rPr>
          <w:rFonts w:hint="cs"/>
          <w:sz w:val="27"/>
          <w:rtl/>
        </w:rPr>
        <w:t>.</w:t>
      </w:r>
    </w:p>
    <w:p w:rsidR="00892823" w:rsidRPr="006571AC" w:rsidRDefault="00237EB1" w:rsidP="00E60D93">
      <w:pPr>
        <w:rPr>
          <w:sz w:val="27"/>
          <w:rtl/>
        </w:rPr>
      </w:pPr>
      <w:r w:rsidRPr="006571AC">
        <w:rPr>
          <w:rFonts w:hint="cs"/>
          <w:sz w:val="27"/>
          <w:rtl/>
        </w:rPr>
        <w:t>وبح</w:t>
      </w:r>
      <w:r w:rsidR="00892823" w:rsidRPr="006571AC">
        <w:rPr>
          <w:rFonts w:hint="cs"/>
          <w:sz w:val="27"/>
          <w:rtl/>
        </w:rPr>
        <w:t>َ</w:t>
      </w:r>
      <w:r w:rsidRPr="006571AC">
        <w:rPr>
          <w:rFonts w:hint="cs"/>
          <w:sz w:val="27"/>
          <w:rtl/>
        </w:rPr>
        <w:t>س</w:t>
      </w:r>
      <w:r w:rsidR="00892823" w:rsidRPr="006571AC">
        <w:rPr>
          <w:rFonts w:hint="cs"/>
          <w:sz w:val="27"/>
          <w:rtl/>
        </w:rPr>
        <w:t>َ</w:t>
      </w:r>
      <w:r w:rsidRPr="006571AC">
        <w:rPr>
          <w:rFonts w:hint="cs"/>
          <w:sz w:val="27"/>
          <w:rtl/>
        </w:rPr>
        <w:t xml:space="preserve">ب الفرض </w:t>
      </w:r>
      <w:r w:rsidR="00892823" w:rsidRPr="006571AC">
        <w:rPr>
          <w:rFonts w:hint="cs"/>
          <w:sz w:val="27"/>
          <w:rtl/>
        </w:rPr>
        <w:t xml:space="preserve">فإن </w:t>
      </w:r>
      <w:r w:rsidRPr="006571AC">
        <w:rPr>
          <w:rFonts w:hint="cs"/>
          <w:sz w:val="27"/>
          <w:rtl/>
        </w:rPr>
        <w:t>الح</w:t>
      </w:r>
      <w:r w:rsidR="00DE2F09" w:rsidRPr="006571AC">
        <w:rPr>
          <w:rFonts w:hint="cs"/>
          <w:sz w:val="27"/>
          <w:rtl/>
        </w:rPr>
        <w:t>َ</w:t>
      </w:r>
      <w:r w:rsidRPr="006571AC">
        <w:rPr>
          <w:rFonts w:hint="cs"/>
          <w:sz w:val="27"/>
          <w:rtl/>
        </w:rPr>
        <w:t>ر</w:t>
      </w:r>
      <w:r w:rsidR="00DE2F09" w:rsidRPr="006571AC">
        <w:rPr>
          <w:rFonts w:hint="cs"/>
          <w:sz w:val="27"/>
          <w:rtl/>
        </w:rPr>
        <w:t>َ</w:t>
      </w:r>
      <w:r w:rsidRPr="006571AC">
        <w:rPr>
          <w:rFonts w:hint="cs"/>
          <w:sz w:val="27"/>
          <w:rtl/>
        </w:rPr>
        <w:t>ج المسب</w:t>
      </w:r>
      <w:r w:rsidR="00DE2F09" w:rsidRPr="006571AC">
        <w:rPr>
          <w:rFonts w:hint="cs"/>
          <w:sz w:val="27"/>
          <w:rtl/>
        </w:rPr>
        <w:t>َّ</w:t>
      </w:r>
      <w:r w:rsidRPr="006571AC">
        <w:rPr>
          <w:rFonts w:hint="cs"/>
          <w:sz w:val="27"/>
          <w:rtl/>
        </w:rPr>
        <w:t>ب عن ارتفاع المهور لا يخفى على أحد</w:t>
      </w:r>
      <w:r w:rsidR="00DE2F09" w:rsidRPr="006571AC">
        <w:rPr>
          <w:rFonts w:hint="cs"/>
          <w:sz w:val="27"/>
          <w:rtl/>
        </w:rPr>
        <w:t>ٍ</w:t>
      </w:r>
      <w:r w:rsidR="00892823" w:rsidRPr="006571AC">
        <w:rPr>
          <w:rFonts w:hint="cs"/>
          <w:sz w:val="27"/>
          <w:rtl/>
        </w:rPr>
        <w:t>.</w:t>
      </w:r>
    </w:p>
    <w:p w:rsidR="00237EB1" w:rsidRPr="006571AC" w:rsidRDefault="00237EB1" w:rsidP="00E60D93">
      <w:pPr>
        <w:rPr>
          <w:sz w:val="27"/>
          <w:rtl/>
        </w:rPr>
      </w:pPr>
      <w:r w:rsidRPr="006571AC">
        <w:rPr>
          <w:rFonts w:hint="cs"/>
          <w:sz w:val="27"/>
          <w:rtl/>
        </w:rPr>
        <w:t>والمراد من الع</w:t>
      </w:r>
      <w:r w:rsidR="00DE2F09" w:rsidRPr="006571AC">
        <w:rPr>
          <w:rFonts w:hint="cs"/>
          <w:sz w:val="27"/>
          <w:rtl/>
        </w:rPr>
        <w:t>ُ</w:t>
      </w:r>
      <w:r w:rsidRPr="006571AC">
        <w:rPr>
          <w:rFonts w:hint="cs"/>
          <w:sz w:val="27"/>
          <w:rtl/>
        </w:rPr>
        <w:t>س</w:t>
      </w:r>
      <w:r w:rsidR="00DE2F09" w:rsidRPr="006571AC">
        <w:rPr>
          <w:rFonts w:hint="cs"/>
          <w:sz w:val="27"/>
          <w:rtl/>
        </w:rPr>
        <w:t>ْ</w:t>
      </w:r>
      <w:r w:rsidRPr="006571AC">
        <w:rPr>
          <w:rFonts w:hint="cs"/>
          <w:sz w:val="27"/>
          <w:rtl/>
        </w:rPr>
        <w:t>ر والح</w:t>
      </w:r>
      <w:r w:rsidR="00DE2F09" w:rsidRPr="006571AC">
        <w:rPr>
          <w:rFonts w:hint="cs"/>
          <w:sz w:val="27"/>
          <w:rtl/>
        </w:rPr>
        <w:t>َ</w:t>
      </w:r>
      <w:r w:rsidRPr="006571AC">
        <w:rPr>
          <w:rFonts w:hint="cs"/>
          <w:sz w:val="27"/>
          <w:rtl/>
        </w:rPr>
        <w:t>ر</w:t>
      </w:r>
      <w:r w:rsidR="00DE2F09" w:rsidRPr="006571AC">
        <w:rPr>
          <w:rFonts w:hint="cs"/>
          <w:sz w:val="27"/>
          <w:rtl/>
        </w:rPr>
        <w:t>َ</w:t>
      </w:r>
      <w:r w:rsidRPr="006571AC">
        <w:rPr>
          <w:rFonts w:hint="cs"/>
          <w:sz w:val="27"/>
          <w:rtl/>
        </w:rPr>
        <w:t>ج</w:t>
      </w:r>
      <w:r w:rsidRPr="006571AC">
        <w:rPr>
          <w:sz w:val="27"/>
          <w:rtl/>
        </w:rPr>
        <w:t xml:space="preserve"> </w:t>
      </w:r>
      <w:r w:rsidRPr="006571AC">
        <w:rPr>
          <w:rFonts w:hint="cs"/>
          <w:sz w:val="27"/>
          <w:rtl/>
        </w:rPr>
        <w:t>هنا كل</w:t>
      </w:r>
      <w:r w:rsidR="00DE2F09" w:rsidRPr="006571AC">
        <w:rPr>
          <w:rFonts w:hint="cs"/>
          <w:sz w:val="27"/>
          <w:rtl/>
        </w:rPr>
        <w:t>ّ</w:t>
      </w:r>
      <w:r w:rsidRPr="006571AC">
        <w:rPr>
          <w:rFonts w:hint="cs"/>
          <w:sz w:val="27"/>
          <w:rtl/>
        </w:rPr>
        <w:t xml:space="preserve"> </w:t>
      </w:r>
      <w:r w:rsidR="00DE2F09" w:rsidRPr="006571AC">
        <w:rPr>
          <w:rFonts w:hint="cs"/>
          <w:sz w:val="27"/>
          <w:rtl/>
        </w:rPr>
        <w:t>أ</w:t>
      </w:r>
      <w:r w:rsidRPr="006571AC">
        <w:rPr>
          <w:rFonts w:hint="cs"/>
          <w:sz w:val="27"/>
          <w:rtl/>
        </w:rPr>
        <w:t>قسامه</w:t>
      </w:r>
      <w:r w:rsidR="00DE2F09" w:rsidRPr="006571AC">
        <w:rPr>
          <w:rFonts w:hint="cs"/>
          <w:sz w:val="27"/>
          <w:rtl/>
        </w:rPr>
        <w:t>،</w:t>
      </w:r>
      <w:r w:rsidRPr="006571AC">
        <w:rPr>
          <w:rFonts w:hint="cs"/>
          <w:sz w:val="27"/>
          <w:rtl/>
        </w:rPr>
        <w:t xml:space="preserve"> </w:t>
      </w:r>
      <w:r w:rsidR="00892823" w:rsidRPr="006571AC">
        <w:rPr>
          <w:rFonts w:hint="cs"/>
          <w:sz w:val="27"/>
          <w:rtl/>
        </w:rPr>
        <w:t>بما في ذلك الحَرَج</w:t>
      </w:r>
      <w:r w:rsidRPr="006571AC">
        <w:rPr>
          <w:rFonts w:hint="cs"/>
          <w:sz w:val="27"/>
          <w:rtl/>
        </w:rPr>
        <w:t xml:space="preserve"> </w:t>
      </w:r>
      <w:r w:rsidR="00892823" w:rsidRPr="006571AC">
        <w:rPr>
          <w:rFonts w:hint="cs"/>
          <w:sz w:val="27"/>
          <w:rtl/>
        </w:rPr>
        <w:t>ال</w:t>
      </w:r>
      <w:r w:rsidRPr="006571AC">
        <w:rPr>
          <w:rFonts w:hint="cs"/>
          <w:sz w:val="27"/>
          <w:rtl/>
        </w:rPr>
        <w:t>نفسي</w:t>
      </w:r>
      <w:r w:rsidRPr="006571AC">
        <w:rPr>
          <w:sz w:val="27"/>
          <w:rtl/>
        </w:rPr>
        <w:t xml:space="preserve"> </w:t>
      </w:r>
      <w:r w:rsidRPr="006571AC">
        <w:rPr>
          <w:rFonts w:hint="cs"/>
          <w:sz w:val="27"/>
          <w:rtl/>
        </w:rPr>
        <w:t>والع</w:t>
      </w:r>
      <w:r w:rsidR="00DE2F09" w:rsidRPr="006571AC">
        <w:rPr>
          <w:rFonts w:hint="cs"/>
          <w:sz w:val="27"/>
          <w:rtl/>
        </w:rPr>
        <w:t>ُ</w:t>
      </w:r>
      <w:r w:rsidRPr="006571AC">
        <w:rPr>
          <w:rFonts w:hint="cs"/>
          <w:sz w:val="27"/>
          <w:rtl/>
        </w:rPr>
        <w:t>س</w:t>
      </w:r>
      <w:r w:rsidR="00DE2F09" w:rsidRPr="006571AC">
        <w:rPr>
          <w:rFonts w:hint="cs"/>
          <w:sz w:val="27"/>
          <w:rtl/>
        </w:rPr>
        <w:t>ْ</w:t>
      </w:r>
      <w:r w:rsidRPr="006571AC">
        <w:rPr>
          <w:rFonts w:hint="cs"/>
          <w:sz w:val="27"/>
          <w:rtl/>
        </w:rPr>
        <w:t>ر</w:t>
      </w:r>
      <w:r w:rsidRPr="006571AC">
        <w:rPr>
          <w:sz w:val="27"/>
          <w:rtl/>
        </w:rPr>
        <w:t xml:space="preserve"> </w:t>
      </w:r>
      <w:r w:rsidR="00892823" w:rsidRPr="006571AC">
        <w:rPr>
          <w:rFonts w:hint="cs"/>
          <w:sz w:val="27"/>
          <w:rtl/>
        </w:rPr>
        <w:t>ال</w:t>
      </w:r>
      <w:r w:rsidRPr="006571AC">
        <w:rPr>
          <w:rFonts w:hint="cs"/>
          <w:sz w:val="27"/>
          <w:rtl/>
        </w:rPr>
        <w:t>بدني</w:t>
      </w:r>
      <w:r w:rsidR="00DE2F09" w:rsidRPr="006571AC">
        <w:rPr>
          <w:rFonts w:hint="cs"/>
          <w:sz w:val="27"/>
          <w:rtl/>
        </w:rPr>
        <w:t>.</w:t>
      </w:r>
      <w:r w:rsidRPr="006571AC">
        <w:rPr>
          <w:sz w:val="27"/>
          <w:rtl/>
        </w:rPr>
        <w:t xml:space="preserve"> </w:t>
      </w:r>
      <w:r w:rsidRPr="006571AC">
        <w:rPr>
          <w:rFonts w:hint="cs"/>
          <w:sz w:val="27"/>
          <w:rtl/>
        </w:rPr>
        <w:t xml:space="preserve">وبيان ذلك: </w:t>
      </w:r>
    </w:p>
    <w:p w:rsidR="00237EB1" w:rsidRPr="006571AC" w:rsidRDefault="00237EB1" w:rsidP="00E60D93">
      <w:pPr>
        <w:rPr>
          <w:sz w:val="27"/>
          <w:rtl/>
        </w:rPr>
      </w:pPr>
      <w:r w:rsidRPr="006571AC">
        <w:rPr>
          <w:rFonts w:hint="cs"/>
          <w:b/>
          <w:bCs/>
          <w:sz w:val="27"/>
          <w:rtl/>
        </w:rPr>
        <w:t>أو</w:t>
      </w:r>
      <w:r w:rsidR="00DE2F09" w:rsidRPr="006571AC">
        <w:rPr>
          <w:rFonts w:hint="cs"/>
          <w:b/>
          <w:bCs/>
          <w:sz w:val="27"/>
          <w:rtl/>
        </w:rPr>
        <w:t>ّ</w:t>
      </w:r>
      <w:r w:rsidRPr="006571AC">
        <w:rPr>
          <w:rFonts w:hint="cs"/>
          <w:b/>
          <w:bCs/>
          <w:sz w:val="27"/>
          <w:rtl/>
        </w:rPr>
        <w:t>لاً: الع</w:t>
      </w:r>
      <w:r w:rsidR="00E81C41" w:rsidRPr="006571AC">
        <w:rPr>
          <w:rFonts w:hint="cs"/>
          <w:b/>
          <w:bCs/>
          <w:sz w:val="27"/>
          <w:rtl/>
        </w:rPr>
        <w:t>ُ</w:t>
      </w:r>
      <w:r w:rsidRPr="006571AC">
        <w:rPr>
          <w:rFonts w:hint="cs"/>
          <w:b/>
          <w:bCs/>
          <w:sz w:val="27"/>
          <w:rtl/>
        </w:rPr>
        <w:t>س</w:t>
      </w:r>
      <w:r w:rsidR="00E81C41" w:rsidRPr="006571AC">
        <w:rPr>
          <w:rFonts w:hint="cs"/>
          <w:b/>
          <w:bCs/>
          <w:sz w:val="27"/>
          <w:rtl/>
        </w:rPr>
        <w:t>ْ</w:t>
      </w:r>
      <w:r w:rsidRPr="006571AC">
        <w:rPr>
          <w:rFonts w:hint="cs"/>
          <w:b/>
          <w:bCs/>
          <w:sz w:val="27"/>
          <w:rtl/>
        </w:rPr>
        <w:t>ر</w:t>
      </w:r>
      <w:r w:rsidRPr="006571AC">
        <w:rPr>
          <w:b/>
          <w:bCs/>
          <w:sz w:val="27"/>
          <w:rtl/>
        </w:rPr>
        <w:t xml:space="preserve"> </w:t>
      </w:r>
      <w:r w:rsidRPr="006571AC">
        <w:rPr>
          <w:rFonts w:hint="cs"/>
          <w:b/>
          <w:bCs/>
          <w:sz w:val="27"/>
          <w:rtl/>
        </w:rPr>
        <w:t>البدني</w:t>
      </w:r>
      <w:r w:rsidRPr="006571AC">
        <w:rPr>
          <w:b/>
          <w:bCs/>
          <w:sz w:val="27"/>
          <w:rtl/>
        </w:rPr>
        <w:t xml:space="preserve"> </w:t>
      </w:r>
      <w:r w:rsidRPr="006571AC">
        <w:rPr>
          <w:rFonts w:hint="cs"/>
          <w:b/>
          <w:bCs/>
          <w:sz w:val="27"/>
          <w:rtl/>
        </w:rPr>
        <w:t>أو</w:t>
      </w:r>
      <w:r w:rsidRPr="006571AC">
        <w:rPr>
          <w:b/>
          <w:bCs/>
          <w:sz w:val="27"/>
          <w:rtl/>
        </w:rPr>
        <w:t xml:space="preserve"> </w:t>
      </w:r>
      <w:r w:rsidRPr="006571AC">
        <w:rPr>
          <w:rFonts w:hint="cs"/>
          <w:b/>
          <w:bCs/>
          <w:sz w:val="27"/>
          <w:rtl/>
        </w:rPr>
        <w:t>المالي</w:t>
      </w:r>
      <w:r w:rsidRPr="006571AC">
        <w:rPr>
          <w:sz w:val="27"/>
          <w:rtl/>
        </w:rPr>
        <w:t xml:space="preserve">: </w:t>
      </w:r>
      <w:r w:rsidR="004E160D" w:rsidRPr="006571AC">
        <w:rPr>
          <w:rFonts w:hint="cs"/>
          <w:sz w:val="27"/>
          <w:rtl/>
        </w:rPr>
        <w:t xml:space="preserve">هو </w:t>
      </w:r>
      <w:r w:rsidRPr="006571AC">
        <w:rPr>
          <w:rFonts w:hint="cs"/>
          <w:sz w:val="27"/>
          <w:rtl/>
        </w:rPr>
        <w:t>ما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تأثيره</w:t>
      </w:r>
      <w:r w:rsidRPr="006571AC">
        <w:rPr>
          <w:sz w:val="27"/>
          <w:rtl/>
        </w:rPr>
        <w:t xml:space="preserve"> </w:t>
      </w:r>
      <w:r w:rsidRPr="006571AC">
        <w:rPr>
          <w:rFonts w:hint="cs"/>
          <w:sz w:val="27"/>
          <w:rtl/>
        </w:rPr>
        <w:t>واقعاً</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البدن</w:t>
      </w:r>
      <w:r w:rsidR="00892823"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الحال</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المال</w:t>
      </w:r>
      <w:r w:rsidR="00892823" w:rsidRPr="006571AC">
        <w:rPr>
          <w:rFonts w:hint="cs"/>
          <w:sz w:val="27"/>
          <w:rtl/>
        </w:rPr>
        <w:t>،</w:t>
      </w:r>
      <w:r w:rsidRPr="006571AC">
        <w:rPr>
          <w:sz w:val="27"/>
          <w:rtl/>
        </w:rPr>
        <w:t xml:space="preserve"> </w:t>
      </w:r>
      <w:r w:rsidRPr="006571AC">
        <w:rPr>
          <w:rFonts w:hint="cs"/>
          <w:sz w:val="27"/>
          <w:rtl/>
        </w:rPr>
        <w:t>كالدخول</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الأعمال</w:t>
      </w:r>
      <w:r w:rsidRPr="006571AC">
        <w:rPr>
          <w:sz w:val="27"/>
          <w:rtl/>
        </w:rPr>
        <w:t xml:space="preserve"> </w:t>
      </w:r>
      <w:r w:rsidRPr="006571AC">
        <w:rPr>
          <w:rFonts w:hint="cs"/>
          <w:sz w:val="27"/>
          <w:rtl/>
        </w:rPr>
        <w:t>الشاق</w:t>
      </w:r>
      <w:r w:rsidR="004E160D" w:rsidRPr="006571AC">
        <w:rPr>
          <w:rFonts w:hint="cs"/>
          <w:sz w:val="27"/>
          <w:rtl/>
        </w:rPr>
        <w:t>ّ</w:t>
      </w:r>
      <w:r w:rsidRPr="006571AC">
        <w:rPr>
          <w:rFonts w:hint="cs"/>
          <w:sz w:val="27"/>
          <w:rtl/>
        </w:rPr>
        <w:t>ة</w:t>
      </w:r>
      <w:r w:rsidRPr="006571AC">
        <w:rPr>
          <w:sz w:val="27"/>
          <w:rtl/>
        </w:rPr>
        <w:t xml:space="preserve"> </w:t>
      </w:r>
      <w:r w:rsidRPr="006571AC">
        <w:rPr>
          <w:rFonts w:hint="cs"/>
          <w:sz w:val="27"/>
          <w:rtl/>
        </w:rPr>
        <w:t>ذات</w:t>
      </w:r>
      <w:r w:rsidRPr="006571AC">
        <w:rPr>
          <w:sz w:val="27"/>
          <w:rtl/>
        </w:rPr>
        <w:t xml:space="preserve"> </w:t>
      </w:r>
      <w:r w:rsidRPr="006571AC">
        <w:rPr>
          <w:rFonts w:hint="cs"/>
          <w:sz w:val="27"/>
          <w:rtl/>
        </w:rPr>
        <w:t>التأثير</w:t>
      </w:r>
      <w:r w:rsidRPr="006571AC">
        <w:rPr>
          <w:sz w:val="27"/>
          <w:rtl/>
        </w:rPr>
        <w:t xml:space="preserve"> </w:t>
      </w:r>
      <w:r w:rsidRPr="006571AC">
        <w:rPr>
          <w:rFonts w:hint="cs"/>
          <w:sz w:val="27"/>
          <w:rtl/>
        </w:rPr>
        <w:t>المباشر</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القو</w:t>
      </w:r>
      <w:r w:rsidR="00892823" w:rsidRPr="006571AC">
        <w:rPr>
          <w:rFonts w:hint="cs"/>
          <w:sz w:val="27"/>
          <w:rtl/>
        </w:rPr>
        <w:t>ّ</w:t>
      </w:r>
      <w:r w:rsidRPr="006571AC">
        <w:rPr>
          <w:rFonts w:hint="cs"/>
          <w:sz w:val="27"/>
          <w:rtl/>
        </w:rPr>
        <w:t>ة</w:t>
      </w:r>
      <w:r w:rsidRPr="006571AC">
        <w:rPr>
          <w:sz w:val="27"/>
          <w:rtl/>
        </w:rPr>
        <w:t xml:space="preserve"> </w:t>
      </w:r>
      <w:r w:rsidRPr="006571AC">
        <w:rPr>
          <w:rFonts w:hint="cs"/>
          <w:sz w:val="27"/>
          <w:rtl/>
        </w:rPr>
        <w:t>البدنية</w:t>
      </w:r>
      <w:r w:rsidRPr="006571AC">
        <w:rPr>
          <w:sz w:val="27"/>
          <w:rtl/>
        </w:rPr>
        <w:t xml:space="preserve"> </w:t>
      </w:r>
      <w:r w:rsidRPr="006571AC">
        <w:rPr>
          <w:rFonts w:hint="cs"/>
          <w:sz w:val="27"/>
          <w:rtl/>
        </w:rPr>
        <w:t>الظاهرة</w:t>
      </w:r>
      <w:r w:rsidR="00892823" w:rsidRPr="006571AC">
        <w:rPr>
          <w:rFonts w:hint="cs"/>
          <w:sz w:val="27"/>
          <w:rtl/>
        </w:rPr>
        <w:t>،</w:t>
      </w:r>
      <w:r w:rsidRPr="006571AC">
        <w:rPr>
          <w:sz w:val="27"/>
          <w:rtl/>
        </w:rPr>
        <w:t xml:space="preserve"> </w:t>
      </w:r>
      <w:r w:rsidRPr="006571AC">
        <w:rPr>
          <w:rFonts w:hint="cs"/>
          <w:sz w:val="27"/>
          <w:rtl/>
        </w:rPr>
        <w:t>كالدوام على العمل بلا راحة</w:t>
      </w:r>
      <w:r w:rsidR="00892823" w:rsidRPr="006571AC">
        <w:rPr>
          <w:rFonts w:hint="cs"/>
          <w:sz w:val="27"/>
          <w:rtl/>
        </w:rPr>
        <w:t>ٍ،</w:t>
      </w:r>
      <w:r w:rsidRPr="006571AC">
        <w:rPr>
          <w:rFonts w:hint="cs"/>
          <w:sz w:val="27"/>
          <w:rtl/>
        </w:rPr>
        <w:t xml:space="preserve"> مما يسب</w:t>
      </w:r>
      <w:r w:rsidR="00892823" w:rsidRPr="006571AC">
        <w:rPr>
          <w:rFonts w:hint="cs"/>
          <w:sz w:val="27"/>
          <w:rtl/>
        </w:rPr>
        <w:t>ِّ</w:t>
      </w:r>
      <w:r w:rsidRPr="006571AC">
        <w:rPr>
          <w:rFonts w:hint="cs"/>
          <w:sz w:val="27"/>
          <w:rtl/>
        </w:rPr>
        <w:t>ب تأثيرا سلبي</w:t>
      </w:r>
      <w:r w:rsidR="00892823" w:rsidRPr="006571AC">
        <w:rPr>
          <w:rFonts w:hint="cs"/>
          <w:sz w:val="27"/>
          <w:rtl/>
        </w:rPr>
        <w:t>ّ</w:t>
      </w:r>
      <w:r w:rsidRPr="006571AC">
        <w:rPr>
          <w:rFonts w:hint="cs"/>
          <w:sz w:val="27"/>
          <w:rtl/>
        </w:rPr>
        <w:t xml:space="preserve">اً على بدن الإنسان. </w:t>
      </w:r>
    </w:p>
    <w:p w:rsidR="00237EB1" w:rsidRPr="006571AC" w:rsidRDefault="00237EB1" w:rsidP="00E60D93">
      <w:pPr>
        <w:rPr>
          <w:sz w:val="27"/>
          <w:rtl/>
        </w:rPr>
      </w:pPr>
      <w:r w:rsidRPr="006571AC">
        <w:rPr>
          <w:rFonts w:hint="cs"/>
          <w:b/>
          <w:bCs/>
          <w:sz w:val="27"/>
          <w:rtl/>
        </w:rPr>
        <w:t>ثانياً: الح</w:t>
      </w:r>
      <w:r w:rsidR="00E81C41" w:rsidRPr="006571AC">
        <w:rPr>
          <w:rFonts w:hint="cs"/>
          <w:b/>
          <w:bCs/>
          <w:sz w:val="27"/>
          <w:rtl/>
        </w:rPr>
        <w:t>َ</w:t>
      </w:r>
      <w:r w:rsidRPr="006571AC">
        <w:rPr>
          <w:rFonts w:hint="cs"/>
          <w:b/>
          <w:bCs/>
          <w:sz w:val="27"/>
          <w:rtl/>
        </w:rPr>
        <w:t>ر</w:t>
      </w:r>
      <w:r w:rsidR="00E81C41" w:rsidRPr="006571AC">
        <w:rPr>
          <w:rFonts w:hint="cs"/>
          <w:b/>
          <w:bCs/>
          <w:sz w:val="27"/>
          <w:rtl/>
        </w:rPr>
        <w:t>َ</w:t>
      </w:r>
      <w:r w:rsidRPr="006571AC">
        <w:rPr>
          <w:rFonts w:hint="cs"/>
          <w:b/>
          <w:bCs/>
          <w:sz w:val="27"/>
          <w:rtl/>
        </w:rPr>
        <w:t>ج</w:t>
      </w:r>
      <w:r w:rsidRPr="006571AC">
        <w:rPr>
          <w:b/>
          <w:bCs/>
          <w:sz w:val="27"/>
          <w:rtl/>
        </w:rPr>
        <w:t xml:space="preserve"> </w:t>
      </w:r>
      <w:r w:rsidRPr="006571AC">
        <w:rPr>
          <w:rFonts w:hint="cs"/>
          <w:b/>
          <w:bCs/>
          <w:sz w:val="27"/>
          <w:rtl/>
        </w:rPr>
        <w:t>النفسي</w:t>
      </w:r>
      <w:r w:rsidRPr="006571AC">
        <w:rPr>
          <w:b/>
          <w:bCs/>
          <w:sz w:val="27"/>
          <w:rtl/>
        </w:rPr>
        <w:t xml:space="preserve"> </w:t>
      </w:r>
      <w:r w:rsidRPr="006571AC">
        <w:rPr>
          <w:rFonts w:hint="cs"/>
          <w:b/>
          <w:bCs/>
          <w:sz w:val="27"/>
          <w:rtl/>
        </w:rPr>
        <w:t>أو</w:t>
      </w:r>
      <w:r w:rsidRPr="006571AC">
        <w:rPr>
          <w:b/>
          <w:bCs/>
          <w:sz w:val="27"/>
          <w:rtl/>
        </w:rPr>
        <w:t xml:space="preserve"> </w:t>
      </w:r>
      <w:r w:rsidRPr="006571AC">
        <w:rPr>
          <w:rFonts w:hint="cs"/>
          <w:b/>
          <w:bCs/>
          <w:sz w:val="27"/>
          <w:rtl/>
        </w:rPr>
        <w:t>المعنوي</w:t>
      </w:r>
      <w:r w:rsidRPr="006571AC">
        <w:rPr>
          <w:sz w:val="27"/>
          <w:rtl/>
        </w:rPr>
        <w:t xml:space="preserve">: </w:t>
      </w:r>
      <w:r w:rsidR="004E160D" w:rsidRPr="006571AC">
        <w:rPr>
          <w:rFonts w:hint="cs"/>
          <w:sz w:val="27"/>
          <w:rtl/>
        </w:rPr>
        <w:t xml:space="preserve">هو </w:t>
      </w:r>
      <w:r w:rsidRPr="006571AC">
        <w:rPr>
          <w:rFonts w:hint="cs"/>
          <w:sz w:val="27"/>
          <w:rtl/>
        </w:rPr>
        <w:t>ما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تأثيره</w:t>
      </w:r>
      <w:r w:rsidRPr="006571AC">
        <w:rPr>
          <w:sz w:val="27"/>
          <w:rtl/>
        </w:rPr>
        <w:t xml:space="preserve"> </w:t>
      </w:r>
      <w:r w:rsidRPr="006571AC">
        <w:rPr>
          <w:rFonts w:hint="cs"/>
          <w:sz w:val="27"/>
          <w:rtl/>
        </w:rPr>
        <w:t>واقعاً</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النفس</w:t>
      </w:r>
      <w:r w:rsidR="00892823" w:rsidRPr="006571AC">
        <w:rPr>
          <w:rFonts w:hint="cs"/>
          <w:sz w:val="27"/>
          <w:rtl/>
        </w:rPr>
        <w:t>،</w:t>
      </w:r>
      <w:r w:rsidRPr="006571AC">
        <w:rPr>
          <w:sz w:val="27"/>
          <w:rtl/>
        </w:rPr>
        <w:t xml:space="preserve"> </w:t>
      </w:r>
      <w:r w:rsidRPr="006571AC">
        <w:rPr>
          <w:rFonts w:hint="cs"/>
          <w:sz w:val="27"/>
          <w:rtl/>
        </w:rPr>
        <w:t>كم</w:t>
      </w:r>
      <w:r w:rsidR="004E160D" w:rsidRPr="006571AC">
        <w:rPr>
          <w:rFonts w:hint="cs"/>
          <w:sz w:val="27"/>
          <w:rtl/>
        </w:rPr>
        <w:t>َ</w:t>
      </w:r>
      <w:r w:rsidRPr="006571AC">
        <w:rPr>
          <w:rFonts w:hint="cs"/>
          <w:sz w:val="27"/>
          <w:rtl/>
        </w:rPr>
        <w:t>ن</w:t>
      </w:r>
      <w:r w:rsidR="004E160D" w:rsidRPr="006571AC">
        <w:rPr>
          <w:rFonts w:hint="cs"/>
          <w:sz w:val="27"/>
          <w:rtl/>
        </w:rPr>
        <w:t>ْ</w:t>
      </w:r>
      <w:r w:rsidRPr="006571AC">
        <w:rPr>
          <w:sz w:val="27"/>
          <w:rtl/>
        </w:rPr>
        <w:t xml:space="preserve"> </w:t>
      </w:r>
      <w:r w:rsidRPr="006571AC">
        <w:rPr>
          <w:rFonts w:hint="cs"/>
          <w:sz w:val="27"/>
          <w:rtl/>
        </w:rPr>
        <w:t>يقوم</w:t>
      </w:r>
      <w:r w:rsidRPr="006571AC">
        <w:rPr>
          <w:sz w:val="27"/>
          <w:rtl/>
        </w:rPr>
        <w:t xml:space="preserve"> </w:t>
      </w:r>
      <w:r w:rsidRPr="006571AC">
        <w:rPr>
          <w:rFonts w:hint="cs"/>
          <w:sz w:val="27"/>
          <w:rtl/>
        </w:rPr>
        <w:t>بعمل</w:t>
      </w:r>
      <w:r w:rsidR="004E160D" w:rsidRPr="006571AC">
        <w:rPr>
          <w:rFonts w:hint="cs"/>
          <w:sz w:val="27"/>
          <w:rtl/>
        </w:rPr>
        <w:t>ٍ</w:t>
      </w:r>
      <w:r w:rsidRPr="006571AC">
        <w:rPr>
          <w:sz w:val="27"/>
          <w:rtl/>
        </w:rPr>
        <w:t xml:space="preserve"> </w:t>
      </w:r>
      <w:r w:rsidRPr="006571AC">
        <w:rPr>
          <w:rFonts w:hint="cs"/>
          <w:sz w:val="27"/>
          <w:rtl/>
        </w:rPr>
        <w:t>فيندم</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ارتكابه</w:t>
      </w:r>
      <w:r w:rsidR="00892823" w:rsidRPr="006571AC">
        <w:rPr>
          <w:rFonts w:hint="cs"/>
          <w:sz w:val="27"/>
          <w:rtl/>
        </w:rPr>
        <w:t>،</w:t>
      </w:r>
      <w:r w:rsidRPr="006571AC">
        <w:rPr>
          <w:sz w:val="27"/>
          <w:rtl/>
        </w:rPr>
        <w:t xml:space="preserve"> </w:t>
      </w:r>
      <w:r w:rsidRPr="006571AC">
        <w:rPr>
          <w:rFonts w:hint="cs"/>
          <w:sz w:val="27"/>
          <w:rtl/>
        </w:rPr>
        <w:t>فإن</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الأمور</w:t>
      </w:r>
      <w:r w:rsidRPr="006571AC">
        <w:rPr>
          <w:sz w:val="27"/>
          <w:rtl/>
        </w:rPr>
        <w:t xml:space="preserve"> </w:t>
      </w:r>
      <w:r w:rsidRPr="006571AC">
        <w:rPr>
          <w:rFonts w:hint="cs"/>
          <w:sz w:val="27"/>
          <w:rtl/>
        </w:rPr>
        <w:t>تحدث</w:t>
      </w:r>
      <w:r w:rsidRPr="006571AC">
        <w:rPr>
          <w:sz w:val="27"/>
          <w:rtl/>
        </w:rPr>
        <w:t xml:space="preserve"> </w:t>
      </w:r>
      <w:r w:rsidRPr="006571AC">
        <w:rPr>
          <w:rFonts w:hint="cs"/>
          <w:sz w:val="27"/>
          <w:rtl/>
        </w:rPr>
        <w:t>قلقاً</w:t>
      </w:r>
      <w:r w:rsidRPr="006571AC">
        <w:rPr>
          <w:sz w:val="27"/>
          <w:rtl/>
        </w:rPr>
        <w:t xml:space="preserve"> </w:t>
      </w:r>
      <w:r w:rsidRPr="006571AC">
        <w:rPr>
          <w:rFonts w:hint="cs"/>
          <w:sz w:val="27"/>
          <w:rtl/>
        </w:rPr>
        <w:t>وألماً</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النفس</w:t>
      </w:r>
      <w:r w:rsidRPr="006571AC">
        <w:rPr>
          <w:sz w:val="27"/>
          <w:rtl/>
        </w:rPr>
        <w:t xml:space="preserve">. </w:t>
      </w:r>
    </w:p>
    <w:p w:rsidR="00237EB1" w:rsidRPr="006571AC" w:rsidRDefault="00237EB1" w:rsidP="00E81C41">
      <w:pPr>
        <w:spacing w:line="410" w:lineRule="exact"/>
        <w:rPr>
          <w:sz w:val="27"/>
          <w:rtl/>
        </w:rPr>
      </w:pPr>
      <w:r w:rsidRPr="006571AC">
        <w:rPr>
          <w:rFonts w:hint="cs"/>
          <w:sz w:val="27"/>
          <w:rtl/>
        </w:rPr>
        <w:t>وكل</w:t>
      </w:r>
      <w:r w:rsidR="004E160D" w:rsidRPr="006571AC">
        <w:rPr>
          <w:rFonts w:hint="cs"/>
          <w:sz w:val="27"/>
          <w:rtl/>
        </w:rPr>
        <w:t>ّ</w:t>
      </w:r>
      <w:r w:rsidRPr="006571AC">
        <w:rPr>
          <w:rFonts w:hint="cs"/>
          <w:sz w:val="27"/>
          <w:rtl/>
        </w:rPr>
        <w:t xml:space="preserve"> ما تقد</w:t>
      </w:r>
      <w:r w:rsidR="004E160D" w:rsidRPr="006571AC">
        <w:rPr>
          <w:rFonts w:hint="cs"/>
          <w:sz w:val="27"/>
          <w:rtl/>
        </w:rPr>
        <w:t>َّ</w:t>
      </w:r>
      <w:r w:rsidRPr="006571AC">
        <w:rPr>
          <w:rFonts w:hint="cs"/>
          <w:sz w:val="27"/>
          <w:rtl/>
        </w:rPr>
        <w:t xml:space="preserve">م </w:t>
      </w:r>
      <w:r w:rsidR="004E160D" w:rsidRPr="006571AC">
        <w:rPr>
          <w:rFonts w:hint="cs"/>
          <w:sz w:val="27"/>
          <w:rtl/>
        </w:rPr>
        <w:t>من ال</w:t>
      </w:r>
      <w:r w:rsidRPr="006571AC">
        <w:rPr>
          <w:rFonts w:hint="cs"/>
          <w:sz w:val="27"/>
          <w:rtl/>
        </w:rPr>
        <w:t>ع</w:t>
      </w:r>
      <w:r w:rsidR="004E160D" w:rsidRPr="006571AC">
        <w:rPr>
          <w:rFonts w:hint="cs"/>
          <w:sz w:val="27"/>
          <w:rtl/>
        </w:rPr>
        <w:t>ُ</w:t>
      </w:r>
      <w:r w:rsidRPr="006571AC">
        <w:rPr>
          <w:rFonts w:hint="cs"/>
          <w:sz w:val="27"/>
          <w:rtl/>
        </w:rPr>
        <w:t>س</w:t>
      </w:r>
      <w:r w:rsidR="004E160D" w:rsidRPr="006571AC">
        <w:rPr>
          <w:rFonts w:hint="cs"/>
          <w:sz w:val="27"/>
          <w:rtl/>
        </w:rPr>
        <w:t>ْ</w:t>
      </w:r>
      <w:r w:rsidRPr="006571AC">
        <w:rPr>
          <w:rFonts w:hint="cs"/>
          <w:sz w:val="27"/>
          <w:rtl/>
        </w:rPr>
        <w:t>ر و</w:t>
      </w:r>
      <w:r w:rsidR="004E160D" w:rsidRPr="006571AC">
        <w:rPr>
          <w:rFonts w:hint="cs"/>
          <w:sz w:val="27"/>
          <w:rtl/>
        </w:rPr>
        <w:t>ال</w:t>
      </w:r>
      <w:r w:rsidRPr="006571AC">
        <w:rPr>
          <w:rFonts w:hint="cs"/>
          <w:sz w:val="27"/>
          <w:rtl/>
        </w:rPr>
        <w:t>ح</w:t>
      </w:r>
      <w:r w:rsidR="004E160D" w:rsidRPr="006571AC">
        <w:rPr>
          <w:rFonts w:hint="cs"/>
          <w:sz w:val="27"/>
          <w:rtl/>
        </w:rPr>
        <w:t>َ</w:t>
      </w:r>
      <w:r w:rsidRPr="006571AC">
        <w:rPr>
          <w:rFonts w:hint="cs"/>
          <w:sz w:val="27"/>
          <w:rtl/>
        </w:rPr>
        <w:t>ر</w:t>
      </w:r>
      <w:r w:rsidR="004E160D" w:rsidRPr="006571AC">
        <w:rPr>
          <w:rFonts w:hint="cs"/>
          <w:sz w:val="27"/>
          <w:rtl/>
        </w:rPr>
        <w:t>َ</w:t>
      </w:r>
      <w:r w:rsidRPr="006571AC">
        <w:rPr>
          <w:rFonts w:hint="cs"/>
          <w:sz w:val="27"/>
          <w:rtl/>
        </w:rPr>
        <w:t>ج</w:t>
      </w:r>
      <w:r w:rsidR="004E160D" w:rsidRPr="006571AC">
        <w:rPr>
          <w:rFonts w:hint="cs"/>
          <w:sz w:val="27"/>
          <w:rtl/>
        </w:rPr>
        <w:t>،</w:t>
      </w:r>
      <w:r w:rsidRPr="006571AC">
        <w:rPr>
          <w:rFonts w:hint="cs"/>
          <w:sz w:val="27"/>
          <w:rtl/>
        </w:rPr>
        <w:t xml:space="preserve"> على المستوى </w:t>
      </w:r>
      <w:r w:rsidR="004E160D" w:rsidRPr="006571AC">
        <w:rPr>
          <w:rFonts w:hint="cs"/>
          <w:sz w:val="27"/>
          <w:rtl/>
        </w:rPr>
        <w:t>ال</w:t>
      </w:r>
      <w:r w:rsidRPr="006571AC">
        <w:rPr>
          <w:rFonts w:hint="cs"/>
          <w:sz w:val="27"/>
          <w:rtl/>
        </w:rPr>
        <w:t xml:space="preserve">شخصي أو </w:t>
      </w:r>
      <w:r w:rsidR="004E160D" w:rsidRPr="006571AC">
        <w:rPr>
          <w:rFonts w:hint="cs"/>
          <w:sz w:val="27"/>
          <w:rtl/>
        </w:rPr>
        <w:t>ال</w:t>
      </w:r>
      <w:r w:rsidRPr="006571AC">
        <w:rPr>
          <w:rFonts w:hint="cs"/>
          <w:sz w:val="27"/>
          <w:rtl/>
        </w:rPr>
        <w:t>نوعي</w:t>
      </w:r>
      <w:r w:rsidR="004E160D" w:rsidRPr="006571AC">
        <w:rPr>
          <w:rFonts w:hint="cs"/>
          <w:sz w:val="27"/>
          <w:rtl/>
        </w:rPr>
        <w:t>،</w:t>
      </w:r>
      <w:r w:rsidRPr="006571AC">
        <w:rPr>
          <w:rFonts w:hint="cs"/>
          <w:sz w:val="27"/>
          <w:rtl/>
        </w:rPr>
        <w:t xml:space="preserve"> وعلى </w:t>
      </w:r>
      <w:r w:rsidRPr="006571AC">
        <w:rPr>
          <w:rFonts w:hint="cs"/>
          <w:sz w:val="27"/>
          <w:rtl/>
        </w:rPr>
        <w:lastRenderedPageBreak/>
        <w:t>المستوى البدني والنفسي والمالي</w:t>
      </w:r>
      <w:r w:rsidR="004E160D" w:rsidRPr="006571AC">
        <w:rPr>
          <w:rFonts w:hint="cs"/>
          <w:sz w:val="27"/>
          <w:rtl/>
        </w:rPr>
        <w:t>،</w:t>
      </w:r>
      <w:r w:rsidRPr="006571AC">
        <w:rPr>
          <w:rFonts w:hint="cs"/>
          <w:sz w:val="27"/>
          <w:rtl/>
        </w:rPr>
        <w:t xml:space="preserve"> فهو منفي</w:t>
      </w:r>
      <w:r w:rsidR="004E160D" w:rsidRPr="006571AC">
        <w:rPr>
          <w:rFonts w:hint="cs"/>
          <w:sz w:val="27"/>
          <w:rtl/>
        </w:rPr>
        <w:t>ٌّ</w:t>
      </w:r>
      <w:r w:rsidRPr="006571AC">
        <w:rPr>
          <w:rFonts w:hint="cs"/>
          <w:sz w:val="27"/>
          <w:rtl/>
        </w:rPr>
        <w:t xml:space="preserve"> بالآية والرواية</w:t>
      </w:r>
      <w:r w:rsidR="004E160D" w:rsidRPr="006571AC">
        <w:rPr>
          <w:rFonts w:hint="cs"/>
          <w:sz w:val="27"/>
          <w:rtl/>
        </w:rPr>
        <w:t>.</w:t>
      </w:r>
      <w:r w:rsidRPr="006571AC">
        <w:rPr>
          <w:rFonts w:hint="cs"/>
          <w:sz w:val="27"/>
          <w:rtl/>
        </w:rPr>
        <w:t xml:space="preserve"> إذن</w:t>
      </w:r>
      <w:r w:rsidR="004E160D" w:rsidRPr="006571AC">
        <w:rPr>
          <w:rFonts w:hint="cs"/>
          <w:sz w:val="27"/>
          <w:rtl/>
        </w:rPr>
        <w:t>،</w:t>
      </w:r>
      <w:r w:rsidRPr="006571AC">
        <w:rPr>
          <w:rFonts w:hint="cs"/>
          <w:sz w:val="27"/>
          <w:rtl/>
        </w:rPr>
        <w:t xml:space="preserve"> بما أنّ المهر غير المقيد والمطلق من حيث الكثرة يلزم منه ما ذ</w:t>
      </w:r>
      <w:r w:rsidR="004E160D" w:rsidRPr="006571AC">
        <w:rPr>
          <w:rFonts w:hint="cs"/>
          <w:sz w:val="27"/>
          <w:rtl/>
        </w:rPr>
        <w:t>ُ</w:t>
      </w:r>
      <w:r w:rsidRPr="006571AC">
        <w:rPr>
          <w:rFonts w:hint="cs"/>
          <w:sz w:val="27"/>
          <w:rtl/>
        </w:rPr>
        <w:t>كر من الع</w:t>
      </w:r>
      <w:r w:rsidR="004E160D" w:rsidRPr="006571AC">
        <w:rPr>
          <w:rFonts w:hint="cs"/>
          <w:sz w:val="27"/>
          <w:rtl/>
        </w:rPr>
        <w:t>ُ</w:t>
      </w:r>
      <w:r w:rsidRPr="006571AC">
        <w:rPr>
          <w:rFonts w:hint="cs"/>
          <w:sz w:val="27"/>
          <w:rtl/>
        </w:rPr>
        <w:t>س</w:t>
      </w:r>
      <w:r w:rsidR="004E160D" w:rsidRPr="006571AC">
        <w:rPr>
          <w:rFonts w:hint="cs"/>
          <w:sz w:val="27"/>
          <w:rtl/>
        </w:rPr>
        <w:t>ْ</w:t>
      </w:r>
      <w:r w:rsidRPr="006571AC">
        <w:rPr>
          <w:rFonts w:hint="cs"/>
          <w:sz w:val="27"/>
          <w:rtl/>
        </w:rPr>
        <w:t>ر والح</w:t>
      </w:r>
      <w:r w:rsidR="004E160D" w:rsidRPr="006571AC">
        <w:rPr>
          <w:rFonts w:hint="cs"/>
          <w:sz w:val="27"/>
          <w:rtl/>
        </w:rPr>
        <w:t>َ</w:t>
      </w:r>
      <w:r w:rsidRPr="006571AC">
        <w:rPr>
          <w:rFonts w:hint="cs"/>
          <w:sz w:val="27"/>
          <w:rtl/>
        </w:rPr>
        <w:t>ر</w:t>
      </w:r>
      <w:r w:rsidR="004E160D" w:rsidRPr="006571AC">
        <w:rPr>
          <w:rFonts w:hint="cs"/>
          <w:sz w:val="27"/>
          <w:rtl/>
        </w:rPr>
        <w:t>َ</w:t>
      </w:r>
      <w:r w:rsidRPr="006571AC">
        <w:rPr>
          <w:rFonts w:hint="cs"/>
          <w:sz w:val="27"/>
          <w:rtl/>
        </w:rPr>
        <w:t>ج، ومن الواضح أن الع</w:t>
      </w:r>
      <w:r w:rsidR="004E160D" w:rsidRPr="006571AC">
        <w:rPr>
          <w:rFonts w:hint="cs"/>
          <w:sz w:val="27"/>
          <w:rtl/>
        </w:rPr>
        <w:t>ُ</w:t>
      </w:r>
      <w:r w:rsidRPr="006571AC">
        <w:rPr>
          <w:rFonts w:hint="cs"/>
          <w:sz w:val="27"/>
          <w:rtl/>
        </w:rPr>
        <w:t>س</w:t>
      </w:r>
      <w:r w:rsidR="004E160D" w:rsidRPr="006571AC">
        <w:rPr>
          <w:rFonts w:hint="cs"/>
          <w:sz w:val="27"/>
          <w:rtl/>
        </w:rPr>
        <w:t>ْ</w:t>
      </w:r>
      <w:r w:rsidRPr="006571AC">
        <w:rPr>
          <w:rFonts w:hint="cs"/>
          <w:sz w:val="27"/>
          <w:rtl/>
        </w:rPr>
        <w:t>ر والح</w:t>
      </w:r>
      <w:r w:rsidR="004E160D" w:rsidRPr="006571AC">
        <w:rPr>
          <w:rFonts w:hint="cs"/>
          <w:sz w:val="27"/>
          <w:rtl/>
        </w:rPr>
        <w:t>َ</w:t>
      </w:r>
      <w:r w:rsidRPr="006571AC">
        <w:rPr>
          <w:rFonts w:hint="cs"/>
          <w:sz w:val="27"/>
          <w:rtl/>
        </w:rPr>
        <w:t>ر</w:t>
      </w:r>
      <w:r w:rsidR="004E160D" w:rsidRPr="006571AC">
        <w:rPr>
          <w:rFonts w:hint="cs"/>
          <w:sz w:val="27"/>
          <w:rtl/>
        </w:rPr>
        <w:t>َ</w:t>
      </w:r>
      <w:r w:rsidRPr="006571AC">
        <w:rPr>
          <w:rFonts w:hint="cs"/>
          <w:sz w:val="27"/>
          <w:rtl/>
        </w:rPr>
        <w:t>ج لم يأتيا من أصل المهر</w:t>
      </w:r>
      <w:r w:rsidR="004E160D" w:rsidRPr="006571AC">
        <w:rPr>
          <w:rFonts w:hint="cs"/>
          <w:sz w:val="27"/>
          <w:rtl/>
        </w:rPr>
        <w:t>،</w:t>
      </w:r>
      <w:r w:rsidRPr="006571AC">
        <w:rPr>
          <w:rFonts w:hint="cs"/>
          <w:sz w:val="27"/>
          <w:rtl/>
        </w:rPr>
        <w:t xml:space="preserve"> وإنما جاء</w:t>
      </w:r>
      <w:r w:rsidR="004E160D" w:rsidRPr="006571AC">
        <w:rPr>
          <w:rFonts w:hint="cs"/>
          <w:sz w:val="27"/>
          <w:rtl/>
        </w:rPr>
        <w:t>ا</w:t>
      </w:r>
      <w:r w:rsidRPr="006571AC">
        <w:rPr>
          <w:rFonts w:hint="cs"/>
          <w:sz w:val="27"/>
          <w:rtl/>
        </w:rPr>
        <w:t xml:space="preserve"> من ناحية إطلاقه وعدم تحديده، </w:t>
      </w:r>
      <w:r w:rsidR="004E160D" w:rsidRPr="006571AC">
        <w:rPr>
          <w:rFonts w:hint="cs"/>
          <w:sz w:val="27"/>
          <w:rtl/>
        </w:rPr>
        <w:t>ف</w:t>
      </w:r>
      <w:r w:rsidR="00731867" w:rsidRPr="006571AC">
        <w:rPr>
          <w:rFonts w:hint="cs"/>
          <w:sz w:val="27"/>
          <w:rtl/>
        </w:rPr>
        <w:t>لا بُدَّ</w:t>
      </w:r>
      <w:r w:rsidRPr="006571AC">
        <w:rPr>
          <w:rFonts w:hint="cs"/>
          <w:sz w:val="27"/>
          <w:rtl/>
        </w:rPr>
        <w:t xml:space="preserve"> من تحديده ورفع إطلاقه</w:t>
      </w:r>
      <w:r w:rsidR="004E160D" w:rsidRPr="006571AC">
        <w:rPr>
          <w:rFonts w:hint="cs"/>
          <w:sz w:val="27"/>
          <w:rtl/>
        </w:rPr>
        <w:t>؛</w:t>
      </w:r>
      <w:r w:rsidRPr="006571AC">
        <w:rPr>
          <w:rFonts w:hint="cs"/>
          <w:sz w:val="27"/>
          <w:rtl/>
        </w:rPr>
        <w:t xml:space="preserve"> إذ هو ما يلزم منه الح</w:t>
      </w:r>
      <w:r w:rsidR="004E160D" w:rsidRPr="006571AC">
        <w:rPr>
          <w:rFonts w:hint="cs"/>
          <w:sz w:val="27"/>
          <w:rtl/>
        </w:rPr>
        <w:t>َ</w:t>
      </w:r>
      <w:r w:rsidRPr="006571AC">
        <w:rPr>
          <w:rFonts w:hint="cs"/>
          <w:sz w:val="27"/>
          <w:rtl/>
        </w:rPr>
        <w:t>ر</w:t>
      </w:r>
      <w:r w:rsidR="004E160D" w:rsidRPr="006571AC">
        <w:rPr>
          <w:rFonts w:hint="cs"/>
          <w:sz w:val="27"/>
          <w:rtl/>
        </w:rPr>
        <w:t>َ</w:t>
      </w:r>
      <w:r w:rsidRPr="006571AC">
        <w:rPr>
          <w:rFonts w:hint="cs"/>
          <w:sz w:val="27"/>
          <w:rtl/>
        </w:rPr>
        <w:t>ج، فبتقي</w:t>
      </w:r>
      <w:r w:rsidR="00E81C41" w:rsidRPr="006571AC">
        <w:rPr>
          <w:rFonts w:hint="cs"/>
          <w:sz w:val="27"/>
          <w:rtl/>
        </w:rPr>
        <w:t>ي</w:t>
      </w:r>
      <w:r w:rsidRPr="006571AC">
        <w:rPr>
          <w:rFonts w:hint="cs"/>
          <w:sz w:val="27"/>
          <w:rtl/>
        </w:rPr>
        <w:t>ده ووضع حد</w:t>
      </w:r>
      <w:r w:rsidR="004E160D" w:rsidRPr="006571AC">
        <w:rPr>
          <w:rFonts w:hint="cs"/>
          <w:sz w:val="27"/>
          <w:rtl/>
        </w:rPr>
        <w:t>ٍّ</w:t>
      </w:r>
      <w:r w:rsidRPr="006571AC">
        <w:rPr>
          <w:rFonts w:hint="cs"/>
          <w:sz w:val="27"/>
          <w:rtl/>
        </w:rPr>
        <w:t xml:space="preserve"> له ي</w:t>
      </w:r>
      <w:r w:rsidR="004E160D" w:rsidRPr="006571AC">
        <w:rPr>
          <w:rFonts w:hint="cs"/>
          <w:sz w:val="27"/>
          <w:rtl/>
        </w:rPr>
        <w:t>ُ</w:t>
      </w:r>
      <w:r w:rsidRPr="006571AC">
        <w:rPr>
          <w:rFonts w:hint="cs"/>
          <w:sz w:val="27"/>
          <w:rtl/>
        </w:rPr>
        <w:t>ن</w:t>
      </w:r>
      <w:r w:rsidR="004E160D" w:rsidRPr="006571AC">
        <w:rPr>
          <w:rFonts w:hint="cs"/>
          <w:sz w:val="27"/>
          <w:rtl/>
        </w:rPr>
        <w:t>ْ</w:t>
      </w:r>
      <w:r w:rsidRPr="006571AC">
        <w:rPr>
          <w:rFonts w:hint="cs"/>
          <w:sz w:val="27"/>
          <w:rtl/>
        </w:rPr>
        <w:t>ف</w:t>
      </w:r>
      <w:r w:rsidR="004E160D" w:rsidRPr="006571AC">
        <w:rPr>
          <w:rFonts w:hint="cs"/>
          <w:sz w:val="27"/>
          <w:rtl/>
        </w:rPr>
        <w:t>َ</w:t>
      </w:r>
      <w:r w:rsidRPr="006571AC">
        <w:rPr>
          <w:rFonts w:hint="cs"/>
          <w:sz w:val="27"/>
          <w:rtl/>
        </w:rPr>
        <w:t>ى الع</w:t>
      </w:r>
      <w:r w:rsidR="004E160D" w:rsidRPr="006571AC">
        <w:rPr>
          <w:rFonts w:hint="cs"/>
          <w:sz w:val="27"/>
          <w:rtl/>
        </w:rPr>
        <w:t>ُ</w:t>
      </w:r>
      <w:r w:rsidRPr="006571AC">
        <w:rPr>
          <w:rFonts w:hint="cs"/>
          <w:sz w:val="27"/>
          <w:rtl/>
        </w:rPr>
        <w:t>س</w:t>
      </w:r>
      <w:r w:rsidR="004E160D" w:rsidRPr="006571AC">
        <w:rPr>
          <w:rFonts w:hint="cs"/>
          <w:sz w:val="27"/>
          <w:rtl/>
        </w:rPr>
        <w:t>ْ</w:t>
      </w:r>
      <w:r w:rsidRPr="006571AC">
        <w:rPr>
          <w:rFonts w:hint="cs"/>
          <w:sz w:val="27"/>
          <w:rtl/>
        </w:rPr>
        <w:t>ر والح</w:t>
      </w:r>
      <w:r w:rsidR="004E160D" w:rsidRPr="006571AC">
        <w:rPr>
          <w:rFonts w:hint="cs"/>
          <w:sz w:val="27"/>
          <w:rtl/>
        </w:rPr>
        <w:t>َ</w:t>
      </w:r>
      <w:r w:rsidRPr="006571AC">
        <w:rPr>
          <w:rFonts w:hint="cs"/>
          <w:sz w:val="27"/>
          <w:rtl/>
        </w:rPr>
        <w:t>ر</w:t>
      </w:r>
      <w:r w:rsidR="004E160D" w:rsidRPr="006571AC">
        <w:rPr>
          <w:rFonts w:hint="cs"/>
          <w:sz w:val="27"/>
          <w:rtl/>
        </w:rPr>
        <w:t>َ</w:t>
      </w:r>
      <w:r w:rsidRPr="006571AC">
        <w:rPr>
          <w:rFonts w:hint="cs"/>
          <w:sz w:val="27"/>
          <w:rtl/>
        </w:rPr>
        <w:t>ج</w:t>
      </w:r>
      <w:r w:rsidR="004E160D" w:rsidRPr="006571AC">
        <w:rPr>
          <w:rFonts w:hint="cs"/>
          <w:sz w:val="27"/>
          <w:rtl/>
        </w:rPr>
        <w:t>،</w:t>
      </w:r>
      <w:r w:rsidRPr="006571AC">
        <w:rPr>
          <w:rFonts w:hint="cs"/>
          <w:sz w:val="27"/>
          <w:rtl/>
        </w:rPr>
        <w:t xml:space="preserve"> ويبقى أصل فرض المهر على حاله</w:t>
      </w:r>
      <w:r w:rsidR="004E160D" w:rsidRPr="006571AC">
        <w:rPr>
          <w:rFonts w:hint="cs"/>
          <w:sz w:val="27"/>
          <w:rtl/>
        </w:rPr>
        <w:t>.</w:t>
      </w:r>
      <w:r w:rsidRPr="006571AC">
        <w:rPr>
          <w:rFonts w:hint="cs"/>
          <w:sz w:val="27"/>
          <w:rtl/>
        </w:rPr>
        <w:t xml:space="preserve"> وبما أن الروايات قد ندب</w:t>
      </w:r>
      <w:r w:rsidR="004E160D" w:rsidRPr="006571AC">
        <w:rPr>
          <w:rFonts w:hint="cs"/>
          <w:sz w:val="27"/>
          <w:rtl/>
        </w:rPr>
        <w:t>َ</w:t>
      </w:r>
      <w:r w:rsidRPr="006571AC">
        <w:rPr>
          <w:rFonts w:hint="cs"/>
          <w:sz w:val="27"/>
          <w:rtl/>
        </w:rPr>
        <w:t>ت</w:t>
      </w:r>
      <w:r w:rsidR="004E160D" w:rsidRPr="006571AC">
        <w:rPr>
          <w:rFonts w:hint="cs"/>
          <w:sz w:val="27"/>
          <w:rtl/>
        </w:rPr>
        <w:t>ْ</w:t>
      </w:r>
      <w:r w:rsidRPr="006571AC">
        <w:rPr>
          <w:rFonts w:hint="cs"/>
          <w:sz w:val="27"/>
          <w:rtl/>
        </w:rPr>
        <w:t xml:space="preserve"> إلى جعله وتحديده بمهر السن</w:t>
      </w:r>
      <w:r w:rsidR="004E160D" w:rsidRPr="006571AC">
        <w:rPr>
          <w:rFonts w:hint="cs"/>
          <w:sz w:val="27"/>
          <w:rtl/>
        </w:rPr>
        <w:t>ّ</w:t>
      </w:r>
      <w:r w:rsidRPr="006571AC">
        <w:rPr>
          <w:rFonts w:hint="cs"/>
          <w:sz w:val="27"/>
          <w:rtl/>
        </w:rPr>
        <w:t>ة فمن المناسب ان يجعل المهر من حيث الكثرة بنحو</w:t>
      </w:r>
      <w:r w:rsidR="004E160D" w:rsidRPr="006571AC">
        <w:rPr>
          <w:rFonts w:hint="cs"/>
          <w:sz w:val="27"/>
          <w:rtl/>
        </w:rPr>
        <w:t>ٍ</w:t>
      </w:r>
      <w:r w:rsidRPr="006571AC">
        <w:rPr>
          <w:rFonts w:hint="cs"/>
          <w:sz w:val="27"/>
          <w:rtl/>
        </w:rPr>
        <w:t xml:space="preserve"> لا يتجاوز مهر السن</w:t>
      </w:r>
      <w:r w:rsidR="004E160D" w:rsidRPr="006571AC">
        <w:rPr>
          <w:rFonts w:hint="cs"/>
          <w:sz w:val="27"/>
          <w:rtl/>
        </w:rPr>
        <w:t>ّ</w:t>
      </w:r>
      <w:r w:rsidRPr="006571AC">
        <w:rPr>
          <w:rFonts w:hint="cs"/>
          <w:sz w:val="27"/>
          <w:rtl/>
        </w:rPr>
        <w:t>ة</w:t>
      </w:r>
      <w:r w:rsidR="004E160D" w:rsidRPr="006571AC">
        <w:rPr>
          <w:rFonts w:hint="cs"/>
          <w:sz w:val="27"/>
          <w:rtl/>
        </w:rPr>
        <w:t>.</w:t>
      </w:r>
      <w:r w:rsidRPr="006571AC">
        <w:rPr>
          <w:rFonts w:hint="cs"/>
          <w:sz w:val="27"/>
          <w:rtl/>
        </w:rPr>
        <w:t xml:space="preserve"> وهذا المقدار بح</w:t>
      </w:r>
      <w:r w:rsidR="004E160D" w:rsidRPr="006571AC">
        <w:rPr>
          <w:rFonts w:hint="cs"/>
          <w:sz w:val="27"/>
          <w:rtl/>
        </w:rPr>
        <w:t>َ</w:t>
      </w:r>
      <w:r w:rsidRPr="006571AC">
        <w:rPr>
          <w:rFonts w:hint="cs"/>
          <w:sz w:val="27"/>
          <w:rtl/>
        </w:rPr>
        <w:t>س</w:t>
      </w:r>
      <w:r w:rsidR="004E160D" w:rsidRPr="006571AC">
        <w:rPr>
          <w:rFonts w:hint="cs"/>
          <w:sz w:val="27"/>
          <w:rtl/>
        </w:rPr>
        <w:t>َ</w:t>
      </w:r>
      <w:r w:rsidRPr="006571AC">
        <w:rPr>
          <w:rFonts w:hint="cs"/>
          <w:sz w:val="27"/>
          <w:rtl/>
        </w:rPr>
        <w:t>ب ما هو المشاه</w:t>
      </w:r>
      <w:r w:rsidR="004E160D" w:rsidRPr="006571AC">
        <w:rPr>
          <w:rFonts w:hint="cs"/>
          <w:sz w:val="27"/>
          <w:rtl/>
        </w:rPr>
        <w:t>َ</w:t>
      </w:r>
      <w:r w:rsidRPr="006571AC">
        <w:rPr>
          <w:rFonts w:hint="cs"/>
          <w:sz w:val="27"/>
          <w:rtl/>
        </w:rPr>
        <w:t>د والمعاص</w:t>
      </w:r>
      <w:r w:rsidR="004E160D" w:rsidRPr="006571AC">
        <w:rPr>
          <w:rFonts w:hint="cs"/>
          <w:sz w:val="27"/>
          <w:rtl/>
        </w:rPr>
        <w:t>َ</w:t>
      </w:r>
      <w:r w:rsidRPr="006571AC">
        <w:rPr>
          <w:rFonts w:hint="cs"/>
          <w:sz w:val="27"/>
          <w:rtl/>
        </w:rPr>
        <w:t>ر يناسب أغلب الرجال</w:t>
      </w:r>
      <w:r w:rsidR="004E160D" w:rsidRPr="006571AC">
        <w:rPr>
          <w:rFonts w:hint="cs"/>
          <w:sz w:val="27"/>
          <w:rtl/>
        </w:rPr>
        <w:t>،</w:t>
      </w:r>
      <w:r w:rsidRPr="006571AC">
        <w:rPr>
          <w:rFonts w:hint="cs"/>
          <w:sz w:val="27"/>
          <w:rtl/>
        </w:rPr>
        <w:t xml:space="preserve"> ولا يوقعهم في ع</w:t>
      </w:r>
      <w:r w:rsidR="00E81C41" w:rsidRPr="006571AC">
        <w:rPr>
          <w:rFonts w:hint="cs"/>
          <w:sz w:val="27"/>
          <w:rtl/>
        </w:rPr>
        <w:t>َ</w:t>
      </w:r>
      <w:r w:rsidRPr="006571AC">
        <w:rPr>
          <w:rFonts w:hint="cs"/>
          <w:sz w:val="27"/>
          <w:rtl/>
        </w:rPr>
        <w:t>ج</w:t>
      </w:r>
      <w:r w:rsidR="00E81C41" w:rsidRPr="006571AC">
        <w:rPr>
          <w:rFonts w:hint="cs"/>
          <w:sz w:val="27"/>
          <w:rtl/>
        </w:rPr>
        <w:t>ْ</w:t>
      </w:r>
      <w:r w:rsidRPr="006571AC">
        <w:rPr>
          <w:rFonts w:hint="cs"/>
          <w:sz w:val="27"/>
          <w:rtl/>
        </w:rPr>
        <w:t>ز</w:t>
      </w:r>
      <w:r w:rsidR="004E160D" w:rsidRPr="006571AC">
        <w:rPr>
          <w:rFonts w:hint="cs"/>
          <w:sz w:val="27"/>
          <w:rtl/>
        </w:rPr>
        <w:t>ٍ</w:t>
      </w:r>
      <w:r w:rsidRPr="006571AC">
        <w:rPr>
          <w:rFonts w:hint="cs"/>
          <w:sz w:val="27"/>
          <w:rtl/>
        </w:rPr>
        <w:t xml:space="preserve"> بدني أو نفسي </w:t>
      </w:r>
      <w:r w:rsidR="004E160D" w:rsidRPr="006571AC">
        <w:rPr>
          <w:rFonts w:hint="cs"/>
          <w:sz w:val="27"/>
          <w:rtl/>
        </w:rPr>
        <w:t>أ</w:t>
      </w:r>
      <w:r w:rsidRPr="006571AC">
        <w:rPr>
          <w:rFonts w:hint="cs"/>
          <w:sz w:val="27"/>
          <w:rtl/>
        </w:rPr>
        <w:t>و مالي، كما أنه لا ينافي المحافظة على كرامة المرأة</w:t>
      </w:r>
      <w:r w:rsidR="004E160D" w:rsidRPr="006571AC">
        <w:rPr>
          <w:rFonts w:hint="cs"/>
          <w:sz w:val="27"/>
          <w:rtl/>
        </w:rPr>
        <w:t>؛</w:t>
      </w:r>
      <w:r w:rsidRPr="006571AC">
        <w:rPr>
          <w:rFonts w:hint="cs"/>
          <w:sz w:val="27"/>
          <w:rtl/>
        </w:rPr>
        <w:t xml:space="preserve"> فهذه </w:t>
      </w:r>
      <w:r w:rsidR="00E81C41" w:rsidRPr="006571AC">
        <w:rPr>
          <w:rFonts w:hint="cs"/>
          <w:sz w:val="27"/>
          <w:rtl/>
        </w:rPr>
        <w:t xml:space="preserve">مهور </w:t>
      </w:r>
      <w:r w:rsidRPr="006571AC">
        <w:rPr>
          <w:rFonts w:hint="cs"/>
          <w:sz w:val="27"/>
          <w:rtl/>
        </w:rPr>
        <w:t>زوجات النبي</w:t>
      </w:r>
      <w:r w:rsidR="004E160D" w:rsidRPr="006571AC">
        <w:rPr>
          <w:rFonts w:hint="cs"/>
          <w:sz w:val="27"/>
          <w:rtl/>
        </w:rPr>
        <w:t>ّ</w:t>
      </w:r>
      <w:r w:rsidR="004E160D" w:rsidRPr="006571AC">
        <w:rPr>
          <w:rFonts w:ascii="Mosawi" w:hAnsi="Mosawi" w:cs="Mosawi"/>
          <w:sz w:val="22"/>
          <w:szCs w:val="22"/>
          <w:rtl/>
        </w:rPr>
        <w:t>|</w:t>
      </w:r>
      <w:r w:rsidRPr="006571AC">
        <w:rPr>
          <w:rFonts w:hint="cs"/>
          <w:sz w:val="27"/>
          <w:rtl/>
        </w:rPr>
        <w:t xml:space="preserve"> وسيدة نساء العالمين فاطمة الزهراء</w:t>
      </w:r>
      <w:r w:rsidR="004E160D" w:rsidRPr="006571AC">
        <w:rPr>
          <w:rFonts w:ascii="Mosawi" w:hAnsi="Mosawi" w:cs="Mosawi"/>
          <w:sz w:val="22"/>
          <w:szCs w:val="22"/>
        </w:rPr>
        <w:t>÷</w:t>
      </w:r>
      <w:r w:rsidRPr="006571AC">
        <w:rPr>
          <w:rFonts w:hint="cs"/>
          <w:sz w:val="27"/>
          <w:rtl/>
        </w:rPr>
        <w:t xml:space="preserve"> كان</w:t>
      </w:r>
      <w:r w:rsidR="004577DA" w:rsidRPr="006571AC">
        <w:rPr>
          <w:rFonts w:hint="cs"/>
          <w:sz w:val="27"/>
          <w:rtl/>
        </w:rPr>
        <w:t>ت</w:t>
      </w:r>
      <w:r w:rsidRPr="006571AC">
        <w:rPr>
          <w:rFonts w:hint="cs"/>
          <w:sz w:val="27"/>
          <w:rtl/>
        </w:rPr>
        <w:t xml:space="preserve"> بهذا المقدار. </w:t>
      </w:r>
    </w:p>
    <w:p w:rsidR="00237EB1" w:rsidRPr="006571AC" w:rsidRDefault="00237EB1" w:rsidP="00C3538C">
      <w:pPr>
        <w:spacing w:line="460" w:lineRule="exact"/>
        <w:rPr>
          <w:sz w:val="27"/>
          <w:rtl/>
        </w:rPr>
      </w:pPr>
    </w:p>
    <w:p w:rsidR="00237EB1" w:rsidRPr="006571AC" w:rsidRDefault="00237EB1" w:rsidP="0022224E">
      <w:pPr>
        <w:pStyle w:val="31"/>
        <w:rPr>
          <w:color w:val="auto"/>
          <w:rtl/>
        </w:rPr>
      </w:pPr>
      <w:r w:rsidRPr="006571AC">
        <w:rPr>
          <w:color w:val="auto"/>
          <w:rtl/>
        </w:rPr>
        <w:t xml:space="preserve"> </w:t>
      </w:r>
      <w:bookmarkStart w:id="287" w:name="_Toc79281943"/>
      <w:bookmarkStart w:id="288" w:name="_Toc114164719"/>
      <w:r w:rsidRPr="006571AC">
        <w:rPr>
          <w:rFonts w:hint="cs"/>
          <w:color w:val="auto"/>
          <w:rtl/>
        </w:rPr>
        <w:t>إطلاق المهر و</w:t>
      </w:r>
      <w:r w:rsidRPr="006571AC">
        <w:rPr>
          <w:color w:val="auto"/>
          <w:rtl/>
        </w:rPr>
        <w:t>قاعدة لا ض</w:t>
      </w:r>
      <w:r w:rsidR="004577DA" w:rsidRPr="006571AC">
        <w:rPr>
          <w:rFonts w:hint="cs"/>
          <w:color w:val="auto"/>
          <w:rtl/>
        </w:rPr>
        <w:t>َ</w:t>
      </w:r>
      <w:r w:rsidRPr="006571AC">
        <w:rPr>
          <w:color w:val="auto"/>
          <w:rtl/>
        </w:rPr>
        <w:t>ر</w:t>
      </w:r>
      <w:r w:rsidR="004577DA" w:rsidRPr="006571AC">
        <w:rPr>
          <w:rFonts w:hint="cs"/>
          <w:color w:val="auto"/>
          <w:rtl/>
        </w:rPr>
        <w:t>َ</w:t>
      </w:r>
      <w:r w:rsidRPr="006571AC">
        <w:rPr>
          <w:color w:val="auto"/>
          <w:rtl/>
        </w:rPr>
        <w:t>ر</w:t>
      </w:r>
      <w:bookmarkEnd w:id="287"/>
      <w:bookmarkEnd w:id="288"/>
      <w:r w:rsidRPr="006571AC">
        <w:rPr>
          <w:color w:val="auto"/>
          <w:rtl/>
        </w:rPr>
        <w:t xml:space="preserve"> </w:t>
      </w:r>
    </w:p>
    <w:p w:rsidR="00237EB1" w:rsidRPr="006571AC" w:rsidRDefault="00237EB1" w:rsidP="00C3538C">
      <w:pPr>
        <w:spacing w:line="420" w:lineRule="exact"/>
        <w:rPr>
          <w:sz w:val="27"/>
          <w:rtl/>
        </w:rPr>
      </w:pPr>
      <w:r w:rsidRPr="006571AC">
        <w:rPr>
          <w:rFonts w:hint="cs"/>
          <w:sz w:val="27"/>
          <w:rtl/>
        </w:rPr>
        <w:t>والمراد بالض</w:t>
      </w:r>
      <w:r w:rsidR="004577DA" w:rsidRPr="006571AC">
        <w:rPr>
          <w:rFonts w:hint="cs"/>
          <w:sz w:val="27"/>
          <w:rtl/>
        </w:rPr>
        <w:t>َّ</w:t>
      </w:r>
      <w:r w:rsidRPr="006571AC">
        <w:rPr>
          <w:rFonts w:hint="cs"/>
          <w:sz w:val="27"/>
          <w:rtl/>
        </w:rPr>
        <w:t>ر</w:t>
      </w:r>
      <w:r w:rsidR="004577DA" w:rsidRPr="006571AC">
        <w:rPr>
          <w:rFonts w:hint="cs"/>
          <w:sz w:val="27"/>
          <w:rtl/>
        </w:rPr>
        <w:t>َ</w:t>
      </w:r>
      <w:r w:rsidRPr="006571AC">
        <w:rPr>
          <w:rFonts w:hint="cs"/>
          <w:sz w:val="27"/>
          <w:rtl/>
        </w:rPr>
        <w:t>ر المبحوث عنه هنا الض</w:t>
      </w:r>
      <w:r w:rsidR="004577DA" w:rsidRPr="006571AC">
        <w:rPr>
          <w:rFonts w:hint="cs"/>
          <w:sz w:val="27"/>
          <w:rtl/>
        </w:rPr>
        <w:t>َّ</w:t>
      </w:r>
      <w:r w:rsidRPr="006571AC">
        <w:rPr>
          <w:rFonts w:hint="cs"/>
          <w:sz w:val="27"/>
          <w:rtl/>
        </w:rPr>
        <w:t>ر</w:t>
      </w:r>
      <w:r w:rsidR="004577DA" w:rsidRPr="006571AC">
        <w:rPr>
          <w:rFonts w:hint="cs"/>
          <w:sz w:val="27"/>
          <w:rtl/>
        </w:rPr>
        <w:t>َ</w:t>
      </w:r>
      <w:r w:rsidRPr="006571AC">
        <w:rPr>
          <w:rFonts w:hint="cs"/>
          <w:sz w:val="27"/>
          <w:rtl/>
        </w:rPr>
        <w:t>ر الناجم عن إطلاق المهر من حيث الكثرة، الذي يسب</w:t>
      </w:r>
      <w:r w:rsidR="004577DA" w:rsidRPr="006571AC">
        <w:rPr>
          <w:rFonts w:hint="cs"/>
          <w:sz w:val="27"/>
          <w:rtl/>
        </w:rPr>
        <w:t>ِّ</w:t>
      </w:r>
      <w:r w:rsidRPr="006571AC">
        <w:rPr>
          <w:rFonts w:hint="cs"/>
          <w:sz w:val="27"/>
          <w:rtl/>
        </w:rPr>
        <w:t>ب خسارة</w:t>
      </w:r>
      <w:r w:rsidR="004577DA" w:rsidRPr="006571AC">
        <w:rPr>
          <w:rFonts w:hint="cs"/>
          <w:sz w:val="27"/>
          <w:rtl/>
        </w:rPr>
        <w:t>ً</w:t>
      </w:r>
      <w:r w:rsidRPr="006571AC">
        <w:rPr>
          <w:rFonts w:hint="cs"/>
          <w:sz w:val="27"/>
          <w:rtl/>
        </w:rPr>
        <w:t xml:space="preserve"> مالية وجسدية</w:t>
      </w:r>
      <w:r w:rsidR="004577DA" w:rsidRPr="006571AC">
        <w:rPr>
          <w:rFonts w:hint="cs"/>
          <w:sz w:val="27"/>
          <w:rtl/>
        </w:rPr>
        <w:t>،</w:t>
      </w:r>
      <w:r w:rsidRPr="006571AC">
        <w:rPr>
          <w:rFonts w:hint="cs"/>
          <w:sz w:val="27"/>
          <w:rtl/>
        </w:rPr>
        <w:t xml:space="preserve"> وض</w:t>
      </w:r>
      <w:r w:rsidR="00DA32FC" w:rsidRPr="006571AC">
        <w:rPr>
          <w:rFonts w:hint="cs"/>
          <w:sz w:val="27"/>
          <w:rtl/>
        </w:rPr>
        <w:t>َ</w:t>
      </w:r>
      <w:r w:rsidRPr="006571AC">
        <w:rPr>
          <w:rFonts w:hint="cs"/>
          <w:sz w:val="27"/>
          <w:rtl/>
        </w:rPr>
        <w:t>ر</w:t>
      </w:r>
      <w:r w:rsidR="00DA32FC" w:rsidRPr="006571AC">
        <w:rPr>
          <w:rFonts w:hint="cs"/>
          <w:sz w:val="27"/>
          <w:rtl/>
        </w:rPr>
        <w:t>َ</w:t>
      </w:r>
      <w:r w:rsidRPr="006571AC">
        <w:rPr>
          <w:rFonts w:hint="cs"/>
          <w:sz w:val="27"/>
          <w:rtl/>
        </w:rPr>
        <w:t>را</w:t>
      </w:r>
      <w:r w:rsidR="004577DA" w:rsidRPr="006571AC">
        <w:rPr>
          <w:rFonts w:hint="cs"/>
          <w:sz w:val="27"/>
          <w:rtl/>
        </w:rPr>
        <w:t>ً</w:t>
      </w:r>
      <w:r w:rsidRPr="006571AC">
        <w:rPr>
          <w:sz w:val="27"/>
          <w:rtl/>
        </w:rPr>
        <w:t xml:space="preserve"> </w:t>
      </w:r>
      <w:r w:rsidRPr="006571AC">
        <w:rPr>
          <w:rFonts w:hint="cs"/>
          <w:sz w:val="27"/>
          <w:rtl/>
        </w:rPr>
        <w:t>معنويا</w:t>
      </w:r>
      <w:r w:rsidR="004577DA" w:rsidRPr="006571AC">
        <w:rPr>
          <w:rFonts w:hint="cs"/>
          <w:sz w:val="27"/>
          <w:rtl/>
        </w:rPr>
        <w:t>ً</w:t>
      </w:r>
      <w:r w:rsidRPr="006571AC">
        <w:rPr>
          <w:rFonts w:hint="cs"/>
          <w:sz w:val="27"/>
          <w:rtl/>
        </w:rPr>
        <w:t xml:space="preserve"> للأزواج بصورة</w:t>
      </w:r>
      <w:r w:rsidR="004577DA" w:rsidRPr="006571AC">
        <w:rPr>
          <w:rFonts w:hint="cs"/>
          <w:sz w:val="27"/>
          <w:rtl/>
        </w:rPr>
        <w:t>ٍ</w:t>
      </w:r>
      <w:r w:rsidRPr="006571AC">
        <w:rPr>
          <w:rFonts w:hint="cs"/>
          <w:sz w:val="27"/>
          <w:rtl/>
        </w:rPr>
        <w:t xml:space="preserve"> خاص</w:t>
      </w:r>
      <w:r w:rsidR="004577DA" w:rsidRPr="006571AC">
        <w:rPr>
          <w:rFonts w:hint="cs"/>
          <w:sz w:val="27"/>
          <w:rtl/>
        </w:rPr>
        <w:t>ّ</w:t>
      </w:r>
      <w:r w:rsidRPr="006571AC">
        <w:rPr>
          <w:rFonts w:hint="cs"/>
          <w:sz w:val="27"/>
          <w:rtl/>
        </w:rPr>
        <w:t>ة</w:t>
      </w:r>
      <w:r w:rsidR="004577DA" w:rsidRPr="006571AC">
        <w:rPr>
          <w:rFonts w:hint="cs"/>
          <w:sz w:val="27"/>
          <w:rtl/>
        </w:rPr>
        <w:t>،</w:t>
      </w:r>
      <w:r w:rsidRPr="006571AC">
        <w:rPr>
          <w:rFonts w:hint="cs"/>
          <w:sz w:val="27"/>
          <w:rtl/>
        </w:rPr>
        <w:t xml:space="preserve"> وللأ</w:t>
      </w:r>
      <w:r w:rsidR="004577DA" w:rsidRPr="006571AC">
        <w:rPr>
          <w:rFonts w:hint="cs"/>
          <w:sz w:val="27"/>
          <w:rtl/>
        </w:rPr>
        <w:t>ُ</w:t>
      </w:r>
      <w:r w:rsidRPr="006571AC">
        <w:rPr>
          <w:rFonts w:hint="cs"/>
          <w:sz w:val="27"/>
          <w:rtl/>
        </w:rPr>
        <w:t>س</w:t>
      </w:r>
      <w:r w:rsidR="004577DA" w:rsidRPr="006571AC">
        <w:rPr>
          <w:rFonts w:hint="cs"/>
          <w:sz w:val="27"/>
          <w:rtl/>
        </w:rPr>
        <w:t>َ</w:t>
      </w:r>
      <w:r w:rsidRPr="006571AC">
        <w:rPr>
          <w:rFonts w:hint="cs"/>
          <w:sz w:val="27"/>
          <w:rtl/>
        </w:rPr>
        <w:t>ر بصورة</w:t>
      </w:r>
      <w:r w:rsidR="004577DA" w:rsidRPr="006571AC">
        <w:rPr>
          <w:rFonts w:hint="cs"/>
          <w:sz w:val="27"/>
          <w:rtl/>
        </w:rPr>
        <w:t>ٍ</w:t>
      </w:r>
      <w:r w:rsidRPr="006571AC">
        <w:rPr>
          <w:rFonts w:hint="cs"/>
          <w:sz w:val="27"/>
          <w:rtl/>
        </w:rPr>
        <w:t xml:space="preserve"> عام</w:t>
      </w:r>
      <w:r w:rsidR="004577DA" w:rsidRPr="006571AC">
        <w:rPr>
          <w:rFonts w:hint="cs"/>
          <w:sz w:val="27"/>
          <w:rtl/>
        </w:rPr>
        <w:t>ّ</w:t>
      </w:r>
      <w:r w:rsidRPr="006571AC">
        <w:rPr>
          <w:rFonts w:hint="cs"/>
          <w:sz w:val="27"/>
          <w:rtl/>
        </w:rPr>
        <w:t>ة</w:t>
      </w:r>
      <w:r w:rsidR="004577DA" w:rsidRPr="006571AC">
        <w:rPr>
          <w:rFonts w:hint="cs"/>
          <w:sz w:val="27"/>
          <w:rtl/>
        </w:rPr>
        <w:t>.</w:t>
      </w:r>
      <w:r w:rsidRPr="006571AC">
        <w:rPr>
          <w:rFonts w:hint="cs"/>
          <w:sz w:val="27"/>
          <w:rtl/>
        </w:rPr>
        <w:t xml:space="preserve"> وهذه الأضرار تكمن في</w:t>
      </w:r>
      <w:r w:rsidR="004577DA" w:rsidRPr="006571AC">
        <w:rPr>
          <w:rFonts w:hint="cs"/>
          <w:sz w:val="27"/>
          <w:rtl/>
        </w:rPr>
        <w:t xml:space="preserve"> </w:t>
      </w:r>
      <w:r w:rsidRPr="006571AC">
        <w:rPr>
          <w:rFonts w:hint="cs"/>
          <w:sz w:val="27"/>
          <w:rtl/>
        </w:rPr>
        <w:t xml:space="preserve">ما يلي: </w:t>
      </w:r>
    </w:p>
    <w:p w:rsidR="00237EB1" w:rsidRPr="006571AC" w:rsidRDefault="00237EB1" w:rsidP="00C3538C">
      <w:pPr>
        <w:spacing w:line="420" w:lineRule="exact"/>
        <w:rPr>
          <w:sz w:val="27"/>
          <w:rtl/>
        </w:rPr>
      </w:pPr>
      <w:r w:rsidRPr="006571AC">
        <w:rPr>
          <w:rFonts w:hint="cs"/>
          <w:sz w:val="27"/>
          <w:rtl/>
        </w:rPr>
        <w:t xml:space="preserve"> </w:t>
      </w:r>
      <w:r w:rsidR="004577DA" w:rsidRPr="006571AC">
        <w:rPr>
          <w:rFonts w:hint="cs"/>
          <w:b/>
          <w:bCs/>
          <w:sz w:val="27"/>
          <w:rtl/>
        </w:rPr>
        <w:t xml:space="preserve">ـ </w:t>
      </w:r>
      <w:r w:rsidRPr="006571AC">
        <w:rPr>
          <w:rFonts w:hint="cs"/>
          <w:b/>
          <w:bCs/>
          <w:sz w:val="27"/>
          <w:rtl/>
        </w:rPr>
        <w:t>على مستوى الخسارة المالية</w:t>
      </w:r>
      <w:r w:rsidRPr="006571AC">
        <w:rPr>
          <w:rFonts w:hint="cs"/>
          <w:sz w:val="27"/>
          <w:rtl/>
        </w:rPr>
        <w:t xml:space="preserve">: </w:t>
      </w:r>
      <w:r w:rsidR="004577DA" w:rsidRPr="006571AC">
        <w:rPr>
          <w:rFonts w:hint="cs"/>
          <w:sz w:val="27"/>
          <w:rtl/>
        </w:rPr>
        <w:t>إن</w:t>
      </w:r>
      <w:r w:rsidRPr="006571AC">
        <w:rPr>
          <w:rFonts w:hint="cs"/>
          <w:sz w:val="27"/>
          <w:rtl/>
        </w:rPr>
        <w:t xml:space="preserve"> إلزام الرجال متوس</w:t>
      </w:r>
      <w:r w:rsidR="004577DA" w:rsidRPr="006571AC">
        <w:rPr>
          <w:rFonts w:hint="cs"/>
          <w:sz w:val="27"/>
          <w:rtl/>
        </w:rPr>
        <w:t>ِّ</w:t>
      </w:r>
      <w:r w:rsidRPr="006571AC">
        <w:rPr>
          <w:rFonts w:hint="cs"/>
          <w:sz w:val="27"/>
          <w:rtl/>
        </w:rPr>
        <w:t>طي الحال والفقراء المقبلين على</w:t>
      </w:r>
      <w:r w:rsidR="00DA32FC" w:rsidRPr="006571AC">
        <w:rPr>
          <w:rFonts w:hint="cs"/>
          <w:sz w:val="27"/>
          <w:rtl/>
        </w:rPr>
        <w:t xml:space="preserve"> الزواج</w:t>
      </w:r>
      <w:r w:rsidRPr="006571AC">
        <w:rPr>
          <w:rFonts w:hint="cs"/>
          <w:sz w:val="27"/>
          <w:rtl/>
        </w:rPr>
        <w:t xml:space="preserve"> </w:t>
      </w:r>
      <w:r w:rsidR="00DA32FC" w:rsidRPr="006571AC">
        <w:rPr>
          <w:rFonts w:hint="cs"/>
          <w:sz w:val="27"/>
          <w:rtl/>
        </w:rPr>
        <w:t>ب</w:t>
      </w:r>
      <w:r w:rsidRPr="006571AC">
        <w:rPr>
          <w:rFonts w:hint="cs"/>
          <w:sz w:val="27"/>
          <w:rtl/>
        </w:rPr>
        <w:t>أن يتعه</w:t>
      </w:r>
      <w:r w:rsidR="004577DA" w:rsidRPr="006571AC">
        <w:rPr>
          <w:rFonts w:hint="cs"/>
          <w:sz w:val="27"/>
          <w:rtl/>
        </w:rPr>
        <w:t>َّ</w:t>
      </w:r>
      <w:r w:rsidRPr="006571AC">
        <w:rPr>
          <w:rFonts w:hint="cs"/>
          <w:sz w:val="27"/>
          <w:rtl/>
        </w:rPr>
        <w:t>دوا بدفع مهر</w:t>
      </w:r>
      <w:r w:rsidR="004577DA" w:rsidRPr="006571AC">
        <w:rPr>
          <w:rFonts w:hint="cs"/>
          <w:sz w:val="27"/>
          <w:rtl/>
        </w:rPr>
        <w:t>ٍ</w:t>
      </w:r>
      <w:r w:rsidRPr="006571AC">
        <w:rPr>
          <w:rFonts w:hint="cs"/>
          <w:sz w:val="27"/>
          <w:rtl/>
        </w:rPr>
        <w:t xml:space="preserve"> خيالي</w:t>
      </w:r>
      <w:r w:rsidR="004577DA" w:rsidRPr="006571AC">
        <w:rPr>
          <w:rFonts w:hint="cs"/>
          <w:sz w:val="27"/>
          <w:rtl/>
        </w:rPr>
        <w:t>ّ</w:t>
      </w:r>
      <w:r w:rsidRPr="006571AC">
        <w:rPr>
          <w:rFonts w:hint="cs"/>
          <w:sz w:val="27"/>
          <w:rtl/>
        </w:rPr>
        <w:t xml:space="preserve"> وتعجيزي</w:t>
      </w:r>
      <w:r w:rsidR="004577DA" w:rsidRPr="006571AC">
        <w:rPr>
          <w:rFonts w:hint="cs"/>
          <w:sz w:val="27"/>
          <w:rtl/>
        </w:rPr>
        <w:t>ّ</w:t>
      </w:r>
      <w:r w:rsidRPr="006571AC">
        <w:rPr>
          <w:rFonts w:hint="cs"/>
          <w:sz w:val="27"/>
          <w:rtl/>
        </w:rPr>
        <w:t xml:space="preserve"> ـ هو من شأن الأثرياء فقط ـ يسب</w:t>
      </w:r>
      <w:r w:rsidR="004577DA" w:rsidRPr="006571AC">
        <w:rPr>
          <w:rFonts w:hint="cs"/>
          <w:sz w:val="27"/>
          <w:rtl/>
        </w:rPr>
        <w:t>ِّ</w:t>
      </w:r>
      <w:r w:rsidRPr="006571AC">
        <w:rPr>
          <w:rFonts w:hint="cs"/>
          <w:sz w:val="27"/>
          <w:rtl/>
        </w:rPr>
        <w:t>ب للزوج خسارة</w:t>
      </w:r>
      <w:r w:rsidR="004577DA" w:rsidRPr="006571AC">
        <w:rPr>
          <w:rFonts w:hint="cs"/>
          <w:sz w:val="27"/>
          <w:rtl/>
        </w:rPr>
        <w:t>ً</w:t>
      </w:r>
      <w:r w:rsidRPr="006571AC">
        <w:rPr>
          <w:rFonts w:hint="cs"/>
          <w:sz w:val="27"/>
          <w:rtl/>
        </w:rPr>
        <w:t xml:space="preserve"> مالي</w:t>
      </w:r>
      <w:r w:rsidR="004577DA" w:rsidRPr="006571AC">
        <w:rPr>
          <w:rFonts w:hint="cs"/>
          <w:sz w:val="27"/>
          <w:rtl/>
        </w:rPr>
        <w:t>ّ</w:t>
      </w:r>
      <w:r w:rsidRPr="006571AC">
        <w:rPr>
          <w:rFonts w:hint="cs"/>
          <w:sz w:val="27"/>
          <w:rtl/>
        </w:rPr>
        <w:t>ة</w:t>
      </w:r>
      <w:r w:rsidR="004577DA" w:rsidRPr="006571AC">
        <w:rPr>
          <w:rFonts w:hint="cs"/>
          <w:sz w:val="27"/>
          <w:rtl/>
        </w:rPr>
        <w:t>ً</w:t>
      </w:r>
      <w:r w:rsidRPr="006571AC">
        <w:rPr>
          <w:rFonts w:hint="cs"/>
          <w:sz w:val="27"/>
          <w:rtl/>
        </w:rPr>
        <w:t xml:space="preserve"> جسيمة</w:t>
      </w:r>
      <w:r w:rsidR="004577DA" w:rsidRPr="006571AC">
        <w:rPr>
          <w:rFonts w:hint="cs"/>
          <w:sz w:val="27"/>
          <w:rtl/>
        </w:rPr>
        <w:t>ً</w:t>
      </w:r>
      <w:r w:rsidRPr="006571AC">
        <w:rPr>
          <w:rFonts w:hint="cs"/>
          <w:sz w:val="27"/>
          <w:rtl/>
        </w:rPr>
        <w:t xml:space="preserve">. </w:t>
      </w:r>
    </w:p>
    <w:p w:rsidR="00237EB1" w:rsidRPr="006571AC" w:rsidRDefault="00237EB1" w:rsidP="00C3538C">
      <w:pPr>
        <w:spacing w:line="420" w:lineRule="exact"/>
        <w:rPr>
          <w:sz w:val="27"/>
          <w:rtl/>
        </w:rPr>
      </w:pPr>
      <w:r w:rsidRPr="006571AC">
        <w:rPr>
          <w:rFonts w:hint="cs"/>
          <w:sz w:val="27"/>
          <w:rtl/>
        </w:rPr>
        <w:t xml:space="preserve"> </w:t>
      </w:r>
      <w:r w:rsidR="004577DA" w:rsidRPr="006571AC">
        <w:rPr>
          <w:rFonts w:hint="cs"/>
          <w:b/>
          <w:bCs/>
          <w:sz w:val="27"/>
          <w:rtl/>
        </w:rPr>
        <w:t xml:space="preserve">ـ </w:t>
      </w:r>
      <w:r w:rsidRPr="006571AC">
        <w:rPr>
          <w:rFonts w:hint="cs"/>
          <w:b/>
          <w:bCs/>
          <w:sz w:val="27"/>
          <w:rtl/>
        </w:rPr>
        <w:t>على مستوى الض</w:t>
      </w:r>
      <w:r w:rsidR="004577DA" w:rsidRPr="006571AC">
        <w:rPr>
          <w:rFonts w:hint="cs"/>
          <w:b/>
          <w:bCs/>
          <w:sz w:val="27"/>
          <w:rtl/>
        </w:rPr>
        <w:t>َّ</w:t>
      </w:r>
      <w:r w:rsidRPr="006571AC">
        <w:rPr>
          <w:rFonts w:hint="cs"/>
          <w:b/>
          <w:bCs/>
          <w:sz w:val="27"/>
          <w:rtl/>
        </w:rPr>
        <w:t>ر</w:t>
      </w:r>
      <w:r w:rsidR="004577DA" w:rsidRPr="006571AC">
        <w:rPr>
          <w:rFonts w:hint="cs"/>
          <w:b/>
          <w:bCs/>
          <w:sz w:val="27"/>
          <w:rtl/>
        </w:rPr>
        <w:t>َ</w:t>
      </w:r>
      <w:r w:rsidRPr="006571AC">
        <w:rPr>
          <w:rFonts w:hint="cs"/>
          <w:b/>
          <w:bCs/>
          <w:sz w:val="27"/>
          <w:rtl/>
        </w:rPr>
        <w:t>ر الج</w:t>
      </w:r>
      <w:r w:rsidR="004577DA" w:rsidRPr="006571AC">
        <w:rPr>
          <w:rFonts w:hint="cs"/>
          <w:b/>
          <w:bCs/>
          <w:sz w:val="27"/>
          <w:rtl/>
        </w:rPr>
        <w:t>َ</w:t>
      </w:r>
      <w:r w:rsidRPr="006571AC">
        <w:rPr>
          <w:rFonts w:hint="cs"/>
          <w:b/>
          <w:bCs/>
          <w:sz w:val="27"/>
          <w:rtl/>
        </w:rPr>
        <w:t>س</w:t>
      </w:r>
      <w:r w:rsidR="004577DA" w:rsidRPr="006571AC">
        <w:rPr>
          <w:rFonts w:hint="cs"/>
          <w:b/>
          <w:bCs/>
          <w:sz w:val="27"/>
          <w:rtl/>
        </w:rPr>
        <w:t>َ</w:t>
      </w:r>
      <w:r w:rsidRPr="006571AC">
        <w:rPr>
          <w:rFonts w:hint="cs"/>
          <w:b/>
          <w:bCs/>
          <w:sz w:val="27"/>
          <w:rtl/>
        </w:rPr>
        <w:t>دي</w:t>
      </w:r>
      <w:r w:rsidRPr="006571AC">
        <w:rPr>
          <w:rFonts w:hint="cs"/>
          <w:sz w:val="27"/>
          <w:rtl/>
        </w:rPr>
        <w:t xml:space="preserve">: يضطر الزوج أن يقضي </w:t>
      </w:r>
      <w:r w:rsidR="004577DA" w:rsidRPr="006571AC">
        <w:rPr>
          <w:rFonts w:hint="cs"/>
          <w:sz w:val="27"/>
          <w:rtl/>
        </w:rPr>
        <w:t>كلّ</w:t>
      </w:r>
      <w:r w:rsidRPr="006571AC">
        <w:rPr>
          <w:rFonts w:hint="cs"/>
          <w:sz w:val="27"/>
          <w:rtl/>
        </w:rPr>
        <w:t xml:space="preserve"> عمره وهو يعمل ليلا</w:t>
      </w:r>
      <w:r w:rsidR="004577DA" w:rsidRPr="006571AC">
        <w:rPr>
          <w:rFonts w:hint="cs"/>
          <w:sz w:val="27"/>
          <w:rtl/>
        </w:rPr>
        <w:t>ً</w:t>
      </w:r>
      <w:r w:rsidRPr="006571AC">
        <w:rPr>
          <w:rFonts w:hint="cs"/>
          <w:sz w:val="27"/>
          <w:rtl/>
        </w:rPr>
        <w:t xml:space="preserve"> </w:t>
      </w:r>
      <w:r w:rsidR="004577DA" w:rsidRPr="006571AC">
        <w:rPr>
          <w:rFonts w:hint="cs"/>
          <w:sz w:val="27"/>
          <w:rtl/>
        </w:rPr>
        <w:t>و</w:t>
      </w:r>
      <w:r w:rsidRPr="006571AC">
        <w:rPr>
          <w:rFonts w:hint="cs"/>
          <w:sz w:val="27"/>
          <w:rtl/>
        </w:rPr>
        <w:t>نهارا</w:t>
      </w:r>
      <w:r w:rsidR="004577DA" w:rsidRPr="006571AC">
        <w:rPr>
          <w:rFonts w:hint="cs"/>
          <w:sz w:val="27"/>
          <w:rtl/>
        </w:rPr>
        <w:t>ً</w:t>
      </w:r>
      <w:r w:rsidRPr="006571AC">
        <w:rPr>
          <w:rFonts w:hint="cs"/>
          <w:sz w:val="27"/>
          <w:rtl/>
        </w:rPr>
        <w:t xml:space="preserve"> من أجل تأمين مهر زوجته</w:t>
      </w:r>
      <w:r w:rsidR="004577DA" w:rsidRPr="006571AC">
        <w:rPr>
          <w:rFonts w:hint="cs"/>
          <w:sz w:val="27"/>
          <w:rtl/>
        </w:rPr>
        <w:t>؛</w:t>
      </w:r>
      <w:r w:rsidRPr="006571AC">
        <w:rPr>
          <w:rFonts w:hint="cs"/>
          <w:sz w:val="27"/>
          <w:rtl/>
        </w:rPr>
        <w:t xml:space="preserve"> كي </w:t>
      </w:r>
      <w:r w:rsidR="004577DA" w:rsidRPr="006571AC">
        <w:rPr>
          <w:rFonts w:hint="cs"/>
          <w:sz w:val="27"/>
          <w:rtl/>
        </w:rPr>
        <w:t>تبرأ</w:t>
      </w:r>
      <w:r w:rsidRPr="006571AC">
        <w:rPr>
          <w:rFonts w:hint="cs"/>
          <w:sz w:val="27"/>
          <w:rtl/>
        </w:rPr>
        <w:t xml:space="preserve"> ذم</w:t>
      </w:r>
      <w:r w:rsidR="004577DA" w:rsidRPr="006571AC">
        <w:rPr>
          <w:rFonts w:hint="cs"/>
          <w:sz w:val="27"/>
          <w:rtl/>
        </w:rPr>
        <w:t>ّ</w:t>
      </w:r>
      <w:r w:rsidRPr="006571AC">
        <w:rPr>
          <w:rFonts w:hint="cs"/>
          <w:sz w:val="27"/>
          <w:rtl/>
        </w:rPr>
        <w:t>ته</w:t>
      </w:r>
      <w:r w:rsidR="004577DA" w:rsidRPr="006571AC">
        <w:rPr>
          <w:rFonts w:hint="cs"/>
          <w:sz w:val="27"/>
          <w:rtl/>
        </w:rPr>
        <w:t>.</w:t>
      </w:r>
    </w:p>
    <w:p w:rsidR="00237EB1" w:rsidRPr="006571AC" w:rsidRDefault="00237EB1" w:rsidP="00C3538C">
      <w:pPr>
        <w:spacing w:line="420" w:lineRule="exact"/>
        <w:rPr>
          <w:sz w:val="27"/>
          <w:rtl/>
        </w:rPr>
      </w:pPr>
      <w:r w:rsidRPr="006571AC">
        <w:rPr>
          <w:rFonts w:hint="cs"/>
          <w:sz w:val="27"/>
          <w:rtl/>
        </w:rPr>
        <w:t xml:space="preserve"> </w:t>
      </w:r>
      <w:r w:rsidR="004577DA" w:rsidRPr="006571AC">
        <w:rPr>
          <w:rFonts w:hint="cs"/>
          <w:b/>
          <w:bCs/>
          <w:sz w:val="27"/>
          <w:rtl/>
        </w:rPr>
        <w:t xml:space="preserve">ـ </w:t>
      </w:r>
      <w:r w:rsidRPr="006571AC">
        <w:rPr>
          <w:rFonts w:hint="cs"/>
          <w:b/>
          <w:bCs/>
          <w:sz w:val="27"/>
          <w:rtl/>
        </w:rPr>
        <w:t>على مستوى الض</w:t>
      </w:r>
      <w:r w:rsidR="004577DA" w:rsidRPr="006571AC">
        <w:rPr>
          <w:rFonts w:hint="cs"/>
          <w:b/>
          <w:bCs/>
          <w:sz w:val="27"/>
          <w:rtl/>
        </w:rPr>
        <w:t>َّ</w:t>
      </w:r>
      <w:r w:rsidRPr="006571AC">
        <w:rPr>
          <w:rFonts w:hint="cs"/>
          <w:b/>
          <w:bCs/>
          <w:sz w:val="27"/>
          <w:rtl/>
        </w:rPr>
        <w:t>ر</w:t>
      </w:r>
      <w:r w:rsidR="004577DA" w:rsidRPr="006571AC">
        <w:rPr>
          <w:rFonts w:hint="cs"/>
          <w:b/>
          <w:bCs/>
          <w:sz w:val="27"/>
          <w:rtl/>
        </w:rPr>
        <w:t>َ</w:t>
      </w:r>
      <w:r w:rsidRPr="006571AC">
        <w:rPr>
          <w:rFonts w:hint="cs"/>
          <w:b/>
          <w:bCs/>
          <w:sz w:val="27"/>
          <w:rtl/>
        </w:rPr>
        <w:t>ر النفسي</w:t>
      </w:r>
      <w:r w:rsidRPr="006571AC">
        <w:rPr>
          <w:rFonts w:hint="cs"/>
          <w:sz w:val="27"/>
          <w:rtl/>
        </w:rPr>
        <w:t xml:space="preserve">: </w:t>
      </w:r>
      <w:r w:rsidR="00247941" w:rsidRPr="006571AC">
        <w:rPr>
          <w:rFonts w:hint="cs"/>
          <w:sz w:val="27"/>
          <w:rtl/>
        </w:rPr>
        <w:t>من خلال</w:t>
      </w:r>
      <w:r w:rsidRPr="006571AC">
        <w:rPr>
          <w:rFonts w:hint="cs"/>
          <w:sz w:val="27"/>
          <w:rtl/>
        </w:rPr>
        <w:t xml:space="preserve"> </w:t>
      </w:r>
      <w:r w:rsidR="00247941" w:rsidRPr="006571AC">
        <w:rPr>
          <w:rFonts w:hint="cs"/>
          <w:sz w:val="27"/>
          <w:rtl/>
        </w:rPr>
        <w:t>منع</w:t>
      </w:r>
      <w:r w:rsidRPr="006571AC">
        <w:rPr>
          <w:rFonts w:hint="cs"/>
          <w:sz w:val="27"/>
          <w:rtl/>
        </w:rPr>
        <w:t xml:space="preserve"> </w:t>
      </w:r>
      <w:r w:rsidR="00247941" w:rsidRPr="006571AC">
        <w:rPr>
          <w:rFonts w:hint="cs"/>
          <w:sz w:val="27"/>
          <w:rtl/>
        </w:rPr>
        <w:t>ال</w:t>
      </w:r>
      <w:r w:rsidRPr="006571AC">
        <w:rPr>
          <w:rFonts w:hint="cs"/>
          <w:sz w:val="27"/>
          <w:rtl/>
        </w:rPr>
        <w:t>استقرار و</w:t>
      </w:r>
      <w:r w:rsidR="00247941" w:rsidRPr="006571AC">
        <w:rPr>
          <w:rFonts w:hint="cs"/>
          <w:sz w:val="27"/>
          <w:rtl/>
        </w:rPr>
        <w:t>ال</w:t>
      </w:r>
      <w:r w:rsidRPr="006571AC">
        <w:rPr>
          <w:rFonts w:hint="cs"/>
          <w:sz w:val="27"/>
          <w:rtl/>
        </w:rPr>
        <w:t>توازن</w:t>
      </w:r>
      <w:r w:rsidR="00247941" w:rsidRPr="006571AC">
        <w:rPr>
          <w:rFonts w:hint="cs"/>
          <w:sz w:val="27"/>
          <w:rtl/>
        </w:rPr>
        <w:t>؛</w:t>
      </w:r>
      <w:r w:rsidRPr="006571AC">
        <w:rPr>
          <w:rFonts w:hint="cs"/>
          <w:sz w:val="27"/>
          <w:rtl/>
        </w:rPr>
        <w:t xml:space="preserve"> بسبب القلق </w:t>
      </w:r>
      <w:r w:rsidR="00247941" w:rsidRPr="006571AC">
        <w:rPr>
          <w:rFonts w:hint="cs"/>
          <w:sz w:val="27"/>
          <w:rtl/>
        </w:rPr>
        <w:t>الشديد، والخوف من دخول السجن؛</w:t>
      </w:r>
      <w:r w:rsidRPr="006571AC">
        <w:rPr>
          <w:rFonts w:hint="cs"/>
          <w:sz w:val="27"/>
          <w:rtl/>
        </w:rPr>
        <w:t xml:space="preserve"> جر</w:t>
      </w:r>
      <w:r w:rsidR="00247941" w:rsidRPr="006571AC">
        <w:rPr>
          <w:rFonts w:hint="cs"/>
          <w:sz w:val="27"/>
          <w:rtl/>
        </w:rPr>
        <w:t>ّ</w:t>
      </w:r>
      <w:r w:rsidRPr="006571AC">
        <w:rPr>
          <w:rFonts w:hint="cs"/>
          <w:sz w:val="27"/>
          <w:rtl/>
        </w:rPr>
        <w:t xml:space="preserve">اء المطالبة بالمهر، والهاجس من </w:t>
      </w:r>
      <w:r w:rsidR="00247941" w:rsidRPr="006571AC">
        <w:rPr>
          <w:rFonts w:hint="cs"/>
          <w:sz w:val="27"/>
          <w:rtl/>
        </w:rPr>
        <w:t>المساس</w:t>
      </w:r>
      <w:r w:rsidRPr="006571AC">
        <w:rPr>
          <w:sz w:val="27"/>
          <w:rtl/>
        </w:rPr>
        <w:t xml:space="preserve"> </w:t>
      </w:r>
      <w:r w:rsidR="00247941" w:rsidRPr="006571AC">
        <w:rPr>
          <w:rFonts w:hint="cs"/>
          <w:sz w:val="27"/>
          <w:rtl/>
        </w:rPr>
        <w:t>ب</w:t>
      </w:r>
      <w:r w:rsidRPr="006571AC">
        <w:rPr>
          <w:rFonts w:hint="cs"/>
          <w:sz w:val="27"/>
          <w:rtl/>
        </w:rPr>
        <w:t>شرف</w:t>
      </w:r>
      <w:r w:rsidRPr="006571AC">
        <w:rPr>
          <w:sz w:val="27"/>
          <w:rtl/>
        </w:rPr>
        <w:t xml:space="preserve"> </w:t>
      </w:r>
      <w:r w:rsidR="00247941" w:rsidRPr="006571AC">
        <w:rPr>
          <w:rFonts w:hint="cs"/>
          <w:sz w:val="27"/>
          <w:rtl/>
        </w:rPr>
        <w:t>و</w:t>
      </w:r>
      <w:r w:rsidRPr="006571AC">
        <w:rPr>
          <w:rFonts w:hint="cs"/>
          <w:sz w:val="27"/>
          <w:rtl/>
        </w:rPr>
        <w:t>كرامة</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سمعة</w:t>
      </w:r>
      <w:r w:rsidRPr="006571AC">
        <w:rPr>
          <w:sz w:val="27"/>
          <w:rtl/>
        </w:rPr>
        <w:t xml:space="preserve"> </w:t>
      </w:r>
      <w:r w:rsidRPr="006571AC">
        <w:rPr>
          <w:rFonts w:hint="cs"/>
          <w:sz w:val="27"/>
          <w:rtl/>
        </w:rPr>
        <w:t xml:space="preserve">الزوج. </w:t>
      </w:r>
    </w:p>
    <w:p w:rsidR="00237EB1" w:rsidRPr="006571AC" w:rsidRDefault="00237EB1" w:rsidP="00C3538C">
      <w:pPr>
        <w:spacing w:line="420" w:lineRule="exact"/>
        <w:rPr>
          <w:sz w:val="27"/>
          <w:rtl/>
        </w:rPr>
      </w:pPr>
      <w:r w:rsidRPr="006571AC">
        <w:rPr>
          <w:rFonts w:hint="cs"/>
          <w:sz w:val="27"/>
          <w:rtl/>
        </w:rPr>
        <w:t>وبالنظر إلى العرض المتقد</w:t>
      </w:r>
      <w:r w:rsidR="00247941" w:rsidRPr="006571AC">
        <w:rPr>
          <w:rFonts w:hint="cs"/>
          <w:sz w:val="27"/>
          <w:rtl/>
        </w:rPr>
        <w:t>ِّ</w:t>
      </w:r>
      <w:r w:rsidRPr="006571AC">
        <w:rPr>
          <w:rFonts w:hint="cs"/>
          <w:sz w:val="27"/>
          <w:rtl/>
        </w:rPr>
        <w:t>م للض</w:t>
      </w:r>
      <w:r w:rsidR="00247941" w:rsidRPr="006571AC">
        <w:rPr>
          <w:rFonts w:hint="cs"/>
          <w:sz w:val="27"/>
          <w:rtl/>
        </w:rPr>
        <w:t>َّ</w:t>
      </w:r>
      <w:r w:rsidRPr="006571AC">
        <w:rPr>
          <w:rFonts w:hint="cs"/>
          <w:sz w:val="27"/>
          <w:rtl/>
        </w:rPr>
        <w:t>ر</w:t>
      </w:r>
      <w:r w:rsidR="00247941" w:rsidRPr="006571AC">
        <w:rPr>
          <w:rFonts w:hint="cs"/>
          <w:sz w:val="27"/>
          <w:rtl/>
        </w:rPr>
        <w:t>َ</w:t>
      </w:r>
      <w:r w:rsidRPr="006571AC">
        <w:rPr>
          <w:rFonts w:hint="cs"/>
          <w:sz w:val="27"/>
          <w:rtl/>
        </w:rPr>
        <w:t>ر</w:t>
      </w:r>
      <w:r w:rsidR="00247941" w:rsidRPr="006571AC">
        <w:rPr>
          <w:rFonts w:hint="cs"/>
          <w:sz w:val="27"/>
          <w:rtl/>
        </w:rPr>
        <w:t>،</w:t>
      </w:r>
      <w:r w:rsidRPr="006571AC">
        <w:rPr>
          <w:rFonts w:hint="cs"/>
          <w:sz w:val="27"/>
          <w:rtl/>
        </w:rPr>
        <w:t xml:space="preserve"> المتعد</w:t>
      </w:r>
      <w:r w:rsidR="00247941" w:rsidRPr="006571AC">
        <w:rPr>
          <w:rFonts w:hint="cs"/>
          <w:sz w:val="27"/>
          <w:rtl/>
        </w:rPr>
        <w:t>ِّ</w:t>
      </w:r>
      <w:r w:rsidRPr="006571AC">
        <w:rPr>
          <w:rFonts w:hint="cs"/>
          <w:sz w:val="27"/>
          <w:rtl/>
        </w:rPr>
        <w:t xml:space="preserve">د </w:t>
      </w:r>
      <w:r w:rsidR="00247941" w:rsidRPr="006571AC">
        <w:rPr>
          <w:rFonts w:hint="cs"/>
          <w:sz w:val="27"/>
          <w:rtl/>
        </w:rPr>
        <w:t>و</w:t>
      </w:r>
      <w:r w:rsidRPr="006571AC">
        <w:rPr>
          <w:rFonts w:hint="cs"/>
          <w:sz w:val="27"/>
          <w:rtl/>
        </w:rPr>
        <w:t>محق</w:t>
      </w:r>
      <w:r w:rsidR="00247941" w:rsidRPr="006571AC">
        <w:rPr>
          <w:rFonts w:hint="cs"/>
          <w:sz w:val="27"/>
          <w:rtl/>
        </w:rPr>
        <w:t>َّ</w:t>
      </w:r>
      <w:r w:rsidRPr="006571AC">
        <w:rPr>
          <w:rFonts w:hint="cs"/>
          <w:sz w:val="27"/>
          <w:rtl/>
        </w:rPr>
        <w:t>ق الوقوع</w:t>
      </w:r>
      <w:r w:rsidR="00247941" w:rsidRPr="006571AC">
        <w:rPr>
          <w:rFonts w:hint="cs"/>
          <w:sz w:val="27"/>
          <w:rtl/>
        </w:rPr>
        <w:t>،</w:t>
      </w:r>
      <w:r w:rsidRPr="006571AC">
        <w:rPr>
          <w:rFonts w:hint="cs"/>
          <w:sz w:val="27"/>
          <w:rtl/>
        </w:rPr>
        <w:t xml:space="preserve"> الناجم عن إطلاق المهر وعدم تقييده</w:t>
      </w:r>
      <w:r w:rsidR="00247941" w:rsidRPr="006571AC">
        <w:rPr>
          <w:rFonts w:hint="cs"/>
          <w:sz w:val="27"/>
          <w:rtl/>
        </w:rPr>
        <w:t>،</w:t>
      </w:r>
      <w:r w:rsidRPr="006571AC">
        <w:rPr>
          <w:rFonts w:hint="cs"/>
          <w:sz w:val="27"/>
          <w:rtl/>
        </w:rPr>
        <w:t xml:space="preserve"> فهو ض</w:t>
      </w:r>
      <w:r w:rsidR="00DA32FC" w:rsidRPr="006571AC">
        <w:rPr>
          <w:rFonts w:hint="cs"/>
          <w:sz w:val="27"/>
          <w:rtl/>
        </w:rPr>
        <w:t>َ</w:t>
      </w:r>
      <w:r w:rsidRPr="006571AC">
        <w:rPr>
          <w:rFonts w:hint="cs"/>
          <w:sz w:val="27"/>
          <w:rtl/>
        </w:rPr>
        <w:t>ر</w:t>
      </w:r>
      <w:r w:rsidR="00DA32FC" w:rsidRPr="006571AC">
        <w:rPr>
          <w:rFonts w:hint="cs"/>
          <w:sz w:val="27"/>
          <w:rtl/>
        </w:rPr>
        <w:t>َ</w:t>
      </w:r>
      <w:r w:rsidRPr="006571AC">
        <w:rPr>
          <w:rFonts w:hint="cs"/>
          <w:sz w:val="27"/>
          <w:rtl/>
        </w:rPr>
        <w:t>ر</w:t>
      </w:r>
      <w:r w:rsidR="008B58F0" w:rsidRPr="006571AC">
        <w:rPr>
          <w:rFonts w:hint="cs"/>
          <w:sz w:val="27"/>
          <w:rtl/>
        </w:rPr>
        <w:t>ٌ</w:t>
      </w:r>
      <w:r w:rsidRPr="006571AC">
        <w:rPr>
          <w:rFonts w:hint="cs"/>
          <w:sz w:val="27"/>
          <w:rtl/>
        </w:rPr>
        <w:t xml:space="preserve"> معتد</w:t>
      </w:r>
      <w:r w:rsidR="008B58F0" w:rsidRPr="006571AC">
        <w:rPr>
          <w:rFonts w:hint="cs"/>
          <w:sz w:val="27"/>
          <w:rtl/>
        </w:rPr>
        <w:t>ٌّ،</w:t>
      </w:r>
      <w:r w:rsidRPr="006571AC">
        <w:rPr>
          <w:rFonts w:hint="cs"/>
          <w:sz w:val="27"/>
          <w:rtl/>
        </w:rPr>
        <w:t xml:space="preserve"> شرعا</w:t>
      </w:r>
      <w:r w:rsidR="008B58F0" w:rsidRPr="006571AC">
        <w:rPr>
          <w:rFonts w:hint="cs"/>
          <w:sz w:val="27"/>
          <w:rtl/>
        </w:rPr>
        <w:t>ً</w:t>
      </w:r>
      <w:r w:rsidRPr="006571AC">
        <w:rPr>
          <w:rFonts w:hint="cs"/>
          <w:sz w:val="27"/>
          <w:rtl/>
        </w:rPr>
        <w:t xml:space="preserve"> وعقلائياً، </w:t>
      </w:r>
      <w:r w:rsidR="008B58F0" w:rsidRPr="006571AC">
        <w:rPr>
          <w:rFonts w:hint="cs"/>
          <w:sz w:val="27"/>
          <w:rtl/>
        </w:rPr>
        <w:t>و</w:t>
      </w:r>
      <w:r w:rsidRPr="006571AC">
        <w:rPr>
          <w:rFonts w:hint="cs"/>
          <w:sz w:val="27"/>
          <w:rtl/>
        </w:rPr>
        <w:t>إن قاعدة لا ض</w:t>
      </w:r>
      <w:r w:rsidR="008B58F0" w:rsidRPr="006571AC">
        <w:rPr>
          <w:rFonts w:hint="cs"/>
          <w:sz w:val="27"/>
          <w:rtl/>
        </w:rPr>
        <w:t>َ</w:t>
      </w:r>
      <w:r w:rsidRPr="006571AC">
        <w:rPr>
          <w:rFonts w:hint="cs"/>
          <w:sz w:val="27"/>
          <w:rtl/>
        </w:rPr>
        <w:t>ر</w:t>
      </w:r>
      <w:r w:rsidR="008B58F0" w:rsidRPr="006571AC">
        <w:rPr>
          <w:rFonts w:hint="cs"/>
          <w:sz w:val="27"/>
          <w:rtl/>
        </w:rPr>
        <w:t>َ</w:t>
      </w:r>
      <w:r w:rsidRPr="006571AC">
        <w:rPr>
          <w:rFonts w:hint="cs"/>
          <w:sz w:val="27"/>
          <w:rtl/>
        </w:rPr>
        <w:t>ر تنفي إطلاق المهر وعد</w:t>
      </w:r>
      <w:r w:rsidR="008B58F0" w:rsidRPr="006571AC">
        <w:rPr>
          <w:rFonts w:hint="cs"/>
          <w:sz w:val="27"/>
          <w:rtl/>
        </w:rPr>
        <w:t>م</w:t>
      </w:r>
      <w:r w:rsidRPr="006571AC">
        <w:rPr>
          <w:rFonts w:hint="cs"/>
          <w:sz w:val="27"/>
          <w:rtl/>
        </w:rPr>
        <w:t xml:space="preserve"> تحديده بحد</w:t>
      </w:r>
      <w:r w:rsidR="008B58F0" w:rsidRPr="006571AC">
        <w:rPr>
          <w:rFonts w:hint="cs"/>
          <w:sz w:val="27"/>
          <w:rtl/>
        </w:rPr>
        <w:t>ٍّ</w:t>
      </w:r>
      <w:r w:rsidRPr="006571AC">
        <w:rPr>
          <w:rFonts w:hint="cs"/>
          <w:sz w:val="27"/>
          <w:rtl/>
        </w:rPr>
        <w:t xml:space="preserve"> مقبول. </w:t>
      </w:r>
    </w:p>
    <w:p w:rsidR="00237EB1" w:rsidRPr="006571AC" w:rsidRDefault="00237EB1" w:rsidP="0022224E">
      <w:pPr>
        <w:pStyle w:val="31"/>
        <w:rPr>
          <w:color w:val="auto"/>
          <w:rtl/>
        </w:rPr>
      </w:pPr>
      <w:bookmarkStart w:id="289" w:name="_Toc79281944"/>
      <w:bookmarkStart w:id="290" w:name="_Toc114164720"/>
      <w:r w:rsidRPr="006571AC">
        <w:rPr>
          <w:rFonts w:hint="cs"/>
          <w:color w:val="auto"/>
          <w:rtl/>
        </w:rPr>
        <w:lastRenderedPageBreak/>
        <w:t>إطلاق المهر واختلال النظام</w:t>
      </w:r>
      <w:bookmarkEnd w:id="289"/>
      <w:bookmarkEnd w:id="290"/>
      <w:r w:rsidRPr="006571AC">
        <w:rPr>
          <w:rFonts w:hint="cs"/>
          <w:color w:val="auto"/>
          <w:rtl/>
        </w:rPr>
        <w:t xml:space="preserve"> </w:t>
      </w:r>
    </w:p>
    <w:p w:rsidR="00237EB1" w:rsidRPr="006571AC" w:rsidRDefault="00DA32FC" w:rsidP="00C3538C">
      <w:pPr>
        <w:spacing w:line="420" w:lineRule="exact"/>
        <w:rPr>
          <w:sz w:val="27"/>
          <w:rtl/>
        </w:rPr>
      </w:pPr>
      <w:r w:rsidRPr="006571AC">
        <w:rPr>
          <w:rFonts w:hint="cs"/>
          <w:sz w:val="27"/>
          <w:rtl/>
        </w:rPr>
        <w:t>إن إطلاق المهر وعدم تقييده بحدٍّ</w:t>
      </w:r>
      <w:r w:rsidR="00237EB1" w:rsidRPr="006571AC">
        <w:rPr>
          <w:rFonts w:hint="cs"/>
          <w:sz w:val="27"/>
          <w:rtl/>
        </w:rPr>
        <w:t xml:space="preserve"> معيّن كان عاملا</w:t>
      </w:r>
      <w:r w:rsidR="00D00DFF" w:rsidRPr="006571AC">
        <w:rPr>
          <w:rFonts w:hint="cs"/>
          <w:sz w:val="27"/>
          <w:rtl/>
        </w:rPr>
        <w:t>ً</w:t>
      </w:r>
      <w:r w:rsidR="00237EB1" w:rsidRPr="006571AC">
        <w:rPr>
          <w:rFonts w:hint="cs"/>
          <w:sz w:val="27"/>
          <w:rtl/>
        </w:rPr>
        <w:t xml:space="preserve"> في إيجاد اختلال في النظام الاجتماعي والأ</w:t>
      </w:r>
      <w:r w:rsidR="00D00DFF" w:rsidRPr="006571AC">
        <w:rPr>
          <w:rFonts w:hint="cs"/>
          <w:sz w:val="27"/>
          <w:rtl/>
        </w:rPr>
        <w:t>ُ</w:t>
      </w:r>
      <w:r w:rsidR="00237EB1" w:rsidRPr="006571AC">
        <w:rPr>
          <w:rFonts w:hint="cs"/>
          <w:sz w:val="27"/>
          <w:rtl/>
        </w:rPr>
        <w:t>س</w:t>
      </w:r>
      <w:r w:rsidR="00D00DFF" w:rsidRPr="006571AC">
        <w:rPr>
          <w:rFonts w:hint="cs"/>
          <w:sz w:val="27"/>
          <w:rtl/>
        </w:rPr>
        <w:t>َ</w:t>
      </w:r>
      <w:r w:rsidR="00237EB1" w:rsidRPr="006571AC">
        <w:rPr>
          <w:rFonts w:hint="cs"/>
          <w:sz w:val="27"/>
          <w:rtl/>
        </w:rPr>
        <w:t>ري والمالي</w:t>
      </w:r>
      <w:r w:rsidR="00D00DFF" w:rsidRPr="006571AC">
        <w:rPr>
          <w:rFonts w:hint="cs"/>
          <w:sz w:val="27"/>
          <w:rtl/>
        </w:rPr>
        <w:t>.</w:t>
      </w:r>
      <w:r w:rsidR="00237EB1" w:rsidRPr="006571AC">
        <w:rPr>
          <w:rFonts w:hint="cs"/>
          <w:sz w:val="27"/>
          <w:rtl/>
        </w:rPr>
        <w:t xml:space="preserve"> وتوضيح ذلك بما يلي: </w:t>
      </w:r>
    </w:p>
    <w:p w:rsidR="00237EB1" w:rsidRPr="006571AC" w:rsidRDefault="00D00DFF" w:rsidP="00C3538C">
      <w:pPr>
        <w:spacing w:line="420" w:lineRule="exact"/>
        <w:rPr>
          <w:sz w:val="27"/>
          <w:rtl/>
        </w:rPr>
      </w:pPr>
      <w:r w:rsidRPr="006571AC">
        <w:rPr>
          <w:rFonts w:hint="cs"/>
          <w:b/>
          <w:bCs/>
          <w:sz w:val="27"/>
          <w:rtl/>
        </w:rPr>
        <w:t xml:space="preserve">ـ </w:t>
      </w:r>
      <w:r w:rsidR="00237EB1" w:rsidRPr="006571AC">
        <w:rPr>
          <w:rFonts w:hint="cs"/>
          <w:b/>
          <w:bCs/>
          <w:sz w:val="27"/>
          <w:rtl/>
        </w:rPr>
        <w:t>على المستوى الاجتماعي</w:t>
      </w:r>
      <w:r w:rsidR="00237EB1" w:rsidRPr="006571AC">
        <w:rPr>
          <w:rFonts w:hint="cs"/>
          <w:sz w:val="27"/>
          <w:rtl/>
        </w:rPr>
        <w:t>: إن فئة</w:t>
      </w:r>
      <w:r w:rsidR="0083364C" w:rsidRPr="006571AC">
        <w:rPr>
          <w:rFonts w:hint="cs"/>
          <w:sz w:val="27"/>
          <w:rtl/>
        </w:rPr>
        <w:t>ً</w:t>
      </w:r>
      <w:r w:rsidR="00237EB1" w:rsidRPr="006571AC">
        <w:rPr>
          <w:rFonts w:hint="cs"/>
          <w:sz w:val="27"/>
          <w:rtl/>
        </w:rPr>
        <w:t xml:space="preserve"> كبيرة من الشباب أعرض</w:t>
      </w:r>
      <w:r w:rsidR="0083364C" w:rsidRPr="006571AC">
        <w:rPr>
          <w:rFonts w:hint="cs"/>
          <w:sz w:val="27"/>
          <w:rtl/>
        </w:rPr>
        <w:t>َ</w:t>
      </w:r>
      <w:r w:rsidR="00237EB1" w:rsidRPr="006571AC">
        <w:rPr>
          <w:rFonts w:hint="cs"/>
          <w:sz w:val="27"/>
          <w:rtl/>
        </w:rPr>
        <w:t>ت</w:t>
      </w:r>
      <w:r w:rsidR="0083364C" w:rsidRPr="006571AC">
        <w:rPr>
          <w:rFonts w:hint="cs"/>
          <w:sz w:val="27"/>
          <w:rtl/>
        </w:rPr>
        <w:t>ْ</w:t>
      </w:r>
      <w:r w:rsidR="00237EB1" w:rsidRPr="006571AC">
        <w:rPr>
          <w:rFonts w:hint="cs"/>
          <w:sz w:val="27"/>
          <w:rtl/>
        </w:rPr>
        <w:t xml:space="preserve"> عن الزواج بسبب عدم القدرة على تأمين المهر، وتعتبر هذه الظاهرة خطيرة</w:t>
      </w:r>
      <w:r w:rsidR="0083364C" w:rsidRPr="006571AC">
        <w:rPr>
          <w:rFonts w:hint="cs"/>
          <w:sz w:val="27"/>
          <w:rtl/>
        </w:rPr>
        <w:t>ً</w:t>
      </w:r>
      <w:r w:rsidR="00237EB1" w:rsidRPr="006571AC">
        <w:rPr>
          <w:rFonts w:hint="cs"/>
          <w:sz w:val="27"/>
          <w:rtl/>
        </w:rPr>
        <w:t xml:space="preserve"> جد</w:t>
      </w:r>
      <w:r w:rsidR="0083364C" w:rsidRPr="006571AC">
        <w:rPr>
          <w:rFonts w:hint="cs"/>
          <w:sz w:val="27"/>
          <w:rtl/>
        </w:rPr>
        <w:t>ّ</w:t>
      </w:r>
      <w:r w:rsidR="00237EB1" w:rsidRPr="006571AC">
        <w:rPr>
          <w:rFonts w:hint="cs"/>
          <w:sz w:val="27"/>
          <w:rtl/>
        </w:rPr>
        <w:t>ا</w:t>
      </w:r>
      <w:r w:rsidR="0083364C" w:rsidRPr="006571AC">
        <w:rPr>
          <w:rFonts w:hint="cs"/>
          <w:sz w:val="27"/>
          <w:rtl/>
        </w:rPr>
        <w:t>ً،</w:t>
      </w:r>
      <w:r w:rsidR="00237EB1" w:rsidRPr="006571AC">
        <w:rPr>
          <w:rFonts w:hint="cs"/>
          <w:sz w:val="27"/>
          <w:rtl/>
        </w:rPr>
        <w:t xml:space="preserve"> </w:t>
      </w:r>
      <w:r w:rsidR="0083364C" w:rsidRPr="006571AC">
        <w:rPr>
          <w:rFonts w:hint="cs"/>
          <w:sz w:val="27"/>
          <w:rtl/>
        </w:rPr>
        <w:t>و</w:t>
      </w:r>
      <w:r w:rsidR="00237EB1" w:rsidRPr="006571AC">
        <w:rPr>
          <w:rFonts w:hint="cs"/>
          <w:sz w:val="27"/>
          <w:rtl/>
        </w:rPr>
        <w:t>توجب اختلالا</w:t>
      </w:r>
      <w:r w:rsidR="0083364C" w:rsidRPr="006571AC">
        <w:rPr>
          <w:rFonts w:hint="cs"/>
          <w:sz w:val="27"/>
          <w:rtl/>
        </w:rPr>
        <w:t>ً</w:t>
      </w:r>
      <w:r w:rsidR="00237EB1" w:rsidRPr="006571AC">
        <w:rPr>
          <w:rFonts w:hint="cs"/>
          <w:sz w:val="27"/>
          <w:rtl/>
        </w:rPr>
        <w:t xml:space="preserve"> في النظام الاجتماعي. </w:t>
      </w:r>
    </w:p>
    <w:p w:rsidR="00237EB1" w:rsidRPr="006571AC" w:rsidRDefault="00D00DFF" w:rsidP="00C3538C">
      <w:pPr>
        <w:spacing w:line="420" w:lineRule="exact"/>
        <w:rPr>
          <w:sz w:val="27"/>
          <w:rtl/>
        </w:rPr>
      </w:pPr>
      <w:r w:rsidRPr="006571AC">
        <w:rPr>
          <w:rFonts w:hint="cs"/>
          <w:b/>
          <w:bCs/>
          <w:sz w:val="27"/>
          <w:rtl/>
        </w:rPr>
        <w:t xml:space="preserve">ـ </w:t>
      </w:r>
      <w:r w:rsidR="00237EB1" w:rsidRPr="006571AC">
        <w:rPr>
          <w:rFonts w:hint="cs"/>
          <w:b/>
          <w:bCs/>
          <w:sz w:val="27"/>
          <w:rtl/>
        </w:rPr>
        <w:t>على المستوى الأ</w:t>
      </w:r>
      <w:r w:rsidRPr="006571AC">
        <w:rPr>
          <w:rFonts w:hint="cs"/>
          <w:b/>
          <w:bCs/>
          <w:sz w:val="27"/>
          <w:rtl/>
        </w:rPr>
        <w:t>ُ</w:t>
      </w:r>
      <w:r w:rsidR="00237EB1" w:rsidRPr="006571AC">
        <w:rPr>
          <w:rFonts w:hint="cs"/>
          <w:b/>
          <w:bCs/>
          <w:sz w:val="27"/>
          <w:rtl/>
        </w:rPr>
        <w:t>س</w:t>
      </w:r>
      <w:r w:rsidRPr="006571AC">
        <w:rPr>
          <w:rFonts w:hint="cs"/>
          <w:b/>
          <w:bCs/>
          <w:sz w:val="27"/>
          <w:rtl/>
        </w:rPr>
        <w:t>َ</w:t>
      </w:r>
      <w:r w:rsidR="00237EB1" w:rsidRPr="006571AC">
        <w:rPr>
          <w:rFonts w:hint="cs"/>
          <w:b/>
          <w:bCs/>
          <w:sz w:val="27"/>
          <w:rtl/>
        </w:rPr>
        <w:t>ري</w:t>
      </w:r>
      <w:r w:rsidR="00237EB1" w:rsidRPr="006571AC">
        <w:rPr>
          <w:rFonts w:hint="cs"/>
          <w:sz w:val="27"/>
          <w:rtl/>
        </w:rPr>
        <w:t>: إن الزوجة</w:t>
      </w:r>
      <w:r w:rsidR="0083364C" w:rsidRPr="006571AC">
        <w:rPr>
          <w:rFonts w:hint="cs"/>
          <w:sz w:val="27"/>
          <w:rtl/>
        </w:rPr>
        <w:t>،</w:t>
      </w:r>
      <w:r w:rsidR="00237EB1" w:rsidRPr="006571AC">
        <w:rPr>
          <w:rFonts w:hint="cs"/>
          <w:sz w:val="27"/>
          <w:rtl/>
        </w:rPr>
        <w:t xml:space="preserve"> التي خلقها الله لتكون س</w:t>
      </w:r>
      <w:r w:rsidR="0083364C" w:rsidRPr="006571AC">
        <w:rPr>
          <w:rFonts w:hint="cs"/>
          <w:sz w:val="27"/>
          <w:rtl/>
        </w:rPr>
        <w:t>َ</w:t>
      </w:r>
      <w:r w:rsidR="00237EB1" w:rsidRPr="006571AC">
        <w:rPr>
          <w:rFonts w:hint="cs"/>
          <w:sz w:val="27"/>
          <w:rtl/>
        </w:rPr>
        <w:t>ك</w:t>
      </w:r>
      <w:r w:rsidR="0083364C" w:rsidRPr="006571AC">
        <w:rPr>
          <w:rFonts w:hint="cs"/>
          <w:sz w:val="27"/>
          <w:rtl/>
        </w:rPr>
        <w:t>َ</w:t>
      </w:r>
      <w:r w:rsidR="00237EB1" w:rsidRPr="006571AC">
        <w:rPr>
          <w:rFonts w:hint="cs"/>
          <w:sz w:val="27"/>
          <w:rtl/>
        </w:rPr>
        <w:t>نا</w:t>
      </w:r>
      <w:r w:rsidR="0083364C" w:rsidRPr="006571AC">
        <w:rPr>
          <w:rFonts w:hint="cs"/>
          <w:sz w:val="27"/>
          <w:rtl/>
        </w:rPr>
        <w:t>ً</w:t>
      </w:r>
      <w:r w:rsidR="00237EB1" w:rsidRPr="006571AC">
        <w:rPr>
          <w:rFonts w:hint="cs"/>
          <w:sz w:val="27"/>
          <w:rtl/>
        </w:rPr>
        <w:t xml:space="preserve"> ومود</w:t>
      </w:r>
      <w:r w:rsidR="0083364C" w:rsidRPr="006571AC">
        <w:rPr>
          <w:rFonts w:hint="cs"/>
          <w:sz w:val="27"/>
          <w:rtl/>
        </w:rPr>
        <w:t>ّ</w:t>
      </w:r>
      <w:r w:rsidR="00237EB1" w:rsidRPr="006571AC">
        <w:rPr>
          <w:rFonts w:hint="cs"/>
          <w:sz w:val="27"/>
          <w:rtl/>
        </w:rPr>
        <w:t>ة</w:t>
      </w:r>
      <w:r w:rsidR="0083364C" w:rsidRPr="006571AC">
        <w:rPr>
          <w:rFonts w:hint="cs"/>
          <w:sz w:val="27"/>
          <w:rtl/>
        </w:rPr>
        <w:t>ً</w:t>
      </w:r>
      <w:r w:rsidR="00237EB1" w:rsidRPr="006571AC">
        <w:rPr>
          <w:rFonts w:hint="cs"/>
          <w:sz w:val="27"/>
          <w:rtl/>
        </w:rPr>
        <w:t xml:space="preserve"> ورحمة</w:t>
      </w:r>
      <w:r w:rsidR="0083364C" w:rsidRPr="006571AC">
        <w:rPr>
          <w:rFonts w:hint="cs"/>
          <w:sz w:val="27"/>
          <w:rtl/>
        </w:rPr>
        <w:t>ً</w:t>
      </w:r>
      <w:r w:rsidR="00237EB1" w:rsidRPr="006571AC">
        <w:rPr>
          <w:rFonts w:hint="cs"/>
          <w:sz w:val="27"/>
          <w:rtl/>
        </w:rPr>
        <w:t>، تحوّل</w:t>
      </w:r>
      <w:r w:rsidR="0083364C" w:rsidRPr="006571AC">
        <w:rPr>
          <w:rFonts w:hint="cs"/>
          <w:sz w:val="27"/>
          <w:rtl/>
        </w:rPr>
        <w:t>َ</w:t>
      </w:r>
      <w:r w:rsidR="00237EB1" w:rsidRPr="006571AC">
        <w:rPr>
          <w:rFonts w:hint="cs"/>
          <w:sz w:val="27"/>
          <w:rtl/>
        </w:rPr>
        <w:t>ت</w:t>
      </w:r>
      <w:r w:rsidR="0083364C" w:rsidRPr="006571AC">
        <w:rPr>
          <w:rFonts w:hint="cs"/>
          <w:sz w:val="27"/>
          <w:rtl/>
        </w:rPr>
        <w:t>ْ</w:t>
      </w:r>
      <w:r w:rsidR="00237EB1" w:rsidRPr="006571AC">
        <w:rPr>
          <w:rFonts w:hint="cs"/>
          <w:sz w:val="27"/>
          <w:rtl/>
        </w:rPr>
        <w:t xml:space="preserve"> </w:t>
      </w:r>
      <w:r w:rsidR="0083364C" w:rsidRPr="006571AC">
        <w:rPr>
          <w:rFonts w:hint="cs"/>
          <w:sz w:val="27"/>
          <w:rtl/>
        </w:rPr>
        <w:t>إ</w:t>
      </w:r>
      <w:r w:rsidR="00237EB1" w:rsidRPr="006571AC">
        <w:rPr>
          <w:rFonts w:hint="cs"/>
          <w:sz w:val="27"/>
          <w:rtl/>
        </w:rPr>
        <w:t>لى عنصر</w:t>
      </w:r>
      <w:r w:rsidR="0083364C" w:rsidRPr="006571AC">
        <w:rPr>
          <w:rFonts w:hint="cs"/>
          <w:sz w:val="27"/>
          <w:rtl/>
        </w:rPr>
        <w:t>ٍ</w:t>
      </w:r>
      <w:r w:rsidR="00237EB1" w:rsidRPr="006571AC">
        <w:rPr>
          <w:rFonts w:hint="cs"/>
          <w:sz w:val="27"/>
          <w:rtl/>
        </w:rPr>
        <w:t xml:space="preserve"> استغلالي</w:t>
      </w:r>
      <w:r w:rsidR="0083364C" w:rsidRPr="006571AC">
        <w:rPr>
          <w:rFonts w:hint="cs"/>
          <w:sz w:val="27"/>
          <w:rtl/>
        </w:rPr>
        <w:t>ّ،</w:t>
      </w:r>
      <w:r w:rsidR="00237EB1" w:rsidRPr="006571AC">
        <w:rPr>
          <w:rFonts w:hint="cs"/>
          <w:sz w:val="27"/>
          <w:rtl/>
        </w:rPr>
        <w:t xml:space="preserve"> تتاجر بمهرها</w:t>
      </w:r>
      <w:r w:rsidR="0083364C" w:rsidRPr="006571AC">
        <w:rPr>
          <w:rFonts w:hint="cs"/>
          <w:sz w:val="27"/>
          <w:rtl/>
        </w:rPr>
        <w:t xml:space="preserve">، </w:t>
      </w:r>
      <w:r w:rsidR="00237EB1" w:rsidRPr="006571AC">
        <w:rPr>
          <w:rFonts w:hint="cs"/>
          <w:sz w:val="27"/>
          <w:rtl/>
        </w:rPr>
        <w:t>الذي ش</w:t>
      </w:r>
      <w:r w:rsidR="0083364C" w:rsidRPr="006571AC">
        <w:rPr>
          <w:rFonts w:hint="cs"/>
          <w:sz w:val="27"/>
          <w:rtl/>
        </w:rPr>
        <w:t>ُ</w:t>
      </w:r>
      <w:r w:rsidR="00237EB1" w:rsidRPr="006571AC">
        <w:rPr>
          <w:rFonts w:hint="cs"/>
          <w:sz w:val="27"/>
          <w:rtl/>
        </w:rPr>
        <w:t>رّ</w:t>
      </w:r>
      <w:r w:rsidR="0083364C" w:rsidRPr="006571AC">
        <w:rPr>
          <w:rFonts w:hint="cs"/>
          <w:sz w:val="27"/>
          <w:rtl/>
        </w:rPr>
        <w:t>ِ</w:t>
      </w:r>
      <w:r w:rsidR="00237EB1" w:rsidRPr="006571AC">
        <w:rPr>
          <w:rFonts w:hint="cs"/>
          <w:sz w:val="27"/>
          <w:rtl/>
        </w:rPr>
        <w:t>ع بالأساس لحفظ كرامتها، تضح</w:t>
      </w:r>
      <w:r w:rsidR="0083364C" w:rsidRPr="006571AC">
        <w:rPr>
          <w:rFonts w:hint="cs"/>
          <w:sz w:val="27"/>
          <w:rtl/>
        </w:rPr>
        <w:t>ّ</w:t>
      </w:r>
      <w:r w:rsidR="00237EB1" w:rsidRPr="006571AC">
        <w:rPr>
          <w:rFonts w:hint="cs"/>
          <w:sz w:val="27"/>
          <w:rtl/>
        </w:rPr>
        <w:t xml:space="preserve">ي بزوجها وأطفالها من أجل الحصول على المال، </w:t>
      </w:r>
      <w:r w:rsidR="0083364C" w:rsidRPr="006571AC">
        <w:rPr>
          <w:rFonts w:hint="cs"/>
          <w:sz w:val="27"/>
          <w:rtl/>
        </w:rPr>
        <w:t>وب</w:t>
      </w:r>
      <w:r w:rsidR="00237EB1" w:rsidRPr="006571AC">
        <w:rPr>
          <w:rFonts w:hint="cs"/>
          <w:sz w:val="27"/>
          <w:rtl/>
        </w:rPr>
        <w:t xml:space="preserve">التالي </w:t>
      </w:r>
      <w:r w:rsidR="0083364C" w:rsidRPr="006571AC">
        <w:rPr>
          <w:rFonts w:hint="cs"/>
          <w:sz w:val="27"/>
          <w:rtl/>
        </w:rPr>
        <w:t>صارت</w:t>
      </w:r>
      <w:r w:rsidR="00237EB1" w:rsidRPr="006571AC">
        <w:rPr>
          <w:rFonts w:hint="cs"/>
          <w:sz w:val="27"/>
          <w:rtl/>
        </w:rPr>
        <w:t xml:space="preserve"> الزوجة</w:t>
      </w:r>
      <w:r w:rsidR="0083364C" w:rsidRPr="006571AC">
        <w:rPr>
          <w:rFonts w:hint="cs"/>
          <w:sz w:val="27"/>
          <w:rtl/>
        </w:rPr>
        <w:t>ُ</w:t>
      </w:r>
      <w:r w:rsidR="00237EB1" w:rsidRPr="006571AC">
        <w:rPr>
          <w:rFonts w:hint="cs"/>
          <w:sz w:val="27"/>
          <w:rtl/>
        </w:rPr>
        <w:t xml:space="preserve"> مصدر تهديد</w:t>
      </w:r>
      <w:r w:rsidR="0083364C" w:rsidRPr="006571AC">
        <w:rPr>
          <w:rFonts w:hint="cs"/>
          <w:sz w:val="27"/>
          <w:rtl/>
        </w:rPr>
        <w:t>ٍ</w:t>
      </w:r>
      <w:r w:rsidR="00237EB1" w:rsidRPr="006571AC">
        <w:rPr>
          <w:rFonts w:hint="cs"/>
          <w:sz w:val="27"/>
          <w:rtl/>
        </w:rPr>
        <w:t xml:space="preserve"> وخوف</w:t>
      </w:r>
      <w:r w:rsidR="0083364C" w:rsidRPr="006571AC">
        <w:rPr>
          <w:rFonts w:hint="cs"/>
          <w:sz w:val="27"/>
          <w:rtl/>
        </w:rPr>
        <w:t>،</w:t>
      </w:r>
      <w:r w:rsidR="00237EB1" w:rsidRPr="006571AC">
        <w:rPr>
          <w:rFonts w:hint="cs"/>
          <w:sz w:val="27"/>
          <w:rtl/>
        </w:rPr>
        <w:t xml:space="preserve"> لا س</w:t>
      </w:r>
      <w:r w:rsidR="00DA32FC" w:rsidRPr="006571AC">
        <w:rPr>
          <w:rFonts w:hint="cs"/>
          <w:sz w:val="27"/>
          <w:rtl/>
        </w:rPr>
        <w:t>َ</w:t>
      </w:r>
      <w:r w:rsidR="00237EB1" w:rsidRPr="006571AC">
        <w:rPr>
          <w:rFonts w:hint="cs"/>
          <w:sz w:val="27"/>
          <w:rtl/>
        </w:rPr>
        <w:t>ك</w:t>
      </w:r>
      <w:r w:rsidR="00DA32FC" w:rsidRPr="006571AC">
        <w:rPr>
          <w:rFonts w:hint="cs"/>
          <w:sz w:val="27"/>
          <w:rtl/>
        </w:rPr>
        <w:t>َ</w:t>
      </w:r>
      <w:r w:rsidR="00237EB1" w:rsidRPr="006571AC">
        <w:rPr>
          <w:rFonts w:hint="cs"/>
          <w:sz w:val="27"/>
          <w:rtl/>
        </w:rPr>
        <w:t>ن</w:t>
      </w:r>
      <w:r w:rsidR="0083364C" w:rsidRPr="006571AC">
        <w:rPr>
          <w:rFonts w:hint="cs"/>
          <w:sz w:val="27"/>
          <w:rtl/>
        </w:rPr>
        <w:t>اً</w:t>
      </w:r>
      <w:r w:rsidR="00237EB1" w:rsidRPr="006571AC">
        <w:rPr>
          <w:rFonts w:hint="cs"/>
          <w:sz w:val="27"/>
          <w:rtl/>
        </w:rPr>
        <w:t xml:space="preserve"> ومود</w:t>
      </w:r>
      <w:r w:rsidR="0083364C" w:rsidRPr="006571AC">
        <w:rPr>
          <w:rFonts w:hint="cs"/>
          <w:sz w:val="27"/>
          <w:rtl/>
        </w:rPr>
        <w:t>ّ</w:t>
      </w:r>
      <w:r w:rsidR="00237EB1" w:rsidRPr="006571AC">
        <w:rPr>
          <w:rFonts w:hint="cs"/>
          <w:sz w:val="27"/>
          <w:rtl/>
        </w:rPr>
        <w:t>ة</w:t>
      </w:r>
      <w:r w:rsidR="0083364C" w:rsidRPr="006571AC">
        <w:rPr>
          <w:rFonts w:hint="cs"/>
          <w:sz w:val="27"/>
          <w:rtl/>
        </w:rPr>
        <w:t>ً،</w:t>
      </w:r>
      <w:r w:rsidR="00237EB1" w:rsidRPr="006571AC">
        <w:rPr>
          <w:rFonts w:hint="cs"/>
          <w:sz w:val="27"/>
          <w:rtl/>
        </w:rPr>
        <w:t xml:space="preserve"> كما أرادها الله. </w:t>
      </w:r>
    </w:p>
    <w:p w:rsidR="00237EB1" w:rsidRPr="006571AC" w:rsidRDefault="00D00DFF" w:rsidP="00DA32FC">
      <w:pPr>
        <w:spacing w:line="420" w:lineRule="exact"/>
        <w:rPr>
          <w:sz w:val="27"/>
          <w:rtl/>
        </w:rPr>
      </w:pPr>
      <w:r w:rsidRPr="006571AC">
        <w:rPr>
          <w:rFonts w:hint="cs"/>
          <w:b/>
          <w:bCs/>
          <w:sz w:val="27"/>
          <w:rtl/>
        </w:rPr>
        <w:t xml:space="preserve">ـ </w:t>
      </w:r>
      <w:r w:rsidR="00237EB1" w:rsidRPr="006571AC">
        <w:rPr>
          <w:rFonts w:hint="cs"/>
          <w:b/>
          <w:bCs/>
          <w:sz w:val="27"/>
          <w:rtl/>
        </w:rPr>
        <w:t>على المستوى المالي</w:t>
      </w:r>
      <w:r w:rsidR="00237EB1" w:rsidRPr="006571AC">
        <w:rPr>
          <w:rFonts w:hint="cs"/>
          <w:sz w:val="27"/>
          <w:rtl/>
        </w:rPr>
        <w:t xml:space="preserve">: </w:t>
      </w:r>
      <w:r w:rsidR="0083364C" w:rsidRPr="006571AC">
        <w:rPr>
          <w:rFonts w:hint="cs"/>
          <w:sz w:val="27"/>
          <w:rtl/>
        </w:rPr>
        <w:t xml:space="preserve">إن </w:t>
      </w:r>
      <w:r w:rsidR="00237EB1" w:rsidRPr="006571AC">
        <w:rPr>
          <w:rFonts w:hint="cs"/>
          <w:sz w:val="27"/>
          <w:rtl/>
        </w:rPr>
        <w:t>غلاء المهور بهذا الشكل يسهم بشكل</w:t>
      </w:r>
      <w:r w:rsidR="0083364C" w:rsidRPr="006571AC">
        <w:rPr>
          <w:rFonts w:hint="cs"/>
          <w:sz w:val="27"/>
          <w:rtl/>
        </w:rPr>
        <w:t>ٍ</w:t>
      </w:r>
      <w:r w:rsidR="00237EB1" w:rsidRPr="006571AC">
        <w:rPr>
          <w:rFonts w:hint="cs"/>
          <w:sz w:val="27"/>
          <w:rtl/>
        </w:rPr>
        <w:t xml:space="preserve"> كبير في عدم التنمية الاقتصادية في نفس البلد التي تعارف </w:t>
      </w:r>
      <w:r w:rsidR="0083364C" w:rsidRPr="006571AC">
        <w:rPr>
          <w:rFonts w:hint="cs"/>
          <w:sz w:val="27"/>
          <w:rtl/>
        </w:rPr>
        <w:t>فيها</w:t>
      </w:r>
      <w:r w:rsidR="00237EB1" w:rsidRPr="006571AC">
        <w:rPr>
          <w:rFonts w:hint="cs"/>
          <w:sz w:val="27"/>
          <w:rtl/>
        </w:rPr>
        <w:t xml:space="preserve"> ارتفاع المهور</w:t>
      </w:r>
      <w:r w:rsidR="0083364C" w:rsidRPr="006571AC">
        <w:rPr>
          <w:rFonts w:hint="cs"/>
          <w:sz w:val="27"/>
          <w:rtl/>
        </w:rPr>
        <w:t>؛</w:t>
      </w:r>
      <w:r w:rsidR="00237EB1" w:rsidRPr="006571AC">
        <w:rPr>
          <w:rFonts w:hint="cs"/>
          <w:sz w:val="27"/>
          <w:rtl/>
        </w:rPr>
        <w:t xml:space="preserve"> فإنّ </w:t>
      </w:r>
      <w:r w:rsidR="0083364C" w:rsidRPr="006571AC">
        <w:rPr>
          <w:rFonts w:hint="cs"/>
          <w:sz w:val="27"/>
          <w:rtl/>
        </w:rPr>
        <w:t>سعي</w:t>
      </w:r>
      <w:r w:rsidR="00237EB1" w:rsidRPr="006571AC">
        <w:rPr>
          <w:rFonts w:hint="cs"/>
          <w:sz w:val="27"/>
          <w:rtl/>
        </w:rPr>
        <w:t xml:space="preserve"> الأزواج </w:t>
      </w:r>
      <w:r w:rsidR="0083364C" w:rsidRPr="006571AC">
        <w:rPr>
          <w:rFonts w:hint="cs"/>
          <w:sz w:val="27"/>
          <w:rtl/>
        </w:rPr>
        <w:t>إلى</w:t>
      </w:r>
      <w:r w:rsidR="00237EB1" w:rsidRPr="006571AC">
        <w:rPr>
          <w:rFonts w:hint="cs"/>
          <w:sz w:val="27"/>
          <w:rtl/>
        </w:rPr>
        <w:t xml:space="preserve"> تجميع المال من أجل تأمين مهر الزوجة يسب</w:t>
      </w:r>
      <w:r w:rsidR="0083364C" w:rsidRPr="006571AC">
        <w:rPr>
          <w:rFonts w:hint="cs"/>
          <w:sz w:val="27"/>
          <w:rtl/>
        </w:rPr>
        <w:t>ِّ</w:t>
      </w:r>
      <w:r w:rsidR="00237EB1" w:rsidRPr="006571AC">
        <w:rPr>
          <w:rFonts w:hint="cs"/>
          <w:sz w:val="27"/>
          <w:rtl/>
        </w:rPr>
        <w:t>ب تكديس كم</w:t>
      </w:r>
      <w:r w:rsidR="0083364C" w:rsidRPr="006571AC">
        <w:rPr>
          <w:rFonts w:hint="cs"/>
          <w:sz w:val="27"/>
          <w:rtl/>
        </w:rPr>
        <w:t>ّ</w:t>
      </w:r>
      <w:r w:rsidR="00237EB1" w:rsidRPr="006571AC">
        <w:rPr>
          <w:rFonts w:hint="cs"/>
          <w:sz w:val="27"/>
          <w:rtl/>
        </w:rPr>
        <w:t>ية</w:t>
      </w:r>
      <w:r w:rsidR="0083364C" w:rsidRPr="006571AC">
        <w:rPr>
          <w:rFonts w:hint="cs"/>
          <w:sz w:val="27"/>
          <w:rtl/>
        </w:rPr>
        <w:t>ٍ</w:t>
      </w:r>
      <w:r w:rsidR="00237EB1" w:rsidRPr="006571AC">
        <w:rPr>
          <w:rFonts w:hint="cs"/>
          <w:sz w:val="27"/>
          <w:rtl/>
        </w:rPr>
        <w:t xml:space="preserve"> كبيرة</w:t>
      </w:r>
      <w:r w:rsidR="0083364C" w:rsidRPr="006571AC">
        <w:rPr>
          <w:rFonts w:hint="cs"/>
          <w:sz w:val="27"/>
          <w:rtl/>
        </w:rPr>
        <w:t>ٍ</w:t>
      </w:r>
      <w:r w:rsidR="00237EB1" w:rsidRPr="006571AC">
        <w:rPr>
          <w:rFonts w:hint="cs"/>
          <w:sz w:val="27"/>
          <w:rtl/>
        </w:rPr>
        <w:t xml:space="preserve"> من الأموال</w:t>
      </w:r>
      <w:r w:rsidR="0083364C" w:rsidRPr="006571AC">
        <w:rPr>
          <w:rFonts w:hint="cs"/>
          <w:sz w:val="27"/>
          <w:rtl/>
        </w:rPr>
        <w:t>،</w:t>
      </w:r>
      <w:r w:rsidR="00237EB1" w:rsidRPr="006571AC">
        <w:rPr>
          <w:rFonts w:hint="cs"/>
          <w:sz w:val="27"/>
          <w:rtl/>
        </w:rPr>
        <w:t xml:space="preserve"> وعدم استثمارها</w:t>
      </w:r>
      <w:r w:rsidR="0083364C" w:rsidRPr="006571AC">
        <w:rPr>
          <w:rFonts w:hint="cs"/>
          <w:sz w:val="27"/>
          <w:rtl/>
        </w:rPr>
        <w:t>،</w:t>
      </w:r>
      <w:r w:rsidR="00237EB1" w:rsidRPr="006571AC">
        <w:rPr>
          <w:rFonts w:hint="cs"/>
          <w:sz w:val="27"/>
          <w:rtl/>
        </w:rPr>
        <w:t xml:space="preserve"> مما يؤث</w:t>
      </w:r>
      <w:r w:rsidR="0083364C" w:rsidRPr="006571AC">
        <w:rPr>
          <w:rFonts w:hint="cs"/>
          <w:sz w:val="27"/>
          <w:rtl/>
        </w:rPr>
        <w:t>ِّ</w:t>
      </w:r>
      <w:r w:rsidR="00237EB1" w:rsidRPr="006571AC">
        <w:rPr>
          <w:rFonts w:hint="cs"/>
          <w:sz w:val="27"/>
          <w:rtl/>
        </w:rPr>
        <w:t>ر س</w:t>
      </w:r>
      <w:r w:rsidR="0083364C" w:rsidRPr="006571AC">
        <w:rPr>
          <w:rFonts w:hint="cs"/>
          <w:sz w:val="27"/>
          <w:rtl/>
        </w:rPr>
        <w:t>َ</w:t>
      </w:r>
      <w:r w:rsidR="00237EB1" w:rsidRPr="006571AC">
        <w:rPr>
          <w:rFonts w:hint="cs"/>
          <w:sz w:val="27"/>
          <w:rtl/>
        </w:rPr>
        <w:t>ل</w:t>
      </w:r>
      <w:r w:rsidR="0083364C" w:rsidRPr="006571AC">
        <w:rPr>
          <w:rFonts w:hint="cs"/>
          <w:sz w:val="27"/>
          <w:rtl/>
        </w:rPr>
        <w:t>ْ</w:t>
      </w:r>
      <w:r w:rsidR="00237EB1" w:rsidRPr="006571AC">
        <w:rPr>
          <w:rFonts w:hint="cs"/>
          <w:sz w:val="27"/>
          <w:rtl/>
        </w:rPr>
        <w:t>باً على العامل الاقتصادي للدولة ال</w:t>
      </w:r>
      <w:r w:rsidR="00DA32FC" w:rsidRPr="006571AC">
        <w:rPr>
          <w:rFonts w:hint="cs"/>
          <w:sz w:val="27"/>
          <w:rtl/>
        </w:rPr>
        <w:t>إ</w:t>
      </w:r>
      <w:r w:rsidR="00237EB1" w:rsidRPr="006571AC">
        <w:rPr>
          <w:rFonts w:hint="cs"/>
          <w:sz w:val="27"/>
          <w:rtl/>
        </w:rPr>
        <w:t xml:space="preserve">سلامية. </w:t>
      </w:r>
    </w:p>
    <w:p w:rsidR="00237EB1" w:rsidRPr="006571AC" w:rsidRDefault="00237EB1" w:rsidP="00C3538C">
      <w:pPr>
        <w:spacing w:line="420" w:lineRule="exact"/>
        <w:rPr>
          <w:sz w:val="27"/>
          <w:rtl/>
        </w:rPr>
      </w:pPr>
      <w:r w:rsidRPr="006571AC">
        <w:rPr>
          <w:rFonts w:hint="cs"/>
          <w:sz w:val="27"/>
          <w:rtl/>
        </w:rPr>
        <w:t xml:space="preserve">إنّ السكوت عن هذه الظواهر الخطيرة </w:t>
      </w:r>
      <w:r w:rsidR="0083364C" w:rsidRPr="006571AC">
        <w:rPr>
          <w:rFonts w:hint="cs"/>
          <w:sz w:val="27"/>
          <w:rtl/>
        </w:rPr>
        <w:t>ي</w:t>
      </w:r>
      <w:r w:rsidRPr="006571AC">
        <w:rPr>
          <w:rFonts w:hint="cs"/>
          <w:sz w:val="27"/>
          <w:rtl/>
        </w:rPr>
        <w:t>وجب اختلالا</w:t>
      </w:r>
      <w:r w:rsidR="0083364C" w:rsidRPr="006571AC">
        <w:rPr>
          <w:rFonts w:hint="cs"/>
          <w:sz w:val="27"/>
          <w:rtl/>
        </w:rPr>
        <w:t>ً</w:t>
      </w:r>
      <w:r w:rsidRPr="006571AC">
        <w:rPr>
          <w:rFonts w:hint="cs"/>
          <w:sz w:val="27"/>
          <w:rtl/>
        </w:rPr>
        <w:t xml:space="preserve"> في النظام</w:t>
      </w:r>
      <w:r w:rsidR="0083364C" w:rsidRPr="006571AC">
        <w:rPr>
          <w:rFonts w:hint="cs"/>
          <w:sz w:val="27"/>
          <w:rtl/>
        </w:rPr>
        <w:t>، وهو</w:t>
      </w:r>
      <w:r w:rsidRPr="006571AC">
        <w:rPr>
          <w:rFonts w:hint="cs"/>
          <w:sz w:val="27"/>
          <w:rtl/>
        </w:rPr>
        <w:t xml:space="preserve"> غير جائز</w:t>
      </w:r>
      <w:r w:rsidR="0083364C" w:rsidRPr="006571AC">
        <w:rPr>
          <w:rFonts w:hint="cs"/>
          <w:sz w:val="27"/>
          <w:rtl/>
        </w:rPr>
        <w:t>ٍ</w:t>
      </w:r>
      <w:r w:rsidRPr="006571AC">
        <w:rPr>
          <w:rFonts w:hint="cs"/>
          <w:sz w:val="27"/>
          <w:rtl/>
        </w:rPr>
        <w:t xml:space="preserve"> شرعاً</w:t>
      </w:r>
      <w:r w:rsidR="0083364C" w:rsidRPr="006571AC">
        <w:rPr>
          <w:rFonts w:hint="cs"/>
          <w:sz w:val="27"/>
          <w:rtl/>
        </w:rPr>
        <w:t>؛</w:t>
      </w:r>
      <w:r w:rsidRPr="006571AC">
        <w:rPr>
          <w:rFonts w:hint="cs"/>
          <w:sz w:val="27"/>
          <w:rtl/>
        </w:rPr>
        <w:t xml:space="preserve"> لقبح التكاليف الموجبة لاختلال النظام</w:t>
      </w:r>
      <w:r w:rsidR="0069232D" w:rsidRPr="006571AC">
        <w:rPr>
          <w:rFonts w:hint="cs"/>
          <w:sz w:val="27"/>
          <w:rtl/>
        </w:rPr>
        <w:t>؛</w:t>
      </w:r>
      <w:r w:rsidRPr="006571AC">
        <w:rPr>
          <w:rFonts w:hint="cs"/>
          <w:sz w:val="27"/>
          <w:rtl/>
        </w:rPr>
        <w:t xml:space="preserve"> لأن</w:t>
      </w:r>
      <w:r w:rsidRPr="006571AC">
        <w:rPr>
          <w:sz w:val="27"/>
          <w:rtl/>
        </w:rPr>
        <w:t xml:space="preserve"> </w:t>
      </w:r>
      <w:r w:rsidRPr="006571AC">
        <w:rPr>
          <w:rFonts w:hint="cs"/>
          <w:sz w:val="27"/>
          <w:rtl/>
        </w:rPr>
        <w:t>المقصد</w:t>
      </w:r>
      <w:r w:rsidRPr="006571AC">
        <w:rPr>
          <w:sz w:val="27"/>
          <w:rtl/>
        </w:rPr>
        <w:t xml:space="preserve"> </w:t>
      </w:r>
      <w:r w:rsidRPr="006571AC">
        <w:rPr>
          <w:rFonts w:hint="cs"/>
          <w:sz w:val="27"/>
          <w:rtl/>
        </w:rPr>
        <w:t>الأسمى</w:t>
      </w:r>
      <w:r w:rsidRPr="006571AC">
        <w:rPr>
          <w:sz w:val="27"/>
          <w:rtl/>
        </w:rPr>
        <w:t xml:space="preserve"> </w:t>
      </w:r>
      <w:r w:rsidRPr="006571AC">
        <w:rPr>
          <w:rFonts w:hint="cs"/>
          <w:sz w:val="27"/>
          <w:rtl/>
        </w:rPr>
        <w:t>والأقصى</w:t>
      </w:r>
      <w:r w:rsidRPr="006571AC">
        <w:rPr>
          <w:sz w:val="27"/>
          <w:rtl/>
        </w:rPr>
        <w:t xml:space="preserve"> </w:t>
      </w:r>
      <w:r w:rsidRPr="006571AC">
        <w:rPr>
          <w:rFonts w:hint="cs"/>
          <w:sz w:val="27"/>
          <w:rtl/>
        </w:rPr>
        <w:t>للشارع</w:t>
      </w:r>
      <w:r w:rsidRPr="006571AC">
        <w:rPr>
          <w:sz w:val="27"/>
          <w:rtl/>
        </w:rPr>
        <w:t xml:space="preserve"> </w:t>
      </w:r>
      <w:r w:rsidRPr="006571AC">
        <w:rPr>
          <w:rFonts w:hint="cs"/>
          <w:sz w:val="27"/>
          <w:rtl/>
        </w:rPr>
        <w:t>المقد</w:t>
      </w:r>
      <w:r w:rsidR="0069232D" w:rsidRPr="006571AC">
        <w:rPr>
          <w:rFonts w:hint="cs"/>
          <w:sz w:val="27"/>
          <w:rtl/>
        </w:rPr>
        <w:t>َّ</w:t>
      </w:r>
      <w:r w:rsidRPr="006571AC">
        <w:rPr>
          <w:rFonts w:hint="cs"/>
          <w:sz w:val="27"/>
          <w:rtl/>
        </w:rPr>
        <w:t>س</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تكاليفه</w:t>
      </w:r>
      <w:r w:rsidRPr="006571AC">
        <w:rPr>
          <w:sz w:val="27"/>
          <w:rtl/>
        </w:rPr>
        <w:t xml:space="preserve"> </w:t>
      </w:r>
      <w:r w:rsidRPr="006571AC">
        <w:rPr>
          <w:rFonts w:hint="cs"/>
          <w:sz w:val="27"/>
          <w:rtl/>
        </w:rPr>
        <w:t>ليس</w:t>
      </w:r>
      <w:r w:rsidRPr="006571AC">
        <w:rPr>
          <w:sz w:val="27"/>
          <w:rtl/>
        </w:rPr>
        <w:t xml:space="preserve"> </w:t>
      </w:r>
      <w:r w:rsidRPr="006571AC">
        <w:rPr>
          <w:rFonts w:hint="cs"/>
          <w:sz w:val="27"/>
          <w:rtl/>
        </w:rPr>
        <w:t>إلا</w:t>
      </w:r>
      <w:r w:rsidR="0069232D" w:rsidRPr="006571AC">
        <w:rPr>
          <w:rFonts w:hint="cs"/>
          <w:sz w:val="27"/>
          <w:rtl/>
        </w:rPr>
        <w:t>ّ</w:t>
      </w:r>
      <w:r w:rsidRPr="006571AC">
        <w:rPr>
          <w:sz w:val="27"/>
          <w:rtl/>
        </w:rPr>
        <w:t xml:space="preserve"> </w:t>
      </w:r>
      <w:r w:rsidRPr="006571AC">
        <w:rPr>
          <w:rFonts w:hint="cs"/>
          <w:sz w:val="27"/>
          <w:rtl/>
        </w:rPr>
        <w:t>حفظ</w:t>
      </w:r>
      <w:r w:rsidRPr="006571AC">
        <w:rPr>
          <w:sz w:val="27"/>
          <w:rtl/>
        </w:rPr>
        <w:t xml:space="preserve"> </w:t>
      </w:r>
      <w:r w:rsidRPr="006571AC">
        <w:rPr>
          <w:rFonts w:hint="cs"/>
          <w:sz w:val="27"/>
          <w:rtl/>
        </w:rPr>
        <w:t>النظام</w:t>
      </w:r>
      <w:r w:rsidRPr="006571AC">
        <w:rPr>
          <w:sz w:val="27"/>
          <w:rtl/>
        </w:rPr>
        <w:t xml:space="preserve">. </w:t>
      </w:r>
    </w:p>
    <w:p w:rsidR="00237EB1" w:rsidRPr="006571AC" w:rsidRDefault="00237EB1" w:rsidP="00C3538C">
      <w:pPr>
        <w:spacing w:line="410" w:lineRule="exact"/>
        <w:rPr>
          <w:sz w:val="27"/>
          <w:rtl/>
        </w:rPr>
      </w:pPr>
    </w:p>
    <w:p w:rsidR="00237EB1" w:rsidRPr="006571AC" w:rsidRDefault="00237EB1" w:rsidP="0022224E">
      <w:pPr>
        <w:pStyle w:val="31"/>
        <w:rPr>
          <w:color w:val="auto"/>
          <w:rtl/>
        </w:rPr>
      </w:pPr>
      <w:bookmarkStart w:id="291" w:name="_Toc79281945"/>
      <w:bookmarkStart w:id="292" w:name="_Toc114164721"/>
      <w:r w:rsidRPr="006571AC">
        <w:rPr>
          <w:color w:val="auto"/>
          <w:rtl/>
        </w:rPr>
        <w:t>تحديد المهر في القانون المدني الإيراني</w:t>
      </w:r>
      <w:bookmarkEnd w:id="291"/>
      <w:bookmarkEnd w:id="292"/>
    </w:p>
    <w:p w:rsidR="00237EB1" w:rsidRPr="006571AC" w:rsidRDefault="00237EB1" w:rsidP="00C3538C">
      <w:pPr>
        <w:spacing w:line="420" w:lineRule="exact"/>
        <w:rPr>
          <w:rFonts w:asciiTheme="majorBidi" w:hAnsiTheme="majorBidi"/>
          <w:sz w:val="27"/>
          <w:rtl/>
        </w:rPr>
      </w:pPr>
      <w:r w:rsidRPr="006571AC">
        <w:rPr>
          <w:rFonts w:asciiTheme="majorBidi" w:hAnsiTheme="majorBidi" w:hint="cs"/>
          <w:sz w:val="27"/>
          <w:rtl/>
        </w:rPr>
        <w:t>إن تحديد مقدار المهر في القانون المدني الإيراني يكون تبعا</w:t>
      </w:r>
      <w:r w:rsidR="0069232D" w:rsidRPr="006571AC">
        <w:rPr>
          <w:rFonts w:asciiTheme="majorBidi" w:hAnsiTheme="majorBidi" w:hint="cs"/>
          <w:sz w:val="27"/>
          <w:rtl/>
        </w:rPr>
        <w:t>ً</w:t>
      </w:r>
      <w:r w:rsidRPr="006571AC">
        <w:rPr>
          <w:rFonts w:asciiTheme="majorBidi" w:hAnsiTheme="majorBidi" w:hint="cs"/>
          <w:sz w:val="27"/>
          <w:rtl/>
        </w:rPr>
        <w:t xml:space="preserve"> للفقه الإمامي، </w:t>
      </w:r>
      <w:r w:rsidR="0069232D" w:rsidRPr="006571AC">
        <w:rPr>
          <w:rFonts w:asciiTheme="majorBidi" w:hAnsiTheme="majorBidi" w:hint="cs"/>
          <w:sz w:val="27"/>
          <w:rtl/>
        </w:rPr>
        <w:t>و</w:t>
      </w:r>
      <w:r w:rsidRPr="006571AC">
        <w:rPr>
          <w:rFonts w:asciiTheme="majorBidi" w:hAnsiTheme="majorBidi" w:hint="cs"/>
          <w:sz w:val="27"/>
          <w:rtl/>
        </w:rPr>
        <w:t>بما أنّ رأي مشهور الفقهاء هو إطلاق المهر وعدم تقييده، و</w:t>
      </w:r>
      <w:r w:rsidR="0069232D" w:rsidRPr="006571AC">
        <w:rPr>
          <w:rFonts w:asciiTheme="majorBidi" w:hAnsiTheme="majorBidi" w:hint="cs"/>
          <w:sz w:val="27"/>
          <w:rtl/>
        </w:rPr>
        <w:t xml:space="preserve">بما </w:t>
      </w:r>
      <w:r w:rsidRPr="006571AC">
        <w:rPr>
          <w:rFonts w:asciiTheme="majorBidi" w:hAnsiTheme="majorBidi" w:hint="cs"/>
          <w:sz w:val="27"/>
          <w:rtl/>
        </w:rPr>
        <w:t>أن تحديد مقداره مرتبط</w:t>
      </w:r>
      <w:r w:rsidR="0069232D" w:rsidRPr="006571AC">
        <w:rPr>
          <w:rFonts w:asciiTheme="majorBidi" w:hAnsiTheme="majorBidi" w:hint="cs"/>
          <w:sz w:val="27"/>
          <w:rtl/>
        </w:rPr>
        <w:t>ٌ</w:t>
      </w:r>
      <w:r w:rsidRPr="006571AC">
        <w:rPr>
          <w:rFonts w:asciiTheme="majorBidi" w:hAnsiTheme="majorBidi" w:hint="cs"/>
          <w:sz w:val="27"/>
          <w:rtl/>
        </w:rPr>
        <w:t xml:space="preserve"> بالطرفين، كذلك فإن الماد</w:t>
      </w:r>
      <w:r w:rsidR="0069232D" w:rsidRPr="006571AC">
        <w:rPr>
          <w:rFonts w:asciiTheme="majorBidi" w:hAnsiTheme="majorBidi" w:hint="cs"/>
          <w:sz w:val="27"/>
          <w:rtl/>
        </w:rPr>
        <w:t>ّ</w:t>
      </w:r>
      <w:r w:rsidRPr="006571AC">
        <w:rPr>
          <w:rFonts w:asciiTheme="majorBidi" w:hAnsiTheme="majorBidi" w:hint="cs"/>
          <w:sz w:val="27"/>
          <w:rtl/>
        </w:rPr>
        <w:t xml:space="preserve">ة 1080 تنصّ على </w:t>
      </w:r>
      <w:r w:rsidR="0069232D" w:rsidRPr="006571AC">
        <w:rPr>
          <w:rFonts w:asciiTheme="majorBidi" w:hAnsiTheme="majorBidi" w:hint="cs"/>
          <w:sz w:val="27"/>
          <w:rtl/>
        </w:rPr>
        <w:t>أ</w:t>
      </w:r>
      <w:r w:rsidRPr="006571AC">
        <w:rPr>
          <w:rFonts w:asciiTheme="majorBidi" w:hAnsiTheme="majorBidi" w:hint="cs"/>
          <w:sz w:val="27"/>
          <w:rtl/>
        </w:rPr>
        <w:t>نّ تحديد المهر منوط</w:t>
      </w:r>
      <w:r w:rsidR="0069232D" w:rsidRPr="006571AC">
        <w:rPr>
          <w:rFonts w:asciiTheme="majorBidi" w:hAnsiTheme="majorBidi" w:hint="cs"/>
          <w:sz w:val="27"/>
          <w:rtl/>
        </w:rPr>
        <w:t>ٌ</w:t>
      </w:r>
      <w:r w:rsidRPr="006571AC">
        <w:rPr>
          <w:rFonts w:asciiTheme="majorBidi" w:hAnsiTheme="majorBidi" w:hint="cs"/>
          <w:sz w:val="27"/>
          <w:rtl/>
        </w:rPr>
        <w:t xml:space="preserve"> بتراضي الطرفين</w:t>
      </w:r>
      <w:r w:rsidR="0069232D" w:rsidRPr="006571AC">
        <w:rPr>
          <w:rFonts w:asciiTheme="majorBidi" w:hAnsiTheme="majorBidi" w:hint="cs"/>
          <w:sz w:val="27"/>
          <w:rtl/>
        </w:rPr>
        <w:t>.</w:t>
      </w:r>
      <w:r w:rsidRPr="006571AC">
        <w:rPr>
          <w:rFonts w:asciiTheme="majorBidi" w:hAnsiTheme="majorBidi" w:hint="cs"/>
          <w:sz w:val="27"/>
          <w:rtl/>
        </w:rPr>
        <w:t xml:space="preserve"> </w:t>
      </w:r>
      <w:r w:rsidR="0069232D" w:rsidRPr="006571AC">
        <w:rPr>
          <w:rFonts w:asciiTheme="majorBidi" w:hAnsiTheme="majorBidi" w:hint="cs"/>
          <w:sz w:val="27"/>
          <w:rtl/>
        </w:rPr>
        <w:t>ومن هنا</w:t>
      </w:r>
      <w:r w:rsidRPr="006571AC">
        <w:rPr>
          <w:rFonts w:asciiTheme="majorBidi" w:hAnsiTheme="majorBidi" w:hint="cs"/>
          <w:sz w:val="27"/>
          <w:rtl/>
        </w:rPr>
        <w:t xml:space="preserve"> لم يذكر القانون المدني الإيراني ماد</w:t>
      </w:r>
      <w:r w:rsidR="0069232D" w:rsidRPr="006571AC">
        <w:rPr>
          <w:rFonts w:asciiTheme="majorBidi" w:hAnsiTheme="majorBidi" w:hint="cs"/>
          <w:sz w:val="27"/>
          <w:rtl/>
        </w:rPr>
        <w:t>ّ</w:t>
      </w:r>
      <w:r w:rsidRPr="006571AC">
        <w:rPr>
          <w:rFonts w:asciiTheme="majorBidi" w:hAnsiTheme="majorBidi" w:hint="cs"/>
          <w:sz w:val="27"/>
          <w:rtl/>
        </w:rPr>
        <w:t>ة</w:t>
      </w:r>
      <w:r w:rsidR="0069232D" w:rsidRPr="006571AC">
        <w:rPr>
          <w:rFonts w:asciiTheme="majorBidi" w:hAnsiTheme="majorBidi" w:hint="cs"/>
          <w:sz w:val="27"/>
          <w:rtl/>
        </w:rPr>
        <w:t>ً</w:t>
      </w:r>
      <w:r w:rsidRPr="006571AC">
        <w:rPr>
          <w:rFonts w:asciiTheme="majorBidi" w:hAnsiTheme="majorBidi" w:hint="cs"/>
          <w:sz w:val="27"/>
          <w:rtl/>
        </w:rPr>
        <w:t xml:space="preserve"> تنص</w:t>
      </w:r>
      <w:r w:rsidR="0069232D" w:rsidRPr="006571AC">
        <w:rPr>
          <w:rFonts w:asciiTheme="majorBidi" w:hAnsiTheme="majorBidi" w:hint="cs"/>
          <w:sz w:val="27"/>
          <w:rtl/>
        </w:rPr>
        <w:t>ّ</w:t>
      </w:r>
      <w:r w:rsidRPr="006571AC">
        <w:rPr>
          <w:rFonts w:asciiTheme="majorBidi" w:hAnsiTheme="majorBidi" w:hint="cs"/>
          <w:sz w:val="27"/>
          <w:rtl/>
        </w:rPr>
        <w:t xml:space="preserve"> على مقدار</w:t>
      </w:r>
      <w:r w:rsidR="0069232D" w:rsidRPr="006571AC">
        <w:rPr>
          <w:rFonts w:asciiTheme="majorBidi" w:hAnsiTheme="majorBidi" w:hint="cs"/>
          <w:sz w:val="27"/>
          <w:rtl/>
        </w:rPr>
        <w:t>ٍ</w:t>
      </w:r>
      <w:r w:rsidRPr="006571AC">
        <w:rPr>
          <w:rFonts w:asciiTheme="majorBidi" w:hAnsiTheme="majorBidi" w:hint="cs"/>
          <w:sz w:val="27"/>
          <w:rtl/>
        </w:rPr>
        <w:t xml:space="preserve"> معين، </w:t>
      </w:r>
      <w:r w:rsidR="0069232D" w:rsidRPr="006571AC">
        <w:rPr>
          <w:rFonts w:asciiTheme="majorBidi" w:hAnsiTheme="majorBidi" w:hint="cs"/>
          <w:sz w:val="27"/>
          <w:rtl/>
        </w:rPr>
        <w:t>و</w:t>
      </w:r>
      <w:r w:rsidRPr="006571AC">
        <w:rPr>
          <w:rFonts w:asciiTheme="majorBidi" w:hAnsiTheme="majorBidi" w:hint="cs"/>
          <w:sz w:val="27"/>
          <w:rtl/>
        </w:rPr>
        <w:t>لذلك نجد جرأة</w:t>
      </w:r>
      <w:r w:rsidR="0069232D" w:rsidRPr="006571AC">
        <w:rPr>
          <w:rFonts w:asciiTheme="majorBidi" w:hAnsiTheme="majorBidi" w:hint="cs"/>
          <w:sz w:val="27"/>
          <w:rtl/>
        </w:rPr>
        <w:t>ً</w:t>
      </w:r>
      <w:r w:rsidRPr="006571AC">
        <w:rPr>
          <w:rFonts w:asciiTheme="majorBidi" w:hAnsiTheme="majorBidi" w:hint="cs"/>
          <w:sz w:val="27"/>
          <w:rtl/>
        </w:rPr>
        <w:t xml:space="preserve"> منقطعة النظير في إيران على طلب المهر الخيالي والتعجيزي في </w:t>
      </w:r>
      <w:r w:rsidR="0069232D" w:rsidRPr="006571AC">
        <w:rPr>
          <w:rFonts w:asciiTheme="majorBidi" w:hAnsiTheme="majorBidi" w:hint="cs"/>
          <w:sz w:val="27"/>
          <w:rtl/>
        </w:rPr>
        <w:t>أغلب</w:t>
      </w:r>
      <w:r w:rsidRPr="006571AC">
        <w:rPr>
          <w:rFonts w:asciiTheme="majorBidi" w:hAnsiTheme="majorBidi" w:hint="cs"/>
          <w:sz w:val="27"/>
          <w:rtl/>
        </w:rPr>
        <w:t xml:space="preserve"> الحالات. </w:t>
      </w:r>
    </w:p>
    <w:p w:rsidR="00237EB1" w:rsidRPr="006571AC" w:rsidRDefault="00237EB1" w:rsidP="0022224E">
      <w:pPr>
        <w:pStyle w:val="31"/>
        <w:rPr>
          <w:color w:val="auto"/>
          <w:rtl/>
        </w:rPr>
      </w:pPr>
      <w:bookmarkStart w:id="293" w:name="_Toc79281946"/>
      <w:bookmarkStart w:id="294" w:name="_Toc114164722"/>
      <w:r w:rsidRPr="006571AC">
        <w:rPr>
          <w:rFonts w:hint="cs"/>
          <w:color w:val="auto"/>
          <w:rtl/>
        </w:rPr>
        <w:lastRenderedPageBreak/>
        <w:t>تشريع قيمة</w:t>
      </w:r>
      <w:r w:rsidR="0069232D" w:rsidRPr="006571AC">
        <w:rPr>
          <w:rFonts w:hint="cs"/>
          <w:color w:val="auto"/>
          <w:rtl/>
        </w:rPr>
        <w:t>ٍ</w:t>
      </w:r>
      <w:r w:rsidRPr="006571AC">
        <w:rPr>
          <w:rFonts w:hint="cs"/>
          <w:color w:val="auto"/>
          <w:rtl/>
        </w:rPr>
        <w:t xml:space="preserve"> معي</w:t>
      </w:r>
      <w:r w:rsidR="0069232D" w:rsidRPr="006571AC">
        <w:rPr>
          <w:rFonts w:hint="cs"/>
          <w:color w:val="auto"/>
          <w:rtl/>
        </w:rPr>
        <w:t>َّ</w:t>
      </w:r>
      <w:r w:rsidRPr="006571AC">
        <w:rPr>
          <w:rFonts w:hint="cs"/>
          <w:color w:val="auto"/>
          <w:rtl/>
        </w:rPr>
        <w:t>نة للمهر</w:t>
      </w:r>
      <w:bookmarkEnd w:id="293"/>
      <w:bookmarkEnd w:id="294"/>
      <w:r w:rsidRPr="006571AC">
        <w:rPr>
          <w:rFonts w:hint="cs"/>
          <w:color w:val="auto"/>
          <w:rtl/>
        </w:rPr>
        <w:t xml:space="preserve"> </w:t>
      </w:r>
    </w:p>
    <w:p w:rsidR="00237EB1" w:rsidRPr="006571AC" w:rsidRDefault="00237EB1" w:rsidP="00DA32FC">
      <w:pPr>
        <w:spacing w:line="410" w:lineRule="exact"/>
        <w:rPr>
          <w:rFonts w:asciiTheme="majorBidi" w:hAnsiTheme="majorBidi"/>
          <w:sz w:val="27"/>
          <w:rtl/>
        </w:rPr>
      </w:pPr>
      <w:r w:rsidRPr="006571AC">
        <w:rPr>
          <w:rFonts w:asciiTheme="majorBidi" w:hAnsiTheme="majorBidi" w:hint="cs"/>
          <w:sz w:val="27"/>
          <w:rtl/>
        </w:rPr>
        <w:t>ف</w:t>
      </w:r>
      <w:r w:rsidR="00B40F46" w:rsidRPr="006571AC">
        <w:rPr>
          <w:rFonts w:asciiTheme="majorBidi" w:hAnsiTheme="majorBidi" w:hint="cs"/>
          <w:sz w:val="27"/>
          <w:rtl/>
        </w:rPr>
        <w:t>ف</w:t>
      </w:r>
      <w:r w:rsidRPr="006571AC">
        <w:rPr>
          <w:rFonts w:asciiTheme="majorBidi" w:hAnsiTheme="majorBidi" w:hint="cs"/>
          <w:sz w:val="27"/>
          <w:rtl/>
        </w:rPr>
        <w:t>ي ظل</w:t>
      </w:r>
      <w:r w:rsidRPr="006571AC">
        <w:rPr>
          <w:rFonts w:asciiTheme="majorBidi" w:hAnsiTheme="majorBidi"/>
          <w:sz w:val="27"/>
          <w:rtl/>
        </w:rPr>
        <w:t xml:space="preserve"> </w:t>
      </w:r>
      <w:r w:rsidRPr="006571AC">
        <w:rPr>
          <w:rFonts w:asciiTheme="majorBidi" w:hAnsiTheme="majorBidi" w:hint="cs"/>
          <w:sz w:val="27"/>
          <w:rtl/>
        </w:rPr>
        <w:t>التقل</w:t>
      </w:r>
      <w:r w:rsidR="0069232D" w:rsidRPr="006571AC">
        <w:rPr>
          <w:rFonts w:asciiTheme="majorBidi" w:hAnsiTheme="majorBidi" w:hint="cs"/>
          <w:sz w:val="27"/>
          <w:rtl/>
        </w:rPr>
        <w:t>ُّ</w:t>
      </w:r>
      <w:r w:rsidRPr="006571AC">
        <w:rPr>
          <w:rFonts w:asciiTheme="majorBidi" w:hAnsiTheme="majorBidi" w:hint="cs"/>
          <w:sz w:val="27"/>
          <w:rtl/>
        </w:rPr>
        <w:t>بات</w:t>
      </w:r>
      <w:r w:rsidRPr="006571AC">
        <w:rPr>
          <w:rFonts w:asciiTheme="majorBidi" w:hAnsiTheme="majorBidi"/>
          <w:sz w:val="27"/>
          <w:rtl/>
        </w:rPr>
        <w:t xml:space="preserve"> </w:t>
      </w:r>
      <w:r w:rsidRPr="006571AC">
        <w:rPr>
          <w:rFonts w:asciiTheme="majorBidi" w:hAnsiTheme="majorBidi" w:hint="cs"/>
          <w:sz w:val="27"/>
          <w:rtl/>
        </w:rPr>
        <w:t>والانعطافات</w:t>
      </w:r>
      <w:r w:rsidRPr="006571AC">
        <w:rPr>
          <w:rFonts w:asciiTheme="majorBidi" w:hAnsiTheme="majorBidi"/>
          <w:sz w:val="27"/>
          <w:rtl/>
        </w:rPr>
        <w:t xml:space="preserve"> </w:t>
      </w:r>
      <w:r w:rsidRPr="006571AC">
        <w:rPr>
          <w:rFonts w:asciiTheme="majorBidi" w:hAnsiTheme="majorBidi" w:hint="cs"/>
          <w:sz w:val="27"/>
          <w:rtl/>
        </w:rPr>
        <w:t>لقانون</w:t>
      </w:r>
      <w:r w:rsidRPr="006571AC">
        <w:rPr>
          <w:rFonts w:asciiTheme="majorBidi" w:hAnsiTheme="majorBidi"/>
          <w:sz w:val="27"/>
          <w:rtl/>
        </w:rPr>
        <w:t xml:space="preserve"> </w:t>
      </w:r>
      <w:r w:rsidRPr="006571AC">
        <w:rPr>
          <w:rFonts w:asciiTheme="majorBidi" w:hAnsiTheme="majorBidi" w:hint="cs"/>
          <w:sz w:val="27"/>
          <w:rtl/>
        </w:rPr>
        <w:t>حماية</w:t>
      </w:r>
      <w:r w:rsidRPr="006571AC">
        <w:rPr>
          <w:rFonts w:asciiTheme="majorBidi" w:hAnsiTheme="majorBidi"/>
          <w:sz w:val="27"/>
          <w:rtl/>
        </w:rPr>
        <w:t xml:space="preserve"> </w:t>
      </w:r>
      <w:r w:rsidRPr="006571AC">
        <w:rPr>
          <w:rFonts w:asciiTheme="majorBidi" w:hAnsiTheme="majorBidi" w:hint="cs"/>
          <w:sz w:val="27"/>
          <w:rtl/>
        </w:rPr>
        <w:t>الأسرة</w:t>
      </w:r>
      <w:r w:rsidR="00B40F46" w:rsidRPr="006571AC">
        <w:rPr>
          <w:rFonts w:asciiTheme="majorBidi" w:hAnsiTheme="majorBidi" w:hint="cs"/>
          <w:sz w:val="27"/>
          <w:rtl/>
        </w:rPr>
        <w:t>،</w:t>
      </w:r>
      <w:r w:rsidRPr="006571AC">
        <w:rPr>
          <w:rFonts w:asciiTheme="majorBidi" w:hAnsiTheme="majorBidi"/>
          <w:sz w:val="27"/>
          <w:rtl/>
        </w:rPr>
        <w:t xml:space="preserve"> </w:t>
      </w:r>
      <w:r w:rsidR="00B40F46" w:rsidRPr="006571AC">
        <w:rPr>
          <w:rFonts w:asciiTheme="majorBidi" w:hAnsiTheme="majorBidi" w:hint="cs"/>
          <w:sz w:val="27"/>
          <w:rtl/>
        </w:rPr>
        <w:t>و</w:t>
      </w:r>
      <w:r w:rsidRPr="006571AC">
        <w:rPr>
          <w:rFonts w:asciiTheme="majorBidi" w:hAnsiTheme="majorBidi" w:hint="cs"/>
          <w:sz w:val="27"/>
          <w:rtl/>
        </w:rPr>
        <w:t>بعد</w:t>
      </w:r>
      <w:r w:rsidR="00DA32FC" w:rsidRPr="006571AC">
        <w:rPr>
          <w:rFonts w:asciiTheme="majorBidi" w:hAnsiTheme="majorBidi" w:hint="cs"/>
          <w:sz w:val="27"/>
          <w:rtl/>
        </w:rPr>
        <w:t xml:space="preserve"> مضيّ </w:t>
      </w:r>
      <w:r w:rsidRPr="006571AC">
        <w:rPr>
          <w:rFonts w:asciiTheme="majorBidi" w:hAnsiTheme="majorBidi" w:hint="cs"/>
          <w:sz w:val="27"/>
          <w:rtl/>
        </w:rPr>
        <w:t>سنوات</w:t>
      </w:r>
      <w:r w:rsidR="00B40F4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قليلة</w:t>
      </w:r>
      <w:r w:rsidRPr="006571AC">
        <w:rPr>
          <w:rFonts w:asciiTheme="majorBidi" w:hAnsiTheme="majorBidi"/>
          <w:sz w:val="27"/>
          <w:rtl/>
        </w:rPr>
        <w:t xml:space="preserve"> </w:t>
      </w:r>
      <w:r w:rsidR="00DA32FC" w:rsidRPr="006571AC">
        <w:rPr>
          <w:rFonts w:asciiTheme="majorBidi" w:hAnsiTheme="majorBidi" w:hint="cs"/>
          <w:sz w:val="27"/>
          <w:rtl/>
        </w:rPr>
        <w:t>على ا</w:t>
      </w:r>
      <w:r w:rsidRPr="006571AC">
        <w:rPr>
          <w:rFonts w:asciiTheme="majorBidi" w:hAnsiTheme="majorBidi" w:hint="cs"/>
          <w:sz w:val="27"/>
          <w:rtl/>
        </w:rPr>
        <w:t>ل</w:t>
      </w:r>
      <w:r w:rsidR="00533E49" w:rsidRPr="006571AC">
        <w:rPr>
          <w:rFonts w:asciiTheme="majorBidi" w:hAnsiTheme="majorBidi" w:hint="cs"/>
          <w:sz w:val="27"/>
          <w:rtl/>
        </w:rPr>
        <w:t>موافقة</w:t>
      </w:r>
      <w:r w:rsidRPr="006571AC">
        <w:rPr>
          <w:rFonts w:asciiTheme="majorBidi" w:hAnsiTheme="majorBidi" w:hint="cs"/>
          <w:sz w:val="27"/>
          <w:rtl/>
        </w:rPr>
        <w:t xml:space="preserve"> النهائي</w:t>
      </w:r>
      <w:r w:rsidR="00533E49" w:rsidRPr="006571AC">
        <w:rPr>
          <w:rFonts w:asciiTheme="majorBidi" w:hAnsiTheme="majorBidi" w:hint="cs"/>
          <w:sz w:val="27"/>
          <w:rtl/>
        </w:rPr>
        <w:t>ة</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 xml:space="preserve">قرار البرلمان </w:t>
      </w:r>
      <w:r w:rsidR="00533E49" w:rsidRPr="006571AC">
        <w:rPr>
          <w:rFonts w:asciiTheme="majorBidi" w:hAnsiTheme="majorBidi" w:hint="cs"/>
          <w:sz w:val="27"/>
          <w:rtl/>
        </w:rPr>
        <w:t xml:space="preserve">حول </w:t>
      </w:r>
      <w:r w:rsidRPr="006571AC">
        <w:rPr>
          <w:rFonts w:asciiTheme="majorBidi" w:hAnsiTheme="majorBidi" w:hint="cs"/>
          <w:sz w:val="27"/>
          <w:rtl/>
        </w:rPr>
        <w:t>مشروعية تحديد المهر</w:t>
      </w:r>
      <w:r w:rsidR="00533E49" w:rsidRPr="006571AC">
        <w:rPr>
          <w:rFonts w:asciiTheme="majorBidi" w:hAnsiTheme="majorBidi" w:hint="cs"/>
          <w:sz w:val="27"/>
          <w:rtl/>
        </w:rPr>
        <w:t>،</w:t>
      </w:r>
      <w:r w:rsidRPr="006571AC">
        <w:rPr>
          <w:rFonts w:asciiTheme="majorBidi" w:hAnsiTheme="majorBidi" w:hint="cs"/>
          <w:sz w:val="27"/>
          <w:rtl/>
        </w:rPr>
        <w:t xml:space="preserve"> ينص</w:t>
      </w:r>
      <w:r w:rsidR="00B40F46" w:rsidRPr="006571AC">
        <w:rPr>
          <w:rFonts w:asciiTheme="majorBidi" w:hAnsiTheme="majorBidi" w:hint="cs"/>
          <w:sz w:val="27"/>
          <w:rtl/>
        </w:rPr>
        <w:t>ّ</w:t>
      </w:r>
      <w:r w:rsidRPr="006571AC">
        <w:rPr>
          <w:rFonts w:asciiTheme="majorBidi" w:hAnsiTheme="majorBidi" w:hint="cs"/>
          <w:sz w:val="27"/>
          <w:rtl/>
        </w:rPr>
        <w:t xml:space="preserve"> قانون</w:t>
      </w:r>
      <w:r w:rsidRPr="006571AC">
        <w:rPr>
          <w:rFonts w:asciiTheme="majorBidi" w:hAnsiTheme="majorBidi"/>
          <w:sz w:val="27"/>
          <w:rtl/>
        </w:rPr>
        <w:t xml:space="preserve"> </w:t>
      </w:r>
      <w:r w:rsidRPr="006571AC">
        <w:rPr>
          <w:rFonts w:asciiTheme="majorBidi" w:hAnsiTheme="majorBidi" w:hint="cs"/>
          <w:sz w:val="27"/>
          <w:rtl/>
        </w:rPr>
        <w:t>الإحالة</w:t>
      </w:r>
      <w:r w:rsidRPr="006571AC">
        <w:rPr>
          <w:rFonts w:asciiTheme="majorBidi" w:hAnsiTheme="majorBidi"/>
          <w:sz w:val="27"/>
          <w:rtl/>
        </w:rPr>
        <w:t xml:space="preserve"> </w:t>
      </w:r>
      <w:r w:rsidRPr="006571AC">
        <w:rPr>
          <w:rFonts w:asciiTheme="majorBidi" w:hAnsiTheme="majorBidi" w:hint="cs"/>
          <w:sz w:val="27"/>
          <w:rtl/>
        </w:rPr>
        <w:t>الحكومي</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ما</w:t>
      </w:r>
      <w:r w:rsidRPr="006571AC">
        <w:rPr>
          <w:rFonts w:asciiTheme="majorBidi" w:hAnsiTheme="majorBidi"/>
          <w:sz w:val="27"/>
          <w:rtl/>
        </w:rPr>
        <w:t xml:space="preserve"> </w:t>
      </w:r>
      <w:r w:rsidRPr="006571AC">
        <w:rPr>
          <w:rFonts w:asciiTheme="majorBidi" w:hAnsiTheme="majorBidi" w:hint="cs"/>
          <w:sz w:val="27"/>
          <w:rtl/>
        </w:rPr>
        <w:t>يلي</w:t>
      </w:r>
      <w:r w:rsidRPr="006571AC">
        <w:rPr>
          <w:rFonts w:asciiTheme="majorBidi" w:hAnsiTheme="majorBidi"/>
          <w:sz w:val="27"/>
          <w:rtl/>
        </w:rPr>
        <w:t xml:space="preserve">: </w:t>
      </w:r>
    </w:p>
    <w:p w:rsidR="00237EB1" w:rsidRPr="006571AC" w:rsidRDefault="00237EB1" w:rsidP="00836A19">
      <w:pPr>
        <w:rPr>
          <w:rFonts w:asciiTheme="majorBidi" w:hAnsiTheme="majorBidi"/>
          <w:sz w:val="27"/>
          <w:rtl/>
        </w:rPr>
      </w:pPr>
      <w:r w:rsidRPr="006571AC">
        <w:rPr>
          <w:rFonts w:asciiTheme="majorBidi" w:hAnsiTheme="majorBidi" w:hint="cs"/>
          <w:sz w:val="27"/>
          <w:rtl/>
        </w:rPr>
        <w:t>ـ يجب</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الحكومة</w:t>
      </w:r>
      <w:r w:rsidRPr="006571AC">
        <w:rPr>
          <w:rFonts w:asciiTheme="majorBidi" w:hAnsiTheme="majorBidi"/>
          <w:sz w:val="27"/>
          <w:rtl/>
        </w:rPr>
        <w:t xml:space="preserve"> </w:t>
      </w:r>
      <w:r w:rsidRPr="006571AC">
        <w:rPr>
          <w:rFonts w:asciiTheme="majorBidi" w:hAnsiTheme="majorBidi" w:hint="cs"/>
          <w:sz w:val="27"/>
          <w:rtl/>
        </w:rPr>
        <w:t>العمل</w:t>
      </w:r>
      <w:r w:rsidR="00836A19" w:rsidRPr="006571AC">
        <w:rPr>
          <w:rFonts w:asciiTheme="majorBidi" w:hAnsiTheme="majorBidi" w:hint="cs"/>
          <w:sz w:val="27"/>
          <w:rtl/>
        </w:rPr>
        <w:t xml:space="preserve"> برويّةٍ</w:t>
      </w:r>
      <w:r w:rsidR="00533E49"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خلال</w:t>
      </w:r>
      <w:r w:rsidRPr="006571AC">
        <w:rPr>
          <w:rFonts w:asciiTheme="majorBidi" w:hAnsiTheme="majorBidi"/>
          <w:sz w:val="27"/>
          <w:rtl/>
        </w:rPr>
        <w:t xml:space="preserve"> </w:t>
      </w:r>
      <w:r w:rsidRPr="006571AC">
        <w:rPr>
          <w:rFonts w:asciiTheme="majorBidi" w:hAnsiTheme="majorBidi" w:hint="cs"/>
          <w:sz w:val="27"/>
          <w:rtl/>
        </w:rPr>
        <w:t>المؤس</w:t>
      </w:r>
      <w:r w:rsidR="00533E49" w:rsidRPr="006571AC">
        <w:rPr>
          <w:rFonts w:asciiTheme="majorBidi" w:hAnsiTheme="majorBidi" w:hint="cs"/>
          <w:sz w:val="27"/>
          <w:rtl/>
        </w:rPr>
        <w:t>َّ</w:t>
      </w:r>
      <w:r w:rsidRPr="006571AC">
        <w:rPr>
          <w:rFonts w:asciiTheme="majorBidi" w:hAnsiTheme="majorBidi" w:hint="cs"/>
          <w:sz w:val="27"/>
          <w:rtl/>
        </w:rPr>
        <w:t>سات</w:t>
      </w:r>
      <w:r w:rsidRPr="006571AC">
        <w:rPr>
          <w:rFonts w:asciiTheme="majorBidi" w:hAnsiTheme="majorBidi"/>
          <w:sz w:val="27"/>
          <w:rtl/>
        </w:rPr>
        <w:t xml:space="preserve"> </w:t>
      </w:r>
      <w:r w:rsidRPr="006571AC">
        <w:rPr>
          <w:rFonts w:asciiTheme="majorBidi" w:hAnsiTheme="majorBidi" w:hint="cs"/>
          <w:sz w:val="27"/>
          <w:rtl/>
        </w:rPr>
        <w:t>الثقافية</w:t>
      </w:r>
      <w:r w:rsidR="00533E49"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لتعزيز</w:t>
      </w:r>
      <w:r w:rsidRPr="006571AC">
        <w:rPr>
          <w:rFonts w:asciiTheme="majorBidi" w:hAnsiTheme="majorBidi"/>
          <w:sz w:val="27"/>
          <w:rtl/>
        </w:rPr>
        <w:t xml:space="preserve"> </w:t>
      </w:r>
      <w:r w:rsidRPr="006571AC">
        <w:rPr>
          <w:rFonts w:asciiTheme="majorBidi" w:hAnsiTheme="majorBidi" w:hint="cs"/>
          <w:sz w:val="27"/>
          <w:rtl/>
        </w:rPr>
        <w:t>ثقافة</w:t>
      </w:r>
      <w:r w:rsidRPr="006571AC">
        <w:rPr>
          <w:rFonts w:asciiTheme="majorBidi" w:hAnsiTheme="majorBidi"/>
          <w:sz w:val="27"/>
          <w:rtl/>
        </w:rPr>
        <w:t xml:space="preserve"> </w:t>
      </w:r>
      <w:r w:rsidRPr="006571AC">
        <w:rPr>
          <w:rFonts w:asciiTheme="majorBidi" w:hAnsiTheme="majorBidi" w:hint="cs"/>
          <w:sz w:val="27"/>
          <w:rtl/>
        </w:rPr>
        <w:t>الزواج</w:t>
      </w:r>
      <w:r w:rsidR="00533E49"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ومراعاة</w:t>
      </w:r>
      <w:r w:rsidRPr="006571AC">
        <w:rPr>
          <w:rFonts w:asciiTheme="majorBidi" w:hAnsiTheme="majorBidi"/>
          <w:sz w:val="27"/>
          <w:rtl/>
        </w:rPr>
        <w:t xml:space="preserve"> </w:t>
      </w:r>
      <w:r w:rsidRPr="006571AC">
        <w:rPr>
          <w:rFonts w:asciiTheme="majorBidi" w:hAnsiTheme="majorBidi" w:hint="cs"/>
          <w:sz w:val="27"/>
          <w:rtl/>
        </w:rPr>
        <w:t>المهور</w:t>
      </w:r>
      <w:r w:rsidRPr="006571AC">
        <w:rPr>
          <w:rFonts w:asciiTheme="majorBidi" w:hAnsiTheme="majorBidi"/>
          <w:sz w:val="27"/>
          <w:rtl/>
        </w:rPr>
        <w:t xml:space="preserve"> </w:t>
      </w:r>
      <w:r w:rsidRPr="006571AC">
        <w:rPr>
          <w:rFonts w:asciiTheme="majorBidi" w:hAnsiTheme="majorBidi" w:hint="cs"/>
          <w:sz w:val="27"/>
          <w:rtl/>
        </w:rPr>
        <w:t>الع</w:t>
      </w:r>
      <w:r w:rsidR="00533E49" w:rsidRPr="006571AC">
        <w:rPr>
          <w:rFonts w:asciiTheme="majorBidi" w:hAnsiTheme="majorBidi" w:hint="cs"/>
          <w:sz w:val="27"/>
          <w:rtl/>
        </w:rPr>
        <w:t>ُ</w:t>
      </w:r>
      <w:r w:rsidRPr="006571AC">
        <w:rPr>
          <w:rFonts w:asciiTheme="majorBidi" w:hAnsiTheme="majorBidi" w:hint="cs"/>
          <w:sz w:val="27"/>
          <w:rtl/>
        </w:rPr>
        <w:t>ر</w:t>
      </w:r>
      <w:r w:rsidR="00533E49" w:rsidRPr="006571AC">
        <w:rPr>
          <w:rFonts w:asciiTheme="majorBidi" w:hAnsiTheme="majorBidi" w:hint="cs"/>
          <w:sz w:val="27"/>
          <w:rtl/>
        </w:rPr>
        <w:t>ْ</w:t>
      </w:r>
      <w:r w:rsidRPr="006571AC">
        <w:rPr>
          <w:rFonts w:asciiTheme="majorBidi" w:hAnsiTheme="majorBidi" w:hint="cs"/>
          <w:sz w:val="27"/>
          <w:rtl/>
        </w:rPr>
        <w:t>فية</w:t>
      </w:r>
      <w:r w:rsidR="00533E49" w:rsidRPr="006571AC">
        <w:rPr>
          <w:rFonts w:asciiTheme="majorBidi" w:hAnsiTheme="majorBidi" w:hint="cs"/>
          <w:sz w:val="27"/>
          <w:rtl/>
        </w:rPr>
        <w:t xml:space="preserve">. </w:t>
      </w:r>
      <w:r w:rsidRPr="006571AC">
        <w:rPr>
          <w:rFonts w:asciiTheme="majorBidi" w:hAnsiTheme="majorBidi" w:hint="cs"/>
          <w:sz w:val="27"/>
          <w:rtl/>
        </w:rPr>
        <w:t>ويعلن</w:t>
      </w:r>
      <w:r w:rsidRPr="006571AC">
        <w:rPr>
          <w:rFonts w:asciiTheme="majorBidi" w:hAnsiTheme="majorBidi"/>
          <w:sz w:val="27"/>
          <w:rtl/>
        </w:rPr>
        <w:t xml:space="preserve"> </w:t>
      </w:r>
      <w:r w:rsidRPr="006571AC">
        <w:rPr>
          <w:rFonts w:asciiTheme="majorBidi" w:hAnsiTheme="majorBidi" w:hint="cs"/>
          <w:sz w:val="27"/>
          <w:rtl/>
        </w:rPr>
        <w:t>مقدار</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ح</w:t>
      </w:r>
      <w:r w:rsidR="00533E49" w:rsidRPr="006571AC">
        <w:rPr>
          <w:rFonts w:asciiTheme="majorBidi" w:hAnsiTheme="majorBidi" w:hint="cs"/>
          <w:sz w:val="27"/>
          <w:rtl/>
        </w:rPr>
        <w:t>َ</w:t>
      </w:r>
      <w:r w:rsidRPr="006571AC">
        <w:rPr>
          <w:rFonts w:asciiTheme="majorBidi" w:hAnsiTheme="majorBidi" w:hint="cs"/>
          <w:sz w:val="27"/>
          <w:rtl/>
        </w:rPr>
        <w:t>س</w:t>
      </w:r>
      <w:r w:rsidR="00533E49" w:rsidRPr="006571AC">
        <w:rPr>
          <w:rFonts w:asciiTheme="majorBidi" w:hAnsiTheme="majorBidi" w:hint="cs"/>
          <w:sz w:val="27"/>
          <w:rtl/>
        </w:rPr>
        <w:t>ْ</w:t>
      </w:r>
      <w:r w:rsidRPr="006571AC">
        <w:rPr>
          <w:rFonts w:asciiTheme="majorBidi" w:hAnsiTheme="majorBidi" w:hint="cs"/>
          <w:sz w:val="27"/>
          <w:rtl/>
        </w:rPr>
        <w:t>ب</w:t>
      </w:r>
      <w:r w:rsidRPr="006571AC">
        <w:rPr>
          <w:rFonts w:asciiTheme="majorBidi" w:hAnsiTheme="majorBidi"/>
          <w:sz w:val="27"/>
          <w:rtl/>
        </w:rPr>
        <w:t xml:space="preserve"> </w:t>
      </w:r>
      <w:r w:rsidRPr="006571AC">
        <w:rPr>
          <w:rFonts w:asciiTheme="majorBidi" w:hAnsiTheme="majorBidi" w:hint="cs"/>
          <w:sz w:val="27"/>
          <w:rtl/>
        </w:rPr>
        <w:t>الوضع</w:t>
      </w:r>
      <w:r w:rsidRPr="006571AC">
        <w:rPr>
          <w:rFonts w:asciiTheme="majorBidi" w:hAnsiTheme="majorBidi"/>
          <w:sz w:val="27"/>
          <w:rtl/>
        </w:rPr>
        <w:t xml:space="preserve"> </w:t>
      </w:r>
      <w:r w:rsidRPr="006571AC">
        <w:rPr>
          <w:rFonts w:asciiTheme="majorBidi" w:hAnsiTheme="majorBidi" w:hint="cs"/>
          <w:sz w:val="27"/>
          <w:rtl/>
        </w:rPr>
        <w:t>الاقتصادي</w:t>
      </w:r>
      <w:r w:rsidRPr="006571AC">
        <w:rPr>
          <w:rFonts w:asciiTheme="majorBidi" w:hAnsiTheme="majorBidi"/>
          <w:sz w:val="27"/>
          <w:rtl/>
        </w:rPr>
        <w:t xml:space="preserve"> </w:t>
      </w:r>
      <w:r w:rsidRPr="006571AC">
        <w:rPr>
          <w:rFonts w:asciiTheme="majorBidi" w:hAnsiTheme="majorBidi" w:hint="cs"/>
          <w:sz w:val="27"/>
          <w:rtl/>
        </w:rPr>
        <w:t>العام</w:t>
      </w:r>
      <w:r w:rsidRPr="006571AC">
        <w:rPr>
          <w:rFonts w:asciiTheme="majorBidi" w:hAnsiTheme="majorBidi"/>
          <w:sz w:val="27"/>
          <w:rtl/>
        </w:rPr>
        <w:t xml:space="preserve"> </w:t>
      </w:r>
      <w:r w:rsidRPr="006571AC">
        <w:rPr>
          <w:rFonts w:asciiTheme="majorBidi" w:hAnsiTheme="majorBidi" w:hint="cs"/>
          <w:sz w:val="27"/>
          <w:rtl/>
        </w:rPr>
        <w:t>كل</w:t>
      </w:r>
      <w:r w:rsidR="00533E49"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ثلاث</w:t>
      </w:r>
      <w:r w:rsidRPr="006571AC">
        <w:rPr>
          <w:rFonts w:asciiTheme="majorBidi" w:hAnsiTheme="majorBidi"/>
          <w:sz w:val="27"/>
          <w:rtl/>
        </w:rPr>
        <w:t xml:space="preserve"> </w:t>
      </w:r>
      <w:r w:rsidRPr="006571AC">
        <w:rPr>
          <w:rFonts w:asciiTheme="majorBidi" w:hAnsiTheme="majorBidi" w:hint="cs"/>
          <w:sz w:val="27"/>
          <w:rtl/>
        </w:rPr>
        <w:t>سنوات</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ق</w:t>
      </w:r>
      <w:r w:rsidR="00533E49" w:rsidRPr="006571AC">
        <w:rPr>
          <w:rFonts w:asciiTheme="majorBidi" w:hAnsiTheme="majorBidi" w:hint="cs"/>
          <w:sz w:val="27"/>
          <w:rtl/>
        </w:rPr>
        <w:t>ِ</w:t>
      </w:r>
      <w:r w:rsidRPr="006571AC">
        <w:rPr>
          <w:rFonts w:asciiTheme="majorBidi" w:hAnsiTheme="majorBidi" w:hint="cs"/>
          <w:sz w:val="27"/>
          <w:rtl/>
        </w:rPr>
        <w:t>ب</w:t>
      </w:r>
      <w:r w:rsidR="00533E49" w:rsidRPr="006571AC">
        <w:rPr>
          <w:rFonts w:asciiTheme="majorBidi" w:hAnsiTheme="majorBidi" w:hint="cs"/>
          <w:sz w:val="27"/>
          <w:rtl/>
        </w:rPr>
        <w:t>َ</w:t>
      </w:r>
      <w:r w:rsidRPr="006571AC">
        <w:rPr>
          <w:rFonts w:asciiTheme="majorBidi" w:hAnsiTheme="majorBidi" w:hint="cs"/>
          <w:sz w:val="27"/>
          <w:rtl/>
        </w:rPr>
        <w:t>ل</w:t>
      </w:r>
      <w:r w:rsidRPr="006571AC">
        <w:rPr>
          <w:rFonts w:asciiTheme="majorBidi" w:hAnsiTheme="majorBidi"/>
          <w:sz w:val="27"/>
          <w:rtl/>
        </w:rPr>
        <w:t xml:space="preserve"> </w:t>
      </w:r>
      <w:r w:rsidRPr="006571AC">
        <w:rPr>
          <w:rFonts w:asciiTheme="majorBidi" w:hAnsiTheme="majorBidi" w:hint="cs"/>
          <w:sz w:val="27"/>
          <w:rtl/>
        </w:rPr>
        <w:t>رئيس</w:t>
      </w:r>
      <w:r w:rsidRPr="006571AC">
        <w:rPr>
          <w:rFonts w:asciiTheme="majorBidi" w:hAnsiTheme="majorBidi"/>
          <w:sz w:val="27"/>
          <w:rtl/>
        </w:rPr>
        <w:t xml:space="preserve"> </w:t>
      </w:r>
      <w:r w:rsidRPr="006571AC">
        <w:rPr>
          <w:rFonts w:asciiTheme="majorBidi" w:hAnsiTheme="majorBidi" w:hint="cs"/>
          <w:sz w:val="27"/>
          <w:rtl/>
        </w:rPr>
        <w:t>القضاء</w:t>
      </w:r>
      <w:r w:rsidRPr="006571AC">
        <w:rPr>
          <w:rFonts w:asciiTheme="majorBidi" w:hAnsiTheme="majorBidi"/>
          <w:sz w:val="27"/>
          <w:rtl/>
        </w:rPr>
        <w:t xml:space="preserve">. </w:t>
      </w:r>
      <w:r w:rsidRPr="006571AC">
        <w:rPr>
          <w:rFonts w:asciiTheme="majorBidi" w:hAnsiTheme="majorBidi" w:hint="cs"/>
          <w:sz w:val="27"/>
          <w:rtl/>
        </w:rPr>
        <w:t>إذا</w:t>
      </w:r>
      <w:r w:rsidRPr="006571AC">
        <w:rPr>
          <w:rFonts w:asciiTheme="majorBidi" w:hAnsiTheme="majorBidi"/>
          <w:sz w:val="27"/>
          <w:rtl/>
        </w:rPr>
        <w:t xml:space="preserve"> </w:t>
      </w:r>
      <w:r w:rsidRPr="006571AC">
        <w:rPr>
          <w:rFonts w:asciiTheme="majorBidi" w:hAnsiTheme="majorBidi" w:hint="cs"/>
          <w:sz w:val="27"/>
          <w:rtl/>
        </w:rPr>
        <w:t>كان</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وقت</w:t>
      </w:r>
      <w:r w:rsidRPr="006571AC">
        <w:rPr>
          <w:rFonts w:asciiTheme="majorBidi" w:hAnsiTheme="majorBidi"/>
          <w:sz w:val="27"/>
          <w:rtl/>
        </w:rPr>
        <w:t xml:space="preserve"> </w:t>
      </w:r>
      <w:r w:rsidRPr="006571AC">
        <w:rPr>
          <w:rFonts w:asciiTheme="majorBidi" w:hAnsiTheme="majorBidi" w:hint="cs"/>
          <w:sz w:val="27"/>
          <w:rtl/>
        </w:rPr>
        <w:t>العقد</w:t>
      </w:r>
      <w:r w:rsidRPr="006571AC">
        <w:rPr>
          <w:rFonts w:asciiTheme="majorBidi" w:hAnsiTheme="majorBidi"/>
          <w:sz w:val="27"/>
          <w:rtl/>
        </w:rPr>
        <w:t xml:space="preserve"> </w:t>
      </w:r>
      <w:r w:rsidRPr="006571AC">
        <w:rPr>
          <w:rFonts w:asciiTheme="majorBidi" w:hAnsiTheme="majorBidi" w:hint="cs"/>
          <w:sz w:val="27"/>
          <w:rtl/>
        </w:rPr>
        <w:t>متعارف</w:t>
      </w:r>
      <w:r w:rsidR="00533E49" w:rsidRPr="006571AC">
        <w:rPr>
          <w:rFonts w:asciiTheme="majorBidi" w:hAnsiTheme="majorBidi" w:hint="cs"/>
          <w:sz w:val="27"/>
          <w:rtl/>
        </w:rPr>
        <w:t>اً</w:t>
      </w:r>
      <w:r w:rsidRPr="006571AC">
        <w:rPr>
          <w:rFonts w:asciiTheme="majorBidi" w:hAnsiTheme="majorBidi" w:hint="cs"/>
          <w:sz w:val="27"/>
          <w:rtl/>
        </w:rPr>
        <w:t xml:space="preserve"> عليه ومقبولا</w:t>
      </w:r>
      <w:r w:rsidR="00533E49"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وامتنع الزوج عن</w:t>
      </w:r>
      <w:r w:rsidRPr="006571AC">
        <w:rPr>
          <w:rFonts w:asciiTheme="majorBidi" w:hAnsiTheme="majorBidi"/>
          <w:sz w:val="27"/>
          <w:rtl/>
        </w:rPr>
        <w:t xml:space="preserve"> </w:t>
      </w:r>
      <w:r w:rsidRPr="006571AC">
        <w:rPr>
          <w:rFonts w:asciiTheme="majorBidi" w:hAnsiTheme="majorBidi" w:hint="cs"/>
          <w:sz w:val="27"/>
          <w:rtl/>
        </w:rPr>
        <w:t>دفعه، عندئذ</w:t>
      </w:r>
      <w:r w:rsidR="00533E49" w:rsidRPr="006571AC">
        <w:rPr>
          <w:rFonts w:asciiTheme="majorBidi" w:hAnsiTheme="majorBidi" w:hint="cs"/>
          <w:sz w:val="27"/>
          <w:rtl/>
        </w:rPr>
        <w:t>ٍ</w:t>
      </w:r>
      <w:r w:rsidRPr="006571AC">
        <w:rPr>
          <w:rFonts w:asciiTheme="majorBidi" w:hAnsiTheme="majorBidi" w:hint="cs"/>
          <w:sz w:val="27"/>
          <w:rtl/>
        </w:rPr>
        <w:t xml:space="preserve"> يخضع</w:t>
      </w:r>
      <w:r w:rsidRPr="006571AC">
        <w:rPr>
          <w:rFonts w:asciiTheme="majorBidi" w:hAnsiTheme="majorBidi"/>
          <w:sz w:val="27"/>
          <w:rtl/>
        </w:rPr>
        <w:t xml:space="preserve"> </w:t>
      </w:r>
      <w:r w:rsidRPr="006571AC">
        <w:rPr>
          <w:rFonts w:asciiTheme="majorBidi" w:hAnsiTheme="majorBidi" w:hint="cs"/>
          <w:sz w:val="27"/>
          <w:rtl/>
        </w:rPr>
        <w:t>لقانون</w:t>
      </w:r>
      <w:r w:rsidRPr="006571AC">
        <w:rPr>
          <w:rFonts w:asciiTheme="majorBidi" w:hAnsiTheme="majorBidi"/>
          <w:sz w:val="27"/>
          <w:rtl/>
        </w:rPr>
        <w:t xml:space="preserve"> </w:t>
      </w:r>
      <w:r w:rsidRPr="006571AC">
        <w:rPr>
          <w:rFonts w:asciiTheme="majorBidi" w:hAnsiTheme="majorBidi" w:hint="cs"/>
          <w:sz w:val="27"/>
          <w:rtl/>
        </w:rPr>
        <w:t>العقوبة</w:t>
      </w:r>
      <w:r w:rsidRPr="006571AC">
        <w:rPr>
          <w:rFonts w:asciiTheme="majorBidi" w:hAnsiTheme="majorBidi"/>
          <w:sz w:val="27"/>
          <w:rtl/>
        </w:rPr>
        <w:t>؛</w:t>
      </w:r>
      <w:r w:rsidRPr="006571AC">
        <w:rPr>
          <w:rFonts w:asciiTheme="majorBidi" w:hAnsiTheme="majorBidi" w:hint="cs"/>
          <w:sz w:val="27"/>
          <w:rtl/>
        </w:rPr>
        <w:t xml:space="preserve"> أما</w:t>
      </w:r>
      <w:r w:rsidRPr="006571AC">
        <w:rPr>
          <w:rFonts w:asciiTheme="majorBidi" w:hAnsiTheme="majorBidi"/>
          <w:sz w:val="27"/>
          <w:rtl/>
        </w:rPr>
        <w:t xml:space="preserve"> </w:t>
      </w:r>
      <w:r w:rsidRPr="006571AC">
        <w:rPr>
          <w:rFonts w:asciiTheme="majorBidi" w:hAnsiTheme="majorBidi" w:hint="cs"/>
          <w:sz w:val="27"/>
          <w:rtl/>
        </w:rPr>
        <w:t>إذا</w:t>
      </w:r>
      <w:r w:rsidRPr="006571AC">
        <w:rPr>
          <w:rFonts w:asciiTheme="majorBidi" w:hAnsiTheme="majorBidi"/>
          <w:sz w:val="27"/>
          <w:rtl/>
        </w:rPr>
        <w:t xml:space="preserve"> </w:t>
      </w:r>
      <w:r w:rsidRPr="006571AC">
        <w:rPr>
          <w:rFonts w:asciiTheme="majorBidi" w:hAnsiTheme="majorBidi" w:hint="cs"/>
          <w:sz w:val="27"/>
          <w:rtl/>
        </w:rPr>
        <w:t>كان</w:t>
      </w:r>
      <w:r w:rsidRPr="006571AC">
        <w:rPr>
          <w:rFonts w:asciiTheme="majorBidi" w:hAnsiTheme="majorBidi"/>
          <w:sz w:val="27"/>
          <w:rtl/>
        </w:rPr>
        <w:t xml:space="preserve"> </w:t>
      </w:r>
      <w:r w:rsidRPr="006571AC">
        <w:rPr>
          <w:rFonts w:asciiTheme="majorBidi" w:hAnsiTheme="majorBidi" w:hint="cs"/>
          <w:sz w:val="27"/>
          <w:rtl/>
        </w:rPr>
        <w:t>المهر أغلى قيمة</w:t>
      </w:r>
      <w:r w:rsidR="00533E49" w:rsidRPr="006571AC">
        <w:rPr>
          <w:rFonts w:asciiTheme="majorBidi" w:hAnsiTheme="majorBidi" w:hint="cs"/>
          <w:sz w:val="27"/>
          <w:rtl/>
        </w:rPr>
        <w:t>ً</w:t>
      </w:r>
      <w:r w:rsidRPr="006571AC">
        <w:rPr>
          <w:rFonts w:asciiTheme="majorBidi" w:hAnsiTheme="majorBidi" w:hint="cs"/>
          <w:sz w:val="27"/>
          <w:rtl/>
        </w:rPr>
        <w:t xml:space="preserve"> من</w:t>
      </w:r>
      <w:r w:rsidRPr="006571AC">
        <w:rPr>
          <w:rFonts w:asciiTheme="majorBidi" w:hAnsiTheme="majorBidi"/>
          <w:sz w:val="27"/>
          <w:rtl/>
        </w:rPr>
        <w:t xml:space="preserve"> </w:t>
      </w:r>
      <w:r w:rsidRPr="006571AC">
        <w:rPr>
          <w:rFonts w:asciiTheme="majorBidi" w:hAnsiTheme="majorBidi" w:hint="cs"/>
          <w:sz w:val="27"/>
          <w:rtl/>
        </w:rPr>
        <w:t>المقدار</w:t>
      </w:r>
      <w:r w:rsidRPr="006571AC">
        <w:rPr>
          <w:rFonts w:asciiTheme="majorBidi" w:hAnsiTheme="majorBidi"/>
          <w:sz w:val="27"/>
          <w:rtl/>
        </w:rPr>
        <w:t xml:space="preserve"> </w:t>
      </w:r>
      <w:r w:rsidRPr="006571AC">
        <w:rPr>
          <w:rFonts w:asciiTheme="majorBidi" w:hAnsiTheme="majorBidi" w:hint="cs"/>
          <w:sz w:val="27"/>
          <w:rtl/>
        </w:rPr>
        <w:t>المتعارف عليه</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سنة</w:t>
      </w:r>
      <w:r w:rsidRPr="006571AC">
        <w:rPr>
          <w:rFonts w:asciiTheme="majorBidi" w:hAnsiTheme="majorBidi"/>
          <w:sz w:val="27"/>
          <w:rtl/>
        </w:rPr>
        <w:t xml:space="preserve"> </w:t>
      </w:r>
      <w:r w:rsidRPr="006571AC">
        <w:rPr>
          <w:rFonts w:asciiTheme="majorBidi" w:hAnsiTheme="majorBidi" w:hint="cs"/>
          <w:sz w:val="27"/>
          <w:rtl/>
        </w:rPr>
        <w:t>العقد</w:t>
      </w:r>
      <w:r w:rsidRPr="006571AC">
        <w:rPr>
          <w:rFonts w:asciiTheme="majorBidi" w:hAnsiTheme="majorBidi"/>
          <w:sz w:val="27"/>
          <w:rtl/>
        </w:rPr>
        <w:t xml:space="preserve"> </w:t>
      </w:r>
      <w:r w:rsidRPr="006571AC">
        <w:rPr>
          <w:rFonts w:asciiTheme="majorBidi" w:hAnsiTheme="majorBidi" w:hint="cs"/>
          <w:sz w:val="27"/>
          <w:rtl/>
        </w:rPr>
        <w:t>فإن الزوج يبرأ من الدفع</w:t>
      </w:r>
      <w:r w:rsidR="00533E49" w:rsidRPr="006571AC">
        <w:rPr>
          <w:rFonts w:asciiTheme="majorBidi" w:hAnsiTheme="majorBidi" w:hint="cs"/>
          <w:sz w:val="27"/>
          <w:rtl/>
        </w:rPr>
        <w:t>،</w:t>
      </w:r>
      <w:r w:rsidRPr="006571AC">
        <w:rPr>
          <w:rFonts w:asciiTheme="majorBidi" w:hAnsiTheme="majorBidi" w:hint="cs"/>
          <w:sz w:val="27"/>
          <w:rtl/>
        </w:rPr>
        <w:t xml:space="preserve"> ولا يخضع للعقوبة. </w:t>
      </w:r>
    </w:p>
    <w:p w:rsidR="00237EB1" w:rsidRPr="006571AC" w:rsidRDefault="00237EB1" w:rsidP="00E60D93">
      <w:pPr>
        <w:rPr>
          <w:rFonts w:asciiTheme="majorBidi" w:hAnsiTheme="majorBidi"/>
          <w:sz w:val="27"/>
          <w:rtl/>
        </w:rPr>
      </w:pPr>
      <w:r w:rsidRPr="006571AC">
        <w:rPr>
          <w:rFonts w:asciiTheme="majorBidi" w:hAnsiTheme="majorBidi" w:hint="cs"/>
          <w:sz w:val="27"/>
          <w:rtl/>
        </w:rPr>
        <w:t>وللأسف فإن هذه المادة التي تحد</w:t>
      </w:r>
      <w:r w:rsidR="00533E49" w:rsidRPr="006571AC">
        <w:rPr>
          <w:rFonts w:asciiTheme="majorBidi" w:hAnsiTheme="majorBidi" w:hint="cs"/>
          <w:sz w:val="27"/>
          <w:rtl/>
        </w:rPr>
        <w:t>ِّ</w:t>
      </w:r>
      <w:r w:rsidRPr="006571AC">
        <w:rPr>
          <w:rFonts w:asciiTheme="majorBidi" w:hAnsiTheme="majorBidi" w:hint="cs"/>
          <w:sz w:val="27"/>
          <w:rtl/>
        </w:rPr>
        <w:t>د سقفا</w:t>
      </w:r>
      <w:r w:rsidR="00533E49" w:rsidRPr="006571AC">
        <w:rPr>
          <w:rFonts w:asciiTheme="majorBidi" w:hAnsiTheme="majorBidi" w:hint="cs"/>
          <w:sz w:val="27"/>
          <w:rtl/>
        </w:rPr>
        <w:t>ً</w:t>
      </w:r>
      <w:r w:rsidRPr="006571AC">
        <w:rPr>
          <w:rFonts w:asciiTheme="majorBidi" w:hAnsiTheme="majorBidi" w:hint="cs"/>
          <w:sz w:val="27"/>
          <w:rtl/>
        </w:rPr>
        <w:t xml:space="preserve"> معي</w:t>
      </w:r>
      <w:r w:rsidR="00533E49" w:rsidRPr="006571AC">
        <w:rPr>
          <w:rFonts w:asciiTheme="majorBidi" w:hAnsiTheme="majorBidi" w:hint="cs"/>
          <w:sz w:val="27"/>
          <w:rtl/>
        </w:rPr>
        <w:t>َّ</w:t>
      </w:r>
      <w:r w:rsidRPr="006571AC">
        <w:rPr>
          <w:rFonts w:asciiTheme="majorBidi" w:hAnsiTheme="majorBidi" w:hint="cs"/>
          <w:sz w:val="27"/>
          <w:rtl/>
        </w:rPr>
        <w:t>نا</w:t>
      </w:r>
      <w:r w:rsidR="00533E49" w:rsidRPr="006571AC">
        <w:rPr>
          <w:rFonts w:asciiTheme="majorBidi" w:hAnsiTheme="majorBidi" w:hint="cs"/>
          <w:sz w:val="27"/>
          <w:rtl/>
        </w:rPr>
        <w:t>ً</w:t>
      </w:r>
      <w:r w:rsidRPr="006571AC">
        <w:rPr>
          <w:rFonts w:asciiTheme="majorBidi" w:hAnsiTheme="majorBidi" w:hint="cs"/>
          <w:sz w:val="27"/>
          <w:rtl/>
        </w:rPr>
        <w:t xml:space="preserve"> للمهر أ</w:t>
      </w:r>
      <w:r w:rsidR="00533E49" w:rsidRPr="006571AC">
        <w:rPr>
          <w:rFonts w:asciiTheme="majorBidi" w:hAnsiTheme="majorBidi" w:hint="cs"/>
          <w:sz w:val="27"/>
          <w:rtl/>
        </w:rPr>
        <w:t>ُ</w:t>
      </w:r>
      <w:r w:rsidRPr="006571AC">
        <w:rPr>
          <w:rFonts w:asciiTheme="majorBidi" w:hAnsiTheme="majorBidi" w:hint="cs"/>
          <w:sz w:val="27"/>
          <w:rtl/>
        </w:rPr>
        <w:t>لغي</w:t>
      </w:r>
      <w:r w:rsidR="00533E49" w:rsidRPr="006571AC">
        <w:rPr>
          <w:rFonts w:asciiTheme="majorBidi" w:hAnsiTheme="majorBidi" w:hint="cs"/>
          <w:sz w:val="27"/>
          <w:rtl/>
        </w:rPr>
        <w:t>َ</w:t>
      </w:r>
      <w:r w:rsidRPr="006571AC">
        <w:rPr>
          <w:rFonts w:asciiTheme="majorBidi" w:hAnsiTheme="majorBidi" w:hint="cs"/>
          <w:sz w:val="27"/>
          <w:rtl/>
        </w:rPr>
        <w:t>ت</w:t>
      </w:r>
      <w:r w:rsidR="00533E49" w:rsidRPr="006571AC">
        <w:rPr>
          <w:rFonts w:asciiTheme="majorBidi" w:hAnsiTheme="majorBidi" w:hint="cs"/>
          <w:sz w:val="27"/>
          <w:rtl/>
        </w:rPr>
        <w:t>ْ</w:t>
      </w:r>
      <w:r w:rsidRPr="006571AC">
        <w:rPr>
          <w:rFonts w:asciiTheme="majorBidi" w:hAnsiTheme="majorBidi" w:hint="cs"/>
          <w:sz w:val="27"/>
          <w:rtl/>
        </w:rPr>
        <w:t xml:space="preserve"> من ق</w:t>
      </w:r>
      <w:r w:rsidR="00533E49" w:rsidRPr="006571AC">
        <w:rPr>
          <w:rFonts w:asciiTheme="majorBidi" w:hAnsiTheme="majorBidi" w:hint="cs"/>
          <w:sz w:val="27"/>
          <w:rtl/>
        </w:rPr>
        <w:t>ِ</w:t>
      </w:r>
      <w:r w:rsidRPr="006571AC">
        <w:rPr>
          <w:rFonts w:asciiTheme="majorBidi" w:hAnsiTheme="majorBidi" w:hint="cs"/>
          <w:sz w:val="27"/>
          <w:rtl/>
        </w:rPr>
        <w:t>ب</w:t>
      </w:r>
      <w:r w:rsidR="00533E49" w:rsidRPr="006571AC">
        <w:rPr>
          <w:rFonts w:asciiTheme="majorBidi" w:hAnsiTheme="majorBidi" w:hint="cs"/>
          <w:sz w:val="27"/>
          <w:rtl/>
        </w:rPr>
        <w:t>َ</w:t>
      </w:r>
      <w:r w:rsidRPr="006571AC">
        <w:rPr>
          <w:rFonts w:asciiTheme="majorBidi" w:hAnsiTheme="majorBidi" w:hint="cs"/>
          <w:sz w:val="27"/>
          <w:rtl/>
        </w:rPr>
        <w:t>ل الهيئة الحقوقية والقضائية</w:t>
      </w:r>
      <w:r w:rsidR="00533E49" w:rsidRPr="006571AC">
        <w:rPr>
          <w:rFonts w:asciiTheme="majorBidi" w:hAnsiTheme="majorBidi" w:hint="cs"/>
          <w:sz w:val="27"/>
          <w:rtl/>
        </w:rPr>
        <w:t>.</w:t>
      </w:r>
      <w:r w:rsidRPr="006571AC">
        <w:rPr>
          <w:rFonts w:asciiTheme="majorBidi" w:hAnsiTheme="majorBidi" w:hint="cs"/>
          <w:sz w:val="27"/>
          <w:rtl/>
        </w:rPr>
        <w:t xml:space="preserve"> وفي المقابل </w:t>
      </w:r>
      <w:r w:rsidRPr="006571AC">
        <w:rPr>
          <w:rFonts w:hint="cs"/>
          <w:sz w:val="27"/>
          <w:rtl/>
        </w:rPr>
        <w:t>قام المسؤولون بخطوة</w:t>
      </w:r>
      <w:r w:rsidR="00533E49" w:rsidRPr="006571AC">
        <w:rPr>
          <w:rFonts w:hint="cs"/>
          <w:sz w:val="27"/>
          <w:rtl/>
        </w:rPr>
        <w:t>ٍ</w:t>
      </w:r>
      <w:r w:rsidRPr="006571AC">
        <w:rPr>
          <w:rFonts w:hint="cs"/>
          <w:sz w:val="27"/>
          <w:rtl/>
        </w:rPr>
        <w:t xml:space="preserve"> معاكسة</w:t>
      </w:r>
      <w:r w:rsidR="00533E49" w:rsidRPr="006571AC">
        <w:rPr>
          <w:rFonts w:hint="cs"/>
          <w:sz w:val="27"/>
          <w:rtl/>
        </w:rPr>
        <w:t>،</w:t>
      </w:r>
      <w:r w:rsidRPr="006571AC">
        <w:rPr>
          <w:rFonts w:hint="cs"/>
          <w:sz w:val="27"/>
          <w:rtl/>
        </w:rPr>
        <w:t xml:space="preserve"> وهي إلحاق</w:t>
      </w:r>
      <w:r w:rsidRPr="006571AC">
        <w:rPr>
          <w:sz w:val="27"/>
          <w:rtl/>
        </w:rPr>
        <w:t xml:space="preserve"> </w:t>
      </w:r>
      <w:r w:rsidRPr="006571AC">
        <w:rPr>
          <w:rFonts w:hint="cs"/>
          <w:sz w:val="27"/>
          <w:rtl/>
        </w:rPr>
        <w:t>مذكرة</w:t>
      </w:r>
      <w:r w:rsidR="00533E49" w:rsidRPr="006571AC">
        <w:rPr>
          <w:rFonts w:hint="cs"/>
          <w:sz w:val="27"/>
          <w:rtl/>
        </w:rPr>
        <w:t>ٍ</w:t>
      </w:r>
      <w:r w:rsidRPr="006571AC">
        <w:rPr>
          <w:sz w:val="27"/>
          <w:rtl/>
        </w:rPr>
        <w:t xml:space="preserve"> </w:t>
      </w:r>
      <w:r w:rsidRPr="006571AC">
        <w:rPr>
          <w:rFonts w:hint="cs"/>
          <w:sz w:val="27"/>
          <w:rtl/>
        </w:rPr>
        <w:t>إيضاحي</w:t>
      </w:r>
      <w:r w:rsidR="00533E49" w:rsidRPr="006571AC">
        <w:rPr>
          <w:rFonts w:hint="cs"/>
          <w:sz w:val="27"/>
          <w:rtl/>
        </w:rPr>
        <w:t>ّ</w:t>
      </w:r>
      <w:r w:rsidRPr="006571AC">
        <w:rPr>
          <w:rFonts w:hint="cs"/>
          <w:sz w:val="27"/>
          <w:rtl/>
        </w:rPr>
        <w:t>ة</w:t>
      </w:r>
      <w:r w:rsidRPr="006571AC">
        <w:rPr>
          <w:sz w:val="27"/>
          <w:rtl/>
        </w:rPr>
        <w:t xml:space="preserve"> </w:t>
      </w:r>
      <w:r w:rsidRPr="006571AC">
        <w:rPr>
          <w:rFonts w:hint="cs"/>
          <w:sz w:val="27"/>
          <w:rtl/>
        </w:rPr>
        <w:t>ب</w:t>
      </w:r>
      <w:r w:rsidR="00533E49" w:rsidRPr="006571AC">
        <w:rPr>
          <w:rFonts w:hint="cs"/>
          <w:sz w:val="27"/>
          <w:rtl/>
        </w:rPr>
        <w:t>ـ (</w:t>
      </w:r>
      <w:r w:rsidRPr="006571AC">
        <w:rPr>
          <w:rFonts w:hint="cs"/>
          <w:sz w:val="27"/>
          <w:rtl/>
        </w:rPr>
        <w:t>الماد</w:t>
      </w:r>
      <w:r w:rsidR="00533E49" w:rsidRPr="006571AC">
        <w:rPr>
          <w:rFonts w:hint="cs"/>
          <w:sz w:val="27"/>
          <w:rtl/>
        </w:rPr>
        <w:t>ّ</w:t>
      </w:r>
      <w:r w:rsidRPr="006571AC">
        <w:rPr>
          <w:rFonts w:hint="cs"/>
          <w:sz w:val="27"/>
          <w:rtl/>
        </w:rPr>
        <w:t>ة</w:t>
      </w:r>
      <w:r w:rsidRPr="006571AC">
        <w:rPr>
          <w:sz w:val="27"/>
          <w:rtl/>
        </w:rPr>
        <w:t xml:space="preserve"> 1082)</w:t>
      </w:r>
      <w:r w:rsidR="00292C06" w:rsidRPr="006571AC">
        <w:rPr>
          <w:rFonts w:hint="cs"/>
          <w:sz w:val="27"/>
          <w:rtl/>
        </w:rPr>
        <w:t>؛</w:t>
      </w:r>
      <w:r w:rsidRPr="006571AC">
        <w:rPr>
          <w:rFonts w:hint="cs"/>
          <w:sz w:val="27"/>
          <w:rtl/>
        </w:rPr>
        <w:t xml:space="preserve"> من</w:t>
      </w:r>
      <w:r w:rsidRPr="006571AC">
        <w:rPr>
          <w:sz w:val="27"/>
          <w:rtl/>
        </w:rPr>
        <w:t xml:space="preserve"> </w:t>
      </w:r>
      <w:r w:rsidRPr="006571AC">
        <w:rPr>
          <w:rFonts w:hint="cs"/>
          <w:sz w:val="27"/>
          <w:rtl/>
        </w:rPr>
        <w:t>أجل</w:t>
      </w:r>
      <w:r w:rsidRPr="006571AC">
        <w:rPr>
          <w:sz w:val="27"/>
          <w:rtl/>
        </w:rPr>
        <w:t xml:space="preserve"> </w:t>
      </w:r>
      <w:r w:rsidRPr="006571AC">
        <w:rPr>
          <w:rFonts w:hint="cs"/>
          <w:sz w:val="27"/>
          <w:rtl/>
        </w:rPr>
        <w:t>الحدّ</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تدنّي</w:t>
      </w:r>
      <w:r w:rsidRPr="006571AC">
        <w:rPr>
          <w:sz w:val="27"/>
          <w:rtl/>
        </w:rPr>
        <w:t xml:space="preserve"> </w:t>
      </w:r>
      <w:r w:rsidRPr="006571AC">
        <w:rPr>
          <w:rFonts w:hint="cs"/>
          <w:sz w:val="27"/>
          <w:rtl/>
        </w:rPr>
        <w:t>المهر</w:t>
      </w:r>
      <w:r w:rsidRPr="006571AC">
        <w:rPr>
          <w:sz w:val="27"/>
          <w:rtl/>
        </w:rPr>
        <w:t>،</w:t>
      </w:r>
      <w:r w:rsidRPr="006571AC">
        <w:rPr>
          <w:rFonts w:hint="cs"/>
          <w:sz w:val="27"/>
          <w:rtl/>
        </w:rPr>
        <w:t xml:space="preserve"> وبالتالي ترك</w:t>
      </w:r>
      <w:r w:rsidRPr="006571AC">
        <w:rPr>
          <w:sz w:val="27"/>
          <w:rtl/>
        </w:rPr>
        <w:t xml:space="preserve"> </w:t>
      </w:r>
      <w:r w:rsidRPr="006571AC">
        <w:rPr>
          <w:rFonts w:hint="cs"/>
          <w:sz w:val="27"/>
          <w:rtl/>
        </w:rPr>
        <w:t>تحديد</w:t>
      </w:r>
      <w:r w:rsidRPr="006571AC">
        <w:rPr>
          <w:sz w:val="27"/>
          <w:rtl/>
        </w:rPr>
        <w:t xml:space="preserve"> </w:t>
      </w:r>
      <w:r w:rsidRPr="006571AC">
        <w:rPr>
          <w:rFonts w:hint="cs"/>
          <w:sz w:val="27"/>
          <w:rtl/>
        </w:rPr>
        <w:t>سقف</w:t>
      </w:r>
      <w:r w:rsidRPr="006571AC">
        <w:rPr>
          <w:sz w:val="27"/>
          <w:rtl/>
        </w:rPr>
        <w:t xml:space="preserve"> </w:t>
      </w:r>
      <w:r w:rsidRPr="006571AC">
        <w:rPr>
          <w:rFonts w:hint="cs"/>
          <w:sz w:val="27"/>
          <w:rtl/>
        </w:rPr>
        <w:t>مفتوح</w:t>
      </w:r>
      <w:r w:rsidRPr="006571AC">
        <w:rPr>
          <w:sz w:val="27"/>
          <w:rtl/>
        </w:rPr>
        <w:t xml:space="preserve"> </w:t>
      </w:r>
      <w:r w:rsidRPr="006571AC">
        <w:rPr>
          <w:rFonts w:hint="cs"/>
          <w:sz w:val="27"/>
          <w:rtl/>
        </w:rPr>
        <w:t>للمهر، حيث</w:t>
      </w:r>
      <w:r w:rsidRPr="006571AC">
        <w:rPr>
          <w:sz w:val="27"/>
          <w:rtl/>
        </w:rPr>
        <w:t xml:space="preserve"> </w:t>
      </w:r>
      <w:r w:rsidRPr="006571AC">
        <w:rPr>
          <w:rFonts w:hint="cs"/>
          <w:sz w:val="27"/>
          <w:rtl/>
        </w:rPr>
        <w:t>يمكن</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يعتبر</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نوعاً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التشجيع</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رفعه</w:t>
      </w:r>
      <w:r w:rsidRPr="006571AC">
        <w:rPr>
          <w:sz w:val="27"/>
          <w:vertAlign w:val="superscript"/>
          <w:rtl/>
        </w:rPr>
        <w:t>(</w:t>
      </w:r>
      <w:r w:rsidRPr="006571AC">
        <w:rPr>
          <w:sz w:val="27"/>
          <w:vertAlign w:val="superscript"/>
          <w:rtl/>
        </w:rPr>
        <w:endnoteReference w:id="458"/>
      </w:r>
      <w:r w:rsidRPr="006571AC">
        <w:rPr>
          <w:sz w:val="27"/>
          <w:vertAlign w:val="superscript"/>
          <w:rtl/>
        </w:rPr>
        <w:t>)</w:t>
      </w:r>
      <w:r w:rsidRPr="006571AC">
        <w:rPr>
          <w:sz w:val="27"/>
          <w:rtl/>
        </w:rPr>
        <w:t xml:space="preserve">. </w:t>
      </w:r>
    </w:p>
    <w:p w:rsidR="00237EB1" w:rsidRPr="006571AC" w:rsidRDefault="00237EB1" w:rsidP="00836A19">
      <w:pPr>
        <w:rPr>
          <w:rFonts w:asciiTheme="majorBidi" w:hAnsiTheme="majorBidi"/>
          <w:sz w:val="27"/>
          <w:rtl/>
        </w:rPr>
      </w:pPr>
      <w:r w:rsidRPr="006571AC">
        <w:rPr>
          <w:rFonts w:asciiTheme="majorBidi" w:hAnsiTheme="majorBidi" w:hint="cs"/>
          <w:sz w:val="27"/>
          <w:rtl/>
        </w:rPr>
        <w:t>ومع ذلك</w:t>
      </w:r>
      <w:r w:rsidR="00292C06" w:rsidRPr="006571AC">
        <w:rPr>
          <w:rFonts w:asciiTheme="majorBidi" w:hAnsiTheme="majorBidi" w:hint="cs"/>
          <w:sz w:val="27"/>
          <w:rtl/>
        </w:rPr>
        <w:t xml:space="preserve"> ـ</w:t>
      </w:r>
      <w:r w:rsidRPr="006571AC">
        <w:rPr>
          <w:rFonts w:asciiTheme="majorBidi" w:hAnsiTheme="majorBidi" w:hint="cs"/>
          <w:sz w:val="27"/>
          <w:rtl/>
        </w:rPr>
        <w:t xml:space="preserve"> </w:t>
      </w:r>
      <w:r w:rsidR="00292C06" w:rsidRPr="006571AC">
        <w:rPr>
          <w:rFonts w:asciiTheme="majorBidi" w:hAnsiTheme="majorBidi" w:hint="cs"/>
          <w:sz w:val="27"/>
          <w:rtl/>
        </w:rPr>
        <w:t>و</w:t>
      </w:r>
      <w:r w:rsidRPr="006571AC">
        <w:rPr>
          <w:rFonts w:asciiTheme="majorBidi" w:hAnsiTheme="majorBidi" w:hint="cs"/>
          <w:sz w:val="27"/>
          <w:rtl/>
        </w:rPr>
        <w:t>في محاولة</w:t>
      </w:r>
      <w:r w:rsidR="00292C06" w:rsidRPr="006571AC">
        <w:rPr>
          <w:rFonts w:asciiTheme="majorBidi" w:hAnsiTheme="majorBidi" w:hint="cs"/>
          <w:sz w:val="27"/>
          <w:rtl/>
        </w:rPr>
        <w:t>ٍ</w:t>
      </w:r>
      <w:r w:rsidRPr="006571AC">
        <w:rPr>
          <w:rFonts w:asciiTheme="majorBidi" w:hAnsiTheme="majorBidi" w:hint="cs"/>
          <w:sz w:val="27"/>
          <w:rtl/>
        </w:rPr>
        <w:t xml:space="preserve"> لوضع حدّ</w:t>
      </w:r>
      <w:r w:rsidR="00292C06" w:rsidRPr="006571AC">
        <w:rPr>
          <w:rFonts w:asciiTheme="majorBidi" w:hAnsiTheme="majorBidi" w:hint="cs"/>
          <w:sz w:val="27"/>
          <w:rtl/>
        </w:rPr>
        <w:t>ٍ</w:t>
      </w:r>
      <w:r w:rsidRPr="006571AC">
        <w:rPr>
          <w:rFonts w:asciiTheme="majorBidi" w:hAnsiTheme="majorBidi" w:hint="cs"/>
          <w:sz w:val="27"/>
          <w:rtl/>
        </w:rPr>
        <w:t xml:space="preserve"> لهذه المعضلة التي تسب</w:t>
      </w:r>
      <w:r w:rsidR="00292C06" w:rsidRPr="006571AC">
        <w:rPr>
          <w:rFonts w:asciiTheme="majorBidi" w:hAnsiTheme="majorBidi" w:hint="cs"/>
          <w:sz w:val="27"/>
          <w:rtl/>
        </w:rPr>
        <w:t>َّ</w:t>
      </w:r>
      <w:r w:rsidRPr="006571AC">
        <w:rPr>
          <w:rFonts w:asciiTheme="majorBidi" w:hAnsiTheme="majorBidi" w:hint="cs"/>
          <w:sz w:val="27"/>
          <w:rtl/>
        </w:rPr>
        <w:t>بت ب</w:t>
      </w:r>
      <w:r w:rsidR="00292C06" w:rsidRPr="006571AC">
        <w:rPr>
          <w:rFonts w:asciiTheme="majorBidi" w:hAnsiTheme="majorBidi" w:hint="cs"/>
          <w:sz w:val="27"/>
          <w:rtl/>
        </w:rPr>
        <w:t>و</w:t>
      </w:r>
      <w:r w:rsidRPr="006571AC">
        <w:rPr>
          <w:rFonts w:asciiTheme="majorBidi" w:hAnsiTheme="majorBidi" w:hint="cs"/>
          <w:sz w:val="27"/>
          <w:rtl/>
        </w:rPr>
        <w:t>ضع الأزواج في السجن</w:t>
      </w:r>
      <w:r w:rsidR="00292C06" w:rsidRPr="006571AC">
        <w:rPr>
          <w:rFonts w:asciiTheme="majorBidi" w:hAnsiTheme="majorBidi" w:hint="cs"/>
          <w:sz w:val="27"/>
          <w:rtl/>
        </w:rPr>
        <w:t>،</w:t>
      </w:r>
      <w:r w:rsidRPr="006571AC">
        <w:rPr>
          <w:rFonts w:asciiTheme="majorBidi" w:hAnsiTheme="majorBidi" w:hint="cs"/>
          <w:sz w:val="27"/>
          <w:rtl/>
        </w:rPr>
        <w:t xml:space="preserve"> وزيادة معد</w:t>
      </w:r>
      <w:r w:rsidR="00292C06" w:rsidRPr="006571AC">
        <w:rPr>
          <w:rFonts w:asciiTheme="majorBidi" w:hAnsiTheme="majorBidi" w:hint="cs"/>
          <w:sz w:val="27"/>
          <w:rtl/>
        </w:rPr>
        <w:t>َّ</w:t>
      </w:r>
      <w:r w:rsidRPr="006571AC">
        <w:rPr>
          <w:rFonts w:asciiTheme="majorBidi" w:hAnsiTheme="majorBidi" w:hint="cs"/>
          <w:sz w:val="27"/>
          <w:rtl/>
        </w:rPr>
        <w:t>ل الطلاق</w:t>
      </w:r>
      <w:r w:rsidR="00292C06" w:rsidRPr="006571AC">
        <w:rPr>
          <w:rFonts w:asciiTheme="majorBidi" w:hAnsiTheme="majorBidi" w:hint="cs"/>
          <w:sz w:val="27"/>
          <w:rtl/>
        </w:rPr>
        <w:t xml:space="preserve"> ـ</w:t>
      </w:r>
      <w:r w:rsidRPr="006571AC">
        <w:rPr>
          <w:rFonts w:asciiTheme="majorBidi" w:hAnsiTheme="majorBidi" w:hint="cs"/>
          <w:sz w:val="27"/>
          <w:rtl/>
        </w:rPr>
        <w:t xml:space="preserve"> لجأ المشرّ</w:t>
      </w:r>
      <w:r w:rsidR="00292C06" w:rsidRPr="006571AC">
        <w:rPr>
          <w:rFonts w:asciiTheme="majorBidi" w:hAnsiTheme="majorBidi" w:hint="cs"/>
          <w:sz w:val="27"/>
          <w:rtl/>
        </w:rPr>
        <w:t>ِ</w:t>
      </w:r>
      <w:r w:rsidRPr="006571AC">
        <w:rPr>
          <w:rFonts w:asciiTheme="majorBidi" w:hAnsiTheme="majorBidi" w:hint="cs"/>
          <w:sz w:val="27"/>
          <w:rtl/>
        </w:rPr>
        <w:t>عون</w:t>
      </w:r>
      <w:r w:rsidR="00A37CFF" w:rsidRPr="006571AC">
        <w:rPr>
          <w:rFonts w:asciiTheme="majorBidi" w:hAnsiTheme="majorBidi" w:hint="cs"/>
          <w:sz w:val="27"/>
          <w:rtl/>
        </w:rPr>
        <w:t>،</w:t>
      </w:r>
      <w:r w:rsidRPr="006571AC">
        <w:rPr>
          <w:rFonts w:asciiTheme="majorBidi" w:hAnsiTheme="majorBidi" w:hint="cs"/>
          <w:sz w:val="27"/>
          <w:rtl/>
        </w:rPr>
        <w:t xml:space="preserve"> من خلال تناول الماد</w:t>
      </w:r>
      <w:r w:rsidR="00292C06" w:rsidRPr="006571AC">
        <w:rPr>
          <w:rFonts w:asciiTheme="majorBidi" w:hAnsiTheme="majorBidi" w:hint="cs"/>
          <w:sz w:val="27"/>
          <w:rtl/>
        </w:rPr>
        <w:t>ّ</w:t>
      </w:r>
      <w:r w:rsidRPr="006571AC">
        <w:rPr>
          <w:rFonts w:asciiTheme="majorBidi" w:hAnsiTheme="majorBidi" w:hint="cs"/>
          <w:sz w:val="27"/>
          <w:rtl/>
        </w:rPr>
        <w:t>ة 34 من قانون حماية الأسرة مسألة تحديد المهر بقيمة</w:t>
      </w:r>
      <w:r w:rsidR="00836A19" w:rsidRPr="006571AC">
        <w:rPr>
          <w:rFonts w:asciiTheme="majorBidi" w:hAnsiTheme="majorBidi" w:hint="cs"/>
          <w:sz w:val="27"/>
          <w:rtl/>
        </w:rPr>
        <w:t>ٍ</w:t>
      </w:r>
      <w:r w:rsidRPr="006571AC">
        <w:rPr>
          <w:rFonts w:asciiTheme="majorBidi" w:hAnsiTheme="majorBidi" w:hint="cs"/>
          <w:sz w:val="27"/>
          <w:rtl/>
        </w:rPr>
        <w:t xml:space="preserve"> معي</w:t>
      </w:r>
      <w:r w:rsidR="00292C06" w:rsidRPr="006571AC">
        <w:rPr>
          <w:rFonts w:asciiTheme="majorBidi" w:hAnsiTheme="majorBidi" w:hint="cs"/>
          <w:sz w:val="27"/>
          <w:rtl/>
        </w:rPr>
        <w:t>َّ</w:t>
      </w:r>
      <w:r w:rsidRPr="006571AC">
        <w:rPr>
          <w:rFonts w:asciiTheme="majorBidi" w:hAnsiTheme="majorBidi" w:hint="cs"/>
          <w:sz w:val="27"/>
          <w:rtl/>
        </w:rPr>
        <w:t>نة</w:t>
      </w:r>
      <w:r w:rsidR="00292C06" w:rsidRPr="006571AC">
        <w:rPr>
          <w:rFonts w:asciiTheme="majorBidi" w:hAnsiTheme="majorBidi" w:hint="cs"/>
          <w:sz w:val="27"/>
          <w:rtl/>
        </w:rPr>
        <w:t>،</w:t>
      </w:r>
      <w:r w:rsidRPr="006571AC">
        <w:rPr>
          <w:rFonts w:asciiTheme="majorBidi" w:hAnsiTheme="majorBidi" w:hint="cs"/>
          <w:sz w:val="27"/>
          <w:rtl/>
        </w:rPr>
        <w:t xml:space="preserve"> </w:t>
      </w:r>
      <w:r w:rsidR="00A37CFF" w:rsidRPr="006571AC">
        <w:rPr>
          <w:rFonts w:asciiTheme="majorBidi" w:hAnsiTheme="majorBidi" w:hint="cs"/>
          <w:sz w:val="27"/>
          <w:rtl/>
        </w:rPr>
        <w:t>إلى تأكيد أن ما</w:t>
      </w:r>
      <w:r w:rsidRPr="006571AC">
        <w:rPr>
          <w:rFonts w:asciiTheme="majorBidi" w:hAnsiTheme="majorBidi" w:hint="cs"/>
          <w:sz w:val="27"/>
          <w:rtl/>
        </w:rPr>
        <w:t xml:space="preserve"> يزيد عن</w:t>
      </w:r>
      <w:r w:rsidR="00A37CFF" w:rsidRPr="006571AC">
        <w:rPr>
          <w:rFonts w:asciiTheme="majorBidi" w:hAnsiTheme="majorBidi" w:hint="cs"/>
          <w:sz w:val="27"/>
          <w:rtl/>
        </w:rPr>
        <w:t xml:space="preserve"> تلك القيمة</w:t>
      </w:r>
      <w:r w:rsidRPr="006571AC">
        <w:rPr>
          <w:rFonts w:asciiTheme="majorBidi" w:hAnsiTheme="majorBidi" w:hint="cs"/>
          <w:sz w:val="27"/>
          <w:rtl/>
        </w:rPr>
        <w:t xml:space="preserve"> غير معت</w:t>
      </w:r>
      <w:r w:rsidR="00A37CFF" w:rsidRPr="006571AC">
        <w:rPr>
          <w:rFonts w:asciiTheme="majorBidi" w:hAnsiTheme="majorBidi" w:hint="cs"/>
          <w:sz w:val="27"/>
          <w:rtl/>
        </w:rPr>
        <w:t>َ</w:t>
      </w:r>
      <w:r w:rsidRPr="006571AC">
        <w:rPr>
          <w:rFonts w:asciiTheme="majorBidi" w:hAnsiTheme="majorBidi" w:hint="cs"/>
          <w:sz w:val="27"/>
          <w:rtl/>
        </w:rPr>
        <w:t>ر</w:t>
      </w:r>
      <w:r w:rsidR="00A37CFF" w:rsidRPr="006571AC">
        <w:rPr>
          <w:rFonts w:asciiTheme="majorBidi" w:hAnsiTheme="majorBidi" w:hint="cs"/>
          <w:sz w:val="27"/>
          <w:rtl/>
        </w:rPr>
        <w:t>َ</w:t>
      </w:r>
      <w:r w:rsidRPr="006571AC">
        <w:rPr>
          <w:rFonts w:asciiTheme="majorBidi" w:hAnsiTheme="majorBidi" w:hint="cs"/>
          <w:sz w:val="27"/>
          <w:rtl/>
        </w:rPr>
        <w:t>ف</w:t>
      </w:r>
      <w:r w:rsidR="00A37CFF" w:rsidRPr="006571AC">
        <w:rPr>
          <w:rFonts w:asciiTheme="majorBidi" w:hAnsiTheme="majorBidi" w:hint="cs"/>
          <w:sz w:val="27"/>
          <w:rtl/>
        </w:rPr>
        <w:t>ٍ</w:t>
      </w:r>
      <w:r w:rsidRPr="006571AC">
        <w:rPr>
          <w:rFonts w:asciiTheme="majorBidi" w:hAnsiTheme="majorBidi" w:hint="cs"/>
          <w:sz w:val="27"/>
          <w:rtl/>
        </w:rPr>
        <w:t xml:space="preserve"> به من ق</w:t>
      </w:r>
      <w:r w:rsidR="00292C06" w:rsidRPr="006571AC">
        <w:rPr>
          <w:rFonts w:asciiTheme="majorBidi" w:hAnsiTheme="majorBidi" w:hint="cs"/>
          <w:sz w:val="27"/>
          <w:rtl/>
        </w:rPr>
        <w:t>ِ</w:t>
      </w:r>
      <w:r w:rsidRPr="006571AC">
        <w:rPr>
          <w:rFonts w:asciiTheme="majorBidi" w:hAnsiTheme="majorBidi" w:hint="cs"/>
          <w:sz w:val="27"/>
          <w:rtl/>
        </w:rPr>
        <w:t>ب</w:t>
      </w:r>
      <w:r w:rsidR="00292C06" w:rsidRPr="006571AC">
        <w:rPr>
          <w:rFonts w:asciiTheme="majorBidi" w:hAnsiTheme="majorBidi" w:hint="cs"/>
          <w:sz w:val="27"/>
          <w:rtl/>
        </w:rPr>
        <w:t>َ</w:t>
      </w:r>
      <w:r w:rsidRPr="006571AC">
        <w:rPr>
          <w:rFonts w:asciiTheme="majorBidi" w:hAnsiTheme="majorBidi" w:hint="cs"/>
          <w:sz w:val="27"/>
          <w:rtl/>
        </w:rPr>
        <w:t>ل القانون، ومعد</w:t>
      </w:r>
      <w:r w:rsidR="00292C06" w:rsidRPr="006571AC">
        <w:rPr>
          <w:rFonts w:asciiTheme="majorBidi" w:hAnsiTheme="majorBidi" w:hint="cs"/>
          <w:sz w:val="27"/>
          <w:rtl/>
        </w:rPr>
        <w:t>ّ</w:t>
      </w:r>
      <w:r w:rsidR="00A37CFF" w:rsidRPr="006571AC">
        <w:rPr>
          <w:rFonts w:asciiTheme="majorBidi" w:hAnsiTheme="majorBidi" w:hint="cs"/>
          <w:sz w:val="27"/>
          <w:rtl/>
        </w:rPr>
        <w:t>َ</w:t>
      </w:r>
      <w:r w:rsidRPr="006571AC">
        <w:rPr>
          <w:rFonts w:asciiTheme="majorBidi" w:hAnsiTheme="majorBidi" w:hint="cs"/>
          <w:sz w:val="27"/>
          <w:rtl/>
        </w:rPr>
        <w:t>ل قيمة المهر ما يعادل 110 عمل</w:t>
      </w:r>
      <w:r w:rsidR="00836A19" w:rsidRPr="006571AC">
        <w:rPr>
          <w:rFonts w:asciiTheme="majorBidi" w:hAnsiTheme="majorBidi" w:hint="cs"/>
          <w:sz w:val="27"/>
          <w:rtl/>
        </w:rPr>
        <w:t>ات</w:t>
      </w:r>
      <w:r w:rsidRPr="006571AC">
        <w:rPr>
          <w:rFonts w:asciiTheme="majorBidi" w:hAnsiTheme="majorBidi" w:hint="cs"/>
          <w:sz w:val="27"/>
          <w:rtl/>
        </w:rPr>
        <w:t xml:space="preserve"> معدنية</w:t>
      </w:r>
      <w:r w:rsidR="00A37CFF" w:rsidRPr="006571AC">
        <w:rPr>
          <w:rFonts w:asciiTheme="majorBidi" w:hAnsiTheme="majorBidi" w:hint="cs"/>
          <w:sz w:val="27"/>
          <w:rtl/>
        </w:rPr>
        <w:t>.</w:t>
      </w:r>
      <w:r w:rsidRPr="006571AC">
        <w:rPr>
          <w:rFonts w:asciiTheme="majorBidi" w:hAnsiTheme="majorBidi" w:hint="cs"/>
          <w:sz w:val="27"/>
          <w:rtl/>
        </w:rPr>
        <w:t xml:space="preserve"> </w:t>
      </w:r>
      <w:r w:rsidR="00A37CFF" w:rsidRPr="006571AC">
        <w:rPr>
          <w:rFonts w:asciiTheme="majorBidi" w:hAnsiTheme="majorBidi" w:hint="cs"/>
          <w:sz w:val="27"/>
          <w:rtl/>
        </w:rPr>
        <w:t>و</w:t>
      </w:r>
      <w:r w:rsidRPr="006571AC">
        <w:rPr>
          <w:rFonts w:asciiTheme="majorBidi" w:hAnsiTheme="majorBidi" w:hint="cs"/>
          <w:sz w:val="27"/>
          <w:rtl/>
        </w:rPr>
        <w:t>بموجب الماد</w:t>
      </w:r>
      <w:r w:rsidR="00292C06" w:rsidRPr="006571AC">
        <w:rPr>
          <w:rFonts w:asciiTheme="majorBidi" w:hAnsiTheme="majorBidi" w:hint="cs"/>
          <w:sz w:val="27"/>
          <w:rtl/>
        </w:rPr>
        <w:t>ّ</w:t>
      </w:r>
      <w:r w:rsidRPr="006571AC">
        <w:rPr>
          <w:rFonts w:asciiTheme="majorBidi" w:hAnsiTheme="majorBidi" w:hint="cs"/>
          <w:sz w:val="27"/>
          <w:rtl/>
        </w:rPr>
        <w:t>ة 2 من قانون تنفيذ الأحكام المالية</w:t>
      </w:r>
      <w:r w:rsidR="0049299C" w:rsidRPr="006571AC">
        <w:rPr>
          <w:rFonts w:asciiTheme="majorBidi" w:hAnsiTheme="majorBidi" w:hint="cs"/>
          <w:sz w:val="27"/>
          <w:rtl/>
        </w:rPr>
        <w:t xml:space="preserve"> تكون</w:t>
      </w:r>
      <w:r w:rsidRPr="006571AC">
        <w:rPr>
          <w:rFonts w:asciiTheme="majorBidi" w:hAnsiTheme="majorBidi" w:hint="cs"/>
          <w:sz w:val="27"/>
          <w:rtl/>
        </w:rPr>
        <w:t xml:space="preserve"> </w:t>
      </w:r>
      <w:r w:rsidR="0049299C" w:rsidRPr="006571AC">
        <w:rPr>
          <w:rFonts w:asciiTheme="majorBidi" w:hAnsiTheme="majorBidi" w:hint="cs"/>
          <w:sz w:val="27"/>
          <w:rtl/>
        </w:rPr>
        <w:t>ال</w:t>
      </w:r>
      <w:r w:rsidRPr="006571AC">
        <w:rPr>
          <w:rFonts w:asciiTheme="majorBidi" w:hAnsiTheme="majorBidi" w:hint="cs"/>
          <w:sz w:val="27"/>
          <w:rtl/>
        </w:rPr>
        <w:t xml:space="preserve">عقوبة </w:t>
      </w:r>
      <w:r w:rsidR="0049299C" w:rsidRPr="006571AC">
        <w:rPr>
          <w:rFonts w:asciiTheme="majorBidi" w:hAnsiTheme="majorBidi" w:hint="cs"/>
          <w:sz w:val="27"/>
          <w:rtl/>
        </w:rPr>
        <w:t>ب</w:t>
      </w:r>
      <w:r w:rsidRPr="006571AC">
        <w:rPr>
          <w:rFonts w:asciiTheme="majorBidi" w:hAnsiTheme="majorBidi" w:hint="cs"/>
          <w:sz w:val="27"/>
          <w:rtl/>
        </w:rPr>
        <w:t xml:space="preserve">السجن للزوج </w:t>
      </w:r>
      <w:r w:rsidR="00292C06" w:rsidRPr="006571AC">
        <w:rPr>
          <w:rFonts w:asciiTheme="majorBidi" w:hAnsiTheme="majorBidi" w:hint="cs"/>
          <w:sz w:val="27"/>
          <w:rtl/>
        </w:rPr>
        <w:t xml:space="preserve">في </w:t>
      </w:r>
      <w:r w:rsidRPr="006571AC">
        <w:rPr>
          <w:rFonts w:asciiTheme="majorBidi" w:hAnsiTheme="majorBidi" w:hint="cs"/>
          <w:sz w:val="27"/>
          <w:rtl/>
        </w:rPr>
        <w:t xml:space="preserve">حال لم يلتزم بدفع المهر ذي المقدار المذكور، أمّا إذا تجاوز المهر هذا المقدار فيبرأ الزوج من الدفع. </w:t>
      </w:r>
    </w:p>
    <w:p w:rsidR="00237EB1" w:rsidRPr="006571AC" w:rsidRDefault="00237EB1" w:rsidP="00836A19">
      <w:pPr>
        <w:rPr>
          <w:rFonts w:asciiTheme="majorBidi" w:hAnsiTheme="majorBidi"/>
          <w:sz w:val="27"/>
          <w:rtl/>
        </w:rPr>
      </w:pPr>
      <w:r w:rsidRPr="006571AC">
        <w:rPr>
          <w:rFonts w:asciiTheme="majorBidi" w:hAnsiTheme="majorBidi" w:hint="cs"/>
          <w:sz w:val="27"/>
          <w:rtl/>
        </w:rPr>
        <w:t>وقد تعر</w:t>
      </w:r>
      <w:r w:rsidR="00A37CFF" w:rsidRPr="006571AC">
        <w:rPr>
          <w:rFonts w:asciiTheme="majorBidi" w:hAnsiTheme="majorBidi" w:hint="cs"/>
          <w:sz w:val="27"/>
          <w:rtl/>
        </w:rPr>
        <w:t>َّ</w:t>
      </w:r>
      <w:r w:rsidRPr="006571AC">
        <w:rPr>
          <w:rFonts w:asciiTheme="majorBidi" w:hAnsiTheme="majorBidi" w:hint="cs"/>
          <w:sz w:val="27"/>
          <w:rtl/>
        </w:rPr>
        <w:t>ض هذا التشريع الحقوقي لجملة</w:t>
      </w:r>
      <w:r w:rsidR="00292C06" w:rsidRPr="006571AC">
        <w:rPr>
          <w:rFonts w:asciiTheme="majorBidi" w:hAnsiTheme="majorBidi" w:hint="cs"/>
          <w:sz w:val="27"/>
          <w:rtl/>
        </w:rPr>
        <w:t>ٍ</w:t>
      </w:r>
      <w:r w:rsidRPr="006571AC">
        <w:rPr>
          <w:rFonts w:asciiTheme="majorBidi" w:hAnsiTheme="majorBidi" w:hint="cs"/>
          <w:sz w:val="27"/>
          <w:rtl/>
        </w:rPr>
        <w:t xml:space="preserve"> من الانتقادات</w:t>
      </w:r>
      <w:r w:rsidR="00292C06" w:rsidRPr="006571AC">
        <w:rPr>
          <w:rFonts w:asciiTheme="majorBidi" w:hAnsiTheme="majorBidi" w:hint="cs"/>
          <w:sz w:val="27"/>
          <w:rtl/>
        </w:rPr>
        <w:t>،</w:t>
      </w:r>
      <w:r w:rsidRPr="006571AC">
        <w:rPr>
          <w:rFonts w:asciiTheme="majorBidi" w:hAnsiTheme="majorBidi" w:hint="cs"/>
          <w:sz w:val="27"/>
          <w:rtl/>
        </w:rPr>
        <w:t xml:space="preserve"> حيث قالوا في هذا المجال: إنّ تحديد المهر من ق</w:t>
      </w:r>
      <w:r w:rsidR="0049299C" w:rsidRPr="006571AC">
        <w:rPr>
          <w:rFonts w:asciiTheme="majorBidi" w:hAnsiTheme="majorBidi" w:hint="cs"/>
          <w:sz w:val="27"/>
          <w:rtl/>
        </w:rPr>
        <w:t>ِ</w:t>
      </w:r>
      <w:r w:rsidRPr="006571AC">
        <w:rPr>
          <w:rFonts w:asciiTheme="majorBidi" w:hAnsiTheme="majorBidi" w:hint="cs"/>
          <w:sz w:val="27"/>
          <w:rtl/>
        </w:rPr>
        <w:t>ب</w:t>
      </w:r>
      <w:r w:rsidR="0049299C" w:rsidRPr="006571AC">
        <w:rPr>
          <w:rFonts w:asciiTheme="majorBidi" w:hAnsiTheme="majorBidi" w:hint="cs"/>
          <w:sz w:val="27"/>
          <w:rtl/>
        </w:rPr>
        <w:t>َ</w:t>
      </w:r>
      <w:r w:rsidRPr="006571AC">
        <w:rPr>
          <w:rFonts w:asciiTheme="majorBidi" w:hAnsiTheme="majorBidi" w:hint="cs"/>
          <w:sz w:val="27"/>
          <w:rtl/>
        </w:rPr>
        <w:t>ل الحقوقيين قد يحل</w:t>
      </w:r>
      <w:r w:rsidR="0049299C" w:rsidRPr="006571AC">
        <w:rPr>
          <w:rFonts w:asciiTheme="majorBidi" w:hAnsiTheme="majorBidi" w:hint="cs"/>
          <w:sz w:val="27"/>
          <w:rtl/>
        </w:rPr>
        <w:t>ّ</w:t>
      </w:r>
      <w:r w:rsidRPr="006571AC">
        <w:rPr>
          <w:rFonts w:asciiTheme="majorBidi" w:hAnsiTheme="majorBidi" w:hint="cs"/>
          <w:sz w:val="27"/>
          <w:rtl/>
        </w:rPr>
        <w:t xml:space="preserve"> المشكلة في دائرة</w:t>
      </w:r>
      <w:r w:rsidR="0049299C" w:rsidRPr="006571AC">
        <w:rPr>
          <w:rFonts w:asciiTheme="majorBidi" w:hAnsiTheme="majorBidi" w:hint="cs"/>
          <w:sz w:val="27"/>
          <w:rtl/>
        </w:rPr>
        <w:t>ٍ</w:t>
      </w:r>
      <w:r w:rsidRPr="006571AC">
        <w:rPr>
          <w:rFonts w:asciiTheme="majorBidi" w:hAnsiTheme="majorBidi" w:hint="cs"/>
          <w:sz w:val="27"/>
          <w:rtl/>
        </w:rPr>
        <w:t xml:space="preserve"> ضي</w:t>
      </w:r>
      <w:r w:rsidR="0049299C" w:rsidRPr="006571AC">
        <w:rPr>
          <w:rFonts w:asciiTheme="majorBidi" w:hAnsiTheme="majorBidi" w:hint="cs"/>
          <w:sz w:val="27"/>
          <w:rtl/>
        </w:rPr>
        <w:t>ّ</w:t>
      </w:r>
      <w:r w:rsidRPr="006571AC">
        <w:rPr>
          <w:rFonts w:asciiTheme="majorBidi" w:hAnsiTheme="majorBidi" w:hint="cs"/>
          <w:sz w:val="27"/>
          <w:rtl/>
        </w:rPr>
        <w:t>قة</w:t>
      </w:r>
      <w:r w:rsidR="0049299C" w:rsidRPr="006571AC">
        <w:rPr>
          <w:rFonts w:asciiTheme="majorBidi" w:hAnsiTheme="majorBidi" w:hint="cs"/>
          <w:sz w:val="27"/>
          <w:rtl/>
        </w:rPr>
        <w:t>ٍ</w:t>
      </w:r>
      <w:r w:rsidRPr="006571AC">
        <w:rPr>
          <w:rFonts w:asciiTheme="majorBidi" w:hAnsiTheme="majorBidi" w:hint="cs"/>
          <w:sz w:val="27"/>
          <w:rtl/>
        </w:rPr>
        <w:t xml:space="preserve"> جد</w:t>
      </w:r>
      <w:r w:rsidR="0049299C" w:rsidRPr="006571AC">
        <w:rPr>
          <w:rFonts w:asciiTheme="majorBidi" w:hAnsiTheme="majorBidi" w:hint="cs"/>
          <w:sz w:val="27"/>
          <w:rtl/>
        </w:rPr>
        <w:t>ّ</w:t>
      </w:r>
      <w:r w:rsidRPr="006571AC">
        <w:rPr>
          <w:rFonts w:asciiTheme="majorBidi" w:hAnsiTheme="majorBidi" w:hint="cs"/>
          <w:sz w:val="27"/>
          <w:rtl/>
        </w:rPr>
        <w:t>ا</w:t>
      </w:r>
      <w:r w:rsidR="0049299C" w:rsidRPr="006571AC">
        <w:rPr>
          <w:rFonts w:asciiTheme="majorBidi" w:hAnsiTheme="majorBidi" w:hint="cs"/>
          <w:sz w:val="27"/>
          <w:rtl/>
        </w:rPr>
        <w:t>ً</w:t>
      </w:r>
      <w:r w:rsidRPr="006571AC">
        <w:rPr>
          <w:rFonts w:asciiTheme="majorBidi" w:hAnsiTheme="majorBidi" w:hint="cs"/>
          <w:sz w:val="27"/>
          <w:rtl/>
        </w:rPr>
        <w:t>، لذلك فالسجون الإيرانية ما زالت مليئة</w:t>
      </w:r>
      <w:r w:rsidR="0049299C" w:rsidRPr="006571AC">
        <w:rPr>
          <w:rFonts w:asciiTheme="majorBidi" w:hAnsiTheme="majorBidi" w:hint="cs"/>
          <w:sz w:val="27"/>
          <w:rtl/>
        </w:rPr>
        <w:t>ً</w:t>
      </w:r>
      <w:r w:rsidRPr="006571AC">
        <w:rPr>
          <w:rFonts w:asciiTheme="majorBidi" w:hAnsiTheme="majorBidi" w:hint="cs"/>
          <w:sz w:val="27"/>
          <w:rtl/>
        </w:rPr>
        <w:t xml:space="preserve"> بالأزواج الذين لم يتمك</w:t>
      </w:r>
      <w:r w:rsidR="0049299C" w:rsidRPr="006571AC">
        <w:rPr>
          <w:rFonts w:asciiTheme="majorBidi" w:hAnsiTheme="majorBidi" w:hint="cs"/>
          <w:sz w:val="27"/>
          <w:rtl/>
        </w:rPr>
        <w:t>َّ</w:t>
      </w:r>
      <w:r w:rsidRPr="006571AC">
        <w:rPr>
          <w:rFonts w:asciiTheme="majorBidi" w:hAnsiTheme="majorBidi" w:hint="cs"/>
          <w:sz w:val="27"/>
          <w:rtl/>
        </w:rPr>
        <w:t>نوا من دفع المهر، ومع إقرار مثل هكذا قانون ما زال باب السجن مفتوحا</w:t>
      </w:r>
      <w:r w:rsidR="0049299C" w:rsidRPr="006571AC">
        <w:rPr>
          <w:rFonts w:asciiTheme="majorBidi" w:hAnsiTheme="majorBidi" w:hint="cs"/>
          <w:sz w:val="27"/>
          <w:rtl/>
        </w:rPr>
        <w:t>ً</w:t>
      </w:r>
      <w:r w:rsidRPr="006571AC">
        <w:rPr>
          <w:rFonts w:asciiTheme="majorBidi" w:hAnsiTheme="majorBidi" w:hint="cs"/>
          <w:sz w:val="27"/>
          <w:rtl/>
        </w:rPr>
        <w:t xml:space="preserve"> أمام الكثير من الرجال</w:t>
      </w:r>
      <w:r w:rsidR="0049299C" w:rsidRPr="006571AC">
        <w:rPr>
          <w:rFonts w:asciiTheme="majorBidi" w:hAnsiTheme="majorBidi" w:hint="cs"/>
          <w:sz w:val="27"/>
          <w:rtl/>
        </w:rPr>
        <w:t>؛</w:t>
      </w:r>
      <w:r w:rsidRPr="006571AC">
        <w:rPr>
          <w:rFonts w:asciiTheme="majorBidi" w:hAnsiTheme="majorBidi" w:hint="cs"/>
          <w:sz w:val="27"/>
          <w:rtl/>
        </w:rPr>
        <w:t xml:space="preserve"> لأن 110 قطع معدنية ـ ذهبية كما هو المتعارف ـ ليس بالمبلغ القليل بالنسبة </w:t>
      </w:r>
      <w:r w:rsidR="0049299C" w:rsidRPr="006571AC">
        <w:rPr>
          <w:rFonts w:asciiTheme="majorBidi" w:hAnsiTheme="majorBidi" w:hint="cs"/>
          <w:sz w:val="27"/>
          <w:rtl/>
        </w:rPr>
        <w:t xml:space="preserve">إلى </w:t>
      </w:r>
      <w:r w:rsidRPr="006571AC">
        <w:rPr>
          <w:rFonts w:asciiTheme="majorBidi" w:hAnsiTheme="majorBidi" w:hint="cs"/>
          <w:sz w:val="27"/>
          <w:rtl/>
        </w:rPr>
        <w:t xml:space="preserve">أفراد المجتمع الإيراني. </w:t>
      </w:r>
    </w:p>
    <w:p w:rsidR="00237EB1" w:rsidRPr="006571AC" w:rsidRDefault="00237EB1" w:rsidP="00E60D93">
      <w:pPr>
        <w:rPr>
          <w:rFonts w:asciiTheme="majorBidi" w:hAnsiTheme="majorBidi"/>
          <w:sz w:val="27"/>
          <w:rtl/>
        </w:rPr>
      </w:pPr>
      <w:r w:rsidRPr="006571AC">
        <w:rPr>
          <w:rFonts w:asciiTheme="majorBidi" w:hAnsiTheme="majorBidi" w:hint="cs"/>
          <w:sz w:val="27"/>
          <w:rtl/>
        </w:rPr>
        <w:lastRenderedPageBreak/>
        <w:t>وإنّ مسألة</w:t>
      </w:r>
      <w:r w:rsidRPr="006571AC">
        <w:rPr>
          <w:rFonts w:asciiTheme="majorBidi" w:hAnsiTheme="majorBidi"/>
          <w:sz w:val="27"/>
          <w:rtl/>
        </w:rPr>
        <w:t xml:space="preserve"> </w:t>
      </w:r>
      <w:r w:rsidRPr="006571AC">
        <w:rPr>
          <w:rFonts w:asciiTheme="majorBidi" w:hAnsiTheme="majorBidi" w:hint="cs"/>
          <w:sz w:val="27"/>
          <w:rtl/>
        </w:rPr>
        <w:t>حبس</w:t>
      </w:r>
      <w:r w:rsidRPr="006571AC">
        <w:rPr>
          <w:rFonts w:asciiTheme="majorBidi" w:hAnsiTheme="majorBidi"/>
          <w:sz w:val="27"/>
          <w:rtl/>
        </w:rPr>
        <w:t xml:space="preserve"> </w:t>
      </w:r>
      <w:r w:rsidRPr="006571AC">
        <w:rPr>
          <w:rFonts w:asciiTheme="majorBidi" w:hAnsiTheme="majorBidi" w:hint="cs"/>
          <w:sz w:val="27"/>
          <w:rtl/>
        </w:rPr>
        <w:t>الرجال بهذه الطريقة</w:t>
      </w:r>
      <w:r w:rsidRPr="006571AC">
        <w:rPr>
          <w:rFonts w:asciiTheme="majorBidi" w:hAnsiTheme="majorBidi"/>
          <w:sz w:val="27"/>
          <w:rtl/>
        </w:rPr>
        <w:t xml:space="preserve"> </w:t>
      </w:r>
      <w:r w:rsidRPr="006571AC">
        <w:rPr>
          <w:rFonts w:asciiTheme="majorBidi" w:hAnsiTheme="majorBidi" w:hint="cs"/>
          <w:sz w:val="27"/>
          <w:rtl/>
        </w:rPr>
        <w:t>يعتبر</w:t>
      </w:r>
      <w:r w:rsidRPr="006571AC">
        <w:rPr>
          <w:rFonts w:asciiTheme="majorBidi" w:hAnsiTheme="majorBidi"/>
          <w:sz w:val="27"/>
          <w:rtl/>
        </w:rPr>
        <w:t xml:space="preserve"> </w:t>
      </w:r>
      <w:r w:rsidRPr="006571AC">
        <w:rPr>
          <w:rFonts w:asciiTheme="majorBidi" w:hAnsiTheme="majorBidi" w:hint="cs"/>
          <w:sz w:val="27"/>
          <w:rtl/>
        </w:rPr>
        <w:t>ش</w:t>
      </w:r>
      <w:r w:rsidR="00836A19" w:rsidRPr="006571AC">
        <w:rPr>
          <w:rFonts w:asciiTheme="majorBidi" w:hAnsiTheme="majorBidi" w:hint="cs"/>
          <w:sz w:val="27"/>
          <w:rtl/>
        </w:rPr>
        <w:t>َ</w:t>
      </w:r>
      <w:r w:rsidRPr="006571AC">
        <w:rPr>
          <w:rFonts w:asciiTheme="majorBidi" w:hAnsiTheme="majorBidi" w:hint="cs"/>
          <w:sz w:val="27"/>
          <w:rtl/>
        </w:rPr>
        <w:t>ك</w:t>
      </w:r>
      <w:r w:rsidR="00836A19" w:rsidRPr="006571AC">
        <w:rPr>
          <w:rFonts w:asciiTheme="majorBidi" w:hAnsiTheme="majorBidi" w:hint="cs"/>
          <w:sz w:val="27"/>
          <w:rtl/>
        </w:rPr>
        <w:t>ْ</w:t>
      </w:r>
      <w:r w:rsidRPr="006571AC">
        <w:rPr>
          <w:rFonts w:asciiTheme="majorBidi" w:hAnsiTheme="majorBidi" w:hint="cs"/>
          <w:sz w:val="27"/>
          <w:rtl/>
        </w:rPr>
        <w:t>لاً</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أشكال</w:t>
      </w:r>
      <w:r w:rsidRPr="006571AC">
        <w:rPr>
          <w:rFonts w:asciiTheme="majorBidi" w:hAnsiTheme="majorBidi"/>
          <w:sz w:val="27"/>
          <w:rtl/>
        </w:rPr>
        <w:t xml:space="preserve"> </w:t>
      </w:r>
      <w:r w:rsidRPr="006571AC">
        <w:rPr>
          <w:rFonts w:asciiTheme="majorBidi" w:hAnsiTheme="majorBidi" w:hint="cs"/>
          <w:sz w:val="27"/>
          <w:rtl/>
        </w:rPr>
        <w:t>الضغط من أجل</w:t>
      </w:r>
      <w:r w:rsidRPr="006571AC">
        <w:rPr>
          <w:rFonts w:asciiTheme="majorBidi" w:hAnsiTheme="majorBidi"/>
          <w:sz w:val="27"/>
          <w:rtl/>
        </w:rPr>
        <w:t xml:space="preserve"> </w:t>
      </w:r>
      <w:r w:rsidRPr="006571AC">
        <w:rPr>
          <w:rFonts w:asciiTheme="majorBidi" w:hAnsiTheme="majorBidi" w:hint="cs"/>
          <w:sz w:val="27"/>
          <w:rtl/>
        </w:rPr>
        <w:t>النساء</w:t>
      </w:r>
      <w:r w:rsidRPr="006571AC">
        <w:rPr>
          <w:rFonts w:asciiTheme="majorBidi" w:hAnsiTheme="majorBidi"/>
          <w:sz w:val="27"/>
          <w:rtl/>
        </w:rPr>
        <w:t>،</w:t>
      </w:r>
      <w:r w:rsidRPr="006571AC">
        <w:rPr>
          <w:rFonts w:asciiTheme="majorBidi" w:hAnsiTheme="majorBidi" w:hint="cs"/>
          <w:sz w:val="27"/>
          <w:rtl/>
        </w:rPr>
        <w:t xml:space="preserve"> مشيراً</w:t>
      </w:r>
      <w:r w:rsidRPr="006571AC">
        <w:rPr>
          <w:rFonts w:asciiTheme="majorBidi" w:hAnsiTheme="majorBidi"/>
          <w:sz w:val="27"/>
          <w:rtl/>
        </w:rPr>
        <w:t xml:space="preserve"> </w:t>
      </w:r>
      <w:r w:rsidRPr="006571AC">
        <w:rPr>
          <w:rFonts w:asciiTheme="majorBidi" w:hAnsiTheme="majorBidi" w:hint="cs"/>
          <w:sz w:val="27"/>
          <w:rtl/>
        </w:rPr>
        <w:t>إلى</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الذين</w:t>
      </w:r>
      <w:r w:rsidRPr="006571AC">
        <w:rPr>
          <w:rFonts w:asciiTheme="majorBidi" w:hAnsiTheme="majorBidi"/>
          <w:sz w:val="27"/>
          <w:rtl/>
        </w:rPr>
        <w:t xml:space="preserve"> </w:t>
      </w:r>
      <w:r w:rsidRPr="006571AC">
        <w:rPr>
          <w:rFonts w:asciiTheme="majorBidi" w:hAnsiTheme="majorBidi" w:hint="cs"/>
          <w:sz w:val="27"/>
          <w:rtl/>
        </w:rPr>
        <w:t>أصدروا</w:t>
      </w:r>
      <w:r w:rsidRPr="006571AC">
        <w:rPr>
          <w:rFonts w:asciiTheme="majorBidi" w:hAnsiTheme="majorBidi"/>
          <w:sz w:val="27"/>
          <w:rtl/>
        </w:rPr>
        <w:t xml:space="preserve"> </w:t>
      </w:r>
      <w:r w:rsidRPr="006571AC">
        <w:rPr>
          <w:rFonts w:asciiTheme="majorBidi" w:hAnsiTheme="majorBidi" w:hint="cs"/>
          <w:sz w:val="27"/>
          <w:rtl/>
        </w:rPr>
        <w:t>هذا القانون</w:t>
      </w:r>
      <w:r w:rsidRPr="006571AC">
        <w:rPr>
          <w:rFonts w:asciiTheme="majorBidi" w:hAnsiTheme="majorBidi"/>
          <w:sz w:val="27"/>
          <w:rtl/>
        </w:rPr>
        <w:t xml:space="preserve"> </w:t>
      </w:r>
      <w:r w:rsidRPr="006571AC">
        <w:rPr>
          <w:rFonts w:asciiTheme="majorBidi" w:hAnsiTheme="majorBidi" w:hint="cs"/>
          <w:sz w:val="27"/>
          <w:rtl/>
        </w:rPr>
        <w:t>كان</w:t>
      </w:r>
      <w:r w:rsidRPr="006571AC">
        <w:rPr>
          <w:rFonts w:asciiTheme="majorBidi" w:hAnsiTheme="majorBidi"/>
          <w:sz w:val="27"/>
          <w:rtl/>
        </w:rPr>
        <w:t xml:space="preserve"> </w:t>
      </w:r>
      <w:r w:rsidRPr="006571AC">
        <w:rPr>
          <w:rFonts w:asciiTheme="majorBidi" w:hAnsiTheme="majorBidi" w:hint="cs"/>
          <w:sz w:val="27"/>
          <w:rtl/>
        </w:rPr>
        <w:t>بإمكانهم</w:t>
      </w:r>
      <w:r w:rsidRPr="006571AC">
        <w:rPr>
          <w:rFonts w:asciiTheme="majorBidi" w:hAnsiTheme="majorBidi"/>
          <w:sz w:val="27"/>
          <w:rtl/>
        </w:rPr>
        <w:t xml:space="preserve"> </w:t>
      </w:r>
      <w:r w:rsidRPr="006571AC">
        <w:rPr>
          <w:rFonts w:asciiTheme="majorBidi" w:hAnsiTheme="majorBidi" w:hint="cs"/>
          <w:sz w:val="27"/>
          <w:rtl/>
        </w:rPr>
        <w:t>البحث</w:t>
      </w:r>
      <w:r w:rsidRPr="006571AC">
        <w:rPr>
          <w:rFonts w:asciiTheme="majorBidi" w:hAnsiTheme="majorBidi"/>
          <w:sz w:val="27"/>
          <w:rtl/>
        </w:rPr>
        <w:t xml:space="preserve"> </w:t>
      </w:r>
      <w:r w:rsidRPr="006571AC">
        <w:rPr>
          <w:rFonts w:asciiTheme="majorBidi" w:hAnsiTheme="majorBidi" w:hint="cs"/>
          <w:sz w:val="27"/>
          <w:rtl/>
        </w:rPr>
        <w:t>عن</w:t>
      </w:r>
      <w:r w:rsidRPr="006571AC">
        <w:rPr>
          <w:rFonts w:asciiTheme="majorBidi" w:hAnsiTheme="majorBidi"/>
          <w:sz w:val="27"/>
          <w:rtl/>
        </w:rPr>
        <w:t xml:space="preserve"> </w:t>
      </w:r>
      <w:r w:rsidRPr="006571AC">
        <w:rPr>
          <w:rFonts w:asciiTheme="majorBidi" w:hAnsiTheme="majorBidi" w:hint="cs"/>
          <w:sz w:val="27"/>
          <w:rtl/>
        </w:rPr>
        <w:t>حل</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أفضل</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واقتراح</w:t>
      </w:r>
      <w:r w:rsidRPr="006571AC">
        <w:rPr>
          <w:rFonts w:asciiTheme="majorBidi" w:hAnsiTheme="majorBidi"/>
          <w:sz w:val="27"/>
          <w:rtl/>
        </w:rPr>
        <w:t xml:space="preserve"> </w:t>
      </w:r>
      <w:r w:rsidRPr="006571AC">
        <w:rPr>
          <w:rFonts w:asciiTheme="majorBidi" w:hAnsiTheme="majorBidi" w:hint="cs"/>
          <w:sz w:val="27"/>
          <w:rtl/>
        </w:rPr>
        <w:t>نوع</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جديد</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العقد</w:t>
      </w:r>
      <w:r w:rsidRPr="006571AC">
        <w:rPr>
          <w:rFonts w:asciiTheme="majorBidi" w:hAnsiTheme="majorBidi"/>
          <w:sz w:val="27"/>
          <w:rtl/>
        </w:rPr>
        <w:t xml:space="preserve"> </w:t>
      </w:r>
      <w:r w:rsidRPr="006571AC">
        <w:rPr>
          <w:rFonts w:asciiTheme="majorBidi" w:hAnsiTheme="majorBidi" w:hint="cs"/>
          <w:sz w:val="27"/>
          <w:rtl/>
        </w:rPr>
        <w:t>المالي</w:t>
      </w:r>
      <w:r w:rsidRPr="006571AC">
        <w:rPr>
          <w:rFonts w:asciiTheme="majorBidi" w:hAnsiTheme="majorBidi"/>
          <w:sz w:val="27"/>
          <w:rtl/>
        </w:rPr>
        <w:t xml:space="preserve"> </w:t>
      </w:r>
      <w:r w:rsidRPr="006571AC">
        <w:rPr>
          <w:rFonts w:asciiTheme="majorBidi" w:hAnsiTheme="majorBidi" w:hint="cs"/>
          <w:sz w:val="27"/>
          <w:rtl/>
        </w:rPr>
        <w:t>بين</w:t>
      </w:r>
      <w:r w:rsidRPr="006571AC">
        <w:rPr>
          <w:rFonts w:asciiTheme="majorBidi" w:hAnsiTheme="majorBidi"/>
          <w:sz w:val="27"/>
          <w:rtl/>
        </w:rPr>
        <w:t xml:space="preserve"> </w:t>
      </w:r>
      <w:r w:rsidRPr="006571AC">
        <w:rPr>
          <w:rFonts w:asciiTheme="majorBidi" w:hAnsiTheme="majorBidi" w:hint="cs"/>
          <w:sz w:val="27"/>
          <w:rtl/>
        </w:rPr>
        <w:t>الزوج</w:t>
      </w:r>
      <w:r w:rsidRPr="006571AC">
        <w:rPr>
          <w:rFonts w:asciiTheme="majorBidi" w:hAnsiTheme="majorBidi"/>
          <w:sz w:val="27"/>
          <w:rtl/>
        </w:rPr>
        <w:t xml:space="preserve"> </w:t>
      </w:r>
      <w:r w:rsidRPr="006571AC">
        <w:rPr>
          <w:rFonts w:asciiTheme="majorBidi" w:hAnsiTheme="majorBidi" w:hint="cs"/>
          <w:sz w:val="27"/>
          <w:rtl/>
        </w:rPr>
        <w:t>والزوجة</w:t>
      </w:r>
      <w:r w:rsidRPr="006571AC">
        <w:rPr>
          <w:rFonts w:asciiTheme="majorBidi" w:hAnsiTheme="majorBidi"/>
          <w:sz w:val="27"/>
          <w:rtl/>
        </w:rPr>
        <w:t xml:space="preserve">. </w:t>
      </w:r>
      <w:r w:rsidR="0049299C" w:rsidRPr="006571AC">
        <w:rPr>
          <w:rFonts w:asciiTheme="majorBidi" w:hAnsiTheme="majorBidi" w:hint="cs"/>
          <w:sz w:val="27"/>
          <w:rtl/>
        </w:rPr>
        <w:t>و</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سبيل</w:t>
      </w:r>
      <w:r w:rsidRPr="006571AC">
        <w:rPr>
          <w:rFonts w:asciiTheme="majorBidi" w:hAnsiTheme="majorBidi"/>
          <w:sz w:val="27"/>
          <w:rtl/>
        </w:rPr>
        <w:t xml:space="preserve"> </w:t>
      </w:r>
      <w:r w:rsidRPr="006571AC">
        <w:rPr>
          <w:rFonts w:asciiTheme="majorBidi" w:hAnsiTheme="majorBidi" w:hint="cs"/>
          <w:sz w:val="27"/>
          <w:rtl/>
        </w:rPr>
        <w:t>المثال</w:t>
      </w:r>
      <w:r w:rsidR="0049299C" w:rsidRPr="006571AC">
        <w:rPr>
          <w:rFonts w:asciiTheme="majorBidi" w:hAnsiTheme="majorBidi" w:hint="cs"/>
          <w:sz w:val="27"/>
          <w:rtl/>
        </w:rPr>
        <w:t>:</w:t>
      </w:r>
      <w:r w:rsidRPr="006571AC">
        <w:rPr>
          <w:rFonts w:asciiTheme="majorBidi" w:hAnsiTheme="majorBidi" w:hint="cs"/>
          <w:sz w:val="27"/>
          <w:rtl/>
        </w:rPr>
        <w:t xml:space="preserve"> لو ناقشوا</w:t>
      </w:r>
      <w:r w:rsidRPr="006571AC">
        <w:rPr>
          <w:rFonts w:asciiTheme="majorBidi" w:hAnsiTheme="majorBidi"/>
          <w:sz w:val="27"/>
          <w:rtl/>
        </w:rPr>
        <w:t xml:space="preserve"> </w:t>
      </w:r>
      <w:r w:rsidRPr="006571AC">
        <w:rPr>
          <w:rFonts w:asciiTheme="majorBidi" w:hAnsiTheme="majorBidi" w:hint="cs"/>
          <w:sz w:val="27"/>
          <w:rtl/>
        </w:rPr>
        <w:t>مسألة</w:t>
      </w:r>
      <w:r w:rsidRPr="006571AC">
        <w:rPr>
          <w:rFonts w:asciiTheme="majorBidi" w:hAnsiTheme="majorBidi"/>
          <w:sz w:val="27"/>
          <w:rtl/>
        </w:rPr>
        <w:t xml:space="preserve"> </w:t>
      </w:r>
      <w:r w:rsidRPr="006571AC">
        <w:rPr>
          <w:rFonts w:asciiTheme="majorBidi" w:hAnsiTheme="majorBidi" w:hint="cs"/>
          <w:sz w:val="27"/>
          <w:rtl/>
        </w:rPr>
        <w:t>مهر</w:t>
      </w:r>
      <w:r w:rsidRPr="006571AC">
        <w:rPr>
          <w:rFonts w:asciiTheme="majorBidi" w:hAnsiTheme="majorBidi"/>
          <w:sz w:val="27"/>
          <w:rtl/>
        </w:rPr>
        <w:t xml:space="preserve"> </w:t>
      </w:r>
      <w:r w:rsidRPr="006571AC">
        <w:rPr>
          <w:rFonts w:asciiTheme="majorBidi" w:hAnsiTheme="majorBidi" w:hint="cs"/>
          <w:sz w:val="27"/>
          <w:rtl/>
        </w:rPr>
        <w:t>السن</w:t>
      </w:r>
      <w:r w:rsidR="0049299C" w:rsidRPr="006571AC">
        <w:rPr>
          <w:rFonts w:asciiTheme="majorBidi" w:hAnsiTheme="majorBidi" w:hint="cs"/>
          <w:sz w:val="27"/>
          <w:rtl/>
        </w:rPr>
        <w:t>ّ</w:t>
      </w:r>
      <w:r w:rsidRPr="006571AC">
        <w:rPr>
          <w:rFonts w:asciiTheme="majorBidi" w:hAnsiTheme="majorBidi" w:hint="cs"/>
          <w:sz w:val="27"/>
          <w:rtl/>
        </w:rPr>
        <w:t>ة</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الذي حث</w:t>
      </w:r>
      <w:r w:rsidR="0049299C" w:rsidRPr="006571AC">
        <w:rPr>
          <w:rFonts w:asciiTheme="majorBidi" w:hAnsiTheme="majorBidi" w:hint="cs"/>
          <w:sz w:val="27"/>
          <w:rtl/>
        </w:rPr>
        <w:t>َّ</w:t>
      </w:r>
      <w:r w:rsidRPr="006571AC">
        <w:rPr>
          <w:rFonts w:asciiTheme="majorBidi" w:hAnsiTheme="majorBidi" w:hint="cs"/>
          <w:sz w:val="27"/>
          <w:rtl/>
        </w:rPr>
        <w:t>ت</w:t>
      </w:r>
      <w:r w:rsidR="0049299C" w:rsidRPr="006571AC">
        <w:rPr>
          <w:rFonts w:asciiTheme="majorBidi" w:hAnsiTheme="majorBidi" w:hint="cs"/>
          <w:sz w:val="27"/>
          <w:rtl/>
        </w:rPr>
        <w:t>ْ</w:t>
      </w:r>
      <w:r w:rsidRPr="006571AC">
        <w:rPr>
          <w:rFonts w:asciiTheme="majorBidi" w:hAnsiTheme="majorBidi" w:hint="cs"/>
          <w:sz w:val="27"/>
          <w:rtl/>
        </w:rPr>
        <w:t xml:space="preserve"> عليه الروايات</w:t>
      </w:r>
      <w:r w:rsidRPr="006571AC">
        <w:rPr>
          <w:rFonts w:asciiTheme="majorBidi" w:hAnsiTheme="majorBidi"/>
          <w:sz w:val="27"/>
          <w:vertAlign w:val="superscript"/>
          <w:rtl/>
        </w:rPr>
        <w:t>(</w:t>
      </w:r>
      <w:r w:rsidRPr="006571AC">
        <w:rPr>
          <w:rFonts w:asciiTheme="majorBidi" w:hAnsiTheme="majorBidi"/>
          <w:sz w:val="27"/>
          <w:vertAlign w:val="superscript"/>
          <w:rtl/>
        </w:rPr>
        <w:endnoteReference w:id="459"/>
      </w:r>
      <w:r w:rsidRPr="006571AC">
        <w:rPr>
          <w:rFonts w:asciiTheme="majorBidi" w:hAnsiTheme="majorBidi"/>
          <w:sz w:val="27"/>
          <w:vertAlign w:val="superscript"/>
          <w:rtl/>
        </w:rPr>
        <w:t>)</w:t>
      </w:r>
      <w:r w:rsidRPr="006571AC">
        <w:rPr>
          <w:rFonts w:asciiTheme="majorBidi" w:hAnsiTheme="majorBidi"/>
          <w:sz w:val="27"/>
          <w:rtl/>
        </w:rPr>
        <w:t>.</w:t>
      </w:r>
      <w:r w:rsidRPr="006571AC">
        <w:rPr>
          <w:rFonts w:asciiTheme="majorBidi" w:hAnsiTheme="majorBidi" w:hint="cs"/>
          <w:sz w:val="27"/>
          <w:rtl/>
        </w:rPr>
        <w:t xml:space="preserve"> </w:t>
      </w:r>
    </w:p>
    <w:p w:rsidR="00237EB1" w:rsidRPr="006571AC" w:rsidRDefault="00237EB1" w:rsidP="00836A19">
      <w:pPr>
        <w:rPr>
          <w:rFonts w:asciiTheme="majorBidi" w:hAnsiTheme="majorBidi"/>
          <w:sz w:val="27"/>
          <w:rtl/>
        </w:rPr>
      </w:pPr>
      <w:r w:rsidRPr="006571AC">
        <w:rPr>
          <w:rFonts w:asciiTheme="majorBidi" w:hAnsiTheme="majorBidi" w:hint="cs"/>
          <w:sz w:val="27"/>
          <w:rtl/>
        </w:rPr>
        <w:t>وفي</w:t>
      </w:r>
      <w:r w:rsidRPr="006571AC">
        <w:rPr>
          <w:rFonts w:asciiTheme="majorBidi" w:hAnsiTheme="majorBidi"/>
          <w:sz w:val="27"/>
          <w:rtl/>
        </w:rPr>
        <w:t xml:space="preserve"> </w:t>
      </w:r>
      <w:r w:rsidRPr="006571AC">
        <w:rPr>
          <w:rFonts w:asciiTheme="majorBidi" w:hAnsiTheme="majorBidi" w:hint="cs"/>
          <w:sz w:val="27"/>
          <w:rtl/>
        </w:rPr>
        <w:t>هذا</w:t>
      </w:r>
      <w:r w:rsidRPr="006571AC">
        <w:rPr>
          <w:rFonts w:asciiTheme="majorBidi" w:hAnsiTheme="majorBidi"/>
          <w:sz w:val="27"/>
          <w:rtl/>
        </w:rPr>
        <w:t xml:space="preserve"> </w:t>
      </w:r>
      <w:r w:rsidRPr="006571AC">
        <w:rPr>
          <w:rFonts w:asciiTheme="majorBidi" w:hAnsiTheme="majorBidi" w:hint="cs"/>
          <w:sz w:val="27"/>
          <w:rtl/>
        </w:rPr>
        <w:t>الصدد، وبناء</w:t>
      </w:r>
      <w:r w:rsidR="0049299C" w:rsidRPr="006571AC">
        <w:rPr>
          <w:rFonts w:asciiTheme="majorBidi" w:hAnsiTheme="majorBidi" w:hint="cs"/>
          <w:sz w:val="27"/>
          <w:rtl/>
        </w:rPr>
        <w:t>ً</w:t>
      </w:r>
      <w:r w:rsidRPr="006571AC">
        <w:rPr>
          <w:rFonts w:asciiTheme="majorBidi" w:hAnsiTheme="majorBidi" w:hint="cs"/>
          <w:sz w:val="27"/>
          <w:rtl/>
        </w:rPr>
        <w:t xml:space="preserve"> على الموافقة</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هذا</w:t>
      </w:r>
      <w:r w:rsidRPr="006571AC">
        <w:rPr>
          <w:rFonts w:asciiTheme="majorBidi" w:hAnsiTheme="majorBidi"/>
          <w:sz w:val="27"/>
          <w:rtl/>
        </w:rPr>
        <w:t xml:space="preserve"> </w:t>
      </w:r>
      <w:r w:rsidRPr="006571AC">
        <w:rPr>
          <w:rFonts w:asciiTheme="majorBidi" w:hAnsiTheme="majorBidi" w:hint="cs"/>
          <w:sz w:val="27"/>
          <w:rtl/>
        </w:rPr>
        <w:t>القانون، سيتم</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إلغاء</w:t>
      </w:r>
      <w:r w:rsidRPr="006571AC">
        <w:rPr>
          <w:rFonts w:asciiTheme="majorBidi" w:hAnsiTheme="majorBidi"/>
          <w:sz w:val="27"/>
          <w:rtl/>
        </w:rPr>
        <w:t xml:space="preserve"> </w:t>
      </w:r>
      <w:r w:rsidRPr="006571AC">
        <w:rPr>
          <w:rFonts w:asciiTheme="majorBidi" w:hAnsiTheme="majorBidi" w:hint="cs"/>
          <w:sz w:val="27"/>
          <w:rtl/>
        </w:rPr>
        <w:t>تحديد</w:t>
      </w:r>
      <w:r w:rsidRPr="006571AC">
        <w:rPr>
          <w:rFonts w:asciiTheme="majorBidi" w:hAnsiTheme="majorBidi"/>
          <w:sz w:val="27"/>
          <w:rtl/>
        </w:rPr>
        <w:t xml:space="preserve"> </w:t>
      </w:r>
      <w:r w:rsidRPr="006571AC">
        <w:rPr>
          <w:rFonts w:asciiTheme="majorBidi" w:hAnsiTheme="majorBidi" w:hint="cs"/>
          <w:sz w:val="27"/>
          <w:rtl/>
        </w:rPr>
        <w:t>المهور</w:t>
      </w:r>
      <w:r w:rsidRPr="006571AC">
        <w:rPr>
          <w:rFonts w:asciiTheme="majorBidi" w:hAnsiTheme="majorBidi"/>
          <w:sz w:val="27"/>
          <w:rtl/>
        </w:rPr>
        <w:t xml:space="preserve"> </w:t>
      </w:r>
      <w:r w:rsidRPr="006571AC">
        <w:rPr>
          <w:rFonts w:asciiTheme="majorBidi" w:hAnsiTheme="majorBidi" w:hint="cs"/>
          <w:sz w:val="27"/>
          <w:rtl/>
        </w:rPr>
        <w:t>المرتفعة</w:t>
      </w:r>
      <w:r w:rsidRPr="006571AC">
        <w:rPr>
          <w:rFonts w:asciiTheme="majorBidi" w:hAnsiTheme="majorBidi"/>
          <w:sz w:val="27"/>
          <w:rtl/>
        </w:rPr>
        <w:t xml:space="preserve"> </w:t>
      </w:r>
      <w:r w:rsidRPr="006571AC">
        <w:rPr>
          <w:rFonts w:asciiTheme="majorBidi" w:hAnsiTheme="majorBidi" w:hint="cs"/>
          <w:sz w:val="27"/>
          <w:rtl/>
        </w:rPr>
        <w:t>إلى</w:t>
      </w:r>
      <w:r w:rsidRPr="006571AC">
        <w:rPr>
          <w:rFonts w:asciiTheme="majorBidi" w:hAnsiTheme="majorBidi"/>
          <w:sz w:val="27"/>
          <w:rtl/>
        </w:rPr>
        <w:t xml:space="preserve"> </w:t>
      </w:r>
      <w:r w:rsidRPr="006571AC">
        <w:rPr>
          <w:rFonts w:asciiTheme="majorBidi" w:hAnsiTheme="majorBidi" w:hint="cs"/>
          <w:sz w:val="27"/>
          <w:rtl/>
        </w:rPr>
        <w:t>حد</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ما، إلاّ أنه</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الأساس لم</w:t>
      </w:r>
      <w:r w:rsidRPr="006571AC">
        <w:rPr>
          <w:rFonts w:asciiTheme="majorBidi" w:hAnsiTheme="majorBidi"/>
          <w:sz w:val="27"/>
          <w:rtl/>
        </w:rPr>
        <w:t xml:space="preserve"> </w:t>
      </w:r>
      <w:r w:rsidRPr="006571AC">
        <w:rPr>
          <w:rFonts w:asciiTheme="majorBidi" w:hAnsiTheme="majorBidi" w:hint="cs"/>
          <w:sz w:val="27"/>
          <w:rtl/>
        </w:rPr>
        <w:t>يكن</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المرتفع</w:t>
      </w:r>
      <w:r w:rsidRPr="006571AC">
        <w:rPr>
          <w:rFonts w:asciiTheme="majorBidi" w:hAnsiTheme="majorBidi"/>
          <w:sz w:val="27"/>
          <w:rtl/>
        </w:rPr>
        <w:t xml:space="preserve"> </w:t>
      </w:r>
      <w:r w:rsidRPr="006571AC">
        <w:rPr>
          <w:rFonts w:asciiTheme="majorBidi" w:hAnsiTheme="majorBidi" w:hint="cs"/>
          <w:sz w:val="27"/>
          <w:rtl/>
        </w:rPr>
        <w:t>قادر</w:t>
      </w:r>
      <w:r w:rsidR="00731867" w:rsidRPr="006571AC">
        <w:rPr>
          <w:rFonts w:asciiTheme="majorBidi" w:hAnsiTheme="majorBidi" w:hint="cs"/>
          <w:sz w:val="27"/>
          <w:rtl/>
        </w:rPr>
        <w:t>اً</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ضمان</w:t>
      </w:r>
      <w:r w:rsidRPr="006571AC">
        <w:rPr>
          <w:rFonts w:asciiTheme="majorBidi" w:hAnsiTheme="majorBidi"/>
          <w:sz w:val="27"/>
          <w:rtl/>
        </w:rPr>
        <w:t xml:space="preserve"> </w:t>
      </w:r>
      <w:r w:rsidRPr="006571AC">
        <w:rPr>
          <w:rFonts w:asciiTheme="majorBidi" w:hAnsiTheme="majorBidi" w:hint="cs"/>
          <w:sz w:val="27"/>
          <w:rtl/>
        </w:rPr>
        <w:t>استمرار</w:t>
      </w:r>
      <w:r w:rsidRPr="006571AC">
        <w:rPr>
          <w:rFonts w:asciiTheme="majorBidi" w:hAnsiTheme="majorBidi"/>
          <w:sz w:val="27"/>
          <w:rtl/>
        </w:rPr>
        <w:t xml:space="preserve"> </w:t>
      </w:r>
      <w:r w:rsidRPr="006571AC">
        <w:rPr>
          <w:rFonts w:asciiTheme="majorBidi" w:hAnsiTheme="majorBidi" w:hint="cs"/>
          <w:sz w:val="27"/>
          <w:rtl/>
        </w:rPr>
        <w:t>الحياة</w:t>
      </w:r>
      <w:r w:rsidRPr="006571AC">
        <w:rPr>
          <w:rFonts w:asciiTheme="majorBidi" w:hAnsiTheme="majorBidi"/>
          <w:sz w:val="27"/>
          <w:rtl/>
        </w:rPr>
        <w:t xml:space="preserve"> </w:t>
      </w:r>
      <w:r w:rsidRPr="006571AC">
        <w:rPr>
          <w:rFonts w:asciiTheme="majorBidi" w:hAnsiTheme="majorBidi" w:hint="cs"/>
          <w:sz w:val="27"/>
          <w:rtl/>
        </w:rPr>
        <w:t>الزوجية</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ولم</w:t>
      </w:r>
      <w:r w:rsidRPr="006571AC">
        <w:rPr>
          <w:rFonts w:asciiTheme="majorBidi" w:hAnsiTheme="majorBidi"/>
          <w:sz w:val="27"/>
          <w:rtl/>
        </w:rPr>
        <w:t xml:space="preserve"> </w:t>
      </w:r>
      <w:r w:rsidRPr="006571AC">
        <w:rPr>
          <w:rFonts w:asciiTheme="majorBidi" w:hAnsiTheme="majorBidi" w:hint="cs"/>
          <w:sz w:val="27"/>
          <w:rtl/>
        </w:rPr>
        <w:t>يسب</w:t>
      </w:r>
      <w:r w:rsidR="0049299C" w:rsidRPr="006571AC">
        <w:rPr>
          <w:rFonts w:asciiTheme="majorBidi" w:hAnsiTheme="majorBidi" w:hint="cs"/>
          <w:sz w:val="27"/>
          <w:rtl/>
        </w:rPr>
        <w:t>ِّ</w:t>
      </w:r>
      <w:r w:rsidRPr="006571AC">
        <w:rPr>
          <w:rFonts w:asciiTheme="majorBidi" w:hAnsiTheme="majorBidi" w:hint="cs"/>
          <w:sz w:val="27"/>
          <w:rtl/>
        </w:rPr>
        <w:t>ب</w:t>
      </w:r>
      <w:r w:rsidRPr="006571AC">
        <w:rPr>
          <w:rFonts w:asciiTheme="majorBidi" w:hAnsiTheme="majorBidi"/>
          <w:sz w:val="27"/>
          <w:rtl/>
        </w:rPr>
        <w:t xml:space="preserve"> </w:t>
      </w:r>
      <w:r w:rsidRPr="006571AC">
        <w:rPr>
          <w:rFonts w:asciiTheme="majorBidi" w:hAnsiTheme="majorBidi" w:hint="cs"/>
          <w:sz w:val="27"/>
          <w:rtl/>
        </w:rPr>
        <w:t>سوى</w:t>
      </w:r>
      <w:r w:rsidRPr="006571AC">
        <w:rPr>
          <w:rFonts w:asciiTheme="majorBidi" w:hAnsiTheme="majorBidi"/>
          <w:sz w:val="27"/>
          <w:rtl/>
        </w:rPr>
        <w:t xml:space="preserve"> </w:t>
      </w:r>
      <w:r w:rsidRPr="006571AC">
        <w:rPr>
          <w:rFonts w:asciiTheme="majorBidi" w:hAnsiTheme="majorBidi" w:hint="cs"/>
          <w:sz w:val="27"/>
          <w:rtl/>
        </w:rPr>
        <w:t>المتاعب</w:t>
      </w:r>
      <w:r w:rsidRPr="006571AC">
        <w:rPr>
          <w:rFonts w:asciiTheme="majorBidi" w:hAnsiTheme="majorBidi"/>
          <w:sz w:val="27"/>
          <w:rtl/>
        </w:rPr>
        <w:t xml:space="preserve"> </w:t>
      </w:r>
      <w:r w:rsidRPr="006571AC">
        <w:rPr>
          <w:rFonts w:asciiTheme="majorBidi" w:hAnsiTheme="majorBidi" w:hint="cs"/>
          <w:sz w:val="27"/>
          <w:rtl/>
        </w:rPr>
        <w:t>للرجال</w:t>
      </w:r>
      <w:r w:rsidR="0049299C" w:rsidRPr="006571AC">
        <w:rPr>
          <w:rFonts w:asciiTheme="majorBidi" w:hAnsiTheme="majorBidi" w:hint="cs"/>
          <w:sz w:val="27"/>
          <w:rtl/>
        </w:rPr>
        <w:t>؛</w:t>
      </w:r>
      <w:r w:rsidRPr="006571AC">
        <w:rPr>
          <w:rFonts w:asciiTheme="majorBidi" w:hAnsiTheme="majorBidi" w:hint="cs"/>
          <w:sz w:val="27"/>
          <w:rtl/>
        </w:rPr>
        <w:t xml:space="preserve"> لأنه</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الناحية</w:t>
      </w:r>
      <w:r w:rsidRPr="006571AC">
        <w:rPr>
          <w:rFonts w:asciiTheme="majorBidi" w:hAnsiTheme="majorBidi"/>
          <w:sz w:val="27"/>
          <w:rtl/>
        </w:rPr>
        <w:t xml:space="preserve"> </w:t>
      </w:r>
      <w:r w:rsidRPr="006571AC">
        <w:rPr>
          <w:rFonts w:asciiTheme="majorBidi" w:hAnsiTheme="majorBidi" w:hint="cs"/>
          <w:sz w:val="27"/>
          <w:rtl/>
        </w:rPr>
        <w:t>العملية لم</w:t>
      </w:r>
      <w:r w:rsidRPr="006571AC">
        <w:rPr>
          <w:rFonts w:asciiTheme="majorBidi" w:hAnsiTheme="majorBidi"/>
          <w:sz w:val="27"/>
          <w:rtl/>
        </w:rPr>
        <w:t xml:space="preserve"> </w:t>
      </w:r>
      <w:r w:rsidRPr="006571AC">
        <w:rPr>
          <w:rFonts w:asciiTheme="majorBidi" w:hAnsiTheme="majorBidi" w:hint="cs"/>
          <w:sz w:val="27"/>
          <w:rtl/>
        </w:rPr>
        <w:t>تحق</w:t>
      </w:r>
      <w:r w:rsidR="0049299C" w:rsidRPr="006571AC">
        <w:rPr>
          <w:rFonts w:asciiTheme="majorBidi" w:hAnsiTheme="majorBidi" w:hint="cs"/>
          <w:sz w:val="27"/>
          <w:rtl/>
        </w:rPr>
        <w:t>ِّ</w:t>
      </w:r>
      <w:r w:rsidRPr="006571AC">
        <w:rPr>
          <w:rFonts w:asciiTheme="majorBidi" w:hAnsiTheme="majorBidi" w:hint="cs"/>
          <w:sz w:val="27"/>
          <w:rtl/>
        </w:rPr>
        <w:t>ق</w:t>
      </w:r>
      <w:r w:rsidRPr="006571AC">
        <w:rPr>
          <w:rFonts w:asciiTheme="majorBidi" w:hAnsiTheme="majorBidi"/>
          <w:sz w:val="27"/>
          <w:rtl/>
        </w:rPr>
        <w:t xml:space="preserve"> </w:t>
      </w:r>
      <w:r w:rsidRPr="006571AC">
        <w:rPr>
          <w:rFonts w:asciiTheme="majorBidi" w:hAnsiTheme="majorBidi" w:hint="cs"/>
          <w:sz w:val="27"/>
          <w:rtl/>
        </w:rPr>
        <w:t>المرأة شيئ</w:t>
      </w:r>
      <w:r w:rsidR="00731867" w:rsidRPr="006571AC">
        <w:rPr>
          <w:rFonts w:asciiTheme="majorBidi" w:hAnsiTheme="majorBidi" w:hint="cs"/>
          <w:sz w:val="27"/>
          <w:rtl/>
        </w:rPr>
        <w:t>اً</w:t>
      </w:r>
      <w:r w:rsidRPr="006571AC">
        <w:rPr>
          <w:rFonts w:asciiTheme="majorBidi" w:hAnsiTheme="majorBidi" w:hint="cs"/>
          <w:sz w:val="27"/>
          <w:rtl/>
        </w:rPr>
        <w:t xml:space="preserve"> على المستوى الأ</w:t>
      </w:r>
      <w:r w:rsidR="0049299C" w:rsidRPr="006571AC">
        <w:rPr>
          <w:rFonts w:asciiTheme="majorBidi" w:hAnsiTheme="majorBidi" w:hint="cs"/>
          <w:sz w:val="27"/>
          <w:rtl/>
        </w:rPr>
        <w:t>ُ</w:t>
      </w:r>
      <w:r w:rsidRPr="006571AC">
        <w:rPr>
          <w:rFonts w:asciiTheme="majorBidi" w:hAnsiTheme="majorBidi" w:hint="cs"/>
          <w:sz w:val="27"/>
          <w:rtl/>
        </w:rPr>
        <w:t>س</w:t>
      </w:r>
      <w:r w:rsidR="0049299C" w:rsidRPr="006571AC">
        <w:rPr>
          <w:rFonts w:asciiTheme="majorBidi" w:hAnsiTheme="majorBidi" w:hint="cs"/>
          <w:sz w:val="27"/>
          <w:rtl/>
        </w:rPr>
        <w:t>َ</w:t>
      </w:r>
      <w:r w:rsidRPr="006571AC">
        <w:rPr>
          <w:rFonts w:asciiTheme="majorBidi" w:hAnsiTheme="majorBidi" w:hint="cs"/>
          <w:sz w:val="27"/>
          <w:rtl/>
        </w:rPr>
        <w:t>ري</w:t>
      </w:r>
      <w:r w:rsidR="0049299C" w:rsidRPr="006571AC">
        <w:rPr>
          <w:rFonts w:asciiTheme="majorBidi" w:hAnsiTheme="majorBidi" w:hint="cs"/>
          <w:sz w:val="27"/>
          <w:rtl/>
        </w:rPr>
        <w:t>،</w:t>
      </w:r>
      <w:r w:rsidRPr="006571AC">
        <w:rPr>
          <w:rFonts w:asciiTheme="majorBidi" w:hAnsiTheme="majorBidi" w:hint="cs"/>
          <w:sz w:val="27"/>
          <w:rtl/>
        </w:rPr>
        <w:t xml:space="preserve"> </w:t>
      </w:r>
      <w:r w:rsidR="0049299C" w:rsidRPr="006571AC">
        <w:rPr>
          <w:rFonts w:asciiTheme="majorBidi" w:hAnsiTheme="majorBidi" w:hint="cs"/>
          <w:sz w:val="27"/>
          <w:rtl/>
        </w:rPr>
        <w:t>وإنما سمح</w:t>
      </w:r>
      <w:r w:rsidRPr="006571AC">
        <w:rPr>
          <w:rFonts w:asciiTheme="majorBidi" w:hAnsiTheme="majorBidi" w:hint="cs"/>
          <w:sz w:val="27"/>
          <w:rtl/>
        </w:rPr>
        <w:t xml:space="preserve"> لها بأن تفك</w:t>
      </w:r>
      <w:r w:rsidR="0049299C" w:rsidRPr="006571AC">
        <w:rPr>
          <w:rFonts w:asciiTheme="majorBidi" w:hAnsiTheme="majorBidi" w:hint="cs"/>
          <w:sz w:val="27"/>
          <w:rtl/>
        </w:rPr>
        <w:t>ِّ</w:t>
      </w:r>
      <w:r w:rsidRPr="006571AC">
        <w:rPr>
          <w:rFonts w:asciiTheme="majorBidi" w:hAnsiTheme="majorBidi" w:hint="cs"/>
          <w:sz w:val="27"/>
          <w:rtl/>
        </w:rPr>
        <w:t>ك الأسرة، وجعل الزوج أسيرا</w:t>
      </w:r>
      <w:r w:rsidR="0049299C" w:rsidRPr="006571AC">
        <w:rPr>
          <w:rFonts w:asciiTheme="majorBidi" w:hAnsiTheme="majorBidi" w:hint="cs"/>
          <w:sz w:val="27"/>
          <w:rtl/>
        </w:rPr>
        <w:t>ً</w:t>
      </w:r>
      <w:r w:rsidRPr="006571AC">
        <w:rPr>
          <w:rFonts w:asciiTheme="majorBidi" w:hAnsiTheme="majorBidi" w:hint="cs"/>
          <w:sz w:val="27"/>
          <w:rtl/>
        </w:rPr>
        <w:t xml:space="preserve"> لها</w:t>
      </w:r>
      <w:r w:rsidR="0049299C" w:rsidRPr="006571AC">
        <w:rPr>
          <w:rFonts w:asciiTheme="majorBidi" w:hAnsiTheme="majorBidi" w:hint="cs"/>
          <w:sz w:val="27"/>
          <w:rtl/>
        </w:rPr>
        <w:t>؛</w:t>
      </w:r>
      <w:r w:rsidRPr="006571AC">
        <w:rPr>
          <w:rFonts w:asciiTheme="majorBidi" w:hAnsiTheme="majorBidi" w:hint="cs"/>
          <w:sz w:val="27"/>
          <w:rtl/>
        </w:rPr>
        <w:t xml:space="preserve"> لأنه مرغم</w:t>
      </w:r>
      <w:r w:rsidR="0049299C" w:rsidRPr="006571AC">
        <w:rPr>
          <w:rFonts w:asciiTheme="majorBidi" w:hAnsiTheme="majorBidi" w:hint="cs"/>
          <w:sz w:val="27"/>
          <w:rtl/>
        </w:rPr>
        <w:t>ٌ</w:t>
      </w:r>
      <w:r w:rsidRPr="006571AC">
        <w:rPr>
          <w:rFonts w:asciiTheme="majorBidi" w:hAnsiTheme="majorBidi" w:hint="cs"/>
          <w:sz w:val="27"/>
          <w:rtl/>
        </w:rPr>
        <w:t xml:space="preserve"> على تأمين قطعة</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أو</w:t>
      </w:r>
      <w:r w:rsidRPr="006571AC">
        <w:rPr>
          <w:rFonts w:asciiTheme="majorBidi" w:hAnsiTheme="majorBidi"/>
          <w:sz w:val="27"/>
          <w:rtl/>
        </w:rPr>
        <w:t xml:space="preserve"> </w:t>
      </w:r>
      <w:r w:rsidRPr="006571AC">
        <w:rPr>
          <w:rFonts w:asciiTheme="majorBidi" w:hAnsiTheme="majorBidi" w:hint="cs"/>
          <w:sz w:val="27"/>
          <w:rtl/>
        </w:rPr>
        <w:t>قطعتين من السكك الذهبية</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الشهر، وهذا ما يتعارض مع الماد</w:t>
      </w:r>
      <w:r w:rsidR="0049299C" w:rsidRPr="006571AC">
        <w:rPr>
          <w:rFonts w:asciiTheme="majorBidi" w:hAnsiTheme="majorBidi" w:hint="cs"/>
          <w:sz w:val="27"/>
          <w:rtl/>
        </w:rPr>
        <w:t>ّ</w:t>
      </w:r>
      <w:r w:rsidRPr="006571AC">
        <w:rPr>
          <w:rFonts w:asciiTheme="majorBidi" w:hAnsiTheme="majorBidi" w:hint="cs"/>
          <w:sz w:val="27"/>
          <w:rtl/>
        </w:rPr>
        <w:t>ة 1104</w:t>
      </w:r>
      <w:r w:rsidR="0049299C" w:rsidRPr="006571AC">
        <w:rPr>
          <w:rFonts w:asciiTheme="majorBidi" w:hAnsiTheme="majorBidi" w:hint="cs"/>
          <w:sz w:val="27"/>
          <w:rtl/>
        </w:rPr>
        <w:t>،</w:t>
      </w:r>
      <w:r w:rsidRPr="006571AC">
        <w:rPr>
          <w:rFonts w:asciiTheme="majorBidi" w:hAnsiTheme="majorBidi" w:hint="cs"/>
          <w:sz w:val="27"/>
          <w:rtl/>
        </w:rPr>
        <w:t xml:space="preserve"> التي تنصّ على </w:t>
      </w:r>
      <w:r w:rsidR="0049299C" w:rsidRPr="006571AC">
        <w:rPr>
          <w:rFonts w:asciiTheme="majorBidi" w:hAnsiTheme="majorBidi" w:hint="cs"/>
          <w:sz w:val="27"/>
          <w:rtl/>
        </w:rPr>
        <w:t>أ</w:t>
      </w:r>
      <w:r w:rsidRPr="006571AC">
        <w:rPr>
          <w:rFonts w:asciiTheme="majorBidi" w:hAnsiTheme="majorBidi" w:hint="cs"/>
          <w:sz w:val="27"/>
          <w:rtl/>
        </w:rPr>
        <w:t>نّه من واجب الزوجين تشييد أركان الأسرة</w:t>
      </w:r>
      <w:r w:rsidR="0049299C" w:rsidRPr="006571AC">
        <w:rPr>
          <w:rFonts w:asciiTheme="majorBidi" w:hAnsiTheme="majorBidi" w:hint="cs"/>
          <w:sz w:val="27"/>
          <w:rtl/>
        </w:rPr>
        <w:t>،</w:t>
      </w:r>
      <w:r w:rsidRPr="006571AC">
        <w:rPr>
          <w:rFonts w:asciiTheme="majorBidi" w:hAnsiTheme="majorBidi" w:hint="cs"/>
          <w:sz w:val="27"/>
          <w:rtl/>
        </w:rPr>
        <w:t xml:space="preserve"> وأنّ من</w:t>
      </w:r>
      <w:r w:rsidRPr="006571AC">
        <w:rPr>
          <w:rFonts w:asciiTheme="majorBidi" w:hAnsiTheme="majorBidi"/>
          <w:sz w:val="27"/>
          <w:rtl/>
        </w:rPr>
        <w:t xml:space="preserve"> </w:t>
      </w:r>
      <w:r w:rsidRPr="006571AC">
        <w:rPr>
          <w:rFonts w:asciiTheme="majorBidi" w:hAnsiTheme="majorBidi" w:hint="cs"/>
          <w:sz w:val="27"/>
          <w:rtl/>
        </w:rPr>
        <w:t>واجب الأزواج</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يساعدوا</w:t>
      </w:r>
      <w:r w:rsidRPr="006571AC">
        <w:rPr>
          <w:rFonts w:asciiTheme="majorBidi" w:hAnsiTheme="majorBidi"/>
          <w:sz w:val="27"/>
          <w:rtl/>
        </w:rPr>
        <w:t xml:space="preserve"> </w:t>
      </w:r>
      <w:r w:rsidRPr="006571AC">
        <w:rPr>
          <w:rFonts w:asciiTheme="majorBidi" w:hAnsiTheme="majorBidi" w:hint="cs"/>
          <w:sz w:val="27"/>
          <w:rtl/>
        </w:rPr>
        <w:t>بعضهم</w:t>
      </w:r>
      <w:r w:rsidRPr="006571AC">
        <w:rPr>
          <w:rFonts w:asciiTheme="majorBidi" w:hAnsiTheme="majorBidi"/>
          <w:sz w:val="27"/>
          <w:rtl/>
        </w:rPr>
        <w:t xml:space="preserve"> </w:t>
      </w:r>
      <w:r w:rsidRPr="006571AC">
        <w:rPr>
          <w:rFonts w:asciiTheme="majorBidi" w:hAnsiTheme="majorBidi" w:hint="cs"/>
          <w:sz w:val="27"/>
          <w:rtl/>
        </w:rPr>
        <w:t>البعض</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بناء</w:t>
      </w:r>
      <w:r w:rsidRPr="006571AC">
        <w:rPr>
          <w:rFonts w:asciiTheme="majorBidi" w:hAnsiTheme="majorBidi"/>
          <w:sz w:val="27"/>
          <w:rtl/>
        </w:rPr>
        <w:t xml:space="preserve"> </w:t>
      </w:r>
      <w:r w:rsidRPr="006571AC">
        <w:rPr>
          <w:rFonts w:asciiTheme="majorBidi" w:hAnsiTheme="majorBidi" w:hint="cs"/>
          <w:sz w:val="27"/>
          <w:rtl/>
        </w:rPr>
        <w:t>أسس</w:t>
      </w:r>
      <w:r w:rsidRPr="006571AC">
        <w:rPr>
          <w:rFonts w:asciiTheme="majorBidi" w:hAnsiTheme="majorBidi"/>
          <w:sz w:val="27"/>
          <w:rtl/>
        </w:rPr>
        <w:t xml:space="preserve"> </w:t>
      </w:r>
      <w:r w:rsidRPr="006571AC">
        <w:rPr>
          <w:rFonts w:asciiTheme="majorBidi" w:hAnsiTheme="majorBidi" w:hint="cs"/>
          <w:sz w:val="27"/>
          <w:rtl/>
        </w:rPr>
        <w:t>الأسرة</w:t>
      </w:r>
      <w:r w:rsidRPr="006571AC">
        <w:rPr>
          <w:rFonts w:asciiTheme="majorBidi" w:hAnsiTheme="majorBidi"/>
          <w:sz w:val="27"/>
          <w:rtl/>
        </w:rPr>
        <w:t xml:space="preserve"> </w:t>
      </w:r>
      <w:r w:rsidRPr="006571AC">
        <w:rPr>
          <w:rFonts w:asciiTheme="majorBidi" w:hAnsiTheme="majorBidi" w:hint="cs"/>
          <w:sz w:val="27"/>
          <w:rtl/>
        </w:rPr>
        <w:t>وتربية</w:t>
      </w:r>
      <w:r w:rsidRPr="006571AC">
        <w:rPr>
          <w:rFonts w:asciiTheme="majorBidi" w:hAnsiTheme="majorBidi"/>
          <w:sz w:val="27"/>
          <w:rtl/>
        </w:rPr>
        <w:t xml:space="preserve"> </w:t>
      </w:r>
      <w:r w:rsidRPr="006571AC">
        <w:rPr>
          <w:rFonts w:asciiTheme="majorBidi" w:hAnsiTheme="majorBidi" w:hint="cs"/>
          <w:sz w:val="27"/>
          <w:rtl/>
        </w:rPr>
        <w:t>أطفالهم</w:t>
      </w:r>
      <w:r w:rsidR="00813973" w:rsidRPr="006571AC">
        <w:rPr>
          <w:rFonts w:asciiTheme="majorBidi" w:hAnsiTheme="majorBidi" w:hint="cs"/>
          <w:sz w:val="27"/>
          <w:rtl/>
        </w:rPr>
        <w:t>.</w:t>
      </w:r>
      <w:r w:rsidRPr="006571AC">
        <w:rPr>
          <w:rFonts w:asciiTheme="majorBidi" w:hAnsiTheme="majorBidi" w:hint="cs"/>
          <w:sz w:val="27"/>
          <w:rtl/>
        </w:rPr>
        <w:t xml:space="preserve"> </w:t>
      </w:r>
      <w:r w:rsidR="00813973" w:rsidRPr="006571AC">
        <w:rPr>
          <w:rFonts w:asciiTheme="majorBidi" w:hAnsiTheme="majorBidi" w:hint="cs"/>
          <w:sz w:val="27"/>
          <w:rtl/>
        </w:rPr>
        <w:t>و</w:t>
      </w:r>
      <w:r w:rsidRPr="006571AC">
        <w:rPr>
          <w:rFonts w:asciiTheme="majorBidi" w:hAnsiTheme="majorBidi" w:hint="cs"/>
          <w:sz w:val="27"/>
          <w:rtl/>
        </w:rPr>
        <w:t>أين هذا التشييد في ظل</w:t>
      </w:r>
      <w:r w:rsidR="00813973" w:rsidRPr="006571AC">
        <w:rPr>
          <w:rFonts w:asciiTheme="majorBidi" w:hAnsiTheme="majorBidi" w:hint="cs"/>
          <w:sz w:val="27"/>
          <w:rtl/>
        </w:rPr>
        <w:t>ّ</w:t>
      </w:r>
      <w:r w:rsidRPr="006571AC">
        <w:rPr>
          <w:rFonts w:asciiTheme="majorBidi" w:hAnsiTheme="majorBidi" w:hint="cs"/>
          <w:sz w:val="27"/>
          <w:rtl/>
        </w:rPr>
        <w:t xml:space="preserve"> إرهاق الزوج بأن يكون خالص تعبه لزوجته</w:t>
      </w:r>
      <w:r w:rsidR="00836A19" w:rsidRPr="006571AC">
        <w:rPr>
          <w:rFonts w:asciiTheme="majorBidi" w:hAnsiTheme="majorBidi" w:hint="cs"/>
          <w:sz w:val="27"/>
          <w:rtl/>
        </w:rPr>
        <w:t>؟!</w:t>
      </w:r>
      <w:r w:rsidRPr="006571AC">
        <w:rPr>
          <w:rFonts w:asciiTheme="majorBidi" w:hAnsiTheme="majorBidi" w:hint="cs"/>
          <w:sz w:val="27"/>
          <w:rtl/>
        </w:rPr>
        <w:t xml:space="preserve"> ويمكن القول أيضاً</w:t>
      </w:r>
      <w:r w:rsidR="00813973" w:rsidRPr="006571AC">
        <w:rPr>
          <w:rFonts w:asciiTheme="majorBidi" w:hAnsiTheme="majorBidi" w:hint="cs"/>
          <w:sz w:val="27"/>
          <w:rtl/>
        </w:rPr>
        <w:t>:</w:t>
      </w:r>
      <w:r w:rsidRPr="006571AC">
        <w:rPr>
          <w:rFonts w:asciiTheme="majorBidi" w:hAnsiTheme="majorBidi" w:hint="cs"/>
          <w:sz w:val="27"/>
          <w:rtl/>
        </w:rPr>
        <w:t xml:space="preserve"> </w:t>
      </w:r>
      <w:r w:rsidR="00813973" w:rsidRPr="006571AC">
        <w:rPr>
          <w:rFonts w:asciiTheme="majorBidi" w:hAnsiTheme="majorBidi" w:hint="cs"/>
          <w:sz w:val="27"/>
          <w:rtl/>
        </w:rPr>
        <w:t>إ</w:t>
      </w:r>
      <w:r w:rsidRPr="006571AC">
        <w:rPr>
          <w:rFonts w:asciiTheme="majorBidi" w:hAnsiTheme="majorBidi" w:hint="cs"/>
          <w:sz w:val="27"/>
          <w:rtl/>
        </w:rPr>
        <w:t>ن ارتفاع المهور بهذا الشكل يسب</w:t>
      </w:r>
      <w:r w:rsidR="00813973" w:rsidRPr="006571AC">
        <w:rPr>
          <w:rFonts w:asciiTheme="majorBidi" w:hAnsiTheme="majorBidi" w:hint="cs"/>
          <w:sz w:val="27"/>
          <w:rtl/>
        </w:rPr>
        <w:t>ِّ</w:t>
      </w:r>
      <w:r w:rsidRPr="006571AC">
        <w:rPr>
          <w:rFonts w:asciiTheme="majorBidi" w:hAnsiTheme="majorBidi" w:hint="cs"/>
          <w:sz w:val="27"/>
          <w:rtl/>
        </w:rPr>
        <w:t>ب بعدم إمكانية تطبيق الماد</w:t>
      </w:r>
      <w:r w:rsidR="00813973" w:rsidRPr="006571AC">
        <w:rPr>
          <w:rFonts w:asciiTheme="majorBidi" w:hAnsiTheme="majorBidi" w:hint="cs"/>
          <w:sz w:val="27"/>
          <w:rtl/>
        </w:rPr>
        <w:t>ّ</w:t>
      </w:r>
      <w:r w:rsidRPr="006571AC">
        <w:rPr>
          <w:rFonts w:asciiTheme="majorBidi" w:hAnsiTheme="majorBidi" w:hint="cs"/>
          <w:sz w:val="27"/>
          <w:rtl/>
        </w:rPr>
        <w:t>ة 1105</w:t>
      </w:r>
      <w:r w:rsidR="00813973" w:rsidRPr="006571AC">
        <w:rPr>
          <w:rFonts w:asciiTheme="majorBidi" w:hAnsiTheme="majorBidi" w:hint="cs"/>
          <w:sz w:val="27"/>
          <w:rtl/>
        </w:rPr>
        <w:t>،</w:t>
      </w:r>
      <w:r w:rsidRPr="006571AC">
        <w:rPr>
          <w:rFonts w:asciiTheme="majorBidi" w:hAnsiTheme="majorBidi" w:hint="cs"/>
          <w:sz w:val="27"/>
          <w:rtl/>
        </w:rPr>
        <w:t xml:space="preserve"> التي تنص</w:t>
      </w:r>
      <w:r w:rsidR="00813973" w:rsidRPr="006571AC">
        <w:rPr>
          <w:rFonts w:asciiTheme="majorBidi" w:hAnsiTheme="majorBidi" w:hint="cs"/>
          <w:sz w:val="27"/>
          <w:rtl/>
        </w:rPr>
        <w:t>ّ</w:t>
      </w:r>
      <w:r w:rsidRPr="006571AC">
        <w:rPr>
          <w:rFonts w:asciiTheme="majorBidi" w:hAnsiTheme="majorBidi" w:hint="cs"/>
          <w:sz w:val="27"/>
          <w:rtl/>
        </w:rPr>
        <w:t xml:space="preserve"> بأن </w:t>
      </w:r>
      <w:r w:rsidR="00813973" w:rsidRPr="006571AC">
        <w:rPr>
          <w:rFonts w:asciiTheme="majorBidi" w:hAnsiTheme="majorBidi" w:hint="cs"/>
          <w:sz w:val="27"/>
          <w:rtl/>
        </w:rPr>
        <w:t>إ</w:t>
      </w:r>
      <w:r w:rsidRPr="006571AC">
        <w:rPr>
          <w:rFonts w:asciiTheme="majorBidi" w:hAnsiTheme="majorBidi" w:hint="cs"/>
          <w:sz w:val="27"/>
          <w:rtl/>
        </w:rPr>
        <w:t>دارة البيت من شؤون الزوج</w:t>
      </w:r>
      <w:r w:rsidR="00813973" w:rsidRPr="006571AC">
        <w:rPr>
          <w:rFonts w:asciiTheme="majorBidi" w:hAnsiTheme="majorBidi" w:hint="cs"/>
          <w:sz w:val="27"/>
          <w:rtl/>
        </w:rPr>
        <w:t>؛</w:t>
      </w:r>
      <w:r w:rsidRPr="006571AC">
        <w:rPr>
          <w:rFonts w:asciiTheme="majorBidi" w:hAnsiTheme="majorBidi" w:hint="cs"/>
          <w:sz w:val="27"/>
          <w:rtl/>
        </w:rPr>
        <w:t xml:space="preserve"> لأنّ خوف الزوج من مطالبة زوجته بالمهر تجعله أسيرا</w:t>
      </w:r>
      <w:r w:rsidR="00813973" w:rsidRPr="006571AC">
        <w:rPr>
          <w:rFonts w:asciiTheme="majorBidi" w:hAnsiTheme="majorBidi" w:hint="cs"/>
          <w:sz w:val="27"/>
          <w:rtl/>
        </w:rPr>
        <w:t>ً</w:t>
      </w:r>
      <w:r w:rsidRPr="006571AC">
        <w:rPr>
          <w:rFonts w:asciiTheme="majorBidi" w:hAnsiTheme="majorBidi" w:hint="cs"/>
          <w:sz w:val="27"/>
          <w:rtl/>
        </w:rPr>
        <w:t xml:space="preserve"> أو عبدا</w:t>
      </w:r>
      <w:r w:rsidR="00813973" w:rsidRPr="006571AC">
        <w:rPr>
          <w:rFonts w:asciiTheme="majorBidi" w:hAnsiTheme="majorBidi" w:hint="cs"/>
          <w:sz w:val="27"/>
          <w:rtl/>
        </w:rPr>
        <w:t>ً</w:t>
      </w:r>
      <w:r w:rsidRPr="006571AC">
        <w:rPr>
          <w:rFonts w:asciiTheme="majorBidi" w:hAnsiTheme="majorBidi" w:hint="cs"/>
          <w:sz w:val="27"/>
          <w:rtl/>
        </w:rPr>
        <w:t xml:space="preserve"> لزوجته</w:t>
      </w:r>
      <w:r w:rsidR="00813973" w:rsidRPr="006571AC">
        <w:rPr>
          <w:rFonts w:asciiTheme="majorBidi" w:hAnsiTheme="majorBidi" w:hint="cs"/>
          <w:sz w:val="27"/>
          <w:rtl/>
        </w:rPr>
        <w:t>،</w:t>
      </w:r>
      <w:r w:rsidRPr="006571AC">
        <w:rPr>
          <w:rFonts w:asciiTheme="majorBidi" w:hAnsiTheme="majorBidi" w:hint="cs"/>
          <w:sz w:val="27"/>
          <w:rtl/>
        </w:rPr>
        <w:t xml:space="preserve"> مم</w:t>
      </w:r>
      <w:r w:rsidR="00813973" w:rsidRPr="006571AC">
        <w:rPr>
          <w:rFonts w:asciiTheme="majorBidi" w:hAnsiTheme="majorBidi" w:hint="cs"/>
          <w:sz w:val="27"/>
          <w:rtl/>
        </w:rPr>
        <w:t>ّ</w:t>
      </w:r>
      <w:r w:rsidRPr="006571AC">
        <w:rPr>
          <w:rFonts w:asciiTheme="majorBidi" w:hAnsiTheme="majorBidi" w:hint="cs"/>
          <w:sz w:val="27"/>
          <w:rtl/>
        </w:rPr>
        <w:t xml:space="preserve">ا يضعف </w:t>
      </w:r>
      <w:r w:rsidR="00EA38F1" w:rsidRPr="006571AC">
        <w:rPr>
          <w:rFonts w:asciiTheme="majorBidi" w:hAnsiTheme="majorBidi" w:hint="cs"/>
          <w:sz w:val="27"/>
          <w:rtl/>
        </w:rPr>
        <w:t>دَوْر</w:t>
      </w:r>
      <w:r w:rsidRPr="006571AC">
        <w:rPr>
          <w:rFonts w:asciiTheme="majorBidi" w:hAnsiTheme="majorBidi" w:hint="cs"/>
          <w:sz w:val="27"/>
          <w:rtl/>
        </w:rPr>
        <w:t>ه كمسؤول</w:t>
      </w:r>
      <w:r w:rsidR="00813973" w:rsidRPr="006571AC">
        <w:rPr>
          <w:rFonts w:asciiTheme="majorBidi" w:hAnsiTheme="majorBidi" w:hint="cs"/>
          <w:sz w:val="27"/>
          <w:rtl/>
        </w:rPr>
        <w:t>ٍ</w:t>
      </w:r>
      <w:r w:rsidRPr="006571AC">
        <w:rPr>
          <w:rFonts w:asciiTheme="majorBidi" w:hAnsiTheme="majorBidi" w:hint="cs"/>
          <w:sz w:val="27"/>
          <w:rtl/>
        </w:rPr>
        <w:t xml:space="preserve"> عن الأسرة. </w:t>
      </w:r>
    </w:p>
    <w:p w:rsidR="00C56D60" w:rsidRPr="006571AC" w:rsidRDefault="00C56D60" w:rsidP="00C56D60">
      <w:pPr>
        <w:spacing w:line="420" w:lineRule="exact"/>
        <w:rPr>
          <w:sz w:val="27"/>
          <w:rtl/>
        </w:rPr>
      </w:pPr>
      <w:bookmarkStart w:id="295" w:name="_Toc79281947"/>
    </w:p>
    <w:p w:rsidR="00237EB1" w:rsidRPr="006571AC" w:rsidRDefault="00237EB1" w:rsidP="0022224E">
      <w:pPr>
        <w:pStyle w:val="31"/>
        <w:rPr>
          <w:color w:val="auto"/>
          <w:rtl/>
        </w:rPr>
      </w:pPr>
      <w:bookmarkStart w:id="296" w:name="_Toc114164723"/>
      <w:r w:rsidRPr="006571AC">
        <w:rPr>
          <w:color w:val="auto"/>
          <w:rtl/>
        </w:rPr>
        <w:t>نتائج</w:t>
      </w:r>
      <w:r w:rsidRPr="006571AC">
        <w:rPr>
          <w:rFonts w:hint="cs"/>
          <w:color w:val="auto"/>
          <w:rtl/>
        </w:rPr>
        <w:t xml:space="preserve"> البحث</w:t>
      </w:r>
      <w:bookmarkEnd w:id="296"/>
      <w:r w:rsidRPr="006571AC">
        <w:rPr>
          <w:color w:val="auto"/>
          <w:rtl/>
        </w:rPr>
        <w:t xml:space="preserve"> </w:t>
      </w:r>
      <w:bookmarkEnd w:id="295"/>
    </w:p>
    <w:p w:rsidR="00237EB1" w:rsidRPr="006571AC" w:rsidRDefault="00237EB1" w:rsidP="00E60D93">
      <w:pPr>
        <w:rPr>
          <w:rFonts w:asciiTheme="majorBidi" w:hAnsiTheme="majorBidi"/>
          <w:sz w:val="27"/>
          <w:rtl/>
        </w:rPr>
      </w:pPr>
      <w:r w:rsidRPr="006571AC">
        <w:rPr>
          <w:rFonts w:asciiTheme="majorBidi" w:hAnsiTheme="majorBidi" w:hint="cs"/>
          <w:sz w:val="27"/>
          <w:rtl/>
        </w:rPr>
        <w:t xml:space="preserve">1ـ إنّ فلسفة المهر هو </w:t>
      </w:r>
      <w:r w:rsidR="00813973" w:rsidRPr="006571AC">
        <w:rPr>
          <w:rFonts w:asciiTheme="majorBidi" w:hAnsiTheme="majorBidi" w:hint="cs"/>
          <w:sz w:val="27"/>
          <w:rtl/>
        </w:rPr>
        <w:t xml:space="preserve">أنه </w:t>
      </w:r>
      <w:r w:rsidRPr="006571AC">
        <w:rPr>
          <w:rFonts w:asciiTheme="majorBidi" w:hAnsiTheme="majorBidi" w:hint="cs"/>
          <w:sz w:val="27"/>
          <w:rtl/>
        </w:rPr>
        <w:t>حكم</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مجعول</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أساس</w:t>
      </w:r>
      <w:r w:rsidRPr="006571AC">
        <w:rPr>
          <w:rFonts w:asciiTheme="majorBidi" w:hAnsiTheme="majorBidi"/>
          <w:sz w:val="27"/>
          <w:rtl/>
        </w:rPr>
        <w:t xml:space="preserve"> </w:t>
      </w:r>
      <w:r w:rsidRPr="006571AC">
        <w:rPr>
          <w:rFonts w:asciiTheme="majorBidi" w:hAnsiTheme="majorBidi" w:hint="cs"/>
          <w:sz w:val="27"/>
          <w:rtl/>
        </w:rPr>
        <w:t>ملاكات</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معي</w:t>
      </w:r>
      <w:r w:rsidR="00813973" w:rsidRPr="006571AC">
        <w:rPr>
          <w:rFonts w:asciiTheme="majorBidi" w:hAnsiTheme="majorBidi" w:hint="cs"/>
          <w:sz w:val="27"/>
          <w:rtl/>
        </w:rPr>
        <w:t>َّ</w:t>
      </w:r>
      <w:r w:rsidRPr="006571AC">
        <w:rPr>
          <w:rFonts w:asciiTheme="majorBidi" w:hAnsiTheme="majorBidi" w:hint="cs"/>
          <w:sz w:val="27"/>
          <w:rtl/>
        </w:rPr>
        <w:t>نة</w:t>
      </w:r>
      <w:r w:rsidR="00813973" w:rsidRPr="006571AC">
        <w:rPr>
          <w:rFonts w:asciiTheme="majorBidi" w:hAnsiTheme="majorBidi" w:hint="cs"/>
          <w:sz w:val="27"/>
          <w:rtl/>
        </w:rPr>
        <w:t>،</w:t>
      </w:r>
      <w:r w:rsidRPr="006571AC">
        <w:rPr>
          <w:rFonts w:asciiTheme="majorBidi" w:hAnsiTheme="majorBidi"/>
          <w:sz w:val="27"/>
          <w:rtl/>
        </w:rPr>
        <w:t xml:space="preserve"> </w:t>
      </w:r>
      <w:r w:rsidR="00813973" w:rsidRPr="006571AC">
        <w:rPr>
          <w:rFonts w:asciiTheme="majorBidi" w:hAnsiTheme="majorBidi" w:hint="cs"/>
          <w:sz w:val="27"/>
          <w:rtl/>
        </w:rPr>
        <w:t>ت</w:t>
      </w:r>
      <w:r w:rsidRPr="006571AC">
        <w:rPr>
          <w:rFonts w:asciiTheme="majorBidi" w:hAnsiTheme="majorBidi" w:hint="cs"/>
          <w:sz w:val="27"/>
          <w:rtl/>
        </w:rPr>
        <w:t>وجد</w:t>
      </w:r>
      <w:r w:rsidRPr="006571AC">
        <w:rPr>
          <w:rFonts w:asciiTheme="majorBidi" w:hAnsiTheme="majorBidi"/>
          <w:sz w:val="27"/>
          <w:rtl/>
        </w:rPr>
        <w:t xml:space="preserve"> </w:t>
      </w:r>
      <w:r w:rsidRPr="006571AC">
        <w:rPr>
          <w:rFonts w:asciiTheme="majorBidi" w:hAnsiTheme="majorBidi" w:hint="cs"/>
          <w:sz w:val="27"/>
          <w:rtl/>
        </w:rPr>
        <w:t>حكمة</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وعل</w:t>
      </w:r>
      <w:r w:rsidR="00813973" w:rsidRPr="006571AC">
        <w:rPr>
          <w:rFonts w:asciiTheme="majorBidi" w:hAnsiTheme="majorBidi" w:hint="cs"/>
          <w:sz w:val="27"/>
          <w:rtl/>
        </w:rPr>
        <w:t>ّ</w:t>
      </w:r>
      <w:r w:rsidRPr="006571AC">
        <w:rPr>
          <w:rFonts w:asciiTheme="majorBidi" w:hAnsiTheme="majorBidi" w:hint="cs"/>
          <w:sz w:val="27"/>
          <w:rtl/>
        </w:rPr>
        <w:t>ة</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وراء</w:t>
      </w:r>
      <w:r w:rsidRPr="006571AC">
        <w:rPr>
          <w:rFonts w:asciiTheme="majorBidi" w:hAnsiTheme="majorBidi"/>
          <w:sz w:val="27"/>
          <w:rtl/>
        </w:rPr>
        <w:t xml:space="preserve"> </w:t>
      </w:r>
      <w:r w:rsidRPr="006571AC">
        <w:rPr>
          <w:rFonts w:asciiTheme="majorBidi" w:hAnsiTheme="majorBidi" w:hint="cs"/>
          <w:sz w:val="27"/>
          <w:rtl/>
        </w:rPr>
        <w:t>تشريعها</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باعتبار</w:t>
      </w:r>
      <w:r w:rsidRPr="006571AC">
        <w:rPr>
          <w:rFonts w:asciiTheme="majorBidi" w:hAnsiTheme="majorBidi"/>
          <w:sz w:val="27"/>
          <w:rtl/>
        </w:rPr>
        <w:t xml:space="preserve"> </w:t>
      </w:r>
      <w:r w:rsidRPr="006571AC">
        <w:rPr>
          <w:rFonts w:asciiTheme="majorBidi" w:hAnsiTheme="majorBidi" w:hint="cs"/>
          <w:sz w:val="27"/>
          <w:rtl/>
        </w:rPr>
        <w:t>أفعال</w:t>
      </w:r>
      <w:r w:rsidRPr="006571AC">
        <w:rPr>
          <w:rFonts w:asciiTheme="majorBidi" w:hAnsiTheme="majorBidi"/>
          <w:sz w:val="27"/>
          <w:rtl/>
        </w:rPr>
        <w:t xml:space="preserve"> </w:t>
      </w:r>
      <w:r w:rsidR="0097633B" w:rsidRPr="006571AC">
        <w:rPr>
          <w:rFonts w:asciiTheme="majorBidi" w:hAnsiTheme="majorBidi" w:hint="cs"/>
          <w:sz w:val="27"/>
          <w:rtl/>
        </w:rPr>
        <w:t>الل</w:t>
      </w:r>
      <w:r w:rsidRPr="006571AC">
        <w:rPr>
          <w:rFonts w:asciiTheme="majorBidi" w:hAnsiTheme="majorBidi" w:hint="cs"/>
          <w:sz w:val="27"/>
          <w:rtl/>
        </w:rPr>
        <w:t>ه</w:t>
      </w:r>
      <w:r w:rsidRPr="006571AC">
        <w:rPr>
          <w:rFonts w:asciiTheme="majorBidi" w:hAnsiTheme="majorBidi"/>
          <w:sz w:val="27"/>
          <w:rtl/>
        </w:rPr>
        <w:t xml:space="preserve"> </w:t>
      </w:r>
      <w:r w:rsidRPr="006571AC">
        <w:rPr>
          <w:rFonts w:asciiTheme="majorBidi" w:hAnsiTheme="majorBidi" w:hint="cs"/>
          <w:sz w:val="27"/>
          <w:rtl/>
        </w:rPr>
        <w:t>معلّلة</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بالأغراض</w:t>
      </w:r>
      <w:r w:rsidRPr="006571AC">
        <w:rPr>
          <w:rFonts w:asciiTheme="majorBidi" w:hAnsiTheme="majorBidi"/>
          <w:sz w:val="27"/>
          <w:rtl/>
        </w:rPr>
        <w:t xml:space="preserve"> </w:t>
      </w:r>
      <w:r w:rsidRPr="006571AC">
        <w:rPr>
          <w:rFonts w:asciiTheme="majorBidi" w:hAnsiTheme="majorBidi" w:hint="cs"/>
          <w:sz w:val="27"/>
          <w:rtl/>
        </w:rPr>
        <w:t>والأهداف، وهذه</w:t>
      </w:r>
      <w:r w:rsidRPr="006571AC">
        <w:rPr>
          <w:rFonts w:asciiTheme="majorBidi" w:hAnsiTheme="majorBidi"/>
          <w:sz w:val="27"/>
          <w:rtl/>
        </w:rPr>
        <w:t xml:space="preserve"> </w:t>
      </w:r>
      <w:r w:rsidRPr="006571AC">
        <w:rPr>
          <w:rFonts w:asciiTheme="majorBidi" w:hAnsiTheme="majorBidi" w:hint="cs"/>
          <w:sz w:val="27"/>
          <w:rtl/>
        </w:rPr>
        <w:t>الملاكات</w:t>
      </w:r>
      <w:r w:rsidRPr="006571AC">
        <w:rPr>
          <w:rFonts w:asciiTheme="majorBidi" w:hAnsiTheme="majorBidi"/>
          <w:sz w:val="27"/>
          <w:rtl/>
        </w:rPr>
        <w:t xml:space="preserve"> </w:t>
      </w:r>
      <w:r w:rsidRPr="006571AC">
        <w:rPr>
          <w:rFonts w:asciiTheme="majorBidi" w:hAnsiTheme="majorBidi" w:hint="cs"/>
          <w:sz w:val="27"/>
          <w:rtl/>
        </w:rPr>
        <w:t>تكون</w:t>
      </w:r>
      <w:r w:rsidRPr="006571AC">
        <w:rPr>
          <w:rFonts w:asciiTheme="majorBidi" w:hAnsiTheme="majorBidi"/>
          <w:sz w:val="27"/>
          <w:rtl/>
        </w:rPr>
        <w:t xml:space="preserve"> </w:t>
      </w:r>
      <w:r w:rsidRPr="006571AC">
        <w:rPr>
          <w:rFonts w:asciiTheme="majorBidi" w:hAnsiTheme="majorBidi" w:hint="cs"/>
          <w:sz w:val="27"/>
          <w:rtl/>
        </w:rPr>
        <w:t>ب</w:t>
      </w:r>
      <w:r w:rsidR="00EA38F1" w:rsidRPr="006571AC">
        <w:rPr>
          <w:rFonts w:asciiTheme="majorBidi" w:hAnsiTheme="majorBidi" w:hint="cs"/>
          <w:sz w:val="27"/>
          <w:rtl/>
        </w:rPr>
        <w:t>دَوْر</w:t>
      </w:r>
      <w:r w:rsidRPr="006571AC">
        <w:rPr>
          <w:rFonts w:asciiTheme="majorBidi" w:hAnsiTheme="majorBidi" w:hint="cs"/>
          <w:sz w:val="27"/>
          <w:rtl/>
        </w:rPr>
        <w:t>ها</w:t>
      </w:r>
      <w:r w:rsidRPr="006571AC">
        <w:rPr>
          <w:rFonts w:asciiTheme="majorBidi" w:hAnsiTheme="majorBidi"/>
          <w:sz w:val="27"/>
          <w:rtl/>
        </w:rPr>
        <w:t xml:space="preserve"> </w:t>
      </w:r>
      <w:r w:rsidRPr="006571AC">
        <w:rPr>
          <w:rFonts w:asciiTheme="majorBidi" w:hAnsiTheme="majorBidi" w:hint="cs"/>
          <w:sz w:val="27"/>
          <w:rtl/>
        </w:rPr>
        <w:t>خاضعة</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للمصالح</w:t>
      </w:r>
      <w:r w:rsidRPr="006571AC">
        <w:rPr>
          <w:rFonts w:asciiTheme="majorBidi" w:hAnsiTheme="majorBidi"/>
          <w:sz w:val="27"/>
          <w:rtl/>
        </w:rPr>
        <w:t xml:space="preserve"> </w:t>
      </w:r>
      <w:r w:rsidRPr="006571AC">
        <w:rPr>
          <w:rFonts w:asciiTheme="majorBidi" w:hAnsiTheme="majorBidi" w:hint="cs"/>
          <w:sz w:val="27"/>
          <w:rtl/>
        </w:rPr>
        <w:t>والمفاسد</w:t>
      </w:r>
      <w:r w:rsidRPr="006571AC">
        <w:rPr>
          <w:rFonts w:asciiTheme="majorBidi" w:hAnsiTheme="majorBidi"/>
          <w:sz w:val="27"/>
          <w:rtl/>
        </w:rPr>
        <w:t xml:space="preserve"> </w:t>
      </w:r>
      <w:r w:rsidRPr="006571AC">
        <w:rPr>
          <w:rFonts w:asciiTheme="majorBidi" w:hAnsiTheme="majorBidi" w:hint="cs"/>
          <w:sz w:val="27"/>
          <w:rtl/>
        </w:rPr>
        <w:t>الواقعية</w:t>
      </w:r>
      <w:r w:rsidR="00813973" w:rsidRPr="006571AC">
        <w:rPr>
          <w:rFonts w:asciiTheme="majorBidi" w:hAnsiTheme="majorBidi" w:hint="cs"/>
          <w:sz w:val="27"/>
          <w:rtl/>
        </w:rPr>
        <w:t>، التي</w:t>
      </w:r>
      <w:r w:rsidRPr="006571AC">
        <w:rPr>
          <w:rFonts w:asciiTheme="majorBidi" w:hAnsiTheme="majorBidi"/>
          <w:sz w:val="27"/>
          <w:rtl/>
        </w:rPr>
        <w:t xml:space="preserve"> </w:t>
      </w:r>
      <w:r w:rsidRPr="006571AC">
        <w:rPr>
          <w:rFonts w:asciiTheme="majorBidi" w:hAnsiTheme="majorBidi" w:hint="cs"/>
          <w:sz w:val="27"/>
          <w:rtl/>
        </w:rPr>
        <w:t>تعود</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الفرد</w:t>
      </w:r>
      <w:r w:rsidRPr="006571AC">
        <w:rPr>
          <w:rFonts w:asciiTheme="majorBidi" w:hAnsiTheme="majorBidi"/>
          <w:sz w:val="27"/>
          <w:rtl/>
        </w:rPr>
        <w:t xml:space="preserve"> </w:t>
      </w:r>
      <w:r w:rsidRPr="006571AC">
        <w:rPr>
          <w:rFonts w:asciiTheme="majorBidi" w:hAnsiTheme="majorBidi" w:hint="cs"/>
          <w:sz w:val="27"/>
          <w:rtl/>
        </w:rPr>
        <w:t>والمجتمع</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دنيوي</w:t>
      </w:r>
      <w:r w:rsidR="00813973" w:rsidRPr="006571AC">
        <w:rPr>
          <w:rFonts w:asciiTheme="majorBidi" w:hAnsiTheme="majorBidi" w:hint="cs"/>
          <w:sz w:val="27"/>
          <w:rtl/>
        </w:rPr>
        <w:t>ّ</w:t>
      </w:r>
      <w:r w:rsidRPr="006571AC">
        <w:rPr>
          <w:rFonts w:asciiTheme="majorBidi" w:hAnsiTheme="majorBidi" w:hint="cs"/>
          <w:sz w:val="27"/>
          <w:rtl/>
        </w:rPr>
        <w:t>ا</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وأخروي</w:t>
      </w:r>
      <w:r w:rsidR="00813973" w:rsidRPr="006571AC">
        <w:rPr>
          <w:rFonts w:asciiTheme="majorBidi" w:hAnsiTheme="majorBidi" w:hint="cs"/>
          <w:sz w:val="27"/>
          <w:rtl/>
        </w:rPr>
        <w:t>ّ</w:t>
      </w:r>
      <w:r w:rsidRPr="006571AC">
        <w:rPr>
          <w:rFonts w:asciiTheme="majorBidi" w:hAnsiTheme="majorBidi" w:hint="cs"/>
          <w:sz w:val="27"/>
          <w:rtl/>
        </w:rPr>
        <w:t>ا</w:t>
      </w:r>
      <w:r w:rsidR="00813973" w:rsidRPr="006571AC">
        <w:rPr>
          <w:rFonts w:asciiTheme="majorBidi" w:hAnsiTheme="majorBidi" w:hint="cs"/>
          <w:sz w:val="27"/>
          <w:rtl/>
        </w:rPr>
        <w:t>ً</w:t>
      </w:r>
      <w:r w:rsidRPr="006571AC">
        <w:rPr>
          <w:rFonts w:asciiTheme="majorBidi" w:hAnsiTheme="majorBidi" w:hint="cs"/>
          <w:sz w:val="27"/>
          <w:rtl/>
        </w:rPr>
        <w:t xml:space="preserve">. </w:t>
      </w:r>
    </w:p>
    <w:p w:rsidR="00237EB1" w:rsidRPr="006571AC" w:rsidRDefault="00237EB1" w:rsidP="00E60D93">
      <w:pPr>
        <w:rPr>
          <w:rFonts w:asciiTheme="majorBidi" w:hAnsiTheme="majorBidi"/>
          <w:sz w:val="27"/>
          <w:rtl/>
        </w:rPr>
      </w:pPr>
      <w:r w:rsidRPr="006571AC">
        <w:rPr>
          <w:rFonts w:asciiTheme="majorBidi" w:hAnsiTheme="majorBidi" w:hint="cs"/>
          <w:sz w:val="27"/>
          <w:rtl/>
        </w:rPr>
        <w:t>2ـ إنّ</w:t>
      </w:r>
      <w:r w:rsidRPr="006571AC">
        <w:rPr>
          <w:rFonts w:asciiTheme="majorBidi" w:hAnsiTheme="majorBidi"/>
          <w:sz w:val="27"/>
          <w:rtl/>
        </w:rPr>
        <w:t xml:space="preserve"> </w:t>
      </w:r>
      <w:r w:rsidRPr="006571AC">
        <w:rPr>
          <w:rFonts w:asciiTheme="majorBidi" w:hAnsiTheme="majorBidi" w:hint="cs"/>
          <w:sz w:val="27"/>
          <w:rtl/>
        </w:rPr>
        <w:t>الحديث</w:t>
      </w:r>
      <w:r w:rsidRPr="006571AC">
        <w:rPr>
          <w:rFonts w:asciiTheme="majorBidi" w:hAnsiTheme="majorBidi"/>
          <w:sz w:val="27"/>
          <w:rtl/>
        </w:rPr>
        <w:t xml:space="preserve"> </w:t>
      </w:r>
      <w:r w:rsidRPr="006571AC">
        <w:rPr>
          <w:rFonts w:asciiTheme="majorBidi" w:hAnsiTheme="majorBidi" w:hint="cs"/>
          <w:sz w:val="27"/>
          <w:rtl/>
        </w:rPr>
        <w:t>عن</w:t>
      </w:r>
      <w:r w:rsidRPr="006571AC">
        <w:rPr>
          <w:rFonts w:asciiTheme="majorBidi" w:hAnsiTheme="majorBidi"/>
          <w:sz w:val="27"/>
          <w:rtl/>
        </w:rPr>
        <w:t xml:space="preserve"> </w:t>
      </w:r>
      <w:r w:rsidRPr="006571AC">
        <w:rPr>
          <w:rFonts w:asciiTheme="majorBidi" w:hAnsiTheme="majorBidi" w:hint="cs"/>
          <w:sz w:val="27"/>
          <w:rtl/>
        </w:rPr>
        <w:t>فلسفة</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القانون</w:t>
      </w:r>
      <w:r w:rsidRPr="006571AC">
        <w:rPr>
          <w:rFonts w:asciiTheme="majorBidi" w:hAnsiTheme="majorBidi"/>
          <w:sz w:val="27"/>
          <w:rtl/>
        </w:rPr>
        <w:t xml:space="preserve"> </w:t>
      </w:r>
      <w:r w:rsidRPr="006571AC">
        <w:rPr>
          <w:rFonts w:asciiTheme="majorBidi" w:hAnsiTheme="majorBidi" w:hint="cs"/>
          <w:sz w:val="27"/>
          <w:rtl/>
        </w:rPr>
        <w:t>الإيراني</w:t>
      </w:r>
      <w:r w:rsidRPr="006571AC">
        <w:rPr>
          <w:rFonts w:asciiTheme="majorBidi" w:hAnsiTheme="majorBidi"/>
          <w:sz w:val="27"/>
          <w:rtl/>
        </w:rPr>
        <w:t xml:space="preserve"> </w:t>
      </w:r>
      <w:r w:rsidRPr="006571AC">
        <w:rPr>
          <w:rFonts w:asciiTheme="majorBidi" w:hAnsiTheme="majorBidi" w:hint="cs"/>
          <w:sz w:val="27"/>
          <w:rtl/>
        </w:rPr>
        <w:t>هي</w:t>
      </w:r>
      <w:r w:rsidRPr="006571AC">
        <w:rPr>
          <w:rFonts w:asciiTheme="majorBidi" w:hAnsiTheme="majorBidi"/>
          <w:sz w:val="27"/>
          <w:rtl/>
        </w:rPr>
        <w:t xml:space="preserve"> </w:t>
      </w:r>
      <w:r w:rsidRPr="006571AC">
        <w:rPr>
          <w:rFonts w:asciiTheme="majorBidi" w:hAnsiTheme="majorBidi" w:hint="cs"/>
          <w:sz w:val="27"/>
          <w:rtl/>
        </w:rPr>
        <w:t>مثل</w:t>
      </w:r>
      <w:r w:rsidRPr="006571AC">
        <w:rPr>
          <w:rFonts w:asciiTheme="majorBidi" w:hAnsiTheme="majorBidi"/>
          <w:sz w:val="27"/>
          <w:rtl/>
        </w:rPr>
        <w:t xml:space="preserve"> </w:t>
      </w:r>
      <w:r w:rsidRPr="006571AC">
        <w:rPr>
          <w:rFonts w:asciiTheme="majorBidi" w:hAnsiTheme="majorBidi" w:hint="cs"/>
          <w:sz w:val="27"/>
          <w:rtl/>
        </w:rPr>
        <w:t>فلسفة</w:t>
      </w:r>
      <w:r w:rsidRPr="006571AC">
        <w:rPr>
          <w:rFonts w:asciiTheme="majorBidi" w:hAnsiTheme="majorBidi"/>
          <w:sz w:val="27"/>
          <w:rtl/>
        </w:rPr>
        <w:t xml:space="preserve"> </w:t>
      </w:r>
      <w:r w:rsidRPr="006571AC">
        <w:rPr>
          <w:rFonts w:asciiTheme="majorBidi" w:hAnsiTheme="majorBidi" w:hint="cs"/>
          <w:sz w:val="27"/>
          <w:rtl/>
        </w:rPr>
        <w:t>تشريع</w:t>
      </w:r>
      <w:r w:rsidRPr="006571AC">
        <w:rPr>
          <w:rFonts w:asciiTheme="majorBidi" w:hAnsiTheme="majorBidi"/>
          <w:sz w:val="27"/>
          <w:rtl/>
        </w:rPr>
        <w:t xml:space="preserve"> </w:t>
      </w:r>
      <w:r w:rsidRPr="006571AC">
        <w:rPr>
          <w:rFonts w:asciiTheme="majorBidi" w:hAnsiTheme="majorBidi" w:hint="cs"/>
          <w:sz w:val="27"/>
          <w:rtl/>
        </w:rPr>
        <w:t>بقي</w:t>
      </w:r>
      <w:r w:rsidR="00836A19" w:rsidRPr="006571AC">
        <w:rPr>
          <w:rFonts w:asciiTheme="majorBidi" w:hAnsiTheme="majorBidi" w:hint="cs"/>
          <w:sz w:val="27"/>
          <w:rtl/>
        </w:rPr>
        <w:t>ّ</w:t>
      </w:r>
      <w:r w:rsidRPr="006571AC">
        <w:rPr>
          <w:rFonts w:asciiTheme="majorBidi" w:hAnsiTheme="majorBidi" w:hint="cs"/>
          <w:sz w:val="27"/>
          <w:rtl/>
        </w:rPr>
        <w:t>ة</w:t>
      </w:r>
      <w:r w:rsidRPr="006571AC">
        <w:rPr>
          <w:rFonts w:asciiTheme="majorBidi" w:hAnsiTheme="majorBidi"/>
          <w:sz w:val="27"/>
          <w:rtl/>
        </w:rPr>
        <w:t xml:space="preserve"> </w:t>
      </w:r>
      <w:r w:rsidRPr="006571AC">
        <w:rPr>
          <w:rFonts w:asciiTheme="majorBidi" w:hAnsiTheme="majorBidi" w:hint="cs"/>
          <w:sz w:val="27"/>
          <w:rtl/>
        </w:rPr>
        <w:t>المواد</w:t>
      </w:r>
      <w:r w:rsidRPr="006571AC">
        <w:rPr>
          <w:rFonts w:asciiTheme="majorBidi" w:hAnsiTheme="majorBidi"/>
          <w:sz w:val="27"/>
          <w:rtl/>
        </w:rPr>
        <w:t xml:space="preserve"> </w:t>
      </w:r>
      <w:r w:rsidRPr="006571AC">
        <w:rPr>
          <w:rFonts w:asciiTheme="majorBidi" w:hAnsiTheme="majorBidi" w:hint="cs"/>
          <w:sz w:val="27"/>
          <w:rtl/>
        </w:rPr>
        <w:t>القانونية</w:t>
      </w:r>
      <w:r w:rsidRPr="006571AC">
        <w:rPr>
          <w:rFonts w:asciiTheme="majorBidi" w:hAnsiTheme="majorBidi"/>
          <w:sz w:val="27"/>
          <w:rtl/>
        </w:rPr>
        <w:t xml:space="preserve"> </w:t>
      </w:r>
      <w:r w:rsidRPr="006571AC">
        <w:rPr>
          <w:rFonts w:asciiTheme="majorBidi" w:hAnsiTheme="majorBidi" w:hint="cs"/>
          <w:sz w:val="27"/>
          <w:rtl/>
        </w:rPr>
        <w:t>الأخرى</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والتي</w:t>
      </w:r>
      <w:r w:rsidRPr="006571AC">
        <w:rPr>
          <w:rFonts w:asciiTheme="majorBidi" w:hAnsiTheme="majorBidi"/>
          <w:sz w:val="27"/>
          <w:rtl/>
        </w:rPr>
        <w:t xml:space="preserve"> </w:t>
      </w:r>
      <w:r w:rsidRPr="006571AC">
        <w:rPr>
          <w:rFonts w:asciiTheme="majorBidi" w:hAnsiTheme="majorBidi" w:hint="cs"/>
          <w:sz w:val="27"/>
          <w:rtl/>
        </w:rPr>
        <w:t>تكون</w:t>
      </w:r>
      <w:r w:rsidRPr="006571AC">
        <w:rPr>
          <w:rFonts w:asciiTheme="majorBidi" w:hAnsiTheme="majorBidi"/>
          <w:sz w:val="27"/>
          <w:rtl/>
        </w:rPr>
        <w:t xml:space="preserve"> </w:t>
      </w:r>
      <w:r w:rsidRPr="006571AC">
        <w:rPr>
          <w:rFonts w:asciiTheme="majorBidi" w:hAnsiTheme="majorBidi" w:hint="cs"/>
          <w:sz w:val="27"/>
          <w:rtl/>
        </w:rPr>
        <w:t>خاضعة</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للفقه</w:t>
      </w:r>
      <w:r w:rsidRPr="006571AC">
        <w:rPr>
          <w:rFonts w:asciiTheme="majorBidi" w:hAnsiTheme="majorBidi"/>
          <w:sz w:val="27"/>
          <w:rtl/>
        </w:rPr>
        <w:t xml:space="preserve"> </w:t>
      </w:r>
      <w:r w:rsidRPr="006571AC">
        <w:rPr>
          <w:rFonts w:asciiTheme="majorBidi" w:hAnsiTheme="majorBidi" w:hint="cs"/>
          <w:sz w:val="27"/>
          <w:rtl/>
        </w:rPr>
        <w:t>ال</w:t>
      </w:r>
      <w:r w:rsidR="001F4B86" w:rsidRPr="006571AC">
        <w:rPr>
          <w:rFonts w:asciiTheme="majorBidi" w:hAnsiTheme="majorBidi" w:hint="cs"/>
          <w:sz w:val="27"/>
          <w:rtl/>
        </w:rPr>
        <w:t>إ</w:t>
      </w:r>
      <w:r w:rsidRPr="006571AC">
        <w:rPr>
          <w:rFonts w:asciiTheme="majorBidi" w:hAnsiTheme="majorBidi" w:hint="cs"/>
          <w:sz w:val="27"/>
          <w:rtl/>
        </w:rPr>
        <w:t xml:space="preserve">مامي. </w:t>
      </w:r>
    </w:p>
    <w:p w:rsidR="00237EB1" w:rsidRPr="006571AC" w:rsidRDefault="00237EB1" w:rsidP="00E60D93">
      <w:pPr>
        <w:rPr>
          <w:rFonts w:asciiTheme="majorBidi" w:hAnsiTheme="majorBidi"/>
          <w:sz w:val="27"/>
          <w:rtl/>
        </w:rPr>
      </w:pPr>
      <w:r w:rsidRPr="006571AC">
        <w:rPr>
          <w:rFonts w:asciiTheme="majorBidi" w:hAnsiTheme="majorBidi" w:hint="cs"/>
          <w:sz w:val="27"/>
          <w:rtl/>
        </w:rPr>
        <w:t xml:space="preserve">3ـ </w:t>
      </w:r>
      <w:r w:rsidR="001F4B86" w:rsidRPr="006571AC">
        <w:rPr>
          <w:rFonts w:asciiTheme="majorBidi" w:hAnsiTheme="majorBidi" w:hint="cs"/>
          <w:sz w:val="27"/>
          <w:rtl/>
        </w:rPr>
        <w:t>إ</w:t>
      </w:r>
      <w:r w:rsidRPr="006571AC">
        <w:rPr>
          <w:rFonts w:asciiTheme="majorBidi" w:hAnsiTheme="majorBidi" w:hint="cs"/>
          <w:sz w:val="27"/>
          <w:rtl/>
        </w:rPr>
        <w:t>ن حقيقة المهر في الفقه الإمامي</w:t>
      </w:r>
      <w:r w:rsidR="001F4B86" w:rsidRPr="006571AC">
        <w:rPr>
          <w:rFonts w:asciiTheme="majorBidi" w:hAnsiTheme="majorBidi" w:hint="cs"/>
          <w:sz w:val="27"/>
          <w:rtl/>
        </w:rPr>
        <w:t>،</w:t>
      </w:r>
      <w:r w:rsidRPr="006571AC">
        <w:rPr>
          <w:rFonts w:asciiTheme="majorBidi" w:hAnsiTheme="majorBidi" w:hint="cs"/>
          <w:sz w:val="27"/>
          <w:rtl/>
        </w:rPr>
        <w:t xml:space="preserve"> كما ذكرها الفقهاء</w:t>
      </w:r>
      <w:r w:rsidR="001F4B86" w:rsidRPr="006571AC">
        <w:rPr>
          <w:rFonts w:asciiTheme="majorBidi" w:hAnsiTheme="majorBidi" w:hint="cs"/>
          <w:sz w:val="27"/>
          <w:rtl/>
        </w:rPr>
        <w:t>،</w:t>
      </w:r>
      <w:r w:rsidRPr="006571AC">
        <w:rPr>
          <w:rFonts w:asciiTheme="majorBidi" w:hAnsiTheme="majorBidi" w:hint="cs"/>
          <w:sz w:val="27"/>
          <w:rtl/>
        </w:rPr>
        <w:t xml:space="preserve"> هي كل</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ما</w:t>
      </w:r>
      <w:r w:rsidRPr="006571AC">
        <w:rPr>
          <w:rFonts w:asciiTheme="majorBidi" w:hAnsiTheme="majorBidi"/>
          <w:sz w:val="27"/>
          <w:rtl/>
        </w:rPr>
        <w:t xml:space="preserve"> </w:t>
      </w:r>
      <w:r w:rsidRPr="006571AC">
        <w:rPr>
          <w:rFonts w:asciiTheme="majorBidi" w:hAnsiTheme="majorBidi" w:hint="cs"/>
          <w:sz w:val="27"/>
          <w:rtl/>
        </w:rPr>
        <w:t>يصح</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يملكه‌</w:t>
      </w:r>
      <w:r w:rsidRPr="006571AC">
        <w:rPr>
          <w:rFonts w:asciiTheme="majorBidi" w:hAnsiTheme="majorBidi"/>
          <w:sz w:val="27"/>
          <w:rtl/>
        </w:rPr>
        <w:t xml:space="preserve"> </w:t>
      </w:r>
      <w:r w:rsidRPr="006571AC">
        <w:rPr>
          <w:rFonts w:asciiTheme="majorBidi" w:hAnsiTheme="majorBidi" w:hint="cs"/>
          <w:sz w:val="27"/>
          <w:rtl/>
        </w:rPr>
        <w:t>المسلم</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ع</w:t>
      </w:r>
      <w:r w:rsidR="00836A19" w:rsidRPr="006571AC">
        <w:rPr>
          <w:rFonts w:asciiTheme="majorBidi" w:hAnsiTheme="majorBidi" w:hint="cs"/>
          <w:sz w:val="27"/>
          <w:rtl/>
        </w:rPr>
        <w:t>َ</w:t>
      </w:r>
      <w:r w:rsidRPr="006571AC">
        <w:rPr>
          <w:rFonts w:asciiTheme="majorBidi" w:hAnsiTheme="majorBidi" w:hint="cs"/>
          <w:sz w:val="27"/>
          <w:rtl/>
        </w:rPr>
        <w:t>ي</w:t>
      </w:r>
      <w:r w:rsidR="00836A19" w:rsidRPr="006571AC">
        <w:rPr>
          <w:rFonts w:asciiTheme="majorBidi" w:hAnsiTheme="majorBidi" w:hint="cs"/>
          <w:sz w:val="27"/>
          <w:rtl/>
        </w:rPr>
        <w:t>ْ</w:t>
      </w:r>
      <w:r w:rsidRPr="006571AC">
        <w:rPr>
          <w:rFonts w:asciiTheme="majorBidi" w:hAnsiTheme="majorBidi" w:hint="cs"/>
          <w:sz w:val="27"/>
          <w:rtl/>
        </w:rPr>
        <w:t>نا</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كان</w:t>
      </w:r>
      <w:r w:rsidRPr="006571AC">
        <w:rPr>
          <w:rFonts w:asciiTheme="majorBidi" w:hAnsiTheme="majorBidi"/>
          <w:sz w:val="27"/>
          <w:rtl/>
        </w:rPr>
        <w:t xml:space="preserve"> </w:t>
      </w:r>
      <w:r w:rsidRPr="006571AC">
        <w:rPr>
          <w:rFonts w:asciiTheme="majorBidi" w:hAnsiTheme="majorBidi" w:hint="cs"/>
          <w:sz w:val="27"/>
          <w:rtl/>
        </w:rPr>
        <w:t>أو</w:t>
      </w:r>
      <w:r w:rsidRPr="006571AC">
        <w:rPr>
          <w:rFonts w:asciiTheme="majorBidi" w:hAnsiTheme="majorBidi"/>
          <w:sz w:val="27"/>
          <w:rtl/>
        </w:rPr>
        <w:t xml:space="preserve"> </w:t>
      </w:r>
      <w:r w:rsidRPr="006571AC">
        <w:rPr>
          <w:rFonts w:asciiTheme="majorBidi" w:hAnsiTheme="majorBidi" w:hint="cs"/>
          <w:sz w:val="27"/>
          <w:rtl/>
        </w:rPr>
        <w:t>منفعة</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لعقار</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أو</w:t>
      </w:r>
      <w:r w:rsidRPr="006571AC">
        <w:rPr>
          <w:rFonts w:asciiTheme="majorBidi" w:hAnsiTheme="majorBidi"/>
          <w:sz w:val="27"/>
          <w:rtl/>
        </w:rPr>
        <w:t xml:space="preserve"> </w:t>
      </w:r>
      <w:r w:rsidRPr="006571AC">
        <w:rPr>
          <w:rFonts w:asciiTheme="majorBidi" w:hAnsiTheme="majorBidi" w:hint="cs"/>
          <w:sz w:val="27"/>
          <w:rtl/>
        </w:rPr>
        <w:t>حيوان</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أو</w:t>
      </w:r>
      <w:r w:rsidRPr="006571AC">
        <w:rPr>
          <w:rFonts w:asciiTheme="majorBidi" w:hAnsiTheme="majorBidi"/>
          <w:sz w:val="27"/>
          <w:rtl/>
        </w:rPr>
        <w:t xml:space="preserve"> </w:t>
      </w:r>
      <w:r w:rsidRPr="006571AC">
        <w:rPr>
          <w:rFonts w:asciiTheme="majorBidi" w:hAnsiTheme="majorBidi" w:hint="cs"/>
          <w:sz w:val="27"/>
          <w:rtl/>
        </w:rPr>
        <w:t>إنسان</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عبد</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أو</w:t>
      </w:r>
      <w:r w:rsidRPr="006571AC">
        <w:rPr>
          <w:rFonts w:asciiTheme="majorBidi" w:hAnsiTheme="majorBidi"/>
          <w:sz w:val="27"/>
          <w:rtl/>
        </w:rPr>
        <w:t xml:space="preserve"> </w:t>
      </w:r>
      <w:r w:rsidRPr="006571AC">
        <w:rPr>
          <w:rFonts w:asciiTheme="majorBidi" w:hAnsiTheme="majorBidi" w:hint="cs"/>
          <w:sz w:val="27"/>
          <w:rtl/>
        </w:rPr>
        <w:t>ح</w:t>
      </w:r>
      <w:r w:rsidR="001F4B86" w:rsidRPr="006571AC">
        <w:rPr>
          <w:rFonts w:asciiTheme="majorBidi" w:hAnsiTheme="majorBidi" w:hint="cs"/>
          <w:sz w:val="27"/>
          <w:rtl/>
        </w:rPr>
        <w:t>ُ</w:t>
      </w:r>
      <w:r w:rsidRPr="006571AC">
        <w:rPr>
          <w:rFonts w:asciiTheme="majorBidi" w:hAnsiTheme="majorBidi" w:hint="cs"/>
          <w:sz w:val="27"/>
          <w:rtl/>
        </w:rPr>
        <w:t>ر</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ولو</w:t>
      </w:r>
      <w:r w:rsidRPr="006571AC">
        <w:rPr>
          <w:rFonts w:asciiTheme="majorBidi" w:hAnsiTheme="majorBidi"/>
          <w:sz w:val="27"/>
          <w:rtl/>
        </w:rPr>
        <w:t xml:space="preserve"> </w:t>
      </w:r>
      <w:r w:rsidRPr="006571AC">
        <w:rPr>
          <w:rFonts w:asciiTheme="majorBidi" w:hAnsiTheme="majorBidi" w:hint="cs"/>
          <w:sz w:val="27"/>
          <w:rtl/>
        </w:rPr>
        <w:t>الزوج</w:t>
      </w:r>
      <w:r w:rsidRPr="006571AC">
        <w:rPr>
          <w:rFonts w:asciiTheme="majorBidi" w:hAnsiTheme="majorBidi"/>
          <w:sz w:val="27"/>
          <w:rtl/>
        </w:rPr>
        <w:t xml:space="preserve"> </w:t>
      </w:r>
      <w:r w:rsidRPr="006571AC">
        <w:rPr>
          <w:rFonts w:asciiTheme="majorBidi" w:hAnsiTheme="majorBidi" w:hint="cs"/>
          <w:sz w:val="27"/>
          <w:rtl/>
        </w:rPr>
        <w:t>نفسه</w:t>
      </w:r>
      <w:r w:rsidRPr="006571AC">
        <w:rPr>
          <w:rFonts w:asciiTheme="majorBidi" w:hAnsiTheme="majorBidi"/>
          <w:sz w:val="27"/>
          <w:rtl/>
        </w:rPr>
        <w:t xml:space="preserve">. </w:t>
      </w:r>
    </w:p>
    <w:p w:rsidR="00237EB1" w:rsidRPr="006571AC" w:rsidRDefault="00237EB1" w:rsidP="00E60D93">
      <w:pPr>
        <w:rPr>
          <w:rFonts w:asciiTheme="majorBidi" w:hAnsiTheme="majorBidi"/>
          <w:sz w:val="27"/>
          <w:rtl/>
        </w:rPr>
      </w:pPr>
      <w:r w:rsidRPr="006571AC">
        <w:rPr>
          <w:rFonts w:asciiTheme="majorBidi" w:hAnsiTheme="majorBidi" w:hint="cs"/>
          <w:sz w:val="27"/>
          <w:rtl/>
        </w:rPr>
        <w:lastRenderedPageBreak/>
        <w:t>4ـ إن</w:t>
      </w:r>
      <w:r w:rsidRPr="006571AC">
        <w:rPr>
          <w:rFonts w:asciiTheme="majorBidi" w:hAnsiTheme="majorBidi"/>
          <w:sz w:val="27"/>
          <w:rtl/>
        </w:rPr>
        <w:t xml:space="preserve"> </w:t>
      </w:r>
      <w:r w:rsidRPr="006571AC">
        <w:rPr>
          <w:rFonts w:asciiTheme="majorBidi" w:hAnsiTheme="majorBidi" w:hint="cs"/>
          <w:sz w:val="27"/>
          <w:rtl/>
        </w:rPr>
        <w:t>حقيقة</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القانون</w:t>
      </w:r>
      <w:r w:rsidRPr="006571AC">
        <w:rPr>
          <w:rFonts w:asciiTheme="majorBidi" w:hAnsiTheme="majorBidi"/>
          <w:sz w:val="27"/>
          <w:rtl/>
        </w:rPr>
        <w:t xml:space="preserve"> </w:t>
      </w:r>
      <w:r w:rsidRPr="006571AC">
        <w:rPr>
          <w:rFonts w:asciiTheme="majorBidi" w:hAnsiTheme="majorBidi" w:hint="cs"/>
          <w:sz w:val="27"/>
          <w:rtl/>
        </w:rPr>
        <w:t>الإيراني</w:t>
      </w:r>
      <w:r w:rsidRPr="006571AC">
        <w:rPr>
          <w:rFonts w:asciiTheme="majorBidi" w:hAnsiTheme="majorBidi"/>
          <w:sz w:val="27"/>
          <w:rtl/>
        </w:rPr>
        <w:t xml:space="preserve"> </w:t>
      </w:r>
      <w:r w:rsidRPr="006571AC">
        <w:rPr>
          <w:rFonts w:asciiTheme="majorBidi" w:hAnsiTheme="majorBidi" w:hint="cs"/>
          <w:sz w:val="27"/>
          <w:rtl/>
        </w:rPr>
        <w:t>تكون</w:t>
      </w:r>
      <w:r w:rsidRPr="006571AC">
        <w:rPr>
          <w:rFonts w:asciiTheme="majorBidi" w:hAnsiTheme="majorBidi"/>
          <w:sz w:val="27"/>
          <w:rtl/>
        </w:rPr>
        <w:t xml:space="preserve"> </w:t>
      </w:r>
      <w:r w:rsidRPr="006571AC">
        <w:rPr>
          <w:rFonts w:asciiTheme="majorBidi" w:hAnsiTheme="majorBidi" w:hint="cs"/>
          <w:sz w:val="27"/>
          <w:rtl/>
        </w:rPr>
        <w:t>ت</w:t>
      </w:r>
      <w:r w:rsidR="001F4B86" w:rsidRPr="006571AC">
        <w:rPr>
          <w:rFonts w:asciiTheme="majorBidi" w:hAnsiTheme="majorBidi" w:hint="cs"/>
          <w:sz w:val="27"/>
          <w:rtl/>
        </w:rPr>
        <w:t>َ</w:t>
      </w:r>
      <w:r w:rsidRPr="006571AC">
        <w:rPr>
          <w:rFonts w:asciiTheme="majorBidi" w:hAnsiTheme="majorBidi" w:hint="cs"/>
          <w:sz w:val="27"/>
          <w:rtl/>
        </w:rPr>
        <w:t>ب</w:t>
      </w:r>
      <w:r w:rsidR="001F4B86" w:rsidRPr="006571AC">
        <w:rPr>
          <w:rFonts w:asciiTheme="majorBidi" w:hAnsiTheme="majorBidi" w:hint="cs"/>
          <w:sz w:val="27"/>
          <w:rtl/>
        </w:rPr>
        <w:t>َ</w:t>
      </w:r>
      <w:r w:rsidRPr="006571AC">
        <w:rPr>
          <w:rFonts w:asciiTheme="majorBidi" w:hAnsiTheme="majorBidi" w:hint="cs"/>
          <w:sz w:val="27"/>
          <w:rtl/>
        </w:rPr>
        <w:t>عاً</w:t>
      </w:r>
      <w:r w:rsidRPr="006571AC">
        <w:rPr>
          <w:rFonts w:asciiTheme="majorBidi" w:hAnsiTheme="majorBidi"/>
          <w:sz w:val="27"/>
          <w:rtl/>
        </w:rPr>
        <w:t xml:space="preserve"> </w:t>
      </w:r>
      <w:r w:rsidRPr="006571AC">
        <w:rPr>
          <w:rFonts w:asciiTheme="majorBidi" w:hAnsiTheme="majorBidi" w:hint="cs"/>
          <w:sz w:val="27"/>
          <w:rtl/>
        </w:rPr>
        <w:t>للفقه</w:t>
      </w:r>
      <w:r w:rsidRPr="006571AC">
        <w:rPr>
          <w:rFonts w:asciiTheme="majorBidi" w:hAnsiTheme="majorBidi"/>
          <w:sz w:val="27"/>
          <w:rtl/>
        </w:rPr>
        <w:t xml:space="preserve"> </w:t>
      </w:r>
      <w:r w:rsidRPr="006571AC">
        <w:rPr>
          <w:rFonts w:asciiTheme="majorBidi" w:hAnsiTheme="majorBidi" w:hint="cs"/>
          <w:sz w:val="27"/>
          <w:rtl/>
        </w:rPr>
        <w:t>الإمامي</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لذلك</w:t>
      </w:r>
      <w:r w:rsidRPr="006571AC">
        <w:rPr>
          <w:rFonts w:asciiTheme="majorBidi" w:hAnsiTheme="majorBidi"/>
          <w:sz w:val="27"/>
          <w:rtl/>
        </w:rPr>
        <w:t xml:space="preserve"> </w:t>
      </w:r>
      <w:r w:rsidRPr="006571AC">
        <w:rPr>
          <w:rFonts w:asciiTheme="majorBidi" w:hAnsiTheme="majorBidi" w:hint="cs"/>
          <w:sz w:val="27"/>
          <w:rtl/>
        </w:rPr>
        <w:t>ينصّ</w:t>
      </w:r>
      <w:r w:rsidRPr="006571AC">
        <w:rPr>
          <w:rFonts w:asciiTheme="majorBidi" w:hAnsiTheme="majorBidi"/>
          <w:sz w:val="27"/>
          <w:rtl/>
        </w:rPr>
        <w:t xml:space="preserve"> </w:t>
      </w:r>
      <w:r w:rsidRPr="006571AC">
        <w:rPr>
          <w:rFonts w:asciiTheme="majorBidi" w:hAnsiTheme="majorBidi" w:hint="cs"/>
          <w:sz w:val="27"/>
          <w:rtl/>
        </w:rPr>
        <w:t>القانون</w:t>
      </w:r>
      <w:r w:rsidRPr="006571AC">
        <w:rPr>
          <w:rFonts w:asciiTheme="majorBidi" w:hAnsiTheme="majorBidi"/>
          <w:sz w:val="27"/>
          <w:rtl/>
        </w:rPr>
        <w:t xml:space="preserve"> </w:t>
      </w:r>
      <w:r w:rsidRPr="006571AC">
        <w:rPr>
          <w:rFonts w:asciiTheme="majorBidi" w:hAnsiTheme="majorBidi" w:hint="cs"/>
          <w:sz w:val="27"/>
          <w:rtl/>
        </w:rPr>
        <w:t>المدني، في</w:t>
      </w:r>
      <w:r w:rsidRPr="006571AC">
        <w:rPr>
          <w:rFonts w:asciiTheme="majorBidi" w:hAnsiTheme="majorBidi"/>
          <w:sz w:val="27"/>
          <w:rtl/>
        </w:rPr>
        <w:t xml:space="preserve"> </w:t>
      </w:r>
      <w:r w:rsidRPr="006571AC">
        <w:rPr>
          <w:rFonts w:asciiTheme="majorBidi" w:hAnsiTheme="majorBidi" w:hint="cs"/>
          <w:sz w:val="27"/>
          <w:rtl/>
        </w:rPr>
        <w:t>مادّته</w:t>
      </w:r>
      <w:r w:rsidRPr="006571AC">
        <w:rPr>
          <w:rFonts w:asciiTheme="majorBidi" w:hAnsiTheme="majorBidi"/>
          <w:sz w:val="27"/>
          <w:rtl/>
        </w:rPr>
        <w:t xml:space="preserve"> 1078</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sz w:val="24"/>
          <w:szCs w:val="24"/>
          <w:rtl/>
        </w:rPr>
        <w:t>«</w:t>
      </w:r>
      <w:r w:rsidRPr="006571AC">
        <w:rPr>
          <w:rFonts w:asciiTheme="majorBidi" w:hAnsiTheme="majorBidi" w:hint="cs"/>
          <w:sz w:val="27"/>
          <w:rtl/>
        </w:rPr>
        <w:t>كلّ</w:t>
      </w:r>
      <w:r w:rsidRPr="006571AC">
        <w:rPr>
          <w:rFonts w:asciiTheme="majorBidi" w:hAnsiTheme="majorBidi"/>
          <w:sz w:val="27"/>
          <w:rtl/>
        </w:rPr>
        <w:t xml:space="preserve"> </w:t>
      </w:r>
      <w:r w:rsidRPr="006571AC">
        <w:rPr>
          <w:rFonts w:asciiTheme="majorBidi" w:hAnsiTheme="majorBidi" w:hint="cs"/>
          <w:sz w:val="27"/>
          <w:rtl/>
        </w:rPr>
        <w:t>ما</w:t>
      </w:r>
      <w:r w:rsidRPr="006571AC">
        <w:rPr>
          <w:rFonts w:asciiTheme="majorBidi" w:hAnsiTheme="majorBidi"/>
          <w:sz w:val="27"/>
          <w:rtl/>
        </w:rPr>
        <w:t xml:space="preserve"> </w:t>
      </w:r>
      <w:r w:rsidRPr="006571AC">
        <w:rPr>
          <w:rFonts w:asciiTheme="majorBidi" w:hAnsiTheme="majorBidi" w:hint="cs"/>
          <w:sz w:val="27"/>
          <w:rtl/>
        </w:rPr>
        <w:t>له</w:t>
      </w:r>
      <w:r w:rsidRPr="006571AC">
        <w:rPr>
          <w:rFonts w:asciiTheme="majorBidi" w:hAnsiTheme="majorBidi"/>
          <w:sz w:val="27"/>
          <w:rtl/>
        </w:rPr>
        <w:t xml:space="preserve"> </w:t>
      </w:r>
      <w:r w:rsidRPr="006571AC">
        <w:rPr>
          <w:rFonts w:asciiTheme="majorBidi" w:hAnsiTheme="majorBidi" w:hint="cs"/>
          <w:sz w:val="27"/>
          <w:rtl/>
        </w:rPr>
        <w:t>ماليّة، ويكون</w:t>
      </w:r>
      <w:r w:rsidRPr="006571AC">
        <w:rPr>
          <w:rFonts w:asciiTheme="majorBidi" w:hAnsiTheme="majorBidi"/>
          <w:sz w:val="27"/>
          <w:rtl/>
        </w:rPr>
        <w:t xml:space="preserve"> </w:t>
      </w:r>
      <w:r w:rsidRPr="006571AC">
        <w:rPr>
          <w:rFonts w:asciiTheme="majorBidi" w:hAnsiTheme="majorBidi" w:hint="cs"/>
          <w:sz w:val="27"/>
          <w:rtl/>
        </w:rPr>
        <w:t>قابلاً</w:t>
      </w:r>
      <w:r w:rsidRPr="006571AC">
        <w:rPr>
          <w:rFonts w:asciiTheme="majorBidi" w:hAnsiTheme="majorBidi"/>
          <w:sz w:val="27"/>
          <w:rtl/>
        </w:rPr>
        <w:t xml:space="preserve"> </w:t>
      </w:r>
      <w:r w:rsidRPr="006571AC">
        <w:rPr>
          <w:rFonts w:asciiTheme="majorBidi" w:hAnsiTheme="majorBidi" w:hint="cs"/>
          <w:sz w:val="27"/>
          <w:rtl/>
        </w:rPr>
        <w:t>للتملّ</w:t>
      </w:r>
      <w:r w:rsidR="001F4B86" w:rsidRPr="006571AC">
        <w:rPr>
          <w:rFonts w:asciiTheme="majorBidi" w:hAnsiTheme="majorBidi" w:hint="cs"/>
          <w:sz w:val="27"/>
          <w:rtl/>
        </w:rPr>
        <w:t>ُ</w:t>
      </w:r>
      <w:r w:rsidRPr="006571AC">
        <w:rPr>
          <w:rFonts w:asciiTheme="majorBidi" w:hAnsiTheme="majorBidi" w:hint="cs"/>
          <w:sz w:val="27"/>
          <w:rtl/>
        </w:rPr>
        <w:t>ك، يمكن</w:t>
      </w:r>
      <w:r w:rsidRPr="006571AC">
        <w:rPr>
          <w:rFonts w:asciiTheme="majorBidi" w:hAnsiTheme="majorBidi"/>
          <w:sz w:val="27"/>
          <w:rtl/>
        </w:rPr>
        <w:t xml:space="preserve"> </w:t>
      </w:r>
      <w:r w:rsidRPr="006571AC">
        <w:rPr>
          <w:rFonts w:asciiTheme="majorBidi" w:hAnsiTheme="majorBidi" w:hint="cs"/>
          <w:sz w:val="27"/>
          <w:rtl/>
        </w:rPr>
        <w:t>جعله</w:t>
      </w:r>
      <w:r w:rsidRPr="006571AC">
        <w:rPr>
          <w:rFonts w:asciiTheme="majorBidi" w:hAnsiTheme="majorBidi"/>
          <w:sz w:val="27"/>
          <w:rtl/>
        </w:rPr>
        <w:t xml:space="preserve"> </w:t>
      </w:r>
      <w:r w:rsidRPr="006571AC">
        <w:rPr>
          <w:rFonts w:asciiTheme="majorBidi" w:hAnsiTheme="majorBidi" w:hint="cs"/>
          <w:sz w:val="27"/>
          <w:rtl/>
        </w:rPr>
        <w:t>مهراً</w:t>
      </w:r>
      <w:r w:rsidRPr="006571AC">
        <w:rPr>
          <w:rFonts w:asciiTheme="majorBidi" w:hAnsiTheme="majorBidi" w:hint="eastAsia"/>
          <w:sz w:val="24"/>
          <w:szCs w:val="24"/>
          <w:rtl/>
        </w:rPr>
        <w:t>»</w:t>
      </w:r>
      <w:r w:rsidRPr="006571AC">
        <w:rPr>
          <w:rFonts w:asciiTheme="majorBidi" w:hAnsiTheme="majorBidi"/>
          <w:sz w:val="27"/>
          <w:rtl/>
        </w:rPr>
        <w:t xml:space="preserve">. </w:t>
      </w:r>
    </w:p>
    <w:p w:rsidR="00237EB1" w:rsidRPr="006571AC" w:rsidRDefault="00237EB1" w:rsidP="00E60D93">
      <w:pPr>
        <w:rPr>
          <w:rFonts w:asciiTheme="majorBidi" w:hAnsiTheme="majorBidi"/>
          <w:sz w:val="27"/>
          <w:rtl/>
        </w:rPr>
      </w:pPr>
      <w:r w:rsidRPr="006571AC">
        <w:rPr>
          <w:rFonts w:asciiTheme="majorBidi" w:hAnsiTheme="majorBidi" w:hint="cs"/>
          <w:sz w:val="27"/>
          <w:rtl/>
        </w:rPr>
        <w:t>5ـ من شرائط المهر في الفقه الإمامي</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يكون</w:t>
      </w:r>
      <w:r w:rsidRPr="006571AC">
        <w:rPr>
          <w:rFonts w:asciiTheme="majorBidi" w:hAnsiTheme="majorBidi"/>
          <w:sz w:val="27"/>
          <w:rtl/>
        </w:rPr>
        <w:t xml:space="preserve"> </w:t>
      </w:r>
      <w:r w:rsidRPr="006571AC">
        <w:rPr>
          <w:rFonts w:asciiTheme="majorBidi" w:hAnsiTheme="majorBidi" w:hint="cs"/>
          <w:sz w:val="27"/>
          <w:rtl/>
        </w:rPr>
        <w:t>مم</w:t>
      </w:r>
      <w:r w:rsidR="001F4B86" w:rsidRPr="006571AC">
        <w:rPr>
          <w:rFonts w:asciiTheme="majorBidi" w:hAnsiTheme="majorBidi" w:hint="cs"/>
          <w:sz w:val="27"/>
          <w:rtl/>
        </w:rPr>
        <w:t>ّ</w:t>
      </w:r>
      <w:r w:rsidRPr="006571AC">
        <w:rPr>
          <w:rFonts w:asciiTheme="majorBidi" w:hAnsiTheme="majorBidi" w:hint="cs"/>
          <w:sz w:val="27"/>
          <w:rtl/>
        </w:rPr>
        <w:t>ا</w:t>
      </w:r>
      <w:r w:rsidRPr="006571AC">
        <w:rPr>
          <w:rFonts w:asciiTheme="majorBidi" w:hAnsiTheme="majorBidi"/>
          <w:sz w:val="27"/>
          <w:rtl/>
        </w:rPr>
        <w:t xml:space="preserve"> </w:t>
      </w:r>
      <w:r w:rsidRPr="006571AC">
        <w:rPr>
          <w:rFonts w:asciiTheme="majorBidi" w:hAnsiTheme="majorBidi" w:hint="cs"/>
          <w:sz w:val="27"/>
          <w:rtl/>
        </w:rPr>
        <w:t>يملكه</w:t>
      </w:r>
      <w:r w:rsidRPr="006571AC">
        <w:rPr>
          <w:rFonts w:asciiTheme="majorBidi" w:hAnsiTheme="majorBidi"/>
          <w:sz w:val="27"/>
          <w:rtl/>
        </w:rPr>
        <w:t xml:space="preserve"> </w:t>
      </w:r>
      <w:r w:rsidRPr="006571AC">
        <w:rPr>
          <w:rFonts w:asciiTheme="majorBidi" w:hAnsiTheme="majorBidi" w:hint="cs"/>
          <w:sz w:val="27"/>
          <w:rtl/>
        </w:rPr>
        <w:t>المتعاقدان</w:t>
      </w:r>
      <w:r w:rsidR="001F4B86" w:rsidRPr="006571AC">
        <w:rPr>
          <w:rFonts w:asciiTheme="majorBidi" w:hAnsiTheme="majorBidi" w:hint="cs"/>
          <w:sz w:val="27"/>
          <w:rtl/>
        </w:rPr>
        <w:t>،</w:t>
      </w:r>
      <w:r w:rsidRPr="006571AC">
        <w:rPr>
          <w:rFonts w:asciiTheme="majorBidi" w:hAnsiTheme="majorBidi" w:hint="cs"/>
          <w:sz w:val="27"/>
          <w:rtl/>
        </w:rPr>
        <w:t xml:space="preserve"> والعلم</w:t>
      </w:r>
      <w:r w:rsidRPr="006571AC">
        <w:rPr>
          <w:rFonts w:asciiTheme="majorBidi" w:hAnsiTheme="majorBidi"/>
          <w:sz w:val="27"/>
          <w:rtl/>
        </w:rPr>
        <w:t xml:space="preserve"> </w:t>
      </w:r>
      <w:r w:rsidRPr="006571AC">
        <w:rPr>
          <w:rFonts w:asciiTheme="majorBidi" w:hAnsiTheme="majorBidi" w:hint="cs"/>
          <w:sz w:val="27"/>
          <w:rtl/>
        </w:rPr>
        <w:t>بق</w:t>
      </w:r>
      <w:r w:rsidR="001F4B86" w:rsidRPr="006571AC">
        <w:rPr>
          <w:rFonts w:asciiTheme="majorBidi" w:hAnsiTheme="majorBidi" w:hint="cs"/>
          <w:sz w:val="27"/>
          <w:rtl/>
        </w:rPr>
        <w:t>َ</w:t>
      </w:r>
      <w:r w:rsidRPr="006571AC">
        <w:rPr>
          <w:rFonts w:asciiTheme="majorBidi" w:hAnsiTheme="majorBidi" w:hint="cs"/>
          <w:sz w:val="27"/>
          <w:rtl/>
        </w:rPr>
        <w:t>د</w:t>
      </w:r>
      <w:r w:rsidR="001F4B86" w:rsidRPr="006571AC">
        <w:rPr>
          <w:rFonts w:asciiTheme="majorBidi" w:hAnsiTheme="majorBidi" w:hint="cs"/>
          <w:sz w:val="27"/>
          <w:rtl/>
        </w:rPr>
        <w:t>ْ</w:t>
      </w:r>
      <w:r w:rsidRPr="006571AC">
        <w:rPr>
          <w:rFonts w:asciiTheme="majorBidi" w:hAnsiTheme="majorBidi" w:hint="cs"/>
          <w:sz w:val="27"/>
          <w:rtl/>
        </w:rPr>
        <w:t>ره</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والتعيين</w:t>
      </w:r>
      <w:r w:rsidR="001F4B86" w:rsidRPr="006571AC">
        <w:rPr>
          <w:rFonts w:asciiTheme="majorBidi" w:hAnsiTheme="majorBidi" w:hint="cs"/>
          <w:sz w:val="27"/>
          <w:rtl/>
        </w:rPr>
        <w:t>،</w:t>
      </w:r>
      <w:r w:rsidRPr="006571AC">
        <w:rPr>
          <w:rFonts w:asciiTheme="majorBidi" w:hAnsiTheme="majorBidi"/>
          <w:sz w:val="27"/>
          <w:rtl/>
        </w:rPr>
        <w:t xml:space="preserve"> و</w:t>
      </w:r>
      <w:r w:rsidRPr="006571AC">
        <w:rPr>
          <w:rFonts w:asciiTheme="majorBidi" w:hAnsiTheme="majorBidi" w:hint="cs"/>
          <w:sz w:val="27"/>
          <w:rtl/>
        </w:rPr>
        <w:t>المتعة</w:t>
      </w:r>
      <w:r w:rsidRPr="006571AC">
        <w:rPr>
          <w:rFonts w:asciiTheme="majorBidi" w:hAnsiTheme="majorBidi"/>
          <w:sz w:val="27"/>
          <w:rtl/>
        </w:rPr>
        <w:t xml:space="preserve"> </w:t>
      </w:r>
      <w:r w:rsidRPr="006571AC">
        <w:rPr>
          <w:rFonts w:asciiTheme="majorBidi" w:hAnsiTheme="majorBidi" w:hint="cs"/>
          <w:sz w:val="27"/>
          <w:rtl/>
        </w:rPr>
        <w:t>مع</w:t>
      </w:r>
      <w:r w:rsidRPr="006571AC">
        <w:rPr>
          <w:rFonts w:asciiTheme="majorBidi" w:hAnsiTheme="majorBidi"/>
          <w:sz w:val="27"/>
          <w:rtl/>
        </w:rPr>
        <w:t xml:space="preserve"> </w:t>
      </w:r>
      <w:r w:rsidRPr="006571AC">
        <w:rPr>
          <w:rFonts w:asciiTheme="majorBidi" w:hAnsiTheme="majorBidi" w:hint="cs"/>
          <w:sz w:val="27"/>
          <w:rtl/>
        </w:rPr>
        <w:t>الطلاق</w:t>
      </w:r>
      <w:r w:rsidRPr="006571AC">
        <w:rPr>
          <w:rFonts w:asciiTheme="majorBidi" w:hAnsiTheme="majorBidi"/>
          <w:sz w:val="27"/>
          <w:rtl/>
        </w:rPr>
        <w:t xml:space="preserve"> </w:t>
      </w:r>
      <w:r w:rsidRPr="006571AC">
        <w:rPr>
          <w:rFonts w:asciiTheme="majorBidi" w:hAnsiTheme="majorBidi" w:hint="cs"/>
          <w:sz w:val="27"/>
          <w:rtl/>
        </w:rPr>
        <w:t>قبله</w:t>
      </w:r>
      <w:r w:rsidR="001F4B86" w:rsidRPr="006571AC">
        <w:rPr>
          <w:rFonts w:asciiTheme="majorBidi" w:hAnsiTheme="majorBidi" w:hint="cs"/>
          <w:sz w:val="27"/>
          <w:rtl/>
        </w:rPr>
        <w:t>.</w:t>
      </w:r>
      <w:r w:rsidRPr="006571AC">
        <w:rPr>
          <w:rFonts w:asciiTheme="majorBidi" w:hAnsiTheme="majorBidi"/>
          <w:sz w:val="27"/>
          <w:rtl/>
        </w:rPr>
        <w:t xml:space="preserve"> و</w:t>
      </w:r>
      <w:r w:rsidRPr="006571AC">
        <w:rPr>
          <w:rFonts w:asciiTheme="majorBidi" w:hAnsiTheme="majorBidi" w:hint="cs"/>
          <w:sz w:val="27"/>
          <w:rtl/>
        </w:rPr>
        <w:t>يكفي</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مشاهدته</w:t>
      </w:r>
      <w:r w:rsidRPr="006571AC">
        <w:rPr>
          <w:rFonts w:asciiTheme="majorBidi" w:hAnsiTheme="majorBidi"/>
          <w:sz w:val="27"/>
          <w:rtl/>
        </w:rPr>
        <w:t xml:space="preserve"> </w:t>
      </w:r>
      <w:r w:rsidRPr="006571AC">
        <w:rPr>
          <w:rFonts w:asciiTheme="majorBidi" w:hAnsiTheme="majorBidi" w:hint="cs"/>
          <w:sz w:val="27"/>
          <w:rtl/>
        </w:rPr>
        <w:t>إن</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كان</w:t>
      </w:r>
      <w:r w:rsidRPr="006571AC">
        <w:rPr>
          <w:rFonts w:asciiTheme="majorBidi" w:hAnsiTheme="majorBidi"/>
          <w:sz w:val="27"/>
          <w:rtl/>
        </w:rPr>
        <w:t xml:space="preserve"> </w:t>
      </w:r>
      <w:r w:rsidRPr="006571AC">
        <w:rPr>
          <w:rFonts w:asciiTheme="majorBidi" w:hAnsiTheme="majorBidi" w:hint="cs"/>
          <w:sz w:val="27"/>
          <w:rtl/>
        </w:rPr>
        <w:t>حاضرا</w:t>
      </w:r>
      <w:r w:rsidR="001F4B86" w:rsidRPr="006571AC">
        <w:rPr>
          <w:rFonts w:asciiTheme="majorBidi" w:hAnsiTheme="majorBidi" w:hint="cs"/>
          <w:sz w:val="27"/>
          <w:rtl/>
        </w:rPr>
        <w:t>ً</w:t>
      </w:r>
      <w:r w:rsidRPr="006571AC">
        <w:rPr>
          <w:rFonts w:asciiTheme="majorBidi" w:hAnsiTheme="majorBidi" w:hint="cs"/>
          <w:sz w:val="27"/>
          <w:rtl/>
        </w:rPr>
        <w:t xml:space="preserve">. </w:t>
      </w:r>
    </w:p>
    <w:p w:rsidR="00237EB1" w:rsidRPr="006571AC" w:rsidRDefault="00237EB1" w:rsidP="00E60D93">
      <w:pPr>
        <w:rPr>
          <w:rFonts w:asciiTheme="majorBidi" w:hAnsiTheme="majorBidi"/>
          <w:sz w:val="27"/>
          <w:rtl/>
        </w:rPr>
      </w:pPr>
      <w:r w:rsidRPr="006571AC">
        <w:rPr>
          <w:rFonts w:asciiTheme="majorBidi" w:hAnsiTheme="majorBidi" w:hint="cs"/>
          <w:sz w:val="27"/>
          <w:rtl/>
        </w:rPr>
        <w:t>6ـ يشترط</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المهر في القانون الإيراني</w:t>
      </w:r>
      <w:r w:rsidRPr="006571AC">
        <w:rPr>
          <w:rFonts w:asciiTheme="majorBidi" w:hAnsiTheme="majorBidi"/>
          <w:sz w:val="27"/>
          <w:rtl/>
        </w:rPr>
        <w:t xml:space="preserve"> </w:t>
      </w:r>
      <w:r w:rsidR="001F4B86" w:rsidRPr="006571AC">
        <w:rPr>
          <w:rFonts w:asciiTheme="majorBidi" w:hAnsiTheme="majorBidi" w:hint="cs"/>
          <w:sz w:val="27"/>
          <w:rtl/>
        </w:rPr>
        <w:t>أ</w:t>
      </w:r>
      <w:r w:rsidRPr="006571AC">
        <w:rPr>
          <w:rFonts w:asciiTheme="majorBidi" w:hAnsiTheme="majorBidi" w:hint="cs"/>
          <w:sz w:val="27"/>
          <w:rtl/>
        </w:rPr>
        <w:t>ن</w:t>
      </w:r>
      <w:r w:rsidRPr="006571AC">
        <w:rPr>
          <w:rFonts w:asciiTheme="majorBidi" w:hAnsiTheme="majorBidi"/>
          <w:sz w:val="27"/>
          <w:rtl/>
        </w:rPr>
        <w:t xml:space="preserve"> </w:t>
      </w:r>
      <w:r w:rsidRPr="006571AC">
        <w:rPr>
          <w:rFonts w:asciiTheme="majorBidi" w:hAnsiTheme="majorBidi" w:hint="cs"/>
          <w:sz w:val="27"/>
          <w:rtl/>
        </w:rPr>
        <w:t>يكون</w:t>
      </w:r>
      <w:r w:rsidRPr="006571AC">
        <w:rPr>
          <w:rFonts w:asciiTheme="majorBidi" w:hAnsiTheme="majorBidi"/>
          <w:sz w:val="27"/>
          <w:rtl/>
        </w:rPr>
        <w:t xml:space="preserve"> </w:t>
      </w:r>
      <w:r w:rsidRPr="006571AC">
        <w:rPr>
          <w:rFonts w:asciiTheme="majorBidi" w:hAnsiTheme="majorBidi" w:hint="cs"/>
          <w:sz w:val="27"/>
          <w:rtl/>
        </w:rPr>
        <w:t>له</w:t>
      </w:r>
      <w:r w:rsidRPr="006571AC">
        <w:rPr>
          <w:rFonts w:asciiTheme="majorBidi" w:hAnsiTheme="majorBidi"/>
          <w:sz w:val="27"/>
          <w:rtl/>
        </w:rPr>
        <w:t xml:space="preserve"> </w:t>
      </w:r>
      <w:r w:rsidRPr="006571AC">
        <w:rPr>
          <w:rFonts w:asciiTheme="majorBidi" w:hAnsiTheme="majorBidi" w:hint="cs"/>
          <w:sz w:val="27"/>
          <w:rtl/>
        </w:rPr>
        <w:t>مالية</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وقابلا</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w:t>
      </w:r>
      <w:r w:rsidR="001F4B86" w:rsidRPr="006571AC">
        <w:rPr>
          <w:rFonts w:asciiTheme="majorBidi" w:hAnsiTheme="majorBidi" w:hint="cs"/>
          <w:sz w:val="27"/>
          <w:rtl/>
        </w:rPr>
        <w:t>ل</w:t>
      </w:r>
      <w:r w:rsidRPr="006571AC">
        <w:rPr>
          <w:rFonts w:asciiTheme="majorBidi" w:hAnsiTheme="majorBidi" w:hint="cs"/>
          <w:sz w:val="27"/>
          <w:rtl/>
        </w:rPr>
        <w:t>تمل</w:t>
      </w:r>
      <w:r w:rsidR="001F4B86" w:rsidRPr="006571AC">
        <w:rPr>
          <w:rFonts w:asciiTheme="majorBidi" w:hAnsiTheme="majorBidi" w:hint="cs"/>
          <w:sz w:val="27"/>
          <w:rtl/>
        </w:rPr>
        <w:t>ُّ</w:t>
      </w:r>
      <w:r w:rsidRPr="006571AC">
        <w:rPr>
          <w:rFonts w:asciiTheme="majorBidi" w:hAnsiTheme="majorBidi" w:hint="cs"/>
          <w:sz w:val="27"/>
          <w:rtl/>
        </w:rPr>
        <w:t>ك، وتعيينه ورفع</w:t>
      </w:r>
      <w:r w:rsidRPr="006571AC">
        <w:rPr>
          <w:rFonts w:asciiTheme="majorBidi" w:hAnsiTheme="majorBidi"/>
          <w:sz w:val="27"/>
          <w:rtl/>
        </w:rPr>
        <w:t xml:space="preserve"> </w:t>
      </w:r>
      <w:r w:rsidRPr="006571AC">
        <w:rPr>
          <w:rFonts w:asciiTheme="majorBidi" w:hAnsiTheme="majorBidi" w:hint="cs"/>
          <w:sz w:val="27"/>
          <w:rtl/>
        </w:rPr>
        <w:t>الجهالة</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بحيث</w:t>
      </w:r>
      <w:r w:rsidRPr="006571AC">
        <w:rPr>
          <w:rFonts w:asciiTheme="majorBidi" w:hAnsiTheme="majorBidi"/>
          <w:sz w:val="27"/>
          <w:rtl/>
        </w:rPr>
        <w:t xml:space="preserve"> </w:t>
      </w:r>
      <w:r w:rsidRPr="006571AC">
        <w:rPr>
          <w:rFonts w:asciiTheme="majorBidi" w:hAnsiTheme="majorBidi" w:hint="cs"/>
          <w:sz w:val="27"/>
          <w:rtl/>
        </w:rPr>
        <w:t>يكون</w:t>
      </w:r>
      <w:r w:rsidRPr="006571AC">
        <w:rPr>
          <w:rFonts w:asciiTheme="majorBidi" w:hAnsiTheme="majorBidi"/>
          <w:sz w:val="27"/>
          <w:rtl/>
        </w:rPr>
        <w:t xml:space="preserve"> </w:t>
      </w:r>
      <w:r w:rsidRPr="006571AC">
        <w:rPr>
          <w:rFonts w:asciiTheme="majorBidi" w:hAnsiTheme="majorBidi" w:hint="cs"/>
          <w:sz w:val="27"/>
          <w:rtl/>
        </w:rPr>
        <w:t>معلوما</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عند</w:t>
      </w:r>
      <w:r w:rsidRPr="006571AC">
        <w:rPr>
          <w:rFonts w:asciiTheme="majorBidi" w:hAnsiTheme="majorBidi"/>
          <w:sz w:val="27"/>
          <w:rtl/>
        </w:rPr>
        <w:t xml:space="preserve"> </w:t>
      </w:r>
      <w:r w:rsidRPr="006571AC">
        <w:rPr>
          <w:rFonts w:asciiTheme="majorBidi" w:hAnsiTheme="majorBidi" w:hint="cs"/>
          <w:sz w:val="27"/>
          <w:rtl/>
        </w:rPr>
        <w:t>الطرفين</w:t>
      </w:r>
      <w:r w:rsidRPr="006571AC">
        <w:rPr>
          <w:rFonts w:asciiTheme="majorBidi" w:hAnsiTheme="majorBidi"/>
          <w:sz w:val="27"/>
          <w:rtl/>
        </w:rPr>
        <w:t xml:space="preserve"> </w:t>
      </w:r>
      <w:r w:rsidRPr="006571AC">
        <w:rPr>
          <w:rFonts w:asciiTheme="majorBidi" w:hAnsiTheme="majorBidi" w:hint="cs"/>
          <w:sz w:val="27"/>
          <w:rtl/>
        </w:rPr>
        <w:t xml:space="preserve">المتعاقدين. </w:t>
      </w:r>
    </w:p>
    <w:p w:rsidR="00237EB1" w:rsidRPr="006571AC" w:rsidRDefault="00237EB1" w:rsidP="00E60D93">
      <w:pPr>
        <w:rPr>
          <w:rFonts w:asciiTheme="majorBidi" w:hAnsiTheme="majorBidi"/>
          <w:sz w:val="27"/>
          <w:rtl/>
        </w:rPr>
      </w:pPr>
      <w:r w:rsidRPr="006571AC">
        <w:rPr>
          <w:rFonts w:asciiTheme="majorBidi" w:hAnsiTheme="majorBidi" w:hint="cs"/>
          <w:sz w:val="27"/>
          <w:rtl/>
        </w:rPr>
        <w:t>7ـ من</w:t>
      </w:r>
      <w:r w:rsidRPr="006571AC">
        <w:rPr>
          <w:rFonts w:asciiTheme="majorBidi" w:hAnsiTheme="majorBidi"/>
          <w:sz w:val="27"/>
          <w:rtl/>
        </w:rPr>
        <w:t xml:space="preserve"> </w:t>
      </w:r>
      <w:r w:rsidRPr="006571AC">
        <w:rPr>
          <w:rFonts w:asciiTheme="majorBidi" w:hAnsiTheme="majorBidi" w:hint="cs"/>
          <w:sz w:val="27"/>
          <w:rtl/>
        </w:rPr>
        <w:t>أحكام</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الفقه</w:t>
      </w:r>
      <w:r w:rsidRPr="006571AC">
        <w:rPr>
          <w:rFonts w:asciiTheme="majorBidi" w:hAnsiTheme="majorBidi"/>
          <w:sz w:val="27"/>
          <w:rtl/>
        </w:rPr>
        <w:t xml:space="preserve"> </w:t>
      </w:r>
      <w:r w:rsidR="001F4B86" w:rsidRPr="006571AC">
        <w:rPr>
          <w:rFonts w:asciiTheme="majorBidi" w:hAnsiTheme="majorBidi" w:hint="cs"/>
          <w:sz w:val="27"/>
          <w:rtl/>
        </w:rPr>
        <w:t xml:space="preserve">الإمامي: </w:t>
      </w:r>
      <w:r w:rsidRPr="006571AC">
        <w:rPr>
          <w:rFonts w:asciiTheme="majorBidi" w:hAnsiTheme="majorBidi" w:hint="cs"/>
          <w:sz w:val="27"/>
          <w:rtl/>
        </w:rPr>
        <w:t>تمليك المرأة المهر بالعقد</w:t>
      </w:r>
      <w:r w:rsidR="001F4B86" w:rsidRPr="006571AC">
        <w:rPr>
          <w:rFonts w:asciiTheme="majorBidi" w:hAnsiTheme="majorBidi" w:hint="cs"/>
          <w:sz w:val="27"/>
          <w:rtl/>
        </w:rPr>
        <w:t>.</w:t>
      </w:r>
      <w:r w:rsidRPr="006571AC">
        <w:rPr>
          <w:rFonts w:asciiTheme="majorBidi" w:hAnsiTheme="majorBidi" w:hint="cs"/>
          <w:sz w:val="27"/>
          <w:rtl/>
        </w:rPr>
        <w:t xml:space="preserve"> ويستقر</w:t>
      </w:r>
      <w:r w:rsidR="001F4B86" w:rsidRPr="006571AC">
        <w:rPr>
          <w:rFonts w:asciiTheme="majorBidi" w:hAnsiTheme="majorBidi" w:hint="cs"/>
          <w:sz w:val="27"/>
          <w:rtl/>
        </w:rPr>
        <w:t>ّ</w:t>
      </w:r>
      <w:r w:rsidRPr="006571AC">
        <w:rPr>
          <w:rFonts w:asciiTheme="majorBidi" w:hAnsiTheme="majorBidi" w:hint="cs"/>
          <w:sz w:val="27"/>
          <w:rtl/>
        </w:rPr>
        <w:t xml:space="preserve"> بالدخول</w:t>
      </w:r>
      <w:r w:rsidR="001F4B86" w:rsidRPr="006571AC">
        <w:rPr>
          <w:rFonts w:asciiTheme="majorBidi" w:hAnsiTheme="majorBidi" w:hint="cs"/>
          <w:sz w:val="27"/>
          <w:rtl/>
        </w:rPr>
        <w:t>؛</w:t>
      </w:r>
      <w:r w:rsidRPr="006571AC">
        <w:rPr>
          <w:rFonts w:asciiTheme="majorBidi" w:hAnsiTheme="majorBidi" w:hint="cs"/>
          <w:sz w:val="27"/>
          <w:rtl/>
        </w:rPr>
        <w:t xml:space="preserve"> وبرد</w:t>
      </w:r>
      <w:r w:rsidR="001F4B86" w:rsidRPr="006571AC">
        <w:rPr>
          <w:rFonts w:asciiTheme="majorBidi" w:hAnsiTheme="majorBidi" w:hint="cs"/>
          <w:sz w:val="27"/>
          <w:rtl/>
        </w:rPr>
        <w:t>ّ</w:t>
      </w:r>
      <w:r w:rsidRPr="006571AC">
        <w:rPr>
          <w:rFonts w:asciiTheme="majorBidi" w:hAnsiTheme="majorBidi" w:hint="cs"/>
          <w:sz w:val="27"/>
          <w:rtl/>
        </w:rPr>
        <w:t>ة الزوج عن فطرة</w:t>
      </w:r>
      <w:r w:rsidR="001F4B86" w:rsidRPr="006571AC">
        <w:rPr>
          <w:rFonts w:asciiTheme="majorBidi" w:hAnsiTheme="majorBidi" w:hint="cs"/>
          <w:sz w:val="27"/>
          <w:rtl/>
        </w:rPr>
        <w:t>ٍ؛</w:t>
      </w:r>
      <w:r w:rsidRPr="006571AC">
        <w:rPr>
          <w:rFonts w:asciiTheme="majorBidi" w:hAnsiTheme="majorBidi" w:hint="cs"/>
          <w:sz w:val="27"/>
          <w:rtl/>
        </w:rPr>
        <w:t xml:space="preserve"> وبموت الزوج </w:t>
      </w:r>
      <w:r w:rsidR="001F4B86" w:rsidRPr="006571AC">
        <w:rPr>
          <w:rFonts w:asciiTheme="majorBidi" w:hAnsiTheme="majorBidi" w:hint="cs"/>
          <w:sz w:val="27"/>
          <w:rtl/>
        </w:rPr>
        <w:t>أ</w:t>
      </w:r>
      <w:r w:rsidRPr="006571AC">
        <w:rPr>
          <w:rFonts w:asciiTheme="majorBidi" w:hAnsiTheme="majorBidi" w:hint="cs"/>
          <w:sz w:val="27"/>
          <w:rtl/>
        </w:rPr>
        <w:t>و</w:t>
      </w:r>
      <w:r w:rsidR="001F4B86" w:rsidRPr="006571AC">
        <w:rPr>
          <w:rFonts w:asciiTheme="majorBidi" w:hAnsiTheme="majorBidi" w:hint="cs"/>
          <w:sz w:val="27"/>
          <w:rtl/>
        </w:rPr>
        <w:t xml:space="preserve"> </w:t>
      </w:r>
      <w:r w:rsidRPr="006571AC">
        <w:rPr>
          <w:rFonts w:asciiTheme="majorBidi" w:hAnsiTheme="majorBidi" w:hint="cs"/>
          <w:sz w:val="27"/>
          <w:rtl/>
        </w:rPr>
        <w:t>الزوجة</w:t>
      </w:r>
      <w:r w:rsidR="001F4B86" w:rsidRPr="006571AC">
        <w:rPr>
          <w:rFonts w:asciiTheme="majorBidi" w:hAnsiTheme="majorBidi" w:hint="cs"/>
          <w:sz w:val="27"/>
          <w:rtl/>
        </w:rPr>
        <w:t>.</w:t>
      </w:r>
      <w:r w:rsidRPr="006571AC">
        <w:rPr>
          <w:rFonts w:asciiTheme="majorBidi" w:hAnsiTheme="majorBidi" w:hint="cs"/>
          <w:sz w:val="27"/>
          <w:rtl/>
        </w:rPr>
        <w:t xml:space="preserve"> وغير</w:t>
      </w:r>
      <w:r w:rsidR="001F4B86" w:rsidRPr="006571AC">
        <w:rPr>
          <w:rFonts w:asciiTheme="majorBidi" w:hAnsiTheme="majorBidi" w:hint="cs"/>
          <w:sz w:val="27"/>
          <w:rtl/>
        </w:rPr>
        <w:t xml:space="preserve"> ذلك</w:t>
      </w:r>
      <w:r w:rsidRPr="006571AC">
        <w:rPr>
          <w:rFonts w:asciiTheme="majorBidi" w:hAnsiTheme="majorBidi" w:hint="cs"/>
          <w:sz w:val="27"/>
          <w:rtl/>
        </w:rPr>
        <w:t xml:space="preserve"> من الأحكام المتفر</w:t>
      </w:r>
      <w:r w:rsidR="00836A19" w:rsidRPr="006571AC">
        <w:rPr>
          <w:rFonts w:asciiTheme="majorBidi" w:hAnsiTheme="majorBidi" w:hint="cs"/>
          <w:sz w:val="27"/>
          <w:rtl/>
        </w:rPr>
        <w:t>ِّ</w:t>
      </w:r>
      <w:r w:rsidRPr="006571AC">
        <w:rPr>
          <w:rFonts w:asciiTheme="majorBidi" w:hAnsiTheme="majorBidi" w:hint="cs"/>
          <w:sz w:val="27"/>
          <w:rtl/>
        </w:rPr>
        <w:t xml:space="preserve">عة عنها. </w:t>
      </w:r>
    </w:p>
    <w:p w:rsidR="00237EB1" w:rsidRPr="006571AC" w:rsidRDefault="00237EB1" w:rsidP="00E60D93">
      <w:pPr>
        <w:rPr>
          <w:rFonts w:asciiTheme="majorBidi" w:hAnsiTheme="majorBidi"/>
          <w:sz w:val="27"/>
          <w:rtl/>
        </w:rPr>
      </w:pPr>
      <w:r w:rsidRPr="006571AC">
        <w:rPr>
          <w:rFonts w:asciiTheme="majorBidi" w:hAnsiTheme="majorBidi" w:hint="cs"/>
          <w:sz w:val="27"/>
          <w:rtl/>
        </w:rPr>
        <w:t>8ـ أحكام</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في القانون المدني الإيراني هي نفس ما ذ</w:t>
      </w:r>
      <w:r w:rsidR="001F4B86" w:rsidRPr="006571AC">
        <w:rPr>
          <w:rFonts w:asciiTheme="majorBidi" w:hAnsiTheme="majorBidi" w:hint="cs"/>
          <w:sz w:val="27"/>
          <w:rtl/>
        </w:rPr>
        <w:t>ُ</w:t>
      </w:r>
      <w:r w:rsidRPr="006571AC">
        <w:rPr>
          <w:rFonts w:asciiTheme="majorBidi" w:hAnsiTheme="majorBidi" w:hint="cs"/>
          <w:sz w:val="27"/>
          <w:rtl/>
        </w:rPr>
        <w:t>كر من الأحكام في الفقه ال</w:t>
      </w:r>
      <w:r w:rsidR="001F4B86" w:rsidRPr="006571AC">
        <w:rPr>
          <w:rFonts w:asciiTheme="majorBidi" w:hAnsiTheme="majorBidi" w:hint="cs"/>
          <w:sz w:val="27"/>
          <w:rtl/>
        </w:rPr>
        <w:t>إ</w:t>
      </w:r>
      <w:r w:rsidRPr="006571AC">
        <w:rPr>
          <w:rFonts w:asciiTheme="majorBidi" w:hAnsiTheme="majorBidi" w:hint="cs"/>
          <w:sz w:val="27"/>
          <w:rtl/>
        </w:rPr>
        <w:t>مامي</w:t>
      </w:r>
      <w:r w:rsidR="001F4B86" w:rsidRPr="006571AC">
        <w:rPr>
          <w:rFonts w:asciiTheme="majorBidi" w:hAnsiTheme="majorBidi" w:hint="cs"/>
          <w:sz w:val="27"/>
          <w:rtl/>
        </w:rPr>
        <w:t>.</w:t>
      </w:r>
      <w:r w:rsidRPr="006571AC">
        <w:rPr>
          <w:rFonts w:asciiTheme="majorBidi" w:hAnsiTheme="majorBidi" w:hint="cs"/>
          <w:sz w:val="27"/>
          <w:rtl/>
        </w:rPr>
        <w:t xml:space="preserve"> وقد أ</w:t>
      </w:r>
      <w:r w:rsidR="001F4B86" w:rsidRPr="006571AC">
        <w:rPr>
          <w:rFonts w:asciiTheme="majorBidi" w:hAnsiTheme="majorBidi" w:hint="cs"/>
          <w:sz w:val="27"/>
          <w:rtl/>
        </w:rPr>
        <w:t>ُ</w:t>
      </w:r>
      <w:r w:rsidRPr="006571AC">
        <w:rPr>
          <w:rFonts w:asciiTheme="majorBidi" w:hAnsiTheme="majorBidi" w:hint="cs"/>
          <w:sz w:val="27"/>
          <w:rtl/>
        </w:rPr>
        <w:t xml:space="preserve">ضيف </w:t>
      </w:r>
      <w:r w:rsidR="001F4B86" w:rsidRPr="006571AC">
        <w:rPr>
          <w:rFonts w:asciiTheme="majorBidi" w:hAnsiTheme="majorBidi" w:hint="cs"/>
          <w:sz w:val="27"/>
          <w:rtl/>
        </w:rPr>
        <w:t>إ</w:t>
      </w:r>
      <w:r w:rsidRPr="006571AC">
        <w:rPr>
          <w:rFonts w:asciiTheme="majorBidi" w:hAnsiTheme="majorBidi" w:hint="cs"/>
          <w:sz w:val="27"/>
          <w:rtl/>
        </w:rPr>
        <w:t>ليها قوانين متفر</w:t>
      </w:r>
      <w:r w:rsidR="001F4B86" w:rsidRPr="006571AC">
        <w:rPr>
          <w:rFonts w:asciiTheme="majorBidi" w:hAnsiTheme="majorBidi" w:hint="cs"/>
          <w:sz w:val="27"/>
          <w:rtl/>
        </w:rPr>
        <w:t>ّ</w:t>
      </w:r>
      <w:r w:rsidRPr="006571AC">
        <w:rPr>
          <w:rFonts w:asciiTheme="majorBidi" w:hAnsiTheme="majorBidi" w:hint="cs"/>
          <w:sz w:val="27"/>
          <w:rtl/>
        </w:rPr>
        <w:t>عة عنها</w:t>
      </w:r>
      <w:r w:rsidR="001F4B86" w:rsidRPr="006571AC">
        <w:rPr>
          <w:rFonts w:asciiTheme="majorBidi" w:hAnsiTheme="majorBidi" w:hint="cs"/>
          <w:sz w:val="27"/>
          <w:rtl/>
        </w:rPr>
        <w:t>،</w:t>
      </w:r>
      <w:r w:rsidRPr="006571AC">
        <w:rPr>
          <w:rFonts w:asciiTheme="majorBidi" w:hAnsiTheme="majorBidi" w:hint="cs"/>
          <w:sz w:val="27"/>
          <w:rtl/>
        </w:rPr>
        <w:t xml:space="preserve"> كالحديث عن تفاوت قيمة المهر</w:t>
      </w:r>
      <w:r w:rsidR="001F4B86" w:rsidRPr="006571AC">
        <w:rPr>
          <w:rFonts w:asciiTheme="majorBidi" w:hAnsiTheme="majorBidi" w:hint="cs"/>
          <w:sz w:val="27"/>
          <w:rtl/>
        </w:rPr>
        <w:t>،</w:t>
      </w:r>
      <w:r w:rsidRPr="006571AC">
        <w:rPr>
          <w:rFonts w:asciiTheme="majorBidi" w:hAnsiTheme="majorBidi" w:hint="cs"/>
          <w:sz w:val="27"/>
          <w:rtl/>
        </w:rPr>
        <w:t xml:space="preserve"> واحتسابها</w:t>
      </w:r>
      <w:r w:rsidR="001F4B86" w:rsidRPr="006571AC">
        <w:rPr>
          <w:rFonts w:asciiTheme="majorBidi" w:hAnsiTheme="majorBidi" w:hint="cs"/>
          <w:sz w:val="27"/>
          <w:rtl/>
        </w:rPr>
        <w:t>،</w:t>
      </w:r>
      <w:r w:rsidRPr="006571AC">
        <w:rPr>
          <w:rFonts w:asciiTheme="majorBidi" w:hAnsiTheme="majorBidi" w:hint="cs"/>
          <w:sz w:val="27"/>
          <w:rtl/>
        </w:rPr>
        <w:t xml:space="preserve"> وغير ذلك. </w:t>
      </w:r>
    </w:p>
    <w:p w:rsidR="00237EB1" w:rsidRPr="006571AC" w:rsidRDefault="00237EB1" w:rsidP="00E60D93">
      <w:pPr>
        <w:rPr>
          <w:rFonts w:asciiTheme="majorBidi" w:hAnsiTheme="majorBidi"/>
          <w:sz w:val="27"/>
          <w:rtl/>
        </w:rPr>
      </w:pPr>
      <w:r w:rsidRPr="006571AC">
        <w:rPr>
          <w:rFonts w:asciiTheme="majorBidi" w:hAnsiTheme="majorBidi" w:hint="cs"/>
          <w:sz w:val="27"/>
          <w:rtl/>
        </w:rPr>
        <w:t>9ـ تم</w:t>
      </w:r>
      <w:r w:rsidR="001F4B86" w:rsidRPr="006571AC">
        <w:rPr>
          <w:rFonts w:asciiTheme="majorBidi" w:hAnsiTheme="majorBidi" w:hint="cs"/>
          <w:sz w:val="27"/>
          <w:rtl/>
        </w:rPr>
        <w:t>ّ</w:t>
      </w:r>
      <w:r w:rsidRPr="006571AC">
        <w:rPr>
          <w:rFonts w:asciiTheme="majorBidi" w:hAnsiTheme="majorBidi" w:hint="cs"/>
          <w:sz w:val="27"/>
          <w:rtl/>
        </w:rPr>
        <w:t xml:space="preserve"> الحديث حول مقدار</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بين</w:t>
      </w:r>
      <w:r w:rsidRPr="006571AC">
        <w:rPr>
          <w:rFonts w:asciiTheme="majorBidi" w:hAnsiTheme="majorBidi"/>
          <w:sz w:val="27"/>
          <w:rtl/>
        </w:rPr>
        <w:t xml:space="preserve"> </w:t>
      </w:r>
      <w:r w:rsidRPr="006571AC">
        <w:rPr>
          <w:rFonts w:asciiTheme="majorBidi" w:hAnsiTheme="majorBidi" w:hint="cs"/>
          <w:sz w:val="27"/>
          <w:rtl/>
        </w:rPr>
        <w:t>ال</w:t>
      </w:r>
      <w:r w:rsidR="00A960D1" w:rsidRPr="006571AC">
        <w:rPr>
          <w:rFonts w:asciiTheme="majorBidi" w:hAnsiTheme="majorBidi" w:hint="cs"/>
          <w:sz w:val="27"/>
          <w:rtl/>
        </w:rPr>
        <w:t>إ</w:t>
      </w:r>
      <w:r w:rsidRPr="006571AC">
        <w:rPr>
          <w:rFonts w:asciiTheme="majorBidi" w:hAnsiTheme="majorBidi" w:hint="cs"/>
          <w:sz w:val="27"/>
          <w:rtl/>
        </w:rPr>
        <w:t>طلاق</w:t>
      </w:r>
      <w:r w:rsidRPr="006571AC">
        <w:rPr>
          <w:rFonts w:asciiTheme="majorBidi" w:hAnsiTheme="majorBidi"/>
          <w:sz w:val="27"/>
          <w:rtl/>
        </w:rPr>
        <w:t xml:space="preserve"> </w:t>
      </w:r>
      <w:r w:rsidRPr="006571AC">
        <w:rPr>
          <w:rFonts w:asciiTheme="majorBidi" w:hAnsiTheme="majorBidi" w:hint="cs"/>
          <w:sz w:val="27"/>
          <w:rtl/>
        </w:rPr>
        <w:t>والتقييد</w:t>
      </w:r>
      <w:r w:rsidRPr="006571AC">
        <w:rPr>
          <w:rFonts w:asciiTheme="majorBidi" w:hAnsiTheme="majorBidi"/>
          <w:sz w:val="27"/>
          <w:rtl/>
        </w:rPr>
        <w:t xml:space="preserve"> </w:t>
      </w:r>
      <w:r w:rsidRPr="006571AC">
        <w:rPr>
          <w:rFonts w:asciiTheme="majorBidi" w:hAnsiTheme="majorBidi" w:hint="cs"/>
          <w:sz w:val="27"/>
          <w:rtl/>
        </w:rPr>
        <w:t>في الفقه</w:t>
      </w:r>
      <w:r w:rsidRPr="006571AC">
        <w:rPr>
          <w:rFonts w:asciiTheme="majorBidi" w:hAnsiTheme="majorBidi"/>
          <w:sz w:val="27"/>
          <w:rtl/>
        </w:rPr>
        <w:t xml:space="preserve"> </w:t>
      </w:r>
      <w:r w:rsidRPr="006571AC">
        <w:rPr>
          <w:rFonts w:asciiTheme="majorBidi" w:hAnsiTheme="majorBidi" w:hint="cs"/>
          <w:sz w:val="27"/>
          <w:rtl/>
        </w:rPr>
        <w:t>الإمامي، وخلص القول إلى أنّ رأي مشهور فقهاء ال</w:t>
      </w:r>
      <w:r w:rsidR="00A960D1" w:rsidRPr="006571AC">
        <w:rPr>
          <w:rFonts w:asciiTheme="majorBidi" w:hAnsiTheme="majorBidi" w:hint="cs"/>
          <w:sz w:val="27"/>
          <w:rtl/>
        </w:rPr>
        <w:t>إ</w:t>
      </w:r>
      <w:r w:rsidRPr="006571AC">
        <w:rPr>
          <w:rFonts w:asciiTheme="majorBidi" w:hAnsiTheme="majorBidi" w:hint="cs"/>
          <w:sz w:val="27"/>
          <w:rtl/>
        </w:rPr>
        <w:t>مامية هو إطلاق المهر وعدم تقييد</w:t>
      </w:r>
      <w:r w:rsidR="00A960D1" w:rsidRPr="006571AC">
        <w:rPr>
          <w:rFonts w:asciiTheme="majorBidi" w:hAnsiTheme="majorBidi" w:hint="cs"/>
          <w:sz w:val="27"/>
          <w:rtl/>
        </w:rPr>
        <w:t>ه</w:t>
      </w:r>
      <w:r w:rsidRPr="006571AC">
        <w:rPr>
          <w:rFonts w:asciiTheme="majorBidi" w:hAnsiTheme="majorBidi" w:hint="cs"/>
          <w:sz w:val="27"/>
          <w:rtl/>
        </w:rPr>
        <w:t xml:space="preserve">. </w:t>
      </w:r>
    </w:p>
    <w:p w:rsidR="00237EB1" w:rsidRPr="006571AC" w:rsidRDefault="00237EB1" w:rsidP="00E60D93">
      <w:pPr>
        <w:rPr>
          <w:rFonts w:asciiTheme="majorBidi" w:hAnsiTheme="majorBidi"/>
          <w:sz w:val="27"/>
          <w:rtl/>
        </w:rPr>
      </w:pPr>
      <w:r w:rsidRPr="006571AC">
        <w:rPr>
          <w:rFonts w:asciiTheme="majorBidi" w:hAnsiTheme="majorBidi" w:hint="cs"/>
          <w:sz w:val="27"/>
          <w:rtl/>
        </w:rPr>
        <w:t>10ـ بناء</w:t>
      </w:r>
      <w:r w:rsidR="00A960D1" w:rsidRPr="006571AC">
        <w:rPr>
          <w:rFonts w:asciiTheme="majorBidi" w:hAnsiTheme="majorBidi" w:hint="cs"/>
          <w:sz w:val="27"/>
          <w:rtl/>
        </w:rPr>
        <w:t>ً</w:t>
      </w:r>
      <w:r w:rsidRPr="006571AC">
        <w:rPr>
          <w:rFonts w:asciiTheme="majorBidi" w:hAnsiTheme="majorBidi" w:hint="cs"/>
          <w:sz w:val="27"/>
          <w:rtl/>
        </w:rPr>
        <w:t xml:space="preserve"> على نظرية الج</w:t>
      </w:r>
      <w:r w:rsidR="00836A19" w:rsidRPr="006571AC">
        <w:rPr>
          <w:rFonts w:asciiTheme="majorBidi" w:hAnsiTheme="majorBidi" w:hint="cs"/>
          <w:sz w:val="27"/>
          <w:rtl/>
        </w:rPr>
        <w:t>َ</w:t>
      </w:r>
      <w:r w:rsidRPr="006571AC">
        <w:rPr>
          <w:rFonts w:asciiTheme="majorBidi" w:hAnsiTheme="majorBidi" w:hint="cs"/>
          <w:sz w:val="27"/>
          <w:rtl/>
        </w:rPr>
        <w:t>م</w:t>
      </w:r>
      <w:r w:rsidR="00836A19" w:rsidRPr="006571AC">
        <w:rPr>
          <w:rFonts w:asciiTheme="majorBidi" w:hAnsiTheme="majorBidi" w:hint="cs"/>
          <w:sz w:val="27"/>
          <w:rtl/>
        </w:rPr>
        <w:t>ْ</w:t>
      </w:r>
      <w:r w:rsidRPr="006571AC">
        <w:rPr>
          <w:rFonts w:asciiTheme="majorBidi" w:hAnsiTheme="majorBidi" w:hint="cs"/>
          <w:sz w:val="27"/>
          <w:rtl/>
        </w:rPr>
        <w:t xml:space="preserve">ع الاستنباطي </w:t>
      </w:r>
      <w:r w:rsidR="00A960D1" w:rsidRPr="006571AC">
        <w:rPr>
          <w:rFonts w:asciiTheme="majorBidi" w:hAnsiTheme="majorBidi" w:hint="cs"/>
          <w:sz w:val="27"/>
          <w:rtl/>
        </w:rPr>
        <w:t>أ</w:t>
      </w:r>
      <w:r w:rsidRPr="006571AC">
        <w:rPr>
          <w:rFonts w:asciiTheme="majorBidi" w:hAnsiTheme="majorBidi" w:hint="cs"/>
          <w:sz w:val="27"/>
          <w:rtl/>
        </w:rPr>
        <w:t>و الج</w:t>
      </w:r>
      <w:r w:rsidR="00836A19" w:rsidRPr="006571AC">
        <w:rPr>
          <w:rFonts w:asciiTheme="majorBidi" w:hAnsiTheme="majorBidi" w:hint="cs"/>
          <w:sz w:val="27"/>
          <w:rtl/>
        </w:rPr>
        <w:t>َ</w:t>
      </w:r>
      <w:r w:rsidRPr="006571AC">
        <w:rPr>
          <w:rFonts w:asciiTheme="majorBidi" w:hAnsiTheme="majorBidi" w:hint="cs"/>
          <w:sz w:val="27"/>
          <w:rtl/>
        </w:rPr>
        <w:t>م</w:t>
      </w:r>
      <w:r w:rsidR="00836A19" w:rsidRPr="006571AC">
        <w:rPr>
          <w:rFonts w:asciiTheme="majorBidi" w:hAnsiTheme="majorBidi" w:hint="cs"/>
          <w:sz w:val="27"/>
          <w:rtl/>
        </w:rPr>
        <w:t>ْ</w:t>
      </w:r>
      <w:r w:rsidRPr="006571AC">
        <w:rPr>
          <w:rFonts w:asciiTheme="majorBidi" w:hAnsiTheme="majorBidi" w:hint="cs"/>
          <w:sz w:val="27"/>
          <w:rtl/>
        </w:rPr>
        <w:t>ع القواعدي أو الضوابطي</w:t>
      </w:r>
      <w:r w:rsidR="00A960D1" w:rsidRPr="006571AC">
        <w:rPr>
          <w:rFonts w:asciiTheme="majorBidi" w:hAnsiTheme="majorBidi" w:hint="cs"/>
          <w:sz w:val="27"/>
          <w:rtl/>
        </w:rPr>
        <w:t>،</w:t>
      </w:r>
      <w:r w:rsidRPr="006571AC">
        <w:rPr>
          <w:rFonts w:asciiTheme="majorBidi" w:hAnsiTheme="majorBidi" w:hint="cs"/>
          <w:sz w:val="27"/>
          <w:rtl/>
        </w:rPr>
        <w:t xml:space="preserve"> الذي يعتمد منهج خاص</w:t>
      </w:r>
      <w:r w:rsidR="00A960D1" w:rsidRPr="006571AC">
        <w:rPr>
          <w:rFonts w:asciiTheme="majorBidi" w:hAnsiTheme="majorBidi" w:hint="cs"/>
          <w:sz w:val="27"/>
          <w:rtl/>
        </w:rPr>
        <w:t>ّ</w:t>
      </w:r>
      <w:r w:rsidRPr="006571AC">
        <w:rPr>
          <w:rFonts w:asciiTheme="majorBidi" w:hAnsiTheme="majorBidi" w:hint="cs"/>
          <w:sz w:val="27"/>
          <w:rtl/>
        </w:rPr>
        <w:t>ا</w:t>
      </w:r>
      <w:r w:rsidR="00A960D1" w:rsidRPr="006571AC">
        <w:rPr>
          <w:rFonts w:asciiTheme="majorBidi" w:hAnsiTheme="majorBidi" w:hint="cs"/>
          <w:sz w:val="27"/>
          <w:rtl/>
        </w:rPr>
        <w:t>ً</w:t>
      </w:r>
      <w:r w:rsidRPr="006571AC">
        <w:rPr>
          <w:rFonts w:asciiTheme="majorBidi" w:hAnsiTheme="majorBidi" w:hint="cs"/>
          <w:sz w:val="27"/>
          <w:rtl/>
        </w:rPr>
        <w:t xml:space="preserve"> في الجمع بين الروايات المتعارضة</w:t>
      </w:r>
      <w:r w:rsidR="00A960D1" w:rsidRPr="006571AC">
        <w:rPr>
          <w:rFonts w:asciiTheme="majorBidi" w:hAnsiTheme="majorBidi" w:hint="cs"/>
          <w:sz w:val="27"/>
          <w:rtl/>
        </w:rPr>
        <w:t>،</w:t>
      </w:r>
      <w:r w:rsidRPr="006571AC">
        <w:rPr>
          <w:rFonts w:asciiTheme="majorBidi" w:hAnsiTheme="majorBidi" w:hint="cs"/>
          <w:sz w:val="27"/>
          <w:rtl/>
        </w:rPr>
        <w:t xml:space="preserve"> يمكن حمل الروايات المحد</w:t>
      </w:r>
      <w:r w:rsidR="00A960D1" w:rsidRPr="006571AC">
        <w:rPr>
          <w:rFonts w:asciiTheme="majorBidi" w:hAnsiTheme="majorBidi" w:hint="cs"/>
          <w:sz w:val="27"/>
          <w:rtl/>
        </w:rPr>
        <w:t>ِّ</w:t>
      </w:r>
      <w:r w:rsidRPr="006571AC">
        <w:rPr>
          <w:rFonts w:asciiTheme="majorBidi" w:hAnsiTheme="majorBidi" w:hint="cs"/>
          <w:sz w:val="27"/>
          <w:rtl/>
        </w:rPr>
        <w:t>دة للمهر من حيث الكثرة بمهر السن</w:t>
      </w:r>
      <w:r w:rsidR="00A960D1" w:rsidRPr="006571AC">
        <w:rPr>
          <w:rFonts w:asciiTheme="majorBidi" w:hAnsiTheme="majorBidi" w:hint="cs"/>
          <w:sz w:val="27"/>
          <w:rtl/>
        </w:rPr>
        <w:t>ّ</w:t>
      </w:r>
      <w:r w:rsidRPr="006571AC">
        <w:rPr>
          <w:rFonts w:asciiTheme="majorBidi" w:hAnsiTheme="majorBidi" w:hint="cs"/>
          <w:sz w:val="27"/>
          <w:rtl/>
        </w:rPr>
        <w:t>ة على كونه حكما</w:t>
      </w:r>
      <w:r w:rsidR="00A960D1" w:rsidRPr="006571AC">
        <w:rPr>
          <w:rFonts w:asciiTheme="majorBidi" w:hAnsiTheme="majorBidi" w:hint="cs"/>
          <w:sz w:val="27"/>
          <w:rtl/>
        </w:rPr>
        <w:t>ً</w:t>
      </w:r>
      <w:r w:rsidRPr="006571AC">
        <w:rPr>
          <w:rFonts w:asciiTheme="majorBidi" w:hAnsiTheme="majorBidi" w:hint="cs"/>
          <w:sz w:val="27"/>
          <w:rtl/>
        </w:rPr>
        <w:t xml:space="preserve"> ولائي</w:t>
      </w:r>
      <w:r w:rsidR="00A960D1" w:rsidRPr="006571AC">
        <w:rPr>
          <w:rFonts w:asciiTheme="majorBidi" w:hAnsiTheme="majorBidi" w:hint="cs"/>
          <w:sz w:val="27"/>
          <w:rtl/>
        </w:rPr>
        <w:t>ّ</w:t>
      </w:r>
      <w:r w:rsidRPr="006571AC">
        <w:rPr>
          <w:rFonts w:asciiTheme="majorBidi" w:hAnsiTheme="majorBidi" w:hint="cs"/>
          <w:sz w:val="27"/>
          <w:rtl/>
        </w:rPr>
        <w:t>ا</w:t>
      </w:r>
      <w:r w:rsidR="00A960D1" w:rsidRPr="006571AC">
        <w:rPr>
          <w:rFonts w:asciiTheme="majorBidi" w:hAnsiTheme="majorBidi" w:hint="cs"/>
          <w:sz w:val="27"/>
          <w:rtl/>
        </w:rPr>
        <w:t>ً</w:t>
      </w:r>
      <w:r w:rsidRPr="006571AC">
        <w:rPr>
          <w:rFonts w:asciiTheme="majorBidi" w:hAnsiTheme="majorBidi" w:hint="cs"/>
          <w:sz w:val="27"/>
          <w:rtl/>
        </w:rPr>
        <w:t xml:space="preserve"> صدر من ال</w:t>
      </w:r>
      <w:r w:rsidR="00A960D1" w:rsidRPr="006571AC">
        <w:rPr>
          <w:rFonts w:asciiTheme="majorBidi" w:hAnsiTheme="majorBidi" w:hint="cs"/>
          <w:sz w:val="27"/>
          <w:rtl/>
        </w:rPr>
        <w:t>إ</w:t>
      </w:r>
      <w:r w:rsidRPr="006571AC">
        <w:rPr>
          <w:rFonts w:asciiTheme="majorBidi" w:hAnsiTheme="majorBidi" w:hint="cs"/>
          <w:sz w:val="27"/>
          <w:rtl/>
        </w:rPr>
        <w:t>مام من جهة كونه حاكما</w:t>
      </w:r>
      <w:r w:rsidR="00A960D1" w:rsidRPr="006571AC">
        <w:rPr>
          <w:rFonts w:asciiTheme="majorBidi" w:hAnsiTheme="majorBidi" w:hint="cs"/>
          <w:sz w:val="27"/>
          <w:rtl/>
        </w:rPr>
        <w:t>ً</w:t>
      </w:r>
      <w:r w:rsidRPr="006571AC">
        <w:rPr>
          <w:rFonts w:asciiTheme="majorBidi" w:hAnsiTheme="majorBidi" w:hint="cs"/>
          <w:sz w:val="27"/>
          <w:rtl/>
        </w:rPr>
        <w:t xml:space="preserve"> وولي</w:t>
      </w:r>
      <w:r w:rsidR="00A960D1" w:rsidRPr="006571AC">
        <w:rPr>
          <w:rFonts w:asciiTheme="majorBidi" w:hAnsiTheme="majorBidi" w:hint="cs"/>
          <w:sz w:val="27"/>
          <w:rtl/>
        </w:rPr>
        <w:t>ّ</w:t>
      </w:r>
      <w:r w:rsidRPr="006571AC">
        <w:rPr>
          <w:rFonts w:asciiTheme="majorBidi" w:hAnsiTheme="majorBidi" w:hint="cs"/>
          <w:sz w:val="27"/>
          <w:rtl/>
        </w:rPr>
        <w:t xml:space="preserve">اً. </w:t>
      </w:r>
    </w:p>
    <w:p w:rsidR="00237EB1" w:rsidRPr="006571AC" w:rsidRDefault="00237EB1" w:rsidP="000D15D9">
      <w:pPr>
        <w:rPr>
          <w:rFonts w:asciiTheme="majorBidi" w:hAnsiTheme="majorBidi"/>
          <w:sz w:val="27"/>
          <w:rtl/>
        </w:rPr>
      </w:pPr>
      <w:r w:rsidRPr="006571AC">
        <w:rPr>
          <w:rFonts w:asciiTheme="majorBidi" w:hAnsiTheme="majorBidi" w:hint="cs"/>
          <w:sz w:val="27"/>
          <w:rtl/>
        </w:rPr>
        <w:t>11ـ كذلك</w:t>
      </w:r>
      <w:r w:rsidRPr="006571AC">
        <w:rPr>
          <w:rFonts w:asciiTheme="majorBidi" w:hAnsiTheme="majorBidi"/>
          <w:sz w:val="27"/>
          <w:rtl/>
        </w:rPr>
        <w:t xml:space="preserve"> </w:t>
      </w:r>
      <w:r w:rsidRPr="006571AC">
        <w:rPr>
          <w:rFonts w:asciiTheme="majorBidi" w:hAnsiTheme="majorBidi" w:hint="cs"/>
          <w:sz w:val="27"/>
          <w:rtl/>
        </w:rPr>
        <w:t>إن</w:t>
      </w:r>
      <w:r w:rsidRPr="006571AC">
        <w:rPr>
          <w:rFonts w:asciiTheme="majorBidi" w:hAnsiTheme="majorBidi"/>
          <w:sz w:val="27"/>
          <w:rtl/>
        </w:rPr>
        <w:t xml:space="preserve"> </w:t>
      </w:r>
      <w:r w:rsidRPr="006571AC">
        <w:rPr>
          <w:rFonts w:asciiTheme="majorBidi" w:hAnsiTheme="majorBidi" w:hint="cs"/>
          <w:sz w:val="27"/>
          <w:rtl/>
        </w:rPr>
        <w:t>ال</w:t>
      </w:r>
      <w:r w:rsidR="00A960D1" w:rsidRPr="006571AC">
        <w:rPr>
          <w:rFonts w:asciiTheme="majorBidi" w:hAnsiTheme="majorBidi" w:hint="cs"/>
          <w:sz w:val="27"/>
          <w:rtl/>
        </w:rPr>
        <w:t>إ</w:t>
      </w:r>
      <w:r w:rsidRPr="006571AC">
        <w:rPr>
          <w:rFonts w:asciiTheme="majorBidi" w:hAnsiTheme="majorBidi" w:hint="cs"/>
          <w:sz w:val="27"/>
          <w:rtl/>
        </w:rPr>
        <w:t>صل</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تشريع</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القانون</w:t>
      </w:r>
      <w:r w:rsidRPr="006571AC">
        <w:rPr>
          <w:rFonts w:asciiTheme="majorBidi" w:hAnsiTheme="majorBidi"/>
          <w:sz w:val="27"/>
          <w:rtl/>
        </w:rPr>
        <w:t xml:space="preserve"> </w:t>
      </w:r>
      <w:r w:rsidRPr="006571AC">
        <w:rPr>
          <w:rFonts w:asciiTheme="majorBidi" w:hAnsiTheme="majorBidi" w:hint="cs"/>
          <w:sz w:val="27"/>
          <w:rtl/>
        </w:rPr>
        <w:t>ال</w:t>
      </w:r>
      <w:r w:rsidR="00A960D1" w:rsidRPr="006571AC">
        <w:rPr>
          <w:rFonts w:asciiTheme="majorBidi" w:hAnsiTheme="majorBidi" w:hint="cs"/>
          <w:sz w:val="27"/>
          <w:rtl/>
        </w:rPr>
        <w:t>إ</w:t>
      </w:r>
      <w:r w:rsidRPr="006571AC">
        <w:rPr>
          <w:rFonts w:asciiTheme="majorBidi" w:hAnsiTheme="majorBidi" w:hint="cs"/>
          <w:sz w:val="27"/>
          <w:rtl/>
        </w:rPr>
        <w:t>يراني</w:t>
      </w:r>
      <w:r w:rsidRPr="006571AC">
        <w:rPr>
          <w:rFonts w:asciiTheme="majorBidi" w:hAnsiTheme="majorBidi"/>
          <w:sz w:val="27"/>
          <w:rtl/>
        </w:rPr>
        <w:t xml:space="preserve"> </w:t>
      </w:r>
      <w:r w:rsidRPr="006571AC">
        <w:rPr>
          <w:rFonts w:asciiTheme="majorBidi" w:hAnsiTheme="majorBidi" w:hint="cs"/>
          <w:sz w:val="27"/>
          <w:rtl/>
        </w:rPr>
        <w:t>هو</w:t>
      </w:r>
      <w:r w:rsidRPr="006571AC">
        <w:rPr>
          <w:rFonts w:asciiTheme="majorBidi" w:hAnsiTheme="majorBidi"/>
          <w:sz w:val="27"/>
          <w:rtl/>
        </w:rPr>
        <w:t xml:space="preserve"> </w:t>
      </w:r>
      <w:r w:rsidRPr="006571AC">
        <w:rPr>
          <w:rFonts w:asciiTheme="majorBidi" w:hAnsiTheme="majorBidi" w:hint="cs"/>
          <w:sz w:val="27"/>
          <w:rtl/>
        </w:rPr>
        <w:t>ال</w:t>
      </w:r>
      <w:r w:rsidR="00A960D1" w:rsidRPr="006571AC">
        <w:rPr>
          <w:rFonts w:asciiTheme="majorBidi" w:hAnsiTheme="majorBidi" w:hint="cs"/>
          <w:sz w:val="27"/>
          <w:rtl/>
        </w:rPr>
        <w:t>إ</w:t>
      </w:r>
      <w:r w:rsidRPr="006571AC">
        <w:rPr>
          <w:rFonts w:asciiTheme="majorBidi" w:hAnsiTheme="majorBidi" w:hint="cs"/>
          <w:sz w:val="27"/>
          <w:rtl/>
        </w:rPr>
        <w:t>طلاق</w:t>
      </w:r>
      <w:r w:rsidRPr="006571AC">
        <w:rPr>
          <w:rFonts w:asciiTheme="majorBidi" w:hAnsiTheme="majorBidi"/>
          <w:sz w:val="27"/>
          <w:rtl/>
        </w:rPr>
        <w:t xml:space="preserve"> </w:t>
      </w:r>
      <w:r w:rsidRPr="006571AC">
        <w:rPr>
          <w:rFonts w:asciiTheme="majorBidi" w:hAnsiTheme="majorBidi" w:hint="cs"/>
          <w:sz w:val="27"/>
          <w:rtl/>
        </w:rPr>
        <w:t>وعدم</w:t>
      </w:r>
      <w:r w:rsidRPr="006571AC">
        <w:rPr>
          <w:rFonts w:asciiTheme="majorBidi" w:hAnsiTheme="majorBidi"/>
          <w:sz w:val="27"/>
          <w:rtl/>
        </w:rPr>
        <w:t xml:space="preserve"> </w:t>
      </w:r>
      <w:r w:rsidRPr="006571AC">
        <w:rPr>
          <w:rFonts w:asciiTheme="majorBidi" w:hAnsiTheme="majorBidi" w:hint="cs"/>
          <w:sz w:val="27"/>
          <w:rtl/>
        </w:rPr>
        <w:t>التقييد</w:t>
      </w:r>
      <w:r w:rsidR="00A960D1"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إلاّ</w:t>
      </w:r>
      <w:r w:rsidRPr="006571AC">
        <w:rPr>
          <w:rFonts w:asciiTheme="majorBidi" w:hAnsiTheme="majorBidi"/>
          <w:sz w:val="27"/>
          <w:rtl/>
        </w:rPr>
        <w:t xml:space="preserve"> </w:t>
      </w:r>
      <w:r w:rsidRPr="006571AC">
        <w:rPr>
          <w:rFonts w:asciiTheme="majorBidi" w:hAnsiTheme="majorBidi" w:hint="cs"/>
          <w:sz w:val="27"/>
          <w:rtl/>
        </w:rPr>
        <w:t>أنه</w:t>
      </w:r>
      <w:r w:rsidRPr="006571AC">
        <w:rPr>
          <w:rFonts w:asciiTheme="majorBidi" w:hAnsiTheme="majorBidi"/>
          <w:sz w:val="27"/>
          <w:rtl/>
        </w:rPr>
        <w:t xml:space="preserve"> </w:t>
      </w:r>
      <w:r w:rsidRPr="006571AC">
        <w:rPr>
          <w:rFonts w:asciiTheme="majorBidi" w:hAnsiTheme="majorBidi" w:hint="cs"/>
          <w:sz w:val="27"/>
          <w:rtl/>
        </w:rPr>
        <w:t>تم</w:t>
      </w:r>
      <w:r w:rsidR="00A960D1"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السنوات</w:t>
      </w:r>
      <w:r w:rsidRPr="006571AC">
        <w:rPr>
          <w:rFonts w:asciiTheme="majorBidi" w:hAnsiTheme="majorBidi"/>
          <w:sz w:val="27"/>
          <w:rtl/>
        </w:rPr>
        <w:t xml:space="preserve"> </w:t>
      </w:r>
      <w:r w:rsidRPr="006571AC">
        <w:rPr>
          <w:rFonts w:asciiTheme="majorBidi" w:hAnsiTheme="majorBidi" w:hint="cs"/>
          <w:sz w:val="27"/>
          <w:rtl/>
        </w:rPr>
        <w:t>الأخيرة</w:t>
      </w:r>
      <w:r w:rsidRPr="006571AC">
        <w:rPr>
          <w:rFonts w:asciiTheme="majorBidi" w:hAnsiTheme="majorBidi"/>
          <w:sz w:val="27"/>
          <w:rtl/>
        </w:rPr>
        <w:t xml:space="preserve"> </w:t>
      </w:r>
      <w:r w:rsidRPr="006571AC">
        <w:rPr>
          <w:rFonts w:asciiTheme="majorBidi" w:hAnsiTheme="majorBidi" w:hint="cs"/>
          <w:sz w:val="27"/>
          <w:rtl/>
        </w:rPr>
        <w:t>تشريع</w:t>
      </w:r>
      <w:r w:rsidRPr="006571AC">
        <w:rPr>
          <w:rFonts w:asciiTheme="majorBidi" w:hAnsiTheme="majorBidi"/>
          <w:sz w:val="27"/>
          <w:rtl/>
        </w:rPr>
        <w:t xml:space="preserve"> </w:t>
      </w:r>
      <w:r w:rsidRPr="006571AC">
        <w:rPr>
          <w:rFonts w:asciiTheme="majorBidi" w:hAnsiTheme="majorBidi" w:hint="cs"/>
          <w:sz w:val="27"/>
          <w:rtl/>
        </w:rPr>
        <w:t>مواد</w:t>
      </w:r>
      <w:r w:rsidR="00A960D1"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تنصّ</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وضع</w:t>
      </w:r>
      <w:r w:rsidRPr="006571AC">
        <w:rPr>
          <w:rFonts w:asciiTheme="majorBidi" w:hAnsiTheme="majorBidi"/>
          <w:sz w:val="27"/>
          <w:rtl/>
        </w:rPr>
        <w:t xml:space="preserve"> </w:t>
      </w:r>
      <w:r w:rsidRPr="006571AC">
        <w:rPr>
          <w:rFonts w:asciiTheme="majorBidi" w:hAnsiTheme="majorBidi" w:hint="cs"/>
          <w:sz w:val="27"/>
          <w:rtl/>
        </w:rPr>
        <w:t>م</w:t>
      </w:r>
      <w:r w:rsidR="00A960D1" w:rsidRPr="006571AC">
        <w:rPr>
          <w:rFonts w:asciiTheme="majorBidi" w:hAnsiTheme="majorBidi" w:hint="cs"/>
          <w:sz w:val="27"/>
          <w:rtl/>
        </w:rPr>
        <w:t>قدارٍ</w:t>
      </w:r>
      <w:r w:rsidRPr="006571AC">
        <w:rPr>
          <w:rFonts w:asciiTheme="majorBidi" w:hAnsiTheme="majorBidi"/>
          <w:sz w:val="27"/>
          <w:rtl/>
        </w:rPr>
        <w:t xml:space="preserve"> </w:t>
      </w:r>
      <w:r w:rsidRPr="006571AC">
        <w:rPr>
          <w:rFonts w:asciiTheme="majorBidi" w:hAnsiTheme="majorBidi" w:hint="cs"/>
          <w:sz w:val="27"/>
          <w:rtl/>
        </w:rPr>
        <w:t>محد</w:t>
      </w:r>
      <w:r w:rsidR="00A960D1" w:rsidRPr="006571AC">
        <w:rPr>
          <w:rFonts w:asciiTheme="majorBidi" w:hAnsiTheme="majorBidi" w:hint="cs"/>
          <w:sz w:val="27"/>
          <w:rtl/>
        </w:rPr>
        <w:t>َّ</w:t>
      </w:r>
      <w:r w:rsidRPr="006571AC">
        <w:rPr>
          <w:rFonts w:asciiTheme="majorBidi" w:hAnsiTheme="majorBidi" w:hint="cs"/>
          <w:sz w:val="27"/>
          <w:rtl/>
        </w:rPr>
        <w:t>د</w:t>
      </w:r>
      <w:r w:rsidRPr="006571AC">
        <w:rPr>
          <w:rFonts w:asciiTheme="majorBidi" w:hAnsiTheme="majorBidi"/>
          <w:sz w:val="27"/>
          <w:rtl/>
        </w:rPr>
        <w:t xml:space="preserve"> </w:t>
      </w:r>
      <w:r w:rsidRPr="006571AC">
        <w:rPr>
          <w:rFonts w:asciiTheme="majorBidi" w:hAnsiTheme="majorBidi" w:hint="cs"/>
          <w:sz w:val="27"/>
          <w:rtl/>
        </w:rPr>
        <w:t>للمهر</w:t>
      </w:r>
      <w:r w:rsidR="00A960D1"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وهو</w:t>
      </w:r>
      <w:r w:rsidRPr="006571AC">
        <w:rPr>
          <w:rFonts w:asciiTheme="majorBidi" w:hAnsiTheme="majorBidi"/>
          <w:sz w:val="27"/>
          <w:rtl/>
        </w:rPr>
        <w:t xml:space="preserve"> 110 </w:t>
      </w:r>
      <w:r w:rsidRPr="006571AC">
        <w:rPr>
          <w:rFonts w:asciiTheme="majorBidi" w:hAnsiTheme="majorBidi" w:hint="cs"/>
          <w:sz w:val="27"/>
          <w:rtl/>
        </w:rPr>
        <w:t>قطع</w:t>
      </w:r>
      <w:r w:rsidRPr="006571AC">
        <w:rPr>
          <w:rFonts w:asciiTheme="majorBidi" w:hAnsiTheme="majorBidi"/>
          <w:sz w:val="27"/>
          <w:rtl/>
        </w:rPr>
        <w:t xml:space="preserve"> </w:t>
      </w:r>
      <w:r w:rsidRPr="006571AC">
        <w:rPr>
          <w:rFonts w:asciiTheme="majorBidi" w:hAnsiTheme="majorBidi" w:hint="cs"/>
          <w:sz w:val="27"/>
          <w:rtl/>
        </w:rPr>
        <w:t xml:space="preserve">معدنية. </w:t>
      </w:r>
      <w:bookmarkStart w:id="297" w:name="_Toc79281948"/>
    </w:p>
    <w:bookmarkEnd w:id="297"/>
    <w:p w:rsidR="009B689F" w:rsidRPr="006571AC" w:rsidRDefault="009B689F" w:rsidP="00E60D93">
      <w:pPr>
        <w:rPr>
          <w:rtl/>
        </w:rPr>
      </w:pPr>
    </w:p>
    <w:p w:rsidR="00E83C22" w:rsidRPr="006571AC" w:rsidRDefault="00E83C22" w:rsidP="00E60D93">
      <w:pPr>
        <w:rPr>
          <w:rtl/>
        </w:rPr>
      </w:pPr>
    </w:p>
    <w:p w:rsidR="00836A19" w:rsidRPr="006571AC" w:rsidRDefault="00836A19" w:rsidP="00E60D93">
      <w:pPr>
        <w:rPr>
          <w:rtl/>
        </w:rPr>
      </w:pPr>
    </w:p>
    <w:p w:rsidR="00C56D60" w:rsidRPr="006571AC" w:rsidRDefault="00C56D60" w:rsidP="00E60D93">
      <w:pPr>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lastRenderedPageBreak/>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80"/>
          <w:headerReference w:type="default" r:id="rId81"/>
          <w:footerReference w:type="even" r:id="rId82"/>
          <w:footerReference w:type="default" r:id="rId8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84"/>
          <w:headerReference w:type="default" r:id="rId85"/>
          <w:footerReference w:type="even" r:id="rId86"/>
          <w:footerReference w:type="default" r:id="rId87"/>
          <w:headerReference w:type="first" r:id="rId8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AC7492">
      <w:pPr>
        <w:spacing w:line="360" w:lineRule="exact"/>
        <w:rPr>
          <w:rtl/>
        </w:rPr>
      </w:pPr>
    </w:p>
    <w:p w:rsidR="00E83C22" w:rsidRPr="006571AC" w:rsidRDefault="00E83C22" w:rsidP="00C56D60">
      <w:pPr>
        <w:spacing w:line="340" w:lineRule="exact"/>
        <w:rPr>
          <w:rtl/>
        </w:rPr>
      </w:pPr>
    </w:p>
    <w:p w:rsidR="00E83C22" w:rsidRPr="006571AC" w:rsidRDefault="001667A3" w:rsidP="001667A3">
      <w:pPr>
        <w:pStyle w:val="10"/>
        <w:spacing w:line="216" w:lineRule="auto"/>
        <w:rPr>
          <w:rtl/>
        </w:rPr>
      </w:pPr>
      <w:bookmarkStart w:id="298" w:name="_Toc114164724"/>
      <w:r w:rsidRPr="006571AC">
        <w:rPr>
          <w:rFonts w:hint="cs"/>
          <w:rtl/>
          <w:lang w:bidi="ar-LB"/>
        </w:rPr>
        <w:t>استنطاق الآيات القرآنيّة</w:t>
      </w:r>
      <w:bookmarkEnd w:id="298"/>
    </w:p>
    <w:p w:rsidR="00E83C22" w:rsidRPr="006571AC" w:rsidRDefault="00EF7DE3" w:rsidP="00971197">
      <w:pPr>
        <w:pStyle w:val="10"/>
        <w:spacing w:line="216" w:lineRule="auto"/>
        <w:rPr>
          <w:sz w:val="26"/>
          <w:szCs w:val="42"/>
          <w:rtl/>
          <w:lang w:bidi="ar-LB"/>
        </w:rPr>
      </w:pPr>
      <w:bookmarkStart w:id="299" w:name="_Toc114164725"/>
      <w:r w:rsidRPr="006571AC">
        <w:rPr>
          <w:rFonts w:hint="cs"/>
          <w:sz w:val="26"/>
          <w:szCs w:val="42"/>
          <w:rtl/>
          <w:lang w:bidi="ar-LB"/>
        </w:rPr>
        <w:t>كشفٌ</w:t>
      </w:r>
      <w:r w:rsidR="001667A3" w:rsidRPr="006571AC">
        <w:rPr>
          <w:rFonts w:hint="cs"/>
          <w:sz w:val="26"/>
          <w:szCs w:val="42"/>
          <w:rtl/>
          <w:lang w:bidi="ar-LB"/>
        </w:rPr>
        <w:t xml:space="preserve"> </w:t>
      </w:r>
      <w:r w:rsidRPr="006571AC">
        <w:rPr>
          <w:rFonts w:hint="cs"/>
          <w:sz w:val="26"/>
          <w:szCs w:val="42"/>
          <w:rtl/>
          <w:lang w:bidi="ar-LB"/>
        </w:rPr>
        <w:t>ل</w:t>
      </w:r>
      <w:r w:rsidR="001667A3" w:rsidRPr="006571AC">
        <w:rPr>
          <w:rFonts w:hint="cs"/>
          <w:sz w:val="26"/>
          <w:szCs w:val="42"/>
          <w:rtl/>
          <w:lang w:bidi="ar-LB"/>
        </w:rPr>
        <w:t>أسباب الافتراق بين العلاّم</w:t>
      </w:r>
      <w:r w:rsidR="00971197" w:rsidRPr="006571AC">
        <w:rPr>
          <w:rFonts w:hint="cs"/>
          <w:sz w:val="26"/>
          <w:szCs w:val="42"/>
          <w:rtl/>
          <w:lang w:bidi="ar-LB"/>
        </w:rPr>
        <w:t>تين</w:t>
      </w:r>
      <w:r w:rsidR="001667A3" w:rsidRPr="006571AC">
        <w:rPr>
          <w:rFonts w:hint="cs"/>
          <w:sz w:val="26"/>
          <w:szCs w:val="42"/>
          <w:rtl/>
          <w:lang w:bidi="ar-LB"/>
        </w:rPr>
        <w:t xml:space="preserve"> الطباطبائي </w:t>
      </w:r>
      <w:r w:rsidR="00971197" w:rsidRPr="006571AC">
        <w:rPr>
          <w:rFonts w:hint="cs"/>
          <w:sz w:val="26"/>
          <w:szCs w:val="42"/>
          <w:rtl/>
          <w:lang w:bidi="ar-LB"/>
        </w:rPr>
        <w:t>و</w:t>
      </w:r>
      <w:r w:rsidR="001667A3" w:rsidRPr="006571AC">
        <w:rPr>
          <w:rFonts w:hint="cs"/>
          <w:sz w:val="26"/>
          <w:szCs w:val="42"/>
          <w:rtl/>
          <w:lang w:bidi="ar-LB"/>
        </w:rPr>
        <w:t>فضل الله</w:t>
      </w:r>
      <w:bookmarkEnd w:id="299"/>
    </w:p>
    <w:p w:rsidR="00E83C22" w:rsidRPr="006571AC" w:rsidRDefault="00E83C22" w:rsidP="00E83C22">
      <w:pPr>
        <w:spacing w:line="300" w:lineRule="exact"/>
        <w:rPr>
          <w:rtl/>
        </w:rPr>
      </w:pPr>
    </w:p>
    <w:p w:rsidR="00E83C22" w:rsidRPr="006571AC" w:rsidRDefault="00534B8B" w:rsidP="00846C68">
      <w:pPr>
        <w:pStyle w:val="Author"/>
        <w:rPr>
          <w:rtl/>
        </w:rPr>
      </w:pPr>
      <w:r w:rsidRPr="006571AC">
        <w:rPr>
          <w:rFonts w:hint="cs"/>
          <w:rtl/>
          <w:lang w:bidi="ar-LB"/>
        </w:rPr>
        <w:t xml:space="preserve">الشيخ </w:t>
      </w:r>
      <w:r w:rsidR="00846C68" w:rsidRPr="006571AC">
        <w:rPr>
          <w:rFonts w:hint="cs"/>
          <w:rtl/>
          <w:lang w:bidi="ar-LB"/>
        </w:rPr>
        <w:t>حسين جهجاه</w:t>
      </w:r>
      <w:r w:rsidR="00527634" w:rsidRPr="006571AC">
        <w:rPr>
          <w:rFonts w:cs="Taher" w:hint="cs"/>
          <w:vertAlign w:val="superscript"/>
          <w:rtl/>
        </w:rPr>
        <w:t>(</w:t>
      </w:r>
      <w:r w:rsidR="00527634" w:rsidRPr="006571AC">
        <w:rPr>
          <w:rFonts w:cs="Taher"/>
          <w:vertAlign w:val="superscript"/>
          <w:rtl/>
        </w:rPr>
        <w:footnoteReference w:customMarkFollows="1" w:id="12"/>
        <w:t>*)</w:t>
      </w:r>
    </w:p>
    <w:p w:rsidR="00E83C22" w:rsidRPr="006571AC" w:rsidRDefault="00E83C22" w:rsidP="00E83C22">
      <w:pPr>
        <w:spacing w:line="300" w:lineRule="exact"/>
        <w:rPr>
          <w:rtl/>
        </w:rPr>
      </w:pPr>
    </w:p>
    <w:p w:rsidR="001667A3" w:rsidRPr="006571AC" w:rsidRDefault="001667A3" w:rsidP="00846C68">
      <w:pPr>
        <w:pStyle w:val="31"/>
        <w:rPr>
          <w:color w:val="auto"/>
          <w:rtl/>
          <w:lang w:bidi="ar-LB"/>
        </w:rPr>
      </w:pPr>
      <w:bookmarkStart w:id="300" w:name="_Toc114164726"/>
      <w:r w:rsidRPr="006571AC">
        <w:rPr>
          <w:color w:val="auto"/>
          <w:rtl/>
          <w:lang w:bidi="ar-LB"/>
        </w:rPr>
        <w:t>تمهيد</w:t>
      </w:r>
      <w:r w:rsidR="00846C68" w:rsidRPr="006571AC">
        <w:rPr>
          <w:rFonts w:hint="cs"/>
          <w:color w:val="auto"/>
          <w:rtl/>
          <w:lang w:bidi="ar-LB"/>
        </w:rPr>
        <w:t>ٌ</w:t>
      </w:r>
      <w:bookmarkEnd w:id="300"/>
    </w:p>
    <w:p w:rsidR="001667A3" w:rsidRPr="006571AC" w:rsidRDefault="001667A3" w:rsidP="000A6B10">
      <w:pPr>
        <w:rPr>
          <w:rFonts w:ascii="Traditional Arabic" w:hAnsi="Traditional Arabic"/>
          <w:sz w:val="27"/>
          <w:rtl/>
          <w:lang w:bidi="ar-LB"/>
        </w:rPr>
      </w:pPr>
      <w:r w:rsidRPr="006571AC">
        <w:rPr>
          <w:rFonts w:ascii="Traditional Arabic" w:hAnsi="Traditional Arabic"/>
          <w:sz w:val="27"/>
          <w:rtl/>
          <w:lang w:bidi="ar-LB"/>
        </w:rPr>
        <w:t>يحتلّ القرآن الكريم مكانة</w:t>
      </w:r>
      <w:r w:rsidR="007336F2" w:rsidRPr="006571AC">
        <w:rPr>
          <w:rFonts w:ascii="Traditional Arabic" w:hAnsi="Traditional Arabic" w:hint="cs"/>
          <w:sz w:val="27"/>
          <w:rtl/>
          <w:lang w:bidi="ar-LB"/>
        </w:rPr>
        <w:t>ً</w:t>
      </w:r>
      <w:r w:rsidRPr="006571AC">
        <w:rPr>
          <w:rFonts w:ascii="Traditional Arabic" w:hAnsi="Traditional Arabic"/>
          <w:sz w:val="27"/>
          <w:rtl/>
          <w:lang w:bidi="ar-LB"/>
        </w:rPr>
        <w:t xml:space="preserve"> عظيمة لدى المسلمين</w:t>
      </w:r>
      <w:r w:rsidR="00971197"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اختلاف انتماءاتهم المعرفي</w:t>
      </w:r>
      <w:r w:rsidRPr="006571AC">
        <w:rPr>
          <w:rFonts w:ascii="Traditional Arabic" w:hAnsi="Traditional Arabic" w:hint="cs"/>
          <w:sz w:val="27"/>
          <w:rtl/>
          <w:lang w:bidi="ar-LB"/>
        </w:rPr>
        <w:t>ّ</w:t>
      </w:r>
      <w:r w:rsidRPr="006571AC">
        <w:rPr>
          <w:rFonts w:ascii="Traditional Arabic" w:hAnsi="Traditional Arabic"/>
          <w:sz w:val="27"/>
          <w:rtl/>
          <w:lang w:bidi="ar-LB"/>
        </w:rPr>
        <w:t>ة</w:t>
      </w:r>
      <w:r w:rsidR="00971197" w:rsidRPr="006571AC">
        <w:rPr>
          <w:rFonts w:ascii="Traditional Arabic" w:hAnsi="Traditional Arabic" w:hint="cs"/>
          <w:sz w:val="27"/>
          <w:rtl/>
          <w:lang w:bidi="ar-LB"/>
        </w:rPr>
        <w:t>؛</w:t>
      </w:r>
      <w:r w:rsidRPr="006571AC">
        <w:rPr>
          <w:rFonts w:ascii="Traditional Arabic" w:hAnsi="Traditional Arabic"/>
          <w:sz w:val="27"/>
          <w:rtl/>
          <w:lang w:bidi="ar-LB"/>
        </w:rPr>
        <w:t xml:space="preserve"> فهو المصدر التشريعي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الأول</w:t>
      </w:r>
      <w:r w:rsidR="00971197" w:rsidRPr="006571AC">
        <w:rPr>
          <w:rFonts w:ascii="Traditional Arabic" w:hAnsi="Traditional Arabic" w:hint="cs"/>
          <w:sz w:val="27"/>
          <w:rtl/>
          <w:lang w:bidi="ar-LB"/>
        </w:rPr>
        <w:t>،</w:t>
      </w:r>
      <w:r w:rsidRPr="006571AC">
        <w:rPr>
          <w:rFonts w:ascii="Traditional Arabic" w:hAnsi="Traditional Arabic"/>
          <w:sz w:val="27"/>
          <w:rtl/>
          <w:lang w:bidi="ar-LB"/>
        </w:rPr>
        <w:t xml:space="preserve"> ومنهج الحياة الذي يضمن للإنسان فيما لو التزم به سعادته وكماله، وكذلك هو يحوي مضامين رفيعة ومعارف عميقة في كاف</w:t>
      </w:r>
      <w:r w:rsidR="00971197" w:rsidRPr="006571AC">
        <w:rPr>
          <w:rFonts w:ascii="Traditional Arabic" w:hAnsi="Traditional Arabic" w:hint="cs"/>
          <w:sz w:val="27"/>
          <w:rtl/>
          <w:lang w:bidi="ar-LB"/>
        </w:rPr>
        <w:t>ّ</w:t>
      </w:r>
      <w:r w:rsidRPr="006571AC">
        <w:rPr>
          <w:rFonts w:ascii="Traditional Arabic" w:hAnsi="Traditional Arabic"/>
          <w:sz w:val="27"/>
          <w:rtl/>
          <w:lang w:bidi="ar-LB"/>
        </w:rPr>
        <w:t>ة المجالات التي تعنيه. من هنا، عَرّ</w:t>
      </w:r>
      <w:r w:rsidR="00971197" w:rsidRPr="006571AC">
        <w:rPr>
          <w:rFonts w:ascii="Traditional Arabic" w:hAnsi="Traditional Arabic" w:hint="cs"/>
          <w:sz w:val="27"/>
          <w:rtl/>
          <w:lang w:bidi="ar-LB"/>
        </w:rPr>
        <w:t>َ</w:t>
      </w:r>
      <w:r w:rsidRPr="006571AC">
        <w:rPr>
          <w:rFonts w:ascii="Traditional Arabic" w:hAnsi="Traditional Arabic"/>
          <w:sz w:val="27"/>
          <w:rtl/>
          <w:lang w:bidi="ar-LB"/>
        </w:rPr>
        <w:t>ف القرآن الكريم نفسَه على أنه كتاب</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هداية</w:t>
      </w:r>
      <w:r w:rsidR="00971197"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w:t>
      </w:r>
      <w:r w:rsidRPr="006571AC">
        <w:rPr>
          <w:rFonts w:ascii="Mosawi" w:hAnsi="Mosawi" w:cs="Mosawi"/>
          <w:sz w:val="24"/>
          <w:szCs w:val="24"/>
          <w:rtl/>
        </w:rPr>
        <w:t>﴿</w:t>
      </w:r>
      <w:r w:rsidRPr="006571AC">
        <w:rPr>
          <w:rFonts w:ascii="Traditional Arabic" w:hAnsi="Traditional Arabic"/>
          <w:b/>
          <w:bCs/>
          <w:sz w:val="27"/>
          <w:rtl/>
          <w:lang w:bidi="ar-LB"/>
        </w:rPr>
        <w:t>إِنَّ هَ</w:t>
      </w:r>
      <w:r w:rsidRPr="006571AC">
        <w:rPr>
          <w:rFonts w:ascii="Traditional Arabic" w:hAnsi="Traditional Arabic" w:hint="cs"/>
          <w:b/>
          <w:bCs/>
          <w:sz w:val="27"/>
          <w:rtl/>
          <w:lang w:bidi="ar-LB"/>
        </w:rPr>
        <w:t>ذَا</w:t>
      </w:r>
      <w:r w:rsidRPr="006571AC">
        <w:rPr>
          <w:rFonts w:ascii="Traditional Arabic" w:hAnsi="Traditional Arabic"/>
          <w:b/>
          <w:bCs/>
          <w:sz w:val="27"/>
          <w:rtl/>
          <w:lang w:bidi="ar-LB"/>
        </w:rPr>
        <w:t xml:space="preserve"> </w:t>
      </w:r>
      <w:r w:rsidRPr="006571AC">
        <w:rPr>
          <w:rFonts w:ascii="Traditional Arabic" w:hAnsi="Traditional Arabic" w:hint="cs"/>
          <w:b/>
          <w:bCs/>
          <w:sz w:val="27"/>
          <w:rtl/>
          <w:lang w:bidi="ar-LB"/>
        </w:rPr>
        <w:t>الْقُرْآنَ</w:t>
      </w:r>
      <w:r w:rsidRPr="006571AC">
        <w:rPr>
          <w:rFonts w:ascii="Traditional Arabic" w:hAnsi="Traditional Arabic"/>
          <w:b/>
          <w:bCs/>
          <w:sz w:val="27"/>
          <w:rtl/>
          <w:lang w:bidi="ar-LB"/>
        </w:rPr>
        <w:t xml:space="preserve"> </w:t>
      </w:r>
      <w:r w:rsidRPr="006571AC">
        <w:rPr>
          <w:rFonts w:ascii="Traditional Arabic" w:hAnsi="Traditional Arabic" w:hint="cs"/>
          <w:b/>
          <w:bCs/>
          <w:sz w:val="27"/>
          <w:rtl/>
          <w:lang w:bidi="ar-LB"/>
        </w:rPr>
        <w:t>يَهْدِي</w:t>
      </w:r>
      <w:r w:rsidRPr="006571AC">
        <w:rPr>
          <w:rFonts w:ascii="Traditional Arabic" w:hAnsi="Traditional Arabic"/>
          <w:b/>
          <w:bCs/>
          <w:sz w:val="27"/>
          <w:rtl/>
          <w:lang w:bidi="ar-LB"/>
        </w:rPr>
        <w:t xml:space="preserve"> </w:t>
      </w:r>
      <w:r w:rsidRPr="006571AC">
        <w:rPr>
          <w:rFonts w:ascii="Traditional Arabic" w:hAnsi="Traditional Arabic" w:hint="cs"/>
          <w:b/>
          <w:bCs/>
          <w:sz w:val="27"/>
          <w:rtl/>
          <w:lang w:bidi="ar-LB"/>
        </w:rPr>
        <w:t>لِلَّتِي</w:t>
      </w:r>
      <w:r w:rsidRPr="006571AC">
        <w:rPr>
          <w:rFonts w:ascii="Traditional Arabic" w:hAnsi="Traditional Arabic"/>
          <w:b/>
          <w:bCs/>
          <w:sz w:val="27"/>
          <w:rtl/>
          <w:lang w:bidi="ar-LB"/>
        </w:rPr>
        <w:t xml:space="preserve"> </w:t>
      </w:r>
      <w:r w:rsidRPr="006571AC">
        <w:rPr>
          <w:rFonts w:ascii="Traditional Arabic" w:hAnsi="Traditional Arabic" w:hint="cs"/>
          <w:b/>
          <w:bCs/>
          <w:sz w:val="27"/>
          <w:rtl/>
          <w:lang w:bidi="ar-LB"/>
        </w:rPr>
        <w:t>هِيَ</w:t>
      </w:r>
      <w:r w:rsidRPr="006571AC">
        <w:rPr>
          <w:rFonts w:ascii="Traditional Arabic" w:hAnsi="Traditional Arabic"/>
          <w:b/>
          <w:bCs/>
          <w:sz w:val="27"/>
          <w:rtl/>
          <w:lang w:bidi="ar-LB"/>
        </w:rPr>
        <w:t xml:space="preserve"> </w:t>
      </w:r>
      <w:r w:rsidRPr="006571AC">
        <w:rPr>
          <w:rFonts w:ascii="Traditional Arabic" w:hAnsi="Traditional Arabic" w:hint="cs"/>
          <w:b/>
          <w:bCs/>
          <w:sz w:val="27"/>
          <w:rtl/>
          <w:lang w:bidi="ar-LB"/>
        </w:rPr>
        <w:t>أَقْوَمُ</w:t>
      </w:r>
      <w:r w:rsidRPr="006571AC">
        <w:rPr>
          <w:rFonts w:ascii="Mosawi" w:hAnsi="Mosawi" w:cs="Mosawi"/>
          <w:sz w:val="24"/>
          <w:szCs w:val="24"/>
          <w:rtl/>
        </w:rPr>
        <w:t>﴾</w:t>
      </w:r>
      <w:r w:rsidRPr="006571AC">
        <w:rPr>
          <w:rFonts w:ascii="Traditional Arabic" w:hAnsi="Traditional Arabic" w:hint="cs"/>
          <w:b/>
          <w:bCs/>
          <w:sz w:val="27"/>
          <w:rtl/>
          <w:lang w:bidi="ar-LB"/>
        </w:rPr>
        <w:t xml:space="preserve"> </w:t>
      </w:r>
      <w:r w:rsidRPr="006571AC">
        <w:rPr>
          <w:rFonts w:ascii="Traditional Arabic" w:hAnsi="Traditional Arabic"/>
          <w:sz w:val="27"/>
          <w:rtl/>
          <w:lang w:bidi="ar-LB"/>
        </w:rPr>
        <w:t>(الإسراء: 9).</w:t>
      </w:r>
      <w:r w:rsidRPr="006571AC">
        <w:rPr>
          <w:rFonts w:ascii="Traditional Arabic" w:hAnsi="Traditional Arabic"/>
          <w:b/>
          <w:bCs/>
          <w:sz w:val="27"/>
          <w:rtl/>
          <w:lang w:bidi="ar-LB"/>
        </w:rPr>
        <w:t xml:space="preserve"> </w:t>
      </w:r>
      <w:r w:rsidRPr="006571AC">
        <w:rPr>
          <w:rFonts w:ascii="Traditional Arabic" w:hAnsi="Traditional Arabic"/>
          <w:sz w:val="27"/>
          <w:rtl/>
          <w:lang w:bidi="ar-LB"/>
        </w:rPr>
        <w:t>وقد عرّ</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ف المسلمون القرآنَ بأنه </w:t>
      </w:r>
      <w:r w:rsidR="000A6B10" w:rsidRPr="006571AC">
        <w:rPr>
          <w:rFonts w:ascii="Traditional Arabic" w:hAnsi="Traditional Arabic" w:hint="cs"/>
          <w:sz w:val="27"/>
          <w:rtl/>
          <w:lang w:bidi="ar-LB"/>
        </w:rPr>
        <w:t>كل</w:t>
      </w:r>
      <w:r w:rsidRPr="006571AC">
        <w:rPr>
          <w:rFonts w:ascii="Traditional Arabic" w:hAnsi="Traditional Arabic"/>
          <w:sz w:val="27"/>
          <w:rtl/>
          <w:lang w:bidi="ar-LB"/>
        </w:rPr>
        <w:t>ام الله الذي أُنزل من اللوح المحفوظ إلى النبي</w:t>
      </w:r>
      <w:r w:rsidR="00567024"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Traditional Arabic" w:hAnsi="Traditional Arabic"/>
          <w:sz w:val="27"/>
          <w:rtl/>
          <w:lang w:bidi="ar-LB"/>
        </w:rPr>
        <w:t xml:space="preserve"> بواسطة الملاك جبرئيل.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هذا المقدار ات</w:t>
      </w:r>
      <w:r w:rsidR="00567024" w:rsidRPr="006571AC">
        <w:rPr>
          <w:rFonts w:ascii="Traditional Arabic" w:hAnsi="Traditional Arabic" w:hint="cs"/>
          <w:sz w:val="27"/>
          <w:rtl/>
          <w:lang w:bidi="ar-LB"/>
        </w:rPr>
        <w:t>ّ</w:t>
      </w:r>
      <w:r w:rsidRPr="006571AC">
        <w:rPr>
          <w:rFonts w:ascii="Traditional Arabic" w:hAnsi="Traditional Arabic"/>
          <w:sz w:val="27"/>
          <w:rtl/>
          <w:lang w:bidi="ar-LB"/>
        </w:rPr>
        <w:t>فق عليه جميع المسلمين</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وسارت عليه كاف</w:t>
      </w:r>
      <w:r w:rsidR="00567024" w:rsidRPr="006571AC">
        <w:rPr>
          <w:rFonts w:ascii="Traditional Arabic" w:hAnsi="Traditional Arabic" w:hint="cs"/>
          <w:sz w:val="27"/>
          <w:rtl/>
          <w:lang w:bidi="ar-LB"/>
        </w:rPr>
        <w:t>ّ</w:t>
      </w:r>
      <w:r w:rsidRPr="006571AC">
        <w:rPr>
          <w:rFonts w:ascii="Traditional Arabic" w:hAnsi="Traditional Arabic"/>
          <w:sz w:val="27"/>
          <w:rtl/>
          <w:lang w:bidi="ar-LB"/>
        </w:rPr>
        <w:t>ة الاتجاهات المعرفية</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المحد</w:t>
      </w:r>
      <w:r w:rsidR="00567024" w:rsidRPr="006571AC">
        <w:rPr>
          <w:rFonts w:ascii="Traditional Arabic" w:hAnsi="Traditional Arabic" w:hint="cs"/>
          <w:sz w:val="27"/>
          <w:rtl/>
          <w:lang w:bidi="ar-LB"/>
        </w:rPr>
        <w:t>ِّ</w:t>
      </w:r>
      <w:r w:rsidRPr="006571AC">
        <w:rPr>
          <w:rFonts w:ascii="Traditional Arabic" w:hAnsi="Traditional Arabic"/>
          <w:sz w:val="27"/>
          <w:rtl/>
          <w:lang w:bidi="ar-LB"/>
        </w:rPr>
        <w:t>ثين والفقهاء والمتكل</w:t>
      </w:r>
      <w:r w:rsidR="00567024" w:rsidRPr="006571AC">
        <w:rPr>
          <w:rFonts w:ascii="Traditional Arabic" w:hAnsi="Traditional Arabic" w:hint="cs"/>
          <w:sz w:val="27"/>
          <w:rtl/>
          <w:lang w:bidi="ar-LB"/>
        </w:rPr>
        <w:t>ِّ</w:t>
      </w:r>
      <w:r w:rsidRPr="006571AC">
        <w:rPr>
          <w:rFonts w:ascii="Traditional Arabic" w:hAnsi="Traditional Arabic"/>
          <w:sz w:val="27"/>
          <w:rtl/>
          <w:lang w:bidi="ar-LB"/>
        </w:rPr>
        <w:t>مين والفلاسفة، إلاّ أنّ مورد ال</w:t>
      </w:r>
      <w:r w:rsidR="00567024" w:rsidRPr="006571AC">
        <w:rPr>
          <w:rFonts w:ascii="Traditional Arabic" w:hAnsi="Traditional Arabic" w:hint="cs"/>
          <w:sz w:val="27"/>
          <w:rtl/>
          <w:lang w:bidi="ar-LB"/>
        </w:rPr>
        <w:t>ا</w:t>
      </w:r>
      <w:r w:rsidRPr="006571AC">
        <w:rPr>
          <w:rFonts w:ascii="Traditional Arabic" w:hAnsi="Traditional Arabic"/>
          <w:sz w:val="27"/>
          <w:rtl/>
          <w:lang w:bidi="ar-LB"/>
        </w:rPr>
        <w:t>تفاق هذا لم يكن كافيا</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لضمان عدم الاختلاف في كيفية </w:t>
      </w:r>
      <w:r w:rsidRPr="006571AC">
        <w:rPr>
          <w:rFonts w:ascii="Traditional Arabic" w:hAnsi="Traditional Arabic" w:hint="cs"/>
          <w:sz w:val="27"/>
          <w:rtl/>
          <w:lang w:bidi="ar-LB"/>
        </w:rPr>
        <w:t>ا</w:t>
      </w:r>
      <w:r w:rsidRPr="006571AC">
        <w:rPr>
          <w:rFonts w:ascii="Traditional Arabic" w:hAnsi="Traditional Arabic"/>
          <w:sz w:val="27"/>
          <w:rtl/>
          <w:lang w:bidi="ar-LB"/>
        </w:rPr>
        <w:t>ستنطاق القرآن</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للكشف عن مدلولاته، فوقع الخلاف الكبير بين المفس</w:t>
      </w:r>
      <w:r w:rsidR="00567024" w:rsidRPr="006571AC">
        <w:rPr>
          <w:rFonts w:ascii="Traditional Arabic" w:hAnsi="Traditional Arabic" w:hint="cs"/>
          <w:sz w:val="27"/>
          <w:rtl/>
          <w:lang w:bidi="ar-LB"/>
        </w:rPr>
        <w:t>ِّ</w:t>
      </w:r>
      <w:r w:rsidRPr="006571AC">
        <w:rPr>
          <w:rFonts w:ascii="Traditional Arabic" w:hAnsi="Traditional Arabic"/>
          <w:sz w:val="27"/>
          <w:rtl/>
          <w:lang w:bidi="ar-LB"/>
        </w:rPr>
        <w:t>رين في اختيار الأسلوب والمنهج الأصح</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تفسير كتاب الله</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وبرزت نتيجةً لذلك اتجاهات</w:t>
      </w:r>
      <w:r w:rsidR="00567024" w:rsidRPr="006571AC">
        <w:rPr>
          <w:rFonts w:ascii="Traditional Arabic" w:hAnsi="Traditional Arabic" w:hint="cs"/>
          <w:sz w:val="27"/>
          <w:rtl/>
          <w:lang w:bidi="ar-LB"/>
        </w:rPr>
        <w:t>ٌ</w:t>
      </w:r>
      <w:r w:rsidR="00567024" w:rsidRPr="006571AC">
        <w:rPr>
          <w:rFonts w:ascii="Traditional Arabic" w:hAnsi="Traditional Arabic"/>
          <w:sz w:val="27"/>
          <w:rtl/>
          <w:lang w:bidi="ar-LB"/>
        </w:rPr>
        <w:t xml:space="preserve"> عد</w:t>
      </w:r>
      <w:r w:rsidR="00567024" w:rsidRPr="006571AC">
        <w:rPr>
          <w:rFonts w:ascii="Traditional Arabic" w:hAnsi="Traditional Arabic" w:hint="cs"/>
          <w:sz w:val="27"/>
          <w:rtl/>
          <w:lang w:bidi="ar-LB"/>
        </w:rPr>
        <w:t>يدة</w:t>
      </w:r>
      <w:r w:rsidRPr="006571AC">
        <w:rPr>
          <w:rFonts w:ascii="Traditional Arabic" w:hAnsi="Traditional Arabic"/>
          <w:sz w:val="27"/>
          <w:rtl/>
          <w:lang w:bidi="ar-LB"/>
        </w:rPr>
        <w:t xml:space="preserve">. </w:t>
      </w:r>
    </w:p>
    <w:p w:rsidR="001667A3" w:rsidRPr="006571AC" w:rsidRDefault="001667A3" w:rsidP="000A6B10">
      <w:pPr>
        <w:rPr>
          <w:rFonts w:ascii="Traditional Arabic" w:hAnsi="Traditional Arabic"/>
          <w:sz w:val="27"/>
          <w:rtl/>
          <w:lang w:bidi="ar-LB"/>
        </w:rPr>
      </w:pPr>
      <w:r w:rsidRPr="006571AC">
        <w:rPr>
          <w:rFonts w:ascii="Traditional Arabic" w:hAnsi="Traditional Arabic"/>
          <w:sz w:val="27"/>
          <w:rtl/>
          <w:lang w:bidi="ar-LB"/>
        </w:rPr>
        <w:t>لا نقصد بهذه الاتجاهات المناهجَ التفسيري</w:t>
      </w:r>
      <w:r w:rsidR="00567024" w:rsidRPr="006571AC">
        <w:rPr>
          <w:rFonts w:ascii="Traditional Arabic" w:hAnsi="Traditional Arabic" w:hint="cs"/>
          <w:sz w:val="27"/>
          <w:rtl/>
          <w:lang w:bidi="ar-LB"/>
        </w:rPr>
        <w:t>ّ</w:t>
      </w:r>
      <w:r w:rsidRPr="006571AC">
        <w:rPr>
          <w:rFonts w:ascii="Traditional Arabic" w:hAnsi="Traditional Arabic"/>
          <w:sz w:val="27"/>
          <w:rtl/>
          <w:lang w:bidi="ar-LB"/>
        </w:rPr>
        <w:t>ة المتعد</w:t>
      </w:r>
      <w:r w:rsidR="00567024" w:rsidRPr="006571AC">
        <w:rPr>
          <w:rFonts w:ascii="Traditional Arabic" w:hAnsi="Traditional Arabic" w:hint="cs"/>
          <w:sz w:val="27"/>
          <w:rtl/>
          <w:lang w:bidi="ar-LB"/>
        </w:rPr>
        <w:t>ِّ</w:t>
      </w:r>
      <w:r w:rsidRPr="006571AC">
        <w:rPr>
          <w:rFonts w:ascii="Traditional Arabic" w:hAnsi="Traditional Arabic"/>
          <w:sz w:val="27"/>
          <w:rtl/>
          <w:lang w:bidi="ar-LB"/>
        </w:rPr>
        <w:t>دة المذكورة في الكتب التي تتناول مناهج التفسير مقارنة</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وش</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ر</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حا</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كالمنهج الفلسفي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والأثري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وغيرهما، بل المقصود أن المطالع لتفاسير العلماء يرى سريعا</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وبوضوح</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تمايزهم في</w:t>
      </w:r>
      <w:r w:rsidRPr="006571AC">
        <w:rPr>
          <w:rFonts w:ascii="Traditional Arabic" w:hAnsi="Traditional Arabic"/>
          <w:sz w:val="27"/>
          <w:lang w:bidi="ar-LB"/>
        </w:rPr>
        <w:t xml:space="preserve"> </w:t>
      </w:r>
      <w:r w:rsidRPr="006571AC">
        <w:rPr>
          <w:rFonts w:ascii="Traditional Arabic" w:hAnsi="Traditional Arabic"/>
          <w:sz w:val="27"/>
          <w:rtl/>
          <w:lang w:bidi="ar-LB"/>
        </w:rPr>
        <w:t>التعامل مع القرآن و</w:t>
      </w:r>
      <w:r w:rsidR="00C56D60" w:rsidRPr="006571AC">
        <w:rPr>
          <w:rFonts w:ascii="Traditional Arabic" w:hAnsi="Traditional Arabic" w:hint="cs"/>
          <w:sz w:val="27"/>
          <w:rtl/>
          <w:lang w:bidi="ar-LB"/>
        </w:rPr>
        <w:t>ا</w:t>
      </w:r>
      <w:r w:rsidRPr="006571AC">
        <w:rPr>
          <w:rFonts w:ascii="Traditional Arabic" w:hAnsi="Traditional Arabic"/>
          <w:sz w:val="27"/>
          <w:rtl/>
          <w:lang w:bidi="ar-LB"/>
        </w:rPr>
        <w:t>ستنطاق الآيات القرآنية كم</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ا</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ون</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و</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عا</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6521EE" w:rsidRPr="006571AC">
        <w:rPr>
          <w:rFonts w:ascii="Traditional Arabic" w:hAnsi="Traditional Arabic" w:hint="cs"/>
          <w:sz w:val="27"/>
          <w:rtl/>
          <w:lang w:bidi="ar-LB"/>
        </w:rPr>
        <w:t>ف</w:t>
      </w:r>
      <w:r w:rsidRPr="006571AC">
        <w:rPr>
          <w:rFonts w:ascii="Traditional Arabic" w:hAnsi="Traditional Arabic"/>
          <w:sz w:val="27"/>
          <w:rtl/>
          <w:lang w:bidi="ar-LB"/>
        </w:rPr>
        <w:t>على سبيل المثال</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تفسير الآية التالية</w:t>
      </w:r>
      <w:r w:rsidRPr="006571AC">
        <w:rPr>
          <w:rFonts w:ascii="Traditional Arabic" w:hAnsi="Traditional Arabic" w:hint="cs"/>
          <w:sz w:val="27"/>
          <w:rtl/>
          <w:lang w:bidi="ar-LB"/>
        </w:rPr>
        <w:t xml:space="preserve">: </w:t>
      </w:r>
      <w:r w:rsidRPr="006571AC">
        <w:rPr>
          <w:rFonts w:ascii="Mosawi" w:hAnsi="Mosawi" w:cs="Mosawi"/>
          <w:sz w:val="24"/>
          <w:szCs w:val="24"/>
          <w:rtl/>
        </w:rPr>
        <w:t>﴿</w:t>
      </w:r>
      <w:r w:rsidRPr="006571AC">
        <w:rPr>
          <w:rFonts w:ascii="Traditional Arabic" w:hAnsi="Traditional Arabic"/>
          <w:b/>
          <w:bCs/>
          <w:sz w:val="27"/>
          <w:rtl/>
          <w:lang w:bidi="ar-LB"/>
        </w:rPr>
        <w:t xml:space="preserve">يَوْمَ </w:t>
      </w:r>
      <w:r w:rsidR="006521EE" w:rsidRPr="006571AC">
        <w:rPr>
          <w:rFonts w:ascii="Traditional Arabic" w:hAnsi="Traditional Arabic"/>
          <w:b/>
          <w:bCs/>
          <w:sz w:val="27"/>
          <w:rtl/>
          <w:lang w:bidi="ar-LB"/>
        </w:rPr>
        <w:t>نَقُولُ لِجَهَنَّمَ هَلِ امْتَل</w:t>
      </w:r>
      <w:r w:rsidRPr="006571AC">
        <w:rPr>
          <w:rFonts w:ascii="Traditional Arabic" w:hAnsi="Traditional Arabic"/>
          <w:b/>
          <w:bCs/>
          <w:sz w:val="27"/>
          <w:rtl/>
          <w:lang w:bidi="ar-LB"/>
        </w:rPr>
        <w:t>أْتِ وَتَقُولُ هَلْ مِن</w:t>
      </w:r>
      <w:r w:rsidR="006521EE" w:rsidRPr="006571AC">
        <w:rPr>
          <w:rFonts w:ascii="Traditional Arabic" w:hAnsi="Traditional Arabic" w:hint="cs"/>
          <w:b/>
          <w:bCs/>
          <w:sz w:val="27"/>
          <w:rtl/>
          <w:lang w:bidi="ar-LB"/>
        </w:rPr>
        <w:t>ْ</w:t>
      </w:r>
      <w:r w:rsidR="006521EE" w:rsidRPr="006571AC">
        <w:rPr>
          <w:rFonts w:ascii="Traditional Arabic" w:hAnsi="Traditional Arabic"/>
          <w:b/>
          <w:bCs/>
          <w:sz w:val="27"/>
          <w:rtl/>
          <w:lang w:bidi="ar-LB"/>
        </w:rPr>
        <w:t xml:space="preserve"> م</w:t>
      </w:r>
      <w:r w:rsidR="006521EE" w:rsidRPr="006571AC">
        <w:rPr>
          <w:rFonts w:ascii="Traditional Arabic" w:hAnsi="Traditional Arabic" w:hint="cs"/>
          <w:b/>
          <w:bCs/>
          <w:sz w:val="27"/>
          <w:rtl/>
          <w:lang w:bidi="ar-LB"/>
        </w:rPr>
        <w:t>َ</w:t>
      </w:r>
      <w:r w:rsidRPr="006571AC">
        <w:rPr>
          <w:rFonts w:ascii="Traditional Arabic" w:hAnsi="Traditional Arabic"/>
          <w:b/>
          <w:bCs/>
          <w:sz w:val="27"/>
          <w:rtl/>
          <w:lang w:bidi="ar-LB"/>
        </w:rPr>
        <w:t>زِيدٍ</w:t>
      </w:r>
      <w:r w:rsidRPr="006571AC">
        <w:rPr>
          <w:rFonts w:ascii="Mosawi" w:hAnsi="Mosawi" w:cs="Mosawi"/>
          <w:sz w:val="24"/>
          <w:szCs w:val="24"/>
          <w:rtl/>
        </w:rPr>
        <w:t>﴾</w:t>
      </w:r>
      <w:r w:rsidRPr="006571AC">
        <w:rPr>
          <w:rFonts w:ascii="Traditional Arabic" w:hAnsi="Traditional Arabic"/>
          <w:b/>
          <w:bCs/>
          <w:sz w:val="27"/>
          <w:rtl/>
          <w:lang w:bidi="ar-LB"/>
        </w:rPr>
        <w:t xml:space="preserve"> (</w:t>
      </w:r>
      <w:r w:rsidRPr="006571AC">
        <w:rPr>
          <w:rFonts w:ascii="Traditional Arabic" w:hAnsi="Traditional Arabic"/>
          <w:sz w:val="27"/>
          <w:rtl/>
          <w:lang w:bidi="ar-LB"/>
        </w:rPr>
        <w:t>ق: 30) ذهب بعض المفس</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رين إلى </w:t>
      </w:r>
      <w:r w:rsidRPr="006571AC">
        <w:rPr>
          <w:rFonts w:ascii="Traditional Arabic" w:hAnsi="Traditional Arabic"/>
          <w:sz w:val="27"/>
          <w:rtl/>
          <w:lang w:bidi="ar-LB"/>
        </w:rPr>
        <w:lastRenderedPageBreak/>
        <w:t>أنها مجر</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د تصوير كنائي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ات</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ساع جهنم لكل</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الكف</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ار والمجرمين</w:t>
      </w:r>
      <w:r w:rsidR="006521EE" w:rsidRPr="006571AC">
        <w:rPr>
          <w:rFonts w:ascii="Traditional Arabic" w:hAnsi="Traditional Arabic" w:hint="cs"/>
          <w:sz w:val="27"/>
          <w:rtl/>
          <w:lang w:bidi="ar-LB"/>
        </w:rPr>
        <w:t xml:space="preserve">، </w:t>
      </w:r>
      <w:r w:rsidRPr="006571AC">
        <w:rPr>
          <w:rFonts w:ascii="Traditional Arabic" w:hAnsi="Traditional Arabic"/>
          <w:sz w:val="27"/>
          <w:rtl/>
          <w:lang w:bidi="ar-LB"/>
        </w:rPr>
        <w:t>حيث إنها لا تضيق بهم مهما كبر عددهم</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60"/>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فلا دلالة للآية على أكثر من ذلك</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غير أن بعض</w:t>
      </w:r>
      <w:r w:rsidR="000A6B10" w:rsidRPr="006571AC">
        <w:rPr>
          <w:rFonts w:ascii="Traditional Arabic" w:hAnsi="Traditional Arabic" w:hint="cs"/>
          <w:sz w:val="27"/>
          <w:rtl/>
          <w:lang w:bidi="ar-LB"/>
        </w:rPr>
        <w:t>هم</w:t>
      </w:r>
      <w:r w:rsidRPr="006571AC">
        <w:rPr>
          <w:rFonts w:ascii="Traditional Arabic" w:hAnsi="Traditional Arabic"/>
          <w:sz w:val="27"/>
          <w:rtl/>
          <w:lang w:bidi="ar-LB"/>
        </w:rPr>
        <w:t xml:space="preserve"> الآخر لم يوافقهم على استفادة هذا المقدار فقط</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واعتبر أن الخطاب والجواب على ظاهره الحقيقي؛ بدلالة أن العلم والشعور سارٍ في جميع الموجودات</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61"/>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وعلى ذلك فجهنم مخلوق</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حيّ</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عاقل</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ي</w:t>
      </w:r>
      <w:r w:rsidR="000A6B10" w:rsidRPr="006571AC">
        <w:rPr>
          <w:rFonts w:ascii="Traditional Arabic" w:hAnsi="Traditional Arabic" w:hint="cs"/>
          <w:sz w:val="27"/>
          <w:rtl/>
          <w:lang w:bidi="ar-LB"/>
        </w:rPr>
        <w:t>ُ</w:t>
      </w:r>
      <w:r w:rsidRPr="006571AC">
        <w:rPr>
          <w:rFonts w:ascii="Traditional Arabic" w:hAnsi="Traditional Arabic"/>
          <w:sz w:val="27"/>
          <w:rtl/>
          <w:lang w:bidi="ar-LB"/>
        </w:rPr>
        <w:t xml:space="preserve">خاطَب و يجيب. </w:t>
      </w:r>
    </w:p>
    <w:p w:rsidR="0042103B" w:rsidRPr="006571AC" w:rsidRDefault="001667A3" w:rsidP="004722E7">
      <w:pPr>
        <w:rPr>
          <w:rFonts w:ascii="Traditional Arabic" w:hAnsi="Traditional Arabic"/>
          <w:sz w:val="27"/>
          <w:rtl/>
          <w:lang w:bidi="ar-LB"/>
        </w:rPr>
      </w:pPr>
      <w:r w:rsidRPr="006571AC">
        <w:rPr>
          <w:rFonts w:ascii="Traditional Arabic" w:hAnsi="Traditional Arabic" w:hint="cs"/>
          <w:b/>
          <w:bCs/>
          <w:sz w:val="27"/>
          <w:rtl/>
          <w:lang w:bidi="ar-LB"/>
        </w:rPr>
        <w:t>إ</w:t>
      </w:r>
      <w:r w:rsidRPr="006571AC">
        <w:rPr>
          <w:rFonts w:ascii="Traditional Arabic" w:hAnsi="Traditional Arabic"/>
          <w:b/>
          <w:bCs/>
          <w:sz w:val="27"/>
          <w:rtl/>
          <w:lang w:bidi="ar-LB"/>
        </w:rPr>
        <w:t>ذن</w:t>
      </w:r>
      <w:r w:rsidRPr="006571AC">
        <w:rPr>
          <w:rFonts w:ascii="Traditional Arabic" w:hAnsi="Traditional Arabic"/>
          <w:sz w:val="27"/>
          <w:rtl/>
          <w:lang w:bidi="ar-LB"/>
        </w:rPr>
        <w:t>، هناك تمايز</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صريح</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بين أصحاب هذين المنهجين على المستوى الدلالي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الكم</w:t>
      </w:r>
      <w:r w:rsidR="006521EE" w:rsidRPr="006571AC">
        <w:rPr>
          <w:rFonts w:ascii="Traditional Arabic" w:hAnsi="Traditional Arabic" w:hint="cs"/>
          <w:sz w:val="27"/>
          <w:rtl/>
          <w:lang w:bidi="ar-LB"/>
        </w:rPr>
        <w:t>ّ</w:t>
      </w:r>
      <w:r w:rsidRPr="006571AC">
        <w:rPr>
          <w:rFonts w:ascii="Traditional Arabic" w:hAnsi="Traditional Arabic"/>
          <w:sz w:val="27"/>
          <w:rtl/>
          <w:lang w:bidi="ar-LB"/>
        </w:rPr>
        <w:t>ي، حيث اكتفى صاحب الرأي الأو</w:t>
      </w:r>
      <w:r w:rsidR="006521EE" w:rsidRPr="006571AC">
        <w:rPr>
          <w:rFonts w:ascii="Traditional Arabic" w:hAnsi="Traditional Arabic" w:hint="cs"/>
          <w:sz w:val="27"/>
          <w:rtl/>
          <w:lang w:bidi="ar-LB"/>
        </w:rPr>
        <w:t>ّ</w:t>
      </w:r>
      <w:r w:rsidRPr="006571AC">
        <w:rPr>
          <w:rFonts w:ascii="Traditional Arabic" w:hAnsi="Traditional Arabic"/>
          <w:sz w:val="27"/>
          <w:rtl/>
          <w:lang w:bidi="ar-LB"/>
        </w:rPr>
        <w:t>ل بدلالة</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واحدة من الآية</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وهي ات</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ساع جهن</w:t>
      </w:r>
      <w:r w:rsidR="006521EE" w:rsidRPr="006571AC">
        <w:rPr>
          <w:rFonts w:ascii="Traditional Arabic" w:hAnsi="Traditional Arabic" w:hint="cs"/>
          <w:sz w:val="27"/>
          <w:rtl/>
          <w:lang w:bidi="ar-LB"/>
        </w:rPr>
        <w:t>ّ</w:t>
      </w:r>
      <w:r w:rsidRPr="006571AC">
        <w:rPr>
          <w:rFonts w:ascii="Traditional Arabic" w:hAnsi="Traditional Arabic"/>
          <w:sz w:val="27"/>
          <w:rtl/>
          <w:lang w:bidi="ar-LB"/>
        </w:rPr>
        <w:t>م، وزاد عليه الثاني دلالة</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أخرى</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هي أنها مخلوق</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حيّ</w:t>
      </w:r>
      <w:r w:rsidR="006521EE" w:rsidRPr="006571AC">
        <w:rPr>
          <w:rFonts w:ascii="Traditional Arabic" w:hAnsi="Traditional Arabic" w:hint="cs"/>
          <w:sz w:val="27"/>
          <w:rtl/>
          <w:lang w:bidi="ar-LB"/>
        </w:rPr>
        <w:t xml:space="preserve">ٌ </w:t>
      </w:r>
      <w:r w:rsidRPr="006571AC">
        <w:rPr>
          <w:rFonts w:ascii="Traditional Arabic" w:hAnsi="Traditional Arabic"/>
          <w:sz w:val="27"/>
          <w:rtl/>
          <w:lang w:bidi="ar-LB"/>
        </w:rPr>
        <w:t>وعاقل</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وأيضا</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المستوى الدلالي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الكيفي، حيث حمل الأو</w:t>
      </w:r>
      <w:r w:rsidR="006521EE" w:rsidRPr="006571AC">
        <w:rPr>
          <w:rFonts w:ascii="Traditional Arabic" w:hAnsi="Traditional Arabic" w:hint="cs"/>
          <w:sz w:val="27"/>
          <w:rtl/>
          <w:lang w:bidi="ar-LB"/>
        </w:rPr>
        <w:t>ّ</w:t>
      </w:r>
      <w:r w:rsidRPr="006571AC">
        <w:rPr>
          <w:rFonts w:ascii="Traditional Arabic" w:hAnsi="Traditional Arabic"/>
          <w:sz w:val="27"/>
          <w:rtl/>
          <w:lang w:bidi="ar-LB"/>
        </w:rPr>
        <w:t>ل الآية على الكناية</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وحملها الثاني على الاستعمال الحقيقي</w:t>
      </w:r>
      <w:r w:rsidR="0042103B" w:rsidRPr="006571AC">
        <w:rPr>
          <w:rFonts w:ascii="Traditional Arabic" w:hAnsi="Traditional Arabic"/>
          <w:sz w:val="27"/>
          <w:rtl/>
          <w:lang w:bidi="ar-LB"/>
        </w:rPr>
        <w:t>.</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w:t>
      </w:r>
      <w:r w:rsidR="0042103B" w:rsidRPr="006571AC">
        <w:rPr>
          <w:rFonts w:ascii="Traditional Arabic" w:hAnsi="Traditional Arabic" w:hint="cs"/>
          <w:sz w:val="27"/>
          <w:rtl/>
          <w:lang w:bidi="ar-LB"/>
        </w:rPr>
        <w:t>ل</w:t>
      </w:r>
      <w:r w:rsidRPr="006571AC">
        <w:rPr>
          <w:rFonts w:ascii="Traditional Arabic" w:hAnsi="Traditional Arabic"/>
          <w:sz w:val="27"/>
          <w:rtl/>
          <w:lang w:bidi="ar-LB"/>
        </w:rPr>
        <w:t>هذا شواهد كثيرة في تفاسير هذين الاتجاهين، فر</w:t>
      </w:r>
      <w:r w:rsidR="0042103B" w:rsidRPr="006571AC">
        <w:rPr>
          <w:rFonts w:ascii="Traditional Arabic" w:hAnsi="Traditional Arabic" w:hint="cs"/>
          <w:sz w:val="27"/>
          <w:rtl/>
          <w:lang w:bidi="ar-LB"/>
        </w:rPr>
        <w:t>ُ</w:t>
      </w:r>
      <w:r w:rsidRPr="006571AC">
        <w:rPr>
          <w:rFonts w:ascii="Traditional Arabic" w:hAnsi="Traditional Arabic"/>
          <w:sz w:val="27"/>
          <w:rtl/>
          <w:lang w:bidi="ar-LB"/>
        </w:rPr>
        <w:t>ب</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ما اقتصر اتجاه</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استفادة دلالة</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أو دلالتين من الآية</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ومنع استفادة أكثر من ذلك</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وقابله اتجاه</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آخر بالقول بإمكان استفادة عشرات الدلالات من الآية الواحدة</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أكثر.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وهنا يقد</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م السؤال التالي نفسه أكيدا</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ascii="Traditional Arabic" w:hAnsi="Traditional Arabic"/>
          <w:b/>
          <w:bCs/>
          <w:sz w:val="27"/>
          <w:rtl/>
          <w:lang w:bidi="ar-LB"/>
        </w:rPr>
        <w:t>ما هي الأسباب التي أد</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ت</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إلى اختلاف هذين الاتجاهين في عملية التفسير؟ فهل يوجد متبن</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يات محد</w:t>
      </w:r>
      <w:r w:rsidR="00534B8B" w:rsidRPr="006571AC">
        <w:rPr>
          <w:rFonts w:ascii="Traditional Arabic" w:hAnsi="Traditional Arabic" w:hint="cs"/>
          <w:b/>
          <w:bCs/>
          <w:sz w:val="27"/>
          <w:rtl/>
          <w:lang w:bidi="ar-LB"/>
        </w:rPr>
        <w:t>َّ</w:t>
      </w:r>
      <w:r w:rsidRPr="006571AC">
        <w:rPr>
          <w:rFonts w:ascii="Traditional Arabic" w:hAnsi="Traditional Arabic"/>
          <w:b/>
          <w:bCs/>
          <w:sz w:val="27"/>
          <w:rtl/>
          <w:lang w:bidi="ar-LB"/>
        </w:rPr>
        <w:t>دة اختلفوا فيها انعكس</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ت</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بالنتيجة على تفسير الآيات؟ وإن</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كان الجواب بالإيجاب فما هي تلك المتبن</w:t>
      </w:r>
      <w:r w:rsidR="0042103B" w:rsidRPr="006571AC">
        <w:rPr>
          <w:rFonts w:ascii="Traditional Arabic" w:hAnsi="Traditional Arabic" w:hint="cs"/>
          <w:b/>
          <w:bCs/>
          <w:sz w:val="27"/>
          <w:rtl/>
          <w:lang w:bidi="ar-LB"/>
        </w:rPr>
        <w:t>ّ</w:t>
      </w:r>
      <w:r w:rsidR="00534B8B"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يات؟ </w:t>
      </w:r>
    </w:p>
    <w:p w:rsidR="001667A3" w:rsidRPr="006571AC" w:rsidRDefault="001667A3" w:rsidP="004722E7">
      <w:pPr>
        <w:rPr>
          <w:rFonts w:ascii="Traditional Arabic" w:hAnsi="Traditional Arabic"/>
          <w:sz w:val="27"/>
          <w:lang w:bidi="ar-LB"/>
        </w:rPr>
      </w:pPr>
      <w:r w:rsidRPr="006571AC">
        <w:rPr>
          <w:rFonts w:ascii="Traditional Arabic" w:hAnsi="Traditional Arabic"/>
          <w:sz w:val="27"/>
          <w:rtl/>
          <w:lang w:bidi="ar-LB"/>
        </w:rPr>
        <w:t>تهدف هذه المقالة إلى إرجاع اختلافات هذين الاتجاهين إلى بعض المتبن</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يات المتقابلة لدى كل</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فريق</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وتوضيح كيفية انعكاس هذه المتبن</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يات على عملية التفسير. وقد عمد</w:t>
      </w:r>
      <w:r w:rsidR="0042103B" w:rsidRPr="006571AC">
        <w:rPr>
          <w:rFonts w:ascii="Traditional Arabic" w:hAnsi="Traditional Arabic" w:hint="cs"/>
          <w:sz w:val="27"/>
          <w:rtl/>
          <w:lang w:bidi="ar-LB"/>
        </w:rPr>
        <w:t>ْ</w:t>
      </w:r>
      <w:r w:rsidRPr="006571AC">
        <w:rPr>
          <w:rFonts w:ascii="Traditional Arabic" w:hAnsi="Traditional Arabic"/>
          <w:sz w:val="27"/>
          <w:rtl/>
          <w:lang w:bidi="ar-LB"/>
        </w:rPr>
        <w:t>تُ إلى انتخاب ع</w:t>
      </w:r>
      <w:r w:rsidR="00FE0B8E" w:rsidRPr="006571AC">
        <w:rPr>
          <w:rFonts w:ascii="Traditional Arabic" w:hAnsi="Traditional Arabic" w:hint="cs"/>
          <w:sz w:val="27"/>
          <w:rtl/>
          <w:lang w:bidi="ar-LB"/>
        </w:rPr>
        <w:t>َ</w:t>
      </w:r>
      <w:r w:rsidRPr="006571AC">
        <w:rPr>
          <w:rFonts w:ascii="Traditional Arabic" w:hAnsi="Traditional Arabic"/>
          <w:sz w:val="27"/>
          <w:rtl/>
          <w:lang w:bidi="ar-LB"/>
        </w:rPr>
        <w:t>ل</w:t>
      </w:r>
      <w:r w:rsidR="00FE0B8E" w:rsidRPr="006571AC">
        <w:rPr>
          <w:rFonts w:ascii="Traditional Arabic" w:hAnsi="Traditional Arabic" w:hint="cs"/>
          <w:sz w:val="27"/>
          <w:rtl/>
          <w:lang w:bidi="ar-LB"/>
        </w:rPr>
        <w:t>َ</w:t>
      </w:r>
      <w:r w:rsidRPr="006571AC">
        <w:rPr>
          <w:rFonts w:ascii="Traditional Arabic" w:hAnsi="Traditional Arabic"/>
          <w:sz w:val="27"/>
          <w:rtl/>
          <w:lang w:bidi="ar-LB"/>
        </w:rPr>
        <w:t>مين اثنين من أعلام هذين الاتجاهين</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ورجعتُ إلى كتبهم التفسيرية</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وأيضا</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42103B" w:rsidRPr="006571AC">
        <w:rPr>
          <w:rFonts w:ascii="Traditional Arabic" w:hAnsi="Traditional Arabic" w:hint="cs"/>
          <w:sz w:val="27"/>
          <w:rtl/>
          <w:lang w:bidi="ar-LB"/>
        </w:rPr>
        <w:t>آ</w:t>
      </w:r>
      <w:r w:rsidRPr="006571AC">
        <w:rPr>
          <w:rFonts w:ascii="Traditional Arabic" w:hAnsi="Traditional Arabic"/>
          <w:sz w:val="27"/>
          <w:rtl/>
          <w:lang w:bidi="ar-LB"/>
        </w:rPr>
        <w:t>رائهم في علوم القرآن</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لرصد هذه المتبن</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يات، وهما</w:t>
      </w:r>
      <w:r w:rsidR="0042103B" w:rsidRPr="006571AC">
        <w:rPr>
          <w:rFonts w:ascii="Traditional Arabic" w:hAnsi="Traditional Arabic" w:hint="cs"/>
          <w:sz w:val="27"/>
          <w:rtl/>
          <w:lang w:bidi="ar-LB"/>
        </w:rPr>
        <w:t>:</w:t>
      </w:r>
      <w:r w:rsidR="0042103B" w:rsidRPr="006571AC">
        <w:rPr>
          <w:rFonts w:ascii="Traditional Arabic" w:hAnsi="Traditional Arabic"/>
          <w:sz w:val="27"/>
          <w:rtl/>
          <w:lang w:bidi="ar-LB"/>
        </w:rPr>
        <w:t xml:space="preserve"> ال</w:t>
      </w:r>
      <w:r w:rsidR="0042103B" w:rsidRPr="006571AC">
        <w:rPr>
          <w:rFonts w:ascii="Traditional Arabic" w:hAnsi="Traditional Arabic" w:hint="cs"/>
          <w:sz w:val="27"/>
          <w:rtl/>
          <w:lang w:bidi="ar-LB"/>
        </w:rPr>
        <w:t>علاّمة</w:t>
      </w:r>
      <w:r w:rsidRPr="006571AC">
        <w:rPr>
          <w:rFonts w:ascii="Traditional Arabic" w:hAnsi="Traditional Arabic"/>
          <w:sz w:val="27"/>
          <w:rtl/>
          <w:lang w:bidi="ar-LB"/>
        </w:rPr>
        <w:t xml:space="preserve"> </w:t>
      </w:r>
      <w:r w:rsidR="0042103B" w:rsidRPr="006571AC">
        <w:rPr>
          <w:rFonts w:ascii="Traditional Arabic" w:hAnsi="Traditional Arabic" w:hint="cs"/>
          <w:sz w:val="27"/>
          <w:rtl/>
          <w:lang w:bidi="ar-LB"/>
        </w:rPr>
        <w:t xml:space="preserve">السيد </w:t>
      </w:r>
      <w:r w:rsidRPr="006571AC">
        <w:rPr>
          <w:rFonts w:ascii="Traditional Arabic" w:hAnsi="Traditional Arabic"/>
          <w:sz w:val="27"/>
          <w:rtl/>
          <w:lang w:bidi="ar-LB"/>
        </w:rPr>
        <w:t>محمد حسين فضل الله</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ممث</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لا</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الاتجاه الأو</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ل</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 حد</w:t>
      </w:r>
      <w:r w:rsidRPr="006571AC">
        <w:rPr>
          <w:rFonts w:ascii="Traditional Arabic" w:hAnsi="Traditional Arabic" w:hint="cs"/>
          <w:sz w:val="27"/>
          <w:rtl/>
          <w:lang w:bidi="ar-LB"/>
        </w:rPr>
        <w:t>ّ</w:t>
      </w:r>
      <w:r w:rsidR="0042103B" w:rsidRPr="006571AC">
        <w:rPr>
          <w:rFonts w:ascii="Traditional Arabic" w:hAnsi="Traditional Arabic" w:hint="cs"/>
          <w:sz w:val="27"/>
          <w:rtl/>
          <w:lang w:bidi="ar-LB"/>
        </w:rPr>
        <w:t>َ</w:t>
      </w:r>
      <w:r w:rsidRPr="006571AC">
        <w:rPr>
          <w:rFonts w:ascii="Traditional Arabic" w:hAnsi="Traditional Arabic"/>
          <w:sz w:val="27"/>
          <w:rtl/>
          <w:lang w:bidi="ar-LB"/>
        </w:rPr>
        <w:t>د مداليل الآيات بمقدار ما يفهمه الع</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ر</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ف فقط</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والعلاّمة </w:t>
      </w:r>
      <w:r w:rsidR="0042103B" w:rsidRPr="006571AC">
        <w:rPr>
          <w:rFonts w:ascii="Traditional Arabic" w:hAnsi="Traditional Arabic" w:hint="cs"/>
          <w:sz w:val="27"/>
          <w:rtl/>
          <w:lang w:bidi="ar-LB"/>
        </w:rPr>
        <w:t xml:space="preserve">السيد محمد حسين </w:t>
      </w:r>
      <w:r w:rsidRPr="006571AC">
        <w:rPr>
          <w:rFonts w:ascii="Traditional Arabic" w:hAnsi="Traditional Arabic"/>
          <w:sz w:val="27"/>
          <w:rtl/>
          <w:lang w:bidi="ar-LB"/>
        </w:rPr>
        <w:t>الطباطبائي</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ممث</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لا</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الاتجاه الثاني</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 سمح باستفادة مدلولات</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أكثر.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يمكن القول</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42103B" w:rsidRPr="006571AC">
        <w:rPr>
          <w:rFonts w:ascii="Traditional Arabic" w:hAnsi="Traditional Arabic" w:hint="cs"/>
          <w:sz w:val="27"/>
          <w:rtl/>
          <w:lang w:bidi="ar-LB"/>
        </w:rPr>
        <w:t>إ</w:t>
      </w:r>
      <w:r w:rsidRPr="006571AC">
        <w:rPr>
          <w:rFonts w:ascii="Traditional Arabic" w:hAnsi="Traditional Arabic"/>
          <w:sz w:val="27"/>
          <w:rtl/>
          <w:lang w:bidi="ar-LB"/>
        </w:rPr>
        <w:t>ن اختلاف هذين الع</w:t>
      </w:r>
      <w:r w:rsidR="00FE0B8E" w:rsidRPr="006571AC">
        <w:rPr>
          <w:rFonts w:ascii="Traditional Arabic" w:hAnsi="Traditional Arabic" w:hint="cs"/>
          <w:sz w:val="27"/>
          <w:rtl/>
          <w:lang w:bidi="ar-LB"/>
        </w:rPr>
        <w:t>َ</w:t>
      </w:r>
      <w:r w:rsidRPr="006571AC">
        <w:rPr>
          <w:rFonts w:ascii="Traditional Arabic" w:hAnsi="Traditional Arabic"/>
          <w:sz w:val="27"/>
          <w:rtl/>
          <w:lang w:bidi="ar-LB"/>
        </w:rPr>
        <w:t>ل</w:t>
      </w:r>
      <w:r w:rsidR="00FE0B8E" w:rsidRPr="006571AC">
        <w:rPr>
          <w:rFonts w:ascii="Traditional Arabic" w:hAnsi="Traditional Arabic" w:hint="cs"/>
          <w:sz w:val="27"/>
          <w:rtl/>
          <w:lang w:bidi="ar-LB"/>
        </w:rPr>
        <w:t>َ</w:t>
      </w:r>
      <w:r w:rsidRPr="006571AC">
        <w:rPr>
          <w:rFonts w:ascii="Traditional Arabic" w:hAnsi="Traditional Arabic"/>
          <w:sz w:val="27"/>
          <w:rtl/>
          <w:lang w:bidi="ar-LB"/>
        </w:rPr>
        <w:t>مين في بعض مسائل علوم القرآن انعكس على اختلافهما في التفسير</w:t>
      </w:r>
      <w:r w:rsidR="00FE0B8E" w:rsidRPr="006571AC">
        <w:rPr>
          <w:rFonts w:ascii="Traditional Arabic" w:hAnsi="Traditional Arabic" w:hint="cs"/>
          <w:sz w:val="27"/>
          <w:rtl/>
          <w:lang w:bidi="ar-LB"/>
        </w:rPr>
        <w:t xml:space="preserve">، </w:t>
      </w:r>
      <w:r w:rsidRPr="006571AC">
        <w:rPr>
          <w:rFonts w:ascii="Traditional Arabic" w:hAnsi="Traditional Arabic"/>
          <w:sz w:val="27"/>
          <w:rtl/>
          <w:lang w:bidi="ar-LB"/>
        </w:rPr>
        <w:t>وإن</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توافقا </w:t>
      </w:r>
      <w:r w:rsidRPr="006571AC">
        <w:rPr>
          <w:rFonts w:ascii="Traditional Arabic" w:hAnsi="Traditional Arabic" w:hint="cs"/>
          <w:sz w:val="27"/>
          <w:rtl/>
          <w:lang w:bidi="ar-LB"/>
        </w:rPr>
        <w:t xml:space="preserve">في </w:t>
      </w:r>
      <w:r w:rsidRPr="006571AC">
        <w:rPr>
          <w:rFonts w:ascii="Traditional Arabic" w:hAnsi="Traditional Arabic"/>
          <w:sz w:val="27"/>
          <w:rtl/>
          <w:lang w:bidi="ar-LB"/>
        </w:rPr>
        <w:t>بعض النقاط في المنهج التفسيري</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فهما مثلا</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اتفقا على استقلالية القرآن في بيان معارفه</w:t>
      </w:r>
      <w:r w:rsidR="00FE0B8E" w:rsidRPr="006571AC">
        <w:rPr>
          <w:rFonts w:ascii="Traditional Arabic" w:hAnsi="Traditional Arabic" w:hint="cs"/>
          <w:sz w:val="27"/>
          <w:rtl/>
          <w:lang w:bidi="ar-LB"/>
        </w:rPr>
        <w:t>،</w:t>
      </w:r>
      <w:r w:rsidR="00FE0B8E" w:rsidRPr="006571AC">
        <w:rPr>
          <w:rFonts w:ascii="Traditional Arabic" w:hAnsi="Traditional Arabic"/>
          <w:sz w:val="27"/>
          <w:rtl/>
          <w:lang w:bidi="ar-LB"/>
        </w:rPr>
        <w:t xml:space="preserve"> بمعنى أنه نص</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مستقل</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بذاته</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لا يحتاج </w:t>
      </w:r>
      <w:r w:rsidRPr="006571AC">
        <w:rPr>
          <w:rFonts w:ascii="Traditional Arabic" w:hAnsi="Traditional Arabic"/>
          <w:sz w:val="27"/>
          <w:rtl/>
          <w:lang w:bidi="ar-LB"/>
        </w:rPr>
        <w:lastRenderedPageBreak/>
        <w:t>من حيث المبدأ في فهم مراداته وتحديد معانيه إلى مرجع</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آخر</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وعلى كون السياق قرينة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تفسيرية يستفيد منها المفس</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ر في تحديد المراد</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إلاّ أنهما بالرغم من ذلك غير مت</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فقَين على مسائل أخرى</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قد يُع</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ز</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ى سبب الاختلاف فيها إلى مسألة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أساسية جد</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ا</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هي</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حقيقة القرآن الكريم.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فقد اختلفا في ح</w:t>
      </w:r>
      <w:r w:rsidR="00DC5F96" w:rsidRPr="006571AC">
        <w:rPr>
          <w:rFonts w:ascii="Traditional Arabic" w:hAnsi="Traditional Arabic" w:hint="cs"/>
          <w:sz w:val="27"/>
          <w:rtl/>
          <w:lang w:bidi="ar-LB"/>
        </w:rPr>
        <w:t>قي</w:t>
      </w:r>
      <w:r w:rsidRPr="006571AC">
        <w:rPr>
          <w:rFonts w:ascii="Traditional Arabic" w:hAnsi="Traditional Arabic" w:hint="cs"/>
          <w:sz w:val="27"/>
          <w:rtl/>
          <w:lang w:bidi="ar-LB"/>
        </w:rPr>
        <w:t>قة</w:t>
      </w:r>
      <w:r w:rsidRPr="006571AC">
        <w:rPr>
          <w:rFonts w:ascii="Traditional Arabic" w:hAnsi="Traditional Arabic"/>
          <w:sz w:val="27"/>
          <w:rtl/>
          <w:lang w:bidi="ar-LB"/>
        </w:rPr>
        <w:t xml:space="preserve"> </w:t>
      </w:r>
      <w:r w:rsidRPr="006571AC">
        <w:rPr>
          <w:rFonts w:ascii="Traditional Arabic" w:hAnsi="Traditional Arabic" w:hint="cs"/>
          <w:sz w:val="27"/>
          <w:rtl/>
          <w:lang w:bidi="ar-LB"/>
        </w:rPr>
        <w:t>الألفاظ</w:t>
      </w:r>
      <w:r w:rsidRPr="006571AC">
        <w:rPr>
          <w:rFonts w:ascii="Traditional Arabic" w:hAnsi="Traditional Arabic"/>
          <w:sz w:val="27"/>
          <w:rtl/>
          <w:lang w:bidi="ar-LB"/>
        </w:rPr>
        <w:t xml:space="preserve"> </w:t>
      </w:r>
      <w:r w:rsidRPr="006571AC">
        <w:rPr>
          <w:rFonts w:ascii="Traditional Arabic" w:hAnsi="Traditional Arabic" w:hint="cs"/>
          <w:sz w:val="27"/>
          <w:rtl/>
          <w:lang w:bidi="ar-LB"/>
        </w:rPr>
        <w:t>المتشاب</w:t>
      </w:r>
      <w:r w:rsidR="00DC5F96" w:rsidRPr="006571AC">
        <w:rPr>
          <w:rFonts w:ascii="Traditional Arabic" w:hAnsi="Traditional Arabic" w:hint="cs"/>
          <w:sz w:val="27"/>
          <w:rtl/>
          <w:lang w:bidi="ar-LB"/>
        </w:rPr>
        <w:t>ِ</w:t>
      </w:r>
      <w:r w:rsidRPr="006571AC">
        <w:rPr>
          <w:rFonts w:ascii="Traditional Arabic" w:hAnsi="Traditional Arabic" w:hint="cs"/>
          <w:sz w:val="27"/>
          <w:rtl/>
          <w:lang w:bidi="ar-LB"/>
        </w:rPr>
        <w:t>هة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ascii="Traditional Arabic" w:hAnsi="Traditional Arabic" w:hint="cs"/>
          <w:sz w:val="27"/>
          <w:rtl/>
          <w:lang w:bidi="ar-LB"/>
        </w:rPr>
        <w:t>و</w:t>
      </w:r>
      <w:r w:rsidRPr="006571AC">
        <w:rPr>
          <w:rFonts w:ascii="Traditional Arabic" w:hAnsi="Traditional Arabic"/>
          <w:sz w:val="27"/>
          <w:rtl/>
          <w:lang w:bidi="ar-LB"/>
        </w:rPr>
        <w:t>مسألة الم</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ح</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ك</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م والم</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تشاب</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ه</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وبطون القرآن</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والأسلوب البياني له</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والطريقة التي اعتمدها في إيصال مراداته</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DC5F96" w:rsidRPr="006571AC">
        <w:rPr>
          <w:rFonts w:ascii="Traditional Arabic" w:hAnsi="Traditional Arabic" w:hint="cs"/>
          <w:sz w:val="27"/>
          <w:rtl/>
          <w:lang w:bidi="ar-LB"/>
        </w:rPr>
        <w:t>و</w:t>
      </w:r>
      <w:r w:rsidRPr="006571AC">
        <w:rPr>
          <w:rFonts w:ascii="Traditional Arabic" w:hAnsi="Traditional Arabic"/>
          <w:sz w:val="27"/>
          <w:rtl/>
          <w:lang w:bidi="ar-LB"/>
        </w:rPr>
        <w:t>كل</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هذه المسائل تعود بالجذور إلى تغاير فهمهم لحقيقة القرآن الكريم</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هذا التغاير نفسه هو الذي أتاح لل</w:t>
      </w:r>
      <w:r w:rsidR="00DC5F96" w:rsidRPr="006571AC">
        <w:rPr>
          <w:rFonts w:ascii="Traditional Arabic" w:hAnsi="Traditional Arabic" w:hint="cs"/>
          <w:sz w:val="27"/>
          <w:rtl/>
          <w:lang w:bidi="ar-LB"/>
        </w:rPr>
        <w:t>سيد الطباطبائي</w:t>
      </w:r>
      <w:r w:rsidRPr="006571AC">
        <w:rPr>
          <w:rFonts w:ascii="Traditional Arabic" w:hAnsi="Traditional Arabic"/>
          <w:sz w:val="27"/>
          <w:rtl/>
          <w:lang w:bidi="ar-LB"/>
        </w:rPr>
        <w:t xml:space="preserve"> أن يوس</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ع من الدلالات القرآنية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ولم يسمح للسيد فضل الله </w:t>
      </w:r>
      <w:r w:rsidR="00DC5F96" w:rsidRPr="006571AC">
        <w:rPr>
          <w:rFonts w:ascii="Traditional Arabic" w:hAnsi="Traditional Arabic" w:hint="cs"/>
          <w:sz w:val="27"/>
          <w:rtl/>
          <w:lang w:bidi="ar-LB"/>
        </w:rPr>
        <w:t>ب</w:t>
      </w:r>
      <w:r w:rsidRPr="006571AC">
        <w:rPr>
          <w:rFonts w:ascii="Traditional Arabic" w:hAnsi="Traditional Arabic"/>
          <w:sz w:val="27"/>
          <w:rtl/>
          <w:lang w:bidi="ar-LB"/>
        </w:rPr>
        <w:t xml:space="preserve">ذلك. </w:t>
      </w:r>
    </w:p>
    <w:p w:rsidR="00F2221E"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إ</w:t>
      </w:r>
      <w:r w:rsidRPr="006571AC">
        <w:rPr>
          <w:rFonts w:ascii="Traditional Arabic" w:hAnsi="Traditional Arabic"/>
          <w:sz w:val="27"/>
          <w:rtl/>
          <w:lang w:bidi="ar-LB"/>
        </w:rPr>
        <w:t xml:space="preserve">ذن، </w:t>
      </w:r>
      <w:r w:rsidRPr="006571AC">
        <w:rPr>
          <w:rFonts w:ascii="Traditional Arabic" w:hAnsi="Traditional Arabic" w:hint="cs"/>
          <w:sz w:val="27"/>
          <w:rtl/>
          <w:lang w:bidi="ar-LB"/>
        </w:rPr>
        <w:t>بالإمكان أن نقول</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DC5F96" w:rsidRPr="006571AC">
        <w:rPr>
          <w:rFonts w:ascii="Traditional Arabic" w:hAnsi="Traditional Arabic" w:hint="cs"/>
          <w:sz w:val="27"/>
          <w:rtl/>
          <w:lang w:bidi="ar-LB"/>
        </w:rPr>
        <w:t>إ</w:t>
      </w:r>
      <w:r w:rsidRPr="006571AC">
        <w:rPr>
          <w:rFonts w:ascii="Traditional Arabic" w:hAnsi="Traditional Arabic"/>
          <w:sz w:val="27"/>
          <w:rtl/>
          <w:lang w:bidi="ar-LB"/>
        </w:rPr>
        <w:t>ن المتبن</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يات التي اختلفا بها تعود إلى أربعة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هي</w:t>
      </w:r>
      <w:r w:rsidR="00F2221E" w:rsidRPr="006571AC">
        <w:rPr>
          <w:rFonts w:ascii="Traditional Arabic" w:hAnsi="Traditional Arabic"/>
          <w:sz w:val="27"/>
          <w:rtl/>
          <w:lang w:bidi="ar-LB"/>
        </w:rPr>
        <w:t>:</w:t>
      </w:r>
    </w:p>
    <w:p w:rsidR="00F2221E" w:rsidRPr="006571AC" w:rsidRDefault="00F2221E" w:rsidP="004722E7">
      <w:pPr>
        <w:rPr>
          <w:rFonts w:ascii="Traditional Arabic" w:hAnsi="Traditional Arabic"/>
          <w:sz w:val="27"/>
          <w:rtl/>
          <w:lang w:bidi="ar-LB"/>
        </w:rPr>
      </w:pPr>
      <w:r w:rsidRPr="006571AC">
        <w:rPr>
          <w:rFonts w:ascii="Traditional Arabic" w:hAnsi="Traditional Arabic" w:hint="cs"/>
          <w:sz w:val="27"/>
          <w:rtl/>
          <w:lang w:bidi="ar-LB"/>
        </w:rPr>
        <w:t>1ـ حقيقة</w:t>
      </w:r>
      <w:r w:rsidR="001667A3" w:rsidRPr="006571AC">
        <w:rPr>
          <w:rFonts w:ascii="Traditional Arabic" w:hAnsi="Traditional Arabic"/>
          <w:sz w:val="27"/>
          <w:rtl/>
          <w:lang w:bidi="ar-LB"/>
        </w:rPr>
        <w:t xml:space="preserve"> القرآن الكريم</w:t>
      </w:r>
      <w:r w:rsidR="00DC5F96"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p>
    <w:p w:rsidR="00F2221E" w:rsidRPr="006571AC" w:rsidRDefault="00F2221E" w:rsidP="004722E7">
      <w:pPr>
        <w:rPr>
          <w:rFonts w:ascii="Traditional Arabic" w:hAnsi="Traditional Arabic"/>
          <w:sz w:val="27"/>
          <w:rtl/>
          <w:lang w:bidi="ar-LB"/>
        </w:rPr>
      </w:pPr>
      <w:r w:rsidRPr="006571AC">
        <w:rPr>
          <w:rFonts w:ascii="Traditional Arabic" w:hAnsi="Traditional Arabic" w:hint="cs"/>
          <w:sz w:val="27"/>
          <w:rtl/>
          <w:lang w:bidi="ar-LB"/>
        </w:rPr>
        <w:t xml:space="preserve">2ـ </w:t>
      </w:r>
      <w:r w:rsidR="001667A3" w:rsidRPr="006571AC">
        <w:rPr>
          <w:rFonts w:ascii="Traditional Arabic" w:hAnsi="Traditional Arabic"/>
          <w:sz w:val="27"/>
          <w:rtl/>
          <w:lang w:bidi="ar-LB"/>
        </w:rPr>
        <w:t>لغة القرآن</w:t>
      </w:r>
      <w:r w:rsidR="00DC5F96"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p>
    <w:p w:rsidR="00F2221E" w:rsidRPr="006571AC" w:rsidRDefault="00F2221E" w:rsidP="004722E7">
      <w:pPr>
        <w:rPr>
          <w:rFonts w:ascii="Traditional Arabic" w:hAnsi="Traditional Arabic"/>
          <w:sz w:val="27"/>
          <w:rtl/>
          <w:lang w:bidi="ar-LB"/>
        </w:rPr>
      </w:pPr>
      <w:r w:rsidRPr="006571AC">
        <w:rPr>
          <w:rFonts w:ascii="Traditional Arabic" w:hAnsi="Traditional Arabic" w:hint="cs"/>
          <w:sz w:val="27"/>
          <w:rtl/>
          <w:lang w:bidi="ar-LB"/>
        </w:rPr>
        <w:t xml:space="preserve">3ـ </w:t>
      </w:r>
      <w:r w:rsidR="001667A3" w:rsidRPr="006571AC">
        <w:rPr>
          <w:rFonts w:ascii="Traditional Arabic" w:hAnsi="Traditional Arabic"/>
          <w:sz w:val="27"/>
          <w:rtl/>
          <w:lang w:bidi="ar-LB"/>
        </w:rPr>
        <w:t>بطون</w:t>
      </w:r>
      <w:r w:rsidRPr="006571AC">
        <w:rPr>
          <w:rFonts w:ascii="Traditional Arabic" w:hAnsi="Traditional Arabic" w:hint="cs"/>
          <w:sz w:val="27"/>
          <w:rtl/>
          <w:lang w:bidi="ar-LB"/>
        </w:rPr>
        <w:t xml:space="preserve"> القرآن</w:t>
      </w:r>
      <w:r w:rsidR="001667A3" w:rsidRPr="006571AC">
        <w:rPr>
          <w:rFonts w:ascii="Traditional Arabic" w:hAnsi="Traditional Arabic"/>
          <w:sz w:val="27"/>
          <w:rtl/>
          <w:lang w:bidi="ar-LB"/>
        </w:rPr>
        <w:t xml:space="preserve"> وتأويله</w:t>
      </w:r>
      <w:r w:rsidR="00DC5F96"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p>
    <w:p w:rsidR="00DC5F96" w:rsidRPr="006571AC" w:rsidRDefault="00F2221E" w:rsidP="004722E7">
      <w:pPr>
        <w:rPr>
          <w:rFonts w:ascii="Traditional Arabic" w:hAnsi="Traditional Arabic"/>
          <w:sz w:val="27"/>
          <w:rtl/>
          <w:lang w:bidi="ar-LB"/>
        </w:rPr>
      </w:pPr>
      <w:r w:rsidRPr="006571AC">
        <w:rPr>
          <w:rFonts w:ascii="Traditional Arabic" w:hAnsi="Traditional Arabic" w:hint="cs"/>
          <w:sz w:val="27"/>
          <w:rtl/>
          <w:lang w:bidi="ar-LB"/>
        </w:rPr>
        <w:t xml:space="preserve">4ـ </w:t>
      </w:r>
      <w:r w:rsidR="001667A3" w:rsidRPr="006571AC">
        <w:rPr>
          <w:rFonts w:ascii="Traditional Arabic" w:hAnsi="Traditional Arabic"/>
          <w:sz w:val="27"/>
          <w:rtl/>
          <w:lang w:bidi="ar-LB"/>
        </w:rPr>
        <w:t>نظريّة روح المعنى</w:t>
      </w:r>
      <w:r w:rsidR="00DC5F96" w:rsidRPr="006571AC">
        <w:rPr>
          <w:rFonts w:ascii="Traditional Arabic" w:hAnsi="Traditional Arabic"/>
          <w:sz w:val="27"/>
          <w:rtl/>
          <w:lang w:bidi="ar-LB"/>
        </w:rPr>
        <w:t>.</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وي</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لاح</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ظ أن الثاني والرابع لهما علاقة بالطريقة المعتمدة في التخاطب بين القرآن والبشر</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DC5F96" w:rsidRPr="006571AC">
        <w:rPr>
          <w:rFonts w:ascii="Traditional Arabic" w:hAnsi="Traditional Arabic" w:hint="cs"/>
          <w:sz w:val="27"/>
          <w:rtl/>
          <w:lang w:bidi="ar-LB"/>
        </w:rPr>
        <w:t>و</w:t>
      </w:r>
      <w:r w:rsidRPr="006571AC">
        <w:rPr>
          <w:rFonts w:ascii="Traditional Arabic" w:hAnsi="Traditional Arabic"/>
          <w:sz w:val="27"/>
          <w:rtl/>
          <w:lang w:bidi="ar-LB"/>
        </w:rPr>
        <w:t>هل هي</w:t>
      </w:r>
      <w:r w:rsidRPr="006571AC">
        <w:rPr>
          <w:rFonts w:ascii="Traditional Arabic" w:hAnsi="Traditional Arabic" w:hint="cs"/>
          <w:sz w:val="27"/>
          <w:rtl/>
          <w:lang w:bidi="ar-LB"/>
        </w:rPr>
        <w:t xml:space="preserve"> </w:t>
      </w:r>
      <w:r w:rsidRPr="006571AC">
        <w:rPr>
          <w:rFonts w:ascii="Traditional Arabic" w:hAnsi="Traditional Arabic"/>
          <w:sz w:val="27"/>
          <w:rtl/>
          <w:lang w:bidi="ar-LB"/>
        </w:rPr>
        <w:t>طريقة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فوق عقلائي</w:t>
      </w:r>
      <w:r w:rsidRPr="006571AC">
        <w:rPr>
          <w:rFonts w:ascii="Traditional Arabic" w:hAnsi="Traditional Arabic" w:hint="cs"/>
          <w:sz w:val="27"/>
          <w:rtl/>
          <w:lang w:bidi="ar-LB"/>
        </w:rPr>
        <w:t>ّ</w:t>
      </w:r>
      <w:r w:rsidRPr="006571AC">
        <w:rPr>
          <w:rFonts w:ascii="Traditional Arabic" w:hAnsi="Traditional Arabic"/>
          <w:sz w:val="27"/>
          <w:rtl/>
          <w:lang w:bidi="ar-LB"/>
        </w:rPr>
        <w:t>ة و</w:t>
      </w:r>
      <w:r w:rsidRPr="006571AC">
        <w:rPr>
          <w:rFonts w:ascii="Traditional Arabic" w:hAnsi="Traditional Arabic" w:hint="cs"/>
          <w:sz w:val="27"/>
          <w:rtl/>
          <w:lang w:bidi="ar-LB"/>
        </w:rPr>
        <w:t>غير</w:t>
      </w:r>
      <w:r w:rsidRPr="006571AC">
        <w:rPr>
          <w:rFonts w:ascii="Traditional Arabic" w:hAnsi="Traditional Arabic"/>
          <w:sz w:val="27"/>
          <w:rtl/>
          <w:lang w:bidi="ar-LB"/>
        </w:rPr>
        <w:t xml:space="preserve"> ع</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ر</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في</w:t>
      </w:r>
      <w:r w:rsidRPr="006571AC">
        <w:rPr>
          <w:rFonts w:ascii="Traditional Arabic" w:hAnsi="Traditional Arabic" w:hint="cs"/>
          <w:sz w:val="27"/>
          <w:rtl/>
          <w:lang w:bidi="ar-LB"/>
        </w:rPr>
        <w:t>ّ</w:t>
      </w:r>
      <w:r w:rsidRPr="006571AC">
        <w:rPr>
          <w:rFonts w:ascii="Traditional Arabic" w:hAnsi="Traditional Arabic"/>
          <w:sz w:val="27"/>
          <w:rtl/>
          <w:lang w:bidi="ar-LB"/>
        </w:rPr>
        <w:t>ة أو لا؟ وهذه المسألة ترتبط أيضا</w:t>
      </w:r>
      <w:r w:rsidR="007D4619" w:rsidRPr="006571AC">
        <w:rPr>
          <w:rFonts w:ascii="Traditional Arabic" w:hAnsi="Traditional Arabic" w:hint="cs"/>
          <w:sz w:val="27"/>
          <w:rtl/>
          <w:lang w:bidi="ar-LB"/>
        </w:rPr>
        <w:t>ً</w:t>
      </w:r>
      <w:r w:rsidRPr="006571AC">
        <w:rPr>
          <w:rFonts w:ascii="Traditional Arabic" w:hAnsi="Traditional Arabic"/>
          <w:sz w:val="27"/>
          <w:rtl/>
          <w:lang w:bidi="ar-LB"/>
        </w:rPr>
        <w:t xml:space="preserve"> بشكل</w:t>
      </w:r>
      <w:r w:rsidR="007D4619" w:rsidRPr="006571AC">
        <w:rPr>
          <w:rFonts w:ascii="Traditional Arabic" w:hAnsi="Traditional Arabic" w:hint="cs"/>
          <w:sz w:val="27"/>
          <w:rtl/>
          <w:lang w:bidi="ar-LB"/>
        </w:rPr>
        <w:t>ٍ</w:t>
      </w:r>
      <w:r w:rsidRPr="006571AC">
        <w:rPr>
          <w:rFonts w:ascii="Traditional Arabic" w:hAnsi="Traditional Arabic"/>
          <w:sz w:val="27"/>
          <w:rtl/>
          <w:lang w:bidi="ar-LB"/>
        </w:rPr>
        <w:t xml:space="preserve"> وثيق بمسألة بطون القرآن</w:t>
      </w:r>
      <w:r w:rsidR="007D4619" w:rsidRPr="006571AC">
        <w:rPr>
          <w:rFonts w:ascii="Traditional Arabic" w:hAnsi="Traditional Arabic" w:hint="cs"/>
          <w:sz w:val="27"/>
          <w:rtl/>
          <w:lang w:bidi="ar-LB"/>
        </w:rPr>
        <w:t>،</w:t>
      </w:r>
      <w:r w:rsidRPr="006571AC">
        <w:rPr>
          <w:rFonts w:ascii="Traditional Arabic" w:hAnsi="Traditional Arabic"/>
          <w:sz w:val="27"/>
          <w:rtl/>
          <w:lang w:bidi="ar-LB"/>
        </w:rPr>
        <w:t xml:space="preserve"> التي ترتبط بقضي</w:t>
      </w:r>
      <w:r w:rsidR="007D4619" w:rsidRPr="006571AC">
        <w:rPr>
          <w:rFonts w:ascii="Traditional Arabic" w:hAnsi="Traditional Arabic" w:hint="cs"/>
          <w:sz w:val="27"/>
          <w:rtl/>
          <w:lang w:bidi="ar-LB"/>
        </w:rPr>
        <w:t>ّ</w:t>
      </w:r>
      <w:r w:rsidRPr="006571AC">
        <w:rPr>
          <w:rFonts w:ascii="Traditional Arabic" w:hAnsi="Traditional Arabic"/>
          <w:sz w:val="27"/>
          <w:rtl/>
          <w:lang w:bidi="ar-LB"/>
        </w:rPr>
        <w:t>ة ف</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ه</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م حقيقة القرآن الكريم</w:t>
      </w:r>
      <w:r w:rsidR="007D4619" w:rsidRPr="006571AC">
        <w:rPr>
          <w:rFonts w:ascii="Traditional Arabic" w:hAnsi="Traditional Arabic" w:hint="cs"/>
          <w:sz w:val="27"/>
          <w:rtl/>
          <w:lang w:bidi="ar-LB"/>
        </w:rPr>
        <w:t>،</w:t>
      </w:r>
      <w:r w:rsidRPr="006571AC">
        <w:rPr>
          <w:rFonts w:ascii="Traditional Arabic" w:hAnsi="Traditional Arabic"/>
          <w:sz w:val="27"/>
          <w:rtl/>
          <w:lang w:bidi="ar-LB"/>
        </w:rPr>
        <w:t xml:space="preserve"> وتحديد طبيعته.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وعليه، المتبن</w:t>
      </w:r>
      <w:r w:rsidRPr="006571AC">
        <w:rPr>
          <w:rFonts w:ascii="Traditional Arabic" w:hAnsi="Traditional Arabic" w:hint="cs"/>
          <w:sz w:val="27"/>
          <w:rtl/>
          <w:lang w:bidi="ar-LB"/>
        </w:rPr>
        <w:t>ّ</w:t>
      </w:r>
      <w:r w:rsidR="007D4619" w:rsidRPr="006571AC">
        <w:rPr>
          <w:rFonts w:ascii="Traditional Arabic" w:hAnsi="Traditional Arabic" w:hint="cs"/>
          <w:sz w:val="27"/>
          <w:rtl/>
          <w:lang w:bidi="ar-LB"/>
        </w:rPr>
        <w:t>َ</w:t>
      </w:r>
      <w:r w:rsidRPr="006571AC">
        <w:rPr>
          <w:rFonts w:ascii="Traditional Arabic" w:hAnsi="Traditional Arabic"/>
          <w:sz w:val="27"/>
          <w:rtl/>
          <w:lang w:bidi="ar-LB"/>
        </w:rPr>
        <w:t>يات الثلاثة الأخيرة تعود بالنهاية إلى حقيقة القرآن الكريم</w:t>
      </w:r>
      <w:r w:rsidR="00C67FA8">
        <w:rPr>
          <w:rFonts w:ascii="Traditional Arabic" w:hAnsi="Traditional Arabic" w:hint="cs"/>
          <w:sz w:val="27"/>
          <w:rtl/>
          <w:lang w:bidi="ar-LB"/>
        </w:rPr>
        <w:t>،</w:t>
      </w:r>
      <w:r w:rsidRPr="006571AC">
        <w:rPr>
          <w:rFonts w:ascii="Traditional Arabic" w:hAnsi="Traditional Arabic"/>
          <w:sz w:val="27"/>
          <w:rtl/>
          <w:lang w:bidi="ar-LB"/>
        </w:rPr>
        <w:t xml:space="preserve"> وجميعها أث</w:t>
      </w:r>
      <w:r w:rsidRPr="006571AC">
        <w:rPr>
          <w:rFonts w:ascii="Traditional Arabic" w:hAnsi="Traditional Arabic" w:hint="cs"/>
          <w:sz w:val="27"/>
          <w:rtl/>
          <w:lang w:bidi="ar-LB"/>
        </w:rPr>
        <w:t>ّ</w:t>
      </w:r>
      <w:r w:rsidR="007D4619" w:rsidRPr="006571AC">
        <w:rPr>
          <w:rFonts w:ascii="Traditional Arabic" w:hAnsi="Traditional Arabic" w:hint="cs"/>
          <w:sz w:val="27"/>
          <w:rtl/>
          <w:lang w:bidi="ar-LB"/>
        </w:rPr>
        <w:t>َ</w:t>
      </w:r>
      <w:r w:rsidRPr="006571AC">
        <w:rPr>
          <w:rFonts w:ascii="Traditional Arabic" w:hAnsi="Traditional Arabic"/>
          <w:sz w:val="27"/>
          <w:rtl/>
          <w:lang w:bidi="ar-LB"/>
        </w:rPr>
        <w:t>ر</w:t>
      </w:r>
      <w:r w:rsidR="007D4619" w:rsidRPr="006571AC">
        <w:rPr>
          <w:rFonts w:ascii="Traditional Arabic" w:hAnsi="Traditional Arabic" w:hint="cs"/>
          <w:sz w:val="27"/>
          <w:rtl/>
          <w:lang w:bidi="ar-LB"/>
        </w:rPr>
        <w:t>َ</w:t>
      </w:r>
      <w:r w:rsidRPr="006571AC">
        <w:rPr>
          <w:rFonts w:ascii="Traditional Arabic" w:hAnsi="Traditional Arabic"/>
          <w:sz w:val="27"/>
          <w:rtl/>
          <w:lang w:bidi="ar-LB"/>
        </w:rPr>
        <w:t>ت</w:t>
      </w:r>
      <w:r w:rsidR="007D4619"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استنطاق الآيات. </w:t>
      </w:r>
    </w:p>
    <w:p w:rsidR="00AC7492" w:rsidRPr="006571AC" w:rsidRDefault="00AC7492" w:rsidP="00AC7492">
      <w:pPr>
        <w:spacing w:line="420" w:lineRule="exact"/>
        <w:rPr>
          <w:sz w:val="27"/>
          <w:rtl/>
        </w:rPr>
      </w:pPr>
    </w:p>
    <w:p w:rsidR="001667A3" w:rsidRPr="006571AC" w:rsidRDefault="00F2221E" w:rsidP="00846C68">
      <w:pPr>
        <w:pStyle w:val="31"/>
        <w:rPr>
          <w:color w:val="auto"/>
          <w:rtl/>
          <w:lang w:bidi="ar-LB"/>
        </w:rPr>
      </w:pPr>
      <w:bookmarkStart w:id="301" w:name="_Toc114164727"/>
      <w:r w:rsidRPr="006571AC">
        <w:rPr>
          <w:rFonts w:hint="cs"/>
          <w:b/>
          <w:color w:val="auto"/>
          <w:rtl/>
          <w:lang w:bidi="ar-LB"/>
        </w:rPr>
        <w:t>1ـ</w:t>
      </w:r>
      <w:r w:rsidR="001667A3" w:rsidRPr="006571AC">
        <w:rPr>
          <w:b/>
          <w:color w:val="auto"/>
          <w:rtl/>
          <w:lang w:bidi="ar-LB"/>
        </w:rPr>
        <w:t xml:space="preserve"> </w:t>
      </w:r>
      <w:r w:rsidR="001667A3" w:rsidRPr="006571AC">
        <w:rPr>
          <w:color w:val="auto"/>
          <w:rtl/>
          <w:lang w:bidi="ar-LB"/>
        </w:rPr>
        <w:t>حقيقة القرآن الكريم</w:t>
      </w:r>
      <w:bookmarkEnd w:id="301"/>
    </w:p>
    <w:p w:rsidR="001667A3" w:rsidRPr="006571AC" w:rsidRDefault="007D4619" w:rsidP="00E95310">
      <w:pPr>
        <w:rPr>
          <w:rFonts w:ascii="Traditional Arabic" w:hAnsi="Traditional Arabic"/>
          <w:sz w:val="27"/>
          <w:rtl/>
          <w:lang w:bidi="ar-LB"/>
        </w:rPr>
      </w:pPr>
      <w:r w:rsidRPr="006571AC">
        <w:rPr>
          <w:rFonts w:ascii="Traditional Arabic" w:hAnsi="Traditional Arabic"/>
          <w:sz w:val="27"/>
          <w:rtl/>
          <w:lang w:bidi="ar-LB"/>
        </w:rPr>
        <w:t>يرى السي</w:t>
      </w:r>
      <w:r w:rsidR="001667A3" w:rsidRPr="006571AC">
        <w:rPr>
          <w:rFonts w:ascii="Traditional Arabic" w:hAnsi="Traditional Arabic"/>
          <w:sz w:val="27"/>
          <w:rtl/>
          <w:lang w:bidi="ar-LB"/>
        </w:rPr>
        <w:t>د فضل الله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وفقا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للنظرة العام</w:t>
      </w:r>
      <w:r w:rsidR="001667A3" w:rsidRPr="006571AC">
        <w:rPr>
          <w:rFonts w:ascii="Traditional Arabic" w:hAnsi="Traditional Arabic" w:hint="cs"/>
          <w:sz w:val="27"/>
          <w:rtl/>
          <w:lang w:bidi="ar-LB"/>
        </w:rPr>
        <w:t>ّ</w:t>
      </w:r>
      <w:r w:rsidR="001667A3" w:rsidRPr="006571AC">
        <w:rPr>
          <w:rFonts w:ascii="Traditional Arabic" w:hAnsi="Traditional Arabic"/>
          <w:sz w:val="27"/>
          <w:rtl/>
          <w:lang w:bidi="ar-LB"/>
        </w:rPr>
        <w:t>ة في فهم حقيقية القرآن الكريم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أنه كتاب الله المنزل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والذي كان موجودا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اللوح المحفوظ</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الذي هو كناية</w:t>
      </w:r>
      <w:r w:rsidR="000A6B10"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عن علم الله تعالى، أنزله الله بواسطة جبرئيل على قلب النبي</w:t>
      </w:r>
      <w:r w:rsidRPr="006571AC">
        <w:rPr>
          <w:rFonts w:ascii="Mosawi" w:hAnsi="Mosawi" w:cs="Mosawi" w:hint="cs"/>
          <w:sz w:val="22"/>
          <w:szCs w:val="22"/>
          <w:rtl/>
        </w:rPr>
        <w:t>ّ</w:t>
      </w:r>
      <w:r w:rsidR="002A2C90" w:rsidRPr="006571AC">
        <w:rPr>
          <w:rFonts w:ascii="Mosawi" w:hAnsi="Mosawi" w:cs="Mosawi"/>
          <w:sz w:val="22"/>
          <w:szCs w:val="22"/>
          <w:rtl/>
        </w:rPr>
        <w:t>|</w:t>
      </w:r>
      <w:r w:rsidR="001667A3" w:rsidRPr="006571AC">
        <w:rPr>
          <w:rFonts w:ascii="Traditional Arabic" w:hAnsi="Traditional Arabic"/>
          <w:sz w:val="27"/>
          <w:rtl/>
          <w:lang w:bidi="ar-LB"/>
        </w:rPr>
        <w:t xml:space="preserve"> بصورة ألفاظ وكلمات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معتمدا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فقط على أساليب العرب في البيان والإفهام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حيث الخصائص الفني</w:t>
      </w:r>
      <w:r w:rsidR="001667A3"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ة التي </w:t>
      </w:r>
      <w:r w:rsidR="001667A3" w:rsidRPr="006571AC">
        <w:rPr>
          <w:rFonts w:ascii="Traditional Arabic" w:hAnsi="Traditional Arabic"/>
          <w:sz w:val="27"/>
          <w:rtl/>
          <w:lang w:bidi="ar-LB"/>
        </w:rPr>
        <w:lastRenderedPageBreak/>
        <w:t>تحمل الإيحاءات والإشارات المطلوب إيصالها بواسطة هذه اللغة الع</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في</w:t>
      </w:r>
      <w:r w:rsidR="001667A3" w:rsidRPr="006571AC">
        <w:rPr>
          <w:rFonts w:ascii="Traditional Arabic" w:hAnsi="Traditional Arabic" w:hint="cs"/>
          <w:sz w:val="27"/>
          <w:rtl/>
          <w:lang w:bidi="ar-LB"/>
        </w:rPr>
        <w:t>ّ</w:t>
      </w:r>
      <w:r w:rsidR="001667A3" w:rsidRPr="006571AC">
        <w:rPr>
          <w:rFonts w:ascii="Traditional Arabic" w:hAnsi="Traditional Arabic"/>
          <w:sz w:val="27"/>
          <w:rtl/>
          <w:lang w:bidi="ar-LB"/>
        </w:rPr>
        <w:t>ة البسيطة</w:t>
      </w:r>
      <w:r w:rsidR="001667A3" w:rsidRPr="006571AC">
        <w:rPr>
          <w:rFonts w:ascii="Traditional Arabic" w:hAnsi="Traditional Arabic"/>
          <w:sz w:val="27"/>
          <w:vertAlign w:val="superscript"/>
          <w:rtl/>
          <w:lang w:bidi="ar-LB"/>
        </w:rPr>
        <w:t>(</w:t>
      </w:r>
      <w:r w:rsidR="001667A3" w:rsidRPr="006571AC">
        <w:rPr>
          <w:rStyle w:val="ac"/>
          <w:rFonts w:ascii="Traditional Arabic" w:hAnsi="Traditional Arabic"/>
          <w:sz w:val="27"/>
          <w:rtl/>
          <w:lang w:bidi="ar-LB"/>
        </w:rPr>
        <w:endnoteReference w:id="462"/>
      </w:r>
      <w:r w:rsidR="001667A3" w:rsidRPr="006571AC">
        <w:rPr>
          <w:rFonts w:ascii="Traditional Arabic" w:hAnsi="Traditional Arabic"/>
          <w:sz w:val="27"/>
          <w:vertAlign w:val="superscript"/>
          <w:rtl/>
          <w:lang w:bidi="ar-LB"/>
        </w:rPr>
        <w:t>)</w:t>
      </w:r>
      <w:r w:rsidR="001667A3" w:rsidRPr="006571AC">
        <w:rPr>
          <w:rFonts w:ascii="Traditional Arabic" w:hAnsi="Traditional Arabic"/>
          <w:sz w:val="27"/>
          <w:rtl/>
          <w:lang w:bidi="ar-LB"/>
        </w:rPr>
        <w:t xml:space="preserve">. وقد اعتمد في سبيل </w:t>
      </w:r>
      <w:r w:rsidR="00E95310" w:rsidRPr="006571AC">
        <w:rPr>
          <w:rFonts w:ascii="Traditional Arabic" w:hAnsi="Traditional Arabic" w:hint="cs"/>
          <w:sz w:val="27"/>
          <w:rtl/>
          <w:lang w:bidi="ar-LB"/>
        </w:rPr>
        <w:t>إ</w:t>
      </w:r>
      <w:r w:rsidR="001667A3" w:rsidRPr="006571AC">
        <w:rPr>
          <w:rFonts w:ascii="Traditional Arabic" w:hAnsi="Traditional Arabic"/>
          <w:sz w:val="27"/>
          <w:rtl/>
          <w:lang w:bidi="ar-LB"/>
        </w:rPr>
        <w:t>ثبات هذا المد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عى على بعض آيات القرآن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التي تفصح عن كونه قرآنا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عربي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مثل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قوله تعالى: </w:t>
      </w:r>
      <w:r w:rsidR="001667A3" w:rsidRPr="006571AC">
        <w:rPr>
          <w:rFonts w:ascii="Mosawi" w:hAnsi="Mosawi" w:cs="Mosawi"/>
          <w:sz w:val="24"/>
          <w:szCs w:val="24"/>
          <w:rtl/>
        </w:rPr>
        <w:t>﴿</w:t>
      </w:r>
      <w:r w:rsidR="001667A3" w:rsidRPr="006571AC">
        <w:rPr>
          <w:rFonts w:ascii="Traditional Arabic" w:hAnsi="Traditional Arabic"/>
          <w:b/>
          <w:bCs/>
          <w:sz w:val="27"/>
          <w:rtl/>
          <w:lang w:bidi="ar-LB"/>
        </w:rPr>
        <w:t>إِنَّا أَنزَلْنَاهُ قُرْآن</w:t>
      </w:r>
      <w:r w:rsidR="00731867" w:rsidRPr="006571AC">
        <w:rPr>
          <w:rFonts w:ascii="Traditional Arabic" w:hAnsi="Traditional Arabic"/>
          <w:b/>
          <w:bCs/>
          <w:sz w:val="27"/>
          <w:rtl/>
          <w:lang w:bidi="ar-LB"/>
        </w:rPr>
        <w:t>اً</w:t>
      </w:r>
      <w:r w:rsidR="001667A3" w:rsidRPr="006571AC">
        <w:rPr>
          <w:rFonts w:ascii="Traditional Arabic" w:hAnsi="Traditional Arabic"/>
          <w:b/>
          <w:bCs/>
          <w:sz w:val="27"/>
          <w:rtl/>
          <w:lang w:bidi="ar-LB"/>
        </w:rPr>
        <w:t xml:space="preserve"> عَرَبِيّ</w:t>
      </w:r>
      <w:r w:rsidR="00731867" w:rsidRPr="006571AC">
        <w:rPr>
          <w:rFonts w:ascii="Traditional Arabic" w:hAnsi="Traditional Arabic"/>
          <w:b/>
          <w:bCs/>
          <w:sz w:val="27"/>
          <w:rtl/>
          <w:lang w:bidi="ar-LB"/>
        </w:rPr>
        <w:t>اً</w:t>
      </w:r>
      <w:r w:rsidR="001667A3" w:rsidRPr="006571AC">
        <w:rPr>
          <w:rFonts w:ascii="Traditional Arabic" w:hAnsi="Traditional Arabic"/>
          <w:b/>
          <w:bCs/>
          <w:sz w:val="27"/>
          <w:rtl/>
          <w:lang w:bidi="ar-LB"/>
        </w:rPr>
        <w:t xml:space="preserve"> لَّعَلَّكُمْ تَعْقِلُونَ</w:t>
      </w:r>
      <w:r w:rsidR="001667A3" w:rsidRPr="006571AC">
        <w:rPr>
          <w:rFonts w:ascii="Mosawi" w:hAnsi="Mosawi" w:cs="Mosawi"/>
          <w:sz w:val="24"/>
          <w:szCs w:val="24"/>
          <w:rtl/>
        </w:rPr>
        <w:t>﴾</w:t>
      </w:r>
      <w:r w:rsidR="001667A3" w:rsidRPr="006571AC">
        <w:rPr>
          <w:rFonts w:ascii="Traditional Arabic" w:hAnsi="Traditional Arabic"/>
          <w:b/>
          <w:bCs/>
          <w:sz w:val="27"/>
          <w:rtl/>
          <w:lang w:bidi="ar-LB"/>
        </w:rPr>
        <w:t xml:space="preserve"> (</w:t>
      </w:r>
      <w:r w:rsidR="001667A3" w:rsidRPr="006571AC">
        <w:rPr>
          <w:rFonts w:ascii="Traditional Arabic" w:hAnsi="Traditional Arabic"/>
          <w:sz w:val="27"/>
          <w:rtl/>
          <w:lang w:bidi="ar-LB"/>
        </w:rPr>
        <w:t>يوسف: 2)</w:t>
      </w:r>
      <w:r w:rsidR="00E95310"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r w:rsidR="00E95310" w:rsidRPr="006571AC">
        <w:rPr>
          <w:rFonts w:ascii="Traditional Arabic" w:hAnsi="Traditional Arabic" w:hint="cs"/>
          <w:sz w:val="27"/>
          <w:rtl/>
        </w:rPr>
        <w:t>و</w:t>
      </w:r>
      <w:r w:rsidR="001667A3" w:rsidRPr="006571AC">
        <w:rPr>
          <w:rFonts w:ascii="Mosawi" w:hAnsi="Mosawi" w:cs="Mosawi"/>
          <w:sz w:val="24"/>
          <w:szCs w:val="24"/>
          <w:rtl/>
        </w:rPr>
        <w:t>﴿</w:t>
      </w:r>
      <w:r w:rsidRPr="006571AC">
        <w:rPr>
          <w:rFonts w:ascii="Traditional Arabic" w:hAnsi="Traditional Arabic"/>
          <w:b/>
          <w:bCs/>
          <w:sz w:val="27"/>
          <w:rtl/>
          <w:lang w:bidi="ar-LB"/>
        </w:rPr>
        <w:t>نَزَلَ بِهِ الر</w:t>
      </w:r>
      <w:r w:rsidRPr="006571AC">
        <w:rPr>
          <w:rFonts w:ascii="Traditional Arabic" w:hAnsi="Traditional Arabic" w:hint="cs"/>
          <w:b/>
          <w:bCs/>
          <w:sz w:val="27"/>
          <w:rtl/>
          <w:lang w:bidi="ar-LB"/>
        </w:rPr>
        <w:t>ُّ</w:t>
      </w:r>
      <w:r w:rsidRPr="006571AC">
        <w:rPr>
          <w:rFonts w:ascii="Traditional Arabic" w:hAnsi="Traditional Arabic"/>
          <w:b/>
          <w:bCs/>
          <w:sz w:val="27"/>
          <w:rtl/>
          <w:lang w:bidi="ar-LB"/>
        </w:rPr>
        <w:t>وحُ ال</w:t>
      </w:r>
      <w:r w:rsidR="001667A3" w:rsidRPr="006571AC">
        <w:rPr>
          <w:rFonts w:ascii="Traditional Arabic" w:hAnsi="Traditional Arabic"/>
          <w:b/>
          <w:bCs/>
          <w:sz w:val="27"/>
          <w:rtl/>
          <w:lang w:bidi="ar-LB"/>
        </w:rPr>
        <w:t>أَمِينُ *</w:t>
      </w:r>
      <w:r w:rsidRPr="006571AC">
        <w:rPr>
          <w:rFonts w:ascii="Traditional Arabic" w:hAnsi="Traditional Arabic" w:hint="cs"/>
          <w:b/>
          <w:bCs/>
          <w:sz w:val="27"/>
          <w:rtl/>
          <w:lang w:bidi="ar-LB"/>
        </w:rPr>
        <w:t xml:space="preserve"> </w:t>
      </w:r>
      <w:r w:rsidR="001667A3" w:rsidRPr="006571AC">
        <w:rPr>
          <w:rFonts w:ascii="Traditional Arabic" w:hAnsi="Traditional Arabic"/>
          <w:b/>
          <w:bCs/>
          <w:sz w:val="27"/>
          <w:rtl/>
          <w:lang w:bidi="ar-LB"/>
        </w:rPr>
        <w:t>عَل</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ى‌ قَلْبِكَ لِتَكُونَ مِنَ الْمُنْذِرِينَ * بِلِس</w:t>
      </w:r>
      <w:r w:rsidRPr="006571AC">
        <w:rPr>
          <w:rFonts w:ascii="Traditional Arabic" w:hAnsi="Traditional Arabic" w:hint="cs"/>
          <w:b/>
          <w:bCs/>
          <w:sz w:val="27"/>
          <w:rtl/>
          <w:lang w:bidi="ar-LB"/>
        </w:rPr>
        <w:t>َ</w:t>
      </w:r>
      <w:r w:rsidRPr="006571AC">
        <w:rPr>
          <w:rFonts w:ascii="Traditional Arabic" w:hAnsi="Traditional Arabic"/>
          <w:b/>
          <w:bCs/>
          <w:sz w:val="27"/>
          <w:rtl/>
          <w:lang w:bidi="ar-LB"/>
        </w:rPr>
        <w:t>انٍ عَرَبِي</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 xml:space="preserve"> مُبِينٍ</w:t>
      </w:r>
      <w:r w:rsidR="001667A3" w:rsidRPr="006571AC">
        <w:rPr>
          <w:rFonts w:ascii="Mosawi" w:hAnsi="Mosawi" w:cs="Mosawi"/>
          <w:sz w:val="24"/>
          <w:szCs w:val="24"/>
          <w:rtl/>
        </w:rPr>
        <w:t>﴾</w:t>
      </w:r>
      <w:r w:rsidR="001667A3" w:rsidRPr="006571AC">
        <w:rPr>
          <w:rFonts w:ascii="Traditional Arabic" w:hAnsi="Traditional Arabic"/>
          <w:b/>
          <w:bCs/>
          <w:sz w:val="27"/>
          <w:rtl/>
          <w:lang w:bidi="ar-LB"/>
        </w:rPr>
        <w:t xml:space="preserve"> </w:t>
      </w:r>
      <w:r w:rsidR="001667A3" w:rsidRPr="006571AC">
        <w:rPr>
          <w:rFonts w:ascii="Traditional Arabic" w:hAnsi="Traditional Arabic"/>
          <w:sz w:val="27"/>
          <w:rtl/>
          <w:lang w:bidi="ar-LB"/>
        </w:rPr>
        <w:t>(الشعراء 193 ـ 195). وب</w:t>
      </w:r>
      <w:r w:rsidRPr="006571AC">
        <w:rPr>
          <w:rFonts w:ascii="Traditional Arabic" w:hAnsi="Traditional Arabic"/>
          <w:sz w:val="27"/>
          <w:rtl/>
          <w:lang w:bidi="ar-LB"/>
        </w:rPr>
        <w:t>هذا فإن السي</w:t>
      </w:r>
      <w:r w:rsidR="001667A3" w:rsidRPr="006571AC">
        <w:rPr>
          <w:rFonts w:ascii="Traditional Arabic" w:hAnsi="Traditional Arabic"/>
          <w:sz w:val="27"/>
          <w:rtl/>
          <w:lang w:bidi="ar-LB"/>
        </w:rPr>
        <w:t>د</w:t>
      </w:r>
      <w:r w:rsidRPr="006571AC">
        <w:rPr>
          <w:rFonts w:ascii="Traditional Arabic" w:hAnsi="Traditional Arabic" w:hint="cs"/>
          <w:sz w:val="27"/>
          <w:rtl/>
          <w:lang w:bidi="ar-LB"/>
        </w:rPr>
        <w:t xml:space="preserve"> فضل الله</w:t>
      </w:r>
      <w:r w:rsidR="001667A3" w:rsidRPr="006571AC">
        <w:rPr>
          <w:rFonts w:ascii="Traditional Arabic" w:hAnsi="Traditional Arabic"/>
          <w:sz w:val="27"/>
          <w:rtl/>
          <w:lang w:bidi="ar-LB"/>
        </w:rPr>
        <w:t xml:space="preserve"> لم يحت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ج</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إلى أزيد مما 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نه القرآن عن حقيقة نفسه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وفي طبيعة اللغة التي استخدمها، فاعتمد على آيات القرآن فقط</w:t>
      </w:r>
      <w:r w:rsidR="006C505C"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وتبن</w:t>
      </w:r>
      <w:r w:rsidR="006C505C" w:rsidRPr="006571AC">
        <w:rPr>
          <w:rFonts w:ascii="Traditional Arabic" w:hAnsi="Traditional Arabic" w:hint="cs"/>
          <w:sz w:val="27"/>
          <w:rtl/>
          <w:lang w:bidi="ar-LB"/>
        </w:rPr>
        <w:t>ّ</w:t>
      </w:r>
      <w:r w:rsidR="001667A3" w:rsidRPr="006571AC">
        <w:rPr>
          <w:rFonts w:ascii="Traditional Arabic" w:hAnsi="Traditional Arabic"/>
          <w:sz w:val="27"/>
          <w:rtl/>
          <w:lang w:bidi="ar-LB"/>
        </w:rPr>
        <w:t>ى هذه النظرة البسيطة الخالية من التعقيد في فهم حقيقة القرآن</w:t>
      </w:r>
      <w:r w:rsidR="006C505C"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وطريقة مخاطبته.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وبذلك فقد حمل الآيات التي يفهم منها العربي</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البسيط المعنى الكنائي أو المجازي على الكناية والمجازية، واحتج</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بذلك أن هذا هو المفهوم بح</w:t>
      </w:r>
      <w:r w:rsidR="006C505C" w:rsidRPr="006571AC">
        <w:rPr>
          <w:rFonts w:ascii="Traditional Arabic" w:hAnsi="Traditional Arabic" w:hint="cs"/>
          <w:sz w:val="27"/>
          <w:rtl/>
          <w:lang w:bidi="ar-LB"/>
        </w:rPr>
        <w:t>َ</w:t>
      </w:r>
      <w:r w:rsidRPr="006571AC">
        <w:rPr>
          <w:rFonts w:ascii="Traditional Arabic" w:hAnsi="Traditional Arabic"/>
          <w:sz w:val="27"/>
          <w:rtl/>
          <w:lang w:bidi="ar-LB"/>
        </w:rPr>
        <w:t>س</w:t>
      </w:r>
      <w:r w:rsidR="006C505C" w:rsidRPr="006571AC">
        <w:rPr>
          <w:rFonts w:ascii="Traditional Arabic" w:hAnsi="Traditional Arabic" w:hint="cs"/>
          <w:sz w:val="27"/>
          <w:rtl/>
          <w:lang w:bidi="ar-LB"/>
        </w:rPr>
        <w:t>َ</w:t>
      </w:r>
      <w:r w:rsidRPr="006571AC">
        <w:rPr>
          <w:rFonts w:ascii="Traditional Arabic" w:hAnsi="Traditional Arabic"/>
          <w:sz w:val="27"/>
          <w:rtl/>
          <w:lang w:bidi="ar-LB"/>
        </w:rPr>
        <w:t>ب أساليب البيان العربي</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وقد صر</w:t>
      </w:r>
      <w:r w:rsidR="006C505C" w:rsidRPr="006571AC">
        <w:rPr>
          <w:rFonts w:ascii="Traditional Arabic" w:hAnsi="Traditional Arabic" w:hint="cs"/>
          <w:sz w:val="27"/>
          <w:rtl/>
          <w:lang w:bidi="ar-LB"/>
        </w:rPr>
        <w:t>َّ</w:t>
      </w:r>
      <w:r w:rsidRPr="006571AC">
        <w:rPr>
          <w:rFonts w:ascii="Traditional Arabic" w:hAnsi="Traditional Arabic"/>
          <w:sz w:val="27"/>
          <w:rtl/>
          <w:lang w:bidi="ar-LB"/>
        </w:rPr>
        <w:t>ح القرآن بأنه اعتمدها. مثلا</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حمل قوله تعالى: </w:t>
      </w:r>
      <w:r w:rsidRPr="006571AC">
        <w:rPr>
          <w:rFonts w:ascii="Mosawi" w:hAnsi="Mosawi" w:cs="Mosawi"/>
          <w:sz w:val="24"/>
          <w:szCs w:val="24"/>
          <w:rtl/>
        </w:rPr>
        <w:t>﴿</w:t>
      </w:r>
      <w:r w:rsidRPr="006571AC">
        <w:rPr>
          <w:rFonts w:ascii="Traditional Arabic" w:hAnsi="Traditional Arabic"/>
          <w:b/>
          <w:bCs/>
          <w:sz w:val="27"/>
          <w:rtl/>
        </w:rPr>
        <w:t>إ</w:t>
      </w:r>
      <w:r w:rsidRPr="006571AC">
        <w:rPr>
          <w:rFonts w:ascii="Traditional Arabic" w:hAnsi="Traditional Arabic"/>
          <w:b/>
          <w:bCs/>
          <w:sz w:val="27"/>
          <w:rtl/>
          <w:lang w:bidi="ar-LB"/>
        </w:rPr>
        <w:t>نَّ الَّذِينَ يَأْكُلُونَ أَمْوَالَ الْيَتَامَى ظُلْم</w:t>
      </w:r>
      <w:r w:rsidR="00731867" w:rsidRPr="006571AC">
        <w:rPr>
          <w:rFonts w:ascii="Traditional Arabic" w:hAnsi="Traditional Arabic"/>
          <w:b/>
          <w:bCs/>
          <w:sz w:val="27"/>
          <w:rtl/>
          <w:lang w:bidi="ar-LB"/>
        </w:rPr>
        <w:t>اً</w:t>
      </w:r>
      <w:r w:rsidRPr="006571AC">
        <w:rPr>
          <w:rFonts w:ascii="Traditional Arabic" w:hAnsi="Traditional Arabic"/>
          <w:b/>
          <w:bCs/>
          <w:sz w:val="27"/>
          <w:rtl/>
          <w:lang w:bidi="ar-LB"/>
        </w:rPr>
        <w:t xml:space="preserve"> إِنَّمَا يَأْكُلُونَ فِي بُطُونِهِمْ نَار</w:t>
      </w:r>
      <w:r w:rsidR="00731867" w:rsidRPr="006571AC">
        <w:rPr>
          <w:rFonts w:ascii="Traditional Arabic" w:hAnsi="Traditional Arabic"/>
          <w:b/>
          <w:bCs/>
          <w:sz w:val="27"/>
          <w:rtl/>
          <w:lang w:bidi="ar-LB"/>
        </w:rPr>
        <w:t>اً</w:t>
      </w:r>
      <w:r w:rsidRPr="006571AC">
        <w:rPr>
          <w:rFonts w:ascii="Mosawi" w:hAnsi="Mosawi" w:cs="Mosawi"/>
          <w:sz w:val="24"/>
          <w:szCs w:val="24"/>
          <w:rtl/>
        </w:rPr>
        <w:t>﴾</w:t>
      </w:r>
      <w:r w:rsidRPr="006571AC">
        <w:rPr>
          <w:rFonts w:ascii="Traditional Arabic" w:hAnsi="Traditional Arabic"/>
          <w:b/>
          <w:bCs/>
          <w:sz w:val="27"/>
          <w:rtl/>
          <w:lang w:bidi="ar-LB"/>
        </w:rPr>
        <w:t xml:space="preserve"> (</w:t>
      </w:r>
      <w:r w:rsidRPr="006571AC">
        <w:rPr>
          <w:rFonts w:ascii="Traditional Arabic" w:hAnsi="Traditional Arabic"/>
          <w:sz w:val="27"/>
          <w:rtl/>
          <w:lang w:bidi="ar-LB"/>
        </w:rPr>
        <w:t>النساء: 10) على الاستعارة</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63"/>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لأن هذا ما يفهمه العربي</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بشكل</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طبيعي</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أساس القواعد البلاغي</w:t>
      </w:r>
      <w:r w:rsidRPr="006571AC">
        <w:rPr>
          <w:rFonts w:ascii="Traditional Arabic" w:hAnsi="Traditional Arabic" w:hint="cs"/>
          <w:sz w:val="27"/>
          <w:rtl/>
          <w:lang w:bidi="ar-LB"/>
        </w:rPr>
        <w:t>ّ</w:t>
      </w:r>
      <w:r w:rsidRPr="006571AC">
        <w:rPr>
          <w:rFonts w:ascii="Traditional Arabic" w:hAnsi="Traditional Arabic"/>
          <w:sz w:val="27"/>
          <w:rtl/>
          <w:lang w:bidi="ar-LB"/>
        </w:rPr>
        <w:t>ة</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بنحو</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يتبادر هذا المعنى مباشرة</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إلى ذهنه عند السماع، ثم</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نقض على العلاّمة</w:t>
      </w:r>
      <w:r w:rsidR="006C505C"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حيث حمل الآية على الاستعمال الحقيقي</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لتدل</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بذلك على تجس</w:t>
      </w:r>
      <w:r w:rsidR="006C505C" w:rsidRPr="006571AC">
        <w:rPr>
          <w:rFonts w:ascii="Traditional Arabic" w:hAnsi="Traditional Arabic" w:hint="cs"/>
          <w:sz w:val="27"/>
          <w:rtl/>
          <w:lang w:bidi="ar-LB"/>
        </w:rPr>
        <w:t>ُّ</w:t>
      </w:r>
      <w:r w:rsidRPr="006571AC">
        <w:rPr>
          <w:rFonts w:ascii="Traditional Arabic" w:hAnsi="Traditional Arabic"/>
          <w:sz w:val="27"/>
          <w:rtl/>
          <w:lang w:bidi="ar-LB"/>
        </w:rPr>
        <w:t>م الأعمال</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64"/>
      </w:r>
      <w:r w:rsidRPr="006571AC">
        <w:rPr>
          <w:rFonts w:ascii="Traditional Arabic" w:hAnsi="Traditional Arabic"/>
          <w:sz w:val="27"/>
          <w:vertAlign w:val="superscript"/>
          <w:rtl/>
          <w:lang w:bidi="ar-LB"/>
        </w:rPr>
        <w:t>)</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بحج</w:t>
      </w:r>
      <w:r w:rsidR="006C505C" w:rsidRPr="006571AC">
        <w:rPr>
          <w:rFonts w:ascii="Traditional Arabic" w:hAnsi="Traditional Arabic" w:hint="cs"/>
          <w:sz w:val="27"/>
          <w:rtl/>
          <w:lang w:bidi="ar-LB"/>
        </w:rPr>
        <w:t>ّ</w:t>
      </w:r>
      <w:r w:rsidRPr="006571AC">
        <w:rPr>
          <w:rFonts w:ascii="Traditional Arabic" w:hAnsi="Traditional Arabic"/>
          <w:sz w:val="27"/>
          <w:rtl/>
          <w:lang w:bidi="ar-LB"/>
        </w:rPr>
        <w:t>ة أن هذا بعيد</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أذهان عموم العرب. </w:t>
      </w:r>
    </w:p>
    <w:p w:rsidR="001667A3" w:rsidRPr="006571AC" w:rsidRDefault="006C505C"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في مقابل ذلك كل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ه، ذهب العلاّمة</w:t>
      </w:r>
      <w:r w:rsidRPr="006571AC">
        <w:rPr>
          <w:rFonts w:ascii="Traditional Arabic" w:hAnsi="Traditional Arabic" w:hint="cs"/>
          <w:sz w:val="27"/>
          <w:rtl/>
          <w:lang w:bidi="ar-LB"/>
        </w:rPr>
        <w:t xml:space="preserve"> الطباطبائي،</w:t>
      </w:r>
      <w:r w:rsidR="001667A3" w:rsidRPr="006571AC">
        <w:rPr>
          <w:rFonts w:ascii="Traditional Arabic" w:hAnsi="Traditional Arabic"/>
          <w:sz w:val="27"/>
          <w:rtl/>
          <w:lang w:bidi="ar-LB"/>
        </w:rPr>
        <w:t xml:space="preserve"> ووفقا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لنظرة العرفاء للوجود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إلى فهم حقيقة القرآن بشكل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أكثر عمقا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وتعقيدا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فهو يرى أن حقيقته أعلى من أن تنالها الأفهام البسيطة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وأنها نزلت إلى مرتبة الذكر بلسان النبي</w:t>
      </w:r>
      <w:r w:rsidRPr="006571AC">
        <w:rPr>
          <w:rFonts w:ascii="Traditional Arabic" w:hAnsi="Traditional Arabic" w:hint="cs"/>
          <w:sz w:val="27"/>
          <w:rtl/>
          <w:lang w:bidi="ar-LB"/>
        </w:rPr>
        <w:t>ّ</w:t>
      </w:r>
      <w:r w:rsidR="002A2C90" w:rsidRPr="006571AC">
        <w:rPr>
          <w:rFonts w:ascii="Mosawi" w:hAnsi="Mosawi" w:cs="Mosawi"/>
          <w:sz w:val="22"/>
          <w:szCs w:val="22"/>
          <w:rtl/>
        </w:rPr>
        <w:t>|</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كي يعقلها عام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 الناس</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وإلاّ فإنه في مرتبته العالية عند الله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والمعب</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 عنها بأمّ الكتاب</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لا يتمك</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ن من فهمه إلاّ المطه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رون</w:t>
      </w:r>
      <w:r w:rsidR="00A2124E"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الذين أذهب الله عنهم الرجس وطه</w:t>
      </w:r>
      <w:r w:rsidR="00A2124E" w:rsidRPr="006571AC">
        <w:rPr>
          <w:rFonts w:ascii="Traditional Arabic" w:hAnsi="Traditional Arabic" w:hint="cs"/>
          <w:sz w:val="27"/>
          <w:rtl/>
          <w:lang w:bidi="ar-LB"/>
        </w:rPr>
        <w:t>َّ</w:t>
      </w:r>
      <w:r w:rsidR="001667A3" w:rsidRPr="006571AC">
        <w:rPr>
          <w:rFonts w:ascii="Traditional Arabic" w:hAnsi="Traditional Arabic"/>
          <w:sz w:val="27"/>
          <w:rtl/>
          <w:lang w:bidi="ar-LB"/>
        </w:rPr>
        <w:t>رهم تطهيرا</w:t>
      </w:r>
      <w:r w:rsidR="00A2124E"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p>
    <w:p w:rsidR="001667A3" w:rsidRPr="006571AC" w:rsidRDefault="001667A3" w:rsidP="00CF10C1">
      <w:pPr>
        <w:rPr>
          <w:rFonts w:ascii="Traditional Arabic" w:hAnsi="Traditional Arabic"/>
          <w:sz w:val="27"/>
          <w:rtl/>
          <w:lang w:bidi="ar-LB"/>
        </w:rPr>
      </w:pPr>
      <w:r w:rsidRPr="006571AC">
        <w:rPr>
          <w:rFonts w:ascii="Traditional Arabic" w:hAnsi="Traditional Arabic"/>
          <w:sz w:val="27"/>
          <w:rtl/>
          <w:lang w:bidi="ar-LB"/>
        </w:rPr>
        <w:t>وهذا يحتاج إلى مزيد بيان</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لنفهم كيف ربط العلاّمة</w:t>
      </w:r>
      <w:r w:rsidR="00A2124E"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بين حقيقة القرآن والوجود. يرى </w:t>
      </w:r>
      <w:r w:rsidR="00A2124E" w:rsidRPr="006571AC">
        <w:rPr>
          <w:rFonts w:ascii="Traditional Arabic" w:hAnsi="Traditional Arabic" w:hint="cs"/>
          <w:sz w:val="27"/>
          <w:rtl/>
          <w:lang w:bidi="ar-LB"/>
        </w:rPr>
        <w:t>الطباطبائي</w:t>
      </w:r>
      <w:r w:rsidRPr="006571AC">
        <w:rPr>
          <w:rFonts w:ascii="Traditional Arabic" w:hAnsi="Traditional Arabic"/>
          <w:sz w:val="27"/>
          <w:rtl/>
          <w:lang w:bidi="ar-LB"/>
        </w:rPr>
        <w:t xml:space="preserve"> أن هذا الوجود بكل</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ما فيه من موجودات ـ والقرآن واحدٌ منها ـ يعود إلى قوس</w:t>
      </w:r>
      <w:r w:rsidR="00A2124E" w:rsidRPr="006571AC">
        <w:rPr>
          <w:rFonts w:ascii="Traditional Arabic" w:hAnsi="Traditional Arabic" w:hint="cs"/>
          <w:sz w:val="27"/>
          <w:rtl/>
          <w:lang w:bidi="ar-LB"/>
        </w:rPr>
        <w:t>َ</w:t>
      </w:r>
      <w:r w:rsidRPr="006571AC">
        <w:rPr>
          <w:rFonts w:ascii="Traditional Arabic" w:hAnsi="Traditional Arabic"/>
          <w:sz w:val="27"/>
          <w:rtl/>
          <w:lang w:bidi="ar-LB"/>
        </w:rPr>
        <w:t>ي</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النزول والصعود، بمعنى أن هذا الوجود ينحصر في الله تعالى حقيقةً</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تعالى في مرتبته وجودٌ مطلق</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وأشد</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ك</w:t>
      </w:r>
      <w:r w:rsidR="00CF10C1" w:rsidRPr="006571AC">
        <w:rPr>
          <w:rFonts w:ascii="Traditional Arabic" w:hAnsi="Traditional Arabic" w:hint="cs"/>
          <w:sz w:val="27"/>
          <w:rtl/>
          <w:lang w:bidi="ar-LB"/>
        </w:rPr>
        <w:t>مالاً</w:t>
      </w:r>
      <w:r w:rsidRPr="006571AC">
        <w:rPr>
          <w:rFonts w:ascii="Traditional Arabic" w:hAnsi="Traditional Arabic"/>
          <w:sz w:val="27"/>
          <w:rtl/>
          <w:lang w:bidi="ar-LB"/>
        </w:rPr>
        <w:t xml:space="preserve"> من كل</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ما عداه من مراتب، ثم</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هذا الوجود للذات الإلهية نزل درجة</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إلى المرتبة الثانية</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وتجلّى فيها</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فصار </w:t>
      </w:r>
      <w:r w:rsidRPr="006571AC">
        <w:rPr>
          <w:rFonts w:ascii="Traditional Arabic" w:hAnsi="Traditional Arabic"/>
          <w:sz w:val="27"/>
          <w:rtl/>
          <w:lang w:bidi="ar-LB"/>
        </w:rPr>
        <w:lastRenderedPageBreak/>
        <w:t>أضعف من الدرجة الأعلى</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ثم</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نزل درجة</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أخرى</w:t>
      </w:r>
      <w:r w:rsidR="00A2124E" w:rsidRPr="006571AC">
        <w:rPr>
          <w:rFonts w:ascii="Traditional Arabic" w:hAnsi="Traditional Arabic" w:hint="cs"/>
          <w:sz w:val="27"/>
          <w:rtl/>
          <w:lang w:bidi="ar-LB"/>
        </w:rPr>
        <w:t xml:space="preserve">، </w:t>
      </w:r>
      <w:r w:rsidRPr="006571AC">
        <w:rPr>
          <w:rFonts w:ascii="Traditional Arabic" w:hAnsi="Traditional Arabic"/>
          <w:sz w:val="27"/>
          <w:rtl/>
          <w:lang w:bidi="ar-LB"/>
        </w:rPr>
        <w:t>فصار أيضا</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أضعف مم</w:t>
      </w:r>
      <w:r w:rsidR="00A2124E" w:rsidRPr="006571AC">
        <w:rPr>
          <w:rFonts w:ascii="Traditional Arabic" w:hAnsi="Traditional Arabic" w:hint="cs"/>
          <w:sz w:val="27"/>
          <w:rtl/>
          <w:lang w:bidi="ar-LB"/>
        </w:rPr>
        <w:t>ّ</w:t>
      </w:r>
      <w:r w:rsidRPr="006571AC">
        <w:rPr>
          <w:rFonts w:ascii="Traditional Arabic" w:hAnsi="Traditional Arabic"/>
          <w:sz w:val="27"/>
          <w:rtl/>
          <w:lang w:bidi="ar-LB"/>
        </w:rPr>
        <w:t>ا سبقه</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حتى وصل إلى الدرجة الأدنى والأضعف وجودا</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وكمالا</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وهي عالم الماد</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ة. </w:t>
      </w:r>
    </w:p>
    <w:p w:rsidR="001667A3" w:rsidRPr="006571AC" w:rsidRDefault="00A2124E"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على هذا الأساس فالقرآن الكريم موجودٌ أيضا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المرتبة الأولى</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ويسم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ى فيها أمّ الكتاب</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أي العلم الإلهي المطلق، ثم هو نفسه موجودٌ أيضا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المرتبة الثانية بمستوى أضعف كم</w:t>
      </w:r>
      <w:r w:rsidR="001667A3" w:rsidRPr="006571AC">
        <w:rPr>
          <w:rFonts w:ascii="Traditional Arabic" w:hAnsi="Traditional Arabic" w:hint="cs"/>
          <w:sz w:val="27"/>
          <w:rtl/>
          <w:lang w:bidi="ar-LB"/>
        </w:rPr>
        <w:t>ا</w:t>
      </w:r>
      <w:r w:rsidR="001667A3" w:rsidRPr="006571AC">
        <w:rPr>
          <w:rFonts w:ascii="Traditional Arabic" w:hAnsi="Traditional Arabic"/>
          <w:sz w:val="27"/>
          <w:rtl/>
          <w:lang w:bidi="ar-LB"/>
        </w:rPr>
        <w:t>لا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حيث تجلّى في عالم المجر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دات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وصار له نسخة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مجر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دة، ثم</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نزل إلى المرتبة الثالثة</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فصار له مرتبة</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عالم المثال أقل</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كمالا</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حت</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ى وصل أخيرا</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إلى المرتبة الأدنى في عالم الدنيا</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فصار القرآن فيها أحرفا</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وألفاظا</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وكلمات</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عربية.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يت</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ضح جلي</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ا</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أن ال</w:t>
      </w:r>
      <w:r w:rsidR="00645D1D"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قد انطلق في فهمه لحقيقة القرآن من وج</w:t>
      </w:r>
      <w:r w:rsidRPr="006571AC">
        <w:rPr>
          <w:rFonts w:ascii="Traditional Arabic" w:hAnsi="Traditional Arabic" w:hint="cs"/>
          <w:sz w:val="27"/>
          <w:rtl/>
          <w:lang w:bidi="ar-LB"/>
        </w:rPr>
        <w:t>ه</w:t>
      </w:r>
      <w:r w:rsidRPr="006571AC">
        <w:rPr>
          <w:rFonts w:ascii="Traditional Arabic" w:hAnsi="Traditional Arabic"/>
          <w:sz w:val="27"/>
          <w:rtl/>
          <w:lang w:bidi="ar-LB"/>
        </w:rPr>
        <w:t>ة نظر عرفانية</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قد طب</w:t>
      </w:r>
      <w:r w:rsidR="00645D1D" w:rsidRPr="006571AC">
        <w:rPr>
          <w:rFonts w:ascii="Traditional Arabic" w:hAnsi="Traditional Arabic" w:hint="cs"/>
          <w:sz w:val="27"/>
          <w:rtl/>
          <w:lang w:bidi="ar-LB"/>
        </w:rPr>
        <w:t>َّ</w:t>
      </w:r>
      <w:r w:rsidRPr="006571AC">
        <w:rPr>
          <w:rFonts w:ascii="Traditional Arabic" w:hAnsi="Traditional Arabic"/>
          <w:sz w:val="27"/>
          <w:rtl/>
          <w:lang w:bidi="ar-LB"/>
        </w:rPr>
        <w:t>قها الملا</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صدرا أيضا</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في فلسفته</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وكذلك الإشراقيون، هذه النظرة الفلسفية والعرفانية للوجود أنتج</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ت</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هذا الفهم لحقيقة القرآن الكريم.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لكن</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الملفت هنا أن كلا العَل</w:t>
      </w:r>
      <w:r w:rsidR="00645D1D" w:rsidRPr="006571AC">
        <w:rPr>
          <w:rFonts w:ascii="Traditional Arabic" w:hAnsi="Traditional Arabic" w:hint="cs"/>
          <w:sz w:val="27"/>
          <w:rtl/>
          <w:lang w:bidi="ar-LB"/>
        </w:rPr>
        <w:t>َ</w:t>
      </w:r>
      <w:r w:rsidRPr="006571AC">
        <w:rPr>
          <w:rFonts w:ascii="Traditional Arabic" w:hAnsi="Traditional Arabic"/>
          <w:sz w:val="27"/>
          <w:rtl/>
          <w:lang w:bidi="ar-LB"/>
        </w:rPr>
        <w:t>مين المفس</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ر</w:t>
      </w:r>
      <w:r w:rsidR="00645D1D" w:rsidRPr="006571AC">
        <w:rPr>
          <w:rFonts w:ascii="Traditional Arabic" w:hAnsi="Traditional Arabic" w:hint="cs"/>
          <w:sz w:val="27"/>
          <w:rtl/>
          <w:lang w:bidi="ar-LB"/>
        </w:rPr>
        <w:t>َ</w:t>
      </w:r>
      <w:r w:rsidRPr="006571AC">
        <w:rPr>
          <w:rFonts w:ascii="Traditional Arabic" w:hAnsi="Traditional Arabic"/>
          <w:sz w:val="27"/>
          <w:rtl/>
          <w:lang w:bidi="ar-LB"/>
        </w:rPr>
        <w:t>ي</w:t>
      </w:r>
      <w:r w:rsidR="00645D1D" w:rsidRPr="006571AC">
        <w:rPr>
          <w:rFonts w:ascii="Traditional Arabic" w:hAnsi="Traditional Arabic" w:hint="cs"/>
          <w:sz w:val="27"/>
          <w:rtl/>
          <w:lang w:bidi="ar-LB"/>
        </w:rPr>
        <w:t>ْ</w:t>
      </w:r>
      <w:r w:rsidRPr="006571AC">
        <w:rPr>
          <w:rFonts w:ascii="Traditional Arabic" w:hAnsi="Traditional Arabic"/>
          <w:sz w:val="27"/>
          <w:rtl/>
          <w:lang w:bidi="ar-LB"/>
        </w:rPr>
        <w:t>ن قد استند أيضا</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إلى نفس الآيات تقريبا</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لتحديد حقيقة القرآن</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فهذا العلاّمة</w:t>
      </w:r>
      <w:r w:rsidR="00645D1D"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قد استشهد على ذلك بالآية التالية: </w:t>
      </w:r>
      <w:r w:rsidRPr="006571AC">
        <w:rPr>
          <w:rFonts w:ascii="Mosawi" w:hAnsi="Mosawi" w:cs="Mosawi"/>
          <w:sz w:val="24"/>
          <w:szCs w:val="24"/>
          <w:rtl/>
        </w:rPr>
        <w:t>﴿</w:t>
      </w:r>
      <w:r w:rsidRPr="006571AC">
        <w:rPr>
          <w:rFonts w:ascii="Traditional Arabic" w:hAnsi="Traditional Arabic"/>
          <w:b/>
          <w:bCs/>
          <w:sz w:val="27"/>
          <w:rtl/>
          <w:lang w:bidi="ar-LB"/>
        </w:rPr>
        <w:t>إِنَّا جَعَلْنَاهُ قُرْآن</w:t>
      </w:r>
      <w:r w:rsidR="00731867" w:rsidRPr="006571AC">
        <w:rPr>
          <w:rFonts w:ascii="Traditional Arabic" w:hAnsi="Traditional Arabic"/>
          <w:b/>
          <w:bCs/>
          <w:sz w:val="27"/>
          <w:rtl/>
          <w:lang w:bidi="ar-LB"/>
        </w:rPr>
        <w:t>اً</w:t>
      </w:r>
      <w:r w:rsidRPr="006571AC">
        <w:rPr>
          <w:rFonts w:ascii="Traditional Arabic" w:hAnsi="Traditional Arabic"/>
          <w:b/>
          <w:bCs/>
          <w:sz w:val="27"/>
          <w:rtl/>
          <w:lang w:bidi="ar-LB"/>
        </w:rPr>
        <w:t xml:space="preserve"> عَرَبِي</w:t>
      </w:r>
      <w:r w:rsidR="00645D1D" w:rsidRPr="006571AC">
        <w:rPr>
          <w:rFonts w:ascii="Traditional Arabic" w:hAnsi="Traditional Arabic" w:hint="cs"/>
          <w:b/>
          <w:bCs/>
          <w:sz w:val="27"/>
          <w:rtl/>
          <w:lang w:bidi="ar-LB"/>
        </w:rPr>
        <w:t>ّ</w:t>
      </w:r>
      <w:r w:rsidR="00731867" w:rsidRPr="006571AC">
        <w:rPr>
          <w:rFonts w:ascii="Traditional Arabic" w:hAnsi="Traditional Arabic"/>
          <w:b/>
          <w:bCs/>
          <w:sz w:val="27"/>
          <w:rtl/>
          <w:lang w:bidi="ar-LB"/>
        </w:rPr>
        <w:t>اً</w:t>
      </w:r>
      <w:r w:rsidRPr="006571AC">
        <w:rPr>
          <w:rFonts w:ascii="Traditional Arabic" w:hAnsi="Traditional Arabic"/>
          <w:b/>
          <w:bCs/>
          <w:sz w:val="27"/>
          <w:rtl/>
          <w:lang w:bidi="ar-LB"/>
        </w:rPr>
        <w:t xml:space="preserve"> لَعَلَّكُمْ تَعْقِلُونَ</w:t>
      </w:r>
      <w:r w:rsidRPr="006571AC">
        <w:rPr>
          <w:rFonts w:ascii="Mosawi" w:hAnsi="Mosawi" w:cs="Mosawi"/>
          <w:sz w:val="24"/>
          <w:szCs w:val="24"/>
          <w:rtl/>
        </w:rPr>
        <w:t>﴾</w:t>
      </w:r>
      <w:r w:rsidRPr="006571AC">
        <w:rPr>
          <w:rFonts w:ascii="Traditional Arabic" w:hAnsi="Traditional Arabic"/>
          <w:b/>
          <w:bCs/>
          <w:sz w:val="27"/>
          <w:rtl/>
          <w:lang w:bidi="ar-LB"/>
        </w:rPr>
        <w:t xml:space="preserve"> (</w:t>
      </w:r>
      <w:r w:rsidRPr="006571AC">
        <w:rPr>
          <w:rFonts w:ascii="Traditional Arabic" w:hAnsi="Traditional Arabic"/>
          <w:sz w:val="27"/>
          <w:rtl/>
          <w:lang w:bidi="ar-LB"/>
        </w:rPr>
        <w:t>الزخرف: 3)</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حيث قال: </w:t>
      </w:r>
      <w:r w:rsidRPr="006571AC">
        <w:rPr>
          <w:rFonts w:hint="eastAsia"/>
          <w:sz w:val="24"/>
          <w:szCs w:val="24"/>
          <w:rtl/>
          <w:lang w:bidi="ar-LB"/>
        </w:rPr>
        <w:t>«</w:t>
      </w:r>
      <w:r w:rsidRPr="006571AC">
        <w:rPr>
          <w:rFonts w:ascii="Traditional Arabic" w:hAnsi="Traditional Arabic"/>
          <w:sz w:val="27"/>
          <w:rtl/>
          <w:lang w:bidi="ar-LB"/>
        </w:rPr>
        <w:t>وجعل غاية تعق</w:t>
      </w:r>
      <w:r w:rsidR="00645D1D" w:rsidRPr="006571AC">
        <w:rPr>
          <w:rFonts w:ascii="Traditional Arabic" w:hAnsi="Traditional Arabic" w:hint="cs"/>
          <w:sz w:val="27"/>
          <w:rtl/>
          <w:lang w:bidi="ar-LB"/>
        </w:rPr>
        <w:t>ُّ</w:t>
      </w:r>
      <w:r w:rsidRPr="006571AC">
        <w:rPr>
          <w:rFonts w:ascii="Traditional Arabic" w:hAnsi="Traditional Arabic"/>
          <w:sz w:val="27"/>
          <w:rtl/>
          <w:lang w:bidi="ar-LB"/>
        </w:rPr>
        <w:t>له غاية</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للجعل المذكور يشهد بأن له مرحلة</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الكينونة والوجود لا ينالها عقول الناس، ومن شأن العقل أن ينال كل</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أمر</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فكري</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وإن</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بلغ من اللطافة ما بلغ، فمفاد الآية أن الكتاب بح</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س</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ب موطنه الذي له في نفسه أمر</w:t>
      </w:r>
      <w:r w:rsidR="00310382" w:rsidRPr="006571AC">
        <w:rPr>
          <w:rFonts w:ascii="Traditional Arabic" w:hAnsi="Traditional Arabic" w:hint="cs"/>
          <w:sz w:val="27"/>
          <w:rtl/>
          <w:lang w:bidi="ar-LB"/>
        </w:rPr>
        <w:t>ٌ</w:t>
      </w:r>
      <w:r w:rsidR="00AA7E13" w:rsidRPr="006571AC">
        <w:rPr>
          <w:rFonts w:ascii="Traditional Arabic" w:hAnsi="Traditional Arabic"/>
          <w:sz w:val="27"/>
          <w:rtl/>
          <w:lang w:bidi="ar-LB"/>
        </w:rPr>
        <w:t xml:space="preserve"> وراء الفكر</w:t>
      </w:r>
      <w:r w:rsidR="00AA7E13" w:rsidRPr="006571AC">
        <w:rPr>
          <w:rFonts w:ascii="Traditional Arabic" w:hAnsi="Traditional Arabic" w:hint="cs"/>
          <w:sz w:val="27"/>
          <w:rtl/>
          <w:lang w:bidi="ar-LB"/>
        </w:rPr>
        <w:t xml:space="preserve">، </w:t>
      </w:r>
      <w:r w:rsidRPr="006571AC">
        <w:rPr>
          <w:rFonts w:ascii="Traditional Arabic" w:hAnsi="Traditional Arabic"/>
          <w:sz w:val="27"/>
          <w:rtl/>
          <w:lang w:bidi="ar-LB"/>
        </w:rPr>
        <w:t>أجنبي</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العقول البشرية، وإنما جعله الله قرآنا</w:t>
      </w:r>
      <w:r w:rsidR="00310382" w:rsidRPr="006571AC">
        <w:rPr>
          <w:rFonts w:ascii="Traditional Arabic" w:hAnsi="Traditional Arabic" w:hint="cs"/>
          <w:sz w:val="27"/>
          <w:rtl/>
          <w:lang w:bidi="ar-LB"/>
        </w:rPr>
        <w:t>ً</w:t>
      </w:r>
      <w:r w:rsidRPr="006571AC">
        <w:rPr>
          <w:rFonts w:ascii="Traditional Arabic" w:hAnsi="Traditional Arabic"/>
          <w:sz w:val="27"/>
          <w:rtl/>
          <w:lang w:bidi="ar-LB"/>
        </w:rPr>
        <w:t xml:space="preserve"> عربي</w:t>
      </w:r>
      <w:r w:rsidR="00310382" w:rsidRPr="006571AC">
        <w:rPr>
          <w:rFonts w:ascii="Traditional Arabic" w:hAnsi="Traditional Arabic" w:hint="cs"/>
          <w:sz w:val="27"/>
          <w:rtl/>
          <w:lang w:bidi="ar-LB"/>
        </w:rPr>
        <w:t>ّ</w:t>
      </w:r>
      <w:r w:rsidRPr="006571AC">
        <w:rPr>
          <w:rFonts w:ascii="Traditional Arabic" w:hAnsi="Traditional Arabic"/>
          <w:sz w:val="27"/>
          <w:rtl/>
          <w:lang w:bidi="ar-LB"/>
        </w:rPr>
        <w:t>ا</w:t>
      </w:r>
      <w:r w:rsidR="00310382" w:rsidRPr="006571AC">
        <w:rPr>
          <w:rFonts w:ascii="Traditional Arabic" w:hAnsi="Traditional Arabic" w:hint="cs"/>
          <w:sz w:val="27"/>
          <w:rtl/>
          <w:lang w:bidi="ar-LB"/>
        </w:rPr>
        <w:t>ً،</w:t>
      </w:r>
      <w:r w:rsidRPr="006571AC">
        <w:rPr>
          <w:rFonts w:ascii="Traditional Arabic" w:hAnsi="Traditional Arabic"/>
          <w:sz w:val="27"/>
          <w:rtl/>
          <w:lang w:bidi="ar-LB"/>
        </w:rPr>
        <w:t xml:space="preserve"> وألبسه </w:t>
      </w:r>
      <w:r w:rsidR="00AA7E13" w:rsidRPr="006571AC">
        <w:rPr>
          <w:rFonts w:ascii="Traditional Arabic" w:hAnsi="Traditional Arabic" w:hint="cs"/>
          <w:sz w:val="27"/>
          <w:rtl/>
          <w:lang w:bidi="ar-LB"/>
        </w:rPr>
        <w:t xml:space="preserve">هذا اللباس، </w:t>
      </w:r>
      <w:r w:rsidRPr="006571AC">
        <w:rPr>
          <w:rFonts w:ascii="Traditional Arabic" w:hAnsi="Traditional Arabic"/>
          <w:sz w:val="27"/>
          <w:rtl/>
          <w:lang w:bidi="ar-LB"/>
        </w:rPr>
        <w:t>رجاء</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أن تستأنس به عقول الناس</w:t>
      </w:r>
      <w:r w:rsidR="00AA7E13" w:rsidRPr="006571AC">
        <w:rPr>
          <w:rFonts w:ascii="Traditional Arabic" w:hAnsi="Traditional Arabic"/>
          <w:sz w:val="27"/>
          <w:rtl/>
          <w:lang w:bidi="ar-LB"/>
        </w:rPr>
        <w:t>.</w:t>
      </w:r>
      <w:r w:rsidR="00AA7E13" w:rsidRPr="006571AC">
        <w:rPr>
          <w:rFonts w:ascii="Traditional Arabic" w:hAnsi="Traditional Arabic" w:hint="cs"/>
          <w:sz w:val="27"/>
          <w:rtl/>
          <w:lang w:bidi="ar-LB"/>
        </w:rPr>
        <w:t>.</w:t>
      </w:r>
      <w:r w:rsidR="00AA7E13" w:rsidRPr="006571AC">
        <w:rPr>
          <w:rFonts w:ascii="Traditional Arabic" w:hAnsi="Traditional Arabic"/>
          <w:sz w:val="27"/>
          <w:rtl/>
          <w:lang w:bidi="ar-LB"/>
        </w:rPr>
        <w:t>.</w:t>
      </w:r>
      <w:r w:rsidR="00AA7E13" w:rsidRPr="006571AC">
        <w:rPr>
          <w:rFonts w:hint="eastAsia"/>
          <w:sz w:val="24"/>
          <w:szCs w:val="24"/>
          <w:rtl/>
        </w:rPr>
        <w:t>»</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65"/>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لكن</w:t>
      </w:r>
      <w:r w:rsidR="00AA7E13" w:rsidRPr="006571AC">
        <w:rPr>
          <w:rFonts w:ascii="Traditional Arabic" w:hAnsi="Traditional Arabic" w:hint="cs"/>
          <w:sz w:val="27"/>
          <w:rtl/>
          <w:lang w:bidi="ar-LB"/>
        </w:rPr>
        <w:t>ّ</w:t>
      </w:r>
      <w:r w:rsidR="00AA7E13" w:rsidRPr="006571AC">
        <w:rPr>
          <w:rFonts w:ascii="Traditional Arabic" w:hAnsi="Traditional Arabic"/>
          <w:sz w:val="27"/>
          <w:rtl/>
          <w:lang w:bidi="ar-LB"/>
        </w:rPr>
        <w:t xml:space="preserve"> السي</w:t>
      </w:r>
      <w:r w:rsidRPr="006571AC">
        <w:rPr>
          <w:rFonts w:ascii="Traditional Arabic" w:hAnsi="Traditional Arabic"/>
          <w:sz w:val="27"/>
          <w:rtl/>
          <w:lang w:bidi="ar-LB"/>
        </w:rPr>
        <w:t xml:space="preserve">د فضل الله علّق على ذلك بأنه خلاف الظاهر من الآية، فقال: </w:t>
      </w:r>
      <w:r w:rsidRPr="006571AC">
        <w:rPr>
          <w:rFonts w:hint="eastAsia"/>
          <w:sz w:val="24"/>
          <w:szCs w:val="24"/>
          <w:rtl/>
          <w:lang w:bidi="ar-LB"/>
        </w:rPr>
        <w:t>«</w:t>
      </w:r>
      <w:r w:rsidRPr="006571AC">
        <w:rPr>
          <w:rFonts w:ascii="Traditional Arabic" w:hAnsi="Traditional Arabic"/>
          <w:sz w:val="27"/>
          <w:rtl/>
          <w:lang w:bidi="ar-LB"/>
        </w:rPr>
        <w:t>التأم</w:t>
      </w:r>
      <w:r w:rsidR="00AA7E13" w:rsidRPr="006571AC">
        <w:rPr>
          <w:rFonts w:ascii="Traditional Arabic" w:hAnsi="Traditional Arabic" w:hint="cs"/>
          <w:sz w:val="27"/>
          <w:rtl/>
          <w:lang w:bidi="ar-LB"/>
        </w:rPr>
        <w:t>ُّ</w:t>
      </w:r>
      <w:r w:rsidRPr="006571AC">
        <w:rPr>
          <w:rFonts w:ascii="Traditional Arabic" w:hAnsi="Traditional Arabic"/>
          <w:sz w:val="27"/>
          <w:rtl/>
          <w:lang w:bidi="ar-LB"/>
        </w:rPr>
        <w:t>ل في الآية لا يدل</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ما ذكره</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الظاهر منها أن الله قد أنزله كتابا</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عربي</w:t>
      </w:r>
      <w:r w:rsidR="00AA7E13" w:rsidRPr="006571AC">
        <w:rPr>
          <w:rFonts w:ascii="Traditional Arabic" w:hAnsi="Traditional Arabic" w:hint="cs"/>
          <w:sz w:val="27"/>
          <w:rtl/>
          <w:lang w:bidi="ar-LB"/>
        </w:rPr>
        <w:t>ّ</w:t>
      </w:r>
      <w:r w:rsidRPr="006571AC">
        <w:rPr>
          <w:rFonts w:ascii="Traditional Arabic" w:hAnsi="Traditional Arabic"/>
          <w:sz w:val="27"/>
          <w:rtl/>
          <w:lang w:bidi="ar-LB"/>
        </w:rPr>
        <w:t>ا</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بلغتكم</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لتفهموه وتعقلوه، كما يفهم أهل كل</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لغة</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الكلام النازل عليهم بهذه الل</w:t>
      </w:r>
      <w:r w:rsidR="00AA7E13" w:rsidRPr="006571AC">
        <w:rPr>
          <w:rFonts w:ascii="Traditional Arabic" w:hAnsi="Traditional Arabic" w:hint="cs"/>
          <w:sz w:val="27"/>
          <w:rtl/>
          <w:lang w:bidi="ar-LB"/>
        </w:rPr>
        <w:t>غة؛</w:t>
      </w:r>
      <w:r w:rsidRPr="006571AC">
        <w:rPr>
          <w:rFonts w:ascii="Traditional Arabic" w:hAnsi="Traditional Arabic"/>
          <w:sz w:val="27"/>
          <w:rtl/>
          <w:lang w:bidi="ar-LB"/>
        </w:rPr>
        <w:t xml:space="preserve"> باعتبار وضوح اللغة الذي يمنح الإنسان وضوحا</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المطلب</w:t>
      </w:r>
      <w:r w:rsidRPr="006571AC">
        <w:rPr>
          <w:rFonts w:hint="eastAsia"/>
          <w:sz w:val="24"/>
          <w:szCs w:val="24"/>
          <w:rtl/>
        </w:rPr>
        <w:t>»</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66"/>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r w:rsidR="00AA7E13" w:rsidRPr="006571AC">
        <w:rPr>
          <w:rFonts w:ascii="Traditional Arabic" w:hAnsi="Traditional Arabic" w:hint="cs"/>
          <w:sz w:val="27"/>
          <w:rtl/>
          <w:lang w:bidi="ar-LB"/>
        </w:rPr>
        <w:t>إ</w:t>
      </w:r>
      <w:r w:rsidRPr="006571AC">
        <w:rPr>
          <w:rFonts w:ascii="Traditional Arabic" w:hAnsi="Traditional Arabic"/>
          <w:sz w:val="27"/>
          <w:rtl/>
          <w:lang w:bidi="ar-LB"/>
        </w:rPr>
        <w:t>ذن، ال</w:t>
      </w:r>
      <w:r w:rsidR="00AA7E13" w:rsidRPr="006571AC">
        <w:rPr>
          <w:rFonts w:ascii="Traditional Arabic" w:hAnsi="Traditional Arabic" w:hint="cs"/>
          <w:sz w:val="27"/>
          <w:rtl/>
          <w:lang w:bidi="ar-LB"/>
        </w:rPr>
        <w:t>سيد الطباطبائي</w:t>
      </w:r>
      <w:r w:rsidRPr="006571AC">
        <w:rPr>
          <w:rFonts w:ascii="Traditional Arabic" w:hAnsi="Traditional Arabic"/>
          <w:sz w:val="27"/>
          <w:rtl/>
          <w:lang w:bidi="ar-LB"/>
        </w:rPr>
        <w:t xml:space="preserve"> استفاد من الآية بيان حقيقة القرآن</w:t>
      </w:r>
      <w:r w:rsidR="00AA7E13" w:rsidRPr="006571AC">
        <w:rPr>
          <w:rFonts w:ascii="Traditional Arabic" w:hAnsi="Traditional Arabic" w:hint="cs"/>
          <w:sz w:val="27"/>
          <w:rtl/>
          <w:lang w:bidi="ar-LB"/>
        </w:rPr>
        <w:t>؛</w:t>
      </w:r>
      <w:r w:rsidR="00456811" w:rsidRPr="006571AC">
        <w:rPr>
          <w:rFonts w:ascii="Traditional Arabic" w:hAnsi="Traditional Arabic"/>
          <w:sz w:val="27"/>
          <w:rtl/>
          <w:lang w:bidi="ar-LB"/>
        </w:rPr>
        <w:t xml:space="preserve"> والسي</w:t>
      </w:r>
      <w:r w:rsidRPr="006571AC">
        <w:rPr>
          <w:rFonts w:ascii="Traditional Arabic" w:hAnsi="Traditional Arabic"/>
          <w:sz w:val="27"/>
          <w:rtl/>
          <w:lang w:bidi="ar-LB"/>
        </w:rPr>
        <w:t>د فضل الله اعتبر أنها تريد ال</w:t>
      </w:r>
      <w:r w:rsidR="00456811" w:rsidRPr="006571AC">
        <w:rPr>
          <w:rFonts w:ascii="Traditional Arabic" w:hAnsi="Traditional Arabic" w:hint="cs"/>
          <w:sz w:val="27"/>
          <w:rtl/>
          <w:lang w:bidi="ar-LB"/>
        </w:rPr>
        <w:t>ا</w:t>
      </w:r>
      <w:r w:rsidRPr="006571AC">
        <w:rPr>
          <w:rFonts w:ascii="Traditional Arabic" w:hAnsi="Traditional Arabic"/>
          <w:sz w:val="27"/>
          <w:rtl/>
          <w:lang w:bidi="ar-LB"/>
        </w:rPr>
        <w:t>متنان على العرب بأن القرآن قد نزل بلغتهم</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كي يعقلوه.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 xml:space="preserve">وكذلك في آية: </w:t>
      </w:r>
      <w:r w:rsidRPr="006571AC">
        <w:rPr>
          <w:rFonts w:ascii="Mosawi" w:hAnsi="Mosawi" w:cs="Mosawi"/>
          <w:sz w:val="24"/>
          <w:szCs w:val="24"/>
          <w:rtl/>
        </w:rPr>
        <w:t>﴿</w:t>
      </w:r>
      <w:r w:rsidRPr="006571AC">
        <w:rPr>
          <w:rFonts w:ascii="Traditional Arabic" w:hAnsi="Traditional Arabic"/>
          <w:b/>
          <w:bCs/>
          <w:sz w:val="27"/>
          <w:rtl/>
          <w:lang w:bidi="ar-LB"/>
        </w:rPr>
        <w:t>كِت</w:t>
      </w:r>
      <w:r w:rsidR="00456811" w:rsidRPr="006571AC">
        <w:rPr>
          <w:rFonts w:ascii="Traditional Arabic" w:hAnsi="Traditional Arabic" w:hint="cs"/>
          <w:b/>
          <w:bCs/>
          <w:sz w:val="27"/>
          <w:rtl/>
          <w:lang w:bidi="ar-LB"/>
        </w:rPr>
        <w:t>َ</w:t>
      </w:r>
      <w:r w:rsidRPr="006571AC">
        <w:rPr>
          <w:rFonts w:ascii="Traditional Arabic" w:hAnsi="Traditional Arabic"/>
          <w:b/>
          <w:bCs/>
          <w:sz w:val="27"/>
          <w:rtl/>
          <w:lang w:bidi="ar-LB"/>
        </w:rPr>
        <w:t>ابٌ أُحْكِمَتْ آي</w:t>
      </w:r>
      <w:r w:rsidR="00456811" w:rsidRPr="006571AC">
        <w:rPr>
          <w:rFonts w:ascii="Traditional Arabic" w:hAnsi="Traditional Arabic" w:hint="cs"/>
          <w:b/>
          <w:bCs/>
          <w:sz w:val="27"/>
          <w:rtl/>
          <w:lang w:bidi="ar-LB"/>
        </w:rPr>
        <w:t>َ</w:t>
      </w:r>
      <w:r w:rsidRPr="006571AC">
        <w:rPr>
          <w:rFonts w:ascii="Traditional Arabic" w:hAnsi="Traditional Arabic"/>
          <w:b/>
          <w:bCs/>
          <w:sz w:val="27"/>
          <w:rtl/>
          <w:lang w:bidi="ar-LB"/>
        </w:rPr>
        <w:t>اتُهُ ثُمَّ فُصِّلَتْ مِن</w:t>
      </w:r>
      <w:r w:rsidR="00456811"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لَّدُنْ حَكِيمٍ خَبِيرٍ</w:t>
      </w:r>
      <w:r w:rsidRPr="006571AC">
        <w:rPr>
          <w:rFonts w:ascii="Mosawi" w:hAnsi="Mosawi" w:cs="Mosawi"/>
          <w:sz w:val="24"/>
          <w:szCs w:val="24"/>
          <w:rtl/>
        </w:rPr>
        <w:t>﴾</w:t>
      </w:r>
      <w:r w:rsidRPr="006571AC">
        <w:rPr>
          <w:rFonts w:ascii="Traditional Arabic" w:hAnsi="Traditional Arabic"/>
          <w:b/>
          <w:bCs/>
          <w:sz w:val="27"/>
          <w:rtl/>
          <w:lang w:bidi="ar-LB"/>
        </w:rPr>
        <w:t xml:space="preserve"> </w:t>
      </w:r>
      <w:r w:rsidRPr="006571AC">
        <w:rPr>
          <w:rFonts w:ascii="Traditional Arabic" w:hAnsi="Traditional Arabic"/>
          <w:sz w:val="27"/>
          <w:rtl/>
          <w:lang w:bidi="ar-LB"/>
        </w:rPr>
        <w:t>(هود: 1)</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حيث اختار ال</w:t>
      </w:r>
      <w:r w:rsidR="00456811"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أن معنى الإحكام ربط بعض الشيء ببعضه الآخر</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بحيث يعود الجميع شيئاً واحداً بسيطاً غير ذي أجزاء وأبعاض</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والمراد بالتفصيل إيجاد </w:t>
      </w:r>
      <w:r w:rsidRPr="006571AC">
        <w:rPr>
          <w:rFonts w:ascii="Traditional Arabic" w:hAnsi="Traditional Arabic"/>
          <w:sz w:val="27"/>
          <w:rtl/>
          <w:lang w:bidi="ar-LB"/>
        </w:rPr>
        <w:lastRenderedPageBreak/>
        <w:t>الفصل بين أجزاء الشيء المت</w:t>
      </w:r>
      <w:r w:rsidR="00456811" w:rsidRPr="006571AC">
        <w:rPr>
          <w:rFonts w:ascii="Traditional Arabic" w:hAnsi="Traditional Arabic" w:hint="cs"/>
          <w:sz w:val="27"/>
          <w:rtl/>
          <w:lang w:bidi="ar-LB"/>
        </w:rPr>
        <w:t>ّ</w:t>
      </w:r>
      <w:r w:rsidRPr="006571AC">
        <w:rPr>
          <w:rFonts w:ascii="Traditional Arabic" w:hAnsi="Traditional Arabic"/>
          <w:sz w:val="27"/>
          <w:rtl/>
          <w:lang w:bidi="ar-LB"/>
        </w:rPr>
        <w:t>صل بعضها ببعض</w:t>
      </w:r>
      <w:r w:rsidR="00456811" w:rsidRPr="006571AC">
        <w:rPr>
          <w:rFonts w:ascii="Traditional Arabic" w:hAnsi="Traditional Arabic" w:hint="cs"/>
          <w:sz w:val="27"/>
          <w:rtl/>
          <w:lang w:bidi="ar-LB"/>
        </w:rPr>
        <w:t>ٍ</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67"/>
      </w:r>
      <w:r w:rsidRPr="006571AC">
        <w:rPr>
          <w:rFonts w:ascii="Traditional Arabic" w:hAnsi="Traditional Arabic"/>
          <w:sz w:val="27"/>
          <w:vertAlign w:val="superscript"/>
          <w:rtl/>
          <w:lang w:bidi="ar-LB"/>
        </w:rPr>
        <w:t>)</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وبناء</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ذلك ذهب إلى أن للقرآن حقيقة</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ومرتبة</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يكون فيها بسيطا</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وم</w:t>
      </w:r>
      <w:r w:rsidR="00456811" w:rsidRPr="006571AC">
        <w:rPr>
          <w:rFonts w:ascii="Traditional Arabic" w:hAnsi="Traditional Arabic" w:hint="cs"/>
          <w:sz w:val="27"/>
          <w:rtl/>
          <w:lang w:bidi="ar-LB"/>
        </w:rPr>
        <w:t>ُ</w:t>
      </w:r>
      <w:r w:rsidRPr="006571AC">
        <w:rPr>
          <w:rFonts w:ascii="Traditional Arabic" w:hAnsi="Traditional Arabic"/>
          <w:sz w:val="27"/>
          <w:rtl/>
          <w:lang w:bidi="ar-LB"/>
        </w:rPr>
        <w:t>ح</w:t>
      </w:r>
      <w:r w:rsidR="00456811" w:rsidRPr="006571AC">
        <w:rPr>
          <w:rFonts w:ascii="Traditional Arabic" w:hAnsi="Traditional Arabic" w:hint="cs"/>
          <w:sz w:val="27"/>
          <w:rtl/>
          <w:lang w:bidi="ar-LB"/>
        </w:rPr>
        <w:t>ْ</w:t>
      </w:r>
      <w:r w:rsidRPr="006571AC">
        <w:rPr>
          <w:rFonts w:ascii="Traditional Arabic" w:hAnsi="Traditional Arabic"/>
          <w:sz w:val="27"/>
          <w:rtl/>
          <w:lang w:bidi="ar-LB"/>
        </w:rPr>
        <w:t>ك</w:t>
      </w:r>
      <w:r w:rsidR="00456811" w:rsidRPr="006571AC">
        <w:rPr>
          <w:rFonts w:ascii="Traditional Arabic" w:hAnsi="Traditional Arabic" w:hint="cs"/>
          <w:sz w:val="27"/>
          <w:rtl/>
          <w:lang w:bidi="ar-LB"/>
        </w:rPr>
        <w:t>َ</w:t>
      </w:r>
      <w:r w:rsidRPr="006571AC">
        <w:rPr>
          <w:rFonts w:ascii="Traditional Arabic" w:hAnsi="Traditional Arabic"/>
          <w:sz w:val="27"/>
          <w:rtl/>
          <w:lang w:bidi="ar-LB"/>
        </w:rPr>
        <w:t>ما</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ثم</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مرتبة أخرى صار فيها مفص</w:t>
      </w:r>
      <w:r w:rsidR="00456811" w:rsidRPr="006571AC">
        <w:rPr>
          <w:rFonts w:ascii="Traditional Arabic" w:hAnsi="Traditional Arabic" w:hint="cs"/>
          <w:sz w:val="27"/>
          <w:rtl/>
          <w:lang w:bidi="ar-LB"/>
        </w:rPr>
        <w:t>ّ</w:t>
      </w:r>
      <w:r w:rsidRPr="006571AC">
        <w:rPr>
          <w:rFonts w:ascii="Traditional Arabic" w:hAnsi="Traditional Arabic"/>
          <w:sz w:val="27"/>
          <w:rtl/>
          <w:lang w:bidi="ar-LB"/>
        </w:rPr>
        <w:t>لا</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إلى آيات</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731867" w:rsidRPr="006571AC">
        <w:rPr>
          <w:rFonts w:ascii="Traditional Arabic" w:hAnsi="Traditional Arabic"/>
          <w:sz w:val="27"/>
          <w:rtl/>
          <w:lang w:bidi="ar-LB"/>
        </w:rPr>
        <w:t>بَيْدَ</w:t>
      </w:r>
      <w:r w:rsidR="00456811" w:rsidRPr="006571AC">
        <w:rPr>
          <w:rFonts w:ascii="Traditional Arabic" w:hAnsi="Traditional Arabic"/>
          <w:sz w:val="27"/>
          <w:rtl/>
          <w:lang w:bidi="ar-LB"/>
        </w:rPr>
        <w:t xml:space="preserve"> أن </w:t>
      </w:r>
      <w:r w:rsidRPr="006571AC">
        <w:rPr>
          <w:rFonts w:ascii="Traditional Arabic" w:hAnsi="Traditional Arabic"/>
          <w:sz w:val="27"/>
          <w:rtl/>
          <w:lang w:bidi="ar-LB"/>
        </w:rPr>
        <w:t>فضل الله اختار معنى</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آخر للإحكام والتفصيل</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بقرينة السياق، فاعتبر أن الإحكام بمعنى الإتقان والوضوح في الدلالة على المعاني</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والتفصيل بمعنى الأسلوب المبس</w:t>
      </w:r>
      <w:r w:rsidR="00456811" w:rsidRPr="006571AC">
        <w:rPr>
          <w:rFonts w:ascii="Traditional Arabic" w:hAnsi="Traditional Arabic" w:hint="cs"/>
          <w:sz w:val="27"/>
          <w:rtl/>
          <w:lang w:bidi="ar-LB"/>
        </w:rPr>
        <w:t>َّ</w:t>
      </w:r>
      <w:r w:rsidRPr="006571AC">
        <w:rPr>
          <w:rFonts w:ascii="Traditional Arabic" w:hAnsi="Traditional Arabic"/>
          <w:sz w:val="27"/>
          <w:rtl/>
          <w:lang w:bidi="ar-LB"/>
        </w:rPr>
        <w:t>ط في تأدية المعنى</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بحيث تصل المفاهيم بطريقة</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لا خفاء فيها</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68"/>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وعليه، فال</w:t>
      </w:r>
      <w:r w:rsidR="008F484B"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فهم الآية على أنها مسوقة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لبيان حقيقة القرآن</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8F484B" w:rsidRPr="006571AC">
        <w:rPr>
          <w:rFonts w:ascii="Traditional Arabic" w:hAnsi="Traditional Arabic" w:hint="cs"/>
          <w:sz w:val="27"/>
          <w:rtl/>
          <w:lang w:bidi="ar-LB"/>
        </w:rPr>
        <w:t>وفهمها</w:t>
      </w:r>
      <w:r w:rsidR="008F484B" w:rsidRPr="006571AC">
        <w:rPr>
          <w:rFonts w:ascii="Traditional Arabic" w:hAnsi="Traditional Arabic"/>
          <w:sz w:val="27"/>
          <w:rtl/>
          <w:lang w:bidi="ar-LB"/>
        </w:rPr>
        <w:t xml:space="preserve"> فضل الله </w:t>
      </w:r>
      <w:r w:rsidRPr="006571AC">
        <w:rPr>
          <w:rFonts w:ascii="Traditional Arabic" w:hAnsi="Traditional Arabic"/>
          <w:sz w:val="27"/>
          <w:rtl/>
          <w:lang w:bidi="ar-LB"/>
        </w:rPr>
        <w:t>على أنها في مقام التعرُّض للجانب الفن</w:t>
      </w:r>
      <w:r w:rsidR="008F484B" w:rsidRPr="006571AC">
        <w:rPr>
          <w:rFonts w:ascii="Traditional Arabic" w:hAnsi="Traditional Arabic" w:hint="cs"/>
          <w:sz w:val="27"/>
          <w:rtl/>
          <w:lang w:bidi="ar-LB"/>
        </w:rPr>
        <w:t>ّ</w:t>
      </w:r>
      <w:r w:rsidRPr="006571AC">
        <w:rPr>
          <w:rFonts w:ascii="Traditional Arabic" w:hAnsi="Traditional Arabic"/>
          <w:sz w:val="27"/>
          <w:rtl/>
          <w:lang w:bidi="ar-LB"/>
        </w:rPr>
        <w:t>ي للآيات</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بحيث إنها جمعت بين الجانب البلاغي ـ لناحية الدقّة في الأسلوب ـ والوضوح في العرض.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 xml:space="preserve">ظهر إلى هنا أن رؤية العلاّمة </w:t>
      </w:r>
      <w:r w:rsidR="008F484B" w:rsidRPr="006571AC">
        <w:rPr>
          <w:rFonts w:ascii="Traditional Arabic" w:hAnsi="Traditional Arabic" w:hint="cs"/>
          <w:sz w:val="27"/>
          <w:rtl/>
          <w:lang w:bidi="ar-LB"/>
        </w:rPr>
        <w:t xml:space="preserve">الطباطبائي </w:t>
      </w:r>
      <w:r w:rsidRPr="006571AC">
        <w:rPr>
          <w:rFonts w:ascii="Traditional Arabic" w:hAnsi="Traditional Arabic"/>
          <w:sz w:val="27"/>
          <w:rtl/>
          <w:lang w:bidi="ar-LB"/>
        </w:rPr>
        <w:t>للقرآن الكريم هي أن له حقيقة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عالية جد</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ا</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وهي تتجل</w:t>
      </w:r>
      <w:r w:rsidR="008F484B" w:rsidRPr="006571AC">
        <w:rPr>
          <w:rFonts w:ascii="Traditional Arabic" w:hAnsi="Traditional Arabic" w:hint="cs"/>
          <w:sz w:val="27"/>
          <w:rtl/>
          <w:lang w:bidi="ar-LB"/>
        </w:rPr>
        <w:t>ّ</w:t>
      </w:r>
      <w:r w:rsidRPr="006571AC">
        <w:rPr>
          <w:rFonts w:ascii="Traditional Arabic" w:hAnsi="Traditional Arabic"/>
          <w:sz w:val="27"/>
          <w:rtl/>
          <w:lang w:bidi="ar-LB"/>
        </w:rPr>
        <w:t>ى في كل</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مراتب الوجود بدرجة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كمالية تتناسب وتلك المرتبة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إلى أن تجلّ</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ت</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ألفاظا</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عربي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عالم الماد</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ليعقلها البشر</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و</w:t>
      </w:r>
      <w:r w:rsidR="008F484B" w:rsidRPr="006571AC">
        <w:rPr>
          <w:rFonts w:ascii="Traditional Arabic" w:hAnsi="Traditional Arabic" w:hint="cs"/>
          <w:sz w:val="27"/>
          <w:rtl/>
          <w:lang w:bidi="ar-LB"/>
        </w:rPr>
        <w:t xml:space="preserve">يرى </w:t>
      </w:r>
      <w:r w:rsidRPr="006571AC">
        <w:rPr>
          <w:rFonts w:ascii="Traditional Arabic" w:hAnsi="Traditional Arabic"/>
          <w:sz w:val="27"/>
          <w:rtl/>
          <w:lang w:bidi="ar-LB"/>
        </w:rPr>
        <w:t>السيّد فضل الله أنه مجر</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د كتاب</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 محفوظا</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اللوح المحفوظ</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ثم</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أنزله الله على نبي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ه</w:t>
      </w:r>
      <w:r w:rsidR="002A2C90" w:rsidRPr="006571AC">
        <w:rPr>
          <w:rFonts w:ascii="Mosawi" w:hAnsi="Mosawi" w:cs="Mosawi"/>
          <w:sz w:val="22"/>
          <w:szCs w:val="22"/>
          <w:rtl/>
        </w:rPr>
        <w:t>|</w:t>
      </w:r>
      <w:r w:rsidRPr="006571AC">
        <w:rPr>
          <w:rFonts w:ascii="Traditional Arabic" w:hAnsi="Traditional Arabic"/>
          <w:sz w:val="27"/>
          <w:rtl/>
          <w:lang w:bidi="ar-LB"/>
        </w:rPr>
        <w:t xml:space="preserve"> بلغة قومه</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لكي يعقلوها. </w:t>
      </w:r>
    </w:p>
    <w:p w:rsidR="00AC7492" w:rsidRPr="006571AC" w:rsidRDefault="00AC7492" w:rsidP="00AC7492">
      <w:pPr>
        <w:spacing w:line="420" w:lineRule="exact"/>
        <w:rPr>
          <w:sz w:val="27"/>
          <w:rtl/>
        </w:rPr>
      </w:pPr>
    </w:p>
    <w:p w:rsidR="001667A3" w:rsidRPr="006571AC" w:rsidRDefault="00F2221E" w:rsidP="00846C68">
      <w:pPr>
        <w:pStyle w:val="31"/>
        <w:rPr>
          <w:color w:val="auto"/>
          <w:rtl/>
          <w:lang w:bidi="ar-LB"/>
        </w:rPr>
      </w:pPr>
      <w:bookmarkStart w:id="302" w:name="_Toc114164728"/>
      <w:r w:rsidRPr="006571AC">
        <w:rPr>
          <w:rFonts w:hint="cs"/>
          <w:color w:val="auto"/>
          <w:rtl/>
          <w:lang w:bidi="ar-LB"/>
        </w:rPr>
        <w:t>2ـ</w:t>
      </w:r>
      <w:r w:rsidR="001667A3" w:rsidRPr="006571AC">
        <w:rPr>
          <w:color w:val="auto"/>
          <w:rtl/>
          <w:lang w:bidi="ar-LB"/>
        </w:rPr>
        <w:t xml:space="preserve"> </w:t>
      </w:r>
      <w:r w:rsidR="008F484B" w:rsidRPr="006571AC">
        <w:rPr>
          <w:color w:val="auto"/>
          <w:rtl/>
          <w:lang w:bidi="ar-LB"/>
        </w:rPr>
        <w:t>لغة</w:t>
      </w:r>
      <w:r w:rsidR="001667A3" w:rsidRPr="006571AC">
        <w:rPr>
          <w:color w:val="auto"/>
          <w:rtl/>
          <w:lang w:bidi="ar-LB"/>
        </w:rPr>
        <w:t xml:space="preserve"> القرآن</w:t>
      </w:r>
      <w:bookmarkEnd w:id="302"/>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المقصود هو السؤال التالي: هل القرآن الكريم نزل بلغة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عقلائي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ة ع</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ر</w:t>
      </w:r>
      <w:r w:rsidR="008F484B" w:rsidRPr="006571AC">
        <w:rPr>
          <w:rFonts w:ascii="Traditional Arabic" w:hAnsi="Traditional Arabic" w:hint="cs"/>
          <w:sz w:val="27"/>
          <w:rtl/>
          <w:lang w:bidi="ar-LB"/>
        </w:rPr>
        <w:t>ْ</w:t>
      </w:r>
      <w:r w:rsidRPr="006571AC">
        <w:rPr>
          <w:rFonts w:ascii="Traditional Arabic" w:hAnsi="Traditional Arabic"/>
          <w:sz w:val="27"/>
          <w:rtl/>
          <w:lang w:bidi="ar-LB"/>
        </w:rPr>
        <w:t>في</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يستطيع من خلالها أي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إنسان</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أن يفهم مدلولاته بشكل</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بسيط غير معق</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د، فيكون بيانه هو البيان العربي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المعروف بما يحمل من أساليب بلاغي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ة وفن</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ية فقط</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أم للقرآن لغته الخاص</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ة وبيانه الخاص</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أيضا</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بحيث لا يمكن معه ال</w:t>
      </w:r>
      <w:r w:rsidR="008F484B" w:rsidRPr="006571AC">
        <w:rPr>
          <w:rFonts w:ascii="Traditional Arabic" w:hAnsi="Traditional Arabic" w:hint="cs"/>
          <w:sz w:val="27"/>
          <w:rtl/>
          <w:lang w:bidi="ar-LB"/>
        </w:rPr>
        <w:t>ا</w:t>
      </w:r>
      <w:r w:rsidRPr="006571AC">
        <w:rPr>
          <w:rFonts w:ascii="Traditional Arabic" w:hAnsi="Traditional Arabic"/>
          <w:sz w:val="27"/>
          <w:rtl/>
          <w:lang w:bidi="ar-LB"/>
        </w:rPr>
        <w:t>قتصار فقط على هذه اللغة الع</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ر</w:t>
      </w:r>
      <w:r w:rsidR="008F484B" w:rsidRPr="006571AC">
        <w:rPr>
          <w:rFonts w:ascii="Traditional Arabic" w:hAnsi="Traditional Arabic" w:hint="cs"/>
          <w:sz w:val="27"/>
          <w:rtl/>
          <w:lang w:bidi="ar-LB"/>
        </w:rPr>
        <w:t>ْ</w:t>
      </w:r>
      <w:r w:rsidRPr="006571AC">
        <w:rPr>
          <w:rFonts w:ascii="Traditional Arabic" w:hAnsi="Traditional Arabic"/>
          <w:sz w:val="27"/>
          <w:rtl/>
          <w:lang w:bidi="ar-LB"/>
        </w:rPr>
        <w:t>فية، بل يجب التفتيش ع</w:t>
      </w:r>
      <w:r w:rsidR="008F484B" w:rsidRPr="006571AC">
        <w:rPr>
          <w:rFonts w:ascii="Traditional Arabic" w:hAnsi="Traditional Arabic" w:hint="cs"/>
          <w:sz w:val="27"/>
          <w:rtl/>
          <w:lang w:bidi="ar-LB"/>
        </w:rPr>
        <w:t>ن</w:t>
      </w:r>
      <w:r w:rsidRPr="006571AC">
        <w:rPr>
          <w:rFonts w:ascii="Traditional Arabic" w:hAnsi="Traditional Arabic"/>
          <w:sz w:val="27"/>
          <w:rtl/>
          <w:lang w:bidi="ar-LB"/>
        </w:rPr>
        <w:t xml:space="preserve"> الأسلوب الذي اعتمده</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لنستكشف من خلاله المدلولات؟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في الحقيقة لا يمكن الفصل بين الجواب عن هذا السؤال وبين فهم طبيعة القرآن الكريم</w:t>
      </w:r>
      <w:r w:rsidR="00A44786" w:rsidRPr="006571AC">
        <w:rPr>
          <w:rFonts w:ascii="Traditional Arabic" w:hAnsi="Traditional Arabic" w:hint="cs"/>
          <w:sz w:val="27"/>
          <w:rtl/>
          <w:lang w:bidi="ar-LB"/>
        </w:rPr>
        <w:t>؛</w:t>
      </w:r>
      <w:r w:rsidRPr="006571AC">
        <w:rPr>
          <w:rFonts w:ascii="Traditional Arabic" w:hAnsi="Traditional Arabic"/>
          <w:sz w:val="27"/>
          <w:rtl/>
          <w:lang w:bidi="ar-LB"/>
        </w:rPr>
        <w:t xml:space="preserve"> فالجواب هناك يؤث</w:t>
      </w:r>
      <w:r w:rsidR="00A44786" w:rsidRPr="006571AC">
        <w:rPr>
          <w:rFonts w:ascii="Traditional Arabic" w:hAnsi="Traditional Arabic" w:hint="cs"/>
          <w:sz w:val="27"/>
          <w:rtl/>
          <w:lang w:bidi="ar-LB"/>
        </w:rPr>
        <w:t>ِّ</w:t>
      </w:r>
      <w:r w:rsidRPr="006571AC">
        <w:rPr>
          <w:rFonts w:ascii="Traditional Arabic" w:hAnsi="Traditional Arabic"/>
          <w:sz w:val="27"/>
          <w:rtl/>
          <w:lang w:bidi="ar-LB"/>
        </w:rPr>
        <w:t xml:space="preserve">ر على الجواب هنا.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لذا ربط</w:t>
      </w:r>
      <w:r w:rsidR="00A44786" w:rsidRPr="006571AC">
        <w:rPr>
          <w:rFonts w:ascii="Traditional Arabic" w:hAnsi="Traditional Arabic" w:hint="cs"/>
          <w:sz w:val="27"/>
          <w:rtl/>
          <w:lang w:bidi="ar-LB"/>
        </w:rPr>
        <w:t>َ</w:t>
      </w:r>
      <w:r w:rsidRPr="006571AC">
        <w:rPr>
          <w:rFonts w:ascii="Traditional Arabic" w:hAnsi="Traditional Arabic"/>
          <w:sz w:val="27"/>
          <w:rtl/>
          <w:lang w:bidi="ar-LB"/>
        </w:rPr>
        <w:t>ت</w:t>
      </w:r>
      <w:r w:rsidR="00A44786" w:rsidRPr="006571AC">
        <w:rPr>
          <w:rFonts w:ascii="Traditional Arabic" w:hAnsi="Traditional Arabic" w:hint="cs"/>
          <w:sz w:val="27"/>
          <w:rtl/>
          <w:lang w:bidi="ar-LB"/>
        </w:rPr>
        <w:t>ْ</w:t>
      </w:r>
      <w:r w:rsidRPr="006571AC">
        <w:rPr>
          <w:rFonts w:ascii="Traditional Arabic" w:hAnsi="Traditional Arabic"/>
          <w:sz w:val="27"/>
          <w:rtl/>
          <w:lang w:bidi="ar-LB"/>
        </w:rPr>
        <w:t xml:space="preserve"> بعض التيارات المعرفية الإسلامي</w:t>
      </w:r>
      <w:r w:rsidR="001C02F8" w:rsidRPr="006571AC">
        <w:rPr>
          <w:rFonts w:ascii="Traditional Arabic" w:hAnsi="Traditional Arabic" w:hint="cs"/>
          <w:sz w:val="27"/>
          <w:rtl/>
          <w:lang w:bidi="ar-LB"/>
        </w:rPr>
        <w:t>ّ</w:t>
      </w:r>
      <w:r w:rsidRPr="006571AC">
        <w:rPr>
          <w:rFonts w:ascii="Traditional Arabic" w:hAnsi="Traditional Arabic"/>
          <w:sz w:val="27"/>
          <w:rtl/>
          <w:lang w:bidi="ar-LB"/>
        </w:rPr>
        <w:t>ة ـ</w:t>
      </w:r>
      <w:r w:rsidR="00A44786" w:rsidRPr="006571AC">
        <w:rPr>
          <w:rFonts w:ascii="Traditional Arabic" w:hAnsi="Traditional Arabic" w:hint="cs"/>
          <w:sz w:val="27"/>
          <w:rtl/>
          <w:lang w:bidi="ar-LB"/>
        </w:rPr>
        <w:t xml:space="preserve"> </w:t>
      </w:r>
      <w:r w:rsidRPr="006571AC">
        <w:rPr>
          <w:rFonts w:ascii="Traditional Arabic" w:hAnsi="Traditional Arabic"/>
          <w:sz w:val="27"/>
          <w:rtl/>
          <w:lang w:bidi="ar-LB"/>
        </w:rPr>
        <w:t>ومنهم اتجاه العلاّمة</w:t>
      </w:r>
      <w:r w:rsidR="001C02F8"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ـ بين لغة القرآن وحقيقته، فهم يقولون</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بما أن للقرآن حقيقة</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مطلقة</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توجد فيها جميع الخصائص والكمالات الوجودية في مرتبة الذات الإلهية ف</w:t>
      </w:r>
      <w:r w:rsidR="00731867" w:rsidRPr="006571AC">
        <w:rPr>
          <w:rFonts w:ascii="Traditional Arabic" w:hAnsi="Traditional Arabic"/>
          <w:sz w:val="27"/>
          <w:rtl/>
          <w:lang w:bidi="ar-LB"/>
        </w:rPr>
        <w:t>لا بُدَّ</w:t>
      </w:r>
      <w:r w:rsidRPr="006571AC">
        <w:rPr>
          <w:rFonts w:ascii="Traditional Arabic" w:hAnsi="Traditional Arabic"/>
          <w:sz w:val="27"/>
          <w:rtl/>
          <w:lang w:bidi="ar-LB"/>
        </w:rPr>
        <w:t xml:space="preserve"> أن يكون واجدا</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ascii="Traditional Arabic" w:hAnsi="Traditional Arabic"/>
          <w:sz w:val="27"/>
          <w:rtl/>
          <w:lang w:bidi="ar-LB"/>
        </w:rPr>
        <w:lastRenderedPageBreak/>
        <w:t>لجميع العلوم بشكل</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تام</w:t>
      </w:r>
      <w:r w:rsidR="00C763A5" w:rsidRPr="006571AC">
        <w:rPr>
          <w:rFonts w:ascii="Traditional Arabic" w:hAnsi="Traditional Arabic" w:hint="cs"/>
          <w:sz w:val="27"/>
          <w:rtl/>
          <w:lang w:bidi="ar-LB"/>
        </w:rPr>
        <w:t xml:space="preserve">ّ؛ </w:t>
      </w:r>
      <w:r w:rsidRPr="006571AC">
        <w:rPr>
          <w:rFonts w:ascii="Traditional Arabic" w:hAnsi="Traditional Arabic"/>
          <w:sz w:val="27"/>
          <w:rtl/>
          <w:lang w:bidi="ar-LB"/>
        </w:rPr>
        <w:t xml:space="preserve">حيث </w:t>
      </w:r>
      <w:r w:rsidR="00C763A5" w:rsidRPr="006571AC">
        <w:rPr>
          <w:rFonts w:ascii="Traditional Arabic" w:hAnsi="Traditional Arabic" w:hint="cs"/>
          <w:sz w:val="27"/>
          <w:rtl/>
          <w:lang w:bidi="ar-LB"/>
        </w:rPr>
        <w:t>إ</w:t>
      </w:r>
      <w:r w:rsidRPr="006571AC">
        <w:rPr>
          <w:rFonts w:ascii="Traditional Arabic" w:hAnsi="Traditional Arabic"/>
          <w:sz w:val="27"/>
          <w:rtl/>
          <w:lang w:bidi="ar-LB"/>
        </w:rPr>
        <w:t>ن علم الله تعالى فيه جميع العلوم، وهذا معنى قوله تعالى</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C763A5" w:rsidRPr="006571AC">
        <w:rPr>
          <w:rFonts w:ascii="Traditional Arabic" w:hAnsi="Traditional Arabic" w:hint="cs"/>
          <w:sz w:val="27"/>
          <w:rtl/>
          <w:lang w:bidi="ar-LB"/>
        </w:rPr>
        <w:t>إ</w:t>
      </w:r>
      <w:r w:rsidRPr="006571AC">
        <w:rPr>
          <w:rFonts w:ascii="Traditional Arabic" w:hAnsi="Traditional Arabic"/>
          <w:sz w:val="27"/>
          <w:rtl/>
          <w:lang w:bidi="ar-LB"/>
        </w:rPr>
        <w:t>ن القرآن تبيان</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لكل</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شيء</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وعلى ذلك</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وبما أن في القرآن معلومات</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غير متناهية ـ</w:t>
      </w:r>
      <w:r w:rsidR="00C763A5" w:rsidRPr="006571AC">
        <w:rPr>
          <w:rFonts w:ascii="Traditional Arabic" w:hAnsi="Traditional Arabic" w:hint="cs"/>
          <w:sz w:val="27"/>
          <w:rtl/>
          <w:lang w:bidi="ar-LB"/>
        </w:rPr>
        <w:t xml:space="preserve"> </w:t>
      </w:r>
      <w:r w:rsidRPr="006571AC">
        <w:rPr>
          <w:rFonts w:ascii="Traditional Arabic" w:hAnsi="Traditional Arabic"/>
          <w:sz w:val="27"/>
          <w:rtl/>
          <w:lang w:bidi="ar-LB"/>
        </w:rPr>
        <w:t>لأن علمه تعالى غير متناه</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ـ يجب أن نفت</w:t>
      </w:r>
      <w:r w:rsidR="00C763A5" w:rsidRPr="006571AC">
        <w:rPr>
          <w:rFonts w:ascii="Traditional Arabic" w:hAnsi="Traditional Arabic" w:hint="cs"/>
          <w:sz w:val="27"/>
          <w:rtl/>
          <w:lang w:bidi="ar-LB"/>
        </w:rPr>
        <w:t>ِّ</w:t>
      </w:r>
      <w:r w:rsidRPr="006571AC">
        <w:rPr>
          <w:rFonts w:ascii="Traditional Arabic" w:hAnsi="Traditional Arabic"/>
          <w:sz w:val="27"/>
          <w:rtl/>
          <w:lang w:bidi="ar-LB"/>
        </w:rPr>
        <w:t>ش عن اللغة والب</w:t>
      </w:r>
      <w:r w:rsidR="00C763A5" w:rsidRPr="006571AC">
        <w:rPr>
          <w:rFonts w:ascii="Traditional Arabic" w:hAnsi="Traditional Arabic" w:hint="cs"/>
          <w:sz w:val="27"/>
          <w:rtl/>
          <w:lang w:bidi="ar-LB"/>
        </w:rPr>
        <w:t>ِ</w:t>
      </w:r>
      <w:r w:rsidRPr="006571AC">
        <w:rPr>
          <w:rFonts w:ascii="Traditional Arabic" w:hAnsi="Traditional Arabic"/>
          <w:sz w:val="27"/>
          <w:rtl/>
          <w:lang w:bidi="ar-LB"/>
        </w:rPr>
        <w:t>ن</w:t>
      </w:r>
      <w:r w:rsidR="00C763A5" w:rsidRPr="006571AC">
        <w:rPr>
          <w:rFonts w:ascii="Traditional Arabic" w:hAnsi="Traditional Arabic" w:hint="cs"/>
          <w:sz w:val="27"/>
          <w:rtl/>
          <w:lang w:bidi="ar-LB"/>
        </w:rPr>
        <w:t>ْ</w:t>
      </w:r>
      <w:r w:rsidRPr="006571AC">
        <w:rPr>
          <w:rFonts w:ascii="Traditional Arabic" w:hAnsi="Traditional Arabic"/>
          <w:sz w:val="27"/>
          <w:rtl/>
          <w:lang w:bidi="ar-LB"/>
        </w:rPr>
        <w:t>ي</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ة الدلاليّة التي اعتمدها في سبيل </w:t>
      </w:r>
      <w:r w:rsidR="00C763A5" w:rsidRPr="006571AC">
        <w:rPr>
          <w:rFonts w:ascii="Traditional Arabic" w:hAnsi="Traditional Arabic" w:hint="cs"/>
          <w:sz w:val="27"/>
          <w:rtl/>
          <w:lang w:bidi="ar-LB"/>
        </w:rPr>
        <w:t>إي</w:t>
      </w:r>
      <w:r w:rsidRPr="006571AC">
        <w:rPr>
          <w:rFonts w:ascii="Traditional Arabic" w:hAnsi="Traditional Arabic"/>
          <w:sz w:val="27"/>
          <w:rtl/>
          <w:lang w:bidi="ar-LB"/>
        </w:rPr>
        <w:t>صال هذه المعلومات؛ إذ من الطبيعي</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أن اللغة العربية الع</w:t>
      </w:r>
      <w:r w:rsidR="00C763A5" w:rsidRPr="006571AC">
        <w:rPr>
          <w:rFonts w:ascii="Traditional Arabic" w:hAnsi="Traditional Arabic" w:hint="cs"/>
          <w:sz w:val="27"/>
          <w:rtl/>
          <w:lang w:bidi="ar-LB"/>
        </w:rPr>
        <w:t>ُ</w:t>
      </w:r>
      <w:r w:rsidRPr="006571AC">
        <w:rPr>
          <w:rFonts w:ascii="Traditional Arabic" w:hAnsi="Traditional Arabic"/>
          <w:sz w:val="27"/>
          <w:rtl/>
          <w:lang w:bidi="ar-LB"/>
        </w:rPr>
        <w:t>ر</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فية ـ كما </w:t>
      </w:r>
      <w:r w:rsidR="00C763A5" w:rsidRPr="006571AC">
        <w:rPr>
          <w:rFonts w:ascii="Traditional Arabic" w:hAnsi="Traditional Arabic" w:hint="cs"/>
          <w:sz w:val="27"/>
          <w:rtl/>
          <w:lang w:bidi="ar-LB"/>
        </w:rPr>
        <w:t xml:space="preserve">هي </w:t>
      </w:r>
      <w:r w:rsidRPr="006571AC">
        <w:rPr>
          <w:rFonts w:ascii="Traditional Arabic" w:hAnsi="Traditional Arabic"/>
          <w:sz w:val="27"/>
          <w:rtl/>
          <w:lang w:bidi="ar-LB"/>
        </w:rPr>
        <w:t>أي</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لغة</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بشري</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ة </w:t>
      </w:r>
      <w:r w:rsidR="00C763A5" w:rsidRPr="006571AC">
        <w:rPr>
          <w:rFonts w:ascii="Traditional Arabic" w:hAnsi="Traditional Arabic" w:hint="cs"/>
          <w:sz w:val="27"/>
          <w:rtl/>
          <w:lang w:bidi="ar-LB"/>
        </w:rPr>
        <w:t>أ</w:t>
      </w:r>
      <w:r w:rsidRPr="006571AC">
        <w:rPr>
          <w:rFonts w:ascii="Traditional Arabic" w:hAnsi="Traditional Arabic"/>
          <w:sz w:val="27"/>
          <w:rtl/>
          <w:lang w:bidi="ar-LB"/>
        </w:rPr>
        <w:t>خرى ـ غير قادرة</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استيعاب هذه المداليل؛ لأن القرآن محدود</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بهذه الكلمات التي بين أيدينا، وواضح</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أنه لا سبيل لدلالتها على هذه المعلومات اللامتناهية.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إذن، لغة القرآن هي لغة</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غير ع</w:t>
      </w:r>
      <w:r w:rsidR="00C763A5" w:rsidRPr="006571AC">
        <w:rPr>
          <w:rFonts w:ascii="Traditional Arabic" w:hAnsi="Traditional Arabic" w:hint="cs"/>
          <w:sz w:val="27"/>
          <w:rtl/>
          <w:lang w:bidi="ar-LB"/>
        </w:rPr>
        <w:t>ُ</w:t>
      </w:r>
      <w:r w:rsidRPr="006571AC">
        <w:rPr>
          <w:rFonts w:ascii="Traditional Arabic" w:hAnsi="Traditional Arabic"/>
          <w:sz w:val="27"/>
          <w:rtl/>
          <w:lang w:bidi="ar-LB"/>
        </w:rPr>
        <w:t>ر</w:t>
      </w:r>
      <w:r w:rsidR="00C763A5" w:rsidRPr="006571AC">
        <w:rPr>
          <w:rFonts w:ascii="Traditional Arabic" w:hAnsi="Traditional Arabic" w:hint="cs"/>
          <w:sz w:val="27"/>
          <w:rtl/>
          <w:lang w:bidi="ar-LB"/>
        </w:rPr>
        <w:t>ْ</w:t>
      </w:r>
      <w:r w:rsidRPr="006571AC">
        <w:rPr>
          <w:rFonts w:ascii="Traditional Arabic" w:hAnsi="Traditional Arabic"/>
          <w:sz w:val="27"/>
          <w:rtl/>
          <w:lang w:bidi="ar-LB"/>
        </w:rPr>
        <w:t>فية وفوق عقلائية، وهي المتعيّ</w:t>
      </w:r>
      <w:r w:rsidR="00C763A5" w:rsidRPr="006571AC">
        <w:rPr>
          <w:rFonts w:ascii="Traditional Arabic" w:hAnsi="Traditional Arabic" w:hint="cs"/>
          <w:sz w:val="27"/>
          <w:rtl/>
          <w:lang w:bidi="ar-LB"/>
        </w:rPr>
        <w:t>ِ</w:t>
      </w:r>
      <w:r w:rsidRPr="006571AC">
        <w:rPr>
          <w:rFonts w:ascii="Traditional Arabic" w:hAnsi="Traditional Arabic"/>
          <w:sz w:val="27"/>
          <w:rtl/>
          <w:lang w:bidi="ar-LB"/>
        </w:rPr>
        <w:t>نة في التعامل مع النص</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القرآني، أما التعامل معه بطريقة اللغة الع</w:t>
      </w:r>
      <w:r w:rsidR="00C763A5" w:rsidRPr="006571AC">
        <w:rPr>
          <w:rFonts w:ascii="Traditional Arabic" w:hAnsi="Traditional Arabic" w:hint="cs"/>
          <w:sz w:val="27"/>
          <w:rtl/>
          <w:lang w:bidi="ar-LB"/>
        </w:rPr>
        <w:t>ُ</w:t>
      </w:r>
      <w:r w:rsidRPr="006571AC">
        <w:rPr>
          <w:rFonts w:ascii="Traditional Arabic" w:hAnsi="Traditional Arabic"/>
          <w:sz w:val="27"/>
          <w:rtl/>
          <w:lang w:bidi="ar-LB"/>
        </w:rPr>
        <w:t>ر</w:t>
      </w:r>
      <w:r w:rsidR="00C763A5" w:rsidRPr="006571AC">
        <w:rPr>
          <w:rFonts w:ascii="Traditional Arabic" w:hAnsi="Traditional Arabic" w:hint="cs"/>
          <w:sz w:val="27"/>
          <w:rtl/>
          <w:lang w:bidi="ar-LB"/>
        </w:rPr>
        <w:t>ْ</w:t>
      </w:r>
      <w:r w:rsidRPr="006571AC">
        <w:rPr>
          <w:rFonts w:ascii="Traditional Arabic" w:hAnsi="Traditional Arabic"/>
          <w:sz w:val="27"/>
          <w:rtl/>
          <w:lang w:bidi="ar-LB"/>
        </w:rPr>
        <w:t>فية العقلائية فهو وإن</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 يمدّنا بالمعلومات</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ويساعدنا على استكشاف بعض المداليل</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إلاّ أنها مداليل معدودة</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جد</w:t>
      </w:r>
      <w:r w:rsidR="00C763A5" w:rsidRPr="006571AC">
        <w:rPr>
          <w:rFonts w:ascii="Traditional Arabic" w:hAnsi="Traditional Arabic" w:hint="cs"/>
          <w:sz w:val="27"/>
          <w:rtl/>
          <w:lang w:bidi="ar-LB"/>
        </w:rPr>
        <w:t>ّ</w:t>
      </w:r>
      <w:r w:rsidRPr="006571AC">
        <w:rPr>
          <w:rFonts w:ascii="Traditional Arabic" w:hAnsi="Traditional Arabic"/>
          <w:sz w:val="27"/>
          <w:rtl/>
          <w:lang w:bidi="ar-LB"/>
        </w:rPr>
        <w:t>ا</w:t>
      </w:r>
      <w:r w:rsidR="00C763A5" w:rsidRPr="006571AC">
        <w:rPr>
          <w:rFonts w:ascii="Traditional Arabic" w:hAnsi="Traditional Arabic" w:hint="cs"/>
          <w:sz w:val="27"/>
          <w:rtl/>
          <w:lang w:bidi="ar-LB"/>
        </w:rPr>
        <w:t>ً</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وبسيطة</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للغاية</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لا تعدو أن تكون قطرة</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بحار القرآن الكريم.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من هنا، يغدو من اللازم علينا أن نذهب إلى القرآن بنسخته الأعلى الموجودة في عالم المثال أو عالم المجر</w:t>
      </w:r>
      <w:r w:rsidR="001C02F8" w:rsidRPr="006571AC">
        <w:rPr>
          <w:rFonts w:ascii="Traditional Arabic" w:hAnsi="Traditional Arabic" w:hint="cs"/>
          <w:sz w:val="27"/>
          <w:rtl/>
          <w:lang w:bidi="ar-LB"/>
        </w:rPr>
        <w:t>ّ</w:t>
      </w:r>
      <w:r w:rsidRPr="006571AC">
        <w:rPr>
          <w:rFonts w:ascii="Traditional Arabic" w:hAnsi="Traditional Arabic"/>
          <w:sz w:val="27"/>
          <w:rtl/>
          <w:lang w:bidi="ar-LB"/>
        </w:rPr>
        <w:t>دات</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ونرى هناك مداليله</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ثم</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نأتي إلى نسخته المادية ـ</w:t>
      </w:r>
      <w:r w:rsidR="001C02F8" w:rsidRPr="006571AC">
        <w:rPr>
          <w:rFonts w:ascii="Traditional Arabic" w:hAnsi="Traditional Arabic" w:hint="cs"/>
          <w:sz w:val="27"/>
          <w:rtl/>
          <w:lang w:bidi="ar-LB"/>
        </w:rPr>
        <w:t xml:space="preserve"> </w:t>
      </w:r>
      <w:r w:rsidRPr="006571AC">
        <w:rPr>
          <w:rFonts w:ascii="Traditional Arabic" w:hAnsi="Traditional Arabic"/>
          <w:sz w:val="27"/>
          <w:rtl/>
          <w:lang w:bidi="ar-LB"/>
        </w:rPr>
        <w:t>أي الموجودة في عالمنا ـ</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المؤل</w:t>
      </w:r>
      <w:r w:rsidR="001C02F8" w:rsidRPr="006571AC">
        <w:rPr>
          <w:rFonts w:ascii="Traditional Arabic" w:hAnsi="Traditional Arabic" w:hint="cs"/>
          <w:sz w:val="27"/>
          <w:rtl/>
          <w:lang w:bidi="ar-LB"/>
        </w:rPr>
        <w:t>َّ</w:t>
      </w:r>
      <w:r w:rsidRPr="006571AC">
        <w:rPr>
          <w:rFonts w:ascii="Traditional Arabic" w:hAnsi="Traditional Arabic"/>
          <w:sz w:val="27"/>
          <w:rtl/>
          <w:lang w:bidi="ar-LB"/>
        </w:rPr>
        <w:t>فة من الألفاظ العربية</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ونطب</w:t>
      </w:r>
      <w:r w:rsidR="001C02F8" w:rsidRPr="006571AC">
        <w:rPr>
          <w:rFonts w:ascii="Traditional Arabic" w:hAnsi="Traditional Arabic" w:hint="cs"/>
          <w:sz w:val="27"/>
          <w:rtl/>
          <w:lang w:bidi="ar-LB"/>
        </w:rPr>
        <w:t>ِّ</w:t>
      </w:r>
      <w:r w:rsidRPr="006571AC">
        <w:rPr>
          <w:rFonts w:ascii="Traditional Arabic" w:hAnsi="Traditional Arabic"/>
          <w:sz w:val="27"/>
          <w:rtl/>
          <w:lang w:bidi="ar-LB"/>
        </w:rPr>
        <w:t>قها عليها، وهذا ما يقصده العرفاء بقولهم</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1C02F8" w:rsidRPr="006571AC">
        <w:rPr>
          <w:rFonts w:ascii="Traditional Arabic" w:hAnsi="Traditional Arabic" w:hint="cs"/>
          <w:sz w:val="27"/>
          <w:rtl/>
          <w:lang w:bidi="ar-LB"/>
        </w:rPr>
        <w:t>إ</w:t>
      </w:r>
      <w:r w:rsidRPr="006571AC">
        <w:rPr>
          <w:rFonts w:ascii="Traditional Arabic" w:hAnsi="Traditional Arabic"/>
          <w:sz w:val="27"/>
          <w:rtl/>
          <w:lang w:bidi="ar-LB"/>
        </w:rPr>
        <w:t>ن خطاب الله ي</w:t>
      </w:r>
      <w:r w:rsidR="001C02F8" w:rsidRPr="006571AC">
        <w:rPr>
          <w:rFonts w:ascii="Traditional Arabic" w:hAnsi="Traditional Arabic" w:hint="cs"/>
          <w:sz w:val="27"/>
          <w:rtl/>
          <w:lang w:bidi="ar-LB"/>
        </w:rPr>
        <w:t>ُ</w:t>
      </w:r>
      <w:r w:rsidRPr="006571AC">
        <w:rPr>
          <w:rFonts w:ascii="Traditional Arabic" w:hAnsi="Traditional Arabic"/>
          <w:sz w:val="27"/>
          <w:rtl/>
          <w:lang w:bidi="ar-LB"/>
        </w:rPr>
        <w:t>ف</w:t>
      </w:r>
      <w:r w:rsidR="001C02F8" w:rsidRPr="006571AC">
        <w:rPr>
          <w:rFonts w:ascii="Traditional Arabic" w:hAnsi="Traditional Arabic" w:hint="cs"/>
          <w:sz w:val="27"/>
          <w:rtl/>
          <w:lang w:bidi="ar-LB"/>
        </w:rPr>
        <w:t>ْ</w:t>
      </w:r>
      <w:r w:rsidRPr="006571AC">
        <w:rPr>
          <w:rFonts w:ascii="Traditional Arabic" w:hAnsi="Traditional Arabic"/>
          <w:sz w:val="27"/>
          <w:rtl/>
          <w:lang w:bidi="ar-LB"/>
        </w:rPr>
        <w:t>ه</w:t>
      </w:r>
      <w:r w:rsidR="001C02F8" w:rsidRPr="006571AC">
        <w:rPr>
          <w:rFonts w:ascii="Traditional Arabic" w:hAnsi="Traditional Arabic" w:hint="cs"/>
          <w:sz w:val="27"/>
          <w:rtl/>
          <w:lang w:bidi="ar-LB"/>
        </w:rPr>
        <w:t>َ</w:t>
      </w:r>
      <w:r w:rsidRPr="006571AC">
        <w:rPr>
          <w:rFonts w:ascii="Traditional Arabic" w:hAnsi="Traditional Arabic"/>
          <w:sz w:val="27"/>
          <w:rtl/>
          <w:lang w:bidi="ar-LB"/>
        </w:rPr>
        <w:t>م من مراده</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لا العكس. </w:t>
      </w:r>
    </w:p>
    <w:p w:rsidR="001667A3" w:rsidRPr="006571AC" w:rsidRDefault="001C02F8"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على الخط</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الموازي لذلك يقف ال</w:t>
      </w:r>
      <w:r w:rsidRPr="006571AC">
        <w:rPr>
          <w:rFonts w:ascii="Traditional Arabic" w:hAnsi="Traditional Arabic" w:hint="cs"/>
          <w:sz w:val="27"/>
          <w:rtl/>
          <w:lang w:bidi="ar-LB"/>
        </w:rPr>
        <w:t>علاّمة</w:t>
      </w:r>
      <w:r w:rsidR="001667A3" w:rsidRPr="006571AC">
        <w:rPr>
          <w:rFonts w:ascii="Traditional Arabic" w:hAnsi="Traditional Arabic"/>
          <w:sz w:val="27"/>
          <w:rtl/>
          <w:lang w:bidi="ar-LB"/>
        </w:rPr>
        <w:t xml:space="preserve"> فضل الله، فهو ينطلق من اعتقاده الذي 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اه سابقا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أن القرآن كان محفوظا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اللوح ثم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نزل على النبي</w:t>
      </w:r>
      <w:r w:rsidRPr="006571AC">
        <w:rPr>
          <w:rFonts w:ascii="Traditional Arabic" w:hAnsi="Traditional Arabic" w:hint="cs"/>
          <w:sz w:val="27"/>
          <w:rtl/>
          <w:lang w:bidi="ar-LB"/>
        </w:rPr>
        <w:t>ّ</w:t>
      </w:r>
      <w:r w:rsidR="002A2C90" w:rsidRPr="006571AC">
        <w:rPr>
          <w:rFonts w:ascii="Mosawi" w:hAnsi="Mosawi" w:cs="Mosawi"/>
          <w:sz w:val="22"/>
          <w:szCs w:val="22"/>
          <w:rtl/>
        </w:rPr>
        <w:t>|</w:t>
      </w:r>
      <w:r w:rsidR="001667A3" w:rsidRPr="006571AC">
        <w:rPr>
          <w:rFonts w:ascii="Traditional Arabic" w:hAnsi="Traditional Arabic"/>
          <w:sz w:val="27"/>
          <w:rtl/>
          <w:lang w:bidi="ar-LB"/>
        </w:rPr>
        <w:t xml:space="preserve"> بلغة العرب وأساليبهم وطرق بياناتهم، لذلك لا سبيل لفهمه إلاّ بما يفهمونه. وعلى ذلك</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فالقواعد العربية في الاستعمالات الحقيقية والمجازية هي الم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ح</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كّ</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م في مسألة الإفهام والتدليل، فما يفهمه العربي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كلمات القرآن وتراكيبه هو المراد فقط. من هذا المنطلق </w:t>
      </w:r>
      <w:r w:rsidRPr="006571AC">
        <w:rPr>
          <w:rFonts w:ascii="Traditional Arabic" w:hAnsi="Traditional Arabic" w:hint="cs"/>
          <w:sz w:val="27"/>
          <w:rtl/>
          <w:lang w:bidi="ar-LB"/>
        </w:rPr>
        <w:t>ي</w:t>
      </w:r>
      <w:r w:rsidRPr="006571AC">
        <w:rPr>
          <w:rFonts w:ascii="Traditional Arabic" w:hAnsi="Traditional Arabic"/>
          <w:sz w:val="27"/>
          <w:rtl/>
          <w:lang w:bidi="ar-LB"/>
        </w:rPr>
        <w:t>عتبر السي</w:t>
      </w:r>
      <w:r w:rsidR="001667A3" w:rsidRPr="006571AC">
        <w:rPr>
          <w:rFonts w:ascii="Traditional Arabic" w:hAnsi="Traditional Arabic"/>
          <w:sz w:val="27"/>
          <w:rtl/>
          <w:lang w:bidi="ar-LB"/>
        </w:rPr>
        <w:t>د</w:t>
      </w:r>
      <w:r w:rsidRPr="006571AC">
        <w:rPr>
          <w:rFonts w:ascii="Traditional Arabic" w:hAnsi="Traditional Arabic" w:hint="cs"/>
          <w:sz w:val="27"/>
          <w:rtl/>
          <w:lang w:bidi="ar-LB"/>
        </w:rPr>
        <w:t xml:space="preserve"> فضل الله</w:t>
      </w:r>
      <w:r w:rsidR="001667A3" w:rsidRPr="006571AC">
        <w:rPr>
          <w:rFonts w:ascii="Traditional Arabic" w:hAnsi="Traditional Arabic"/>
          <w:sz w:val="27"/>
          <w:rtl/>
          <w:lang w:bidi="ar-LB"/>
        </w:rPr>
        <w:t xml:space="preserve"> أنه لا داعي أبدا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لل</w:t>
      </w:r>
      <w:r w:rsidRPr="006571AC">
        <w:rPr>
          <w:rFonts w:ascii="Traditional Arabic" w:hAnsi="Traditional Arabic" w:hint="cs"/>
          <w:sz w:val="27"/>
          <w:rtl/>
          <w:lang w:bidi="ar-LB"/>
        </w:rPr>
        <w:t>ا</w:t>
      </w:r>
      <w:r w:rsidR="001667A3" w:rsidRPr="006571AC">
        <w:rPr>
          <w:rFonts w:ascii="Traditional Arabic" w:hAnsi="Traditional Arabic"/>
          <w:sz w:val="27"/>
          <w:rtl/>
          <w:lang w:bidi="ar-LB"/>
        </w:rPr>
        <w:t>ستغراق في ح</w:t>
      </w:r>
      <w:r w:rsidR="00CF10C1"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00CF10C1" w:rsidRPr="006571AC">
        <w:rPr>
          <w:rFonts w:ascii="Traditional Arabic" w:hAnsi="Traditional Arabic" w:hint="cs"/>
          <w:sz w:val="27"/>
          <w:rtl/>
          <w:lang w:bidi="ar-LB"/>
        </w:rPr>
        <w:t>ْ</w:t>
      </w:r>
      <w:r w:rsidR="001667A3" w:rsidRPr="006571AC">
        <w:rPr>
          <w:rFonts w:ascii="Traditional Arabic" w:hAnsi="Traditional Arabic"/>
          <w:sz w:val="27"/>
          <w:rtl/>
          <w:lang w:bidi="ar-LB"/>
        </w:rPr>
        <w:t>في</w:t>
      </w:r>
      <w:r w:rsidR="00CF10C1" w:rsidRPr="006571AC">
        <w:rPr>
          <w:rFonts w:ascii="Traditional Arabic" w:hAnsi="Traditional Arabic" w:hint="cs"/>
          <w:sz w:val="27"/>
          <w:rtl/>
          <w:lang w:bidi="ar-LB"/>
        </w:rPr>
        <w:t>ّ</w:t>
      </w:r>
      <w:r w:rsidR="001667A3" w:rsidRPr="006571AC">
        <w:rPr>
          <w:rFonts w:ascii="Traditional Arabic" w:hAnsi="Traditional Arabic"/>
          <w:sz w:val="27"/>
          <w:rtl/>
          <w:lang w:bidi="ar-LB"/>
        </w:rPr>
        <w:t>ة الكلام القرآني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كي نذهب ونسأل عن مسير الجبال وحركتها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ولماذا نراها ثابتة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كما في </w:t>
      </w:r>
      <w:r w:rsidR="00B72219" w:rsidRPr="006571AC">
        <w:rPr>
          <w:rFonts w:ascii="Traditional Arabic" w:hAnsi="Traditional Arabic" w:hint="cs"/>
          <w:sz w:val="27"/>
          <w:rtl/>
          <w:lang w:bidi="ar-LB"/>
        </w:rPr>
        <w:t>قوله تعالى</w:t>
      </w:r>
      <w:r w:rsidR="001667A3" w:rsidRPr="006571AC">
        <w:rPr>
          <w:rFonts w:ascii="Traditional Arabic" w:hAnsi="Traditional Arabic" w:hint="cs"/>
          <w:b/>
          <w:bCs/>
          <w:sz w:val="27"/>
          <w:rtl/>
          <w:lang w:bidi="ar-LB"/>
        </w:rPr>
        <w:t xml:space="preserve">: </w:t>
      </w:r>
      <w:r w:rsidR="001667A3" w:rsidRPr="006571AC">
        <w:rPr>
          <w:rFonts w:ascii="Mosawi" w:hAnsi="Mosawi" w:cs="Mosawi"/>
          <w:sz w:val="24"/>
          <w:szCs w:val="24"/>
          <w:rtl/>
        </w:rPr>
        <w:t>﴿</w:t>
      </w:r>
      <w:r w:rsidR="001667A3" w:rsidRPr="006571AC">
        <w:rPr>
          <w:rFonts w:ascii="Traditional Arabic" w:hAnsi="Traditional Arabic"/>
          <w:b/>
          <w:bCs/>
          <w:sz w:val="27"/>
          <w:rtl/>
          <w:lang w:bidi="ar-LB"/>
        </w:rPr>
        <w:t>وَتَرَى الْجِبَالَ تَحْسَبُهَا جَامِدَ</w:t>
      </w:r>
      <w:r w:rsidR="00B72219" w:rsidRPr="006571AC">
        <w:rPr>
          <w:rFonts w:ascii="Traditional Arabic" w:hAnsi="Traditional Arabic" w:hint="cs"/>
          <w:b/>
          <w:bCs/>
          <w:sz w:val="27"/>
          <w:rtl/>
          <w:lang w:bidi="ar-LB"/>
        </w:rPr>
        <w:t>ةً</w:t>
      </w:r>
      <w:r w:rsidR="00B72219" w:rsidRPr="006571AC">
        <w:rPr>
          <w:rFonts w:ascii="Traditional Arabic" w:hAnsi="Traditional Arabic"/>
          <w:b/>
          <w:bCs/>
          <w:sz w:val="27"/>
          <w:rtl/>
          <w:lang w:bidi="ar-LB"/>
        </w:rPr>
        <w:t xml:space="preserve"> و</w:t>
      </w:r>
      <w:r w:rsidR="00B72219" w:rsidRPr="006571AC">
        <w:rPr>
          <w:rFonts w:ascii="Traditional Arabic" w:hAnsi="Traditional Arabic" w:hint="cs"/>
          <w:b/>
          <w:bCs/>
          <w:sz w:val="27"/>
          <w:rtl/>
          <w:lang w:bidi="ar-LB"/>
        </w:rPr>
        <w:t>َهِيَ</w:t>
      </w:r>
      <w:r w:rsidR="001667A3" w:rsidRPr="006571AC">
        <w:rPr>
          <w:rFonts w:ascii="Traditional Arabic" w:hAnsi="Traditional Arabic"/>
          <w:b/>
          <w:bCs/>
          <w:sz w:val="27"/>
          <w:rtl/>
          <w:lang w:bidi="ar-LB"/>
        </w:rPr>
        <w:t xml:space="preserve"> </w:t>
      </w:r>
      <w:r w:rsidR="001667A3" w:rsidRPr="006571AC">
        <w:rPr>
          <w:rFonts w:ascii="Traditional Arabic" w:hAnsi="Traditional Arabic" w:hint="cs"/>
          <w:b/>
          <w:bCs/>
          <w:sz w:val="27"/>
          <w:rtl/>
          <w:lang w:bidi="ar-LB"/>
        </w:rPr>
        <w:t>تَمُرُّ</w:t>
      </w:r>
      <w:r w:rsidR="001667A3" w:rsidRPr="006571AC">
        <w:rPr>
          <w:rFonts w:ascii="Traditional Arabic" w:hAnsi="Traditional Arabic"/>
          <w:b/>
          <w:bCs/>
          <w:sz w:val="27"/>
          <w:rtl/>
          <w:lang w:bidi="ar-LB"/>
        </w:rPr>
        <w:t xml:space="preserve"> </w:t>
      </w:r>
      <w:r w:rsidR="001667A3" w:rsidRPr="006571AC">
        <w:rPr>
          <w:rFonts w:ascii="Traditional Arabic" w:hAnsi="Traditional Arabic" w:hint="cs"/>
          <w:b/>
          <w:bCs/>
          <w:sz w:val="27"/>
          <w:rtl/>
          <w:lang w:bidi="ar-LB"/>
        </w:rPr>
        <w:t>مَرَّ</w:t>
      </w:r>
      <w:r w:rsidR="00B72219" w:rsidRPr="006571AC">
        <w:rPr>
          <w:rFonts w:ascii="Traditional Arabic" w:hAnsi="Traditional Arabic"/>
          <w:b/>
          <w:bCs/>
          <w:sz w:val="27"/>
          <w:rtl/>
          <w:lang w:bidi="ar-LB"/>
        </w:rPr>
        <w:t xml:space="preserve"> السَّحَابِ صُنْعَ ال</w:t>
      </w:r>
      <w:r w:rsidR="001667A3" w:rsidRPr="006571AC">
        <w:rPr>
          <w:rFonts w:ascii="Traditional Arabic" w:hAnsi="Traditional Arabic"/>
          <w:b/>
          <w:bCs/>
          <w:sz w:val="27"/>
          <w:rtl/>
          <w:lang w:bidi="ar-LB"/>
        </w:rPr>
        <w:t>له</w:t>
      </w:r>
      <w:r w:rsidR="00B72219" w:rsidRPr="006571AC">
        <w:rPr>
          <w:rFonts w:ascii="Traditional Arabic" w:hAnsi="Traditional Arabic" w:hint="cs"/>
          <w:b/>
          <w:bCs/>
          <w:sz w:val="27"/>
          <w:rtl/>
          <w:lang w:bidi="ar-LB"/>
        </w:rPr>
        <w:t>ِ</w:t>
      </w:r>
      <w:r w:rsidR="00B72219" w:rsidRPr="006571AC">
        <w:rPr>
          <w:rFonts w:ascii="Traditional Arabic" w:hAnsi="Traditional Arabic"/>
          <w:b/>
          <w:bCs/>
          <w:sz w:val="27"/>
          <w:rtl/>
          <w:lang w:bidi="ar-LB"/>
        </w:rPr>
        <w:t xml:space="preserve"> الَّذِي أتْقَن</w:t>
      </w:r>
      <w:r w:rsidR="00B72219" w:rsidRPr="006571AC">
        <w:rPr>
          <w:rFonts w:ascii="Traditional Arabic" w:hAnsi="Traditional Arabic" w:hint="cs"/>
          <w:b/>
          <w:bCs/>
          <w:sz w:val="27"/>
          <w:rtl/>
          <w:lang w:bidi="ar-LB"/>
        </w:rPr>
        <w:t>َ كُ</w:t>
      </w:r>
      <w:r w:rsidR="001667A3" w:rsidRPr="006571AC">
        <w:rPr>
          <w:rFonts w:ascii="Traditional Arabic" w:hAnsi="Traditional Arabic"/>
          <w:b/>
          <w:bCs/>
          <w:sz w:val="27"/>
          <w:rtl/>
          <w:lang w:bidi="ar-LB"/>
        </w:rPr>
        <w:t xml:space="preserve">لَّ </w:t>
      </w:r>
      <w:r w:rsidR="00B72219" w:rsidRPr="006571AC">
        <w:rPr>
          <w:rFonts w:ascii="Traditional Arabic" w:hAnsi="Traditional Arabic" w:hint="cs"/>
          <w:b/>
          <w:bCs/>
          <w:sz w:val="27"/>
          <w:rtl/>
          <w:lang w:bidi="ar-LB"/>
        </w:rPr>
        <w:t>شَيْءٍ</w:t>
      </w:r>
      <w:r w:rsidR="001667A3" w:rsidRPr="006571AC">
        <w:rPr>
          <w:rFonts w:ascii="Traditional Arabic" w:hAnsi="Traditional Arabic"/>
          <w:b/>
          <w:bCs/>
          <w:sz w:val="27"/>
          <w:rtl/>
          <w:lang w:bidi="ar-LB"/>
        </w:rPr>
        <w:t xml:space="preserve"> </w:t>
      </w:r>
      <w:r w:rsidR="001667A3" w:rsidRPr="006571AC">
        <w:rPr>
          <w:rFonts w:ascii="Traditional Arabic" w:hAnsi="Traditional Arabic" w:hint="cs"/>
          <w:b/>
          <w:bCs/>
          <w:sz w:val="27"/>
          <w:rtl/>
          <w:lang w:bidi="ar-LB"/>
        </w:rPr>
        <w:t>إِنَّهُ</w:t>
      </w:r>
      <w:r w:rsidR="001667A3" w:rsidRPr="006571AC">
        <w:rPr>
          <w:rFonts w:ascii="Traditional Arabic" w:hAnsi="Traditional Arabic"/>
          <w:b/>
          <w:bCs/>
          <w:sz w:val="27"/>
          <w:rtl/>
          <w:lang w:bidi="ar-LB"/>
        </w:rPr>
        <w:t xml:space="preserve"> </w:t>
      </w:r>
      <w:r w:rsidR="00B72219" w:rsidRPr="006571AC">
        <w:rPr>
          <w:rFonts w:ascii="Traditional Arabic" w:hAnsi="Traditional Arabic" w:hint="cs"/>
          <w:b/>
          <w:bCs/>
          <w:sz w:val="27"/>
          <w:rtl/>
          <w:lang w:bidi="ar-LB"/>
        </w:rPr>
        <w:t>خَبِي</w:t>
      </w:r>
      <w:r w:rsidR="001667A3" w:rsidRPr="006571AC">
        <w:rPr>
          <w:rFonts w:ascii="Traditional Arabic" w:hAnsi="Traditional Arabic" w:hint="cs"/>
          <w:b/>
          <w:bCs/>
          <w:sz w:val="27"/>
          <w:rtl/>
          <w:lang w:bidi="ar-LB"/>
        </w:rPr>
        <w:t>رٌ</w:t>
      </w:r>
      <w:r w:rsidR="001667A3" w:rsidRPr="006571AC">
        <w:rPr>
          <w:rFonts w:ascii="Traditional Arabic" w:hAnsi="Traditional Arabic"/>
          <w:b/>
          <w:bCs/>
          <w:sz w:val="27"/>
          <w:rtl/>
          <w:lang w:bidi="ar-LB"/>
        </w:rPr>
        <w:t xml:space="preserve"> </w:t>
      </w:r>
      <w:r w:rsidR="001667A3" w:rsidRPr="006571AC">
        <w:rPr>
          <w:rFonts w:ascii="Traditional Arabic" w:hAnsi="Traditional Arabic" w:hint="cs"/>
          <w:b/>
          <w:bCs/>
          <w:sz w:val="27"/>
          <w:rtl/>
          <w:lang w:bidi="ar-LB"/>
        </w:rPr>
        <w:t>بِمَا</w:t>
      </w:r>
      <w:r w:rsidR="001667A3" w:rsidRPr="006571AC">
        <w:rPr>
          <w:rFonts w:ascii="Traditional Arabic" w:hAnsi="Traditional Arabic"/>
          <w:b/>
          <w:bCs/>
          <w:sz w:val="27"/>
          <w:rtl/>
          <w:lang w:bidi="ar-LB"/>
        </w:rPr>
        <w:t xml:space="preserve"> </w:t>
      </w:r>
      <w:r w:rsidR="001667A3" w:rsidRPr="006571AC">
        <w:rPr>
          <w:rFonts w:ascii="Traditional Arabic" w:hAnsi="Traditional Arabic" w:hint="cs"/>
          <w:b/>
          <w:bCs/>
          <w:sz w:val="27"/>
          <w:rtl/>
          <w:lang w:bidi="ar-LB"/>
        </w:rPr>
        <w:t>تَفْعَلُونَ</w:t>
      </w:r>
      <w:r w:rsidR="001667A3" w:rsidRPr="006571AC">
        <w:rPr>
          <w:rFonts w:ascii="Mosawi" w:hAnsi="Mosawi" w:cs="Mosawi"/>
          <w:sz w:val="24"/>
          <w:szCs w:val="24"/>
          <w:rtl/>
        </w:rPr>
        <w:t>﴾</w:t>
      </w:r>
      <w:r w:rsidR="001667A3" w:rsidRPr="006571AC">
        <w:rPr>
          <w:rFonts w:ascii="Traditional Arabic" w:hAnsi="Traditional Arabic"/>
          <w:b/>
          <w:bCs/>
          <w:sz w:val="27"/>
          <w:rtl/>
          <w:lang w:bidi="ar-LB"/>
        </w:rPr>
        <w:t xml:space="preserve"> (</w:t>
      </w:r>
      <w:r w:rsidR="001667A3" w:rsidRPr="006571AC">
        <w:rPr>
          <w:rFonts w:ascii="Traditional Arabic" w:hAnsi="Traditional Arabic"/>
          <w:sz w:val="27"/>
          <w:rtl/>
          <w:lang w:bidi="ar-LB"/>
        </w:rPr>
        <w:t>النمل: 88)</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وغيرها من الأسئلة</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التي تبتعد بنا عن الجانب الجمالي البلاغي في القرآن</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القائم على الاستعارات والكنايات، فهذه المعاني المتبادرة ع</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فا</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ذهن العربي</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هي ما يريده القرآن</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لا غير. </w:t>
      </w:r>
    </w:p>
    <w:p w:rsidR="0022327A" w:rsidRPr="006571AC" w:rsidRDefault="00B72219" w:rsidP="00AC7492">
      <w:pPr>
        <w:spacing w:line="416" w:lineRule="exact"/>
        <w:rPr>
          <w:rFonts w:ascii="Traditional Arabic" w:hAnsi="Traditional Arabic"/>
          <w:sz w:val="27"/>
          <w:rtl/>
          <w:lang w:bidi="ar-LB"/>
        </w:rPr>
      </w:pPr>
      <w:r w:rsidRPr="006571AC">
        <w:rPr>
          <w:rFonts w:ascii="Traditional Arabic" w:hAnsi="Traditional Arabic" w:hint="cs"/>
          <w:sz w:val="27"/>
          <w:rtl/>
          <w:lang w:bidi="ar-LB"/>
        </w:rPr>
        <w:lastRenderedPageBreak/>
        <w:t>و</w:t>
      </w:r>
      <w:r w:rsidR="001667A3" w:rsidRPr="006571AC">
        <w:rPr>
          <w:rFonts w:ascii="Traditional Arabic" w:hAnsi="Traditional Arabic"/>
          <w:sz w:val="27"/>
          <w:rtl/>
          <w:lang w:bidi="ar-LB"/>
        </w:rPr>
        <w:t>نضرب لذلك مثالا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الآية التالية</w:t>
      </w:r>
      <w:r w:rsidRPr="006571AC">
        <w:rPr>
          <w:rFonts w:ascii="Traditional Arabic" w:hAnsi="Traditional Arabic" w:hint="cs"/>
          <w:sz w:val="27"/>
          <w:rtl/>
          <w:lang w:bidi="ar-LB"/>
        </w:rPr>
        <w:t xml:space="preserve">: </w:t>
      </w:r>
      <w:r w:rsidR="001667A3" w:rsidRPr="006571AC">
        <w:rPr>
          <w:rFonts w:ascii="Mosawi" w:hAnsi="Mosawi" w:cs="Mosawi"/>
          <w:sz w:val="24"/>
          <w:szCs w:val="24"/>
          <w:rtl/>
        </w:rPr>
        <w:t>﴿</w:t>
      </w:r>
      <w:r w:rsidR="0097633B" w:rsidRPr="006571AC">
        <w:rPr>
          <w:rFonts w:ascii="Traditional Arabic" w:hAnsi="Traditional Arabic" w:hint="cs"/>
          <w:b/>
          <w:bCs/>
          <w:sz w:val="27"/>
          <w:rtl/>
          <w:lang w:bidi="ar-LB"/>
        </w:rPr>
        <w:t>الل</w:t>
      </w:r>
      <w:r w:rsidR="001667A3" w:rsidRPr="006571AC">
        <w:rPr>
          <w:rFonts w:ascii="Traditional Arabic" w:hAnsi="Traditional Arabic"/>
          <w:b/>
          <w:bCs/>
          <w:sz w:val="27"/>
          <w:rtl/>
          <w:lang w:bidi="ar-LB"/>
        </w:rPr>
        <w:t>هُ وَلِيُّ الَّذِينَ آمَنُوا يُخْرِجُه</w:t>
      </w:r>
      <w:r w:rsidRPr="006571AC">
        <w:rPr>
          <w:rFonts w:ascii="Traditional Arabic" w:hAnsi="Traditional Arabic"/>
          <w:b/>
          <w:bCs/>
          <w:sz w:val="27"/>
          <w:rtl/>
          <w:lang w:bidi="ar-LB"/>
        </w:rPr>
        <w:t>ُمْ م</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نَ الظُّلُمَاتِ إ</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ل</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ى النُّورِ وَالَّذِينَ كَفَرُوا أَوْلِيَاؤُهُم</w:t>
      </w:r>
      <w:r w:rsidRPr="006571AC">
        <w:rPr>
          <w:rFonts w:ascii="Traditional Arabic" w:hAnsi="Traditional Arabic"/>
          <w:b/>
          <w:bCs/>
          <w:sz w:val="27"/>
          <w:rtl/>
          <w:lang w:bidi="ar-LB"/>
        </w:rPr>
        <w:t>ُ الطَّاغُوتُ يُخْرِجُونَهُمْ م</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نَ النُّورِ إ</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ل</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ى الظُّلُمَاتِ أُولَئِكَ أَصْحَابُ النَّارِ هُمْ فِيهَا خَالِدُونَ</w:t>
      </w:r>
      <w:r w:rsidR="001667A3" w:rsidRPr="006571AC">
        <w:rPr>
          <w:rFonts w:ascii="Mosawi" w:hAnsi="Mosawi" w:cs="Mosawi"/>
          <w:sz w:val="24"/>
          <w:szCs w:val="24"/>
          <w:rtl/>
        </w:rPr>
        <w:t>﴾</w:t>
      </w:r>
      <w:r w:rsidR="001667A3" w:rsidRPr="006571AC">
        <w:rPr>
          <w:rFonts w:ascii="Traditional Arabic" w:hAnsi="Traditional Arabic"/>
          <w:b/>
          <w:bCs/>
          <w:sz w:val="27"/>
          <w:rtl/>
          <w:lang w:bidi="ar-LB"/>
        </w:rPr>
        <w:t xml:space="preserve"> </w:t>
      </w:r>
      <w:r w:rsidR="001667A3" w:rsidRPr="006571AC">
        <w:rPr>
          <w:rFonts w:ascii="Traditional Arabic" w:hAnsi="Traditional Arabic"/>
          <w:sz w:val="27"/>
          <w:rtl/>
          <w:lang w:bidi="ar-LB"/>
        </w:rPr>
        <w:t>(البقرة: 257)</w:t>
      </w:r>
      <w:r w:rsidRPr="006571AC">
        <w:rPr>
          <w:rFonts w:ascii="Traditional Arabic" w:hAnsi="Traditional Arabic" w:hint="cs"/>
          <w:sz w:val="27"/>
          <w:rtl/>
          <w:lang w:bidi="ar-LB"/>
        </w:rPr>
        <w:t>.</w:t>
      </w:r>
    </w:p>
    <w:p w:rsidR="0022327A" w:rsidRPr="006571AC" w:rsidRDefault="001667A3" w:rsidP="00AC7492">
      <w:pPr>
        <w:spacing w:line="416" w:lineRule="exact"/>
        <w:rPr>
          <w:rFonts w:ascii="Traditional Arabic" w:hAnsi="Traditional Arabic"/>
          <w:sz w:val="27"/>
          <w:rtl/>
          <w:lang w:bidi="ar-LB"/>
        </w:rPr>
      </w:pPr>
      <w:r w:rsidRPr="006571AC">
        <w:rPr>
          <w:rFonts w:ascii="Traditional Arabic" w:hAnsi="Traditional Arabic"/>
          <w:sz w:val="27"/>
          <w:rtl/>
          <w:lang w:bidi="ar-LB"/>
        </w:rPr>
        <w:t>يعتقد السيّد فضل الله أنها واردة</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سبيل الاستعارة المجازي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ة، حيث استعار القرآن كلمتي النور والظلمة</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الموضوعتين للمعنى الماد</w:t>
      </w:r>
      <w:r w:rsidR="0022327A" w:rsidRPr="006571AC">
        <w:rPr>
          <w:rFonts w:ascii="Traditional Arabic" w:hAnsi="Traditional Arabic" w:hint="cs"/>
          <w:sz w:val="27"/>
          <w:rtl/>
          <w:lang w:bidi="ar-LB"/>
        </w:rPr>
        <w:t>ّ</w:t>
      </w:r>
      <w:r w:rsidRPr="006571AC">
        <w:rPr>
          <w:rFonts w:ascii="Traditional Arabic" w:hAnsi="Traditional Arabic"/>
          <w:sz w:val="27"/>
          <w:rtl/>
          <w:lang w:bidi="ar-LB"/>
        </w:rPr>
        <w:t>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المعنى المعنوي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لهما</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69"/>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فالإخراج إخراج</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مجازي</w:t>
      </w:r>
      <w:r w:rsidR="0022327A" w:rsidRPr="006571AC">
        <w:rPr>
          <w:rFonts w:ascii="Traditional Arabic" w:hAnsi="Traditional Arabic"/>
          <w:sz w:val="27"/>
          <w:rtl/>
          <w:lang w:bidi="ar-LB"/>
        </w:rPr>
        <w:t>.</w:t>
      </w:r>
    </w:p>
    <w:p w:rsidR="001667A3" w:rsidRPr="006571AC" w:rsidRDefault="001667A3" w:rsidP="00AC7492">
      <w:pPr>
        <w:spacing w:line="416" w:lineRule="exact"/>
        <w:rPr>
          <w:rFonts w:ascii="Traditional Arabic" w:hAnsi="Traditional Arabic"/>
          <w:sz w:val="27"/>
          <w:rtl/>
          <w:lang w:bidi="ar-LB"/>
        </w:rPr>
      </w:pPr>
      <w:r w:rsidRPr="006571AC">
        <w:rPr>
          <w:rFonts w:ascii="Traditional Arabic" w:hAnsi="Traditional Arabic"/>
          <w:sz w:val="27"/>
          <w:rtl/>
          <w:lang w:bidi="ar-LB"/>
        </w:rPr>
        <w:t xml:space="preserve">أما العلاّمة فإنه يرى أن </w:t>
      </w:r>
      <w:r w:rsidR="0022327A" w:rsidRPr="006571AC">
        <w:rPr>
          <w:rFonts w:ascii="Traditional Arabic" w:hAnsi="Traditional Arabic"/>
          <w:sz w:val="27"/>
          <w:rtl/>
          <w:lang w:bidi="ar-LB"/>
        </w:rPr>
        <w:t>هذا الإخراج حقيقي</w:t>
      </w:r>
      <w:r w:rsidR="0022327A" w:rsidRPr="006571AC">
        <w:rPr>
          <w:rFonts w:ascii="Traditional Arabic" w:hAnsi="Traditional Arabic" w:hint="cs"/>
          <w:sz w:val="27"/>
          <w:rtl/>
          <w:lang w:bidi="ar-LB"/>
        </w:rPr>
        <w:t>ٌّ</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70"/>
      </w:r>
      <w:r w:rsidRPr="006571AC">
        <w:rPr>
          <w:rFonts w:ascii="Traditional Arabic" w:hAnsi="Traditional Arabic"/>
          <w:sz w:val="27"/>
          <w:vertAlign w:val="superscript"/>
          <w:rtl/>
          <w:lang w:bidi="ar-LB"/>
        </w:rPr>
        <w:t>)</w:t>
      </w:r>
      <w:r w:rsidR="0022327A" w:rsidRPr="006571AC">
        <w:rPr>
          <w:rFonts w:ascii="Traditional Arabic" w:hAnsi="Traditional Arabic" w:hint="cs"/>
          <w:sz w:val="27"/>
          <w:rtl/>
          <w:lang w:bidi="ar-LB"/>
        </w:rPr>
        <w:t xml:space="preserve">؛ </w:t>
      </w:r>
      <w:r w:rsidRPr="006571AC">
        <w:rPr>
          <w:rFonts w:ascii="Traditional Arabic" w:hAnsi="Traditional Arabic"/>
          <w:sz w:val="27"/>
          <w:rtl/>
          <w:lang w:bidi="ar-LB"/>
        </w:rPr>
        <w:t xml:space="preserve">والسبب </w:t>
      </w:r>
      <w:r w:rsidR="0022327A" w:rsidRPr="006571AC">
        <w:rPr>
          <w:rFonts w:ascii="Traditional Arabic" w:hAnsi="Traditional Arabic" w:hint="cs"/>
          <w:sz w:val="27"/>
          <w:rtl/>
          <w:lang w:bidi="ar-LB"/>
        </w:rPr>
        <w:t xml:space="preserve">في </w:t>
      </w:r>
      <w:r w:rsidRPr="006571AC">
        <w:rPr>
          <w:rFonts w:ascii="Traditional Arabic" w:hAnsi="Traditional Arabic"/>
          <w:sz w:val="27"/>
          <w:rtl/>
          <w:lang w:bidi="ar-LB"/>
        </w:rPr>
        <w:t>ذلك يعود بح</w:t>
      </w:r>
      <w:r w:rsidR="0022327A" w:rsidRPr="006571AC">
        <w:rPr>
          <w:rFonts w:ascii="Traditional Arabic" w:hAnsi="Traditional Arabic" w:hint="cs"/>
          <w:sz w:val="27"/>
          <w:rtl/>
          <w:lang w:bidi="ar-LB"/>
        </w:rPr>
        <w:t>َ</w:t>
      </w:r>
      <w:r w:rsidRPr="006571AC">
        <w:rPr>
          <w:rFonts w:ascii="Traditional Arabic" w:hAnsi="Traditional Arabic"/>
          <w:sz w:val="27"/>
          <w:rtl/>
          <w:lang w:bidi="ar-LB"/>
        </w:rPr>
        <w:t>س</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ب السيّد </w:t>
      </w:r>
      <w:r w:rsidR="0022327A" w:rsidRPr="006571AC">
        <w:rPr>
          <w:rFonts w:ascii="Traditional Arabic" w:hAnsi="Traditional Arabic" w:hint="cs"/>
          <w:sz w:val="27"/>
          <w:rtl/>
          <w:lang w:bidi="ar-LB"/>
        </w:rPr>
        <w:t xml:space="preserve">فضل الله </w:t>
      </w:r>
      <w:r w:rsidRPr="006571AC">
        <w:rPr>
          <w:rFonts w:ascii="Traditional Arabic" w:hAnsi="Traditional Arabic"/>
          <w:sz w:val="27"/>
          <w:rtl/>
          <w:lang w:bidi="ar-LB"/>
        </w:rPr>
        <w:t>إلى أن العلاّمة</w:t>
      </w:r>
      <w:r w:rsidR="0022327A"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قد انطلق من حالة</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عقلي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ة تحليل</w:t>
      </w:r>
      <w:r w:rsidRPr="006571AC">
        <w:rPr>
          <w:rFonts w:ascii="Traditional Arabic" w:hAnsi="Traditional Arabic" w:hint="cs"/>
          <w:sz w:val="27"/>
          <w:rtl/>
          <w:lang w:bidi="ar-LB"/>
        </w:rPr>
        <w:t>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ة، الشيء الذي نتج عنه البحث عن علاقة الولاية بالإيمان والكفر والظلمة والنور وغيرها بالشكل الدق</w:t>
      </w:r>
      <w:r w:rsidR="0022327A" w:rsidRPr="006571AC">
        <w:rPr>
          <w:rFonts w:ascii="Traditional Arabic" w:hAnsi="Traditional Arabic" w:hint="cs"/>
          <w:sz w:val="27"/>
          <w:rtl/>
          <w:lang w:bidi="ar-LB"/>
        </w:rPr>
        <w:t>ّ</w:t>
      </w:r>
      <w:r w:rsidRPr="006571AC">
        <w:rPr>
          <w:rFonts w:ascii="Traditional Arabic" w:hAnsi="Traditional Arabic"/>
          <w:sz w:val="27"/>
          <w:rtl/>
          <w:lang w:bidi="ar-LB"/>
        </w:rPr>
        <w:t>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 استعمله العلاّمة، فابتعد بذلك عن فهم الكلمات بما تتضم</w:t>
      </w:r>
      <w:r w:rsidR="0022327A" w:rsidRPr="006571AC">
        <w:rPr>
          <w:rFonts w:ascii="Traditional Arabic" w:hAnsi="Traditional Arabic" w:hint="cs"/>
          <w:sz w:val="27"/>
          <w:rtl/>
          <w:lang w:bidi="ar-LB"/>
        </w:rPr>
        <w:t>ّ</w:t>
      </w:r>
      <w:r w:rsidRPr="006571AC">
        <w:rPr>
          <w:rFonts w:ascii="Traditional Arabic" w:hAnsi="Traditional Arabic"/>
          <w:sz w:val="27"/>
          <w:rtl/>
          <w:lang w:bidi="ar-LB"/>
        </w:rPr>
        <w:t>نه من معان</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ع</w:t>
      </w:r>
      <w:r w:rsidR="0022327A" w:rsidRPr="006571AC">
        <w:rPr>
          <w:rFonts w:ascii="Traditional Arabic" w:hAnsi="Traditional Arabic" w:hint="cs"/>
          <w:sz w:val="27"/>
          <w:rtl/>
          <w:lang w:bidi="ar-LB"/>
        </w:rPr>
        <w:t>ُ</w:t>
      </w:r>
      <w:r w:rsidRPr="006571AC">
        <w:rPr>
          <w:rFonts w:ascii="Traditional Arabic" w:hAnsi="Traditional Arabic"/>
          <w:sz w:val="27"/>
          <w:rtl/>
          <w:lang w:bidi="ar-LB"/>
        </w:rPr>
        <w:t>ر</w:t>
      </w:r>
      <w:r w:rsidR="0022327A" w:rsidRPr="006571AC">
        <w:rPr>
          <w:rFonts w:ascii="Traditional Arabic" w:hAnsi="Traditional Arabic" w:hint="cs"/>
          <w:sz w:val="27"/>
          <w:rtl/>
          <w:lang w:bidi="ar-LB"/>
        </w:rPr>
        <w:t>ْ</w:t>
      </w:r>
      <w:r w:rsidRPr="006571AC">
        <w:rPr>
          <w:rFonts w:ascii="Traditional Arabic" w:hAnsi="Traditional Arabic"/>
          <w:sz w:val="27"/>
          <w:rtl/>
          <w:lang w:bidi="ar-LB"/>
        </w:rPr>
        <w:t>فية</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يدركها الناس الذين يعيشون أجواء اللغة العربية بمنتهى البساطة. </w:t>
      </w:r>
    </w:p>
    <w:p w:rsidR="001667A3" w:rsidRPr="006571AC" w:rsidRDefault="0022327A" w:rsidP="00AC7492">
      <w:pPr>
        <w:spacing w:line="416" w:lineRule="exact"/>
        <w:rPr>
          <w:rFonts w:ascii="Traditional Arabic" w:hAnsi="Traditional Arabic"/>
          <w:sz w:val="27"/>
          <w:rtl/>
          <w:lang w:bidi="ar-LB"/>
        </w:rPr>
      </w:pPr>
      <w:r w:rsidRPr="006571AC">
        <w:rPr>
          <w:rFonts w:ascii="Traditional Arabic" w:hAnsi="Traditional Arabic"/>
          <w:sz w:val="27"/>
          <w:rtl/>
          <w:lang w:bidi="ar-LB"/>
        </w:rPr>
        <w:t>بل ذهب السي</w:t>
      </w:r>
      <w:r w:rsidR="001667A3" w:rsidRPr="006571AC">
        <w:rPr>
          <w:rFonts w:ascii="Traditional Arabic" w:hAnsi="Traditional Arabic"/>
          <w:sz w:val="27"/>
          <w:rtl/>
          <w:lang w:bidi="ar-LB"/>
        </w:rPr>
        <w:t>د فضل الله أبعد من ذلك</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فاعتبر أن الأحاديث التي قد توحي بوجود حقائق أخرى</w:t>
      </w:r>
      <w:r w:rsidRPr="006571AC">
        <w:rPr>
          <w:rFonts w:ascii="Traditional Arabic" w:hAnsi="Traditional Arabic" w:hint="cs"/>
          <w:sz w:val="27"/>
          <w:rtl/>
          <w:lang w:bidi="ar-LB"/>
        </w:rPr>
        <w:t xml:space="preserve">، </w:t>
      </w:r>
      <w:r w:rsidR="001667A3" w:rsidRPr="006571AC">
        <w:rPr>
          <w:rFonts w:ascii="Traditional Arabic" w:hAnsi="Traditional Arabic"/>
          <w:sz w:val="27"/>
          <w:rtl/>
          <w:lang w:bidi="ar-LB"/>
        </w:rPr>
        <w:t>وتفتح المجال لمثل هذه الأسئلة البعيدة عن ذهن العربي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يجب أن تخضع هي للعناوين والظهورات القرآني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لا العكس</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هي أو تؤو</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ل، لا أن نتمس</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ك بها ونؤو</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ل فهمنا الع</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في للقرآن</w:t>
      </w:r>
      <w:r w:rsidR="001667A3" w:rsidRPr="006571AC">
        <w:rPr>
          <w:rFonts w:ascii="Traditional Arabic" w:hAnsi="Traditional Arabic"/>
          <w:sz w:val="27"/>
          <w:vertAlign w:val="superscript"/>
          <w:rtl/>
          <w:lang w:bidi="ar-LB"/>
        </w:rPr>
        <w:t>(</w:t>
      </w:r>
      <w:r w:rsidR="001667A3" w:rsidRPr="006571AC">
        <w:rPr>
          <w:rStyle w:val="ac"/>
          <w:rFonts w:ascii="Traditional Arabic" w:hAnsi="Traditional Arabic"/>
          <w:sz w:val="27"/>
          <w:rtl/>
          <w:lang w:bidi="ar-LB"/>
        </w:rPr>
        <w:endnoteReference w:id="471"/>
      </w:r>
      <w:r w:rsidR="001667A3" w:rsidRPr="006571AC">
        <w:rPr>
          <w:rFonts w:ascii="Traditional Arabic" w:hAnsi="Traditional Arabic"/>
          <w:sz w:val="27"/>
          <w:vertAlign w:val="superscript"/>
          <w:rtl/>
          <w:lang w:bidi="ar-LB"/>
        </w:rPr>
        <w:t>)</w:t>
      </w:r>
      <w:r w:rsidR="001667A3" w:rsidRPr="006571AC">
        <w:rPr>
          <w:rFonts w:ascii="Traditional Arabic" w:hAnsi="Traditional Arabic"/>
          <w:sz w:val="27"/>
          <w:rtl/>
          <w:lang w:bidi="ar-LB"/>
        </w:rPr>
        <w:t>. من هنا، يلزم علينا أن نحافظ على ظهور بعض الآيات القرآنية الظاهرة بالجانب البلاغي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ونرد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ما يخالفها من الأحاديث</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فيكون القرآن حاكما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عليها بمعنى</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المعاني. </w:t>
      </w:r>
    </w:p>
    <w:p w:rsidR="001667A3" w:rsidRPr="006571AC" w:rsidRDefault="001667A3" w:rsidP="00AC7492">
      <w:pPr>
        <w:spacing w:line="416" w:lineRule="exact"/>
        <w:rPr>
          <w:rFonts w:ascii="Traditional Arabic" w:hAnsi="Traditional Arabic"/>
          <w:sz w:val="27"/>
          <w:rtl/>
          <w:lang w:bidi="ar-LB"/>
        </w:rPr>
      </w:pPr>
      <w:r w:rsidRPr="006571AC">
        <w:rPr>
          <w:rFonts w:ascii="Traditional Arabic" w:hAnsi="Traditional Arabic"/>
          <w:sz w:val="27"/>
          <w:rtl/>
          <w:lang w:bidi="ar-LB"/>
        </w:rPr>
        <w:t>وبالمقارنة بين تفسير العَل</w:t>
      </w:r>
      <w:r w:rsidR="0022327A" w:rsidRPr="006571AC">
        <w:rPr>
          <w:rFonts w:ascii="Traditional Arabic" w:hAnsi="Traditional Arabic" w:hint="cs"/>
          <w:sz w:val="27"/>
          <w:rtl/>
          <w:lang w:bidi="ar-LB"/>
        </w:rPr>
        <w:t>َ</w:t>
      </w:r>
      <w:r w:rsidRPr="006571AC">
        <w:rPr>
          <w:rFonts w:ascii="Traditional Arabic" w:hAnsi="Traditional Arabic"/>
          <w:sz w:val="27"/>
          <w:rtl/>
          <w:lang w:bidi="ar-LB"/>
        </w:rPr>
        <w:t>مين يظهر افتراقهما كثيرا</w:t>
      </w:r>
      <w:r w:rsidR="0022327A" w:rsidRPr="006571AC">
        <w:rPr>
          <w:rFonts w:ascii="Traditional Arabic" w:hAnsi="Traditional Arabic" w:hint="cs"/>
          <w:sz w:val="27"/>
          <w:rtl/>
          <w:lang w:bidi="ar-LB"/>
        </w:rPr>
        <w:t>ً</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بسبب هذه النقطة، حيث </w:t>
      </w:r>
      <w:r w:rsidR="0085383D" w:rsidRPr="006571AC">
        <w:rPr>
          <w:rFonts w:ascii="Traditional Arabic" w:hAnsi="Traditional Arabic" w:hint="cs"/>
          <w:sz w:val="27"/>
          <w:rtl/>
          <w:lang w:bidi="ar-LB"/>
        </w:rPr>
        <w:t>إ</w:t>
      </w:r>
      <w:r w:rsidRPr="006571AC">
        <w:rPr>
          <w:rFonts w:ascii="Traditional Arabic" w:hAnsi="Traditional Arabic"/>
          <w:sz w:val="27"/>
          <w:rtl/>
          <w:lang w:bidi="ar-LB"/>
        </w:rPr>
        <w:t>ن العديد من الآيات قام ال</w:t>
      </w:r>
      <w:r w:rsidR="0085383D" w:rsidRPr="006571AC">
        <w:rPr>
          <w:rFonts w:ascii="Traditional Arabic" w:hAnsi="Traditional Arabic" w:hint="cs"/>
          <w:sz w:val="27"/>
          <w:rtl/>
          <w:lang w:bidi="ar-LB"/>
        </w:rPr>
        <w:t>سيد الطباطبائي</w:t>
      </w:r>
      <w:r w:rsidRPr="006571AC">
        <w:rPr>
          <w:rFonts w:ascii="Traditional Arabic" w:hAnsi="Traditional Arabic"/>
          <w:sz w:val="27"/>
          <w:rtl/>
          <w:lang w:bidi="ar-LB"/>
        </w:rPr>
        <w:t xml:space="preserve"> بعملية تأويل</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لها</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قد تكون بعيدة</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أذهان العرب في عصر النزول</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فاستفاد منها مجموعة</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الدلالات</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وأيّدها ببعض الروايات</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85383D" w:rsidRPr="006571AC">
        <w:rPr>
          <w:rFonts w:ascii="Traditional Arabic" w:hAnsi="Traditional Arabic"/>
          <w:sz w:val="27"/>
          <w:rtl/>
          <w:lang w:bidi="ar-LB"/>
        </w:rPr>
        <w:t>بينما نجد السي</w:t>
      </w:r>
      <w:r w:rsidRPr="006571AC">
        <w:rPr>
          <w:rFonts w:ascii="Traditional Arabic" w:hAnsi="Traditional Arabic"/>
          <w:sz w:val="27"/>
          <w:rtl/>
          <w:lang w:bidi="ar-LB"/>
        </w:rPr>
        <w:t>د فضل الله قد حافظ على ظهورها الع</w:t>
      </w:r>
      <w:r w:rsidR="0085383D" w:rsidRPr="006571AC">
        <w:rPr>
          <w:rFonts w:ascii="Traditional Arabic" w:hAnsi="Traditional Arabic" w:hint="cs"/>
          <w:sz w:val="27"/>
          <w:rtl/>
          <w:lang w:bidi="ar-LB"/>
        </w:rPr>
        <w:t>ُ</w:t>
      </w:r>
      <w:r w:rsidRPr="006571AC">
        <w:rPr>
          <w:rFonts w:ascii="Traditional Arabic" w:hAnsi="Traditional Arabic"/>
          <w:sz w:val="27"/>
          <w:rtl/>
          <w:lang w:bidi="ar-LB"/>
        </w:rPr>
        <w:t>ر</w:t>
      </w:r>
      <w:r w:rsidR="0085383D" w:rsidRPr="006571AC">
        <w:rPr>
          <w:rFonts w:ascii="Traditional Arabic" w:hAnsi="Traditional Arabic" w:hint="cs"/>
          <w:sz w:val="27"/>
          <w:rtl/>
          <w:lang w:bidi="ar-LB"/>
        </w:rPr>
        <w:t>ْ</w:t>
      </w:r>
      <w:r w:rsidRPr="006571AC">
        <w:rPr>
          <w:rFonts w:ascii="Traditional Arabic" w:hAnsi="Traditional Arabic"/>
          <w:sz w:val="27"/>
          <w:rtl/>
          <w:lang w:bidi="ar-LB"/>
        </w:rPr>
        <w:t>في ـ</w:t>
      </w:r>
      <w:r w:rsidR="0085383D" w:rsidRPr="006571AC">
        <w:rPr>
          <w:rFonts w:ascii="Traditional Arabic" w:hAnsi="Traditional Arabic" w:hint="cs"/>
          <w:sz w:val="27"/>
          <w:rtl/>
          <w:lang w:bidi="ar-LB"/>
        </w:rPr>
        <w:t xml:space="preserve"> </w:t>
      </w:r>
      <w:r w:rsidRPr="006571AC">
        <w:rPr>
          <w:rFonts w:ascii="Traditional Arabic" w:hAnsi="Traditional Arabic"/>
          <w:sz w:val="27"/>
          <w:rtl/>
          <w:lang w:bidi="ar-LB"/>
        </w:rPr>
        <w:t>سواء الحقيقي أو البلاغي ـ</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وتصر</w:t>
      </w:r>
      <w:r w:rsidR="0085383D" w:rsidRPr="006571AC">
        <w:rPr>
          <w:rFonts w:ascii="Traditional Arabic" w:hAnsi="Traditional Arabic" w:hint="cs"/>
          <w:sz w:val="27"/>
          <w:rtl/>
          <w:lang w:bidi="ar-LB"/>
        </w:rPr>
        <w:t>َّ</w:t>
      </w:r>
      <w:r w:rsidRPr="006571AC">
        <w:rPr>
          <w:rFonts w:ascii="Traditional Arabic" w:hAnsi="Traditional Arabic"/>
          <w:sz w:val="27"/>
          <w:rtl/>
          <w:lang w:bidi="ar-LB"/>
        </w:rPr>
        <w:t>ف بتلك الروايات</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كما في الروايات التي قد يُف</w:t>
      </w:r>
      <w:r w:rsidR="0085383D" w:rsidRPr="006571AC">
        <w:rPr>
          <w:rFonts w:ascii="Traditional Arabic" w:hAnsi="Traditional Arabic" w:hint="cs"/>
          <w:sz w:val="27"/>
          <w:rtl/>
          <w:lang w:bidi="ar-LB"/>
        </w:rPr>
        <w:t>ْ</w:t>
      </w:r>
      <w:r w:rsidRPr="006571AC">
        <w:rPr>
          <w:rFonts w:ascii="Traditional Arabic" w:hAnsi="Traditional Arabic"/>
          <w:sz w:val="27"/>
          <w:rtl/>
          <w:lang w:bidi="ar-LB"/>
        </w:rPr>
        <w:t>ه</w:t>
      </w:r>
      <w:r w:rsidR="0085383D" w:rsidRPr="006571AC">
        <w:rPr>
          <w:rFonts w:ascii="Traditional Arabic" w:hAnsi="Traditional Arabic" w:hint="cs"/>
          <w:sz w:val="27"/>
          <w:rtl/>
          <w:lang w:bidi="ar-LB"/>
        </w:rPr>
        <w:t>َ</w:t>
      </w:r>
      <w:r w:rsidRPr="006571AC">
        <w:rPr>
          <w:rFonts w:ascii="Traditional Arabic" w:hAnsi="Traditional Arabic"/>
          <w:sz w:val="27"/>
          <w:rtl/>
          <w:lang w:bidi="ar-LB"/>
        </w:rPr>
        <w:t>م منها تجس</w:t>
      </w:r>
      <w:r w:rsidR="0085383D" w:rsidRPr="006571AC">
        <w:rPr>
          <w:rFonts w:ascii="Traditional Arabic" w:hAnsi="Traditional Arabic" w:hint="cs"/>
          <w:sz w:val="27"/>
          <w:rtl/>
          <w:lang w:bidi="ar-LB"/>
        </w:rPr>
        <w:t>ُّ</w:t>
      </w:r>
      <w:r w:rsidRPr="006571AC">
        <w:rPr>
          <w:rFonts w:ascii="Traditional Arabic" w:hAnsi="Traditional Arabic"/>
          <w:sz w:val="27"/>
          <w:rtl/>
          <w:lang w:bidi="ar-LB"/>
        </w:rPr>
        <w:t>م الأعمال يوم القيامة</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والتي اعتمدها ال</w:t>
      </w:r>
      <w:r w:rsidR="0085383D"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كمؤي</w:t>
      </w:r>
      <w:r w:rsidR="0085383D" w:rsidRPr="006571AC">
        <w:rPr>
          <w:rFonts w:ascii="Traditional Arabic" w:hAnsi="Traditional Arabic" w:hint="cs"/>
          <w:sz w:val="27"/>
          <w:rtl/>
          <w:lang w:bidi="ar-LB"/>
        </w:rPr>
        <w:t>ِّ</w:t>
      </w:r>
      <w:r w:rsidRPr="006571AC">
        <w:rPr>
          <w:rFonts w:ascii="Traditional Arabic" w:hAnsi="Traditional Arabic"/>
          <w:sz w:val="27"/>
          <w:rtl/>
          <w:lang w:bidi="ar-LB"/>
        </w:rPr>
        <w:t>دات لهذه القضية</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خلال بحثه العديد من الآيات التي استفاد منها هذا المعنى</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72"/>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بينما حافظ </w:t>
      </w:r>
      <w:r w:rsidR="0085383D" w:rsidRPr="006571AC">
        <w:rPr>
          <w:rFonts w:ascii="Traditional Arabic" w:hAnsi="Traditional Arabic" w:hint="cs"/>
          <w:sz w:val="27"/>
          <w:rtl/>
          <w:lang w:bidi="ar-LB"/>
        </w:rPr>
        <w:t>فضل الله</w:t>
      </w:r>
      <w:r w:rsidRPr="006571AC">
        <w:rPr>
          <w:rFonts w:ascii="Traditional Arabic" w:hAnsi="Traditional Arabic"/>
          <w:sz w:val="27"/>
          <w:rtl/>
          <w:lang w:bidi="ar-LB"/>
        </w:rPr>
        <w:t xml:space="preserve"> على كنائي</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ة هذه المعاني. </w:t>
      </w:r>
    </w:p>
    <w:p w:rsidR="001667A3" w:rsidRPr="006571AC" w:rsidRDefault="00F2221E" w:rsidP="00846C68">
      <w:pPr>
        <w:pStyle w:val="31"/>
        <w:rPr>
          <w:color w:val="auto"/>
          <w:lang w:bidi="ar-LB"/>
        </w:rPr>
      </w:pPr>
      <w:bookmarkStart w:id="303" w:name="_Toc114164729"/>
      <w:r w:rsidRPr="006571AC">
        <w:rPr>
          <w:rFonts w:hint="cs"/>
          <w:b/>
          <w:color w:val="auto"/>
          <w:rtl/>
          <w:lang w:bidi="ar-LB"/>
        </w:rPr>
        <w:lastRenderedPageBreak/>
        <w:t>3ـ</w:t>
      </w:r>
      <w:r w:rsidR="001667A3" w:rsidRPr="006571AC">
        <w:rPr>
          <w:b/>
          <w:color w:val="auto"/>
          <w:rtl/>
          <w:lang w:bidi="ar-LB"/>
        </w:rPr>
        <w:t xml:space="preserve"> </w:t>
      </w:r>
      <w:r w:rsidR="0085383D" w:rsidRPr="006571AC">
        <w:rPr>
          <w:color w:val="auto"/>
          <w:rtl/>
          <w:lang w:bidi="ar-LB"/>
        </w:rPr>
        <w:t>بطون</w:t>
      </w:r>
      <w:r w:rsidR="001667A3" w:rsidRPr="006571AC">
        <w:rPr>
          <w:color w:val="auto"/>
          <w:rtl/>
          <w:lang w:bidi="ar-LB"/>
        </w:rPr>
        <w:t xml:space="preserve"> القرآن وتأويله</w:t>
      </w:r>
      <w:bookmarkEnd w:id="303"/>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بما أن للقرآن بنيته الدلالية الخاصة به ـ ح</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س</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ب الاتجاه الذي ينتمي إليه العلاّمة</w:t>
      </w:r>
      <w:r w:rsidR="007C6516"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ـ يغدو من السهل قبول الروايات التي قد يُف</w:t>
      </w:r>
      <w:r w:rsidR="007C6516" w:rsidRPr="006571AC">
        <w:rPr>
          <w:rFonts w:ascii="Traditional Arabic" w:hAnsi="Traditional Arabic" w:hint="cs"/>
          <w:sz w:val="27"/>
          <w:rtl/>
          <w:lang w:bidi="ar-LB"/>
        </w:rPr>
        <w:t>ْ</w:t>
      </w:r>
      <w:r w:rsidRPr="006571AC">
        <w:rPr>
          <w:rFonts w:ascii="Traditional Arabic" w:hAnsi="Traditional Arabic"/>
          <w:sz w:val="27"/>
          <w:rtl/>
          <w:lang w:bidi="ar-LB"/>
        </w:rPr>
        <w:t>ه</w:t>
      </w:r>
      <w:r w:rsidR="007C6516" w:rsidRPr="006571AC">
        <w:rPr>
          <w:rFonts w:ascii="Traditional Arabic" w:hAnsi="Traditional Arabic" w:hint="cs"/>
          <w:sz w:val="27"/>
          <w:rtl/>
          <w:lang w:bidi="ar-LB"/>
        </w:rPr>
        <w:t>َ</w:t>
      </w:r>
      <w:r w:rsidRPr="006571AC">
        <w:rPr>
          <w:rFonts w:ascii="Traditional Arabic" w:hAnsi="Traditional Arabic"/>
          <w:sz w:val="27"/>
          <w:rtl/>
          <w:lang w:bidi="ar-LB"/>
        </w:rPr>
        <w:t>م منها أن للقرآن ظ</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ه</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را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وب</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ط</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نا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وأن هذه البطون تصل إلى سبعين بطنا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دلالةٍ على كثرتها، بل إنّ هذا الاتجاه قد اعتمد على مثل هذه الروايات كدليل</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لإثبات هذا المد</w:t>
      </w:r>
      <w:r w:rsidR="007C6516" w:rsidRPr="006571AC">
        <w:rPr>
          <w:rFonts w:ascii="Traditional Arabic" w:hAnsi="Traditional Arabic" w:hint="cs"/>
          <w:sz w:val="27"/>
          <w:rtl/>
          <w:lang w:bidi="ar-LB"/>
        </w:rPr>
        <w:t>َّ</w:t>
      </w:r>
      <w:r w:rsidRPr="006571AC">
        <w:rPr>
          <w:rFonts w:ascii="Traditional Arabic" w:hAnsi="Traditional Arabic"/>
          <w:sz w:val="27"/>
          <w:rtl/>
          <w:lang w:bidi="ar-LB"/>
        </w:rPr>
        <w:t>عى، فقبول هذا المعنى بالنسبة إليه مستساغ</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جد</w:t>
      </w:r>
      <w:r w:rsidR="007C6516" w:rsidRPr="006571AC">
        <w:rPr>
          <w:rFonts w:ascii="Traditional Arabic" w:hAnsi="Traditional Arabic" w:hint="cs"/>
          <w:sz w:val="27"/>
          <w:rtl/>
          <w:lang w:bidi="ar-LB"/>
        </w:rPr>
        <w:t>ّ</w:t>
      </w:r>
      <w:r w:rsidRPr="006571AC">
        <w:rPr>
          <w:rFonts w:ascii="Traditional Arabic" w:hAnsi="Traditional Arabic"/>
          <w:sz w:val="27"/>
          <w:rtl/>
          <w:lang w:bidi="ar-LB"/>
        </w:rPr>
        <w:t>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وإن</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 بعيدا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طريقة العقلاء في عملية التخاطب. لكنّ الاتجاه الثاني</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 يمث</w:t>
      </w:r>
      <w:r w:rsidR="007C6516" w:rsidRPr="006571AC">
        <w:rPr>
          <w:rFonts w:ascii="Traditional Arabic" w:hAnsi="Traditional Arabic" w:hint="cs"/>
          <w:sz w:val="27"/>
          <w:rtl/>
          <w:lang w:bidi="ar-LB"/>
        </w:rPr>
        <w:t>ِّ</w:t>
      </w:r>
      <w:r w:rsidR="007C6516" w:rsidRPr="006571AC">
        <w:rPr>
          <w:rFonts w:ascii="Traditional Arabic" w:hAnsi="Traditional Arabic"/>
          <w:sz w:val="27"/>
          <w:rtl/>
          <w:lang w:bidi="ar-LB"/>
        </w:rPr>
        <w:t>له السي</w:t>
      </w:r>
      <w:r w:rsidRPr="006571AC">
        <w:rPr>
          <w:rFonts w:ascii="Traditional Arabic" w:hAnsi="Traditional Arabic"/>
          <w:sz w:val="27"/>
          <w:rtl/>
          <w:lang w:bidi="ar-LB"/>
        </w:rPr>
        <w:t>د فضل الله</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لا يمكن أن يقبل هذا المعنى البتّة</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وذلك لنفس النكتة المذكورة</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وهي أن هذا لا ينسجم مع أسلوب البشر التخاطبي وطرقه بالبيان، في حين أن القرآن قد نزل على هذه الأساليب والطرق، </w:t>
      </w:r>
      <w:r w:rsidR="007C6516" w:rsidRPr="006571AC">
        <w:rPr>
          <w:rFonts w:ascii="Traditional Arabic" w:hAnsi="Traditional Arabic"/>
          <w:sz w:val="27"/>
          <w:rtl/>
          <w:lang w:bidi="ar-LB"/>
        </w:rPr>
        <w:t xml:space="preserve">من هنا فهم </w:t>
      </w:r>
      <w:r w:rsidR="007C6516" w:rsidRPr="006571AC">
        <w:rPr>
          <w:rFonts w:ascii="Traditional Arabic" w:hAnsi="Traditional Arabic" w:hint="cs"/>
          <w:sz w:val="27"/>
          <w:rtl/>
          <w:lang w:bidi="ar-LB"/>
        </w:rPr>
        <w:t>العلاّمة فضل الله</w:t>
      </w:r>
      <w:r w:rsidRPr="006571AC">
        <w:rPr>
          <w:rFonts w:ascii="Traditional Arabic" w:hAnsi="Traditional Arabic"/>
          <w:sz w:val="27"/>
          <w:rtl/>
          <w:lang w:bidi="ar-LB"/>
        </w:rPr>
        <w:t xml:space="preserve"> تلك الروايات بشكل</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آخر</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ولم يقبل أن تكون دليلا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ما اد</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عاه </w:t>
      </w:r>
      <w:r w:rsidR="007C6516" w:rsidRPr="006571AC">
        <w:rPr>
          <w:rFonts w:ascii="Traditional Arabic" w:hAnsi="Traditional Arabic" w:hint="cs"/>
          <w:sz w:val="27"/>
          <w:rtl/>
          <w:lang w:bidi="ar-LB"/>
        </w:rPr>
        <w:t>السيد الطباطبائي</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لد</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ت</w:t>
      </w:r>
      <w:r w:rsidR="00CF10C1" w:rsidRPr="006571AC">
        <w:rPr>
          <w:rFonts w:ascii="Traditional Arabic" w:hAnsi="Traditional Arabic" w:hint="cs"/>
          <w:sz w:val="27"/>
          <w:rtl/>
          <w:lang w:bidi="ar-LB"/>
        </w:rPr>
        <w:t>ْ</w:t>
      </w:r>
      <w:r w:rsidRPr="006571AC">
        <w:rPr>
          <w:rFonts w:ascii="Traditional Arabic" w:hAnsi="Traditional Arabic"/>
          <w:sz w:val="27"/>
          <w:rtl/>
          <w:lang w:bidi="ar-LB"/>
        </w:rPr>
        <w:t xml:space="preserve"> فكرة بطون القرآن في فضاء الفهم الخاص</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 تبن</w:t>
      </w:r>
      <w:r w:rsidR="007C6516" w:rsidRPr="006571AC">
        <w:rPr>
          <w:rFonts w:ascii="Traditional Arabic" w:hAnsi="Traditional Arabic" w:hint="cs"/>
          <w:sz w:val="27"/>
          <w:rtl/>
          <w:lang w:bidi="ar-LB"/>
        </w:rPr>
        <w:t>ّ</w:t>
      </w:r>
      <w:r w:rsidRPr="006571AC">
        <w:rPr>
          <w:rFonts w:ascii="Traditional Arabic" w:hAnsi="Traditional Arabic"/>
          <w:sz w:val="27"/>
          <w:rtl/>
          <w:lang w:bidi="ar-LB"/>
        </w:rPr>
        <w:t>اه اتجاه ال</w:t>
      </w:r>
      <w:r w:rsidR="007C6516"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w:t>
      </w:r>
      <w:r w:rsidR="00933E65" w:rsidRPr="006571AC">
        <w:rPr>
          <w:rFonts w:ascii="Traditional Arabic" w:hAnsi="Traditional Arabic"/>
          <w:sz w:val="27"/>
          <w:rtl/>
          <w:lang w:bidi="ar-LB"/>
        </w:rPr>
        <w:t xml:space="preserve">في فهم القرآن </w:t>
      </w:r>
      <w:r w:rsidRPr="006571AC">
        <w:rPr>
          <w:rFonts w:ascii="Traditional Arabic" w:hAnsi="Traditional Arabic"/>
          <w:sz w:val="27"/>
          <w:rtl/>
          <w:lang w:bidi="ar-LB"/>
        </w:rPr>
        <w:t>ـ</w:t>
      </w:r>
      <w:r w:rsidR="007C6516" w:rsidRPr="006571AC">
        <w:rPr>
          <w:rFonts w:ascii="Traditional Arabic" w:hAnsi="Traditional Arabic" w:hint="cs"/>
          <w:sz w:val="27"/>
          <w:rtl/>
          <w:lang w:bidi="ar-LB"/>
        </w:rPr>
        <w:t xml:space="preserve"> </w:t>
      </w:r>
      <w:r w:rsidRPr="006571AC">
        <w:rPr>
          <w:rFonts w:ascii="Traditional Arabic" w:hAnsi="Traditional Arabic"/>
          <w:sz w:val="27"/>
          <w:rtl/>
          <w:lang w:bidi="ar-LB"/>
        </w:rPr>
        <w:t>وإن</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افترقوا في معنى البطون أيضا</w:t>
      </w:r>
      <w:r w:rsidR="007C6516" w:rsidRPr="006571AC">
        <w:rPr>
          <w:rFonts w:ascii="Traditional Arabic" w:hAnsi="Traditional Arabic" w:hint="cs"/>
          <w:sz w:val="27"/>
          <w:rtl/>
          <w:lang w:bidi="ar-LB"/>
        </w:rPr>
        <w:t>ً</w:t>
      </w:r>
      <w:r w:rsidR="00933E65" w:rsidRPr="006571AC">
        <w:rPr>
          <w:rFonts w:ascii="Traditional Arabic" w:hAnsi="Traditional Arabic"/>
          <w:sz w:val="27"/>
          <w:rtl/>
          <w:lang w:bidi="ar-LB"/>
        </w:rPr>
        <w:t xml:space="preserve"> ـ</w:t>
      </w:r>
      <w:r w:rsidRPr="006571AC">
        <w:rPr>
          <w:rFonts w:ascii="Traditional Arabic" w:hAnsi="Traditional Arabic"/>
          <w:sz w:val="27"/>
          <w:rtl/>
          <w:lang w:bidi="ar-LB"/>
        </w:rPr>
        <w:t>، فهم يقولون</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933E65" w:rsidRPr="006571AC">
        <w:rPr>
          <w:rFonts w:ascii="Traditional Arabic" w:hAnsi="Traditional Arabic" w:hint="cs"/>
          <w:sz w:val="27"/>
          <w:rtl/>
          <w:lang w:bidi="ar-LB"/>
        </w:rPr>
        <w:t>إ</w:t>
      </w:r>
      <w:r w:rsidRPr="006571AC">
        <w:rPr>
          <w:rFonts w:ascii="Traditional Arabic" w:hAnsi="Traditional Arabic"/>
          <w:sz w:val="27"/>
          <w:rtl/>
          <w:lang w:bidi="ar-LB"/>
        </w:rPr>
        <w:t>نّ مضمون القرآن واسع</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جد</w:t>
      </w:r>
      <w:r w:rsidR="00933E65" w:rsidRPr="006571AC">
        <w:rPr>
          <w:rFonts w:ascii="Traditional Arabic" w:hAnsi="Traditional Arabic" w:hint="cs"/>
          <w:sz w:val="27"/>
          <w:rtl/>
          <w:lang w:bidi="ar-LB"/>
        </w:rPr>
        <w:t>ّ</w:t>
      </w:r>
      <w:r w:rsidRPr="006571AC">
        <w:rPr>
          <w:rFonts w:ascii="Traditional Arabic" w:hAnsi="Traditional Arabic"/>
          <w:sz w:val="27"/>
          <w:rtl/>
          <w:lang w:bidi="ar-LB"/>
        </w:rPr>
        <w:t>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لا يمكن أن نتعامل معه ـ في سبيل استكشافه ـ مع هذه اللغة الع</w:t>
      </w:r>
      <w:r w:rsidR="00933E65" w:rsidRPr="006571AC">
        <w:rPr>
          <w:rFonts w:ascii="Traditional Arabic" w:hAnsi="Traditional Arabic" w:hint="cs"/>
          <w:sz w:val="27"/>
          <w:rtl/>
          <w:lang w:bidi="ar-LB"/>
        </w:rPr>
        <w:t>ُ</w:t>
      </w:r>
      <w:r w:rsidRPr="006571AC">
        <w:rPr>
          <w:rFonts w:ascii="Traditional Arabic" w:hAnsi="Traditional Arabic"/>
          <w:sz w:val="27"/>
          <w:rtl/>
          <w:lang w:bidi="ar-LB"/>
        </w:rPr>
        <w:t>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فية؛ لأن هذه اللغة لا تلامس إلاّ ظاهر القرآن، ف</w:t>
      </w:r>
      <w:r w:rsidR="00731867" w:rsidRPr="006571AC">
        <w:rPr>
          <w:rFonts w:ascii="Traditional Arabic" w:hAnsi="Traditional Arabic"/>
          <w:sz w:val="27"/>
          <w:rtl/>
          <w:lang w:bidi="ar-LB"/>
        </w:rPr>
        <w:t>لا بُدَّ</w:t>
      </w:r>
      <w:r w:rsidRPr="006571AC">
        <w:rPr>
          <w:rFonts w:ascii="Traditional Arabic" w:hAnsi="Traditional Arabic"/>
          <w:sz w:val="27"/>
          <w:rtl/>
          <w:lang w:bidi="ar-LB"/>
        </w:rPr>
        <w:t xml:space="preserve"> من اعتماد الطريقة الخاص</w:t>
      </w:r>
      <w:r w:rsidR="00933E65" w:rsidRPr="006571AC">
        <w:rPr>
          <w:rFonts w:ascii="Traditional Arabic" w:hAnsi="Traditional Arabic" w:hint="cs"/>
          <w:sz w:val="27"/>
          <w:rtl/>
          <w:lang w:bidi="ar-LB"/>
        </w:rPr>
        <w:t>ّ</w:t>
      </w:r>
      <w:r w:rsidRPr="006571AC">
        <w:rPr>
          <w:rFonts w:ascii="Traditional Arabic" w:hAnsi="Traditional Arabic"/>
          <w:sz w:val="27"/>
          <w:rtl/>
          <w:lang w:bidi="ar-LB"/>
        </w:rPr>
        <w:t>ة به</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التي تنسجم مع لغته الخاص</w:t>
      </w:r>
      <w:r w:rsidR="00933E65" w:rsidRPr="006571AC">
        <w:rPr>
          <w:rFonts w:ascii="Traditional Arabic" w:hAnsi="Traditional Arabic" w:hint="cs"/>
          <w:sz w:val="27"/>
          <w:rtl/>
          <w:lang w:bidi="ar-LB"/>
        </w:rPr>
        <w:t>ّ</w:t>
      </w:r>
      <w:r w:rsidRPr="006571AC">
        <w:rPr>
          <w:rFonts w:ascii="Traditional Arabic" w:hAnsi="Traditional Arabic"/>
          <w:sz w:val="27"/>
          <w:rtl/>
          <w:lang w:bidi="ar-LB"/>
        </w:rPr>
        <w:t>ة أيضا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من هنا افترضوا أنّ له بطونا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أيضا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وأن علينا أن نغوص في أعماقة ل</w:t>
      </w:r>
      <w:r w:rsidR="00933E65" w:rsidRPr="006571AC">
        <w:rPr>
          <w:rFonts w:ascii="Traditional Arabic" w:hAnsi="Traditional Arabic" w:hint="cs"/>
          <w:sz w:val="27"/>
          <w:rtl/>
          <w:lang w:bidi="ar-LB"/>
        </w:rPr>
        <w:t>ا</w:t>
      </w:r>
      <w:r w:rsidRPr="006571AC">
        <w:rPr>
          <w:rFonts w:ascii="Traditional Arabic" w:hAnsi="Traditional Arabic"/>
          <w:sz w:val="27"/>
          <w:rtl/>
          <w:lang w:bidi="ar-LB"/>
        </w:rPr>
        <w:t>قتناص هذه البطون غير المحدودة. واستدل</w:t>
      </w:r>
      <w:r w:rsidR="00933E65" w:rsidRPr="006571AC">
        <w:rPr>
          <w:rFonts w:ascii="Traditional Arabic" w:hAnsi="Traditional Arabic" w:hint="cs"/>
          <w:sz w:val="27"/>
          <w:rtl/>
          <w:lang w:bidi="ar-LB"/>
        </w:rPr>
        <w:t>ّ</w:t>
      </w:r>
      <w:r w:rsidRPr="006571AC">
        <w:rPr>
          <w:rFonts w:ascii="Traditional Arabic" w:hAnsi="Traditional Arabic"/>
          <w:sz w:val="27"/>
          <w:rtl/>
          <w:lang w:bidi="ar-LB"/>
        </w:rPr>
        <w:t>وا لذلك بروايات تصرّ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ح بأن للقرآن ظ</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ه</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را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وب</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ط</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نا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933E65" w:rsidRPr="006571AC">
        <w:rPr>
          <w:rFonts w:ascii="Traditional Arabic" w:hAnsi="Traditional Arabic" w:hint="cs"/>
          <w:sz w:val="27"/>
          <w:rtl/>
          <w:lang w:bidi="ar-LB"/>
        </w:rPr>
        <w:t>و</w:t>
      </w:r>
      <w:r w:rsidRPr="006571AC">
        <w:rPr>
          <w:rFonts w:ascii="Traditional Arabic" w:hAnsi="Traditional Arabic"/>
          <w:sz w:val="27"/>
          <w:rtl/>
          <w:lang w:bidi="ar-LB"/>
        </w:rPr>
        <w:t>منها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ما 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وي عن فضيل بن يسار قال: </w:t>
      </w:r>
      <w:r w:rsidRPr="006571AC">
        <w:rPr>
          <w:rFonts w:hint="eastAsia"/>
          <w:sz w:val="24"/>
          <w:szCs w:val="24"/>
          <w:rtl/>
          <w:lang w:bidi="ar-LB"/>
        </w:rPr>
        <w:t>«</w:t>
      </w:r>
      <w:r w:rsidRPr="006571AC">
        <w:rPr>
          <w:rFonts w:ascii="Traditional Arabic" w:hAnsi="Traditional Arabic"/>
          <w:sz w:val="27"/>
          <w:rtl/>
          <w:lang w:bidi="ar-LB"/>
        </w:rPr>
        <w:t>سألت</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أبا جعفر</w:t>
      </w:r>
      <w:r w:rsidR="002A2C90" w:rsidRPr="006571AC">
        <w:rPr>
          <w:rFonts w:ascii="Mosawi" w:hAnsi="Mosawi" w:cs="Mosawi"/>
          <w:sz w:val="22"/>
          <w:szCs w:val="22"/>
          <w:rtl/>
        </w:rPr>
        <w:t>×</w:t>
      </w:r>
      <w:r w:rsidRPr="006571AC">
        <w:rPr>
          <w:rFonts w:ascii="Traditional Arabic" w:hAnsi="Traditional Arabic"/>
          <w:sz w:val="27"/>
          <w:rtl/>
          <w:lang w:bidi="ar-LB"/>
        </w:rPr>
        <w:t xml:space="preserve"> عن هذه الرواية</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hint="eastAsia"/>
          <w:sz w:val="24"/>
          <w:szCs w:val="24"/>
          <w:rtl/>
          <w:lang w:bidi="ar-LB"/>
        </w:rPr>
        <w:t>«</w:t>
      </w:r>
      <w:r w:rsidRPr="006571AC">
        <w:rPr>
          <w:rFonts w:ascii="Traditional Arabic" w:hAnsi="Traditional Arabic"/>
          <w:sz w:val="27"/>
          <w:rtl/>
          <w:lang w:bidi="ar-LB"/>
        </w:rPr>
        <w:t>ما من آية</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القرآن إلاّ ولها ظهر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وبطن</w:t>
      </w:r>
      <w:r w:rsidR="00933E65" w:rsidRPr="006571AC">
        <w:rPr>
          <w:rFonts w:ascii="Traditional Arabic" w:hAnsi="Traditional Arabic" w:hint="cs"/>
          <w:sz w:val="27"/>
          <w:rtl/>
          <w:lang w:bidi="ar-LB"/>
        </w:rPr>
        <w:t>ٌ</w:t>
      </w:r>
      <w:r w:rsidRPr="006571AC">
        <w:rPr>
          <w:rFonts w:hint="eastAsia"/>
          <w:sz w:val="24"/>
          <w:szCs w:val="24"/>
          <w:rtl/>
        </w:rPr>
        <w:t>»</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فقال: ظهره تنزيله، وبطنه تأويله، منه ما قد مضى، ومنه ما لم يكن، يجري كما تجري الشمس والقمر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كل</w:t>
      </w:r>
      <w:r w:rsidR="00933E65" w:rsidRPr="006571AC">
        <w:rPr>
          <w:rFonts w:ascii="Traditional Arabic" w:hAnsi="Traditional Arabic" w:hint="cs"/>
          <w:sz w:val="27"/>
          <w:rtl/>
          <w:lang w:bidi="ar-LB"/>
        </w:rPr>
        <w:t>ّ</w:t>
      </w:r>
      <w:r w:rsidRPr="006571AC">
        <w:rPr>
          <w:rFonts w:ascii="Traditional Arabic" w:hAnsi="Traditional Arabic"/>
          <w:sz w:val="27"/>
          <w:rtl/>
          <w:lang w:bidi="ar-LB"/>
        </w:rPr>
        <w:t>ما جاء تأويل</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منه يكون على الأموات كما يكون على الأحياء، قال الله تعالى: </w:t>
      </w:r>
      <w:r w:rsidR="00933E65" w:rsidRPr="006571AC">
        <w:rPr>
          <w:rFonts w:ascii="Mosawi" w:hAnsi="Mosawi" w:cs="Mosawi"/>
          <w:sz w:val="24"/>
          <w:szCs w:val="24"/>
          <w:rtl/>
        </w:rPr>
        <w:t>﴿</w:t>
      </w:r>
      <w:r w:rsidRPr="006571AC">
        <w:rPr>
          <w:rFonts w:ascii="Traditional Arabic" w:hAnsi="Traditional Arabic"/>
          <w:b/>
          <w:bCs/>
          <w:sz w:val="27"/>
          <w:rtl/>
          <w:lang w:bidi="ar-LB"/>
        </w:rPr>
        <w:t>و</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م</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ا ي</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ع</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ل</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م</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ت</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أ</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و</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يل</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ه</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إ</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لاّ</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w:t>
      </w:r>
      <w:r w:rsidR="00933E65" w:rsidRPr="006571AC">
        <w:rPr>
          <w:rFonts w:ascii="Traditional Arabic" w:hAnsi="Traditional Arabic" w:hint="cs"/>
          <w:b/>
          <w:bCs/>
          <w:sz w:val="27"/>
          <w:rtl/>
          <w:lang w:bidi="ar-LB"/>
        </w:rPr>
        <w:t>اللهُ وَ</w:t>
      </w:r>
      <w:r w:rsidRPr="006571AC">
        <w:rPr>
          <w:rFonts w:ascii="Traditional Arabic" w:hAnsi="Traditional Arabic"/>
          <w:b/>
          <w:bCs/>
          <w:sz w:val="27"/>
          <w:rtl/>
          <w:lang w:bidi="ar-LB"/>
        </w:rPr>
        <w:t>الر</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اس</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خ</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ون</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في ال</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ع</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ل</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م</w:t>
      </w:r>
      <w:r w:rsidR="00933E65" w:rsidRPr="006571AC">
        <w:rPr>
          <w:rFonts w:ascii="Traditional Arabic" w:hAnsi="Traditional Arabic" w:hint="cs"/>
          <w:b/>
          <w:bCs/>
          <w:sz w:val="27"/>
          <w:rtl/>
          <w:lang w:bidi="ar-LB"/>
        </w:rPr>
        <w:t>ِ</w:t>
      </w:r>
      <w:r w:rsidR="00933E65" w:rsidRPr="006571AC">
        <w:rPr>
          <w:rFonts w:ascii="Mosawi" w:hAnsi="Mosawi" w:cs="Mosawi"/>
          <w:sz w:val="24"/>
          <w:szCs w:val="24"/>
          <w:rtl/>
        </w:rPr>
        <w:t>﴾</w:t>
      </w:r>
      <w:r w:rsidRPr="006571AC">
        <w:rPr>
          <w:rFonts w:ascii="Traditional Arabic" w:hAnsi="Traditional Arabic"/>
          <w:sz w:val="27"/>
          <w:rtl/>
          <w:lang w:bidi="ar-LB"/>
        </w:rPr>
        <w:t>، ونحن نعلمه</w:t>
      </w:r>
      <w:r w:rsidRPr="006571AC">
        <w:rPr>
          <w:rFonts w:hint="eastAsia"/>
          <w:sz w:val="24"/>
          <w:szCs w:val="24"/>
          <w:rtl/>
        </w:rPr>
        <w:t>»</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73"/>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AC7492">
      <w:pPr>
        <w:spacing w:line="408" w:lineRule="exact"/>
        <w:rPr>
          <w:rFonts w:ascii="Traditional Arabic" w:hAnsi="Traditional Arabic"/>
          <w:sz w:val="27"/>
          <w:rtl/>
          <w:lang w:bidi="ar-LB"/>
        </w:rPr>
      </w:pPr>
      <w:r w:rsidRPr="006571AC">
        <w:rPr>
          <w:rFonts w:ascii="Traditional Arabic" w:hAnsi="Traditional Arabic"/>
          <w:sz w:val="27"/>
          <w:rtl/>
          <w:lang w:bidi="ar-LB"/>
        </w:rPr>
        <w:t>ومنها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ما 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وي عن جابر قال: قال أبو عبد الله</w:t>
      </w:r>
      <w:r w:rsidR="002A2C90" w:rsidRPr="006571AC">
        <w:rPr>
          <w:rFonts w:ascii="Mosawi" w:hAnsi="Mosawi" w:cs="Mosawi"/>
          <w:sz w:val="22"/>
          <w:szCs w:val="22"/>
          <w:rtl/>
        </w:rPr>
        <w:t>×</w:t>
      </w:r>
      <w:r w:rsidRPr="006571AC">
        <w:rPr>
          <w:rFonts w:ascii="Traditional Arabic" w:hAnsi="Traditional Arabic"/>
          <w:sz w:val="27"/>
          <w:rtl/>
          <w:lang w:bidi="ar-LB"/>
        </w:rPr>
        <w:t xml:space="preserve">: </w:t>
      </w:r>
      <w:r w:rsidRPr="006571AC">
        <w:rPr>
          <w:rFonts w:hint="eastAsia"/>
          <w:sz w:val="24"/>
          <w:szCs w:val="24"/>
          <w:rtl/>
          <w:lang w:bidi="ar-LB"/>
        </w:rPr>
        <w:t>«</w:t>
      </w:r>
      <w:r w:rsidRPr="006571AC">
        <w:rPr>
          <w:rFonts w:ascii="Traditional Arabic" w:hAnsi="Traditional Arabic"/>
          <w:sz w:val="27"/>
          <w:rtl/>
          <w:lang w:bidi="ar-LB"/>
        </w:rPr>
        <w:t>يا جابر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إنّ للقرآن ب</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ط</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نا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وللبطن ظ</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ه</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را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ثم قال: يا جابر، وليس شيء أبعد من عقول الرجال منه، إنّ الآية لتنزل أو</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لها في شيء</w:t>
      </w:r>
      <w:r w:rsidR="00182464" w:rsidRPr="006571AC">
        <w:rPr>
          <w:rFonts w:ascii="Traditional Arabic" w:hAnsi="Traditional Arabic" w:hint="cs"/>
          <w:sz w:val="27"/>
          <w:rtl/>
          <w:lang w:bidi="ar-LB"/>
        </w:rPr>
        <w:t xml:space="preserve">ٍ، </w:t>
      </w:r>
      <w:r w:rsidRPr="006571AC">
        <w:rPr>
          <w:rFonts w:ascii="Traditional Arabic" w:hAnsi="Traditional Arabic"/>
          <w:sz w:val="27"/>
          <w:rtl/>
          <w:lang w:bidi="ar-LB"/>
        </w:rPr>
        <w:t>وأوسطها في شيء</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وآخرها في شيء، وهو كلام</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مت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صل متصرّ</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ف على وجوه</w:t>
      </w:r>
      <w:r w:rsidR="00182464" w:rsidRPr="006571AC">
        <w:rPr>
          <w:rFonts w:ascii="Traditional Arabic" w:hAnsi="Traditional Arabic" w:hint="cs"/>
          <w:sz w:val="27"/>
          <w:rtl/>
          <w:lang w:bidi="ar-LB"/>
        </w:rPr>
        <w:t>ٍ</w:t>
      </w:r>
      <w:r w:rsidRPr="006571AC">
        <w:rPr>
          <w:rFonts w:hint="eastAsia"/>
          <w:sz w:val="24"/>
          <w:szCs w:val="24"/>
          <w:rtl/>
        </w:rPr>
        <w:t>»</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74"/>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lastRenderedPageBreak/>
        <w:t>هذه بعض الروايات التي استدل</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بها </w:t>
      </w:r>
      <w:r w:rsidR="00182464" w:rsidRPr="006571AC">
        <w:rPr>
          <w:rFonts w:ascii="Traditional Arabic" w:hAnsi="Traditional Arabic" w:hint="cs"/>
          <w:sz w:val="27"/>
          <w:rtl/>
          <w:lang w:bidi="ar-LB"/>
        </w:rPr>
        <w:t>الطباطبائي</w:t>
      </w:r>
      <w:r w:rsidRPr="006571AC">
        <w:rPr>
          <w:rFonts w:ascii="Traditional Arabic" w:hAnsi="Traditional Arabic"/>
          <w:sz w:val="27"/>
          <w:rtl/>
          <w:lang w:bidi="ar-LB"/>
        </w:rPr>
        <w:t xml:space="preserve"> على نظريّة بطون القرآن</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واعتبر أن بعض بطونه يختص</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علم</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ها بالمعصوم</w:t>
      </w:r>
      <w:r w:rsidR="002A2C90" w:rsidRPr="006571AC">
        <w:rPr>
          <w:rFonts w:ascii="Mosawi" w:hAnsi="Mosawi" w:cs="Mosawi"/>
          <w:sz w:val="22"/>
          <w:szCs w:val="22"/>
          <w:rtl/>
        </w:rPr>
        <w:t>×</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كما تشير الرواية الثانية</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كما استشهد أيضا</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ببعض الروايات التي تبيّ</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ن عملية تفسير الإمام</w:t>
      </w:r>
      <w:r w:rsidR="002A2C90" w:rsidRPr="006571AC">
        <w:rPr>
          <w:rFonts w:ascii="Mosawi" w:hAnsi="Mosawi" w:cs="Mosawi"/>
          <w:sz w:val="22"/>
          <w:szCs w:val="22"/>
          <w:rtl/>
        </w:rPr>
        <w:t>×</w:t>
      </w:r>
      <w:r w:rsidRPr="006571AC">
        <w:rPr>
          <w:rFonts w:ascii="Traditional Arabic" w:hAnsi="Traditional Arabic"/>
          <w:sz w:val="27"/>
          <w:rtl/>
          <w:lang w:bidi="ar-LB"/>
        </w:rPr>
        <w:t xml:space="preserve"> لبعض الآيات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والتي لا يظهر منها المعنى الذي بيّ</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نه الإمام</w:t>
      </w:r>
      <w:r w:rsidR="002A2C90" w:rsidRPr="006571AC">
        <w:rPr>
          <w:rFonts w:ascii="Mosawi" w:hAnsi="Mosawi" w:cs="Mosawi"/>
          <w:sz w:val="22"/>
          <w:szCs w:val="22"/>
          <w:rtl/>
        </w:rPr>
        <w:t>×</w:t>
      </w:r>
      <w:r w:rsidRPr="006571AC">
        <w:rPr>
          <w:rFonts w:ascii="Traditional Arabic" w:hAnsi="Traditional Arabic"/>
          <w:sz w:val="27"/>
          <w:rtl/>
          <w:lang w:bidi="ar-LB"/>
        </w:rPr>
        <w:t>، مثلا</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عن عبد الله بن سنان</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ذُريح المحاربي قال: قلت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لأبي عبد</w:t>
      </w:r>
      <w:r w:rsidR="00CF10C1" w:rsidRPr="006571AC">
        <w:rPr>
          <w:rFonts w:ascii="Traditional Arabic" w:hAnsi="Traditional Arabic" w:hint="cs"/>
          <w:sz w:val="27"/>
          <w:rtl/>
          <w:lang w:bidi="ar-LB"/>
        </w:rPr>
        <w:t xml:space="preserve"> </w:t>
      </w:r>
      <w:r w:rsidRPr="006571AC">
        <w:rPr>
          <w:rFonts w:ascii="Traditional Arabic" w:hAnsi="Traditional Arabic"/>
          <w:sz w:val="27"/>
          <w:rtl/>
          <w:lang w:bidi="ar-LB"/>
        </w:rPr>
        <w:t>الله الصادق</w:t>
      </w:r>
      <w:r w:rsidR="002A2C90" w:rsidRPr="006571AC">
        <w:rPr>
          <w:rFonts w:ascii="Mosawi" w:hAnsi="Mosawi" w:cs="Mosawi"/>
          <w:sz w:val="22"/>
          <w:szCs w:val="22"/>
          <w:rtl/>
        </w:rPr>
        <w:t>×</w:t>
      </w:r>
      <w:r w:rsidRPr="006571AC">
        <w:rPr>
          <w:rFonts w:ascii="Traditional Arabic" w:hAnsi="Traditional Arabic"/>
          <w:sz w:val="27"/>
          <w:rtl/>
          <w:lang w:bidi="ar-LB"/>
        </w:rPr>
        <w:t>: إنّ الله أمرني في كتابه بأمر</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فأحبّ أن أعمله، قال: وما ذاك؟ قلت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قول الله عزّ</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وجلّ</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ascii="Mosawi" w:hAnsi="Mosawi" w:cs="Mosawi"/>
          <w:sz w:val="24"/>
          <w:szCs w:val="24"/>
          <w:rtl/>
        </w:rPr>
        <w:t>﴿</w:t>
      </w:r>
      <w:r w:rsidRPr="006571AC">
        <w:rPr>
          <w:rFonts w:ascii="Traditional Arabic" w:hAnsi="Traditional Arabic"/>
          <w:b/>
          <w:bCs/>
          <w:sz w:val="27"/>
          <w:rtl/>
          <w:lang w:bidi="ar-LB"/>
        </w:rPr>
        <w:t>ثُمَّ لْيَقْضُوا تَفَثَهُمْ وَلْيُوفُوا نُذُورَهُمْ</w:t>
      </w:r>
      <w:r w:rsidRPr="006571AC">
        <w:rPr>
          <w:rFonts w:ascii="Mosawi" w:hAnsi="Mosawi" w:cs="Mosawi"/>
          <w:sz w:val="24"/>
          <w:szCs w:val="24"/>
          <w:rtl/>
        </w:rPr>
        <w:t>﴾</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قال: </w:t>
      </w:r>
      <w:r w:rsidRPr="006571AC">
        <w:rPr>
          <w:rFonts w:ascii="Mosawi" w:hAnsi="Mosawi" w:cs="Mosawi"/>
          <w:sz w:val="24"/>
          <w:szCs w:val="24"/>
          <w:rtl/>
        </w:rPr>
        <w:t>﴿</w:t>
      </w:r>
      <w:r w:rsidRPr="006571AC">
        <w:rPr>
          <w:rFonts w:ascii="Traditional Arabic" w:hAnsi="Traditional Arabic"/>
          <w:b/>
          <w:bCs/>
          <w:sz w:val="27"/>
          <w:rtl/>
          <w:lang w:bidi="ar-LB"/>
        </w:rPr>
        <w:t>لْيَقْضُوا تَفَثَهُمْ</w:t>
      </w:r>
      <w:r w:rsidRPr="006571AC">
        <w:rPr>
          <w:rFonts w:ascii="Mosawi" w:hAnsi="Mosawi" w:cs="Mosawi"/>
          <w:sz w:val="24"/>
          <w:szCs w:val="24"/>
          <w:rtl/>
        </w:rPr>
        <w:t>﴾</w:t>
      </w:r>
      <w:r w:rsidRPr="006571AC">
        <w:rPr>
          <w:rFonts w:ascii="Traditional Arabic" w:hAnsi="Traditional Arabic"/>
          <w:sz w:val="27"/>
          <w:rtl/>
          <w:lang w:bidi="ar-LB"/>
        </w:rPr>
        <w:t xml:space="preserve"> لقاء الإمام، </w:t>
      </w:r>
      <w:r w:rsidRPr="006571AC">
        <w:rPr>
          <w:rFonts w:ascii="Mosawi" w:hAnsi="Mosawi" w:cs="Mosawi"/>
          <w:sz w:val="24"/>
          <w:szCs w:val="24"/>
          <w:rtl/>
        </w:rPr>
        <w:t>﴿</w:t>
      </w:r>
      <w:r w:rsidRPr="006571AC">
        <w:rPr>
          <w:rFonts w:ascii="Traditional Arabic" w:hAnsi="Traditional Arabic"/>
          <w:b/>
          <w:bCs/>
          <w:sz w:val="27"/>
          <w:rtl/>
          <w:lang w:bidi="ar-LB"/>
        </w:rPr>
        <w:t>وَلْيُوفُوا نُذُورَهُمْ</w:t>
      </w:r>
      <w:r w:rsidRPr="006571AC">
        <w:rPr>
          <w:rFonts w:ascii="Mosawi" w:hAnsi="Mosawi" w:cs="Mosawi"/>
          <w:sz w:val="24"/>
          <w:szCs w:val="24"/>
          <w:rtl/>
        </w:rPr>
        <w:t>﴾</w:t>
      </w:r>
      <w:r w:rsidRPr="006571AC">
        <w:rPr>
          <w:rFonts w:ascii="Traditional Arabic" w:hAnsi="Traditional Arabic"/>
          <w:sz w:val="27"/>
          <w:rtl/>
          <w:lang w:bidi="ar-LB"/>
        </w:rPr>
        <w:t xml:space="preserve"> تلك المناسك. قال عبد الله بن سنان: فأتيت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أبا عبد الله الصادق</w:t>
      </w:r>
      <w:r w:rsidR="002A2C90" w:rsidRPr="006571AC">
        <w:rPr>
          <w:rFonts w:ascii="Mosawi" w:hAnsi="Mosawi" w:cs="Mosawi"/>
          <w:sz w:val="22"/>
          <w:szCs w:val="22"/>
          <w:rtl/>
        </w:rPr>
        <w:t>×</w:t>
      </w:r>
      <w:r w:rsidR="00CF10C1" w:rsidRPr="006571AC">
        <w:rPr>
          <w:rFonts w:ascii="Traditional Arabic" w:hAnsi="Traditional Arabic" w:hint="cs"/>
          <w:sz w:val="27"/>
          <w:rtl/>
          <w:lang w:bidi="ar-LB"/>
        </w:rPr>
        <w:t>،</w:t>
      </w:r>
      <w:r w:rsidRPr="006571AC">
        <w:rPr>
          <w:rFonts w:ascii="Traditional Arabic" w:hAnsi="Traditional Arabic"/>
          <w:sz w:val="27"/>
          <w:rtl/>
          <w:lang w:bidi="ar-LB"/>
        </w:rPr>
        <w:t xml:space="preserve"> فقلت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جُعلت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فداك، قول الله عزّ</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وجلّ</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ascii="Mosawi" w:hAnsi="Mosawi" w:cs="Mosawi"/>
          <w:sz w:val="24"/>
          <w:szCs w:val="24"/>
          <w:rtl/>
        </w:rPr>
        <w:t>﴿</w:t>
      </w:r>
      <w:r w:rsidRPr="006571AC">
        <w:rPr>
          <w:rFonts w:ascii="Traditional Arabic" w:hAnsi="Traditional Arabic"/>
          <w:b/>
          <w:bCs/>
          <w:sz w:val="27"/>
          <w:rtl/>
          <w:lang w:bidi="ar-LB"/>
        </w:rPr>
        <w:t>ثُمَّ لْيَقْضُوا تَفَثَهُمْ وَلْيُوفُوا نُذُورَهُمْ</w:t>
      </w:r>
      <w:r w:rsidRPr="006571AC">
        <w:rPr>
          <w:rFonts w:ascii="Mosawi" w:hAnsi="Mosawi" w:cs="Mosawi"/>
          <w:sz w:val="24"/>
          <w:szCs w:val="24"/>
          <w:rtl/>
        </w:rPr>
        <w:t>﴾</w:t>
      </w:r>
      <w:r w:rsidR="00CF10C1" w:rsidRPr="006571AC">
        <w:rPr>
          <w:rFonts w:ascii="Traditional Arabic" w:hAnsi="Traditional Arabic" w:hint="cs"/>
          <w:sz w:val="27"/>
          <w:rtl/>
          <w:lang w:bidi="ar-LB"/>
        </w:rPr>
        <w:t>؟</w:t>
      </w:r>
      <w:r w:rsidRPr="006571AC">
        <w:rPr>
          <w:rFonts w:ascii="Traditional Arabic" w:hAnsi="Traditional Arabic"/>
          <w:sz w:val="27"/>
          <w:rtl/>
          <w:lang w:bidi="ar-LB"/>
        </w:rPr>
        <w:t xml:space="preserve"> قال: أخذ الشارب وقصّ الأظفار وما أشبه ذلك</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قال: قلت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جُعلت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فداك</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إنّ ذريح المحا</w:t>
      </w:r>
      <w:r w:rsidR="00182464" w:rsidRPr="006571AC">
        <w:rPr>
          <w:rFonts w:ascii="Traditional Arabic" w:hAnsi="Traditional Arabic" w:hint="cs"/>
          <w:sz w:val="27"/>
          <w:rtl/>
          <w:lang w:bidi="ar-LB"/>
        </w:rPr>
        <w:t>رب</w:t>
      </w:r>
      <w:r w:rsidRPr="006571AC">
        <w:rPr>
          <w:rFonts w:ascii="Traditional Arabic" w:hAnsi="Traditional Arabic"/>
          <w:sz w:val="27"/>
          <w:rtl/>
          <w:lang w:bidi="ar-LB"/>
        </w:rPr>
        <w:t>ي حدّ</w:t>
      </w:r>
      <w:r w:rsidR="00182464" w:rsidRPr="006571AC">
        <w:rPr>
          <w:rFonts w:ascii="Traditional Arabic" w:hAnsi="Traditional Arabic" w:hint="cs"/>
          <w:sz w:val="27"/>
          <w:rtl/>
          <w:lang w:bidi="ar-LB"/>
        </w:rPr>
        <w:t>َ</w:t>
      </w:r>
      <w:r w:rsidR="00182464" w:rsidRPr="006571AC">
        <w:rPr>
          <w:rFonts w:ascii="Traditional Arabic" w:hAnsi="Traditional Arabic"/>
          <w:sz w:val="27"/>
          <w:rtl/>
          <w:lang w:bidi="ar-LB"/>
        </w:rPr>
        <w:t>ثني عنك بأن</w:t>
      </w:r>
      <w:r w:rsidRPr="006571AC">
        <w:rPr>
          <w:rFonts w:ascii="Traditional Arabic" w:hAnsi="Traditional Arabic"/>
          <w:sz w:val="27"/>
          <w:rtl/>
          <w:lang w:bidi="ar-LB"/>
        </w:rPr>
        <w:t>ك قلت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له: </w:t>
      </w:r>
      <w:r w:rsidRPr="006571AC">
        <w:rPr>
          <w:rFonts w:ascii="Mosawi" w:hAnsi="Mosawi" w:cs="Mosawi"/>
          <w:sz w:val="24"/>
          <w:szCs w:val="24"/>
          <w:rtl/>
        </w:rPr>
        <w:t>﴿</w:t>
      </w:r>
      <w:r w:rsidRPr="006571AC">
        <w:rPr>
          <w:rFonts w:ascii="Traditional Arabic" w:hAnsi="Traditional Arabic"/>
          <w:b/>
          <w:bCs/>
          <w:sz w:val="27"/>
          <w:rtl/>
          <w:lang w:bidi="ar-LB"/>
        </w:rPr>
        <w:t>لْيَقْضُوا تَفَثَهُمْ</w:t>
      </w:r>
      <w:r w:rsidRPr="006571AC">
        <w:rPr>
          <w:rFonts w:ascii="Mosawi" w:hAnsi="Mosawi" w:cs="Mosawi"/>
          <w:sz w:val="24"/>
          <w:szCs w:val="24"/>
          <w:rtl/>
        </w:rPr>
        <w:t>﴾</w:t>
      </w:r>
      <w:r w:rsidRPr="006571AC">
        <w:rPr>
          <w:rFonts w:ascii="Traditional Arabic" w:hAnsi="Traditional Arabic"/>
          <w:sz w:val="27"/>
          <w:rtl/>
          <w:lang w:bidi="ar-LB"/>
        </w:rPr>
        <w:t xml:space="preserve"> لقاء الإمام</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فقال: صدق ذريح</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وصدقتُ. إنّ للقرآن ظاهرا</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وباطنا</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وم</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ن</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يحتمل ما يحتمل ذريح</w:t>
      </w:r>
      <w:r w:rsidR="00182464" w:rsidRPr="006571AC">
        <w:rPr>
          <w:rFonts w:ascii="Traditional Arabic" w:hAnsi="Traditional Arabic" w:hint="cs"/>
          <w:sz w:val="27"/>
          <w:rtl/>
          <w:lang w:bidi="ar-LB"/>
        </w:rPr>
        <w:t>؟!</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75"/>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 xml:space="preserve">كما ربط </w:t>
      </w:r>
      <w:r w:rsidR="00182464" w:rsidRPr="006571AC">
        <w:rPr>
          <w:rFonts w:ascii="Traditional Arabic" w:hAnsi="Traditional Arabic" w:hint="cs"/>
          <w:sz w:val="27"/>
          <w:rtl/>
          <w:lang w:bidi="ar-LB"/>
        </w:rPr>
        <w:t>الطباطبائي</w:t>
      </w:r>
      <w:r w:rsidRPr="006571AC">
        <w:rPr>
          <w:rFonts w:ascii="Traditional Arabic" w:hAnsi="Traditional Arabic"/>
          <w:sz w:val="27"/>
          <w:rtl/>
          <w:lang w:bidi="ar-LB"/>
        </w:rPr>
        <w:t xml:space="preserve"> بين بطون القرآن ومسألة التأويل</w:t>
      </w:r>
      <w:r w:rsidR="00182464" w:rsidRPr="006571AC">
        <w:rPr>
          <w:rFonts w:ascii="Traditional Arabic" w:hAnsi="Traditional Arabic" w:hint="cs"/>
          <w:sz w:val="27"/>
          <w:rtl/>
          <w:lang w:bidi="ar-LB"/>
        </w:rPr>
        <w:t xml:space="preserve">، </w:t>
      </w:r>
      <w:r w:rsidRPr="006571AC">
        <w:rPr>
          <w:rFonts w:ascii="Traditional Arabic" w:hAnsi="Traditional Arabic"/>
          <w:sz w:val="27"/>
          <w:rtl/>
          <w:lang w:bidi="ar-LB"/>
        </w:rPr>
        <w:t>وهو أيضا</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ما تشير إليه الرواية الثانية بقولها: </w:t>
      </w:r>
      <w:r w:rsidRPr="006571AC">
        <w:rPr>
          <w:rFonts w:hint="eastAsia"/>
          <w:sz w:val="24"/>
          <w:szCs w:val="24"/>
          <w:rtl/>
          <w:lang w:bidi="ar-LB"/>
        </w:rPr>
        <w:t>«</w:t>
      </w:r>
      <w:r w:rsidRPr="006571AC">
        <w:rPr>
          <w:rFonts w:ascii="Traditional Arabic" w:hAnsi="Traditional Arabic"/>
          <w:sz w:val="27"/>
          <w:rtl/>
          <w:lang w:bidi="ar-LB"/>
        </w:rPr>
        <w:t>وباطنه تأويله</w:t>
      </w:r>
      <w:r w:rsidRPr="006571AC">
        <w:rPr>
          <w:rFonts w:hint="eastAsia"/>
          <w:sz w:val="24"/>
          <w:szCs w:val="24"/>
          <w:rtl/>
        </w:rPr>
        <w:t>»</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فالتأويل في ع</w:t>
      </w:r>
      <w:r w:rsidR="00182464" w:rsidRPr="006571AC">
        <w:rPr>
          <w:rFonts w:ascii="Traditional Arabic" w:hAnsi="Traditional Arabic" w:hint="cs"/>
          <w:sz w:val="27"/>
          <w:rtl/>
          <w:lang w:bidi="ar-LB"/>
        </w:rPr>
        <w:t>ُ</w:t>
      </w:r>
      <w:r w:rsidRPr="006571AC">
        <w:rPr>
          <w:rFonts w:ascii="Traditional Arabic" w:hAnsi="Traditional Arabic"/>
          <w:sz w:val="27"/>
          <w:rtl/>
          <w:lang w:bidi="ar-LB"/>
        </w:rPr>
        <w:t>ر</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ف القرآن </w:t>
      </w:r>
      <w:r w:rsidR="00182464" w:rsidRPr="006571AC">
        <w:rPr>
          <w:rFonts w:ascii="Traditional Arabic" w:hAnsi="Traditional Arabic" w:hint="cs"/>
          <w:sz w:val="27"/>
          <w:rtl/>
          <w:lang w:bidi="ar-LB"/>
        </w:rPr>
        <w:t xml:space="preserve">ـ </w:t>
      </w:r>
      <w:r w:rsidRPr="006571AC">
        <w:rPr>
          <w:rFonts w:ascii="Traditional Arabic" w:hAnsi="Traditional Arabic"/>
          <w:sz w:val="27"/>
          <w:rtl/>
          <w:lang w:bidi="ar-LB"/>
        </w:rPr>
        <w:t>بح</w:t>
      </w:r>
      <w:r w:rsidR="00182464" w:rsidRPr="006571AC">
        <w:rPr>
          <w:rFonts w:ascii="Traditional Arabic" w:hAnsi="Traditional Arabic" w:hint="cs"/>
          <w:sz w:val="27"/>
          <w:rtl/>
          <w:lang w:bidi="ar-LB"/>
        </w:rPr>
        <w:t>َ</w:t>
      </w:r>
      <w:r w:rsidRPr="006571AC">
        <w:rPr>
          <w:rFonts w:ascii="Traditional Arabic" w:hAnsi="Traditional Arabic"/>
          <w:sz w:val="27"/>
          <w:rtl/>
          <w:lang w:bidi="ar-LB"/>
        </w:rPr>
        <w:t>س</w:t>
      </w:r>
      <w:r w:rsidR="00182464" w:rsidRPr="006571AC">
        <w:rPr>
          <w:rFonts w:ascii="Traditional Arabic" w:hAnsi="Traditional Arabic" w:hint="cs"/>
          <w:sz w:val="27"/>
          <w:rtl/>
          <w:lang w:bidi="ar-LB"/>
        </w:rPr>
        <w:t>َ</w:t>
      </w:r>
      <w:r w:rsidRPr="006571AC">
        <w:rPr>
          <w:rFonts w:ascii="Traditional Arabic" w:hAnsi="Traditional Arabic"/>
          <w:sz w:val="27"/>
          <w:rtl/>
          <w:lang w:bidi="ar-LB"/>
        </w:rPr>
        <w:t>ب العلاّمة</w:t>
      </w:r>
      <w:r w:rsidR="00EA3596" w:rsidRPr="006571AC">
        <w:rPr>
          <w:rFonts w:ascii="Traditional Arabic" w:hAnsi="Traditional Arabic" w:hint="cs"/>
          <w:sz w:val="27"/>
          <w:rtl/>
          <w:lang w:bidi="ar-LB"/>
        </w:rPr>
        <w:t xml:space="preserve"> الطباطبائي</w:t>
      </w:r>
      <w:r w:rsidR="00182464" w:rsidRPr="006571AC">
        <w:rPr>
          <w:rFonts w:ascii="Traditional Arabic" w:hAnsi="Traditional Arabic" w:hint="cs"/>
          <w:sz w:val="27"/>
          <w:rtl/>
          <w:lang w:bidi="ar-LB"/>
        </w:rPr>
        <w:t xml:space="preserve"> ـ</w:t>
      </w:r>
      <w:r w:rsidRPr="006571AC">
        <w:rPr>
          <w:rFonts w:ascii="Traditional Arabic" w:hAnsi="Traditional Arabic"/>
          <w:sz w:val="27"/>
          <w:rtl/>
          <w:lang w:bidi="ar-LB"/>
        </w:rPr>
        <w:t xml:space="preserve"> ليس من قبيل</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المعنى المدلول للفظ</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هو الحقيقة الخارجية المتعالية عن الماد</w:t>
      </w:r>
      <w:r w:rsidR="00EA3596" w:rsidRPr="006571AC">
        <w:rPr>
          <w:rFonts w:ascii="Traditional Arabic" w:hAnsi="Traditional Arabic" w:hint="cs"/>
          <w:sz w:val="27"/>
          <w:rtl/>
          <w:lang w:bidi="ar-LB"/>
        </w:rPr>
        <w:t>ّ</w:t>
      </w:r>
      <w:r w:rsidRPr="006571AC">
        <w:rPr>
          <w:rFonts w:ascii="Traditional Arabic" w:hAnsi="Traditional Arabic"/>
          <w:sz w:val="27"/>
          <w:rtl/>
          <w:lang w:bidi="ar-LB"/>
        </w:rPr>
        <w:t>يات والجسمانيات</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وهي أوسع من قوالب الألفاظ</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وهي مضبوطة</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أمّ الكتاب</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76"/>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من خلال هذا </w:t>
      </w:r>
      <w:r w:rsidRPr="006571AC">
        <w:rPr>
          <w:rFonts w:ascii="Traditional Arabic" w:hAnsi="Traditional Arabic" w:hint="cs"/>
          <w:sz w:val="27"/>
          <w:rtl/>
          <w:lang w:bidi="ar-LB"/>
        </w:rPr>
        <w:t>ا</w:t>
      </w:r>
      <w:r w:rsidRPr="006571AC">
        <w:rPr>
          <w:rFonts w:ascii="Traditional Arabic" w:hAnsi="Traditional Arabic"/>
          <w:sz w:val="27"/>
          <w:rtl/>
          <w:lang w:bidi="ar-LB"/>
        </w:rPr>
        <w:t>نطلق في اختياره لنظريته في تفسير حقيقة البطون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والتي تعود إلى القراءة العرفانية للقرآن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كما قلنا، ويمكن أن يطلق عليها </w:t>
      </w:r>
      <w:r w:rsidRPr="006571AC">
        <w:rPr>
          <w:rFonts w:ascii="Traditional Arabic" w:hAnsi="Traditional Arabic" w:hint="cs"/>
          <w:sz w:val="27"/>
          <w:rtl/>
          <w:lang w:bidi="ar-LB"/>
        </w:rPr>
        <w:t>ا</w:t>
      </w:r>
      <w:r w:rsidRPr="006571AC">
        <w:rPr>
          <w:rFonts w:ascii="Traditional Arabic" w:hAnsi="Traditional Arabic"/>
          <w:sz w:val="27"/>
          <w:rtl/>
          <w:lang w:bidi="ar-LB"/>
        </w:rPr>
        <w:t>سم نظريّة البطون الوجودية</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77"/>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ومفادها</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EA3596" w:rsidRPr="006571AC">
        <w:rPr>
          <w:rFonts w:ascii="Traditional Arabic" w:hAnsi="Traditional Arabic" w:hint="cs"/>
          <w:sz w:val="27"/>
          <w:rtl/>
          <w:lang w:bidi="ar-LB"/>
        </w:rPr>
        <w:t>إ</w:t>
      </w:r>
      <w:r w:rsidRPr="006571AC">
        <w:rPr>
          <w:rFonts w:ascii="Traditional Arabic" w:hAnsi="Traditional Arabic"/>
          <w:sz w:val="27"/>
          <w:rtl/>
          <w:lang w:bidi="ar-LB"/>
        </w:rPr>
        <w:t>ن بطون القرآن في حقيقتها بطونٌ طولي</w:t>
      </w:r>
      <w:r w:rsidR="00EA3596" w:rsidRPr="006571AC">
        <w:rPr>
          <w:rFonts w:ascii="Traditional Arabic" w:hAnsi="Traditional Arabic" w:hint="cs"/>
          <w:sz w:val="27"/>
          <w:rtl/>
          <w:lang w:bidi="ar-LB"/>
        </w:rPr>
        <w:t>ّ</w:t>
      </w:r>
      <w:r w:rsidRPr="006571AC">
        <w:rPr>
          <w:rFonts w:ascii="Traditional Arabic" w:hAnsi="Traditional Arabic"/>
          <w:sz w:val="27"/>
          <w:rtl/>
          <w:lang w:bidi="ar-LB"/>
        </w:rPr>
        <w:t>ة وجودي</w:t>
      </w:r>
      <w:r w:rsidR="00EA3596" w:rsidRPr="006571AC">
        <w:rPr>
          <w:rFonts w:ascii="Traditional Arabic" w:hAnsi="Traditional Arabic" w:hint="cs"/>
          <w:sz w:val="27"/>
          <w:rtl/>
          <w:lang w:bidi="ar-LB"/>
        </w:rPr>
        <w:t>ّ</w:t>
      </w:r>
      <w:r w:rsidRPr="006571AC">
        <w:rPr>
          <w:rFonts w:ascii="Traditional Arabic" w:hAnsi="Traditional Arabic"/>
          <w:sz w:val="27"/>
          <w:rtl/>
          <w:lang w:bidi="ar-LB"/>
        </w:rPr>
        <w:t>ة</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78"/>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يعني أنّ الباطن ليس باطنا</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دلاليّا</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باطن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وجودي</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لذلك من الخطأ أن أَعبُر إلى تلك البطون من خلال الألفاظ التي تت</w:t>
      </w:r>
      <w:r w:rsidR="00EA3596" w:rsidRPr="006571AC">
        <w:rPr>
          <w:rFonts w:ascii="Traditional Arabic" w:hAnsi="Traditional Arabic" w:hint="cs"/>
          <w:sz w:val="27"/>
          <w:rtl/>
          <w:lang w:bidi="ar-LB"/>
        </w:rPr>
        <w:t>ّ</w:t>
      </w:r>
      <w:r w:rsidRPr="006571AC">
        <w:rPr>
          <w:rFonts w:ascii="Traditional Arabic" w:hAnsi="Traditional Arabic"/>
          <w:sz w:val="27"/>
          <w:rtl/>
          <w:lang w:bidi="ar-LB"/>
        </w:rPr>
        <w:t>صل بعالم الدلالات</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يجب الغوص في ر</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ت</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ب الوجود للوصول إليها؛ باعتبار أنّ القرآن حقيقة</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متعالية تعود إلى الذات الإلهية</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يتجلّى في جميع المراتب ـ</w:t>
      </w:r>
      <w:r w:rsidR="00EA3596" w:rsidRPr="006571AC">
        <w:rPr>
          <w:rFonts w:ascii="Traditional Arabic" w:hAnsi="Traditional Arabic" w:hint="cs"/>
          <w:sz w:val="27"/>
          <w:rtl/>
          <w:lang w:bidi="ar-LB"/>
        </w:rPr>
        <w:t xml:space="preserve"> </w:t>
      </w:r>
      <w:r w:rsidRPr="006571AC">
        <w:rPr>
          <w:rFonts w:ascii="Traditional Arabic" w:hAnsi="Traditional Arabic"/>
          <w:sz w:val="27"/>
          <w:rtl/>
          <w:lang w:bidi="ar-LB"/>
        </w:rPr>
        <w:t>كما أسل</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ف</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نا ـ</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فما علينا إلاّ أن نصل إلى تلك المراتب</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وننظر إلى حقيقة القرآن فيها، وبهذا نستكشف تلك البطون.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 xml:space="preserve"> كما يشد</w:t>
      </w:r>
      <w:r w:rsidRPr="006571AC">
        <w:rPr>
          <w:rFonts w:ascii="Traditional Arabic" w:hAnsi="Traditional Arabic" w:hint="cs"/>
          <w:sz w:val="27"/>
          <w:rtl/>
          <w:lang w:bidi="ar-LB"/>
        </w:rPr>
        <w:t>ّ</w:t>
      </w:r>
      <w:r w:rsidR="00EA3596" w:rsidRPr="006571AC">
        <w:rPr>
          <w:rFonts w:ascii="Traditional Arabic" w:hAnsi="Traditional Arabic" w:hint="cs"/>
          <w:sz w:val="27"/>
          <w:rtl/>
          <w:lang w:bidi="ar-LB"/>
        </w:rPr>
        <w:t>ِ</w:t>
      </w:r>
      <w:r w:rsidRPr="006571AC">
        <w:rPr>
          <w:rFonts w:ascii="Traditional Arabic" w:hAnsi="Traditional Arabic"/>
          <w:sz w:val="27"/>
          <w:rtl/>
          <w:lang w:bidi="ar-LB"/>
        </w:rPr>
        <w:t>د العلاّمة</w:t>
      </w:r>
      <w:r w:rsidR="00EA3596"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أيضا</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أنه لا خلاف بين ظاهر القرآن وباطنه؛ لأنه حقيقة</w:t>
      </w:r>
      <w:r w:rsidR="00CF10C1" w:rsidRPr="006571AC">
        <w:rPr>
          <w:rFonts w:ascii="Traditional Arabic" w:hAnsi="Traditional Arabic" w:hint="cs"/>
          <w:sz w:val="27"/>
          <w:rtl/>
          <w:lang w:bidi="ar-LB"/>
        </w:rPr>
        <w:t>ٌ</w:t>
      </w:r>
      <w:r w:rsidRPr="006571AC">
        <w:rPr>
          <w:rFonts w:ascii="Traditional Arabic" w:hAnsi="Traditional Arabic"/>
          <w:sz w:val="27"/>
          <w:rtl/>
          <w:lang w:bidi="ar-LB"/>
        </w:rPr>
        <w:t xml:space="preserve"> واحدة، ولذلك لا يجوز التوص</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ل من خلال الباطن إلى نقيض ما </w:t>
      </w:r>
      <w:r w:rsidRPr="006571AC">
        <w:rPr>
          <w:rFonts w:ascii="Traditional Arabic" w:hAnsi="Traditional Arabic"/>
          <w:sz w:val="27"/>
          <w:rtl/>
          <w:lang w:bidi="ar-LB"/>
        </w:rPr>
        <w:lastRenderedPageBreak/>
        <w:t>يظهر من الألفاظ</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79"/>
      </w:r>
      <w:r w:rsidRPr="006571AC">
        <w:rPr>
          <w:rFonts w:ascii="Traditional Arabic" w:hAnsi="Traditional Arabic"/>
          <w:sz w:val="27"/>
          <w:vertAlign w:val="superscript"/>
          <w:rtl/>
          <w:lang w:bidi="ar-LB"/>
        </w:rPr>
        <w:t>)</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ولكن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جهة أخرى يعتقد أنه لا</w:t>
      </w:r>
      <w:r w:rsidRPr="006571AC">
        <w:rPr>
          <w:rFonts w:ascii="Traditional Arabic" w:hAnsi="Traditional Arabic" w:hint="cs"/>
          <w:sz w:val="27"/>
          <w:rtl/>
          <w:lang w:bidi="ar-LB"/>
        </w:rPr>
        <w:t xml:space="preserve"> </w:t>
      </w:r>
      <w:r w:rsidRPr="006571AC">
        <w:rPr>
          <w:rFonts w:ascii="Traditional Arabic" w:hAnsi="Traditional Arabic"/>
          <w:sz w:val="27"/>
          <w:rtl/>
          <w:lang w:bidi="ar-LB"/>
        </w:rPr>
        <w:t>معيارية لفهم العربي</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حيث الحدّ الأعلى، فلا يجوز أن نقتصر على المدلولات التي توص</w:t>
      </w:r>
      <w:r w:rsidR="00EA3596" w:rsidRPr="006571AC">
        <w:rPr>
          <w:rFonts w:ascii="Traditional Arabic" w:hAnsi="Traditional Arabic" w:hint="cs"/>
          <w:sz w:val="27"/>
          <w:rtl/>
          <w:lang w:bidi="ar-LB"/>
        </w:rPr>
        <w:t>َّ</w:t>
      </w:r>
      <w:r w:rsidRPr="006571AC">
        <w:rPr>
          <w:rFonts w:ascii="Traditional Arabic" w:hAnsi="Traditional Arabic"/>
          <w:sz w:val="27"/>
          <w:rtl/>
          <w:lang w:bidi="ar-LB"/>
        </w:rPr>
        <w:t>ل إليها العربي</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فقط</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ونعتبرها غاية ما يريده القرآن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القضية مفتوحة</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مئات المعاني التي يُتوص</w:t>
      </w:r>
      <w:r w:rsidR="00EA3596" w:rsidRPr="006571AC">
        <w:rPr>
          <w:rFonts w:ascii="Traditional Arabic" w:hAnsi="Traditional Arabic" w:hint="cs"/>
          <w:sz w:val="27"/>
          <w:rtl/>
          <w:lang w:bidi="ar-LB"/>
        </w:rPr>
        <w:t>َّ</w:t>
      </w:r>
      <w:r w:rsidRPr="006571AC">
        <w:rPr>
          <w:rFonts w:ascii="Traditional Arabic" w:hAnsi="Traditional Arabic"/>
          <w:sz w:val="27"/>
          <w:rtl/>
          <w:lang w:bidi="ar-LB"/>
        </w:rPr>
        <w:t>ل إليها عبر هذه البطون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قال</w:t>
      </w:r>
      <w:r w:rsidR="00EA3596" w:rsidRPr="006571AC">
        <w:rPr>
          <w:rFonts w:ascii="Mosawi" w:hAnsi="Mosawi" w:cs="Mosawi"/>
          <w:sz w:val="22"/>
          <w:szCs w:val="22"/>
          <w:rtl/>
        </w:rPr>
        <w:t>&amp;</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في مقام شرحه للظاهر والباطن في كتاب (القرآن في الإسلام): </w:t>
      </w:r>
      <w:r w:rsidRPr="006571AC">
        <w:rPr>
          <w:rFonts w:hint="eastAsia"/>
          <w:sz w:val="24"/>
          <w:szCs w:val="24"/>
          <w:rtl/>
          <w:lang w:bidi="ar-LB"/>
        </w:rPr>
        <w:t>«</w:t>
      </w:r>
      <w:r w:rsidRPr="006571AC">
        <w:rPr>
          <w:rFonts w:ascii="Traditional Arabic" w:hAnsi="Traditional Arabic"/>
          <w:sz w:val="27"/>
          <w:rtl/>
          <w:lang w:bidi="ar-LB"/>
        </w:rPr>
        <w:t>وعلى هذا للقرآن ظاهر</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وباطن</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أو ظهر</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وبطن</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وكلا المعنيين ي</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رادان من الآيات الكريمة، إلاّ أنهما واقعان في الطول</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لا في العرض</w:t>
      </w:r>
      <w:r w:rsidR="008215B1" w:rsidRPr="006571AC">
        <w:rPr>
          <w:rFonts w:ascii="Traditional Arabic" w:hAnsi="Traditional Arabic" w:hint="cs"/>
          <w:sz w:val="27"/>
          <w:rtl/>
          <w:lang w:bidi="ar-LB"/>
        </w:rPr>
        <w:t xml:space="preserve">؛ </w:t>
      </w:r>
      <w:r w:rsidRPr="006571AC">
        <w:rPr>
          <w:rFonts w:ascii="Traditional Arabic" w:hAnsi="Traditional Arabic"/>
          <w:sz w:val="27"/>
          <w:rtl/>
          <w:lang w:bidi="ar-LB"/>
        </w:rPr>
        <w:t xml:space="preserve"> فإن إرادة الظاهر لا تنفي إرادة الباطن</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وإرادة الباطن لا تزاحم إرادة الظاهر</w:t>
      </w:r>
      <w:r w:rsidRPr="006571AC">
        <w:rPr>
          <w:rFonts w:hint="eastAsia"/>
          <w:sz w:val="24"/>
          <w:szCs w:val="24"/>
          <w:rtl/>
        </w:rPr>
        <w:t>»</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80"/>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لذلك وفي مقام بيان العلاقة بين الظاهر والباطن صرّ</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ح ال</w:t>
      </w:r>
      <w:r w:rsidR="008215B1"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بأنّ القرآن اعتمد في بيانه اللغوي على لغة المثال</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81"/>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وهذه النتيجة ت</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ع</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دّ حصيلة</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طبيعية للفهم الوجودي للقرآن وتعد</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د مراتبه</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يذهب العلاّمة</w:t>
      </w:r>
      <w:r w:rsidR="008215B1"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إلى أنّ القرآن لجأ إلى أسلوب المثال واللغة الرمزية في بيان مراداته، وهذه الأمثلة ليست مجر</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د أدوات يُراد منها إيصال المضامين العالية بأسلوب</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بسيط يستسيغه العام</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ة</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هي قوالب تشير إلى حقائق كامنة وراءها، مثلا</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وصف الإيمان بالنور والكفر بالظلمة ليسا وصفين تمثيلي</w:t>
      </w:r>
      <w:r w:rsidR="008215B1" w:rsidRPr="006571AC">
        <w:rPr>
          <w:rFonts w:ascii="Traditional Arabic" w:hAnsi="Traditional Arabic" w:hint="cs"/>
          <w:sz w:val="27"/>
          <w:rtl/>
          <w:lang w:bidi="ar-LB"/>
        </w:rPr>
        <w:t>ّ</w:t>
      </w:r>
      <w:r w:rsidRPr="006571AC">
        <w:rPr>
          <w:rFonts w:ascii="Traditional Arabic" w:hAnsi="Traditional Arabic"/>
          <w:sz w:val="27"/>
          <w:rtl/>
          <w:lang w:bidi="ar-LB"/>
        </w:rPr>
        <w:t>ين</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هما حقائق واقعية تنشأ من الحالة الباطنية للمؤمن والكافر</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82"/>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من هنا قرر ال</w:t>
      </w:r>
      <w:r w:rsidR="008215B1"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أنّ البيانات هي أمثال</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و</w:t>
      </w:r>
      <w:r w:rsidR="008215B1" w:rsidRPr="006571AC">
        <w:rPr>
          <w:rFonts w:ascii="Traditional Arabic" w:hAnsi="Traditional Arabic"/>
          <w:sz w:val="27"/>
          <w:rtl/>
          <w:lang w:bidi="ar-LB"/>
        </w:rPr>
        <w:t>لها ما وراءها من الحقائق الممث</w:t>
      </w:r>
      <w:r w:rsidR="008215B1" w:rsidRPr="006571AC">
        <w:rPr>
          <w:rFonts w:ascii="Traditional Arabic" w:hAnsi="Traditional Arabic" w:hint="cs"/>
          <w:sz w:val="27"/>
          <w:rtl/>
          <w:lang w:bidi="ar-LB"/>
        </w:rPr>
        <w:t>َّ</w:t>
      </w:r>
      <w:r w:rsidRPr="006571AC">
        <w:rPr>
          <w:rFonts w:ascii="Traditional Arabic" w:hAnsi="Traditional Arabic"/>
          <w:sz w:val="27"/>
          <w:rtl/>
          <w:lang w:bidi="ar-LB"/>
        </w:rPr>
        <w:t>لة</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83"/>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8215B1"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هذا باختصار</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حصيلة</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ما يراه العلاّمة</w:t>
      </w:r>
      <w:r w:rsidR="008215B1"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في هذه المسألة</w:t>
      </w:r>
      <w:r w:rsidR="008215B1" w:rsidRPr="006571AC">
        <w:rPr>
          <w:rFonts w:ascii="Traditional Arabic" w:hAnsi="Traditional Arabic" w:hint="cs"/>
          <w:sz w:val="27"/>
          <w:rtl/>
          <w:lang w:bidi="ar-LB"/>
        </w:rPr>
        <w:t>.</w:t>
      </w:r>
    </w:p>
    <w:p w:rsidR="001667A3" w:rsidRPr="006571AC" w:rsidRDefault="008215B1" w:rsidP="004722E7">
      <w:pPr>
        <w:rPr>
          <w:rFonts w:ascii="Traditional Arabic" w:hAnsi="Traditional Arabic"/>
          <w:sz w:val="27"/>
          <w:rtl/>
          <w:lang w:bidi="ar-LB"/>
        </w:rPr>
      </w:pPr>
      <w:r w:rsidRPr="006571AC">
        <w:rPr>
          <w:rFonts w:ascii="Traditional Arabic" w:hAnsi="Traditional Arabic"/>
          <w:sz w:val="27"/>
          <w:rtl/>
          <w:lang w:bidi="ar-LB"/>
        </w:rPr>
        <w:t>وعلى الطرف المقابل يقف ال</w:t>
      </w:r>
      <w:r w:rsidRPr="006571AC">
        <w:rPr>
          <w:rFonts w:ascii="Traditional Arabic" w:hAnsi="Traditional Arabic" w:hint="cs"/>
          <w:sz w:val="27"/>
          <w:rtl/>
          <w:lang w:bidi="ar-LB"/>
        </w:rPr>
        <w:t>علاّمة</w:t>
      </w:r>
      <w:r w:rsidR="001667A3" w:rsidRPr="006571AC">
        <w:rPr>
          <w:rFonts w:ascii="Traditional Arabic" w:hAnsi="Traditional Arabic"/>
          <w:sz w:val="27"/>
          <w:rtl/>
          <w:lang w:bidi="ar-LB"/>
        </w:rPr>
        <w:t xml:space="preserve"> فضل الله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الذي أفرز مساحة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لا بأس بها من مقد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مته في تفسير (من وحي القرآن) لمناقشته. </w:t>
      </w:r>
    </w:p>
    <w:p w:rsidR="001667A3" w:rsidRPr="006571AC" w:rsidRDefault="008215B1"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بالإمكان القول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r w:rsidRPr="006571AC">
        <w:rPr>
          <w:rFonts w:ascii="Traditional Arabic" w:hAnsi="Traditional Arabic" w:hint="cs"/>
          <w:sz w:val="27"/>
          <w:rtl/>
          <w:lang w:bidi="ar-LB"/>
        </w:rPr>
        <w:t>إ</w:t>
      </w:r>
      <w:r w:rsidRPr="006571AC">
        <w:rPr>
          <w:rFonts w:ascii="Traditional Arabic" w:hAnsi="Traditional Arabic"/>
          <w:sz w:val="27"/>
          <w:rtl/>
          <w:lang w:bidi="ar-LB"/>
        </w:rPr>
        <w:t>ن السي</w:t>
      </w:r>
      <w:r w:rsidR="001667A3" w:rsidRPr="006571AC">
        <w:rPr>
          <w:rFonts w:ascii="Traditional Arabic" w:hAnsi="Traditional Arabic"/>
          <w:sz w:val="27"/>
          <w:rtl/>
          <w:lang w:bidi="ar-LB"/>
        </w:rPr>
        <w:t>د فضل الله 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ع</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دّ من أصحاب الف</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م المعرفي لا الوجودي لحقيقية البطون، وإذا كان ال</w:t>
      </w:r>
      <w:r w:rsidR="006D515D" w:rsidRPr="006571AC">
        <w:rPr>
          <w:rFonts w:ascii="Traditional Arabic" w:hAnsi="Traditional Arabic" w:hint="cs"/>
          <w:sz w:val="27"/>
          <w:rtl/>
          <w:lang w:bidi="ar-LB"/>
        </w:rPr>
        <w:t>طباطبائي</w:t>
      </w:r>
      <w:r w:rsidR="001667A3" w:rsidRPr="006571AC">
        <w:rPr>
          <w:rFonts w:ascii="Traditional Arabic" w:hAnsi="Traditional Arabic"/>
          <w:sz w:val="27"/>
          <w:rtl/>
          <w:lang w:bidi="ar-LB"/>
        </w:rPr>
        <w:t xml:space="preserve"> قد ربط بين بطون القرآن وحقيقة تأويله ولغة المثال</w:t>
      </w:r>
      <w:r w:rsidR="006D515D" w:rsidRPr="006571AC">
        <w:rPr>
          <w:rFonts w:ascii="Traditional Arabic" w:hAnsi="Traditional Arabic" w:hint="cs"/>
          <w:sz w:val="27"/>
          <w:rtl/>
          <w:lang w:bidi="ar-LB"/>
        </w:rPr>
        <w:t xml:space="preserve"> فإن فضل الله</w:t>
      </w:r>
      <w:r w:rsidR="001667A3" w:rsidRPr="006571AC">
        <w:rPr>
          <w:rFonts w:ascii="Traditional Arabic" w:hAnsi="Traditional Arabic"/>
          <w:sz w:val="27"/>
          <w:rtl/>
          <w:lang w:bidi="ar-LB"/>
        </w:rPr>
        <w:t xml:space="preserve"> قد ربط بين البطون والتأويل وفكرة ال</w:t>
      </w:r>
      <w:r w:rsidR="001667A3" w:rsidRPr="006571AC">
        <w:rPr>
          <w:rFonts w:ascii="Traditional Arabic" w:hAnsi="Traditional Arabic" w:hint="cs"/>
          <w:sz w:val="27"/>
          <w:rtl/>
          <w:lang w:bidi="ar-LB"/>
        </w:rPr>
        <w:t>ا</w:t>
      </w:r>
      <w:r w:rsidR="001667A3" w:rsidRPr="006571AC">
        <w:rPr>
          <w:rFonts w:ascii="Traditional Arabic" w:hAnsi="Traditional Arabic"/>
          <w:sz w:val="27"/>
          <w:rtl/>
          <w:lang w:bidi="ar-LB"/>
        </w:rPr>
        <w:t xml:space="preserve">ستيحاء.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يعتقد ال</w:t>
      </w:r>
      <w:r w:rsidR="006D515D" w:rsidRPr="006571AC">
        <w:rPr>
          <w:rFonts w:ascii="Traditional Arabic" w:hAnsi="Traditional Arabic" w:hint="cs"/>
          <w:sz w:val="27"/>
          <w:rtl/>
          <w:lang w:bidi="ar-LB"/>
        </w:rPr>
        <w:t>علاّمة فضل الله</w:t>
      </w:r>
      <w:r w:rsidRPr="006571AC">
        <w:rPr>
          <w:rFonts w:ascii="Traditional Arabic" w:hAnsi="Traditional Arabic"/>
          <w:sz w:val="27"/>
          <w:rtl/>
          <w:lang w:bidi="ar-LB"/>
        </w:rPr>
        <w:t xml:space="preserve"> أن بطون القرآن ما هي إلاّ تلك الاستيحاءات واللوازم الكثيرة التي يتضم</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نها القرآن</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وفي مقام بيان معنى الاستيحاء الذي يقصده صرّ</w:t>
      </w:r>
      <w:r w:rsidR="006D515D" w:rsidRPr="006571AC">
        <w:rPr>
          <w:rFonts w:ascii="Traditional Arabic" w:hAnsi="Traditional Arabic" w:hint="cs"/>
          <w:sz w:val="27"/>
          <w:rtl/>
          <w:lang w:bidi="ar-LB"/>
        </w:rPr>
        <w:t>َ</w:t>
      </w:r>
      <w:r w:rsidRPr="006571AC">
        <w:rPr>
          <w:rFonts w:ascii="Traditional Arabic" w:hAnsi="Traditional Arabic"/>
          <w:sz w:val="27"/>
          <w:rtl/>
          <w:lang w:bidi="ar-LB"/>
        </w:rPr>
        <w:t>ح بأنه الانطلاق من الجزئي إلى الكل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ي</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أو </w:t>
      </w:r>
      <w:r w:rsidR="003F17F1" w:rsidRPr="006571AC">
        <w:rPr>
          <w:rFonts w:ascii="Traditional Arabic" w:hAnsi="Traditional Arabic" w:hint="cs"/>
          <w:sz w:val="27"/>
          <w:rtl/>
          <w:lang w:bidi="ar-LB"/>
        </w:rPr>
        <w:t xml:space="preserve">من </w:t>
      </w:r>
      <w:r w:rsidRPr="006571AC">
        <w:rPr>
          <w:rFonts w:ascii="Traditional Arabic" w:hAnsi="Traditional Arabic"/>
          <w:sz w:val="27"/>
          <w:rtl/>
          <w:lang w:bidi="ar-LB"/>
        </w:rPr>
        <w:t>الماد</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ي إلى المعنوي</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أما الأو</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ل فبمعنى أن القرآن قد يطلق بعض الموارد الجزئية</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ويؤس</w:t>
      </w:r>
      <w:r w:rsidR="006D515D" w:rsidRPr="006571AC">
        <w:rPr>
          <w:rFonts w:ascii="Traditional Arabic" w:hAnsi="Traditional Arabic" w:hint="cs"/>
          <w:sz w:val="27"/>
          <w:rtl/>
          <w:lang w:bidi="ar-LB"/>
        </w:rPr>
        <w:t>ِّ</w:t>
      </w:r>
      <w:r w:rsidRPr="006571AC">
        <w:rPr>
          <w:rFonts w:ascii="Traditional Arabic" w:hAnsi="Traditional Arabic"/>
          <w:sz w:val="27"/>
          <w:rtl/>
          <w:lang w:bidi="ar-LB"/>
        </w:rPr>
        <w:t>س من خلالها قواعد كل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ية</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نفس نظريّة المصاديق في تفسير البطون التي تبن</w:t>
      </w:r>
      <w:r w:rsidR="006D515D" w:rsidRPr="006571AC">
        <w:rPr>
          <w:rFonts w:ascii="Traditional Arabic" w:hAnsi="Traditional Arabic" w:hint="cs"/>
          <w:sz w:val="27"/>
          <w:rtl/>
          <w:lang w:bidi="ar-LB"/>
        </w:rPr>
        <w:t>ّ</w:t>
      </w:r>
      <w:r w:rsidRPr="006571AC">
        <w:rPr>
          <w:rFonts w:ascii="Traditional Arabic" w:hAnsi="Traditional Arabic"/>
          <w:sz w:val="27"/>
          <w:rtl/>
          <w:lang w:bidi="ar-LB"/>
        </w:rPr>
        <w:t>اها بعض</w:t>
      </w:r>
      <w:r w:rsidR="006D515D" w:rsidRPr="006571AC">
        <w:rPr>
          <w:rFonts w:ascii="Traditional Arabic" w:hAnsi="Traditional Arabic" w:hint="cs"/>
          <w:sz w:val="27"/>
          <w:rtl/>
          <w:lang w:bidi="ar-LB"/>
        </w:rPr>
        <w:t>ٌ</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84"/>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يعني </w:t>
      </w:r>
      <w:r w:rsidR="006D515D" w:rsidRPr="006571AC">
        <w:rPr>
          <w:rFonts w:ascii="Traditional Arabic" w:hAnsi="Traditional Arabic" w:hint="cs"/>
          <w:sz w:val="27"/>
          <w:rtl/>
          <w:lang w:bidi="ar-LB"/>
        </w:rPr>
        <w:t>إ</w:t>
      </w:r>
      <w:r w:rsidRPr="006571AC">
        <w:rPr>
          <w:rFonts w:ascii="Traditional Arabic" w:hAnsi="Traditional Arabic"/>
          <w:sz w:val="27"/>
          <w:rtl/>
          <w:lang w:bidi="ar-LB"/>
        </w:rPr>
        <w:t>ذا قلت</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6D515D" w:rsidRPr="006571AC">
        <w:rPr>
          <w:rFonts w:ascii="Traditional Arabic" w:hAnsi="Traditional Arabic" w:hint="cs"/>
          <w:sz w:val="27"/>
          <w:rtl/>
          <w:lang w:bidi="ar-LB"/>
        </w:rPr>
        <w:t>إ</w:t>
      </w:r>
      <w:r w:rsidRPr="006571AC">
        <w:rPr>
          <w:rFonts w:ascii="Traditional Arabic" w:hAnsi="Traditional Arabic"/>
          <w:sz w:val="27"/>
          <w:rtl/>
          <w:lang w:bidi="ar-LB"/>
        </w:rPr>
        <w:t xml:space="preserve">نّ آية </w:t>
      </w:r>
      <w:r w:rsidR="006D515D" w:rsidRPr="006571AC">
        <w:rPr>
          <w:rFonts w:ascii="Mosawi" w:hAnsi="Mosawi" w:cs="Mosawi"/>
          <w:sz w:val="24"/>
          <w:szCs w:val="24"/>
          <w:rtl/>
        </w:rPr>
        <w:t>﴿</w:t>
      </w:r>
      <w:r w:rsidRPr="006571AC">
        <w:rPr>
          <w:rFonts w:ascii="Traditional Arabic" w:hAnsi="Traditional Arabic"/>
          <w:b/>
          <w:bCs/>
          <w:sz w:val="27"/>
          <w:rtl/>
          <w:lang w:bidi="ar-LB"/>
        </w:rPr>
        <w:t>أ</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و</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ف</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وا </w:t>
      </w:r>
      <w:r w:rsidRPr="006571AC">
        <w:rPr>
          <w:rFonts w:ascii="Traditional Arabic" w:hAnsi="Traditional Arabic"/>
          <w:b/>
          <w:bCs/>
          <w:sz w:val="27"/>
          <w:rtl/>
          <w:lang w:bidi="ar-LB"/>
        </w:rPr>
        <w:lastRenderedPageBreak/>
        <w:t>ب</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ال</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ع</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ق</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ود</w:t>
      </w:r>
      <w:r w:rsidR="006D515D" w:rsidRPr="006571AC">
        <w:rPr>
          <w:rFonts w:ascii="Traditional Arabic" w:hAnsi="Traditional Arabic" w:hint="cs"/>
          <w:b/>
          <w:bCs/>
          <w:sz w:val="27"/>
          <w:rtl/>
          <w:lang w:bidi="ar-LB"/>
        </w:rPr>
        <w:t>ِ</w:t>
      </w:r>
      <w:r w:rsidR="006D515D" w:rsidRPr="006571AC">
        <w:rPr>
          <w:rFonts w:ascii="Mosawi" w:hAnsi="Mosawi" w:cs="Mosawi"/>
          <w:sz w:val="24"/>
          <w:szCs w:val="24"/>
          <w:rtl/>
        </w:rPr>
        <w:t>﴾</w:t>
      </w:r>
      <w:r w:rsidRPr="006571AC">
        <w:rPr>
          <w:rFonts w:ascii="Traditional Arabic" w:hAnsi="Traditional Arabic"/>
          <w:sz w:val="27"/>
          <w:rtl/>
          <w:lang w:bidi="ar-LB"/>
        </w:rPr>
        <w:t xml:space="preserve"> تدل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أنه يجب الوفاء بكل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عهد</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وثيق، ثم</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بعد ألف عام</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ظهر عقد</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جديد في حياة العقلاء</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نقول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هذا مشمول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لهذه الآية وب</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ط</w:t>
      </w:r>
      <w:r w:rsidR="00B834A8" w:rsidRPr="006571AC">
        <w:rPr>
          <w:rFonts w:ascii="Traditional Arabic" w:hAnsi="Traditional Arabic" w:hint="cs"/>
          <w:sz w:val="27"/>
          <w:rtl/>
          <w:lang w:bidi="ar-LB"/>
        </w:rPr>
        <w:t>ْ</w:t>
      </w:r>
      <w:r w:rsidRPr="006571AC">
        <w:rPr>
          <w:rFonts w:ascii="Traditional Arabic" w:hAnsi="Traditional Arabic"/>
          <w:sz w:val="27"/>
          <w:rtl/>
          <w:lang w:bidi="ar-LB"/>
        </w:rPr>
        <w:t>ن</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لها، يعني هو مصداق</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جديد من مصاديق تلك الآية القرآنية</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فأنت للو</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ه</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لة الأولى عندما تقرأ الآية ينصرف إلى ذهنك مصداق</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من مصاديقها</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ولكن هناك مصاديق كثيرة أنت غير ملتفت</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إليها</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وعليه فكلما ظهر لك مصداق</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فهو ب</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ط</w:t>
      </w:r>
      <w:r w:rsidR="00B834A8" w:rsidRPr="006571AC">
        <w:rPr>
          <w:rFonts w:ascii="Traditional Arabic" w:hAnsi="Traditional Arabic" w:hint="cs"/>
          <w:sz w:val="27"/>
          <w:rtl/>
          <w:lang w:bidi="ar-LB"/>
        </w:rPr>
        <w:t>ْ</w:t>
      </w:r>
      <w:r w:rsidRPr="006571AC">
        <w:rPr>
          <w:rFonts w:ascii="Traditional Arabic" w:hAnsi="Traditional Arabic"/>
          <w:sz w:val="27"/>
          <w:rtl/>
          <w:lang w:bidi="ar-LB"/>
        </w:rPr>
        <w:t>ن</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قد انكشف لك. </w:t>
      </w:r>
      <w:r w:rsidR="006D515D" w:rsidRPr="006571AC">
        <w:rPr>
          <w:rFonts w:ascii="Traditional Arabic" w:hAnsi="Traditional Arabic"/>
          <w:sz w:val="27"/>
          <w:rtl/>
          <w:lang w:bidi="ar-LB"/>
        </w:rPr>
        <w:t>كما يقصد السي</w:t>
      </w:r>
      <w:r w:rsidRPr="006571AC">
        <w:rPr>
          <w:rFonts w:ascii="Traditional Arabic" w:hAnsi="Traditional Arabic"/>
          <w:sz w:val="27"/>
          <w:rtl/>
          <w:lang w:bidi="ar-LB"/>
        </w:rPr>
        <w:t>د</w:t>
      </w:r>
      <w:r w:rsidR="006D515D" w:rsidRPr="006571AC">
        <w:rPr>
          <w:rFonts w:ascii="Traditional Arabic" w:hAnsi="Traditional Arabic" w:hint="cs"/>
          <w:sz w:val="27"/>
          <w:rtl/>
          <w:lang w:bidi="ar-LB"/>
        </w:rPr>
        <w:t xml:space="preserve"> فضل الله</w:t>
      </w:r>
      <w:r w:rsidRPr="006571AC">
        <w:rPr>
          <w:rFonts w:ascii="Traditional Arabic" w:hAnsi="Traditional Arabic"/>
          <w:sz w:val="27"/>
          <w:rtl/>
          <w:lang w:bidi="ar-LB"/>
        </w:rPr>
        <w:t xml:space="preserve"> من الثاني ـ</w:t>
      </w:r>
      <w:r w:rsidR="006D515D" w:rsidRPr="006571AC">
        <w:rPr>
          <w:rFonts w:ascii="Traditional Arabic" w:hAnsi="Traditional Arabic" w:hint="cs"/>
          <w:sz w:val="27"/>
          <w:rtl/>
          <w:lang w:bidi="ar-LB"/>
        </w:rPr>
        <w:t xml:space="preserve"> </w:t>
      </w:r>
      <w:r w:rsidRPr="006571AC">
        <w:rPr>
          <w:rFonts w:ascii="Traditional Arabic" w:hAnsi="Traditional Arabic"/>
          <w:sz w:val="27"/>
          <w:rtl/>
          <w:lang w:bidi="ar-LB"/>
        </w:rPr>
        <w:t>أي الانتقال من الماد</w:t>
      </w:r>
      <w:r w:rsidR="003F17F1" w:rsidRPr="006571AC">
        <w:rPr>
          <w:rFonts w:ascii="Traditional Arabic" w:hAnsi="Traditional Arabic" w:hint="cs"/>
          <w:sz w:val="27"/>
          <w:rtl/>
          <w:lang w:bidi="ar-LB"/>
        </w:rPr>
        <w:t>ّ</w:t>
      </w:r>
      <w:r w:rsidRPr="006571AC">
        <w:rPr>
          <w:rFonts w:ascii="Traditional Arabic" w:hAnsi="Traditional Arabic"/>
          <w:sz w:val="27"/>
          <w:rtl/>
          <w:lang w:bidi="ar-LB"/>
        </w:rPr>
        <w:t xml:space="preserve">ي إلى المعنوي ـ </w:t>
      </w:r>
      <w:r w:rsidR="003F17F1" w:rsidRPr="006571AC">
        <w:rPr>
          <w:rFonts w:ascii="Traditional Arabic" w:hAnsi="Traditional Arabic" w:hint="cs"/>
          <w:sz w:val="27"/>
          <w:rtl/>
          <w:lang w:bidi="ar-LB"/>
        </w:rPr>
        <w:t xml:space="preserve">أن </w:t>
      </w:r>
      <w:r w:rsidRPr="006571AC">
        <w:rPr>
          <w:rFonts w:ascii="Traditional Arabic" w:hAnsi="Traditional Arabic"/>
          <w:sz w:val="27"/>
          <w:rtl/>
          <w:lang w:bidi="ar-LB"/>
        </w:rPr>
        <w:t>القرآن كثيرا</w:t>
      </w:r>
      <w:r w:rsidR="003F17F1" w:rsidRPr="006571AC">
        <w:rPr>
          <w:rFonts w:ascii="Traditional Arabic" w:hAnsi="Traditional Arabic" w:hint="cs"/>
          <w:sz w:val="27"/>
          <w:rtl/>
          <w:lang w:bidi="ar-LB"/>
        </w:rPr>
        <w:t>ً</w:t>
      </w:r>
      <w:r w:rsidRPr="006571AC">
        <w:rPr>
          <w:rFonts w:ascii="Traditional Arabic" w:hAnsi="Traditional Arabic"/>
          <w:sz w:val="27"/>
          <w:rtl/>
          <w:lang w:bidi="ar-LB"/>
        </w:rPr>
        <w:t xml:space="preserve"> ما يطلق لفظا</w:t>
      </w:r>
      <w:r w:rsidR="003F17F1" w:rsidRPr="006571AC">
        <w:rPr>
          <w:rFonts w:ascii="Traditional Arabic" w:hAnsi="Traditional Arabic" w:hint="cs"/>
          <w:sz w:val="27"/>
          <w:rtl/>
          <w:lang w:bidi="ar-LB"/>
        </w:rPr>
        <w:t>ً</w:t>
      </w:r>
      <w:r w:rsidRPr="006571AC">
        <w:rPr>
          <w:rFonts w:ascii="Traditional Arabic" w:hAnsi="Traditional Arabic"/>
          <w:sz w:val="27"/>
          <w:rtl/>
          <w:lang w:bidi="ar-LB"/>
        </w:rPr>
        <w:t xml:space="preserve"> ماد</w:t>
      </w:r>
      <w:r w:rsidR="003F17F1" w:rsidRPr="006571AC">
        <w:rPr>
          <w:rFonts w:ascii="Traditional Arabic" w:hAnsi="Traditional Arabic" w:hint="cs"/>
          <w:sz w:val="27"/>
          <w:rtl/>
          <w:lang w:bidi="ar-LB"/>
        </w:rPr>
        <w:t>ّ</w:t>
      </w:r>
      <w:r w:rsidRPr="006571AC">
        <w:rPr>
          <w:rFonts w:ascii="Traditional Arabic" w:hAnsi="Traditional Arabic"/>
          <w:sz w:val="27"/>
          <w:rtl/>
          <w:lang w:bidi="ar-LB"/>
        </w:rPr>
        <w:t>يا</w:t>
      </w:r>
      <w:r w:rsidR="003F17F1" w:rsidRPr="006571AC">
        <w:rPr>
          <w:rFonts w:ascii="Traditional Arabic" w:hAnsi="Traditional Arabic" w:hint="cs"/>
          <w:sz w:val="27"/>
          <w:rtl/>
          <w:lang w:bidi="ar-LB"/>
        </w:rPr>
        <w:t>ً</w:t>
      </w:r>
      <w:r w:rsidRPr="006571AC">
        <w:rPr>
          <w:rFonts w:ascii="Traditional Arabic" w:hAnsi="Traditional Arabic"/>
          <w:sz w:val="27"/>
          <w:rtl/>
          <w:lang w:bidi="ar-LB"/>
        </w:rPr>
        <w:t xml:space="preserve"> ولكنه يريد تطبيقه على المعنويات أيضا</w:t>
      </w:r>
      <w:r w:rsidR="003F17F1" w:rsidRPr="006571AC">
        <w:rPr>
          <w:rFonts w:ascii="Traditional Arabic" w:hAnsi="Traditional Arabic" w:hint="cs"/>
          <w:sz w:val="27"/>
          <w:rtl/>
          <w:lang w:bidi="ar-LB"/>
        </w:rPr>
        <w:t>ً،</w:t>
      </w:r>
      <w:r w:rsidRPr="006571AC">
        <w:rPr>
          <w:rFonts w:ascii="Traditional Arabic" w:hAnsi="Traditional Arabic"/>
          <w:sz w:val="27"/>
          <w:rtl/>
          <w:lang w:bidi="ar-LB"/>
        </w:rPr>
        <w:t xml:space="preserve"> مثلا</w:t>
      </w:r>
      <w:r w:rsidR="003F17F1" w:rsidRPr="006571AC">
        <w:rPr>
          <w:rFonts w:ascii="Traditional Arabic" w:hAnsi="Traditional Arabic" w:hint="cs"/>
          <w:sz w:val="27"/>
          <w:rtl/>
          <w:lang w:bidi="ar-LB"/>
        </w:rPr>
        <w:t>ً</w:t>
      </w:r>
      <w:r w:rsidRPr="006571AC">
        <w:rPr>
          <w:rFonts w:ascii="Traditional Arabic" w:hAnsi="Traditional Arabic"/>
          <w:sz w:val="27"/>
          <w:rtl/>
          <w:lang w:bidi="ar-LB"/>
        </w:rPr>
        <w:t>:</w:t>
      </w:r>
      <w:r w:rsidR="005E26BD" w:rsidRPr="006571AC">
        <w:rPr>
          <w:rFonts w:ascii="Traditional Arabic" w:hAnsi="Traditional Arabic" w:hint="cs"/>
          <w:sz w:val="27"/>
          <w:rtl/>
          <w:lang w:bidi="ar-LB"/>
        </w:rPr>
        <w:t xml:space="preserve"> في قوله تعالى:</w:t>
      </w:r>
      <w:r w:rsidRPr="006571AC">
        <w:rPr>
          <w:rFonts w:ascii="Traditional Arabic" w:hAnsi="Traditional Arabic"/>
          <w:sz w:val="27"/>
          <w:rtl/>
          <w:lang w:bidi="ar-LB"/>
        </w:rPr>
        <w:t xml:space="preserve"> </w:t>
      </w:r>
      <w:r w:rsidRPr="006571AC">
        <w:rPr>
          <w:rFonts w:ascii="Mosawi" w:hAnsi="Mosawi" w:cs="Mosawi"/>
          <w:sz w:val="24"/>
          <w:szCs w:val="24"/>
          <w:rtl/>
        </w:rPr>
        <w:t>﴿</w:t>
      </w:r>
      <w:r w:rsidRPr="006571AC">
        <w:rPr>
          <w:rFonts w:ascii="Traditional Arabic" w:hAnsi="Traditional Arabic"/>
          <w:b/>
          <w:bCs/>
          <w:sz w:val="27"/>
          <w:rtl/>
          <w:lang w:bidi="ar-LB"/>
        </w:rPr>
        <w:t>ف</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ل</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ي</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ن</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ظ</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ر</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الإ</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ن</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س</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ان</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إ</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ل</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ى ط</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ع</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ام</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ه</w:t>
      </w:r>
      <w:r w:rsidR="005E26BD" w:rsidRPr="006571AC">
        <w:rPr>
          <w:rFonts w:ascii="Traditional Arabic" w:hAnsi="Traditional Arabic" w:hint="cs"/>
          <w:b/>
          <w:bCs/>
          <w:sz w:val="27"/>
          <w:rtl/>
          <w:lang w:bidi="ar-LB"/>
        </w:rPr>
        <w:t>ِ</w:t>
      </w:r>
      <w:r w:rsidRPr="006571AC">
        <w:rPr>
          <w:rFonts w:ascii="Mosawi" w:hAnsi="Mosawi" w:cs="Mosawi"/>
          <w:sz w:val="24"/>
          <w:szCs w:val="24"/>
          <w:rtl/>
        </w:rPr>
        <w:t>﴾</w:t>
      </w:r>
      <w:r w:rsidR="005E26BD" w:rsidRPr="006571AC">
        <w:rPr>
          <w:rFonts w:ascii="Mosawi" w:hAnsi="Mosawi" w:cs="Mosawi" w:hint="cs"/>
          <w:sz w:val="27"/>
          <w:rtl/>
        </w:rPr>
        <w:t xml:space="preserve"> </w:t>
      </w:r>
      <w:r w:rsidRPr="006571AC">
        <w:rPr>
          <w:rFonts w:ascii="Traditional Arabic" w:hAnsi="Traditional Arabic"/>
          <w:sz w:val="27"/>
          <w:rtl/>
          <w:lang w:bidi="ar-LB"/>
        </w:rPr>
        <w:t>يتم</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توسيع مفهوم الطعام</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بحيث لا يقتصر على الطعام الماد</w:t>
      </w:r>
      <w:r w:rsidR="005E26BD" w:rsidRPr="006571AC">
        <w:rPr>
          <w:rFonts w:ascii="Traditional Arabic" w:hAnsi="Traditional Arabic" w:hint="cs"/>
          <w:sz w:val="27"/>
          <w:rtl/>
          <w:lang w:bidi="ar-LB"/>
        </w:rPr>
        <w:t>ّ</w:t>
      </w:r>
      <w:r w:rsidRPr="006571AC">
        <w:rPr>
          <w:rFonts w:ascii="Traditional Arabic" w:hAnsi="Traditional Arabic"/>
          <w:sz w:val="27"/>
          <w:rtl/>
          <w:lang w:bidi="ar-LB"/>
        </w:rPr>
        <w:t>ي</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يشمل الطعام المعنوي أيضا</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كالعلم مثلا</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وهذا ما قام</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ت</w:t>
      </w:r>
      <w:r w:rsidR="00B834A8" w:rsidRPr="006571AC">
        <w:rPr>
          <w:rFonts w:ascii="Traditional Arabic" w:hAnsi="Traditional Arabic" w:hint="cs"/>
          <w:sz w:val="27"/>
          <w:rtl/>
          <w:lang w:bidi="ar-LB"/>
        </w:rPr>
        <w:t>ْ</w:t>
      </w:r>
      <w:r w:rsidRPr="006571AC">
        <w:rPr>
          <w:rFonts w:ascii="Traditional Arabic" w:hAnsi="Traditional Arabic"/>
          <w:sz w:val="27"/>
          <w:rtl/>
          <w:lang w:bidi="ar-LB"/>
        </w:rPr>
        <w:t xml:space="preserve"> بعض الروايات بتطبيقه بالفعل</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وهذا يلتقي مع ما قاله ال</w:t>
      </w:r>
      <w:r w:rsidR="005E26BD"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من أنّ القرآن قد يقرب المعاني المعنوي إلى الذهن البشري بالمعاني المحسوسة التي يألفها</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85"/>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كما يوجد تفسير</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إضافي للاستيحاء لفت إليه الشيخ حيدر حب</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الله، وهو عبارة</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تجاوز</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مدروس لحرفية النص</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أو القضية المطروحة في الآية</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وهذا التجاوز </w:t>
      </w:r>
      <w:r w:rsidR="00731867" w:rsidRPr="006571AC">
        <w:rPr>
          <w:rFonts w:ascii="Traditional Arabic" w:hAnsi="Traditional Arabic"/>
          <w:sz w:val="27"/>
          <w:rtl/>
          <w:lang w:bidi="ar-LB"/>
        </w:rPr>
        <w:t>لا بُدَّ</w:t>
      </w:r>
      <w:r w:rsidRPr="006571AC">
        <w:rPr>
          <w:rFonts w:ascii="Traditional Arabic" w:hAnsi="Traditional Arabic"/>
          <w:sz w:val="27"/>
          <w:rtl/>
          <w:lang w:bidi="ar-LB"/>
        </w:rPr>
        <w:t xml:space="preserve"> أن يكون خاضعا</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لمنهج الفهم اللغوي الع</w:t>
      </w:r>
      <w:r w:rsidR="005E26BD" w:rsidRPr="006571AC">
        <w:rPr>
          <w:rFonts w:ascii="Traditional Arabic" w:hAnsi="Traditional Arabic" w:hint="cs"/>
          <w:sz w:val="27"/>
          <w:rtl/>
          <w:lang w:bidi="ar-LB"/>
        </w:rPr>
        <w:t>ُ</w:t>
      </w:r>
      <w:r w:rsidRPr="006571AC">
        <w:rPr>
          <w:rFonts w:ascii="Traditional Arabic" w:hAnsi="Traditional Arabic"/>
          <w:sz w:val="27"/>
          <w:rtl/>
          <w:lang w:bidi="ar-LB"/>
        </w:rPr>
        <w:t>ر</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في، </w:t>
      </w:r>
      <w:r w:rsidR="005E26BD" w:rsidRPr="006571AC">
        <w:rPr>
          <w:rFonts w:ascii="Traditional Arabic" w:hAnsi="Traditional Arabic" w:hint="cs"/>
          <w:sz w:val="27"/>
          <w:rtl/>
          <w:lang w:bidi="ar-LB"/>
        </w:rPr>
        <w:t>ب</w:t>
      </w:r>
      <w:r w:rsidRPr="006571AC">
        <w:rPr>
          <w:rFonts w:ascii="Traditional Arabic" w:hAnsi="Traditional Arabic"/>
          <w:sz w:val="27"/>
          <w:rtl/>
          <w:lang w:bidi="ar-LB"/>
        </w:rPr>
        <w:t>معنى أننا نستطيع أن نلحظ إشارات ولطائف ودلالات يمكن استيحاؤها وفقا</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لنظام اللغة العربية، كما لو أمكن استيحاء مفهوم قدرة المرأة على ممارسة الإدارة السياسية الح</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س</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نة من قص</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ة سبأ</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86"/>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BB41BB"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 xml:space="preserve">بهذا </w:t>
      </w:r>
      <w:r w:rsidRPr="006571AC">
        <w:rPr>
          <w:rFonts w:ascii="Traditional Arabic" w:hAnsi="Traditional Arabic"/>
          <w:sz w:val="27"/>
          <w:rtl/>
          <w:lang w:bidi="ar-LB"/>
        </w:rPr>
        <w:t>نجد أنّ السي</w:t>
      </w:r>
      <w:r w:rsidR="001667A3" w:rsidRPr="006571AC">
        <w:rPr>
          <w:rFonts w:ascii="Traditional Arabic" w:hAnsi="Traditional Arabic"/>
          <w:sz w:val="27"/>
          <w:rtl/>
          <w:lang w:bidi="ar-LB"/>
        </w:rPr>
        <w:t>د</w:t>
      </w:r>
      <w:r w:rsidRPr="006571AC">
        <w:rPr>
          <w:rFonts w:ascii="Traditional Arabic" w:hAnsi="Traditional Arabic" w:hint="cs"/>
          <w:sz w:val="27"/>
          <w:rtl/>
          <w:lang w:bidi="ar-LB"/>
        </w:rPr>
        <w:t xml:space="preserve"> فضل الله</w:t>
      </w:r>
      <w:r w:rsidR="001667A3" w:rsidRPr="006571AC">
        <w:rPr>
          <w:rFonts w:ascii="Traditional Arabic" w:hAnsi="Traditional Arabic"/>
          <w:sz w:val="27"/>
          <w:rtl/>
          <w:lang w:bidi="ar-LB"/>
        </w:rPr>
        <w:t xml:space="preserve"> ربط بين البطون والتأويل والاستيحاء، وهو نفسه صرّ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ح بذلك قائلا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r w:rsidR="001667A3" w:rsidRPr="006571AC">
        <w:rPr>
          <w:rFonts w:hint="eastAsia"/>
          <w:sz w:val="24"/>
          <w:szCs w:val="24"/>
          <w:rtl/>
          <w:lang w:bidi="ar-LB"/>
        </w:rPr>
        <w:t>«</w:t>
      </w:r>
      <w:r w:rsidRPr="006571AC">
        <w:rPr>
          <w:rFonts w:ascii="Traditional Arabic" w:hAnsi="Traditional Arabic" w:hint="cs"/>
          <w:sz w:val="27"/>
          <w:rtl/>
          <w:lang w:bidi="ar-LB"/>
        </w:rPr>
        <w:t>إ</w:t>
      </w:r>
      <w:r w:rsidR="001667A3" w:rsidRPr="006571AC">
        <w:rPr>
          <w:rFonts w:ascii="Traditional Arabic" w:hAnsi="Traditional Arabic"/>
          <w:sz w:val="27"/>
          <w:rtl/>
          <w:lang w:bidi="ar-LB"/>
        </w:rPr>
        <w:t>نّ التأويل ليس إلاّ عملية استيحاء للمعنى</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خلال التقاء المعاني ببعضها البعض في الأهداف التي يستهدفها القرآن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القضايا التي يثيرها أمام الناس، والمفاهيم التي يوحيها إليهم..</w:t>
      </w:r>
      <w:r w:rsidR="001667A3" w:rsidRPr="006571AC">
        <w:rPr>
          <w:rFonts w:ascii="Traditional Arabic" w:hAnsi="Traditional Arabic" w:hint="cs"/>
          <w:sz w:val="27"/>
          <w:rtl/>
          <w:lang w:bidi="ar-LB"/>
        </w:rPr>
        <w:t>.</w:t>
      </w:r>
      <w:r w:rsidR="001667A3" w:rsidRPr="006571AC">
        <w:rPr>
          <w:rFonts w:hint="eastAsia"/>
          <w:sz w:val="24"/>
          <w:szCs w:val="24"/>
          <w:rtl/>
        </w:rPr>
        <w:t>»</w:t>
      </w:r>
      <w:r w:rsidR="001667A3" w:rsidRPr="006571AC">
        <w:rPr>
          <w:rFonts w:ascii="Traditional Arabic" w:hAnsi="Traditional Arabic"/>
          <w:sz w:val="27"/>
          <w:vertAlign w:val="superscript"/>
          <w:rtl/>
          <w:lang w:bidi="ar-LB"/>
        </w:rPr>
        <w:t>(</w:t>
      </w:r>
      <w:r w:rsidR="001667A3" w:rsidRPr="006571AC">
        <w:rPr>
          <w:rStyle w:val="ac"/>
          <w:rFonts w:ascii="Traditional Arabic" w:hAnsi="Traditional Arabic"/>
          <w:sz w:val="27"/>
          <w:rtl/>
          <w:lang w:bidi="ar-LB"/>
        </w:rPr>
        <w:endnoteReference w:id="487"/>
      </w:r>
      <w:r w:rsidR="001667A3" w:rsidRPr="006571AC">
        <w:rPr>
          <w:rFonts w:ascii="Traditional Arabic" w:hAnsi="Traditional Arabic"/>
          <w:sz w:val="27"/>
          <w:vertAlign w:val="superscript"/>
          <w:rtl/>
          <w:lang w:bidi="ar-LB"/>
        </w:rPr>
        <w:t>)</w:t>
      </w:r>
      <w:r w:rsidR="001667A3" w:rsidRPr="006571AC">
        <w:rPr>
          <w:rFonts w:ascii="Traditional Arabic" w:hAnsi="Traditional Arabic" w:hint="cs"/>
          <w:sz w:val="27"/>
          <w:rtl/>
          <w:lang w:bidi="ar-LB"/>
        </w:rPr>
        <w:t>.</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ويجدر هنا أيضا</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أن نبيّ</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ن قضي</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ذكرها العلاّمة</w:t>
      </w:r>
      <w:r w:rsidR="00BB41BB"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في مقام بيان لماذا تكل</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م القرآن بأسلوب الظاهر والباطن</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حيث يرى ال</w:t>
      </w:r>
      <w:r w:rsidR="00BB41BB"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أنّ القرآن الكريم كما أنّه كتاب</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هداية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هو كتاب</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معرفة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أيضا</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وهو بذلك يحوي الكثير من المضامين الغيبية العالية والمعارف العميقة والغامضة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ومن جهة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أخرى فإنّ أغلب الناس يأنسون بالماد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يات والجسميات</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وهم بعيدون جد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ا</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المسائل والعوالم المعنوية غير المحسوسة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فتتفاوت بت</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ب</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ع ذلك </w:t>
      </w:r>
      <w:r w:rsidR="00BB41BB" w:rsidRPr="006571AC">
        <w:rPr>
          <w:rFonts w:ascii="Traditional Arabic" w:hAnsi="Traditional Arabic" w:hint="cs"/>
          <w:sz w:val="27"/>
          <w:rtl/>
          <w:lang w:bidi="ar-LB"/>
        </w:rPr>
        <w:t>إ</w:t>
      </w:r>
      <w:r w:rsidRPr="006571AC">
        <w:rPr>
          <w:rFonts w:ascii="Traditional Arabic" w:hAnsi="Traditional Arabic"/>
          <w:sz w:val="27"/>
          <w:rtl/>
          <w:lang w:bidi="ar-LB"/>
        </w:rPr>
        <w:t>دراكاتهم المعنوية، ونظرا</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لذلك لا ي</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ؤ</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م</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ن الخطر عند إلقاء هذه </w:t>
      </w:r>
      <w:r w:rsidRPr="006571AC">
        <w:rPr>
          <w:rFonts w:ascii="Traditional Arabic" w:hAnsi="Traditional Arabic"/>
          <w:sz w:val="27"/>
          <w:rtl/>
          <w:lang w:bidi="ar-LB"/>
        </w:rPr>
        <w:lastRenderedPageBreak/>
        <w:t>المعارف العالية كما هي على عامّة الناس، لذلك استعرض القرآن الحكيم تعاليمه بأسلوب</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بسيط جد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ا</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يتناسب وف</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ه</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م العامة، فألقى هذه المعارف بقوالب ماد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ية تدل</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عليها الألفاظ</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وأخفى وراءها هذه الحقائق المعنوية، وهذه الحقائق هي ذات مراتب كثيرة، والمرتبة بالحد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الأعلى لا يمكن لأحد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فهمه</w:t>
      </w:r>
      <w:r w:rsidR="00912081" w:rsidRPr="006571AC">
        <w:rPr>
          <w:rFonts w:ascii="Traditional Arabic" w:hAnsi="Traditional Arabic" w:hint="cs"/>
          <w:sz w:val="27"/>
          <w:rtl/>
          <w:lang w:bidi="ar-LB"/>
        </w:rPr>
        <w:t>ا</w:t>
      </w:r>
      <w:r w:rsidRPr="006571AC">
        <w:rPr>
          <w:rFonts w:ascii="Traditional Arabic" w:hAnsi="Traditional Arabic"/>
          <w:sz w:val="27"/>
          <w:rtl/>
          <w:lang w:bidi="ar-LB"/>
        </w:rPr>
        <w:t xml:space="preserve"> سوى </w:t>
      </w:r>
      <w:r w:rsidR="00912081" w:rsidRPr="006571AC">
        <w:rPr>
          <w:rFonts w:ascii="Traditional Arabic" w:hAnsi="Traditional Arabic" w:hint="cs"/>
          <w:sz w:val="27"/>
          <w:rtl/>
          <w:lang w:bidi="ar-LB"/>
        </w:rPr>
        <w:t>(</w:t>
      </w:r>
      <w:r w:rsidRPr="006571AC">
        <w:rPr>
          <w:rFonts w:ascii="Traditional Arabic" w:hAnsi="Traditional Arabic"/>
          <w:sz w:val="27"/>
          <w:rtl/>
          <w:lang w:bidi="ar-LB"/>
        </w:rPr>
        <w:t>المطه</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ر</w:t>
      </w:r>
      <w:r w:rsidR="00912081" w:rsidRPr="006571AC">
        <w:rPr>
          <w:rFonts w:ascii="Traditional Arabic" w:hAnsi="Traditional Arabic" w:hint="cs"/>
          <w:sz w:val="27"/>
          <w:rtl/>
          <w:lang w:bidi="ar-LB"/>
        </w:rPr>
        <w:t>ي</w:t>
      </w:r>
      <w:r w:rsidRPr="006571AC">
        <w:rPr>
          <w:rFonts w:ascii="Traditional Arabic" w:hAnsi="Traditional Arabic"/>
          <w:sz w:val="27"/>
          <w:rtl/>
          <w:lang w:bidi="ar-LB"/>
        </w:rPr>
        <w:t>ن</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فهُم</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الذين يلمسون الحقيقة القرآنية</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xml:space="preserve"> ويصلون إلى أعماق معارفها. وهذا كما يرتبط ببطون القرآن يرتبط أيضا</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xml:space="preserve"> بتأويله</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88"/>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912081" w:rsidP="004722E7">
      <w:pPr>
        <w:rPr>
          <w:rFonts w:ascii="Traditional Arabic" w:hAnsi="Traditional Arabic"/>
          <w:sz w:val="27"/>
          <w:rtl/>
          <w:lang w:bidi="ar-LB"/>
        </w:rPr>
      </w:pPr>
      <w:r w:rsidRPr="006571AC">
        <w:rPr>
          <w:rFonts w:ascii="Traditional Arabic" w:hAnsi="Traditional Arabic"/>
          <w:sz w:val="27"/>
          <w:rtl/>
          <w:lang w:bidi="ar-LB"/>
        </w:rPr>
        <w:t>لكنّ السي</w:t>
      </w:r>
      <w:r w:rsidR="001667A3" w:rsidRPr="006571AC">
        <w:rPr>
          <w:rFonts w:ascii="Traditional Arabic" w:hAnsi="Traditional Arabic"/>
          <w:sz w:val="27"/>
          <w:rtl/>
          <w:lang w:bidi="ar-LB"/>
        </w:rPr>
        <w:t>د فضل الله رفض أن يكون هناك منطقة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خاصة لا يمكن </w:t>
      </w:r>
      <w:r w:rsidR="001667A3" w:rsidRPr="006571AC">
        <w:rPr>
          <w:rFonts w:ascii="Traditional Arabic" w:hAnsi="Traditional Arabic" w:hint="cs"/>
          <w:sz w:val="27"/>
          <w:rtl/>
          <w:lang w:bidi="ar-LB"/>
        </w:rPr>
        <w:t>إ</w:t>
      </w:r>
      <w:r w:rsidR="001667A3" w:rsidRPr="006571AC">
        <w:rPr>
          <w:rFonts w:ascii="Traditional Arabic" w:hAnsi="Traditional Arabic"/>
          <w:sz w:val="27"/>
          <w:rtl/>
          <w:lang w:bidi="ar-LB"/>
        </w:rPr>
        <w:t>دراكها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ولا يصل إليها إلاّ الخاص</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فالقرآن عنده كتاب</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موضوع للناس كاف</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وهو كتاب يحتج</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به الله على عباده جميعا</w:t>
      </w:r>
      <w:r w:rsidR="001667A3" w:rsidRPr="006571AC">
        <w:rPr>
          <w:rFonts w:ascii="Traditional Arabic" w:hAnsi="Traditional Arabic" w:hint="cs"/>
          <w:sz w:val="27"/>
          <w:rtl/>
          <w:lang w:bidi="ar-LB"/>
        </w:rPr>
        <w:t>ً</w:t>
      </w:r>
      <w:r w:rsidR="001667A3" w:rsidRPr="006571AC">
        <w:rPr>
          <w:rFonts w:ascii="Traditional Arabic" w:hAnsi="Traditional Arabic"/>
          <w:sz w:val="27"/>
          <w:rtl/>
          <w:lang w:bidi="ar-LB"/>
        </w:rPr>
        <w:t>؛ ولذلك وصفه بأنه مبيّ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وهاد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وهذا يفرض أن تكون الفكرة الظاهرة من الآيات هي المرادة، وبالتالي ما يفهمه العرب ع</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فا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هو الحج</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 والمراد من الآيات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ولا دليل على </w:t>
      </w:r>
      <w:r w:rsidRPr="006571AC">
        <w:rPr>
          <w:rFonts w:ascii="Traditional Arabic" w:hAnsi="Traditional Arabic" w:hint="cs"/>
          <w:sz w:val="27"/>
          <w:rtl/>
          <w:lang w:bidi="ar-LB"/>
        </w:rPr>
        <w:t>إ</w:t>
      </w:r>
      <w:r w:rsidR="001667A3" w:rsidRPr="006571AC">
        <w:rPr>
          <w:rFonts w:ascii="Traditional Arabic" w:hAnsi="Traditional Arabic"/>
          <w:sz w:val="27"/>
          <w:rtl/>
          <w:lang w:bidi="ar-LB"/>
        </w:rPr>
        <w:t>رادة أزيد من ذلك</w:t>
      </w:r>
      <w:r w:rsidR="001667A3" w:rsidRPr="006571AC">
        <w:rPr>
          <w:rFonts w:ascii="Traditional Arabic" w:hAnsi="Traditional Arabic"/>
          <w:sz w:val="27"/>
          <w:vertAlign w:val="superscript"/>
          <w:rtl/>
          <w:lang w:bidi="ar-LB"/>
        </w:rPr>
        <w:t>(</w:t>
      </w:r>
      <w:r w:rsidR="001667A3" w:rsidRPr="006571AC">
        <w:rPr>
          <w:rStyle w:val="ac"/>
          <w:rFonts w:ascii="Traditional Arabic" w:hAnsi="Traditional Arabic"/>
          <w:sz w:val="27"/>
          <w:rtl/>
          <w:lang w:bidi="ar-LB"/>
        </w:rPr>
        <w:endnoteReference w:id="489"/>
      </w:r>
      <w:r w:rsidR="001667A3" w:rsidRPr="006571AC">
        <w:rPr>
          <w:rFonts w:ascii="Traditional Arabic" w:hAnsi="Traditional Arabic"/>
          <w:sz w:val="27"/>
          <w:vertAlign w:val="superscript"/>
          <w:rtl/>
          <w:lang w:bidi="ar-LB"/>
        </w:rPr>
        <w:t>)</w:t>
      </w:r>
      <w:r w:rsidR="001667A3" w:rsidRPr="006571AC">
        <w:rPr>
          <w:rFonts w:ascii="Traditional Arabic" w:hAnsi="Traditional Arabic"/>
          <w:sz w:val="27"/>
          <w:rtl/>
          <w:lang w:bidi="ar-LB"/>
        </w:rPr>
        <w:t>، فإذا فهموا المجاز فهو مجاز</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وإذا فهموا الحقيقة فهو الحقيقة. </w:t>
      </w:r>
    </w:p>
    <w:p w:rsidR="00AC7492" w:rsidRPr="006571AC" w:rsidRDefault="00AC7492" w:rsidP="00AC7492">
      <w:pPr>
        <w:spacing w:line="420" w:lineRule="exact"/>
        <w:rPr>
          <w:sz w:val="27"/>
          <w:rtl/>
        </w:rPr>
      </w:pPr>
    </w:p>
    <w:p w:rsidR="001667A3" w:rsidRPr="006571AC" w:rsidRDefault="00F2221E" w:rsidP="00846C68">
      <w:pPr>
        <w:pStyle w:val="31"/>
        <w:rPr>
          <w:color w:val="auto"/>
          <w:rtl/>
          <w:lang w:bidi="ar-LB"/>
        </w:rPr>
      </w:pPr>
      <w:bookmarkStart w:id="304" w:name="_Toc114164730"/>
      <w:r w:rsidRPr="006571AC">
        <w:rPr>
          <w:rFonts w:hint="cs"/>
          <w:b/>
          <w:color w:val="auto"/>
          <w:rtl/>
          <w:lang w:bidi="ar-LB"/>
        </w:rPr>
        <w:t>4ـ</w:t>
      </w:r>
      <w:r w:rsidR="001667A3" w:rsidRPr="006571AC">
        <w:rPr>
          <w:b/>
          <w:color w:val="auto"/>
          <w:rtl/>
          <w:lang w:bidi="ar-LB"/>
        </w:rPr>
        <w:t xml:space="preserve"> </w:t>
      </w:r>
      <w:r w:rsidR="001667A3" w:rsidRPr="006571AC">
        <w:rPr>
          <w:color w:val="auto"/>
          <w:rtl/>
          <w:lang w:bidi="ar-LB"/>
        </w:rPr>
        <w:t>نظريّة روح المعنى</w:t>
      </w:r>
      <w:bookmarkEnd w:id="304"/>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الكلام هنا يتعل</w:t>
      </w:r>
      <w:r w:rsidR="00912081" w:rsidRPr="006571AC">
        <w:rPr>
          <w:rFonts w:ascii="Traditional Arabic" w:hAnsi="Traditional Arabic" w:hint="cs"/>
          <w:sz w:val="27"/>
          <w:rtl/>
          <w:lang w:bidi="ar-LB"/>
        </w:rPr>
        <w:t>َّ</w:t>
      </w:r>
      <w:r w:rsidRPr="006571AC">
        <w:rPr>
          <w:rFonts w:ascii="Traditional Arabic" w:hAnsi="Traditional Arabic"/>
          <w:sz w:val="27"/>
          <w:rtl/>
          <w:lang w:bidi="ar-LB"/>
        </w:rPr>
        <w:t>ق بتأويلات العرفاء المرتبطة بعالم النص</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المكتوب للقرآن الكريم، حيث قدّ</w:t>
      </w:r>
      <w:r w:rsidR="00912081" w:rsidRPr="006571AC">
        <w:rPr>
          <w:rFonts w:ascii="Traditional Arabic" w:hAnsi="Traditional Arabic" w:hint="cs"/>
          <w:sz w:val="27"/>
          <w:rtl/>
          <w:lang w:bidi="ar-LB"/>
        </w:rPr>
        <w:t>َ</w:t>
      </w:r>
      <w:r w:rsidRPr="006571AC">
        <w:rPr>
          <w:rFonts w:ascii="Traditional Arabic" w:hAnsi="Traditional Arabic"/>
          <w:sz w:val="27"/>
          <w:rtl/>
          <w:lang w:bidi="ar-LB"/>
        </w:rPr>
        <w:t>موا مساهمة</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xml:space="preserve"> لها صلة</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xml:space="preserve"> بتأويل القرآن وقضي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ة البطون، وهي نظريّة وضع الألفاظ لروح المعاني. </w:t>
      </w:r>
    </w:p>
    <w:p w:rsidR="001667A3" w:rsidRPr="006571AC" w:rsidRDefault="001667A3" w:rsidP="00B834A8">
      <w:pPr>
        <w:rPr>
          <w:rFonts w:ascii="Traditional Arabic" w:hAnsi="Traditional Arabic"/>
          <w:sz w:val="27"/>
          <w:rtl/>
          <w:lang w:bidi="ar-LB"/>
        </w:rPr>
      </w:pPr>
      <w:r w:rsidRPr="006571AC">
        <w:rPr>
          <w:rFonts w:ascii="Traditional Arabic" w:hAnsi="Traditional Arabic"/>
          <w:sz w:val="27"/>
          <w:rtl/>
          <w:lang w:bidi="ar-LB"/>
        </w:rPr>
        <w:t>نشأ</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ت</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هذه النظريّة في </w:t>
      </w:r>
      <w:r w:rsidR="00B834A8" w:rsidRPr="006571AC">
        <w:rPr>
          <w:rFonts w:ascii="Traditional Arabic" w:hAnsi="Traditional Arabic" w:hint="cs"/>
          <w:sz w:val="27"/>
          <w:rtl/>
          <w:lang w:bidi="ar-LB"/>
        </w:rPr>
        <w:t>سياق</w:t>
      </w:r>
      <w:r w:rsidRPr="006571AC">
        <w:rPr>
          <w:rFonts w:ascii="Traditional Arabic" w:hAnsi="Traditional Arabic"/>
          <w:sz w:val="27"/>
          <w:rtl/>
          <w:lang w:bidi="ar-LB"/>
        </w:rPr>
        <w:t xml:space="preserve"> مسألة الألفاظ المتشابهة في القرآن، فالقضية الأساس التي شغلت بال</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واضعي هذه النظريّة هي الألفاظ التي تتعل</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ق بالظواهر الغيبية</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كالقلم والميزان والكرسي</w:t>
      </w:r>
      <w:r w:rsidR="00B834A8"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والعرش</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والتي </w:t>
      </w:r>
      <w:r w:rsidR="00874BD7" w:rsidRPr="006571AC">
        <w:rPr>
          <w:rFonts w:ascii="Traditional Arabic" w:hAnsi="Traditional Arabic" w:hint="cs"/>
          <w:sz w:val="27"/>
          <w:rtl/>
          <w:lang w:bidi="ar-LB"/>
        </w:rPr>
        <w:t>ي</w:t>
      </w:r>
      <w:r w:rsidRPr="006571AC">
        <w:rPr>
          <w:rFonts w:ascii="Traditional Arabic" w:hAnsi="Traditional Arabic"/>
          <w:sz w:val="27"/>
          <w:rtl/>
          <w:lang w:bidi="ar-LB"/>
        </w:rPr>
        <w:t>بدو أنها تتكل</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م عن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يات</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مع أنها </w:t>
      </w:r>
      <w:r w:rsidR="00874BD7" w:rsidRPr="006571AC">
        <w:rPr>
          <w:rFonts w:ascii="Traditional Arabic" w:hAnsi="Traditional Arabic" w:hint="cs"/>
          <w:sz w:val="27"/>
          <w:rtl/>
          <w:lang w:bidi="ar-LB"/>
        </w:rPr>
        <w:t>ت</w:t>
      </w:r>
      <w:r w:rsidRPr="006571AC">
        <w:rPr>
          <w:rFonts w:ascii="Traditional Arabic" w:hAnsi="Traditional Arabic"/>
          <w:sz w:val="27"/>
          <w:rtl/>
          <w:lang w:bidi="ar-LB"/>
        </w:rPr>
        <w:t>تكل</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م عن غيبي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ات</w:t>
      </w:r>
      <w:r w:rsidR="00B834A8" w:rsidRPr="006571AC">
        <w:rPr>
          <w:rFonts w:ascii="Traditional Arabic" w:hAnsi="Traditional Arabic" w:hint="cs"/>
          <w:sz w:val="27"/>
          <w:rtl/>
          <w:lang w:bidi="ar-LB"/>
        </w:rPr>
        <w:t>ٍ</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هذه الألفاظ التي استعملها القرآن الكريم في بيان أسماء الله وصفاته لا يمكن أن تُح</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م</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ل على ظواهرها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ية؛ لأنه تعالى منز</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ه</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يات</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ليس جسما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لذا حاول بعض العرفاء ابتكار هذه النظريّة</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للخروج من هذا المأزق.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تُفيد هذه النظريّة ـ وخلافا</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لنظريّة الوضع السائدة ـ أن الواضع عندما وضع الألفاظ للمعاني لم يلح</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ظ</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المصداق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 لها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ثم يضع اللفظ لهذا المصداق، بل الشيء الذي لحظه هو المعنى المشترك بين المصداق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 والمعنوي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ثم وضع اللفظ لهذا المعنى </w:t>
      </w:r>
      <w:r w:rsidRPr="006571AC">
        <w:rPr>
          <w:rFonts w:ascii="Traditional Arabic" w:hAnsi="Traditional Arabic"/>
          <w:sz w:val="27"/>
          <w:rtl/>
          <w:lang w:bidi="ar-LB"/>
        </w:rPr>
        <w:lastRenderedPageBreak/>
        <w:t>المشترك</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مثلا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عندما وضع الواضع لفظ الميزان لمعناه لم يتصو</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ر الميزان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 المعروف</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تصو</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ر المعنى المشترك بينه وبين الميزان المجر</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د من مواصفاته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ية، فو</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ضَع</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اللفظ له. وبهذا عندما يطلق القرآن لفظ الكرسي</w:t>
      </w:r>
      <w:r w:rsidR="00B834A8"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والعرش الميزان في</w:t>
      </w:r>
      <w:r w:rsidR="00874BD7" w:rsidRPr="006571AC">
        <w:rPr>
          <w:rFonts w:ascii="Traditional Arabic" w:hAnsi="Traditional Arabic" w:hint="cs"/>
          <w:sz w:val="27"/>
          <w:rtl/>
          <w:lang w:bidi="ar-LB"/>
        </w:rPr>
        <w:t xml:space="preserve"> </w:t>
      </w:r>
      <w:r w:rsidRPr="006571AC">
        <w:rPr>
          <w:rFonts w:ascii="Traditional Arabic" w:hAnsi="Traditional Arabic"/>
          <w:sz w:val="27"/>
          <w:rtl/>
          <w:lang w:bidi="ar-LB"/>
        </w:rPr>
        <w:t>ما يتعل</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ق بالله تعالى هو لا يستعملها بالمعنى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كي نضطر</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لحملها على الاستعمالات المجازية، بل استعملها بالمعنى الأعم</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فيكون استعماله لها على الحقيقة.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وبالتالي المطلوب منا عند تفسير القرآن تفسيرا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حقيقي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تجريد أي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مفردة</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من مفرداته من الخصائص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ية</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والنظر إلى روحها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فنعزل بذلك التصو</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ر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 الذي ينسبق إلى الذهن أو</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لا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لأنه في الواقع قد نشأ من الأ</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ن</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س الذهني بالمصاديق المادية، وبهذا هو لا يعب</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ر عن الوضع الحقيقي.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تلتقي هذه النظريّة مع النظريّة التشكيكية للوجود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التي تفيد أن المعلول نفس العل</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ة ولكن</w:t>
      </w:r>
      <w:r w:rsidR="00B834A8" w:rsidRPr="006571AC">
        <w:rPr>
          <w:rFonts w:ascii="Traditional Arabic" w:hAnsi="Traditional Arabic" w:hint="cs"/>
          <w:sz w:val="27"/>
          <w:rtl/>
          <w:lang w:bidi="ar-LB"/>
        </w:rPr>
        <w:t>ْ</w:t>
      </w:r>
      <w:r w:rsidRPr="006571AC">
        <w:rPr>
          <w:rFonts w:ascii="Traditional Arabic" w:hAnsi="Traditional Arabic"/>
          <w:sz w:val="27"/>
          <w:rtl/>
          <w:lang w:bidi="ar-LB"/>
        </w:rPr>
        <w:t xml:space="preserve"> بمرتبة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أضعف</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وأن كل ما نراه في هذه النسخة الماد</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ية موجود</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حقيقة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النسخة الأعلى ثم</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الأعلى</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وعليه فألفاظ الميزان والصراط وغيرها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التي لها مصاديق ماد</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ية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تملك أيضا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مصاديق غيبية محيطة بها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فالميزان الموجود بين أيدينا اليوم في عالم الماد</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ة له نسخة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موجودة أيضا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عالم المثال</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وأيضا</w:t>
      </w:r>
      <w:r w:rsidR="0091459F" w:rsidRPr="006571AC">
        <w:rPr>
          <w:rFonts w:ascii="Traditional Arabic" w:hAnsi="Traditional Arabic" w:hint="cs"/>
          <w:sz w:val="27"/>
          <w:rtl/>
          <w:lang w:bidi="ar-LB"/>
        </w:rPr>
        <w:t xml:space="preserve">ً </w:t>
      </w:r>
      <w:r w:rsidRPr="006571AC">
        <w:rPr>
          <w:rFonts w:ascii="Traditional Arabic" w:hAnsi="Traditional Arabic"/>
          <w:sz w:val="27"/>
          <w:rtl/>
          <w:lang w:bidi="ar-LB"/>
        </w:rPr>
        <w:t>في عالم العقل، وكل</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نسخة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من هذه تحوز على كمالات</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أعلى من الأدنى منها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ومحيطة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بها.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هذه الفكرة العام</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ة لنظريّة روح المعاني</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731867" w:rsidRPr="006571AC">
        <w:rPr>
          <w:rFonts w:ascii="Traditional Arabic" w:hAnsi="Traditional Arabic"/>
          <w:sz w:val="27"/>
          <w:rtl/>
          <w:lang w:bidi="ar-LB"/>
        </w:rPr>
        <w:t>بَيْدَ</w:t>
      </w:r>
      <w:r w:rsidRPr="006571AC">
        <w:rPr>
          <w:rFonts w:ascii="Traditional Arabic" w:hAnsi="Traditional Arabic"/>
          <w:sz w:val="27"/>
          <w:rtl/>
          <w:lang w:bidi="ar-LB"/>
        </w:rPr>
        <w:t xml:space="preserve"> أن أصحابها افترقوا في تقريرها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وإن</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كانت النتائج واحدة</w:t>
      </w:r>
      <w:r w:rsidR="00B834A8" w:rsidRPr="006571AC">
        <w:rPr>
          <w:rFonts w:ascii="Traditional Arabic" w:hAnsi="Traditional Arabic" w:hint="cs"/>
          <w:sz w:val="27"/>
          <w:rtl/>
          <w:lang w:bidi="ar-LB"/>
        </w:rPr>
        <w:t>ً</w:t>
      </w:r>
      <w:r w:rsidRPr="006571AC">
        <w:rPr>
          <w:rFonts w:ascii="Traditional Arabic" w:hAnsi="Traditional Arabic"/>
          <w:sz w:val="27"/>
          <w:rtl/>
          <w:lang w:bidi="ar-LB"/>
        </w:rPr>
        <w:t>، وما يهم</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نا هو رؤية العلاّمة</w:t>
      </w:r>
      <w:r w:rsidR="0091459F"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الذي تبن</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اها نظري</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وطب</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قها عملي</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ولو بنحو</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جزئي</w:t>
      </w:r>
      <w:r w:rsidR="00B834A8" w:rsidRPr="006571AC">
        <w:rPr>
          <w:rFonts w:ascii="Traditional Arabic" w:hAnsi="Traditional Arabic" w:hint="cs"/>
          <w:sz w:val="27"/>
          <w:rtl/>
          <w:lang w:bidi="ar-LB"/>
        </w:rPr>
        <w:t>ٍّ</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تفسيره.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يرى ال</w:t>
      </w:r>
      <w:r w:rsidR="0091459F"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ـ</w:t>
      </w:r>
      <w:r w:rsidR="0091459F" w:rsidRPr="006571AC">
        <w:rPr>
          <w:rFonts w:ascii="Traditional Arabic" w:hAnsi="Traditional Arabic" w:hint="cs"/>
          <w:sz w:val="27"/>
          <w:rtl/>
          <w:lang w:bidi="ar-LB"/>
        </w:rPr>
        <w:t xml:space="preserve"> </w:t>
      </w:r>
      <w:r w:rsidRPr="006571AC">
        <w:rPr>
          <w:rFonts w:ascii="Traditional Arabic" w:hAnsi="Traditional Arabic"/>
          <w:sz w:val="27"/>
          <w:rtl/>
          <w:lang w:bidi="ar-LB"/>
        </w:rPr>
        <w:t>بح</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س</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ب ما ي</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ست</w:t>
      </w:r>
      <w:r w:rsidR="00B834A8" w:rsidRPr="006571AC">
        <w:rPr>
          <w:rFonts w:ascii="Traditional Arabic" w:hAnsi="Traditional Arabic" w:hint="cs"/>
          <w:sz w:val="27"/>
          <w:rtl/>
          <w:lang w:bidi="ar-LB"/>
        </w:rPr>
        <w:t>َ</w:t>
      </w:r>
      <w:r w:rsidRPr="006571AC">
        <w:rPr>
          <w:rFonts w:ascii="Traditional Arabic" w:hAnsi="Traditional Arabic"/>
          <w:sz w:val="27"/>
          <w:rtl/>
          <w:lang w:bidi="ar-LB"/>
        </w:rPr>
        <w:t>و</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حى من عباراته ـ أنّ الواضع هو الإنسان</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يحتك</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أو</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لا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بالمصاديق الماد</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ية للأشياء؛ لذلك وضع الألفاظ لها أو</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لا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ثم</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بدأت تظهر الأمور المعنوية في حياته، فبدأ يستخدم الكلمة التي وضعها للمصداق الماد</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ي في المعنوي</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لعلاقة الشبه بينهما، وشيئا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فشيئا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تطو</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ر استخدامه للكلمة في الأعم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الماد</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ي والمعنوي</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90"/>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مثلا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فسق في الأصل هي خروج النواة من التمرة، ثم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شبه حالة الإنسان في خروجه عن جاد</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ة الصواب بخروج النواة من التمرة</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وسم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اه فسقا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ثم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شيئا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فشيئا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بدأت المعاني تت</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سع</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فشملت المعنى من الماد</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ي والمعنوي، فصارت الألفاظ بوضعها التطو</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ري الطويل موضوعة</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للأعم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وقد طب</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ق ال</w:t>
      </w:r>
      <w:r w:rsidR="00D4269A"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هذه النظريّة كثيرا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تفسيره</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وإن</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ascii="Traditional Arabic" w:hAnsi="Traditional Arabic"/>
          <w:sz w:val="27"/>
          <w:rtl/>
          <w:lang w:bidi="ar-LB"/>
        </w:rPr>
        <w:lastRenderedPageBreak/>
        <w:t>تجاوزها في بعض الآيات</w:t>
      </w:r>
      <w:r w:rsidR="00D4269A" w:rsidRPr="006571AC">
        <w:rPr>
          <w:rFonts w:ascii="Traditional Arabic" w:hAnsi="Traditional Arabic" w:hint="cs"/>
          <w:sz w:val="27"/>
          <w:rtl/>
          <w:lang w:bidi="ar-LB"/>
        </w:rPr>
        <w:t>. ف</w:t>
      </w:r>
      <w:r w:rsidRPr="006571AC">
        <w:rPr>
          <w:rFonts w:ascii="Traditional Arabic" w:hAnsi="Traditional Arabic"/>
          <w:sz w:val="27"/>
          <w:rtl/>
          <w:lang w:bidi="ar-LB"/>
        </w:rPr>
        <w:t>مثلا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تفسير مفردة النور يقول</w:t>
      </w:r>
      <w:r w:rsidR="00D4269A" w:rsidRPr="006571AC">
        <w:rPr>
          <w:rFonts w:ascii="Mosawi" w:hAnsi="Mosawi" w:cs="Mosawi"/>
          <w:sz w:val="22"/>
          <w:szCs w:val="22"/>
          <w:rtl/>
        </w:rPr>
        <w:t>&amp;</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D4269A" w:rsidRPr="006571AC">
        <w:rPr>
          <w:rFonts w:ascii="Traditional Arabic" w:hAnsi="Traditional Arabic" w:hint="cs"/>
          <w:sz w:val="27"/>
          <w:rtl/>
          <w:lang w:bidi="ar-LB"/>
        </w:rPr>
        <w:t>إ</w:t>
      </w:r>
      <w:r w:rsidRPr="006571AC">
        <w:rPr>
          <w:rFonts w:ascii="Traditional Arabic" w:hAnsi="Traditional Arabic"/>
          <w:sz w:val="27"/>
          <w:rtl/>
          <w:lang w:bidi="ar-LB"/>
        </w:rPr>
        <w:t>نّ السراج قديما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 يستعمل في ما له فتيل</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وعندما ظهر السراج الكهربائي استعمل أيضا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فيه، فالمسألة لا تتعل</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ق بالمصاديق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بروح هذه المصاديق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فنحن إذا لاح</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ظ</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نا حياة البشر نرى أنه كلما ظهر مصداق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جديد استخدموا فيه الكلمة القديمة دون أي</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محذور</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وهذا ينبئ عن أنّ الوضع في الكلمة كان من الأو</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ل للمعنى الأعم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المصداق القديم والمصداق الجديد، واللفظ هنا لم يوضع للمصداق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لروحه</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الإضاءة، فكلما تحق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ت</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الإضاءة في مكان</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 الاستعمال حقيقي</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فإذا جاءت الإضاءة الوجودية </w:t>
      </w:r>
      <w:r w:rsidR="00D4269A" w:rsidRPr="006571AC">
        <w:rPr>
          <w:rFonts w:ascii="Mosawi" w:hAnsi="Mosawi" w:cs="Mosawi"/>
          <w:sz w:val="24"/>
          <w:szCs w:val="24"/>
          <w:rtl/>
        </w:rPr>
        <w:t>﴿</w:t>
      </w:r>
      <w:r w:rsidRPr="006571AC">
        <w:rPr>
          <w:rFonts w:ascii="Traditional Arabic" w:hAnsi="Traditional Arabic"/>
          <w:b/>
          <w:bCs/>
          <w:sz w:val="27"/>
          <w:rtl/>
          <w:lang w:bidi="ar-LB"/>
        </w:rPr>
        <w:t>الله</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ن</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ور</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الس</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م</w:t>
      </w:r>
      <w:r w:rsidR="00D4269A" w:rsidRPr="006571AC">
        <w:rPr>
          <w:rFonts w:ascii="Traditional Arabic" w:hAnsi="Traditional Arabic" w:hint="cs"/>
          <w:b/>
          <w:bCs/>
          <w:sz w:val="27"/>
          <w:rtl/>
          <w:lang w:bidi="ar-LB"/>
        </w:rPr>
        <w:t>َا</w:t>
      </w:r>
      <w:r w:rsidRPr="006571AC">
        <w:rPr>
          <w:rFonts w:ascii="Traditional Arabic" w:hAnsi="Traditional Arabic"/>
          <w:b/>
          <w:bCs/>
          <w:sz w:val="27"/>
          <w:rtl/>
          <w:lang w:bidi="ar-LB"/>
        </w:rPr>
        <w:t>و</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ات</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و</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الأ</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ر</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ض</w:t>
      </w:r>
      <w:r w:rsidR="00D4269A" w:rsidRPr="006571AC">
        <w:rPr>
          <w:rFonts w:ascii="Traditional Arabic" w:hAnsi="Traditional Arabic" w:hint="cs"/>
          <w:b/>
          <w:bCs/>
          <w:sz w:val="27"/>
          <w:rtl/>
          <w:lang w:bidi="ar-LB"/>
        </w:rPr>
        <w:t>ِ</w:t>
      </w:r>
      <w:r w:rsidR="00D4269A" w:rsidRPr="006571AC">
        <w:rPr>
          <w:rFonts w:ascii="Mosawi" w:hAnsi="Mosawi" w:cs="Mosawi"/>
          <w:sz w:val="24"/>
          <w:szCs w:val="24"/>
          <w:rtl/>
        </w:rPr>
        <w:t>﴾</w:t>
      </w:r>
      <w:r w:rsidRPr="006571AC">
        <w:rPr>
          <w:rFonts w:ascii="Traditional Arabic" w:hAnsi="Traditional Arabic"/>
          <w:sz w:val="27"/>
          <w:rtl/>
          <w:lang w:bidi="ar-LB"/>
        </w:rPr>
        <w:t xml:space="preserve"> فهو استعمال</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حقيقي. </w:t>
      </w:r>
    </w:p>
    <w:p w:rsidR="0077071E" w:rsidRPr="006571AC" w:rsidRDefault="0077071E"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يلاحظ أنّ هذه النظريّة تقترب كثيرا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نظريّة إنكار المجاز في القرآن الكريم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والعلاّمة</w:t>
      </w:r>
      <w:r w:rsidRPr="006571AC">
        <w:rPr>
          <w:rFonts w:ascii="Traditional Arabic" w:hAnsi="Traditional Arabic" w:hint="cs"/>
          <w:sz w:val="27"/>
          <w:rtl/>
          <w:lang w:bidi="ar-LB"/>
        </w:rPr>
        <w:t xml:space="preserve"> الطباطبائي</w:t>
      </w:r>
      <w:r w:rsidR="001667A3" w:rsidRPr="006571AC">
        <w:rPr>
          <w:rFonts w:ascii="Traditional Arabic" w:hAnsi="Traditional Arabic"/>
          <w:sz w:val="27"/>
          <w:rtl/>
          <w:lang w:bidi="ar-LB"/>
        </w:rPr>
        <w:t xml:space="preserve"> وإن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لم ينكر المجاز فيه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لكنه بت</w:t>
      </w:r>
      <w:r w:rsidR="00273706" w:rsidRPr="006571AC">
        <w:rPr>
          <w:rFonts w:ascii="Traditional Arabic" w:hAnsi="Traditional Arabic" w:hint="cs"/>
          <w:sz w:val="27"/>
          <w:rtl/>
          <w:lang w:bidi="ar-LB"/>
        </w:rPr>
        <w:t>َ</w:t>
      </w:r>
      <w:r w:rsidR="001667A3" w:rsidRPr="006571AC">
        <w:rPr>
          <w:rFonts w:ascii="Traditional Arabic" w:hAnsi="Traditional Arabic"/>
          <w:sz w:val="27"/>
          <w:rtl/>
          <w:lang w:bidi="ar-LB"/>
        </w:rPr>
        <w:t>ب</w:t>
      </w:r>
      <w:r w:rsidR="00273706" w:rsidRPr="006571AC">
        <w:rPr>
          <w:rFonts w:ascii="Traditional Arabic" w:hAnsi="Traditional Arabic" w:hint="cs"/>
          <w:sz w:val="27"/>
          <w:rtl/>
          <w:lang w:bidi="ar-LB"/>
        </w:rPr>
        <w:t>َ</w:t>
      </w:r>
      <w:r w:rsidR="001667A3" w:rsidRPr="006571AC">
        <w:rPr>
          <w:rFonts w:ascii="Traditional Arabic" w:hAnsi="Traditional Arabic"/>
          <w:sz w:val="27"/>
          <w:rtl/>
          <w:lang w:bidi="ar-LB"/>
        </w:rPr>
        <w:t>ن</w:t>
      </w:r>
      <w:r w:rsidR="00273706" w:rsidRPr="006571AC">
        <w:rPr>
          <w:rFonts w:ascii="Traditional Arabic" w:hAnsi="Traditional Arabic" w:hint="cs"/>
          <w:sz w:val="27"/>
          <w:rtl/>
          <w:lang w:bidi="ar-LB"/>
        </w:rPr>
        <w:t>ِّ</w:t>
      </w:r>
      <w:r w:rsidR="001667A3" w:rsidRPr="006571AC">
        <w:rPr>
          <w:rFonts w:ascii="Traditional Arabic" w:hAnsi="Traditional Arabic"/>
          <w:sz w:val="27"/>
          <w:rtl/>
          <w:lang w:bidi="ar-LB"/>
        </w:rPr>
        <w:t>يه هذه النظريّة قلّ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له كثيرا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تفسير الآيات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وحملها بذلك على الاستعمالات الحقيقية</w:t>
      </w:r>
      <w:r w:rsidRPr="006571AC">
        <w:rPr>
          <w:rFonts w:ascii="Traditional Arabic" w:hAnsi="Traditional Arabic" w:hint="cs"/>
          <w:sz w:val="27"/>
          <w:rtl/>
          <w:lang w:bidi="ar-LB"/>
        </w:rPr>
        <w:t>.</w:t>
      </w:r>
    </w:p>
    <w:p w:rsidR="001667A3" w:rsidRPr="006571AC" w:rsidRDefault="0077071E" w:rsidP="004722E7">
      <w:pPr>
        <w:rPr>
          <w:rFonts w:ascii="Traditional Arabic" w:hAnsi="Traditional Arabic"/>
          <w:sz w:val="27"/>
          <w:rtl/>
          <w:lang w:bidi="ar-LB"/>
        </w:rPr>
      </w:pPr>
      <w:r w:rsidRPr="006571AC">
        <w:rPr>
          <w:rFonts w:ascii="Traditional Arabic" w:hAnsi="Traditional Arabic" w:hint="cs"/>
          <w:sz w:val="27"/>
          <w:rtl/>
          <w:lang w:bidi="ar-LB"/>
        </w:rPr>
        <w:t>وف</w:t>
      </w:r>
      <w:r w:rsidRPr="006571AC">
        <w:rPr>
          <w:rFonts w:ascii="Traditional Arabic" w:hAnsi="Traditional Arabic"/>
          <w:sz w:val="27"/>
          <w:rtl/>
          <w:lang w:bidi="ar-LB"/>
        </w:rPr>
        <w:t>ي مقابل ذلك نجد ال</w:t>
      </w:r>
      <w:r w:rsidRPr="006571AC">
        <w:rPr>
          <w:rFonts w:ascii="Traditional Arabic" w:hAnsi="Traditional Arabic" w:hint="cs"/>
          <w:sz w:val="27"/>
          <w:rtl/>
          <w:lang w:bidi="ar-LB"/>
        </w:rPr>
        <w:t>علاّمة</w:t>
      </w:r>
      <w:r w:rsidR="001667A3" w:rsidRPr="006571AC">
        <w:rPr>
          <w:rFonts w:ascii="Traditional Arabic" w:hAnsi="Traditional Arabic"/>
          <w:sz w:val="27"/>
          <w:rtl/>
          <w:lang w:bidi="ar-LB"/>
        </w:rPr>
        <w:t xml:space="preserve"> فضل الله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ونتيجة عدم تبن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يه هذه النظريّة ورؤيته الأخرى للأسلوب البياني في القرآن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الذي يقوم على الإكثار من الاستعارات والكنايات، نجده قد وضع الكثير من الآيات في دائرة المجازات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واستبعد جد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أن تبقى على ظواهرها الحقيقية، واعتبر أنّه لا مبر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 للزوم تبيين المعارف العالية ب</w:t>
      </w:r>
      <w:r w:rsidR="001667A3" w:rsidRPr="006571AC">
        <w:rPr>
          <w:rFonts w:ascii="Traditional Arabic" w:hAnsi="Traditional Arabic" w:hint="cs"/>
          <w:sz w:val="27"/>
          <w:rtl/>
          <w:lang w:bidi="ar-LB"/>
        </w:rPr>
        <w:t>أ</w:t>
      </w:r>
      <w:r w:rsidR="001667A3" w:rsidRPr="006571AC">
        <w:rPr>
          <w:rFonts w:ascii="Traditional Arabic" w:hAnsi="Traditional Arabic"/>
          <w:sz w:val="27"/>
          <w:rtl/>
          <w:lang w:bidi="ar-LB"/>
        </w:rPr>
        <w:t>سلوب الحقيقة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والتمس</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ك بذلك بحج</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 أن بيانها بالأسلوب المجازي مخالف</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للذ</w:t>
      </w:r>
      <w:r w:rsidR="00273706" w:rsidRPr="006571AC">
        <w:rPr>
          <w:rFonts w:ascii="Traditional Arabic" w:hAnsi="Traditional Arabic" w:hint="cs"/>
          <w:sz w:val="27"/>
          <w:rtl/>
          <w:lang w:bidi="ar-LB"/>
        </w:rPr>
        <w:t>َّ</w:t>
      </w:r>
      <w:r w:rsidR="001667A3" w:rsidRPr="006571AC">
        <w:rPr>
          <w:rFonts w:ascii="Traditional Arabic" w:hAnsi="Traditional Arabic"/>
          <w:sz w:val="27"/>
          <w:rtl/>
          <w:lang w:bidi="ar-LB"/>
        </w:rPr>
        <w:t>و</w:t>
      </w:r>
      <w:r w:rsidR="00273706" w:rsidRPr="006571AC">
        <w:rPr>
          <w:rFonts w:ascii="Traditional Arabic" w:hAnsi="Traditional Arabic" w:hint="cs"/>
          <w:sz w:val="27"/>
          <w:rtl/>
          <w:lang w:bidi="ar-LB"/>
        </w:rPr>
        <w:t>ْ</w:t>
      </w:r>
      <w:r w:rsidR="001667A3" w:rsidRPr="006571AC">
        <w:rPr>
          <w:rFonts w:ascii="Traditional Arabic" w:hAnsi="Traditional Arabic"/>
          <w:sz w:val="27"/>
          <w:rtl/>
          <w:lang w:bidi="ar-LB"/>
        </w:rPr>
        <w:t>ق</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كما فعل ال</w:t>
      </w:r>
      <w:r w:rsidRPr="006571AC">
        <w:rPr>
          <w:rFonts w:ascii="Traditional Arabic" w:hAnsi="Traditional Arabic" w:hint="cs"/>
          <w:sz w:val="27"/>
          <w:rtl/>
          <w:lang w:bidi="ar-LB"/>
        </w:rPr>
        <w:t>طباطبائي</w:t>
      </w:r>
      <w:r w:rsidR="001667A3"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يت</w:t>
      </w:r>
      <w:r w:rsidR="0077071E" w:rsidRPr="006571AC">
        <w:rPr>
          <w:rFonts w:ascii="Traditional Arabic" w:hAnsi="Traditional Arabic" w:hint="cs"/>
          <w:sz w:val="27"/>
          <w:rtl/>
          <w:lang w:bidi="ar-LB"/>
        </w:rPr>
        <w:t>ّفق السي</w:t>
      </w:r>
      <w:r w:rsidRPr="006571AC">
        <w:rPr>
          <w:rFonts w:ascii="Traditional Arabic" w:hAnsi="Traditional Arabic" w:hint="cs"/>
          <w:sz w:val="27"/>
          <w:rtl/>
          <w:lang w:bidi="ar-LB"/>
        </w:rPr>
        <w:t xml:space="preserve">د فضل الله مع جمهور الأصوليين في أن الواضع هو الإنسان، وهو </w:t>
      </w:r>
      <w:r w:rsidRPr="006571AC">
        <w:rPr>
          <w:rFonts w:ascii="Traditional Arabic" w:hAnsi="Traditional Arabic"/>
          <w:sz w:val="27"/>
          <w:rtl/>
          <w:lang w:bidi="ar-LB"/>
        </w:rPr>
        <w:t>ـ</w:t>
      </w:r>
      <w:r w:rsidR="0077071E" w:rsidRPr="006571AC">
        <w:rPr>
          <w:rFonts w:ascii="Traditional Arabic" w:hAnsi="Traditional Arabic" w:hint="cs"/>
          <w:sz w:val="27"/>
          <w:rtl/>
          <w:lang w:bidi="ar-LB"/>
        </w:rPr>
        <w:t xml:space="preserve"> </w:t>
      </w:r>
      <w:r w:rsidRPr="006571AC">
        <w:rPr>
          <w:rFonts w:ascii="Traditional Arabic" w:hAnsi="Traditional Arabic" w:hint="cs"/>
          <w:sz w:val="27"/>
          <w:rtl/>
          <w:lang w:bidi="ar-LB"/>
        </w:rPr>
        <w:t>أي الإنسان ـ إنما يقابل الماد</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يات والمحسوسات أو</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لا</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ثم يضع الألفاظ لهذه المحسوسات، ومن ثمّ فالألفاظ موضوعة</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لخصوص المصاديق الماد</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ية</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وهي تستعمل في المعنويات مجازاً</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91"/>
      </w:r>
      <w:r w:rsidRPr="006571AC">
        <w:rPr>
          <w:rFonts w:ascii="Traditional Arabic" w:hAnsi="Traditional Arabic"/>
          <w:sz w:val="27"/>
          <w:vertAlign w:val="superscript"/>
          <w:rtl/>
          <w:lang w:bidi="ar-LB"/>
        </w:rPr>
        <w:t>)</w:t>
      </w:r>
      <w:r w:rsidRPr="006571AC">
        <w:rPr>
          <w:rFonts w:ascii="Traditional Arabic" w:hAnsi="Traditional Arabic" w:hint="cs"/>
          <w:sz w:val="27"/>
          <w:rtl/>
          <w:lang w:bidi="ar-LB"/>
        </w:rPr>
        <w:t xml:space="preserve">. </w:t>
      </w:r>
    </w:p>
    <w:p w:rsidR="001667A3" w:rsidRPr="006571AC" w:rsidRDefault="0077071E"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hint="cs"/>
          <w:sz w:val="27"/>
          <w:rtl/>
          <w:lang w:bidi="ar-LB"/>
        </w:rPr>
        <w:t xml:space="preserve">من هنا </w:t>
      </w:r>
      <w:r w:rsidRPr="006571AC">
        <w:rPr>
          <w:rFonts w:ascii="Traditional Arabic" w:hAnsi="Traditional Arabic" w:hint="cs"/>
          <w:sz w:val="27"/>
          <w:rtl/>
          <w:lang w:bidi="ar-LB"/>
        </w:rPr>
        <w:t>يذهب السي</w:t>
      </w:r>
      <w:r w:rsidR="001667A3" w:rsidRPr="006571AC">
        <w:rPr>
          <w:rFonts w:ascii="Traditional Arabic" w:hAnsi="Traditional Arabic" w:hint="cs"/>
          <w:sz w:val="27"/>
          <w:rtl/>
          <w:lang w:bidi="ar-LB"/>
        </w:rPr>
        <w:t>د</w:t>
      </w:r>
      <w:r w:rsidRPr="006571AC">
        <w:rPr>
          <w:rFonts w:ascii="Traditional Arabic" w:hAnsi="Traditional Arabic" w:hint="cs"/>
          <w:sz w:val="27"/>
          <w:rtl/>
          <w:lang w:bidi="ar-LB"/>
        </w:rPr>
        <w:t xml:space="preserve"> فضل الله</w:t>
      </w:r>
      <w:r w:rsidR="001667A3" w:rsidRPr="006571AC">
        <w:rPr>
          <w:rFonts w:ascii="Traditional Arabic" w:hAnsi="Traditional Arabic" w:hint="cs"/>
          <w:sz w:val="27"/>
          <w:rtl/>
          <w:lang w:bidi="ar-LB"/>
        </w:rPr>
        <w:t xml:space="preserve"> إلى أن جميع الآيات التي استعملت الألفاظ الماد</w:t>
      </w:r>
      <w:r w:rsidRPr="006571AC">
        <w:rPr>
          <w:rFonts w:ascii="Traditional Arabic" w:hAnsi="Traditional Arabic" w:hint="cs"/>
          <w:sz w:val="27"/>
          <w:rtl/>
          <w:lang w:bidi="ar-LB"/>
        </w:rPr>
        <w:t>ّ</w:t>
      </w:r>
      <w:r w:rsidR="001667A3" w:rsidRPr="006571AC">
        <w:rPr>
          <w:rFonts w:ascii="Traditional Arabic" w:hAnsi="Traditional Arabic" w:hint="cs"/>
          <w:sz w:val="27"/>
          <w:rtl/>
          <w:lang w:bidi="ar-LB"/>
        </w:rPr>
        <w:t xml:space="preserve">ية في المسائل المعنوية والغيبية </w:t>
      </w:r>
      <w:r w:rsidR="00731867" w:rsidRPr="006571AC">
        <w:rPr>
          <w:rFonts w:ascii="Traditional Arabic" w:hAnsi="Traditional Arabic" w:hint="cs"/>
          <w:sz w:val="27"/>
          <w:rtl/>
          <w:lang w:bidi="ar-LB"/>
        </w:rPr>
        <w:t>لا بُدَّ</w:t>
      </w:r>
      <w:r w:rsidR="001667A3" w:rsidRPr="006571AC">
        <w:rPr>
          <w:rFonts w:ascii="Traditional Arabic" w:hAnsi="Traditional Arabic" w:hint="cs"/>
          <w:sz w:val="27"/>
          <w:rtl/>
          <w:lang w:bidi="ar-LB"/>
        </w:rPr>
        <w:t xml:space="preserve"> أن تحمل على المجاز؛ لأن هذا هو ما يتناسب مع الأساليب البلاغية التي يعتمدها العرب في بيان المعنويات</w:t>
      </w:r>
      <w:r w:rsidRPr="006571AC">
        <w:rPr>
          <w:rFonts w:ascii="Traditional Arabic" w:hAnsi="Traditional Arabic" w:hint="cs"/>
          <w:sz w:val="27"/>
          <w:rtl/>
          <w:lang w:bidi="ar-LB"/>
        </w:rPr>
        <w:t>،</w:t>
      </w:r>
      <w:r w:rsidR="001667A3" w:rsidRPr="006571AC">
        <w:rPr>
          <w:rFonts w:ascii="Traditional Arabic" w:hAnsi="Traditional Arabic" w:hint="cs"/>
          <w:sz w:val="27"/>
          <w:rtl/>
          <w:lang w:bidi="ar-LB"/>
        </w:rPr>
        <w:t xml:space="preserve"> وهو ما فهمه العرب الأوائل حين النزول. وهذه الطريقة العربية هي التي اعتمدها القرآن الكريم في </w:t>
      </w:r>
      <w:r w:rsidRPr="006571AC">
        <w:rPr>
          <w:rFonts w:ascii="Traditional Arabic" w:hAnsi="Traditional Arabic" w:hint="cs"/>
          <w:sz w:val="27"/>
          <w:rtl/>
          <w:lang w:bidi="ar-LB"/>
        </w:rPr>
        <w:t>إ</w:t>
      </w:r>
      <w:r w:rsidR="001667A3" w:rsidRPr="006571AC">
        <w:rPr>
          <w:rFonts w:ascii="Traditional Arabic" w:hAnsi="Traditional Arabic" w:hint="cs"/>
          <w:sz w:val="27"/>
          <w:rtl/>
          <w:lang w:bidi="ar-LB"/>
        </w:rPr>
        <w:t>يصال معانيه الرفيعة إلى كاف</w:t>
      </w:r>
      <w:r w:rsidRPr="006571AC">
        <w:rPr>
          <w:rFonts w:ascii="Traditional Arabic" w:hAnsi="Traditional Arabic" w:hint="cs"/>
          <w:sz w:val="27"/>
          <w:rtl/>
          <w:lang w:bidi="ar-LB"/>
        </w:rPr>
        <w:t>ّ</w:t>
      </w:r>
      <w:r w:rsidR="001667A3" w:rsidRPr="006571AC">
        <w:rPr>
          <w:rFonts w:ascii="Traditional Arabic" w:hAnsi="Traditional Arabic" w:hint="cs"/>
          <w:sz w:val="27"/>
          <w:rtl/>
          <w:lang w:bidi="ar-LB"/>
        </w:rPr>
        <w:t xml:space="preserve">ة الناس، وتشهد على ذلك العديد من الآيات القرآنية. </w:t>
      </w:r>
    </w:p>
    <w:p w:rsidR="001667A3"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lastRenderedPageBreak/>
        <w:t>من هذا المنطلق، افترق ال</w:t>
      </w:r>
      <w:r w:rsidR="00900CEA" w:rsidRPr="006571AC">
        <w:rPr>
          <w:rFonts w:ascii="Traditional Arabic" w:hAnsi="Traditional Arabic" w:hint="cs"/>
          <w:sz w:val="27"/>
          <w:rtl/>
          <w:lang w:bidi="ar-LB"/>
        </w:rPr>
        <w:t>علاّمة فضل الله</w:t>
      </w:r>
      <w:r w:rsidRPr="006571AC">
        <w:rPr>
          <w:rFonts w:ascii="Traditional Arabic" w:hAnsi="Traditional Arabic" w:hint="cs"/>
          <w:sz w:val="27"/>
          <w:rtl/>
          <w:lang w:bidi="ar-LB"/>
        </w:rPr>
        <w:t xml:space="preserve"> في تفسير عدد</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من الآيات عن تفسير العلاّمة </w:t>
      </w:r>
      <w:r w:rsidRPr="006571AC">
        <w:rPr>
          <w:rFonts w:ascii="Traditional Arabic" w:hAnsi="Traditional Arabic"/>
          <w:sz w:val="27"/>
          <w:rtl/>
          <w:lang w:bidi="ar-LB"/>
        </w:rPr>
        <w:t>ـ</w:t>
      </w:r>
      <w:r w:rsidR="00ED5C06" w:rsidRPr="006571AC">
        <w:rPr>
          <w:rFonts w:ascii="Traditional Arabic" w:hAnsi="Traditional Arabic" w:hint="cs"/>
          <w:sz w:val="27"/>
          <w:rtl/>
          <w:lang w:bidi="ar-LB"/>
        </w:rPr>
        <w:t xml:space="preserve"> </w:t>
      </w:r>
      <w:r w:rsidRPr="006571AC">
        <w:rPr>
          <w:rFonts w:ascii="Traditional Arabic" w:hAnsi="Traditional Arabic" w:hint="cs"/>
          <w:sz w:val="27"/>
          <w:rtl/>
          <w:lang w:bidi="ar-LB"/>
        </w:rPr>
        <w:t>كما قلنا ـ</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فهو مثلا</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يحمل آية الكرسي</w:t>
      </w:r>
      <w:r w:rsidR="002737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على المجاز، أما </w:t>
      </w:r>
      <w:r w:rsidR="00ED5C06" w:rsidRPr="006571AC">
        <w:rPr>
          <w:rFonts w:ascii="Traditional Arabic" w:hAnsi="Traditional Arabic" w:hint="cs"/>
          <w:sz w:val="27"/>
          <w:rtl/>
          <w:lang w:bidi="ar-LB"/>
        </w:rPr>
        <w:t xml:space="preserve">العلاّمة </w:t>
      </w:r>
      <w:r w:rsidRPr="006571AC">
        <w:rPr>
          <w:rFonts w:ascii="Traditional Arabic" w:hAnsi="Traditional Arabic" w:hint="cs"/>
          <w:sz w:val="27"/>
          <w:rtl/>
          <w:lang w:bidi="ar-LB"/>
        </w:rPr>
        <w:t>ال</w:t>
      </w:r>
      <w:r w:rsidR="00ED5C06" w:rsidRPr="006571AC">
        <w:rPr>
          <w:rFonts w:ascii="Traditional Arabic" w:hAnsi="Traditional Arabic" w:hint="cs"/>
          <w:sz w:val="27"/>
          <w:rtl/>
          <w:lang w:bidi="ar-LB"/>
        </w:rPr>
        <w:t>طباطبائي</w:t>
      </w:r>
      <w:r w:rsidRPr="006571AC">
        <w:rPr>
          <w:rFonts w:ascii="Traditional Arabic" w:hAnsi="Traditional Arabic" w:hint="cs"/>
          <w:sz w:val="27"/>
          <w:rtl/>
          <w:lang w:bidi="ar-LB"/>
        </w:rPr>
        <w:t xml:space="preserve"> فهو وإن</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حمل الكرسي</w:t>
      </w:r>
      <w:r w:rsidR="002737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على المعنى الكنائي</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إلاّ أنه يصر</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ح بأن الله تعالى نور السماوات والأرض حقيقة</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w:t>
      </w:r>
      <w:r w:rsidRPr="006571AC">
        <w:rPr>
          <w:rFonts w:ascii="Traditional Arabic" w:hAnsi="Traditional Arabic"/>
          <w:sz w:val="27"/>
          <w:rtl/>
          <w:lang w:bidi="ar-LB"/>
        </w:rPr>
        <w:t>ـ</w:t>
      </w:r>
      <w:r w:rsidR="00ED5C06" w:rsidRPr="006571AC">
        <w:rPr>
          <w:rFonts w:ascii="Traditional Arabic" w:hAnsi="Traditional Arabic" w:hint="cs"/>
          <w:sz w:val="27"/>
          <w:rtl/>
          <w:lang w:bidi="ar-LB"/>
        </w:rPr>
        <w:t xml:space="preserve"> </w:t>
      </w:r>
      <w:r w:rsidRPr="006571AC">
        <w:rPr>
          <w:rFonts w:ascii="Traditional Arabic" w:hAnsi="Traditional Arabic" w:hint="cs"/>
          <w:sz w:val="27"/>
          <w:rtl/>
          <w:lang w:bidi="ar-LB"/>
        </w:rPr>
        <w:t xml:space="preserve">كما </w:t>
      </w:r>
      <w:r w:rsidR="00ED5C06" w:rsidRPr="006571AC">
        <w:rPr>
          <w:rFonts w:ascii="Traditional Arabic" w:hAnsi="Traditional Arabic" w:hint="cs"/>
          <w:sz w:val="27"/>
          <w:rtl/>
          <w:lang w:bidi="ar-LB"/>
        </w:rPr>
        <w:t>ذك</w:t>
      </w:r>
      <w:r w:rsidR="00273706" w:rsidRPr="006571AC">
        <w:rPr>
          <w:rFonts w:ascii="Traditional Arabic" w:hAnsi="Traditional Arabic" w:hint="cs"/>
          <w:sz w:val="27"/>
          <w:rtl/>
          <w:lang w:bidi="ar-LB"/>
        </w:rPr>
        <w:t>َ</w:t>
      </w:r>
      <w:r w:rsidR="00ED5C06" w:rsidRPr="006571AC">
        <w:rPr>
          <w:rFonts w:ascii="Traditional Arabic" w:hAnsi="Traditional Arabic" w:hint="cs"/>
          <w:sz w:val="27"/>
          <w:rtl/>
          <w:lang w:bidi="ar-LB"/>
        </w:rPr>
        <w:t>ر</w:t>
      </w:r>
      <w:r w:rsidR="00273706" w:rsidRPr="006571AC">
        <w:rPr>
          <w:rFonts w:ascii="Traditional Arabic" w:hAnsi="Traditional Arabic" w:hint="cs"/>
          <w:sz w:val="27"/>
          <w:rtl/>
          <w:lang w:bidi="ar-LB"/>
        </w:rPr>
        <w:t>ْ</w:t>
      </w:r>
      <w:r w:rsidR="00ED5C06" w:rsidRPr="006571AC">
        <w:rPr>
          <w:rFonts w:ascii="Traditional Arabic" w:hAnsi="Traditional Arabic" w:hint="cs"/>
          <w:sz w:val="27"/>
          <w:rtl/>
          <w:lang w:bidi="ar-LB"/>
        </w:rPr>
        <w:t>نا سابقاً</w:t>
      </w:r>
      <w:r w:rsidRPr="006571AC">
        <w:rPr>
          <w:rFonts w:ascii="Traditional Arabic" w:hAnsi="Traditional Arabic" w:hint="cs"/>
          <w:sz w:val="27"/>
          <w:rtl/>
          <w:lang w:bidi="ar-LB"/>
        </w:rPr>
        <w:t xml:space="preserve"> ـ</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w:t>
      </w:r>
      <w:r w:rsidR="00ED5C06" w:rsidRPr="006571AC">
        <w:rPr>
          <w:rFonts w:ascii="Traditional Arabic" w:hAnsi="Traditional Arabic" w:hint="cs"/>
          <w:sz w:val="27"/>
          <w:rtl/>
          <w:lang w:bidi="ar-LB"/>
        </w:rPr>
        <w:t>وهذا ما لا يقبله السي</w:t>
      </w:r>
      <w:r w:rsidRPr="006571AC">
        <w:rPr>
          <w:rFonts w:ascii="Traditional Arabic" w:hAnsi="Traditional Arabic" w:hint="cs"/>
          <w:sz w:val="27"/>
          <w:rtl/>
          <w:lang w:bidi="ar-LB"/>
        </w:rPr>
        <w:t>د</w:t>
      </w:r>
      <w:r w:rsidR="00ED5C06" w:rsidRPr="006571AC">
        <w:rPr>
          <w:rFonts w:ascii="Traditional Arabic" w:hAnsi="Traditional Arabic" w:hint="cs"/>
          <w:sz w:val="27"/>
          <w:rtl/>
          <w:lang w:bidi="ar-LB"/>
        </w:rPr>
        <w:t xml:space="preserve"> فضل الله</w:t>
      </w:r>
      <w:r w:rsidRPr="006571AC">
        <w:rPr>
          <w:rFonts w:ascii="Traditional Arabic" w:hAnsi="Traditional Arabic"/>
          <w:sz w:val="27"/>
          <w:vertAlign w:val="superscript"/>
          <w:rtl/>
          <w:lang w:bidi="ar-LB"/>
        </w:rPr>
        <w:t>(</w:t>
      </w:r>
      <w:r w:rsidRPr="006571AC">
        <w:rPr>
          <w:rStyle w:val="ac"/>
          <w:rFonts w:ascii="Traditional Arabic" w:hAnsi="Traditional Arabic"/>
          <w:sz w:val="27"/>
          <w:rtl/>
          <w:lang w:bidi="ar-LB"/>
        </w:rPr>
        <w:endnoteReference w:id="492"/>
      </w:r>
      <w:r w:rsidRPr="006571AC">
        <w:rPr>
          <w:rFonts w:ascii="Traditional Arabic" w:hAnsi="Traditional Arabic"/>
          <w:sz w:val="27"/>
          <w:vertAlign w:val="superscript"/>
          <w:rtl/>
          <w:lang w:bidi="ar-LB"/>
        </w:rPr>
        <w:t>)</w:t>
      </w:r>
      <w:r w:rsidRPr="006571AC">
        <w:rPr>
          <w:rFonts w:ascii="Traditional Arabic" w:hAnsi="Traditional Arabic" w:hint="cs"/>
          <w:sz w:val="27"/>
          <w:rtl/>
          <w:lang w:bidi="ar-LB"/>
        </w:rPr>
        <w:t>؛ بحج</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ة أن لفظ النور موضوع للنور المحسوس حقيقة</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وهذا لا معنى له بالنسبة إلى الله تعالى، ف</w:t>
      </w:r>
      <w:r w:rsidR="00731867" w:rsidRPr="006571AC">
        <w:rPr>
          <w:rFonts w:ascii="Traditional Arabic" w:hAnsi="Traditional Arabic" w:hint="cs"/>
          <w:sz w:val="27"/>
          <w:rtl/>
          <w:lang w:bidi="ar-LB"/>
        </w:rPr>
        <w:t>لا بُدَّ</w:t>
      </w:r>
      <w:r w:rsidRPr="006571AC">
        <w:rPr>
          <w:rFonts w:ascii="Traditional Arabic" w:hAnsi="Traditional Arabic" w:hint="cs"/>
          <w:sz w:val="27"/>
          <w:rtl/>
          <w:lang w:bidi="ar-LB"/>
        </w:rPr>
        <w:t xml:space="preserve"> أن يكون الاستعمال هنا مجازياً. </w:t>
      </w:r>
    </w:p>
    <w:p w:rsidR="001667A3" w:rsidRPr="006571AC" w:rsidRDefault="001667A3" w:rsidP="004722E7">
      <w:pPr>
        <w:rPr>
          <w:rFonts w:ascii="Traditional Arabic" w:hAnsi="Traditional Arabic"/>
          <w:sz w:val="27"/>
          <w:rtl/>
          <w:lang w:bidi="ar-LB"/>
        </w:rPr>
      </w:pPr>
    </w:p>
    <w:p w:rsidR="001667A3" w:rsidRPr="006571AC" w:rsidRDefault="0046339E" w:rsidP="00846C68">
      <w:pPr>
        <w:pStyle w:val="31"/>
        <w:rPr>
          <w:color w:val="auto"/>
          <w:rtl/>
          <w:lang w:bidi="ar-LB"/>
        </w:rPr>
      </w:pPr>
      <w:bookmarkStart w:id="305" w:name="_Toc114164731"/>
      <w:r w:rsidRPr="006571AC">
        <w:rPr>
          <w:rFonts w:hint="cs"/>
          <w:color w:val="auto"/>
          <w:rtl/>
          <w:lang w:bidi="ar-LB"/>
        </w:rPr>
        <w:t>خلاصةٌ</w:t>
      </w:r>
      <w:bookmarkEnd w:id="305"/>
      <w:r w:rsidR="001667A3" w:rsidRPr="006571AC">
        <w:rPr>
          <w:rFonts w:hint="cs"/>
          <w:color w:val="auto"/>
          <w:rtl/>
          <w:lang w:bidi="ar-LB"/>
        </w:rPr>
        <w:t xml:space="preserve"> </w:t>
      </w:r>
    </w:p>
    <w:p w:rsidR="00ED5C06"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خلصنا في هذه المقالة إلى وجود أربع متبنّ</w:t>
      </w:r>
      <w:r w:rsidR="00273706" w:rsidRPr="006571AC">
        <w:rPr>
          <w:rFonts w:ascii="Traditional Arabic" w:hAnsi="Traditional Arabic" w:hint="cs"/>
          <w:sz w:val="27"/>
          <w:rtl/>
          <w:lang w:bidi="ar-LB"/>
        </w:rPr>
        <w:t>َ</w:t>
      </w:r>
      <w:r w:rsidRPr="006571AC">
        <w:rPr>
          <w:rFonts w:ascii="Traditional Arabic" w:hAnsi="Traditional Arabic" w:hint="cs"/>
          <w:sz w:val="27"/>
          <w:rtl/>
          <w:lang w:bidi="ar-LB"/>
        </w:rPr>
        <w:t>يات ساهم</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ت</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في افتراق ال</w:t>
      </w:r>
      <w:r w:rsidR="00ED5C06" w:rsidRPr="006571AC">
        <w:rPr>
          <w:rFonts w:ascii="Traditional Arabic" w:hAnsi="Traditional Arabic" w:hint="cs"/>
          <w:sz w:val="27"/>
          <w:rtl/>
          <w:lang w:bidi="ar-LB"/>
        </w:rPr>
        <w:t>علاّمة</w:t>
      </w:r>
      <w:r w:rsidRPr="006571AC">
        <w:rPr>
          <w:rFonts w:ascii="Traditional Arabic" w:hAnsi="Traditional Arabic" w:hint="cs"/>
          <w:sz w:val="27"/>
          <w:rtl/>
          <w:lang w:bidi="ar-LB"/>
        </w:rPr>
        <w:t xml:space="preserve"> فضل الله عن العلاّمة الطباطبائي في تفسير الآيات، وظهر أنّ هذه المتبن</w:t>
      </w:r>
      <w:r w:rsidR="00ED5C06" w:rsidRPr="006571AC">
        <w:rPr>
          <w:rFonts w:ascii="Traditional Arabic" w:hAnsi="Traditional Arabic" w:hint="cs"/>
          <w:sz w:val="27"/>
          <w:rtl/>
          <w:lang w:bidi="ar-LB"/>
        </w:rPr>
        <w:t>ّ</w:t>
      </w:r>
      <w:r w:rsidR="00273706" w:rsidRPr="006571AC">
        <w:rPr>
          <w:rFonts w:ascii="Traditional Arabic" w:hAnsi="Traditional Arabic" w:hint="cs"/>
          <w:sz w:val="27"/>
          <w:rtl/>
          <w:lang w:bidi="ar-LB"/>
        </w:rPr>
        <w:t>َ</w:t>
      </w:r>
      <w:r w:rsidRPr="006571AC">
        <w:rPr>
          <w:rFonts w:ascii="Traditional Arabic" w:hAnsi="Traditional Arabic" w:hint="cs"/>
          <w:sz w:val="27"/>
          <w:rtl/>
          <w:lang w:bidi="ar-LB"/>
        </w:rPr>
        <w:t>يات تعود جميعها إلى الأو</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ل</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وهو حقيقة القرآن</w:t>
      </w:r>
      <w:r w:rsidR="00ED5C06" w:rsidRPr="006571AC">
        <w:rPr>
          <w:rFonts w:ascii="Traditional Arabic" w:hAnsi="Traditional Arabic" w:hint="cs"/>
          <w:sz w:val="27"/>
          <w:rtl/>
          <w:lang w:bidi="ar-LB"/>
        </w:rPr>
        <w:t>.</w:t>
      </w:r>
    </w:p>
    <w:p w:rsidR="001667A3"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فال</w:t>
      </w:r>
      <w:r w:rsidR="00B14CCE" w:rsidRPr="006571AC">
        <w:rPr>
          <w:rFonts w:ascii="Traditional Arabic" w:hAnsi="Traditional Arabic" w:hint="cs"/>
          <w:sz w:val="27"/>
          <w:rtl/>
          <w:lang w:bidi="ar-LB"/>
        </w:rPr>
        <w:t>طباطبائي</w:t>
      </w:r>
      <w:r w:rsidRPr="006571AC">
        <w:rPr>
          <w:rFonts w:ascii="Traditional Arabic" w:hAnsi="Traditional Arabic" w:hint="cs"/>
          <w:sz w:val="27"/>
          <w:rtl/>
          <w:lang w:bidi="ar-LB"/>
        </w:rPr>
        <w:t xml:space="preserve"> يرى أنّ للقرآن حقيقة</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متعالية</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لا يمس</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ها إلاّ المطه</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رون</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وهو بذلك حقيقة وجودية تتجلّى في جميع العوالم</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وقد تجل</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ت</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في عالمنا على شكل كلمات</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وألفاظ، وهذا ما أثّ</w:t>
      </w:r>
      <w:r w:rsidR="00ED5C06" w:rsidRPr="006571AC">
        <w:rPr>
          <w:rFonts w:ascii="Traditional Arabic" w:hAnsi="Traditional Arabic" w:hint="cs"/>
          <w:sz w:val="27"/>
          <w:rtl/>
          <w:lang w:bidi="ar-LB"/>
        </w:rPr>
        <w:t>َ</w:t>
      </w:r>
      <w:r w:rsidR="00B14CCE" w:rsidRPr="006571AC">
        <w:rPr>
          <w:rFonts w:ascii="Traditional Arabic" w:hAnsi="Traditional Arabic" w:hint="cs"/>
          <w:sz w:val="27"/>
          <w:rtl/>
          <w:lang w:bidi="ar-LB"/>
        </w:rPr>
        <w:t xml:space="preserve">ر بالضرورة في فهمه </w:t>
      </w:r>
      <w:r w:rsidRPr="006571AC">
        <w:rPr>
          <w:rFonts w:ascii="Traditional Arabic" w:hAnsi="Traditional Arabic" w:hint="cs"/>
          <w:sz w:val="27"/>
          <w:rtl/>
          <w:lang w:bidi="ar-LB"/>
        </w:rPr>
        <w:t>للغة القرآن المستخدمة</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ومسألة بطونه وتأويله، وأثّ</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ر أيضا</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في اختياره لنظريّة روح المعاني، ونتج عن جميع ذلك </w:t>
      </w:r>
      <w:r w:rsidR="00B14CCE" w:rsidRPr="006571AC">
        <w:rPr>
          <w:rFonts w:ascii="Traditional Arabic" w:hAnsi="Traditional Arabic" w:hint="cs"/>
          <w:sz w:val="27"/>
          <w:rtl/>
          <w:lang w:bidi="ar-LB"/>
        </w:rPr>
        <w:t xml:space="preserve">ـ </w:t>
      </w:r>
      <w:r w:rsidRPr="006571AC">
        <w:rPr>
          <w:rFonts w:ascii="Traditional Arabic" w:hAnsi="Traditional Arabic" w:hint="cs"/>
          <w:sz w:val="27"/>
          <w:rtl/>
          <w:lang w:bidi="ar-LB"/>
        </w:rPr>
        <w:t>بح</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س</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ب </w:t>
      </w:r>
      <w:r w:rsidR="00B14CCE" w:rsidRPr="006571AC">
        <w:rPr>
          <w:rFonts w:ascii="Traditional Arabic" w:hAnsi="Traditional Arabic" w:hint="cs"/>
          <w:sz w:val="27"/>
          <w:rtl/>
          <w:lang w:bidi="ar-LB"/>
        </w:rPr>
        <w:t>الطباطبائي</w:t>
      </w:r>
      <w:r w:rsidRPr="006571AC">
        <w:rPr>
          <w:rFonts w:ascii="Traditional Arabic" w:hAnsi="Traditional Arabic" w:hint="cs"/>
          <w:sz w:val="27"/>
          <w:rtl/>
          <w:lang w:bidi="ar-LB"/>
        </w:rPr>
        <w:t xml:space="preserve"> </w:t>
      </w:r>
      <w:r w:rsidR="00B14CCE" w:rsidRPr="006571AC">
        <w:rPr>
          <w:rFonts w:ascii="Traditional Arabic" w:hAnsi="Traditional Arabic" w:hint="cs"/>
          <w:sz w:val="27"/>
          <w:rtl/>
          <w:lang w:bidi="ar-LB"/>
        </w:rPr>
        <w:t xml:space="preserve">ـ </w:t>
      </w:r>
      <w:r w:rsidRPr="006571AC">
        <w:rPr>
          <w:rFonts w:ascii="Traditional Arabic" w:hAnsi="Traditional Arabic" w:hint="cs"/>
          <w:sz w:val="27"/>
          <w:rtl/>
          <w:lang w:bidi="ar-LB"/>
        </w:rPr>
        <w:t>أنّ للقرآن دلالات</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لا متناهية؛ لأنّه بحقيقته يعود إلى علم الله اللامتناهي، كما أنّ أغلب آياته محمولة</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على الحقيقة. </w:t>
      </w:r>
    </w:p>
    <w:p w:rsidR="001667A3"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بينما وج</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د</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نا أنّ ال</w:t>
      </w:r>
      <w:r w:rsidR="00B14CCE" w:rsidRPr="006571AC">
        <w:rPr>
          <w:rFonts w:ascii="Traditional Arabic" w:hAnsi="Traditional Arabic" w:hint="cs"/>
          <w:sz w:val="27"/>
          <w:rtl/>
          <w:lang w:bidi="ar-LB"/>
        </w:rPr>
        <w:t>علاّمة</w:t>
      </w:r>
      <w:r w:rsidRPr="006571AC">
        <w:rPr>
          <w:rFonts w:ascii="Traditional Arabic" w:hAnsi="Traditional Arabic" w:hint="cs"/>
          <w:sz w:val="27"/>
          <w:rtl/>
          <w:lang w:bidi="ar-LB"/>
        </w:rPr>
        <w:t xml:space="preserve"> فضل الله</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ونتيجة مغايرته لل</w:t>
      </w:r>
      <w:r w:rsidR="00B14CCE" w:rsidRPr="006571AC">
        <w:rPr>
          <w:rFonts w:ascii="Traditional Arabic" w:hAnsi="Traditional Arabic" w:hint="cs"/>
          <w:sz w:val="27"/>
          <w:rtl/>
          <w:lang w:bidi="ar-LB"/>
        </w:rPr>
        <w:t>سيد الطباطبائي</w:t>
      </w:r>
      <w:r w:rsidRPr="006571AC">
        <w:rPr>
          <w:rFonts w:ascii="Traditional Arabic" w:hAnsi="Traditional Arabic" w:hint="cs"/>
          <w:sz w:val="27"/>
          <w:rtl/>
          <w:lang w:bidi="ar-LB"/>
        </w:rPr>
        <w:t xml:space="preserve"> في فهم حقيقة القرآن الكريم</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قد ح</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دّ</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من هذه الدلالات التي تريدها الآيات</w:t>
      </w:r>
      <w:r w:rsidR="00B14CCE" w:rsidRPr="006571AC">
        <w:rPr>
          <w:rFonts w:ascii="Traditional Arabic" w:hAnsi="Traditional Arabic" w:hint="cs"/>
          <w:sz w:val="27"/>
          <w:rtl/>
          <w:lang w:bidi="ar-LB"/>
        </w:rPr>
        <w:t xml:space="preserve">، </w:t>
      </w:r>
      <w:r w:rsidRPr="006571AC">
        <w:rPr>
          <w:rFonts w:ascii="Traditional Arabic" w:hAnsi="Traditional Arabic" w:hint="cs"/>
          <w:sz w:val="27"/>
          <w:rtl/>
          <w:lang w:bidi="ar-LB"/>
        </w:rPr>
        <w:t>وحمل كثيراً منها على الاستعمالات البلاغيّة</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التي تنسجم مع أساليب البيان العربي. وهذا أثّ</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ر في سائر المتبن</w:t>
      </w:r>
      <w:r w:rsidR="00B14CCE" w:rsidRPr="006571AC">
        <w:rPr>
          <w:rFonts w:ascii="Traditional Arabic" w:hAnsi="Traditional Arabic" w:hint="cs"/>
          <w:sz w:val="27"/>
          <w:rtl/>
          <w:lang w:bidi="ar-LB"/>
        </w:rPr>
        <w:t>ّ</w:t>
      </w:r>
      <w:r w:rsidR="00273706" w:rsidRPr="006571AC">
        <w:rPr>
          <w:rFonts w:ascii="Traditional Arabic" w:hAnsi="Traditional Arabic" w:hint="cs"/>
          <w:sz w:val="27"/>
          <w:rtl/>
          <w:lang w:bidi="ar-LB"/>
        </w:rPr>
        <w:t>َ</w:t>
      </w:r>
      <w:r w:rsidRPr="006571AC">
        <w:rPr>
          <w:rFonts w:ascii="Traditional Arabic" w:hAnsi="Traditional Arabic" w:hint="cs"/>
          <w:sz w:val="27"/>
          <w:rtl/>
          <w:lang w:bidi="ar-LB"/>
        </w:rPr>
        <w:t>يات الأخرى</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كما ظهر. </w:t>
      </w:r>
    </w:p>
    <w:p w:rsidR="00E83C22" w:rsidRPr="006571AC" w:rsidRDefault="00E83C22" w:rsidP="004722E7">
      <w:pPr>
        <w:rPr>
          <w:rtl/>
        </w:rPr>
      </w:pPr>
    </w:p>
    <w:p w:rsidR="00E83C22" w:rsidRPr="006571AC" w:rsidRDefault="00E83C22" w:rsidP="004722E7">
      <w:pPr>
        <w:rPr>
          <w:rtl/>
        </w:rPr>
      </w:pPr>
    </w:p>
    <w:p w:rsidR="00AC7492" w:rsidRPr="006571AC" w:rsidRDefault="00AC7492" w:rsidP="004722E7">
      <w:pPr>
        <w:rPr>
          <w:rtl/>
        </w:rPr>
      </w:pPr>
    </w:p>
    <w:p w:rsidR="00AC7492" w:rsidRPr="006571AC" w:rsidRDefault="00AC7492" w:rsidP="004722E7">
      <w:pPr>
        <w:rPr>
          <w:rtl/>
        </w:rPr>
      </w:pPr>
    </w:p>
    <w:p w:rsidR="00AC7492" w:rsidRPr="006571AC" w:rsidRDefault="00AC7492" w:rsidP="004722E7">
      <w:pPr>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lastRenderedPageBreak/>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89"/>
          <w:headerReference w:type="default" r:id="rId90"/>
          <w:footerReference w:type="even" r:id="rId91"/>
          <w:footerReference w:type="default" r:id="rId9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93"/>
          <w:headerReference w:type="default" r:id="rId94"/>
          <w:footerReference w:type="even" r:id="rId95"/>
          <w:footerReference w:type="default" r:id="rId96"/>
          <w:headerReference w:type="first" r:id="rId9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B45869">
      <w:pPr>
        <w:spacing w:line="540" w:lineRule="exact"/>
        <w:rPr>
          <w:rtl/>
        </w:rPr>
      </w:pPr>
    </w:p>
    <w:p w:rsidR="00E83C22" w:rsidRPr="006571AC" w:rsidRDefault="00E83C22" w:rsidP="00B45869">
      <w:pPr>
        <w:spacing w:line="540" w:lineRule="exact"/>
        <w:rPr>
          <w:rtl/>
        </w:rPr>
      </w:pPr>
    </w:p>
    <w:p w:rsidR="00E83C22" w:rsidRPr="006571AC" w:rsidRDefault="006155A5" w:rsidP="003357AD">
      <w:pPr>
        <w:pStyle w:val="10"/>
        <w:spacing w:line="216" w:lineRule="auto"/>
        <w:rPr>
          <w:rtl/>
          <w:lang w:bidi="ar-LB"/>
        </w:rPr>
      </w:pPr>
      <w:bookmarkStart w:id="306" w:name="_Toc114164732"/>
      <w:r w:rsidRPr="006571AC">
        <w:rPr>
          <w:rFonts w:hint="eastAsia"/>
          <w:rtl/>
          <w:lang w:bidi="ar-IQ"/>
        </w:rPr>
        <w:t>«</w:t>
      </w:r>
      <w:r w:rsidR="003357AD" w:rsidRPr="006571AC">
        <w:rPr>
          <w:rtl/>
          <w:lang w:bidi="ar-IQ"/>
        </w:rPr>
        <w:t>حديث المقات</w:t>
      </w:r>
      <w:r w:rsidRPr="006571AC">
        <w:rPr>
          <w:rFonts w:hint="cs"/>
          <w:rtl/>
          <w:lang w:bidi="ar-IQ"/>
        </w:rPr>
        <w:t>َ</w:t>
      </w:r>
      <w:r w:rsidR="003357AD" w:rsidRPr="006571AC">
        <w:rPr>
          <w:rtl/>
          <w:lang w:bidi="ar-IQ"/>
        </w:rPr>
        <w:t>لة</w:t>
      </w:r>
      <w:r w:rsidRPr="006571AC">
        <w:rPr>
          <w:rFonts w:hint="eastAsia"/>
          <w:sz w:val="48"/>
          <w:rtl/>
          <w:lang w:bidi="ar-IQ"/>
        </w:rPr>
        <w:t>»</w:t>
      </w:r>
      <w:r w:rsidR="003357AD" w:rsidRPr="006571AC">
        <w:rPr>
          <w:rtl/>
          <w:lang w:bidi="ar-IQ"/>
        </w:rPr>
        <w:t xml:space="preserve"> وأثره في توليد التطر</w:t>
      </w:r>
      <w:r w:rsidR="005434BD" w:rsidRPr="006571AC">
        <w:rPr>
          <w:rFonts w:hint="cs"/>
          <w:rtl/>
          <w:lang w:bidi="ar-IQ"/>
        </w:rPr>
        <w:t>ُّ</w:t>
      </w:r>
      <w:r w:rsidR="003357AD" w:rsidRPr="006571AC">
        <w:rPr>
          <w:rtl/>
          <w:lang w:bidi="ar-IQ"/>
        </w:rPr>
        <w:t>ف الديني</w:t>
      </w:r>
      <w:r w:rsidR="0046339E" w:rsidRPr="006571AC">
        <w:rPr>
          <w:rFonts w:hint="cs"/>
          <w:rtl/>
          <w:lang w:bidi="ar-LB"/>
        </w:rPr>
        <w:t>ّ</w:t>
      </w:r>
      <w:bookmarkEnd w:id="306"/>
    </w:p>
    <w:p w:rsidR="00E83C22" w:rsidRPr="006571AC" w:rsidRDefault="0006523A" w:rsidP="000B32E4">
      <w:pPr>
        <w:pStyle w:val="10"/>
        <w:spacing w:line="216" w:lineRule="auto"/>
        <w:rPr>
          <w:sz w:val="26"/>
          <w:szCs w:val="42"/>
          <w:rtl/>
          <w:lang w:bidi="ar-IQ"/>
        </w:rPr>
      </w:pPr>
      <w:bookmarkStart w:id="307" w:name="_Toc114164733"/>
      <w:r w:rsidRPr="006571AC">
        <w:rPr>
          <w:rFonts w:hint="cs"/>
          <w:sz w:val="26"/>
          <w:szCs w:val="42"/>
          <w:rtl/>
          <w:lang w:bidi="ar-IQ"/>
        </w:rPr>
        <w:t>إثاراتٌ</w:t>
      </w:r>
      <w:r w:rsidR="003357AD" w:rsidRPr="006571AC">
        <w:rPr>
          <w:sz w:val="26"/>
          <w:szCs w:val="42"/>
          <w:rtl/>
          <w:lang w:bidi="ar-IQ"/>
        </w:rPr>
        <w:t xml:space="preserve"> </w:t>
      </w:r>
      <w:r w:rsidR="000B32E4" w:rsidRPr="006571AC">
        <w:rPr>
          <w:rFonts w:hint="cs"/>
          <w:sz w:val="26"/>
          <w:szCs w:val="42"/>
          <w:rtl/>
          <w:lang w:bidi="ar-IQ"/>
        </w:rPr>
        <w:t>نقديّة</w:t>
      </w:r>
      <w:r w:rsidR="003357AD" w:rsidRPr="006571AC">
        <w:rPr>
          <w:sz w:val="26"/>
          <w:szCs w:val="42"/>
          <w:rtl/>
          <w:lang w:bidi="ar-IQ"/>
        </w:rPr>
        <w:t xml:space="preserve"> في السند والدلالة</w:t>
      </w:r>
      <w:bookmarkEnd w:id="307"/>
    </w:p>
    <w:p w:rsidR="00E83C22" w:rsidRPr="006571AC" w:rsidRDefault="00E83C22" w:rsidP="00B45869">
      <w:pPr>
        <w:spacing w:line="380" w:lineRule="exact"/>
        <w:rPr>
          <w:rtl/>
        </w:rPr>
      </w:pPr>
    </w:p>
    <w:p w:rsidR="00E83C22" w:rsidRPr="006571AC" w:rsidRDefault="003357AD" w:rsidP="00DF1865">
      <w:pPr>
        <w:pStyle w:val="Author"/>
        <w:rPr>
          <w:rtl/>
        </w:rPr>
      </w:pPr>
      <w:r w:rsidRPr="006571AC">
        <w:rPr>
          <w:rFonts w:hint="cs"/>
          <w:rtl/>
          <w:lang w:bidi="ar-IQ"/>
        </w:rPr>
        <w:t xml:space="preserve">د. </w:t>
      </w:r>
      <w:r w:rsidR="002B5E9D" w:rsidRPr="006571AC">
        <w:rPr>
          <w:rtl/>
          <w:lang w:bidi="ar-IQ"/>
        </w:rPr>
        <w:t>السيد زين العابدين المق</w:t>
      </w:r>
      <w:r w:rsidR="002B5E9D" w:rsidRPr="006571AC">
        <w:rPr>
          <w:rFonts w:hint="cs"/>
          <w:rtl/>
          <w:lang w:bidi="ar-IQ"/>
        </w:rPr>
        <w:t>دَّ</w:t>
      </w:r>
      <w:r w:rsidRPr="006571AC">
        <w:rPr>
          <w:rtl/>
          <w:lang w:bidi="ar-IQ"/>
        </w:rPr>
        <w:t>س الغريفي</w:t>
      </w:r>
      <w:r w:rsidR="00527634" w:rsidRPr="006571AC">
        <w:rPr>
          <w:rFonts w:cs="Taher" w:hint="cs"/>
          <w:vertAlign w:val="superscript"/>
          <w:rtl/>
        </w:rPr>
        <w:t>(</w:t>
      </w:r>
      <w:r w:rsidR="00527634" w:rsidRPr="006571AC">
        <w:rPr>
          <w:rFonts w:cs="Taher"/>
          <w:vertAlign w:val="superscript"/>
          <w:rtl/>
        </w:rPr>
        <w:footnoteReference w:customMarkFollows="1" w:id="13"/>
        <w:t>*)</w:t>
      </w:r>
    </w:p>
    <w:p w:rsidR="00E83C22" w:rsidRPr="006571AC" w:rsidRDefault="00E83C22" w:rsidP="00B45869">
      <w:pPr>
        <w:spacing w:line="360" w:lineRule="exact"/>
        <w:rPr>
          <w:rtl/>
        </w:rPr>
      </w:pPr>
    </w:p>
    <w:p w:rsidR="005A03A8" w:rsidRPr="006571AC" w:rsidRDefault="005A03A8" w:rsidP="003357AD">
      <w:pPr>
        <w:pStyle w:val="31"/>
        <w:rPr>
          <w:color w:val="auto"/>
          <w:rtl/>
          <w:lang w:bidi="ar-IQ"/>
        </w:rPr>
      </w:pPr>
      <w:bookmarkStart w:id="308" w:name="_Toc114164734"/>
      <w:r w:rsidRPr="006571AC">
        <w:rPr>
          <w:rFonts w:hint="cs"/>
          <w:color w:val="auto"/>
          <w:rtl/>
          <w:lang w:bidi="ar-IQ"/>
        </w:rPr>
        <w:t>الخلاصة</w:t>
      </w:r>
      <w:bookmarkEnd w:id="308"/>
    </w:p>
    <w:p w:rsidR="005A03A8" w:rsidRPr="006571AC" w:rsidRDefault="005A03A8" w:rsidP="00B45869">
      <w:pPr>
        <w:autoSpaceDE w:val="0"/>
        <w:autoSpaceDN w:val="0"/>
        <w:adjustRightInd w:val="0"/>
        <w:spacing w:line="420" w:lineRule="exact"/>
        <w:rPr>
          <w:rFonts w:ascii="Simplified Arabic" w:hAnsi="Simplified Arabic"/>
          <w:sz w:val="27"/>
          <w:rtl/>
        </w:rPr>
      </w:pPr>
      <w:r w:rsidRPr="006571AC">
        <w:rPr>
          <w:rFonts w:ascii="Simplified Arabic" w:hAnsi="Simplified Arabic" w:hint="cs"/>
          <w:sz w:val="27"/>
          <w:rtl/>
        </w:rPr>
        <w:t>يسعى الباحث في هذ</w:t>
      </w:r>
      <w:r w:rsidR="00B45869" w:rsidRPr="006571AC">
        <w:rPr>
          <w:rFonts w:ascii="Simplified Arabic" w:hAnsi="Simplified Arabic" w:hint="cs"/>
          <w:sz w:val="27"/>
          <w:rtl/>
        </w:rPr>
        <w:t>ا</w:t>
      </w:r>
      <w:r w:rsidRPr="006571AC">
        <w:rPr>
          <w:rFonts w:ascii="Simplified Arabic" w:hAnsi="Simplified Arabic" w:hint="cs"/>
          <w:sz w:val="27"/>
          <w:rtl/>
        </w:rPr>
        <w:t xml:space="preserve"> </w:t>
      </w:r>
      <w:r w:rsidR="00B45869" w:rsidRPr="006571AC">
        <w:rPr>
          <w:rFonts w:ascii="Simplified Arabic" w:hAnsi="Simplified Arabic" w:hint="cs"/>
          <w:sz w:val="27"/>
          <w:rtl/>
        </w:rPr>
        <w:t>المقال</w:t>
      </w:r>
      <w:r w:rsidRPr="006571AC">
        <w:rPr>
          <w:rFonts w:ascii="Simplified Arabic" w:hAnsi="Simplified Arabic" w:hint="cs"/>
          <w:sz w:val="27"/>
          <w:rtl/>
        </w:rPr>
        <w:t xml:space="preserve"> إلى المساهمة في تهديم أ</w:t>
      </w:r>
      <w:r w:rsidR="00273706" w:rsidRPr="006571AC">
        <w:rPr>
          <w:rFonts w:ascii="Simplified Arabic" w:hAnsi="Simplified Arabic" w:hint="cs"/>
          <w:sz w:val="27"/>
          <w:rtl/>
        </w:rPr>
        <w:t>ُ</w:t>
      </w:r>
      <w:r w:rsidRPr="006571AC">
        <w:rPr>
          <w:rFonts w:ascii="Simplified Arabic" w:hAnsi="Simplified Arabic" w:hint="cs"/>
          <w:sz w:val="27"/>
          <w:rtl/>
        </w:rPr>
        <w:t>س</w:t>
      </w:r>
      <w:r w:rsidR="00273706" w:rsidRPr="006571AC">
        <w:rPr>
          <w:rFonts w:ascii="Simplified Arabic" w:hAnsi="Simplified Arabic" w:hint="cs"/>
          <w:sz w:val="27"/>
          <w:rtl/>
        </w:rPr>
        <w:t>ُ</w:t>
      </w:r>
      <w:r w:rsidRPr="006571AC">
        <w:rPr>
          <w:rFonts w:ascii="Simplified Arabic" w:hAnsi="Simplified Arabic" w:hint="cs"/>
          <w:sz w:val="27"/>
          <w:rtl/>
        </w:rPr>
        <w:t>س وقواعد التطر</w:t>
      </w:r>
      <w:r w:rsidR="005434BD" w:rsidRPr="006571AC">
        <w:rPr>
          <w:rFonts w:ascii="Simplified Arabic" w:hAnsi="Simplified Arabic" w:hint="cs"/>
          <w:sz w:val="27"/>
          <w:rtl/>
        </w:rPr>
        <w:t>ُّ</w:t>
      </w:r>
      <w:r w:rsidRPr="006571AC">
        <w:rPr>
          <w:rFonts w:ascii="Simplified Arabic" w:hAnsi="Simplified Arabic" w:hint="cs"/>
          <w:sz w:val="27"/>
          <w:rtl/>
        </w:rPr>
        <w:t xml:space="preserve">ف في المجتمع، </w:t>
      </w:r>
      <w:r w:rsidR="005434BD" w:rsidRPr="006571AC">
        <w:rPr>
          <w:rFonts w:ascii="Simplified Arabic" w:hAnsi="Simplified Arabic" w:hint="cs"/>
          <w:sz w:val="27"/>
          <w:rtl/>
        </w:rPr>
        <w:t>وذلك من خلال</w:t>
      </w:r>
      <w:r w:rsidRPr="006571AC">
        <w:rPr>
          <w:rFonts w:ascii="Simplified Arabic" w:hAnsi="Simplified Arabic" w:hint="cs"/>
          <w:sz w:val="27"/>
          <w:rtl/>
        </w:rPr>
        <w:t xml:space="preserve"> مناقشة المباني الدينية التي </w:t>
      </w:r>
      <w:r w:rsidR="005434BD" w:rsidRPr="006571AC">
        <w:rPr>
          <w:rFonts w:ascii="Simplified Arabic" w:hAnsi="Simplified Arabic" w:hint="cs"/>
          <w:sz w:val="27"/>
          <w:rtl/>
        </w:rPr>
        <w:t>ت</w:t>
      </w:r>
      <w:r w:rsidRPr="006571AC">
        <w:rPr>
          <w:rFonts w:ascii="Simplified Arabic" w:hAnsi="Simplified Arabic" w:hint="cs"/>
          <w:sz w:val="27"/>
          <w:rtl/>
        </w:rPr>
        <w:t>ستند عليها الجماعات والتنظيمات المتطر</w:t>
      </w:r>
      <w:r w:rsidR="005434BD" w:rsidRPr="006571AC">
        <w:rPr>
          <w:rFonts w:ascii="Simplified Arabic" w:hAnsi="Simplified Arabic" w:hint="cs"/>
          <w:sz w:val="27"/>
          <w:rtl/>
        </w:rPr>
        <w:t>ِّ</w:t>
      </w:r>
      <w:r w:rsidRPr="006571AC">
        <w:rPr>
          <w:rFonts w:ascii="Simplified Arabic" w:hAnsi="Simplified Arabic" w:hint="cs"/>
          <w:sz w:val="27"/>
          <w:rtl/>
        </w:rPr>
        <w:t>فة؛ لأجل دفع تهمة التطر</w:t>
      </w:r>
      <w:r w:rsidR="005434BD" w:rsidRPr="006571AC">
        <w:rPr>
          <w:rFonts w:ascii="Simplified Arabic" w:hAnsi="Simplified Arabic" w:hint="cs"/>
          <w:sz w:val="27"/>
          <w:rtl/>
        </w:rPr>
        <w:t>ُّ</w:t>
      </w:r>
      <w:r w:rsidRPr="006571AC">
        <w:rPr>
          <w:rFonts w:ascii="Simplified Arabic" w:hAnsi="Simplified Arabic" w:hint="cs"/>
          <w:sz w:val="27"/>
          <w:rtl/>
        </w:rPr>
        <w:t>ف عن التشريع الإسلامي</w:t>
      </w:r>
      <w:r w:rsidR="005434BD" w:rsidRPr="006571AC">
        <w:rPr>
          <w:rFonts w:ascii="Simplified Arabic" w:hAnsi="Simplified Arabic" w:hint="cs"/>
          <w:sz w:val="27"/>
          <w:rtl/>
        </w:rPr>
        <w:t>،</w:t>
      </w:r>
      <w:r w:rsidRPr="006571AC">
        <w:rPr>
          <w:rFonts w:ascii="Simplified Arabic" w:hAnsi="Simplified Arabic" w:hint="cs"/>
          <w:sz w:val="27"/>
          <w:rtl/>
        </w:rPr>
        <w:t xml:space="preserve"> و</w:t>
      </w:r>
      <w:r w:rsidR="005434BD" w:rsidRPr="006571AC">
        <w:rPr>
          <w:rFonts w:ascii="Simplified Arabic" w:hAnsi="Simplified Arabic" w:hint="cs"/>
          <w:sz w:val="27"/>
          <w:rtl/>
        </w:rPr>
        <w:t>إ</w:t>
      </w:r>
      <w:r w:rsidRPr="006571AC">
        <w:rPr>
          <w:rFonts w:ascii="Simplified Arabic" w:hAnsi="Simplified Arabic" w:hint="cs"/>
          <w:sz w:val="27"/>
          <w:rtl/>
        </w:rPr>
        <w:t>براز جوانب الرحمة والإنساني</w:t>
      </w:r>
      <w:r w:rsidR="00B45869" w:rsidRPr="006571AC">
        <w:rPr>
          <w:rFonts w:ascii="Simplified Arabic" w:hAnsi="Simplified Arabic" w:hint="cs"/>
          <w:sz w:val="27"/>
          <w:rtl/>
        </w:rPr>
        <w:t>ّ</w:t>
      </w:r>
      <w:r w:rsidRPr="006571AC">
        <w:rPr>
          <w:rFonts w:ascii="Simplified Arabic" w:hAnsi="Simplified Arabic" w:hint="cs"/>
          <w:sz w:val="27"/>
          <w:rtl/>
        </w:rPr>
        <w:t>ة في التعامل مع مطلق المخالف في العقيدة والفكر والمنهج</w:t>
      </w:r>
      <w:r w:rsidR="005434BD" w:rsidRPr="006571AC">
        <w:rPr>
          <w:rFonts w:ascii="Simplified Arabic" w:hAnsi="Simplified Arabic" w:hint="cs"/>
          <w:sz w:val="27"/>
          <w:rtl/>
        </w:rPr>
        <w:t>.</w:t>
      </w:r>
      <w:r w:rsidRPr="006571AC">
        <w:rPr>
          <w:rFonts w:ascii="Simplified Arabic" w:hAnsi="Simplified Arabic" w:hint="cs"/>
          <w:sz w:val="27"/>
          <w:rtl/>
        </w:rPr>
        <w:t xml:space="preserve"> فلا يوجد ما يدل</w:t>
      </w:r>
      <w:r w:rsidR="005434BD" w:rsidRPr="006571AC">
        <w:rPr>
          <w:rFonts w:ascii="Simplified Arabic" w:hAnsi="Simplified Arabic" w:hint="cs"/>
          <w:sz w:val="27"/>
          <w:rtl/>
        </w:rPr>
        <w:t>ّ</w:t>
      </w:r>
      <w:r w:rsidRPr="006571AC">
        <w:rPr>
          <w:rFonts w:ascii="Simplified Arabic" w:hAnsi="Simplified Arabic" w:hint="cs"/>
          <w:sz w:val="27"/>
          <w:rtl/>
        </w:rPr>
        <w:t xml:space="preserve"> على استضعاف المخالف أو قتله</w:t>
      </w:r>
      <w:r w:rsidR="005434BD" w:rsidRPr="006571AC">
        <w:rPr>
          <w:rFonts w:ascii="Simplified Arabic" w:hAnsi="Simplified Arabic" w:hint="cs"/>
          <w:sz w:val="27"/>
          <w:rtl/>
        </w:rPr>
        <w:t>؛</w:t>
      </w:r>
      <w:r w:rsidRPr="006571AC">
        <w:rPr>
          <w:rFonts w:ascii="Simplified Arabic" w:hAnsi="Simplified Arabic" w:hint="cs"/>
          <w:sz w:val="27"/>
          <w:rtl/>
        </w:rPr>
        <w:t xml:space="preserve"> لمجر</w:t>
      </w:r>
      <w:r w:rsidR="005434BD" w:rsidRPr="006571AC">
        <w:rPr>
          <w:rFonts w:ascii="Simplified Arabic" w:hAnsi="Simplified Arabic" w:hint="cs"/>
          <w:sz w:val="27"/>
          <w:rtl/>
        </w:rPr>
        <w:t>ّ</w:t>
      </w:r>
      <w:r w:rsidRPr="006571AC">
        <w:rPr>
          <w:rFonts w:ascii="Simplified Arabic" w:hAnsi="Simplified Arabic" w:hint="cs"/>
          <w:sz w:val="27"/>
          <w:rtl/>
        </w:rPr>
        <w:t>د الكفر، بل القتل عنوان</w:t>
      </w:r>
      <w:r w:rsidR="005434BD" w:rsidRPr="006571AC">
        <w:rPr>
          <w:rFonts w:ascii="Simplified Arabic" w:hAnsi="Simplified Arabic" w:hint="cs"/>
          <w:sz w:val="27"/>
          <w:rtl/>
        </w:rPr>
        <w:t>ٌ</w:t>
      </w:r>
      <w:r w:rsidRPr="006571AC">
        <w:rPr>
          <w:rFonts w:ascii="Simplified Arabic" w:hAnsi="Simplified Arabic" w:hint="cs"/>
          <w:sz w:val="27"/>
          <w:rtl/>
        </w:rPr>
        <w:t xml:space="preserve"> يحصل لأسباب موضوعي</w:t>
      </w:r>
      <w:r w:rsidR="005434BD" w:rsidRPr="006571AC">
        <w:rPr>
          <w:rFonts w:ascii="Simplified Arabic" w:hAnsi="Simplified Arabic" w:hint="cs"/>
          <w:sz w:val="27"/>
          <w:rtl/>
        </w:rPr>
        <w:t>ّ</w:t>
      </w:r>
      <w:r w:rsidRPr="006571AC">
        <w:rPr>
          <w:rFonts w:ascii="Simplified Arabic" w:hAnsi="Simplified Arabic" w:hint="cs"/>
          <w:sz w:val="27"/>
          <w:rtl/>
        </w:rPr>
        <w:t>ة</w:t>
      </w:r>
      <w:r w:rsidR="005434BD" w:rsidRPr="006571AC">
        <w:rPr>
          <w:rFonts w:ascii="Simplified Arabic" w:hAnsi="Simplified Arabic" w:hint="cs"/>
          <w:sz w:val="27"/>
          <w:rtl/>
        </w:rPr>
        <w:t>،</w:t>
      </w:r>
      <w:r w:rsidRPr="006571AC">
        <w:rPr>
          <w:rFonts w:ascii="Simplified Arabic" w:hAnsi="Simplified Arabic" w:hint="cs"/>
          <w:sz w:val="27"/>
          <w:rtl/>
        </w:rPr>
        <w:t xml:space="preserve"> كرد</w:t>
      </w:r>
      <w:r w:rsidR="005434BD" w:rsidRPr="006571AC">
        <w:rPr>
          <w:rFonts w:ascii="Simplified Arabic" w:hAnsi="Simplified Arabic" w:hint="cs"/>
          <w:sz w:val="27"/>
          <w:rtl/>
        </w:rPr>
        <w:t xml:space="preserve">ّ </w:t>
      </w:r>
      <w:r w:rsidRPr="006571AC">
        <w:rPr>
          <w:rFonts w:ascii="Simplified Arabic" w:hAnsi="Simplified Arabic" w:hint="cs"/>
          <w:sz w:val="27"/>
          <w:rtl/>
        </w:rPr>
        <w:t>العدوان</w:t>
      </w:r>
      <w:r w:rsidR="005434BD" w:rsidRPr="006571AC">
        <w:rPr>
          <w:rFonts w:ascii="Simplified Arabic" w:hAnsi="Simplified Arabic" w:hint="cs"/>
          <w:sz w:val="27"/>
          <w:rtl/>
        </w:rPr>
        <w:t>،</w:t>
      </w:r>
      <w:r w:rsidRPr="006571AC">
        <w:rPr>
          <w:rFonts w:ascii="Simplified Arabic" w:hAnsi="Simplified Arabic" w:hint="cs"/>
          <w:sz w:val="27"/>
          <w:rtl/>
        </w:rPr>
        <w:t xml:space="preserve"> أو الدفاع عن المستضعفين</w:t>
      </w:r>
      <w:r w:rsidR="005434BD" w:rsidRPr="006571AC">
        <w:rPr>
          <w:rFonts w:ascii="Simplified Arabic" w:hAnsi="Simplified Arabic" w:hint="cs"/>
          <w:sz w:val="27"/>
          <w:rtl/>
        </w:rPr>
        <w:t>.</w:t>
      </w:r>
      <w:r w:rsidRPr="006571AC">
        <w:rPr>
          <w:rFonts w:ascii="Simplified Arabic" w:hAnsi="Simplified Arabic" w:hint="cs"/>
          <w:sz w:val="27"/>
          <w:rtl/>
        </w:rPr>
        <w:t xml:space="preserve"> ويستوي في ذلك المسلم والكافر. </w:t>
      </w:r>
    </w:p>
    <w:p w:rsidR="005A03A8" w:rsidRPr="006571AC" w:rsidRDefault="005A03A8" w:rsidP="00173661">
      <w:pPr>
        <w:autoSpaceDE w:val="0"/>
        <w:autoSpaceDN w:val="0"/>
        <w:adjustRightInd w:val="0"/>
        <w:spacing w:line="420" w:lineRule="exact"/>
        <w:rPr>
          <w:rFonts w:ascii="Simplified Arabic" w:hAnsi="Simplified Arabic"/>
          <w:sz w:val="27"/>
          <w:rtl/>
        </w:rPr>
      </w:pPr>
      <w:r w:rsidRPr="006571AC">
        <w:rPr>
          <w:rFonts w:ascii="Simplified Arabic" w:hAnsi="Simplified Arabic" w:hint="cs"/>
          <w:sz w:val="27"/>
          <w:rtl/>
        </w:rPr>
        <w:t xml:space="preserve">وقد قام الباحث بدراسة </w:t>
      </w:r>
      <w:r w:rsidR="00273706" w:rsidRPr="006571AC">
        <w:rPr>
          <w:rFonts w:hint="eastAsia"/>
          <w:sz w:val="24"/>
          <w:szCs w:val="24"/>
          <w:rtl/>
        </w:rPr>
        <w:t>«</w:t>
      </w:r>
      <w:r w:rsidRPr="006571AC">
        <w:rPr>
          <w:rFonts w:ascii="Simplified Arabic" w:hAnsi="Simplified Arabic" w:hint="cs"/>
          <w:sz w:val="27"/>
          <w:rtl/>
        </w:rPr>
        <w:t>حديث المقات</w:t>
      </w:r>
      <w:r w:rsidR="002B5E9D" w:rsidRPr="006571AC">
        <w:rPr>
          <w:rFonts w:ascii="Simplified Arabic" w:hAnsi="Simplified Arabic" w:hint="cs"/>
          <w:sz w:val="27"/>
          <w:rtl/>
        </w:rPr>
        <w:t>َ</w:t>
      </w:r>
      <w:r w:rsidRPr="006571AC">
        <w:rPr>
          <w:rFonts w:ascii="Simplified Arabic" w:hAnsi="Simplified Arabic" w:hint="cs"/>
          <w:sz w:val="27"/>
          <w:rtl/>
        </w:rPr>
        <w:t>لة</w:t>
      </w:r>
      <w:r w:rsidR="00273706" w:rsidRPr="006571AC">
        <w:rPr>
          <w:rFonts w:hint="eastAsia"/>
          <w:sz w:val="24"/>
          <w:szCs w:val="24"/>
          <w:rtl/>
        </w:rPr>
        <w:t>»</w:t>
      </w:r>
      <w:r w:rsidR="005434BD" w:rsidRPr="006571AC">
        <w:rPr>
          <w:rFonts w:ascii="Simplified Arabic" w:hAnsi="Simplified Arabic" w:hint="cs"/>
          <w:sz w:val="27"/>
          <w:rtl/>
        </w:rPr>
        <w:t>،</w:t>
      </w:r>
      <w:r w:rsidRPr="006571AC">
        <w:rPr>
          <w:rFonts w:ascii="Simplified Arabic" w:hAnsi="Simplified Arabic" w:hint="cs"/>
          <w:sz w:val="27"/>
          <w:rtl/>
        </w:rPr>
        <w:t xml:space="preserve"> الذي يدل</w:t>
      </w:r>
      <w:r w:rsidR="005434BD" w:rsidRPr="006571AC">
        <w:rPr>
          <w:rFonts w:ascii="Simplified Arabic" w:hAnsi="Simplified Arabic" w:hint="cs"/>
          <w:sz w:val="27"/>
          <w:rtl/>
        </w:rPr>
        <w:t>ّ</w:t>
      </w:r>
      <w:r w:rsidRPr="006571AC">
        <w:rPr>
          <w:rFonts w:ascii="Simplified Arabic" w:hAnsi="Simplified Arabic" w:hint="cs"/>
          <w:sz w:val="27"/>
          <w:rtl/>
        </w:rPr>
        <w:t xml:space="preserve"> بظاهره على كون الكفر سبباً لوجوب القتال، من جهت</w:t>
      </w:r>
      <w:r w:rsidR="002B5E9D" w:rsidRPr="006571AC">
        <w:rPr>
          <w:rFonts w:ascii="Simplified Arabic" w:hAnsi="Simplified Arabic" w:hint="cs"/>
          <w:sz w:val="27"/>
          <w:rtl/>
        </w:rPr>
        <w:t>َ</w:t>
      </w:r>
      <w:r w:rsidRPr="006571AC">
        <w:rPr>
          <w:rFonts w:ascii="Simplified Arabic" w:hAnsi="Simplified Arabic" w:hint="cs"/>
          <w:sz w:val="27"/>
          <w:rtl/>
        </w:rPr>
        <w:t>ي</w:t>
      </w:r>
      <w:r w:rsidR="002B5E9D" w:rsidRPr="006571AC">
        <w:rPr>
          <w:rFonts w:ascii="Simplified Arabic" w:hAnsi="Simplified Arabic" w:hint="cs"/>
          <w:sz w:val="27"/>
          <w:rtl/>
        </w:rPr>
        <w:t>ْ</w:t>
      </w:r>
      <w:r w:rsidRPr="006571AC">
        <w:rPr>
          <w:rFonts w:ascii="Simplified Arabic" w:hAnsi="Simplified Arabic" w:hint="cs"/>
          <w:sz w:val="27"/>
          <w:rtl/>
        </w:rPr>
        <w:t xml:space="preserve"> السند والدلالة</w:t>
      </w:r>
      <w:r w:rsidR="00545D39" w:rsidRPr="006571AC">
        <w:rPr>
          <w:rFonts w:ascii="Simplified Arabic" w:hAnsi="Simplified Arabic" w:hint="cs"/>
          <w:sz w:val="27"/>
          <w:rtl/>
        </w:rPr>
        <w:t>؛</w:t>
      </w:r>
      <w:r w:rsidRPr="006571AC">
        <w:rPr>
          <w:rFonts w:ascii="Simplified Arabic" w:hAnsi="Simplified Arabic" w:hint="cs"/>
          <w:sz w:val="27"/>
          <w:rtl/>
        </w:rPr>
        <w:t xml:space="preserve"> فناقش </w:t>
      </w:r>
      <w:r w:rsidRPr="006571AC">
        <w:rPr>
          <w:rFonts w:ascii="Simplified Arabic" w:hAnsi="Simplified Arabic"/>
          <w:sz w:val="27"/>
          <w:rtl/>
        </w:rPr>
        <w:t xml:space="preserve">جميع أسانيد هذا الخبر عند </w:t>
      </w:r>
      <w:r w:rsidRPr="006571AC">
        <w:rPr>
          <w:rFonts w:ascii="Simplified Arabic" w:hAnsi="Simplified Arabic" w:hint="cs"/>
          <w:sz w:val="27"/>
          <w:rtl/>
        </w:rPr>
        <w:t xml:space="preserve">الشيعة </w:t>
      </w:r>
      <w:r w:rsidRPr="006571AC">
        <w:rPr>
          <w:rFonts w:ascii="Simplified Arabic" w:hAnsi="Simplified Arabic"/>
          <w:sz w:val="27"/>
          <w:rtl/>
        </w:rPr>
        <w:t xml:space="preserve">الإمامية </w:t>
      </w:r>
      <w:r w:rsidR="00545D39" w:rsidRPr="006571AC">
        <w:rPr>
          <w:rFonts w:ascii="Simplified Arabic" w:hAnsi="Simplified Arabic" w:hint="cs"/>
          <w:sz w:val="27"/>
          <w:rtl/>
        </w:rPr>
        <w:t>وغيرهم</w:t>
      </w:r>
      <w:r w:rsidRPr="006571AC">
        <w:rPr>
          <w:rFonts w:ascii="Simplified Arabic" w:hAnsi="Simplified Arabic"/>
          <w:sz w:val="27"/>
          <w:rtl/>
        </w:rPr>
        <w:t xml:space="preserve"> من المذاهب الإسلامية.</w:t>
      </w:r>
      <w:r w:rsidRPr="006571AC">
        <w:rPr>
          <w:rFonts w:ascii="Simplified Arabic" w:hAnsi="Simplified Arabic" w:hint="cs"/>
          <w:sz w:val="27"/>
          <w:rtl/>
        </w:rPr>
        <w:t xml:space="preserve"> </w:t>
      </w:r>
    </w:p>
    <w:p w:rsidR="005A03A8" w:rsidRPr="006571AC" w:rsidRDefault="005A03A8" w:rsidP="00173661">
      <w:pPr>
        <w:autoSpaceDE w:val="0"/>
        <w:autoSpaceDN w:val="0"/>
        <w:adjustRightInd w:val="0"/>
        <w:spacing w:line="420" w:lineRule="exact"/>
        <w:rPr>
          <w:rFonts w:ascii="Simplified Arabic" w:hAnsi="Simplified Arabic"/>
          <w:sz w:val="27"/>
          <w:rtl/>
        </w:rPr>
      </w:pPr>
      <w:r w:rsidRPr="006571AC">
        <w:rPr>
          <w:rFonts w:ascii="Simplified Arabic" w:hAnsi="Simplified Arabic" w:hint="cs"/>
          <w:sz w:val="27"/>
          <w:rtl/>
        </w:rPr>
        <w:t>كما ناقش في</w:t>
      </w:r>
      <w:r w:rsidRPr="006571AC">
        <w:rPr>
          <w:rFonts w:ascii="Simplified Arabic" w:hAnsi="Simplified Arabic"/>
          <w:sz w:val="27"/>
          <w:rtl/>
        </w:rPr>
        <w:t xml:space="preserve"> دلال</w:t>
      </w:r>
      <w:r w:rsidRPr="006571AC">
        <w:rPr>
          <w:rFonts w:ascii="Simplified Arabic" w:hAnsi="Simplified Arabic" w:hint="cs"/>
          <w:sz w:val="27"/>
          <w:rtl/>
        </w:rPr>
        <w:t>ته</w:t>
      </w:r>
      <w:r w:rsidR="00545D39"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 xml:space="preserve">بعد أن </w:t>
      </w:r>
      <w:r w:rsidRPr="006571AC">
        <w:rPr>
          <w:rFonts w:ascii="Simplified Arabic" w:hAnsi="Simplified Arabic"/>
          <w:sz w:val="27"/>
          <w:rtl/>
        </w:rPr>
        <w:t>عرضه على الكتاب الشريف والسن</w:t>
      </w:r>
      <w:r w:rsidR="00545D39" w:rsidRPr="006571AC">
        <w:rPr>
          <w:rFonts w:ascii="Simplified Arabic" w:hAnsi="Simplified Arabic" w:hint="cs"/>
          <w:sz w:val="27"/>
          <w:rtl/>
        </w:rPr>
        <w:t>ّ</w:t>
      </w:r>
      <w:r w:rsidRPr="006571AC">
        <w:rPr>
          <w:rFonts w:ascii="Simplified Arabic" w:hAnsi="Simplified Arabic"/>
          <w:sz w:val="27"/>
          <w:rtl/>
        </w:rPr>
        <w:t>ة المعتبرة والسيرة القطعي</w:t>
      </w:r>
      <w:r w:rsidR="00545D39" w:rsidRPr="006571AC">
        <w:rPr>
          <w:rFonts w:ascii="Simplified Arabic" w:hAnsi="Simplified Arabic" w:hint="cs"/>
          <w:sz w:val="27"/>
          <w:rtl/>
        </w:rPr>
        <w:t>ّ</w:t>
      </w:r>
      <w:r w:rsidRPr="006571AC">
        <w:rPr>
          <w:rFonts w:ascii="Simplified Arabic" w:hAnsi="Simplified Arabic"/>
          <w:sz w:val="27"/>
          <w:rtl/>
        </w:rPr>
        <w:t>ة للمعصوم</w:t>
      </w:r>
      <w:r w:rsidR="002A2C90" w:rsidRPr="006571AC">
        <w:rPr>
          <w:rFonts w:ascii="Mosawi" w:hAnsi="Mosawi" w:cs="Mosawi"/>
          <w:sz w:val="22"/>
          <w:szCs w:val="22"/>
          <w:rtl/>
        </w:rPr>
        <w:t>×</w:t>
      </w:r>
      <w:r w:rsidR="00545D39" w:rsidRPr="006571AC">
        <w:rPr>
          <w:rFonts w:ascii="Simplified Arabic" w:hAnsi="Simplified Arabic" w:hint="cs"/>
          <w:sz w:val="27"/>
          <w:rtl/>
        </w:rPr>
        <w:t>،</w:t>
      </w:r>
      <w:r w:rsidRPr="006571AC">
        <w:rPr>
          <w:rFonts w:ascii="Simplified Arabic" w:hAnsi="Simplified Arabic" w:hint="cs"/>
          <w:sz w:val="27"/>
          <w:rtl/>
        </w:rPr>
        <w:t xml:space="preserve"> وتوص</w:t>
      </w:r>
      <w:r w:rsidR="00545D39" w:rsidRPr="006571AC">
        <w:rPr>
          <w:rFonts w:ascii="Simplified Arabic" w:hAnsi="Simplified Arabic" w:hint="cs"/>
          <w:sz w:val="27"/>
          <w:rtl/>
        </w:rPr>
        <w:t>َّ</w:t>
      </w:r>
      <w:r w:rsidRPr="006571AC">
        <w:rPr>
          <w:rFonts w:ascii="Simplified Arabic" w:hAnsi="Simplified Arabic" w:hint="cs"/>
          <w:sz w:val="27"/>
          <w:rtl/>
        </w:rPr>
        <w:t>ل إلى اختصاص المقاتلة</w:t>
      </w:r>
      <w:r w:rsidRPr="006571AC">
        <w:rPr>
          <w:rFonts w:ascii="Simplified Arabic" w:hAnsi="Simplified Arabic"/>
          <w:sz w:val="27"/>
          <w:rtl/>
        </w:rPr>
        <w:t xml:space="preserve"> بحالة رد</w:t>
      </w:r>
      <w:r w:rsidR="00545D39" w:rsidRPr="006571AC">
        <w:rPr>
          <w:rFonts w:ascii="Simplified Arabic" w:hAnsi="Simplified Arabic" w:hint="cs"/>
          <w:sz w:val="27"/>
          <w:rtl/>
        </w:rPr>
        <w:t>ّ</w:t>
      </w:r>
      <w:r w:rsidRPr="006571AC">
        <w:rPr>
          <w:rFonts w:ascii="Simplified Arabic" w:hAnsi="Simplified Arabic"/>
          <w:sz w:val="27"/>
          <w:rtl/>
        </w:rPr>
        <w:t xml:space="preserve"> العدوان</w:t>
      </w:r>
      <w:r w:rsidR="00545D39" w:rsidRPr="006571AC">
        <w:rPr>
          <w:rFonts w:ascii="Simplified Arabic" w:hAnsi="Simplified Arabic" w:hint="cs"/>
          <w:sz w:val="27"/>
          <w:rtl/>
        </w:rPr>
        <w:t>،</w:t>
      </w:r>
      <w:r w:rsidRPr="006571AC">
        <w:rPr>
          <w:rFonts w:ascii="Simplified Arabic" w:hAnsi="Simplified Arabic"/>
          <w:sz w:val="27"/>
          <w:rtl/>
        </w:rPr>
        <w:t xml:space="preserve"> والدفاع عن بيضة الإسلام أو المستضعفين في الأرض</w:t>
      </w:r>
      <w:r w:rsidR="00545D39" w:rsidRPr="006571AC">
        <w:rPr>
          <w:rFonts w:ascii="Simplified Arabic" w:hAnsi="Simplified Arabic" w:hint="cs"/>
          <w:sz w:val="27"/>
          <w:rtl/>
        </w:rPr>
        <w:t>،</w:t>
      </w:r>
      <w:r w:rsidRPr="006571AC">
        <w:rPr>
          <w:rFonts w:ascii="Simplified Arabic" w:hAnsi="Simplified Arabic"/>
          <w:sz w:val="27"/>
          <w:rtl/>
        </w:rPr>
        <w:t xml:space="preserve"> ولا يمكن تعميمه لكل</w:t>
      </w:r>
      <w:r w:rsidR="00545D39" w:rsidRPr="006571AC">
        <w:rPr>
          <w:rFonts w:ascii="Simplified Arabic" w:hAnsi="Simplified Arabic" w:hint="cs"/>
          <w:sz w:val="27"/>
          <w:rtl/>
        </w:rPr>
        <w:t>ّ</w:t>
      </w:r>
      <w:r w:rsidRPr="006571AC">
        <w:rPr>
          <w:rFonts w:ascii="Simplified Arabic" w:hAnsi="Simplified Arabic"/>
          <w:sz w:val="27"/>
          <w:rtl/>
        </w:rPr>
        <w:t xml:space="preserve"> كافر</w:t>
      </w:r>
      <w:r w:rsidR="00545D39" w:rsidRPr="006571AC">
        <w:rPr>
          <w:rFonts w:ascii="Simplified Arabic" w:hAnsi="Simplified Arabic" w:hint="cs"/>
          <w:sz w:val="27"/>
          <w:rtl/>
        </w:rPr>
        <w:t>ٍ</w:t>
      </w:r>
      <w:r w:rsidRPr="006571AC">
        <w:rPr>
          <w:rFonts w:ascii="Simplified Arabic" w:hAnsi="Simplified Arabic"/>
          <w:sz w:val="27"/>
          <w:rtl/>
        </w:rPr>
        <w:t xml:space="preserve"> في جميع بقاع الأرض</w:t>
      </w:r>
      <w:r w:rsidR="00545D39" w:rsidRPr="006571AC">
        <w:rPr>
          <w:rFonts w:ascii="Simplified Arabic" w:hAnsi="Simplified Arabic" w:hint="cs"/>
          <w:sz w:val="27"/>
          <w:rtl/>
        </w:rPr>
        <w:t>.</w:t>
      </w:r>
    </w:p>
    <w:p w:rsidR="005A03A8" w:rsidRPr="006571AC" w:rsidRDefault="005A03A8" w:rsidP="003357AD">
      <w:pPr>
        <w:pStyle w:val="31"/>
        <w:rPr>
          <w:color w:val="auto"/>
          <w:rtl/>
          <w:lang w:bidi="ar-IQ"/>
        </w:rPr>
      </w:pPr>
      <w:bookmarkStart w:id="309" w:name="_Toc114164735"/>
      <w:r w:rsidRPr="006571AC">
        <w:rPr>
          <w:rFonts w:hint="cs"/>
          <w:color w:val="auto"/>
          <w:rtl/>
          <w:lang w:bidi="ar-IQ"/>
        </w:rPr>
        <w:lastRenderedPageBreak/>
        <w:t>تمهيدٌ</w:t>
      </w:r>
      <w:bookmarkEnd w:id="309"/>
    </w:p>
    <w:p w:rsidR="005A03A8" w:rsidRPr="006571AC" w:rsidRDefault="005A03A8" w:rsidP="00E11021">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لا شبهة في </w:t>
      </w:r>
      <w:r w:rsidR="00545D39"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ن القاعدة الأساس في التعاملات الإنسانية مع الآخر في الدين الإسلامي مبني</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على الرحمة والمحب</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والتسامح، ولا ي</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صار إلى الحرب والقتال إلا</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حالات رد</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الاعتداء والظلم أو الدفاع عن المستضعفين في البلاد الأخرى</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ونحو ذلك مم</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ا يحس</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نه العقل</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ويرشد </w:t>
      </w:r>
      <w:r w:rsidR="00FB7215" w:rsidRPr="006571AC">
        <w:rPr>
          <w:rFonts w:ascii="Simplified Arabic" w:hAnsi="Simplified Arabic" w:cs="AL-Mohanad" w:hint="cs"/>
          <w:sz w:val="27"/>
          <w:szCs w:val="27"/>
          <w:rtl/>
          <w:lang w:bidi="ar-IQ"/>
        </w:rPr>
        <w:t>و</w:t>
      </w:r>
      <w:r w:rsidRPr="006571AC">
        <w:rPr>
          <w:rFonts w:ascii="Simplified Arabic" w:hAnsi="Simplified Arabic" w:cs="AL-Mohanad"/>
          <w:sz w:val="27"/>
          <w:szCs w:val="27"/>
          <w:rtl/>
          <w:lang w:bidi="ar-IQ"/>
        </w:rPr>
        <w:t xml:space="preserve">يدعو إليه العقلاء. </w:t>
      </w:r>
    </w:p>
    <w:p w:rsidR="00FB7215" w:rsidRPr="006571AC" w:rsidRDefault="005A03A8" w:rsidP="00E11021">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بَيْدَ </w:t>
      </w:r>
      <w:r w:rsidR="00FB7215"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نه برز</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ت</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طوائف تد</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عي </w:t>
      </w:r>
      <w:r w:rsidRPr="006571AC">
        <w:rPr>
          <w:rFonts w:ascii="Simplified Arabic" w:hAnsi="Simplified Arabic" w:cs="AL-Mohanad" w:hint="cs"/>
          <w:sz w:val="27"/>
          <w:szCs w:val="27"/>
          <w:rtl/>
          <w:lang w:bidi="ar-IQ"/>
        </w:rPr>
        <w:t>الانتماء</w:t>
      </w:r>
      <w:r w:rsidRPr="006571AC">
        <w:rPr>
          <w:rFonts w:ascii="Simplified Arabic" w:hAnsi="Simplified Arabic" w:cs="AL-Mohanad"/>
          <w:sz w:val="27"/>
          <w:szCs w:val="27"/>
          <w:rtl/>
          <w:lang w:bidi="ar-IQ"/>
        </w:rPr>
        <w:t xml:space="preserve"> للدين الإسلامي</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وتتحد</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ث بلغة القرآن والسن</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قد حفظوا قشوراً</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وغاب عنهم روح الد</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ين وأهدافه ومقاصده، أس</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سوا لفقه التطر</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والتكفير، وب</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ني</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ت</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منظومتهم التشريعية على مجموعة</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الأحاديث والأخبار</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التي تمث</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القاعدة الأساس لهم في إثبات القتل لكل</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كافر</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ومخالف</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بل لكاف</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الأمم والملل</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بحيث لا يخرج عن هذه الدائرة إلا</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خصوص م</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يدين بمذهبهم</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ويعتقد بجميع اعتقاداتهم</w:t>
      </w:r>
      <w:r w:rsidR="00FB7215" w:rsidRPr="006571AC">
        <w:rPr>
          <w:rFonts w:ascii="Simplified Arabic" w:hAnsi="Simplified Arabic" w:cs="AL-Mohanad" w:hint="cs"/>
          <w:sz w:val="27"/>
          <w:szCs w:val="27"/>
          <w:rtl/>
          <w:lang w:bidi="ar-IQ"/>
        </w:rPr>
        <w:t>.</w:t>
      </w:r>
    </w:p>
    <w:p w:rsidR="005A03A8" w:rsidRPr="006571AC" w:rsidRDefault="005A03A8" w:rsidP="00E11021">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وهذا مخالف</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لضرورة العقل</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وسيرة العقلاء</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إذ لا يمكن أن يصدر من عاقل</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الحكم بوجوب قتل جميع م</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الأرض</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إلا</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هو وأتباعه</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الذين لا يمث</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لون في عصر صدور هذه النصوص إلا</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1 أو 2%، فضلا</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عن صدوره عن نبي</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معصوم</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مسد</w:t>
      </w:r>
      <w:r w:rsidR="00FB7215"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د</w:t>
      </w:r>
      <w:r w:rsidRPr="006571AC">
        <w:rPr>
          <w:rFonts w:ascii="Simplified Arabic" w:hAnsi="Simplified Arabic" w:cs="AL-Mohanad"/>
          <w:sz w:val="27"/>
          <w:szCs w:val="27"/>
          <w:rtl/>
          <w:lang w:bidi="ar-IQ"/>
        </w:rPr>
        <w:t xml:space="preserve"> من الله تعالى الحكيم العادل</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ولو تتب</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عنا نصوص القرآن وسيرة الرسول</w:t>
      </w:r>
      <w:r w:rsidR="002A2C90" w:rsidRPr="006571AC">
        <w:rPr>
          <w:rFonts w:ascii="Mosawi" w:hAnsi="Mosawi" w:cs="Mosawi"/>
          <w:rtl/>
        </w:rPr>
        <w:t>|</w:t>
      </w:r>
      <w:r w:rsidRPr="006571AC">
        <w:rPr>
          <w:rFonts w:ascii="Simplified Arabic" w:hAnsi="Simplified Arabic" w:cs="AL-Mohanad"/>
          <w:sz w:val="27"/>
          <w:szCs w:val="27"/>
          <w:rtl/>
          <w:lang w:bidi="ar-IQ"/>
        </w:rPr>
        <w:t xml:space="preserve"> وأخلاقيات المعصومين</w:t>
      </w:r>
      <w:r w:rsidR="002A2C90" w:rsidRPr="006571AC">
        <w:rPr>
          <w:rFonts w:ascii="Mosawi" w:hAnsi="Mosawi" w:cs="Mosawi"/>
          <w:rtl/>
        </w:rPr>
        <w:t>^</w:t>
      </w:r>
      <w:r w:rsidR="0070361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w:t>
      </w:r>
      <w:r w:rsidR="00703611" w:rsidRPr="006571AC">
        <w:rPr>
          <w:rFonts w:ascii="Simplified Arabic" w:hAnsi="Simplified Arabic" w:cs="AL-Mohanad" w:hint="cs"/>
          <w:sz w:val="27"/>
          <w:szCs w:val="27"/>
          <w:rtl/>
          <w:lang w:bidi="ar-IQ"/>
        </w:rPr>
        <w:t>ت</w:t>
      </w:r>
      <w:r w:rsidRPr="006571AC">
        <w:rPr>
          <w:rFonts w:ascii="Simplified Arabic" w:hAnsi="Simplified Arabic" w:cs="AL-Mohanad"/>
          <w:sz w:val="27"/>
          <w:szCs w:val="27"/>
          <w:rtl/>
          <w:lang w:bidi="ar-IQ"/>
        </w:rPr>
        <w:t xml:space="preserve">ي </w:t>
      </w:r>
      <w:r w:rsidR="00703611" w:rsidRPr="006571AC">
        <w:rPr>
          <w:rFonts w:ascii="Simplified Arabic" w:hAnsi="Simplified Arabic" w:cs="AL-Mohanad" w:hint="cs"/>
          <w:sz w:val="27"/>
          <w:szCs w:val="27"/>
          <w:rtl/>
          <w:lang w:bidi="ar-IQ"/>
        </w:rPr>
        <w:t>ت</w:t>
      </w:r>
      <w:r w:rsidRPr="006571AC">
        <w:rPr>
          <w:rFonts w:ascii="Simplified Arabic" w:hAnsi="Simplified Arabic" w:cs="AL-Mohanad"/>
          <w:sz w:val="27"/>
          <w:szCs w:val="27"/>
          <w:rtl/>
          <w:lang w:bidi="ar-IQ"/>
        </w:rPr>
        <w:t>تعارض وظاهر نصوص التطر</w:t>
      </w:r>
      <w:r w:rsidR="0070361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w:t>
      </w:r>
      <w:r w:rsidR="0070361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لأمكن الحكم ببطلان هذا الف</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w:t>
      </w:r>
      <w:r w:rsidR="0070361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وق</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ح هذا السلوك. </w:t>
      </w:r>
    </w:p>
    <w:p w:rsidR="005A03A8" w:rsidRPr="006571AC" w:rsidRDefault="005A03A8" w:rsidP="00F66487">
      <w:pPr>
        <w:pStyle w:val="afffffff6"/>
        <w:bidi/>
        <w:spacing w:line="38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ويمكن تقسيم هذه الأخبار وال</w:t>
      </w:r>
      <w:r w:rsidR="00703611"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 xml:space="preserve">حاديث </w:t>
      </w:r>
      <w:r w:rsidR="00703611"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 xml:space="preserve">لى قسمين: </w:t>
      </w:r>
    </w:p>
    <w:p w:rsidR="005A03A8" w:rsidRPr="006571AC" w:rsidRDefault="00703611" w:rsidP="00E11021">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b/>
          <w:bCs/>
          <w:sz w:val="27"/>
          <w:szCs w:val="27"/>
          <w:rtl/>
          <w:lang w:bidi="ar-IQ"/>
        </w:rPr>
        <w:t xml:space="preserve">القسم </w:t>
      </w:r>
      <w:r w:rsidR="005A03A8" w:rsidRPr="006571AC">
        <w:rPr>
          <w:rFonts w:ascii="Simplified Arabic" w:hAnsi="Simplified Arabic" w:cs="AL-Mohanad"/>
          <w:b/>
          <w:bCs/>
          <w:sz w:val="27"/>
          <w:szCs w:val="27"/>
          <w:rtl/>
          <w:lang w:bidi="ar-IQ"/>
        </w:rPr>
        <w:t>الأو</w:t>
      </w:r>
      <w:r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ل</w:t>
      </w:r>
      <w:r w:rsidR="005A03A8" w:rsidRPr="006571AC">
        <w:rPr>
          <w:rFonts w:ascii="Simplified Arabic" w:hAnsi="Simplified Arabic" w:cs="AL-Mohanad"/>
          <w:sz w:val="27"/>
          <w:szCs w:val="27"/>
          <w:rtl/>
          <w:lang w:bidi="ar-IQ"/>
        </w:rPr>
        <w:t>: ما كانت ضعيفة</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بل موضوعة</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على لسان الرسول الأكرم</w:t>
      </w:r>
      <w:r w:rsidR="002A2C90" w:rsidRPr="006571AC">
        <w:rPr>
          <w:rFonts w:ascii="Mosawi" w:hAnsi="Mosawi" w:cs="Mosawi"/>
          <w:rtl/>
        </w:rPr>
        <w:t>|</w:t>
      </w:r>
      <w:r w:rsidR="005A03A8" w:rsidRPr="006571AC">
        <w:rPr>
          <w:rFonts w:ascii="Simplified Arabic" w:hAnsi="Simplified Arabic" w:cs="AL-Mohanad"/>
          <w:sz w:val="27"/>
          <w:szCs w:val="27"/>
          <w:rtl/>
          <w:lang w:bidi="ar-IQ"/>
        </w:rPr>
        <w:t xml:space="preserve">، </w:t>
      </w:r>
      <w:r w:rsidR="005A03A8" w:rsidRPr="006571AC">
        <w:rPr>
          <w:rFonts w:ascii="Simplified Arabic" w:hAnsi="Simplified Arabic" w:cs="AL-Mohanad" w:hint="cs"/>
          <w:sz w:val="27"/>
          <w:szCs w:val="27"/>
          <w:rtl/>
          <w:lang w:bidi="ar-IQ"/>
        </w:rPr>
        <w:t xml:space="preserve">أمثال: </w:t>
      </w:r>
      <w:r w:rsidR="002B5E9D" w:rsidRPr="006571AC">
        <w:rPr>
          <w:rFonts w:cs="AL-Mohanad" w:hint="eastAsia"/>
          <w:sz w:val="24"/>
          <w:szCs w:val="24"/>
          <w:rtl/>
        </w:rPr>
        <w:t>«</w:t>
      </w:r>
      <w:r w:rsidR="005A03A8" w:rsidRPr="006571AC">
        <w:rPr>
          <w:rFonts w:ascii="Simplified Arabic" w:hAnsi="Simplified Arabic" w:cs="AL-Mohanad" w:hint="cs"/>
          <w:sz w:val="27"/>
          <w:szCs w:val="27"/>
          <w:rtl/>
          <w:lang w:bidi="ar-IQ"/>
        </w:rPr>
        <w:t>جئت</w:t>
      </w:r>
      <w:r w:rsidR="002B5E9D" w:rsidRPr="006571AC">
        <w:rPr>
          <w:rFonts w:ascii="Simplified Arabic" w:hAnsi="Simplified Arabic" w:cs="AL-Mohanad" w:hint="cs"/>
          <w:sz w:val="27"/>
          <w:szCs w:val="27"/>
          <w:rtl/>
          <w:lang w:bidi="ar-IQ"/>
        </w:rPr>
        <w:t>ُ</w:t>
      </w:r>
      <w:r w:rsidR="005A03A8" w:rsidRPr="006571AC">
        <w:rPr>
          <w:rFonts w:ascii="Simplified Arabic" w:hAnsi="Simplified Arabic" w:cs="AL-Mohanad" w:hint="cs"/>
          <w:sz w:val="27"/>
          <w:szCs w:val="27"/>
          <w:rtl/>
          <w:lang w:bidi="ar-IQ"/>
        </w:rPr>
        <w:t>كم بالذبح</w:t>
      </w:r>
      <w:r w:rsidR="002B5E9D" w:rsidRPr="006571AC">
        <w:rPr>
          <w:rFonts w:cs="AL-Mohanad" w:hint="eastAsia"/>
          <w:sz w:val="24"/>
          <w:szCs w:val="24"/>
          <w:rtl/>
        </w:rPr>
        <w:t>»</w:t>
      </w:r>
      <w:r w:rsidR="005A03A8" w:rsidRPr="006571AC">
        <w:rPr>
          <w:rFonts w:ascii="Simplified Arabic" w:hAnsi="Simplified Arabic" w:cs="AL-Mohanad"/>
          <w:sz w:val="27"/>
          <w:szCs w:val="27"/>
          <w:vertAlign w:val="superscript"/>
          <w:rtl/>
          <w:lang w:bidi="ar-IQ"/>
        </w:rPr>
        <w:t>(</w:t>
      </w:r>
      <w:r w:rsidR="005A03A8" w:rsidRPr="006571AC">
        <w:rPr>
          <w:rStyle w:val="ac"/>
          <w:rFonts w:ascii="Simplified Arabic" w:hAnsi="Simplified Arabic" w:cs="AL-Mohanad"/>
          <w:sz w:val="27"/>
          <w:szCs w:val="27"/>
          <w:rtl/>
          <w:lang w:bidi="ar-IQ"/>
        </w:rPr>
        <w:endnoteReference w:id="493"/>
      </w:r>
      <w:r w:rsidR="005A03A8" w:rsidRPr="006571AC">
        <w:rPr>
          <w:rFonts w:ascii="Simplified Arabic" w:hAnsi="Simplified Arabic" w:cs="AL-Mohanad"/>
          <w:sz w:val="27"/>
          <w:szCs w:val="27"/>
          <w:vertAlign w:val="superscript"/>
          <w:rtl/>
          <w:lang w:bidi="ar-IQ"/>
        </w:rPr>
        <w:t>)</w:t>
      </w:r>
      <w:r w:rsidR="005A03A8" w:rsidRPr="006571AC">
        <w:rPr>
          <w:rFonts w:ascii="Simplified Arabic" w:hAnsi="Simplified Arabic" w:cs="AL-Mohanad" w:hint="cs"/>
          <w:sz w:val="27"/>
          <w:szCs w:val="27"/>
          <w:rtl/>
          <w:lang w:bidi="ar-IQ"/>
        </w:rPr>
        <w:t xml:space="preserve">، </w:t>
      </w:r>
      <w:r w:rsidR="005A03A8" w:rsidRPr="006571AC">
        <w:rPr>
          <w:rFonts w:ascii="Simplified Arabic" w:hAnsi="Simplified Arabic" w:cs="AL-Mohanad"/>
          <w:sz w:val="27"/>
          <w:szCs w:val="27"/>
          <w:rtl/>
          <w:lang w:bidi="ar-IQ"/>
        </w:rPr>
        <w:t>ولها دواع</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وأسباب</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معروفة</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عقدي</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كتشويه صورة الإسلام السمحة</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أو سياسي</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لتوسيع نفوذ الحاكم والسيطرة على أكبر عدد</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ممكن من الأراضي والبلدان</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بدواعٍ دينية. </w:t>
      </w:r>
    </w:p>
    <w:p w:rsidR="005A03A8" w:rsidRPr="006571AC" w:rsidRDefault="00703611" w:rsidP="00E11021">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b/>
          <w:bCs/>
          <w:sz w:val="27"/>
          <w:szCs w:val="27"/>
          <w:rtl/>
          <w:lang w:bidi="ar-IQ"/>
        </w:rPr>
        <w:t xml:space="preserve">القسم </w:t>
      </w:r>
      <w:r w:rsidR="005A03A8" w:rsidRPr="006571AC">
        <w:rPr>
          <w:rFonts w:ascii="Simplified Arabic" w:hAnsi="Simplified Arabic" w:cs="AL-Mohanad"/>
          <w:b/>
          <w:bCs/>
          <w:sz w:val="27"/>
          <w:szCs w:val="27"/>
          <w:rtl/>
          <w:lang w:bidi="ar-IQ"/>
        </w:rPr>
        <w:t>الثاني</w:t>
      </w:r>
      <w:r w:rsidR="005A03A8" w:rsidRPr="006571AC">
        <w:rPr>
          <w:rFonts w:ascii="Simplified Arabic" w:hAnsi="Simplified Arabic" w:cs="AL-Mohanad"/>
          <w:sz w:val="27"/>
          <w:szCs w:val="27"/>
          <w:rtl/>
          <w:lang w:bidi="ar-IQ"/>
        </w:rPr>
        <w:t>: ما كانت صحيحة السند</w:t>
      </w:r>
      <w:r w:rsidR="00B86E33"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إلا</w:t>
      </w:r>
      <w:r w:rsidR="00B86E33"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w:t>
      </w:r>
      <w:r w:rsidR="00B86E33" w:rsidRPr="006571AC">
        <w:rPr>
          <w:rFonts w:ascii="Simplified Arabic" w:hAnsi="Simplified Arabic" w:cs="AL-Mohanad" w:hint="cs"/>
          <w:sz w:val="27"/>
          <w:szCs w:val="27"/>
          <w:rtl/>
          <w:lang w:bidi="ar-IQ"/>
        </w:rPr>
        <w:t>أ</w:t>
      </w:r>
      <w:r w:rsidR="005A03A8" w:rsidRPr="006571AC">
        <w:rPr>
          <w:rFonts w:ascii="Simplified Arabic" w:hAnsi="Simplified Arabic" w:cs="AL-Mohanad"/>
          <w:sz w:val="27"/>
          <w:szCs w:val="27"/>
          <w:rtl/>
          <w:lang w:bidi="ar-IQ"/>
        </w:rPr>
        <w:t>ن الخطأ واقع</w:t>
      </w:r>
      <w:r w:rsidR="00B86E33"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في ف</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ه</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مهم لها، بحيث لو لوحظ</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ت</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ضمن أجواء الصدور والقرائن المحيطة بالنص</w:t>
      </w:r>
      <w:r w:rsidR="00B86E33"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w:t>
      </w:r>
      <w:r w:rsidR="00B86E33" w:rsidRPr="006571AC">
        <w:rPr>
          <w:rFonts w:ascii="Simplified Arabic" w:hAnsi="Simplified Arabic" w:cs="AL-Mohanad" w:hint="cs"/>
          <w:sz w:val="27"/>
          <w:szCs w:val="27"/>
          <w:rtl/>
          <w:lang w:bidi="ar-IQ"/>
        </w:rPr>
        <w:t>لقُطِعَ</w:t>
      </w:r>
      <w:r w:rsidR="005A03A8" w:rsidRPr="006571AC">
        <w:rPr>
          <w:rFonts w:ascii="Simplified Arabic" w:hAnsi="Simplified Arabic" w:cs="AL-Mohanad"/>
          <w:sz w:val="27"/>
          <w:szCs w:val="27"/>
          <w:rtl/>
          <w:lang w:bidi="ar-IQ"/>
        </w:rPr>
        <w:t xml:space="preserve"> بخطأ الفهم وس</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ق</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مه. </w:t>
      </w:r>
    </w:p>
    <w:p w:rsidR="00885BF9" w:rsidRPr="006571AC" w:rsidRDefault="00885BF9" w:rsidP="00F66487">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ومن هذه الأخبار</w:t>
      </w:r>
      <w:r w:rsidR="00E11021" w:rsidRPr="006571AC">
        <w:rPr>
          <w:rFonts w:ascii="Simplified Arabic" w:hAnsi="Simplified Arabic" w:cs="AL-Mohanad" w:hint="cs"/>
          <w:sz w:val="27"/>
          <w:szCs w:val="27"/>
          <w:rtl/>
          <w:lang w:bidi="ar-IQ"/>
        </w:rPr>
        <w:t xml:space="preserve"> </w:t>
      </w:r>
      <w:r w:rsidR="00E11021" w:rsidRPr="006571AC">
        <w:rPr>
          <w:rFonts w:cs="AL-Mohanad" w:hint="eastAsia"/>
          <w:sz w:val="24"/>
          <w:szCs w:val="24"/>
          <w:rtl/>
        </w:rPr>
        <w:t>«</w:t>
      </w:r>
      <w:r w:rsidR="00E11021" w:rsidRPr="006571AC">
        <w:rPr>
          <w:rFonts w:ascii="Simplified Arabic" w:hAnsi="Simplified Arabic" w:cs="AL-Mohanad" w:hint="cs"/>
          <w:sz w:val="27"/>
          <w:szCs w:val="27"/>
          <w:rtl/>
          <w:lang w:bidi="ar-IQ"/>
        </w:rPr>
        <w:t>حديث المقاتَلة</w:t>
      </w:r>
      <w:r w:rsidR="00E11021" w:rsidRPr="006571AC">
        <w:rPr>
          <w:rFonts w:cs="AL-Mohanad" w:hint="eastAsia"/>
          <w:sz w:val="24"/>
          <w:szCs w:val="24"/>
          <w:rtl/>
        </w:rPr>
        <w:t>»</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w:t>
      </w:r>
      <w:r w:rsidR="00F66487" w:rsidRPr="006571AC">
        <w:rPr>
          <w:rFonts w:cs="AL-Mohanad" w:hint="eastAsia"/>
          <w:sz w:val="24"/>
          <w:szCs w:val="24"/>
          <w:rtl/>
        </w:rPr>
        <w:t>«</w:t>
      </w:r>
      <w:r w:rsidR="005A03A8" w:rsidRPr="006571AC">
        <w:rPr>
          <w:rFonts w:ascii="Simplified Arabic" w:hAnsi="Simplified Arabic" w:cs="AL-Mohanad"/>
          <w:b/>
          <w:bCs/>
          <w:sz w:val="27"/>
          <w:szCs w:val="27"/>
          <w:rtl/>
          <w:lang w:bidi="ar-IQ"/>
        </w:rPr>
        <w:t>أ</w:t>
      </w:r>
      <w:r w:rsidR="00E11021"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م</w:t>
      </w:r>
      <w:r w:rsidR="00E11021"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ر</w:t>
      </w:r>
      <w:r w:rsidR="00E11021"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ت</w:t>
      </w:r>
      <w:r w:rsidR="00B86E33"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 xml:space="preserve"> أن أقاتل الناس حت</w:t>
      </w:r>
      <w:r w:rsidR="00B86E33"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ى يشهدوا أن لا إله إلا</w:t>
      </w:r>
      <w:r w:rsidR="00E11021"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 xml:space="preserve"> الله</w:t>
      </w:r>
      <w:r w:rsidR="00F66487" w:rsidRPr="006571AC">
        <w:rPr>
          <w:rFonts w:cs="AL-Mohanad" w:hint="eastAsia"/>
          <w:sz w:val="24"/>
          <w:szCs w:val="24"/>
          <w:rtl/>
        </w:rPr>
        <w:t>»</w:t>
      </w:r>
      <w:r w:rsidR="00B86E33" w:rsidRPr="006571AC">
        <w:rPr>
          <w:rFonts w:ascii="Simplified Arabic" w:hAnsi="Simplified Arabic" w:cs="AL-Mohanad" w:hint="cs"/>
          <w:sz w:val="27"/>
          <w:szCs w:val="27"/>
          <w:rtl/>
          <w:lang w:bidi="ar-IQ"/>
        </w:rPr>
        <w:t>.</w:t>
      </w:r>
    </w:p>
    <w:p w:rsidR="00885BF9" w:rsidRPr="006571AC" w:rsidRDefault="00885BF9" w:rsidP="005B0CA4">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sz w:val="27"/>
          <w:szCs w:val="27"/>
          <w:rtl/>
          <w:lang w:bidi="ar-IQ"/>
        </w:rPr>
        <w:lastRenderedPageBreak/>
        <w:t xml:space="preserve">وقد </w:t>
      </w:r>
      <w:r w:rsidR="005A03A8" w:rsidRPr="006571AC">
        <w:rPr>
          <w:rFonts w:ascii="Simplified Arabic" w:hAnsi="Simplified Arabic" w:cs="AL-Mohanad"/>
          <w:sz w:val="27"/>
          <w:szCs w:val="27"/>
          <w:rtl/>
          <w:lang w:bidi="ar-IQ"/>
        </w:rPr>
        <w:t>بن</w:t>
      </w:r>
      <w:r w:rsidR="00F66487"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و</w:t>
      </w:r>
      <w:r w:rsidR="00F66487"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ا عليه وجوب مقاتلة أهل الأرض كاف</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مم</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ن</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يخالفهم في المعتقد</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حت</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ى وإن</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كان يدين بنفس دينهم، ورت</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بوا على ذلك مجموعة</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من الثمرات التي تؤس</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س للتطر</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ف الديني</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مم</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ا سن</w:t>
      </w:r>
      <w:r w:rsidR="005A03A8" w:rsidRPr="006571AC">
        <w:rPr>
          <w:rFonts w:ascii="Simplified Arabic" w:hAnsi="Simplified Arabic" w:cs="AL-Mohanad" w:hint="cs"/>
          <w:sz w:val="27"/>
          <w:szCs w:val="27"/>
          <w:rtl/>
          <w:lang w:bidi="ar-IQ"/>
        </w:rPr>
        <w:t>ت</w:t>
      </w:r>
      <w:r w:rsidR="005A03A8" w:rsidRPr="006571AC">
        <w:rPr>
          <w:rFonts w:ascii="Simplified Arabic" w:hAnsi="Simplified Arabic" w:cs="AL-Mohanad"/>
          <w:sz w:val="27"/>
          <w:szCs w:val="27"/>
          <w:rtl/>
          <w:lang w:bidi="ar-IQ"/>
        </w:rPr>
        <w:t>طر</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ق </w:t>
      </w:r>
      <w:r w:rsidRPr="006571AC">
        <w:rPr>
          <w:rFonts w:ascii="Simplified Arabic" w:hAnsi="Simplified Arabic" w:cs="AL-Mohanad" w:hint="cs"/>
          <w:sz w:val="27"/>
          <w:szCs w:val="27"/>
          <w:rtl/>
          <w:lang w:bidi="ar-IQ"/>
        </w:rPr>
        <w:t xml:space="preserve">إلى </w:t>
      </w:r>
      <w:r w:rsidR="005A03A8" w:rsidRPr="006571AC">
        <w:rPr>
          <w:rFonts w:ascii="Simplified Arabic" w:hAnsi="Simplified Arabic" w:cs="AL-Mohanad"/>
          <w:sz w:val="27"/>
          <w:szCs w:val="27"/>
          <w:rtl/>
          <w:lang w:bidi="ar-IQ"/>
        </w:rPr>
        <w:t>بعضه في طي</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ات البحث</w:t>
      </w:r>
      <w:r w:rsidRPr="006571AC">
        <w:rPr>
          <w:rFonts w:ascii="Simplified Arabic" w:hAnsi="Simplified Arabic" w:cs="AL-Mohanad" w:hint="cs"/>
          <w:sz w:val="27"/>
          <w:szCs w:val="27"/>
          <w:rtl/>
          <w:lang w:bidi="ar-IQ"/>
        </w:rPr>
        <w:t>.</w:t>
      </w:r>
    </w:p>
    <w:p w:rsidR="005A03A8" w:rsidRPr="006571AC" w:rsidRDefault="005A03A8" w:rsidP="005B0CA4">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ولهذا سوف </w:t>
      </w:r>
      <w:r w:rsidR="00885BF9" w:rsidRPr="006571AC">
        <w:rPr>
          <w:rFonts w:ascii="Simplified Arabic" w:hAnsi="Simplified Arabic" w:cs="AL-Mohanad" w:hint="cs"/>
          <w:sz w:val="27"/>
          <w:szCs w:val="27"/>
          <w:rtl/>
          <w:lang w:bidi="ar-IQ"/>
        </w:rPr>
        <w:t>ن</w:t>
      </w:r>
      <w:r w:rsidRPr="006571AC">
        <w:rPr>
          <w:rFonts w:ascii="Simplified Arabic" w:hAnsi="Simplified Arabic" w:cs="AL-Mohanad"/>
          <w:sz w:val="27"/>
          <w:szCs w:val="27"/>
          <w:rtl/>
          <w:lang w:bidi="ar-IQ"/>
        </w:rPr>
        <w:t>قوم بدراسة هذا الخبر</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سنداً ودلالة</w:t>
      </w:r>
      <w:r w:rsidR="00885BF9" w:rsidRPr="006571AC">
        <w:rPr>
          <w:rFonts w:ascii="Simplified Arabic" w:hAnsi="Simplified Arabic" w:cs="AL-Mohanad" w:hint="cs"/>
          <w:sz w:val="27"/>
          <w:szCs w:val="27"/>
          <w:rtl/>
          <w:lang w:bidi="ar-IQ"/>
        </w:rPr>
        <w:t>،</w:t>
      </w:r>
      <w:r w:rsidR="00885BF9" w:rsidRPr="006571AC">
        <w:rPr>
          <w:rFonts w:ascii="Simplified Arabic" w:hAnsi="Simplified Arabic" w:cs="AL-Mohanad"/>
          <w:sz w:val="27"/>
          <w:szCs w:val="27"/>
          <w:rtl/>
          <w:lang w:bidi="ar-IQ"/>
        </w:rPr>
        <w:t xml:space="preserve"> عند الفريقين</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الشيعة الإمامية </w:t>
      </w:r>
      <w:r w:rsidR="00885BF9" w:rsidRPr="006571AC">
        <w:rPr>
          <w:rFonts w:ascii="Simplified Arabic" w:hAnsi="Simplified Arabic" w:cs="AL-Mohanad" w:hint="cs"/>
          <w:sz w:val="27"/>
          <w:szCs w:val="27"/>
          <w:rtl/>
          <w:lang w:bidi="ar-IQ"/>
        </w:rPr>
        <w:t>وأهل السنّة؛</w:t>
      </w:r>
      <w:r w:rsidRPr="006571AC">
        <w:rPr>
          <w:rFonts w:ascii="Simplified Arabic" w:hAnsi="Simplified Arabic" w:cs="AL-Mohanad"/>
          <w:sz w:val="27"/>
          <w:szCs w:val="27"/>
          <w:rtl/>
          <w:lang w:bidi="ar-IQ"/>
        </w:rPr>
        <w:t xml:space="preserve"> لنرى هل يصح</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سنده أو</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لاً؟ وإذا فرضنا صح</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ته فهل ينسجم تفسيرهم له مع روح الإسلام ونصوصه وأخلاقي</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اته؟ </w:t>
      </w:r>
    </w:p>
    <w:p w:rsidR="005A03A8" w:rsidRPr="006571AC" w:rsidRDefault="005A03A8" w:rsidP="00B45869">
      <w:pPr>
        <w:pStyle w:val="afffffff6"/>
        <w:bidi/>
        <w:spacing w:line="420" w:lineRule="exact"/>
        <w:ind w:firstLine="567"/>
        <w:jc w:val="both"/>
        <w:rPr>
          <w:rFonts w:ascii="Simplified Arabic" w:hAnsi="Simplified Arabic" w:cs="AL-Mohanad"/>
          <w:sz w:val="27"/>
          <w:szCs w:val="27"/>
          <w:rtl/>
          <w:lang w:bidi="ar-IQ"/>
        </w:rPr>
      </w:pPr>
    </w:p>
    <w:p w:rsidR="005A03A8" w:rsidRPr="006571AC" w:rsidRDefault="00FB76FC" w:rsidP="003357AD">
      <w:pPr>
        <w:pStyle w:val="31"/>
        <w:rPr>
          <w:color w:val="auto"/>
          <w:rtl/>
          <w:lang w:bidi="ar-IQ"/>
        </w:rPr>
      </w:pPr>
      <w:bookmarkStart w:id="310" w:name="_Toc114164736"/>
      <w:r w:rsidRPr="006571AC">
        <w:rPr>
          <w:rFonts w:hint="cs"/>
          <w:color w:val="auto"/>
          <w:rtl/>
          <w:lang w:bidi="ar-IQ"/>
        </w:rPr>
        <w:t>1ـ</w:t>
      </w:r>
      <w:r w:rsidR="005A03A8" w:rsidRPr="006571AC">
        <w:rPr>
          <w:color w:val="auto"/>
          <w:rtl/>
          <w:lang w:bidi="ar-IQ"/>
        </w:rPr>
        <w:t xml:space="preserve"> مفهوم التطر</w:t>
      </w:r>
      <w:r w:rsidR="00885BF9" w:rsidRPr="006571AC">
        <w:rPr>
          <w:rFonts w:hint="cs"/>
          <w:color w:val="auto"/>
          <w:rtl/>
          <w:lang w:bidi="ar-IQ"/>
        </w:rPr>
        <w:t>ُّ</w:t>
      </w:r>
      <w:r w:rsidR="005A03A8" w:rsidRPr="006571AC">
        <w:rPr>
          <w:color w:val="auto"/>
          <w:rtl/>
          <w:lang w:bidi="ar-IQ"/>
        </w:rPr>
        <w:t>ف الديني</w:t>
      </w:r>
      <w:r w:rsidR="00885BF9" w:rsidRPr="006571AC">
        <w:rPr>
          <w:rFonts w:hint="cs"/>
          <w:color w:val="auto"/>
          <w:rtl/>
          <w:lang w:bidi="ar-IQ"/>
        </w:rPr>
        <w:t>،</w:t>
      </w:r>
      <w:r w:rsidR="005A03A8" w:rsidRPr="006571AC">
        <w:rPr>
          <w:color w:val="auto"/>
          <w:rtl/>
          <w:lang w:bidi="ar-IQ"/>
        </w:rPr>
        <w:t xml:space="preserve"> وجذوره</w:t>
      </w:r>
      <w:bookmarkEnd w:id="310"/>
      <w:r w:rsidR="005A03A8" w:rsidRPr="006571AC">
        <w:rPr>
          <w:color w:val="auto"/>
          <w:rtl/>
          <w:lang w:bidi="ar-IQ"/>
        </w:rPr>
        <w:t xml:space="preserve"> </w:t>
      </w:r>
    </w:p>
    <w:p w:rsidR="005A03A8" w:rsidRPr="006571AC" w:rsidRDefault="00731867" w:rsidP="005B0CA4">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لا شَكَّ</w:t>
      </w:r>
      <w:r w:rsidR="005A03A8" w:rsidRPr="006571AC">
        <w:rPr>
          <w:rFonts w:ascii="Simplified Arabic" w:hAnsi="Simplified Arabic" w:cs="AL-Mohanad"/>
          <w:sz w:val="27"/>
          <w:szCs w:val="27"/>
          <w:rtl/>
          <w:lang w:bidi="ar-IQ"/>
        </w:rPr>
        <w:t xml:space="preserve"> في وجود أفراد</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أو جماعات</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في كل</w:t>
      </w:r>
      <w:r w:rsidR="00885BF9"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w:t>
      </w:r>
      <w:r w:rsidR="005A03A8" w:rsidRPr="006571AC">
        <w:rPr>
          <w:rFonts w:ascii="Simplified Arabic" w:hAnsi="Simplified Arabic" w:cs="AL-Mohanad" w:hint="cs"/>
          <w:sz w:val="27"/>
          <w:szCs w:val="27"/>
          <w:rtl/>
          <w:lang w:bidi="ar-IQ"/>
        </w:rPr>
        <w:t>مجتمع</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hint="cs"/>
          <w:sz w:val="27"/>
          <w:szCs w:val="27"/>
          <w:rtl/>
          <w:lang w:bidi="ar-IQ"/>
        </w:rPr>
        <w:t xml:space="preserve"> أو </w:t>
      </w:r>
      <w:r w:rsidR="005A03A8" w:rsidRPr="006571AC">
        <w:rPr>
          <w:rFonts w:ascii="Simplified Arabic" w:hAnsi="Simplified Arabic" w:cs="AL-Mohanad"/>
          <w:sz w:val="27"/>
          <w:szCs w:val="27"/>
          <w:rtl/>
          <w:lang w:bidi="ar-IQ"/>
        </w:rPr>
        <w:t>دين</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يحملون س</w:t>
      </w:r>
      <w:r w:rsidR="00F66487"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م</w:t>
      </w:r>
      <w:r w:rsidR="00F66487"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 التطر</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ف والتعص</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ب تجاه معتقداتهم</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بما يلغي وجود الآخر </w:t>
      </w:r>
      <w:r w:rsidR="005A03A8" w:rsidRPr="006571AC">
        <w:rPr>
          <w:rFonts w:ascii="Simplified Arabic" w:hAnsi="Simplified Arabic" w:cs="AL-Mohanad" w:hint="cs"/>
          <w:sz w:val="27"/>
          <w:szCs w:val="27"/>
          <w:rtl/>
          <w:lang w:bidi="ar-IQ"/>
        </w:rPr>
        <w:t>ويستضعفه،</w:t>
      </w:r>
      <w:r w:rsidR="005A03A8" w:rsidRPr="006571AC">
        <w:rPr>
          <w:rFonts w:ascii="Simplified Arabic" w:hAnsi="Simplified Arabic" w:cs="AL-Mohanad"/>
          <w:sz w:val="27"/>
          <w:szCs w:val="27"/>
          <w:rtl/>
          <w:lang w:bidi="ar-IQ"/>
        </w:rPr>
        <w:t xml:space="preserve"> </w:t>
      </w:r>
      <w:r w:rsidR="005A03A8" w:rsidRPr="006571AC">
        <w:rPr>
          <w:rFonts w:ascii="Simplified Arabic" w:hAnsi="Simplified Arabic" w:cs="AL-Mohanad" w:hint="cs"/>
          <w:sz w:val="27"/>
          <w:szCs w:val="27"/>
          <w:rtl/>
          <w:lang w:bidi="ar-IQ"/>
        </w:rPr>
        <w:t>في</w:t>
      </w:r>
      <w:r w:rsidR="005A03A8" w:rsidRPr="006571AC">
        <w:rPr>
          <w:rFonts w:ascii="Simplified Arabic" w:hAnsi="Simplified Arabic" w:cs="AL-Mohanad"/>
          <w:sz w:val="27"/>
          <w:szCs w:val="27"/>
          <w:rtl/>
          <w:lang w:bidi="ar-IQ"/>
        </w:rPr>
        <w:t xml:space="preserve">نتهج </w:t>
      </w:r>
      <w:r w:rsidR="005A03A8" w:rsidRPr="006571AC">
        <w:rPr>
          <w:rFonts w:ascii="Simplified Arabic" w:hAnsi="Simplified Arabic" w:cs="AL-Mohanad" w:hint="cs"/>
          <w:sz w:val="27"/>
          <w:szCs w:val="27"/>
          <w:rtl/>
          <w:lang w:bidi="ar-IQ"/>
        </w:rPr>
        <w:t xml:space="preserve">بعضها </w:t>
      </w:r>
      <w:r w:rsidR="005A03A8" w:rsidRPr="006571AC">
        <w:rPr>
          <w:rFonts w:ascii="Simplified Arabic" w:hAnsi="Simplified Arabic" w:cs="AL-Mohanad"/>
          <w:sz w:val="27"/>
          <w:szCs w:val="27"/>
          <w:rtl/>
          <w:lang w:bidi="ar-IQ"/>
        </w:rPr>
        <w:t>القتل وسيلة</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لإخضاع الآخر </w:t>
      </w:r>
      <w:r w:rsidR="005A03A8" w:rsidRPr="006571AC">
        <w:rPr>
          <w:rFonts w:ascii="Simplified Arabic" w:hAnsi="Simplified Arabic" w:cs="AL-Mohanad" w:hint="cs"/>
          <w:sz w:val="27"/>
          <w:szCs w:val="27"/>
          <w:rtl/>
          <w:lang w:bidi="ar-IQ"/>
        </w:rPr>
        <w:t>لرؤاه</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w:t>
      </w:r>
      <w:r w:rsidR="005A03A8" w:rsidRPr="006571AC">
        <w:rPr>
          <w:rFonts w:ascii="Simplified Arabic" w:hAnsi="Simplified Arabic" w:cs="AL-Mohanad" w:hint="cs"/>
          <w:sz w:val="27"/>
          <w:szCs w:val="27"/>
          <w:rtl/>
          <w:lang w:bidi="ar-IQ"/>
        </w:rPr>
        <w:t xml:space="preserve">تحت </w:t>
      </w:r>
      <w:r w:rsidR="005A03A8" w:rsidRPr="006571AC">
        <w:rPr>
          <w:rFonts w:ascii="Simplified Arabic" w:hAnsi="Simplified Arabic" w:cs="AL-Mohanad"/>
          <w:sz w:val="27"/>
          <w:szCs w:val="27"/>
          <w:rtl/>
          <w:lang w:bidi="ar-IQ"/>
        </w:rPr>
        <w:t>أسباب</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ودواع</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متعد</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دة، </w:t>
      </w:r>
      <w:r w:rsidR="005A03A8" w:rsidRPr="006571AC">
        <w:rPr>
          <w:rFonts w:ascii="Simplified Arabic" w:hAnsi="Simplified Arabic" w:cs="AL-Mohanad" w:hint="cs"/>
          <w:sz w:val="27"/>
          <w:szCs w:val="27"/>
          <w:rtl/>
          <w:lang w:bidi="ar-IQ"/>
        </w:rPr>
        <w:t>مما ينب</w:t>
      </w:r>
      <w:r w:rsidR="00E76028" w:rsidRPr="006571AC">
        <w:rPr>
          <w:rFonts w:ascii="Simplified Arabic" w:hAnsi="Simplified Arabic" w:cs="AL-Mohanad" w:hint="cs"/>
          <w:sz w:val="27"/>
          <w:szCs w:val="27"/>
          <w:rtl/>
          <w:lang w:bidi="ar-IQ"/>
        </w:rPr>
        <w:t>ئ</w:t>
      </w:r>
      <w:r w:rsidR="005A03A8" w:rsidRPr="006571AC">
        <w:rPr>
          <w:rFonts w:ascii="Simplified Arabic" w:hAnsi="Simplified Arabic" w:cs="AL-Mohanad"/>
          <w:sz w:val="27"/>
          <w:szCs w:val="27"/>
          <w:rtl/>
          <w:lang w:bidi="ar-IQ"/>
        </w:rPr>
        <w:t xml:space="preserve"> </w:t>
      </w:r>
      <w:r w:rsidR="005A03A8" w:rsidRPr="006571AC">
        <w:rPr>
          <w:rFonts w:ascii="Simplified Arabic" w:hAnsi="Simplified Arabic" w:cs="AL-Mohanad" w:hint="cs"/>
          <w:sz w:val="27"/>
          <w:szCs w:val="27"/>
          <w:rtl/>
          <w:lang w:bidi="ar-IQ"/>
        </w:rPr>
        <w:t xml:space="preserve">عن </w:t>
      </w:r>
      <w:r w:rsidR="005A03A8" w:rsidRPr="006571AC">
        <w:rPr>
          <w:rFonts w:ascii="Simplified Arabic" w:hAnsi="Simplified Arabic" w:cs="AL-Mohanad"/>
          <w:sz w:val="27"/>
          <w:szCs w:val="27"/>
          <w:rtl/>
          <w:lang w:bidi="ar-IQ"/>
        </w:rPr>
        <w:t xml:space="preserve">تداعيات </w:t>
      </w:r>
      <w:r w:rsidR="005A03A8" w:rsidRPr="006571AC">
        <w:rPr>
          <w:rFonts w:ascii="Simplified Arabic" w:hAnsi="Simplified Arabic" w:cs="AL-Mohanad" w:hint="cs"/>
          <w:sz w:val="27"/>
          <w:szCs w:val="27"/>
          <w:rtl/>
          <w:lang w:bidi="ar-IQ"/>
        </w:rPr>
        <w:t>و</w:t>
      </w:r>
      <w:r w:rsidR="005A03A8" w:rsidRPr="006571AC">
        <w:rPr>
          <w:rFonts w:ascii="Simplified Arabic" w:hAnsi="Simplified Arabic" w:cs="AL-Mohanad"/>
          <w:sz w:val="27"/>
          <w:szCs w:val="27"/>
          <w:rtl/>
          <w:lang w:bidi="ar-IQ"/>
        </w:rPr>
        <w:t xml:space="preserve">آثار خطيرة </w:t>
      </w:r>
      <w:r w:rsidR="005A03A8" w:rsidRPr="006571AC">
        <w:rPr>
          <w:rFonts w:ascii="Simplified Arabic" w:hAnsi="Simplified Arabic" w:cs="AL-Mohanad" w:hint="cs"/>
          <w:sz w:val="27"/>
          <w:szCs w:val="27"/>
          <w:rtl/>
          <w:lang w:bidi="ar-IQ"/>
        </w:rPr>
        <w:t xml:space="preserve">تعود </w:t>
      </w:r>
      <w:r w:rsidR="005A03A8" w:rsidRPr="006571AC">
        <w:rPr>
          <w:rFonts w:ascii="Simplified Arabic" w:hAnsi="Simplified Arabic" w:cs="AL-Mohanad"/>
          <w:sz w:val="27"/>
          <w:szCs w:val="27"/>
          <w:rtl/>
          <w:lang w:bidi="ar-IQ"/>
        </w:rPr>
        <w:t xml:space="preserve">على المجتمع. </w:t>
      </w:r>
    </w:p>
    <w:p w:rsidR="005A03A8" w:rsidRPr="006571AC" w:rsidRDefault="005A03A8" w:rsidP="00F66487">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ولعل</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أبرز هذه الظواهر ه</w:t>
      </w:r>
      <w:r w:rsidR="00F66487" w:rsidRPr="006571AC">
        <w:rPr>
          <w:rFonts w:ascii="Simplified Arabic" w:hAnsi="Simplified Arabic" w:cs="AL-Mohanad" w:hint="cs"/>
          <w:sz w:val="27"/>
          <w:szCs w:val="27"/>
          <w:rtl/>
          <w:lang w:bidi="ar-IQ"/>
        </w:rPr>
        <w:t>و</w:t>
      </w:r>
      <w:r w:rsidRPr="006571AC">
        <w:rPr>
          <w:rFonts w:ascii="Simplified Arabic" w:hAnsi="Simplified Arabic" w:cs="AL-Mohanad"/>
          <w:sz w:val="27"/>
          <w:szCs w:val="27"/>
          <w:rtl/>
          <w:lang w:bidi="ar-IQ"/>
        </w:rPr>
        <w:t xml:space="preserve"> التطر</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الديني عند بعض الجماعات التي تنسب نفسها إلى الإسلام</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وتد</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عي س</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يها لتطبيق الشريعة وفق ف</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خاص</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وقد حازوا على مكانة</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ديني</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في نفوس بعض الناس</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بسبب انتمائهم الديني والع</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ق</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دي، حت</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ى ع</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وجودهم في بعض الدول مظهر</w:t>
      </w:r>
      <w:r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لج</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 الخراب والدمار</w:t>
      </w:r>
      <w:r w:rsidR="00E76028"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وسبب</w:t>
      </w:r>
      <w:r w:rsidR="00E76028"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لعدم </w:t>
      </w:r>
      <w:r w:rsidRPr="006571AC">
        <w:rPr>
          <w:rFonts w:ascii="Simplified Arabic" w:hAnsi="Simplified Arabic" w:cs="AL-Mohanad" w:hint="cs"/>
          <w:sz w:val="27"/>
          <w:szCs w:val="27"/>
          <w:rtl/>
          <w:lang w:bidi="ar-IQ"/>
        </w:rPr>
        <w:t>الاستقرار</w:t>
      </w:r>
      <w:r w:rsidRPr="006571AC">
        <w:rPr>
          <w:rFonts w:ascii="Simplified Arabic" w:hAnsi="Simplified Arabic" w:cs="AL-Mohanad"/>
          <w:sz w:val="27"/>
          <w:szCs w:val="27"/>
          <w:rtl/>
          <w:lang w:bidi="ar-IQ"/>
        </w:rPr>
        <w:t xml:space="preserve"> ا</w:t>
      </w:r>
      <w:r w:rsidR="00E76028" w:rsidRPr="006571AC">
        <w:rPr>
          <w:rFonts w:ascii="Simplified Arabic" w:hAnsi="Simplified Arabic" w:cs="AL-Mohanad" w:hint="cs"/>
          <w:sz w:val="27"/>
          <w:szCs w:val="27"/>
          <w:rtl/>
          <w:lang w:bidi="ar-IQ"/>
        </w:rPr>
        <w:t>لا</w:t>
      </w:r>
      <w:r w:rsidRPr="006571AC">
        <w:rPr>
          <w:rFonts w:ascii="Simplified Arabic" w:hAnsi="Simplified Arabic" w:cs="AL-Mohanad"/>
          <w:sz w:val="27"/>
          <w:szCs w:val="27"/>
          <w:rtl/>
          <w:lang w:bidi="ar-IQ"/>
        </w:rPr>
        <w:t>جتماعي والسياسي فيها</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001A14FF" w:rsidRPr="006571AC">
        <w:rPr>
          <w:rFonts w:ascii="Simplified Arabic" w:hAnsi="Simplified Arabic" w:cs="AL-Mohanad" w:hint="cs"/>
          <w:sz w:val="27"/>
          <w:szCs w:val="27"/>
          <w:rtl/>
          <w:lang w:bidi="ar-IQ"/>
        </w:rPr>
        <w:t>و</w:t>
      </w:r>
      <w:r w:rsidRPr="006571AC">
        <w:rPr>
          <w:rFonts w:ascii="Simplified Arabic" w:hAnsi="Simplified Arabic" w:cs="AL-Mohanad"/>
          <w:sz w:val="27"/>
          <w:szCs w:val="27"/>
          <w:rtl/>
          <w:lang w:bidi="ar-IQ"/>
        </w:rPr>
        <w:t>إيقاف عجلة التطو</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ر الاقتصادي والعمراني. </w:t>
      </w:r>
    </w:p>
    <w:p w:rsidR="005A03A8" w:rsidRPr="006571AC" w:rsidRDefault="005A03A8" w:rsidP="00B45869">
      <w:pPr>
        <w:pStyle w:val="afffffff6"/>
        <w:bidi/>
        <w:spacing w:line="430" w:lineRule="exact"/>
        <w:ind w:firstLine="567"/>
        <w:jc w:val="both"/>
        <w:rPr>
          <w:rFonts w:ascii="Simplified Arabic" w:hAnsi="Simplified Arabic" w:cs="AL-Mohanad"/>
          <w:sz w:val="27"/>
          <w:szCs w:val="27"/>
          <w:rtl/>
          <w:lang w:bidi="ar-IQ"/>
        </w:rPr>
      </w:pPr>
    </w:p>
    <w:p w:rsidR="005A03A8" w:rsidRPr="006571AC" w:rsidRDefault="00FB76FC" w:rsidP="003357AD">
      <w:pPr>
        <w:pStyle w:val="31"/>
        <w:rPr>
          <w:color w:val="auto"/>
          <w:rtl/>
          <w:lang w:bidi="ar-IQ"/>
        </w:rPr>
      </w:pPr>
      <w:bookmarkStart w:id="311" w:name="_Toc114164737"/>
      <w:r w:rsidRPr="006571AC">
        <w:rPr>
          <w:rFonts w:hint="cs"/>
          <w:color w:val="auto"/>
          <w:rtl/>
          <w:lang w:bidi="ar-IQ"/>
        </w:rPr>
        <w:t>أ</w:t>
      </w:r>
      <w:r w:rsidR="005A03A8" w:rsidRPr="006571AC">
        <w:rPr>
          <w:color w:val="auto"/>
          <w:rtl/>
          <w:lang w:bidi="ar-IQ"/>
        </w:rPr>
        <w:t>ـ مفهوم التطر</w:t>
      </w:r>
      <w:r w:rsidR="001A14FF" w:rsidRPr="006571AC">
        <w:rPr>
          <w:rFonts w:hint="cs"/>
          <w:color w:val="auto"/>
          <w:rtl/>
          <w:lang w:bidi="ar-IQ"/>
        </w:rPr>
        <w:t>ُّ</w:t>
      </w:r>
      <w:r w:rsidR="005A03A8" w:rsidRPr="006571AC">
        <w:rPr>
          <w:color w:val="auto"/>
          <w:rtl/>
          <w:lang w:bidi="ar-IQ"/>
        </w:rPr>
        <w:t>ف</w:t>
      </w:r>
      <w:bookmarkEnd w:id="311"/>
      <w:r w:rsidR="005A03A8" w:rsidRPr="006571AC">
        <w:rPr>
          <w:color w:val="auto"/>
          <w:rtl/>
          <w:lang w:bidi="ar-IQ"/>
        </w:rPr>
        <w:t xml:space="preserve"> </w:t>
      </w:r>
    </w:p>
    <w:p w:rsidR="005A03A8" w:rsidRPr="006571AC" w:rsidRDefault="005A03A8" w:rsidP="005B0CA4">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التطر</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لغة</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الأخذ بالطرف من الشيء</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وهو </w:t>
      </w:r>
      <w:r w:rsidR="001A14FF" w:rsidRPr="006571AC">
        <w:rPr>
          <w:rFonts w:cs="AL-Mohanad" w:hint="eastAsia"/>
          <w:sz w:val="24"/>
          <w:szCs w:val="24"/>
          <w:rtl/>
        </w:rPr>
        <w:t>«</w:t>
      </w:r>
      <w:r w:rsidRPr="006571AC">
        <w:rPr>
          <w:rFonts w:ascii="Simplified Arabic" w:hAnsi="Simplified Arabic" w:cs="AL-Mohanad"/>
          <w:sz w:val="27"/>
          <w:szCs w:val="27"/>
          <w:rtl/>
          <w:lang w:bidi="ar-IQ"/>
        </w:rPr>
        <w:t>يدلُّ على حدِّ الشيء وحَر</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فهِ</w:t>
      </w:r>
      <w:r w:rsidR="001A14FF" w:rsidRPr="006571AC">
        <w:rPr>
          <w:rFonts w:cs="AL-Mohanad" w:hint="eastAsia"/>
          <w:sz w:val="24"/>
          <w:szCs w:val="24"/>
          <w:rtl/>
        </w:rPr>
        <w:t>»</w:t>
      </w:r>
      <w:r w:rsidR="001A14FF" w:rsidRPr="006571AC">
        <w:rPr>
          <w:rFonts w:ascii="Simplified Arabic" w:hAnsi="Simplified Arabic" w:cs="AL-Mohanad" w:hint="cs"/>
          <w:sz w:val="27"/>
          <w:szCs w:val="27"/>
          <w:vertAlign w:val="superscript"/>
          <w:rtl/>
          <w:lang w:bidi="ar-IQ"/>
        </w:rPr>
        <w:t>(</w:t>
      </w:r>
      <w:r w:rsidR="001A14FF" w:rsidRPr="006571AC">
        <w:rPr>
          <w:rStyle w:val="ac"/>
          <w:rFonts w:ascii="Simplified Arabic" w:hAnsi="Simplified Arabic" w:cs="AL-Mohanad"/>
          <w:sz w:val="27"/>
          <w:szCs w:val="27"/>
          <w:rtl/>
          <w:lang w:bidi="ar-IQ"/>
        </w:rPr>
        <w:endnoteReference w:id="494"/>
      </w:r>
      <w:r w:rsidR="001A14FF" w:rsidRPr="006571AC">
        <w:rPr>
          <w:rFonts w:ascii="Simplified Arabic" w:hAnsi="Simplified Arabic" w:cs="AL-Mohanad" w:hint="cs"/>
          <w:sz w:val="27"/>
          <w:szCs w:val="27"/>
          <w:vertAlign w:val="superscript"/>
          <w:rtl/>
          <w:lang w:bidi="ar-IQ"/>
        </w:rPr>
        <w:t>)</w:t>
      </w:r>
      <w:r w:rsidR="001A14FF"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lang w:bidi="ar-IQ"/>
        </w:rPr>
        <w:t>فيخرج بذلك عن الو</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طية</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ويتجاوز حد</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الاعتدال، وهو الانحراف عن جاد</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الصواب</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بما يؤول إلى الاضطراب</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والاختلال بالمنهج والعمل عند العقلاء. </w:t>
      </w:r>
    </w:p>
    <w:p w:rsidR="005A03A8" w:rsidRPr="006571AC" w:rsidRDefault="005A03A8" w:rsidP="00F66487">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ويقابله الو</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طية</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w:t>
      </w:r>
      <w:r w:rsidR="001A14FF" w:rsidRPr="006571AC">
        <w:rPr>
          <w:rFonts w:ascii="Simplified Arabic" w:hAnsi="Simplified Arabic" w:cs="AL-Mohanad" w:hint="cs"/>
          <w:sz w:val="27"/>
          <w:szCs w:val="27"/>
          <w:rtl/>
          <w:lang w:bidi="ar-IQ"/>
        </w:rPr>
        <w:t>ت</w:t>
      </w:r>
      <w:r w:rsidRPr="006571AC">
        <w:rPr>
          <w:rFonts w:ascii="Simplified Arabic" w:hAnsi="Simplified Arabic" w:cs="AL-Mohanad"/>
          <w:sz w:val="27"/>
          <w:szCs w:val="27"/>
          <w:rtl/>
          <w:lang w:bidi="ar-IQ"/>
        </w:rPr>
        <w:t xml:space="preserve">ي </w:t>
      </w:r>
      <w:r w:rsidR="001A14FF" w:rsidRPr="006571AC">
        <w:rPr>
          <w:rFonts w:ascii="Simplified Arabic" w:hAnsi="Simplified Arabic" w:cs="AL-Mohanad" w:hint="cs"/>
          <w:sz w:val="27"/>
          <w:szCs w:val="27"/>
          <w:rtl/>
          <w:lang w:bidi="ar-IQ"/>
        </w:rPr>
        <w:t>ت</w:t>
      </w:r>
      <w:r w:rsidRPr="006571AC">
        <w:rPr>
          <w:rFonts w:ascii="Simplified Arabic" w:hAnsi="Simplified Arabic" w:cs="AL-Mohanad"/>
          <w:sz w:val="27"/>
          <w:szCs w:val="27"/>
          <w:rtl/>
          <w:lang w:bidi="ar-IQ"/>
        </w:rPr>
        <w:t>مث</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السلوك المعتدل</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حيث الوقوف </w:t>
      </w:r>
      <w:r w:rsidR="00F66487" w:rsidRPr="006571AC">
        <w:rPr>
          <w:rFonts w:ascii="Simplified Arabic" w:hAnsi="Simplified Arabic" w:cs="AL-Mohanad" w:hint="cs"/>
          <w:sz w:val="27"/>
          <w:szCs w:val="27"/>
          <w:rtl/>
          <w:lang w:bidi="ar-IQ"/>
        </w:rPr>
        <w:t xml:space="preserve">في </w:t>
      </w:r>
      <w:r w:rsidRPr="006571AC">
        <w:rPr>
          <w:rFonts w:ascii="Simplified Arabic" w:hAnsi="Simplified Arabic" w:cs="AL-Mohanad"/>
          <w:sz w:val="27"/>
          <w:szCs w:val="27"/>
          <w:rtl/>
          <w:lang w:bidi="ar-IQ"/>
        </w:rPr>
        <w:t>الو</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ط</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دون الاتجاه يميناً أو شمالاً، من دون غلو</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تقصير</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p>
    <w:p w:rsidR="006541B2" w:rsidRPr="006571AC" w:rsidRDefault="005A03A8" w:rsidP="006541B2">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وأما اصطلاحاً فلا يختلف عن معناه اللغوي، حيث يفس</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 بكونه تجاوز الحدود في ف</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 أو تفسير اتجاه</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فكري</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ديني</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سياسي</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والغلو</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الاعتقاد به، والخروج عن </w:t>
      </w:r>
      <w:r w:rsidRPr="006571AC">
        <w:rPr>
          <w:rFonts w:ascii="Simplified Arabic" w:hAnsi="Simplified Arabic" w:cs="AL-Mohanad"/>
          <w:sz w:val="27"/>
          <w:szCs w:val="27"/>
          <w:rtl/>
          <w:lang w:bidi="ar-IQ"/>
        </w:rPr>
        <w:lastRenderedPageBreak/>
        <w:t>القواعد والأهداف الواقعية المعد</w:t>
      </w:r>
      <w:r w:rsidR="005A647A" w:rsidRPr="006571AC">
        <w:rPr>
          <w:rFonts w:ascii="Simplified Arabic" w:hAnsi="Simplified Arabic" w:cs="AL-Mohanad" w:hint="cs"/>
          <w:sz w:val="27"/>
          <w:szCs w:val="27"/>
          <w:rtl/>
          <w:lang w:bidi="ar-IQ"/>
        </w:rPr>
        <w:t>ّ</w:t>
      </w:r>
      <w:r w:rsidR="005A647A" w:rsidRPr="006571AC">
        <w:rPr>
          <w:rFonts w:ascii="Simplified Arabic" w:hAnsi="Simplified Arabic" w:cs="AL-Mohanad"/>
          <w:sz w:val="27"/>
          <w:szCs w:val="27"/>
          <w:rtl/>
          <w:lang w:bidi="ar-IQ"/>
        </w:rPr>
        <w:t>ة له، بما يك</w:t>
      </w:r>
      <w:r w:rsidRPr="006571AC">
        <w:rPr>
          <w:rFonts w:ascii="Simplified Arabic" w:hAnsi="Simplified Arabic" w:cs="AL-Mohanad"/>
          <w:sz w:val="27"/>
          <w:szCs w:val="27"/>
          <w:rtl/>
          <w:lang w:bidi="ar-IQ"/>
        </w:rPr>
        <w:t>و</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 مجموعة</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الأفكار</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التي تمث</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أ</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5A647A"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لمنهج</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فكري</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جديد، يول</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 سلوكاً غريباً</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ويحاول فرضه بالقو</w:t>
      </w:r>
      <w:r w:rsidR="005A647A" w:rsidRPr="006571AC">
        <w:rPr>
          <w:rFonts w:ascii="Simplified Arabic" w:hAnsi="Simplified Arabic" w:cs="AL-Mohanad" w:hint="cs"/>
          <w:sz w:val="27"/>
          <w:szCs w:val="27"/>
          <w:rtl/>
          <w:lang w:bidi="ar-IQ"/>
        </w:rPr>
        <w:t>ّ</w:t>
      </w:r>
      <w:r w:rsidR="006541B2" w:rsidRPr="006571AC">
        <w:rPr>
          <w:rFonts w:ascii="Simplified Arabic" w:hAnsi="Simplified Arabic" w:cs="AL-Mohanad"/>
          <w:sz w:val="27"/>
          <w:szCs w:val="27"/>
          <w:rtl/>
          <w:lang w:bidi="ar-IQ"/>
        </w:rPr>
        <w:t>ة والاكراه.</w:t>
      </w:r>
    </w:p>
    <w:p w:rsidR="006541B2" w:rsidRPr="006571AC" w:rsidRDefault="006541B2" w:rsidP="002757CC">
      <w:pPr>
        <w:pStyle w:val="afffffff6"/>
        <w:bidi/>
        <w:spacing w:line="390" w:lineRule="exact"/>
        <w:ind w:firstLine="567"/>
        <w:jc w:val="both"/>
        <w:rPr>
          <w:rFonts w:ascii="Simplified Arabic" w:hAnsi="Simplified Arabic" w:cs="AL-Mohanad"/>
          <w:sz w:val="27"/>
          <w:szCs w:val="27"/>
          <w:rtl/>
          <w:lang w:bidi="ar-IQ"/>
        </w:rPr>
      </w:pPr>
    </w:p>
    <w:p w:rsidR="000B0F84" w:rsidRPr="006571AC" w:rsidRDefault="00FB76FC" w:rsidP="000B0F84">
      <w:pPr>
        <w:pStyle w:val="31"/>
        <w:rPr>
          <w:color w:val="auto"/>
          <w:rtl/>
          <w:lang w:bidi="ar-IQ"/>
        </w:rPr>
      </w:pPr>
      <w:bookmarkStart w:id="312" w:name="_Toc114164738"/>
      <w:r w:rsidRPr="006571AC">
        <w:rPr>
          <w:rFonts w:hint="cs"/>
          <w:color w:val="auto"/>
          <w:rtl/>
          <w:lang w:bidi="ar-IQ"/>
        </w:rPr>
        <w:t xml:space="preserve">ب </w:t>
      </w:r>
      <w:r w:rsidR="005A03A8" w:rsidRPr="006571AC">
        <w:rPr>
          <w:color w:val="auto"/>
          <w:rtl/>
          <w:lang w:bidi="ar-IQ"/>
        </w:rPr>
        <w:t>ـ أشكال التطر</w:t>
      </w:r>
      <w:r w:rsidR="005A647A" w:rsidRPr="006571AC">
        <w:rPr>
          <w:rFonts w:hint="cs"/>
          <w:color w:val="auto"/>
          <w:rtl/>
          <w:lang w:bidi="ar-IQ"/>
        </w:rPr>
        <w:t>ُّ</w:t>
      </w:r>
      <w:r w:rsidR="000B0F84" w:rsidRPr="006571AC">
        <w:rPr>
          <w:color w:val="auto"/>
          <w:rtl/>
          <w:lang w:bidi="ar-IQ"/>
        </w:rPr>
        <w:t>ف</w:t>
      </w:r>
      <w:bookmarkEnd w:id="312"/>
    </w:p>
    <w:p w:rsidR="006541B2" w:rsidRPr="006571AC" w:rsidRDefault="005A03A8" w:rsidP="00C559E5">
      <w:pPr>
        <w:spacing w:line="380" w:lineRule="exact"/>
        <w:rPr>
          <w:rtl/>
          <w:lang w:bidi="ar-IQ"/>
        </w:rPr>
      </w:pPr>
      <w:r w:rsidRPr="006571AC">
        <w:rPr>
          <w:rtl/>
          <w:lang w:bidi="ar-IQ"/>
        </w:rPr>
        <w:t>ل</w:t>
      </w:r>
      <w:r w:rsidR="005A647A" w:rsidRPr="006571AC">
        <w:rPr>
          <w:rFonts w:hint="cs"/>
          <w:rtl/>
          <w:lang w:bidi="ar-IQ"/>
        </w:rPr>
        <w:t>لتطرُّف</w:t>
      </w:r>
      <w:r w:rsidRPr="006571AC">
        <w:rPr>
          <w:rtl/>
          <w:lang w:bidi="ar-IQ"/>
        </w:rPr>
        <w:t xml:space="preserve"> مصاديق وأنواع وأشكال كثيرة</w:t>
      </w:r>
      <w:r w:rsidR="005A647A" w:rsidRPr="006571AC">
        <w:rPr>
          <w:rFonts w:hint="cs"/>
          <w:rtl/>
          <w:lang w:bidi="ar-IQ"/>
        </w:rPr>
        <w:t>،</w:t>
      </w:r>
      <w:r w:rsidRPr="006571AC">
        <w:rPr>
          <w:rtl/>
          <w:lang w:bidi="ar-IQ"/>
        </w:rPr>
        <w:t xml:space="preserve"> </w:t>
      </w:r>
      <w:r w:rsidRPr="006571AC">
        <w:rPr>
          <w:rFonts w:hint="cs"/>
          <w:rtl/>
          <w:lang w:bidi="ar-IQ"/>
        </w:rPr>
        <w:t>تبحث من حيثي</w:t>
      </w:r>
      <w:r w:rsidR="00F66487" w:rsidRPr="006571AC">
        <w:rPr>
          <w:rFonts w:hint="cs"/>
          <w:rtl/>
          <w:lang w:bidi="ar-IQ"/>
        </w:rPr>
        <w:t>ّ</w:t>
      </w:r>
      <w:r w:rsidRPr="006571AC">
        <w:rPr>
          <w:rFonts w:hint="cs"/>
          <w:rtl/>
          <w:lang w:bidi="ar-IQ"/>
        </w:rPr>
        <w:t>ات</w:t>
      </w:r>
      <w:r w:rsidR="00F66487" w:rsidRPr="006571AC">
        <w:rPr>
          <w:rFonts w:hint="cs"/>
          <w:rtl/>
          <w:lang w:bidi="ar-IQ"/>
        </w:rPr>
        <w:t>ٍ</w:t>
      </w:r>
      <w:r w:rsidRPr="006571AC">
        <w:rPr>
          <w:rFonts w:hint="cs"/>
          <w:rtl/>
          <w:lang w:bidi="ar-IQ"/>
        </w:rPr>
        <w:t xml:space="preserve"> وجهات</w:t>
      </w:r>
      <w:r w:rsidR="00F66487" w:rsidRPr="006571AC">
        <w:rPr>
          <w:rFonts w:hint="cs"/>
          <w:rtl/>
          <w:lang w:bidi="ar-IQ"/>
        </w:rPr>
        <w:t>ٍ</w:t>
      </w:r>
      <w:r w:rsidRPr="006571AC">
        <w:rPr>
          <w:rFonts w:hint="cs"/>
          <w:rtl/>
          <w:lang w:bidi="ar-IQ"/>
        </w:rPr>
        <w:t xml:space="preserve"> عد</w:t>
      </w:r>
      <w:r w:rsidR="005A647A" w:rsidRPr="006571AC">
        <w:rPr>
          <w:rFonts w:hint="cs"/>
          <w:rtl/>
          <w:lang w:bidi="ar-IQ"/>
        </w:rPr>
        <w:t>ّ</w:t>
      </w:r>
      <w:r w:rsidRPr="006571AC">
        <w:rPr>
          <w:rFonts w:hint="cs"/>
          <w:rtl/>
          <w:lang w:bidi="ar-IQ"/>
        </w:rPr>
        <w:t>ة</w:t>
      </w:r>
      <w:r w:rsidR="005A647A" w:rsidRPr="006571AC">
        <w:rPr>
          <w:rFonts w:hint="cs"/>
          <w:rtl/>
          <w:lang w:bidi="ar-IQ"/>
        </w:rPr>
        <w:t>،</w:t>
      </w:r>
      <w:r w:rsidRPr="006571AC">
        <w:rPr>
          <w:rFonts w:hint="cs"/>
          <w:rtl/>
          <w:lang w:bidi="ar-IQ"/>
        </w:rPr>
        <w:t xml:space="preserve"> </w:t>
      </w:r>
      <w:r w:rsidRPr="006571AC">
        <w:rPr>
          <w:rtl/>
          <w:lang w:bidi="ar-IQ"/>
        </w:rPr>
        <w:t>ت</w:t>
      </w:r>
      <w:r w:rsidR="005A647A" w:rsidRPr="006571AC">
        <w:rPr>
          <w:rFonts w:hint="cs"/>
          <w:rtl/>
          <w:lang w:bidi="ar-IQ"/>
        </w:rPr>
        <w:t>َ</w:t>
      </w:r>
      <w:r w:rsidRPr="006571AC">
        <w:rPr>
          <w:rtl/>
          <w:lang w:bidi="ar-IQ"/>
        </w:rPr>
        <w:t>ب</w:t>
      </w:r>
      <w:r w:rsidR="005A647A" w:rsidRPr="006571AC">
        <w:rPr>
          <w:rFonts w:hint="cs"/>
          <w:rtl/>
          <w:lang w:bidi="ar-IQ"/>
        </w:rPr>
        <w:t>َ</w:t>
      </w:r>
      <w:r w:rsidRPr="006571AC">
        <w:rPr>
          <w:rtl/>
          <w:lang w:bidi="ar-IQ"/>
        </w:rPr>
        <w:t>عاً لنوع المضاف إليه</w:t>
      </w:r>
      <w:r w:rsidR="005A647A" w:rsidRPr="006571AC">
        <w:rPr>
          <w:rFonts w:hint="cs"/>
          <w:rtl/>
          <w:lang w:bidi="ar-IQ"/>
        </w:rPr>
        <w:t>؛</w:t>
      </w:r>
      <w:r w:rsidRPr="006571AC">
        <w:rPr>
          <w:rtl/>
          <w:lang w:bidi="ar-IQ"/>
        </w:rPr>
        <w:t xml:space="preserve"> فتارة</w:t>
      </w:r>
      <w:r w:rsidR="005A647A" w:rsidRPr="006571AC">
        <w:rPr>
          <w:rFonts w:hint="cs"/>
          <w:rtl/>
          <w:lang w:bidi="ar-IQ"/>
        </w:rPr>
        <w:t>ً</w:t>
      </w:r>
      <w:r w:rsidRPr="006571AC">
        <w:rPr>
          <w:rtl/>
          <w:lang w:bidi="ar-IQ"/>
        </w:rPr>
        <w:t xml:space="preserve"> يلحظ جانب التفكير</w:t>
      </w:r>
      <w:r w:rsidR="005A647A" w:rsidRPr="006571AC">
        <w:rPr>
          <w:rFonts w:hint="cs"/>
          <w:rtl/>
          <w:lang w:bidi="ar-IQ"/>
        </w:rPr>
        <w:t>؛</w:t>
      </w:r>
      <w:r w:rsidRPr="006571AC">
        <w:rPr>
          <w:rtl/>
          <w:lang w:bidi="ar-IQ"/>
        </w:rPr>
        <w:t xml:space="preserve"> وأخرى السلوك والعمل</w:t>
      </w:r>
      <w:r w:rsidR="005A647A" w:rsidRPr="006571AC">
        <w:rPr>
          <w:rFonts w:hint="cs"/>
          <w:rtl/>
          <w:lang w:bidi="ar-IQ"/>
        </w:rPr>
        <w:t>.</w:t>
      </w:r>
      <w:r w:rsidRPr="006571AC">
        <w:rPr>
          <w:rtl/>
          <w:lang w:bidi="ar-IQ"/>
        </w:rPr>
        <w:t xml:space="preserve"> </w:t>
      </w:r>
      <w:r w:rsidRPr="006571AC">
        <w:rPr>
          <w:rFonts w:hint="cs"/>
          <w:rtl/>
          <w:lang w:bidi="ar-IQ"/>
        </w:rPr>
        <w:t>ولذا سنقتصر على أهم</w:t>
      </w:r>
      <w:r w:rsidR="005A647A" w:rsidRPr="006571AC">
        <w:rPr>
          <w:rFonts w:hint="cs"/>
          <w:rtl/>
          <w:lang w:bidi="ar-IQ"/>
        </w:rPr>
        <w:t>ِّ</w:t>
      </w:r>
      <w:r w:rsidRPr="006571AC">
        <w:rPr>
          <w:rFonts w:hint="cs"/>
          <w:rtl/>
          <w:lang w:bidi="ar-IQ"/>
        </w:rPr>
        <w:t>ها:</w:t>
      </w:r>
    </w:p>
    <w:p w:rsidR="006541B2" w:rsidRPr="006571AC" w:rsidRDefault="005A03A8" w:rsidP="000B0F84">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b/>
          <w:bCs/>
          <w:sz w:val="27"/>
          <w:szCs w:val="27"/>
          <w:rtl/>
          <w:lang w:bidi="ar-IQ"/>
        </w:rPr>
        <w:t>أـ التطر</w:t>
      </w:r>
      <w:r w:rsidR="005A647A" w:rsidRPr="006571AC">
        <w:rPr>
          <w:rFonts w:ascii="Simplified Arabic" w:hAnsi="Simplified Arabic" w:cs="AL-Mohanad" w:hint="cs"/>
          <w:b/>
          <w:bCs/>
          <w:sz w:val="27"/>
          <w:szCs w:val="27"/>
          <w:rtl/>
          <w:lang w:bidi="ar-IQ"/>
        </w:rPr>
        <w:t>ُّ</w:t>
      </w:r>
      <w:r w:rsidRPr="006571AC">
        <w:rPr>
          <w:rFonts w:ascii="Simplified Arabic" w:hAnsi="Simplified Arabic" w:cs="AL-Mohanad"/>
          <w:b/>
          <w:bCs/>
          <w:sz w:val="27"/>
          <w:szCs w:val="27"/>
          <w:rtl/>
          <w:lang w:bidi="ar-IQ"/>
        </w:rPr>
        <w:t>ف السياسي</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 xml:space="preserve">يحدث </w:t>
      </w:r>
      <w:r w:rsidRPr="006571AC">
        <w:rPr>
          <w:rFonts w:ascii="Simplified Arabic" w:hAnsi="Simplified Arabic" w:cs="AL-Mohanad"/>
          <w:sz w:val="27"/>
          <w:szCs w:val="27"/>
          <w:rtl/>
          <w:lang w:bidi="ar-IQ"/>
        </w:rPr>
        <w:t>عندما تتجاوز السلطة الحدود الدستورية والقانونية في التعامل</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بما يؤول إلى الاستبداد واستعمال العنف في </w:t>
      </w:r>
      <w:r w:rsidR="005A647A"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قصاء المعارضين</w:t>
      </w:r>
      <w:r w:rsidR="005A647A" w:rsidRPr="006571AC">
        <w:rPr>
          <w:rFonts w:ascii="Simplified Arabic" w:hAnsi="Simplified Arabic" w:cs="AL-Mohanad" w:hint="cs"/>
          <w:sz w:val="27"/>
          <w:szCs w:val="27"/>
          <w:rtl/>
          <w:lang w:bidi="ar-IQ"/>
        </w:rPr>
        <w:t>،</w:t>
      </w:r>
      <w:r w:rsidR="006541B2" w:rsidRPr="006571AC">
        <w:rPr>
          <w:rFonts w:ascii="Simplified Arabic" w:hAnsi="Simplified Arabic" w:cs="AL-Mohanad"/>
          <w:sz w:val="27"/>
          <w:szCs w:val="27"/>
          <w:rtl/>
          <w:lang w:bidi="ar-IQ"/>
        </w:rPr>
        <w:t xml:space="preserve"> وبالعكس.</w:t>
      </w:r>
    </w:p>
    <w:p w:rsidR="006541B2" w:rsidRPr="006571AC" w:rsidRDefault="005A03A8" w:rsidP="000B0F84">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b/>
          <w:bCs/>
          <w:sz w:val="27"/>
          <w:szCs w:val="27"/>
          <w:rtl/>
          <w:lang w:bidi="ar-IQ"/>
        </w:rPr>
        <w:t>ب ـ التطر</w:t>
      </w:r>
      <w:r w:rsidR="005A647A" w:rsidRPr="006571AC">
        <w:rPr>
          <w:rFonts w:ascii="Simplified Arabic" w:hAnsi="Simplified Arabic" w:cs="AL-Mohanad" w:hint="cs"/>
          <w:b/>
          <w:bCs/>
          <w:sz w:val="27"/>
          <w:szCs w:val="27"/>
          <w:rtl/>
          <w:lang w:bidi="ar-IQ"/>
        </w:rPr>
        <w:t>ُّ</w:t>
      </w:r>
      <w:r w:rsidRPr="006571AC">
        <w:rPr>
          <w:rFonts w:ascii="Simplified Arabic" w:hAnsi="Simplified Arabic" w:cs="AL-Mohanad"/>
          <w:b/>
          <w:bCs/>
          <w:sz w:val="27"/>
          <w:szCs w:val="27"/>
          <w:rtl/>
          <w:lang w:bidi="ar-IQ"/>
        </w:rPr>
        <w:t>ف الفكري</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يمث</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ل حالة التعص</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ب تجاه رأي</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معين</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مع ظهور خط</w:t>
      </w:r>
      <w:r w:rsidR="005A647A" w:rsidRPr="006571AC">
        <w:rPr>
          <w:rFonts w:ascii="Simplified Arabic" w:hAnsi="Simplified Arabic" w:cs="AL-Mohanad" w:hint="cs"/>
          <w:sz w:val="27"/>
          <w:szCs w:val="27"/>
          <w:rtl/>
          <w:lang w:bidi="ar-IQ"/>
        </w:rPr>
        <w:t>ئ</w:t>
      </w:r>
      <w:r w:rsidRPr="006571AC">
        <w:rPr>
          <w:rFonts w:ascii="Simplified Arabic" w:hAnsi="Simplified Arabic" w:cs="AL-Mohanad" w:hint="cs"/>
          <w:sz w:val="27"/>
          <w:szCs w:val="27"/>
          <w:rtl/>
          <w:lang w:bidi="ar-IQ"/>
        </w:rPr>
        <w:t>ه وفساد أسسه وقواعده، فيسعى أصحابه إلى إلغاء آراء الآخرين</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وإن</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أد</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ى ذلك إلى القو</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ة والعنف في بعض الأحيان، محاولين بذلك </w:t>
      </w:r>
      <w:r w:rsidR="005A647A" w:rsidRPr="006571AC">
        <w:rPr>
          <w:rFonts w:ascii="Simplified Arabic" w:hAnsi="Simplified Arabic" w:cs="AL-Mohanad" w:hint="cs"/>
          <w:sz w:val="27"/>
          <w:szCs w:val="27"/>
          <w:rtl/>
          <w:lang w:bidi="ar-IQ"/>
        </w:rPr>
        <w:t>إ</w:t>
      </w:r>
      <w:r w:rsidRPr="006571AC">
        <w:rPr>
          <w:rFonts w:ascii="Simplified Arabic" w:hAnsi="Simplified Arabic" w:cs="AL-Mohanad" w:hint="cs"/>
          <w:sz w:val="27"/>
          <w:szCs w:val="27"/>
          <w:rtl/>
          <w:lang w:bidi="ar-IQ"/>
        </w:rPr>
        <w:t>نشاء مجتمعات</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مغلقة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على أفكار</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ورؤى</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خاص</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ة</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تخدم مصالح وأهداف</w:t>
      </w:r>
      <w:r w:rsidR="00970DAA" w:rsidRPr="006571AC">
        <w:rPr>
          <w:rFonts w:ascii="Simplified Arabic" w:hAnsi="Simplified Arabic" w:cs="AL-Mohanad" w:hint="cs"/>
          <w:sz w:val="27"/>
          <w:szCs w:val="27"/>
          <w:rtl/>
          <w:lang w:bidi="ar-IQ"/>
        </w:rPr>
        <w:t>اً</w:t>
      </w:r>
      <w:r w:rsidRPr="006571AC">
        <w:rPr>
          <w:rFonts w:ascii="Simplified Arabic" w:hAnsi="Simplified Arabic" w:cs="AL-Mohanad" w:hint="cs"/>
          <w:sz w:val="27"/>
          <w:szCs w:val="27"/>
          <w:rtl/>
          <w:lang w:bidi="ar-IQ"/>
        </w:rPr>
        <w:t xml:space="preserve"> معي</w:t>
      </w:r>
      <w:r w:rsidR="00970DAA" w:rsidRPr="006571AC">
        <w:rPr>
          <w:rFonts w:ascii="Simplified Arabic" w:hAnsi="Simplified Arabic" w:cs="AL-Mohanad" w:hint="cs"/>
          <w:sz w:val="27"/>
          <w:szCs w:val="27"/>
          <w:rtl/>
          <w:lang w:bidi="ar-IQ"/>
        </w:rPr>
        <w:t>َّ</w:t>
      </w:r>
      <w:r w:rsidR="006541B2" w:rsidRPr="006571AC">
        <w:rPr>
          <w:rFonts w:ascii="Simplified Arabic" w:hAnsi="Simplified Arabic" w:cs="AL-Mohanad" w:hint="cs"/>
          <w:sz w:val="27"/>
          <w:szCs w:val="27"/>
          <w:rtl/>
          <w:lang w:bidi="ar-IQ"/>
        </w:rPr>
        <w:t>نة.</w:t>
      </w:r>
    </w:p>
    <w:p w:rsidR="006541B2" w:rsidRPr="006571AC" w:rsidRDefault="005A03A8" w:rsidP="000B0F84">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sz w:val="27"/>
          <w:szCs w:val="27"/>
          <w:rtl/>
          <w:lang w:bidi="ar-IQ"/>
        </w:rPr>
        <w:t>ولذا فمن أشد</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أنواع التطر</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ف خطورة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على المجتمع هو </w:t>
      </w:r>
      <w:r w:rsidRPr="006571AC">
        <w:rPr>
          <w:rFonts w:ascii="Simplified Arabic" w:hAnsi="Simplified Arabic" w:cs="AL-Mohanad"/>
          <w:sz w:val="27"/>
          <w:szCs w:val="27"/>
          <w:rtl/>
          <w:lang w:bidi="ar-IQ"/>
        </w:rPr>
        <w:t>التطر</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العلماني أو الإلحادي</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ونحوها من مناهج التفكير</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 xml:space="preserve">التي </w:t>
      </w:r>
      <w:r w:rsidRPr="006571AC">
        <w:rPr>
          <w:rFonts w:ascii="Simplified Arabic" w:hAnsi="Simplified Arabic" w:cs="AL-Mohanad"/>
          <w:sz w:val="27"/>
          <w:szCs w:val="27"/>
          <w:rtl/>
          <w:lang w:bidi="ar-IQ"/>
        </w:rPr>
        <w:t>لا تقل</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خطورة</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عن التطر</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الديني</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 xml:space="preserve">حيث </w:t>
      </w:r>
      <w:r w:rsidRPr="006571AC">
        <w:rPr>
          <w:rFonts w:ascii="Simplified Arabic" w:hAnsi="Simplified Arabic" w:cs="AL-Mohanad"/>
          <w:sz w:val="27"/>
          <w:szCs w:val="27"/>
          <w:rtl/>
          <w:lang w:bidi="ar-IQ"/>
        </w:rPr>
        <w:t>سب</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ب بعضها مجازر ومذابح </w:t>
      </w:r>
      <w:r w:rsidR="00970DAA" w:rsidRPr="006571AC">
        <w:rPr>
          <w:rFonts w:ascii="Simplified Arabic" w:hAnsi="Simplified Arabic" w:cs="AL-Mohanad" w:hint="cs"/>
          <w:sz w:val="27"/>
          <w:szCs w:val="27"/>
          <w:rtl/>
          <w:lang w:bidi="ar-IQ"/>
        </w:rPr>
        <w:t>للألوف،</w:t>
      </w:r>
      <w:r w:rsidRPr="006571AC">
        <w:rPr>
          <w:rFonts w:ascii="Simplified Arabic" w:hAnsi="Simplified Arabic" w:cs="AL-Mohanad"/>
          <w:sz w:val="27"/>
          <w:szCs w:val="27"/>
          <w:rtl/>
          <w:lang w:bidi="ar-IQ"/>
        </w:rPr>
        <w:t xml:space="preserve"> بل الملايين</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عبر حروب</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عالمية</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تبتني على صراع المصالح الشخصية والرؤى الضيقة</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فضلاً عن استعباد الشعوب</w:t>
      </w:r>
      <w:r w:rsidR="00970DAA"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وس</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 حر</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ياتهم وحقوقهم</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عبر وسائل وأساليب </w:t>
      </w:r>
      <w:r w:rsidR="006541B2" w:rsidRPr="006571AC">
        <w:rPr>
          <w:rFonts w:ascii="Simplified Arabic" w:hAnsi="Simplified Arabic" w:cs="AL-Mohanad"/>
          <w:sz w:val="27"/>
          <w:szCs w:val="27"/>
          <w:rtl/>
          <w:lang w:bidi="ar-IQ"/>
        </w:rPr>
        <w:t>وأيديولوجيات ظالمة عند العقلاء.</w:t>
      </w:r>
    </w:p>
    <w:p w:rsidR="006541B2" w:rsidRPr="006571AC" w:rsidRDefault="005A03A8" w:rsidP="00F66487">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b/>
          <w:bCs/>
          <w:sz w:val="27"/>
          <w:szCs w:val="27"/>
          <w:rtl/>
          <w:lang w:bidi="ar-IQ"/>
        </w:rPr>
        <w:t>ج ـ التطر</w:t>
      </w:r>
      <w:r w:rsidR="00970DAA" w:rsidRPr="006571AC">
        <w:rPr>
          <w:rFonts w:ascii="Simplified Arabic" w:hAnsi="Simplified Arabic" w:cs="AL-Mohanad" w:hint="cs"/>
          <w:b/>
          <w:bCs/>
          <w:sz w:val="27"/>
          <w:szCs w:val="27"/>
          <w:rtl/>
          <w:lang w:bidi="ar-IQ"/>
        </w:rPr>
        <w:t>ُّ</w:t>
      </w:r>
      <w:r w:rsidRPr="006571AC">
        <w:rPr>
          <w:rFonts w:ascii="Simplified Arabic" w:hAnsi="Simplified Arabic" w:cs="AL-Mohanad"/>
          <w:b/>
          <w:bCs/>
          <w:sz w:val="27"/>
          <w:szCs w:val="27"/>
          <w:rtl/>
          <w:lang w:bidi="ar-IQ"/>
        </w:rPr>
        <w:t>ف ال</w:t>
      </w:r>
      <w:r w:rsidR="00F66487" w:rsidRPr="006571AC">
        <w:rPr>
          <w:rFonts w:ascii="Simplified Arabic" w:hAnsi="Simplified Arabic" w:cs="AL-Mohanad" w:hint="cs"/>
          <w:b/>
          <w:bCs/>
          <w:sz w:val="27"/>
          <w:szCs w:val="27"/>
          <w:rtl/>
          <w:lang w:bidi="ar-IQ"/>
        </w:rPr>
        <w:t>ا</w:t>
      </w:r>
      <w:r w:rsidRPr="006571AC">
        <w:rPr>
          <w:rFonts w:ascii="Simplified Arabic" w:hAnsi="Simplified Arabic" w:cs="AL-Mohanad"/>
          <w:b/>
          <w:bCs/>
          <w:sz w:val="27"/>
          <w:szCs w:val="27"/>
          <w:rtl/>
          <w:lang w:bidi="ar-IQ"/>
        </w:rPr>
        <w:t>جتماعي</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يحدث حينما</w:t>
      </w:r>
      <w:r w:rsidRPr="006571AC">
        <w:rPr>
          <w:rFonts w:ascii="Simplified Arabic" w:hAnsi="Simplified Arabic" w:cs="AL-Mohanad"/>
          <w:sz w:val="27"/>
          <w:szCs w:val="27"/>
          <w:rtl/>
          <w:lang w:bidi="ar-IQ"/>
        </w:rPr>
        <w:t xml:space="preserve"> يت</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جه </w:t>
      </w:r>
      <w:r w:rsidR="00970DAA"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فراد</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جماعات</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إلى الاعتقاد بأفكار معي</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نة</w:t>
      </w:r>
      <w:r w:rsidR="00970DAA"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نتيجة</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لق</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لي</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ات </w:t>
      </w:r>
      <w:r w:rsidRPr="006571AC">
        <w:rPr>
          <w:rFonts w:ascii="Simplified Arabic" w:hAnsi="Simplified Arabic" w:cs="AL-Mohanad" w:hint="cs"/>
          <w:sz w:val="27"/>
          <w:szCs w:val="27"/>
          <w:rtl/>
          <w:lang w:bidi="ar-IQ"/>
        </w:rPr>
        <w:t>ومسل</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مات </w:t>
      </w:r>
      <w:r w:rsidRPr="006571AC">
        <w:rPr>
          <w:rFonts w:ascii="Simplified Arabic" w:hAnsi="Simplified Arabic" w:cs="AL-Mohanad"/>
          <w:sz w:val="27"/>
          <w:szCs w:val="27"/>
          <w:rtl/>
          <w:lang w:bidi="ar-IQ"/>
        </w:rPr>
        <w:t>ثقافية أو قومية أو عرقية</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دون أن تستند إلى أسس وموازين عقلائي</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ة، </w:t>
      </w:r>
      <w:r w:rsidRPr="006571AC">
        <w:rPr>
          <w:rFonts w:ascii="Simplified Arabic" w:hAnsi="Simplified Arabic" w:cs="AL-Mohanad" w:hint="cs"/>
          <w:sz w:val="27"/>
          <w:szCs w:val="27"/>
          <w:rtl/>
          <w:lang w:bidi="ar-IQ"/>
        </w:rPr>
        <w:t>ف</w:t>
      </w:r>
      <w:r w:rsidRPr="006571AC">
        <w:rPr>
          <w:rFonts w:ascii="Simplified Arabic" w:hAnsi="Simplified Arabic" w:cs="AL-Mohanad"/>
          <w:sz w:val="27"/>
          <w:szCs w:val="27"/>
          <w:rtl/>
          <w:lang w:bidi="ar-IQ"/>
        </w:rPr>
        <w:t>يبذلوا جميع الوسائل في سبيل تحقيق ب</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غ</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تهم</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والانتصار</w:t>
      </w:r>
      <w:r w:rsidR="006541B2" w:rsidRPr="006571AC">
        <w:rPr>
          <w:rFonts w:ascii="Simplified Arabic" w:hAnsi="Simplified Arabic" w:cs="AL-Mohanad"/>
          <w:sz w:val="27"/>
          <w:szCs w:val="27"/>
          <w:rtl/>
          <w:lang w:bidi="ar-IQ"/>
        </w:rPr>
        <w:t xml:space="preserve"> لأفكارهم.</w:t>
      </w:r>
    </w:p>
    <w:p w:rsidR="006541B2" w:rsidRPr="006571AC" w:rsidRDefault="005A03A8" w:rsidP="00C559E5">
      <w:pPr>
        <w:pStyle w:val="afffffff6"/>
        <w:bidi/>
        <w:spacing w:line="380"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sz w:val="27"/>
          <w:szCs w:val="27"/>
          <w:rtl/>
          <w:lang w:bidi="ar-IQ"/>
        </w:rPr>
        <w:t>ومنه</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استبداد الأب برأيه داخل الأسرة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من دون مشورة زوجته وأبنائه</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في قضايا تخص</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الأسرة كاف</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حيث يعمد عادة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إلى فرض رؤاه بالقو</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ة والغ</w:t>
      </w:r>
      <w:r w:rsidR="005D2632"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ل</w:t>
      </w:r>
      <w:r w:rsidR="005D2632"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بة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مما يستتبع نتائج سلبي</w:t>
      </w:r>
      <w:r w:rsidR="00A563E7"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ة</w:t>
      </w:r>
      <w:r w:rsidR="00A563E7" w:rsidRPr="006571AC">
        <w:rPr>
          <w:rFonts w:ascii="Simplified Arabic" w:hAnsi="Simplified Arabic" w:cs="AL-Mohanad" w:hint="cs"/>
          <w:sz w:val="27"/>
          <w:szCs w:val="27"/>
          <w:rtl/>
          <w:lang w:bidi="ar-IQ"/>
        </w:rPr>
        <w:t>ً</w:t>
      </w:r>
      <w:r w:rsidR="006541B2" w:rsidRPr="006571AC">
        <w:rPr>
          <w:rFonts w:ascii="Simplified Arabic" w:hAnsi="Simplified Arabic" w:cs="AL-Mohanad" w:hint="cs"/>
          <w:sz w:val="27"/>
          <w:szCs w:val="27"/>
          <w:rtl/>
          <w:lang w:bidi="ar-IQ"/>
        </w:rPr>
        <w:t xml:space="preserve"> على الأسرة أو بعض أفرادها.</w:t>
      </w:r>
    </w:p>
    <w:p w:rsidR="006541B2" w:rsidRPr="006571AC" w:rsidRDefault="005A03A8" w:rsidP="000B0F84">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b/>
          <w:bCs/>
          <w:sz w:val="27"/>
          <w:szCs w:val="27"/>
          <w:rtl/>
          <w:lang w:bidi="ar-IQ"/>
        </w:rPr>
        <w:t>د</w:t>
      </w:r>
      <w:r w:rsidRPr="006571AC">
        <w:rPr>
          <w:rFonts w:ascii="Simplified Arabic" w:hAnsi="Simplified Arabic" w:cs="AL-Mohanad" w:hint="cs"/>
          <w:b/>
          <w:bCs/>
          <w:sz w:val="27"/>
          <w:szCs w:val="27"/>
          <w:rtl/>
          <w:lang w:bidi="ar-IQ"/>
        </w:rPr>
        <w:t xml:space="preserve"> </w:t>
      </w:r>
      <w:r w:rsidRPr="006571AC">
        <w:rPr>
          <w:rFonts w:ascii="Simplified Arabic" w:hAnsi="Simplified Arabic" w:cs="AL-Mohanad"/>
          <w:b/>
          <w:bCs/>
          <w:sz w:val="27"/>
          <w:szCs w:val="27"/>
          <w:rtl/>
          <w:lang w:bidi="ar-IQ"/>
        </w:rPr>
        <w:t>ـ التطر</w:t>
      </w:r>
      <w:r w:rsidR="00A563E7" w:rsidRPr="006571AC">
        <w:rPr>
          <w:rFonts w:ascii="Simplified Arabic" w:hAnsi="Simplified Arabic" w:cs="AL-Mohanad" w:hint="cs"/>
          <w:b/>
          <w:bCs/>
          <w:sz w:val="27"/>
          <w:szCs w:val="27"/>
          <w:rtl/>
          <w:lang w:bidi="ar-IQ"/>
        </w:rPr>
        <w:t>ُّ</w:t>
      </w:r>
      <w:r w:rsidRPr="006571AC">
        <w:rPr>
          <w:rFonts w:ascii="Simplified Arabic" w:hAnsi="Simplified Arabic" w:cs="AL-Mohanad"/>
          <w:b/>
          <w:bCs/>
          <w:sz w:val="27"/>
          <w:szCs w:val="27"/>
          <w:rtl/>
          <w:lang w:bidi="ar-IQ"/>
        </w:rPr>
        <w:t>ف الديني</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يحدث حينما</w:t>
      </w:r>
      <w:r w:rsidRPr="006571AC">
        <w:rPr>
          <w:rFonts w:ascii="Simplified Arabic" w:hAnsi="Simplified Arabic" w:cs="AL-Mohanad"/>
          <w:sz w:val="27"/>
          <w:szCs w:val="27"/>
          <w:rtl/>
          <w:lang w:bidi="ar-IQ"/>
        </w:rPr>
        <w:t xml:space="preserve"> يولد تيار</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ينتمي إلى الدين ظاهراً، </w:t>
      </w:r>
      <w:r w:rsidR="00A563E7" w:rsidRPr="006571AC">
        <w:rPr>
          <w:rFonts w:ascii="Simplified Arabic" w:hAnsi="Simplified Arabic" w:cs="AL-Mohanad" w:hint="cs"/>
          <w:sz w:val="27"/>
          <w:szCs w:val="27"/>
          <w:rtl/>
          <w:lang w:bidi="ar-IQ"/>
        </w:rPr>
        <w:t>و</w:t>
      </w:r>
      <w:r w:rsidRPr="006571AC">
        <w:rPr>
          <w:rFonts w:ascii="Simplified Arabic" w:hAnsi="Simplified Arabic" w:cs="AL-Mohanad"/>
          <w:sz w:val="27"/>
          <w:szCs w:val="27"/>
          <w:rtl/>
          <w:lang w:bidi="ar-IQ"/>
        </w:rPr>
        <w:t>يعتمد على مجموعة</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النصوص في الاستدلال على مشروعي</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عمله، سواء ألحق ض</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راً </w:t>
      </w:r>
      <w:r w:rsidRPr="006571AC">
        <w:rPr>
          <w:rFonts w:ascii="Simplified Arabic" w:hAnsi="Simplified Arabic" w:cs="AL-Mohanad"/>
          <w:sz w:val="27"/>
          <w:szCs w:val="27"/>
          <w:rtl/>
          <w:lang w:bidi="ar-IQ"/>
        </w:rPr>
        <w:lastRenderedPageBreak/>
        <w:t>بالأفراد أم لا، وإن</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لازم العنف في كثير من الأحيان، فيؤد</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ي إلى </w:t>
      </w:r>
      <w:r w:rsidR="00A563E7"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حداث خ</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الواقع المجتمعي</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نتيجة</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لحصول ف</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خاطئ</w:t>
      </w:r>
      <w:r w:rsidR="00A563E7" w:rsidRPr="006571AC">
        <w:rPr>
          <w:rFonts w:ascii="Simplified Arabic" w:hAnsi="Simplified Arabic" w:cs="AL-Mohanad" w:hint="cs"/>
          <w:sz w:val="27"/>
          <w:szCs w:val="27"/>
          <w:rtl/>
          <w:lang w:bidi="ar-IQ"/>
        </w:rPr>
        <w:t>ٍ</w:t>
      </w:r>
      <w:r w:rsidR="006541B2" w:rsidRPr="006571AC">
        <w:rPr>
          <w:rFonts w:ascii="Simplified Arabic" w:hAnsi="Simplified Arabic" w:cs="AL-Mohanad"/>
          <w:sz w:val="27"/>
          <w:szCs w:val="27"/>
          <w:rtl/>
          <w:lang w:bidi="ar-IQ"/>
        </w:rPr>
        <w:t xml:space="preserve"> للأوامر الشرعية.</w:t>
      </w:r>
    </w:p>
    <w:p w:rsidR="006541B2" w:rsidRPr="006571AC" w:rsidRDefault="005A03A8" w:rsidP="002757CC">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وهو ما نراه في عموم العالم</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w:t>
      </w:r>
      <w:r w:rsidR="00A563E7" w:rsidRPr="006571AC">
        <w:rPr>
          <w:rFonts w:ascii="Simplified Arabic" w:hAnsi="Simplified Arabic" w:cs="AL-Mohanad" w:hint="cs"/>
          <w:sz w:val="27"/>
          <w:szCs w:val="27"/>
          <w:rtl/>
          <w:lang w:bidi="ar-IQ"/>
        </w:rPr>
        <w:t xml:space="preserve">ما عند </w:t>
      </w:r>
      <w:r w:rsidRPr="006571AC">
        <w:rPr>
          <w:rFonts w:ascii="Simplified Arabic" w:hAnsi="Simplified Arabic" w:cs="AL-Mohanad"/>
          <w:sz w:val="27"/>
          <w:szCs w:val="27"/>
          <w:rtl/>
          <w:lang w:bidi="ar-IQ"/>
        </w:rPr>
        <w:t>اليهود تجاه غيرهم من الأمم</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w:t>
      </w:r>
      <w:r w:rsidR="00A563E7" w:rsidRPr="006571AC">
        <w:rPr>
          <w:rFonts w:ascii="Simplified Arabic" w:hAnsi="Simplified Arabic" w:cs="AL-Mohanad" w:hint="cs"/>
          <w:sz w:val="27"/>
          <w:szCs w:val="27"/>
          <w:rtl/>
          <w:lang w:bidi="ar-IQ"/>
        </w:rPr>
        <w:t xml:space="preserve">عند </w:t>
      </w:r>
      <w:r w:rsidRPr="006571AC">
        <w:rPr>
          <w:rFonts w:ascii="Simplified Arabic" w:hAnsi="Simplified Arabic" w:cs="AL-Mohanad"/>
          <w:sz w:val="27"/>
          <w:szCs w:val="27"/>
          <w:rtl/>
          <w:lang w:bidi="ar-IQ"/>
        </w:rPr>
        <w:t>المسيح</w:t>
      </w:r>
      <w:r w:rsidR="00A563E7" w:rsidRPr="006571AC">
        <w:rPr>
          <w:rFonts w:ascii="Simplified Arabic" w:hAnsi="Simplified Arabic" w:cs="AL-Mohanad" w:hint="cs"/>
          <w:sz w:val="27"/>
          <w:szCs w:val="27"/>
          <w:rtl/>
          <w:lang w:bidi="ar-IQ"/>
        </w:rPr>
        <w:t>يين</w:t>
      </w:r>
      <w:r w:rsidRPr="006571AC">
        <w:rPr>
          <w:rFonts w:ascii="Simplified Arabic" w:hAnsi="Simplified Arabic" w:cs="AL-Mohanad"/>
          <w:sz w:val="27"/>
          <w:szCs w:val="27"/>
          <w:rtl/>
          <w:lang w:bidi="ar-IQ"/>
        </w:rPr>
        <w:t xml:space="preserve"> في الحروب الصليبية ومحاكم التفتيش</w:t>
      </w:r>
      <w:r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وغير</w:t>
      </w:r>
      <w:r w:rsidR="00A563E7" w:rsidRPr="006571AC">
        <w:rPr>
          <w:rFonts w:ascii="Simplified Arabic" w:hAnsi="Simplified Arabic" w:cs="AL-Mohanad" w:hint="cs"/>
          <w:sz w:val="27"/>
          <w:szCs w:val="27"/>
          <w:rtl/>
          <w:lang w:bidi="ar-IQ"/>
        </w:rPr>
        <w:t>ها</w:t>
      </w:r>
      <w:r w:rsidRPr="006571AC">
        <w:rPr>
          <w:rFonts w:ascii="Simplified Arabic" w:hAnsi="Simplified Arabic" w:cs="AL-Mohanad"/>
          <w:sz w:val="27"/>
          <w:szCs w:val="27"/>
          <w:rtl/>
          <w:lang w:bidi="ar-IQ"/>
        </w:rPr>
        <w:t xml:space="preserve"> </w:t>
      </w:r>
      <w:r w:rsidR="00A563E7" w:rsidRPr="006571AC">
        <w:rPr>
          <w:rFonts w:ascii="Simplified Arabic" w:hAnsi="Simplified Arabic" w:cs="AL-Mohanad" w:hint="cs"/>
          <w:sz w:val="27"/>
          <w:szCs w:val="27"/>
          <w:rtl/>
          <w:lang w:bidi="ar-IQ"/>
        </w:rPr>
        <w:t>إلى يومنا هذا</w:t>
      </w:r>
      <w:r w:rsidRPr="006571AC">
        <w:rPr>
          <w:rFonts w:ascii="Simplified Arabic" w:hAnsi="Simplified Arabic" w:cs="AL-Mohanad"/>
          <w:sz w:val="27"/>
          <w:szCs w:val="27"/>
          <w:vertAlign w:val="superscript"/>
          <w:rtl/>
          <w:lang w:bidi="ar-IQ"/>
        </w:rPr>
        <w:t>(</w:t>
      </w:r>
      <w:r w:rsidRPr="006571AC">
        <w:rPr>
          <w:rStyle w:val="ac"/>
          <w:rFonts w:ascii="Simplified Arabic" w:hAnsi="Simplified Arabic" w:cs="AL-Mohanad"/>
          <w:sz w:val="27"/>
          <w:szCs w:val="27"/>
          <w:rtl/>
          <w:lang w:bidi="ar-IQ"/>
        </w:rPr>
        <w:endnoteReference w:id="495"/>
      </w:r>
      <w:r w:rsidRPr="006571AC">
        <w:rPr>
          <w:rFonts w:ascii="Simplified Arabic" w:hAnsi="Simplified Arabic" w:cs="AL-Mohanad"/>
          <w:sz w:val="27"/>
          <w:szCs w:val="27"/>
          <w:vertAlign w:val="superscript"/>
          <w:rtl/>
          <w:lang w:bidi="ar-IQ"/>
        </w:rPr>
        <w:t>)</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w:t>
      </w:r>
      <w:r w:rsidR="00A563E7" w:rsidRPr="006571AC">
        <w:rPr>
          <w:rFonts w:ascii="Simplified Arabic" w:hAnsi="Simplified Arabic" w:cs="AL-Mohanad" w:hint="cs"/>
          <w:sz w:val="27"/>
          <w:szCs w:val="27"/>
          <w:rtl/>
          <w:lang w:bidi="ar-IQ"/>
        </w:rPr>
        <w:t xml:space="preserve">عند </w:t>
      </w:r>
      <w:r w:rsidRPr="006571AC">
        <w:rPr>
          <w:rFonts w:ascii="Simplified Arabic" w:hAnsi="Simplified Arabic" w:cs="AL-Mohanad"/>
          <w:sz w:val="27"/>
          <w:szCs w:val="27"/>
          <w:rtl/>
          <w:lang w:bidi="ar-IQ"/>
        </w:rPr>
        <w:t>الهندوس في الهند وغيرها تجاه المسلمين</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w:t>
      </w:r>
      <w:r w:rsidR="005D2632" w:rsidRPr="006571AC">
        <w:rPr>
          <w:rFonts w:ascii="Simplified Arabic" w:hAnsi="Simplified Arabic" w:cs="AL-Mohanad" w:hint="cs"/>
          <w:sz w:val="27"/>
          <w:szCs w:val="27"/>
          <w:rtl/>
          <w:lang w:bidi="ar-IQ"/>
        </w:rPr>
        <w:t>بعض الفِرَق والحركات الإسلاميّة</w:t>
      </w:r>
      <w:r w:rsidRPr="006571AC">
        <w:rPr>
          <w:rFonts w:ascii="Simplified Arabic" w:hAnsi="Simplified Arabic" w:cs="AL-Mohanad"/>
          <w:sz w:val="27"/>
          <w:szCs w:val="27"/>
          <w:rtl/>
          <w:lang w:bidi="ar-IQ"/>
        </w:rPr>
        <w:t xml:space="preserve"> ضد</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غيرهم من المذاهب أو الأديان</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وغيرها من الحركات المنحرفة </w:t>
      </w:r>
      <w:r w:rsidR="00421B5A" w:rsidRPr="006571AC">
        <w:rPr>
          <w:rFonts w:ascii="Simplified Arabic" w:hAnsi="Simplified Arabic" w:cs="AL-Mohanad" w:hint="cs"/>
          <w:sz w:val="27"/>
          <w:szCs w:val="27"/>
          <w:rtl/>
          <w:lang w:bidi="ar-IQ"/>
        </w:rPr>
        <w:t>التي</w:t>
      </w:r>
      <w:r w:rsidRPr="006571AC">
        <w:rPr>
          <w:rFonts w:ascii="Simplified Arabic" w:hAnsi="Simplified Arabic" w:cs="AL-Mohanad"/>
          <w:sz w:val="27"/>
          <w:szCs w:val="27"/>
          <w:rtl/>
          <w:lang w:bidi="ar-IQ"/>
        </w:rPr>
        <w:t xml:space="preserve"> تتمس</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ك بالقشور وتترك اللب</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w:t>
      </w:r>
    </w:p>
    <w:p w:rsidR="006541B2" w:rsidRPr="006571AC" w:rsidRDefault="005A03A8" w:rsidP="002757CC">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وقد يطلق عليه في بعض الأحيان </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التعص</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 الديني</w:t>
      </w:r>
      <w:r w:rsidR="00421B5A" w:rsidRPr="006571AC">
        <w:rPr>
          <w:rFonts w:ascii="Simplified Arabic" w:hAnsi="Simplified Arabic" w:cs="AL-Mohanad" w:hint="cs"/>
          <w:sz w:val="27"/>
          <w:szCs w:val="27"/>
          <w:rtl/>
          <w:lang w:bidi="ar-IQ"/>
        </w:rPr>
        <w:t>).</w:t>
      </w:r>
    </w:p>
    <w:p w:rsidR="006541B2" w:rsidRPr="006571AC" w:rsidRDefault="00731867" w:rsidP="002757CC">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بَيْدَ</w:t>
      </w:r>
      <w:r w:rsidR="005A03A8" w:rsidRPr="006571AC">
        <w:rPr>
          <w:rFonts w:ascii="Simplified Arabic" w:hAnsi="Simplified Arabic" w:cs="AL-Mohanad"/>
          <w:sz w:val="27"/>
          <w:szCs w:val="27"/>
          <w:rtl/>
          <w:lang w:bidi="ar-IQ"/>
        </w:rPr>
        <w:t xml:space="preserve"> </w:t>
      </w:r>
      <w:r w:rsidR="00421B5A" w:rsidRPr="006571AC">
        <w:rPr>
          <w:rFonts w:ascii="Simplified Arabic" w:hAnsi="Simplified Arabic" w:cs="AL-Mohanad" w:hint="cs"/>
          <w:sz w:val="27"/>
          <w:szCs w:val="27"/>
          <w:rtl/>
          <w:lang w:bidi="ar-IQ"/>
        </w:rPr>
        <w:t>أ</w:t>
      </w:r>
      <w:r w:rsidR="005A03A8" w:rsidRPr="006571AC">
        <w:rPr>
          <w:rFonts w:ascii="Simplified Arabic" w:hAnsi="Simplified Arabic" w:cs="AL-Mohanad"/>
          <w:sz w:val="27"/>
          <w:szCs w:val="27"/>
          <w:rtl/>
          <w:lang w:bidi="ar-IQ"/>
        </w:rPr>
        <w:t>نه غير</w:t>
      </w:r>
      <w:r w:rsidR="005D2632"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صحيح</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فالتعص</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ب إذا كان بمعنى التشد</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د في الإيمان والعمل</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أو السعي لتطبيقه كما يرى الشارع</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دون </w:t>
      </w:r>
      <w:r w:rsidR="00421B5A" w:rsidRPr="006571AC">
        <w:rPr>
          <w:rFonts w:ascii="Simplified Arabic" w:hAnsi="Simplified Arabic" w:cs="AL-Mohanad" w:hint="cs"/>
          <w:sz w:val="27"/>
          <w:szCs w:val="27"/>
          <w:rtl/>
          <w:lang w:bidi="ar-IQ"/>
        </w:rPr>
        <w:t>إ</w:t>
      </w:r>
      <w:r w:rsidR="005A03A8" w:rsidRPr="006571AC">
        <w:rPr>
          <w:rFonts w:ascii="Simplified Arabic" w:hAnsi="Simplified Arabic" w:cs="AL-Mohanad"/>
          <w:sz w:val="27"/>
          <w:szCs w:val="27"/>
          <w:rtl/>
          <w:lang w:bidi="ar-IQ"/>
        </w:rPr>
        <w:t>سقاط رؤى</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شخصي</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عليه</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فهو محمود</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ق</w:t>
      </w:r>
      <w:r w:rsidR="005D2632"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ط</w:t>
      </w:r>
      <w:r w:rsidR="005D2632"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عاً</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إذ إنه كلما زاد الإنسان إيماناً وتطبيقاً للشريعة كلما ح</w:t>
      </w:r>
      <w:r w:rsidR="005D2632"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س</w:t>
      </w:r>
      <w:r w:rsidR="005D2632"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ن خلقه وتعامله مع الآخر، فالشريعة في نصوص متضافرة من الكتاب والسن</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 تدعو إلى احترام الإنسان</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وحفظ حقوقه</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والمعاملة بالحسنى</w:t>
      </w:r>
      <w:r w:rsidR="00421B5A" w:rsidRPr="006571AC">
        <w:rPr>
          <w:rFonts w:ascii="Simplified Arabic" w:hAnsi="Simplified Arabic" w:cs="AL-Mohanad" w:hint="cs"/>
          <w:sz w:val="27"/>
          <w:szCs w:val="27"/>
          <w:rtl/>
          <w:lang w:bidi="ar-IQ"/>
        </w:rPr>
        <w:t>.</w:t>
      </w:r>
    </w:p>
    <w:p w:rsidR="006541B2" w:rsidRPr="006571AC" w:rsidRDefault="005A03A8" w:rsidP="002757CC">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وإن</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كان بمعنى الم</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نحو اتجاه</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معين</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ورفض الحق</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مع ظهور الدليل عليه، واعتماد الفهم الخاطئ</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والتعد</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 عن الو</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طية في الشريعة</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فهذا قبيح</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عقلاً وشرعاً؛ إذ الدين قائم</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على مصالح معي</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نة</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لا يعلمها إل</w:t>
      </w:r>
      <w:r w:rsidR="00421B5A"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المشر</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 الحقيقي</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والتعد</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 عليها يوجب بطلان العمل أو</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لاً</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وثبوت المسا</w:t>
      </w:r>
      <w:r w:rsidR="005D2632" w:rsidRPr="006571AC">
        <w:rPr>
          <w:rFonts w:ascii="Simplified Arabic" w:hAnsi="Simplified Arabic" w:cs="AL-Mohanad" w:hint="cs"/>
          <w:sz w:val="27"/>
          <w:szCs w:val="27"/>
          <w:rtl/>
          <w:lang w:bidi="ar-IQ"/>
        </w:rPr>
        <w:t>ء</w:t>
      </w:r>
      <w:r w:rsidRPr="006571AC">
        <w:rPr>
          <w:rFonts w:ascii="Simplified Arabic" w:hAnsi="Simplified Arabic" w:cs="AL-Mohanad"/>
          <w:sz w:val="27"/>
          <w:szCs w:val="27"/>
          <w:rtl/>
          <w:lang w:bidi="ar-IQ"/>
        </w:rPr>
        <w:t>لة الدنيوية وال</w:t>
      </w:r>
      <w:r w:rsidRPr="006571AC">
        <w:rPr>
          <w:rFonts w:ascii="Simplified Arabic" w:hAnsi="Simplified Arabic" w:cs="AL-Mohanad" w:hint="cs"/>
          <w:sz w:val="27"/>
          <w:szCs w:val="27"/>
          <w:rtl/>
          <w:lang w:bidi="ar-IQ"/>
        </w:rPr>
        <w:t>أ</w:t>
      </w:r>
      <w:r w:rsidR="006541B2" w:rsidRPr="006571AC">
        <w:rPr>
          <w:rFonts w:ascii="Simplified Arabic" w:hAnsi="Simplified Arabic" w:cs="AL-Mohanad"/>
          <w:sz w:val="27"/>
          <w:szCs w:val="27"/>
          <w:rtl/>
          <w:lang w:bidi="ar-IQ"/>
        </w:rPr>
        <w:t>خروية ثانياً.</w:t>
      </w:r>
    </w:p>
    <w:p w:rsidR="006541B2" w:rsidRPr="006571AC" w:rsidRDefault="006541B2" w:rsidP="002757CC">
      <w:pPr>
        <w:pStyle w:val="afffffff6"/>
        <w:bidi/>
        <w:spacing w:line="380" w:lineRule="exact"/>
        <w:ind w:firstLine="567"/>
        <w:jc w:val="both"/>
        <w:rPr>
          <w:rFonts w:ascii="Simplified Arabic" w:hAnsi="Simplified Arabic" w:cs="AL-Mohanad"/>
          <w:sz w:val="27"/>
          <w:szCs w:val="27"/>
          <w:rtl/>
          <w:lang w:bidi="ar-IQ"/>
        </w:rPr>
      </w:pPr>
    </w:p>
    <w:p w:rsidR="005A03A8" w:rsidRPr="006571AC" w:rsidRDefault="00FB76FC" w:rsidP="006541B2">
      <w:pPr>
        <w:pStyle w:val="31"/>
        <w:rPr>
          <w:rFonts w:ascii="Simplified Arabic" w:hAnsi="Simplified Arabic" w:cs="AL-Mohanad"/>
          <w:color w:val="auto"/>
          <w:sz w:val="27"/>
          <w:szCs w:val="27"/>
          <w:rtl/>
          <w:lang w:bidi="ar-IQ"/>
        </w:rPr>
      </w:pPr>
      <w:bookmarkStart w:id="313" w:name="_Toc114164739"/>
      <w:r w:rsidRPr="006571AC">
        <w:rPr>
          <w:rFonts w:hint="cs"/>
          <w:color w:val="auto"/>
          <w:rtl/>
          <w:lang w:bidi="ar-IQ"/>
        </w:rPr>
        <w:t>ج ـ</w:t>
      </w:r>
      <w:r w:rsidR="005A03A8" w:rsidRPr="006571AC">
        <w:rPr>
          <w:color w:val="auto"/>
          <w:rtl/>
          <w:lang w:bidi="ar-IQ"/>
        </w:rPr>
        <w:t xml:space="preserve"> جذور التطر</w:t>
      </w:r>
      <w:r w:rsidR="00421B5A" w:rsidRPr="006571AC">
        <w:rPr>
          <w:rFonts w:hint="cs"/>
          <w:color w:val="auto"/>
          <w:rtl/>
          <w:lang w:bidi="ar-IQ"/>
        </w:rPr>
        <w:t>ُّ</w:t>
      </w:r>
      <w:r w:rsidR="005A03A8" w:rsidRPr="006571AC">
        <w:rPr>
          <w:color w:val="auto"/>
          <w:rtl/>
          <w:lang w:bidi="ar-IQ"/>
        </w:rPr>
        <w:t>ف الديني</w:t>
      </w:r>
      <w:r w:rsidR="00421B5A" w:rsidRPr="006571AC">
        <w:rPr>
          <w:rFonts w:hint="cs"/>
          <w:color w:val="auto"/>
          <w:rtl/>
          <w:lang w:bidi="ar-IQ"/>
        </w:rPr>
        <w:t>،</w:t>
      </w:r>
      <w:r w:rsidR="005A03A8" w:rsidRPr="006571AC">
        <w:rPr>
          <w:color w:val="auto"/>
          <w:rtl/>
          <w:lang w:bidi="ar-IQ"/>
        </w:rPr>
        <w:t xml:space="preserve"> وأسبابه</w:t>
      </w:r>
      <w:bookmarkEnd w:id="313"/>
      <w:r w:rsidR="005A03A8" w:rsidRPr="006571AC">
        <w:rPr>
          <w:color w:val="auto"/>
          <w:rtl/>
          <w:lang w:bidi="ar-IQ"/>
        </w:rPr>
        <w:t xml:space="preserve"> </w:t>
      </w:r>
    </w:p>
    <w:p w:rsidR="006541B2" w:rsidRPr="006571AC" w:rsidRDefault="005A03A8" w:rsidP="002757CC">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من الواضح </w:t>
      </w:r>
      <w:r w:rsidR="00187E24" w:rsidRPr="006571AC">
        <w:rPr>
          <w:rFonts w:ascii="Simplified Arabic" w:hAnsi="Simplified Arabic" w:cs="AL-Mohanad" w:hint="cs"/>
          <w:sz w:val="27"/>
          <w:szCs w:val="27"/>
          <w:rtl/>
          <w:lang w:bidi="ar-IQ"/>
        </w:rPr>
        <w:t>أنه لا بُدَّ</w:t>
      </w:r>
      <w:r w:rsidRPr="006571AC">
        <w:rPr>
          <w:rFonts w:ascii="Simplified Arabic" w:hAnsi="Simplified Arabic" w:cs="AL-Mohanad"/>
          <w:sz w:val="27"/>
          <w:szCs w:val="27"/>
          <w:rtl/>
          <w:lang w:bidi="ar-IQ"/>
        </w:rPr>
        <w:t xml:space="preserve"> </w:t>
      </w:r>
      <w:r w:rsidR="00187E24" w:rsidRPr="006571AC">
        <w:rPr>
          <w:rFonts w:ascii="Simplified Arabic" w:hAnsi="Simplified Arabic" w:cs="AL-Mohanad" w:hint="cs"/>
          <w:sz w:val="27"/>
          <w:szCs w:val="27"/>
          <w:rtl/>
          <w:lang w:bidi="ar-IQ"/>
        </w:rPr>
        <w:t>ل</w:t>
      </w:r>
      <w:r w:rsidRPr="006571AC">
        <w:rPr>
          <w:rFonts w:ascii="Simplified Arabic" w:hAnsi="Simplified Arabic" w:cs="AL-Mohanad"/>
          <w:sz w:val="27"/>
          <w:szCs w:val="27"/>
          <w:rtl/>
          <w:lang w:bidi="ar-IQ"/>
        </w:rPr>
        <w:t>كل</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اتجاه</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فكري</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ديني</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جذور</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ينطلق منها</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ويبني عليها قواعده</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وهي تارة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تكون واقعية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تحد</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د الأسباب </w:t>
      </w:r>
      <w:r w:rsidRPr="006571AC">
        <w:rPr>
          <w:rFonts w:ascii="Simplified Arabic" w:hAnsi="Simplified Arabic" w:cs="AL-Mohanad" w:hint="cs"/>
          <w:sz w:val="27"/>
          <w:szCs w:val="27"/>
          <w:rtl/>
          <w:lang w:bidi="ar-IQ"/>
        </w:rPr>
        <w:t>بنحو</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منطقي</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وعقلائي</w:t>
      </w:r>
      <w:r w:rsidR="005D2632" w:rsidRPr="006571AC">
        <w:rPr>
          <w:rFonts w:ascii="Simplified Arabic" w:hAnsi="Simplified Arabic" w:cs="AL-Mohanad" w:hint="cs"/>
          <w:sz w:val="27"/>
          <w:szCs w:val="27"/>
          <w:rtl/>
          <w:lang w:bidi="ar-IQ"/>
        </w:rPr>
        <w:t>ّ</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وأخرى ظاهري</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يتمس</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ك بها أصحاب الاتجاه نفسه لتبرير </w:t>
      </w:r>
      <w:r w:rsidRPr="006571AC">
        <w:rPr>
          <w:rFonts w:ascii="Simplified Arabic" w:hAnsi="Simplified Arabic" w:cs="AL-Mohanad" w:hint="cs"/>
          <w:sz w:val="27"/>
          <w:szCs w:val="27"/>
          <w:rtl/>
          <w:lang w:bidi="ar-IQ"/>
        </w:rPr>
        <w:t>آ</w:t>
      </w:r>
      <w:r w:rsidRPr="006571AC">
        <w:rPr>
          <w:rFonts w:ascii="Simplified Arabic" w:hAnsi="Simplified Arabic" w:cs="AL-Mohanad"/>
          <w:sz w:val="27"/>
          <w:szCs w:val="27"/>
          <w:rtl/>
          <w:lang w:bidi="ar-IQ"/>
        </w:rPr>
        <w:t>را</w:t>
      </w:r>
      <w:r w:rsidRPr="006571AC">
        <w:rPr>
          <w:rFonts w:ascii="Simplified Arabic" w:hAnsi="Simplified Arabic" w:cs="AL-Mohanad" w:hint="cs"/>
          <w:sz w:val="27"/>
          <w:szCs w:val="27"/>
          <w:rtl/>
          <w:lang w:bidi="ar-IQ"/>
        </w:rPr>
        <w:t>ئ</w:t>
      </w:r>
      <w:r w:rsidRPr="006571AC">
        <w:rPr>
          <w:rFonts w:ascii="Simplified Arabic" w:hAnsi="Simplified Arabic" w:cs="AL-Mohanad"/>
          <w:sz w:val="27"/>
          <w:szCs w:val="27"/>
          <w:rtl/>
          <w:lang w:bidi="ar-IQ"/>
        </w:rPr>
        <w:t>هم ومتبن</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ياتهم</w:t>
      </w:r>
      <w:r w:rsidR="00187E24" w:rsidRPr="006571AC">
        <w:rPr>
          <w:rFonts w:ascii="Simplified Arabic" w:hAnsi="Simplified Arabic" w:cs="AL-Mohanad" w:hint="cs"/>
          <w:sz w:val="27"/>
          <w:szCs w:val="27"/>
          <w:rtl/>
          <w:lang w:bidi="ar-IQ"/>
        </w:rPr>
        <w:t>.</w:t>
      </w:r>
    </w:p>
    <w:p w:rsidR="00187E24" w:rsidRPr="006571AC" w:rsidRDefault="005A03A8" w:rsidP="002757CC">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وعند البحث والتحقيق نجد أن أسباب التطر</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الديني عند بعض التيارات الإسلامية لا تت</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فق على جهة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واحدة</w:t>
      </w:r>
      <w:r w:rsidR="00187E24" w:rsidRPr="006571AC">
        <w:rPr>
          <w:rFonts w:ascii="Simplified Arabic" w:hAnsi="Simplified Arabic" w:cs="AL-Mohanad" w:hint="cs"/>
          <w:sz w:val="27"/>
          <w:szCs w:val="27"/>
          <w:rtl/>
          <w:lang w:bidi="ar-IQ"/>
        </w:rPr>
        <w:t>:</w:t>
      </w:r>
    </w:p>
    <w:p w:rsidR="00187E24" w:rsidRPr="006571AC" w:rsidRDefault="005A03A8" w:rsidP="002757CC">
      <w:pPr>
        <w:pStyle w:val="afffffff6"/>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فبعضها ينطلق من جهة حب</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ه للدين ومجاهدته في سبيل </w:t>
      </w:r>
      <w:r w:rsidR="00187E24"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علاء رايته</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فيتمس</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ك بكل</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وسيلة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غ</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ية تحقيق هذه الغاية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وإن</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كانت خاطئة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تبتني على مقد</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مات فاسدة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لكون الغاية عندهم تبر</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 الوسيلة</w:t>
      </w:r>
      <w:r w:rsidR="00187E24" w:rsidRPr="006571AC">
        <w:rPr>
          <w:rFonts w:ascii="Simplified Arabic" w:hAnsi="Simplified Arabic" w:cs="AL-Mohanad" w:hint="cs"/>
          <w:sz w:val="27"/>
          <w:szCs w:val="27"/>
          <w:rtl/>
          <w:lang w:bidi="ar-IQ"/>
        </w:rPr>
        <w:t>.</w:t>
      </w:r>
    </w:p>
    <w:p w:rsidR="00187E24" w:rsidRPr="006571AC" w:rsidRDefault="005A03A8" w:rsidP="00C559E5">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lastRenderedPageBreak/>
        <w:t>وبعضها ينطلق من أهداف شخصية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حيث إن التطرف يسد</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بعض ما نقص عنه من المال أو الشهرة أو الزعامة والرئاسة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مما لا يستطيع تحصيله في المجتمع بحالاته الطبيعية</w:t>
      </w:r>
      <w:r w:rsidR="00187E24" w:rsidRPr="006571AC">
        <w:rPr>
          <w:rFonts w:ascii="Simplified Arabic" w:hAnsi="Simplified Arabic" w:cs="AL-Mohanad" w:hint="cs"/>
          <w:sz w:val="27"/>
          <w:szCs w:val="27"/>
          <w:rtl/>
          <w:lang w:bidi="ar-IQ"/>
        </w:rPr>
        <w:t>.</w:t>
      </w:r>
    </w:p>
    <w:p w:rsidR="005A03A8" w:rsidRPr="006571AC" w:rsidRDefault="005A03A8" w:rsidP="00C559E5">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وبعضها ـ وهو الأكثر ـ له جذور</w:t>
      </w:r>
      <w:r w:rsidR="002757CC"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سياسية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يخدم فيها أجندات أجنبية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كدول الاستكبار العالمي</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التي تهدف إلى تشويه الدين الإسلامي وسماحته و</w:t>
      </w:r>
      <w:r w:rsidR="00187E24"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يجاد الاضطرابات في الدول الإسلامية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w:t>
      </w:r>
      <w:r w:rsidR="002757CC"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غ</w:t>
      </w:r>
      <w:r w:rsidR="002757CC"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ية تحقيق مآربهم ال</w:t>
      </w:r>
      <w:r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ستعمارية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وسلب مقد</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رات الشعوب واستضعافها</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والمحافظة على الكيان الصهيوني الغاصب. </w:t>
      </w:r>
    </w:p>
    <w:p w:rsidR="005A03A8" w:rsidRPr="006571AC" w:rsidRDefault="005A03A8" w:rsidP="00C559E5">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sz w:val="27"/>
          <w:szCs w:val="27"/>
          <w:rtl/>
        </w:rPr>
        <w:t>ولعل</w:t>
      </w:r>
      <w:r w:rsidR="00187E24"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 xml:space="preserve">الفقر وحاجة الناس </w:t>
      </w:r>
      <w:r w:rsidRPr="006571AC">
        <w:rPr>
          <w:rFonts w:ascii="Simplified Arabic" w:hAnsi="Simplified Arabic" w:cs="AL-Mohanad" w:hint="cs"/>
          <w:sz w:val="27"/>
          <w:szCs w:val="27"/>
          <w:rtl/>
        </w:rPr>
        <w:t>أهم</w:t>
      </w:r>
      <w:r w:rsidR="00187E24" w:rsidRPr="006571AC">
        <w:rPr>
          <w:rFonts w:ascii="Simplified Arabic" w:hAnsi="Simplified Arabic" w:cs="AL-Mohanad" w:hint="cs"/>
          <w:sz w:val="27"/>
          <w:szCs w:val="27"/>
          <w:rtl/>
        </w:rPr>
        <w:t>ّ</w:t>
      </w:r>
      <w:r w:rsidR="002757C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مدخل</w:t>
      </w:r>
      <w:r w:rsidR="002757C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للقوى ال</w:t>
      </w:r>
      <w:r w:rsidRPr="006571AC">
        <w:rPr>
          <w:rFonts w:ascii="Simplified Arabic" w:hAnsi="Simplified Arabic" w:cs="AL-Mohanad" w:hint="cs"/>
          <w:sz w:val="27"/>
          <w:szCs w:val="27"/>
          <w:rtl/>
        </w:rPr>
        <w:t>ا</w:t>
      </w:r>
      <w:r w:rsidRPr="006571AC">
        <w:rPr>
          <w:rFonts w:ascii="Simplified Arabic" w:hAnsi="Simplified Arabic" w:cs="AL-Mohanad"/>
          <w:sz w:val="27"/>
          <w:szCs w:val="27"/>
          <w:rtl/>
        </w:rPr>
        <w:t xml:space="preserve">ستكبارية </w:t>
      </w:r>
      <w:r w:rsidRPr="006571AC">
        <w:rPr>
          <w:rFonts w:ascii="Simplified Arabic" w:hAnsi="Simplified Arabic" w:cs="AL-Mohanad" w:hint="cs"/>
          <w:sz w:val="27"/>
          <w:szCs w:val="27"/>
          <w:rtl/>
        </w:rPr>
        <w:t>في ا</w:t>
      </w:r>
      <w:r w:rsidRPr="006571AC">
        <w:rPr>
          <w:rFonts w:ascii="Simplified Arabic" w:hAnsi="Simplified Arabic" w:cs="AL-Mohanad"/>
          <w:sz w:val="27"/>
          <w:szCs w:val="27"/>
          <w:rtl/>
        </w:rPr>
        <w:t>لسيطرة على عقول البسطاء والس</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ذ</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ج من الناس</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فالإنسان إذا لم تتوافر له حاجاته الأساسية</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من المأكل والمشرب والملبس</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سوف لن ي</w:t>
      </w:r>
      <w:r w:rsidR="004363C3" w:rsidRPr="006571AC">
        <w:rPr>
          <w:rFonts w:ascii="Simplified Arabic" w:hAnsi="Simplified Arabic" w:cs="AL-Mohanad" w:hint="cs"/>
          <w:sz w:val="27"/>
          <w:szCs w:val="27"/>
          <w:rtl/>
        </w:rPr>
        <w:t>ت</w:t>
      </w:r>
      <w:r w:rsidRPr="006571AC">
        <w:rPr>
          <w:rFonts w:ascii="Simplified Arabic" w:hAnsi="Simplified Arabic" w:cs="AL-Mohanad"/>
          <w:sz w:val="27"/>
          <w:szCs w:val="27"/>
          <w:rtl/>
        </w:rPr>
        <w:t xml:space="preserve">مكن من </w:t>
      </w:r>
      <w:r w:rsidR="004363C3" w:rsidRPr="006571AC">
        <w:rPr>
          <w:rFonts w:ascii="Simplified Arabic" w:hAnsi="Simplified Arabic" w:cs="AL-Mohanad" w:hint="cs"/>
          <w:sz w:val="27"/>
          <w:szCs w:val="27"/>
          <w:rtl/>
        </w:rPr>
        <w:t>إ</w:t>
      </w:r>
      <w:r w:rsidRPr="006571AC">
        <w:rPr>
          <w:rFonts w:ascii="Simplified Arabic" w:hAnsi="Simplified Arabic" w:cs="AL-Mohanad"/>
          <w:sz w:val="27"/>
          <w:szCs w:val="27"/>
          <w:rtl/>
        </w:rPr>
        <w:t>نجاز أعماله بصورة</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طبيعية</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w:t>
      </w:r>
      <w:r w:rsidR="004363C3" w:rsidRPr="006571AC">
        <w:rPr>
          <w:rFonts w:ascii="Simplified Arabic" w:hAnsi="Simplified Arabic" w:cs="AL-Mohanad" w:hint="cs"/>
          <w:sz w:val="27"/>
          <w:szCs w:val="27"/>
          <w:rtl/>
        </w:rPr>
        <w:t>فا</w:t>
      </w:r>
      <w:r w:rsidRPr="006571AC">
        <w:rPr>
          <w:rFonts w:ascii="Simplified Arabic" w:hAnsi="Simplified Arabic" w:cs="AL-Mohanad"/>
          <w:sz w:val="27"/>
          <w:szCs w:val="27"/>
          <w:rtl/>
        </w:rPr>
        <w:t>لفقر يشل</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عقل الإنسان عن التفكير</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فلا يمكنه أن يفك</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ر ما دام جائعاً إلا</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في كيفية سد</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جوعه بأي</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صورة</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وإن</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أد</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إلى القتل أو السرقة، ولذا ورد عن رسول الله</w:t>
      </w:r>
      <w:r w:rsidR="002A2C90" w:rsidRPr="006571AC">
        <w:rPr>
          <w:rFonts w:ascii="Mosawi" w:hAnsi="Mosawi" w:cs="Mosawi"/>
          <w:rtl/>
        </w:rPr>
        <w:t>|</w:t>
      </w:r>
      <w:r w:rsidRPr="006571AC">
        <w:rPr>
          <w:rFonts w:ascii="Simplified Arabic" w:hAnsi="Simplified Arabic" w:cs="AL-Mohanad"/>
          <w:sz w:val="27"/>
          <w:szCs w:val="27"/>
          <w:rtl/>
        </w:rPr>
        <w:t xml:space="preserve"> </w:t>
      </w:r>
      <w:r w:rsidR="004363C3" w:rsidRPr="006571AC">
        <w:rPr>
          <w:rFonts w:ascii="Simplified Arabic" w:hAnsi="Simplified Arabic" w:cs="AL-Mohanad" w:hint="cs"/>
          <w:sz w:val="27"/>
          <w:szCs w:val="27"/>
          <w:rtl/>
        </w:rPr>
        <w:t>أ</w:t>
      </w:r>
      <w:r w:rsidRPr="006571AC">
        <w:rPr>
          <w:rFonts w:ascii="Simplified Arabic" w:hAnsi="Simplified Arabic" w:cs="AL-Mohanad"/>
          <w:sz w:val="27"/>
          <w:szCs w:val="27"/>
          <w:rtl/>
        </w:rPr>
        <w:t xml:space="preserve">نه قال: </w:t>
      </w:r>
      <w:r w:rsidRPr="006571AC">
        <w:rPr>
          <w:rFonts w:cs="AL-Mohanad" w:hint="eastAsia"/>
          <w:sz w:val="24"/>
          <w:szCs w:val="24"/>
          <w:rtl/>
        </w:rPr>
        <w:t>«</w:t>
      </w:r>
      <w:r w:rsidRPr="006571AC">
        <w:rPr>
          <w:rFonts w:ascii="Simplified Arabic" w:hAnsi="Simplified Arabic" w:cs="AL-Mohanad"/>
          <w:sz w:val="27"/>
          <w:szCs w:val="27"/>
          <w:rtl/>
        </w:rPr>
        <w:t>كاد الفقر أن يكون كفرا</w:t>
      </w:r>
      <w:r w:rsidRPr="006571AC">
        <w:rPr>
          <w:rFonts w:ascii="Simplified Arabic" w:hAnsi="Simplified Arabic" w:cs="AL-Mohanad" w:hint="cs"/>
          <w:sz w:val="27"/>
          <w:szCs w:val="27"/>
          <w:rtl/>
        </w:rPr>
        <w:t>ً</w:t>
      </w:r>
      <w:r w:rsidRPr="006571AC">
        <w:rPr>
          <w:rFonts w:cs="AL-Mohanad" w:hint="eastAsia"/>
          <w:sz w:val="24"/>
          <w:szCs w:val="24"/>
          <w:rtl/>
        </w:rPr>
        <w:t>»</w:t>
      </w:r>
      <w:r w:rsidRPr="006571AC">
        <w:rPr>
          <w:rFonts w:ascii="Simplified Arabic" w:hAnsi="Simplified Arabic" w:cs="AL-Mohanad"/>
          <w:sz w:val="27"/>
          <w:szCs w:val="27"/>
          <w:vertAlign w:val="superscript"/>
          <w:rtl/>
        </w:rPr>
        <w:t>(</w:t>
      </w:r>
      <w:r w:rsidRPr="006571AC">
        <w:rPr>
          <w:rStyle w:val="ac"/>
          <w:rFonts w:ascii="Simplified Arabic" w:hAnsi="Simplified Arabic" w:cs="AL-Mohanad"/>
          <w:sz w:val="27"/>
          <w:szCs w:val="27"/>
          <w:rtl/>
        </w:rPr>
        <w:endnoteReference w:id="496"/>
      </w:r>
      <w:r w:rsidRPr="006571AC">
        <w:rPr>
          <w:rFonts w:ascii="Simplified Arabic" w:hAnsi="Simplified Arabic" w:cs="AL-Mohanad"/>
          <w:sz w:val="27"/>
          <w:szCs w:val="27"/>
          <w:vertAlign w:val="superscript"/>
          <w:rtl/>
        </w:rPr>
        <w:t>)</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فيحمل الإنسان على ارتكاب ما لا يليق بأهل الدين والمروءة، بل </w:t>
      </w:r>
      <w:r w:rsidR="002757CC" w:rsidRPr="006571AC">
        <w:rPr>
          <w:rFonts w:ascii="Simplified Arabic" w:hAnsi="Simplified Arabic" w:cs="AL-Mohanad" w:hint="cs"/>
          <w:sz w:val="27"/>
          <w:szCs w:val="27"/>
          <w:rtl/>
        </w:rPr>
        <w:t xml:space="preserve">على </w:t>
      </w:r>
      <w:r w:rsidRPr="006571AC">
        <w:rPr>
          <w:rFonts w:ascii="Simplified Arabic" w:hAnsi="Simplified Arabic" w:cs="AL-Mohanad"/>
          <w:sz w:val="27"/>
          <w:szCs w:val="27"/>
          <w:rtl/>
        </w:rPr>
        <w:t>عدم المبالاة في فعل الحرام، والنطق بما يوجب الكفر</w:t>
      </w:r>
      <w:r w:rsidR="004363C3"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صريحاً أو بالملازمة</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كالاعتراض على الله تعالى والح</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س</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د، وقد ورد في الأثر: </w:t>
      </w:r>
      <w:r w:rsidRPr="006571AC">
        <w:rPr>
          <w:rFonts w:cs="AL-Mohanad" w:hint="eastAsia"/>
          <w:sz w:val="24"/>
          <w:szCs w:val="24"/>
          <w:rtl/>
        </w:rPr>
        <w:t>«</w:t>
      </w:r>
      <w:r w:rsidRPr="006571AC">
        <w:rPr>
          <w:rFonts w:ascii="Simplified Arabic" w:hAnsi="Simplified Arabic" w:cs="AL-Mohanad"/>
          <w:sz w:val="27"/>
          <w:szCs w:val="27"/>
          <w:rtl/>
        </w:rPr>
        <w:t>لو تمث</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ل لي الفقر رجلاً لق</w:t>
      </w:r>
      <w:r w:rsidR="002757CC"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2757CC" w:rsidRPr="006571AC">
        <w:rPr>
          <w:rFonts w:ascii="Simplified Arabic" w:hAnsi="Simplified Arabic" w:cs="AL-Mohanad" w:hint="cs"/>
          <w:sz w:val="27"/>
          <w:szCs w:val="27"/>
          <w:rtl/>
        </w:rPr>
        <w:t>َ</w:t>
      </w:r>
      <w:r w:rsidRPr="006571AC">
        <w:rPr>
          <w:rFonts w:ascii="Simplified Arabic" w:hAnsi="Simplified Arabic" w:cs="AL-Mohanad"/>
          <w:sz w:val="27"/>
          <w:szCs w:val="27"/>
          <w:rtl/>
        </w:rPr>
        <w:t>ل</w:t>
      </w:r>
      <w:r w:rsidR="002757CC"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ه</w:t>
      </w:r>
      <w:r w:rsidRPr="006571AC">
        <w:rPr>
          <w:rFonts w:cs="AL-Mohanad" w:hint="eastAsia"/>
          <w:sz w:val="24"/>
          <w:szCs w:val="24"/>
          <w:rtl/>
        </w:rPr>
        <w:t>»</w:t>
      </w:r>
      <w:r w:rsidRPr="006571AC">
        <w:rPr>
          <w:rFonts w:ascii="Simplified Arabic" w:hAnsi="Simplified Arabic" w:cs="AL-Mohanad"/>
          <w:sz w:val="27"/>
          <w:szCs w:val="27"/>
          <w:vertAlign w:val="superscript"/>
          <w:rtl/>
        </w:rPr>
        <w:t>(</w:t>
      </w:r>
      <w:r w:rsidRPr="006571AC">
        <w:rPr>
          <w:rStyle w:val="ac"/>
          <w:rFonts w:ascii="Simplified Arabic" w:hAnsi="Simplified Arabic" w:cs="AL-Mohanad"/>
          <w:sz w:val="27"/>
          <w:szCs w:val="27"/>
          <w:rtl/>
        </w:rPr>
        <w:endnoteReference w:id="497"/>
      </w:r>
      <w:r w:rsidRPr="006571AC">
        <w:rPr>
          <w:rFonts w:ascii="Simplified Arabic" w:hAnsi="Simplified Arabic" w:cs="AL-Mohanad"/>
          <w:sz w:val="27"/>
          <w:szCs w:val="27"/>
          <w:vertAlign w:val="superscript"/>
          <w:rtl/>
        </w:rPr>
        <w:t>)</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لأجل تخليص البشرية من آثاره السلبية. </w:t>
      </w:r>
    </w:p>
    <w:p w:rsidR="005A03A8" w:rsidRPr="006571AC" w:rsidRDefault="005A03A8" w:rsidP="002757CC">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ولذا كان </w:t>
      </w:r>
      <w:r w:rsidR="00731867" w:rsidRPr="006571AC">
        <w:rPr>
          <w:rFonts w:ascii="Simplified Arabic" w:hAnsi="Simplified Arabic" w:cs="AL-Mohanad"/>
          <w:sz w:val="27"/>
          <w:szCs w:val="27"/>
          <w:rtl/>
          <w:lang w:bidi="ar-IQ"/>
        </w:rPr>
        <w:t>لا بُدَّ</w:t>
      </w:r>
      <w:r w:rsidRPr="006571AC">
        <w:rPr>
          <w:rFonts w:ascii="Simplified Arabic" w:hAnsi="Simplified Arabic" w:cs="AL-Mohanad"/>
          <w:sz w:val="27"/>
          <w:szCs w:val="27"/>
          <w:rtl/>
          <w:lang w:bidi="ar-IQ"/>
        </w:rPr>
        <w:t xml:space="preserve"> من دراسة المناهج التي يعتمد عليها هؤلاء</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والأ</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 التي ينطلقون منها</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إلغاء الآخر الديني</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المذهبي</w:t>
      </w:r>
      <w:r w:rsidR="000C57DE" w:rsidRPr="006571AC">
        <w:rPr>
          <w:rFonts w:ascii="Simplified Arabic" w:hAnsi="Simplified Arabic" w:cs="AL-Mohanad" w:hint="cs"/>
          <w:sz w:val="27"/>
          <w:szCs w:val="27"/>
          <w:rtl/>
          <w:lang w:bidi="ar-IQ"/>
        </w:rPr>
        <w:t>ّ</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وأكاد أجزم بكون </w:t>
      </w:r>
      <w:r w:rsidR="002757CC" w:rsidRPr="006571AC">
        <w:rPr>
          <w:rFonts w:cs="AL-Mohanad" w:hint="eastAsia"/>
          <w:sz w:val="24"/>
          <w:szCs w:val="24"/>
          <w:rtl/>
        </w:rPr>
        <w:t>«</w:t>
      </w:r>
      <w:r w:rsidRPr="006571AC">
        <w:rPr>
          <w:rFonts w:ascii="Simplified Arabic" w:hAnsi="Simplified Arabic" w:cs="AL-Mohanad"/>
          <w:sz w:val="27"/>
          <w:szCs w:val="27"/>
          <w:rtl/>
          <w:lang w:bidi="ar-IQ"/>
        </w:rPr>
        <w:t>حديث المقات</w:t>
      </w:r>
      <w:r w:rsidR="002757CC"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لة</w:t>
      </w:r>
      <w:r w:rsidR="002757CC" w:rsidRPr="006571AC">
        <w:rPr>
          <w:rFonts w:cs="AL-Mohanad" w:hint="eastAsia"/>
          <w:sz w:val="24"/>
          <w:szCs w:val="24"/>
          <w:rtl/>
        </w:rPr>
        <w:t>»</w:t>
      </w:r>
      <w:r w:rsidRPr="006571AC">
        <w:rPr>
          <w:rFonts w:ascii="Simplified Arabic" w:hAnsi="Simplified Arabic" w:cs="AL-Mohanad"/>
          <w:sz w:val="27"/>
          <w:szCs w:val="27"/>
          <w:rtl/>
          <w:lang w:bidi="ar-IQ"/>
        </w:rPr>
        <w:t xml:space="preserve"> يمث</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أهم</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الأ</w:t>
      </w:r>
      <w:r w:rsidR="000C57D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0C57D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 والمنطلقات التي بنى الفكر التكفيري عليها بنيانه</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w:t>
      </w:r>
      <w:r w:rsidR="004363C3"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نتاج خطاب الكراهية وقتل الآخر</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w:t>
      </w:r>
      <w:r w:rsidR="004363C3"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خضاعه لمعتقداته بالق</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 وال</w:t>
      </w:r>
      <w:r w:rsidR="004363C3" w:rsidRPr="006571AC">
        <w:rPr>
          <w:rFonts w:ascii="Simplified Arabic" w:hAnsi="Simplified Arabic" w:cs="AL-Mohanad" w:hint="cs"/>
          <w:sz w:val="27"/>
          <w:szCs w:val="27"/>
          <w:rtl/>
          <w:lang w:bidi="ar-IQ"/>
        </w:rPr>
        <w:t>غَ</w:t>
      </w:r>
      <w:r w:rsidRPr="006571AC">
        <w:rPr>
          <w:rFonts w:ascii="Simplified Arabic" w:hAnsi="Simplified Arabic" w:cs="AL-Mohanad"/>
          <w:sz w:val="27"/>
          <w:szCs w:val="27"/>
          <w:rtl/>
          <w:lang w:bidi="ar-IQ"/>
        </w:rPr>
        <w:t>ل</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بة. </w:t>
      </w:r>
    </w:p>
    <w:p w:rsidR="00C559E5" w:rsidRPr="006571AC" w:rsidRDefault="00C559E5" w:rsidP="00C559E5">
      <w:pPr>
        <w:spacing w:line="420" w:lineRule="exact"/>
        <w:rPr>
          <w:sz w:val="27"/>
          <w:rtl/>
        </w:rPr>
      </w:pPr>
    </w:p>
    <w:p w:rsidR="00092456" w:rsidRPr="006571AC" w:rsidRDefault="00FB76FC" w:rsidP="00092456">
      <w:pPr>
        <w:pStyle w:val="31"/>
        <w:rPr>
          <w:color w:val="auto"/>
          <w:rtl/>
          <w:lang w:bidi="ar-IQ"/>
        </w:rPr>
      </w:pPr>
      <w:bookmarkStart w:id="314" w:name="_Toc114164740"/>
      <w:r w:rsidRPr="006571AC">
        <w:rPr>
          <w:rFonts w:hint="cs"/>
          <w:color w:val="auto"/>
          <w:rtl/>
          <w:lang w:bidi="ar-IQ"/>
        </w:rPr>
        <w:t>2ـ</w:t>
      </w:r>
      <w:r w:rsidR="005A03A8" w:rsidRPr="006571AC">
        <w:rPr>
          <w:color w:val="auto"/>
          <w:rtl/>
          <w:lang w:bidi="ar-IQ"/>
        </w:rPr>
        <w:t xml:space="preserve"> أسانيد الخبر وطرقه</w:t>
      </w:r>
      <w:r w:rsidRPr="006571AC">
        <w:rPr>
          <w:rFonts w:hint="cs"/>
          <w:color w:val="auto"/>
          <w:rtl/>
          <w:lang w:bidi="ar-IQ"/>
        </w:rPr>
        <w:t xml:space="preserve">، </w:t>
      </w:r>
      <w:r w:rsidR="00D40D12" w:rsidRPr="006571AC">
        <w:rPr>
          <w:rFonts w:hint="cs"/>
          <w:color w:val="auto"/>
          <w:rtl/>
          <w:lang w:bidi="ar-IQ"/>
        </w:rPr>
        <w:t>عرضٌ ونقد</w:t>
      </w:r>
      <w:bookmarkEnd w:id="314"/>
    </w:p>
    <w:p w:rsidR="00C559E5" w:rsidRPr="006571AC" w:rsidRDefault="005A03A8" w:rsidP="002757CC">
      <w:pPr>
        <w:pStyle w:val="31"/>
        <w:spacing w:line="400" w:lineRule="exact"/>
        <w:ind w:firstLine="567"/>
        <w:rPr>
          <w:rFonts w:ascii="Simplified Arabic" w:hAnsi="Simplified Arabic" w:cs="AL-Mohanad"/>
          <w:b/>
          <w:bCs w:val="0"/>
          <w:color w:val="auto"/>
          <w:sz w:val="27"/>
          <w:szCs w:val="27"/>
          <w:rtl/>
          <w:lang w:bidi="ar-IQ"/>
        </w:rPr>
      </w:pPr>
      <w:bookmarkStart w:id="315" w:name="_Toc114164741"/>
      <w:r w:rsidRPr="006571AC">
        <w:rPr>
          <w:rFonts w:ascii="Simplified Arabic" w:hAnsi="Simplified Arabic" w:cs="AL-Mohanad"/>
          <w:b/>
          <w:bCs w:val="0"/>
          <w:color w:val="auto"/>
          <w:sz w:val="27"/>
          <w:szCs w:val="27"/>
          <w:rtl/>
          <w:lang w:bidi="ar-IQ"/>
        </w:rPr>
        <w:t>ي</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ع</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د</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 </w:t>
      </w:r>
      <w:r w:rsidR="002757CC" w:rsidRPr="006571AC">
        <w:rPr>
          <w:rFonts w:cs="AL-Mohanad" w:hint="eastAsia"/>
          <w:b/>
          <w:bCs w:val="0"/>
          <w:sz w:val="24"/>
          <w:szCs w:val="24"/>
          <w:rtl/>
        </w:rPr>
        <w:t>«</w:t>
      </w:r>
      <w:r w:rsidR="000C57DE" w:rsidRPr="006571AC">
        <w:rPr>
          <w:rFonts w:ascii="Simplified Arabic" w:hAnsi="Simplified Arabic" w:cs="AL-Mohanad" w:hint="cs"/>
          <w:b/>
          <w:bCs w:val="0"/>
          <w:color w:val="auto"/>
          <w:sz w:val="27"/>
          <w:szCs w:val="27"/>
          <w:rtl/>
          <w:lang w:bidi="ar-IQ"/>
        </w:rPr>
        <w:t>حديث المقات</w:t>
      </w:r>
      <w:r w:rsidR="002757CC" w:rsidRPr="006571AC">
        <w:rPr>
          <w:rFonts w:ascii="Simplified Arabic" w:hAnsi="Simplified Arabic" w:cs="AL-Mohanad" w:hint="cs"/>
          <w:b/>
          <w:bCs w:val="0"/>
          <w:color w:val="auto"/>
          <w:sz w:val="27"/>
          <w:szCs w:val="27"/>
          <w:rtl/>
          <w:lang w:bidi="ar-IQ"/>
        </w:rPr>
        <w:t>َ</w:t>
      </w:r>
      <w:r w:rsidR="000C57DE" w:rsidRPr="006571AC">
        <w:rPr>
          <w:rFonts w:ascii="Simplified Arabic" w:hAnsi="Simplified Arabic" w:cs="AL-Mohanad" w:hint="cs"/>
          <w:b/>
          <w:bCs w:val="0"/>
          <w:color w:val="auto"/>
          <w:sz w:val="27"/>
          <w:szCs w:val="27"/>
          <w:rtl/>
          <w:lang w:bidi="ar-IQ"/>
        </w:rPr>
        <w:t>لة</w:t>
      </w:r>
      <w:r w:rsidR="002757CC" w:rsidRPr="006571AC">
        <w:rPr>
          <w:rFonts w:cs="AL-Mohanad" w:hint="eastAsia"/>
          <w:b/>
          <w:bCs w:val="0"/>
          <w:sz w:val="24"/>
          <w:szCs w:val="24"/>
          <w:rtl/>
        </w:rPr>
        <w:t>»</w:t>
      </w:r>
      <w:r w:rsidR="002757CC" w:rsidRPr="006571AC">
        <w:rPr>
          <w:rFonts w:ascii="Simplified Arabic" w:hAnsi="Simplified Arabic" w:cs="AL-Mohanad" w:hint="cs"/>
          <w:b/>
          <w:bCs w:val="0"/>
          <w:color w:val="auto"/>
          <w:sz w:val="27"/>
          <w:szCs w:val="27"/>
          <w:rtl/>
          <w:lang w:bidi="ar-IQ"/>
        </w:rPr>
        <w:t xml:space="preserve"> </w:t>
      </w:r>
      <w:r w:rsidRPr="006571AC">
        <w:rPr>
          <w:rFonts w:ascii="Simplified Arabic" w:hAnsi="Simplified Arabic" w:cs="AL-Mohanad"/>
          <w:b/>
          <w:bCs w:val="0"/>
          <w:color w:val="auto"/>
          <w:sz w:val="27"/>
          <w:szCs w:val="27"/>
          <w:rtl/>
          <w:lang w:bidi="ar-IQ"/>
        </w:rPr>
        <w:t xml:space="preserve">من الأخبار التي كثر ذكرها في كتب </w:t>
      </w:r>
      <w:r w:rsidRPr="006571AC">
        <w:rPr>
          <w:rFonts w:ascii="Simplified Arabic" w:hAnsi="Simplified Arabic" w:cs="AL-Mohanad" w:hint="cs"/>
          <w:b/>
          <w:bCs w:val="0"/>
          <w:color w:val="auto"/>
          <w:sz w:val="27"/>
          <w:szCs w:val="27"/>
          <w:rtl/>
          <w:lang w:bidi="ar-IQ"/>
        </w:rPr>
        <w:t>الحديث</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hint="cs"/>
          <w:b/>
          <w:bCs w:val="0"/>
          <w:color w:val="auto"/>
          <w:sz w:val="27"/>
          <w:szCs w:val="27"/>
          <w:rtl/>
          <w:lang w:bidi="ar-IQ"/>
        </w:rPr>
        <w:t xml:space="preserve"> والاستدلال بها في كتب </w:t>
      </w:r>
      <w:r w:rsidRPr="006571AC">
        <w:rPr>
          <w:rFonts w:ascii="Simplified Arabic" w:hAnsi="Simplified Arabic" w:cs="AL-Mohanad"/>
          <w:b/>
          <w:bCs w:val="0"/>
          <w:color w:val="auto"/>
          <w:sz w:val="27"/>
          <w:szCs w:val="27"/>
          <w:rtl/>
          <w:lang w:bidi="ar-IQ"/>
        </w:rPr>
        <w:t>الفقه</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 وقد تعد</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د</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ت</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 طرقه وأسانيده</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 مم</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ا يوهم استفاضته وشهرته</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 فضلاً عن صح</w:t>
      </w:r>
      <w:r w:rsidR="002757CC"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ته واعتباره، بل </w:t>
      </w:r>
      <w:r w:rsidR="000C57DE" w:rsidRPr="006571AC">
        <w:rPr>
          <w:rFonts w:ascii="Simplified Arabic" w:hAnsi="Simplified Arabic" w:cs="AL-Mohanad" w:hint="cs"/>
          <w:b/>
          <w:bCs w:val="0"/>
          <w:color w:val="auto"/>
          <w:sz w:val="27"/>
          <w:szCs w:val="27"/>
          <w:rtl/>
          <w:lang w:bidi="ar-IQ"/>
        </w:rPr>
        <w:t>ا</w:t>
      </w:r>
      <w:r w:rsidRPr="006571AC">
        <w:rPr>
          <w:rFonts w:ascii="Simplified Arabic" w:hAnsi="Simplified Arabic" w:cs="AL-Mohanad"/>
          <w:b/>
          <w:bCs w:val="0"/>
          <w:color w:val="auto"/>
          <w:sz w:val="27"/>
          <w:szCs w:val="27"/>
          <w:rtl/>
          <w:lang w:bidi="ar-IQ"/>
        </w:rPr>
        <w:t>د</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عي تواتره عند العام</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ة</w:t>
      </w:r>
      <w:r w:rsidR="000C57DE" w:rsidRPr="006571AC">
        <w:rPr>
          <w:rFonts w:ascii="Simplified Arabic" w:hAnsi="Simplified Arabic" w:cs="AL-Mohanad" w:hint="cs"/>
          <w:b/>
          <w:bCs w:val="0"/>
          <w:color w:val="auto"/>
          <w:sz w:val="27"/>
          <w:szCs w:val="27"/>
          <w:rtl/>
          <w:lang w:bidi="ar-IQ"/>
        </w:rPr>
        <w:t>.</w:t>
      </w:r>
      <w:bookmarkEnd w:id="315"/>
    </w:p>
    <w:p w:rsidR="005A03A8" w:rsidRPr="006571AC" w:rsidRDefault="005A03A8" w:rsidP="00C559E5">
      <w:pPr>
        <w:rPr>
          <w:rFonts w:cs="Abz-3 (Yagut)"/>
          <w:b/>
          <w:szCs w:val="26"/>
          <w:rtl/>
          <w:lang w:bidi="ar-IQ"/>
        </w:rPr>
      </w:pPr>
      <w:r w:rsidRPr="006571AC">
        <w:rPr>
          <w:rtl/>
          <w:lang w:bidi="ar-IQ"/>
        </w:rPr>
        <w:t>ولهذا ينبغي الرجوع إلى مصادره الأساسية</w:t>
      </w:r>
      <w:r w:rsidR="000C57DE" w:rsidRPr="006571AC">
        <w:rPr>
          <w:rFonts w:hint="cs"/>
          <w:rtl/>
          <w:lang w:bidi="ar-IQ"/>
        </w:rPr>
        <w:t>،</w:t>
      </w:r>
      <w:r w:rsidRPr="006571AC">
        <w:rPr>
          <w:rtl/>
          <w:lang w:bidi="ar-IQ"/>
        </w:rPr>
        <w:t xml:space="preserve"> ودراسة أسانيده وطرقه</w:t>
      </w:r>
      <w:r w:rsidR="000C57DE" w:rsidRPr="006571AC">
        <w:rPr>
          <w:rFonts w:hint="cs"/>
          <w:rtl/>
          <w:lang w:bidi="ar-IQ"/>
        </w:rPr>
        <w:t>؛</w:t>
      </w:r>
      <w:r w:rsidRPr="006571AC">
        <w:rPr>
          <w:rtl/>
          <w:lang w:bidi="ar-IQ"/>
        </w:rPr>
        <w:t xml:space="preserve"> للوقوف </w:t>
      </w:r>
      <w:r w:rsidRPr="006571AC">
        <w:rPr>
          <w:rtl/>
          <w:lang w:bidi="ar-IQ"/>
        </w:rPr>
        <w:lastRenderedPageBreak/>
        <w:t>على لفظه الصحيح</w:t>
      </w:r>
      <w:r w:rsidR="000C57DE" w:rsidRPr="006571AC">
        <w:rPr>
          <w:rFonts w:hint="cs"/>
          <w:rtl/>
          <w:lang w:bidi="ar-IQ"/>
        </w:rPr>
        <w:t>،</w:t>
      </w:r>
      <w:r w:rsidRPr="006571AC">
        <w:rPr>
          <w:rtl/>
          <w:lang w:bidi="ar-IQ"/>
        </w:rPr>
        <w:t xml:space="preserve"> وتحقيق سنده</w:t>
      </w:r>
      <w:r w:rsidR="000C57DE" w:rsidRPr="006571AC">
        <w:rPr>
          <w:rFonts w:hint="cs"/>
          <w:rtl/>
          <w:lang w:bidi="ar-IQ"/>
        </w:rPr>
        <w:t>؛</w:t>
      </w:r>
      <w:r w:rsidRPr="006571AC">
        <w:rPr>
          <w:rtl/>
          <w:lang w:bidi="ar-IQ"/>
        </w:rPr>
        <w:t xml:space="preserve"> </w:t>
      </w:r>
      <w:r w:rsidRPr="006571AC">
        <w:rPr>
          <w:rFonts w:hint="cs"/>
          <w:rtl/>
          <w:lang w:bidi="ar-IQ"/>
        </w:rPr>
        <w:t>لاكتشاف و</w:t>
      </w:r>
      <w:r w:rsidRPr="006571AC">
        <w:rPr>
          <w:rtl/>
          <w:lang w:bidi="ar-IQ"/>
        </w:rPr>
        <w:t>معرفة مدى صح</w:t>
      </w:r>
      <w:r w:rsidR="000C57DE" w:rsidRPr="006571AC">
        <w:rPr>
          <w:rFonts w:hint="cs"/>
          <w:rtl/>
          <w:lang w:bidi="ar-IQ"/>
        </w:rPr>
        <w:t>ّ</w:t>
      </w:r>
      <w:r w:rsidRPr="006571AC">
        <w:rPr>
          <w:rtl/>
          <w:lang w:bidi="ar-IQ"/>
        </w:rPr>
        <w:t xml:space="preserve">ته واعتباره. </w:t>
      </w:r>
    </w:p>
    <w:p w:rsidR="00282DC8" w:rsidRPr="006571AC" w:rsidRDefault="00282DC8" w:rsidP="00282DC8">
      <w:pPr>
        <w:rPr>
          <w:sz w:val="27"/>
          <w:rtl/>
        </w:rPr>
      </w:pPr>
    </w:p>
    <w:p w:rsidR="005A03A8" w:rsidRPr="006571AC" w:rsidRDefault="00FB76FC" w:rsidP="005B0CA4">
      <w:pPr>
        <w:pStyle w:val="31"/>
        <w:spacing w:line="400" w:lineRule="exact"/>
        <w:rPr>
          <w:color w:val="auto"/>
          <w:rtl/>
          <w:lang w:bidi="ar-IQ"/>
        </w:rPr>
      </w:pPr>
      <w:bookmarkStart w:id="316" w:name="_Toc114164742"/>
      <w:r w:rsidRPr="006571AC">
        <w:rPr>
          <w:rFonts w:hint="cs"/>
          <w:color w:val="auto"/>
          <w:rtl/>
          <w:lang w:bidi="ar-IQ"/>
        </w:rPr>
        <w:t>أـ</w:t>
      </w:r>
      <w:r w:rsidR="005A03A8" w:rsidRPr="006571AC">
        <w:rPr>
          <w:color w:val="auto"/>
          <w:rtl/>
          <w:lang w:bidi="ar-IQ"/>
        </w:rPr>
        <w:t xml:space="preserve"> سند الحديث عند الإمامي</w:t>
      </w:r>
      <w:r w:rsidR="0009722D" w:rsidRPr="006571AC">
        <w:rPr>
          <w:rFonts w:hint="cs"/>
          <w:color w:val="auto"/>
          <w:rtl/>
          <w:lang w:bidi="ar-IQ"/>
        </w:rPr>
        <w:t>ّ</w:t>
      </w:r>
      <w:r w:rsidR="005A03A8" w:rsidRPr="006571AC">
        <w:rPr>
          <w:color w:val="auto"/>
          <w:rtl/>
          <w:lang w:bidi="ar-IQ"/>
        </w:rPr>
        <w:t>ة</w:t>
      </w:r>
      <w:bookmarkEnd w:id="316"/>
      <w:r w:rsidR="005A03A8" w:rsidRPr="006571AC">
        <w:rPr>
          <w:color w:val="auto"/>
          <w:rtl/>
          <w:lang w:bidi="ar-IQ"/>
        </w:rPr>
        <w:t xml:space="preserve"> </w:t>
      </w:r>
    </w:p>
    <w:p w:rsidR="005A03A8" w:rsidRPr="006571AC" w:rsidRDefault="005A03A8" w:rsidP="00282DC8">
      <w:pPr>
        <w:rPr>
          <w:rtl/>
          <w:lang w:bidi="ar-IQ"/>
        </w:rPr>
      </w:pPr>
      <w:r w:rsidRPr="006571AC">
        <w:rPr>
          <w:rtl/>
          <w:lang w:bidi="ar-IQ"/>
        </w:rPr>
        <w:t xml:space="preserve">ورد هذا الحديث بطرق </w:t>
      </w:r>
      <w:r w:rsidRPr="006571AC">
        <w:rPr>
          <w:rFonts w:hint="cs"/>
          <w:rtl/>
          <w:lang w:bidi="ar-IQ"/>
        </w:rPr>
        <w:t>ست</w:t>
      </w:r>
      <w:r w:rsidR="0009722D" w:rsidRPr="006571AC">
        <w:rPr>
          <w:rFonts w:hint="cs"/>
          <w:rtl/>
          <w:lang w:bidi="ar-IQ"/>
        </w:rPr>
        <w:t>ّ</w:t>
      </w:r>
      <w:r w:rsidRPr="006571AC">
        <w:rPr>
          <w:rFonts w:hint="cs"/>
          <w:rtl/>
          <w:lang w:bidi="ar-IQ"/>
        </w:rPr>
        <w:t>ة</w:t>
      </w:r>
      <w:r w:rsidR="0009722D" w:rsidRPr="006571AC">
        <w:rPr>
          <w:rFonts w:hint="cs"/>
          <w:rtl/>
          <w:lang w:bidi="ar-IQ"/>
        </w:rPr>
        <w:t>،</w:t>
      </w:r>
      <w:r w:rsidRPr="006571AC">
        <w:rPr>
          <w:rtl/>
          <w:lang w:bidi="ar-IQ"/>
        </w:rPr>
        <w:t xml:space="preserve"> كل</w:t>
      </w:r>
      <w:r w:rsidR="0009722D" w:rsidRPr="006571AC">
        <w:rPr>
          <w:rFonts w:hint="cs"/>
          <w:rtl/>
          <w:lang w:bidi="ar-IQ"/>
        </w:rPr>
        <w:t>ّ</w:t>
      </w:r>
      <w:r w:rsidRPr="006571AC">
        <w:rPr>
          <w:rtl/>
          <w:lang w:bidi="ar-IQ"/>
        </w:rPr>
        <w:t xml:space="preserve">ها ضعيفة: </w:t>
      </w:r>
    </w:p>
    <w:p w:rsidR="005A03A8" w:rsidRPr="006571AC" w:rsidRDefault="005A03A8" w:rsidP="00282DC8">
      <w:pPr>
        <w:rPr>
          <w:rtl/>
        </w:rPr>
      </w:pPr>
      <w:r w:rsidRPr="006571AC">
        <w:rPr>
          <w:b/>
          <w:bCs/>
          <w:rtl/>
          <w:lang w:bidi="ar-IQ"/>
        </w:rPr>
        <w:t>الطريق الأو</w:t>
      </w:r>
      <w:r w:rsidR="0009722D" w:rsidRPr="006571AC">
        <w:rPr>
          <w:rFonts w:hint="cs"/>
          <w:b/>
          <w:bCs/>
          <w:rtl/>
          <w:lang w:bidi="ar-IQ"/>
        </w:rPr>
        <w:t>ّ</w:t>
      </w:r>
      <w:r w:rsidRPr="006571AC">
        <w:rPr>
          <w:b/>
          <w:bCs/>
          <w:rtl/>
          <w:lang w:bidi="ar-IQ"/>
        </w:rPr>
        <w:t>ل</w:t>
      </w:r>
      <w:r w:rsidRPr="006571AC">
        <w:rPr>
          <w:rtl/>
          <w:lang w:bidi="ar-IQ"/>
        </w:rPr>
        <w:t xml:space="preserve">: ما رواه الصدوق بسنده </w:t>
      </w:r>
      <w:r w:rsidRPr="006571AC">
        <w:rPr>
          <w:rtl/>
        </w:rPr>
        <w:t>عن علي</w:t>
      </w:r>
      <w:r w:rsidR="0009722D" w:rsidRPr="006571AC">
        <w:rPr>
          <w:rFonts w:hint="cs"/>
          <w:rtl/>
        </w:rPr>
        <w:t>ٍّ</w:t>
      </w:r>
      <w:r w:rsidR="002A2C90" w:rsidRPr="006571AC">
        <w:rPr>
          <w:rFonts w:ascii="Mosawi" w:hAnsi="Mosawi" w:cs="Mosawi"/>
          <w:sz w:val="22"/>
          <w:szCs w:val="22"/>
          <w:rtl/>
        </w:rPr>
        <w:t>×</w:t>
      </w:r>
      <w:r w:rsidRPr="006571AC">
        <w:rPr>
          <w:rtl/>
        </w:rPr>
        <w:t xml:space="preserve"> قال: قال النبي</w:t>
      </w:r>
      <w:r w:rsidR="0009722D" w:rsidRPr="006571AC">
        <w:rPr>
          <w:rFonts w:hint="cs"/>
          <w:rtl/>
        </w:rPr>
        <w:t>ّ</w:t>
      </w:r>
      <w:r w:rsidR="002A2C90" w:rsidRPr="006571AC">
        <w:rPr>
          <w:rFonts w:ascii="Mosawi" w:hAnsi="Mosawi" w:cs="Mosawi"/>
          <w:sz w:val="22"/>
          <w:szCs w:val="22"/>
          <w:rtl/>
        </w:rPr>
        <w:t>|</w:t>
      </w:r>
      <w:r w:rsidRPr="006571AC">
        <w:rPr>
          <w:rtl/>
        </w:rPr>
        <w:t xml:space="preserve">: </w:t>
      </w:r>
      <w:r w:rsidRPr="006571AC">
        <w:rPr>
          <w:rFonts w:hint="eastAsia"/>
          <w:sz w:val="24"/>
          <w:szCs w:val="24"/>
          <w:rtl/>
        </w:rPr>
        <w:t>«</w:t>
      </w:r>
      <w:r w:rsidRPr="006571AC">
        <w:rPr>
          <w:rFonts w:hint="cs"/>
          <w:rtl/>
        </w:rPr>
        <w:t>أ</w:t>
      </w:r>
      <w:r w:rsidR="00811001" w:rsidRPr="006571AC">
        <w:rPr>
          <w:rFonts w:hint="cs"/>
          <w:rtl/>
        </w:rPr>
        <w:t>ُ</w:t>
      </w:r>
      <w:r w:rsidRPr="006571AC">
        <w:rPr>
          <w:rtl/>
        </w:rPr>
        <w:t>م</w:t>
      </w:r>
      <w:r w:rsidR="00811001" w:rsidRPr="006571AC">
        <w:rPr>
          <w:rFonts w:hint="cs"/>
          <w:rtl/>
        </w:rPr>
        <w:t>ِ</w:t>
      </w:r>
      <w:r w:rsidRPr="006571AC">
        <w:rPr>
          <w:rtl/>
        </w:rPr>
        <w:t>ر</w:t>
      </w:r>
      <w:r w:rsidR="00811001" w:rsidRPr="006571AC">
        <w:rPr>
          <w:rFonts w:hint="cs"/>
          <w:rtl/>
        </w:rPr>
        <w:t>ْ</w:t>
      </w:r>
      <w:r w:rsidRPr="006571AC">
        <w:rPr>
          <w:rtl/>
        </w:rPr>
        <w:t>ت</w:t>
      </w:r>
      <w:r w:rsidR="00811001" w:rsidRPr="006571AC">
        <w:rPr>
          <w:rFonts w:hint="cs"/>
          <w:rtl/>
        </w:rPr>
        <w:t>ُ</w:t>
      </w:r>
      <w:r w:rsidRPr="006571AC">
        <w:rPr>
          <w:rtl/>
        </w:rPr>
        <w:t xml:space="preserve"> أن </w:t>
      </w:r>
      <w:r w:rsidR="0009722D" w:rsidRPr="006571AC">
        <w:rPr>
          <w:rFonts w:hint="cs"/>
          <w:rtl/>
        </w:rPr>
        <w:t>أ</w:t>
      </w:r>
      <w:r w:rsidRPr="006571AC">
        <w:rPr>
          <w:rtl/>
        </w:rPr>
        <w:t>قاتل الناس حت</w:t>
      </w:r>
      <w:r w:rsidR="0009722D" w:rsidRPr="006571AC">
        <w:rPr>
          <w:rFonts w:hint="cs"/>
          <w:rtl/>
        </w:rPr>
        <w:t>ّ</w:t>
      </w:r>
      <w:r w:rsidRPr="006571AC">
        <w:rPr>
          <w:rtl/>
        </w:rPr>
        <w:t>ى يقولوا</w:t>
      </w:r>
      <w:r w:rsidR="00575ADF" w:rsidRPr="006571AC">
        <w:rPr>
          <w:rFonts w:hint="cs"/>
          <w:rtl/>
        </w:rPr>
        <w:t>:</w:t>
      </w:r>
      <w:r w:rsidRPr="006571AC">
        <w:rPr>
          <w:rtl/>
        </w:rPr>
        <w:t xml:space="preserve"> لا إله إلا الله، فإذا قالوها فقد حرم علي</w:t>
      </w:r>
      <w:r w:rsidR="0009722D" w:rsidRPr="006571AC">
        <w:rPr>
          <w:rFonts w:hint="cs"/>
          <w:rtl/>
        </w:rPr>
        <w:t>َّ</w:t>
      </w:r>
      <w:r w:rsidRPr="006571AC">
        <w:rPr>
          <w:rtl/>
        </w:rPr>
        <w:t xml:space="preserve"> دماؤهم وأموالهم</w:t>
      </w:r>
      <w:r w:rsidRPr="006571AC">
        <w:rPr>
          <w:rFonts w:hint="eastAsia"/>
          <w:sz w:val="24"/>
          <w:szCs w:val="24"/>
          <w:rtl/>
        </w:rPr>
        <w:t>»</w:t>
      </w:r>
      <w:r w:rsidRPr="006571AC">
        <w:rPr>
          <w:vertAlign w:val="superscript"/>
          <w:rtl/>
        </w:rPr>
        <w:t>(</w:t>
      </w:r>
      <w:r w:rsidRPr="006571AC">
        <w:rPr>
          <w:rStyle w:val="ac"/>
          <w:rFonts w:ascii="Simplified Arabic" w:hAnsi="Simplified Arabic"/>
          <w:sz w:val="27"/>
          <w:rtl/>
        </w:rPr>
        <w:endnoteReference w:id="498"/>
      </w:r>
      <w:r w:rsidRPr="006571AC">
        <w:rPr>
          <w:vertAlign w:val="superscript"/>
          <w:rtl/>
        </w:rPr>
        <w:t>)</w:t>
      </w:r>
      <w:r w:rsidRPr="006571AC">
        <w:rPr>
          <w:rtl/>
        </w:rPr>
        <w:t xml:space="preserve">. </w:t>
      </w:r>
    </w:p>
    <w:p w:rsidR="0009722D" w:rsidRPr="006571AC" w:rsidRDefault="005A03A8" w:rsidP="00282DC8">
      <w:pPr>
        <w:rPr>
          <w:rtl/>
          <w:lang w:bidi="ar-IQ"/>
        </w:rPr>
      </w:pPr>
      <w:r w:rsidRPr="006571AC">
        <w:rPr>
          <w:rtl/>
          <w:lang w:bidi="ar-IQ"/>
        </w:rPr>
        <w:t>وفي سنده الحسن بن عبد الله التميمي</w:t>
      </w:r>
      <w:r w:rsidR="0009722D" w:rsidRPr="006571AC">
        <w:rPr>
          <w:rFonts w:hint="cs"/>
          <w:rtl/>
          <w:lang w:bidi="ar-IQ"/>
        </w:rPr>
        <w:t>،</w:t>
      </w:r>
      <w:r w:rsidRPr="006571AC">
        <w:rPr>
          <w:rtl/>
          <w:lang w:bidi="ar-IQ"/>
        </w:rPr>
        <w:t xml:space="preserve"> وأب</w:t>
      </w:r>
      <w:r w:rsidRPr="006571AC">
        <w:rPr>
          <w:rFonts w:hint="cs"/>
          <w:rtl/>
          <w:lang w:bidi="ar-IQ"/>
        </w:rPr>
        <w:t>و</w:t>
      </w:r>
      <w:r w:rsidRPr="006571AC">
        <w:rPr>
          <w:rtl/>
          <w:lang w:bidi="ar-IQ"/>
        </w:rPr>
        <w:t>ه</w:t>
      </w:r>
      <w:r w:rsidR="0009722D" w:rsidRPr="006571AC">
        <w:rPr>
          <w:rFonts w:hint="cs"/>
          <w:rtl/>
          <w:lang w:bidi="ar-IQ"/>
        </w:rPr>
        <w:t>.</w:t>
      </w:r>
    </w:p>
    <w:p w:rsidR="0009722D" w:rsidRPr="006571AC" w:rsidRDefault="005A03A8" w:rsidP="00282DC8">
      <w:pPr>
        <w:rPr>
          <w:rtl/>
        </w:rPr>
      </w:pPr>
      <w:r w:rsidRPr="006571AC">
        <w:rPr>
          <w:rtl/>
          <w:lang w:bidi="ar-IQ"/>
        </w:rPr>
        <w:t>وال</w:t>
      </w:r>
      <w:r w:rsidR="0009722D" w:rsidRPr="006571AC">
        <w:rPr>
          <w:rFonts w:hint="cs"/>
          <w:rtl/>
          <w:lang w:bidi="ar-IQ"/>
        </w:rPr>
        <w:t>ا</w:t>
      </w:r>
      <w:r w:rsidRPr="006571AC">
        <w:rPr>
          <w:rtl/>
          <w:lang w:bidi="ar-IQ"/>
        </w:rPr>
        <w:t>بن مهمل</w:t>
      </w:r>
      <w:r w:rsidR="0009722D" w:rsidRPr="006571AC">
        <w:rPr>
          <w:rFonts w:hint="cs"/>
          <w:rtl/>
          <w:lang w:bidi="ar-IQ"/>
        </w:rPr>
        <w:t>ٌ،</w:t>
      </w:r>
      <w:r w:rsidRPr="006571AC">
        <w:rPr>
          <w:rtl/>
          <w:lang w:bidi="ar-IQ"/>
        </w:rPr>
        <w:t xml:space="preserve"> لم يتعر</w:t>
      </w:r>
      <w:r w:rsidR="0009722D" w:rsidRPr="006571AC">
        <w:rPr>
          <w:rFonts w:hint="cs"/>
          <w:rtl/>
          <w:lang w:bidi="ar-IQ"/>
        </w:rPr>
        <w:t>َّ</w:t>
      </w:r>
      <w:r w:rsidRPr="006571AC">
        <w:rPr>
          <w:rtl/>
          <w:lang w:bidi="ar-IQ"/>
        </w:rPr>
        <w:t xml:space="preserve">ض علماء الرجال لذكره، قال النمازي: </w:t>
      </w:r>
      <w:r w:rsidRPr="006571AC">
        <w:rPr>
          <w:rFonts w:hint="eastAsia"/>
          <w:sz w:val="24"/>
          <w:szCs w:val="24"/>
          <w:rtl/>
          <w:lang w:bidi="ar-IQ"/>
        </w:rPr>
        <w:t>«</w:t>
      </w:r>
      <w:r w:rsidRPr="006571AC">
        <w:rPr>
          <w:rtl/>
        </w:rPr>
        <w:t>الحسن بن عبد الله بن محمد بن العباس، أبو محمد الرازي التميمي: لم يذكروه. روى الصدوق في الأمالي عن محمد بن عمر بن محمد الجعابي البغدادي، عنه، عن أبيه، عن مولانا الرضا صلوات الله عليه</w:t>
      </w:r>
      <w:r w:rsidRPr="006571AC">
        <w:rPr>
          <w:rFonts w:hint="eastAsia"/>
          <w:sz w:val="24"/>
          <w:szCs w:val="24"/>
          <w:rtl/>
        </w:rPr>
        <w:t>»</w:t>
      </w:r>
      <w:r w:rsidRPr="006571AC">
        <w:rPr>
          <w:vertAlign w:val="superscript"/>
          <w:rtl/>
        </w:rPr>
        <w:t>(</w:t>
      </w:r>
      <w:r w:rsidRPr="006571AC">
        <w:rPr>
          <w:rStyle w:val="ac"/>
          <w:rFonts w:ascii="Simplified Arabic" w:hAnsi="Simplified Arabic"/>
          <w:sz w:val="27"/>
          <w:rtl/>
        </w:rPr>
        <w:endnoteReference w:id="499"/>
      </w:r>
      <w:r w:rsidRPr="006571AC">
        <w:rPr>
          <w:vertAlign w:val="superscript"/>
          <w:rtl/>
        </w:rPr>
        <w:t>)</w:t>
      </w:r>
      <w:r w:rsidR="0009722D" w:rsidRPr="006571AC">
        <w:rPr>
          <w:rFonts w:hint="cs"/>
          <w:rtl/>
        </w:rPr>
        <w:t>.</w:t>
      </w:r>
    </w:p>
    <w:p w:rsidR="005A03A8" w:rsidRPr="006571AC" w:rsidRDefault="005A03A8" w:rsidP="00282DC8">
      <w:pPr>
        <w:rPr>
          <w:rtl/>
        </w:rPr>
      </w:pPr>
      <w:r w:rsidRPr="006571AC">
        <w:rPr>
          <w:rtl/>
        </w:rPr>
        <w:t>وأبوه مجهول</w:t>
      </w:r>
      <w:r w:rsidR="0009722D" w:rsidRPr="006571AC">
        <w:rPr>
          <w:rFonts w:hint="cs"/>
          <w:rtl/>
        </w:rPr>
        <w:t>ٌ؛</w:t>
      </w:r>
      <w:r w:rsidRPr="006571AC">
        <w:rPr>
          <w:rtl/>
        </w:rPr>
        <w:t xml:space="preserve"> حيث لم يذكر بمدح</w:t>
      </w:r>
      <w:r w:rsidR="0009722D" w:rsidRPr="006571AC">
        <w:rPr>
          <w:rFonts w:hint="cs"/>
          <w:rtl/>
        </w:rPr>
        <w:t>ٍ</w:t>
      </w:r>
      <w:r w:rsidRPr="006571AC">
        <w:rPr>
          <w:rtl/>
        </w:rPr>
        <w:t xml:space="preserve"> أو ذم</w:t>
      </w:r>
      <w:r w:rsidR="0009722D" w:rsidRPr="006571AC">
        <w:rPr>
          <w:rFonts w:hint="cs"/>
          <w:rtl/>
        </w:rPr>
        <w:t>ّ،</w:t>
      </w:r>
      <w:r w:rsidRPr="006571AC">
        <w:rPr>
          <w:rtl/>
        </w:rPr>
        <w:t xml:space="preserve"> قال عنه النجاشي: </w:t>
      </w:r>
      <w:r w:rsidRPr="006571AC">
        <w:rPr>
          <w:rFonts w:hint="eastAsia"/>
          <w:sz w:val="24"/>
          <w:szCs w:val="24"/>
          <w:rtl/>
        </w:rPr>
        <w:t>«</w:t>
      </w:r>
      <w:r w:rsidRPr="006571AC">
        <w:rPr>
          <w:rtl/>
          <w:lang w:bidi="ar-IQ"/>
        </w:rPr>
        <w:t>عبد الله بن محمد بن علي بن العباس بن هارون التميمي الرازي</w:t>
      </w:r>
      <w:r w:rsidR="0009722D" w:rsidRPr="006571AC">
        <w:rPr>
          <w:rFonts w:hint="cs"/>
          <w:rtl/>
          <w:lang w:bidi="ar-IQ"/>
        </w:rPr>
        <w:t>:</w:t>
      </w:r>
      <w:r w:rsidRPr="006571AC">
        <w:rPr>
          <w:rtl/>
          <w:lang w:bidi="ar-IQ"/>
        </w:rPr>
        <w:t xml:space="preserve"> له نسخة</w:t>
      </w:r>
      <w:r w:rsidR="0009722D" w:rsidRPr="006571AC">
        <w:rPr>
          <w:rFonts w:hint="cs"/>
          <w:rtl/>
          <w:lang w:bidi="ar-IQ"/>
        </w:rPr>
        <w:t>ٌ</w:t>
      </w:r>
      <w:r w:rsidRPr="006571AC">
        <w:rPr>
          <w:rtl/>
          <w:lang w:bidi="ar-IQ"/>
        </w:rPr>
        <w:t xml:space="preserve"> عن الرضا</w:t>
      </w:r>
      <w:r w:rsidR="002A2C90" w:rsidRPr="006571AC">
        <w:rPr>
          <w:rFonts w:ascii="Mosawi" w:hAnsi="Mosawi" w:cs="Mosawi"/>
          <w:sz w:val="22"/>
          <w:szCs w:val="22"/>
          <w:rtl/>
        </w:rPr>
        <w:t>×</w:t>
      </w:r>
      <w:r w:rsidRPr="006571AC">
        <w:rPr>
          <w:rtl/>
          <w:lang w:bidi="ar-IQ"/>
        </w:rPr>
        <w:t>. أخبرنا أبو الحسين محمد بن عثمان النصيبي قال</w:t>
      </w:r>
      <w:r w:rsidR="0009722D" w:rsidRPr="006571AC">
        <w:rPr>
          <w:rFonts w:hint="cs"/>
          <w:rtl/>
          <w:lang w:bidi="ar-IQ"/>
        </w:rPr>
        <w:t>:</w:t>
      </w:r>
      <w:r w:rsidRPr="006571AC">
        <w:rPr>
          <w:rtl/>
          <w:lang w:bidi="ar-IQ"/>
        </w:rPr>
        <w:t xml:space="preserve"> حد</w:t>
      </w:r>
      <w:r w:rsidR="0009722D" w:rsidRPr="006571AC">
        <w:rPr>
          <w:rFonts w:hint="cs"/>
          <w:rtl/>
          <w:lang w:bidi="ar-IQ"/>
        </w:rPr>
        <w:t>َّ</w:t>
      </w:r>
      <w:r w:rsidRPr="006571AC">
        <w:rPr>
          <w:rtl/>
          <w:lang w:bidi="ar-IQ"/>
        </w:rPr>
        <w:t>ثنا أبو بكر محمد بن عمر قال</w:t>
      </w:r>
      <w:r w:rsidR="0009722D" w:rsidRPr="006571AC">
        <w:rPr>
          <w:rFonts w:hint="cs"/>
          <w:rtl/>
          <w:lang w:bidi="ar-IQ"/>
        </w:rPr>
        <w:t>:</w:t>
      </w:r>
      <w:r w:rsidRPr="006571AC">
        <w:rPr>
          <w:rtl/>
          <w:lang w:bidi="ar-IQ"/>
        </w:rPr>
        <w:t xml:space="preserve"> حد</w:t>
      </w:r>
      <w:r w:rsidR="0009722D" w:rsidRPr="006571AC">
        <w:rPr>
          <w:rFonts w:hint="cs"/>
          <w:rtl/>
          <w:lang w:bidi="ar-IQ"/>
        </w:rPr>
        <w:t>َّ</w:t>
      </w:r>
      <w:r w:rsidRPr="006571AC">
        <w:rPr>
          <w:rtl/>
          <w:lang w:bidi="ar-IQ"/>
        </w:rPr>
        <w:t>ثنا أبو محمد الحسن بن عبد الله بن محمد بن العباس قال</w:t>
      </w:r>
      <w:r w:rsidR="0009722D" w:rsidRPr="006571AC">
        <w:rPr>
          <w:rFonts w:hint="cs"/>
          <w:rtl/>
          <w:lang w:bidi="ar-IQ"/>
        </w:rPr>
        <w:t>:</w:t>
      </w:r>
      <w:r w:rsidRPr="006571AC">
        <w:rPr>
          <w:rtl/>
          <w:lang w:bidi="ar-IQ"/>
        </w:rPr>
        <w:t xml:space="preserve"> حد</w:t>
      </w:r>
      <w:r w:rsidR="0009722D" w:rsidRPr="006571AC">
        <w:rPr>
          <w:rFonts w:hint="cs"/>
          <w:rtl/>
          <w:lang w:bidi="ar-IQ"/>
        </w:rPr>
        <w:t>َّ</w:t>
      </w:r>
      <w:r w:rsidRPr="006571AC">
        <w:rPr>
          <w:rtl/>
          <w:lang w:bidi="ar-IQ"/>
        </w:rPr>
        <w:t>ثنا أبي قال</w:t>
      </w:r>
      <w:r w:rsidR="0009722D" w:rsidRPr="006571AC">
        <w:rPr>
          <w:rFonts w:hint="cs"/>
          <w:rtl/>
          <w:lang w:bidi="ar-IQ"/>
        </w:rPr>
        <w:t>:</w:t>
      </w:r>
      <w:r w:rsidRPr="006571AC">
        <w:rPr>
          <w:rtl/>
          <w:lang w:bidi="ar-IQ"/>
        </w:rPr>
        <w:t xml:space="preserve"> حد</w:t>
      </w:r>
      <w:r w:rsidR="0009722D" w:rsidRPr="006571AC">
        <w:rPr>
          <w:rFonts w:hint="cs"/>
          <w:rtl/>
          <w:lang w:bidi="ar-IQ"/>
        </w:rPr>
        <w:t>َّ</w:t>
      </w:r>
      <w:r w:rsidRPr="006571AC">
        <w:rPr>
          <w:rtl/>
          <w:lang w:bidi="ar-IQ"/>
        </w:rPr>
        <w:t>ثنا علي بن موسى الرضا</w:t>
      </w:r>
      <w:r w:rsidR="002A2C90" w:rsidRPr="006571AC">
        <w:rPr>
          <w:rFonts w:ascii="Mosawi" w:hAnsi="Mosawi" w:cs="Mosawi"/>
          <w:sz w:val="22"/>
          <w:szCs w:val="22"/>
          <w:rtl/>
        </w:rPr>
        <w:t>×</w:t>
      </w:r>
      <w:r w:rsidRPr="006571AC">
        <w:rPr>
          <w:rFonts w:hint="eastAsia"/>
          <w:sz w:val="24"/>
          <w:szCs w:val="24"/>
          <w:rtl/>
        </w:rPr>
        <w:t>»</w:t>
      </w:r>
      <w:r w:rsidRPr="006571AC">
        <w:rPr>
          <w:vertAlign w:val="superscript"/>
          <w:rtl/>
        </w:rPr>
        <w:t>(</w:t>
      </w:r>
      <w:r w:rsidRPr="006571AC">
        <w:rPr>
          <w:rStyle w:val="ac"/>
          <w:rFonts w:ascii="Simplified Arabic" w:hAnsi="Simplified Arabic"/>
          <w:sz w:val="27"/>
          <w:rtl/>
        </w:rPr>
        <w:endnoteReference w:id="500"/>
      </w:r>
      <w:r w:rsidRPr="006571AC">
        <w:rPr>
          <w:vertAlign w:val="superscript"/>
          <w:rtl/>
        </w:rPr>
        <w:t>)</w:t>
      </w:r>
      <w:r w:rsidRPr="006571AC">
        <w:rPr>
          <w:rtl/>
        </w:rPr>
        <w:t xml:space="preserve">. </w:t>
      </w:r>
    </w:p>
    <w:p w:rsidR="00282DC8" w:rsidRPr="006571AC" w:rsidRDefault="005A03A8" w:rsidP="00282DC8">
      <w:pPr>
        <w:rPr>
          <w:rtl/>
          <w:lang w:bidi="ar-IQ"/>
        </w:rPr>
      </w:pPr>
      <w:r w:rsidRPr="006571AC">
        <w:rPr>
          <w:b/>
          <w:bCs/>
          <w:rtl/>
        </w:rPr>
        <w:t>الطريق الثاني</w:t>
      </w:r>
      <w:r w:rsidRPr="006571AC">
        <w:rPr>
          <w:rtl/>
        </w:rPr>
        <w:t xml:space="preserve">: ما رواه </w:t>
      </w:r>
      <w:r w:rsidR="0009722D" w:rsidRPr="006571AC">
        <w:rPr>
          <w:rFonts w:hint="cs"/>
          <w:rtl/>
        </w:rPr>
        <w:t xml:space="preserve">الصدوق </w:t>
      </w:r>
      <w:r w:rsidRPr="006571AC">
        <w:rPr>
          <w:rtl/>
        </w:rPr>
        <w:t>أيضاً بسند</w:t>
      </w:r>
      <w:r w:rsidR="0009722D" w:rsidRPr="006571AC">
        <w:rPr>
          <w:rFonts w:hint="cs"/>
          <w:rtl/>
        </w:rPr>
        <w:t>ٍ</w:t>
      </w:r>
      <w:r w:rsidRPr="006571AC">
        <w:rPr>
          <w:rtl/>
        </w:rPr>
        <w:t xml:space="preserve"> مت</w:t>
      </w:r>
      <w:r w:rsidR="0009722D" w:rsidRPr="006571AC">
        <w:rPr>
          <w:rFonts w:hint="cs"/>
          <w:rtl/>
        </w:rPr>
        <w:t>ّ</w:t>
      </w:r>
      <w:r w:rsidRPr="006571AC">
        <w:rPr>
          <w:rtl/>
        </w:rPr>
        <w:t>صل</w:t>
      </w:r>
      <w:r w:rsidR="0009722D" w:rsidRPr="006571AC">
        <w:rPr>
          <w:rFonts w:hint="cs"/>
          <w:rtl/>
        </w:rPr>
        <w:t>،</w:t>
      </w:r>
      <w:r w:rsidRPr="006571AC">
        <w:rPr>
          <w:rtl/>
        </w:rPr>
        <w:t xml:space="preserve"> قال: حد</w:t>
      </w:r>
      <w:r w:rsidR="0009722D" w:rsidRPr="006571AC">
        <w:rPr>
          <w:rFonts w:hint="cs"/>
          <w:rtl/>
        </w:rPr>
        <w:t>َّ</w:t>
      </w:r>
      <w:r w:rsidRPr="006571AC">
        <w:rPr>
          <w:rtl/>
        </w:rPr>
        <w:t>ثني محمد بن موسى بن المتوكل قال</w:t>
      </w:r>
      <w:r w:rsidR="0009722D" w:rsidRPr="006571AC">
        <w:rPr>
          <w:rFonts w:hint="cs"/>
          <w:rtl/>
        </w:rPr>
        <w:t>:</w:t>
      </w:r>
      <w:r w:rsidRPr="006571AC">
        <w:rPr>
          <w:rtl/>
        </w:rPr>
        <w:t xml:space="preserve"> حدثني محمد بن جعفر قال: حدثني موسى بن عمران قال: حدثني عم</w:t>
      </w:r>
      <w:r w:rsidR="0009722D" w:rsidRPr="006571AC">
        <w:rPr>
          <w:rFonts w:hint="cs"/>
          <w:rtl/>
        </w:rPr>
        <w:t>ّ</w:t>
      </w:r>
      <w:r w:rsidRPr="006571AC">
        <w:rPr>
          <w:rtl/>
        </w:rPr>
        <w:t>ي الحسين بن زيد</w:t>
      </w:r>
      <w:r w:rsidR="0009722D" w:rsidRPr="006571AC">
        <w:rPr>
          <w:rFonts w:hint="cs"/>
          <w:rtl/>
        </w:rPr>
        <w:t>،</w:t>
      </w:r>
      <w:r w:rsidRPr="006571AC">
        <w:rPr>
          <w:rtl/>
        </w:rPr>
        <w:t xml:space="preserve"> عن حماد</w:t>
      </w:r>
      <w:r w:rsidR="0009722D" w:rsidRPr="006571AC">
        <w:rPr>
          <w:rtl/>
        </w:rPr>
        <w:t xml:space="preserve"> بن عمرو الصين</w:t>
      </w:r>
      <w:r w:rsidR="0009722D" w:rsidRPr="006571AC">
        <w:rPr>
          <w:rFonts w:hint="cs"/>
          <w:rtl/>
        </w:rPr>
        <w:t>ي،</w:t>
      </w:r>
      <w:r w:rsidRPr="006571AC">
        <w:rPr>
          <w:rtl/>
        </w:rPr>
        <w:t xml:space="preserve"> عن أبي الحسن الخراساني</w:t>
      </w:r>
      <w:r w:rsidR="0009722D" w:rsidRPr="006571AC">
        <w:rPr>
          <w:rFonts w:hint="cs"/>
          <w:rtl/>
        </w:rPr>
        <w:t>،</w:t>
      </w:r>
      <w:r w:rsidRPr="006571AC">
        <w:rPr>
          <w:rtl/>
        </w:rPr>
        <w:t xml:space="preserve"> عن ميسرة بن عبد الله</w:t>
      </w:r>
      <w:r w:rsidR="0009722D" w:rsidRPr="006571AC">
        <w:rPr>
          <w:rFonts w:hint="cs"/>
          <w:rtl/>
        </w:rPr>
        <w:t>،</w:t>
      </w:r>
      <w:r w:rsidRPr="006571AC">
        <w:rPr>
          <w:rtl/>
        </w:rPr>
        <w:t xml:space="preserve"> عن أبي عبد الله</w:t>
      </w:r>
      <w:r w:rsidR="0009722D" w:rsidRPr="006571AC">
        <w:rPr>
          <w:rFonts w:hint="cs"/>
          <w:rtl/>
        </w:rPr>
        <w:t>،</w:t>
      </w:r>
      <w:r w:rsidRPr="006571AC">
        <w:rPr>
          <w:rtl/>
        </w:rPr>
        <w:t xml:space="preserve"> عن أبي عايشة السعدي</w:t>
      </w:r>
      <w:r w:rsidR="0009722D" w:rsidRPr="006571AC">
        <w:rPr>
          <w:rFonts w:hint="cs"/>
          <w:rtl/>
        </w:rPr>
        <w:t>،</w:t>
      </w:r>
      <w:r w:rsidRPr="006571AC">
        <w:rPr>
          <w:rtl/>
        </w:rPr>
        <w:t xml:space="preserve"> عن يزيد بن عمر بن عبد العزيز</w:t>
      </w:r>
      <w:r w:rsidR="0009722D" w:rsidRPr="006571AC">
        <w:rPr>
          <w:rFonts w:hint="cs"/>
          <w:rtl/>
        </w:rPr>
        <w:t>،</w:t>
      </w:r>
      <w:r w:rsidRPr="006571AC">
        <w:rPr>
          <w:rtl/>
        </w:rPr>
        <w:t xml:space="preserve"> عن أبي سلمة بن عبد الرحمن</w:t>
      </w:r>
      <w:r w:rsidR="0009722D" w:rsidRPr="006571AC">
        <w:rPr>
          <w:rFonts w:hint="cs"/>
          <w:rtl/>
        </w:rPr>
        <w:t>،</w:t>
      </w:r>
      <w:r w:rsidRPr="006571AC">
        <w:rPr>
          <w:rtl/>
        </w:rPr>
        <w:t xml:space="preserve"> عن أبي هريرة وعبد الله بن عب</w:t>
      </w:r>
      <w:r w:rsidR="0009722D" w:rsidRPr="006571AC">
        <w:rPr>
          <w:rFonts w:hint="cs"/>
          <w:rtl/>
        </w:rPr>
        <w:t>ّ</w:t>
      </w:r>
      <w:r w:rsidRPr="006571AC">
        <w:rPr>
          <w:rtl/>
        </w:rPr>
        <w:t xml:space="preserve">اس قالا: </w:t>
      </w:r>
      <w:r w:rsidRPr="006571AC">
        <w:rPr>
          <w:rFonts w:hint="eastAsia"/>
          <w:sz w:val="24"/>
          <w:szCs w:val="24"/>
          <w:rtl/>
        </w:rPr>
        <w:t>«</w:t>
      </w:r>
      <w:r w:rsidRPr="006571AC">
        <w:rPr>
          <w:rtl/>
        </w:rPr>
        <w:t>خطبنا رسول الله</w:t>
      </w:r>
      <w:r w:rsidR="002A2C90" w:rsidRPr="006571AC">
        <w:rPr>
          <w:rFonts w:ascii="Mosawi" w:hAnsi="Mosawi" w:cs="Mosawi"/>
          <w:sz w:val="22"/>
          <w:szCs w:val="22"/>
          <w:rtl/>
        </w:rPr>
        <w:t>|</w:t>
      </w:r>
      <w:r w:rsidRPr="006571AC">
        <w:rPr>
          <w:rtl/>
        </w:rPr>
        <w:t xml:space="preserve"> قبل وفاته</w:t>
      </w:r>
      <w:r w:rsidR="0009722D" w:rsidRPr="006571AC">
        <w:rPr>
          <w:rFonts w:hint="cs"/>
          <w:rtl/>
        </w:rPr>
        <w:t>،</w:t>
      </w:r>
      <w:r w:rsidRPr="006571AC">
        <w:rPr>
          <w:rtl/>
        </w:rPr>
        <w:t xml:space="preserve"> وهي آخر خطبة</w:t>
      </w:r>
      <w:r w:rsidR="0009722D" w:rsidRPr="006571AC">
        <w:rPr>
          <w:rFonts w:hint="cs"/>
          <w:rtl/>
        </w:rPr>
        <w:t>ٍ</w:t>
      </w:r>
      <w:r w:rsidRPr="006571AC">
        <w:rPr>
          <w:rtl/>
        </w:rPr>
        <w:t xml:space="preserve"> خطبها بالمدينة...</w:t>
      </w:r>
      <w:r w:rsidR="0009722D" w:rsidRPr="006571AC">
        <w:rPr>
          <w:rFonts w:hint="cs"/>
          <w:rtl/>
        </w:rPr>
        <w:t>:</w:t>
      </w:r>
      <w:r w:rsidRPr="006571AC">
        <w:rPr>
          <w:rtl/>
        </w:rPr>
        <w:t xml:space="preserve"> ألا و</w:t>
      </w:r>
      <w:r w:rsidR="0009722D" w:rsidRPr="006571AC">
        <w:rPr>
          <w:rFonts w:hint="cs"/>
          <w:rtl/>
        </w:rPr>
        <w:t>إ</w:t>
      </w:r>
      <w:r w:rsidRPr="006571AC">
        <w:rPr>
          <w:rtl/>
        </w:rPr>
        <w:t>ن رب</w:t>
      </w:r>
      <w:r w:rsidR="0009722D" w:rsidRPr="006571AC">
        <w:rPr>
          <w:rFonts w:hint="cs"/>
          <w:rtl/>
        </w:rPr>
        <w:t>ّ</w:t>
      </w:r>
      <w:r w:rsidRPr="006571AC">
        <w:rPr>
          <w:rtl/>
        </w:rPr>
        <w:t>ي أمرني ان أقاتل الناس حتى يقولوا</w:t>
      </w:r>
      <w:r w:rsidR="00575ADF" w:rsidRPr="006571AC">
        <w:rPr>
          <w:rFonts w:hint="cs"/>
          <w:rtl/>
        </w:rPr>
        <w:t>:</w:t>
      </w:r>
      <w:r w:rsidRPr="006571AC">
        <w:rPr>
          <w:rtl/>
        </w:rPr>
        <w:t xml:space="preserve"> لا إله إلا الله</w:t>
      </w:r>
      <w:r w:rsidR="006551E3" w:rsidRPr="006571AC">
        <w:rPr>
          <w:rFonts w:hint="cs"/>
          <w:rtl/>
        </w:rPr>
        <w:t>،</w:t>
      </w:r>
      <w:r w:rsidRPr="006571AC">
        <w:rPr>
          <w:rtl/>
        </w:rPr>
        <w:t xml:space="preserve"> فإذا قالوها اعتصموا مني</w:t>
      </w:r>
      <w:r w:rsidR="006551E3" w:rsidRPr="006571AC">
        <w:rPr>
          <w:rFonts w:hint="cs"/>
          <w:rtl/>
        </w:rPr>
        <w:t>،</w:t>
      </w:r>
      <w:r w:rsidRPr="006571AC">
        <w:rPr>
          <w:rtl/>
        </w:rPr>
        <w:t xml:space="preserve"> دماءهم وأموالهم إلا</w:t>
      </w:r>
      <w:r w:rsidR="006551E3" w:rsidRPr="006571AC">
        <w:rPr>
          <w:rFonts w:hint="cs"/>
          <w:rtl/>
        </w:rPr>
        <w:t>ّ</w:t>
      </w:r>
      <w:r w:rsidRPr="006571AC">
        <w:rPr>
          <w:rtl/>
        </w:rPr>
        <w:t xml:space="preserve"> بحق</w:t>
      </w:r>
      <w:r w:rsidR="006551E3" w:rsidRPr="006571AC">
        <w:rPr>
          <w:rFonts w:hint="cs"/>
          <w:rtl/>
        </w:rPr>
        <w:t>ِّ</w:t>
      </w:r>
      <w:r w:rsidRPr="006571AC">
        <w:rPr>
          <w:rtl/>
        </w:rPr>
        <w:t>ها</w:t>
      </w:r>
      <w:r w:rsidR="006551E3" w:rsidRPr="006571AC">
        <w:rPr>
          <w:rFonts w:hint="cs"/>
          <w:rtl/>
        </w:rPr>
        <w:t>،</w:t>
      </w:r>
      <w:r w:rsidRPr="006571AC">
        <w:rPr>
          <w:rtl/>
        </w:rPr>
        <w:t xml:space="preserve"> وحسابهم على الله عز</w:t>
      </w:r>
      <w:r w:rsidR="006551E3" w:rsidRPr="006571AC">
        <w:rPr>
          <w:rFonts w:hint="cs"/>
          <w:rtl/>
        </w:rPr>
        <w:t>َّ</w:t>
      </w:r>
      <w:r w:rsidRPr="006571AC">
        <w:rPr>
          <w:rtl/>
        </w:rPr>
        <w:t xml:space="preserve"> وجل</w:t>
      </w:r>
      <w:r w:rsidR="006551E3" w:rsidRPr="006571AC">
        <w:rPr>
          <w:rFonts w:hint="cs"/>
          <w:rtl/>
        </w:rPr>
        <w:t>َّ</w:t>
      </w:r>
      <w:r w:rsidRPr="006571AC">
        <w:rPr>
          <w:rtl/>
        </w:rPr>
        <w:t>...</w:t>
      </w:r>
      <w:r w:rsidRPr="006571AC">
        <w:rPr>
          <w:rFonts w:hint="eastAsia"/>
          <w:sz w:val="24"/>
          <w:szCs w:val="24"/>
          <w:rtl/>
        </w:rPr>
        <w:t>»</w:t>
      </w:r>
      <w:r w:rsidRPr="006571AC">
        <w:rPr>
          <w:vertAlign w:val="superscript"/>
          <w:rtl/>
        </w:rPr>
        <w:t>(</w:t>
      </w:r>
      <w:r w:rsidRPr="006571AC">
        <w:rPr>
          <w:rStyle w:val="ac"/>
          <w:rFonts w:ascii="Simplified Arabic" w:hAnsi="Simplified Arabic"/>
          <w:sz w:val="27"/>
          <w:rtl/>
          <w:lang w:bidi="ar-IQ"/>
        </w:rPr>
        <w:endnoteReference w:id="501"/>
      </w:r>
      <w:r w:rsidRPr="006571AC">
        <w:rPr>
          <w:vertAlign w:val="superscript"/>
          <w:rtl/>
        </w:rPr>
        <w:t>)</w:t>
      </w:r>
      <w:r w:rsidR="00282DC8" w:rsidRPr="006571AC">
        <w:rPr>
          <w:rtl/>
          <w:lang w:bidi="ar-IQ"/>
        </w:rPr>
        <w:t>.</w:t>
      </w:r>
    </w:p>
    <w:p w:rsidR="00EA6070" w:rsidRPr="006571AC" w:rsidRDefault="005A03A8" w:rsidP="00EA6070">
      <w:pPr>
        <w:rPr>
          <w:rFonts w:ascii="Simplified Arabic" w:hAnsi="Simplified Arabic"/>
          <w:sz w:val="27"/>
          <w:rtl/>
        </w:rPr>
      </w:pPr>
      <w:r w:rsidRPr="006571AC">
        <w:rPr>
          <w:rFonts w:ascii="Simplified Arabic" w:hAnsi="Simplified Arabic"/>
          <w:sz w:val="27"/>
          <w:rtl/>
          <w:lang w:bidi="ar-IQ"/>
        </w:rPr>
        <w:t>والطريق مبتلى</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بعد</w:t>
      </w:r>
      <w:r w:rsidR="006551E3" w:rsidRPr="006571AC">
        <w:rPr>
          <w:rFonts w:ascii="Simplified Arabic" w:hAnsi="Simplified Arabic" w:hint="cs"/>
          <w:sz w:val="27"/>
          <w:rtl/>
          <w:lang w:bidi="ar-IQ"/>
        </w:rPr>
        <w:t>ّ</w:t>
      </w:r>
      <w:r w:rsidRPr="006571AC">
        <w:rPr>
          <w:rFonts w:ascii="Simplified Arabic" w:hAnsi="Simplified Arabic"/>
          <w:sz w:val="27"/>
          <w:rtl/>
          <w:lang w:bidi="ar-IQ"/>
        </w:rPr>
        <w:t>ة</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من المجاهيل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منهم: </w:t>
      </w:r>
      <w:r w:rsidRPr="006571AC">
        <w:rPr>
          <w:rFonts w:ascii="Simplified Arabic" w:hAnsi="Simplified Arabic"/>
          <w:sz w:val="27"/>
          <w:rtl/>
        </w:rPr>
        <w:t>حماد بن عمرو الصين</w:t>
      </w:r>
      <w:r w:rsidR="006551E3" w:rsidRPr="006571AC">
        <w:rPr>
          <w:rFonts w:ascii="Simplified Arabic" w:hAnsi="Simplified Arabic" w:hint="cs"/>
          <w:sz w:val="27"/>
          <w:rtl/>
        </w:rPr>
        <w:t>ي،</w:t>
      </w:r>
      <w:r w:rsidRPr="006571AC">
        <w:rPr>
          <w:rFonts w:ascii="Simplified Arabic" w:hAnsi="Simplified Arabic"/>
          <w:sz w:val="27"/>
          <w:rtl/>
        </w:rPr>
        <w:t xml:space="preserve"> فهو مهمل</w:t>
      </w:r>
      <w:r w:rsidR="006551E3"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sz w:val="27"/>
          <w:rtl/>
        </w:rPr>
        <w:lastRenderedPageBreak/>
        <w:t>وإذا كان اللقب هو النصيبي فهو مجهول</w:t>
      </w:r>
      <w:r w:rsidR="006551E3" w:rsidRPr="006571AC">
        <w:rPr>
          <w:rFonts w:ascii="Simplified Arabic" w:hAnsi="Simplified Arabic" w:hint="cs"/>
          <w:sz w:val="27"/>
          <w:rtl/>
        </w:rPr>
        <w:t>ٌ؛</w:t>
      </w:r>
      <w:r w:rsidRPr="006571AC">
        <w:rPr>
          <w:rFonts w:ascii="Simplified Arabic" w:hAnsi="Simplified Arabic"/>
          <w:sz w:val="27"/>
          <w:rtl/>
        </w:rPr>
        <w:t xml:space="preserve"> وميسرة بن عبد الله</w:t>
      </w:r>
      <w:r w:rsidR="006551E3" w:rsidRPr="006571AC">
        <w:rPr>
          <w:rFonts w:ascii="Simplified Arabic" w:hAnsi="Simplified Arabic" w:hint="cs"/>
          <w:sz w:val="27"/>
          <w:rtl/>
        </w:rPr>
        <w:t>؛</w:t>
      </w:r>
      <w:r w:rsidRPr="006571AC">
        <w:rPr>
          <w:rFonts w:ascii="Simplified Arabic" w:hAnsi="Simplified Arabic"/>
          <w:sz w:val="27"/>
          <w:rtl/>
        </w:rPr>
        <w:t xml:space="preserve"> وأبي عبد الله</w:t>
      </w:r>
      <w:r w:rsidR="006551E3" w:rsidRPr="006571AC">
        <w:rPr>
          <w:rFonts w:ascii="Simplified Arabic" w:hAnsi="Simplified Arabic" w:hint="cs"/>
          <w:sz w:val="27"/>
          <w:rtl/>
        </w:rPr>
        <w:t>؛</w:t>
      </w:r>
      <w:r w:rsidRPr="006571AC">
        <w:rPr>
          <w:rFonts w:ascii="Simplified Arabic" w:hAnsi="Simplified Arabic"/>
          <w:sz w:val="27"/>
          <w:rtl/>
        </w:rPr>
        <w:t xml:space="preserve"> وأبي عايشة السعدي</w:t>
      </w:r>
      <w:r w:rsidR="006551E3" w:rsidRPr="006571AC">
        <w:rPr>
          <w:rFonts w:ascii="Simplified Arabic" w:hAnsi="Simplified Arabic" w:hint="cs"/>
          <w:sz w:val="27"/>
          <w:rtl/>
        </w:rPr>
        <w:t>؛</w:t>
      </w:r>
      <w:r w:rsidRPr="006571AC">
        <w:rPr>
          <w:rFonts w:ascii="Simplified Arabic" w:hAnsi="Simplified Arabic"/>
          <w:sz w:val="27"/>
          <w:rtl/>
        </w:rPr>
        <w:t xml:space="preserve"> ويزيد بن عمر بن عبد العزيز</w:t>
      </w:r>
      <w:r w:rsidR="006551E3" w:rsidRPr="006571AC">
        <w:rPr>
          <w:rFonts w:ascii="Simplified Arabic" w:hAnsi="Simplified Arabic" w:hint="cs"/>
          <w:sz w:val="27"/>
          <w:rtl/>
        </w:rPr>
        <w:t>؛</w:t>
      </w:r>
      <w:r w:rsidRPr="006571AC">
        <w:rPr>
          <w:rFonts w:ascii="Simplified Arabic" w:hAnsi="Simplified Arabic"/>
          <w:sz w:val="27"/>
          <w:rtl/>
        </w:rPr>
        <w:t xml:space="preserve"> وأبي سلمة بن عبد الرحمن</w:t>
      </w:r>
      <w:r w:rsidR="006551E3" w:rsidRPr="006571AC">
        <w:rPr>
          <w:rFonts w:ascii="Simplified Arabic" w:hAnsi="Simplified Arabic" w:hint="cs"/>
          <w:sz w:val="27"/>
          <w:rtl/>
        </w:rPr>
        <w:t>،</w:t>
      </w:r>
      <w:r w:rsidRPr="006571AC">
        <w:rPr>
          <w:rFonts w:ascii="Simplified Arabic" w:hAnsi="Simplified Arabic"/>
          <w:sz w:val="27"/>
          <w:rtl/>
        </w:rPr>
        <w:t xml:space="preserve"> وهو عام</w:t>
      </w:r>
      <w:r w:rsidR="006551E3" w:rsidRPr="006571AC">
        <w:rPr>
          <w:rFonts w:ascii="Simplified Arabic" w:hAnsi="Simplified Arabic" w:hint="cs"/>
          <w:sz w:val="27"/>
          <w:rtl/>
        </w:rPr>
        <w:t>ّ</w:t>
      </w:r>
      <w:r w:rsidRPr="006571AC">
        <w:rPr>
          <w:rFonts w:ascii="Simplified Arabic" w:hAnsi="Simplified Arabic"/>
          <w:sz w:val="27"/>
          <w:rtl/>
        </w:rPr>
        <w:t>ي مهمل</w:t>
      </w:r>
      <w:r w:rsidR="006551E3" w:rsidRPr="006571AC">
        <w:rPr>
          <w:rFonts w:ascii="Simplified Arabic" w:hAnsi="Simplified Arabic" w:hint="cs"/>
          <w:sz w:val="27"/>
          <w:rtl/>
        </w:rPr>
        <w:t>ٌ</w:t>
      </w:r>
      <w:r w:rsidR="00EA6070" w:rsidRPr="006571AC">
        <w:rPr>
          <w:rFonts w:ascii="Simplified Arabic" w:hAnsi="Simplified Arabic"/>
          <w:sz w:val="27"/>
          <w:rtl/>
        </w:rPr>
        <w:t xml:space="preserve"> عندنا.</w:t>
      </w:r>
    </w:p>
    <w:p w:rsidR="00EA6070" w:rsidRPr="006571AC" w:rsidRDefault="005A03A8" w:rsidP="00EA6070">
      <w:pPr>
        <w:spacing w:line="384" w:lineRule="exact"/>
        <w:rPr>
          <w:rFonts w:ascii="Simplified Arabic" w:hAnsi="Simplified Arabic"/>
          <w:sz w:val="27"/>
          <w:rtl/>
          <w:lang w:bidi="ar-IQ"/>
        </w:rPr>
      </w:pPr>
      <w:r w:rsidRPr="006571AC">
        <w:rPr>
          <w:rFonts w:ascii="Simplified Arabic" w:hAnsi="Simplified Arabic"/>
          <w:b/>
          <w:bCs/>
          <w:sz w:val="27"/>
          <w:rtl/>
        </w:rPr>
        <w:t>الطريق الثالث</w:t>
      </w:r>
      <w:r w:rsidRPr="006571AC">
        <w:rPr>
          <w:rFonts w:ascii="Simplified Arabic" w:hAnsi="Simplified Arabic"/>
          <w:sz w:val="27"/>
          <w:rtl/>
        </w:rPr>
        <w:t>: ما رواه الطوسي بسند</w:t>
      </w:r>
      <w:r w:rsidR="006551E3" w:rsidRPr="006571AC">
        <w:rPr>
          <w:rFonts w:ascii="Simplified Arabic" w:hAnsi="Simplified Arabic" w:hint="cs"/>
          <w:sz w:val="27"/>
          <w:rtl/>
        </w:rPr>
        <w:t>ٍ</w:t>
      </w:r>
      <w:r w:rsidRPr="006571AC">
        <w:rPr>
          <w:rFonts w:ascii="Simplified Arabic" w:hAnsi="Simplified Arabic"/>
          <w:sz w:val="27"/>
          <w:rtl/>
        </w:rPr>
        <w:t xml:space="preserve"> مت</w:t>
      </w:r>
      <w:r w:rsidR="006551E3" w:rsidRPr="006571AC">
        <w:rPr>
          <w:rFonts w:ascii="Simplified Arabic" w:hAnsi="Simplified Arabic" w:hint="cs"/>
          <w:sz w:val="27"/>
          <w:rtl/>
        </w:rPr>
        <w:t>ّ</w:t>
      </w:r>
      <w:r w:rsidRPr="006571AC">
        <w:rPr>
          <w:rFonts w:ascii="Simplified Arabic" w:hAnsi="Simplified Arabic"/>
          <w:sz w:val="27"/>
          <w:rtl/>
        </w:rPr>
        <w:t xml:space="preserve">صل قال: </w:t>
      </w:r>
      <w:r w:rsidRPr="006571AC">
        <w:rPr>
          <w:rFonts w:ascii="Simplified Arabic" w:hAnsi="Simplified Arabic"/>
          <w:sz w:val="27"/>
          <w:rtl/>
          <w:lang w:bidi="ar-IQ"/>
        </w:rPr>
        <w:t>أخبرنا أبو الحسن علي بن أحمد بن عمر بن حفص المقرئ</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المعروف بابن الحمامي</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قراءة</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عليه، قال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أخبرنا أبو بكر أحمد بن سلمان بن الحسن الفقيه</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قراءة</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عليه، قال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حدثنا معاذ بن المثنى قال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حدثنا مسد</w:t>
      </w:r>
      <w:r w:rsidR="006551E3" w:rsidRPr="006571AC">
        <w:rPr>
          <w:rFonts w:ascii="Simplified Arabic" w:hAnsi="Simplified Arabic" w:hint="cs"/>
          <w:sz w:val="27"/>
          <w:rtl/>
          <w:lang w:bidi="ar-IQ"/>
        </w:rPr>
        <w:t>ّ</w:t>
      </w:r>
      <w:r w:rsidRPr="006571AC">
        <w:rPr>
          <w:rFonts w:ascii="Simplified Arabic" w:hAnsi="Simplified Arabic"/>
          <w:sz w:val="27"/>
          <w:rtl/>
          <w:lang w:bidi="ar-IQ"/>
        </w:rPr>
        <w:t>د قال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حدثنا أبو عوانة، عن سهيل، عن أبيه، عن أبي هريرة قال: قال رسول الله</w:t>
      </w:r>
      <w:r w:rsidR="002A2C90" w:rsidRPr="006571AC">
        <w:rPr>
          <w:rFonts w:ascii="Mosawi" w:hAnsi="Mosawi" w:cs="Mosawi"/>
          <w:sz w:val="22"/>
          <w:szCs w:val="22"/>
          <w:rtl/>
        </w:rPr>
        <w:t>|</w:t>
      </w:r>
      <w:r w:rsidRPr="006571AC">
        <w:rPr>
          <w:rFonts w:ascii="Simplified Arabic" w:hAnsi="Simplified Arabic"/>
          <w:sz w:val="27"/>
          <w:rtl/>
          <w:lang w:bidi="ar-IQ"/>
        </w:rPr>
        <w:t xml:space="preserve">: </w:t>
      </w:r>
      <w:r w:rsidRPr="006571AC">
        <w:rPr>
          <w:rFonts w:hint="eastAsia"/>
          <w:sz w:val="24"/>
          <w:szCs w:val="24"/>
          <w:rtl/>
          <w:lang w:bidi="ar-IQ"/>
        </w:rPr>
        <w:t>«</w:t>
      </w:r>
      <w:r w:rsidRPr="006571AC">
        <w:rPr>
          <w:rFonts w:ascii="Simplified Arabic" w:hAnsi="Simplified Arabic"/>
          <w:sz w:val="27"/>
          <w:rtl/>
          <w:lang w:bidi="ar-IQ"/>
        </w:rPr>
        <w:t>لأعطين</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الراية غدا</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رجلا</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يحب الله ورسوله، ويحب</w:t>
      </w:r>
      <w:r w:rsidR="006551E3" w:rsidRPr="006571AC">
        <w:rPr>
          <w:rFonts w:ascii="Simplified Arabic" w:hAnsi="Simplified Arabic" w:hint="cs"/>
          <w:sz w:val="27"/>
          <w:rtl/>
          <w:lang w:bidi="ar-IQ"/>
        </w:rPr>
        <w:t>ّ</w:t>
      </w:r>
      <w:r w:rsidRPr="006571AC">
        <w:rPr>
          <w:rFonts w:ascii="Simplified Arabic" w:hAnsi="Simplified Arabic"/>
          <w:sz w:val="27"/>
          <w:rtl/>
          <w:lang w:bidi="ar-IQ"/>
        </w:rPr>
        <w:t>ه الله ورسوله، لا يرجع حت</w:t>
      </w:r>
      <w:r w:rsidR="006551E3" w:rsidRPr="006571AC">
        <w:rPr>
          <w:rFonts w:ascii="Simplified Arabic" w:hAnsi="Simplified Arabic" w:hint="cs"/>
          <w:sz w:val="27"/>
          <w:rtl/>
          <w:lang w:bidi="ar-IQ"/>
        </w:rPr>
        <w:t>ّ</w:t>
      </w:r>
      <w:r w:rsidRPr="006571AC">
        <w:rPr>
          <w:rFonts w:ascii="Simplified Arabic" w:hAnsi="Simplified Arabic"/>
          <w:sz w:val="27"/>
          <w:rtl/>
          <w:lang w:bidi="ar-IQ"/>
        </w:rPr>
        <w:t>ى يفتح الله عليه. قال عمر: ما أحب</w:t>
      </w:r>
      <w:r w:rsidR="006551E3" w:rsidRPr="006571AC">
        <w:rPr>
          <w:rFonts w:ascii="Simplified Arabic" w:hAnsi="Simplified Arabic" w:hint="cs"/>
          <w:sz w:val="27"/>
          <w:rtl/>
          <w:lang w:bidi="ar-IQ"/>
        </w:rPr>
        <w:t>َ</w:t>
      </w:r>
      <w:r w:rsidRPr="006571AC">
        <w:rPr>
          <w:rFonts w:ascii="Simplified Arabic" w:hAnsi="Simplified Arabic"/>
          <w:sz w:val="27"/>
          <w:rtl/>
          <w:lang w:bidi="ar-IQ"/>
        </w:rPr>
        <w:t>ب</w:t>
      </w:r>
      <w:r w:rsidR="006551E3" w:rsidRPr="006571AC">
        <w:rPr>
          <w:rFonts w:ascii="Simplified Arabic" w:hAnsi="Simplified Arabic" w:hint="cs"/>
          <w:sz w:val="27"/>
          <w:rtl/>
          <w:lang w:bidi="ar-IQ"/>
        </w:rPr>
        <w:t>ْ</w:t>
      </w:r>
      <w:r w:rsidRPr="006571AC">
        <w:rPr>
          <w:rFonts w:ascii="Simplified Arabic" w:hAnsi="Simplified Arabic"/>
          <w:sz w:val="27"/>
          <w:rtl/>
          <w:lang w:bidi="ar-IQ"/>
        </w:rPr>
        <w:t>ت</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الإمارة قبل يومئذ</w:t>
      </w:r>
      <w:r w:rsidR="006551E3" w:rsidRPr="006571AC">
        <w:rPr>
          <w:rFonts w:ascii="Simplified Arabic" w:hAnsi="Simplified Arabic" w:hint="cs"/>
          <w:sz w:val="27"/>
          <w:rtl/>
          <w:lang w:bidi="ar-IQ"/>
        </w:rPr>
        <w:t>ٍ</w:t>
      </w:r>
      <w:r w:rsidRPr="006571AC">
        <w:rPr>
          <w:rFonts w:ascii="Simplified Arabic" w:hAnsi="Simplified Arabic"/>
          <w:sz w:val="27"/>
          <w:rtl/>
          <w:lang w:bidi="ar-IQ"/>
        </w:rPr>
        <w:t>، فدعا علي</w:t>
      </w:r>
      <w:r w:rsidR="006551E3" w:rsidRPr="006571AC">
        <w:rPr>
          <w:rFonts w:ascii="Simplified Arabic" w:hAnsi="Simplified Arabic" w:hint="cs"/>
          <w:sz w:val="27"/>
          <w:rtl/>
          <w:lang w:bidi="ar-IQ"/>
        </w:rPr>
        <w:t>ّ</w:t>
      </w:r>
      <w:r w:rsidRPr="006571AC">
        <w:rPr>
          <w:rFonts w:ascii="Simplified Arabic" w:hAnsi="Simplified Arabic"/>
          <w:sz w:val="27"/>
          <w:rtl/>
          <w:lang w:bidi="ar-IQ"/>
        </w:rPr>
        <w:t>ا</w:t>
      </w:r>
      <w:r w:rsidR="006551E3" w:rsidRPr="006571AC">
        <w:rPr>
          <w:rFonts w:ascii="Simplified Arabic" w:hAnsi="Simplified Arabic" w:hint="cs"/>
          <w:sz w:val="27"/>
          <w:rtl/>
          <w:lang w:bidi="ar-IQ"/>
        </w:rPr>
        <w:t>ً</w:t>
      </w:r>
      <w:r w:rsidR="002A2C90" w:rsidRPr="006571AC">
        <w:rPr>
          <w:rFonts w:ascii="Mosawi" w:hAnsi="Mosawi" w:cs="Mosawi"/>
          <w:sz w:val="22"/>
          <w:szCs w:val="22"/>
          <w:rtl/>
        </w:rPr>
        <w:t>×</w:t>
      </w:r>
      <w:r w:rsidRPr="006571AC">
        <w:rPr>
          <w:rFonts w:ascii="Simplified Arabic" w:hAnsi="Simplified Arabic"/>
          <w:sz w:val="27"/>
          <w:rtl/>
          <w:lang w:bidi="ar-IQ"/>
        </w:rPr>
        <w:t xml:space="preserve"> فبعثه، فقال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اذه</w:t>
      </w:r>
      <w:r w:rsidR="006551E3" w:rsidRPr="006571AC">
        <w:rPr>
          <w:rFonts w:ascii="Simplified Arabic" w:hAnsi="Simplified Arabic" w:hint="cs"/>
          <w:sz w:val="27"/>
          <w:rtl/>
          <w:lang w:bidi="ar-IQ"/>
        </w:rPr>
        <w:t>َ</w:t>
      </w:r>
      <w:r w:rsidRPr="006571AC">
        <w:rPr>
          <w:rFonts w:ascii="Simplified Arabic" w:hAnsi="Simplified Arabic"/>
          <w:sz w:val="27"/>
          <w:rtl/>
          <w:lang w:bidi="ar-IQ"/>
        </w:rPr>
        <w:t>ب</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فقات</w:t>
      </w:r>
      <w:r w:rsidR="006551E3" w:rsidRPr="006571AC">
        <w:rPr>
          <w:rFonts w:ascii="Simplified Arabic" w:hAnsi="Simplified Arabic" w:hint="cs"/>
          <w:sz w:val="27"/>
          <w:rtl/>
          <w:lang w:bidi="ar-IQ"/>
        </w:rPr>
        <w:t>ِ</w:t>
      </w:r>
      <w:r w:rsidRPr="006571AC">
        <w:rPr>
          <w:rFonts w:ascii="Simplified Arabic" w:hAnsi="Simplified Arabic"/>
          <w:sz w:val="27"/>
          <w:rtl/>
          <w:lang w:bidi="ar-IQ"/>
        </w:rPr>
        <w:t>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حت</w:t>
      </w:r>
      <w:r w:rsidR="006551E3" w:rsidRPr="006571AC">
        <w:rPr>
          <w:rFonts w:ascii="Simplified Arabic" w:hAnsi="Simplified Arabic" w:hint="cs"/>
          <w:sz w:val="27"/>
          <w:rtl/>
          <w:lang w:bidi="ar-IQ"/>
        </w:rPr>
        <w:t>ّ</w:t>
      </w:r>
      <w:r w:rsidRPr="006571AC">
        <w:rPr>
          <w:rFonts w:ascii="Simplified Arabic" w:hAnsi="Simplified Arabic"/>
          <w:sz w:val="27"/>
          <w:rtl/>
          <w:lang w:bidi="ar-IQ"/>
        </w:rPr>
        <w:t>ى يفتح الله عز</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وجل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عليك</w:t>
      </w:r>
      <w:r w:rsidR="006551E3" w:rsidRPr="006571AC">
        <w:rPr>
          <w:rFonts w:ascii="Simplified Arabic" w:hAnsi="Simplified Arabic" w:hint="cs"/>
          <w:sz w:val="27"/>
          <w:rtl/>
          <w:lang w:bidi="ar-IQ"/>
        </w:rPr>
        <w:t>َ</w:t>
      </w:r>
      <w:r w:rsidRPr="006571AC">
        <w:rPr>
          <w:rFonts w:ascii="Simplified Arabic" w:hAnsi="Simplified Arabic"/>
          <w:sz w:val="27"/>
          <w:rtl/>
          <w:lang w:bidi="ar-IQ"/>
        </w:rPr>
        <w:t>، ولا تلتف</w:t>
      </w:r>
      <w:r w:rsidR="006551E3" w:rsidRPr="006571AC">
        <w:rPr>
          <w:rFonts w:ascii="Simplified Arabic" w:hAnsi="Simplified Arabic" w:hint="cs"/>
          <w:sz w:val="27"/>
          <w:rtl/>
          <w:lang w:bidi="ar-IQ"/>
        </w:rPr>
        <w:t>ِ</w:t>
      </w:r>
      <w:r w:rsidRPr="006571AC">
        <w:rPr>
          <w:rFonts w:ascii="Simplified Arabic" w:hAnsi="Simplified Arabic"/>
          <w:sz w:val="27"/>
          <w:rtl/>
          <w:lang w:bidi="ar-IQ"/>
        </w:rPr>
        <w:t>ت</w:t>
      </w:r>
      <w:r w:rsidR="006551E3" w:rsidRPr="006571AC">
        <w:rPr>
          <w:rFonts w:ascii="Simplified Arabic" w:hAnsi="Simplified Arabic" w:hint="cs"/>
          <w:sz w:val="27"/>
          <w:rtl/>
          <w:lang w:bidi="ar-IQ"/>
        </w:rPr>
        <w:t>ْ</w:t>
      </w:r>
      <w:r w:rsidRPr="006571AC">
        <w:rPr>
          <w:rFonts w:ascii="Simplified Arabic" w:hAnsi="Simplified Arabic"/>
          <w:sz w:val="27"/>
          <w:rtl/>
          <w:lang w:bidi="ar-IQ"/>
        </w:rPr>
        <w:t>، فمشى ساعة</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أو قال</w:t>
      </w:r>
      <w:r w:rsidR="006551E3" w:rsidRPr="006571AC">
        <w:rPr>
          <w:rFonts w:ascii="Simplified Arabic" w:hAnsi="Simplified Arabic" w:hint="cs"/>
          <w:sz w:val="27"/>
          <w:rtl/>
          <w:lang w:bidi="ar-IQ"/>
        </w:rPr>
        <w:t xml:space="preserve">: </w:t>
      </w:r>
      <w:r w:rsidRPr="006571AC">
        <w:rPr>
          <w:rFonts w:ascii="Simplified Arabic" w:hAnsi="Simplified Arabic"/>
          <w:sz w:val="27"/>
          <w:rtl/>
          <w:lang w:bidi="ar-IQ"/>
        </w:rPr>
        <w:t>قليلا</w:t>
      </w:r>
      <w:r w:rsidR="006551E3" w:rsidRPr="006571AC">
        <w:rPr>
          <w:rFonts w:ascii="Simplified Arabic" w:hAnsi="Simplified Arabic" w:hint="cs"/>
          <w:sz w:val="27"/>
          <w:rtl/>
          <w:lang w:bidi="ar-IQ"/>
        </w:rPr>
        <w:t>ً</w:t>
      </w:r>
      <w:r w:rsidRPr="006571AC">
        <w:rPr>
          <w:rFonts w:ascii="Simplified Arabic" w:hAnsi="Simplified Arabic"/>
          <w:sz w:val="27"/>
          <w:rtl/>
          <w:lang w:bidi="ar-IQ"/>
        </w:rPr>
        <w:t>، ثم</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وقف ولم يلتف</w:t>
      </w:r>
      <w:r w:rsidR="006551E3" w:rsidRPr="006571AC">
        <w:rPr>
          <w:rFonts w:ascii="Simplified Arabic" w:hAnsi="Simplified Arabic" w:hint="cs"/>
          <w:sz w:val="27"/>
          <w:rtl/>
          <w:lang w:bidi="ar-IQ"/>
        </w:rPr>
        <w:t>ِ</w:t>
      </w:r>
      <w:r w:rsidRPr="006571AC">
        <w:rPr>
          <w:rFonts w:ascii="Simplified Arabic" w:hAnsi="Simplified Arabic"/>
          <w:sz w:val="27"/>
          <w:rtl/>
          <w:lang w:bidi="ar-IQ"/>
        </w:rPr>
        <w:t>ت</w:t>
      </w:r>
      <w:r w:rsidR="006551E3" w:rsidRPr="006571AC">
        <w:rPr>
          <w:rFonts w:ascii="Simplified Arabic" w:hAnsi="Simplified Arabic" w:hint="cs"/>
          <w:sz w:val="27"/>
          <w:rtl/>
          <w:lang w:bidi="ar-IQ"/>
        </w:rPr>
        <w:t>ْ</w:t>
      </w:r>
      <w:r w:rsidR="005D37A5" w:rsidRPr="006571AC">
        <w:rPr>
          <w:rFonts w:ascii="Simplified Arabic" w:hAnsi="Simplified Arabic"/>
          <w:sz w:val="27"/>
          <w:rtl/>
          <w:lang w:bidi="ar-IQ"/>
        </w:rPr>
        <w:t>، فقال: يا رسول الله، عل</w:t>
      </w:r>
      <w:r w:rsidR="005D37A5" w:rsidRPr="006571AC">
        <w:rPr>
          <w:rFonts w:ascii="Simplified Arabic" w:hAnsi="Simplified Arabic" w:hint="cs"/>
          <w:sz w:val="27"/>
          <w:rtl/>
          <w:lang w:bidi="ar-IQ"/>
        </w:rPr>
        <w:t>ا</w:t>
      </w:r>
      <w:r w:rsidRPr="006571AC">
        <w:rPr>
          <w:rFonts w:ascii="Simplified Arabic" w:hAnsi="Simplified Arabic"/>
          <w:sz w:val="27"/>
          <w:rtl/>
          <w:lang w:bidi="ar-IQ"/>
        </w:rPr>
        <w:t>م</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أقاتل الناس</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قال: قاتلهم حت</w:t>
      </w:r>
      <w:r w:rsidR="005D37A5" w:rsidRPr="006571AC">
        <w:rPr>
          <w:rFonts w:ascii="Simplified Arabic" w:hAnsi="Simplified Arabic" w:hint="cs"/>
          <w:sz w:val="27"/>
          <w:rtl/>
          <w:lang w:bidi="ar-IQ"/>
        </w:rPr>
        <w:t>ّ</w:t>
      </w:r>
      <w:r w:rsidRPr="006571AC">
        <w:rPr>
          <w:rFonts w:ascii="Simplified Arabic" w:hAnsi="Simplified Arabic"/>
          <w:sz w:val="27"/>
          <w:rtl/>
          <w:lang w:bidi="ar-IQ"/>
        </w:rPr>
        <w:t>ى يشهدوا أن لا إله إلا الله، وأن محمدا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رسول الله</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فإذا فعلوا ذلك فقد منعوا منك دماءهم وأموالهم إلا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بحق</w:t>
      </w:r>
      <w:r w:rsidR="005D37A5" w:rsidRPr="006571AC">
        <w:rPr>
          <w:rFonts w:ascii="Simplified Arabic" w:hAnsi="Simplified Arabic" w:hint="cs"/>
          <w:sz w:val="27"/>
          <w:rtl/>
          <w:lang w:bidi="ar-IQ"/>
        </w:rPr>
        <w:t>ِّ</w:t>
      </w:r>
      <w:r w:rsidRPr="006571AC">
        <w:rPr>
          <w:rFonts w:ascii="Simplified Arabic" w:hAnsi="Simplified Arabic"/>
          <w:sz w:val="27"/>
          <w:rtl/>
          <w:lang w:bidi="ar-IQ"/>
        </w:rPr>
        <w:t>ها، وحسابهم على الله عز</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وجل</w:t>
      </w:r>
      <w:r w:rsidR="005D37A5" w:rsidRPr="006571AC">
        <w:rPr>
          <w:rFonts w:ascii="Simplified Arabic" w:hAnsi="Simplified Arabic" w:hint="cs"/>
          <w:sz w:val="27"/>
          <w:rtl/>
          <w:lang w:bidi="ar-IQ"/>
        </w:rPr>
        <w:t>َّ</w:t>
      </w:r>
      <w:r w:rsidRPr="006571AC">
        <w:rPr>
          <w:rFonts w:hint="eastAsia"/>
          <w:sz w:val="24"/>
          <w:szCs w:val="24"/>
          <w:rtl/>
        </w:rPr>
        <w:t>»</w:t>
      </w:r>
      <w:r w:rsidRPr="006571AC">
        <w:rPr>
          <w:rFonts w:ascii="Simplified Arabic" w:hAnsi="Simplified Arabic"/>
          <w:sz w:val="27"/>
          <w:vertAlign w:val="superscript"/>
          <w:rtl/>
          <w:lang w:bidi="ar-IQ"/>
        </w:rPr>
        <w:t>(</w:t>
      </w:r>
      <w:r w:rsidRPr="006571AC">
        <w:rPr>
          <w:rStyle w:val="ac"/>
          <w:rFonts w:ascii="Simplified Arabic" w:hAnsi="Simplified Arabic"/>
          <w:sz w:val="27"/>
          <w:rtl/>
          <w:lang w:bidi="ar-IQ"/>
        </w:rPr>
        <w:endnoteReference w:id="502"/>
      </w:r>
      <w:r w:rsidRPr="006571AC">
        <w:rPr>
          <w:rFonts w:ascii="Simplified Arabic" w:hAnsi="Simplified Arabic"/>
          <w:sz w:val="27"/>
          <w:vertAlign w:val="superscript"/>
          <w:rtl/>
          <w:lang w:bidi="ar-IQ"/>
        </w:rPr>
        <w:t>)</w:t>
      </w:r>
      <w:r w:rsidR="00EA6070" w:rsidRPr="006571AC">
        <w:rPr>
          <w:rFonts w:ascii="Simplified Arabic" w:hAnsi="Simplified Arabic"/>
          <w:sz w:val="27"/>
          <w:rtl/>
          <w:lang w:bidi="ar-IQ"/>
        </w:rPr>
        <w:t>.</w:t>
      </w:r>
    </w:p>
    <w:p w:rsidR="00EA6070" w:rsidRPr="006571AC" w:rsidRDefault="005A03A8" w:rsidP="00EA6070">
      <w:pPr>
        <w:spacing w:line="380" w:lineRule="exact"/>
        <w:rPr>
          <w:rFonts w:ascii="Simplified Arabic" w:hAnsi="Simplified Arabic"/>
          <w:sz w:val="27"/>
          <w:rtl/>
          <w:lang w:bidi="ar-IQ"/>
        </w:rPr>
      </w:pPr>
      <w:r w:rsidRPr="006571AC">
        <w:rPr>
          <w:rFonts w:ascii="Simplified Arabic" w:hAnsi="Simplified Arabic"/>
          <w:sz w:val="27"/>
          <w:rtl/>
          <w:lang w:bidi="ar-IQ"/>
        </w:rPr>
        <w:t>وهذا الخبر</w:t>
      </w:r>
      <w:r w:rsidR="005D37A5" w:rsidRPr="006571AC">
        <w:rPr>
          <w:rFonts w:ascii="Simplified Arabic" w:hAnsi="Simplified Arabic" w:hint="cs"/>
          <w:sz w:val="27"/>
          <w:rtl/>
          <w:lang w:bidi="ar-IQ"/>
        </w:rPr>
        <w:t xml:space="preserve"> ـ</w:t>
      </w:r>
      <w:r w:rsidRPr="006571AC">
        <w:rPr>
          <w:rFonts w:ascii="Simplified Arabic" w:hAnsi="Simplified Arabic"/>
          <w:sz w:val="27"/>
          <w:rtl/>
          <w:lang w:bidi="ar-IQ"/>
        </w:rPr>
        <w:t xml:space="preserve"> بعيداً </w:t>
      </w:r>
      <w:r w:rsidRPr="006571AC">
        <w:rPr>
          <w:rFonts w:ascii="Simplified Arabic" w:hAnsi="Simplified Arabic" w:hint="cs"/>
          <w:sz w:val="27"/>
          <w:rtl/>
          <w:lang w:bidi="ar-IQ"/>
        </w:rPr>
        <w:t xml:space="preserve">عن </w:t>
      </w:r>
      <w:r w:rsidRPr="006571AC">
        <w:rPr>
          <w:rFonts w:ascii="Simplified Arabic" w:hAnsi="Simplified Arabic"/>
          <w:sz w:val="27"/>
          <w:rtl/>
          <w:lang w:bidi="ar-IQ"/>
        </w:rPr>
        <w:t>اختصاصه بحال القتال بين طرفين</w:t>
      </w:r>
      <w:r w:rsidR="005D37A5" w:rsidRPr="006571AC">
        <w:rPr>
          <w:rFonts w:ascii="Simplified Arabic" w:hAnsi="Simplified Arabic" w:hint="cs"/>
          <w:sz w:val="27"/>
          <w:rtl/>
          <w:lang w:bidi="ar-IQ"/>
        </w:rPr>
        <w:t xml:space="preserve"> ـ</w:t>
      </w:r>
      <w:r w:rsidRPr="006571AC">
        <w:rPr>
          <w:rFonts w:ascii="Simplified Arabic" w:hAnsi="Simplified Arabic"/>
          <w:sz w:val="27"/>
          <w:rtl/>
          <w:lang w:bidi="ar-IQ"/>
        </w:rPr>
        <w:t xml:space="preserve"> مبتلى</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بعدد</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من المجاهيل</w:t>
      </w:r>
      <w:r w:rsidR="005D37A5" w:rsidRPr="006571AC">
        <w:rPr>
          <w:rFonts w:ascii="Simplified Arabic" w:hAnsi="Simplified Arabic" w:hint="cs"/>
          <w:sz w:val="27"/>
          <w:rtl/>
          <w:lang w:bidi="ar-IQ"/>
        </w:rPr>
        <w:t xml:space="preserve">، </w:t>
      </w:r>
      <w:r w:rsidRPr="006571AC">
        <w:rPr>
          <w:rFonts w:ascii="Simplified Arabic" w:hAnsi="Simplified Arabic"/>
          <w:sz w:val="27"/>
          <w:rtl/>
          <w:lang w:bidi="ar-IQ"/>
        </w:rPr>
        <w:t>والعام</w:t>
      </w:r>
      <w:r w:rsidR="005D37A5" w:rsidRPr="006571AC">
        <w:rPr>
          <w:rFonts w:ascii="Simplified Arabic" w:hAnsi="Simplified Arabic" w:hint="cs"/>
          <w:sz w:val="27"/>
          <w:rtl/>
          <w:lang w:bidi="ar-IQ"/>
        </w:rPr>
        <w:t>ّ</w:t>
      </w:r>
      <w:r w:rsidRPr="006571AC">
        <w:rPr>
          <w:rFonts w:ascii="Simplified Arabic" w:hAnsi="Simplified Arabic"/>
          <w:sz w:val="27"/>
          <w:rtl/>
          <w:lang w:bidi="ar-IQ"/>
        </w:rPr>
        <w:t>ة</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حت</w:t>
      </w:r>
      <w:r w:rsidR="005D37A5" w:rsidRPr="006571AC">
        <w:rPr>
          <w:rFonts w:ascii="Simplified Arabic" w:hAnsi="Simplified Arabic" w:hint="cs"/>
          <w:sz w:val="27"/>
          <w:rtl/>
          <w:lang w:bidi="ar-IQ"/>
        </w:rPr>
        <w:t>ّ</w:t>
      </w:r>
      <w:r w:rsidRPr="006571AC">
        <w:rPr>
          <w:rFonts w:ascii="Simplified Arabic" w:hAnsi="Simplified Arabic"/>
          <w:sz w:val="27"/>
          <w:rtl/>
          <w:lang w:bidi="ar-IQ"/>
        </w:rPr>
        <w:t>ى ينتهي بأبي هريرة</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وج</w:t>
      </w:r>
      <w:r w:rsidR="005D37A5" w:rsidRPr="006571AC">
        <w:rPr>
          <w:rFonts w:ascii="Simplified Arabic" w:hAnsi="Simplified Arabic" w:hint="cs"/>
          <w:sz w:val="27"/>
          <w:rtl/>
          <w:lang w:bidi="ar-IQ"/>
        </w:rPr>
        <w:t>ُ</w:t>
      </w:r>
      <w:r w:rsidRPr="006571AC">
        <w:rPr>
          <w:rFonts w:ascii="Simplified Arabic" w:hAnsi="Simplified Arabic"/>
          <w:sz w:val="27"/>
          <w:rtl/>
          <w:lang w:bidi="ar-IQ"/>
        </w:rPr>
        <w:t>ل</w:t>
      </w:r>
      <w:r w:rsidR="005D37A5" w:rsidRPr="006571AC">
        <w:rPr>
          <w:rFonts w:ascii="Simplified Arabic" w:hAnsi="Simplified Arabic" w:hint="cs"/>
          <w:sz w:val="27"/>
          <w:rtl/>
          <w:lang w:bidi="ar-IQ"/>
        </w:rPr>
        <w:t>ُّ</w:t>
      </w:r>
      <w:r w:rsidRPr="006571AC">
        <w:rPr>
          <w:rFonts w:ascii="Simplified Arabic" w:hAnsi="Simplified Arabic"/>
          <w:sz w:val="27"/>
          <w:rtl/>
          <w:lang w:bidi="ar-IQ"/>
        </w:rPr>
        <w:t>هم من الضعاف</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فسنده ساقط</w:t>
      </w:r>
      <w:r w:rsidR="005D37A5" w:rsidRPr="006571AC">
        <w:rPr>
          <w:rFonts w:ascii="Simplified Arabic" w:hAnsi="Simplified Arabic" w:hint="cs"/>
          <w:sz w:val="27"/>
          <w:rtl/>
          <w:lang w:bidi="ar-IQ"/>
        </w:rPr>
        <w:t>ٌ</w:t>
      </w:r>
      <w:r w:rsidR="00EA6070" w:rsidRPr="006571AC">
        <w:rPr>
          <w:rFonts w:ascii="Simplified Arabic" w:hAnsi="Simplified Arabic"/>
          <w:sz w:val="27"/>
          <w:rtl/>
          <w:lang w:bidi="ar-IQ"/>
        </w:rPr>
        <w:t xml:space="preserve"> عن الاعتبار.</w:t>
      </w:r>
    </w:p>
    <w:p w:rsidR="00EA6070" w:rsidRPr="006571AC" w:rsidRDefault="005A03A8" w:rsidP="00EA6070">
      <w:pPr>
        <w:spacing w:line="384" w:lineRule="exact"/>
        <w:rPr>
          <w:rFonts w:ascii="Simplified Arabic" w:hAnsi="Simplified Arabic"/>
          <w:sz w:val="27"/>
          <w:rtl/>
          <w:lang w:bidi="ar-IQ"/>
        </w:rPr>
      </w:pPr>
      <w:r w:rsidRPr="006571AC">
        <w:rPr>
          <w:rFonts w:ascii="Simplified Arabic" w:hAnsi="Simplified Arabic"/>
          <w:b/>
          <w:bCs/>
          <w:sz w:val="27"/>
          <w:rtl/>
          <w:lang w:bidi="ar-IQ"/>
        </w:rPr>
        <w:t xml:space="preserve">الطريق </w:t>
      </w:r>
      <w:r w:rsidRPr="006571AC">
        <w:rPr>
          <w:rFonts w:ascii="Simplified Arabic" w:hAnsi="Simplified Arabic" w:hint="cs"/>
          <w:b/>
          <w:bCs/>
          <w:sz w:val="27"/>
          <w:rtl/>
          <w:lang w:bidi="ar-IQ"/>
        </w:rPr>
        <w:t>الرابع</w:t>
      </w:r>
      <w:r w:rsidRPr="006571AC">
        <w:rPr>
          <w:rFonts w:ascii="Simplified Arabic" w:hAnsi="Simplified Arabic"/>
          <w:sz w:val="27"/>
          <w:rtl/>
          <w:lang w:bidi="ar-IQ"/>
        </w:rPr>
        <w:t>: ما رواه القم</w:t>
      </w:r>
      <w:r w:rsidR="005D37A5" w:rsidRPr="006571AC">
        <w:rPr>
          <w:rFonts w:ascii="Simplified Arabic" w:hAnsi="Simplified Arabic" w:hint="cs"/>
          <w:sz w:val="27"/>
          <w:rtl/>
          <w:lang w:bidi="ar-IQ"/>
        </w:rPr>
        <w:t>ّ</w:t>
      </w:r>
      <w:r w:rsidRPr="006571AC">
        <w:rPr>
          <w:rFonts w:ascii="Simplified Arabic" w:hAnsi="Simplified Arabic"/>
          <w:sz w:val="27"/>
          <w:rtl/>
          <w:lang w:bidi="ar-IQ"/>
        </w:rPr>
        <w:t>ي</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مرسلاً عن النبي</w:t>
      </w:r>
      <w:r w:rsidR="005D37A5" w:rsidRPr="006571AC">
        <w:rPr>
          <w:rFonts w:ascii="Simplified Arabic" w:hAnsi="Simplified Arabic" w:hint="cs"/>
          <w:sz w:val="27"/>
          <w:rtl/>
          <w:lang w:bidi="ar-IQ"/>
        </w:rPr>
        <w:t>ّ</w:t>
      </w:r>
      <w:r w:rsidR="002A2C90" w:rsidRPr="006571AC">
        <w:rPr>
          <w:rFonts w:ascii="Mosawi" w:hAnsi="Mosawi" w:cs="Mosawi"/>
          <w:sz w:val="22"/>
          <w:szCs w:val="22"/>
          <w:rtl/>
        </w:rPr>
        <w:t>|</w:t>
      </w:r>
      <w:r w:rsidRPr="006571AC">
        <w:rPr>
          <w:rFonts w:ascii="Simplified Arabic" w:hAnsi="Simplified Arabic"/>
          <w:sz w:val="27"/>
          <w:rtl/>
          <w:lang w:bidi="ar-IQ"/>
        </w:rPr>
        <w:t xml:space="preserve"> </w:t>
      </w:r>
      <w:r w:rsidR="005D37A5" w:rsidRPr="006571AC">
        <w:rPr>
          <w:rFonts w:ascii="Simplified Arabic" w:hAnsi="Simplified Arabic" w:hint="cs"/>
          <w:sz w:val="27"/>
          <w:rtl/>
          <w:lang w:bidi="ar-IQ"/>
        </w:rPr>
        <w:t>أ</w:t>
      </w:r>
      <w:r w:rsidRPr="006571AC">
        <w:rPr>
          <w:rFonts w:ascii="Simplified Arabic" w:hAnsi="Simplified Arabic"/>
          <w:sz w:val="27"/>
          <w:rtl/>
          <w:lang w:bidi="ar-IQ"/>
        </w:rPr>
        <w:t xml:space="preserve">نه قال: </w:t>
      </w:r>
      <w:r w:rsidRPr="006571AC">
        <w:rPr>
          <w:rFonts w:hint="eastAsia"/>
          <w:sz w:val="24"/>
          <w:szCs w:val="24"/>
          <w:rtl/>
          <w:lang w:bidi="ar-IQ"/>
        </w:rPr>
        <w:t>«</w:t>
      </w:r>
      <w:r w:rsidRPr="006571AC">
        <w:rPr>
          <w:rFonts w:ascii="Simplified Arabic" w:hAnsi="Simplified Arabic"/>
          <w:sz w:val="27"/>
          <w:rtl/>
          <w:lang w:bidi="ar-IQ"/>
        </w:rPr>
        <w:t>و</w:t>
      </w:r>
      <w:r w:rsidR="005D37A5" w:rsidRPr="006571AC">
        <w:rPr>
          <w:rFonts w:ascii="Simplified Arabic" w:hAnsi="Simplified Arabic" w:hint="cs"/>
          <w:sz w:val="27"/>
          <w:rtl/>
          <w:lang w:bidi="ar-IQ"/>
        </w:rPr>
        <w:t>إ</w:t>
      </w:r>
      <w:r w:rsidRPr="006571AC">
        <w:rPr>
          <w:rFonts w:ascii="Simplified Arabic" w:hAnsi="Simplified Arabic"/>
          <w:sz w:val="27"/>
          <w:rtl/>
          <w:lang w:bidi="ar-IQ"/>
        </w:rPr>
        <w:t>ن</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ي </w:t>
      </w:r>
      <w:r w:rsidR="005D37A5" w:rsidRPr="006571AC">
        <w:rPr>
          <w:rFonts w:ascii="Simplified Arabic" w:hAnsi="Simplified Arabic" w:hint="cs"/>
          <w:sz w:val="27"/>
          <w:rtl/>
          <w:lang w:bidi="ar-IQ"/>
        </w:rPr>
        <w:t>أُ</w:t>
      </w:r>
      <w:r w:rsidRPr="006571AC">
        <w:rPr>
          <w:rFonts w:ascii="Simplified Arabic" w:hAnsi="Simplified Arabic"/>
          <w:sz w:val="27"/>
          <w:rtl/>
          <w:lang w:bidi="ar-IQ"/>
        </w:rPr>
        <w:t>مر</w:t>
      </w:r>
      <w:r w:rsidR="005D37A5" w:rsidRPr="006571AC">
        <w:rPr>
          <w:rFonts w:ascii="Simplified Arabic" w:hAnsi="Simplified Arabic" w:hint="cs"/>
          <w:sz w:val="27"/>
          <w:rtl/>
          <w:lang w:bidi="ar-IQ"/>
        </w:rPr>
        <w:t>ْ</w:t>
      </w:r>
      <w:r w:rsidRPr="006571AC">
        <w:rPr>
          <w:rFonts w:ascii="Simplified Arabic" w:hAnsi="Simplified Arabic"/>
          <w:sz w:val="27"/>
          <w:rtl/>
          <w:lang w:bidi="ar-IQ"/>
        </w:rPr>
        <w:t>ت</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005D37A5" w:rsidRPr="006571AC">
        <w:rPr>
          <w:rFonts w:ascii="Simplified Arabic" w:hAnsi="Simplified Arabic" w:hint="cs"/>
          <w:sz w:val="27"/>
          <w:rtl/>
          <w:lang w:bidi="ar-IQ"/>
        </w:rPr>
        <w:t>أ</w:t>
      </w:r>
      <w:r w:rsidRPr="006571AC">
        <w:rPr>
          <w:rFonts w:ascii="Simplified Arabic" w:hAnsi="Simplified Arabic"/>
          <w:sz w:val="27"/>
          <w:rtl/>
          <w:lang w:bidi="ar-IQ"/>
        </w:rPr>
        <w:t xml:space="preserve">ن </w:t>
      </w:r>
      <w:r w:rsidR="005D37A5" w:rsidRPr="006571AC">
        <w:rPr>
          <w:rFonts w:ascii="Simplified Arabic" w:hAnsi="Simplified Arabic" w:hint="cs"/>
          <w:sz w:val="27"/>
          <w:rtl/>
          <w:lang w:bidi="ar-IQ"/>
        </w:rPr>
        <w:t>أ</w:t>
      </w:r>
      <w:r w:rsidRPr="006571AC">
        <w:rPr>
          <w:rFonts w:ascii="Simplified Arabic" w:hAnsi="Simplified Arabic"/>
          <w:sz w:val="27"/>
          <w:rtl/>
          <w:lang w:bidi="ar-IQ"/>
        </w:rPr>
        <w:t>قاتل الناس حتى يقولوا</w:t>
      </w:r>
      <w:r w:rsidR="00575ADF" w:rsidRPr="006571AC">
        <w:rPr>
          <w:rFonts w:ascii="Simplified Arabic" w:hAnsi="Simplified Arabic" w:hint="cs"/>
          <w:sz w:val="27"/>
          <w:rtl/>
          <w:lang w:bidi="ar-IQ"/>
        </w:rPr>
        <w:t>:</w:t>
      </w:r>
      <w:r w:rsidRPr="006571AC">
        <w:rPr>
          <w:rFonts w:ascii="Simplified Arabic" w:hAnsi="Simplified Arabic"/>
          <w:sz w:val="27"/>
          <w:rtl/>
          <w:lang w:bidi="ar-IQ"/>
        </w:rPr>
        <w:t xml:space="preserve"> لا إله إلا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الله</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w:t>
      </w:r>
      <w:r w:rsidR="005D37A5" w:rsidRPr="006571AC">
        <w:rPr>
          <w:rFonts w:ascii="Simplified Arabic" w:hAnsi="Simplified Arabic" w:hint="cs"/>
          <w:sz w:val="27"/>
          <w:rtl/>
          <w:lang w:bidi="ar-IQ"/>
        </w:rPr>
        <w:t>إ</w:t>
      </w:r>
      <w:r w:rsidR="005D37A5" w:rsidRPr="006571AC">
        <w:rPr>
          <w:rFonts w:ascii="Simplified Arabic" w:hAnsi="Simplified Arabic"/>
          <w:sz w:val="27"/>
          <w:rtl/>
          <w:lang w:bidi="ar-IQ"/>
        </w:rPr>
        <w:t>ذا قالوها فقد عصموا من</w:t>
      </w:r>
      <w:r w:rsidR="005D37A5" w:rsidRPr="006571AC">
        <w:rPr>
          <w:rFonts w:ascii="Simplified Arabic" w:hAnsi="Simplified Arabic" w:hint="cs"/>
          <w:sz w:val="27"/>
          <w:rtl/>
          <w:lang w:bidi="ar-IQ"/>
        </w:rPr>
        <w:t>ّ</w:t>
      </w:r>
      <w:r w:rsidR="005D37A5" w:rsidRPr="006571AC">
        <w:rPr>
          <w:rFonts w:ascii="Simplified Arabic" w:hAnsi="Simplified Arabic"/>
          <w:sz w:val="27"/>
          <w:rtl/>
          <w:lang w:bidi="ar-IQ"/>
        </w:rPr>
        <w:t>ي دماء</w:t>
      </w:r>
      <w:r w:rsidRPr="006571AC">
        <w:rPr>
          <w:rFonts w:ascii="Simplified Arabic" w:hAnsi="Simplified Arabic"/>
          <w:sz w:val="27"/>
          <w:rtl/>
          <w:lang w:bidi="ar-IQ"/>
        </w:rPr>
        <w:t>هم و</w:t>
      </w:r>
      <w:r w:rsidR="005D37A5" w:rsidRPr="006571AC">
        <w:rPr>
          <w:rFonts w:ascii="Simplified Arabic" w:hAnsi="Simplified Arabic" w:hint="cs"/>
          <w:sz w:val="27"/>
          <w:rtl/>
          <w:lang w:bidi="ar-IQ"/>
        </w:rPr>
        <w:t>أ</w:t>
      </w:r>
      <w:r w:rsidRPr="006571AC">
        <w:rPr>
          <w:rFonts w:ascii="Simplified Arabic" w:hAnsi="Simplified Arabic"/>
          <w:sz w:val="27"/>
          <w:rtl/>
          <w:lang w:bidi="ar-IQ"/>
        </w:rPr>
        <w:t>موالهم إلا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بحق</w:t>
      </w:r>
      <w:r w:rsidR="005D37A5" w:rsidRPr="006571AC">
        <w:rPr>
          <w:rFonts w:ascii="Simplified Arabic" w:hAnsi="Simplified Arabic" w:hint="cs"/>
          <w:sz w:val="27"/>
          <w:rtl/>
          <w:lang w:bidi="ar-IQ"/>
        </w:rPr>
        <w:t>ِّ</w:t>
      </w:r>
      <w:r w:rsidRPr="006571AC">
        <w:rPr>
          <w:rFonts w:ascii="Simplified Arabic" w:hAnsi="Simplified Arabic"/>
          <w:sz w:val="27"/>
          <w:rtl/>
          <w:lang w:bidi="ar-IQ"/>
        </w:rPr>
        <w:t>ها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وحساب</w:t>
      </w:r>
      <w:r w:rsidR="005D37A5" w:rsidRPr="006571AC">
        <w:rPr>
          <w:rFonts w:ascii="Simplified Arabic" w:hAnsi="Simplified Arabic" w:hint="cs"/>
          <w:sz w:val="27"/>
          <w:rtl/>
          <w:lang w:bidi="ar-IQ"/>
        </w:rPr>
        <w:t>ُ</w:t>
      </w:r>
      <w:r w:rsidRPr="006571AC">
        <w:rPr>
          <w:rFonts w:ascii="Simplified Arabic" w:hAnsi="Simplified Arabic"/>
          <w:sz w:val="27"/>
          <w:rtl/>
          <w:lang w:bidi="ar-IQ"/>
        </w:rPr>
        <w:t>هم على الله...</w:t>
      </w:r>
      <w:r w:rsidRPr="006571AC">
        <w:rPr>
          <w:rFonts w:hint="eastAsia"/>
          <w:sz w:val="24"/>
          <w:szCs w:val="24"/>
          <w:rtl/>
        </w:rPr>
        <w:t>»</w:t>
      </w:r>
      <w:r w:rsidRPr="006571AC">
        <w:rPr>
          <w:rFonts w:ascii="Simplified Arabic" w:hAnsi="Simplified Arabic"/>
          <w:sz w:val="27"/>
          <w:vertAlign w:val="superscript"/>
          <w:rtl/>
          <w:lang w:bidi="ar-IQ"/>
        </w:rPr>
        <w:t>(</w:t>
      </w:r>
      <w:r w:rsidRPr="006571AC">
        <w:rPr>
          <w:rStyle w:val="ac"/>
          <w:rFonts w:ascii="Simplified Arabic" w:hAnsi="Simplified Arabic"/>
          <w:sz w:val="27"/>
          <w:rtl/>
          <w:lang w:bidi="ar-IQ"/>
        </w:rPr>
        <w:endnoteReference w:id="503"/>
      </w:r>
      <w:r w:rsidRPr="006571AC">
        <w:rPr>
          <w:rFonts w:ascii="Simplified Arabic" w:hAnsi="Simplified Arabic"/>
          <w:sz w:val="27"/>
          <w:vertAlign w:val="superscript"/>
          <w:rtl/>
          <w:lang w:bidi="ar-IQ"/>
        </w:rPr>
        <w:t>)</w:t>
      </w:r>
      <w:r w:rsidR="00EA6070" w:rsidRPr="006571AC">
        <w:rPr>
          <w:rFonts w:ascii="Simplified Arabic" w:hAnsi="Simplified Arabic" w:hint="cs"/>
          <w:sz w:val="27"/>
          <w:rtl/>
          <w:lang w:bidi="ar-IQ"/>
        </w:rPr>
        <w:t>.</w:t>
      </w:r>
    </w:p>
    <w:p w:rsidR="00282DC8" w:rsidRPr="006571AC" w:rsidRDefault="005A03A8" w:rsidP="00EA6070">
      <w:pPr>
        <w:spacing w:line="384" w:lineRule="exact"/>
        <w:rPr>
          <w:rtl/>
          <w:lang w:bidi="ar-IQ"/>
        </w:rPr>
      </w:pPr>
      <w:r w:rsidRPr="006571AC">
        <w:rPr>
          <w:rFonts w:ascii="Simplified Arabic" w:hAnsi="Simplified Arabic"/>
          <w:b/>
          <w:bCs/>
          <w:sz w:val="27"/>
          <w:rtl/>
          <w:lang w:bidi="ar-IQ"/>
        </w:rPr>
        <w:t xml:space="preserve">الطريق </w:t>
      </w:r>
      <w:r w:rsidRPr="006571AC">
        <w:rPr>
          <w:rFonts w:ascii="Simplified Arabic" w:hAnsi="Simplified Arabic" w:hint="cs"/>
          <w:b/>
          <w:bCs/>
          <w:sz w:val="27"/>
          <w:rtl/>
          <w:lang w:bidi="ar-IQ"/>
        </w:rPr>
        <w:t>الخامس</w:t>
      </w:r>
      <w:r w:rsidRPr="006571AC">
        <w:rPr>
          <w:rFonts w:ascii="Simplified Arabic" w:hAnsi="Simplified Arabic"/>
          <w:sz w:val="27"/>
          <w:rtl/>
          <w:lang w:bidi="ar-IQ"/>
        </w:rPr>
        <w:t>: ما رواه القاضي النعمان</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مرسلاً عن رسول الله</w:t>
      </w:r>
      <w:r w:rsidR="002A2C90" w:rsidRPr="006571AC">
        <w:rPr>
          <w:rFonts w:ascii="Mosawi" w:hAnsi="Mosawi" w:cs="Mosawi"/>
          <w:sz w:val="22"/>
          <w:szCs w:val="22"/>
          <w:rtl/>
        </w:rPr>
        <w:t>|</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005D37A5" w:rsidRPr="006571AC">
        <w:rPr>
          <w:rFonts w:ascii="Simplified Arabic" w:hAnsi="Simplified Arabic" w:hint="cs"/>
          <w:sz w:val="27"/>
          <w:rtl/>
          <w:lang w:bidi="ar-IQ"/>
        </w:rPr>
        <w:t>أ</w:t>
      </w:r>
      <w:r w:rsidRPr="006571AC">
        <w:rPr>
          <w:rFonts w:ascii="Simplified Arabic" w:hAnsi="Simplified Arabic"/>
          <w:sz w:val="27"/>
          <w:rtl/>
          <w:lang w:bidi="ar-IQ"/>
        </w:rPr>
        <w:t>نه خطب الناس يوم النحر بم</w:t>
      </w:r>
      <w:r w:rsidR="005D37A5" w:rsidRPr="006571AC">
        <w:rPr>
          <w:rFonts w:ascii="Simplified Arabic" w:hAnsi="Simplified Arabic" w:hint="cs"/>
          <w:sz w:val="27"/>
          <w:rtl/>
          <w:lang w:bidi="ar-IQ"/>
        </w:rPr>
        <w:t>ِ</w:t>
      </w:r>
      <w:r w:rsidRPr="006571AC">
        <w:rPr>
          <w:rFonts w:ascii="Simplified Arabic" w:hAnsi="Simplified Arabic"/>
          <w:sz w:val="27"/>
          <w:rtl/>
          <w:lang w:bidi="ar-IQ"/>
        </w:rPr>
        <w:t>ن</w:t>
      </w:r>
      <w:r w:rsidR="005D37A5" w:rsidRPr="006571AC">
        <w:rPr>
          <w:rFonts w:ascii="Simplified Arabic" w:hAnsi="Simplified Arabic" w:hint="cs"/>
          <w:sz w:val="27"/>
          <w:rtl/>
          <w:lang w:bidi="ar-IQ"/>
        </w:rPr>
        <w:t>َ</w:t>
      </w:r>
      <w:r w:rsidRPr="006571AC">
        <w:rPr>
          <w:rFonts w:ascii="Simplified Arabic" w:hAnsi="Simplified Arabic"/>
          <w:sz w:val="27"/>
          <w:rtl/>
          <w:lang w:bidi="ar-IQ"/>
        </w:rPr>
        <w:t>ى فقال</w:t>
      </w:r>
      <w:r w:rsidRPr="006571AC">
        <w:rPr>
          <w:rFonts w:ascii="Simplified Arabic" w:hAnsi="Simplified Arabic" w:hint="cs"/>
          <w:sz w:val="27"/>
          <w:rtl/>
          <w:lang w:bidi="ar-IQ"/>
        </w:rPr>
        <w:t xml:space="preserve">: </w:t>
      </w:r>
      <w:r w:rsidRPr="006571AC">
        <w:rPr>
          <w:rFonts w:hint="eastAsia"/>
          <w:sz w:val="24"/>
          <w:szCs w:val="24"/>
          <w:rtl/>
          <w:lang w:bidi="ar-IQ"/>
        </w:rPr>
        <w:t>«</w:t>
      </w:r>
      <w:r w:rsidRPr="006571AC">
        <w:rPr>
          <w:rFonts w:ascii="Simplified Arabic" w:hAnsi="Simplified Arabic"/>
          <w:sz w:val="27"/>
          <w:rtl/>
          <w:lang w:bidi="ar-IQ"/>
        </w:rPr>
        <w:t>أيها الناس</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لا ترجعوا بعدي كف</w:t>
      </w:r>
      <w:r w:rsidR="005D37A5" w:rsidRPr="006571AC">
        <w:rPr>
          <w:rFonts w:ascii="Simplified Arabic" w:hAnsi="Simplified Arabic" w:hint="cs"/>
          <w:sz w:val="27"/>
          <w:rtl/>
          <w:lang w:bidi="ar-IQ"/>
        </w:rPr>
        <w:t>ّ</w:t>
      </w:r>
      <w:r w:rsidRPr="006571AC">
        <w:rPr>
          <w:rFonts w:ascii="Simplified Arabic" w:hAnsi="Simplified Arabic"/>
          <w:sz w:val="27"/>
          <w:rtl/>
          <w:lang w:bidi="ar-IQ"/>
        </w:rPr>
        <w:t>ارا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يضرب بعضكم رقاب بعض</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فإنما أ</w:t>
      </w:r>
      <w:r w:rsidR="00811001" w:rsidRPr="006571AC">
        <w:rPr>
          <w:rFonts w:ascii="Simplified Arabic" w:hAnsi="Simplified Arabic" w:hint="cs"/>
          <w:sz w:val="27"/>
          <w:rtl/>
          <w:lang w:bidi="ar-IQ"/>
        </w:rPr>
        <w:t>ُ</w:t>
      </w:r>
      <w:r w:rsidRPr="006571AC">
        <w:rPr>
          <w:rFonts w:ascii="Simplified Arabic" w:hAnsi="Simplified Arabic"/>
          <w:sz w:val="27"/>
          <w:rtl/>
          <w:lang w:bidi="ar-IQ"/>
        </w:rPr>
        <w:t>م</w:t>
      </w:r>
      <w:r w:rsidR="00811001" w:rsidRPr="006571AC">
        <w:rPr>
          <w:rFonts w:ascii="Simplified Arabic" w:hAnsi="Simplified Arabic" w:hint="cs"/>
          <w:sz w:val="27"/>
          <w:rtl/>
          <w:lang w:bidi="ar-IQ"/>
        </w:rPr>
        <w:t>ِ</w:t>
      </w:r>
      <w:r w:rsidRPr="006571AC">
        <w:rPr>
          <w:rFonts w:ascii="Simplified Arabic" w:hAnsi="Simplified Arabic"/>
          <w:sz w:val="27"/>
          <w:rtl/>
          <w:lang w:bidi="ar-IQ"/>
        </w:rPr>
        <w:t>ر</w:t>
      </w:r>
      <w:r w:rsidR="00811001" w:rsidRPr="006571AC">
        <w:rPr>
          <w:rFonts w:ascii="Simplified Arabic" w:hAnsi="Simplified Arabic" w:hint="cs"/>
          <w:sz w:val="27"/>
          <w:rtl/>
          <w:lang w:bidi="ar-IQ"/>
        </w:rPr>
        <w:t>ْ</w:t>
      </w:r>
      <w:r w:rsidRPr="006571AC">
        <w:rPr>
          <w:rFonts w:ascii="Simplified Arabic" w:hAnsi="Simplified Arabic"/>
          <w:sz w:val="27"/>
          <w:rtl/>
          <w:lang w:bidi="ar-IQ"/>
        </w:rPr>
        <w:t>ت</w:t>
      </w:r>
      <w:r w:rsidR="00811001" w:rsidRPr="006571AC">
        <w:rPr>
          <w:rFonts w:ascii="Simplified Arabic" w:hAnsi="Simplified Arabic" w:hint="cs"/>
          <w:sz w:val="27"/>
          <w:rtl/>
          <w:lang w:bidi="ar-IQ"/>
        </w:rPr>
        <w:t>ُ</w:t>
      </w:r>
      <w:r w:rsidRPr="006571AC">
        <w:rPr>
          <w:rFonts w:ascii="Simplified Arabic" w:hAnsi="Simplified Arabic"/>
          <w:sz w:val="27"/>
          <w:rtl/>
          <w:lang w:bidi="ar-IQ"/>
        </w:rPr>
        <w:t xml:space="preserve"> أن أقاتل الناس حت</w:t>
      </w:r>
      <w:r w:rsidR="005D37A5" w:rsidRPr="006571AC">
        <w:rPr>
          <w:rFonts w:ascii="Simplified Arabic" w:hAnsi="Simplified Arabic" w:hint="cs"/>
          <w:sz w:val="27"/>
          <w:rtl/>
          <w:lang w:bidi="ar-IQ"/>
        </w:rPr>
        <w:t>ّ</w:t>
      </w:r>
      <w:r w:rsidRPr="006571AC">
        <w:rPr>
          <w:rFonts w:ascii="Simplified Arabic" w:hAnsi="Simplified Arabic"/>
          <w:sz w:val="27"/>
          <w:rtl/>
          <w:lang w:bidi="ar-IQ"/>
        </w:rPr>
        <w:t>ى يقولوا</w:t>
      </w:r>
      <w:r w:rsidR="00575ADF" w:rsidRPr="006571AC">
        <w:rPr>
          <w:rFonts w:ascii="Simplified Arabic" w:hAnsi="Simplified Arabic" w:hint="cs"/>
          <w:sz w:val="27"/>
          <w:rtl/>
          <w:lang w:bidi="ar-IQ"/>
        </w:rPr>
        <w:t>:</w:t>
      </w:r>
      <w:r w:rsidRPr="006571AC">
        <w:rPr>
          <w:rFonts w:ascii="Simplified Arabic" w:hAnsi="Simplified Arabic"/>
          <w:sz w:val="27"/>
          <w:rtl/>
          <w:lang w:bidi="ar-IQ"/>
        </w:rPr>
        <w:t xml:space="preserve"> لا إله إلا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الله</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فإذا قالوا ذلك فقد عصموا من</w:t>
      </w:r>
      <w:r w:rsidR="005D37A5" w:rsidRPr="006571AC">
        <w:rPr>
          <w:rFonts w:ascii="Simplified Arabic" w:hAnsi="Simplified Arabic" w:hint="cs"/>
          <w:sz w:val="27"/>
          <w:rtl/>
          <w:lang w:bidi="ar-IQ"/>
        </w:rPr>
        <w:t>ّ</w:t>
      </w:r>
      <w:r w:rsidRPr="006571AC">
        <w:rPr>
          <w:rFonts w:ascii="Simplified Arabic" w:hAnsi="Simplified Arabic"/>
          <w:sz w:val="27"/>
          <w:rtl/>
          <w:lang w:bidi="ar-IQ"/>
        </w:rPr>
        <w:t>ي دماءهم وأموالهم إلى يوم يلقون رب</w:t>
      </w:r>
      <w:r w:rsidR="005D37A5" w:rsidRPr="006571AC">
        <w:rPr>
          <w:rFonts w:ascii="Simplified Arabic" w:hAnsi="Simplified Arabic" w:hint="cs"/>
          <w:sz w:val="27"/>
          <w:rtl/>
          <w:lang w:bidi="ar-IQ"/>
        </w:rPr>
        <w:t>َّ</w:t>
      </w:r>
      <w:r w:rsidRPr="006571AC">
        <w:rPr>
          <w:rFonts w:ascii="Simplified Arabic" w:hAnsi="Simplified Arabic"/>
          <w:sz w:val="27"/>
          <w:rtl/>
          <w:lang w:bidi="ar-IQ"/>
        </w:rPr>
        <w:t>هم</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فيحاسبهم</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ألا هل بل</w:t>
      </w:r>
      <w:r w:rsidR="005D37A5" w:rsidRPr="006571AC">
        <w:rPr>
          <w:rFonts w:ascii="Simplified Arabic" w:hAnsi="Simplified Arabic" w:hint="cs"/>
          <w:sz w:val="27"/>
          <w:rtl/>
          <w:lang w:bidi="ar-IQ"/>
        </w:rPr>
        <w:t>َّ</w:t>
      </w:r>
      <w:r w:rsidRPr="006571AC">
        <w:rPr>
          <w:rFonts w:ascii="Simplified Arabic" w:hAnsi="Simplified Arabic"/>
          <w:sz w:val="27"/>
          <w:rtl/>
          <w:lang w:bidi="ar-IQ"/>
        </w:rPr>
        <w:t>غ</w:t>
      </w:r>
      <w:r w:rsidR="005D37A5" w:rsidRPr="006571AC">
        <w:rPr>
          <w:rFonts w:ascii="Simplified Arabic" w:hAnsi="Simplified Arabic" w:hint="cs"/>
          <w:sz w:val="27"/>
          <w:rtl/>
          <w:lang w:bidi="ar-IQ"/>
        </w:rPr>
        <w:t>ْ</w:t>
      </w:r>
      <w:r w:rsidRPr="006571AC">
        <w:rPr>
          <w:rFonts w:ascii="Simplified Arabic" w:hAnsi="Simplified Arabic"/>
          <w:sz w:val="27"/>
          <w:rtl/>
          <w:lang w:bidi="ar-IQ"/>
        </w:rPr>
        <w:t>ت</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قالوا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نعم</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قال</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اللهم</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اشه</w:t>
      </w:r>
      <w:r w:rsidR="005D37A5" w:rsidRPr="006571AC">
        <w:rPr>
          <w:rFonts w:ascii="Simplified Arabic" w:hAnsi="Simplified Arabic" w:hint="cs"/>
          <w:sz w:val="27"/>
          <w:rtl/>
          <w:lang w:bidi="ar-IQ"/>
        </w:rPr>
        <w:t>َ</w:t>
      </w:r>
      <w:r w:rsidRPr="006571AC">
        <w:rPr>
          <w:rFonts w:ascii="Simplified Arabic" w:hAnsi="Simplified Arabic"/>
          <w:sz w:val="27"/>
          <w:rtl/>
          <w:lang w:bidi="ar-IQ"/>
        </w:rPr>
        <w:t>د</w:t>
      </w:r>
      <w:r w:rsidR="005D37A5" w:rsidRPr="006571AC">
        <w:rPr>
          <w:rFonts w:ascii="Simplified Arabic" w:hAnsi="Simplified Arabic" w:hint="cs"/>
          <w:sz w:val="27"/>
          <w:rtl/>
          <w:lang w:bidi="ar-IQ"/>
        </w:rPr>
        <w:t>ْ</w:t>
      </w:r>
      <w:r w:rsidRPr="006571AC">
        <w:rPr>
          <w:rFonts w:hint="eastAsia"/>
          <w:sz w:val="24"/>
          <w:szCs w:val="24"/>
          <w:rtl/>
        </w:rPr>
        <w:t>»</w:t>
      </w:r>
      <w:r w:rsidRPr="006571AC">
        <w:rPr>
          <w:rFonts w:ascii="Simplified Arabic" w:hAnsi="Simplified Arabic"/>
          <w:sz w:val="27"/>
          <w:vertAlign w:val="superscript"/>
          <w:rtl/>
          <w:lang w:bidi="ar-IQ"/>
        </w:rPr>
        <w:t>(</w:t>
      </w:r>
      <w:r w:rsidRPr="006571AC">
        <w:rPr>
          <w:rStyle w:val="ac"/>
          <w:rFonts w:ascii="Simplified Arabic" w:hAnsi="Simplified Arabic"/>
          <w:sz w:val="27"/>
          <w:rtl/>
          <w:lang w:bidi="ar-IQ"/>
        </w:rPr>
        <w:endnoteReference w:id="504"/>
      </w:r>
      <w:r w:rsidRPr="006571AC">
        <w:rPr>
          <w:rFonts w:ascii="Simplified Arabic" w:hAnsi="Simplified Arabic"/>
          <w:sz w:val="27"/>
          <w:vertAlign w:val="superscript"/>
          <w:rtl/>
          <w:lang w:bidi="ar-IQ"/>
        </w:rPr>
        <w:t>)</w:t>
      </w:r>
      <w:r w:rsidR="005D37A5" w:rsidRPr="006571AC">
        <w:rPr>
          <w:rFonts w:ascii="Simplified Arabic" w:hAnsi="Simplified Arabic" w:hint="cs"/>
          <w:sz w:val="27"/>
          <w:rtl/>
          <w:lang w:bidi="ar-IQ"/>
        </w:rPr>
        <w:t>.</w:t>
      </w:r>
    </w:p>
    <w:p w:rsidR="00EA6070" w:rsidRPr="006571AC" w:rsidRDefault="005A03A8" w:rsidP="00EA6070">
      <w:pPr>
        <w:pStyle w:val="afffffff6"/>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b/>
          <w:bCs/>
          <w:sz w:val="27"/>
          <w:szCs w:val="27"/>
          <w:rtl/>
          <w:lang w:bidi="ar-IQ"/>
        </w:rPr>
        <w:t xml:space="preserve">الطريق </w:t>
      </w:r>
      <w:r w:rsidRPr="006571AC">
        <w:rPr>
          <w:rFonts w:ascii="Simplified Arabic" w:hAnsi="Simplified Arabic" w:cs="AL-Mohanad" w:hint="cs"/>
          <w:b/>
          <w:bCs/>
          <w:sz w:val="27"/>
          <w:szCs w:val="27"/>
          <w:rtl/>
          <w:lang w:bidi="ar-IQ"/>
        </w:rPr>
        <w:t>السادس</w:t>
      </w:r>
      <w:r w:rsidRPr="006571AC">
        <w:rPr>
          <w:rFonts w:ascii="Simplified Arabic" w:hAnsi="Simplified Arabic" w:cs="AL-Mohanad"/>
          <w:b/>
          <w:bCs/>
          <w:sz w:val="27"/>
          <w:szCs w:val="27"/>
          <w:rtl/>
          <w:lang w:bidi="ar-IQ"/>
        </w:rPr>
        <w:t xml:space="preserve">: </w:t>
      </w:r>
      <w:r w:rsidRPr="006571AC">
        <w:rPr>
          <w:rFonts w:ascii="Simplified Arabic" w:hAnsi="Simplified Arabic" w:cs="AL-Mohanad"/>
          <w:sz w:val="27"/>
          <w:szCs w:val="27"/>
          <w:rtl/>
          <w:lang w:bidi="ar-IQ"/>
        </w:rPr>
        <w:t>ما ر</w:t>
      </w:r>
      <w:r w:rsidR="005D37A5" w:rsidRPr="006571AC">
        <w:rPr>
          <w:rFonts w:ascii="Simplified Arabic" w:hAnsi="Simplified Arabic" w:cs="AL-Mohanad" w:hint="cs"/>
          <w:sz w:val="27"/>
          <w:szCs w:val="27"/>
          <w:rtl/>
          <w:lang w:bidi="ar-IQ"/>
        </w:rPr>
        <w:t>و</w:t>
      </w:r>
      <w:r w:rsidRPr="006571AC">
        <w:rPr>
          <w:rFonts w:ascii="Simplified Arabic" w:hAnsi="Simplified Arabic" w:cs="AL-Mohanad"/>
          <w:sz w:val="27"/>
          <w:szCs w:val="27"/>
          <w:rtl/>
          <w:lang w:bidi="ar-IQ"/>
        </w:rPr>
        <w:t>اه ال</w:t>
      </w:r>
      <w:r w:rsidR="005D37A5"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حسائي</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مرسلاً عن رسول الله</w:t>
      </w:r>
      <w:r w:rsidR="002A2C90" w:rsidRPr="006571AC">
        <w:rPr>
          <w:rFonts w:ascii="Mosawi" w:hAnsi="Mosawi" w:cs="Mosawi"/>
          <w:rtl/>
        </w:rPr>
        <w:t>|</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005D37A5"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 xml:space="preserve">نه قال: </w:t>
      </w:r>
      <w:r w:rsidRPr="006571AC">
        <w:rPr>
          <w:rFonts w:cs="AL-Mohanad" w:hint="eastAsia"/>
          <w:sz w:val="24"/>
          <w:szCs w:val="24"/>
          <w:rtl/>
          <w:lang w:bidi="ar-IQ"/>
        </w:rPr>
        <w:t>«</w:t>
      </w:r>
      <w:r w:rsidRPr="006571AC">
        <w:rPr>
          <w:rFonts w:ascii="Simplified Arabic" w:hAnsi="Simplified Arabic" w:cs="AL-Mohanad"/>
          <w:sz w:val="27"/>
          <w:szCs w:val="27"/>
          <w:rtl/>
          <w:lang w:bidi="ar-IQ"/>
        </w:rPr>
        <w:t>أ</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w:t>
      </w:r>
      <w:r w:rsidR="0081100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w:t>
      </w:r>
      <w:r w:rsidR="00B06E6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ت</w:t>
      </w:r>
      <w:r w:rsidR="00B06E6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أن أقاتل الناس حت</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ى يقولوا</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لا إله إلا الله</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وإني رسول الله</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ويقيموا الصلاة</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ويؤتوا الزكاة</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فإذا قالوها حقنوا من</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 دما</w:t>
      </w:r>
      <w:r w:rsidR="00575ADF" w:rsidRPr="006571AC">
        <w:rPr>
          <w:rFonts w:ascii="Simplified Arabic" w:hAnsi="Simplified Arabic" w:cs="AL-Mohanad" w:hint="cs"/>
          <w:sz w:val="27"/>
          <w:szCs w:val="27"/>
          <w:rtl/>
          <w:lang w:bidi="ar-IQ"/>
        </w:rPr>
        <w:t>ء</w:t>
      </w:r>
      <w:r w:rsidRPr="006571AC">
        <w:rPr>
          <w:rFonts w:ascii="Simplified Arabic" w:hAnsi="Simplified Arabic" w:cs="AL-Mohanad"/>
          <w:sz w:val="27"/>
          <w:szCs w:val="27"/>
          <w:rtl/>
          <w:lang w:bidi="ar-IQ"/>
        </w:rPr>
        <w:t>هم وأموالهم</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وحساب</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هم على الله...</w:t>
      </w:r>
      <w:r w:rsidRPr="006571AC">
        <w:rPr>
          <w:rFonts w:cs="AL-Mohanad" w:hint="eastAsia"/>
          <w:sz w:val="24"/>
          <w:szCs w:val="24"/>
          <w:rtl/>
        </w:rPr>
        <w:t>»</w:t>
      </w:r>
      <w:r w:rsidRPr="006571AC">
        <w:rPr>
          <w:rFonts w:ascii="Simplified Arabic" w:hAnsi="Simplified Arabic" w:cs="AL-Mohanad"/>
          <w:sz w:val="27"/>
          <w:szCs w:val="27"/>
          <w:vertAlign w:val="superscript"/>
          <w:rtl/>
          <w:lang w:bidi="ar-IQ"/>
        </w:rPr>
        <w:t>(</w:t>
      </w:r>
      <w:r w:rsidRPr="006571AC">
        <w:rPr>
          <w:rStyle w:val="ac"/>
          <w:rFonts w:ascii="Simplified Arabic" w:hAnsi="Simplified Arabic" w:cs="AL-Mohanad"/>
          <w:sz w:val="27"/>
          <w:szCs w:val="27"/>
          <w:rtl/>
          <w:lang w:bidi="ar-IQ"/>
        </w:rPr>
        <w:endnoteReference w:id="505"/>
      </w:r>
      <w:r w:rsidRPr="006571AC">
        <w:rPr>
          <w:rFonts w:ascii="Simplified Arabic" w:hAnsi="Simplified Arabic" w:cs="AL-Mohanad"/>
          <w:sz w:val="27"/>
          <w:szCs w:val="27"/>
          <w:vertAlign w:val="superscript"/>
          <w:rtl/>
          <w:lang w:bidi="ar-IQ"/>
        </w:rPr>
        <w:t>)</w:t>
      </w:r>
      <w:r w:rsidR="00EA6070" w:rsidRPr="006571AC">
        <w:rPr>
          <w:rFonts w:ascii="Simplified Arabic" w:hAnsi="Simplified Arabic" w:cs="AL-Mohanad" w:hint="cs"/>
          <w:sz w:val="27"/>
          <w:szCs w:val="27"/>
          <w:rtl/>
          <w:lang w:bidi="ar-IQ"/>
        </w:rPr>
        <w:t>.</w:t>
      </w:r>
    </w:p>
    <w:p w:rsidR="005A03A8" w:rsidRPr="006571AC" w:rsidRDefault="005A03A8" w:rsidP="00EA6070">
      <w:pPr>
        <w:pStyle w:val="afffffff6"/>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lastRenderedPageBreak/>
        <w:t>فيظهر مما تقد</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 ضعف جميع الطرق</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إما من خلال جهالة بعض رواتها</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كما في </w:t>
      </w:r>
      <w:r w:rsidRPr="006571AC">
        <w:rPr>
          <w:rFonts w:ascii="Simplified Arabic" w:hAnsi="Simplified Arabic" w:cs="AL-Mohanad" w:hint="cs"/>
          <w:sz w:val="27"/>
          <w:szCs w:val="27"/>
          <w:rtl/>
          <w:lang w:bidi="ar-IQ"/>
        </w:rPr>
        <w:t>الأسانيد الثلاثة</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الأولى</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من خلال ال</w:t>
      </w:r>
      <w:r w:rsidR="00575ADF"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رسال</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كما في الطرق الثلاثة الأخيرة</w:t>
      </w:r>
      <w:r w:rsidR="00575ADF"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rPr>
        <w:t>فيكون الحديث ساقطاً عن الاعتبار عند الإمامي</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ة. </w:t>
      </w:r>
    </w:p>
    <w:p w:rsidR="005A03A8" w:rsidRPr="006571AC" w:rsidRDefault="005A03A8" w:rsidP="00EA6070">
      <w:pPr>
        <w:pStyle w:val="afffffff6"/>
        <w:bidi/>
        <w:spacing w:line="384"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وأضعف هذه الأخبار هو الأخير المروي</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في عوالي الل</w:t>
      </w:r>
      <w:r w:rsidRPr="006571AC">
        <w:rPr>
          <w:rFonts w:ascii="Simplified Arabic" w:hAnsi="Simplified Arabic" w:cs="AL-Mohanad" w:hint="cs"/>
          <w:sz w:val="27"/>
          <w:szCs w:val="27"/>
          <w:rtl/>
        </w:rPr>
        <w:t>آ</w:t>
      </w:r>
      <w:r w:rsidRPr="006571AC">
        <w:rPr>
          <w:rFonts w:ascii="Simplified Arabic" w:hAnsi="Simplified Arabic" w:cs="AL-Mohanad"/>
          <w:sz w:val="27"/>
          <w:szCs w:val="27"/>
          <w:rtl/>
        </w:rPr>
        <w:t>لي</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w:t>
      </w:r>
      <w:r w:rsidRPr="006571AC">
        <w:rPr>
          <w:rFonts w:ascii="Simplified Arabic" w:hAnsi="Simplified Arabic" w:cs="AL-Mohanad" w:hint="cs"/>
          <w:sz w:val="27"/>
          <w:szCs w:val="27"/>
          <w:rtl/>
        </w:rPr>
        <w:t>لاشتماله</w:t>
      </w:r>
      <w:r w:rsidRPr="006571AC">
        <w:rPr>
          <w:rFonts w:ascii="Simplified Arabic" w:hAnsi="Simplified Arabic" w:cs="AL-Mohanad"/>
          <w:sz w:val="27"/>
          <w:szCs w:val="27"/>
          <w:rtl/>
        </w:rPr>
        <w:t xml:space="preserve"> على زيادة [</w:t>
      </w:r>
      <w:r w:rsidRPr="006571AC">
        <w:rPr>
          <w:rFonts w:ascii="Simplified Arabic" w:hAnsi="Simplified Arabic" w:cs="AL-Mohanad"/>
          <w:sz w:val="27"/>
          <w:szCs w:val="27"/>
          <w:rtl/>
          <w:lang w:bidi="ar-IQ"/>
        </w:rPr>
        <w:t>ويقيموا الصلاة</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ويؤتوا الزكاة]</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Pr="006571AC">
        <w:rPr>
          <w:rFonts w:ascii="Simplified Arabic" w:hAnsi="Simplified Arabic" w:cs="AL-Mohanad"/>
          <w:sz w:val="27"/>
          <w:szCs w:val="27"/>
          <w:rtl/>
        </w:rPr>
        <w:t>التي لم ت</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ر</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د</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في متون المصادر الأخرى. </w:t>
      </w:r>
    </w:p>
    <w:p w:rsidR="005A03A8" w:rsidRPr="006571AC" w:rsidRDefault="005A03A8" w:rsidP="00B06E6D">
      <w:pPr>
        <w:pStyle w:val="afffffff6"/>
        <w:bidi/>
        <w:spacing w:line="384"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 xml:space="preserve">ويبدو لي </w:t>
      </w:r>
      <w:r w:rsidR="00575ADF" w:rsidRPr="006571AC">
        <w:rPr>
          <w:rFonts w:ascii="Simplified Arabic" w:hAnsi="Simplified Arabic" w:cs="AL-Mohanad" w:hint="cs"/>
          <w:sz w:val="27"/>
          <w:szCs w:val="27"/>
          <w:rtl/>
        </w:rPr>
        <w:t>أ</w:t>
      </w:r>
      <w:r w:rsidRPr="006571AC">
        <w:rPr>
          <w:rFonts w:ascii="Simplified Arabic" w:hAnsi="Simplified Arabic" w:cs="AL-Mohanad"/>
          <w:sz w:val="27"/>
          <w:szCs w:val="27"/>
          <w:rtl/>
        </w:rPr>
        <w:t>ن هذا الخبر مما تسر</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ب إلينا من </w:t>
      </w:r>
      <w:r w:rsidR="008146BD" w:rsidRPr="006571AC">
        <w:rPr>
          <w:rFonts w:ascii="Simplified Arabic" w:hAnsi="Simplified Arabic" w:cs="AL-Mohanad" w:hint="cs"/>
          <w:sz w:val="27"/>
          <w:szCs w:val="27"/>
          <w:rtl/>
        </w:rPr>
        <w:t>أحاديث</w:t>
      </w:r>
      <w:r w:rsidRPr="006571AC">
        <w:rPr>
          <w:rFonts w:ascii="Simplified Arabic" w:hAnsi="Simplified Arabic" w:cs="AL-Mohanad"/>
          <w:sz w:val="27"/>
          <w:szCs w:val="27"/>
          <w:rtl/>
        </w:rPr>
        <w:t xml:space="preserve"> العام</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ة</w:t>
      </w:r>
      <w:r w:rsidR="00575ADF"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 xml:space="preserve">بقرينة </w:t>
      </w:r>
      <w:r w:rsidR="00575ADF" w:rsidRPr="006571AC">
        <w:rPr>
          <w:rFonts w:ascii="Simplified Arabic" w:hAnsi="Simplified Arabic" w:cs="AL-Mohanad" w:hint="cs"/>
          <w:sz w:val="27"/>
          <w:szCs w:val="27"/>
          <w:rtl/>
        </w:rPr>
        <w:t>أ</w:t>
      </w:r>
      <w:r w:rsidRPr="006571AC">
        <w:rPr>
          <w:rFonts w:ascii="Simplified Arabic" w:hAnsi="Simplified Arabic" w:cs="AL-Mohanad"/>
          <w:sz w:val="27"/>
          <w:szCs w:val="27"/>
          <w:rtl/>
        </w:rPr>
        <w:t>ن</w:t>
      </w:r>
      <w:r w:rsidR="00B06E6D" w:rsidRPr="006571AC">
        <w:rPr>
          <w:rFonts w:ascii="Simplified Arabic" w:hAnsi="Simplified Arabic" w:cs="AL-Mohanad" w:hint="cs"/>
          <w:sz w:val="27"/>
          <w:szCs w:val="27"/>
          <w:rtl/>
        </w:rPr>
        <w:t xml:space="preserve"> الراوي</w:t>
      </w:r>
      <w:r w:rsidR="008146BD" w:rsidRPr="006571AC">
        <w:rPr>
          <w:rFonts w:ascii="Simplified Arabic" w:hAnsi="Simplified Arabic" w:cs="AL-Mohanad" w:hint="cs"/>
          <w:sz w:val="27"/>
          <w:szCs w:val="27"/>
          <w:rtl/>
        </w:rPr>
        <w:t xml:space="preserve"> في</w:t>
      </w:r>
      <w:r w:rsidRPr="006571AC">
        <w:rPr>
          <w:rFonts w:ascii="Simplified Arabic" w:hAnsi="Simplified Arabic" w:cs="AL-Mohanad"/>
          <w:sz w:val="27"/>
          <w:szCs w:val="27"/>
          <w:rtl/>
        </w:rPr>
        <w:t xml:space="preserve"> </w:t>
      </w:r>
      <w:r w:rsidR="008146BD" w:rsidRPr="006571AC">
        <w:rPr>
          <w:rFonts w:ascii="Simplified Arabic" w:hAnsi="Simplified Arabic" w:cs="AL-Mohanad" w:hint="cs"/>
          <w:sz w:val="27"/>
          <w:szCs w:val="27"/>
          <w:rtl/>
        </w:rPr>
        <w:t xml:space="preserve">بعض </w:t>
      </w:r>
      <w:r w:rsidRPr="006571AC">
        <w:rPr>
          <w:rFonts w:ascii="Simplified Arabic" w:hAnsi="Simplified Arabic" w:cs="AL-Mohanad" w:hint="cs"/>
          <w:sz w:val="27"/>
          <w:szCs w:val="27"/>
          <w:rtl/>
        </w:rPr>
        <w:t>الطرق الثلاثة</w:t>
      </w:r>
      <w:r w:rsidRPr="006571AC">
        <w:rPr>
          <w:rFonts w:ascii="Simplified Arabic" w:hAnsi="Simplified Arabic" w:cs="AL-Mohanad"/>
          <w:sz w:val="27"/>
          <w:szCs w:val="27"/>
          <w:rtl/>
        </w:rPr>
        <w:t xml:space="preserve"> الأول</w:t>
      </w:r>
      <w:r w:rsidRPr="006571AC">
        <w:rPr>
          <w:rFonts w:ascii="Simplified Arabic" w:hAnsi="Simplified Arabic" w:cs="AL-Mohanad" w:hint="cs"/>
          <w:sz w:val="27"/>
          <w:szCs w:val="27"/>
          <w:rtl/>
        </w:rPr>
        <w:t>ى</w:t>
      </w:r>
      <w:r w:rsidRPr="006571AC">
        <w:rPr>
          <w:rFonts w:ascii="Simplified Arabic" w:hAnsi="Simplified Arabic" w:cs="AL-Mohanad"/>
          <w:sz w:val="27"/>
          <w:szCs w:val="27"/>
          <w:rtl/>
        </w:rPr>
        <w:t xml:space="preserve"> </w:t>
      </w:r>
      <w:r w:rsidR="008146BD" w:rsidRPr="006571AC">
        <w:rPr>
          <w:rFonts w:ascii="Simplified Arabic" w:hAnsi="Simplified Arabic" w:cs="AL-Mohanad" w:hint="cs"/>
          <w:sz w:val="27"/>
          <w:szCs w:val="27"/>
          <w:rtl/>
        </w:rPr>
        <w:t>هو</w:t>
      </w:r>
      <w:r w:rsidRPr="006571AC">
        <w:rPr>
          <w:rFonts w:ascii="Simplified Arabic" w:hAnsi="Simplified Arabic" w:cs="AL-Mohanad"/>
          <w:sz w:val="27"/>
          <w:szCs w:val="27"/>
          <w:rtl/>
        </w:rPr>
        <w:t xml:space="preserve"> </w:t>
      </w:r>
      <w:r w:rsidRPr="006571AC">
        <w:rPr>
          <w:rFonts w:ascii="Simplified Arabic" w:hAnsi="Simplified Arabic" w:cs="AL-Mohanad" w:hint="cs"/>
          <w:sz w:val="27"/>
          <w:szCs w:val="27"/>
          <w:rtl/>
        </w:rPr>
        <w:t>ا</w:t>
      </w:r>
      <w:r w:rsidRPr="006571AC">
        <w:rPr>
          <w:rFonts w:ascii="Simplified Arabic" w:hAnsi="Simplified Arabic" w:cs="AL-Mohanad"/>
          <w:sz w:val="27"/>
          <w:szCs w:val="27"/>
          <w:rtl/>
        </w:rPr>
        <w:t>بن عب</w:t>
      </w:r>
      <w:r w:rsidR="00B06E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اس </w:t>
      </w:r>
      <w:r w:rsidR="008146BD" w:rsidRPr="006571AC">
        <w:rPr>
          <w:rFonts w:ascii="Simplified Arabic" w:hAnsi="Simplified Arabic" w:cs="AL-Mohanad" w:hint="cs"/>
          <w:sz w:val="27"/>
          <w:szCs w:val="27"/>
          <w:rtl/>
        </w:rPr>
        <w:t>أ</w:t>
      </w:r>
      <w:r w:rsidRPr="006571AC">
        <w:rPr>
          <w:rFonts w:ascii="Simplified Arabic" w:hAnsi="Simplified Arabic" w:cs="AL-Mohanad"/>
          <w:sz w:val="27"/>
          <w:szCs w:val="27"/>
          <w:rtl/>
        </w:rPr>
        <w:t>و</w:t>
      </w:r>
      <w:r w:rsidR="008146BD"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أب</w:t>
      </w:r>
      <w:r w:rsidR="008146BD" w:rsidRPr="006571AC">
        <w:rPr>
          <w:rFonts w:ascii="Simplified Arabic" w:hAnsi="Simplified Arabic" w:cs="AL-Mohanad" w:hint="cs"/>
          <w:sz w:val="27"/>
          <w:szCs w:val="27"/>
          <w:rtl/>
        </w:rPr>
        <w:t>و</w:t>
      </w:r>
      <w:r w:rsidR="008146BD" w:rsidRPr="006571AC">
        <w:rPr>
          <w:rFonts w:ascii="Simplified Arabic" w:hAnsi="Simplified Arabic" w:cs="AL-Mohanad"/>
          <w:sz w:val="27"/>
          <w:szCs w:val="27"/>
          <w:rtl/>
        </w:rPr>
        <w:t xml:space="preserve"> هريرة</w:t>
      </w:r>
      <w:r w:rsidR="008146BD" w:rsidRPr="006571AC">
        <w:rPr>
          <w:rFonts w:ascii="Simplified Arabic" w:hAnsi="Simplified Arabic" w:cs="AL-Mohanad" w:hint="cs"/>
          <w:sz w:val="27"/>
          <w:szCs w:val="27"/>
          <w:rtl/>
        </w:rPr>
        <w:t>، وفي السند</w:t>
      </w:r>
      <w:r w:rsidRPr="006571AC">
        <w:rPr>
          <w:rFonts w:ascii="Simplified Arabic" w:hAnsi="Simplified Arabic" w:cs="AL-Mohanad"/>
          <w:sz w:val="27"/>
          <w:szCs w:val="27"/>
          <w:rtl/>
        </w:rPr>
        <w:t xml:space="preserve"> رواة</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من العام</w:t>
      </w:r>
      <w:r w:rsidR="008146B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ة، </w:t>
      </w:r>
      <w:r w:rsidRPr="006571AC">
        <w:rPr>
          <w:rFonts w:ascii="Simplified Arabic" w:hAnsi="Simplified Arabic" w:cs="AL-Mohanad" w:hint="cs"/>
          <w:sz w:val="27"/>
          <w:szCs w:val="27"/>
          <w:rtl/>
        </w:rPr>
        <w:t>فضلاً عن جهالة أغلب رواتها</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كما تقد</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م</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ويؤي</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د ما ذك</w:t>
      </w:r>
      <w:r w:rsidR="00B06E6D" w:rsidRPr="006571AC">
        <w:rPr>
          <w:rFonts w:ascii="Simplified Arabic" w:hAnsi="Simplified Arabic" w:cs="AL-Mohanad" w:hint="cs"/>
          <w:sz w:val="27"/>
          <w:szCs w:val="27"/>
          <w:rtl/>
        </w:rPr>
        <w:t>َ</w:t>
      </w:r>
      <w:r w:rsidRPr="006571AC">
        <w:rPr>
          <w:rFonts w:ascii="Simplified Arabic" w:hAnsi="Simplified Arabic" w:cs="AL-Mohanad"/>
          <w:sz w:val="27"/>
          <w:szCs w:val="27"/>
          <w:rtl/>
        </w:rPr>
        <w:t>ر</w:t>
      </w:r>
      <w:r w:rsidR="00B06E6D"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ه أن الصدوق قد نقل عن العام</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ة كثيراً في بعض كتبه</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ومنها</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العيون</w:t>
      </w:r>
      <w:r w:rsidR="00052B4D" w:rsidRPr="006571AC">
        <w:rPr>
          <w:rFonts w:ascii="Simplified Arabic" w:hAnsi="Simplified Arabic" w:cs="AL-Mohanad" w:hint="cs"/>
          <w:sz w:val="27"/>
          <w:szCs w:val="27"/>
          <w:rtl/>
        </w:rPr>
        <w:t>، وهو</w:t>
      </w:r>
      <w:r w:rsidRPr="006571AC">
        <w:rPr>
          <w:rFonts w:ascii="Simplified Arabic" w:hAnsi="Simplified Arabic" w:cs="AL-Mohanad"/>
          <w:sz w:val="27"/>
          <w:szCs w:val="27"/>
          <w:rtl/>
        </w:rPr>
        <w:t xml:space="preserve"> مصدر هذا الخبر. </w:t>
      </w:r>
    </w:p>
    <w:p w:rsidR="005A03A8" w:rsidRPr="006571AC" w:rsidRDefault="005A03A8" w:rsidP="00EA6070">
      <w:pPr>
        <w:pStyle w:val="afffffff6"/>
        <w:bidi/>
        <w:spacing w:line="420" w:lineRule="exact"/>
        <w:ind w:firstLine="567"/>
        <w:jc w:val="both"/>
        <w:rPr>
          <w:rFonts w:ascii="Simplified Arabic" w:hAnsi="Simplified Arabic" w:cs="AL-Mohanad"/>
          <w:sz w:val="27"/>
          <w:szCs w:val="27"/>
          <w:rtl/>
        </w:rPr>
      </w:pPr>
    </w:p>
    <w:p w:rsidR="005A03A8" w:rsidRPr="006571AC" w:rsidRDefault="00FB76FC" w:rsidP="00052B4D">
      <w:pPr>
        <w:pStyle w:val="31"/>
        <w:rPr>
          <w:color w:val="auto"/>
          <w:rtl/>
          <w:lang w:bidi="ar-IQ"/>
        </w:rPr>
      </w:pPr>
      <w:bookmarkStart w:id="317" w:name="_Toc114164743"/>
      <w:r w:rsidRPr="006571AC">
        <w:rPr>
          <w:rFonts w:hint="cs"/>
          <w:color w:val="auto"/>
          <w:rtl/>
          <w:lang w:bidi="ar-IQ"/>
        </w:rPr>
        <w:t>ب ـ</w:t>
      </w:r>
      <w:r w:rsidR="005A03A8" w:rsidRPr="006571AC">
        <w:rPr>
          <w:color w:val="auto"/>
          <w:rtl/>
          <w:lang w:bidi="ar-IQ"/>
        </w:rPr>
        <w:t xml:space="preserve"> سند الحديث عند الجمهور</w:t>
      </w:r>
      <w:bookmarkEnd w:id="317"/>
      <w:r w:rsidR="005A03A8" w:rsidRPr="006571AC">
        <w:rPr>
          <w:color w:val="auto"/>
          <w:rtl/>
          <w:lang w:bidi="ar-IQ"/>
        </w:rPr>
        <w:t xml:space="preserve"> </w:t>
      </w:r>
    </w:p>
    <w:p w:rsidR="005A03A8" w:rsidRPr="006571AC" w:rsidRDefault="005A03A8" w:rsidP="00EA6070">
      <w:pPr>
        <w:pStyle w:val="afffffff6"/>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ورد هذا الحديث بطرق متعد</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دة و</w:t>
      </w:r>
      <w:r w:rsidR="00052B4D"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سانيد كثيرة عن النبي</w:t>
      </w:r>
      <w:r w:rsidR="00052B4D" w:rsidRPr="006571AC">
        <w:rPr>
          <w:rFonts w:ascii="Simplified Arabic" w:hAnsi="Simplified Arabic" w:cs="AL-Mohanad" w:hint="cs"/>
          <w:sz w:val="27"/>
          <w:szCs w:val="27"/>
          <w:rtl/>
          <w:lang w:bidi="ar-IQ"/>
        </w:rPr>
        <w:t>ّ</w:t>
      </w:r>
      <w:r w:rsidR="002A2C90" w:rsidRPr="006571AC">
        <w:rPr>
          <w:rFonts w:ascii="Mosawi" w:hAnsi="Mosawi" w:cs="Mosawi"/>
          <w:rtl/>
        </w:rPr>
        <w:t>|</w:t>
      </w:r>
      <w:r w:rsidRPr="006571AC">
        <w:rPr>
          <w:rFonts w:ascii="Simplified Arabic" w:hAnsi="Simplified Arabic" w:cs="AL-Mohanad"/>
          <w:sz w:val="27"/>
          <w:szCs w:val="27"/>
          <w:rtl/>
          <w:lang w:bidi="ar-IQ"/>
        </w:rPr>
        <w:t>،</w:t>
      </w:r>
      <w:r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ور</w:t>
      </w:r>
      <w:r w:rsidR="00D40D1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وي عن خمسة عشر صحابي</w:t>
      </w:r>
      <w:r w:rsidR="00052B4D" w:rsidRPr="006571AC">
        <w:rPr>
          <w:rFonts w:ascii="Simplified Arabic" w:hAnsi="Simplified Arabic" w:cs="AL-Mohanad" w:hint="cs"/>
          <w:sz w:val="27"/>
          <w:szCs w:val="27"/>
          <w:rtl/>
          <w:lang w:bidi="ar-IQ"/>
        </w:rPr>
        <w:t>ّ</w:t>
      </w:r>
      <w:r w:rsidR="00731867" w:rsidRPr="006571AC">
        <w:rPr>
          <w:rFonts w:ascii="Simplified Arabic" w:hAnsi="Simplified Arabic" w:cs="AL-Mohanad"/>
          <w:sz w:val="27"/>
          <w:szCs w:val="27"/>
          <w:rtl/>
          <w:lang w:bidi="ar-IQ"/>
        </w:rPr>
        <w:t>اً</w:t>
      </w:r>
      <w:r w:rsidRPr="006571AC">
        <w:rPr>
          <w:rFonts w:ascii="Simplified Arabic" w:hAnsi="Simplified Arabic" w:cs="AL-Mohanad"/>
          <w:sz w:val="27"/>
          <w:szCs w:val="27"/>
          <w:vertAlign w:val="superscript"/>
          <w:rtl/>
          <w:lang w:bidi="ar-IQ"/>
        </w:rPr>
        <w:t>(</w:t>
      </w:r>
      <w:r w:rsidRPr="006571AC">
        <w:rPr>
          <w:rStyle w:val="ac"/>
          <w:rFonts w:ascii="Simplified Arabic" w:hAnsi="Simplified Arabic" w:cs="AL-Mohanad"/>
          <w:sz w:val="27"/>
          <w:szCs w:val="27"/>
          <w:rtl/>
          <w:lang w:bidi="ar-IQ"/>
        </w:rPr>
        <w:endnoteReference w:id="506"/>
      </w:r>
      <w:r w:rsidRPr="006571AC">
        <w:rPr>
          <w:rFonts w:ascii="Simplified Arabic" w:hAnsi="Simplified Arabic" w:cs="AL-Mohanad"/>
          <w:sz w:val="27"/>
          <w:szCs w:val="27"/>
          <w:vertAlign w:val="superscript"/>
          <w:rtl/>
          <w:lang w:bidi="ar-IQ"/>
        </w:rPr>
        <w:t>)</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w:t>
      </w:r>
      <w:r w:rsidR="00052B4D"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بي هريرة وأنس بن مالك وعمر بن الخط</w:t>
      </w:r>
      <w:r w:rsidR="00B06E6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اب وابنه وغيرهم، وإن</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كان في كثير من الأسانيد نظر</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إلا</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00052B4D"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ن بعضها صحيح ال</w:t>
      </w:r>
      <w:r w:rsidR="00052B4D"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سناد، وهو مت</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فق عليه عندهم</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لروايته في</w:t>
      </w:r>
      <w:r w:rsidR="00052B4D"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ما ي</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سم</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ى بالصحيحين</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وقد اد</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عي تواتره معنى</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vertAlign w:val="superscript"/>
          <w:rtl/>
          <w:lang w:bidi="ar-IQ"/>
        </w:rPr>
        <w:t>(</w:t>
      </w:r>
      <w:r w:rsidRPr="006571AC">
        <w:rPr>
          <w:rStyle w:val="ac"/>
          <w:rFonts w:ascii="Simplified Arabic" w:hAnsi="Simplified Arabic" w:cs="AL-Mohanad"/>
          <w:sz w:val="27"/>
          <w:szCs w:val="27"/>
          <w:rtl/>
          <w:lang w:bidi="ar-IQ"/>
        </w:rPr>
        <w:endnoteReference w:id="507"/>
      </w:r>
      <w:r w:rsidRPr="006571AC">
        <w:rPr>
          <w:rFonts w:ascii="Simplified Arabic" w:hAnsi="Simplified Arabic" w:cs="AL-Mohanad"/>
          <w:sz w:val="27"/>
          <w:szCs w:val="27"/>
          <w:vertAlign w:val="superscript"/>
          <w:rtl/>
          <w:lang w:bidi="ar-IQ"/>
        </w:rPr>
        <w:t>)</w:t>
      </w:r>
      <w:r w:rsidRPr="006571AC">
        <w:rPr>
          <w:rFonts w:ascii="Simplified Arabic" w:hAnsi="Simplified Arabic" w:cs="AL-Mohanad"/>
          <w:sz w:val="27"/>
          <w:szCs w:val="27"/>
          <w:rtl/>
          <w:lang w:bidi="ar-IQ"/>
        </w:rPr>
        <w:t xml:space="preserve">، ومنها: </w:t>
      </w:r>
    </w:p>
    <w:p w:rsidR="005A03A8" w:rsidRPr="006571AC" w:rsidRDefault="005A03A8" w:rsidP="00EA6070">
      <w:pPr>
        <w:pStyle w:val="afffffff6"/>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1ـ ما </w:t>
      </w:r>
      <w:r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 xml:space="preserve">خرجه البخاري بسنده عَنِ ابْنِ عُمَرَ: </w:t>
      </w:r>
      <w:r w:rsidRPr="006571AC">
        <w:rPr>
          <w:rFonts w:cs="AL-Mohanad" w:hint="eastAsia"/>
          <w:sz w:val="24"/>
          <w:szCs w:val="24"/>
          <w:rtl/>
          <w:lang w:bidi="ar-IQ"/>
        </w:rPr>
        <w:t>«</w:t>
      </w:r>
      <w:r w:rsidRPr="006571AC">
        <w:rPr>
          <w:rFonts w:ascii="Simplified Arabic" w:hAnsi="Simplified Arabic" w:cs="AL-Mohanad"/>
          <w:sz w:val="27"/>
          <w:szCs w:val="27"/>
          <w:rtl/>
          <w:lang w:bidi="ar-IQ"/>
        </w:rPr>
        <w:t xml:space="preserve">أَنَّ رَسُولَ </w:t>
      </w:r>
      <w:r w:rsidR="0097633B" w:rsidRPr="006571AC">
        <w:rPr>
          <w:rFonts w:ascii="Simplified Arabic" w:hAnsi="Simplified Arabic" w:cs="AL-Mohanad"/>
          <w:sz w:val="27"/>
          <w:szCs w:val="27"/>
          <w:rtl/>
          <w:lang w:bidi="ar-IQ"/>
        </w:rPr>
        <w:t>الل</w:t>
      </w:r>
      <w:r w:rsidRPr="006571AC">
        <w:rPr>
          <w:rFonts w:ascii="Simplified Arabic" w:hAnsi="Simplified Arabic" w:cs="AL-Mohanad"/>
          <w:sz w:val="27"/>
          <w:szCs w:val="27"/>
          <w:rtl/>
          <w:lang w:bidi="ar-IQ"/>
        </w:rPr>
        <w:t>هِ</w:t>
      </w:r>
      <w:r w:rsidR="00052B4D" w:rsidRPr="006571AC">
        <w:rPr>
          <w:rFonts w:ascii="Mosawi" w:hAnsi="Mosawi" w:cs="Mosawi"/>
          <w:rtl/>
        </w:rPr>
        <w:t>ﷺ</w:t>
      </w:r>
      <w:r w:rsidRPr="006571AC">
        <w:rPr>
          <w:rFonts w:ascii="Simplified Arabic" w:hAnsi="Simplified Arabic" w:cs="AL-Mohanad"/>
          <w:sz w:val="27"/>
          <w:szCs w:val="27"/>
          <w:rtl/>
          <w:lang w:bidi="ar-IQ"/>
        </w:rPr>
        <w:t xml:space="preserve"> قَالَ: أُمِرْتُ أَنْ أُقَاتِلَ النَّاسَ حَتَّى يَشْهَدُوا أَنْ لاَ إِلَهَ إِ</w:t>
      </w:r>
      <w:r w:rsidR="003C2639" w:rsidRPr="006571AC">
        <w:rPr>
          <w:rFonts w:ascii="Simplified Arabic" w:hAnsi="Simplified Arabic" w:cs="AL-Mohanad"/>
          <w:sz w:val="27"/>
          <w:szCs w:val="27"/>
          <w:rtl/>
          <w:lang w:bidi="ar-IQ"/>
        </w:rPr>
        <w:t>لاّ</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0097633B" w:rsidRPr="006571AC">
        <w:rPr>
          <w:rFonts w:ascii="Simplified Arabic" w:hAnsi="Simplified Arabic" w:cs="AL-Mohanad"/>
          <w:sz w:val="27"/>
          <w:szCs w:val="27"/>
          <w:rtl/>
          <w:lang w:bidi="ar-IQ"/>
        </w:rPr>
        <w:t>الل</w:t>
      </w:r>
      <w:r w:rsidRPr="006571AC">
        <w:rPr>
          <w:rFonts w:ascii="Simplified Arabic" w:hAnsi="Simplified Arabic" w:cs="AL-Mohanad"/>
          <w:sz w:val="27"/>
          <w:szCs w:val="27"/>
          <w:rtl/>
          <w:lang w:bidi="ar-IQ"/>
        </w:rPr>
        <w:t>هُ، وَأَنَّ مُحَمَّد</w:t>
      </w:r>
      <w:r w:rsidR="00731867" w:rsidRPr="006571AC">
        <w:rPr>
          <w:rFonts w:ascii="Simplified Arabic" w:hAnsi="Simplified Arabic" w:cs="AL-Mohanad"/>
          <w:sz w:val="27"/>
          <w:szCs w:val="27"/>
          <w:rtl/>
          <w:lang w:bidi="ar-IQ"/>
        </w:rPr>
        <w:t>اً</w:t>
      </w:r>
      <w:r w:rsidRPr="006571AC">
        <w:rPr>
          <w:rFonts w:ascii="Simplified Arabic" w:hAnsi="Simplified Arabic" w:cs="AL-Mohanad"/>
          <w:sz w:val="27"/>
          <w:szCs w:val="27"/>
          <w:rtl/>
          <w:lang w:bidi="ar-IQ"/>
        </w:rPr>
        <w:t xml:space="preserve"> رَسُولُ </w:t>
      </w:r>
      <w:r w:rsidR="0097633B" w:rsidRPr="006571AC">
        <w:rPr>
          <w:rFonts w:ascii="Simplified Arabic" w:hAnsi="Simplified Arabic" w:cs="AL-Mohanad"/>
          <w:sz w:val="27"/>
          <w:szCs w:val="27"/>
          <w:rtl/>
          <w:lang w:bidi="ar-IQ"/>
        </w:rPr>
        <w:t>الل</w:t>
      </w:r>
      <w:r w:rsidRPr="006571AC">
        <w:rPr>
          <w:rFonts w:ascii="Simplified Arabic" w:hAnsi="Simplified Arabic" w:cs="AL-Mohanad"/>
          <w:sz w:val="27"/>
          <w:szCs w:val="27"/>
          <w:rtl/>
          <w:lang w:bidi="ar-IQ"/>
        </w:rPr>
        <w:t>هِ، وَيُقِيمُوا الصَّلاَةَ، وَيُؤْتُوا الزَّكَاةَ، فَإِذَا فَعَلُوا ذَلِكَ عَصَمُوا مِنِّي دِمَاءَهُمْ وَأَمْوَالَهُمْ إِ</w:t>
      </w:r>
      <w:r w:rsidR="003C2639" w:rsidRPr="006571AC">
        <w:rPr>
          <w:rFonts w:ascii="Simplified Arabic" w:hAnsi="Simplified Arabic" w:cs="AL-Mohanad"/>
          <w:sz w:val="27"/>
          <w:szCs w:val="27"/>
          <w:rtl/>
          <w:lang w:bidi="ar-IQ"/>
        </w:rPr>
        <w:t>لاّ</w:t>
      </w:r>
      <w:r w:rsidRPr="006571AC">
        <w:rPr>
          <w:rFonts w:ascii="Simplified Arabic" w:hAnsi="Simplified Arabic" w:cs="AL-Mohanad"/>
          <w:sz w:val="27"/>
          <w:szCs w:val="27"/>
          <w:rtl/>
          <w:lang w:bidi="ar-IQ"/>
        </w:rPr>
        <w:t xml:space="preserve"> بِحَقِّ الإِسْلاَمِ، وَحِسَابُهُمْ عَلَى </w:t>
      </w:r>
      <w:r w:rsidR="0097633B" w:rsidRPr="006571AC">
        <w:rPr>
          <w:rFonts w:ascii="Simplified Arabic" w:hAnsi="Simplified Arabic" w:cs="AL-Mohanad"/>
          <w:sz w:val="27"/>
          <w:szCs w:val="27"/>
          <w:rtl/>
          <w:lang w:bidi="ar-IQ"/>
        </w:rPr>
        <w:t>الل</w:t>
      </w:r>
      <w:r w:rsidRPr="006571AC">
        <w:rPr>
          <w:rFonts w:ascii="Simplified Arabic" w:hAnsi="Simplified Arabic" w:cs="AL-Mohanad"/>
          <w:sz w:val="27"/>
          <w:szCs w:val="27"/>
          <w:rtl/>
          <w:lang w:bidi="ar-IQ"/>
        </w:rPr>
        <w:t>هِ</w:t>
      </w:r>
      <w:r w:rsidRPr="006571AC">
        <w:rPr>
          <w:rFonts w:cs="AL-Mohanad" w:hint="eastAsia"/>
          <w:sz w:val="24"/>
          <w:szCs w:val="24"/>
          <w:rtl/>
        </w:rPr>
        <w:t>»</w:t>
      </w:r>
      <w:r w:rsidRPr="006571AC">
        <w:rPr>
          <w:rFonts w:ascii="Simplified Arabic" w:hAnsi="Simplified Arabic" w:cs="AL-Mohanad"/>
          <w:sz w:val="27"/>
          <w:szCs w:val="27"/>
          <w:vertAlign w:val="superscript"/>
          <w:rtl/>
          <w:lang w:bidi="ar-IQ"/>
        </w:rPr>
        <w:t>(</w:t>
      </w:r>
      <w:r w:rsidRPr="006571AC">
        <w:rPr>
          <w:rStyle w:val="ac"/>
          <w:rFonts w:ascii="Simplified Arabic" w:hAnsi="Simplified Arabic" w:cs="AL-Mohanad"/>
          <w:sz w:val="27"/>
          <w:szCs w:val="27"/>
          <w:rtl/>
          <w:lang w:bidi="ar-IQ"/>
        </w:rPr>
        <w:endnoteReference w:id="508"/>
      </w:r>
      <w:r w:rsidRPr="006571AC">
        <w:rPr>
          <w:rFonts w:ascii="Simplified Arabic" w:hAnsi="Simplified Arabic" w:cs="AL-Mohanad"/>
          <w:sz w:val="27"/>
          <w:szCs w:val="27"/>
          <w:vertAlign w:val="superscript"/>
          <w:rtl/>
          <w:lang w:bidi="ar-IQ"/>
        </w:rPr>
        <w:t>)</w:t>
      </w:r>
      <w:r w:rsidRPr="006571AC">
        <w:rPr>
          <w:rFonts w:ascii="Simplified Arabic" w:hAnsi="Simplified Arabic" w:cs="AL-Mohanad"/>
          <w:sz w:val="27"/>
          <w:szCs w:val="27"/>
          <w:rtl/>
          <w:lang w:bidi="ar-IQ"/>
        </w:rPr>
        <w:t xml:space="preserve">. </w:t>
      </w:r>
    </w:p>
    <w:p w:rsidR="00EA6070" w:rsidRPr="006571AC" w:rsidRDefault="005A03A8" w:rsidP="00B06E6D">
      <w:pPr>
        <w:pStyle w:val="afffffff6"/>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2ـ ما أخرجه مسلم بسنده عَنْ أَبِي هُرَيْرَةَ، عَنْ رَسُولِ اللهِ</w:t>
      </w:r>
      <w:r w:rsidR="00757271" w:rsidRPr="006571AC">
        <w:rPr>
          <w:rFonts w:ascii="Mosawi" w:hAnsi="Mosawi" w:cs="Mosawi"/>
          <w:rtl/>
        </w:rPr>
        <w:t>ﷺ</w:t>
      </w:r>
      <w:r w:rsidRPr="006571AC">
        <w:rPr>
          <w:rFonts w:ascii="Simplified Arabic" w:hAnsi="Simplified Arabic" w:cs="AL-Mohanad"/>
          <w:sz w:val="27"/>
          <w:szCs w:val="27"/>
          <w:rtl/>
          <w:lang w:bidi="ar-IQ"/>
        </w:rPr>
        <w:t xml:space="preserve"> قَالَ: </w:t>
      </w:r>
      <w:r w:rsidRPr="006571AC">
        <w:rPr>
          <w:rFonts w:cs="AL-Mohanad" w:hint="eastAsia"/>
          <w:sz w:val="24"/>
          <w:szCs w:val="24"/>
          <w:rtl/>
          <w:lang w:bidi="ar-IQ"/>
        </w:rPr>
        <w:t>«</w:t>
      </w:r>
      <w:r w:rsidRPr="006571AC">
        <w:rPr>
          <w:rFonts w:ascii="Simplified Arabic" w:hAnsi="Simplified Arabic" w:cs="AL-Mohanad"/>
          <w:sz w:val="27"/>
          <w:szCs w:val="27"/>
          <w:rtl/>
          <w:lang w:bidi="ar-IQ"/>
        </w:rPr>
        <w:t>أُقَاتِلُ النَّاسَ حَتّ</w:t>
      </w:r>
      <w:r w:rsidR="00757271" w:rsidRPr="006571AC">
        <w:rPr>
          <w:rFonts w:ascii="Simplified Arabic" w:hAnsi="Simplified Arabic" w:cs="AL-Mohanad"/>
          <w:sz w:val="27"/>
          <w:szCs w:val="27"/>
          <w:rtl/>
          <w:lang w:bidi="ar-IQ"/>
        </w:rPr>
        <w:t>َى يَشْهَدُوا أَنْ ل</w:t>
      </w:r>
      <w:r w:rsidRPr="006571AC">
        <w:rPr>
          <w:rFonts w:ascii="Simplified Arabic" w:hAnsi="Simplified Arabic" w:cs="AL-Mohanad"/>
          <w:sz w:val="27"/>
          <w:szCs w:val="27"/>
          <w:rtl/>
          <w:lang w:bidi="ar-IQ"/>
        </w:rPr>
        <w:t>ا</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إِلَهَ إِ</w:t>
      </w:r>
      <w:r w:rsidR="003C2639" w:rsidRPr="006571AC">
        <w:rPr>
          <w:rFonts w:ascii="Simplified Arabic" w:hAnsi="Simplified Arabic" w:cs="AL-Mohanad"/>
          <w:sz w:val="27"/>
          <w:szCs w:val="27"/>
          <w:rtl/>
          <w:lang w:bidi="ar-IQ"/>
        </w:rPr>
        <w:t>لاّ</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اللهُ، وَيُؤْمِنُوا بِي، وَبِمَا جِئْتُ بِهِ، فَإِذَا فَعَلُوا ذَلِكَ عَصَمُوا مِنِّي دِمَاءَهُمْ وَأَمْوَالَهُمْ إِ</w:t>
      </w:r>
      <w:r w:rsidR="003C2639" w:rsidRPr="006571AC">
        <w:rPr>
          <w:rFonts w:ascii="Simplified Arabic" w:hAnsi="Simplified Arabic" w:cs="AL-Mohanad"/>
          <w:sz w:val="27"/>
          <w:szCs w:val="27"/>
          <w:rtl/>
          <w:lang w:bidi="ar-IQ"/>
        </w:rPr>
        <w:t>لاّ</w:t>
      </w:r>
      <w:r w:rsidRPr="006571AC">
        <w:rPr>
          <w:rFonts w:ascii="Simplified Arabic" w:hAnsi="Simplified Arabic" w:cs="AL-Mohanad"/>
          <w:sz w:val="27"/>
          <w:szCs w:val="27"/>
          <w:rtl/>
          <w:lang w:bidi="ar-IQ"/>
        </w:rPr>
        <w:t xml:space="preserve"> بِحَقِّهَا، وَحِسَابُهُمْ عَلَى اللهِ</w:t>
      </w:r>
      <w:r w:rsidRPr="006571AC">
        <w:rPr>
          <w:rFonts w:cs="AL-Mohanad" w:hint="eastAsia"/>
          <w:sz w:val="24"/>
          <w:szCs w:val="24"/>
          <w:rtl/>
        </w:rPr>
        <w:t>»</w:t>
      </w:r>
      <w:r w:rsidRPr="006571AC">
        <w:rPr>
          <w:rFonts w:ascii="Simplified Arabic" w:hAnsi="Simplified Arabic" w:cs="AL-Mohanad"/>
          <w:sz w:val="27"/>
          <w:szCs w:val="27"/>
          <w:vertAlign w:val="superscript"/>
          <w:rtl/>
          <w:lang w:bidi="ar-IQ"/>
        </w:rPr>
        <w:t>(</w:t>
      </w:r>
      <w:r w:rsidRPr="006571AC">
        <w:rPr>
          <w:rStyle w:val="ac"/>
          <w:rFonts w:ascii="Simplified Arabic" w:hAnsi="Simplified Arabic" w:cs="AL-Mohanad"/>
          <w:sz w:val="27"/>
          <w:szCs w:val="27"/>
          <w:rtl/>
          <w:lang w:bidi="ar-IQ"/>
        </w:rPr>
        <w:endnoteReference w:id="509"/>
      </w:r>
      <w:r w:rsidRPr="006571AC">
        <w:rPr>
          <w:rFonts w:ascii="Simplified Arabic" w:hAnsi="Simplified Arabic" w:cs="AL-Mohanad"/>
          <w:sz w:val="27"/>
          <w:szCs w:val="27"/>
          <w:vertAlign w:val="superscript"/>
          <w:rtl/>
          <w:lang w:bidi="ar-IQ"/>
        </w:rPr>
        <w:t>)</w:t>
      </w:r>
      <w:r w:rsidR="00EA6070" w:rsidRPr="006571AC">
        <w:rPr>
          <w:rFonts w:ascii="Simplified Arabic" w:hAnsi="Simplified Arabic" w:cs="AL-Mohanad"/>
          <w:sz w:val="27"/>
          <w:szCs w:val="27"/>
          <w:rtl/>
          <w:lang w:bidi="ar-IQ"/>
        </w:rPr>
        <w:t>.</w:t>
      </w:r>
    </w:p>
    <w:p w:rsidR="005A03A8" w:rsidRPr="006571AC" w:rsidRDefault="005A03A8" w:rsidP="00EA6070">
      <w:pPr>
        <w:pStyle w:val="afffffff6"/>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وعند تتب</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 المصادر الحديثية عند العام</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المصن</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فات والمسانيد والصحاح</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نجد بينها اختلاف</w:t>
      </w:r>
      <w:r w:rsidR="00757271"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واضح</w:t>
      </w:r>
      <w:r w:rsidR="00757271"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من حيث الزيادة والنقصان</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فبعضها يقتصر على ذكر الشهادة بالتوحيد</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وبعضها يضيف الشهادة بالرسالة</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وبعضها يضيف </w:t>
      </w:r>
      <w:r w:rsidR="00757271"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 xml:space="preserve">قامة الصلاة وأكل الذبائح ونحوها. </w:t>
      </w:r>
    </w:p>
    <w:p w:rsidR="005A03A8" w:rsidRPr="006571AC" w:rsidRDefault="005A03A8" w:rsidP="00EA6070">
      <w:pPr>
        <w:autoSpaceDE w:val="0"/>
        <w:autoSpaceDN w:val="0"/>
        <w:adjustRightInd w:val="0"/>
        <w:rPr>
          <w:rFonts w:ascii="Simplified Arabic" w:hAnsi="Simplified Arabic"/>
          <w:sz w:val="27"/>
          <w:rtl/>
          <w:lang w:bidi="ar-IQ"/>
        </w:rPr>
      </w:pPr>
      <w:r w:rsidRPr="006571AC">
        <w:rPr>
          <w:rFonts w:ascii="Simplified Arabic" w:hAnsi="Simplified Arabic" w:hint="cs"/>
          <w:sz w:val="27"/>
          <w:rtl/>
          <w:lang w:bidi="ar-IQ"/>
        </w:rPr>
        <w:lastRenderedPageBreak/>
        <w:t>بَيْدَ</w:t>
      </w:r>
      <w:r w:rsidRPr="006571AC">
        <w:rPr>
          <w:rFonts w:ascii="Simplified Arabic" w:hAnsi="Simplified Arabic"/>
          <w:sz w:val="27"/>
          <w:rtl/>
          <w:lang w:bidi="ar-IQ"/>
        </w:rPr>
        <w:t xml:space="preserve"> </w:t>
      </w:r>
      <w:r w:rsidR="00757271" w:rsidRPr="006571AC">
        <w:rPr>
          <w:rFonts w:ascii="Simplified Arabic" w:hAnsi="Simplified Arabic" w:hint="cs"/>
          <w:sz w:val="27"/>
          <w:rtl/>
          <w:lang w:bidi="ar-IQ"/>
        </w:rPr>
        <w:t>أ</w:t>
      </w:r>
      <w:r w:rsidRPr="006571AC">
        <w:rPr>
          <w:rFonts w:ascii="Simplified Arabic" w:hAnsi="Simplified Arabic"/>
          <w:sz w:val="27"/>
          <w:rtl/>
          <w:lang w:bidi="ar-IQ"/>
        </w:rPr>
        <w:t xml:space="preserve">ن </w:t>
      </w:r>
      <w:r w:rsidRPr="006571AC">
        <w:rPr>
          <w:rFonts w:ascii="Simplified Arabic" w:hAnsi="Simplified Arabic" w:hint="cs"/>
          <w:sz w:val="27"/>
          <w:rtl/>
          <w:lang w:bidi="ar-IQ"/>
        </w:rPr>
        <w:t>الكثير</w:t>
      </w:r>
      <w:r w:rsidRPr="006571AC">
        <w:rPr>
          <w:rFonts w:ascii="Simplified Arabic" w:hAnsi="Simplified Arabic"/>
          <w:sz w:val="27"/>
          <w:rtl/>
          <w:lang w:bidi="ar-IQ"/>
        </w:rPr>
        <w:t xml:space="preserve"> من كبار الأئم</w:t>
      </w:r>
      <w:r w:rsidR="00757271" w:rsidRPr="006571AC">
        <w:rPr>
          <w:rFonts w:ascii="Simplified Arabic" w:hAnsi="Simplified Arabic" w:hint="cs"/>
          <w:sz w:val="27"/>
          <w:rtl/>
          <w:lang w:bidi="ar-IQ"/>
        </w:rPr>
        <w:t>ّ</w:t>
      </w:r>
      <w:r w:rsidRPr="006571AC">
        <w:rPr>
          <w:rFonts w:ascii="Simplified Arabic" w:hAnsi="Simplified Arabic"/>
          <w:sz w:val="27"/>
          <w:rtl/>
          <w:lang w:bidi="ar-IQ"/>
        </w:rPr>
        <w:t>ة والمحد</w:t>
      </w:r>
      <w:r w:rsidR="00757271" w:rsidRPr="006571AC">
        <w:rPr>
          <w:rFonts w:ascii="Simplified Arabic" w:hAnsi="Simplified Arabic" w:hint="cs"/>
          <w:sz w:val="27"/>
          <w:rtl/>
          <w:lang w:bidi="ar-IQ"/>
        </w:rPr>
        <w:t>ِّ</w:t>
      </w:r>
      <w:r w:rsidRPr="006571AC">
        <w:rPr>
          <w:rFonts w:ascii="Simplified Arabic" w:hAnsi="Simplified Arabic"/>
          <w:sz w:val="27"/>
          <w:rtl/>
          <w:lang w:bidi="ar-IQ"/>
        </w:rPr>
        <w:t>ثين قد اقتصروا في نقل الحديث على الشهادة بالتوحيد</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وأهملوا سائر الإضافات</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مما ي</w:t>
      </w:r>
      <w:r w:rsidR="00757271" w:rsidRPr="006571AC">
        <w:rPr>
          <w:rFonts w:ascii="Simplified Arabic" w:hAnsi="Simplified Arabic" w:hint="cs"/>
          <w:sz w:val="27"/>
          <w:rtl/>
          <w:lang w:bidi="ar-IQ"/>
        </w:rPr>
        <w:t>ُ</w:t>
      </w:r>
      <w:r w:rsidRPr="006571AC">
        <w:rPr>
          <w:rFonts w:ascii="Simplified Arabic" w:hAnsi="Simplified Arabic"/>
          <w:sz w:val="27"/>
          <w:rtl/>
          <w:lang w:bidi="ar-IQ"/>
        </w:rPr>
        <w:t>ش</w:t>
      </w:r>
      <w:r w:rsidR="00757271" w:rsidRPr="006571AC">
        <w:rPr>
          <w:rFonts w:ascii="Simplified Arabic" w:hAnsi="Simplified Arabic" w:hint="cs"/>
          <w:sz w:val="27"/>
          <w:rtl/>
          <w:lang w:bidi="ar-IQ"/>
        </w:rPr>
        <w:t>ْ</w:t>
      </w:r>
      <w:r w:rsidRPr="006571AC">
        <w:rPr>
          <w:rFonts w:ascii="Simplified Arabic" w:hAnsi="Simplified Arabic"/>
          <w:sz w:val="27"/>
          <w:rtl/>
          <w:lang w:bidi="ar-IQ"/>
        </w:rPr>
        <w:t>ع</w:t>
      </w:r>
      <w:r w:rsidR="00757271" w:rsidRPr="006571AC">
        <w:rPr>
          <w:rFonts w:ascii="Simplified Arabic" w:hAnsi="Simplified Arabic" w:hint="cs"/>
          <w:sz w:val="27"/>
          <w:rtl/>
          <w:lang w:bidi="ar-IQ"/>
        </w:rPr>
        <w:t>ِ</w:t>
      </w:r>
      <w:r w:rsidRPr="006571AC">
        <w:rPr>
          <w:rFonts w:ascii="Simplified Arabic" w:hAnsi="Simplified Arabic"/>
          <w:sz w:val="27"/>
          <w:rtl/>
          <w:lang w:bidi="ar-IQ"/>
        </w:rPr>
        <w:t>ر بض</w:t>
      </w:r>
      <w:r w:rsidR="00B06E6D" w:rsidRPr="006571AC">
        <w:rPr>
          <w:rFonts w:ascii="Simplified Arabic" w:hAnsi="Simplified Arabic" w:hint="cs"/>
          <w:sz w:val="27"/>
          <w:rtl/>
          <w:lang w:bidi="ar-IQ"/>
        </w:rPr>
        <w:t>َ</w:t>
      </w:r>
      <w:r w:rsidRPr="006571AC">
        <w:rPr>
          <w:rFonts w:ascii="Simplified Arabic" w:hAnsi="Simplified Arabic"/>
          <w:sz w:val="27"/>
          <w:rtl/>
          <w:lang w:bidi="ar-IQ"/>
        </w:rPr>
        <w:t>ع</w:t>
      </w:r>
      <w:r w:rsidR="00B06E6D" w:rsidRPr="006571AC">
        <w:rPr>
          <w:rFonts w:ascii="Simplified Arabic" w:hAnsi="Simplified Arabic" w:hint="cs"/>
          <w:sz w:val="27"/>
          <w:rtl/>
          <w:lang w:bidi="ar-IQ"/>
        </w:rPr>
        <w:t>ْ</w:t>
      </w:r>
      <w:r w:rsidRPr="006571AC">
        <w:rPr>
          <w:rFonts w:ascii="Simplified Arabic" w:hAnsi="Simplified Arabic"/>
          <w:sz w:val="27"/>
          <w:rtl/>
          <w:lang w:bidi="ar-IQ"/>
        </w:rPr>
        <w:t>فها وو</w:t>
      </w:r>
      <w:r w:rsidR="00757271" w:rsidRPr="006571AC">
        <w:rPr>
          <w:rFonts w:ascii="Simplified Arabic" w:hAnsi="Simplified Arabic" w:hint="cs"/>
          <w:sz w:val="27"/>
          <w:rtl/>
          <w:lang w:bidi="ar-IQ"/>
        </w:rPr>
        <w:t>َ</w:t>
      </w:r>
      <w:r w:rsidRPr="006571AC">
        <w:rPr>
          <w:rFonts w:ascii="Simplified Arabic" w:hAnsi="Simplified Arabic"/>
          <w:sz w:val="27"/>
          <w:rtl/>
          <w:lang w:bidi="ar-IQ"/>
        </w:rPr>
        <w:t>ه</w:t>
      </w:r>
      <w:r w:rsidR="00757271" w:rsidRPr="006571AC">
        <w:rPr>
          <w:rFonts w:ascii="Simplified Arabic" w:hAnsi="Simplified Arabic" w:hint="cs"/>
          <w:sz w:val="27"/>
          <w:rtl/>
          <w:lang w:bidi="ar-IQ"/>
        </w:rPr>
        <w:t>ْ</w:t>
      </w:r>
      <w:r w:rsidRPr="006571AC">
        <w:rPr>
          <w:rFonts w:ascii="Simplified Arabic" w:hAnsi="Simplified Arabic"/>
          <w:sz w:val="27"/>
          <w:rtl/>
          <w:lang w:bidi="ar-IQ"/>
        </w:rPr>
        <w:t>نها</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Pr="006571AC">
        <w:rPr>
          <w:rFonts w:ascii="Simplified Arabic" w:hAnsi="Simplified Arabic"/>
          <w:sz w:val="27"/>
          <w:rtl/>
        </w:rPr>
        <w:t xml:space="preserve">فقد روى أبو حنيفة عَنْ أَبِي الزُّبَيْرِ، عَنْ جَابِرٍ: أَنَّ رَسُولَ </w:t>
      </w:r>
      <w:r w:rsidR="0097633B" w:rsidRPr="006571AC">
        <w:rPr>
          <w:rFonts w:ascii="Simplified Arabic" w:hAnsi="Simplified Arabic"/>
          <w:sz w:val="27"/>
          <w:rtl/>
        </w:rPr>
        <w:t>الل</w:t>
      </w:r>
      <w:r w:rsidRPr="006571AC">
        <w:rPr>
          <w:rFonts w:ascii="Simplified Arabic" w:hAnsi="Simplified Arabic"/>
          <w:sz w:val="27"/>
          <w:rtl/>
        </w:rPr>
        <w:t>هِ</w:t>
      </w:r>
      <w:r w:rsidR="00757271" w:rsidRPr="006571AC">
        <w:rPr>
          <w:rFonts w:ascii="Mosawi" w:hAnsi="Mosawi" w:cs="Mosawi"/>
          <w:rtl/>
        </w:rPr>
        <w:t>ﷺ</w:t>
      </w:r>
      <w:r w:rsidRPr="006571AC">
        <w:rPr>
          <w:rFonts w:ascii="Simplified Arabic" w:hAnsi="Simplified Arabic" w:hint="cs"/>
          <w:sz w:val="27"/>
          <w:rtl/>
          <w:lang w:bidi="ar-IQ"/>
        </w:rPr>
        <w:t xml:space="preserve"> </w:t>
      </w:r>
      <w:r w:rsidRPr="006571AC">
        <w:rPr>
          <w:rFonts w:ascii="Simplified Arabic" w:hAnsi="Simplified Arabic"/>
          <w:sz w:val="27"/>
          <w:rtl/>
        </w:rPr>
        <w:t xml:space="preserve">قال: </w:t>
      </w:r>
      <w:r w:rsidRPr="006571AC">
        <w:rPr>
          <w:rFonts w:hint="eastAsia"/>
          <w:sz w:val="24"/>
          <w:szCs w:val="24"/>
          <w:rtl/>
        </w:rPr>
        <w:t>«</w:t>
      </w:r>
      <w:r w:rsidRPr="006571AC">
        <w:rPr>
          <w:rFonts w:ascii="Simplified Arabic" w:hAnsi="Simplified Arabic"/>
          <w:sz w:val="27"/>
          <w:rtl/>
        </w:rPr>
        <w:t>أُمِرْتُ أَنْ أُقَاتِ</w:t>
      </w:r>
      <w:r w:rsidR="00757271" w:rsidRPr="006571AC">
        <w:rPr>
          <w:rFonts w:ascii="Simplified Arabic" w:hAnsi="Simplified Arabic"/>
          <w:sz w:val="27"/>
          <w:rtl/>
        </w:rPr>
        <w:t>لَ النَّاسَ حَتَّى يَقُولُوا: ل</w:t>
      </w:r>
      <w:r w:rsidRPr="006571AC">
        <w:rPr>
          <w:rFonts w:ascii="Simplified Arabic" w:hAnsi="Simplified Arabic"/>
          <w:sz w:val="27"/>
          <w:rtl/>
        </w:rPr>
        <w:t>ا</w:t>
      </w:r>
      <w:r w:rsidR="00757271" w:rsidRPr="006571AC">
        <w:rPr>
          <w:rFonts w:ascii="Simplified Arabic" w:hAnsi="Simplified Arabic" w:hint="cs"/>
          <w:sz w:val="27"/>
          <w:rtl/>
        </w:rPr>
        <w:t>َ</w:t>
      </w:r>
      <w:r w:rsidRPr="006571AC">
        <w:rPr>
          <w:rFonts w:ascii="Simplified Arabic" w:hAnsi="Simplified Arabic"/>
          <w:sz w:val="27"/>
          <w:rtl/>
        </w:rPr>
        <w:t xml:space="preserve"> إِلَهَ إِ</w:t>
      </w:r>
      <w:r w:rsidR="003C2639" w:rsidRPr="006571AC">
        <w:rPr>
          <w:rFonts w:ascii="Simplified Arabic" w:hAnsi="Simplified Arabic"/>
          <w:sz w:val="27"/>
          <w:rtl/>
        </w:rPr>
        <w:t>لاّ</w:t>
      </w:r>
      <w:r w:rsidR="00757271" w:rsidRPr="006571AC">
        <w:rPr>
          <w:rFonts w:ascii="Simplified Arabic" w:hAnsi="Simplified Arabic" w:hint="cs"/>
          <w:sz w:val="27"/>
          <w:rtl/>
        </w:rPr>
        <w:t>َ</w:t>
      </w:r>
      <w:r w:rsidRPr="006571AC">
        <w:rPr>
          <w:rFonts w:ascii="Simplified Arabic" w:hAnsi="Simplified Arabic"/>
          <w:sz w:val="27"/>
          <w:rtl/>
        </w:rPr>
        <w:t xml:space="preserve"> </w:t>
      </w:r>
      <w:r w:rsidR="0097633B" w:rsidRPr="006571AC">
        <w:rPr>
          <w:rFonts w:ascii="Simplified Arabic" w:hAnsi="Simplified Arabic"/>
          <w:sz w:val="27"/>
          <w:rtl/>
        </w:rPr>
        <w:t>الل</w:t>
      </w:r>
      <w:r w:rsidRPr="006571AC">
        <w:rPr>
          <w:rFonts w:ascii="Simplified Arabic" w:hAnsi="Simplified Arabic"/>
          <w:sz w:val="27"/>
          <w:rtl/>
        </w:rPr>
        <w:t>هُ، فَإِذَا قَالُوهَا عَصَمُوا مِنِّي دِمَاءَهُمْ وَأَمْوَالَهُمْ إِ</w:t>
      </w:r>
      <w:r w:rsidR="003C2639" w:rsidRPr="006571AC">
        <w:rPr>
          <w:rFonts w:ascii="Simplified Arabic" w:hAnsi="Simplified Arabic"/>
          <w:sz w:val="27"/>
          <w:rtl/>
        </w:rPr>
        <w:t>لاّ</w:t>
      </w:r>
      <w:r w:rsidR="00757271" w:rsidRPr="006571AC">
        <w:rPr>
          <w:rFonts w:ascii="Simplified Arabic" w:hAnsi="Simplified Arabic" w:hint="cs"/>
          <w:sz w:val="27"/>
          <w:rtl/>
        </w:rPr>
        <w:t>َ</w:t>
      </w:r>
      <w:r w:rsidRPr="006571AC">
        <w:rPr>
          <w:rFonts w:ascii="Simplified Arabic" w:hAnsi="Simplified Arabic"/>
          <w:sz w:val="27"/>
          <w:rtl/>
        </w:rPr>
        <w:t xml:space="preserve"> بِحَقِّهَا، وَحِسَابُهُمْ عَلَى </w:t>
      </w:r>
      <w:r w:rsidR="0097633B" w:rsidRPr="006571AC">
        <w:rPr>
          <w:rFonts w:ascii="Simplified Arabic" w:hAnsi="Simplified Arabic"/>
          <w:sz w:val="27"/>
          <w:rtl/>
        </w:rPr>
        <w:t>الل</w:t>
      </w:r>
      <w:r w:rsidRPr="006571AC">
        <w:rPr>
          <w:rFonts w:ascii="Simplified Arabic" w:hAnsi="Simplified Arabic"/>
          <w:sz w:val="27"/>
          <w:rtl/>
        </w:rPr>
        <w:t>هِ عَزَّ وجَلَّ</w:t>
      </w:r>
      <w:r w:rsidRPr="006571AC">
        <w:rPr>
          <w:rFonts w:hint="eastAsia"/>
          <w:sz w:val="24"/>
          <w:szCs w:val="24"/>
          <w:rtl/>
        </w:rPr>
        <w:t>»</w:t>
      </w:r>
      <w:r w:rsidRPr="006571AC">
        <w:rPr>
          <w:rFonts w:ascii="Simplified Arabic" w:hAnsi="Simplified Arabic"/>
          <w:sz w:val="27"/>
          <w:vertAlign w:val="superscript"/>
          <w:rtl/>
        </w:rPr>
        <w:t>(</w:t>
      </w:r>
      <w:r w:rsidRPr="006571AC">
        <w:rPr>
          <w:rStyle w:val="ac"/>
          <w:rFonts w:ascii="Simplified Arabic" w:hAnsi="Simplified Arabic"/>
          <w:sz w:val="27"/>
          <w:rtl/>
        </w:rPr>
        <w:endnoteReference w:id="510"/>
      </w:r>
      <w:r w:rsidRPr="006571AC">
        <w:rPr>
          <w:rFonts w:ascii="Simplified Arabic" w:hAnsi="Simplified Arabic"/>
          <w:sz w:val="27"/>
          <w:vertAlign w:val="superscript"/>
          <w:rtl/>
        </w:rPr>
        <w:t>)</w:t>
      </w:r>
      <w:r w:rsidRPr="006571AC">
        <w:rPr>
          <w:rFonts w:ascii="Simplified Arabic" w:hAnsi="Simplified Arabic"/>
          <w:sz w:val="27"/>
          <w:rtl/>
          <w:lang w:bidi="ar-IQ"/>
        </w:rPr>
        <w:t xml:space="preserve">. </w:t>
      </w:r>
    </w:p>
    <w:p w:rsidR="005A03A8" w:rsidRPr="006571AC" w:rsidRDefault="005A03A8" w:rsidP="00EA6070">
      <w:pPr>
        <w:autoSpaceDE w:val="0"/>
        <w:autoSpaceDN w:val="0"/>
        <w:adjustRightInd w:val="0"/>
        <w:rPr>
          <w:rFonts w:ascii="Simplified Arabic" w:hAnsi="Simplified Arabic"/>
          <w:sz w:val="27"/>
          <w:rtl/>
        </w:rPr>
      </w:pPr>
      <w:r w:rsidRPr="006571AC">
        <w:rPr>
          <w:rFonts w:ascii="Simplified Arabic" w:hAnsi="Simplified Arabic"/>
          <w:sz w:val="27"/>
          <w:rtl/>
          <w:lang w:bidi="ar-IQ"/>
        </w:rPr>
        <w:t>والغريب</w:t>
      </w:r>
      <w:r w:rsidR="00757271" w:rsidRPr="006571AC">
        <w:rPr>
          <w:rFonts w:ascii="Simplified Arabic" w:hAnsi="Simplified Arabic" w:hint="cs"/>
          <w:sz w:val="27"/>
          <w:rtl/>
          <w:lang w:bidi="ar-IQ"/>
        </w:rPr>
        <w:t>ُ أننا،</w:t>
      </w:r>
      <w:r w:rsidRPr="006571AC">
        <w:rPr>
          <w:rFonts w:ascii="Simplified Arabic" w:hAnsi="Simplified Arabic"/>
          <w:sz w:val="27"/>
          <w:rtl/>
          <w:lang w:bidi="ar-IQ"/>
        </w:rPr>
        <w:t xml:space="preserve"> رغم كثرة تخريجه في المسانيد والمصن</w:t>
      </w:r>
      <w:r w:rsidR="00757271" w:rsidRPr="006571AC">
        <w:rPr>
          <w:rFonts w:ascii="Simplified Arabic" w:hAnsi="Simplified Arabic" w:hint="cs"/>
          <w:sz w:val="27"/>
          <w:rtl/>
          <w:lang w:bidi="ar-IQ"/>
        </w:rPr>
        <w:t>َّ</w:t>
      </w:r>
      <w:r w:rsidRPr="006571AC">
        <w:rPr>
          <w:rFonts w:ascii="Simplified Arabic" w:hAnsi="Simplified Arabic"/>
          <w:sz w:val="27"/>
          <w:rtl/>
          <w:lang w:bidi="ar-IQ"/>
        </w:rPr>
        <w:t>فات وكتب الصحاح</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نجد أن مالك بن أنس إمام المذهب المالكي قد أسقط تخريجه في موط</w:t>
      </w:r>
      <w:r w:rsidR="00757271" w:rsidRPr="006571AC">
        <w:rPr>
          <w:rFonts w:ascii="Simplified Arabic" w:hAnsi="Simplified Arabic" w:hint="cs"/>
          <w:sz w:val="27"/>
          <w:rtl/>
          <w:lang w:bidi="ar-IQ"/>
        </w:rPr>
        <w:t>ّ</w:t>
      </w:r>
      <w:r w:rsidRPr="006571AC">
        <w:rPr>
          <w:rFonts w:ascii="Simplified Arabic" w:hAnsi="Simplified Arabic"/>
          <w:sz w:val="27"/>
          <w:rtl/>
          <w:lang w:bidi="ar-IQ"/>
        </w:rPr>
        <w:t>أه</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بعد تهذيبه</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فلم ي</w:t>
      </w:r>
      <w:r w:rsidR="00B06E6D" w:rsidRPr="006571AC">
        <w:rPr>
          <w:rFonts w:ascii="Simplified Arabic" w:hAnsi="Simplified Arabic" w:hint="cs"/>
          <w:sz w:val="27"/>
          <w:rtl/>
          <w:lang w:bidi="ar-IQ"/>
        </w:rPr>
        <w:t>ُ</w:t>
      </w:r>
      <w:r w:rsidRPr="006571AC">
        <w:rPr>
          <w:rFonts w:ascii="Simplified Arabic" w:hAnsi="Simplified Arabic"/>
          <w:sz w:val="27"/>
          <w:rtl/>
          <w:lang w:bidi="ar-IQ"/>
        </w:rPr>
        <w:t>ذ</w:t>
      </w:r>
      <w:r w:rsidR="00B06E6D" w:rsidRPr="006571AC">
        <w:rPr>
          <w:rFonts w:ascii="Simplified Arabic" w:hAnsi="Simplified Arabic" w:hint="cs"/>
          <w:sz w:val="27"/>
          <w:rtl/>
          <w:lang w:bidi="ar-IQ"/>
        </w:rPr>
        <w:t>ْ</w:t>
      </w:r>
      <w:r w:rsidRPr="006571AC">
        <w:rPr>
          <w:rFonts w:ascii="Simplified Arabic" w:hAnsi="Simplified Arabic"/>
          <w:sz w:val="27"/>
          <w:rtl/>
          <w:lang w:bidi="ar-IQ"/>
        </w:rPr>
        <w:t>ك</w:t>
      </w:r>
      <w:r w:rsidR="00B06E6D" w:rsidRPr="006571AC">
        <w:rPr>
          <w:rFonts w:ascii="Simplified Arabic" w:hAnsi="Simplified Arabic" w:hint="cs"/>
          <w:sz w:val="27"/>
          <w:rtl/>
          <w:lang w:bidi="ar-IQ"/>
        </w:rPr>
        <w:t>َ</w:t>
      </w:r>
      <w:r w:rsidRPr="006571AC">
        <w:rPr>
          <w:rFonts w:ascii="Simplified Arabic" w:hAnsi="Simplified Arabic"/>
          <w:sz w:val="27"/>
          <w:rtl/>
          <w:lang w:bidi="ar-IQ"/>
        </w:rPr>
        <w:t>ر إلا</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في نسخة</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أو نسختين من أصل أربعة عشر نسخة ل</w:t>
      </w:r>
      <w:r w:rsidR="004D6998" w:rsidRPr="006571AC">
        <w:rPr>
          <w:rFonts w:ascii="Simplified Arabic" w:hAnsi="Simplified Arabic" w:hint="cs"/>
          <w:sz w:val="27"/>
          <w:rtl/>
          <w:lang w:bidi="ar-IQ"/>
        </w:rPr>
        <w:t>ـ (ا</w:t>
      </w:r>
      <w:r w:rsidRPr="006571AC">
        <w:rPr>
          <w:rFonts w:ascii="Simplified Arabic" w:hAnsi="Simplified Arabic"/>
          <w:sz w:val="27"/>
          <w:rtl/>
          <w:lang w:bidi="ar-IQ"/>
        </w:rPr>
        <w:t>لموط</w:t>
      </w:r>
      <w:r w:rsidR="00757271" w:rsidRPr="006571AC">
        <w:rPr>
          <w:rFonts w:ascii="Simplified Arabic" w:hAnsi="Simplified Arabic" w:hint="cs"/>
          <w:sz w:val="27"/>
          <w:rtl/>
          <w:lang w:bidi="ar-IQ"/>
        </w:rPr>
        <w:t>ّ</w:t>
      </w:r>
      <w:r w:rsidRPr="006571AC">
        <w:rPr>
          <w:rFonts w:ascii="Simplified Arabic" w:hAnsi="Simplified Arabic"/>
          <w:sz w:val="27"/>
          <w:rtl/>
          <w:lang w:bidi="ar-IQ"/>
        </w:rPr>
        <w:t>أ</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Pr="006571AC">
        <w:rPr>
          <w:rFonts w:ascii="Simplified Arabic" w:hAnsi="Simplified Arabic"/>
          <w:sz w:val="27"/>
          <w:rtl/>
        </w:rPr>
        <w:t>وهي نسخة ابن وهب أبو محمد عبد الله بن سلمة الفهري المصري، كما يوجد هذا الحديث في موط</w:t>
      </w:r>
      <w:r w:rsidR="004D6998" w:rsidRPr="006571AC">
        <w:rPr>
          <w:rFonts w:ascii="Simplified Arabic" w:hAnsi="Simplified Arabic" w:hint="cs"/>
          <w:sz w:val="27"/>
          <w:rtl/>
        </w:rPr>
        <w:t>ّ</w:t>
      </w:r>
      <w:r w:rsidRPr="006571AC">
        <w:rPr>
          <w:rFonts w:ascii="Simplified Arabic" w:hAnsi="Simplified Arabic"/>
          <w:sz w:val="27"/>
          <w:rtl/>
        </w:rPr>
        <w:t xml:space="preserve">أ ابن القاسم. </w:t>
      </w:r>
    </w:p>
    <w:p w:rsidR="005A03A8" w:rsidRPr="006571AC" w:rsidRDefault="005A03A8" w:rsidP="00EA6070">
      <w:pPr>
        <w:autoSpaceDE w:val="0"/>
        <w:autoSpaceDN w:val="0"/>
        <w:adjustRightInd w:val="0"/>
        <w:rPr>
          <w:rFonts w:ascii="Simplified Arabic" w:hAnsi="Simplified Arabic"/>
          <w:sz w:val="27"/>
          <w:rtl/>
        </w:rPr>
      </w:pPr>
      <w:r w:rsidRPr="006571AC">
        <w:rPr>
          <w:rFonts w:ascii="Simplified Arabic" w:hAnsi="Simplified Arabic"/>
          <w:sz w:val="27"/>
          <w:rtl/>
        </w:rPr>
        <w:t>وهو نفس مقدار ما رواه أبو حنيفة</w:t>
      </w:r>
      <w:r w:rsidR="004D6998"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sz w:val="27"/>
          <w:rtl/>
          <w:lang w:bidi="ar-IQ"/>
        </w:rPr>
        <w:t>وهذا المقدار هو الذي ي</w:t>
      </w:r>
      <w:r w:rsidR="004D6998" w:rsidRPr="006571AC">
        <w:rPr>
          <w:rFonts w:ascii="Simplified Arabic" w:hAnsi="Simplified Arabic" w:hint="cs"/>
          <w:sz w:val="27"/>
          <w:rtl/>
          <w:lang w:bidi="ar-IQ"/>
        </w:rPr>
        <w:t>ُ</w:t>
      </w:r>
      <w:r w:rsidRPr="006571AC">
        <w:rPr>
          <w:rFonts w:ascii="Simplified Arabic" w:hAnsi="Simplified Arabic"/>
          <w:sz w:val="27"/>
          <w:rtl/>
          <w:lang w:bidi="ar-IQ"/>
        </w:rPr>
        <w:t>ط</w:t>
      </w:r>
      <w:r w:rsidR="00B06E6D" w:rsidRPr="006571AC">
        <w:rPr>
          <w:rFonts w:ascii="Simplified Arabic" w:hAnsi="Simplified Arabic" w:hint="cs"/>
          <w:sz w:val="27"/>
          <w:rtl/>
          <w:lang w:bidi="ar-IQ"/>
        </w:rPr>
        <w:t>ْ</w:t>
      </w:r>
      <w:r w:rsidRPr="006571AC">
        <w:rPr>
          <w:rFonts w:ascii="Simplified Arabic" w:hAnsi="Simplified Arabic"/>
          <w:sz w:val="27"/>
          <w:rtl/>
          <w:lang w:bidi="ar-IQ"/>
        </w:rPr>
        <w:t>م</w:t>
      </w:r>
      <w:r w:rsidR="00B06E6D" w:rsidRPr="006571AC">
        <w:rPr>
          <w:rFonts w:ascii="Simplified Arabic" w:hAnsi="Simplified Arabic" w:hint="cs"/>
          <w:sz w:val="27"/>
          <w:rtl/>
          <w:lang w:bidi="ar-IQ"/>
        </w:rPr>
        <w:t>َ</w:t>
      </w:r>
      <w:r w:rsidR="004D6998" w:rsidRPr="006571AC">
        <w:rPr>
          <w:rFonts w:ascii="Simplified Arabic" w:hAnsi="Simplified Arabic" w:hint="cs"/>
          <w:sz w:val="27"/>
          <w:rtl/>
          <w:lang w:bidi="ar-IQ"/>
        </w:rPr>
        <w:t>أ</w:t>
      </w:r>
      <w:r w:rsidRPr="006571AC">
        <w:rPr>
          <w:rFonts w:ascii="Simplified Arabic" w:hAnsi="Simplified Arabic"/>
          <w:sz w:val="27"/>
          <w:rtl/>
          <w:lang w:bidi="ar-IQ"/>
        </w:rPr>
        <w:t>ن</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بصدوره</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مع كثرة </w:t>
      </w:r>
      <w:r w:rsidR="004D6998" w:rsidRPr="006571AC">
        <w:rPr>
          <w:rFonts w:ascii="Simplified Arabic" w:hAnsi="Simplified Arabic" w:hint="cs"/>
          <w:sz w:val="27"/>
          <w:rtl/>
          <w:lang w:bidi="ar-IQ"/>
        </w:rPr>
        <w:t>أ</w:t>
      </w:r>
      <w:r w:rsidRPr="006571AC">
        <w:rPr>
          <w:rFonts w:ascii="Simplified Arabic" w:hAnsi="Simplified Arabic"/>
          <w:sz w:val="27"/>
          <w:rtl/>
          <w:lang w:bidi="ar-IQ"/>
        </w:rPr>
        <w:t>سانيده وطرقه</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وأما الزيادات فإنها قد أ</w:t>
      </w:r>
      <w:r w:rsidR="004D6998" w:rsidRPr="006571AC">
        <w:rPr>
          <w:rFonts w:ascii="Simplified Arabic" w:hAnsi="Simplified Arabic" w:hint="cs"/>
          <w:sz w:val="27"/>
          <w:rtl/>
          <w:lang w:bidi="ar-IQ"/>
        </w:rPr>
        <w:t>ُ</w:t>
      </w:r>
      <w:r w:rsidRPr="006571AC">
        <w:rPr>
          <w:rFonts w:ascii="Simplified Arabic" w:hAnsi="Simplified Arabic"/>
          <w:sz w:val="27"/>
          <w:rtl/>
          <w:lang w:bidi="ar-IQ"/>
        </w:rPr>
        <w:t>ضيف</w:t>
      </w:r>
      <w:r w:rsidR="00B06E6D" w:rsidRPr="006571AC">
        <w:rPr>
          <w:rFonts w:ascii="Simplified Arabic" w:hAnsi="Simplified Arabic" w:hint="cs"/>
          <w:sz w:val="27"/>
          <w:rtl/>
          <w:lang w:bidi="ar-IQ"/>
        </w:rPr>
        <w:t>َ</w:t>
      </w:r>
      <w:r w:rsidRPr="006571AC">
        <w:rPr>
          <w:rFonts w:ascii="Simplified Arabic" w:hAnsi="Simplified Arabic"/>
          <w:sz w:val="27"/>
          <w:rtl/>
          <w:lang w:bidi="ar-IQ"/>
        </w:rPr>
        <w:t>ت</w:t>
      </w:r>
      <w:r w:rsidR="00B06E6D" w:rsidRPr="006571AC">
        <w:rPr>
          <w:rFonts w:ascii="Simplified Arabic" w:hAnsi="Simplified Arabic" w:hint="cs"/>
          <w:sz w:val="27"/>
          <w:rtl/>
          <w:lang w:bidi="ar-IQ"/>
        </w:rPr>
        <w:t>ْ</w:t>
      </w:r>
      <w:r w:rsidRPr="006571AC">
        <w:rPr>
          <w:rFonts w:ascii="Simplified Arabic" w:hAnsi="Simplified Arabic"/>
          <w:sz w:val="27"/>
          <w:rtl/>
          <w:lang w:bidi="ar-IQ"/>
        </w:rPr>
        <w:t xml:space="preserve"> لأغراض سياسية</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وهي تصحيح قتال ما ي</w:t>
      </w:r>
      <w:r w:rsidR="004D6998" w:rsidRPr="006571AC">
        <w:rPr>
          <w:rFonts w:ascii="Simplified Arabic" w:hAnsi="Simplified Arabic" w:hint="cs"/>
          <w:sz w:val="27"/>
          <w:rtl/>
          <w:lang w:bidi="ar-IQ"/>
        </w:rPr>
        <w:t>ُ</w:t>
      </w:r>
      <w:r w:rsidRPr="006571AC">
        <w:rPr>
          <w:rFonts w:ascii="Simplified Arabic" w:hAnsi="Simplified Arabic"/>
          <w:sz w:val="27"/>
          <w:rtl/>
          <w:lang w:bidi="ar-IQ"/>
        </w:rPr>
        <w:t>سم</w:t>
      </w:r>
      <w:r w:rsidR="004D6998" w:rsidRPr="006571AC">
        <w:rPr>
          <w:rFonts w:ascii="Simplified Arabic" w:hAnsi="Simplified Arabic" w:hint="cs"/>
          <w:sz w:val="27"/>
          <w:rtl/>
          <w:lang w:bidi="ar-IQ"/>
        </w:rPr>
        <w:t>ّ</w:t>
      </w:r>
      <w:r w:rsidRPr="006571AC">
        <w:rPr>
          <w:rFonts w:ascii="Simplified Arabic" w:hAnsi="Simplified Arabic"/>
          <w:sz w:val="27"/>
          <w:rtl/>
          <w:lang w:bidi="ar-IQ"/>
        </w:rPr>
        <w:t>ى ب</w:t>
      </w:r>
      <w:r w:rsidR="004D6998" w:rsidRPr="006571AC">
        <w:rPr>
          <w:rFonts w:ascii="Simplified Arabic" w:hAnsi="Simplified Arabic" w:hint="cs"/>
          <w:sz w:val="27"/>
          <w:rtl/>
          <w:lang w:bidi="ar-IQ"/>
        </w:rPr>
        <w:t>ـ (</w:t>
      </w:r>
      <w:r w:rsidRPr="006571AC">
        <w:rPr>
          <w:rFonts w:ascii="Simplified Arabic" w:hAnsi="Simplified Arabic"/>
          <w:sz w:val="27"/>
          <w:rtl/>
          <w:lang w:bidi="ar-IQ"/>
        </w:rPr>
        <w:t>مانعي الزكاة</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w:t>
      </w:r>
    </w:p>
    <w:p w:rsidR="005A03A8" w:rsidRPr="006571AC" w:rsidRDefault="005A03A8" w:rsidP="00EA6070">
      <w:pPr>
        <w:autoSpaceDE w:val="0"/>
        <w:autoSpaceDN w:val="0"/>
        <w:adjustRightInd w:val="0"/>
        <w:rPr>
          <w:rFonts w:ascii="Simplified Arabic" w:hAnsi="Simplified Arabic"/>
          <w:sz w:val="27"/>
          <w:rtl/>
        </w:rPr>
      </w:pPr>
      <w:r w:rsidRPr="006571AC">
        <w:rPr>
          <w:rFonts w:ascii="Simplified Arabic" w:hAnsi="Simplified Arabic"/>
          <w:sz w:val="27"/>
          <w:rtl/>
        </w:rPr>
        <w:t>والذي يدل</w:t>
      </w:r>
      <w:r w:rsidR="004D6998" w:rsidRPr="006571AC">
        <w:rPr>
          <w:rFonts w:ascii="Simplified Arabic" w:hAnsi="Simplified Arabic" w:hint="cs"/>
          <w:sz w:val="27"/>
          <w:rtl/>
        </w:rPr>
        <w:t>ّ</w:t>
      </w:r>
      <w:r w:rsidRPr="006571AC">
        <w:rPr>
          <w:rFonts w:ascii="Simplified Arabic" w:hAnsi="Simplified Arabic"/>
          <w:sz w:val="27"/>
          <w:rtl/>
        </w:rPr>
        <w:t xml:space="preserve"> على كذب الزيادة أمور عد</w:t>
      </w:r>
      <w:r w:rsidR="004D6998" w:rsidRPr="006571AC">
        <w:rPr>
          <w:rFonts w:ascii="Simplified Arabic" w:hAnsi="Simplified Arabic" w:hint="cs"/>
          <w:sz w:val="27"/>
          <w:rtl/>
        </w:rPr>
        <w:t>ّ</w:t>
      </w:r>
      <w:r w:rsidRPr="006571AC">
        <w:rPr>
          <w:rFonts w:ascii="Simplified Arabic" w:hAnsi="Simplified Arabic"/>
          <w:sz w:val="27"/>
          <w:rtl/>
        </w:rPr>
        <w:t>ة</w:t>
      </w:r>
      <w:r w:rsidR="004D6998" w:rsidRPr="006571AC">
        <w:rPr>
          <w:rFonts w:ascii="Simplified Arabic" w:hAnsi="Simplified Arabic" w:hint="cs"/>
          <w:sz w:val="27"/>
          <w:rtl/>
        </w:rPr>
        <w:t>،</w:t>
      </w:r>
      <w:r w:rsidRPr="006571AC">
        <w:rPr>
          <w:rFonts w:ascii="Simplified Arabic" w:hAnsi="Simplified Arabic"/>
          <w:sz w:val="27"/>
          <w:rtl/>
        </w:rPr>
        <w:t xml:space="preserve"> أهمها: </w:t>
      </w:r>
    </w:p>
    <w:p w:rsidR="005A03A8" w:rsidRPr="006571AC" w:rsidRDefault="005A03A8" w:rsidP="00EA6070">
      <w:pPr>
        <w:autoSpaceDE w:val="0"/>
        <w:autoSpaceDN w:val="0"/>
        <w:adjustRightInd w:val="0"/>
        <w:rPr>
          <w:rFonts w:ascii="Simplified Arabic" w:hAnsi="Simplified Arabic"/>
          <w:sz w:val="27"/>
          <w:rtl/>
        </w:rPr>
      </w:pPr>
      <w:r w:rsidRPr="006571AC">
        <w:rPr>
          <w:rFonts w:ascii="Simplified Arabic" w:hAnsi="Simplified Arabic"/>
          <w:sz w:val="27"/>
          <w:rtl/>
        </w:rPr>
        <w:t xml:space="preserve">1ـ إن أبا بكر لما أراد قتال المخالفين له </w:t>
      </w:r>
      <w:r w:rsidR="004D6998" w:rsidRPr="006571AC">
        <w:rPr>
          <w:rFonts w:ascii="Simplified Arabic" w:hAnsi="Simplified Arabic" w:hint="cs"/>
          <w:sz w:val="27"/>
          <w:rtl/>
        </w:rPr>
        <w:t>ا</w:t>
      </w:r>
      <w:r w:rsidRPr="006571AC">
        <w:rPr>
          <w:rFonts w:ascii="Simplified Arabic" w:hAnsi="Simplified Arabic"/>
          <w:sz w:val="27"/>
          <w:rtl/>
        </w:rPr>
        <w:t>حتج</w:t>
      </w:r>
      <w:r w:rsidR="004D6998" w:rsidRPr="006571AC">
        <w:rPr>
          <w:rFonts w:ascii="Simplified Arabic" w:hAnsi="Simplified Arabic" w:hint="cs"/>
          <w:sz w:val="27"/>
          <w:rtl/>
        </w:rPr>
        <w:t>ّ</w:t>
      </w:r>
      <w:r w:rsidRPr="006571AC">
        <w:rPr>
          <w:rFonts w:ascii="Simplified Arabic" w:hAnsi="Simplified Arabic"/>
          <w:sz w:val="27"/>
          <w:rtl/>
        </w:rPr>
        <w:t xml:space="preserve"> عمر</w:t>
      </w:r>
      <w:r w:rsidRPr="006571AC">
        <w:rPr>
          <w:rFonts w:ascii="Simplified Arabic" w:hAnsi="Simplified Arabic" w:hint="cs"/>
          <w:sz w:val="27"/>
          <w:rtl/>
        </w:rPr>
        <w:t xml:space="preserve"> بن الخط</w:t>
      </w:r>
      <w:r w:rsidR="00B06E6D" w:rsidRPr="006571AC">
        <w:rPr>
          <w:rFonts w:ascii="Simplified Arabic" w:hAnsi="Simplified Arabic" w:hint="cs"/>
          <w:sz w:val="27"/>
          <w:rtl/>
        </w:rPr>
        <w:t>ّ</w:t>
      </w:r>
      <w:r w:rsidRPr="006571AC">
        <w:rPr>
          <w:rFonts w:ascii="Simplified Arabic" w:hAnsi="Simplified Arabic" w:hint="cs"/>
          <w:sz w:val="27"/>
          <w:rtl/>
        </w:rPr>
        <w:t>اب</w:t>
      </w:r>
      <w:r w:rsidRPr="006571AC">
        <w:rPr>
          <w:rFonts w:ascii="Simplified Arabic" w:hAnsi="Simplified Arabic"/>
          <w:sz w:val="27"/>
          <w:rtl/>
        </w:rPr>
        <w:t xml:space="preserve"> عليه بأصل الحديث</w:t>
      </w:r>
      <w:r w:rsidR="004D6998" w:rsidRPr="006571AC">
        <w:rPr>
          <w:rFonts w:ascii="Simplified Arabic" w:hAnsi="Simplified Arabic" w:hint="cs"/>
          <w:sz w:val="27"/>
          <w:rtl/>
        </w:rPr>
        <w:t>،</w:t>
      </w:r>
      <w:r w:rsidRPr="006571AC">
        <w:rPr>
          <w:rFonts w:ascii="Simplified Arabic" w:hAnsi="Simplified Arabic"/>
          <w:sz w:val="27"/>
          <w:rtl/>
        </w:rPr>
        <w:t xml:space="preserve"> من دون الزيادات</w:t>
      </w:r>
      <w:r w:rsidR="004D6998" w:rsidRPr="006571AC">
        <w:rPr>
          <w:rFonts w:ascii="Simplified Arabic" w:hAnsi="Simplified Arabic" w:hint="cs"/>
          <w:sz w:val="27"/>
          <w:rtl/>
        </w:rPr>
        <w:t>.</w:t>
      </w:r>
      <w:r w:rsidRPr="006571AC">
        <w:rPr>
          <w:rFonts w:ascii="Simplified Arabic" w:hAnsi="Simplified Arabic"/>
          <w:sz w:val="27"/>
          <w:rtl/>
        </w:rPr>
        <w:t xml:space="preserve"> فمراد</w:t>
      </w:r>
      <w:r w:rsidR="004D6998" w:rsidRPr="006571AC">
        <w:rPr>
          <w:rFonts w:ascii="Simplified Arabic" w:hAnsi="Simplified Arabic" w:hint="cs"/>
          <w:sz w:val="27"/>
          <w:rtl/>
        </w:rPr>
        <w:t>ُ</w:t>
      </w:r>
      <w:r w:rsidRPr="006571AC">
        <w:rPr>
          <w:rFonts w:ascii="Simplified Arabic" w:hAnsi="Simplified Arabic"/>
          <w:sz w:val="27"/>
          <w:rtl/>
        </w:rPr>
        <w:t xml:space="preserve"> عمر </w:t>
      </w:r>
      <w:r w:rsidR="004D6998" w:rsidRPr="006571AC">
        <w:rPr>
          <w:rFonts w:ascii="Simplified Arabic" w:hAnsi="Simplified Arabic" w:hint="cs"/>
          <w:sz w:val="27"/>
          <w:rtl/>
        </w:rPr>
        <w:t>أ</w:t>
      </w:r>
      <w:r w:rsidRPr="006571AC">
        <w:rPr>
          <w:rFonts w:ascii="Simplified Arabic" w:hAnsi="Simplified Arabic"/>
          <w:sz w:val="27"/>
          <w:rtl/>
        </w:rPr>
        <w:t>ن الشهادة بالتوحيد كافية</w:t>
      </w:r>
      <w:r w:rsidR="004D6998" w:rsidRPr="006571AC">
        <w:rPr>
          <w:rFonts w:ascii="Simplified Arabic" w:hAnsi="Simplified Arabic" w:hint="cs"/>
          <w:sz w:val="27"/>
          <w:rtl/>
        </w:rPr>
        <w:t>ٌ</w:t>
      </w:r>
      <w:r w:rsidRPr="006571AC">
        <w:rPr>
          <w:rFonts w:ascii="Simplified Arabic" w:hAnsi="Simplified Arabic"/>
          <w:sz w:val="27"/>
          <w:rtl/>
        </w:rPr>
        <w:t xml:space="preserve"> في عدم قتالهم، ولو كانت الزيادة صحيحة</w:t>
      </w:r>
      <w:r w:rsidR="004D6998" w:rsidRPr="006571AC">
        <w:rPr>
          <w:rFonts w:ascii="Simplified Arabic" w:hAnsi="Simplified Arabic" w:hint="cs"/>
          <w:sz w:val="27"/>
          <w:rtl/>
        </w:rPr>
        <w:t>ً</w:t>
      </w:r>
      <w:r w:rsidRPr="006571AC">
        <w:rPr>
          <w:rFonts w:ascii="Simplified Arabic" w:hAnsi="Simplified Arabic"/>
          <w:sz w:val="27"/>
          <w:rtl/>
        </w:rPr>
        <w:t xml:space="preserve"> لما صح</w:t>
      </w:r>
      <w:r w:rsidR="004D6998" w:rsidRPr="006571AC">
        <w:rPr>
          <w:rFonts w:ascii="Simplified Arabic" w:hAnsi="Simplified Arabic" w:hint="cs"/>
          <w:sz w:val="27"/>
          <w:rtl/>
        </w:rPr>
        <w:t>ّ</w:t>
      </w:r>
      <w:r w:rsidRPr="006571AC">
        <w:rPr>
          <w:rFonts w:ascii="Simplified Arabic" w:hAnsi="Simplified Arabic"/>
          <w:sz w:val="27"/>
          <w:rtl/>
        </w:rPr>
        <w:t xml:space="preserve"> الاحتجاج</w:t>
      </w:r>
      <w:r w:rsidR="004D6998" w:rsidRPr="006571AC">
        <w:rPr>
          <w:rFonts w:ascii="Simplified Arabic" w:hAnsi="Simplified Arabic" w:hint="cs"/>
          <w:sz w:val="27"/>
          <w:rtl/>
        </w:rPr>
        <w:t>،</w:t>
      </w:r>
      <w:r w:rsidRPr="006571AC">
        <w:rPr>
          <w:rFonts w:ascii="Simplified Arabic" w:hAnsi="Simplified Arabic"/>
          <w:sz w:val="27"/>
          <w:rtl/>
        </w:rPr>
        <w:t xml:space="preserve"> ولكان حج</w:t>
      </w:r>
      <w:r w:rsidR="004D6998" w:rsidRPr="006571AC">
        <w:rPr>
          <w:rFonts w:ascii="Simplified Arabic" w:hAnsi="Simplified Arabic" w:hint="cs"/>
          <w:sz w:val="27"/>
          <w:rtl/>
        </w:rPr>
        <w:t>ّ</w:t>
      </w:r>
      <w:r w:rsidRPr="006571AC">
        <w:rPr>
          <w:rFonts w:ascii="Simplified Arabic" w:hAnsi="Simplified Arabic"/>
          <w:sz w:val="27"/>
          <w:rtl/>
        </w:rPr>
        <w:t>ة</w:t>
      </w:r>
      <w:r w:rsidR="004D6998" w:rsidRPr="006571AC">
        <w:rPr>
          <w:rFonts w:ascii="Simplified Arabic" w:hAnsi="Simplified Arabic" w:hint="cs"/>
          <w:sz w:val="27"/>
          <w:rtl/>
        </w:rPr>
        <w:t>ً</w:t>
      </w:r>
      <w:r w:rsidRPr="006571AC">
        <w:rPr>
          <w:rFonts w:ascii="Simplified Arabic" w:hAnsi="Simplified Arabic"/>
          <w:sz w:val="27"/>
          <w:rtl/>
        </w:rPr>
        <w:t xml:space="preserve"> لأبي بكر على عمر وغيره من المعترضين في تصحيح فعله. </w:t>
      </w:r>
    </w:p>
    <w:p w:rsidR="005A03A8" w:rsidRPr="006571AC" w:rsidRDefault="005A03A8" w:rsidP="00EA6070">
      <w:pPr>
        <w:autoSpaceDE w:val="0"/>
        <w:autoSpaceDN w:val="0"/>
        <w:adjustRightInd w:val="0"/>
        <w:rPr>
          <w:rFonts w:ascii="Simplified Arabic" w:hAnsi="Simplified Arabic"/>
          <w:sz w:val="27"/>
          <w:rtl/>
        </w:rPr>
      </w:pPr>
      <w:r w:rsidRPr="006571AC">
        <w:rPr>
          <w:rFonts w:ascii="Simplified Arabic" w:hAnsi="Simplified Arabic"/>
          <w:sz w:val="27"/>
          <w:rtl/>
        </w:rPr>
        <w:t xml:space="preserve">فقد </w:t>
      </w:r>
      <w:r w:rsidRPr="006571AC">
        <w:rPr>
          <w:rFonts w:ascii="Simplified Arabic" w:hAnsi="Simplified Arabic" w:hint="cs"/>
          <w:sz w:val="27"/>
          <w:rtl/>
        </w:rPr>
        <w:t>أ</w:t>
      </w:r>
      <w:r w:rsidRPr="006571AC">
        <w:rPr>
          <w:rFonts w:ascii="Simplified Arabic" w:hAnsi="Simplified Arabic"/>
          <w:sz w:val="27"/>
          <w:rtl/>
        </w:rPr>
        <w:t>خرج البخاري بسنده عن الزهري</w:t>
      </w:r>
      <w:r w:rsidR="004D6998" w:rsidRPr="006571AC">
        <w:rPr>
          <w:rFonts w:ascii="Simplified Arabic" w:hAnsi="Simplified Arabic" w:hint="cs"/>
          <w:sz w:val="27"/>
          <w:rtl/>
        </w:rPr>
        <w:t>:</w:t>
      </w:r>
      <w:r w:rsidRPr="006571AC">
        <w:rPr>
          <w:rFonts w:ascii="Simplified Arabic" w:hAnsi="Simplified Arabic"/>
          <w:sz w:val="27"/>
          <w:rtl/>
        </w:rPr>
        <w:t xml:space="preserve"> حدثنا عبيد الله بن عبد الله بن عتبة بن مسعود أن أبا هريرة قال: لما توفي رسول الله</w:t>
      </w:r>
      <w:r w:rsidR="002A2C90" w:rsidRPr="006571AC">
        <w:rPr>
          <w:rFonts w:ascii="Mosawi" w:hAnsi="Mosawi" w:cs="Mosawi"/>
          <w:sz w:val="22"/>
          <w:szCs w:val="22"/>
          <w:rtl/>
        </w:rPr>
        <w:t>|</w:t>
      </w:r>
      <w:r w:rsidR="004D6998" w:rsidRPr="006571AC">
        <w:rPr>
          <w:rFonts w:ascii="Simplified Arabic" w:hAnsi="Simplified Arabic" w:hint="cs"/>
          <w:sz w:val="27"/>
          <w:rtl/>
        </w:rPr>
        <w:t>،</w:t>
      </w:r>
      <w:r w:rsidRPr="006571AC">
        <w:rPr>
          <w:rFonts w:ascii="Simplified Arabic" w:hAnsi="Simplified Arabic"/>
          <w:sz w:val="27"/>
          <w:rtl/>
        </w:rPr>
        <w:t xml:space="preserve"> وكان أبو بكر</w:t>
      </w:r>
      <w:r w:rsidR="004D6998" w:rsidRPr="006571AC">
        <w:rPr>
          <w:rFonts w:ascii="Simplified Arabic" w:hAnsi="Simplified Arabic" w:hint="cs"/>
          <w:sz w:val="27"/>
          <w:rtl/>
        </w:rPr>
        <w:t>،</w:t>
      </w:r>
      <w:r w:rsidRPr="006571AC">
        <w:rPr>
          <w:rFonts w:ascii="Simplified Arabic" w:hAnsi="Simplified Arabic"/>
          <w:sz w:val="27"/>
          <w:rtl/>
        </w:rPr>
        <w:t xml:space="preserve"> وكفر م</w:t>
      </w:r>
      <w:r w:rsidR="00B06E6D" w:rsidRPr="006571AC">
        <w:rPr>
          <w:rFonts w:ascii="Simplified Arabic" w:hAnsi="Simplified Arabic" w:hint="cs"/>
          <w:sz w:val="27"/>
          <w:rtl/>
        </w:rPr>
        <w:t>َ</w:t>
      </w:r>
      <w:r w:rsidRPr="006571AC">
        <w:rPr>
          <w:rFonts w:ascii="Simplified Arabic" w:hAnsi="Simplified Arabic"/>
          <w:sz w:val="27"/>
          <w:rtl/>
        </w:rPr>
        <w:t>ن</w:t>
      </w:r>
      <w:r w:rsidR="00B06E6D" w:rsidRPr="006571AC">
        <w:rPr>
          <w:rFonts w:ascii="Simplified Arabic" w:hAnsi="Simplified Arabic" w:hint="cs"/>
          <w:sz w:val="27"/>
          <w:rtl/>
        </w:rPr>
        <w:t>ْ</w:t>
      </w:r>
      <w:r w:rsidRPr="006571AC">
        <w:rPr>
          <w:rFonts w:ascii="Simplified Arabic" w:hAnsi="Simplified Arabic"/>
          <w:sz w:val="27"/>
          <w:rtl/>
        </w:rPr>
        <w:t xml:space="preserve"> كفر من العرب</w:t>
      </w:r>
      <w:r w:rsidR="004D6998" w:rsidRPr="006571AC">
        <w:rPr>
          <w:rFonts w:ascii="Simplified Arabic" w:hAnsi="Simplified Arabic" w:hint="cs"/>
          <w:sz w:val="27"/>
          <w:rtl/>
        </w:rPr>
        <w:t>،</w:t>
      </w:r>
      <w:r w:rsidRPr="006571AC">
        <w:rPr>
          <w:rFonts w:ascii="Simplified Arabic" w:hAnsi="Simplified Arabic"/>
          <w:sz w:val="27"/>
          <w:rtl/>
        </w:rPr>
        <w:t xml:space="preserve"> فقال عمر</w:t>
      </w:r>
      <w:r w:rsidRPr="006571AC">
        <w:rPr>
          <w:rFonts w:ascii="Simplified Arabic" w:hAnsi="Simplified Arabic" w:hint="cs"/>
          <w:sz w:val="27"/>
          <w:rtl/>
        </w:rPr>
        <w:t xml:space="preserve">: </w:t>
      </w:r>
      <w:r w:rsidRPr="006571AC">
        <w:rPr>
          <w:rFonts w:ascii="Simplified Arabic" w:hAnsi="Simplified Arabic"/>
          <w:sz w:val="27"/>
          <w:rtl/>
        </w:rPr>
        <w:t>كيف تقاتل الناس وقد قال رسول الله</w:t>
      </w:r>
      <w:r w:rsidR="002A2C90" w:rsidRPr="006571AC">
        <w:rPr>
          <w:rFonts w:ascii="Mosawi" w:hAnsi="Mosawi" w:cs="Mosawi"/>
          <w:sz w:val="22"/>
          <w:szCs w:val="22"/>
          <w:rtl/>
        </w:rPr>
        <w:t>|</w:t>
      </w:r>
      <w:r w:rsidRPr="006571AC">
        <w:rPr>
          <w:rFonts w:ascii="Simplified Arabic" w:hAnsi="Simplified Arabic"/>
          <w:sz w:val="27"/>
          <w:rtl/>
        </w:rPr>
        <w:t xml:space="preserve">: </w:t>
      </w:r>
      <w:r w:rsidRPr="006571AC">
        <w:rPr>
          <w:rFonts w:hint="eastAsia"/>
          <w:sz w:val="24"/>
          <w:szCs w:val="24"/>
          <w:rtl/>
        </w:rPr>
        <w:t>«</w:t>
      </w:r>
      <w:r w:rsidRPr="006571AC">
        <w:rPr>
          <w:rFonts w:ascii="Simplified Arabic" w:hAnsi="Simplified Arabic"/>
          <w:sz w:val="27"/>
          <w:rtl/>
        </w:rPr>
        <w:t>أ</w:t>
      </w:r>
      <w:r w:rsidR="004D6998" w:rsidRPr="006571AC">
        <w:rPr>
          <w:rFonts w:ascii="Simplified Arabic" w:hAnsi="Simplified Arabic" w:hint="cs"/>
          <w:sz w:val="27"/>
          <w:rtl/>
        </w:rPr>
        <w:t>ُ</w:t>
      </w:r>
      <w:r w:rsidRPr="006571AC">
        <w:rPr>
          <w:rFonts w:ascii="Simplified Arabic" w:hAnsi="Simplified Arabic"/>
          <w:sz w:val="27"/>
          <w:rtl/>
        </w:rPr>
        <w:t>م</w:t>
      </w:r>
      <w:r w:rsidR="00B06E6D" w:rsidRPr="006571AC">
        <w:rPr>
          <w:rFonts w:ascii="Simplified Arabic" w:hAnsi="Simplified Arabic" w:hint="cs"/>
          <w:sz w:val="27"/>
          <w:rtl/>
        </w:rPr>
        <w:t>ِ</w:t>
      </w:r>
      <w:r w:rsidRPr="006571AC">
        <w:rPr>
          <w:rFonts w:ascii="Simplified Arabic" w:hAnsi="Simplified Arabic"/>
          <w:sz w:val="27"/>
          <w:rtl/>
        </w:rPr>
        <w:t>ر</w:t>
      </w:r>
      <w:r w:rsidR="00B06E6D" w:rsidRPr="006571AC">
        <w:rPr>
          <w:rFonts w:ascii="Simplified Arabic" w:hAnsi="Simplified Arabic" w:hint="cs"/>
          <w:sz w:val="27"/>
          <w:rtl/>
        </w:rPr>
        <w:t>ْ</w:t>
      </w:r>
      <w:r w:rsidRPr="006571AC">
        <w:rPr>
          <w:rFonts w:ascii="Simplified Arabic" w:hAnsi="Simplified Arabic"/>
          <w:sz w:val="27"/>
          <w:rtl/>
        </w:rPr>
        <w:t>ت</w:t>
      </w:r>
      <w:r w:rsidR="00B06E6D" w:rsidRPr="006571AC">
        <w:rPr>
          <w:rFonts w:ascii="Simplified Arabic" w:hAnsi="Simplified Arabic" w:hint="cs"/>
          <w:sz w:val="27"/>
          <w:rtl/>
        </w:rPr>
        <w:t>ُ</w:t>
      </w:r>
      <w:r w:rsidRPr="006571AC">
        <w:rPr>
          <w:rFonts w:ascii="Simplified Arabic" w:hAnsi="Simplified Arabic"/>
          <w:sz w:val="27"/>
          <w:rtl/>
        </w:rPr>
        <w:t xml:space="preserve"> أن أقاتل الناس حت</w:t>
      </w:r>
      <w:r w:rsidR="004D6998" w:rsidRPr="006571AC">
        <w:rPr>
          <w:rFonts w:ascii="Simplified Arabic" w:hAnsi="Simplified Arabic" w:hint="cs"/>
          <w:sz w:val="27"/>
          <w:rtl/>
        </w:rPr>
        <w:t>ّ</w:t>
      </w:r>
      <w:r w:rsidRPr="006571AC">
        <w:rPr>
          <w:rFonts w:ascii="Simplified Arabic" w:hAnsi="Simplified Arabic"/>
          <w:sz w:val="27"/>
          <w:rtl/>
        </w:rPr>
        <w:t>ى يقولوا</w:t>
      </w:r>
      <w:r w:rsidR="004D6998" w:rsidRPr="006571AC">
        <w:rPr>
          <w:rFonts w:ascii="Simplified Arabic" w:hAnsi="Simplified Arabic" w:hint="cs"/>
          <w:sz w:val="27"/>
          <w:rtl/>
        </w:rPr>
        <w:t>:</w:t>
      </w:r>
      <w:r w:rsidRPr="006571AC">
        <w:rPr>
          <w:rFonts w:ascii="Simplified Arabic" w:hAnsi="Simplified Arabic"/>
          <w:sz w:val="27"/>
          <w:rtl/>
        </w:rPr>
        <w:t xml:space="preserve"> لا إله إلا</w:t>
      </w:r>
      <w:r w:rsidR="004D6998" w:rsidRPr="006571AC">
        <w:rPr>
          <w:rFonts w:ascii="Simplified Arabic" w:hAnsi="Simplified Arabic" w:hint="cs"/>
          <w:sz w:val="27"/>
          <w:rtl/>
        </w:rPr>
        <w:t>ّ</w:t>
      </w:r>
      <w:r w:rsidRPr="006571AC">
        <w:rPr>
          <w:rFonts w:ascii="Simplified Arabic" w:hAnsi="Simplified Arabic"/>
          <w:sz w:val="27"/>
          <w:rtl/>
        </w:rPr>
        <w:t xml:space="preserve"> الله</w:t>
      </w:r>
      <w:r w:rsidR="004D6998" w:rsidRPr="006571AC">
        <w:rPr>
          <w:rFonts w:ascii="Simplified Arabic" w:hAnsi="Simplified Arabic" w:hint="cs"/>
          <w:sz w:val="27"/>
          <w:rtl/>
        </w:rPr>
        <w:t>،</w:t>
      </w:r>
      <w:r w:rsidRPr="006571AC">
        <w:rPr>
          <w:rFonts w:ascii="Simplified Arabic" w:hAnsi="Simplified Arabic"/>
          <w:sz w:val="27"/>
          <w:rtl/>
        </w:rPr>
        <w:t xml:space="preserve"> فم</w:t>
      </w:r>
      <w:r w:rsidR="004D6998" w:rsidRPr="006571AC">
        <w:rPr>
          <w:rFonts w:ascii="Simplified Arabic" w:hAnsi="Simplified Arabic" w:hint="cs"/>
          <w:sz w:val="27"/>
          <w:rtl/>
        </w:rPr>
        <w:t>َ</w:t>
      </w:r>
      <w:r w:rsidRPr="006571AC">
        <w:rPr>
          <w:rFonts w:ascii="Simplified Arabic" w:hAnsi="Simplified Arabic"/>
          <w:sz w:val="27"/>
          <w:rtl/>
        </w:rPr>
        <w:t>ن</w:t>
      </w:r>
      <w:r w:rsidR="004D6998" w:rsidRPr="006571AC">
        <w:rPr>
          <w:rFonts w:ascii="Simplified Arabic" w:hAnsi="Simplified Arabic" w:hint="cs"/>
          <w:sz w:val="27"/>
          <w:rtl/>
        </w:rPr>
        <w:t>ْ</w:t>
      </w:r>
      <w:r w:rsidRPr="006571AC">
        <w:rPr>
          <w:rFonts w:ascii="Simplified Arabic" w:hAnsi="Simplified Arabic"/>
          <w:sz w:val="27"/>
          <w:rtl/>
        </w:rPr>
        <w:t xml:space="preserve"> قالها فقد عصم من</w:t>
      </w:r>
      <w:r w:rsidR="004D6998" w:rsidRPr="006571AC">
        <w:rPr>
          <w:rFonts w:ascii="Simplified Arabic" w:hAnsi="Simplified Arabic" w:hint="cs"/>
          <w:sz w:val="27"/>
          <w:rtl/>
        </w:rPr>
        <w:t>ّ</w:t>
      </w:r>
      <w:r w:rsidRPr="006571AC">
        <w:rPr>
          <w:rFonts w:ascii="Simplified Arabic" w:hAnsi="Simplified Arabic"/>
          <w:sz w:val="27"/>
          <w:rtl/>
        </w:rPr>
        <w:t>ي ماله ونفسه إلا</w:t>
      </w:r>
      <w:r w:rsidR="004D6998" w:rsidRPr="006571AC">
        <w:rPr>
          <w:rFonts w:ascii="Simplified Arabic" w:hAnsi="Simplified Arabic" w:hint="cs"/>
          <w:sz w:val="27"/>
          <w:rtl/>
        </w:rPr>
        <w:t>ّ</w:t>
      </w:r>
      <w:r w:rsidRPr="006571AC">
        <w:rPr>
          <w:rFonts w:ascii="Simplified Arabic" w:hAnsi="Simplified Arabic"/>
          <w:sz w:val="27"/>
          <w:rtl/>
        </w:rPr>
        <w:t xml:space="preserve"> بحق</w:t>
      </w:r>
      <w:r w:rsidR="004D6998" w:rsidRPr="006571AC">
        <w:rPr>
          <w:rFonts w:ascii="Simplified Arabic" w:hAnsi="Simplified Arabic" w:hint="cs"/>
          <w:sz w:val="27"/>
          <w:rtl/>
        </w:rPr>
        <w:t>ِّ</w:t>
      </w:r>
      <w:r w:rsidRPr="006571AC">
        <w:rPr>
          <w:rFonts w:ascii="Simplified Arabic" w:hAnsi="Simplified Arabic"/>
          <w:sz w:val="27"/>
          <w:rtl/>
        </w:rPr>
        <w:t>ه</w:t>
      </w:r>
      <w:r w:rsidR="004D6998" w:rsidRPr="006571AC">
        <w:rPr>
          <w:rFonts w:ascii="Simplified Arabic" w:hAnsi="Simplified Arabic" w:hint="cs"/>
          <w:sz w:val="27"/>
          <w:rtl/>
        </w:rPr>
        <w:t>،</w:t>
      </w:r>
      <w:r w:rsidRPr="006571AC">
        <w:rPr>
          <w:rFonts w:ascii="Simplified Arabic" w:hAnsi="Simplified Arabic"/>
          <w:sz w:val="27"/>
          <w:rtl/>
        </w:rPr>
        <w:t xml:space="preserve"> وحساب</w:t>
      </w:r>
      <w:r w:rsidR="004D6998" w:rsidRPr="006571AC">
        <w:rPr>
          <w:rFonts w:ascii="Simplified Arabic" w:hAnsi="Simplified Arabic" w:hint="cs"/>
          <w:sz w:val="27"/>
          <w:rtl/>
        </w:rPr>
        <w:t>ُ</w:t>
      </w:r>
      <w:r w:rsidRPr="006571AC">
        <w:rPr>
          <w:rFonts w:ascii="Simplified Arabic" w:hAnsi="Simplified Arabic"/>
          <w:sz w:val="27"/>
          <w:rtl/>
        </w:rPr>
        <w:t>ه على الله</w:t>
      </w:r>
      <w:r w:rsidRPr="006571AC">
        <w:rPr>
          <w:rFonts w:hint="eastAsia"/>
          <w:sz w:val="24"/>
          <w:szCs w:val="24"/>
          <w:rtl/>
        </w:rPr>
        <w:t>»</w:t>
      </w:r>
      <w:r w:rsidR="004D6998" w:rsidRPr="006571AC">
        <w:rPr>
          <w:rFonts w:ascii="Simplified Arabic" w:hAnsi="Simplified Arabic" w:hint="cs"/>
          <w:sz w:val="27"/>
          <w:rtl/>
        </w:rPr>
        <w:t>؟!</w:t>
      </w:r>
      <w:r w:rsidRPr="006571AC">
        <w:rPr>
          <w:rFonts w:ascii="Simplified Arabic" w:hAnsi="Simplified Arabic"/>
          <w:sz w:val="27"/>
          <w:rtl/>
        </w:rPr>
        <w:t xml:space="preserve"> فقال: والله</w:t>
      </w:r>
      <w:r w:rsidR="004D6998" w:rsidRPr="006571AC">
        <w:rPr>
          <w:rFonts w:ascii="Simplified Arabic" w:hAnsi="Simplified Arabic" w:hint="cs"/>
          <w:sz w:val="27"/>
          <w:rtl/>
        </w:rPr>
        <w:t>ِ،</w:t>
      </w:r>
      <w:r w:rsidRPr="006571AC">
        <w:rPr>
          <w:rFonts w:ascii="Simplified Arabic" w:hAnsi="Simplified Arabic"/>
          <w:sz w:val="27"/>
          <w:rtl/>
        </w:rPr>
        <w:t xml:space="preserve"> لأقاتلن</w:t>
      </w:r>
      <w:r w:rsidR="004D6998" w:rsidRPr="006571AC">
        <w:rPr>
          <w:rFonts w:ascii="Simplified Arabic" w:hAnsi="Simplified Arabic" w:hint="cs"/>
          <w:sz w:val="27"/>
          <w:rtl/>
        </w:rPr>
        <w:t>ّ</w:t>
      </w:r>
      <w:r w:rsidRPr="006571AC">
        <w:rPr>
          <w:rFonts w:ascii="Simplified Arabic" w:hAnsi="Simplified Arabic"/>
          <w:sz w:val="27"/>
          <w:rtl/>
        </w:rPr>
        <w:t xml:space="preserve"> م</w:t>
      </w:r>
      <w:r w:rsidR="00B06E6D" w:rsidRPr="006571AC">
        <w:rPr>
          <w:rFonts w:ascii="Simplified Arabic" w:hAnsi="Simplified Arabic" w:hint="cs"/>
          <w:sz w:val="27"/>
          <w:rtl/>
        </w:rPr>
        <w:t>َ</w:t>
      </w:r>
      <w:r w:rsidRPr="006571AC">
        <w:rPr>
          <w:rFonts w:ascii="Simplified Arabic" w:hAnsi="Simplified Arabic"/>
          <w:sz w:val="27"/>
          <w:rtl/>
        </w:rPr>
        <w:t>ن</w:t>
      </w:r>
      <w:r w:rsidR="00B06E6D" w:rsidRPr="006571AC">
        <w:rPr>
          <w:rFonts w:ascii="Simplified Arabic" w:hAnsi="Simplified Arabic" w:hint="cs"/>
          <w:sz w:val="27"/>
          <w:rtl/>
        </w:rPr>
        <w:t>ْ</w:t>
      </w:r>
      <w:r w:rsidRPr="006571AC">
        <w:rPr>
          <w:rFonts w:ascii="Simplified Arabic" w:hAnsi="Simplified Arabic"/>
          <w:sz w:val="27"/>
          <w:rtl/>
        </w:rPr>
        <w:t xml:space="preserve"> فر</w:t>
      </w:r>
      <w:r w:rsidR="004D6998" w:rsidRPr="006571AC">
        <w:rPr>
          <w:rFonts w:ascii="Simplified Arabic" w:hAnsi="Simplified Arabic" w:hint="cs"/>
          <w:sz w:val="27"/>
          <w:rtl/>
        </w:rPr>
        <w:t>َّ</w:t>
      </w:r>
      <w:r w:rsidRPr="006571AC">
        <w:rPr>
          <w:rFonts w:ascii="Simplified Arabic" w:hAnsi="Simplified Arabic"/>
          <w:sz w:val="27"/>
          <w:rtl/>
        </w:rPr>
        <w:t>ق بين الصلاة والزكاة</w:t>
      </w:r>
      <w:r w:rsidR="004D6998" w:rsidRPr="006571AC">
        <w:rPr>
          <w:rFonts w:ascii="Simplified Arabic" w:hAnsi="Simplified Arabic" w:hint="cs"/>
          <w:sz w:val="27"/>
          <w:rtl/>
        </w:rPr>
        <w:t>؛</w:t>
      </w:r>
      <w:r w:rsidRPr="006571AC">
        <w:rPr>
          <w:rFonts w:ascii="Simplified Arabic" w:hAnsi="Simplified Arabic"/>
          <w:sz w:val="27"/>
          <w:rtl/>
        </w:rPr>
        <w:t xml:space="preserve"> فإن الزكاة حق</w:t>
      </w:r>
      <w:r w:rsidR="004D6998" w:rsidRPr="006571AC">
        <w:rPr>
          <w:rFonts w:ascii="Simplified Arabic" w:hAnsi="Simplified Arabic" w:hint="cs"/>
          <w:sz w:val="27"/>
          <w:rtl/>
        </w:rPr>
        <w:t>ّ</w:t>
      </w:r>
      <w:r w:rsidRPr="006571AC">
        <w:rPr>
          <w:rFonts w:ascii="Simplified Arabic" w:hAnsi="Simplified Arabic"/>
          <w:sz w:val="27"/>
          <w:rtl/>
        </w:rPr>
        <w:t xml:space="preserve"> المال</w:t>
      </w:r>
      <w:r w:rsidR="004D6998" w:rsidRPr="006571AC">
        <w:rPr>
          <w:rFonts w:ascii="Simplified Arabic" w:hAnsi="Simplified Arabic" w:hint="cs"/>
          <w:sz w:val="27"/>
          <w:rtl/>
        </w:rPr>
        <w:t>.</w:t>
      </w:r>
      <w:r w:rsidRPr="006571AC">
        <w:rPr>
          <w:rFonts w:ascii="Simplified Arabic" w:hAnsi="Simplified Arabic"/>
          <w:sz w:val="27"/>
          <w:rtl/>
        </w:rPr>
        <w:t xml:space="preserve"> والله</w:t>
      </w:r>
      <w:r w:rsidR="004D6998" w:rsidRPr="006571AC">
        <w:rPr>
          <w:rFonts w:ascii="Simplified Arabic" w:hAnsi="Simplified Arabic" w:hint="cs"/>
          <w:sz w:val="27"/>
          <w:rtl/>
        </w:rPr>
        <w:t>ِ،</w:t>
      </w:r>
      <w:r w:rsidRPr="006571AC">
        <w:rPr>
          <w:rFonts w:ascii="Simplified Arabic" w:hAnsi="Simplified Arabic"/>
          <w:sz w:val="27"/>
          <w:rtl/>
        </w:rPr>
        <w:t xml:space="preserve"> لو منعوني عناقا</w:t>
      </w:r>
      <w:r w:rsidR="004D6998" w:rsidRPr="006571AC">
        <w:rPr>
          <w:rFonts w:ascii="Simplified Arabic" w:hAnsi="Simplified Arabic" w:hint="cs"/>
          <w:sz w:val="27"/>
          <w:rtl/>
        </w:rPr>
        <w:t>ً</w:t>
      </w:r>
      <w:r w:rsidRPr="006571AC">
        <w:rPr>
          <w:rFonts w:ascii="Simplified Arabic" w:hAnsi="Simplified Arabic"/>
          <w:sz w:val="27"/>
          <w:rtl/>
        </w:rPr>
        <w:t xml:space="preserve"> كانوا يؤد</w:t>
      </w:r>
      <w:r w:rsidR="004D6998" w:rsidRPr="006571AC">
        <w:rPr>
          <w:rFonts w:ascii="Simplified Arabic" w:hAnsi="Simplified Arabic" w:hint="cs"/>
          <w:sz w:val="27"/>
          <w:rtl/>
        </w:rPr>
        <w:t>ّ</w:t>
      </w:r>
      <w:r w:rsidRPr="006571AC">
        <w:rPr>
          <w:rFonts w:ascii="Simplified Arabic" w:hAnsi="Simplified Arabic"/>
          <w:sz w:val="27"/>
          <w:rtl/>
        </w:rPr>
        <w:t>ونها إلى رسول الله</w:t>
      </w:r>
      <w:r w:rsidR="002A2C90" w:rsidRPr="006571AC">
        <w:rPr>
          <w:rFonts w:ascii="Mosawi" w:hAnsi="Mosawi" w:cs="Mosawi"/>
          <w:sz w:val="22"/>
          <w:szCs w:val="22"/>
          <w:rtl/>
        </w:rPr>
        <w:t>|</w:t>
      </w:r>
      <w:r w:rsidRPr="006571AC">
        <w:rPr>
          <w:rFonts w:ascii="Simplified Arabic" w:hAnsi="Simplified Arabic"/>
          <w:sz w:val="27"/>
          <w:rtl/>
        </w:rPr>
        <w:t xml:space="preserve"> لقاتلت</w:t>
      </w:r>
      <w:r w:rsidR="00B06E6D" w:rsidRPr="006571AC">
        <w:rPr>
          <w:rFonts w:ascii="Simplified Arabic" w:hAnsi="Simplified Arabic" w:hint="cs"/>
          <w:sz w:val="27"/>
          <w:rtl/>
        </w:rPr>
        <w:t>ُ</w:t>
      </w:r>
      <w:r w:rsidRPr="006571AC">
        <w:rPr>
          <w:rFonts w:ascii="Simplified Arabic" w:hAnsi="Simplified Arabic"/>
          <w:sz w:val="27"/>
          <w:rtl/>
        </w:rPr>
        <w:t>هم على منعها. قال عمر: فوالله</w:t>
      </w:r>
      <w:r w:rsidR="004D6998" w:rsidRPr="006571AC">
        <w:rPr>
          <w:rFonts w:ascii="Simplified Arabic" w:hAnsi="Simplified Arabic" w:hint="cs"/>
          <w:sz w:val="27"/>
          <w:rtl/>
        </w:rPr>
        <w:t>ِ،</w:t>
      </w:r>
      <w:r w:rsidRPr="006571AC">
        <w:rPr>
          <w:rFonts w:ascii="Simplified Arabic" w:hAnsi="Simplified Arabic"/>
          <w:sz w:val="27"/>
          <w:rtl/>
        </w:rPr>
        <w:t xml:space="preserve"> ما هو إلا</w:t>
      </w:r>
      <w:r w:rsidR="004D6998" w:rsidRPr="006571AC">
        <w:rPr>
          <w:rFonts w:ascii="Simplified Arabic" w:hAnsi="Simplified Arabic" w:hint="cs"/>
          <w:sz w:val="27"/>
          <w:rtl/>
        </w:rPr>
        <w:t>ّ</w:t>
      </w:r>
      <w:r w:rsidRPr="006571AC">
        <w:rPr>
          <w:rFonts w:ascii="Simplified Arabic" w:hAnsi="Simplified Arabic"/>
          <w:sz w:val="27"/>
          <w:rtl/>
        </w:rPr>
        <w:t xml:space="preserve"> أن قد شرح الله صدر أبي بكر </w:t>
      </w:r>
      <w:r w:rsidR="00183287" w:rsidRPr="006571AC">
        <w:rPr>
          <w:rFonts w:ascii="Simplified Arabic" w:hAnsi="Simplified Arabic" w:hint="cs"/>
          <w:sz w:val="27"/>
          <w:rtl/>
        </w:rPr>
        <w:t xml:space="preserve">للقتال، </w:t>
      </w:r>
      <w:r w:rsidRPr="006571AC">
        <w:rPr>
          <w:rFonts w:ascii="Simplified Arabic" w:hAnsi="Simplified Arabic"/>
          <w:sz w:val="27"/>
          <w:rtl/>
        </w:rPr>
        <w:t>فعر</w:t>
      </w:r>
      <w:r w:rsidR="00183287" w:rsidRPr="006571AC">
        <w:rPr>
          <w:rFonts w:ascii="Simplified Arabic" w:hAnsi="Simplified Arabic" w:hint="cs"/>
          <w:sz w:val="27"/>
          <w:rtl/>
        </w:rPr>
        <w:t>َ</w:t>
      </w:r>
      <w:r w:rsidRPr="006571AC">
        <w:rPr>
          <w:rFonts w:ascii="Simplified Arabic" w:hAnsi="Simplified Arabic"/>
          <w:sz w:val="27"/>
          <w:rtl/>
        </w:rPr>
        <w:t>ف</w:t>
      </w:r>
      <w:r w:rsidR="00183287" w:rsidRPr="006571AC">
        <w:rPr>
          <w:rFonts w:ascii="Simplified Arabic" w:hAnsi="Simplified Arabic" w:hint="cs"/>
          <w:sz w:val="27"/>
          <w:rtl/>
        </w:rPr>
        <w:t>ْ</w:t>
      </w:r>
      <w:r w:rsidRPr="006571AC">
        <w:rPr>
          <w:rFonts w:ascii="Simplified Arabic" w:hAnsi="Simplified Arabic"/>
          <w:sz w:val="27"/>
          <w:rtl/>
        </w:rPr>
        <w:t>ت</w:t>
      </w:r>
      <w:r w:rsidR="00183287" w:rsidRPr="006571AC">
        <w:rPr>
          <w:rFonts w:ascii="Simplified Arabic" w:hAnsi="Simplified Arabic" w:hint="cs"/>
          <w:sz w:val="27"/>
          <w:rtl/>
        </w:rPr>
        <w:t>ُ</w:t>
      </w:r>
      <w:r w:rsidRPr="006571AC">
        <w:rPr>
          <w:rFonts w:ascii="Simplified Arabic" w:hAnsi="Simplified Arabic"/>
          <w:sz w:val="27"/>
          <w:rtl/>
        </w:rPr>
        <w:t xml:space="preserve"> أنه الحق</w:t>
      </w:r>
      <w:r w:rsidR="00183287" w:rsidRPr="006571AC">
        <w:rPr>
          <w:rFonts w:ascii="Simplified Arabic" w:hAnsi="Simplified Arabic" w:hint="cs"/>
          <w:sz w:val="27"/>
          <w:rtl/>
        </w:rPr>
        <w:t>ّ</w:t>
      </w:r>
      <w:r w:rsidRPr="006571AC">
        <w:rPr>
          <w:rFonts w:hint="eastAsia"/>
          <w:sz w:val="24"/>
          <w:szCs w:val="24"/>
          <w:rtl/>
        </w:rPr>
        <w:t>»</w:t>
      </w:r>
      <w:r w:rsidRPr="006571AC">
        <w:rPr>
          <w:rFonts w:ascii="Simplified Arabic" w:hAnsi="Simplified Arabic"/>
          <w:sz w:val="27"/>
          <w:vertAlign w:val="superscript"/>
          <w:rtl/>
        </w:rPr>
        <w:t>(</w:t>
      </w:r>
      <w:r w:rsidRPr="006571AC">
        <w:rPr>
          <w:rStyle w:val="ac"/>
          <w:rFonts w:ascii="Simplified Arabic" w:hAnsi="Simplified Arabic"/>
          <w:sz w:val="27"/>
          <w:rtl/>
        </w:rPr>
        <w:endnoteReference w:id="511"/>
      </w:r>
      <w:r w:rsidRPr="006571AC">
        <w:rPr>
          <w:rFonts w:ascii="Simplified Arabic" w:hAnsi="Simplified Arabic"/>
          <w:sz w:val="27"/>
          <w:vertAlign w:val="superscript"/>
          <w:rtl/>
        </w:rPr>
        <w:t>)</w:t>
      </w:r>
      <w:r w:rsidRPr="006571AC">
        <w:rPr>
          <w:rFonts w:ascii="Simplified Arabic" w:hAnsi="Simplified Arabic"/>
          <w:sz w:val="27"/>
          <w:rtl/>
        </w:rPr>
        <w:t xml:space="preserve">.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lastRenderedPageBreak/>
        <w:t>2ـ إن المتن الأصلي مروي</w:t>
      </w:r>
      <w:r w:rsidR="00183287" w:rsidRPr="006571AC">
        <w:rPr>
          <w:rFonts w:ascii="Simplified Arabic" w:hAnsi="Simplified Arabic" w:hint="cs"/>
          <w:sz w:val="27"/>
          <w:rtl/>
        </w:rPr>
        <w:t>ٌّ</w:t>
      </w:r>
      <w:r w:rsidRPr="006571AC">
        <w:rPr>
          <w:rFonts w:ascii="Simplified Arabic" w:hAnsi="Simplified Arabic"/>
          <w:sz w:val="27"/>
          <w:rtl/>
        </w:rPr>
        <w:t xml:space="preserve"> في كثير من الكتب من دون </w:t>
      </w:r>
      <w:r w:rsidRPr="006571AC">
        <w:rPr>
          <w:rFonts w:ascii="Simplified Arabic" w:hAnsi="Simplified Arabic" w:hint="cs"/>
          <w:sz w:val="27"/>
          <w:rtl/>
        </w:rPr>
        <w:t>هذه الزيادات</w:t>
      </w:r>
      <w:r w:rsidRPr="006571AC">
        <w:rPr>
          <w:rFonts w:ascii="Simplified Arabic" w:hAnsi="Simplified Arabic"/>
          <w:sz w:val="27"/>
          <w:rtl/>
        </w:rPr>
        <w:t>، وإنما جاءت الزيادة لتصحيح فعل أبي بكر</w:t>
      </w:r>
      <w:r w:rsidR="00183287"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ت</w:t>
      </w:r>
      <w:r w:rsidR="00183287" w:rsidRPr="006571AC">
        <w:rPr>
          <w:rFonts w:ascii="Simplified Arabic" w:hAnsi="Simplified Arabic" w:hint="cs"/>
          <w:sz w:val="27"/>
          <w:rtl/>
        </w:rPr>
        <w:t>َ</w:t>
      </w:r>
      <w:r w:rsidRPr="006571AC">
        <w:rPr>
          <w:rFonts w:ascii="Simplified Arabic" w:hAnsi="Simplified Arabic" w:hint="cs"/>
          <w:sz w:val="27"/>
          <w:rtl/>
        </w:rPr>
        <w:t>ب</w:t>
      </w:r>
      <w:r w:rsidR="00183287" w:rsidRPr="006571AC">
        <w:rPr>
          <w:rFonts w:ascii="Simplified Arabic" w:hAnsi="Simplified Arabic" w:hint="cs"/>
          <w:sz w:val="27"/>
          <w:rtl/>
        </w:rPr>
        <w:t>َ</w:t>
      </w:r>
      <w:r w:rsidRPr="006571AC">
        <w:rPr>
          <w:rFonts w:ascii="Simplified Arabic" w:hAnsi="Simplified Arabic" w:hint="cs"/>
          <w:sz w:val="27"/>
          <w:rtl/>
        </w:rPr>
        <w:t>عاً لعملية وضع الأخبار الممنهجة في سبيل الانتصار للآراء والمباني الكلامية للمذاهب والف</w:t>
      </w:r>
      <w:r w:rsidR="00183287" w:rsidRPr="006571AC">
        <w:rPr>
          <w:rFonts w:ascii="Simplified Arabic" w:hAnsi="Simplified Arabic" w:hint="cs"/>
          <w:sz w:val="27"/>
          <w:rtl/>
        </w:rPr>
        <w:t>ِ</w:t>
      </w:r>
      <w:r w:rsidRPr="006571AC">
        <w:rPr>
          <w:rFonts w:ascii="Simplified Arabic" w:hAnsi="Simplified Arabic" w:hint="cs"/>
          <w:sz w:val="27"/>
          <w:rtl/>
        </w:rPr>
        <w:t>ر</w:t>
      </w:r>
      <w:r w:rsidR="00183287" w:rsidRPr="006571AC">
        <w:rPr>
          <w:rFonts w:ascii="Simplified Arabic" w:hAnsi="Simplified Arabic" w:hint="cs"/>
          <w:sz w:val="27"/>
          <w:rtl/>
        </w:rPr>
        <w:t>َ</w:t>
      </w:r>
      <w:r w:rsidRPr="006571AC">
        <w:rPr>
          <w:rFonts w:ascii="Simplified Arabic" w:hAnsi="Simplified Arabic" w:hint="cs"/>
          <w:sz w:val="27"/>
          <w:rtl/>
        </w:rPr>
        <w:t>ق</w:t>
      </w:r>
      <w:r w:rsidR="00183287" w:rsidRPr="006571AC">
        <w:rPr>
          <w:rFonts w:ascii="Simplified Arabic" w:hAnsi="Simplified Arabic" w:hint="cs"/>
          <w:sz w:val="27"/>
          <w:rtl/>
        </w:rPr>
        <w:t>.</w:t>
      </w:r>
      <w:r w:rsidRPr="006571AC">
        <w:rPr>
          <w:rFonts w:ascii="Simplified Arabic" w:hAnsi="Simplified Arabic" w:hint="cs"/>
          <w:sz w:val="27"/>
          <w:rtl/>
        </w:rPr>
        <w:t xml:space="preserve"> وهذا الفعل مهما كان م</w:t>
      </w:r>
      <w:r w:rsidR="00183287" w:rsidRPr="006571AC">
        <w:rPr>
          <w:rFonts w:ascii="Simplified Arabic" w:hAnsi="Simplified Arabic" w:hint="cs"/>
          <w:sz w:val="27"/>
          <w:rtl/>
        </w:rPr>
        <w:t>ُ</w:t>
      </w:r>
      <w:r w:rsidRPr="006571AC">
        <w:rPr>
          <w:rFonts w:ascii="Simplified Arabic" w:hAnsi="Simplified Arabic" w:hint="cs"/>
          <w:sz w:val="27"/>
          <w:rtl/>
        </w:rPr>
        <w:t>ح</w:t>
      </w:r>
      <w:r w:rsidR="00183287" w:rsidRPr="006571AC">
        <w:rPr>
          <w:rFonts w:ascii="Simplified Arabic" w:hAnsi="Simplified Arabic" w:hint="cs"/>
          <w:sz w:val="27"/>
          <w:rtl/>
        </w:rPr>
        <w:t>ْ</w:t>
      </w:r>
      <w:r w:rsidRPr="006571AC">
        <w:rPr>
          <w:rFonts w:ascii="Simplified Arabic" w:hAnsi="Simplified Arabic" w:hint="cs"/>
          <w:sz w:val="27"/>
          <w:rtl/>
        </w:rPr>
        <w:t>ك</w:t>
      </w:r>
      <w:r w:rsidR="00183287" w:rsidRPr="006571AC">
        <w:rPr>
          <w:rFonts w:ascii="Simplified Arabic" w:hAnsi="Simplified Arabic" w:hint="cs"/>
          <w:sz w:val="27"/>
          <w:rtl/>
        </w:rPr>
        <w:t>َ</w:t>
      </w:r>
      <w:r w:rsidRPr="006571AC">
        <w:rPr>
          <w:rFonts w:ascii="Simplified Arabic" w:hAnsi="Simplified Arabic" w:hint="cs"/>
          <w:sz w:val="27"/>
          <w:rtl/>
        </w:rPr>
        <w:t>ماً فلا يخلو من ثغرات</w:t>
      </w:r>
      <w:r w:rsidR="00183287" w:rsidRPr="006571AC">
        <w:rPr>
          <w:rFonts w:ascii="Simplified Arabic" w:hAnsi="Simplified Arabic" w:hint="cs"/>
          <w:sz w:val="27"/>
          <w:rtl/>
        </w:rPr>
        <w:t>ٍ</w:t>
      </w:r>
      <w:r w:rsidRPr="006571AC">
        <w:rPr>
          <w:rFonts w:ascii="Simplified Arabic" w:hAnsi="Simplified Arabic" w:hint="cs"/>
          <w:sz w:val="27"/>
          <w:rtl/>
        </w:rPr>
        <w:t xml:space="preserve"> تكشف واقعه</w:t>
      </w:r>
      <w:r w:rsidR="00183287" w:rsidRPr="006571AC">
        <w:rPr>
          <w:rFonts w:ascii="Simplified Arabic" w:hAnsi="Simplified Arabic" w:hint="cs"/>
          <w:sz w:val="27"/>
          <w:rtl/>
        </w:rPr>
        <w:t>،</w:t>
      </w:r>
      <w:r w:rsidRPr="006571AC">
        <w:rPr>
          <w:rFonts w:ascii="Simplified Arabic" w:hAnsi="Simplified Arabic" w:hint="cs"/>
          <w:sz w:val="27"/>
          <w:rtl/>
        </w:rPr>
        <w:t xml:space="preserve"> وتبطل زيفه، فه</w:t>
      </w:r>
      <w:r w:rsidR="00183287" w:rsidRPr="006571AC">
        <w:rPr>
          <w:rFonts w:ascii="Simplified Arabic" w:hAnsi="Simplified Arabic" w:hint="cs"/>
          <w:sz w:val="27"/>
          <w:rtl/>
        </w:rPr>
        <w:t>ُ</w:t>
      </w:r>
      <w:r w:rsidRPr="006571AC">
        <w:rPr>
          <w:rFonts w:ascii="Simplified Arabic" w:hAnsi="Simplified Arabic" w:hint="cs"/>
          <w:sz w:val="27"/>
          <w:rtl/>
        </w:rPr>
        <w:t>م</w:t>
      </w:r>
      <w:r w:rsidR="00183287" w:rsidRPr="006571AC">
        <w:rPr>
          <w:rFonts w:ascii="Simplified Arabic" w:hAnsi="Simplified Arabic" w:hint="cs"/>
          <w:sz w:val="27"/>
          <w:rtl/>
        </w:rPr>
        <w:t>ْ</w:t>
      </w:r>
      <w:r w:rsidRPr="006571AC">
        <w:rPr>
          <w:rFonts w:ascii="Simplified Arabic" w:hAnsi="Simplified Arabic" w:hint="cs"/>
          <w:sz w:val="27"/>
          <w:rtl/>
        </w:rPr>
        <w:t xml:space="preserve"> بفعلهم هذا نسبوا </w:t>
      </w:r>
      <w:r w:rsidRPr="006571AC">
        <w:rPr>
          <w:rFonts w:ascii="Simplified Arabic" w:hAnsi="Simplified Arabic"/>
          <w:sz w:val="27"/>
          <w:rtl/>
        </w:rPr>
        <w:t>الج</w:t>
      </w:r>
      <w:r w:rsidR="00183287" w:rsidRPr="006571AC">
        <w:rPr>
          <w:rFonts w:ascii="Simplified Arabic" w:hAnsi="Simplified Arabic" w:hint="cs"/>
          <w:sz w:val="27"/>
          <w:rtl/>
        </w:rPr>
        <w:t>َ</w:t>
      </w:r>
      <w:r w:rsidRPr="006571AC">
        <w:rPr>
          <w:rFonts w:ascii="Simplified Arabic" w:hAnsi="Simplified Arabic"/>
          <w:sz w:val="27"/>
          <w:rtl/>
        </w:rPr>
        <w:t>ه</w:t>
      </w:r>
      <w:r w:rsidR="00183287" w:rsidRPr="006571AC">
        <w:rPr>
          <w:rFonts w:ascii="Simplified Arabic" w:hAnsi="Simplified Arabic" w:hint="cs"/>
          <w:sz w:val="27"/>
          <w:rtl/>
        </w:rPr>
        <w:t>ْ</w:t>
      </w:r>
      <w:r w:rsidRPr="006571AC">
        <w:rPr>
          <w:rFonts w:ascii="Simplified Arabic" w:hAnsi="Simplified Arabic"/>
          <w:sz w:val="27"/>
          <w:rtl/>
        </w:rPr>
        <w:t xml:space="preserve">ل </w:t>
      </w:r>
      <w:r w:rsidRPr="006571AC">
        <w:rPr>
          <w:rFonts w:ascii="Simplified Arabic" w:hAnsi="Simplified Arabic" w:hint="cs"/>
          <w:sz w:val="27"/>
          <w:rtl/>
        </w:rPr>
        <w:t>بالسن</w:t>
      </w:r>
      <w:r w:rsidR="00183287" w:rsidRPr="006571AC">
        <w:rPr>
          <w:rFonts w:ascii="Simplified Arabic" w:hAnsi="Simplified Arabic" w:hint="cs"/>
          <w:sz w:val="27"/>
          <w:rtl/>
        </w:rPr>
        <w:t>ّ</w:t>
      </w:r>
      <w:r w:rsidRPr="006571AC">
        <w:rPr>
          <w:rFonts w:ascii="Simplified Arabic" w:hAnsi="Simplified Arabic" w:hint="cs"/>
          <w:sz w:val="27"/>
          <w:rtl/>
        </w:rPr>
        <w:t xml:space="preserve">ة إلى الشيخين </w:t>
      </w:r>
      <w:r w:rsidR="00183287" w:rsidRPr="006571AC">
        <w:rPr>
          <w:rFonts w:ascii="Simplified Arabic" w:hAnsi="Simplified Arabic" w:hint="cs"/>
          <w:sz w:val="27"/>
          <w:rtl/>
        </w:rPr>
        <w:t>أ</w:t>
      </w:r>
      <w:r w:rsidRPr="006571AC">
        <w:rPr>
          <w:rFonts w:ascii="Simplified Arabic" w:hAnsi="Simplified Arabic"/>
          <w:sz w:val="27"/>
          <w:rtl/>
        </w:rPr>
        <w:t>بي بكر وعمر</w:t>
      </w:r>
      <w:r w:rsidR="00183287" w:rsidRPr="006571AC">
        <w:rPr>
          <w:rFonts w:ascii="Simplified Arabic" w:hAnsi="Simplified Arabic" w:hint="cs"/>
          <w:sz w:val="27"/>
          <w:rtl/>
        </w:rPr>
        <w:t>؛</w:t>
      </w:r>
      <w:r w:rsidRPr="006571AC">
        <w:rPr>
          <w:rFonts w:ascii="Simplified Arabic" w:hAnsi="Simplified Arabic"/>
          <w:sz w:val="27"/>
          <w:rtl/>
        </w:rPr>
        <w:t xml:space="preserve"> فمن جهة</w:t>
      </w:r>
      <w:r w:rsidR="00183287" w:rsidRPr="006571AC">
        <w:rPr>
          <w:rFonts w:ascii="Simplified Arabic" w:hAnsi="Simplified Arabic" w:hint="cs"/>
          <w:sz w:val="27"/>
          <w:rtl/>
        </w:rPr>
        <w:t>ٍ</w:t>
      </w:r>
      <w:r w:rsidRPr="006571AC">
        <w:rPr>
          <w:rFonts w:ascii="Simplified Arabic" w:hAnsi="Simplified Arabic"/>
          <w:sz w:val="27"/>
          <w:rtl/>
        </w:rPr>
        <w:t xml:space="preserve"> إن عمر قام بب</w:t>
      </w:r>
      <w:r w:rsidR="00B06E6D" w:rsidRPr="006571AC">
        <w:rPr>
          <w:rFonts w:ascii="Simplified Arabic" w:hAnsi="Simplified Arabic" w:hint="cs"/>
          <w:sz w:val="27"/>
          <w:rtl/>
        </w:rPr>
        <w:t>َ</w:t>
      </w:r>
      <w:r w:rsidRPr="006571AC">
        <w:rPr>
          <w:rFonts w:ascii="Simplified Arabic" w:hAnsi="Simplified Arabic"/>
          <w:sz w:val="27"/>
          <w:rtl/>
        </w:rPr>
        <w:t>ت</w:t>
      </w:r>
      <w:r w:rsidR="00B06E6D" w:rsidRPr="006571AC">
        <w:rPr>
          <w:rFonts w:ascii="Simplified Arabic" w:hAnsi="Simplified Arabic" w:hint="cs"/>
          <w:sz w:val="27"/>
          <w:rtl/>
        </w:rPr>
        <w:t>ْ</w:t>
      </w:r>
      <w:r w:rsidRPr="006571AC">
        <w:rPr>
          <w:rFonts w:ascii="Simplified Arabic" w:hAnsi="Simplified Arabic"/>
          <w:sz w:val="27"/>
          <w:rtl/>
        </w:rPr>
        <w:t>ر الحديث والتلاعب به</w:t>
      </w:r>
      <w:r w:rsidR="00183287" w:rsidRPr="006571AC">
        <w:rPr>
          <w:rFonts w:ascii="Simplified Arabic" w:hAnsi="Simplified Arabic" w:hint="cs"/>
          <w:sz w:val="27"/>
          <w:rtl/>
        </w:rPr>
        <w:t>؛</w:t>
      </w:r>
      <w:r w:rsidRPr="006571AC">
        <w:rPr>
          <w:rFonts w:ascii="Simplified Arabic" w:hAnsi="Simplified Arabic"/>
          <w:sz w:val="27"/>
          <w:rtl/>
        </w:rPr>
        <w:t xml:space="preserve"> ومن جهة</w:t>
      </w:r>
      <w:r w:rsidR="00183287" w:rsidRPr="006571AC">
        <w:rPr>
          <w:rFonts w:ascii="Simplified Arabic" w:hAnsi="Simplified Arabic" w:hint="cs"/>
          <w:sz w:val="27"/>
          <w:rtl/>
        </w:rPr>
        <w:t>ٍ</w:t>
      </w:r>
      <w:r w:rsidRPr="006571AC">
        <w:rPr>
          <w:rFonts w:ascii="Simplified Arabic" w:hAnsi="Simplified Arabic"/>
          <w:sz w:val="27"/>
          <w:rtl/>
        </w:rPr>
        <w:t xml:space="preserve"> إن أبا بكر لم يلتفت إلى هذا الب</w:t>
      </w:r>
      <w:r w:rsidR="00B06E6D" w:rsidRPr="006571AC">
        <w:rPr>
          <w:rFonts w:ascii="Simplified Arabic" w:hAnsi="Simplified Arabic" w:hint="cs"/>
          <w:sz w:val="27"/>
          <w:rtl/>
        </w:rPr>
        <w:t>َ</w:t>
      </w:r>
      <w:r w:rsidRPr="006571AC">
        <w:rPr>
          <w:rFonts w:ascii="Simplified Arabic" w:hAnsi="Simplified Arabic"/>
          <w:sz w:val="27"/>
          <w:rtl/>
        </w:rPr>
        <w:t>ت</w:t>
      </w:r>
      <w:r w:rsidR="00B06E6D" w:rsidRPr="006571AC">
        <w:rPr>
          <w:rFonts w:ascii="Simplified Arabic" w:hAnsi="Simplified Arabic" w:hint="cs"/>
          <w:sz w:val="27"/>
          <w:rtl/>
        </w:rPr>
        <w:t>ْ</w:t>
      </w:r>
      <w:r w:rsidRPr="006571AC">
        <w:rPr>
          <w:rFonts w:ascii="Simplified Arabic" w:hAnsi="Simplified Arabic"/>
          <w:sz w:val="27"/>
          <w:rtl/>
        </w:rPr>
        <w:t>ر</w:t>
      </w:r>
      <w:r w:rsidR="00183287" w:rsidRPr="006571AC">
        <w:rPr>
          <w:rFonts w:ascii="Simplified Arabic" w:hAnsi="Simplified Arabic" w:hint="cs"/>
          <w:sz w:val="27"/>
          <w:rtl/>
        </w:rPr>
        <w:t>،</w:t>
      </w:r>
      <w:r w:rsidRPr="006571AC">
        <w:rPr>
          <w:rFonts w:ascii="Simplified Arabic" w:hAnsi="Simplified Arabic"/>
          <w:sz w:val="27"/>
          <w:rtl/>
        </w:rPr>
        <w:t xml:space="preserve"> رغم أهم</w:t>
      </w:r>
      <w:r w:rsidR="00183287" w:rsidRPr="006571AC">
        <w:rPr>
          <w:rFonts w:ascii="Simplified Arabic" w:hAnsi="Simplified Arabic" w:hint="cs"/>
          <w:sz w:val="27"/>
          <w:rtl/>
        </w:rPr>
        <w:t>ّ</w:t>
      </w:r>
      <w:r w:rsidRPr="006571AC">
        <w:rPr>
          <w:rFonts w:ascii="Simplified Arabic" w:hAnsi="Simplified Arabic"/>
          <w:sz w:val="27"/>
          <w:rtl/>
        </w:rPr>
        <w:t xml:space="preserve">يته في </w:t>
      </w:r>
      <w:r w:rsidR="00183287" w:rsidRPr="006571AC">
        <w:rPr>
          <w:rFonts w:ascii="Simplified Arabic" w:hAnsi="Simplified Arabic" w:hint="cs"/>
          <w:sz w:val="27"/>
          <w:rtl/>
        </w:rPr>
        <w:t>إ</w:t>
      </w:r>
      <w:r w:rsidRPr="006571AC">
        <w:rPr>
          <w:rFonts w:ascii="Simplified Arabic" w:hAnsi="Simplified Arabic"/>
          <w:sz w:val="27"/>
          <w:rtl/>
        </w:rPr>
        <w:t>ثبات مشروعية تصر</w:t>
      </w:r>
      <w:r w:rsidR="00183287" w:rsidRPr="006571AC">
        <w:rPr>
          <w:rFonts w:ascii="Simplified Arabic" w:hAnsi="Simplified Arabic" w:hint="cs"/>
          <w:sz w:val="27"/>
          <w:rtl/>
        </w:rPr>
        <w:t>ُّ</w:t>
      </w:r>
      <w:r w:rsidRPr="006571AC">
        <w:rPr>
          <w:rFonts w:ascii="Simplified Arabic" w:hAnsi="Simplified Arabic"/>
          <w:sz w:val="27"/>
          <w:rtl/>
        </w:rPr>
        <w:t xml:space="preserve">فاته </w:t>
      </w:r>
      <w:r w:rsidRPr="006571AC">
        <w:rPr>
          <w:rFonts w:ascii="Simplified Arabic" w:hAnsi="Simplified Arabic" w:hint="cs"/>
          <w:sz w:val="27"/>
          <w:rtl/>
        </w:rPr>
        <w:t>وأفعاله</w:t>
      </w:r>
      <w:r w:rsidRPr="006571AC">
        <w:rPr>
          <w:rFonts w:ascii="Simplified Arabic" w:hAnsi="Simplified Arabic"/>
          <w:sz w:val="27"/>
          <w:rtl/>
        </w:rPr>
        <w:t xml:space="preserve">. </w:t>
      </w:r>
    </w:p>
    <w:p w:rsidR="00EA6070" w:rsidRPr="006571AC" w:rsidRDefault="00EA6070" w:rsidP="00EA6070">
      <w:pPr>
        <w:spacing w:line="420" w:lineRule="exact"/>
        <w:rPr>
          <w:sz w:val="27"/>
          <w:rtl/>
        </w:rPr>
      </w:pPr>
    </w:p>
    <w:p w:rsidR="005A03A8" w:rsidRPr="006571AC" w:rsidRDefault="00FB76FC" w:rsidP="00D40D12">
      <w:pPr>
        <w:pStyle w:val="31"/>
        <w:rPr>
          <w:color w:val="auto"/>
          <w:rtl/>
          <w:lang w:bidi="ar-IQ"/>
        </w:rPr>
      </w:pPr>
      <w:bookmarkStart w:id="318" w:name="_Toc114164744"/>
      <w:r w:rsidRPr="006571AC">
        <w:rPr>
          <w:rFonts w:hint="cs"/>
          <w:color w:val="auto"/>
          <w:rtl/>
          <w:lang w:bidi="ar-IQ"/>
        </w:rPr>
        <w:t>3ـ</w:t>
      </w:r>
      <w:r w:rsidR="005A03A8" w:rsidRPr="006571AC">
        <w:rPr>
          <w:color w:val="auto"/>
          <w:rtl/>
          <w:lang w:bidi="ar-IQ"/>
        </w:rPr>
        <w:t xml:space="preserve"> دلالة الحديث</w:t>
      </w:r>
      <w:r w:rsidRPr="006571AC">
        <w:rPr>
          <w:rFonts w:hint="cs"/>
          <w:color w:val="auto"/>
          <w:rtl/>
          <w:lang w:bidi="ar-IQ"/>
        </w:rPr>
        <w:t>، دراسةٌ تح</w:t>
      </w:r>
      <w:r w:rsidR="00D40D12" w:rsidRPr="006571AC">
        <w:rPr>
          <w:rFonts w:hint="cs"/>
          <w:color w:val="auto"/>
          <w:rtl/>
          <w:lang w:bidi="ar-IQ"/>
        </w:rPr>
        <w:t>ل</w:t>
      </w:r>
      <w:r w:rsidRPr="006571AC">
        <w:rPr>
          <w:rFonts w:hint="cs"/>
          <w:color w:val="auto"/>
          <w:rtl/>
          <w:lang w:bidi="ar-IQ"/>
        </w:rPr>
        <w:t>ي</w:t>
      </w:r>
      <w:r w:rsidR="00D40D12" w:rsidRPr="006571AC">
        <w:rPr>
          <w:rFonts w:hint="cs"/>
          <w:color w:val="auto"/>
          <w:rtl/>
          <w:lang w:bidi="ar-IQ"/>
        </w:rPr>
        <w:t>ل</w:t>
      </w:r>
      <w:r w:rsidRPr="006571AC">
        <w:rPr>
          <w:rFonts w:hint="cs"/>
          <w:color w:val="auto"/>
          <w:rtl/>
          <w:lang w:bidi="ar-IQ"/>
        </w:rPr>
        <w:t>ي</w:t>
      </w:r>
      <w:r w:rsidR="00D40D12" w:rsidRPr="006571AC">
        <w:rPr>
          <w:rFonts w:hint="cs"/>
          <w:color w:val="auto"/>
          <w:rtl/>
          <w:lang w:bidi="ar-IQ"/>
        </w:rPr>
        <w:t>ّ</w:t>
      </w:r>
      <w:r w:rsidRPr="006571AC">
        <w:rPr>
          <w:rFonts w:hint="cs"/>
          <w:color w:val="auto"/>
          <w:rtl/>
          <w:lang w:bidi="ar-IQ"/>
        </w:rPr>
        <w:t>ة</w:t>
      </w:r>
      <w:r w:rsidR="00D40D12" w:rsidRPr="006571AC">
        <w:rPr>
          <w:rFonts w:hint="cs"/>
          <w:color w:val="auto"/>
          <w:rtl/>
          <w:lang w:bidi="ar-IQ"/>
        </w:rPr>
        <w:t xml:space="preserve"> ونقديّة</w:t>
      </w:r>
      <w:bookmarkEnd w:id="318"/>
      <w:r w:rsidR="00D40D12" w:rsidRPr="006571AC">
        <w:rPr>
          <w:rFonts w:hint="cs"/>
          <w:color w:val="auto"/>
          <w:rtl/>
          <w:lang w:bidi="ar-IQ"/>
        </w:rPr>
        <w:t xml:space="preserve"> </w:t>
      </w:r>
      <w:r w:rsidR="005A03A8" w:rsidRPr="006571AC">
        <w:rPr>
          <w:color w:val="auto"/>
          <w:rtl/>
          <w:lang w:bidi="ar-IQ"/>
        </w:rPr>
        <w:t xml:space="preserve"> </w:t>
      </w:r>
    </w:p>
    <w:p w:rsidR="005A03A8" w:rsidRPr="006571AC" w:rsidRDefault="005A03A8" w:rsidP="005B0CA4">
      <w:pPr>
        <w:autoSpaceDE w:val="0"/>
        <w:autoSpaceDN w:val="0"/>
        <w:adjustRightInd w:val="0"/>
        <w:rPr>
          <w:rFonts w:ascii="Simplified Arabic" w:hAnsi="Simplified Arabic"/>
          <w:sz w:val="27"/>
          <w:rtl/>
          <w:lang w:bidi="ar-IQ"/>
        </w:rPr>
      </w:pPr>
      <w:r w:rsidRPr="006571AC">
        <w:rPr>
          <w:rFonts w:ascii="Simplified Arabic" w:hAnsi="Simplified Arabic"/>
          <w:sz w:val="27"/>
          <w:rtl/>
          <w:lang w:bidi="ar-IQ"/>
        </w:rPr>
        <w:t>م</w:t>
      </w:r>
      <w:r w:rsidR="00183287" w:rsidRPr="006571AC">
        <w:rPr>
          <w:rFonts w:ascii="Simplified Arabic" w:hAnsi="Simplified Arabic" w:hint="cs"/>
          <w:sz w:val="27"/>
          <w:rtl/>
          <w:lang w:bidi="ar-IQ"/>
        </w:rPr>
        <w:t>َ</w:t>
      </w:r>
      <w:r w:rsidRPr="006571AC">
        <w:rPr>
          <w:rFonts w:ascii="Simplified Arabic" w:hAnsi="Simplified Arabic"/>
          <w:sz w:val="27"/>
          <w:rtl/>
          <w:lang w:bidi="ar-IQ"/>
        </w:rPr>
        <w:t>ن</w:t>
      </w:r>
      <w:r w:rsidR="00183287" w:rsidRPr="006571AC">
        <w:rPr>
          <w:rFonts w:ascii="Simplified Arabic" w:hAnsi="Simplified Arabic" w:hint="cs"/>
          <w:sz w:val="27"/>
          <w:rtl/>
          <w:lang w:bidi="ar-IQ"/>
        </w:rPr>
        <w:t>ْ</w:t>
      </w:r>
      <w:r w:rsidRPr="006571AC">
        <w:rPr>
          <w:rFonts w:ascii="Simplified Arabic" w:hAnsi="Simplified Arabic"/>
          <w:sz w:val="27"/>
          <w:rtl/>
          <w:lang w:bidi="ar-IQ"/>
        </w:rPr>
        <w:t xml:space="preserve"> يقرأ هذه الرواية لأو</w:t>
      </w:r>
      <w:r w:rsidR="00183287" w:rsidRPr="006571AC">
        <w:rPr>
          <w:rFonts w:ascii="Simplified Arabic" w:hAnsi="Simplified Arabic" w:hint="cs"/>
          <w:sz w:val="27"/>
          <w:rtl/>
          <w:lang w:bidi="ar-IQ"/>
        </w:rPr>
        <w:t>ّ</w:t>
      </w:r>
      <w:r w:rsidRPr="006571AC">
        <w:rPr>
          <w:rFonts w:ascii="Simplified Arabic" w:hAnsi="Simplified Arabic"/>
          <w:sz w:val="27"/>
          <w:rtl/>
          <w:lang w:bidi="ar-IQ"/>
        </w:rPr>
        <w:t>ل و</w:t>
      </w:r>
      <w:r w:rsidR="00183287" w:rsidRPr="006571AC">
        <w:rPr>
          <w:rFonts w:ascii="Simplified Arabic" w:hAnsi="Simplified Arabic" w:hint="cs"/>
          <w:sz w:val="27"/>
          <w:rtl/>
          <w:lang w:bidi="ar-IQ"/>
        </w:rPr>
        <w:t>َ</w:t>
      </w:r>
      <w:r w:rsidRPr="006571AC">
        <w:rPr>
          <w:rFonts w:ascii="Simplified Arabic" w:hAnsi="Simplified Arabic"/>
          <w:sz w:val="27"/>
          <w:rtl/>
          <w:lang w:bidi="ar-IQ"/>
        </w:rPr>
        <w:t>ه</w:t>
      </w:r>
      <w:r w:rsidR="00183287" w:rsidRPr="006571AC">
        <w:rPr>
          <w:rFonts w:ascii="Simplified Arabic" w:hAnsi="Simplified Arabic" w:hint="cs"/>
          <w:sz w:val="27"/>
          <w:rtl/>
          <w:lang w:bidi="ar-IQ"/>
        </w:rPr>
        <w:t>ْ</w:t>
      </w:r>
      <w:r w:rsidRPr="006571AC">
        <w:rPr>
          <w:rFonts w:ascii="Simplified Arabic" w:hAnsi="Simplified Arabic"/>
          <w:sz w:val="27"/>
          <w:rtl/>
          <w:lang w:bidi="ar-IQ"/>
        </w:rPr>
        <w:t>لة</w:t>
      </w:r>
      <w:r w:rsidR="00183287" w:rsidRPr="006571AC">
        <w:rPr>
          <w:rFonts w:ascii="Simplified Arabic" w:hAnsi="Simplified Arabic" w:hint="cs"/>
          <w:sz w:val="27"/>
          <w:rtl/>
          <w:lang w:bidi="ar-IQ"/>
        </w:rPr>
        <w:t>ٍ</w:t>
      </w:r>
      <w:r w:rsidRPr="006571AC">
        <w:rPr>
          <w:rFonts w:ascii="Simplified Arabic" w:hAnsi="Simplified Arabic"/>
          <w:sz w:val="27"/>
          <w:rtl/>
          <w:lang w:bidi="ar-IQ"/>
        </w:rPr>
        <w:t xml:space="preserve"> يفهم من ظاهرها وجوب مقاتلة جميع الكف</w:t>
      </w:r>
      <w:r w:rsidR="00183287" w:rsidRPr="006571AC">
        <w:rPr>
          <w:rFonts w:ascii="Simplified Arabic" w:hAnsi="Simplified Arabic" w:hint="cs"/>
          <w:sz w:val="27"/>
          <w:rtl/>
          <w:lang w:bidi="ar-IQ"/>
        </w:rPr>
        <w:t>ّ</w:t>
      </w:r>
      <w:r w:rsidRPr="006571AC">
        <w:rPr>
          <w:rFonts w:ascii="Simplified Arabic" w:hAnsi="Simplified Arabic"/>
          <w:sz w:val="27"/>
          <w:rtl/>
          <w:lang w:bidi="ar-IQ"/>
        </w:rPr>
        <w:t>ار؛ لأجل إجبارهم على النطق بالشهادتين ودخول الإسلام، من دون فرق بين المحارب والمسالم</w:t>
      </w:r>
      <w:r w:rsidR="00183287" w:rsidRPr="006571AC">
        <w:rPr>
          <w:rFonts w:ascii="Simplified Arabic" w:hAnsi="Simplified Arabic" w:hint="cs"/>
          <w:sz w:val="27"/>
          <w:rtl/>
          <w:lang w:bidi="ar-IQ"/>
        </w:rPr>
        <w:t>.</w:t>
      </w:r>
      <w:r w:rsidRPr="006571AC">
        <w:rPr>
          <w:rFonts w:ascii="Simplified Arabic" w:hAnsi="Simplified Arabic"/>
          <w:sz w:val="27"/>
          <w:rtl/>
          <w:lang w:bidi="ar-IQ"/>
        </w:rPr>
        <w:t xml:space="preserve"> وهو بإطلاقه يشمل أهل الكتاب وغيرهم من المشركين والملحدين</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ولا يتحق</w:t>
      </w:r>
      <w:r w:rsidR="00B301A6" w:rsidRPr="006571AC">
        <w:rPr>
          <w:rFonts w:ascii="Simplified Arabic" w:hAnsi="Simplified Arabic" w:hint="cs"/>
          <w:sz w:val="27"/>
          <w:rtl/>
          <w:lang w:bidi="ar-IQ"/>
        </w:rPr>
        <w:t>َّ</w:t>
      </w:r>
      <w:r w:rsidRPr="006571AC">
        <w:rPr>
          <w:rFonts w:ascii="Simplified Arabic" w:hAnsi="Simplified Arabic"/>
          <w:sz w:val="27"/>
          <w:rtl/>
          <w:lang w:bidi="ar-IQ"/>
        </w:rPr>
        <w:t>ق ذلك إلا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بعرض الإسلام عليهم أو</w:t>
      </w:r>
      <w:r w:rsidR="00B301A6" w:rsidRPr="006571AC">
        <w:rPr>
          <w:rFonts w:ascii="Simplified Arabic" w:hAnsi="Simplified Arabic" w:hint="cs"/>
          <w:sz w:val="27"/>
          <w:rtl/>
          <w:lang w:bidi="ar-IQ"/>
        </w:rPr>
        <w:t>ّ</w:t>
      </w:r>
      <w:r w:rsidRPr="006571AC">
        <w:rPr>
          <w:rFonts w:ascii="Simplified Arabic" w:hAnsi="Simplified Arabic"/>
          <w:sz w:val="27"/>
          <w:rtl/>
          <w:lang w:bidi="ar-IQ"/>
        </w:rPr>
        <w:t>لاً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فإذا قبلوه حقن</w:t>
      </w:r>
      <w:r w:rsidR="00B301A6" w:rsidRPr="006571AC">
        <w:rPr>
          <w:rFonts w:ascii="Simplified Arabic" w:hAnsi="Simplified Arabic" w:hint="cs"/>
          <w:sz w:val="27"/>
          <w:rtl/>
          <w:lang w:bidi="ar-IQ"/>
        </w:rPr>
        <w:t>َ</w:t>
      </w:r>
      <w:r w:rsidRPr="006571AC">
        <w:rPr>
          <w:rFonts w:ascii="Simplified Arabic" w:hAnsi="Simplified Arabic"/>
          <w:sz w:val="27"/>
          <w:rtl/>
          <w:lang w:bidi="ar-IQ"/>
        </w:rPr>
        <w:t>ت</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دماؤهم وأموالهم</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وإلا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فيجب قتالهم</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 xml:space="preserve"> وقد استند </w:t>
      </w:r>
      <w:r w:rsidR="00B301A6" w:rsidRPr="006571AC">
        <w:rPr>
          <w:rFonts w:ascii="Simplified Arabic" w:hAnsi="Simplified Arabic" w:hint="cs"/>
          <w:sz w:val="27"/>
          <w:rtl/>
          <w:lang w:bidi="ar-IQ"/>
        </w:rPr>
        <w:t>إ</w:t>
      </w:r>
      <w:r w:rsidRPr="006571AC">
        <w:rPr>
          <w:rFonts w:ascii="Simplified Arabic" w:hAnsi="Simplified Arabic" w:hint="cs"/>
          <w:sz w:val="27"/>
          <w:rtl/>
          <w:lang w:bidi="ar-IQ"/>
        </w:rPr>
        <w:t xml:space="preserve">لى هذا الفهم في </w:t>
      </w:r>
      <w:r w:rsidR="00B301A6" w:rsidRPr="006571AC">
        <w:rPr>
          <w:rFonts w:ascii="Simplified Arabic" w:hAnsi="Simplified Arabic" w:hint="cs"/>
          <w:sz w:val="27"/>
          <w:rtl/>
          <w:lang w:bidi="ar-IQ"/>
        </w:rPr>
        <w:t>إ</w:t>
      </w:r>
      <w:r w:rsidRPr="006571AC">
        <w:rPr>
          <w:rFonts w:ascii="Simplified Arabic" w:hAnsi="Simplified Arabic" w:hint="cs"/>
          <w:sz w:val="27"/>
          <w:rtl/>
          <w:lang w:bidi="ar-IQ"/>
        </w:rPr>
        <w:t>ثبات مشروعية ما ي</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سم</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 xml:space="preserve">ى </w:t>
      </w:r>
      <w:r w:rsidR="00B301A6" w:rsidRPr="006571AC">
        <w:rPr>
          <w:rFonts w:ascii="Simplified Arabic" w:hAnsi="Simplified Arabic" w:hint="cs"/>
          <w:sz w:val="27"/>
          <w:rtl/>
          <w:lang w:bidi="ar-IQ"/>
        </w:rPr>
        <w:t>بـ (</w:t>
      </w:r>
      <w:r w:rsidRPr="006571AC">
        <w:rPr>
          <w:rFonts w:ascii="Simplified Arabic" w:hAnsi="Simplified Arabic" w:hint="cs"/>
          <w:sz w:val="27"/>
          <w:rtl/>
          <w:lang w:bidi="ar-IQ"/>
        </w:rPr>
        <w:t>الفتوحات الإسلامية</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w:t>
      </w:r>
      <w:r w:rsidRPr="006571AC">
        <w:rPr>
          <w:rFonts w:ascii="Simplified Arabic" w:hAnsi="Simplified Arabic"/>
          <w:sz w:val="27"/>
          <w:rtl/>
          <w:lang w:bidi="ar-IQ"/>
        </w:rPr>
        <w:t xml:space="preserve"> </w:t>
      </w:r>
    </w:p>
    <w:p w:rsidR="005A03A8" w:rsidRPr="006571AC" w:rsidRDefault="005A03A8" w:rsidP="005B0CA4">
      <w:pPr>
        <w:autoSpaceDE w:val="0"/>
        <w:autoSpaceDN w:val="0"/>
        <w:adjustRightInd w:val="0"/>
        <w:rPr>
          <w:rFonts w:ascii="Simplified Arabic" w:hAnsi="Simplified Arabic"/>
          <w:sz w:val="27"/>
          <w:rtl/>
          <w:lang w:bidi="ar-IQ"/>
        </w:rPr>
      </w:pPr>
      <w:r w:rsidRPr="006571AC">
        <w:rPr>
          <w:rFonts w:ascii="Simplified Arabic" w:hAnsi="Simplified Arabic"/>
          <w:sz w:val="27"/>
          <w:rtl/>
          <w:lang w:bidi="ar-IQ"/>
        </w:rPr>
        <w:t>فمنطوق الحديث يجعل سبب القتال هو الكفر</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وغاية ح</w:t>
      </w:r>
      <w:r w:rsidR="00B06E6D" w:rsidRPr="006571AC">
        <w:rPr>
          <w:rFonts w:ascii="Simplified Arabic" w:hAnsi="Simplified Arabic" w:hint="cs"/>
          <w:sz w:val="27"/>
          <w:rtl/>
          <w:lang w:bidi="ar-IQ"/>
        </w:rPr>
        <w:t>َ</w:t>
      </w:r>
      <w:r w:rsidRPr="006571AC">
        <w:rPr>
          <w:rFonts w:ascii="Simplified Arabic" w:hAnsi="Simplified Arabic"/>
          <w:sz w:val="27"/>
          <w:rtl/>
          <w:lang w:bidi="ar-IQ"/>
        </w:rPr>
        <w:t>ق</w:t>
      </w:r>
      <w:r w:rsidR="00B06E6D" w:rsidRPr="006571AC">
        <w:rPr>
          <w:rFonts w:ascii="Simplified Arabic" w:hAnsi="Simplified Arabic" w:hint="cs"/>
          <w:sz w:val="27"/>
          <w:rtl/>
          <w:lang w:bidi="ar-IQ"/>
        </w:rPr>
        <w:t>ْ</w:t>
      </w:r>
      <w:r w:rsidRPr="006571AC">
        <w:rPr>
          <w:rFonts w:ascii="Simplified Arabic" w:hAnsi="Simplified Arabic"/>
          <w:sz w:val="27"/>
          <w:rtl/>
          <w:lang w:bidi="ar-IQ"/>
        </w:rPr>
        <w:t>ن الدماء هو الإسلام</w:t>
      </w:r>
      <w:r w:rsidRPr="006571AC">
        <w:rPr>
          <w:rFonts w:ascii="Simplified Arabic" w:hAnsi="Simplified Arabic"/>
          <w:sz w:val="27"/>
          <w:vertAlign w:val="superscript"/>
          <w:rtl/>
          <w:lang w:bidi="ar-IQ"/>
        </w:rPr>
        <w:t>(</w:t>
      </w:r>
      <w:r w:rsidRPr="006571AC">
        <w:rPr>
          <w:rStyle w:val="ac"/>
          <w:rFonts w:ascii="Simplified Arabic" w:hAnsi="Simplified Arabic"/>
          <w:sz w:val="27"/>
          <w:rtl/>
          <w:lang w:bidi="ar-IQ"/>
        </w:rPr>
        <w:endnoteReference w:id="512"/>
      </w:r>
      <w:r w:rsidRPr="006571AC">
        <w:rPr>
          <w:rFonts w:ascii="Simplified Arabic" w:hAnsi="Simplified Arabic"/>
          <w:sz w:val="27"/>
          <w:vertAlign w:val="superscript"/>
          <w:rtl/>
          <w:lang w:bidi="ar-IQ"/>
        </w:rPr>
        <w:t>)</w:t>
      </w:r>
      <w:r w:rsidRPr="006571AC">
        <w:rPr>
          <w:rFonts w:ascii="Simplified Arabic" w:hAnsi="Simplified Arabic"/>
          <w:sz w:val="27"/>
          <w:rtl/>
          <w:lang w:bidi="ar-IQ"/>
        </w:rPr>
        <w:t>، فم</w:t>
      </w:r>
      <w:r w:rsidR="00B301A6" w:rsidRPr="006571AC">
        <w:rPr>
          <w:rFonts w:ascii="Simplified Arabic" w:hAnsi="Simplified Arabic" w:hint="cs"/>
          <w:sz w:val="27"/>
          <w:rtl/>
          <w:lang w:bidi="ar-IQ"/>
        </w:rPr>
        <w:t>َ</w:t>
      </w:r>
      <w:r w:rsidRPr="006571AC">
        <w:rPr>
          <w:rFonts w:ascii="Simplified Arabic" w:hAnsi="Simplified Arabic"/>
          <w:sz w:val="27"/>
          <w:rtl/>
          <w:lang w:bidi="ar-IQ"/>
        </w:rPr>
        <w:t>ن</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ينطق الشهادتين</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ويعلن التوبة</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ولو ظاهراً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يحكم بإسلامه</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وتطبق عليه أحكام الإسلام</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ويحوز حقوق المسلم</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فلا يجوز التعد</w:t>
      </w:r>
      <w:r w:rsidR="006F2FB7" w:rsidRPr="006571AC">
        <w:rPr>
          <w:rFonts w:ascii="Simplified Arabic" w:hAnsi="Simplified Arabic" w:hint="cs"/>
          <w:sz w:val="27"/>
          <w:rtl/>
          <w:lang w:bidi="ar-IQ"/>
        </w:rPr>
        <w:t>ّ</w:t>
      </w:r>
      <w:r w:rsidRPr="006571AC">
        <w:rPr>
          <w:rFonts w:ascii="Simplified Arabic" w:hAnsi="Simplified Arabic"/>
          <w:sz w:val="27"/>
          <w:rtl/>
          <w:lang w:bidi="ar-IQ"/>
        </w:rPr>
        <w:t>ي على دمه أو ماله</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إلا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إذا صدر منه ما يوجب ذلك</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00B301A6" w:rsidRPr="006571AC">
        <w:rPr>
          <w:rFonts w:ascii="Simplified Arabic" w:hAnsi="Simplified Arabic" w:hint="cs"/>
          <w:sz w:val="27"/>
          <w:rtl/>
          <w:lang w:bidi="ar-IQ"/>
        </w:rPr>
        <w:t>ك</w:t>
      </w:r>
      <w:r w:rsidRPr="006571AC">
        <w:rPr>
          <w:rFonts w:ascii="Simplified Arabic" w:hAnsi="Simplified Arabic"/>
          <w:sz w:val="27"/>
          <w:rtl/>
          <w:lang w:bidi="ar-IQ"/>
        </w:rPr>
        <w:t>حد</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أو تعزير</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أو قصاص</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w:t>
      </w:r>
    </w:p>
    <w:p w:rsidR="005A03A8" w:rsidRPr="006571AC" w:rsidRDefault="005A03A8" w:rsidP="005B0CA4">
      <w:pPr>
        <w:autoSpaceDE w:val="0"/>
        <w:autoSpaceDN w:val="0"/>
        <w:adjustRightInd w:val="0"/>
        <w:rPr>
          <w:rFonts w:ascii="Simplified Arabic" w:hAnsi="Simplified Arabic"/>
          <w:sz w:val="27"/>
          <w:rtl/>
          <w:lang w:bidi="ar-IQ"/>
        </w:rPr>
      </w:pPr>
      <w:r w:rsidRPr="006571AC">
        <w:rPr>
          <w:rFonts w:ascii="Simplified Arabic" w:hAnsi="Simplified Arabic"/>
          <w:b/>
          <w:bCs/>
          <w:sz w:val="27"/>
          <w:rtl/>
          <w:lang w:bidi="ar-IQ"/>
        </w:rPr>
        <w:t>فإن</w:t>
      </w:r>
      <w:r w:rsidR="00B301A6" w:rsidRPr="006571AC">
        <w:rPr>
          <w:rFonts w:ascii="Simplified Arabic" w:hAnsi="Simplified Arabic" w:hint="cs"/>
          <w:b/>
          <w:bCs/>
          <w:sz w:val="27"/>
          <w:rtl/>
          <w:lang w:bidi="ar-IQ"/>
        </w:rPr>
        <w:t>ْ</w:t>
      </w:r>
      <w:r w:rsidRPr="006571AC">
        <w:rPr>
          <w:rFonts w:ascii="Simplified Arabic" w:hAnsi="Simplified Arabic"/>
          <w:b/>
          <w:bCs/>
          <w:sz w:val="27"/>
          <w:rtl/>
          <w:lang w:bidi="ar-IQ"/>
        </w:rPr>
        <w:t xml:space="preserve"> قيل</w:t>
      </w:r>
      <w:r w:rsidRPr="006571AC">
        <w:rPr>
          <w:rFonts w:ascii="Simplified Arabic" w:hAnsi="Simplified Arabic"/>
          <w:sz w:val="27"/>
          <w:rtl/>
          <w:lang w:bidi="ar-IQ"/>
        </w:rPr>
        <w:t>: إن دخولهم للإسلام لا يعني حصول الاعتقاد بصح</w:t>
      </w:r>
      <w:r w:rsidR="00B301A6" w:rsidRPr="006571AC">
        <w:rPr>
          <w:rFonts w:ascii="Simplified Arabic" w:hAnsi="Simplified Arabic" w:hint="cs"/>
          <w:sz w:val="27"/>
          <w:rtl/>
          <w:lang w:bidi="ar-IQ"/>
        </w:rPr>
        <w:t>ّ</w:t>
      </w:r>
      <w:r w:rsidRPr="006571AC">
        <w:rPr>
          <w:rFonts w:ascii="Simplified Arabic" w:hAnsi="Simplified Arabic"/>
          <w:sz w:val="27"/>
          <w:rtl/>
          <w:lang w:bidi="ar-IQ"/>
        </w:rPr>
        <w:t>ة هذا الدين والإيمان بصح</w:t>
      </w:r>
      <w:r w:rsidR="00B301A6" w:rsidRPr="006571AC">
        <w:rPr>
          <w:rFonts w:ascii="Simplified Arabic" w:hAnsi="Simplified Arabic" w:hint="cs"/>
          <w:sz w:val="27"/>
          <w:rtl/>
          <w:lang w:bidi="ar-IQ"/>
        </w:rPr>
        <w:t>ّ</w:t>
      </w:r>
      <w:r w:rsidRPr="006571AC">
        <w:rPr>
          <w:rFonts w:ascii="Simplified Arabic" w:hAnsi="Simplified Arabic"/>
          <w:sz w:val="27"/>
          <w:rtl/>
          <w:lang w:bidi="ar-IQ"/>
        </w:rPr>
        <w:t>ته</w:t>
      </w:r>
      <w:r w:rsidRPr="006571AC">
        <w:rPr>
          <w:rFonts w:ascii="Simplified Arabic" w:hAnsi="Simplified Arabic" w:hint="cs"/>
          <w:sz w:val="27"/>
          <w:rtl/>
          <w:lang w:bidi="ar-IQ"/>
        </w:rPr>
        <w:t>، فلا يتحق</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ق منه الغرض</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 xml:space="preserve"> ويكون فعلهم ل</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غ</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وياً</w:t>
      </w:r>
      <w:r w:rsidRPr="006571AC">
        <w:rPr>
          <w:rFonts w:ascii="Simplified Arabic" w:hAnsi="Simplified Arabic"/>
          <w:sz w:val="27"/>
          <w:rtl/>
          <w:lang w:bidi="ar-IQ"/>
        </w:rPr>
        <w:t xml:space="preserve">؟ </w:t>
      </w:r>
    </w:p>
    <w:p w:rsidR="005A03A8" w:rsidRPr="006571AC" w:rsidRDefault="005A03A8" w:rsidP="006F2FB7">
      <w:pPr>
        <w:autoSpaceDE w:val="0"/>
        <w:autoSpaceDN w:val="0"/>
        <w:adjustRightInd w:val="0"/>
        <w:rPr>
          <w:rFonts w:ascii="Simplified Arabic" w:hAnsi="Simplified Arabic"/>
          <w:sz w:val="27"/>
          <w:rtl/>
          <w:lang w:bidi="ar-IQ"/>
        </w:rPr>
      </w:pPr>
      <w:r w:rsidRPr="006571AC">
        <w:rPr>
          <w:rFonts w:ascii="Simplified Arabic" w:hAnsi="Simplified Arabic"/>
          <w:b/>
          <w:bCs/>
          <w:sz w:val="27"/>
          <w:rtl/>
          <w:lang w:bidi="ar-IQ"/>
        </w:rPr>
        <w:t>أ</w:t>
      </w:r>
      <w:r w:rsidR="00B301A6" w:rsidRPr="006571AC">
        <w:rPr>
          <w:rFonts w:ascii="Simplified Arabic" w:hAnsi="Simplified Arabic" w:hint="cs"/>
          <w:b/>
          <w:bCs/>
          <w:sz w:val="27"/>
          <w:rtl/>
          <w:lang w:bidi="ar-IQ"/>
        </w:rPr>
        <w:t>ُ</w:t>
      </w:r>
      <w:r w:rsidRPr="006571AC">
        <w:rPr>
          <w:rFonts w:ascii="Simplified Arabic" w:hAnsi="Simplified Arabic"/>
          <w:b/>
          <w:bCs/>
          <w:sz w:val="27"/>
          <w:rtl/>
          <w:lang w:bidi="ar-IQ"/>
        </w:rPr>
        <w:t>جيب</w:t>
      </w:r>
      <w:r w:rsidRPr="006571AC">
        <w:rPr>
          <w:rFonts w:ascii="Simplified Arabic" w:hAnsi="Simplified Arabic"/>
          <w:sz w:val="27"/>
          <w:rtl/>
          <w:lang w:bidi="ar-IQ"/>
        </w:rPr>
        <w:t xml:space="preserve">: </w:t>
      </w:r>
      <w:r w:rsidR="00B301A6" w:rsidRPr="006571AC">
        <w:rPr>
          <w:rFonts w:ascii="Simplified Arabic" w:hAnsi="Simplified Arabic" w:hint="cs"/>
          <w:sz w:val="27"/>
          <w:rtl/>
          <w:lang w:bidi="ar-IQ"/>
        </w:rPr>
        <w:t>إ</w:t>
      </w:r>
      <w:r w:rsidRPr="006571AC">
        <w:rPr>
          <w:rFonts w:ascii="Simplified Arabic" w:hAnsi="Simplified Arabic"/>
          <w:sz w:val="27"/>
          <w:rtl/>
          <w:lang w:bidi="ar-IQ"/>
        </w:rPr>
        <w:t>ن معرفة السرائر والحساب على الضمائر موكول</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إلى الله تعالى</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لقوله: </w:t>
      </w:r>
      <w:r w:rsidR="00B301A6" w:rsidRPr="006571AC">
        <w:rPr>
          <w:rFonts w:hint="eastAsia"/>
          <w:sz w:val="24"/>
          <w:szCs w:val="24"/>
          <w:rtl/>
        </w:rPr>
        <w:t>«</w:t>
      </w:r>
      <w:r w:rsidRPr="006571AC">
        <w:rPr>
          <w:rFonts w:ascii="Simplified Arabic" w:hAnsi="Simplified Arabic"/>
          <w:sz w:val="27"/>
          <w:rtl/>
          <w:lang w:bidi="ar-IQ"/>
        </w:rPr>
        <w:t>وحسابهم على الله</w:t>
      </w:r>
      <w:r w:rsidR="00B301A6" w:rsidRPr="006571AC">
        <w:rPr>
          <w:rFonts w:hint="eastAsia"/>
          <w:sz w:val="24"/>
          <w:szCs w:val="24"/>
          <w:rtl/>
        </w:rPr>
        <w:t>»</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وإنما يجب عليهم </w:t>
      </w:r>
      <w:r w:rsidR="00B301A6" w:rsidRPr="006571AC">
        <w:rPr>
          <w:rFonts w:ascii="Simplified Arabic" w:hAnsi="Simplified Arabic" w:hint="cs"/>
          <w:sz w:val="27"/>
          <w:rtl/>
          <w:lang w:bidi="ar-IQ"/>
        </w:rPr>
        <w:t>إ</w:t>
      </w:r>
      <w:r w:rsidRPr="006571AC">
        <w:rPr>
          <w:rFonts w:ascii="Simplified Arabic" w:hAnsi="Simplified Arabic"/>
          <w:sz w:val="27"/>
          <w:rtl/>
          <w:lang w:bidi="ar-IQ"/>
        </w:rPr>
        <w:t>ظهار ال</w:t>
      </w:r>
      <w:r w:rsidR="006F2FB7" w:rsidRPr="006571AC">
        <w:rPr>
          <w:rFonts w:ascii="Simplified Arabic" w:hAnsi="Simplified Arabic" w:hint="cs"/>
          <w:sz w:val="27"/>
          <w:rtl/>
          <w:lang w:bidi="ar-IQ"/>
        </w:rPr>
        <w:t>إ</w:t>
      </w:r>
      <w:r w:rsidRPr="006571AC">
        <w:rPr>
          <w:rFonts w:ascii="Simplified Arabic" w:hAnsi="Simplified Arabic"/>
          <w:sz w:val="27"/>
          <w:rtl/>
          <w:lang w:bidi="ar-IQ"/>
        </w:rPr>
        <w:t>سلام</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لحقن دمائهم. </w:t>
      </w:r>
    </w:p>
    <w:p w:rsidR="005A03A8" w:rsidRPr="006571AC" w:rsidRDefault="005A03A8" w:rsidP="005B0CA4">
      <w:pPr>
        <w:autoSpaceDE w:val="0"/>
        <w:autoSpaceDN w:val="0"/>
        <w:adjustRightInd w:val="0"/>
        <w:rPr>
          <w:rFonts w:ascii="Simplified Arabic" w:hAnsi="Simplified Arabic"/>
          <w:sz w:val="27"/>
          <w:rtl/>
          <w:lang w:bidi="ar-IQ"/>
        </w:rPr>
      </w:pPr>
      <w:r w:rsidRPr="006571AC">
        <w:rPr>
          <w:rFonts w:ascii="Simplified Arabic" w:hAnsi="Simplified Arabic"/>
          <w:sz w:val="27"/>
          <w:rtl/>
          <w:lang w:bidi="ar-IQ"/>
        </w:rPr>
        <w:t xml:space="preserve">والغريب </w:t>
      </w:r>
      <w:r w:rsidR="00B301A6" w:rsidRPr="006571AC">
        <w:rPr>
          <w:rFonts w:ascii="Simplified Arabic" w:hAnsi="Simplified Arabic" w:hint="cs"/>
          <w:sz w:val="27"/>
          <w:rtl/>
          <w:lang w:bidi="ar-IQ"/>
        </w:rPr>
        <w:t>أ</w:t>
      </w:r>
      <w:r w:rsidRPr="006571AC">
        <w:rPr>
          <w:rFonts w:ascii="Simplified Arabic" w:hAnsi="Simplified Arabic"/>
          <w:sz w:val="27"/>
          <w:rtl/>
          <w:lang w:bidi="ar-IQ"/>
        </w:rPr>
        <w:t>ن بعض فقهاء العام</w:t>
      </w:r>
      <w:r w:rsidR="00B301A6" w:rsidRPr="006571AC">
        <w:rPr>
          <w:rFonts w:ascii="Simplified Arabic" w:hAnsi="Simplified Arabic" w:hint="cs"/>
          <w:sz w:val="27"/>
          <w:rtl/>
          <w:lang w:bidi="ar-IQ"/>
        </w:rPr>
        <w:t>ّ</w:t>
      </w:r>
      <w:r w:rsidRPr="006571AC">
        <w:rPr>
          <w:rFonts w:ascii="Simplified Arabic" w:hAnsi="Simplified Arabic"/>
          <w:sz w:val="27"/>
          <w:rtl/>
          <w:lang w:bidi="ar-IQ"/>
        </w:rPr>
        <w:t>ة قد فرض عقوبة القتل على تارك الصلاة والزكاة</w:t>
      </w:r>
      <w:r w:rsidR="001B2CDA" w:rsidRPr="006571AC">
        <w:rPr>
          <w:rFonts w:ascii="Simplified Arabic" w:hAnsi="Simplified Arabic"/>
          <w:sz w:val="27"/>
          <w:rtl/>
          <w:lang w:bidi="ar-IQ"/>
        </w:rPr>
        <w:t>، حت</w:t>
      </w:r>
      <w:r w:rsidR="001B2CDA" w:rsidRPr="006571AC">
        <w:rPr>
          <w:rFonts w:ascii="Simplified Arabic" w:hAnsi="Simplified Arabic" w:hint="cs"/>
          <w:sz w:val="27"/>
          <w:rtl/>
          <w:lang w:bidi="ar-IQ"/>
        </w:rPr>
        <w:t>ّ</w:t>
      </w:r>
      <w:r w:rsidR="001B2CDA" w:rsidRPr="006571AC">
        <w:rPr>
          <w:rFonts w:ascii="Simplified Arabic" w:hAnsi="Simplified Arabic"/>
          <w:sz w:val="27"/>
          <w:rtl/>
          <w:lang w:bidi="ar-IQ"/>
        </w:rPr>
        <w:t xml:space="preserve">ى مع </w:t>
      </w:r>
      <w:r w:rsidR="001B2CDA" w:rsidRPr="006571AC">
        <w:rPr>
          <w:rFonts w:ascii="Simplified Arabic" w:hAnsi="Simplified Arabic" w:hint="cs"/>
          <w:sz w:val="27"/>
          <w:rtl/>
          <w:lang w:bidi="ar-IQ"/>
        </w:rPr>
        <w:t>إ</w:t>
      </w:r>
      <w:r w:rsidR="001B2CDA" w:rsidRPr="006571AC">
        <w:rPr>
          <w:rFonts w:ascii="Simplified Arabic" w:hAnsi="Simplified Arabic"/>
          <w:sz w:val="27"/>
          <w:rtl/>
          <w:lang w:bidi="ar-IQ"/>
        </w:rPr>
        <w:t>يمانه بوجوبها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ل</w:t>
      </w:r>
      <w:r w:rsidRPr="006571AC">
        <w:rPr>
          <w:rFonts w:ascii="Simplified Arabic" w:hAnsi="Simplified Arabic" w:hint="cs"/>
          <w:sz w:val="27"/>
          <w:rtl/>
          <w:lang w:bidi="ar-IQ"/>
        </w:rPr>
        <w:t>ا</w:t>
      </w:r>
      <w:r w:rsidRPr="006571AC">
        <w:rPr>
          <w:rFonts w:ascii="Simplified Arabic" w:hAnsi="Simplified Arabic"/>
          <w:sz w:val="27"/>
          <w:rtl/>
          <w:lang w:bidi="ar-IQ"/>
        </w:rPr>
        <w:t>شتراطها في بعض متون الحديث</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فالعاصي ي</w:t>
      </w:r>
      <w:r w:rsidR="006F2FB7" w:rsidRPr="006571AC">
        <w:rPr>
          <w:rFonts w:ascii="Simplified Arabic" w:hAnsi="Simplified Arabic" w:hint="cs"/>
          <w:sz w:val="27"/>
          <w:rtl/>
          <w:lang w:bidi="ar-IQ"/>
        </w:rPr>
        <w:t>ُ</w:t>
      </w:r>
      <w:r w:rsidRPr="006571AC">
        <w:rPr>
          <w:rFonts w:ascii="Simplified Arabic" w:hAnsi="Simplified Arabic"/>
          <w:sz w:val="27"/>
          <w:rtl/>
          <w:lang w:bidi="ar-IQ"/>
        </w:rPr>
        <w:t>ستتاب</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فإذا لم يؤد</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ق</w:t>
      </w:r>
      <w:r w:rsidR="001B2CDA" w:rsidRPr="006571AC">
        <w:rPr>
          <w:rFonts w:ascii="Simplified Arabic" w:hAnsi="Simplified Arabic" w:hint="cs"/>
          <w:sz w:val="27"/>
          <w:rtl/>
          <w:lang w:bidi="ar-IQ"/>
        </w:rPr>
        <w:t>ُ</w:t>
      </w:r>
      <w:r w:rsidRPr="006571AC">
        <w:rPr>
          <w:rFonts w:ascii="Simplified Arabic" w:hAnsi="Simplified Arabic"/>
          <w:sz w:val="27"/>
          <w:rtl/>
          <w:lang w:bidi="ar-IQ"/>
        </w:rPr>
        <w:t>تل</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وهذا التطر</w:t>
      </w:r>
      <w:r w:rsidR="001B2CDA" w:rsidRPr="006571AC">
        <w:rPr>
          <w:rFonts w:ascii="Simplified Arabic" w:hAnsi="Simplified Arabic" w:hint="cs"/>
          <w:sz w:val="27"/>
          <w:rtl/>
          <w:lang w:bidi="ar-IQ"/>
        </w:rPr>
        <w:t>ُّ</w:t>
      </w:r>
      <w:r w:rsidRPr="006571AC">
        <w:rPr>
          <w:rFonts w:ascii="Simplified Arabic" w:hAnsi="Simplified Arabic"/>
          <w:sz w:val="27"/>
          <w:rtl/>
          <w:lang w:bidi="ar-IQ"/>
        </w:rPr>
        <w:t>ف في فهم النصوص</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والتمس</w:t>
      </w:r>
      <w:r w:rsidR="001B2CDA" w:rsidRPr="006571AC">
        <w:rPr>
          <w:rFonts w:ascii="Simplified Arabic" w:hAnsi="Simplified Arabic" w:hint="cs"/>
          <w:sz w:val="27"/>
          <w:rtl/>
          <w:lang w:bidi="ar-IQ"/>
        </w:rPr>
        <w:t>ُّ</w:t>
      </w:r>
      <w:r w:rsidRPr="006571AC">
        <w:rPr>
          <w:rFonts w:ascii="Simplified Arabic" w:hAnsi="Simplified Arabic"/>
          <w:sz w:val="27"/>
          <w:rtl/>
          <w:lang w:bidi="ar-IQ"/>
        </w:rPr>
        <w:t>ك بما هو محل</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Pr="006571AC">
        <w:rPr>
          <w:rFonts w:ascii="Simplified Arabic" w:hAnsi="Simplified Arabic"/>
          <w:sz w:val="27"/>
          <w:rtl/>
          <w:lang w:bidi="ar-IQ"/>
        </w:rPr>
        <w:lastRenderedPageBreak/>
        <w:t>خلاف في سنده ودلالته</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يخالف الاحتياط في الدماء</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والمرتكز في أذهان المتشر</w:t>
      </w:r>
      <w:r w:rsidR="001B2CDA" w:rsidRPr="006571AC">
        <w:rPr>
          <w:rFonts w:ascii="Simplified Arabic" w:hAnsi="Simplified Arabic" w:hint="cs"/>
          <w:sz w:val="27"/>
          <w:rtl/>
          <w:lang w:bidi="ar-IQ"/>
        </w:rPr>
        <w:t>ِّ</w:t>
      </w:r>
      <w:r w:rsidRPr="006571AC">
        <w:rPr>
          <w:rFonts w:ascii="Simplified Arabic" w:hAnsi="Simplified Arabic"/>
          <w:sz w:val="27"/>
          <w:rtl/>
          <w:lang w:bidi="ar-IQ"/>
        </w:rPr>
        <w:t>عة من حرمة القتل بغير وجه حق</w:t>
      </w:r>
      <w:r w:rsidR="001B2CDA" w:rsidRPr="006571AC">
        <w:rPr>
          <w:rFonts w:ascii="Simplified Arabic" w:hAnsi="Simplified Arabic" w:hint="cs"/>
          <w:sz w:val="27"/>
          <w:rtl/>
          <w:lang w:bidi="ar-IQ"/>
        </w:rPr>
        <w:t>ٍّ</w:t>
      </w:r>
      <w:r w:rsidRPr="006571AC">
        <w:rPr>
          <w:rFonts w:ascii="Simplified Arabic" w:hAnsi="Simplified Arabic"/>
          <w:sz w:val="27"/>
          <w:rtl/>
          <w:lang w:bidi="ar-IQ"/>
        </w:rPr>
        <w:t>، فإذا كانت الحدود المنصوص عليها في الكتاب العزيز ت</w:t>
      </w:r>
      <w:r w:rsidR="001B2CDA" w:rsidRPr="006571AC">
        <w:rPr>
          <w:rFonts w:ascii="Simplified Arabic" w:hAnsi="Simplified Arabic" w:hint="cs"/>
          <w:sz w:val="27"/>
          <w:rtl/>
          <w:lang w:bidi="ar-IQ"/>
        </w:rPr>
        <w:t>ُ</w:t>
      </w:r>
      <w:r w:rsidRPr="006571AC">
        <w:rPr>
          <w:rFonts w:ascii="Simplified Arabic" w:hAnsi="Simplified Arabic"/>
          <w:sz w:val="27"/>
          <w:rtl/>
          <w:lang w:bidi="ar-IQ"/>
        </w:rPr>
        <w:t>د</w:t>
      </w:r>
      <w:r w:rsidR="001B2CDA" w:rsidRPr="006571AC">
        <w:rPr>
          <w:rFonts w:ascii="Simplified Arabic" w:hAnsi="Simplified Arabic" w:hint="cs"/>
          <w:sz w:val="27"/>
          <w:rtl/>
          <w:lang w:bidi="ar-IQ"/>
        </w:rPr>
        <w:t>ْ</w:t>
      </w:r>
      <w:r w:rsidRPr="006571AC">
        <w:rPr>
          <w:rFonts w:ascii="Simplified Arabic" w:hAnsi="Simplified Arabic"/>
          <w:sz w:val="27"/>
          <w:rtl/>
          <w:lang w:bidi="ar-IQ"/>
        </w:rPr>
        <w:t>ر</w:t>
      </w:r>
      <w:r w:rsidR="001B2CDA" w:rsidRPr="006571AC">
        <w:rPr>
          <w:rFonts w:ascii="Simplified Arabic" w:hAnsi="Simplified Arabic" w:hint="cs"/>
          <w:sz w:val="27"/>
          <w:rtl/>
          <w:lang w:bidi="ar-IQ"/>
        </w:rPr>
        <w:t>َ</w:t>
      </w:r>
      <w:r w:rsidRPr="006571AC">
        <w:rPr>
          <w:rFonts w:ascii="Simplified Arabic" w:hAnsi="Simplified Arabic"/>
          <w:sz w:val="27"/>
          <w:rtl/>
          <w:lang w:bidi="ar-IQ"/>
        </w:rPr>
        <w:t>أ بالش</w:t>
      </w:r>
      <w:r w:rsidR="001B2CDA" w:rsidRPr="006571AC">
        <w:rPr>
          <w:rFonts w:ascii="Simplified Arabic" w:hAnsi="Simplified Arabic" w:hint="cs"/>
          <w:sz w:val="27"/>
          <w:rtl/>
          <w:lang w:bidi="ar-IQ"/>
        </w:rPr>
        <w:t>ُّ</w:t>
      </w:r>
      <w:r w:rsidRPr="006571AC">
        <w:rPr>
          <w:rFonts w:ascii="Simplified Arabic" w:hAnsi="Simplified Arabic"/>
          <w:sz w:val="27"/>
          <w:rtl/>
          <w:lang w:bidi="ar-IQ"/>
        </w:rPr>
        <w:t>ب</w:t>
      </w:r>
      <w:r w:rsidR="001B2CDA" w:rsidRPr="006571AC">
        <w:rPr>
          <w:rFonts w:ascii="Simplified Arabic" w:hAnsi="Simplified Arabic" w:hint="cs"/>
          <w:sz w:val="27"/>
          <w:rtl/>
          <w:lang w:bidi="ar-IQ"/>
        </w:rPr>
        <w:t>ُ</w:t>
      </w:r>
      <w:r w:rsidRPr="006571AC">
        <w:rPr>
          <w:rFonts w:ascii="Simplified Arabic" w:hAnsi="Simplified Arabic"/>
          <w:sz w:val="27"/>
          <w:rtl/>
          <w:lang w:bidi="ar-IQ"/>
        </w:rPr>
        <w:t>هات فكيف بغيرها</w:t>
      </w:r>
      <w:r w:rsidRPr="006571AC">
        <w:rPr>
          <w:rFonts w:ascii="Simplified Arabic" w:hAnsi="Simplified Arabic" w:hint="cs"/>
          <w:sz w:val="27"/>
          <w:rtl/>
          <w:lang w:bidi="ar-IQ"/>
        </w:rPr>
        <w:t>؟!</w:t>
      </w:r>
      <w:r w:rsidRPr="006571AC">
        <w:rPr>
          <w:rFonts w:ascii="Simplified Arabic" w:hAnsi="Simplified Arabic"/>
          <w:sz w:val="27"/>
          <w:rtl/>
          <w:lang w:bidi="ar-IQ"/>
        </w:rPr>
        <w:t xml:space="preserve"> </w:t>
      </w:r>
    </w:p>
    <w:p w:rsidR="005A03A8" w:rsidRPr="006571AC" w:rsidRDefault="00731867" w:rsidP="006F2FB7">
      <w:pPr>
        <w:autoSpaceDE w:val="0"/>
        <w:autoSpaceDN w:val="0"/>
        <w:adjustRightInd w:val="0"/>
        <w:rPr>
          <w:rFonts w:ascii="Simplified Arabic" w:hAnsi="Simplified Arabic"/>
          <w:sz w:val="27"/>
          <w:rtl/>
          <w:lang w:bidi="ar-IQ"/>
        </w:rPr>
      </w:pPr>
      <w:r w:rsidRPr="006571AC">
        <w:rPr>
          <w:rFonts w:ascii="Simplified Arabic" w:hAnsi="Simplified Arabic"/>
          <w:sz w:val="27"/>
          <w:rtl/>
          <w:lang w:bidi="ar-IQ"/>
        </w:rPr>
        <w:t>بَيْدَ</w:t>
      </w:r>
      <w:r w:rsidR="005A03A8" w:rsidRPr="006571AC">
        <w:rPr>
          <w:rFonts w:ascii="Simplified Arabic" w:hAnsi="Simplified Arabic"/>
          <w:sz w:val="27"/>
          <w:rtl/>
          <w:lang w:bidi="ar-IQ"/>
        </w:rPr>
        <w:t xml:space="preserve"> </w:t>
      </w:r>
      <w:r w:rsidR="006F2FB7" w:rsidRPr="006571AC">
        <w:rPr>
          <w:rFonts w:ascii="Simplified Arabic" w:hAnsi="Simplified Arabic" w:hint="cs"/>
          <w:sz w:val="27"/>
          <w:rtl/>
          <w:lang w:bidi="ar-IQ"/>
        </w:rPr>
        <w:t>أ</w:t>
      </w:r>
      <w:r w:rsidR="005A03A8" w:rsidRPr="006571AC">
        <w:rPr>
          <w:rFonts w:ascii="Simplified Arabic" w:hAnsi="Simplified Arabic"/>
          <w:sz w:val="27"/>
          <w:rtl/>
          <w:lang w:bidi="ar-IQ"/>
        </w:rPr>
        <w:t>ن هذا الفهم سقيم</w:t>
      </w:r>
      <w:r w:rsidR="001B2CDA" w:rsidRPr="006571AC">
        <w:rPr>
          <w:rFonts w:ascii="Simplified Arabic" w:hAnsi="Simplified Arabic" w:hint="cs"/>
          <w:sz w:val="27"/>
          <w:rtl/>
          <w:lang w:bidi="ar-IQ"/>
        </w:rPr>
        <w:t>ٌ،</w:t>
      </w:r>
      <w:r w:rsidR="005A03A8" w:rsidRPr="006571AC">
        <w:rPr>
          <w:rFonts w:ascii="Simplified Arabic" w:hAnsi="Simplified Arabic"/>
          <w:sz w:val="27"/>
          <w:rtl/>
          <w:lang w:bidi="ar-IQ"/>
        </w:rPr>
        <w:t xml:space="preserve"> لا يتناسب مع روح الإسلام وسيرة الرسول</w:t>
      </w:r>
      <w:r w:rsidR="002A2C90" w:rsidRPr="006571AC">
        <w:rPr>
          <w:rFonts w:ascii="Mosawi" w:hAnsi="Mosawi" w:cs="Mosawi"/>
          <w:sz w:val="22"/>
          <w:szCs w:val="22"/>
          <w:rtl/>
        </w:rPr>
        <w:t>|</w:t>
      </w:r>
      <w:r w:rsidR="005A03A8" w:rsidRPr="006571AC">
        <w:rPr>
          <w:rFonts w:ascii="Simplified Arabic" w:hAnsi="Simplified Arabic"/>
          <w:sz w:val="27"/>
          <w:rtl/>
          <w:lang w:bidi="ar-IQ"/>
        </w:rPr>
        <w:t xml:space="preserve"> وأهل بيته الأطهار</w:t>
      </w:r>
      <w:r w:rsidR="002A2C90" w:rsidRPr="006571AC">
        <w:rPr>
          <w:rFonts w:ascii="Mosawi" w:hAnsi="Mosawi" w:cs="Mosawi"/>
          <w:sz w:val="22"/>
          <w:szCs w:val="22"/>
          <w:rtl/>
        </w:rPr>
        <w:t>^</w:t>
      </w:r>
      <w:r w:rsidR="005A03A8" w:rsidRPr="006571AC">
        <w:rPr>
          <w:rFonts w:ascii="Simplified Arabic" w:hAnsi="Simplified Arabic" w:hint="cs"/>
          <w:sz w:val="27"/>
          <w:rtl/>
          <w:lang w:bidi="ar-IQ"/>
        </w:rPr>
        <w:t xml:space="preserve"> </w:t>
      </w:r>
      <w:r w:rsidR="005A03A8" w:rsidRPr="006571AC">
        <w:rPr>
          <w:rFonts w:ascii="Simplified Arabic" w:hAnsi="Simplified Arabic"/>
          <w:sz w:val="27"/>
          <w:rtl/>
          <w:lang w:bidi="ar-IQ"/>
        </w:rPr>
        <w:t>على طول التاريخ</w:t>
      </w:r>
      <w:r w:rsidR="001B2CDA" w:rsidRPr="006571AC">
        <w:rPr>
          <w:rFonts w:ascii="Simplified Arabic" w:hAnsi="Simplified Arabic" w:hint="cs"/>
          <w:sz w:val="27"/>
          <w:rtl/>
          <w:lang w:bidi="ar-IQ"/>
        </w:rPr>
        <w:t>؛</w:t>
      </w:r>
      <w:r w:rsidR="005A03A8" w:rsidRPr="006571AC">
        <w:rPr>
          <w:rFonts w:ascii="Simplified Arabic" w:hAnsi="Simplified Arabic"/>
          <w:sz w:val="27"/>
          <w:rtl/>
          <w:lang w:bidi="ar-IQ"/>
        </w:rPr>
        <w:t xml:space="preserve"> لأسباب كثيرة</w:t>
      </w:r>
      <w:r w:rsidR="001B2CDA" w:rsidRPr="006571AC">
        <w:rPr>
          <w:rFonts w:ascii="Simplified Arabic" w:hAnsi="Simplified Arabic" w:hint="cs"/>
          <w:sz w:val="27"/>
          <w:rtl/>
          <w:lang w:bidi="ar-IQ"/>
        </w:rPr>
        <w:t>،</w:t>
      </w:r>
      <w:r w:rsidR="005A03A8" w:rsidRPr="006571AC">
        <w:rPr>
          <w:rFonts w:ascii="Simplified Arabic" w:hAnsi="Simplified Arabic"/>
          <w:sz w:val="27"/>
          <w:rtl/>
          <w:lang w:bidi="ar-IQ"/>
        </w:rPr>
        <w:t xml:space="preserve"> منها: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b/>
          <w:bCs/>
          <w:sz w:val="27"/>
          <w:rtl/>
          <w:lang w:bidi="ar-IQ"/>
        </w:rPr>
        <w:t>أو</w:t>
      </w:r>
      <w:r w:rsidR="001B2CDA" w:rsidRPr="006571AC">
        <w:rPr>
          <w:rFonts w:ascii="Simplified Arabic" w:hAnsi="Simplified Arabic" w:hint="cs"/>
          <w:b/>
          <w:bCs/>
          <w:sz w:val="27"/>
          <w:rtl/>
          <w:lang w:bidi="ar-IQ"/>
        </w:rPr>
        <w:t>ّ</w:t>
      </w:r>
      <w:r w:rsidRPr="006571AC">
        <w:rPr>
          <w:rFonts w:ascii="Simplified Arabic" w:hAnsi="Simplified Arabic"/>
          <w:b/>
          <w:bCs/>
          <w:sz w:val="27"/>
          <w:rtl/>
          <w:lang w:bidi="ar-IQ"/>
        </w:rPr>
        <w:t>لاً</w:t>
      </w:r>
      <w:r w:rsidRPr="006571AC">
        <w:rPr>
          <w:rFonts w:ascii="Simplified Arabic" w:hAnsi="Simplified Arabic"/>
          <w:sz w:val="27"/>
          <w:rtl/>
          <w:lang w:bidi="ar-IQ"/>
        </w:rPr>
        <w:t>: مخالفته للنص</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القرآني في بيان حر</w:t>
      </w:r>
      <w:r w:rsidR="001B2CDA" w:rsidRPr="006571AC">
        <w:rPr>
          <w:rFonts w:ascii="Simplified Arabic" w:hAnsi="Simplified Arabic" w:hint="cs"/>
          <w:sz w:val="27"/>
          <w:rtl/>
          <w:lang w:bidi="ar-IQ"/>
        </w:rPr>
        <w:t>ِّ</w:t>
      </w:r>
      <w:r w:rsidRPr="006571AC">
        <w:rPr>
          <w:rFonts w:ascii="Simplified Arabic" w:hAnsi="Simplified Arabic"/>
          <w:sz w:val="27"/>
          <w:rtl/>
          <w:lang w:bidi="ar-IQ"/>
        </w:rPr>
        <w:t>ية المعتقد، وهي كثيرة</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منها: </w:t>
      </w:r>
      <w:r w:rsidRPr="006571AC">
        <w:rPr>
          <w:rFonts w:ascii="Simplified Arabic" w:hAnsi="Simplified Arabic"/>
          <w:sz w:val="27"/>
          <w:rtl/>
        </w:rPr>
        <w:t xml:space="preserve">قوله تعالى: </w:t>
      </w:r>
      <w:r w:rsidRPr="006571AC">
        <w:rPr>
          <w:rFonts w:ascii="Mosawi" w:hAnsi="Mosawi" w:cs="Mosawi"/>
          <w:sz w:val="24"/>
          <w:szCs w:val="24"/>
          <w:rtl/>
        </w:rPr>
        <w:t>﴿</w:t>
      </w:r>
      <w:r w:rsidR="001B2CDA" w:rsidRPr="006571AC">
        <w:rPr>
          <w:rFonts w:ascii="Simplified Arabic" w:hAnsi="Simplified Arabic"/>
          <w:b/>
          <w:bCs/>
          <w:sz w:val="27"/>
          <w:rtl/>
        </w:rPr>
        <w:t>ل</w:t>
      </w:r>
      <w:r w:rsidRPr="006571AC">
        <w:rPr>
          <w:rFonts w:ascii="Simplified Arabic" w:hAnsi="Simplified Arabic"/>
          <w:b/>
          <w:bCs/>
          <w:sz w:val="27"/>
          <w:rtl/>
        </w:rPr>
        <w:t>ا</w:t>
      </w:r>
      <w:r w:rsidR="001B2CDA" w:rsidRPr="006571AC">
        <w:rPr>
          <w:rFonts w:ascii="Simplified Arabic" w:hAnsi="Simplified Arabic" w:hint="cs"/>
          <w:b/>
          <w:bCs/>
          <w:sz w:val="27"/>
          <w:rtl/>
        </w:rPr>
        <w:t>َ</w:t>
      </w:r>
      <w:r w:rsidRPr="006571AC">
        <w:rPr>
          <w:rFonts w:ascii="Simplified Arabic" w:hAnsi="Simplified Arabic"/>
          <w:b/>
          <w:bCs/>
          <w:sz w:val="27"/>
          <w:rtl/>
        </w:rPr>
        <w:t xml:space="preserve"> إِكْرَاهَ فِي الدِّينِ قَدْ تَبَيَّنَ الرُّشْدُ مِنَ الْغَيِّ فَمَنْ يَكْفُرْ بِالطَّاغُوتِ وَيُؤْمِنْ بِ</w:t>
      </w:r>
      <w:r w:rsidR="0097633B" w:rsidRPr="006571AC">
        <w:rPr>
          <w:rFonts w:ascii="Simplified Arabic" w:hAnsi="Simplified Arabic"/>
          <w:b/>
          <w:bCs/>
          <w:sz w:val="27"/>
          <w:rtl/>
        </w:rPr>
        <w:t>الل</w:t>
      </w:r>
      <w:r w:rsidRPr="006571AC">
        <w:rPr>
          <w:rFonts w:ascii="Simplified Arabic" w:hAnsi="Simplified Arabic"/>
          <w:b/>
          <w:bCs/>
          <w:sz w:val="27"/>
          <w:rtl/>
        </w:rPr>
        <w:t>هِ فَقَدِ اسْتَمْ</w:t>
      </w:r>
      <w:r w:rsidR="001B2CDA" w:rsidRPr="006571AC">
        <w:rPr>
          <w:rFonts w:ascii="Simplified Arabic" w:hAnsi="Simplified Arabic"/>
          <w:b/>
          <w:bCs/>
          <w:sz w:val="27"/>
          <w:rtl/>
        </w:rPr>
        <w:t>سَكَ بِالْعُرْوَةِ الْوُثْقَى ل</w:t>
      </w:r>
      <w:r w:rsidRPr="006571AC">
        <w:rPr>
          <w:rFonts w:ascii="Simplified Arabic" w:hAnsi="Simplified Arabic"/>
          <w:b/>
          <w:bCs/>
          <w:sz w:val="27"/>
          <w:rtl/>
        </w:rPr>
        <w:t>ا</w:t>
      </w:r>
      <w:r w:rsidR="001B2CDA" w:rsidRPr="006571AC">
        <w:rPr>
          <w:rFonts w:ascii="Simplified Arabic" w:hAnsi="Simplified Arabic" w:hint="cs"/>
          <w:b/>
          <w:bCs/>
          <w:sz w:val="27"/>
          <w:rtl/>
        </w:rPr>
        <w:t>َ</w:t>
      </w:r>
      <w:r w:rsidRPr="006571AC">
        <w:rPr>
          <w:rFonts w:ascii="Simplified Arabic" w:hAnsi="Simplified Arabic"/>
          <w:b/>
          <w:bCs/>
          <w:sz w:val="27"/>
          <w:rtl/>
        </w:rPr>
        <w:t xml:space="preserve"> انْفِصَامَ لَهَا وَ</w:t>
      </w:r>
      <w:r w:rsidR="0097633B" w:rsidRPr="006571AC">
        <w:rPr>
          <w:rFonts w:ascii="Simplified Arabic" w:hAnsi="Simplified Arabic"/>
          <w:b/>
          <w:bCs/>
          <w:sz w:val="27"/>
          <w:rtl/>
        </w:rPr>
        <w:t>الل</w:t>
      </w:r>
      <w:r w:rsidRPr="006571AC">
        <w:rPr>
          <w:rFonts w:ascii="Simplified Arabic" w:hAnsi="Simplified Arabic"/>
          <w:b/>
          <w:bCs/>
          <w:sz w:val="27"/>
          <w:rtl/>
        </w:rPr>
        <w:t>هُ سَمِيعٌ عَلِيمٌ</w:t>
      </w:r>
      <w:r w:rsidRPr="006571AC">
        <w:rPr>
          <w:rFonts w:ascii="Mosawi" w:hAnsi="Mosawi" w:cs="Mosawi"/>
          <w:sz w:val="24"/>
          <w:szCs w:val="24"/>
          <w:rtl/>
        </w:rPr>
        <w:t>﴾</w:t>
      </w:r>
      <w:r w:rsidRPr="006571AC">
        <w:rPr>
          <w:rFonts w:ascii="Simplified Arabic" w:hAnsi="Simplified Arabic" w:hint="cs"/>
          <w:sz w:val="27"/>
          <w:rtl/>
        </w:rPr>
        <w:t xml:space="preserve"> (البقرة: 256)</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وَقُلِ الْحَقُّ مِنْ رَبِّكُمْ فَمَنْ شَاءَ فَلْيُؤْمِنْ وَمَنْ شَاءَ فَلْيَكْفُرْ إِنَّا أَعْتَدْنَا لِلظَّالِمِينَ نَار</w:t>
      </w:r>
      <w:r w:rsidR="00731867" w:rsidRPr="006571AC">
        <w:rPr>
          <w:rFonts w:ascii="Simplified Arabic" w:hAnsi="Simplified Arabic"/>
          <w:b/>
          <w:bCs/>
          <w:sz w:val="27"/>
          <w:rtl/>
        </w:rPr>
        <w:t>اً</w:t>
      </w:r>
      <w:r w:rsidRPr="006571AC">
        <w:rPr>
          <w:rFonts w:ascii="Simplified Arabic" w:hAnsi="Simplified Arabic"/>
          <w:b/>
          <w:bCs/>
          <w:sz w:val="27"/>
          <w:rtl/>
        </w:rPr>
        <w:t xml:space="preserve"> أَحَاطَ بِهِمْ سُرَادِقُهَا وَإِنْ يَسْتَغِيثُوا يُغَاثُوا بِمَاءٍ كَالْمُهْلِ يَشْوِي الْوُجُوهَ بِئْسَ الشَّرَابُ وَسَاءَتْ مُرْتَفَق</w:t>
      </w:r>
      <w:r w:rsidR="00731867" w:rsidRPr="006571AC">
        <w:rPr>
          <w:rFonts w:ascii="Simplified Arabic" w:hAnsi="Simplified Arabic"/>
          <w:b/>
          <w:bCs/>
          <w:sz w:val="27"/>
          <w:rtl/>
        </w:rPr>
        <w:t>اً</w:t>
      </w:r>
      <w:r w:rsidRPr="006571AC">
        <w:rPr>
          <w:rFonts w:ascii="Mosawi" w:hAnsi="Mosawi" w:cs="Mosawi"/>
          <w:sz w:val="24"/>
          <w:szCs w:val="24"/>
          <w:rtl/>
        </w:rPr>
        <w:t>﴾</w:t>
      </w:r>
      <w:r w:rsidRPr="006571AC">
        <w:rPr>
          <w:rFonts w:ascii="Simplified Arabic" w:hAnsi="Simplified Arabic" w:hint="cs"/>
          <w:sz w:val="27"/>
          <w:rtl/>
        </w:rPr>
        <w:t xml:space="preserve"> (الكهف: 29)</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لَكُمْ دِينُكُمْ وَلِيَ دِينِ</w:t>
      </w:r>
      <w:r w:rsidRPr="006571AC">
        <w:rPr>
          <w:rFonts w:ascii="Mosawi" w:hAnsi="Mosawi" w:cs="Mosawi"/>
          <w:sz w:val="24"/>
          <w:szCs w:val="24"/>
          <w:rtl/>
        </w:rPr>
        <w:t>﴾</w:t>
      </w:r>
      <w:r w:rsidRPr="006571AC">
        <w:rPr>
          <w:rFonts w:ascii="Simplified Arabic" w:hAnsi="Simplified Arabic" w:hint="cs"/>
          <w:sz w:val="27"/>
          <w:rtl/>
        </w:rPr>
        <w:t xml:space="preserve"> (الكافرون: 6)</w:t>
      </w:r>
      <w:r w:rsidRPr="006571AC">
        <w:rPr>
          <w:rFonts w:ascii="Simplified Arabic" w:hAnsi="Simplified Arabic"/>
          <w:sz w:val="27"/>
          <w:rtl/>
        </w:rPr>
        <w:t xml:space="preserve">.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b/>
          <w:bCs/>
          <w:sz w:val="27"/>
          <w:rtl/>
        </w:rPr>
        <w:t>ثانياً</w:t>
      </w:r>
      <w:r w:rsidRPr="006571AC">
        <w:rPr>
          <w:rFonts w:ascii="Simplified Arabic" w:hAnsi="Simplified Arabic"/>
          <w:sz w:val="27"/>
          <w:rtl/>
        </w:rPr>
        <w:t>: مخالفته لوظيفة الأنبياء في التبليغ والبيان</w:t>
      </w:r>
      <w:r w:rsidR="001B2CDA" w:rsidRPr="006571AC">
        <w:rPr>
          <w:rFonts w:ascii="Simplified Arabic" w:hAnsi="Simplified Arabic" w:hint="cs"/>
          <w:sz w:val="27"/>
          <w:rtl/>
        </w:rPr>
        <w:t>،</w:t>
      </w:r>
      <w:r w:rsidRPr="006571AC">
        <w:rPr>
          <w:rFonts w:ascii="Simplified Arabic" w:hAnsi="Simplified Arabic"/>
          <w:sz w:val="27"/>
          <w:rtl/>
        </w:rPr>
        <w:t xml:space="preserve"> لا الج</w:t>
      </w:r>
      <w:r w:rsidR="006F2FB7" w:rsidRPr="006571AC">
        <w:rPr>
          <w:rFonts w:ascii="Simplified Arabic" w:hAnsi="Simplified Arabic" w:hint="cs"/>
          <w:sz w:val="27"/>
          <w:rtl/>
        </w:rPr>
        <w:t>َ</w:t>
      </w:r>
      <w:r w:rsidRPr="006571AC">
        <w:rPr>
          <w:rFonts w:ascii="Simplified Arabic" w:hAnsi="Simplified Arabic"/>
          <w:sz w:val="27"/>
          <w:rtl/>
        </w:rPr>
        <w:t>ب</w:t>
      </w:r>
      <w:r w:rsidR="006F2FB7" w:rsidRPr="006571AC">
        <w:rPr>
          <w:rFonts w:ascii="Simplified Arabic" w:hAnsi="Simplified Arabic" w:hint="cs"/>
          <w:sz w:val="27"/>
          <w:rtl/>
        </w:rPr>
        <w:t>ْ</w:t>
      </w:r>
      <w:r w:rsidRPr="006571AC">
        <w:rPr>
          <w:rFonts w:ascii="Simplified Arabic" w:hAnsi="Simplified Arabic"/>
          <w:sz w:val="27"/>
          <w:rtl/>
        </w:rPr>
        <w:t>ر</w:t>
      </w:r>
      <w:r w:rsidRPr="006571AC">
        <w:rPr>
          <w:rFonts w:ascii="Simplified Arabic" w:hAnsi="Simplified Arabic" w:hint="cs"/>
          <w:sz w:val="27"/>
          <w:rtl/>
        </w:rPr>
        <w:t xml:space="preserve"> وال</w:t>
      </w:r>
      <w:r w:rsidR="001B2CDA" w:rsidRPr="006571AC">
        <w:rPr>
          <w:rFonts w:ascii="Simplified Arabic" w:hAnsi="Simplified Arabic" w:hint="cs"/>
          <w:sz w:val="27"/>
          <w:rtl/>
        </w:rPr>
        <w:t>إ</w:t>
      </w:r>
      <w:r w:rsidRPr="006571AC">
        <w:rPr>
          <w:rFonts w:ascii="Simplified Arabic" w:hAnsi="Simplified Arabic" w:hint="cs"/>
          <w:sz w:val="27"/>
          <w:rtl/>
        </w:rPr>
        <w:t>كراه</w:t>
      </w:r>
      <w:r w:rsidRPr="006571AC">
        <w:rPr>
          <w:rFonts w:ascii="Simplified Arabic" w:hAnsi="Simplified Arabic"/>
          <w:sz w:val="27"/>
          <w:rtl/>
        </w:rPr>
        <w:t>، فقد حد</w:t>
      </w:r>
      <w:r w:rsidR="001B2CDA" w:rsidRPr="006571AC">
        <w:rPr>
          <w:rFonts w:ascii="Simplified Arabic" w:hAnsi="Simplified Arabic" w:hint="cs"/>
          <w:sz w:val="27"/>
          <w:rtl/>
        </w:rPr>
        <w:t>َّ</w:t>
      </w:r>
      <w:r w:rsidRPr="006571AC">
        <w:rPr>
          <w:rFonts w:ascii="Simplified Arabic" w:hAnsi="Simplified Arabic"/>
          <w:sz w:val="27"/>
          <w:rtl/>
        </w:rPr>
        <w:t>د القرآن وظيفة الانبياء في نصوص كثيرة</w:t>
      </w:r>
      <w:r w:rsidR="001B2CDA" w:rsidRPr="006571AC">
        <w:rPr>
          <w:rFonts w:ascii="Simplified Arabic" w:hAnsi="Simplified Arabic" w:hint="cs"/>
          <w:sz w:val="27"/>
          <w:rtl/>
        </w:rPr>
        <w:t>،</w:t>
      </w:r>
      <w:r w:rsidRPr="006571AC">
        <w:rPr>
          <w:rFonts w:ascii="Simplified Arabic" w:hAnsi="Simplified Arabic"/>
          <w:sz w:val="27"/>
          <w:rtl/>
        </w:rPr>
        <w:t xml:space="preserve"> منها: قوله تعالى: </w:t>
      </w:r>
      <w:r w:rsidRPr="006571AC">
        <w:rPr>
          <w:rFonts w:ascii="Mosawi" w:hAnsi="Mosawi" w:cs="Mosawi"/>
          <w:sz w:val="24"/>
          <w:szCs w:val="24"/>
          <w:rtl/>
        </w:rPr>
        <w:t>﴿</w:t>
      </w:r>
      <w:r w:rsidRPr="006571AC">
        <w:rPr>
          <w:rFonts w:ascii="Simplified Arabic" w:hAnsi="Simplified Arabic"/>
          <w:b/>
          <w:bCs/>
          <w:sz w:val="27"/>
          <w:rtl/>
        </w:rPr>
        <w:t>وَقُلْ لِل</w:t>
      </w:r>
      <w:r w:rsidR="00CD1668" w:rsidRPr="006571AC">
        <w:rPr>
          <w:rFonts w:ascii="Simplified Arabic" w:hAnsi="Simplified Arabic"/>
          <w:b/>
          <w:bCs/>
          <w:sz w:val="27"/>
          <w:rtl/>
        </w:rPr>
        <w:t>َّذِينَ أُوتُوا الْكِتَابَ وَال</w:t>
      </w:r>
      <w:r w:rsidRPr="006571AC">
        <w:rPr>
          <w:rFonts w:ascii="Simplified Arabic" w:hAnsi="Simplified Arabic"/>
          <w:b/>
          <w:bCs/>
          <w:sz w:val="27"/>
          <w:rtl/>
        </w:rPr>
        <w:t>أُمِّيِّينَ أَأَسْلَمْتُمْ فَإِنْ أَسْلَمُوا فَقَدِ اهْتَدَوْا وَإِنْ تَوَلّ</w:t>
      </w:r>
      <w:r w:rsidR="00CD1668" w:rsidRPr="006571AC">
        <w:rPr>
          <w:rFonts w:ascii="Simplified Arabic" w:hAnsi="Simplified Arabic"/>
          <w:b/>
          <w:bCs/>
          <w:sz w:val="27"/>
          <w:rtl/>
        </w:rPr>
        <w:t>َوْا فَإِنَّمَا عَلَيْكَ الْبَل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غُ وَ</w:t>
      </w:r>
      <w:r w:rsidR="0097633B" w:rsidRPr="006571AC">
        <w:rPr>
          <w:rFonts w:ascii="Simplified Arabic" w:hAnsi="Simplified Arabic"/>
          <w:b/>
          <w:bCs/>
          <w:sz w:val="27"/>
          <w:rtl/>
        </w:rPr>
        <w:t>الل</w:t>
      </w:r>
      <w:r w:rsidRPr="006571AC">
        <w:rPr>
          <w:rFonts w:ascii="Simplified Arabic" w:hAnsi="Simplified Arabic"/>
          <w:b/>
          <w:bCs/>
          <w:sz w:val="27"/>
          <w:rtl/>
        </w:rPr>
        <w:t>هُ بَصِيرٌ بِالْعِبَادِ</w:t>
      </w:r>
      <w:r w:rsidRPr="006571AC">
        <w:rPr>
          <w:rFonts w:ascii="Mosawi" w:hAnsi="Mosawi" w:cs="Mosawi"/>
          <w:sz w:val="24"/>
          <w:szCs w:val="24"/>
          <w:rtl/>
        </w:rPr>
        <w:t>﴾</w:t>
      </w:r>
      <w:r w:rsidRPr="006571AC">
        <w:rPr>
          <w:rFonts w:ascii="Simplified Arabic" w:hAnsi="Simplified Arabic" w:hint="cs"/>
          <w:sz w:val="27"/>
          <w:rtl/>
        </w:rPr>
        <w:t xml:space="preserve"> (آل عمران: 20)</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مَا عَلَى الرَّسُولِ إِ</w:t>
      </w:r>
      <w:r w:rsidR="003C2639" w:rsidRPr="006571AC">
        <w:rPr>
          <w:rFonts w:ascii="Simplified Arabic" w:hAnsi="Simplified Arabic"/>
          <w:b/>
          <w:bCs/>
          <w:sz w:val="27"/>
          <w:rtl/>
        </w:rPr>
        <w:t>لاّ</w:t>
      </w:r>
      <w:r w:rsidR="00CD1668" w:rsidRPr="006571AC">
        <w:rPr>
          <w:rFonts w:ascii="Simplified Arabic" w:hAnsi="Simplified Arabic" w:hint="cs"/>
          <w:b/>
          <w:bCs/>
          <w:sz w:val="27"/>
          <w:rtl/>
        </w:rPr>
        <w:t>َ</w:t>
      </w:r>
      <w:r w:rsidRPr="006571AC">
        <w:rPr>
          <w:rFonts w:ascii="Simplified Arabic" w:hAnsi="Simplified Arabic"/>
          <w:b/>
          <w:bCs/>
          <w:sz w:val="27"/>
          <w:rtl/>
        </w:rPr>
        <w:t xml:space="preserve"> </w:t>
      </w:r>
      <w:r w:rsidR="00CD1668" w:rsidRPr="006571AC">
        <w:rPr>
          <w:rFonts w:ascii="Simplified Arabic" w:hAnsi="Simplified Arabic"/>
          <w:b/>
          <w:bCs/>
          <w:sz w:val="27"/>
          <w:rtl/>
        </w:rPr>
        <w:t>الْبَل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غُ وَ</w:t>
      </w:r>
      <w:r w:rsidR="0097633B" w:rsidRPr="006571AC">
        <w:rPr>
          <w:rFonts w:ascii="Simplified Arabic" w:hAnsi="Simplified Arabic"/>
          <w:b/>
          <w:bCs/>
          <w:sz w:val="27"/>
          <w:rtl/>
        </w:rPr>
        <w:t>الل</w:t>
      </w:r>
      <w:r w:rsidRPr="006571AC">
        <w:rPr>
          <w:rFonts w:ascii="Simplified Arabic" w:hAnsi="Simplified Arabic"/>
          <w:b/>
          <w:bCs/>
          <w:sz w:val="27"/>
          <w:rtl/>
        </w:rPr>
        <w:t>هُ يَعْلَمُ مَا تُبْدُونَ وَمَا تَكْتُمُونَ</w:t>
      </w:r>
      <w:r w:rsidRPr="006571AC">
        <w:rPr>
          <w:rFonts w:ascii="Mosawi" w:hAnsi="Mosawi" w:cs="Mosawi"/>
          <w:sz w:val="24"/>
          <w:szCs w:val="24"/>
          <w:rtl/>
        </w:rPr>
        <w:t>﴾</w:t>
      </w:r>
      <w:r w:rsidRPr="006571AC">
        <w:rPr>
          <w:rFonts w:ascii="Simplified Arabic" w:hAnsi="Simplified Arabic" w:hint="cs"/>
          <w:sz w:val="27"/>
          <w:rtl/>
        </w:rPr>
        <w:t xml:space="preserve"> (المائدة: 99)</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فَإِنْ تَوَلّ</w:t>
      </w:r>
      <w:r w:rsidR="00CD1668" w:rsidRPr="006571AC">
        <w:rPr>
          <w:rFonts w:ascii="Simplified Arabic" w:hAnsi="Simplified Arabic"/>
          <w:b/>
          <w:bCs/>
          <w:sz w:val="27"/>
          <w:rtl/>
        </w:rPr>
        <w:t>َوْا فَإِنَّمَا عَلَيْكَ الْبَل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غُ الْمُبِينُ</w:t>
      </w:r>
      <w:r w:rsidRPr="006571AC">
        <w:rPr>
          <w:rFonts w:ascii="Mosawi" w:hAnsi="Mosawi" w:cs="Mosawi"/>
          <w:sz w:val="24"/>
          <w:szCs w:val="24"/>
          <w:rtl/>
        </w:rPr>
        <w:t>﴾</w:t>
      </w:r>
      <w:r w:rsidRPr="006571AC">
        <w:rPr>
          <w:rFonts w:ascii="Simplified Arabic" w:hAnsi="Simplified Arabic" w:hint="cs"/>
          <w:sz w:val="27"/>
          <w:rtl/>
        </w:rPr>
        <w:t xml:space="preserve"> (النحل: 82)</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وَإِنْ تُكَذِّبُوا فَقَدْ كَذَّبَ أُمَمٌ مِنْ قَبْلِكُمْ وَمَا عَلَى الرَّسُولِ إِ</w:t>
      </w:r>
      <w:r w:rsidR="003C2639" w:rsidRPr="006571AC">
        <w:rPr>
          <w:rFonts w:ascii="Simplified Arabic" w:hAnsi="Simplified Arabic"/>
          <w:b/>
          <w:bCs/>
          <w:sz w:val="27"/>
          <w:rtl/>
        </w:rPr>
        <w:t>لاّ</w:t>
      </w:r>
      <w:r w:rsidR="00CD1668" w:rsidRPr="006571AC">
        <w:rPr>
          <w:rFonts w:ascii="Simplified Arabic" w:hAnsi="Simplified Arabic" w:hint="cs"/>
          <w:b/>
          <w:bCs/>
          <w:sz w:val="27"/>
          <w:rtl/>
        </w:rPr>
        <w:t>َ</w:t>
      </w:r>
      <w:r w:rsidR="00CD1668" w:rsidRPr="006571AC">
        <w:rPr>
          <w:rFonts w:ascii="Simplified Arabic" w:hAnsi="Simplified Arabic"/>
          <w:b/>
          <w:bCs/>
          <w:sz w:val="27"/>
          <w:rtl/>
        </w:rPr>
        <w:t xml:space="preserve"> الْبَل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غُ الْمُبِينُ</w:t>
      </w:r>
      <w:r w:rsidRPr="006571AC">
        <w:rPr>
          <w:rFonts w:ascii="Mosawi" w:hAnsi="Mosawi" w:cs="Mosawi"/>
          <w:sz w:val="24"/>
          <w:szCs w:val="24"/>
          <w:rtl/>
        </w:rPr>
        <w:t>﴾</w:t>
      </w:r>
      <w:r w:rsidRPr="006571AC">
        <w:rPr>
          <w:rFonts w:ascii="Simplified Arabic" w:hAnsi="Simplified Arabic" w:hint="cs"/>
          <w:sz w:val="27"/>
          <w:rtl/>
        </w:rPr>
        <w:t xml:space="preserve"> (العنكبوت: 18)</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فَإِنْ أَعْرَضُوا فَمَا أَرْسَلْنَاكَ عَلَيْهِمْ حَفِيظ</w:t>
      </w:r>
      <w:r w:rsidR="00731867" w:rsidRPr="006571AC">
        <w:rPr>
          <w:rFonts w:ascii="Simplified Arabic" w:hAnsi="Simplified Arabic"/>
          <w:b/>
          <w:bCs/>
          <w:sz w:val="27"/>
          <w:rtl/>
        </w:rPr>
        <w:t>اً</w:t>
      </w:r>
      <w:r w:rsidRPr="006571AC">
        <w:rPr>
          <w:rFonts w:ascii="Simplified Arabic" w:hAnsi="Simplified Arabic"/>
          <w:b/>
          <w:bCs/>
          <w:sz w:val="27"/>
          <w:rtl/>
        </w:rPr>
        <w:t xml:space="preserve"> إِنْ عَلَيْكَ إِ</w:t>
      </w:r>
      <w:r w:rsidR="003C2639" w:rsidRPr="006571AC">
        <w:rPr>
          <w:rFonts w:ascii="Simplified Arabic" w:hAnsi="Simplified Arabic"/>
          <w:b/>
          <w:bCs/>
          <w:sz w:val="27"/>
          <w:rtl/>
        </w:rPr>
        <w:t>لاّ</w:t>
      </w:r>
      <w:r w:rsidR="00CD1668" w:rsidRPr="006571AC">
        <w:rPr>
          <w:rFonts w:ascii="Simplified Arabic" w:hAnsi="Simplified Arabic" w:hint="cs"/>
          <w:b/>
          <w:bCs/>
          <w:sz w:val="27"/>
          <w:rtl/>
        </w:rPr>
        <w:t>َ</w:t>
      </w:r>
      <w:r w:rsidR="00CD1668" w:rsidRPr="006571AC">
        <w:rPr>
          <w:rFonts w:ascii="Simplified Arabic" w:hAnsi="Simplified Arabic"/>
          <w:b/>
          <w:bCs/>
          <w:sz w:val="27"/>
          <w:rtl/>
        </w:rPr>
        <w:t xml:space="preserve"> الْبَل</w:t>
      </w:r>
      <w:r w:rsidRPr="006571AC">
        <w:rPr>
          <w:rFonts w:ascii="Simplified Arabic" w:hAnsi="Simplified Arabic"/>
          <w:b/>
          <w:bCs/>
          <w:sz w:val="27"/>
          <w:rtl/>
        </w:rPr>
        <w:t>ا</w:t>
      </w:r>
      <w:r w:rsidR="00CD1668" w:rsidRPr="006571AC">
        <w:rPr>
          <w:rFonts w:ascii="Simplified Arabic" w:hAnsi="Simplified Arabic" w:hint="cs"/>
          <w:b/>
          <w:bCs/>
          <w:sz w:val="27"/>
          <w:rtl/>
        </w:rPr>
        <w:t>َ</w:t>
      </w:r>
      <w:r w:rsidR="00CD1668" w:rsidRPr="006571AC">
        <w:rPr>
          <w:rFonts w:ascii="Simplified Arabic" w:hAnsi="Simplified Arabic"/>
          <w:b/>
          <w:bCs/>
          <w:sz w:val="27"/>
          <w:rtl/>
        </w:rPr>
        <w:t>غُ وَإِنَّا إِذَا أَذَقْنَا ال</w:t>
      </w:r>
      <w:r w:rsidRPr="006571AC">
        <w:rPr>
          <w:rFonts w:ascii="Simplified Arabic" w:hAnsi="Simplified Arabic"/>
          <w:b/>
          <w:bCs/>
          <w:sz w:val="27"/>
          <w:rtl/>
        </w:rPr>
        <w:t>إِنْسَانَ مِنَّا رَحْمَةً فَرِحَ بِهَا وَإِنْ تُصِبْهُمْ سَيِّئَةٌ بِمَا ق</w:t>
      </w:r>
      <w:r w:rsidR="00CD1668" w:rsidRPr="006571AC">
        <w:rPr>
          <w:rFonts w:ascii="Simplified Arabic" w:hAnsi="Simplified Arabic"/>
          <w:b/>
          <w:bCs/>
          <w:sz w:val="27"/>
          <w:rtl/>
        </w:rPr>
        <w:t>َدَّمَتْ أَيْدِيهِمْ فَإِنَّ ال</w:t>
      </w:r>
      <w:r w:rsidRPr="006571AC">
        <w:rPr>
          <w:rFonts w:ascii="Simplified Arabic" w:hAnsi="Simplified Arabic"/>
          <w:b/>
          <w:bCs/>
          <w:sz w:val="27"/>
          <w:rtl/>
        </w:rPr>
        <w:t>إِنْسَانَ كَفُورٌ</w:t>
      </w:r>
      <w:r w:rsidRPr="006571AC">
        <w:rPr>
          <w:rFonts w:ascii="Mosawi" w:hAnsi="Mosawi" w:cs="Mosawi"/>
          <w:sz w:val="24"/>
          <w:szCs w:val="24"/>
          <w:rtl/>
        </w:rPr>
        <w:t>﴾</w:t>
      </w:r>
      <w:r w:rsidRPr="006571AC">
        <w:rPr>
          <w:rFonts w:ascii="Simplified Arabic" w:hAnsi="Simplified Arabic" w:hint="cs"/>
          <w:sz w:val="27"/>
          <w:rtl/>
        </w:rPr>
        <w:t xml:space="preserve"> (الشورى: 48)</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فَذَكِّرْ إِنَّمَا أَنْتَ مُذَكِّرٌ * لَسْتَ عَلَيْهِمْ بِمُسَيْطِرٍ</w:t>
      </w:r>
      <w:r w:rsidRPr="006571AC">
        <w:rPr>
          <w:rFonts w:ascii="Mosawi" w:hAnsi="Mosawi" w:cs="Mosawi"/>
          <w:sz w:val="24"/>
          <w:szCs w:val="24"/>
          <w:rtl/>
        </w:rPr>
        <w:t>﴾</w:t>
      </w:r>
      <w:r w:rsidRPr="006571AC">
        <w:rPr>
          <w:rFonts w:ascii="Simplified Arabic" w:hAnsi="Simplified Arabic" w:hint="cs"/>
          <w:sz w:val="27"/>
          <w:rtl/>
        </w:rPr>
        <w:t xml:space="preserve"> (الغاشية: 21 ـ 22)</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وَإِنْ كَذَّبُوكَ فَقُلْ لِي عَمَلِي وَلَكُمْ عَمَلُكُمْ أَنْتُمْ بَرِيئُونَ مِمَّا أَعْمَلُ وَأَنَا بَرِيءٌ مِمَّا تَعْمَلُونَ</w:t>
      </w:r>
      <w:r w:rsidRPr="006571AC">
        <w:rPr>
          <w:rFonts w:ascii="Mosawi" w:hAnsi="Mosawi" w:cs="Mosawi"/>
          <w:sz w:val="24"/>
          <w:szCs w:val="24"/>
          <w:rtl/>
        </w:rPr>
        <w:t>﴾</w:t>
      </w:r>
      <w:r w:rsidRPr="006571AC">
        <w:rPr>
          <w:rFonts w:ascii="Simplified Arabic" w:hAnsi="Simplified Arabic" w:hint="cs"/>
          <w:sz w:val="27"/>
          <w:rtl/>
        </w:rPr>
        <w:t xml:space="preserve"> (يونس: 41)</w:t>
      </w:r>
      <w:r w:rsidRPr="006571AC">
        <w:rPr>
          <w:rFonts w:ascii="Simplified Arabic" w:hAnsi="Simplified Arabic"/>
          <w:sz w:val="27"/>
          <w:rtl/>
        </w:rPr>
        <w:t xml:space="preserve">.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b/>
          <w:bCs/>
          <w:sz w:val="27"/>
          <w:rtl/>
        </w:rPr>
        <w:t>ثالثاً</w:t>
      </w:r>
      <w:r w:rsidRPr="006571AC">
        <w:rPr>
          <w:rFonts w:ascii="Simplified Arabic" w:hAnsi="Simplified Arabic"/>
          <w:sz w:val="27"/>
          <w:rtl/>
        </w:rPr>
        <w:t>: مخالفته للنص</w:t>
      </w:r>
      <w:r w:rsidR="00CD1668" w:rsidRPr="006571AC">
        <w:rPr>
          <w:rFonts w:ascii="Simplified Arabic" w:hAnsi="Simplified Arabic" w:hint="cs"/>
          <w:sz w:val="27"/>
          <w:rtl/>
        </w:rPr>
        <w:t>ّ</w:t>
      </w:r>
      <w:r w:rsidRPr="006571AC">
        <w:rPr>
          <w:rFonts w:ascii="Simplified Arabic" w:hAnsi="Simplified Arabic"/>
          <w:sz w:val="27"/>
          <w:rtl/>
        </w:rPr>
        <w:t xml:space="preserve"> القرآني في بيان كيفية الدعوة والتبليغ، كقوله تعالى: </w:t>
      </w:r>
      <w:r w:rsidRPr="006571AC">
        <w:rPr>
          <w:rFonts w:ascii="Mosawi" w:hAnsi="Mosawi" w:cs="Mosawi"/>
          <w:sz w:val="24"/>
          <w:szCs w:val="24"/>
          <w:rtl/>
        </w:rPr>
        <w:t>﴿</w:t>
      </w:r>
      <w:r w:rsidRPr="006571AC">
        <w:rPr>
          <w:rFonts w:ascii="Simplified Arabic" w:hAnsi="Simplified Arabic"/>
          <w:b/>
          <w:bCs/>
          <w:sz w:val="27"/>
          <w:rtl/>
        </w:rPr>
        <w:t xml:space="preserve">ادْعُ إِلَى سَبِيلِ رَبِّكَ بِالْحِكْمَةِ وَالْمَوْعِظَةِ الْحَسَنَةِ وَجَادِلْهُمْ بِالَّتِي هِيَ أَحْسَنُ إِنَّ رَبَّكَ </w:t>
      </w:r>
      <w:r w:rsidRPr="006571AC">
        <w:rPr>
          <w:rFonts w:ascii="Simplified Arabic" w:hAnsi="Simplified Arabic"/>
          <w:b/>
          <w:bCs/>
          <w:sz w:val="27"/>
          <w:rtl/>
        </w:rPr>
        <w:lastRenderedPageBreak/>
        <w:t>هُوَ أَعْلَمُ بِمَنْ ضَلَّ عَنْ سَبِيلِهِ وَهُوَ أَعْلَمُ بِالْمُهْتَدِينَ</w:t>
      </w:r>
      <w:r w:rsidRPr="006571AC">
        <w:rPr>
          <w:rFonts w:ascii="Mosawi" w:hAnsi="Mosawi" w:cs="Mosawi"/>
          <w:sz w:val="24"/>
          <w:szCs w:val="24"/>
          <w:rtl/>
        </w:rPr>
        <w:t>﴾</w:t>
      </w:r>
      <w:r w:rsidRPr="006571AC">
        <w:rPr>
          <w:rFonts w:ascii="Simplified Arabic" w:hAnsi="Simplified Arabic" w:hint="cs"/>
          <w:sz w:val="27"/>
          <w:rtl/>
        </w:rPr>
        <w:t xml:space="preserve"> (النحل: 125)،</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قُلْ يَا أَهْلَ الْكِتَابِ تَعَالَوْا إِلَى كَلِمَةٍ سَوَاءٍ بَيْنَنَا وَبَيْنَكُمْ أَ</w:t>
      </w:r>
      <w:r w:rsidR="00CD1668" w:rsidRPr="006571AC">
        <w:rPr>
          <w:rFonts w:ascii="Simplified Arabic" w:hAnsi="Simplified Arabic" w:hint="cs"/>
          <w:b/>
          <w:bCs/>
          <w:sz w:val="27"/>
          <w:rtl/>
        </w:rPr>
        <w:t>نْ لاَ</w:t>
      </w:r>
      <w:r w:rsidRPr="006571AC">
        <w:rPr>
          <w:rFonts w:ascii="Simplified Arabic" w:hAnsi="Simplified Arabic"/>
          <w:b/>
          <w:bCs/>
          <w:sz w:val="27"/>
          <w:rtl/>
        </w:rPr>
        <w:t xml:space="preserve"> نَعْبُدَ إِ</w:t>
      </w:r>
      <w:r w:rsidR="003C2639" w:rsidRPr="006571AC">
        <w:rPr>
          <w:rFonts w:ascii="Simplified Arabic" w:hAnsi="Simplified Arabic"/>
          <w:b/>
          <w:bCs/>
          <w:sz w:val="27"/>
          <w:rtl/>
        </w:rPr>
        <w:t>لاّ</w:t>
      </w:r>
      <w:r w:rsidR="00CD1668" w:rsidRPr="006571AC">
        <w:rPr>
          <w:rFonts w:ascii="Simplified Arabic" w:hAnsi="Simplified Arabic" w:hint="cs"/>
          <w:b/>
          <w:bCs/>
          <w:sz w:val="27"/>
          <w:rtl/>
        </w:rPr>
        <w:t>َ</w:t>
      </w:r>
      <w:r w:rsidRPr="006571AC">
        <w:rPr>
          <w:rFonts w:ascii="Simplified Arabic" w:hAnsi="Simplified Arabic"/>
          <w:b/>
          <w:bCs/>
          <w:sz w:val="27"/>
          <w:rtl/>
        </w:rPr>
        <w:t xml:space="preserve"> </w:t>
      </w:r>
      <w:r w:rsidR="0097633B" w:rsidRPr="006571AC">
        <w:rPr>
          <w:rFonts w:ascii="Simplified Arabic" w:hAnsi="Simplified Arabic"/>
          <w:b/>
          <w:bCs/>
          <w:sz w:val="27"/>
          <w:rtl/>
        </w:rPr>
        <w:t>الل</w:t>
      </w:r>
      <w:r w:rsidR="00CD1668" w:rsidRPr="006571AC">
        <w:rPr>
          <w:rFonts w:ascii="Simplified Arabic" w:hAnsi="Simplified Arabic"/>
          <w:b/>
          <w:bCs/>
          <w:sz w:val="27"/>
          <w:rtl/>
        </w:rPr>
        <w:t>هَ وَل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 xml:space="preserve"> نُشْرِكَ بِهِ شَيْئ</w:t>
      </w:r>
      <w:r w:rsidR="00731867" w:rsidRPr="006571AC">
        <w:rPr>
          <w:rFonts w:ascii="Simplified Arabic" w:hAnsi="Simplified Arabic"/>
          <w:b/>
          <w:bCs/>
          <w:sz w:val="27"/>
          <w:rtl/>
        </w:rPr>
        <w:t>اً</w:t>
      </w:r>
      <w:r w:rsidR="00CD1668" w:rsidRPr="006571AC">
        <w:rPr>
          <w:rFonts w:ascii="Simplified Arabic" w:hAnsi="Simplified Arabic"/>
          <w:b/>
          <w:bCs/>
          <w:sz w:val="27"/>
          <w:rtl/>
        </w:rPr>
        <w:t xml:space="preserve"> وَل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 xml:space="preserve"> يَتَّخِذَ بَعْضُنَا بَعْض</w:t>
      </w:r>
      <w:r w:rsidR="00731867" w:rsidRPr="006571AC">
        <w:rPr>
          <w:rFonts w:ascii="Simplified Arabic" w:hAnsi="Simplified Arabic"/>
          <w:b/>
          <w:bCs/>
          <w:sz w:val="27"/>
          <w:rtl/>
        </w:rPr>
        <w:t>اً</w:t>
      </w:r>
      <w:r w:rsidRPr="006571AC">
        <w:rPr>
          <w:rFonts w:ascii="Simplified Arabic" w:hAnsi="Simplified Arabic"/>
          <w:b/>
          <w:bCs/>
          <w:sz w:val="27"/>
          <w:rtl/>
        </w:rPr>
        <w:t xml:space="preserve"> أَرْبَاب</w:t>
      </w:r>
      <w:r w:rsidR="00731867" w:rsidRPr="006571AC">
        <w:rPr>
          <w:rFonts w:ascii="Simplified Arabic" w:hAnsi="Simplified Arabic"/>
          <w:b/>
          <w:bCs/>
          <w:sz w:val="27"/>
          <w:rtl/>
        </w:rPr>
        <w:t>اً</w:t>
      </w:r>
      <w:r w:rsidRPr="006571AC">
        <w:rPr>
          <w:rFonts w:ascii="Simplified Arabic" w:hAnsi="Simplified Arabic"/>
          <w:b/>
          <w:bCs/>
          <w:sz w:val="27"/>
          <w:rtl/>
        </w:rPr>
        <w:t xml:space="preserve"> مِنْ دُونِ </w:t>
      </w:r>
      <w:r w:rsidR="0097633B" w:rsidRPr="006571AC">
        <w:rPr>
          <w:rFonts w:ascii="Simplified Arabic" w:hAnsi="Simplified Arabic"/>
          <w:b/>
          <w:bCs/>
          <w:sz w:val="27"/>
          <w:rtl/>
        </w:rPr>
        <w:t>الل</w:t>
      </w:r>
      <w:r w:rsidRPr="006571AC">
        <w:rPr>
          <w:rFonts w:ascii="Simplified Arabic" w:hAnsi="Simplified Arabic"/>
          <w:b/>
          <w:bCs/>
          <w:sz w:val="27"/>
          <w:rtl/>
        </w:rPr>
        <w:t>هِ فَإِنْ تَوَلَّوْا فَقُولُوا اشْهَدُوا بِأَنَّا مُسْلِمُونَ</w:t>
      </w:r>
      <w:r w:rsidRPr="006571AC">
        <w:rPr>
          <w:rFonts w:ascii="Mosawi" w:hAnsi="Mosawi" w:cs="Mosawi"/>
          <w:sz w:val="24"/>
          <w:szCs w:val="24"/>
          <w:rtl/>
        </w:rPr>
        <w:t>﴾</w:t>
      </w:r>
      <w:r w:rsidRPr="006571AC">
        <w:rPr>
          <w:rFonts w:ascii="Simplified Arabic" w:hAnsi="Simplified Arabic" w:hint="cs"/>
          <w:sz w:val="27"/>
          <w:rtl/>
        </w:rPr>
        <w:t xml:space="preserve"> (آل عمران: 64)</w:t>
      </w:r>
      <w:r w:rsidRPr="006571AC">
        <w:rPr>
          <w:rFonts w:ascii="Simplified Arabic" w:hAnsi="Simplified Arabic"/>
          <w:sz w:val="27"/>
          <w:rtl/>
        </w:rPr>
        <w:t xml:space="preserve">. </w:t>
      </w:r>
    </w:p>
    <w:p w:rsidR="005A03A8" w:rsidRPr="006571AC" w:rsidRDefault="005A03A8" w:rsidP="007E5A90">
      <w:pPr>
        <w:autoSpaceDE w:val="0"/>
        <w:autoSpaceDN w:val="0"/>
        <w:adjustRightInd w:val="0"/>
        <w:spacing w:line="420" w:lineRule="exact"/>
        <w:rPr>
          <w:rFonts w:ascii="Simplified Arabic" w:hAnsi="Simplified Arabic"/>
          <w:sz w:val="27"/>
          <w:rtl/>
        </w:rPr>
      </w:pPr>
      <w:r w:rsidRPr="006571AC">
        <w:rPr>
          <w:rFonts w:ascii="Simplified Arabic" w:hAnsi="Simplified Arabic"/>
          <w:b/>
          <w:bCs/>
          <w:sz w:val="27"/>
          <w:rtl/>
        </w:rPr>
        <w:t>رابعاً</w:t>
      </w:r>
      <w:r w:rsidRPr="006571AC">
        <w:rPr>
          <w:rFonts w:ascii="Simplified Arabic" w:hAnsi="Simplified Arabic"/>
          <w:sz w:val="27"/>
          <w:rtl/>
        </w:rPr>
        <w:t>: مخالفته للنص</w:t>
      </w:r>
      <w:r w:rsidR="00CD1668" w:rsidRPr="006571AC">
        <w:rPr>
          <w:rFonts w:ascii="Simplified Arabic" w:hAnsi="Simplified Arabic" w:hint="cs"/>
          <w:sz w:val="27"/>
          <w:rtl/>
        </w:rPr>
        <w:t>ّ</w:t>
      </w:r>
      <w:r w:rsidRPr="006571AC">
        <w:rPr>
          <w:rFonts w:ascii="Simplified Arabic" w:hAnsi="Simplified Arabic"/>
          <w:sz w:val="27"/>
          <w:rtl/>
        </w:rPr>
        <w:t xml:space="preserve"> القرآني في ترجيح الس</w:t>
      </w:r>
      <w:r w:rsidR="00CD1668" w:rsidRPr="006571AC">
        <w:rPr>
          <w:rFonts w:ascii="Simplified Arabic" w:hAnsi="Simplified Arabic" w:hint="cs"/>
          <w:sz w:val="27"/>
          <w:rtl/>
        </w:rPr>
        <w:t>ِّ</w:t>
      </w:r>
      <w:r w:rsidRPr="006571AC">
        <w:rPr>
          <w:rFonts w:ascii="Simplified Arabic" w:hAnsi="Simplified Arabic"/>
          <w:sz w:val="27"/>
          <w:rtl/>
        </w:rPr>
        <w:t>ل</w:t>
      </w:r>
      <w:r w:rsidR="00CD1668" w:rsidRPr="006571AC">
        <w:rPr>
          <w:rFonts w:ascii="Simplified Arabic" w:hAnsi="Simplified Arabic" w:hint="cs"/>
          <w:sz w:val="27"/>
          <w:rtl/>
        </w:rPr>
        <w:t>ْ</w:t>
      </w:r>
      <w:r w:rsidRPr="006571AC">
        <w:rPr>
          <w:rFonts w:ascii="Simplified Arabic" w:hAnsi="Simplified Arabic"/>
          <w:sz w:val="27"/>
          <w:rtl/>
        </w:rPr>
        <w:t xml:space="preserve">م والسلام، كقوله تعالى: </w:t>
      </w:r>
      <w:r w:rsidRPr="006571AC">
        <w:rPr>
          <w:rFonts w:ascii="Mosawi" w:hAnsi="Mosawi" w:cs="Mosawi"/>
          <w:sz w:val="24"/>
          <w:szCs w:val="24"/>
          <w:rtl/>
        </w:rPr>
        <w:t>﴿</w:t>
      </w:r>
      <w:r w:rsidRPr="006571AC">
        <w:rPr>
          <w:rFonts w:ascii="Simplified Arabic" w:hAnsi="Simplified Arabic"/>
          <w:b/>
          <w:bCs/>
          <w:sz w:val="27"/>
          <w:rtl/>
        </w:rPr>
        <w:t xml:space="preserve">وَإِنْ جَنَحُوا لِلسَّلْمِ فَاجْنَحْ لَهَا وَتَوَكَّلْ عَلَى </w:t>
      </w:r>
      <w:r w:rsidR="0097633B" w:rsidRPr="006571AC">
        <w:rPr>
          <w:rFonts w:ascii="Simplified Arabic" w:hAnsi="Simplified Arabic"/>
          <w:b/>
          <w:bCs/>
          <w:sz w:val="27"/>
          <w:rtl/>
        </w:rPr>
        <w:t>الل</w:t>
      </w:r>
      <w:r w:rsidRPr="006571AC">
        <w:rPr>
          <w:rFonts w:ascii="Simplified Arabic" w:hAnsi="Simplified Arabic"/>
          <w:b/>
          <w:bCs/>
          <w:sz w:val="27"/>
          <w:rtl/>
        </w:rPr>
        <w:t>هِ إِنَّهُ هُوَ السَّمِيعُ الْعَلِيمُ</w:t>
      </w:r>
      <w:r w:rsidRPr="006571AC">
        <w:rPr>
          <w:rFonts w:ascii="Mosawi" w:hAnsi="Mosawi" w:cs="Mosawi"/>
          <w:sz w:val="24"/>
          <w:szCs w:val="24"/>
          <w:rtl/>
        </w:rPr>
        <w:t>﴾</w:t>
      </w:r>
      <w:r w:rsidRPr="006571AC">
        <w:rPr>
          <w:rFonts w:ascii="Simplified Arabic" w:hAnsi="Simplified Arabic" w:hint="cs"/>
          <w:sz w:val="27"/>
          <w:rtl/>
        </w:rPr>
        <w:t xml:space="preserve"> (الأنفال: 61)</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 xml:space="preserve">فَإِنِ اعْتَزَلُوكُمْ فَلَمْ يُقَاتِلُوكُمْ وَأَلْقَوْا إِلَيْكُمُ السَّلَمَ فَمَا جَعَلَ </w:t>
      </w:r>
      <w:r w:rsidR="0097633B" w:rsidRPr="006571AC">
        <w:rPr>
          <w:rFonts w:ascii="Simplified Arabic" w:hAnsi="Simplified Arabic"/>
          <w:b/>
          <w:bCs/>
          <w:sz w:val="27"/>
          <w:rtl/>
        </w:rPr>
        <w:t>الل</w:t>
      </w:r>
      <w:r w:rsidRPr="006571AC">
        <w:rPr>
          <w:rFonts w:ascii="Simplified Arabic" w:hAnsi="Simplified Arabic"/>
          <w:b/>
          <w:bCs/>
          <w:sz w:val="27"/>
          <w:rtl/>
        </w:rPr>
        <w:t>هُ لَكُمْ عَلَيْهِمْ سَبِيل</w:t>
      </w:r>
      <w:r w:rsidR="00731867" w:rsidRPr="006571AC">
        <w:rPr>
          <w:rFonts w:ascii="Simplified Arabic" w:hAnsi="Simplified Arabic"/>
          <w:b/>
          <w:bCs/>
          <w:sz w:val="27"/>
          <w:rtl/>
        </w:rPr>
        <w:t>اً</w:t>
      </w:r>
      <w:r w:rsidRPr="006571AC">
        <w:rPr>
          <w:rFonts w:ascii="Mosawi" w:hAnsi="Mosawi" w:cs="Mosawi"/>
          <w:sz w:val="24"/>
          <w:szCs w:val="24"/>
          <w:rtl/>
        </w:rPr>
        <w:t>﴾</w:t>
      </w:r>
      <w:r w:rsidRPr="006571AC">
        <w:rPr>
          <w:rFonts w:ascii="Simplified Arabic" w:hAnsi="Simplified Arabic" w:hint="cs"/>
          <w:sz w:val="27"/>
          <w:rtl/>
        </w:rPr>
        <w:t xml:space="preserve"> (النساء: 90)</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 xml:space="preserve">أُذِنَ لِلَّذِينَ يُقَاتَلُونَ بِأَنَّهُمْ ظُلِمُوا وَإِنَّ </w:t>
      </w:r>
      <w:r w:rsidR="0097633B" w:rsidRPr="006571AC">
        <w:rPr>
          <w:rFonts w:ascii="Simplified Arabic" w:hAnsi="Simplified Arabic"/>
          <w:b/>
          <w:bCs/>
          <w:sz w:val="27"/>
          <w:rtl/>
        </w:rPr>
        <w:t>الل</w:t>
      </w:r>
      <w:r w:rsidRPr="006571AC">
        <w:rPr>
          <w:rFonts w:ascii="Simplified Arabic" w:hAnsi="Simplified Arabic"/>
          <w:b/>
          <w:bCs/>
          <w:sz w:val="27"/>
          <w:rtl/>
        </w:rPr>
        <w:t>هَ عَلَى نَصْرِهِمْ لَقَدِيرٌ * الَّذِينَ أُخْرِجُوا مِنْ دِيَارِهِمْ بِغَيْرِ حَقٍّ إِ</w:t>
      </w:r>
      <w:r w:rsidR="003C2639" w:rsidRPr="006571AC">
        <w:rPr>
          <w:rFonts w:ascii="Simplified Arabic" w:hAnsi="Simplified Arabic"/>
          <w:b/>
          <w:bCs/>
          <w:sz w:val="27"/>
          <w:rtl/>
        </w:rPr>
        <w:t>لاّ</w:t>
      </w:r>
      <w:r w:rsidR="00B4276D" w:rsidRPr="006571AC">
        <w:rPr>
          <w:rFonts w:ascii="Simplified Arabic" w:hAnsi="Simplified Arabic" w:hint="cs"/>
          <w:b/>
          <w:bCs/>
          <w:sz w:val="27"/>
          <w:rtl/>
        </w:rPr>
        <w:t>َ</w:t>
      </w:r>
      <w:r w:rsidRPr="006571AC">
        <w:rPr>
          <w:rFonts w:ascii="Simplified Arabic" w:hAnsi="Simplified Arabic"/>
          <w:b/>
          <w:bCs/>
          <w:sz w:val="27"/>
          <w:rtl/>
        </w:rPr>
        <w:t xml:space="preserve"> أَنْ يَقُولُوا رَبُّنَا </w:t>
      </w:r>
      <w:r w:rsidR="0097633B" w:rsidRPr="006571AC">
        <w:rPr>
          <w:rFonts w:ascii="Simplified Arabic" w:hAnsi="Simplified Arabic"/>
          <w:b/>
          <w:bCs/>
          <w:sz w:val="27"/>
          <w:rtl/>
        </w:rPr>
        <w:t>الل</w:t>
      </w:r>
      <w:r w:rsidR="00B4276D" w:rsidRPr="006571AC">
        <w:rPr>
          <w:rFonts w:ascii="Simplified Arabic" w:hAnsi="Simplified Arabic"/>
          <w:b/>
          <w:bCs/>
          <w:sz w:val="27"/>
          <w:rtl/>
        </w:rPr>
        <w:t>هُ وَلَوْل</w:t>
      </w:r>
      <w:r w:rsidRPr="006571AC">
        <w:rPr>
          <w:rFonts w:ascii="Simplified Arabic" w:hAnsi="Simplified Arabic"/>
          <w:b/>
          <w:bCs/>
          <w:sz w:val="27"/>
          <w:rtl/>
        </w:rPr>
        <w:t>ا</w:t>
      </w:r>
      <w:r w:rsidR="00B4276D" w:rsidRPr="006571AC">
        <w:rPr>
          <w:rFonts w:ascii="Simplified Arabic" w:hAnsi="Simplified Arabic" w:hint="cs"/>
          <w:b/>
          <w:bCs/>
          <w:sz w:val="27"/>
          <w:rtl/>
        </w:rPr>
        <w:t>َ</w:t>
      </w:r>
      <w:r w:rsidRPr="006571AC">
        <w:rPr>
          <w:rFonts w:ascii="Simplified Arabic" w:hAnsi="Simplified Arabic"/>
          <w:b/>
          <w:bCs/>
          <w:sz w:val="27"/>
          <w:rtl/>
        </w:rPr>
        <w:t xml:space="preserve"> دَفْعُ </w:t>
      </w:r>
      <w:r w:rsidR="0097633B" w:rsidRPr="006571AC">
        <w:rPr>
          <w:rFonts w:ascii="Simplified Arabic" w:hAnsi="Simplified Arabic"/>
          <w:b/>
          <w:bCs/>
          <w:sz w:val="27"/>
          <w:rtl/>
        </w:rPr>
        <w:t>الل</w:t>
      </w:r>
      <w:r w:rsidRPr="006571AC">
        <w:rPr>
          <w:rFonts w:ascii="Simplified Arabic" w:hAnsi="Simplified Arabic"/>
          <w:b/>
          <w:bCs/>
          <w:sz w:val="27"/>
          <w:rtl/>
        </w:rPr>
        <w:t xml:space="preserve">هِ النَّاسَ بَعْضَهُمْ بِبَعْضٍ لَهُدِّمَتْ صَوَامِعُ وَبِيَعٌ وَصَلَوَاتٌ وَمَسَاجِدُ يُذْكَرُ فِيهَا اسْمُ </w:t>
      </w:r>
      <w:r w:rsidR="0097633B" w:rsidRPr="006571AC">
        <w:rPr>
          <w:rFonts w:ascii="Simplified Arabic" w:hAnsi="Simplified Arabic"/>
          <w:b/>
          <w:bCs/>
          <w:sz w:val="27"/>
          <w:rtl/>
        </w:rPr>
        <w:t>الل</w:t>
      </w:r>
      <w:r w:rsidRPr="006571AC">
        <w:rPr>
          <w:rFonts w:ascii="Simplified Arabic" w:hAnsi="Simplified Arabic"/>
          <w:b/>
          <w:bCs/>
          <w:sz w:val="27"/>
          <w:rtl/>
        </w:rPr>
        <w:t>هِ كَثِير</w:t>
      </w:r>
      <w:r w:rsidR="00731867" w:rsidRPr="006571AC">
        <w:rPr>
          <w:rFonts w:ascii="Simplified Arabic" w:hAnsi="Simplified Arabic"/>
          <w:b/>
          <w:bCs/>
          <w:sz w:val="27"/>
          <w:rtl/>
        </w:rPr>
        <w:t>اً</w:t>
      </w:r>
      <w:r w:rsidRPr="006571AC">
        <w:rPr>
          <w:rFonts w:ascii="Simplified Arabic" w:hAnsi="Simplified Arabic"/>
          <w:b/>
          <w:bCs/>
          <w:sz w:val="27"/>
          <w:rtl/>
        </w:rPr>
        <w:t xml:space="preserve"> وَلَيَنْصُرَنَّ </w:t>
      </w:r>
      <w:r w:rsidR="0097633B" w:rsidRPr="006571AC">
        <w:rPr>
          <w:rFonts w:ascii="Simplified Arabic" w:hAnsi="Simplified Arabic"/>
          <w:b/>
          <w:bCs/>
          <w:sz w:val="27"/>
          <w:rtl/>
        </w:rPr>
        <w:t>الل</w:t>
      </w:r>
      <w:r w:rsidRPr="006571AC">
        <w:rPr>
          <w:rFonts w:ascii="Simplified Arabic" w:hAnsi="Simplified Arabic"/>
          <w:b/>
          <w:bCs/>
          <w:sz w:val="27"/>
          <w:rtl/>
        </w:rPr>
        <w:t xml:space="preserve">هُ مَنْ يَنْصُرُهُ إِنَّ </w:t>
      </w:r>
      <w:r w:rsidR="0097633B" w:rsidRPr="006571AC">
        <w:rPr>
          <w:rFonts w:ascii="Simplified Arabic" w:hAnsi="Simplified Arabic"/>
          <w:b/>
          <w:bCs/>
          <w:sz w:val="27"/>
          <w:rtl/>
        </w:rPr>
        <w:t>الل</w:t>
      </w:r>
      <w:r w:rsidRPr="006571AC">
        <w:rPr>
          <w:rFonts w:ascii="Simplified Arabic" w:hAnsi="Simplified Arabic"/>
          <w:b/>
          <w:bCs/>
          <w:sz w:val="27"/>
          <w:rtl/>
        </w:rPr>
        <w:t>هَ لَقَوِيٌّ عَزِيزٌ</w:t>
      </w:r>
      <w:r w:rsidRPr="006571AC">
        <w:rPr>
          <w:rFonts w:ascii="Mosawi" w:hAnsi="Mosawi" w:cs="Mosawi"/>
          <w:sz w:val="24"/>
          <w:szCs w:val="24"/>
          <w:rtl/>
        </w:rPr>
        <w:t>﴾</w:t>
      </w:r>
      <w:r w:rsidRPr="006571AC">
        <w:rPr>
          <w:rFonts w:ascii="Simplified Arabic" w:hAnsi="Simplified Arabic" w:hint="cs"/>
          <w:sz w:val="27"/>
          <w:rtl/>
        </w:rPr>
        <w:t xml:space="preserve"> (الحجّ: 39 ـ 40)</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 xml:space="preserve">وَقَاتِلُوا فِي سَبِيلِ </w:t>
      </w:r>
      <w:r w:rsidR="0097633B" w:rsidRPr="006571AC">
        <w:rPr>
          <w:rFonts w:ascii="Simplified Arabic" w:hAnsi="Simplified Arabic"/>
          <w:b/>
          <w:bCs/>
          <w:sz w:val="27"/>
          <w:rtl/>
        </w:rPr>
        <w:t>الل</w:t>
      </w:r>
      <w:r w:rsidRPr="006571AC">
        <w:rPr>
          <w:rFonts w:ascii="Simplified Arabic" w:hAnsi="Simplified Arabic"/>
          <w:b/>
          <w:bCs/>
          <w:sz w:val="27"/>
          <w:rtl/>
        </w:rPr>
        <w:t>هِ</w:t>
      </w:r>
      <w:r w:rsidR="00B4276D" w:rsidRPr="006571AC">
        <w:rPr>
          <w:rFonts w:ascii="Simplified Arabic" w:hAnsi="Simplified Arabic"/>
          <w:b/>
          <w:bCs/>
          <w:sz w:val="27"/>
          <w:rtl/>
        </w:rPr>
        <w:t xml:space="preserve"> الَّذِينَ يُقَاتِلُونَكُمْ وَل</w:t>
      </w:r>
      <w:r w:rsidRPr="006571AC">
        <w:rPr>
          <w:rFonts w:ascii="Simplified Arabic" w:hAnsi="Simplified Arabic"/>
          <w:b/>
          <w:bCs/>
          <w:sz w:val="27"/>
          <w:rtl/>
        </w:rPr>
        <w:t>ا</w:t>
      </w:r>
      <w:r w:rsidR="00B4276D" w:rsidRPr="006571AC">
        <w:rPr>
          <w:rFonts w:ascii="Simplified Arabic" w:hAnsi="Simplified Arabic" w:hint="cs"/>
          <w:b/>
          <w:bCs/>
          <w:sz w:val="27"/>
          <w:rtl/>
        </w:rPr>
        <w:t>َ</w:t>
      </w:r>
      <w:r w:rsidRPr="006571AC">
        <w:rPr>
          <w:rFonts w:ascii="Simplified Arabic" w:hAnsi="Simplified Arabic"/>
          <w:b/>
          <w:bCs/>
          <w:sz w:val="27"/>
          <w:rtl/>
        </w:rPr>
        <w:t xml:space="preserve"> تَعْتَدُوا إِنَّ </w:t>
      </w:r>
      <w:r w:rsidR="0097633B" w:rsidRPr="006571AC">
        <w:rPr>
          <w:rFonts w:ascii="Simplified Arabic" w:hAnsi="Simplified Arabic"/>
          <w:b/>
          <w:bCs/>
          <w:sz w:val="27"/>
          <w:rtl/>
        </w:rPr>
        <w:t>الل</w:t>
      </w:r>
      <w:r w:rsidR="00B4276D" w:rsidRPr="006571AC">
        <w:rPr>
          <w:rFonts w:ascii="Simplified Arabic" w:hAnsi="Simplified Arabic"/>
          <w:b/>
          <w:bCs/>
          <w:sz w:val="27"/>
          <w:rtl/>
        </w:rPr>
        <w:t>هَ ل</w:t>
      </w:r>
      <w:r w:rsidRPr="006571AC">
        <w:rPr>
          <w:rFonts w:ascii="Simplified Arabic" w:hAnsi="Simplified Arabic"/>
          <w:b/>
          <w:bCs/>
          <w:sz w:val="27"/>
          <w:rtl/>
        </w:rPr>
        <w:t>ا</w:t>
      </w:r>
      <w:r w:rsidR="00B4276D" w:rsidRPr="006571AC">
        <w:rPr>
          <w:rFonts w:ascii="Simplified Arabic" w:hAnsi="Simplified Arabic" w:hint="cs"/>
          <w:b/>
          <w:bCs/>
          <w:sz w:val="27"/>
          <w:rtl/>
        </w:rPr>
        <w:t>َ</w:t>
      </w:r>
      <w:r w:rsidRPr="006571AC">
        <w:rPr>
          <w:rFonts w:ascii="Simplified Arabic" w:hAnsi="Simplified Arabic"/>
          <w:b/>
          <w:bCs/>
          <w:sz w:val="27"/>
          <w:rtl/>
        </w:rPr>
        <w:t xml:space="preserve"> يُحِبُّ الْمُعْتَدِينَ</w:t>
      </w:r>
      <w:r w:rsidRPr="006571AC">
        <w:rPr>
          <w:rFonts w:ascii="Mosawi" w:hAnsi="Mosawi" w:cs="Mosawi"/>
          <w:sz w:val="24"/>
          <w:szCs w:val="24"/>
          <w:rtl/>
        </w:rPr>
        <w:t>﴾</w:t>
      </w:r>
      <w:r w:rsidRPr="006571AC">
        <w:rPr>
          <w:rFonts w:ascii="Simplified Arabic" w:hAnsi="Simplified Arabic" w:hint="cs"/>
          <w:sz w:val="27"/>
          <w:rtl/>
        </w:rPr>
        <w:t xml:space="preserve"> (البقرة: 190)</w:t>
      </w:r>
      <w:r w:rsidRPr="006571AC">
        <w:rPr>
          <w:rFonts w:ascii="Simplified Arabic" w:hAnsi="Simplified Arabic"/>
          <w:sz w:val="27"/>
          <w:rtl/>
        </w:rPr>
        <w:t xml:space="preserve">. </w:t>
      </w:r>
    </w:p>
    <w:p w:rsidR="009241DB" w:rsidRPr="006571AC" w:rsidRDefault="009241DB" w:rsidP="007E5A90">
      <w:pPr>
        <w:autoSpaceDE w:val="0"/>
        <w:autoSpaceDN w:val="0"/>
        <w:adjustRightInd w:val="0"/>
        <w:spacing w:line="450" w:lineRule="exact"/>
        <w:rPr>
          <w:rFonts w:ascii="Simplified Arabic" w:hAnsi="Simplified Arabic"/>
          <w:sz w:val="27"/>
          <w:rtl/>
        </w:rPr>
      </w:pPr>
    </w:p>
    <w:p w:rsidR="009241DB" w:rsidRPr="006571AC" w:rsidRDefault="009241DB" w:rsidP="009241DB">
      <w:pPr>
        <w:pStyle w:val="31"/>
        <w:rPr>
          <w:color w:val="auto"/>
          <w:rtl/>
        </w:rPr>
      </w:pPr>
      <w:bookmarkStart w:id="319" w:name="_Toc114164745"/>
      <w:r w:rsidRPr="006571AC">
        <w:rPr>
          <w:rFonts w:hint="cs"/>
          <w:color w:val="auto"/>
          <w:rtl/>
        </w:rPr>
        <w:t>وجوه الحمل على غير الظاهر</w:t>
      </w:r>
      <w:bookmarkEnd w:id="319"/>
    </w:p>
    <w:p w:rsidR="005A03A8" w:rsidRPr="006571AC" w:rsidRDefault="005A03A8" w:rsidP="007E5A90">
      <w:pPr>
        <w:pStyle w:val="afffffff6"/>
        <w:bidi/>
        <w:spacing w:line="42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وبالتالي فإن ظاهر هذا الخبر مم</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ا يتنافى مع قطعي</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الكتاب العزيز، فيسقط ظاهره عن الاعتبار، ولذا حمل بعضهم الخبر على غير ظاهره</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w:t>
      </w:r>
      <w:r w:rsidRPr="006571AC">
        <w:rPr>
          <w:rFonts w:ascii="Simplified Arabic" w:hAnsi="Simplified Arabic" w:cs="AL-Mohanad" w:hint="cs"/>
          <w:sz w:val="27"/>
          <w:szCs w:val="27"/>
          <w:rtl/>
        </w:rPr>
        <w:t>لوجوه</w:t>
      </w:r>
      <w:r w:rsidRPr="006571AC">
        <w:rPr>
          <w:rFonts w:ascii="Simplified Arabic" w:hAnsi="Simplified Arabic" w:cs="AL-Mohanad"/>
          <w:sz w:val="27"/>
          <w:szCs w:val="27"/>
          <w:rtl/>
        </w:rPr>
        <w:t xml:space="preserve">: </w:t>
      </w:r>
    </w:p>
    <w:p w:rsidR="005A03A8" w:rsidRPr="006571AC" w:rsidRDefault="005A03A8" w:rsidP="007E5A90">
      <w:pPr>
        <w:pStyle w:val="afffffff6"/>
        <w:bidi/>
        <w:spacing w:line="460" w:lineRule="exact"/>
        <w:ind w:firstLine="567"/>
        <w:jc w:val="both"/>
        <w:rPr>
          <w:rFonts w:ascii="Simplified Arabic" w:hAnsi="Simplified Arabic" w:cs="AL-Mohanad"/>
          <w:sz w:val="27"/>
          <w:szCs w:val="27"/>
          <w:rtl/>
        </w:rPr>
      </w:pPr>
    </w:p>
    <w:p w:rsidR="005A03A8" w:rsidRPr="006571AC" w:rsidRDefault="009241DB" w:rsidP="006F2FB7">
      <w:pPr>
        <w:pStyle w:val="31"/>
        <w:rPr>
          <w:color w:val="auto"/>
          <w:rtl/>
        </w:rPr>
      </w:pPr>
      <w:bookmarkStart w:id="320" w:name="_Toc114164746"/>
      <w:r w:rsidRPr="006571AC">
        <w:rPr>
          <w:rFonts w:hint="cs"/>
          <w:color w:val="auto"/>
          <w:rtl/>
        </w:rPr>
        <w:t>1ـ</w:t>
      </w:r>
      <w:r w:rsidR="005A03A8" w:rsidRPr="006571AC">
        <w:rPr>
          <w:color w:val="auto"/>
          <w:rtl/>
        </w:rPr>
        <w:t xml:space="preserve"> تخصيص كلمة </w:t>
      </w:r>
      <w:r w:rsidR="006F2FB7" w:rsidRPr="006571AC">
        <w:rPr>
          <w:rFonts w:hint="eastAsia"/>
          <w:color w:val="auto"/>
          <w:rtl/>
        </w:rPr>
        <w:t>«</w:t>
      </w:r>
      <w:r w:rsidR="005A03A8" w:rsidRPr="006571AC">
        <w:rPr>
          <w:color w:val="auto"/>
          <w:rtl/>
        </w:rPr>
        <w:t>الناس</w:t>
      </w:r>
      <w:r w:rsidR="006F2FB7" w:rsidRPr="006571AC">
        <w:rPr>
          <w:rFonts w:hint="eastAsia"/>
          <w:color w:val="auto"/>
          <w:rtl/>
        </w:rPr>
        <w:t>»</w:t>
      </w:r>
      <w:bookmarkEnd w:id="320"/>
      <w:r w:rsidR="005A03A8" w:rsidRPr="006571AC">
        <w:rPr>
          <w:color w:val="auto"/>
          <w:rtl/>
        </w:rPr>
        <w:t xml:space="preserve"> </w:t>
      </w:r>
    </w:p>
    <w:p w:rsidR="00B4276D" w:rsidRPr="006571AC" w:rsidRDefault="005A03A8" w:rsidP="006F2FB7">
      <w:pPr>
        <w:pStyle w:val="afffffff6"/>
        <w:bidi/>
        <w:spacing w:line="42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 xml:space="preserve">فإن عبارة </w:t>
      </w:r>
      <w:r w:rsidR="006F2FB7" w:rsidRPr="006571AC">
        <w:rPr>
          <w:rFonts w:cs="AL-Mohanad" w:hint="eastAsia"/>
          <w:sz w:val="24"/>
          <w:szCs w:val="24"/>
          <w:rtl/>
        </w:rPr>
        <w:t>«</w:t>
      </w:r>
      <w:r w:rsidRPr="006571AC">
        <w:rPr>
          <w:rFonts w:ascii="Simplified Arabic" w:hAnsi="Simplified Arabic" w:cs="AL-Mohanad"/>
          <w:sz w:val="27"/>
          <w:szCs w:val="27"/>
          <w:rtl/>
        </w:rPr>
        <w:t>الناس</w:t>
      </w:r>
      <w:r w:rsidR="006F2FB7" w:rsidRPr="006571AC">
        <w:rPr>
          <w:rFonts w:cs="AL-Mohanad" w:hint="eastAsia"/>
          <w:sz w:val="24"/>
          <w:szCs w:val="24"/>
          <w:rtl/>
        </w:rPr>
        <w:t>»</w:t>
      </w:r>
      <w:r w:rsidRPr="006571AC">
        <w:rPr>
          <w:rFonts w:ascii="Simplified Arabic" w:hAnsi="Simplified Arabic" w:cs="AL-Mohanad"/>
          <w:sz w:val="27"/>
          <w:szCs w:val="27"/>
          <w:rtl/>
        </w:rPr>
        <w:t xml:space="preserve"> الواردة في الخبر إم</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ا خطأ</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من الراوي</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أو عام</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ي</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راد منه خاص</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وهم خصوص المحاربين من المشركين أو مشركي العرب أو مشركي مك</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ة</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كما جاء في بعض ط</w:t>
      </w:r>
      <w:r w:rsidR="006F2FB7" w:rsidRPr="006571AC">
        <w:rPr>
          <w:rFonts w:ascii="Simplified Arabic" w:hAnsi="Simplified Arabic" w:cs="AL-Mohanad" w:hint="cs"/>
          <w:sz w:val="27"/>
          <w:szCs w:val="27"/>
          <w:rtl/>
        </w:rPr>
        <w:t>ُ</w:t>
      </w:r>
      <w:r w:rsidRPr="006571AC">
        <w:rPr>
          <w:rFonts w:ascii="Simplified Arabic" w:hAnsi="Simplified Arabic" w:cs="AL-Mohanad"/>
          <w:sz w:val="27"/>
          <w:szCs w:val="27"/>
          <w:rtl/>
        </w:rPr>
        <w:t>ر</w:t>
      </w:r>
      <w:r w:rsidR="006F2FB7" w:rsidRPr="006571AC">
        <w:rPr>
          <w:rFonts w:ascii="Simplified Arabic" w:hAnsi="Simplified Arabic" w:cs="AL-Mohanad" w:hint="cs"/>
          <w:sz w:val="27"/>
          <w:szCs w:val="27"/>
          <w:rtl/>
        </w:rPr>
        <w:t>ُ</w:t>
      </w:r>
      <w:r w:rsidRPr="006571AC">
        <w:rPr>
          <w:rFonts w:ascii="Simplified Arabic" w:hAnsi="Simplified Arabic" w:cs="AL-Mohanad"/>
          <w:sz w:val="27"/>
          <w:szCs w:val="27"/>
          <w:rtl/>
        </w:rPr>
        <w:t>قه</w:t>
      </w:r>
      <w:r w:rsidR="00B4276D"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حيث إن وظيفة الحاكم تجاههم هي القتال</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حت</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ى يقر</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وا بالتوحيد</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ويعلنوا التوبة عن شركهم</w:t>
      </w:r>
      <w:r w:rsidR="00B4276D" w:rsidRPr="006571AC">
        <w:rPr>
          <w:rFonts w:ascii="Simplified Arabic" w:hAnsi="Simplified Arabic" w:cs="AL-Mohanad" w:hint="cs"/>
          <w:sz w:val="27"/>
          <w:szCs w:val="27"/>
          <w:rtl/>
        </w:rPr>
        <w:t>.</w:t>
      </w:r>
    </w:p>
    <w:p w:rsidR="007E5A90" w:rsidRPr="006571AC" w:rsidRDefault="005A03A8" w:rsidP="007E5A90">
      <w:pPr>
        <w:pStyle w:val="afffffff6"/>
        <w:bidi/>
        <w:spacing w:line="42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ولهذا نظائر في استعمالات الكتاب والسن</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ة، منها</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قوله تعالى: </w:t>
      </w:r>
      <w:r w:rsidRPr="006571AC">
        <w:rPr>
          <w:rFonts w:ascii="Mosawi" w:hAnsi="Mosawi" w:cs="Mosawi"/>
          <w:sz w:val="24"/>
          <w:szCs w:val="24"/>
          <w:rtl/>
        </w:rPr>
        <w:t>﴿</w:t>
      </w:r>
      <w:r w:rsidRPr="006571AC">
        <w:rPr>
          <w:rFonts w:ascii="Simplified Arabic" w:hAnsi="Simplified Arabic" w:cs="AL-Mohanad"/>
          <w:b/>
          <w:bCs/>
          <w:sz w:val="27"/>
          <w:szCs w:val="27"/>
          <w:rtl/>
        </w:rPr>
        <w:t>وَأَذِّن</w:t>
      </w:r>
      <w:r w:rsidR="00B4276D"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 xml:space="preserve"> فِي النَّ</w:t>
      </w:r>
      <w:r w:rsidR="00B4276D"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اسِ بِالْحَجِّ يَأْتُوكَ رِجَال</w:t>
      </w:r>
      <w:r w:rsidR="00731867" w:rsidRPr="006571AC">
        <w:rPr>
          <w:rFonts w:ascii="Simplified Arabic" w:hAnsi="Simplified Arabic" w:cs="AL-Mohanad"/>
          <w:b/>
          <w:bCs/>
          <w:sz w:val="27"/>
          <w:szCs w:val="27"/>
          <w:rtl/>
        </w:rPr>
        <w:t>اً</w:t>
      </w:r>
      <w:r w:rsidRPr="006571AC">
        <w:rPr>
          <w:rFonts w:ascii="Mosawi" w:hAnsi="Mosawi" w:cs="Mosawi"/>
          <w:sz w:val="24"/>
          <w:szCs w:val="24"/>
          <w:rtl/>
        </w:rPr>
        <w:t>﴾</w:t>
      </w:r>
      <w:r w:rsidRPr="006571AC">
        <w:rPr>
          <w:rFonts w:ascii="Simplified Arabic" w:hAnsi="Simplified Arabic" w:cs="AL-Mohanad" w:hint="cs"/>
          <w:sz w:val="27"/>
          <w:szCs w:val="27"/>
          <w:rtl/>
        </w:rPr>
        <w:t xml:space="preserve"> (الحجّ: 27)</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فالناس عام</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وي</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راد منه خاص</w:t>
      </w:r>
      <w:r w:rsidR="00B4276D" w:rsidRPr="006571AC">
        <w:rPr>
          <w:rFonts w:ascii="Simplified Arabic" w:hAnsi="Simplified Arabic" w:cs="AL-Mohanad" w:hint="cs"/>
          <w:sz w:val="27"/>
          <w:szCs w:val="27"/>
          <w:rtl/>
        </w:rPr>
        <w:t>ٌّ،</w:t>
      </w:r>
      <w:r w:rsidR="007E5A90" w:rsidRPr="006571AC">
        <w:rPr>
          <w:rFonts w:ascii="Simplified Arabic" w:hAnsi="Simplified Arabic" w:cs="AL-Mohanad"/>
          <w:sz w:val="27"/>
          <w:szCs w:val="27"/>
          <w:rtl/>
        </w:rPr>
        <w:t xml:space="preserve"> وهم المسلمون.</w:t>
      </w:r>
    </w:p>
    <w:p w:rsidR="005A03A8" w:rsidRPr="006571AC" w:rsidRDefault="00B4276D" w:rsidP="007E5A90">
      <w:pPr>
        <w:pStyle w:val="afffffff6"/>
        <w:bidi/>
        <w:spacing w:line="420" w:lineRule="exact"/>
        <w:ind w:firstLine="567"/>
        <w:jc w:val="both"/>
        <w:rPr>
          <w:rFonts w:ascii="Simplified Arabic" w:hAnsi="Simplified Arabic" w:cs="AL-Mohanad"/>
          <w:sz w:val="27"/>
          <w:szCs w:val="27"/>
          <w:rtl/>
        </w:rPr>
      </w:pPr>
      <w:r w:rsidRPr="006571AC">
        <w:rPr>
          <w:rFonts w:ascii="Simplified Arabic" w:hAnsi="Simplified Arabic" w:cs="AL-Mohanad" w:hint="cs"/>
          <w:sz w:val="27"/>
          <w:szCs w:val="27"/>
          <w:rtl/>
        </w:rPr>
        <w:lastRenderedPageBreak/>
        <w:t>وال</w:t>
      </w:r>
      <w:r w:rsidR="005A03A8" w:rsidRPr="006571AC">
        <w:rPr>
          <w:rFonts w:ascii="Simplified Arabic" w:hAnsi="Simplified Arabic" w:cs="AL-Mohanad"/>
          <w:sz w:val="27"/>
          <w:szCs w:val="27"/>
          <w:rtl/>
        </w:rPr>
        <w:t>قرينة</w:t>
      </w:r>
      <w:r w:rsidR="006F2FB7"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على ما تقدَّم</w:t>
      </w:r>
      <w:r w:rsidR="005A03A8" w:rsidRPr="006571AC">
        <w:rPr>
          <w:rFonts w:ascii="Simplified Arabic" w:hAnsi="Simplified Arabic" w:cs="AL-Mohanad"/>
          <w:sz w:val="27"/>
          <w:szCs w:val="27"/>
          <w:rtl/>
        </w:rPr>
        <w:t xml:space="preserve"> </w:t>
      </w:r>
      <w:r w:rsidRPr="006571AC">
        <w:rPr>
          <w:rFonts w:ascii="Simplified Arabic" w:hAnsi="Simplified Arabic" w:cs="AL-Mohanad" w:hint="cs"/>
          <w:sz w:val="27"/>
          <w:szCs w:val="27"/>
          <w:rtl/>
        </w:rPr>
        <w:t>أ</w:t>
      </w:r>
      <w:r w:rsidR="005A03A8" w:rsidRPr="006571AC">
        <w:rPr>
          <w:rFonts w:ascii="Simplified Arabic" w:hAnsi="Simplified Arabic" w:cs="AL-Mohanad"/>
          <w:sz w:val="27"/>
          <w:szCs w:val="27"/>
          <w:rtl/>
        </w:rPr>
        <w:t>ن قتال المحاربين من أهل الكتاب ينتهي بإعطاء الج</w:t>
      </w:r>
      <w:r w:rsidR="00E44A8D"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ز</w:t>
      </w:r>
      <w:r w:rsidR="00E44A8D"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ية</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ولا يشترط إعلانهم التوبة ودخولهم الإسلام</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وإلا كان هذا الخبر ناسخاً للقرآن</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وهو بعيد</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لكونه خبر آحاد</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ظن</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ي الصدور</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بل ظن</w:t>
      </w:r>
      <w:r w:rsidR="00E44A8D"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ي الدلالة، ولا ينسخ القطعي</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بالظن</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ي. </w:t>
      </w:r>
    </w:p>
    <w:p w:rsidR="005A03A8" w:rsidRPr="006571AC" w:rsidRDefault="005A03A8" w:rsidP="007E5A90">
      <w:pPr>
        <w:pStyle w:val="afffffff6"/>
        <w:bidi/>
        <w:spacing w:line="380" w:lineRule="exact"/>
        <w:ind w:firstLine="567"/>
        <w:jc w:val="both"/>
        <w:rPr>
          <w:rFonts w:ascii="Simplified Arabic" w:hAnsi="Simplified Arabic" w:cs="AL-Mohanad"/>
          <w:b/>
          <w:bCs/>
          <w:sz w:val="27"/>
          <w:szCs w:val="27"/>
          <w:rtl/>
        </w:rPr>
      </w:pPr>
    </w:p>
    <w:p w:rsidR="005A03A8" w:rsidRPr="006571AC" w:rsidRDefault="009241DB" w:rsidP="00E44A8D">
      <w:pPr>
        <w:pStyle w:val="31"/>
        <w:rPr>
          <w:color w:val="auto"/>
          <w:rtl/>
        </w:rPr>
      </w:pPr>
      <w:bookmarkStart w:id="321" w:name="_Toc114164747"/>
      <w:r w:rsidRPr="006571AC">
        <w:rPr>
          <w:rFonts w:hint="cs"/>
          <w:color w:val="auto"/>
          <w:rtl/>
        </w:rPr>
        <w:t>2ـ</w:t>
      </w:r>
      <w:r w:rsidR="005A03A8" w:rsidRPr="006571AC">
        <w:rPr>
          <w:color w:val="auto"/>
          <w:rtl/>
        </w:rPr>
        <w:t xml:space="preserve"> </w:t>
      </w:r>
      <w:r w:rsidR="003E1EDB" w:rsidRPr="006571AC">
        <w:rPr>
          <w:rFonts w:hint="cs"/>
          <w:color w:val="auto"/>
          <w:rtl/>
        </w:rPr>
        <w:t>تحديد</w:t>
      </w:r>
      <w:r w:rsidR="005A03A8" w:rsidRPr="006571AC">
        <w:rPr>
          <w:color w:val="auto"/>
          <w:rtl/>
        </w:rPr>
        <w:t xml:space="preserve"> المراد من </w:t>
      </w:r>
      <w:r w:rsidR="00E44A8D" w:rsidRPr="006571AC">
        <w:rPr>
          <w:rFonts w:hint="eastAsia"/>
          <w:color w:val="auto"/>
          <w:rtl/>
        </w:rPr>
        <w:t>«</w:t>
      </w:r>
      <w:r w:rsidR="005A03A8" w:rsidRPr="006571AC">
        <w:rPr>
          <w:color w:val="auto"/>
          <w:rtl/>
        </w:rPr>
        <w:t>أقاتل</w:t>
      </w:r>
      <w:r w:rsidR="00E44A8D" w:rsidRPr="006571AC">
        <w:rPr>
          <w:rFonts w:hint="eastAsia"/>
          <w:color w:val="auto"/>
          <w:rtl/>
        </w:rPr>
        <w:t>»</w:t>
      </w:r>
      <w:bookmarkEnd w:id="321"/>
      <w:r w:rsidR="005A03A8" w:rsidRPr="006571AC">
        <w:rPr>
          <w:color w:val="auto"/>
          <w:rtl/>
        </w:rPr>
        <w:t xml:space="preserve"> </w:t>
      </w:r>
    </w:p>
    <w:p w:rsidR="005A03A8" w:rsidRPr="006571AC" w:rsidRDefault="005A03A8" w:rsidP="00E44A8D">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rPr>
        <w:t>إن المقات</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لة على وزن مفاع</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لة</w:t>
      </w:r>
      <w:r w:rsidR="00212230"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التي تدل</w:t>
      </w:r>
      <w:r w:rsidR="00212230"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على مشاركة بين طرفين</w:t>
      </w:r>
      <w:r w:rsidR="00212230"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كمبادلة</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ومشافهة</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فمتى حصل اعتداء</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من الكف</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ار لزم قتالهم</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إلا</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إذا أسلموا</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فتحقن حينئذٍ دماؤهم وأموالهم</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ولا يجوز الاعتداء عليهم؛ ل</w:t>
      </w:r>
      <w:r w:rsidR="006B79F2" w:rsidRPr="006571AC">
        <w:rPr>
          <w:rFonts w:ascii="Simplified Arabic" w:hAnsi="Simplified Arabic" w:cs="AL-Mohanad" w:hint="cs"/>
          <w:sz w:val="27"/>
          <w:szCs w:val="27"/>
          <w:rtl/>
        </w:rPr>
        <w:t>أ</w:t>
      </w:r>
      <w:r w:rsidRPr="006571AC">
        <w:rPr>
          <w:rFonts w:ascii="Simplified Arabic" w:hAnsi="Simplified Arabic" w:cs="AL-Mohanad"/>
          <w:sz w:val="27"/>
          <w:szCs w:val="27"/>
          <w:rtl/>
        </w:rPr>
        <w:t>ن الإسلام يجب</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ما كان قبله</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وبذلك يكون الخبر أجنبي</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اً عن قتل كل</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كافر</w:t>
      </w:r>
      <w:r w:rsidR="006B79F2" w:rsidRPr="006571AC">
        <w:rPr>
          <w:rFonts w:ascii="Simplified Arabic" w:hAnsi="Simplified Arabic" w:cs="AL-Mohanad" w:hint="cs"/>
          <w:sz w:val="27"/>
          <w:szCs w:val="27"/>
          <w:rtl/>
        </w:rPr>
        <w:t>ٍ</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w:t>
      </w:r>
      <w:r w:rsidR="004731CF" w:rsidRPr="006571AC">
        <w:rPr>
          <w:rFonts w:ascii="Simplified Arabic" w:hAnsi="Simplified Arabic" w:cs="AL-Mohanad" w:hint="cs"/>
          <w:sz w:val="27"/>
          <w:szCs w:val="27"/>
          <w:rtl/>
        </w:rPr>
        <w:t>و</w:t>
      </w:r>
      <w:r w:rsidRPr="006571AC">
        <w:rPr>
          <w:rFonts w:ascii="Simplified Arabic" w:hAnsi="Simplified Arabic" w:cs="AL-Mohanad"/>
          <w:sz w:val="27"/>
          <w:szCs w:val="27"/>
          <w:rtl/>
        </w:rPr>
        <w:t>إن</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لم يكن محارباً</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ولو أريد غير هذا المعنى لكان الصحيح أن ي</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قال: </w:t>
      </w:r>
      <w:r w:rsidR="00E44A8D" w:rsidRPr="006571AC">
        <w:rPr>
          <w:rFonts w:cs="AL-Mohanad" w:hint="eastAsia"/>
          <w:sz w:val="24"/>
          <w:szCs w:val="24"/>
          <w:rtl/>
        </w:rPr>
        <w:t>«</w:t>
      </w:r>
      <w:r w:rsidRPr="006571AC">
        <w:rPr>
          <w:rFonts w:ascii="Simplified Arabic" w:hAnsi="Simplified Arabic" w:cs="AL-Mohanad"/>
          <w:sz w:val="27"/>
          <w:szCs w:val="27"/>
          <w:rtl/>
        </w:rPr>
        <w:t>أ</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م</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ر</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أن أقتل الناس.</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w:t>
      </w:r>
      <w:r w:rsidR="00E44A8D" w:rsidRPr="006571AC">
        <w:rPr>
          <w:rFonts w:cs="AL-Mohanad" w:hint="eastAsia"/>
          <w:sz w:val="24"/>
          <w:szCs w:val="24"/>
          <w:rtl/>
        </w:rPr>
        <w:t>»</w:t>
      </w:r>
      <w:r w:rsidRPr="006571AC">
        <w:rPr>
          <w:rFonts w:ascii="Simplified Arabic" w:hAnsi="Simplified Arabic" w:cs="AL-Mohanad"/>
          <w:sz w:val="27"/>
          <w:szCs w:val="27"/>
          <w:rtl/>
        </w:rPr>
        <w:t xml:space="preserve">. </w:t>
      </w:r>
    </w:p>
    <w:p w:rsidR="005A03A8" w:rsidRPr="006571AC" w:rsidRDefault="005A03A8" w:rsidP="005B0CA4">
      <w:pPr>
        <w:pStyle w:val="afffffff6"/>
        <w:bidi/>
        <w:spacing w:line="40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 xml:space="preserve">فيكون معنى الحديث موافقاً لقوله تعالى: </w:t>
      </w:r>
      <w:r w:rsidRPr="006571AC">
        <w:rPr>
          <w:rFonts w:ascii="Mosawi" w:hAnsi="Mosawi" w:cs="Mosawi"/>
          <w:sz w:val="24"/>
          <w:szCs w:val="24"/>
          <w:rtl/>
        </w:rPr>
        <w:t>﴿</w:t>
      </w:r>
      <w:r w:rsidR="004731CF" w:rsidRPr="006571AC">
        <w:rPr>
          <w:rFonts w:ascii="Simplified Arabic" w:hAnsi="Simplified Arabic" w:cs="AL-Mohanad"/>
          <w:b/>
          <w:bCs/>
          <w:sz w:val="27"/>
          <w:szCs w:val="27"/>
          <w:rtl/>
        </w:rPr>
        <w:t>وَقَاتِلُوهُمْ حَتَّى ل</w:t>
      </w:r>
      <w:r w:rsidRPr="006571AC">
        <w:rPr>
          <w:rFonts w:ascii="Simplified Arabic" w:hAnsi="Simplified Arabic" w:cs="AL-Mohanad"/>
          <w:b/>
          <w:bCs/>
          <w:sz w:val="27"/>
          <w:szCs w:val="27"/>
          <w:rtl/>
        </w:rPr>
        <w:t>ا</w:t>
      </w:r>
      <w:r w:rsidR="004731CF"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 xml:space="preserve"> تَكُونَ ف</w:t>
      </w:r>
      <w:r w:rsidR="004731CF" w:rsidRPr="006571AC">
        <w:rPr>
          <w:rFonts w:ascii="Simplified Arabic" w:hAnsi="Simplified Arabic" w:cs="AL-Mohanad"/>
          <w:b/>
          <w:bCs/>
          <w:sz w:val="27"/>
          <w:szCs w:val="27"/>
          <w:rtl/>
        </w:rPr>
        <w:t>ِتْنَةٌ وَيَكُونَ الدِّينُ للهِ فَإِنِ انْتَهَوْا فَل</w:t>
      </w:r>
      <w:r w:rsidRPr="006571AC">
        <w:rPr>
          <w:rFonts w:ascii="Simplified Arabic" w:hAnsi="Simplified Arabic" w:cs="AL-Mohanad"/>
          <w:b/>
          <w:bCs/>
          <w:sz w:val="27"/>
          <w:szCs w:val="27"/>
          <w:rtl/>
        </w:rPr>
        <w:t>ا</w:t>
      </w:r>
      <w:r w:rsidR="004731CF"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 xml:space="preserve"> عُدْوَانَ إِ</w:t>
      </w:r>
      <w:r w:rsidR="003C2639" w:rsidRPr="006571AC">
        <w:rPr>
          <w:rFonts w:ascii="Simplified Arabic" w:hAnsi="Simplified Arabic" w:cs="AL-Mohanad"/>
          <w:b/>
          <w:bCs/>
          <w:sz w:val="27"/>
          <w:szCs w:val="27"/>
          <w:rtl/>
        </w:rPr>
        <w:t>لاّ</w:t>
      </w:r>
      <w:r w:rsidR="004731CF"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 xml:space="preserve"> عَلَى الظَّالِمِينَ</w:t>
      </w:r>
      <w:r w:rsidRPr="006571AC">
        <w:rPr>
          <w:rFonts w:ascii="Mosawi" w:hAnsi="Mosawi" w:cs="Mosawi"/>
          <w:sz w:val="24"/>
          <w:szCs w:val="24"/>
          <w:rtl/>
        </w:rPr>
        <w:t>﴾</w:t>
      </w:r>
      <w:r w:rsidRPr="006571AC">
        <w:rPr>
          <w:rFonts w:ascii="Simplified Arabic" w:hAnsi="Simplified Arabic" w:cs="AL-Mohanad" w:hint="cs"/>
          <w:sz w:val="27"/>
          <w:szCs w:val="27"/>
          <w:rtl/>
        </w:rPr>
        <w:t xml:space="preserve"> (البقرة: 193)</w:t>
      </w:r>
      <w:r w:rsidRPr="006571AC">
        <w:rPr>
          <w:rFonts w:ascii="Simplified Arabic" w:hAnsi="Simplified Arabic" w:cs="AL-Mohanad"/>
          <w:sz w:val="27"/>
          <w:szCs w:val="27"/>
          <w:rtl/>
        </w:rPr>
        <w:t xml:space="preserve">، وقوله تعالى: </w:t>
      </w:r>
      <w:r w:rsidRPr="006571AC">
        <w:rPr>
          <w:rFonts w:ascii="Mosawi" w:hAnsi="Mosawi" w:cs="Mosawi"/>
          <w:sz w:val="24"/>
          <w:szCs w:val="24"/>
          <w:rtl/>
        </w:rPr>
        <w:t>﴿</w:t>
      </w:r>
      <w:r w:rsidRPr="006571AC">
        <w:rPr>
          <w:rFonts w:ascii="Simplified Arabic" w:hAnsi="Simplified Arabic" w:cs="AL-Mohanad"/>
          <w:b/>
          <w:bCs/>
          <w:sz w:val="27"/>
          <w:szCs w:val="27"/>
          <w:rtl/>
        </w:rPr>
        <w:t xml:space="preserve">وَقَاتِلُوهُمْ </w:t>
      </w:r>
      <w:r w:rsidR="004731CF" w:rsidRPr="006571AC">
        <w:rPr>
          <w:rFonts w:ascii="Simplified Arabic" w:hAnsi="Simplified Arabic" w:cs="AL-Mohanad"/>
          <w:b/>
          <w:bCs/>
          <w:sz w:val="27"/>
          <w:szCs w:val="27"/>
          <w:rtl/>
        </w:rPr>
        <w:t>حَتَّى ل</w:t>
      </w:r>
      <w:r w:rsidRPr="006571AC">
        <w:rPr>
          <w:rFonts w:ascii="Simplified Arabic" w:hAnsi="Simplified Arabic" w:cs="AL-Mohanad"/>
          <w:b/>
          <w:bCs/>
          <w:sz w:val="27"/>
          <w:szCs w:val="27"/>
          <w:rtl/>
        </w:rPr>
        <w:t>ا</w:t>
      </w:r>
      <w:r w:rsidR="004731CF"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 xml:space="preserve"> تَكُونَ فِتْنَةٌ </w:t>
      </w:r>
      <w:r w:rsidR="004731CF" w:rsidRPr="006571AC">
        <w:rPr>
          <w:rFonts w:ascii="Simplified Arabic" w:hAnsi="Simplified Arabic" w:cs="AL-Mohanad"/>
          <w:b/>
          <w:bCs/>
          <w:sz w:val="27"/>
          <w:szCs w:val="27"/>
          <w:rtl/>
        </w:rPr>
        <w:t>وَيَكُونَ الدِّينُ كُلُّهُ لل</w:t>
      </w:r>
      <w:r w:rsidRPr="006571AC">
        <w:rPr>
          <w:rFonts w:ascii="Simplified Arabic" w:hAnsi="Simplified Arabic" w:cs="AL-Mohanad"/>
          <w:b/>
          <w:bCs/>
          <w:sz w:val="27"/>
          <w:szCs w:val="27"/>
          <w:rtl/>
        </w:rPr>
        <w:t xml:space="preserve">هِ فَإِنِ انْتَهَوْا فَإِنَّ </w:t>
      </w:r>
      <w:r w:rsidR="0097633B" w:rsidRPr="006571AC">
        <w:rPr>
          <w:rFonts w:ascii="Simplified Arabic" w:hAnsi="Simplified Arabic" w:cs="AL-Mohanad"/>
          <w:b/>
          <w:bCs/>
          <w:sz w:val="27"/>
          <w:szCs w:val="27"/>
          <w:rtl/>
        </w:rPr>
        <w:t>الل</w:t>
      </w:r>
      <w:r w:rsidRPr="006571AC">
        <w:rPr>
          <w:rFonts w:ascii="Simplified Arabic" w:hAnsi="Simplified Arabic" w:cs="AL-Mohanad"/>
          <w:b/>
          <w:bCs/>
          <w:sz w:val="27"/>
          <w:szCs w:val="27"/>
          <w:rtl/>
        </w:rPr>
        <w:t>هَ بِمَا يَعْمَلُونَ بَصِيرٌ</w:t>
      </w:r>
      <w:r w:rsidRPr="006571AC">
        <w:rPr>
          <w:rFonts w:ascii="Mosawi" w:hAnsi="Mosawi" w:cs="Mosawi"/>
          <w:sz w:val="24"/>
          <w:szCs w:val="24"/>
          <w:rtl/>
        </w:rPr>
        <w:t>﴾</w:t>
      </w:r>
      <w:r w:rsidRPr="006571AC">
        <w:rPr>
          <w:rFonts w:ascii="Simplified Arabic" w:hAnsi="Simplified Arabic" w:cs="AL-Mohanad" w:hint="cs"/>
          <w:sz w:val="27"/>
          <w:szCs w:val="27"/>
          <w:rtl/>
        </w:rPr>
        <w:t xml:space="preserve"> (الأنفال: 39)</w:t>
      </w:r>
      <w:r w:rsidRPr="006571AC">
        <w:rPr>
          <w:rFonts w:ascii="Simplified Arabic" w:hAnsi="Simplified Arabic" w:cs="AL-Mohanad"/>
          <w:sz w:val="27"/>
          <w:szCs w:val="27"/>
          <w:rtl/>
        </w:rPr>
        <w:t xml:space="preserve">. </w:t>
      </w:r>
    </w:p>
    <w:p w:rsidR="005A03A8" w:rsidRPr="006571AC" w:rsidRDefault="005A03A8" w:rsidP="005B0CA4">
      <w:pPr>
        <w:pStyle w:val="afffffff6"/>
        <w:bidi/>
        <w:spacing w:line="40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وما ورد في الحديث</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عن أبي هريرة</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أن رسول الله</w:t>
      </w:r>
      <w:r w:rsidR="00AD0E8A" w:rsidRPr="006571AC">
        <w:rPr>
          <w:rFonts w:ascii="Mosawi" w:hAnsi="Mosawi" w:cs="Mosawi"/>
          <w:rtl/>
        </w:rPr>
        <w:t>ﷺ</w:t>
      </w:r>
      <w:r w:rsidRPr="006571AC">
        <w:rPr>
          <w:rFonts w:ascii="Simplified Arabic" w:hAnsi="Simplified Arabic" w:cs="AL-Mohanad"/>
          <w:sz w:val="27"/>
          <w:szCs w:val="27"/>
          <w:rtl/>
        </w:rPr>
        <w:t xml:space="preserve"> قال يوم خيبر: </w:t>
      </w:r>
      <w:r w:rsidRPr="006571AC">
        <w:rPr>
          <w:rFonts w:cs="AL-Mohanad" w:hint="eastAsia"/>
          <w:sz w:val="24"/>
          <w:szCs w:val="24"/>
          <w:rtl/>
        </w:rPr>
        <w:t>«</w:t>
      </w:r>
      <w:r w:rsidRPr="006571AC">
        <w:rPr>
          <w:rFonts w:ascii="Simplified Arabic" w:hAnsi="Simplified Arabic" w:cs="AL-Mohanad"/>
          <w:sz w:val="27"/>
          <w:szCs w:val="27"/>
          <w:rtl/>
        </w:rPr>
        <w:t>لأعطين</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هذه الراية رجلا</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يحب</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الله ورسوله</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ويحب</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ه الله ورسوله</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ويفتح الله عليه</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قال عمر بن الخط</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اب</w:t>
      </w:r>
      <w:r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ما أحب</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ب</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w:t>
      </w:r>
      <w:r w:rsidR="004731CF" w:rsidRPr="006571AC">
        <w:rPr>
          <w:rFonts w:ascii="Simplified Arabic" w:hAnsi="Simplified Arabic" w:cs="AL-Mohanad" w:hint="cs"/>
          <w:sz w:val="27"/>
          <w:szCs w:val="27"/>
          <w:rtl/>
        </w:rPr>
        <w:t>إ</w:t>
      </w:r>
      <w:r w:rsidRPr="006571AC">
        <w:rPr>
          <w:rFonts w:ascii="Simplified Arabic" w:hAnsi="Simplified Arabic" w:cs="AL-Mohanad"/>
          <w:sz w:val="27"/>
          <w:szCs w:val="27"/>
          <w:rtl/>
        </w:rPr>
        <w:t>مارة إلا</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يومئذ</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فدعا رسول الله</w:t>
      </w:r>
      <w:r w:rsidR="00AD0E8A" w:rsidRPr="006571AC">
        <w:rPr>
          <w:rFonts w:ascii="Mosawi" w:hAnsi="Mosawi" w:cs="Mosawi"/>
          <w:rtl/>
        </w:rPr>
        <w:t>ﷺ</w:t>
      </w:r>
      <w:r w:rsidRPr="006571AC">
        <w:rPr>
          <w:rFonts w:ascii="Simplified Arabic" w:hAnsi="Simplified Arabic" w:cs="AL-Mohanad"/>
          <w:sz w:val="27"/>
          <w:szCs w:val="27"/>
          <w:rtl/>
        </w:rPr>
        <w:t xml:space="preserve"> </w:t>
      </w:r>
      <w:r w:rsidR="004731CF" w:rsidRPr="006571AC">
        <w:rPr>
          <w:rFonts w:ascii="Simplified Arabic" w:hAnsi="Simplified Arabic" w:cs="AL-Mohanad" w:hint="cs"/>
          <w:sz w:val="27"/>
          <w:szCs w:val="27"/>
          <w:rtl/>
        </w:rPr>
        <w:t>عليّ</w:t>
      </w:r>
      <w:r w:rsidR="00AD0E8A" w:rsidRPr="006571AC">
        <w:rPr>
          <w:rFonts w:ascii="Simplified Arabic" w:hAnsi="Simplified Arabic" w:cs="AL-Mohanad" w:hint="cs"/>
          <w:sz w:val="27"/>
          <w:szCs w:val="27"/>
          <w:rtl/>
        </w:rPr>
        <w:t>َ</w:t>
      </w:r>
      <w:r w:rsidR="004731CF"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بن أبي طالب</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فأعطاه إي</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اها</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وقال</w:t>
      </w:r>
      <w:r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ام</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ش</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ولا تلتف</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حت</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ى يفتح الله عليك</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فسار علي</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ثم توق</w:t>
      </w:r>
      <w:r w:rsidR="004731CF" w:rsidRPr="006571AC">
        <w:rPr>
          <w:rFonts w:ascii="Simplified Arabic" w:hAnsi="Simplified Arabic" w:cs="AL-Mohanad" w:hint="cs"/>
          <w:sz w:val="27"/>
          <w:szCs w:val="27"/>
          <w:rtl/>
        </w:rPr>
        <w:t>َّ</w:t>
      </w:r>
      <w:r w:rsidR="00AD0E8A" w:rsidRPr="006571AC">
        <w:rPr>
          <w:rFonts w:ascii="Simplified Arabic" w:hAnsi="Simplified Arabic" w:cs="AL-Mohanad"/>
          <w:sz w:val="27"/>
          <w:szCs w:val="27"/>
          <w:rtl/>
        </w:rPr>
        <w:t>ف</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فصرخ</w:t>
      </w:r>
      <w:r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يا رسول الله</w:t>
      </w:r>
      <w:r w:rsidR="00AD0E8A" w:rsidRPr="006571AC">
        <w:rPr>
          <w:rFonts w:ascii="Mosawi" w:hAnsi="Mosawi" w:cs="Mosawi"/>
          <w:rtl/>
        </w:rPr>
        <w:t>ﷺ</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ع</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لام</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أقاتل الناس</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قال: قاتلهم حت</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ى يشهدوا أن لا إله إلا</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الله وأني رسول الله</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فإذا فعلوا ذلك فقد منعوا مني دماءهم وأموالهم إلا</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بحق</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ها</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وحساب</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هم على الله</w:t>
      </w:r>
      <w:r w:rsidRPr="006571AC">
        <w:rPr>
          <w:rFonts w:cs="AL-Mohanad" w:hint="eastAsia"/>
          <w:sz w:val="24"/>
          <w:szCs w:val="24"/>
          <w:rtl/>
        </w:rPr>
        <w:t>»</w:t>
      </w:r>
      <w:r w:rsidRPr="006571AC">
        <w:rPr>
          <w:rFonts w:ascii="Simplified Arabic" w:hAnsi="Simplified Arabic" w:cs="AL-Mohanad"/>
          <w:sz w:val="27"/>
          <w:szCs w:val="27"/>
          <w:vertAlign w:val="superscript"/>
          <w:rtl/>
        </w:rPr>
        <w:t>(</w:t>
      </w:r>
      <w:r w:rsidRPr="006571AC">
        <w:rPr>
          <w:rStyle w:val="ac"/>
          <w:rFonts w:ascii="Simplified Arabic" w:hAnsi="Simplified Arabic" w:cs="AL-Mohanad"/>
          <w:sz w:val="27"/>
          <w:szCs w:val="27"/>
          <w:rtl/>
        </w:rPr>
        <w:endnoteReference w:id="513"/>
      </w:r>
      <w:r w:rsidRPr="006571AC">
        <w:rPr>
          <w:rFonts w:ascii="Simplified Arabic" w:hAnsi="Simplified Arabic" w:cs="AL-Mohanad"/>
          <w:sz w:val="27"/>
          <w:szCs w:val="27"/>
          <w:vertAlign w:val="superscript"/>
          <w:rtl/>
        </w:rPr>
        <w:t>)</w:t>
      </w:r>
      <w:r w:rsidRPr="006571AC">
        <w:rPr>
          <w:rFonts w:ascii="Simplified Arabic" w:hAnsi="Simplified Arabic" w:cs="AL-Mohanad"/>
          <w:sz w:val="27"/>
          <w:szCs w:val="27"/>
          <w:rtl/>
        </w:rPr>
        <w:t xml:space="preserve">. </w:t>
      </w:r>
    </w:p>
    <w:p w:rsidR="005A03A8" w:rsidRPr="006571AC" w:rsidRDefault="005A03A8" w:rsidP="005B0CA4">
      <w:pPr>
        <w:pStyle w:val="afffffff6"/>
        <w:bidi/>
        <w:spacing w:line="40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ومنه ي</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ع</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ل</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م عدم جواز قتل كل</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كافرٍ</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ما لم تحصل منه مبادرة</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بالقتال والحرب، فيجب حينئذٍ رد</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العدوان</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دفاعاً عن النفس. </w:t>
      </w:r>
    </w:p>
    <w:p w:rsidR="005A03A8" w:rsidRPr="006571AC" w:rsidRDefault="005A03A8" w:rsidP="005B0CA4">
      <w:pPr>
        <w:pStyle w:val="afffffff6"/>
        <w:bidi/>
        <w:spacing w:line="400" w:lineRule="exact"/>
        <w:ind w:firstLine="567"/>
        <w:jc w:val="both"/>
        <w:rPr>
          <w:rFonts w:ascii="Simplified Arabic" w:hAnsi="Simplified Arabic" w:cs="AL-Mohanad"/>
          <w:sz w:val="27"/>
          <w:szCs w:val="27"/>
          <w:rtl/>
        </w:rPr>
      </w:pPr>
      <w:r w:rsidRPr="006571AC">
        <w:rPr>
          <w:rFonts w:ascii="Simplified Arabic" w:hAnsi="Simplified Arabic" w:cs="AL-Mohanad"/>
          <w:b/>
          <w:bCs/>
          <w:sz w:val="27"/>
          <w:szCs w:val="27"/>
          <w:rtl/>
        </w:rPr>
        <w:t>وقد ي</w:t>
      </w:r>
      <w:r w:rsidR="001D00CF"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قال</w:t>
      </w:r>
      <w:r w:rsidRPr="006571AC">
        <w:rPr>
          <w:rFonts w:ascii="Simplified Arabic" w:hAnsi="Simplified Arabic" w:cs="AL-Mohanad"/>
          <w:sz w:val="27"/>
          <w:szCs w:val="27"/>
          <w:rtl/>
        </w:rPr>
        <w:t xml:space="preserve">: إن </w:t>
      </w:r>
      <w:r w:rsidR="001D00CF" w:rsidRPr="006571AC">
        <w:rPr>
          <w:rFonts w:ascii="Simplified Arabic" w:hAnsi="Simplified Arabic" w:cs="AL-Mohanad" w:hint="cs"/>
          <w:sz w:val="27"/>
          <w:szCs w:val="27"/>
          <w:rtl/>
        </w:rPr>
        <w:t>ل</w:t>
      </w:r>
      <w:r w:rsidRPr="006571AC">
        <w:rPr>
          <w:rFonts w:ascii="Simplified Arabic" w:hAnsi="Simplified Arabic" w:cs="AL-Mohanad"/>
          <w:sz w:val="27"/>
          <w:szCs w:val="27"/>
          <w:rtl/>
        </w:rPr>
        <w:t>صيغة المفاعلة معان</w:t>
      </w:r>
      <w:r w:rsidR="001D00CF" w:rsidRPr="006571AC">
        <w:rPr>
          <w:rFonts w:ascii="Simplified Arabic" w:hAnsi="Simplified Arabic" w:cs="AL-Mohanad" w:hint="cs"/>
          <w:sz w:val="27"/>
          <w:szCs w:val="27"/>
          <w:rtl/>
        </w:rPr>
        <w:t>ي</w:t>
      </w:r>
      <w:r w:rsidRPr="006571AC">
        <w:rPr>
          <w:rFonts w:ascii="Simplified Arabic" w:hAnsi="Simplified Arabic" w:cs="AL-Mohanad"/>
          <w:sz w:val="27"/>
          <w:szCs w:val="27"/>
          <w:rtl/>
        </w:rPr>
        <w:t xml:space="preserve"> متعد</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دة</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بح</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س</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ب </w:t>
      </w:r>
      <w:r w:rsidRPr="006571AC">
        <w:rPr>
          <w:rFonts w:ascii="Simplified Arabic" w:hAnsi="Simplified Arabic" w:cs="AL-Mohanad" w:hint="cs"/>
          <w:sz w:val="27"/>
          <w:szCs w:val="27"/>
          <w:rtl/>
        </w:rPr>
        <w:t>الاستعمال</w:t>
      </w:r>
      <w:r w:rsidRPr="006571AC">
        <w:rPr>
          <w:rFonts w:ascii="Simplified Arabic" w:hAnsi="Simplified Arabic" w:cs="AL-Mohanad"/>
          <w:sz w:val="27"/>
          <w:szCs w:val="27"/>
          <w:rtl/>
        </w:rPr>
        <w:t xml:space="preserve"> اللغوي</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كإيجاد مادة الفعل خارجاً</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كقولك: راس</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ل</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محمداً أي بعثت</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له، فالمقات</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لة كما تصلح لرد</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العدوان كذلك تصلح للبدء به. </w:t>
      </w:r>
    </w:p>
    <w:p w:rsidR="005A03A8" w:rsidRPr="006571AC" w:rsidRDefault="00731867" w:rsidP="005B0CA4">
      <w:pPr>
        <w:pStyle w:val="afffffff6"/>
        <w:bidi/>
        <w:spacing w:line="40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lastRenderedPageBreak/>
        <w:t>بَيْدَ</w:t>
      </w:r>
      <w:r w:rsidR="005A03A8" w:rsidRPr="006571AC">
        <w:rPr>
          <w:rFonts w:ascii="Simplified Arabic" w:hAnsi="Simplified Arabic" w:cs="AL-Mohanad"/>
          <w:sz w:val="27"/>
          <w:szCs w:val="27"/>
          <w:rtl/>
        </w:rPr>
        <w:t xml:space="preserve"> </w:t>
      </w:r>
      <w:r w:rsidR="001D00CF" w:rsidRPr="006571AC">
        <w:rPr>
          <w:rFonts w:ascii="Simplified Arabic" w:hAnsi="Simplified Arabic" w:cs="AL-Mohanad" w:hint="cs"/>
          <w:sz w:val="27"/>
          <w:szCs w:val="27"/>
          <w:rtl/>
        </w:rPr>
        <w:t>أ</w:t>
      </w:r>
      <w:r w:rsidR="005A03A8" w:rsidRPr="006571AC">
        <w:rPr>
          <w:rFonts w:ascii="Simplified Arabic" w:hAnsi="Simplified Arabic" w:cs="AL-Mohanad"/>
          <w:sz w:val="27"/>
          <w:szCs w:val="27"/>
          <w:rtl/>
        </w:rPr>
        <w:t>ن القرائن الخارجية قد دل</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ت</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على استعمالها في خصوص المشاركة</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التي تقتضي رد</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العدوان</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حيث </w:t>
      </w:r>
      <w:r w:rsidR="005A03A8" w:rsidRPr="006571AC">
        <w:rPr>
          <w:rFonts w:ascii="Simplified Arabic" w:hAnsi="Simplified Arabic" w:cs="AL-Mohanad" w:hint="cs"/>
          <w:sz w:val="27"/>
          <w:szCs w:val="27"/>
          <w:rtl/>
        </w:rPr>
        <w:t>علمنا</w:t>
      </w:r>
      <w:r w:rsidR="005A03A8" w:rsidRPr="006571AC">
        <w:rPr>
          <w:rFonts w:ascii="Simplified Arabic" w:hAnsi="Simplified Arabic" w:cs="AL-Mohanad"/>
          <w:sz w:val="27"/>
          <w:szCs w:val="27"/>
          <w:rtl/>
        </w:rPr>
        <w:t xml:space="preserve"> طبيعة تعامل الشريعة الإسلامية مع الكافر</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سواء كان من أهل الكتاب أم من غيره، ومع عدمها تبقى دلالة الخبر مجملة</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من حيث تحديد الجهة التي شرعت بالقتال، فلا يمكن التمس</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ك به في المقام </w:t>
      </w:r>
      <w:r w:rsidR="005A03A8" w:rsidRPr="006571AC">
        <w:rPr>
          <w:rFonts w:ascii="Simplified Arabic" w:hAnsi="Simplified Arabic" w:cs="AL-Mohanad" w:hint="cs"/>
          <w:sz w:val="27"/>
          <w:szCs w:val="27"/>
          <w:rtl/>
        </w:rPr>
        <w:t>لإثبات مشروعية قتل كل</w:t>
      </w:r>
      <w:r w:rsidR="001D00CF" w:rsidRPr="006571AC">
        <w:rPr>
          <w:rFonts w:ascii="Simplified Arabic" w:hAnsi="Simplified Arabic" w:cs="AL-Mohanad" w:hint="cs"/>
          <w:sz w:val="27"/>
          <w:szCs w:val="27"/>
          <w:rtl/>
        </w:rPr>
        <w:t>ّ</w:t>
      </w:r>
      <w:r w:rsidR="005A03A8" w:rsidRPr="006571AC">
        <w:rPr>
          <w:rFonts w:ascii="Simplified Arabic" w:hAnsi="Simplified Arabic" w:cs="AL-Mohanad" w:hint="cs"/>
          <w:sz w:val="27"/>
          <w:szCs w:val="27"/>
          <w:rtl/>
        </w:rPr>
        <w:t xml:space="preserve"> كافر</w:t>
      </w:r>
      <w:r w:rsidR="001D00CF" w:rsidRPr="006571AC">
        <w:rPr>
          <w:rFonts w:ascii="Simplified Arabic" w:hAnsi="Simplified Arabic" w:cs="AL-Mohanad" w:hint="cs"/>
          <w:sz w:val="27"/>
          <w:szCs w:val="27"/>
          <w:rtl/>
        </w:rPr>
        <w:t>ٍ،</w:t>
      </w:r>
      <w:r w:rsidR="005A03A8" w:rsidRPr="006571AC">
        <w:rPr>
          <w:rFonts w:ascii="Simplified Arabic" w:hAnsi="Simplified Arabic" w:cs="AL-Mohanad" w:hint="cs"/>
          <w:sz w:val="27"/>
          <w:szCs w:val="27"/>
          <w:rtl/>
        </w:rPr>
        <w:t xml:space="preserve"> وإن</w:t>
      </w:r>
      <w:r w:rsidR="001D00CF" w:rsidRPr="006571AC">
        <w:rPr>
          <w:rFonts w:ascii="Simplified Arabic" w:hAnsi="Simplified Arabic" w:cs="AL-Mohanad" w:hint="cs"/>
          <w:sz w:val="27"/>
          <w:szCs w:val="27"/>
          <w:rtl/>
        </w:rPr>
        <w:t>ْ</w:t>
      </w:r>
      <w:r w:rsidR="005A03A8" w:rsidRPr="006571AC">
        <w:rPr>
          <w:rFonts w:ascii="Simplified Arabic" w:hAnsi="Simplified Arabic" w:cs="AL-Mohanad" w:hint="cs"/>
          <w:sz w:val="27"/>
          <w:szCs w:val="27"/>
          <w:rtl/>
        </w:rPr>
        <w:t xml:space="preserve"> لم يكن محارباً</w:t>
      </w:r>
      <w:r w:rsidR="001D00CF" w:rsidRPr="006571AC">
        <w:rPr>
          <w:rFonts w:ascii="Simplified Arabic" w:hAnsi="Simplified Arabic" w:cs="AL-Mohanad" w:hint="cs"/>
          <w:sz w:val="27"/>
          <w:szCs w:val="27"/>
          <w:rtl/>
        </w:rPr>
        <w:t>،</w:t>
      </w:r>
      <w:r w:rsidR="005A03A8" w:rsidRPr="006571AC">
        <w:rPr>
          <w:rFonts w:ascii="Simplified Arabic" w:hAnsi="Simplified Arabic" w:cs="AL-Mohanad" w:hint="cs"/>
          <w:sz w:val="27"/>
          <w:szCs w:val="27"/>
          <w:rtl/>
        </w:rPr>
        <w:t xml:space="preserve"> فتأم</w:t>
      </w:r>
      <w:r w:rsidR="001D00CF" w:rsidRPr="006571AC">
        <w:rPr>
          <w:rFonts w:ascii="Simplified Arabic" w:hAnsi="Simplified Arabic" w:cs="AL-Mohanad" w:hint="cs"/>
          <w:sz w:val="27"/>
          <w:szCs w:val="27"/>
          <w:rtl/>
        </w:rPr>
        <w:t>َّ</w:t>
      </w:r>
      <w:r w:rsidR="005A03A8" w:rsidRPr="006571AC">
        <w:rPr>
          <w:rFonts w:ascii="Simplified Arabic" w:hAnsi="Simplified Arabic" w:cs="AL-Mohanad" w:hint="cs"/>
          <w:sz w:val="27"/>
          <w:szCs w:val="27"/>
          <w:rtl/>
        </w:rPr>
        <w:t>ل</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w:t>
      </w:r>
    </w:p>
    <w:p w:rsidR="00F824A9" w:rsidRPr="006571AC" w:rsidRDefault="00F824A9" w:rsidP="007E5A90">
      <w:pPr>
        <w:pStyle w:val="afffffff6"/>
        <w:bidi/>
        <w:spacing w:line="420" w:lineRule="exact"/>
        <w:ind w:firstLine="567"/>
        <w:jc w:val="both"/>
        <w:rPr>
          <w:rFonts w:ascii="Simplified Arabic" w:hAnsi="Simplified Arabic" w:cs="AL-Mohanad"/>
          <w:sz w:val="27"/>
          <w:szCs w:val="27"/>
          <w:rtl/>
        </w:rPr>
      </w:pPr>
    </w:p>
    <w:p w:rsidR="00F824A9" w:rsidRPr="006571AC" w:rsidRDefault="00035618" w:rsidP="00035618">
      <w:pPr>
        <w:pStyle w:val="31"/>
        <w:rPr>
          <w:color w:val="auto"/>
          <w:rtl/>
          <w:lang w:bidi="ar-IQ"/>
        </w:rPr>
      </w:pPr>
      <w:bookmarkStart w:id="322" w:name="_Toc114164748"/>
      <w:r w:rsidRPr="006571AC">
        <w:rPr>
          <w:rFonts w:hint="cs"/>
          <w:color w:val="auto"/>
          <w:rtl/>
          <w:lang w:bidi="ar-IQ"/>
        </w:rPr>
        <w:t>3ـ</w:t>
      </w:r>
      <w:r w:rsidR="00F824A9" w:rsidRPr="006571AC">
        <w:rPr>
          <w:rFonts w:hint="cs"/>
          <w:color w:val="auto"/>
          <w:rtl/>
          <w:lang w:bidi="ar-IQ"/>
        </w:rPr>
        <w:t xml:space="preserve"> </w:t>
      </w:r>
      <w:r w:rsidRPr="006571AC">
        <w:rPr>
          <w:rFonts w:hint="cs"/>
          <w:color w:val="auto"/>
          <w:rtl/>
          <w:lang w:bidi="ar-IQ"/>
        </w:rPr>
        <w:t>استشهاد النبيّ</w:t>
      </w:r>
      <w:r w:rsidRPr="006571AC">
        <w:rPr>
          <w:rFonts w:ascii="Mosawi" w:hAnsi="Mosawi" w:cs="Mosawi"/>
          <w:color w:val="auto"/>
          <w:sz w:val="22"/>
          <w:szCs w:val="22"/>
          <w:rtl/>
        </w:rPr>
        <w:t>|</w:t>
      </w:r>
      <w:r w:rsidRPr="006571AC">
        <w:rPr>
          <w:rFonts w:hint="cs"/>
          <w:color w:val="auto"/>
          <w:rtl/>
          <w:lang w:bidi="ar-IQ"/>
        </w:rPr>
        <w:t xml:space="preserve"> بآياتٍ تنفي الإكراه</w:t>
      </w:r>
      <w:bookmarkEnd w:id="322"/>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lang w:bidi="ar-IQ"/>
        </w:rPr>
        <w:t xml:space="preserve">ورد في ذيل بعض النصوص </w:t>
      </w:r>
      <w:r w:rsidR="00F824A9" w:rsidRPr="006571AC">
        <w:rPr>
          <w:rFonts w:ascii="Simplified Arabic" w:hAnsi="Simplified Arabic" w:hint="cs"/>
          <w:sz w:val="27"/>
          <w:rtl/>
          <w:lang w:bidi="ar-IQ"/>
        </w:rPr>
        <w:t>أ</w:t>
      </w:r>
      <w:r w:rsidRPr="006571AC">
        <w:rPr>
          <w:rFonts w:ascii="Simplified Arabic" w:hAnsi="Simplified Arabic"/>
          <w:sz w:val="27"/>
          <w:rtl/>
          <w:lang w:bidi="ar-IQ"/>
        </w:rPr>
        <w:t>ن النبي</w:t>
      </w:r>
      <w:r w:rsidR="002A2C90" w:rsidRPr="006571AC">
        <w:rPr>
          <w:rFonts w:ascii="Mosawi" w:hAnsi="Mosawi" w:cs="Mosawi"/>
          <w:sz w:val="22"/>
          <w:szCs w:val="22"/>
          <w:rtl/>
        </w:rPr>
        <w:t>|</w:t>
      </w:r>
      <w:r w:rsidRPr="006571AC">
        <w:rPr>
          <w:rFonts w:ascii="Simplified Arabic" w:hAnsi="Simplified Arabic"/>
          <w:sz w:val="27"/>
          <w:rtl/>
          <w:lang w:bidi="ar-IQ"/>
        </w:rPr>
        <w:t xml:space="preserve"> قرأ قوله تعالى: </w:t>
      </w:r>
      <w:r w:rsidRPr="006571AC">
        <w:rPr>
          <w:rFonts w:ascii="Mosawi" w:hAnsi="Mosawi" w:cs="Mosawi"/>
          <w:sz w:val="24"/>
          <w:szCs w:val="24"/>
          <w:rtl/>
        </w:rPr>
        <w:t>﴿</w:t>
      </w:r>
      <w:r w:rsidRPr="006571AC">
        <w:rPr>
          <w:rFonts w:ascii="Simplified Arabic" w:hAnsi="Simplified Arabic"/>
          <w:b/>
          <w:bCs/>
          <w:sz w:val="27"/>
          <w:rtl/>
        </w:rPr>
        <w:t>فَذَكِّرْ إِنَّمَا أَنْتَ مُذَكِّرٌ * لَسْتَ عَلَيْهِمْ بِمُسَيْطِرٍ</w:t>
      </w:r>
      <w:r w:rsidRPr="006571AC">
        <w:rPr>
          <w:rFonts w:ascii="Mosawi" w:hAnsi="Mosawi" w:cs="Mosawi"/>
          <w:sz w:val="24"/>
          <w:szCs w:val="24"/>
          <w:rtl/>
        </w:rPr>
        <w:t>﴾</w:t>
      </w:r>
      <w:r w:rsidRPr="006571AC">
        <w:rPr>
          <w:rFonts w:ascii="Simplified Arabic" w:hAnsi="Simplified Arabic" w:hint="cs"/>
          <w:sz w:val="27"/>
          <w:rtl/>
        </w:rPr>
        <w:t xml:space="preserve"> (الغاشية: 21 ـ 22)</w:t>
      </w:r>
      <w:r w:rsidRPr="006571AC">
        <w:rPr>
          <w:rFonts w:ascii="Simplified Arabic" w:hAnsi="Simplified Arabic"/>
          <w:sz w:val="27"/>
          <w:rtl/>
        </w:rPr>
        <w:t>، وهي بظاهرها تنافي الفهم السقيم بقتال جميع الناس؛ إذ معناها</w:t>
      </w:r>
      <w:r w:rsidR="00F824A9" w:rsidRPr="006571AC">
        <w:rPr>
          <w:rFonts w:ascii="Simplified Arabic" w:hAnsi="Simplified Arabic" w:hint="cs"/>
          <w:sz w:val="27"/>
          <w:rtl/>
        </w:rPr>
        <w:t>:</w:t>
      </w:r>
      <w:r w:rsidRPr="006571AC">
        <w:rPr>
          <w:rFonts w:ascii="Simplified Arabic" w:hAnsi="Simplified Arabic"/>
          <w:sz w:val="27"/>
          <w:rtl/>
        </w:rPr>
        <w:t xml:space="preserve"> إنما وظيفتك الو</w:t>
      </w:r>
      <w:r w:rsidR="00F824A9" w:rsidRPr="006571AC">
        <w:rPr>
          <w:rFonts w:ascii="Simplified Arabic" w:hAnsi="Simplified Arabic" w:hint="cs"/>
          <w:sz w:val="27"/>
          <w:rtl/>
        </w:rPr>
        <w:t>َ</w:t>
      </w:r>
      <w:r w:rsidRPr="006571AC">
        <w:rPr>
          <w:rFonts w:ascii="Simplified Arabic" w:hAnsi="Simplified Arabic"/>
          <w:sz w:val="27"/>
          <w:rtl/>
        </w:rPr>
        <w:t>ع</w:t>
      </w:r>
      <w:r w:rsidR="00F824A9" w:rsidRPr="006571AC">
        <w:rPr>
          <w:rFonts w:ascii="Simplified Arabic" w:hAnsi="Simplified Arabic" w:hint="cs"/>
          <w:sz w:val="27"/>
          <w:rtl/>
        </w:rPr>
        <w:t>ْ</w:t>
      </w:r>
      <w:r w:rsidRPr="006571AC">
        <w:rPr>
          <w:rFonts w:ascii="Simplified Arabic" w:hAnsi="Simplified Arabic"/>
          <w:sz w:val="27"/>
          <w:rtl/>
        </w:rPr>
        <w:t>ظ والتذكير</w:t>
      </w:r>
      <w:r w:rsidR="00F824A9" w:rsidRPr="006571AC">
        <w:rPr>
          <w:rFonts w:ascii="Simplified Arabic" w:hAnsi="Simplified Arabic" w:hint="cs"/>
          <w:sz w:val="27"/>
          <w:rtl/>
        </w:rPr>
        <w:t>،</w:t>
      </w:r>
      <w:r w:rsidRPr="006571AC">
        <w:rPr>
          <w:rFonts w:ascii="Simplified Arabic" w:hAnsi="Simplified Arabic"/>
          <w:sz w:val="27"/>
          <w:rtl/>
        </w:rPr>
        <w:t xml:space="preserve"> لا السيطرة عليهم و</w:t>
      </w:r>
      <w:r w:rsidR="00F824A9" w:rsidRPr="006571AC">
        <w:rPr>
          <w:rFonts w:ascii="Simplified Arabic" w:hAnsi="Simplified Arabic" w:hint="cs"/>
          <w:sz w:val="27"/>
          <w:rtl/>
        </w:rPr>
        <w:t>إ</w:t>
      </w:r>
      <w:r w:rsidRPr="006571AC">
        <w:rPr>
          <w:rFonts w:ascii="Simplified Arabic" w:hAnsi="Simplified Arabic"/>
          <w:sz w:val="27"/>
          <w:rtl/>
        </w:rPr>
        <w:t>جبارهم على معتقد</w:t>
      </w:r>
      <w:r w:rsidR="00F824A9" w:rsidRPr="006571AC">
        <w:rPr>
          <w:rFonts w:ascii="Simplified Arabic" w:hAnsi="Simplified Arabic" w:hint="cs"/>
          <w:sz w:val="27"/>
          <w:rtl/>
        </w:rPr>
        <w:t>ٍ</w:t>
      </w:r>
      <w:r w:rsidRPr="006571AC">
        <w:rPr>
          <w:rFonts w:ascii="Simplified Arabic" w:hAnsi="Simplified Arabic"/>
          <w:sz w:val="27"/>
          <w:rtl/>
        </w:rPr>
        <w:t xml:space="preserve"> معين.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فقد أخرج مسلم بسنده عَنْ جَابِرٍ قَالَ: قَالَ رَسُولُ اللهِ</w:t>
      </w:r>
      <w:r w:rsidR="00705C60" w:rsidRPr="006571AC">
        <w:rPr>
          <w:rFonts w:ascii="Mosawi" w:hAnsi="Mosawi" w:cs="Mosawi"/>
          <w:sz w:val="22"/>
          <w:szCs w:val="22"/>
          <w:rtl/>
        </w:rPr>
        <w:t>ﷺ</w:t>
      </w:r>
      <w:r w:rsidRPr="006571AC">
        <w:rPr>
          <w:rFonts w:ascii="Simplified Arabic" w:hAnsi="Simplified Arabic"/>
          <w:sz w:val="27"/>
          <w:rtl/>
        </w:rPr>
        <w:t xml:space="preserve">: </w:t>
      </w:r>
      <w:r w:rsidRPr="006571AC">
        <w:rPr>
          <w:rFonts w:hint="eastAsia"/>
          <w:sz w:val="24"/>
          <w:szCs w:val="24"/>
          <w:rtl/>
        </w:rPr>
        <w:t>«</w:t>
      </w:r>
      <w:r w:rsidRPr="006571AC">
        <w:rPr>
          <w:rFonts w:ascii="Simplified Arabic" w:hAnsi="Simplified Arabic"/>
          <w:sz w:val="27"/>
          <w:rtl/>
        </w:rPr>
        <w:t>أُمِرْتُ أَنْ أُقَاتِ</w:t>
      </w:r>
      <w:r w:rsidR="00705C60" w:rsidRPr="006571AC">
        <w:rPr>
          <w:rFonts w:ascii="Simplified Arabic" w:hAnsi="Simplified Arabic"/>
          <w:sz w:val="27"/>
          <w:rtl/>
        </w:rPr>
        <w:t>لَ النَّاسَ حَتَّى يَقُولُوا: ل</w:t>
      </w:r>
      <w:r w:rsidRPr="006571AC">
        <w:rPr>
          <w:rFonts w:ascii="Simplified Arabic" w:hAnsi="Simplified Arabic"/>
          <w:sz w:val="27"/>
          <w:rtl/>
        </w:rPr>
        <w:t>ا</w:t>
      </w:r>
      <w:r w:rsidR="00705C60" w:rsidRPr="006571AC">
        <w:rPr>
          <w:rFonts w:ascii="Simplified Arabic" w:hAnsi="Simplified Arabic" w:hint="cs"/>
          <w:sz w:val="27"/>
          <w:rtl/>
        </w:rPr>
        <w:t>َ</w:t>
      </w:r>
      <w:r w:rsidRPr="006571AC">
        <w:rPr>
          <w:rFonts w:ascii="Simplified Arabic" w:hAnsi="Simplified Arabic"/>
          <w:sz w:val="27"/>
          <w:rtl/>
        </w:rPr>
        <w:t xml:space="preserve"> إِلَهَ إِ</w:t>
      </w:r>
      <w:r w:rsidR="003C2639" w:rsidRPr="006571AC">
        <w:rPr>
          <w:rFonts w:ascii="Simplified Arabic" w:hAnsi="Simplified Arabic"/>
          <w:sz w:val="27"/>
          <w:rtl/>
        </w:rPr>
        <w:t>لاّ</w:t>
      </w:r>
      <w:r w:rsidR="00705C60" w:rsidRPr="006571AC">
        <w:rPr>
          <w:rFonts w:ascii="Simplified Arabic" w:hAnsi="Simplified Arabic" w:hint="cs"/>
          <w:sz w:val="27"/>
          <w:rtl/>
        </w:rPr>
        <w:t>َ</w:t>
      </w:r>
      <w:r w:rsidR="00705C60" w:rsidRPr="006571AC">
        <w:rPr>
          <w:rFonts w:ascii="Simplified Arabic" w:hAnsi="Simplified Arabic"/>
          <w:sz w:val="27"/>
          <w:rtl/>
        </w:rPr>
        <w:t xml:space="preserve"> اللهُ، فَإِذَا قَالُوا: ل</w:t>
      </w:r>
      <w:r w:rsidRPr="006571AC">
        <w:rPr>
          <w:rFonts w:ascii="Simplified Arabic" w:hAnsi="Simplified Arabic"/>
          <w:sz w:val="27"/>
          <w:rtl/>
        </w:rPr>
        <w:t>ا</w:t>
      </w:r>
      <w:r w:rsidR="00705C60" w:rsidRPr="006571AC">
        <w:rPr>
          <w:rFonts w:ascii="Simplified Arabic" w:hAnsi="Simplified Arabic" w:hint="cs"/>
          <w:sz w:val="27"/>
          <w:rtl/>
        </w:rPr>
        <w:t>َ</w:t>
      </w:r>
      <w:r w:rsidRPr="006571AC">
        <w:rPr>
          <w:rFonts w:ascii="Simplified Arabic" w:hAnsi="Simplified Arabic"/>
          <w:sz w:val="27"/>
          <w:rtl/>
        </w:rPr>
        <w:t xml:space="preserve"> إِلَهَ إِ</w:t>
      </w:r>
      <w:r w:rsidR="003C2639" w:rsidRPr="006571AC">
        <w:rPr>
          <w:rFonts w:ascii="Simplified Arabic" w:hAnsi="Simplified Arabic"/>
          <w:sz w:val="27"/>
          <w:rtl/>
        </w:rPr>
        <w:t>لاّ</w:t>
      </w:r>
      <w:r w:rsidR="00705C60" w:rsidRPr="006571AC">
        <w:rPr>
          <w:rFonts w:ascii="Simplified Arabic" w:hAnsi="Simplified Arabic" w:hint="cs"/>
          <w:sz w:val="27"/>
          <w:rtl/>
        </w:rPr>
        <w:t>َ</w:t>
      </w:r>
      <w:r w:rsidRPr="006571AC">
        <w:rPr>
          <w:rFonts w:ascii="Simplified Arabic" w:hAnsi="Simplified Arabic"/>
          <w:sz w:val="27"/>
          <w:rtl/>
        </w:rPr>
        <w:t xml:space="preserve"> اللهُ عَصَمُوا مِنِّي دِمَاءَهُمْ وَأَمْوَالَهُمْ إِ</w:t>
      </w:r>
      <w:r w:rsidR="003C2639" w:rsidRPr="006571AC">
        <w:rPr>
          <w:rFonts w:ascii="Simplified Arabic" w:hAnsi="Simplified Arabic"/>
          <w:sz w:val="27"/>
          <w:rtl/>
        </w:rPr>
        <w:t>لاّ</w:t>
      </w:r>
      <w:r w:rsidR="00705C60" w:rsidRPr="006571AC">
        <w:rPr>
          <w:rFonts w:ascii="Simplified Arabic" w:hAnsi="Simplified Arabic" w:hint="cs"/>
          <w:sz w:val="27"/>
          <w:rtl/>
        </w:rPr>
        <w:t>َ</w:t>
      </w:r>
      <w:r w:rsidRPr="006571AC">
        <w:rPr>
          <w:rFonts w:ascii="Simplified Arabic" w:hAnsi="Simplified Arabic"/>
          <w:sz w:val="27"/>
          <w:rtl/>
        </w:rPr>
        <w:t xml:space="preserve"> بِحَقِّهَا، وَحِسَابُهُمْ عَلَى اللهِ</w:t>
      </w:r>
      <w:r w:rsidRPr="006571AC">
        <w:rPr>
          <w:rFonts w:hint="eastAsia"/>
          <w:sz w:val="24"/>
          <w:szCs w:val="24"/>
          <w:rtl/>
        </w:rPr>
        <w:t>»</w:t>
      </w:r>
      <w:r w:rsidRPr="006571AC">
        <w:rPr>
          <w:rFonts w:ascii="Simplified Arabic" w:hAnsi="Simplified Arabic"/>
          <w:sz w:val="27"/>
          <w:rtl/>
        </w:rPr>
        <w:t>، ثُمَّ قَرَأَ:</w:t>
      </w:r>
      <w:r w:rsidRPr="006571AC">
        <w:rPr>
          <w:rFonts w:ascii="Simplified Arabic" w:hAnsi="Simplified Arabic" w:hint="cs"/>
          <w:sz w:val="27"/>
          <w:rtl/>
        </w:rPr>
        <w:t xml:space="preserve"> </w:t>
      </w:r>
      <w:r w:rsidRPr="006571AC">
        <w:rPr>
          <w:rFonts w:ascii="Mosawi" w:hAnsi="Mosawi" w:cs="Mosawi"/>
          <w:sz w:val="24"/>
          <w:szCs w:val="24"/>
          <w:rtl/>
        </w:rPr>
        <w:t>﴿</w:t>
      </w:r>
      <w:r w:rsidRPr="006571AC">
        <w:rPr>
          <w:rFonts w:ascii="Simplified Arabic" w:hAnsi="Simplified Arabic"/>
          <w:b/>
          <w:bCs/>
          <w:sz w:val="27"/>
          <w:rtl/>
        </w:rPr>
        <w:t xml:space="preserve">إِنَّمَا أَنْتَ مُذَكِّرٌ </w:t>
      </w:r>
      <w:r w:rsidR="00705C60" w:rsidRPr="006571AC">
        <w:rPr>
          <w:rFonts w:ascii="Simplified Arabic" w:hAnsi="Simplified Arabic" w:hint="cs"/>
          <w:b/>
          <w:bCs/>
          <w:sz w:val="27"/>
          <w:rtl/>
        </w:rPr>
        <w:t xml:space="preserve">* </w:t>
      </w:r>
      <w:r w:rsidRPr="006571AC">
        <w:rPr>
          <w:rFonts w:ascii="Simplified Arabic" w:hAnsi="Simplified Arabic"/>
          <w:b/>
          <w:bCs/>
          <w:sz w:val="27"/>
          <w:rtl/>
        </w:rPr>
        <w:t>لَسْتَ عَلَيْهِمْ بِمُسَيْطِرٍ</w:t>
      </w:r>
      <w:r w:rsidRPr="006571AC">
        <w:rPr>
          <w:rFonts w:ascii="Mosawi" w:hAnsi="Mosawi" w:cs="Mosawi"/>
          <w:sz w:val="24"/>
          <w:szCs w:val="24"/>
          <w:rtl/>
        </w:rPr>
        <w:t>﴾</w:t>
      </w:r>
      <w:r w:rsidRPr="006571AC">
        <w:rPr>
          <w:rFonts w:ascii="Simplified Arabic" w:hAnsi="Simplified Arabic"/>
          <w:sz w:val="27"/>
          <w:vertAlign w:val="superscript"/>
          <w:rtl/>
        </w:rPr>
        <w:t>(</w:t>
      </w:r>
      <w:r w:rsidRPr="006571AC">
        <w:rPr>
          <w:rStyle w:val="ac"/>
          <w:rFonts w:ascii="Simplified Arabic" w:hAnsi="Simplified Arabic"/>
          <w:sz w:val="27"/>
          <w:rtl/>
        </w:rPr>
        <w:endnoteReference w:id="514"/>
      </w:r>
      <w:r w:rsidRPr="006571AC">
        <w:rPr>
          <w:rFonts w:ascii="Simplified Arabic" w:hAnsi="Simplified Arabic"/>
          <w:sz w:val="27"/>
          <w:vertAlign w:val="superscript"/>
          <w:rtl/>
        </w:rPr>
        <w:t>)</w:t>
      </w:r>
      <w:r w:rsidRPr="006571AC">
        <w:rPr>
          <w:rFonts w:ascii="Simplified Arabic" w:hAnsi="Simplified Arabic"/>
          <w:sz w:val="27"/>
          <w:rtl/>
        </w:rPr>
        <w:t xml:space="preserve">. </w:t>
      </w:r>
    </w:p>
    <w:p w:rsidR="005A03A8" w:rsidRPr="006571AC" w:rsidRDefault="005A03A8" w:rsidP="00E44A8D">
      <w:pPr>
        <w:autoSpaceDE w:val="0"/>
        <w:autoSpaceDN w:val="0"/>
        <w:adjustRightInd w:val="0"/>
        <w:rPr>
          <w:rFonts w:ascii="Simplified Arabic" w:hAnsi="Simplified Arabic"/>
          <w:sz w:val="27"/>
          <w:rtl/>
        </w:rPr>
      </w:pPr>
      <w:r w:rsidRPr="006571AC">
        <w:rPr>
          <w:rFonts w:ascii="Simplified Arabic" w:hAnsi="Simplified Arabic"/>
          <w:sz w:val="27"/>
          <w:rtl/>
        </w:rPr>
        <w:t>فيلزم حملها على حالة</w:t>
      </w:r>
      <w:r w:rsidR="00705C60" w:rsidRPr="006571AC">
        <w:rPr>
          <w:rFonts w:ascii="Simplified Arabic" w:hAnsi="Simplified Arabic" w:hint="cs"/>
          <w:sz w:val="27"/>
          <w:rtl/>
        </w:rPr>
        <w:t>ٍ</w:t>
      </w:r>
      <w:r w:rsidRPr="006571AC">
        <w:rPr>
          <w:rFonts w:ascii="Simplified Arabic" w:hAnsi="Simplified Arabic"/>
          <w:sz w:val="27"/>
          <w:rtl/>
        </w:rPr>
        <w:t xml:space="preserve"> خاصة</w:t>
      </w:r>
      <w:r w:rsidR="00705C60" w:rsidRPr="006571AC">
        <w:rPr>
          <w:rFonts w:ascii="Simplified Arabic" w:hAnsi="Simplified Arabic" w:hint="cs"/>
          <w:sz w:val="27"/>
          <w:rtl/>
        </w:rPr>
        <w:t>،</w:t>
      </w:r>
      <w:r w:rsidRPr="006571AC">
        <w:rPr>
          <w:rFonts w:ascii="Simplified Arabic" w:hAnsi="Simplified Arabic"/>
          <w:sz w:val="27"/>
          <w:rtl/>
        </w:rPr>
        <w:t xml:space="preserve"> لا </w:t>
      </w:r>
      <w:r w:rsidR="00E44A8D" w:rsidRPr="006571AC">
        <w:rPr>
          <w:rFonts w:ascii="Simplified Arabic" w:hAnsi="Simplified Arabic" w:hint="cs"/>
          <w:sz w:val="27"/>
          <w:rtl/>
        </w:rPr>
        <w:t>يكون مقتضاها</w:t>
      </w:r>
      <w:r w:rsidRPr="006571AC">
        <w:rPr>
          <w:rFonts w:ascii="Simplified Arabic" w:hAnsi="Simplified Arabic"/>
          <w:sz w:val="27"/>
          <w:rtl/>
        </w:rPr>
        <w:t xml:space="preserve"> الإكراه على دخول الإسلام، وهي كون الإسلام من مسقطات القتل وموجبات حقن الدماء في حال حصول مقاتلة مع المشركين والكف</w:t>
      </w:r>
      <w:r w:rsidR="00705C60" w:rsidRPr="006571AC">
        <w:rPr>
          <w:rFonts w:ascii="Simplified Arabic" w:hAnsi="Simplified Arabic" w:hint="cs"/>
          <w:sz w:val="27"/>
          <w:rtl/>
        </w:rPr>
        <w:t>ّ</w:t>
      </w:r>
      <w:r w:rsidRPr="006571AC">
        <w:rPr>
          <w:rFonts w:ascii="Simplified Arabic" w:hAnsi="Simplified Arabic"/>
          <w:sz w:val="27"/>
          <w:rtl/>
        </w:rPr>
        <w:t xml:space="preserve">ار. </w:t>
      </w:r>
    </w:p>
    <w:p w:rsidR="00F824A9" w:rsidRPr="006571AC" w:rsidRDefault="00F824A9" w:rsidP="007E5A90">
      <w:pPr>
        <w:autoSpaceDE w:val="0"/>
        <w:autoSpaceDN w:val="0"/>
        <w:adjustRightInd w:val="0"/>
        <w:spacing w:line="420" w:lineRule="exact"/>
        <w:rPr>
          <w:rFonts w:ascii="Simplified Arabic" w:hAnsi="Simplified Arabic"/>
          <w:sz w:val="27"/>
          <w:rtl/>
        </w:rPr>
      </w:pPr>
    </w:p>
    <w:p w:rsidR="00F824A9" w:rsidRPr="006571AC" w:rsidRDefault="004351F9" w:rsidP="00035618">
      <w:pPr>
        <w:pStyle w:val="31"/>
        <w:rPr>
          <w:color w:val="auto"/>
          <w:rtl/>
          <w:lang w:bidi="ar-IQ"/>
        </w:rPr>
      </w:pPr>
      <w:bookmarkStart w:id="323" w:name="_Toc114164749"/>
      <w:r w:rsidRPr="006571AC">
        <w:rPr>
          <w:rFonts w:hint="cs"/>
          <w:color w:val="auto"/>
          <w:rtl/>
          <w:lang w:bidi="ar-IQ"/>
        </w:rPr>
        <w:t>4ـ</w:t>
      </w:r>
      <w:r w:rsidR="00F824A9" w:rsidRPr="006571AC">
        <w:rPr>
          <w:rFonts w:hint="cs"/>
          <w:color w:val="auto"/>
          <w:rtl/>
          <w:lang w:bidi="ar-IQ"/>
        </w:rPr>
        <w:t xml:space="preserve"> </w:t>
      </w:r>
      <w:r w:rsidR="00035618" w:rsidRPr="006571AC">
        <w:rPr>
          <w:rFonts w:hint="cs"/>
          <w:color w:val="auto"/>
          <w:rtl/>
          <w:lang w:bidi="ar-IQ"/>
        </w:rPr>
        <w:t>سيرة النبيّ</w:t>
      </w:r>
      <w:r w:rsidRPr="006571AC">
        <w:rPr>
          <w:rFonts w:ascii="Mosawi" w:hAnsi="Mosawi" w:cs="Mosawi"/>
          <w:color w:val="auto"/>
          <w:sz w:val="22"/>
          <w:szCs w:val="22"/>
          <w:rtl/>
        </w:rPr>
        <w:t>|</w:t>
      </w:r>
      <w:r w:rsidRPr="006571AC">
        <w:rPr>
          <w:rFonts w:hint="cs"/>
          <w:color w:val="auto"/>
          <w:rtl/>
          <w:lang w:bidi="ar-IQ"/>
        </w:rPr>
        <w:t xml:space="preserve"> مع الكفّار</w:t>
      </w:r>
      <w:bookmarkEnd w:id="323"/>
    </w:p>
    <w:p w:rsidR="005A03A8" w:rsidRPr="006571AC" w:rsidRDefault="005A03A8" w:rsidP="005B0CA4">
      <w:pPr>
        <w:autoSpaceDE w:val="0"/>
        <w:autoSpaceDN w:val="0"/>
        <w:adjustRightInd w:val="0"/>
        <w:rPr>
          <w:rFonts w:ascii="Simplified Arabic" w:hAnsi="Simplified Arabic"/>
          <w:sz w:val="27"/>
          <w:rtl/>
          <w:lang w:bidi="ar-IQ"/>
        </w:rPr>
      </w:pPr>
      <w:r w:rsidRPr="006571AC">
        <w:rPr>
          <w:rFonts w:ascii="Simplified Arabic" w:hAnsi="Simplified Arabic"/>
          <w:sz w:val="27"/>
          <w:rtl/>
          <w:lang w:bidi="ar-IQ"/>
        </w:rPr>
        <w:t xml:space="preserve">ثبت </w:t>
      </w:r>
      <w:r w:rsidR="00705C60" w:rsidRPr="006571AC">
        <w:rPr>
          <w:rFonts w:ascii="Simplified Arabic" w:hAnsi="Simplified Arabic" w:hint="cs"/>
          <w:sz w:val="27"/>
          <w:rtl/>
          <w:lang w:bidi="ar-IQ"/>
        </w:rPr>
        <w:t>أ</w:t>
      </w:r>
      <w:r w:rsidRPr="006571AC">
        <w:rPr>
          <w:rFonts w:ascii="Simplified Arabic" w:hAnsi="Simplified Arabic"/>
          <w:sz w:val="27"/>
          <w:rtl/>
          <w:lang w:bidi="ar-IQ"/>
        </w:rPr>
        <w:t>ن النبي</w:t>
      </w:r>
      <w:r w:rsidR="00705C60" w:rsidRPr="006571AC">
        <w:rPr>
          <w:rFonts w:ascii="Simplified Arabic" w:hAnsi="Simplified Arabic" w:hint="cs"/>
          <w:sz w:val="27"/>
          <w:rtl/>
          <w:lang w:bidi="ar-IQ"/>
        </w:rPr>
        <w:t>ّ</w:t>
      </w:r>
      <w:r w:rsidR="002A2C90" w:rsidRPr="006571AC">
        <w:rPr>
          <w:rFonts w:ascii="Mosawi" w:hAnsi="Mosawi" w:cs="Mosawi"/>
          <w:sz w:val="22"/>
          <w:szCs w:val="22"/>
          <w:rtl/>
        </w:rPr>
        <w:t>|</w:t>
      </w:r>
      <w:r w:rsidRPr="006571AC">
        <w:rPr>
          <w:rFonts w:ascii="Simplified Arabic" w:hAnsi="Simplified Arabic"/>
          <w:sz w:val="27"/>
          <w:rtl/>
          <w:lang w:bidi="ar-IQ"/>
        </w:rPr>
        <w:t xml:space="preserve"> لم يق</w:t>
      </w:r>
      <w:r w:rsidR="00035618" w:rsidRPr="006571AC">
        <w:rPr>
          <w:rFonts w:ascii="Simplified Arabic" w:hAnsi="Simplified Arabic" w:hint="cs"/>
          <w:sz w:val="27"/>
          <w:rtl/>
          <w:lang w:bidi="ar-IQ"/>
        </w:rPr>
        <w:t>ُ</w:t>
      </w:r>
      <w:r w:rsidRPr="006571AC">
        <w:rPr>
          <w:rFonts w:ascii="Simplified Arabic" w:hAnsi="Simplified Arabic"/>
          <w:sz w:val="27"/>
          <w:rtl/>
          <w:lang w:bidi="ar-IQ"/>
        </w:rPr>
        <w:t>م</w:t>
      </w:r>
      <w:r w:rsidR="00035618"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Pr="006571AC">
        <w:rPr>
          <w:rFonts w:ascii="Simplified Arabic" w:hAnsi="Simplified Arabic" w:hint="cs"/>
          <w:sz w:val="27"/>
          <w:rtl/>
          <w:lang w:bidi="ar-IQ"/>
        </w:rPr>
        <w:t>بقتل</w:t>
      </w:r>
      <w:r w:rsidRPr="006571AC">
        <w:rPr>
          <w:rFonts w:ascii="Simplified Arabic" w:hAnsi="Simplified Arabic"/>
          <w:sz w:val="27"/>
          <w:rtl/>
          <w:lang w:bidi="ar-IQ"/>
        </w:rPr>
        <w:t xml:space="preserve"> أحد</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لأجل الكفر طو</w:t>
      </w:r>
      <w:r w:rsidR="00705C60" w:rsidRPr="006571AC">
        <w:rPr>
          <w:rFonts w:ascii="Simplified Arabic" w:hAnsi="Simplified Arabic" w:hint="cs"/>
          <w:sz w:val="27"/>
          <w:rtl/>
          <w:lang w:bidi="ar-IQ"/>
        </w:rPr>
        <w:t>ا</w:t>
      </w:r>
      <w:r w:rsidRPr="006571AC">
        <w:rPr>
          <w:rFonts w:ascii="Simplified Arabic" w:hAnsi="Simplified Arabic"/>
          <w:sz w:val="27"/>
          <w:rtl/>
          <w:lang w:bidi="ar-IQ"/>
        </w:rPr>
        <w:t>ل مسيرة دعوته</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سواء قبل تشريع حكم الجهاد أم بعده، رغم قدرته على مهاجمة القبائل الصغيرة والمشت</w:t>
      </w:r>
      <w:r w:rsidR="00705C60" w:rsidRPr="006571AC">
        <w:rPr>
          <w:rFonts w:ascii="Simplified Arabic" w:hAnsi="Simplified Arabic" w:hint="cs"/>
          <w:sz w:val="27"/>
          <w:rtl/>
          <w:lang w:bidi="ar-IQ"/>
        </w:rPr>
        <w:t>َّ</w:t>
      </w:r>
      <w:r w:rsidRPr="006571AC">
        <w:rPr>
          <w:rFonts w:ascii="Simplified Arabic" w:hAnsi="Simplified Arabic"/>
          <w:sz w:val="27"/>
          <w:rtl/>
          <w:lang w:bidi="ar-IQ"/>
        </w:rPr>
        <w:t>تة في الأراضي العربية، بل إن جميع الحروب النبوي</w:t>
      </w:r>
      <w:r w:rsidR="00705C60" w:rsidRPr="006571AC">
        <w:rPr>
          <w:rFonts w:ascii="Simplified Arabic" w:hAnsi="Simplified Arabic" w:hint="cs"/>
          <w:sz w:val="27"/>
          <w:rtl/>
          <w:lang w:bidi="ar-IQ"/>
        </w:rPr>
        <w:t>ّ</w:t>
      </w:r>
      <w:r w:rsidRPr="006571AC">
        <w:rPr>
          <w:rFonts w:ascii="Simplified Arabic" w:hAnsi="Simplified Arabic"/>
          <w:sz w:val="27"/>
          <w:rtl/>
          <w:lang w:bidi="ar-IQ"/>
        </w:rPr>
        <w:t>ة كانت لأغراض دفاعية</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وأسباب موضوعية دع</w:t>
      </w:r>
      <w:r w:rsidR="00705C60" w:rsidRPr="006571AC">
        <w:rPr>
          <w:rFonts w:ascii="Simplified Arabic" w:hAnsi="Simplified Arabic" w:hint="cs"/>
          <w:sz w:val="27"/>
          <w:rtl/>
          <w:lang w:bidi="ar-IQ"/>
        </w:rPr>
        <w:t>َ</w:t>
      </w:r>
      <w:r w:rsidRPr="006571AC">
        <w:rPr>
          <w:rFonts w:ascii="Simplified Arabic" w:hAnsi="Simplified Arabic"/>
          <w:sz w:val="27"/>
          <w:rtl/>
          <w:lang w:bidi="ar-IQ"/>
        </w:rPr>
        <w:t>ت</w:t>
      </w:r>
      <w:r w:rsidR="00705C60" w:rsidRPr="006571AC">
        <w:rPr>
          <w:rFonts w:ascii="Simplified Arabic" w:hAnsi="Simplified Arabic" w:hint="cs"/>
          <w:sz w:val="27"/>
          <w:rtl/>
          <w:lang w:bidi="ar-IQ"/>
        </w:rPr>
        <w:t>ْ</w:t>
      </w:r>
      <w:r w:rsidRPr="006571AC">
        <w:rPr>
          <w:rFonts w:ascii="Simplified Arabic" w:hAnsi="Simplified Arabic"/>
          <w:sz w:val="27"/>
          <w:rtl/>
          <w:lang w:bidi="ar-IQ"/>
        </w:rPr>
        <w:t>ه إلى القتال</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ولم يكن الكفر أحدها</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من قبيل</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رد</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العدوان أو تحرير المستضعفين والدفاع عنهم، فلم يبدأ أحداً بقتال</w:t>
      </w:r>
      <w:r w:rsidR="00BD269E" w:rsidRPr="006571AC">
        <w:rPr>
          <w:rFonts w:ascii="Simplified Arabic" w:hAnsi="Simplified Arabic" w:hint="cs"/>
          <w:sz w:val="27"/>
          <w:rtl/>
          <w:lang w:bidi="ar-IQ"/>
        </w:rPr>
        <w:t>ٍ</w:t>
      </w:r>
      <w:r w:rsidRPr="006571AC">
        <w:rPr>
          <w:rFonts w:ascii="Simplified Arabic" w:hAnsi="Simplified Arabic"/>
          <w:sz w:val="27"/>
          <w:rtl/>
          <w:lang w:bidi="ar-IQ"/>
        </w:rPr>
        <w:t>، فكان ذلك منب</w:t>
      </w:r>
      <w:r w:rsidR="00BD269E" w:rsidRPr="006571AC">
        <w:rPr>
          <w:rFonts w:ascii="Simplified Arabic" w:hAnsi="Simplified Arabic" w:hint="cs"/>
          <w:sz w:val="27"/>
          <w:rtl/>
          <w:lang w:bidi="ar-IQ"/>
        </w:rPr>
        <w:t>ِّ</w:t>
      </w:r>
      <w:r w:rsidRPr="006571AC">
        <w:rPr>
          <w:rFonts w:ascii="Simplified Arabic" w:hAnsi="Simplified Arabic"/>
          <w:sz w:val="27"/>
          <w:rtl/>
          <w:lang w:bidi="ar-IQ"/>
        </w:rPr>
        <w:t>هاً وجدانياً على عدم صدور الحديث</w:t>
      </w:r>
      <w:r w:rsidR="00BD269E" w:rsidRPr="006571AC">
        <w:rPr>
          <w:rFonts w:ascii="Simplified Arabic" w:hAnsi="Simplified Arabic" w:hint="cs"/>
          <w:sz w:val="27"/>
          <w:rtl/>
          <w:lang w:bidi="ar-IQ"/>
        </w:rPr>
        <w:t>،</w:t>
      </w:r>
      <w:r w:rsidRPr="006571AC">
        <w:rPr>
          <w:rFonts w:ascii="Simplified Arabic" w:hAnsi="Simplified Arabic"/>
          <w:sz w:val="27"/>
          <w:rtl/>
          <w:lang w:bidi="ar-IQ"/>
        </w:rPr>
        <w:t xml:space="preserve"> أو تفسيره على غير الوجه </w:t>
      </w:r>
      <w:r w:rsidR="00BD269E" w:rsidRPr="006571AC">
        <w:rPr>
          <w:rFonts w:ascii="Simplified Arabic" w:hAnsi="Simplified Arabic" w:hint="cs"/>
          <w:sz w:val="27"/>
          <w:rtl/>
          <w:lang w:bidi="ar-IQ"/>
        </w:rPr>
        <w:t>الذي</w:t>
      </w:r>
      <w:r w:rsidRPr="006571AC">
        <w:rPr>
          <w:rFonts w:ascii="Simplified Arabic" w:hAnsi="Simplified Arabic"/>
          <w:sz w:val="27"/>
          <w:rtl/>
          <w:lang w:bidi="ar-IQ"/>
        </w:rPr>
        <w:t xml:space="preserve"> يتلا</w:t>
      </w:r>
      <w:r w:rsidRPr="006571AC">
        <w:rPr>
          <w:rFonts w:ascii="Simplified Arabic" w:hAnsi="Simplified Arabic" w:hint="cs"/>
          <w:sz w:val="27"/>
          <w:rtl/>
          <w:lang w:bidi="ar-IQ"/>
        </w:rPr>
        <w:t>ء</w:t>
      </w:r>
      <w:r w:rsidRPr="006571AC">
        <w:rPr>
          <w:rFonts w:ascii="Simplified Arabic" w:hAnsi="Simplified Arabic"/>
          <w:sz w:val="27"/>
          <w:rtl/>
          <w:lang w:bidi="ar-IQ"/>
        </w:rPr>
        <w:t xml:space="preserve">م وسماحة الدين الحنيف. </w:t>
      </w:r>
    </w:p>
    <w:p w:rsidR="005A03A8" w:rsidRPr="006571AC" w:rsidRDefault="00BD269E" w:rsidP="005B0CA4">
      <w:pPr>
        <w:autoSpaceDE w:val="0"/>
        <w:autoSpaceDN w:val="0"/>
        <w:adjustRightInd w:val="0"/>
        <w:rPr>
          <w:rFonts w:ascii="Simplified Arabic" w:hAnsi="Simplified Arabic"/>
          <w:sz w:val="27"/>
          <w:rtl/>
        </w:rPr>
      </w:pPr>
      <w:r w:rsidRPr="006571AC">
        <w:rPr>
          <w:rFonts w:ascii="Simplified Arabic" w:hAnsi="Simplified Arabic" w:hint="cs"/>
          <w:b/>
          <w:bCs/>
          <w:sz w:val="27"/>
          <w:rtl/>
        </w:rPr>
        <w:t>و</w:t>
      </w:r>
      <w:r w:rsidRPr="006571AC">
        <w:rPr>
          <w:rFonts w:ascii="Simplified Arabic" w:hAnsi="Simplified Arabic"/>
          <w:b/>
          <w:bCs/>
          <w:sz w:val="27"/>
          <w:rtl/>
        </w:rPr>
        <w:t>وفقاً لما تقد</w:t>
      </w:r>
      <w:r w:rsidRPr="006571AC">
        <w:rPr>
          <w:rFonts w:ascii="Simplified Arabic" w:hAnsi="Simplified Arabic" w:hint="cs"/>
          <w:b/>
          <w:bCs/>
          <w:sz w:val="27"/>
          <w:rtl/>
        </w:rPr>
        <w:t>َّ</w:t>
      </w:r>
      <w:r w:rsidRPr="006571AC">
        <w:rPr>
          <w:rFonts w:ascii="Simplified Arabic" w:hAnsi="Simplified Arabic"/>
          <w:b/>
          <w:bCs/>
          <w:sz w:val="27"/>
          <w:rtl/>
        </w:rPr>
        <w:t xml:space="preserve">م </w:t>
      </w:r>
      <w:r w:rsidR="005A03A8" w:rsidRPr="006571AC">
        <w:rPr>
          <w:rFonts w:ascii="Simplified Arabic" w:hAnsi="Simplified Arabic"/>
          <w:b/>
          <w:bCs/>
          <w:sz w:val="27"/>
          <w:rtl/>
        </w:rPr>
        <w:t>يكون معنى الحديث</w:t>
      </w:r>
      <w:r w:rsidR="005A03A8" w:rsidRPr="006571AC">
        <w:rPr>
          <w:rFonts w:ascii="Simplified Arabic" w:hAnsi="Simplified Arabic"/>
          <w:sz w:val="27"/>
          <w:rtl/>
        </w:rPr>
        <w:t xml:space="preserve">: إن الشارع يأمر بمقاتلة المحاربين دفاعاً </w:t>
      </w:r>
      <w:r w:rsidR="005A03A8" w:rsidRPr="006571AC">
        <w:rPr>
          <w:rFonts w:ascii="Simplified Arabic" w:hAnsi="Simplified Arabic"/>
          <w:sz w:val="27"/>
          <w:rtl/>
        </w:rPr>
        <w:lastRenderedPageBreak/>
        <w:t>عن بيضة الدين والمستضعفين في الأرض، فإذا حصل الظ</w:t>
      </w:r>
      <w:r w:rsidR="00E44A8D" w:rsidRPr="006571AC">
        <w:rPr>
          <w:rFonts w:ascii="Simplified Arabic" w:hAnsi="Simplified Arabic" w:hint="cs"/>
          <w:sz w:val="27"/>
          <w:rtl/>
        </w:rPr>
        <w:t>َّ</w:t>
      </w:r>
      <w:r w:rsidR="005A03A8" w:rsidRPr="006571AC">
        <w:rPr>
          <w:rFonts w:ascii="Simplified Arabic" w:hAnsi="Simplified Arabic"/>
          <w:sz w:val="27"/>
          <w:rtl/>
        </w:rPr>
        <w:t>ف</w:t>
      </w:r>
      <w:r w:rsidR="00E44A8D" w:rsidRPr="006571AC">
        <w:rPr>
          <w:rFonts w:ascii="Simplified Arabic" w:hAnsi="Simplified Arabic" w:hint="cs"/>
          <w:sz w:val="27"/>
          <w:rtl/>
        </w:rPr>
        <w:t>َ</w:t>
      </w:r>
      <w:r w:rsidR="005A03A8" w:rsidRPr="006571AC">
        <w:rPr>
          <w:rFonts w:ascii="Simplified Arabic" w:hAnsi="Simplified Arabic"/>
          <w:sz w:val="27"/>
          <w:rtl/>
        </w:rPr>
        <w:t>ر بهم ف</w:t>
      </w:r>
      <w:r w:rsidR="00731867" w:rsidRPr="006571AC">
        <w:rPr>
          <w:rFonts w:ascii="Simplified Arabic" w:hAnsi="Simplified Arabic"/>
          <w:sz w:val="27"/>
          <w:rtl/>
        </w:rPr>
        <w:t>لا بُدَّ</w:t>
      </w:r>
      <w:r w:rsidR="005A03A8" w:rsidRPr="006571AC">
        <w:rPr>
          <w:rFonts w:ascii="Simplified Arabic" w:hAnsi="Simplified Arabic"/>
          <w:sz w:val="27"/>
          <w:rtl/>
        </w:rPr>
        <w:t xml:space="preserve"> من قتلهم ما لم يعلنوا الاستسلام</w:t>
      </w:r>
      <w:r w:rsidRPr="006571AC">
        <w:rPr>
          <w:rFonts w:ascii="Simplified Arabic" w:hAnsi="Simplified Arabic" w:hint="cs"/>
          <w:sz w:val="27"/>
          <w:rtl/>
        </w:rPr>
        <w:t>،</w:t>
      </w:r>
      <w:r w:rsidR="005A03A8" w:rsidRPr="006571AC">
        <w:rPr>
          <w:rFonts w:ascii="Simplified Arabic" w:hAnsi="Simplified Arabic"/>
          <w:sz w:val="27"/>
          <w:rtl/>
        </w:rPr>
        <w:t xml:space="preserve"> وذلك بإعلان دخولهم للإسلام</w:t>
      </w:r>
      <w:r w:rsidRPr="006571AC">
        <w:rPr>
          <w:rFonts w:ascii="Simplified Arabic" w:hAnsi="Simplified Arabic" w:hint="cs"/>
          <w:sz w:val="27"/>
          <w:rtl/>
        </w:rPr>
        <w:t>،</w:t>
      </w:r>
      <w:r w:rsidR="005A03A8" w:rsidRPr="006571AC">
        <w:rPr>
          <w:rFonts w:ascii="Simplified Arabic" w:hAnsi="Simplified Arabic"/>
          <w:sz w:val="27"/>
          <w:rtl/>
        </w:rPr>
        <w:t xml:space="preserve"> </w:t>
      </w:r>
      <w:r w:rsidR="005A03A8" w:rsidRPr="006571AC">
        <w:rPr>
          <w:rFonts w:ascii="Simplified Arabic" w:hAnsi="Simplified Arabic" w:hint="cs"/>
          <w:sz w:val="27"/>
          <w:rtl/>
        </w:rPr>
        <w:t xml:space="preserve">ولو </w:t>
      </w:r>
      <w:r w:rsidR="005A03A8" w:rsidRPr="006571AC">
        <w:rPr>
          <w:rFonts w:ascii="Simplified Arabic" w:hAnsi="Simplified Arabic"/>
          <w:sz w:val="27"/>
          <w:rtl/>
        </w:rPr>
        <w:t>ظاهراً، وهي الغاية التي ينتهي معها القتال</w:t>
      </w:r>
      <w:r w:rsidRPr="006571AC">
        <w:rPr>
          <w:rFonts w:ascii="Simplified Arabic" w:hAnsi="Simplified Arabic" w:hint="cs"/>
          <w:sz w:val="27"/>
          <w:rtl/>
        </w:rPr>
        <w:t>.</w:t>
      </w:r>
      <w:r w:rsidR="005A03A8" w:rsidRPr="006571AC">
        <w:rPr>
          <w:rFonts w:ascii="Simplified Arabic" w:hAnsi="Simplified Arabic"/>
          <w:sz w:val="27"/>
          <w:rtl/>
        </w:rPr>
        <w:t xml:space="preserve"> وبهذا ينتفي </w:t>
      </w:r>
      <w:r w:rsidRPr="006571AC">
        <w:rPr>
          <w:rFonts w:ascii="Simplified Arabic" w:hAnsi="Simplified Arabic" w:hint="cs"/>
          <w:sz w:val="27"/>
          <w:rtl/>
        </w:rPr>
        <w:t>إ</w:t>
      </w:r>
      <w:r w:rsidR="005A03A8" w:rsidRPr="006571AC">
        <w:rPr>
          <w:rFonts w:ascii="Simplified Arabic" w:hAnsi="Simplified Arabic"/>
          <w:sz w:val="27"/>
          <w:rtl/>
        </w:rPr>
        <w:t>شكال ن</w:t>
      </w:r>
      <w:r w:rsidR="00E44A8D" w:rsidRPr="006571AC">
        <w:rPr>
          <w:rFonts w:ascii="Simplified Arabic" w:hAnsi="Simplified Arabic" w:hint="cs"/>
          <w:sz w:val="27"/>
          <w:rtl/>
        </w:rPr>
        <w:t>َ</w:t>
      </w:r>
      <w:r w:rsidR="005A03A8" w:rsidRPr="006571AC">
        <w:rPr>
          <w:rFonts w:ascii="Simplified Arabic" w:hAnsi="Simplified Arabic"/>
          <w:sz w:val="27"/>
          <w:rtl/>
        </w:rPr>
        <w:t>ق</w:t>
      </w:r>
      <w:r w:rsidR="00E44A8D" w:rsidRPr="006571AC">
        <w:rPr>
          <w:rFonts w:ascii="Simplified Arabic" w:hAnsi="Simplified Arabic" w:hint="cs"/>
          <w:sz w:val="27"/>
          <w:rtl/>
        </w:rPr>
        <w:t>ْ</w:t>
      </w:r>
      <w:r w:rsidR="005A03A8" w:rsidRPr="006571AC">
        <w:rPr>
          <w:rFonts w:ascii="Simplified Arabic" w:hAnsi="Simplified Arabic"/>
          <w:sz w:val="27"/>
          <w:rtl/>
        </w:rPr>
        <w:t>ض الغرض بحصول العلم بعدم الإيمان القلبي للمحارب، فالمشر</w:t>
      </w:r>
      <w:r w:rsidRPr="006571AC">
        <w:rPr>
          <w:rFonts w:ascii="Simplified Arabic" w:hAnsi="Simplified Arabic" w:hint="cs"/>
          <w:sz w:val="27"/>
          <w:rtl/>
        </w:rPr>
        <w:t>ِّ</w:t>
      </w:r>
      <w:r w:rsidR="005A03A8" w:rsidRPr="006571AC">
        <w:rPr>
          <w:rFonts w:ascii="Simplified Arabic" w:hAnsi="Simplified Arabic"/>
          <w:sz w:val="27"/>
          <w:rtl/>
        </w:rPr>
        <w:t>ع لا يريد الإيمان في هذه الحالة بقدر ما يريد</w:t>
      </w:r>
      <w:r w:rsidR="005A03A8" w:rsidRPr="006571AC">
        <w:rPr>
          <w:rFonts w:ascii="Simplified Arabic" w:hAnsi="Simplified Arabic" w:hint="cs"/>
          <w:sz w:val="27"/>
          <w:rtl/>
        </w:rPr>
        <w:t xml:space="preserve"> منهم</w:t>
      </w:r>
      <w:r w:rsidR="005A03A8" w:rsidRPr="006571AC">
        <w:rPr>
          <w:rFonts w:ascii="Simplified Arabic" w:hAnsi="Simplified Arabic"/>
          <w:sz w:val="27"/>
          <w:rtl/>
        </w:rPr>
        <w:t xml:space="preserve"> </w:t>
      </w:r>
      <w:r w:rsidRPr="006571AC">
        <w:rPr>
          <w:rFonts w:ascii="Simplified Arabic" w:hAnsi="Simplified Arabic" w:hint="cs"/>
          <w:sz w:val="27"/>
          <w:rtl/>
        </w:rPr>
        <w:t>إ</w:t>
      </w:r>
      <w:r w:rsidR="005A03A8" w:rsidRPr="006571AC">
        <w:rPr>
          <w:rFonts w:ascii="Simplified Arabic" w:hAnsi="Simplified Arabic"/>
          <w:sz w:val="27"/>
          <w:rtl/>
        </w:rPr>
        <w:t xml:space="preserve">براز الولاء للدولة الإسلامية.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ولا يوجد في الشريعة دليل</w:t>
      </w:r>
      <w:r w:rsidR="00BD269E" w:rsidRPr="006571AC">
        <w:rPr>
          <w:rFonts w:ascii="Simplified Arabic" w:hAnsi="Simplified Arabic" w:hint="cs"/>
          <w:sz w:val="27"/>
          <w:rtl/>
        </w:rPr>
        <w:t>ٌ</w:t>
      </w:r>
      <w:r w:rsidRPr="006571AC">
        <w:rPr>
          <w:rFonts w:ascii="Simplified Arabic" w:hAnsi="Simplified Arabic"/>
          <w:sz w:val="27"/>
          <w:rtl/>
        </w:rPr>
        <w:t xml:space="preserve"> واحد يمكن ال</w:t>
      </w:r>
      <w:r w:rsidRPr="006571AC">
        <w:rPr>
          <w:rFonts w:ascii="Simplified Arabic" w:hAnsi="Simplified Arabic" w:hint="cs"/>
          <w:sz w:val="27"/>
          <w:rtl/>
        </w:rPr>
        <w:t>ا</w:t>
      </w:r>
      <w:r w:rsidRPr="006571AC">
        <w:rPr>
          <w:rFonts w:ascii="Simplified Arabic" w:hAnsi="Simplified Arabic"/>
          <w:sz w:val="27"/>
          <w:rtl/>
        </w:rPr>
        <w:t>ستناد إليه في قتال كل</w:t>
      </w:r>
      <w:r w:rsidR="00BD269E" w:rsidRPr="006571AC">
        <w:rPr>
          <w:rFonts w:ascii="Simplified Arabic" w:hAnsi="Simplified Arabic" w:hint="cs"/>
          <w:sz w:val="27"/>
          <w:rtl/>
        </w:rPr>
        <w:t>ّ</w:t>
      </w:r>
      <w:r w:rsidRPr="006571AC">
        <w:rPr>
          <w:rFonts w:ascii="Simplified Arabic" w:hAnsi="Simplified Arabic"/>
          <w:sz w:val="27"/>
          <w:rtl/>
        </w:rPr>
        <w:t xml:space="preserve"> كافر</w:t>
      </w:r>
      <w:r w:rsidR="00BD269E" w:rsidRPr="006571AC">
        <w:rPr>
          <w:rFonts w:ascii="Simplified Arabic" w:hAnsi="Simplified Arabic" w:hint="cs"/>
          <w:sz w:val="27"/>
          <w:rtl/>
        </w:rPr>
        <w:t>ٍ</w:t>
      </w:r>
      <w:r w:rsidRPr="006571AC">
        <w:rPr>
          <w:rFonts w:ascii="Simplified Arabic" w:hAnsi="Simplified Arabic"/>
          <w:sz w:val="27"/>
          <w:rtl/>
        </w:rPr>
        <w:t>، بل النصوص الصريحة من الكتاب والسن</w:t>
      </w:r>
      <w:r w:rsidR="00BD269E" w:rsidRPr="006571AC">
        <w:rPr>
          <w:rFonts w:ascii="Simplified Arabic" w:hAnsi="Simplified Arabic" w:hint="cs"/>
          <w:sz w:val="27"/>
          <w:rtl/>
        </w:rPr>
        <w:t>ّ</w:t>
      </w:r>
      <w:r w:rsidRPr="006571AC">
        <w:rPr>
          <w:rFonts w:ascii="Simplified Arabic" w:hAnsi="Simplified Arabic"/>
          <w:sz w:val="27"/>
          <w:rtl/>
        </w:rPr>
        <w:t>ة واضحة الدلالة في عصمة دم الإنسان إلا</w:t>
      </w:r>
      <w:r w:rsidR="00BD269E" w:rsidRPr="006571AC">
        <w:rPr>
          <w:rFonts w:ascii="Simplified Arabic" w:hAnsi="Simplified Arabic" w:hint="cs"/>
          <w:sz w:val="27"/>
          <w:rtl/>
        </w:rPr>
        <w:t>ّ</w:t>
      </w:r>
      <w:r w:rsidRPr="006571AC">
        <w:rPr>
          <w:rFonts w:ascii="Simplified Arabic" w:hAnsi="Simplified Arabic"/>
          <w:sz w:val="27"/>
          <w:rtl/>
        </w:rPr>
        <w:t xml:space="preserve"> بحق</w:t>
      </w:r>
      <w:r w:rsidR="00BD269E" w:rsidRPr="006571AC">
        <w:rPr>
          <w:rFonts w:ascii="Simplified Arabic" w:hAnsi="Simplified Arabic" w:hint="cs"/>
          <w:sz w:val="27"/>
          <w:rtl/>
        </w:rPr>
        <w:t>ٍّ</w:t>
      </w:r>
      <w:r w:rsidRPr="006571AC">
        <w:rPr>
          <w:rFonts w:ascii="Simplified Arabic" w:hAnsi="Simplified Arabic"/>
          <w:sz w:val="27"/>
          <w:rtl/>
        </w:rPr>
        <w:t>، وبهذا يرتفع الف</w:t>
      </w:r>
      <w:r w:rsidR="008C4999" w:rsidRPr="006571AC">
        <w:rPr>
          <w:rFonts w:ascii="Simplified Arabic" w:hAnsi="Simplified Arabic" w:hint="cs"/>
          <w:sz w:val="27"/>
          <w:rtl/>
        </w:rPr>
        <w:t>َ</w:t>
      </w:r>
      <w:r w:rsidRPr="006571AC">
        <w:rPr>
          <w:rFonts w:ascii="Simplified Arabic" w:hAnsi="Simplified Arabic"/>
          <w:sz w:val="27"/>
          <w:rtl/>
        </w:rPr>
        <w:t>ه</w:t>
      </w:r>
      <w:r w:rsidR="008C4999" w:rsidRPr="006571AC">
        <w:rPr>
          <w:rFonts w:ascii="Simplified Arabic" w:hAnsi="Simplified Arabic" w:hint="cs"/>
          <w:sz w:val="27"/>
          <w:rtl/>
        </w:rPr>
        <w:t>ْ</w:t>
      </w:r>
      <w:r w:rsidRPr="006571AC">
        <w:rPr>
          <w:rFonts w:ascii="Simplified Arabic" w:hAnsi="Simplified Arabic"/>
          <w:sz w:val="27"/>
          <w:rtl/>
        </w:rPr>
        <w:t>م السقيم للخبر النبوي</w:t>
      </w:r>
      <w:r w:rsidR="00BD269E" w:rsidRPr="006571AC">
        <w:rPr>
          <w:rFonts w:ascii="Simplified Arabic" w:hAnsi="Simplified Arabic" w:hint="cs"/>
          <w:sz w:val="27"/>
          <w:rtl/>
        </w:rPr>
        <w:t>ّ.</w:t>
      </w:r>
      <w:r w:rsidRPr="006571AC">
        <w:rPr>
          <w:rFonts w:ascii="Simplified Arabic" w:hAnsi="Simplified Arabic"/>
          <w:sz w:val="27"/>
          <w:rtl/>
        </w:rPr>
        <w:t xml:space="preserve"> فالثابت </w:t>
      </w:r>
      <w:r w:rsidR="00BD269E" w:rsidRPr="006571AC">
        <w:rPr>
          <w:rFonts w:ascii="Simplified Arabic" w:hAnsi="Simplified Arabic" w:hint="cs"/>
          <w:sz w:val="27"/>
          <w:rtl/>
        </w:rPr>
        <w:t>أ</w:t>
      </w:r>
      <w:r w:rsidRPr="006571AC">
        <w:rPr>
          <w:rFonts w:ascii="Simplified Arabic" w:hAnsi="Simplified Arabic"/>
          <w:sz w:val="27"/>
          <w:rtl/>
        </w:rPr>
        <w:t xml:space="preserve">ن الكفر ليس سبباً موجباً للقتل. </w:t>
      </w:r>
    </w:p>
    <w:p w:rsidR="007E5A90" w:rsidRPr="006571AC" w:rsidRDefault="007E5A90" w:rsidP="007E5A90">
      <w:pPr>
        <w:spacing w:line="420" w:lineRule="exact"/>
        <w:rPr>
          <w:sz w:val="27"/>
          <w:rtl/>
        </w:rPr>
      </w:pPr>
    </w:p>
    <w:p w:rsidR="005A03A8" w:rsidRPr="006571AC" w:rsidRDefault="005A03A8" w:rsidP="003357AD">
      <w:pPr>
        <w:pStyle w:val="31"/>
        <w:rPr>
          <w:color w:val="auto"/>
          <w:rtl/>
        </w:rPr>
      </w:pPr>
      <w:bookmarkStart w:id="324" w:name="_Toc114164750"/>
      <w:r w:rsidRPr="006571AC">
        <w:rPr>
          <w:color w:val="auto"/>
          <w:rtl/>
        </w:rPr>
        <w:t>خاتمة</w:t>
      </w:r>
      <w:r w:rsidR="004351F9" w:rsidRPr="006571AC">
        <w:rPr>
          <w:rFonts w:hint="cs"/>
          <w:color w:val="auto"/>
          <w:rtl/>
        </w:rPr>
        <w:t>ٌ وخلاصة</w:t>
      </w:r>
      <w:bookmarkEnd w:id="324"/>
      <w:r w:rsidRPr="006571AC">
        <w:rPr>
          <w:color w:val="auto"/>
          <w:rtl/>
        </w:rPr>
        <w:t xml:space="preserve"> </w:t>
      </w:r>
    </w:p>
    <w:p w:rsidR="005A03A8" w:rsidRPr="006571AC" w:rsidRDefault="005A03A8" w:rsidP="005B0CA4">
      <w:pPr>
        <w:pStyle w:val="afffffff6"/>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لكل</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بحث نتائج وثمار تستوجب بذل الج</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 وإفراغ الوسع ل</w:t>
      </w:r>
      <w:r w:rsidRPr="006571AC">
        <w:rPr>
          <w:rFonts w:ascii="Simplified Arabic" w:hAnsi="Simplified Arabic" w:cs="AL-Mohanad" w:hint="cs"/>
          <w:sz w:val="27"/>
          <w:szCs w:val="27"/>
          <w:rtl/>
          <w:lang w:bidi="ar-IQ"/>
        </w:rPr>
        <w:t xml:space="preserve">أجل </w:t>
      </w:r>
      <w:r w:rsidRPr="006571AC">
        <w:rPr>
          <w:rFonts w:ascii="Simplified Arabic" w:hAnsi="Simplified Arabic" w:cs="AL-Mohanad"/>
          <w:sz w:val="27"/>
          <w:szCs w:val="27"/>
          <w:rtl/>
          <w:lang w:bidi="ar-IQ"/>
        </w:rPr>
        <w:t>تحصيلها</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وإلا كان ل</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غ</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واً وع</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ثاً يوجب تضييع الوقت وه</w:t>
      </w:r>
      <w:r w:rsidR="008C499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w:t>
      </w:r>
      <w:r w:rsidR="008C499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 الطاقة بما لا فائدة منه</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وقد تلخ</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ص مما تقد</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 مجموعة من النتائج</w:t>
      </w:r>
      <w:r w:rsidR="00BD269E"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التي تمث</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خلاصة البحث</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وأهم</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مضامينه</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وهي: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1ـ إن التطر</w:t>
      </w:r>
      <w:r w:rsidR="00BD269E" w:rsidRPr="006571AC">
        <w:rPr>
          <w:rFonts w:ascii="Simplified Arabic" w:hAnsi="Simplified Arabic" w:hint="cs"/>
          <w:sz w:val="27"/>
          <w:rtl/>
        </w:rPr>
        <w:t>ُّ</w:t>
      </w:r>
      <w:r w:rsidRPr="006571AC">
        <w:rPr>
          <w:rFonts w:ascii="Simplified Arabic" w:hAnsi="Simplified Arabic"/>
          <w:sz w:val="27"/>
          <w:rtl/>
        </w:rPr>
        <w:t xml:space="preserve">ف الديني </w:t>
      </w:r>
      <w:r w:rsidRPr="006571AC">
        <w:rPr>
          <w:rFonts w:ascii="Simplified Arabic" w:hAnsi="Simplified Arabic" w:hint="cs"/>
          <w:sz w:val="27"/>
          <w:rtl/>
        </w:rPr>
        <w:t>لدى الجماعات التي تنتهج القو</w:t>
      </w:r>
      <w:r w:rsidR="00BD269E" w:rsidRPr="006571AC">
        <w:rPr>
          <w:rFonts w:ascii="Simplified Arabic" w:hAnsi="Simplified Arabic" w:hint="cs"/>
          <w:sz w:val="27"/>
          <w:rtl/>
        </w:rPr>
        <w:t>ّ</w:t>
      </w:r>
      <w:r w:rsidRPr="006571AC">
        <w:rPr>
          <w:rFonts w:ascii="Simplified Arabic" w:hAnsi="Simplified Arabic" w:hint="cs"/>
          <w:sz w:val="27"/>
          <w:rtl/>
        </w:rPr>
        <w:t>ة كسبيل</w:t>
      </w:r>
      <w:r w:rsidR="00BD269E" w:rsidRPr="006571AC">
        <w:rPr>
          <w:rFonts w:ascii="Simplified Arabic" w:hAnsi="Simplified Arabic" w:hint="cs"/>
          <w:sz w:val="27"/>
          <w:rtl/>
        </w:rPr>
        <w:t>ٍ</w:t>
      </w:r>
      <w:r w:rsidRPr="006571AC">
        <w:rPr>
          <w:rFonts w:ascii="Simplified Arabic" w:hAnsi="Simplified Arabic" w:hint="cs"/>
          <w:sz w:val="27"/>
          <w:rtl/>
        </w:rPr>
        <w:t xml:space="preserve"> لتحقيق غاياتها </w:t>
      </w:r>
      <w:r w:rsidRPr="006571AC">
        <w:rPr>
          <w:rFonts w:ascii="Simplified Arabic" w:hAnsi="Simplified Arabic"/>
          <w:sz w:val="27"/>
          <w:rtl/>
        </w:rPr>
        <w:t>له أسباب</w:t>
      </w:r>
      <w:r w:rsidR="00BD269E" w:rsidRPr="006571AC">
        <w:rPr>
          <w:rFonts w:ascii="Simplified Arabic" w:hAnsi="Simplified Arabic" w:hint="cs"/>
          <w:sz w:val="27"/>
          <w:rtl/>
        </w:rPr>
        <w:t>ٌ</w:t>
      </w:r>
      <w:r w:rsidRPr="006571AC">
        <w:rPr>
          <w:rFonts w:ascii="Simplified Arabic" w:hAnsi="Simplified Arabic"/>
          <w:sz w:val="27"/>
          <w:rtl/>
        </w:rPr>
        <w:t xml:space="preserve"> متعد</w:t>
      </w:r>
      <w:r w:rsidR="00BD269E" w:rsidRPr="006571AC">
        <w:rPr>
          <w:rFonts w:ascii="Simplified Arabic" w:hAnsi="Simplified Arabic" w:hint="cs"/>
          <w:sz w:val="27"/>
          <w:rtl/>
        </w:rPr>
        <w:t>ِّ</w:t>
      </w:r>
      <w:r w:rsidRPr="006571AC">
        <w:rPr>
          <w:rFonts w:ascii="Simplified Arabic" w:hAnsi="Simplified Arabic"/>
          <w:sz w:val="27"/>
          <w:rtl/>
        </w:rPr>
        <w:t>دة</w:t>
      </w:r>
      <w:r w:rsidR="00BD269E" w:rsidRPr="006571AC">
        <w:rPr>
          <w:rFonts w:ascii="Simplified Arabic" w:hAnsi="Simplified Arabic" w:hint="cs"/>
          <w:sz w:val="27"/>
          <w:rtl/>
        </w:rPr>
        <w:t>؛</w:t>
      </w:r>
      <w:r w:rsidRPr="006571AC">
        <w:rPr>
          <w:rFonts w:ascii="Simplified Arabic" w:hAnsi="Simplified Arabic"/>
          <w:sz w:val="27"/>
          <w:rtl/>
        </w:rPr>
        <w:t xml:space="preserve"> </w:t>
      </w:r>
      <w:r w:rsidR="00261DE9" w:rsidRPr="006571AC">
        <w:rPr>
          <w:rFonts w:ascii="Simplified Arabic" w:hAnsi="Simplified Arabic" w:hint="cs"/>
          <w:sz w:val="27"/>
          <w:rtl/>
        </w:rPr>
        <w:t>ف</w:t>
      </w:r>
      <w:r w:rsidRPr="006571AC">
        <w:rPr>
          <w:rFonts w:ascii="Simplified Arabic" w:hAnsi="Simplified Arabic" w:hint="cs"/>
          <w:sz w:val="27"/>
          <w:rtl/>
        </w:rPr>
        <w:t>بعضها ـ وهو الأكثر ـ يعمل لخدمة أجندات</w:t>
      </w:r>
      <w:r w:rsidR="00261DE9" w:rsidRPr="006571AC">
        <w:rPr>
          <w:rFonts w:ascii="Simplified Arabic" w:hAnsi="Simplified Arabic" w:hint="cs"/>
          <w:sz w:val="27"/>
          <w:rtl/>
        </w:rPr>
        <w:t>ٍ</w:t>
      </w:r>
      <w:r w:rsidRPr="006571AC">
        <w:rPr>
          <w:rFonts w:ascii="Simplified Arabic" w:hAnsi="Simplified Arabic" w:hint="cs"/>
          <w:sz w:val="27"/>
          <w:rtl/>
        </w:rPr>
        <w:t xml:space="preserve"> أجنبي</w:t>
      </w:r>
      <w:r w:rsidR="00BD269E" w:rsidRPr="006571AC">
        <w:rPr>
          <w:rFonts w:ascii="Simplified Arabic" w:hAnsi="Simplified Arabic" w:hint="cs"/>
          <w:sz w:val="27"/>
          <w:rtl/>
        </w:rPr>
        <w:t>ّ</w:t>
      </w:r>
      <w:r w:rsidRPr="006571AC">
        <w:rPr>
          <w:rFonts w:ascii="Simplified Arabic" w:hAnsi="Simplified Arabic" w:hint="cs"/>
          <w:sz w:val="27"/>
          <w:rtl/>
        </w:rPr>
        <w:t>ة تخدم دول الاستكبار العالمي</w:t>
      </w:r>
      <w:r w:rsidR="00261DE9" w:rsidRPr="006571AC">
        <w:rPr>
          <w:rFonts w:ascii="Simplified Arabic" w:hAnsi="Simplified Arabic" w:hint="cs"/>
          <w:sz w:val="27"/>
          <w:rtl/>
        </w:rPr>
        <w:t>؛</w:t>
      </w:r>
      <w:r w:rsidRPr="006571AC">
        <w:rPr>
          <w:rFonts w:ascii="Simplified Arabic" w:hAnsi="Simplified Arabic" w:hint="cs"/>
          <w:sz w:val="27"/>
          <w:rtl/>
        </w:rPr>
        <w:t xml:space="preserve"> و</w:t>
      </w:r>
      <w:r w:rsidRPr="006571AC">
        <w:rPr>
          <w:rFonts w:ascii="Simplified Arabic" w:hAnsi="Simplified Arabic"/>
          <w:sz w:val="27"/>
          <w:rtl/>
        </w:rPr>
        <w:t>بعضها يستند في تبرير أفعاله وتصر</w:t>
      </w:r>
      <w:r w:rsidR="00261DE9" w:rsidRPr="006571AC">
        <w:rPr>
          <w:rFonts w:ascii="Simplified Arabic" w:hAnsi="Simplified Arabic" w:hint="cs"/>
          <w:sz w:val="27"/>
          <w:rtl/>
        </w:rPr>
        <w:t>ُّ</w:t>
      </w:r>
      <w:r w:rsidRPr="006571AC">
        <w:rPr>
          <w:rFonts w:ascii="Simplified Arabic" w:hAnsi="Simplified Arabic"/>
          <w:sz w:val="27"/>
          <w:rtl/>
        </w:rPr>
        <w:t>فاته إلى نصوص</w:t>
      </w:r>
      <w:r w:rsidR="00261DE9" w:rsidRPr="006571AC">
        <w:rPr>
          <w:rFonts w:ascii="Simplified Arabic" w:hAnsi="Simplified Arabic" w:hint="cs"/>
          <w:sz w:val="27"/>
          <w:rtl/>
        </w:rPr>
        <w:t>ٍ</w:t>
      </w:r>
      <w:r w:rsidRPr="006571AC">
        <w:rPr>
          <w:rFonts w:ascii="Simplified Arabic" w:hAnsi="Simplified Arabic"/>
          <w:sz w:val="27"/>
          <w:rtl/>
        </w:rPr>
        <w:t xml:space="preserve"> من الكتاب والسن</w:t>
      </w:r>
      <w:r w:rsidR="00261DE9" w:rsidRPr="006571AC">
        <w:rPr>
          <w:rFonts w:ascii="Simplified Arabic" w:hAnsi="Simplified Arabic" w:hint="cs"/>
          <w:sz w:val="27"/>
          <w:rtl/>
        </w:rPr>
        <w:t>ّ</w:t>
      </w:r>
      <w:r w:rsidRPr="006571AC">
        <w:rPr>
          <w:rFonts w:ascii="Simplified Arabic" w:hAnsi="Simplified Arabic"/>
          <w:sz w:val="27"/>
          <w:rtl/>
        </w:rPr>
        <w:t>ة.</w:t>
      </w:r>
      <w:r w:rsidRPr="006571AC">
        <w:rPr>
          <w:rFonts w:ascii="Simplified Arabic" w:hAnsi="Simplified Arabic" w:hint="cs"/>
          <w:sz w:val="27"/>
          <w:rtl/>
        </w:rPr>
        <w:t xml:space="preserve"> </w:t>
      </w:r>
    </w:p>
    <w:p w:rsidR="005A03A8" w:rsidRPr="006571AC" w:rsidRDefault="005A03A8" w:rsidP="008C4999">
      <w:pPr>
        <w:autoSpaceDE w:val="0"/>
        <w:autoSpaceDN w:val="0"/>
        <w:adjustRightInd w:val="0"/>
        <w:rPr>
          <w:rFonts w:ascii="Simplified Arabic" w:hAnsi="Simplified Arabic"/>
          <w:sz w:val="27"/>
          <w:rtl/>
        </w:rPr>
      </w:pPr>
      <w:r w:rsidRPr="006571AC">
        <w:rPr>
          <w:rFonts w:ascii="Simplified Arabic" w:hAnsi="Simplified Arabic" w:hint="cs"/>
          <w:sz w:val="27"/>
          <w:rtl/>
        </w:rPr>
        <w:t>2ـ يمث</w:t>
      </w:r>
      <w:r w:rsidR="00261DE9" w:rsidRPr="006571AC">
        <w:rPr>
          <w:rFonts w:ascii="Simplified Arabic" w:hAnsi="Simplified Arabic" w:hint="cs"/>
          <w:sz w:val="27"/>
          <w:rtl/>
        </w:rPr>
        <w:t>ِّ</w:t>
      </w:r>
      <w:r w:rsidRPr="006571AC">
        <w:rPr>
          <w:rFonts w:ascii="Simplified Arabic" w:hAnsi="Simplified Arabic" w:hint="cs"/>
          <w:sz w:val="27"/>
          <w:rtl/>
        </w:rPr>
        <w:t xml:space="preserve">ل </w:t>
      </w:r>
      <w:r w:rsidR="008C4999" w:rsidRPr="006571AC">
        <w:rPr>
          <w:rFonts w:hint="eastAsia"/>
          <w:sz w:val="24"/>
          <w:szCs w:val="24"/>
          <w:rtl/>
        </w:rPr>
        <w:t>«</w:t>
      </w:r>
      <w:r w:rsidRPr="006571AC">
        <w:rPr>
          <w:rFonts w:ascii="Simplified Arabic" w:hAnsi="Simplified Arabic" w:hint="cs"/>
          <w:sz w:val="27"/>
          <w:rtl/>
        </w:rPr>
        <w:t>حديث المقات</w:t>
      </w:r>
      <w:r w:rsidR="008C4999" w:rsidRPr="006571AC">
        <w:rPr>
          <w:rFonts w:ascii="Simplified Arabic" w:hAnsi="Simplified Arabic" w:hint="cs"/>
          <w:sz w:val="27"/>
          <w:rtl/>
        </w:rPr>
        <w:t>َ</w:t>
      </w:r>
      <w:r w:rsidRPr="006571AC">
        <w:rPr>
          <w:rFonts w:ascii="Simplified Arabic" w:hAnsi="Simplified Arabic" w:hint="cs"/>
          <w:sz w:val="27"/>
          <w:rtl/>
        </w:rPr>
        <w:t>لة</w:t>
      </w:r>
      <w:r w:rsidR="008C4999" w:rsidRPr="006571AC">
        <w:rPr>
          <w:rFonts w:hint="eastAsia"/>
          <w:sz w:val="24"/>
          <w:szCs w:val="24"/>
          <w:rtl/>
        </w:rPr>
        <w:t>»</w:t>
      </w:r>
      <w:r w:rsidR="00261DE9" w:rsidRPr="006571AC">
        <w:rPr>
          <w:rFonts w:ascii="Simplified Arabic" w:hAnsi="Simplified Arabic" w:hint="cs"/>
          <w:sz w:val="27"/>
          <w:rtl/>
        </w:rPr>
        <w:t>،</w:t>
      </w:r>
      <w:r w:rsidRPr="006571AC">
        <w:rPr>
          <w:rFonts w:ascii="Simplified Arabic" w:hAnsi="Simplified Arabic" w:hint="cs"/>
          <w:sz w:val="27"/>
          <w:rtl/>
        </w:rPr>
        <w:t xml:space="preserve"> بظاهره الذي يدل</w:t>
      </w:r>
      <w:r w:rsidR="00261DE9" w:rsidRPr="006571AC">
        <w:rPr>
          <w:rFonts w:ascii="Simplified Arabic" w:hAnsi="Simplified Arabic" w:hint="cs"/>
          <w:sz w:val="27"/>
          <w:rtl/>
        </w:rPr>
        <w:t>ّ</w:t>
      </w:r>
      <w:r w:rsidRPr="006571AC">
        <w:rPr>
          <w:rFonts w:ascii="Simplified Arabic" w:hAnsi="Simplified Arabic" w:hint="cs"/>
          <w:sz w:val="27"/>
          <w:rtl/>
        </w:rPr>
        <w:t xml:space="preserve"> على كون الكفر سبباً لوجوب القتال، أحد أبرز الأ</w:t>
      </w:r>
      <w:r w:rsidR="00261DE9" w:rsidRPr="006571AC">
        <w:rPr>
          <w:rFonts w:ascii="Simplified Arabic" w:hAnsi="Simplified Arabic" w:hint="cs"/>
          <w:sz w:val="27"/>
          <w:rtl/>
        </w:rPr>
        <w:t>ُ</w:t>
      </w:r>
      <w:r w:rsidRPr="006571AC">
        <w:rPr>
          <w:rFonts w:ascii="Simplified Arabic" w:hAnsi="Simplified Arabic" w:hint="cs"/>
          <w:sz w:val="27"/>
          <w:rtl/>
        </w:rPr>
        <w:t>س</w:t>
      </w:r>
      <w:r w:rsidR="00261DE9" w:rsidRPr="006571AC">
        <w:rPr>
          <w:rFonts w:ascii="Simplified Arabic" w:hAnsi="Simplified Arabic" w:hint="cs"/>
          <w:sz w:val="27"/>
          <w:rtl/>
        </w:rPr>
        <w:t>ُ</w:t>
      </w:r>
      <w:r w:rsidRPr="006571AC">
        <w:rPr>
          <w:rFonts w:ascii="Simplified Arabic" w:hAnsi="Simplified Arabic" w:hint="cs"/>
          <w:sz w:val="27"/>
          <w:rtl/>
        </w:rPr>
        <w:t>س التي ي</w:t>
      </w:r>
      <w:r w:rsidR="00261DE9" w:rsidRPr="006571AC">
        <w:rPr>
          <w:rFonts w:ascii="Simplified Arabic" w:hAnsi="Simplified Arabic" w:hint="cs"/>
          <w:sz w:val="27"/>
          <w:rtl/>
        </w:rPr>
        <w:t>ُ</w:t>
      </w:r>
      <w:r w:rsidRPr="006571AC">
        <w:rPr>
          <w:rFonts w:ascii="Simplified Arabic" w:hAnsi="Simplified Arabic" w:hint="cs"/>
          <w:sz w:val="27"/>
          <w:rtl/>
        </w:rPr>
        <w:t>ست</w:t>
      </w:r>
      <w:r w:rsidR="00261DE9" w:rsidRPr="006571AC">
        <w:rPr>
          <w:rFonts w:ascii="Simplified Arabic" w:hAnsi="Simplified Arabic" w:hint="cs"/>
          <w:sz w:val="27"/>
          <w:rtl/>
        </w:rPr>
        <w:t>َ</w:t>
      </w:r>
      <w:r w:rsidRPr="006571AC">
        <w:rPr>
          <w:rFonts w:ascii="Simplified Arabic" w:hAnsi="Simplified Arabic" w:hint="cs"/>
          <w:sz w:val="27"/>
          <w:rtl/>
        </w:rPr>
        <w:t>ن</w:t>
      </w:r>
      <w:r w:rsidR="00261DE9" w:rsidRPr="006571AC">
        <w:rPr>
          <w:rFonts w:ascii="Simplified Arabic" w:hAnsi="Simplified Arabic" w:hint="cs"/>
          <w:sz w:val="27"/>
          <w:rtl/>
        </w:rPr>
        <w:t>َ</w:t>
      </w:r>
      <w:r w:rsidRPr="006571AC">
        <w:rPr>
          <w:rFonts w:ascii="Simplified Arabic" w:hAnsi="Simplified Arabic" w:hint="cs"/>
          <w:sz w:val="27"/>
          <w:rtl/>
        </w:rPr>
        <w:t>د إليها في تأسيس التطر</w:t>
      </w:r>
      <w:r w:rsidR="00261DE9" w:rsidRPr="006571AC">
        <w:rPr>
          <w:rFonts w:ascii="Simplified Arabic" w:hAnsi="Simplified Arabic" w:hint="cs"/>
          <w:sz w:val="27"/>
          <w:rtl/>
        </w:rPr>
        <w:t>ُّ</w:t>
      </w:r>
      <w:r w:rsidRPr="006571AC">
        <w:rPr>
          <w:rFonts w:ascii="Simplified Arabic" w:hAnsi="Simplified Arabic" w:hint="cs"/>
          <w:sz w:val="27"/>
          <w:rtl/>
        </w:rPr>
        <w:t>ف الديني لدى الجماعات الإرهابي</w:t>
      </w:r>
      <w:r w:rsidR="00261DE9" w:rsidRPr="006571AC">
        <w:rPr>
          <w:rFonts w:ascii="Simplified Arabic" w:hAnsi="Simplified Arabic" w:hint="cs"/>
          <w:sz w:val="27"/>
          <w:rtl/>
        </w:rPr>
        <w:t>ّ</w:t>
      </w:r>
      <w:r w:rsidRPr="006571AC">
        <w:rPr>
          <w:rFonts w:ascii="Simplified Arabic" w:hAnsi="Simplified Arabic" w:hint="cs"/>
          <w:sz w:val="27"/>
          <w:rtl/>
        </w:rPr>
        <w:t xml:space="preserve">ة.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 xml:space="preserve">2ـ إن دراسة السند يظهر ضعف جميع أسانيد هذا الخبر عند </w:t>
      </w:r>
      <w:r w:rsidRPr="006571AC">
        <w:rPr>
          <w:rFonts w:ascii="Simplified Arabic" w:hAnsi="Simplified Arabic" w:hint="cs"/>
          <w:sz w:val="27"/>
          <w:rtl/>
        </w:rPr>
        <w:t xml:space="preserve">الشيعة </w:t>
      </w:r>
      <w:r w:rsidRPr="006571AC">
        <w:rPr>
          <w:rFonts w:ascii="Simplified Arabic" w:hAnsi="Simplified Arabic"/>
          <w:sz w:val="27"/>
          <w:rtl/>
        </w:rPr>
        <w:t>الإمامية</w:t>
      </w:r>
      <w:r w:rsidR="00261DE9" w:rsidRPr="006571AC">
        <w:rPr>
          <w:rFonts w:ascii="Simplified Arabic" w:hAnsi="Simplified Arabic" w:hint="cs"/>
          <w:sz w:val="27"/>
          <w:rtl/>
        </w:rPr>
        <w:t>،</w:t>
      </w:r>
      <w:r w:rsidRPr="006571AC">
        <w:rPr>
          <w:rFonts w:ascii="Simplified Arabic" w:hAnsi="Simplified Arabic"/>
          <w:sz w:val="27"/>
          <w:rtl/>
        </w:rPr>
        <w:t xml:space="preserve"> ما يجعله ساقطاً عن </w:t>
      </w:r>
      <w:r w:rsidRPr="006571AC">
        <w:rPr>
          <w:rFonts w:ascii="Simplified Arabic" w:hAnsi="Simplified Arabic" w:hint="cs"/>
          <w:sz w:val="27"/>
          <w:rtl/>
        </w:rPr>
        <w:t>الاعتبار</w:t>
      </w:r>
      <w:r w:rsidR="00261DE9" w:rsidRPr="006571AC">
        <w:rPr>
          <w:rFonts w:ascii="Simplified Arabic" w:hAnsi="Simplified Arabic" w:hint="cs"/>
          <w:sz w:val="27"/>
          <w:rtl/>
        </w:rPr>
        <w:t>؛</w:t>
      </w:r>
      <w:r w:rsidRPr="006571AC">
        <w:rPr>
          <w:rFonts w:ascii="Simplified Arabic" w:hAnsi="Simplified Arabic"/>
          <w:sz w:val="27"/>
          <w:rtl/>
        </w:rPr>
        <w:t xml:space="preserve"> في حين </w:t>
      </w:r>
      <w:r w:rsidRPr="006571AC">
        <w:rPr>
          <w:rFonts w:ascii="Simplified Arabic" w:hAnsi="Simplified Arabic" w:hint="cs"/>
          <w:sz w:val="27"/>
          <w:rtl/>
        </w:rPr>
        <w:t xml:space="preserve">ثبت </w:t>
      </w:r>
      <w:r w:rsidRPr="006571AC">
        <w:rPr>
          <w:rFonts w:ascii="Simplified Arabic" w:hAnsi="Simplified Arabic"/>
          <w:sz w:val="27"/>
          <w:rtl/>
        </w:rPr>
        <w:t xml:space="preserve">اعتباره </w:t>
      </w:r>
      <w:r w:rsidRPr="006571AC">
        <w:rPr>
          <w:rFonts w:ascii="Simplified Arabic" w:hAnsi="Simplified Arabic" w:hint="cs"/>
          <w:sz w:val="27"/>
          <w:rtl/>
        </w:rPr>
        <w:t xml:space="preserve">ـ ولو في الجملة ـ </w:t>
      </w:r>
      <w:r w:rsidRPr="006571AC">
        <w:rPr>
          <w:rFonts w:ascii="Simplified Arabic" w:hAnsi="Simplified Arabic"/>
          <w:sz w:val="27"/>
          <w:rtl/>
        </w:rPr>
        <w:t xml:space="preserve">عند </w:t>
      </w:r>
      <w:r w:rsidR="00261DE9" w:rsidRPr="006571AC">
        <w:rPr>
          <w:rFonts w:ascii="Simplified Arabic" w:hAnsi="Simplified Arabic" w:hint="cs"/>
          <w:sz w:val="27"/>
          <w:rtl/>
        </w:rPr>
        <w:t>جمهور</w:t>
      </w:r>
      <w:r w:rsidRPr="006571AC">
        <w:rPr>
          <w:rFonts w:ascii="Simplified Arabic" w:hAnsi="Simplified Arabic"/>
          <w:sz w:val="27"/>
          <w:rtl/>
        </w:rPr>
        <w:t xml:space="preserve"> المذاهب الإسلامية</w:t>
      </w:r>
      <w:r w:rsidR="00261DE9" w:rsidRPr="006571AC">
        <w:rPr>
          <w:rFonts w:ascii="Simplified Arabic" w:hAnsi="Simplified Arabic" w:hint="cs"/>
          <w:sz w:val="27"/>
          <w:rtl/>
        </w:rPr>
        <w:t xml:space="preserve"> الأخرى؛</w:t>
      </w:r>
      <w:r w:rsidRPr="006571AC">
        <w:rPr>
          <w:rFonts w:ascii="Simplified Arabic" w:hAnsi="Simplified Arabic" w:hint="cs"/>
          <w:sz w:val="27"/>
          <w:rtl/>
        </w:rPr>
        <w:t xml:space="preserve"> </w:t>
      </w:r>
      <w:r w:rsidRPr="006571AC">
        <w:rPr>
          <w:rFonts w:ascii="Simplified Arabic" w:hAnsi="Simplified Arabic"/>
          <w:sz w:val="27"/>
          <w:rtl/>
        </w:rPr>
        <w:t>إذ المناقشة في بعض أسانيده غير م</w:t>
      </w:r>
      <w:r w:rsidR="00261DE9" w:rsidRPr="006571AC">
        <w:rPr>
          <w:rFonts w:ascii="Simplified Arabic" w:hAnsi="Simplified Arabic" w:hint="cs"/>
          <w:sz w:val="27"/>
          <w:rtl/>
        </w:rPr>
        <w:t>ُ</w:t>
      </w:r>
      <w:r w:rsidRPr="006571AC">
        <w:rPr>
          <w:rFonts w:ascii="Simplified Arabic" w:hAnsi="Simplified Arabic"/>
          <w:sz w:val="27"/>
          <w:rtl/>
        </w:rPr>
        <w:t>ج</w:t>
      </w:r>
      <w:r w:rsidR="00261DE9" w:rsidRPr="006571AC">
        <w:rPr>
          <w:rFonts w:ascii="Simplified Arabic" w:hAnsi="Simplified Arabic" w:hint="cs"/>
          <w:sz w:val="27"/>
          <w:rtl/>
        </w:rPr>
        <w:t>ْ</w:t>
      </w:r>
      <w:r w:rsidRPr="006571AC">
        <w:rPr>
          <w:rFonts w:ascii="Simplified Arabic" w:hAnsi="Simplified Arabic"/>
          <w:sz w:val="27"/>
          <w:rtl/>
        </w:rPr>
        <w:t>د</w:t>
      </w:r>
      <w:r w:rsidR="00261DE9" w:rsidRPr="006571AC">
        <w:rPr>
          <w:rFonts w:ascii="Simplified Arabic" w:hAnsi="Simplified Arabic" w:hint="cs"/>
          <w:sz w:val="27"/>
          <w:rtl/>
        </w:rPr>
        <w:t>ِ</w:t>
      </w:r>
      <w:r w:rsidRPr="006571AC">
        <w:rPr>
          <w:rFonts w:ascii="Simplified Arabic" w:hAnsi="Simplified Arabic"/>
          <w:sz w:val="27"/>
          <w:rtl/>
        </w:rPr>
        <w:t xml:space="preserve">ية بعد استفاضته وكثرة طرقه.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3ـ إن متن الحديث مضطرب</w:t>
      </w:r>
      <w:r w:rsidR="00261DE9" w:rsidRPr="006571AC">
        <w:rPr>
          <w:rFonts w:ascii="Simplified Arabic" w:hAnsi="Simplified Arabic" w:hint="cs"/>
          <w:sz w:val="27"/>
          <w:rtl/>
        </w:rPr>
        <w:t>ٌ</w:t>
      </w:r>
      <w:r w:rsidRPr="006571AC">
        <w:rPr>
          <w:rFonts w:ascii="Simplified Arabic" w:hAnsi="Simplified Arabic"/>
          <w:sz w:val="27"/>
          <w:rtl/>
        </w:rPr>
        <w:t xml:space="preserve"> من حيث الزيادة والنقصان</w:t>
      </w:r>
      <w:r w:rsidR="00261DE9" w:rsidRPr="006571AC">
        <w:rPr>
          <w:rFonts w:ascii="Simplified Arabic" w:hAnsi="Simplified Arabic" w:hint="cs"/>
          <w:sz w:val="27"/>
          <w:rtl/>
        </w:rPr>
        <w:t>؛</w:t>
      </w:r>
      <w:r w:rsidRPr="006571AC">
        <w:rPr>
          <w:rFonts w:ascii="Simplified Arabic" w:hAnsi="Simplified Arabic"/>
          <w:sz w:val="27"/>
          <w:rtl/>
        </w:rPr>
        <w:t xml:space="preserve"> حيث أ</w:t>
      </w:r>
      <w:r w:rsidR="00261DE9" w:rsidRPr="006571AC">
        <w:rPr>
          <w:rFonts w:ascii="Simplified Arabic" w:hAnsi="Simplified Arabic" w:hint="cs"/>
          <w:sz w:val="27"/>
          <w:rtl/>
        </w:rPr>
        <w:t>ُ</w:t>
      </w:r>
      <w:r w:rsidRPr="006571AC">
        <w:rPr>
          <w:rFonts w:ascii="Simplified Arabic" w:hAnsi="Simplified Arabic"/>
          <w:sz w:val="27"/>
          <w:rtl/>
        </w:rPr>
        <w:t>ضيف إليه عدد</w:t>
      </w:r>
      <w:r w:rsidR="00261DE9" w:rsidRPr="006571AC">
        <w:rPr>
          <w:rFonts w:ascii="Simplified Arabic" w:hAnsi="Simplified Arabic" w:hint="cs"/>
          <w:sz w:val="27"/>
          <w:rtl/>
        </w:rPr>
        <w:t>ٌ</w:t>
      </w:r>
      <w:r w:rsidRPr="006571AC">
        <w:rPr>
          <w:rFonts w:ascii="Simplified Arabic" w:hAnsi="Simplified Arabic"/>
          <w:sz w:val="27"/>
          <w:rtl/>
        </w:rPr>
        <w:t xml:space="preserve"> من القيود</w:t>
      </w:r>
      <w:r w:rsidR="00261DE9" w:rsidRPr="006571AC">
        <w:rPr>
          <w:rFonts w:ascii="Simplified Arabic" w:hAnsi="Simplified Arabic" w:hint="cs"/>
          <w:sz w:val="27"/>
          <w:rtl/>
        </w:rPr>
        <w:t>،</w:t>
      </w:r>
      <w:r w:rsidRPr="006571AC">
        <w:rPr>
          <w:rFonts w:ascii="Simplified Arabic" w:hAnsi="Simplified Arabic"/>
          <w:sz w:val="27"/>
          <w:rtl/>
        </w:rPr>
        <w:t xml:space="preserve"> كوجوب </w:t>
      </w:r>
      <w:r w:rsidR="00261DE9" w:rsidRPr="006571AC">
        <w:rPr>
          <w:rFonts w:ascii="Simplified Arabic" w:hAnsi="Simplified Arabic" w:hint="cs"/>
          <w:sz w:val="27"/>
          <w:rtl/>
        </w:rPr>
        <w:t>إ</w:t>
      </w:r>
      <w:r w:rsidRPr="006571AC">
        <w:rPr>
          <w:rFonts w:ascii="Simplified Arabic" w:hAnsi="Simplified Arabic"/>
          <w:sz w:val="27"/>
          <w:rtl/>
        </w:rPr>
        <w:t>قامة الصلاة ودفع الزكاة واستحلال الذبائح ونحوها</w:t>
      </w:r>
      <w:r w:rsidR="00261DE9" w:rsidRPr="006571AC">
        <w:rPr>
          <w:rFonts w:ascii="Simplified Arabic" w:hAnsi="Simplified Arabic" w:hint="cs"/>
          <w:sz w:val="27"/>
          <w:rtl/>
        </w:rPr>
        <w:t>،</w:t>
      </w:r>
      <w:r w:rsidRPr="006571AC">
        <w:rPr>
          <w:rFonts w:ascii="Simplified Arabic" w:hAnsi="Simplified Arabic"/>
          <w:sz w:val="27"/>
          <w:rtl/>
        </w:rPr>
        <w:t xml:space="preserve"> ولم </w:t>
      </w:r>
      <w:r w:rsidRPr="006571AC">
        <w:rPr>
          <w:rFonts w:ascii="Simplified Arabic" w:hAnsi="Simplified Arabic"/>
          <w:sz w:val="27"/>
          <w:rtl/>
        </w:rPr>
        <w:lastRenderedPageBreak/>
        <w:t>تثبت عند التحقيق</w:t>
      </w:r>
      <w:r w:rsidR="00261DE9" w:rsidRPr="006571AC">
        <w:rPr>
          <w:rFonts w:ascii="Simplified Arabic" w:hAnsi="Simplified Arabic" w:hint="cs"/>
          <w:sz w:val="27"/>
          <w:rtl/>
        </w:rPr>
        <w:t>،</w:t>
      </w:r>
      <w:r w:rsidRPr="006571AC">
        <w:rPr>
          <w:rFonts w:ascii="Simplified Arabic" w:hAnsi="Simplified Arabic" w:hint="cs"/>
          <w:sz w:val="27"/>
          <w:rtl/>
        </w:rPr>
        <w:t xml:space="preserve"> فيقتصر فيه على القدر المتيق</w:t>
      </w:r>
      <w:r w:rsidR="00261DE9" w:rsidRPr="006571AC">
        <w:rPr>
          <w:rFonts w:ascii="Simplified Arabic" w:hAnsi="Simplified Arabic" w:hint="cs"/>
          <w:sz w:val="27"/>
          <w:rtl/>
        </w:rPr>
        <w:t>َّ</w:t>
      </w:r>
      <w:r w:rsidRPr="006571AC">
        <w:rPr>
          <w:rFonts w:ascii="Simplified Arabic" w:hAnsi="Simplified Arabic" w:hint="cs"/>
          <w:sz w:val="27"/>
          <w:rtl/>
        </w:rPr>
        <w:t>ن</w:t>
      </w:r>
      <w:r w:rsidR="00261DE9" w:rsidRPr="006571AC">
        <w:rPr>
          <w:rFonts w:ascii="Simplified Arabic" w:hAnsi="Simplified Arabic" w:hint="cs"/>
          <w:sz w:val="27"/>
          <w:rtl/>
        </w:rPr>
        <w:t>، وهو:</w:t>
      </w:r>
      <w:r w:rsidRPr="006571AC">
        <w:rPr>
          <w:rFonts w:ascii="Simplified Arabic" w:hAnsi="Simplified Arabic" w:hint="cs"/>
          <w:sz w:val="27"/>
          <w:rtl/>
        </w:rPr>
        <w:t xml:space="preserve"> القتال على التوحيد.</w:t>
      </w:r>
      <w:r w:rsidRPr="006571AC">
        <w:rPr>
          <w:rFonts w:ascii="Simplified Arabic" w:hAnsi="Simplified Arabic"/>
          <w:sz w:val="27"/>
          <w:rtl/>
        </w:rPr>
        <w:t xml:space="preserve">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4ـ إن دلالة الخبر</w:t>
      </w:r>
      <w:r w:rsidR="00261DE9" w:rsidRPr="006571AC">
        <w:rPr>
          <w:rFonts w:ascii="Simplified Arabic" w:hAnsi="Simplified Arabic" w:hint="cs"/>
          <w:sz w:val="27"/>
          <w:rtl/>
        </w:rPr>
        <w:t>،</w:t>
      </w:r>
      <w:r w:rsidRPr="006571AC">
        <w:rPr>
          <w:rFonts w:ascii="Simplified Arabic" w:hAnsi="Simplified Arabic"/>
          <w:sz w:val="27"/>
          <w:rtl/>
        </w:rPr>
        <w:t xml:space="preserve"> بعد عرضه على الكتاب الشريف والسن</w:t>
      </w:r>
      <w:r w:rsidR="00261DE9" w:rsidRPr="006571AC">
        <w:rPr>
          <w:rFonts w:ascii="Simplified Arabic" w:hAnsi="Simplified Arabic" w:hint="cs"/>
          <w:sz w:val="27"/>
          <w:rtl/>
        </w:rPr>
        <w:t>ّ</w:t>
      </w:r>
      <w:r w:rsidRPr="006571AC">
        <w:rPr>
          <w:rFonts w:ascii="Simplified Arabic" w:hAnsi="Simplified Arabic"/>
          <w:sz w:val="27"/>
          <w:rtl/>
        </w:rPr>
        <w:t>ة المعتبرة والسيرة القطعي</w:t>
      </w:r>
      <w:r w:rsidR="00261DE9" w:rsidRPr="006571AC">
        <w:rPr>
          <w:rFonts w:ascii="Simplified Arabic" w:hAnsi="Simplified Arabic" w:hint="cs"/>
          <w:sz w:val="27"/>
          <w:rtl/>
        </w:rPr>
        <w:t>ّ</w:t>
      </w:r>
      <w:r w:rsidRPr="006571AC">
        <w:rPr>
          <w:rFonts w:ascii="Simplified Arabic" w:hAnsi="Simplified Arabic"/>
          <w:sz w:val="27"/>
          <w:rtl/>
        </w:rPr>
        <w:t>ة للمعصوم</w:t>
      </w:r>
      <w:r w:rsidR="00261DE9" w:rsidRPr="006571AC">
        <w:rPr>
          <w:rFonts w:ascii="Mosawi" w:hAnsi="Mosawi" w:cs="Mosawi"/>
          <w:sz w:val="22"/>
          <w:szCs w:val="22"/>
          <w:rtl/>
        </w:rPr>
        <w:t>×</w:t>
      </w:r>
      <w:r w:rsidR="00261DE9" w:rsidRPr="006571AC">
        <w:rPr>
          <w:rFonts w:ascii="Simplified Arabic" w:hAnsi="Simplified Arabic" w:hint="cs"/>
          <w:sz w:val="27"/>
          <w:rtl/>
        </w:rPr>
        <w:t>،</w:t>
      </w:r>
      <w:r w:rsidRPr="006571AC">
        <w:rPr>
          <w:rFonts w:ascii="Simplified Arabic" w:hAnsi="Simplified Arabic" w:hint="cs"/>
          <w:sz w:val="27"/>
          <w:rtl/>
        </w:rPr>
        <w:t xml:space="preserve"> </w:t>
      </w:r>
      <w:r w:rsidRPr="006571AC">
        <w:rPr>
          <w:rFonts w:ascii="Simplified Arabic" w:hAnsi="Simplified Arabic"/>
          <w:sz w:val="27"/>
          <w:rtl/>
        </w:rPr>
        <w:t>تختص</w:t>
      </w:r>
      <w:r w:rsidR="00261DE9" w:rsidRPr="006571AC">
        <w:rPr>
          <w:rFonts w:ascii="Simplified Arabic" w:hAnsi="Simplified Arabic" w:hint="cs"/>
          <w:sz w:val="27"/>
          <w:rtl/>
        </w:rPr>
        <w:t>ّ</w:t>
      </w:r>
      <w:r w:rsidRPr="006571AC">
        <w:rPr>
          <w:rFonts w:ascii="Simplified Arabic" w:hAnsi="Simplified Arabic"/>
          <w:sz w:val="27"/>
          <w:rtl/>
        </w:rPr>
        <w:t xml:space="preserve"> بحالة رد</w:t>
      </w:r>
      <w:r w:rsidR="00261DE9" w:rsidRPr="006571AC">
        <w:rPr>
          <w:rFonts w:ascii="Simplified Arabic" w:hAnsi="Simplified Arabic" w:hint="cs"/>
          <w:sz w:val="27"/>
          <w:rtl/>
        </w:rPr>
        <w:t>ّ</w:t>
      </w:r>
      <w:r w:rsidRPr="006571AC">
        <w:rPr>
          <w:rFonts w:ascii="Simplified Arabic" w:hAnsi="Simplified Arabic"/>
          <w:sz w:val="27"/>
          <w:rtl/>
        </w:rPr>
        <w:t xml:space="preserve"> العدوان والدفاع عن بيضة الإسلام أو المستضعفين في الأرض</w:t>
      </w:r>
      <w:r w:rsidR="00261DE9" w:rsidRPr="006571AC">
        <w:rPr>
          <w:rFonts w:ascii="Simplified Arabic" w:hAnsi="Simplified Arabic" w:hint="cs"/>
          <w:sz w:val="27"/>
          <w:rtl/>
        </w:rPr>
        <w:t>،</w:t>
      </w:r>
      <w:r w:rsidRPr="006571AC">
        <w:rPr>
          <w:rFonts w:ascii="Simplified Arabic" w:hAnsi="Simplified Arabic"/>
          <w:sz w:val="27"/>
          <w:rtl/>
        </w:rPr>
        <w:t xml:space="preserve"> ولا يمكن تعميمه لكل</w:t>
      </w:r>
      <w:r w:rsidR="00261DE9" w:rsidRPr="006571AC">
        <w:rPr>
          <w:rFonts w:ascii="Simplified Arabic" w:hAnsi="Simplified Arabic" w:hint="cs"/>
          <w:sz w:val="27"/>
          <w:rtl/>
        </w:rPr>
        <w:t>ّ</w:t>
      </w:r>
      <w:r w:rsidRPr="006571AC">
        <w:rPr>
          <w:rFonts w:ascii="Simplified Arabic" w:hAnsi="Simplified Arabic"/>
          <w:sz w:val="27"/>
          <w:rtl/>
        </w:rPr>
        <w:t xml:space="preserve"> كافر</w:t>
      </w:r>
      <w:r w:rsidR="00261DE9" w:rsidRPr="006571AC">
        <w:rPr>
          <w:rFonts w:ascii="Simplified Arabic" w:hAnsi="Simplified Arabic" w:hint="cs"/>
          <w:sz w:val="27"/>
          <w:rtl/>
        </w:rPr>
        <w:t>ٍ</w:t>
      </w:r>
      <w:r w:rsidRPr="006571AC">
        <w:rPr>
          <w:rFonts w:ascii="Simplified Arabic" w:hAnsi="Simplified Arabic"/>
          <w:sz w:val="27"/>
          <w:rtl/>
        </w:rPr>
        <w:t xml:space="preserve"> في جميع بقاع الأرض</w:t>
      </w:r>
      <w:r w:rsidR="00261DE9" w:rsidRPr="006571AC">
        <w:rPr>
          <w:rFonts w:ascii="Simplified Arabic" w:hAnsi="Simplified Arabic" w:hint="cs"/>
          <w:sz w:val="27"/>
          <w:rtl/>
        </w:rPr>
        <w:t>.</w:t>
      </w:r>
      <w:r w:rsidRPr="006571AC">
        <w:rPr>
          <w:rFonts w:ascii="Simplified Arabic" w:hAnsi="Simplified Arabic"/>
          <w:sz w:val="27"/>
          <w:rtl/>
        </w:rPr>
        <w:t xml:space="preserve"> </w:t>
      </w:r>
      <w:r w:rsidR="00B325D0" w:rsidRPr="006571AC">
        <w:rPr>
          <w:rFonts w:ascii="Simplified Arabic" w:hAnsi="Simplified Arabic" w:hint="cs"/>
          <w:sz w:val="27"/>
          <w:rtl/>
        </w:rPr>
        <w:t>وفي ما عدا ذلك</w:t>
      </w:r>
      <w:r w:rsidRPr="006571AC">
        <w:rPr>
          <w:rFonts w:ascii="Simplified Arabic" w:hAnsi="Simplified Arabic"/>
          <w:sz w:val="27"/>
          <w:rtl/>
        </w:rPr>
        <w:t xml:space="preserve"> يكون ساقطاً عن الاعتبار. </w:t>
      </w:r>
    </w:p>
    <w:p w:rsidR="005A03A8" w:rsidRPr="006571AC" w:rsidRDefault="00B325D0" w:rsidP="005B0CA4">
      <w:pPr>
        <w:autoSpaceDE w:val="0"/>
        <w:autoSpaceDN w:val="0"/>
        <w:adjustRightInd w:val="0"/>
        <w:rPr>
          <w:rFonts w:ascii="Simplified Arabic" w:hAnsi="Simplified Arabic"/>
          <w:sz w:val="27"/>
          <w:rtl/>
        </w:rPr>
      </w:pPr>
      <w:r w:rsidRPr="006571AC">
        <w:rPr>
          <w:rFonts w:ascii="Simplified Arabic" w:hAnsi="Simplified Arabic" w:hint="cs"/>
          <w:sz w:val="27"/>
          <w:rtl/>
        </w:rPr>
        <w:t>هذه أبرز</w:t>
      </w:r>
      <w:r w:rsidR="005A03A8" w:rsidRPr="006571AC">
        <w:rPr>
          <w:rFonts w:ascii="Simplified Arabic" w:hAnsi="Simplified Arabic" w:hint="cs"/>
          <w:sz w:val="27"/>
          <w:rtl/>
        </w:rPr>
        <w:t xml:space="preserve"> النتائج والثمرات التي تساهم في إرجاع الحديث </w:t>
      </w:r>
      <w:r w:rsidRPr="006571AC">
        <w:rPr>
          <w:rFonts w:ascii="Simplified Arabic" w:hAnsi="Simplified Arabic" w:hint="cs"/>
          <w:sz w:val="27"/>
          <w:rtl/>
        </w:rPr>
        <w:t>إ</w:t>
      </w:r>
      <w:r w:rsidR="005A03A8" w:rsidRPr="006571AC">
        <w:rPr>
          <w:rFonts w:ascii="Simplified Arabic" w:hAnsi="Simplified Arabic" w:hint="cs"/>
          <w:sz w:val="27"/>
          <w:rtl/>
        </w:rPr>
        <w:t>لى المنظومة التشريعية الصحيحة للدين الإسلامي، بحيث تدفع عنه تهمة التطر</w:t>
      </w:r>
      <w:r w:rsidRPr="006571AC">
        <w:rPr>
          <w:rFonts w:ascii="Simplified Arabic" w:hAnsi="Simplified Arabic" w:hint="cs"/>
          <w:sz w:val="27"/>
          <w:rtl/>
        </w:rPr>
        <w:t>ُّ</w:t>
      </w:r>
      <w:r w:rsidR="005A03A8" w:rsidRPr="006571AC">
        <w:rPr>
          <w:rFonts w:ascii="Simplified Arabic" w:hAnsi="Simplified Arabic" w:hint="cs"/>
          <w:sz w:val="27"/>
          <w:rtl/>
        </w:rPr>
        <w:t>ف</w:t>
      </w:r>
      <w:r w:rsidRPr="006571AC">
        <w:rPr>
          <w:rFonts w:ascii="Simplified Arabic" w:hAnsi="Simplified Arabic" w:hint="cs"/>
          <w:sz w:val="27"/>
          <w:rtl/>
        </w:rPr>
        <w:t>،</w:t>
      </w:r>
      <w:r w:rsidR="005A03A8" w:rsidRPr="006571AC">
        <w:rPr>
          <w:rFonts w:ascii="Simplified Arabic" w:hAnsi="Simplified Arabic" w:hint="cs"/>
          <w:sz w:val="27"/>
          <w:rtl/>
        </w:rPr>
        <w:t xml:space="preserve"> الذي يدعو إلى استضعاف المخالف وقتله لمجر</w:t>
      </w:r>
      <w:r w:rsidRPr="006571AC">
        <w:rPr>
          <w:rFonts w:ascii="Simplified Arabic" w:hAnsi="Simplified Arabic" w:hint="cs"/>
          <w:sz w:val="27"/>
          <w:rtl/>
        </w:rPr>
        <w:t>ّ</w:t>
      </w:r>
      <w:r w:rsidR="005A03A8" w:rsidRPr="006571AC">
        <w:rPr>
          <w:rFonts w:ascii="Simplified Arabic" w:hAnsi="Simplified Arabic" w:hint="cs"/>
          <w:sz w:val="27"/>
          <w:rtl/>
        </w:rPr>
        <w:t>د الكفر، وتؤد</w:t>
      </w:r>
      <w:r w:rsidRPr="006571AC">
        <w:rPr>
          <w:rFonts w:ascii="Simplified Arabic" w:hAnsi="Simplified Arabic" w:hint="cs"/>
          <w:sz w:val="27"/>
          <w:rtl/>
        </w:rPr>
        <w:t>ّ</w:t>
      </w:r>
      <w:r w:rsidR="005A03A8" w:rsidRPr="006571AC">
        <w:rPr>
          <w:rFonts w:ascii="Simplified Arabic" w:hAnsi="Simplified Arabic" w:hint="cs"/>
          <w:sz w:val="27"/>
          <w:rtl/>
        </w:rPr>
        <w:t xml:space="preserve">ي </w:t>
      </w:r>
      <w:r w:rsidRPr="006571AC">
        <w:rPr>
          <w:rFonts w:ascii="Simplified Arabic" w:hAnsi="Simplified Arabic" w:hint="cs"/>
          <w:sz w:val="27"/>
          <w:rtl/>
        </w:rPr>
        <w:t>إلى</w:t>
      </w:r>
      <w:r w:rsidR="005A03A8" w:rsidRPr="006571AC">
        <w:rPr>
          <w:rFonts w:ascii="Simplified Arabic" w:hAnsi="Simplified Arabic" w:hint="cs"/>
          <w:sz w:val="27"/>
          <w:rtl/>
        </w:rPr>
        <w:t xml:space="preserve"> تهديم أ</w:t>
      </w:r>
      <w:r w:rsidRPr="006571AC">
        <w:rPr>
          <w:rFonts w:ascii="Simplified Arabic" w:hAnsi="Simplified Arabic" w:hint="cs"/>
          <w:sz w:val="27"/>
          <w:rtl/>
        </w:rPr>
        <w:t>ُ</w:t>
      </w:r>
      <w:r w:rsidR="005A03A8" w:rsidRPr="006571AC">
        <w:rPr>
          <w:rFonts w:ascii="Simplified Arabic" w:hAnsi="Simplified Arabic" w:hint="cs"/>
          <w:sz w:val="27"/>
          <w:rtl/>
        </w:rPr>
        <w:t>س</w:t>
      </w:r>
      <w:r w:rsidRPr="006571AC">
        <w:rPr>
          <w:rFonts w:ascii="Simplified Arabic" w:hAnsi="Simplified Arabic" w:hint="cs"/>
          <w:sz w:val="27"/>
          <w:rtl/>
        </w:rPr>
        <w:t>ُ</w:t>
      </w:r>
      <w:r w:rsidR="005A03A8" w:rsidRPr="006571AC">
        <w:rPr>
          <w:rFonts w:ascii="Simplified Arabic" w:hAnsi="Simplified Arabic" w:hint="cs"/>
          <w:sz w:val="27"/>
          <w:rtl/>
        </w:rPr>
        <w:t>س وقواعد التطر</w:t>
      </w:r>
      <w:r w:rsidRPr="006571AC">
        <w:rPr>
          <w:rFonts w:ascii="Simplified Arabic" w:hAnsi="Simplified Arabic" w:hint="cs"/>
          <w:sz w:val="27"/>
          <w:rtl/>
        </w:rPr>
        <w:t>ُّ</w:t>
      </w:r>
      <w:r w:rsidR="005A03A8" w:rsidRPr="006571AC">
        <w:rPr>
          <w:rFonts w:ascii="Simplified Arabic" w:hAnsi="Simplified Arabic" w:hint="cs"/>
          <w:sz w:val="27"/>
          <w:rtl/>
        </w:rPr>
        <w:t xml:space="preserve">ف في المجتمع. </w:t>
      </w:r>
    </w:p>
    <w:p w:rsidR="00E83C22" w:rsidRPr="006571AC" w:rsidRDefault="00E83C22" w:rsidP="00037A9B">
      <w:pPr>
        <w:spacing w:line="440" w:lineRule="exact"/>
        <w:rPr>
          <w:rtl/>
        </w:rPr>
      </w:pPr>
    </w:p>
    <w:p w:rsidR="00E83C22" w:rsidRPr="006571AC" w:rsidRDefault="00E83C22" w:rsidP="00037A9B">
      <w:pPr>
        <w:spacing w:line="440" w:lineRule="exact"/>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98"/>
          <w:headerReference w:type="default" r:id="rId99"/>
          <w:footerReference w:type="even" r:id="rId100"/>
          <w:footerReference w:type="default" r:id="rId10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102"/>
          <w:headerReference w:type="default" r:id="rId103"/>
          <w:footerReference w:type="even" r:id="rId104"/>
          <w:footerReference w:type="default" r:id="rId105"/>
          <w:headerReference w:type="first" r:id="rId10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037A9B">
      <w:pPr>
        <w:spacing w:line="370" w:lineRule="exact"/>
        <w:rPr>
          <w:rtl/>
        </w:rPr>
      </w:pPr>
    </w:p>
    <w:p w:rsidR="00E83C22" w:rsidRPr="006571AC" w:rsidRDefault="00E83C22" w:rsidP="00037A9B">
      <w:pPr>
        <w:spacing w:line="360" w:lineRule="exact"/>
        <w:rPr>
          <w:rtl/>
        </w:rPr>
      </w:pPr>
    </w:p>
    <w:p w:rsidR="00E83C22" w:rsidRPr="006571AC" w:rsidRDefault="00D246D3" w:rsidP="00D246D3">
      <w:pPr>
        <w:pStyle w:val="10"/>
        <w:spacing w:line="216" w:lineRule="auto"/>
        <w:rPr>
          <w:rtl/>
        </w:rPr>
      </w:pPr>
      <w:bookmarkStart w:id="325" w:name="_Toc114164751"/>
      <w:r w:rsidRPr="006571AC">
        <w:rPr>
          <w:rtl/>
          <w:lang w:bidi="ar-LB"/>
        </w:rPr>
        <w:t>مباني فهم النص</w:t>
      </w:r>
      <w:r w:rsidR="004351F9" w:rsidRPr="006571AC">
        <w:rPr>
          <w:rFonts w:hint="cs"/>
          <w:rtl/>
          <w:lang w:bidi="ar-LB"/>
        </w:rPr>
        <w:t>ّ</w:t>
      </w:r>
      <w:bookmarkEnd w:id="325"/>
    </w:p>
    <w:p w:rsidR="00E83C22" w:rsidRPr="006571AC" w:rsidRDefault="00EF7DE3" w:rsidP="002C759F">
      <w:pPr>
        <w:pStyle w:val="10"/>
        <w:spacing w:line="216" w:lineRule="auto"/>
        <w:rPr>
          <w:sz w:val="26"/>
          <w:szCs w:val="42"/>
          <w:rtl/>
          <w:lang w:bidi="ar-LB"/>
        </w:rPr>
      </w:pPr>
      <w:bookmarkStart w:id="326" w:name="_Toc114164752"/>
      <w:r w:rsidRPr="006571AC">
        <w:rPr>
          <w:rFonts w:hint="cs"/>
          <w:sz w:val="26"/>
          <w:szCs w:val="42"/>
          <w:rtl/>
          <w:lang w:bidi="ar-LB"/>
        </w:rPr>
        <w:t>في</w:t>
      </w:r>
      <w:r w:rsidR="00D246D3" w:rsidRPr="006571AC">
        <w:rPr>
          <w:sz w:val="26"/>
          <w:szCs w:val="42"/>
          <w:rtl/>
          <w:lang w:bidi="ar-LB"/>
        </w:rPr>
        <w:t xml:space="preserve"> </w:t>
      </w:r>
      <w:r w:rsidR="002C759F" w:rsidRPr="006571AC">
        <w:rPr>
          <w:rFonts w:hint="cs"/>
          <w:sz w:val="26"/>
          <w:szCs w:val="42"/>
          <w:rtl/>
          <w:lang w:bidi="ar-LB"/>
        </w:rPr>
        <w:t>ال</w:t>
      </w:r>
      <w:r w:rsidRPr="006571AC">
        <w:rPr>
          <w:rFonts w:hint="cs"/>
          <w:sz w:val="26"/>
          <w:szCs w:val="42"/>
          <w:rtl/>
          <w:lang w:bidi="ar-LB"/>
        </w:rPr>
        <w:t>فكر</w:t>
      </w:r>
      <w:r w:rsidR="002C759F" w:rsidRPr="006571AC">
        <w:rPr>
          <w:rFonts w:hint="cs"/>
          <w:sz w:val="26"/>
          <w:szCs w:val="42"/>
          <w:rtl/>
          <w:lang w:bidi="ar-LB"/>
        </w:rPr>
        <w:t xml:space="preserve"> الأصوليّ</w:t>
      </w:r>
      <w:r w:rsidRPr="006571AC">
        <w:rPr>
          <w:rFonts w:hint="cs"/>
          <w:sz w:val="26"/>
          <w:szCs w:val="42"/>
          <w:rtl/>
          <w:lang w:bidi="ar-LB"/>
        </w:rPr>
        <w:t xml:space="preserve"> </w:t>
      </w:r>
      <w:r w:rsidR="002C759F" w:rsidRPr="006571AC">
        <w:rPr>
          <w:rFonts w:hint="cs"/>
          <w:sz w:val="26"/>
          <w:szCs w:val="42"/>
          <w:rtl/>
          <w:lang w:bidi="ar-LB"/>
        </w:rPr>
        <w:t>ل</w:t>
      </w:r>
      <w:r w:rsidR="00D246D3" w:rsidRPr="006571AC">
        <w:rPr>
          <w:sz w:val="26"/>
          <w:szCs w:val="42"/>
          <w:rtl/>
          <w:lang w:bidi="ar-LB"/>
        </w:rPr>
        <w:t>ل</w:t>
      </w:r>
      <w:r w:rsidR="004351F9" w:rsidRPr="006571AC">
        <w:rPr>
          <w:rFonts w:hint="cs"/>
          <w:sz w:val="26"/>
          <w:szCs w:val="42"/>
          <w:rtl/>
          <w:lang w:bidi="ar-LB"/>
        </w:rPr>
        <w:t>سيّد</w:t>
      </w:r>
      <w:r w:rsidR="00D246D3" w:rsidRPr="006571AC">
        <w:rPr>
          <w:sz w:val="26"/>
          <w:szCs w:val="42"/>
          <w:rtl/>
          <w:lang w:bidi="ar-LB"/>
        </w:rPr>
        <w:t xml:space="preserve"> </w:t>
      </w:r>
      <w:r w:rsidR="0006523A" w:rsidRPr="006571AC">
        <w:rPr>
          <w:rFonts w:hint="cs"/>
          <w:sz w:val="26"/>
          <w:szCs w:val="42"/>
          <w:rtl/>
          <w:lang w:bidi="ar-LB"/>
        </w:rPr>
        <w:t>محم</w:t>
      </w:r>
      <w:r w:rsidR="002C759F" w:rsidRPr="006571AC">
        <w:rPr>
          <w:rFonts w:hint="cs"/>
          <w:sz w:val="26"/>
          <w:szCs w:val="42"/>
          <w:rtl/>
          <w:lang w:bidi="ar-LB"/>
        </w:rPr>
        <w:t>ّ</w:t>
      </w:r>
      <w:r w:rsidR="0006523A" w:rsidRPr="006571AC">
        <w:rPr>
          <w:rFonts w:hint="cs"/>
          <w:sz w:val="26"/>
          <w:szCs w:val="42"/>
          <w:rtl/>
          <w:lang w:bidi="ar-LB"/>
        </w:rPr>
        <w:t>د باقر</w:t>
      </w:r>
      <w:r w:rsidR="00D246D3" w:rsidRPr="006571AC">
        <w:rPr>
          <w:sz w:val="26"/>
          <w:szCs w:val="42"/>
          <w:rtl/>
          <w:lang w:bidi="ar-LB"/>
        </w:rPr>
        <w:t xml:space="preserve"> الصدر</w:t>
      </w:r>
      <w:bookmarkEnd w:id="326"/>
    </w:p>
    <w:p w:rsidR="00E83C22" w:rsidRPr="006571AC" w:rsidRDefault="00E83C22" w:rsidP="00E83C22">
      <w:pPr>
        <w:spacing w:line="300" w:lineRule="exact"/>
        <w:rPr>
          <w:rtl/>
        </w:rPr>
      </w:pPr>
    </w:p>
    <w:p w:rsidR="00E83C22" w:rsidRPr="006571AC" w:rsidRDefault="00D246D3" w:rsidP="00D246D3">
      <w:pPr>
        <w:pStyle w:val="Author"/>
        <w:rPr>
          <w:rtl/>
        </w:rPr>
      </w:pPr>
      <w:r w:rsidRPr="006571AC">
        <w:rPr>
          <w:rFonts w:hint="cs"/>
          <w:rtl/>
          <w:lang w:bidi="ar-LB"/>
        </w:rPr>
        <w:t xml:space="preserve">الشيخ </w:t>
      </w:r>
      <w:r w:rsidR="00F60683" w:rsidRPr="006571AC">
        <w:rPr>
          <w:rtl/>
          <w:lang w:bidi="ar-LB"/>
        </w:rPr>
        <w:t>حسنين الج</w:t>
      </w:r>
      <w:r w:rsidR="008C4999" w:rsidRPr="006571AC">
        <w:rPr>
          <w:rFonts w:hint="cs"/>
          <w:rtl/>
          <w:lang w:bidi="ar-LB"/>
        </w:rPr>
        <w:t>مّ</w:t>
      </w:r>
      <w:r w:rsidRPr="006571AC">
        <w:rPr>
          <w:rtl/>
          <w:lang w:bidi="ar-LB"/>
        </w:rPr>
        <w:t>ال</w:t>
      </w:r>
      <w:r w:rsidR="00527634" w:rsidRPr="006571AC">
        <w:rPr>
          <w:rFonts w:cs="Taher" w:hint="cs"/>
          <w:vertAlign w:val="superscript"/>
          <w:rtl/>
        </w:rPr>
        <w:t>(</w:t>
      </w:r>
      <w:r w:rsidR="00527634" w:rsidRPr="006571AC">
        <w:rPr>
          <w:rFonts w:cs="Taher"/>
          <w:vertAlign w:val="superscript"/>
          <w:rtl/>
        </w:rPr>
        <w:footnoteReference w:customMarkFollows="1" w:id="14"/>
        <w:t>*)</w:t>
      </w:r>
    </w:p>
    <w:p w:rsidR="00E83C22" w:rsidRPr="006571AC" w:rsidRDefault="00E83C22" w:rsidP="00E83C22">
      <w:pPr>
        <w:spacing w:line="300" w:lineRule="exact"/>
        <w:rPr>
          <w:rtl/>
        </w:rPr>
      </w:pPr>
    </w:p>
    <w:p w:rsidR="008D51F3" w:rsidRPr="006571AC" w:rsidRDefault="0006523A" w:rsidP="00D246D3">
      <w:pPr>
        <w:pStyle w:val="31"/>
        <w:rPr>
          <w:color w:val="auto"/>
          <w:rtl/>
          <w:lang w:bidi="ar-LB"/>
        </w:rPr>
      </w:pPr>
      <w:bookmarkStart w:id="327" w:name="_Toc114164753"/>
      <w:r w:rsidRPr="006571AC">
        <w:rPr>
          <w:rFonts w:hint="cs"/>
          <w:color w:val="auto"/>
          <w:rtl/>
          <w:lang w:bidi="ar-LB"/>
        </w:rPr>
        <w:t>ال</w:t>
      </w:r>
      <w:r w:rsidR="008D51F3" w:rsidRPr="006571AC">
        <w:rPr>
          <w:color w:val="auto"/>
          <w:rtl/>
          <w:lang w:bidi="ar-LB"/>
        </w:rPr>
        <w:t>خلاصة</w:t>
      </w:r>
      <w:bookmarkEnd w:id="327"/>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اله</w:t>
      </w:r>
      <w:r w:rsidR="004351F9" w:rsidRPr="006571AC">
        <w:rPr>
          <w:rFonts w:ascii="Arabic Typesetting" w:hAnsi="Arabic Typesetting" w:hint="cs"/>
          <w:sz w:val="27"/>
          <w:rtl/>
          <w:lang w:bidi="ar-LB"/>
        </w:rPr>
        <w:t>َ</w:t>
      </w:r>
      <w:r w:rsidRPr="006571AC">
        <w:rPr>
          <w:rFonts w:ascii="Arabic Typesetting" w:hAnsi="Arabic Typesetting" w:hint="cs"/>
          <w:sz w:val="27"/>
          <w:rtl/>
          <w:lang w:bidi="ar-LB"/>
        </w:rPr>
        <w:t>د</w:t>
      </w:r>
      <w:r w:rsidR="004351F9" w:rsidRPr="006571AC">
        <w:rPr>
          <w:rFonts w:ascii="Arabic Typesetting" w:hAnsi="Arabic Typesetting" w:hint="cs"/>
          <w:sz w:val="27"/>
          <w:rtl/>
          <w:lang w:bidi="ar-LB"/>
        </w:rPr>
        <w:t>َ</w:t>
      </w:r>
      <w:r w:rsidRPr="006571AC">
        <w:rPr>
          <w:rFonts w:ascii="Arabic Typesetting" w:hAnsi="Arabic Typesetting" w:hint="cs"/>
          <w:sz w:val="27"/>
          <w:rtl/>
          <w:lang w:bidi="ar-LB"/>
        </w:rPr>
        <w:t>ف من هذا المقال هو بيان الأ</w:t>
      </w:r>
      <w:r w:rsidR="004351F9" w:rsidRPr="006571AC">
        <w:rPr>
          <w:rFonts w:ascii="Arabic Typesetting" w:hAnsi="Arabic Typesetting" w:hint="cs"/>
          <w:sz w:val="27"/>
          <w:rtl/>
          <w:lang w:bidi="ar-LB"/>
        </w:rPr>
        <w:t>ُ</w:t>
      </w:r>
      <w:r w:rsidRPr="006571AC">
        <w:rPr>
          <w:rFonts w:ascii="Arabic Typesetting" w:hAnsi="Arabic Typesetting" w:hint="cs"/>
          <w:sz w:val="27"/>
          <w:rtl/>
          <w:lang w:bidi="ar-LB"/>
        </w:rPr>
        <w:t>س</w:t>
      </w:r>
      <w:r w:rsidR="004351F9" w:rsidRPr="006571AC">
        <w:rPr>
          <w:rFonts w:ascii="Arabic Typesetting" w:hAnsi="Arabic Typesetting" w:hint="cs"/>
          <w:sz w:val="27"/>
          <w:rtl/>
          <w:lang w:bidi="ar-LB"/>
        </w:rPr>
        <w:t>ُ</w:t>
      </w:r>
      <w:r w:rsidRPr="006571AC">
        <w:rPr>
          <w:rFonts w:ascii="Arabic Typesetting" w:hAnsi="Arabic Typesetting" w:hint="cs"/>
          <w:sz w:val="27"/>
          <w:rtl/>
          <w:lang w:bidi="ar-LB"/>
        </w:rPr>
        <w:t>س التي يُب</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ن</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ى عليها فهم النص</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على طبق رؤية السيد محمد باقر الصدر. لذا، كان من المناسب البحث في إشكالية فهم النص</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عند علماء الأصول الشيعة</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وعند الهرمنيوطيقيين الغرب</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لاستكشاف المباني التي قدّموها</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والإشكالات التي واجهوها؛ ثم</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نقف بين يدي الشهيد الصدر</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لنرى المباني التي قدّمها كمفتاح</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لحل إشكالية فهم النص</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وقد تجنّب</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تُ الإطالة والتفصيل وبيان الأمثلة، </w:t>
      </w:r>
      <w:r w:rsidR="00731867" w:rsidRPr="006571AC">
        <w:rPr>
          <w:rFonts w:ascii="Arabic Typesetting" w:hAnsi="Arabic Typesetting" w:hint="cs"/>
          <w:sz w:val="27"/>
          <w:rtl/>
          <w:lang w:bidi="ar-LB"/>
        </w:rPr>
        <w:t>لا سيَّما</w:t>
      </w:r>
      <w:r w:rsidRPr="006571AC">
        <w:rPr>
          <w:rFonts w:ascii="Arabic Typesetting" w:hAnsi="Arabic Typesetting" w:hint="cs"/>
          <w:sz w:val="27"/>
          <w:rtl/>
          <w:lang w:bidi="ar-LB"/>
        </w:rPr>
        <w:t xml:space="preserve"> في بيان إشكالية فهم النص</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فكتبتُها بأسلوب</w:t>
      </w:r>
      <w:r w:rsidR="000B35FD" w:rsidRPr="006571AC">
        <w:rPr>
          <w:rFonts w:ascii="Arabic Typesetting" w:hAnsi="Arabic Typesetting" w:hint="cs"/>
          <w:sz w:val="27"/>
          <w:rtl/>
          <w:lang w:bidi="ar-LB"/>
        </w:rPr>
        <w:t xml:space="preserve">ٍ </w:t>
      </w:r>
      <w:r w:rsidRPr="006571AC">
        <w:rPr>
          <w:rFonts w:ascii="Arabic Typesetting" w:hAnsi="Arabic Typesetting" w:hint="cs"/>
          <w:sz w:val="27"/>
          <w:rtl/>
          <w:lang w:bidi="ar-LB"/>
        </w:rPr>
        <w:t>مكثّ</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ف، مُرجِعاً إلى المصادر التي اعتم</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د</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تُ عليها</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بحيث يمكن للباحث أن يتابع</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ما شاء من تفصيلات أجم</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ل</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تُها</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ويعثرَ على الأمثلة التي اختز</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ل</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تُها؛ ولم أعقد فصلاً لبيان مباني الغرب في المقام، بل أش</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0B35FD" w:rsidRPr="006571AC">
        <w:rPr>
          <w:rFonts w:ascii="Arabic Typesetting" w:hAnsi="Arabic Typesetting" w:hint="cs"/>
          <w:sz w:val="27"/>
          <w:rtl/>
          <w:lang w:bidi="ar-LB"/>
        </w:rPr>
        <w:t>ْتُ إليها في ط</w:t>
      </w:r>
      <w:r w:rsidRPr="006571AC">
        <w:rPr>
          <w:rFonts w:ascii="Arabic Typesetting" w:hAnsi="Arabic Typesetting" w:hint="cs"/>
          <w:sz w:val="27"/>
          <w:rtl/>
          <w:lang w:bidi="ar-LB"/>
        </w:rPr>
        <w:t>ي</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ات البحث بشكل</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مختصر جدّاً</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لأن المراد في هذا المقال تسليط الضوء على مباني الشهيد الصدر. </w:t>
      </w:r>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 xml:space="preserve"> وقد خلص</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تُ إلى ست</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ة مبانٍ عند السيد الصدر، أش</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تُ في الهوامش إلى بعض تطبيقاتها المذكورة في كلماته. </w:t>
      </w:r>
    </w:p>
    <w:p w:rsidR="008D51F3" w:rsidRPr="006571AC" w:rsidRDefault="008D51F3" w:rsidP="005B0CA4">
      <w:pPr>
        <w:rPr>
          <w:rFonts w:ascii="Arabic Typesetting" w:hAnsi="Arabic Typesetting"/>
          <w:sz w:val="27"/>
          <w:rtl/>
          <w:lang w:bidi="ar-LB"/>
        </w:rPr>
      </w:pPr>
    </w:p>
    <w:p w:rsidR="008D51F3" w:rsidRPr="006571AC" w:rsidRDefault="008D51F3" w:rsidP="00D246D3">
      <w:pPr>
        <w:pStyle w:val="31"/>
        <w:rPr>
          <w:color w:val="auto"/>
          <w:rtl/>
          <w:lang w:bidi="ar-LB"/>
        </w:rPr>
      </w:pPr>
      <w:bookmarkStart w:id="328" w:name="_Toc114164754"/>
      <w:r w:rsidRPr="006571AC">
        <w:rPr>
          <w:color w:val="auto"/>
          <w:rtl/>
          <w:lang w:bidi="ar-LB"/>
        </w:rPr>
        <w:t>مقد</w:t>
      </w:r>
      <w:r w:rsidRPr="006571AC">
        <w:rPr>
          <w:rFonts w:hint="cs"/>
          <w:color w:val="auto"/>
          <w:rtl/>
          <w:lang w:bidi="ar-LB"/>
        </w:rPr>
        <w:t>ّ</w:t>
      </w:r>
      <w:r w:rsidRPr="006571AC">
        <w:rPr>
          <w:color w:val="auto"/>
          <w:rtl/>
          <w:lang w:bidi="ar-LB"/>
        </w:rPr>
        <w:t>مة</w:t>
      </w:r>
      <w:r w:rsidR="00D246D3" w:rsidRPr="006571AC">
        <w:rPr>
          <w:rFonts w:hint="cs"/>
          <w:color w:val="auto"/>
          <w:rtl/>
          <w:lang w:bidi="ar-LB"/>
        </w:rPr>
        <w:t>ٌ</w:t>
      </w:r>
      <w:bookmarkEnd w:id="328"/>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يُعدّ النص</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الديني عند المسلمين مصدراً من مصادر المعرفة، وله دائرته الخاصة</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حيث يمكن الاستفادة منه في إنتاج المعرفة. ولمّا كان من الواضح عدم </w:t>
      </w:r>
      <w:r w:rsidRPr="006571AC">
        <w:rPr>
          <w:rFonts w:ascii="Arabic Typesetting" w:hAnsi="Arabic Typesetting" w:hint="cs"/>
          <w:sz w:val="27"/>
          <w:shd w:val="clear" w:color="auto" w:fill="FFFFFF"/>
          <w:rtl/>
        </w:rPr>
        <w:lastRenderedPageBreak/>
        <w:t>صح</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ة فهم هذا النص</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بشكل</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فوضوي، كان </w:t>
      </w:r>
      <w:r w:rsidR="00731867" w:rsidRPr="006571AC">
        <w:rPr>
          <w:rFonts w:ascii="Arabic Typesetting" w:hAnsi="Arabic Typesetting" w:hint="cs"/>
          <w:sz w:val="27"/>
          <w:shd w:val="clear" w:color="auto" w:fill="FFFFFF"/>
          <w:rtl/>
        </w:rPr>
        <w:t>لا بُدَّ</w:t>
      </w:r>
      <w:r w:rsidRPr="006571AC">
        <w:rPr>
          <w:rFonts w:ascii="Arabic Typesetting" w:hAnsi="Arabic Typesetting" w:hint="cs"/>
          <w:sz w:val="27"/>
          <w:shd w:val="clear" w:color="auto" w:fill="FFFFFF"/>
          <w:rtl/>
        </w:rPr>
        <w:t xml:space="preserve"> من آلي</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ة</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لهذا الفهم. ولا يخفى أن أي</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آلي</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ة</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لفهم النص</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الديني سوف تستند في مرحلة</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سابقة على مبان</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أساسية </w:t>
      </w:r>
      <w:r w:rsidR="00731867" w:rsidRPr="006571AC">
        <w:rPr>
          <w:rFonts w:ascii="Arabic Typesetting" w:hAnsi="Arabic Typesetting" w:hint="cs"/>
          <w:sz w:val="27"/>
          <w:shd w:val="clear" w:color="auto" w:fill="FFFFFF"/>
          <w:rtl/>
        </w:rPr>
        <w:t>لا بُدَّ</w:t>
      </w:r>
      <w:r w:rsidRPr="006571AC">
        <w:rPr>
          <w:rFonts w:ascii="Arabic Typesetting" w:hAnsi="Arabic Typesetting" w:hint="cs"/>
          <w:sz w:val="27"/>
          <w:shd w:val="clear" w:color="auto" w:fill="FFFFFF"/>
          <w:rtl/>
        </w:rPr>
        <w:t xml:space="preserve"> من تنقيحها. </w:t>
      </w:r>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والبحث في هذه المباني له ارتباط</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وثيق بعلم الأصول؛ إذ المدّ</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عى أن علم الأصول منطق</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لفهم النص</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الديني</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وباحثٌ عن القواعد اللازمة في فهم هذا النص</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ولمّا كان الشهيد السيد محمد باقر الصدر أحد أبرز أعلام هذا العلم في الحقبة الأخيرة لعلم الأصول ارتأ</w:t>
      </w:r>
      <w:r w:rsidR="001D24A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ي</w:t>
      </w:r>
      <w:r w:rsidR="001D24A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نا أن نخوض غمار هذا البحث بين يدي هذا المفكّ</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ر العظيم، ل</w:t>
      </w:r>
      <w:r w:rsidR="008C4999" w:rsidRPr="006571AC">
        <w:rPr>
          <w:rFonts w:ascii="Arabic Typesetting" w:hAnsi="Arabic Typesetting" w:hint="cs"/>
          <w:sz w:val="27"/>
          <w:shd w:val="clear" w:color="auto" w:fill="FFFFFF"/>
          <w:rtl/>
        </w:rPr>
        <w:t>نرى ما اشتمل عليه من أفكار ومبانٍ</w:t>
      </w:r>
      <w:r w:rsidRPr="006571AC">
        <w:rPr>
          <w:rFonts w:ascii="Arabic Typesetting" w:hAnsi="Arabic Typesetting" w:hint="cs"/>
          <w:sz w:val="27"/>
          <w:shd w:val="clear" w:color="auto" w:fill="FFFFFF"/>
          <w:rtl/>
        </w:rPr>
        <w:t xml:space="preserve"> في عملية فهم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w:t>
      </w:r>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ومرادنا من المبنى في هذا البحث هو: كل</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ما يقوم عليه فهم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وبعبارة</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أخرى: هي اللبنات الأولى التي يعتمد عليها كلّ م</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ن</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يواجه نصّا</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بهدف فهمه وتفسيره. </w:t>
      </w:r>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وعلى هذا الأساس، يخرج من دائرة بحثنا القضايا المرتبطة بآليات فهم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كالعلاقة بين اللفظ والمعنى، وأنواع الاستعمال، ودلالات الكلام التصو</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رية والتصديقية، وأبحاث العام</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والخاص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والمطلق والمقيّد</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والمجمل والمبيّن، وما شاكل. </w:t>
      </w:r>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ومرادنا من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هو خصوص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الديني عند الشيعة الإمامي</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ة، المتمثّ</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ل بالقرآن الكريم وروايات المعصومين</w:t>
      </w:r>
      <w:r w:rsidR="002A2C90" w:rsidRPr="006571AC">
        <w:rPr>
          <w:rFonts w:ascii="Mosawi" w:hAnsi="Mosawi" w:cs="Mosawi" w:hint="cs"/>
          <w:sz w:val="22"/>
          <w:szCs w:val="22"/>
          <w:rtl/>
        </w:rPr>
        <w:t>^</w:t>
      </w:r>
      <w:r w:rsidRPr="006571AC">
        <w:rPr>
          <w:rFonts w:ascii="Arabic Typesetting" w:hAnsi="Arabic Typesetting" w:hint="cs"/>
          <w:sz w:val="27"/>
          <w:shd w:val="clear" w:color="auto" w:fill="FFFFFF"/>
          <w:rtl/>
        </w:rPr>
        <w:t xml:space="preserve">. </w:t>
      </w:r>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وقد بحث</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ت</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في كلمات الأصوليين الشيعة والهرمنيوطيقيين الغرب لأتابع س</w:t>
      </w:r>
      <w:r w:rsidR="008C499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ي</w:t>
      </w:r>
      <w:r w:rsidR="008C499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ر تطوّ</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ر إشكالية فهم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عندهم، حتى أستكشف أهم</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الأسئلة والإشكاليات التي واجهوها، ثم</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أقرأ كتابات الشهيد الصدر بخلفيّة الباحث عن آثار هذه الأسئلة وأجوبتها وما يحوم حولها. لذا، رت</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ب</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تُ هذه المقالة على أربعة مباحث: </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shd w:val="clear" w:color="auto" w:fill="FFFFFF"/>
        </w:rPr>
      </w:pPr>
      <w:r w:rsidRPr="006571AC">
        <w:rPr>
          <w:rFonts w:ascii="Arabic Typesetting" w:hAnsi="Arabic Typesetting" w:cs="AL-Mohanad" w:hint="cs"/>
          <w:sz w:val="27"/>
          <w:szCs w:val="27"/>
          <w:rtl/>
          <w:lang w:bidi="ar-LB"/>
        </w:rPr>
        <w:t>1</w:t>
      </w:r>
      <w:r w:rsidRPr="006571AC">
        <w:rPr>
          <w:rFonts w:ascii="Arabic Typesetting" w:hAnsi="Arabic Typesetting" w:cs="AL-Mohanad" w:hint="cs"/>
          <w:sz w:val="27"/>
          <w:szCs w:val="27"/>
          <w:shd w:val="clear" w:color="auto" w:fill="FFFFFF"/>
          <w:rtl/>
        </w:rPr>
        <w:t>ـ إشكالية فهم النص</w:t>
      </w:r>
      <w:r w:rsidR="005F2BB5"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 xml:space="preserve"> عند علماء الأصول الشيعة</w:t>
      </w:r>
      <w:r w:rsidR="005F2BB5" w:rsidRPr="006571AC">
        <w:rPr>
          <w:rFonts w:ascii="Arabic Typesetting" w:hAnsi="Arabic Typesetting" w:cs="AL-Mohanad" w:hint="cs"/>
          <w:sz w:val="27"/>
          <w:szCs w:val="27"/>
          <w:shd w:val="clear" w:color="auto" w:fill="FFFFFF"/>
          <w:rtl/>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shd w:val="clear" w:color="auto" w:fill="FFFFFF"/>
        </w:rPr>
      </w:pPr>
      <w:r w:rsidRPr="006571AC">
        <w:rPr>
          <w:rFonts w:ascii="Arabic Typesetting" w:hAnsi="Arabic Typesetting" w:cs="AL-Mohanad" w:hint="cs"/>
          <w:sz w:val="27"/>
          <w:szCs w:val="27"/>
          <w:rtl/>
          <w:lang w:bidi="ar-LB"/>
        </w:rPr>
        <w:t>2</w:t>
      </w:r>
      <w:r w:rsidRPr="006571AC">
        <w:rPr>
          <w:rFonts w:ascii="Arabic Typesetting" w:hAnsi="Arabic Typesetting" w:cs="AL-Mohanad" w:hint="cs"/>
          <w:sz w:val="27"/>
          <w:szCs w:val="27"/>
          <w:shd w:val="clear" w:color="auto" w:fill="FFFFFF"/>
          <w:rtl/>
        </w:rPr>
        <w:t>ـ إشكالية فهم النص</w:t>
      </w:r>
      <w:r w:rsidR="005F2BB5"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 xml:space="preserve"> عند الهرمنيوطيقيين الغربيين</w:t>
      </w:r>
      <w:r w:rsidR="005F2BB5" w:rsidRPr="006571AC">
        <w:rPr>
          <w:rFonts w:ascii="Arabic Typesetting" w:hAnsi="Arabic Typesetting" w:cs="AL-Mohanad" w:hint="cs"/>
          <w:sz w:val="27"/>
          <w:szCs w:val="27"/>
          <w:shd w:val="clear" w:color="auto" w:fill="FFFFFF"/>
          <w:rtl/>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shd w:val="clear" w:color="auto" w:fill="FFFFFF"/>
        </w:rPr>
      </w:pPr>
      <w:r w:rsidRPr="006571AC">
        <w:rPr>
          <w:rFonts w:ascii="Arabic Typesetting" w:hAnsi="Arabic Typesetting" w:cs="AL-Mohanad" w:hint="cs"/>
          <w:sz w:val="27"/>
          <w:szCs w:val="27"/>
          <w:rtl/>
          <w:lang w:bidi="ar-LB"/>
        </w:rPr>
        <w:t>3</w:t>
      </w:r>
      <w:r w:rsidRPr="006571AC">
        <w:rPr>
          <w:rFonts w:ascii="Arabic Typesetting" w:hAnsi="Arabic Typesetting" w:cs="AL-Mohanad" w:hint="cs"/>
          <w:sz w:val="27"/>
          <w:szCs w:val="27"/>
          <w:shd w:val="clear" w:color="auto" w:fill="FFFFFF"/>
          <w:rtl/>
        </w:rPr>
        <w:t>ـ مباني الشهيد الصدر كمفتاح</w:t>
      </w:r>
      <w:r w:rsidR="005F2BB5"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 xml:space="preserve"> لحل</w:t>
      </w:r>
      <w:r w:rsidR="008C4999"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 xml:space="preserve"> إشكالي</w:t>
      </w:r>
      <w:r w:rsidR="008C4999"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ة فهم النص</w:t>
      </w:r>
      <w:r w:rsidR="005F2BB5" w:rsidRPr="006571AC">
        <w:rPr>
          <w:rFonts w:ascii="Arabic Typesetting" w:hAnsi="Arabic Typesetting" w:cs="AL-Mohanad" w:hint="cs"/>
          <w:sz w:val="27"/>
          <w:szCs w:val="27"/>
          <w:shd w:val="clear" w:color="auto" w:fill="FFFFFF"/>
          <w:rtl/>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shd w:val="clear" w:color="auto" w:fill="FFFFFF"/>
        </w:rPr>
      </w:pPr>
      <w:r w:rsidRPr="006571AC">
        <w:rPr>
          <w:rFonts w:ascii="Arabic Typesetting" w:hAnsi="Arabic Typesetting" w:cs="AL-Mohanad" w:hint="cs"/>
          <w:sz w:val="27"/>
          <w:szCs w:val="27"/>
          <w:rtl/>
          <w:lang w:bidi="ar-LB"/>
        </w:rPr>
        <w:t>4</w:t>
      </w:r>
      <w:r w:rsidRPr="006571AC">
        <w:rPr>
          <w:rFonts w:ascii="Arabic Typesetting" w:hAnsi="Arabic Typesetting" w:cs="AL-Mohanad" w:hint="cs"/>
          <w:sz w:val="27"/>
          <w:szCs w:val="27"/>
          <w:shd w:val="clear" w:color="auto" w:fill="FFFFFF"/>
          <w:rtl/>
        </w:rPr>
        <w:t>ـ وقفة</w:t>
      </w:r>
      <w:r w:rsidR="005F2BB5"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 xml:space="preserve"> تحليلية مع مباني الشهيد الصدر</w:t>
      </w:r>
      <w:r w:rsidR="005F2BB5" w:rsidRPr="006571AC">
        <w:rPr>
          <w:rFonts w:ascii="Arabic Typesetting" w:hAnsi="Arabic Typesetting" w:cs="AL-Mohanad" w:hint="cs"/>
          <w:sz w:val="27"/>
          <w:szCs w:val="27"/>
          <w:shd w:val="clear" w:color="auto" w:fill="FFFFFF"/>
          <w:rtl/>
        </w:rPr>
        <w:t>.</w:t>
      </w:r>
    </w:p>
    <w:p w:rsidR="00037A9B" w:rsidRPr="006571AC" w:rsidRDefault="00037A9B" w:rsidP="00037A9B">
      <w:pPr>
        <w:spacing w:line="420" w:lineRule="exact"/>
        <w:rPr>
          <w:sz w:val="27"/>
          <w:rtl/>
        </w:rPr>
      </w:pPr>
    </w:p>
    <w:p w:rsidR="008D51F3" w:rsidRPr="006571AC" w:rsidRDefault="00F60683" w:rsidP="00421D5F">
      <w:pPr>
        <w:pStyle w:val="31"/>
        <w:rPr>
          <w:color w:val="auto"/>
          <w:rtl/>
          <w:lang w:bidi="ar-LB"/>
        </w:rPr>
      </w:pPr>
      <w:bookmarkStart w:id="329" w:name="_Toc114164755"/>
      <w:r w:rsidRPr="006571AC">
        <w:rPr>
          <w:rFonts w:hint="cs"/>
          <w:color w:val="auto"/>
          <w:rtl/>
          <w:lang w:bidi="ar-LB"/>
        </w:rPr>
        <w:t xml:space="preserve">1ـ </w:t>
      </w:r>
      <w:r w:rsidR="008D51F3" w:rsidRPr="006571AC">
        <w:rPr>
          <w:color w:val="auto"/>
          <w:rtl/>
          <w:lang w:bidi="ar-LB"/>
        </w:rPr>
        <w:t>إشكالي</w:t>
      </w:r>
      <w:r w:rsidR="00421D5F" w:rsidRPr="006571AC">
        <w:rPr>
          <w:rFonts w:hint="cs"/>
          <w:color w:val="auto"/>
          <w:rtl/>
          <w:lang w:bidi="ar-LB"/>
        </w:rPr>
        <w:t>ّ</w:t>
      </w:r>
      <w:r w:rsidR="008D51F3" w:rsidRPr="006571AC">
        <w:rPr>
          <w:color w:val="auto"/>
          <w:rtl/>
          <w:lang w:bidi="ar-LB"/>
        </w:rPr>
        <w:t>ة فهم النص</w:t>
      </w:r>
      <w:r w:rsidR="005F2BB5" w:rsidRPr="006571AC">
        <w:rPr>
          <w:rFonts w:hint="cs"/>
          <w:color w:val="auto"/>
          <w:rtl/>
          <w:lang w:bidi="ar-LB"/>
        </w:rPr>
        <w:t>ّ</w:t>
      </w:r>
      <w:r w:rsidR="008D51F3" w:rsidRPr="006571AC">
        <w:rPr>
          <w:color w:val="auto"/>
          <w:rtl/>
          <w:lang w:bidi="ar-LB"/>
        </w:rPr>
        <w:t xml:space="preserve"> عند الأصول</w:t>
      </w:r>
      <w:r w:rsidR="00421D5F" w:rsidRPr="006571AC">
        <w:rPr>
          <w:rFonts w:hint="cs"/>
          <w:color w:val="auto"/>
          <w:rtl/>
          <w:lang w:bidi="ar-LB"/>
        </w:rPr>
        <w:t>ي</w:t>
      </w:r>
      <w:r w:rsidR="008C4999" w:rsidRPr="006571AC">
        <w:rPr>
          <w:rFonts w:hint="cs"/>
          <w:color w:val="auto"/>
          <w:rtl/>
          <w:lang w:bidi="ar-LB"/>
        </w:rPr>
        <w:t>ّ</w:t>
      </w:r>
      <w:r w:rsidR="00421D5F" w:rsidRPr="006571AC">
        <w:rPr>
          <w:rFonts w:hint="cs"/>
          <w:color w:val="auto"/>
          <w:rtl/>
          <w:lang w:bidi="ar-LB"/>
        </w:rPr>
        <w:t>ين</w:t>
      </w:r>
      <w:r w:rsidR="008D51F3" w:rsidRPr="006571AC">
        <w:rPr>
          <w:color w:val="auto"/>
          <w:rtl/>
          <w:lang w:bidi="ar-LB"/>
        </w:rPr>
        <w:t xml:space="preserve"> الشيعة</w:t>
      </w:r>
      <w:bookmarkEnd w:id="329"/>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من خلال ملاحظة أهم</w:t>
      </w:r>
      <w:r w:rsidR="005F2BB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الكتب الأصولي</w:t>
      </w:r>
      <w:r w:rsidR="00421D5F" w:rsidRPr="006571AC">
        <w:rPr>
          <w:rFonts w:ascii="Arabic Typesetting" w:hAnsi="Arabic Typesetting" w:hint="cs"/>
          <w:sz w:val="27"/>
          <w:rtl/>
          <w:lang w:bidi="ar-LB"/>
        </w:rPr>
        <w:t>ّ</w:t>
      </w:r>
      <w:r w:rsidRPr="006571AC">
        <w:rPr>
          <w:rFonts w:ascii="Arabic Typesetting" w:hAnsi="Arabic Typesetting" w:hint="cs"/>
          <w:sz w:val="27"/>
          <w:rtl/>
          <w:lang w:bidi="ar-LB"/>
        </w:rPr>
        <w:t>ة عند الشيعة</w:t>
      </w:r>
      <w:r w:rsidRPr="006571AC">
        <w:rPr>
          <w:rFonts w:ascii="Arabic Typesetting" w:hAnsi="Arabic Typesetting" w:hint="cs"/>
          <w:sz w:val="27"/>
          <w:vertAlign w:val="superscript"/>
          <w:rtl/>
          <w:lang w:bidi="ar-LB"/>
        </w:rPr>
        <w:t>(</w:t>
      </w:r>
      <w:r w:rsidRPr="006571AC">
        <w:rPr>
          <w:rStyle w:val="ac"/>
          <w:rFonts w:ascii="Arabic Typesetting" w:hAnsi="Arabic Typesetting" w:hint="cs"/>
          <w:sz w:val="27"/>
          <w:rtl/>
          <w:lang w:bidi="ar-LB"/>
        </w:rPr>
        <w:endnoteReference w:id="515"/>
      </w:r>
      <w:r w:rsidRPr="006571AC">
        <w:rPr>
          <w:rFonts w:ascii="Arabic Typesetting" w:hAnsi="Arabic Typesetting" w:hint="cs"/>
          <w:sz w:val="27"/>
          <w:vertAlign w:val="superscript"/>
          <w:rtl/>
          <w:lang w:bidi="ar-LB"/>
        </w:rPr>
        <w:t>)</w:t>
      </w:r>
      <w:r w:rsidR="005F2BB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منذ الشيخ </w:t>
      </w:r>
      <w:r w:rsidRPr="006571AC">
        <w:rPr>
          <w:rFonts w:ascii="Arabic Typesetting" w:hAnsi="Arabic Typesetting" w:hint="cs"/>
          <w:sz w:val="27"/>
          <w:rtl/>
          <w:lang w:bidi="ar-LB"/>
        </w:rPr>
        <w:lastRenderedPageBreak/>
        <w:t>المفيد</w:t>
      </w:r>
      <w:r w:rsidRPr="006571AC">
        <w:rPr>
          <w:rFonts w:ascii="Arabic Typesetting" w:hAnsi="Arabic Typesetting" w:hint="cs"/>
          <w:sz w:val="27"/>
          <w:rtl/>
          <w:lang w:bidi="fa-IR"/>
        </w:rPr>
        <w:t>(</w:t>
      </w:r>
      <w:r w:rsidRPr="006571AC">
        <w:rPr>
          <w:rFonts w:ascii="Arabic Typesetting" w:hAnsi="Arabic Typesetting" w:hint="cs"/>
          <w:sz w:val="27"/>
          <w:rtl/>
          <w:lang w:bidi="ar-LB"/>
        </w:rPr>
        <w:t>413</w:t>
      </w:r>
      <w:r w:rsidRPr="006571AC">
        <w:rPr>
          <w:rFonts w:ascii="Arabic Typesetting" w:hAnsi="Arabic Typesetting" w:hint="cs"/>
          <w:sz w:val="27"/>
          <w:rtl/>
          <w:lang w:bidi="fa-IR"/>
        </w:rPr>
        <w:t>هـ) إلى الآخوند الخراساني(</w:t>
      </w:r>
      <w:r w:rsidRPr="006571AC">
        <w:rPr>
          <w:rFonts w:ascii="Arabic Typesetting" w:hAnsi="Arabic Typesetting" w:hint="cs"/>
          <w:sz w:val="27"/>
          <w:rtl/>
          <w:lang w:bidi="ar-LB"/>
        </w:rPr>
        <w:t xml:space="preserve">1329هـ)، يمكن الوقوف على النتائج التالية: </w:t>
      </w:r>
    </w:p>
    <w:p w:rsidR="008D51F3" w:rsidRPr="006571AC" w:rsidRDefault="008D51F3" w:rsidP="008C4999">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1ـ اتّفق أصوليو الشيعة على إمكان فهم النصوص الشرعية؛ بينما فصّ</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ل ال</w:t>
      </w:r>
      <w:r w:rsidR="008C4999" w:rsidRPr="006571AC">
        <w:rPr>
          <w:rFonts w:ascii="Arabic Typesetting" w:hAnsi="Arabic Typesetting" w:cs="AL-Mohanad" w:hint="cs"/>
          <w:sz w:val="27"/>
          <w:szCs w:val="27"/>
          <w:rtl/>
          <w:lang w:bidi="ar-LB"/>
        </w:rPr>
        <w:t>إ</w:t>
      </w:r>
      <w:r w:rsidRPr="006571AC">
        <w:rPr>
          <w:rFonts w:ascii="Arabic Typesetting" w:hAnsi="Arabic Typesetting" w:cs="AL-Mohanad" w:hint="cs"/>
          <w:sz w:val="27"/>
          <w:szCs w:val="27"/>
          <w:rtl/>
          <w:lang w:bidi="ar-LB"/>
        </w:rPr>
        <w:t>سترآبادي ـ وهو من الأخباريين</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16"/>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ـ بين إمكان فهم بعض السنّة وبين عدم إمكان فهم القرآن الكريم دون الرجوع إلى السنّة</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التي يمكن فهمها</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17"/>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8C4999">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2ـ ذهب الشيخ ال</w:t>
      </w:r>
      <w:r w:rsidR="008C4999" w:rsidRPr="006571AC">
        <w:rPr>
          <w:rFonts w:ascii="Arabic Typesetting" w:hAnsi="Arabic Typesetting" w:cs="AL-Mohanad" w:hint="cs"/>
          <w:sz w:val="27"/>
          <w:szCs w:val="27"/>
          <w:rtl/>
          <w:lang w:bidi="ar-LB"/>
        </w:rPr>
        <w:t>إ</w:t>
      </w:r>
      <w:r w:rsidRPr="006571AC">
        <w:rPr>
          <w:rFonts w:ascii="Arabic Typesetting" w:hAnsi="Arabic Typesetting" w:cs="AL-Mohanad" w:hint="cs"/>
          <w:sz w:val="27"/>
          <w:szCs w:val="27"/>
          <w:rtl/>
          <w:lang w:bidi="ar-LB"/>
        </w:rPr>
        <w:t>سترآبادي إلى قطعية دلالة أكثر النصوص الدينية</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fa-IR"/>
        </w:rPr>
        <w:endnoteReference w:id="518"/>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بينما مال أغلب الأصوليين ـ الذين تتب</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عنا كتبهم ـ إلى كونها ظني</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ة</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3ـ وقفوا عند بحث ظواهر القرآن الكريم</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فذهب بعضهم إلى اختصاص فهم بعض آياته بالمخاطَبين في ذلك الزمان</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بينما تجاوز بعض</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r w:rsidR="0057411E" w:rsidRPr="006571AC">
        <w:rPr>
          <w:rFonts w:ascii="Arabic Typesetting" w:hAnsi="Arabic Typesetting" w:cs="AL-Mohanad" w:hint="cs"/>
          <w:sz w:val="27"/>
          <w:szCs w:val="27"/>
          <w:rtl/>
          <w:lang w:bidi="ar-LB"/>
        </w:rPr>
        <w:t>آخر هذه الم</w:t>
      </w:r>
      <w:r w:rsidRPr="006571AC">
        <w:rPr>
          <w:rFonts w:ascii="Arabic Typesetting" w:hAnsi="Arabic Typesetting" w:cs="AL-Mohanad" w:hint="cs"/>
          <w:sz w:val="27"/>
          <w:szCs w:val="27"/>
          <w:rtl/>
          <w:lang w:bidi="ar-LB"/>
        </w:rPr>
        <w:t>عضلة</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19"/>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4ـ التفتوا في أواخر القرن الحادي عشر </w:t>
      </w:r>
      <w:r w:rsidR="0057411E" w:rsidRPr="006571AC">
        <w:rPr>
          <w:rFonts w:ascii="Arabic Typesetting" w:hAnsi="Arabic Typesetting" w:cs="AL-Mohanad" w:hint="cs"/>
          <w:sz w:val="27"/>
          <w:szCs w:val="27"/>
          <w:rtl/>
          <w:lang w:bidi="ar-LB"/>
        </w:rPr>
        <w:t>الهجريّ</w:t>
      </w:r>
      <w:r w:rsidRPr="006571AC">
        <w:rPr>
          <w:rFonts w:ascii="Arabic Typesetting" w:hAnsi="Arabic Typesetting" w:cs="AL-Mohanad" w:hint="cs"/>
          <w:sz w:val="27"/>
          <w:szCs w:val="27"/>
          <w:rtl/>
          <w:lang w:bidi="ar-LB"/>
        </w:rPr>
        <w:t xml:space="preserve"> إلى مسألة تغيّ</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 الع</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وعدّوا مباحث الألفاظ ح</w:t>
      </w:r>
      <w:r w:rsidR="003C2639" w:rsidRPr="006571AC">
        <w:rPr>
          <w:rFonts w:ascii="Arabic Typesetting" w:hAnsi="Arabic Typesetting" w:cs="AL-Mohanad" w:hint="cs"/>
          <w:sz w:val="27"/>
          <w:szCs w:val="27"/>
          <w:rtl/>
          <w:lang w:bidi="ar-LB"/>
        </w:rPr>
        <w:t>لاّ</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لها</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20"/>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5ـ بيّ</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 بعض الأصوليين</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21"/>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سبب قطعية الدلالة عند القدماء ـ بح</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س</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ب رأيه</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إذ خالفه في هذه النسبة بعض</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آخر من الأصوليين</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22"/>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ـ، فعزاها إلى قربهم من عصر صدور النص</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وكثرة القرائن الموجِبة لهذا القطع. </w:t>
      </w:r>
    </w:p>
    <w:p w:rsidR="008D51F3" w:rsidRPr="006571AC" w:rsidRDefault="008D51F3" w:rsidP="008C4999">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6ـ توجد مسألة</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مُلفتة</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وهي أن الأصوليين بشكل</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عام</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لمّا واجهوا مشكلة ظنية دلالة النصوص لم يقعوا في ح</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ي</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ص</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ص</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بل حلّوها مباشرة</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والسرّ</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في ذلك أنهم يعلمون قطعا</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بتوجّ</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ه تكاليف شرعية نحوهم، ولا يجوز لهم ترك العمل بها، فإن</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لم يتيسّ</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 لهم اليقين والقطع فعليهم بات</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باع الظن</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ـ مع تفصيل</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بين الظن</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الذي دلّ الدليل على اعتباره أو لا</w:t>
      </w:r>
      <w:r w:rsidR="0057411E" w:rsidRPr="006571AC">
        <w:rPr>
          <w:rFonts w:ascii="Arabic Typesetting" w:hAnsi="Arabic Typesetting" w:cs="AL-Mohanad" w:hint="cs"/>
          <w:sz w:val="27"/>
          <w:szCs w:val="27"/>
          <w:rtl/>
          <w:lang w:bidi="ar-LB"/>
        </w:rPr>
        <w:t xml:space="preserve"> ـ</w:t>
      </w:r>
      <w:r w:rsidRPr="006571AC">
        <w:rPr>
          <w:rFonts w:ascii="Arabic Typesetting" w:hAnsi="Arabic Typesetting" w:cs="AL-Mohanad" w:hint="cs"/>
          <w:sz w:val="27"/>
          <w:szCs w:val="27"/>
          <w:rtl/>
          <w:lang w:bidi="ar-LB"/>
        </w:rPr>
        <w:t>. وبعبارة</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أخرى: </w:t>
      </w:r>
      <w:r w:rsidR="00376A5F" w:rsidRPr="006571AC">
        <w:rPr>
          <w:rFonts w:ascii="Arabic Typesetting" w:hAnsi="Arabic Typesetting" w:cs="AL-Mohanad" w:hint="cs"/>
          <w:sz w:val="27"/>
          <w:szCs w:val="27"/>
          <w:rtl/>
          <w:lang w:bidi="ar-LB"/>
        </w:rPr>
        <w:t>نظ</w:t>
      </w:r>
      <w:r w:rsidRPr="006571AC">
        <w:rPr>
          <w:rFonts w:ascii="Arabic Typesetting" w:hAnsi="Arabic Typesetting" w:cs="AL-Mohanad" w:hint="cs"/>
          <w:sz w:val="27"/>
          <w:szCs w:val="27"/>
          <w:rtl/>
          <w:lang w:bidi="ar-LB"/>
        </w:rPr>
        <w:t>رُ الأصولي</w:t>
      </w:r>
      <w:r w:rsidR="00376A5F" w:rsidRPr="006571AC">
        <w:rPr>
          <w:rFonts w:ascii="Arabic Typesetting" w:hAnsi="Arabic Typesetting" w:cs="AL-Mohanad" w:hint="cs"/>
          <w:sz w:val="27"/>
          <w:szCs w:val="27"/>
          <w:rtl/>
          <w:lang w:bidi="ar-LB"/>
        </w:rPr>
        <w:t>ي</w:t>
      </w:r>
      <w:r w:rsidRPr="006571AC">
        <w:rPr>
          <w:rFonts w:ascii="Arabic Typesetting" w:hAnsi="Arabic Typesetting" w:cs="AL-Mohanad" w:hint="cs"/>
          <w:sz w:val="27"/>
          <w:szCs w:val="27"/>
          <w:rtl/>
          <w:lang w:bidi="ar-LB"/>
        </w:rPr>
        <w:t>ن إلى مسألة المنج</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زية والمعذ</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رية، أي مسألة الثواب والعقاب، فج</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لُّ همّ</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هم ـ ح</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س</w:t>
      </w:r>
      <w:r w:rsidR="00376A5F" w:rsidRPr="006571AC">
        <w:rPr>
          <w:rFonts w:ascii="Arabic Typesetting" w:hAnsi="Arabic Typesetting" w:cs="AL-Mohanad" w:hint="cs"/>
          <w:sz w:val="27"/>
          <w:szCs w:val="27"/>
          <w:rtl/>
          <w:lang w:bidi="ar-LB"/>
        </w:rPr>
        <w:t xml:space="preserve">ْب </w:t>
      </w:r>
      <w:r w:rsidRPr="006571AC">
        <w:rPr>
          <w:rFonts w:ascii="Arabic Typesetting" w:hAnsi="Arabic Typesetting" w:cs="AL-Mohanad" w:hint="cs"/>
          <w:sz w:val="27"/>
          <w:szCs w:val="27"/>
          <w:rtl/>
          <w:lang w:bidi="ar-LB"/>
        </w:rPr>
        <w:t>ما يبدو لنا ـ هو ملاحظة النصوص لأجل معرفة التكليف الشرعي</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والأمر الإلهي</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المتوج</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ه نحوهم</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23"/>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وعلى هذا الأساس، لم يلتفتوا إلى هذه الإشكالية في النصوص التي لا معنى للحج</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ية فيها، كالنصوص الحاكية عن حقائق تكويني</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ة ـ مثلا</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ـ</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والتي لا تشتمل على تكاليف إلهي</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ة؛ أي التي لا تشتمل على ما يجب أن يُعمَل. فالنصوص الحاكية عن الحقائق التكوينية والقصص التاريخية والقضايا الاعتقادية غيرُ داخلة</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تحت هذا الحل</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إلا</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إن</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كان لها جهة</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يترت</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ب عليها عمل</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وبالتالي </w:t>
      </w:r>
      <w:r w:rsidR="00731867" w:rsidRPr="006571AC">
        <w:rPr>
          <w:rFonts w:ascii="Arabic Typesetting" w:hAnsi="Arabic Typesetting" w:cs="AL-Mohanad" w:hint="cs"/>
          <w:sz w:val="27"/>
          <w:szCs w:val="27"/>
          <w:rtl/>
          <w:lang w:bidi="ar-LB"/>
        </w:rPr>
        <w:t>لا بُدَّ</w:t>
      </w:r>
      <w:r w:rsidRPr="006571AC">
        <w:rPr>
          <w:rFonts w:ascii="Arabic Typesetting" w:hAnsi="Arabic Typesetting" w:cs="AL-Mohanad" w:hint="cs"/>
          <w:sz w:val="27"/>
          <w:szCs w:val="27"/>
          <w:rtl/>
          <w:lang w:bidi="ar-LB"/>
        </w:rPr>
        <w:t xml:space="preserve"> من معالجة هذه المشكلة في مثل هذه النصوص. </w:t>
      </w:r>
    </w:p>
    <w:p w:rsidR="008D51F3" w:rsidRPr="006571AC" w:rsidRDefault="00731867" w:rsidP="005B0CA4">
      <w:pPr>
        <w:rPr>
          <w:rFonts w:ascii="Arabic Typesetting" w:hAnsi="Arabic Typesetting"/>
          <w:sz w:val="27"/>
          <w:rtl/>
          <w:lang w:bidi="ar-LB"/>
        </w:rPr>
      </w:pPr>
      <w:r w:rsidRPr="006571AC">
        <w:rPr>
          <w:rFonts w:ascii="Arabic Typesetting" w:hAnsi="Arabic Typesetting" w:hint="cs"/>
          <w:sz w:val="27"/>
          <w:rtl/>
          <w:lang w:bidi="ar-LB"/>
        </w:rPr>
        <w:t>إذن</w:t>
      </w:r>
      <w:r w:rsidR="008D51F3" w:rsidRPr="006571AC">
        <w:rPr>
          <w:rFonts w:ascii="Arabic Typesetting" w:hAnsi="Arabic Typesetting" w:hint="cs"/>
          <w:sz w:val="27"/>
          <w:rtl/>
          <w:lang w:bidi="ar-LB"/>
        </w:rPr>
        <w:t>، يت</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ضح أن الأصوليين الشيعة</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في هذه الحقبة التاريخية، بين م</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ن</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يعتقد </w:t>
      </w:r>
      <w:r w:rsidR="008D51F3" w:rsidRPr="006571AC">
        <w:rPr>
          <w:rFonts w:ascii="Arabic Typesetting" w:hAnsi="Arabic Typesetting" w:hint="cs"/>
          <w:sz w:val="27"/>
          <w:rtl/>
          <w:lang w:bidi="ar-LB"/>
        </w:rPr>
        <w:lastRenderedPageBreak/>
        <w:t>بإمكان فهم النص</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الديني ف</w:t>
      </w:r>
      <w:r w:rsidR="005A31B7"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ه</w:t>
      </w:r>
      <w:r w:rsidR="005A31B7"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ماً قطعي</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ا</w:t>
      </w:r>
      <w:r w:rsidR="00376A5F" w:rsidRPr="006571AC">
        <w:rPr>
          <w:rFonts w:ascii="Arabic Typesetting" w:hAnsi="Arabic Typesetting" w:hint="cs"/>
          <w:sz w:val="27"/>
          <w:rtl/>
          <w:lang w:bidi="ar-LB"/>
        </w:rPr>
        <w:t>ً و</w:t>
      </w:r>
      <w:r w:rsidR="008D51F3" w:rsidRPr="006571AC">
        <w:rPr>
          <w:rFonts w:ascii="Arabic Typesetting" w:hAnsi="Arabic Typesetting" w:hint="cs"/>
          <w:sz w:val="27"/>
          <w:rtl/>
          <w:lang w:bidi="ar-LB"/>
        </w:rPr>
        <w:t>م</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ن</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يعتقد بأن أغلب النصوص الدينية ظن</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ية الدلالة، فلا يمكن القطع بمراد المتكل</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م. وهذا أيضا</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لم يشكّ</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ل أزمة</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عندهم</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لأن الهمّ عندهم كان التنجيز والتعذير، الذي لا تضرّه ظن</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ية الدلالة. </w:t>
      </w:r>
    </w:p>
    <w:p w:rsidR="00257F05"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وبالتالي، إلى هذه الفترة الزمنية، أي قبيل</w:t>
      </w:r>
      <w:r w:rsidR="00376A5F"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السيد محمد باقر الصدر، لم يُلت</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فَت إلى كثير</w:t>
      </w:r>
      <w:r w:rsidR="00257F05" w:rsidRPr="006571AC">
        <w:rPr>
          <w:rFonts w:ascii="Arabic Typesetting" w:hAnsi="Arabic Typesetting" w:hint="cs"/>
          <w:sz w:val="27"/>
          <w:rtl/>
          <w:lang w:bidi="ar-LB"/>
        </w:rPr>
        <w:t xml:space="preserve">ٍ </w:t>
      </w:r>
      <w:r w:rsidRPr="006571AC">
        <w:rPr>
          <w:rFonts w:ascii="Arabic Typesetting" w:hAnsi="Arabic Typesetting" w:hint="cs"/>
          <w:sz w:val="27"/>
          <w:rtl/>
          <w:lang w:bidi="ar-LB"/>
        </w:rPr>
        <w:t>من الأسئلة التي تعرّ</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ض لها الغرب في مباحث فهم النص</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التي تعرّضوا لها في المباحث الهرمنيوطيقية</w:t>
      </w:r>
      <w:r w:rsidR="00257F05" w:rsidRPr="006571AC">
        <w:rPr>
          <w:rFonts w:ascii="Arabic Typesetting" w:hAnsi="Arabic Typesetting" w:hint="cs"/>
          <w:sz w:val="27"/>
          <w:rtl/>
          <w:lang w:bidi="ar-LB"/>
        </w:rPr>
        <w:t>.</w:t>
      </w:r>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وسوف نشير في</w:t>
      </w:r>
      <w:r w:rsidR="00257F05" w:rsidRPr="006571AC">
        <w:rPr>
          <w:rFonts w:ascii="Arabic Typesetting" w:hAnsi="Arabic Typesetting" w:hint="cs"/>
          <w:sz w:val="27"/>
          <w:rtl/>
          <w:lang w:bidi="ar-LB"/>
        </w:rPr>
        <w:t xml:space="preserve"> </w:t>
      </w:r>
      <w:r w:rsidRPr="006571AC">
        <w:rPr>
          <w:rFonts w:ascii="Arabic Typesetting" w:hAnsi="Arabic Typesetting" w:hint="cs"/>
          <w:sz w:val="27"/>
          <w:rtl/>
          <w:lang w:bidi="ar-LB"/>
        </w:rPr>
        <w:t>ما يلي إلى أهم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هذه الأسئلة، ثم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ندخل إلى البحث الأساس في هذه المقالة</w:t>
      </w:r>
      <w:r w:rsidR="00257F05" w:rsidRPr="006571AC">
        <w:rPr>
          <w:rFonts w:ascii="Arabic Typesetting" w:hAnsi="Arabic Typesetting" w:hint="cs"/>
          <w:sz w:val="27"/>
          <w:rtl/>
          <w:lang w:bidi="ar-LB"/>
        </w:rPr>
        <w:t xml:space="preserve">، </w:t>
      </w:r>
      <w:r w:rsidRPr="006571AC">
        <w:rPr>
          <w:rFonts w:ascii="Arabic Typesetting" w:hAnsi="Arabic Typesetting" w:hint="cs"/>
          <w:sz w:val="27"/>
          <w:rtl/>
          <w:lang w:bidi="ar-LB"/>
        </w:rPr>
        <w:t>وهو بيان المباني التي تُست</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ن</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بَط من كلمات الشهيد الصدر كمفتاح</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لحل</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إشكالي</w:t>
      </w:r>
      <w:r w:rsidR="005A31B7" w:rsidRPr="006571AC">
        <w:rPr>
          <w:rFonts w:ascii="Arabic Typesetting" w:hAnsi="Arabic Typesetting" w:hint="cs"/>
          <w:sz w:val="27"/>
          <w:rtl/>
          <w:lang w:bidi="ar-LB"/>
        </w:rPr>
        <w:t>ّ</w:t>
      </w:r>
      <w:r w:rsidRPr="006571AC">
        <w:rPr>
          <w:rFonts w:ascii="Arabic Typesetting" w:hAnsi="Arabic Typesetting" w:hint="cs"/>
          <w:sz w:val="27"/>
          <w:rtl/>
          <w:lang w:bidi="ar-LB"/>
        </w:rPr>
        <w:t>ة فهم النص</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w:t>
      </w:r>
    </w:p>
    <w:p w:rsidR="00037A9B" w:rsidRPr="006571AC" w:rsidRDefault="00037A9B" w:rsidP="00037A9B">
      <w:pPr>
        <w:spacing w:line="420" w:lineRule="exact"/>
        <w:rPr>
          <w:sz w:val="27"/>
          <w:rtl/>
        </w:rPr>
      </w:pPr>
    </w:p>
    <w:p w:rsidR="008D51F3" w:rsidRPr="006571AC" w:rsidRDefault="00421D5F" w:rsidP="00D246D3">
      <w:pPr>
        <w:pStyle w:val="31"/>
        <w:rPr>
          <w:color w:val="auto"/>
          <w:lang w:bidi="ar-LB"/>
        </w:rPr>
      </w:pPr>
      <w:bookmarkStart w:id="330" w:name="_Toc114164756"/>
      <w:r w:rsidRPr="006571AC">
        <w:rPr>
          <w:rFonts w:hint="cs"/>
          <w:color w:val="auto"/>
          <w:rtl/>
          <w:lang w:bidi="ar-LB"/>
        </w:rPr>
        <w:t>2ـ</w:t>
      </w:r>
      <w:r w:rsidR="008D51F3" w:rsidRPr="006571AC">
        <w:rPr>
          <w:color w:val="auto"/>
          <w:rtl/>
          <w:lang w:bidi="ar-LB"/>
        </w:rPr>
        <w:t xml:space="preserve"> إشكالي</w:t>
      </w:r>
      <w:r w:rsidRPr="006571AC">
        <w:rPr>
          <w:rFonts w:hint="cs"/>
          <w:color w:val="auto"/>
          <w:rtl/>
          <w:lang w:bidi="ar-LB"/>
        </w:rPr>
        <w:t>ّ</w:t>
      </w:r>
      <w:r w:rsidR="008D51F3" w:rsidRPr="006571AC">
        <w:rPr>
          <w:color w:val="auto"/>
          <w:rtl/>
          <w:lang w:bidi="ar-LB"/>
        </w:rPr>
        <w:t>ة فهم النص</w:t>
      </w:r>
      <w:r w:rsidR="00257F05" w:rsidRPr="006571AC">
        <w:rPr>
          <w:rFonts w:hint="cs"/>
          <w:color w:val="auto"/>
          <w:rtl/>
          <w:lang w:bidi="ar-LB"/>
        </w:rPr>
        <w:t>ّ</w:t>
      </w:r>
      <w:r w:rsidR="008D51F3" w:rsidRPr="006571AC">
        <w:rPr>
          <w:color w:val="auto"/>
          <w:rtl/>
          <w:lang w:bidi="ar-LB"/>
        </w:rPr>
        <w:t xml:space="preserve"> عند الهرمنيوطيقي</w:t>
      </w:r>
      <w:r w:rsidRPr="006571AC">
        <w:rPr>
          <w:rFonts w:hint="cs"/>
          <w:color w:val="auto"/>
          <w:rtl/>
          <w:lang w:bidi="ar-LB"/>
        </w:rPr>
        <w:t>ّ</w:t>
      </w:r>
      <w:r w:rsidR="008D51F3" w:rsidRPr="006571AC">
        <w:rPr>
          <w:color w:val="auto"/>
          <w:rtl/>
          <w:lang w:bidi="ar-LB"/>
        </w:rPr>
        <w:t>ين الغربي</w:t>
      </w:r>
      <w:r w:rsidRPr="006571AC">
        <w:rPr>
          <w:rFonts w:hint="cs"/>
          <w:color w:val="auto"/>
          <w:rtl/>
          <w:lang w:bidi="ar-LB"/>
        </w:rPr>
        <w:t>ّ</w:t>
      </w:r>
      <w:r w:rsidR="008D51F3" w:rsidRPr="006571AC">
        <w:rPr>
          <w:color w:val="auto"/>
          <w:rtl/>
          <w:lang w:bidi="ar-LB"/>
        </w:rPr>
        <w:t>ين</w:t>
      </w:r>
      <w:bookmarkEnd w:id="330"/>
    </w:p>
    <w:p w:rsidR="00257F05"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من خلال الاط</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لاع على أهم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مدارس الهرمنيوطيقا في العالم الغربي</w:t>
      </w:r>
      <w:r w:rsidRPr="006571AC">
        <w:rPr>
          <w:rFonts w:ascii="Arabic Typesetting" w:hAnsi="Arabic Typesetting" w:hint="cs"/>
          <w:sz w:val="27"/>
          <w:vertAlign w:val="superscript"/>
          <w:rtl/>
          <w:lang w:bidi="ar-LB"/>
        </w:rPr>
        <w:t>(</w:t>
      </w:r>
      <w:r w:rsidRPr="006571AC">
        <w:rPr>
          <w:rStyle w:val="ac"/>
          <w:rFonts w:ascii="Arabic Typesetting" w:hAnsi="Arabic Typesetting" w:hint="cs"/>
          <w:sz w:val="27"/>
          <w:rtl/>
          <w:lang w:bidi="ar-LB"/>
        </w:rPr>
        <w:endnoteReference w:id="524"/>
      </w:r>
      <w:r w:rsidRPr="006571AC">
        <w:rPr>
          <w:rFonts w:ascii="Arabic Typesetting" w:hAnsi="Arabic Typesetting" w:hint="cs"/>
          <w:sz w:val="27"/>
          <w:vertAlign w:val="superscript"/>
          <w:rtl/>
          <w:lang w:bidi="ar-LB"/>
        </w:rPr>
        <w:t>)</w:t>
      </w:r>
      <w:r w:rsidR="00257F05" w:rsidRPr="006571AC">
        <w:rPr>
          <w:rFonts w:ascii="Arabic Typesetting" w:hAnsi="Arabic Typesetting" w:hint="cs"/>
          <w:sz w:val="27"/>
          <w:rtl/>
          <w:lang w:bidi="ar-LB"/>
        </w:rPr>
        <w:t xml:space="preserve"> </w:t>
      </w:r>
      <w:r w:rsidRPr="006571AC">
        <w:rPr>
          <w:rFonts w:ascii="Arabic Typesetting" w:hAnsi="Arabic Typesetting" w:hint="cs"/>
          <w:sz w:val="27"/>
          <w:rtl/>
          <w:lang w:bidi="ar-LB"/>
        </w:rPr>
        <w:t>يمكن الوقوف على تساؤلات</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ة</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مرتبطة بإشكالية النص</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الديني ـ وإن</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كان بعضها أعم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من النص</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الديني ـ، ورتّ</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بوا عليها بعض المباني في فهم النص</w:t>
      </w:r>
      <w:r w:rsidR="00257F05" w:rsidRPr="006571AC">
        <w:rPr>
          <w:rFonts w:ascii="Arabic Typesetting" w:hAnsi="Arabic Typesetting" w:hint="cs"/>
          <w:sz w:val="27"/>
          <w:rtl/>
          <w:lang w:bidi="ar-LB"/>
        </w:rPr>
        <w:t>ّ.</w:t>
      </w:r>
    </w:p>
    <w:p w:rsidR="00257F05"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وبيانه بشكل</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مفصَّل يحتاج إلى بحث</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مستقل</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لكن</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سأشير بنحو</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مكثّ</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ف</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لهذه المباني ضمن عرضي لتلك التساؤلات، فهي التي يهمّ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نا ذكرها تمهيدا</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للمبحث الآتي، حت</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ى نرى هل تعرّض السيد محمد باقر الصدر لها</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وقدّم إجاباته، أم لا</w:t>
      </w:r>
      <w:r w:rsidR="00257F05" w:rsidRPr="006571AC">
        <w:rPr>
          <w:rFonts w:ascii="Arabic Typesetting" w:hAnsi="Arabic Typesetting" w:hint="cs"/>
          <w:sz w:val="27"/>
          <w:rtl/>
          <w:lang w:bidi="ar-LB"/>
        </w:rPr>
        <w:t>؟</w:t>
      </w:r>
    </w:p>
    <w:p w:rsidR="00257F05"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ومن جهة</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أخرى، إن ع</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ض</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هذه التساؤلات نفسَه أمرٌ مهمّ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إذ يحرّ</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ك عجلة البحث الأصولي الشيعي، فيتصدّى الباحثون للإجابة عنها، أو لبيان عدم أهم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ية التعرّ</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ض لها</w:t>
      </w:r>
      <w:r w:rsidR="00257F05" w:rsidRPr="006571AC">
        <w:rPr>
          <w:rFonts w:ascii="Arabic Typesetting" w:hAnsi="Arabic Typesetting" w:hint="cs"/>
          <w:sz w:val="27"/>
          <w:rtl/>
          <w:lang w:bidi="ar-LB"/>
        </w:rPr>
        <w:t>.</w:t>
      </w:r>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 xml:space="preserve">وكيفما كان فهذه التساؤلات هي: </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1ـ هل يمكن الوصول إلى فهم</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للنص</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مطابق لمراد المؤل</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w:t>
      </w:r>
      <w:r w:rsidR="00257F05" w:rsidRPr="006571AC">
        <w:rPr>
          <w:rFonts w:ascii="Arabic Typesetting" w:hAnsi="Arabic Typesetting" w:cs="AL-Mohanad" w:hint="cs"/>
          <w:sz w:val="27"/>
          <w:szCs w:val="27"/>
          <w:rtl/>
          <w:lang w:bidi="ar-LB"/>
        </w:rPr>
        <w:t xml:space="preserve"> </w:t>
      </w:r>
      <w:r w:rsidRPr="006571AC">
        <w:rPr>
          <w:rFonts w:ascii="Arabic Typesetting" w:hAnsi="Arabic Typesetting" w:cs="AL-Mohanad" w:hint="cs"/>
          <w:sz w:val="27"/>
          <w:szCs w:val="27"/>
          <w:rtl/>
          <w:lang w:bidi="ar-LB"/>
        </w:rPr>
        <w:t>أم أن غاية ما يمكن فعله هو الاقتراب من مقصود المؤل</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وهذا ما اختلف الباحثون الغربي</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ون في الجواب عنه بين مؤي</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د</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25"/>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ومعارض</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A31B7">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2ـ هل الأصل في كل</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فهم</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هو سوء الفهم؛ وبعبارة</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أخرى: هل المفسِّر دائما</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في معرض سوء الفهم</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26"/>
      </w:r>
      <w:r w:rsidRPr="006571AC">
        <w:rPr>
          <w:rFonts w:ascii="Arabic Typesetting" w:hAnsi="Arabic Typesetting" w:cs="AL-Mohanad" w:hint="cs"/>
          <w:sz w:val="27"/>
          <w:szCs w:val="27"/>
          <w:vertAlign w:val="superscript"/>
          <w:rtl/>
          <w:lang w:bidi="ar-LB"/>
        </w:rPr>
        <w:t>)</w:t>
      </w:r>
      <w:r w:rsidR="005A31B7" w:rsidRPr="006571AC">
        <w:rPr>
          <w:rFonts w:ascii="Arabic Typesetting" w:hAnsi="Arabic Typesetting" w:cs="AL-Mohanad" w:hint="cs"/>
          <w:sz w:val="27"/>
          <w:szCs w:val="27"/>
          <w:rtl/>
          <w:lang w:bidi="ar-LB"/>
        </w:rPr>
        <w:t>.</w:t>
      </w:r>
    </w:p>
    <w:p w:rsidR="008D51F3" w:rsidRPr="006571AC" w:rsidRDefault="008D51F3" w:rsidP="005A31B7">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lastRenderedPageBreak/>
        <w:t>3ـ هل يجب النفوذ إلى ذهنية المؤل</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ونفسي</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ته حتى نصل إلى فهم</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وتفسير</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صحيحَين</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27"/>
      </w:r>
      <w:r w:rsidRPr="006571AC">
        <w:rPr>
          <w:rFonts w:ascii="Arabic Typesetting" w:hAnsi="Arabic Typesetting" w:cs="AL-Mohanad" w:hint="cs"/>
          <w:sz w:val="27"/>
          <w:szCs w:val="27"/>
          <w:vertAlign w:val="superscript"/>
          <w:rtl/>
          <w:lang w:bidi="ar-LB"/>
        </w:rPr>
        <w:t>)</w:t>
      </w:r>
      <w:r w:rsidR="005A31B7" w:rsidRPr="006571AC">
        <w:rPr>
          <w:rFonts w:ascii="Arabic Typesetting" w:hAnsi="Arabic Typesetting" w:cs="AL-Mohanad" w:hint="cs"/>
          <w:sz w:val="27"/>
          <w:szCs w:val="27"/>
          <w:rtl/>
          <w:lang w:bidi="ar-LB"/>
        </w:rPr>
        <w:t>.</w:t>
      </w:r>
    </w:p>
    <w:p w:rsidR="008D51F3" w:rsidRPr="006571AC" w:rsidRDefault="008D51F3" w:rsidP="005A31B7">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4ـ هل النص</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أمر</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تاريخي، بالمعنى المصطلح للتاريخية أو التاريخانية</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28"/>
      </w:r>
      <w:r w:rsidRPr="006571AC">
        <w:rPr>
          <w:rFonts w:ascii="Arabic Typesetting" w:hAnsi="Arabic Typesetting" w:cs="AL-Mohanad" w:hint="cs"/>
          <w:sz w:val="27"/>
          <w:szCs w:val="27"/>
          <w:vertAlign w:val="superscript"/>
          <w:rtl/>
          <w:lang w:bidi="ar-LB"/>
        </w:rPr>
        <w:t>)</w:t>
      </w:r>
      <w:r w:rsidR="005A31B7" w:rsidRPr="006571AC">
        <w:rPr>
          <w:rFonts w:ascii="Arabic Typesetting" w:hAnsi="Arabic Typesetting" w:cs="AL-Mohanad" w:hint="cs"/>
          <w:sz w:val="27"/>
          <w:szCs w:val="27"/>
          <w:rtl/>
          <w:lang w:bidi="ar-LB"/>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5ـ لو كان النص</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تاريخي</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ا</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فهل يمكن العبور عن هذا المانع والتخلّ</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ص منه؟ هذا أيضا</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محلّ ج</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د</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ل</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بين علماء الغرب، بين مؤي</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د</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ومعارض</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A31B7">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6ـ هل يمكننا تفريغ الفهم أو التفسير من كل</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الأحكام المسبقة والقبليات المعرفية</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29"/>
      </w:r>
      <w:r w:rsidRPr="006571AC">
        <w:rPr>
          <w:rFonts w:ascii="Arabic Typesetting" w:hAnsi="Arabic Typesetting" w:cs="AL-Mohanad" w:hint="cs"/>
          <w:sz w:val="27"/>
          <w:szCs w:val="27"/>
          <w:vertAlign w:val="superscript"/>
          <w:rtl/>
          <w:lang w:bidi="ar-LB"/>
        </w:rPr>
        <w:t>)</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وهل عدم إمكان ذلك أمر</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مضر</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بعملية الف</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ه</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م والتفسير</w:t>
      </w:r>
      <w:r w:rsidR="00AF1B0C" w:rsidRPr="006571AC">
        <w:rPr>
          <w:rFonts w:ascii="Arabic Typesetting" w:hAnsi="Arabic Typesetting" w:cs="AL-Mohanad" w:hint="cs"/>
          <w:sz w:val="27"/>
          <w:szCs w:val="27"/>
          <w:rtl/>
          <w:lang w:bidi="ar-LB"/>
        </w:rPr>
        <w:t xml:space="preserve">، </w:t>
      </w:r>
      <w:r w:rsidRPr="006571AC">
        <w:rPr>
          <w:rFonts w:ascii="Arabic Typesetting" w:hAnsi="Arabic Typesetting" w:cs="AL-Mohanad" w:hint="cs"/>
          <w:sz w:val="27"/>
          <w:szCs w:val="27"/>
          <w:rtl/>
          <w:lang w:bidi="ar-LB"/>
        </w:rPr>
        <w:t>بحيث لا يمكننا الوصول إلى مراد المؤل</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ف؟ </w:t>
      </w:r>
    </w:p>
    <w:p w:rsidR="008D51F3" w:rsidRPr="006571AC" w:rsidRDefault="008D51F3" w:rsidP="005A31B7">
      <w:pPr>
        <w:pStyle w:val="af1"/>
        <w:spacing w:after="0" w:line="400" w:lineRule="exact"/>
        <w:ind w:left="0" w:firstLine="567"/>
        <w:jc w:val="both"/>
        <w:rPr>
          <w:rFonts w:ascii="Arabic Typesetting" w:hAnsi="Arabic Typesetting" w:cs="AL-Mohanad"/>
          <w:b/>
          <w:bCs/>
          <w:sz w:val="27"/>
          <w:szCs w:val="27"/>
          <w:lang w:bidi="ar-LB"/>
        </w:rPr>
      </w:pPr>
      <w:r w:rsidRPr="006571AC">
        <w:rPr>
          <w:rFonts w:ascii="Arabic Typesetting" w:hAnsi="Arabic Typesetting" w:cs="AL-Mohanad" w:hint="cs"/>
          <w:sz w:val="27"/>
          <w:szCs w:val="27"/>
          <w:rtl/>
          <w:lang w:bidi="ar-LB"/>
        </w:rPr>
        <w:t>7ـ تتفر</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ع عن الأحكام الم</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س</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بَقة والقبليات المعرفية عمليةُ انصهار الآفاق</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30"/>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حيث يكون الفهم عبارة</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عن د</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م</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ج أ</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ق المفس</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 والمؤل</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لكن</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هل الفهم عبارة</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عن حوار</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بين النص</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والقارئ</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31"/>
      </w:r>
      <w:r w:rsidRPr="006571AC">
        <w:rPr>
          <w:rFonts w:ascii="Arabic Typesetting" w:hAnsi="Arabic Typesetting" w:cs="AL-Mohanad" w:hint="cs"/>
          <w:sz w:val="27"/>
          <w:szCs w:val="27"/>
          <w:vertAlign w:val="superscript"/>
          <w:rtl/>
          <w:lang w:bidi="ar-LB"/>
        </w:rPr>
        <w:t>)</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وهل هذا يعني أنه لا يكون الفهم كاشفا</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عن مراد المؤل</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ف؟ </w:t>
      </w:r>
    </w:p>
    <w:p w:rsidR="008D51F3" w:rsidRPr="006571AC" w:rsidRDefault="008D51F3" w:rsidP="005B0CA4">
      <w:pPr>
        <w:pStyle w:val="af1"/>
        <w:spacing w:after="0" w:line="400" w:lineRule="exact"/>
        <w:ind w:left="0" w:firstLine="567"/>
        <w:jc w:val="both"/>
        <w:rPr>
          <w:rFonts w:ascii="Arabic Typesetting" w:hAnsi="Arabic Typesetting" w:cs="AL-Mohanad"/>
          <w:b/>
          <w:bCs/>
          <w:sz w:val="27"/>
          <w:szCs w:val="27"/>
          <w:lang w:bidi="ar-LB"/>
        </w:rPr>
      </w:pPr>
      <w:r w:rsidRPr="006571AC">
        <w:rPr>
          <w:rFonts w:ascii="Arabic Typesetting" w:hAnsi="Arabic Typesetting" w:cs="AL-Mohanad" w:hint="cs"/>
          <w:sz w:val="27"/>
          <w:szCs w:val="27"/>
          <w:rtl/>
          <w:lang w:bidi="ar-LB"/>
        </w:rPr>
        <w:t>8ـ هل الحوار بين النص</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والقارئ</w:t>
      </w:r>
      <w:r w:rsidR="00A8523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على نحو ال</w:t>
      </w:r>
      <w:r w:rsidR="00A8523B" w:rsidRPr="006571AC">
        <w:rPr>
          <w:rFonts w:ascii="Arabic Typesetting" w:hAnsi="Arabic Typesetting" w:cs="AL-Mohanad" w:hint="cs"/>
          <w:sz w:val="27"/>
          <w:szCs w:val="27"/>
          <w:rtl/>
          <w:lang w:bidi="ar-LB"/>
        </w:rPr>
        <w:t>دَّ</w:t>
      </w:r>
      <w:r w:rsidR="00EA38F1" w:rsidRPr="006571AC">
        <w:rPr>
          <w:rFonts w:ascii="Arabic Typesetting" w:hAnsi="Arabic Typesetting" w:cs="AL-Mohanad" w:hint="cs"/>
          <w:sz w:val="27"/>
          <w:szCs w:val="27"/>
          <w:rtl/>
          <w:lang w:bidi="ar-LB"/>
        </w:rPr>
        <w:t>وْر</w:t>
      </w:r>
      <w:r w:rsidRPr="006571AC">
        <w:rPr>
          <w:rFonts w:ascii="Arabic Typesetting" w:hAnsi="Arabic Typesetting" w:cs="AL-Mohanad" w:hint="cs"/>
          <w:sz w:val="27"/>
          <w:szCs w:val="27"/>
          <w:rtl/>
          <w:lang w:bidi="ar-LB"/>
        </w:rPr>
        <w:t xml:space="preserve"> الهرمنيوطيقي الذي بيّ</w:t>
      </w:r>
      <w:r w:rsidR="00A8523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نه غادامر</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32"/>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يستمر</w:t>
      </w:r>
      <w:r w:rsidR="00A8523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إلى ما لا نهاية؟</w:t>
      </w:r>
    </w:p>
    <w:p w:rsidR="00037A9B" w:rsidRPr="006571AC" w:rsidRDefault="00037A9B" w:rsidP="00037A9B">
      <w:pPr>
        <w:spacing w:line="420" w:lineRule="exact"/>
        <w:rPr>
          <w:sz w:val="27"/>
          <w:rtl/>
        </w:rPr>
      </w:pPr>
    </w:p>
    <w:p w:rsidR="008D51F3" w:rsidRPr="006571AC" w:rsidRDefault="00421D5F" w:rsidP="00421D5F">
      <w:pPr>
        <w:pStyle w:val="31"/>
        <w:rPr>
          <w:color w:val="auto"/>
          <w:rtl/>
          <w:lang w:bidi="ar-LB"/>
        </w:rPr>
      </w:pPr>
      <w:bookmarkStart w:id="331" w:name="_Toc114164757"/>
      <w:r w:rsidRPr="006571AC">
        <w:rPr>
          <w:rFonts w:hint="cs"/>
          <w:color w:val="auto"/>
          <w:rtl/>
          <w:lang w:bidi="ar-LB"/>
        </w:rPr>
        <w:t>3ـ</w:t>
      </w:r>
      <w:r w:rsidR="008D51F3" w:rsidRPr="006571AC">
        <w:rPr>
          <w:color w:val="auto"/>
          <w:rtl/>
          <w:lang w:bidi="ar-LB"/>
        </w:rPr>
        <w:t xml:space="preserve"> مباني الشهيد الصدر مفتاح</w:t>
      </w:r>
      <w:r w:rsidRPr="006571AC">
        <w:rPr>
          <w:rFonts w:hint="cs"/>
          <w:color w:val="auto"/>
          <w:rtl/>
          <w:lang w:bidi="ar-LB"/>
        </w:rPr>
        <w:t>ٌ</w:t>
      </w:r>
      <w:r w:rsidR="008D51F3" w:rsidRPr="006571AC">
        <w:rPr>
          <w:color w:val="auto"/>
          <w:rtl/>
          <w:lang w:bidi="ar-LB"/>
        </w:rPr>
        <w:t xml:space="preserve"> لحل</w:t>
      </w:r>
      <w:r w:rsidRPr="006571AC">
        <w:rPr>
          <w:rFonts w:hint="cs"/>
          <w:color w:val="auto"/>
          <w:rtl/>
          <w:lang w:bidi="ar-LB"/>
        </w:rPr>
        <w:t>ّ</w:t>
      </w:r>
      <w:r w:rsidR="008D51F3" w:rsidRPr="006571AC">
        <w:rPr>
          <w:color w:val="auto"/>
          <w:rtl/>
          <w:lang w:bidi="ar-LB"/>
        </w:rPr>
        <w:t xml:space="preserve"> إشكالي</w:t>
      </w:r>
      <w:r w:rsidRPr="006571AC">
        <w:rPr>
          <w:rFonts w:hint="cs"/>
          <w:color w:val="auto"/>
          <w:rtl/>
          <w:lang w:bidi="ar-LB"/>
        </w:rPr>
        <w:t>ّ</w:t>
      </w:r>
      <w:r w:rsidR="008D51F3" w:rsidRPr="006571AC">
        <w:rPr>
          <w:color w:val="auto"/>
          <w:rtl/>
          <w:lang w:bidi="ar-LB"/>
        </w:rPr>
        <w:t>ة فهم النص</w:t>
      </w:r>
      <w:r w:rsidR="00A8523B" w:rsidRPr="006571AC">
        <w:rPr>
          <w:rFonts w:hint="cs"/>
          <w:color w:val="auto"/>
          <w:rtl/>
          <w:lang w:bidi="ar-LB"/>
        </w:rPr>
        <w:t>ّ</w:t>
      </w:r>
      <w:bookmarkEnd w:id="331"/>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أش</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نا فيما سبق إلى إشكالية فهم النص</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عند ال</w:t>
      </w:r>
      <w:r w:rsidR="00A8523B" w:rsidRPr="006571AC">
        <w:rPr>
          <w:rFonts w:ascii="Arabic Typesetting" w:hAnsi="Arabic Typesetting" w:hint="cs"/>
          <w:sz w:val="27"/>
          <w:rtl/>
          <w:lang w:bidi="ar-LB"/>
        </w:rPr>
        <w:t>أ</w:t>
      </w:r>
      <w:r w:rsidRPr="006571AC">
        <w:rPr>
          <w:rFonts w:ascii="Arabic Typesetting" w:hAnsi="Arabic Typesetting" w:hint="cs"/>
          <w:sz w:val="27"/>
          <w:rtl/>
          <w:lang w:bidi="ar-LB"/>
        </w:rPr>
        <w:t>صوليين الشيعة، كما ذك</w:t>
      </w:r>
      <w:r w:rsidR="005A31B7"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5A31B7" w:rsidRPr="006571AC">
        <w:rPr>
          <w:rFonts w:ascii="Arabic Typesetting" w:hAnsi="Arabic Typesetting" w:hint="cs"/>
          <w:sz w:val="27"/>
          <w:rtl/>
          <w:lang w:bidi="ar-LB"/>
        </w:rPr>
        <w:t>ْ</w:t>
      </w:r>
      <w:r w:rsidRPr="006571AC">
        <w:rPr>
          <w:rFonts w:ascii="Arabic Typesetting" w:hAnsi="Arabic Typesetting" w:hint="cs"/>
          <w:sz w:val="27"/>
          <w:rtl/>
          <w:lang w:bidi="ar-LB"/>
        </w:rPr>
        <w:t>نا أهم</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الأسئلة الهرمنيوطيقية ـ المرتبطة بفهم النص</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ـ عند الغربيين، وسنحاول في هذا المبحث أن نرى هل التفت السيد الشهيد محمد باقر الصدر إليها، ك</w:t>
      </w:r>
      <w:r w:rsidR="003C2639" w:rsidRPr="006571AC">
        <w:rPr>
          <w:rFonts w:ascii="Arabic Typesetting" w:hAnsi="Arabic Typesetting" w:hint="cs"/>
          <w:sz w:val="27"/>
          <w:rtl/>
          <w:lang w:bidi="ar-LB"/>
        </w:rPr>
        <w:t>لاّ</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أو بعضاً</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أم لم يلتفت إليها أساساً</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أو أغفلها كغيره من الأصوليين</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أم أنه ـ مضافاً إلى ذلك ـ التفت إلى أسئلة</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جديدة؟ وما هي المعالجات التي قدّ</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مها؟ </w:t>
      </w:r>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وفي سبيل معرفة ذلك كانت لي جولة</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مطالعة</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في كتابات الشهيد الصدر، فعث</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تُ على المباني التالية، التي يمكن تقديمها كمفاتيح لحلّ إشكاليات فهم النص</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الديني</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وهي: </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1ـ إمكان فهم النص</w:t>
      </w:r>
      <w:r w:rsidR="00A8523B" w:rsidRPr="006571AC">
        <w:rPr>
          <w:rFonts w:ascii="Arabic Typesetting" w:hAnsi="Arabic Typesetting" w:cs="AL-Mohanad" w:hint="cs"/>
          <w:sz w:val="27"/>
          <w:szCs w:val="27"/>
          <w:rtl/>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2ـ الظهور الذاتي والظهور الموضوعي</w:t>
      </w:r>
      <w:r w:rsidR="00A8523B" w:rsidRPr="006571AC">
        <w:rPr>
          <w:rFonts w:ascii="Arabic Typesetting" w:hAnsi="Arabic Typesetting" w:cs="AL-Mohanad" w:hint="cs"/>
          <w:sz w:val="27"/>
          <w:szCs w:val="27"/>
          <w:rtl/>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3ـ ملاحظة المعصومين</w:t>
      </w:r>
      <w:r w:rsidR="002A2C90" w:rsidRPr="006571AC">
        <w:rPr>
          <w:rFonts w:ascii="Mosawi" w:hAnsi="Mosawi" w:cs="Mosawi" w:hint="cs"/>
          <w:rtl/>
        </w:rPr>
        <w:t>^</w:t>
      </w:r>
      <w:r w:rsidRPr="006571AC">
        <w:rPr>
          <w:rFonts w:ascii="Arabic Typesetting" w:hAnsi="Arabic Typesetting" w:cs="AL-Mohanad" w:hint="cs"/>
          <w:sz w:val="27"/>
          <w:szCs w:val="27"/>
          <w:rtl/>
        </w:rPr>
        <w:t xml:space="preserve"> على أنهم واحد</w:t>
      </w:r>
      <w:r w:rsidR="00A8523B" w:rsidRPr="006571AC">
        <w:rPr>
          <w:rFonts w:ascii="Arabic Typesetting" w:hAnsi="Arabic Typesetting" w:cs="AL-Mohanad" w:hint="cs"/>
          <w:sz w:val="27"/>
          <w:szCs w:val="27"/>
          <w:rtl/>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lastRenderedPageBreak/>
        <w:t>4ـ القبليات الضرورية لفهم النص</w:t>
      </w:r>
      <w:r w:rsidR="00A8523B" w:rsidRPr="006571AC">
        <w:rPr>
          <w:rFonts w:ascii="Arabic Typesetting" w:hAnsi="Arabic Typesetting" w:cs="AL-Mohanad" w:hint="cs"/>
          <w:sz w:val="27"/>
          <w:szCs w:val="27"/>
          <w:rtl/>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5ـ القبليات المضرّة في فهم النص</w:t>
      </w:r>
      <w:r w:rsidR="00A8523B" w:rsidRPr="006571AC">
        <w:rPr>
          <w:rFonts w:ascii="Arabic Typesetting" w:hAnsi="Arabic Typesetting" w:cs="AL-Mohanad" w:hint="cs"/>
          <w:sz w:val="27"/>
          <w:szCs w:val="27"/>
          <w:rtl/>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6ـ الحوار بين المفسّ</w:t>
      </w:r>
      <w:r w:rsidR="00A8523B" w:rsidRPr="006571AC">
        <w:rPr>
          <w:rFonts w:ascii="Arabic Typesetting" w:hAnsi="Arabic Typesetting" w:cs="AL-Mohanad" w:hint="cs"/>
          <w:sz w:val="27"/>
          <w:szCs w:val="27"/>
          <w:rtl/>
        </w:rPr>
        <w:t>ِ</w:t>
      </w:r>
      <w:r w:rsidRPr="006571AC">
        <w:rPr>
          <w:rFonts w:ascii="Arabic Typesetting" w:hAnsi="Arabic Typesetting" w:cs="AL-Mohanad" w:hint="cs"/>
          <w:sz w:val="27"/>
          <w:szCs w:val="27"/>
          <w:rtl/>
        </w:rPr>
        <w:t>ر والنص</w:t>
      </w:r>
      <w:r w:rsidR="00A8523B" w:rsidRPr="006571AC">
        <w:rPr>
          <w:rFonts w:ascii="Arabic Typesetting" w:hAnsi="Arabic Typesetting" w:cs="AL-Mohanad" w:hint="cs"/>
          <w:sz w:val="27"/>
          <w:szCs w:val="27"/>
          <w:rtl/>
        </w:rPr>
        <w:t>ّ.</w:t>
      </w:r>
    </w:p>
    <w:p w:rsidR="00037A9B" w:rsidRPr="006571AC" w:rsidRDefault="00037A9B" w:rsidP="00037A9B">
      <w:pPr>
        <w:spacing w:line="420" w:lineRule="exact"/>
        <w:rPr>
          <w:sz w:val="27"/>
          <w:rtl/>
        </w:rPr>
      </w:pPr>
    </w:p>
    <w:p w:rsidR="008D51F3" w:rsidRPr="006571AC" w:rsidRDefault="00421D5F" w:rsidP="00D246D3">
      <w:pPr>
        <w:pStyle w:val="31"/>
        <w:rPr>
          <w:color w:val="auto"/>
          <w:rtl/>
        </w:rPr>
      </w:pPr>
      <w:bookmarkStart w:id="332" w:name="_Toc114164758"/>
      <w:r w:rsidRPr="006571AC">
        <w:rPr>
          <w:rFonts w:hint="cs"/>
          <w:color w:val="auto"/>
          <w:rtl/>
        </w:rPr>
        <w:t>أـ</w:t>
      </w:r>
      <w:r w:rsidR="008D51F3" w:rsidRPr="006571AC">
        <w:rPr>
          <w:color w:val="auto"/>
          <w:rtl/>
        </w:rPr>
        <w:t xml:space="preserve"> إمكان فهم النص</w:t>
      </w:r>
      <w:r w:rsidR="00A8523B" w:rsidRPr="006571AC">
        <w:rPr>
          <w:rFonts w:hint="cs"/>
          <w:color w:val="auto"/>
          <w:rtl/>
        </w:rPr>
        <w:t>ّ</w:t>
      </w:r>
      <w:bookmarkEnd w:id="332"/>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hint="cs"/>
          <w:sz w:val="27"/>
          <w:szCs w:val="27"/>
          <w:rtl/>
          <w:lang w:bidi="ar-LB"/>
        </w:rPr>
        <w:t>النص</w:t>
      </w:r>
      <w:r w:rsidR="00A8523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الديني الإسلامي مكوّ</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من أمر</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ي</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 القرآن الكريم</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r w:rsidR="00167D9A" w:rsidRPr="006571AC">
        <w:rPr>
          <w:rFonts w:ascii="Arabic Typesetting" w:hAnsi="Arabic Typesetting" w:cs="AL-Mohanad" w:hint="cs"/>
          <w:sz w:val="27"/>
          <w:szCs w:val="27"/>
          <w:rtl/>
          <w:lang w:bidi="ar-LB"/>
        </w:rPr>
        <w:t>و</w:t>
      </w:r>
      <w:r w:rsidRPr="006571AC">
        <w:rPr>
          <w:rFonts w:ascii="Arabic Typesetting" w:hAnsi="Arabic Typesetting" w:cs="AL-Mohanad" w:hint="cs"/>
          <w:sz w:val="27"/>
          <w:szCs w:val="27"/>
          <w:rtl/>
          <w:lang w:bidi="ar-LB"/>
        </w:rPr>
        <w:t>روايات المعصومين</w:t>
      </w:r>
      <w:r w:rsidR="002A2C90" w:rsidRPr="006571AC">
        <w:rPr>
          <w:rFonts w:ascii="Mosawi" w:hAnsi="Mosawi" w:cs="Mosawi" w:hint="cs"/>
          <w:sz w:val="22"/>
          <w:szCs w:val="22"/>
          <w:rtl/>
        </w:rPr>
        <w:t>^</w:t>
      </w:r>
      <w:r w:rsidRPr="006571AC">
        <w:rPr>
          <w:rFonts w:ascii="Arabic Typesetting" w:hAnsi="Arabic Typesetting" w:cs="AL-Mohanad" w:hint="cs"/>
          <w:sz w:val="27"/>
          <w:szCs w:val="27"/>
          <w:rtl/>
          <w:lang w:bidi="ar-LB"/>
        </w:rPr>
        <w:t xml:space="preserve">. أما بالنسبة </w:t>
      </w:r>
      <w:r w:rsidR="00167D9A" w:rsidRPr="006571AC">
        <w:rPr>
          <w:rFonts w:ascii="Arabic Typesetting" w:hAnsi="Arabic Typesetting" w:cs="AL-Mohanad" w:hint="cs"/>
          <w:sz w:val="27"/>
          <w:szCs w:val="27"/>
          <w:rtl/>
          <w:lang w:bidi="ar-LB"/>
        </w:rPr>
        <w:t>إلى ا</w:t>
      </w:r>
      <w:r w:rsidRPr="006571AC">
        <w:rPr>
          <w:rFonts w:ascii="Arabic Typesetting" w:hAnsi="Arabic Typesetting" w:cs="AL-Mohanad" w:hint="cs"/>
          <w:sz w:val="27"/>
          <w:szCs w:val="27"/>
          <w:rtl/>
          <w:lang w:bidi="ar-LB"/>
        </w:rPr>
        <w:t>لروايات فقد اتفق العلماء، ومنهم</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الشهيد الصدر، على وجود المقتضي لفهمها</w:t>
      </w:r>
      <w:r w:rsidRPr="006571AC">
        <w:rPr>
          <w:rFonts w:ascii="Arabic Typesetting" w:hAnsi="Arabic Typesetting" w:cs="AL-Mohanad" w:hint="cs"/>
          <w:sz w:val="27"/>
          <w:szCs w:val="27"/>
          <w:vertAlign w:val="superscript"/>
          <w:rtl/>
          <w:lang w:bidi="ar-LB"/>
        </w:rPr>
        <w:t>(</w:t>
      </w:r>
      <w:r w:rsidRPr="006571AC">
        <w:rPr>
          <w:rStyle w:val="ac"/>
          <w:rFonts w:ascii="Arabic Typesetting" w:eastAsiaTheme="majorEastAsia" w:hAnsi="Arabic Typesetting" w:cs="AL-Mohanad" w:hint="cs"/>
          <w:sz w:val="27"/>
          <w:szCs w:val="27"/>
          <w:rtl/>
          <w:lang w:bidi="ar-LB"/>
        </w:rPr>
        <w:endnoteReference w:id="533"/>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وأما بالنسبة </w:t>
      </w:r>
      <w:r w:rsidR="00167D9A" w:rsidRPr="006571AC">
        <w:rPr>
          <w:rFonts w:ascii="Arabic Typesetting" w:hAnsi="Arabic Typesetting" w:cs="AL-Mohanad" w:hint="cs"/>
          <w:sz w:val="27"/>
          <w:szCs w:val="27"/>
          <w:rtl/>
          <w:lang w:bidi="ar-LB"/>
        </w:rPr>
        <w:t xml:space="preserve">إلى </w:t>
      </w:r>
      <w:r w:rsidRPr="006571AC">
        <w:rPr>
          <w:rFonts w:ascii="Arabic Typesetting" w:hAnsi="Arabic Typesetting" w:cs="AL-Mohanad" w:hint="cs"/>
          <w:sz w:val="27"/>
          <w:szCs w:val="27"/>
          <w:rtl/>
          <w:lang w:bidi="ar-LB"/>
        </w:rPr>
        <w:t>إمكان فهم القرآن الكريم فقد اختلفت كلمات علماء الشيعة؛ فذهب بعضهم إلى عدم إمكان الاستناد إلى الآيات القرآنية</w:t>
      </w:r>
      <w:r w:rsidR="00167D9A" w:rsidRPr="006571AC">
        <w:rPr>
          <w:rFonts w:ascii="Arabic Typesetting" w:hAnsi="Arabic Typesetting" w:cs="AL-Mohanad" w:hint="cs"/>
          <w:sz w:val="27"/>
          <w:szCs w:val="27"/>
          <w:rtl/>
          <w:lang w:bidi="ar-LB"/>
        </w:rPr>
        <w:t xml:space="preserve">؛ </w:t>
      </w:r>
      <w:r w:rsidRPr="006571AC">
        <w:rPr>
          <w:rFonts w:ascii="Arabic Typesetting" w:hAnsi="Arabic Typesetting" w:cs="AL-Mohanad" w:hint="cs"/>
          <w:sz w:val="27"/>
          <w:szCs w:val="27"/>
          <w:rtl/>
          <w:lang w:bidi="ar-LB"/>
        </w:rPr>
        <w:t>لعد</w:t>
      </w:r>
      <w:r w:rsidR="00167D9A" w:rsidRPr="006571AC">
        <w:rPr>
          <w:rFonts w:ascii="Arabic Typesetting" w:hAnsi="Arabic Typesetting" w:cs="AL-Mohanad" w:hint="cs"/>
          <w:sz w:val="27"/>
          <w:szCs w:val="27"/>
          <w:rtl/>
          <w:lang w:bidi="ar-LB"/>
        </w:rPr>
        <w:t>ّة</w:t>
      </w:r>
      <w:r w:rsidRPr="006571AC">
        <w:rPr>
          <w:rFonts w:ascii="Arabic Typesetting" w:hAnsi="Arabic Typesetting" w:cs="AL-Mohanad" w:hint="cs"/>
          <w:sz w:val="27"/>
          <w:szCs w:val="27"/>
          <w:rtl/>
          <w:lang w:bidi="ar-LB"/>
        </w:rPr>
        <w:t xml:space="preserve"> أسباب</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ذكروها ـ كعدم انعقاد ظهور للآيات القرآنية، أو عدم </w:t>
      </w:r>
      <w:r w:rsidR="00AF77EB" w:rsidRPr="006571AC">
        <w:rPr>
          <w:rFonts w:ascii="Arabic Typesetting" w:hAnsi="Arabic Typesetting" w:cs="AL-Mohanad" w:hint="cs"/>
          <w:sz w:val="27"/>
          <w:szCs w:val="27"/>
          <w:rtl/>
          <w:lang w:bidi="ar-LB"/>
        </w:rPr>
        <w:t xml:space="preserve">  </w:t>
      </w:r>
      <w:r w:rsidRPr="006571AC">
        <w:rPr>
          <w:rFonts w:ascii="Arabic Typesetting" w:hAnsi="Arabic Typesetting" w:cs="AL-Mohanad" w:hint="cs"/>
          <w:sz w:val="27"/>
          <w:szCs w:val="27"/>
          <w:rtl/>
          <w:lang w:bidi="ar-LB"/>
        </w:rPr>
        <w:t>حج</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يتها</w:t>
      </w:r>
      <w:r w:rsidR="00167D9A" w:rsidRPr="006571AC">
        <w:rPr>
          <w:rFonts w:ascii="Arabic Typesetting" w:hAnsi="Arabic Typesetting" w:cs="AL-Mohanad" w:hint="cs"/>
          <w:sz w:val="27"/>
          <w:szCs w:val="27"/>
          <w:rtl/>
          <w:lang w:bidi="ar-LB"/>
        </w:rPr>
        <w:t xml:space="preserve"> ـ</w:t>
      </w:r>
      <w:r w:rsidRPr="006571AC">
        <w:rPr>
          <w:rFonts w:ascii="Arabic Typesetting" w:hAnsi="Arabic Typesetting" w:cs="AL-Mohanad" w:hint="cs"/>
          <w:sz w:val="27"/>
          <w:szCs w:val="27"/>
          <w:rtl/>
          <w:lang w:bidi="ar-LB"/>
        </w:rPr>
        <w:t>؛ بينما ذهب بعض</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آخر إلى إمكان ذلك.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hint="cs"/>
          <w:sz w:val="27"/>
          <w:szCs w:val="27"/>
          <w:rtl/>
          <w:lang w:bidi="ar-LB"/>
        </w:rPr>
        <w:t>والشه</w:t>
      </w:r>
      <w:r w:rsidR="00167D9A" w:rsidRPr="006571AC">
        <w:rPr>
          <w:rFonts w:ascii="Arabic Typesetting" w:hAnsi="Arabic Typesetting" w:cs="AL-Mohanad" w:hint="cs"/>
          <w:sz w:val="27"/>
          <w:szCs w:val="27"/>
          <w:rtl/>
          <w:lang w:bidi="ar-LB"/>
        </w:rPr>
        <w:t>يد الصدر هو من العلماء الذين قب</w:t>
      </w:r>
      <w:r w:rsidRPr="006571AC">
        <w:rPr>
          <w:rFonts w:ascii="Arabic Typesetting" w:hAnsi="Arabic Typesetting" w:cs="AL-Mohanad" w:hint="cs"/>
          <w:sz w:val="27"/>
          <w:szCs w:val="27"/>
          <w:rtl/>
          <w:lang w:bidi="ar-LB"/>
        </w:rPr>
        <w:t>لوا إمكان الاستناد إلى الآيات القرآنية وفهمها، بل استخراج النظريات منها. فمضافا</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إلى استشهاده بالآيات القرآنية في كتاباته وأبحاثه</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34"/>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تراه قد استدل</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على ذلك بعدد</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من الأدل</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ة، نذكر منها: </w:t>
      </w:r>
    </w:p>
    <w:p w:rsidR="00421D5F"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hint="cs"/>
          <w:b/>
          <w:bCs/>
          <w:sz w:val="27"/>
          <w:szCs w:val="27"/>
          <w:rtl/>
          <w:lang w:bidi="ar-LB"/>
        </w:rPr>
        <w:t>1ـ روايات التدب</w:t>
      </w:r>
      <w:r w:rsidR="00167D9A" w:rsidRPr="006571AC">
        <w:rPr>
          <w:rFonts w:ascii="Arabic Typesetting" w:hAnsi="Arabic Typesetting" w:cs="AL-Mohanad" w:hint="cs"/>
          <w:b/>
          <w:bCs/>
          <w:sz w:val="27"/>
          <w:szCs w:val="27"/>
          <w:rtl/>
          <w:lang w:bidi="ar-LB"/>
        </w:rPr>
        <w:t>ُّ</w:t>
      </w:r>
      <w:r w:rsidRPr="006571AC">
        <w:rPr>
          <w:rFonts w:ascii="Arabic Typesetting" w:hAnsi="Arabic Typesetting" w:cs="AL-Mohanad" w:hint="cs"/>
          <w:b/>
          <w:bCs/>
          <w:sz w:val="27"/>
          <w:szCs w:val="27"/>
          <w:rtl/>
          <w:lang w:bidi="ar-LB"/>
        </w:rPr>
        <w:t>ر</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35"/>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فالتدبّ</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 في القرآن فرع فهمه، كما هو واضح</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B0CA4">
      <w:pPr>
        <w:pStyle w:val="af"/>
        <w:rPr>
          <w:rFonts w:ascii="Arabic Typesetting" w:hAnsi="Arabic Typesetting" w:cs="AL-Mohanad"/>
          <w:b/>
          <w:sz w:val="27"/>
          <w:szCs w:val="27"/>
          <w:rtl/>
          <w:lang w:bidi="ar-LB"/>
        </w:rPr>
      </w:pPr>
      <w:r w:rsidRPr="006571AC">
        <w:rPr>
          <w:rFonts w:ascii="Arabic Typesetting" w:hAnsi="Arabic Typesetting" w:cs="AL-Mohanad" w:hint="cs"/>
          <w:bCs/>
          <w:sz w:val="27"/>
          <w:szCs w:val="27"/>
          <w:rtl/>
          <w:lang w:bidi="ar-LB"/>
        </w:rPr>
        <w:t>2ـ هدف القرآن</w:t>
      </w:r>
      <w:r w:rsidRPr="006571AC">
        <w:rPr>
          <w:rFonts w:ascii="Arabic Typesetting" w:hAnsi="Arabic Typesetting" w:cs="AL-Mohanad" w:hint="cs"/>
          <w:b/>
          <w:sz w:val="27"/>
          <w:szCs w:val="27"/>
          <w:rtl/>
          <w:lang w:bidi="ar-LB"/>
        </w:rPr>
        <w:t>: يعتقد الشهيد الصدر أن التأم</w:t>
      </w:r>
      <w:r w:rsidR="00167D9A" w:rsidRPr="006571AC">
        <w:rPr>
          <w:rFonts w:ascii="Arabic Typesetting" w:hAnsi="Arabic Typesetting" w:cs="AL-Mohanad" w:hint="cs"/>
          <w:b/>
          <w:sz w:val="27"/>
          <w:szCs w:val="27"/>
          <w:rtl/>
          <w:lang w:bidi="ar-LB"/>
        </w:rPr>
        <w:t>ُّ</w:t>
      </w:r>
      <w:r w:rsidRPr="006571AC">
        <w:rPr>
          <w:rFonts w:ascii="Arabic Typesetting" w:hAnsi="Arabic Typesetting" w:cs="AL-Mohanad" w:hint="cs"/>
          <w:b/>
          <w:sz w:val="27"/>
          <w:szCs w:val="27"/>
          <w:rtl/>
          <w:lang w:bidi="ar-LB"/>
        </w:rPr>
        <w:t>ل في أهداف القرآن الكريم ورسالته يُفضي إلى ضرورة أن يكون هذا الكتاب</w:t>
      </w:r>
      <w:r w:rsidR="00167D9A" w:rsidRPr="006571AC">
        <w:rPr>
          <w:rFonts w:ascii="Arabic Typesetting" w:hAnsi="Arabic Typesetting" w:cs="AL-Mohanad" w:hint="cs"/>
          <w:b/>
          <w:sz w:val="27"/>
          <w:szCs w:val="27"/>
          <w:rtl/>
          <w:lang w:bidi="ar-LB"/>
        </w:rPr>
        <w:t>ُ</w:t>
      </w:r>
      <w:r w:rsidRPr="006571AC">
        <w:rPr>
          <w:rFonts w:ascii="Arabic Typesetting" w:hAnsi="Arabic Typesetting" w:cs="AL-Mohanad" w:hint="cs"/>
          <w:b/>
          <w:sz w:val="27"/>
          <w:szCs w:val="27"/>
          <w:rtl/>
          <w:lang w:bidi="ar-LB"/>
        </w:rPr>
        <w:t xml:space="preserve"> السماوي</w:t>
      </w:r>
      <w:r w:rsidR="00167D9A" w:rsidRPr="006571AC">
        <w:rPr>
          <w:rFonts w:ascii="Arabic Typesetting" w:hAnsi="Arabic Typesetting" w:cs="AL-Mohanad" w:hint="cs"/>
          <w:b/>
          <w:sz w:val="27"/>
          <w:szCs w:val="27"/>
          <w:rtl/>
          <w:lang w:bidi="ar-LB"/>
        </w:rPr>
        <w:t>ّ</w:t>
      </w:r>
      <w:r w:rsidRPr="006571AC">
        <w:rPr>
          <w:rFonts w:ascii="Arabic Typesetting" w:hAnsi="Arabic Typesetting" w:cs="AL-Mohanad" w:hint="cs"/>
          <w:b/>
          <w:sz w:val="27"/>
          <w:szCs w:val="27"/>
          <w:rtl/>
          <w:lang w:bidi="ar-LB"/>
        </w:rPr>
        <w:t xml:space="preserve"> ممكنَ الفهم</w:t>
      </w:r>
      <w:r w:rsidRPr="006571AC">
        <w:rPr>
          <w:rFonts w:ascii="Arabic Typesetting" w:hAnsi="Arabic Typesetting" w:cs="AL-Mohanad" w:hint="cs"/>
          <w:b/>
          <w:sz w:val="27"/>
          <w:szCs w:val="27"/>
          <w:vertAlign w:val="superscript"/>
          <w:rtl/>
          <w:lang w:bidi="ar-LB"/>
        </w:rPr>
        <w:t>(</w:t>
      </w:r>
      <w:r w:rsidRPr="006571AC">
        <w:rPr>
          <w:rStyle w:val="ac"/>
          <w:rFonts w:ascii="Arabic Typesetting" w:hAnsi="Arabic Typesetting" w:cs="AL-Mohanad" w:hint="cs"/>
          <w:b/>
          <w:sz w:val="27"/>
          <w:szCs w:val="27"/>
          <w:rtl/>
          <w:lang w:bidi="ar-LB"/>
        </w:rPr>
        <w:endnoteReference w:id="536"/>
      </w:r>
      <w:r w:rsidRPr="006571AC">
        <w:rPr>
          <w:rFonts w:ascii="Arabic Typesetting" w:hAnsi="Arabic Typesetting" w:cs="AL-Mohanad" w:hint="cs"/>
          <w:b/>
          <w:sz w:val="27"/>
          <w:szCs w:val="27"/>
          <w:vertAlign w:val="superscript"/>
          <w:rtl/>
          <w:lang w:bidi="ar-LB"/>
        </w:rPr>
        <w:t>)</w:t>
      </w:r>
      <w:r w:rsidRPr="006571AC">
        <w:rPr>
          <w:rFonts w:ascii="Arabic Typesetting" w:hAnsi="Arabic Typesetting" w:cs="AL-Mohanad" w:hint="cs"/>
          <w:b/>
          <w:sz w:val="27"/>
          <w:szCs w:val="27"/>
          <w:rtl/>
          <w:lang w:bidi="ar-LB"/>
        </w:rPr>
        <w:t xml:space="preserve">. </w:t>
      </w:r>
    </w:p>
    <w:p w:rsidR="008D51F3" w:rsidRPr="006571AC" w:rsidRDefault="008D51F3" w:rsidP="005B0CA4">
      <w:pPr>
        <w:pStyle w:val="af1"/>
        <w:spacing w:after="0" w:line="400" w:lineRule="exact"/>
        <w:ind w:left="0" w:firstLine="567"/>
        <w:jc w:val="both"/>
        <w:rPr>
          <w:rFonts w:ascii="Arabic Typesetting" w:hAnsi="Arabic Typesetting" w:cs="AL-Mohanad"/>
          <w:b/>
          <w:bCs/>
          <w:sz w:val="27"/>
          <w:szCs w:val="27"/>
          <w:lang w:bidi="ar-LB"/>
        </w:rPr>
      </w:pPr>
      <w:r w:rsidRPr="006571AC">
        <w:rPr>
          <w:rFonts w:ascii="Arabic Typesetting" w:hAnsi="Arabic Typesetting" w:cs="AL-Mohanad" w:hint="cs"/>
          <w:b/>
          <w:bCs/>
          <w:sz w:val="27"/>
          <w:szCs w:val="27"/>
          <w:rtl/>
          <w:lang w:bidi="ar-LB"/>
        </w:rPr>
        <w:t>3ـ إعجاب البلغاء العرب بالقرآن الكريم</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37"/>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w:t>
      </w:r>
      <w:r w:rsidR="00BB6DD6" w:rsidRPr="006571AC">
        <w:rPr>
          <w:rFonts w:ascii="Arabic Typesetting" w:hAnsi="Arabic Typesetting" w:cs="AL-Mohanad" w:hint="cs"/>
          <w:sz w:val="27"/>
          <w:szCs w:val="27"/>
          <w:rtl/>
          <w:lang w:bidi="ar-LB"/>
        </w:rPr>
        <w:t>و</w:t>
      </w:r>
      <w:r w:rsidRPr="006571AC">
        <w:rPr>
          <w:rFonts w:ascii="Arabic Typesetting" w:hAnsi="Arabic Typesetting" w:cs="AL-Mohanad" w:hint="cs"/>
          <w:sz w:val="27"/>
          <w:szCs w:val="27"/>
          <w:rtl/>
          <w:lang w:bidi="ar-LB"/>
        </w:rPr>
        <w:t xml:space="preserve">هذا فرع فهمهم للقرآن الكريم، ولو في الجملة. </w:t>
      </w:r>
    </w:p>
    <w:p w:rsidR="008D51F3" w:rsidRPr="006571AC" w:rsidRDefault="008D51F3" w:rsidP="005B0CA4">
      <w:pPr>
        <w:pStyle w:val="af1"/>
        <w:spacing w:after="0" w:line="400" w:lineRule="exact"/>
        <w:ind w:left="0" w:firstLine="567"/>
        <w:jc w:val="both"/>
        <w:rPr>
          <w:rFonts w:ascii="Arabic Typesetting" w:hAnsi="Arabic Typesetting" w:cs="AL-Mohanad"/>
          <w:b/>
          <w:bCs/>
          <w:sz w:val="27"/>
          <w:szCs w:val="27"/>
          <w:lang w:bidi="ar-LB"/>
        </w:rPr>
      </w:pPr>
      <w:r w:rsidRPr="006571AC">
        <w:rPr>
          <w:rFonts w:ascii="Arabic Typesetting" w:hAnsi="Arabic Typesetting" w:cs="AL-Mohanad" w:hint="cs"/>
          <w:b/>
          <w:bCs/>
          <w:sz w:val="27"/>
          <w:szCs w:val="27"/>
          <w:rtl/>
          <w:lang w:bidi="ar-LB"/>
        </w:rPr>
        <w:t>4ـ روايات العرض على القرآن الكريم</w:t>
      </w:r>
      <w:r w:rsidRPr="006571AC">
        <w:rPr>
          <w:rFonts w:ascii="Arabic Typesetting" w:hAnsi="Arabic Typesetting" w:cs="AL-Mohanad" w:hint="cs"/>
          <w:sz w:val="27"/>
          <w:szCs w:val="27"/>
          <w:vertAlign w:val="superscript"/>
          <w:rtl/>
          <w:lang w:bidi="ar-LB"/>
        </w:rPr>
        <w:t>(</w:t>
      </w:r>
      <w:r w:rsidRPr="006571AC">
        <w:rPr>
          <w:rStyle w:val="ac"/>
          <w:rFonts w:ascii="Arabic Typesetting" w:hAnsi="Arabic Typesetting" w:cs="AL-Mohanad" w:hint="cs"/>
          <w:sz w:val="27"/>
          <w:szCs w:val="27"/>
          <w:rtl/>
          <w:lang w:bidi="ar-LB"/>
        </w:rPr>
        <w:endnoteReference w:id="538"/>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فعرض</w:t>
      </w:r>
      <w:r w:rsidR="00BB6DD6"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الرواية على القرآن الكريم</w:t>
      </w:r>
      <w:r w:rsidR="00BB6DD6"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للأخذ بما يوافقه وردّ ما يخالفه</w:t>
      </w:r>
      <w:r w:rsidR="00BB6DD6"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فرعُ إمكان فهم القرآن الكريم. </w:t>
      </w:r>
    </w:p>
    <w:p w:rsidR="008D51F3" w:rsidRPr="006571AC" w:rsidRDefault="008D51F3" w:rsidP="00AF77EB">
      <w:pPr>
        <w:rPr>
          <w:rFonts w:ascii="Arabic Typesetting" w:hAnsi="Arabic Typesetting"/>
          <w:sz w:val="27"/>
          <w:rtl/>
          <w:lang w:bidi="ar-LB"/>
        </w:rPr>
      </w:pPr>
      <w:r w:rsidRPr="006571AC">
        <w:rPr>
          <w:rFonts w:ascii="Arabic Typesetting" w:hAnsi="Arabic Typesetting" w:hint="cs"/>
          <w:sz w:val="27"/>
          <w:rtl/>
          <w:lang w:bidi="ar-LB"/>
        </w:rPr>
        <w:t>نعم، قد يُدّ</w:t>
      </w:r>
      <w:r w:rsidR="00BB6DD6"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عى وجود مانعين في المقام، يمنعاننا من فهم الروايات ـ بل بعض الآيات القرآنية </w:t>
      </w:r>
      <w:r w:rsidR="00BB6DD6" w:rsidRPr="006571AC">
        <w:rPr>
          <w:rFonts w:ascii="Arabic Typesetting" w:hAnsi="Arabic Typesetting" w:hint="cs"/>
          <w:sz w:val="27"/>
          <w:rtl/>
          <w:lang w:bidi="ar-LB"/>
        </w:rPr>
        <w:t xml:space="preserve">أيضاً </w:t>
      </w:r>
      <w:r w:rsidRPr="006571AC">
        <w:rPr>
          <w:rFonts w:ascii="Arabic Typesetting" w:hAnsi="Arabic Typesetting" w:hint="cs"/>
          <w:sz w:val="27"/>
          <w:rtl/>
          <w:lang w:bidi="ar-LB"/>
        </w:rPr>
        <w:t>ـ</w:t>
      </w:r>
      <w:r w:rsidR="00BB6DD6"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وهما: اختصاص الفهم بم</w:t>
      </w:r>
      <w:r w:rsidR="00BB6DD6" w:rsidRPr="006571AC">
        <w:rPr>
          <w:rFonts w:ascii="Arabic Typesetting" w:hAnsi="Arabic Typesetting" w:hint="cs"/>
          <w:sz w:val="27"/>
          <w:rtl/>
          <w:lang w:bidi="ar-LB"/>
        </w:rPr>
        <w:t>َ</w:t>
      </w:r>
      <w:r w:rsidRPr="006571AC">
        <w:rPr>
          <w:rFonts w:ascii="Arabic Typesetting" w:hAnsi="Arabic Typesetting" w:hint="cs"/>
          <w:sz w:val="27"/>
          <w:rtl/>
          <w:lang w:bidi="ar-LB"/>
        </w:rPr>
        <w:t>ن</w:t>
      </w:r>
      <w:r w:rsidR="00BB6DD6"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قُصد إفهامه</w:t>
      </w:r>
      <w:r w:rsidR="00AF77E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واختصاص الفهم بالمعاصر لزمن صدور النص</w:t>
      </w:r>
      <w:r w:rsidR="00BB6DD6"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hint="cs"/>
          <w:b/>
          <w:bCs/>
          <w:sz w:val="27"/>
          <w:rtl/>
          <w:lang w:bidi="ar-LB"/>
        </w:rPr>
        <w:t>أم</w:t>
      </w:r>
      <w:r w:rsidR="00BB6DD6" w:rsidRPr="006571AC">
        <w:rPr>
          <w:rFonts w:ascii="Arabic Typesetting" w:hAnsi="Arabic Typesetting" w:hint="cs"/>
          <w:b/>
          <w:bCs/>
          <w:sz w:val="27"/>
          <w:rtl/>
          <w:lang w:bidi="ar-LB"/>
        </w:rPr>
        <w:t>ّ</w:t>
      </w:r>
      <w:r w:rsidRPr="006571AC">
        <w:rPr>
          <w:rFonts w:ascii="Arabic Typesetting" w:hAnsi="Arabic Typesetting" w:hint="cs"/>
          <w:b/>
          <w:bCs/>
          <w:sz w:val="27"/>
          <w:rtl/>
          <w:lang w:bidi="ar-LB"/>
        </w:rPr>
        <w:t>ا المانع الأو</w:t>
      </w:r>
      <w:r w:rsidR="00BB6DD6" w:rsidRPr="006571AC">
        <w:rPr>
          <w:rFonts w:ascii="Arabic Typesetting" w:hAnsi="Arabic Typesetting" w:hint="cs"/>
          <w:b/>
          <w:bCs/>
          <w:sz w:val="27"/>
          <w:rtl/>
          <w:lang w:bidi="ar-LB"/>
        </w:rPr>
        <w:t>ّ</w:t>
      </w:r>
      <w:r w:rsidRPr="006571AC">
        <w:rPr>
          <w:rFonts w:ascii="Arabic Typesetting" w:hAnsi="Arabic Typesetting" w:hint="cs"/>
          <w:b/>
          <w:bCs/>
          <w:sz w:val="27"/>
          <w:rtl/>
          <w:lang w:bidi="ar-LB"/>
        </w:rPr>
        <w:t>ل</w:t>
      </w:r>
      <w:r w:rsidRPr="006571AC">
        <w:rPr>
          <w:rFonts w:ascii="Arabic Typesetting" w:hAnsi="Arabic Typesetting" w:hint="cs"/>
          <w:sz w:val="27"/>
          <w:rtl/>
          <w:lang w:bidi="ar-LB"/>
        </w:rPr>
        <w:t xml:space="preserve"> فقد تجاوزه الشهيد الصدر من خلال </w:t>
      </w:r>
      <w:r w:rsidRPr="006571AC">
        <w:rPr>
          <w:rFonts w:ascii="Arabic Typesetting" w:hAnsi="Arabic Typesetting" w:hint="cs"/>
          <w:sz w:val="27"/>
          <w:rtl/>
        </w:rPr>
        <w:t>استعراض مناشئ الشك</w:t>
      </w:r>
      <w:r w:rsidR="00BB6DD6" w:rsidRPr="006571AC">
        <w:rPr>
          <w:rFonts w:ascii="Arabic Typesetting" w:hAnsi="Arabic Typesetting" w:hint="cs"/>
          <w:sz w:val="27"/>
          <w:rtl/>
        </w:rPr>
        <w:t>ّ</w:t>
      </w:r>
      <w:r w:rsidRPr="006571AC">
        <w:rPr>
          <w:rFonts w:ascii="Arabic Typesetting" w:hAnsi="Arabic Typesetting" w:hint="cs"/>
          <w:sz w:val="27"/>
          <w:rtl/>
        </w:rPr>
        <w:t xml:space="preserve"> بالنسبة </w:t>
      </w:r>
      <w:r w:rsidR="00BB6DD6" w:rsidRPr="006571AC">
        <w:rPr>
          <w:rFonts w:ascii="Arabic Typesetting" w:hAnsi="Arabic Typesetting" w:hint="cs"/>
          <w:sz w:val="27"/>
          <w:rtl/>
        </w:rPr>
        <w:t xml:space="preserve">إلى </w:t>
      </w:r>
      <w:r w:rsidRPr="006571AC">
        <w:rPr>
          <w:rFonts w:ascii="Arabic Typesetting" w:hAnsi="Arabic Typesetting" w:hint="cs"/>
          <w:sz w:val="27"/>
          <w:rtl/>
        </w:rPr>
        <w:t>غير المقصود بالإفهام في مراد المتكلّ</w:t>
      </w:r>
      <w:r w:rsidR="00F44575" w:rsidRPr="006571AC">
        <w:rPr>
          <w:rFonts w:ascii="Arabic Typesetting" w:hAnsi="Arabic Typesetting" w:hint="cs"/>
          <w:sz w:val="27"/>
          <w:rtl/>
        </w:rPr>
        <w:t>ِ</w:t>
      </w:r>
      <w:r w:rsidRPr="006571AC">
        <w:rPr>
          <w:rFonts w:ascii="Arabic Typesetting" w:hAnsi="Arabic Typesetting" w:hint="cs"/>
          <w:sz w:val="27"/>
          <w:rtl/>
        </w:rPr>
        <w:t xml:space="preserve">م. فبعد أن استعرض الشهيد خمسة </w:t>
      </w:r>
      <w:r w:rsidRPr="006571AC">
        <w:rPr>
          <w:rFonts w:ascii="Arabic Typesetting" w:hAnsi="Arabic Typesetting" w:hint="cs"/>
          <w:sz w:val="27"/>
          <w:rtl/>
        </w:rPr>
        <w:lastRenderedPageBreak/>
        <w:t>مناشئ للشك</w:t>
      </w:r>
      <w:r w:rsidR="00F44575" w:rsidRPr="006571AC">
        <w:rPr>
          <w:rFonts w:ascii="Arabic Typesetting" w:hAnsi="Arabic Typesetting" w:hint="cs"/>
          <w:sz w:val="27"/>
          <w:rtl/>
        </w:rPr>
        <w:t>ّ</w:t>
      </w:r>
      <w:r w:rsidRPr="006571AC">
        <w:rPr>
          <w:rFonts w:ascii="Arabic Typesetting" w:hAnsi="Arabic Typesetting" w:hint="cs"/>
          <w:sz w:val="27"/>
          <w:rtl/>
        </w:rPr>
        <w:t>، ذهب إلى أن حج</w:t>
      </w:r>
      <w:r w:rsidR="00F44575" w:rsidRPr="006571AC">
        <w:rPr>
          <w:rFonts w:ascii="Arabic Typesetting" w:hAnsi="Arabic Typesetting" w:hint="cs"/>
          <w:sz w:val="27"/>
          <w:rtl/>
        </w:rPr>
        <w:t>ِّ</w:t>
      </w:r>
      <w:r w:rsidRPr="006571AC">
        <w:rPr>
          <w:rFonts w:ascii="Arabic Typesetting" w:hAnsi="Arabic Typesetting" w:hint="cs"/>
          <w:sz w:val="27"/>
          <w:rtl/>
        </w:rPr>
        <w:t xml:space="preserve">ية الظهور بالنسبة </w:t>
      </w:r>
      <w:r w:rsidR="00F44575" w:rsidRPr="006571AC">
        <w:rPr>
          <w:rFonts w:ascii="Arabic Typesetting" w:hAnsi="Arabic Typesetting" w:hint="cs"/>
          <w:sz w:val="27"/>
          <w:rtl/>
        </w:rPr>
        <w:t xml:space="preserve">إلى </w:t>
      </w:r>
      <w:r w:rsidRPr="006571AC">
        <w:rPr>
          <w:rFonts w:ascii="Arabic Typesetting" w:hAnsi="Arabic Typesetting" w:hint="cs"/>
          <w:sz w:val="27"/>
          <w:rtl/>
        </w:rPr>
        <w:t>غير السامع ممّ</w:t>
      </w:r>
      <w:r w:rsidR="00F44575" w:rsidRPr="006571AC">
        <w:rPr>
          <w:rFonts w:ascii="Arabic Typesetting" w:hAnsi="Arabic Typesetting" w:hint="cs"/>
          <w:sz w:val="27"/>
          <w:rtl/>
        </w:rPr>
        <w:t>َ</w:t>
      </w:r>
      <w:r w:rsidRPr="006571AC">
        <w:rPr>
          <w:rFonts w:ascii="Arabic Typesetting" w:hAnsi="Arabic Typesetting" w:hint="cs"/>
          <w:sz w:val="27"/>
          <w:rtl/>
        </w:rPr>
        <w:t>ن</w:t>
      </w:r>
      <w:r w:rsidR="00F44575" w:rsidRPr="006571AC">
        <w:rPr>
          <w:rFonts w:ascii="Arabic Typesetting" w:hAnsi="Arabic Typesetting" w:hint="cs"/>
          <w:sz w:val="27"/>
          <w:rtl/>
        </w:rPr>
        <w:t>ْ</w:t>
      </w:r>
      <w:r w:rsidRPr="006571AC">
        <w:rPr>
          <w:rFonts w:ascii="Arabic Typesetting" w:hAnsi="Arabic Typesetting" w:hint="cs"/>
          <w:sz w:val="27"/>
          <w:rtl/>
        </w:rPr>
        <w:t xml:space="preserve"> لم يقصد إفهامه متوق</w:t>
      </w:r>
      <w:r w:rsidR="00F44575" w:rsidRPr="006571AC">
        <w:rPr>
          <w:rFonts w:ascii="Arabic Typesetting" w:hAnsi="Arabic Typesetting" w:hint="cs"/>
          <w:sz w:val="27"/>
          <w:rtl/>
        </w:rPr>
        <w:t>ِّ</w:t>
      </w:r>
      <w:r w:rsidRPr="006571AC">
        <w:rPr>
          <w:rFonts w:ascii="Arabic Typesetting" w:hAnsi="Arabic Typesetting" w:hint="cs"/>
          <w:sz w:val="27"/>
          <w:rtl/>
        </w:rPr>
        <w:t>فةٌ على إبراز حيثيات كشف</w:t>
      </w:r>
      <w:r w:rsidR="00F44575" w:rsidRPr="006571AC">
        <w:rPr>
          <w:rFonts w:ascii="Arabic Typesetting" w:hAnsi="Arabic Typesetting" w:hint="cs"/>
          <w:sz w:val="27"/>
          <w:rtl/>
        </w:rPr>
        <w:t>ٍ</w:t>
      </w:r>
      <w:r w:rsidRPr="006571AC">
        <w:rPr>
          <w:rFonts w:ascii="Arabic Typesetting" w:hAnsi="Arabic Typesetting" w:hint="cs"/>
          <w:sz w:val="27"/>
          <w:rtl/>
        </w:rPr>
        <w:t xml:space="preserve"> مبرّ</w:t>
      </w:r>
      <w:r w:rsidR="00F44575" w:rsidRPr="006571AC">
        <w:rPr>
          <w:rFonts w:ascii="Arabic Typesetting" w:hAnsi="Arabic Typesetting" w:hint="cs"/>
          <w:sz w:val="27"/>
          <w:rtl/>
        </w:rPr>
        <w:t>َ</w:t>
      </w:r>
      <w:r w:rsidRPr="006571AC">
        <w:rPr>
          <w:rFonts w:ascii="Arabic Typesetting" w:hAnsi="Arabic Typesetting" w:hint="cs"/>
          <w:sz w:val="27"/>
          <w:rtl/>
        </w:rPr>
        <w:t>رة عند العقلاء</w:t>
      </w:r>
      <w:r w:rsidR="00F44575" w:rsidRPr="006571AC">
        <w:rPr>
          <w:rFonts w:ascii="Arabic Typesetting" w:hAnsi="Arabic Typesetting" w:hint="cs"/>
          <w:sz w:val="27"/>
          <w:rtl/>
        </w:rPr>
        <w:t>؛</w:t>
      </w:r>
      <w:r w:rsidRPr="006571AC">
        <w:rPr>
          <w:rFonts w:ascii="Arabic Typesetting" w:hAnsi="Arabic Typesetting" w:hint="cs"/>
          <w:sz w:val="27"/>
          <w:rtl/>
        </w:rPr>
        <w:t xml:space="preserve"> لنفي تلك الاحتمالات الخمسة بشأنه، ولا يكفي مجرّد القول بالرجوع إلى أصالة عدم القرينة</w:t>
      </w:r>
      <w:r w:rsidR="00F44575" w:rsidRPr="006571AC">
        <w:rPr>
          <w:rFonts w:ascii="Arabic Typesetting" w:hAnsi="Arabic Typesetting" w:hint="cs"/>
          <w:sz w:val="27"/>
          <w:rtl/>
        </w:rPr>
        <w:t>،</w:t>
      </w:r>
      <w:r w:rsidRPr="006571AC">
        <w:rPr>
          <w:rFonts w:ascii="Arabic Typesetting" w:hAnsi="Arabic Typesetting" w:hint="cs"/>
          <w:sz w:val="27"/>
          <w:rtl/>
        </w:rPr>
        <w:t xml:space="preserve"> من دون إبراز تلك الحيثي</w:t>
      </w:r>
      <w:r w:rsidR="00F44575" w:rsidRPr="006571AC">
        <w:rPr>
          <w:rFonts w:ascii="Arabic Typesetting" w:hAnsi="Arabic Typesetting" w:hint="cs"/>
          <w:sz w:val="27"/>
          <w:rtl/>
        </w:rPr>
        <w:t>ّ</w:t>
      </w:r>
      <w:r w:rsidRPr="006571AC">
        <w:rPr>
          <w:rFonts w:ascii="Arabic Typesetting" w:hAnsi="Arabic Typesetting" w:hint="cs"/>
          <w:sz w:val="27"/>
          <w:rtl/>
        </w:rPr>
        <w:t>ات؛ وهذه الحيثي</w:t>
      </w:r>
      <w:r w:rsidR="00F44575" w:rsidRPr="006571AC">
        <w:rPr>
          <w:rFonts w:ascii="Arabic Typesetting" w:hAnsi="Arabic Typesetting" w:hint="cs"/>
          <w:sz w:val="27"/>
          <w:rtl/>
        </w:rPr>
        <w:t>ّ</w:t>
      </w:r>
      <w:r w:rsidRPr="006571AC">
        <w:rPr>
          <w:rFonts w:ascii="Arabic Typesetting" w:hAnsi="Arabic Typesetting" w:hint="cs"/>
          <w:sz w:val="27"/>
          <w:rtl/>
        </w:rPr>
        <w:t>ات موجودة</w:t>
      </w:r>
      <w:r w:rsidR="00F44575" w:rsidRPr="006571AC">
        <w:rPr>
          <w:rFonts w:ascii="Arabic Typesetting" w:hAnsi="Arabic Typesetting" w:hint="cs"/>
          <w:sz w:val="27"/>
          <w:rtl/>
        </w:rPr>
        <w:t>ٌ</w:t>
      </w:r>
      <w:r w:rsidRPr="006571AC">
        <w:rPr>
          <w:rFonts w:ascii="Arabic Typesetting" w:hAnsi="Arabic Typesetting" w:hint="cs"/>
          <w:sz w:val="27"/>
          <w:rtl/>
        </w:rPr>
        <w:t xml:space="preserve"> فعلاً في كل</w:t>
      </w:r>
      <w:r w:rsidR="00F44575" w:rsidRPr="006571AC">
        <w:rPr>
          <w:rFonts w:ascii="Arabic Typesetting" w:hAnsi="Arabic Typesetting" w:hint="cs"/>
          <w:sz w:val="27"/>
          <w:rtl/>
        </w:rPr>
        <w:t>ّ</w:t>
      </w:r>
      <w:r w:rsidRPr="006571AC">
        <w:rPr>
          <w:rFonts w:ascii="Arabic Typesetting" w:hAnsi="Arabic Typesetting" w:hint="cs"/>
          <w:sz w:val="27"/>
          <w:rtl/>
        </w:rPr>
        <w:t xml:space="preserve"> واحد</w:t>
      </w:r>
      <w:r w:rsidR="00F44575" w:rsidRPr="006571AC">
        <w:rPr>
          <w:rFonts w:ascii="Arabic Typesetting" w:hAnsi="Arabic Typesetting" w:hint="cs"/>
          <w:sz w:val="27"/>
          <w:rtl/>
        </w:rPr>
        <w:t>ٍ</w:t>
      </w:r>
      <w:r w:rsidRPr="006571AC">
        <w:rPr>
          <w:rFonts w:ascii="Arabic Typesetting" w:hAnsi="Arabic Typesetting" w:hint="cs"/>
          <w:sz w:val="27"/>
          <w:rtl/>
        </w:rPr>
        <w:t xml:space="preserve"> من تلك الاحتمالات الخمسة. وقد بيّ</w:t>
      </w:r>
      <w:r w:rsidR="00F44575" w:rsidRPr="006571AC">
        <w:rPr>
          <w:rFonts w:ascii="Arabic Typesetting" w:hAnsi="Arabic Typesetting" w:hint="cs"/>
          <w:sz w:val="27"/>
          <w:rtl/>
        </w:rPr>
        <w:t>َ</w:t>
      </w:r>
      <w:r w:rsidRPr="006571AC">
        <w:rPr>
          <w:rFonts w:ascii="Arabic Typesetting" w:hAnsi="Arabic Typesetting" w:hint="cs"/>
          <w:sz w:val="27"/>
          <w:rtl/>
        </w:rPr>
        <w:t>ن ذلك مفصّ</w:t>
      </w:r>
      <w:r w:rsidR="00F44575" w:rsidRPr="006571AC">
        <w:rPr>
          <w:rFonts w:ascii="Arabic Typesetting" w:hAnsi="Arabic Typesetting" w:hint="cs"/>
          <w:sz w:val="27"/>
          <w:rtl/>
        </w:rPr>
        <w:t>َ</w:t>
      </w:r>
      <w:r w:rsidRPr="006571AC">
        <w:rPr>
          <w:rFonts w:ascii="Arabic Typesetting" w:hAnsi="Arabic Typesetting" w:hint="cs"/>
          <w:sz w:val="27"/>
          <w:rtl/>
        </w:rPr>
        <w:t>لا</w:t>
      </w:r>
      <w:r w:rsidR="00F44575" w:rsidRPr="006571AC">
        <w:rPr>
          <w:rFonts w:ascii="Arabic Typesetting" w:hAnsi="Arabic Typesetting" w:hint="cs"/>
          <w:sz w:val="27"/>
          <w:rtl/>
        </w:rPr>
        <w:t>ً</w:t>
      </w:r>
      <w:r w:rsidRPr="006571AC">
        <w:rPr>
          <w:rFonts w:ascii="Arabic Typesetting" w:hAnsi="Arabic Typesetting" w:hint="cs"/>
          <w:sz w:val="27"/>
          <w:rtl/>
        </w:rPr>
        <w:t xml:space="preserve"> في بحوثه الأصولية</w:t>
      </w:r>
      <w:r w:rsidRPr="006571AC">
        <w:rPr>
          <w:rFonts w:ascii="Arabic Typesetting" w:hAnsi="Arabic Typesetting" w:hint="cs"/>
          <w:sz w:val="27"/>
          <w:vertAlign w:val="superscript"/>
          <w:rtl/>
        </w:rPr>
        <w:t>(</w:t>
      </w:r>
      <w:r w:rsidRPr="006571AC">
        <w:rPr>
          <w:rStyle w:val="ac"/>
          <w:rFonts w:ascii="Arabic Typesetting" w:hAnsi="Arabic Typesetting" w:hint="cs"/>
          <w:sz w:val="27"/>
          <w:rtl/>
        </w:rPr>
        <w:endnoteReference w:id="539"/>
      </w:r>
      <w:r w:rsidRPr="006571AC">
        <w:rPr>
          <w:rFonts w:ascii="Arabic Typesetting" w:hAnsi="Arabic Typesetting" w:hint="cs"/>
          <w:sz w:val="27"/>
          <w:vertAlign w:val="superscript"/>
          <w:rtl/>
        </w:rPr>
        <w:t>)</w:t>
      </w:r>
      <w:r w:rsidRPr="006571AC">
        <w:rPr>
          <w:rFonts w:ascii="Arabic Typesetting" w:hAnsi="Arabic Typesetting" w:hint="cs"/>
          <w:sz w:val="27"/>
          <w:rtl/>
        </w:rPr>
        <w:t xml:space="preserve">. </w:t>
      </w:r>
    </w:p>
    <w:p w:rsidR="008D51F3" w:rsidRPr="006571AC" w:rsidRDefault="008D51F3" w:rsidP="005B0CA4">
      <w:pPr>
        <w:rPr>
          <w:rFonts w:ascii="Arabic Typesetting" w:hAnsi="Arabic Typesetting"/>
          <w:sz w:val="27"/>
        </w:rPr>
      </w:pPr>
      <w:r w:rsidRPr="006571AC">
        <w:rPr>
          <w:rFonts w:ascii="Arabic Typesetting" w:hAnsi="Arabic Typesetting" w:hint="cs"/>
          <w:b/>
          <w:bCs/>
          <w:sz w:val="27"/>
          <w:rtl/>
        </w:rPr>
        <w:t>وأما المانع الثاني</w:t>
      </w:r>
      <w:r w:rsidRPr="006571AC">
        <w:rPr>
          <w:rFonts w:ascii="Arabic Typesetting" w:hAnsi="Arabic Typesetting" w:hint="cs"/>
          <w:sz w:val="27"/>
          <w:vertAlign w:val="superscript"/>
          <w:rtl/>
        </w:rPr>
        <w:t>(</w:t>
      </w:r>
      <w:r w:rsidRPr="006571AC">
        <w:rPr>
          <w:rStyle w:val="ac"/>
          <w:rFonts w:ascii="Arabic Typesetting" w:hAnsi="Arabic Typesetting" w:hint="cs"/>
          <w:sz w:val="27"/>
          <w:rtl/>
        </w:rPr>
        <w:endnoteReference w:id="540"/>
      </w:r>
      <w:r w:rsidRPr="006571AC">
        <w:rPr>
          <w:rFonts w:ascii="Arabic Typesetting" w:hAnsi="Arabic Typesetting" w:hint="cs"/>
          <w:sz w:val="27"/>
          <w:vertAlign w:val="superscript"/>
          <w:rtl/>
        </w:rPr>
        <w:t>)</w:t>
      </w:r>
      <w:r w:rsidR="00BB6DD6" w:rsidRPr="006571AC">
        <w:rPr>
          <w:rFonts w:ascii="Arabic Typesetting" w:hAnsi="Arabic Typesetting" w:hint="cs"/>
          <w:sz w:val="27"/>
          <w:rtl/>
        </w:rPr>
        <w:t xml:space="preserve"> </w:t>
      </w:r>
      <w:r w:rsidRPr="006571AC">
        <w:rPr>
          <w:rFonts w:ascii="Arabic Typesetting" w:hAnsi="Arabic Typesetting" w:hint="cs"/>
          <w:sz w:val="27"/>
          <w:rtl/>
        </w:rPr>
        <w:t xml:space="preserve">فلمّا كان </w:t>
      </w:r>
      <w:r w:rsidRPr="006571AC">
        <w:rPr>
          <w:rFonts w:ascii="Arabic Typesetting" w:hAnsi="Arabic Typesetting" w:hint="cs"/>
          <w:sz w:val="27"/>
          <w:shd w:val="clear" w:color="auto" w:fill="FFFFFF"/>
          <w:rtl/>
        </w:rPr>
        <w:t>الهدف هو استكشاف معنى النص</w:t>
      </w:r>
      <w:r w:rsidR="00F4457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في عصر صدور الخطاب، لا في عصر الوصول، حاول الأصوليون التوسّ</w:t>
      </w:r>
      <w:r w:rsidR="00F4457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ل بأصالة عدم النقل</w:t>
      </w:r>
      <w:r w:rsidR="00F4457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للإجابة عن هذا المانع. </w:t>
      </w:r>
      <w:r w:rsidRPr="006571AC">
        <w:rPr>
          <w:rFonts w:ascii="Arabic Typesetting" w:hAnsi="Arabic Typesetting" w:hint="cs"/>
          <w:sz w:val="27"/>
          <w:rtl/>
        </w:rPr>
        <w:t>لكن</w:t>
      </w:r>
      <w:r w:rsidR="00F44575" w:rsidRPr="006571AC">
        <w:rPr>
          <w:rFonts w:ascii="Arabic Typesetting" w:hAnsi="Arabic Typesetting" w:hint="cs"/>
          <w:sz w:val="27"/>
          <w:rtl/>
        </w:rPr>
        <w:t>ّ</w:t>
      </w:r>
      <w:r w:rsidRPr="006571AC">
        <w:rPr>
          <w:rFonts w:ascii="Arabic Typesetting" w:hAnsi="Arabic Typesetting" w:hint="cs"/>
          <w:sz w:val="27"/>
          <w:rtl/>
        </w:rPr>
        <w:t xml:space="preserve"> الشهيد الصدر طرح </w:t>
      </w:r>
      <w:r w:rsidRPr="006571AC">
        <w:rPr>
          <w:rFonts w:hint="cs"/>
          <w:sz w:val="24"/>
          <w:szCs w:val="24"/>
          <w:rtl/>
        </w:rPr>
        <w:t>«</w:t>
      </w:r>
      <w:r w:rsidRPr="006571AC">
        <w:rPr>
          <w:rFonts w:ascii="Arabic Typesetting" w:hAnsi="Arabic Typesetting" w:hint="cs"/>
          <w:sz w:val="27"/>
          <w:rtl/>
        </w:rPr>
        <w:t>أصالة عدم التغيّ</w:t>
      </w:r>
      <w:r w:rsidR="00F44575" w:rsidRPr="006571AC">
        <w:rPr>
          <w:rFonts w:ascii="Arabic Typesetting" w:hAnsi="Arabic Typesetting" w:hint="cs"/>
          <w:sz w:val="27"/>
          <w:rtl/>
        </w:rPr>
        <w:t>ُ</w:t>
      </w:r>
      <w:r w:rsidRPr="006571AC">
        <w:rPr>
          <w:rFonts w:ascii="Arabic Typesetting" w:hAnsi="Arabic Typesetting" w:hint="cs"/>
          <w:sz w:val="27"/>
          <w:rtl/>
        </w:rPr>
        <w:t>ر في اللغة</w:t>
      </w:r>
      <w:r w:rsidRPr="006571AC">
        <w:rPr>
          <w:rFonts w:hint="cs"/>
          <w:sz w:val="24"/>
          <w:szCs w:val="24"/>
          <w:rtl/>
        </w:rPr>
        <w:t>»</w:t>
      </w:r>
      <w:r w:rsidRPr="006571AC">
        <w:rPr>
          <w:rFonts w:ascii="Arabic Typesetting" w:hAnsi="Arabic Typesetting" w:hint="cs"/>
          <w:sz w:val="27"/>
          <w:rtl/>
        </w:rPr>
        <w:t xml:space="preserve"> و</w:t>
      </w:r>
      <w:r w:rsidR="00F44575" w:rsidRPr="006571AC">
        <w:rPr>
          <w:rFonts w:hint="cs"/>
          <w:sz w:val="24"/>
          <w:szCs w:val="24"/>
          <w:rtl/>
        </w:rPr>
        <w:t>«</w:t>
      </w:r>
      <w:r w:rsidRPr="006571AC">
        <w:rPr>
          <w:rFonts w:ascii="Arabic Typesetting" w:hAnsi="Arabic Typesetting" w:hint="cs"/>
          <w:sz w:val="27"/>
          <w:rtl/>
        </w:rPr>
        <w:t>أصالة ثبات اللغة</w:t>
      </w:r>
      <w:r w:rsidRPr="006571AC">
        <w:rPr>
          <w:rFonts w:hint="cs"/>
          <w:sz w:val="24"/>
          <w:szCs w:val="24"/>
          <w:rtl/>
        </w:rPr>
        <w:t>»</w:t>
      </w:r>
      <w:r w:rsidRPr="006571AC">
        <w:rPr>
          <w:rFonts w:ascii="Arabic Typesetting" w:hAnsi="Arabic Typesetting" w:hint="cs"/>
          <w:sz w:val="27"/>
          <w:rtl/>
        </w:rPr>
        <w:t xml:space="preserve"> ب</w:t>
      </w:r>
      <w:r w:rsidR="00F44575" w:rsidRPr="006571AC">
        <w:rPr>
          <w:rFonts w:ascii="Arabic Typesetting" w:hAnsi="Arabic Typesetting" w:hint="cs"/>
          <w:sz w:val="27"/>
          <w:rtl/>
        </w:rPr>
        <w:t>َ</w:t>
      </w:r>
      <w:r w:rsidRPr="006571AC">
        <w:rPr>
          <w:rFonts w:ascii="Arabic Typesetting" w:hAnsi="Arabic Typesetting" w:hint="cs"/>
          <w:sz w:val="27"/>
          <w:rtl/>
        </w:rPr>
        <w:t>د</w:t>
      </w:r>
      <w:r w:rsidR="00F44575" w:rsidRPr="006571AC">
        <w:rPr>
          <w:rFonts w:ascii="Arabic Typesetting" w:hAnsi="Arabic Typesetting" w:hint="cs"/>
          <w:sz w:val="27"/>
          <w:rtl/>
        </w:rPr>
        <w:t>َ</w:t>
      </w:r>
      <w:r w:rsidRPr="006571AC">
        <w:rPr>
          <w:rFonts w:ascii="Arabic Typesetting" w:hAnsi="Arabic Typesetting" w:hint="cs"/>
          <w:sz w:val="27"/>
          <w:rtl/>
        </w:rPr>
        <w:t>لا</w:t>
      </w:r>
      <w:r w:rsidR="00F44575" w:rsidRPr="006571AC">
        <w:rPr>
          <w:rFonts w:ascii="Arabic Typesetting" w:hAnsi="Arabic Typesetting" w:hint="cs"/>
          <w:sz w:val="27"/>
          <w:rtl/>
        </w:rPr>
        <w:t>ً</w:t>
      </w:r>
      <w:r w:rsidRPr="006571AC">
        <w:rPr>
          <w:rFonts w:ascii="Arabic Typesetting" w:hAnsi="Arabic Typesetting" w:hint="cs"/>
          <w:sz w:val="27"/>
          <w:rtl/>
        </w:rPr>
        <w:t xml:space="preserve"> منها؛ فهي أنسب؛ لأنّ المتغيّ</w:t>
      </w:r>
      <w:r w:rsidR="00F44575" w:rsidRPr="006571AC">
        <w:rPr>
          <w:rFonts w:ascii="Arabic Typesetting" w:hAnsi="Arabic Typesetting" w:hint="cs"/>
          <w:sz w:val="27"/>
          <w:rtl/>
        </w:rPr>
        <w:t>ِ</w:t>
      </w:r>
      <w:r w:rsidRPr="006571AC">
        <w:rPr>
          <w:rFonts w:ascii="Arabic Typesetting" w:hAnsi="Arabic Typesetting" w:hint="cs"/>
          <w:sz w:val="27"/>
          <w:rtl/>
        </w:rPr>
        <w:t>ر في اللغة ليس فقط خصوص الظواهر الأفراديّة التي تنقل من معنى</w:t>
      </w:r>
      <w:r w:rsidR="00F44575" w:rsidRPr="006571AC">
        <w:rPr>
          <w:rFonts w:ascii="Arabic Typesetting" w:hAnsi="Arabic Typesetting" w:hint="cs"/>
          <w:sz w:val="27"/>
          <w:rtl/>
        </w:rPr>
        <w:t>ً</w:t>
      </w:r>
      <w:r w:rsidRPr="006571AC">
        <w:rPr>
          <w:rFonts w:ascii="Arabic Typesetting" w:hAnsi="Arabic Typesetting" w:hint="cs"/>
          <w:sz w:val="27"/>
          <w:rtl/>
        </w:rPr>
        <w:t xml:space="preserve"> إلى معنى</w:t>
      </w:r>
      <w:r w:rsidR="00F44575" w:rsidRPr="006571AC">
        <w:rPr>
          <w:rFonts w:ascii="Arabic Typesetting" w:hAnsi="Arabic Typesetting" w:hint="cs"/>
          <w:sz w:val="27"/>
          <w:rtl/>
        </w:rPr>
        <w:t>ً</w:t>
      </w:r>
      <w:r w:rsidRPr="006571AC">
        <w:rPr>
          <w:rFonts w:ascii="Arabic Typesetting" w:hAnsi="Arabic Typesetting" w:hint="cs"/>
          <w:sz w:val="27"/>
          <w:rtl/>
        </w:rPr>
        <w:t xml:space="preserve"> آخر، بل قد تتغيّ</w:t>
      </w:r>
      <w:r w:rsidR="00F44575" w:rsidRPr="006571AC">
        <w:rPr>
          <w:rFonts w:ascii="Arabic Typesetting" w:hAnsi="Arabic Typesetting" w:hint="cs"/>
          <w:sz w:val="27"/>
          <w:rtl/>
        </w:rPr>
        <w:t>َ</w:t>
      </w:r>
      <w:r w:rsidRPr="006571AC">
        <w:rPr>
          <w:rFonts w:ascii="Arabic Typesetting" w:hAnsi="Arabic Typesetting" w:hint="cs"/>
          <w:sz w:val="27"/>
          <w:rtl/>
        </w:rPr>
        <w:t>ر ظواهر الجمل التركيبيّة</w:t>
      </w:r>
      <w:r w:rsidR="00F44575" w:rsidRPr="006571AC">
        <w:rPr>
          <w:rFonts w:ascii="Arabic Typesetting" w:hAnsi="Arabic Typesetting" w:hint="cs"/>
          <w:sz w:val="27"/>
          <w:rtl/>
        </w:rPr>
        <w:t>،</w:t>
      </w:r>
      <w:r w:rsidRPr="006571AC">
        <w:rPr>
          <w:rFonts w:ascii="Arabic Typesetting" w:hAnsi="Arabic Typesetting" w:hint="cs"/>
          <w:sz w:val="27"/>
          <w:rtl/>
        </w:rPr>
        <w:t xml:space="preserve"> من باب تغيّ</w:t>
      </w:r>
      <w:r w:rsidR="00F44575" w:rsidRPr="006571AC">
        <w:rPr>
          <w:rFonts w:ascii="Arabic Typesetting" w:hAnsi="Arabic Typesetting" w:hint="cs"/>
          <w:sz w:val="27"/>
          <w:rtl/>
        </w:rPr>
        <w:t>ُ</w:t>
      </w:r>
      <w:r w:rsidRPr="006571AC">
        <w:rPr>
          <w:rFonts w:ascii="Arabic Typesetting" w:hAnsi="Arabic Typesetting" w:hint="cs"/>
          <w:sz w:val="27"/>
          <w:rtl/>
        </w:rPr>
        <w:t>ر السياق</w:t>
      </w:r>
      <w:r w:rsidR="00F44575" w:rsidRPr="006571AC">
        <w:rPr>
          <w:rFonts w:ascii="Arabic Typesetting" w:hAnsi="Arabic Typesetting" w:hint="cs"/>
          <w:sz w:val="27"/>
          <w:rtl/>
        </w:rPr>
        <w:t>،</w:t>
      </w:r>
      <w:r w:rsidRPr="006571AC">
        <w:rPr>
          <w:rFonts w:ascii="Arabic Typesetting" w:hAnsi="Arabic Typesetting" w:hint="cs"/>
          <w:sz w:val="27"/>
          <w:rtl/>
        </w:rPr>
        <w:t xml:space="preserve"> لا من باب النقل المخصوص بباب الوضع والظهورات التصوّ</w:t>
      </w:r>
      <w:r w:rsidR="00F44575" w:rsidRPr="006571AC">
        <w:rPr>
          <w:rFonts w:ascii="Arabic Typesetting" w:hAnsi="Arabic Typesetting" w:hint="cs"/>
          <w:sz w:val="27"/>
          <w:rtl/>
        </w:rPr>
        <w:t>ُري</w:t>
      </w:r>
      <w:r w:rsidRPr="006571AC">
        <w:rPr>
          <w:rFonts w:ascii="Arabic Typesetting" w:hAnsi="Arabic Typesetting" w:hint="cs"/>
          <w:sz w:val="27"/>
          <w:rtl/>
        </w:rPr>
        <w:t>ة. والدليل على هذه الأصالة هو</w:t>
      </w:r>
      <w:r w:rsidRPr="006571AC">
        <w:rPr>
          <w:rFonts w:ascii="Arabic Typesetting" w:hAnsi="Arabic Typesetting" w:hint="cs"/>
          <w:b/>
          <w:bCs/>
          <w:sz w:val="27"/>
          <w:rtl/>
        </w:rPr>
        <w:t xml:space="preserve"> </w:t>
      </w:r>
      <w:r w:rsidRPr="006571AC">
        <w:rPr>
          <w:rFonts w:ascii="Arabic Typesetting" w:hAnsi="Arabic Typesetting" w:hint="cs"/>
          <w:sz w:val="27"/>
          <w:rtl/>
        </w:rPr>
        <w:t>بناء العقلاء بناءً عامّاً ارتكازيّا</w:t>
      </w:r>
      <w:r w:rsidR="00F44575" w:rsidRPr="006571AC">
        <w:rPr>
          <w:rFonts w:ascii="Arabic Typesetting" w:hAnsi="Arabic Typesetting" w:hint="cs"/>
          <w:sz w:val="27"/>
          <w:rtl/>
        </w:rPr>
        <w:t>ً</w:t>
      </w:r>
      <w:r w:rsidRPr="006571AC">
        <w:rPr>
          <w:rFonts w:ascii="Arabic Typesetting" w:hAnsi="Arabic Typesetting" w:hint="cs"/>
          <w:sz w:val="27"/>
          <w:rtl/>
        </w:rPr>
        <w:t xml:space="preserve"> على أصالة الثبات في اللغة، وأنّ التغيير حالة</w:t>
      </w:r>
      <w:r w:rsidR="00F44575" w:rsidRPr="006571AC">
        <w:rPr>
          <w:rFonts w:ascii="Arabic Typesetting" w:hAnsi="Arabic Typesetting" w:hint="cs"/>
          <w:sz w:val="27"/>
          <w:rtl/>
        </w:rPr>
        <w:t>ٌ</w:t>
      </w:r>
      <w:r w:rsidRPr="006571AC">
        <w:rPr>
          <w:rFonts w:ascii="Arabic Typesetting" w:hAnsi="Arabic Typesetting" w:hint="cs"/>
          <w:sz w:val="27"/>
          <w:rtl/>
        </w:rPr>
        <w:t xml:space="preserve"> استثنائيّة لا يُعت</w:t>
      </w:r>
      <w:r w:rsidR="00F44575" w:rsidRPr="006571AC">
        <w:rPr>
          <w:rFonts w:ascii="Arabic Typesetting" w:hAnsi="Arabic Typesetting" w:hint="cs"/>
          <w:sz w:val="27"/>
          <w:rtl/>
        </w:rPr>
        <w:t>َ</w:t>
      </w:r>
      <w:r w:rsidRPr="006571AC">
        <w:rPr>
          <w:rFonts w:ascii="Arabic Typesetting" w:hAnsi="Arabic Typesetting" w:hint="cs"/>
          <w:sz w:val="27"/>
          <w:rtl/>
        </w:rPr>
        <w:t>ن</w:t>
      </w:r>
      <w:r w:rsidR="00F44575" w:rsidRPr="006571AC">
        <w:rPr>
          <w:rFonts w:ascii="Arabic Typesetting" w:hAnsi="Arabic Typesetting" w:hint="cs"/>
          <w:sz w:val="27"/>
          <w:rtl/>
        </w:rPr>
        <w:t>َ</w:t>
      </w:r>
      <w:r w:rsidRPr="006571AC">
        <w:rPr>
          <w:rFonts w:ascii="Arabic Typesetting" w:hAnsi="Arabic Typesetting" w:hint="cs"/>
          <w:sz w:val="27"/>
          <w:rtl/>
        </w:rPr>
        <w:t>ى باحتمالها. وهذا الارتكاز حصل لهم كنتيجة</w:t>
      </w:r>
      <w:r w:rsidR="00F44575" w:rsidRPr="006571AC">
        <w:rPr>
          <w:rFonts w:ascii="Arabic Typesetting" w:hAnsi="Arabic Typesetting" w:hint="cs"/>
          <w:sz w:val="27"/>
          <w:rtl/>
        </w:rPr>
        <w:t>ٍ</w:t>
      </w:r>
      <w:r w:rsidRPr="006571AC">
        <w:rPr>
          <w:rFonts w:ascii="Arabic Typesetting" w:hAnsi="Arabic Typesetting" w:hint="cs"/>
          <w:sz w:val="27"/>
          <w:rtl/>
        </w:rPr>
        <w:t xml:space="preserve"> خاطئة للتجربة، حيث إنّ كلّ فرد</w:t>
      </w:r>
      <w:r w:rsidR="00F44575" w:rsidRPr="006571AC">
        <w:rPr>
          <w:rFonts w:ascii="Arabic Typesetting" w:hAnsi="Arabic Typesetting" w:hint="cs"/>
          <w:sz w:val="27"/>
          <w:rtl/>
        </w:rPr>
        <w:t>ٍ</w:t>
      </w:r>
      <w:r w:rsidRPr="006571AC">
        <w:rPr>
          <w:rFonts w:ascii="Arabic Typesetting" w:hAnsi="Arabic Typesetting" w:hint="cs"/>
          <w:sz w:val="27"/>
          <w:rtl/>
        </w:rPr>
        <w:t xml:space="preserve"> منهم رأى بح</w:t>
      </w:r>
      <w:r w:rsidR="00F44575" w:rsidRPr="006571AC">
        <w:rPr>
          <w:rFonts w:ascii="Arabic Typesetting" w:hAnsi="Arabic Typesetting" w:hint="cs"/>
          <w:sz w:val="27"/>
          <w:rtl/>
        </w:rPr>
        <w:t>َ</w:t>
      </w:r>
      <w:r w:rsidRPr="006571AC">
        <w:rPr>
          <w:rFonts w:ascii="Arabic Typesetting" w:hAnsi="Arabic Typesetting" w:hint="cs"/>
          <w:sz w:val="27"/>
          <w:rtl/>
        </w:rPr>
        <w:t>س</w:t>
      </w:r>
      <w:r w:rsidR="00F44575" w:rsidRPr="006571AC">
        <w:rPr>
          <w:rFonts w:ascii="Arabic Typesetting" w:hAnsi="Arabic Typesetting" w:hint="cs"/>
          <w:sz w:val="27"/>
          <w:rtl/>
        </w:rPr>
        <w:t>َ</w:t>
      </w:r>
      <w:r w:rsidRPr="006571AC">
        <w:rPr>
          <w:rFonts w:ascii="Arabic Typesetting" w:hAnsi="Arabic Typesetting" w:hint="cs"/>
          <w:sz w:val="27"/>
          <w:rtl/>
        </w:rPr>
        <w:t>ب تجربته في الفترة القصيرة من الزمن عدم تغيّ</w:t>
      </w:r>
      <w:r w:rsidR="00F44575" w:rsidRPr="006571AC">
        <w:rPr>
          <w:rFonts w:ascii="Arabic Typesetting" w:hAnsi="Arabic Typesetting" w:hint="cs"/>
          <w:sz w:val="27"/>
          <w:rtl/>
        </w:rPr>
        <w:t>ُ</w:t>
      </w:r>
      <w:r w:rsidRPr="006571AC">
        <w:rPr>
          <w:rFonts w:ascii="Arabic Typesetting" w:hAnsi="Arabic Typesetting" w:hint="cs"/>
          <w:sz w:val="27"/>
          <w:rtl/>
        </w:rPr>
        <w:t>ر اللغة عادة</w:t>
      </w:r>
      <w:r w:rsidR="00F44575" w:rsidRPr="006571AC">
        <w:rPr>
          <w:rFonts w:ascii="Arabic Typesetting" w:hAnsi="Arabic Typesetting" w:hint="cs"/>
          <w:sz w:val="27"/>
          <w:rtl/>
        </w:rPr>
        <w:t>ً،</w:t>
      </w:r>
      <w:r w:rsidRPr="006571AC">
        <w:rPr>
          <w:rFonts w:ascii="Arabic Typesetting" w:hAnsi="Arabic Typesetting" w:hint="cs"/>
          <w:sz w:val="27"/>
          <w:rtl/>
        </w:rPr>
        <w:t xml:space="preserve"> وكون تغيّ</w:t>
      </w:r>
      <w:r w:rsidR="00F44575" w:rsidRPr="006571AC">
        <w:rPr>
          <w:rFonts w:ascii="Arabic Typesetting" w:hAnsi="Arabic Typesetting" w:hint="cs"/>
          <w:sz w:val="27"/>
          <w:rtl/>
        </w:rPr>
        <w:t>ُ</w:t>
      </w:r>
      <w:r w:rsidRPr="006571AC">
        <w:rPr>
          <w:rFonts w:ascii="Arabic Typesetting" w:hAnsi="Arabic Typesetting" w:hint="cs"/>
          <w:sz w:val="27"/>
          <w:rtl/>
        </w:rPr>
        <w:t>رها حالة</w:t>
      </w:r>
      <w:r w:rsidR="00AF77EB" w:rsidRPr="006571AC">
        <w:rPr>
          <w:rFonts w:ascii="Arabic Typesetting" w:hAnsi="Arabic Typesetting" w:hint="cs"/>
          <w:sz w:val="27"/>
          <w:rtl/>
        </w:rPr>
        <w:t>ً</w:t>
      </w:r>
      <w:r w:rsidRPr="006571AC">
        <w:rPr>
          <w:rFonts w:ascii="Arabic Typesetting" w:hAnsi="Arabic Typesetting" w:hint="cs"/>
          <w:sz w:val="27"/>
          <w:rtl/>
        </w:rPr>
        <w:t xml:space="preserve"> استثنائيّة، مم</w:t>
      </w:r>
      <w:r w:rsidR="00F44575" w:rsidRPr="006571AC">
        <w:rPr>
          <w:rFonts w:ascii="Arabic Typesetting" w:hAnsi="Arabic Typesetting" w:hint="cs"/>
          <w:sz w:val="27"/>
          <w:rtl/>
        </w:rPr>
        <w:t>ّ</w:t>
      </w:r>
      <w:r w:rsidRPr="006571AC">
        <w:rPr>
          <w:rFonts w:ascii="Arabic Typesetting" w:hAnsi="Arabic Typesetting" w:hint="cs"/>
          <w:sz w:val="27"/>
          <w:rtl/>
        </w:rPr>
        <w:t>ا أوحى إليه ارتكاز أنّ هذا مقتضى طبيعة اللغة بح</w:t>
      </w:r>
      <w:r w:rsidR="00F44575" w:rsidRPr="006571AC">
        <w:rPr>
          <w:rFonts w:ascii="Arabic Typesetting" w:hAnsi="Arabic Typesetting" w:hint="cs"/>
          <w:sz w:val="27"/>
          <w:rtl/>
        </w:rPr>
        <w:t>َ</w:t>
      </w:r>
      <w:r w:rsidRPr="006571AC">
        <w:rPr>
          <w:rFonts w:ascii="Arabic Typesetting" w:hAnsi="Arabic Typesetting" w:hint="cs"/>
          <w:sz w:val="27"/>
          <w:rtl/>
        </w:rPr>
        <w:t>س</w:t>
      </w:r>
      <w:r w:rsidR="00F44575" w:rsidRPr="006571AC">
        <w:rPr>
          <w:rFonts w:ascii="Arabic Typesetting" w:hAnsi="Arabic Typesetting" w:hint="cs"/>
          <w:sz w:val="27"/>
          <w:rtl/>
        </w:rPr>
        <w:t>َ</w:t>
      </w:r>
      <w:r w:rsidRPr="006571AC">
        <w:rPr>
          <w:rFonts w:ascii="Arabic Typesetting" w:hAnsi="Arabic Typesetting" w:hint="cs"/>
          <w:sz w:val="27"/>
          <w:rtl/>
        </w:rPr>
        <w:t>ب عمود الزمان الطويل. وهذا تعميم</w:t>
      </w:r>
      <w:r w:rsidR="00F44575" w:rsidRPr="006571AC">
        <w:rPr>
          <w:rFonts w:ascii="Arabic Typesetting" w:hAnsi="Arabic Typesetting" w:hint="cs"/>
          <w:sz w:val="27"/>
          <w:rtl/>
        </w:rPr>
        <w:t>ٌ</w:t>
      </w:r>
      <w:r w:rsidRPr="006571AC">
        <w:rPr>
          <w:rFonts w:ascii="Arabic Typesetting" w:hAnsi="Arabic Typesetting" w:hint="cs"/>
          <w:sz w:val="27"/>
          <w:rtl/>
        </w:rPr>
        <w:t xml:space="preserve"> ع</w:t>
      </w:r>
      <w:r w:rsidR="00F44575" w:rsidRPr="006571AC">
        <w:rPr>
          <w:rFonts w:ascii="Arabic Typesetting" w:hAnsi="Arabic Typesetting" w:hint="cs"/>
          <w:sz w:val="27"/>
          <w:rtl/>
        </w:rPr>
        <w:t>ُ</w:t>
      </w:r>
      <w:r w:rsidRPr="006571AC">
        <w:rPr>
          <w:rFonts w:ascii="Arabic Typesetting" w:hAnsi="Arabic Typesetting" w:hint="cs"/>
          <w:sz w:val="27"/>
          <w:rtl/>
        </w:rPr>
        <w:t>ر</w:t>
      </w:r>
      <w:r w:rsidR="00F44575" w:rsidRPr="006571AC">
        <w:rPr>
          <w:rFonts w:ascii="Arabic Typesetting" w:hAnsi="Arabic Typesetting" w:hint="cs"/>
          <w:sz w:val="27"/>
          <w:rtl/>
        </w:rPr>
        <w:t>ْفي</w:t>
      </w:r>
      <w:r w:rsidRPr="006571AC">
        <w:rPr>
          <w:rFonts w:ascii="Arabic Typesetting" w:hAnsi="Arabic Typesetting" w:hint="cs"/>
          <w:sz w:val="27"/>
          <w:rtl/>
        </w:rPr>
        <w:t xml:space="preserve"> لا منطقيٌّ لتجربة</w:t>
      </w:r>
      <w:r w:rsidR="00A55758" w:rsidRPr="006571AC">
        <w:rPr>
          <w:rFonts w:ascii="Arabic Typesetting" w:hAnsi="Arabic Typesetting" w:hint="cs"/>
          <w:sz w:val="27"/>
          <w:rtl/>
        </w:rPr>
        <w:t>ٍ</w:t>
      </w:r>
      <w:r w:rsidRPr="006571AC">
        <w:rPr>
          <w:rFonts w:ascii="Arabic Typesetting" w:hAnsi="Arabic Typesetting" w:hint="cs"/>
          <w:sz w:val="27"/>
          <w:rtl/>
        </w:rPr>
        <w:t xml:space="preserve"> عاشها كلّ فرد</w:t>
      </w:r>
      <w:r w:rsidR="00A55758" w:rsidRPr="006571AC">
        <w:rPr>
          <w:rFonts w:ascii="Arabic Typesetting" w:hAnsi="Arabic Typesetting" w:hint="cs"/>
          <w:sz w:val="27"/>
          <w:rtl/>
        </w:rPr>
        <w:t>ٍ</w:t>
      </w:r>
      <w:r w:rsidRPr="006571AC">
        <w:rPr>
          <w:rFonts w:ascii="Arabic Typesetting" w:hAnsi="Arabic Typesetting" w:hint="cs"/>
          <w:sz w:val="27"/>
          <w:rtl/>
        </w:rPr>
        <w:t xml:space="preserve"> من أفراد الع</w:t>
      </w:r>
      <w:r w:rsidR="00A55758" w:rsidRPr="006571AC">
        <w:rPr>
          <w:rFonts w:ascii="Arabic Typesetting" w:hAnsi="Arabic Typesetting" w:hint="cs"/>
          <w:sz w:val="27"/>
          <w:rtl/>
        </w:rPr>
        <w:t>ُ</w:t>
      </w:r>
      <w:r w:rsidRPr="006571AC">
        <w:rPr>
          <w:rFonts w:ascii="Arabic Typesetting" w:hAnsi="Arabic Typesetting" w:hint="cs"/>
          <w:sz w:val="27"/>
          <w:rtl/>
        </w:rPr>
        <w:t>ر</w:t>
      </w:r>
      <w:r w:rsidR="00A55758" w:rsidRPr="006571AC">
        <w:rPr>
          <w:rFonts w:ascii="Arabic Typesetting" w:hAnsi="Arabic Typesetting" w:hint="cs"/>
          <w:sz w:val="27"/>
          <w:rtl/>
        </w:rPr>
        <w:t>ْ</w:t>
      </w:r>
      <w:r w:rsidRPr="006571AC">
        <w:rPr>
          <w:rFonts w:ascii="Arabic Typesetting" w:hAnsi="Arabic Typesetting" w:hint="cs"/>
          <w:sz w:val="27"/>
          <w:rtl/>
        </w:rPr>
        <w:t>ف. ومظاهر هذا الارتكاز العامّ، أي ارتكاز عدم تغيّ</w:t>
      </w:r>
      <w:r w:rsidR="00A55758" w:rsidRPr="006571AC">
        <w:rPr>
          <w:rFonts w:ascii="Arabic Typesetting" w:hAnsi="Arabic Typesetting" w:hint="cs"/>
          <w:sz w:val="27"/>
          <w:rtl/>
        </w:rPr>
        <w:t>ُ</w:t>
      </w:r>
      <w:r w:rsidRPr="006571AC">
        <w:rPr>
          <w:rFonts w:ascii="Arabic Typesetting" w:hAnsi="Arabic Typesetting" w:hint="cs"/>
          <w:sz w:val="27"/>
          <w:rtl/>
        </w:rPr>
        <w:t>ر اللغة عادةً، وإن</w:t>
      </w:r>
      <w:r w:rsidR="00A55758" w:rsidRPr="006571AC">
        <w:rPr>
          <w:rFonts w:ascii="Arabic Typesetting" w:hAnsi="Arabic Typesetting" w:hint="cs"/>
          <w:sz w:val="27"/>
          <w:rtl/>
        </w:rPr>
        <w:t>ْ</w:t>
      </w:r>
      <w:r w:rsidRPr="006571AC">
        <w:rPr>
          <w:rFonts w:ascii="Arabic Typesetting" w:hAnsi="Arabic Typesetting" w:hint="cs"/>
          <w:sz w:val="27"/>
          <w:rtl/>
        </w:rPr>
        <w:t xml:space="preserve"> كانت لا تظهر في باب الحجّ</w:t>
      </w:r>
      <w:r w:rsidR="00A55758" w:rsidRPr="006571AC">
        <w:rPr>
          <w:rFonts w:ascii="Arabic Typesetting" w:hAnsi="Arabic Typesetting" w:hint="cs"/>
          <w:sz w:val="27"/>
          <w:rtl/>
        </w:rPr>
        <w:t>ِي</w:t>
      </w:r>
      <w:r w:rsidRPr="006571AC">
        <w:rPr>
          <w:rFonts w:ascii="Arabic Typesetting" w:hAnsi="Arabic Typesetting" w:hint="cs"/>
          <w:sz w:val="27"/>
          <w:rtl/>
        </w:rPr>
        <w:t xml:space="preserve">ة بالنسبة </w:t>
      </w:r>
      <w:r w:rsidR="00A55758" w:rsidRPr="006571AC">
        <w:rPr>
          <w:rFonts w:ascii="Arabic Typesetting" w:hAnsi="Arabic Typesetting" w:hint="cs"/>
          <w:sz w:val="27"/>
          <w:rtl/>
        </w:rPr>
        <w:t>إلى ا</w:t>
      </w:r>
      <w:r w:rsidRPr="006571AC">
        <w:rPr>
          <w:rFonts w:ascii="Arabic Typesetting" w:hAnsi="Arabic Typesetting" w:hint="cs"/>
          <w:sz w:val="27"/>
          <w:rtl/>
        </w:rPr>
        <w:t>لم</w:t>
      </w:r>
      <w:r w:rsidR="00A55758" w:rsidRPr="006571AC">
        <w:rPr>
          <w:rFonts w:ascii="Arabic Typesetting" w:hAnsi="Arabic Typesetting" w:hint="cs"/>
          <w:sz w:val="27"/>
          <w:rtl/>
        </w:rPr>
        <w:t>َ</w:t>
      </w:r>
      <w:r w:rsidRPr="006571AC">
        <w:rPr>
          <w:rFonts w:ascii="Arabic Typesetting" w:hAnsi="Arabic Typesetting" w:hint="cs"/>
          <w:sz w:val="27"/>
          <w:rtl/>
        </w:rPr>
        <w:t>والي الآخرين غير الشارع؛ لعدم وجود م</w:t>
      </w:r>
      <w:r w:rsidR="00A55758" w:rsidRPr="006571AC">
        <w:rPr>
          <w:rFonts w:ascii="Arabic Typesetting" w:hAnsi="Arabic Typesetting" w:hint="cs"/>
          <w:sz w:val="27"/>
          <w:rtl/>
        </w:rPr>
        <w:t>َ</w:t>
      </w:r>
      <w:r w:rsidRPr="006571AC">
        <w:rPr>
          <w:rFonts w:ascii="Arabic Typesetting" w:hAnsi="Arabic Typesetting" w:hint="cs"/>
          <w:sz w:val="27"/>
          <w:rtl/>
        </w:rPr>
        <w:t>وال</w:t>
      </w:r>
      <w:r w:rsidR="00A55758" w:rsidRPr="006571AC">
        <w:rPr>
          <w:rFonts w:ascii="Arabic Typesetting" w:hAnsi="Arabic Typesetting" w:hint="cs"/>
          <w:sz w:val="27"/>
          <w:rtl/>
        </w:rPr>
        <w:t>ٍ</w:t>
      </w:r>
      <w:r w:rsidRPr="006571AC">
        <w:rPr>
          <w:rFonts w:ascii="Arabic Typesetting" w:hAnsi="Arabic Typesetting" w:hint="cs"/>
          <w:sz w:val="27"/>
          <w:rtl/>
        </w:rPr>
        <w:t xml:space="preserve"> وعبيد يتحقّ</w:t>
      </w:r>
      <w:r w:rsidR="00A55758" w:rsidRPr="006571AC">
        <w:rPr>
          <w:rFonts w:ascii="Arabic Typesetting" w:hAnsi="Arabic Typesetting" w:hint="cs"/>
          <w:sz w:val="27"/>
          <w:rtl/>
        </w:rPr>
        <w:t>َ</w:t>
      </w:r>
      <w:r w:rsidRPr="006571AC">
        <w:rPr>
          <w:rFonts w:ascii="Arabic Typesetting" w:hAnsi="Arabic Typesetting" w:hint="cs"/>
          <w:sz w:val="27"/>
          <w:rtl/>
        </w:rPr>
        <w:t>ق بين زمانهما فصل</w:t>
      </w:r>
      <w:r w:rsidR="00A55758" w:rsidRPr="006571AC">
        <w:rPr>
          <w:rFonts w:ascii="Arabic Typesetting" w:hAnsi="Arabic Typesetting" w:hint="cs"/>
          <w:sz w:val="27"/>
          <w:rtl/>
        </w:rPr>
        <w:t>ٌ</w:t>
      </w:r>
      <w:r w:rsidRPr="006571AC">
        <w:rPr>
          <w:rFonts w:ascii="Arabic Typesetting" w:hAnsi="Arabic Typesetting" w:hint="cs"/>
          <w:sz w:val="27"/>
          <w:rtl/>
        </w:rPr>
        <w:t xml:space="preserve"> طويل، لكنّها تظهر في مجال أغراضهم ومقاصدهم. فمثلاً</w:t>
      </w:r>
      <w:r w:rsidR="00A55758" w:rsidRPr="006571AC">
        <w:rPr>
          <w:rFonts w:ascii="Arabic Typesetting" w:hAnsi="Arabic Typesetting" w:hint="cs"/>
          <w:sz w:val="27"/>
          <w:rtl/>
        </w:rPr>
        <w:t>:</w:t>
      </w:r>
      <w:r w:rsidRPr="006571AC">
        <w:rPr>
          <w:rFonts w:ascii="Arabic Typesetting" w:hAnsi="Arabic Typesetting" w:hint="cs"/>
          <w:sz w:val="27"/>
          <w:rtl/>
        </w:rPr>
        <w:t xml:space="preserve"> لو كان بين </w:t>
      </w:r>
      <w:r w:rsidR="00A55758" w:rsidRPr="006571AC">
        <w:rPr>
          <w:rFonts w:ascii="Arabic Typesetting" w:hAnsi="Arabic Typesetting" w:hint="cs"/>
          <w:sz w:val="27"/>
          <w:rtl/>
        </w:rPr>
        <w:t>أ</w:t>
      </w:r>
      <w:r w:rsidRPr="006571AC">
        <w:rPr>
          <w:rFonts w:ascii="Arabic Typesetting" w:hAnsi="Arabic Typesetting" w:hint="cs"/>
          <w:sz w:val="27"/>
          <w:rtl/>
        </w:rPr>
        <w:t>يديهم وصي</w:t>
      </w:r>
      <w:r w:rsidR="00A55758" w:rsidRPr="006571AC">
        <w:rPr>
          <w:rFonts w:ascii="Arabic Typesetting" w:hAnsi="Arabic Typesetting" w:hint="cs"/>
          <w:sz w:val="27"/>
          <w:rtl/>
        </w:rPr>
        <w:t>ّ</w:t>
      </w:r>
      <w:r w:rsidRPr="006571AC">
        <w:rPr>
          <w:rFonts w:ascii="Arabic Typesetting" w:hAnsi="Arabic Typesetting" w:hint="cs"/>
          <w:sz w:val="27"/>
          <w:rtl/>
        </w:rPr>
        <w:t>ة</w:t>
      </w:r>
      <w:r w:rsidR="00A55758" w:rsidRPr="006571AC">
        <w:rPr>
          <w:rFonts w:ascii="Arabic Typesetting" w:hAnsi="Arabic Typesetting" w:hint="cs"/>
          <w:sz w:val="27"/>
          <w:rtl/>
        </w:rPr>
        <w:t>ٌ</w:t>
      </w:r>
      <w:r w:rsidRPr="006571AC">
        <w:rPr>
          <w:rFonts w:ascii="Arabic Typesetting" w:hAnsi="Arabic Typesetting" w:hint="cs"/>
          <w:sz w:val="27"/>
          <w:rtl/>
        </w:rPr>
        <w:t xml:space="preserve"> مات موصيها، فإنهم يعملون بما يستظهرون منها</w:t>
      </w:r>
      <w:r w:rsidR="00A55758" w:rsidRPr="006571AC">
        <w:rPr>
          <w:rFonts w:ascii="Arabic Typesetting" w:hAnsi="Arabic Typesetting" w:hint="cs"/>
          <w:sz w:val="27"/>
          <w:rtl/>
        </w:rPr>
        <w:t>،</w:t>
      </w:r>
      <w:r w:rsidRPr="006571AC">
        <w:rPr>
          <w:rFonts w:ascii="Arabic Typesetting" w:hAnsi="Arabic Typesetting" w:hint="cs"/>
          <w:sz w:val="27"/>
          <w:rtl/>
        </w:rPr>
        <w:t xml:space="preserve"> ولو كان ثم</w:t>
      </w:r>
      <w:r w:rsidR="00A55758" w:rsidRPr="006571AC">
        <w:rPr>
          <w:rFonts w:ascii="Arabic Typesetting" w:hAnsi="Arabic Typesetting" w:hint="cs"/>
          <w:sz w:val="27"/>
          <w:rtl/>
        </w:rPr>
        <w:t>ّ</w:t>
      </w:r>
      <w:r w:rsidRPr="006571AC">
        <w:rPr>
          <w:rFonts w:ascii="Arabic Typesetting" w:hAnsi="Arabic Typesetting" w:hint="cs"/>
          <w:sz w:val="27"/>
          <w:rtl/>
        </w:rPr>
        <w:t>ة مسافة</w:t>
      </w:r>
      <w:r w:rsidR="00A55758" w:rsidRPr="006571AC">
        <w:rPr>
          <w:rFonts w:ascii="Arabic Typesetting" w:hAnsi="Arabic Typesetting" w:hint="cs"/>
          <w:sz w:val="27"/>
          <w:rtl/>
        </w:rPr>
        <w:t>ٌ</w:t>
      </w:r>
      <w:r w:rsidRPr="006571AC">
        <w:rPr>
          <w:rFonts w:ascii="Arabic Typesetting" w:hAnsi="Arabic Typesetting" w:hint="cs"/>
          <w:sz w:val="27"/>
          <w:rtl/>
        </w:rPr>
        <w:t xml:space="preserve"> تاريخي</w:t>
      </w:r>
      <w:r w:rsidR="00A55758" w:rsidRPr="006571AC">
        <w:rPr>
          <w:rFonts w:ascii="Arabic Typesetting" w:hAnsi="Arabic Typesetting" w:hint="cs"/>
          <w:sz w:val="27"/>
          <w:rtl/>
        </w:rPr>
        <w:t>ّ</w:t>
      </w:r>
      <w:r w:rsidRPr="006571AC">
        <w:rPr>
          <w:rFonts w:ascii="Arabic Typesetting" w:hAnsi="Arabic Typesetting" w:hint="cs"/>
          <w:sz w:val="27"/>
          <w:rtl/>
        </w:rPr>
        <w:t>ة</w:t>
      </w:r>
      <w:r w:rsidR="00A55758" w:rsidRPr="006571AC">
        <w:rPr>
          <w:rFonts w:ascii="Arabic Typesetting" w:hAnsi="Arabic Typesetting" w:hint="cs"/>
          <w:sz w:val="27"/>
          <w:rtl/>
        </w:rPr>
        <w:t>ٌ</w:t>
      </w:r>
      <w:r w:rsidRPr="006571AC">
        <w:rPr>
          <w:rFonts w:ascii="Arabic Typesetting" w:hAnsi="Arabic Typesetting" w:hint="cs"/>
          <w:sz w:val="27"/>
          <w:rtl/>
        </w:rPr>
        <w:t xml:space="preserve"> طويلة بين موت الموصي وبين قراءتهم للوصي</w:t>
      </w:r>
      <w:r w:rsidR="00A55758" w:rsidRPr="006571AC">
        <w:rPr>
          <w:rFonts w:ascii="Arabic Typesetting" w:hAnsi="Arabic Typesetting" w:hint="cs"/>
          <w:sz w:val="27"/>
          <w:rtl/>
        </w:rPr>
        <w:t>ّ</w:t>
      </w:r>
      <w:r w:rsidRPr="006571AC">
        <w:rPr>
          <w:rFonts w:ascii="Arabic Typesetting" w:hAnsi="Arabic Typesetting" w:hint="cs"/>
          <w:sz w:val="27"/>
          <w:rtl/>
        </w:rPr>
        <w:t xml:space="preserve">ة وعملهم بها. </w:t>
      </w:r>
    </w:p>
    <w:p w:rsidR="008D51F3" w:rsidRPr="006571AC" w:rsidRDefault="008D51F3" w:rsidP="005B0CA4">
      <w:pPr>
        <w:rPr>
          <w:rFonts w:ascii="Arabic Typesetting" w:hAnsi="Arabic Typesetting"/>
          <w:sz w:val="27"/>
        </w:rPr>
      </w:pPr>
      <w:r w:rsidRPr="006571AC">
        <w:rPr>
          <w:rFonts w:ascii="Arabic Typesetting" w:hAnsi="Arabic Typesetting" w:hint="cs"/>
          <w:sz w:val="27"/>
          <w:rtl/>
        </w:rPr>
        <w:t>وبما أنّ هذا البناء من قِبَل العقلاء يشكّ</w:t>
      </w:r>
      <w:r w:rsidR="00A55758" w:rsidRPr="006571AC">
        <w:rPr>
          <w:rFonts w:ascii="Arabic Typesetting" w:hAnsi="Arabic Typesetting" w:hint="cs"/>
          <w:sz w:val="27"/>
          <w:rtl/>
        </w:rPr>
        <w:t>ِ</w:t>
      </w:r>
      <w:r w:rsidRPr="006571AC">
        <w:rPr>
          <w:rFonts w:ascii="Arabic Typesetting" w:hAnsi="Arabic Typesetting" w:hint="cs"/>
          <w:sz w:val="27"/>
          <w:rtl/>
        </w:rPr>
        <w:t>ل خطراً على أغراض الشارع يكون عدم</w:t>
      </w:r>
      <w:r w:rsidR="00A55758" w:rsidRPr="006571AC">
        <w:rPr>
          <w:rFonts w:ascii="Arabic Typesetting" w:hAnsi="Arabic Typesetting" w:hint="cs"/>
          <w:sz w:val="27"/>
          <w:rtl/>
        </w:rPr>
        <w:t>ُ</w:t>
      </w:r>
      <w:r w:rsidRPr="006571AC">
        <w:rPr>
          <w:rFonts w:ascii="Arabic Typesetting" w:hAnsi="Arabic Typesetting" w:hint="cs"/>
          <w:sz w:val="27"/>
          <w:rtl/>
        </w:rPr>
        <w:t xml:space="preserve"> ردعه عنه دليلاً على إمضائه. وفعليّة هذه السيرة وخ</w:t>
      </w:r>
      <w:r w:rsidR="00AF77EB" w:rsidRPr="006571AC">
        <w:rPr>
          <w:rFonts w:ascii="Arabic Typesetting" w:hAnsi="Arabic Typesetting" w:hint="cs"/>
          <w:sz w:val="27"/>
          <w:rtl/>
        </w:rPr>
        <w:t>َ</w:t>
      </w:r>
      <w:r w:rsidRPr="006571AC">
        <w:rPr>
          <w:rFonts w:ascii="Arabic Typesetting" w:hAnsi="Arabic Typesetting" w:hint="cs"/>
          <w:sz w:val="27"/>
          <w:rtl/>
        </w:rPr>
        <w:t>ط</w:t>
      </w:r>
      <w:r w:rsidR="00AF77EB" w:rsidRPr="006571AC">
        <w:rPr>
          <w:rFonts w:ascii="Arabic Typesetting" w:hAnsi="Arabic Typesetting" w:hint="cs"/>
          <w:sz w:val="27"/>
          <w:rtl/>
        </w:rPr>
        <w:t>َ</w:t>
      </w:r>
      <w:r w:rsidRPr="006571AC">
        <w:rPr>
          <w:rFonts w:ascii="Arabic Typesetting" w:hAnsi="Arabic Typesetting" w:hint="cs"/>
          <w:sz w:val="27"/>
          <w:rtl/>
        </w:rPr>
        <w:t>رها على أغراض الشارع إن</w:t>
      </w:r>
      <w:r w:rsidR="00A55758" w:rsidRPr="006571AC">
        <w:rPr>
          <w:rFonts w:ascii="Arabic Typesetting" w:hAnsi="Arabic Typesetting" w:hint="cs"/>
          <w:sz w:val="27"/>
          <w:rtl/>
        </w:rPr>
        <w:t>ْ</w:t>
      </w:r>
      <w:r w:rsidRPr="006571AC">
        <w:rPr>
          <w:rFonts w:ascii="Arabic Typesetting" w:hAnsi="Arabic Typesetting" w:hint="cs"/>
          <w:sz w:val="27"/>
          <w:rtl/>
        </w:rPr>
        <w:t xml:space="preserve"> كانت متأخّ</w:t>
      </w:r>
      <w:r w:rsidR="00A55758" w:rsidRPr="006571AC">
        <w:rPr>
          <w:rFonts w:ascii="Arabic Typesetting" w:hAnsi="Arabic Typesetting" w:hint="cs"/>
          <w:sz w:val="27"/>
          <w:rtl/>
        </w:rPr>
        <w:t>ِ</w:t>
      </w:r>
      <w:r w:rsidRPr="006571AC">
        <w:rPr>
          <w:rFonts w:ascii="Arabic Typesetting" w:hAnsi="Arabic Typesetting" w:hint="cs"/>
          <w:sz w:val="27"/>
          <w:rtl/>
        </w:rPr>
        <w:t>رة</w:t>
      </w:r>
      <w:r w:rsidR="00A55758" w:rsidRPr="006571AC">
        <w:rPr>
          <w:rFonts w:ascii="Arabic Typesetting" w:hAnsi="Arabic Typesetting" w:hint="cs"/>
          <w:sz w:val="27"/>
          <w:rtl/>
        </w:rPr>
        <w:t>ً</w:t>
      </w:r>
      <w:r w:rsidRPr="006571AC">
        <w:rPr>
          <w:rFonts w:ascii="Arabic Typesetting" w:hAnsi="Arabic Typesetting" w:hint="cs"/>
          <w:sz w:val="27"/>
          <w:rtl/>
        </w:rPr>
        <w:t xml:space="preserve"> عن زمن الشارع فهذا لا يمنع عن لزوم الردع عنها على تقدير عدم رضاه بها</w:t>
      </w:r>
      <w:r w:rsidR="00A55758" w:rsidRPr="006571AC">
        <w:rPr>
          <w:rFonts w:ascii="Arabic Typesetting" w:hAnsi="Arabic Typesetting" w:hint="cs"/>
          <w:sz w:val="27"/>
          <w:rtl/>
        </w:rPr>
        <w:t>؛</w:t>
      </w:r>
      <w:r w:rsidRPr="006571AC">
        <w:rPr>
          <w:rFonts w:ascii="Arabic Typesetting" w:hAnsi="Arabic Typesetting" w:hint="cs"/>
          <w:sz w:val="27"/>
          <w:rtl/>
        </w:rPr>
        <w:t xml:space="preserve"> فإنّ الالتفات</w:t>
      </w:r>
      <w:r w:rsidR="00A55758" w:rsidRPr="006571AC">
        <w:rPr>
          <w:rFonts w:ascii="Arabic Typesetting" w:hAnsi="Arabic Typesetting" w:hint="cs"/>
          <w:sz w:val="27"/>
          <w:rtl/>
        </w:rPr>
        <w:t>َ</w:t>
      </w:r>
      <w:r w:rsidRPr="006571AC">
        <w:rPr>
          <w:rFonts w:ascii="Arabic Typesetting" w:hAnsi="Arabic Typesetting" w:hint="cs"/>
          <w:sz w:val="27"/>
          <w:rtl/>
        </w:rPr>
        <w:t xml:space="preserve"> إلى أنّه سيكون أمر</w:t>
      </w:r>
      <w:r w:rsidR="00A55758" w:rsidRPr="006571AC">
        <w:rPr>
          <w:rFonts w:ascii="Arabic Typesetting" w:hAnsi="Arabic Typesetting" w:hint="cs"/>
          <w:sz w:val="27"/>
          <w:rtl/>
        </w:rPr>
        <w:t>ٌ</w:t>
      </w:r>
      <w:r w:rsidRPr="006571AC">
        <w:rPr>
          <w:rFonts w:ascii="Arabic Typesetting" w:hAnsi="Arabic Typesetting" w:hint="cs"/>
          <w:sz w:val="27"/>
          <w:rtl/>
        </w:rPr>
        <w:t xml:space="preserve"> من هذا القبيل، أو على الأقلّ احتماله، أمرٌ </w:t>
      </w:r>
      <w:r w:rsidRPr="006571AC">
        <w:rPr>
          <w:rFonts w:ascii="Arabic Typesetting" w:hAnsi="Arabic Typesetting" w:hint="cs"/>
          <w:sz w:val="27"/>
          <w:rtl/>
        </w:rPr>
        <w:lastRenderedPageBreak/>
        <w:t>طبيعي</w:t>
      </w:r>
      <w:r w:rsidR="00A55758" w:rsidRPr="006571AC">
        <w:rPr>
          <w:rFonts w:ascii="Arabic Typesetting" w:hAnsi="Arabic Typesetting" w:hint="cs"/>
          <w:sz w:val="27"/>
          <w:rtl/>
        </w:rPr>
        <w:t>ّ</w:t>
      </w:r>
      <w:r w:rsidRPr="006571AC">
        <w:rPr>
          <w:rFonts w:ascii="Arabic Typesetting" w:hAnsi="Arabic Typesetting" w:hint="cs"/>
          <w:sz w:val="27"/>
          <w:rtl/>
        </w:rPr>
        <w:t xml:space="preserve">. </w:t>
      </w:r>
    </w:p>
    <w:p w:rsidR="008D51F3" w:rsidRPr="006571AC" w:rsidRDefault="008D51F3" w:rsidP="005B0CA4">
      <w:pPr>
        <w:rPr>
          <w:rFonts w:ascii="Arabic Typesetting" w:hAnsi="Arabic Typesetting"/>
          <w:sz w:val="27"/>
        </w:rPr>
      </w:pPr>
      <w:r w:rsidRPr="006571AC">
        <w:rPr>
          <w:rFonts w:ascii="Arabic Typesetting" w:hAnsi="Arabic Typesetting" w:hint="cs"/>
          <w:sz w:val="27"/>
          <w:rtl/>
        </w:rPr>
        <w:t>هذا</w:t>
      </w:r>
      <w:r w:rsidR="00A55758" w:rsidRPr="006571AC">
        <w:rPr>
          <w:rFonts w:ascii="Arabic Typesetting" w:hAnsi="Arabic Typesetting" w:hint="cs"/>
          <w:sz w:val="27"/>
          <w:rtl/>
        </w:rPr>
        <w:t>،</w:t>
      </w:r>
      <w:r w:rsidRPr="006571AC">
        <w:rPr>
          <w:rFonts w:ascii="Arabic Typesetting" w:hAnsi="Arabic Typesetting" w:hint="cs"/>
          <w:sz w:val="27"/>
          <w:rtl/>
        </w:rPr>
        <w:t xml:space="preserve"> مضافاً إلى أنّه قد تحقّ</w:t>
      </w:r>
      <w:r w:rsidR="00A55758" w:rsidRPr="006571AC">
        <w:rPr>
          <w:rFonts w:ascii="Arabic Typesetting" w:hAnsi="Arabic Typesetting" w:hint="cs"/>
          <w:sz w:val="27"/>
          <w:rtl/>
        </w:rPr>
        <w:t>َ</w:t>
      </w:r>
      <w:r w:rsidRPr="006571AC">
        <w:rPr>
          <w:rFonts w:ascii="Arabic Typesetting" w:hAnsi="Arabic Typesetting" w:hint="cs"/>
          <w:sz w:val="27"/>
          <w:rtl/>
        </w:rPr>
        <w:t>ق</w:t>
      </w:r>
      <w:r w:rsidR="00A55758" w:rsidRPr="006571AC">
        <w:rPr>
          <w:rFonts w:ascii="Arabic Typesetting" w:hAnsi="Arabic Typesetting" w:hint="cs"/>
          <w:sz w:val="27"/>
          <w:rtl/>
        </w:rPr>
        <w:t>َ</w:t>
      </w:r>
      <w:r w:rsidRPr="006571AC">
        <w:rPr>
          <w:rFonts w:ascii="Arabic Typesetting" w:hAnsi="Arabic Typesetting" w:hint="cs"/>
          <w:sz w:val="27"/>
          <w:rtl/>
        </w:rPr>
        <w:t>ت</w:t>
      </w:r>
      <w:r w:rsidR="00A55758" w:rsidRPr="006571AC">
        <w:rPr>
          <w:rFonts w:ascii="Arabic Typesetting" w:hAnsi="Arabic Typesetting" w:hint="cs"/>
          <w:sz w:val="27"/>
          <w:rtl/>
        </w:rPr>
        <w:t>ْ</w:t>
      </w:r>
      <w:r w:rsidRPr="006571AC">
        <w:rPr>
          <w:rFonts w:ascii="Arabic Typesetting" w:hAnsi="Arabic Typesetting" w:hint="cs"/>
          <w:sz w:val="27"/>
          <w:rtl/>
        </w:rPr>
        <w:t xml:space="preserve"> هذه السيرة، وتحقّ</w:t>
      </w:r>
      <w:r w:rsidR="00A55758" w:rsidRPr="006571AC">
        <w:rPr>
          <w:rFonts w:ascii="Arabic Typesetting" w:hAnsi="Arabic Typesetting" w:hint="cs"/>
          <w:sz w:val="27"/>
          <w:rtl/>
        </w:rPr>
        <w:t>َ</w:t>
      </w:r>
      <w:r w:rsidRPr="006571AC">
        <w:rPr>
          <w:rFonts w:ascii="Arabic Typesetting" w:hAnsi="Arabic Typesetting" w:hint="cs"/>
          <w:sz w:val="27"/>
          <w:rtl/>
        </w:rPr>
        <w:t>ق الخطر بالفعل في زمن المعصوم</w:t>
      </w:r>
      <w:r w:rsidR="002A2C90" w:rsidRPr="006571AC">
        <w:rPr>
          <w:rFonts w:ascii="Mosawi" w:hAnsi="Mosawi" w:cs="Mosawi" w:hint="cs"/>
          <w:sz w:val="22"/>
          <w:szCs w:val="22"/>
          <w:rtl/>
        </w:rPr>
        <w:t>×</w:t>
      </w:r>
      <w:r w:rsidRPr="006571AC">
        <w:rPr>
          <w:rFonts w:ascii="Arabic Typesetting" w:hAnsi="Arabic Typesetting" w:hint="cs"/>
          <w:sz w:val="27"/>
          <w:rtl/>
        </w:rPr>
        <w:t>؛ إذ إنّ المتشرّ</w:t>
      </w:r>
      <w:r w:rsidR="00A55758" w:rsidRPr="006571AC">
        <w:rPr>
          <w:rFonts w:ascii="Arabic Typesetting" w:hAnsi="Arabic Typesetting" w:hint="cs"/>
          <w:sz w:val="27"/>
          <w:rtl/>
        </w:rPr>
        <w:t>ِ</w:t>
      </w:r>
      <w:r w:rsidRPr="006571AC">
        <w:rPr>
          <w:rFonts w:ascii="Arabic Typesetting" w:hAnsi="Arabic Typesetting" w:hint="cs"/>
          <w:sz w:val="27"/>
          <w:rtl/>
        </w:rPr>
        <w:t>عة كانوا يعملون بظواهر النصوص المأثورة عن المعصومين الأوائل</w:t>
      </w:r>
      <w:r w:rsidR="002A2C90" w:rsidRPr="006571AC">
        <w:rPr>
          <w:rFonts w:ascii="Mosawi" w:hAnsi="Mosawi" w:cs="Mosawi" w:hint="cs"/>
          <w:sz w:val="22"/>
          <w:szCs w:val="22"/>
          <w:rtl/>
        </w:rPr>
        <w:t>^</w:t>
      </w:r>
      <w:r w:rsidR="00A55758" w:rsidRPr="006571AC">
        <w:rPr>
          <w:rFonts w:ascii="Arabic Typesetting" w:hAnsi="Arabic Typesetting" w:hint="cs"/>
          <w:sz w:val="27"/>
          <w:rtl/>
        </w:rPr>
        <w:t>،</w:t>
      </w:r>
      <w:r w:rsidRPr="006571AC">
        <w:rPr>
          <w:rFonts w:ascii="Arabic Typesetting" w:hAnsi="Arabic Typesetting" w:hint="cs"/>
          <w:sz w:val="27"/>
          <w:rtl/>
        </w:rPr>
        <w:t xml:space="preserve"> مع أنّ الفاصل الزمنيّ بين رسول الله</w:t>
      </w:r>
      <w:r w:rsidR="002A2C90" w:rsidRPr="006571AC">
        <w:rPr>
          <w:rFonts w:ascii="Mosawi" w:hAnsi="Mosawi" w:cs="Mosawi" w:hint="cs"/>
          <w:sz w:val="22"/>
          <w:szCs w:val="22"/>
          <w:rtl/>
        </w:rPr>
        <w:t>|</w:t>
      </w:r>
      <w:r w:rsidRPr="006571AC">
        <w:rPr>
          <w:rFonts w:ascii="Arabic Typesetting" w:hAnsi="Arabic Typesetting" w:hint="cs"/>
          <w:sz w:val="27"/>
          <w:rtl/>
        </w:rPr>
        <w:t xml:space="preserve"> والهادي والعسكريّ</w:t>
      </w:r>
      <w:r w:rsidR="002A2C90" w:rsidRPr="006571AC">
        <w:rPr>
          <w:rFonts w:ascii="Mosawi" w:hAnsi="Mosawi" w:cs="Mosawi" w:hint="cs"/>
          <w:sz w:val="24"/>
          <w:szCs w:val="24"/>
          <w:rtl/>
        </w:rPr>
        <w:t>’</w:t>
      </w:r>
      <w:r w:rsidRPr="006571AC">
        <w:rPr>
          <w:rFonts w:ascii="Arabic Typesetting" w:hAnsi="Arabic Typesetting" w:hint="cs"/>
          <w:sz w:val="27"/>
          <w:rtl/>
        </w:rPr>
        <w:t xml:space="preserve"> فاصل</w:t>
      </w:r>
      <w:r w:rsidR="00A55758" w:rsidRPr="006571AC">
        <w:rPr>
          <w:rFonts w:ascii="Arabic Typesetting" w:hAnsi="Arabic Typesetting" w:hint="cs"/>
          <w:sz w:val="27"/>
          <w:rtl/>
        </w:rPr>
        <w:t>ٌ</w:t>
      </w:r>
      <w:r w:rsidRPr="006571AC">
        <w:rPr>
          <w:rFonts w:ascii="Arabic Typesetting" w:hAnsi="Arabic Typesetting" w:hint="cs"/>
          <w:sz w:val="27"/>
          <w:rtl/>
        </w:rPr>
        <w:t xml:space="preserve"> طويل، وتلك الفترة الزمنيّة فترة</w:t>
      </w:r>
      <w:r w:rsidR="005136E9" w:rsidRPr="006571AC">
        <w:rPr>
          <w:rFonts w:ascii="Arabic Typesetting" w:hAnsi="Arabic Typesetting" w:hint="cs"/>
          <w:sz w:val="27"/>
          <w:rtl/>
        </w:rPr>
        <w:t>ٌ</w:t>
      </w:r>
      <w:r w:rsidRPr="006571AC">
        <w:rPr>
          <w:rFonts w:ascii="Arabic Typesetting" w:hAnsi="Arabic Typesetting" w:hint="cs"/>
          <w:sz w:val="27"/>
          <w:rtl/>
        </w:rPr>
        <w:t xml:space="preserve"> متطوّ</w:t>
      </w:r>
      <w:r w:rsidR="005136E9" w:rsidRPr="006571AC">
        <w:rPr>
          <w:rFonts w:ascii="Arabic Typesetting" w:hAnsi="Arabic Typesetting" w:hint="cs"/>
          <w:sz w:val="27"/>
          <w:rtl/>
        </w:rPr>
        <w:t>ِ</w:t>
      </w:r>
      <w:r w:rsidRPr="006571AC">
        <w:rPr>
          <w:rFonts w:ascii="Arabic Typesetting" w:hAnsi="Arabic Typesetting" w:hint="cs"/>
          <w:sz w:val="27"/>
          <w:rtl/>
        </w:rPr>
        <w:t>رة من النواحي</w:t>
      </w:r>
      <w:r w:rsidR="005136E9" w:rsidRPr="006571AC">
        <w:rPr>
          <w:rFonts w:ascii="Arabic Typesetting" w:hAnsi="Arabic Typesetting" w:hint="cs"/>
          <w:sz w:val="27"/>
          <w:rtl/>
        </w:rPr>
        <w:t xml:space="preserve"> الاجتماعيّة والفكريّة والمادّي</w:t>
      </w:r>
      <w:r w:rsidRPr="006571AC">
        <w:rPr>
          <w:rFonts w:ascii="Arabic Typesetting" w:hAnsi="Arabic Typesetting" w:hint="cs"/>
          <w:sz w:val="27"/>
          <w:rtl/>
        </w:rPr>
        <w:t>ة، ولم يكن ثم</w:t>
      </w:r>
      <w:r w:rsidR="005136E9" w:rsidRPr="006571AC">
        <w:rPr>
          <w:rFonts w:ascii="Arabic Typesetting" w:hAnsi="Arabic Typesetting" w:hint="cs"/>
          <w:sz w:val="27"/>
          <w:rtl/>
        </w:rPr>
        <w:t>ّ</w:t>
      </w:r>
      <w:r w:rsidRPr="006571AC">
        <w:rPr>
          <w:rFonts w:ascii="Arabic Typesetting" w:hAnsi="Arabic Typesetting" w:hint="cs"/>
          <w:sz w:val="27"/>
          <w:rtl/>
        </w:rPr>
        <w:t>ة رادع</w:t>
      </w:r>
      <w:r w:rsidR="00AF77EB" w:rsidRPr="006571AC">
        <w:rPr>
          <w:rFonts w:ascii="Arabic Typesetting" w:hAnsi="Arabic Typesetting" w:hint="cs"/>
          <w:sz w:val="27"/>
          <w:rtl/>
        </w:rPr>
        <w:t>ٌ</w:t>
      </w:r>
      <w:r w:rsidRPr="006571AC">
        <w:rPr>
          <w:rFonts w:ascii="Arabic Typesetting" w:hAnsi="Arabic Typesetting" w:hint="cs"/>
          <w:sz w:val="27"/>
          <w:rtl/>
        </w:rPr>
        <w:t xml:space="preserve"> أو مانع</w:t>
      </w:r>
      <w:r w:rsidR="00AF77EB" w:rsidRPr="006571AC">
        <w:rPr>
          <w:rFonts w:ascii="Arabic Typesetting" w:hAnsi="Arabic Typesetting" w:hint="cs"/>
          <w:sz w:val="27"/>
          <w:rtl/>
        </w:rPr>
        <w:t>ٌ</w:t>
      </w:r>
      <w:r w:rsidRPr="006571AC">
        <w:rPr>
          <w:rFonts w:ascii="Arabic Typesetting" w:hAnsi="Arabic Typesetting" w:hint="cs"/>
          <w:sz w:val="27"/>
          <w:rtl/>
        </w:rPr>
        <w:t xml:space="preserve"> من قِبَل الأئمّة</w:t>
      </w:r>
      <w:r w:rsidR="002A2C90" w:rsidRPr="006571AC">
        <w:rPr>
          <w:rFonts w:ascii="Mosawi" w:hAnsi="Mosawi" w:cs="Mosawi" w:hint="cs"/>
          <w:sz w:val="22"/>
          <w:szCs w:val="22"/>
          <w:rtl/>
        </w:rPr>
        <w:t>^</w:t>
      </w:r>
      <w:r w:rsidR="005136E9" w:rsidRPr="006571AC">
        <w:rPr>
          <w:rFonts w:ascii="Arabic Typesetting" w:hAnsi="Arabic Typesetting" w:hint="cs"/>
          <w:sz w:val="27"/>
          <w:rtl/>
        </w:rPr>
        <w:t>،</w:t>
      </w:r>
      <w:r w:rsidRPr="006571AC">
        <w:rPr>
          <w:rFonts w:ascii="Arabic Typesetting" w:hAnsi="Arabic Typesetting" w:hint="cs"/>
          <w:sz w:val="27"/>
          <w:rtl/>
        </w:rPr>
        <w:t xml:space="preserve"> وعدم</w:t>
      </w:r>
      <w:r w:rsidR="005136E9" w:rsidRPr="006571AC">
        <w:rPr>
          <w:rFonts w:ascii="Arabic Typesetting" w:hAnsi="Arabic Typesetting" w:hint="cs"/>
          <w:sz w:val="27"/>
          <w:rtl/>
        </w:rPr>
        <w:t>ُ</w:t>
      </w:r>
      <w:r w:rsidRPr="006571AC">
        <w:rPr>
          <w:rFonts w:ascii="Arabic Typesetting" w:hAnsi="Arabic Typesetting" w:hint="cs"/>
          <w:sz w:val="27"/>
          <w:rtl/>
        </w:rPr>
        <w:t xml:space="preserve"> الردع دليل</w:t>
      </w:r>
      <w:r w:rsidR="005136E9" w:rsidRPr="006571AC">
        <w:rPr>
          <w:rFonts w:ascii="Arabic Typesetting" w:hAnsi="Arabic Typesetting" w:hint="cs"/>
          <w:sz w:val="27"/>
          <w:rtl/>
        </w:rPr>
        <w:t>ُ</w:t>
      </w:r>
      <w:r w:rsidRPr="006571AC">
        <w:rPr>
          <w:rFonts w:ascii="Arabic Typesetting" w:hAnsi="Arabic Typesetting" w:hint="cs"/>
          <w:sz w:val="27"/>
          <w:rtl/>
        </w:rPr>
        <w:t xml:space="preserve"> الإمضاء. </w:t>
      </w:r>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rPr>
        <w:t>وليس هذا إمضاءً لأصالة الثبات في المقدار الثابت في زمن المعصوم من احتمال التطوّر فقط</w:t>
      </w:r>
      <w:r w:rsidR="005136E9" w:rsidRPr="006571AC">
        <w:rPr>
          <w:rFonts w:ascii="Arabic Typesetting" w:hAnsi="Arabic Typesetting" w:hint="cs"/>
          <w:sz w:val="27"/>
          <w:rtl/>
        </w:rPr>
        <w:t>،</w:t>
      </w:r>
      <w:r w:rsidRPr="006571AC">
        <w:rPr>
          <w:rFonts w:ascii="Arabic Typesetting" w:hAnsi="Arabic Typesetting" w:hint="cs"/>
          <w:sz w:val="27"/>
          <w:rtl/>
        </w:rPr>
        <w:t xml:space="preserve"> حتّى يقال: إنّ التطوّر في اللغة قد اشتدّ في زماننا بطول المدّة، بل هذه السيرة سنخ</w:t>
      </w:r>
      <w:r w:rsidR="005136E9" w:rsidRPr="006571AC">
        <w:rPr>
          <w:rFonts w:ascii="Arabic Typesetting" w:hAnsi="Arabic Typesetting" w:hint="cs"/>
          <w:sz w:val="27"/>
          <w:rtl/>
        </w:rPr>
        <w:t>ُ</w:t>
      </w:r>
      <w:r w:rsidRPr="006571AC">
        <w:rPr>
          <w:rFonts w:ascii="Arabic Typesetting" w:hAnsi="Arabic Typesetting" w:hint="cs"/>
          <w:sz w:val="27"/>
          <w:rtl/>
        </w:rPr>
        <w:t xml:space="preserve"> سيرة</w:t>
      </w:r>
      <w:r w:rsidR="005136E9" w:rsidRPr="006571AC">
        <w:rPr>
          <w:rFonts w:ascii="Arabic Typesetting" w:hAnsi="Arabic Typesetting" w:hint="cs"/>
          <w:sz w:val="27"/>
          <w:rtl/>
        </w:rPr>
        <w:t>ٍ</w:t>
      </w:r>
      <w:r w:rsidRPr="006571AC">
        <w:rPr>
          <w:rFonts w:ascii="Arabic Typesetting" w:hAnsi="Arabic Typesetting" w:hint="cs"/>
          <w:sz w:val="27"/>
          <w:rtl/>
        </w:rPr>
        <w:t xml:space="preserve"> يكون السكوت</w:t>
      </w:r>
      <w:r w:rsidR="005136E9" w:rsidRPr="006571AC">
        <w:rPr>
          <w:rFonts w:ascii="Arabic Typesetting" w:hAnsi="Arabic Typesetting" w:hint="cs"/>
          <w:sz w:val="27"/>
          <w:rtl/>
        </w:rPr>
        <w:t>ُ</w:t>
      </w:r>
      <w:r w:rsidRPr="006571AC">
        <w:rPr>
          <w:rFonts w:ascii="Arabic Typesetting" w:hAnsi="Arabic Typesetting" w:hint="cs"/>
          <w:sz w:val="27"/>
          <w:rtl/>
        </w:rPr>
        <w:t xml:space="preserve"> عنها إمضاء</w:t>
      </w:r>
      <w:r w:rsidR="005136E9" w:rsidRPr="006571AC">
        <w:rPr>
          <w:rFonts w:ascii="Arabic Typesetting" w:hAnsi="Arabic Typesetting" w:hint="cs"/>
          <w:sz w:val="27"/>
          <w:rtl/>
        </w:rPr>
        <w:t>ً</w:t>
      </w:r>
      <w:r w:rsidRPr="006571AC">
        <w:rPr>
          <w:rFonts w:ascii="Arabic Typesetting" w:hAnsi="Arabic Typesetting" w:hint="cs"/>
          <w:sz w:val="27"/>
          <w:rtl/>
        </w:rPr>
        <w:t xml:space="preserve"> لنكتتها. ولا يُراد بإمضاء النكتة إمضاءُ خطأ العقلاء في تخيّ</w:t>
      </w:r>
      <w:r w:rsidR="005136E9" w:rsidRPr="006571AC">
        <w:rPr>
          <w:rFonts w:ascii="Arabic Typesetting" w:hAnsi="Arabic Typesetting" w:hint="cs"/>
          <w:sz w:val="27"/>
          <w:rtl/>
        </w:rPr>
        <w:t>ُ</w:t>
      </w:r>
      <w:r w:rsidRPr="006571AC">
        <w:rPr>
          <w:rFonts w:ascii="Arabic Typesetting" w:hAnsi="Arabic Typesetting" w:hint="cs"/>
          <w:sz w:val="27"/>
          <w:rtl/>
        </w:rPr>
        <w:t>لهم أنّ المدّة الطويلة كالمدّة القصيرة في الثبات النسبي</w:t>
      </w:r>
      <w:r w:rsidR="005136E9" w:rsidRPr="006571AC">
        <w:rPr>
          <w:rFonts w:ascii="Arabic Typesetting" w:hAnsi="Arabic Typesetting" w:hint="cs"/>
          <w:sz w:val="27"/>
          <w:rtl/>
        </w:rPr>
        <w:t>ّ</w:t>
      </w:r>
      <w:r w:rsidRPr="006571AC">
        <w:rPr>
          <w:rFonts w:ascii="Arabic Typesetting" w:hAnsi="Arabic Typesetting" w:hint="cs"/>
          <w:sz w:val="27"/>
          <w:rtl/>
        </w:rPr>
        <w:t xml:space="preserve"> للّغة، كي يقال: إنّه لا يعقل من الشارع إمضاء الخطأ، وإنّما المراد بإمضائها البناء على أصالة عدم التغيّ</w:t>
      </w:r>
      <w:r w:rsidR="005136E9" w:rsidRPr="006571AC">
        <w:rPr>
          <w:rFonts w:ascii="Arabic Typesetting" w:hAnsi="Arabic Typesetting" w:hint="cs"/>
          <w:sz w:val="27"/>
          <w:rtl/>
        </w:rPr>
        <w:t>ُ</w:t>
      </w:r>
      <w:r w:rsidRPr="006571AC">
        <w:rPr>
          <w:rFonts w:ascii="Arabic Typesetting" w:hAnsi="Arabic Typesetting" w:hint="cs"/>
          <w:sz w:val="27"/>
          <w:rtl/>
        </w:rPr>
        <w:t xml:space="preserve">ر التي هي النكتة لعملهم، وإمضاؤها لا يلزم إمضاء </w:t>
      </w:r>
      <w:r w:rsidRPr="006571AC">
        <w:rPr>
          <w:rFonts w:ascii="Arabic Typesetting" w:hAnsi="Arabic Typesetting" w:hint="cs"/>
          <w:sz w:val="27"/>
          <w:shd w:val="clear" w:color="auto" w:fill="FFFFFF"/>
          <w:rtl/>
        </w:rPr>
        <w:t>مبانيها، فمبانيها وإن</w:t>
      </w:r>
      <w:r w:rsidR="005136E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كانت خاطئة</w:t>
      </w:r>
      <w:r w:rsidR="005136E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لكن</w:t>
      </w:r>
      <w:r w:rsidR="005136E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الشارع رأى بحكمته البالغة أنّ إرجاع الناس إلى أصالة عدم التغيّ</w:t>
      </w:r>
      <w:r w:rsidR="005136E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ر أصلح من إرجاعهم إلى مرجع</w:t>
      </w:r>
      <w:r w:rsidR="005136E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آخر، فأمضى الأصل. </w:t>
      </w:r>
    </w:p>
    <w:p w:rsidR="00037A9B" w:rsidRPr="006571AC" w:rsidRDefault="00037A9B" w:rsidP="00037A9B">
      <w:pPr>
        <w:spacing w:line="420" w:lineRule="exact"/>
        <w:rPr>
          <w:sz w:val="27"/>
          <w:rtl/>
        </w:rPr>
      </w:pPr>
    </w:p>
    <w:p w:rsidR="008D51F3" w:rsidRPr="006571AC" w:rsidRDefault="00421D5F" w:rsidP="00D246D3">
      <w:pPr>
        <w:pStyle w:val="31"/>
        <w:rPr>
          <w:color w:val="auto"/>
          <w:rtl/>
        </w:rPr>
      </w:pPr>
      <w:bookmarkStart w:id="333" w:name="_Toc114164759"/>
      <w:r w:rsidRPr="006571AC">
        <w:rPr>
          <w:rFonts w:hint="cs"/>
          <w:color w:val="auto"/>
          <w:rtl/>
        </w:rPr>
        <w:t>ب ـ</w:t>
      </w:r>
      <w:r w:rsidR="008D51F3" w:rsidRPr="006571AC">
        <w:rPr>
          <w:color w:val="auto"/>
          <w:rtl/>
        </w:rPr>
        <w:t xml:space="preserve"> الظهور الذاتي والظهور الموضوعي</w:t>
      </w:r>
      <w:bookmarkEnd w:id="333"/>
    </w:p>
    <w:p w:rsidR="008D51F3" w:rsidRPr="006571AC" w:rsidRDefault="008D51F3" w:rsidP="00AF77EB">
      <w:pPr>
        <w:rPr>
          <w:rFonts w:ascii="Arabic Typesetting" w:hAnsi="Arabic Typesetting"/>
          <w:sz w:val="27"/>
          <w:rtl/>
          <w:lang w:bidi="ar-LB"/>
        </w:rPr>
      </w:pPr>
      <w:r w:rsidRPr="006571AC">
        <w:rPr>
          <w:rFonts w:ascii="Arabic Typesetting" w:hAnsi="Arabic Typesetting" w:hint="cs"/>
          <w:sz w:val="27"/>
          <w:rtl/>
          <w:lang w:bidi="ar-LB"/>
        </w:rPr>
        <w:t>ميّ</w:t>
      </w:r>
      <w:r w:rsidR="005136E9" w:rsidRPr="006571AC">
        <w:rPr>
          <w:rFonts w:ascii="Arabic Typesetting" w:hAnsi="Arabic Typesetting" w:hint="cs"/>
          <w:sz w:val="27"/>
          <w:rtl/>
          <w:lang w:bidi="ar-LB"/>
        </w:rPr>
        <w:t>َ</w:t>
      </w:r>
      <w:r w:rsidRPr="006571AC">
        <w:rPr>
          <w:rFonts w:ascii="Arabic Typesetting" w:hAnsi="Arabic Typesetting" w:hint="cs"/>
          <w:sz w:val="27"/>
          <w:rtl/>
          <w:lang w:bidi="ar-LB"/>
        </w:rPr>
        <w:t>ز الشهيد الصدر بين نوعين من أنواع الظهور، وهما</w:t>
      </w:r>
      <w:r w:rsidR="005136E9"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الظهور الذاتي</w:t>
      </w:r>
      <w:r w:rsidR="005136E9"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والظهور الموضوعي</w:t>
      </w:r>
      <w:r w:rsidRPr="006571AC">
        <w:rPr>
          <w:rFonts w:ascii="Arabic Typesetting" w:hAnsi="Arabic Typesetting" w:hint="cs"/>
          <w:sz w:val="27"/>
          <w:vertAlign w:val="superscript"/>
          <w:rtl/>
          <w:lang w:bidi="ar-LB"/>
        </w:rPr>
        <w:t>(</w:t>
      </w:r>
      <w:r w:rsidRPr="006571AC">
        <w:rPr>
          <w:rStyle w:val="ac"/>
          <w:rFonts w:ascii="Arabic Typesetting" w:eastAsiaTheme="majorEastAsia" w:hAnsi="Arabic Typesetting" w:hint="cs"/>
          <w:sz w:val="27"/>
          <w:rtl/>
          <w:lang w:bidi="ar-LB"/>
        </w:rPr>
        <w:endnoteReference w:id="541"/>
      </w:r>
      <w:r w:rsidRPr="006571AC">
        <w:rPr>
          <w:rFonts w:ascii="Arabic Typesetting" w:hAnsi="Arabic Typesetting" w:hint="cs"/>
          <w:sz w:val="27"/>
          <w:vertAlign w:val="superscript"/>
          <w:rtl/>
          <w:lang w:bidi="ar-LB"/>
        </w:rPr>
        <w:t>)</w:t>
      </w:r>
      <w:r w:rsidR="00AF77EB" w:rsidRPr="006571AC">
        <w:rPr>
          <w:rFonts w:ascii="Arabic Typesetting" w:hAnsi="Arabic Typesetting" w:hint="cs"/>
          <w:sz w:val="27"/>
          <w:rtl/>
          <w:lang w:bidi="ar-LB"/>
        </w:rPr>
        <w:t>.</w:t>
      </w:r>
    </w:p>
    <w:p w:rsidR="008D51F3" w:rsidRPr="006571AC" w:rsidRDefault="008D51F3" w:rsidP="00AF77EB">
      <w:pPr>
        <w:pStyle w:val="af"/>
        <w:rPr>
          <w:rFonts w:ascii="Arabic Typesetting" w:hAnsi="Arabic Typesetting" w:cs="AL-Mohanad"/>
          <w:sz w:val="27"/>
          <w:szCs w:val="27"/>
          <w:rtl/>
          <w:lang w:bidi="ar-LB"/>
        </w:rPr>
      </w:pPr>
      <w:r w:rsidRPr="006571AC">
        <w:rPr>
          <w:rFonts w:ascii="Arabic Typesetting" w:hAnsi="Arabic Typesetting" w:cs="AL-Mohanad" w:hint="cs"/>
          <w:b/>
          <w:bCs/>
          <w:sz w:val="27"/>
          <w:szCs w:val="27"/>
          <w:rtl/>
          <w:lang w:bidi="ar-LB"/>
        </w:rPr>
        <w:t>فالظهور الذاتي</w:t>
      </w:r>
      <w:r w:rsidRPr="006571AC">
        <w:rPr>
          <w:rFonts w:ascii="Arabic Typesetting" w:hAnsi="Arabic Typesetting" w:cs="AL-Mohanad" w:hint="cs"/>
          <w:sz w:val="27"/>
          <w:szCs w:val="27"/>
          <w:rtl/>
          <w:lang w:bidi="ar-LB"/>
        </w:rPr>
        <w:t xml:space="preserve"> هو الظهور الحاصل في ذهن إنسان</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معيّن، والمتأث</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 بالظروف الشخصية للذهن</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التي تختلف من فرد</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إلى آخر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بح</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س</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ب أ</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سه الذهني. فهذه الظروف الخاصة بإنسان</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ما، والتي لا يشترك فيها مع أبناء نوعه، </w:t>
      </w:r>
      <w:r w:rsidR="00DA65D3" w:rsidRPr="006571AC">
        <w:rPr>
          <w:rFonts w:ascii="Arabic Typesetting" w:hAnsi="Arabic Typesetting" w:cs="AL-Mohanad" w:hint="cs"/>
          <w:sz w:val="27"/>
          <w:szCs w:val="27"/>
          <w:rtl/>
          <w:lang w:bidi="ar-LB"/>
        </w:rPr>
        <w:t>قد توج</w:t>
      </w:r>
      <w:r w:rsidRPr="006571AC">
        <w:rPr>
          <w:rFonts w:ascii="Arabic Typesetting" w:hAnsi="Arabic Typesetting" w:cs="AL-Mohanad" w:hint="cs"/>
          <w:sz w:val="27"/>
          <w:szCs w:val="27"/>
          <w:rtl/>
          <w:lang w:bidi="ar-LB"/>
        </w:rPr>
        <w:t>ب في بعض الأحيان علاقة</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خاصة بمعنى</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محد</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د</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غير المعنى الذي يفهمه أبناء الع</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العام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من اللفظ</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فيحصل عنده ظهور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لمعنى</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من لفظ</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ما، على خلاف الظهور الحاصل عند أبناء الع</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ف. </w:t>
      </w:r>
    </w:p>
    <w:p w:rsidR="008D51F3" w:rsidRPr="006571AC" w:rsidRDefault="008D51F3" w:rsidP="00AF77EB">
      <w:pPr>
        <w:pStyle w:val="af"/>
        <w:rPr>
          <w:rFonts w:ascii="Arabic Typesetting" w:hAnsi="Arabic Typesetting" w:cs="AL-Mohanad"/>
          <w:sz w:val="27"/>
          <w:szCs w:val="27"/>
          <w:rtl/>
          <w:lang w:bidi="ar-LB"/>
        </w:rPr>
      </w:pPr>
      <w:r w:rsidRPr="006571AC">
        <w:rPr>
          <w:rFonts w:ascii="Arabic Typesetting" w:hAnsi="Arabic Typesetting" w:cs="AL-Mohanad" w:hint="cs"/>
          <w:sz w:val="27"/>
          <w:szCs w:val="27"/>
          <w:rtl/>
          <w:lang w:bidi="ar-LB"/>
        </w:rPr>
        <w:t xml:space="preserve">أما </w:t>
      </w:r>
      <w:r w:rsidRPr="006571AC">
        <w:rPr>
          <w:rFonts w:ascii="Arabic Typesetting" w:hAnsi="Arabic Typesetting" w:cs="AL-Mohanad" w:hint="cs"/>
          <w:b/>
          <w:bCs/>
          <w:sz w:val="27"/>
          <w:szCs w:val="27"/>
          <w:rtl/>
          <w:lang w:bidi="ar-LB"/>
        </w:rPr>
        <w:t xml:space="preserve">الظهور الموضوعي </w:t>
      </w:r>
      <w:r w:rsidRPr="006571AC">
        <w:rPr>
          <w:rFonts w:ascii="Arabic Typesetting" w:hAnsi="Arabic Typesetting" w:cs="AL-Mohanad" w:hint="cs"/>
          <w:sz w:val="27"/>
          <w:szCs w:val="27"/>
          <w:rtl/>
          <w:lang w:bidi="ar-LB"/>
        </w:rPr>
        <w:t>فهو الظهور بموجب علاقات اللغة وأساليب التعبير العام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ويُسم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ى هذا الظهور بالظهور الموضوعي</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بسبب وجود واقع</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موضوعي</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محدّ</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د</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يكون مبرّ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را</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لهذا الظهور؛ وهذا الواقع هو الو</w:t>
      </w:r>
      <w:r w:rsidR="00AF77E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ض</w:t>
      </w:r>
      <w:r w:rsidR="00AF77E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ع</w:t>
      </w:r>
      <w:r w:rsidRPr="006571AC">
        <w:rPr>
          <w:rFonts w:ascii="Arabic Typesetting" w:hAnsi="Arabic Typesetting" w:cs="AL-Mohanad" w:hint="cs"/>
          <w:sz w:val="27"/>
          <w:szCs w:val="27"/>
          <w:vertAlign w:val="superscript"/>
          <w:rtl/>
          <w:lang w:bidi="ar-LB"/>
        </w:rPr>
        <w:t>(</w:t>
      </w:r>
      <w:r w:rsidRPr="006571AC">
        <w:rPr>
          <w:rStyle w:val="ac"/>
          <w:rFonts w:ascii="Arabic Typesetting" w:eastAsiaTheme="majorEastAsia" w:hAnsi="Arabic Typesetting" w:cs="AL-Mohanad" w:hint="cs"/>
          <w:sz w:val="27"/>
          <w:szCs w:val="27"/>
          <w:rtl/>
          <w:lang w:bidi="ar-LB"/>
        </w:rPr>
        <w:endnoteReference w:id="542"/>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كما أن هذا الظهور يُسم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ى بالظهور </w:t>
      </w:r>
      <w:r w:rsidRPr="006571AC">
        <w:rPr>
          <w:rFonts w:ascii="Arabic Typesetting" w:hAnsi="Arabic Typesetting" w:cs="AL-Mohanad" w:hint="cs"/>
          <w:sz w:val="27"/>
          <w:szCs w:val="27"/>
          <w:rtl/>
          <w:lang w:bidi="ar-LB"/>
        </w:rPr>
        <w:lastRenderedPageBreak/>
        <w:t>النوعي</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لأن أبناء النوع، أي أبناء الع</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والمحاورة، يفهمونه؛ فهو ظهور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مشترك بينهم، بل مشترك</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أيضا</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بينهم وبين كل</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يجري على وفق الأساليب العام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ة في التعبير.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hint="cs"/>
          <w:sz w:val="27"/>
          <w:szCs w:val="27"/>
          <w:rtl/>
          <w:lang w:bidi="ar-LB"/>
        </w:rPr>
        <w:t>ويعتقد الشهيد الصدر أن موضوع الحج</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ية في بحث حج</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ية الظهور هو الظهور الموضوعي، دون الظهور الذاتي. </w:t>
      </w:r>
    </w:p>
    <w:p w:rsidR="008D51F3" w:rsidRPr="006571AC" w:rsidRDefault="008D51F3" w:rsidP="00037A9B">
      <w:pPr>
        <w:pStyle w:val="af"/>
        <w:spacing w:line="420" w:lineRule="exact"/>
        <w:rPr>
          <w:rFonts w:ascii="Arabic Typesetting" w:hAnsi="Arabic Typesetting" w:cs="AL-Mohanad"/>
          <w:sz w:val="27"/>
          <w:szCs w:val="27"/>
          <w:rtl/>
          <w:lang w:bidi="ar-LB"/>
        </w:rPr>
      </w:pPr>
    </w:p>
    <w:p w:rsidR="008D51F3" w:rsidRPr="006571AC" w:rsidRDefault="008D51F3" w:rsidP="00DA65D3">
      <w:pPr>
        <w:pStyle w:val="31"/>
        <w:rPr>
          <w:color w:val="auto"/>
          <w:rtl/>
          <w:lang w:bidi="ar-LB"/>
        </w:rPr>
      </w:pPr>
      <w:bookmarkStart w:id="334" w:name="_Toc114164760"/>
      <w:r w:rsidRPr="006571AC">
        <w:rPr>
          <w:color w:val="auto"/>
          <w:rtl/>
          <w:lang w:bidi="ar-LB"/>
        </w:rPr>
        <w:t>إشكال</w:t>
      </w:r>
      <w:r w:rsidR="00DA65D3" w:rsidRPr="006571AC">
        <w:rPr>
          <w:rFonts w:hint="cs"/>
          <w:color w:val="auto"/>
          <w:rtl/>
          <w:lang w:bidi="ar-LB"/>
        </w:rPr>
        <w:t>ٌ</w:t>
      </w:r>
      <w:r w:rsidRPr="006571AC">
        <w:rPr>
          <w:color w:val="auto"/>
          <w:rtl/>
          <w:lang w:bidi="ar-LB"/>
        </w:rPr>
        <w:t xml:space="preserve"> و</w:t>
      </w:r>
      <w:r w:rsidR="00DA65D3" w:rsidRPr="006571AC">
        <w:rPr>
          <w:color w:val="auto"/>
          <w:rtl/>
          <w:lang w:bidi="ar-LB"/>
        </w:rPr>
        <w:t>جواب</w:t>
      </w:r>
      <w:bookmarkEnd w:id="334"/>
    </w:p>
    <w:p w:rsidR="008D51F3" w:rsidRPr="006571AC" w:rsidRDefault="00DA65D3" w:rsidP="005B0CA4">
      <w:pPr>
        <w:rPr>
          <w:rFonts w:ascii="Arabic Typesetting" w:hAnsi="Arabic Typesetting"/>
          <w:sz w:val="27"/>
          <w:rtl/>
          <w:lang w:bidi="ar-LB"/>
        </w:rPr>
      </w:pPr>
      <w:r w:rsidRPr="006571AC">
        <w:rPr>
          <w:rFonts w:ascii="Arabic Typesetting" w:hAnsi="Arabic Typesetting"/>
          <w:sz w:val="27"/>
          <w:rtl/>
          <w:lang w:bidi="ar-LB"/>
        </w:rPr>
        <w:t>و</w:t>
      </w:r>
      <w:r w:rsidR="008D51F3" w:rsidRPr="006571AC">
        <w:rPr>
          <w:rFonts w:ascii="Arabic Typesetting" w:hAnsi="Arabic Typesetting"/>
          <w:sz w:val="27"/>
          <w:rtl/>
          <w:lang w:bidi="ar-LB"/>
        </w:rPr>
        <w:t xml:space="preserve">هنا </w:t>
      </w:r>
      <w:r w:rsidRPr="006571AC">
        <w:rPr>
          <w:rFonts w:ascii="Arabic Typesetting" w:hAnsi="Arabic Typesetting" w:hint="cs"/>
          <w:sz w:val="27"/>
          <w:rtl/>
          <w:lang w:bidi="ar-LB"/>
        </w:rPr>
        <w:t>يرِدُ</w:t>
      </w:r>
      <w:r w:rsidR="008D51F3" w:rsidRPr="006571AC">
        <w:rPr>
          <w:rFonts w:ascii="Arabic Typesetting" w:hAnsi="Arabic Typesetting"/>
          <w:sz w:val="27"/>
          <w:rtl/>
          <w:lang w:bidi="ar-LB"/>
        </w:rPr>
        <w:t xml:space="preserve"> إشكال</w:t>
      </w:r>
      <w:r w:rsidRPr="006571AC">
        <w:rPr>
          <w:rFonts w:ascii="Arabic Typesetting" w:hAnsi="Arabic Typesetting" w:hint="cs"/>
          <w:sz w:val="27"/>
          <w:rtl/>
          <w:lang w:bidi="ar-LB"/>
        </w:rPr>
        <w:t>ٌ</w:t>
      </w:r>
      <w:r w:rsidR="008D51F3" w:rsidRPr="006571AC">
        <w:rPr>
          <w:rFonts w:ascii="Arabic Typesetting" w:hAnsi="Arabic Typesetting"/>
          <w:sz w:val="27"/>
          <w:rtl/>
          <w:lang w:bidi="ar-LB"/>
        </w:rPr>
        <w:t xml:space="preserve"> إلى الذهن، التفت إليه الشهيد الصدر، </w:t>
      </w:r>
      <w:r w:rsidRPr="006571AC">
        <w:rPr>
          <w:rFonts w:ascii="Arabic Typesetting" w:hAnsi="Arabic Typesetting" w:hint="cs"/>
          <w:sz w:val="27"/>
          <w:rtl/>
          <w:lang w:bidi="ar-LB"/>
        </w:rPr>
        <w:t>و</w:t>
      </w:r>
      <w:r w:rsidR="008D51F3" w:rsidRPr="006571AC">
        <w:rPr>
          <w:rFonts w:ascii="Arabic Typesetting" w:hAnsi="Arabic Typesetting"/>
          <w:sz w:val="27"/>
          <w:rtl/>
          <w:lang w:bidi="ar-LB"/>
        </w:rPr>
        <w:t>مفاد</w:t>
      </w:r>
      <w:r w:rsidRPr="006571AC">
        <w:rPr>
          <w:rFonts w:ascii="Arabic Typesetting" w:hAnsi="Arabic Typesetting" w:hint="cs"/>
          <w:sz w:val="27"/>
          <w:rtl/>
          <w:lang w:bidi="ar-LB"/>
        </w:rPr>
        <w:t>ُ</w:t>
      </w:r>
      <w:r w:rsidR="008D51F3" w:rsidRPr="006571AC">
        <w:rPr>
          <w:rFonts w:ascii="Arabic Typesetting" w:hAnsi="Arabic Typesetting"/>
          <w:sz w:val="27"/>
          <w:rtl/>
          <w:lang w:bidi="ar-LB"/>
        </w:rPr>
        <w:t>ه: إن</w:t>
      </w:r>
      <w:r w:rsidRPr="006571AC">
        <w:rPr>
          <w:rFonts w:ascii="Arabic Typesetting" w:hAnsi="Arabic Typesetting" w:hint="cs"/>
          <w:sz w:val="27"/>
          <w:rtl/>
          <w:lang w:bidi="ar-LB"/>
        </w:rPr>
        <w:t>ْ</w:t>
      </w:r>
      <w:r w:rsidR="008D51F3" w:rsidRPr="006571AC">
        <w:rPr>
          <w:rFonts w:ascii="Arabic Typesetting" w:hAnsi="Arabic Typesetting"/>
          <w:sz w:val="27"/>
          <w:rtl/>
          <w:lang w:bidi="ar-LB"/>
        </w:rPr>
        <w:t xml:space="preserve"> كان الظهور الذاتي هو ما يتبادر إلى ذهن الفرد وينسبق إليه</w:t>
      </w:r>
      <w:r w:rsidRPr="006571AC">
        <w:rPr>
          <w:rFonts w:ascii="Arabic Typesetting" w:hAnsi="Arabic Typesetting" w:hint="cs"/>
          <w:sz w:val="27"/>
          <w:rtl/>
          <w:lang w:bidi="ar-LB"/>
        </w:rPr>
        <w:t>،</w:t>
      </w:r>
      <w:r w:rsidR="008D51F3" w:rsidRPr="006571AC">
        <w:rPr>
          <w:rFonts w:ascii="Arabic Typesetting" w:hAnsi="Arabic Typesetting"/>
          <w:sz w:val="27"/>
          <w:rtl/>
          <w:lang w:bidi="ar-LB"/>
        </w:rPr>
        <w:t xml:space="preserve"> ويتأثّ</w:t>
      </w:r>
      <w:r w:rsidRPr="006571AC">
        <w:rPr>
          <w:rFonts w:ascii="Arabic Typesetting" w:hAnsi="Arabic Typesetting" w:hint="cs"/>
          <w:sz w:val="27"/>
          <w:rtl/>
          <w:lang w:bidi="ar-LB"/>
        </w:rPr>
        <w:t>َ</w:t>
      </w:r>
      <w:r w:rsidR="008D51F3" w:rsidRPr="006571AC">
        <w:rPr>
          <w:rFonts w:ascii="Arabic Typesetting" w:hAnsi="Arabic Typesetting"/>
          <w:sz w:val="27"/>
          <w:rtl/>
          <w:lang w:bidi="ar-LB"/>
        </w:rPr>
        <w:t xml:space="preserve">ر بما سبق، فكيف لنا أن نصل إلى الظهور الموضوعي؟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ويجيب الشهيد الصدر بأنه لو لاحظنا العقلاء لوج</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ناهم يجعلون ما يتبادر وينسبق إلى ذهن كل</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شخص</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أمارةً وكاشفا</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 الظهور الموضوعي المشترك عند أبناء الع</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ف؛ لأن هذا الانسباق مسبَّب</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 أحد أمر</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ن: </w:t>
      </w:r>
    </w:p>
    <w:p w:rsidR="008D51F3" w:rsidRPr="006571AC" w:rsidRDefault="008D51F3" w:rsidP="005B0CA4">
      <w:pPr>
        <w:pStyle w:val="af"/>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ـ </w:t>
      </w:r>
      <w:r w:rsidRPr="006571AC">
        <w:rPr>
          <w:rFonts w:ascii="Arabic Typesetting" w:hAnsi="Arabic Typesetting" w:cs="AL-Mohanad"/>
          <w:sz w:val="27"/>
          <w:szCs w:val="27"/>
          <w:rtl/>
          <w:lang w:bidi="ar-LB"/>
        </w:rPr>
        <w:t>إما أن يكون بسبب الو</w:t>
      </w:r>
      <w:r w:rsidR="00AF77E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w:t>
      </w:r>
      <w:r w:rsidR="00AF77E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ع</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43"/>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af"/>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ـ </w:t>
      </w:r>
      <w:r w:rsidRPr="006571AC">
        <w:rPr>
          <w:rFonts w:ascii="Arabic Typesetting" w:hAnsi="Arabic Typesetting" w:cs="AL-Mohanad"/>
          <w:sz w:val="27"/>
          <w:szCs w:val="27"/>
          <w:rtl/>
          <w:lang w:bidi="ar-LB"/>
        </w:rPr>
        <w:t>وإما أن يكون بسبب عوامل خاص</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به أدّ</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إلى حصول أ</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ذهني عنده بين اللفظ وبين معنى</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خاص</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تابع</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لهذه العوامل. </w:t>
      </w:r>
    </w:p>
    <w:p w:rsidR="008D51F3" w:rsidRPr="006571AC" w:rsidRDefault="008D51F3" w:rsidP="005B0CA4">
      <w:pPr>
        <w:rPr>
          <w:rFonts w:ascii="Arabic Typesetting" w:hAnsi="Arabic Typesetting"/>
          <w:b/>
          <w:bCs/>
          <w:sz w:val="27"/>
          <w:rtl/>
          <w:lang w:bidi="ar-LB"/>
        </w:rPr>
      </w:pPr>
      <w:r w:rsidRPr="006571AC">
        <w:rPr>
          <w:rFonts w:ascii="Arabic Typesetting" w:hAnsi="Arabic Typesetting"/>
          <w:sz w:val="27"/>
          <w:rtl/>
          <w:lang w:bidi="ar-LB"/>
        </w:rPr>
        <w:t>وعلى هذا الأساس، لو فحص الإنسان</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ولم يجد عوامل خاص</w:t>
      </w:r>
      <w:r w:rsidR="00BC3FD4" w:rsidRPr="006571AC">
        <w:rPr>
          <w:rFonts w:ascii="Arabic Typesetting" w:hAnsi="Arabic Typesetting" w:hint="cs"/>
          <w:sz w:val="27"/>
          <w:rtl/>
          <w:lang w:bidi="ar-LB"/>
        </w:rPr>
        <w:t>ّ</w:t>
      </w:r>
      <w:r w:rsidRPr="006571AC">
        <w:rPr>
          <w:rFonts w:ascii="Arabic Typesetting" w:hAnsi="Arabic Typesetting"/>
          <w:sz w:val="27"/>
          <w:rtl/>
          <w:lang w:bidi="ar-LB"/>
        </w:rPr>
        <w:t>ة يفسّ</w:t>
      </w:r>
      <w:r w:rsidR="00BC3FD4" w:rsidRPr="006571AC">
        <w:rPr>
          <w:rFonts w:ascii="Arabic Typesetting" w:hAnsi="Arabic Typesetting" w:hint="cs"/>
          <w:sz w:val="27"/>
          <w:rtl/>
          <w:lang w:bidi="ar-LB"/>
        </w:rPr>
        <w:t>ِ</w:t>
      </w:r>
      <w:r w:rsidRPr="006571AC">
        <w:rPr>
          <w:rFonts w:ascii="Arabic Typesetting" w:hAnsi="Arabic Typesetting"/>
          <w:sz w:val="27"/>
          <w:rtl/>
          <w:lang w:bidi="ar-LB"/>
        </w:rPr>
        <w:t>ر بها ذلك الانسباق</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انتفى السبب الثاني، فيتعيّ</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ن السبب الأو</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ل. وبالتالي يكون الظهور الذاتي، بعد الفحص، أمارة</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على الظهور الموضوعي</w:t>
      </w:r>
      <w:r w:rsidRPr="006571AC">
        <w:rPr>
          <w:rFonts w:ascii="Arabic Typesetting" w:hAnsi="Arabic Typesetting"/>
          <w:sz w:val="27"/>
          <w:vertAlign w:val="superscript"/>
          <w:rtl/>
          <w:lang w:bidi="ar-LB"/>
        </w:rPr>
        <w:t>(</w:t>
      </w:r>
      <w:r w:rsidRPr="006571AC">
        <w:rPr>
          <w:rStyle w:val="ac"/>
          <w:rFonts w:ascii="Arabic Typesetting" w:eastAsiaTheme="majorEastAsia" w:hAnsi="Arabic Typesetting"/>
          <w:sz w:val="27"/>
          <w:rtl/>
          <w:lang w:bidi="ar-LB"/>
        </w:rPr>
        <w:endnoteReference w:id="544"/>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037A9B">
      <w:pPr>
        <w:spacing w:line="430" w:lineRule="exact"/>
        <w:rPr>
          <w:rFonts w:ascii="Arabic Typesetting" w:hAnsi="Arabic Typesetting"/>
          <w:b/>
          <w:bCs/>
          <w:sz w:val="27"/>
          <w:rtl/>
          <w:lang w:bidi="ar-LB"/>
        </w:rPr>
      </w:pPr>
    </w:p>
    <w:p w:rsidR="008D51F3" w:rsidRPr="006571AC" w:rsidRDefault="00846381" w:rsidP="00D246D3">
      <w:pPr>
        <w:pStyle w:val="31"/>
        <w:rPr>
          <w:color w:val="auto"/>
          <w:rtl/>
          <w:lang w:bidi="ar-LB"/>
        </w:rPr>
      </w:pPr>
      <w:bookmarkStart w:id="335" w:name="_Toc114164761"/>
      <w:r w:rsidRPr="006571AC">
        <w:rPr>
          <w:rFonts w:hint="cs"/>
          <w:color w:val="auto"/>
          <w:rtl/>
          <w:lang w:bidi="ar-LB"/>
        </w:rPr>
        <w:t>شبهةٌ وردّ</w:t>
      </w:r>
      <w:bookmarkEnd w:id="335"/>
      <w:r w:rsidR="008D51F3" w:rsidRPr="006571AC">
        <w:rPr>
          <w:color w:val="auto"/>
          <w:lang w:bidi="ar-LB"/>
        </w:rPr>
        <w:t xml:space="preserve"> </w:t>
      </w:r>
    </w:p>
    <w:p w:rsidR="008D51F3" w:rsidRPr="006571AC" w:rsidRDefault="008D51F3" w:rsidP="005B0CA4">
      <w:pPr>
        <w:rPr>
          <w:rFonts w:ascii="Arabic Typesetting" w:hAnsi="Arabic Typesetting"/>
          <w:sz w:val="27"/>
          <w:lang w:bidi="ar-LB"/>
        </w:rPr>
      </w:pPr>
      <w:r w:rsidRPr="006571AC">
        <w:rPr>
          <w:rFonts w:ascii="Arabic Typesetting" w:hAnsi="Arabic Typesetting"/>
          <w:sz w:val="27"/>
          <w:rtl/>
          <w:lang w:bidi="ar-LB"/>
        </w:rPr>
        <w:t>لكن</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هذا لا يحلّ تمام المشكلة</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إذ ثم</w:t>
      </w:r>
      <w:r w:rsidR="00BC3FD4" w:rsidRPr="006571AC">
        <w:rPr>
          <w:rFonts w:ascii="Arabic Typesetting" w:hAnsi="Arabic Typesetting" w:hint="cs"/>
          <w:sz w:val="27"/>
          <w:rtl/>
          <w:lang w:bidi="ar-LB"/>
        </w:rPr>
        <w:t>ّ</w:t>
      </w:r>
      <w:r w:rsidRPr="006571AC">
        <w:rPr>
          <w:rFonts w:ascii="Arabic Typesetting" w:hAnsi="Arabic Typesetting"/>
          <w:sz w:val="27"/>
          <w:rtl/>
          <w:lang w:bidi="ar-LB"/>
        </w:rPr>
        <w:t>ة إشكال</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آخر مفاد</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ه: سلّ</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م</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نا أن الظهور الذاتي كاشف</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عقلائي عن الظهور الموضوعي، لكن</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الظهور الذاتي للمفسِّر في زمنه كاشفٌ عن الظهور الموضوعي في نفس الزمن، لا عن الظهور الموضوعي في زمن صدور النص</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طبعا</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مع فرض اختلاف الزمنين</w:t>
      </w:r>
      <w:r w:rsidR="00BC3FD4" w:rsidRPr="006571AC">
        <w:rPr>
          <w:rFonts w:ascii="Arabic Typesetting" w:hAnsi="Arabic Typesetting" w:hint="cs"/>
          <w:sz w:val="27"/>
          <w:rtl/>
          <w:lang w:bidi="ar-LB"/>
        </w:rPr>
        <w:t xml:space="preserve">، </w:t>
      </w:r>
      <w:r w:rsidRPr="006571AC">
        <w:rPr>
          <w:rFonts w:ascii="Arabic Typesetting" w:hAnsi="Arabic Typesetting"/>
          <w:sz w:val="27"/>
          <w:rtl/>
          <w:lang w:bidi="ar-LB"/>
        </w:rPr>
        <w:t xml:space="preserve">كما هو الحال في عصرنا.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وقد أجاب الشهيد الصدر عن هذا الإشكال</w:t>
      </w:r>
      <w:r w:rsidRPr="006571AC">
        <w:rPr>
          <w:rFonts w:ascii="Arabic Typesetting" w:hAnsi="Arabic Typesetting" w:cs="AL-Mohanad"/>
          <w:sz w:val="27"/>
          <w:szCs w:val="27"/>
          <w:vertAlign w:val="superscript"/>
          <w:rtl/>
          <w:lang w:bidi="ar-LB"/>
        </w:rPr>
        <w:t>(</w:t>
      </w:r>
      <w:r w:rsidRPr="006571AC">
        <w:rPr>
          <w:rStyle w:val="ac"/>
          <w:rFonts w:ascii="Arabic Typesetting" w:eastAsiaTheme="majorEastAsia" w:hAnsi="Arabic Typesetting" w:cs="AL-Mohanad"/>
          <w:sz w:val="27"/>
          <w:szCs w:val="27"/>
          <w:rtl/>
          <w:lang w:bidi="ar-LB"/>
        </w:rPr>
        <w:endnoteReference w:id="545"/>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من خلال الاستفادة من أصل</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عقلائي</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يُسم</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ى بـ </w:t>
      </w:r>
      <w:r w:rsidRPr="006571AC">
        <w:rPr>
          <w:rFonts w:cs="AL-Mohanad" w:hint="eastAsia"/>
          <w:rtl/>
          <w:lang w:bidi="ar-LB"/>
        </w:rPr>
        <w:t>«</w:t>
      </w:r>
      <w:r w:rsidRPr="006571AC">
        <w:rPr>
          <w:rFonts w:ascii="Arabic Typesetting" w:hAnsi="Arabic Typesetting" w:cs="AL-Mohanad"/>
          <w:sz w:val="27"/>
          <w:szCs w:val="27"/>
          <w:rtl/>
          <w:lang w:bidi="ar-LB"/>
        </w:rPr>
        <w:t>أصالة عدم النقل</w:t>
      </w:r>
      <w:r w:rsidRPr="006571AC">
        <w:rPr>
          <w:rFonts w:cs="AL-Mohanad" w:hint="eastAsia"/>
          <w:rtl/>
        </w:rPr>
        <w:t>»</w:t>
      </w:r>
      <w:r w:rsidRPr="006571AC">
        <w:rPr>
          <w:rFonts w:ascii="Arabic Typesetting" w:hAnsi="Arabic Typesetting" w:cs="AL-Mohanad"/>
          <w:sz w:val="27"/>
          <w:szCs w:val="27"/>
          <w:vertAlign w:val="superscript"/>
          <w:rtl/>
          <w:lang w:bidi="ar-LB"/>
        </w:rPr>
        <w:t>(</w:t>
      </w:r>
      <w:r w:rsidRPr="006571AC">
        <w:rPr>
          <w:rStyle w:val="ac"/>
          <w:rFonts w:ascii="Arabic Typesetting" w:eastAsiaTheme="majorEastAsia" w:hAnsi="Arabic Typesetting" w:cs="AL-Mohanad"/>
          <w:sz w:val="27"/>
          <w:szCs w:val="27"/>
          <w:rtl/>
          <w:lang w:bidi="ar-LB"/>
        </w:rPr>
        <w:endnoteReference w:id="546"/>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والشهيد الصدر يُسمّيه بـ </w:t>
      </w:r>
      <w:r w:rsidRPr="006571AC">
        <w:rPr>
          <w:rFonts w:cs="AL-Mohanad" w:hint="eastAsia"/>
          <w:rtl/>
          <w:lang w:bidi="ar-LB"/>
        </w:rPr>
        <w:t>«</w:t>
      </w:r>
      <w:r w:rsidRPr="006571AC">
        <w:rPr>
          <w:rFonts w:ascii="Arabic Typesetting" w:hAnsi="Arabic Typesetting" w:cs="AL-Mohanad"/>
          <w:sz w:val="27"/>
          <w:szCs w:val="27"/>
          <w:rtl/>
          <w:lang w:bidi="ar-LB"/>
        </w:rPr>
        <w:t xml:space="preserve">أصالة الثبات في </w:t>
      </w:r>
      <w:r w:rsidRPr="006571AC">
        <w:rPr>
          <w:rFonts w:ascii="Arabic Typesetting" w:hAnsi="Arabic Typesetting" w:cs="AL-Mohanad"/>
          <w:sz w:val="27"/>
          <w:szCs w:val="27"/>
          <w:rtl/>
          <w:lang w:bidi="ar-LB"/>
        </w:rPr>
        <w:lastRenderedPageBreak/>
        <w:t>اللغة</w:t>
      </w:r>
      <w:r w:rsidRPr="006571AC">
        <w:rPr>
          <w:rFonts w:cs="AL-Mohanad" w:hint="eastAsia"/>
          <w:rtl/>
        </w:rPr>
        <w:t>»</w:t>
      </w:r>
      <w:r w:rsidRPr="006571AC">
        <w:rPr>
          <w:rFonts w:ascii="Arabic Typesetting" w:hAnsi="Arabic Typesetting" w:cs="AL-Mohanad"/>
          <w:sz w:val="27"/>
          <w:szCs w:val="27"/>
          <w:rtl/>
          <w:lang w:bidi="ar-LB"/>
        </w:rPr>
        <w:t>. فهذا الأصل العقلائي</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يحكي عن استقرار اللغة وثباتها بنظر الأفراد، فيعمد العقلاء بناءً على هذا الأصل إلى إلغاء احتمال تغيّ</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الظهور بين زمن</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وزمن</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لأنه احتمال</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ضئيل</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وحالة</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استثنائي</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ة. </w:t>
      </w:r>
    </w:p>
    <w:p w:rsidR="008D51F3" w:rsidRPr="006571AC" w:rsidRDefault="008D51F3" w:rsidP="005B0CA4">
      <w:pPr>
        <w:rPr>
          <w:rFonts w:ascii="Arabic Typesetting" w:hAnsi="Arabic Typesetting"/>
          <w:b/>
          <w:bCs/>
          <w:sz w:val="27"/>
          <w:rtl/>
        </w:rPr>
      </w:pPr>
      <w:r w:rsidRPr="006571AC">
        <w:rPr>
          <w:rFonts w:ascii="Arabic Typesetting" w:hAnsi="Arabic Typesetting"/>
          <w:sz w:val="27"/>
          <w:rtl/>
          <w:lang w:bidi="ar-LB"/>
        </w:rPr>
        <w:t>وهذا الأصل العقلائي ليس تعب</w:t>
      </w:r>
      <w:r w:rsidR="00BC3FD4" w:rsidRPr="006571AC">
        <w:rPr>
          <w:rFonts w:ascii="Arabic Typesetting" w:hAnsi="Arabic Typesetting" w:hint="cs"/>
          <w:sz w:val="27"/>
          <w:rtl/>
          <w:lang w:bidi="ar-LB"/>
        </w:rPr>
        <w:t>ُّ</w:t>
      </w:r>
      <w:r w:rsidRPr="006571AC">
        <w:rPr>
          <w:rFonts w:ascii="Arabic Typesetting" w:hAnsi="Arabic Typesetting"/>
          <w:sz w:val="27"/>
          <w:rtl/>
          <w:lang w:bidi="ar-LB"/>
        </w:rPr>
        <w:t>ديا</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بل هو كاشف</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عند العقلاء عن ثبات اللغة عند احتمال التغي</w:t>
      </w:r>
      <w:r w:rsidR="00BC3FD4" w:rsidRPr="006571AC">
        <w:rPr>
          <w:rFonts w:ascii="Arabic Typesetting" w:hAnsi="Arabic Typesetting" w:hint="cs"/>
          <w:sz w:val="27"/>
          <w:rtl/>
          <w:lang w:bidi="ar-LB"/>
        </w:rPr>
        <w:t>ُّ</w:t>
      </w:r>
      <w:r w:rsidRPr="006571AC">
        <w:rPr>
          <w:rFonts w:ascii="Arabic Typesetting" w:hAnsi="Arabic Typesetting"/>
          <w:sz w:val="27"/>
          <w:rtl/>
          <w:lang w:bidi="ar-LB"/>
        </w:rPr>
        <w:t>ر والتبد</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ل. وهذا الجواب قد تقدّ</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م بشكل</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أكثر تفصيلا</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في المانع الثاني. </w:t>
      </w:r>
    </w:p>
    <w:p w:rsidR="008D51F3" w:rsidRPr="006571AC" w:rsidRDefault="008D51F3" w:rsidP="00037A9B">
      <w:pPr>
        <w:spacing w:line="410" w:lineRule="exact"/>
        <w:rPr>
          <w:rFonts w:ascii="Arabic Typesetting" w:hAnsi="Arabic Typesetting"/>
          <w:b/>
          <w:bCs/>
          <w:sz w:val="27"/>
          <w:rtl/>
        </w:rPr>
      </w:pPr>
    </w:p>
    <w:p w:rsidR="008D51F3" w:rsidRPr="006571AC" w:rsidRDefault="00846381" w:rsidP="00D246D3">
      <w:pPr>
        <w:pStyle w:val="31"/>
        <w:rPr>
          <w:color w:val="auto"/>
          <w:rtl/>
        </w:rPr>
      </w:pPr>
      <w:bookmarkStart w:id="336" w:name="_Toc114164762"/>
      <w:r w:rsidRPr="006571AC">
        <w:rPr>
          <w:rFonts w:hint="cs"/>
          <w:color w:val="auto"/>
          <w:rtl/>
        </w:rPr>
        <w:t>ج ـ</w:t>
      </w:r>
      <w:r w:rsidR="008D51F3" w:rsidRPr="006571AC">
        <w:rPr>
          <w:color w:val="auto"/>
          <w:rtl/>
        </w:rPr>
        <w:t xml:space="preserve"> ملاحظة المعصومين</w:t>
      </w:r>
      <w:r w:rsidR="002A2C90" w:rsidRPr="006571AC">
        <w:rPr>
          <w:rFonts w:ascii="Mosawi" w:hAnsi="Mosawi" w:cs="Mosawi"/>
          <w:color w:val="auto"/>
          <w:sz w:val="22"/>
          <w:szCs w:val="22"/>
          <w:rtl/>
        </w:rPr>
        <w:t>^</w:t>
      </w:r>
      <w:r w:rsidR="008D51F3" w:rsidRPr="006571AC">
        <w:rPr>
          <w:color w:val="auto"/>
          <w:rtl/>
        </w:rPr>
        <w:t xml:space="preserve"> على أنهم واحد</w:t>
      </w:r>
      <w:r w:rsidR="00BC3FD4" w:rsidRPr="006571AC">
        <w:rPr>
          <w:rFonts w:hint="cs"/>
          <w:color w:val="auto"/>
          <w:rtl/>
        </w:rPr>
        <w:t>ٌ</w:t>
      </w:r>
      <w:bookmarkEnd w:id="336"/>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هذا المبنى مهم</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جد</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 قراءة النص</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الديني الروائي عند الشهيد الصدر</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وله بُع</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دان: </w:t>
      </w:r>
    </w:p>
    <w:p w:rsidR="008D51F3" w:rsidRPr="006571AC" w:rsidRDefault="008D51F3" w:rsidP="005B0CA4">
      <w:pPr>
        <w:pStyle w:val="af"/>
        <w:rPr>
          <w:rFonts w:ascii="Arabic Typesetting" w:hAnsi="Arabic Typesetting" w:cs="AL-Mohanad"/>
          <w:sz w:val="27"/>
          <w:szCs w:val="27"/>
          <w:lang w:bidi="ar-LB"/>
        </w:rPr>
      </w:pPr>
      <w:r w:rsidRPr="006571AC">
        <w:rPr>
          <w:rFonts w:ascii="Arabic Typesetting" w:hAnsi="Arabic Typesetting" w:cs="AL-Mohanad" w:hint="cs"/>
          <w:b/>
          <w:bCs/>
          <w:sz w:val="27"/>
          <w:szCs w:val="27"/>
          <w:rtl/>
          <w:lang w:bidi="ar-LB"/>
        </w:rPr>
        <w:t xml:space="preserve">1ـ </w:t>
      </w:r>
      <w:r w:rsidRPr="006571AC">
        <w:rPr>
          <w:rFonts w:ascii="Arabic Typesetting" w:hAnsi="Arabic Typesetting" w:cs="AL-Mohanad"/>
          <w:b/>
          <w:bCs/>
          <w:sz w:val="27"/>
          <w:szCs w:val="27"/>
          <w:rtl/>
          <w:lang w:bidi="ar-LB"/>
        </w:rPr>
        <w:t>عصمة النبي</w:t>
      </w:r>
      <w:r w:rsidR="00BC3FD4" w:rsidRPr="006571AC">
        <w:rPr>
          <w:rFonts w:ascii="Arabic Typesetting" w:hAnsi="Arabic Typesetting" w:cs="AL-Mohanad" w:hint="cs"/>
          <w:b/>
          <w:bCs/>
          <w:sz w:val="27"/>
          <w:szCs w:val="27"/>
          <w:rtl/>
          <w:lang w:bidi="ar-LB"/>
        </w:rPr>
        <w:t>ّ</w:t>
      </w:r>
      <w:r w:rsidR="002A2C90" w:rsidRPr="006571AC">
        <w:rPr>
          <w:rFonts w:ascii="Mosawi" w:hAnsi="Mosawi" w:cs="Mosawi"/>
          <w:sz w:val="22"/>
          <w:szCs w:val="22"/>
          <w:rtl/>
        </w:rPr>
        <w:t>|</w:t>
      </w:r>
      <w:r w:rsidRPr="006571AC">
        <w:rPr>
          <w:rFonts w:ascii="Arabic Typesetting" w:hAnsi="Arabic Typesetting" w:cs="AL-Mohanad"/>
          <w:b/>
          <w:bCs/>
          <w:sz w:val="27"/>
          <w:szCs w:val="27"/>
          <w:rtl/>
          <w:lang w:bidi="ar-LB"/>
        </w:rPr>
        <w:t xml:space="preserve"> والأئم</w:t>
      </w:r>
      <w:r w:rsidR="00BC3FD4"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ة</w:t>
      </w:r>
      <w:r w:rsidR="002A2C90" w:rsidRPr="006571AC">
        <w:rPr>
          <w:rFonts w:ascii="Mosawi" w:hAnsi="Mosawi" w:cs="Mosawi"/>
          <w:sz w:val="22"/>
          <w:szCs w:val="22"/>
          <w:rtl/>
        </w:rPr>
        <w:t>^</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47"/>
      </w:r>
      <w:r w:rsidRPr="006571AC">
        <w:rPr>
          <w:rFonts w:ascii="Arabic Typesetting" w:hAnsi="Arabic Typesetting" w:cs="AL-Mohanad"/>
          <w:sz w:val="27"/>
          <w:szCs w:val="27"/>
          <w:vertAlign w:val="superscript"/>
          <w:rtl/>
          <w:lang w:bidi="ar-LB"/>
        </w:rPr>
        <w:t>)</w:t>
      </w:r>
      <w:r w:rsidRPr="006571AC">
        <w:rPr>
          <w:rStyle w:val="2Char"/>
          <w:rFonts w:ascii="Arabic Typesetting" w:hAnsi="Arabic Typesetting" w:cs="AL-Mohanad"/>
          <w:color w:val="auto"/>
          <w:sz w:val="27"/>
          <w:szCs w:val="27"/>
          <w:rtl/>
          <w:lang w:bidi="ar-LB"/>
        </w:rPr>
        <w:t xml:space="preserve">: </w:t>
      </w:r>
      <w:r w:rsidRPr="006571AC">
        <w:rPr>
          <w:rFonts w:ascii="Arabic Typesetting" w:hAnsi="Arabic Typesetting" w:cs="AL-Mohanad"/>
          <w:sz w:val="27"/>
          <w:szCs w:val="27"/>
          <w:rtl/>
          <w:lang w:bidi="ar-LB"/>
        </w:rPr>
        <w:t>وهذا ما يترت</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 عليه أثر</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مهم</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 فهم الروايات، وهو استحالة وقوع التعارض بين كلماتهم. ففي هذه الحالة </w:t>
      </w:r>
      <w:r w:rsidR="00731867" w:rsidRPr="006571AC">
        <w:rPr>
          <w:rFonts w:ascii="Arabic Typesetting" w:hAnsi="Arabic Typesetting" w:cs="AL-Mohanad"/>
          <w:sz w:val="27"/>
          <w:szCs w:val="27"/>
          <w:rtl/>
          <w:lang w:bidi="ar-LB"/>
        </w:rPr>
        <w:t>لا بُدَّ</w:t>
      </w:r>
      <w:r w:rsidRPr="006571AC">
        <w:rPr>
          <w:rFonts w:ascii="Arabic Typesetting" w:hAnsi="Arabic Typesetting" w:cs="AL-Mohanad"/>
          <w:sz w:val="27"/>
          <w:szCs w:val="27"/>
          <w:rtl/>
          <w:lang w:bidi="ar-LB"/>
        </w:rPr>
        <w:t xml:space="preserve"> أن يُح</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م</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 التعارض على أنه تعارض</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بدوي، ثم يُصار إلى حلّ</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ه بإحدى طرق علاج التعارض.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hint="cs"/>
          <w:b/>
          <w:bCs/>
          <w:sz w:val="27"/>
          <w:szCs w:val="27"/>
          <w:rtl/>
          <w:lang w:bidi="ar-LB"/>
        </w:rPr>
        <w:t xml:space="preserve">2ـ </w:t>
      </w:r>
      <w:r w:rsidRPr="006571AC">
        <w:rPr>
          <w:rFonts w:ascii="Arabic Typesetting" w:hAnsi="Arabic Typesetting" w:cs="AL-Mohanad"/>
          <w:b/>
          <w:bCs/>
          <w:sz w:val="27"/>
          <w:szCs w:val="27"/>
          <w:rtl/>
          <w:lang w:bidi="ar-LB"/>
        </w:rPr>
        <w:t>اشتراك الأئم</w:t>
      </w:r>
      <w:r w:rsidR="00855155"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ة</w:t>
      </w:r>
      <w:r w:rsidR="002A2C90" w:rsidRPr="006571AC">
        <w:rPr>
          <w:rFonts w:ascii="Mosawi" w:hAnsi="Mosawi" w:cs="Mosawi"/>
          <w:sz w:val="22"/>
          <w:szCs w:val="22"/>
          <w:rtl/>
        </w:rPr>
        <w:t>^</w:t>
      </w:r>
      <w:r w:rsidRPr="006571AC">
        <w:rPr>
          <w:rFonts w:ascii="Arabic Typesetting" w:hAnsi="Arabic Typesetting" w:cs="AL-Mohanad"/>
          <w:b/>
          <w:bCs/>
          <w:sz w:val="27"/>
          <w:szCs w:val="27"/>
          <w:rtl/>
          <w:lang w:bidi="ar-LB"/>
        </w:rPr>
        <w:t xml:space="preserve"> في الهدف</w:t>
      </w:r>
      <w:r w:rsidRPr="006571AC">
        <w:rPr>
          <w:rFonts w:ascii="Arabic Typesetting" w:hAnsi="Arabic Typesetting" w:cs="AL-Mohanad"/>
          <w:sz w:val="27"/>
          <w:szCs w:val="27"/>
          <w:rtl/>
          <w:lang w:bidi="ar-LB"/>
        </w:rPr>
        <w:t>: يعتقد الشهيد الصدر أنه يجب أن ندرس حياة الأئم</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بنحو</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مجزّأ ومستقل</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وهذا مهم</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لإنجاز دراسة</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كاملة وقراءة</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كل</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ية عنهم</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ف</w:t>
      </w:r>
      <w:r w:rsidR="00731867" w:rsidRPr="006571AC">
        <w:rPr>
          <w:rFonts w:ascii="Arabic Typesetting" w:hAnsi="Arabic Typesetting" w:cs="AL-Mohanad"/>
          <w:sz w:val="27"/>
          <w:szCs w:val="27"/>
          <w:rtl/>
          <w:lang w:bidi="ar-LB"/>
        </w:rPr>
        <w:t>لا بُدَّ</w:t>
      </w:r>
      <w:r w:rsidRPr="006571AC">
        <w:rPr>
          <w:rFonts w:ascii="Arabic Typesetting" w:hAnsi="Arabic Typesetting" w:cs="AL-Mohanad"/>
          <w:sz w:val="27"/>
          <w:szCs w:val="27"/>
          <w:rtl/>
          <w:lang w:bidi="ar-LB"/>
        </w:rPr>
        <w:t xml:space="preserve"> من دراسة حياة كل</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إمام</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حدة</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وبنحو</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مجتزأ</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وإلى أوسع حدّ</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ممكن، ونلاحظ أهدافه ونشاطاته، حت</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ى نتمك</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 بعد ذلك من دراستهم</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ككل</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فنستخلص ال</w:t>
      </w:r>
      <w:r w:rsidR="00855155" w:rsidRPr="006571AC">
        <w:rPr>
          <w:rFonts w:ascii="Arabic Typesetting" w:hAnsi="Arabic Typesetting" w:cs="AL-Mohanad"/>
          <w:sz w:val="27"/>
          <w:szCs w:val="27"/>
          <w:rtl/>
          <w:lang w:bidi="ar-LB"/>
        </w:rPr>
        <w:t>د</w:t>
      </w:r>
      <w:r w:rsidR="00855155" w:rsidRPr="006571AC">
        <w:rPr>
          <w:rFonts w:ascii="Arabic Typesetting" w:hAnsi="Arabic Typesetting" w:cs="AL-Mohanad" w:hint="cs"/>
          <w:sz w:val="27"/>
          <w:szCs w:val="27"/>
          <w:rtl/>
          <w:lang w:bidi="ar-LB"/>
        </w:rPr>
        <w:t>َّ</w:t>
      </w:r>
      <w:r w:rsidR="00EA38F1" w:rsidRPr="006571AC">
        <w:rPr>
          <w:rFonts w:ascii="Arabic Typesetting" w:hAnsi="Arabic Typesetting" w:cs="AL-Mohanad"/>
          <w:sz w:val="27"/>
          <w:szCs w:val="27"/>
          <w:rtl/>
          <w:lang w:bidi="ar-LB"/>
        </w:rPr>
        <w:t>وْر</w:t>
      </w:r>
      <w:r w:rsidRPr="006571AC">
        <w:rPr>
          <w:rFonts w:ascii="Arabic Typesetting" w:hAnsi="Arabic Typesetting" w:cs="AL-Mohanad"/>
          <w:sz w:val="27"/>
          <w:szCs w:val="27"/>
          <w:rtl/>
          <w:lang w:bidi="ar-LB"/>
        </w:rPr>
        <w:t xml:space="preserve"> المشترك</w:t>
      </w:r>
      <w:r w:rsidRPr="006571AC">
        <w:rPr>
          <w:rFonts w:ascii="Arabic Typesetting" w:hAnsi="Arabic Typesetting" w:cs="AL-Mohanad"/>
          <w:sz w:val="27"/>
          <w:szCs w:val="27"/>
          <w:vertAlign w:val="superscript"/>
          <w:rtl/>
          <w:lang w:bidi="ar-LB"/>
        </w:rPr>
        <w:t>(</w:t>
      </w:r>
      <w:r w:rsidRPr="006571AC">
        <w:rPr>
          <w:rStyle w:val="ac"/>
          <w:rFonts w:ascii="Arabic Typesetting" w:eastAsiaTheme="majorEastAsia" w:hAnsi="Arabic Typesetting" w:cs="AL-Mohanad"/>
          <w:sz w:val="27"/>
          <w:szCs w:val="27"/>
          <w:rtl/>
          <w:lang w:bidi="ar-LB"/>
        </w:rPr>
        <w:endnoteReference w:id="548"/>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للأئم</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2A2C90" w:rsidRPr="006571AC">
        <w:rPr>
          <w:rFonts w:ascii="Mosawi" w:hAnsi="Mosawi" w:cs="Mosawi"/>
          <w:sz w:val="22"/>
          <w:szCs w:val="22"/>
          <w:rtl/>
        </w:rPr>
        <w:t>^</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49"/>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w:t>
      </w:r>
      <w:r w:rsidRPr="006571AC">
        <w:rPr>
          <w:rFonts w:ascii="Arabic Typesetting" w:hAnsi="Arabic Typesetting" w:cs="AL-Mohanad"/>
          <w:b/>
          <w:bCs/>
          <w:sz w:val="27"/>
          <w:szCs w:val="27"/>
          <w:rtl/>
          <w:lang w:bidi="ar-LB"/>
        </w:rPr>
        <w:t xml:space="preserve"> </w:t>
      </w:r>
    </w:p>
    <w:p w:rsidR="008D51F3" w:rsidRPr="006571AC" w:rsidRDefault="008D51F3" w:rsidP="00110321">
      <w:pPr>
        <w:pStyle w:val="af1"/>
        <w:spacing w:after="0" w:line="400" w:lineRule="exact"/>
        <w:ind w:left="0" w:firstLine="567"/>
        <w:jc w:val="both"/>
        <w:rPr>
          <w:rFonts w:ascii="Arabic Typesetting" w:hAnsi="Arabic Typesetting" w:cs="AL-Mohanad"/>
          <w:sz w:val="27"/>
          <w:szCs w:val="27"/>
          <w:rtl/>
        </w:rPr>
      </w:pPr>
      <w:r w:rsidRPr="006571AC">
        <w:rPr>
          <w:rFonts w:ascii="Arabic Typesetting" w:hAnsi="Arabic Typesetting" w:cs="AL-Mohanad"/>
          <w:sz w:val="27"/>
          <w:szCs w:val="27"/>
          <w:rtl/>
          <w:lang w:bidi="ar-LB"/>
        </w:rPr>
        <w:t>ولا يخفى ضرورة هذا الاتجاه ـ بنظر السيد الشهيد ـ لفهم النصوص الدينية وما تحكي عنه</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بل لولاه قد نقع </w:t>
      </w:r>
      <w:r w:rsidR="00110321" w:rsidRPr="006571AC">
        <w:rPr>
          <w:rFonts w:ascii="Arabic Typesetting" w:hAnsi="Arabic Typesetting" w:cs="AL-Mohanad" w:hint="cs"/>
          <w:sz w:val="27"/>
          <w:szCs w:val="27"/>
          <w:rtl/>
          <w:lang w:bidi="ar-LB"/>
        </w:rPr>
        <w:t xml:space="preserve">في </w:t>
      </w:r>
      <w:r w:rsidRPr="006571AC">
        <w:rPr>
          <w:rFonts w:ascii="Arabic Typesetting" w:hAnsi="Arabic Typesetting" w:cs="AL-Mohanad"/>
          <w:sz w:val="27"/>
          <w:szCs w:val="27"/>
          <w:rtl/>
          <w:lang w:bidi="ar-LB"/>
        </w:rPr>
        <w:t>اشتباهات</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وأخطاء في الفهم</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50"/>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w:t>
      </w:r>
      <w:r w:rsidRPr="006571AC">
        <w:rPr>
          <w:rFonts w:ascii="Arabic Typesetting" w:hAnsi="Arabic Typesetting" w:cs="AL-Mohanad"/>
          <w:b/>
          <w:bCs/>
          <w:sz w:val="27"/>
          <w:szCs w:val="27"/>
          <w:rtl/>
          <w:lang w:bidi="ar-LB"/>
        </w:rPr>
        <w:t xml:space="preserve"> </w:t>
      </w:r>
    </w:p>
    <w:p w:rsidR="008D51F3" w:rsidRPr="006571AC" w:rsidRDefault="008D51F3" w:rsidP="00037A9B">
      <w:pPr>
        <w:pStyle w:val="af1"/>
        <w:spacing w:after="0" w:line="410" w:lineRule="exact"/>
        <w:ind w:left="0" w:firstLine="567"/>
        <w:jc w:val="both"/>
        <w:rPr>
          <w:rFonts w:ascii="Arabic Typesetting" w:hAnsi="Arabic Typesetting" w:cs="AL-Mohanad"/>
          <w:sz w:val="27"/>
          <w:szCs w:val="27"/>
          <w:rtl/>
        </w:rPr>
      </w:pPr>
    </w:p>
    <w:p w:rsidR="008D51F3" w:rsidRPr="006571AC" w:rsidRDefault="00846381" w:rsidP="005B0CA4">
      <w:pPr>
        <w:pStyle w:val="31"/>
        <w:spacing w:line="400" w:lineRule="exact"/>
        <w:rPr>
          <w:color w:val="auto"/>
          <w:rtl/>
        </w:rPr>
      </w:pPr>
      <w:bookmarkStart w:id="337" w:name="_Toc114164763"/>
      <w:r w:rsidRPr="006571AC">
        <w:rPr>
          <w:rFonts w:hint="cs"/>
          <w:color w:val="auto"/>
          <w:rtl/>
        </w:rPr>
        <w:t>د ـ</w:t>
      </w:r>
      <w:r w:rsidR="008D51F3" w:rsidRPr="006571AC">
        <w:rPr>
          <w:color w:val="auto"/>
          <w:rtl/>
        </w:rPr>
        <w:t xml:space="preserve"> الق</w:t>
      </w:r>
      <w:r w:rsidR="00855155" w:rsidRPr="006571AC">
        <w:rPr>
          <w:rFonts w:hint="cs"/>
          <w:color w:val="auto"/>
          <w:rtl/>
        </w:rPr>
        <w:t>َ</w:t>
      </w:r>
      <w:r w:rsidR="008D51F3" w:rsidRPr="006571AC">
        <w:rPr>
          <w:color w:val="auto"/>
          <w:rtl/>
        </w:rPr>
        <w:t>ب</w:t>
      </w:r>
      <w:r w:rsidR="00855155" w:rsidRPr="006571AC">
        <w:rPr>
          <w:rFonts w:hint="cs"/>
          <w:color w:val="auto"/>
          <w:rtl/>
        </w:rPr>
        <w:t>ْ</w:t>
      </w:r>
      <w:r w:rsidR="008D51F3" w:rsidRPr="006571AC">
        <w:rPr>
          <w:color w:val="auto"/>
          <w:rtl/>
        </w:rPr>
        <w:t>ليات الضروري</w:t>
      </w:r>
      <w:r w:rsidR="00855155" w:rsidRPr="006571AC">
        <w:rPr>
          <w:rFonts w:hint="cs"/>
          <w:color w:val="auto"/>
          <w:rtl/>
        </w:rPr>
        <w:t>ّ</w:t>
      </w:r>
      <w:r w:rsidR="008D51F3" w:rsidRPr="006571AC">
        <w:rPr>
          <w:color w:val="auto"/>
          <w:rtl/>
        </w:rPr>
        <w:t>ة لفهم النص</w:t>
      </w:r>
      <w:r w:rsidR="00855155" w:rsidRPr="006571AC">
        <w:rPr>
          <w:rFonts w:hint="cs"/>
          <w:color w:val="auto"/>
          <w:rtl/>
        </w:rPr>
        <w:t>ّ</w:t>
      </w:r>
      <w:bookmarkEnd w:id="337"/>
    </w:p>
    <w:p w:rsidR="008D51F3" w:rsidRPr="006571AC" w:rsidRDefault="008D51F3" w:rsidP="005B0CA4">
      <w:pPr>
        <w:rPr>
          <w:rFonts w:ascii="Arabic Typesetting" w:hAnsi="Arabic Typesetting"/>
          <w:sz w:val="27"/>
          <w:lang w:bidi="ar-LB"/>
        </w:rPr>
      </w:pPr>
      <w:r w:rsidRPr="006571AC">
        <w:rPr>
          <w:rFonts w:ascii="Arabic Typesetting" w:hAnsi="Arabic Typesetting"/>
          <w:sz w:val="27"/>
          <w:rtl/>
          <w:lang w:bidi="ar-LB"/>
        </w:rPr>
        <w:t>المراد من القبليات الضرورية هو العلوم والميول التي نحتاج إليها لفهم النص</w:t>
      </w:r>
      <w:r w:rsidR="00855155" w:rsidRPr="006571AC">
        <w:rPr>
          <w:rFonts w:ascii="Arabic Typesetting" w:hAnsi="Arabic Typesetting" w:hint="cs"/>
          <w:sz w:val="27"/>
          <w:rtl/>
          <w:lang w:bidi="ar-LB"/>
        </w:rPr>
        <w:t>ّ</w:t>
      </w:r>
      <w:r w:rsidRPr="006571AC">
        <w:rPr>
          <w:rFonts w:ascii="Arabic Typesetting" w:hAnsi="Arabic Typesetting"/>
          <w:sz w:val="27"/>
          <w:rtl/>
          <w:lang w:bidi="ar-LB"/>
        </w:rPr>
        <w:t>. ولن نفرِّق هنا بين القبليات التي يتوق</w:t>
      </w:r>
      <w:r w:rsidR="00855155" w:rsidRPr="006571AC">
        <w:rPr>
          <w:rFonts w:ascii="Arabic Typesetting" w:hAnsi="Arabic Typesetting" w:hint="cs"/>
          <w:sz w:val="27"/>
          <w:rtl/>
          <w:lang w:bidi="ar-LB"/>
        </w:rPr>
        <w:t>َّ</w:t>
      </w:r>
      <w:r w:rsidRPr="006571AC">
        <w:rPr>
          <w:rFonts w:ascii="Arabic Typesetting" w:hAnsi="Arabic Typesetting"/>
          <w:sz w:val="27"/>
          <w:rtl/>
          <w:lang w:bidi="ar-LB"/>
        </w:rPr>
        <w:t xml:space="preserve">ف عليها الفهم الصحيح </w:t>
      </w:r>
      <w:r w:rsidR="00855155" w:rsidRPr="006571AC">
        <w:rPr>
          <w:rFonts w:ascii="Arabic Typesetting" w:hAnsi="Arabic Typesetting" w:hint="cs"/>
          <w:sz w:val="27"/>
          <w:rtl/>
          <w:lang w:bidi="ar-LB"/>
        </w:rPr>
        <w:t>و</w:t>
      </w:r>
      <w:r w:rsidRPr="006571AC">
        <w:rPr>
          <w:rFonts w:ascii="Arabic Typesetting" w:hAnsi="Arabic Typesetting"/>
          <w:sz w:val="27"/>
          <w:rtl/>
          <w:lang w:bidi="ar-LB"/>
        </w:rPr>
        <w:t>القبليات التي يتوق</w:t>
      </w:r>
      <w:r w:rsidR="00855155" w:rsidRPr="006571AC">
        <w:rPr>
          <w:rFonts w:ascii="Arabic Typesetting" w:hAnsi="Arabic Typesetting" w:hint="cs"/>
          <w:sz w:val="27"/>
          <w:rtl/>
          <w:lang w:bidi="ar-LB"/>
        </w:rPr>
        <w:t>َّ</w:t>
      </w:r>
      <w:r w:rsidRPr="006571AC">
        <w:rPr>
          <w:rFonts w:ascii="Arabic Typesetting" w:hAnsi="Arabic Typesetting"/>
          <w:sz w:val="27"/>
          <w:rtl/>
          <w:lang w:bidi="ar-LB"/>
        </w:rPr>
        <w:t>ف عليها الفهم الأعمق والأكمل</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51"/>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ومن خلال مطالعة آثار الشهيد الصدر يمكننا العثور على جملة</w:t>
      </w:r>
      <w:r w:rsidR="00855155" w:rsidRPr="006571AC">
        <w:rPr>
          <w:rFonts w:ascii="Arabic Typesetting" w:hAnsi="Arabic Typesetting" w:hint="cs"/>
          <w:sz w:val="27"/>
          <w:rtl/>
        </w:rPr>
        <w:t>ٍ</w:t>
      </w:r>
      <w:r w:rsidRPr="006571AC">
        <w:rPr>
          <w:rFonts w:ascii="Arabic Typesetting" w:hAnsi="Arabic Typesetting"/>
          <w:sz w:val="27"/>
          <w:rtl/>
        </w:rPr>
        <w:t xml:space="preserve"> من هذه </w:t>
      </w:r>
      <w:r w:rsidRPr="006571AC">
        <w:rPr>
          <w:rFonts w:ascii="Arabic Typesetting" w:hAnsi="Arabic Typesetting"/>
          <w:sz w:val="27"/>
          <w:rtl/>
        </w:rPr>
        <w:lastRenderedPageBreak/>
        <w:t>القبليات، أهم</w:t>
      </w:r>
      <w:r w:rsidR="00855155" w:rsidRPr="006571AC">
        <w:rPr>
          <w:rFonts w:ascii="Arabic Typesetting" w:hAnsi="Arabic Typesetting" w:hint="cs"/>
          <w:sz w:val="27"/>
          <w:rtl/>
        </w:rPr>
        <w:t>ّ</w:t>
      </w:r>
      <w:r w:rsidRPr="006571AC">
        <w:rPr>
          <w:rFonts w:ascii="Arabic Typesetting" w:hAnsi="Arabic Typesetting"/>
          <w:sz w:val="27"/>
          <w:rtl/>
        </w:rPr>
        <w:t xml:space="preserve">ها: </w:t>
      </w:r>
    </w:p>
    <w:p w:rsidR="008D51F3" w:rsidRPr="006571AC" w:rsidRDefault="008D51F3" w:rsidP="005B0CA4">
      <w:pPr>
        <w:pStyle w:val="af1"/>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1ـ </w:t>
      </w:r>
      <w:r w:rsidRPr="006571AC">
        <w:rPr>
          <w:rFonts w:ascii="Arabic Typesetting" w:eastAsia="Times New Roman" w:hAnsi="Arabic Typesetting" w:cs="AL-Mohanad"/>
          <w:sz w:val="27"/>
          <w:szCs w:val="27"/>
          <w:rtl/>
        </w:rPr>
        <w:t>الفهم اللغوي</w:t>
      </w:r>
      <w:r w:rsidR="00855155" w:rsidRPr="006571AC">
        <w:rPr>
          <w:rFonts w:ascii="Arabic Typesetting" w:eastAsia="Times New Roman" w:hAnsi="Arabic Typesetting" w:cs="AL-Mohanad" w:hint="cs"/>
          <w:sz w:val="27"/>
          <w:szCs w:val="27"/>
          <w:rtl/>
        </w:rPr>
        <w:t>ّ.</w:t>
      </w:r>
    </w:p>
    <w:p w:rsidR="008D51F3" w:rsidRPr="006571AC" w:rsidRDefault="008D51F3" w:rsidP="005B0CA4">
      <w:pPr>
        <w:pStyle w:val="af1"/>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2ـ </w:t>
      </w:r>
      <w:r w:rsidRPr="006571AC">
        <w:rPr>
          <w:rFonts w:ascii="Arabic Typesetting" w:eastAsia="Times New Roman" w:hAnsi="Arabic Typesetting" w:cs="AL-Mohanad"/>
          <w:sz w:val="27"/>
          <w:szCs w:val="27"/>
          <w:rtl/>
        </w:rPr>
        <w:t>إطار النص</w:t>
      </w:r>
      <w:r w:rsidR="0085515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التاريخي</w:t>
      </w:r>
      <w:r w:rsidR="0085515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والفكري</w:t>
      </w:r>
      <w:r w:rsidR="00855155" w:rsidRPr="006571AC">
        <w:rPr>
          <w:rFonts w:ascii="Arabic Typesetting" w:eastAsia="Times New Roman" w:hAnsi="Arabic Typesetting" w:cs="AL-Mohanad" w:hint="cs"/>
          <w:sz w:val="27"/>
          <w:szCs w:val="27"/>
          <w:rtl/>
        </w:rPr>
        <w:t>ّ.</w:t>
      </w:r>
    </w:p>
    <w:p w:rsidR="008D51F3" w:rsidRPr="006571AC" w:rsidRDefault="008D51F3" w:rsidP="005B0CA4">
      <w:pPr>
        <w:pStyle w:val="af1"/>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3ـ </w:t>
      </w:r>
      <w:r w:rsidRPr="006571AC">
        <w:rPr>
          <w:rFonts w:ascii="Arabic Typesetting" w:eastAsia="Times New Roman" w:hAnsi="Arabic Typesetting" w:cs="AL-Mohanad"/>
          <w:sz w:val="27"/>
          <w:szCs w:val="27"/>
          <w:rtl/>
        </w:rPr>
        <w:t>الارتكاز الاجتماعي</w:t>
      </w:r>
      <w:r w:rsidR="00855155" w:rsidRPr="006571AC">
        <w:rPr>
          <w:rFonts w:ascii="Arabic Typesetting" w:eastAsia="Times New Roman" w:hAnsi="Arabic Typesetting" w:cs="AL-Mohanad" w:hint="cs"/>
          <w:sz w:val="27"/>
          <w:szCs w:val="27"/>
          <w:rtl/>
        </w:rPr>
        <w:t>ّ.</w:t>
      </w:r>
    </w:p>
    <w:p w:rsidR="008D51F3" w:rsidRPr="006571AC" w:rsidRDefault="008D51F3" w:rsidP="005B0CA4">
      <w:pPr>
        <w:pStyle w:val="af1"/>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4ـ </w:t>
      </w:r>
      <w:r w:rsidRPr="006571AC">
        <w:rPr>
          <w:rFonts w:ascii="Arabic Typesetting" w:eastAsia="Times New Roman" w:hAnsi="Arabic Typesetting" w:cs="AL-Mohanad"/>
          <w:sz w:val="27"/>
          <w:szCs w:val="27"/>
          <w:rtl/>
        </w:rPr>
        <w:t>المستوى المعرفي للمفسِّر</w:t>
      </w:r>
      <w:r w:rsidR="00855155" w:rsidRPr="006571AC">
        <w:rPr>
          <w:rFonts w:ascii="Arabic Typesetting" w:eastAsia="Times New Roman" w:hAnsi="Arabic Typesetting" w:cs="AL-Mohanad" w:hint="cs"/>
          <w:sz w:val="27"/>
          <w:szCs w:val="27"/>
          <w:rtl/>
        </w:rPr>
        <w:t>.</w:t>
      </w:r>
    </w:p>
    <w:p w:rsidR="008D51F3" w:rsidRPr="006571AC" w:rsidRDefault="008D51F3" w:rsidP="0028394C">
      <w:pPr>
        <w:pStyle w:val="af1"/>
        <w:spacing w:after="0" w:line="420" w:lineRule="exact"/>
        <w:ind w:left="0" w:firstLine="567"/>
        <w:jc w:val="both"/>
        <w:rPr>
          <w:rFonts w:ascii="Arabic Typesetting" w:eastAsia="Times New Roman" w:hAnsi="Arabic Typesetting" w:cs="AL-Mohanad"/>
          <w:sz w:val="27"/>
          <w:szCs w:val="27"/>
          <w:rtl/>
        </w:rPr>
      </w:pPr>
    </w:p>
    <w:p w:rsidR="008D51F3" w:rsidRPr="006571AC" w:rsidRDefault="00846381" w:rsidP="00D246D3">
      <w:pPr>
        <w:pStyle w:val="31"/>
        <w:rPr>
          <w:color w:val="auto"/>
          <w:rtl/>
        </w:rPr>
      </w:pPr>
      <w:bookmarkStart w:id="338" w:name="_Toc36050649"/>
      <w:bookmarkStart w:id="339" w:name="_Toc114164764"/>
      <w:r w:rsidRPr="006571AC">
        <w:rPr>
          <w:rFonts w:hint="cs"/>
          <w:color w:val="auto"/>
          <w:rtl/>
        </w:rPr>
        <w:t>1ـ</w:t>
      </w:r>
      <w:r w:rsidR="008D51F3" w:rsidRPr="006571AC">
        <w:rPr>
          <w:color w:val="auto"/>
          <w:rtl/>
        </w:rPr>
        <w:t xml:space="preserve"> الفهم اللغوي</w:t>
      </w:r>
      <w:bookmarkEnd w:id="338"/>
      <w:r w:rsidR="00855155" w:rsidRPr="006571AC">
        <w:rPr>
          <w:rFonts w:hint="cs"/>
          <w:color w:val="auto"/>
          <w:rtl/>
        </w:rPr>
        <w:t>ّ</w:t>
      </w:r>
      <w:bookmarkEnd w:id="339"/>
    </w:p>
    <w:p w:rsidR="008D51F3" w:rsidRPr="006571AC" w:rsidRDefault="008D51F3" w:rsidP="005B0CA4">
      <w:pPr>
        <w:rPr>
          <w:rFonts w:ascii="Arabic Typesetting" w:hAnsi="Arabic Typesetting"/>
          <w:sz w:val="27"/>
          <w:rtl/>
        </w:rPr>
      </w:pPr>
      <w:r w:rsidRPr="006571AC">
        <w:rPr>
          <w:rFonts w:ascii="Arabic Typesetting" w:hAnsi="Arabic Typesetting"/>
          <w:sz w:val="27"/>
          <w:rtl/>
        </w:rPr>
        <w:t>وهذه من القبليات الضرورية لفهم النص</w:t>
      </w:r>
      <w:r w:rsidR="00855155" w:rsidRPr="006571AC">
        <w:rPr>
          <w:rFonts w:ascii="Arabic Typesetting" w:hAnsi="Arabic Typesetting" w:hint="cs"/>
          <w:sz w:val="27"/>
          <w:rtl/>
        </w:rPr>
        <w:t>ّ</w:t>
      </w:r>
      <w:r w:rsidRPr="006571AC">
        <w:rPr>
          <w:rFonts w:ascii="Arabic Typesetting" w:hAnsi="Arabic Typesetting"/>
          <w:sz w:val="27"/>
          <w:rtl/>
        </w:rPr>
        <w:t>، أيّ نص</w:t>
      </w:r>
      <w:r w:rsidR="00855155" w:rsidRPr="006571AC">
        <w:rPr>
          <w:rFonts w:ascii="Arabic Typesetting" w:hAnsi="Arabic Typesetting" w:hint="cs"/>
          <w:sz w:val="27"/>
          <w:rtl/>
        </w:rPr>
        <w:t>ٍّ</w:t>
      </w:r>
      <w:r w:rsidRPr="006571AC">
        <w:rPr>
          <w:rFonts w:ascii="Arabic Typesetting" w:hAnsi="Arabic Typesetting"/>
          <w:sz w:val="27"/>
          <w:rtl/>
        </w:rPr>
        <w:t xml:space="preserve"> كان. ففي مثل النص</w:t>
      </w:r>
      <w:r w:rsidR="00855155" w:rsidRPr="006571AC">
        <w:rPr>
          <w:rFonts w:ascii="Arabic Typesetting" w:hAnsi="Arabic Typesetting" w:hint="cs"/>
          <w:sz w:val="27"/>
          <w:rtl/>
        </w:rPr>
        <w:t>ّ</w:t>
      </w:r>
      <w:r w:rsidRPr="006571AC">
        <w:rPr>
          <w:rFonts w:ascii="Arabic Typesetting" w:hAnsi="Arabic Typesetting"/>
          <w:sz w:val="27"/>
          <w:rtl/>
        </w:rPr>
        <w:t xml:space="preserve"> القرآني</w:t>
      </w:r>
      <w:r w:rsidR="00855155" w:rsidRPr="006571AC">
        <w:rPr>
          <w:rFonts w:ascii="Arabic Typesetting" w:hAnsi="Arabic Typesetting" w:hint="cs"/>
          <w:sz w:val="27"/>
          <w:rtl/>
        </w:rPr>
        <w:t>ّ</w:t>
      </w:r>
      <w:r w:rsidRPr="006571AC">
        <w:rPr>
          <w:rFonts w:ascii="Arabic Typesetting" w:hAnsi="Arabic Typesetting"/>
          <w:sz w:val="27"/>
          <w:rtl/>
        </w:rPr>
        <w:t xml:space="preserve"> </w:t>
      </w:r>
      <w:r w:rsidR="00731867" w:rsidRPr="006571AC">
        <w:rPr>
          <w:rFonts w:ascii="Arabic Typesetting" w:hAnsi="Arabic Typesetting"/>
          <w:sz w:val="27"/>
          <w:rtl/>
        </w:rPr>
        <w:t>لا بُدَّ</w:t>
      </w:r>
      <w:r w:rsidRPr="006571AC">
        <w:rPr>
          <w:rFonts w:ascii="Arabic Typesetting" w:hAnsi="Arabic Typesetting"/>
          <w:sz w:val="27"/>
          <w:rtl/>
        </w:rPr>
        <w:t xml:space="preserve"> من الإلمام باللغة العربية</w:t>
      </w:r>
      <w:r w:rsidR="00352B2C" w:rsidRPr="006571AC">
        <w:rPr>
          <w:rFonts w:ascii="Arabic Typesetting" w:hAnsi="Arabic Typesetting" w:hint="cs"/>
          <w:sz w:val="27"/>
          <w:rtl/>
        </w:rPr>
        <w:t>؛</w:t>
      </w:r>
      <w:r w:rsidRPr="006571AC">
        <w:rPr>
          <w:rFonts w:ascii="Arabic Typesetting" w:hAnsi="Arabic Typesetting"/>
          <w:sz w:val="27"/>
          <w:rtl/>
        </w:rPr>
        <w:t xml:space="preserve"> فالقرآن نزل بها</w:t>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52"/>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والاط</w:t>
      </w:r>
      <w:r w:rsidR="00352B2C" w:rsidRPr="006571AC">
        <w:rPr>
          <w:rFonts w:ascii="Arabic Typesetting" w:hAnsi="Arabic Typesetting" w:hint="cs"/>
          <w:sz w:val="27"/>
          <w:rtl/>
        </w:rPr>
        <w:t>ّ</w:t>
      </w:r>
      <w:r w:rsidRPr="006571AC">
        <w:rPr>
          <w:rFonts w:ascii="Arabic Typesetting" w:hAnsi="Arabic Typesetting"/>
          <w:sz w:val="27"/>
          <w:rtl/>
        </w:rPr>
        <w:t>لاع على قواعد المحاورة الع</w:t>
      </w:r>
      <w:r w:rsidR="00352B2C" w:rsidRPr="006571AC">
        <w:rPr>
          <w:rFonts w:ascii="Arabic Typesetting" w:hAnsi="Arabic Typesetting" w:hint="cs"/>
          <w:sz w:val="27"/>
          <w:rtl/>
        </w:rPr>
        <w:t>ُ</w:t>
      </w:r>
      <w:r w:rsidRPr="006571AC">
        <w:rPr>
          <w:rFonts w:ascii="Arabic Typesetting" w:hAnsi="Arabic Typesetting"/>
          <w:sz w:val="27"/>
          <w:rtl/>
        </w:rPr>
        <w:t>ر</w:t>
      </w:r>
      <w:r w:rsidR="00352B2C" w:rsidRPr="006571AC">
        <w:rPr>
          <w:rFonts w:ascii="Arabic Typesetting" w:hAnsi="Arabic Typesetting" w:hint="cs"/>
          <w:sz w:val="27"/>
          <w:rtl/>
        </w:rPr>
        <w:t>ْ</w:t>
      </w:r>
      <w:r w:rsidRPr="006571AC">
        <w:rPr>
          <w:rFonts w:ascii="Arabic Typesetting" w:hAnsi="Arabic Typesetting"/>
          <w:sz w:val="27"/>
          <w:rtl/>
        </w:rPr>
        <w:t>فية مندرج</w:t>
      </w:r>
      <w:r w:rsidR="00352B2C" w:rsidRPr="006571AC">
        <w:rPr>
          <w:rFonts w:ascii="Arabic Typesetting" w:hAnsi="Arabic Typesetting" w:hint="cs"/>
          <w:sz w:val="27"/>
          <w:rtl/>
        </w:rPr>
        <w:t>ٌ</w:t>
      </w:r>
      <w:r w:rsidRPr="006571AC">
        <w:rPr>
          <w:rFonts w:ascii="Arabic Typesetting" w:hAnsi="Arabic Typesetting"/>
          <w:sz w:val="27"/>
          <w:rtl/>
        </w:rPr>
        <w:t xml:space="preserve"> ضمن هذه القبلية، فهو ضروري</w:t>
      </w:r>
      <w:r w:rsidR="00352B2C" w:rsidRPr="006571AC">
        <w:rPr>
          <w:rFonts w:ascii="Arabic Typesetting" w:hAnsi="Arabic Typesetting" w:hint="cs"/>
          <w:sz w:val="27"/>
          <w:rtl/>
        </w:rPr>
        <w:t>ٌّ</w:t>
      </w:r>
      <w:r w:rsidRPr="006571AC">
        <w:rPr>
          <w:rFonts w:ascii="Arabic Typesetting" w:hAnsi="Arabic Typesetting"/>
          <w:sz w:val="27"/>
          <w:rtl/>
        </w:rPr>
        <w:t xml:space="preserve"> أيضا</w:t>
      </w:r>
      <w:r w:rsidR="00352B2C" w:rsidRPr="006571AC">
        <w:rPr>
          <w:rFonts w:ascii="Arabic Typesetting" w:hAnsi="Arabic Typesetting" w:hint="cs"/>
          <w:sz w:val="27"/>
          <w:rtl/>
        </w:rPr>
        <w:t>ً</w:t>
      </w:r>
      <w:r w:rsidRPr="006571AC">
        <w:rPr>
          <w:rFonts w:ascii="Arabic Typesetting" w:hAnsi="Arabic Typesetting"/>
          <w:sz w:val="27"/>
          <w:rtl/>
        </w:rPr>
        <w:t xml:space="preserve"> في مقام فهم النص</w:t>
      </w:r>
      <w:r w:rsidR="00352B2C" w:rsidRPr="006571AC">
        <w:rPr>
          <w:rFonts w:ascii="Arabic Typesetting" w:hAnsi="Arabic Typesetting" w:hint="cs"/>
          <w:sz w:val="27"/>
          <w:rtl/>
        </w:rPr>
        <w:t>ّ</w:t>
      </w:r>
      <w:r w:rsidRPr="006571AC">
        <w:rPr>
          <w:rFonts w:ascii="Arabic Typesetting" w:hAnsi="Arabic Typesetting"/>
          <w:sz w:val="27"/>
          <w:rtl/>
        </w:rPr>
        <w:t>. ولا أرى حاجة</w:t>
      </w:r>
      <w:r w:rsidR="00352B2C" w:rsidRPr="006571AC">
        <w:rPr>
          <w:rFonts w:ascii="Arabic Typesetting" w:hAnsi="Arabic Typesetting" w:hint="cs"/>
          <w:sz w:val="27"/>
          <w:rtl/>
        </w:rPr>
        <w:t>ً</w:t>
      </w:r>
      <w:r w:rsidRPr="006571AC">
        <w:rPr>
          <w:rFonts w:ascii="Arabic Typesetting" w:hAnsi="Arabic Typesetting"/>
          <w:sz w:val="27"/>
          <w:rtl/>
        </w:rPr>
        <w:t xml:space="preserve"> للتفصيل في هذه القبلية</w:t>
      </w:r>
      <w:r w:rsidR="00352B2C" w:rsidRPr="006571AC">
        <w:rPr>
          <w:rFonts w:ascii="Arabic Typesetting" w:hAnsi="Arabic Typesetting" w:hint="cs"/>
          <w:sz w:val="27"/>
          <w:rtl/>
        </w:rPr>
        <w:t>؛</w:t>
      </w:r>
      <w:r w:rsidRPr="006571AC">
        <w:rPr>
          <w:rFonts w:ascii="Arabic Typesetting" w:hAnsi="Arabic Typesetting"/>
          <w:sz w:val="27"/>
          <w:rtl/>
        </w:rPr>
        <w:t xml:space="preserve"> إذ قد فصّل الشهيد الصدر ـ كغيره من الأصوليين ـ هذا البحث في مباحث الألفاظ من علم أصول الفقه</w:t>
      </w:r>
      <w:r w:rsidR="00352B2C" w:rsidRPr="006571AC">
        <w:rPr>
          <w:rFonts w:ascii="Arabic Typesetting" w:hAnsi="Arabic Typesetting" w:hint="cs"/>
          <w:sz w:val="27"/>
          <w:rtl/>
        </w:rPr>
        <w:t>،</w:t>
      </w:r>
      <w:r w:rsidRPr="006571AC">
        <w:rPr>
          <w:rFonts w:ascii="Arabic Typesetting" w:hAnsi="Arabic Typesetting"/>
          <w:sz w:val="27"/>
          <w:rtl/>
        </w:rPr>
        <w:t xml:space="preserve"> كما صرّ</w:t>
      </w:r>
      <w:r w:rsidR="00352B2C" w:rsidRPr="006571AC">
        <w:rPr>
          <w:rFonts w:ascii="Arabic Typesetting" w:hAnsi="Arabic Typesetting" w:hint="cs"/>
          <w:sz w:val="27"/>
          <w:rtl/>
        </w:rPr>
        <w:t>َ</w:t>
      </w:r>
      <w:r w:rsidRPr="006571AC">
        <w:rPr>
          <w:rFonts w:ascii="Arabic Typesetting" w:hAnsi="Arabic Typesetting"/>
          <w:sz w:val="27"/>
          <w:rtl/>
        </w:rPr>
        <w:t>ح بأهم</w:t>
      </w:r>
      <w:r w:rsidR="00352B2C" w:rsidRPr="006571AC">
        <w:rPr>
          <w:rFonts w:ascii="Arabic Typesetting" w:hAnsi="Arabic Typesetting" w:hint="cs"/>
          <w:sz w:val="27"/>
          <w:rtl/>
        </w:rPr>
        <w:t>ِّ</w:t>
      </w:r>
      <w:r w:rsidRPr="006571AC">
        <w:rPr>
          <w:rFonts w:ascii="Arabic Typesetting" w:hAnsi="Arabic Typesetting"/>
          <w:sz w:val="27"/>
          <w:rtl/>
        </w:rPr>
        <w:t>يتها في بعض كتبه</w:t>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53"/>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28394C">
      <w:pPr>
        <w:spacing w:line="420" w:lineRule="exact"/>
        <w:rPr>
          <w:rFonts w:ascii="Arabic Typesetting" w:hAnsi="Arabic Typesetting"/>
          <w:sz w:val="27"/>
          <w:rtl/>
        </w:rPr>
      </w:pPr>
    </w:p>
    <w:p w:rsidR="008D51F3" w:rsidRPr="006571AC" w:rsidRDefault="00846381" w:rsidP="00D246D3">
      <w:pPr>
        <w:pStyle w:val="31"/>
        <w:rPr>
          <w:color w:val="auto"/>
          <w:rtl/>
        </w:rPr>
      </w:pPr>
      <w:bookmarkStart w:id="340" w:name="_Toc36050650"/>
      <w:bookmarkStart w:id="341" w:name="_Toc114164765"/>
      <w:r w:rsidRPr="006571AC">
        <w:rPr>
          <w:rFonts w:hint="cs"/>
          <w:color w:val="auto"/>
          <w:rtl/>
        </w:rPr>
        <w:t>2ـ</w:t>
      </w:r>
      <w:r w:rsidR="008D51F3" w:rsidRPr="006571AC">
        <w:rPr>
          <w:color w:val="auto"/>
          <w:rtl/>
        </w:rPr>
        <w:t xml:space="preserve"> إطار النص</w:t>
      </w:r>
      <w:r w:rsidR="00352B2C" w:rsidRPr="006571AC">
        <w:rPr>
          <w:rFonts w:hint="cs"/>
          <w:color w:val="auto"/>
          <w:rtl/>
        </w:rPr>
        <w:t>ّ</w:t>
      </w:r>
      <w:r w:rsidR="008D51F3" w:rsidRPr="006571AC">
        <w:rPr>
          <w:color w:val="auto"/>
          <w:rtl/>
        </w:rPr>
        <w:t xml:space="preserve"> التاريخي</w:t>
      </w:r>
      <w:r w:rsidR="00352B2C" w:rsidRPr="006571AC">
        <w:rPr>
          <w:rFonts w:hint="cs"/>
          <w:color w:val="auto"/>
          <w:rtl/>
        </w:rPr>
        <w:t>ّ</w:t>
      </w:r>
      <w:r w:rsidR="008D51F3" w:rsidRPr="006571AC">
        <w:rPr>
          <w:color w:val="auto"/>
          <w:rtl/>
        </w:rPr>
        <w:t xml:space="preserve"> والفكري</w:t>
      </w:r>
      <w:bookmarkEnd w:id="340"/>
      <w:r w:rsidR="00352B2C" w:rsidRPr="006571AC">
        <w:rPr>
          <w:rFonts w:hint="cs"/>
          <w:color w:val="auto"/>
          <w:rtl/>
        </w:rPr>
        <w:t>ّ</w:t>
      </w:r>
      <w:bookmarkEnd w:id="341"/>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يجب على المفسّ</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ر أن يفهم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ضمن الظرف الذي صدر فيه</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ومع ملاحظة إطاره الخاص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فيجب أن لا يُخ</w:t>
      </w:r>
      <w:r w:rsidR="00110321" w:rsidRPr="006571AC">
        <w:rPr>
          <w:rFonts w:ascii="Arabic Typesetting" w:hAnsi="Arabic Typesetting" w:hint="cs"/>
          <w:sz w:val="27"/>
          <w:rtl/>
          <w:lang w:bidi="ar-LB"/>
        </w:rPr>
        <w:t>ْ</w:t>
      </w:r>
      <w:r w:rsidRPr="006571AC">
        <w:rPr>
          <w:rFonts w:ascii="Arabic Typesetting" w:hAnsi="Arabic Typesetting"/>
          <w:sz w:val="27"/>
          <w:rtl/>
          <w:lang w:bidi="ar-LB"/>
        </w:rPr>
        <w:t>ر</w:t>
      </w:r>
      <w:r w:rsidR="00110321" w:rsidRPr="006571AC">
        <w:rPr>
          <w:rFonts w:ascii="Arabic Typesetting" w:hAnsi="Arabic Typesetting" w:hint="cs"/>
          <w:sz w:val="27"/>
          <w:rtl/>
          <w:lang w:bidi="ar-LB"/>
        </w:rPr>
        <w:t>ِ</w:t>
      </w:r>
      <w:r w:rsidRPr="006571AC">
        <w:rPr>
          <w:rFonts w:ascii="Arabic Typesetting" w:hAnsi="Arabic Typesetting"/>
          <w:sz w:val="27"/>
          <w:rtl/>
          <w:lang w:bidi="ar-LB"/>
        </w:rPr>
        <w:t>ج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عن إطاره وظرف صدوره</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ثم يفسّ</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ره.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وهذا الإطار للنص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قد يكون تاريخي</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ا</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وقد يكون فكري</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ا</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w:t>
      </w:r>
    </w:p>
    <w:p w:rsidR="008D51F3" w:rsidRPr="006571AC" w:rsidRDefault="008D51F3" w:rsidP="00037A9B">
      <w:pPr>
        <w:spacing w:line="440" w:lineRule="exact"/>
        <w:rPr>
          <w:rFonts w:ascii="Arabic Typesetting" w:hAnsi="Arabic Typesetting"/>
          <w:sz w:val="27"/>
          <w:rtl/>
          <w:lang w:bidi="ar-LB"/>
        </w:rPr>
      </w:pPr>
    </w:p>
    <w:p w:rsidR="008D51F3" w:rsidRPr="006571AC" w:rsidRDefault="008D51F3" w:rsidP="00D246D3">
      <w:pPr>
        <w:pStyle w:val="31"/>
        <w:rPr>
          <w:color w:val="auto"/>
          <w:rtl/>
          <w:lang w:bidi="ar-LB"/>
        </w:rPr>
      </w:pPr>
      <w:bookmarkStart w:id="342" w:name="_Toc36050651"/>
      <w:bookmarkStart w:id="343" w:name="_Toc114164766"/>
      <w:r w:rsidRPr="006571AC">
        <w:rPr>
          <w:color w:val="auto"/>
          <w:rtl/>
          <w:lang w:bidi="ar-LB"/>
        </w:rPr>
        <w:t>الإطار التاريخي</w:t>
      </w:r>
      <w:r w:rsidR="00352B2C" w:rsidRPr="006571AC">
        <w:rPr>
          <w:rFonts w:hint="cs"/>
          <w:color w:val="auto"/>
          <w:rtl/>
          <w:lang w:bidi="ar-LB"/>
        </w:rPr>
        <w:t>ّ</w:t>
      </w:r>
      <w:r w:rsidRPr="006571AC">
        <w:rPr>
          <w:color w:val="auto"/>
          <w:rtl/>
          <w:lang w:bidi="ar-LB"/>
        </w:rPr>
        <w:t xml:space="preserve"> للنص</w:t>
      </w:r>
      <w:bookmarkEnd w:id="342"/>
      <w:r w:rsidR="00352B2C" w:rsidRPr="006571AC">
        <w:rPr>
          <w:rFonts w:hint="cs"/>
          <w:color w:val="auto"/>
          <w:rtl/>
          <w:lang w:bidi="ar-LB"/>
        </w:rPr>
        <w:t>ّ</w:t>
      </w:r>
      <w:bookmarkEnd w:id="343"/>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ينفع الإطار التاريخي للنص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في فهم الكلمات والعبارات المست</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خ</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دَمة في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إذ </w:t>
      </w:r>
      <w:r w:rsidR="00731867" w:rsidRPr="006571AC">
        <w:rPr>
          <w:rFonts w:ascii="Arabic Typesetting" w:hAnsi="Arabic Typesetting"/>
          <w:sz w:val="27"/>
          <w:rtl/>
          <w:lang w:bidi="ar-LB"/>
        </w:rPr>
        <w:t>لا بُدَّ</w:t>
      </w:r>
      <w:r w:rsidRPr="006571AC">
        <w:rPr>
          <w:rFonts w:ascii="Arabic Typesetting" w:hAnsi="Arabic Typesetting"/>
          <w:sz w:val="27"/>
          <w:rtl/>
          <w:lang w:bidi="ar-LB"/>
        </w:rPr>
        <w:t xml:space="preserve"> من فهمها على ضوء الإطار التاريخي الذي صدر</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ت</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فيه، وعلى أساس القرائن التاريخية الحافّة بصدور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وهذا ما يشير إليه الشهيد الصدر، حيث يذكر عد</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ة نماذج لهذا الإطار، نذكر منها: </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1ـ </w:t>
      </w:r>
      <w:r w:rsidRPr="006571AC">
        <w:rPr>
          <w:rFonts w:ascii="Arabic Typesetting" w:hAnsi="Arabic Typesetting" w:cs="AL-Mohanad"/>
          <w:sz w:val="27"/>
          <w:szCs w:val="27"/>
          <w:rtl/>
          <w:lang w:bidi="ar-LB"/>
        </w:rPr>
        <w:t>أسباب صدور النص</w:t>
      </w:r>
      <w:r w:rsidR="00352B2C" w:rsidRPr="006571AC">
        <w:rPr>
          <w:rFonts w:ascii="Arabic Typesetting" w:hAnsi="Arabic Typesetting" w:cs="AL-Mohanad" w:hint="cs"/>
          <w:sz w:val="27"/>
          <w:szCs w:val="27"/>
          <w:rtl/>
          <w:lang w:bidi="ar-LB"/>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2ـ </w:t>
      </w:r>
      <w:r w:rsidRPr="006571AC">
        <w:rPr>
          <w:rFonts w:ascii="Arabic Typesetting" w:hAnsi="Arabic Typesetting" w:cs="AL-Mohanad"/>
          <w:sz w:val="27"/>
          <w:szCs w:val="27"/>
          <w:rtl/>
          <w:lang w:bidi="ar-LB"/>
        </w:rPr>
        <w:t>العادات والتقاليد</w:t>
      </w:r>
      <w:r w:rsidR="00352B2C" w:rsidRPr="006571AC">
        <w:rPr>
          <w:rFonts w:ascii="Arabic Typesetting" w:hAnsi="Arabic Typesetting" w:cs="AL-Mohanad" w:hint="cs"/>
          <w:sz w:val="27"/>
          <w:szCs w:val="27"/>
          <w:rtl/>
          <w:lang w:bidi="ar-LB"/>
        </w:rPr>
        <w:t>.</w:t>
      </w:r>
    </w:p>
    <w:p w:rsidR="008D51F3" w:rsidRPr="006571AC" w:rsidRDefault="008D51F3" w:rsidP="005B0CA4">
      <w:pPr>
        <w:pStyle w:val="af1"/>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lastRenderedPageBreak/>
        <w:t xml:space="preserve">3ـ </w:t>
      </w:r>
      <w:r w:rsidRPr="006571AC">
        <w:rPr>
          <w:rFonts w:ascii="Arabic Typesetting" w:hAnsi="Arabic Typesetting" w:cs="AL-Mohanad"/>
          <w:sz w:val="27"/>
          <w:szCs w:val="27"/>
          <w:rtl/>
          <w:lang w:bidi="ar-LB"/>
        </w:rPr>
        <w:t>الجوّ الفكري</w:t>
      </w:r>
      <w:r w:rsidR="00352B2C"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السائد</w:t>
      </w:r>
      <w:r w:rsidR="00352B2C" w:rsidRPr="006571AC">
        <w:rPr>
          <w:rFonts w:ascii="Arabic Typesetting" w:hAnsi="Arabic Typesetting" w:cs="AL-Mohanad" w:hint="cs"/>
          <w:sz w:val="27"/>
          <w:szCs w:val="27"/>
          <w:rtl/>
          <w:lang w:bidi="ar-LB"/>
        </w:rPr>
        <w:t>.</w:t>
      </w:r>
    </w:p>
    <w:p w:rsidR="008D51F3" w:rsidRPr="006571AC" w:rsidRDefault="008D51F3" w:rsidP="0028394C">
      <w:pPr>
        <w:pStyle w:val="af1"/>
        <w:spacing w:after="0" w:line="420" w:lineRule="exact"/>
        <w:ind w:left="0" w:firstLine="567"/>
        <w:jc w:val="both"/>
        <w:rPr>
          <w:rFonts w:ascii="Arabic Typesetting" w:hAnsi="Arabic Typesetting" w:cs="AL-Mohanad"/>
          <w:sz w:val="27"/>
          <w:szCs w:val="27"/>
          <w:rtl/>
          <w:lang w:bidi="ar-LB"/>
        </w:rPr>
      </w:pPr>
    </w:p>
    <w:p w:rsidR="008D51F3" w:rsidRPr="006571AC" w:rsidRDefault="00846381" w:rsidP="00D246D3">
      <w:pPr>
        <w:pStyle w:val="31"/>
        <w:rPr>
          <w:i/>
          <w:iCs/>
          <w:color w:val="auto"/>
          <w:rtl/>
          <w:lang w:bidi="ar-LB"/>
        </w:rPr>
      </w:pPr>
      <w:bookmarkStart w:id="344" w:name="_Toc114164767"/>
      <w:r w:rsidRPr="006571AC">
        <w:rPr>
          <w:rFonts w:hint="cs"/>
          <w:color w:val="auto"/>
          <w:rtl/>
          <w:lang w:bidi="ar-LB"/>
        </w:rPr>
        <w:t>أـ</w:t>
      </w:r>
      <w:r w:rsidR="008D51F3" w:rsidRPr="006571AC">
        <w:rPr>
          <w:color w:val="auto"/>
          <w:rtl/>
          <w:lang w:bidi="ar-LB"/>
        </w:rPr>
        <w:t xml:space="preserve"> أسباب صدور النص</w:t>
      </w:r>
      <w:r w:rsidR="00352B2C" w:rsidRPr="006571AC">
        <w:rPr>
          <w:rFonts w:hint="cs"/>
          <w:color w:val="auto"/>
          <w:rtl/>
          <w:lang w:bidi="ar-LB"/>
        </w:rPr>
        <w:t>ّ</w:t>
      </w:r>
      <w:bookmarkEnd w:id="344"/>
    </w:p>
    <w:p w:rsidR="008D51F3" w:rsidRPr="006571AC" w:rsidRDefault="008D51F3" w:rsidP="005B0CA4">
      <w:pPr>
        <w:rPr>
          <w:rFonts w:ascii="Arabic Typesetting" w:hAnsi="Arabic Typesetting"/>
          <w:b/>
          <w:bCs/>
          <w:sz w:val="27"/>
          <w:rtl/>
          <w:lang w:bidi="ar-LB"/>
        </w:rPr>
      </w:pPr>
      <w:r w:rsidRPr="006571AC">
        <w:rPr>
          <w:rFonts w:ascii="Arabic Typesetting" w:hAnsi="Arabic Typesetting"/>
          <w:sz w:val="27"/>
          <w:rtl/>
          <w:lang w:bidi="ar-LB"/>
        </w:rPr>
        <w:t>تُعدّ أسباب صدور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أو المعروفة ب</w:t>
      </w:r>
      <w:r w:rsidR="00352B2C" w:rsidRPr="006571AC">
        <w:rPr>
          <w:rFonts w:ascii="Arabic Typesetting" w:hAnsi="Arabic Typesetting" w:hint="cs"/>
          <w:sz w:val="27"/>
          <w:rtl/>
          <w:lang w:bidi="ar-LB"/>
        </w:rPr>
        <w:t>ـ (</w:t>
      </w:r>
      <w:r w:rsidRPr="006571AC">
        <w:rPr>
          <w:rFonts w:ascii="Arabic Typesetting" w:hAnsi="Arabic Typesetting"/>
          <w:sz w:val="27"/>
          <w:rtl/>
          <w:lang w:bidi="ar-LB"/>
        </w:rPr>
        <w:t>أسباب النزول</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من القبليات </w:t>
      </w:r>
      <w:r w:rsidR="00352B2C" w:rsidRPr="006571AC">
        <w:rPr>
          <w:rFonts w:ascii="Arabic Typesetting" w:hAnsi="Arabic Typesetting" w:hint="cs"/>
          <w:sz w:val="27"/>
          <w:rtl/>
          <w:lang w:bidi="ar-LB"/>
        </w:rPr>
        <w:t xml:space="preserve">التي من </w:t>
      </w:r>
      <w:r w:rsidRPr="006571AC">
        <w:rPr>
          <w:rFonts w:ascii="Arabic Typesetting" w:hAnsi="Arabic Typesetting"/>
          <w:sz w:val="27"/>
          <w:rtl/>
          <w:lang w:bidi="ar-LB"/>
        </w:rPr>
        <w:t>الضروري</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الاط</w:t>
      </w:r>
      <w:r w:rsidR="00352B2C" w:rsidRPr="006571AC">
        <w:rPr>
          <w:rFonts w:ascii="Arabic Typesetting" w:hAnsi="Arabic Typesetting" w:hint="cs"/>
          <w:sz w:val="27"/>
          <w:rtl/>
          <w:lang w:bidi="ar-LB"/>
        </w:rPr>
        <w:t>ّ</w:t>
      </w:r>
      <w:r w:rsidRPr="006571AC">
        <w:rPr>
          <w:rFonts w:ascii="Arabic Typesetting" w:hAnsi="Arabic Typesetting"/>
          <w:sz w:val="27"/>
          <w:rtl/>
          <w:lang w:bidi="ar-LB"/>
        </w:rPr>
        <w:t>لاع عليها</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حت</w:t>
      </w:r>
      <w:r w:rsidR="00352B2C" w:rsidRPr="006571AC">
        <w:rPr>
          <w:rFonts w:ascii="Arabic Typesetting" w:hAnsi="Arabic Typesetting" w:hint="cs"/>
          <w:sz w:val="27"/>
          <w:rtl/>
          <w:lang w:bidi="ar-LB"/>
        </w:rPr>
        <w:t>ّ</w:t>
      </w:r>
      <w:r w:rsidRPr="006571AC">
        <w:rPr>
          <w:rFonts w:ascii="Arabic Typesetting" w:hAnsi="Arabic Typesetting"/>
          <w:sz w:val="27"/>
          <w:rtl/>
          <w:lang w:bidi="ar-LB"/>
        </w:rPr>
        <w:t>ى يُفهم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ضمن إطاره الصحيح. وهذا غير مختص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بالنص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 بل يمكن سريانه في العديد من النصوص. وقد أشار الشهيد الصدر إلى هذا النموذج</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بوصفه مُعِيناً على الفهم الإجمالي</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للنص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54"/>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كما يوضّ</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ح الشهيد الصدر في موضع</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آخر الفائدةَ من التعرّ</w:t>
      </w:r>
      <w:r w:rsidR="00352B2C" w:rsidRPr="006571AC">
        <w:rPr>
          <w:rFonts w:ascii="Arabic Typesetting" w:hAnsi="Arabic Typesetting" w:hint="cs"/>
          <w:sz w:val="27"/>
          <w:rtl/>
          <w:lang w:bidi="ar-LB"/>
        </w:rPr>
        <w:t>ُ</w:t>
      </w:r>
      <w:r w:rsidRPr="006571AC">
        <w:rPr>
          <w:rFonts w:ascii="Arabic Typesetting" w:hAnsi="Arabic Typesetting"/>
          <w:sz w:val="27"/>
          <w:rtl/>
          <w:lang w:bidi="ar-LB"/>
        </w:rPr>
        <w:t>ف على أسباب النزول</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حيث يعتقد بأهم</w:t>
      </w:r>
      <w:r w:rsidR="00352B2C" w:rsidRPr="006571AC">
        <w:rPr>
          <w:rFonts w:ascii="Arabic Typesetting" w:hAnsi="Arabic Typesetting" w:hint="cs"/>
          <w:sz w:val="27"/>
          <w:rtl/>
          <w:lang w:bidi="ar-LB"/>
        </w:rPr>
        <w:t>ّ</w:t>
      </w:r>
      <w:r w:rsidRPr="006571AC">
        <w:rPr>
          <w:rFonts w:ascii="Arabic Typesetting" w:hAnsi="Arabic Typesetting"/>
          <w:sz w:val="27"/>
          <w:rtl/>
          <w:lang w:bidi="ar-LB"/>
        </w:rPr>
        <w:t>يتها في فهم مدلول الآية ومفادها، ومساهمتها في الاطلاع على نكات بعض العبارات والأساليب المست</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خ</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دَمة في الآية؛ إذ ثم</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ة ارتباط</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وثيق بين الآية وبين ظرف نزولها</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55"/>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56"/>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قد ي</w:t>
      </w:r>
      <w:r w:rsidR="00110321" w:rsidRPr="006571AC">
        <w:rPr>
          <w:rFonts w:ascii="Arabic Typesetting" w:hAnsi="Arabic Typesetting" w:hint="cs"/>
          <w:b/>
          <w:bCs/>
          <w:sz w:val="27"/>
          <w:rtl/>
        </w:rPr>
        <w:t>ُ</w:t>
      </w:r>
      <w:r w:rsidRPr="006571AC">
        <w:rPr>
          <w:rFonts w:ascii="Arabic Typesetting" w:hAnsi="Arabic Typesetting"/>
          <w:b/>
          <w:bCs/>
          <w:sz w:val="27"/>
          <w:rtl/>
        </w:rPr>
        <w:t>ت</w:t>
      </w:r>
      <w:r w:rsidR="00110321" w:rsidRPr="006571AC">
        <w:rPr>
          <w:rFonts w:ascii="Arabic Typesetting" w:hAnsi="Arabic Typesetting" w:hint="cs"/>
          <w:b/>
          <w:bCs/>
          <w:sz w:val="27"/>
          <w:rtl/>
        </w:rPr>
        <w:t>َ</w:t>
      </w:r>
      <w:r w:rsidRPr="006571AC">
        <w:rPr>
          <w:rFonts w:ascii="Arabic Typesetting" w:hAnsi="Arabic Typesetting"/>
          <w:b/>
          <w:bCs/>
          <w:sz w:val="27"/>
          <w:rtl/>
        </w:rPr>
        <w:t>وهَّم</w:t>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57"/>
      </w:r>
      <w:r w:rsidRPr="006571AC">
        <w:rPr>
          <w:rFonts w:ascii="Arabic Typesetting" w:hAnsi="Arabic Typesetting"/>
          <w:sz w:val="27"/>
          <w:vertAlign w:val="superscript"/>
          <w:rtl/>
        </w:rPr>
        <w:t>)</w:t>
      </w:r>
      <w:r w:rsidR="00352B2C" w:rsidRPr="006571AC">
        <w:rPr>
          <w:rFonts w:ascii="Arabic Typesetting" w:hAnsi="Arabic Typesetting" w:hint="cs"/>
          <w:sz w:val="27"/>
          <w:rtl/>
        </w:rPr>
        <w:t xml:space="preserve"> </w:t>
      </w:r>
      <w:r w:rsidRPr="006571AC">
        <w:rPr>
          <w:rFonts w:ascii="Arabic Typesetting" w:hAnsi="Arabic Typesetting"/>
          <w:sz w:val="27"/>
          <w:rtl/>
        </w:rPr>
        <w:t>أنه إ</w:t>
      </w:r>
      <w:r w:rsidR="00352B2C" w:rsidRPr="006571AC">
        <w:rPr>
          <w:rFonts w:ascii="Arabic Typesetting" w:hAnsi="Arabic Typesetting" w:hint="cs"/>
          <w:sz w:val="27"/>
          <w:rtl/>
        </w:rPr>
        <w:t>ذا</w:t>
      </w:r>
      <w:r w:rsidRPr="006571AC">
        <w:rPr>
          <w:rFonts w:ascii="Arabic Typesetting" w:hAnsi="Arabic Typesetting"/>
          <w:sz w:val="27"/>
          <w:rtl/>
        </w:rPr>
        <w:t xml:space="preserve"> عر</w:t>
      </w:r>
      <w:r w:rsidR="00352B2C" w:rsidRPr="006571AC">
        <w:rPr>
          <w:rFonts w:ascii="Arabic Typesetting" w:hAnsi="Arabic Typesetting" w:hint="cs"/>
          <w:sz w:val="27"/>
          <w:rtl/>
        </w:rPr>
        <w:t>َ</w:t>
      </w:r>
      <w:r w:rsidRPr="006571AC">
        <w:rPr>
          <w:rFonts w:ascii="Arabic Typesetting" w:hAnsi="Arabic Typesetting"/>
          <w:sz w:val="27"/>
          <w:rtl/>
        </w:rPr>
        <w:t>ف</w:t>
      </w:r>
      <w:r w:rsidR="00352B2C" w:rsidRPr="006571AC">
        <w:rPr>
          <w:rFonts w:ascii="Arabic Typesetting" w:hAnsi="Arabic Typesetting" w:hint="cs"/>
          <w:sz w:val="27"/>
          <w:rtl/>
        </w:rPr>
        <w:t>ْ</w:t>
      </w:r>
      <w:r w:rsidRPr="006571AC">
        <w:rPr>
          <w:rFonts w:ascii="Arabic Typesetting" w:hAnsi="Arabic Typesetting"/>
          <w:sz w:val="27"/>
          <w:rtl/>
        </w:rPr>
        <w:t>نا سببَ النزول فإن الآية تقيّ</w:t>
      </w:r>
      <w:r w:rsidR="00352B2C" w:rsidRPr="006571AC">
        <w:rPr>
          <w:rFonts w:ascii="Arabic Typesetting" w:hAnsi="Arabic Typesetting" w:hint="cs"/>
          <w:sz w:val="27"/>
          <w:rtl/>
        </w:rPr>
        <w:t>َ</w:t>
      </w:r>
      <w:r w:rsidRPr="006571AC">
        <w:rPr>
          <w:rFonts w:ascii="Arabic Typesetting" w:hAnsi="Arabic Typesetting"/>
          <w:sz w:val="27"/>
          <w:rtl/>
        </w:rPr>
        <w:t>د به فقط. وبعبارة</w:t>
      </w:r>
      <w:r w:rsidR="00352B2C" w:rsidRPr="006571AC">
        <w:rPr>
          <w:rFonts w:ascii="Arabic Typesetting" w:hAnsi="Arabic Typesetting" w:hint="cs"/>
          <w:sz w:val="27"/>
          <w:rtl/>
        </w:rPr>
        <w:t>ٍ</w:t>
      </w:r>
      <w:r w:rsidRPr="006571AC">
        <w:rPr>
          <w:rFonts w:ascii="Arabic Typesetting" w:hAnsi="Arabic Typesetting"/>
          <w:sz w:val="27"/>
          <w:rtl/>
        </w:rPr>
        <w:t xml:space="preserve"> أخرى: قد يُقال: إذا نزلت الآية بسبب</w:t>
      </w:r>
      <w:r w:rsidR="00352B2C" w:rsidRPr="006571AC">
        <w:rPr>
          <w:rFonts w:ascii="Arabic Typesetting" w:hAnsi="Arabic Typesetting" w:hint="cs"/>
          <w:sz w:val="27"/>
          <w:rtl/>
        </w:rPr>
        <w:t>ٍ</w:t>
      </w:r>
      <w:r w:rsidRPr="006571AC">
        <w:rPr>
          <w:rFonts w:ascii="Arabic Typesetting" w:hAnsi="Arabic Typesetting"/>
          <w:sz w:val="27"/>
          <w:rtl/>
        </w:rPr>
        <w:t xml:space="preserve"> خاص</w:t>
      </w:r>
      <w:r w:rsidR="00352B2C" w:rsidRPr="006571AC">
        <w:rPr>
          <w:rFonts w:ascii="Arabic Typesetting" w:hAnsi="Arabic Typesetting" w:hint="cs"/>
          <w:sz w:val="27"/>
          <w:rtl/>
        </w:rPr>
        <w:t>ّ</w:t>
      </w:r>
      <w:r w:rsidRPr="006571AC">
        <w:rPr>
          <w:rFonts w:ascii="Arabic Typesetting" w:hAnsi="Arabic Typesetting"/>
          <w:sz w:val="27"/>
          <w:rtl/>
        </w:rPr>
        <w:t xml:space="preserve"> فإن هذه الآية ستختص</w:t>
      </w:r>
      <w:r w:rsidR="00352B2C" w:rsidRPr="006571AC">
        <w:rPr>
          <w:rFonts w:ascii="Arabic Typesetting" w:hAnsi="Arabic Typesetting" w:hint="cs"/>
          <w:sz w:val="27"/>
          <w:rtl/>
        </w:rPr>
        <w:t>ّ</w:t>
      </w:r>
      <w:r w:rsidRPr="006571AC">
        <w:rPr>
          <w:rFonts w:ascii="Arabic Typesetting" w:hAnsi="Arabic Typesetting"/>
          <w:sz w:val="27"/>
          <w:rtl/>
        </w:rPr>
        <w:t xml:space="preserve"> بهذا المورد</w:t>
      </w:r>
      <w:r w:rsidR="00352B2C" w:rsidRPr="006571AC">
        <w:rPr>
          <w:rFonts w:ascii="Arabic Typesetting" w:hAnsi="Arabic Typesetting" w:hint="cs"/>
          <w:sz w:val="27"/>
          <w:rtl/>
        </w:rPr>
        <w:t>،</w:t>
      </w:r>
      <w:r w:rsidRPr="006571AC">
        <w:rPr>
          <w:rFonts w:ascii="Arabic Typesetting" w:hAnsi="Arabic Typesetting"/>
          <w:sz w:val="27"/>
          <w:rtl/>
        </w:rPr>
        <w:t xml:space="preserve"> ولا يصحّ ف</w:t>
      </w:r>
      <w:r w:rsidR="00110321" w:rsidRPr="006571AC">
        <w:rPr>
          <w:rFonts w:ascii="Arabic Typesetting" w:hAnsi="Arabic Typesetting" w:hint="cs"/>
          <w:sz w:val="27"/>
          <w:rtl/>
        </w:rPr>
        <w:t>َ</w:t>
      </w:r>
      <w:r w:rsidRPr="006571AC">
        <w:rPr>
          <w:rFonts w:ascii="Arabic Typesetting" w:hAnsi="Arabic Typesetting"/>
          <w:sz w:val="27"/>
          <w:rtl/>
        </w:rPr>
        <w:t>ه</w:t>
      </w:r>
      <w:r w:rsidR="00110321" w:rsidRPr="006571AC">
        <w:rPr>
          <w:rFonts w:ascii="Arabic Typesetting" w:hAnsi="Arabic Typesetting" w:hint="cs"/>
          <w:sz w:val="27"/>
          <w:rtl/>
        </w:rPr>
        <w:t>ْ</w:t>
      </w:r>
      <w:r w:rsidRPr="006571AC">
        <w:rPr>
          <w:rFonts w:ascii="Arabic Typesetting" w:hAnsi="Arabic Typesetting"/>
          <w:sz w:val="27"/>
          <w:rtl/>
        </w:rPr>
        <w:t>مها بشكل</w:t>
      </w:r>
      <w:r w:rsidR="00352B2C" w:rsidRPr="006571AC">
        <w:rPr>
          <w:rFonts w:ascii="Arabic Typesetting" w:hAnsi="Arabic Typesetting" w:hint="cs"/>
          <w:sz w:val="27"/>
          <w:rtl/>
        </w:rPr>
        <w:t>ٍ</w:t>
      </w:r>
      <w:r w:rsidRPr="006571AC">
        <w:rPr>
          <w:rFonts w:ascii="Arabic Typesetting" w:hAnsi="Arabic Typesetting"/>
          <w:sz w:val="27"/>
          <w:rtl/>
        </w:rPr>
        <w:t xml:space="preserve"> أوسع من هذا السبب.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 xml:space="preserve"> </w:t>
      </w:r>
      <w:r w:rsidRPr="006571AC">
        <w:rPr>
          <w:rFonts w:ascii="Arabic Typesetting" w:hAnsi="Arabic Typesetting"/>
          <w:b/>
          <w:bCs/>
          <w:sz w:val="27"/>
          <w:rtl/>
        </w:rPr>
        <w:t>لكنه مدفوع</w:t>
      </w:r>
      <w:r w:rsidR="00352B2C" w:rsidRPr="006571AC">
        <w:rPr>
          <w:rFonts w:ascii="Arabic Typesetting" w:hAnsi="Arabic Typesetting" w:hint="cs"/>
          <w:b/>
          <w:bCs/>
          <w:sz w:val="27"/>
          <w:rtl/>
        </w:rPr>
        <w:t>ٌ</w:t>
      </w:r>
      <w:r w:rsidRPr="006571AC">
        <w:rPr>
          <w:rFonts w:ascii="Arabic Typesetting" w:hAnsi="Arabic Typesetting"/>
          <w:b/>
          <w:bCs/>
          <w:sz w:val="27"/>
          <w:rtl/>
        </w:rPr>
        <w:t xml:space="preserve"> </w:t>
      </w:r>
      <w:r w:rsidRPr="006571AC">
        <w:rPr>
          <w:rFonts w:ascii="Arabic Typesetting" w:hAnsi="Arabic Typesetting"/>
          <w:sz w:val="27"/>
          <w:rtl/>
        </w:rPr>
        <w:t>بأنه لو كان اللفظ المذكور في الآية عام</w:t>
      </w:r>
      <w:r w:rsidR="00352B2C" w:rsidRPr="006571AC">
        <w:rPr>
          <w:rFonts w:ascii="Arabic Typesetting" w:hAnsi="Arabic Typesetting" w:hint="cs"/>
          <w:sz w:val="27"/>
          <w:rtl/>
        </w:rPr>
        <w:t>ّ</w:t>
      </w:r>
      <w:r w:rsidRPr="006571AC">
        <w:rPr>
          <w:rFonts w:ascii="Arabic Typesetting" w:hAnsi="Arabic Typesetting"/>
          <w:sz w:val="27"/>
          <w:rtl/>
        </w:rPr>
        <w:t>ا</w:t>
      </w:r>
      <w:r w:rsidR="00352B2C" w:rsidRPr="006571AC">
        <w:rPr>
          <w:rFonts w:ascii="Arabic Typesetting" w:hAnsi="Arabic Typesetting" w:hint="cs"/>
          <w:sz w:val="27"/>
          <w:rtl/>
        </w:rPr>
        <w:t>ً</w:t>
      </w:r>
      <w:r w:rsidRPr="006571AC">
        <w:rPr>
          <w:rFonts w:ascii="Arabic Typesetting" w:hAnsi="Arabic Typesetting"/>
          <w:sz w:val="27"/>
          <w:rtl/>
        </w:rPr>
        <w:t xml:space="preserve"> فالعبرة هي بعموم اللفظ، لا بخصوص السبب. وعلى هذا الأساس، لا يصح</w:t>
      </w:r>
      <w:r w:rsidR="00352B2C" w:rsidRPr="006571AC">
        <w:rPr>
          <w:rFonts w:ascii="Arabic Typesetting" w:hAnsi="Arabic Typesetting" w:hint="cs"/>
          <w:sz w:val="27"/>
          <w:rtl/>
        </w:rPr>
        <w:t>ّ</w:t>
      </w:r>
      <w:r w:rsidRPr="006571AC">
        <w:rPr>
          <w:rFonts w:ascii="Arabic Typesetting" w:hAnsi="Arabic Typesetting"/>
          <w:sz w:val="27"/>
          <w:rtl/>
        </w:rPr>
        <w:t xml:space="preserve"> تقييد المدلول القرآني بسبب النزول الخاص</w:t>
      </w:r>
      <w:r w:rsidR="00352B2C" w:rsidRPr="006571AC">
        <w:rPr>
          <w:rFonts w:ascii="Arabic Typesetting" w:hAnsi="Arabic Typesetting" w:hint="cs"/>
          <w:sz w:val="27"/>
          <w:rtl/>
        </w:rPr>
        <w:t>ّ</w:t>
      </w:r>
      <w:r w:rsidRPr="006571AC">
        <w:rPr>
          <w:rFonts w:ascii="Arabic Typesetting" w:hAnsi="Arabic Typesetting"/>
          <w:sz w:val="27"/>
          <w:rtl/>
        </w:rPr>
        <w:t>، بل ي</w:t>
      </w:r>
      <w:r w:rsidR="00352B2C" w:rsidRPr="006571AC">
        <w:rPr>
          <w:rFonts w:ascii="Arabic Typesetting" w:hAnsi="Arabic Typesetting" w:hint="cs"/>
          <w:sz w:val="27"/>
          <w:rtl/>
        </w:rPr>
        <w:t>ُ</w:t>
      </w:r>
      <w:r w:rsidRPr="006571AC">
        <w:rPr>
          <w:rFonts w:ascii="Arabic Typesetting" w:hAnsi="Arabic Typesetting"/>
          <w:sz w:val="27"/>
          <w:rtl/>
        </w:rPr>
        <w:t>ؤخَذ بعموم لفظه. والسرّ</w:t>
      </w:r>
      <w:r w:rsidR="001C5F7A" w:rsidRPr="006571AC">
        <w:rPr>
          <w:rFonts w:ascii="Arabic Typesetting" w:hAnsi="Arabic Typesetting" w:hint="cs"/>
          <w:sz w:val="27"/>
          <w:rtl/>
        </w:rPr>
        <w:t>ُ</w:t>
      </w:r>
      <w:r w:rsidRPr="006571AC">
        <w:rPr>
          <w:rFonts w:ascii="Arabic Typesetting" w:hAnsi="Arabic Typesetting"/>
          <w:sz w:val="27"/>
          <w:rtl/>
        </w:rPr>
        <w:t xml:space="preserve"> في ذلك برأي الشهيد الصدر أن </w:t>
      </w:r>
      <w:r w:rsidR="00EA38F1" w:rsidRPr="006571AC">
        <w:rPr>
          <w:rFonts w:ascii="Arabic Typesetting" w:hAnsi="Arabic Typesetting"/>
          <w:sz w:val="27"/>
          <w:rtl/>
        </w:rPr>
        <w:t>دَوْر</w:t>
      </w:r>
      <w:r w:rsidRPr="006571AC">
        <w:rPr>
          <w:rFonts w:ascii="Arabic Typesetting" w:hAnsi="Arabic Typesetting"/>
          <w:sz w:val="27"/>
          <w:rtl/>
        </w:rPr>
        <w:t xml:space="preserve"> سبب النزول هو الإشارة إلى محل</w:t>
      </w:r>
      <w:r w:rsidR="001C5F7A" w:rsidRPr="006571AC">
        <w:rPr>
          <w:rFonts w:ascii="Arabic Typesetting" w:hAnsi="Arabic Typesetting" w:hint="cs"/>
          <w:sz w:val="27"/>
          <w:rtl/>
        </w:rPr>
        <w:t>ّ</w:t>
      </w:r>
      <w:r w:rsidRPr="006571AC">
        <w:rPr>
          <w:rFonts w:ascii="Arabic Typesetting" w:hAnsi="Arabic Typesetting"/>
          <w:sz w:val="27"/>
          <w:rtl/>
        </w:rPr>
        <w:t xml:space="preserve"> الكلام، لا أنه يخصّ</w:t>
      </w:r>
      <w:r w:rsidR="001C5F7A" w:rsidRPr="006571AC">
        <w:rPr>
          <w:rFonts w:ascii="Arabic Typesetting" w:hAnsi="Arabic Typesetting" w:hint="cs"/>
          <w:sz w:val="27"/>
          <w:rtl/>
        </w:rPr>
        <w:t>ِ</w:t>
      </w:r>
      <w:r w:rsidRPr="006571AC">
        <w:rPr>
          <w:rFonts w:ascii="Arabic Typesetting" w:hAnsi="Arabic Typesetting"/>
          <w:sz w:val="27"/>
          <w:rtl/>
        </w:rPr>
        <w:t>ص الكلام بهذا المورد. ويضيف الشهيد الصدر بأن عادةَ القرآن الكريم هي إنزالُ الأحكام والتعاليم بسبب الوقائع والأحداث، حتى يكون البيان القرآني</w:t>
      </w:r>
      <w:r w:rsidR="001C5F7A" w:rsidRPr="006571AC">
        <w:rPr>
          <w:rFonts w:ascii="Arabic Typesetting" w:hAnsi="Arabic Typesetting" w:hint="cs"/>
          <w:sz w:val="27"/>
          <w:rtl/>
        </w:rPr>
        <w:t>ّ</w:t>
      </w:r>
      <w:r w:rsidRPr="006571AC">
        <w:rPr>
          <w:rFonts w:ascii="Arabic Typesetting" w:hAnsi="Arabic Typesetting"/>
          <w:sz w:val="27"/>
          <w:rtl/>
        </w:rPr>
        <w:t xml:space="preserve"> أشد تأثيرا</w:t>
      </w:r>
      <w:r w:rsidR="001C5F7A" w:rsidRPr="006571AC">
        <w:rPr>
          <w:rFonts w:ascii="Arabic Typesetting" w:hAnsi="Arabic Typesetting" w:hint="cs"/>
          <w:sz w:val="27"/>
          <w:rtl/>
        </w:rPr>
        <w:t>ً</w:t>
      </w:r>
      <w:r w:rsidRPr="006571AC">
        <w:rPr>
          <w:rFonts w:ascii="Arabic Typesetting" w:hAnsi="Arabic Typesetting"/>
          <w:sz w:val="27"/>
          <w:rtl/>
        </w:rPr>
        <w:t xml:space="preserve"> في نفوس المسلمين</w:t>
      </w:r>
      <w:r w:rsidR="001C5F7A" w:rsidRPr="006571AC">
        <w:rPr>
          <w:rFonts w:ascii="Arabic Typesetting" w:hAnsi="Arabic Typesetting" w:hint="cs"/>
          <w:sz w:val="27"/>
          <w:rtl/>
        </w:rPr>
        <w:t>،</w:t>
      </w:r>
      <w:r w:rsidRPr="006571AC">
        <w:rPr>
          <w:rFonts w:ascii="Arabic Typesetting" w:hAnsi="Arabic Typesetting"/>
          <w:sz w:val="27"/>
          <w:rtl/>
        </w:rPr>
        <w:t xml:space="preserve"> وأكثر أهم</w:t>
      </w:r>
      <w:r w:rsidR="001C5F7A" w:rsidRPr="006571AC">
        <w:rPr>
          <w:rFonts w:ascii="Arabic Typesetting" w:hAnsi="Arabic Typesetting" w:hint="cs"/>
          <w:sz w:val="27"/>
          <w:rtl/>
        </w:rPr>
        <w:t>ِّ</w:t>
      </w:r>
      <w:r w:rsidRPr="006571AC">
        <w:rPr>
          <w:rFonts w:ascii="Arabic Typesetting" w:hAnsi="Arabic Typesetting"/>
          <w:sz w:val="27"/>
          <w:rtl/>
        </w:rPr>
        <w:t>ية بنظرهم، وإن</w:t>
      </w:r>
      <w:r w:rsidR="001C5F7A" w:rsidRPr="006571AC">
        <w:rPr>
          <w:rFonts w:ascii="Arabic Typesetting" w:hAnsi="Arabic Typesetting" w:hint="cs"/>
          <w:sz w:val="27"/>
          <w:rtl/>
        </w:rPr>
        <w:t>ْ</w:t>
      </w:r>
      <w:r w:rsidRPr="006571AC">
        <w:rPr>
          <w:rFonts w:ascii="Arabic Typesetting" w:hAnsi="Arabic Typesetting"/>
          <w:sz w:val="27"/>
          <w:rtl/>
        </w:rPr>
        <w:t xml:space="preserve"> كان مضمونه عامّا</w:t>
      </w:r>
      <w:r w:rsidR="001C5F7A" w:rsidRPr="006571AC">
        <w:rPr>
          <w:rFonts w:ascii="Arabic Typesetting" w:hAnsi="Arabic Typesetting" w:hint="cs"/>
          <w:sz w:val="27"/>
          <w:rtl/>
        </w:rPr>
        <w:t>ً</w:t>
      </w:r>
      <w:r w:rsidRPr="006571AC">
        <w:rPr>
          <w:rFonts w:ascii="Arabic Typesetting" w:hAnsi="Arabic Typesetting"/>
          <w:sz w:val="27"/>
          <w:rtl/>
        </w:rPr>
        <w:t xml:space="preserve"> شاملا</w:t>
      </w:r>
      <w:r w:rsidR="001C5F7A" w:rsidRPr="006571AC">
        <w:rPr>
          <w:rFonts w:ascii="Arabic Typesetting" w:hAnsi="Arabic Typesetting" w:hint="cs"/>
          <w:sz w:val="27"/>
          <w:rtl/>
        </w:rPr>
        <w:t>ً</w:t>
      </w:r>
      <w:r w:rsidRPr="006571AC">
        <w:rPr>
          <w:rFonts w:ascii="Arabic Typesetting" w:hAnsi="Arabic Typesetting"/>
          <w:sz w:val="27"/>
          <w:rtl/>
        </w:rPr>
        <w:t xml:space="preserve"> لموارد أخرى. </w:t>
      </w:r>
    </w:p>
    <w:p w:rsidR="008D51F3" w:rsidRPr="006571AC" w:rsidRDefault="008D51F3" w:rsidP="0028394C">
      <w:pPr>
        <w:spacing w:line="430" w:lineRule="exact"/>
        <w:rPr>
          <w:rFonts w:ascii="Arabic Typesetting" w:hAnsi="Arabic Typesetting"/>
          <w:sz w:val="27"/>
          <w:rtl/>
        </w:rPr>
      </w:pPr>
    </w:p>
    <w:p w:rsidR="008D51F3" w:rsidRPr="006571AC" w:rsidRDefault="00846381" w:rsidP="00D246D3">
      <w:pPr>
        <w:pStyle w:val="31"/>
        <w:rPr>
          <w:i/>
          <w:iCs/>
          <w:color w:val="auto"/>
          <w:rtl/>
          <w:lang w:bidi="ar-LB"/>
        </w:rPr>
      </w:pPr>
      <w:bookmarkStart w:id="345" w:name="_Toc114164768"/>
      <w:r w:rsidRPr="006571AC">
        <w:rPr>
          <w:rFonts w:hint="cs"/>
          <w:color w:val="auto"/>
          <w:rtl/>
          <w:lang w:bidi="ar-LB"/>
        </w:rPr>
        <w:t>ب ـ</w:t>
      </w:r>
      <w:r w:rsidR="008D51F3" w:rsidRPr="006571AC">
        <w:rPr>
          <w:color w:val="auto"/>
          <w:rtl/>
          <w:lang w:bidi="ar-LB"/>
        </w:rPr>
        <w:t xml:space="preserve"> العادات والتقاليد</w:t>
      </w:r>
      <w:bookmarkEnd w:id="345"/>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أما النموذج الثاني من نماذج القبليات المرتبطة بالإطار التاريخي</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فهو العادات والتقاليد السائدة في زمن صدور النص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فقد لا تكون هذه العادات هي السبب في صدور النص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لكن</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قد يكون المتكل</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م ناظرا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إليها، أو مستفيدا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من بعض المفردات </w:t>
      </w:r>
      <w:r w:rsidRPr="006571AC">
        <w:rPr>
          <w:rFonts w:ascii="Arabic Typesetting" w:hAnsi="Arabic Typesetting"/>
          <w:sz w:val="27"/>
          <w:rtl/>
          <w:lang w:bidi="ar-LB"/>
        </w:rPr>
        <w:lastRenderedPageBreak/>
        <w:t>التي لا يمكن فهمها إلا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بعد الاطلاع على العادات والتقاليد. </w:t>
      </w:r>
    </w:p>
    <w:p w:rsidR="008D51F3" w:rsidRPr="006571AC" w:rsidRDefault="008D51F3" w:rsidP="005B0CA4">
      <w:pPr>
        <w:rPr>
          <w:rFonts w:ascii="Arabic Typesetting" w:hAnsi="Arabic Typesetting"/>
          <w:b/>
          <w:bCs/>
          <w:sz w:val="27"/>
          <w:rtl/>
        </w:rPr>
      </w:pPr>
      <w:r w:rsidRPr="006571AC">
        <w:rPr>
          <w:rFonts w:ascii="Arabic Typesetting" w:hAnsi="Arabic Typesetting"/>
          <w:sz w:val="27"/>
          <w:rtl/>
          <w:lang w:bidi="ar-LB"/>
        </w:rPr>
        <w:t>وفي</w:t>
      </w:r>
      <w:r w:rsidR="001C5F7A" w:rsidRPr="006571AC">
        <w:rPr>
          <w:rFonts w:ascii="Arabic Typesetting" w:hAnsi="Arabic Typesetting" w:hint="cs"/>
          <w:sz w:val="27"/>
          <w:rtl/>
          <w:lang w:bidi="ar-LB"/>
        </w:rPr>
        <w:t xml:space="preserve"> </w:t>
      </w:r>
      <w:r w:rsidRPr="006571AC">
        <w:rPr>
          <w:rFonts w:ascii="Arabic Typesetting" w:hAnsi="Arabic Typesetting"/>
          <w:sz w:val="27"/>
          <w:rtl/>
          <w:lang w:bidi="ar-LB"/>
        </w:rPr>
        <w:t>ما يرتبط بفهم النص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يشير الشهيد الصدر إلى أن فهم العادات والتقاليد العربية يساعد على فهم القرآن أيضا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ولو على مستوى الفهم الإجمالي</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إذ يوجد بعض المفردات التي يمكن فهمها من الناحية اللغوية، لكن</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لمّا كانت مشيرةً إلى عادات</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وتقاليد فإنه لا يمكن الوصول إلى د</w:t>
      </w:r>
      <w:r w:rsidR="001C5F7A" w:rsidRPr="006571AC">
        <w:rPr>
          <w:rFonts w:ascii="Arabic Typesetting" w:hAnsi="Arabic Typesetting" w:hint="cs"/>
          <w:sz w:val="27"/>
          <w:rtl/>
          <w:lang w:bidi="ar-LB"/>
        </w:rPr>
        <w:t>َ</w:t>
      </w:r>
      <w:r w:rsidRPr="006571AC">
        <w:rPr>
          <w:rFonts w:ascii="Arabic Typesetting" w:hAnsi="Arabic Typesetting"/>
          <w:sz w:val="27"/>
          <w:rtl/>
          <w:lang w:bidi="ar-LB"/>
        </w:rPr>
        <w:t>ر</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ك معنى هذه المفردات بشكل</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صحيح</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بسبب تشبّ</w:t>
      </w:r>
      <w:r w:rsidR="001C5F7A" w:rsidRPr="006571AC">
        <w:rPr>
          <w:rFonts w:ascii="Arabic Typesetting" w:hAnsi="Arabic Typesetting" w:hint="cs"/>
          <w:sz w:val="27"/>
          <w:rtl/>
          <w:lang w:bidi="ar-LB"/>
        </w:rPr>
        <w:t>ُ</w:t>
      </w:r>
      <w:r w:rsidRPr="006571AC">
        <w:rPr>
          <w:rFonts w:ascii="Arabic Typesetting" w:hAnsi="Arabic Typesetting"/>
          <w:sz w:val="27"/>
          <w:rtl/>
          <w:lang w:bidi="ar-LB"/>
        </w:rPr>
        <w:t>عها بمعانٍ مرتبطة بهذه العادات، فلا يفهمها إلا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م</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ن</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كان يعيشها أو المطّ</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لع عليها</w:t>
      </w:r>
      <w:r w:rsidRPr="006571AC">
        <w:rPr>
          <w:rFonts w:ascii="Arabic Typesetting" w:hAnsi="Arabic Typesetting"/>
          <w:sz w:val="27"/>
          <w:vertAlign w:val="superscript"/>
          <w:rtl/>
          <w:lang w:bidi="ar-LB"/>
        </w:rPr>
        <w:t>(</w:t>
      </w:r>
      <w:r w:rsidRPr="006571AC">
        <w:rPr>
          <w:rStyle w:val="ac"/>
          <w:rFonts w:ascii="Arabic Typesetting" w:hAnsi="Arabic Typesetting"/>
          <w:sz w:val="27"/>
          <w:rtl/>
        </w:rPr>
        <w:endnoteReference w:id="558"/>
      </w:r>
      <w:r w:rsidRPr="006571AC">
        <w:rPr>
          <w:rFonts w:ascii="Arabic Typesetting" w:hAnsi="Arabic Typesetting"/>
          <w:sz w:val="27"/>
          <w:vertAlign w:val="superscript"/>
          <w:rtl/>
          <w:lang w:bidi="ar-LB"/>
        </w:rPr>
        <w:t>)</w:t>
      </w:r>
      <w:r w:rsidRPr="006571AC">
        <w:rPr>
          <w:rFonts w:ascii="Arabic Typesetting" w:hAnsi="Arabic Typesetting"/>
          <w:sz w:val="27"/>
          <w:rtl/>
        </w:rPr>
        <w:t>.</w:t>
      </w:r>
    </w:p>
    <w:p w:rsidR="008D51F3" w:rsidRPr="006571AC" w:rsidRDefault="008D51F3" w:rsidP="0028394C">
      <w:pPr>
        <w:spacing w:line="420" w:lineRule="exact"/>
        <w:rPr>
          <w:rFonts w:ascii="Arabic Typesetting" w:hAnsi="Arabic Typesetting"/>
          <w:b/>
          <w:bCs/>
          <w:sz w:val="27"/>
          <w:rtl/>
          <w:lang w:bidi="ar-LB"/>
        </w:rPr>
      </w:pPr>
      <w:r w:rsidRPr="006571AC">
        <w:rPr>
          <w:rFonts w:ascii="Arabic Typesetting" w:hAnsi="Arabic Typesetting"/>
          <w:b/>
          <w:bCs/>
          <w:sz w:val="27"/>
          <w:rtl/>
        </w:rPr>
        <w:t xml:space="preserve"> </w:t>
      </w:r>
    </w:p>
    <w:p w:rsidR="008D51F3" w:rsidRPr="006571AC" w:rsidRDefault="00846381" w:rsidP="00D246D3">
      <w:pPr>
        <w:pStyle w:val="31"/>
        <w:rPr>
          <w:i/>
          <w:iCs/>
          <w:color w:val="auto"/>
          <w:rtl/>
          <w:lang w:bidi="ar-LB"/>
        </w:rPr>
      </w:pPr>
      <w:bookmarkStart w:id="346" w:name="_Toc114164769"/>
      <w:r w:rsidRPr="006571AC">
        <w:rPr>
          <w:rFonts w:hint="cs"/>
          <w:color w:val="auto"/>
          <w:rtl/>
          <w:lang w:bidi="ar-LB"/>
        </w:rPr>
        <w:t>ج ـ</w:t>
      </w:r>
      <w:r w:rsidR="008D51F3" w:rsidRPr="006571AC">
        <w:rPr>
          <w:color w:val="auto"/>
          <w:rtl/>
          <w:lang w:bidi="ar-LB"/>
        </w:rPr>
        <w:t xml:space="preserve"> الجو</w:t>
      </w:r>
      <w:r w:rsidR="001C5F7A" w:rsidRPr="006571AC">
        <w:rPr>
          <w:rFonts w:hint="cs"/>
          <w:color w:val="auto"/>
          <w:rtl/>
          <w:lang w:bidi="ar-LB"/>
        </w:rPr>
        <w:t>ّ</w:t>
      </w:r>
      <w:r w:rsidR="008D51F3" w:rsidRPr="006571AC">
        <w:rPr>
          <w:color w:val="auto"/>
          <w:rtl/>
          <w:lang w:bidi="ar-LB"/>
        </w:rPr>
        <w:t xml:space="preserve"> الفكري</w:t>
      </w:r>
      <w:r w:rsidR="001C5F7A" w:rsidRPr="006571AC">
        <w:rPr>
          <w:rFonts w:hint="cs"/>
          <w:color w:val="auto"/>
          <w:rtl/>
          <w:lang w:bidi="ar-LB"/>
        </w:rPr>
        <w:t>ّ</w:t>
      </w:r>
      <w:r w:rsidR="008D51F3" w:rsidRPr="006571AC">
        <w:rPr>
          <w:color w:val="auto"/>
          <w:rtl/>
          <w:lang w:bidi="ar-LB"/>
        </w:rPr>
        <w:t xml:space="preserve"> السائد</w:t>
      </w:r>
      <w:bookmarkEnd w:id="346"/>
    </w:p>
    <w:p w:rsidR="008D51F3" w:rsidRPr="006571AC" w:rsidRDefault="008D51F3" w:rsidP="005B0CA4">
      <w:pPr>
        <w:rPr>
          <w:rFonts w:ascii="Arabic Typesetting" w:hAnsi="Arabic Typesetting"/>
          <w:b/>
          <w:bCs/>
          <w:sz w:val="27"/>
          <w:rtl/>
          <w:lang w:bidi="ar-LB"/>
        </w:rPr>
      </w:pPr>
      <w:r w:rsidRPr="006571AC">
        <w:rPr>
          <w:rFonts w:ascii="Arabic Typesetting" w:hAnsi="Arabic Typesetting"/>
          <w:sz w:val="27"/>
          <w:rtl/>
          <w:lang w:bidi="ar-LB"/>
        </w:rPr>
        <w:t>وأما النموذج الثالث من قبلية الإطار التاريخي</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للنص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فه</w:t>
      </w:r>
      <w:r w:rsidR="001C5F7A" w:rsidRPr="006571AC">
        <w:rPr>
          <w:rFonts w:ascii="Arabic Typesetting" w:hAnsi="Arabic Typesetting" w:hint="cs"/>
          <w:sz w:val="27"/>
          <w:rtl/>
          <w:lang w:bidi="ar-LB"/>
        </w:rPr>
        <w:t>و</w:t>
      </w:r>
      <w:r w:rsidRPr="006571AC">
        <w:rPr>
          <w:rFonts w:ascii="Arabic Typesetting" w:hAnsi="Arabic Typesetting"/>
          <w:sz w:val="27"/>
          <w:rtl/>
          <w:lang w:bidi="ar-LB"/>
        </w:rPr>
        <w:t xml:space="preserve"> عبارة</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عن الجو</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الفكري السائد أثناء صدور النص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ويجب على المفسِّر الاط</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لاع عليه</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حت</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ى يستطيع أن يفهم مفردات النص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بشكل</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صحيح. وهذا ما ذكره الشهيد الصدر عندما تعرّ</w:t>
      </w:r>
      <w:r w:rsidR="001C5F7A" w:rsidRPr="006571AC">
        <w:rPr>
          <w:rFonts w:ascii="Arabic Typesetting" w:hAnsi="Arabic Typesetting" w:hint="cs"/>
          <w:sz w:val="27"/>
          <w:rtl/>
          <w:lang w:bidi="ar-LB"/>
        </w:rPr>
        <w:t>َ</w:t>
      </w:r>
      <w:r w:rsidRPr="006571AC">
        <w:rPr>
          <w:rFonts w:ascii="Arabic Typesetting" w:hAnsi="Arabic Typesetting"/>
          <w:sz w:val="27"/>
          <w:rtl/>
          <w:lang w:bidi="ar-LB"/>
        </w:rPr>
        <w:t>ض للطا</w:t>
      </w:r>
      <w:r w:rsidR="001C5F7A" w:rsidRPr="006571AC">
        <w:rPr>
          <w:rFonts w:ascii="Arabic Typesetting" w:hAnsi="Arabic Typesetting"/>
          <w:sz w:val="27"/>
          <w:rtl/>
          <w:lang w:bidi="ar-LB"/>
        </w:rPr>
        <w:t>ئفة الثالثة من الروايات التي اد</w:t>
      </w:r>
      <w:r w:rsidR="001C5F7A" w:rsidRPr="006571AC">
        <w:rPr>
          <w:rFonts w:ascii="Arabic Typesetting" w:hAnsi="Arabic Typesetting" w:hint="cs"/>
          <w:sz w:val="27"/>
          <w:rtl/>
          <w:lang w:bidi="ar-LB"/>
        </w:rPr>
        <w:t>ُّ</w:t>
      </w:r>
      <w:r w:rsidRPr="006571AC">
        <w:rPr>
          <w:rFonts w:ascii="Arabic Typesetting" w:hAnsi="Arabic Typesetting"/>
          <w:sz w:val="27"/>
          <w:rtl/>
          <w:lang w:bidi="ar-LB"/>
        </w:rPr>
        <w:t>عي دلالتها على عدم حج</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ية القرآن، وهي التي نه</w:t>
      </w:r>
      <w:r w:rsidR="001C5F7A" w:rsidRPr="006571AC">
        <w:rPr>
          <w:rFonts w:ascii="Arabic Typesetting" w:hAnsi="Arabic Typesetting" w:hint="cs"/>
          <w:sz w:val="27"/>
          <w:rtl/>
          <w:lang w:bidi="ar-LB"/>
        </w:rPr>
        <w:t>َ</w:t>
      </w:r>
      <w:r w:rsidRPr="006571AC">
        <w:rPr>
          <w:rFonts w:ascii="Arabic Typesetting" w:hAnsi="Arabic Typesetting"/>
          <w:sz w:val="27"/>
          <w:rtl/>
          <w:lang w:bidi="ar-LB"/>
        </w:rPr>
        <w:t>ت</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عن تفسير القرآن بالرأي، فأبدى الشهيد الصدر احتمالا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لمعنى الرأي، قوّى أن يكون هو المراد. وهذا المعنى استفاده من خلال ملاحظة الإطار التاريخي للنص</w:t>
      </w:r>
      <w:r w:rsidR="00CF292F" w:rsidRPr="006571AC">
        <w:rPr>
          <w:rFonts w:ascii="Arabic Typesetting" w:hAnsi="Arabic Typesetting" w:hint="cs"/>
          <w:sz w:val="27"/>
          <w:rtl/>
          <w:lang w:bidi="ar-LB"/>
        </w:rPr>
        <w:t>ّ</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59"/>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وقد أكّ</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د الشهيد الصدر على هذه الملاحظة في مورد</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آخر</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حيث ذكر أن بعض الصحابة كانوا لا يستوعبون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بسبب عدم اط</w:t>
      </w:r>
      <w:r w:rsidR="00110321" w:rsidRPr="006571AC">
        <w:rPr>
          <w:rFonts w:ascii="Arabic Typesetting" w:hAnsi="Arabic Typesetting" w:hint="cs"/>
          <w:sz w:val="27"/>
          <w:rtl/>
          <w:lang w:bidi="ar-LB"/>
        </w:rPr>
        <w:t>ّ</w:t>
      </w:r>
      <w:r w:rsidRPr="006571AC">
        <w:rPr>
          <w:rFonts w:ascii="Arabic Typesetting" w:hAnsi="Arabic Typesetting"/>
          <w:sz w:val="27"/>
          <w:rtl/>
          <w:lang w:bidi="ar-LB"/>
        </w:rPr>
        <w:t>لاعهم على الملابسات والأمور التي يجب أن يُق</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w:t>
      </w:r>
      <w:r w:rsidR="00CF292F" w:rsidRPr="006571AC">
        <w:rPr>
          <w:rFonts w:ascii="Arabic Typesetting" w:hAnsi="Arabic Typesetting" w:hint="cs"/>
          <w:sz w:val="27"/>
          <w:rtl/>
          <w:lang w:bidi="ar-LB"/>
        </w:rPr>
        <w:t>َ</w:t>
      </w:r>
      <w:r w:rsidRPr="006571AC">
        <w:rPr>
          <w:rFonts w:ascii="Arabic Typesetting" w:hAnsi="Arabic Typesetting"/>
          <w:sz w:val="27"/>
          <w:rtl/>
          <w:lang w:bidi="ar-LB"/>
        </w:rPr>
        <w:t>ن بها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60"/>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8D51F3" w:rsidRPr="006571AC" w:rsidRDefault="008D51F3" w:rsidP="0028394C">
      <w:pPr>
        <w:spacing w:line="430" w:lineRule="exact"/>
        <w:rPr>
          <w:rFonts w:ascii="Arabic Typesetting" w:hAnsi="Arabic Typesetting"/>
          <w:sz w:val="27"/>
          <w:rtl/>
          <w:lang w:bidi="ar-LB"/>
        </w:rPr>
      </w:pPr>
    </w:p>
    <w:p w:rsidR="008D51F3" w:rsidRPr="006571AC" w:rsidRDefault="008D51F3" w:rsidP="00D246D3">
      <w:pPr>
        <w:pStyle w:val="31"/>
        <w:rPr>
          <w:color w:val="auto"/>
          <w:rtl/>
          <w:lang w:bidi="ar-LB"/>
        </w:rPr>
      </w:pPr>
      <w:bookmarkStart w:id="347" w:name="_Toc36050652"/>
      <w:bookmarkStart w:id="348" w:name="_Toc114164770"/>
      <w:r w:rsidRPr="006571AC">
        <w:rPr>
          <w:color w:val="auto"/>
          <w:rtl/>
          <w:lang w:bidi="ar-LB"/>
        </w:rPr>
        <w:t>الإطار الفكري</w:t>
      </w:r>
      <w:r w:rsidR="00CF292F" w:rsidRPr="006571AC">
        <w:rPr>
          <w:rFonts w:hint="cs"/>
          <w:color w:val="auto"/>
          <w:rtl/>
          <w:lang w:bidi="ar-LB"/>
        </w:rPr>
        <w:t>ّ</w:t>
      </w:r>
      <w:r w:rsidRPr="006571AC">
        <w:rPr>
          <w:color w:val="auto"/>
          <w:rtl/>
          <w:lang w:bidi="ar-LB"/>
        </w:rPr>
        <w:t xml:space="preserve"> للنص</w:t>
      </w:r>
      <w:bookmarkEnd w:id="347"/>
      <w:r w:rsidR="00CF292F" w:rsidRPr="006571AC">
        <w:rPr>
          <w:rFonts w:hint="cs"/>
          <w:color w:val="auto"/>
          <w:rtl/>
          <w:lang w:bidi="ar-LB"/>
        </w:rPr>
        <w:t>ّ</w:t>
      </w:r>
      <w:bookmarkEnd w:id="348"/>
    </w:p>
    <w:p w:rsidR="008D51F3" w:rsidRPr="006571AC" w:rsidRDefault="008D51F3" w:rsidP="005B0CA4">
      <w:pPr>
        <w:rPr>
          <w:rFonts w:ascii="Arabic Typesetting" w:hAnsi="Arabic Typesetting"/>
          <w:b/>
          <w:bCs/>
          <w:sz w:val="27"/>
          <w:rtl/>
          <w:lang w:bidi="ar-LB"/>
        </w:rPr>
      </w:pPr>
      <w:r w:rsidRPr="006571AC">
        <w:rPr>
          <w:rFonts w:ascii="Arabic Typesetting" w:hAnsi="Arabic Typesetting"/>
          <w:sz w:val="27"/>
          <w:rtl/>
          <w:lang w:bidi="ar-LB"/>
        </w:rPr>
        <w:t>هذا في</w:t>
      </w:r>
      <w:r w:rsidR="00CF292F" w:rsidRPr="006571AC">
        <w:rPr>
          <w:rFonts w:ascii="Arabic Typesetting" w:hAnsi="Arabic Typesetting" w:hint="cs"/>
          <w:sz w:val="27"/>
          <w:rtl/>
          <w:lang w:bidi="ar-LB"/>
        </w:rPr>
        <w:t xml:space="preserve"> </w:t>
      </w:r>
      <w:r w:rsidRPr="006571AC">
        <w:rPr>
          <w:rFonts w:ascii="Arabic Typesetting" w:hAnsi="Arabic Typesetting"/>
          <w:sz w:val="27"/>
          <w:rtl/>
          <w:lang w:bidi="ar-LB"/>
        </w:rPr>
        <w:t>ما يرتبط بالإطار التاريخي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أما الإطار الفكري </w:t>
      </w:r>
      <w:r w:rsidR="00CF292F" w:rsidRPr="006571AC">
        <w:rPr>
          <w:rFonts w:ascii="Arabic Typesetting" w:hAnsi="Arabic Typesetting" w:hint="cs"/>
          <w:sz w:val="27"/>
          <w:rtl/>
          <w:lang w:bidi="ar-LB"/>
        </w:rPr>
        <w:t>لل</w:t>
      </w:r>
      <w:r w:rsidRPr="006571AC">
        <w:rPr>
          <w:rFonts w:ascii="Arabic Typesetting" w:hAnsi="Arabic Typesetting"/>
          <w:sz w:val="27"/>
          <w:rtl/>
          <w:lang w:bidi="ar-LB"/>
        </w:rPr>
        <w:t>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فالمراد به النظام الفكري الحاكم عند المؤل</w:t>
      </w:r>
      <w:r w:rsidR="00CF292F" w:rsidRPr="006571AC">
        <w:rPr>
          <w:rFonts w:ascii="Arabic Typesetting" w:hAnsi="Arabic Typesetting" w:hint="cs"/>
          <w:sz w:val="27"/>
          <w:rtl/>
          <w:lang w:bidi="ar-LB"/>
        </w:rPr>
        <w:t>ِّ</w:t>
      </w:r>
      <w:r w:rsidRPr="006571AC">
        <w:rPr>
          <w:rFonts w:ascii="Arabic Typesetting" w:hAnsi="Arabic Typesetting"/>
          <w:sz w:val="27"/>
          <w:rtl/>
          <w:lang w:bidi="ar-LB"/>
        </w:rPr>
        <w:t>ف أو المتكل</w:t>
      </w:r>
      <w:r w:rsidR="00CF292F" w:rsidRPr="006571AC">
        <w:rPr>
          <w:rFonts w:ascii="Arabic Typesetting" w:hAnsi="Arabic Typesetting" w:hint="cs"/>
          <w:sz w:val="27"/>
          <w:rtl/>
          <w:lang w:bidi="ar-LB"/>
        </w:rPr>
        <w:t>ِّ</w:t>
      </w:r>
      <w:r w:rsidRPr="006571AC">
        <w:rPr>
          <w:rFonts w:ascii="Arabic Typesetting" w:hAnsi="Arabic Typesetting"/>
          <w:sz w:val="27"/>
          <w:rtl/>
          <w:lang w:bidi="ar-LB"/>
        </w:rPr>
        <w:t>م، والذي ينعكس في خطابه ونص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ه. فلو كان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المدروس والمراد تفسيره 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ا</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إسلامي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ا</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فلا يحق</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للمفس</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 أن يدرسه على ضوء أ</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ط</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 فكرية غير إسلامية، بحيث يؤوّل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إذا كان لا ينسجم مع أ</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ط</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ره الفكرية. وقد عبّ</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 الشهيد الصدر عن تفسير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من خلال إخراجه عن إطاره الفكري بـ </w:t>
      </w:r>
      <w:r w:rsidRPr="006571AC">
        <w:rPr>
          <w:rFonts w:hint="eastAsia"/>
          <w:sz w:val="24"/>
          <w:szCs w:val="24"/>
          <w:rtl/>
          <w:lang w:bidi="ar-LB"/>
        </w:rPr>
        <w:t>«</w:t>
      </w:r>
      <w:r w:rsidRPr="006571AC">
        <w:rPr>
          <w:rFonts w:ascii="Arabic Typesetting" w:hAnsi="Arabic Typesetting"/>
          <w:sz w:val="27"/>
          <w:rtl/>
          <w:lang w:bidi="ar-LB"/>
        </w:rPr>
        <w:t>دمج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ضمن إطار خاص</w:t>
      </w:r>
      <w:r w:rsidR="00CF292F" w:rsidRPr="006571AC">
        <w:rPr>
          <w:rFonts w:ascii="Arabic Typesetting" w:hAnsi="Arabic Typesetting" w:hint="cs"/>
          <w:sz w:val="27"/>
          <w:rtl/>
          <w:lang w:bidi="ar-LB"/>
        </w:rPr>
        <w:t>ّ</w:t>
      </w:r>
      <w:r w:rsidRPr="006571AC">
        <w:rPr>
          <w:rFonts w:hint="eastAsia"/>
          <w:sz w:val="24"/>
          <w:szCs w:val="24"/>
          <w:rtl/>
        </w:rPr>
        <w:t>»</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61"/>
      </w:r>
      <w:r w:rsidRPr="006571AC">
        <w:rPr>
          <w:rFonts w:ascii="Arabic Typesetting" w:hAnsi="Arabic Typesetting"/>
          <w:sz w:val="27"/>
          <w:vertAlign w:val="superscript"/>
          <w:rtl/>
          <w:lang w:bidi="ar-LB"/>
        </w:rPr>
        <w:t>)</w:t>
      </w:r>
      <w:r w:rsidRPr="006571AC">
        <w:rPr>
          <w:rFonts w:ascii="Arabic Typesetting" w:hAnsi="Arabic Typesetting"/>
          <w:b/>
          <w:bCs/>
          <w:sz w:val="27"/>
          <w:rtl/>
          <w:lang w:bidi="ar-LB"/>
        </w:rPr>
        <w:t xml:space="preserve">. </w:t>
      </w:r>
      <w:r w:rsidRPr="006571AC">
        <w:rPr>
          <w:rFonts w:ascii="Arabic Typesetting" w:hAnsi="Arabic Typesetting"/>
          <w:sz w:val="27"/>
          <w:rtl/>
          <w:lang w:bidi="ar-LB"/>
        </w:rPr>
        <w:t>ولذا يؤك</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د الش</w:t>
      </w:r>
      <w:r w:rsidR="00CF292F" w:rsidRPr="006571AC">
        <w:rPr>
          <w:rFonts w:ascii="Arabic Typesetting" w:hAnsi="Arabic Typesetting"/>
          <w:sz w:val="27"/>
          <w:rtl/>
          <w:lang w:bidi="ar-LB"/>
        </w:rPr>
        <w:t>ه</w:t>
      </w:r>
      <w:r w:rsidRPr="006571AC">
        <w:rPr>
          <w:rFonts w:ascii="Arabic Typesetting" w:hAnsi="Arabic Typesetting"/>
          <w:sz w:val="27"/>
          <w:rtl/>
          <w:lang w:bidi="ar-LB"/>
        </w:rPr>
        <w:t xml:space="preserve">يد الصدر على ضرورة </w:t>
      </w:r>
      <w:r w:rsidRPr="006571AC">
        <w:rPr>
          <w:rFonts w:ascii="Arabic Typesetting" w:hAnsi="Arabic Typesetting"/>
          <w:sz w:val="27"/>
          <w:rtl/>
          <w:lang w:bidi="ar-LB"/>
        </w:rPr>
        <w:lastRenderedPageBreak/>
        <w:t>فهم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 ودراسته ضمن إطاره الفكري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الإسلامي</w:t>
      </w:r>
      <w:r w:rsidR="00CF292F" w:rsidRPr="006571AC">
        <w:rPr>
          <w:rFonts w:ascii="Arabic Typesetting" w:hAnsi="Arabic Typesetting" w:hint="cs"/>
          <w:sz w:val="27"/>
          <w:rtl/>
          <w:lang w:bidi="ar-LB"/>
        </w:rPr>
        <w:t>ّ</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62"/>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5B0CA4">
      <w:pPr>
        <w:rPr>
          <w:rFonts w:ascii="Arabic Typesetting" w:hAnsi="Arabic Typesetting"/>
          <w:b/>
          <w:bCs/>
          <w:sz w:val="27"/>
          <w:rtl/>
          <w:lang w:bidi="ar-LB"/>
        </w:rPr>
      </w:pPr>
      <w:r w:rsidRPr="006571AC">
        <w:rPr>
          <w:rFonts w:ascii="Arabic Typesetting" w:hAnsi="Arabic Typesetting"/>
          <w:sz w:val="27"/>
          <w:rtl/>
          <w:lang w:bidi="ar-LB"/>
        </w:rPr>
        <w:t>ثم</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يبيّ</w:t>
      </w:r>
      <w:r w:rsidR="00CF292F" w:rsidRPr="006571AC">
        <w:rPr>
          <w:rFonts w:ascii="Arabic Typesetting" w:hAnsi="Arabic Typesetting" w:hint="cs"/>
          <w:sz w:val="27"/>
          <w:rtl/>
          <w:lang w:bidi="ar-LB"/>
        </w:rPr>
        <w:t>ِ</w:t>
      </w:r>
      <w:r w:rsidR="00CF292F" w:rsidRPr="006571AC">
        <w:rPr>
          <w:rFonts w:ascii="Arabic Typesetting" w:hAnsi="Arabic Typesetting"/>
          <w:sz w:val="27"/>
          <w:rtl/>
          <w:lang w:bidi="ar-LB"/>
        </w:rPr>
        <w:t>ن الشهيد الصدر المب</w:t>
      </w:r>
      <w:r w:rsidRPr="006571AC">
        <w:rPr>
          <w:rFonts w:ascii="Arabic Typesetting" w:hAnsi="Arabic Typesetting"/>
          <w:sz w:val="27"/>
          <w:rtl/>
          <w:lang w:bidi="ar-LB"/>
        </w:rPr>
        <w:t>ر</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 العلمي لضرورة هذه القبلية، فيرى أن الموقف العلمي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يقتضيها؛ لأن هذا الإطار الفكري ينعكس سلبا</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وإيجابا</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على فهم التفاصيل. ف</w:t>
      </w:r>
      <w:r w:rsidR="00731867" w:rsidRPr="006571AC">
        <w:rPr>
          <w:rFonts w:ascii="Arabic Typesetting" w:hAnsi="Arabic Typesetting"/>
          <w:sz w:val="27"/>
          <w:rtl/>
          <w:lang w:bidi="ar-LB"/>
        </w:rPr>
        <w:t>لا بُدَّ</w:t>
      </w:r>
      <w:r w:rsidRPr="006571AC">
        <w:rPr>
          <w:rFonts w:ascii="Arabic Typesetting" w:hAnsi="Arabic Typesetting"/>
          <w:sz w:val="27"/>
          <w:rtl/>
          <w:lang w:bidi="ar-LB"/>
        </w:rPr>
        <w:t xml:space="preserve"> من فهم الإطار الفكري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للنص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بشكل</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صحيح حت</w:t>
      </w:r>
      <w:r w:rsidR="00CF292F" w:rsidRPr="006571AC">
        <w:rPr>
          <w:rFonts w:ascii="Arabic Typesetting" w:hAnsi="Arabic Typesetting" w:hint="cs"/>
          <w:sz w:val="27"/>
          <w:rtl/>
          <w:lang w:bidi="ar-LB"/>
        </w:rPr>
        <w:t>ّ</w:t>
      </w:r>
      <w:r w:rsidRPr="006571AC">
        <w:rPr>
          <w:rFonts w:ascii="Arabic Typesetting" w:hAnsi="Arabic Typesetting"/>
          <w:sz w:val="27"/>
          <w:rtl/>
          <w:lang w:bidi="ar-LB"/>
        </w:rPr>
        <w:t>ى تنجح عملي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ة فهم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وتفسيره</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63"/>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وهذا النحو من القبليات قد يتقاطع مع فكرة النفوذ إلى ذهنية المؤل</w:t>
      </w:r>
      <w:r w:rsidR="00E70B0B" w:rsidRPr="006571AC">
        <w:rPr>
          <w:rFonts w:ascii="Arabic Typesetting" w:hAnsi="Arabic Typesetting" w:hint="cs"/>
          <w:sz w:val="27"/>
          <w:rtl/>
          <w:lang w:bidi="ar-LB"/>
        </w:rPr>
        <w:t>ِّ</w:t>
      </w:r>
      <w:r w:rsidRPr="006571AC">
        <w:rPr>
          <w:rFonts w:ascii="Arabic Typesetting" w:hAnsi="Arabic Typesetting"/>
          <w:sz w:val="27"/>
          <w:rtl/>
          <w:lang w:bidi="ar-LB"/>
        </w:rPr>
        <w:t xml:space="preserve">ف، التي ذهبت إليها الهرمنيوطيقا الرومانسية مع شلايرماخر؛ </w:t>
      </w:r>
      <w:r w:rsidR="00E70B0B" w:rsidRPr="006571AC">
        <w:rPr>
          <w:rFonts w:ascii="Arabic Typesetting" w:hAnsi="Arabic Typesetting" w:hint="cs"/>
          <w:sz w:val="27"/>
          <w:rtl/>
          <w:lang w:bidi="ar-LB"/>
        </w:rPr>
        <w:t>و</w:t>
      </w:r>
      <w:r w:rsidR="00731867" w:rsidRPr="006571AC">
        <w:rPr>
          <w:rFonts w:ascii="Arabic Typesetting" w:hAnsi="Arabic Typesetting"/>
          <w:sz w:val="27"/>
          <w:rtl/>
          <w:lang w:bidi="ar-LB"/>
        </w:rPr>
        <w:t>لا سيَّما</w:t>
      </w:r>
      <w:r w:rsidRPr="006571AC">
        <w:rPr>
          <w:rFonts w:ascii="Arabic Typesetting" w:hAnsi="Arabic Typesetting"/>
          <w:sz w:val="27"/>
          <w:rtl/>
          <w:lang w:bidi="ar-LB"/>
        </w:rPr>
        <w:t xml:space="preserve"> أنّ الشهيد الصدر صرّ</w:t>
      </w:r>
      <w:r w:rsidR="00E70B0B" w:rsidRPr="006571AC">
        <w:rPr>
          <w:rFonts w:ascii="Arabic Typesetting" w:hAnsi="Arabic Typesetting" w:hint="cs"/>
          <w:sz w:val="27"/>
          <w:rtl/>
          <w:lang w:bidi="ar-LB"/>
        </w:rPr>
        <w:t>َ</w:t>
      </w:r>
      <w:r w:rsidRPr="006571AC">
        <w:rPr>
          <w:rFonts w:ascii="Arabic Typesetting" w:hAnsi="Arabic Typesetting"/>
          <w:sz w:val="27"/>
          <w:rtl/>
          <w:lang w:bidi="ar-LB"/>
        </w:rPr>
        <w:t>ح بأنه عبارة</w:t>
      </w:r>
      <w:r w:rsidR="00E70B0B" w:rsidRPr="006571AC">
        <w:rPr>
          <w:rFonts w:ascii="Arabic Typesetting" w:hAnsi="Arabic Typesetting" w:hint="cs"/>
          <w:sz w:val="27"/>
          <w:rtl/>
          <w:lang w:bidi="ar-LB"/>
        </w:rPr>
        <w:t>ٌ</w:t>
      </w:r>
      <w:r w:rsidRPr="006571AC">
        <w:rPr>
          <w:rFonts w:ascii="Arabic Typesetting" w:hAnsi="Arabic Typesetting"/>
          <w:sz w:val="27"/>
          <w:rtl/>
          <w:lang w:bidi="ar-LB"/>
        </w:rPr>
        <w:t xml:space="preserve"> عن اندماج</w:t>
      </w:r>
      <w:r w:rsidR="00E70B0B" w:rsidRPr="006571AC">
        <w:rPr>
          <w:rFonts w:ascii="Arabic Typesetting" w:hAnsi="Arabic Typesetting" w:hint="cs"/>
          <w:sz w:val="27"/>
          <w:rtl/>
          <w:lang w:bidi="ar-LB"/>
        </w:rPr>
        <w:t>ٍ</w:t>
      </w:r>
      <w:r w:rsidRPr="006571AC">
        <w:rPr>
          <w:rFonts w:ascii="Arabic Typesetting" w:hAnsi="Arabic Typesetting"/>
          <w:sz w:val="27"/>
          <w:rtl/>
          <w:lang w:bidi="ar-LB"/>
        </w:rPr>
        <w:t xml:space="preserve"> في القرآن</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64"/>
      </w:r>
      <w:r w:rsidRPr="006571AC">
        <w:rPr>
          <w:rFonts w:ascii="Arabic Typesetting" w:hAnsi="Arabic Typesetting"/>
          <w:sz w:val="27"/>
          <w:vertAlign w:val="superscript"/>
          <w:rtl/>
          <w:lang w:bidi="ar-LB"/>
        </w:rPr>
        <w:t>)</w:t>
      </w:r>
      <w:r w:rsidRPr="006571AC">
        <w:rPr>
          <w:rFonts w:ascii="Arabic Typesetting" w:hAnsi="Arabic Typesetting"/>
          <w:b/>
          <w:bCs/>
          <w:sz w:val="27"/>
          <w:rtl/>
          <w:lang w:bidi="ar-LB"/>
        </w:rPr>
        <w:t xml:space="preserve">. </w:t>
      </w:r>
      <w:r w:rsidRPr="006571AC">
        <w:rPr>
          <w:rFonts w:ascii="Arabic Typesetting" w:hAnsi="Arabic Typesetting"/>
          <w:sz w:val="27"/>
          <w:rtl/>
          <w:lang w:bidi="ar-LB"/>
        </w:rPr>
        <w:t>وهذا ما سنشير إليه مر</w:t>
      </w:r>
      <w:r w:rsidR="00E70B0B" w:rsidRPr="006571AC">
        <w:rPr>
          <w:rFonts w:ascii="Arabic Typesetting" w:hAnsi="Arabic Typesetting" w:hint="cs"/>
          <w:sz w:val="27"/>
          <w:rtl/>
          <w:lang w:bidi="ar-LB"/>
        </w:rPr>
        <w:t>ّ</w:t>
      </w:r>
      <w:r w:rsidRPr="006571AC">
        <w:rPr>
          <w:rFonts w:ascii="Arabic Typesetting" w:hAnsi="Arabic Typesetting"/>
          <w:sz w:val="27"/>
          <w:rtl/>
          <w:lang w:bidi="ar-LB"/>
        </w:rPr>
        <w:t>ة</w:t>
      </w:r>
      <w:r w:rsidR="00E70B0B" w:rsidRPr="006571AC">
        <w:rPr>
          <w:rFonts w:ascii="Arabic Typesetting" w:hAnsi="Arabic Typesetting" w:hint="cs"/>
          <w:sz w:val="27"/>
          <w:rtl/>
          <w:lang w:bidi="ar-LB"/>
        </w:rPr>
        <w:t>ً</w:t>
      </w:r>
      <w:r w:rsidRPr="006571AC">
        <w:rPr>
          <w:rFonts w:ascii="Arabic Typesetting" w:hAnsi="Arabic Typesetting"/>
          <w:sz w:val="27"/>
          <w:rtl/>
          <w:lang w:bidi="ar-LB"/>
        </w:rPr>
        <w:t xml:space="preserve"> أخرى في الوقفة </w:t>
      </w:r>
      <w:r w:rsidR="00E70B0B" w:rsidRPr="006571AC">
        <w:rPr>
          <w:rFonts w:ascii="Arabic Typesetting" w:hAnsi="Arabic Typesetting" w:hint="cs"/>
          <w:sz w:val="27"/>
          <w:rtl/>
          <w:lang w:bidi="ar-LB"/>
        </w:rPr>
        <w:t>ال</w:t>
      </w:r>
      <w:r w:rsidRPr="006571AC">
        <w:rPr>
          <w:rFonts w:ascii="Arabic Typesetting" w:hAnsi="Arabic Typesetting"/>
          <w:sz w:val="27"/>
          <w:rtl/>
          <w:lang w:bidi="ar-LB"/>
        </w:rPr>
        <w:t xml:space="preserve">تحليلية في آخر هذا المقال. </w:t>
      </w:r>
    </w:p>
    <w:p w:rsidR="008D51F3" w:rsidRPr="006571AC" w:rsidRDefault="008D51F3" w:rsidP="0028394C">
      <w:pPr>
        <w:spacing w:line="420" w:lineRule="exact"/>
        <w:rPr>
          <w:rFonts w:ascii="Arabic Typesetting" w:hAnsi="Arabic Typesetting"/>
          <w:sz w:val="27"/>
          <w:rtl/>
          <w:lang w:bidi="ar-LB"/>
        </w:rPr>
      </w:pPr>
    </w:p>
    <w:p w:rsidR="008D51F3" w:rsidRPr="006571AC" w:rsidRDefault="00115D3F" w:rsidP="00D246D3">
      <w:pPr>
        <w:pStyle w:val="31"/>
        <w:rPr>
          <w:color w:val="auto"/>
          <w:rtl/>
          <w:lang w:bidi="ar-LB"/>
        </w:rPr>
      </w:pPr>
      <w:bookmarkStart w:id="349" w:name="_Toc36050653"/>
      <w:bookmarkStart w:id="350" w:name="_Toc114164771"/>
      <w:r w:rsidRPr="006571AC">
        <w:rPr>
          <w:rFonts w:hint="cs"/>
          <w:color w:val="auto"/>
          <w:rtl/>
          <w:lang w:bidi="ar-LB"/>
        </w:rPr>
        <w:t>3ـ</w:t>
      </w:r>
      <w:r w:rsidR="008D51F3" w:rsidRPr="006571AC">
        <w:rPr>
          <w:color w:val="auto"/>
          <w:rtl/>
          <w:lang w:bidi="ar-LB"/>
        </w:rPr>
        <w:t xml:space="preserve"> الارتكاز الاجتماعي</w:t>
      </w:r>
      <w:bookmarkEnd w:id="349"/>
      <w:r w:rsidR="00E70B0B" w:rsidRPr="006571AC">
        <w:rPr>
          <w:rFonts w:hint="cs"/>
          <w:color w:val="auto"/>
          <w:rtl/>
          <w:lang w:bidi="ar-LB"/>
        </w:rPr>
        <w:t>ّ</w:t>
      </w:r>
      <w:bookmarkEnd w:id="350"/>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ثم</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فرق</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بين المدلول اللغوي ـ أو اللفظي ـ للنص</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w:t>
      </w:r>
      <w:r w:rsidR="00E70B0B" w:rsidRPr="006571AC">
        <w:rPr>
          <w:rFonts w:ascii="Arabic Typesetting" w:hAnsi="Arabic Typesetting" w:cs="AL-Mohanad" w:hint="cs"/>
          <w:sz w:val="27"/>
          <w:szCs w:val="27"/>
          <w:rtl/>
          <w:lang w:bidi="ar-LB"/>
        </w:rPr>
        <w:t>و</w:t>
      </w:r>
      <w:r w:rsidRPr="006571AC">
        <w:rPr>
          <w:rFonts w:ascii="Arabic Typesetting" w:hAnsi="Arabic Typesetting" w:cs="AL-Mohanad"/>
          <w:sz w:val="27"/>
          <w:szCs w:val="27"/>
          <w:rtl/>
          <w:lang w:bidi="ar-LB"/>
        </w:rPr>
        <w:t>مدلوله الاجتماعي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وصحيح</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أن الفقهاء، أثناء ممارستهم لعملية الاستنباط الفقهية، يعتمدون على عنصر الفهم الاجتماعي، إلى جانب اعتمادهم على الجانب اللفظي للدلالة، إلا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أنهم غالبا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ما لا يفك</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كون بينهما، ولا يبيّ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نون حدود كلّ عنصر</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منهما.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وقد سعى الشهيد الصدر، ت</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عا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للشيخ محمد جواد مغني</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Pr="006571AC">
        <w:rPr>
          <w:rFonts w:ascii="Arabic Typesetting" w:hAnsi="Arabic Typesetting" w:cs="AL-Mohanad"/>
          <w:sz w:val="27"/>
          <w:szCs w:val="27"/>
          <w:vertAlign w:val="superscript"/>
          <w:rtl/>
          <w:lang w:bidi="ar-LB"/>
        </w:rPr>
        <w:t>(</w:t>
      </w:r>
      <w:r w:rsidRPr="006571AC">
        <w:rPr>
          <w:rStyle w:val="ac"/>
          <w:rFonts w:ascii="Arabic Typesetting" w:eastAsiaTheme="majorEastAsia" w:hAnsi="Arabic Typesetting" w:cs="AL-Mohanad"/>
          <w:sz w:val="27"/>
          <w:szCs w:val="27"/>
          <w:rtl/>
          <w:lang w:bidi="ar-LB"/>
        </w:rPr>
        <w:endnoteReference w:id="565"/>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r w:rsidR="00E70B0B" w:rsidRPr="006571AC">
        <w:rPr>
          <w:rFonts w:ascii="Arabic Typesetting" w:hAnsi="Arabic Typesetting" w:cs="AL-Mohanad" w:hint="cs"/>
          <w:sz w:val="27"/>
          <w:szCs w:val="27"/>
          <w:rtl/>
          <w:lang w:bidi="ar-LB"/>
        </w:rPr>
        <w:t xml:space="preserve">إلى </w:t>
      </w:r>
      <w:r w:rsidRPr="006571AC">
        <w:rPr>
          <w:rFonts w:ascii="Arabic Typesetting" w:hAnsi="Arabic Typesetting" w:cs="AL-Mohanad"/>
          <w:sz w:val="27"/>
          <w:szCs w:val="27"/>
          <w:rtl/>
          <w:lang w:bidi="ar-LB"/>
        </w:rPr>
        <w:t>أن يسلّ</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ط الضوء على الجانب الاجتماعي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ويبيّ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ن </w:t>
      </w:r>
      <w:r w:rsidR="00EA38F1" w:rsidRPr="006571AC">
        <w:rPr>
          <w:rFonts w:ascii="Arabic Typesetting" w:hAnsi="Arabic Typesetting" w:cs="AL-Mohanad"/>
          <w:sz w:val="27"/>
          <w:szCs w:val="27"/>
          <w:rtl/>
          <w:lang w:bidi="ar-LB"/>
        </w:rPr>
        <w:t>دَوْر</w:t>
      </w:r>
      <w:r w:rsidRPr="006571AC">
        <w:rPr>
          <w:rFonts w:ascii="Arabic Typesetting" w:hAnsi="Arabic Typesetting" w:cs="AL-Mohanad"/>
          <w:sz w:val="27"/>
          <w:szCs w:val="27"/>
          <w:rtl/>
          <w:lang w:bidi="ar-LB"/>
        </w:rPr>
        <w:t>ه في فهم النص</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w:t>
      </w:r>
    </w:p>
    <w:p w:rsidR="008D51F3" w:rsidRPr="006571AC" w:rsidRDefault="008D51F3" w:rsidP="0028394C">
      <w:pPr>
        <w:pStyle w:val="af"/>
        <w:spacing w:line="430" w:lineRule="exact"/>
        <w:rPr>
          <w:rFonts w:ascii="Arabic Typesetting" w:hAnsi="Arabic Typesetting" w:cs="AL-Mohanad"/>
          <w:sz w:val="27"/>
          <w:szCs w:val="27"/>
          <w:rtl/>
          <w:lang w:bidi="ar-LB"/>
        </w:rPr>
      </w:pPr>
    </w:p>
    <w:p w:rsidR="008D51F3" w:rsidRPr="006571AC" w:rsidRDefault="008D51F3" w:rsidP="00D246D3">
      <w:pPr>
        <w:pStyle w:val="31"/>
        <w:rPr>
          <w:color w:val="auto"/>
          <w:rtl/>
          <w:lang w:bidi="ar-LB"/>
        </w:rPr>
      </w:pPr>
      <w:bookmarkStart w:id="351" w:name="_Toc114164772"/>
      <w:r w:rsidRPr="006571AC">
        <w:rPr>
          <w:color w:val="auto"/>
          <w:rtl/>
          <w:lang w:bidi="ar-LB"/>
        </w:rPr>
        <w:t>بيان الارتكاز الاجتماعي</w:t>
      </w:r>
      <w:r w:rsidR="00E70B0B" w:rsidRPr="006571AC">
        <w:rPr>
          <w:rFonts w:hint="cs"/>
          <w:color w:val="auto"/>
          <w:rtl/>
          <w:lang w:bidi="ar-LB"/>
        </w:rPr>
        <w:t>ّ</w:t>
      </w:r>
      <w:bookmarkEnd w:id="351"/>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الشخص الذي يحاول فهم النص</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لا يمكنه أن يصل إلى معناه النهائي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اعتمادا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الدلالات اللفظية فقط ـ سواء كانت وضعي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أو سياقي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E70B0B" w:rsidRPr="006571AC">
        <w:rPr>
          <w:rFonts w:ascii="Arabic Typesetting" w:hAnsi="Arabic Typesetting" w:cs="AL-Mohanad" w:hint="cs"/>
          <w:sz w:val="27"/>
          <w:szCs w:val="27"/>
          <w:rtl/>
          <w:lang w:bidi="ar-LB"/>
        </w:rPr>
        <w:t>ً</w:t>
      </w:r>
      <w:r w:rsidR="00E70B0B" w:rsidRPr="006571AC">
        <w:rPr>
          <w:rFonts w:ascii="Arabic Typesetting" w:hAnsi="Arabic Typesetting" w:cs="AL-Mohanad"/>
          <w:sz w:val="27"/>
          <w:szCs w:val="27"/>
          <w:rtl/>
          <w:lang w:bidi="ar-LB"/>
        </w:rPr>
        <w:t xml:space="preserve"> ـ</w:t>
      </w:r>
      <w:r w:rsidRPr="006571AC">
        <w:rPr>
          <w:rFonts w:ascii="Arabic Typesetting" w:hAnsi="Arabic Typesetting" w:cs="AL-Mohanad"/>
          <w:sz w:val="27"/>
          <w:szCs w:val="27"/>
          <w:rtl/>
          <w:lang w:bidi="ar-LB"/>
        </w:rPr>
        <w:t>؛ لأنه شخص</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عاش الحياة الاجتماعية مع سائر العقلاء، وبالتالي له ذهني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موحّ</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دة معهم، مضافا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إلى ذهني</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ته الخاص</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وهذه الذهنية المشتركة بينه وبين سائر العقلاء في مجتمعه تشكّ</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 أساسا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لمرتكزات</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عام</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في مجالات</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عديدة، منها: المجال التشريعي والتقنيني. وهذه المرتكزات العام</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تُسم</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ى عند الفقهاء بـ </w:t>
      </w:r>
      <w:r w:rsidRPr="006571AC">
        <w:rPr>
          <w:rFonts w:cs="AL-Mohanad" w:hint="eastAsia"/>
          <w:rtl/>
          <w:lang w:bidi="ar-LB"/>
        </w:rPr>
        <w:t>«</w:t>
      </w:r>
      <w:r w:rsidRPr="006571AC">
        <w:rPr>
          <w:rFonts w:ascii="Arabic Typesetting" w:hAnsi="Arabic Typesetting" w:cs="AL-Mohanad"/>
          <w:sz w:val="27"/>
          <w:szCs w:val="27"/>
          <w:rtl/>
          <w:lang w:bidi="ar-LB"/>
        </w:rPr>
        <w:t>مناسبات الحكم والموضوع</w:t>
      </w:r>
      <w:r w:rsidRPr="006571AC">
        <w:rPr>
          <w:rFonts w:cs="AL-Mohanad" w:hint="eastAsia"/>
          <w:rtl/>
        </w:rPr>
        <w:t>»</w:t>
      </w:r>
      <w:r w:rsidRPr="006571AC">
        <w:rPr>
          <w:rFonts w:ascii="Arabic Typesetting" w:hAnsi="Arabic Typesetting" w:cs="AL-Mohanad"/>
          <w:sz w:val="27"/>
          <w:szCs w:val="27"/>
          <w:rtl/>
          <w:lang w:bidi="ar-LB"/>
        </w:rPr>
        <w:t xml:space="preserve">.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وهي في الحقيقة تُعبّ</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عن ذهنية مشتركة وارتكاز</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تشريعي عام</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تُف</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هَم على </w:t>
      </w:r>
      <w:r w:rsidRPr="006571AC">
        <w:rPr>
          <w:rFonts w:ascii="Arabic Typesetting" w:hAnsi="Arabic Typesetting" w:cs="AL-Mohanad"/>
          <w:sz w:val="27"/>
          <w:szCs w:val="27"/>
          <w:rtl/>
          <w:lang w:bidi="ar-LB"/>
        </w:rPr>
        <w:lastRenderedPageBreak/>
        <w:t>ضوئه النصوص بنحو</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أوسع أو أضيق من الدلالة اللغوي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وهذا هو المراد بالفهم الاجتماعي للنص</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vertAlign w:val="superscript"/>
          <w:rtl/>
          <w:lang w:bidi="ar-LB"/>
        </w:rPr>
        <w:t>(</w:t>
      </w:r>
      <w:r w:rsidRPr="006571AC">
        <w:rPr>
          <w:rStyle w:val="ac"/>
          <w:rFonts w:ascii="Arabic Typesetting" w:eastAsiaTheme="majorEastAsia" w:hAnsi="Arabic Typesetting" w:cs="AL-Mohanad"/>
          <w:sz w:val="27"/>
          <w:szCs w:val="27"/>
          <w:rtl/>
          <w:lang w:bidi="ar-LB"/>
        </w:rPr>
        <w:endnoteReference w:id="566"/>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28394C">
      <w:pPr>
        <w:pStyle w:val="af"/>
        <w:spacing w:line="420" w:lineRule="exact"/>
        <w:rPr>
          <w:rFonts w:ascii="Arabic Typesetting" w:hAnsi="Arabic Typesetting" w:cs="AL-Mohanad"/>
          <w:sz w:val="27"/>
          <w:szCs w:val="27"/>
          <w:rtl/>
          <w:lang w:bidi="ar-LB"/>
        </w:rPr>
      </w:pPr>
    </w:p>
    <w:p w:rsidR="008D51F3" w:rsidRPr="006571AC" w:rsidRDefault="008D51F3" w:rsidP="00115D3F">
      <w:pPr>
        <w:pStyle w:val="31"/>
        <w:rPr>
          <w:color w:val="auto"/>
          <w:rtl/>
          <w:lang w:bidi="ar-LB"/>
        </w:rPr>
      </w:pPr>
      <w:bookmarkStart w:id="352" w:name="_Toc114164773"/>
      <w:r w:rsidRPr="006571AC">
        <w:rPr>
          <w:color w:val="auto"/>
          <w:rtl/>
          <w:lang w:bidi="ar-LB"/>
        </w:rPr>
        <w:t>مبرّ</w:t>
      </w:r>
      <w:r w:rsidR="002D5428" w:rsidRPr="006571AC">
        <w:rPr>
          <w:rFonts w:hint="cs"/>
          <w:color w:val="auto"/>
          <w:rtl/>
          <w:lang w:bidi="ar-LB"/>
        </w:rPr>
        <w:t>ِ</w:t>
      </w:r>
      <w:r w:rsidRPr="006571AC">
        <w:rPr>
          <w:color w:val="auto"/>
          <w:rtl/>
          <w:lang w:bidi="ar-LB"/>
        </w:rPr>
        <w:t xml:space="preserve">ر </w:t>
      </w:r>
      <w:r w:rsidR="00115D3F" w:rsidRPr="006571AC">
        <w:rPr>
          <w:rFonts w:hint="cs"/>
          <w:color w:val="auto"/>
          <w:rtl/>
          <w:lang w:bidi="ar-LB"/>
        </w:rPr>
        <w:t>ا</w:t>
      </w:r>
      <w:r w:rsidRPr="006571AC">
        <w:rPr>
          <w:color w:val="auto"/>
          <w:rtl/>
          <w:lang w:bidi="ar-LB"/>
        </w:rPr>
        <w:t>لاعتماد على الارتكاز الاجتماعي</w:t>
      </w:r>
      <w:r w:rsidR="002D5428" w:rsidRPr="006571AC">
        <w:rPr>
          <w:rFonts w:hint="cs"/>
          <w:color w:val="auto"/>
          <w:rtl/>
          <w:lang w:bidi="ar-LB"/>
        </w:rPr>
        <w:t>ّ</w:t>
      </w:r>
      <w:r w:rsidRPr="006571AC">
        <w:rPr>
          <w:color w:val="auto"/>
          <w:rtl/>
          <w:lang w:bidi="ar-LB"/>
        </w:rPr>
        <w:t xml:space="preserve"> في فهم النص</w:t>
      </w:r>
      <w:r w:rsidR="002D5428" w:rsidRPr="006571AC">
        <w:rPr>
          <w:rFonts w:hint="cs"/>
          <w:color w:val="auto"/>
          <w:rtl/>
          <w:lang w:bidi="ar-LB"/>
        </w:rPr>
        <w:t>ّ</w:t>
      </w:r>
      <w:bookmarkEnd w:id="352"/>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يعتقد الشهيد الصدر أن المبر</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للاعتماد على الارتكاز الاجتماعي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 فهم النص</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هو مبدأ أو قاعدة </w:t>
      </w:r>
      <w:r w:rsidRPr="006571AC">
        <w:rPr>
          <w:rFonts w:cs="AL-Mohanad" w:hint="eastAsia"/>
          <w:rtl/>
          <w:lang w:bidi="ar-LB"/>
        </w:rPr>
        <w:t>«</w:t>
      </w:r>
      <w:r w:rsidRPr="006571AC">
        <w:rPr>
          <w:rFonts w:ascii="Arabic Typesetting" w:hAnsi="Arabic Typesetting" w:cs="AL-Mohanad"/>
          <w:sz w:val="27"/>
          <w:szCs w:val="27"/>
          <w:rtl/>
          <w:lang w:bidi="ar-LB"/>
        </w:rPr>
        <w:t>حج</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ية الظهور</w:t>
      </w:r>
      <w:r w:rsidRPr="006571AC">
        <w:rPr>
          <w:rFonts w:cs="AL-Mohanad" w:hint="eastAsia"/>
          <w:rtl/>
        </w:rPr>
        <w:t>»</w:t>
      </w:r>
      <w:r w:rsidRPr="006571AC">
        <w:rPr>
          <w:rFonts w:ascii="Arabic Typesetting" w:hAnsi="Arabic Typesetting" w:cs="AL-Mohanad"/>
          <w:sz w:val="27"/>
          <w:szCs w:val="27"/>
          <w:vertAlign w:val="superscript"/>
          <w:rtl/>
          <w:lang w:bidi="ar-LB"/>
        </w:rPr>
        <w:t>(</w:t>
      </w:r>
      <w:r w:rsidRPr="006571AC">
        <w:rPr>
          <w:rStyle w:val="ac"/>
          <w:rFonts w:ascii="Arabic Typesetting" w:eastAsiaTheme="majorEastAsia" w:hAnsi="Arabic Typesetting" w:cs="AL-Mohanad"/>
          <w:sz w:val="27"/>
          <w:szCs w:val="27"/>
          <w:rtl/>
          <w:lang w:bidi="ar-LB"/>
        </w:rPr>
        <w:endnoteReference w:id="567"/>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وعلى هذا الأساس، يكون الارتكاز الاجتماعي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للنص</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مساهماً في تكوّ</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 ظهور النص</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 معنى</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محد</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 فيصبح هذا الظهور حج</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b/>
          <w:bCs/>
          <w:sz w:val="27"/>
          <w:szCs w:val="27"/>
          <w:rtl/>
          <w:lang w:bidi="ar-LB"/>
        </w:rPr>
        <w:t>وإن</w:t>
      </w:r>
      <w:r w:rsidR="002D5428"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 xml:space="preserve"> قلت</w:t>
      </w:r>
      <w:r w:rsidR="002D5428" w:rsidRPr="006571AC">
        <w:rPr>
          <w:rFonts w:ascii="Arabic Typesetting" w:hAnsi="Arabic Typesetting" w:cs="AL-Mohanad" w:hint="cs"/>
          <w:b/>
          <w:bCs/>
          <w:sz w:val="27"/>
          <w:szCs w:val="27"/>
          <w:rtl/>
          <w:lang w:bidi="ar-LB"/>
        </w:rPr>
        <w:t>َ</w:t>
      </w:r>
      <w:r w:rsidRPr="006571AC">
        <w:rPr>
          <w:rFonts w:ascii="Arabic Typesetting" w:hAnsi="Arabic Typesetting" w:cs="AL-Mohanad"/>
          <w:sz w:val="27"/>
          <w:szCs w:val="27"/>
          <w:rtl/>
          <w:lang w:bidi="ar-LB"/>
        </w:rPr>
        <w:t>: إنه ثمة فرق</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بين الظهور اللغوي والظهور الاجتماعي للنص</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فسيرة العقلاء تدل</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حج</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ية الظهور اللغوي</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دون الظهور الاجتماعي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أو لا أقل</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الشك</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فنقتصر على القدر المتيق</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لأنها دليل</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لب</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ي.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b/>
          <w:bCs/>
          <w:sz w:val="27"/>
          <w:szCs w:val="27"/>
          <w:rtl/>
          <w:lang w:bidi="ar-LB"/>
        </w:rPr>
        <w:t>حينئذ</w:t>
      </w:r>
      <w:r w:rsidR="002D5428"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 xml:space="preserve"> يقول لك الشهيد الصدر</w:t>
      </w:r>
      <w:r w:rsidRPr="006571AC">
        <w:rPr>
          <w:rFonts w:ascii="Arabic Typesetting" w:hAnsi="Arabic Typesetting" w:cs="AL-Mohanad"/>
          <w:sz w:val="27"/>
          <w:szCs w:val="27"/>
          <w:rtl/>
          <w:lang w:bidi="ar-LB"/>
        </w:rPr>
        <w:t>: المتكل</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م بوصفه فردا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لُغ</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وي</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يُف</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هَم كلامه فهما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غ</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وي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فيصبح الظهور اللغوي</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حج</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عند العقلاء. وكذلك الأمر، فهذا المتكل</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م نفسه، بوصفه فردا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اجتماعي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يُف</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هَم كلامه فهما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اجتماعي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وقد أمضى الشارع هذه الطريقة في الفهم</w:t>
      </w:r>
      <w:r w:rsidRPr="006571AC">
        <w:rPr>
          <w:rFonts w:ascii="Arabic Typesetting" w:hAnsi="Arabic Typesetting" w:cs="AL-Mohanad"/>
          <w:sz w:val="27"/>
          <w:szCs w:val="27"/>
          <w:vertAlign w:val="superscript"/>
          <w:rtl/>
          <w:lang w:bidi="ar-LB"/>
        </w:rPr>
        <w:t>(</w:t>
      </w:r>
      <w:r w:rsidRPr="006571AC">
        <w:rPr>
          <w:rStyle w:val="ac"/>
          <w:rFonts w:ascii="Arabic Typesetting" w:eastAsiaTheme="majorEastAsia" w:hAnsi="Arabic Typesetting" w:cs="AL-Mohanad"/>
          <w:sz w:val="27"/>
          <w:szCs w:val="27"/>
          <w:rtl/>
          <w:lang w:bidi="ar-LB"/>
        </w:rPr>
        <w:endnoteReference w:id="568"/>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ثم إنه لا يُش</w:t>
      </w:r>
      <w:r w:rsidR="002D5428" w:rsidRPr="006571AC">
        <w:rPr>
          <w:rFonts w:ascii="Arabic Typesetting" w:hAnsi="Arabic Typesetting" w:hint="cs"/>
          <w:sz w:val="27"/>
          <w:rtl/>
          <w:lang w:bidi="ar-LB"/>
        </w:rPr>
        <w:t>ْ</w:t>
      </w:r>
      <w:r w:rsidRPr="006571AC">
        <w:rPr>
          <w:rFonts w:ascii="Arabic Typesetting" w:hAnsi="Arabic Typesetting"/>
          <w:sz w:val="27"/>
          <w:rtl/>
          <w:lang w:bidi="ar-LB"/>
        </w:rPr>
        <w:t>كَل على الشهيد الصدر بأن مبناك في الفهم الاجتماعي للنص</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هو نفس القياس الذي ثبت</w:t>
      </w:r>
      <w:r w:rsidR="002D5428" w:rsidRPr="006571AC">
        <w:rPr>
          <w:rFonts w:ascii="Arabic Typesetting" w:hAnsi="Arabic Typesetting" w:hint="cs"/>
          <w:sz w:val="27"/>
          <w:rtl/>
          <w:lang w:bidi="ar-LB"/>
        </w:rPr>
        <w:t>َ</w:t>
      </w:r>
      <w:r w:rsidRPr="006571AC">
        <w:rPr>
          <w:rFonts w:ascii="Arabic Typesetting" w:hAnsi="Arabic Typesetting"/>
          <w:sz w:val="27"/>
          <w:rtl/>
          <w:lang w:bidi="ar-LB"/>
        </w:rPr>
        <w:t>ت</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حرمته في الفقه الجعفري</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إذ الجواب واضح</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فالفهم الاجتماعي الذي بيّ</w:t>
      </w:r>
      <w:r w:rsidR="002D5428" w:rsidRPr="006571AC">
        <w:rPr>
          <w:rFonts w:ascii="Arabic Typesetting" w:hAnsi="Arabic Typesetting" w:hint="cs"/>
          <w:sz w:val="27"/>
          <w:rtl/>
          <w:lang w:bidi="ar-LB"/>
        </w:rPr>
        <w:t>َ</w:t>
      </w:r>
      <w:r w:rsidRPr="006571AC">
        <w:rPr>
          <w:rFonts w:ascii="Arabic Typesetting" w:hAnsi="Arabic Typesetting"/>
          <w:sz w:val="27"/>
          <w:rtl/>
          <w:lang w:bidi="ar-LB"/>
        </w:rPr>
        <w:t>نه الشهيد الصدر لا يعدو أن يكون عملا</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بظهور النص</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وحين تُعمَّم الفكرة المذكورة في النص</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إلى فكرة</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أخرى لم تُذ</w:t>
      </w:r>
      <w:r w:rsidR="002D5428" w:rsidRPr="006571AC">
        <w:rPr>
          <w:rFonts w:ascii="Arabic Typesetting" w:hAnsi="Arabic Typesetting" w:hint="cs"/>
          <w:sz w:val="27"/>
          <w:rtl/>
          <w:lang w:bidi="ar-LB"/>
        </w:rPr>
        <w:t>ْ</w:t>
      </w:r>
      <w:r w:rsidRPr="006571AC">
        <w:rPr>
          <w:rFonts w:ascii="Arabic Typesetting" w:hAnsi="Arabic Typesetting"/>
          <w:sz w:val="27"/>
          <w:rtl/>
          <w:lang w:bidi="ar-LB"/>
        </w:rPr>
        <w:t>كَر فيه فإنه لا يكون من باب القياس، بل من باب الاعتماد على الارتكاز الاجتماعي</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وبعبارة</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أخرى: هذا الارتكاز الاجتماعي شكّ</w:t>
      </w:r>
      <w:r w:rsidR="002D5428" w:rsidRPr="006571AC">
        <w:rPr>
          <w:rFonts w:ascii="Arabic Typesetting" w:hAnsi="Arabic Typesetting" w:hint="cs"/>
          <w:sz w:val="27"/>
          <w:rtl/>
          <w:lang w:bidi="ar-LB"/>
        </w:rPr>
        <w:t>َ</w:t>
      </w:r>
      <w:r w:rsidRPr="006571AC">
        <w:rPr>
          <w:rFonts w:ascii="Arabic Typesetting" w:hAnsi="Arabic Typesetting"/>
          <w:sz w:val="27"/>
          <w:rtl/>
          <w:lang w:bidi="ar-LB"/>
        </w:rPr>
        <w:t>ل قرينة</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لظهور النص</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في الحكم العام</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الذي ينطبق على المورد المذكور في النص</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وعلى ما لم ي</w:t>
      </w:r>
      <w:r w:rsidR="002D5428" w:rsidRPr="006571AC">
        <w:rPr>
          <w:rFonts w:ascii="Arabic Typesetting" w:hAnsi="Arabic Typesetting" w:hint="cs"/>
          <w:sz w:val="27"/>
          <w:rtl/>
          <w:lang w:bidi="ar-LB"/>
        </w:rPr>
        <w:t>ُ</w:t>
      </w:r>
      <w:r w:rsidRPr="006571AC">
        <w:rPr>
          <w:rFonts w:ascii="Arabic Typesetting" w:hAnsi="Arabic Typesetting"/>
          <w:sz w:val="27"/>
          <w:rtl/>
          <w:lang w:bidi="ar-LB"/>
        </w:rPr>
        <w:t>ذ</w:t>
      </w:r>
      <w:r w:rsidR="002D5428" w:rsidRPr="006571AC">
        <w:rPr>
          <w:rFonts w:ascii="Arabic Typesetting" w:hAnsi="Arabic Typesetting" w:hint="cs"/>
          <w:sz w:val="27"/>
          <w:rtl/>
          <w:lang w:bidi="ar-LB"/>
        </w:rPr>
        <w:t>ْ</w:t>
      </w:r>
      <w:r w:rsidRPr="006571AC">
        <w:rPr>
          <w:rFonts w:ascii="Arabic Typesetting" w:hAnsi="Arabic Typesetting"/>
          <w:sz w:val="27"/>
          <w:rtl/>
          <w:lang w:bidi="ar-LB"/>
        </w:rPr>
        <w:t>ك</w:t>
      </w:r>
      <w:r w:rsidR="002D5428" w:rsidRPr="006571AC">
        <w:rPr>
          <w:rFonts w:ascii="Arabic Typesetting" w:hAnsi="Arabic Typesetting" w:hint="cs"/>
          <w:sz w:val="27"/>
          <w:rtl/>
          <w:lang w:bidi="ar-LB"/>
        </w:rPr>
        <w:t>َ</w:t>
      </w:r>
      <w:r w:rsidRPr="006571AC">
        <w:rPr>
          <w:rFonts w:ascii="Arabic Typesetting" w:hAnsi="Arabic Typesetting"/>
          <w:sz w:val="27"/>
          <w:rtl/>
          <w:lang w:bidi="ar-LB"/>
        </w:rPr>
        <w:t>ر فيه</w:t>
      </w:r>
      <w:r w:rsidRPr="006571AC">
        <w:rPr>
          <w:rFonts w:ascii="Arabic Typesetting" w:hAnsi="Arabic Typesetting"/>
          <w:sz w:val="27"/>
          <w:vertAlign w:val="superscript"/>
          <w:rtl/>
          <w:lang w:bidi="ar-LB"/>
        </w:rPr>
        <w:t>(</w:t>
      </w:r>
      <w:r w:rsidRPr="006571AC">
        <w:rPr>
          <w:rStyle w:val="ac"/>
          <w:rFonts w:ascii="Arabic Typesetting" w:eastAsiaTheme="majorEastAsia" w:hAnsi="Arabic Typesetting"/>
          <w:sz w:val="27"/>
          <w:rtl/>
          <w:lang w:bidi="ar-LB"/>
        </w:rPr>
        <w:endnoteReference w:id="569"/>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28394C" w:rsidRPr="006571AC" w:rsidRDefault="0028394C" w:rsidP="0028394C">
      <w:pPr>
        <w:pStyle w:val="af"/>
        <w:spacing w:line="430" w:lineRule="exact"/>
        <w:rPr>
          <w:rFonts w:ascii="Arabic Typesetting" w:hAnsi="Arabic Typesetting" w:cs="AL-Mohanad"/>
          <w:sz w:val="27"/>
          <w:szCs w:val="27"/>
          <w:rtl/>
          <w:lang w:bidi="ar-LB"/>
        </w:rPr>
      </w:pPr>
    </w:p>
    <w:p w:rsidR="008D51F3" w:rsidRPr="006571AC" w:rsidRDefault="008D51F3" w:rsidP="00D246D3">
      <w:pPr>
        <w:pStyle w:val="31"/>
        <w:rPr>
          <w:color w:val="auto"/>
          <w:rtl/>
          <w:lang w:bidi="ar-LB"/>
        </w:rPr>
      </w:pPr>
      <w:bookmarkStart w:id="353" w:name="_Toc114164774"/>
      <w:r w:rsidRPr="006571AC">
        <w:rPr>
          <w:color w:val="auto"/>
          <w:rtl/>
          <w:lang w:bidi="ar-LB"/>
        </w:rPr>
        <w:t>نتيجة هذا المبنى</w:t>
      </w:r>
      <w:bookmarkEnd w:id="353"/>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 xml:space="preserve">يعتقد الشهيد الصدر أنه </w:t>
      </w:r>
      <w:r w:rsidR="00A54FA8" w:rsidRPr="006571AC">
        <w:rPr>
          <w:rFonts w:ascii="Arabic Typesetting" w:hAnsi="Arabic Typesetting" w:cs="AL-Mohanad" w:hint="cs"/>
          <w:sz w:val="27"/>
          <w:szCs w:val="27"/>
          <w:rtl/>
          <w:lang w:bidi="ar-LB"/>
        </w:rPr>
        <w:t>ت</w:t>
      </w:r>
      <w:r w:rsidRPr="006571AC">
        <w:rPr>
          <w:rFonts w:ascii="Arabic Typesetting" w:hAnsi="Arabic Typesetting" w:cs="AL-Mohanad"/>
          <w:sz w:val="27"/>
          <w:szCs w:val="27"/>
          <w:rtl/>
          <w:lang w:bidi="ar-LB"/>
        </w:rPr>
        <w:t>وجد مشكلة</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كبيرة في الفقه، تُحَلّ اعتمادا</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هذا المبنى. أما المشكلة فهي كون الكثير من الأحكام قد بُيِّن</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طريقة السؤال </w:t>
      </w:r>
      <w:r w:rsidRPr="006571AC">
        <w:rPr>
          <w:rFonts w:ascii="Arabic Typesetting" w:hAnsi="Arabic Typesetting" w:cs="AL-Mohanad"/>
          <w:sz w:val="27"/>
          <w:szCs w:val="27"/>
          <w:rtl/>
          <w:lang w:bidi="ar-LB"/>
        </w:rPr>
        <w:lastRenderedPageBreak/>
        <w:t>والجواب</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فالراوي يسأل الإمام</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عن مسألة</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والإمام</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يجيبه؛ وغالبا</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ما يسأل الرواة عن حالات</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خاص</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يحتاجون إلى معرفة حكمها، فيأتيهم جواب الإمام</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وفقا</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لحدود سؤالهم</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فيبيّ</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 الحكم ضمن الحالة المسؤول عنها. فلم تُبيَّن أغلب الأحكام ابتداءً</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وبشكل</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دستوريّ مقنَّن.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فإذا اقتص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ر</w:t>
      </w:r>
      <w:r w:rsidR="00A54FA8" w:rsidRPr="006571AC">
        <w:rPr>
          <w:rFonts w:ascii="Arabic Typesetting" w:hAnsi="Arabic Typesetting" w:hint="cs"/>
          <w:sz w:val="27"/>
          <w:rtl/>
          <w:lang w:bidi="ar-LB"/>
        </w:rPr>
        <w:t>ْ</w:t>
      </w:r>
      <w:r w:rsidRPr="006571AC">
        <w:rPr>
          <w:rFonts w:ascii="Arabic Typesetting" w:hAnsi="Arabic Typesetting"/>
          <w:sz w:val="27"/>
          <w:rtl/>
          <w:lang w:bidi="ar-LB"/>
        </w:rPr>
        <w:t>نا في استنباط الحكم من النص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على الفهم اللغوي</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فح</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س</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ب كانت النتيجة أن الحكم الذي نستفيده هو حكم</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خاص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بتلك الحالات الخاص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ة بالسائل. مع أننا قد نكون واثقين من أن الإمام</w:t>
      </w:r>
      <w:r w:rsidR="002A2C90" w:rsidRPr="006571AC">
        <w:rPr>
          <w:rFonts w:ascii="Mosawi" w:hAnsi="Mosawi" w:cs="Mosawi"/>
          <w:sz w:val="22"/>
          <w:szCs w:val="22"/>
          <w:rtl/>
        </w:rPr>
        <w:t>×</w:t>
      </w:r>
      <w:r w:rsidRPr="006571AC">
        <w:rPr>
          <w:rFonts w:ascii="Arabic Typesetting" w:hAnsi="Arabic Typesetting"/>
          <w:sz w:val="27"/>
          <w:rtl/>
          <w:lang w:bidi="ar-LB"/>
        </w:rPr>
        <w:t xml:space="preserve"> قد بيّ</w:t>
      </w:r>
      <w:r w:rsidR="00A54FA8" w:rsidRPr="006571AC">
        <w:rPr>
          <w:rFonts w:ascii="Arabic Typesetting" w:hAnsi="Arabic Typesetting" w:hint="cs"/>
          <w:sz w:val="27"/>
          <w:rtl/>
          <w:lang w:bidi="ar-LB"/>
        </w:rPr>
        <w:t>َ</w:t>
      </w:r>
      <w:r w:rsidRPr="006571AC">
        <w:rPr>
          <w:rFonts w:ascii="Arabic Typesetting" w:hAnsi="Arabic Typesetting"/>
          <w:sz w:val="27"/>
          <w:rtl/>
          <w:lang w:bidi="ar-LB"/>
        </w:rPr>
        <w:t>ن الحكم بنحو</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أوسع وأشمل من تلك الحالة الخاص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ة، غايته أن ظرف بيان هذا الحكم الواسع كان حين السؤال عن حالة</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خاصة. وبالتالي لو فهمنا النص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فهماً اجتماعي</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ا</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حينئذ</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سنكون أقرب إلى واقع الحدود المحت</w:t>
      </w:r>
      <w:r w:rsidR="00A54FA8" w:rsidRPr="006571AC">
        <w:rPr>
          <w:rFonts w:ascii="Arabic Typesetting" w:hAnsi="Arabic Typesetting" w:hint="cs"/>
          <w:sz w:val="27"/>
          <w:rtl/>
          <w:lang w:bidi="ar-LB"/>
        </w:rPr>
        <w:t>َ</w:t>
      </w:r>
      <w:r w:rsidRPr="006571AC">
        <w:rPr>
          <w:rFonts w:ascii="Arabic Typesetting" w:hAnsi="Arabic Typesetting"/>
          <w:sz w:val="27"/>
          <w:rtl/>
          <w:lang w:bidi="ar-LB"/>
        </w:rPr>
        <w:t>م</w:t>
      </w:r>
      <w:r w:rsidR="00A54FA8" w:rsidRPr="006571AC">
        <w:rPr>
          <w:rFonts w:ascii="Arabic Typesetting" w:hAnsi="Arabic Typesetting" w:hint="cs"/>
          <w:sz w:val="27"/>
          <w:rtl/>
          <w:lang w:bidi="ar-LB"/>
        </w:rPr>
        <w:t>َ</w:t>
      </w:r>
      <w:r w:rsidRPr="006571AC">
        <w:rPr>
          <w:rFonts w:ascii="Arabic Typesetting" w:hAnsi="Arabic Typesetting"/>
          <w:sz w:val="27"/>
          <w:rtl/>
          <w:lang w:bidi="ar-LB"/>
        </w:rPr>
        <w:t>لة لتلك الأحكام التي بيّ</w:t>
      </w:r>
      <w:r w:rsidR="00A54FA8" w:rsidRPr="006571AC">
        <w:rPr>
          <w:rFonts w:ascii="Arabic Typesetting" w:hAnsi="Arabic Typesetting" w:hint="cs"/>
          <w:sz w:val="27"/>
          <w:rtl/>
          <w:lang w:bidi="ar-LB"/>
        </w:rPr>
        <w:t>َ</w:t>
      </w:r>
      <w:r w:rsidRPr="006571AC">
        <w:rPr>
          <w:rFonts w:ascii="Arabic Typesetting" w:hAnsi="Arabic Typesetting"/>
          <w:sz w:val="27"/>
          <w:rtl/>
          <w:lang w:bidi="ar-LB"/>
        </w:rPr>
        <w:t>نها الإمام</w:t>
      </w:r>
      <w:r w:rsidR="002A2C90" w:rsidRPr="006571AC">
        <w:rPr>
          <w:rFonts w:ascii="Mosawi" w:hAnsi="Mosawi" w:cs="Mosawi"/>
          <w:sz w:val="22"/>
          <w:szCs w:val="22"/>
          <w:rtl/>
        </w:rPr>
        <w:t>×</w:t>
      </w:r>
      <w:r w:rsidRPr="006571AC">
        <w:rPr>
          <w:rFonts w:ascii="Arabic Typesetting" w:hAnsi="Arabic Typesetting"/>
          <w:sz w:val="27"/>
          <w:vertAlign w:val="superscript"/>
          <w:rtl/>
          <w:lang w:bidi="ar-LB"/>
        </w:rPr>
        <w:t>(</w:t>
      </w:r>
      <w:r w:rsidRPr="006571AC">
        <w:rPr>
          <w:rStyle w:val="ac"/>
          <w:rFonts w:ascii="Arabic Typesetting" w:eastAsiaTheme="majorEastAsia" w:hAnsi="Arabic Typesetting"/>
          <w:sz w:val="27"/>
          <w:rtl/>
          <w:lang w:bidi="ar-LB"/>
        </w:rPr>
        <w:endnoteReference w:id="570"/>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8D51F3" w:rsidRPr="006571AC" w:rsidRDefault="008D51F3" w:rsidP="0028394C">
      <w:pPr>
        <w:spacing w:line="420" w:lineRule="exact"/>
        <w:rPr>
          <w:rFonts w:ascii="Arabic Typesetting" w:hAnsi="Arabic Typesetting"/>
          <w:sz w:val="27"/>
          <w:rtl/>
          <w:lang w:bidi="ar-LB"/>
        </w:rPr>
      </w:pPr>
    </w:p>
    <w:p w:rsidR="008D51F3" w:rsidRPr="006571AC" w:rsidRDefault="00115D3F" w:rsidP="00D246D3">
      <w:pPr>
        <w:pStyle w:val="31"/>
        <w:rPr>
          <w:color w:val="auto"/>
          <w:rtl/>
        </w:rPr>
      </w:pPr>
      <w:bookmarkStart w:id="354" w:name="_Toc36050654"/>
      <w:bookmarkStart w:id="355" w:name="_Toc114164775"/>
      <w:r w:rsidRPr="006571AC">
        <w:rPr>
          <w:rFonts w:hint="cs"/>
          <w:color w:val="auto"/>
          <w:rtl/>
        </w:rPr>
        <w:t>4ـ</w:t>
      </w:r>
      <w:r w:rsidR="008D51F3" w:rsidRPr="006571AC">
        <w:rPr>
          <w:color w:val="auto"/>
          <w:rtl/>
        </w:rPr>
        <w:t xml:space="preserve"> المستوى المعرفي</w:t>
      </w:r>
      <w:r w:rsidR="00A54FA8" w:rsidRPr="006571AC">
        <w:rPr>
          <w:rFonts w:hint="cs"/>
          <w:color w:val="auto"/>
          <w:rtl/>
        </w:rPr>
        <w:t>ّ</w:t>
      </w:r>
      <w:r w:rsidR="008D51F3" w:rsidRPr="006571AC">
        <w:rPr>
          <w:color w:val="auto"/>
          <w:rtl/>
        </w:rPr>
        <w:t xml:space="preserve"> للمفسِّر</w:t>
      </w:r>
      <w:bookmarkEnd w:id="354"/>
      <w:bookmarkEnd w:id="355"/>
    </w:p>
    <w:p w:rsidR="008D51F3" w:rsidRPr="006571AC" w:rsidRDefault="008D51F3" w:rsidP="005B0CA4">
      <w:pPr>
        <w:rPr>
          <w:rFonts w:ascii="Arabic Typesetting" w:hAnsi="Arabic Typesetting"/>
          <w:sz w:val="27"/>
          <w:rtl/>
        </w:rPr>
      </w:pPr>
      <w:r w:rsidRPr="006571AC">
        <w:rPr>
          <w:rFonts w:ascii="Arabic Typesetting" w:hAnsi="Arabic Typesetting"/>
          <w:sz w:val="27"/>
          <w:rtl/>
        </w:rPr>
        <w:t>ذهبت بعض الاتجاهات الفكرية</w:t>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71"/>
      </w:r>
      <w:r w:rsidRPr="006571AC">
        <w:rPr>
          <w:rFonts w:ascii="Arabic Typesetting" w:hAnsi="Arabic Typesetting"/>
          <w:sz w:val="27"/>
          <w:vertAlign w:val="superscript"/>
          <w:rtl/>
        </w:rPr>
        <w:t>)</w:t>
      </w:r>
      <w:r w:rsidRPr="006571AC">
        <w:rPr>
          <w:rFonts w:ascii="Arabic Typesetting" w:hAnsi="Arabic Typesetting"/>
          <w:sz w:val="27"/>
          <w:rtl/>
        </w:rPr>
        <w:t xml:space="preserve"> إلى كفاية الإلمام بالقواعد اللغوية</w:t>
      </w:r>
      <w:r w:rsidR="00EE086D" w:rsidRPr="006571AC">
        <w:rPr>
          <w:rFonts w:ascii="Arabic Typesetting" w:hAnsi="Arabic Typesetting" w:hint="cs"/>
          <w:sz w:val="27"/>
          <w:rtl/>
        </w:rPr>
        <w:t>؛</w:t>
      </w:r>
      <w:r w:rsidRPr="006571AC">
        <w:rPr>
          <w:rFonts w:ascii="Arabic Typesetting" w:hAnsi="Arabic Typesetting"/>
          <w:sz w:val="27"/>
          <w:rtl/>
        </w:rPr>
        <w:t xml:space="preserve"> لأجل الوصول إلى فهم</w:t>
      </w:r>
      <w:r w:rsidR="00EE086D" w:rsidRPr="006571AC">
        <w:rPr>
          <w:rFonts w:ascii="Arabic Typesetting" w:hAnsi="Arabic Typesetting" w:hint="cs"/>
          <w:sz w:val="27"/>
          <w:rtl/>
        </w:rPr>
        <w:t>ٍ</w:t>
      </w:r>
      <w:r w:rsidRPr="006571AC">
        <w:rPr>
          <w:rFonts w:ascii="Arabic Typesetting" w:hAnsi="Arabic Typesetting"/>
          <w:sz w:val="27"/>
          <w:rtl/>
        </w:rPr>
        <w:t xml:space="preserve"> صحيح للنص</w:t>
      </w:r>
      <w:r w:rsidR="00EE086D" w:rsidRPr="006571AC">
        <w:rPr>
          <w:rFonts w:ascii="Arabic Typesetting" w:hAnsi="Arabic Typesetting" w:hint="cs"/>
          <w:sz w:val="27"/>
          <w:rtl/>
        </w:rPr>
        <w:t>ّ</w:t>
      </w:r>
      <w:r w:rsidRPr="006571AC">
        <w:rPr>
          <w:rFonts w:ascii="Arabic Typesetting" w:hAnsi="Arabic Typesetting"/>
          <w:sz w:val="27"/>
          <w:rtl/>
        </w:rPr>
        <w:t>. ويبدو أن الشهيد الصدر لا يكتفي بهذا المقدار؛ بمعنى أنه يعتبر الإلمام</w:t>
      </w:r>
      <w:r w:rsidR="00EE086D" w:rsidRPr="006571AC">
        <w:rPr>
          <w:rFonts w:ascii="Arabic Typesetting" w:hAnsi="Arabic Typesetting" w:hint="cs"/>
          <w:sz w:val="27"/>
          <w:rtl/>
        </w:rPr>
        <w:t>َ</w:t>
      </w:r>
      <w:r w:rsidRPr="006571AC">
        <w:rPr>
          <w:rFonts w:ascii="Arabic Typesetting" w:hAnsi="Arabic Typesetting"/>
          <w:sz w:val="27"/>
          <w:rtl/>
        </w:rPr>
        <w:t xml:space="preserve"> بالقواعد اللغوي</w:t>
      </w:r>
      <w:r w:rsidR="00EE086D" w:rsidRPr="006571AC">
        <w:rPr>
          <w:rFonts w:ascii="Arabic Typesetting" w:hAnsi="Arabic Typesetting" w:hint="cs"/>
          <w:sz w:val="27"/>
          <w:rtl/>
        </w:rPr>
        <w:t>ّ</w:t>
      </w:r>
      <w:r w:rsidR="00EE086D" w:rsidRPr="006571AC">
        <w:rPr>
          <w:rFonts w:ascii="Arabic Typesetting" w:hAnsi="Arabic Typesetting"/>
          <w:sz w:val="27"/>
          <w:rtl/>
        </w:rPr>
        <w:t>ة فقط غير</w:t>
      </w:r>
      <w:r w:rsidR="00EE086D" w:rsidRPr="006571AC">
        <w:rPr>
          <w:rFonts w:ascii="Arabic Typesetting" w:hAnsi="Arabic Typesetting" w:hint="cs"/>
          <w:sz w:val="27"/>
          <w:rtl/>
        </w:rPr>
        <w:t>َ</w:t>
      </w:r>
      <w:r w:rsidRPr="006571AC">
        <w:rPr>
          <w:rFonts w:ascii="Arabic Typesetting" w:hAnsi="Arabic Typesetting"/>
          <w:sz w:val="27"/>
          <w:rtl/>
        </w:rPr>
        <w:t xml:space="preserve"> كافٍ للوصول إلى فهم</w:t>
      </w:r>
      <w:r w:rsidR="00EE086D" w:rsidRPr="006571AC">
        <w:rPr>
          <w:rFonts w:ascii="Arabic Typesetting" w:hAnsi="Arabic Typesetting" w:hint="cs"/>
          <w:sz w:val="27"/>
          <w:rtl/>
        </w:rPr>
        <w:t>ٍ</w:t>
      </w:r>
      <w:r w:rsidRPr="006571AC">
        <w:rPr>
          <w:rFonts w:ascii="Arabic Typesetting" w:hAnsi="Arabic Typesetting"/>
          <w:sz w:val="27"/>
          <w:rtl/>
        </w:rPr>
        <w:t xml:space="preserve"> صحيح للنص</w:t>
      </w:r>
      <w:r w:rsidR="00EE086D" w:rsidRPr="006571AC">
        <w:rPr>
          <w:rFonts w:ascii="Arabic Typesetting" w:hAnsi="Arabic Typesetting" w:hint="cs"/>
          <w:sz w:val="27"/>
          <w:rtl/>
        </w:rPr>
        <w:t>ّ</w:t>
      </w:r>
      <w:r w:rsidRPr="006571AC">
        <w:rPr>
          <w:rFonts w:ascii="Arabic Typesetting" w:hAnsi="Arabic Typesetting"/>
          <w:sz w:val="27"/>
          <w:rtl/>
        </w:rPr>
        <w:t>، وإن</w:t>
      </w:r>
      <w:r w:rsidR="00EE086D" w:rsidRPr="006571AC">
        <w:rPr>
          <w:rFonts w:ascii="Arabic Typesetting" w:hAnsi="Arabic Typesetting" w:hint="cs"/>
          <w:sz w:val="27"/>
          <w:rtl/>
        </w:rPr>
        <w:t xml:space="preserve">ْ </w:t>
      </w:r>
      <w:r w:rsidRPr="006571AC">
        <w:rPr>
          <w:rFonts w:ascii="Arabic Typesetting" w:hAnsi="Arabic Typesetting"/>
          <w:sz w:val="27"/>
          <w:rtl/>
        </w:rPr>
        <w:t>كان أمرا</w:t>
      </w:r>
      <w:r w:rsidR="00EE086D" w:rsidRPr="006571AC">
        <w:rPr>
          <w:rFonts w:ascii="Arabic Typesetting" w:hAnsi="Arabic Typesetting" w:hint="cs"/>
          <w:sz w:val="27"/>
          <w:rtl/>
        </w:rPr>
        <w:t>ً</w:t>
      </w:r>
      <w:r w:rsidRPr="006571AC">
        <w:rPr>
          <w:rFonts w:ascii="Arabic Typesetting" w:hAnsi="Arabic Typesetting"/>
          <w:sz w:val="27"/>
          <w:rtl/>
        </w:rPr>
        <w:t xml:space="preserve"> ضروري</w:t>
      </w:r>
      <w:r w:rsidR="00EE086D" w:rsidRPr="006571AC">
        <w:rPr>
          <w:rFonts w:ascii="Arabic Typesetting" w:hAnsi="Arabic Typesetting" w:hint="cs"/>
          <w:sz w:val="27"/>
          <w:rtl/>
        </w:rPr>
        <w:t>ّ</w:t>
      </w:r>
      <w:r w:rsidRPr="006571AC">
        <w:rPr>
          <w:rFonts w:ascii="Arabic Typesetting" w:hAnsi="Arabic Typesetting"/>
          <w:sz w:val="27"/>
          <w:rtl/>
        </w:rPr>
        <w:t>ا</w:t>
      </w:r>
      <w:r w:rsidR="00EE086D" w:rsidRPr="006571AC">
        <w:rPr>
          <w:rFonts w:ascii="Arabic Typesetting" w:hAnsi="Arabic Typesetting" w:hint="cs"/>
          <w:sz w:val="27"/>
          <w:rtl/>
        </w:rPr>
        <w:t>ً</w:t>
      </w:r>
      <w:r w:rsidRPr="006571AC">
        <w:rPr>
          <w:rFonts w:ascii="Arabic Typesetting" w:hAnsi="Arabic Typesetting"/>
          <w:sz w:val="27"/>
          <w:rtl/>
        </w:rPr>
        <w:t xml:space="preserve"> ولازما</w:t>
      </w:r>
      <w:r w:rsidR="00EE086D" w:rsidRPr="006571AC">
        <w:rPr>
          <w:rFonts w:ascii="Arabic Typesetting" w:hAnsi="Arabic Typesetting" w:hint="cs"/>
          <w:sz w:val="27"/>
          <w:rtl/>
        </w:rPr>
        <w:t>ً</w:t>
      </w:r>
      <w:r w:rsidRPr="006571AC">
        <w:rPr>
          <w:rFonts w:ascii="Arabic Typesetting" w:hAnsi="Arabic Typesetting"/>
          <w:sz w:val="27"/>
          <w:rtl/>
        </w:rPr>
        <w:t xml:space="preserve">. </w:t>
      </w:r>
    </w:p>
    <w:p w:rsidR="00EE086D" w:rsidRPr="006571AC" w:rsidRDefault="008D51F3" w:rsidP="005B0CA4">
      <w:pPr>
        <w:rPr>
          <w:rFonts w:ascii="Arabic Typesetting" w:hAnsi="Arabic Typesetting"/>
          <w:sz w:val="27"/>
          <w:rtl/>
        </w:rPr>
      </w:pPr>
      <w:r w:rsidRPr="006571AC">
        <w:rPr>
          <w:rFonts w:ascii="Arabic Typesetting" w:hAnsi="Arabic Typesetting"/>
          <w:sz w:val="27"/>
          <w:rtl/>
        </w:rPr>
        <w:t>فصحيح</w:t>
      </w:r>
      <w:r w:rsidR="00EE086D" w:rsidRPr="006571AC">
        <w:rPr>
          <w:rFonts w:ascii="Arabic Typesetting" w:hAnsi="Arabic Typesetting" w:hint="cs"/>
          <w:sz w:val="27"/>
          <w:rtl/>
        </w:rPr>
        <w:t>ٌ</w:t>
      </w:r>
      <w:r w:rsidRPr="006571AC">
        <w:rPr>
          <w:rFonts w:ascii="Arabic Typesetting" w:hAnsi="Arabic Typesetting"/>
          <w:sz w:val="27"/>
          <w:rtl/>
        </w:rPr>
        <w:t xml:space="preserve"> أن القرآن الكريم تميّ</w:t>
      </w:r>
      <w:r w:rsidR="00EE086D" w:rsidRPr="006571AC">
        <w:rPr>
          <w:rFonts w:ascii="Arabic Typesetting" w:hAnsi="Arabic Typesetting" w:hint="cs"/>
          <w:sz w:val="27"/>
          <w:rtl/>
        </w:rPr>
        <w:t>َ</w:t>
      </w:r>
      <w:r w:rsidRPr="006571AC">
        <w:rPr>
          <w:rFonts w:ascii="Arabic Typesetting" w:hAnsi="Arabic Typesetting"/>
          <w:sz w:val="27"/>
          <w:rtl/>
        </w:rPr>
        <w:t>ز بلغته العربية الفصيحة البليغة، بل وصل فيها إلى حدّ الإعجاز، ولم يخرج عن الإطار اللغوي</w:t>
      </w:r>
      <w:r w:rsidR="00EE086D" w:rsidRPr="006571AC">
        <w:rPr>
          <w:rFonts w:ascii="Arabic Typesetting" w:hAnsi="Arabic Typesetting" w:hint="cs"/>
          <w:sz w:val="27"/>
          <w:rtl/>
        </w:rPr>
        <w:t>ّ</w:t>
      </w:r>
      <w:r w:rsidRPr="006571AC">
        <w:rPr>
          <w:rFonts w:ascii="Arabic Typesetting" w:hAnsi="Arabic Typesetting"/>
          <w:sz w:val="27"/>
          <w:rtl/>
        </w:rPr>
        <w:t xml:space="preserve"> العام</w:t>
      </w:r>
      <w:r w:rsidR="00EE086D" w:rsidRPr="006571AC">
        <w:rPr>
          <w:rFonts w:ascii="Arabic Typesetting" w:hAnsi="Arabic Typesetting" w:hint="cs"/>
          <w:sz w:val="27"/>
          <w:rtl/>
        </w:rPr>
        <w:t>ّ</w:t>
      </w:r>
      <w:r w:rsidRPr="006571AC">
        <w:rPr>
          <w:rFonts w:ascii="Arabic Typesetting" w:hAnsi="Arabic Typesetting"/>
          <w:sz w:val="27"/>
          <w:rtl/>
        </w:rPr>
        <w:t xml:space="preserve"> للغة العربية في ذلك العصر، مم</w:t>
      </w:r>
      <w:r w:rsidR="00EE086D" w:rsidRPr="006571AC">
        <w:rPr>
          <w:rFonts w:ascii="Arabic Typesetting" w:hAnsi="Arabic Typesetting" w:hint="cs"/>
          <w:sz w:val="27"/>
          <w:rtl/>
        </w:rPr>
        <w:t>ّ</w:t>
      </w:r>
      <w:r w:rsidRPr="006571AC">
        <w:rPr>
          <w:rFonts w:ascii="Arabic Typesetting" w:hAnsi="Arabic Typesetting"/>
          <w:sz w:val="27"/>
          <w:rtl/>
        </w:rPr>
        <w:t>ا أثار إعجاب البلغاء والفصحاء في ذلك الوقت؛ لكن</w:t>
      </w:r>
      <w:r w:rsidR="00EE086D" w:rsidRPr="006571AC">
        <w:rPr>
          <w:rFonts w:ascii="Arabic Typesetting" w:hAnsi="Arabic Typesetting" w:hint="cs"/>
          <w:sz w:val="27"/>
          <w:rtl/>
        </w:rPr>
        <w:t>ّ</w:t>
      </w:r>
      <w:r w:rsidRPr="006571AC">
        <w:rPr>
          <w:rFonts w:ascii="Arabic Typesetting" w:hAnsi="Arabic Typesetting"/>
          <w:sz w:val="27"/>
          <w:rtl/>
        </w:rPr>
        <w:t xml:space="preserve"> هذا لا يعني أن المعاصرين للو</w:t>
      </w:r>
      <w:r w:rsidR="00EE086D" w:rsidRPr="006571AC">
        <w:rPr>
          <w:rFonts w:ascii="Arabic Typesetting" w:hAnsi="Arabic Typesetting" w:hint="cs"/>
          <w:sz w:val="27"/>
          <w:rtl/>
        </w:rPr>
        <w:t>َ</w:t>
      </w:r>
      <w:r w:rsidRPr="006571AC">
        <w:rPr>
          <w:rFonts w:ascii="Arabic Typesetting" w:hAnsi="Arabic Typesetting"/>
          <w:sz w:val="27"/>
          <w:rtl/>
        </w:rPr>
        <w:t>ح</w:t>
      </w:r>
      <w:r w:rsidR="00EE086D" w:rsidRPr="006571AC">
        <w:rPr>
          <w:rFonts w:ascii="Arabic Typesetting" w:hAnsi="Arabic Typesetting" w:hint="cs"/>
          <w:sz w:val="27"/>
          <w:rtl/>
        </w:rPr>
        <w:t>ْ</w:t>
      </w:r>
      <w:r w:rsidRPr="006571AC">
        <w:rPr>
          <w:rFonts w:ascii="Arabic Typesetting" w:hAnsi="Arabic Typesetting"/>
          <w:sz w:val="27"/>
          <w:rtl/>
        </w:rPr>
        <w:t>ي كانوا يفهمون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 بتمامه وكماله. نعم، كانوا يفهمونه بنحو</w:t>
      </w:r>
      <w:r w:rsidR="00EE086D" w:rsidRPr="006571AC">
        <w:rPr>
          <w:rFonts w:ascii="Arabic Typesetting" w:hAnsi="Arabic Typesetting" w:hint="cs"/>
          <w:sz w:val="27"/>
          <w:rtl/>
        </w:rPr>
        <w:t>ٍ</w:t>
      </w:r>
      <w:r w:rsidRPr="006571AC">
        <w:rPr>
          <w:rFonts w:ascii="Arabic Typesetting" w:hAnsi="Arabic Typesetting"/>
          <w:sz w:val="27"/>
          <w:rtl/>
        </w:rPr>
        <w:t xml:space="preserve"> عام</w:t>
      </w:r>
      <w:r w:rsidR="00EE086D" w:rsidRPr="006571AC">
        <w:rPr>
          <w:rFonts w:ascii="Arabic Typesetting" w:hAnsi="Arabic Typesetting" w:hint="cs"/>
          <w:sz w:val="27"/>
          <w:rtl/>
        </w:rPr>
        <w:t>ّ</w:t>
      </w:r>
      <w:r w:rsidRPr="006571AC">
        <w:rPr>
          <w:rFonts w:ascii="Arabic Typesetting" w:hAnsi="Arabic Typesetting"/>
          <w:sz w:val="27"/>
          <w:rtl/>
        </w:rPr>
        <w:t xml:space="preserve"> وإجمالي، لكن</w:t>
      </w:r>
      <w:r w:rsidR="00EE086D" w:rsidRPr="006571AC">
        <w:rPr>
          <w:rFonts w:ascii="Arabic Typesetting" w:hAnsi="Arabic Typesetting" w:hint="cs"/>
          <w:sz w:val="27"/>
          <w:rtl/>
        </w:rPr>
        <w:t>ْ</w:t>
      </w:r>
      <w:r w:rsidRPr="006571AC">
        <w:rPr>
          <w:rFonts w:ascii="Arabic Typesetting" w:hAnsi="Arabic Typesetting"/>
          <w:sz w:val="27"/>
          <w:rtl/>
        </w:rPr>
        <w:t xml:space="preserve"> لم ي</w:t>
      </w:r>
      <w:r w:rsidR="00EE086D" w:rsidRPr="006571AC">
        <w:rPr>
          <w:rFonts w:ascii="Arabic Typesetting" w:hAnsi="Arabic Typesetting" w:hint="cs"/>
          <w:sz w:val="27"/>
          <w:rtl/>
        </w:rPr>
        <w:t>َ</w:t>
      </w:r>
      <w:r w:rsidRPr="006571AC">
        <w:rPr>
          <w:rFonts w:ascii="Arabic Typesetting" w:hAnsi="Arabic Typesetting"/>
          <w:sz w:val="27"/>
          <w:rtl/>
        </w:rPr>
        <w:t>ر</w:t>
      </w:r>
      <w:r w:rsidR="00EE086D" w:rsidRPr="006571AC">
        <w:rPr>
          <w:rFonts w:ascii="Arabic Typesetting" w:hAnsi="Arabic Typesetting" w:hint="cs"/>
          <w:sz w:val="27"/>
          <w:rtl/>
        </w:rPr>
        <w:t>ْ</w:t>
      </w:r>
      <w:r w:rsidRPr="006571AC">
        <w:rPr>
          <w:rFonts w:ascii="Arabic Typesetting" w:hAnsi="Arabic Typesetting"/>
          <w:sz w:val="27"/>
          <w:rtl/>
        </w:rPr>
        <w:t>قَ فهمه إلى مستوى الفهم التام</w:t>
      </w:r>
      <w:r w:rsidR="00EE086D" w:rsidRPr="006571AC">
        <w:rPr>
          <w:rFonts w:ascii="Arabic Typesetting" w:hAnsi="Arabic Typesetting" w:hint="cs"/>
          <w:sz w:val="27"/>
          <w:rtl/>
        </w:rPr>
        <w:t>ّ</w:t>
      </w:r>
      <w:r w:rsidRPr="006571AC">
        <w:rPr>
          <w:rFonts w:ascii="Arabic Typesetting" w:hAnsi="Arabic Typesetting"/>
          <w:sz w:val="27"/>
          <w:rtl/>
        </w:rPr>
        <w:t xml:space="preserve"> والكامل</w:t>
      </w:r>
      <w:r w:rsidR="00EE086D" w:rsidRPr="006571AC">
        <w:rPr>
          <w:rFonts w:ascii="Arabic Typesetting" w:hAnsi="Arabic Typesetting" w:hint="cs"/>
          <w:sz w:val="27"/>
          <w:rtl/>
        </w:rPr>
        <w:t>،</w:t>
      </w:r>
      <w:r w:rsidRPr="006571AC">
        <w:rPr>
          <w:rFonts w:ascii="Arabic Typesetting" w:hAnsi="Arabic Typesetting"/>
          <w:sz w:val="27"/>
          <w:rtl/>
        </w:rPr>
        <w:t xml:space="preserve"> بحيث يستوعبون كل</w:t>
      </w:r>
      <w:r w:rsidR="00EE086D" w:rsidRPr="006571AC">
        <w:rPr>
          <w:rFonts w:ascii="Arabic Typesetting" w:hAnsi="Arabic Typesetting" w:hint="cs"/>
          <w:sz w:val="27"/>
          <w:rtl/>
        </w:rPr>
        <w:t>ّ</w:t>
      </w:r>
      <w:r w:rsidRPr="006571AC">
        <w:rPr>
          <w:rFonts w:ascii="Arabic Typesetting" w:hAnsi="Arabic Typesetting"/>
          <w:sz w:val="27"/>
          <w:rtl/>
        </w:rPr>
        <w:t xml:space="preserve"> مفرداته وتراكيبه، ويدركون ما يدل</w:t>
      </w:r>
      <w:r w:rsidR="00EE086D" w:rsidRPr="006571AC">
        <w:rPr>
          <w:rFonts w:ascii="Arabic Typesetting" w:hAnsi="Arabic Typesetting" w:hint="cs"/>
          <w:sz w:val="27"/>
          <w:rtl/>
        </w:rPr>
        <w:t>ّ</w:t>
      </w:r>
      <w:r w:rsidRPr="006571AC">
        <w:rPr>
          <w:rFonts w:ascii="Arabic Typesetting" w:hAnsi="Arabic Typesetting"/>
          <w:sz w:val="27"/>
          <w:rtl/>
        </w:rPr>
        <w:t xml:space="preserve"> عليه اللفظ القرآني من أحكام ومفاهيم</w:t>
      </w:r>
      <w:r w:rsidR="00EE086D" w:rsidRPr="006571AC">
        <w:rPr>
          <w:rFonts w:ascii="Arabic Typesetting" w:hAnsi="Arabic Typesetting"/>
          <w:sz w:val="27"/>
          <w:rtl/>
        </w:rPr>
        <w:t>.</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 xml:space="preserve">والسرّ في ذلك أمور: </w:t>
      </w:r>
    </w:p>
    <w:p w:rsidR="008D51F3" w:rsidRPr="006571AC" w:rsidRDefault="008D51F3" w:rsidP="009E1912">
      <w:pPr>
        <w:rPr>
          <w:rFonts w:ascii="Arabic Typesetting" w:hAnsi="Arabic Typesetting"/>
          <w:sz w:val="27"/>
          <w:rtl/>
        </w:rPr>
      </w:pPr>
      <w:r w:rsidRPr="006571AC">
        <w:rPr>
          <w:rFonts w:ascii="Arabic Typesetting" w:hAnsi="Arabic Typesetting"/>
          <w:b/>
          <w:bCs/>
          <w:sz w:val="27"/>
          <w:rtl/>
        </w:rPr>
        <w:t>الأمر الأو</w:t>
      </w:r>
      <w:r w:rsidR="00EE086D" w:rsidRPr="006571AC">
        <w:rPr>
          <w:rFonts w:ascii="Arabic Typesetting" w:hAnsi="Arabic Typesetting" w:hint="cs"/>
          <w:b/>
          <w:bCs/>
          <w:sz w:val="27"/>
          <w:rtl/>
        </w:rPr>
        <w:t>ّ</w:t>
      </w:r>
      <w:r w:rsidRPr="006571AC">
        <w:rPr>
          <w:rFonts w:ascii="Arabic Typesetting" w:hAnsi="Arabic Typesetting"/>
          <w:b/>
          <w:bCs/>
          <w:sz w:val="27"/>
          <w:rtl/>
        </w:rPr>
        <w:t xml:space="preserve">ل: </w:t>
      </w:r>
      <w:r w:rsidR="00EE086D" w:rsidRPr="006571AC">
        <w:rPr>
          <w:rFonts w:ascii="Arabic Typesetting" w:hAnsi="Arabic Typesetting" w:hint="cs"/>
          <w:sz w:val="27"/>
          <w:rtl/>
        </w:rPr>
        <w:t>إ</w:t>
      </w:r>
      <w:r w:rsidRPr="006571AC">
        <w:rPr>
          <w:rFonts w:ascii="Arabic Typesetting" w:hAnsi="Arabic Typesetting"/>
          <w:sz w:val="27"/>
          <w:rtl/>
        </w:rPr>
        <w:t>ن مجر</w:t>
      </w:r>
      <w:r w:rsidR="009E1912" w:rsidRPr="006571AC">
        <w:rPr>
          <w:rFonts w:ascii="Arabic Typesetting" w:hAnsi="Arabic Typesetting" w:hint="cs"/>
          <w:sz w:val="27"/>
          <w:rtl/>
        </w:rPr>
        <w:t>ّ</w:t>
      </w:r>
      <w:r w:rsidRPr="006571AC">
        <w:rPr>
          <w:rFonts w:ascii="Arabic Typesetting" w:hAnsi="Arabic Typesetting"/>
          <w:sz w:val="27"/>
          <w:rtl/>
        </w:rPr>
        <w:t>د كون الشخص من أبناء اللغة</w:t>
      </w:r>
      <w:r w:rsidR="00EE086D" w:rsidRPr="006571AC">
        <w:rPr>
          <w:rFonts w:ascii="Arabic Typesetting" w:hAnsi="Arabic Typesetting" w:hint="cs"/>
          <w:sz w:val="27"/>
          <w:rtl/>
        </w:rPr>
        <w:t>،</w:t>
      </w:r>
      <w:r w:rsidRPr="006571AC">
        <w:rPr>
          <w:rFonts w:ascii="Arabic Typesetting" w:hAnsi="Arabic Typesetting"/>
          <w:sz w:val="27"/>
          <w:rtl/>
        </w:rPr>
        <w:t xml:space="preserve"> ومُلمّا</w:t>
      </w:r>
      <w:r w:rsidR="00EE086D" w:rsidRPr="006571AC">
        <w:rPr>
          <w:rFonts w:ascii="Arabic Typesetting" w:hAnsi="Arabic Typesetting" w:hint="cs"/>
          <w:sz w:val="27"/>
          <w:rtl/>
        </w:rPr>
        <w:t>ً</w:t>
      </w:r>
      <w:r w:rsidRPr="006571AC">
        <w:rPr>
          <w:rFonts w:ascii="Arabic Typesetting" w:hAnsi="Arabic Typesetting"/>
          <w:sz w:val="27"/>
          <w:rtl/>
        </w:rPr>
        <w:t xml:space="preserve"> بها، لا يعني أنه مطّلع</w:t>
      </w:r>
      <w:r w:rsidR="00EE086D" w:rsidRPr="006571AC">
        <w:rPr>
          <w:rFonts w:ascii="Arabic Typesetting" w:hAnsi="Arabic Typesetting" w:hint="cs"/>
          <w:sz w:val="27"/>
          <w:rtl/>
        </w:rPr>
        <w:t>ٌ</w:t>
      </w:r>
      <w:r w:rsidRPr="006571AC">
        <w:rPr>
          <w:rFonts w:ascii="Arabic Typesetting" w:hAnsi="Arabic Typesetting"/>
          <w:sz w:val="27"/>
          <w:rtl/>
        </w:rPr>
        <w:t xml:space="preserve"> عليها اط</w:t>
      </w:r>
      <w:r w:rsidR="009E1912" w:rsidRPr="006571AC">
        <w:rPr>
          <w:rFonts w:ascii="Arabic Typesetting" w:hAnsi="Arabic Typesetting" w:hint="cs"/>
          <w:sz w:val="27"/>
          <w:rtl/>
        </w:rPr>
        <w:t>ّ</w:t>
      </w:r>
      <w:r w:rsidRPr="006571AC">
        <w:rPr>
          <w:rFonts w:ascii="Arabic Typesetting" w:hAnsi="Arabic Typesetting"/>
          <w:sz w:val="27"/>
          <w:rtl/>
        </w:rPr>
        <w:t>لاعا</w:t>
      </w:r>
      <w:r w:rsidR="00EE086D" w:rsidRPr="006571AC">
        <w:rPr>
          <w:rFonts w:ascii="Arabic Typesetting" w:hAnsi="Arabic Typesetting" w:hint="cs"/>
          <w:sz w:val="27"/>
          <w:rtl/>
        </w:rPr>
        <w:t>ً</w:t>
      </w:r>
      <w:r w:rsidRPr="006571AC">
        <w:rPr>
          <w:rFonts w:ascii="Arabic Typesetting" w:hAnsi="Arabic Typesetting"/>
          <w:sz w:val="27"/>
          <w:rtl/>
        </w:rPr>
        <w:t xml:space="preserve"> شاملا</w:t>
      </w:r>
      <w:r w:rsidR="00EE086D" w:rsidRPr="006571AC">
        <w:rPr>
          <w:rFonts w:ascii="Arabic Typesetting" w:hAnsi="Arabic Typesetting" w:hint="cs"/>
          <w:sz w:val="27"/>
          <w:rtl/>
        </w:rPr>
        <w:t>ً</w:t>
      </w:r>
      <w:r w:rsidRPr="006571AC">
        <w:rPr>
          <w:rFonts w:ascii="Arabic Typesetting" w:hAnsi="Arabic Typesetting"/>
          <w:sz w:val="27"/>
          <w:rtl/>
        </w:rPr>
        <w:t>، بل هذا يعني ف</w:t>
      </w:r>
      <w:r w:rsidR="009E1912" w:rsidRPr="006571AC">
        <w:rPr>
          <w:rFonts w:ascii="Arabic Typesetting" w:hAnsi="Arabic Typesetting" w:hint="cs"/>
          <w:sz w:val="27"/>
          <w:rtl/>
        </w:rPr>
        <w:t>َ</w:t>
      </w:r>
      <w:r w:rsidRPr="006571AC">
        <w:rPr>
          <w:rFonts w:ascii="Arabic Typesetting" w:hAnsi="Arabic Typesetting"/>
          <w:sz w:val="27"/>
          <w:rtl/>
        </w:rPr>
        <w:t>ه</w:t>
      </w:r>
      <w:r w:rsidR="009E1912" w:rsidRPr="006571AC">
        <w:rPr>
          <w:rFonts w:ascii="Arabic Typesetting" w:hAnsi="Arabic Typesetting" w:hint="cs"/>
          <w:sz w:val="27"/>
          <w:rtl/>
        </w:rPr>
        <w:t>ْ</w:t>
      </w:r>
      <w:r w:rsidRPr="006571AC">
        <w:rPr>
          <w:rFonts w:ascii="Arabic Typesetting" w:hAnsi="Arabic Typesetting"/>
          <w:sz w:val="27"/>
          <w:rtl/>
        </w:rPr>
        <w:t>مه للغة بالق</w:t>
      </w:r>
      <w:r w:rsidR="00EE086D" w:rsidRPr="006571AC">
        <w:rPr>
          <w:rFonts w:ascii="Arabic Typesetting" w:hAnsi="Arabic Typesetting" w:hint="cs"/>
          <w:sz w:val="27"/>
          <w:rtl/>
        </w:rPr>
        <w:t>َ</w:t>
      </w:r>
      <w:r w:rsidRPr="006571AC">
        <w:rPr>
          <w:rFonts w:ascii="Arabic Typesetting" w:hAnsi="Arabic Typesetting"/>
          <w:sz w:val="27"/>
          <w:rtl/>
        </w:rPr>
        <w:t>د</w:t>
      </w:r>
      <w:r w:rsidR="00EE086D" w:rsidRPr="006571AC">
        <w:rPr>
          <w:rFonts w:ascii="Arabic Typesetting" w:hAnsi="Arabic Typesetting" w:hint="cs"/>
          <w:sz w:val="27"/>
          <w:rtl/>
        </w:rPr>
        <w:t>ْ</w:t>
      </w:r>
      <w:r w:rsidRPr="006571AC">
        <w:rPr>
          <w:rFonts w:ascii="Arabic Typesetting" w:hAnsi="Arabic Typesetting"/>
          <w:sz w:val="27"/>
          <w:rtl/>
        </w:rPr>
        <w:t>ر الذي يدخل في حياته الاعتيادية. وهذا الأمر فعلا</w:t>
      </w:r>
      <w:r w:rsidR="00EE086D" w:rsidRPr="006571AC">
        <w:rPr>
          <w:rFonts w:ascii="Arabic Typesetting" w:hAnsi="Arabic Typesetting" w:hint="cs"/>
          <w:sz w:val="27"/>
          <w:rtl/>
        </w:rPr>
        <w:t>ً</w:t>
      </w:r>
      <w:r w:rsidRPr="006571AC">
        <w:rPr>
          <w:rFonts w:ascii="Arabic Typesetting" w:hAnsi="Arabic Typesetting"/>
          <w:sz w:val="27"/>
          <w:rtl/>
        </w:rPr>
        <w:t xml:space="preserve"> ليس داخلا</w:t>
      </w:r>
      <w:r w:rsidR="00EE086D" w:rsidRPr="006571AC">
        <w:rPr>
          <w:rFonts w:ascii="Arabic Typesetting" w:hAnsi="Arabic Typesetting" w:hint="cs"/>
          <w:sz w:val="27"/>
          <w:rtl/>
        </w:rPr>
        <w:t>ً</w:t>
      </w:r>
      <w:r w:rsidRPr="006571AC">
        <w:rPr>
          <w:rFonts w:ascii="Arabic Typesetting" w:hAnsi="Arabic Typesetting"/>
          <w:sz w:val="27"/>
          <w:rtl/>
        </w:rPr>
        <w:t xml:space="preserve"> بقوّة</w:t>
      </w:r>
      <w:r w:rsidR="00EE086D" w:rsidRPr="006571AC">
        <w:rPr>
          <w:rFonts w:ascii="Arabic Typesetting" w:hAnsi="Arabic Typesetting" w:hint="cs"/>
          <w:sz w:val="27"/>
          <w:rtl/>
        </w:rPr>
        <w:t>ٍ</w:t>
      </w:r>
      <w:r w:rsidRPr="006571AC">
        <w:rPr>
          <w:rFonts w:ascii="Arabic Typesetting" w:hAnsi="Arabic Typesetting"/>
          <w:sz w:val="27"/>
          <w:rtl/>
        </w:rPr>
        <w:t xml:space="preserve"> في هذا المبحث، بل اللبّ في الأمر الثاني. </w:t>
      </w:r>
    </w:p>
    <w:p w:rsidR="008D51F3" w:rsidRPr="006571AC" w:rsidRDefault="008D51F3" w:rsidP="0028394C">
      <w:pPr>
        <w:spacing w:line="418" w:lineRule="exact"/>
        <w:rPr>
          <w:rFonts w:ascii="Arabic Typesetting" w:hAnsi="Arabic Typesetting"/>
          <w:b/>
          <w:bCs/>
          <w:sz w:val="27"/>
          <w:rtl/>
        </w:rPr>
      </w:pPr>
      <w:r w:rsidRPr="006571AC">
        <w:rPr>
          <w:rFonts w:ascii="Arabic Typesetting" w:hAnsi="Arabic Typesetting"/>
          <w:b/>
          <w:bCs/>
          <w:sz w:val="27"/>
          <w:rtl/>
        </w:rPr>
        <w:lastRenderedPageBreak/>
        <w:t xml:space="preserve">الأمر الثاني: </w:t>
      </w:r>
      <w:r w:rsidRPr="006571AC">
        <w:rPr>
          <w:rFonts w:ascii="Arabic Typesetting" w:hAnsi="Arabic Typesetting"/>
          <w:sz w:val="27"/>
          <w:rtl/>
        </w:rPr>
        <w:t>لا يتوق</w:t>
      </w:r>
      <w:r w:rsidR="00EE086D" w:rsidRPr="006571AC">
        <w:rPr>
          <w:rFonts w:ascii="Arabic Typesetting" w:hAnsi="Arabic Typesetting" w:hint="cs"/>
          <w:sz w:val="27"/>
          <w:rtl/>
        </w:rPr>
        <w:t>َّ</w:t>
      </w:r>
      <w:r w:rsidRPr="006571AC">
        <w:rPr>
          <w:rFonts w:ascii="Arabic Typesetting" w:hAnsi="Arabic Typesetting"/>
          <w:sz w:val="27"/>
          <w:rtl/>
        </w:rPr>
        <w:t>ف فهم الكلام القرآني على الاطلاع على اللغة</w:t>
      </w:r>
      <w:r w:rsidR="00EE086D" w:rsidRPr="006571AC">
        <w:rPr>
          <w:rFonts w:ascii="Arabic Typesetting" w:hAnsi="Arabic Typesetting" w:hint="cs"/>
          <w:sz w:val="27"/>
          <w:rtl/>
        </w:rPr>
        <w:t>،</w:t>
      </w:r>
      <w:r w:rsidRPr="006571AC">
        <w:rPr>
          <w:rFonts w:ascii="Arabic Typesetting" w:hAnsi="Arabic Typesetting"/>
          <w:sz w:val="27"/>
          <w:rtl/>
        </w:rPr>
        <w:t xml:space="preserve"> واستيعاب المعلومات اللغوية، بل </w:t>
      </w:r>
      <w:r w:rsidR="00731867" w:rsidRPr="006571AC">
        <w:rPr>
          <w:rFonts w:ascii="Arabic Typesetting" w:hAnsi="Arabic Typesetting"/>
          <w:sz w:val="27"/>
          <w:rtl/>
        </w:rPr>
        <w:t>لا بُدَّ</w:t>
      </w:r>
      <w:r w:rsidRPr="006571AC">
        <w:rPr>
          <w:rFonts w:ascii="Arabic Typesetting" w:hAnsi="Arabic Typesetting"/>
          <w:sz w:val="27"/>
          <w:rtl/>
        </w:rPr>
        <w:t xml:space="preserve"> </w:t>
      </w:r>
      <w:r w:rsidR="00EE086D" w:rsidRPr="006571AC">
        <w:rPr>
          <w:rFonts w:ascii="Arabic Typesetting" w:hAnsi="Arabic Typesetting" w:hint="cs"/>
          <w:sz w:val="27"/>
          <w:rtl/>
        </w:rPr>
        <w:t xml:space="preserve">ـ </w:t>
      </w:r>
      <w:r w:rsidRPr="006571AC">
        <w:rPr>
          <w:rFonts w:ascii="Arabic Typesetting" w:hAnsi="Arabic Typesetting"/>
          <w:sz w:val="27"/>
          <w:rtl/>
        </w:rPr>
        <w:t>مضافا</w:t>
      </w:r>
      <w:r w:rsidR="00EE086D" w:rsidRPr="006571AC">
        <w:rPr>
          <w:rFonts w:ascii="Arabic Typesetting" w:hAnsi="Arabic Typesetting" w:hint="cs"/>
          <w:sz w:val="27"/>
          <w:rtl/>
        </w:rPr>
        <w:t>ً</w:t>
      </w:r>
      <w:r w:rsidRPr="006571AC">
        <w:rPr>
          <w:rFonts w:ascii="Arabic Typesetting" w:hAnsi="Arabic Typesetting"/>
          <w:sz w:val="27"/>
          <w:rtl/>
        </w:rPr>
        <w:t xml:space="preserve"> إلى ذلك </w:t>
      </w:r>
      <w:r w:rsidR="00EE086D" w:rsidRPr="006571AC">
        <w:rPr>
          <w:rFonts w:ascii="Arabic Typesetting" w:hAnsi="Arabic Typesetting" w:hint="cs"/>
          <w:sz w:val="27"/>
          <w:rtl/>
        </w:rPr>
        <w:t xml:space="preserve">ـ </w:t>
      </w:r>
      <w:r w:rsidRPr="006571AC">
        <w:rPr>
          <w:rFonts w:ascii="Arabic Typesetting" w:hAnsi="Arabic Typesetting"/>
          <w:sz w:val="27"/>
          <w:rtl/>
        </w:rPr>
        <w:t>من وجود استعداد</w:t>
      </w:r>
      <w:r w:rsidR="00EE086D" w:rsidRPr="006571AC">
        <w:rPr>
          <w:rFonts w:ascii="Arabic Typesetting" w:hAnsi="Arabic Typesetting" w:hint="cs"/>
          <w:sz w:val="27"/>
          <w:rtl/>
        </w:rPr>
        <w:t>ٍ</w:t>
      </w:r>
      <w:r w:rsidRPr="006571AC">
        <w:rPr>
          <w:rFonts w:ascii="Arabic Typesetting" w:hAnsi="Arabic Typesetting"/>
          <w:sz w:val="27"/>
          <w:rtl/>
        </w:rPr>
        <w:t xml:space="preserve"> فكري</w:t>
      </w:r>
      <w:r w:rsidR="00EE086D" w:rsidRPr="006571AC">
        <w:rPr>
          <w:rFonts w:ascii="Arabic Typesetting" w:hAnsi="Arabic Typesetting" w:hint="cs"/>
          <w:sz w:val="27"/>
          <w:rtl/>
        </w:rPr>
        <w:t>ّ</w:t>
      </w:r>
      <w:r w:rsidRPr="006571AC">
        <w:rPr>
          <w:rFonts w:ascii="Arabic Typesetting" w:hAnsi="Arabic Typesetting"/>
          <w:sz w:val="27"/>
          <w:rtl/>
        </w:rPr>
        <w:t xml:space="preserve"> خاص</w:t>
      </w:r>
      <w:r w:rsidR="00EE086D" w:rsidRPr="006571AC">
        <w:rPr>
          <w:rFonts w:ascii="Arabic Typesetting" w:hAnsi="Arabic Typesetting" w:hint="cs"/>
          <w:sz w:val="27"/>
          <w:rtl/>
        </w:rPr>
        <w:t>ّ</w:t>
      </w:r>
      <w:r w:rsidRPr="006571AC">
        <w:rPr>
          <w:rFonts w:ascii="Arabic Typesetting" w:hAnsi="Arabic Typesetting"/>
          <w:sz w:val="27"/>
          <w:rtl/>
        </w:rPr>
        <w:t xml:space="preserve"> عند المفسِّر والقارئ، و</w:t>
      </w:r>
      <w:r w:rsidR="00731867" w:rsidRPr="006571AC">
        <w:rPr>
          <w:rFonts w:ascii="Arabic Typesetting" w:hAnsi="Arabic Typesetting"/>
          <w:sz w:val="27"/>
          <w:rtl/>
        </w:rPr>
        <w:t>لا بُدَّ</w:t>
      </w:r>
      <w:r w:rsidRPr="006571AC">
        <w:rPr>
          <w:rFonts w:ascii="Arabic Typesetting" w:hAnsi="Arabic Typesetting"/>
          <w:sz w:val="27"/>
          <w:rtl/>
        </w:rPr>
        <w:t xml:space="preserve"> من أن يتمت</w:t>
      </w:r>
      <w:r w:rsidR="00EE086D" w:rsidRPr="006571AC">
        <w:rPr>
          <w:rFonts w:ascii="Arabic Typesetting" w:hAnsi="Arabic Typesetting" w:hint="cs"/>
          <w:sz w:val="27"/>
          <w:rtl/>
        </w:rPr>
        <w:t>َّ</w:t>
      </w:r>
      <w:r w:rsidR="00EE086D" w:rsidRPr="006571AC">
        <w:rPr>
          <w:rFonts w:ascii="Arabic Typesetting" w:hAnsi="Arabic Typesetting"/>
          <w:sz w:val="27"/>
          <w:rtl/>
        </w:rPr>
        <w:t>ع المفس</w:t>
      </w:r>
      <w:r w:rsidR="00EE086D" w:rsidRPr="006571AC">
        <w:rPr>
          <w:rFonts w:ascii="Arabic Typesetting" w:hAnsi="Arabic Typesetting" w:hint="cs"/>
          <w:sz w:val="27"/>
          <w:rtl/>
        </w:rPr>
        <w:t>ِّ</w:t>
      </w:r>
      <w:r w:rsidRPr="006571AC">
        <w:rPr>
          <w:rFonts w:ascii="Arabic Typesetting" w:hAnsi="Arabic Typesetting"/>
          <w:sz w:val="27"/>
          <w:rtl/>
        </w:rPr>
        <w:t>ر بمستوى</w:t>
      </w:r>
      <w:r w:rsidR="00EE086D" w:rsidRPr="006571AC">
        <w:rPr>
          <w:rFonts w:ascii="Arabic Typesetting" w:hAnsi="Arabic Typesetting" w:hint="cs"/>
          <w:sz w:val="27"/>
          <w:rtl/>
        </w:rPr>
        <w:t>ً</w:t>
      </w:r>
      <w:r w:rsidRPr="006571AC">
        <w:rPr>
          <w:rFonts w:ascii="Arabic Typesetting" w:hAnsi="Arabic Typesetting"/>
          <w:sz w:val="27"/>
          <w:rtl/>
        </w:rPr>
        <w:t xml:space="preserve"> عقلي</w:t>
      </w:r>
      <w:r w:rsidR="00EE086D" w:rsidRPr="006571AC">
        <w:rPr>
          <w:rFonts w:ascii="Arabic Typesetting" w:hAnsi="Arabic Typesetting" w:hint="cs"/>
          <w:sz w:val="27"/>
          <w:rtl/>
        </w:rPr>
        <w:t>ٍّ</w:t>
      </w:r>
      <w:r w:rsidRPr="006571AC">
        <w:rPr>
          <w:rFonts w:ascii="Arabic Typesetting" w:hAnsi="Arabic Typesetting"/>
          <w:sz w:val="27"/>
          <w:rtl/>
        </w:rPr>
        <w:t xml:space="preserve"> يتناسب مع مستوى الكلام والمعاني الملقاة في هذا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 وعلى هذا الأساس، صحيح</w:t>
      </w:r>
      <w:r w:rsidR="00EE086D" w:rsidRPr="006571AC">
        <w:rPr>
          <w:rFonts w:ascii="Arabic Typesetting" w:hAnsi="Arabic Typesetting" w:hint="cs"/>
          <w:sz w:val="27"/>
          <w:rtl/>
        </w:rPr>
        <w:t>ٌ</w:t>
      </w:r>
      <w:r w:rsidRPr="006571AC">
        <w:rPr>
          <w:rFonts w:ascii="Arabic Typesetting" w:hAnsi="Arabic Typesetting"/>
          <w:sz w:val="27"/>
          <w:rtl/>
        </w:rPr>
        <w:t xml:space="preserve"> أن العرب في ذلك الوقت كان لديهم القدرة اللغوي</w:t>
      </w:r>
      <w:r w:rsidR="00EE086D" w:rsidRPr="006571AC">
        <w:rPr>
          <w:rFonts w:ascii="Arabic Typesetting" w:hAnsi="Arabic Typesetting" w:hint="cs"/>
          <w:sz w:val="27"/>
          <w:rtl/>
        </w:rPr>
        <w:t>ّ</w:t>
      </w:r>
      <w:r w:rsidRPr="006571AC">
        <w:rPr>
          <w:rFonts w:ascii="Arabic Typesetting" w:hAnsi="Arabic Typesetting"/>
          <w:sz w:val="27"/>
          <w:rtl/>
        </w:rPr>
        <w:t>ة التي تمكّ</w:t>
      </w:r>
      <w:r w:rsidR="00EE086D" w:rsidRPr="006571AC">
        <w:rPr>
          <w:rFonts w:ascii="Arabic Typesetting" w:hAnsi="Arabic Typesetting" w:hint="cs"/>
          <w:sz w:val="27"/>
          <w:rtl/>
        </w:rPr>
        <w:t>ِ</w:t>
      </w:r>
      <w:r w:rsidRPr="006571AC">
        <w:rPr>
          <w:rFonts w:ascii="Arabic Typesetting" w:hAnsi="Arabic Typesetting"/>
          <w:sz w:val="27"/>
          <w:rtl/>
        </w:rPr>
        <w:t>نهم من فهم الأساليب اللغوي</w:t>
      </w:r>
      <w:r w:rsidR="00EE086D" w:rsidRPr="006571AC">
        <w:rPr>
          <w:rFonts w:ascii="Arabic Typesetting" w:hAnsi="Arabic Typesetting" w:hint="cs"/>
          <w:sz w:val="27"/>
          <w:rtl/>
        </w:rPr>
        <w:t>ّ</w:t>
      </w:r>
      <w:r w:rsidRPr="006571AC">
        <w:rPr>
          <w:rFonts w:ascii="Arabic Typesetting" w:hAnsi="Arabic Typesetting"/>
          <w:sz w:val="27"/>
          <w:rtl/>
        </w:rPr>
        <w:t>ة</w:t>
      </w:r>
      <w:r w:rsidR="00EE086D" w:rsidRPr="006571AC">
        <w:rPr>
          <w:rFonts w:ascii="Arabic Typesetting" w:hAnsi="Arabic Typesetting" w:hint="cs"/>
          <w:sz w:val="27"/>
          <w:rtl/>
        </w:rPr>
        <w:t>،</w:t>
      </w:r>
      <w:r w:rsidRPr="006571AC">
        <w:rPr>
          <w:rFonts w:ascii="Arabic Typesetting" w:hAnsi="Arabic Typesetting"/>
          <w:sz w:val="27"/>
          <w:rtl/>
        </w:rPr>
        <w:t xml:space="preserve"> واستيعاب المدلولات اللغوي</w:t>
      </w:r>
      <w:r w:rsidR="00EE086D" w:rsidRPr="006571AC">
        <w:rPr>
          <w:rFonts w:ascii="Arabic Typesetting" w:hAnsi="Arabic Typesetting" w:hint="cs"/>
          <w:sz w:val="27"/>
          <w:rtl/>
        </w:rPr>
        <w:t>ّ</w:t>
      </w:r>
      <w:r w:rsidRPr="006571AC">
        <w:rPr>
          <w:rFonts w:ascii="Arabic Typesetting" w:hAnsi="Arabic Typesetting"/>
          <w:sz w:val="27"/>
          <w:rtl/>
        </w:rPr>
        <w:t>ة للفظ القرآني، لكن</w:t>
      </w:r>
      <w:r w:rsidR="00EE086D" w:rsidRPr="006571AC">
        <w:rPr>
          <w:rFonts w:ascii="Arabic Typesetting" w:hAnsi="Arabic Typesetting" w:hint="cs"/>
          <w:sz w:val="27"/>
          <w:rtl/>
        </w:rPr>
        <w:t>ّ</w:t>
      </w:r>
      <w:r w:rsidRPr="006571AC">
        <w:rPr>
          <w:rFonts w:ascii="Arabic Typesetting" w:hAnsi="Arabic Typesetting"/>
          <w:sz w:val="27"/>
          <w:rtl/>
        </w:rPr>
        <w:t xml:space="preserve"> ذهني</w:t>
      </w:r>
      <w:r w:rsidR="00EE086D" w:rsidRPr="006571AC">
        <w:rPr>
          <w:rFonts w:ascii="Arabic Typesetting" w:hAnsi="Arabic Typesetting" w:hint="cs"/>
          <w:sz w:val="27"/>
          <w:rtl/>
        </w:rPr>
        <w:t>َّ</w:t>
      </w:r>
      <w:r w:rsidRPr="006571AC">
        <w:rPr>
          <w:rFonts w:ascii="Arabic Typesetting" w:hAnsi="Arabic Typesetting"/>
          <w:sz w:val="27"/>
          <w:rtl/>
        </w:rPr>
        <w:t>تهم لم تكن بالمستوى الذي يؤه</w:t>
      </w:r>
      <w:r w:rsidR="00EE086D" w:rsidRPr="006571AC">
        <w:rPr>
          <w:rFonts w:ascii="Arabic Typesetting" w:hAnsi="Arabic Typesetting" w:hint="cs"/>
          <w:sz w:val="27"/>
          <w:rtl/>
        </w:rPr>
        <w:t>ِّ</w:t>
      </w:r>
      <w:r w:rsidRPr="006571AC">
        <w:rPr>
          <w:rFonts w:ascii="Arabic Typesetting" w:hAnsi="Arabic Typesetting"/>
          <w:sz w:val="27"/>
          <w:rtl/>
        </w:rPr>
        <w:t>لهم لاستيعاب المعاني القرآنية بنحو</w:t>
      </w:r>
      <w:r w:rsidR="00EE086D" w:rsidRPr="006571AC">
        <w:rPr>
          <w:rFonts w:ascii="Arabic Typesetting" w:hAnsi="Arabic Typesetting" w:hint="cs"/>
          <w:sz w:val="27"/>
          <w:rtl/>
        </w:rPr>
        <w:t>ٍ</w:t>
      </w:r>
      <w:r w:rsidRPr="006571AC">
        <w:rPr>
          <w:rFonts w:ascii="Arabic Typesetting" w:hAnsi="Arabic Typesetting"/>
          <w:sz w:val="27"/>
          <w:rtl/>
        </w:rPr>
        <w:t xml:space="preserve"> تام</w:t>
      </w:r>
      <w:r w:rsidR="00EE086D" w:rsidRPr="006571AC">
        <w:rPr>
          <w:rFonts w:ascii="Arabic Typesetting" w:hAnsi="Arabic Typesetting" w:hint="cs"/>
          <w:sz w:val="27"/>
          <w:rtl/>
        </w:rPr>
        <w:t>ّ</w:t>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72"/>
      </w:r>
      <w:r w:rsidRPr="006571AC">
        <w:rPr>
          <w:rFonts w:ascii="Arabic Typesetting" w:hAnsi="Arabic Typesetting"/>
          <w:sz w:val="27"/>
          <w:vertAlign w:val="superscript"/>
          <w:rtl/>
        </w:rPr>
        <w:t>)</w:t>
      </w:r>
      <w:r w:rsidRPr="006571AC">
        <w:rPr>
          <w:rFonts w:ascii="Arabic Typesetting" w:hAnsi="Arabic Typesetting"/>
          <w:sz w:val="27"/>
          <w:rtl/>
        </w:rPr>
        <w:t>.</w:t>
      </w:r>
      <w:r w:rsidRPr="006571AC">
        <w:rPr>
          <w:rFonts w:ascii="Arabic Typesetting" w:hAnsi="Arabic Typesetting"/>
          <w:b/>
          <w:bCs/>
          <w:sz w:val="27"/>
          <w:rtl/>
        </w:rPr>
        <w:t xml:space="preserve"> </w:t>
      </w:r>
    </w:p>
    <w:p w:rsidR="008D51F3" w:rsidRPr="006571AC" w:rsidRDefault="008D51F3" w:rsidP="0028394C">
      <w:pPr>
        <w:spacing w:line="418" w:lineRule="exact"/>
        <w:rPr>
          <w:rFonts w:ascii="Arabic Typesetting" w:hAnsi="Arabic Typesetting"/>
          <w:sz w:val="27"/>
          <w:rtl/>
        </w:rPr>
      </w:pPr>
      <w:r w:rsidRPr="006571AC">
        <w:rPr>
          <w:rFonts w:ascii="Arabic Typesetting" w:hAnsi="Arabic Typesetting"/>
          <w:sz w:val="27"/>
          <w:rtl/>
        </w:rPr>
        <w:t>ومن هنا يت</w:t>
      </w:r>
      <w:r w:rsidR="00EE086D" w:rsidRPr="006571AC">
        <w:rPr>
          <w:rFonts w:ascii="Arabic Typesetting" w:hAnsi="Arabic Typesetting" w:hint="cs"/>
          <w:sz w:val="27"/>
          <w:rtl/>
        </w:rPr>
        <w:t>َّ</w:t>
      </w:r>
      <w:r w:rsidRPr="006571AC">
        <w:rPr>
          <w:rFonts w:ascii="Arabic Typesetting" w:hAnsi="Arabic Typesetting"/>
          <w:sz w:val="27"/>
          <w:rtl/>
        </w:rPr>
        <w:t>ضح لنا التفات الشهيد إلى أمر</w:t>
      </w:r>
      <w:r w:rsidR="00EE086D" w:rsidRPr="006571AC">
        <w:rPr>
          <w:rFonts w:ascii="Arabic Typesetting" w:hAnsi="Arabic Typesetting" w:hint="cs"/>
          <w:sz w:val="27"/>
          <w:rtl/>
        </w:rPr>
        <w:t>ٍ</w:t>
      </w:r>
      <w:r w:rsidRPr="006571AC">
        <w:rPr>
          <w:rFonts w:ascii="Arabic Typesetting" w:hAnsi="Arabic Typesetting"/>
          <w:sz w:val="27"/>
          <w:rtl/>
        </w:rPr>
        <w:t xml:space="preserve"> في </w:t>
      </w:r>
      <w:r w:rsidR="00EE086D" w:rsidRPr="006571AC">
        <w:rPr>
          <w:rFonts w:ascii="Arabic Typesetting" w:hAnsi="Arabic Typesetting"/>
          <w:sz w:val="27"/>
          <w:rtl/>
        </w:rPr>
        <w:t xml:space="preserve">غاية </w:t>
      </w:r>
      <w:r w:rsidRPr="006571AC">
        <w:rPr>
          <w:rFonts w:ascii="Arabic Typesetting" w:hAnsi="Arabic Typesetting"/>
          <w:sz w:val="27"/>
          <w:rtl/>
        </w:rPr>
        <w:t>الأهم</w:t>
      </w:r>
      <w:r w:rsidR="00EE086D" w:rsidRPr="006571AC">
        <w:rPr>
          <w:rFonts w:ascii="Arabic Typesetting" w:hAnsi="Arabic Typesetting" w:hint="cs"/>
          <w:sz w:val="27"/>
          <w:rtl/>
        </w:rPr>
        <w:t>ِّ</w:t>
      </w:r>
      <w:r w:rsidRPr="006571AC">
        <w:rPr>
          <w:rFonts w:ascii="Arabic Typesetting" w:hAnsi="Arabic Typesetting"/>
          <w:sz w:val="27"/>
          <w:rtl/>
        </w:rPr>
        <w:t>ية في عملية فهم النصوص، وهو المستوى الفكري</w:t>
      </w:r>
      <w:r w:rsidR="00EE086D" w:rsidRPr="006571AC">
        <w:rPr>
          <w:rFonts w:ascii="Arabic Typesetting" w:hAnsi="Arabic Typesetting" w:hint="cs"/>
          <w:sz w:val="27"/>
          <w:rtl/>
        </w:rPr>
        <w:t>ّ</w:t>
      </w:r>
      <w:r w:rsidRPr="006571AC">
        <w:rPr>
          <w:rFonts w:ascii="Arabic Typesetting" w:hAnsi="Arabic Typesetting"/>
          <w:sz w:val="27"/>
          <w:rtl/>
        </w:rPr>
        <w:t xml:space="preserve"> والمعرفي للمخاطَب</w:t>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73"/>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28394C">
      <w:pPr>
        <w:spacing w:line="418" w:lineRule="exact"/>
        <w:rPr>
          <w:rFonts w:ascii="Arabic Typesetting" w:hAnsi="Arabic Typesetting"/>
          <w:sz w:val="27"/>
          <w:rtl/>
        </w:rPr>
      </w:pPr>
      <w:r w:rsidRPr="006571AC">
        <w:rPr>
          <w:rFonts w:ascii="Arabic Typesetting" w:hAnsi="Arabic Typesetting"/>
          <w:b/>
          <w:bCs/>
          <w:sz w:val="27"/>
          <w:rtl/>
        </w:rPr>
        <w:t xml:space="preserve">الأمر الثالث: </w:t>
      </w:r>
      <w:r w:rsidR="00EE086D" w:rsidRPr="006571AC">
        <w:rPr>
          <w:rFonts w:ascii="Arabic Typesetting" w:hAnsi="Arabic Typesetting" w:hint="cs"/>
          <w:sz w:val="27"/>
          <w:rtl/>
        </w:rPr>
        <w:t>إ</w:t>
      </w:r>
      <w:r w:rsidRPr="006571AC">
        <w:rPr>
          <w:rFonts w:ascii="Arabic Typesetting" w:hAnsi="Arabic Typesetting"/>
          <w:sz w:val="27"/>
          <w:rtl/>
        </w:rPr>
        <w:t>نه لا يكفي في عملية فهم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 ملاحظة جملة</w:t>
      </w:r>
      <w:r w:rsidR="00EE086D" w:rsidRPr="006571AC">
        <w:rPr>
          <w:rFonts w:ascii="Arabic Typesetting" w:hAnsi="Arabic Typesetting" w:hint="cs"/>
          <w:sz w:val="27"/>
          <w:rtl/>
        </w:rPr>
        <w:t>ٍ</w:t>
      </w:r>
      <w:r w:rsidRPr="006571AC">
        <w:rPr>
          <w:rFonts w:ascii="Arabic Typesetting" w:hAnsi="Arabic Typesetting"/>
          <w:sz w:val="27"/>
          <w:rtl/>
        </w:rPr>
        <w:t xml:space="preserve"> قرآنية أو مقطع</w:t>
      </w:r>
      <w:r w:rsidR="00EE086D" w:rsidRPr="006571AC">
        <w:rPr>
          <w:rFonts w:ascii="Arabic Typesetting" w:hAnsi="Arabic Typesetting" w:hint="cs"/>
          <w:sz w:val="27"/>
          <w:rtl/>
        </w:rPr>
        <w:t>ٍ</w:t>
      </w:r>
      <w:r w:rsidRPr="006571AC">
        <w:rPr>
          <w:rFonts w:ascii="Arabic Typesetting" w:hAnsi="Arabic Typesetting"/>
          <w:sz w:val="27"/>
          <w:rtl/>
        </w:rPr>
        <w:t xml:space="preserve"> قرآني</w:t>
      </w:r>
      <w:r w:rsidR="00EE086D" w:rsidRPr="006571AC">
        <w:rPr>
          <w:rFonts w:ascii="Arabic Typesetting" w:hAnsi="Arabic Typesetting" w:hint="cs"/>
          <w:sz w:val="27"/>
          <w:rtl/>
        </w:rPr>
        <w:t>ّ</w:t>
      </w:r>
      <w:r w:rsidRPr="006571AC">
        <w:rPr>
          <w:rFonts w:ascii="Arabic Typesetting" w:hAnsi="Arabic Typesetting"/>
          <w:sz w:val="27"/>
          <w:rtl/>
        </w:rPr>
        <w:t xml:space="preserve"> محد</w:t>
      </w:r>
      <w:r w:rsidR="00EE086D" w:rsidRPr="006571AC">
        <w:rPr>
          <w:rFonts w:ascii="Arabic Typesetting" w:hAnsi="Arabic Typesetting" w:hint="cs"/>
          <w:sz w:val="27"/>
          <w:rtl/>
        </w:rPr>
        <w:t>َّ</w:t>
      </w:r>
      <w:r w:rsidRPr="006571AC">
        <w:rPr>
          <w:rFonts w:ascii="Arabic Typesetting" w:hAnsi="Arabic Typesetting"/>
          <w:sz w:val="27"/>
          <w:rtl/>
        </w:rPr>
        <w:t>د، بل قد نحتاج إلى ملاحظة سائر الج</w:t>
      </w:r>
      <w:r w:rsidR="009E1912" w:rsidRPr="006571AC">
        <w:rPr>
          <w:rFonts w:ascii="Arabic Typesetting" w:hAnsi="Arabic Typesetting" w:hint="cs"/>
          <w:sz w:val="27"/>
          <w:rtl/>
        </w:rPr>
        <w:t>ُ</w:t>
      </w:r>
      <w:r w:rsidRPr="006571AC">
        <w:rPr>
          <w:rFonts w:ascii="Arabic Typesetting" w:hAnsi="Arabic Typesetting"/>
          <w:sz w:val="27"/>
          <w:rtl/>
        </w:rPr>
        <w:t>م</w:t>
      </w:r>
      <w:r w:rsidR="009E1912" w:rsidRPr="006571AC">
        <w:rPr>
          <w:rFonts w:ascii="Arabic Typesetting" w:hAnsi="Arabic Typesetting" w:hint="cs"/>
          <w:sz w:val="27"/>
          <w:rtl/>
        </w:rPr>
        <w:t>َ</w:t>
      </w:r>
      <w:r w:rsidRPr="006571AC">
        <w:rPr>
          <w:rFonts w:ascii="Arabic Typesetting" w:hAnsi="Arabic Typesetting"/>
          <w:sz w:val="27"/>
          <w:rtl/>
        </w:rPr>
        <w:t xml:space="preserve">ل والفقرات، والمقارنة بينها، وتحديد ظروف نزول الآية. </w:t>
      </w:r>
    </w:p>
    <w:p w:rsidR="008D51F3" w:rsidRPr="006571AC" w:rsidRDefault="008D51F3" w:rsidP="0028394C">
      <w:pPr>
        <w:spacing w:line="418" w:lineRule="exact"/>
        <w:rPr>
          <w:rFonts w:ascii="Arabic Typesetting" w:hAnsi="Arabic Typesetting"/>
          <w:b/>
          <w:bCs/>
          <w:sz w:val="27"/>
          <w:rtl/>
        </w:rPr>
      </w:pPr>
      <w:r w:rsidRPr="006571AC">
        <w:rPr>
          <w:rFonts w:ascii="Arabic Typesetting" w:hAnsi="Arabic Typesetting"/>
          <w:sz w:val="27"/>
          <w:rtl/>
        </w:rPr>
        <w:t>فانطلاقا</w:t>
      </w:r>
      <w:r w:rsidR="00EE086D" w:rsidRPr="006571AC">
        <w:rPr>
          <w:rFonts w:ascii="Arabic Typesetting" w:hAnsi="Arabic Typesetting" w:hint="cs"/>
          <w:sz w:val="27"/>
          <w:rtl/>
        </w:rPr>
        <w:t>ً</w:t>
      </w:r>
      <w:r w:rsidRPr="006571AC">
        <w:rPr>
          <w:rFonts w:ascii="Arabic Typesetting" w:hAnsi="Arabic Typesetting"/>
          <w:sz w:val="27"/>
          <w:rtl/>
        </w:rPr>
        <w:t xml:space="preserve"> من هذه الأمور الثلاثة يت</w:t>
      </w:r>
      <w:r w:rsidR="00EE086D" w:rsidRPr="006571AC">
        <w:rPr>
          <w:rFonts w:ascii="Arabic Typesetting" w:hAnsi="Arabic Typesetting" w:hint="cs"/>
          <w:sz w:val="27"/>
          <w:rtl/>
        </w:rPr>
        <w:t>ّ</w:t>
      </w:r>
      <w:r w:rsidRPr="006571AC">
        <w:rPr>
          <w:rFonts w:ascii="Arabic Typesetting" w:hAnsi="Arabic Typesetting"/>
          <w:sz w:val="27"/>
          <w:rtl/>
        </w:rPr>
        <w:t>ضح أن عملية فهم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 دراسة</w:t>
      </w:r>
      <w:r w:rsidR="00EE086D" w:rsidRPr="006571AC">
        <w:rPr>
          <w:rFonts w:ascii="Arabic Typesetting" w:hAnsi="Arabic Typesetting" w:hint="cs"/>
          <w:sz w:val="27"/>
          <w:rtl/>
        </w:rPr>
        <w:t>ٌ</w:t>
      </w:r>
      <w:r w:rsidRPr="006571AC">
        <w:rPr>
          <w:rFonts w:ascii="Arabic Typesetting" w:hAnsi="Arabic Typesetting"/>
          <w:sz w:val="27"/>
          <w:rtl/>
        </w:rPr>
        <w:t xml:space="preserve"> </w:t>
      </w:r>
      <w:r w:rsidRPr="006571AC">
        <w:rPr>
          <w:rFonts w:hint="eastAsia"/>
          <w:sz w:val="24"/>
          <w:szCs w:val="24"/>
          <w:rtl/>
        </w:rPr>
        <w:t>«</w:t>
      </w:r>
      <w:r w:rsidRPr="006571AC">
        <w:rPr>
          <w:rFonts w:ascii="Arabic Typesetting" w:hAnsi="Arabic Typesetting"/>
          <w:sz w:val="27"/>
          <w:rtl/>
        </w:rPr>
        <w:t>لها قريحتها، وشروطها الفكري</w:t>
      </w:r>
      <w:r w:rsidR="00EE086D" w:rsidRPr="006571AC">
        <w:rPr>
          <w:rFonts w:ascii="Arabic Typesetting" w:hAnsi="Arabic Typesetting" w:hint="cs"/>
          <w:sz w:val="27"/>
          <w:rtl/>
        </w:rPr>
        <w:t>ّ</w:t>
      </w:r>
      <w:r w:rsidRPr="006571AC">
        <w:rPr>
          <w:rFonts w:ascii="Arabic Typesetting" w:hAnsi="Arabic Typesetting"/>
          <w:sz w:val="27"/>
          <w:rtl/>
        </w:rPr>
        <w:t>ة الخاص</w:t>
      </w:r>
      <w:r w:rsidR="00EE086D" w:rsidRPr="006571AC">
        <w:rPr>
          <w:rFonts w:ascii="Arabic Typesetting" w:hAnsi="Arabic Typesetting" w:hint="cs"/>
          <w:sz w:val="27"/>
          <w:rtl/>
        </w:rPr>
        <w:t>ّ</w:t>
      </w:r>
      <w:r w:rsidRPr="006571AC">
        <w:rPr>
          <w:rFonts w:ascii="Arabic Typesetting" w:hAnsi="Arabic Typesetting"/>
          <w:sz w:val="27"/>
          <w:rtl/>
        </w:rPr>
        <w:t>ة، وراء الفهم اللغوي</w:t>
      </w:r>
      <w:r w:rsidR="00EE086D" w:rsidRPr="006571AC">
        <w:rPr>
          <w:rFonts w:ascii="Arabic Typesetting" w:hAnsi="Arabic Typesetting" w:hint="cs"/>
          <w:sz w:val="27"/>
          <w:rtl/>
        </w:rPr>
        <w:t>ّ</w:t>
      </w:r>
      <w:r w:rsidRPr="006571AC">
        <w:rPr>
          <w:rFonts w:ascii="Arabic Typesetting" w:hAnsi="Arabic Typesetting"/>
          <w:sz w:val="27"/>
          <w:rtl/>
        </w:rPr>
        <w:t xml:space="preserve"> الساذج</w:t>
      </w:r>
      <w:r w:rsidRPr="006571AC">
        <w:rPr>
          <w:rFonts w:hint="eastAsia"/>
          <w:sz w:val="24"/>
          <w:szCs w:val="24"/>
          <w:rtl/>
        </w:rPr>
        <w:t>»</w:t>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74"/>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28394C">
      <w:pPr>
        <w:spacing w:line="418" w:lineRule="exact"/>
        <w:rPr>
          <w:rFonts w:ascii="Arabic Typesetting" w:hAnsi="Arabic Typesetting"/>
          <w:sz w:val="27"/>
          <w:rtl/>
        </w:rPr>
      </w:pPr>
      <w:r w:rsidRPr="006571AC">
        <w:rPr>
          <w:rFonts w:ascii="Arabic Typesetting" w:hAnsi="Arabic Typesetting"/>
          <w:sz w:val="27"/>
          <w:rtl/>
        </w:rPr>
        <w:t>ويؤك</w:t>
      </w:r>
      <w:r w:rsidR="00EE086D" w:rsidRPr="006571AC">
        <w:rPr>
          <w:rFonts w:ascii="Arabic Typesetting" w:hAnsi="Arabic Typesetting" w:hint="cs"/>
          <w:sz w:val="27"/>
          <w:rtl/>
        </w:rPr>
        <w:t>ِّ</w:t>
      </w:r>
      <w:r w:rsidRPr="006571AC">
        <w:rPr>
          <w:rFonts w:ascii="Arabic Typesetting" w:hAnsi="Arabic Typesetting"/>
          <w:sz w:val="27"/>
          <w:rtl/>
        </w:rPr>
        <w:t>د الشهيد الصدر على عدم كفاية الاط</w:t>
      </w:r>
      <w:r w:rsidR="00EE086D" w:rsidRPr="006571AC">
        <w:rPr>
          <w:rFonts w:ascii="Arabic Typesetting" w:hAnsi="Arabic Typesetting" w:hint="cs"/>
          <w:sz w:val="27"/>
          <w:rtl/>
        </w:rPr>
        <w:t>ّ</w:t>
      </w:r>
      <w:r w:rsidRPr="006571AC">
        <w:rPr>
          <w:rFonts w:ascii="Arabic Typesetting" w:hAnsi="Arabic Typesetting"/>
          <w:sz w:val="27"/>
          <w:rtl/>
        </w:rPr>
        <w:t>لاع على اللغة لأجل فهم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 من خلال الإشارة إلى أن طبيعة الأشياء تدل</w:t>
      </w:r>
      <w:r w:rsidR="00EE086D" w:rsidRPr="006571AC">
        <w:rPr>
          <w:rFonts w:ascii="Arabic Typesetting" w:hAnsi="Arabic Typesetting" w:hint="cs"/>
          <w:sz w:val="27"/>
          <w:rtl/>
        </w:rPr>
        <w:t>ّ</w:t>
      </w:r>
      <w:r w:rsidRPr="006571AC">
        <w:rPr>
          <w:rFonts w:ascii="Arabic Typesetting" w:hAnsi="Arabic Typesetting"/>
          <w:sz w:val="27"/>
          <w:rtl/>
        </w:rPr>
        <w:t xml:space="preserve"> هذا الأمر، وتؤي</w:t>
      </w:r>
      <w:r w:rsidR="00EE086D" w:rsidRPr="006571AC">
        <w:rPr>
          <w:rFonts w:ascii="Arabic Typesetting" w:hAnsi="Arabic Typesetting" w:hint="cs"/>
          <w:sz w:val="27"/>
          <w:rtl/>
        </w:rPr>
        <w:t>ِّ</w:t>
      </w:r>
      <w:r w:rsidRPr="006571AC">
        <w:rPr>
          <w:rFonts w:ascii="Arabic Typesetting" w:hAnsi="Arabic Typesetting"/>
          <w:sz w:val="27"/>
          <w:rtl/>
        </w:rPr>
        <w:t>ده الوقائع التاريخية الكثيرة. فالكثير من الصحابة كانوا لا يستوعبون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w:t>
      </w:r>
      <w:r w:rsidR="00EE086D" w:rsidRPr="006571AC">
        <w:rPr>
          <w:rFonts w:ascii="Arabic Typesetting" w:hAnsi="Arabic Typesetting" w:hint="cs"/>
          <w:sz w:val="27"/>
          <w:rtl/>
        </w:rPr>
        <w:t>ّ،</w:t>
      </w:r>
      <w:r w:rsidRPr="006571AC">
        <w:rPr>
          <w:rFonts w:ascii="Arabic Typesetting" w:hAnsi="Arabic Typesetting"/>
          <w:sz w:val="27"/>
          <w:rtl/>
        </w:rPr>
        <w:t xml:space="preserve"> ولا يفهمون معناه</w:t>
      </w:r>
      <w:r w:rsidR="00EE086D" w:rsidRPr="006571AC">
        <w:rPr>
          <w:rFonts w:ascii="Arabic Typesetting" w:hAnsi="Arabic Typesetting" w:hint="cs"/>
          <w:sz w:val="27"/>
          <w:rtl/>
        </w:rPr>
        <w:t>؛</w:t>
      </w:r>
      <w:r w:rsidRPr="006571AC">
        <w:rPr>
          <w:rFonts w:ascii="Arabic Typesetting" w:hAnsi="Arabic Typesetting"/>
          <w:sz w:val="27"/>
          <w:rtl/>
        </w:rPr>
        <w:t xml:space="preserve"> إما لجهلهم بالمعنى اللغوي للمفردة القرآنية</w:t>
      </w:r>
      <w:r w:rsidR="00EE086D" w:rsidRPr="006571AC">
        <w:rPr>
          <w:rFonts w:ascii="Arabic Typesetting" w:hAnsi="Arabic Typesetting" w:hint="cs"/>
          <w:sz w:val="27"/>
          <w:rtl/>
        </w:rPr>
        <w:t>؛</w:t>
      </w:r>
      <w:r w:rsidRPr="006571AC">
        <w:rPr>
          <w:rFonts w:ascii="Arabic Typesetting" w:hAnsi="Arabic Typesetting"/>
          <w:sz w:val="27"/>
          <w:rtl/>
        </w:rPr>
        <w:t xml:space="preserve"> وإما لعدم وجود استعداد</w:t>
      </w:r>
      <w:r w:rsidR="00EE086D" w:rsidRPr="006571AC">
        <w:rPr>
          <w:rFonts w:ascii="Arabic Typesetting" w:hAnsi="Arabic Typesetting" w:hint="cs"/>
          <w:sz w:val="27"/>
          <w:rtl/>
        </w:rPr>
        <w:t>ٍ</w:t>
      </w:r>
      <w:r w:rsidRPr="006571AC">
        <w:rPr>
          <w:rFonts w:ascii="Arabic Typesetting" w:hAnsi="Arabic Typesetting"/>
          <w:sz w:val="27"/>
          <w:rtl/>
        </w:rPr>
        <w:t xml:space="preserve"> فكري</w:t>
      </w:r>
      <w:r w:rsidR="00EE086D" w:rsidRPr="006571AC">
        <w:rPr>
          <w:rFonts w:ascii="Arabic Typesetting" w:hAnsi="Arabic Typesetting" w:hint="cs"/>
          <w:sz w:val="27"/>
          <w:rtl/>
        </w:rPr>
        <w:t>ّ</w:t>
      </w:r>
      <w:r w:rsidRPr="006571AC">
        <w:rPr>
          <w:rFonts w:ascii="Arabic Typesetting" w:hAnsi="Arabic Typesetting"/>
          <w:sz w:val="27"/>
          <w:rtl/>
        </w:rPr>
        <w:t xml:space="preserve"> يتيح لهم فهم المدلول الكامل للآية</w:t>
      </w:r>
      <w:r w:rsidR="00EE086D" w:rsidRPr="006571AC">
        <w:rPr>
          <w:rFonts w:ascii="Arabic Typesetting" w:hAnsi="Arabic Typesetting" w:hint="cs"/>
          <w:sz w:val="27"/>
          <w:rtl/>
        </w:rPr>
        <w:t>؛</w:t>
      </w:r>
      <w:r w:rsidRPr="006571AC">
        <w:rPr>
          <w:rFonts w:ascii="Arabic Typesetting" w:hAnsi="Arabic Typesetting"/>
          <w:sz w:val="27"/>
          <w:rtl/>
        </w:rPr>
        <w:t xml:space="preserve"> أو لفصل الآية عن القرائن الحافّة بها</w:t>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75"/>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28394C" w:rsidRPr="006571AC" w:rsidRDefault="0028394C" w:rsidP="0028394C">
      <w:pPr>
        <w:spacing w:line="418" w:lineRule="exact"/>
        <w:rPr>
          <w:rFonts w:ascii="Arabic Typesetting" w:hAnsi="Arabic Typesetting"/>
          <w:sz w:val="27"/>
          <w:rtl/>
          <w:lang w:bidi="ar-LB"/>
        </w:rPr>
      </w:pPr>
    </w:p>
    <w:p w:rsidR="008D51F3" w:rsidRPr="006571AC" w:rsidRDefault="008D51F3" w:rsidP="00D246D3">
      <w:pPr>
        <w:pStyle w:val="31"/>
        <w:rPr>
          <w:color w:val="auto"/>
          <w:rtl/>
        </w:rPr>
      </w:pPr>
      <w:bookmarkStart w:id="356" w:name="_Toc114164776"/>
      <w:r w:rsidRPr="006571AC">
        <w:rPr>
          <w:color w:val="auto"/>
          <w:rtl/>
        </w:rPr>
        <w:t>إشارة</w:t>
      </w:r>
      <w:r w:rsidR="00EE086D" w:rsidRPr="006571AC">
        <w:rPr>
          <w:rFonts w:hint="cs"/>
          <w:color w:val="auto"/>
          <w:rtl/>
        </w:rPr>
        <w:t>ٌ</w:t>
      </w:r>
      <w:r w:rsidR="00115D3F" w:rsidRPr="006571AC">
        <w:rPr>
          <w:rFonts w:hint="cs"/>
          <w:color w:val="auto"/>
          <w:rtl/>
        </w:rPr>
        <w:t xml:space="preserve"> وتنبيه</w:t>
      </w:r>
      <w:bookmarkEnd w:id="356"/>
    </w:p>
    <w:p w:rsidR="008D51F3" w:rsidRPr="006571AC" w:rsidRDefault="008D51F3" w:rsidP="0028394C">
      <w:pPr>
        <w:spacing w:line="418" w:lineRule="exact"/>
        <w:rPr>
          <w:rFonts w:ascii="Arabic Typesetting" w:hAnsi="Arabic Typesetting"/>
          <w:b/>
          <w:bCs/>
          <w:sz w:val="27"/>
          <w:rtl/>
        </w:rPr>
      </w:pPr>
      <w:r w:rsidRPr="006571AC">
        <w:rPr>
          <w:rFonts w:ascii="Arabic Typesetting" w:hAnsi="Arabic Typesetting"/>
          <w:sz w:val="27"/>
          <w:rtl/>
        </w:rPr>
        <w:t>في إطار هذا النوع من القبلية ـ أي المستوى المعرفي للمفس</w:t>
      </w:r>
      <w:r w:rsidR="00EE086D" w:rsidRPr="006571AC">
        <w:rPr>
          <w:rFonts w:ascii="Arabic Typesetting" w:hAnsi="Arabic Typesetting" w:hint="cs"/>
          <w:sz w:val="27"/>
          <w:rtl/>
        </w:rPr>
        <w:t>ِّ</w:t>
      </w:r>
      <w:r w:rsidRPr="006571AC">
        <w:rPr>
          <w:rFonts w:ascii="Arabic Typesetting" w:hAnsi="Arabic Typesetting"/>
          <w:sz w:val="27"/>
          <w:rtl/>
        </w:rPr>
        <w:t>ر ـ يندرج الإلمام بالتجارب البشرية</w:t>
      </w:r>
      <w:r w:rsidR="00B2059A" w:rsidRPr="006571AC">
        <w:rPr>
          <w:rFonts w:ascii="Arabic Typesetting" w:hAnsi="Arabic Typesetting" w:hint="cs"/>
          <w:sz w:val="27"/>
          <w:rtl/>
        </w:rPr>
        <w:t>؛</w:t>
      </w:r>
      <w:r w:rsidRPr="006571AC">
        <w:rPr>
          <w:rFonts w:ascii="Arabic Typesetting" w:hAnsi="Arabic Typesetting"/>
          <w:sz w:val="27"/>
          <w:rtl/>
        </w:rPr>
        <w:t xml:space="preserve"> فهذا يجعل المفسّ</w:t>
      </w:r>
      <w:r w:rsidR="00B2059A" w:rsidRPr="006571AC">
        <w:rPr>
          <w:rFonts w:ascii="Arabic Typesetting" w:hAnsi="Arabic Typesetting" w:hint="cs"/>
          <w:sz w:val="27"/>
          <w:rtl/>
        </w:rPr>
        <w:t>ِ</w:t>
      </w:r>
      <w:r w:rsidRPr="006571AC">
        <w:rPr>
          <w:rFonts w:ascii="Arabic Typesetting" w:hAnsi="Arabic Typesetting"/>
          <w:sz w:val="27"/>
          <w:rtl/>
        </w:rPr>
        <w:t>ر يفهم القرآن بشكل</w:t>
      </w:r>
      <w:r w:rsidR="00B2059A" w:rsidRPr="006571AC">
        <w:rPr>
          <w:rFonts w:ascii="Arabic Typesetting" w:hAnsi="Arabic Typesetting" w:hint="cs"/>
          <w:sz w:val="27"/>
          <w:rtl/>
        </w:rPr>
        <w:t>ٍ</w:t>
      </w:r>
      <w:r w:rsidRPr="006571AC">
        <w:rPr>
          <w:rFonts w:ascii="Arabic Typesetting" w:hAnsi="Arabic Typesetting"/>
          <w:sz w:val="27"/>
          <w:rtl/>
        </w:rPr>
        <w:t xml:space="preserve"> أفضل. وهذا قد أشار إليه الشهيد الصدر أيضا</w:t>
      </w:r>
      <w:r w:rsidR="00B2059A" w:rsidRPr="006571AC">
        <w:rPr>
          <w:rFonts w:ascii="Arabic Typesetting" w:hAnsi="Arabic Typesetting" w:hint="cs"/>
          <w:sz w:val="27"/>
          <w:rtl/>
        </w:rPr>
        <w:t>ً</w:t>
      </w:r>
      <w:r w:rsidRPr="006571AC">
        <w:rPr>
          <w:rFonts w:ascii="Arabic Typesetting" w:hAnsi="Arabic Typesetting"/>
          <w:sz w:val="27"/>
          <w:rtl/>
        </w:rPr>
        <w:t xml:space="preserve">؛ فهو </w:t>
      </w:r>
      <w:r w:rsidRPr="006571AC">
        <w:rPr>
          <w:rFonts w:ascii="Arabic Typesetting" w:hAnsi="Arabic Typesetting"/>
          <w:sz w:val="27"/>
          <w:rtl/>
          <w:lang w:bidi="ar-LB"/>
        </w:rPr>
        <w:t>التفسير الموضوعي، حيث يجلس جلسة الم</w:t>
      </w:r>
      <w:r w:rsidR="00B2059A" w:rsidRPr="006571AC">
        <w:rPr>
          <w:rFonts w:ascii="Arabic Typesetting" w:hAnsi="Arabic Typesetting" w:hint="cs"/>
          <w:sz w:val="27"/>
          <w:rtl/>
          <w:lang w:bidi="ar-LB"/>
        </w:rPr>
        <w:t>ُ</w:t>
      </w:r>
      <w:r w:rsidRPr="006571AC">
        <w:rPr>
          <w:rFonts w:ascii="Arabic Typesetting" w:hAnsi="Arabic Typesetting"/>
          <w:sz w:val="27"/>
          <w:rtl/>
          <w:lang w:bidi="ar-LB"/>
        </w:rPr>
        <w:t>حاوِر للقرآن، وذهن</w:t>
      </w:r>
      <w:r w:rsidR="00B2059A" w:rsidRPr="006571AC">
        <w:rPr>
          <w:rFonts w:ascii="Arabic Typesetting" w:hAnsi="Arabic Typesetting" w:hint="cs"/>
          <w:sz w:val="27"/>
          <w:rtl/>
          <w:lang w:bidi="ar-LB"/>
        </w:rPr>
        <w:t>ُ</w:t>
      </w:r>
      <w:r w:rsidRPr="006571AC">
        <w:rPr>
          <w:rFonts w:ascii="Arabic Typesetting" w:hAnsi="Arabic Typesetting"/>
          <w:sz w:val="27"/>
          <w:rtl/>
          <w:lang w:bidi="ar-LB"/>
        </w:rPr>
        <w:t>ه مليء</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بالتجارب البشرية</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76"/>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8D51F3" w:rsidRPr="006571AC" w:rsidRDefault="00115D3F" w:rsidP="00D246D3">
      <w:pPr>
        <w:pStyle w:val="31"/>
        <w:rPr>
          <w:color w:val="auto"/>
          <w:rtl/>
        </w:rPr>
      </w:pPr>
      <w:bookmarkStart w:id="357" w:name="_Toc114164777"/>
      <w:r w:rsidRPr="006571AC">
        <w:rPr>
          <w:rFonts w:hint="cs"/>
          <w:color w:val="auto"/>
          <w:rtl/>
        </w:rPr>
        <w:lastRenderedPageBreak/>
        <w:t>هـ ـ</w:t>
      </w:r>
      <w:r w:rsidR="008D51F3" w:rsidRPr="006571AC">
        <w:rPr>
          <w:color w:val="auto"/>
          <w:rtl/>
        </w:rPr>
        <w:t xml:space="preserve"> القبليات المضرّة في فهم النص</w:t>
      </w:r>
      <w:r w:rsidR="00B2059A" w:rsidRPr="006571AC">
        <w:rPr>
          <w:rFonts w:hint="cs"/>
          <w:color w:val="auto"/>
          <w:rtl/>
        </w:rPr>
        <w:t>ّ</w:t>
      </w:r>
      <w:bookmarkEnd w:id="357"/>
    </w:p>
    <w:p w:rsidR="008D51F3" w:rsidRPr="006571AC" w:rsidRDefault="008D51F3" w:rsidP="009E1912">
      <w:pPr>
        <w:rPr>
          <w:rFonts w:ascii="Arabic Typesetting" w:hAnsi="Arabic Typesetting"/>
          <w:sz w:val="27"/>
          <w:rtl/>
          <w:lang w:bidi="ar-LB"/>
        </w:rPr>
      </w:pPr>
      <w:r w:rsidRPr="006571AC">
        <w:rPr>
          <w:rFonts w:ascii="Arabic Typesetting" w:hAnsi="Arabic Typesetting"/>
          <w:sz w:val="27"/>
          <w:rtl/>
          <w:lang w:bidi="ar-LB"/>
        </w:rPr>
        <w:t>تقد</w:t>
      </w:r>
      <w:r w:rsidR="00B2059A" w:rsidRPr="006571AC">
        <w:rPr>
          <w:rFonts w:ascii="Arabic Typesetting" w:hAnsi="Arabic Typesetting" w:hint="cs"/>
          <w:sz w:val="27"/>
          <w:rtl/>
          <w:lang w:bidi="ar-LB"/>
        </w:rPr>
        <w:t>َّ</w:t>
      </w:r>
      <w:r w:rsidRPr="006571AC">
        <w:rPr>
          <w:rFonts w:ascii="Arabic Typesetting" w:hAnsi="Arabic Typesetting"/>
          <w:sz w:val="27"/>
          <w:rtl/>
          <w:lang w:bidi="ar-LB"/>
        </w:rPr>
        <w:t>م الحديث عن القبليات الضرورية في ع</w:t>
      </w:r>
      <w:r w:rsidR="009E1912" w:rsidRPr="006571AC">
        <w:rPr>
          <w:rFonts w:ascii="Arabic Typesetting" w:hAnsi="Arabic Typesetting"/>
          <w:sz w:val="27"/>
          <w:rtl/>
          <w:lang w:bidi="ar-LB"/>
        </w:rPr>
        <w:t>م</w:t>
      </w:r>
      <w:r w:rsidRPr="006571AC">
        <w:rPr>
          <w:rFonts w:ascii="Arabic Typesetting" w:hAnsi="Arabic Typesetting"/>
          <w:sz w:val="27"/>
          <w:rtl/>
          <w:lang w:bidi="ar-LB"/>
        </w:rPr>
        <w:t>لي</w:t>
      </w:r>
      <w:r w:rsidR="009E1912" w:rsidRPr="006571AC">
        <w:rPr>
          <w:rFonts w:ascii="Arabic Typesetting" w:hAnsi="Arabic Typesetting" w:hint="cs"/>
          <w:sz w:val="27"/>
          <w:rtl/>
          <w:lang w:bidi="ar-LB"/>
        </w:rPr>
        <w:t>ّ</w:t>
      </w:r>
      <w:r w:rsidRPr="006571AC">
        <w:rPr>
          <w:rFonts w:ascii="Arabic Typesetting" w:hAnsi="Arabic Typesetting"/>
          <w:sz w:val="27"/>
          <w:rtl/>
          <w:lang w:bidi="ar-LB"/>
        </w:rPr>
        <w:t>ة فهم النص</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لكن</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يوجد بعض القبليات المضر</w:t>
      </w:r>
      <w:r w:rsidR="00B2059A" w:rsidRPr="006571AC">
        <w:rPr>
          <w:rFonts w:ascii="Arabic Typesetting" w:hAnsi="Arabic Typesetting" w:hint="cs"/>
          <w:sz w:val="27"/>
          <w:rtl/>
          <w:lang w:bidi="ar-LB"/>
        </w:rPr>
        <w:t>ّ</w:t>
      </w:r>
      <w:r w:rsidRPr="006571AC">
        <w:rPr>
          <w:rFonts w:ascii="Arabic Typesetting" w:hAnsi="Arabic Typesetting"/>
          <w:sz w:val="27"/>
          <w:rtl/>
          <w:lang w:bidi="ar-LB"/>
        </w:rPr>
        <w:t>ة في فهم النص</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وهي تلك الطائفة من المعارف والميول التي تؤث</w:t>
      </w:r>
      <w:r w:rsidR="00B2059A" w:rsidRPr="006571AC">
        <w:rPr>
          <w:rFonts w:ascii="Arabic Typesetting" w:hAnsi="Arabic Typesetting" w:hint="cs"/>
          <w:sz w:val="27"/>
          <w:rtl/>
          <w:lang w:bidi="ar-LB"/>
        </w:rPr>
        <w:t>ِّ</w:t>
      </w:r>
      <w:r w:rsidRPr="006571AC">
        <w:rPr>
          <w:rFonts w:ascii="Arabic Typesetting" w:hAnsi="Arabic Typesetting"/>
          <w:sz w:val="27"/>
          <w:rtl/>
          <w:lang w:bidi="ar-LB"/>
        </w:rPr>
        <w:t>ر بنحو</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سلبي في فهم النص</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w:t>
      </w:r>
      <w:r w:rsidR="00B2059A" w:rsidRPr="006571AC">
        <w:rPr>
          <w:rFonts w:ascii="Arabic Typesetting" w:hAnsi="Arabic Typesetting"/>
          <w:sz w:val="27"/>
          <w:rtl/>
          <w:lang w:bidi="ar-LB"/>
        </w:rPr>
        <w:t>فيعمد المفس</w:t>
      </w:r>
      <w:r w:rsidR="00B2059A" w:rsidRPr="006571AC">
        <w:rPr>
          <w:rFonts w:ascii="Arabic Typesetting" w:hAnsi="Arabic Typesetting" w:hint="cs"/>
          <w:sz w:val="27"/>
          <w:rtl/>
          <w:lang w:bidi="ar-LB"/>
        </w:rPr>
        <w:t>ِّ</w:t>
      </w:r>
      <w:r w:rsidRPr="006571AC">
        <w:rPr>
          <w:rFonts w:ascii="Arabic Typesetting" w:hAnsi="Arabic Typesetting"/>
          <w:sz w:val="27"/>
          <w:rtl/>
          <w:lang w:bidi="ar-LB"/>
        </w:rPr>
        <w:t>ر أو القارئ إلى إعمال هذا النوع من القبليات وإسقاطها على النص</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دون الاعتماد على قرينة</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أو دليل</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يبرّ</w:t>
      </w:r>
      <w:r w:rsidR="00B2059A" w:rsidRPr="006571AC">
        <w:rPr>
          <w:rFonts w:ascii="Arabic Typesetting" w:hAnsi="Arabic Typesetting" w:hint="cs"/>
          <w:sz w:val="27"/>
          <w:rtl/>
          <w:lang w:bidi="ar-LB"/>
        </w:rPr>
        <w:t>ِ</w:t>
      </w:r>
      <w:r w:rsidRPr="006571AC">
        <w:rPr>
          <w:rFonts w:ascii="Arabic Typesetting" w:hAnsi="Arabic Typesetting"/>
          <w:sz w:val="27"/>
          <w:rtl/>
          <w:lang w:bidi="ar-LB"/>
        </w:rPr>
        <w:t>ر له هذه العملية الف</w:t>
      </w:r>
      <w:r w:rsidR="00B2059A" w:rsidRPr="006571AC">
        <w:rPr>
          <w:rFonts w:ascii="Arabic Typesetting" w:hAnsi="Arabic Typesetting" w:hint="cs"/>
          <w:sz w:val="27"/>
          <w:rtl/>
          <w:lang w:bidi="ar-LB"/>
        </w:rPr>
        <w:t>َ</w:t>
      </w:r>
      <w:r w:rsidRPr="006571AC">
        <w:rPr>
          <w:rFonts w:ascii="Arabic Typesetting" w:hAnsi="Arabic Typesetting"/>
          <w:sz w:val="27"/>
          <w:rtl/>
          <w:lang w:bidi="ar-LB"/>
        </w:rPr>
        <w:t>ه</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مية.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والمطالع</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لكلمات الشهيد الصدر وكتبه يجده قد حذّ</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من عدد</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هذه القبليات المضر</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أهم</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ها: </w:t>
      </w:r>
    </w:p>
    <w:p w:rsidR="008D51F3" w:rsidRPr="006571AC" w:rsidRDefault="008D51F3" w:rsidP="005B0CA4">
      <w:pPr>
        <w:pStyle w:val="af"/>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1ـ </w:t>
      </w:r>
      <w:r w:rsidRPr="006571AC">
        <w:rPr>
          <w:rFonts w:ascii="Arabic Typesetting" w:hAnsi="Arabic Typesetting" w:cs="AL-Mohanad"/>
          <w:sz w:val="27"/>
          <w:szCs w:val="27"/>
          <w:rtl/>
          <w:lang w:bidi="ar-LB"/>
        </w:rPr>
        <w:t>إسقاط الأفكار الم</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سب</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قة على النص</w:t>
      </w:r>
      <w:r w:rsidR="00B2059A" w:rsidRPr="006571AC">
        <w:rPr>
          <w:rFonts w:ascii="Arabic Typesetting" w:hAnsi="Arabic Typesetting" w:cs="AL-Mohanad" w:hint="cs"/>
          <w:sz w:val="27"/>
          <w:szCs w:val="27"/>
          <w:rtl/>
          <w:lang w:bidi="ar-LB"/>
        </w:rPr>
        <w:t>ّ.</w:t>
      </w:r>
    </w:p>
    <w:p w:rsidR="008D51F3" w:rsidRPr="006571AC" w:rsidRDefault="008D51F3" w:rsidP="005B0CA4">
      <w:pPr>
        <w:pStyle w:val="af"/>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2ـ </w:t>
      </w:r>
      <w:r w:rsidRPr="006571AC">
        <w:rPr>
          <w:rFonts w:ascii="Arabic Typesetting" w:hAnsi="Arabic Typesetting" w:cs="AL-Mohanad"/>
          <w:sz w:val="27"/>
          <w:szCs w:val="27"/>
          <w:rtl/>
          <w:lang w:bidi="ar-LB"/>
        </w:rPr>
        <w:t>اتخاذ موقف</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سبَق من النص</w:t>
      </w:r>
      <w:r w:rsidR="00B2059A" w:rsidRPr="006571AC">
        <w:rPr>
          <w:rFonts w:ascii="Arabic Typesetting" w:hAnsi="Arabic Typesetting" w:cs="AL-Mohanad" w:hint="cs"/>
          <w:sz w:val="27"/>
          <w:szCs w:val="27"/>
          <w:rtl/>
          <w:lang w:bidi="ar-LB"/>
        </w:rPr>
        <w:t>ّ.</w:t>
      </w:r>
    </w:p>
    <w:p w:rsidR="008D51F3" w:rsidRPr="006571AC" w:rsidRDefault="008D51F3" w:rsidP="005B0CA4">
      <w:pPr>
        <w:pStyle w:val="af"/>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3ـ </w:t>
      </w:r>
      <w:r w:rsidRPr="006571AC">
        <w:rPr>
          <w:rFonts w:ascii="Arabic Typesetting" w:hAnsi="Arabic Typesetting" w:cs="AL-Mohanad"/>
          <w:sz w:val="27"/>
          <w:szCs w:val="27"/>
          <w:rtl/>
          <w:lang w:bidi="ar-LB"/>
        </w:rPr>
        <w:t>الأ</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 بمطلب</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علمي</w:t>
      </w:r>
      <w:r w:rsidR="00B2059A" w:rsidRPr="006571AC">
        <w:rPr>
          <w:rFonts w:ascii="Arabic Typesetting" w:hAnsi="Arabic Typesetting" w:cs="AL-Mohanad" w:hint="cs"/>
          <w:sz w:val="27"/>
          <w:szCs w:val="27"/>
          <w:rtl/>
          <w:lang w:bidi="ar-LB"/>
        </w:rPr>
        <w:t>ّ.</w:t>
      </w:r>
    </w:p>
    <w:p w:rsidR="008D51F3" w:rsidRPr="006571AC" w:rsidRDefault="008D51F3" w:rsidP="0028394C">
      <w:pPr>
        <w:pStyle w:val="af"/>
        <w:spacing w:line="440" w:lineRule="exact"/>
        <w:rPr>
          <w:rFonts w:ascii="Arabic Typesetting" w:hAnsi="Arabic Typesetting" w:cs="AL-Mohanad"/>
          <w:sz w:val="27"/>
          <w:szCs w:val="27"/>
          <w:rtl/>
          <w:lang w:bidi="ar-LB"/>
        </w:rPr>
      </w:pPr>
    </w:p>
    <w:p w:rsidR="008D51F3" w:rsidRPr="006571AC" w:rsidRDefault="00115D3F" w:rsidP="00D246D3">
      <w:pPr>
        <w:pStyle w:val="31"/>
        <w:rPr>
          <w:color w:val="auto"/>
          <w:rtl/>
          <w:lang w:bidi="ar-LB"/>
        </w:rPr>
      </w:pPr>
      <w:bookmarkStart w:id="358" w:name="_Toc36050656"/>
      <w:bookmarkStart w:id="359" w:name="_Toc114164778"/>
      <w:r w:rsidRPr="006571AC">
        <w:rPr>
          <w:rFonts w:hint="cs"/>
          <w:color w:val="auto"/>
          <w:rtl/>
          <w:lang w:bidi="ar-LB"/>
        </w:rPr>
        <w:t>1ـ</w:t>
      </w:r>
      <w:r w:rsidR="008D51F3" w:rsidRPr="006571AC">
        <w:rPr>
          <w:color w:val="auto"/>
          <w:rtl/>
          <w:lang w:bidi="ar-LB"/>
        </w:rPr>
        <w:t xml:space="preserve"> إسقاط الأفكار الم</w:t>
      </w:r>
      <w:r w:rsidR="00B2059A" w:rsidRPr="006571AC">
        <w:rPr>
          <w:rFonts w:hint="cs"/>
          <w:color w:val="auto"/>
          <w:rtl/>
          <w:lang w:bidi="ar-LB"/>
        </w:rPr>
        <w:t>ُ</w:t>
      </w:r>
      <w:r w:rsidR="008D51F3" w:rsidRPr="006571AC">
        <w:rPr>
          <w:color w:val="auto"/>
          <w:rtl/>
          <w:lang w:bidi="ar-LB"/>
        </w:rPr>
        <w:t>سبَقة على النص</w:t>
      </w:r>
      <w:bookmarkEnd w:id="358"/>
      <w:r w:rsidR="00B2059A" w:rsidRPr="006571AC">
        <w:rPr>
          <w:rFonts w:hint="cs"/>
          <w:color w:val="auto"/>
          <w:rtl/>
          <w:lang w:bidi="ar-LB"/>
        </w:rPr>
        <w:t>ّ</w:t>
      </w:r>
      <w:bookmarkEnd w:id="359"/>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القبلية المضرّة الأولى التي أشار إليها الشهيد الصدر هي: إسقاط الأفكار الم</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سبَقة على النص</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المراد فهمه أو تفسيره. ويمكن التعبير عن هذه القبلية ب</w:t>
      </w:r>
      <w:r w:rsidR="00B2059A" w:rsidRPr="006571AC">
        <w:rPr>
          <w:rFonts w:ascii="Arabic Typesetting" w:hAnsi="Arabic Typesetting" w:cs="AL-Mohanad" w:hint="cs"/>
          <w:sz w:val="27"/>
          <w:szCs w:val="27"/>
          <w:rtl/>
          <w:lang w:bidi="ar-LB"/>
        </w:rPr>
        <w:t>ـ (</w:t>
      </w:r>
      <w:r w:rsidRPr="006571AC">
        <w:rPr>
          <w:rFonts w:ascii="Arabic Typesetting" w:hAnsi="Arabic Typesetting" w:cs="AL-Mohanad"/>
          <w:sz w:val="27"/>
          <w:szCs w:val="27"/>
          <w:rtl/>
          <w:lang w:bidi="ar-LB"/>
        </w:rPr>
        <w:t>التفسير بالرأي</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أيضا</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77"/>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b/>
          <w:bCs/>
          <w:sz w:val="27"/>
          <w:szCs w:val="27"/>
          <w:rtl/>
          <w:lang w:bidi="ar-LB"/>
        </w:rPr>
        <w:t xml:space="preserve">. </w:t>
      </w:r>
      <w:r w:rsidRPr="006571AC">
        <w:rPr>
          <w:rFonts w:ascii="Arabic Typesetting" w:hAnsi="Arabic Typesetting" w:cs="AL-Mohanad"/>
          <w:sz w:val="27"/>
          <w:szCs w:val="27"/>
          <w:rtl/>
          <w:lang w:bidi="ar-LB"/>
        </w:rPr>
        <w:t>وقد أبدى الشهيد الصدر موقفه السلبي</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تجاه هذا النوع من التفسير، حيث عدّ</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 من أشنع الأعمال، وأشار إلى أنه مساوق</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لتحريف الحقائق</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78"/>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ولتت</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ضح هذه القبلية أكثر نشير إلى عدد</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الأمثلة التي تعرّ</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 لها الشهيد الصدر، حيث يظهر منها خطورة إعمال هذا النوع من القبليات</w:t>
      </w:r>
      <w:r w:rsidR="00B2059A" w:rsidRPr="006571AC">
        <w:rPr>
          <w:rFonts w:ascii="Arabic Typesetting" w:hAnsi="Arabic Typesetting" w:cs="AL-Mohanad" w:hint="cs"/>
          <w:sz w:val="27"/>
          <w:szCs w:val="27"/>
          <w:rtl/>
          <w:lang w:bidi="ar-LB"/>
        </w:rPr>
        <w:t>:</w:t>
      </w:r>
    </w:p>
    <w:p w:rsidR="008D51F3" w:rsidRPr="006571AC" w:rsidRDefault="008D51F3" w:rsidP="0028394C">
      <w:pPr>
        <w:pStyle w:val="af"/>
        <w:spacing w:line="440" w:lineRule="exact"/>
        <w:rPr>
          <w:rFonts w:ascii="Arabic Typesetting" w:hAnsi="Arabic Typesetting" w:cs="AL-Mohanad"/>
          <w:sz w:val="27"/>
          <w:szCs w:val="27"/>
          <w:rtl/>
          <w:lang w:bidi="ar-LB"/>
        </w:rPr>
      </w:pPr>
    </w:p>
    <w:p w:rsidR="008D51F3" w:rsidRPr="006571AC" w:rsidRDefault="00115D3F" w:rsidP="00D246D3">
      <w:pPr>
        <w:pStyle w:val="31"/>
        <w:rPr>
          <w:color w:val="auto"/>
          <w:rtl/>
          <w:lang w:bidi="ar-LB"/>
        </w:rPr>
      </w:pPr>
      <w:bookmarkStart w:id="360" w:name="_Toc36050657"/>
      <w:bookmarkStart w:id="361" w:name="_Toc114164779"/>
      <w:r w:rsidRPr="006571AC">
        <w:rPr>
          <w:rFonts w:hint="cs"/>
          <w:color w:val="auto"/>
          <w:rtl/>
          <w:lang w:bidi="ar-LB"/>
        </w:rPr>
        <w:t>أـ</w:t>
      </w:r>
      <w:r w:rsidR="008D51F3" w:rsidRPr="006571AC">
        <w:rPr>
          <w:color w:val="auto"/>
          <w:rtl/>
          <w:lang w:bidi="ar-LB"/>
        </w:rPr>
        <w:t xml:space="preserve"> مقاييس المستشرقين</w:t>
      </w:r>
      <w:bookmarkEnd w:id="360"/>
      <w:bookmarkEnd w:id="361"/>
      <w:r w:rsidR="008D51F3" w:rsidRPr="006571AC">
        <w:rPr>
          <w:color w:val="auto"/>
          <w:rtl/>
          <w:lang w:bidi="ar-LB"/>
        </w:rPr>
        <w:t xml:space="preserve"> </w:t>
      </w:r>
    </w:p>
    <w:p w:rsidR="008D51F3" w:rsidRPr="006571AC" w:rsidRDefault="008D51F3" w:rsidP="005B0CA4">
      <w:pPr>
        <w:pStyle w:val="af"/>
        <w:rPr>
          <w:rFonts w:ascii="Arabic Typesetting" w:hAnsi="Arabic Typesetting" w:cs="AL-Mohanad"/>
          <w:b/>
          <w:bCs/>
          <w:sz w:val="27"/>
          <w:szCs w:val="27"/>
          <w:rtl/>
          <w:lang w:bidi="ar-LB"/>
        </w:rPr>
      </w:pPr>
      <w:r w:rsidRPr="006571AC">
        <w:rPr>
          <w:rFonts w:ascii="Arabic Typesetting" w:hAnsi="Arabic Typesetting" w:cs="AL-Mohanad"/>
          <w:sz w:val="27"/>
          <w:szCs w:val="27"/>
          <w:rtl/>
          <w:lang w:bidi="ar-LB"/>
        </w:rPr>
        <w:t>في مقام بيان الشروط التي يجب توفّ</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رها في المفسِّر أشار الشهيد الصدر إلى نوع</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القبلي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ات الم</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رّة في عملية التفسير والفهم، بحيث تؤد</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 إلى فهم</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منحرف وخاطئ عن النص</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ومثّ</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 بالمستشرقين الذي يعتمدون مقاييس محد</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دة لدراسة أي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كتاب</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أو نتاج بشري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ثم يحكّ</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مون هذه المقاييس على القرآن الكريم، مم</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 يؤد</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 إلى وقوعهم في الاستنتاجات الخاطئة. وسبب هذه الأخطاء هو إسقاطهم تلك المقاييس على النص</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دون دليل</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أو مبر</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معرفي</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79"/>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115D3F" w:rsidP="00D246D3">
      <w:pPr>
        <w:pStyle w:val="31"/>
        <w:rPr>
          <w:color w:val="auto"/>
          <w:rtl/>
          <w:lang w:bidi="ar-LB"/>
        </w:rPr>
      </w:pPr>
      <w:bookmarkStart w:id="362" w:name="_Toc36050658"/>
      <w:bookmarkStart w:id="363" w:name="_Toc114164780"/>
      <w:r w:rsidRPr="006571AC">
        <w:rPr>
          <w:rFonts w:hint="cs"/>
          <w:color w:val="auto"/>
          <w:rtl/>
          <w:lang w:bidi="ar-LB"/>
        </w:rPr>
        <w:lastRenderedPageBreak/>
        <w:t>ب ـ</w:t>
      </w:r>
      <w:r w:rsidR="008D51F3" w:rsidRPr="006571AC">
        <w:rPr>
          <w:color w:val="auto"/>
          <w:rtl/>
          <w:lang w:bidi="ar-LB"/>
        </w:rPr>
        <w:t xml:space="preserve"> القبليات الذهنية عند بعض المسلمين في عهد النبي</w:t>
      </w:r>
      <w:bookmarkEnd w:id="362"/>
      <w:r w:rsidR="009B1B56" w:rsidRPr="006571AC">
        <w:rPr>
          <w:rFonts w:hint="cs"/>
          <w:color w:val="auto"/>
          <w:rtl/>
          <w:lang w:bidi="ar-LB"/>
        </w:rPr>
        <w:t>ّ</w:t>
      </w:r>
      <w:r w:rsidR="002A2C90" w:rsidRPr="006571AC">
        <w:rPr>
          <w:rFonts w:ascii="Mosawi" w:hAnsi="Mosawi" w:cs="Mosawi"/>
          <w:color w:val="auto"/>
          <w:sz w:val="22"/>
          <w:szCs w:val="22"/>
          <w:rtl/>
        </w:rPr>
        <w:t>|</w:t>
      </w:r>
      <w:bookmarkEnd w:id="363"/>
    </w:p>
    <w:p w:rsidR="008D51F3" w:rsidRPr="006571AC" w:rsidRDefault="008D51F3" w:rsidP="00986754">
      <w:pPr>
        <w:pStyle w:val="af"/>
        <w:spacing w:line="420" w:lineRule="exact"/>
        <w:rPr>
          <w:rFonts w:ascii="Arabic Typesetting" w:hAnsi="Arabic Typesetting" w:cs="AL-Mohanad"/>
          <w:b/>
          <w:bCs/>
          <w:sz w:val="27"/>
          <w:szCs w:val="27"/>
          <w:rtl/>
          <w:lang w:bidi="ar-LB"/>
        </w:rPr>
      </w:pPr>
      <w:r w:rsidRPr="006571AC">
        <w:rPr>
          <w:rFonts w:ascii="Arabic Typesetting" w:hAnsi="Arabic Typesetting" w:cs="AL-Mohanad"/>
          <w:sz w:val="27"/>
          <w:szCs w:val="27"/>
          <w:rtl/>
          <w:lang w:bidi="ar-LB"/>
        </w:rPr>
        <w:t>وهو ما ذكره الشهيد الصدر عند حديثه عن التفسير في عصر الرسول</w:t>
      </w:r>
      <w:r w:rsidR="009B1B56" w:rsidRPr="006571AC">
        <w:rPr>
          <w:rFonts w:ascii="Mosawi" w:hAnsi="Mosawi" w:cs="Mosawi"/>
          <w:sz w:val="22"/>
          <w:szCs w:val="22"/>
          <w:rtl/>
        </w:rPr>
        <w:t>|</w:t>
      </w:r>
      <w:r w:rsidRPr="006571AC">
        <w:rPr>
          <w:rFonts w:ascii="Arabic Typesetting" w:hAnsi="Arabic Typesetting" w:cs="AL-Mohanad"/>
          <w:sz w:val="27"/>
          <w:szCs w:val="27"/>
          <w:rtl/>
          <w:lang w:bidi="ar-LB"/>
        </w:rPr>
        <w:t>. فبعد أن بيّ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 أن الفهم الإجمالي للقرآن لم يكن كافيا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لكي يفهم الصحابة القرآن فهما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دقيقا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وشاملا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كما لم يكن انتساب الصحابة غالبا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إلى اللغة العربية ضمانا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كافيا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لاستيعاب النص</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وإدراك معانيه، وضّ</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ح المكانة العظمى للقرآن الكريم في حياة المسلمين</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فلم يكن مجر</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 كتاب</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أدبي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أو كتاب</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مرتبط بالطقوس الديني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يُر</w:t>
      </w:r>
      <w:r w:rsidR="009B1B56" w:rsidRPr="006571AC">
        <w:rPr>
          <w:rFonts w:ascii="Arabic Typesetting" w:hAnsi="Arabic Typesetting" w:cs="AL-Mohanad"/>
          <w:sz w:val="27"/>
          <w:szCs w:val="27"/>
          <w:rtl/>
          <w:lang w:bidi="ar-LB"/>
        </w:rPr>
        <w:t>ت</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 فيها فح</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 بل كان كتاب</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هداية</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وإخراج</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الظلمات إلى النور، وكتاب</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تزكية</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وتثقيف</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ويهدف للارتفاع بكل</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مستوياتهم، وبناء الشخصية الإسلامية. وإذا كان كذلك فإذا تُرك القرآن بدون تفسير</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موجّ</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توجيها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رساليا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فسوف يُف</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هَم من ق</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بَل المسلمين على ضوء إطاراتهم الفكري</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والذهني</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وبح</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 المستويات الفكري</w:t>
      </w:r>
      <w:r w:rsidR="009E1912"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لكل</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منهم، فيضيع الفهم الكامل للقرآن. </w:t>
      </w:r>
      <w:r w:rsidR="00731867" w:rsidRPr="006571AC">
        <w:rPr>
          <w:rFonts w:ascii="Arabic Typesetting" w:hAnsi="Arabic Typesetting" w:cs="AL-Mohanad"/>
          <w:sz w:val="27"/>
          <w:szCs w:val="27"/>
          <w:rtl/>
          <w:lang w:bidi="ar-LB"/>
        </w:rPr>
        <w:t>إذن</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يظهر بوضوح</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الشهيد الصدر ض</w:t>
      </w:r>
      <w:r w:rsidR="009E1912"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w:t>
      </w:r>
      <w:r w:rsidR="009E1912"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هكذا نوع</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الإطارات الذهني</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والقبليات الفكري</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في فهم النص</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80"/>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986754">
      <w:pPr>
        <w:pStyle w:val="af"/>
        <w:spacing w:line="430" w:lineRule="exact"/>
        <w:rPr>
          <w:rFonts w:ascii="Arabic Typesetting" w:hAnsi="Arabic Typesetting" w:cs="AL-Mohanad"/>
          <w:b/>
          <w:bCs/>
          <w:sz w:val="27"/>
          <w:szCs w:val="27"/>
          <w:rtl/>
          <w:lang w:bidi="ar-LB"/>
        </w:rPr>
      </w:pPr>
    </w:p>
    <w:p w:rsidR="008D51F3" w:rsidRPr="006571AC" w:rsidRDefault="00115D3F" w:rsidP="00D246D3">
      <w:pPr>
        <w:pStyle w:val="31"/>
        <w:rPr>
          <w:color w:val="auto"/>
          <w:rtl/>
          <w:lang w:bidi="ar-LB"/>
        </w:rPr>
      </w:pPr>
      <w:bookmarkStart w:id="364" w:name="_Toc36050659"/>
      <w:bookmarkStart w:id="365" w:name="_Toc114164781"/>
      <w:r w:rsidRPr="006571AC">
        <w:rPr>
          <w:rFonts w:hint="cs"/>
          <w:color w:val="auto"/>
          <w:rtl/>
          <w:lang w:bidi="ar-LB"/>
        </w:rPr>
        <w:t>ج ـ</w:t>
      </w:r>
      <w:r w:rsidR="008D51F3" w:rsidRPr="006571AC">
        <w:rPr>
          <w:color w:val="auto"/>
          <w:rtl/>
          <w:lang w:bidi="ar-LB"/>
        </w:rPr>
        <w:t xml:space="preserve"> إسقاط المصطلح الأصولي على النص</w:t>
      </w:r>
      <w:r w:rsidR="0073258F" w:rsidRPr="006571AC">
        <w:rPr>
          <w:rFonts w:hint="cs"/>
          <w:color w:val="auto"/>
          <w:rtl/>
          <w:lang w:bidi="ar-LB"/>
        </w:rPr>
        <w:t>ّ</w:t>
      </w:r>
      <w:r w:rsidR="008D51F3" w:rsidRPr="006571AC">
        <w:rPr>
          <w:color w:val="auto"/>
          <w:rtl/>
          <w:lang w:bidi="ar-LB"/>
        </w:rPr>
        <w:t xml:space="preserve"> الروائي</w:t>
      </w:r>
      <w:bookmarkEnd w:id="364"/>
      <w:bookmarkEnd w:id="365"/>
    </w:p>
    <w:p w:rsidR="008D51F3" w:rsidRPr="006571AC" w:rsidRDefault="008D51F3" w:rsidP="00986754">
      <w:pPr>
        <w:pStyle w:val="af"/>
        <w:spacing w:line="420" w:lineRule="exact"/>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وقد ذكره الشهيد الصدر عندما تعرّ</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 في الأصول للاعتراضات على أدلة البراءة، فنقل رواية</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استدل</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بها المعترضون</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وهي رواية أبي سعيد الزهري، عن أبي جعفر</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أنه قال: </w:t>
      </w:r>
      <w:r w:rsidRPr="006571AC">
        <w:rPr>
          <w:rFonts w:cs="AL-Mohanad" w:hint="eastAsia"/>
          <w:rtl/>
          <w:lang w:bidi="ar-LB"/>
        </w:rPr>
        <w:t>«</w:t>
      </w:r>
      <w:r w:rsidRPr="006571AC">
        <w:rPr>
          <w:rFonts w:ascii="Arabic Typesetting" w:hAnsi="Arabic Typesetting" w:cs="AL-Mohanad"/>
          <w:sz w:val="27"/>
          <w:szCs w:val="27"/>
          <w:rtl/>
          <w:lang w:bidi="ar-LB"/>
        </w:rPr>
        <w:t>الوقوف عند الشبهة خير</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الاقتحام في الهلكة</w:t>
      </w:r>
      <w:r w:rsidRPr="006571AC">
        <w:rPr>
          <w:rFonts w:cs="AL-Mohanad" w:hint="eastAsia"/>
          <w:rtl/>
        </w:rPr>
        <w:t>»</w:t>
      </w:r>
      <w:r w:rsidRPr="006571AC">
        <w:rPr>
          <w:rFonts w:ascii="Arabic Typesetting" w:hAnsi="Arabic Typesetting" w:cs="AL-Mohanad"/>
          <w:sz w:val="27"/>
          <w:szCs w:val="27"/>
          <w:rtl/>
          <w:lang w:bidi="ar-LB"/>
        </w:rPr>
        <w:t xml:space="preserve">. </w:t>
      </w:r>
    </w:p>
    <w:p w:rsidR="008D51F3" w:rsidRPr="006571AC" w:rsidRDefault="008D51F3" w:rsidP="00986754">
      <w:pPr>
        <w:pStyle w:val="af"/>
        <w:spacing w:line="420" w:lineRule="exact"/>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فذكر الشهيد الصدر كيفية استدلالهم بالرواية</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لأجل الاعتراض على أدلة البراءة</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ثم</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أشكل عليهم بأنهم أسقطوا المصطلح الأصولي</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للشبهة على الرواية، ففهموها بنحو</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خاطئ</w:t>
      </w:r>
      <w:r w:rsidRPr="006571AC">
        <w:rPr>
          <w:rFonts w:ascii="Arabic Typesetting" w:hAnsi="Arabic Typesetting" w:cs="AL-Mohanad"/>
          <w:sz w:val="27"/>
          <w:szCs w:val="27"/>
          <w:vertAlign w:val="superscript"/>
          <w:rtl/>
          <w:lang w:bidi="ar-LB"/>
        </w:rPr>
        <w:t>(</w:t>
      </w:r>
      <w:r w:rsidRPr="006571AC">
        <w:rPr>
          <w:rStyle w:val="ac"/>
          <w:rFonts w:ascii="Arabic Typesetting" w:eastAsiaTheme="majorEastAsia" w:hAnsi="Arabic Typesetting" w:cs="AL-Mohanad"/>
          <w:sz w:val="27"/>
          <w:szCs w:val="27"/>
          <w:shd w:val="clear" w:color="auto" w:fill="FFFFFF"/>
          <w:rtl/>
        </w:rPr>
        <w:endnoteReference w:id="581"/>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shd w:val="clear" w:color="auto" w:fill="FFFFFF"/>
          <w:rtl/>
        </w:rPr>
        <w:t xml:space="preserve">. </w:t>
      </w:r>
    </w:p>
    <w:p w:rsidR="008D51F3" w:rsidRPr="006571AC" w:rsidRDefault="008D51F3" w:rsidP="00986754">
      <w:pPr>
        <w:pStyle w:val="af"/>
        <w:spacing w:line="440" w:lineRule="exact"/>
        <w:rPr>
          <w:rFonts w:ascii="Arabic Typesetting" w:hAnsi="Arabic Typesetting" w:cs="AL-Mohanad"/>
          <w:sz w:val="27"/>
          <w:szCs w:val="27"/>
          <w:rtl/>
          <w:lang w:bidi="ar-LB"/>
        </w:rPr>
      </w:pPr>
    </w:p>
    <w:p w:rsidR="008D51F3" w:rsidRPr="006571AC" w:rsidRDefault="00115D3F" w:rsidP="00D246D3">
      <w:pPr>
        <w:pStyle w:val="31"/>
        <w:rPr>
          <w:color w:val="auto"/>
          <w:rtl/>
          <w:lang w:bidi="ar-LB"/>
        </w:rPr>
      </w:pPr>
      <w:bookmarkStart w:id="366" w:name="_Toc36050660"/>
      <w:bookmarkStart w:id="367" w:name="_Toc114164782"/>
      <w:r w:rsidRPr="006571AC">
        <w:rPr>
          <w:rFonts w:hint="cs"/>
          <w:color w:val="auto"/>
          <w:rtl/>
          <w:lang w:bidi="ar-LB"/>
        </w:rPr>
        <w:t>د ـ</w:t>
      </w:r>
      <w:r w:rsidR="008D51F3" w:rsidRPr="006571AC">
        <w:rPr>
          <w:color w:val="auto"/>
          <w:rtl/>
          <w:lang w:bidi="ar-LB"/>
        </w:rPr>
        <w:t xml:space="preserve"> إسقاط المعتقدات المذهبي</w:t>
      </w:r>
      <w:r w:rsidR="0073258F" w:rsidRPr="006571AC">
        <w:rPr>
          <w:rFonts w:hint="cs"/>
          <w:color w:val="auto"/>
          <w:rtl/>
          <w:lang w:bidi="ar-LB"/>
        </w:rPr>
        <w:t>ّ</w:t>
      </w:r>
      <w:r w:rsidR="008D51F3" w:rsidRPr="006571AC">
        <w:rPr>
          <w:color w:val="auto"/>
          <w:rtl/>
          <w:lang w:bidi="ar-LB"/>
        </w:rPr>
        <w:t>ة</w:t>
      </w:r>
      <w:bookmarkEnd w:id="366"/>
      <w:bookmarkEnd w:id="367"/>
    </w:p>
    <w:p w:rsidR="008D51F3" w:rsidRPr="006571AC" w:rsidRDefault="008D51F3" w:rsidP="00986754">
      <w:pPr>
        <w:spacing w:line="420" w:lineRule="exact"/>
        <w:rPr>
          <w:rFonts w:ascii="Arabic Typesetting" w:hAnsi="Arabic Typesetting"/>
          <w:b/>
          <w:bCs/>
          <w:sz w:val="27"/>
          <w:rtl/>
          <w:lang w:bidi="ar-LB"/>
        </w:rPr>
      </w:pPr>
      <w:r w:rsidRPr="006571AC">
        <w:rPr>
          <w:rFonts w:ascii="Arabic Typesetting" w:hAnsi="Arabic Typesetting"/>
          <w:sz w:val="27"/>
          <w:rtl/>
          <w:lang w:bidi="ar-LB"/>
        </w:rPr>
        <w:t>أشار الشهيد الصدر إلى أن بعض</w:t>
      </w:r>
      <w:r w:rsidR="0073258F" w:rsidRPr="006571AC">
        <w:rPr>
          <w:rFonts w:ascii="Arabic Typesetting" w:hAnsi="Arabic Typesetting" w:hint="cs"/>
          <w:sz w:val="27"/>
          <w:rtl/>
          <w:lang w:bidi="ar-LB"/>
        </w:rPr>
        <w:t>هم</w:t>
      </w:r>
      <w:r w:rsidRPr="006571AC">
        <w:rPr>
          <w:rFonts w:ascii="Arabic Typesetting" w:hAnsi="Arabic Typesetting"/>
          <w:sz w:val="27"/>
          <w:rtl/>
          <w:lang w:bidi="ar-LB"/>
        </w:rPr>
        <w:t xml:space="preserve"> يذهب إلى تحكيم معتقداته المذهبي</w:t>
      </w:r>
      <w:r w:rsidR="0073258F" w:rsidRPr="006571AC">
        <w:rPr>
          <w:rFonts w:ascii="Arabic Typesetting" w:hAnsi="Arabic Typesetting" w:hint="cs"/>
          <w:sz w:val="27"/>
          <w:rtl/>
          <w:lang w:bidi="ar-LB"/>
        </w:rPr>
        <w:t>ّ</w:t>
      </w:r>
      <w:r w:rsidRPr="006571AC">
        <w:rPr>
          <w:rFonts w:ascii="Arabic Typesetting" w:hAnsi="Arabic Typesetting"/>
          <w:sz w:val="27"/>
          <w:rtl/>
          <w:lang w:bidi="ar-LB"/>
        </w:rPr>
        <w:t>ة وآرائه على النص</w:t>
      </w:r>
      <w:r w:rsidR="0073258F"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 فيحاول ليّ عنق النص</w:t>
      </w:r>
      <w:r w:rsidR="0073258F" w:rsidRPr="006571AC">
        <w:rPr>
          <w:rFonts w:ascii="Arabic Typesetting" w:hAnsi="Arabic Typesetting" w:hint="cs"/>
          <w:sz w:val="27"/>
          <w:rtl/>
          <w:lang w:bidi="ar-LB"/>
        </w:rPr>
        <w:t>ّ؛</w:t>
      </w:r>
      <w:r w:rsidRPr="006571AC">
        <w:rPr>
          <w:rFonts w:ascii="Arabic Typesetting" w:hAnsi="Arabic Typesetting"/>
          <w:sz w:val="27"/>
          <w:rtl/>
          <w:lang w:bidi="ar-LB"/>
        </w:rPr>
        <w:t xml:space="preserve"> لأجل تحميله إيّاها</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82"/>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8D51F3" w:rsidRPr="006571AC" w:rsidRDefault="00115D3F" w:rsidP="00D246D3">
      <w:pPr>
        <w:pStyle w:val="31"/>
        <w:rPr>
          <w:color w:val="auto"/>
          <w:rtl/>
          <w:lang w:bidi="ar-LB"/>
        </w:rPr>
      </w:pPr>
      <w:bookmarkStart w:id="368" w:name="_Toc36050661"/>
      <w:bookmarkStart w:id="369" w:name="_Toc114164783"/>
      <w:r w:rsidRPr="006571AC">
        <w:rPr>
          <w:rFonts w:hint="cs"/>
          <w:color w:val="auto"/>
          <w:rtl/>
          <w:lang w:bidi="ar-LB"/>
        </w:rPr>
        <w:lastRenderedPageBreak/>
        <w:t>2ـ</w:t>
      </w:r>
      <w:r w:rsidR="008D51F3" w:rsidRPr="006571AC">
        <w:rPr>
          <w:color w:val="auto"/>
          <w:rtl/>
          <w:lang w:bidi="ar-LB"/>
        </w:rPr>
        <w:t xml:space="preserve"> اتخاذ موقف م</w:t>
      </w:r>
      <w:r w:rsidR="0073258F" w:rsidRPr="006571AC">
        <w:rPr>
          <w:rFonts w:hint="cs"/>
          <w:color w:val="auto"/>
          <w:rtl/>
          <w:lang w:bidi="ar-LB"/>
        </w:rPr>
        <w:t>ُ</w:t>
      </w:r>
      <w:r w:rsidR="008D51F3" w:rsidRPr="006571AC">
        <w:rPr>
          <w:color w:val="auto"/>
          <w:rtl/>
          <w:lang w:bidi="ar-LB"/>
        </w:rPr>
        <w:t>سبَق من النص</w:t>
      </w:r>
      <w:bookmarkEnd w:id="368"/>
      <w:r w:rsidR="0073258F" w:rsidRPr="006571AC">
        <w:rPr>
          <w:rFonts w:hint="cs"/>
          <w:color w:val="auto"/>
          <w:rtl/>
          <w:lang w:bidi="ar-LB"/>
        </w:rPr>
        <w:t>ّ</w:t>
      </w:r>
      <w:bookmarkEnd w:id="369"/>
    </w:p>
    <w:p w:rsidR="008D51F3" w:rsidRPr="006571AC" w:rsidRDefault="008D51F3" w:rsidP="009E1912">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من القبليات السلبية</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التي حذّ</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منها الشهيد الصدر أيضا</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هو اتخاذ موقف</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سبَق</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تجاه النص</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إذ يؤث</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سلبا</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الفهم. فهذا من باب تأثير نفسية المفسِّر ـ وهي من القبليات ـ س</w:t>
      </w:r>
      <w:r w:rsidR="009E1912"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w:t>
      </w:r>
      <w:r w:rsidR="009E1912"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با</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الفهم. </w:t>
      </w:r>
      <w:r w:rsidRPr="006571AC">
        <w:rPr>
          <w:rFonts w:ascii="Arabic Typesetting" w:hAnsi="Arabic Typesetting" w:cs="AL-Mohanad"/>
          <w:sz w:val="27"/>
          <w:szCs w:val="27"/>
          <w:shd w:val="clear" w:color="auto" w:fill="FFFFFF"/>
          <w:rtl/>
        </w:rPr>
        <w:t>ولكي تت</w:t>
      </w:r>
      <w:r w:rsidR="0073258F"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ضح هذه الفكرة يمثّ</w:t>
      </w:r>
      <w:r w:rsidR="0073258F" w:rsidRPr="006571AC">
        <w:rPr>
          <w:rFonts w:ascii="Arabic Typesetting" w:hAnsi="Arabic Typesetting" w:cs="AL-Mohanad" w:hint="cs"/>
          <w:sz w:val="27"/>
          <w:szCs w:val="27"/>
          <w:shd w:val="clear" w:color="auto" w:fill="FFFFFF"/>
          <w:rtl/>
        </w:rPr>
        <w:t>ِ</w:t>
      </w:r>
      <w:r w:rsidR="009E1912" w:rsidRPr="006571AC">
        <w:rPr>
          <w:rFonts w:ascii="Arabic Typesetting" w:hAnsi="Arabic Typesetting" w:cs="AL-Mohanad"/>
          <w:sz w:val="27"/>
          <w:szCs w:val="27"/>
          <w:shd w:val="clear" w:color="auto" w:fill="FFFFFF"/>
          <w:rtl/>
        </w:rPr>
        <w:t>ل لنا الشهيد الصدر بمثا</w:t>
      </w:r>
      <w:r w:rsidR="009E1912" w:rsidRPr="006571AC">
        <w:rPr>
          <w:rFonts w:ascii="Arabic Typesetting" w:hAnsi="Arabic Typesetting" w:cs="AL-Mohanad" w:hint="cs"/>
          <w:sz w:val="27"/>
          <w:szCs w:val="27"/>
          <w:shd w:val="clear" w:color="auto" w:fill="FFFFFF"/>
          <w:rtl/>
        </w:rPr>
        <w:t>لٍ</w:t>
      </w:r>
      <w:r w:rsidRPr="006571AC">
        <w:rPr>
          <w:rFonts w:ascii="Arabic Typesetting" w:hAnsi="Arabic Typesetting" w:cs="AL-Mohanad"/>
          <w:sz w:val="27"/>
          <w:szCs w:val="27"/>
          <w:shd w:val="clear" w:color="auto" w:fill="FFFFFF"/>
          <w:rtl/>
        </w:rPr>
        <w:t>، حيث يفرض شخصين يمارسان عملية دراسة النصوص الدينية واستنباط الأحكام الشرعية منها. فالأو</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ل منهما يميل نحو اكتشاف الجوانب الاجتماعية في النص</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بينما ينجذب الثاني نحو الجوانب الفردي</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ة للأحكام. وهذا ما سوف يؤث</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ر على فهمهما لهذه النصوص</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إذ سوف يكشف لكل</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منهما عن معطيات</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أكبر في مجال اهتمامه، لكن</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ه سيخفي عنه المعطيات المرتبطة بالجانب النفسي</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الذي لم يت</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جه إليه. وبح</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س</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ب الميولات والاتجاهات النفسية قد تتفاقم الأزمة من مجر</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د إخفاء معلومات</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إلى تضليل</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في فهم النص</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الشرعي</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والاستنباط بشكل</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خاطئ</w:t>
      </w:r>
      <w:r w:rsidRPr="006571AC">
        <w:rPr>
          <w:rFonts w:ascii="Arabic Typesetting" w:hAnsi="Arabic Typesetting" w:cs="AL-Mohanad"/>
          <w:sz w:val="27"/>
          <w:szCs w:val="27"/>
          <w:shd w:val="clear" w:color="auto" w:fill="FFFFFF"/>
          <w:vertAlign w:val="superscript"/>
          <w:rtl/>
        </w:rPr>
        <w:t>(</w:t>
      </w:r>
      <w:r w:rsidRPr="006571AC">
        <w:rPr>
          <w:rStyle w:val="ac"/>
          <w:rFonts w:ascii="Arabic Typesetting" w:hAnsi="Arabic Typesetting" w:cs="AL-Mohanad"/>
          <w:sz w:val="27"/>
          <w:szCs w:val="27"/>
          <w:shd w:val="clear" w:color="auto" w:fill="FFFFFF"/>
          <w:rtl/>
        </w:rPr>
        <w:endnoteReference w:id="583"/>
      </w:r>
      <w:r w:rsidRPr="006571AC">
        <w:rPr>
          <w:rFonts w:ascii="Arabic Typesetting" w:hAnsi="Arabic Typesetting" w:cs="AL-Mohanad"/>
          <w:sz w:val="27"/>
          <w:szCs w:val="27"/>
          <w:shd w:val="clear" w:color="auto" w:fill="FFFFFF"/>
          <w:vertAlign w:val="superscript"/>
          <w:rtl/>
        </w:rPr>
        <w:t>)(</w:t>
      </w:r>
      <w:r w:rsidRPr="006571AC">
        <w:rPr>
          <w:rStyle w:val="ac"/>
          <w:rFonts w:ascii="Arabic Typesetting" w:hAnsi="Arabic Typesetting" w:cs="AL-Mohanad"/>
          <w:sz w:val="27"/>
          <w:szCs w:val="27"/>
          <w:rtl/>
        </w:rPr>
        <w:endnoteReference w:id="584"/>
      </w:r>
      <w:r w:rsidRPr="006571AC">
        <w:rPr>
          <w:rFonts w:ascii="Arabic Typesetting" w:hAnsi="Arabic Typesetting" w:cs="AL-Mohanad"/>
          <w:sz w:val="27"/>
          <w:szCs w:val="27"/>
          <w:shd w:val="clear" w:color="auto" w:fill="FFFFFF"/>
          <w:vertAlign w:val="superscript"/>
          <w:rtl/>
        </w:rPr>
        <w:t>)</w:t>
      </w:r>
      <w:r w:rsidRPr="006571AC">
        <w:rPr>
          <w:rFonts w:ascii="Arabic Typesetting" w:hAnsi="Arabic Typesetting" w:cs="AL-Mohanad"/>
          <w:sz w:val="27"/>
          <w:szCs w:val="27"/>
          <w:rtl/>
          <w:lang w:bidi="ar-LB"/>
        </w:rPr>
        <w:t xml:space="preserve">. </w:t>
      </w:r>
    </w:p>
    <w:p w:rsidR="008D51F3" w:rsidRPr="006571AC" w:rsidRDefault="008D51F3" w:rsidP="005B0CA4">
      <w:pPr>
        <w:pStyle w:val="af"/>
        <w:rPr>
          <w:rFonts w:ascii="Arabic Typesetting" w:hAnsi="Arabic Typesetting" w:cs="AL-Mohanad"/>
          <w:b/>
          <w:bCs/>
          <w:sz w:val="27"/>
          <w:szCs w:val="27"/>
          <w:rtl/>
        </w:rPr>
      </w:pPr>
      <w:r w:rsidRPr="006571AC">
        <w:rPr>
          <w:rFonts w:ascii="Arabic Typesetting" w:hAnsi="Arabic Typesetting" w:cs="AL-Mohanad"/>
          <w:sz w:val="27"/>
          <w:szCs w:val="27"/>
          <w:rtl/>
        </w:rPr>
        <w:t>ويعتبر الشهيد الصدر الح</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ذ</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رَ من هذه القبلية ـ التي هي تأثير نفسي</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ة المفس</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ر ـ</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 xml:space="preserve"> وعدمَ الانحياز، فضيلةً</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 xml:space="preserve"> هي</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 xml:space="preserve"> النزاهة العلمي</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ة</w:t>
      </w:r>
      <w:r w:rsidRPr="006571AC">
        <w:rPr>
          <w:rFonts w:ascii="Arabic Typesetting" w:hAnsi="Arabic Typesetting" w:cs="AL-Mohanad"/>
          <w:sz w:val="27"/>
          <w:szCs w:val="27"/>
          <w:vertAlign w:val="superscript"/>
          <w:rtl/>
        </w:rPr>
        <w:t>(</w:t>
      </w:r>
      <w:r w:rsidRPr="006571AC">
        <w:rPr>
          <w:rStyle w:val="ac"/>
          <w:rFonts w:ascii="Arabic Typesetting" w:hAnsi="Arabic Typesetting" w:cs="AL-Mohanad"/>
          <w:sz w:val="27"/>
          <w:szCs w:val="27"/>
          <w:rtl/>
        </w:rPr>
        <w:endnoteReference w:id="585"/>
      </w:r>
      <w:r w:rsidRPr="006571AC">
        <w:rPr>
          <w:rFonts w:ascii="Arabic Typesetting" w:hAnsi="Arabic Typesetting" w:cs="AL-Mohanad"/>
          <w:sz w:val="27"/>
          <w:szCs w:val="27"/>
          <w:vertAlign w:val="superscript"/>
          <w:rtl/>
        </w:rPr>
        <w:t>)</w:t>
      </w:r>
      <w:r w:rsidRPr="006571AC">
        <w:rPr>
          <w:rFonts w:ascii="Arabic Typesetting" w:hAnsi="Arabic Typesetting" w:cs="AL-Mohanad"/>
          <w:sz w:val="27"/>
          <w:szCs w:val="27"/>
          <w:rtl/>
        </w:rPr>
        <w:t>.</w:t>
      </w:r>
      <w:r w:rsidRPr="006571AC">
        <w:rPr>
          <w:rFonts w:ascii="Arabic Typesetting" w:hAnsi="Arabic Typesetting" w:cs="AL-Mohanad"/>
          <w:b/>
          <w:bCs/>
          <w:sz w:val="27"/>
          <w:szCs w:val="27"/>
          <w:rtl/>
        </w:rPr>
        <w:t xml:space="preserve"> </w:t>
      </w:r>
    </w:p>
    <w:p w:rsidR="008D51F3" w:rsidRPr="006571AC" w:rsidRDefault="008D51F3" w:rsidP="00986754">
      <w:pPr>
        <w:pStyle w:val="af"/>
        <w:spacing w:line="440" w:lineRule="exact"/>
        <w:rPr>
          <w:rFonts w:ascii="Arabic Typesetting" w:hAnsi="Arabic Typesetting" w:cs="AL-Mohanad"/>
          <w:b/>
          <w:bCs/>
          <w:sz w:val="27"/>
          <w:szCs w:val="27"/>
          <w:rtl/>
        </w:rPr>
      </w:pPr>
    </w:p>
    <w:p w:rsidR="008D51F3" w:rsidRPr="006571AC" w:rsidRDefault="00115D3F" w:rsidP="00D246D3">
      <w:pPr>
        <w:pStyle w:val="31"/>
        <w:rPr>
          <w:color w:val="auto"/>
          <w:rtl/>
        </w:rPr>
      </w:pPr>
      <w:bookmarkStart w:id="370" w:name="_Toc36050662"/>
      <w:bookmarkStart w:id="371" w:name="_Toc114164784"/>
      <w:r w:rsidRPr="006571AC">
        <w:rPr>
          <w:rFonts w:hint="cs"/>
          <w:color w:val="auto"/>
          <w:rtl/>
        </w:rPr>
        <w:t>3ـ</w:t>
      </w:r>
      <w:r w:rsidR="008D51F3" w:rsidRPr="006571AC">
        <w:rPr>
          <w:color w:val="auto"/>
          <w:rtl/>
        </w:rPr>
        <w:t xml:space="preserve"> الأُن</w:t>
      </w:r>
      <w:r w:rsidR="00122EE0" w:rsidRPr="006571AC">
        <w:rPr>
          <w:rFonts w:hint="cs"/>
          <w:color w:val="auto"/>
          <w:rtl/>
        </w:rPr>
        <w:t>ْ</w:t>
      </w:r>
      <w:r w:rsidR="008D51F3" w:rsidRPr="006571AC">
        <w:rPr>
          <w:color w:val="auto"/>
          <w:rtl/>
        </w:rPr>
        <w:t>س بمطلبٍ علمي</w:t>
      </w:r>
      <w:bookmarkEnd w:id="370"/>
      <w:bookmarkEnd w:id="371"/>
    </w:p>
    <w:p w:rsidR="008D51F3" w:rsidRPr="006571AC" w:rsidRDefault="008D51F3" w:rsidP="005B0CA4">
      <w:pPr>
        <w:rPr>
          <w:rFonts w:ascii="Arabic Typesetting" w:hAnsi="Arabic Typesetting"/>
          <w:b/>
          <w:bCs/>
          <w:sz w:val="27"/>
          <w:rtl/>
        </w:rPr>
      </w:pPr>
      <w:r w:rsidRPr="006571AC">
        <w:rPr>
          <w:rFonts w:ascii="Arabic Typesetting" w:hAnsi="Arabic Typesetting"/>
          <w:sz w:val="27"/>
          <w:rtl/>
        </w:rPr>
        <w:t>كما أن من القبليات المضرّة</w:t>
      </w:r>
      <w:r w:rsidR="00122EE0" w:rsidRPr="006571AC">
        <w:rPr>
          <w:rFonts w:ascii="Arabic Typesetting" w:hAnsi="Arabic Typesetting" w:hint="cs"/>
          <w:sz w:val="27"/>
          <w:rtl/>
        </w:rPr>
        <w:t>،</w:t>
      </w:r>
      <w:r w:rsidRPr="006571AC">
        <w:rPr>
          <w:rFonts w:ascii="Arabic Typesetting" w:hAnsi="Arabic Typesetting"/>
          <w:sz w:val="27"/>
          <w:rtl/>
        </w:rPr>
        <w:t xml:space="preserve"> التي يمكن أن نستشفّها من كلمات الشهيد الصدر</w:t>
      </w:r>
      <w:r w:rsidR="00122EE0" w:rsidRPr="006571AC">
        <w:rPr>
          <w:rFonts w:ascii="Arabic Typesetting" w:hAnsi="Arabic Typesetting" w:hint="cs"/>
          <w:sz w:val="27"/>
          <w:rtl/>
        </w:rPr>
        <w:t>،</w:t>
      </w:r>
      <w:r w:rsidRPr="006571AC">
        <w:rPr>
          <w:rFonts w:ascii="Arabic Typesetting" w:hAnsi="Arabic Typesetting"/>
          <w:sz w:val="27"/>
          <w:rtl/>
        </w:rPr>
        <w:t xml:space="preserve"> هو الأ</w:t>
      </w:r>
      <w:r w:rsidR="00122EE0" w:rsidRPr="006571AC">
        <w:rPr>
          <w:rFonts w:ascii="Arabic Typesetting" w:hAnsi="Arabic Typesetting" w:hint="cs"/>
          <w:sz w:val="27"/>
          <w:rtl/>
        </w:rPr>
        <w:t>ُ</w:t>
      </w:r>
      <w:r w:rsidRPr="006571AC">
        <w:rPr>
          <w:rFonts w:ascii="Arabic Typesetting" w:hAnsi="Arabic Typesetting"/>
          <w:sz w:val="27"/>
          <w:rtl/>
        </w:rPr>
        <w:t>ن</w:t>
      </w:r>
      <w:r w:rsidR="00122EE0" w:rsidRPr="006571AC">
        <w:rPr>
          <w:rFonts w:ascii="Arabic Typesetting" w:hAnsi="Arabic Typesetting" w:hint="cs"/>
          <w:sz w:val="27"/>
          <w:rtl/>
        </w:rPr>
        <w:t>ْ</w:t>
      </w:r>
      <w:r w:rsidRPr="006571AC">
        <w:rPr>
          <w:rFonts w:ascii="Arabic Typesetting" w:hAnsi="Arabic Typesetting"/>
          <w:sz w:val="27"/>
          <w:rtl/>
        </w:rPr>
        <w:t>س بمطالب علمي</w:t>
      </w:r>
      <w:r w:rsidR="00122EE0" w:rsidRPr="006571AC">
        <w:rPr>
          <w:rFonts w:ascii="Arabic Typesetting" w:hAnsi="Arabic Typesetting" w:hint="cs"/>
          <w:sz w:val="27"/>
          <w:rtl/>
        </w:rPr>
        <w:t>ّ</w:t>
      </w:r>
      <w:r w:rsidRPr="006571AC">
        <w:rPr>
          <w:rFonts w:ascii="Arabic Typesetting" w:hAnsi="Arabic Typesetting"/>
          <w:sz w:val="27"/>
          <w:rtl/>
        </w:rPr>
        <w:t>ة</w:t>
      </w:r>
      <w:r w:rsidR="00122EE0" w:rsidRPr="006571AC">
        <w:rPr>
          <w:rFonts w:ascii="Arabic Typesetting" w:hAnsi="Arabic Typesetting" w:hint="cs"/>
          <w:sz w:val="27"/>
          <w:rtl/>
        </w:rPr>
        <w:t>ٍ</w:t>
      </w:r>
      <w:r w:rsidRPr="006571AC">
        <w:rPr>
          <w:rFonts w:ascii="Arabic Typesetting" w:hAnsi="Arabic Typesetting"/>
          <w:sz w:val="27"/>
          <w:rtl/>
        </w:rPr>
        <w:t xml:space="preserve"> ما، بحيث لو ذه</w:t>
      </w:r>
      <w:r w:rsidR="00122EE0" w:rsidRPr="006571AC">
        <w:rPr>
          <w:rFonts w:ascii="Arabic Typesetting" w:hAnsi="Arabic Typesetting" w:hint="cs"/>
          <w:sz w:val="27"/>
          <w:rtl/>
        </w:rPr>
        <w:t>َ</w:t>
      </w:r>
      <w:r w:rsidRPr="006571AC">
        <w:rPr>
          <w:rFonts w:ascii="Arabic Typesetting" w:hAnsi="Arabic Typesetting"/>
          <w:sz w:val="27"/>
          <w:rtl/>
        </w:rPr>
        <w:t>ب</w:t>
      </w:r>
      <w:r w:rsidR="00122EE0" w:rsidRPr="006571AC">
        <w:rPr>
          <w:rFonts w:ascii="Arabic Typesetting" w:hAnsi="Arabic Typesetting" w:hint="cs"/>
          <w:sz w:val="27"/>
          <w:rtl/>
        </w:rPr>
        <w:t>ْ</w:t>
      </w:r>
      <w:r w:rsidRPr="006571AC">
        <w:rPr>
          <w:rFonts w:ascii="Arabic Typesetting" w:hAnsi="Arabic Typesetting"/>
          <w:sz w:val="27"/>
          <w:rtl/>
        </w:rPr>
        <w:t>نا نحو النص</w:t>
      </w:r>
      <w:r w:rsidR="00122EE0" w:rsidRPr="006571AC">
        <w:rPr>
          <w:rFonts w:ascii="Arabic Typesetting" w:hAnsi="Arabic Typesetting" w:hint="cs"/>
          <w:sz w:val="27"/>
          <w:rtl/>
        </w:rPr>
        <w:t>ّ</w:t>
      </w:r>
      <w:r w:rsidRPr="006571AC">
        <w:rPr>
          <w:rFonts w:ascii="Arabic Typesetting" w:hAnsi="Arabic Typesetting"/>
          <w:sz w:val="27"/>
          <w:rtl/>
        </w:rPr>
        <w:t xml:space="preserve"> لنفهمه فهمناه خطأ</w:t>
      </w:r>
      <w:r w:rsidR="00122EE0" w:rsidRPr="006571AC">
        <w:rPr>
          <w:rFonts w:ascii="Arabic Typesetting" w:hAnsi="Arabic Typesetting" w:hint="cs"/>
          <w:sz w:val="27"/>
          <w:rtl/>
        </w:rPr>
        <w:t>ً</w:t>
      </w:r>
      <w:r w:rsidRPr="006571AC">
        <w:rPr>
          <w:rFonts w:ascii="Arabic Typesetting" w:hAnsi="Arabic Typesetting"/>
          <w:sz w:val="27"/>
          <w:rtl/>
        </w:rPr>
        <w:t xml:space="preserve"> على ضوء هذه المطالب. لكن</w:t>
      </w:r>
      <w:r w:rsidR="00122EE0" w:rsidRPr="006571AC">
        <w:rPr>
          <w:rFonts w:ascii="Arabic Typesetting" w:hAnsi="Arabic Typesetting" w:hint="cs"/>
          <w:sz w:val="27"/>
          <w:rtl/>
        </w:rPr>
        <w:t>ّ</w:t>
      </w:r>
      <w:r w:rsidRPr="006571AC">
        <w:rPr>
          <w:rFonts w:ascii="Arabic Typesetting" w:hAnsi="Arabic Typesetting"/>
          <w:sz w:val="27"/>
          <w:rtl/>
        </w:rPr>
        <w:t>ها ليست بالقبليات التي لا يمكن التخلّ</w:t>
      </w:r>
      <w:r w:rsidR="00122EE0" w:rsidRPr="006571AC">
        <w:rPr>
          <w:rFonts w:ascii="Arabic Typesetting" w:hAnsi="Arabic Typesetting" w:hint="cs"/>
          <w:sz w:val="27"/>
          <w:rtl/>
        </w:rPr>
        <w:t>ُ</w:t>
      </w:r>
      <w:r w:rsidRPr="006571AC">
        <w:rPr>
          <w:rFonts w:ascii="Arabic Typesetting" w:hAnsi="Arabic Typesetting"/>
          <w:sz w:val="27"/>
          <w:rtl/>
        </w:rPr>
        <w:t>ص منها، بل يمكن ذلك للملتفت الموضوعي</w:t>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86"/>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87"/>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986754">
      <w:pPr>
        <w:spacing w:line="440" w:lineRule="exact"/>
        <w:rPr>
          <w:rFonts w:ascii="Arabic Typesetting" w:hAnsi="Arabic Typesetting"/>
          <w:b/>
          <w:bCs/>
          <w:sz w:val="27"/>
        </w:rPr>
      </w:pPr>
    </w:p>
    <w:p w:rsidR="008D51F3" w:rsidRPr="006571AC" w:rsidRDefault="00357787" w:rsidP="00D246D3">
      <w:pPr>
        <w:pStyle w:val="31"/>
        <w:rPr>
          <w:color w:val="auto"/>
          <w:rtl/>
        </w:rPr>
      </w:pPr>
      <w:bookmarkStart w:id="372" w:name="_Toc114164785"/>
      <w:r w:rsidRPr="006571AC">
        <w:rPr>
          <w:rFonts w:hint="cs"/>
          <w:color w:val="auto"/>
          <w:rtl/>
        </w:rPr>
        <w:t>و ـ</w:t>
      </w:r>
      <w:r w:rsidR="008D51F3" w:rsidRPr="006571AC">
        <w:rPr>
          <w:color w:val="auto"/>
          <w:rtl/>
        </w:rPr>
        <w:t xml:space="preserve"> الحوار بين المفسّ</w:t>
      </w:r>
      <w:r w:rsidR="00122EE0" w:rsidRPr="006571AC">
        <w:rPr>
          <w:rFonts w:hint="cs"/>
          <w:color w:val="auto"/>
          <w:rtl/>
        </w:rPr>
        <w:t>ِ</w:t>
      </w:r>
      <w:r w:rsidR="008D51F3" w:rsidRPr="006571AC">
        <w:rPr>
          <w:color w:val="auto"/>
          <w:rtl/>
        </w:rPr>
        <w:t>ر والنص</w:t>
      </w:r>
      <w:r w:rsidR="00122EE0" w:rsidRPr="006571AC">
        <w:rPr>
          <w:rFonts w:hint="cs"/>
          <w:color w:val="auto"/>
          <w:rtl/>
        </w:rPr>
        <w:t>ّ</w:t>
      </w:r>
      <w:bookmarkEnd w:id="372"/>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تحدّ</w:t>
      </w:r>
      <w:r w:rsidR="00122EE0"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ث الشهيد الصدر عن هذه المسألة المنهجية أثناء بحثه في التفسير الموضوعي للقرآن الكريم</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وبيان كيفية العمل في هذا التفسير. ويصرّ</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ح بأن المفسِّر لا يبدأ عمله من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بل من واقع الحياة، فيركّ</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ز نظره على موضوع</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موضوعات الحياة، ويستوعب ما أثارته تجارب الفكر الإنساني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وما طرحه التطبيق التاريخي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أسئلة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ونقاط فراغ، ثم</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يأخذ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 لا ليت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خذ من نفسه بالنسبة إلى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w:t>
      </w:r>
      <w:r w:rsidR="00EA38F1" w:rsidRPr="006571AC">
        <w:rPr>
          <w:rFonts w:ascii="Arabic Typesetting" w:hAnsi="Arabic Typesetting" w:cs="AL-Mohanad"/>
          <w:sz w:val="27"/>
          <w:szCs w:val="27"/>
          <w:rtl/>
          <w:lang w:bidi="ar-LB"/>
        </w:rPr>
        <w:t>دَوْر</w:t>
      </w:r>
      <w:r w:rsidRPr="006571AC">
        <w:rPr>
          <w:rFonts w:ascii="Arabic Typesetting" w:hAnsi="Arabic Typesetting" w:cs="AL-Mohanad"/>
          <w:sz w:val="27"/>
          <w:szCs w:val="27"/>
          <w:rtl/>
          <w:lang w:bidi="ar-LB"/>
        </w:rPr>
        <w:t xml:space="preserve"> </w:t>
      </w:r>
      <w:r w:rsidRPr="006571AC">
        <w:rPr>
          <w:rFonts w:ascii="Arabic Typesetting" w:hAnsi="Arabic Typesetting" w:cs="AL-Mohanad"/>
          <w:sz w:val="27"/>
          <w:szCs w:val="27"/>
          <w:rtl/>
          <w:lang w:bidi="ar-LB"/>
        </w:rPr>
        <w:lastRenderedPageBreak/>
        <w:t>المستمع فح</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 بل ليطرح بين يدي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موضوعا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جاهزا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مُشرّ</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بعدد</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كبير من ال</w:t>
      </w:r>
      <w:r w:rsidR="005367DE" w:rsidRPr="006571AC">
        <w:rPr>
          <w:rFonts w:ascii="Arabic Typesetting" w:hAnsi="Arabic Typesetting" w:cs="AL-Mohanad" w:hint="cs"/>
          <w:sz w:val="27"/>
          <w:szCs w:val="27"/>
          <w:rtl/>
          <w:lang w:bidi="ar-LB"/>
        </w:rPr>
        <w:t>أ</w:t>
      </w:r>
      <w:r w:rsidRPr="006571AC">
        <w:rPr>
          <w:rFonts w:ascii="Arabic Typesetting" w:hAnsi="Arabic Typesetting" w:cs="AL-Mohanad"/>
          <w:sz w:val="27"/>
          <w:szCs w:val="27"/>
          <w:rtl/>
          <w:lang w:bidi="ar-LB"/>
        </w:rPr>
        <w:t>فكار والمواقف البشرية، ويبدأ مع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 حوارا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المفس</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يسأل على ضوء ما حصّ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له من التجارب البشرية، والقرآن يجيب. فيجلس المفس</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سائلا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ومستفهما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ومتدب</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ومستنطقا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للقرآن. وبالتالي يلتحم القرآن مع الواقع والحياة. فتكون عملية التفسير قد بدأ</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الواقع</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وانته</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إلى القرآن، لا أنها بدأ</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القرآن</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وانته</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إليه</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بحيث تكون عملي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منعزلة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 الواقع</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ومنفصلة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 تراث التجربة الإنسانية</w:t>
      </w:r>
      <w:r w:rsidRPr="006571AC">
        <w:rPr>
          <w:rFonts w:ascii="Arabic Typesetting" w:hAnsi="Arabic Typesetting" w:cs="AL-Mohanad"/>
          <w:sz w:val="27"/>
          <w:szCs w:val="27"/>
          <w:vertAlign w:val="superscript"/>
          <w:rtl/>
          <w:lang w:bidi="ar-LB"/>
        </w:rPr>
        <w:t>(</w:t>
      </w:r>
      <w:r w:rsidRPr="006571AC">
        <w:rPr>
          <w:rStyle w:val="ac"/>
          <w:rFonts w:ascii="Arabic Typesetting" w:eastAsiaTheme="majorEastAsia" w:hAnsi="Arabic Typesetting" w:cs="AL-Mohanad"/>
          <w:sz w:val="27"/>
          <w:szCs w:val="27"/>
          <w:rtl/>
          <w:lang w:bidi="ar-LB"/>
        </w:rPr>
        <w:endnoteReference w:id="588"/>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ومن هنا يت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ضح أنه يُستفاد من الواقع في عملية فهم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وتفسيره على مستويين: </w:t>
      </w:r>
    </w:p>
    <w:p w:rsidR="008D51F3" w:rsidRPr="006571AC" w:rsidRDefault="008D51F3" w:rsidP="005B0CA4">
      <w:pPr>
        <w:pStyle w:val="af"/>
        <w:rPr>
          <w:rFonts w:ascii="Arabic Typesetting" w:hAnsi="Arabic Typesetting" w:cs="AL-Mohanad"/>
          <w:sz w:val="27"/>
          <w:szCs w:val="27"/>
          <w:lang w:bidi="ar-LB"/>
        </w:rPr>
      </w:pPr>
      <w:r w:rsidRPr="006571AC">
        <w:rPr>
          <w:rFonts w:ascii="Arabic Typesetting" w:hAnsi="Arabic Typesetting" w:cs="AL-Mohanad"/>
          <w:b/>
          <w:bCs/>
          <w:sz w:val="27"/>
          <w:szCs w:val="27"/>
          <w:rtl/>
          <w:lang w:bidi="ar-LB"/>
        </w:rPr>
        <w:t>المستوى الأو</w:t>
      </w:r>
      <w:r w:rsidR="005367DE"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 xml:space="preserve">ل: </w:t>
      </w:r>
      <w:r w:rsidRPr="006571AC">
        <w:rPr>
          <w:rFonts w:ascii="Arabic Typesetting" w:hAnsi="Arabic Typesetting" w:cs="AL-Mohanad"/>
          <w:sz w:val="27"/>
          <w:szCs w:val="27"/>
          <w:rtl/>
          <w:lang w:bidi="ar-LB"/>
        </w:rPr>
        <w:t>على مستوى اختيار الموضوع المراد معرفة رأي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فيه. </w:t>
      </w:r>
    </w:p>
    <w:p w:rsidR="008D51F3" w:rsidRPr="006571AC" w:rsidRDefault="008D51F3" w:rsidP="005B0CA4">
      <w:pPr>
        <w:pStyle w:val="af"/>
        <w:rPr>
          <w:rFonts w:ascii="Arabic Typesetting" w:hAnsi="Arabic Typesetting" w:cs="AL-Mohanad"/>
          <w:b/>
          <w:bCs/>
          <w:sz w:val="27"/>
          <w:szCs w:val="27"/>
          <w:rtl/>
          <w:lang w:bidi="ar-LB"/>
        </w:rPr>
      </w:pPr>
      <w:r w:rsidRPr="006571AC">
        <w:rPr>
          <w:rFonts w:ascii="Arabic Typesetting" w:hAnsi="Arabic Typesetting" w:cs="AL-Mohanad"/>
          <w:b/>
          <w:bCs/>
          <w:sz w:val="27"/>
          <w:szCs w:val="27"/>
          <w:rtl/>
          <w:lang w:bidi="ar-LB"/>
        </w:rPr>
        <w:t xml:space="preserve">المستوى الثاني: </w:t>
      </w:r>
      <w:r w:rsidRPr="006571AC">
        <w:rPr>
          <w:rFonts w:ascii="Arabic Typesetting" w:hAnsi="Arabic Typesetting" w:cs="AL-Mohanad"/>
          <w:sz w:val="27"/>
          <w:szCs w:val="27"/>
          <w:rtl/>
          <w:lang w:bidi="ar-LB"/>
        </w:rPr>
        <w:t>على مستوى التشبّ</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ع بالتجارب البشرية الواقعية، مم</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 يرفع من مستوى أهلي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الباحث لفهم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 فهنا يظهر مدى العلاقة الوثيقة بين التطبيق الخارجي ـ وهو التجربة البشرية ـ وبين النظري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ـ وهي فهم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005367DE" w:rsidRPr="006571AC">
        <w:rPr>
          <w:rFonts w:ascii="Arabic Typesetting" w:hAnsi="Arabic Typesetting" w:cs="AL-Mohanad"/>
          <w:sz w:val="27"/>
          <w:szCs w:val="27"/>
          <w:rtl/>
          <w:lang w:bidi="ar-LB"/>
        </w:rPr>
        <w:t xml:space="preserve"> ـ</w:t>
      </w:r>
      <w:r w:rsidRPr="006571AC">
        <w:rPr>
          <w:rFonts w:ascii="Arabic Typesetting" w:hAnsi="Arabic Typesetting" w:cs="AL-Mohanad"/>
          <w:sz w:val="27"/>
          <w:szCs w:val="27"/>
          <w:rtl/>
          <w:lang w:bidi="ar-LB"/>
        </w:rPr>
        <w:t>. وقد بيّ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 الشهيد الصدر أهم</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ية العلاقة بين النظرية والتطبيق</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ووجود ترابط</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وثيق</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بينهما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غاية الأمر أنه طبّ</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قه على العلاقة بين الفقه والأصول</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89"/>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لكن</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يمكننا أن نأخذ روح الفكرة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ونطبّ</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قها هنا على المستوى الثاني المذكور.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ولعل</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اختيار الشهيد الصدر لبحث السنن التاريخية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ومعالجته معالجة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قرآنية، مصداقٌ لكلا المستويين</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فكأنه رأى مشكلة</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طرحها التي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ار الماركسي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الذي تحدّ</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ث عن قواعد التاريخ وقوانينه</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فكأن</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الشهيد الصدر استفاد من الواقع الذي عايشه، فأخذ هذا الموضوع، ثم</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حاول طرحه على النص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حتى يرى جواب القرآن عنه</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90"/>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وهذه النظرة في تفسير القرآن الكريم تُل</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فِت نظر المفسّ</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ر إلى أمور، منها: </w:t>
      </w:r>
    </w:p>
    <w:p w:rsidR="008D51F3" w:rsidRPr="006571AC" w:rsidRDefault="008D51F3" w:rsidP="005B0CA4">
      <w:pPr>
        <w:pStyle w:val="af"/>
        <w:rPr>
          <w:rFonts w:ascii="Arabic Typesetting" w:hAnsi="Arabic Typesetting" w:cs="AL-Mohanad"/>
          <w:sz w:val="27"/>
          <w:szCs w:val="27"/>
          <w:rtl/>
          <w:lang w:bidi="ar-LB"/>
        </w:rPr>
      </w:pPr>
      <w:r w:rsidRPr="006571AC">
        <w:rPr>
          <w:rFonts w:ascii="Arabic Typesetting" w:hAnsi="Arabic Typesetting" w:cs="AL-Mohanad"/>
          <w:b/>
          <w:bCs/>
          <w:sz w:val="27"/>
          <w:szCs w:val="27"/>
          <w:rtl/>
          <w:lang w:bidi="ar-LB"/>
        </w:rPr>
        <w:t>الأمر الأو</w:t>
      </w:r>
      <w:r w:rsidR="00CE0ADE"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 xml:space="preserve">ل: </w:t>
      </w:r>
      <w:r w:rsidRPr="006571AC">
        <w:rPr>
          <w:rFonts w:ascii="Arabic Typesetting" w:hAnsi="Arabic Typesetting" w:cs="AL-Mohanad"/>
          <w:sz w:val="27"/>
          <w:szCs w:val="27"/>
          <w:rtl/>
          <w:lang w:bidi="ar-LB"/>
        </w:rPr>
        <w:t>أن لا ينظر المفسِّر إلى القرآن بنظرة</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تجزيئية، بل يلاحظة كوحدة</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متكاملة. ولأجل ذلك م</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يطالع كتابات الشهيد الصدر يجده في بعض الأحيان يستفيد من آيات</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قرآني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متعد</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دة، ومن سور</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مختلفة، لأجل معالجة موقف</w:t>
      </w:r>
      <w:r w:rsidR="00B1324D"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محد</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 وقضي</w:t>
      </w:r>
      <w:r w:rsidR="00B1324D"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B1324D"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خاص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فهذا ما يجعل المفسِّر يقدّ</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م فهما</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متكاملا</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00CE0ADE" w:rsidRPr="006571AC">
        <w:rPr>
          <w:rFonts w:ascii="Arabic Typesetting" w:hAnsi="Arabic Typesetting" w:cs="AL-Mohanad"/>
          <w:sz w:val="27"/>
          <w:szCs w:val="27"/>
          <w:vertAlign w:val="superscript"/>
          <w:rtl/>
          <w:lang w:bidi="ar-LB"/>
        </w:rPr>
        <w:t>(</w:t>
      </w:r>
      <w:r w:rsidR="00CE0ADE" w:rsidRPr="006571AC">
        <w:rPr>
          <w:rStyle w:val="ac"/>
          <w:rFonts w:ascii="Arabic Typesetting" w:hAnsi="Arabic Typesetting" w:cs="AL-Mohanad"/>
          <w:sz w:val="27"/>
          <w:szCs w:val="27"/>
          <w:rtl/>
        </w:rPr>
        <w:endnoteReference w:id="591"/>
      </w:r>
      <w:r w:rsidR="00CE0ADE"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af"/>
        <w:rPr>
          <w:rFonts w:ascii="Arabic Typesetting" w:hAnsi="Arabic Typesetting" w:cs="AL-Mohanad"/>
          <w:b/>
          <w:bCs/>
          <w:sz w:val="27"/>
          <w:szCs w:val="27"/>
          <w:rtl/>
          <w:lang w:bidi="ar-LB"/>
        </w:rPr>
      </w:pPr>
      <w:r w:rsidRPr="006571AC">
        <w:rPr>
          <w:rFonts w:ascii="Arabic Typesetting" w:hAnsi="Arabic Typesetting" w:cs="AL-Mohanad"/>
          <w:b/>
          <w:bCs/>
          <w:sz w:val="27"/>
          <w:szCs w:val="27"/>
          <w:rtl/>
          <w:lang w:bidi="ar-LB"/>
        </w:rPr>
        <w:t xml:space="preserve">الأمر الثاني: </w:t>
      </w:r>
      <w:r w:rsidRPr="006571AC">
        <w:rPr>
          <w:rFonts w:ascii="Arabic Typesetting" w:hAnsi="Arabic Typesetting" w:cs="AL-Mohanad"/>
          <w:sz w:val="27"/>
          <w:szCs w:val="27"/>
          <w:rtl/>
          <w:lang w:bidi="ar-LB"/>
        </w:rPr>
        <w:t>يجب على م</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يريد تفسير القرآن الكريم أن لا يكون منعزلا</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 الواقع؛ بل يجب أن يعايش الواقع بهمومه ومشكلاته، في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ع</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ها بشكل</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صحيح، ثم</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w:t>
      </w:r>
      <w:r w:rsidRPr="006571AC">
        <w:rPr>
          <w:rFonts w:ascii="Arabic Typesetting" w:hAnsi="Arabic Typesetting" w:cs="AL-Mohanad"/>
          <w:sz w:val="27"/>
          <w:szCs w:val="27"/>
          <w:rtl/>
          <w:lang w:bidi="ar-LB"/>
        </w:rPr>
        <w:lastRenderedPageBreak/>
        <w:t>يجلس أمام النص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 فيطرح هذه المشكلة عليه، منتظرا</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الجواب القرآني. وبالتالي لا يكون هدف المفسِّر فهم النص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بنحو</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سطحي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وتفكيك كلماته وعباراته، بل يحاول أن يستفيد من النص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 لأجل حلّ المشكلات الواقعي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وبعبارة</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أخرى: يجب أن لا يقف المفسِّر في فهم النص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فهم عباراته، بل يجب أن يتجاوز ذلك إلى الواقع</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ليتّ</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خذ من القرآن وسيلة</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لمعالجة المعضلات الواقعية</w:t>
      </w:r>
      <w:r w:rsidRPr="006571AC">
        <w:rPr>
          <w:rFonts w:ascii="Arabic Typesetting" w:hAnsi="Arabic Typesetting" w:cs="AL-Mohanad"/>
          <w:sz w:val="27"/>
          <w:szCs w:val="27"/>
          <w:vertAlign w:val="superscript"/>
          <w:rtl/>
          <w:lang w:bidi="ar-LB"/>
        </w:rPr>
        <w:t>(</w:t>
      </w:r>
      <w:r w:rsidRPr="006571AC">
        <w:rPr>
          <w:rStyle w:val="ac"/>
          <w:rFonts w:ascii="Arabic Typesetting" w:hAnsi="Arabic Typesetting" w:cs="AL-Mohanad"/>
          <w:sz w:val="27"/>
          <w:szCs w:val="27"/>
          <w:rtl/>
          <w:lang w:bidi="ar-LB"/>
        </w:rPr>
        <w:endnoteReference w:id="592"/>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w:t>
      </w:r>
      <w:r w:rsidRPr="006571AC">
        <w:rPr>
          <w:rFonts w:ascii="Arabic Typesetting" w:hAnsi="Arabic Typesetting" w:cs="AL-Mohanad"/>
          <w:b/>
          <w:bCs/>
          <w:sz w:val="27"/>
          <w:szCs w:val="27"/>
          <w:rtl/>
          <w:lang w:bidi="ar-LB"/>
        </w:rPr>
        <w:t xml:space="preserve"> </w:t>
      </w:r>
    </w:p>
    <w:p w:rsidR="008D51F3" w:rsidRPr="006571AC" w:rsidRDefault="008D51F3" w:rsidP="005B0CA4">
      <w:pPr>
        <w:rPr>
          <w:rFonts w:ascii="Arabic Typesetting" w:hAnsi="Arabic Typesetting"/>
          <w:b/>
          <w:bCs/>
          <w:sz w:val="27"/>
          <w:rtl/>
        </w:rPr>
      </w:pPr>
      <w:r w:rsidRPr="006571AC">
        <w:rPr>
          <w:rFonts w:ascii="Arabic Typesetting" w:hAnsi="Arabic Typesetting"/>
          <w:sz w:val="27"/>
          <w:rtl/>
          <w:lang w:bidi="ar-LB"/>
        </w:rPr>
        <w:t>و</w:t>
      </w:r>
      <w:r w:rsidR="00731867" w:rsidRPr="006571AC">
        <w:rPr>
          <w:rFonts w:ascii="Arabic Typesetting" w:hAnsi="Arabic Typesetting"/>
          <w:sz w:val="27"/>
          <w:rtl/>
          <w:lang w:bidi="ar-LB"/>
        </w:rPr>
        <w:t>لا بُدَّ</w:t>
      </w:r>
      <w:r w:rsidRPr="006571AC">
        <w:rPr>
          <w:rFonts w:ascii="Arabic Typesetting" w:hAnsi="Arabic Typesetting"/>
          <w:sz w:val="27"/>
          <w:rtl/>
          <w:lang w:bidi="ar-LB"/>
        </w:rPr>
        <w:t xml:space="preserve"> من الالتفات أيضا</w:t>
      </w:r>
      <w:r w:rsidR="00CE0ADE" w:rsidRPr="006571AC">
        <w:rPr>
          <w:rFonts w:ascii="Arabic Typesetting" w:hAnsi="Arabic Typesetting" w:hint="cs"/>
          <w:sz w:val="27"/>
          <w:rtl/>
          <w:lang w:bidi="ar-LB"/>
        </w:rPr>
        <w:t>ً</w:t>
      </w:r>
      <w:r w:rsidRPr="006571AC">
        <w:rPr>
          <w:rFonts w:ascii="Arabic Typesetting" w:hAnsi="Arabic Typesetting"/>
          <w:sz w:val="27"/>
          <w:rtl/>
          <w:lang w:bidi="ar-LB"/>
        </w:rPr>
        <w:t xml:space="preserve"> إلى أن الشهيد الصدر يعتقد بأن القرآن الكريم ذو معان</w:t>
      </w:r>
      <w:r w:rsidR="00CE0ADE" w:rsidRPr="006571AC">
        <w:rPr>
          <w:rFonts w:ascii="Arabic Typesetting" w:hAnsi="Arabic Typesetting" w:hint="cs"/>
          <w:sz w:val="27"/>
          <w:rtl/>
          <w:lang w:bidi="ar-LB"/>
        </w:rPr>
        <w:t>ٍ</w:t>
      </w:r>
      <w:r w:rsidRPr="006571AC">
        <w:rPr>
          <w:rFonts w:ascii="Arabic Typesetting" w:hAnsi="Arabic Typesetting"/>
          <w:sz w:val="27"/>
          <w:rtl/>
          <w:lang w:bidi="ar-LB"/>
        </w:rPr>
        <w:t xml:space="preserve"> لا متناهية، لذا يمكننا أن نستنتج أن عملية الحوار هذه لا تنتهي؛ بمعنى أنه لا يمكن أن نصل إلى مرحلة</w:t>
      </w:r>
      <w:r w:rsidR="00CE0ADE" w:rsidRPr="006571AC">
        <w:rPr>
          <w:rFonts w:ascii="Arabic Typesetting" w:hAnsi="Arabic Typesetting" w:hint="cs"/>
          <w:sz w:val="27"/>
          <w:rtl/>
          <w:lang w:bidi="ar-LB"/>
        </w:rPr>
        <w:t>ٍ</w:t>
      </w:r>
      <w:r w:rsidRPr="006571AC">
        <w:rPr>
          <w:rFonts w:ascii="Arabic Typesetting" w:hAnsi="Arabic Typesetting"/>
          <w:sz w:val="27"/>
          <w:rtl/>
          <w:lang w:bidi="ar-LB"/>
        </w:rPr>
        <w:t xml:space="preserve"> نكون قد استوع</w:t>
      </w:r>
      <w:r w:rsidR="00CE0ADE" w:rsidRPr="006571AC">
        <w:rPr>
          <w:rFonts w:ascii="Arabic Typesetting" w:hAnsi="Arabic Typesetting" w:hint="cs"/>
          <w:sz w:val="27"/>
          <w:rtl/>
          <w:lang w:bidi="ar-LB"/>
        </w:rPr>
        <w:t>َ</w:t>
      </w:r>
      <w:r w:rsidRPr="006571AC">
        <w:rPr>
          <w:rFonts w:ascii="Arabic Typesetting" w:hAnsi="Arabic Typesetting"/>
          <w:sz w:val="27"/>
          <w:rtl/>
          <w:lang w:bidi="ar-LB"/>
        </w:rPr>
        <w:t>ب</w:t>
      </w:r>
      <w:r w:rsidR="00CE0ADE" w:rsidRPr="006571AC">
        <w:rPr>
          <w:rFonts w:ascii="Arabic Typesetting" w:hAnsi="Arabic Typesetting" w:hint="cs"/>
          <w:sz w:val="27"/>
          <w:rtl/>
          <w:lang w:bidi="ar-LB"/>
        </w:rPr>
        <w:t>ْ</w:t>
      </w:r>
      <w:r w:rsidRPr="006571AC">
        <w:rPr>
          <w:rFonts w:ascii="Arabic Typesetting" w:hAnsi="Arabic Typesetting"/>
          <w:sz w:val="27"/>
          <w:rtl/>
          <w:lang w:bidi="ar-LB"/>
        </w:rPr>
        <w:t>نا فيها كل</w:t>
      </w:r>
      <w:r w:rsidR="00CE0ADE" w:rsidRPr="006571AC">
        <w:rPr>
          <w:rFonts w:ascii="Arabic Typesetting" w:hAnsi="Arabic Typesetting" w:hint="cs"/>
          <w:sz w:val="27"/>
          <w:rtl/>
          <w:lang w:bidi="ar-LB"/>
        </w:rPr>
        <w:t>ّ</w:t>
      </w:r>
      <w:r w:rsidRPr="006571AC">
        <w:rPr>
          <w:rFonts w:ascii="Arabic Typesetting" w:hAnsi="Arabic Typesetting"/>
          <w:sz w:val="27"/>
          <w:rtl/>
          <w:lang w:bidi="ar-LB"/>
        </w:rPr>
        <w:t xml:space="preserve"> المعاني القرآنية</w:t>
      </w:r>
      <w:r w:rsidRPr="006571AC">
        <w:rPr>
          <w:rFonts w:ascii="Arabic Typesetting" w:hAnsi="Arabic Typesetting"/>
          <w:sz w:val="27"/>
          <w:vertAlign w:val="superscript"/>
          <w:rtl/>
          <w:lang w:bidi="ar-LB"/>
        </w:rPr>
        <w:t>(</w:t>
      </w:r>
      <w:r w:rsidRPr="006571AC">
        <w:rPr>
          <w:rStyle w:val="ac"/>
          <w:rFonts w:ascii="Arabic Typesetting" w:hAnsi="Arabic Typesetting"/>
          <w:sz w:val="27"/>
          <w:rtl/>
          <w:lang w:bidi="ar-LB"/>
        </w:rPr>
        <w:endnoteReference w:id="593"/>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986754" w:rsidRPr="006571AC" w:rsidRDefault="00986754" w:rsidP="00986754">
      <w:pPr>
        <w:spacing w:line="420" w:lineRule="exact"/>
        <w:rPr>
          <w:rFonts w:ascii="Arabic Typesetting" w:hAnsi="Arabic Typesetting"/>
          <w:sz w:val="27"/>
          <w:rtl/>
          <w:lang w:bidi="ar-LB"/>
        </w:rPr>
      </w:pPr>
    </w:p>
    <w:p w:rsidR="008D51F3" w:rsidRPr="006571AC" w:rsidRDefault="00357787" w:rsidP="00D246D3">
      <w:pPr>
        <w:pStyle w:val="31"/>
        <w:rPr>
          <w:color w:val="auto"/>
          <w:rtl/>
        </w:rPr>
      </w:pPr>
      <w:bookmarkStart w:id="373" w:name="_Toc114164786"/>
      <w:r w:rsidRPr="006571AC">
        <w:rPr>
          <w:rFonts w:hint="cs"/>
          <w:color w:val="auto"/>
          <w:rtl/>
        </w:rPr>
        <w:t>4ـ</w:t>
      </w:r>
      <w:r w:rsidR="008D51F3" w:rsidRPr="006571AC">
        <w:rPr>
          <w:color w:val="auto"/>
          <w:rtl/>
        </w:rPr>
        <w:t xml:space="preserve"> وقفة</w:t>
      </w:r>
      <w:r w:rsidR="00CE0ADE" w:rsidRPr="006571AC">
        <w:rPr>
          <w:rFonts w:hint="cs"/>
          <w:color w:val="auto"/>
          <w:rtl/>
        </w:rPr>
        <w:t>ٌ</w:t>
      </w:r>
      <w:r w:rsidR="008D51F3" w:rsidRPr="006571AC">
        <w:rPr>
          <w:color w:val="auto"/>
          <w:rtl/>
        </w:rPr>
        <w:t xml:space="preserve"> تحليلي</w:t>
      </w:r>
      <w:r w:rsidRPr="006571AC">
        <w:rPr>
          <w:rFonts w:hint="cs"/>
          <w:color w:val="auto"/>
          <w:rtl/>
        </w:rPr>
        <w:t>ّ</w:t>
      </w:r>
      <w:r w:rsidR="008D51F3" w:rsidRPr="006571AC">
        <w:rPr>
          <w:color w:val="auto"/>
          <w:rtl/>
        </w:rPr>
        <w:t>ة مع مباني الشهيد الصدر</w:t>
      </w:r>
      <w:bookmarkEnd w:id="373"/>
    </w:p>
    <w:p w:rsidR="008D51F3" w:rsidRPr="006571AC" w:rsidRDefault="008D51F3" w:rsidP="005B0CA4">
      <w:pPr>
        <w:rPr>
          <w:rFonts w:ascii="Arabic Typesetting" w:hAnsi="Arabic Typesetting"/>
          <w:sz w:val="27"/>
          <w:rtl/>
        </w:rPr>
      </w:pPr>
      <w:r w:rsidRPr="006571AC">
        <w:rPr>
          <w:rFonts w:ascii="Arabic Typesetting" w:hAnsi="Arabic Typesetting"/>
          <w:sz w:val="27"/>
          <w:rtl/>
        </w:rPr>
        <w:t>بعد بيان ما عث</w:t>
      </w:r>
      <w:r w:rsidR="00CE0ADE" w:rsidRPr="006571AC">
        <w:rPr>
          <w:rFonts w:ascii="Arabic Typesetting" w:hAnsi="Arabic Typesetting" w:hint="cs"/>
          <w:sz w:val="27"/>
          <w:rtl/>
        </w:rPr>
        <w:t>َ</w:t>
      </w:r>
      <w:r w:rsidRPr="006571AC">
        <w:rPr>
          <w:rFonts w:ascii="Arabic Typesetting" w:hAnsi="Arabic Typesetting"/>
          <w:sz w:val="27"/>
          <w:rtl/>
        </w:rPr>
        <w:t>ر</w:t>
      </w:r>
      <w:r w:rsidR="00CE0ADE" w:rsidRPr="006571AC">
        <w:rPr>
          <w:rFonts w:ascii="Arabic Typesetting" w:hAnsi="Arabic Typesetting" w:hint="cs"/>
          <w:sz w:val="27"/>
          <w:rtl/>
        </w:rPr>
        <w:t>ْ</w:t>
      </w:r>
      <w:r w:rsidRPr="006571AC">
        <w:rPr>
          <w:rFonts w:ascii="Arabic Typesetting" w:hAnsi="Arabic Typesetting"/>
          <w:sz w:val="27"/>
          <w:rtl/>
        </w:rPr>
        <w:t>نا عليه من مبان</w:t>
      </w:r>
      <w:r w:rsidR="00CE0ADE" w:rsidRPr="006571AC">
        <w:rPr>
          <w:rFonts w:ascii="Arabic Typesetting" w:hAnsi="Arabic Typesetting" w:hint="cs"/>
          <w:sz w:val="27"/>
          <w:rtl/>
        </w:rPr>
        <w:t>ٍ</w:t>
      </w:r>
      <w:r w:rsidRPr="006571AC">
        <w:rPr>
          <w:rFonts w:ascii="Arabic Typesetting" w:hAnsi="Arabic Typesetting"/>
          <w:sz w:val="27"/>
          <w:rtl/>
        </w:rPr>
        <w:t xml:space="preserve"> لفهم النص</w:t>
      </w:r>
      <w:r w:rsidR="00CE0ADE" w:rsidRPr="006571AC">
        <w:rPr>
          <w:rFonts w:ascii="Arabic Typesetting" w:hAnsi="Arabic Typesetting" w:hint="cs"/>
          <w:sz w:val="27"/>
          <w:rtl/>
        </w:rPr>
        <w:t>ّ</w:t>
      </w:r>
      <w:r w:rsidRPr="006571AC">
        <w:rPr>
          <w:rFonts w:ascii="Arabic Typesetting" w:hAnsi="Arabic Typesetting"/>
          <w:sz w:val="27"/>
          <w:rtl/>
        </w:rPr>
        <w:t xml:space="preserve"> عند الشهيد الصدر يمكن القول بأنه قد </w:t>
      </w:r>
      <w:r w:rsidRPr="006571AC">
        <w:rPr>
          <w:rFonts w:ascii="Arabic Typesetting" w:hAnsi="Arabic Typesetting" w:hint="cs"/>
          <w:sz w:val="27"/>
          <w:rtl/>
        </w:rPr>
        <w:t>قام</w:t>
      </w:r>
      <w:r w:rsidRPr="006571AC">
        <w:rPr>
          <w:rFonts w:ascii="Arabic Typesetting" w:hAnsi="Arabic Typesetting"/>
          <w:sz w:val="27"/>
          <w:rtl/>
        </w:rPr>
        <w:t xml:space="preserve"> بخطوات</w:t>
      </w:r>
      <w:r w:rsidR="00CE0ADE" w:rsidRPr="006571AC">
        <w:rPr>
          <w:rFonts w:ascii="Arabic Typesetting" w:hAnsi="Arabic Typesetting" w:hint="cs"/>
          <w:sz w:val="27"/>
          <w:rtl/>
        </w:rPr>
        <w:t>ٍ</w:t>
      </w:r>
      <w:r w:rsidRPr="006571AC">
        <w:rPr>
          <w:rFonts w:ascii="Arabic Typesetting" w:hAnsi="Arabic Typesetting"/>
          <w:sz w:val="27"/>
          <w:rtl/>
        </w:rPr>
        <w:t xml:space="preserve"> كبيرة في مجال فهم النص</w:t>
      </w:r>
      <w:r w:rsidR="00CE0ADE" w:rsidRPr="006571AC">
        <w:rPr>
          <w:rFonts w:ascii="Arabic Typesetting" w:hAnsi="Arabic Typesetting" w:hint="cs"/>
          <w:sz w:val="27"/>
          <w:rtl/>
        </w:rPr>
        <w:t>ّ</w:t>
      </w:r>
      <w:r w:rsidRPr="006571AC">
        <w:rPr>
          <w:rFonts w:ascii="Arabic Typesetting" w:hAnsi="Arabic Typesetting"/>
          <w:sz w:val="27"/>
          <w:rtl/>
        </w:rPr>
        <w:t xml:space="preserve"> الديني والمباحث الهرمنيوطيقية</w:t>
      </w:r>
      <w:r w:rsidR="00CE0ADE" w:rsidRPr="006571AC">
        <w:rPr>
          <w:rFonts w:ascii="Arabic Typesetting" w:hAnsi="Arabic Typesetting" w:hint="cs"/>
          <w:sz w:val="27"/>
          <w:rtl/>
        </w:rPr>
        <w:t>.</w:t>
      </w:r>
      <w:r w:rsidRPr="006571AC">
        <w:rPr>
          <w:rFonts w:ascii="Arabic Typesetting" w:hAnsi="Arabic Typesetting"/>
          <w:sz w:val="27"/>
          <w:rtl/>
        </w:rPr>
        <w:t xml:space="preserve"> ويبدو أنه استطاع أن يتجاوز الملاحظة التي تُسجَّل على غيره من الأصوليين</w:t>
      </w:r>
      <w:r w:rsidR="00C30E30" w:rsidRPr="006571AC">
        <w:rPr>
          <w:rFonts w:ascii="Arabic Typesetting" w:hAnsi="Arabic Typesetting" w:hint="cs"/>
          <w:sz w:val="27"/>
          <w:rtl/>
        </w:rPr>
        <w:t>؛</w:t>
      </w:r>
      <w:r w:rsidRPr="006571AC">
        <w:rPr>
          <w:rFonts w:ascii="Arabic Typesetting" w:hAnsi="Arabic Typesetting"/>
          <w:sz w:val="27"/>
          <w:rtl/>
        </w:rPr>
        <w:t xml:space="preserve"> حيث لم يخرجوا عن إطار بحث حج</w:t>
      </w:r>
      <w:r w:rsidR="00C30E30" w:rsidRPr="006571AC">
        <w:rPr>
          <w:rFonts w:ascii="Arabic Typesetting" w:hAnsi="Arabic Typesetting" w:hint="cs"/>
          <w:sz w:val="27"/>
          <w:rtl/>
        </w:rPr>
        <w:t>ِّ</w:t>
      </w:r>
      <w:r w:rsidRPr="006571AC">
        <w:rPr>
          <w:rFonts w:ascii="Arabic Typesetting" w:hAnsi="Arabic Typesetting"/>
          <w:sz w:val="27"/>
          <w:rtl/>
        </w:rPr>
        <w:t>ية النص</w:t>
      </w:r>
      <w:r w:rsidR="00C30E30" w:rsidRPr="006571AC">
        <w:rPr>
          <w:rFonts w:ascii="Arabic Typesetting" w:hAnsi="Arabic Typesetting" w:hint="cs"/>
          <w:sz w:val="27"/>
          <w:rtl/>
        </w:rPr>
        <w:t>ّ</w:t>
      </w:r>
      <w:r w:rsidRPr="006571AC">
        <w:rPr>
          <w:rFonts w:ascii="Arabic Typesetting" w:hAnsi="Arabic Typesetting"/>
          <w:sz w:val="27"/>
          <w:rtl/>
        </w:rPr>
        <w:t xml:space="preserve"> الديني ـ بمعنى المنج</w:t>
      </w:r>
      <w:r w:rsidR="00C30E30" w:rsidRPr="006571AC">
        <w:rPr>
          <w:rFonts w:ascii="Arabic Typesetting" w:hAnsi="Arabic Typesetting" w:hint="cs"/>
          <w:sz w:val="27"/>
          <w:rtl/>
        </w:rPr>
        <w:t>ِّ</w:t>
      </w:r>
      <w:r w:rsidRPr="006571AC">
        <w:rPr>
          <w:rFonts w:ascii="Arabic Typesetting" w:hAnsi="Arabic Typesetting"/>
          <w:sz w:val="27"/>
          <w:rtl/>
        </w:rPr>
        <w:t>زية والمعذّ</w:t>
      </w:r>
      <w:r w:rsidR="00C30E30" w:rsidRPr="006571AC">
        <w:rPr>
          <w:rFonts w:ascii="Arabic Typesetting" w:hAnsi="Arabic Typesetting" w:hint="cs"/>
          <w:sz w:val="27"/>
          <w:rtl/>
        </w:rPr>
        <w:t>ِ</w:t>
      </w:r>
      <w:r w:rsidRPr="006571AC">
        <w:rPr>
          <w:rFonts w:ascii="Arabic Typesetting" w:hAnsi="Arabic Typesetting"/>
          <w:sz w:val="27"/>
          <w:rtl/>
        </w:rPr>
        <w:t>رية</w:t>
      </w:r>
      <w:r w:rsidR="00C30E30" w:rsidRPr="006571AC">
        <w:rPr>
          <w:rFonts w:ascii="Arabic Typesetting" w:hAnsi="Arabic Typesetting"/>
          <w:sz w:val="27"/>
          <w:rtl/>
        </w:rPr>
        <w:t xml:space="preserve"> ـ</w:t>
      </w:r>
      <w:r w:rsidRPr="006571AC">
        <w:rPr>
          <w:rFonts w:ascii="Arabic Typesetting" w:hAnsi="Arabic Typesetting"/>
          <w:sz w:val="27"/>
          <w:rtl/>
        </w:rPr>
        <w:t>. وقد فعل ذلك أثناء ردّه على المانع الأول ـ اختصاص الفهم بم</w:t>
      </w:r>
      <w:r w:rsidR="00C30E30" w:rsidRPr="006571AC">
        <w:rPr>
          <w:rFonts w:ascii="Arabic Typesetting" w:hAnsi="Arabic Typesetting" w:hint="cs"/>
          <w:sz w:val="27"/>
          <w:rtl/>
        </w:rPr>
        <w:t>َ</w:t>
      </w:r>
      <w:r w:rsidRPr="006571AC">
        <w:rPr>
          <w:rFonts w:ascii="Arabic Typesetting" w:hAnsi="Arabic Typesetting"/>
          <w:sz w:val="27"/>
          <w:rtl/>
        </w:rPr>
        <w:t>ن</w:t>
      </w:r>
      <w:r w:rsidR="00C30E30" w:rsidRPr="006571AC">
        <w:rPr>
          <w:rFonts w:ascii="Arabic Typesetting" w:hAnsi="Arabic Typesetting" w:hint="cs"/>
          <w:sz w:val="27"/>
          <w:rtl/>
        </w:rPr>
        <w:t>ْ</w:t>
      </w:r>
      <w:r w:rsidRPr="006571AC">
        <w:rPr>
          <w:rFonts w:ascii="Arabic Typesetting" w:hAnsi="Arabic Typesetting"/>
          <w:sz w:val="27"/>
          <w:rtl/>
        </w:rPr>
        <w:t xml:space="preserve"> قُصد إفهامه ـ، وفي طيّات بعض المباني الأخرى.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وكيفما كان، فإنه يمكننا</w:t>
      </w:r>
      <w:r w:rsidR="00C30E30" w:rsidRPr="006571AC">
        <w:rPr>
          <w:rFonts w:ascii="Arabic Typesetting" w:hAnsi="Arabic Typesetting" w:hint="cs"/>
          <w:sz w:val="27"/>
          <w:rtl/>
        </w:rPr>
        <w:t>؛</w:t>
      </w:r>
      <w:r w:rsidRPr="006571AC">
        <w:rPr>
          <w:rFonts w:ascii="Arabic Typesetting" w:hAnsi="Arabic Typesetting"/>
          <w:sz w:val="27"/>
          <w:rtl/>
        </w:rPr>
        <w:t xml:space="preserve"> انطلاقا</w:t>
      </w:r>
      <w:r w:rsidR="00C30E30" w:rsidRPr="006571AC">
        <w:rPr>
          <w:rFonts w:ascii="Arabic Typesetting" w:hAnsi="Arabic Typesetting" w:hint="cs"/>
          <w:sz w:val="27"/>
          <w:rtl/>
        </w:rPr>
        <w:t>ً</w:t>
      </w:r>
      <w:r w:rsidRPr="006571AC">
        <w:rPr>
          <w:rFonts w:ascii="Arabic Typesetting" w:hAnsi="Arabic Typesetting"/>
          <w:sz w:val="27"/>
          <w:rtl/>
        </w:rPr>
        <w:t xml:space="preserve"> من مباني الشهيد الصدر</w:t>
      </w:r>
      <w:r w:rsidR="00C30E30" w:rsidRPr="006571AC">
        <w:rPr>
          <w:rFonts w:ascii="Arabic Typesetting" w:hAnsi="Arabic Typesetting" w:hint="cs"/>
          <w:sz w:val="27"/>
          <w:rtl/>
        </w:rPr>
        <w:t>،</w:t>
      </w:r>
      <w:r w:rsidRPr="006571AC">
        <w:rPr>
          <w:rFonts w:ascii="Arabic Typesetting" w:hAnsi="Arabic Typesetting"/>
          <w:sz w:val="27"/>
          <w:rtl/>
        </w:rPr>
        <w:t xml:space="preserve"> أن نجيب عن بعض الأسئلة الهرمنيوطيقية التي تقدّ</w:t>
      </w:r>
      <w:r w:rsidR="00C30E30" w:rsidRPr="006571AC">
        <w:rPr>
          <w:rFonts w:ascii="Arabic Typesetting" w:hAnsi="Arabic Typesetting" w:hint="cs"/>
          <w:sz w:val="27"/>
          <w:rtl/>
        </w:rPr>
        <w:t>َ</w:t>
      </w:r>
      <w:r w:rsidRPr="006571AC">
        <w:rPr>
          <w:rFonts w:ascii="Arabic Typesetting" w:hAnsi="Arabic Typesetting"/>
          <w:sz w:val="27"/>
          <w:rtl/>
        </w:rPr>
        <w:t xml:space="preserve">م ذكرها: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في</w:t>
      </w:r>
      <w:r w:rsidR="00C30E30" w:rsidRPr="006571AC">
        <w:rPr>
          <w:rFonts w:ascii="Arabic Typesetting" w:hAnsi="Arabic Typesetting" w:hint="cs"/>
          <w:b/>
          <w:bCs/>
          <w:sz w:val="27"/>
          <w:rtl/>
        </w:rPr>
        <w:t xml:space="preserve"> </w:t>
      </w:r>
      <w:r w:rsidRPr="006571AC">
        <w:rPr>
          <w:rFonts w:ascii="Arabic Typesetting" w:hAnsi="Arabic Typesetting"/>
          <w:b/>
          <w:bCs/>
          <w:sz w:val="27"/>
          <w:rtl/>
        </w:rPr>
        <w:t>ما يرتبط بإمكان فهم النص</w:t>
      </w:r>
      <w:r w:rsidR="00C30E30" w:rsidRPr="006571AC">
        <w:rPr>
          <w:rFonts w:ascii="Arabic Typesetting" w:hAnsi="Arabic Typesetting" w:hint="cs"/>
          <w:sz w:val="27"/>
          <w:rtl/>
        </w:rPr>
        <w:t>ّ،</w:t>
      </w:r>
      <w:r w:rsidRPr="006571AC">
        <w:rPr>
          <w:rFonts w:ascii="Arabic Typesetting" w:hAnsi="Arabic Typesetting"/>
          <w:sz w:val="27"/>
          <w:rtl/>
        </w:rPr>
        <w:t xml:space="preserve"> فقد ذهب الشهيد الصدر إلى إمكان ذلك، ويكون قد وافق بذلك بعض الاتجاهات الهرمنيوطيقية؛ لكنه كشف عن نكات</w:t>
      </w:r>
      <w:r w:rsidR="00C30E30" w:rsidRPr="006571AC">
        <w:rPr>
          <w:rFonts w:ascii="Arabic Typesetting" w:hAnsi="Arabic Typesetting" w:hint="cs"/>
          <w:sz w:val="27"/>
          <w:rtl/>
        </w:rPr>
        <w:t>ٍ</w:t>
      </w:r>
      <w:r w:rsidRPr="006571AC">
        <w:rPr>
          <w:rFonts w:ascii="Arabic Typesetting" w:hAnsi="Arabic Typesetting"/>
          <w:sz w:val="27"/>
          <w:rtl/>
        </w:rPr>
        <w:t xml:space="preserve"> مهم</w:t>
      </w:r>
      <w:r w:rsidR="00C30E30" w:rsidRPr="006571AC">
        <w:rPr>
          <w:rFonts w:ascii="Arabic Typesetting" w:hAnsi="Arabic Typesetting" w:hint="cs"/>
          <w:sz w:val="27"/>
          <w:rtl/>
        </w:rPr>
        <w:t>ّ</w:t>
      </w:r>
      <w:r w:rsidRPr="006571AC">
        <w:rPr>
          <w:rFonts w:ascii="Arabic Typesetting" w:hAnsi="Arabic Typesetting"/>
          <w:sz w:val="27"/>
          <w:rtl/>
        </w:rPr>
        <w:t>ة</w:t>
      </w:r>
      <w:r w:rsidR="00C30E30" w:rsidRPr="006571AC">
        <w:rPr>
          <w:rFonts w:ascii="Arabic Typesetting" w:hAnsi="Arabic Typesetting" w:hint="cs"/>
          <w:sz w:val="27"/>
          <w:rtl/>
        </w:rPr>
        <w:t>ٍ</w:t>
      </w:r>
      <w:r w:rsidRPr="006571AC">
        <w:rPr>
          <w:rFonts w:ascii="Arabic Typesetting" w:hAnsi="Arabic Typesetting"/>
          <w:sz w:val="27"/>
          <w:rtl/>
        </w:rPr>
        <w:t xml:space="preserve"> جد</w:t>
      </w:r>
      <w:r w:rsidR="00C30E30" w:rsidRPr="006571AC">
        <w:rPr>
          <w:rFonts w:ascii="Arabic Typesetting" w:hAnsi="Arabic Typesetting" w:hint="cs"/>
          <w:sz w:val="27"/>
          <w:rtl/>
        </w:rPr>
        <w:t>ّاً</w:t>
      </w:r>
      <w:r w:rsidRPr="006571AC">
        <w:rPr>
          <w:rFonts w:ascii="Arabic Typesetting" w:hAnsi="Arabic Typesetting"/>
          <w:sz w:val="27"/>
          <w:rtl/>
        </w:rPr>
        <w:t xml:space="preserve"> في عملية فهم النص</w:t>
      </w:r>
      <w:r w:rsidR="00C30E30" w:rsidRPr="006571AC">
        <w:rPr>
          <w:rFonts w:ascii="Arabic Typesetting" w:hAnsi="Arabic Typesetting" w:hint="cs"/>
          <w:sz w:val="27"/>
          <w:rtl/>
        </w:rPr>
        <w:t>ّ،</w:t>
      </w:r>
      <w:r w:rsidRPr="006571AC">
        <w:rPr>
          <w:rFonts w:ascii="Arabic Typesetting" w:hAnsi="Arabic Typesetting"/>
          <w:sz w:val="27"/>
          <w:rtl/>
        </w:rPr>
        <w:t xml:space="preserve"> والوصول إلى مراد المؤل</w:t>
      </w:r>
      <w:r w:rsidR="00C30E30" w:rsidRPr="006571AC">
        <w:rPr>
          <w:rFonts w:ascii="Arabic Typesetting" w:hAnsi="Arabic Typesetting" w:hint="cs"/>
          <w:sz w:val="27"/>
          <w:rtl/>
        </w:rPr>
        <w:t>ِّ</w:t>
      </w:r>
      <w:r w:rsidRPr="006571AC">
        <w:rPr>
          <w:rFonts w:ascii="Arabic Typesetting" w:hAnsi="Arabic Typesetting"/>
          <w:sz w:val="27"/>
          <w:rtl/>
        </w:rPr>
        <w:t>ف، وهي الأصول النوعية العقلائية</w:t>
      </w:r>
      <w:r w:rsidR="00C30E30" w:rsidRPr="006571AC">
        <w:rPr>
          <w:rFonts w:ascii="Arabic Typesetting" w:hAnsi="Arabic Typesetting" w:hint="cs"/>
          <w:sz w:val="27"/>
          <w:rtl/>
        </w:rPr>
        <w:t>،</w:t>
      </w:r>
      <w:r w:rsidRPr="006571AC">
        <w:rPr>
          <w:rFonts w:ascii="Arabic Typesetting" w:hAnsi="Arabic Typesetting"/>
          <w:sz w:val="27"/>
          <w:rtl/>
        </w:rPr>
        <w:t xml:space="preserve"> التي لها حيثي</w:t>
      </w:r>
      <w:r w:rsidR="00C30E30" w:rsidRPr="006571AC">
        <w:rPr>
          <w:rFonts w:ascii="Arabic Typesetting" w:hAnsi="Arabic Typesetting" w:hint="cs"/>
          <w:sz w:val="27"/>
          <w:rtl/>
        </w:rPr>
        <w:t>ّ</w:t>
      </w:r>
      <w:r w:rsidRPr="006571AC">
        <w:rPr>
          <w:rFonts w:ascii="Arabic Typesetting" w:hAnsi="Arabic Typesetting"/>
          <w:sz w:val="27"/>
          <w:rtl/>
        </w:rPr>
        <w:t xml:space="preserve">ة كشف عن المراد.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وتعرّ</w:t>
      </w:r>
      <w:r w:rsidR="00C30E30" w:rsidRPr="006571AC">
        <w:rPr>
          <w:rFonts w:ascii="Arabic Typesetting" w:hAnsi="Arabic Typesetting" w:hint="cs"/>
          <w:b/>
          <w:bCs/>
          <w:sz w:val="27"/>
          <w:rtl/>
        </w:rPr>
        <w:t>َ</w:t>
      </w:r>
      <w:r w:rsidRPr="006571AC">
        <w:rPr>
          <w:rFonts w:ascii="Arabic Typesetting" w:hAnsi="Arabic Typesetting"/>
          <w:b/>
          <w:bCs/>
          <w:sz w:val="27"/>
          <w:rtl/>
        </w:rPr>
        <w:t>ض لمسألة تاريخي</w:t>
      </w:r>
      <w:r w:rsidR="00C30E30" w:rsidRPr="006571AC">
        <w:rPr>
          <w:rFonts w:ascii="Arabic Typesetting" w:hAnsi="Arabic Typesetting" w:hint="cs"/>
          <w:b/>
          <w:bCs/>
          <w:sz w:val="27"/>
          <w:rtl/>
        </w:rPr>
        <w:t>ّ</w:t>
      </w:r>
      <w:r w:rsidRPr="006571AC">
        <w:rPr>
          <w:rFonts w:ascii="Arabic Typesetting" w:hAnsi="Arabic Typesetting"/>
          <w:b/>
          <w:bCs/>
          <w:sz w:val="27"/>
          <w:rtl/>
        </w:rPr>
        <w:t>ة النص</w:t>
      </w:r>
      <w:r w:rsidR="00C30E30" w:rsidRPr="006571AC">
        <w:rPr>
          <w:rFonts w:ascii="Arabic Typesetting" w:hAnsi="Arabic Typesetting" w:hint="cs"/>
          <w:b/>
          <w:bCs/>
          <w:sz w:val="27"/>
          <w:rtl/>
        </w:rPr>
        <w:t>ّ</w:t>
      </w:r>
      <w:r w:rsidRPr="006571AC">
        <w:rPr>
          <w:rFonts w:ascii="Arabic Typesetting" w:hAnsi="Arabic Typesetting"/>
          <w:sz w:val="27"/>
          <w:rtl/>
        </w:rPr>
        <w:t>، بمعنى أن النص</w:t>
      </w:r>
      <w:r w:rsidR="00C30E30" w:rsidRPr="006571AC">
        <w:rPr>
          <w:rFonts w:ascii="Arabic Typesetting" w:hAnsi="Arabic Typesetting" w:hint="cs"/>
          <w:sz w:val="27"/>
          <w:rtl/>
        </w:rPr>
        <w:t>ّ</w:t>
      </w:r>
      <w:r w:rsidRPr="006571AC">
        <w:rPr>
          <w:rFonts w:ascii="Arabic Typesetting" w:hAnsi="Arabic Typesetting"/>
          <w:sz w:val="27"/>
          <w:rtl/>
        </w:rPr>
        <w:t xml:space="preserve"> وُلد في ظرف</w:t>
      </w:r>
      <w:r w:rsidR="00C30E30" w:rsidRPr="006571AC">
        <w:rPr>
          <w:rFonts w:ascii="Arabic Typesetting" w:hAnsi="Arabic Typesetting" w:hint="cs"/>
          <w:sz w:val="27"/>
          <w:rtl/>
        </w:rPr>
        <w:t>ٍ</w:t>
      </w:r>
      <w:r w:rsidRPr="006571AC">
        <w:rPr>
          <w:rFonts w:ascii="Arabic Typesetting" w:hAnsi="Arabic Typesetting"/>
          <w:sz w:val="27"/>
          <w:rtl/>
        </w:rPr>
        <w:t xml:space="preserve"> تاريخي</w:t>
      </w:r>
      <w:r w:rsidR="00C30E30" w:rsidRPr="006571AC">
        <w:rPr>
          <w:rFonts w:ascii="Arabic Typesetting" w:hAnsi="Arabic Typesetting" w:hint="cs"/>
          <w:sz w:val="27"/>
          <w:rtl/>
        </w:rPr>
        <w:t>ّ</w:t>
      </w:r>
      <w:r w:rsidRPr="006571AC">
        <w:rPr>
          <w:rFonts w:ascii="Arabic Typesetting" w:hAnsi="Arabic Typesetting"/>
          <w:sz w:val="27"/>
          <w:rtl/>
        </w:rPr>
        <w:t xml:space="preserve"> محد</w:t>
      </w:r>
      <w:r w:rsidR="00C30E30" w:rsidRPr="006571AC">
        <w:rPr>
          <w:rFonts w:ascii="Arabic Typesetting" w:hAnsi="Arabic Typesetting" w:hint="cs"/>
          <w:sz w:val="27"/>
          <w:rtl/>
        </w:rPr>
        <w:t>َّ</w:t>
      </w:r>
      <w:r w:rsidRPr="006571AC">
        <w:rPr>
          <w:rFonts w:ascii="Arabic Typesetting" w:hAnsi="Arabic Typesetting"/>
          <w:sz w:val="27"/>
          <w:rtl/>
        </w:rPr>
        <w:t>د، ف</w:t>
      </w:r>
      <w:r w:rsidR="00731867" w:rsidRPr="006571AC">
        <w:rPr>
          <w:rFonts w:ascii="Arabic Typesetting" w:hAnsi="Arabic Typesetting"/>
          <w:sz w:val="27"/>
          <w:rtl/>
        </w:rPr>
        <w:t>لا بُدَّ</w:t>
      </w:r>
      <w:r w:rsidRPr="006571AC">
        <w:rPr>
          <w:rFonts w:ascii="Arabic Typesetting" w:hAnsi="Arabic Typesetting"/>
          <w:sz w:val="27"/>
          <w:rtl/>
        </w:rPr>
        <w:t xml:space="preserve"> من ملاحظة ذلك الظرف</w:t>
      </w:r>
      <w:r w:rsidR="00C30E30" w:rsidRPr="006571AC">
        <w:rPr>
          <w:rFonts w:ascii="Arabic Typesetting" w:hAnsi="Arabic Typesetting" w:hint="cs"/>
          <w:sz w:val="27"/>
          <w:rtl/>
        </w:rPr>
        <w:t>؛</w:t>
      </w:r>
      <w:r w:rsidRPr="006571AC">
        <w:rPr>
          <w:rFonts w:ascii="Arabic Typesetting" w:hAnsi="Arabic Typesetting"/>
          <w:sz w:val="27"/>
          <w:rtl/>
        </w:rPr>
        <w:t xml:space="preserve"> حتى نتمكّ</w:t>
      </w:r>
      <w:r w:rsidR="00C30E30" w:rsidRPr="006571AC">
        <w:rPr>
          <w:rFonts w:ascii="Arabic Typesetting" w:hAnsi="Arabic Typesetting" w:hint="cs"/>
          <w:sz w:val="27"/>
          <w:rtl/>
        </w:rPr>
        <w:t>َ</w:t>
      </w:r>
      <w:r w:rsidRPr="006571AC">
        <w:rPr>
          <w:rFonts w:ascii="Arabic Typesetting" w:hAnsi="Arabic Typesetting"/>
          <w:sz w:val="27"/>
          <w:rtl/>
        </w:rPr>
        <w:t>ن من فهمه بشكل</w:t>
      </w:r>
      <w:r w:rsidR="00C30E30" w:rsidRPr="006571AC">
        <w:rPr>
          <w:rFonts w:ascii="Arabic Typesetting" w:hAnsi="Arabic Typesetting" w:hint="cs"/>
          <w:sz w:val="27"/>
          <w:rtl/>
        </w:rPr>
        <w:t>ٍ</w:t>
      </w:r>
      <w:r w:rsidRPr="006571AC">
        <w:rPr>
          <w:rFonts w:ascii="Arabic Typesetting" w:hAnsi="Arabic Typesetting"/>
          <w:sz w:val="27"/>
          <w:rtl/>
        </w:rPr>
        <w:t xml:space="preserve"> صحيح. وقد قدّ</w:t>
      </w:r>
      <w:r w:rsidR="00C30E30" w:rsidRPr="006571AC">
        <w:rPr>
          <w:rFonts w:ascii="Arabic Typesetting" w:hAnsi="Arabic Typesetting" w:hint="cs"/>
          <w:sz w:val="27"/>
          <w:rtl/>
        </w:rPr>
        <w:t>َ</w:t>
      </w:r>
      <w:r w:rsidRPr="006571AC">
        <w:rPr>
          <w:rFonts w:ascii="Arabic Typesetting" w:hAnsi="Arabic Typesetting"/>
          <w:sz w:val="27"/>
          <w:rtl/>
        </w:rPr>
        <w:t>م الشهيد الصدر ح</w:t>
      </w:r>
      <w:r w:rsidR="003C2639" w:rsidRPr="006571AC">
        <w:rPr>
          <w:rFonts w:ascii="Arabic Typesetting" w:hAnsi="Arabic Typesetting"/>
          <w:sz w:val="27"/>
          <w:rtl/>
        </w:rPr>
        <w:t>لاّ</w:t>
      </w:r>
      <w:r w:rsidR="00C30E30" w:rsidRPr="006571AC">
        <w:rPr>
          <w:rFonts w:ascii="Arabic Typesetting" w:hAnsi="Arabic Typesetting" w:hint="cs"/>
          <w:sz w:val="27"/>
          <w:rtl/>
        </w:rPr>
        <w:t>ً</w:t>
      </w:r>
      <w:r w:rsidRPr="006571AC">
        <w:rPr>
          <w:rFonts w:ascii="Arabic Typesetting" w:hAnsi="Arabic Typesetting"/>
          <w:sz w:val="27"/>
          <w:rtl/>
        </w:rPr>
        <w:t xml:space="preserve"> لتجاوز هذه المسافة التاريخية بين المفسِّر والنص</w:t>
      </w:r>
      <w:r w:rsidR="00C30E30" w:rsidRPr="006571AC">
        <w:rPr>
          <w:rFonts w:ascii="Arabic Typesetting" w:hAnsi="Arabic Typesetting" w:hint="cs"/>
          <w:sz w:val="27"/>
          <w:rtl/>
        </w:rPr>
        <w:t>ّ</w:t>
      </w:r>
      <w:r w:rsidRPr="006571AC">
        <w:rPr>
          <w:rFonts w:ascii="Arabic Typesetting" w:hAnsi="Arabic Typesetting"/>
          <w:sz w:val="27"/>
          <w:rtl/>
        </w:rPr>
        <w:t>. ويشترك في هذا الحل</w:t>
      </w:r>
      <w:r w:rsidR="00C30E30" w:rsidRPr="006571AC">
        <w:rPr>
          <w:rFonts w:ascii="Arabic Typesetting" w:hAnsi="Arabic Typesetting" w:hint="cs"/>
          <w:sz w:val="27"/>
          <w:rtl/>
        </w:rPr>
        <w:t>ّ</w:t>
      </w:r>
      <w:r w:rsidRPr="006571AC">
        <w:rPr>
          <w:rFonts w:ascii="Arabic Typesetting" w:hAnsi="Arabic Typesetting"/>
          <w:sz w:val="27"/>
          <w:rtl/>
        </w:rPr>
        <w:t xml:space="preserve"> المباني التالية: الظهور الموضوعي في عصر النص</w:t>
      </w:r>
      <w:r w:rsidR="00C30E30" w:rsidRPr="006571AC">
        <w:rPr>
          <w:rFonts w:ascii="Arabic Typesetting" w:hAnsi="Arabic Typesetting" w:hint="cs"/>
          <w:sz w:val="27"/>
          <w:rtl/>
        </w:rPr>
        <w:t>ّ</w:t>
      </w:r>
      <w:r w:rsidRPr="006571AC">
        <w:rPr>
          <w:rFonts w:ascii="Arabic Typesetting" w:hAnsi="Arabic Typesetting"/>
          <w:sz w:val="27"/>
          <w:rtl/>
        </w:rPr>
        <w:t xml:space="preserve">، والقبليات الضرورية لفهم </w:t>
      </w:r>
      <w:r w:rsidRPr="006571AC">
        <w:rPr>
          <w:rFonts w:ascii="Arabic Typesetting" w:hAnsi="Arabic Typesetting"/>
          <w:sz w:val="27"/>
          <w:rtl/>
        </w:rPr>
        <w:lastRenderedPageBreak/>
        <w:t>النص</w:t>
      </w:r>
      <w:r w:rsidR="00C30E30" w:rsidRPr="006571AC">
        <w:rPr>
          <w:rFonts w:ascii="Arabic Typesetting" w:hAnsi="Arabic Typesetting" w:hint="cs"/>
          <w:sz w:val="27"/>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وفي</w:t>
      </w:r>
      <w:r w:rsidR="00C30E30" w:rsidRPr="006571AC">
        <w:rPr>
          <w:rFonts w:ascii="Arabic Typesetting" w:hAnsi="Arabic Typesetting" w:hint="cs"/>
          <w:b/>
          <w:bCs/>
          <w:sz w:val="27"/>
          <w:rtl/>
        </w:rPr>
        <w:t xml:space="preserve"> </w:t>
      </w:r>
      <w:r w:rsidRPr="006571AC">
        <w:rPr>
          <w:rFonts w:ascii="Arabic Typesetting" w:hAnsi="Arabic Typesetting"/>
          <w:b/>
          <w:bCs/>
          <w:sz w:val="27"/>
          <w:rtl/>
        </w:rPr>
        <w:t>ما يرتبط بالقبليات المعرفية</w:t>
      </w:r>
      <w:r w:rsidRPr="006571AC">
        <w:rPr>
          <w:rFonts w:ascii="Arabic Typesetting" w:hAnsi="Arabic Typesetting"/>
          <w:sz w:val="27"/>
          <w:rtl/>
        </w:rPr>
        <w:t xml:space="preserve">، فإننا نعلم أن أنصار الهرمنيوطيقا الفلسفية ذهبوا إلى القول: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أو</w:t>
      </w:r>
      <w:r w:rsidR="00C30E30" w:rsidRPr="006571AC">
        <w:rPr>
          <w:rFonts w:ascii="Arabic Typesetting" w:hAnsi="Arabic Typesetting" w:hint="cs"/>
          <w:b/>
          <w:bCs/>
          <w:sz w:val="27"/>
          <w:rtl/>
        </w:rPr>
        <w:t>ّ</w:t>
      </w:r>
      <w:r w:rsidRPr="006571AC">
        <w:rPr>
          <w:rFonts w:ascii="Arabic Typesetting" w:hAnsi="Arabic Typesetting"/>
          <w:b/>
          <w:bCs/>
          <w:sz w:val="27"/>
          <w:rtl/>
        </w:rPr>
        <w:t>لا</w:t>
      </w:r>
      <w:r w:rsidRPr="006571AC">
        <w:rPr>
          <w:rFonts w:ascii="Arabic Typesetting" w:hAnsi="Arabic Typesetting" w:hint="cs"/>
          <w:b/>
          <w:bCs/>
          <w:sz w:val="27"/>
          <w:rtl/>
        </w:rPr>
        <w:t>ً</w:t>
      </w:r>
      <w:r w:rsidRPr="006571AC">
        <w:rPr>
          <w:rFonts w:ascii="Arabic Typesetting" w:hAnsi="Arabic Typesetting"/>
          <w:sz w:val="27"/>
          <w:rtl/>
        </w:rPr>
        <w:t>: إن تحق</w:t>
      </w:r>
      <w:r w:rsidR="00C30E30" w:rsidRPr="006571AC">
        <w:rPr>
          <w:rFonts w:ascii="Arabic Typesetting" w:hAnsi="Arabic Typesetting" w:hint="cs"/>
          <w:sz w:val="27"/>
          <w:rtl/>
        </w:rPr>
        <w:t>ُّ</w:t>
      </w:r>
      <w:r w:rsidRPr="006571AC">
        <w:rPr>
          <w:rFonts w:ascii="Arabic Typesetting" w:hAnsi="Arabic Typesetting"/>
          <w:sz w:val="27"/>
          <w:rtl/>
        </w:rPr>
        <w:t>ق الفهم مرتبط</w:t>
      </w:r>
      <w:r w:rsidR="00C30E30" w:rsidRPr="006571AC">
        <w:rPr>
          <w:rFonts w:ascii="Arabic Typesetting" w:hAnsi="Arabic Typesetting" w:hint="cs"/>
          <w:sz w:val="27"/>
          <w:rtl/>
        </w:rPr>
        <w:t>ٌ</w:t>
      </w:r>
      <w:r w:rsidRPr="006571AC">
        <w:rPr>
          <w:rFonts w:ascii="Arabic Typesetting" w:hAnsi="Arabic Typesetting"/>
          <w:sz w:val="27"/>
          <w:rtl/>
        </w:rPr>
        <w:t xml:space="preserve"> بهذه القبليات؛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وثانيا</w:t>
      </w:r>
      <w:r w:rsidR="00C30E30" w:rsidRPr="006571AC">
        <w:rPr>
          <w:rFonts w:ascii="Arabic Typesetting" w:hAnsi="Arabic Typesetting" w:hint="cs"/>
          <w:sz w:val="27"/>
          <w:rtl/>
        </w:rPr>
        <w:t>ً</w:t>
      </w:r>
      <w:r w:rsidRPr="006571AC">
        <w:rPr>
          <w:rFonts w:ascii="Arabic Typesetting" w:hAnsi="Arabic Typesetting"/>
          <w:sz w:val="27"/>
          <w:rtl/>
        </w:rPr>
        <w:t>: لا يمكن لهذه القبليات أن تنفك عن المفسِّر</w:t>
      </w:r>
      <w:r w:rsidR="00C30E30" w:rsidRPr="006571AC">
        <w:rPr>
          <w:rFonts w:ascii="Arabic Typesetting" w:hAnsi="Arabic Typesetting" w:hint="cs"/>
          <w:sz w:val="27"/>
          <w:rtl/>
        </w:rPr>
        <w:t>،</w:t>
      </w:r>
      <w:r w:rsidRPr="006571AC">
        <w:rPr>
          <w:rFonts w:ascii="Arabic Typesetting" w:hAnsi="Arabic Typesetting"/>
          <w:sz w:val="27"/>
          <w:rtl/>
        </w:rPr>
        <w:t xml:space="preserve"> بل إنه يعتمد عليها بنحو</w:t>
      </w:r>
      <w:r w:rsidR="00C30E30" w:rsidRPr="006571AC">
        <w:rPr>
          <w:rFonts w:ascii="Arabic Typesetting" w:hAnsi="Arabic Typesetting" w:hint="cs"/>
          <w:sz w:val="27"/>
          <w:rtl/>
        </w:rPr>
        <w:t>ٍ</w:t>
      </w:r>
      <w:r w:rsidRPr="006571AC">
        <w:rPr>
          <w:rFonts w:ascii="Arabic Typesetting" w:hAnsi="Arabic Typesetting"/>
          <w:sz w:val="27"/>
          <w:rtl/>
        </w:rPr>
        <w:t xml:space="preserve"> لا إرادي</w:t>
      </w:r>
      <w:r w:rsidR="00C30E30" w:rsidRPr="006571AC">
        <w:rPr>
          <w:rFonts w:ascii="Arabic Typesetting" w:hAnsi="Arabic Typesetting" w:hint="cs"/>
          <w:sz w:val="27"/>
          <w:rtl/>
        </w:rPr>
        <w:t>ّ</w:t>
      </w:r>
      <w:r w:rsidRPr="006571AC">
        <w:rPr>
          <w:rFonts w:ascii="Arabic Typesetting" w:hAnsi="Arabic Typesetting"/>
          <w:sz w:val="27"/>
          <w:rtl/>
        </w:rPr>
        <w:t xml:space="preserve"> في فهم النص</w:t>
      </w:r>
      <w:r w:rsidR="00C30E30" w:rsidRPr="006571AC">
        <w:rPr>
          <w:rFonts w:ascii="Arabic Typesetting" w:hAnsi="Arabic Typesetting" w:hint="cs"/>
          <w:sz w:val="27"/>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وثالثا</w:t>
      </w:r>
      <w:r w:rsidR="00C30E30" w:rsidRPr="006571AC">
        <w:rPr>
          <w:rFonts w:ascii="Arabic Typesetting" w:hAnsi="Arabic Typesetting" w:hint="cs"/>
          <w:sz w:val="27"/>
          <w:rtl/>
        </w:rPr>
        <w:t>ً</w:t>
      </w:r>
      <w:r w:rsidRPr="006571AC">
        <w:rPr>
          <w:rFonts w:ascii="Arabic Typesetting" w:hAnsi="Arabic Typesetting"/>
          <w:sz w:val="27"/>
          <w:rtl/>
        </w:rPr>
        <w:t>: إن كل</w:t>
      </w:r>
      <w:r w:rsidR="00B1324D" w:rsidRPr="006571AC">
        <w:rPr>
          <w:rFonts w:ascii="Arabic Typesetting" w:hAnsi="Arabic Typesetting" w:hint="cs"/>
          <w:sz w:val="27"/>
          <w:rtl/>
        </w:rPr>
        <w:t>ّ</w:t>
      </w:r>
      <w:r w:rsidRPr="006571AC">
        <w:rPr>
          <w:rFonts w:ascii="Arabic Typesetting" w:hAnsi="Arabic Typesetting"/>
          <w:sz w:val="27"/>
          <w:rtl/>
        </w:rPr>
        <w:t xml:space="preserve"> هذه القبليات والأحكام المسبقة تمنع المفس</w:t>
      </w:r>
      <w:r w:rsidR="00C30E30" w:rsidRPr="006571AC">
        <w:rPr>
          <w:rFonts w:ascii="Arabic Typesetting" w:hAnsi="Arabic Typesetting" w:hint="cs"/>
          <w:sz w:val="27"/>
          <w:rtl/>
        </w:rPr>
        <w:t>ِّ</w:t>
      </w:r>
      <w:r w:rsidRPr="006571AC">
        <w:rPr>
          <w:rFonts w:ascii="Arabic Typesetting" w:hAnsi="Arabic Typesetting"/>
          <w:sz w:val="27"/>
          <w:rtl/>
        </w:rPr>
        <w:t>ر من الوصول إلى مراد المؤل</w:t>
      </w:r>
      <w:r w:rsidR="00C30E30" w:rsidRPr="006571AC">
        <w:rPr>
          <w:rFonts w:ascii="Arabic Typesetting" w:hAnsi="Arabic Typesetting" w:hint="cs"/>
          <w:sz w:val="27"/>
          <w:rtl/>
        </w:rPr>
        <w:t>ِّ</w:t>
      </w:r>
      <w:r w:rsidRPr="006571AC">
        <w:rPr>
          <w:rFonts w:ascii="Arabic Typesetting" w:hAnsi="Arabic Typesetting"/>
          <w:sz w:val="27"/>
          <w:rtl/>
        </w:rPr>
        <w:t>ف، فلا تنسجم دخالتها في الفهم مع كون القارئ موضوعي</w:t>
      </w:r>
      <w:r w:rsidR="00C30E30" w:rsidRPr="006571AC">
        <w:rPr>
          <w:rFonts w:ascii="Arabic Typesetting" w:hAnsi="Arabic Typesetting" w:hint="cs"/>
          <w:sz w:val="27"/>
          <w:rtl/>
        </w:rPr>
        <w:t>ّ</w:t>
      </w:r>
      <w:r w:rsidRPr="006571AC">
        <w:rPr>
          <w:rFonts w:ascii="Arabic Typesetting" w:hAnsi="Arabic Typesetting"/>
          <w:sz w:val="27"/>
          <w:rtl/>
        </w:rPr>
        <w:t>ا</w:t>
      </w:r>
      <w:r w:rsidR="00C30E30" w:rsidRPr="006571AC">
        <w:rPr>
          <w:rFonts w:ascii="Arabic Typesetting" w:hAnsi="Arabic Typesetting" w:hint="cs"/>
          <w:sz w:val="27"/>
          <w:rtl/>
        </w:rPr>
        <w:t>ً</w:t>
      </w:r>
      <w:r w:rsidRPr="006571AC">
        <w:rPr>
          <w:rFonts w:ascii="Arabic Typesetting" w:hAnsi="Arabic Typesetting"/>
          <w:sz w:val="27"/>
          <w:rtl/>
        </w:rPr>
        <w:t xml:space="preserve"> حيادي</w:t>
      </w:r>
      <w:r w:rsidR="00C30E30" w:rsidRPr="006571AC">
        <w:rPr>
          <w:rFonts w:ascii="Arabic Typesetting" w:hAnsi="Arabic Typesetting" w:hint="cs"/>
          <w:sz w:val="27"/>
          <w:rtl/>
        </w:rPr>
        <w:t>ّ</w:t>
      </w:r>
      <w:r w:rsidRPr="006571AC">
        <w:rPr>
          <w:rFonts w:ascii="Arabic Typesetting" w:hAnsi="Arabic Typesetting"/>
          <w:sz w:val="27"/>
          <w:rtl/>
        </w:rPr>
        <w:t>ا</w:t>
      </w:r>
      <w:r w:rsidR="00C30E30" w:rsidRPr="006571AC">
        <w:rPr>
          <w:rFonts w:ascii="Arabic Typesetting" w:hAnsi="Arabic Typesetting" w:hint="cs"/>
          <w:sz w:val="27"/>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لكن</w:t>
      </w:r>
      <w:r w:rsidR="00C30E30" w:rsidRPr="006571AC">
        <w:rPr>
          <w:rFonts w:ascii="Arabic Typesetting" w:hAnsi="Arabic Typesetting" w:hint="cs"/>
          <w:sz w:val="27"/>
          <w:rtl/>
        </w:rPr>
        <w:t>ْ</w:t>
      </w:r>
      <w:r w:rsidRPr="006571AC">
        <w:rPr>
          <w:rFonts w:ascii="Arabic Typesetting" w:hAnsi="Arabic Typesetting"/>
          <w:sz w:val="27"/>
          <w:rtl/>
        </w:rPr>
        <w:t xml:space="preserve"> يبدو أن الشهيد الصدر قد فك</w:t>
      </w:r>
      <w:r w:rsidR="00C30E30" w:rsidRPr="006571AC">
        <w:rPr>
          <w:rFonts w:ascii="Arabic Typesetting" w:hAnsi="Arabic Typesetting" w:hint="cs"/>
          <w:sz w:val="27"/>
          <w:rtl/>
        </w:rPr>
        <w:t>َّ</w:t>
      </w:r>
      <w:r w:rsidRPr="006571AC">
        <w:rPr>
          <w:rFonts w:ascii="Arabic Typesetting" w:hAnsi="Arabic Typesetting"/>
          <w:sz w:val="27"/>
          <w:rtl/>
        </w:rPr>
        <w:t xml:space="preserve">ك بين نوعين من هذه القبليات: </w:t>
      </w:r>
    </w:p>
    <w:p w:rsidR="008D51F3" w:rsidRPr="006571AC" w:rsidRDefault="008D51F3" w:rsidP="005B0CA4">
      <w:pPr>
        <w:pStyle w:val="af1"/>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1ـ </w:t>
      </w:r>
      <w:r w:rsidRPr="006571AC">
        <w:rPr>
          <w:rFonts w:ascii="Arabic Typesetting" w:eastAsia="Times New Roman" w:hAnsi="Arabic Typesetting" w:cs="AL-Mohanad"/>
          <w:sz w:val="27"/>
          <w:szCs w:val="27"/>
          <w:rtl/>
        </w:rPr>
        <w:t>القبليات الضرورية لفهم النص</w:t>
      </w:r>
      <w:r w:rsidR="00C30E30"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w:t>
      </w:r>
    </w:p>
    <w:p w:rsidR="008D51F3" w:rsidRPr="006571AC" w:rsidRDefault="008D51F3" w:rsidP="005B0CA4">
      <w:pPr>
        <w:pStyle w:val="af1"/>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2ـ </w:t>
      </w:r>
      <w:r w:rsidRPr="006571AC">
        <w:rPr>
          <w:rFonts w:ascii="Arabic Typesetting" w:eastAsia="Times New Roman" w:hAnsi="Arabic Typesetting" w:cs="AL-Mohanad"/>
          <w:sz w:val="27"/>
          <w:szCs w:val="27"/>
          <w:rtl/>
        </w:rPr>
        <w:t>القبليات المضرّة في فهم النص</w:t>
      </w:r>
      <w:r w:rsidR="00C30E30"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وهذا ما تقدّ</w:t>
      </w:r>
      <w:r w:rsidR="00C30E30" w:rsidRPr="006571AC">
        <w:rPr>
          <w:rFonts w:ascii="Arabic Typesetting" w:hAnsi="Arabic Typesetting" w:hint="cs"/>
          <w:sz w:val="27"/>
          <w:rtl/>
        </w:rPr>
        <w:t>َ</w:t>
      </w:r>
      <w:r w:rsidRPr="006571AC">
        <w:rPr>
          <w:rFonts w:ascii="Arabic Typesetting" w:hAnsi="Arabic Typesetting"/>
          <w:sz w:val="27"/>
          <w:rtl/>
        </w:rPr>
        <w:t>م بيانه</w:t>
      </w:r>
      <w:r w:rsidR="00C30E30" w:rsidRPr="006571AC">
        <w:rPr>
          <w:rFonts w:ascii="Arabic Typesetting" w:hAnsi="Arabic Typesetting" w:hint="cs"/>
          <w:sz w:val="27"/>
          <w:rtl/>
        </w:rPr>
        <w:t>،</w:t>
      </w:r>
      <w:r w:rsidRPr="006571AC">
        <w:rPr>
          <w:rFonts w:ascii="Arabic Typesetting" w:hAnsi="Arabic Typesetting"/>
          <w:sz w:val="27"/>
          <w:rtl/>
        </w:rPr>
        <w:t xml:space="preserve"> وبالتالي: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أو</w:t>
      </w:r>
      <w:r w:rsidR="00C30E30" w:rsidRPr="006571AC">
        <w:rPr>
          <w:rFonts w:ascii="Arabic Typesetting" w:hAnsi="Arabic Typesetting" w:hint="cs"/>
          <w:b/>
          <w:bCs/>
          <w:sz w:val="27"/>
          <w:rtl/>
        </w:rPr>
        <w:t>ّ</w:t>
      </w:r>
      <w:r w:rsidRPr="006571AC">
        <w:rPr>
          <w:rFonts w:ascii="Arabic Typesetting" w:hAnsi="Arabic Typesetting"/>
          <w:b/>
          <w:bCs/>
          <w:sz w:val="27"/>
          <w:rtl/>
        </w:rPr>
        <w:t>ل</w:t>
      </w:r>
      <w:r w:rsidRPr="006571AC">
        <w:rPr>
          <w:rFonts w:ascii="Arabic Typesetting" w:hAnsi="Arabic Typesetting" w:hint="cs"/>
          <w:b/>
          <w:bCs/>
          <w:sz w:val="27"/>
          <w:rtl/>
        </w:rPr>
        <w:t>اً</w:t>
      </w:r>
      <w:r w:rsidRPr="006571AC">
        <w:rPr>
          <w:rFonts w:ascii="Arabic Typesetting" w:hAnsi="Arabic Typesetting"/>
          <w:sz w:val="27"/>
          <w:rtl/>
        </w:rPr>
        <w:t>: ليس كل</w:t>
      </w:r>
      <w:r w:rsidR="00C30E30" w:rsidRPr="006571AC">
        <w:rPr>
          <w:rFonts w:ascii="Arabic Typesetting" w:hAnsi="Arabic Typesetting" w:hint="cs"/>
          <w:sz w:val="27"/>
          <w:rtl/>
        </w:rPr>
        <w:t>ُّ</w:t>
      </w:r>
      <w:r w:rsidRPr="006571AC">
        <w:rPr>
          <w:rFonts w:ascii="Arabic Typesetting" w:hAnsi="Arabic Typesetting"/>
          <w:sz w:val="27"/>
          <w:rtl/>
        </w:rPr>
        <w:t xml:space="preserve"> فهم</w:t>
      </w:r>
      <w:r w:rsidR="00C30E30" w:rsidRPr="006571AC">
        <w:rPr>
          <w:rFonts w:ascii="Arabic Typesetting" w:hAnsi="Arabic Typesetting" w:hint="cs"/>
          <w:sz w:val="27"/>
          <w:rtl/>
        </w:rPr>
        <w:t>ٍ</w:t>
      </w:r>
      <w:r w:rsidRPr="006571AC">
        <w:rPr>
          <w:rFonts w:ascii="Arabic Typesetting" w:hAnsi="Arabic Typesetting"/>
          <w:sz w:val="27"/>
          <w:rtl/>
        </w:rPr>
        <w:t xml:space="preserve"> مرتبط</w:t>
      </w:r>
      <w:r w:rsidR="00B22D35" w:rsidRPr="006571AC">
        <w:rPr>
          <w:rFonts w:ascii="Arabic Typesetting" w:hAnsi="Arabic Typesetting" w:hint="cs"/>
          <w:sz w:val="27"/>
          <w:rtl/>
        </w:rPr>
        <w:t>اً</w:t>
      </w:r>
      <w:r w:rsidRPr="006571AC">
        <w:rPr>
          <w:rFonts w:ascii="Arabic Typesetting" w:hAnsi="Arabic Typesetting"/>
          <w:sz w:val="27"/>
          <w:rtl/>
        </w:rPr>
        <w:t xml:space="preserve"> بالقبليات، وإلا</w:t>
      </w:r>
      <w:r w:rsidR="00C30E30" w:rsidRPr="006571AC">
        <w:rPr>
          <w:rFonts w:ascii="Arabic Typesetting" w:hAnsi="Arabic Typesetting" w:hint="cs"/>
          <w:sz w:val="27"/>
          <w:rtl/>
        </w:rPr>
        <w:t>ّ</w:t>
      </w:r>
      <w:r w:rsidRPr="006571AC">
        <w:rPr>
          <w:rFonts w:ascii="Arabic Typesetting" w:hAnsi="Arabic Typesetting"/>
          <w:sz w:val="27"/>
          <w:rtl/>
        </w:rPr>
        <w:t xml:space="preserve"> يلزم التسلسل</w:t>
      </w:r>
      <w:r w:rsidR="00B22D35" w:rsidRPr="006571AC">
        <w:rPr>
          <w:rFonts w:ascii="Arabic Typesetting" w:hAnsi="Arabic Typesetting" w:hint="cs"/>
          <w:sz w:val="27"/>
          <w:rtl/>
        </w:rPr>
        <w:t>.</w:t>
      </w:r>
      <w:r w:rsidRPr="006571AC">
        <w:rPr>
          <w:rFonts w:ascii="Arabic Typesetting" w:hAnsi="Arabic Typesetting"/>
          <w:sz w:val="27"/>
          <w:rtl/>
        </w:rPr>
        <w:t xml:space="preserve"> مضافا</w:t>
      </w:r>
      <w:r w:rsidR="00B22D35" w:rsidRPr="006571AC">
        <w:rPr>
          <w:rFonts w:ascii="Arabic Typesetting" w:hAnsi="Arabic Typesetting" w:hint="cs"/>
          <w:sz w:val="27"/>
          <w:rtl/>
        </w:rPr>
        <w:t>ً</w:t>
      </w:r>
      <w:r w:rsidRPr="006571AC">
        <w:rPr>
          <w:rFonts w:ascii="Arabic Typesetting" w:hAnsi="Arabic Typesetting"/>
          <w:sz w:val="27"/>
          <w:rtl/>
        </w:rPr>
        <w:t xml:space="preserve"> إلى أن العلم الحضوري هو سنخ ف</w:t>
      </w:r>
      <w:r w:rsidR="00B1324D" w:rsidRPr="006571AC">
        <w:rPr>
          <w:rFonts w:ascii="Arabic Typesetting" w:hAnsi="Arabic Typesetting" w:hint="cs"/>
          <w:sz w:val="27"/>
          <w:rtl/>
        </w:rPr>
        <w:t>َ</w:t>
      </w:r>
      <w:r w:rsidRPr="006571AC">
        <w:rPr>
          <w:rFonts w:ascii="Arabic Typesetting" w:hAnsi="Arabic Typesetting"/>
          <w:sz w:val="27"/>
          <w:rtl/>
        </w:rPr>
        <w:t>ه</w:t>
      </w:r>
      <w:r w:rsidR="00B1324D" w:rsidRPr="006571AC">
        <w:rPr>
          <w:rFonts w:ascii="Arabic Typesetting" w:hAnsi="Arabic Typesetting" w:hint="cs"/>
          <w:sz w:val="27"/>
          <w:rtl/>
        </w:rPr>
        <w:t>ْ</w:t>
      </w:r>
      <w:r w:rsidRPr="006571AC">
        <w:rPr>
          <w:rFonts w:ascii="Arabic Typesetting" w:hAnsi="Arabic Typesetting"/>
          <w:sz w:val="27"/>
          <w:rtl/>
        </w:rPr>
        <w:t>م</w:t>
      </w:r>
      <w:r w:rsidR="00B22D35" w:rsidRPr="006571AC">
        <w:rPr>
          <w:rFonts w:ascii="Arabic Typesetting" w:hAnsi="Arabic Typesetting" w:hint="cs"/>
          <w:sz w:val="27"/>
          <w:rtl/>
        </w:rPr>
        <w:t>ٍ</w:t>
      </w:r>
      <w:r w:rsidRPr="006571AC">
        <w:rPr>
          <w:rFonts w:ascii="Arabic Typesetting" w:hAnsi="Arabic Typesetting"/>
          <w:sz w:val="27"/>
          <w:rtl/>
        </w:rPr>
        <w:t xml:space="preserve"> ومعرفة</w:t>
      </w:r>
      <w:r w:rsidR="00B22D35" w:rsidRPr="006571AC">
        <w:rPr>
          <w:rFonts w:ascii="Arabic Typesetting" w:hAnsi="Arabic Typesetting" w:hint="cs"/>
          <w:sz w:val="27"/>
          <w:rtl/>
        </w:rPr>
        <w:t>ٍ</w:t>
      </w:r>
      <w:r w:rsidRPr="006571AC">
        <w:rPr>
          <w:rFonts w:ascii="Arabic Typesetting" w:hAnsi="Arabic Typesetting"/>
          <w:sz w:val="27"/>
          <w:rtl/>
        </w:rPr>
        <w:t xml:space="preserve"> غير مبتنية على معارف سابقة. وهذا الردّ لم يُش</w:t>
      </w:r>
      <w:r w:rsidR="00B22D35" w:rsidRPr="006571AC">
        <w:rPr>
          <w:rFonts w:ascii="Arabic Typesetting" w:hAnsi="Arabic Typesetting" w:hint="cs"/>
          <w:sz w:val="27"/>
          <w:rtl/>
        </w:rPr>
        <w:t>ِ</w:t>
      </w:r>
      <w:r w:rsidRPr="006571AC">
        <w:rPr>
          <w:rFonts w:ascii="Arabic Typesetting" w:hAnsi="Arabic Typesetting"/>
          <w:sz w:val="27"/>
          <w:rtl/>
        </w:rPr>
        <w:t>ر</w:t>
      </w:r>
      <w:r w:rsidR="00B22D35" w:rsidRPr="006571AC">
        <w:rPr>
          <w:rFonts w:ascii="Arabic Typesetting" w:hAnsi="Arabic Typesetting" w:hint="cs"/>
          <w:sz w:val="27"/>
          <w:rtl/>
        </w:rPr>
        <w:t>ْ</w:t>
      </w:r>
      <w:r w:rsidRPr="006571AC">
        <w:rPr>
          <w:rFonts w:ascii="Arabic Typesetting" w:hAnsi="Arabic Typesetting"/>
          <w:sz w:val="27"/>
          <w:rtl/>
        </w:rPr>
        <w:t xml:space="preserve"> </w:t>
      </w:r>
      <w:r w:rsidR="00B22D35" w:rsidRPr="006571AC">
        <w:rPr>
          <w:rFonts w:ascii="Arabic Typesetting" w:hAnsi="Arabic Typesetting" w:hint="cs"/>
          <w:sz w:val="27"/>
          <w:rtl/>
        </w:rPr>
        <w:t>إلي</w:t>
      </w:r>
      <w:r w:rsidRPr="006571AC">
        <w:rPr>
          <w:rFonts w:ascii="Arabic Typesetting" w:hAnsi="Arabic Typesetting"/>
          <w:sz w:val="27"/>
          <w:rtl/>
        </w:rPr>
        <w:t>ه الشهيد الصدر، لكنه ردّ</w:t>
      </w:r>
      <w:r w:rsidR="00B22D35" w:rsidRPr="006571AC">
        <w:rPr>
          <w:rFonts w:ascii="Arabic Typesetting" w:hAnsi="Arabic Typesetting" w:hint="cs"/>
          <w:sz w:val="27"/>
          <w:rtl/>
        </w:rPr>
        <w:t>ٌ</w:t>
      </w:r>
      <w:r w:rsidRPr="006571AC">
        <w:rPr>
          <w:rFonts w:ascii="Arabic Typesetting" w:hAnsi="Arabic Typesetting"/>
          <w:sz w:val="27"/>
          <w:rtl/>
        </w:rPr>
        <w:t xml:space="preserve"> واضح.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وثانيا</w:t>
      </w:r>
      <w:r w:rsidR="00C30E30" w:rsidRPr="006571AC">
        <w:rPr>
          <w:rFonts w:ascii="Arabic Typesetting" w:hAnsi="Arabic Typesetting" w:hint="cs"/>
          <w:b/>
          <w:bCs/>
          <w:sz w:val="27"/>
          <w:rtl/>
        </w:rPr>
        <w:t>ً</w:t>
      </w:r>
      <w:r w:rsidRPr="006571AC">
        <w:rPr>
          <w:rFonts w:ascii="Arabic Typesetting" w:hAnsi="Arabic Typesetting"/>
          <w:sz w:val="27"/>
          <w:rtl/>
        </w:rPr>
        <w:t>: بعض القبليات ضروري</w:t>
      </w:r>
      <w:r w:rsidR="00B22D35" w:rsidRPr="006571AC">
        <w:rPr>
          <w:rFonts w:ascii="Arabic Typesetting" w:hAnsi="Arabic Typesetting" w:hint="cs"/>
          <w:sz w:val="27"/>
          <w:rtl/>
        </w:rPr>
        <w:t>ّ</w:t>
      </w:r>
      <w:r w:rsidRPr="006571AC">
        <w:rPr>
          <w:rFonts w:ascii="Arabic Typesetting" w:hAnsi="Arabic Typesetting"/>
          <w:sz w:val="27"/>
          <w:rtl/>
        </w:rPr>
        <w:t>ة</w:t>
      </w:r>
      <w:r w:rsidR="00B22D35" w:rsidRPr="006571AC">
        <w:rPr>
          <w:rFonts w:ascii="Arabic Typesetting" w:hAnsi="Arabic Typesetting" w:hint="cs"/>
          <w:sz w:val="27"/>
          <w:rtl/>
        </w:rPr>
        <w:t>ٌ</w:t>
      </w:r>
      <w:r w:rsidRPr="006571AC">
        <w:rPr>
          <w:rFonts w:ascii="Arabic Typesetting" w:hAnsi="Arabic Typesetting"/>
          <w:sz w:val="27"/>
          <w:rtl/>
        </w:rPr>
        <w:t xml:space="preserve"> لتحق</w:t>
      </w:r>
      <w:r w:rsidR="00B22D35" w:rsidRPr="006571AC">
        <w:rPr>
          <w:rFonts w:ascii="Arabic Typesetting" w:hAnsi="Arabic Typesetting" w:hint="cs"/>
          <w:sz w:val="27"/>
          <w:rtl/>
        </w:rPr>
        <w:t>ُّ</w:t>
      </w:r>
      <w:r w:rsidRPr="006571AC">
        <w:rPr>
          <w:rFonts w:ascii="Arabic Typesetting" w:hAnsi="Arabic Typesetting"/>
          <w:sz w:val="27"/>
          <w:rtl/>
        </w:rPr>
        <w:t>ق فهم النص</w:t>
      </w:r>
      <w:r w:rsidR="00B22D35" w:rsidRPr="006571AC">
        <w:rPr>
          <w:rFonts w:ascii="Arabic Typesetting" w:hAnsi="Arabic Typesetting" w:hint="cs"/>
          <w:sz w:val="27"/>
          <w:rtl/>
        </w:rPr>
        <w:t>ّ</w:t>
      </w:r>
      <w:r w:rsidRPr="006571AC">
        <w:rPr>
          <w:rFonts w:ascii="Arabic Typesetting" w:hAnsi="Arabic Typesetting"/>
          <w:sz w:val="27"/>
          <w:rtl/>
        </w:rPr>
        <w:t>، فلا يمكن التخل</w:t>
      </w:r>
      <w:r w:rsidR="00B22D35" w:rsidRPr="006571AC">
        <w:rPr>
          <w:rFonts w:ascii="Arabic Typesetting" w:hAnsi="Arabic Typesetting" w:hint="cs"/>
          <w:sz w:val="27"/>
          <w:rtl/>
        </w:rPr>
        <w:t>ّ</w:t>
      </w:r>
      <w:r w:rsidRPr="006571AC">
        <w:rPr>
          <w:rFonts w:ascii="Arabic Typesetting" w:hAnsi="Arabic Typesetting"/>
          <w:sz w:val="27"/>
          <w:rtl/>
        </w:rPr>
        <w:t>ي عن دخالتها في مقام فهم النص</w:t>
      </w:r>
      <w:r w:rsidR="00B22D35" w:rsidRPr="006571AC">
        <w:rPr>
          <w:rFonts w:ascii="Arabic Typesetting" w:hAnsi="Arabic Typesetting" w:hint="cs"/>
          <w:sz w:val="27"/>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نعم، يبقى السؤال عن القبليات المضرّة: هل يمكن التخلّ</w:t>
      </w:r>
      <w:r w:rsidR="00B22D35" w:rsidRPr="006571AC">
        <w:rPr>
          <w:rFonts w:ascii="Arabic Typesetting" w:hAnsi="Arabic Typesetting" w:hint="cs"/>
          <w:sz w:val="27"/>
          <w:rtl/>
        </w:rPr>
        <w:t>ُ</w:t>
      </w:r>
      <w:r w:rsidRPr="006571AC">
        <w:rPr>
          <w:rFonts w:ascii="Arabic Typesetting" w:hAnsi="Arabic Typesetting"/>
          <w:sz w:val="27"/>
          <w:rtl/>
        </w:rPr>
        <w:t>ص منها، أو المنع من تأثيرها</w:t>
      </w:r>
      <w:r w:rsidR="00B22D35" w:rsidRPr="006571AC">
        <w:rPr>
          <w:rFonts w:ascii="Arabic Typesetting" w:hAnsi="Arabic Typesetting" w:hint="cs"/>
          <w:sz w:val="27"/>
          <w:rtl/>
        </w:rPr>
        <w:t>،</w:t>
      </w:r>
      <w:r w:rsidRPr="006571AC">
        <w:rPr>
          <w:rFonts w:ascii="Arabic Typesetting" w:hAnsi="Arabic Typesetting"/>
          <w:sz w:val="27"/>
          <w:rtl/>
        </w:rPr>
        <w:t xml:space="preserve"> ولو مع بقائها، أم لا؟ وهذا لم يُجِب الشهيد الصدر عنه مباشرة</w:t>
      </w:r>
      <w:r w:rsidR="00B22D35" w:rsidRPr="006571AC">
        <w:rPr>
          <w:rFonts w:ascii="Arabic Typesetting" w:hAnsi="Arabic Typesetting" w:hint="cs"/>
          <w:sz w:val="27"/>
          <w:rtl/>
        </w:rPr>
        <w:t>ً</w:t>
      </w:r>
      <w:r w:rsidRPr="006571AC">
        <w:rPr>
          <w:rFonts w:ascii="Arabic Typesetting" w:hAnsi="Arabic Typesetting"/>
          <w:sz w:val="27"/>
          <w:rtl/>
        </w:rPr>
        <w:t>، لكن</w:t>
      </w:r>
      <w:r w:rsidR="00B22D35" w:rsidRPr="006571AC">
        <w:rPr>
          <w:rFonts w:ascii="Arabic Typesetting" w:hAnsi="Arabic Typesetting" w:hint="cs"/>
          <w:sz w:val="27"/>
          <w:rtl/>
        </w:rPr>
        <w:t>ْ</w:t>
      </w:r>
      <w:r w:rsidRPr="006571AC">
        <w:rPr>
          <w:rFonts w:ascii="Arabic Typesetting" w:hAnsi="Arabic Typesetting"/>
          <w:sz w:val="27"/>
          <w:rtl/>
        </w:rPr>
        <w:t xml:space="preserve"> من خلال تحذيره من هذا النوع من القبليات نفهم أنه أمر</w:t>
      </w:r>
      <w:r w:rsidR="00B22D35" w:rsidRPr="006571AC">
        <w:rPr>
          <w:rFonts w:ascii="Arabic Typesetting" w:hAnsi="Arabic Typesetting" w:hint="cs"/>
          <w:sz w:val="27"/>
          <w:rtl/>
        </w:rPr>
        <w:t>ٌ</w:t>
      </w:r>
      <w:r w:rsidRPr="006571AC">
        <w:rPr>
          <w:rFonts w:ascii="Arabic Typesetting" w:hAnsi="Arabic Typesetting"/>
          <w:sz w:val="27"/>
          <w:rtl/>
        </w:rPr>
        <w:t xml:space="preserve"> اختياري</w:t>
      </w:r>
      <w:r w:rsidR="00B22D35" w:rsidRPr="006571AC">
        <w:rPr>
          <w:rFonts w:ascii="Arabic Typesetting" w:hAnsi="Arabic Typesetting" w:hint="cs"/>
          <w:sz w:val="27"/>
          <w:rtl/>
        </w:rPr>
        <w:t>ّ</w:t>
      </w:r>
      <w:r w:rsidRPr="006571AC">
        <w:rPr>
          <w:rFonts w:ascii="Arabic Typesetting" w:hAnsi="Arabic Typesetting"/>
          <w:sz w:val="27"/>
          <w:rtl/>
        </w:rPr>
        <w:t>. وبيان</w:t>
      </w:r>
      <w:r w:rsidR="00B22D35" w:rsidRPr="006571AC">
        <w:rPr>
          <w:rFonts w:ascii="Arabic Typesetting" w:hAnsi="Arabic Typesetting" w:hint="cs"/>
          <w:sz w:val="27"/>
          <w:rtl/>
        </w:rPr>
        <w:t>ُ</w:t>
      </w:r>
      <w:r w:rsidRPr="006571AC">
        <w:rPr>
          <w:rFonts w:ascii="Arabic Typesetting" w:hAnsi="Arabic Typesetting"/>
          <w:sz w:val="27"/>
          <w:rtl/>
        </w:rPr>
        <w:t xml:space="preserve">ه منّا بأن نقول: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إن إيجاد بعض أنواع القبليات المضرّة أمر</w:t>
      </w:r>
      <w:r w:rsidR="00B22D35" w:rsidRPr="006571AC">
        <w:rPr>
          <w:rFonts w:ascii="Arabic Typesetting" w:hAnsi="Arabic Typesetting" w:hint="cs"/>
          <w:sz w:val="27"/>
          <w:rtl/>
        </w:rPr>
        <w:t>ٌ</w:t>
      </w:r>
      <w:r w:rsidRPr="006571AC">
        <w:rPr>
          <w:rFonts w:ascii="Arabic Typesetting" w:hAnsi="Arabic Typesetting"/>
          <w:sz w:val="27"/>
          <w:rtl/>
        </w:rPr>
        <w:t xml:space="preserve"> اختياري، فبإمكاننا أن نعدّ</w:t>
      </w:r>
      <w:r w:rsidR="00B22D35" w:rsidRPr="006571AC">
        <w:rPr>
          <w:rFonts w:ascii="Arabic Typesetting" w:hAnsi="Arabic Typesetting" w:hint="cs"/>
          <w:sz w:val="27"/>
          <w:rtl/>
        </w:rPr>
        <w:t>ِ</w:t>
      </w:r>
      <w:r w:rsidRPr="006571AC">
        <w:rPr>
          <w:rFonts w:ascii="Arabic Typesetting" w:hAnsi="Arabic Typesetting"/>
          <w:sz w:val="27"/>
          <w:rtl/>
        </w:rPr>
        <w:t>ل من ميولنا، فنتصرّ</w:t>
      </w:r>
      <w:r w:rsidR="00B22D35" w:rsidRPr="006571AC">
        <w:rPr>
          <w:rFonts w:ascii="Arabic Typesetting" w:hAnsi="Arabic Typesetting" w:hint="cs"/>
          <w:sz w:val="27"/>
          <w:rtl/>
        </w:rPr>
        <w:t>َ</w:t>
      </w:r>
      <w:r w:rsidRPr="006571AC">
        <w:rPr>
          <w:rFonts w:ascii="Arabic Typesetting" w:hAnsi="Arabic Typesetting"/>
          <w:sz w:val="27"/>
          <w:rtl/>
        </w:rPr>
        <w:t>ف حينئذ</w:t>
      </w:r>
      <w:r w:rsidR="00B22D35" w:rsidRPr="006571AC">
        <w:rPr>
          <w:rFonts w:ascii="Arabic Typesetting" w:hAnsi="Arabic Typesetting" w:hint="cs"/>
          <w:sz w:val="27"/>
          <w:rtl/>
        </w:rPr>
        <w:t>ٍ</w:t>
      </w:r>
      <w:r w:rsidRPr="006571AC">
        <w:rPr>
          <w:rFonts w:ascii="Arabic Typesetting" w:hAnsi="Arabic Typesetting"/>
          <w:sz w:val="27"/>
          <w:rtl/>
        </w:rPr>
        <w:t xml:space="preserve"> في بعض قبلياتنا المضرّة بنحو</w:t>
      </w:r>
      <w:r w:rsidR="00B22D35" w:rsidRPr="006571AC">
        <w:rPr>
          <w:rFonts w:ascii="Arabic Typesetting" w:hAnsi="Arabic Typesetting" w:hint="cs"/>
          <w:sz w:val="27"/>
          <w:rtl/>
        </w:rPr>
        <w:t>ٍ</w:t>
      </w:r>
      <w:r w:rsidRPr="006571AC">
        <w:rPr>
          <w:rFonts w:ascii="Arabic Typesetting" w:hAnsi="Arabic Typesetting"/>
          <w:sz w:val="27"/>
          <w:rtl/>
        </w:rPr>
        <w:t xml:space="preserve"> اختياري. نعم، قد يكون تجنّ</w:t>
      </w:r>
      <w:r w:rsidR="00B22D35" w:rsidRPr="006571AC">
        <w:rPr>
          <w:rFonts w:ascii="Arabic Typesetting" w:hAnsi="Arabic Typesetting" w:hint="cs"/>
          <w:sz w:val="27"/>
          <w:rtl/>
        </w:rPr>
        <w:t>ُ</w:t>
      </w:r>
      <w:r w:rsidRPr="006571AC">
        <w:rPr>
          <w:rFonts w:ascii="Arabic Typesetting" w:hAnsi="Arabic Typesetting"/>
          <w:sz w:val="27"/>
          <w:rtl/>
        </w:rPr>
        <w:t>ب الاعتماد على هذه القبليات المضرّة أمرا</w:t>
      </w:r>
      <w:r w:rsidR="00B22D35" w:rsidRPr="006571AC">
        <w:rPr>
          <w:rFonts w:ascii="Arabic Typesetting" w:hAnsi="Arabic Typesetting" w:hint="cs"/>
          <w:sz w:val="27"/>
          <w:rtl/>
        </w:rPr>
        <w:t>ً</w:t>
      </w:r>
      <w:r w:rsidRPr="006571AC">
        <w:rPr>
          <w:rFonts w:ascii="Arabic Typesetting" w:hAnsi="Arabic Typesetting"/>
          <w:sz w:val="27"/>
          <w:rtl/>
        </w:rPr>
        <w:t xml:space="preserve"> صعبا</w:t>
      </w:r>
      <w:r w:rsidR="00B22D35" w:rsidRPr="006571AC">
        <w:rPr>
          <w:rFonts w:ascii="Arabic Typesetting" w:hAnsi="Arabic Typesetting" w:hint="cs"/>
          <w:sz w:val="27"/>
          <w:rtl/>
        </w:rPr>
        <w:t>ً</w:t>
      </w:r>
      <w:r w:rsidRPr="006571AC">
        <w:rPr>
          <w:rFonts w:ascii="Arabic Typesetting" w:hAnsi="Arabic Typesetting"/>
          <w:sz w:val="27"/>
          <w:rtl/>
        </w:rPr>
        <w:t xml:space="preserve"> بالنسبة </w:t>
      </w:r>
      <w:r w:rsidR="00B22D35" w:rsidRPr="006571AC">
        <w:rPr>
          <w:rFonts w:ascii="Arabic Typesetting" w:hAnsi="Arabic Typesetting" w:hint="cs"/>
          <w:sz w:val="27"/>
          <w:rtl/>
        </w:rPr>
        <w:t xml:space="preserve">إلى </w:t>
      </w:r>
      <w:r w:rsidRPr="006571AC">
        <w:rPr>
          <w:rFonts w:ascii="Arabic Typesetting" w:hAnsi="Arabic Typesetting"/>
          <w:sz w:val="27"/>
          <w:rtl/>
        </w:rPr>
        <w:t>بعض الأشخاص ـ بسبب ضعفهم في الجانب الأخلاقي</w:t>
      </w:r>
      <w:r w:rsidR="00B22D35" w:rsidRPr="006571AC">
        <w:rPr>
          <w:rFonts w:ascii="Arabic Typesetting" w:hAnsi="Arabic Typesetting" w:hint="cs"/>
          <w:sz w:val="27"/>
          <w:rtl/>
        </w:rPr>
        <w:t>ّ</w:t>
      </w:r>
      <w:r w:rsidRPr="006571AC">
        <w:rPr>
          <w:rFonts w:ascii="Arabic Typesetting" w:hAnsi="Arabic Typesetting"/>
          <w:sz w:val="27"/>
          <w:rtl/>
        </w:rPr>
        <w:t xml:space="preserve"> مثلا</w:t>
      </w:r>
      <w:r w:rsidR="00B22D35" w:rsidRPr="006571AC">
        <w:rPr>
          <w:rFonts w:ascii="Arabic Typesetting" w:hAnsi="Arabic Typesetting" w:hint="cs"/>
          <w:sz w:val="27"/>
          <w:rtl/>
        </w:rPr>
        <w:t>ً</w:t>
      </w:r>
      <w:r w:rsidRPr="006571AC">
        <w:rPr>
          <w:rFonts w:ascii="Arabic Typesetting" w:hAnsi="Arabic Typesetting"/>
          <w:sz w:val="27"/>
          <w:rtl/>
        </w:rPr>
        <w:t xml:space="preserve"> ـ، لكن</w:t>
      </w:r>
      <w:r w:rsidR="00B22D35" w:rsidRPr="006571AC">
        <w:rPr>
          <w:rFonts w:ascii="Arabic Typesetting" w:hAnsi="Arabic Typesetting" w:hint="cs"/>
          <w:sz w:val="27"/>
          <w:rtl/>
        </w:rPr>
        <w:t>ْ</w:t>
      </w:r>
      <w:r w:rsidRPr="006571AC">
        <w:rPr>
          <w:rFonts w:ascii="Arabic Typesetting" w:hAnsi="Arabic Typesetting"/>
          <w:sz w:val="27"/>
          <w:rtl/>
        </w:rPr>
        <w:t xml:space="preserve"> يمكن التدرّ</w:t>
      </w:r>
      <w:r w:rsidR="00B22D35" w:rsidRPr="006571AC">
        <w:rPr>
          <w:rFonts w:ascii="Arabic Typesetting" w:hAnsi="Arabic Typesetting" w:hint="cs"/>
          <w:sz w:val="27"/>
          <w:rtl/>
        </w:rPr>
        <w:t>ُ</w:t>
      </w:r>
      <w:r w:rsidRPr="006571AC">
        <w:rPr>
          <w:rFonts w:ascii="Arabic Typesetting" w:hAnsi="Arabic Typesetting"/>
          <w:sz w:val="27"/>
          <w:rtl/>
        </w:rPr>
        <w:t>ب</w:t>
      </w:r>
      <w:r w:rsidR="00B22D35" w:rsidRPr="006571AC">
        <w:rPr>
          <w:rFonts w:ascii="Arabic Typesetting" w:hAnsi="Arabic Typesetting" w:hint="cs"/>
          <w:sz w:val="27"/>
          <w:rtl/>
        </w:rPr>
        <w:t>؛</w:t>
      </w:r>
      <w:r w:rsidRPr="006571AC">
        <w:rPr>
          <w:rFonts w:ascii="Arabic Typesetting" w:hAnsi="Arabic Typesetting"/>
          <w:sz w:val="27"/>
          <w:rtl/>
        </w:rPr>
        <w:t xml:space="preserve"> للتغلّ</w:t>
      </w:r>
      <w:r w:rsidR="00B22D35" w:rsidRPr="006571AC">
        <w:rPr>
          <w:rFonts w:ascii="Arabic Typesetting" w:hAnsi="Arabic Typesetting" w:hint="cs"/>
          <w:sz w:val="27"/>
          <w:rtl/>
        </w:rPr>
        <w:t>ُ</w:t>
      </w:r>
      <w:r w:rsidRPr="006571AC">
        <w:rPr>
          <w:rFonts w:ascii="Arabic Typesetting" w:hAnsi="Arabic Typesetting"/>
          <w:sz w:val="27"/>
          <w:rtl/>
        </w:rPr>
        <w:t>ب على حاكمي</w:t>
      </w:r>
      <w:r w:rsidR="00B22D35" w:rsidRPr="006571AC">
        <w:rPr>
          <w:rFonts w:ascii="Arabic Typesetting" w:hAnsi="Arabic Typesetting" w:hint="cs"/>
          <w:sz w:val="27"/>
          <w:rtl/>
        </w:rPr>
        <w:t>ّ</w:t>
      </w:r>
      <w:r w:rsidRPr="006571AC">
        <w:rPr>
          <w:rFonts w:ascii="Arabic Typesetting" w:hAnsi="Arabic Typesetting"/>
          <w:sz w:val="27"/>
          <w:rtl/>
        </w:rPr>
        <w:t>تها الق</w:t>
      </w:r>
      <w:r w:rsidR="00B1324D" w:rsidRPr="006571AC">
        <w:rPr>
          <w:rFonts w:ascii="Arabic Typesetting" w:hAnsi="Arabic Typesetting" w:hint="cs"/>
          <w:sz w:val="27"/>
          <w:rtl/>
        </w:rPr>
        <w:t>َ</w:t>
      </w:r>
      <w:r w:rsidRPr="006571AC">
        <w:rPr>
          <w:rFonts w:ascii="Arabic Typesetting" w:hAnsi="Arabic Typesetting"/>
          <w:sz w:val="27"/>
          <w:rtl/>
        </w:rPr>
        <w:t>ه</w:t>
      </w:r>
      <w:r w:rsidR="00B1324D" w:rsidRPr="006571AC">
        <w:rPr>
          <w:rFonts w:ascii="Arabic Typesetting" w:hAnsi="Arabic Typesetting" w:hint="cs"/>
          <w:sz w:val="27"/>
          <w:rtl/>
        </w:rPr>
        <w:t>ْ</w:t>
      </w:r>
      <w:r w:rsidRPr="006571AC">
        <w:rPr>
          <w:rFonts w:ascii="Arabic Typesetting" w:hAnsi="Arabic Typesetting"/>
          <w:sz w:val="27"/>
          <w:rtl/>
        </w:rPr>
        <w:t xml:space="preserve">رية.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هذا كل</w:t>
      </w:r>
      <w:r w:rsidR="00B22D35" w:rsidRPr="006571AC">
        <w:rPr>
          <w:rFonts w:ascii="Arabic Typesetting" w:hAnsi="Arabic Typesetting" w:hint="cs"/>
          <w:sz w:val="27"/>
          <w:rtl/>
        </w:rPr>
        <w:t>ّ</w:t>
      </w:r>
      <w:r w:rsidRPr="006571AC">
        <w:rPr>
          <w:rFonts w:ascii="Arabic Typesetting" w:hAnsi="Arabic Typesetting"/>
          <w:sz w:val="27"/>
          <w:rtl/>
        </w:rPr>
        <w:t>ه مع ملاحظة أنه لا يجب التخلّي عن كل</w:t>
      </w:r>
      <w:r w:rsidR="00B22D35" w:rsidRPr="006571AC">
        <w:rPr>
          <w:rFonts w:ascii="Arabic Typesetting" w:hAnsi="Arabic Typesetting" w:hint="cs"/>
          <w:sz w:val="27"/>
          <w:rtl/>
        </w:rPr>
        <w:t>ّ</w:t>
      </w:r>
      <w:r w:rsidRPr="006571AC">
        <w:rPr>
          <w:rFonts w:ascii="Arabic Typesetting" w:hAnsi="Arabic Typesetting"/>
          <w:sz w:val="27"/>
          <w:rtl/>
        </w:rPr>
        <w:t xml:space="preserve"> القبليات المضرّة في مقام </w:t>
      </w:r>
      <w:r w:rsidRPr="006571AC">
        <w:rPr>
          <w:rFonts w:ascii="Arabic Typesetting" w:hAnsi="Arabic Typesetting"/>
          <w:sz w:val="27"/>
          <w:rtl/>
        </w:rPr>
        <w:lastRenderedPageBreak/>
        <w:t>ف</w:t>
      </w:r>
      <w:r w:rsidR="00B1324D" w:rsidRPr="006571AC">
        <w:rPr>
          <w:rFonts w:ascii="Arabic Typesetting" w:hAnsi="Arabic Typesetting" w:hint="cs"/>
          <w:sz w:val="27"/>
          <w:rtl/>
        </w:rPr>
        <w:t>َ</w:t>
      </w:r>
      <w:r w:rsidRPr="006571AC">
        <w:rPr>
          <w:rFonts w:ascii="Arabic Typesetting" w:hAnsi="Arabic Typesetting"/>
          <w:sz w:val="27"/>
          <w:rtl/>
        </w:rPr>
        <w:t>ه</w:t>
      </w:r>
      <w:r w:rsidR="00B1324D" w:rsidRPr="006571AC">
        <w:rPr>
          <w:rFonts w:ascii="Arabic Typesetting" w:hAnsi="Arabic Typesetting" w:hint="cs"/>
          <w:sz w:val="27"/>
          <w:rtl/>
        </w:rPr>
        <w:t>ْ</w:t>
      </w:r>
      <w:r w:rsidRPr="006571AC">
        <w:rPr>
          <w:rFonts w:ascii="Arabic Typesetting" w:hAnsi="Arabic Typesetting"/>
          <w:sz w:val="27"/>
          <w:rtl/>
        </w:rPr>
        <w:t>منا لنصوص الآخرين، بل يكفي أن لا نعتمد عليها في فهم النص</w:t>
      </w:r>
      <w:r w:rsidR="00B22D35" w:rsidRPr="006571AC">
        <w:rPr>
          <w:rFonts w:ascii="Arabic Typesetting" w:hAnsi="Arabic Typesetting" w:hint="cs"/>
          <w:sz w:val="27"/>
          <w:rtl/>
        </w:rPr>
        <w:t>ّ،</w:t>
      </w:r>
      <w:r w:rsidRPr="006571AC">
        <w:rPr>
          <w:rFonts w:ascii="Arabic Typesetting" w:hAnsi="Arabic Typesetting"/>
          <w:sz w:val="27"/>
          <w:rtl/>
        </w:rPr>
        <w:t xml:space="preserve"> دون قرينة</w:t>
      </w:r>
      <w:r w:rsidR="00B22D35" w:rsidRPr="006571AC">
        <w:rPr>
          <w:rFonts w:ascii="Arabic Typesetting" w:hAnsi="Arabic Typesetting" w:hint="cs"/>
          <w:sz w:val="27"/>
          <w:rtl/>
        </w:rPr>
        <w:t>ٍ</w:t>
      </w:r>
      <w:r w:rsidRPr="006571AC">
        <w:rPr>
          <w:rFonts w:ascii="Arabic Typesetting" w:hAnsi="Arabic Typesetting"/>
          <w:sz w:val="27"/>
          <w:rtl/>
        </w:rPr>
        <w:t xml:space="preserve"> أو شاهد</w:t>
      </w:r>
      <w:r w:rsidR="00B22D35" w:rsidRPr="006571AC">
        <w:rPr>
          <w:rFonts w:ascii="Arabic Typesetting" w:hAnsi="Arabic Typesetting" w:hint="cs"/>
          <w:sz w:val="27"/>
          <w:rtl/>
        </w:rPr>
        <w:t>ٍ</w:t>
      </w:r>
      <w:r w:rsidRPr="006571AC">
        <w:rPr>
          <w:rFonts w:ascii="Arabic Typesetting" w:hAnsi="Arabic Typesetting"/>
          <w:sz w:val="27"/>
          <w:rtl/>
        </w:rPr>
        <w:t>. وهذا من قبيل</w:t>
      </w:r>
      <w:r w:rsidR="00B22D35" w:rsidRPr="006571AC">
        <w:rPr>
          <w:rFonts w:ascii="Arabic Typesetting" w:hAnsi="Arabic Typesetting" w:hint="cs"/>
          <w:sz w:val="27"/>
          <w:rtl/>
        </w:rPr>
        <w:t>:</w:t>
      </w:r>
      <w:r w:rsidRPr="006571AC">
        <w:rPr>
          <w:rFonts w:ascii="Arabic Typesetting" w:hAnsi="Arabic Typesetting"/>
          <w:sz w:val="27"/>
          <w:rtl/>
        </w:rPr>
        <w:t xml:space="preserve"> الشخص الذي لديه في حقيبته أدوات متنوعة، فعندما يواجه مشكلة</w:t>
      </w:r>
      <w:r w:rsidR="00B22D35" w:rsidRPr="006571AC">
        <w:rPr>
          <w:rFonts w:ascii="Arabic Typesetting" w:hAnsi="Arabic Typesetting" w:hint="cs"/>
          <w:sz w:val="27"/>
          <w:rtl/>
        </w:rPr>
        <w:t>ً</w:t>
      </w:r>
      <w:r w:rsidRPr="006571AC">
        <w:rPr>
          <w:rFonts w:ascii="Arabic Typesetting" w:hAnsi="Arabic Typesetting"/>
          <w:sz w:val="27"/>
          <w:rtl/>
        </w:rPr>
        <w:t xml:space="preserve"> محد</w:t>
      </w:r>
      <w:r w:rsidR="00B22D35" w:rsidRPr="006571AC">
        <w:rPr>
          <w:rFonts w:ascii="Arabic Typesetting" w:hAnsi="Arabic Typesetting" w:hint="cs"/>
          <w:sz w:val="27"/>
          <w:rtl/>
        </w:rPr>
        <w:t>َّ</w:t>
      </w:r>
      <w:r w:rsidRPr="006571AC">
        <w:rPr>
          <w:rFonts w:ascii="Arabic Typesetting" w:hAnsi="Arabic Typesetting"/>
          <w:sz w:val="27"/>
          <w:rtl/>
        </w:rPr>
        <w:t>دة يستفيد من الأدوات المناسبة لها. فما يمكن أن يؤد</w:t>
      </w:r>
      <w:r w:rsidR="00B22D35" w:rsidRPr="006571AC">
        <w:rPr>
          <w:rFonts w:ascii="Arabic Typesetting" w:hAnsi="Arabic Typesetting" w:hint="cs"/>
          <w:sz w:val="27"/>
          <w:rtl/>
        </w:rPr>
        <w:t>ّ</w:t>
      </w:r>
      <w:r w:rsidRPr="006571AC">
        <w:rPr>
          <w:rFonts w:ascii="Arabic Typesetting" w:hAnsi="Arabic Typesetting"/>
          <w:sz w:val="27"/>
          <w:rtl/>
        </w:rPr>
        <w:t>ي إلى بعض المشاكل هو الاستفادة من الأدوات غير المناسبة، وليس وجودها ضمن تلك الحقيبة. وبالتالي لا يجب أثناء الفهم الصحيح أن نتخل</w:t>
      </w:r>
      <w:r w:rsidR="00B22D35" w:rsidRPr="006571AC">
        <w:rPr>
          <w:rFonts w:ascii="Arabic Typesetting" w:hAnsi="Arabic Typesetting" w:hint="cs"/>
          <w:sz w:val="27"/>
          <w:rtl/>
        </w:rPr>
        <w:t>ّ</w:t>
      </w:r>
      <w:r w:rsidRPr="006571AC">
        <w:rPr>
          <w:rFonts w:ascii="Arabic Typesetting" w:hAnsi="Arabic Typesetting"/>
          <w:sz w:val="27"/>
          <w:rtl/>
        </w:rPr>
        <w:t>ى عن دوافعنا الشخصية وميولنا ورغباتنا، بل المهم</w:t>
      </w:r>
      <w:r w:rsidR="00B22D35" w:rsidRPr="006571AC">
        <w:rPr>
          <w:rFonts w:ascii="Arabic Typesetting" w:hAnsi="Arabic Typesetting" w:hint="cs"/>
          <w:sz w:val="27"/>
          <w:rtl/>
        </w:rPr>
        <w:t>ّ</w:t>
      </w:r>
      <w:r w:rsidRPr="006571AC">
        <w:rPr>
          <w:rFonts w:ascii="Arabic Typesetting" w:hAnsi="Arabic Typesetting"/>
          <w:sz w:val="27"/>
          <w:rtl/>
        </w:rPr>
        <w:t xml:space="preserve"> أن لا نعتمد عليها في مقام الفهم. وهذا أمرٌ اختياري</w:t>
      </w:r>
      <w:r w:rsidR="00B22D35" w:rsidRPr="006571AC">
        <w:rPr>
          <w:rFonts w:ascii="Arabic Typesetting" w:hAnsi="Arabic Typesetting" w:hint="cs"/>
          <w:sz w:val="27"/>
          <w:rtl/>
        </w:rPr>
        <w:t>ّ</w:t>
      </w:r>
      <w:r w:rsidRPr="006571AC">
        <w:rPr>
          <w:rFonts w:ascii="Arabic Typesetting" w:hAnsi="Arabic Typesetting"/>
          <w:sz w:val="27"/>
          <w:rtl/>
        </w:rPr>
        <w:t>، وممكن</w:t>
      </w:r>
      <w:r w:rsidR="00B22D35" w:rsidRPr="006571AC">
        <w:rPr>
          <w:rFonts w:ascii="Arabic Typesetting" w:hAnsi="Arabic Typesetting" w:hint="cs"/>
          <w:sz w:val="27"/>
          <w:rtl/>
        </w:rPr>
        <w:t>ٌ</w:t>
      </w:r>
      <w:r w:rsidRPr="006571AC">
        <w:rPr>
          <w:rFonts w:ascii="Arabic Typesetting" w:hAnsi="Arabic Typesetting"/>
          <w:sz w:val="27"/>
          <w:rtl/>
        </w:rPr>
        <w:t>، وهو م</w:t>
      </w:r>
      <w:r w:rsidR="00B22D35" w:rsidRPr="006571AC">
        <w:rPr>
          <w:rFonts w:ascii="Arabic Typesetting" w:hAnsi="Arabic Typesetting" w:hint="cs"/>
          <w:sz w:val="27"/>
          <w:rtl/>
        </w:rPr>
        <w:t>ُ</w:t>
      </w:r>
      <w:r w:rsidRPr="006571AC">
        <w:rPr>
          <w:rFonts w:ascii="Arabic Typesetting" w:hAnsi="Arabic Typesetting"/>
          <w:sz w:val="27"/>
          <w:rtl/>
        </w:rPr>
        <w:t>شاهَد في كتب كثير</w:t>
      </w:r>
      <w:r w:rsidR="00B22D35" w:rsidRPr="006571AC">
        <w:rPr>
          <w:rFonts w:ascii="Arabic Typesetting" w:hAnsi="Arabic Typesetting" w:hint="cs"/>
          <w:sz w:val="27"/>
          <w:rtl/>
        </w:rPr>
        <w:t>ٍ</w:t>
      </w:r>
      <w:r w:rsidRPr="006571AC">
        <w:rPr>
          <w:rFonts w:ascii="Arabic Typesetting" w:hAnsi="Arabic Typesetting"/>
          <w:sz w:val="27"/>
          <w:rtl/>
        </w:rPr>
        <w:t xml:space="preserve"> من المفك</w:t>
      </w:r>
      <w:r w:rsidR="00B22D35" w:rsidRPr="006571AC">
        <w:rPr>
          <w:rFonts w:ascii="Arabic Typesetting" w:hAnsi="Arabic Typesetting" w:hint="cs"/>
          <w:sz w:val="27"/>
          <w:rtl/>
        </w:rPr>
        <w:t>ِّ</w:t>
      </w:r>
      <w:r w:rsidRPr="006571AC">
        <w:rPr>
          <w:rFonts w:ascii="Arabic Typesetting" w:hAnsi="Arabic Typesetting"/>
          <w:sz w:val="27"/>
          <w:rtl/>
        </w:rPr>
        <w:t>رين</w:t>
      </w:r>
      <w:r w:rsidR="00B22D35" w:rsidRPr="006571AC">
        <w:rPr>
          <w:rFonts w:ascii="Arabic Typesetting" w:hAnsi="Arabic Typesetting" w:hint="cs"/>
          <w:sz w:val="27"/>
          <w:rtl/>
        </w:rPr>
        <w:t>،</w:t>
      </w:r>
      <w:r w:rsidRPr="006571AC">
        <w:rPr>
          <w:rFonts w:ascii="Arabic Typesetting" w:hAnsi="Arabic Typesetting"/>
          <w:sz w:val="27"/>
          <w:rtl/>
        </w:rPr>
        <w:t xml:space="preserve"> الذي يشرحون آراء مخالفيهم</w:t>
      </w:r>
      <w:r w:rsidR="00B22D35" w:rsidRPr="006571AC">
        <w:rPr>
          <w:rFonts w:ascii="Arabic Typesetting" w:hAnsi="Arabic Typesetting" w:hint="cs"/>
          <w:sz w:val="27"/>
          <w:rtl/>
        </w:rPr>
        <w:t>،</w:t>
      </w:r>
      <w:r w:rsidRPr="006571AC">
        <w:rPr>
          <w:rFonts w:ascii="Arabic Typesetting" w:hAnsi="Arabic Typesetting"/>
          <w:sz w:val="27"/>
          <w:rtl/>
        </w:rPr>
        <w:t xml:space="preserve"> ثم ينقدونها، فَهُم</w:t>
      </w:r>
      <w:r w:rsidR="00B22D35" w:rsidRPr="006571AC">
        <w:rPr>
          <w:rFonts w:ascii="Arabic Typesetting" w:hAnsi="Arabic Typesetting" w:hint="cs"/>
          <w:sz w:val="27"/>
          <w:rtl/>
        </w:rPr>
        <w:t>ْ</w:t>
      </w:r>
      <w:r w:rsidRPr="006571AC">
        <w:rPr>
          <w:rFonts w:ascii="Arabic Typesetting" w:hAnsi="Arabic Typesetting"/>
          <w:sz w:val="27"/>
          <w:rtl/>
        </w:rPr>
        <w:t xml:space="preserve"> في العديد من الأحيان يضعون قبلي</w:t>
      </w:r>
      <w:r w:rsidR="00B22D35" w:rsidRPr="006571AC">
        <w:rPr>
          <w:rFonts w:ascii="Arabic Typesetting" w:hAnsi="Arabic Typesetting" w:hint="cs"/>
          <w:sz w:val="27"/>
          <w:rtl/>
        </w:rPr>
        <w:t>ّ</w:t>
      </w:r>
      <w:r w:rsidRPr="006571AC">
        <w:rPr>
          <w:rFonts w:ascii="Arabic Typesetting" w:hAnsi="Arabic Typesetting"/>
          <w:sz w:val="27"/>
          <w:rtl/>
        </w:rPr>
        <w:t>اتهم هذه جانبا</w:t>
      </w:r>
      <w:r w:rsidR="00B22D35" w:rsidRPr="006571AC">
        <w:rPr>
          <w:rFonts w:ascii="Arabic Typesetting" w:hAnsi="Arabic Typesetting" w:hint="cs"/>
          <w:sz w:val="27"/>
          <w:rtl/>
        </w:rPr>
        <w:t>ً</w:t>
      </w:r>
      <w:r w:rsidRPr="006571AC">
        <w:rPr>
          <w:rFonts w:ascii="Arabic Typesetting" w:hAnsi="Arabic Typesetting"/>
          <w:sz w:val="27"/>
          <w:rtl/>
        </w:rPr>
        <w:t>، ثم يفهمون كلام الخ</w:t>
      </w:r>
      <w:r w:rsidR="00B22D35" w:rsidRPr="006571AC">
        <w:rPr>
          <w:rFonts w:ascii="Arabic Typesetting" w:hAnsi="Arabic Typesetting" w:hint="cs"/>
          <w:sz w:val="27"/>
          <w:rtl/>
        </w:rPr>
        <w:t>َ</w:t>
      </w:r>
      <w:r w:rsidRPr="006571AC">
        <w:rPr>
          <w:rFonts w:ascii="Arabic Typesetting" w:hAnsi="Arabic Typesetting"/>
          <w:sz w:val="27"/>
          <w:rtl/>
        </w:rPr>
        <w:t>ص</w:t>
      </w:r>
      <w:r w:rsidR="00B22D35" w:rsidRPr="006571AC">
        <w:rPr>
          <w:rFonts w:ascii="Arabic Typesetting" w:hAnsi="Arabic Typesetting" w:hint="cs"/>
          <w:sz w:val="27"/>
          <w:rtl/>
        </w:rPr>
        <w:t>ْ</w:t>
      </w:r>
      <w:r w:rsidRPr="006571AC">
        <w:rPr>
          <w:rFonts w:ascii="Arabic Typesetting" w:hAnsi="Arabic Typesetting"/>
          <w:sz w:val="27"/>
          <w:rtl/>
        </w:rPr>
        <w:t>م بنحو</w:t>
      </w:r>
      <w:r w:rsidR="00B22D35" w:rsidRPr="006571AC">
        <w:rPr>
          <w:rFonts w:ascii="Arabic Typesetting" w:hAnsi="Arabic Typesetting" w:hint="cs"/>
          <w:sz w:val="27"/>
          <w:rtl/>
        </w:rPr>
        <w:t>ٍ</w:t>
      </w:r>
      <w:r w:rsidRPr="006571AC">
        <w:rPr>
          <w:rFonts w:ascii="Arabic Typesetting" w:hAnsi="Arabic Typesetting"/>
          <w:sz w:val="27"/>
          <w:rtl/>
        </w:rPr>
        <w:t xml:space="preserve"> موضوعي</w:t>
      </w:r>
      <w:r w:rsidR="00B22D35" w:rsidRPr="006571AC">
        <w:rPr>
          <w:rFonts w:ascii="Arabic Typesetting" w:hAnsi="Arabic Typesetting" w:hint="cs"/>
          <w:sz w:val="27"/>
          <w:rtl/>
        </w:rPr>
        <w:t>ّ</w:t>
      </w:r>
      <w:r w:rsidRPr="006571AC">
        <w:rPr>
          <w:rFonts w:ascii="Arabic Typesetting" w:hAnsi="Arabic Typesetting"/>
          <w:sz w:val="27"/>
          <w:rtl/>
        </w:rPr>
        <w:t xml:space="preserve"> محايد، ثم يعمدون إلى تحليله ون</w:t>
      </w:r>
      <w:r w:rsidR="00B1324D" w:rsidRPr="006571AC">
        <w:rPr>
          <w:rFonts w:ascii="Arabic Typesetting" w:hAnsi="Arabic Typesetting" w:hint="cs"/>
          <w:sz w:val="27"/>
          <w:rtl/>
        </w:rPr>
        <w:t>َ</w:t>
      </w:r>
      <w:r w:rsidRPr="006571AC">
        <w:rPr>
          <w:rFonts w:ascii="Arabic Typesetting" w:hAnsi="Arabic Typesetting"/>
          <w:sz w:val="27"/>
          <w:rtl/>
        </w:rPr>
        <w:t>ق</w:t>
      </w:r>
      <w:r w:rsidR="00B1324D" w:rsidRPr="006571AC">
        <w:rPr>
          <w:rFonts w:ascii="Arabic Typesetting" w:hAnsi="Arabic Typesetting" w:hint="cs"/>
          <w:sz w:val="27"/>
          <w:rtl/>
        </w:rPr>
        <w:t>ْ</w:t>
      </w:r>
      <w:r w:rsidRPr="006571AC">
        <w:rPr>
          <w:rFonts w:ascii="Arabic Typesetting" w:hAnsi="Arabic Typesetting"/>
          <w:sz w:val="27"/>
          <w:rtl/>
        </w:rPr>
        <w:t>ده. فهذا دليل</w:t>
      </w:r>
      <w:r w:rsidR="00B22D35" w:rsidRPr="006571AC">
        <w:rPr>
          <w:rFonts w:ascii="Arabic Typesetting" w:hAnsi="Arabic Typesetting" w:hint="cs"/>
          <w:sz w:val="27"/>
          <w:rtl/>
        </w:rPr>
        <w:t>ٌ</w:t>
      </w:r>
      <w:r w:rsidRPr="006571AC">
        <w:rPr>
          <w:rFonts w:ascii="Arabic Typesetting" w:hAnsi="Arabic Typesetting"/>
          <w:sz w:val="27"/>
          <w:rtl/>
        </w:rPr>
        <w:t xml:space="preserve"> على أن عدم الاعتماد على القبليات المضر</w:t>
      </w:r>
      <w:r w:rsidR="00B22D35" w:rsidRPr="006571AC">
        <w:rPr>
          <w:rFonts w:ascii="Arabic Typesetting" w:hAnsi="Arabic Typesetting" w:hint="cs"/>
          <w:sz w:val="27"/>
          <w:rtl/>
        </w:rPr>
        <w:t>ّ</w:t>
      </w:r>
      <w:r w:rsidRPr="006571AC">
        <w:rPr>
          <w:rFonts w:ascii="Arabic Typesetting" w:hAnsi="Arabic Typesetting"/>
          <w:sz w:val="27"/>
          <w:rtl/>
        </w:rPr>
        <w:t>ة أمر</w:t>
      </w:r>
      <w:r w:rsidR="00B22D35" w:rsidRPr="006571AC">
        <w:rPr>
          <w:rFonts w:ascii="Arabic Typesetting" w:hAnsi="Arabic Typesetting" w:hint="cs"/>
          <w:sz w:val="27"/>
          <w:rtl/>
        </w:rPr>
        <w:t>ٌ</w:t>
      </w:r>
      <w:r w:rsidRPr="006571AC">
        <w:rPr>
          <w:rFonts w:ascii="Arabic Typesetting" w:hAnsi="Arabic Typesetting"/>
          <w:sz w:val="27"/>
          <w:rtl/>
        </w:rPr>
        <w:t xml:space="preserve"> اختياري</w:t>
      </w:r>
      <w:r w:rsidR="00B22D35" w:rsidRPr="006571AC">
        <w:rPr>
          <w:rFonts w:ascii="Arabic Typesetting" w:hAnsi="Arabic Typesetting" w:hint="cs"/>
          <w:sz w:val="27"/>
          <w:rtl/>
        </w:rPr>
        <w:t>ّ</w:t>
      </w:r>
      <w:r w:rsidRPr="006571AC">
        <w:rPr>
          <w:rFonts w:ascii="Arabic Typesetting" w:hAnsi="Arabic Typesetting"/>
          <w:sz w:val="27"/>
          <w:rtl/>
        </w:rPr>
        <w:t>، فالوقوع أدل</w:t>
      </w:r>
      <w:r w:rsidR="00B22D35" w:rsidRPr="006571AC">
        <w:rPr>
          <w:rFonts w:ascii="Arabic Typesetting" w:hAnsi="Arabic Typesetting" w:hint="cs"/>
          <w:sz w:val="27"/>
          <w:rtl/>
        </w:rPr>
        <w:t>ُّ</w:t>
      </w:r>
      <w:r w:rsidRPr="006571AC">
        <w:rPr>
          <w:rFonts w:ascii="Arabic Typesetting" w:hAnsi="Arabic Typesetting"/>
          <w:sz w:val="27"/>
          <w:rtl/>
        </w:rPr>
        <w:t xml:space="preserve"> دليل</w:t>
      </w:r>
      <w:r w:rsidR="00B22D35" w:rsidRPr="006571AC">
        <w:rPr>
          <w:rFonts w:ascii="Arabic Typesetting" w:hAnsi="Arabic Typesetting" w:hint="cs"/>
          <w:sz w:val="27"/>
          <w:rtl/>
        </w:rPr>
        <w:t>ٍ</w:t>
      </w:r>
      <w:r w:rsidRPr="006571AC">
        <w:rPr>
          <w:rFonts w:ascii="Arabic Typesetting" w:hAnsi="Arabic Typesetting"/>
          <w:sz w:val="27"/>
          <w:rtl/>
        </w:rPr>
        <w:t xml:space="preserve"> على الإمكان</w:t>
      </w:r>
      <w:r w:rsidRPr="006571AC">
        <w:rPr>
          <w:rFonts w:ascii="Arabic Typesetting" w:hAnsi="Arabic Typesetting"/>
          <w:sz w:val="27"/>
          <w:vertAlign w:val="superscript"/>
          <w:rtl/>
        </w:rPr>
        <w:t>(</w:t>
      </w:r>
      <w:r w:rsidRPr="006571AC">
        <w:rPr>
          <w:rStyle w:val="ac"/>
          <w:rFonts w:ascii="Arabic Typesetting" w:hAnsi="Arabic Typesetting"/>
          <w:sz w:val="27"/>
          <w:rtl/>
        </w:rPr>
        <w:endnoteReference w:id="594"/>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وفي</w:t>
      </w:r>
      <w:r w:rsidR="00B22D35" w:rsidRPr="006571AC">
        <w:rPr>
          <w:rFonts w:ascii="Arabic Typesetting" w:hAnsi="Arabic Typesetting" w:hint="cs"/>
          <w:b/>
          <w:bCs/>
          <w:sz w:val="27"/>
          <w:rtl/>
        </w:rPr>
        <w:t xml:space="preserve"> </w:t>
      </w:r>
      <w:r w:rsidRPr="006571AC">
        <w:rPr>
          <w:rFonts w:ascii="Arabic Typesetting" w:hAnsi="Arabic Typesetting"/>
          <w:b/>
          <w:bCs/>
          <w:sz w:val="27"/>
          <w:rtl/>
        </w:rPr>
        <w:t>ما يرتبط بالحوار بين المفسِّر والنص</w:t>
      </w:r>
      <w:r w:rsidR="00B22D35" w:rsidRPr="006571AC">
        <w:rPr>
          <w:rFonts w:ascii="Arabic Typesetting" w:hAnsi="Arabic Typesetting" w:hint="cs"/>
          <w:sz w:val="27"/>
          <w:rtl/>
        </w:rPr>
        <w:t>ّ</w:t>
      </w:r>
      <w:r w:rsidRPr="006571AC">
        <w:rPr>
          <w:rFonts w:ascii="Arabic Typesetting" w:hAnsi="Arabic Typesetting"/>
          <w:sz w:val="27"/>
          <w:rtl/>
        </w:rPr>
        <w:t>، فقد تعرّ</w:t>
      </w:r>
      <w:r w:rsidR="00B22D35" w:rsidRPr="006571AC">
        <w:rPr>
          <w:rFonts w:ascii="Arabic Typesetting" w:hAnsi="Arabic Typesetting" w:hint="cs"/>
          <w:sz w:val="27"/>
          <w:rtl/>
        </w:rPr>
        <w:t>َ</w:t>
      </w:r>
      <w:r w:rsidRPr="006571AC">
        <w:rPr>
          <w:rFonts w:ascii="Arabic Typesetting" w:hAnsi="Arabic Typesetting"/>
          <w:sz w:val="27"/>
          <w:rtl/>
        </w:rPr>
        <w:t>ض الشهيد الصدر لهذه الفكرة في نظريته في التفسير الموضوعي، والتي أش</w:t>
      </w:r>
      <w:r w:rsidR="00B22D35" w:rsidRPr="006571AC">
        <w:rPr>
          <w:rFonts w:ascii="Arabic Typesetting" w:hAnsi="Arabic Typesetting" w:hint="cs"/>
          <w:sz w:val="27"/>
          <w:rtl/>
        </w:rPr>
        <w:t>َ</w:t>
      </w:r>
      <w:r w:rsidRPr="006571AC">
        <w:rPr>
          <w:rFonts w:ascii="Arabic Typesetting" w:hAnsi="Arabic Typesetting"/>
          <w:sz w:val="27"/>
          <w:rtl/>
        </w:rPr>
        <w:t>ر</w:t>
      </w:r>
      <w:r w:rsidR="00B22D35" w:rsidRPr="006571AC">
        <w:rPr>
          <w:rFonts w:ascii="Arabic Typesetting" w:hAnsi="Arabic Typesetting" w:hint="cs"/>
          <w:sz w:val="27"/>
          <w:rtl/>
        </w:rPr>
        <w:t>ْ</w:t>
      </w:r>
      <w:r w:rsidRPr="006571AC">
        <w:rPr>
          <w:rFonts w:ascii="Arabic Typesetting" w:hAnsi="Arabic Typesetting"/>
          <w:sz w:val="27"/>
          <w:rtl/>
        </w:rPr>
        <w:t>نا إليها في المبنى السادس، وذكرنا أهم</w:t>
      </w:r>
      <w:r w:rsidR="00B22D35" w:rsidRPr="006571AC">
        <w:rPr>
          <w:rFonts w:ascii="Arabic Typesetting" w:hAnsi="Arabic Typesetting" w:hint="cs"/>
          <w:sz w:val="27"/>
          <w:rtl/>
        </w:rPr>
        <w:t>ِّ</w:t>
      </w:r>
      <w:r w:rsidRPr="006571AC">
        <w:rPr>
          <w:rFonts w:ascii="Arabic Typesetting" w:hAnsi="Arabic Typesetting"/>
          <w:sz w:val="27"/>
          <w:rtl/>
        </w:rPr>
        <w:t>ية هذا المبنى في فهم النص</w:t>
      </w:r>
      <w:r w:rsidR="00F46801" w:rsidRPr="006571AC">
        <w:rPr>
          <w:rFonts w:ascii="Arabic Typesetting" w:hAnsi="Arabic Typesetting" w:hint="cs"/>
          <w:sz w:val="27"/>
          <w:rtl/>
        </w:rPr>
        <w:t>ّ</w:t>
      </w:r>
      <w:r w:rsidRPr="006571AC">
        <w:rPr>
          <w:rFonts w:ascii="Arabic Typesetting" w:hAnsi="Arabic Typesetting"/>
          <w:sz w:val="27"/>
          <w:rtl/>
        </w:rPr>
        <w:t xml:space="preserve"> القرآني. نعم، لا يقول الشهيد الصدر بمقالة غادامر، بأنه عندما يجري حوار بين المفسِّر والنص</w:t>
      </w:r>
      <w:r w:rsidR="00F46801" w:rsidRPr="006571AC">
        <w:rPr>
          <w:rFonts w:ascii="Arabic Typesetting" w:hAnsi="Arabic Typesetting" w:hint="cs"/>
          <w:sz w:val="27"/>
          <w:rtl/>
        </w:rPr>
        <w:t>ّ</w:t>
      </w:r>
      <w:r w:rsidRPr="006571AC">
        <w:rPr>
          <w:rFonts w:ascii="Arabic Typesetting" w:hAnsi="Arabic Typesetting"/>
          <w:sz w:val="27"/>
          <w:rtl/>
        </w:rPr>
        <w:t xml:space="preserve"> فإن المعنى الذي يصل إليه المفسِّر لا يكون منسوبا</w:t>
      </w:r>
      <w:r w:rsidR="00F46801" w:rsidRPr="006571AC">
        <w:rPr>
          <w:rFonts w:ascii="Arabic Typesetting" w:hAnsi="Arabic Typesetting" w:hint="cs"/>
          <w:sz w:val="27"/>
          <w:rtl/>
        </w:rPr>
        <w:t>ً</w:t>
      </w:r>
      <w:r w:rsidRPr="006571AC">
        <w:rPr>
          <w:rFonts w:ascii="Arabic Typesetting" w:hAnsi="Arabic Typesetting"/>
          <w:sz w:val="27"/>
          <w:rtl/>
        </w:rPr>
        <w:t xml:space="preserve"> إلى النص</w:t>
      </w:r>
      <w:r w:rsidR="00F46801" w:rsidRPr="006571AC">
        <w:rPr>
          <w:rFonts w:ascii="Arabic Typesetting" w:hAnsi="Arabic Typesetting" w:hint="cs"/>
          <w:sz w:val="27"/>
          <w:rtl/>
        </w:rPr>
        <w:t>ّ،</w:t>
      </w:r>
      <w:r w:rsidRPr="006571AC">
        <w:rPr>
          <w:rFonts w:ascii="Arabic Typesetting" w:hAnsi="Arabic Typesetting"/>
          <w:sz w:val="27"/>
          <w:rtl/>
        </w:rPr>
        <w:t xml:space="preserve"> ولا إلى المفسِّر</w:t>
      </w:r>
      <w:r w:rsidR="00F46801" w:rsidRPr="006571AC">
        <w:rPr>
          <w:rFonts w:ascii="Arabic Typesetting" w:hAnsi="Arabic Typesetting" w:hint="cs"/>
          <w:sz w:val="27"/>
          <w:rtl/>
        </w:rPr>
        <w:t>،</w:t>
      </w:r>
      <w:r w:rsidRPr="006571AC">
        <w:rPr>
          <w:rFonts w:ascii="Arabic Typesetting" w:hAnsi="Arabic Typesetting"/>
          <w:sz w:val="27"/>
          <w:rtl/>
        </w:rPr>
        <w:t xml:space="preserve"> بل هو عبارة</w:t>
      </w:r>
      <w:r w:rsidR="00F46801" w:rsidRPr="006571AC">
        <w:rPr>
          <w:rFonts w:ascii="Arabic Typesetting" w:hAnsi="Arabic Typesetting" w:hint="cs"/>
          <w:sz w:val="27"/>
          <w:rtl/>
        </w:rPr>
        <w:t>ٌ</w:t>
      </w:r>
      <w:r w:rsidRPr="006571AC">
        <w:rPr>
          <w:rFonts w:ascii="Arabic Typesetting" w:hAnsi="Arabic Typesetting"/>
          <w:sz w:val="27"/>
          <w:rtl/>
        </w:rPr>
        <w:t xml:space="preserve"> عن مزيج</w:t>
      </w:r>
      <w:r w:rsidR="00F46801" w:rsidRPr="006571AC">
        <w:rPr>
          <w:rFonts w:ascii="Arabic Typesetting" w:hAnsi="Arabic Typesetting" w:hint="cs"/>
          <w:sz w:val="27"/>
          <w:rtl/>
        </w:rPr>
        <w:t>ٍ</w:t>
      </w:r>
      <w:r w:rsidRPr="006571AC">
        <w:rPr>
          <w:rFonts w:ascii="Arabic Typesetting" w:hAnsi="Arabic Typesetting"/>
          <w:sz w:val="27"/>
          <w:rtl/>
        </w:rPr>
        <w:t xml:space="preserve"> بين الأفق المعنائي للنص</w:t>
      </w:r>
      <w:r w:rsidR="00F46801" w:rsidRPr="006571AC">
        <w:rPr>
          <w:rFonts w:ascii="Arabic Typesetting" w:hAnsi="Arabic Typesetting" w:hint="cs"/>
          <w:sz w:val="27"/>
          <w:rtl/>
        </w:rPr>
        <w:t>ّ</w:t>
      </w:r>
      <w:r w:rsidRPr="006571AC">
        <w:rPr>
          <w:rFonts w:ascii="Arabic Typesetting" w:hAnsi="Arabic Typesetting"/>
          <w:sz w:val="27"/>
          <w:rtl/>
        </w:rPr>
        <w:t xml:space="preserve"> مع الأفق المعنائي للمفسِّر</w:t>
      </w:r>
      <w:r w:rsidR="00F46801" w:rsidRPr="006571AC">
        <w:rPr>
          <w:rFonts w:ascii="Arabic Typesetting" w:hAnsi="Arabic Typesetting" w:hint="cs"/>
          <w:sz w:val="27"/>
          <w:rtl/>
        </w:rPr>
        <w:t>،</w:t>
      </w:r>
      <w:r w:rsidRPr="006571AC">
        <w:rPr>
          <w:rFonts w:ascii="Arabic Typesetting" w:hAnsi="Arabic Typesetting"/>
          <w:sz w:val="27"/>
          <w:rtl/>
        </w:rPr>
        <w:t xml:space="preserve"> بل أكّ</w:t>
      </w:r>
      <w:r w:rsidR="00F46801" w:rsidRPr="006571AC">
        <w:rPr>
          <w:rFonts w:ascii="Arabic Typesetting" w:hAnsi="Arabic Typesetting" w:hint="cs"/>
          <w:sz w:val="27"/>
          <w:rtl/>
        </w:rPr>
        <w:t>َ</w:t>
      </w:r>
      <w:r w:rsidRPr="006571AC">
        <w:rPr>
          <w:rFonts w:ascii="Arabic Typesetting" w:hAnsi="Arabic Typesetting"/>
          <w:sz w:val="27"/>
          <w:rtl/>
        </w:rPr>
        <w:t>د الشهيد الصدر على أهم</w:t>
      </w:r>
      <w:r w:rsidR="00F46801" w:rsidRPr="006571AC">
        <w:rPr>
          <w:rFonts w:ascii="Arabic Typesetting" w:hAnsi="Arabic Typesetting" w:hint="cs"/>
          <w:sz w:val="27"/>
          <w:rtl/>
        </w:rPr>
        <w:t>ِّ</w:t>
      </w:r>
      <w:r w:rsidRPr="006571AC">
        <w:rPr>
          <w:rFonts w:ascii="Arabic Typesetting" w:hAnsi="Arabic Typesetting"/>
          <w:sz w:val="27"/>
          <w:rtl/>
        </w:rPr>
        <w:t>ية الحوار مع النص</w:t>
      </w:r>
      <w:r w:rsidR="00F46801" w:rsidRPr="006571AC">
        <w:rPr>
          <w:rFonts w:ascii="Arabic Typesetting" w:hAnsi="Arabic Typesetting" w:hint="cs"/>
          <w:sz w:val="27"/>
          <w:rtl/>
        </w:rPr>
        <w:t>ّ،</w:t>
      </w:r>
      <w:r w:rsidRPr="006571AC">
        <w:rPr>
          <w:rFonts w:ascii="Arabic Typesetting" w:hAnsi="Arabic Typesetting"/>
          <w:sz w:val="27"/>
          <w:rtl/>
        </w:rPr>
        <w:t xml:space="preserve"> والانطلاق من الواقع إلى النص</w:t>
      </w:r>
      <w:r w:rsidR="00F46801" w:rsidRPr="006571AC">
        <w:rPr>
          <w:rFonts w:ascii="Arabic Typesetting" w:hAnsi="Arabic Typesetting" w:hint="cs"/>
          <w:sz w:val="27"/>
          <w:rtl/>
        </w:rPr>
        <w:t>ّ</w:t>
      </w:r>
      <w:r w:rsidRPr="006571AC">
        <w:rPr>
          <w:rFonts w:ascii="Arabic Typesetting" w:hAnsi="Arabic Typesetting"/>
          <w:sz w:val="27"/>
          <w:rtl/>
        </w:rPr>
        <w:t>، كل</w:t>
      </w:r>
      <w:r w:rsidR="00F46801" w:rsidRPr="006571AC">
        <w:rPr>
          <w:rFonts w:ascii="Arabic Typesetting" w:hAnsi="Arabic Typesetting" w:hint="cs"/>
          <w:sz w:val="27"/>
          <w:rtl/>
        </w:rPr>
        <w:t>ّ</w:t>
      </w:r>
      <w:r w:rsidRPr="006571AC">
        <w:rPr>
          <w:rFonts w:ascii="Arabic Typesetting" w:hAnsi="Arabic Typesetting"/>
          <w:sz w:val="27"/>
          <w:rtl/>
        </w:rPr>
        <w:t xml:space="preserve"> ذلك لأجل الكشف عن المراد التام والكامل للمؤل</w:t>
      </w:r>
      <w:r w:rsidR="00F46801" w:rsidRPr="006571AC">
        <w:rPr>
          <w:rFonts w:ascii="Arabic Typesetting" w:hAnsi="Arabic Typesetting" w:hint="cs"/>
          <w:sz w:val="27"/>
          <w:rtl/>
        </w:rPr>
        <w:t>ِّ</w:t>
      </w:r>
      <w:r w:rsidRPr="006571AC">
        <w:rPr>
          <w:rFonts w:ascii="Arabic Typesetting" w:hAnsi="Arabic Typesetting"/>
          <w:sz w:val="27"/>
          <w:rtl/>
        </w:rPr>
        <w:t xml:space="preserve">ف في هذا المجال.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نعم، بقي ثلاثة أسئلة لم يُجِب</w:t>
      </w:r>
      <w:r w:rsidR="00F46801" w:rsidRPr="006571AC">
        <w:rPr>
          <w:rFonts w:ascii="Arabic Typesetting" w:hAnsi="Arabic Typesetting" w:hint="cs"/>
          <w:sz w:val="27"/>
          <w:rtl/>
        </w:rPr>
        <w:t>ْ</w:t>
      </w:r>
      <w:r w:rsidRPr="006571AC">
        <w:rPr>
          <w:rFonts w:ascii="Arabic Typesetting" w:hAnsi="Arabic Typesetting"/>
          <w:sz w:val="27"/>
          <w:rtl/>
        </w:rPr>
        <w:t xml:space="preserve"> عنها الشهيد الصدر، وهي: </w:t>
      </w:r>
    </w:p>
    <w:p w:rsidR="00986754" w:rsidRPr="006571AC" w:rsidRDefault="00986754" w:rsidP="00986754">
      <w:pPr>
        <w:spacing w:line="420" w:lineRule="exact"/>
        <w:rPr>
          <w:rFonts w:ascii="Arabic Typesetting" w:hAnsi="Arabic Typesetting"/>
          <w:sz w:val="27"/>
          <w:rtl/>
          <w:lang w:bidi="ar-LB"/>
        </w:rPr>
      </w:pPr>
    </w:p>
    <w:p w:rsidR="008D51F3" w:rsidRPr="006571AC" w:rsidRDefault="00357787" w:rsidP="00ED7B4B">
      <w:pPr>
        <w:pStyle w:val="31"/>
        <w:rPr>
          <w:color w:val="auto"/>
        </w:rPr>
      </w:pPr>
      <w:bookmarkStart w:id="374" w:name="_Toc114164787"/>
      <w:r w:rsidRPr="006571AC">
        <w:rPr>
          <w:rFonts w:hint="cs"/>
          <w:color w:val="auto"/>
          <w:rtl/>
        </w:rPr>
        <w:t>أ</w:t>
      </w:r>
      <w:r w:rsidR="008D51F3" w:rsidRPr="006571AC">
        <w:rPr>
          <w:rFonts w:hint="cs"/>
          <w:color w:val="auto"/>
          <w:rtl/>
        </w:rPr>
        <w:t xml:space="preserve">ـ </w:t>
      </w:r>
      <w:r w:rsidR="008D51F3" w:rsidRPr="006571AC">
        <w:rPr>
          <w:color w:val="auto"/>
          <w:rtl/>
        </w:rPr>
        <w:t>هل المفسِّر دائما</w:t>
      </w:r>
      <w:r w:rsidR="00F46801" w:rsidRPr="006571AC">
        <w:rPr>
          <w:rFonts w:hint="cs"/>
          <w:color w:val="auto"/>
          <w:rtl/>
        </w:rPr>
        <w:t>ً</w:t>
      </w:r>
      <w:r w:rsidR="008D51F3" w:rsidRPr="006571AC">
        <w:rPr>
          <w:color w:val="auto"/>
          <w:rtl/>
        </w:rPr>
        <w:t xml:space="preserve"> في معرض سوء الفهم؟</w:t>
      </w:r>
      <w:bookmarkEnd w:id="374"/>
      <w:r w:rsidR="008D51F3" w:rsidRPr="006571AC">
        <w:rPr>
          <w:color w:val="auto"/>
          <w:rtl/>
        </w:rPr>
        <w:t xml:space="preserve"> </w:t>
      </w:r>
    </w:p>
    <w:p w:rsidR="008D51F3" w:rsidRPr="006571AC" w:rsidRDefault="008D51F3" w:rsidP="005B0CA4">
      <w:pPr>
        <w:pStyle w:val="af1"/>
        <w:spacing w:after="0" w:line="400"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لم يعالج الشهيد الصدر هذا السؤال مباشرة</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لك</w:t>
      </w:r>
      <w:r w:rsidR="00F46801" w:rsidRPr="006571AC">
        <w:rPr>
          <w:rFonts w:ascii="Arabic Typesetting" w:eastAsia="Times New Roman" w:hAnsi="Arabic Typesetting" w:cs="AL-Mohanad" w:hint="cs"/>
          <w:sz w:val="27"/>
          <w:szCs w:val="27"/>
          <w:rtl/>
        </w:rPr>
        <w:t>نْ</w:t>
      </w:r>
      <w:r w:rsidRPr="006571AC">
        <w:rPr>
          <w:rFonts w:ascii="Arabic Typesetting" w:eastAsia="Times New Roman" w:hAnsi="Arabic Typesetting" w:cs="AL-Mohanad"/>
          <w:sz w:val="27"/>
          <w:szCs w:val="27"/>
          <w:rtl/>
        </w:rPr>
        <w:t xml:space="preserve"> من خلال ما ذكره يمكن الجواب عنه بالإيجاب. فالمفسِّر دائما</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يواجه خطر سوء الفهم</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بسبب القسم المضرّ من القبليات المعرفية، وبسبب التأثّ</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ر النفسي</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الم</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سبَق، وغير ذلك مما تقد</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م ذكره. لكن</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هذا لا يعني أنه لا يمكن للمفسِّر أن </w:t>
      </w:r>
      <w:r w:rsidR="00F46801" w:rsidRPr="006571AC">
        <w:rPr>
          <w:rFonts w:ascii="Arabic Typesetting" w:eastAsia="Times New Roman" w:hAnsi="Arabic Typesetting" w:cs="AL-Mohanad" w:hint="cs"/>
          <w:sz w:val="27"/>
          <w:szCs w:val="27"/>
          <w:rtl/>
        </w:rPr>
        <w:t>ي</w:t>
      </w:r>
      <w:r w:rsidRPr="006571AC">
        <w:rPr>
          <w:rFonts w:ascii="Arabic Typesetting" w:eastAsia="Times New Roman" w:hAnsi="Arabic Typesetting" w:cs="AL-Mohanad"/>
          <w:sz w:val="27"/>
          <w:szCs w:val="27"/>
          <w:rtl/>
        </w:rPr>
        <w:t>تجاوز هذه العقبات، بل يمكن للمفسِّر أن يتخلّ</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ص من سوء الفهم</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ليصل إلى مراد المؤل</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ف. </w:t>
      </w:r>
    </w:p>
    <w:p w:rsidR="008D51F3" w:rsidRPr="006571AC" w:rsidRDefault="00357787" w:rsidP="00ED7B4B">
      <w:pPr>
        <w:pStyle w:val="31"/>
        <w:rPr>
          <w:color w:val="auto"/>
        </w:rPr>
      </w:pPr>
      <w:bookmarkStart w:id="375" w:name="_Toc114164788"/>
      <w:r w:rsidRPr="006571AC">
        <w:rPr>
          <w:rFonts w:hint="cs"/>
          <w:color w:val="auto"/>
          <w:rtl/>
        </w:rPr>
        <w:lastRenderedPageBreak/>
        <w:t xml:space="preserve">ب </w:t>
      </w:r>
      <w:r w:rsidR="008D51F3" w:rsidRPr="006571AC">
        <w:rPr>
          <w:rFonts w:hint="cs"/>
          <w:color w:val="auto"/>
          <w:rtl/>
        </w:rPr>
        <w:t xml:space="preserve">ـ </w:t>
      </w:r>
      <w:r w:rsidR="008D51F3" w:rsidRPr="006571AC">
        <w:rPr>
          <w:color w:val="auto"/>
          <w:rtl/>
        </w:rPr>
        <w:t>هل يجب النفوذ إلى ذهني</w:t>
      </w:r>
      <w:r w:rsidR="00F46801" w:rsidRPr="006571AC">
        <w:rPr>
          <w:rFonts w:hint="cs"/>
          <w:color w:val="auto"/>
          <w:rtl/>
        </w:rPr>
        <w:t>ّ</w:t>
      </w:r>
      <w:r w:rsidR="008D51F3" w:rsidRPr="006571AC">
        <w:rPr>
          <w:color w:val="auto"/>
          <w:rtl/>
        </w:rPr>
        <w:t>ة المؤل</w:t>
      </w:r>
      <w:r w:rsidR="00F46801" w:rsidRPr="006571AC">
        <w:rPr>
          <w:rFonts w:hint="cs"/>
          <w:color w:val="auto"/>
          <w:rtl/>
        </w:rPr>
        <w:t>ِّ</w:t>
      </w:r>
      <w:r w:rsidR="008D51F3" w:rsidRPr="006571AC">
        <w:rPr>
          <w:color w:val="auto"/>
          <w:rtl/>
        </w:rPr>
        <w:t>ف ونفسي</w:t>
      </w:r>
      <w:r w:rsidR="00F46801" w:rsidRPr="006571AC">
        <w:rPr>
          <w:rFonts w:hint="cs"/>
          <w:color w:val="auto"/>
          <w:rtl/>
        </w:rPr>
        <w:t>ّ</w:t>
      </w:r>
      <w:r w:rsidR="008D51F3" w:rsidRPr="006571AC">
        <w:rPr>
          <w:color w:val="auto"/>
          <w:rtl/>
        </w:rPr>
        <w:t>ته حت</w:t>
      </w:r>
      <w:r w:rsidR="00F46801" w:rsidRPr="006571AC">
        <w:rPr>
          <w:rFonts w:hint="cs"/>
          <w:color w:val="auto"/>
          <w:rtl/>
        </w:rPr>
        <w:t>ّ</w:t>
      </w:r>
      <w:r w:rsidR="008D51F3" w:rsidRPr="006571AC">
        <w:rPr>
          <w:color w:val="auto"/>
          <w:rtl/>
        </w:rPr>
        <w:t>ى نصل إلى ف</w:t>
      </w:r>
      <w:r w:rsidR="00B1324D" w:rsidRPr="006571AC">
        <w:rPr>
          <w:rFonts w:hint="cs"/>
          <w:color w:val="auto"/>
          <w:rtl/>
        </w:rPr>
        <w:t>َ</w:t>
      </w:r>
      <w:r w:rsidR="008D51F3" w:rsidRPr="006571AC">
        <w:rPr>
          <w:color w:val="auto"/>
          <w:rtl/>
        </w:rPr>
        <w:t>ه</w:t>
      </w:r>
      <w:r w:rsidR="00B1324D" w:rsidRPr="006571AC">
        <w:rPr>
          <w:rFonts w:hint="cs"/>
          <w:color w:val="auto"/>
          <w:rtl/>
        </w:rPr>
        <w:t>ْ</w:t>
      </w:r>
      <w:r w:rsidR="008D51F3" w:rsidRPr="006571AC">
        <w:rPr>
          <w:color w:val="auto"/>
          <w:rtl/>
        </w:rPr>
        <w:t>م</w:t>
      </w:r>
      <w:r w:rsidR="00F46801" w:rsidRPr="006571AC">
        <w:rPr>
          <w:rFonts w:hint="cs"/>
          <w:color w:val="auto"/>
          <w:rtl/>
        </w:rPr>
        <w:t>ٍ</w:t>
      </w:r>
      <w:r w:rsidR="008D51F3" w:rsidRPr="006571AC">
        <w:rPr>
          <w:color w:val="auto"/>
          <w:rtl/>
        </w:rPr>
        <w:t xml:space="preserve"> صحيح للنص</w:t>
      </w:r>
      <w:r w:rsidR="00F46801" w:rsidRPr="006571AC">
        <w:rPr>
          <w:rFonts w:hint="cs"/>
          <w:color w:val="auto"/>
          <w:rtl/>
        </w:rPr>
        <w:t>ّ</w:t>
      </w:r>
      <w:r w:rsidR="008D51F3" w:rsidRPr="006571AC">
        <w:rPr>
          <w:color w:val="auto"/>
          <w:rtl/>
        </w:rPr>
        <w:t>؟</w:t>
      </w:r>
      <w:bookmarkEnd w:id="375"/>
      <w:r w:rsidR="008D51F3" w:rsidRPr="006571AC">
        <w:rPr>
          <w:color w:val="auto"/>
          <w:rtl/>
        </w:rPr>
        <w:t xml:space="preserve"> </w:t>
      </w:r>
    </w:p>
    <w:p w:rsidR="008D51F3" w:rsidRPr="006571AC" w:rsidRDefault="008D51F3" w:rsidP="00986754">
      <w:pPr>
        <w:pStyle w:val="af1"/>
        <w:spacing w:after="0" w:line="386"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لم يُجِب</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الشهيد الصدر بشكل</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مباشر عن هذا السؤال. ولعل</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ما تقدّم الحديث عنه من أهم</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ية الاندماج مع الإطار الفكري للنص</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والارتكاز الاجتماعي للنص</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قريب</w:t>
      </w:r>
      <w:r w:rsidR="007C3C65" w:rsidRPr="006571AC">
        <w:rPr>
          <w:rFonts w:ascii="Arabic Typesetting" w:eastAsia="Times New Roman" w:hAnsi="Arabic Typesetting" w:cs="AL-Mohanad" w:hint="cs"/>
          <w:sz w:val="27"/>
          <w:szCs w:val="27"/>
          <w:rtl/>
        </w:rPr>
        <w:t>ان</w:t>
      </w:r>
      <w:r w:rsidRPr="006571AC">
        <w:rPr>
          <w:rFonts w:ascii="Arabic Typesetting" w:eastAsia="Times New Roman" w:hAnsi="Arabic Typesetting" w:cs="AL-Mohanad"/>
          <w:sz w:val="27"/>
          <w:szCs w:val="27"/>
          <w:rtl/>
        </w:rPr>
        <w:t xml:space="preserve"> جدّاً من فكرة النفوذ إلى ذهني</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ة المؤل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 و إن</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كانا لا يوصلاننا إلى إعادة بناء ذهني</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ة المؤل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 تماما</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w:t>
      </w:r>
    </w:p>
    <w:p w:rsidR="008D51F3" w:rsidRPr="006571AC" w:rsidRDefault="00B1324D" w:rsidP="00986754">
      <w:pPr>
        <w:pStyle w:val="af1"/>
        <w:spacing w:after="0" w:line="386"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و</w:t>
      </w:r>
      <w:r w:rsidR="008D51F3" w:rsidRPr="006571AC">
        <w:rPr>
          <w:rFonts w:ascii="Arabic Typesetting" w:eastAsia="Times New Roman" w:hAnsi="Arabic Typesetting" w:cs="AL-Mohanad"/>
          <w:sz w:val="27"/>
          <w:szCs w:val="27"/>
          <w:rtl/>
        </w:rPr>
        <w:t>لو طر</w:t>
      </w:r>
      <w:r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ح</w:t>
      </w:r>
      <w:r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نا هذا السؤال على الشهيد الصدر الآن لأمكن أن يفصّ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ل بين النص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القرآني والنص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الروائي؛ فليس مؤل</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ف النص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القرآني بشريّاً يمكن النفوذ إلى ذهني</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ته؛ بخلاف النص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الروائي. </w:t>
      </w:r>
      <w:r w:rsidR="007C3C65" w:rsidRPr="006571AC">
        <w:rPr>
          <w:rFonts w:ascii="Arabic Typesetting" w:eastAsia="Times New Roman" w:hAnsi="Arabic Typesetting" w:cs="AL-Mohanad" w:hint="cs"/>
          <w:sz w:val="27"/>
          <w:szCs w:val="27"/>
          <w:rtl/>
        </w:rPr>
        <w:t>و</w:t>
      </w:r>
      <w:r w:rsidR="008D51F3" w:rsidRPr="006571AC">
        <w:rPr>
          <w:rFonts w:ascii="Arabic Typesetting" w:eastAsia="Times New Roman" w:hAnsi="Arabic Typesetting" w:cs="AL-Mohanad"/>
          <w:sz w:val="27"/>
          <w:szCs w:val="27"/>
          <w:rtl/>
        </w:rPr>
        <w:t>مع ذلك ف</w:t>
      </w:r>
      <w:r w:rsidR="007C3C65" w:rsidRPr="006571AC">
        <w:rPr>
          <w:rFonts w:ascii="Arabic Typesetting" w:eastAsia="Times New Roman" w:hAnsi="Arabic Typesetting" w:cs="AL-Mohanad" w:hint="cs"/>
          <w:sz w:val="27"/>
          <w:szCs w:val="27"/>
          <w:rtl/>
        </w:rPr>
        <w:t xml:space="preserve">إن </w:t>
      </w:r>
      <w:r w:rsidR="008D51F3" w:rsidRPr="006571AC">
        <w:rPr>
          <w:rFonts w:ascii="Arabic Typesetting" w:eastAsia="Times New Roman" w:hAnsi="Arabic Typesetting" w:cs="AL-Mohanad"/>
          <w:sz w:val="27"/>
          <w:szCs w:val="27"/>
          <w:rtl/>
        </w:rPr>
        <w:t>مُلقي النص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الروائي معصوم</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وله درجة</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وجودي</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ة</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أعلى وأكمل من سائر البشر. </w:t>
      </w:r>
    </w:p>
    <w:p w:rsidR="008D51F3" w:rsidRPr="006571AC" w:rsidRDefault="008D51F3" w:rsidP="00986754">
      <w:pPr>
        <w:pStyle w:val="af1"/>
        <w:spacing w:after="0" w:line="386"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لكن</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قد يتجاوز الشهيد الصدر هذه المشكلة، من خلال القول بأن المُتّ</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ب</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ع في النصوص الشرعية هو طريقة المحاورة الع</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ر</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فية والمتداولة بين أبناء الع</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ر</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 وبناء</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عليه يمكننا فهم النص</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دون النفوذ إلى أعماق ذهني</w:t>
      </w:r>
      <w:r w:rsidR="00B1324D"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ة المؤل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 والمتكل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م. نعم، هذا لا يعني أنه يجب أن لا نُلاحظ المتكل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م وإطاره الفكري</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بل </w:t>
      </w:r>
      <w:r w:rsidR="00731867" w:rsidRPr="006571AC">
        <w:rPr>
          <w:rFonts w:ascii="Arabic Typesetting" w:eastAsia="Times New Roman" w:hAnsi="Arabic Typesetting" w:cs="AL-Mohanad"/>
          <w:sz w:val="27"/>
          <w:szCs w:val="27"/>
          <w:rtl/>
        </w:rPr>
        <w:t>لا بُدَّ</w:t>
      </w:r>
      <w:r w:rsidRPr="006571AC">
        <w:rPr>
          <w:rFonts w:ascii="Arabic Typesetting" w:eastAsia="Times New Roman" w:hAnsi="Arabic Typesetting" w:cs="AL-Mohanad"/>
          <w:sz w:val="27"/>
          <w:szCs w:val="27"/>
          <w:rtl/>
        </w:rPr>
        <w:t xml:space="preserve"> من ملاحظته</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ثم</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إن هذا الكلام قد يجرّ</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نا إلى التفريق بين النص</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القرآني والنص</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الروائي</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فمؤل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 النص</w:t>
      </w:r>
      <w:r w:rsidR="007C3C65" w:rsidRPr="006571AC">
        <w:rPr>
          <w:rFonts w:ascii="Arabic Typesetting" w:eastAsia="Times New Roman" w:hAnsi="Arabic Typesetting" w:cs="AL-Mohanad" w:hint="cs"/>
          <w:sz w:val="27"/>
          <w:szCs w:val="27"/>
          <w:rtl/>
        </w:rPr>
        <w:t xml:space="preserve">ّ </w:t>
      </w:r>
      <w:r w:rsidRPr="006571AC">
        <w:rPr>
          <w:rFonts w:ascii="Arabic Typesetting" w:eastAsia="Times New Roman" w:hAnsi="Arabic Typesetting" w:cs="AL-Mohanad"/>
          <w:sz w:val="27"/>
          <w:szCs w:val="27"/>
          <w:rtl/>
        </w:rPr>
        <w:t>القرآني عالمٌ مطلق، يلقي كلامه لكل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الناس إلى يوم القيامة، ولكل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فئاتهم</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من العامّي وراعي الإبل إلى العالم الفيلسوف المتأل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ه والفقيه وعالم الاجتماع وما شاكل؛ أما النص</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الروائي فليس دائما</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هكذا. </w:t>
      </w:r>
    </w:p>
    <w:p w:rsidR="008D51F3" w:rsidRPr="006571AC" w:rsidRDefault="008D51F3" w:rsidP="00986754">
      <w:pPr>
        <w:pStyle w:val="af1"/>
        <w:spacing w:after="0" w:line="386"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وكيفما كان، فهذا سؤال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مهم</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جد</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ا</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والجواب</w:t>
      </w:r>
      <w:r w:rsidR="00B1324D"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عنه ضروري</w:t>
      </w:r>
      <w:r w:rsidR="00665BAA" w:rsidRPr="006571AC">
        <w:rPr>
          <w:rFonts w:ascii="Arabic Typesetting" w:eastAsia="Times New Roman" w:hAnsi="Arabic Typesetting" w:cs="AL-Mohanad" w:hint="cs"/>
          <w:sz w:val="27"/>
          <w:szCs w:val="27"/>
          <w:rtl/>
        </w:rPr>
        <w:t>ّ</w:t>
      </w:r>
      <w:r w:rsidR="00B1324D"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لكن</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لم يتعرّ</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ض الشهيد الصدر له؛ وإن</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أمكن أن نحدس بأنه سيجيب بأن صاحب النص</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الديني</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يتكل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م بح</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س</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ب الطريقة الع</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ر</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فية؛ لكن</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الكلام كل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الكلام في فهم هذه الطريقة بنحو</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دقيق، وهذا ما يحتاج إلى بحث</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مستقل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w:t>
      </w:r>
    </w:p>
    <w:p w:rsidR="008D51F3" w:rsidRPr="006571AC" w:rsidRDefault="008D51F3" w:rsidP="00986754">
      <w:pPr>
        <w:pStyle w:val="af1"/>
        <w:spacing w:after="0" w:line="386" w:lineRule="exact"/>
        <w:ind w:left="0" w:firstLine="567"/>
        <w:jc w:val="both"/>
        <w:rPr>
          <w:rFonts w:ascii="Arabic Typesetting" w:eastAsia="Times New Roman" w:hAnsi="Arabic Typesetting" w:cs="AL-Mohanad"/>
          <w:sz w:val="27"/>
          <w:szCs w:val="27"/>
          <w:rtl/>
        </w:rPr>
      </w:pPr>
    </w:p>
    <w:p w:rsidR="008D51F3" w:rsidRPr="006571AC" w:rsidRDefault="00357787" w:rsidP="00665BAA">
      <w:pPr>
        <w:pStyle w:val="31"/>
        <w:rPr>
          <w:color w:val="auto"/>
        </w:rPr>
      </w:pPr>
      <w:bookmarkStart w:id="376" w:name="_Toc114164789"/>
      <w:r w:rsidRPr="006571AC">
        <w:rPr>
          <w:rFonts w:hint="cs"/>
          <w:color w:val="auto"/>
          <w:rtl/>
        </w:rPr>
        <w:t xml:space="preserve">ج </w:t>
      </w:r>
      <w:r w:rsidR="008D51F3" w:rsidRPr="006571AC">
        <w:rPr>
          <w:rFonts w:hint="cs"/>
          <w:color w:val="auto"/>
          <w:rtl/>
        </w:rPr>
        <w:t xml:space="preserve">ـ </w:t>
      </w:r>
      <w:r w:rsidR="008D51F3" w:rsidRPr="006571AC">
        <w:rPr>
          <w:color w:val="auto"/>
          <w:rtl/>
        </w:rPr>
        <w:t>هل الحوار بين النص</w:t>
      </w:r>
      <w:r w:rsidR="00665BAA" w:rsidRPr="006571AC">
        <w:rPr>
          <w:rFonts w:hint="cs"/>
          <w:color w:val="auto"/>
          <w:rtl/>
        </w:rPr>
        <w:t>ّ</w:t>
      </w:r>
      <w:r w:rsidR="008D51F3" w:rsidRPr="006571AC">
        <w:rPr>
          <w:color w:val="auto"/>
          <w:rtl/>
        </w:rPr>
        <w:t xml:space="preserve"> والقارئ هو على نحو ال</w:t>
      </w:r>
      <w:r w:rsidR="00665BAA" w:rsidRPr="006571AC">
        <w:rPr>
          <w:color w:val="auto"/>
          <w:rtl/>
        </w:rPr>
        <w:t>د</w:t>
      </w:r>
      <w:r w:rsidR="00665BAA" w:rsidRPr="006571AC">
        <w:rPr>
          <w:rFonts w:hint="cs"/>
          <w:color w:val="auto"/>
          <w:rtl/>
        </w:rPr>
        <w:t>َّ</w:t>
      </w:r>
      <w:r w:rsidR="00EA38F1" w:rsidRPr="006571AC">
        <w:rPr>
          <w:color w:val="auto"/>
          <w:rtl/>
        </w:rPr>
        <w:t>وْر</w:t>
      </w:r>
      <w:r w:rsidR="008D51F3" w:rsidRPr="006571AC">
        <w:rPr>
          <w:color w:val="auto"/>
          <w:rtl/>
        </w:rPr>
        <w:t xml:space="preserve"> الهرمنيوطيقي، ويستمر</w:t>
      </w:r>
      <w:r w:rsidR="00665BAA" w:rsidRPr="006571AC">
        <w:rPr>
          <w:rFonts w:hint="cs"/>
          <w:color w:val="auto"/>
          <w:rtl/>
        </w:rPr>
        <w:t>ّ</w:t>
      </w:r>
      <w:r w:rsidR="008D51F3" w:rsidRPr="006571AC">
        <w:rPr>
          <w:color w:val="auto"/>
          <w:rtl/>
        </w:rPr>
        <w:t xml:space="preserve"> إلى ما لا نهاية؟</w:t>
      </w:r>
      <w:bookmarkEnd w:id="376"/>
      <w:r w:rsidR="008D51F3" w:rsidRPr="006571AC">
        <w:rPr>
          <w:color w:val="auto"/>
          <w:rtl/>
        </w:rPr>
        <w:t xml:space="preserve"> </w:t>
      </w:r>
    </w:p>
    <w:p w:rsidR="008D51F3" w:rsidRPr="006571AC" w:rsidRDefault="008D51F3" w:rsidP="005B0CA4">
      <w:pPr>
        <w:pStyle w:val="af1"/>
        <w:spacing w:after="0" w:line="400"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هذا ـ ح</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س</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ب تتب</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عي ـ لم يتعرّ</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ض له الشهيد الصدر. نعم، ثم</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ة وجه</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للإجابة بالإيجاب عن هذا السؤال، لكن</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لا على نحو ال</w:t>
      </w:r>
      <w:r w:rsidR="00665BAA" w:rsidRPr="006571AC">
        <w:rPr>
          <w:rFonts w:ascii="Arabic Typesetting" w:eastAsia="Times New Roman" w:hAnsi="Arabic Typesetting" w:cs="AL-Mohanad"/>
          <w:sz w:val="27"/>
          <w:szCs w:val="27"/>
          <w:rtl/>
        </w:rPr>
        <w:t>د</w:t>
      </w:r>
      <w:r w:rsidR="00665BAA" w:rsidRPr="006571AC">
        <w:rPr>
          <w:rFonts w:ascii="Arabic Typesetting" w:eastAsia="Times New Roman" w:hAnsi="Arabic Typesetting" w:cs="AL-Mohanad" w:hint="cs"/>
          <w:sz w:val="27"/>
          <w:szCs w:val="27"/>
          <w:rtl/>
        </w:rPr>
        <w:t>َّ</w:t>
      </w:r>
      <w:r w:rsidR="00EA38F1" w:rsidRPr="006571AC">
        <w:rPr>
          <w:rFonts w:ascii="Arabic Typesetting" w:eastAsia="Times New Roman" w:hAnsi="Arabic Typesetting" w:cs="AL-Mohanad"/>
          <w:sz w:val="27"/>
          <w:szCs w:val="27"/>
          <w:rtl/>
        </w:rPr>
        <w:t>وْر</w:t>
      </w:r>
      <w:r w:rsidRPr="006571AC">
        <w:rPr>
          <w:rFonts w:ascii="Arabic Typesetting" w:eastAsia="Times New Roman" w:hAnsi="Arabic Typesetting" w:cs="AL-Mohanad"/>
          <w:sz w:val="27"/>
          <w:szCs w:val="27"/>
          <w:rtl/>
        </w:rPr>
        <w:t xml:space="preserve"> المبيَّن في الهرمنيوطيقا، بل على </w:t>
      </w:r>
      <w:r w:rsidRPr="006571AC">
        <w:rPr>
          <w:rFonts w:ascii="Arabic Typesetting" w:eastAsia="Times New Roman" w:hAnsi="Arabic Typesetting" w:cs="AL-Mohanad"/>
          <w:sz w:val="27"/>
          <w:szCs w:val="27"/>
          <w:rtl/>
        </w:rPr>
        <w:lastRenderedPageBreak/>
        <w:t>نحو</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يُسمّى بـ </w:t>
      </w:r>
      <w:r w:rsidRPr="006571AC">
        <w:rPr>
          <w:rFonts w:cs="AL-Mohanad" w:hint="eastAsia"/>
          <w:sz w:val="24"/>
          <w:szCs w:val="24"/>
          <w:rtl/>
        </w:rPr>
        <w:t>«</w:t>
      </w:r>
      <w:r w:rsidRPr="006571AC">
        <w:rPr>
          <w:rFonts w:ascii="Arabic Typesetting" w:eastAsia="Times New Roman" w:hAnsi="Arabic Typesetting" w:cs="AL-Mohanad"/>
          <w:sz w:val="27"/>
          <w:szCs w:val="27"/>
          <w:rtl/>
        </w:rPr>
        <w:t>ال</w:t>
      </w:r>
      <w:r w:rsidR="00665BAA" w:rsidRPr="006571AC">
        <w:rPr>
          <w:rFonts w:ascii="Arabic Typesetting" w:eastAsia="Times New Roman" w:hAnsi="Arabic Typesetting" w:cs="AL-Mohanad"/>
          <w:sz w:val="27"/>
          <w:szCs w:val="27"/>
          <w:rtl/>
        </w:rPr>
        <w:t>د</w:t>
      </w:r>
      <w:r w:rsidR="00665BAA" w:rsidRPr="006571AC">
        <w:rPr>
          <w:rFonts w:ascii="Arabic Typesetting" w:eastAsia="Times New Roman" w:hAnsi="Arabic Typesetting" w:cs="AL-Mohanad" w:hint="cs"/>
          <w:sz w:val="27"/>
          <w:szCs w:val="27"/>
          <w:rtl/>
        </w:rPr>
        <w:t>َّ</w:t>
      </w:r>
      <w:r w:rsidR="00EA38F1" w:rsidRPr="006571AC">
        <w:rPr>
          <w:rFonts w:ascii="Arabic Typesetting" w:eastAsia="Times New Roman" w:hAnsi="Arabic Typesetting" w:cs="AL-Mohanad"/>
          <w:sz w:val="27"/>
          <w:szCs w:val="27"/>
          <w:rtl/>
        </w:rPr>
        <w:t>وْر</w:t>
      </w:r>
      <w:r w:rsidRPr="006571AC">
        <w:rPr>
          <w:rFonts w:ascii="Arabic Typesetting" w:eastAsia="Times New Roman" w:hAnsi="Arabic Typesetting" w:cs="AL-Mohanad"/>
          <w:sz w:val="27"/>
          <w:szCs w:val="27"/>
          <w:rtl/>
        </w:rPr>
        <w:t xml:space="preserve"> الاستنباطي</w:t>
      </w:r>
      <w:r w:rsidRPr="006571AC">
        <w:rPr>
          <w:rFonts w:cs="AL-Mohanad" w:hint="eastAsia"/>
          <w:sz w:val="24"/>
          <w:szCs w:val="24"/>
          <w:rtl/>
        </w:rPr>
        <w:t>»</w:t>
      </w:r>
      <w:r w:rsidRPr="006571AC">
        <w:rPr>
          <w:rFonts w:ascii="Arabic Typesetting" w:eastAsia="Times New Roman" w:hAnsi="Arabic Typesetting" w:cs="AL-Mohanad"/>
          <w:sz w:val="27"/>
          <w:szCs w:val="27"/>
          <w:vertAlign w:val="superscript"/>
          <w:rtl/>
        </w:rPr>
        <w:t>(</w:t>
      </w:r>
      <w:r w:rsidRPr="006571AC">
        <w:rPr>
          <w:rStyle w:val="ac"/>
          <w:rFonts w:ascii="Arabic Typesetting" w:eastAsia="Times New Roman" w:hAnsi="Arabic Typesetting" w:cs="AL-Mohanad"/>
          <w:sz w:val="27"/>
          <w:szCs w:val="27"/>
          <w:rtl/>
        </w:rPr>
        <w:endnoteReference w:id="595"/>
      </w:r>
      <w:r w:rsidRPr="006571AC">
        <w:rPr>
          <w:rFonts w:ascii="Arabic Typesetting" w:eastAsia="Times New Roman" w:hAnsi="Arabic Typesetting" w:cs="AL-Mohanad"/>
          <w:sz w:val="27"/>
          <w:szCs w:val="27"/>
          <w:vertAlign w:val="superscript"/>
          <w:rtl/>
        </w:rPr>
        <w:t>)</w:t>
      </w:r>
      <w:r w:rsidRPr="006571AC">
        <w:rPr>
          <w:rFonts w:ascii="Arabic Typesetting" w:eastAsia="Times New Roman" w:hAnsi="Arabic Typesetting" w:cs="AL-Mohanad"/>
          <w:sz w:val="27"/>
          <w:szCs w:val="27"/>
          <w:rtl/>
        </w:rPr>
        <w:t>. وهذا ما قد نستشهد له بالتأم</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ل في المتكل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م في النص</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الديني وخصوصي</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اته، كما يمكن أن نستخرج أ</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س</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س هذا ال</w:t>
      </w:r>
      <w:r w:rsidR="00665BAA" w:rsidRPr="006571AC">
        <w:rPr>
          <w:rFonts w:ascii="Arabic Typesetting" w:eastAsia="Times New Roman" w:hAnsi="Arabic Typesetting" w:cs="AL-Mohanad"/>
          <w:sz w:val="27"/>
          <w:szCs w:val="27"/>
          <w:rtl/>
        </w:rPr>
        <w:t>د</w:t>
      </w:r>
      <w:r w:rsidR="00665BAA" w:rsidRPr="006571AC">
        <w:rPr>
          <w:rFonts w:ascii="Arabic Typesetting" w:eastAsia="Times New Roman" w:hAnsi="Arabic Typesetting" w:cs="AL-Mohanad" w:hint="cs"/>
          <w:sz w:val="27"/>
          <w:szCs w:val="27"/>
          <w:rtl/>
        </w:rPr>
        <w:t>َّوْ</w:t>
      </w:r>
      <w:r w:rsidR="00EA38F1" w:rsidRPr="006571AC">
        <w:rPr>
          <w:rFonts w:ascii="Arabic Typesetting" w:eastAsia="Times New Roman" w:hAnsi="Arabic Typesetting" w:cs="AL-Mohanad"/>
          <w:sz w:val="27"/>
          <w:szCs w:val="27"/>
          <w:rtl/>
        </w:rPr>
        <w:t>ر</w:t>
      </w:r>
      <w:r w:rsidRPr="006571AC">
        <w:rPr>
          <w:rFonts w:ascii="Arabic Typesetting" w:eastAsia="Times New Roman" w:hAnsi="Arabic Typesetting" w:cs="AL-Mohanad"/>
          <w:sz w:val="27"/>
          <w:szCs w:val="27"/>
          <w:rtl/>
        </w:rPr>
        <w:t xml:space="preserve"> الاستنباطي من النص</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الروائي</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الذي يصرّ</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ح بأن القرآن يجري مجرى الشمس والقمر، وهو عند كل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قوم</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غضّ</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وما شاكل. وهذا أيضا</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بحث</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شريف، مرتبط</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بفهم النص</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جد</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ا</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ويحتاج إلى تحقيق</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مستقل</w:t>
      </w:r>
      <w:r w:rsidR="00B1324D"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أيضا</w:t>
      </w:r>
      <w:r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يبقى أن نسأل</w:t>
      </w:r>
      <w:r w:rsidRPr="006571AC">
        <w:rPr>
          <w:rFonts w:ascii="Arabic Typesetting" w:hAnsi="Arabic Typesetting"/>
          <w:sz w:val="27"/>
          <w:rtl/>
        </w:rPr>
        <w:t>: هل التفت الشهيد الصدر إلى مبنى</w:t>
      </w:r>
      <w:r w:rsidR="00665BAA" w:rsidRPr="006571AC">
        <w:rPr>
          <w:rFonts w:ascii="Arabic Typesetting" w:hAnsi="Arabic Typesetting" w:hint="cs"/>
          <w:sz w:val="27"/>
          <w:rtl/>
        </w:rPr>
        <w:t>ً</w:t>
      </w:r>
      <w:r w:rsidRPr="006571AC">
        <w:rPr>
          <w:rFonts w:ascii="Arabic Typesetting" w:hAnsi="Arabic Typesetting"/>
          <w:sz w:val="27"/>
          <w:rtl/>
        </w:rPr>
        <w:t xml:space="preserve"> لم يلتفت إليه الباحثون الغربي</w:t>
      </w:r>
      <w:r w:rsidR="00665BAA" w:rsidRPr="006571AC">
        <w:rPr>
          <w:rFonts w:ascii="Arabic Typesetting" w:hAnsi="Arabic Typesetting" w:hint="cs"/>
          <w:sz w:val="27"/>
          <w:rtl/>
        </w:rPr>
        <w:t>ّ</w:t>
      </w:r>
      <w:r w:rsidRPr="006571AC">
        <w:rPr>
          <w:rFonts w:ascii="Arabic Typesetting" w:hAnsi="Arabic Typesetting"/>
          <w:sz w:val="27"/>
          <w:rtl/>
        </w:rPr>
        <w:t xml:space="preserve">ون في مجال الهرمنيوطيقا؟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 xml:space="preserve">قد يبدو لنا أن كلامه عن </w:t>
      </w:r>
      <w:r w:rsidR="00EA38F1" w:rsidRPr="006571AC">
        <w:rPr>
          <w:rFonts w:ascii="Arabic Typesetting" w:hAnsi="Arabic Typesetting"/>
          <w:sz w:val="27"/>
          <w:rtl/>
        </w:rPr>
        <w:t>دَوْر</w:t>
      </w:r>
      <w:r w:rsidRPr="006571AC">
        <w:rPr>
          <w:rFonts w:ascii="Arabic Typesetting" w:hAnsi="Arabic Typesetting"/>
          <w:sz w:val="27"/>
          <w:rtl/>
        </w:rPr>
        <w:t xml:space="preserve"> الارتكاز الاجتماعي</w:t>
      </w:r>
      <w:r w:rsidR="00665BAA" w:rsidRPr="006571AC">
        <w:rPr>
          <w:rFonts w:ascii="Arabic Typesetting" w:hAnsi="Arabic Typesetting" w:hint="cs"/>
          <w:sz w:val="27"/>
          <w:rtl/>
        </w:rPr>
        <w:t>ّ</w:t>
      </w:r>
      <w:r w:rsidRPr="006571AC">
        <w:rPr>
          <w:rFonts w:ascii="Arabic Typesetting" w:hAnsi="Arabic Typesetting"/>
          <w:sz w:val="27"/>
          <w:rtl/>
        </w:rPr>
        <w:t xml:space="preserve"> في فهم النص</w:t>
      </w:r>
      <w:r w:rsidR="00665BAA" w:rsidRPr="006571AC">
        <w:rPr>
          <w:rFonts w:ascii="Arabic Typesetting" w:hAnsi="Arabic Typesetting" w:hint="cs"/>
          <w:sz w:val="27"/>
          <w:rtl/>
        </w:rPr>
        <w:t>ّ</w:t>
      </w:r>
      <w:r w:rsidRPr="006571AC">
        <w:rPr>
          <w:rFonts w:ascii="Arabic Typesetting" w:hAnsi="Arabic Typesetting"/>
          <w:sz w:val="27"/>
          <w:rtl/>
        </w:rPr>
        <w:t xml:space="preserve"> المذكور في المبنى الرابع، وحيثي</w:t>
      </w:r>
      <w:r w:rsidR="00665BAA" w:rsidRPr="006571AC">
        <w:rPr>
          <w:rFonts w:ascii="Arabic Typesetting" w:hAnsi="Arabic Typesetting" w:hint="cs"/>
          <w:sz w:val="27"/>
          <w:rtl/>
        </w:rPr>
        <w:t>ّ</w:t>
      </w:r>
      <w:r w:rsidRPr="006571AC">
        <w:rPr>
          <w:rFonts w:ascii="Arabic Typesetting" w:hAnsi="Arabic Typesetting"/>
          <w:sz w:val="27"/>
          <w:rtl/>
        </w:rPr>
        <w:t>ات الكشف النوعي</w:t>
      </w:r>
      <w:r w:rsidR="00665BAA" w:rsidRPr="006571AC">
        <w:rPr>
          <w:rFonts w:ascii="Arabic Typesetting" w:hAnsi="Arabic Typesetting" w:hint="cs"/>
          <w:sz w:val="27"/>
          <w:rtl/>
        </w:rPr>
        <w:t>ّ</w:t>
      </w:r>
      <w:r w:rsidRPr="006571AC">
        <w:rPr>
          <w:rFonts w:ascii="Arabic Typesetting" w:hAnsi="Arabic Typesetting"/>
          <w:sz w:val="27"/>
          <w:rtl/>
        </w:rPr>
        <w:t>ة التي ألم</w:t>
      </w:r>
      <w:r w:rsidR="00665BAA" w:rsidRPr="006571AC">
        <w:rPr>
          <w:rFonts w:ascii="Arabic Typesetting" w:hAnsi="Arabic Typesetting" w:hint="cs"/>
          <w:sz w:val="27"/>
          <w:rtl/>
        </w:rPr>
        <w:t>َ</w:t>
      </w:r>
      <w:r w:rsidRPr="006571AC">
        <w:rPr>
          <w:rFonts w:ascii="Arabic Typesetting" w:hAnsi="Arabic Typesetting"/>
          <w:sz w:val="27"/>
          <w:rtl/>
        </w:rPr>
        <w:t>ح</w:t>
      </w:r>
      <w:r w:rsidR="00665BAA" w:rsidRPr="006571AC">
        <w:rPr>
          <w:rFonts w:ascii="Arabic Typesetting" w:hAnsi="Arabic Typesetting" w:hint="cs"/>
          <w:sz w:val="27"/>
          <w:rtl/>
        </w:rPr>
        <w:t>ْ</w:t>
      </w:r>
      <w:r w:rsidRPr="006571AC">
        <w:rPr>
          <w:rFonts w:ascii="Arabic Typesetting" w:hAnsi="Arabic Typesetting"/>
          <w:sz w:val="27"/>
          <w:rtl/>
        </w:rPr>
        <w:t>نا إليها في المبنى الأو</w:t>
      </w:r>
      <w:r w:rsidR="00665BAA" w:rsidRPr="006571AC">
        <w:rPr>
          <w:rFonts w:ascii="Arabic Typesetting" w:hAnsi="Arabic Typesetting" w:hint="cs"/>
          <w:sz w:val="27"/>
          <w:rtl/>
        </w:rPr>
        <w:t>ّ</w:t>
      </w:r>
      <w:r w:rsidRPr="006571AC">
        <w:rPr>
          <w:rFonts w:ascii="Arabic Typesetting" w:hAnsi="Arabic Typesetting"/>
          <w:sz w:val="27"/>
          <w:rtl/>
        </w:rPr>
        <w:t xml:space="preserve">ل، هو ممّا لم يلتفتوا إليه.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وبهذا يكون قد تمّ البحث عن مباني فهم النص</w:t>
      </w:r>
      <w:r w:rsidR="00665BAA" w:rsidRPr="006571AC">
        <w:rPr>
          <w:rFonts w:ascii="Arabic Typesetting" w:hAnsi="Arabic Typesetting" w:hint="cs"/>
          <w:sz w:val="27"/>
          <w:rtl/>
        </w:rPr>
        <w:t>ّ</w:t>
      </w:r>
      <w:r w:rsidRPr="006571AC">
        <w:rPr>
          <w:rFonts w:ascii="Arabic Typesetting" w:hAnsi="Arabic Typesetting"/>
          <w:sz w:val="27"/>
          <w:rtl/>
        </w:rPr>
        <w:t xml:space="preserve"> عند الشهيد الصدر، ويمكن البناء عليه لتقديم أبحاث مقارنة</w:t>
      </w:r>
      <w:r w:rsidR="00665BAA" w:rsidRPr="006571AC">
        <w:rPr>
          <w:rFonts w:ascii="Arabic Typesetting" w:hAnsi="Arabic Typesetting" w:hint="cs"/>
          <w:sz w:val="27"/>
          <w:rtl/>
        </w:rPr>
        <w:t>ٍ</w:t>
      </w:r>
      <w:r w:rsidRPr="006571AC">
        <w:rPr>
          <w:rFonts w:ascii="Arabic Typesetting" w:hAnsi="Arabic Typesetting"/>
          <w:sz w:val="27"/>
          <w:rtl/>
        </w:rPr>
        <w:t xml:space="preserve"> في هذا المجال، كالبحث المقارن بينه وبين هايدغر أو غادامر، أو الانطلاق منه لتأسيس بحث</w:t>
      </w:r>
      <w:r w:rsidR="00665BAA" w:rsidRPr="006571AC">
        <w:rPr>
          <w:rFonts w:ascii="Arabic Typesetting" w:hAnsi="Arabic Typesetting" w:hint="cs"/>
          <w:sz w:val="27"/>
          <w:rtl/>
        </w:rPr>
        <w:t>ٍ</w:t>
      </w:r>
      <w:r w:rsidRPr="006571AC">
        <w:rPr>
          <w:rFonts w:ascii="Arabic Typesetting" w:hAnsi="Arabic Typesetting"/>
          <w:sz w:val="27"/>
          <w:rtl/>
        </w:rPr>
        <w:t xml:space="preserve"> مستقل</w:t>
      </w:r>
      <w:r w:rsidR="00665BAA" w:rsidRPr="006571AC">
        <w:rPr>
          <w:rFonts w:ascii="Arabic Typesetting" w:hAnsi="Arabic Typesetting" w:hint="cs"/>
          <w:sz w:val="27"/>
          <w:rtl/>
        </w:rPr>
        <w:t>ّ</w:t>
      </w:r>
      <w:r w:rsidRPr="006571AC">
        <w:rPr>
          <w:rFonts w:ascii="Arabic Typesetting" w:hAnsi="Arabic Typesetting"/>
          <w:sz w:val="27"/>
          <w:rtl/>
        </w:rPr>
        <w:t xml:space="preserve"> في مباني فهم النص</w:t>
      </w:r>
      <w:r w:rsidR="00665BAA" w:rsidRPr="006571AC">
        <w:rPr>
          <w:rFonts w:ascii="Arabic Typesetting" w:hAnsi="Arabic Typesetting" w:hint="cs"/>
          <w:sz w:val="27"/>
          <w:rtl/>
        </w:rPr>
        <w:t>ّ</w:t>
      </w:r>
      <w:r w:rsidRPr="006571AC">
        <w:rPr>
          <w:rFonts w:ascii="Arabic Typesetting" w:hAnsi="Arabic Typesetting"/>
          <w:sz w:val="27"/>
          <w:rtl/>
        </w:rPr>
        <w:t>، مع الالتفات إلى الجهات التي لم يتعرّ</w:t>
      </w:r>
      <w:r w:rsidR="00665BAA" w:rsidRPr="006571AC">
        <w:rPr>
          <w:rFonts w:ascii="Arabic Typesetting" w:hAnsi="Arabic Typesetting" w:hint="cs"/>
          <w:sz w:val="27"/>
          <w:rtl/>
        </w:rPr>
        <w:t>َ</w:t>
      </w:r>
      <w:r w:rsidRPr="006571AC">
        <w:rPr>
          <w:rFonts w:ascii="Arabic Typesetting" w:hAnsi="Arabic Typesetting"/>
          <w:sz w:val="27"/>
          <w:rtl/>
        </w:rPr>
        <w:t>ض لها الشهيد الصدر، كحال الرواي للنص</w:t>
      </w:r>
      <w:r w:rsidR="003D5624" w:rsidRPr="006571AC">
        <w:rPr>
          <w:rFonts w:ascii="Arabic Typesetting" w:hAnsi="Arabic Typesetting" w:hint="cs"/>
          <w:sz w:val="27"/>
          <w:rtl/>
        </w:rPr>
        <w:t>ّ</w:t>
      </w:r>
      <w:r w:rsidRPr="006571AC">
        <w:rPr>
          <w:rFonts w:ascii="Arabic Typesetting" w:hAnsi="Arabic Typesetting"/>
          <w:sz w:val="27"/>
          <w:rtl/>
        </w:rPr>
        <w:t xml:space="preserve"> الديني</w:t>
      </w:r>
      <w:r w:rsidR="003D5624" w:rsidRPr="006571AC">
        <w:rPr>
          <w:rFonts w:ascii="Arabic Typesetting" w:hAnsi="Arabic Typesetting" w:hint="cs"/>
          <w:sz w:val="27"/>
          <w:rtl/>
        </w:rPr>
        <w:t>ّ،</w:t>
      </w:r>
      <w:r w:rsidRPr="006571AC">
        <w:rPr>
          <w:rFonts w:ascii="Arabic Typesetting" w:hAnsi="Arabic Typesetting"/>
          <w:sz w:val="27"/>
          <w:rtl/>
        </w:rPr>
        <w:t xml:space="preserve"> وغير ذلك مم</w:t>
      </w:r>
      <w:r w:rsidR="003D5624" w:rsidRPr="006571AC">
        <w:rPr>
          <w:rFonts w:ascii="Arabic Typesetting" w:hAnsi="Arabic Typesetting" w:hint="cs"/>
          <w:sz w:val="27"/>
          <w:rtl/>
        </w:rPr>
        <w:t>ّ</w:t>
      </w:r>
      <w:r w:rsidRPr="006571AC">
        <w:rPr>
          <w:rFonts w:ascii="Arabic Typesetting" w:hAnsi="Arabic Typesetting"/>
          <w:sz w:val="27"/>
          <w:rtl/>
        </w:rPr>
        <w:t>ا يُع</w:t>
      </w:r>
      <w:r w:rsidR="003D5624" w:rsidRPr="006571AC">
        <w:rPr>
          <w:rFonts w:ascii="Arabic Typesetting" w:hAnsi="Arabic Typesetting" w:hint="cs"/>
          <w:sz w:val="27"/>
          <w:rtl/>
        </w:rPr>
        <w:t>ْ</w:t>
      </w:r>
      <w:r w:rsidRPr="006571AC">
        <w:rPr>
          <w:rFonts w:ascii="Arabic Typesetting" w:hAnsi="Arabic Typesetting"/>
          <w:sz w:val="27"/>
          <w:rtl/>
        </w:rPr>
        <w:t>ثَر عليه باستقراء الأسئلة والمباني التي طرحها الباحثون في هذا المجال، وبالتأم</w:t>
      </w:r>
      <w:r w:rsidR="003D5624" w:rsidRPr="006571AC">
        <w:rPr>
          <w:rFonts w:ascii="Arabic Typesetting" w:hAnsi="Arabic Typesetting" w:hint="cs"/>
          <w:sz w:val="27"/>
          <w:rtl/>
        </w:rPr>
        <w:t>ُّ</w:t>
      </w:r>
      <w:r w:rsidRPr="006571AC">
        <w:rPr>
          <w:rFonts w:ascii="Arabic Typesetting" w:hAnsi="Arabic Typesetting"/>
          <w:sz w:val="27"/>
          <w:rtl/>
        </w:rPr>
        <w:t>ل في مباني فهم النص</w:t>
      </w:r>
      <w:r w:rsidR="003D5624" w:rsidRPr="006571AC">
        <w:rPr>
          <w:rFonts w:ascii="Arabic Typesetting" w:hAnsi="Arabic Typesetting" w:hint="cs"/>
          <w:sz w:val="27"/>
          <w:rtl/>
        </w:rPr>
        <w:t>ّ</w:t>
      </w:r>
      <w:r w:rsidRPr="006571AC">
        <w:rPr>
          <w:rFonts w:ascii="Arabic Typesetting" w:hAnsi="Arabic Typesetting"/>
          <w:sz w:val="27"/>
          <w:rtl/>
        </w:rPr>
        <w:t xml:space="preserve"> نفسِها. </w:t>
      </w:r>
    </w:p>
    <w:p w:rsidR="00E83C22" w:rsidRPr="006571AC" w:rsidRDefault="008D51F3" w:rsidP="005B0CA4">
      <w:pPr>
        <w:rPr>
          <w:rtl/>
        </w:rPr>
      </w:pPr>
      <w:r w:rsidRPr="006571AC">
        <w:rPr>
          <w:rFonts w:ascii="Arabic Typesetting" w:hAnsi="Arabic Typesetting"/>
          <w:sz w:val="27"/>
          <w:rtl/>
        </w:rPr>
        <w:t>هذا ما استطع</w:t>
      </w:r>
      <w:r w:rsidR="003D5624" w:rsidRPr="006571AC">
        <w:rPr>
          <w:rFonts w:ascii="Arabic Typesetting" w:hAnsi="Arabic Typesetting" w:hint="cs"/>
          <w:sz w:val="27"/>
          <w:rtl/>
        </w:rPr>
        <w:t>ْ</w:t>
      </w:r>
      <w:r w:rsidRPr="006571AC">
        <w:rPr>
          <w:rFonts w:ascii="Arabic Typesetting" w:hAnsi="Arabic Typesetting"/>
          <w:sz w:val="27"/>
          <w:rtl/>
        </w:rPr>
        <w:t>ت</w:t>
      </w:r>
      <w:r w:rsidR="003D5624" w:rsidRPr="006571AC">
        <w:rPr>
          <w:rFonts w:ascii="Arabic Typesetting" w:hAnsi="Arabic Typesetting" w:hint="cs"/>
          <w:sz w:val="27"/>
          <w:rtl/>
        </w:rPr>
        <w:t>ُ</w:t>
      </w:r>
      <w:r w:rsidRPr="006571AC">
        <w:rPr>
          <w:rFonts w:ascii="Arabic Typesetting" w:hAnsi="Arabic Typesetting"/>
          <w:sz w:val="27"/>
          <w:rtl/>
        </w:rPr>
        <w:t xml:space="preserve"> استخراجه من خلال مطالعة</w:t>
      </w:r>
      <w:r w:rsidR="003D5624" w:rsidRPr="006571AC">
        <w:rPr>
          <w:rFonts w:ascii="Arabic Typesetting" w:hAnsi="Arabic Typesetting" w:hint="cs"/>
          <w:sz w:val="27"/>
          <w:rtl/>
        </w:rPr>
        <w:t>ِ</w:t>
      </w:r>
      <w:r w:rsidRPr="006571AC">
        <w:rPr>
          <w:rFonts w:ascii="Arabic Typesetting" w:hAnsi="Arabic Typesetting"/>
          <w:sz w:val="27"/>
          <w:rtl/>
        </w:rPr>
        <w:t xml:space="preserve"> كثيرٍ من كلمات الشهيد الصدر، ويُحت</w:t>
      </w:r>
      <w:r w:rsidR="003D5624" w:rsidRPr="006571AC">
        <w:rPr>
          <w:rFonts w:ascii="Arabic Typesetting" w:hAnsi="Arabic Typesetting" w:hint="cs"/>
          <w:sz w:val="27"/>
          <w:rtl/>
        </w:rPr>
        <w:t>َ</w:t>
      </w:r>
      <w:r w:rsidRPr="006571AC">
        <w:rPr>
          <w:rFonts w:ascii="Arabic Typesetting" w:hAnsi="Arabic Typesetting"/>
          <w:sz w:val="27"/>
          <w:rtl/>
        </w:rPr>
        <w:t>مَل أن أكون قد غفل</w:t>
      </w:r>
      <w:r w:rsidR="003D5624" w:rsidRPr="006571AC">
        <w:rPr>
          <w:rFonts w:ascii="Arabic Typesetting" w:hAnsi="Arabic Typesetting" w:hint="cs"/>
          <w:sz w:val="27"/>
          <w:rtl/>
        </w:rPr>
        <w:t>ْ</w:t>
      </w:r>
      <w:r w:rsidRPr="006571AC">
        <w:rPr>
          <w:rFonts w:ascii="Arabic Typesetting" w:hAnsi="Arabic Typesetting"/>
          <w:sz w:val="27"/>
          <w:rtl/>
        </w:rPr>
        <w:t>تُ عن بعض المباني الأخرى المذكورة في طيّات كلماته</w:t>
      </w:r>
      <w:r w:rsidR="003D5624" w:rsidRPr="006571AC">
        <w:rPr>
          <w:rFonts w:ascii="Arabic Typesetting" w:hAnsi="Arabic Typesetting" w:hint="cs"/>
          <w:sz w:val="27"/>
          <w:rtl/>
        </w:rPr>
        <w:t>،</w:t>
      </w:r>
      <w:r w:rsidRPr="006571AC">
        <w:rPr>
          <w:rFonts w:ascii="Arabic Typesetting" w:hAnsi="Arabic Typesetting"/>
          <w:sz w:val="27"/>
          <w:rtl/>
        </w:rPr>
        <w:t xml:space="preserve"> أو زلّ</w:t>
      </w:r>
      <w:r w:rsidR="00B1324D" w:rsidRPr="006571AC">
        <w:rPr>
          <w:rFonts w:ascii="Arabic Typesetting" w:hAnsi="Arabic Typesetting" w:hint="cs"/>
          <w:sz w:val="27"/>
          <w:rtl/>
        </w:rPr>
        <w:t>َ</w:t>
      </w:r>
      <w:r w:rsidRPr="006571AC">
        <w:rPr>
          <w:rFonts w:ascii="Arabic Typesetting" w:hAnsi="Arabic Typesetting"/>
          <w:sz w:val="27"/>
          <w:rtl/>
        </w:rPr>
        <w:t>ت</w:t>
      </w:r>
      <w:r w:rsidR="00B1324D" w:rsidRPr="006571AC">
        <w:rPr>
          <w:rFonts w:ascii="Arabic Typesetting" w:hAnsi="Arabic Typesetting" w:hint="cs"/>
          <w:sz w:val="27"/>
          <w:rtl/>
        </w:rPr>
        <w:t>ْ</w:t>
      </w:r>
      <w:r w:rsidRPr="006571AC">
        <w:rPr>
          <w:rFonts w:ascii="Arabic Typesetting" w:hAnsi="Arabic Typesetting"/>
          <w:sz w:val="27"/>
          <w:rtl/>
        </w:rPr>
        <w:t xml:space="preserve"> ق</w:t>
      </w:r>
      <w:r w:rsidR="00B1324D" w:rsidRPr="006571AC">
        <w:rPr>
          <w:rFonts w:ascii="Arabic Typesetting" w:hAnsi="Arabic Typesetting" w:hint="cs"/>
          <w:sz w:val="27"/>
          <w:rtl/>
        </w:rPr>
        <w:t>َ</w:t>
      </w:r>
      <w:r w:rsidRPr="006571AC">
        <w:rPr>
          <w:rFonts w:ascii="Arabic Typesetting" w:hAnsi="Arabic Typesetting"/>
          <w:sz w:val="27"/>
          <w:rtl/>
        </w:rPr>
        <w:t>د</w:t>
      </w:r>
      <w:r w:rsidR="00B1324D" w:rsidRPr="006571AC">
        <w:rPr>
          <w:rFonts w:ascii="Arabic Typesetting" w:hAnsi="Arabic Typesetting" w:hint="cs"/>
          <w:sz w:val="27"/>
          <w:rtl/>
        </w:rPr>
        <w:t>َ</w:t>
      </w:r>
      <w:r w:rsidRPr="006571AC">
        <w:rPr>
          <w:rFonts w:ascii="Arabic Typesetting" w:hAnsi="Arabic Typesetting"/>
          <w:sz w:val="27"/>
          <w:rtl/>
        </w:rPr>
        <w:t>مي في ف</w:t>
      </w:r>
      <w:r w:rsidR="00B1324D" w:rsidRPr="006571AC">
        <w:rPr>
          <w:rFonts w:ascii="Arabic Typesetting" w:hAnsi="Arabic Typesetting" w:hint="cs"/>
          <w:sz w:val="27"/>
          <w:rtl/>
        </w:rPr>
        <w:t>َ</w:t>
      </w:r>
      <w:r w:rsidRPr="006571AC">
        <w:rPr>
          <w:rFonts w:ascii="Arabic Typesetting" w:hAnsi="Arabic Typesetting"/>
          <w:sz w:val="27"/>
          <w:rtl/>
        </w:rPr>
        <w:t>ه</w:t>
      </w:r>
      <w:r w:rsidR="00B1324D" w:rsidRPr="006571AC">
        <w:rPr>
          <w:rFonts w:ascii="Arabic Typesetting" w:hAnsi="Arabic Typesetting" w:hint="cs"/>
          <w:sz w:val="27"/>
          <w:rtl/>
        </w:rPr>
        <w:t>ْ</w:t>
      </w:r>
      <w:r w:rsidRPr="006571AC">
        <w:rPr>
          <w:rFonts w:ascii="Arabic Typesetting" w:hAnsi="Arabic Typesetting"/>
          <w:sz w:val="27"/>
          <w:rtl/>
        </w:rPr>
        <w:t>م بعض ما طال</w:t>
      </w:r>
      <w:r w:rsidR="003D5624" w:rsidRPr="006571AC">
        <w:rPr>
          <w:rFonts w:ascii="Arabic Typesetting" w:hAnsi="Arabic Typesetting" w:hint="cs"/>
          <w:sz w:val="27"/>
          <w:rtl/>
        </w:rPr>
        <w:t>َ</w:t>
      </w:r>
      <w:r w:rsidRPr="006571AC">
        <w:rPr>
          <w:rFonts w:ascii="Arabic Typesetting" w:hAnsi="Arabic Typesetting"/>
          <w:sz w:val="27"/>
          <w:rtl/>
        </w:rPr>
        <w:t>ع</w:t>
      </w:r>
      <w:r w:rsidR="003D5624" w:rsidRPr="006571AC">
        <w:rPr>
          <w:rFonts w:ascii="Arabic Typesetting" w:hAnsi="Arabic Typesetting" w:hint="cs"/>
          <w:sz w:val="27"/>
          <w:rtl/>
        </w:rPr>
        <w:t>ْ</w:t>
      </w:r>
      <w:r w:rsidRPr="006571AC">
        <w:rPr>
          <w:rFonts w:ascii="Arabic Typesetting" w:hAnsi="Arabic Typesetting"/>
          <w:sz w:val="27"/>
          <w:rtl/>
        </w:rPr>
        <w:t>تُه. لذا، أتمن</w:t>
      </w:r>
      <w:r w:rsidR="003D5624" w:rsidRPr="006571AC">
        <w:rPr>
          <w:rFonts w:ascii="Arabic Typesetting" w:hAnsi="Arabic Typesetting" w:hint="cs"/>
          <w:sz w:val="27"/>
          <w:rtl/>
        </w:rPr>
        <w:t>ّ</w:t>
      </w:r>
      <w:r w:rsidRPr="006571AC">
        <w:rPr>
          <w:rFonts w:ascii="Arabic Typesetting" w:hAnsi="Arabic Typesetting"/>
          <w:sz w:val="27"/>
          <w:rtl/>
        </w:rPr>
        <w:t>ى من كل</w:t>
      </w:r>
      <w:r w:rsidR="003D5624" w:rsidRPr="006571AC">
        <w:rPr>
          <w:rFonts w:ascii="Arabic Typesetting" w:hAnsi="Arabic Typesetting" w:hint="cs"/>
          <w:sz w:val="27"/>
          <w:rtl/>
        </w:rPr>
        <w:t>ّ</w:t>
      </w:r>
      <w:r w:rsidRPr="006571AC">
        <w:rPr>
          <w:rFonts w:ascii="Arabic Typesetting" w:hAnsi="Arabic Typesetting"/>
          <w:sz w:val="27"/>
          <w:rtl/>
        </w:rPr>
        <w:t xml:space="preserve"> قارئ</w:t>
      </w:r>
      <w:r w:rsidR="003D5624" w:rsidRPr="006571AC">
        <w:rPr>
          <w:rFonts w:ascii="Arabic Typesetting" w:hAnsi="Arabic Typesetting" w:hint="cs"/>
          <w:sz w:val="27"/>
          <w:rtl/>
        </w:rPr>
        <w:t>ٍ</w:t>
      </w:r>
      <w:r w:rsidRPr="006571AC">
        <w:rPr>
          <w:rFonts w:ascii="Arabic Typesetting" w:hAnsi="Arabic Typesetting"/>
          <w:sz w:val="27"/>
          <w:rtl/>
        </w:rPr>
        <w:t xml:space="preserve"> أو باحث</w:t>
      </w:r>
      <w:r w:rsidR="003D5624" w:rsidRPr="006571AC">
        <w:rPr>
          <w:rFonts w:ascii="Arabic Typesetting" w:hAnsi="Arabic Typesetting" w:hint="cs"/>
          <w:sz w:val="27"/>
          <w:rtl/>
        </w:rPr>
        <w:t>ٍ</w:t>
      </w:r>
      <w:r w:rsidRPr="006571AC">
        <w:rPr>
          <w:rFonts w:ascii="Arabic Typesetting" w:hAnsi="Arabic Typesetting"/>
          <w:sz w:val="27"/>
          <w:rtl/>
        </w:rPr>
        <w:t xml:space="preserve"> يجد خ</w:t>
      </w:r>
      <w:r w:rsidR="00B1324D" w:rsidRPr="006571AC">
        <w:rPr>
          <w:rFonts w:ascii="Arabic Typesetting" w:hAnsi="Arabic Typesetting" w:hint="cs"/>
          <w:sz w:val="27"/>
          <w:rtl/>
        </w:rPr>
        <w:t>َ</w:t>
      </w:r>
      <w:r w:rsidRPr="006571AC">
        <w:rPr>
          <w:rFonts w:ascii="Arabic Typesetting" w:hAnsi="Arabic Typesetting"/>
          <w:sz w:val="27"/>
          <w:rtl/>
        </w:rPr>
        <w:t>ل</w:t>
      </w:r>
      <w:r w:rsidR="00B1324D" w:rsidRPr="006571AC">
        <w:rPr>
          <w:rFonts w:ascii="Arabic Typesetting" w:hAnsi="Arabic Typesetting" w:hint="cs"/>
          <w:sz w:val="27"/>
          <w:rtl/>
        </w:rPr>
        <w:t>َ</w:t>
      </w:r>
      <w:r w:rsidRPr="006571AC">
        <w:rPr>
          <w:rFonts w:ascii="Arabic Typesetting" w:hAnsi="Arabic Typesetting"/>
          <w:sz w:val="27"/>
          <w:rtl/>
        </w:rPr>
        <w:t>لا</w:t>
      </w:r>
      <w:r w:rsidR="003D5624" w:rsidRPr="006571AC">
        <w:rPr>
          <w:rFonts w:ascii="Arabic Typesetting" w:hAnsi="Arabic Typesetting" w:hint="cs"/>
          <w:sz w:val="27"/>
          <w:rtl/>
        </w:rPr>
        <w:t>ً</w:t>
      </w:r>
      <w:r w:rsidRPr="006571AC">
        <w:rPr>
          <w:rFonts w:ascii="Arabic Typesetting" w:hAnsi="Arabic Typesetting"/>
          <w:sz w:val="27"/>
          <w:rtl/>
        </w:rPr>
        <w:t xml:space="preserve"> في هذا المقال</w:t>
      </w:r>
      <w:r w:rsidR="003D5624" w:rsidRPr="006571AC">
        <w:rPr>
          <w:rFonts w:ascii="Arabic Typesetting" w:hAnsi="Arabic Typesetting" w:hint="cs"/>
          <w:sz w:val="27"/>
          <w:rtl/>
        </w:rPr>
        <w:t>،</w:t>
      </w:r>
      <w:r w:rsidRPr="006571AC">
        <w:rPr>
          <w:rFonts w:ascii="Arabic Typesetting" w:hAnsi="Arabic Typesetting"/>
          <w:sz w:val="27"/>
          <w:rtl/>
        </w:rPr>
        <w:t xml:space="preserve"> أو يعثر على ما يسدّ به نقصاً فيه</w:t>
      </w:r>
      <w:r w:rsidR="003D5624" w:rsidRPr="006571AC">
        <w:rPr>
          <w:rFonts w:ascii="Arabic Typesetting" w:hAnsi="Arabic Typesetting" w:hint="cs"/>
          <w:sz w:val="27"/>
          <w:rtl/>
        </w:rPr>
        <w:t>،</w:t>
      </w:r>
      <w:r w:rsidRPr="006571AC">
        <w:rPr>
          <w:rFonts w:ascii="Arabic Typesetting" w:hAnsi="Arabic Typesetting"/>
          <w:sz w:val="27"/>
          <w:rtl/>
        </w:rPr>
        <w:t xml:space="preserve"> أن يُط</w:t>
      </w:r>
      <w:r w:rsidR="003D5624" w:rsidRPr="006571AC">
        <w:rPr>
          <w:rFonts w:ascii="Arabic Typesetting" w:hAnsi="Arabic Typesetting" w:hint="cs"/>
          <w:sz w:val="27"/>
          <w:rtl/>
        </w:rPr>
        <w:t>ْ</w:t>
      </w:r>
      <w:r w:rsidRPr="006571AC">
        <w:rPr>
          <w:rFonts w:ascii="Arabic Typesetting" w:hAnsi="Arabic Typesetting"/>
          <w:sz w:val="27"/>
          <w:rtl/>
        </w:rPr>
        <w:t>لعني عليه، وله جزيل الشكر وعظيم الأجر.</w:t>
      </w:r>
    </w:p>
    <w:p w:rsidR="00E83C22" w:rsidRPr="006571AC" w:rsidRDefault="00E83C22" w:rsidP="005B0CA4">
      <w:pPr>
        <w:rPr>
          <w:rtl/>
        </w:rPr>
      </w:pPr>
    </w:p>
    <w:p w:rsidR="00E83C22" w:rsidRPr="006571AC" w:rsidRDefault="00E83C22" w:rsidP="005B0CA4">
      <w:pPr>
        <w:rPr>
          <w:rtl/>
        </w:rPr>
      </w:pPr>
    </w:p>
    <w:p w:rsidR="00986754" w:rsidRPr="006571AC" w:rsidRDefault="00986754" w:rsidP="005B0CA4">
      <w:pPr>
        <w:rPr>
          <w:rtl/>
        </w:rPr>
      </w:pPr>
    </w:p>
    <w:p w:rsidR="00986754" w:rsidRPr="006571AC" w:rsidRDefault="00986754" w:rsidP="005B0CA4">
      <w:pPr>
        <w:rPr>
          <w:rtl/>
        </w:rPr>
      </w:pPr>
    </w:p>
    <w:p w:rsidR="00986754" w:rsidRPr="006571AC" w:rsidRDefault="00986754" w:rsidP="005B0CA4">
      <w:pPr>
        <w:rPr>
          <w:rtl/>
        </w:rPr>
      </w:pPr>
    </w:p>
    <w:p w:rsidR="0051603B" w:rsidRPr="006571AC" w:rsidRDefault="0051603B" w:rsidP="0051603B">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lastRenderedPageBreak/>
        <w:t>الهوامش</w:t>
      </w:r>
    </w:p>
    <w:p w:rsidR="0051603B" w:rsidRPr="006571AC" w:rsidRDefault="0051603B" w:rsidP="0051603B">
      <w:pPr>
        <w:pStyle w:val="34"/>
        <w:autoSpaceDE w:val="0"/>
        <w:autoSpaceDN w:val="0"/>
        <w:adjustRightInd w:val="0"/>
        <w:spacing w:line="418" w:lineRule="exact"/>
        <w:ind w:firstLine="0"/>
        <w:rPr>
          <w:rFonts w:cs="K Sina"/>
          <w:sz w:val="26"/>
          <w:rtl/>
          <w:lang w:eastAsia="ar-SA"/>
        </w:rPr>
        <w:sectPr w:rsidR="0051603B" w:rsidRPr="006571AC" w:rsidSect="00E85587">
          <w:headerReference w:type="even" r:id="rId107"/>
          <w:headerReference w:type="default" r:id="rId108"/>
          <w:footerReference w:type="even" r:id="rId109"/>
          <w:footerReference w:type="default" r:id="rId110"/>
          <w:endnotePr>
            <w:numFmt w:val="decimal"/>
            <w:numRestart w:val="eachSect"/>
          </w:endnotePr>
          <w:type w:val="continuous"/>
          <w:pgSz w:w="11907" w:h="16840" w:code="9"/>
          <w:pgMar w:top="2637" w:right="2438" w:bottom="3686" w:left="2438" w:header="2268" w:footer="3119" w:gutter="0"/>
          <w:cols w:space="720"/>
          <w:titlePg/>
          <w:docGrid w:linePitch="360"/>
        </w:sectPr>
      </w:pPr>
    </w:p>
    <w:p w:rsidR="0051603B" w:rsidRPr="006571AC" w:rsidRDefault="0051603B" w:rsidP="0051603B">
      <w:r w:rsidRPr="006571AC">
        <w:rPr>
          <w:rtl/>
        </w:rPr>
        <w:lastRenderedPageBreak/>
        <w:br w:type="page"/>
      </w:r>
    </w:p>
    <w:p w:rsidR="0051603B" w:rsidRPr="006571AC" w:rsidRDefault="0051603B" w:rsidP="0051603B">
      <w:pPr>
        <w:rPr>
          <w:rtl/>
        </w:rPr>
        <w:sectPr w:rsidR="0051603B" w:rsidRPr="006571AC" w:rsidSect="00E85587">
          <w:headerReference w:type="even" r:id="rId111"/>
          <w:headerReference w:type="default" r:id="rId112"/>
          <w:footerReference w:type="even" r:id="rId113"/>
          <w:footerReference w:type="default" r:id="rId114"/>
          <w:headerReference w:type="first" r:id="rId115"/>
          <w:endnotePr>
            <w:numFmt w:val="decimal"/>
            <w:numRestart w:val="eachSect"/>
          </w:endnotePr>
          <w:type w:val="continuous"/>
          <w:pgSz w:w="11907" w:h="16840" w:code="9"/>
          <w:pgMar w:top="2637" w:right="2438" w:bottom="3686" w:left="2438" w:header="2268" w:footer="3119" w:gutter="0"/>
          <w:cols w:space="720"/>
          <w:titlePg/>
          <w:docGrid w:linePitch="360"/>
        </w:sectPr>
      </w:pPr>
    </w:p>
    <w:p w:rsidR="0051603B" w:rsidRPr="006571AC" w:rsidRDefault="0051603B" w:rsidP="0051603B">
      <w:pPr>
        <w:rPr>
          <w:rtl/>
        </w:rPr>
      </w:pPr>
    </w:p>
    <w:p w:rsidR="0051603B" w:rsidRPr="006571AC" w:rsidRDefault="0051603B" w:rsidP="0051603B">
      <w:pPr>
        <w:rPr>
          <w:rtl/>
        </w:rPr>
      </w:pPr>
    </w:p>
    <w:p w:rsidR="00E83C22" w:rsidRPr="006571AC" w:rsidRDefault="001B0AB2" w:rsidP="001B0AB2">
      <w:pPr>
        <w:pStyle w:val="10"/>
        <w:spacing w:line="216" w:lineRule="auto"/>
        <w:rPr>
          <w:rtl/>
          <w:lang w:bidi="ar-MA"/>
        </w:rPr>
      </w:pPr>
      <w:bookmarkStart w:id="377" w:name="_Toc114164790"/>
      <w:r w:rsidRPr="006571AC">
        <w:rPr>
          <w:rtl/>
          <w:lang w:bidi="ar-MA"/>
        </w:rPr>
        <w:t xml:space="preserve">معالم </w:t>
      </w:r>
      <w:r w:rsidRPr="006571AC">
        <w:rPr>
          <w:rFonts w:hint="cs"/>
          <w:rtl/>
          <w:lang w:bidi="ar-MA"/>
        </w:rPr>
        <w:t>منهجي</w:t>
      </w:r>
      <w:r w:rsidR="00357787" w:rsidRPr="006571AC">
        <w:rPr>
          <w:rFonts w:hint="cs"/>
          <w:rtl/>
          <w:lang w:bidi="ar-MA"/>
        </w:rPr>
        <w:t>ّ</w:t>
      </w:r>
      <w:r w:rsidRPr="006571AC">
        <w:rPr>
          <w:rFonts w:hint="cs"/>
          <w:rtl/>
          <w:lang w:bidi="ar-MA"/>
        </w:rPr>
        <w:t>ة</w:t>
      </w:r>
      <w:r w:rsidRPr="006571AC">
        <w:rPr>
          <w:rtl/>
          <w:lang w:bidi="ar-MA"/>
        </w:rPr>
        <w:t xml:space="preserve"> في فقه الأقل</w:t>
      </w:r>
      <w:r w:rsidR="00357787" w:rsidRPr="006571AC">
        <w:rPr>
          <w:rFonts w:hint="cs"/>
          <w:rtl/>
          <w:lang w:bidi="ar-MA"/>
        </w:rPr>
        <w:t>ِّ</w:t>
      </w:r>
      <w:r w:rsidRPr="006571AC">
        <w:rPr>
          <w:rtl/>
          <w:lang w:bidi="ar-MA"/>
        </w:rPr>
        <w:t>يات</w:t>
      </w:r>
      <w:r w:rsidRPr="006571AC">
        <w:rPr>
          <w:rFonts w:hint="cs"/>
          <w:rtl/>
          <w:lang w:bidi="ar-MA"/>
        </w:rPr>
        <w:t xml:space="preserve"> المسلمة</w:t>
      </w:r>
      <w:bookmarkEnd w:id="377"/>
    </w:p>
    <w:p w:rsidR="00E83C22" w:rsidRPr="006571AC" w:rsidRDefault="001B0AB2" w:rsidP="004C458B">
      <w:pPr>
        <w:pStyle w:val="10"/>
        <w:spacing w:line="216" w:lineRule="auto"/>
        <w:rPr>
          <w:sz w:val="26"/>
          <w:szCs w:val="42"/>
          <w:rtl/>
        </w:rPr>
      </w:pPr>
      <w:bookmarkStart w:id="378" w:name="_Toc114164791"/>
      <w:r w:rsidRPr="006571AC">
        <w:rPr>
          <w:sz w:val="26"/>
          <w:szCs w:val="42"/>
          <w:rtl/>
          <w:lang w:bidi="ar-MA"/>
        </w:rPr>
        <w:t>وبحث</w:t>
      </w:r>
      <w:r w:rsidR="004C458B" w:rsidRPr="006571AC">
        <w:rPr>
          <w:rFonts w:hint="cs"/>
          <w:sz w:val="26"/>
          <w:szCs w:val="42"/>
          <w:rtl/>
          <w:lang w:bidi="ar-MA"/>
        </w:rPr>
        <w:t>ٌ</w:t>
      </w:r>
      <w:r w:rsidRPr="006571AC">
        <w:rPr>
          <w:sz w:val="26"/>
          <w:szCs w:val="42"/>
          <w:rtl/>
          <w:lang w:bidi="ar-MA"/>
        </w:rPr>
        <w:t xml:space="preserve"> في </w:t>
      </w:r>
      <w:r w:rsidR="004C458B" w:rsidRPr="006571AC">
        <w:rPr>
          <w:rFonts w:hint="cs"/>
          <w:sz w:val="26"/>
          <w:szCs w:val="42"/>
          <w:rtl/>
          <w:lang w:bidi="ar-MA"/>
        </w:rPr>
        <w:t>آفاقه و</w:t>
      </w:r>
      <w:r w:rsidRPr="006571AC">
        <w:rPr>
          <w:sz w:val="26"/>
          <w:szCs w:val="42"/>
          <w:rtl/>
          <w:lang w:bidi="ar-MA"/>
        </w:rPr>
        <w:t>مآلاته</w:t>
      </w:r>
      <w:r w:rsidR="004C458B" w:rsidRPr="006571AC">
        <w:rPr>
          <w:rFonts w:hint="cs"/>
          <w:sz w:val="26"/>
          <w:szCs w:val="42"/>
          <w:rtl/>
          <w:lang w:bidi="ar-MA"/>
        </w:rPr>
        <w:t xml:space="preserve"> الاستراتيجيّة</w:t>
      </w:r>
      <w:bookmarkEnd w:id="378"/>
    </w:p>
    <w:p w:rsidR="00E83C22" w:rsidRPr="006571AC" w:rsidRDefault="00E83C22" w:rsidP="00E83C22">
      <w:pPr>
        <w:spacing w:line="300" w:lineRule="exact"/>
        <w:rPr>
          <w:rtl/>
        </w:rPr>
      </w:pPr>
    </w:p>
    <w:p w:rsidR="00E83C22" w:rsidRPr="006571AC" w:rsidRDefault="001B0AB2" w:rsidP="001B0AB2">
      <w:pPr>
        <w:pStyle w:val="Author"/>
        <w:rPr>
          <w:rtl/>
        </w:rPr>
      </w:pPr>
      <w:r w:rsidRPr="006571AC">
        <w:rPr>
          <w:rFonts w:hint="cs"/>
          <w:rtl/>
          <w:lang w:bidi="ar-MA"/>
        </w:rPr>
        <w:t>د. العربي إدناصر</w:t>
      </w:r>
      <w:r w:rsidR="00527634" w:rsidRPr="006571AC">
        <w:rPr>
          <w:rFonts w:cs="Taher" w:hint="cs"/>
          <w:vertAlign w:val="superscript"/>
          <w:rtl/>
        </w:rPr>
        <w:t>(</w:t>
      </w:r>
      <w:r w:rsidR="00527634" w:rsidRPr="006571AC">
        <w:rPr>
          <w:rFonts w:cs="Taher"/>
          <w:vertAlign w:val="superscript"/>
          <w:rtl/>
        </w:rPr>
        <w:footnoteReference w:customMarkFollows="1" w:id="15"/>
        <w:t>*)</w:t>
      </w:r>
    </w:p>
    <w:p w:rsidR="00E83C22" w:rsidRPr="006571AC" w:rsidRDefault="00E83C22" w:rsidP="00E83C22">
      <w:pPr>
        <w:spacing w:line="300" w:lineRule="exact"/>
        <w:rPr>
          <w:rtl/>
        </w:rPr>
      </w:pPr>
    </w:p>
    <w:p w:rsidR="001B0AB2" w:rsidRPr="006571AC" w:rsidRDefault="001B0AB2" w:rsidP="00171C4C">
      <w:pPr>
        <w:pStyle w:val="31"/>
        <w:rPr>
          <w:color w:val="auto"/>
          <w:rtl/>
          <w:lang w:bidi="ar-MA"/>
        </w:rPr>
      </w:pPr>
      <w:bookmarkStart w:id="379" w:name="_Toc114164792"/>
      <w:r w:rsidRPr="006571AC">
        <w:rPr>
          <w:rFonts w:hint="cs"/>
          <w:color w:val="auto"/>
          <w:rtl/>
          <w:lang w:bidi="ar-MA"/>
        </w:rPr>
        <w:t>مقدّمةٌ</w:t>
      </w:r>
      <w:bookmarkEnd w:id="379"/>
      <w:r w:rsidRPr="006571AC">
        <w:rPr>
          <w:rFonts w:hint="cs"/>
          <w:color w:val="auto"/>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في تقدير</w:t>
      </w:r>
      <w:r w:rsidRPr="006571AC">
        <w:rPr>
          <w:rFonts w:ascii="Arial" w:hAnsi="Arial" w:cs="AL-Mohanad" w:hint="cs"/>
          <w:sz w:val="27"/>
          <w:szCs w:val="27"/>
          <w:rtl/>
          <w:lang w:bidi="ar-MA"/>
        </w:rPr>
        <w:t>ي</w:t>
      </w:r>
      <w:r w:rsidRPr="006571AC">
        <w:rPr>
          <w:rFonts w:ascii="Arial" w:hAnsi="Arial" w:cs="AL-Mohanad"/>
          <w:sz w:val="27"/>
          <w:szCs w:val="27"/>
          <w:rtl/>
          <w:lang w:bidi="ar-MA"/>
        </w:rPr>
        <w:t xml:space="preserve"> إن مصطلح فقه الأقل</w:t>
      </w:r>
      <w:r w:rsidR="0050160C" w:rsidRPr="006571AC">
        <w:rPr>
          <w:rFonts w:ascii="Arial" w:hAnsi="Arial" w:cs="AL-Mohanad" w:hint="cs"/>
          <w:sz w:val="27"/>
          <w:szCs w:val="27"/>
          <w:rtl/>
          <w:lang w:bidi="ar-MA"/>
        </w:rPr>
        <w:t>ِّ</w:t>
      </w:r>
      <w:r w:rsidRPr="006571AC">
        <w:rPr>
          <w:rFonts w:ascii="Arial" w:hAnsi="Arial" w:cs="AL-Mohanad"/>
          <w:sz w:val="27"/>
          <w:szCs w:val="27"/>
          <w:rtl/>
          <w:lang w:bidi="ar-MA"/>
        </w:rPr>
        <w:t>يات قد تجاوز مرحلة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التساؤل عن شرعي</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ته من عدمها</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لأن المرحلة التي نعيشها انتقلت من لحظة بناء المصطلح إلى مرحلة الاجتهاد من داخله، وعليه لا ض</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ي</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ر</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التفكير في ما بعد فقه الأقل</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يات</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كما يوجد عندنا فقه نوعي</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عن فقه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المرأة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وفقه الصلاة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وفقه المواريث</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وغيرها.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وتحلية مجموعة من المسائل الشرعية ونخبة من الاجتهادات الفقهية بلقب</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معين اله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د</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ف منه جمع شتات مسائله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وحصر مواد</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في</w:t>
      </w:r>
      <w:r w:rsidR="00137875" w:rsidRPr="006571AC">
        <w:rPr>
          <w:rFonts w:ascii="Arial" w:hAnsi="Arial" w:cs="AL-Mohanad" w:hint="cs"/>
          <w:sz w:val="27"/>
          <w:szCs w:val="27"/>
          <w:rtl/>
          <w:lang w:bidi="ar-MA"/>
        </w:rPr>
        <w:t xml:space="preserve"> </w:t>
      </w:r>
      <w:r w:rsidRPr="006571AC">
        <w:rPr>
          <w:rFonts w:ascii="Arial" w:hAnsi="Arial" w:cs="AL-Mohanad"/>
          <w:sz w:val="27"/>
          <w:szCs w:val="27"/>
          <w:rtl/>
          <w:lang w:bidi="ar-MA"/>
        </w:rPr>
        <w:t>ما يتعل</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ق به موضوعا</w:t>
      </w:r>
      <w:r w:rsidRPr="006571AC">
        <w:rPr>
          <w:rFonts w:ascii="Arial" w:hAnsi="Arial" w:cs="AL-Mohanad" w:hint="cs"/>
          <w:sz w:val="27"/>
          <w:szCs w:val="27"/>
          <w:rtl/>
          <w:lang w:bidi="ar-MA"/>
        </w:rPr>
        <w:t>ً</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للتدليل على أحكامه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ولتذليل النفاذ إلى مظان</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تيسيرا</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لفهمه والإبداع فيه.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وهو ليس فقها</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مبتدعا</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الدين</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غير مأصول على هداه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فقضايا الأقل</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يات قديمة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بالجنس</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حديثة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بالنوع، وقد كانت إرهاصاته معروفة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تاريخنا الفقهي ضمن اجتهادات الفقهاء</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في إطار ما يسم</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ى ب</w:t>
      </w:r>
      <w:r w:rsidR="00137875" w:rsidRPr="006571AC">
        <w:rPr>
          <w:rFonts w:ascii="Arial" w:hAnsi="Arial" w:cs="AL-Mohanad" w:hint="cs"/>
          <w:sz w:val="27"/>
          <w:szCs w:val="27"/>
          <w:rtl/>
          <w:lang w:bidi="ar-MA"/>
        </w:rPr>
        <w:t>ـ (</w:t>
      </w:r>
      <w:r w:rsidRPr="006571AC">
        <w:rPr>
          <w:rFonts w:ascii="Arial" w:hAnsi="Arial" w:cs="AL-Mohanad"/>
          <w:sz w:val="27"/>
          <w:szCs w:val="27"/>
          <w:rtl/>
          <w:lang w:bidi="ar-MA"/>
        </w:rPr>
        <w:t>منطقة الفراغ التشريعي</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التي ليس فيها سوابق حكمية، فولدوا فيها اجتهادات وفتاوى وأقضية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ع</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رف</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ت</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عقبها ب</w:t>
      </w:r>
      <w:r w:rsidR="00137875" w:rsidRPr="006571AC">
        <w:rPr>
          <w:rFonts w:ascii="Arial" w:hAnsi="Arial" w:cs="AL-Mohanad" w:hint="cs"/>
          <w:sz w:val="27"/>
          <w:szCs w:val="27"/>
          <w:rtl/>
          <w:lang w:bidi="ar-MA"/>
        </w:rPr>
        <w:t>ـ (</w:t>
      </w:r>
      <w:r w:rsidRPr="006571AC">
        <w:rPr>
          <w:rFonts w:ascii="Arial" w:hAnsi="Arial" w:cs="AL-Mohanad"/>
          <w:sz w:val="27"/>
          <w:szCs w:val="27"/>
          <w:rtl/>
          <w:lang w:bidi="ar-MA"/>
        </w:rPr>
        <w:t>فقه أهل الذم</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ة ونوازل المستأمنين</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hint="cs"/>
          <w:sz w:val="27"/>
          <w:szCs w:val="27"/>
          <w:rtl/>
          <w:lang w:bidi="ar-MA"/>
        </w:rPr>
        <w:t>لكن</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تحلية فقه الأقل</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يات بوصف</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زائد يعب</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ر عن هموم جماعة</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معينة بذاتها لتتقص</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د جماعة</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من المسلمين، ليكون العنوان دالا</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ومخصوصا</w:t>
      </w:r>
      <w:r w:rsidR="004A1815" w:rsidRPr="006571AC">
        <w:rPr>
          <w:rFonts w:ascii="Arial" w:hAnsi="Arial" w:cs="AL-Mohanad" w:hint="cs"/>
          <w:sz w:val="27"/>
          <w:szCs w:val="27"/>
          <w:rtl/>
          <w:lang w:bidi="ar-MA"/>
        </w:rPr>
        <w:t>ً بـ</w:t>
      </w:r>
      <w:r w:rsidRPr="006571AC">
        <w:rPr>
          <w:rFonts w:ascii="Arial" w:hAnsi="Arial" w:cs="AL-Mohanad" w:hint="cs"/>
          <w:sz w:val="27"/>
          <w:szCs w:val="27"/>
          <w:rtl/>
          <w:lang w:bidi="ar-MA"/>
        </w:rPr>
        <w:t xml:space="preserve"> </w:t>
      </w:r>
      <w:r w:rsidRPr="006571AC">
        <w:rPr>
          <w:rFonts w:cs="AL-Mohanad" w:hint="eastAsia"/>
          <w:rtl/>
          <w:lang w:bidi="ar-MA"/>
        </w:rPr>
        <w:t>«</w:t>
      </w:r>
      <w:r w:rsidRPr="006571AC">
        <w:rPr>
          <w:rFonts w:ascii="Arial" w:hAnsi="Arial" w:cs="AL-Mohanad" w:hint="cs"/>
          <w:sz w:val="27"/>
          <w:szCs w:val="27"/>
          <w:rtl/>
          <w:lang w:bidi="ar-MA"/>
        </w:rPr>
        <w:t>فقه الأقل</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يات المسلمة</w:t>
      </w:r>
      <w:r w:rsidRPr="006571AC">
        <w:rPr>
          <w:rFonts w:cs="AL-Mohanad" w:hint="eastAsia"/>
          <w:rtl/>
        </w:rPr>
        <w:t>»</w:t>
      </w:r>
      <w:r w:rsidRPr="006571AC">
        <w:rPr>
          <w:rFonts w:ascii="Arial" w:hAnsi="Arial" w:cs="AL-Mohanad" w:hint="cs"/>
          <w:sz w:val="27"/>
          <w:szCs w:val="27"/>
          <w:rtl/>
          <w:lang w:bidi="ar-MA"/>
        </w:rPr>
        <w:t>، فهذا الموضوع لم يتبلور في المدو</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نات الفقهية كنظري</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ة</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فقهي</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ة وقانونية، كما </w:t>
      </w:r>
      <w:r w:rsidRPr="006571AC">
        <w:rPr>
          <w:rFonts w:ascii="Arial" w:hAnsi="Arial" w:cs="AL-Mohanad" w:hint="cs"/>
          <w:sz w:val="27"/>
          <w:szCs w:val="27"/>
          <w:rtl/>
          <w:lang w:bidi="ar-MA"/>
        </w:rPr>
        <w:lastRenderedPageBreak/>
        <w:t>هو موجود</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في فقه المستأمنين والذم</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يين، لاعتبارات تتعل</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ق بالوضع السياسي والحضاري الذي يعيشه المسلمون في العصور القديمة، قبل غزو التتار والحروب الصليبية وسقوط الأندلس، حيث كان المسلمون في منعة</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من أمنهم واستقرارهم، فما كانوا يحتاجون إلى الإقامة في بلد</w:t>
      </w:r>
      <w:r w:rsidR="004C458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غير مسلم</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لأن كل بلدان المسلمين هي موطن</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لهم بحكم آصرة العقيدة. </w:t>
      </w:r>
      <w:r w:rsidRPr="006571AC">
        <w:rPr>
          <w:rFonts w:ascii="Arial" w:hAnsi="Arial" w:cs="AL-Mohanad"/>
          <w:sz w:val="27"/>
          <w:szCs w:val="27"/>
          <w:rtl/>
          <w:lang w:bidi="ar-MA"/>
        </w:rPr>
        <w:t>لكن</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بعد ذلك</w:t>
      </w:r>
      <w:r w:rsidRPr="006571AC">
        <w:rPr>
          <w:rFonts w:ascii="Arial" w:hAnsi="Arial" w:cs="AL-Mohanad"/>
          <w:sz w:val="27"/>
          <w:szCs w:val="27"/>
          <w:rtl/>
          <w:lang w:bidi="ar-MA"/>
        </w:rPr>
        <w:t xml:space="preserve"> </w:t>
      </w:r>
      <w:r w:rsidRPr="006571AC">
        <w:rPr>
          <w:rFonts w:ascii="Arial" w:hAnsi="Arial" w:cs="AL-Mohanad" w:hint="cs"/>
          <w:sz w:val="27"/>
          <w:szCs w:val="27"/>
          <w:rtl/>
          <w:lang w:bidi="ar-MA"/>
        </w:rPr>
        <w:t>ف</w:t>
      </w:r>
      <w:r w:rsidRPr="006571AC">
        <w:rPr>
          <w:rFonts w:ascii="Arial" w:hAnsi="Arial" w:cs="AL-Mohanad"/>
          <w:sz w:val="27"/>
          <w:szCs w:val="27"/>
          <w:rtl/>
          <w:lang w:bidi="ar-MA"/>
        </w:rPr>
        <w:t>الحاجة ماس</w:t>
      </w:r>
      <w:r w:rsidR="004A1815" w:rsidRPr="006571AC">
        <w:rPr>
          <w:rFonts w:ascii="Arial" w:hAnsi="Arial" w:cs="AL-Mohanad" w:hint="cs"/>
          <w:sz w:val="27"/>
          <w:szCs w:val="27"/>
          <w:rtl/>
          <w:lang w:bidi="ar-MA"/>
        </w:rPr>
        <w:t>ّ</w:t>
      </w:r>
      <w:r w:rsidRPr="006571AC">
        <w:rPr>
          <w:rFonts w:ascii="Arial" w:hAnsi="Arial" w:cs="AL-Mohanad"/>
          <w:sz w:val="27"/>
          <w:szCs w:val="27"/>
          <w:rtl/>
          <w:lang w:bidi="ar-MA"/>
        </w:rPr>
        <w:t>ة</w:t>
      </w:r>
      <w:r w:rsidR="004A1815"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تطويره وتأسيسه على قواعد قار</w:t>
      </w:r>
      <w:r w:rsidR="004A1815" w:rsidRPr="006571AC">
        <w:rPr>
          <w:rFonts w:ascii="Arial" w:hAnsi="Arial" w:cs="AL-Mohanad" w:hint="cs"/>
          <w:sz w:val="27"/>
          <w:szCs w:val="27"/>
          <w:rtl/>
          <w:lang w:bidi="ar-MA"/>
        </w:rPr>
        <w:t>ّ</w:t>
      </w:r>
      <w:r w:rsidRPr="006571AC">
        <w:rPr>
          <w:rFonts w:ascii="Arial" w:hAnsi="Arial" w:cs="AL-Mohanad"/>
          <w:sz w:val="27"/>
          <w:szCs w:val="27"/>
          <w:rtl/>
          <w:lang w:bidi="ar-MA"/>
        </w:rPr>
        <w:t>ة ومتماسكة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تخرجه عن إطار الأحكام الع</w:t>
      </w:r>
      <w:r w:rsidR="004A1815" w:rsidRPr="006571AC">
        <w:rPr>
          <w:rFonts w:ascii="Arial" w:hAnsi="Arial" w:cs="AL-Mohanad" w:hint="cs"/>
          <w:sz w:val="27"/>
          <w:szCs w:val="27"/>
          <w:rtl/>
          <w:lang w:bidi="ar-MA"/>
        </w:rPr>
        <w:t>ُ</w:t>
      </w:r>
      <w:r w:rsidRPr="006571AC">
        <w:rPr>
          <w:rFonts w:ascii="Arial" w:hAnsi="Arial" w:cs="AL-Mohanad"/>
          <w:sz w:val="27"/>
          <w:szCs w:val="27"/>
          <w:rtl/>
          <w:lang w:bidi="ar-MA"/>
        </w:rPr>
        <w:t>ر</w:t>
      </w:r>
      <w:r w:rsidR="004A1815" w:rsidRPr="006571AC">
        <w:rPr>
          <w:rFonts w:ascii="Arial" w:hAnsi="Arial" w:cs="AL-Mohanad" w:hint="cs"/>
          <w:sz w:val="27"/>
          <w:szCs w:val="27"/>
          <w:rtl/>
          <w:lang w:bidi="ar-MA"/>
        </w:rPr>
        <w:t>ْ</w:t>
      </w:r>
      <w:r w:rsidRPr="006571AC">
        <w:rPr>
          <w:rFonts w:ascii="Arial" w:hAnsi="Arial" w:cs="AL-Mohanad"/>
          <w:sz w:val="27"/>
          <w:szCs w:val="27"/>
          <w:rtl/>
          <w:lang w:bidi="ar-MA"/>
        </w:rPr>
        <w:t>فية والظروف الاستثنائية، ليتحو</w:t>
      </w:r>
      <w:r w:rsidR="004A1815" w:rsidRPr="006571AC">
        <w:rPr>
          <w:rFonts w:ascii="Arial" w:hAnsi="Arial" w:cs="AL-Mohanad" w:hint="cs"/>
          <w:sz w:val="27"/>
          <w:szCs w:val="27"/>
          <w:rtl/>
          <w:lang w:bidi="ar-MA"/>
        </w:rPr>
        <w:t>ّ</w:t>
      </w:r>
      <w:r w:rsidRPr="006571AC">
        <w:rPr>
          <w:rFonts w:ascii="Arial" w:hAnsi="Arial" w:cs="AL-Mohanad"/>
          <w:sz w:val="27"/>
          <w:szCs w:val="27"/>
          <w:rtl/>
          <w:lang w:bidi="ar-MA"/>
        </w:rPr>
        <w:t>ل إلى فقه</w:t>
      </w:r>
      <w:r w:rsidR="004A1815" w:rsidRPr="006571AC">
        <w:rPr>
          <w:rFonts w:ascii="Arial" w:hAnsi="Arial" w:cs="AL-Mohanad" w:hint="cs"/>
          <w:sz w:val="27"/>
          <w:szCs w:val="27"/>
          <w:rtl/>
          <w:lang w:bidi="ar-MA"/>
        </w:rPr>
        <w:t>ٍ</w:t>
      </w:r>
      <w:r w:rsidRPr="006571AC">
        <w:rPr>
          <w:rFonts w:ascii="Arial" w:hAnsi="Arial" w:cs="AL-Mohanad"/>
          <w:sz w:val="27"/>
          <w:szCs w:val="27"/>
          <w:rtl/>
          <w:lang w:bidi="ar-MA"/>
        </w:rPr>
        <w:t xml:space="preserve"> ممي</w:t>
      </w:r>
      <w:r w:rsidR="004A1815" w:rsidRPr="006571AC">
        <w:rPr>
          <w:rFonts w:ascii="Arial" w:hAnsi="Arial" w:cs="AL-Mohanad" w:hint="cs"/>
          <w:sz w:val="27"/>
          <w:szCs w:val="27"/>
          <w:rtl/>
          <w:lang w:bidi="ar-MA"/>
        </w:rPr>
        <w:t>َّ</w:t>
      </w:r>
      <w:r w:rsidRPr="006571AC">
        <w:rPr>
          <w:rFonts w:ascii="Arial" w:hAnsi="Arial" w:cs="AL-Mohanad"/>
          <w:sz w:val="27"/>
          <w:szCs w:val="27"/>
          <w:rtl/>
          <w:lang w:bidi="ar-MA"/>
        </w:rPr>
        <w:t>ز ومستقل</w:t>
      </w:r>
      <w:r w:rsidR="004A1815" w:rsidRPr="006571AC">
        <w:rPr>
          <w:rFonts w:ascii="Arial" w:hAnsi="Arial" w:cs="AL-Mohanad" w:hint="cs"/>
          <w:sz w:val="27"/>
          <w:szCs w:val="27"/>
          <w:rtl/>
          <w:lang w:bidi="ar-MA"/>
        </w:rPr>
        <w:t>ّ،</w:t>
      </w:r>
      <w:r w:rsidRPr="006571AC">
        <w:rPr>
          <w:rFonts w:ascii="Arial" w:hAnsi="Arial" w:cs="AL-Mohanad"/>
          <w:sz w:val="27"/>
          <w:szCs w:val="27"/>
          <w:rtl/>
          <w:lang w:bidi="ar-MA"/>
        </w:rPr>
        <w:t xml:space="preserve"> يعب</w:t>
      </w:r>
      <w:r w:rsidR="004A1815" w:rsidRPr="006571AC">
        <w:rPr>
          <w:rFonts w:ascii="Arial" w:hAnsi="Arial" w:cs="AL-Mohanad" w:hint="cs"/>
          <w:sz w:val="27"/>
          <w:szCs w:val="27"/>
          <w:rtl/>
          <w:lang w:bidi="ar-MA"/>
        </w:rPr>
        <w:t>ِّ</w:t>
      </w:r>
      <w:r w:rsidRPr="006571AC">
        <w:rPr>
          <w:rFonts w:ascii="Arial" w:hAnsi="Arial" w:cs="AL-Mohanad"/>
          <w:sz w:val="27"/>
          <w:szCs w:val="27"/>
          <w:rtl/>
          <w:lang w:bidi="ar-MA"/>
        </w:rPr>
        <w:t>ر عن حاجات جماعة</w:t>
      </w:r>
      <w:r w:rsidR="004C458B" w:rsidRPr="006571AC">
        <w:rPr>
          <w:rFonts w:ascii="Arial" w:hAnsi="Arial" w:cs="AL-Mohanad" w:hint="cs"/>
          <w:sz w:val="27"/>
          <w:szCs w:val="27"/>
          <w:rtl/>
          <w:lang w:bidi="ar-MA"/>
        </w:rPr>
        <w:t>ٍ</w:t>
      </w:r>
      <w:r w:rsidRPr="006571AC">
        <w:rPr>
          <w:rFonts w:ascii="Arial" w:hAnsi="Arial" w:cs="AL-Mohanad"/>
          <w:sz w:val="27"/>
          <w:szCs w:val="27"/>
          <w:rtl/>
          <w:lang w:bidi="ar-MA"/>
        </w:rPr>
        <w:t xml:space="preserve"> نموذجية. </w:t>
      </w:r>
    </w:p>
    <w:p w:rsidR="001B0AB2" w:rsidRPr="006571AC" w:rsidRDefault="001B0AB2" w:rsidP="002A2E03">
      <w:pPr>
        <w:pStyle w:val="af"/>
        <w:rPr>
          <w:rFonts w:ascii="Arial" w:hAnsi="Arial" w:cs="AL-Mohanad"/>
          <w:sz w:val="27"/>
          <w:szCs w:val="27"/>
          <w:rtl/>
          <w:lang w:bidi="ar-MA"/>
        </w:rPr>
      </w:pPr>
      <w:r w:rsidRPr="006571AC">
        <w:rPr>
          <w:rFonts w:ascii="Arial" w:hAnsi="Arial" w:cs="AL-Mohanad" w:hint="cs"/>
          <w:sz w:val="27"/>
          <w:szCs w:val="27"/>
          <w:rtl/>
          <w:lang w:bidi="ar-MA"/>
        </w:rPr>
        <w:t xml:space="preserve">فما </w:t>
      </w:r>
      <w:r w:rsidR="004A1815" w:rsidRPr="006571AC">
        <w:rPr>
          <w:rFonts w:ascii="Arial" w:hAnsi="Arial" w:cs="AL-Mohanad" w:hint="cs"/>
          <w:sz w:val="27"/>
          <w:szCs w:val="27"/>
          <w:rtl/>
          <w:lang w:bidi="ar-MA"/>
        </w:rPr>
        <w:t xml:space="preserve">هي </w:t>
      </w:r>
      <w:r w:rsidRPr="006571AC">
        <w:rPr>
          <w:rFonts w:ascii="Arial" w:hAnsi="Arial" w:cs="AL-Mohanad" w:hint="cs"/>
          <w:sz w:val="27"/>
          <w:szCs w:val="27"/>
          <w:rtl/>
          <w:lang w:bidi="ar-MA"/>
        </w:rPr>
        <w:t>معالم هذا الفقه النموذجي</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وما </w:t>
      </w:r>
      <w:r w:rsidR="004A1815" w:rsidRPr="006571AC">
        <w:rPr>
          <w:rFonts w:ascii="Arial" w:hAnsi="Arial" w:cs="AL-Mohanad" w:hint="cs"/>
          <w:sz w:val="27"/>
          <w:szCs w:val="27"/>
          <w:rtl/>
          <w:lang w:bidi="ar-MA"/>
        </w:rPr>
        <w:t xml:space="preserve">هي </w:t>
      </w:r>
      <w:r w:rsidRPr="006571AC">
        <w:rPr>
          <w:rFonts w:ascii="Arial" w:hAnsi="Arial" w:cs="AL-Mohanad" w:hint="cs"/>
          <w:sz w:val="27"/>
          <w:szCs w:val="27"/>
          <w:rtl/>
          <w:lang w:bidi="ar-MA"/>
        </w:rPr>
        <w:t xml:space="preserve">آفاقه ومآلاته الاستراتيجية؟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912DE5">
      <w:pPr>
        <w:pStyle w:val="31"/>
        <w:rPr>
          <w:color w:val="auto"/>
          <w:rtl/>
          <w:lang w:bidi="ar-MA"/>
        </w:rPr>
      </w:pPr>
      <w:bookmarkStart w:id="380" w:name="_Toc114164793"/>
      <w:r w:rsidRPr="006571AC">
        <w:rPr>
          <w:rFonts w:hint="cs"/>
          <w:color w:val="auto"/>
          <w:rtl/>
          <w:lang w:bidi="ar-MA"/>
        </w:rPr>
        <w:t>فقه</w:t>
      </w:r>
      <w:r w:rsidR="004A1815" w:rsidRPr="006571AC">
        <w:rPr>
          <w:rFonts w:hint="cs"/>
          <w:color w:val="auto"/>
          <w:rtl/>
          <w:lang w:bidi="ar-MA"/>
        </w:rPr>
        <w:t>ُ</w:t>
      </w:r>
      <w:r w:rsidRPr="006571AC">
        <w:rPr>
          <w:rFonts w:hint="cs"/>
          <w:color w:val="auto"/>
          <w:rtl/>
          <w:lang w:bidi="ar-MA"/>
        </w:rPr>
        <w:t xml:space="preserve"> </w:t>
      </w:r>
      <w:r w:rsidR="00912DE5" w:rsidRPr="006571AC">
        <w:rPr>
          <w:rFonts w:hint="cs"/>
          <w:color w:val="auto"/>
          <w:rtl/>
          <w:lang w:bidi="ar-MA"/>
        </w:rPr>
        <w:t>ال</w:t>
      </w:r>
      <w:r w:rsidRPr="006571AC">
        <w:rPr>
          <w:rFonts w:hint="cs"/>
          <w:color w:val="auto"/>
          <w:rtl/>
          <w:lang w:bidi="ar-MA"/>
        </w:rPr>
        <w:t>نص</w:t>
      </w:r>
      <w:r w:rsidR="00912DE5" w:rsidRPr="006571AC">
        <w:rPr>
          <w:rFonts w:hint="cs"/>
          <w:color w:val="auto"/>
          <w:rtl/>
          <w:lang w:bidi="ar-MA"/>
        </w:rPr>
        <w:t>ّ</w:t>
      </w:r>
      <w:r w:rsidRPr="006571AC">
        <w:rPr>
          <w:rFonts w:hint="cs"/>
          <w:color w:val="auto"/>
          <w:rtl/>
          <w:lang w:bidi="ar-MA"/>
        </w:rPr>
        <w:t xml:space="preserve"> </w:t>
      </w:r>
      <w:r w:rsidR="00912DE5" w:rsidRPr="006571AC">
        <w:rPr>
          <w:rFonts w:hint="cs"/>
          <w:color w:val="auto"/>
          <w:rtl/>
          <w:lang w:bidi="ar-MA"/>
        </w:rPr>
        <w:t>وفقه ال</w:t>
      </w:r>
      <w:r w:rsidRPr="006571AC">
        <w:rPr>
          <w:rFonts w:hint="cs"/>
          <w:color w:val="auto"/>
          <w:rtl/>
          <w:lang w:bidi="ar-MA"/>
        </w:rPr>
        <w:t>واقع</w:t>
      </w:r>
      <w:bookmarkEnd w:id="380"/>
      <w:r w:rsidRPr="006571AC">
        <w:rPr>
          <w:rFonts w:hint="cs"/>
          <w:color w:val="auto"/>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إن فقه الأقل</w:t>
      </w:r>
      <w:r w:rsidR="004A1815" w:rsidRPr="006571AC">
        <w:rPr>
          <w:rFonts w:ascii="Arial" w:hAnsi="Arial" w:cs="AL-Mohanad" w:hint="cs"/>
          <w:sz w:val="27"/>
          <w:szCs w:val="27"/>
          <w:rtl/>
          <w:lang w:bidi="ar-MA"/>
        </w:rPr>
        <w:t>ِّ</w:t>
      </w:r>
      <w:r w:rsidRPr="006571AC">
        <w:rPr>
          <w:rFonts w:ascii="Arial" w:hAnsi="Arial" w:cs="AL-Mohanad"/>
          <w:sz w:val="27"/>
          <w:szCs w:val="27"/>
          <w:rtl/>
          <w:lang w:bidi="ar-MA"/>
        </w:rPr>
        <w:t>يات هو فقه</w:t>
      </w:r>
      <w:r w:rsidR="004C458B" w:rsidRPr="006571AC">
        <w:rPr>
          <w:rFonts w:ascii="Arial" w:hAnsi="Arial" w:cs="AL-Mohanad" w:hint="cs"/>
          <w:sz w:val="27"/>
          <w:szCs w:val="27"/>
          <w:rtl/>
          <w:lang w:bidi="ar-MA"/>
        </w:rPr>
        <w:t>ٌ</w:t>
      </w:r>
      <w:r w:rsidRPr="006571AC">
        <w:rPr>
          <w:rFonts w:ascii="Arial" w:hAnsi="Arial" w:cs="AL-Mohanad"/>
          <w:sz w:val="27"/>
          <w:szCs w:val="27"/>
          <w:rtl/>
          <w:lang w:bidi="ar-MA"/>
        </w:rPr>
        <w:t xml:space="preserve"> نوعي</w:t>
      </w:r>
      <w:r w:rsidRPr="006571AC">
        <w:rPr>
          <w:rFonts w:ascii="Arial" w:hAnsi="Arial" w:cs="AL-Mohanad" w:hint="cs"/>
          <w:sz w:val="27"/>
          <w:szCs w:val="27"/>
          <w:rtl/>
          <w:lang w:bidi="ar-MA"/>
        </w:rPr>
        <w:t xml:space="preserve"> وخاص</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يرتبط بحالة معينة وفريدة من حيث الأشخاص والمكان، بحيث يختص</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بها ما لا يليق بغيرها في الأحكام والتقديرات، </w:t>
      </w:r>
      <w:r w:rsidRPr="006571AC">
        <w:rPr>
          <w:rFonts w:ascii="Arial" w:hAnsi="Arial" w:cs="AL-Mohanad"/>
          <w:sz w:val="27"/>
          <w:szCs w:val="27"/>
          <w:rtl/>
          <w:lang w:bidi="ar-MA"/>
        </w:rPr>
        <w:t>لهذا السبب يحتاج الخائض فيه إلى ذخيرة</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موسعة من المناهج والمعارف</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 xml:space="preserve">في </w:t>
      </w:r>
      <w:r w:rsidR="003C2639" w:rsidRPr="006571AC">
        <w:rPr>
          <w:rFonts w:ascii="Arial" w:hAnsi="Arial" w:cs="AL-Mohanad"/>
          <w:sz w:val="27"/>
          <w:szCs w:val="27"/>
          <w:rtl/>
          <w:lang w:bidi="ar-MA"/>
        </w:rPr>
        <w:t>مجالات</w:t>
      </w:r>
      <w:r w:rsidRPr="006571AC">
        <w:rPr>
          <w:rFonts w:ascii="Arial" w:hAnsi="Arial" w:cs="AL-Mohanad"/>
          <w:sz w:val="27"/>
          <w:szCs w:val="27"/>
          <w:rtl/>
          <w:lang w:bidi="ar-MA"/>
        </w:rPr>
        <w:t xml:space="preserve"> الثقافة والفكر</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r w:rsidRPr="006571AC">
        <w:rPr>
          <w:rFonts w:ascii="Arial" w:hAnsi="Arial" w:cs="AL-Mohanad" w:hint="cs"/>
          <w:sz w:val="27"/>
          <w:szCs w:val="27"/>
          <w:rtl/>
          <w:lang w:bidi="ar-MA"/>
        </w:rPr>
        <w:t>و</w:t>
      </w:r>
      <w:r w:rsidRPr="006571AC">
        <w:rPr>
          <w:rFonts w:ascii="Arial" w:hAnsi="Arial" w:cs="AL-Mohanad"/>
          <w:sz w:val="27"/>
          <w:szCs w:val="27"/>
          <w:rtl/>
          <w:lang w:bidi="ar-MA"/>
        </w:rPr>
        <w:t>في مجالات الاجتماع والاقتصاد والسياسة والقانون والآداب</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إضافة إلى الفقه في الشريعة</w:t>
      </w:r>
      <w:r w:rsidRPr="006571AC">
        <w:rPr>
          <w:rFonts w:ascii="Arial" w:hAnsi="Arial" w:cs="AL-Mohanad" w:hint="cs"/>
          <w:sz w:val="27"/>
          <w:szCs w:val="27"/>
          <w:rtl/>
          <w:lang w:bidi="ar-MA"/>
        </w:rPr>
        <w:t xml:space="preserve"> وفهم الواقع</w:t>
      </w:r>
      <w:r w:rsidRPr="006571AC">
        <w:rPr>
          <w:rFonts w:ascii="Arial" w:hAnsi="Arial" w:cs="AL-Mohanad"/>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ولا يعني ذلك أن يكون فقه الأقل</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يات فقه الترخ</w:t>
      </w:r>
      <w:r w:rsidR="00306F62" w:rsidRPr="006571AC">
        <w:rPr>
          <w:rFonts w:ascii="Arial" w:hAnsi="Arial" w:cs="AL-Mohanad" w:hint="cs"/>
          <w:sz w:val="27"/>
          <w:szCs w:val="27"/>
          <w:rtl/>
          <w:lang w:bidi="ar-MA"/>
        </w:rPr>
        <w:t>ُّ</w:t>
      </w:r>
      <w:r w:rsidRPr="006571AC">
        <w:rPr>
          <w:rFonts w:ascii="Arial" w:hAnsi="Arial" w:cs="AL-Mohanad"/>
          <w:sz w:val="27"/>
          <w:szCs w:val="27"/>
          <w:rtl/>
          <w:lang w:bidi="ar-MA"/>
        </w:rPr>
        <w:t>ص والمروق</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من الدين</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والتغريد وراء الأهواء</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إن معناه أن تصدر الفتوى عن فقه</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يوازن بين الدليل والمدلول، ويجمع بين ح</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sz w:val="27"/>
          <w:szCs w:val="27"/>
          <w:rtl/>
          <w:lang w:bidi="ar-MA"/>
        </w:rPr>
        <w:t>ن الفهم عن النص</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وعن</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الواقع معا</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ثم إدراك حجم خصوصية الواقع الجديد</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في ضوء وجود ضرورات وتحد</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يات تهم</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مسلمي</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الغرب</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دون غيرهم في بلاد الإسلام</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596"/>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فبعض المتصد</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ين للو</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ع</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ظ والإرشاد الديني والتوجيه التربوي لا يوجد عندهم مؤه</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ل شرعي في الفقه والدعوة، وبعضهم عنده تخص</w:t>
      </w:r>
      <w:r w:rsidR="00306F62" w:rsidRPr="006571AC">
        <w:rPr>
          <w:rFonts w:ascii="Arial" w:hAnsi="Arial" w:cs="AL-Mohanad" w:hint="cs"/>
          <w:sz w:val="27"/>
          <w:szCs w:val="27"/>
          <w:rtl/>
          <w:lang w:bidi="ar-MA"/>
        </w:rPr>
        <w:t>ّ</w:t>
      </w:r>
      <w:r w:rsidRPr="006571AC">
        <w:rPr>
          <w:rFonts w:ascii="Arial" w:hAnsi="Arial" w:cs="AL-Mohanad"/>
          <w:sz w:val="27"/>
          <w:szCs w:val="27"/>
          <w:rtl/>
          <w:lang w:bidi="ar-MA"/>
        </w:rPr>
        <w:t>ص علمي</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الإسلاميات</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ولكن</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ه يحمل فكرا</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عشوائيا</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ويعوزه المنهج والنظرة الكل</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ية للأمور، أو تنقصه الدربة الفقهية في تكييف المسائل والحوادث</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ويغلب عليه التعج</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ل في الحكم عليها</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ورغم فضل هؤلاء وصدق ني</w:t>
      </w:r>
      <w:r w:rsidR="00306F62" w:rsidRPr="006571AC">
        <w:rPr>
          <w:rFonts w:ascii="Arial" w:hAnsi="Arial" w:cs="AL-Mohanad" w:hint="cs"/>
          <w:sz w:val="27"/>
          <w:szCs w:val="27"/>
          <w:rtl/>
          <w:lang w:bidi="ar-MA"/>
        </w:rPr>
        <w:t>ّ</w:t>
      </w:r>
      <w:r w:rsidRPr="006571AC">
        <w:rPr>
          <w:rFonts w:ascii="Arial" w:hAnsi="Arial" w:cs="AL-Mohanad"/>
          <w:sz w:val="27"/>
          <w:szCs w:val="27"/>
          <w:rtl/>
          <w:lang w:bidi="ar-MA"/>
        </w:rPr>
        <w:t>اتهم فثمار مجهوداتهم قد تعود على مهام</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هم بالافتئات. </w:t>
      </w:r>
    </w:p>
    <w:p w:rsidR="001B0AB2" w:rsidRPr="006571AC" w:rsidRDefault="001B0AB2" w:rsidP="002A2E03">
      <w:pPr>
        <w:pStyle w:val="af"/>
        <w:rPr>
          <w:rFonts w:ascii="Arial" w:hAnsi="Arial" w:cs="AL-Mohanad"/>
          <w:sz w:val="27"/>
          <w:szCs w:val="27"/>
          <w:rtl/>
          <w:lang w:bidi="ar-MA"/>
        </w:rPr>
      </w:pPr>
      <w:r w:rsidRPr="006571AC">
        <w:rPr>
          <w:rFonts w:ascii="Arial" w:hAnsi="Arial" w:cs="AL-Mohanad" w:hint="cs"/>
          <w:sz w:val="27"/>
          <w:szCs w:val="27"/>
          <w:rtl/>
          <w:lang w:bidi="ar-MA"/>
        </w:rPr>
        <w:t>لذلك فشخصية الفقيه والمفتي تؤث</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ر سلبا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أو إيجابا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في طبيعة فتاو</w:t>
      </w:r>
      <w:r w:rsidR="00306F62" w:rsidRPr="006571AC">
        <w:rPr>
          <w:rFonts w:ascii="Arial" w:hAnsi="Arial" w:cs="AL-Mohanad" w:hint="cs"/>
          <w:sz w:val="27"/>
          <w:szCs w:val="27"/>
          <w:rtl/>
          <w:lang w:bidi="ar-MA"/>
        </w:rPr>
        <w:t>ا</w:t>
      </w:r>
      <w:r w:rsidRPr="006571AC">
        <w:rPr>
          <w:rFonts w:ascii="Arial" w:hAnsi="Arial" w:cs="AL-Mohanad" w:hint="cs"/>
          <w:sz w:val="27"/>
          <w:szCs w:val="27"/>
          <w:rtl/>
          <w:lang w:bidi="ar-MA"/>
        </w:rPr>
        <w:t>ه، فكلما كان الفقيه منفتحا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ومط</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لعا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أكثر كلما أثمر ذلك في علمه وو</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ع</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يه</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إذ </w:t>
      </w:r>
      <w:r w:rsidR="00306F62" w:rsidRPr="006571AC">
        <w:rPr>
          <w:rFonts w:ascii="Arial" w:hAnsi="Arial" w:cs="AL-Mohanad" w:hint="cs"/>
          <w:sz w:val="27"/>
          <w:szCs w:val="27"/>
          <w:rtl/>
          <w:lang w:bidi="ar-MA"/>
        </w:rPr>
        <w:t>إ</w:t>
      </w:r>
      <w:r w:rsidRPr="006571AC">
        <w:rPr>
          <w:rFonts w:ascii="Arial" w:hAnsi="Arial" w:cs="AL-Mohanad" w:hint="cs"/>
          <w:sz w:val="27"/>
          <w:szCs w:val="27"/>
          <w:rtl/>
          <w:lang w:bidi="ar-MA"/>
        </w:rPr>
        <w:t xml:space="preserve">ن </w:t>
      </w:r>
      <w:r w:rsidRPr="006571AC">
        <w:rPr>
          <w:rFonts w:cs="AL-Mohanad" w:hint="eastAsia"/>
          <w:rtl/>
          <w:lang w:bidi="ar-MA"/>
        </w:rPr>
        <w:t>«</w:t>
      </w:r>
      <w:r w:rsidRPr="006571AC">
        <w:rPr>
          <w:rFonts w:ascii="Arial" w:hAnsi="Arial" w:cs="AL-Mohanad" w:hint="cs"/>
          <w:sz w:val="27"/>
          <w:szCs w:val="27"/>
          <w:rtl/>
          <w:lang w:bidi="ar-MA"/>
        </w:rPr>
        <w:t xml:space="preserve">معرفته </w:t>
      </w:r>
      <w:r w:rsidRPr="006571AC">
        <w:rPr>
          <w:rFonts w:ascii="Arial" w:hAnsi="Arial" w:cs="AL-Mohanad" w:hint="cs"/>
          <w:sz w:val="27"/>
          <w:szCs w:val="27"/>
          <w:rtl/>
          <w:lang w:bidi="ar-MA"/>
        </w:rPr>
        <w:lastRenderedPageBreak/>
        <w:t>وإحاطته وطراز نظرته إلى العالم تؤث</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ر تأثيرا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كبيرا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في فتاواه</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على الفقيه أن يكون محيطا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إحاطة</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كاملة بالموضوع المطلوب منه إصدار فتوى فيه</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597"/>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فعملية التأهيل لفقه النص</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والواقع</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تحتاج إلى مفت</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وفقيه</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شجاع</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يخوض بعلم</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وورع</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كي يصلح واقعه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w:t>
      </w:r>
      <w:r w:rsidRPr="006571AC">
        <w:rPr>
          <w:rFonts w:ascii="Arial" w:hAnsi="Arial" w:cs="AL-Mohanad" w:hint="cs"/>
          <w:sz w:val="27"/>
          <w:szCs w:val="27"/>
          <w:rtl/>
          <w:lang w:bidi="ar-MA"/>
        </w:rPr>
        <w:t>إ</w:t>
      </w:r>
      <w:r w:rsidRPr="006571AC">
        <w:rPr>
          <w:rFonts w:ascii="Arial" w:hAnsi="Arial" w:cs="AL-Mohanad"/>
          <w:sz w:val="27"/>
          <w:szCs w:val="27"/>
          <w:rtl/>
          <w:lang w:bidi="ar-MA"/>
        </w:rPr>
        <w:t>ل</w:t>
      </w:r>
      <w:r w:rsidRPr="006571AC">
        <w:rPr>
          <w:rFonts w:ascii="Arial" w:hAnsi="Arial" w:cs="AL-Mohanad" w:hint="cs"/>
          <w:sz w:val="27"/>
          <w:szCs w:val="27"/>
          <w:rtl/>
          <w:lang w:bidi="ar-MA"/>
        </w:rPr>
        <w:t xml:space="preserve">ى </w:t>
      </w:r>
      <w:r w:rsidRPr="006571AC">
        <w:rPr>
          <w:rFonts w:ascii="Arial" w:hAnsi="Arial" w:cs="AL-Mohanad"/>
          <w:sz w:val="27"/>
          <w:szCs w:val="27"/>
          <w:rtl/>
          <w:lang w:bidi="ar-MA"/>
        </w:rPr>
        <w:t xml:space="preserve">تدريب على الفتوى التي تعالج آلام </w:t>
      </w:r>
      <w:r w:rsidRPr="006571AC">
        <w:rPr>
          <w:rFonts w:ascii="Arial" w:hAnsi="Arial" w:cs="AL-Mohanad" w:hint="cs"/>
          <w:sz w:val="27"/>
          <w:szCs w:val="27"/>
          <w:rtl/>
          <w:lang w:bidi="ar-MA"/>
        </w:rPr>
        <w:t xml:space="preserve">هذا </w:t>
      </w:r>
      <w:r w:rsidRPr="006571AC">
        <w:rPr>
          <w:rFonts w:ascii="Arial" w:hAnsi="Arial" w:cs="AL-Mohanad"/>
          <w:sz w:val="27"/>
          <w:szCs w:val="27"/>
          <w:rtl/>
          <w:lang w:bidi="ar-MA"/>
        </w:rPr>
        <w:t>الواقع</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598"/>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ولا تنقل هموما</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تاريخية أو بعيدة</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مكانا</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موقع</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يمتلئ بالأزمات.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والقضية</w:t>
      </w:r>
      <w:r w:rsidR="00A60400" w:rsidRPr="006571AC">
        <w:rPr>
          <w:rFonts w:ascii="Arial" w:hAnsi="Arial" w:cs="AL-Mohanad" w:hint="cs"/>
          <w:sz w:val="27"/>
          <w:szCs w:val="27"/>
          <w:rtl/>
          <w:lang w:bidi="ar-MA"/>
        </w:rPr>
        <w:t>ُ</w:t>
      </w:r>
      <w:r w:rsidRPr="006571AC">
        <w:rPr>
          <w:rFonts w:ascii="Arial" w:hAnsi="Arial" w:cs="AL-Mohanad"/>
          <w:sz w:val="27"/>
          <w:szCs w:val="27"/>
          <w:rtl/>
          <w:lang w:bidi="ar-MA"/>
        </w:rPr>
        <w:t xml:space="preserve"> بي</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نة</w:t>
      </w:r>
      <w:r w:rsidR="00A60400" w:rsidRPr="006571AC">
        <w:rPr>
          <w:rFonts w:ascii="Arial" w:hAnsi="Arial" w:cs="AL-Mohanad" w:hint="cs"/>
          <w:sz w:val="27"/>
          <w:szCs w:val="27"/>
          <w:rtl/>
          <w:lang w:bidi="ar-MA"/>
        </w:rPr>
        <w:t>ٌ</w:t>
      </w:r>
      <w:r w:rsidRPr="006571AC">
        <w:rPr>
          <w:rFonts w:ascii="Arial" w:hAnsi="Arial" w:cs="AL-Mohanad"/>
          <w:sz w:val="27"/>
          <w:szCs w:val="27"/>
          <w:rtl/>
          <w:lang w:bidi="ar-MA"/>
        </w:rPr>
        <w:t xml:space="preserve"> واضحة لا تحتاج إلى مزيد أدل</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ة</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لإثباتها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بقدر</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ما تحتاج إلى جهد</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جهيد لتحقيق مناطها، في واقع المجالس الفقهية</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وفي تدريب الأئمة والقيادات الإسلامية، حت</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ى تصدر الفتوى من امتزاج فقه النصوص ومقاصدها الشرعية مع واقع المشكلات النازلة به. </w:t>
      </w:r>
    </w:p>
    <w:p w:rsidR="001B0AB2" w:rsidRPr="006571AC" w:rsidRDefault="001B0AB2" w:rsidP="002A2E03">
      <w:pPr>
        <w:pStyle w:val="af"/>
        <w:rPr>
          <w:rFonts w:ascii="Arial" w:hAnsi="Arial" w:cs="AL-Mohanad"/>
          <w:sz w:val="27"/>
          <w:szCs w:val="27"/>
          <w:rtl/>
        </w:rPr>
      </w:pPr>
      <w:r w:rsidRPr="006571AC">
        <w:rPr>
          <w:rFonts w:ascii="Arial" w:hAnsi="Arial" w:cs="AL-Mohanad"/>
          <w:sz w:val="27"/>
          <w:szCs w:val="27"/>
          <w:rtl/>
          <w:lang w:bidi="ar-MA"/>
        </w:rPr>
        <w:t>إن أوضاع هذه الفئة يمكن أن توصف بأنها أوضاع</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ضرورة</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بالمعنى العام</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للضرورة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الذي يشمل الحاجة والضرورة بالمعنى الخاص</w:t>
      </w:r>
      <w:r w:rsidR="007E0B05" w:rsidRPr="006571AC">
        <w:rPr>
          <w:rFonts w:ascii="Arial" w:hAnsi="Arial" w:cs="AL-Mohanad" w:hint="cs"/>
          <w:sz w:val="27"/>
          <w:szCs w:val="27"/>
          <w:rtl/>
          <w:lang w:bidi="ar-MA"/>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599"/>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rPr>
        <w:t>مما يقتضي اجتهادا</w:t>
      </w:r>
      <w:r w:rsidR="007E0B05" w:rsidRPr="006571AC">
        <w:rPr>
          <w:rFonts w:ascii="Arial" w:hAnsi="Arial" w:cs="AL-Mohanad" w:hint="cs"/>
          <w:sz w:val="27"/>
          <w:szCs w:val="27"/>
          <w:rtl/>
        </w:rPr>
        <w:t>ً</w:t>
      </w:r>
      <w:r w:rsidRPr="006571AC">
        <w:rPr>
          <w:rFonts w:ascii="Arial" w:hAnsi="Arial" w:cs="AL-Mohanad"/>
          <w:sz w:val="27"/>
          <w:szCs w:val="27"/>
          <w:rtl/>
        </w:rPr>
        <w:t xml:space="preserve"> فقهيا</w:t>
      </w:r>
      <w:r w:rsidR="007E0B05" w:rsidRPr="006571AC">
        <w:rPr>
          <w:rFonts w:ascii="Arial" w:hAnsi="Arial" w:cs="AL-Mohanad" w:hint="cs"/>
          <w:sz w:val="27"/>
          <w:szCs w:val="27"/>
          <w:rtl/>
        </w:rPr>
        <w:t>ً</w:t>
      </w:r>
      <w:r w:rsidRPr="006571AC">
        <w:rPr>
          <w:rFonts w:ascii="Arial" w:hAnsi="Arial" w:cs="AL-Mohanad"/>
          <w:sz w:val="27"/>
          <w:szCs w:val="27"/>
          <w:rtl/>
        </w:rPr>
        <w:t xml:space="preserve"> بمعنى</w:t>
      </w:r>
      <w:r w:rsidR="007E0B05" w:rsidRPr="006571AC">
        <w:rPr>
          <w:rFonts w:ascii="Arial" w:hAnsi="Arial" w:cs="AL-Mohanad" w:hint="cs"/>
          <w:sz w:val="27"/>
          <w:szCs w:val="27"/>
          <w:rtl/>
        </w:rPr>
        <w:t>ً</w:t>
      </w:r>
      <w:r w:rsidRPr="006571AC">
        <w:rPr>
          <w:rFonts w:ascii="Arial" w:hAnsi="Arial" w:cs="AL-Mohanad"/>
          <w:sz w:val="27"/>
          <w:szCs w:val="27"/>
          <w:rtl/>
        </w:rPr>
        <w:t xml:space="preserve"> من معاني الاجتهاد</w:t>
      </w:r>
      <w:r w:rsidRPr="006571AC">
        <w:rPr>
          <w:rFonts w:ascii="Arial" w:hAnsi="Arial" w:cs="AL-Mohanad" w:hint="cs"/>
          <w:sz w:val="27"/>
          <w:szCs w:val="27"/>
          <w:rtl/>
        </w:rPr>
        <w:t xml:space="preserve">، </w:t>
      </w:r>
      <w:r w:rsidRPr="006571AC">
        <w:rPr>
          <w:rFonts w:ascii="Arial" w:hAnsi="Arial" w:cs="AL-Mohanad"/>
          <w:sz w:val="27"/>
          <w:szCs w:val="27"/>
          <w:rtl/>
        </w:rPr>
        <w:t>وهو اجتهاد</w:t>
      </w:r>
      <w:r w:rsidR="007E0B05" w:rsidRPr="006571AC">
        <w:rPr>
          <w:rFonts w:ascii="Arial" w:hAnsi="Arial" w:cs="AL-Mohanad" w:hint="cs"/>
          <w:sz w:val="27"/>
          <w:szCs w:val="27"/>
          <w:rtl/>
        </w:rPr>
        <w:t>ٌ</w:t>
      </w:r>
      <w:r w:rsidRPr="006571AC">
        <w:rPr>
          <w:rFonts w:ascii="Arial" w:hAnsi="Arial" w:cs="AL-Mohanad"/>
          <w:sz w:val="27"/>
          <w:szCs w:val="27"/>
          <w:rtl/>
        </w:rPr>
        <w:t xml:space="preserve"> يستنفر النصوص والمقاصد والفروع والقواعد</w:t>
      </w:r>
      <w:r w:rsidRPr="006571AC">
        <w:rPr>
          <w:rFonts w:ascii="Arial" w:hAnsi="Arial" w:cs="AL-Mohanad" w:hint="cs"/>
          <w:sz w:val="27"/>
          <w:szCs w:val="27"/>
          <w:rtl/>
        </w:rPr>
        <w:t xml:space="preserve">، </w:t>
      </w:r>
      <w:r w:rsidRPr="006571AC">
        <w:rPr>
          <w:rFonts w:ascii="Arial" w:hAnsi="Arial" w:cs="AL-Mohanad"/>
          <w:sz w:val="27"/>
          <w:szCs w:val="27"/>
          <w:rtl/>
        </w:rPr>
        <w:t>وهي قواعد أساسها التيسير ورفع الح</w:t>
      </w:r>
      <w:r w:rsidR="007E0B05" w:rsidRPr="006571AC">
        <w:rPr>
          <w:rFonts w:ascii="Arial" w:hAnsi="Arial" w:cs="AL-Mohanad" w:hint="cs"/>
          <w:sz w:val="27"/>
          <w:szCs w:val="27"/>
          <w:rtl/>
        </w:rPr>
        <w:t>َ</w:t>
      </w:r>
      <w:r w:rsidRPr="006571AC">
        <w:rPr>
          <w:rFonts w:ascii="Arial" w:hAnsi="Arial" w:cs="AL-Mohanad"/>
          <w:sz w:val="27"/>
          <w:szCs w:val="27"/>
          <w:rtl/>
        </w:rPr>
        <w:t>ر</w:t>
      </w:r>
      <w:r w:rsidR="007E0B05" w:rsidRPr="006571AC">
        <w:rPr>
          <w:rFonts w:ascii="Arial" w:hAnsi="Arial" w:cs="AL-Mohanad" w:hint="cs"/>
          <w:sz w:val="27"/>
          <w:szCs w:val="27"/>
          <w:rtl/>
        </w:rPr>
        <w:t>َ</w:t>
      </w:r>
      <w:r w:rsidRPr="006571AC">
        <w:rPr>
          <w:rFonts w:ascii="Arial" w:hAnsi="Arial" w:cs="AL-Mohanad"/>
          <w:sz w:val="27"/>
          <w:szCs w:val="27"/>
          <w:rtl/>
        </w:rPr>
        <w:t>ج</w:t>
      </w:r>
      <w:r w:rsidR="007E0B05" w:rsidRPr="006571AC">
        <w:rPr>
          <w:rFonts w:ascii="Arial" w:hAnsi="Arial" w:cs="AL-Mohanad" w:hint="cs"/>
          <w:sz w:val="27"/>
          <w:szCs w:val="27"/>
          <w:rtl/>
        </w:rPr>
        <w:t>،</w:t>
      </w:r>
      <w:r w:rsidRPr="006571AC">
        <w:rPr>
          <w:rFonts w:ascii="Arial" w:hAnsi="Arial" w:cs="AL-Mohanad"/>
          <w:sz w:val="27"/>
          <w:szCs w:val="27"/>
          <w:rtl/>
        </w:rPr>
        <w:t xml:space="preserve"> بضوابطه وشروطه. </w:t>
      </w:r>
    </w:p>
    <w:p w:rsidR="001B0AB2" w:rsidRPr="006571AC" w:rsidRDefault="001B0AB2" w:rsidP="002A2E03">
      <w:pPr>
        <w:pStyle w:val="af"/>
        <w:rPr>
          <w:rFonts w:ascii="Arial" w:hAnsi="Arial" w:cs="AL-Mohanad"/>
          <w:sz w:val="27"/>
          <w:szCs w:val="27"/>
          <w:rtl/>
        </w:rPr>
      </w:pPr>
      <w:r w:rsidRPr="006571AC">
        <w:rPr>
          <w:rFonts w:ascii="Arial" w:hAnsi="Arial" w:cs="AL-Mohanad"/>
          <w:sz w:val="27"/>
          <w:szCs w:val="27"/>
          <w:rtl/>
          <w:lang w:bidi="ar-MA"/>
        </w:rPr>
        <w:t>لذلك فالفتوى لهؤلاء الذين يعيشون في تلك الديار بأحكا</w:t>
      </w:r>
      <w:r w:rsidRPr="006571AC">
        <w:rPr>
          <w:rFonts w:ascii="Arial" w:hAnsi="Arial" w:cs="AL-Mohanad" w:hint="cs"/>
          <w:sz w:val="27"/>
          <w:szCs w:val="27"/>
          <w:rtl/>
          <w:lang w:bidi="ar-MA"/>
        </w:rPr>
        <w:t>م</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عام</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ة في الفقه لا ينسجم مع فقه هذه الأقل</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ية، بل </w:t>
      </w:r>
      <w:r w:rsidR="00731867" w:rsidRPr="006571AC">
        <w:rPr>
          <w:rFonts w:ascii="Arial" w:hAnsi="Arial" w:cs="AL-Mohanad"/>
          <w:sz w:val="27"/>
          <w:szCs w:val="27"/>
          <w:rtl/>
          <w:lang w:bidi="ar-MA"/>
        </w:rPr>
        <w:t>لا بُدَّ</w:t>
      </w:r>
      <w:r w:rsidRPr="006571AC">
        <w:rPr>
          <w:rFonts w:ascii="Arial" w:hAnsi="Arial" w:cs="AL-Mohanad"/>
          <w:sz w:val="27"/>
          <w:szCs w:val="27"/>
          <w:rtl/>
          <w:lang w:bidi="ar-MA"/>
        </w:rPr>
        <w:t xml:space="preserve"> للمفتي أن يستزيد في التفصيل مم</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ن</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يسأله لإيضاح أمور خاص</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وللاستبيان عن جوانب مهم</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ة تؤث</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 في الحكم، ويراعي المقاصد في الأحكام ود</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و</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رانها مع العلل، وتغي</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 الفتوى بتغي</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 الزمان والمكان والع</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ف والحال</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00"/>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ويعتبر بمآلات الأحكام والأفعال، وينظر إلى عالمية الإسلام وشمول رسالته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ويراعي غاياته في الانتشار والتمكين على المدى البعيد، عندها يفتي بما يمليه عليه نظره</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وما توص</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ل إليه ف</w:t>
      </w:r>
      <w:r w:rsidR="00A60400" w:rsidRPr="006571AC">
        <w:rPr>
          <w:rFonts w:ascii="Arial" w:hAnsi="Arial" w:cs="AL-Mohanad" w:hint="cs"/>
          <w:sz w:val="27"/>
          <w:szCs w:val="27"/>
          <w:rtl/>
          <w:lang w:bidi="ar-MA"/>
        </w:rPr>
        <w:t>َ</w:t>
      </w:r>
      <w:r w:rsidRPr="006571AC">
        <w:rPr>
          <w:rFonts w:ascii="Arial" w:hAnsi="Arial" w:cs="AL-Mohanad"/>
          <w:sz w:val="27"/>
          <w:szCs w:val="27"/>
          <w:rtl/>
          <w:lang w:bidi="ar-MA"/>
        </w:rPr>
        <w:t>ه</w:t>
      </w:r>
      <w:r w:rsidR="00A60400" w:rsidRPr="006571AC">
        <w:rPr>
          <w:rFonts w:ascii="Arial" w:hAnsi="Arial" w:cs="AL-Mohanad" w:hint="cs"/>
          <w:sz w:val="27"/>
          <w:szCs w:val="27"/>
          <w:rtl/>
          <w:lang w:bidi="ar-MA"/>
        </w:rPr>
        <w:t>ْ</w:t>
      </w:r>
      <w:r w:rsidRPr="006571AC">
        <w:rPr>
          <w:rFonts w:ascii="Arial" w:hAnsi="Arial" w:cs="AL-Mohanad"/>
          <w:sz w:val="27"/>
          <w:szCs w:val="27"/>
          <w:rtl/>
          <w:lang w:bidi="ar-MA"/>
        </w:rPr>
        <w:t>مه</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اعتبارا</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بكل ما سبق.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وهذا الجانب من المنهج في الفتوى مرتبط</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بمعرفة الناس، وقد ع</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د</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الإمام أحمد هذا الأمر من جملة خمس خصال ينبغي توف</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رها في المفتي</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01"/>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حتى يتحق</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ق لنا ذلك الفقه المنشود الذي يرفع الضيق والح</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ج عن الناس</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ويحب</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ب الشريعة إلى نفوسهم، </w:t>
      </w:r>
      <w:r w:rsidRPr="006571AC">
        <w:rPr>
          <w:rFonts w:cs="AL-Mohanad" w:hint="eastAsia"/>
          <w:rtl/>
          <w:lang w:bidi="ar-MA"/>
        </w:rPr>
        <w:t>«</w:t>
      </w:r>
      <w:r w:rsidRPr="006571AC">
        <w:rPr>
          <w:rFonts w:ascii="Arial" w:hAnsi="Arial" w:cs="AL-Mohanad"/>
          <w:sz w:val="27"/>
          <w:szCs w:val="27"/>
          <w:rtl/>
          <w:lang w:bidi="ar-MA"/>
        </w:rPr>
        <w:t>فالمفتي البالغ ذروة الدرجة هو الذي يحمل الناس على المعهود الوسط في</w:t>
      </w:r>
      <w:r w:rsidR="007E0B05" w:rsidRPr="006571AC">
        <w:rPr>
          <w:rFonts w:ascii="Arial" w:hAnsi="Arial" w:cs="AL-Mohanad" w:hint="cs"/>
          <w:sz w:val="27"/>
          <w:szCs w:val="27"/>
          <w:rtl/>
          <w:lang w:bidi="ar-MA"/>
        </w:rPr>
        <w:t xml:space="preserve"> </w:t>
      </w:r>
      <w:r w:rsidRPr="006571AC">
        <w:rPr>
          <w:rFonts w:ascii="Arial" w:hAnsi="Arial" w:cs="AL-Mohanad"/>
          <w:sz w:val="27"/>
          <w:szCs w:val="27"/>
          <w:rtl/>
          <w:lang w:bidi="ar-MA"/>
        </w:rPr>
        <w:t>ما يليق بالجمهور، فلا يذهب بهم مذهب الشد</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ة</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ولا يميل بهم إلى طرف الانحلال</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02"/>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A60400">
      <w:pPr>
        <w:pStyle w:val="af"/>
        <w:rPr>
          <w:rFonts w:ascii="Arial" w:hAnsi="Arial" w:cs="AL-Mohanad"/>
          <w:sz w:val="27"/>
          <w:szCs w:val="27"/>
          <w:rtl/>
          <w:lang w:bidi="ar-MA"/>
        </w:rPr>
      </w:pPr>
      <w:r w:rsidRPr="006571AC">
        <w:rPr>
          <w:rFonts w:ascii="Arial" w:hAnsi="Arial" w:cs="AL-Mohanad"/>
          <w:sz w:val="27"/>
          <w:szCs w:val="27"/>
          <w:rtl/>
          <w:lang w:bidi="ar-MA"/>
        </w:rPr>
        <w:t>لأنه</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وح</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ب الشاطبي دائما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فإنه ينبغي على المجتهد </w:t>
      </w:r>
      <w:r w:rsidRPr="006571AC">
        <w:rPr>
          <w:rFonts w:cs="AL-Mohanad" w:hint="eastAsia"/>
          <w:rtl/>
          <w:lang w:bidi="ar-MA"/>
        </w:rPr>
        <w:t>«</w:t>
      </w:r>
      <w:r w:rsidRPr="006571AC">
        <w:rPr>
          <w:rFonts w:ascii="Arial" w:hAnsi="Arial" w:cs="AL-Mohanad"/>
          <w:sz w:val="27"/>
          <w:szCs w:val="27"/>
          <w:rtl/>
          <w:lang w:bidi="ar-MA"/>
        </w:rPr>
        <w:t>النظر في</w:t>
      </w:r>
      <w:r w:rsidR="00787F0B" w:rsidRPr="006571AC">
        <w:rPr>
          <w:rFonts w:ascii="Arial" w:hAnsi="Arial" w:cs="AL-Mohanad" w:hint="cs"/>
          <w:sz w:val="27"/>
          <w:szCs w:val="27"/>
          <w:rtl/>
          <w:lang w:bidi="ar-MA"/>
        </w:rPr>
        <w:t xml:space="preserve"> </w:t>
      </w:r>
      <w:r w:rsidRPr="006571AC">
        <w:rPr>
          <w:rFonts w:ascii="Arial" w:hAnsi="Arial" w:cs="AL-Mohanad"/>
          <w:sz w:val="27"/>
          <w:szCs w:val="27"/>
          <w:rtl/>
          <w:lang w:bidi="ar-MA"/>
        </w:rPr>
        <w:t xml:space="preserve">ما يصلح </w:t>
      </w:r>
      <w:r w:rsidRPr="006571AC">
        <w:rPr>
          <w:rFonts w:ascii="Arial" w:hAnsi="Arial" w:cs="AL-Mohanad"/>
          <w:sz w:val="27"/>
          <w:szCs w:val="27"/>
          <w:rtl/>
          <w:lang w:bidi="ar-MA"/>
        </w:rPr>
        <w:lastRenderedPageBreak/>
        <w:t>بكل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مكل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ف</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في نفسه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بح</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س</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ب وقت دون وقت</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وحال دون حال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وشخص دون شخص</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إذ النفوس ليست في قبول الأعمال الخاصة على وزان واحد (...)،</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فهو يحمل على كل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نفس</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أحكام النصوص ما يليق بها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بناء</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أن ذلك هو المقصود الشرعي في تلقي التكاليف</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03"/>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31"/>
        <w:rPr>
          <w:color w:val="auto"/>
          <w:rtl/>
          <w:lang w:bidi="ar-MA"/>
        </w:rPr>
      </w:pPr>
      <w:bookmarkStart w:id="381" w:name="_Toc114164794"/>
      <w:r w:rsidRPr="006571AC">
        <w:rPr>
          <w:rFonts w:hint="cs"/>
          <w:color w:val="auto"/>
          <w:rtl/>
          <w:lang w:bidi="ar-MA"/>
        </w:rPr>
        <w:t>معرفة الناس وفقه التدر</w:t>
      </w:r>
      <w:r w:rsidR="00787F0B" w:rsidRPr="006571AC">
        <w:rPr>
          <w:rFonts w:hint="cs"/>
          <w:color w:val="auto"/>
          <w:rtl/>
          <w:lang w:bidi="ar-MA"/>
        </w:rPr>
        <w:t>ُّ</w:t>
      </w:r>
      <w:r w:rsidRPr="006571AC">
        <w:rPr>
          <w:rFonts w:hint="cs"/>
          <w:color w:val="auto"/>
          <w:rtl/>
          <w:lang w:bidi="ar-MA"/>
        </w:rPr>
        <w:t>ج والتخفيف</w:t>
      </w:r>
      <w:bookmarkEnd w:id="381"/>
      <w:r w:rsidRPr="006571AC">
        <w:rPr>
          <w:rFonts w:hint="cs"/>
          <w:color w:val="auto"/>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rPr>
        <w:t>و</w:t>
      </w:r>
      <w:r w:rsidRPr="006571AC">
        <w:rPr>
          <w:rFonts w:ascii="Arial" w:hAnsi="Arial" w:cs="AL-Mohanad"/>
          <w:sz w:val="27"/>
          <w:szCs w:val="27"/>
          <w:rtl/>
          <w:lang w:bidi="ar-MA"/>
        </w:rPr>
        <w:t>تبني فقه التيسير ومراعاة التدر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ج من خصائص الإسلام، ومن سماته</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الرحمة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ومن قواعده</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رفع الح</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ج ومنع الض</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وهذه يجب أن تبقى معالم وقواعد تحكم الاجتهاد والإفتاء في الدين</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لأن هذا هو جوهر الشريعة، وقد صح</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عن النبي</w:t>
      </w:r>
      <w:r w:rsidR="004459D6" w:rsidRPr="006571AC">
        <w:rPr>
          <w:rFonts w:ascii="Mosawi" w:hAnsi="Mosawi" w:cs="Mosawi"/>
          <w:sz w:val="22"/>
          <w:szCs w:val="22"/>
          <w:rtl/>
        </w:rPr>
        <w:t>ﷺ</w:t>
      </w:r>
      <w:r w:rsidRPr="006571AC">
        <w:rPr>
          <w:rFonts w:ascii="Arial" w:hAnsi="Arial" w:cs="AL-Mohanad"/>
          <w:sz w:val="27"/>
          <w:szCs w:val="27"/>
          <w:rtl/>
          <w:lang w:bidi="ar-MA"/>
        </w:rPr>
        <w:t xml:space="preserve"> أنه </w:t>
      </w:r>
      <w:r w:rsidRPr="006571AC">
        <w:rPr>
          <w:rFonts w:cs="AL-Mohanad" w:hint="eastAsia"/>
          <w:rtl/>
          <w:lang w:bidi="ar-MA"/>
        </w:rPr>
        <w:t>«</w:t>
      </w:r>
      <w:r w:rsidRPr="006571AC">
        <w:rPr>
          <w:rFonts w:ascii="Arial" w:hAnsi="Arial" w:cs="AL-Mohanad"/>
          <w:sz w:val="27"/>
          <w:szCs w:val="27"/>
          <w:rtl/>
          <w:lang w:bidi="ar-MA"/>
        </w:rPr>
        <w:t>ما خ</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ي</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ر بين أمرين إلا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اختار أيسرهما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ما لم يكن إثما</w:t>
      </w:r>
      <w:r w:rsidRPr="006571AC">
        <w:rPr>
          <w:rFonts w:ascii="Arial" w:hAnsi="Arial" w:cs="AL-Mohanad" w:hint="cs"/>
          <w:sz w:val="27"/>
          <w:szCs w:val="27"/>
          <w:rtl/>
          <w:lang w:bidi="ar-MA"/>
        </w:rPr>
        <w:t>ً</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04"/>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وإن استقراء التاريخ الفقهي يؤد</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ي إلى ملاحظة</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هامة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وهي أن أعلى درجات التيسير ورفع الح</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ج والتدر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ج كانت في فقه النبي</w:t>
      </w:r>
      <w:r w:rsidR="00787F0B" w:rsidRPr="006571AC">
        <w:rPr>
          <w:rFonts w:ascii="Arial" w:hAnsi="Arial" w:cs="AL-Mohanad" w:hint="cs"/>
          <w:sz w:val="27"/>
          <w:szCs w:val="27"/>
          <w:rtl/>
          <w:lang w:bidi="ar-MA"/>
        </w:rPr>
        <w:t>ّ</w:t>
      </w:r>
      <w:r w:rsidR="004459D6" w:rsidRPr="006571AC">
        <w:rPr>
          <w:rFonts w:ascii="Mosawi" w:hAnsi="Mosawi" w:cs="Mosawi"/>
          <w:sz w:val="22"/>
          <w:szCs w:val="22"/>
          <w:rtl/>
        </w:rPr>
        <w:t>ﷺ</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ثم</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الصحابة من بعده</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الذين شهدوا الو</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ح</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ي معه</w:t>
      </w:r>
      <w:r w:rsidRPr="006571AC">
        <w:rPr>
          <w:rFonts w:ascii="Arial" w:hAnsi="Arial" w:cs="AL-Mohanad"/>
          <w:sz w:val="27"/>
          <w:szCs w:val="27"/>
          <w:rtl/>
          <w:lang w:bidi="ar-MA"/>
        </w:rPr>
        <w:t>، وبدأ الأخذ بالاحتياط شيئا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فشيئا</w:t>
      </w:r>
      <w:r w:rsidR="00787F0B" w:rsidRPr="006571AC">
        <w:rPr>
          <w:rFonts w:ascii="Arial" w:hAnsi="Arial" w:cs="AL-Mohanad" w:hint="cs"/>
          <w:sz w:val="27"/>
          <w:szCs w:val="27"/>
          <w:rtl/>
          <w:lang w:bidi="ar-MA"/>
        </w:rPr>
        <w:t xml:space="preserve">ً، </w:t>
      </w:r>
      <w:r w:rsidRPr="006571AC">
        <w:rPr>
          <w:rFonts w:ascii="Arial" w:hAnsi="Arial" w:cs="AL-Mohanad"/>
          <w:sz w:val="27"/>
          <w:szCs w:val="27"/>
          <w:rtl/>
          <w:lang w:bidi="ar-MA"/>
        </w:rPr>
        <w:t>حت</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ى كاد أن </w:t>
      </w:r>
      <w:r w:rsidRPr="006571AC">
        <w:rPr>
          <w:rFonts w:ascii="Arial" w:hAnsi="Arial" w:cs="AL-Mohanad" w:hint="cs"/>
          <w:sz w:val="27"/>
          <w:szCs w:val="27"/>
          <w:rtl/>
          <w:lang w:bidi="ar-MA"/>
        </w:rPr>
        <w:t xml:space="preserve">يطبق </w:t>
      </w:r>
      <w:r w:rsidRPr="006571AC">
        <w:rPr>
          <w:rFonts w:ascii="Arial" w:hAnsi="Arial" w:cs="AL-Mohanad"/>
          <w:sz w:val="27"/>
          <w:szCs w:val="27"/>
          <w:rtl/>
          <w:lang w:bidi="ar-MA"/>
        </w:rPr>
        <w:t xml:space="preserve">الاحتياط </w:t>
      </w:r>
      <w:r w:rsidRPr="006571AC">
        <w:rPr>
          <w:rFonts w:ascii="Arial" w:hAnsi="Arial" w:cs="AL-Mohanad" w:hint="cs"/>
          <w:sz w:val="27"/>
          <w:szCs w:val="27"/>
          <w:rtl/>
          <w:lang w:bidi="ar-MA"/>
        </w:rPr>
        <w:t>ب</w:t>
      </w:r>
      <w:r w:rsidRPr="006571AC">
        <w:rPr>
          <w:rFonts w:ascii="Arial" w:hAnsi="Arial" w:cs="AL-Mohanad"/>
          <w:sz w:val="27"/>
          <w:szCs w:val="27"/>
          <w:rtl/>
          <w:lang w:bidi="ar-MA"/>
        </w:rPr>
        <w:t>كل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أبواب التيسير، والأ</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و</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لى العودة إلى س</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ف الأم</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ة وصدر عهدها</w:t>
      </w:r>
      <w:r w:rsidRPr="006571AC">
        <w:rPr>
          <w:rFonts w:ascii="Arial" w:hAnsi="Arial" w:cs="AL-Mohanad" w:hint="cs"/>
          <w:sz w:val="27"/>
          <w:szCs w:val="27"/>
          <w:rtl/>
          <w:lang w:bidi="ar-MA"/>
        </w:rPr>
        <w:t xml:space="preserve"> في ات</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باع الرفق بالناس</w:t>
      </w:r>
      <w:r w:rsidRPr="006571AC">
        <w:rPr>
          <w:rFonts w:ascii="Arial" w:hAnsi="Arial" w:cs="AL-Mohanad"/>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فالتخفيف سبيل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تحبيب الدين إلى </w:t>
      </w:r>
      <w:r w:rsidRPr="006571AC">
        <w:rPr>
          <w:rFonts w:ascii="Arial" w:hAnsi="Arial" w:cs="AL-Mohanad" w:hint="cs"/>
          <w:sz w:val="27"/>
          <w:szCs w:val="27"/>
          <w:rtl/>
          <w:lang w:bidi="ar-MA"/>
        </w:rPr>
        <w:t>عام</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ة الخلق، </w:t>
      </w:r>
      <w:r w:rsidRPr="006571AC">
        <w:rPr>
          <w:rFonts w:ascii="Arial" w:hAnsi="Arial" w:cs="AL-Mohanad"/>
          <w:sz w:val="27"/>
          <w:szCs w:val="27"/>
          <w:rtl/>
          <w:lang w:bidi="ar-MA"/>
        </w:rPr>
        <w:t>في حالات</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يكون فيها المكل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ف مغلوبا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أمره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ويغدو فيها التكليف بالمشق</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ة سببا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لطرح الالتزام به جملة، والع</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ر دافع</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كاف</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لجلب الي</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ر حت</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ى لا يتم</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التكليف بما لا ي</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طاق</w:t>
      </w:r>
      <w:r w:rsidRPr="006571AC">
        <w:rPr>
          <w:rFonts w:ascii="Arial" w:hAnsi="Arial" w:cs="AL-Mohanad" w:hint="cs"/>
          <w:sz w:val="27"/>
          <w:szCs w:val="27"/>
          <w:rtl/>
          <w:lang w:bidi="ar-MA"/>
        </w:rPr>
        <w:t xml:space="preserve">، وقد قال تعالى: </w:t>
      </w:r>
      <w:r w:rsidRPr="006571AC">
        <w:rPr>
          <w:rFonts w:ascii="Mosawi" w:hAnsi="Mosawi" w:cs="Mosawi"/>
          <w:rtl/>
        </w:rPr>
        <w:t>﴿</w:t>
      </w:r>
      <w:r w:rsidRPr="006571AC">
        <w:rPr>
          <w:rFonts w:ascii="Arial" w:hAnsi="Arial" w:cs="AL-Mohanad" w:hint="cs"/>
          <w:b/>
          <w:bCs/>
          <w:sz w:val="27"/>
          <w:szCs w:val="27"/>
          <w:rtl/>
          <w:lang w:bidi="ar-MA"/>
        </w:rPr>
        <w:t>لا</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ي</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ك</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ل</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ف</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الله</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ن</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ف</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سا</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إ</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لا</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م</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ا آت</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اه</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ا 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ي</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ج</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ل</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الله</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ب</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د</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ي</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را</w:t>
      </w:r>
      <w:r w:rsidR="00787F0B" w:rsidRPr="006571AC">
        <w:rPr>
          <w:rFonts w:ascii="Arial" w:hAnsi="Arial" w:cs="AL-Mohanad" w:hint="cs"/>
          <w:b/>
          <w:bCs/>
          <w:sz w:val="27"/>
          <w:szCs w:val="27"/>
          <w:rtl/>
          <w:lang w:bidi="ar-MA"/>
        </w:rPr>
        <w:t>ً</w:t>
      </w:r>
      <w:r w:rsidRPr="006571AC">
        <w:rPr>
          <w:rFonts w:ascii="Mosawi" w:hAnsi="Mosawi" w:cs="Mosawi"/>
          <w:rtl/>
        </w:rPr>
        <w:t>﴾</w:t>
      </w:r>
      <w:r w:rsidRPr="006571AC">
        <w:rPr>
          <w:rFonts w:ascii="Arial" w:hAnsi="Arial" w:cs="AL-Mohanad" w:hint="cs"/>
          <w:sz w:val="27"/>
          <w:szCs w:val="27"/>
          <w:rtl/>
          <w:lang w:bidi="ar-MA"/>
        </w:rPr>
        <w:t xml:space="preserve"> (الطلاق: 7)، وقال مر</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تين في سورة</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واحدة: </w:t>
      </w:r>
      <w:r w:rsidRPr="006571AC">
        <w:rPr>
          <w:rFonts w:ascii="Mosawi" w:hAnsi="Mosawi" w:cs="Mosawi"/>
          <w:rtl/>
        </w:rPr>
        <w:t>﴿</w:t>
      </w:r>
      <w:r w:rsidRPr="006571AC">
        <w:rPr>
          <w:rFonts w:ascii="Arial" w:hAnsi="Arial" w:cs="AL-Mohanad" w:hint="cs"/>
          <w:b/>
          <w:bCs/>
          <w:sz w:val="27"/>
          <w:szCs w:val="27"/>
          <w:rtl/>
          <w:lang w:bidi="ar-MA"/>
        </w:rPr>
        <w:t>ف</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إ</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ن</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م</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ال</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ي</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را</w:t>
      </w:r>
      <w:r w:rsidR="00787F0B" w:rsidRPr="006571AC">
        <w:rPr>
          <w:rFonts w:ascii="Arial" w:hAnsi="Arial" w:cs="AL-Mohanad" w:hint="cs"/>
          <w:b/>
          <w:bCs/>
          <w:sz w:val="27"/>
          <w:szCs w:val="27"/>
          <w:rtl/>
          <w:lang w:bidi="ar-MA"/>
        </w:rPr>
        <w:t>ً *</w:t>
      </w:r>
      <w:r w:rsidRPr="006571AC">
        <w:rPr>
          <w:rFonts w:ascii="Arial" w:hAnsi="Arial" w:cs="AL-Mohanad" w:hint="cs"/>
          <w:b/>
          <w:bCs/>
          <w:sz w:val="27"/>
          <w:szCs w:val="27"/>
          <w:rtl/>
          <w:lang w:bidi="ar-MA"/>
        </w:rPr>
        <w:t xml:space="preserve"> إ</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ن</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م</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ال</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ي</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را</w:t>
      </w:r>
      <w:r w:rsidR="00787F0B" w:rsidRPr="006571AC">
        <w:rPr>
          <w:rFonts w:ascii="Arial" w:hAnsi="Arial" w:cs="AL-Mohanad" w:hint="cs"/>
          <w:b/>
          <w:bCs/>
          <w:sz w:val="27"/>
          <w:szCs w:val="27"/>
          <w:rtl/>
          <w:lang w:bidi="ar-MA"/>
        </w:rPr>
        <w:t>ً</w:t>
      </w:r>
      <w:r w:rsidRPr="006571AC">
        <w:rPr>
          <w:rFonts w:ascii="Mosawi" w:hAnsi="Mosawi" w:cs="Mosawi"/>
          <w:rtl/>
        </w:rPr>
        <w:t>﴾</w:t>
      </w:r>
      <w:r w:rsidRPr="006571AC">
        <w:rPr>
          <w:rFonts w:ascii="Arial" w:hAnsi="Arial" w:cs="AL-Mohanad" w:hint="cs"/>
          <w:sz w:val="27"/>
          <w:szCs w:val="27"/>
          <w:rtl/>
          <w:lang w:bidi="ar-MA"/>
        </w:rPr>
        <w:t xml:space="preserve"> (الانشراح: 5 ـ 6)، حت</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ى اشتهر قولهم</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cs="AL-Mohanad" w:hint="eastAsia"/>
          <w:rtl/>
          <w:lang w:bidi="ar-MA"/>
        </w:rPr>
        <w:t>«</w:t>
      </w:r>
      <w:r w:rsidRPr="006571AC">
        <w:rPr>
          <w:rFonts w:ascii="Arial" w:hAnsi="Arial" w:cs="AL-Mohanad" w:hint="cs"/>
          <w:sz w:val="27"/>
          <w:szCs w:val="27"/>
          <w:rtl/>
          <w:lang w:bidi="ar-MA"/>
        </w:rPr>
        <w:t>لن يغلب ع</w:t>
      </w:r>
      <w:r w:rsidR="00A60400" w:rsidRPr="006571AC">
        <w:rPr>
          <w:rFonts w:ascii="Arial" w:hAnsi="Arial" w:cs="AL-Mohanad" w:hint="cs"/>
          <w:sz w:val="27"/>
          <w:szCs w:val="27"/>
          <w:rtl/>
          <w:lang w:bidi="ar-MA"/>
        </w:rPr>
        <w:t>ُ</w:t>
      </w:r>
      <w:r w:rsidRPr="006571AC">
        <w:rPr>
          <w:rFonts w:ascii="Arial" w:hAnsi="Arial" w:cs="AL-Mohanad" w:hint="cs"/>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hint="cs"/>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ي</w:t>
      </w:r>
      <w:r w:rsidR="00A60400" w:rsidRPr="006571AC">
        <w:rPr>
          <w:rFonts w:ascii="Arial" w:hAnsi="Arial" w:cs="AL-Mohanad" w:hint="cs"/>
          <w:sz w:val="27"/>
          <w:szCs w:val="27"/>
          <w:rtl/>
          <w:lang w:bidi="ar-MA"/>
        </w:rPr>
        <w:t>ُ</w:t>
      </w:r>
      <w:r w:rsidRPr="006571AC">
        <w:rPr>
          <w:rFonts w:ascii="Arial" w:hAnsi="Arial" w:cs="AL-Mohanad" w:hint="cs"/>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hint="cs"/>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ي</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ن</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05"/>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ومنه اقتبس الفقهاء قاعدتهم الفقهية</w:t>
      </w:r>
      <w:r w:rsidR="00326899"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cs="AL-Mohanad" w:hint="eastAsia"/>
          <w:rtl/>
          <w:lang w:bidi="ar-MA"/>
        </w:rPr>
        <w:t>«</w:t>
      </w:r>
      <w:r w:rsidRPr="006571AC">
        <w:rPr>
          <w:rFonts w:ascii="Arial" w:hAnsi="Arial" w:cs="AL-Mohanad" w:hint="cs"/>
          <w:sz w:val="27"/>
          <w:szCs w:val="27"/>
          <w:rtl/>
          <w:lang w:bidi="ar-MA"/>
        </w:rPr>
        <w:t>المشق</w:t>
      </w:r>
      <w:r w:rsidR="00326899" w:rsidRPr="006571AC">
        <w:rPr>
          <w:rFonts w:ascii="Arial" w:hAnsi="Arial" w:cs="AL-Mohanad" w:hint="cs"/>
          <w:sz w:val="27"/>
          <w:szCs w:val="27"/>
          <w:rtl/>
          <w:lang w:bidi="ar-MA"/>
        </w:rPr>
        <w:t>ّ</w:t>
      </w:r>
      <w:r w:rsidRPr="006571AC">
        <w:rPr>
          <w:rFonts w:ascii="Arial" w:hAnsi="Arial" w:cs="AL-Mohanad" w:hint="cs"/>
          <w:sz w:val="27"/>
          <w:szCs w:val="27"/>
          <w:rtl/>
          <w:lang w:bidi="ar-MA"/>
        </w:rPr>
        <w:t>ة تجلب التيسير</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06"/>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أما مراعاة التدر</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ج</w:t>
      </w:r>
      <w:r w:rsidR="00A60400"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r w:rsidR="00A60400" w:rsidRPr="006571AC">
        <w:rPr>
          <w:rFonts w:ascii="Arial" w:hAnsi="Arial" w:cs="AL-Mohanad" w:hint="cs"/>
          <w:sz w:val="27"/>
          <w:szCs w:val="27"/>
          <w:rtl/>
          <w:lang w:bidi="ar-MA"/>
        </w:rPr>
        <w:t>و</w:t>
      </w:r>
      <w:r w:rsidRPr="006571AC">
        <w:rPr>
          <w:rFonts w:ascii="Arial" w:hAnsi="Arial" w:cs="AL-Mohanad"/>
          <w:sz w:val="27"/>
          <w:szCs w:val="27"/>
          <w:rtl/>
          <w:lang w:bidi="ar-MA"/>
        </w:rPr>
        <w:t>خاص</w:t>
      </w:r>
      <w:r w:rsidR="00A60400" w:rsidRPr="006571AC">
        <w:rPr>
          <w:rFonts w:ascii="Arial" w:hAnsi="Arial" w:cs="AL-Mohanad" w:hint="cs"/>
          <w:sz w:val="27"/>
          <w:szCs w:val="27"/>
          <w:rtl/>
          <w:lang w:bidi="ar-MA"/>
        </w:rPr>
        <w:t>ّ</w:t>
      </w:r>
      <w:r w:rsidR="009C5EE0" w:rsidRPr="006571AC">
        <w:rPr>
          <w:rFonts w:ascii="Arial" w:hAnsi="Arial" w:cs="AL-Mohanad" w:hint="cs"/>
          <w:sz w:val="27"/>
          <w:szCs w:val="27"/>
          <w:rtl/>
          <w:lang w:bidi="ar-MA"/>
        </w:rPr>
        <w:t>ةً</w:t>
      </w:r>
      <w:r w:rsidRPr="006571AC">
        <w:rPr>
          <w:rFonts w:ascii="Arial" w:hAnsi="Arial" w:cs="AL-Mohanad"/>
          <w:sz w:val="27"/>
          <w:szCs w:val="27"/>
          <w:rtl/>
          <w:lang w:bidi="ar-MA"/>
        </w:rPr>
        <w:t xml:space="preserve"> مع المسلم الجديد</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حديث العهد بالالتزام</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والمسلم الآفاقي في بلاد الغربة، فهو نوع</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الحكمة في التخفيف وعدم الإعنات في ترتيب الأحكام، ونوع</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تعاطي العلاج على جرعات </w:t>
      </w:r>
      <w:r w:rsidR="00326899" w:rsidRPr="006571AC">
        <w:rPr>
          <w:rFonts w:ascii="Arial" w:hAnsi="Arial" w:cs="AL-Mohanad" w:hint="cs"/>
          <w:sz w:val="27"/>
          <w:szCs w:val="27"/>
          <w:rtl/>
          <w:lang w:bidi="ar-MA"/>
        </w:rPr>
        <w:t>ٍ</w:t>
      </w:r>
      <w:r w:rsidRPr="006571AC">
        <w:rPr>
          <w:rFonts w:ascii="Arial" w:hAnsi="Arial" w:cs="AL-Mohanad"/>
          <w:sz w:val="27"/>
          <w:szCs w:val="27"/>
          <w:rtl/>
          <w:lang w:bidi="ar-MA"/>
        </w:rPr>
        <w:t>محد</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دة لشفاء جسم</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عليل، حتى يناسب الدواء تفاعل الجسم وقدرته على تقب</w:t>
      </w:r>
      <w:r w:rsidR="00326899" w:rsidRPr="006571AC">
        <w:rPr>
          <w:rFonts w:ascii="Arial" w:hAnsi="Arial" w:cs="AL-Mohanad" w:hint="cs"/>
          <w:sz w:val="27"/>
          <w:szCs w:val="27"/>
          <w:rtl/>
          <w:lang w:bidi="ar-MA"/>
        </w:rPr>
        <w:t>ُّ</w:t>
      </w:r>
      <w:r w:rsidRPr="006571AC">
        <w:rPr>
          <w:rFonts w:ascii="Arial" w:hAnsi="Arial" w:cs="AL-Mohanad"/>
          <w:sz w:val="27"/>
          <w:szCs w:val="27"/>
          <w:rtl/>
          <w:lang w:bidi="ar-MA"/>
        </w:rPr>
        <w:t>ل العلاج</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فيتماثل للشفاء، وهو درس</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يستوي فيه </w:t>
      </w:r>
      <w:r w:rsidRPr="006571AC">
        <w:rPr>
          <w:rFonts w:ascii="Arial" w:hAnsi="Arial" w:cs="AL-Mohanad"/>
          <w:sz w:val="27"/>
          <w:szCs w:val="27"/>
          <w:rtl/>
          <w:lang w:bidi="ar-MA"/>
        </w:rPr>
        <w:lastRenderedPageBreak/>
        <w:t>الطبيب والفقيه</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لئلا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يستفحل المشكل</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ويستحيل إلى مرض</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ع</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ض</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ال</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لا ينفع معه التداوي.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والإفتاء بالتخفيف والتدر</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ج يكون للأفراد</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كما يكون للجماعة المسلمة</w:t>
      </w:r>
      <w:r w:rsidR="00326899" w:rsidRPr="006571AC">
        <w:rPr>
          <w:rFonts w:ascii="Arial" w:hAnsi="Arial" w:cs="AL-Mohanad" w:hint="cs"/>
          <w:sz w:val="27"/>
          <w:szCs w:val="27"/>
          <w:rtl/>
          <w:lang w:bidi="ar-MA"/>
        </w:rPr>
        <w:t xml:space="preserve">. </w:t>
      </w:r>
      <w:r w:rsidRPr="006571AC">
        <w:rPr>
          <w:rFonts w:ascii="Arial" w:hAnsi="Arial" w:cs="AL-Mohanad"/>
          <w:sz w:val="27"/>
          <w:szCs w:val="27"/>
          <w:rtl/>
          <w:lang w:bidi="ar-MA"/>
        </w:rPr>
        <w:t>لكن ممارسة هذه العملية في شأن هموم الجماعة والقضايا المشتركة أمر</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ج</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ل</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ل وخ</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ط</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ب</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كبير، فقد يرتقي مفتي الأفراد في تبين الحلول الناجعة</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سواء ناقلا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للفتوى أو مجتهدا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أصالة</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لكنه يكبو لو تعر</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ض للفتوى العامة في المجالات التي تعم</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بها البلوى، فالأصل أن تحال إلى العقل الفقهي الجماعي الذي تستوعبه المجامع الفقهية، فقد كان الصحابة الكرام يلجأون إلى رؤوس المجتهدين لبحث نوازل عصرهم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حين فقد الدليل من الكتاب والسن</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ة</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كما ج</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ر</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ت</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بذلك العادة أي</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ام الخليفتين أبي بكر</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07"/>
      </w:r>
      <w:r w:rsidRPr="006571AC">
        <w:rPr>
          <w:rFonts w:ascii="Arial" w:hAnsi="Arial" w:cs="AL-Mohanad"/>
          <w:sz w:val="27"/>
          <w:szCs w:val="27"/>
          <w:vertAlign w:val="superscript"/>
          <w:rtl/>
          <w:lang w:bidi="ar-MA"/>
        </w:rPr>
        <w:t>)</w:t>
      </w:r>
      <w:r w:rsidRPr="006571AC">
        <w:rPr>
          <w:rFonts w:ascii="Arial" w:hAnsi="Arial" w:cs="AL-Mohanad"/>
          <w:sz w:val="27"/>
          <w:szCs w:val="27"/>
          <w:rtl/>
          <w:lang w:bidi="ar-MA"/>
        </w:rPr>
        <w:t xml:space="preserve"> وعمر</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08"/>
      </w:r>
      <w:r w:rsidRPr="006571AC">
        <w:rPr>
          <w:rFonts w:ascii="Arial" w:hAnsi="Arial" w:cs="AL-Mohanad"/>
          <w:sz w:val="27"/>
          <w:szCs w:val="27"/>
          <w:vertAlign w:val="superscript"/>
          <w:rtl/>
          <w:lang w:bidi="ar-MA"/>
        </w:rPr>
        <w:t>)</w:t>
      </w:r>
      <w:r w:rsidRPr="006571AC">
        <w:rPr>
          <w:rFonts w:ascii="Arial" w:hAnsi="Arial" w:cs="AL-Mohanad"/>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والاجتهاد الجماعي</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جمع</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مكو</w:t>
      </w:r>
      <w:r w:rsidR="00326899" w:rsidRPr="006571AC">
        <w:rPr>
          <w:rFonts w:ascii="Arial" w:hAnsi="Arial" w:cs="AL-Mohanad" w:hint="cs"/>
          <w:sz w:val="27"/>
          <w:szCs w:val="27"/>
          <w:rtl/>
          <w:lang w:bidi="ar-MA"/>
        </w:rPr>
        <w:t>ّ</w:t>
      </w:r>
      <w:r w:rsidRPr="006571AC">
        <w:rPr>
          <w:rFonts w:ascii="Arial" w:hAnsi="Arial" w:cs="AL-Mohanad"/>
          <w:sz w:val="27"/>
          <w:szCs w:val="27"/>
          <w:rtl/>
          <w:lang w:bidi="ar-MA"/>
        </w:rPr>
        <w:t>ن من الخبراء في الفقه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مضافا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إل</w:t>
      </w:r>
      <w:r w:rsidRPr="006571AC">
        <w:rPr>
          <w:rFonts w:ascii="Arial" w:hAnsi="Arial" w:cs="AL-Mohanad" w:hint="cs"/>
          <w:sz w:val="27"/>
          <w:szCs w:val="27"/>
          <w:rtl/>
          <w:lang w:bidi="ar-MA"/>
        </w:rPr>
        <w:t>يهم</w:t>
      </w:r>
      <w:r w:rsidRPr="006571AC">
        <w:rPr>
          <w:rFonts w:ascii="Arial" w:hAnsi="Arial" w:cs="AL-Mohanad"/>
          <w:sz w:val="27"/>
          <w:szCs w:val="27"/>
          <w:rtl/>
          <w:lang w:bidi="ar-MA"/>
        </w:rPr>
        <w:t xml:space="preserve"> ذو</w:t>
      </w:r>
      <w:r w:rsidRPr="006571AC">
        <w:rPr>
          <w:rFonts w:ascii="Arial" w:hAnsi="Arial" w:cs="AL-Mohanad" w:hint="cs"/>
          <w:sz w:val="27"/>
          <w:szCs w:val="27"/>
          <w:rtl/>
          <w:lang w:bidi="ar-MA"/>
        </w:rPr>
        <w:t>و</w:t>
      </w:r>
      <w:r w:rsidRPr="006571AC">
        <w:rPr>
          <w:rFonts w:ascii="Arial" w:hAnsi="Arial" w:cs="AL-Mohanad"/>
          <w:sz w:val="27"/>
          <w:szCs w:val="27"/>
          <w:rtl/>
          <w:lang w:bidi="ar-MA"/>
        </w:rPr>
        <w:t xml:space="preserve"> الباع في التخص</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صات العلمية</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09"/>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مثل</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الطب</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والفلك والاقتصاد والسياسة والاجتماع والقانون وغيرها، لكن</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ليس من باب الاستئناس</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بل على أساس الاستدماج الواجب، مراعاة</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للتطو</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ر والتعق</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د الذي اصطب</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غ</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ت</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به الحياة المعاصرة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خلافا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لبساطة الحياة وسهولتها من قبل، حيث كان العالم الشرعي يلم</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بأصول الحياة التي تمك</w:t>
      </w:r>
      <w:r w:rsidR="00326899" w:rsidRPr="006571AC">
        <w:rPr>
          <w:rFonts w:ascii="Arial" w:hAnsi="Arial" w:cs="AL-Mohanad" w:hint="cs"/>
          <w:sz w:val="27"/>
          <w:szCs w:val="27"/>
          <w:rtl/>
          <w:lang w:bidi="ar-MA"/>
        </w:rPr>
        <w:t>ِّ</w:t>
      </w:r>
      <w:r w:rsidRPr="006571AC">
        <w:rPr>
          <w:rFonts w:ascii="Arial" w:hAnsi="Arial" w:cs="AL-Mohanad"/>
          <w:sz w:val="27"/>
          <w:szCs w:val="27"/>
          <w:rtl/>
          <w:lang w:bidi="ar-MA"/>
        </w:rPr>
        <w:t>نه من الفتوى دون ح</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ر</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ج</w:t>
      </w:r>
      <w:r w:rsidR="00326899"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نظرا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لموسوعيته</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وشيوع المزاوجة بين عد</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ة تخص</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صات</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ولو بع</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د</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ت</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بينها الش</w:t>
      </w:r>
      <w:r w:rsidR="00326899" w:rsidRPr="006571AC">
        <w:rPr>
          <w:rFonts w:ascii="Arial" w:hAnsi="Arial" w:cs="AL-Mohanad" w:hint="cs"/>
          <w:sz w:val="27"/>
          <w:szCs w:val="27"/>
          <w:rtl/>
          <w:lang w:bidi="ar-MA"/>
        </w:rPr>
        <w:t>ُّ</w:t>
      </w:r>
      <w:r w:rsidRPr="006571AC">
        <w:rPr>
          <w:rFonts w:ascii="Arial" w:hAnsi="Arial" w:cs="AL-Mohanad"/>
          <w:sz w:val="27"/>
          <w:szCs w:val="27"/>
          <w:rtl/>
          <w:lang w:bidi="ar-MA"/>
        </w:rPr>
        <w:t>ق</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كالطب</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والفقه أو الرياضيات والتاريخ.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ولا مانع هنا أن يكون هؤلاء الخبراء غير مسلمين ما دامت النزاهة والكفاءة محفوظة الجانب، مع الحرص على ضرورة الإشارة إلى تكوين المتخص</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صين من أبناء الأقل</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يات المسلمة</w:t>
      </w:r>
      <w:r w:rsidR="0042673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ليكونوا روافد هام</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ة لمثل هذه المجامع الفقهية</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بعد إعدادهم في جوانب التنظير والتنزيل في الثقافة والمجتمع.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31"/>
        <w:rPr>
          <w:color w:val="auto"/>
          <w:rtl/>
          <w:lang w:bidi="ar-MA"/>
        </w:rPr>
      </w:pPr>
      <w:bookmarkStart w:id="382" w:name="_Toc114164795"/>
      <w:r w:rsidRPr="006571AC">
        <w:rPr>
          <w:rFonts w:hint="cs"/>
          <w:color w:val="auto"/>
          <w:rtl/>
          <w:lang w:bidi="ar-MA"/>
        </w:rPr>
        <w:t>فقه الأولوي</w:t>
      </w:r>
      <w:r w:rsidR="00912DE5" w:rsidRPr="006571AC">
        <w:rPr>
          <w:rFonts w:hint="cs"/>
          <w:color w:val="auto"/>
          <w:rtl/>
          <w:lang w:bidi="ar-MA"/>
        </w:rPr>
        <w:t>ّ</w:t>
      </w:r>
      <w:r w:rsidRPr="006571AC">
        <w:rPr>
          <w:rFonts w:hint="cs"/>
          <w:color w:val="auto"/>
          <w:rtl/>
          <w:lang w:bidi="ar-MA"/>
        </w:rPr>
        <w:t>ات وتفريد القضايا</w:t>
      </w:r>
      <w:bookmarkEnd w:id="382"/>
      <w:r w:rsidRPr="006571AC">
        <w:rPr>
          <w:rFonts w:hint="cs"/>
          <w:color w:val="auto"/>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ومن فقه التخفيف والتدر</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ج ينبع فقه</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آخر</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يراعي الأولويات</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10"/>
      </w:r>
      <w:r w:rsidRPr="006571AC">
        <w:rPr>
          <w:rFonts w:ascii="Arial" w:hAnsi="Arial" w:cs="AL-Mohanad"/>
          <w:sz w:val="27"/>
          <w:szCs w:val="27"/>
          <w:vertAlign w:val="superscript"/>
          <w:rtl/>
          <w:lang w:bidi="ar-MA"/>
        </w:rPr>
        <w:t>)</w:t>
      </w:r>
      <w:r w:rsidRPr="006571AC">
        <w:rPr>
          <w:rFonts w:ascii="Arial" w:hAnsi="Arial" w:cs="AL-Mohanad"/>
          <w:sz w:val="27"/>
          <w:szCs w:val="27"/>
          <w:rtl/>
          <w:lang w:bidi="ar-MA"/>
        </w:rPr>
        <w:t xml:space="preserve"> وفقا</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للإمكانات الداخلية والظروف الخارجية</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لأن ترتيب الأمور وإخضاعها لتسلسل</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منطقي</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يفيد في ح</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س</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ن ج</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ن</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ي ثمارها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وإلى تقدير الأشياء بح</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س</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ب مكانتها وحجمها الحقيقي، فيقد</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م ما </w:t>
      </w:r>
      <w:r w:rsidRPr="006571AC">
        <w:rPr>
          <w:rFonts w:ascii="Arial" w:hAnsi="Arial" w:cs="AL-Mohanad"/>
          <w:sz w:val="27"/>
          <w:szCs w:val="27"/>
          <w:rtl/>
          <w:lang w:bidi="ar-MA"/>
        </w:rPr>
        <w:lastRenderedPageBreak/>
        <w:t>حق</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ه التقديم</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ويؤخ</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ر ما حق</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ه التأخير</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وهكذا</w:t>
      </w:r>
      <w:r w:rsidR="00426732" w:rsidRPr="006571AC">
        <w:rPr>
          <w:rFonts w:ascii="Arial" w:hAnsi="Arial" w:cs="AL-Mohanad" w:hint="cs"/>
          <w:sz w:val="27"/>
          <w:szCs w:val="27"/>
          <w:rtl/>
          <w:lang w:bidi="ar-MA"/>
        </w:rPr>
        <w:t>.</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وفي سالف الأزمان من تاريخ الإسلام كان أمر الدعوة سابقا</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الدولة</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لأجل بناء الأجيال وتربية الأتباع على العلم والصبر، وتم</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إنزال مقتضيات العقيدة قبل الشريعة</w:t>
      </w:r>
      <w:r w:rsidR="00426732" w:rsidRPr="006571AC">
        <w:rPr>
          <w:rFonts w:ascii="Arial" w:hAnsi="Arial" w:cs="AL-Mohanad" w:hint="cs"/>
          <w:sz w:val="27"/>
          <w:szCs w:val="27"/>
          <w:rtl/>
          <w:lang w:bidi="ar-MA"/>
        </w:rPr>
        <w:t xml:space="preserve">؛ </w:t>
      </w:r>
      <w:r w:rsidRPr="006571AC">
        <w:rPr>
          <w:rFonts w:ascii="Arial" w:hAnsi="Arial" w:cs="AL-Mohanad"/>
          <w:sz w:val="27"/>
          <w:szCs w:val="27"/>
          <w:rtl/>
          <w:lang w:bidi="ar-MA"/>
        </w:rPr>
        <w:t>ليستحكم التوحيد على العقول والقلوب</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فتكون مؤه</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لة</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لتحم</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ل بقية التكاليف.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وأولوي</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ات الأقل</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يات أولويات تمكين</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واندماج</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لأن العصر المك</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ي كان زمن تمكين للمسلمين الأ</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و</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ل</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وهم أقل</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ية</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عددية في أحضان قريش، فبدون تمكين</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للمجموعة المسلمة يستحيل أن نخطو بها إلى مراحل متقد</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مة.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وفي دراسة الأولويات يسبق بناء الرجال والنساء والشباب بناء المؤس</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سات</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وفي المؤس</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سات تبدو التي تعنى بالتربية والتعليم أ</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و</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لى رتبة</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التي تختص</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الاقتصاد مثلا</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وفي تدبير الاختلاف يتم</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الحرص على المت</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فق عليه</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ويترك المختلف فيه إلى أجله</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وتعطى الأهم</w:t>
      </w:r>
      <w:r w:rsidR="004C043D" w:rsidRPr="006571AC">
        <w:rPr>
          <w:rFonts w:ascii="Arial" w:hAnsi="Arial" w:cs="AL-Mohanad" w:hint="cs"/>
          <w:sz w:val="27"/>
          <w:szCs w:val="27"/>
          <w:rtl/>
          <w:lang w:bidi="ar-MA"/>
        </w:rPr>
        <w:t>ِّ</w:t>
      </w:r>
      <w:r w:rsidRPr="006571AC">
        <w:rPr>
          <w:rFonts w:ascii="Arial" w:hAnsi="Arial" w:cs="AL-Mohanad"/>
          <w:sz w:val="27"/>
          <w:szCs w:val="27"/>
          <w:rtl/>
          <w:lang w:bidi="ar-MA"/>
        </w:rPr>
        <w:t>ية القصوى للأصول قبل الفروع</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وترج</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ح مصالح الجماعة والأم</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ة على مصالح الأفراد.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وداخل الجماعة تفرز أولويات الشباب الصاعد عن أولويات الطاعنين في السن</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وتقد</w:t>
      </w:r>
      <w:r w:rsidR="004C043D" w:rsidRPr="006571AC">
        <w:rPr>
          <w:rFonts w:ascii="Arial" w:hAnsi="Arial" w:cs="AL-Mohanad" w:hint="cs"/>
          <w:sz w:val="27"/>
          <w:szCs w:val="27"/>
          <w:rtl/>
          <w:lang w:bidi="ar-MA"/>
        </w:rPr>
        <w:t>َّ</w:t>
      </w:r>
      <w:r w:rsidRPr="006571AC">
        <w:rPr>
          <w:rFonts w:ascii="Arial" w:hAnsi="Arial" w:cs="AL-Mohanad"/>
          <w:sz w:val="27"/>
          <w:szCs w:val="27"/>
          <w:rtl/>
          <w:lang w:bidi="ar-MA"/>
        </w:rPr>
        <w:t>م أولويات التمكين للنساء على حساب الرجال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ومن داخل القارة الأور</w:t>
      </w:r>
      <w:r w:rsidR="004C043D" w:rsidRPr="006571AC">
        <w:rPr>
          <w:rFonts w:ascii="Arial" w:hAnsi="Arial" w:cs="AL-Mohanad" w:hint="cs"/>
          <w:sz w:val="27"/>
          <w:szCs w:val="27"/>
          <w:rtl/>
          <w:lang w:bidi="ar-MA"/>
        </w:rPr>
        <w:t>و</w:t>
      </w:r>
      <w:r w:rsidRPr="006571AC">
        <w:rPr>
          <w:rFonts w:ascii="Arial" w:hAnsi="Arial" w:cs="AL-Mohanad"/>
          <w:sz w:val="27"/>
          <w:szCs w:val="27"/>
          <w:rtl/>
          <w:lang w:bidi="ar-MA"/>
        </w:rPr>
        <w:t>بية مثلا</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تختلف الأولويات بين دولة</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وأخرى</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بح</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س</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ب مدى سرعة الاندماج في هذا البلد أو ذاك، وبالقياس مع الظروف الملائمة التي توف</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رها هذه البلدان في الرخاء الاقتصادي</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وفي ثقافة حقوق الإنسان وغيرها</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وداخل الدولة الواحدة تختلف الأ</w:t>
      </w:r>
      <w:r w:rsidRPr="006571AC">
        <w:rPr>
          <w:rFonts w:ascii="Arial" w:hAnsi="Arial" w:cs="AL-Mohanad" w:hint="cs"/>
          <w:sz w:val="27"/>
          <w:szCs w:val="27"/>
          <w:rtl/>
          <w:lang w:bidi="ar-MA"/>
        </w:rPr>
        <w:t>ولوي</w:t>
      </w:r>
      <w:r w:rsidR="004C043D" w:rsidRPr="006571AC">
        <w:rPr>
          <w:rFonts w:ascii="Arial" w:hAnsi="Arial" w:cs="AL-Mohanad" w:hint="cs"/>
          <w:sz w:val="27"/>
          <w:szCs w:val="27"/>
          <w:rtl/>
          <w:lang w:bidi="ar-MA"/>
        </w:rPr>
        <w:t>ّ</w:t>
      </w:r>
      <w:r w:rsidRPr="006571AC">
        <w:rPr>
          <w:rFonts w:ascii="Arial" w:hAnsi="Arial" w:cs="AL-Mohanad" w:hint="cs"/>
          <w:sz w:val="27"/>
          <w:szCs w:val="27"/>
          <w:rtl/>
          <w:lang w:bidi="ar-MA"/>
        </w:rPr>
        <w:t>ات</w:t>
      </w:r>
      <w:r w:rsidRPr="006571AC">
        <w:rPr>
          <w:rFonts w:ascii="Arial" w:hAnsi="Arial" w:cs="AL-Mohanad"/>
          <w:sz w:val="27"/>
          <w:szCs w:val="27"/>
          <w:rtl/>
          <w:lang w:bidi="ar-MA"/>
        </w:rPr>
        <w:t xml:space="preserve"> بالنظر إلى الجو</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العام</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السياسي والاقتصادي</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الذي يمليه توج</w:t>
      </w:r>
      <w:r w:rsidR="004C043D" w:rsidRPr="006571AC">
        <w:rPr>
          <w:rFonts w:ascii="Arial" w:hAnsi="Arial" w:cs="AL-Mohanad" w:hint="cs"/>
          <w:sz w:val="27"/>
          <w:szCs w:val="27"/>
          <w:rtl/>
          <w:lang w:bidi="ar-MA"/>
        </w:rPr>
        <w:t>ُّ</w:t>
      </w:r>
      <w:r w:rsidRPr="006571AC">
        <w:rPr>
          <w:rFonts w:ascii="Arial" w:hAnsi="Arial" w:cs="AL-Mohanad"/>
          <w:sz w:val="27"/>
          <w:szCs w:val="27"/>
          <w:rtl/>
          <w:lang w:bidi="ar-MA"/>
        </w:rPr>
        <w:t>ه الحزب الحاكم أو الحكومة المنتخبة</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وهو مجال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لاختبار سلامة هذا الفقه وعافيته</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11"/>
      </w:r>
      <w:r w:rsidRPr="006571AC">
        <w:rPr>
          <w:rFonts w:ascii="Arial" w:hAnsi="Arial" w:cs="AL-Mohanad"/>
          <w:sz w:val="27"/>
          <w:szCs w:val="27"/>
          <w:vertAlign w:val="superscript"/>
          <w:rtl/>
          <w:lang w:bidi="ar-MA"/>
        </w:rPr>
        <w:t>)</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ورغم </w:t>
      </w:r>
      <w:r w:rsidRPr="006571AC">
        <w:rPr>
          <w:rFonts w:ascii="Arial" w:hAnsi="Arial" w:cs="AL-Mohanad" w:hint="cs"/>
          <w:sz w:val="27"/>
          <w:szCs w:val="27"/>
          <w:rtl/>
          <w:lang w:bidi="ar-MA"/>
        </w:rPr>
        <w:t>أ</w:t>
      </w:r>
      <w:r w:rsidRPr="006571AC">
        <w:rPr>
          <w:rFonts w:ascii="Arial" w:hAnsi="Arial" w:cs="AL-Mohanad"/>
          <w:sz w:val="27"/>
          <w:szCs w:val="27"/>
          <w:rtl/>
          <w:lang w:bidi="ar-MA"/>
        </w:rPr>
        <w:t>نه صعب المنال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ولكنه محمود الغب</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بتعبير شيخ المقاصد</w:t>
      </w:r>
      <w:r w:rsidRPr="006571AC">
        <w:rPr>
          <w:rFonts w:ascii="Arial" w:hAnsi="Arial" w:cs="AL-Mohanad" w:hint="cs"/>
          <w:sz w:val="27"/>
          <w:szCs w:val="27"/>
          <w:rtl/>
          <w:lang w:bidi="ar-MA"/>
        </w:rPr>
        <w:t xml:space="preserve"> الشاطبي</w:t>
      </w:r>
      <w:r w:rsidRPr="006571AC">
        <w:rPr>
          <w:rFonts w:ascii="Arial" w:hAnsi="Arial" w:cs="AL-Mohanad"/>
          <w:sz w:val="27"/>
          <w:szCs w:val="27"/>
          <w:rtl/>
          <w:lang w:bidi="ar-MA"/>
        </w:rPr>
        <w:t xml:space="preserve">.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31"/>
        <w:rPr>
          <w:color w:val="auto"/>
          <w:rtl/>
          <w:lang w:bidi="ar-MA"/>
        </w:rPr>
      </w:pPr>
      <w:bookmarkStart w:id="383" w:name="_Toc114164796"/>
      <w:r w:rsidRPr="006571AC">
        <w:rPr>
          <w:rFonts w:hint="cs"/>
          <w:color w:val="auto"/>
          <w:rtl/>
          <w:lang w:bidi="ar-MA"/>
        </w:rPr>
        <w:t>السؤال الفقهي</w:t>
      </w:r>
      <w:r w:rsidR="00912DE5" w:rsidRPr="006571AC">
        <w:rPr>
          <w:rFonts w:hint="cs"/>
          <w:color w:val="auto"/>
          <w:rtl/>
          <w:lang w:bidi="ar-MA"/>
        </w:rPr>
        <w:t>ّ</w:t>
      </w:r>
      <w:r w:rsidRPr="006571AC">
        <w:rPr>
          <w:rFonts w:hint="cs"/>
          <w:color w:val="auto"/>
          <w:rtl/>
          <w:lang w:bidi="ar-MA"/>
        </w:rPr>
        <w:t xml:space="preserve"> كإشكالي</w:t>
      </w:r>
      <w:r w:rsidR="00912DE5" w:rsidRPr="006571AC">
        <w:rPr>
          <w:rFonts w:hint="cs"/>
          <w:color w:val="auto"/>
          <w:rtl/>
          <w:lang w:bidi="ar-MA"/>
        </w:rPr>
        <w:t>ّ</w:t>
      </w:r>
      <w:r w:rsidRPr="006571AC">
        <w:rPr>
          <w:rFonts w:hint="cs"/>
          <w:color w:val="auto"/>
          <w:rtl/>
          <w:lang w:bidi="ar-MA"/>
        </w:rPr>
        <w:t>ة للبحث</w:t>
      </w:r>
      <w:bookmarkEnd w:id="383"/>
      <w:r w:rsidRPr="006571AC">
        <w:rPr>
          <w:rFonts w:hint="cs"/>
          <w:color w:val="auto"/>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وعودة إلى قضية الإفتاء وحساسيته المفرطة، إذا ثار سؤال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له صلة</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بفقه الأقل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يات على لسان فرد</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أو جماعة</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فإن المفتي المعاصر يحتاج إلى تجاوز الموقف البسيط الذي يحصر الأمر بين سائل</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ومجيب</w:t>
      </w:r>
      <w:r w:rsidR="009C5EE0"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كما اشتهر عند النوازليين في مدو</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ناتهم وتجاربهم: </w:t>
      </w:r>
      <w:r w:rsidRPr="006571AC">
        <w:rPr>
          <w:rFonts w:cs="AL-Mohanad" w:hint="eastAsia"/>
          <w:rtl/>
          <w:lang w:bidi="ar-MA"/>
        </w:rPr>
        <w:lastRenderedPageBreak/>
        <w:t>«</w:t>
      </w:r>
      <w:r w:rsidRPr="006571AC">
        <w:rPr>
          <w:rFonts w:ascii="Arial" w:hAnsi="Arial" w:cs="AL-Mohanad"/>
          <w:sz w:val="27"/>
          <w:szCs w:val="27"/>
          <w:rtl/>
          <w:lang w:bidi="ar-MA"/>
        </w:rPr>
        <w:t>س</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ئل فأفتى</w:t>
      </w:r>
      <w:r w:rsidRPr="006571AC">
        <w:rPr>
          <w:rFonts w:cs="AL-Mohanad" w:hint="eastAsia"/>
          <w:rtl/>
        </w:rPr>
        <w:t>»</w:t>
      </w:r>
      <w:r w:rsidRPr="006571AC">
        <w:rPr>
          <w:rFonts w:ascii="Arial" w:hAnsi="Arial" w:cs="AL-Mohanad"/>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بل المطلوب تبن</w:t>
      </w:r>
      <w:r w:rsidR="004C043D" w:rsidRPr="006571AC">
        <w:rPr>
          <w:rFonts w:ascii="Arial" w:hAnsi="Arial" w:cs="AL-Mohanad" w:hint="cs"/>
          <w:sz w:val="27"/>
          <w:szCs w:val="27"/>
          <w:rtl/>
          <w:lang w:bidi="ar-MA"/>
        </w:rPr>
        <w:t>ّ</w:t>
      </w:r>
      <w:r w:rsidRPr="006571AC">
        <w:rPr>
          <w:rFonts w:ascii="Arial" w:hAnsi="Arial" w:cs="AL-Mohanad"/>
          <w:sz w:val="27"/>
          <w:szCs w:val="27"/>
          <w:rtl/>
          <w:lang w:bidi="ar-MA"/>
        </w:rPr>
        <w:t>ي موقف</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علمي يبحث في خلفية السؤال والسائل معا</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والعوامل الاجتماعية التي ول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دت السؤال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وأبرزت الإشكال، وهل هو سؤال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مقبول بصيغته المثارة أم يتعين رفضه بهذه الصيغة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وإعادة تركيبه في صورة إشكال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فقهي</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12"/>
      </w:r>
      <w:r w:rsidRPr="006571AC">
        <w:rPr>
          <w:rFonts w:ascii="Arial" w:hAnsi="Arial" w:cs="AL-Mohanad"/>
          <w:sz w:val="27"/>
          <w:szCs w:val="27"/>
          <w:vertAlign w:val="superscript"/>
          <w:rtl/>
          <w:lang w:bidi="ar-MA"/>
        </w:rPr>
        <w:t>)</w:t>
      </w:r>
      <w:r w:rsidRPr="006571AC">
        <w:rPr>
          <w:rFonts w:ascii="Arial" w:hAnsi="Arial" w:cs="AL-Mohanad"/>
          <w:sz w:val="27"/>
          <w:szCs w:val="27"/>
          <w:rtl/>
          <w:lang w:bidi="ar-MA"/>
        </w:rPr>
        <w:t>، ثم معالجته في ضوء رؤية</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شاملة ومنهج</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علمي</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يستصحب المبادئ الاجتهادية الضابطة لحركة النصوص</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والنواميس الاجتماعية المؤط</w:t>
      </w:r>
      <w:r w:rsidR="00D02270" w:rsidRPr="006571AC">
        <w:rPr>
          <w:rFonts w:ascii="Arial" w:hAnsi="Arial" w:cs="AL-Mohanad" w:hint="cs"/>
          <w:sz w:val="27"/>
          <w:szCs w:val="27"/>
          <w:rtl/>
          <w:lang w:bidi="ar-MA"/>
        </w:rPr>
        <w:t>ّ</w:t>
      </w:r>
      <w:r w:rsidRPr="006571AC">
        <w:rPr>
          <w:rFonts w:ascii="Arial" w:hAnsi="Arial" w:cs="AL-Mohanad"/>
          <w:sz w:val="27"/>
          <w:szCs w:val="27"/>
          <w:rtl/>
          <w:lang w:bidi="ar-MA"/>
        </w:rPr>
        <w:t>رة لتفاعل المجتمعات</w:t>
      </w:r>
      <w:r w:rsidR="00D02270"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p>
    <w:p w:rsidR="001B0AB2" w:rsidRPr="006571AC" w:rsidRDefault="001B0AB2" w:rsidP="002A2E03">
      <w:pPr>
        <w:pStyle w:val="af"/>
        <w:rPr>
          <w:rFonts w:ascii="Arial" w:hAnsi="Arial" w:cs="AL-Mohanad"/>
          <w:sz w:val="27"/>
          <w:szCs w:val="27"/>
          <w:lang w:bidi="ar-MA"/>
        </w:rPr>
      </w:pPr>
      <w:r w:rsidRPr="006571AC">
        <w:rPr>
          <w:rFonts w:ascii="Arial" w:hAnsi="Arial" w:cs="AL-Mohanad"/>
          <w:sz w:val="27"/>
          <w:szCs w:val="27"/>
          <w:rtl/>
          <w:lang w:bidi="ar-MA"/>
        </w:rPr>
        <w:t>فالسؤال الفقهي يوضع ضمن أسئلة</w:t>
      </w:r>
      <w:r w:rsidR="00D02270" w:rsidRPr="006571AC">
        <w:rPr>
          <w:rFonts w:ascii="Arial" w:hAnsi="Arial" w:cs="AL-Mohanad" w:hint="cs"/>
          <w:sz w:val="27"/>
          <w:szCs w:val="27"/>
          <w:rtl/>
          <w:lang w:bidi="ar-MA"/>
        </w:rPr>
        <w:t>ٍ</w:t>
      </w:r>
      <w:r w:rsidRPr="006571AC">
        <w:rPr>
          <w:rFonts w:ascii="Arial" w:hAnsi="Arial" w:cs="AL-Mohanad"/>
          <w:sz w:val="27"/>
          <w:szCs w:val="27"/>
          <w:rtl/>
          <w:lang w:bidi="ar-MA"/>
        </w:rPr>
        <w:t xml:space="preserve"> كبرى تتعل</w:t>
      </w:r>
      <w:r w:rsidR="00D02270" w:rsidRPr="006571AC">
        <w:rPr>
          <w:rFonts w:ascii="Arial" w:hAnsi="Arial" w:cs="AL-Mohanad" w:hint="cs"/>
          <w:sz w:val="27"/>
          <w:szCs w:val="27"/>
          <w:rtl/>
          <w:lang w:bidi="ar-MA"/>
        </w:rPr>
        <w:t>َّ</w:t>
      </w:r>
      <w:r w:rsidRPr="006571AC">
        <w:rPr>
          <w:rFonts w:ascii="Arial" w:hAnsi="Arial" w:cs="AL-Mohanad"/>
          <w:sz w:val="27"/>
          <w:szCs w:val="27"/>
          <w:rtl/>
          <w:lang w:bidi="ar-MA"/>
        </w:rPr>
        <w:t>ق بالوجود الإسلامي بالغرب، حتى تستجلي مختلف النواحي السياسية والاقتصادية والتربوية والفكرية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والاجتماعية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التي تحيط به</w:t>
      </w:r>
      <w:r w:rsidR="00D02270" w:rsidRPr="006571AC">
        <w:rPr>
          <w:rFonts w:ascii="Arial" w:hAnsi="Arial" w:cs="AL-Mohanad" w:hint="cs"/>
          <w:sz w:val="27"/>
          <w:szCs w:val="27"/>
          <w:rtl/>
          <w:lang w:bidi="ar-MA"/>
        </w:rPr>
        <w:t xml:space="preserve">؛ </w:t>
      </w:r>
      <w:r w:rsidRPr="006571AC">
        <w:rPr>
          <w:rFonts w:ascii="Arial" w:hAnsi="Arial" w:cs="AL-Mohanad"/>
          <w:sz w:val="27"/>
          <w:szCs w:val="27"/>
          <w:rtl/>
          <w:lang w:bidi="ar-MA"/>
        </w:rPr>
        <w:t>حت</w:t>
      </w:r>
      <w:r w:rsidR="00D02270" w:rsidRPr="006571AC">
        <w:rPr>
          <w:rFonts w:ascii="Arial" w:hAnsi="Arial" w:cs="AL-Mohanad" w:hint="cs"/>
          <w:sz w:val="27"/>
          <w:szCs w:val="27"/>
          <w:rtl/>
          <w:lang w:bidi="ar-MA"/>
        </w:rPr>
        <w:t>ّ</w:t>
      </w:r>
      <w:r w:rsidRPr="006571AC">
        <w:rPr>
          <w:rFonts w:ascii="Arial" w:hAnsi="Arial" w:cs="AL-Mohanad"/>
          <w:sz w:val="27"/>
          <w:szCs w:val="27"/>
          <w:rtl/>
          <w:lang w:bidi="ar-MA"/>
        </w:rPr>
        <w:t>ى تكون المعرفة مطابقة</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للواقع.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وغاية استفراغ الجهد في هذه الممارسة العلمية أن يحسن المفتي تنقيح المناط في المسألة المثارة</w:t>
      </w:r>
      <w:r w:rsidR="00912DE5" w:rsidRPr="006571AC">
        <w:rPr>
          <w:rFonts w:ascii="Arial" w:hAnsi="Arial" w:cs="AL-Mohanad" w:hint="cs"/>
          <w:sz w:val="27"/>
          <w:szCs w:val="27"/>
          <w:rtl/>
          <w:lang w:bidi="ar-MA"/>
        </w:rPr>
        <w:t>؛</w:t>
      </w:r>
      <w:r w:rsidRPr="006571AC">
        <w:rPr>
          <w:rFonts w:ascii="Arial" w:hAnsi="Arial" w:cs="AL-Mohanad"/>
          <w:sz w:val="27"/>
          <w:szCs w:val="27"/>
          <w:rtl/>
          <w:lang w:bidi="ar-MA"/>
        </w:rPr>
        <w:t xml:space="preserve"> لإصابة الحق</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الخلق</w:t>
      </w:r>
      <w:r w:rsidR="00104E6D" w:rsidRPr="006571AC">
        <w:rPr>
          <w:rFonts w:ascii="Arial" w:hAnsi="Arial" w:cs="AL-Mohanad" w:hint="cs"/>
          <w:sz w:val="27"/>
          <w:szCs w:val="27"/>
          <w:rtl/>
        </w:rPr>
        <w:t>،</w:t>
      </w:r>
      <w:r w:rsidRPr="006571AC">
        <w:rPr>
          <w:rFonts w:ascii="Arial" w:hAnsi="Arial" w:cs="AL-Mohanad"/>
          <w:sz w:val="27"/>
          <w:szCs w:val="27"/>
          <w:rtl/>
          <w:lang w:bidi="ar-MA"/>
        </w:rPr>
        <w:t xml:space="preserve"> وتنزيل الرحمة والهداية على أفعال المكل</w:t>
      </w:r>
      <w:r w:rsidR="00104E6D" w:rsidRPr="006571AC">
        <w:rPr>
          <w:rFonts w:ascii="Arial" w:hAnsi="Arial" w:cs="AL-Mohanad" w:hint="cs"/>
          <w:sz w:val="27"/>
          <w:szCs w:val="27"/>
          <w:rtl/>
          <w:lang w:bidi="ar-MA"/>
        </w:rPr>
        <w:t>َّ</w:t>
      </w:r>
      <w:r w:rsidRPr="006571AC">
        <w:rPr>
          <w:rFonts w:ascii="Arial" w:hAnsi="Arial" w:cs="AL-Mohanad"/>
          <w:sz w:val="27"/>
          <w:szCs w:val="27"/>
          <w:rtl/>
          <w:lang w:bidi="ar-MA"/>
        </w:rPr>
        <w:t>فين أينما حل</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وا وارتحلوا.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وبناء</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هذه التوضيحات المتعل</w:t>
      </w:r>
      <w:r w:rsidR="00104E6D" w:rsidRPr="006571AC">
        <w:rPr>
          <w:rFonts w:ascii="Arial" w:hAnsi="Arial" w:cs="AL-Mohanad" w:hint="cs"/>
          <w:sz w:val="27"/>
          <w:szCs w:val="27"/>
          <w:rtl/>
          <w:lang w:bidi="ar-MA"/>
        </w:rPr>
        <w:t>ِّ</w:t>
      </w:r>
      <w:r w:rsidRPr="006571AC">
        <w:rPr>
          <w:rFonts w:ascii="Arial" w:hAnsi="Arial" w:cs="AL-Mohanad"/>
          <w:sz w:val="27"/>
          <w:szCs w:val="27"/>
          <w:rtl/>
          <w:lang w:bidi="ar-MA"/>
        </w:rPr>
        <w:t>قة بالمنهج وبتحقيق المناط وبحجم الأسئلة المثارة نستطيع بناء فقه</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نوعي في قضايا الأقل</w:t>
      </w:r>
      <w:r w:rsidR="00104E6D" w:rsidRPr="006571AC">
        <w:rPr>
          <w:rFonts w:ascii="Arial" w:hAnsi="Arial" w:cs="AL-Mohanad" w:hint="cs"/>
          <w:sz w:val="27"/>
          <w:szCs w:val="27"/>
          <w:rtl/>
          <w:lang w:bidi="ar-MA"/>
        </w:rPr>
        <w:t>ِّ</w:t>
      </w:r>
      <w:r w:rsidRPr="006571AC">
        <w:rPr>
          <w:rFonts w:ascii="Arial" w:hAnsi="Arial" w:cs="AL-Mohanad"/>
          <w:sz w:val="27"/>
          <w:szCs w:val="27"/>
          <w:rtl/>
          <w:lang w:bidi="ar-MA"/>
        </w:rPr>
        <w:t>يات</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يستروح</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من كل</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يات الشريعة وأصول الفقه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ويتفاعل مع قواعد البناء الاجتماعي بشت</w:t>
      </w:r>
      <w:r w:rsidR="00104E6D" w:rsidRPr="006571AC">
        <w:rPr>
          <w:rFonts w:ascii="Arial" w:hAnsi="Arial" w:cs="AL-Mohanad" w:hint="cs"/>
          <w:sz w:val="27"/>
          <w:szCs w:val="27"/>
          <w:rtl/>
          <w:lang w:bidi="ar-MA"/>
        </w:rPr>
        <w:t>ّ</w:t>
      </w:r>
      <w:r w:rsidRPr="006571AC">
        <w:rPr>
          <w:rFonts w:ascii="Arial" w:hAnsi="Arial" w:cs="AL-Mohanad"/>
          <w:sz w:val="27"/>
          <w:szCs w:val="27"/>
          <w:rtl/>
          <w:lang w:bidi="ar-MA"/>
        </w:rPr>
        <w:t>ى مداخيله، مراعيا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توازن المفاعيل بين النص</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والواقع في ترميم أحكام المغتربين في الآفاق. </w:t>
      </w:r>
    </w:p>
    <w:p w:rsidR="001B0AB2" w:rsidRPr="006571AC" w:rsidRDefault="001B0AB2" w:rsidP="002A2E03">
      <w:pPr>
        <w:pStyle w:val="af"/>
        <w:rPr>
          <w:rFonts w:ascii="Arial" w:hAnsi="Arial" w:cs="AL-Mohanad"/>
          <w:sz w:val="27"/>
          <w:szCs w:val="27"/>
          <w:rtl/>
          <w:lang w:bidi="ar-EG"/>
        </w:rPr>
      </w:pPr>
      <w:r w:rsidRPr="006571AC">
        <w:rPr>
          <w:rFonts w:ascii="Arial" w:hAnsi="Arial" w:cs="AL-Mohanad"/>
          <w:sz w:val="27"/>
          <w:szCs w:val="27"/>
          <w:rtl/>
          <w:lang w:bidi="ar-MA"/>
        </w:rPr>
        <w:t>وخصوصية الفتوى في الغرب ناجمة</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أيضا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عن تعق</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د القضايا التي تنزل بالمسلمين جيلا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بعد جيل</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فالقضايا التي انشغل بها الجيل الأو</w:t>
      </w:r>
      <w:r w:rsidR="00104E6D" w:rsidRPr="006571AC">
        <w:rPr>
          <w:rFonts w:ascii="Arial" w:hAnsi="Arial" w:cs="AL-Mohanad" w:hint="cs"/>
          <w:sz w:val="27"/>
          <w:szCs w:val="27"/>
          <w:rtl/>
          <w:lang w:bidi="ar-MA"/>
        </w:rPr>
        <w:t>ّ</w:t>
      </w:r>
      <w:r w:rsidRPr="006571AC">
        <w:rPr>
          <w:rFonts w:ascii="Arial" w:hAnsi="Arial" w:cs="AL-Mohanad"/>
          <w:sz w:val="27"/>
          <w:szCs w:val="27"/>
          <w:rtl/>
          <w:lang w:bidi="ar-MA"/>
        </w:rPr>
        <w:t>ل المهاجر إلى الغرب</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لم تع</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د</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هي نفسها كم</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وكيفا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بالنسبة </w:t>
      </w:r>
      <w:r w:rsidR="00104E6D" w:rsidRPr="006571AC">
        <w:rPr>
          <w:rFonts w:ascii="Arial" w:hAnsi="Arial" w:cs="AL-Mohanad" w:hint="cs"/>
          <w:sz w:val="27"/>
          <w:szCs w:val="27"/>
          <w:rtl/>
          <w:lang w:bidi="ar-MA"/>
        </w:rPr>
        <w:t>إلى ا</w:t>
      </w:r>
      <w:r w:rsidRPr="006571AC">
        <w:rPr>
          <w:rFonts w:ascii="Arial" w:hAnsi="Arial" w:cs="AL-Mohanad"/>
          <w:sz w:val="27"/>
          <w:szCs w:val="27"/>
          <w:rtl/>
          <w:lang w:bidi="ar-MA"/>
        </w:rPr>
        <w:t>لجيل</w:t>
      </w:r>
      <w:r w:rsidR="009C5EE0" w:rsidRPr="006571AC">
        <w:rPr>
          <w:rFonts w:ascii="Arial" w:hAnsi="Arial" w:cs="AL-Mohanad" w:hint="cs"/>
          <w:sz w:val="27"/>
          <w:szCs w:val="27"/>
          <w:rtl/>
          <w:lang w:bidi="ar-MA"/>
        </w:rPr>
        <w:t>ين</w:t>
      </w:r>
      <w:r w:rsidRPr="006571AC">
        <w:rPr>
          <w:rFonts w:ascii="Arial" w:hAnsi="Arial" w:cs="AL-Mohanad"/>
          <w:sz w:val="27"/>
          <w:szCs w:val="27"/>
          <w:rtl/>
          <w:lang w:bidi="ar-MA"/>
        </w:rPr>
        <w:t xml:space="preserve"> الثاني والثالث</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حيث صار لها هموم وأسئلة وإشكالات مضافة</w:t>
      </w:r>
      <w:r w:rsidR="00104E6D" w:rsidRPr="006571AC">
        <w:rPr>
          <w:rFonts w:ascii="Arial" w:hAnsi="Arial" w:cs="AL-Mohanad" w:hint="cs"/>
          <w:sz w:val="27"/>
          <w:szCs w:val="27"/>
          <w:rtl/>
          <w:lang w:bidi="ar-MA"/>
        </w:rPr>
        <w:t xml:space="preserve">؛ </w:t>
      </w:r>
      <w:r w:rsidRPr="006571AC">
        <w:rPr>
          <w:rFonts w:ascii="Arial" w:hAnsi="Arial" w:cs="AL-Mohanad"/>
          <w:sz w:val="27"/>
          <w:szCs w:val="27"/>
          <w:rtl/>
          <w:lang w:bidi="ar-MA"/>
        </w:rPr>
        <w:t>فاهتمامات الأبناء مغايرة</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تماما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لاهتمامات آبائهم وأجدادهم، وقد انضم</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الأجيال الصاعدة من أبناء المسلمين أولئك الذين اعتنقوا الإسلام من أبناء هذه الديار الغربية.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ورغم وحدة الأصول الفقهية بين الشرق والغرب، فالواقع الغربي له تحد</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ياته الخاصة، ولم يخطئ الباحث ريتشون </w:t>
      </w:r>
      <w:r w:rsidRPr="006571AC">
        <w:rPr>
          <w:rFonts w:asciiTheme="majorBidi" w:hAnsiTheme="majorBidi" w:cstheme="majorBidi"/>
          <w:sz w:val="22"/>
          <w:szCs w:val="22"/>
          <w:lang w:bidi="ar-MA"/>
        </w:rPr>
        <w:t>Richon</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الذي ذهب إلى أن المصطلحات مثل الشرق والغرب ليست مجر</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د كلمات، وإنما هي أسماء مميزة تبني هوي</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ات أصبحت أقاليم</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13"/>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lastRenderedPageBreak/>
        <w:t>وهذا الأمر نابع</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اعتبار ب</w:t>
      </w:r>
      <w:r w:rsidRPr="006571AC">
        <w:rPr>
          <w:rFonts w:ascii="Arial" w:hAnsi="Arial" w:cs="AL-Mohanad" w:hint="cs"/>
          <w:sz w:val="27"/>
          <w:szCs w:val="27"/>
          <w:rtl/>
          <w:lang w:bidi="ar-MA"/>
        </w:rPr>
        <w:t>ُ</w:t>
      </w:r>
      <w:r w:rsidRPr="006571AC">
        <w:rPr>
          <w:rFonts w:ascii="Arial" w:hAnsi="Arial" w:cs="AL-Mohanad"/>
          <w:sz w:val="27"/>
          <w:szCs w:val="27"/>
          <w:rtl/>
          <w:lang w:bidi="ar-MA"/>
        </w:rPr>
        <w:t>ع</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د المكان في بناء المعرفة أو ما يعب</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ر عنه</w:t>
      </w:r>
      <w:r w:rsidR="00104E6D" w:rsidRPr="006571AC">
        <w:rPr>
          <w:rFonts w:ascii="Arial" w:hAnsi="Arial" w:cs="AL-Mohanad" w:hint="cs"/>
          <w:sz w:val="27"/>
          <w:szCs w:val="27"/>
          <w:rtl/>
          <w:lang w:bidi="ar-MA"/>
        </w:rPr>
        <w:t xml:space="preserve"> بـ</w:t>
      </w:r>
      <w:r w:rsidRPr="006571AC">
        <w:rPr>
          <w:rFonts w:ascii="Arial" w:hAnsi="Arial" w:cs="AL-Mohanad"/>
          <w:sz w:val="27"/>
          <w:szCs w:val="27"/>
          <w:rtl/>
          <w:lang w:bidi="ar-MA"/>
        </w:rPr>
        <w:t xml:space="preserve"> </w:t>
      </w:r>
      <w:r w:rsidRPr="006571AC">
        <w:rPr>
          <w:rFonts w:cs="AL-Mohanad" w:hint="eastAsia"/>
          <w:rtl/>
          <w:lang w:bidi="ar-MA"/>
        </w:rPr>
        <w:t>«</w:t>
      </w:r>
      <w:r w:rsidRPr="006571AC">
        <w:rPr>
          <w:rFonts w:ascii="Arial" w:hAnsi="Arial" w:cs="AL-Mohanad"/>
          <w:sz w:val="27"/>
          <w:szCs w:val="27"/>
          <w:rtl/>
          <w:lang w:bidi="ar-MA"/>
        </w:rPr>
        <w:t>الجغرافيا الثقافية</w:t>
      </w:r>
      <w:r w:rsidRPr="006571AC">
        <w:rPr>
          <w:rFonts w:cs="AL-Mohanad" w:hint="eastAsia"/>
          <w:rtl/>
        </w:rPr>
        <w:t>»</w:t>
      </w:r>
      <w:r w:rsidRPr="006571AC">
        <w:rPr>
          <w:rFonts w:ascii="Arial" w:hAnsi="Arial" w:cs="AL-Mohanad"/>
          <w:sz w:val="27"/>
          <w:szCs w:val="27"/>
          <w:rtl/>
          <w:lang w:bidi="ar-MA"/>
        </w:rPr>
        <w:t>، وحري</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بنا أن نتحد</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ث في عصرنا عن </w:t>
      </w:r>
      <w:r w:rsidRPr="006571AC">
        <w:rPr>
          <w:rFonts w:cs="AL-Mohanad" w:hint="eastAsia"/>
          <w:rtl/>
          <w:lang w:bidi="ar-MA"/>
        </w:rPr>
        <w:t>«</w:t>
      </w:r>
      <w:r w:rsidRPr="006571AC">
        <w:rPr>
          <w:rFonts w:ascii="Arial" w:hAnsi="Arial" w:cs="AL-Mohanad"/>
          <w:sz w:val="27"/>
          <w:szCs w:val="27"/>
          <w:rtl/>
          <w:lang w:bidi="ar-MA"/>
        </w:rPr>
        <w:t>الجغرافيا الفقهية</w:t>
      </w:r>
      <w:r w:rsidRPr="006571AC">
        <w:rPr>
          <w:rFonts w:cs="AL-Mohanad" w:hint="eastAsia"/>
          <w:rtl/>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التي تأس</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س على ضوئها فيما قبل التعد</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د</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المذهبي والفقهي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واختلاف</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الفتاوى والنوازل والأعراف. </w:t>
      </w:r>
    </w:p>
    <w:p w:rsidR="001B0AB2" w:rsidRPr="006571AC" w:rsidRDefault="001B0AB2" w:rsidP="0042241D">
      <w:pPr>
        <w:pStyle w:val="af"/>
        <w:spacing w:line="380" w:lineRule="exact"/>
        <w:rPr>
          <w:rFonts w:ascii="Arial" w:hAnsi="Arial" w:cs="AL-Mohanad"/>
          <w:sz w:val="27"/>
          <w:szCs w:val="27"/>
          <w:rtl/>
          <w:lang w:bidi="ar-MA"/>
        </w:rPr>
      </w:pPr>
    </w:p>
    <w:p w:rsidR="001B0AB2" w:rsidRPr="006571AC" w:rsidRDefault="001B0AB2" w:rsidP="00171C4C">
      <w:pPr>
        <w:pStyle w:val="31"/>
        <w:rPr>
          <w:color w:val="auto"/>
          <w:rtl/>
          <w:lang w:bidi="ar-MA"/>
        </w:rPr>
      </w:pPr>
      <w:bookmarkStart w:id="384" w:name="_Toc114164797"/>
      <w:r w:rsidRPr="006571AC">
        <w:rPr>
          <w:rFonts w:hint="cs"/>
          <w:color w:val="auto"/>
          <w:rtl/>
          <w:lang w:bidi="ar-MA"/>
        </w:rPr>
        <w:t>الع</w:t>
      </w:r>
      <w:r w:rsidR="00912DE5" w:rsidRPr="006571AC">
        <w:rPr>
          <w:rFonts w:hint="cs"/>
          <w:color w:val="auto"/>
          <w:rtl/>
          <w:lang w:bidi="ar-MA"/>
        </w:rPr>
        <w:t>ُ</w:t>
      </w:r>
      <w:r w:rsidRPr="006571AC">
        <w:rPr>
          <w:rFonts w:hint="cs"/>
          <w:color w:val="auto"/>
          <w:rtl/>
          <w:lang w:bidi="ar-MA"/>
        </w:rPr>
        <w:t>ر</w:t>
      </w:r>
      <w:r w:rsidR="00912DE5" w:rsidRPr="006571AC">
        <w:rPr>
          <w:rFonts w:hint="cs"/>
          <w:color w:val="auto"/>
          <w:rtl/>
          <w:lang w:bidi="ar-MA"/>
        </w:rPr>
        <w:t>ْ</w:t>
      </w:r>
      <w:r w:rsidRPr="006571AC">
        <w:rPr>
          <w:rFonts w:hint="cs"/>
          <w:color w:val="auto"/>
          <w:rtl/>
          <w:lang w:bidi="ar-MA"/>
        </w:rPr>
        <w:t>ف وتبيئة أحكام الإسلام</w:t>
      </w:r>
      <w:bookmarkEnd w:id="384"/>
      <w:r w:rsidRPr="006571AC">
        <w:rPr>
          <w:rFonts w:hint="cs"/>
          <w:color w:val="auto"/>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ولما كان الفقه في الشريعة ف</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ه</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ما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بشري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قابلا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للتأث</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ر بمحيطه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بخلاف الشريعة التي هي وضع</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إلهي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ثابت</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لا يقبل التغيير، فإن الفقه</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لذلك</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كان نسبي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لا يضاهي إطلاقي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ة الشريعة، ومن </w:t>
      </w:r>
      <w:r w:rsidR="006B6C10" w:rsidRPr="006571AC">
        <w:rPr>
          <w:rFonts w:ascii="Arial" w:hAnsi="Arial" w:cs="AL-Mohanad" w:hint="cs"/>
          <w:sz w:val="27"/>
          <w:szCs w:val="27"/>
          <w:rtl/>
          <w:lang w:bidi="ar-MA"/>
        </w:rPr>
        <w:t>ث</w:t>
      </w:r>
      <w:r w:rsidRPr="006571AC">
        <w:rPr>
          <w:rFonts w:ascii="Arial" w:hAnsi="Arial" w:cs="AL-Mohanad"/>
          <w:sz w:val="27"/>
          <w:szCs w:val="27"/>
          <w:rtl/>
          <w:lang w:bidi="ar-MA"/>
        </w:rPr>
        <w:t>م</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تحو</w:t>
      </w:r>
      <w:r w:rsidR="006B6C10" w:rsidRPr="006571AC">
        <w:rPr>
          <w:rFonts w:ascii="Arial" w:hAnsi="Arial" w:cs="AL-Mohanad" w:hint="cs"/>
          <w:sz w:val="27"/>
          <w:szCs w:val="27"/>
          <w:rtl/>
          <w:lang w:bidi="ar-MA"/>
        </w:rPr>
        <w:t>ّ</w:t>
      </w:r>
      <w:r w:rsidRPr="006571AC">
        <w:rPr>
          <w:rFonts w:ascii="Arial" w:hAnsi="Arial" w:cs="AL-Mohanad"/>
          <w:sz w:val="27"/>
          <w:szCs w:val="27"/>
          <w:rtl/>
          <w:lang w:bidi="ar-MA"/>
        </w:rPr>
        <w:t>ل الفقه المذهبي إلى مدارس تأث</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رت بالأقاليم التي انتشر</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ت</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فيها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والأمصار التي جرى بها العمل فيها. </w:t>
      </w:r>
    </w:p>
    <w:p w:rsidR="006B6C10"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وهكذا نجد في المذاهب الفقهية اتجاهات</w:t>
      </w:r>
      <w:r w:rsidR="006B6C10" w:rsidRPr="006571AC">
        <w:rPr>
          <w:rFonts w:ascii="Arial" w:hAnsi="Arial" w:cs="AL-Mohanad" w:hint="cs"/>
          <w:sz w:val="27"/>
          <w:szCs w:val="27"/>
          <w:rtl/>
          <w:lang w:bidi="ar-MA"/>
        </w:rPr>
        <w:t>:</w:t>
      </w:r>
    </w:p>
    <w:p w:rsidR="006B6C10"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ففي المذهب الشافعي نسمع عن القديم والجديد في فقه الشافعي لما كان بالعراق ثم</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انتقل إلى مصر</w:t>
      </w:r>
      <w:r w:rsidR="006B6C10" w:rsidRPr="006571AC">
        <w:rPr>
          <w:rFonts w:ascii="Arial" w:hAnsi="Arial" w:cs="AL-Mohanad" w:hint="cs"/>
          <w:sz w:val="27"/>
          <w:szCs w:val="27"/>
          <w:rtl/>
          <w:lang w:bidi="ar-MA"/>
        </w:rPr>
        <w:t>.</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والمالكية لهم طرائق منهجية وفن</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ية ومدارس إقليمية بين العراق ومصر والقيروان والمغرب والأندلس، وع</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رف مالكية المغرب بمراعاة ما جرى به، وغلب على مالكية العراق الإيغال في الرأي. </w:t>
      </w:r>
    </w:p>
    <w:p w:rsidR="001B0AB2" w:rsidRPr="006571AC" w:rsidRDefault="001B0AB2" w:rsidP="009C5EE0">
      <w:pPr>
        <w:pStyle w:val="af"/>
        <w:rPr>
          <w:rFonts w:ascii="Arial" w:hAnsi="Arial" w:cs="AL-Mohanad"/>
          <w:sz w:val="27"/>
          <w:szCs w:val="27"/>
          <w:rtl/>
          <w:lang w:bidi="ar-MA"/>
        </w:rPr>
      </w:pPr>
      <w:r w:rsidRPr="006571AC">
        <w:rPr>
          <w:rFonts w:ascii="Arial" w:hAnsi="Arial" w:cs="AL-Mohanad"/>
          <w:sz w:val="27"/>
          <w:szCs w:val="27"/>
          <w:rtl/>
          <w:lang w:bidi="ar-MA"/>
        </w:rPr>
        <w:t>أما الحنفية فالعادة عندهم م</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حَك</w:t>
      </w:r>
      <w:r w:rsidR="006B6C10" w:rsidRPr="006571AC">
        <w:rPr>
          <w:rFonts w:ascii="Arial" w:hAnsi="Arial" w:cs="AL-Mohanad" w:hint="cs"/>
          <w:sz w:val="27"/>
          <w:szCs w:val="27"/>
          <w:rtl/>
          <w:lang w:bidi="ar-MA"/>
        </w:rPr>
        <w:t>َّ</w:t>
      </w:r>
      <w:r w:rsidRPr="006571AC">
        <w:rPr>
          <w:rFonts w:ascii="Arial" w:hAnsi="Arial" w:cs="AL-Mohanad"/>
          <w:sz w:val="27"/>
          <w:szCs w:val="27"/>
          <w:rtl/>
          <w:lang w:bidi="ar-MA"/>
        </w:rPr>
        <w:t>مة</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وكثير من الأحكام الاجتهادية التي قال بها المتقد</w:t>
      </w:r>
      <w:r w:rsidR="006B6C10" w:rsidRPr="006571AC">
        <w:rPr>
          <w:rFonts w:ascii="Arial" w:hAnsi="Arial" w:cs="AL-Mohanad" w:hint="cs"/>
          <w:sz w:val="27"/>
          <w:szCs w:val="27"/>
          <w:rtl/>
          <w:lang w:bidi="ar-MA"/>
        </w:rPr>
        <w:t>ِّ</w:t>
      </w:r>
      <w:r w:rsidRPr="006571AC">
        <w:rPr>
          <w:rFonts w:ascii="Arial" w:hAnsi="Arial" w:cs="AL-Mohanad"/>
          <w:sz w:val="27"/>
          <w:szCs w:val="27"/>
          <w:rtl/>
          <w:lang w:bidi="ar-MA"/>
        </w:rPr>
        <w:t>مون</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أعرض عنها المتأخ</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رون</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وأفتوا بما يخالفها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لتغي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ر الع</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ر</w:t>
      </w:r>
      <w:r w:rsidR="006B6C10" w:rsidRPr="006571AC">
        <w:rPr>
          <w:rFonts w:ascii="Arial" w:hAnsi="Arial" w:cs="AL-Mohanad" w:hint="cs"/>
          <w:sz w:val="27"/>
          <w:szCs w:val="27"/>
          <w:rtl/>
          <w:lang w:bidi="ar-MA"/>
        </w:rPr>
        <w:t>ْ</w:t>
      </w:r>
      <w:r w:rsidRPr="006571AC">
        <w:rPr>
          <w:rFonts w:ascii="Arial" w:hAnsi="Arial" w:cs="AL-Mohanad"/>
          <w:sz w:val="27"/>
          <w:szCs w:val="27"/>
          <w:rtl/>
          <w:lang w:bidi="ar-MA"/>
        </w:rPr>
        <w:t>ف</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والاختلاف بين الإمام أبي حنيفة وتلاميذه كان اختلاف زمان</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ومكان</w:t>
      </w:r>
      <w:r w:rsidR="006B6C10"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ولم يكن اختلاف حج</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ة</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وبرهان</w:t>
      </w:r>
      <w:r w:rsidR="006B6C10" w:rsidRPr="006571AC">
        <w:rPr>
          <w:rFonts w:ascii="Arial" w:hAnsi="Arial" w:cs="AL-Mohanad" w:hint="cs"/>
          <w:sz w:val="27"/>
          <w:szCs w:val="27"/>
          <w:rtl/>
          <w:lang w:bidi="ar-MA"/>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14"/>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 xml:space="preserve">وفي ذلك نظم ابن عابدين في أرجوزته </w:t>
      </w:r>
      <w:r w:rsidRPr="006571AC">
        <w:rPr>
          <w:rFonts w:cs="AL-Mohanad" w:hint="eastAsia"/>
          <w:rtl/>
          <w:lang w:bidi="ar-MA"/>
        </w:rPr>
        <w:t>«</w:t>
      </w:r>
      <w:r w:rsidRPr="006571AC">
        <w:rPr>
          <w:rFonts w:ascii="Arial" w:hAnsi="Arial" w:cs="AL-Mohanad"/>
          <w:sz w:val="27"/>
          <w:szCs w:val="27"/>
          <w:rtl/>
          <w:lang w:bidi="ar-MA"/>
        </w:rPr>
        <w:t>عقود في رسم المفتي</w:t>
      </w:r>
      <w:r w:rsidRPr="006571AC">
        <w:rPr>
          <w:rFonts w:cs="AL-Mohanad" w:hint="eastAsia"/>
          <w:rtl/>
        </w:rPr>
        <w:t>»</w:t>
      </w:r>
      <w:r w:rsidRPr="006571AC">
        <w:rPr>
          <w:rFonts w:ascii="Arial" w:hAnsi="Arial" w:cs="AL-Mohanad"/>
          <w:sz w:val="27"/>
          <w:szCs w:val="27"/>
          <w:rtl/>
          <w:lang w:bidi="ar-MA"/>
        </w:rPr>
        <w:t xml:space="preserve"> أبياتا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ذكر فيها</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15"/>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tbl>
      <w:tblPr>
        <w:tblStyle w:val="1fc"/>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692820" w:rsidRPr="006571AC" w:rsidTr="00C8042E">
        <w:trPr>
          <w:jc w:val="center"/>
        </w:trPr>
        <w:tc>
          <w:tcPr>
            <w:tcW w:w="3136" w:type="dxa"/>
          </w:tcPr>
          <w:p w:rsidR="00692820" w:rsidRPr="006571AC" w:rsidRDefault="00692820" w:rsidP="00692820">
            <w:pPr>
              <w:spacing w:line="240" w:lineRule="auto"/>
              <w:ind w:firstLine="0"/>
              <w:jc w:val="lowKashida"/>
              <w:rPr>
                <w:sz w:val="2"/>
                <w:szCs w:val="2"/>
                <w:rtl/>
              </w:rPr>
            </w:pPr>
            <w:r w:rsidRPr="006571AC">
              <w:rPr>
                <w:rFonts w:ascii="Arial" w:hAnsi="Arial"/>
                <w:sz w:val="27"/>
                <w:rtl/>
                <w:lang w:bidi="ar-MA"/>
              </w:rPr>
              <w:t>والع</w:t>
            </w:r>
            <w:r w:rsidR="0042241D" w:rsidRPr="006571AC">
              <w:rPr>
                <w:rFonts w:ascii="Arial" w:hAnsi="Arial" w:hint="cs"/>
                <w:sz w:val="27"/>
                <w:rtl/>
                <w:lang w:bidi="ar-MA"/>
              </w:rPr>
              <w:t>ُ</w:t>
            </w:r>
            <w:r w:rsidRPr="006571AC">
              <w:rPr>
                <w:rFonts w:ascii="Arial" w:hAnsi="Arial"/>
                <w:sz w:val="27"/>
                <w:rtl/>
                <w:lang w:bidi="ar-MA"/>
              </w:rPr>
              <w:t>ر</w:t>
            </w:r>
            <w:r w:rsidR="0042241D" w:rsidRPr="006571AC">
              <w:rPr>
                <w:rFonts w:ascii="Arial" w:hAnsi="Arial" w:hint="cs"/>
                <w:sz w:val="27"/>
                <w:rtl/>
                <w:lang w:bidi="ar-MA"/>
              </w:rPr>
              <w:t>ْ</w:t>
            </w:r>
            <w:r w:rsidRPr="006571AC">
              <w:rPr>
                <w:rFonts w:ascii="Arial" w:hAnsi="Arial"/>
                <w:sz w:val="27"/>
                <w:rtl/>
                <w:lang w:bidi="ar-MA"/>
              </w:rPr>
              <w:t>ف في الش</w:t>
            </w:r>
            <w:r w:rsidR="0042241D" w:rsidRPr="006571AC">
              <w:rPr>
                <w:rFonts w:ascii="Arial" w:hAnsi="Arial" w:hint="cs"/>
                <w:sz w:val="27"/>
                <w:rtl/>
                <w:lang w:bidi="ar-MA"/>
              </w:rPr>
              <w:t>َّ</w:t>
            </w:r>
            <w:r w:rsidRPr="006571AC">
              <w:rPr>
                <w:rFonts w:ascii="Arial" w:hAnsi="Arial"/>
                <w:sz w:val="27"/>
                <w:rtl/>
                <w:lang w:bidi="ar-MA"/>
              </w:rPr>
              <w:t>ر</w:t>
            </w:r>
            <w:r w:rsidR="0042241D" w:rsidRPr="006571AC">
              <w:rPr>
                <w:rFonts w:ascii="Arial" w:hAnsi="Arial" w:hint="cs"/>
                <w:sz w:val="27"/>
                <w:rtl/>
                <w:lang w:bidi="ar-MA"/>
              </w:rPr>
              <w:t>ْ</w:t>
            </w:r>
            <w:r w:rsidRPr="006571AC">
              <w:rPr>
                <w:rFonts w:ascii="Arial" w:hAnsi="Arial"/>
                <w:sz w:val="27"/>
                <w:rtl/>
                <w:lang w:bidi="ar-MA"/>
              </w:rPr>
              <w:t>ع له اعتبار</w:t>
            </w:r>
            <w:r w:rsidRPr="006571AC">
              <w:rPr>
                <w:rFonts w:hint="cs"/>
                <w:sz w:val="27"/>
                <w:rtl/>
              </w:rPr>
              <w:br/>
            </w:r>
          </w:p>
        </w:tc>
        <w:tc>
          <w:tcPr>
            <w:tcW w:w="425" w:type="dxa"/>
          </w:tcPr>
          <w:p w:rsidR="00692820" w:rsidRPr="006571AC" w:rsidRDefault="00692820" w:rsidP="00692820">
            <w:pPr>
              <w:spacing w:line="240" w:lineRule="auto"/>
              <w:ind w:firstLine="0"/>
              <w:jc w:val="lowKashida"/>
              <w:rPr>
                <w:sz w:val="27"/>
                <w:rtl/>
              </w:rPr>
            </w:pPr>
          </w:p>
        </w:tc>
        <w:tc>
          <w:tcPr>
            <w:tcW w:w="3052" w:type="dxa"/>
          </w:tcPr>
          <w:p w:rsidR="00692820" w:rsidRPr="006571AC" w:rsidRDefault="00692820" w:rsidP="00692820">
            <w:pPr>
              <w:spacing w:line="240" w:lineRule="auto"/>
              <w:ind w:firstLine="0"/>
              <w:jc w:val="lowKashida"/>
              <w:rPr>
                <w:sz w:val="2"/>
                <w:szCs w:val="2"/>
                <w:rtl/>
              </w:rPr>
            </w:pPr>
            <w:r w:rsidRPr="006571AC">
              <w:rPr>
                <w:rFonts w:ascii="Arial" w:hAnsi="Arial"/>
                <w:sz w:val="27"/>
                <w:rtl/>
                <w:lang w:bidi="ar-MA"/>
              </w:rPr>
              <w:t>لذا عل</w:t>
            </w:r>
            <w:r w:rsidRPr="006571AC">
              <w:rPr>
                <w:rFonts w:ascii="Arial" w:hAnsi="Arial" w:hint="cs"/>
                <w:sz w:val="27"/>
                <w:rtl/>
                <w:lang w:bidi="ar-MA"/>
              </w:rPr>
              <w:t>ـ</w:t>
            </w:r>
            <w:r w:rsidRPr="006571AC">
              <w:rPr>
                <w:rFonts w:ascii="Arial" w:hAnsi="Arial"/>
                <w:sz w:val="27"/>
                <w:rtl/>
                <w:lang w:bidi="ar-MA"/>
              </w:rPr>
              <w:t>يه الح</w:t>
            </w:r>
            <w:r w:rsidRPr="006571AC">
              <w:rPr>
                <w:rFonts w:ascii="Arial" w:hAnsi="Arial" w:hint="cs"/>
                <w:sz w:val="27"/>
                <w:rtl/>
                <w:lang w:bidi="ar-MA"/>
              </w:rPr>
              <w:t>ـ</w:t>
            </w:r>
            <w:r w:rsidRPr="006571AC">
              <w:rPr>
                <w:rFonts w:ascii="Arial" w:hAnsi="Arial"/>
                <w:sz w:val="27"/>
                <w:rtl/>
                <w:lang w:bidi="ar-MA"/>
              </w:rPr>
              <w:t>كم قد ي</w:t>
            </w:r>
            <w:r w:rsidRPr="006571AC">
              <w:rPr>
                <w:rFonts w:ascii="Arial" w:hAnsi="Arial" w:hint="cs"/>
                <w:sz w:val="27"/>
                <w:rtl/>
                <w:lang w:bidi="ar-MA"/>
              </w:rPr>
              <w:t>ـ</w:t>
            </w:r>
            <w:r w:rsidR="0042241D" w:rsidRPr="006571AC">
              <w:rPr>
                <w:rFonts w:ascii="Arial" w:hAnsi="Arial" w:hint="cs"/>
                <w:sz w:val="27"/>
                <w:rtl/>
                <w:lang w:bidi="ar-MA"/>
              </w:rPr>
              <w:t>ُ</w:t>
            </w:r>
            <w:r w:rsidRPr="006571AC">
              <w:rPr>
                <w:rFonts w:ascii="Arial" w:hAnsi="Arial"/>
                <w:sz w:val="27"/>
                <w:rtl/>
                <w:lang w:bidi="ar-MA"/>
              </w:rPr>
              <w:t>دار</w:t>
            </w:r>
            <w:r w:rsidRPr="006571AC">
              <w:rPr>
                <w:rFonts w:hint="cs"/>
                <w:sz w:val="27"/>
                <w:rtl/>
              </w:rPr>
              <w:br/>
            </w:r>
          </w:p>
        </w:tc>
      </w:tr>
    </w:tbl>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واستتبعها بإيضاحات</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في معناها في رسالته </w:t>
      </w:r>
      <w:r w:rsidRPr="006571AC">
        <w:rPr>
          <w:rFonts w:cs="AL-Mohanad" w:hint="eastAsia"/>
          <w:rtl/>
          <w:lang w:bidi="ar-MA"/>
        </w:rPr>
        <w:t>«</w:t>
      </w:r>
      <w:r w:rsidRPr="006571AC">
        <w:rPr>
          <w:rFonts w:ascii="Arial" w:hAnsi="Arial" w:cs="AL-Mohanad"/>
          <w:sz w:val="27"/>
          <w:szCs w:val="27"/>
          <w:rtl/>
          <w:lang w:bidi="ar-MA"/>
        </w:rPr>
        <w:t>نشر العرف في بناء بعض الأحكام على الع</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ر</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ف</w:t>
      </w:r>
      <w:r w:rsidRPr="006571AC">
        <w:rPr>
          <w:rFonts w:cs="AL-Mohanad" w:hint="eastAsia"/>
          <w:rtl/>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فألح</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فيها على أن </w:t>
      </w:r>
      <w:r w:rsidRPr="006571AC">
        <w:rPr>
          <w:rFonts w:cs="AL-Mohanad" w:hint="eastAsia"/>
          <w:rtl/>
          <w:lang w:bidi="ar-MA"/>
        </w:rPr>
        <w:t>«</w:t>
      </w:r>
      <w:r w:rsidRPr="006571AC">
        <w:rPr>
          <w:rFonts w:ascii="Arial" w:hAnsi="Arial" w:cs="AL-Mohanad"/>
          <w:sz w:val="27"/>
          <w:szCs w:val="27"/>
          <w:rtl/>
          <w:lang w:bidi="ar-MA"/>
        </w:rPr>
        <w:t>المفتي ليس له الجمود على المنقول في كتب ظاهر الرواية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من غير مراعاة الزمان وأهله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وأ</w:t>
      </w:r>
      <w:r w:rsidR="00692820" w:rsidRPr="006571AC">
        <w:rPr>
          <w:rFonts w:ascii="Arial" w:hAnsi="Arial" w:cs="AL-Mohanad" w:hint="cs"/>
          <w:sz w:val="27"/>
          <w:szCs w:val="27"/>
          <w:rtl/>
          <w:lang w:bidi="ar-MA"/>
        </w:rPr>
        <w:t xml:space="preserve">ن </w:t>
      </w:r>
      <w:r w:rsidRPr="006571AC">
        <w:rPr>
          <w:rFonts w:ascii="Arial" w:hAnsi="Arial" w:cs="AL-Mohanad"/>
          <w:sz w:val="27"/>
          <w:szCs w:val="27"/>
          <w:rtl/>
          <w:lang w:bidi="ar-MA"/>
        </w:rPr>
        <w:t>لا يضيع حقوقا</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كثيرة</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ويكون ض</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ر</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ره </w:t>
      </w:r>
      <w:r w:rsidRPr="006571AC">
        <w:rPr>
          <w:rFonts w:ascii="Arial" w:hAnsi="Arial" w:cs="AL-Mohanad"/>
          <w:sz w:val="27"/>
          <w:szCs w:val="27"/>
          <w:rtl/>
          <w:lang w:bidi="ar-MA"/>
        </w:rPr>
        <w:lastRenderedPageBreak/>
        <w:t>أعظم من نفعه</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16"/>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lang w:bidi="ar-MA"/>
        </w:rPr>
      </w:pPr>
      <w:r w:rsidRPr="006571AC">
        <w:rPr>
          <w:rFonts w:ascii="Arial" w:hAnsi="Arial" w:cs="AL-Mohanad"/>
          <w:sz w:val="27"/>
          <w:szCs w:val="27"/>
          <w:rtl/>
          <w:lang w:bidi="ar-MA"/>
        </w:rPr>
        <w:t>وهو قول</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عظيم</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ورأي سديد وواقعي في تحكيم الأعراف</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والالتزام بها في الفتيا، وينم</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عن استشعار قيمة المكان والأحوال في الأحكام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وعن ملاحظة تغي</w:t>
      </w:r>
      <w:r w:rsidR="00692820" w:rsidRPr="006571AC">
        <w:rPr>
          <w:rFonts w:ascii="Arial" w:hAnsi="Arial" w:cs="AL-Mohanad" w:hint="cs"/>
          <w:sz w:val="27"/>
          <w:szCs w:val="27"/>
          <w:rtl/>
          <w:lang w:bidi="ar-MA"/>
        </w:rPr>
        <w:t>ُّ</w:t>
      </w:r>
      <w:r w:rsidRPr="006571AC">
        <w:rPr>
          <w:rFonts w:ascii="Arial" w:hAnsi="Arial" w:cs="AL-Mohanad"/>
          <w:sz w:val="27"/>
          <w:szCs w:val="27"/>
          <w:rtl/>
          <w:lang w:bidi="ar-MA"/>
        </w:rPr>
        <w:t>ر الأعراف والعادات بتغي</w:t>
      </w:r>
      <w:r w:rsidR="00692820" w:rsidRPr="006571AC">
        <w:rPr>
          <w:rFonts w:ascii="Arial" w:hAnsi="Arial" w:cs="AL-Mohanad" w:hint="cs"/>
          <w:sz w:val="27"/>
          <w:szCs w:val="27"/>
          <w:rtl/>
          <w:lang w:bidi="ar-MA"/>
        </w:rPr>
        <w:t>ُّ</w:t>
      </w:r>
      <w:r w:rsidRPr="006571AC">
        <w:rPr>
          <w:rFonts w:ascii="Arial" w:hAnsi="Arial" w:cs="AL-Mohanad"/>
          <w:sz w:val="27"/>
          <w:szCs w:val="27"/>
          <w:rtl/>
          <w:lang w:bidi="ar-MA"/>
        </w:rPr>
        <w:t>ر الأزمان والبلدان</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17"/>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9F520D">
      <w:pPr>
        <w:pStyle w:val="af"/>
        <w:rPr>
          <w:rFonts w:ascii="Arial" w:hAnsi="Arial" w:cs="AL-Mohanad"/>
          <w:sz w:val="27"/>
          <w:szCs w:val="27"/>
          <w:rtl/>
          <w:lang w:bidi="ar-MA"/>
        </w:rPr>
      </w:pPr>
      <w:r w:rsidRPr="006571AC">
        <w:rPr>
          <w:rFonts w:ascii="Arial" w:hAnsi="Arial" w:cs="AL-Mohanad"/>
          <w:sz w:val="27"/>
          <w:szCs w:val="27"/>
          <w:rtl/>
          <w:lang w:bidi="ar-MA"/>
        </w:rPr>
        <w:t>وأخذا</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بب</w:t>
      </w:r>
      <w:r w:rsidR="00692820" w:rsidRPr="006571AC">
        <w:rPr>
          <w:rFonts w:ascii="Arial" w:hAnsi="Arial" w:cs="AL-Mohanad" w:hint="cs"/>
          <w:sz w:val="27"/>
          <w:szCs w:val="27"/>
          <w:rtl/>
          <w:lang w:bidi="ar-MA"/>
        </w:rPr>
        <w:t>ُ</w:t>
      </w:r>
      <w:r w:rsidRPr="006571AC">
        <w:rPr>
          <w:rFonts w:ascii="Arial" w:hAnsi="Arial" w:cs="AL-Mohanad"/>
          <w:sz w:val="27"/>
          <w:szCs w:val="27"/>
          <w:rtl/>
          <w:lang w:bidi="ar-MA"/>
        </w:rPr>
        <w:t>ع</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د الإقليمية في الأحكام اشتهر عن الإمام القرافي قوله في الفرق الثامن والعشرين من كتابه الفروق: </w:t>
      </w:r>
      <w:r w:rsidRPr="006571AC">
        <w:rPr>
          <w:rFonts w:cs="AL-Mohanad" w:hint="eastAsia"/>
          <w:rtl/>
          <w:lang w:bidi="ar-MA"/>
        </w:rPr>
        <w:t>«</w:t>
      </w:r>
      <w:r w:rsidRPr="006571AC">
        <w:rPr>
          <w:rFonts w:ascii="Arial" w:hAnsi="Arial" w:cs="AL-Mohanad"/>
          <w:sz w:val="27"/>
          <w:szCs w:val="27"/>
          <w:rtl/>
          <w:lang w:bidi="ar-MA"/>
        </w:rPr>
        <w:t>فمهما تجد</w:t>
      </w:r>
      <w:r w:rsidR="00692820" w:rsidRPr="006571AC">
        <w:rPr>
          <w:rFonts w:ascii="Arial" w:hAnsi="Arial" w:cs="AL-Mohanad" w:hint="cs"/>
          <w:sz w:val="27"/>
          <w:szCs w:val="27"/>
          <w:rtl/>
          <w:lang w:bidi="ar-MA"/>
        </w:rPr>
        <w:t>ّ</w:t>
      </w:r>
      <w:r w:rsidRPr="006571AC">
        <w:rPr>
          <w:rFonts w:ascii="Arial" w:hAnsi="Arial" w:cs="AL-Mohanad"/>
          <w:sz w:val="27"/>
          <w:szCs w:val="27"/>
          <w:rtl/>
          <w:lang w:bidi="ar-MA"/>
        </w:rPr>
        <w:t>د في الع</w:t>
      </w:r>
      <w:r w:rsidR="00692820" w:rsidRPr="006571AC">
        <w:rPr>
          <w:rFonts w:ascii="Arial" w:hAnsi="Arial" w:cs="AL-Mohanad" w:hint="cs"/>
          <w:sz w:val="27"/>
          <w:szCs w:val="27"/>
          <w:rtl/>
          <w:lang w:bidi="ar-MA"/>
        </w:rPr>
        <w:t>ُ</w:t>
      </w:r>
      <w:r w:rsidRPr="006571AC">
        <w:rPr>
          <w:rFonts w:ascii="Arial" w:hAnsi="Arial" w:cs="AL-Mohanad"/>
          <w:sz w:val="27"/>
          <w:szCs w:val="27"/>
          <w:rtl/>
          <w:lang w:bidi="ar-MA"/>
        </w:rPr>
        <w:t>ر</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ف </w:t>
      </w:r>
      <w:r w:rsidR="00175831" w:rsidRPr="006571AC">
        <w:rPr>
          <w:rFonts w:ascii="Arial" w:hAnsi="Arial" w:cs="AL-Mohanad" w:hint="cs"/>
          <w:sz w:val="27"/>
          <w:szCs w:val="27"/>
          <w:rtl/>
          <w:lang w:bidi="ar-MA"/>
        </w:rPr>
        <w:t>ا</w:t>
      </w:r>
      <w:r w:rsidRPr="006571AC">
        <w:rPr>
          <w:rFonts w:ascii="Arial" w:hAnsi="Arial" w:cs="AL-Mohanad"/>
          <w:sz w:val="27"/>
          <w:szCs w:val="27"/>
          <w:rtl/>
          <w:lang w:bidi="ar-MA"/>
        </w:rPr>
        <w:t>عتبره</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ومهما سقط أسقطه، ولا تجمد على المسطور في الكتب طول عمرك، بل إذا جاءك رجل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غير أهل إقليمك يستفتيك لا ت</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ج</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ر</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ه على عرف بلدك، واسأله عن ع</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ف بلده</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وأ</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ج</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ه عليه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وأ</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ف</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ت</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ه به</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دون ع</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ف بلدك والمقر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في كتبك</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فهذا هو الحق</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الواضح</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والجمود على المنقولات أبدا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ضلال</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الدين</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وجهل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بمقاصد علماء المسلمين والس</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ف الماضين</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18"/>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وعلى غرار القرافي المالكي، عقد ابن القي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م الحنبلي في إعلامه فصلا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هام</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تحت عنوان: </w:t>
      </w:r>
      <w:r w:rsidRPr="006571AC">
        <w:rPr>
          <w:rFonts w:cs="AL-Mohanad" w:hint="eastAsia"/>
          <w:rtl/>
          <w:lang w:bidi="ar-MA"/>
        </w:rPr>
        <w:t>«</w:t>
      </w:r>
      <w:r w:rsidRPr="006571AC">
        <w:rPr>
          <w:rFonts w:ascii="Arial" w:hAnsi="Arial" w:cs="AL-Mohanad"/>
          <w:sz w:val="27"/>
          <w:szCs w:val="27"/>
          <w:rtl/>
          <w:lang w:bidi="ar-MA"/>
        </w:rPr>
        <w:t>فصل في 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الفتوى واختلافها بح</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س</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ب 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الأزمنة والأمكنة والأحوال والني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ات والعوائد</w:t>
      </w:r>
      <w:r w:rsidRPr="006571AC">
        <w:rPr>
          <w:rFonts w:cs="AL-Mohanad" w:hint="eastAsia"/>
          <w:rtl/>
        </w:rPr>
        <w:t>»</w:t>
      </w:r>
      <w:r w:rsidRPr="006571AC">
        <w:rPr>
          <w:rFonts w:ascii="Arial" w:hAnsi="Arial" w:cs="AL-Mohanad"/>
          <w:sz w:val="27"/>
          <w:szCs w:val="27"/>
          <w:rtl/>
          <w:lang w:bidi="ar-MA"/>
        </w:rPr>
        <w:t>، وافتتحه ب</w:t>
      </w:r>
      <w:r w:rsidR="009F520D" w:rsidRPr="006571AC">
        <w:rPr>
          <w:rFonts w:ascii="Arial" w:hAnsi="Arial" w:cs="AL-Mohanad" w:hint="cs"/>
          <w:sz w:val="27"/>
          <w:szCs w:val="27"/>
          <w:rtl/>
          <w:lang w:bidi="ar-MA"/>
        </w:rPr>
        <w:t>م</w:t>
      </w:r>
      <w:r w:rsidRPr="006571AC">
        <w:rPr>
          <w:rFonts w:ascii="Arial" w:hAnsi="Arial" w:cs="AL-Mohanad"/>
          <w:sz w:val="27"/>
          <w:szCs w:val="27"/>
          <w:rtl/>
          <w:lang w:bidi="ar-MA"/>
        </w:rPr>
        <w:t xml:space="preserve">قولته الشهيرة: </w:t>
      </w:r>
      <w:r w:rsidRPr="006571AC">
        <w:rPr>
          <w:rFonts w:cs="AL-Mohanad" w:hint="eastAsia"/>
          <w:rtl/>
          <w:lang w:bidi="ar-MA"/>
        </w:rPr>
        <w:t>«</w:t>
      </w:r>
      <w:r w:rsidRPr="006571AC">
        <w:rPr>
          <w:rFonts w:ascii="Arial" w:hAnsi="Arial" w:cs="AL-Mohanad"/>
          <w:sz w:val="27"/>
          <w:szCs w:val="27"/>
          <w:rtl/>
          <w:lang w:bidi="ar-MA"/>
        </w:rPr>
        <w:t>هذا فصل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عظيم النفع جد</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وقع بسبب الجهل به غ</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ل</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ط</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عظيم على الشريعة، أوجب من الح</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ج والمشق</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ة وتكليف ما لا سبيل إليه ما 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ع</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م أن الشريعة الباهرة التي هي في أعلى رتب المصالح لا تأتي به</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19"/>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الفتوى بتغي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الزمان والمكان ناتج</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عن ترجيح مصلحة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شرعية لم تكن راجحة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في وقت من الأوقات، أو لد</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ر</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ء مفسدة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حادثة لم تكن قائمة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زمن</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الأزمنة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والزمن لا يتغي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والذي يتغي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هو أحوال أهل الزمن</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والمصالح والمفاسد التي تطرأ عليه</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فتراعى ج</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ل</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با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ود</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ر</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ءا</w:t>
      </w:r>
      <w:r w:rsidR="00175831"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لأن الشريعة في خلاصتها التشريعية نفع</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ودفع</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وهو ما يختصره ابن رشد في قوله: </w:t>
      </w:r>
      <w:r w:rsidRPr="006571AC">
        <w:rPr>
          <w:rFonts w:cs="AL-Mohanad" w:hint="eastAsia"/>
          <w:rtl/>
          <w:lang w:bidi="ar-MA"/>
        </w:rPr>
        <w:t>«</w:t>
      </w:r>
      <w:r w:rsidRPr="006571AC">
        <w:rPr>
          <w:rFonts w:ascii="Arial" w:hAnsi="Arial" w:cs="AL-Mohanad"/>
          <w:sz w:val="27"/>
          <w:szCs w:val="27"/>
          <w:rtl/>
          <w:lang w:bidi="ar-MA"/>
        </w:rPr>
        <w:t>إن لله أحكاما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لم تكن أسبابها موجودة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الصدر الأو</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فإذا و</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جد</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ت</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أسبابها ترت</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بت عليها أحكامها</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20"/>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31"/>
        <w:rPr>
          <w:color w:val="auto"/>
          <w:rtl/>
          <w:lang w:bidi="ar-MA"/>
        </w:rPr>
      </w:pPr>
      <w:bookmarkStart w:id="385" w:name="_Toc114164798"/>
      <w:r w:rsidRPr="006571AC">
        <w:rPr>
          <w:rFonts w:hint="cs"/>
          <w:color w:val="auto"/>
          <w:rtl/>
          <w:lang w:bidi="ar-MA"/>
        </w:rPr>
        <w:t>علاقة فقه الأقل</w:t>
      </w:r>
      <w:r w:rsidR="00175831" w:rsidRPr="006571AC">
        <w:rPr>
          <w:rFonts w:hint="cs"/>
          <w:color w:val="auto"/>
          <w:rtl/>
          <w:lang w:bidi="ar-MA"/>
        </w:rPr>
        <w:t>ِّ</w:t>
      </w:r>
      <w:r w:rsidRPr="006571AC">
        <w:rPr>
          <w:rFonts w:hint="cs"/>
          <w:color w:val="auto"/>
          <w:rtl/>
          <w:lang w:bidi="ar-MA"/>
        </w:rPr>
        <w:t>يات بالفقه العام</w:t>
      </w:r>
      <w:r w:rsidR="00175831" w:rsidRPr="006571AC">
        <w:rPr>
          <w:rFonts w:hint="cs"/>
          <w:color w:val="auto"/>
          <w:rtl/>
          <w:lang w:bidi="ar-MA"/>
        </w:rPr>
        <w:t>ّ</w:t>
      </w:r>
      <w:bookmarkEnd w:id="385"/>
      <w:r w:rsidRPr="006571AC">
        <w:rPr>
          <w:rFonts w:hint="cs"/>
          <w:color w:val="auto"/>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وإذا كان اعتبار الع</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ر</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ف في الفقه العام أوكد فإنه في فقه الأقل</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يات أ</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و</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لى</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وتتأس</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س العلاقة بين الفقهين بتبعي</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ة الثاني للأو</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ل</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والتزامه بمعالمه، فهو ليس بشارد</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عن مقو</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ماته</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ولا مأصول على غير مصادره وأصوله، وإنما هو فرع</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كسائر فروعه</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r w:rsidRPr="006571AC">
        <w:rPr>
          <w:rFonts w:ascii="Arial" w:hAnsi="Arial" w:cs="AL-Mohanad"/>
          <w:sz w:val="27"/>
          <w:szCs w:val="27"/>
          <w:rtl/>
          <w:lang w:bidi="ar-MA"/>
        </w:rPr>
        <w:lastRenderedPageBreak/>
        <w:t>يشاركه ذات المصادر والأصول في صورة</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عام</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ة. </w:t>
      </w:r>
    </w:p>
    <w:p w:rsidR="001B0AB2" w:rsidRPr="006571AC" w:rsidRDefault="001B0AB2" w:rsidP="002A2E03">
      <w:pPr>
        <w:pStyle w:val="af"/>
        <w:rPr>
          <w:rFonts w:ascii="Arial" w:hAnsi="Arial" w:cs="AL-Mohanad"/>
          <w:sz w:val="27"/>
          <w:szCs w:val="27"/>
          <w:rtl/>
          <w:lang w:bidi="ar-EG"/>
        </w:rPr>
      </w:pPr>
      <w:r w:rsidRPr="006571AC">
        <w:rPr>
          <w:rFonts w:ascii="Arial" w:hAnsi="Arial" w:cs="AL-Mohanad"/>
          <w:sz w:val="27"/>
          <w:szCs w:val="27"/>
          <w:rtl/>
          <w:lang w:bidi="ar-MA"/>
        </w:rPr>
        <w:t>إلا</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أنه عند التفصيل فإنه ينزع أكثر إلى كل</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يات الشريعة</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القاضية برفع الح</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ر</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ج</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وتنزيل أحكام الحاجات على أحكام الضرورات، واعتبار عموم البلوى في الأحكام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وتغي</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ر الفتوى بتغي</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ر المكان والزمان</w:t>
      </w:r>
      <w:r w:rsidRPr="006571AC">
        <w:rPr>
          <w:rFonts w:ascii="Arial" w:hAnsi="Arial" w:cs="AL-Mohanad" w:hint="cs"/>
          <w:sz w:val="27"/>
          <w:szCs w:val="27"/>
          <w:rtl/>
          <w:lang w:bidi="ar-MA"/>
        </w:rPr>
        <w:t>، وملاحظ</w:t>
      </w:r>
      <w:r w:rsidRPr="006571AC">
        <w:rPr>
          <w:rFonts w:ascii="Arial" w:hAnsi="Arial" w:cs="AL-Mohanad" w:hint="eastAsia"/>
          <w:sz w:val="27"/>
          <w:szCs w:val="27"/>
          <w:rtl/>
          <w:lang w:bidi="ar-MA"/>
        </w:rPr>
        <w:t>ة</w:t>
      </w:r>
      <w:r w:rsidRPr="006571AC">
        <w:rPr>
          <w:rFonts w:ascii="Arial" w:hAnsi="Arial" w:cs="AL-Mohanad"/>
          <w:sz w:val="27"/>
          <w:szCs w:val="27"/>
          <w:rtl/>
          <w:lang w:bidi="ar-MA"/>
        </w:rPr>
        <w:t xml:space="preserve"> المصالح المعتبرة والمرسلة، وإعمال فقه الموازنات والترجيح بين المصالح والمفاسد.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ويختلف معه في كونه ينطوي على خصوصية وضع الأقل</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يات، فيت</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جه إلى التخص</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ص في معالجتها توس</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عا</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وتطويرا</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وتنقيحا</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لمواضيعه في نطاق الفقه الإسلامي ونظرياته، وذلك سواء من حيث ثمرات ذلك الفقه من الأحكام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أو من حيث الأصول والقواعد التي ب</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ني</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ت</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عليها واستنبط</w:t>
      </w:r>
      <w:r w:rsidR="0084683B" w:rsidRPr="006571AC">
        <w:rPr>
          <w:rFonts w:ascii="Arial" w:hAnsi="Arial" w:cs="AL-Mohanad" w:hint="cs"/>
          <w:sz w:val="27"/>
          <w:szCs w:val="27"/>
          <w:rtl/>
          <w:lang w:bidi="ar-MA"/>
        </w:rPr>
        <w:t>َ</w:t>
      </w:r>
      <w:r w:rsidRPr="006571AC">
        <w:rPr>
          <w:rFonts w:ascii="Arial" w:hAnsi="Arial" w:cs="AL-Mohanad"/>
          <w:sz w:val="27"/>
          <w:szCs w:val="27"/>
          <w:rtl/>
          <w:lang w:bidi="ar-MA"/>
        </w:rPr>
        <w:t>ت</w:t>
      </w:r>
      <w:r w:rsidR="0084683B" w:rsidRPr="006571AC">
        <w:rPr>
          <w:rFonts w:ascii="Arial" w:hAnsi="Arial" w:cs="AL-Mohanad" w:hint="cs"/>
          <w:sz w:val="27"/>
          <w:szCs w:val="27"/>
          <w:rtl/>
          <w:lang w:bidi="ar-MA"/>
        </w:rPr>
        <w:t>ْ</w:t>
      </w:r>
      <w:r w:rsidRPr="006571AC">
        <w:rPr>
          <w:rFonts w:ascii="Arial" w:hAnsi="Arial" w:cs="AL-Mohanad"/>
          <w:sz w:val="27"/>
          <w:szCs w:val="27"/>
          <w:rtl/>
          <w:lang w:bidi="ar-MA"/>
        </w:rPr>
        <w:t xml:space="preserve"> بها.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فمن حيث ثمرات الفقه من الأحكام فإن فقه الأقل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يات ينبني جسمه الأكبر على تلك الثمرات</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إذ القدر الأكبر منها متعل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ق بما هو ثابت</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تشترك فيه أوضاع المسلمين مهما تغي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رت ظروفها في الزمان والمكان.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ولكن</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مع ذلك فإنه يعمد إلى اجتهادات</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كانت مرجوحة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أو غير مشهورة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أو متروكة</w:t>
      </w:r>
      <w:r w:rsidR="00D23FB8"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لسبب</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أو آخر من أسباب الترك، فيستجلبها وينشطها ويحييها</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لما يرى فيها من مناسبة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لبعض أوضاع الأقل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ية المسلمة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تتحق</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ق بها المصلحة، فيعالج بها تلك الأوضاع في غير اعتبار</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لمذهبي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ة ضي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قة أو عصبي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ة مفو</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تة للمصلحة، ما دام كل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ذلك مستندا</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أصل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الدين معتبر</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ومن حيث الأصول والقواعد</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فهذا الفقه يختار من بين القواعد الفقهية والمبادئ الأصولية ما يراه مناسبا</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وأكثر فاعلية في تقريب أحوال الأقل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يات إلى وضع الشارع، ثم ينتزع منها ما به يضمن استمراري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ته وتطو</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ره في الحياة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رغم التحد</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يات والصع</w:t>
      </w:r>
      <w:r w:rsidRPr="006571AC">
        <w:rPr>
          <w:rFonts w:ascii="Arial" w:hAnsi="Arial" w:cs="AL-Mohanad" w:hint="cs"/>
          <w:sz w:val="27"/>
          <w:szCs w:val="27"/>
          <w:rtl/>
          <w:lang w:bidi="ar-MA"/>
        </w:rPr>
        <w:t>و</w:t>
      </w:r>
      <w:r w:rsidRPr="006571AC">
        <w:rPr>
          <w:rFonts w:ascii="Arial" w:hAnsi="Arial" w:cs="AL-Mohanad"/>
          <w:sz w:val="27"/>
          <w:szCs w:val="27"/>
          <w:rtl/>
          <w:lang w:bidi="ar-MA"/>
        </w:rPr>
        <w:t>ب</w:t>
      </w:r>
      <w:r w:rsidRPr="006571AC">
        <w:rPr>
          <w:rFonts w:ascii="Arial" w:hAnsi="Arial" w:cs="AL-Mohanad" w:hint="cs"/>
          <w:sz w:val="27"/>
          <w:szCs w:val="27"/>
          <w:rtl/>
          <w:lang w:bidi="ar-MA"/>
        </w:rPr>
        <w:t>ات</w:t>
      </w:r>
      <w:r w:rsidRPr="006571AC">
        <w:rPr>
          <w:rFonts w:ascii="Arial" w:hAnsi="Arial" w:cs="AL-Mohanad"/>
          <w:sz w:val="27"/>
          <w:szCs w:val="27"/>
          <w:rtl/>
          <w:lang w:bidi="ar-MA"/>
        </w:rPr>
        <w:t>، وقد يفتق من مقاصد الشريعة العامة نظريات علمية وقواعد اجتهادية حادثة في الممارسة الفقهية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فيضم</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ها إلى أدوات النظر الاجتهادي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ويكي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فها مع مستجد</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ات العصر.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أو يلجأ إلى قواعد معلومة ظل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ت محدودة الاستعمال والانتشار، فينهض إلى تنشيطها واستدراجها وفق المناخ الجديد</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بما تقتضيه طبيعة أوضاع الأقل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يات المسلمة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ليتحص</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ل من ذلك كل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ه فقه</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للأقل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يات</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ينبني على الفقه الإسلامي المأثور</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ويتجه </w:t>
      </w:r>
      <w:r w:rsidRPr="006571AC">
        <w:rPr>
          <w:rFonts w:ascii="Arial" w:hAnsi="Arial" w:cs="AL-Mohanad"/>
          <w:sz w:val="27"/>
          <w:szCs w:val="27"/>
          <w:rtl/>
          <w:lang w:bidi="ar-MA"/>
        </w:rPr>
        <w:lastRenderedPageBreak/>
        <w:t>بخصوصية</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في هذا الشأن، يضيف بها فقها</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جديدا</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يكون كفيلا</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بمعالجة هذا الوضع الجديد. </w:t>
      </w:r>
    </w:p>
    <w:p w:rsidR="001B0AB2" w:rsidRPr="006571AC" w:rsidRDefault="001B0AB2" w:rsidP="0042241D">
      <w:pPr>
        <w:pStyle w:val="af"/>
        <w:spacing w:line="384" w:lineRule="exact"/>
        <w:rPr>
          <w:rFonts w:ascii="Arial" w:hAnsi="Arial" w:cs="AL-Mohanad"/>
          <w:sz w:val="27"/>
          <w:szCs w:val="27"/>
          <w:rtl/>
          <w:lang w:bidi="ar-MA"/>
        </w:rPr>
      </w:pPr>
      <w:r w:rsidRPr="006571AC">
        <w:rPr>
          <w:rFonts w:ascii="Arial" w:hAnsi="Arial" w:cs="AL-Mohanad"/>
          <w:sz w:val="27"/>
          <w:szCs w:val="27"/>
          <w:rtl/>
          <w:lang w:bidi="ar-MA"/>
        </w:rPr>
        <w:t>ونحسب أن من بين أهم</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ما يمكن أن يستفاد منه في فقه الأقل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يات من الأصول الفقهية أصل اعتبار المآلات</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21"/>
      </w:r>
      <w:r w:rsidRPr="006571AC">
        <w:rPr>
          <w:rFonts w:ascii="Arial" w:hAnsi="Arial" w:cs="AL-Mohanad"/>
          <w:sz w:val="27"/>
          <w:szCs w:val="27"/>
          <w:vertAlign w:val="superscript"/>
          <w:rtl/>
          <w:lang w:bidi="ar-MA"/>
        </w:rPr>
        <w:t>)</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وذلك لأن هذا الأصل مبني</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تعديل الحكم الشرعي المتعل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ق بفعل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الأفعال</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إذا لم يكن محق</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قا</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لمقصده فيه</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حكم</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آخر يحق</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ق فيه مقصده</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وبتعق</w:t>
      </w:r>
      <w:r w:rsidR="00214B63" w:rsidRPr="006571AC">
        <w:rPr>
          <w:rFonts w:ascii="Arial" w:hAnsi="Arial" w:cs="AL-Mohanad" w:hint="cs"/>
          <w:sz w:val="27"/>
          <w:szCs w:val="27"/>
          <w:rtl/>
          <w:lang w:bidi="ar-MA"/>
        </w:rPr>
        <w:t>ُّ</w:t>
      </w:r>
      <w:r w:rsidRPr="006571AC">
        <w:rPr>
          <w:rFonts w:ascii="Arial" w:hAnsi="Arial" w:cs="AL-Mohanad"/>
          <w:sz w:val="27"/>
          <w:szCs w:val="27"/>
          <w:rtl/>
          <w:lang w:bidi="ar-MA"/>
        </w:rPr>
        <w:t>د الحياة الإنسانية الفردية والجماعية وتشابكها وتوس</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عها يكون لهذا الأصل المجال الأوسع للاجتهاد. </w:t>
      </w:r>
    </w:p>
    <w:p w:rsidR="001B0AB2" w:rsidRPr="006571AC" w:rsidRDefault="001B0AB2" w:rsidP="0042241D">
      <w:pPr>
        <w:pStyle w:val="af"/>
        <w:spacing w:line="384" w:lineRule="exact"/>
        <w:rPr>
          <w:rFonts w:ascii="Arial" w:hAnsi="Arial" w:cs="AL-Mohanad"/>
          <w:sz w:val="27"/>
          <w:szCs w:val="27"/>
          <w:rtl/>
          <w:lang w:bidi="ar-MA"/>
        </w:rPr>
      </w:pPr>
      <w:r w:rsidRPr="006571AC">
        <w:rPr>
          <w:rFonts w:ascii="Arial" w:hAnsi="Arial" w:cs="AL-Mohanad"/>
          <w:sz w:val="27"/>
          <w:szCs w:val="27"/>
          <w:rtl/>
          <w:lang w:bidi="ar-MA"/>
        </w:rPr>
        <w:t>وهي أوضاع</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تشتد</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صور التعقيد والتشابك فيها في واقع الأقل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يات المسلمة ضمن أكثري</w:t>
      </w:r>
      <w:r w:rsidR="00214B63" w:rsidRPr="006571AC">
        <w:rPr>
          <w:rFonts w:ascii="Arial" w:hAnsi="Arial" w:cs="AL-Mohanad" w:hint="cs"/>
          <w:sz w:val="27"/>
          <w:szCs w:val="27"/>
          <w:rtl/>
          <w:lang w:bidi="ar-MA"/>
        </w:rPr>
        <w:t>ّ</w:t>
      </w:r>
      <w:r w:rsidRPr="006571AC">
        <w:rPr>
          <w:rFonts w:ascii="Arial" w:hAnsi="Arial" w:cs="AL-Mohanad"/>
          <w:sz w:val="27"/>
          <w:szCs w:val="27"/>
          <w:rtl/>
          <w:lang w:bidi="ar-MA"/>
        </w:rPr>
        <w:t>ة</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غير مسلمة، الذي تكون فيه السيادة لقانون ونظام الحكم الأجنبي، </w:t>
      </w:r>
      <w:r w:rsidRPr="006571AC">
        <w:rPr>
          <w:rFonts w:ascii="Arial" w:hAnsi="Arial" w:cs="AL-Mohanad" w:hint="cs"/>
          <w:sz w:val="27"/>
          <w:szCs w:val="27"/>
          <w:rtl/>
          <w:lang w:bidi="ar-MA"/>
        </w:rPr>
        <w:t>مما يدل</w:t>
      </w:r>
      <w:r w:rsidR="00214B63"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ل على أن </w:t>
      </w:r>
      <w:r w:rsidRPr="006571AC">
        <w:rPr>
          <w:rFonts w:cs="AL-Mohanad" w:hint="eastAsia"/>
          <w:rtl/>
          <w:lang w:bidi="ar-MA"/>
        </w:rPr>
        <w:t>«</w:t>
      </w:r>
      <w:r w:rsidRPr="006571AC">
        <w:rPr>
          <w:rFonts w:ascii="Arial" w:hAnsi="Arial" w:cs="AL-Mohanad"/>
          <w:sz w:val="27"/>
          <w:szCs w:val="27"/>
          <w:rtl/>
          <w:lang w:bidi="ar-MA"/>
        </w:rPr>
        <w:t>هذه الأوضاع من شأنها أن تكسب أحوالا</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كثيرة من أحوال المسلمين خصوصيات ذاتية وموضوعية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تؤول بها لو ط</w:t>
      </w:r>
      <w:r w:rsidR="00214B63" w:rsidRPr="006571AC">
        <w:rPr>
          <w:rFonts w:ascii="Arial" w:hAnsi="Arial" w:cs="AL-Mohanad" w:hint="cs"/>
          <w:sz w:val="27"/>
          <w:szCs w:val="27"/>
          <w:rtl/>
          <w:lang w:bidi="ar-MA"/>
        </w:rPr>
        <w:t>ُ</w:t>
      </w:r>
      <w:r w:rsidRPr="006571AC">
        <w:rPr>
          <w:rFonts w:ascii="Arial" w:hAnsi="Arial" w:cs="AL-Mohanad"/>
          <w:sz w:val="27"/>
          <w:szCs w:val="27"/>
          <w:rtl/>
          <w:lang w:bidi="ar-MA"/>
        </w:rPr>
        <w:t>ب</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ق</w:t>
      </w:r>
      <w:r w:rsidR="00214B63" w:rsidRPr="006571AC">
        <w:rPr>
          <w:rFonts w:ascii="Arial" w:hAnsi="Arial" w:cs="AL-Mohanad" w:hint="cs"/>
          <w:sz w:val="27"/>
          <w:szCs w:val="27"/>
          <w:rtl/>
          <w:lang w:bidi="ar-MA"/>
        </w:rPr>
        <w:t>َ</w:t>
      </w:r>
      <w:r w:rsidRPr="006571AC">
        <w:rPr>
          <w:rFonts w:ascii="Arial" w:hAnsi="Arial" w:cs="AL-Mohanad"/>
          <w:sz w:val="27"/>
          <w:szCs w:val="27"/>
          <w:rtl/>
          <w:lang w:bidi="ar-MA"/>
        </w:rPr>
        <w:t>ت</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عليها الأحكام الشرعية العامة إلى مآلات تخالف مقاصد تلك الأحكام، فيكون إذن لقاعدة مآلات الأفعال </w:t>
      </w:r>
      <w:r w:rsidR="00EA38F1" w:rsidRPr="006571AC">
        <w:rPr>
          <w:rFonts w:ascii="Arial" w:hAnsi="Arial" w:cs="AL-Mohanad"/>
          <w:sz w:val="27"/>
          <w:szCs w:val="27"/>
          <w:rtl/>
          <w:lang w:bidi="ar-MA"/>
        </w:rPr>
        <w:t>دَوْر</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اجتهادي مهم في فقه الأقل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يات المسلمة، بل لعلها تكون من أهم</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القواعد الأصولية التي ينبغي تحكيمها في ذلك الفقه</w:t>
      </w:r>
      <w:r w:rsidRPr="006571AC">
        <w:rPr>
          <w:rFonts w:cs="AL-Mohanad" w:hint="eastAsia"/>
          <w:rtl/>
        </w:rPr>
        <w:t>»</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22"/>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42241D">
      <w:pPr>
        <w:pStyle w:val="af"/>
        <w:spacing w:line="384" w:lineRule="exact"/>
        <w:rPr>
          <w:rFonts w:ascii="Arial" w:hAnsi="Arial" w:cs="AL-Mohanad"/>
          <w:sz w:val="27"/>
          <w:szCs w:val="27"/>
          <w:rtl/>
          <w:lang w:bidi="ar-MA"/>
        </w:rPr>
      </w:pPr>
      <w:r w:rsidRPr="006571AC">
        <w:rPr>
          <w:rFonts w:ascii="Arial" w:hAnsi="Arial" w:cs="AL-Mohanad"/>
          <w:sz w:val="27"/>
          <w:szCs w:val="27"/>
          <w:rtl/>
          <w:lang w:bidi="ar-MA"/>
        </w:rPr>
        <w:t>والحكم الشرعي إنما يتخل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ف تحق</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ق مقصده عند إجراء الفعل عليه</w:t>
      </w:r>
      <w:r w:rsidR="00214B63"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بأسباب تعود في الغالب إلى خصوصية</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تطرأ على ذلك الفعل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تكون مانعة</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تحقيق الحكم لمقصده فيه</w:t>
      </w:r>
      <w:r w:rsidR="00214B63" w:rsidRPr="006571AC">
        <w:rPr>
          <w:rFonts w:ascii="Arial" w:hAnsi="Arial" w:cs="AL-Mohanad" w:hint="cs"/>
          <w:sz w:val="27"/>
          <w:szCs w:val="27"/>
          <w:rtl/>
          <w:lang w:bidi="ar-MA"/>
        </w:rPr>
        <w:t xml:space="preserve">. </w:t>
      </w:r>
      <w:r w:rsidRPr="006571AC">
        <w:rPr>
          <w:rFonts w:ascii="Arial" w:hAnsi="Arial" w:cs="AL-Mohanad"/>
          <w:sz w:val="27"/>
          <w:szCs w:val="27"/>
          <w:rtl/>
          <w:lang w:bidi="ar-MA"/>
        </w:rPr>
        <w:t>وأحوال الأقل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يات المسلمة هي أحوال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مشب</w:t>
      </w:r>
      <w:r w:rsidR="00214B63" w:rsidRPr="006571AC">
        <w:rPr>
          <w:rFonts w:ascii="Arial" w:hAnsi="Arial" w:cs="AL-Mohanad" w:hint="cs"/>
          <w:sz w:val="27"/>
          <w:szCs w:val="27"/>
          <w:rtl/>
          <w:lang w:bidi="ar-MA"/>
        </w:rPr>
        <w:t>َ</w:t>
      </w:r>
      <w:r w:rsidRPr="006571AC">
        <w:rPr>
          <w:rFonts w:ascii="Arial" w:hAnsi="Arial" w:cs="AL-Mohanad"/>
          <w:sz w:val="27"/>
          <w:szCs w:val="27"/>
          <w:rtl/>
          <w:lang w:bidi="ar-MA"/>
        </w:rPr>
        <w:t>عة بالخصوصيات المتنو</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عة بالنسبة </w:t>
      </w:r>
      <w:r w:rsidR="00214B63" w:rsidRPr="006571AC">
        <w:rPr>
          <w:rFonts w:ascii="Arial" w:hAnsi="Arial" w:cs="AL-Mohanad" w:hint="cs"/>
          <w:sz w:val="27"/>
          <w:szCs w:val="27"/>
          <w:rtl/>
          <w:lang w:bidi="ar-MA"/>
        </w:rPr>
        <w:t xml:space="preserve">إلى </w:t>
      </w:r>
      <w:r w:rsidRPr="006571AC">
        <w:rPr>
          <w:rFonts w:ascii="Arial" w:hAnsi="Arial" w:cs="AL-Mohanad"/>
          <w:sz w:val="27"/>
          <w:szCs w:val="27"/>
          <w:rtl/>
          <w:lang w:bidi="ar-MA"/>
        </w:rPr>
        <w:t>أحوال المسلمين في أوضاعهم العادية، وذلك ما يجعل معالجتها بالأحكام الشرعية الأصلية الموضوعة لأجناسها كثيرة الأيلولة فيها إلى غير مقاصدها، مما يحت</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م أن تعالج بشكل</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موس</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ع بأحكام</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تبنى على اعتبار المآلات</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لتحقيق مقاصد الشريعة. </w:t>
      </w:r>
    </w:p>
    <w:p w:rsidR="001B0AB2" w:rsidRPr="006571AC" w:rsidRDefault="001B0AB2" w:rsidP="0042241D">
      <w:pPr>
        <w:pStyle w:val="af"/>
        <w:spacing w:line="384" w:lineRule="exact"/>
        <w:rPr>
          <w:rFonts w:ascii="Arial" w:hAnsi="Arial" w:cs="AL-Mohanad"/>
          <w:sz w:val="27"/>
          <w:szCs w:val="27"/>
          <w:rtl/>
          <w:lang w:bidi="ar-MA"/>
        </w:rPr>
      </w:pPr>
      <w:r w:rsidRPr="006571AC">
        <w:rPr>
          <w:rFonts w:ascii="Arial" w:hAnsi="Arial" w:cs="AL-Mohanad"/>
          <w:sz w:val="27"/>
          <w:szCs w:val="27"/>
          <w:rtl/>
          <w:lang w:bidi="ar-MA"/>
        </w:rPr>
        <w:t>ويتبين هذا الأمر بوضوح</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خلال تبيان وجوه الخصوصية في أحوال الأقل</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يات المسلمة، ثم</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بتبيان وجوه تأثير تلك الخصوصيات في المآلات</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لتكون معتبر</w:t>
      </w:r>
      <w:r w:rsidRPr="006571AC">
        <w:rPr>
          <w:rFonts w:ascii="Arial" w:hAnsi="Arial" w:cs="AL-Mohanad" w:hint="cs"/>
          <w:sz w:val="27"/>
          <w:szCs w:val="27"/>
          <w:rtl/>
          <w:lang w:bidi="ar-MA"/>
        </w:rPr>
        <w:t>ة</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المعالجة الفقهية، ومن ذلك يت</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ضح ال</w:t>
      </w:r>
      <w:r w:rsidR="00A76FEB" w:rsidRPr="006571AC">
        <w:rPr>
          <w:rFonts w:ascii="Arial" w:hAnsi="Arial" w:cs="AL-Mohanad"/>
          <w:sz w:val="27"/>
          <w:szCs w:val="27"/>
          <w:rtl/>
          <w:lang w:bidi="ar-MA"/>
        </w:rPr>
        <w:t>د</w:t>
      </w:r>
      <w:r w:rsidR="00A76FEB" w:rsidRPr="006571AC">
        <w:rPr>
          <w:rFonts w:ascii="Arial" w:hAnsi="Arial" w:cs="AL-Mohanad" w:hint="cs"/>
          <w:sz w:val="27"/>
          <w:szCs w:val="27"/>
          <w:rtl/>
          <w:lang w:bidi="ar-MA"/>
        </w:rPr>
        <w:t>َّ</w:t>
      </w:r>
      <w:r w:rsidR="00EA38F1" w:rsidRPr="006571AC">
        <w:rPr>
          <w:rFonts w:ascii="Arial" w:hAnsi="Arial" w:cs="AL-Mohanad"/>
          <w:sz w:val="27"/>
          <w:szCs w:val="27"/>
          <w:rtl/>
          <w:lang w:bidi="ar-MA"/>
        </w:rPr>
        <w:t>وْر</w:t>
      </w:r>
      <w:r w:rsidRPr="006571AC">
        <w:rPr>
          <w:rFonts w:ascii="Arial" w:hAnsi="Arial" w:cs="AL-Mohanad"/>
          <w:sz w:val="27"/>
          <w:szCs w:val="27"/>
          <w:rtl/>
          <w:lang w:bidi="ar-MA"/>
        </w:rPr>
        <w:t xml:space="preserve"> الكبير لهذا الأصل الفقهي في إثراء فقه الأقل</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يات وتنميته وتطويره</w:t>
      </w:r>
      <w:r w:rsidRPr="006571AC">
        <w:rPr>
          <w:rFonts w:ascii="Arial" w:hAnsi="Arial" w:cs="AL-Mohanad" w:hint="cs"/>
          <w:sz w:val="27"/>
          <w:szCs w:val="27"/>
          <w:rtl/>
          <w:lang w:bidi="ar-MA"/>
        </w:rPr>
        <w:t xml:space="preserve"> وتثويره</w:t>
      </w:r>
      <w:r w:rsidRPr="006571AC">
        <w:rPr>
          <w:rFonts w:ascii="Arial" w:hAnsi="Arial" w:cs="AL-Mohanad"/>
          <w:sz w:val="27"/>
          <w:szCs w:val="27"/>
          <w:rtl/>
          <w:lang w:bidi="ar-MA"/>
        </w:rPr>
        <w:t xml:space="preserve">. </w:t>
      </w:r>
    </w:p>
    <w:p w:rsidR="001B0AB2" w:rsidRPr="006571AC" w:rsidRDefault="001B0AB2" w:rsidP="0042241D">
      <w:pPr>
        <w:pStyle w:val="af"/>
        <w:spacing w:line="384" w:lineRule="exact"/>
        <w:rPr>
          <w:rFonts w:ascii="Arial" w:hAnsi="Arial" w:cs="AL-Mohanad"/>
          <w:sz w:val="27"/>
          <w:szCs w:val="27"/>
          <w:rtl/>
          <w:lang w:bidi="ar-MA"/>
        </w:rPr>
      </w:pPr>
    </w:p>
    <w:p w:rsidR="001B0AB2" w:rsidRPr="006571AC" w:rsidRDefault="001B0AB2" w:rsidP="00171C4C">
      <w:pPr>
        <w:pStyle w:val="31"/>
        <w:rPr>
          <w:color w:val="auto"/>
          <w:rtl/>
          <w:lang w:bidi="ar-MA"/>
        </w:rPr>
      </w:pPr>
      <w:bookmarkStart w:id="386" w:name="_Toc114164799"/>
      <w:r w:rsidRPr="006571AC">
        <w:rPr>
          <w:rFonts w:hint="cs"/>
          <w:color w:val="auto"/>
          <w:rtl/>
          <w:lang w:bidi="ar-MA"/>
        </w:rPr>
        <w:t>الإفتاء والمذهبي</w:t>
      </w:r>
      <w:r w:rsidR="00912DE5" w:rsidRPr="006571AC">
        <w:rPr>
          <w:rFonts w:hint="cs"/>
          <w:color w:val="auto"/>
          <w:rtl/>
          <w:lang w:bidi="ar-MA"/>
        </w:rPr>
        <w:t>ّ</w:t>
      </w:r>
      <w:r w:rsidRPr="006571AC">
        <w:rPr>
          <w:rFonts w:hint="cs"/>
          <w:color w:val="auto"/>
          <w:rtl/>
          <w:lang w:bidi="ar-MA"/>
        </w:rPr>
        <w:t>ة الفقهي</w:t>
      </w:r>
      <w:r w:rsidR="00912DE5" w:rsidRPr="006571AC">
        <w:rPr>
          <w:rFonts w:hint="cs"/>
          <w:color w:val="auto"/>
          <w:rtl/>
          <w:lang w:bidi="ar-MA"/>
        </w:rPr>
        <w:t>ّ</w:t>
      </w:r>
      <w:r w:rsidRPr="006571AC">
        <w:rPr>
          <w:rFonts w:hint="cs"/>
          <w:color w:val="auto"/>
          <w:rtl/>
          <w:lang w:bidi="ar-MA"/>
        </w:rPr>
        <w:t>ة</w:t>
      </w:r>
      <w:bookmarkEnd w:id="386"/>
      <w:r w:rsidRPr="006571AC">
        <w:rPr>
          <w:rFonts w:hint="cs"/>
          <w:color w:val="auto"/>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وفي</w:t>
      </w:r>
      <w:r w:rsidR="00A76FEB" w:rsidRPr="006571AC">
        <w:rPr>
          <w:rFonts w:ascii="Arial" w:hAnsi="Arial" w:cs="AL-Mohanad" w:hint="cs"/>
          <w:sz w:val="27"/>
          <w:szCs w:val="27"/>
          <w:rtl/>
          <w:lang w:bidi="ar-MA"/>
        </w:rPr>
        <w:t xml:space="preserve"> </w:t>
      </w:r>
      <w:r w:rsidRPr="006571AC">
        <w:rPr>
          <w:rFonts w:ascii="Arial" w:hAnsi="Arial" w:cs="AL-Mohanad"/>
          <w:sz w:val="27"/>
          <w:szCs w:val="27"/>
          <w:rtl/>
          <w:lang w:bidi="ar-MA"/>
        </w:rPr>
        <w:t>ما يتعل</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ق بالإفتاء المذهبي الذي يشك</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ل </w:t>
      </w:r>
      <w:r w:rsidR="00A76FEB" w:rsidRPr="006571AC">
        <w:rPr>
          <w:rFonts w:ascii="Arial" w:hAnsi="Arial" w:cs="AL-Mohanad"/>
          <w:sz w:val="27"/>
          <w:szCs w:val="27"/>
          <w:rtl/>
          <w:lang w:bidi="ar-MA"/>
        </w:rPr>
        <w:t>أحيانا</w:t>
      </w:r>
      <w:r w:rsidR="00A76FEB" w:rsidRPr="006571AC">
        <w:rPr>
          <w:rFonts w:ascii="Arial" w:hAnsi="Arial" w:cs="AL-Mohanad" w:hint="cs"/>
          <w:sz w:val="27"/>
          <w:szCs w:val="27"/>
          <w:rtl/>
          <w:lang w:bidi="ar-MA"/>
        </w:rPr>
        <w:t>ً</w:t>
      </w:r>
      <w:r w:rsidR="00A76FEB" w:rsidRPr="006571AC">
        <w:rPr>
          <w:rFonts w:ascii="Arial" w:hAnsi="Arial" w:cs="AL-Mohanad"/>
          <w:sz w:val="27"/>
          <w:szCs w:val="27"/>
          <w:rtl/>
          <w:lang w:bidi="ar-MA"/>
        </w:rPr>
        <w:t xml:space="preserve"> </w:t>
      </w:r>
      <w:r w:rsidRPr="006571AC">
        <w:rPr>
          <w:rFonts w:ascii="Arial" w:hAnsi="Arial" w:cs="AL-Mohanad"/>
          <w:sz w:val="27"/>
          <w:szCs w:val="27"/>
          <w:rtl/>
          <w:lang w:bidi="ar-MA"/>
        </w:rPr>
        <w:t>عائقا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ومانعا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توح</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د الفتوى </w:t>
      </w:r>
      <w:r w:rsidRPr="006571AC">
        <w:rPr>
          <w:rFonts w:ascii="Arial" w:hAnsi="Arial" w:cs="AL-Mohanad"/>
          <w:sz w:val="27"/>
          <w:szCs w:val="27"/>
          <w:rtl/>
          <w:lang w:bidi="ar-MA"/>
        </w:rPr>
        <w:lastRenderedPageBreak/>
        <w:t>بالغرب، وإلى إنزال الع</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ن</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ت والشد</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ة على الناس</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وإثارة البلبلة في نفوسهم</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بفعل تضارب الفتاوى</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وتدخ</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ل الجهات الرسمية لبلدان الأقل</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يات في توجيه رعاياها ومواطنيها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لتبن</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ي نوع</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الأحكام الفقهية</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دون غيرها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وكأنها مستقر</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ة</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أرضها.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والمثال الماثل بين يدي هو الاختلاف العويص في مطالع الشهور وإثبات الأشهر القمرية في حالات الصوم والإفطار، التي تعرف د</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و</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ما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نقاشا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حاد</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بين الجاليات المسلمة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وتنتج عنها تأويلات</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سياسية للأمر</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لا تخدم مستقبل الوجود الإسلامي هناك</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ولا تراعي خصوصياته.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فالسؤال المثار إزاء هذه الظاهرة هو</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هل تقليد مذهب</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معين من ضرورات الدين</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ومن مستلزمات الحياة الإسلامية</w:t>
      </w:r>
      <w:r w:rsidRPr="006571AC">
        <w:rPr>
          <w:rFonts w:ascii="Arial" w:hAnsi="Arial" w:cs="AL-Mohanad" w:hint="cs"/>
          <w:sz w:val="27"/>
          <w:szCs w:val="27"/>
          <w:rtl/>
          <w:lang w:bidi="ar-MA"/>
        </w:rPr>
        <w:t xml:space="preserve"> في الغرب</w:t>
      </w:r>
      <w:r w:rsidRPr="006571AC">
        <w:rPr>
          <w:rFonts w:ascii="Arial" w:hAnsi="Arial" w:cs="AL-Mohanad"/>
          <w:sz w:val="27"/>
          <w:szCs w:val="27"/>
          <w:rtl/>
          <w:lang w:bidi="ar-MA"/>
        </w:rPr>
        <w:t xml:space="preserve">؟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إن بناء فقه الأقل</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يات لا ينبغي أن ي</w:t>
      </w:r>
      <w:r w:rsidR="00C8042E" w:rsidRPr="006571AC">
        <w:rPr>
          <w:rFonts w:ascii="Arial" w:hAnsi="Arial" w:cs="AL-Mohanad" w:hint="cs"/>
          <w:sz w:val="27"/>
          <w:szCs w:val="27"/>
          <w:rtl/>
          <w:lang w:bidi="ar-MA"/>
        </w:rPr>
        <w:t>ُ</w:t>
      </w:r>
      <w:r w:rsidRPr="006571AC">
        <w:rPr>
          <w:rFonts w:ascii="Arial" w:hAnsi="Arial" w:cs="AL-Mohanad"/>
          <w:sz w:val="27"/>
          <w:szCs w:val="27"/>
          <w:rtl/>
          <w:lang w:bidi="ar-MA"/>
        </w:rPr>
        <w:t>حاص</w:t>
      </w:r>
      <w:r w:rsidR="00C8042E" w:rsidRPr="006571AC">
        <w:rPr>
          <w:rFonts w:ascii="Arial" w:hAnsi="Arial" w:cs="AL-Mohanad" w:hint="cs"/>
          <w:sz w:val="27"/>
          <w:szCs w:val="27"/>
          <w:rtl/>
          <w:lang w:bidi="ar-MA"/>
        </w:rPr>
        <w:t>َ</w:t>
      </w:r>
      <w:r w:rsidRPr="006571AC">
        <w:rPr>
          <w:rFonts w:ascii="Arial" w:hAnsi="Arial" w:cs="AL-Mohanad"/>
          <w:sz w:val="27"/>
          <w:szCs w:val="27"/>
          <w:rtl/>
          <w:lang w:bidi="ar-MA"/>
        </w:rPr>
        <w:t>ر بهذه المذهبية الضيقة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دمنا ألح</w:t>
      </w:r>
      <w:r w:rsidR="00C8042E" w:rsidRPr="006571AC">
        <w:rPr>
          <w:rFonts w:ascii="Arial" w:hAnsi="Arial" w:cs="AL-Mohanad" w:hint="cs"/>
          <w:sz w:val="27"/>
          <w:szCs w:val="27"/>
          <w:rtl/>
          <w:lang w:bidi="ar-MA"/>
        </w:rPr>
        <w:t>َ</w:t>
      </w:r>
      <w:r w:rsidRPr="006571AC">
        <w:rPr>
          <w:rFonts w:ascii="Arial" w:hAnsi="Arial" w:cs="AL-Mohanad"/>
          <w:sz w:val="27"/>
          <w:szCs w:val="27"/>
          <w:rtl/>
          <w:lang w:bidi="ar-MA"/>
        </w:rPr>
        <w:t>ح</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نا على خصوصية الوضع في هذه المناطق، والتي ذك</w:t>
      </w:r>
      <w:r w:rsidR="00C8042E" w:rsidRPr="006571AC">
        <w:rPr>
          <w:rFonts w:ascii="Arial" w:hAnsi="Arial" w:cs="AL-Mohanad" w:hint="cs"/>
          <w:sz w:val="27"/>
          <w:szCs w:val="27"/>
          <w:rtl/>
          <w:lang w:bidi="ar-MA"/>
        </w:rPr>
        <w:t>َ</w:t>
      </w:r>
      <w:r w:rsidRPr="006571AC">
        <w:rPr>
          <w:rFonts w:ascii="Arial" w:hAnsi="Arial" w:cs="AL-Mohanad"/>
          <w:sz w:val="27"/>
          <w:szCs w:val="27"/>
          <w:rtl/>
          <w:lang w:bidi="ar-MA"/>
        </w:rPr>
        <w:t>ر</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نا أن من جملة ما يقتضيه هذا الاختصاص هو إيجاد فقه</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نوعي</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يصلح لجماعة</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نموذجية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تختلف في تحد</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ياتها عن الجماعة المسلمة في بلدانها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 xml:space="preserve">الأصلية. </w:t>
      </w:r>
    </w:p>
    <w:p w:rsidR="001B0AB2" w:rsidRPr="006571AC" w:rsidRDefault="001B0AB2" w:rsidP="002A2E03">
      <w:pPr>
        <w:pStyle w:val="af"/>
        <w:rPr>
          <w:rFonts w:ascii="Arial" w:hAnsi="Arial" w:cs="AL-Mohanad"/>
          <w:sz w:val="27"/>
          <w:szCs w:val="27"/>
          <w:rtl/>
        </w:rPr>
      </w:pPr>
      <w:r w:rsidRPr="006571AC">
        <w:rPr>
          <w:rFonts w:ascii="Arial" w:hAnsi="Arial" w:cs="AL-Mohanad"/>
          <w:sz w:val="27"/>
          <w:szCs w:val="27"/>
          <w:rtl/>
        </w:rPr>
        <w:t>وفي هذه الحالة نذهب مع الشاطبي في رأيه الحامل على الانتقاء مع الارتقاء إلى التوس</w:t>
      </w:r>
      <w:r w:rsidR="00C8042E" w:rsidRPr="006571AC">
        <w:rPr>
          <w:rFonts w:ascii="Arial" w:hAnsi="Arial" w:cs="AL-Mohanad" w:hint="cs"/>
          <w:sz w:val="27"/>
          <w:szCs w:val="27"/>
          <w:rtl/>
        </w:rPr>
        <w:t>ُّ</w:t>
      </w:r>
      <w:r w:rsidRPr="006571AC">
        <w:rPr>
          <w:rFonts w:ascii="Arial" w:hAnsi="Arial" w:cs="AL-Mohanad"/>
          <w:sz w:val="27"/>
          <w:szCs w:val="27"/>
          <w:rtl/>
        </w:rPr>
        <w:t>ط في الأحكام</w:t>
      </w:r>
      <w:r w:rsidR="00C8042E" w:rsidRPr="006571AC">
        <w:rPr>
          <w:rFonts w:ascii="Arial" w:hAnsi="Arial" w:cs="AL-Mohanad" w:hint="cs"/>
          <w:sz w:val="27"/>
          <w:szCs w:val="27"/>
          <w:rtl/>
        </w:rPr>
        <w:t>؛</w:t>
      </w:r>
      <w:r w:rsidRPr="006571AC">
        <w:rPr>
          <w:rFonts w:ascii="Arial" w:hAnsi="Arial" w:cs="AL-Mohanad" w:hint="cs"/>
          <w:sz w:val="27"/>
          <w:szCs w:val="27"/>
          <w:rtl/>
        </w:rPr>
        <w:t xml:space="preserve"> </w:t>
      </w:r>
      <w:r w:rsidRPr="006571AC">
        <w:rPr>
          <w:rFonts w:ascii="Arial" w:hAnsi="Arial" w:cs="AL-Mohanad"/>
          <w:sz w:val="27"/>
          <w:szCs w:val="27"/>
          <w:rtl/>
        </w:rPr>
        <w:t xml:space="preserve">إذ </w:t>
      </w:r>
      <w:r w:rsidRPr="006571AC">
        <w:rPr>
          <w:rFonts w:cs="AL-Mohanad" w:hint="eastAsia"/>
          <w:rtl/>
        </w:rPr>
        <w:t>«</w:t>
      </w:r>
      <w:r w:rsidRPr="006571AC">
        <w:rPr>
          <w:rFonts w:ascii="Arial" w:hAnsi="Arial" w:cs="AL-Mohanad"/>
          <w:sz w:val="27"/>
          <w:szCs w:val="27"/>
          <w:rtl/>
        </w:rPr>
        <w:t>التوس</w:t>
      </w:r>
      <w:r w:rsidR="00C8042E" w:rsidRPr="006571AC">
        <w:rPr>
          <w:rFonts w:ascii="Arial" w:hAnsi="Arial" w:cs="AL-Mohanad" w:hint="cs"/>
          <w:sz w:val="27"/>
          <w:szCs w:val="27"/>
          <w:rtl/>
        </w:rPr>
        <w:t>ُّ</w:t>
      </w:r>
      <w:r w:rsidRPr="006571AC">
        <w:rPr>
          <w:rFonts w:ascii="Arial" w:hAnsi="Arial" w:cs="AL-Mohanad"/>
          <w:sz w:val="27"/>
          <w:szCs w:val="27"/>
          <w:rtl/>
        </w:rPr>
        <w:t>ط هو الموافق لقصد الشارع</w:t>
      </w:r>
      <w:r w:rsidRPr="006571AC">
        <w:rPr>
          <w:rFonts w:ascii="Arial" w:hAnsi="Arial" w:cs="AL-Mohanad" w:hint="cs"/>
          <w:sz w:val="27"/>
          <w:szCs w:val="27"/>
          <w:rtl/>
        </w:rPr>
        <w:t xml:space="preserve">، </w:t>
      </w:r>
      <w:r w:rsidRPr="006571AC">
        <w:rPr>
          <w:rFonts w:ascii="Arial" w:hAnsi="Arial" w:cs="AL-Mohanad"/>
          <w:sz w:val="27"/>
          <w:szCs w:val="27"/>
          <w:rtl/>
        </w:rPr>
        <w:t>وهو الذي كان عليه الس</w:t>
      </w:r>
      <w:r w:rsidR="009F520D" w:rsidRPr="006571AC">
        <w:rPr>
          <w:rFonts w:ascii="Arial" w:hAnsi="Arial" w:cs="AL-Mohanad" w:hint="cs"/>
          <w:sz w:val="27"/>
          <w:szCs w:val="27"/>
          <w:rtl/>
        </w:rPr>
        <w:t>َّ</w:t>
      </w:r>
      <w:r w:rsidRPr="006571AC">
        <w:rPr>
          <w:rFonts w:ascii="Arial" w:hAnsi="Arial" w:cs="AL-Mohanad"/>
          <w:sz w:val="27"/>
          <w:szCs w:val="27"/>
          <w:rtl/>
        </w:rPr>
        <w:t>ل</w:t>
      </w:r>
      <w:r w:rsidR="009F520D" w:rsidRPr="006571AC">
        <w:rPr>
          <w:rFonts w:ascii="Arial" w:hAnsi="Arial" w:cs="AL-Mohanad" w:hint="cs"/>
          <w:sz w:val="27"/>
          <w:szCs w:val="27"/>
          <w:rtl/>
        </w:rPr>
        <w:t>َ</w:t>
      </w:r>
      <w:r w:rsidRPr="006571AC">
        <w:rPr>
          <w:rFonts w:ascii="Arial" w:hAnsi="Arial" w:cs="AL-Mohanad"/>
          <w:sz w:val="27"/>
          <w:szCs w:val="27"/>
          <w:rtl/>
        </w:rPr>
        <w:t>ف الصالح، فلينظر المقل</w:t>
      </w:r>
      <w:r w:rsidR="00C8042E" w:rsidRPr="006571AC">
        <w:rPr>
          <w:rFonts w:ascii="Arial" w:hAnsi="Arial" w:cs="AL-Mohanad" w:hint="cs"/>
          <w:sz w:val="27"/>
          <w:szCs w:val="27"/>
          <w:rtl/>
        </w:rPr>
        <w:t>ِّ</w:t>
      </w:r>
      <w:r w:rsidRPr="006571AC">
        <w:rPr>
          <w:rFonts w:ascii="Arial" w:hAnsi="Arial" w:cs="AL-Mohanad"/>
          <w:sz w:val="27"/>
          <w:szCs w:val="27"/>
          <w:rtl/>
        </w:rPr>
        <w:t>د أي</w:t>
      </w:r>
      <w:r w:rsidR="00C8042E" w:rsidRPr="006571AC">
        <w:rPr>
          <w:rFonts w:ascii="Arial" w:hAnsi="Arial" w:cs="AL-Mohanad" w:hint="cs"/>
          <w:sz w:val="27"/>
          <w:szCs w:val="27"/>
          <w:rtl/>
        </w:rPr>
        <w:t>ّ</w:t>
      </w:r>
      <w:r w:rsidRPr="006571AC">
        <w:rPr>
          <w:rFonts w:ascii="Arial" w:hAnsi="Arial" w:cs="AL-Mohanad"/>
          <w:sz w:val="27"/>
          <w:szCs w:val="27"/>
          <w:rtl/>
        </w:rPr>
        <w:t xml:space="preserve"> مذهب</w:t>
      </w:r>
      <w:r w:rsidR="00C8042E" w:rsidRPr="006571AC">
        <w:rPr>
          <w:rFonts w:ascii="Arial" w:hAnsi="Arial" w:cs="AL-Mohanad" w:hint="cs"/>
          <w:sz w:val="27"/>
          <w:szCs w:val="27"/>
          <w:rtl/>
        </w:rPr>
        <w:t>ٍ</w:t>
      </w:r>
      <w:r w:rsidRPr="006571AC">
        <w:rPr>
          <w:rFonts w:ascii="Arial" w:hAnsi="Arial" w:cs="AL-Mohanad"/>
          <w:sz w:val="27"/>
          <w:szCs w:val="27"/>
          <w:rtl/>
        </w:rPr>
        <w:t xml:space="preserve"> كان أجرى على ذلك الطريق</w:t>
      </w:r>
      <w:r w:rsidRPr="006571AC">
        <w:rPr>
          <w:rFonts w:ascii="Arial" w:hAnsi="Arial" w:cs="AL-Mohanad" w:hint="cs"/>
          <w:sz w:val="27"/>
          <w:szCs w:val="27"/>
          <w:rtl/>
        </w:rPr>
        <w:t xml:space="preserve"> </w:t>
      </w:r>
      <w:r w:rsidRPr="006571AC">
        <w:rPr>
          <w:rFonts w:ascii="Arial" w:hAnsi="Arial" w:cs="AL-Mohanad"/>
          <w:sz w:val="27"/>
          <w:szCs w:val="27"/>
          <w:rtl/>
        </w:rPr>
        <w:t>فهو أخلق بالاتباع</w:t>
      </w:r>
      <w:r w:rsidR="00C8042E" w:rsidRPr="006571AC">
        <w:rPr>
          <w:rFonts w:ascii="Arial" w:hAnsi="Arial" w:cs="AL-Mohanad" w:hint="cs"/>
          <w:sz w:val="27"/>
          <w:szCs w:val="27"/>
          <w:rtl/>
        </w:rPr>
        <w:t>،</w:t>
      </w:r>
      <w:r w:rsidRPr="006571AC">
        <w:rPr>
          <w:rFonts w:ascii="Arial" w:hAnsi="Arial" w:cs="AL-Mohanad"/>
          <w:sz w:val="27"/>
          <w:szCs w:val="27"/>
          <w:rtl/>
        </w:rPr>
        <w:t xml:space="preserve"> وأ</w:t>
      </w:r>
      <w:r w:rsidR="00C8042E" w:rsidRPr="006571AC">
        <w:rPr>
          <w:rFonts w:ascii="Arial" w:hAnsi="Arial" w:cs="AL-Mohanad" w:hint="cs"/>
          <w:sz w:val="27"/>
          <w:szCs w:val="27"/>
          <w:rtl/>
        </w:rPr>
        <w:t>َ</w:t>
      </w:r>
      <w:r w:rsidRPr="006571AC">
        <w:rPr>
          <w:rFonts w:ascii="Arial" w:hAnsi="Arial" w:cs="AL-Mohanad"/>
          <w:sz w:val="27"/>
          <w:szCs w:val="27"/>
          <w:rtl/>
        </w:rPr>
        <w:t>و</w:t>
      </w:r>
      <w:r w:rsidR="00C8042E" w:rsidRPr="006571AC">
        <w:rPr>
          <w:rFonts w:ascii="Arial" w:hAnsi="Arial" w:cs="AL-Mohanad" w:hint="cs"/>
          <w:sz w:val="27"/>
          <w:szCs w:val="27"/>
          <w:rtl/>
        </w:rPr>
        <w:t>ْ</w:t>
      </w:r>
      <w:r w:rsidRPr="006571AC">
        <w:rPr>
          <w:rFonts w:ascii="Arial" w:hAnsi="Arial" w:cs="AL-Mohanad"/>
          <w:sz w:val="27"/>
          <w:szCs w:val="27"/>
          <w:rtl/>
        </w:rPr>
        <w:t>لى بالاعتبار، وإن</w:t>
      </w:r>
      <w:r w:rsidR="00C8042E" w:rsidRPr="006571AC">
        <w:rPr>
          <w:rFonts w:ascii="Arial" w:hAnsi="Arial" w:cs="AL-Mohanad" w:hint="cs"/>
          <w:sz w:val="27"/>
          <w:szCs w:val="27"/>
          <w:rtl/>
        </w:rPr>
        <w:t>ْ</w:t>
      </w:r>
      <w:r w:rsidRPr="006571AC">
        <w:rPr>
          <w:rFonts w:ascii="Arial" w:hAnsi="Arial" w:cs="AL-Mohanad"/>
          <w:sz w:val="27"/>
          <w:szCs w:val="27"/>
          <w:rtl/>
        </w:rPr>
        <w:t xml:space="preserve"> كانت المذاهب كل</w:t>
      </w:r>
      <w:r w:rsidR="00C8042E" w:rsidRPr="006571AC">
        <w:rPr>
          <w:rFonts w:ascii="Arial" w:hAnsi="Arial" w:cs="AL-Mohanad" w:hint="cs"/>
          <w:sz w:val="27"/>
          <w:szCs w:val="27"/>
          <w:rtl/>
        </w:rPr>
        <w:t>ّ</w:t>
      </w:r>
      <w:r w:rsidRPr="006571AC">
        <w:rPr>
          <w:rFonts w:ascii="Arial" w:hAnsi="Arial" w:cs="AL-Mohanad"/>
          <w:sz w:val="27"/>
          <w:szCs w:val="27"/>
          <w:rtl/>
        </w:rPr>
        <w:t>ها طرقا</w:t>
      </w:r>
      <w:r w:rsidR="00C8042E" w:rsidRPr="006571AC">
        <w:rPr>
          <w:rFonts w:ascii="Arial" w:hAnsi="Arial" w:cs="AL-Mohanad" w:hint="cs"/>
          <w:sz w:val="27"/>
          <w:szCs w:val="27"/>
          <w:rtl/>
        </w:rPr>
        <w:t>ً</w:t>
      </w:r>
      <w:r w:rsidRPr="006571AC">
        <w:rPr>
          <w:rFonts w:ascii="Arial" w:hAnsi="Arial" w:cs="AL-Mohanad"/>
          <w:sz w:val="27"/>
          <w:szCs w:val="27"/>
          <w:rtl/>
        </w:rPr>
        <w:t xml:space="preserve"> إلى الله</w:t>
      </w:r>
      <w:r w:rsidRPr="006571AC">
        <w:rPr>
          <w:rFonts w:ascii="Arial" w:hAnsi="Arial" w:cs="AL-Mohanad" w:hint="cs"/>
          <w:sz w:val="27"/>
          <w:szCs w:val="27"/>
          <w:rtl/>
        </w:rPr>
        <w:t xml:space="preserve">، </w:t>
      </w:r>
      <w:r w:rsidRPr="006571AC">
        <w:rPr>
          <w:rFonts w:ascii="Arial" w:hAnsi="Arial" w:cs="AL-Mohanad"/>
          <w:sz w:val="27"/>
          <w:szCs w:val="27"/>
          <w:rtl/>
        </w:rPr>
        <w:t>ولكن</w:t>
      </w:r>
      <w:r w:rsidR="00C8042E" w:rsidRPr="006571AC">
        <w:rPr>
          <w:rFonts w:ascii="Arial" w:hAnsi="Arial" w:cs="AL-Mohanad" w:hint="cs"/>
          <w:sz w:val="27"/>
          <w:szCs w:val="27"/>
          <w:rtl/>
        </w:rPr>
        <w:t>ّ</w:t>
      </w:r>
      <w:r w:rsidRPr="006571AC">
        <w:rPr>
          <w:rFonts w:ascii="Arial" w:hAnsi="Arial" w:cs="AL-Mohanad"/>
          <w:sz w:val="27"/>
          <w:szCs w:val="27"/>
          <w:rtl/>
        </w:rPr>
        <w:t xml:space="preserve"> الترجيح فيها </w:t>
      </w:r>
      <w:r w:rsidR="00731867" w:rsidRPr="006571AC">
        <w:rPr>
          <w:rFonts w:ascii="Arial" w:hAnsi="Arial" w:cs="AL-Mohanad"/>
          <w:sz w:val="27"/>
          <w:szCs w:val="27"/>
          <w:rtl/>
        </w:rPr>
        <w:t>لا بُدَّ</w:t>
      </w:r>
      <w:r w:rsidRPr="006571AC">
        <w:rPr>
          <w:rFonts w:ascii="Arial" w:hAnsi="Arial" w:cs="AL-Mohanad"/>
          <w:sz w:val="27"/>
          <w:szCs w:val="27"/>
          <w:rtl/>
        </w:rPr>
        <w:t xml:space="preserve"> منه</w:t>
      </w:r>
      <w:r w:rsidR="00C8042E" w:rsidRPr="006571AC">
        <w:rPr>
          <w:rFonts w:ascii="Arial" w:hAnsi="Arial" w:cs="AL-Mohanad" w:hint="cs"/>
          <w:sz w:val="27"/>
          <w:szCs w:val="27"/>
          <w:rtl/>
        </w:rPr>
        <w:t>؛</w:t>
      </w:r>
      <w:r w:rsidRPr="006571AC">
        <w:rPr>
          <w:rFonts w:ascii="Arial" w:hAnsi="Arial" w:cs="AL-Mohanad"/>
          <w:sz w:val="27"/>
          <w:szCs w:val="27"/>
          <w:rtl/>
        </w:rPr>
        <w:t xml:space="preserve"> لأنه أبعد من اتباع الهوى</w:t>
      </w:r>
      <w:r w:rsidR="00C8042E" w:rsidRPr="006571AC">
        <w:rPr>
          <w:rFonts w:ascii="Arial" w:hAnsi="Arial" w:cs="AL-Mohanad" w:hint="cs"/>
          <w:sz w:val="27"/>
          <w:szCs w:val="27"/>
          <w:rtl/>
        </w:rPr>
        <w:t>،</w:t>
      </w:r>
      <w:r w:rsidRPr="006571AC">
        <w:rPr>
          <w:rFonts w:ascii="Arial" w:hAnsi="Arial" w:cs="AL-Mohanad"/>
          <w:sz w:val="27"/>
          <w:szCs w:val="27"/>
          <w:rtl/>
        </w:rPr>
        <w:t xml:space="preserve"> كما تقد</w:t>
      </w:r>
      <w:r w:rsidR="00C8042E" w:rsidRPr="006571AC">
        <w:rPr>
          <w:rFonts w:ascii="Arial" w:hAnsi="Arial" w:cs="AL-Mohanad" w:hint="cs"/>
          <w:sz w:val="27"/>
          <w:szCs w:val="27"/>
          <w:rtl/>
        </w:rPr>
        <w:t>َّ</w:t>
      </w:r>
      <w:r w:rsidRPr="006571AC">
        <w:rPr>
          <w:rFonts w:ascii="Arial" w:hAnsi="Arial" w:cs="AL-Mohanad"/>
          <w:sz w:val="27"/>
          <w:szCs w:val="27"/>
          <w:rtl/>
        </w:rPr>
        <w:t>م</w:t>
      </w:r>
      <w:r w:rsidRPr="006571AC">
        <w:rPr>
          <w:rFonts w:ascii="Arial" w:hAnsi="Arial" w:cs="AL-Mohanad" w:hint="cs"/>
          <w:sz w:val="27"/>
          <w:szCs w:val="27"/>
          <w:rtl/>
        </w:rPr>
        <w:t xml:space="preserve">، </w:t>
      </w:r>
      <w:r w:rsidRPr="006571AC">
        <w:rPr>
          <w:rFonts w:ascii="Arial" w:hAnsi="Arial" w:cs="AL-Mohanad"/>
          <w:sz w:val="27"/>
          <w:szCs w:val="27"/>
          <w:rtl/>
        </w:rPr>
        <w:t>وأقرب إلى تحر</w:t>
      </w:r>
      <w:r w:rsidR="00C8042E" w:rsidRPr="006571AC">
        <w:rPr>
          <w:rFonts w:ascii="Arial" w:hAnsi="Arial" w:cs="AL-Mohanad" w:hint="cs"/>
          <w:sz w:val="27"/>
          <w:szCs w:val="27"/>
          <w:rtl/>
        </w:rPr>
        <w:t>ّ</w:t>
      </w:r>
      <w:r w:rsidRPr="006571AC">
        <w:rPr>
          <w:rFonts w:ascii="Arial" w:hAnsi="Arial" w:cs="AL-Mohanad"/>
          <w:sz w:val="27"/>
          <w:szCs w:val="27"/>
          <w:rtl/>
        </w:rPr>
        <w:t>ي قصد الشارع في مسائل الاجتهاد</w:t>
      </w:r>
      <w:r w:rsidRPr="006571AC">
        <w:rPr>
          <w:rFonts w:cs="AL-Mohanad" w:hint="eastAsia"/>
          <w:rtl/>
        </w:rPr>
        <w:t>»</w:t>
      </w:r>
      <w:r w:rsidRPr="006571AC">
        <w:rPr>
          <w:rFonts w:ascii="Arial" w:hAnsi="Arial" w:cs="AL-Mohanad"/>
          <w:sz w:val="27"/>
          <w:szCs w:val="27"/>
          <w:vertAlign w:val="superscript"/>
          <w:rtl/>
        </w:rPr>
        <w:t>(</w:t>
      </w:r>
      <w:r w:rsidRPr="006571AC">
        <w:rPr>
          <w:rStyle w:val="ac"/>
          <w:rFonts w:ascii="Arial" w:hAnsi="Arial" w:cs="AL-Mohanad"/>
          <w:sz w:val="27"/>
          <w:szCs w:val="27"/>
          <w:rtl/>
        </w:rPr>
        <w:endnoteReference w:id="623"/>
      </w:r>
      <w:r w:rsidRPr="006571AC">
        <w:rPr>
          <w:rFonts w:ascii="Arial" w:hAnsi="Arial" w:cs="AL-Mohanad"/>
          <w:sz w:val="27"/>
          <w:szCs w:val="27"/>
          <w:vertAlign w:val="superscript"/>
          <w:rtl/>
        </w:rPr>
        <w:t>)</w:t>
      </w:r>
      <w:r w:rsidRPr="006571AC">
        <w:rPr>
          <w:rFonts w:ascii="Arial" w:hAnsi="Arial" w:cs="AL-Mohanad" w:hint="cs"/>
          <w:sz w:val="27"/>
          <w:szCs w:val="27"/>
          <w:rtl/>
          <w:lang w:bidi="ar-MA"/>
        </w:rPr>
        <w:t xml:space="preserve">. </w:t>
      </w:r>
    </w:p>
    <w:p w:rsidR="001B0AB2" w:rsidRPr="006571AC" w:rsidRDefault="001B0AB2" w:rsidP="002A2E03">
      <w:pPr>
        <w:pStyle w:val="af"/>
        <w:rPr>
          <w:rFonts w:ascii="Arial" w:hAnsi="Arial" w:cs="AL-Mohanad"/>
          <w:sz w:val="27"/>
          <w:szCs w:val="27"/>
          <w:rtl/>
        </w:rPr>
      </w:pPr>
      <w:r w:rsidRPr="006571AC">
        <w:rPr>
          <w:rFonts w:ascii="Arial" w:hAnsi="Arial" w:cs="AL-Mohanad"/>
          <w:sz w:val="27"/>
          <w:szCs w:val="27"/>
          <w:rtl/>
        </w:rPr>
        <w:t>وعلى المجامع الفقهية في الغرب</w:t>
      </w:r>
      <w:r w:rsidR="00C8042E" w:rsidRPr="006571AC">
        <w:rPr>
          <w:rFonts w:ascii="Arial" w:hAnsi="Arial" w:cs="AL-Mohanad" w:hint="cs"/>
          <w:sz w:val="27"/>
          <w:szCs w:val="27"/>
          <w:rtl/>
        </w:rPr>
        <w:t>،</w:t>
      </w:r>
      <w:r w:rsidRPr="006571AC">
        <w:rPr>
          <w:rFonts w:ascii="Arial" w:hAnsi="Arial" w:cs="AL-Mohanad"/>
          <w:sz w:val="27"/>
          <w:szCs w:val="27"/>
          <w:rtl/>
        </w:rPr>
        <w:t xml:space="preserve"> كالمجلس الأور</w:t>
      </w:r>
      <w:r w:rsidR="00C8042E" w:rsidRPr="006571AC">
        <w:rPr>
          <w:rFonts w:ascii="Arial" w:hAnsi="Arial" w:cs="AL-Mohanad" w:hint="cs"/>
          <w:sz w:val="27"/>
          <w:szCs w:val="27"/>
          <w:rtl/>
        </w:rPr>
        <w:t>و</w:t>
      </w:r>
      <w:r w:rsidRPr="006571AC">
        <w:rPr>
          <w:rFonts w:ascii="Arial" w:hAnsi="Arial" w:cs="AL-Mohanad"/>
          <w:sz w:val="27"/>
          <w:szCs w:val="27"/>
          <w:rtl/>
        </w:rPr>
        <w:t>بي للإفتاء</w:t>
      </w:r>
      <w:r w:rsidR="00C8042E" w:rsidRPr="006571AC">
        <w:rPr>
          <w:rFonts w:ascii="Arial" w:hAnsi="Arial" w:cs="AL-Mohanad" w:hint="cs"/>
          <w:sz w:val="27"/>
          <w:szCs w:val="27"/>
          <w:rtl/>
        </w:rPr>
        <w:t>،</w:t>
      </w:r>
      <w:r w:rsidRPr="006571AC">
        <w:rPr>
          <w:rFonts w:ascii="Arial" w:hAnsi="Arial" w:cs="AL-Mohanad"/>
          <w:sz w:val="27"/>
          <w:szCs w:val="27"/>
          <w:rtl/>
        </w:rPr>
        <w:t xml:space="preserve"> والمجلس الفقهي لأمريكا الشمالية</w:t>
      </w:r>
      <w:r w:rsidRPr="006571AC">
        <w:rPr>
          <w:rFonts w:ascii="Arial" w:hAnsi="Arial" w:cs="AL-Mohanad" w:hint="cs"/>
          <w:sz w:val="27"/>
          <w:szCs w:val="27"/>
          <w:rtl/>
        </w:rPr>
        <w:t xml:space="preserve">، </w:t>
      </w:r>
      <w:r w:rsidRPr="006571AC">
        <w:rPr>
          <w:rFonts w:ascii="Arial" w:hAnsi="Arial" w:cs="AL-Mohanad"/>
          <w:sz w:val="27"/>
          <w:szCs w:val="27"/>
          <w:rtl/>
        </w:rPr>
        <w:t>أن ينخرطوا في مسلسل التقريب بين الآراء والمذاهب لما فيه خير الأقل</w:t>
      </w:r>
      <w:r w:rsidR="009F520D" w:rsidRPr="006571AC">
        <w:rPr>
          <w:rFonts w:ascii="Arial" w:hAnsi="Arial" w:cs="AL-Mohanad" w:hint="cs"/>
          <w:sz w:val="27"/>
          <w:szCs w:val="27"/>
          <w:rtl/>
        </w:rPr>
        <w:t>ِّ</w:t>
      </w:r>
      <w:r w:rsidRPr="006571AC">
        <w:rPr>
          <w:rFonts w:ascii="Arial" w:hAnsi="Arial" w:cs="AL-Mohanad"/>
          <w:sz w:val="27"/>
          <w:szCs w:val="27"/>
          <w:rtl/>
        </w:rPr>
        <w:t>يات، والابتعاد عن التعص</w:t>
      </w:r>
      <w:r w:rsidR="00C8042E" w:rsidRPr="006571AC">
        <w:rPr>
          <w:rFonts w:ascii="Arial" w:hAnsi="Arial" w:cs="AL-Mohanad" w:hint="cs"/>
          <w:sz w:val="27"/>
          <w:szCs w:val="27"/>
          <w:rtl/>
        </w:rPr>
        <w:t>ُّ</w:t>
      </w:r>
      <w:r w:rsidRPr="006571AC">
        <w:rPr>
          <w:rFonts w:ascii="Arial" w:hAnsi="Arial" w:cs="AL-Mohanad"/>
          <w:sz w:val="27"/>
          <w:szCs w:val="27"/>
          <w:rtl/>
        </w:rPr>
        <w:t xml:space="preserve">ب المذهبي والانغلاق </w:t>
      </w:r>
      <w:r w:rsidRPr="006571AC">
        <w:rPr>
          <w:rFonts w:ascii="Arial" w:hAnsi="Arial" w:cs="AL-Mohanad" w:hint="cs"/>
          <w:sz w:val="27"/>
          <w:szCs w:val="27"/>
          <w:rtl/>
        </w:rPr>
        <w:t>على</w:t>
      </w:r>
      <w:r w:rsidRPr="006571AC">
        <w:rPr>
          <w:rFonts w:ascii="Arial" w:hAnsi="Arial" w:cs="AL-Mohanad"/>
          <w:sz w:val="27"/>
          <w:szCs w:val="27"/>
          <w:rtl/>
        </w:rPr>
        <w:t xml:space="preserve"> المدو</w:t>
      </w:r>
      <w:r w:rsidR="009F520D" w:rsidRPr="006571AC">
        <w:rPr>
          <w:rFonts w:ascii="Arial" w:hAnsi="Arial" w:cs="AL-Mohanad" w:hint="cs"/>
          <w:sz w:val="27"/>
          <w:szCs w:val="27"/>
          <w:rtl/>
        </w:rPr>
        <w:t>َّ</w:t>
      </w:r>
      <w:r w:rsidRPr="006571AC">
        <w:rPr>
          <w:rFonts w:ascii="Arial" w:hAnsi="Arial" w:cs="AL-Mohanad"/>
          <w:sz w:val="27"/>
          <w:szCs w:val="27"/>
          <w:rtl/>
        </w:rPr>
        <w:t>نات الفقهية التاريخية</w:t>
      </w:r>
      <w:r w:rsidRPr="006571AC">
        <w:rPr>
          <w:rFonts w:ascii="Arial" w:hAnsi="Arial" w:cs="AL-Mohanad" w:hint="cs"/>
          <w:sz w:val="27"/>
          <w:szCs w:val="27"/>
          <w:rtl/>
        </w:rPr>
        <w:t xml:space="preserve"> وحدها</w:t>
      </w:r>
      <w:r w:rsidRPr="006571AC">
        <w:rPr>
          <w:rFonts w:ascii="Arial" w:hAnsi="Arial" w:cs="AL-Mohanad"/>
          <w:sz w:val="27"/>
          <w:szCs w:val="27"/>
          <w:rtl/>
        </w:rPr>
        <w:t>، والانفتاح على منجزات الحضارة الإنسانية على ضوء المقاصد الكل</w:t>
      </w:r>
      <w:r w:rsidR="00C8042E" w:rsidRPr="006571AC">
        <w:rPr>
          <w:rFonts w:ascii="Arial" w:hAnsi="Arial" w:cs="AL-Mohanad" w:hint="cs"/>
          <w:sz w:val="27"/>
          <w:szCs w:val="27"/>
          <w:rtl/>
        </w:rPr>
        <w:t>ِّ</w:t>
      </w:r>
      <w:r w:rsidRPr="006571AC">
        <w:rPr>
          <w:rFonts w:ascii="Arial" w:hAnsi="Arial" w:cs="AL-Mohanad"/>
          <w:sz w:val="27"/>
          <w:szCs w:val="27"/>
          <w:rtl/>
        </w:rPr>
        <w:t>ية للدين والق</w:t>
      </w:r>
      <w:r w:rsidR="00C8042E" w:rsidRPr="006571AC">
        <w:rPr>
          <w:rFonts w:ascii="Arial" w:hAnsi="Arial" w:cs="AL-Mohanad" w:hint="cs"/>
          <w:sz w:val="27"/>
          <w:szCs w:val="27"/>
          <w:rtl/>
        </w:rPr>
        <w:t>ِ</w:t>
      </w:r>
      <w:r w:rsidRPr="006571AC">
        <w:rPr>
          <w:rFonts w:ascii="Arial" w:hAnsi="Arial" w:cs="AL-Mohanad"/>
          <w:sz w:val="27"/>
          <w:szCs w:val="27"/>
          <w:rtl/>
        </w:rPr>
        <w:t>ي</w:t>
      </w:r>
      <w:r w:rsidR="00C8042E" w:rsidRPr="006571AC">
        <w:rPr>
          <w:rFonts w:ascii="Arial" w:hAnsi="Arial" w:cs="AL-Mohanad" w:hint="cs"/>
          <w:sz w:val="27"/>
          <w:szCs w:val="27"/>
          <w:rtl/>
        </w:rPr>
        <w:t>َ</w:t>
      </w:r>
      <w:r w:rsidRPr="006571AC">
        <w:rPr>
          <w:rFonts w:ascii="Arial" w:hAnsi="Arial" w:cs="AL-Mohanad"/>
          <w:sz w:val="27"/>
          <w:szCs w:val="27"/>
          <w:rtl/>
        </w:rPr>
        <w:t xml:space="preserve">م الكبرى في التعامل مع الآخر.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ومن الخطأ الكبير اعتبار المذهب</w:t>
      </w:r>
      <w:r w:rsidRPr="006571AC">
        <w:rPr>
          <w:rFonts w:ascii="Arial" w:hAnsi="Arial" w:cs="AL-Mohanad" w:hint="cs"/>
          <w:sz w:val="27"/>
          <w:szCs w:val="27"/>
          <w:rtl/>
          <w:lang w:bidi="ar-MA"/>
        </w:rPr>
        <w:t xml:space="preserve"> الفقهي</w:t>
      </w:r>
      <w:r w:rsidRPr="006571AC">
        <w:rPr>
          <w:rFonts w:ascii="Arial" w:hAnsi="Arial" w:cs="AL-Mohanad"/>
          <w:sz w:val="27"/>
          <w:szCs w:val="27"/>
          <w:rtl/>
          <w:lang w:bidi="ar-MA"/>
        </w:rPr>
        <w:t xml:space="preserve"> هو الد</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ين كل</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ه</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ف</w:t>
      </w:r>
      <w:r w:rsidR="00731867" w:rsidRPr="006571AC">
        <w:rPr>
          <w:rFonts w:ascii="Arial" w:hAnsi="Arial" w:cs="AL-Mohanad"/>
          <w:sz w:val="27"/>
          <w:szCs w:val="27"/>
          <w:rtl/>
          <w:lang w:bidi="ar-MA"/>
        </w:rPr>
        <w:t>لا بُدَّ</w:t>
      </w:r>
      <w:r w:rsidRPr="006571AC">
        <w:rPr>
          <w:rFonts w:ascii="Arial" w:hAnsi="Arial" w:cs="AL-Mohanad"/>
          <w:sz w:val="27"/>
          <w:szCs w:val="27"/>
          <w:rtl/>
          <w:lang w:bidi="ar-MA"/>
        </w:rPr>
        <w:t xml:space="preserve"> من الاختيار والانتقاء من المذاهب التسعة: الحنفي والمالكي والشافعي والحنبلي والظاهري </w:t>
      </w:r>
      <w:r w:rsidRPr="006571AC">
        <w:rPr>
          <w:rFonts w:ascii="Arial" w:hAnsi="Arial" w:cs="AL-Mohanad"/>
          <w:sz w:val="27"/>
          <w:szCs w:val="27"/>
          <w:rtl/>
          <w:lang w:bidi="ar-MA"/>
        </w:rPr>
        <w:lastRenderedPageBreak/>
        <w:t>والزيدي والجعفري والإمامي والإباضي</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ولذا يجب أن تسود روح التسامح في الأخذ بالأقوى دليلا</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والأنسب حالا</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أي</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مذهب</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وقد يضطر</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المسلمون إلى الأخذ بالمذهب المرجوح لمصلحة</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أكبر.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ولذا لا يصح</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الإنكار على المجلس الأور</w:t>
      </w:r>
      <w:r w:rsidR="00C8042E" w:rsidRPr="006571AC">
        <w:rPr>
          <w:rFonts w:ascii="Arial" w:hAnsi="Arial" w:cs="AL-Mohanad" w:hint="cs"/>
          <w:sz w:val="27"/>
          <w:szCs w:val="27"/>
          <w:rtl/>
          <w:lang w:bidi="ar-MA"/>
        </w:rPr>
        <w:t>و</w:t>
      </w:r>
      <w:r w:rsidRPr="006571AC">
        <w:rPr>
          <w:rFonts w:ascii="Arial" w:hAnsi="Arial" w:cs="AL-Mohanad"/>
          <w:sz w:val="27"/>
          <w:szCs w:val="27"/>
          <w:rtl/>
          <w:lang w:bidi="ar-MA"/>
        </w:rPr>
        <w:t>بي للإفتاء في فتواه بجواز ميراث المسلم من غير المسلم، الذي وافق رأي بعض الصحابة والتابعين والعلماء المجتهدين</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وجاء على خلاف رأي الجمهور</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كما لا يصح</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الإنكار عليه في الفتوى بجواز بقاء المرأة المسلمة لدى زوجها الذي لم يسلم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والمسألة تتنازعها آراء أهل العلم</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قديما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وحديثا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لكن</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ها جديرة</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بنظر</w:t>
      </w:r>
      <w:r w:rsidR="009F520D" w:rsidRPr="006571AC">
        <w:rPr>
          <w:rFonts w:ascii="Arial" w:hAnsi="Arial" w:cs="AL-Mohanad" w:hint="cs"/>
          <w:sz w:val="27"/>
          <w:szCs w:val="27"/>
          <w:rtl/>
        </w:rPr>
        <w:t>ٍ</w:t>
      </w:r>
      <w:r w:rsidRPr="006571AC">
        <w:rPr>
          <w:rFonts w:ascii="Arial" w:hAnsi="Arial" w:cs="AL-Mohanad"/>
          <w:sz w:val="27"/>
          <w:szCs w:val="27"/>
          <w:rtl/>
          <w:lang w:bidi="ar-MA"/>
        </w:rPr>
        <w:t xml:space="preserve"> فقهي</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جديد</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لما يتحص</w:t>
      </w:r>
      <w:r w:rsidR="000428AB" w:rsidRPr="006571AC">
        <w:rPr>
          <w:rFonts w:ascii="Arial" w:hAnsi="Arial" w:cs="AL-Mohanad" w:hint="cs"/>
          <w:sz w:val="27"/>
          <w:szCs w:val="27"/>
          <w:rtl/>
          <w:lang w:bidi="ar-MA"/>
        </w:rPr>
        <w:t>َّ</w:t>
      </w:r>
      <w:r w:rsidRPr="006571AC">
        <w:rPr>
          <w:rFonts w:ascii="Arial" w:hAnsi="Arial" w:cs="AL-Mohanad"/>
          <w:sz w:val="27"/>
          <w:szCs w:val="27"/>
          <w:rtl/>
          <w:lang w:bidi="ar-MA"/>
        </w:rPr>
        <w:t>ل منها من مصالح دينية واجتماعية معتبرة</w:t>
      </w:r>
      <w:r w:rsidRPr="006571AC">
        <w:rPr>
          <w:rFonts w:ascii="Arial" w:hAnsi="Arial" w:cs="AL-Mohanad"/>
          <w:sz w:val="27"/>
          <w:szCs w:val="27"/>
          <w:vertAlign w:val="superscript"/>
          <w:rtl/>
          <w:lang w:bidi="ar-MA"/>
        </w:rPr>
        <w:t>(</w:t>
      </w:r>
      <w:r w:rsidRPr="006571AC">
        <w:rPr>
          <w:rStyle w:val="ac"/>
          <w:rFonts w:ascii="Arial" w:hAnsi="Arial" w:cs="AL-Mohanad"/>
          <w:sz w:val="27"/>
          <w:szCs w:val="27"/>
          <w:rtl/>
          <w:lang w:bidi="ar-MA"/>
        </w:rPr>
        <w:endnoteReference w:id="624"/>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31"/>
        <w:rPr>
          <w:color w:val="auto"/>
          <w:rtl/>
          <w:lang w:bidi="ar-MA"/>
        </w:rPr>
      </w:pPr>
      <w:bookmarkStart w:id="387" w:name="_Toc114164800"/>
      <w:r w:rsidRPr="006571AC">
        <w:rPr>
          <w:rFonts w:hint="cs"/>
          <w:color w:val="auto"/>
          <w:rtl/>
          <w:lang w:bidi="ar-MA"/>
        </w:rPr>
        <w:t>مأسسة الاجتهاد والفتوى</w:t>
      </w:r>
      <w:bookmarkEnd w:id="387"/>
      <w:r w:rsidRPr="006571AC">
        <w:rPr>
          <w:rFonts w:hint="cs"/>
          <w:color w:val="auto"/>
          <w:rtl/>
          <w:lang w:bidi="ar-MA"/>
        </w:rPr>
        <w:t xml:space="preserve"> </w:t>
      </w:r>
    </w:p>
    <w:p w:rsidR="001B0AB2" w:rsidRPr="006571AC" w:rsidRDefault="001B0AB2" w:rsidP="009B54AA">
      <w:pPr>
        <w:pStyle w:val="af"/>
        <w:rPr>
          <w:rFonts w:ascii="Arial" w:hAnsi="Arial" w:cs="AL-Mohanad"/>
          <w:sz w:val="27"/>
          <w:szCs w:val="27"/>
          <w:rtl/>
          <w:lang w:bidi="ar-MA"/>
        </w:rPr>
      </w:pPr>
      <w:r w:rsidRPr="006571AC">
        <w:rPr>
          <w:rFonts w:ascii="Arial" w:hAnsi="Arial" w:cs="AL-Mohanad"/>
          <w:sz w:val="27"/>
          <w:szCs w:val="27"/>
          <w:rtl/>
        </w:rPr>
        <w:t>ومن الأدوار الطلائعية التي ينبغي أن تهتم</w:t>
      </w:r>
      <w:r w:rsidR="000428AB" w:rsidRPr="006571AC">
        <w:rPr>
          <w:rFonts w:ascii="Arial" w:hAnsi="Arial" w:cs="AL-Mohanad" w:hint="cs"/>
          <w:sz w:val="27"/>
          <w:szCs w:val="27"/>
          <w:rtl/>
        </w:rPr>
        <w:t>ّ</w:t>
      </w:r>
      <w:r w:rsidRPr="006571AC">
        <w:rPr>
          <w:rFonts w:ascii="Arial" w:hAnsi="Arial" w:cs="AL-Mohanad"/>
          <w:sz w:val="27"/>
          <w:szCs w:val="27"/>
          <w:rtl/>
        </w:rPr>
        <w:t xml:space="preserve"> به هذه المجامع</w:t>
      </w:r>
      <w:r w:rsidRPr="006571AC">
        <w:rPr>
          <w:rFonts w:ascii="Arial" w:hAnsi="Arial" w:cs="AL-Mohanad" w:hint="cs"/>
          <w:sz w:val="27"/>
          <w:szCs w:val="27"/>
          <w:rtl/>
        </w:rPr>
        <w:t xml:space="preserve"> </w:t>
      </w:r>
      <w:r w:rsidRPr="006571AC">
        <w:rPr>
          <w:rFonts w:ascii="Arial" w:hAnsi="Arial" w:cs="AL-Mohanad"/>
          <w:sz w:val="27"/>
          <w:szCs w:val="27"/>
          <w:rtl/>
          <w:lang w:bidi="ar-MA"/>
        </w:rPr>
        <w:t>أن يتم</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إنشاء مراكز موازية</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تابعة</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لها تعكف على دراسة المجتمعات الغربية</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تاريخا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وتحد</w:t>
      </w:r>
      <w:r w:rsidR="000428AB" w:rsidRPr="006571AC">
        <w:rPr>
          <w:rFonts w:ascii="Arial" w:hAnsi="Arial" w:cs="AL-Mohanad" w:hint="cs"/>
          <w:sz w:val="27"/>
          <w:szCs w:val="27"/>
          <w:rtl/>
          <w:lang w:bidi="ar-MA"/>
        </w:rPr>
        <w:t>ّ</w:t>
      </w:r>
      <w:r w:rsidRPr="006571AC">
        <w:rPr>
          <w:rFonts w:ascii="Arial" w:hAnsi="Arial" w:cs="AL-Mohanad"/>
          <w:sz w:val="27"/>
          <w:szCs w:val="27"/>
          <w:rtl/>
          <w:lang w:bidi="ar-MA"/>
        </w:rPr>
        <w:t>يات</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وآمالا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ومشكلات، دراسات</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منظ</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مة ومعم</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قة</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وليست قراءات</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عشوائي</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ة</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انتقائي</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ة أو تعميمي</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ة</w:t>
      </w:r>
      <w:r w:rsidR="009B54AA" w:rsidRPr="006571AC">
        <w:rPr>
          <w:rFonts w:ascii="Arial" w:hAnsi="Arial" w:cs="AL-Mohanad" w:hint="cs"/>
          <w:sz w:val="27"/>
          <w:szCs w:val="27"/>
          <w:rtl/>
          <w:lang w:bidi="ar-MA"/>
        </w:rPr>
        <w:t>.</w:t>
      </w:r>
      <w:r w:rsidRPr="006571AC">
        <w:rPr>
          <w:rFonts w:ascii="Arial" w:hAnsi="Arial" w:cs="AL-Mohanad"/>
          <w:sz w:val="27"/>
          <w:szCs w:val="27"/>
          <w:rtl/>
          <w:lang w:bidi="ar-MA"/>
        </w:rPr>
        <w:t xml:space="preserve"> وهو أمر</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لا غنى عنه</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حت</w:t>
      </w:r>
      <w:r w:rsidR="000428AB" w:rsidRPr="006571AC">
        <w:rPr>
          <w:rFonts w:ascii="Arial" w:hAnsi="Arial" w:cs="AL-Mohanad" w:hint="cs"/>
          <w:sz w:val="27"/>
          <w:szCs w:val="27"/>
          <w:rtl/>
          <w:lang w:bidi="ar-MA"/>
        </w:rPr>
        <w:t>ّ</w:t>
      </w:r>
      <w:r w:rsidRPr="006571AC">
        <w:rPr>
          <w:rFonts w:ascii="Arial" w:hAnsi="Arial" w:cs="AL-Mohanad"/>
          <w:sz w:val="27"/>
          <w:szCs w:val="27"/>
          <w:rtl/>
          <w:lang w:bidi="ar-MA"/>
        </w:rPr>
        <w:t>ى تستطيع أن تشارك في بناء الشخصية الإسلامية الحي</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في مجتمع</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محفوف بالمخاطر</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وغني</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حيث التقد</w:t>
      </w:r>
      <w:r w:rsidR="000428AB" w:rsidRPr="006571AC">
        <w:rPr>
          <w:rFonts w:ascii="Arial" w:hAnsi="Arial" w:cs="AL-Mohanad" w:hint="cs"/>
          <w:sz w:val="27"/>
          <w:szCs w:val="27"/>
          <w:rtl/>
          <w:lang w:bidi="ar-MA"/>
        </w:rPr>
        <w:t>ُّ</w:t>
      </w:r>
      <w:r w:rsidRPr="006571AC">
        <w:rPr>
          <w:rFonts w:ascii="Arial" w:hAnsi="Arial" w:cs="AL-Mohanad"/>
          <w:sz w:val="27"/>
          <w:szCs w:val="27"/>
          <w:rtl/>
          <w:lang w:bidi="ar-MA"/>
        </w:rPr>
        <w:t>م في مؤش</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رات العيش.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وهكذا يصير البحث عن البدائل الشرعية لمختلف المشاكل التنظيمية والفقهية التي تقع لمجموع أفراد الأقل</w:t>
      </w:r>
      <w:r w:rsidR="000428AB" w:rsidRPr="006571AC">
        <w:rPr>
          <w:rFonts w:ascii="Arial" w:hAnsi="Arial" w:cs="AL-Mohanad" w:hint="cs"/>
          <w:sz w:val="27"/>
          <w:szCs w:val="27"/>
          <w:rtl/>
          <w:lang w:bidi="ar-MA"/>
        </w:rPr>
        <w:t>ِّ</w:t>
      </w:r>
      <w:r w:rsidRPr="006571AC">
        <w:rPr>
          <w:rFonts w:ascii="Arial" w:hAnsi="Arial" w:cs="AL-Mohanad"/>
          <w:sz w:val="27"/>
          <w:szCs w:val="27"/>
          <w:rtl/>
          <w:lang w:bidi="ar-MA"/>
        </w:rPr>
        <w:t>يات أو لأغلبيتها أمرا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ضروري</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لأجل حماية هذا الوجود من الوقوع في الآثام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 xml:space="preserve">والذوبان في قوالب الدولة المستقطبة التي تخالف ضوابط الشريعة.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فالاجتهاد في إيجاد هذه البدائل المشروعة مطلوب</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إذ لا يكفي بيان الحرمة أو الكراهة في حكم قضي</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ة</w:t>
      </w:r>
      <w:r w:rsidR="000428A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 xml:space="preserve">دون الشروع في وضع مشاريع حلول نافعة في تجاوزها.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 xml:space="preserve">ففي قضايا الزواج والطلاق </w:t>
      </w:r>
      <w:r w:rsidR="00731867" w:rsidRPr="006571AC">
        <w:rPr>
          <w:rFonts w:ascii="Arial" w:hAnsi="Arial" w:cs="AL-Mohanad"/>
          <w:sz w:val="27"/>
          <w:szCs w:val="27"/>
          <w:rtl/>
          <w:lang w:bidi="ar-MA"/>
        </w:rPr>
        <w:t>لا بُدَّ</w:t>
      </w:r>
      <w:r w:rsidRPr="006571AC">
        <w:rPr>
          <w:rFonts w:ascii="Arial" w:hAnsi="Arial" w:cs="AL-Mohanad"/>
          <w:sz w:val="27"/>
          <w:szCs w:val="27"/>
          <w:rtl/>
          <w:lang w:bidi="ar-MA"/>
        </w:rPr>
        <w:t xml:space="preserve"> من تأسيس مؤس</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سات للصلح والتقريب بين وجهات نظر الزوجين المتخاصمين</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وفي مسائل الأموال </w:t>
      </w:r>
      <w:r w:rsidR="00731867" w:rsidRPr="006571AC">
        <w:rPr>
          <w:rFonts w:ascii="Arial" w:hAnsi="Arial" w:cs="AL-Mohanad"/>
          <w:sz w:val="27"/>
          <w:szCs w:val="27"/>
          <w:rtl/>
          <w:lang w:bidi="ar-MA"/>
        </w:rPr>
        <w:t>لا بُدَّ</w:t>
      </w:r>
      <w:r w:rsidRPr="006571AC">
        <w:rPr>
          <w:rFonts w:ascii="Arial" w:hAnsi="Arial" w:cs="AL-Mohanad"/>
          <w:sz w:val="27"/>
          <w:szCs w:val="27"/>
          <w:rtl/>
          <w:lang w:bidi="ar-MA"/>
        </w:rPr>
        <w:t xml:space="preserve"> من إيجاد مؤس</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سات للإقراض ب</w:t>
      </w:r>
      <w:r w:rsidR="009B54AA" w:rsidRPr="006571AC">
        <w:rPr>
          <w:rFonts w:ascii="Arial" w:hAnsi="Arial" w:cs="AL-Mohanad" w:hint="cs"/>
          <w:sz w:val="27"/>
          <w:szCs w:val="27"/>
          <w:rtl/>
          <w:lang w:bidi="ar-MA"/>
        </w:rPr>
        <w:t>َ</w:t>
      </w:r>
      <w:r w:rsidRPr="006571AC">
        <w:rPr>
          <w:rFonts w:ascii="Arial" w:hAnsi="Arial" w:cs="AL-Mohanad"/>
          <w:sz w:val="27"/>
          <w:szCs w:val="27"/>
          <w:rtl/>
          <w:lang w:bidi="ar-MA"/>
        </w:rPr>
        <w:t>د</w:t>
      </w:r>
      <w:r w:rsidR="009B54AA" w:rsidRPr="006571AC">
        <w:rPr>
          <w:rFonts w:ascii="Arial" w:hAnsi="Arial" w:cs="AL-Mohanad" w:hint="cs"/>
          <w:sz w:val="27"/>
          <w:szCs w:val="27"/>
          <w:rtl/>
          <w:lang w:bidi="ar-MA"/>
        </w:rPr>
        <w:t>َ</w:t>
      </w:r>
      <w:r w:rsidRPr="006571AC">
        <w:rPr>
          <w:rFonts w:ascii="Arial" w:hAnsi="Arial" w:cs="AL-Mohanad"/>
          <w:sz w:val="27"/>
          <w:szCs w:val="27"/>
          <w:rtl/>
          <w:lang w:bidi="ar-MA"/>
        </w:rPr>
        <w:t>ل مصادر التمويل التقليدية الربوية، وفي مجال الخدمات الاجتماعية العامة يحتاج المغتربون إلى تنشيط مؤس</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سة الوقف لدعم مشاريع الإنماء الاجتماعي، ومنها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بناء مدارس للتعليم والتنشئة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ومنها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مسارح للترفيه وتلقين الآداب والفنون</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الطريقة الجاري بها العمل في البلدان الأم</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وهلم</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جر</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p>
    <w:p w:rsidR="001B0AB2" w:rsidRPr="006571AC" w:rsidRDefault="001B0AB2" w:rsidP="009B54AA">
      <w:pPr>
        <w:pStyle w:val="af"/>
        <w:rPr>
          <w:rFonts w:ascii="Arial" w:hAnsi="Arial" w:cs="AL-Mohanad"/>
          <w:sz w:val="27"/>
          <w:szCs w:val="27"/>
          <w:rtl/>
          <w:lang w:bidi="ar-MA"/>
        </w:rPr>
      </w:pPr>
      <w:r w:rsidRPr="006571AC">
        <w:rPr>
          <w:rFonts w:ascii="Arial" w:hAnsi="Arial" w:cs="AL-Mohanad"/>
          <w:sz w:val="27"/>
          <w:szCs w:val="27"/>
          <w:rtl/>
          <w:lang w:bidi="ar-MA"/>
        </w:rPr>
        <w:lastRenderedPageBreak/>
        <w:t>وفي الجملة</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يجب أن ينخرط المجتهدون والفقهاء والأئم</w:t>
      </w:r>
      <w:r w:rsidR="009B54AA" w:rsidRPr="006571AC">
        <w:rPr>
          <w:rFonts w:ascii="Arial" w:hAnsi="Arial" w:cs="AL-Mohanad" w:hint="cs"/>
          <w:sz w:val="27"/>
          <w:szCs w:val="27"/>
          <w:rtl/>
          <w:lang w:bidi="ar-MA"/>
        </w:rPr>
        <w:t>ّ</w:t>
      </w:r>
      <w:r w:rsidRPr="006571AC">
        <w:rPr>
          <w:rFonts w:ascii="Arial" w:hAnsi="Arial" w:cs="AL-Mohanad"/>
          <w:sz w:val="27"/>
          <w:szCs w:val="27"/>
          <w:rtl/>
          <w:lang w:bidi="ar-MA"/>
        </w:rPr>
        <w:t xml:space="preserve">ة والمصلحون ـ فرادى وأعضاء في المجامع الفقهية ـ في </w:t>
      </w:r>
      <w:r w:rsidRPr="006571AC">
        <w:rPr>
          <w:rFonts w:ascii="Arial" w:hAnsi="Arial" w:cs="AL-Mohanad" w:hint="cs"/>
          <w:sz w:val="27"/>
          <w:szCs w:val="27"/>
          <w:rtl/>
          <w:lang w:bidi="ar-MA"/>
        </w:rPr>
        <w:t xml:space="preserve">وضع </w:t>
      </w:r>
      <w:r w:rsidRPr="006571AC">
        <w:rPr>
          <w:rFonts w:ascii="Arial" w:hAnsi="Arial" w:cs="AL-Mohanad"/>
          <w:sz w:val="27"/>
          <w:szCs w:val="27"/>
          <w:rtl/>
          <w:lang w:bidi="ar-MA"/>
        </w:rPr>
        <w:t>فقه</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جديد للأقل</w:t>
      </w:r>
      <w:r w:rsidR="003636D5" w:rsidRPr="006571AC">
        <w:rPr>
          <w:rFonts w:ascii="Arial" w:hAnsi="Arial" w:cs="AL-Mohanad" w:hint="cs"/>
          <w:sz w:val="27"/>
          <w:szCs w:val="27"/>
          <w:rtl/>
          <w:lang w:bidi="ar-MA"/>
        </w:rPr>
        <w:t>ِّ</w:t>
      </w:r>
      <w:r w:rsidRPr="006571AC">
        <w:rPr>
          <w:rFonts w:ascii="Arial" w:hAnsi="Arial" w:cs="AL-Mohanad"/>
          <w:sz w:val="27"/>
          <w:szCs w:val="27"/>
          <w:rtl/>
          <w:lang w:bidi="ar-MA"/>
        </w:rPr>
        <w:t>يات المسلمة، انطلاقا</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من فقه المواطن لا المهاجر، وال</w:t>
      </w:r>
      <w:r w:rsidRPr="006571AC">
        <w:rPr>
          <w:rFonts w:ascii="Arial" w:hAnsi="Arial" w:cs="AL-Mohanad" w:hint="cs"/>
          <w:sz w:val="27"/>
          <w:szCs w:val="27"/>
          <w:rtl/>
          <w:lang w:bidi="ar-MA"/>
        </w:rPr>
        <w:t>م</w:t>
      </w:r>
      <w:r w:rsidRPr="006571AC">
        <w:rPr>
          <w:rFonts w:ascii="Arial" w:hAnsi="Arial" w:cs="AL-Mohanad"/>
          <w:sz w:val="27"/>
          <w:szCs w:val="27"/>
          <w:rtl/>
          <w:lang w:bidi="ar-MA"/>
        </w:rPr>
        <w:t>قيم لا الراحل، وابن البلد وليس الدخيل</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r w:rsidR="009B54AA" w:rsidRPr="006571AC">
        <w:rPr>
          <w:rFonts w:ascii="Arial" w:hAnsi="Arial" w:cs="AL-Mohanad" w:hint="cs"/>
          <w:b/>
          <w:bCs/>
          <w:sz w:val="27"/>
          <w:szCs w:val="27"/>
          <w:rtl/>
          <w:lang w:bidi="ar-MA"/>
        </w:rPr>
        <w:t>أوّلاً</w:t>
      </w:r>
      <w:r w:rsidR="009B54AA" w:rsidRPr="006571AC">
        <w:rPr>
          <w:rFonts w:ascii="Arial" w:hAnsi="Arial" w:cs="AL-Mohanad" w:hint="cs"/>
          <w:sz w:val="27"/>
          <w:szCs w:val="27"/>
          <w:rtl/>
          <w:lang w:bidi="ar-MA"/>
        </w:rPr>
        <w:t xml:space="preserve">: </w:t>
      </w:r>
      <w:r w:rsidR="009B54AA" w:rsidRPr="006571AC">
        <w:rPr>
          <w:rFonts w:ascii="Arial" w:hAnsi="Arial" w:cs="AL-Mohanad"/>
          <w:sz w:val="27"/>
          <w:szCs w:val="27"/>
          <w:rtl/>
          <w:lang w:bidi="ar-MA"/>
        </w:rPr>
        <w:t>لأن هذا هو الواقع</w:t>
      </w:r>
      <w:r w:rsidR="003636D5" w:rsidRPr="006571AC">
        <w:rPr>
          <w:rFonts w:ascii="Arial" w:hAnsi="Arial" w:cs="AL-Mohanad" w:hint="cs"/>
          <w:sz w:val="27"/>
          <w:szCs w:val="27"/>
          <w:rtl/>
          <w:lang w:bidi="ar-MA"/>
        </w:rPr>
        <w:t xml:space="preserve">؛ </w:t>
      </w:r>
      <w:r w:rsidRPr="006571AC">
        <w:rPr>
          <w:rFonts w:ascii="Arial" w:hAnsi="Arial" w:cs="AL-Mohanad"/>
          <w:b/>
          <w:bCs/>
          <w:sz w:val="27"/>
          <w:szCs w:val="27"/>
          <w:rtl/>
          <w:lang w:bidi="ar-MA"/>
        </w:rPr>
        <w:t>و</w:t>
      </w:r>
      <w:r w:rsidR="009B54AA" w:rsidRPr="006571AC">
        <w:rPr>
          <w:rFonts w:ascii="Arial" w:hAnsi="Arial" w:cs="AL-Mohanad" w:hint="cs"/>
          <w:b/>
          <w:bCs/>
          <w:sz w:val="27"/>
          <w:szCs w:val="27"/>
          <w:rtl/>
          <w:lang w:bidi="ar-MA"/>
        </w:rPr>
        <w:t>ثانياً</w:t>
      </w:r>
      <w:r w:rsidR="009B54AA" w:rsidRPr="006571AC">
        <w:rPr>
          <w:rFonts w:ascii="Arial" w:hAnsi="Arial" w:cs="AL-Mohanad" w:hint="cs"/>
          <w:sz w:val="27"/>
          <w:szCs w:val="27"/>
          <w:rtl/>
          <w:lang w:bidi="ar-MA"/>
        </w:rPr>
        <w:t xml:space="preserve">: </w:t>
      </w:r>
      <w:r w:rsidRPr="006571AC">
        <w:rPr>
          <w:rFonts w:ascii="Arial" w:hAnsi="Arial" w:cs="AL-Mohanad"/>
          <w:sz w:val="27"/>
          <w:szCs w:val="27"/>
          <w:rtl/>
          <w:lang w:bidi="ar-MA"/>
        </w:rPr>
        <w:t>لأن الوفاء للمكان يوجب أن يشعر بحق</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هذا البلد عليه في الإصلاح والمشاركة الجاد</w:t>
      </w:r>
      <w:r w:rsidR="003636D5" w:rsidRPr="006571AC">
        <w:rPr>
          <w:rFonts w:ascii="Arial" w:hAnsi="Arial" w:cs="AL-Mohanad" w:hint="cs"/>
          <w:sz w:val="27"/>
          <w:szCs w:val="27"/>
          <w:rtl/>
          <w:lang w:bidi="ar-MA"/>
        </w:rPr>
        <w:t>ّ</w:t>
      </w:r>
      <w:r w:rsidRPr="006571AC">
        <w:rPr>
          <w:rFonts w:ascii="Arial" w:hAnsi="Arial" w:cs="AL-Mohanad"/>
          <w:sz w:val="27"/>
          <w:szCs w:val="27"/>
          <w:rtl/>
          <w:lang w:bidi="ar-MA"/>
        </w:rPr>
        <w:t>ة في نمو</w:t>
      </w:r>
      <w:r w:rsidR="009B54AA" w:rsidRPr="006571AC">
        <w:rPr>
          <w:rFonts w:ascii="Arial" w:hAnsi="Arial" w:cs="AL-Mohanad" w:hint="cs"/>
          <w:sz w:val="27"/>
          <w:szCs w:val="27"/>
          <w:rtl/>
          <w:lang w:bidi="ar-MA"/>
        </w:rPr>
        <w:t>ّ</w:t>
      </w:r>
      <w:r w:rsidRPr="006571AC">
        <w:rPr>
          <w:rFonts w:ascii="Arial" w:hAnsi="Arial" w:cs="AL-Mohanad"/>
          <w:sz w:val="27"/>
          <w:szCs w:val="27"/>
          <w:rtl/>
          <w:lang w:bidi="ar-MA"/>
        </w:rPr>
        <w:t xml:space="preserve">ها واستقرارها. </w:t>
      </w:r>
    </w:p>
    <w:p w:rsidR="001B0AB2" w:rsidRPr="006571AC" w:rsidRDefault="001B0AB2" w:rsidP="002A2E03">
      <w:pPr>
        <w:pStyle w:val="af"/>
        <w:rPr>
          <w:rFonts w:ascii="Arial" w:hAnsi="Arial" w:cs="AL-Mohanad"/>
          <w:sz w:val="27"/>
          <w:szCs w:val="27"/>
          <w:rtl/>
          <w:lang w:bidi="ar-EG"/>
        </w:rPr>
      </w:pPr>
      <w:r w:rsidRPr="006571AC">
        <w:rPr>
          <w:rFonts w:ascii="Arial" w:hAnsi="Arial" w:cs="AL-Mohanad"/>
          <w:sz w:val="27"/>
          <w:szCs w:val="27"/>
          <w:rtl/>
          <w:lang w:bidi="ar-MA"/>
        </w:rPr>
        <w:t>وهذا لا يمنع من الحنين إلى الموطن الأصلي إن</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و</w:t>
      </w:r>
      <w:r w:rsidR="003636D5" w:rsidRPr="006571AC">
        <w:rPr>
          <w:rFonts w:ascii="Arial" w:hAnsi="Arial" w:cs="AL-Mohanad" w:hint="cs"/>
          <w:sz w:val="27"/>
          <w:szCs w:val="27"/>
          <w:rtl/>
          <w:lang w:bidi="ar-MA"/>
        </w:rPr>
        <w:t>ُ</w:t>
      </w:r>
      <w:r w:rsidRPr="006571AC">
        <w:rPr>
          <w:rFonts w:ascii="Arial" w:hAnsi="Arial" w:cs="AL-Mohanad"/>
          <w:sz w:val="27"/>
          <w:szCs w:val="27"/>
          <w:rtl/>
          <w:lang w:bidi="ar-MA"/>
        </w:rPr>
        <w:t>جد لدى المهاجرين</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كما كان</w:t>
      </w:r>
      <w:r w:rsidR="004459D6" w:rsidRPr="006571AC">
        <w:rPr>
          <w:rFonts w:ascii="Mosawi" w:hAnsi="Mosawi" w:cs="Mosawi"/>
          <w:sz w:val="22"/>
          <w:szCs w:val="22"/>
          <w:rtl/>
        </w:rPr>
        <w:t>ﷺ</w:t>
      </w:r>
      <w:r w:rsidRPr="006571AC">
        <w:rPr>
          <w:rFonts w:ascii="Arial" w:hAnsi="Arial" w:cs="AL-Mohanad"/>
          <w:sz w:val="27"/>
          <w:szCs w:val="27"/>
          <w:rtl/>
          <w:lang w:bidi="ar-MA"/>
        </w:rPr>
        <w:t xml:space="preserve"> تدمع عيناه وهو يمدح مك</w:t>
      </w:r>
      <w:r w:rsidR="003636D5" w:rsidRPr="006571AC">
        <w:rPr>
          <w:rFonts w:ascii="Arial" w:hAnsi="Arial" w:cs="AL-Mohanad" w:hint="cs"/>
          <w:sz w:val="27"/>
          <w:szCs w:val="27"/>
          <w:rtl/>
          <w:lang w:bidi="ar-MA"/>
        </w:rPr>
        <w:t>ّ</w:t>
      </w:r>
      <w:r w:rsidRPr="006571AC">
        <w:rPr>
          <w:rFonts w:ascii="Arial" w:hAnsi="Arial" w:cs="AL-Mohanad"/>
          <w:sz w:val="27"/>
          <w:szCs w:val="27"/>
          <w:rtl/>
          <w:lang w:bidi="ar-MA"/>
        </w:rPr>
        <w:t>ة موطنه الأصلي، وقد استوطن بعدها المدينة وأقام بها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وحو</w:t>
      </w:r>
      <w:r w:rsidR="003636D5" w:rsidRPr="006571AC">
        <w:rPr>
          <w:rFonts w:ascii="Arial" w:hAnsi="Arial" w:cs="AL-Mohanad" w:hint="cs"/>
          <w:sz w:val="27"/>
          <w:szCs w:val="27"/>
          <w:rtl/>
          <w:lang w:bidi="ar-MA"/>
        </w:rPr>
        <w:t>َّ</w:t>
      </w:r>
      <w:r w:rsidRPr="006571AC">
        <w:rPr>
          <w:rFonts w:ascii="Arial" w:hAnsi="Arial" w:cs="AL-Mohanad"/>
          <w:sz w:val="27"/>
          <w:szCs w:val="27"/>
          <w:rtl/>
          <w:lang w:bidi="ar-MA"/>
        </w:rPr>
        <w:t>لها إلى مركز</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لانبلاج فجر الحر</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ية والعدالة والصلاح. </w:t>
      </w:r>
    </w:p>
    <w:p w:rsidR="001B0AB2" w:rsidRPr="006571AC" w:rsidRDefault="001B0AB2" w:rsidP="009B54AA">
      <w:pPr>
        <w:rPr>
          <w:rFonts w:ascii="Arial" w:hAnsi="Arial"/>
          <w:sz w:val="27"/>
          <w:rtl/>
          <w:lang w:bidi="ar-MA"/>
        </w:rPr>
      </w:pPr>
      <w:r w:rsidRPr="006571AC">
        <w:rPr>
          <w:rFonts w:ascii="Arial" w:hAnsi="Arial"/>
          <w:sz w:val="27"/>
          <w:rtl/>
          <w:lang w:bidi="ar-MA"/>
        </w:rPr>
        <w:t>وهذا الحنين إلى بلد الولادة والمنشأ</w:t>
      </w:r>
      <w:r w:rsidRPr="006571AC">
        <w:rPr>
          <w:rFonts w:ascii="Arial" w:hAnsi="Arial" w:hint="cs"/>
          <w:sz w:val="27"/>
          <w:rtl/>
          <w:lang w:bidi="ar-MA"/>
        </w:rPr>
        <w:t xml:space="preserve"> </w:t>
      </w:r>
      <w:r w:rsidRPr="006571AC">
        <w:rPr>
          <w:rFonts w:ascii="Arial" w:hAnsi="Arial"/>
          <w:sz w:val="27"/>
          <w:rtl/>
          <w:lang w:bidi="ar-MA"/>
        </w:rPr>
        <w:t>معناه رفع الح</w:t>
      </w:r>
      <w:r w:rsidR="003636D5" w:rsidRPr="006571AC">
        <w:rPr>
          <w:rFonts w:ascii="Arial" w:hAnsi="Arial" w:hint="cs"/>
          <w:sz w:val="27"/>
          <w:rtl/>
          <w:lang w:bidi="ar-MA"/>
        </w:rPr>
        <w:t>َ</w:t>
      </w:r>
      <w:r w:rsidRPr="006571AC">
        <w:rPr>
          <w:rFonts w:ascii="Arial" w:hAnsi="Arial"/>
          <w:sz w:val="27"/>
          <w:rtl/>
          <w:lang w:bidi="ar-MA"/>
        </w:rPr>
        <w:t>ر</w:t>
      </w:r>
      <w:r w:rsidR="003636D5" w:rsidRPr="006571AC">
        <w:rPr>
          <w:rFonts w:ascii="Arial" w:hAnsi="Arial" w:hint="cs"/>
          <w:sz w:val="27"/>
          <w:rtl/>
          <w:lang w:bidi="ar-MA"/>
        </w:rPr>
        <w:t>َ</w:t>
      </w:r>
      <w:r w:rsidRPr="006571AC">
        <w:rPr>
          <w:rFonts w:ascii="Arial" w:hAnsi="Arial"/>
          <w:sz w:val="27"/>
          <w:rtl/>
          <w:lang w:bidi="ar-MA"/>
        </w:rPr>
        <w:t>ج في تكريس المقام في بلد آخر بمعتقد</w:t>
      </w:r>
      <w:r w:rsidR="003636D5" w:rsidRPr="006571AC">
        <w:rPr>
          <w:rFonts w:ascii="Arial" w:hAnsi="Arial" w:hint="cs"/>
          <w:sz w:val="27"/>
          <w:rtl/>
          <w:lang w:bidi="ar-MA"/>
        </w:rPr>
        <w:t>ٍ</w:t>
      </w:r>
      <w:r w:rsidRPr="006571AC">
        <w:rPr>
          <w:rFonts w:ascii="Arial" w:hAnsi="Arial"/>
          <w:sz w:val="27"/>
          <w:rtl/>
          <w:lang w:bidi="ar-MA"/>
        </w:rPr>
        <w:t xml:space="preserve"> مخالف، مع المشاركة في إصلاحه والوفاء لحق</w:t>
      </w:r>
      <w:r w:rsidR="003636D5" w:rsidRPr="006571AC">
        <w:rPr>
          <w:rFonts w:ascii="Arial" w:hAnsi="Arial" w:hint="cs"/>
          <w:sz w:val="27"/>
          <w:rtl/>
          <w:lang w:bidi="ar-MA"/>
        </w:rPr>
        <w:t>ِّ</w:t>
      </w:r>
      <w:r w:rsidRPr="006571AC">
        <w:rPr>
          <w:rFonts w:ascii="Arial" w:hAnsi="Arial"/>
          <w:sz w:val="27"/>
          <w:rtl/>
          <w:lang w:bidi="ar-MA"/>
        </w:rPr>
        <w:t>ه وحب</w:t>
      </w:r>
      <w:r w:rsidR="003636D5" w:rsidRPr="006571AC">
        <w:rPr>
          <w:rFonts w:ascii="Arial" w:hAnsi="Arial" w:hint="cs"/>
          <w:sz w:val="27"/>
          <w:rtl/>
          <w:lang w:bidi="ar-MA"/>
        </w:rPr>
        <w:t>ِّ</w:t>
      </w:r>
      <w:r w:rsidRPr="006571AC">
        <w:rPr>
          <w:rFonts w:ascii="Arial" w:hAnsi="Arial"/>
          <w:sz w:val="27"/>
          <w:rtl/>
          <w:lang w:bidi="ar-MA"/>
        </w:rPr>
        <w:t>ه وحب</w:t>
      </w:r>
      <w:r w:rsidR="003636D5" w:rsidRPr="006571AC">
        <w:rPr>
          <w:rFonts w:ascii="Arial" w:hAnsi="Arial" w:hint="cs"/>
          <w:sz w:val="27"/>
          <w:rtl/>
          <w:lang w:bidi="ar-MA"/>
        </w:rPr>
        <w:t>ِّ</w:t>
      </w:r>
      <w:r w:rsidRPr="006571AC">
        <w:rPr>
          <w:rFonts w:ascii="Arial" w:hAnsi="Arial"/>
          <w:sz w:val="27"/>
          <w:rtl/>
          <w:lang w:bidi="ar-MA"/>
        </w:rPr>
        <w:t xml:space="preserve"> أهله أيضا</w:t>
      </w:r>
      <w:r w:rsidR="003636D5" w:rsidRPr="006571AC">
        <w:rPr>
          <w:rFonts w:ascii="Arial" w:hAnsi="Arial" w:hint="cs"/>
          <w:sz w:val="27"/>
          <w:rtl/>
          <w:lang w:bidi="ar-MA"/>
        </w:rPr>
        <w:t>ً</w:t>
      </w:r>
      <w:r w:rsidRPr="006571AC">
        <w:rPr>
          <w:rFonts w:ascii="Arial" w:hAnsi="Arial"/>
          <w:sz w:val="27"/>
          <w:rtl/>
          <w:lang w:bidi="ar-MA"/>
        </w:rPr>
        <w:t>، وهو أمر</w:t>
      </w:r>
      <w:r w:rsidR="003636D5" w:rsidRPr="006571AC">
        <w:rPr>
          <w:rFonts w:ascii="Arial" w:hAnsi="Arial" w:hint="cs"/>
          <w:sz w:val="27"/>
          <w:rtl/>
          <w:lang w:bidi="ar-MA"/>
        </w:rPr>
        <w:t>ٌ</w:t>
      </w:r>
      <w:r w:rsidRPr="006571AC">
        <w:rPr>
          <w:rFonts w:ascii="Arial" w:hAnsi="Arial"/>
          <w:sz w:val="27"/>
          <w:rtl/>
          <w:lang w:bidi="ar-MA"/>
        </w:rPr>
        <w:t xml:space="preserve"> أوكد بالنسبة للمسلمين الذين و</w:t>
      </w:r>
      <w:r w:rsidR="003636D5" w:rsidRPr="006571AC">
        <w:rPr>
          <w:rFonts w:ascii="Arial" w:hAnsi="Arial" w:hint="cs"/>
          <w:sz w:val="27"/>
          <w:rtl/>
          <w:lang w:bidi="ar-MA"/>
        </w:rPr>
        <w:t>ُ</w:t>
      </w:r>
      <w:r w:rsidRPr="006571AC">
        <w:rPr>
          <w:rFonts w:ascii="Arial" w:hAnsi="Arial"/>
          <w:sz w:val="27"/>
          <w:rtl/>
          <w:lang w:bidi="ar-MA"/>
        </w:rPr>
        <w:t xml:space="preserve">لدوا </w:t>
      </w:r>
      <w:r w:rsidR="009B54AA" w:rsidRPr="006571AC">
        <w:rPr>
          <w:rFonts w:ascii="Arial" w:hAnsi="Arial" w:hint="cs"/>
          <w:sz w:val="27"/>
          <w:rtl/>
          <w:lang w:bidi="ar-MA"/>
        </w:rPr>
        <w:t xml:space="preserve">في </w:t>
      </w:r>
      <w:r w:rsidRPr="006571AC">
        <w:rPr>
          <w:rFonts w:ascii="Arial" w:hAnsi="Arial"/>
          <w:sz w:val="27"/>
          <w:rtl/>
          <w:lang w:bidi="ar-MA"/>
        </w:rPr>
        <w:t>هذه الديار الغربية</w:t>
      </w:r>
      <w:r w:rsidR="003636D5" w:rsidRPr="006571AC">
        <w:rPr>
          <w:rFonts w:ascii="Arial" w:hAnsi="Arial" w:hint="cs"/>
          <w:sz w:val="27"/>
          <w:rtl/>
          <w:lang w:bidi="ar-MA"/>
        </w:rPr>
        <w:t>،</w:t>
      </w:r>
      <w:r w:rsidRPr="006571AC">
        <w:rPr>
          <w:rFonts w:ascii="Arial" w:hAnsi="Arial"/>
          <w:sz w:val="27"/>
          <w:rtl/>
          <w:lang w:bidi="ar-MA"/>
        </w:rPr>
        <w:t xml:space="preserve"> وهي في حق</w:t>
      </w:r>
      <w:r w:rsidR="003636D5" w:rsidRPr="006571AC">
        <w:rPr>
          <w:rFonts w:ascii="Arial" w:hAnsi="Arial" w:hint="cs"/>
          <w:sz w:val="27"/>
          <w:rtl/>
          <w:lang w:bidi="ar-MA"/>
        </w:rPr>
        <w:t>ِّ</w:t>
      </w:r>
      <w:r w:rsidRPr="006571AC">
        <w:rPr>
          <w:rFonts w:ascii="Arial" w:hAnsi="Arial"/>
          <w:sz w:val="27"/>
          <w:rtl/>
          <w:lang w:bidi="ar-MA"/>
        </w:rPr>
        <w:t>هم بمثابة الأم</w:t>
      </w:r>
      <w:r w:rsidR="003636D5" w:rsidRPr="006571AC">
        <w:rPr>
          <w:rFonts w:ascii="Arial" w:hAnsi="Arial" w:hint="cs"/>
          <w:sz w:val="27"/>
          <w:rtl/>
          <w:lang w:bidi="ar-MA"/>
        </w:rPr>
        <w:t>ّ</w:t>
      </w:r>
      <w:r w:rsidRPr="006571AC">
        <w:rPr>
          <w:rFonts w:ascii="Arial" w:hAnsi="Arial"/>
          <w:sz w:val="27"/>
          <w:rtl/>
          <w:lang w:bidi="ar-MA"/>
        </w:rPr>
        <w:t xml:space="preserve"> والمنبت</w:t>
      </w:r>
      <w:r w:rsidRPr="006571AC">
        <w:rPr>
          <w:rFonts w:ascii="Arial" w:hAnsi="Arial"/>
          <w:sz w:val="27"/>
          <w:vertAlign w:val="superscript"/>
          <w:rtl/>
          <w:lang w:bidi="ar-MA"/>
        </w:rPr>
        <w:t>(</w:t>
      </w:r>
      <w:r w:rsidRPr="006571AC">
        <w:rPr>
          <w:rStyle w:val="ac"/>
          <w:rFonts w:ascii="Arial" w:hAnsi="Arial"/>
          <w:sz w:val="27"/>
          <w:rtl/>
          <w:lang w:bidi="ar-MA"/>
        </w:rPr>
        <w:endnoteReference w:id="625"/>
      </w:r>
      <w:r w:rsidRPr="006571AC">
        <w:rPr>
          <w:rFonts w:ascii="Arial" w:hAnsi="Arial"/>
          <w:sz w:val="27"/>
          <w:vertAlign w:val="superscript"/>
          <w:rtl/>
          <w:lang w:bidi="ar-MA"/>
        </w:rPr>
        <w:t>)</w:t>
      </w:r>
      <w:r w:rsidRPr="006571AC">
        <w:rPr>
          <w:rFonts w:ascii="Arial" w:hAnsi="Arial" w:hint="cs"/>
          <w:sz w:val="27"/>
          <w:rtl/>
          <w:lang w:bidi="ar-MA"/>
        </w:rPr>
        <w:t xml:space="preserve">. </w:t>
      </w:r>
    </w:p>
    <w:p w:rsidR="001B0AB2" w:rsidRPr="006571AC" w:rsidRDefault="001B0AB2" w:rsidP="002A2E03">
      <w:pPr>
        <w:rPr>
          <w:rFonts w:ascii="Arial" w:hAnsi="Arial"/>
          <w:sz w:val="27"/>
          <w:rtl/>
          <w:lang w:bidi="ar-MA"/>
        </w:rPr>
      </w:pPr>
      <w:r w:rsidRPr="006571AC">
        <w:rPr>
          <w:rFonts w:ascii="Arial" w:hAnsi="Arial"/>
          <w:sz w:val="27"/>
          <w:rtl/>
          <w:lang w:bidi="ar-MA"/>
        </w:rPr>
        <w:t>وهي معان</w:t>
      </w:r>
      <w:r w:rsidR="003636D5" w:rsidRPr="006571AC">
        <w:rPr>
          <w:rFonts w:ascii="Arial" w:hAnsi="Arial" w:hint="cs"/>
          <w:sz w:val="27"/>
          <w:rtl/>
          <w:lang w:bidi="ar-MA"/>
        </w:rPr>
        <w:t>ٍ</w:t>
      </w:r>
      <w:r w:rsidRPr="006571AC">
        <w:rPr>
          <w:rFonts w:ascii="Arial" w:hAnsi="Arial"/>
          <w:sz w:val="27"/>
          <w:rtl/>
          <w:lang w:bidi="ar-MA"/>
        </w:rPr>
        <w:t xml:space="preserve"> داخلة</w:t>
      </w:r>
      <w:r w:rsidR="003636D5" w:rsidRPr="006571AC">
        <w:rPr>
          <w:rFonts w:ascii="Arial" w:hAnsi="Arial" w:hint="cs"/>
          <w:sz w:val="27"/>
          <w:rtl/>
          <w:lang w:bidi="ar-MA"/>
        </w:rPr>
        <w:t>ٌ</w:t>
      </w:r>
      <w:r w:rsidRPr="006571AC">
        <w:rPr>
          <w:rFonts w:ascii="Arial" w:hAnsi="Arial"/>
          <w:sz w:val="27"/>
          <w:rtl/>
          <w:lang w:bidi="ar-MA"/>
        </w:rPr>
        <w:t xml:space="preserve"> في وجوب الإقامة والتوط</w:t>
      </w:r>
      <w:r w:rsidR="003636D5" w:rsidRPr="006571AC">
        <w:rPr>
          <w:rFonts w:ascii="Arial" w:hAnsi="Arial" w:hint="cs"/>
          <w:sz w:val="27"/>
          <w:rtl/>
          <w:lang w:bidi="ar-MA"/>
        </w:rPr>
        <w:t>ُّ</w:t>
      </w:r>
      <w:r w:rsidRPr="006571AC">
        <w:rPr>
          <w:rFonts w:ascii="Arial" w:hAnsi="Arial"/>
          <w:sz w:val="27"/>
          <w:rtl/>
          <w:lang w:bidi="ar-MA"/>
        </w:rPr>
        <w:t>ن في البلاد غير الإسلامي</w:t>
      </w:r>
      <w:r w:rsidR="009B54AA" w:rsidRPr="006571AC">
        <w:rPr>
          <w:rFonts w:ascii="Arial" w:hAnsi="Arial" w:hint="cs"/>
          <w:sz w:val="27"/>
          <w:rtl/>
          <w:lang w:bidi="ar-MA"/>
        </w:rPr>
        <w:t>ّ</w:t>
      </w:r>
      <w:r w:rsidRPr="006571AC">
        <w:rPr>
          <w:rFonts w:ascii="Arial" w:hAnsi="Arial"/>
          <w:sz w:val="27"/>
          <w:rtl/>
          <w:lang w:bidi="ar-MA"/>
        </w:rPr>
        <w:t>ة</w:t>
      </w:r>
      <w:r w:rsidRPr="006571AC">
        <w:rPr>
          <w:rFonts w:ascii="Arial" w:hAnsi="Arial" w:hint="cs"/>
          <w:sz w:val="27"/>
          <w:rtl/>
          <w:lang w:bidi="ar-MA"/>
        </w:rPr>
        <w:t xml:space="preserve">، </w:t>
      </w:r>
      <w:r w:rsidRPr="006571AC">
        <w:rPr>
          <w:rFonts w:ascii="Arial" w:hAnsi="Arial"/>
          <w:sz w:val="27"/>
          <w:rtl/>
          <w:lang w:bidi="ar-MA"/>
        </w:rPr>
        <w:t>ح</w:t>
      </w:r>
      <w:r w:rsidR="009B54AA" w:rsidRPr="006571AC">
        <w:rPr>
          <w:rFonts w:ascii="Arial" w:hAnsi="Arial" w:hint="cs"/>
          <w:sz w:val="27"/>
          <w:rtl/>
          <w:lang w:bidi="ar-MA"/>
        </w:rPr>
        <w:t>َ</w:t>
      </w:r>
      <w:r w:rsidRPr="006571AC">
        <w:rPr>
          <w:rFonts w:ascii="Arial" w:hAnsi="Arial"/>
          <w:sz w:val="27"/>
          <w:rtl/>
          <w:lang w:bidi="ar-MA"/>
        </w:rPr>
        <w:t>م</w:t>
      </w:r>
      <w:r w:rsidR="009B54AA" w:rsidRPr="006571AC">
        <w:rPr>
          <w:rFonts w:ascii="Arial" w:hAnsi="Arial" w:hint="cs"/>
          <w:sz w:val="27"/>
          <w:rtl/>
          <w:lang w:bidi="ar-MA"/>
        </w:rPr>
        <w:t>ْ</w:t>
      </w:r>
      <w:r w:rsidRPr="006571AC">
        <w:rPr>
          <w:rFonts w:ascii="Arial" w:hAnsi="Arial"/>
          <w:sz w:val="27"/>
          <w:rtl/>
          <w:lang w:bidi="ar-MA"/>
        </w:rPr>
        <w:t>لا</w:t>
      </w:r>
      <w:r w:rsidR="003636D5" w:rsidRPr="006571AC">
        <w:rPr>
          <w:rFonts w:ascii="Arial" w:hAnsi="Arial" w:hint="cs"/>
          <w:sz w:val="27"/>
          <w:rtl/>
          <w:lang w:bidi="ar-MA"/>
        </w:rPr>
        <w:t>ً</w:t>
      </w:r>
      <w:r w:rsidRPr="006571AC">
        <w:rPr>
          <w:rFonts w:ascii="Arial" w:hAnsi="Arial"/>
          <w:sz w:val="27"/>
          <w:rtl/>
          <w:lang w:bidi="ar-MA"/>
        </w:rPr>
        <w:t xml:space="preserve"> للأمانة</w:t>
      </w:r>
      <w:r w:rsidR="003636D5" w:rsidRPr="006571AC">
        <w:rPr>
          <w:rFonts w:ascii="Arial" w:hAnsi="Arial" w:hint="cs"/>
          <w:sz w:val="27"/>
          <w:rtl/>
          <w:lang w:bidi="ar-MA"/>
        </w:rPr>
        <w:t>،</w:t>
      </w:r>
      <w:r w:rsidRPr="006571AC">
        <w:rPr>
          <w:rFonts w:ascii="Arial" w:hAnsi="Arial"/>
          <w:sz w:val="27"/>
          <w:rtl/>
          <w:lang w:bidi="ar-MA"/>
        </w:rPr>
        <w:t xml:space="preserve"> وتبليغا</w:t>
      </w:r>
      <w:r w:rsidR="003636D5" w:rsidRPr="006571AC">
        <w:rPr>
          <w:rFonts w:ascii="Arial" w:hAnsi="Arial" w:hint="cs"/>
          <w:sz w:val="27"/>
          <w:rtl/>
          <w:lang w:bidi="ar-MA"/>
        </w:rPr>
        <w:t>ً</w:t>
      </w:r>
      <w:r w:rsidRPr="006571AC">
        <w:rPr>
          <w:rFonts w:ascii="Arial" w:hAnsi="Arial"/>
          <w:sz w:val="27"/>
          <w:rtl/>
          <w:lang w:bidi="ar-MA"/>
        </w:rPr>
        <w:t xml:space="preserve"> للرسالة</w:t>
      </w:r>
      <w:r w:rsidRPr="006571AC">
        <w:rPr>
          <w:rFonts w:ascii="Arial" w:hAnsi="Arial" w:hint="cs"/>
          <w:sz w:val="27"/>
          <w:rtl/>
          <w:lang w:bidi="ar-MA"/>
        </w:rPr>
        <w:t xml:space="preserve">، </w:t>
      </w:r>
      <w:r w:rsidRPr="006571AC">
        <w:rPr>
          <w:rFonts w:ascii="Arial" w:hAnsi="Arial"/>
          <w:sz w:val="27"/>
          <w:rtl/>
          <w:lang w:bidi="ar-MA"/>
        </w:rPr>
        <w:t>وابتعاثا</w:t>
      </w:r>
      <w:r w:rsidR="003636D5" w:rsidRPr="006571AC">
        <w:rPr>
          <w:rFonts w:ascii="Arial" w:hAnsi="Arial" w:hint="cs"/>
          <w:sz w:val="27"/>
          <w:rtl/>
          <w:lang w:bidi="ar-MA"/>
        </w:rPr>
        <w:t>ً</w:t>
      </w:r>
      <w:r w:rsidRPr="006571AC">
        <w:rPr>
          <w:rFonts w:ascii="Arial" w:hAnsi="Arial"/>
          <w:sz w:val="27"/>
          <w:rtl/>
          <w:lang w:bidi="ar-MA"/>
        </w:rPr>
        <w:t xml:space="preserve"> في الخير</w:t>
      </w:r>
      <w:r w:rsidR="003636D5" w:rsidRPr="006571AC">
        <w:rPr>
          <w:rFonts w:ascii="Arial" w:hAnsi="Arial" w:hint="cs"/>
          <w:sz w:val="27"/>
          <w:rtl/>
          <w:lang w:bidi="ar-MA"/>
        </w:rPr>
        <w:t>،</w:t>
      </w:r>
      <w:r w:rsidRPr="006571AC">
        <w:rPr>
          <w:rFonts w:ascii="Arial" w:hAnsi="Arial"/>
          <w:sz w:val="27"/>
          <w:rtl/>
          <w:lang w:bidi="ar-MA"/>
        </w:rPr>
        <w:t xml:space="preserve"> كما نص</w:t>
      </w:r>
      <w:r w:rsidR="003636D5" w:rsidRPr="006571AC">
        <w:rPr>
          <w:rFonts w:ascii="Arial" w:hAnsi="Arial" w:hint="cs"/>
          <w:sz w:val="27"/>
          <w:rtl/>
          <w:lang w:bidi="ar-MA"/>
        </w:rPr>
        <w:t>ّ</w:t>
      </w:r>
      <w:r w:rsidRPr="006571AC">
        <w:rPr>
          <w:rFonts w:ascii="Arial" w:hAnsi="Arial"/>
          <w:sz w:val="27"/>
          <w:rtl/>
          <w:lang w:bidi="ar-MA"/>
        </w:rPr>
        <w:t xml:space="preserve"> على ذلك القرآن: </w:t>
      </w:r>
      <w:r w:rsidRPr="006571AC">
        <w:rPr>
          <w:rFonts w:ascii="Mosawi" w:hAnsi="Mosawi" w:cs="Mosawi"/>
          <w:sz w:val="24"/>
          <w:szCs w:val="24"/>
          <w:rtl/>
        </w:rPr>
        <w:t>﴿</w:t>
      </w:r>
      <w:r w:rsidRPr="006571AC">
        <w:rPr>
          <w:rFonts w:ascii="Arial" w:hAnsi="Arial"/>
          <w:b/>
          <w:bCs/>
          <w:sz w:val="27"/>
          <w:rtl/>
          <w:lang w:bidi="ar-MA"/>
        </w:rPr>
        <w:t>ك</w:t>
      </w:r>
      <w:r w:rsidR="003636D5" w:rsidRPr="006571AC">
        <w:rPr>
          <w:rFonts w:ascii="Arial" w:hAnsi="Arial" w:hint="cs"/>
          <w:b/>
          <w:bCs/>
          <w:sz w:val="27"/>
          <w:rtl/>
          <w:lang w:bidi="ar-MA"/>
        </w:rPr>
        <w:t>ُ</w:t>
      </w:r>
      <w:r w:rsidRPr="006571AC">
        <w:rPr>
          <w:rFonts w:ascii="Arial" w:hAnsi="Arial"/>
          <w:b/>
          <w:bCs/>
          <w:sz w:val="27"/>
          <w:rtl/>
          <w:lang w:bidi="ar-MA"/>
        </w:rPr>
        <w:t>ن</w:t>
      </w:r>
      <w:r w:rsidR="003636D5" w:rsidRPr="006571AC">
        <w:rPr>
          <w:rFonts w:ascii="Arial" w:hAnsi="Arial" w:hint="cs"/>
          <w:b/>
          <w:bCs/>
          <w:sz w:val="27"/>
          <w:rtl/>
          <w:lang w:bidi="ar-MA"/>
        </w:rPr>
        <w:t>ْ</w:t>
      </w:r>
      <w:r w:rsidRPr="006571AC">
        <w:rPr>
          <w:rFonts w:ascii="Arial" w:hAnsi="Arial"/>
          <w:b/>
          <w:bCs/>
          <w:sz w:val="27"/>
          <w:rtl/>
          <w:lang w:bidi="ar-MA"/>
        </w:rPr>
        <w:t>ت</w:t>
      </w:r>
      <w:r w:rsidR="003636D5" w:rsidRPr="006571AC">
        <w:rPr>
          <w:rFonts w:ascii="Arial" w:hAnsi="Arial" w:hint="cs"/>
          <w:b/>
          <w:bCs/>
          <w:sz w:val="27"/>
          <w:rtl/>
          <w:lang w:bidi="ar-MA"/>
        </w:rPr>
        <w:t>ُ</w:t>
      </w:r>
      <w:r w:rsidRPr="006571AC">
        <w:rPr>
          <w:rFonts w:ascii="Arial" w:hAnsi="Arial"/>
          <w:b/>
          <w:bCs/>
          <w:sz w:val="27"/>
          <w:rtl/>
          <w:lang w:bidi="ar-MA"/>
        </w:rPr>
        <w:t>م</w:t>
      </w:r>
      <w:r w:rsidR="003636D5" w:rsidRPr="006571AC">
        <w:rPr>
          <w:rFonts w:ascii="Arial" w:hAnsi="Arial" w:hint="cs"/>
          <w:b/>
          <w:bCs/>
          <w:sz w:val="27"/>
          <w:rtl/>
          <w:lang w:bidi="ar-MA"/>
        </w:rPr>
        <w:t>ْ</w:t>
      </w:r>
      <w:r w:rsidRPr="006571AC">
        <w:rPr>
          <w:rFonts w:ascii="Arial" w:hAnsi="Arial"/>
          <w:b/>
          <w:bCs/>
          <w:sz w:val="27"/>
          <w:rtl/>
          <w:lang w:bidi="ar-MA"/>
        </w:rPr>
        <w:t xml:space="preserve"> خ</w:t>
      </w:r>
      <w:r w:rsidR="003636D5" w:rsidRPr="006571AC">
        <w:rPr>
          <w:rFonts w:ascii="Arial" w:hAnsi="Arial" w:hint="cs"/>
          <w:b/>
          <w:bCs/>
          <w:sz w:val="27"/>
          <w:rtl/>
          <w:lang w:bidi="ar-MA"/>
        </w:rPr>
        <w:t>َ</w:t>
      </w:r>
      <w:r w:rsidRPr="006571AC">
        <w:rPr>
          <w:rFonts w:ascii="Arial" w:hAnsi="Arial"/>
          <w:b/>
          <w:bCs/>
          <w:sz w:val="27"/>
          <w:rtl/>
          <w:lang w:bidi="ar-MA"/>
        </w:rPr>
        <w:t>ي</w:t>
      </w:r>
      <w:r w:rsidR="003636D5" w:rsidRPr="006571AC">
        <w:rPr>
          <w:rFonts w:ascii="Arial" w:hAnsi="Arial" w:hint="cs"/>
          <w:b/>
          <w:bCs/>
          <w:sz w:val="27"/>
          <w:rtl/>
          <w:lang w:bidi="ar-MA"/>
        </w:rPr>
        <w:t>ْ</w:t>
      </w:r>
      <w:r w:rsidRPr="006571AC">
        <w:rPr>
          <w:rFonts w:ascii="Arial" w:hAnsi="Arial"/>
          <w:b/>
          <w:bCs/>
          <w:sz w:val="27"/>
          <w:rtl/>
          <w:lang w:bidi="ar-MA"/>
        </w:rPr>
        <w:t>ر</w:t>
      </w:r>
      <w:r w:rsidR="003636D5" w:rsidRPr="006571AC">
        <w:rPr>
          <w:rFonts w:ascii="Arial" w:hAnsi="Arial" w:hint="cs"/>
          <w:b/>
          <w:bCs/>
          <w:sz w:val="27"/>
          <w:rtl/>
          <w:lang w:bidi="ar-MA"/>
        </w:rPr>
        <w:t>َ</w:t>
      </w:r>
      <w:r w:rsidRPr="006571AC">
        <w:rPr>
          <w:rFonts w:ascii="Arial" w:hAnsi="Arial"/>
          <w:b/>
          <w:bCs/>
          <w:sz w:val="27"/>
          <w:rtl/>
          <w:lang w:bidi="ar-MA"/>
        </w:rPr>
        <w:t xml:space="preserve"> أ</w:t>
      </w:r>
      <w:r w:rsidR="003636D5" w:rsidRPr="006571AC">
        <w:rPr>
          <w:rFonts w:ascii="Arial" w:hAnsi="Arial" w:hint="cs"/>
          <w:b/>
          <w:bCs/>
          <w:sz w:val="27"/>
          <w:rtl/>
          <w:lang w:bidi="ar-MA"/>
        </w:rPr>
        <w:t>ُ</w:t>
      </w:r>
      <w:r w:rsidRPr="006571AC">
        <w:rPr>
          <w:rFonts w:ascii="Arial" w:hAnsi="Arial"/>
          <w:b/>
          <w:bCs/>
          <w:sz w:val="27"/>
          <w:rtl/>
          <w:lang w:bidi="ar-MA"/>
        </w:rPr>
        <w:t>م</w:t>
      </w:r>
      <w:r w:rsidR="003636D5" w:rsidRPr="006571AC">
        <w:rPr>
          <w:rFonts w:ascii="Arial" w:hAnsi="Arial" w:hint="cs"/>
          <w:b/>
          <w:bCs/>
          <w:sz w:val="27"/>
          <w:rtl/>
          <w:lang w:bidi="ar-MA"/>
        </w:rPr>
        <w:t>َّ</w:t>
      </w:r>
      <w:r w:rsidRPr="006571AC">
        <w:rPr>
          <w:rFonts w:ascii="Arial" w:hAnsi="Arial"/>
          <w:b/>
          <w:bCs/>
          <w:sz w:val="27"/>
          <w:rtl/>
          <w:lang w:bidi="ar-MA"/>
        </w:rPr>
        <w:t>ة</w:t>
      </w:r>
      <w:r w:rsidR="003636D5" w:rsidRPr="006571AC">
        <w:rPr>
          <w:rFonts w:ascii="Arial" w:hAnsi="Arial" w:hint="cs"/>
          <w:b/>
          <w:bCs/>
          <w:sz w:val="27"/>
          <w:rtl/>
          <w:lang w:bidi="ar-MA"/>
        </w:rPr>
        <w:t>ٍ</w:t>
      </w:r>
      <w:r w:rsidRPr="006571AC">
        <w:rPr>
          <w:rFonts w:ascii="Arial" w:hAnsi="Arial"/>
          <w:b/>
          <w:bCs/>
          <w:sz w:val="27"/>
          <w:rtl/>
          <w:lang w:bidi="ar-MA"/>
        </w:rPr>
        <w:t xml:space="preserve"> أ</w:t>
      </w:r>
      <w:r w:rsidR="003636D5" w:rsidRPr="006571AC">
        <w:rPr>
          <w:rFonts w:ascii="Arial" w:hAnsi="Arial" w:hint="cs"/>
          <w:b/>
          <w:bCs/>
          <w:sz w:val="27"/>
          <w:rtl/>
          <w:lang w:bidi="ar-MA"/>
        </w:rPr>
        <w:t>ُ</w:t>
      </w:r>
      <w:r w:rsidRPr="006571AC">
        <w:rPr>
          <w:rFonts w:ascii="Arial" w:hAnsi="Arial"/>
          <w:b/>
          <w:bCs/>
          <w:sz w:val="27"/>
          <w:rtl/>
          <w:lang w:bidi="ar-MA"/>
        </w:rPr>
        <w:t>خ</w:t>
      </w:r>
      <w:r w:rsidR="003636D5" w:rsidRPr="006571AC">
        <w:rPr>
          <w:rFonts w:ascii="Arial" w:hAnsi="Arial" w:hint="cs"/>
          <w:b/>
          <w:bCs/>
          <w:sz w:val="27"/>
          <w:rtl/>
          <w:lang w:bidi="ar-MA"/>
        </w:rPr>
        <w:t>ْ</w:t>
      </w:r>
      <w:r w:rsidRPr="006571AC">
        <w:rPr>
          <w:rFonts w:ascii="Arial" w:hAnsi="Arial"/>
          <w:b/>
          <w:bCs/>
          <w:sz w:val="27"/>
          <w:rtl/>
          <w:lang w:bidi="ar-MA"/>
        </w:rPr>
        <w:t>ر</w:t>
      </w:r>
      <w:r w:rsidR="003636D5" w:rsidRPr="006571AC">
        <w:rPr>
          <w:rFonts w:ascii="Arial" w:hAnsi="Arial" w:hint="cs"/>
          <w:b/>
          <w:bCs/>
          <w:sz w:val="27"/>
          <w:rtl/>
          <w:lang w:bidi="ar-MA"/>
        </w:rPr>
        <w:t>ِ</w:t>
      </w:r>
      <w:r w:rsidRPr="006571AC">
        <w:rPr>
          <w:rFonts w:ascii="Arial" w:hAnsi="Arial"/>
          <w:b/>
          <w:bCs/>
          <w:sz w:val="27"/>
          <w:rtl/>
          <w:lang w:bidi="ar-MA"/>
        </w:rPr>
        <w:t>ج</w:t>
      </w:r>
      <w:r w:rsidR="003636D5" w:rsidRPr="006571AC">
        <w:rPr>
          <w:rFonts w:ascii="Arial" w:hAnsi="Arial" w:hint="cs"/>
          <w:b/>
          <w:bCs/>
          <w:sz w:val="27"/>
          <w:rtl/>
          <w:lang w:bidi="ar-MA"/>
        </w:rPr>
        <w:t>َ</w:t>
      </w:r>
      <w:r w:rsidRPr="006571AC">
        <w:rPr>
          <w:rFonts w:ascii="Arial" w:hAnsi="Arial"/>
          <w:b/>
          <w:bCs/>
          <w:sz w:val="27"/>
          <w:rtl/>
          <w:lang w:bidi="ar-MA"/>
        </w:rPr>
        <w:t>ت</w:t>
      </w:r>
      <w:r w:rsidR="003636D5" w:rsidRPr="006571AC">
        <w:rPr>
          <w:rFonts w:ascii="Arial" w:hAnsi="Arial" w:hint="cs"/>
          <w:b/>
          <w:bCs/>
          <w:sz w:val="27"/>
          <w:rtl/>
          <w:lang w:bidi="ar-MA"/>
        </w:rPr>
        <w:t>ْ</w:t>
      </w:r>
      <w:r w:rsidRPr="006571AC">
        <w:rPr>
          <w:rFonts w:ascii="Arial" w:hAnsi="Arial"/>
          <w:b/>
          <w:bCs/>
          <w:sz w:val="27"/>
          <w:rtl/>
          <w:lang w:bidi="ar-MA"/>
        </w:rPr>
        <w:t xml:space="preserve"> ل</w:t>
      </w:r>
      <w:r w:rsidR="003636D5" w:rsidRPr="006571AC">
        <w:rPr>
          <w:rFonts w:ascii="Arial" w:hAnsi="Arial" w:hint="cs"/>
          <w:b/>
          <w:bCs/>
          <w:sz w:val="27"/>
          <w:rtl/>
          <w:lang w:bidi="ar-MA"/>
        </w:rPr>
        <w:t>ِ</w:t>
      </w:r>
      <w:r w:rsidRPr="006571AC">
        <w:rPr>
          <w:rFonts w:ascii="Arial" w:hAnsi="Arial"/>
          <w:b/>
          <w:bCs/>
          <w:sz w:val="27"/>
          <w:rtl/>
          <w:lang w:bidi="ar-MA"/>
        </w:rPr>
        <w:t>لن</w:t>
      </w:r>
      <w:r w:rsidR="003636D5" w:rsidRPr="006571AC">
        <w:rPr>
          <w:rFonts w:ascii="Arial" w:hAnsi="Arial" w:hint="cs"/>
          <w:b/>
          <w:bCs/>
          <w:sz w:val="27"/>
          <w:rtl/>
          <w:lang w:bidi="ar-MA"/>
        </w:rPr>
        <w:t>َّ</w:t>
      </w:r>
      <w:r w:rsidRPr="006571AC">
        <w:rPr>
          <w:rFonts w:ascii="Arial" w:hAnsi="Arial"/>
          <w:b/>
          <w:bCs/>
          <w:sz w:val="27"/>
          <w:rtl/>
          <w:lang w:bidi="ar-MA"/>
        </w:rPr>
        <w:t>اس</w:t>
      </w:r>
      <w:r w:rsidR="003636D5" w:rsidRPr="006571AC">
        <w:rPr>
          <w:rFonts w:ascii="Arial" w:hAnsi="Arial" w:hint="cs"/>
          <w:b/>
          <w:bCs/>
          <w:sz w:val="27"/>
          <w:rtl/>
          <w:lang w:bidi="ar-MA"/>
        </w:rPr>
        <w:t>ِ</w:t>
      </w:r>
      <w:r w:rsidRPr="006571AC">
        <w:rPr>
          <w:rFonts w:ascii="Mosawi" w:hAnsi="Mosawi" w:cs="Mosawi"/>
          <w:sz w:val="24"/>
          <w:szCs w:val="24"/>
          <w:rtl/>
        </w:rPr>
        <w:t>﴾</w:t>
      </w:r>
      <w:r w:rsidRPr="006571AC">
        <w:rPr>
          <w:rFonts w:ascii="Arial" w:hAnsi="Arial" w:hint="cs"/>
          <w:sz w:val="27"/>
          <w:rtl/>
          <w:lang w:eastAsia="fr-FR" w:bidi="ar-MA"/>
        </w:rPr>
        <w:t xml:space="preserve"> (آل عمران: 110)،</w:t>
      </w:r>
      <w:r w:rsidRPr="006571AC">
        <w:rPr>
          <w:rFonts w:ascii="Arial" w:hAnsi="Arial" w:hint="cs"/>
          <w:sz w:val="27"/>
          <w:rtl/>
          <w:lang w:bidi="ar-MA"/>
        </w:rPr>
        <w:t xml:space="preserve"> </w:t>
      </w:r>
      <w:r w:rsidRPr="006571AC">
        <w:rPr>
          <w:rFonts w:ascii="Arial" w:hAnsi="Arial"/>
          <w:sz w:val="27"/>
          <w:rtl/>
          <w:lang w:bidi="ar-MA"/>
        </w:rPr>
        <w:t>وكما ترجمه النبي</w:t>
      </w:r>
      <w:r w:rsidR="003636D5" w:rsidRPr="006571AC">
        <w:rPr>
          <w:rFonts w:ascii="Arial" w:hAnsi="Arial" w:hint="cs"/>
          <w:sz w:val="27"/>
          <w:rtl/>
          <w:lang w:bidi="ar-MA"/>
        </w:rPr>
        <w:t>ّ</w:t>
      </w:r>
      <w:r w:rsidR="003636D5" w:rsidRPr="006571AC">
        <w:rPr>
          <w:rFonts w:ascii="Mosawi" w:hAnsi="Mosawi" w:cs="Mosawi"/>
          <w:sz w:val="22"/>
          <w:szCs w:val="22"/>
          <w:rtl/>
        </w:rPr>
        <w:t>ﷺ</w:t>
      </w:r>
      <w:r w:rsidRPr="006571AC">
        <w:rPr>
          <w:rFonts w:ascii="Arial" w:hAnsi="Arial"/>
          <w:sz w:val="27"/>
          <w:rtl/>
          <w:lang w:bidi="ar-MA"/>
        </w:rPr>
        <w:t xml:space="preserve"> في خلاصة رسالته: </w:t>
      </w:r>
      <w:r w:rsidRPr="006571AC">
        <w:rPr>
          <w:rFonts w:hint="eastAsia"/>
          <w:sz w:val="24"/>
          <w:szCs w:val="24"/>
          <w:rtl/>
          <w:lang w:bidi="ar-MA"/>
        </w:rPr>
        <w:t>«</w:t>
      </w:r>
      <w:r w:rsidRPr="006571AC">
        <w:rPr>
          <w:rFonts w:ascii="Arial" w:hAnsi="Arial"/>
          <w:sz w:val="27"/>
          <w:rtl/>
          <w:lang w:bidi="ar-MA"/>
        </w:rPr>
        <w:t>إنما ب</w:t>
      </w:r>
      <w:r w:rsidR="003636D5" w:rsidRPr="006571AC">
        <w:rPr>
          <w:rFonts w:ascii="Arial" w:hAnsi="Arial" w:hint="cs"/>
          <w:sz w:val="27"/>
          <w:rtl/>
          <w:lang w:bidi="ar-MA"/>
        </w:rPr>
        <w:t>ُ</w:t>
      </w:r>
      <w:r w:rsidRPr="006571AC">
        <w:rPr>
          <w:rFonts w:ascii="Arial" w:hAnsi="Arial"/>
          <w:sz w:val="27"/>
          <w:rtl/>
          <w:lang w:bidi="ar-MA"/>
        </w:rPr>
        <w:t>عث</w:t>
      </w:r>
      <w:r w:rsidR="003636D5" w:rsidRPr="006571AC">
        <w:rPr>
          <w:rFonts w:ascii="Arial" w:hAnsi="Arial" w:hint="cs"/>
          <w:sz w:val="27"/>
          <w:rtl/>
          <w:lang w:bidi="ar-MA"/>
        </w:rPr>
        <w:t>ْ</w:t>
      </w:r>
      <w:r w:rsidRPr="006571AC">
        <w:rPr>
          <w:rFonts w:ascii="Arial" w:hAnsi="Arial"/>
          <w:sz w:val="27"/>
          <w:rtl/>
          <w:lang w:bidi="ar-MA"/>
        </w:rPr>
        <w:t>ت</w:t>
      </w:r>
      <w:r w:rsidR="003636D5" w:rsidRPr="006571AC">
        <w:rPr>
          <w:rFonts w:ascii="Arial" w:hAnsi="Arial" w:hint="cs"/>
          <w:sz w:val="27"/>
          <w:rtl/>
          <w:lang w:bidi="ar-MA"/>
        </w:rPr>
        <w:t>ُ</w:t>
      </w:r>
      <w:r w:rsidRPr="006571AC">
        <w:rPr>
          <w:rFonts w:ascii="Arial" w:hAnsi="Arial"/>
          <w:sz w:val="27"/>
          <w:rtl/>
          <w:lang w:bidi="ar-MA"/>
        </w:rPr>
        <w:t xml:space="preserve"> لأتم</w:t>
      </w:r>
      <w:r w:rsidR="003636D5" w:rsidRPr="006571AC">
        <w:rPr>
          <w:rFonts w:ascii="Arial" w:hAnsi="Arial" w:hint="cs"/>
          <w:sz w:val="27"/>
          <w:rtl/>
          <w:lang w:bidi="ar-MA"/>
        </w:rPr>
        <w:t>ِّ</w:t>
      </w:r>
      <w:r w:rsidRPr="006571AC">
        <w:rPr>
          <w:rFonts w:ascii="Arial" w:hAnsi="Arial"/>
          <w:sz w:val="27"/>
          <w:rtl/>
          <w:lang w:bidi="ar-MA"/>
        </w:rPr>
        <w:t>م مكارم الأخلاق</w:t>
      </w:r>
      <w:r w:rsidRPr="006571AC">
        <w:rPr>
          <w:rFonts w:hint="eastAsia"/>
          <w:sz w:val="24"/>
          <w:szCs w:val="24"/>
          <w:rtl/>
        </w:rPr>
        <w:t>»</w:t>
      </w:r>
      <w:r w:rsidRPr="006571AC">
        <w:rPr>
          <w:rFonts w:ascii="Arial" w:hAnsi="Arial"/>
          <w:sz w:val="27"/>
          <w:vertAlign w:val="superscript"/>
          <w:rtl/>
          <w:lang w:bidi="ar-MA"/>
        </w:rPr>
        <w:t>(</w:t>
      </w:r>
      <w:r w:rsidRPr="006571AC">
        <w:rPr>
          <w:rStyle w:val="ac"/>
          <w:rFonts w:ascii="Arial" w:hAnsi="Arial"/>
          <w:sz w:val="27"/>
          <w:rtl/>
          <w:lang w:bidi="ar-MA"/>
        </w:rPr>
        <w:endnoteReference w:id="626"/>
      </w:r>
      <w:r w:rsidRPr="006571AC">
        <w:rPr>
          <w:rFonts w:ascii="Arial" w:hAnsi="Arial"/>
          <w:sz w:val="27"/>
          <w:vertAlign w:val="superscript"/>
          <w:rtl/>
          <w:lang w:bidi="ar-MA"/>
        </w:rPr>
        <w:t>)</w:t>
      </w:r>
      <w:r w:rsidRPr="006571AC">
        <w:rPr>
          <w:rFonts w:ascii="Arial" w:hAnsi="Arial" w:hint="cs"/>
          <w:sz w:val="27"/>
          <w:rtl/>
          <w:lang w:bidi="ar-MA"/>
        </w:rPr>
        <w:t xml:space="preserve">، </w:t>
      </w:r>
      <w:r w:rsidRPr="006571AC">
        <w:rPr>
          <w:rFonts w:ascii="Arial" w:hAnsi="Arial"/>
          <w:sz w:val="27"/>
          <w:rtl/>
          <w:lang w:bidi="ar-MA"/>
        </w:rPr>
        <w:t>وقد هيمن</w:t>
      </w:r>
      <w:r w:rsidR="003636D5" w:rsidRPr="006571AC">
        <w:rPr>
          <w:rFonts w:ascii="Arial" w:hAnsi="Arial" w:hint="cs"/>
          <w:sz w:val="27"/>
          <w:rtl/>
          <w:lang w:bidi="ar-MA"/>
        </w:rPr>
        <w:t>َ</w:t>
      </w:r>
      <w:r w:rsidRPr="006571AC">
        <w:rPr>
          <w:rFonts w:ascii="Arial" w:hAnsi="Arial"/>
          <w:sz w:val="27"/>
          <w:rtl/>
          <w:lang w:bidi="ar-MA"/>
        </w:rPr>
        <w:t>ت</w:t>
      </w:r>
      <w:r w:rsidR="003636D5" w:rsidRPr="006571AC">
        <w:rPr>
          <w:rFonts w:ascii="Arial" w:hAnsi="Arial" w:hint="cs"/>
          <w:sz w:val="27"/>
          <w:rtl/>
          <w:lang w:bidi="ar-MA"/>
        </w:rPr>
        <w:t>ْ</w:t>
      </w:r>
      <w:r w:rsidRPr="006571AC">
        <w:rPr>
          <w:rFonts w:ascii="Arial" w:hAnsi="Arial"/>
          <w:sz w:val="27"/>
          <w:rtl/>
          <w:lang w:bidi="ar-MA"/>
        </w:rPr>
        <w:t xml:space="preserve"> فكرة الابتعاث إلى الخير على الفاتحين الأ</w:t>
      </w:r>
      <w:r w:rsidR="003636D5" w:rsidRPr="006571AC">
        <w:rPr>
          <w:rFonts w:ascii="Arial" w:hAnsi="Arial" w:hint="cs"/>
          <w:sz w:val="27"/>
          <w:rtl/>
          <w:lang w:bidi="ar-MA"/>
        </w:rPr>
        <w:t>ُ</w:t>
      </w:r>
      <w:r w:rsidRPr="006571AC">
        <w:rPr>
          <w:rFonts w:ascii="Arial" w:hAnsi="Arial"/>
          <w:sz w:val="27"/>
          <w:rtl/>
          <w:lang w:bidi="ar-MA"/>
        </w:rPr>
        <w:t>و</w:t>
      </w:r>
      <w:r w:rsidR="003636D5" w:rsidRPr="006571AC">
        <w:rPr>
          <w:rFonts w:ascii="Arial" w:hAnsi="Arial" w:hint="cs"/>
          <w:sz w:val="27"/>
          <w:rtl/>
          <w:lang w:bidi="ar-MA"/>
        </w:rPr>
        <w:t>َ</w:t>
      </w:r>
      <w:r w:rsidRPr="006571AC">
        <w:rPr>
          <w:rFonts w:ascii="Arial" w:hAnsi="Arial"/>
          <w:sz w:val="27"/>
          <w:rtl/>
          <w:lang w:bidi="ar-MA"/>
        </w:rPr>
        <w:t>ل</w:t>
      </w:r>
      <w:r w:rsidRPr="006571AC">
        <w:rPr>
          <w:rFonts w:ascii="Arial" w:hAnsi="Arial" w:hint="cs"/>
          <w:sz w:val="27"/>
          <w:rtl/>
          <w:lang w:bidi="ar-MA"/>
        </w:rPr>
        <w:t xml:space="preserve">، </w:t>
      </w:r>
      <w:r w:rsidRPr="006571AC">
        <w:rPr>
          <w:rFonts w:ascii="Arial" w:hAnsi="Arial"/>
          <w:sz w:val="27"/>
          <w:rtl/>
          <w:lang w:bidi="ar-MA"/>
        </w:rPr>
        <w:t>حتى شهد</w:t>
      </w:r>
      <w:r w:rsidR="009B54AA" w:rsidRPr="006571AC">
        <w:rPr>
          <w:rFonts w:ascii="Arial" w:hAnsi="Arial" w:hint="cs"/>
          <w:sz w:val="27"/>
          <w:rtl/>
          <w:lang w:bidi="ar-MA"/>
        </w:rPr>
        <w:t>َ</w:t>
      </w:r>
      <w:r w:rsidRPr="006571AC">
        <w:rPr>
          <w:rFonts w:ascii="Arial" w:hAnsi="Arial"/>
          <w:sz w:val="27"/>
          <w:rtl/>
          <w:lang w:bidi="ar-MA"/>
        </w:rPr>
        <w:t>ت</w:t>
      </w:r>
      <w:r w:rsidR="009B54AA" w:rsidRPr="006571AC">
        <w:rPr>
          <w:rFonts w:ascii="Arial" w:hAnsi="Arial" w:hint="cs"/>
          <w:sz w:val="27"/>
          <w:rtl/>
          <w:lang w:bidi="ar-MA"/>
        </w:rPr>
        <w:t>ْ</w:t>
      </w:r>
      <w:r w:rsidRPr="006571AC">
        <w:rPr>
          <w:rFonts w:ascii="Arial" w:hAnsi="Arial"/>
          <w:sz w:val="27"/>
          <w:rtl/>
          <w:lang w:bidi="ar-MA"/>
        </w:rPr>
        <w:t xml:space="preserve"> بفضلهم دولة الإسلام توس</w:t>
      </w:r>
      <w:r w:rsidR="009B54AA" w:rsidRPr="006571AC">
        <w:rPr>
          <w:rFonts w:ascii="Arial" w:hAnsi="Arial" w:hint="cs"/>
          <w:sz w:val="27"/>
          <w:rtl/>
          <w:lang w:bidi="ar-MA"/>
        </w:rPr>
        <w:t>ُّ</w:t>
      </w:r>
      <w:r w:rsidRPr="006571AC">
        <w:rPr>
          <w:rFonts w:ascii="Arial" w:hAnsi="Arial"/>
          <w:sz w:val="27"/>
          <w:rtl/>
          <w:lang w:bidi="ar-MA"/>
        </w:rPr>
        <w:t>عا</w:t>
      </w:r>
      <w:r w:rsidR="003636D5" w:rsidRPr="006571AC">
        <w:rPr>
          <w:rFonts w:ascii="Arial" w:hAnsi="Arial" w:hint="cs"/>
          <w:sz w:val="27"/>
          <w:rtl/>
          <w:lang w:bidi="ar-MA"/>
        </w:rPr>
        <w:t>ً</w:t>
      </w:r>
      <w:r w:rsidRPr="006571AC">
        <w:rPr>
          <w:rFonts w:ascii="Arial" w:hAnsi="Arial"/>
          <w:sz w:val="27"/>
          <w:rtl/>
          <w:lang w:bidi="ar-MA"/>
        </w:rPr>
        <w:t xml:space="preserve"> عمرانيا</w:t>
      </w:r>
      <w:r w:rsidR="003636D5" w:rsidRPr="006571AC">
        <w:rPr>
          <w:rFonts w:ascii="Arial" w:hAnsi="Arial" w:hint="cs"/>
          <w:sz w:val="27"/>
          <w:rtl/>
          <w:lang w:bidi="ar-MA"/>
        </w:rPr>
        <w:t>ً</w:t>
      </w:r>
      <w:r w:rsidRPr="006571AC">
        <w:rPr>
          <w:rFonts w:ascii="Arial" w:hAnsi="Arial"/>
          <w:sz w:val="27"/>
          <w:rtl/>
          <w:lang w:bidi="ar-MA"/>
        </w:rPr>
        <w:t xml:space="preserve"> وبشريا</w:t>
      </w:r>
      <w:r w:rsidR="003636D5" w:rsidRPr="006571AC">
        <w:rPr>
          <w:rFonts w:ascii="Arial" w:hAnsi="Arial" w:hint="cs"/>
          <w:sz w:val="27"/>
          <w:rtl/>
          <w:lang w:bidi="ar-MA"/>
        </w:rPr>
        <w:t>ً</w:t>
      </w:r>
      <w:r w:rsidRPr="006571AC">
        <w:rPr>
          <w:rFonts w:ascii="Arial" w:hAnsi="Arial"/>
          <w:sz w:val="27"/>
          <w:rtl/>
          <w:lang w:bidi="ar-MA"/>
        </w:rPr>
        <w:t xml:space="preserve"> قل</w:t>
      </w:r>
      <w:r w:rsidR="003636D5" w:rsidRPr="006571AC">
        <w:rPr>
          <w:rFonts w:ascii="Arial" w:hAnsi="Arial" w:hint="cs"/>
          <w:sz w:val="27"/>
          <w:rtl/>
          <w:lang w:bidi="ar-MA"/>
        </w:rPr>
        <w:t>ّ</w:t>
      </w:r>
      <w:r w:rsidRPr="006571AC">
        <w:rPr>
          <w:rFonts w:ascii="Arial" w:hAnsi="Arial"/>
          <w:sz w:val="27"/>
          <w:rtl/>
          <w:lang w:bidi="ar-MA"/>
        </w:rPr>
        <w:t xml:space="preserve"> نظيره</w:t>
      </w:r>
      <w:r w:rsidRPr="006571AC">
        <w:rPr>
          <w:rFonts w:ascii="Arial" w:hAnsi="Arial" w:hint="cs"/>
          <w:sz w:val="27"/>
          <w:rtl/>
          <w:lang w:bidi="ar-MA"/>
        </w:rPr>
        <w:t xml:space="preserve"> في تاريخ الحضارات الإنسانية</w:t>
      </w:r>
      <w:r w:rsidRPr="006571AC">
        <w:rPr>
          <w:rFonts w:ascii="Arial" w:hAnsi="Arial"/>
          <w:sz w:val="27"/>
          <w:rtl/>
          <w:lang w:bidi="ar-MA"/>
        </w:rPr>
        <w:t xml:space="preserve">.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31"/>
        <w:rPr>
          <w:color w:val="auto"/>
          <w:rtl/>
          <w:lang w:bidi="ar-MA"/>
        </w:rPr>
      </w:pPr>
      <w:bookmarkStart w:id="388" w:name="_Toc114164801"/>
      <w:r w:rsidRPr="006571AC">
        <w:rPr>
          <w:rFonts w:hint="cs"/>
          <w:color w:val="auto"/>
          <w:rtl/>
          <w:lang w:bidi="ar-MA"/>
        </w:rPr>
        <w:t>خاتمةٌ</w:t>
      </w:r>
      <w:bookmarkEnd w:id="388"/>
    </w:p>
    <w:p w:rsidR="009A0C1F"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في الأخير</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لماذا كل</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هذا الحرص على تأهيل فقه الأقل</w:t>
      </w:r>
      <w:r w:rsidR="003636D5" w:rsidRPr="006571AC">
        <w:rPr>
          <w:rFonts w:ascii="Arial" w:hAnsi="Arial" w:cs="AL-Mohanad" w:hint="cs"/>
          <w:sz w:val="27"/>
          <w:szCs w:val="27"/>
          <w:rtl/>
          <w:lang w:bidi="ar-MA"/>
        </w:rPr>
        <w:t>ِّ</w:t>
      </w:r>
      <w:r w:rsidRPr="006571AC">
        <w:rPr>
          <w:rFonts w:ascii="Arial" w:hAnsi="Arial" w:cs="AL-Mohanad"/>
          <w:sz w:val="27"/>
          <w:szCs w:val="27"/>
          <w:rtl/>
          <w:lang w:bidi="ar-MA"/>
        </w:rPr>
        <w:t>يات</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وبنائه على أ</w:t>
      </w:r>
      <w:r w:rsidR="009B54AA" w:rsidRPr="006571AC">
        <w:rPr>
          <w:rFonts w:ascii="Arial" w:hAnsi="Arial" w:cs="AL-Mohanad" w:hint="cs"/>
          <w:sz w:val="27"/>
          <w:szCs w:val="27"/>
          <w:rtl/>
          <w:lang w:bidi="ar-MA"/>
        </w:rPr>
        <w:t>ُ</w:t>
      </w:r>
      <w:r w:rsidRPr="006571AC">
        <w:rPr>
          <w:rFonts w:ascii="Arial" w:hAnsi="Arial" w:cs="AL-Mohanad"/>
          <w:sz w:val="27"/>
          <w:szCs w:val="27"/>
          <w:rtl/>
          <w:lang w:bidi="ar-MA"/>
        </w:rPr>
        <w:t>س</w:t>
      </w:r>
      <w:r w:rsidR="009B54AA" w:rsidRPr="006571AC">
        <w:rPr>
          <w:rFonts w:ascii="Arial" w:hAnsi="Arial" w:cs="AL-Mohanad" w:hint="cs"/>
          <w:sz w:val="27"/>
          <w:szCs w:val="27"/>
          <w:rtl/>
          <w:lang w:bidi="ar-MA"/>
        </w:rPr>
        <w:t>ُ</w:t>
      </w:r>
      <w:r w:rsidRPr="006571AC">
        <w:rPr>
          <w:rFonts w:ascii="Arial" w:hAnsi="Arial" w:cs="AL-Mohanad"/>
          <w:sz w:val="27"/>
          <w:szCs w:val="27"/>
          <w:rtl/>
          <w:lang w:bidi="ar-MA"/>
        </w:rPr>
        <w:t>س جديدة وغاية في التطو</w:t>
      </w:r>
      <w:r w:rsidR="003636D5" w:rsidRPr="006571AC">
        <w:rPr>
          <w:rFonts w:ascii="Arial" w:hAnsi="Arial" w:cs="AL-Mohanad" w:hint="cs"/>
          <w:sz w:val="27"/>
          <w:szCs w:val="27"/>
          <w:rtl/>
          <w:lang w:bidi="ar-MA"/>
        </w:rPr>
        <w:t>ُّ</w:t>
      </w:r>
      <w:r w:rsidRPr="006571AC">
        <w:rPr>
          <w:rFonts w:ascii="Arial" w:hAnsi="Arial" w:cs="AL-Mohanad"/>
          <w:sz w:val="27"/>
          <w:szCs w:val="27"/>
          <w:rtl/>
          <w:lang w:bidi="ar-MA"/>
        </w:rPr>
        <w:t>ر</w:t>
      </w:r>
      <w:r w:rsidR="009A0C1F" w:rsidRPr="006571AC">
        <w:rPr>
          <w:rFonts w:ascii="Arial" w:hAnsi="Arial" w:cs="AL-Mohanad" w:hint="cs"/>
          <w:sz w:val="27"/>
          <w:szCs w:val="27"/>
          <w:rtl/>
          <w:lang w:bidi="ar-MA"/>
        </w:rPr>
        <w:t>؟</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rPr>
        <w:t>لأن فقه الأقل</w:t>
      </w:r>
      <w:r w:rsidR="009A0C1F" w:rsidRPr="006571AC">
        <w:rPr>
          <w:rFonts w:ascii="Arial" w:hAnsi="Arial" w:cs="AL-Mohanad" w:hint="cs"/>
          <w:sz w:val="27"/>
          <w:szCs w:val="27"/>
          <w:rtl/>
        </w:rPr>
        <w:t>ِّ</w:t>
      </w:r>
      <w:r w:rsidRPr="006571AC">
        <w:rPr>
          <w:rFonts w:ascii="Arial" w:hAnsi="Arial" w:cs="AL-Mohanad"/>
          <w:sz w:val="27"/>
          <w:szCs w:val="27"/>
          <w:rtl/>
        </w:rPr>
        <w:t>يات هو الوجه الخارجي للفقه الإسلامي في علاقته مع محيطه، وهو التمرين العملي الذي يثبت مدى قدرة المسلم على التعايش مع مخالفيه، وعلى قدرته على بناء ذاته خارج أوطانه وبين أقرانه، وهو فقه</w:t>
      </w:r>
      <w:r w:rsidR="009A0C1F" w:rsidRPr="006571AC">
        <w:rPr>
          <w:rFonts w:ascii="Arial" w:hAnsi="Arial" w:cs="AL-Mohanad" w:hint="cs"/>
          <w:sz w:val="27"/>
          <w:szCs w:val="27"/>
          <w:rtl/>
        </w:rPr>
        <w:t>ٌ</w:t>
      </w:r>
      <w:r w:rsidRPr="006571AC">
        <w:rPr>
          <w:rFonts w:ascii="Arial" w:hAnsi="Arial" w:cs="AL-Mohanad"/>
          <w:sz w:val="27"/>
          <w:szCs w:val="27"/>
          <w:rtl/>
        </w:rPr>
        <w:t xml:space="preserve"> في مواجهة</w:t>
      </w:r>
      <w:r w:rsidR="009A0C1F" w:rsidRPr="006571AC">
        <w:rPr>
          <w:rFonts w:ascii="Arial" w:hAnsi="Arial" w:cs="AL-Mohanad" w:hint="cs"/>
          <w:sz w:val="27"/>
          <w:szCs w:val="27"/>
          <w:rtl/>
        </w:rPr>
        <w:t>ٍ</w:t>
      </w:r>
      <w:r w:rsidRPr="006571AC">
        <w:rPr>
          <w:rFonts w:ascii="Arial" w:hAnsi="Arial" w:cs="AL-Mohanad"/>
          <w:sz w:val="27"/>
          <w:szCs w:val="27"/>
          <w:rtl/>
        </w:rPr>
        <w:t xml:space="preserve"> مباشرة مع الط</w:t>
      </w:r>
      <w:r w:rsidR="009B54AA" w:rsidRPr="006571AC">
        <w:rPr>
          <w:rFonts w:ascii="Arial" w:hAnsi="Arial" w:cs="AL-Mohanad" w:hint="cs"/>
          <w:sz w:val="27"/>
          <w:szCs w:val="27"/>
          <w:rtl/>
        </w:rPr>
        <w:t>َّ</w:t>
      </w:r>
      <w:r w:rsidRPr="006571AC">
        <w:rPr>
          <w:rFonts w:ascii="Arial" w:hAnsi="Arial" w:cs="AL-Mohanad"/>
          <w:sz w:val="27"/>
          <w:szCs w:val="27"/>
          <w:rtl/>
        </w:rPr>
        <w:t>ف</w:t>
      </w:r>
      <w:r w:rsidR="009B54AA" w:rsidRPr="006571AC">
        <w:rPr>
          <w:rFonts w:ascii="Arial" w:hAnsi="Arial" w:cs="AL-Mohanad" w:hint="cs"/>
          <w:sz w:val="27"/>
          <w:szCs w:val="27"/>
          <w:rtl/>
        </w:rPr>
        <w:t>ْ</w:t>
      </w:r>
      <w:r w:rsidRPr="006571AC">
        <w:rPr>
          <w:rFonts w:ascii="Arial" w:hAnsi="Arial" w:cs="AL-Mohanad"/>
          <w:sz w:val="27"/>
          <w:szCs w:val="27"/>
          <w:rtl/>
        </w:rPr>
        <w:t>رة العلمية والتكنولوجية الغربية</w:t>
      </w:r>
      <w:r w:rsidRPr="006571AC">
        <w:rPr>
          <w:rFonts w:ascii="Arial" w:hAnsi="Arial" w:cs="AL-Mohanad" w:hint="cs"/>
          <w:sz w:val="27"/>
          <w:szCs w:val="27"/>
          <w:rtl/>
        </w:rPr>
        <w:t xml:space="preserve">، </w:t>
      </w:r>
      <w:r w:rsidRPr="006571AC">
        <w:rPr>
          <w:rFonts w:ascii="Arial" w:hAnsi="Arial" w:cs="AL-Mohanad"/>
          <w:sz w:val="27"/>
          <w:szCs w:val="27"/>
          <w:rtl/>
        </w:rPr>
        <w:t>و</w:t>
      </w:r>
      <w:r w:rsidRPr="006571AC">
        <w:rPr>
          <w:rFonts w:ascii="Arial" w:hAnsi="Arial" w:cs="AL-Mohanad" w:hint="cs"/>
          <w:sz w:val="27"/>
          <w:szCs w:val="27"/>
          <w:rtl/>
        </w:rPr>
        <w:t xml:space="preserve">مع </w:t>
      </w:r>
      <w:r w:rsidRPr="006571AC">
        <w:rPr>
          <w:rFonts w:ascii="Arial" w:hAnsi="Arial" w:cs="AL-Mohanad"/>
          <w:sz w:val="27"/>
          <w:szCs w:val="27"/>
          <w:rtl/>
        </w:rPr>
        <w:t>التقد</w:t>
      </w:r>
      <w:r w:rsidR="009A0C1F" w:rsidRPr="006571AC">
        <w:rPr>
          <w:rFonts w:ascii="Arial" w:hAnsi="Arial" w:cs="AL-Mohanad" w:hint="cs"/>
          <w:sz w:val="27"/>
          <w:szCs w:val="27"/>
          <w:rtl/>
        </w:rPr>
        <w:t>ُّ</w:t>
      </w:r>
      <w:r w:rsidRPr="006571AC">
        <w:rPr>
          <w:rFonts w:ascii="Arial" w:hAnsi="Arial" w:cs="AL-Mohanad"/>
          <w:sz w:val="27"/>
          <w:szCs w:val="27"/>
          <w:rtl/>
        </w:rPr>
        <w:t>م الحضاري الذي يفرض ق</w:t>
      </w:r>
      <w:r w:rsidR="009B54AA" w:rsidRPr="006571AC">
        <w:rPr>
          <w:rFonts w:ascii="Arial" w:hAnsi="Arial" w:cs="AL-Mohanad" w:hint="cs"/>
          <w:sz w:val="27"/>
          <w:szCs w:val="27"/>
          <w:rtl/>
        </w:rPr>
        <w:t>َ</w:t>
      </w:r>
      <w:r w:rsidRPr="006571AC">
        <w:rPr>
          <w:rFonts w:ascii="Arial" w:hAnsi="Arial" w:cs="AL-Mohanad"/>
          <w:sz w:val="27"/>
          <w:szCs w:val="27"/>
          <w:rtl/>
        </w:rPr>
        <w:t>د</w:t>
      </w:r>
      <w:r w:rsidR="009B54AA" w:rsidRPr="006571AC">
        <w:rPr>
          <w:rFonts w:ascii="Arial" w:hAnsi="Arial" w:cs="AL-Mohanad" w:hint="cs"/>
          <w:sz w:val="27"/>
          <w:szCs w:val="27"/>
          <w:rtl/>
        </w:rPr>
        <w:t>ْ</w:t>
      </w:r>
      <w:r w:rsidRPr="006571AC">
        <w:rPr>
          <w:rFonts w:ascii="Arial" w:hAnsi="Arial" w:cs="AL-Mohanad"/>
          <w:sz w:val="27"/>
          <w:szCs w:val="27"/>
          <w:rtl/>
        </w:rPr>
        <w:t>را</w:t>
      </w:r>
      <w:r w:rsidR="009A0C1F" w:rsidRPr="006571AC">
        <w:rPr>
          <w:rFonts w:ascii="Arial" w:hAnsi="Arial" w:cs="AL-Mohanad" w:hint="cs"/>
          <w:sz w:val="27"/>
          <w:szCs w:val="27"/>
          <w:rtl/>
        </w:rPr>
        <w:t>ً</w:t>
      </w:r>
      <w:r w:rsidRPr="006571AC">
        <w:rPr>
          <w:rFonts w:ascii="Arial" w:hAnsi="Arial" w:cs="AL-Mohanad"/>
          <w:sz w:val="27"/>
          <w:szCs w:val="27"/>
          <w:rtl/>
        </w:rPr>
        <w:t xml:space="preserve"> من الند</w:t>
      </w:r>
      <w:r w:rsidR="009A0C1F" w:rsidRPr="006571AC">
        <w:rPr>
          <w:rFonts w:ascii="Arial" w:hAnsi="Arial" w:cs="AL-Mohanad" w:hint="cs"/>
          <w:sz w:val="27"/>
          <w:szCs w:val="27"/>
          <w:rtl/>
        </w:rPr>
        <w:t>ِّ</w:t>
      </w:r>
      <w:r w:rsidRPr="006571AC">
        <w:rPr>
          <w:rFonts w:ascii="Arial" w:hAnsi="Arial" w:cs="AL-Mohanad"/>
          <w:sz w:val="27"/>
          <w:szCs w:val="27"/>
          <w:rtl/>
        </w:rPr>
        <w:t xml:space="preserve">ية </w:t>
      </w:r>
      <w:r w:rsidRPr="006571AC">
        <w:rPr>
          <w:rFonts w:ascii="Arial" w:hAnsi="Arial" w:cs="AL-Mohanad"/>
          <w:sz w:val="27"/>
          <w:szCs w:val="27"/>
          <w:rtl/>
        </w:rPr>
        <w:lastRenderedPageBreak/>
        <w:t>الفكرية</w:t>
      </w:r>
      <w:r w:rsidRPr="006571AC">
        <w:rPr>
          <w:rFonts w:ascii="Arial" w:hAnsi="Arial" w:cs="AL-Mohanad" w:hint="cs"/>
          <w:sz w:val="27"/>
          <w:szCs w:val="27"/>
          <w:rtl/>
        </w:rPr>
        <w:t xml:space="preserve"> والمنهجية</w:t>
      </w:r>
      <w:r w:rsidRPr="006571AC">
        <w:rPr>
          <w:rFonts w:ascii="Arial" w:hAnsi="Arial" w:cs="AL-Mohanad"/>
          <w:sz w:val="27"/>
          <w:szCs w:val="27"/>
          <w:rtl/>
        </w:rPr>
        <w:t xml:space="preserve">. </w:t>
      </w:r>
    </w:p>
    <w:p w:rsidR="001B0AB2" w:rsidRPr="006571AC" w:rsidRDefault="001B0AB2" w:rsidP="002A2E03">
      <w:pPr>
        <w:pStyle w:val="af"/>
        <w:rPr>
          <w:rFonts w:ascii="Arial" w:hAnsi="Arial" w:cs="AL-Mohanad"/>
          <w:sz w:val="27"/>
          <w:szCs w:val="27"/>
          <w:rtl/>
        </w:rPr>
      </w:pPr>
      <w:r w:rsidRPr="006571AC">
        <w:rPr>
          <w:rFonts w:ascii="Arial" w:hAnsi="Arial" w:cs="AL-Mohanad"/>
          <w:sz w:val="27"/>
          <w:szCs w:val="27"/>
          <w:rtl/>
        </w:rPr>
        <w:t>وهو فوق ذلك دليل</w:t>
      </w:r>
      <w:r w:rsidR="009A0C1F" w:rsidRPr="006571AC">
        <w:rPr>
          <w:rFonts w:ascii="Arial" w:hAnsi="Arial" w:cs="AL-Mohanad" w:hint="cs"/>
          <w:sz w:val="27"/>
          <w:szCs w:val="27"/>
          <w:rtl/>
        </w:rPr>
        <w:t>ٌ</w:t>
      </w:r>
      <w:r w:rsidRPr="006571AC">
        <w:rPr>
          <w:rFonts w:ascii="Arial" w:hAnsi="Arial" w:cs="AL-Mohanad"/>
          <w:sz w:val="27"/>
          <w:szCs w:val="27"/>
          <w:rtl/>
        </w:rPr>
        <w:t xml:space="preserve"> عملي على عالمية الإسلام وشمولية رسالته، وتجل</w:t>
      </w:r>
      <w:r w:rsidR="009A0C1F" w:rsidRPr="006571AC">
        <w:rPr>
          <w:rFonts w:ascii="Arial" w:hAnsi="Arial" w:cs="AL-Mohanad" w:hint="cs"/>
          <w:sz w:val="27"/>
          <w:szCs w:val="27"/>
          <w:rtl/>
        </w:rPr>
        <w:t>ٍّ</w:t>
      </w:r>
      <w:r w:rsidRPr="006571AC">
        <w:rPr>
          <w:rFonts w:ascii="Arial" w:hAnsi="Arial" w:cs="AL-Mohanad"/>
          <w:sz w:val="27"/>
          <w:szCs w:val="27"/>
          <w:rtl/>
        </w:rPr>
        <w:t xml:space="preserve"> من تجل</w:t>
      </w:r>
      <w:r w:rsidR="009B54AA" w:rsidRPr="006571AC">
        <w:rPr>
          <w:rFonts w:ascii="Arial" w:hAnsi="Arial" w:cs="AL-Mohanad" w:hint="cs"/>
          <w:sz w:val="27"/>
          <w:szCs w:val="27"/>
          <w:rtl/>
        </w:rPr>
        <w:t>ِّ</w:t>
      </w:r>
      <w:r w:rsidRPr="006571AC">
        <w:rPr>
          <w:rFonts w:ascii="Arial" w:hAnsi="Arial" w:cs="AL-Mohanad"/>
          <w:sz w:val="27"/>
          <w:szCs w:val="27"/>
          <w:rtl/>
        </w:rPr>
        <w:t>يات الخيرية</w:t>
      </w:r>
      <w:r w:rsidR="009A0C1F" w:rsidRPr="006571AC">
        <w:rPr>
          <w:rFonts w:ascii="Arial" w:hAnsi="Arial" w:cs="AL-Mohanad" w:hint="cs"/>
          <w:sz w:val="27"/>
          <w:szCs w:val="27"/>
          <w:rtl/>
        </w:rPr>
        <w:t>،</w:t>
      </w:r>
      <w:r w:rsidRPr="006571AC">
        <w:rPr>
          <w:rFonts w:ascii="Arial" w:hAnsi="Arial" w:cs="AL-Mohanad"/>
          <w:sz w:val="27"/>
          <w:szCs w:val="27"/>
          <w:rtl/>
        </w:rPr>
        <w:t xml:space="preserve"> والإخراج للناس على منهج البر</w:t>
      </w:r>
      <w:r w:rsidR="009B54AA" w:rsidRPr="006571AC">
        <w:rPr>
          <w:rFonts w:ascii="Arial" w:hAnsi="Arial" w:cs="AL-Mohanad" w:hint="cs"/>
          <w:sz w:val="27"/>
          <w:szCs w:val="27"/>
          <w:rtl/>
        </w:rPr>
        <w:t>ّ</w:t>
      </w:r>
      <w:r w:rsidRPr="006571AC">
        <w:rPr>
          <w:rFonts w:ascii="Arial" w:hAnsi="Arial" w:cs="AL-Mohanad"/>
          <w:sz w:val="27"/>
          <w:szCs w:val="27"/>
          <w:rtl/>
        </w:rPr>
        <w:t xml:space="preserve"> والمعروف والقسط</w:t>
      </w:r>
      <w:r w:rsidR="009A0C1F" w:rsidRPr="006571AC">
        <w:rPr>
          <w:rFonts w:ascii="Arial" w:hAnsi="Arial" w:cs="AL-Mohanad" w:hint="cs"/>
          <w:sz w:val="27"/>
          <w:szCs w:val="27"/>
          <w:rtl/>
        </w:rPr>
        <w:t>؛</w:t>
      </w:r>
      <w:r w:rsidRPr="006571AC">
        <w:rPr>
          <w:rFonts w:ascii="Arial" w:hAnsi="Arial" w:cs="AL-Mohanad"/>
          <w:sz w:val="27"/>
          <w:szCs w:val="27"/>
          <w:rtl/>
        </w:rPr>
        <w:t xml:space="preserve"> ليتلم</w:t>
      </w:r>
      <w:r w:rsidR="009B54AA" w:rsidRPr="006571AC">
        <w:rPr>
          <w:rFonts w:ascii="Arial" w:hAnsi="Arial" w:cs="AL-Mohanad" w:hint="cs"/>
          <w:sz w:val="27"/>
          <w:szCs w:val="27"/>
          <w:rtl/>
        </w:rPr>
        <w:t>َّ</w:t>
      </w:r>
      <w:r w:rsidRPr="006571AC">
        <w:rPr>
          <w:rFonts w:ascii="Arial" w:hAnsi="Arial" w:cs="AL-Mohanad"/>
          <w:sz w:val="27"/>
          <w:szCs w:val="27"/>
          <w:rtl/>
        </w:rPr>
        <w:t>س الغير رحمة الدين عن قرب</w:t>
      </w:r>
      <w:r w:rsidR="009A0C1F" w:rsidRPr="006571AC">
        <w:rPr>
          <w:rFonts w:ascii="Arial" w:hAnsi="Arial" w:cs="AL-Mohanad" w:hint="cs"/>
          <w:sz w:val="27"/>
          <w:szCs w:val="27"/>
          <w:rtl/>
        </w:rPr>
        <w:t>ٍ</w:t>
      </w:r>
      <w:r w:rsidRPr="006571AC">
        <w:rPr>
          <w:rFonts w:ascii="Arial" w:hAnsi="Arial" w:cs="AL-Mohanad" w:hint="cs"/>
          <w:sz w:val="27"/>
          <w:szCs w:val="27"/>
          <w:rtl/>
        </w:rPr>
        <w:t xml:space="preserve">، </w:t>
      </w:r>
      <w:r w:rsidRPr="006571AC">
        <w:rPr>
          <w:rFonts w:ascii="Arial" w:hAnsi="Arial" w:cs="AL-Mohanad"/>
          <w:sz w:val="27"/>
          <w:szCs w:val="27"/>
          <w:rtl/>
        </w:rPr>
        <w:t>وينهلوا من دعوة الحق بين مواطنيهم</w:t>
      </w:r>
      <w:r w:rsidR="009A0C1F" w:rsidRPr="006571AC">
        <w:rPr>
          <w:rFonts w:ascii="Arial" w:hAnsi="Arial" w:cs="AL-Mohanad" w:hint="cs"/>
          <w:sz w:val="27"/>
          <w:szCs w:val="27"/>
          <w:rtl/>
        </w:rPr>
        <w:t>،</w:t>
      </w:r>
      <w:r w:rsidRPr="006571AC">
        <w:rPr>
          <w:rFonts w:ascii="Arial" w:hAnsi="Arial" w:cs="AL-Mohanad"/>
          <w:sz w:val="27"/>
          <w:szCs w:val="27"/>
          <w:rtl/>
        </w:rPr>
        <w:t xml:space="preserve"> الذين يشاركونهم نفس الأرض ونفس القانون. </w:t>
      </w:r>
    </w:p>
    <w:p w:rsidR="001B0AB2" w:rsidRPr="006571AC" w:rsidRDefault="001B0AB2" w:rsidP="002A2E03">
      <w:pPr>
        <w:pStyle w:val="af"/>
        <w:rPr>
          <w:rFonts w:ascii="Arial" w:hAnsi="Arial" w:cs="AL-Mohanad"/>
          <w:sz w:val="27"/>
          <w:szCs w:val="27"/>
          <w:rtl/>
          <w:lang w:bidi="ar-MA"/>
        </w:rPr>
      </w:pPr>
      <w:r w:rsidRPr="006571AC">
        <w:rPr>
          <w:rFonts w:ascii="Arial" w:hAnsi="Arial" w:cs="AL-Mohanad"/>
          <w:sz w:val="27"/>
          <w:szCs w:val="27"/>
          <w:rtl/>
          <w:lang w:bidi="ar-MA"/>
        </w:rPr>
        <w:t>بما يعني أن هناك مهم</w:t>
      </w:r>
      <w:r w:rsidR="009A0C1F" w:rsidRPr="006571AC">
        <w:rPr>
          <w:rFonts w:ascii="Arial" w:hAnsi="Arial" w:cs="AL-Mohanad" w:hint="cs"/>
          <w:sz w:val="27"/>
          <w:szCs w:val="27"/>
          <w:rtl/>
          <w:lang w:bidi="ar-MA"/>
        </w:rPr>
        <w:t>ّ</w:t>
      </w:r>
      <w:r w:rsidRPr="006571AC">
        <w:rPr>
          <w:rFonts w:ascii="Arial" w:hAnsi="Arial" w:cs="AL-Mohanad"/>
          <w:sz w:val="27"/>
          <w:szCs w:val="27"/>
          <w:rtl/>
          <w:lang w:bidi="ar-MA"/>
        </w:rPr>
        <w:t>ة</w:t>
      </w:r>
      <w:r w:rsidR="009A0C1F" w:rsidRPr="006571AC">
        <w:rPr>
          <w:rFonts w:ascii="Arial" w:hAnsi="Arial" w:cs="AL-Mohanad" w:hint="cs"/>
          <w:sz w:val="27"/>
          <w:szCs w:val="27"/>
          <w:rtl/>
          <w:lang w:bidi="ar-MA"/>
        </w:rPr>
        <w:t>ً</w:t>
      </w:r>
      <w:r w:rsidRPr="006571AC">
        <w:rPr>
          <w:rFonts w:ascii="Arial" w:hAnsi="Arial" w:cs="AL-Mohanad"/>
          <w:sz w:val="27"/>
          <w:szCs w:val="27"/>
          <w:rtl/>
          <w:lang w:bidi="ar-MA"/>
        </w:rPr>
        <w:t xml:space="preserve"> إدارية</w:t>
      </w:r>
      <w:r w:rsidRPr="006571AC">
        <w:rPr>
          <w:rFonts w:ascii="Arial" w:hAnsi="Arial" w:cs="AL-Mohanad" w:hint="cs"/>
          <w:sz w:val="27"/>
          <w:szCs w:val="27"/>
          <w:rtl/>
          <w:lang w:bidi="ar-MA"/>
        </w:rPr>
        <w:t xml:space="preserve"> وفن</w:t>
      </w:r>
      <w:r w:rsidR="009B54AA" w:rsidRPr="006571AC">
        <w:rPr>
          <w:rFonts w:ascii="Arial" w:hAnsi="Arial" w:cs="AL-Mohanad" w:hint="cs"/>
          <w:sz w:val="27"/>
          <w:szCs w:val="27"/>
          <w:rtl/>
          <w:lang w:bidi="ar-MA"/>
        </w:rPr>
        <w:t>ِّ</w:t>
      </w:r>
      <w:r w:rsidRPr="006571AC">
        <w:rPr>
          <w:rFonts w:ascii="Arial" w:hAnsi="Arial" w:cs="AL-Mohanad" w:hint="cs"/>
          <w:sz w:val="27"/>
          <w:szCs w:val="27"/>
          <w:rtl/>
          <w:lang w:bidi="ar-MA"/>
        </w:rPr>
        <w:t>ية</w:t>
      </w:r>
      <w:r w:rsidRPr="006571AC">
        <w:rPr>
          <w:rFonts w:ascii="Arial" w:hAnsi="Arial" w:cs="AL-Mohanad"/>
          <w:sz w:val="27"/>
          <w:szCs w:val="27"/>
          <w:rtl/>
          <w:lang w:bidi="ar-MA"/>
        </w:rPr>
        <w:t xml:space="preserve"> في انتظار هذه المجالس وخلايا البحث التابعة لها</w:t>
      </w:r>
      <w:r w:rsidR="009A0C1F" w:rsidRPr="006571AC">
        <w:rPr>
          <w:rFonts w:ascii="Arial" w:hAnsi="Arial" w:cs="AL-Mohanad" w:hint="cs"/>
          <w:sz w:val="27"/>
          <w:szCs w:val="27"/>
          <w:rtl/>
          <w:lang w:bidi="ar-MA"/>
        </w:rPr>
        <w:t>؛</w:t>
      </w:r>
      <w:r w:rsidRPr="006571AC">
        <w:rPr>
          <w:rFonts w:ascii="Arial" w:hAnsi="Arial" w:cs="AL-Mohanad"/>
          <w:sz w:val="27"/>
          <w:szCs w:val="27"/>
          <w:rtl/>
          <w:lang w:bidi="ar-MA"/>
        </w:rPr>
        <w:t xml:space="preserve"> لأن علوم الإدارة قد تطو</w:t>
      </w:r>
      <w:r w:rsidR="009A0C1F" w:rsidRPr="006571AC">
        <w:rPr>
          <w:rFonts w:ascii="Arial" w:hAnsi="Arial" w:cs="AL-Mohanad" w:hint="cs"/>
          <w:sz w:val="27"/>
          <w:szCs w:val="27"/>
          <w:rtl/>
          <w:lang w:bidi="ar-MA"/>
        </w:rPr>
        <w:t>ّ</w:t>
      </w:r>
      <w:r w:rsidRPr="006571AC">
        <w:rPr>
          <w:rFonts w:ascii="Arial" w:hAnsi="Arial" w:cs="AL-Mohanad"/>
          <w:sz w:val="27"/>
          <w:szCs w:val="27"/>
          <w:rtl/>
          <w:lang w:bidi="ar-MA"/>
        </w:rPr>
        <w:t>رت وصارت تعتمد التخطيط للحاضر والمستقبل، و</w:t>
      </w:r>
      <w:r w:rsidR="00731867" w:rsidRPr="006571AC">
        <w:rPr>
          <w:rFonts w:ascii="Arial" w:hAnsi="Arial" w:cs="AL-Mohanad"/>
          <w:sz w:val="27"/>
          <w:szCs w:val="27"/>
          <w:rtl/>
          <w:lang w:bidi="ar-MA"/>
        </w:rPr>
        <w:t>لا بُدَّ</w:t>
      </w:r>
      <w:r w:rsidRPr="006571AC">
        <w:rPr>
          <w:rFonts w:ascii="Arial" w:hAnsi="Arial" w:cs="AL-Mohanad"/>
          <w:sz w:val="27"/>
          <w:szCs w:val="27"/>
          <w:rtl/>
          <w:lang w:bidi="ar-MA"/>
        </w:rPr>
        <w:t xml:space="preserve"> أن يبنى التخطيط على ف</w:t>
      </w:r>
      <w:r w:rsidR="009B54AA" w:rsidRPr="006571AC">
        <w:rPr>
          <w:rFonts w:ascii="Arial" w:hAnsi="Arial" w:cs="AL-Mohanad" w:hint="cs"/>
          <w:sz w:val="27"/>
          <w:szCs w:val="27"/>
          <w:rtl/>
          <w:lang w:bidi="ar-MA"/>
        </w:rPr>
        <w:t>َ</w:t>
      </w:r>
      <w:r w:rsidRPr="006571AC">
        <w:rPr>
          <w:rFonts w:ascii="Arial" w:hAnsi="Arial" w:cs="AL-Mohanad"/>
          <w:sz w:val="27"/>
          <w:szCs w:val="27"/>
          <w:rtl/>
          <w:lang w:bidi="ar-MA"/>
        </w:rPr>
        <w:t>ه</w:t>
      </w:r>
      <w:r w:rsidR="009B54AA" w:rsidRPr="006571AC">
        <w:rPr>
          <w:rFonts w:ascii="Arial" w:hAnsi="Arial" w:cs="AL-Mohanad" w:hint="cs"/>
          <w:sz w:val="27"/>
          <w:szCs w:val="27"/>
          <w:rtl/>
          <w:lang w:bidi="ar-MA"/>
        </w:rPr>
        <w:t>ْ</w:t>
      </w:r>
      <w:r w:rsidRPr="006571AC">
        <w:rPr>
          <w:rFonts w:ascii="Arial" w:hAnsi="Arial" w:cs="AL-Mohanad"/>
          <w:sz w:val="27"/>
          <w:szCs w:val="27"/>
          <w:rtl/>
          <w:lang w:bidi="ar-MA"/>
        </w:rPr>
        <w:t>م</w:t>
      </w:r>
      <w:r w:rsidR="009A0C1F" w:rsidRPr="006571AC">
        <w:rPr>
          <w:rFonts w:ascii="Arial" w:hAnsi="Arial" w:cs="AL-Mohanad" w:hint="cs"/>
          <w:sz w:val="27"/>
          <w:szCs w:val="27"/>
          <w:rtl/>
          <w:lang w:bidi="ar-MA"/>
        </w:rPr>
        <w:t>ٍ</w:t>
      </w:r>
      <w:r w:rsidRPr="006571AC">
        <w:rPr>
          <w:rFonts w:ascii="Arial" w:hAnsi="Arial" w:cs="AL-Mohanad"/>
          <w:sz w:val="27"/>
          <w:szCs w:val="27"/>
          <w:rtl/>
          <w:lang w:bidi="ar-MA"/>
        </w:rPr>
        <w:t xml:space="preserve"> وعلم</w:t>
      </w:r>
      <w:r w:rsidR="009A0C1F" w:rsidRPr="006571AC">
        <w:rPr>
          <w:rFonts w:ascii="Arial" w:hAnsi="Arial" w:cs="AL-Mohanad" w:hint="cs"/>
          <w:sz w:val="27"/>
          <w:szCs w:val="27"/>
          <w:rtl/>
          <w:lang w:bidi="ar-MA"/>
        </w:rPr>
        <w:t>ٍ</w:t>
      </w:r>
      <w:r w:rsidRPr="006571AC">
        <w:rPr>
          <w:rFonts w:ascii="Arial" w:hAnsi="Arial" w:cs="AL-Mohanad"/>
          <w:sz w:val="27"/>
          <w:szCs w:val="27"/>
          <w:rtl/>
          <w:lang w:bidi="ar-MA"/>
        </w:rPr>
        <w:t xml:space="preserve"> بعناصر القوة وعناصر الضعف في المجتمع</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ومعرفة الفرص المتاحة والتهديدات المتوق</w:t>
      </w:r>
      <w:r w:rsidR="009A0C1F" w:rsidRPr="006571AC">
        <w:rPr>
          <w:rFonts w:ascii="Arial" w:hAnsi="Arial" w:cs="AL-Mohanad" w:hint="cs"/>
          <w:sz w:val="27"/>
          <w:szCs w:val="27"/>
          <w:rtl/>
          <w:lang w:bidi="ar-MA"/>
        </w:rPr>
        <w:t>َّ</w:t>
      </w:r>
      <w:r w:rsidRPr="006571AC">
        <w:rPr>
          <w:rFonts w:ascii="Arial" w:hAnsi="Arial" w:cs="AL-Mohanad"/>
          <w:sz w:val="27"/>
          <w:szCs w:val="27"/>
          <w:rtl/>
          <w:lang w:bidi="ar-MA"/>
        </w:rPr>
        <w:t xml:space="preserve">عة. </w:t>
      </w:r>
    </w:p>
    <w:p w:rsidR="00E83C22" w:rsidRPr="006571AC" w:rsidRDefault="001B0AB2" w:rsidP="002A2E03">
      <w:pPr>
        <w:rPr>
          <w:rtl/>
          <w:lang w:bidi="ar-MA"/>
        </w:rPr>
      </w:pPr>
      <w:r w:rsidRPr="006571AC">
        <w:rPr>
          <w:rFonts w:ascii="Arial" w:hAnsi="Arial"/>
          <w:sz w:val="27"/>
          <w:rtl/>
          <w:lang w:bidi="ar-MA"/>
        </w:rPr>
        <w:t>وهي مجر</w:t>
      </w:r>
      <w:r w:rsidR="009A0C1F" w:rsidRPr="006571AC">
        <w:rPr>
          <w:rFonts w:ascii="Arial" w:hAnsi="Arial" w:hint="cs"/>
          <w:sz w:val="27"/>
          <w:rtl/>
          <w:lang w:bidi="ar-MA"/>
        </w:rPr>
        <w:t>ّ</w:t>
      </w:r>
      <w:r w:rsidRPr="006571AC">
        <w:rPr>
          <w:rFonts w:ascii="Arial" w:hAnsi="Arial"/>
          <w:sz w:val="27"/>
          <w:rtl/>
          <w:lang w:bidi="ar-MA"/>
        </w:rPr>
        <w:t>د قاعدة بيانات قبل وضع اله</w:t>
      </w:r>
      <w:r w:rsidR="009A0C1F" w:rsidRPr="006571AC">
        <w:rPr>
          <w:rFonts w:ascii="Arial" w:hAnsi="Arial" w:hint="cs"/>
          <w:sz w:val="27"/>
          <w:rtl/>
          <w:lang w:bidi="ar-MA"/>
        </w:rPr>
        <w:t>َ</w:t>
      </w:r>
      <w:r w:rsidRPr="006571AC">
        <w:rPr>
          <w:rFonts w:ascii="Arial" w:hAnsi="Arial"/>
          <w:sz w:val="27"/>
          <w:rtl/>
          <w:lang w:bidi="ar-MA"/>
        </w:rPr>
        <w:t>د</w:t>
      </w:r>
      <w:r w:rsidR="009A0C1F" w:rsidRPr="006571AC">
        <w:rPr>
          <w:rFonts w:ascii="Arial" w:hAnsi="Arial" w:hint="cs"/>
          <w:sz w:val="27"/>
          <w:rtl/>
          <w:lang w:bidi="ar-MA"/>
        </w:rPr>
        <w:t>َ</w:t>
      </w:r>
      <w:r w:rsidRPr="006571AC">
        <w:rPr>
          <w:rFonts w:ascii="Arial" w:hAnsi="Arial"/>
          <w:sz w:val="27"/>
          <w:rtl/>
          <w:lang w:bidi="ar-MA"/>
        </w:rPr>
        <w:t>ف الكل</w:t>
      </w:r>
      <w:r w:rsidR="009A0C1F" w:rsidRPr="006571AC">
        <w:rPr>
          <w:rFonts w:ascii="Arial" w:hAnsi="Arial" w:hint="cs"/>
          <w:sz w:val="27"/>
          <w:rtl/>
          <w:lang w:bidi="ar-MA"/>
        </w:rPr>
        <w:t>ّ</w:t>
      </w:r>
      <w:r w:rsidRPr="006571AC">
        <w:rPr>
          <w:rFonts w:ascii="Arial" w:hAnsi="Arial"/>
          <w:sz w:val="27"/>
          <w:rtl/>
          <w:lang w:bidi="ar-MA"/>
        </w:rPr>
        <w:t>ي</w:t>
      </w:r>
      <w:r w:rsidR="009A0C1F" w:rsidRPr="006571AC">
        <w:rPr>
          <w:rFonts w:ascii="Arial" w:hAnsi="Arial" w:hint="cs"/>
          <w:sz w:val="27"/>
          <w:rtl/>
          <w:lang w:bidi="ar-MA"/>
        </w:rPr>
        <w:t>،</w:t>
      </w:r>
      <w:r w:rsidRPr="006571AC">
        <w:rPr>
          <w:rFonts w:ascii="Arial" w:hAnsi="Arial"/>
          <w:sz w:val="27"/>
          <w:rtl/>
          <w:lang w:bidi="ar-MA"/>
        </w:rPr>
        <w:t xml:space="preserve"> والأهداف التفصيلية</w:t>
      </w:r>
      <w:r w:rsidR="009A0C1F" w:rsidRPr="006571AC">
        <w:rPr>
          <w:rFonts w:ascii="Arial" w:hAnsi="Arial" w:hint="cs"/>
          <w:sz w:val="27"/>
          <w:rtl/>
          <w:lang w:bidi="ar-MA"/>
        </w:rPr>
        <w:t>،</w:t>
      </w:r>
      <w:r w:rsidRPr="006571AC">
        <w:rPr>
          <w:rFonts w:ascii="Arial" w:hAnsi="Arial"/>
          <w:sz w:val="27"/>
          <w:rtl/>
          <w:lang w:bidi="ar-MA"/>
        </w:rPr>
        <w:t xml:space="preserve"> ثم</w:t>
      </w:r>
      <w:r w:rsidR="009A0C1F" w:rsidRPr="006571AC">
        <w:rPr>
          <w:rFonts w:ascii="Arial" w:hAnsi="Arial" w:hint="cs"/>
          <w:sz w:val="27"/>
          <w:rtl/>
          <w:lang w:bidi="ar-MA"/>
        </w:rPr>
        <w:t>ّ</w:t>
      </w:r>
      <w:r w:rsidRPr="006571AC">
        <w:rPr>
          <w:rFonts w:ascii="Arial" w:hAnsi="Arial"/>
          <w:sz w:val="27"/>
          <w:rtl/>
          <w:lang w:bidi="ar-MA"/>
        </w:rPr>
        <w:t xml:space="preserve"> الوسائل العملية المناسبة</w:t>
      </w:r>
      <w:r w:rsidR="009A0C1F" w:rsidRPr="006571AC">
        <w:rPr>
          <w:rFonts w:ascii="Arial" w:hAnsi="Arial" w:hint="cs"/>
          <w:sz w:val="27"/>
          <w:rtl/>
          <w:lang w:bidi="ar-MA"/>
        </w:rPr>
        <w:t>؛</w:t>
      </w:r>
      <w:r w:rsidRPr="006571AC">
        <w:rPr>
          <w:rFonts w:ascii="Arial" w:hAnsi="Arial"/>
          <w:sz w:val="27"/>
          <w:rtl/>
          <w:lang w:bidi="ar-MA"/>
        </w:rPr>
        <w:t xml:space="preserve"> ليأتي تنزيلها في أوقات زمنية وخطوات عملية وفي مراحل محد</w:t>
      </w:r>
      <w:r w:rsidR="009A0C1F" w:rsidRPr="006571AC">
        <w:rPr>
          <w:rFonts w:ascii="Arial" w:hAnsi="Arial" w:hint="cs"/>
          <w:sz w:val="27"/>
          <w:rtl/>
          <w:lang w:bidi="ar-MA"/>
        </w:rPr>
        <w:t>ّ</w:t>
      </w:r>
      <w:r w:rsidRPr="006571AC">
        <w:rPr>
          <w:rFonts w:ascii="Arial" w:hAnsi="Arial"/>
          <w:sz w:val="27"/>
          <w:rtl/>
          <w:lang w:bidi="ar-MA"/>
        </w:rPr>
        <w:t>دة، تعقبها المتابعة الميدانية والمراقبة المستمر</w:t>
      </w:r>
      <w:r w:rsidR="009B54AA" w:rsidRPr="006571AC">
        <w:rPr>
          <w:rFonts w:ascii="Arial" w:hAnsi="Arial" w:hint="cs"/>
          <w:sz w:val="27"/>
          <w:rtl/>
          <w:lang w:bidi="ar-MA"/>
        </w:rPr>
        <w:t>ّ</w:t>
      </w:r>
      <w:r w:rsidRPr="006571AC">
        <w:rPr>
          <w:rFonts w:ascii="Arial" w:hAnsi="Arial"/>
          <w:sz w:val="27"/>
          <w:rtl/>
          <w:lang w:bidi="ar-MA"/>
        </w:rPr>
        <w:t>ة</w:t>
      </w:r>
      <w:r w:rsidR="009A0C1F" w:rsidRPr="006571AC">
        <w:rPr>
          <w:rFonts w:ascii="Arial" w:hAnsi="Arial" w:hint="cs"/>
          <w:sz w:val="27"/>
          <w:rtl/>
          <w:lang w:bidi="ar-MA"/>
        </w:rPr>
        <w:t>.</w:t>
      </w:r>
      <w:r w:rsidRPr="006571AC">
        <w:rPr>
          <w:rFonts w:ascii="Arial" w:hAnsi="Arial"/>
          <w:sz w:val="27"/>
          <w:rtl/>
          <w:lang w:bidi="ar-MA"/>
        </w:rPr>
        <w:t xml:space="preserve"> وبالموازاة مع هذا المخط</w:t>
      </w:r>
      <w:r w:rsidR="009A0C1F" w:rsidRPr="006571AC">
        <w:rPr>
          <w:rFonts w:ascii="Arial" w:hAnsi="Arial" w:hint="cs"/>
          <w:sz w:val="27"/>
          <w:rtl/>
          <w:lang w:bidi="ar-MA"/>
        </w:rPr>
        <w:t>َّ</w:t>
      </w:r>
      <w:r w:rsidRPr="006571AC">
        <w:rPr>
          <w:rFonts w:ascii="Arial" w:hAnsi="Arial"/>
          <w:sz w:val="27"/>
          <w:rtl/>
          <w:lang w:bidi="ar-MA"/>
        </w:rPr>
        <w:t xml:space="preserve">ط ترصد ميزانية </w:t>
      </w:r>
      <w:r w:rsidRPr="006571AC">
        <w:rPr>
          <w:rFonts w:ascii="Arial" w:hAnsi="Arial" w:hint="cs"/>
          <w:sz w:val="27"/>
          <w:rtl/>
          <w:lang w:bidi="ar-MA"/>
        </w:rPr>
        <w:t xml:space="preserve">مالية </w:t>
      </w:r>
      <w:r w:rsidRPr="006571AC">
        <w:rPr>
          <w:rFonts w:ascii="Arial" w:hAnsi="Arial"/>
          <w:sz w:val="27"/>
          <w:rtl/>
          <w:lang w:bidi="ar-MA"/>
        </w:rPr>
        <w:t>كفيلة بتنفيذه</w:t>
      </w:r>
      <w:r w:rsidR="009A0C1F" w:rsidRPr="006571AC">
        <w:rPr>
          <w:rFonts w:ascii="Arial" w:hAnsi="Arial" w:hint="cs"/>
          <w:sz w:val="27"/>
          <w:rtl/>
          <w:lang w:bidi="ar-MA"/>
        </w:rPr>
        <w:t>.</w:t>
      </w:r>
      <w:r w:rsidRPr="006571AC">
        <w:rPr>
          <w:rFonts w:ascii="Arial" w:hAnsi="Arial"/>
          <w:sz w:val="27"/>
          <w:rtl/>
          <w:lang w:bidi="ar-MA"/>
        </w:rPr>
        <w:t xml:space="preserve"> ويوضع هذا البرنامج كل</w:t>
      </w:r>
      <w:r w:rsidR="009A0C1F" w:rsidRPr="006571AC">
        <w:rPr>
          <w:rFonts w:ascii="Arial" w:hAnsi="Arial" w:hint="cs"/>
          <w:sz w:val="27"/>
          <w:rtl/>
          <w:lang w:bidi="ar-MA"/>
        </w:rPr>
        <w:t>ّ</w:t>
      </w:r>
      <w:r w:rsidRPr="006571AC">
        <w:rPr>
          <w:rFonts w:ascii="Arial" w:hAnsi="Arial"/>
          <w:sz w:val="27"/>
          <w:rtl/>
          <w:lang w:bidi="ar-MA"/>
        </w:rPr>
        <w:t>ه تحت تصر</w:t>
      </w:r>
      <w:r w:rsidR="009B54AA" w:rsidRPr="006571AC">
        <w:rPr>
          <w:rFonts w:ascii="Arial" w:hAnsi="Arial" w:hint="cs"/>
          <w:sz w:val="27"/>
          <w:rtl/>
          <w:lang w:bidi="ar-MA"/>
        </w:rPr>
        <w:t>ُّ</w:t>
      </w:r>
      <w:r w:rsidRPr="006571AC">
        <w:rPr>
          <w:rFonts w:ascii="Arial" w:hAnsi="Arial"/>
          <w:sz w:val="27"/>
          <w:rtl/>
          <w:lang w:bidi="ar-MA"/>
        </w:rPr>
        <w:t>ف الخبراء الأكفاء في مختلف التخص</w:t>
      </w:r>
      <w:r w:rsidR="009A0C1F" w:rsidRPr="006571AC">
        <w:rPr>
          <w:rFonts w:ascii="Arial" w:hAnsi="Arial" w:hint="cs"/>
          <w:sz w:val="27"/>
          <w:rtl/>
          <w:lang w:bidi="ar-MA"/>
        </w:rPr>
        <w:t>ُّ</w:t>
      </w:r>
      <w:r w:rsidRPr="006571AC">
        <w:rPr>
          <w:rFonts w:ascii="Arial" w:hAnsi="Arial"/>
          <w:sz w:val="27"/>
          <w:rtl/>
          <w:lang w:bidi="ar-MA"/>
        </w:rPr>
        <w:t>صات العلمية.</w:t>
      </w:r>
    </w:p>
    <w:p w:rsidR="00E83C22" w:rsidRPr="006571AC" w:rsidRDefault="00E83C22" w:rsidP="0042241D">
      <w:pPr>
        <w:spacing w:line="520" w:lineRule="exact"/>
        <w:rPr>
          <w:rtl/>
        </w:rPr>
      </w:pPr>
    </w:p>
    <w:p w:rsidR="00E83C22" w:rsidRPr="006571AC" w:rsidRDefault="00E83C22" w:rsidP="0042241D">
      <w:pPr>
        <w:spacing w:line="500" w:lineRule="exact"/>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116"/>
          <w:headerReference w:type="default" r:id="rId117"/>
          <w:footerReference w:type="even" r:id="rId118"/>
          <w:footerReference w:type="default" r:id="rId11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120"/>
          <w:headerReference w:type="default" r:id="rId121"/>
          <w:footerReference w:type="even" r:id="rId122"/>
          <w:footerReference w:type="default" r:id="rId123"/>
          <w:headerReference w:type="first" r:id="rId12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67688E">
      <w:pPr>
        <w:spacing w:line="520" w:lineRule="exact"/>
        <w:rPr>
          <w:rtl/>
        </w:rPr>
      </w:pPr>
    </w:p>
    <w:p w:rsidR="00E83C22" w:rsidRPr="006571AC" w:rsidRDefault="00E83C22" w:rsidP="0067688E">
      <w:pPr>
        <w:spacing w:line="520" w:lineRule="exact"/>
        <w:rPr>
          <w:rtl/>
        </w:rPr>
      </w:pPr>
    </w:p>
    <w:p w:rsidR="00E83C22" w:rsidRPr="006571AC" w:rsidRDefault="00027B50" w:rsidP="00F52458">
      <w:pPr>
        <w:pStyle w:val="10"/>
        <w:spacing w:line="216" w:lineRule="auto"/>
        <w:rPr>
          <w:rtl/>
        </w:rPr>
      </w:pPr>
      <w:bookmarkStart w:id="389" w:name="_Toc114164802"/>
      <w:r w:rsidRPr="006571AC">
        <w:rPr>
          <w:rFonts w:hint="cs"/>
          <w:rtl/>
        </w:rPr>
        <w:t>قاعدة نفي خلوّ الوقائع من الحكم الشرعيّ</w:t>
      </w:r>
      <w:bookmarkEnd w:id="389"/>
    </w:p>
    <w:p w:rsidR="00E83C22" w:rsidRPr="006571AC" w:rsidRDefault="00027B50" w:rsidP="00F52458">
      <w:pPr>
        <w:pStyle w:val="10"/>
        <w:spacing w:line="216" w:lineRule="auto"/>
        <w:rPr>
          <w:sz w:val="26"/>
          <w:szCs w:val="42"/>
          <w:rtl/>
        </w:rPr>
      </w:pPr>
      <w:bookmarkStart w:id="390" w:name="_Toc114164803"/>
      <w:r w:rsidRPr="006571AC">
        <w:rPr>
          <w:rFonts w:hint="cs"/>
          <w:sz w:val="26"/>
          <w:szCs w:val="42"/>
          <w:rtl/>
        </w:rPr>
        <w:t>وأثرها في علم أصول الفقه</w:t>
      </w:r>
      <w:bookmarkEnd w:id="390"/>
    </w:p>
    <w:p w:rsidR="00027B50" w:rsidRPr="006571AC" w:rsidRDefault="00027B50" w:rsidP="009B65D5">
      <w:pPr>
        <w:spacing w:line="240" w:lineRule="auto"/>
        <w:ind w:firstLine="0"/>
        <w:jc w:val="center"/>
        <w:rPr>
          <w:rFonts w:cs="Ya-Ali"/>
          <w:sz w:val="32"/>
          <w:szCs w:val="31"/>
          <w:rtl/>
        </w:rPr>
      </w:pPr>
      <w:r w:rsidRPr="006571AC">
        <w:rPr>
          <w:rFonts w:cs="Ya-Ali" w:hint="cs"/>
          <w:sz w:val="32"/>
          <w:szCs w:val="31"/>
          <w:rtl/>
          <w:lang w:bidi="ar-LB"/>
        </w:rPr>
        <w:t xml:space="preserve">ـ القسم </w:t>
      </w:r>
      <w:r w:rsidR="009B65D5" w:rsidRPr="006571AC">
        <w:rPr>
          <w:rFonts w:cs="Ya-Ali" w:hint="cs"/>
          <w:sz w:val="32"/>
          <w:szCs w:val="31"/>
          <w:rtl/>
          <w:lang w:bidi="ar-LB"/>
        </w:rPr>
        <w:t>الثاني</w:t>
      </w:r>
      <w:r w:rsidRPr="006571AC">
        <w:rPr>
          <w:rFonts w:cs="Ya-Ali" w:hint="cs"/>
          <w:sz w:val="32"/>
          <w:szCs w:val="31"/>
          <w:rtl/>
          <w:lang w:bidi="ar-LB"/>
        </w:rPr>
        <w:t xml:space="preserve"> ـ</w:t>
      </w:r>
    </w:p>
    <w:p w:rsidR="00027B50" w:rsidRPr="006571AC" w:rsidRDefault="00027B50" w:rsidP="0067688E">
      <w:pPr>
        <w:spacing w:line="360" w:lineRule="exact"/>
        <w:rPr>
          <w:rtl/>
        </w:rPr>
      </w:pPr>
    </w:p>
    <w:p w:rsidR="00027B50" w:rsidRPr="006571AC" w:rsidRDefault="00027B50" w:rsidP="00027B50">
      <w:pPr>
        <w:pStyle w:val="Author"/>
        <w:rPr>
          <w:rtl/>
        </w:rPr>
      </w:pPr>
      <w:bookmarkStart w:id="391" w:name="_Toc87011483"/>
      <w:r w:rsidRPr="006571AC">
        <w:rPr>
          <w:rFonts w:hint="eastAsia"/>
          <w:rtl/>
          <w:lang w:bidi="ar-LB"/>
        </w:rPr>
        <w:t>الشيخ</w:t>
      </w:r>
      <w:r w:rsidRPr="006571AC">
        <w:rPr>
          <w:rtl/>
          <w:lang w:bidi="ar-LB"/>
        </w:rPr>
        <w:t xml:space="preserve"> </w:t>
      </w:r>
      <w:r w:rsidRPr="006571AC">
        <w:rPr>
          <w:rFonts w:hint="eastAsia"/>
          <w:rtl/>
          <w:lang w:bidi="ar-LB"/>
        </w:rPr>
        <w:t>صادق</w:t>
      </w:r>
      <w:r w:rsidRPr="006571AC">
        <w:rPr>
          <w:rtl/>
          <w:lang w:bidi="ar-LB"/>
        </w:rPr>
        <w:t xml:space="preserve"> </w:t>
      </w:r>
      <w:r w:rsidRPr="006571AC">
        <w:rPr>
          <w:rFonts w:hint="cs"/>
          <w:rtl/>
          <w:lang w:bidi="ar-LB"/>
        </w:rPr>
        <w:t>الل</w:t>
      </w:r>
      <w:r w:rsidRPr="006571AC">
        <w:rPr>
          <w:rFonts w:hint="eastAsia"/>
          <w:rtl/>
          <w:lang w:bidi="ar-LB"/>
        </w:rPr>
        <w:t>اريجاني</w:t>
      </w:r>
      <w:r w:rsidRPr="006571AC">
        <w:rPr>
          <w:rFonts w:cs="Taher" w:hint="cs"/>
          <w:vertAlign w:val="superscript"/>
          <w:rtl/>
        </w:rPr>
        <w:t>(</w:t>
      </w:r>
      <w:r w:rsidRPr="006571AC">
        <w:rPr>
          <w:rFonts w:cs="Taher"/>
          <w:vertAlign w:val="superscript"/>
          <w:rtl/>
        </w:rPr>
        <w:footnoteReference w:customMarkFollows="1" w:id="16"/>
        <w:t>*)</w:t>
      </w:r>
      <w:bookmarkEnd w:id="391"/>
    </w:p>
    <w:p w:rsidR="00027B50" w:rsidRPr="006571AC" w:rsidRDefault="00027B50" w:rsidP="00027B50">
      <w:pPr>
        <w:pStyle w:val="Author"/>
        <w:rPr>
          <w:rtl/>
        </w:rPr>
      </w:pPr>
      <w:r w:rsidRPr="006571AC">
        <w:rPr>
          <w:rFonts w:hint="cs"/>
          <w:rtl/>
          <w:lang w:bidi="ar-LB"/>
        </w:rPr>
        <w:t xml:space="preserve">بقلم: </w:t>
      </w:r>
      <w:r w:rsidR="00F933A9" w:rsidRPr="006571AC">
        <w:rPr>
          <w:rFonts w:hint="cs"/>
          <w:rtl/>
          <w:lang w:bidi="ar-LB"/>
        </w:rPr>
        <w:t>الشيخ محمد حسن القمّ</w:t>
      </w:r>
      <w:r w:rsidRPr="006571AC">
        <w:rPr>
          <w:rFonts w:hint="cs"/>
          <w:rtl/>
          <w:lang w:bidi="ar-LB"/>
        </w:rPr>
        <w:t>ي</w:t>
      </w:r>
      <w:r w:rsidRPr="006571AC">
        <w:rPr>
          <w:rFonts w:hint="cs"/>
          <w:vertAlign w:val="superscript"/>
          <w:rtl/>
        </w:rPr>
        <w:t>(</w:t>
      </w:r>
      <w:r w:rsidRPr="006571AC">
        <w:rPr>
          <w:vertAlign w:val="superscript"/>
          <w:rtl/>
        </w:rPr>
        <w:endnoteReference w:id="627"/>
      </w:r>
      <w:r w:rsidRPr="006571AC">
        <w:rPr>
          <w:vertAlign w:val="superscript"/>
          <w:rtl/>
        </w:rPr>
        <w:t>)</w:t>
      </w:r>
    </w:p>
    <w:p w:rsidR="001F3F5A" w:rsidRPr="006571AC" w:rsidRDefault="001F3F5A" w:rsidP="0067688E">
      <w:pPr>
        <w:tabs>
          <w:tab w:val="right" w:pos="6930"/>
        </w:tabs>
        <w:suppressAutoHyphens/>
        <w:spacing w:line="360" w:lineRule="exact"/>
        <w:rPr>
          <w:sz w:val="27"/>
          <w:rtl/>
        </w:rPr>
      </w:pPr>
    </w:p>
    <w:p w:rsidR="001F3F5A" w:rsidRPr="006571AC" w:rsidRDefault="00A60A69" w:rsidP="009B65D5">
      <w:pPr>
        <w:pStyle w:val="31"/>
        <w:rPr>
          <w:color w:val="auto"/>
          <w:rtl/>
          <w:lang w:bidi="ar-LB"/>
        </w:rPr>
      </w:pPr>
      <w:bookmarkStart w:id="392" w:name="_Toc114164804"/>
      <w:r w:rsidRPr="006571AC">
        <w:rPr>
          <w:rFonts w:hint="cs"/>
          <w:color w:val="auto"/>
          <w:rtl/>
          <w:lang w:bidi="ar-LB"/>
        </w:rPr>
        <w:t>2ـ</w:t>
      </w:r>
      <w:r w:rsidR="001F3F5A" w:rsidRPr="006571AC">
        <w:rPr>
          <w:rFonts w:hint="cs"/>
          <w:color w:val="auto"/>
          <w:rtl/>
          <w:lang w:bidi="ar-LB"/>
        </w:rPr>
        <w:t xml:space="preserve"> طريقة المصالح والمفاسد الواقعي</w:t>
      </w:r>
      <w:r w:rsidR="00F933A9" w:rsidRPr="006571AC">
        <w:rPr>
          <w:rFonts w:hint="cs"/>
          <w:color w:val="auto"/>
          <w:rtl/>
          <w:lang w:bidi="ar-LB"/>
        </w:rPr>
        <w:t>ّ</w:t>
      </w:r>
      <w:r w:rsidR="001F3F5A" w:rsidRPr="006571AC">
        <w:rPr>
          <w:rFonts w:hint="cs"/>
          <w:color w:val="auto"/>
          <w:rtl/>
          <w:lang w:bidi="ar-LB"/>
        </w:rPr>
        <w:t>ة</w:t>
      </w:r>
      <w:bookmarkEnd w:id="392"/>
    </w:p>
    <w:p w:rsidR="001F3F5A" w:rsidRPr="006571AC" w:rsidRDefault="001F3F5A" w:rsidP="002A2E03">
      <w:pPr>
        <w:tabs>
          <w:tab w:val="right" w:pos="6930"/>
        </w:tabs>
        <w:suppressAutoHyphens/>
        <w:rPr>
          <w:sz w:val="27"/>
          <w:rtl/>
          <w:lang w:bidi="ar-LB"/>
        </w:rPr>
      </w:pPr>
      <w:r w:rsidRPr="006571AC">
        <w:rPr>
          <w:rFonts w:hint="cs"/>
          <w:sz w:val="27"/>
          <w:rtl/>
          <w:lang w:bidi="ar-LB"/>
        </w:rPr>
        <w:t>والأفضل أن نعمّ</w:t>
      </w:r>
      <w:r w:rsidR="00CE01E3" w:rsidRPr="006571AC">
        <w:rPr>
          <w:rFonts w:hint="cs"/>
          <w:sz w:val="27"/>
          <w:rtl/>
          <w:lang w:bidi="ar-LB"/>
        </w:rPr>
        <w:t>ِ</w:t>
      </w:r>
      <w:r w:rsidRPr="006571AC">
        <w:rPr>
          <w:rFonts w:hint="cs"/>
          <w:sz w:val="27"/>
          <w:rtl/>
          <w:lang w:bidi="ar-LB"/>
        </w:rPr>
        <w:t>م الكلام ع</w:t>
      </w:r>
      <w:r w:rsidR="00CE01E3" w:rsidRPr="006571AC">
        <w:rPr>
          <w:rFonts w:hint="cs"/>
          <w:sz w:val="27"/>
          <w:rtl/>
          <w:lang w:bidi="ar-LB"/>
        </w:rPr>
        <w:t>ن</w:t>
      </w:r>
      <w:r w:rsidRPr="006571AC">
        <w:rPr>
          <w:rFonts w:hint="cs"/>
          <w:sz w:val="27"/>
          <w:rtl/>
          <w:lang w:bidi="ar-LB"/>
        </w:rPr>
        <w:t xml:space="preserve"> خصوص الح</w:t>
      </w:r>
      <w:r w:rsidR="00CE01E3" w:rsidRPr="006571AC">
        <w:rPr>
          <w:rFonts w:hint="cs"/>
          <w:sz w:val="27"/>
          <w:rtl/>
          <w:lang w:bidi="ar-LB"/>
        </w:rPr>
        <w:t>ُ</w:t>
      </w:r>
      <w:r w:rsidRPr="006571AC">
        <w:rPr>
          <w:rFonts w:hint="cs"/>
          <w:sz w:val="27"/>
          <w:rtl/>
          <w:lang w:bidi="ar-LB"/>
        </w:rPr>
        <w:t>س</w:t>
      </w:r>
      <w:r w:rsidR="00CE01E3" w:rsidRPr="006571AC">
        <w:rPr>
          <w:rFonts w:hint="cs"/>
          <w:sz w:val="27"/>
          <w:rtl/>
          <w:lang w:bidi="ar-LB"/>
        </w:rPr>
        <w:t>ْ</w:t>
      </w:r>
      <w:r w:rsidRPr="006571AC">
        <w:rPr>
          <w:rFonts w:hint="cs"/>
          <w:sz w:val="27"/>
          <w:rtl/>
          <w:lang w:bidi="ar-LB"/>
        </w:rPr>
        <w:t>ن والق</w:t>
      </w:r>
      <w:r w:rsidR="00CE01E3" w:rsidRPr="006571AC">
        <w:rPr>
          <w:rFonts w:hint="cs"/>
          <w:sz w:val="27"/>
          <w:rtl/>
          <w:lang w:bidi="ar-LB"/>
        </w:rPr>
        <w:t>ُ</w:t>
      </w:r>
      <w:r w:rsidRPr="006571AC">
        <w:rPr>
          <w:rFonts w:hint="cs"/>
          <w:sz w:val="27"/>
          <w:rtl/>
          <w:lang w:bidi="ar-LB"/>
        </w:rPr>
        <w:t>ب</w:t>
      </w:r>
      <w:r w:rsidR="00CE01E3" w:rsidRPr="006571AC">
        <w:rPr>
          <w:rFonts w:hint="cs"/>
          <w:sz w:val="27"/>
          <w:rtl/>
          <w:lang w:bidi="ar-LB"/>
        </w:rPr>
        <w:t>ْ</w:t>
      </w:r>
      <w:r w:rsidRPr="006571AC">
        <w:rPr>
          <w:rFonts w:hint="cs"/>
          <w:sz w:val="27"/>
          <w:rtl/>
          <w:lang w:bidi="ar-LB"/>
        </w:rPr>
        <w:t xml:space="preserve">ح الى المصالح والمفاسد الواقعية، </w:t>
      </w:r>
      <w:r w:rsidR="00CE01E3" w:rsidRPr="006571AC">
        <w:rPr>
          <w:rFonts w:hint="cs"/>
          <w:sz w:val="27"/>
          <w:rtl/>
          <w:lang w:bidi="ar-LB"/>
        </w:rPr>
        <w:t>فندّعي الملازمة بين إ</w:t>
      </w:r>
      <w:r w:rsidRPr="006571AC">
        <w:rPr>
          <w:rFonts w:hint="cs"/>
          <w:sz w:val="27"/>
          <w:rtl/>
          <w:lang w:bidi="ar-LB"/>
        </w:rPr>
        <w:t>دراكها وبين الإرادة والكراهة، وبما أنّ الله تبارك وتعالى عالم</w:t>
      </w:r>
      <w:r w:rsidR="00697D96" w:rsidRPr="006571AC">
        <w:rPr>
          <w:rFonts w:hint="cs"/>
          <w:sz w:val="27"/>
          <w:rtl/>
          <w:lang w:bidi="ar-LB"/>
        </w:rPr>
        <w:t>ٌ</w:t>
      </w:r>
      <w:r w:rsidRPr="006571AC">
        <w:rPr>
          <w:rFonts w:hint="cs"/>
          <w:sz w:val="27"/>
          <w:rtl/>
          <w:lang w:bidi="ar-LB"/>
        </w:rPr>
        <w:t xml:space="preserve"> بجميع المصالح والمفاسد الكامنة والظاهرة صحّ القول بهذه الملازمة في شأنه تعالى شأنه.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والمشكلة الرئيسة التي نواجهها في هذه الطريقة هي أيضاً: </w:t>
      </w:r>
      <w:r w:rsidR="003768E0" w:rsidRPr="006571AC">
        <w:rPr>
          <w:rFonts w:hint="cs"/>
          <w:sz w:val="27"/>
          <w:rtl/>
          <w:lang w:bidi="ar-LB"/>
        </w:rPr>
        <w:t>إ</w:t>
      </w:r>
      <w:r w:rsidRPr="006571AC">
        <w:rPr>
          <w:rFonts w:hint="cs"/>
          <w:sz w:val="27"/>
          <w:rtl/>
          <w:lang w:bidi="ar-LB"/>
        </w:rPr>
        <w:t>ثبات عدم خلوّ واقعة</w:t>
      </w:r>
      <w:r w:rsidR="003768E0" w:rsidRPr="006571AC">
        <w:rPr>
          <w:rFonts w:hint="cs"/>
          <w:sz w:val="27"/>
          <w:rtl/>
          <w:lang w:bidi="ar-LB"/>
        </w:rPr>
        <w:t>ٍ</w:t>
      </w:r>
      <w:r w:rsidRPr="006571AC">
        <w:rPr>
          <w:rFonts w:hint="cs"/>
          <w:sz w:val="27"/>
          <w:rtl/>
          <w:lang w:bidi="ar-LB"/>
        </w:rPr>
        <w:t xml:space="preserve"> من الوقائع من المصلحة أو المفسدة. </w:t>
      </w:r>
    </w:p>
    <w:p w:rsidR="001F3F5A" w:rsidRPr="006571AC" w:rsidRDefault="001F3F5A" w:rsidP="002A2E03">
      <w:pPr>
        <w:tabs>
          <w:tab w:val="right" w:pos="6930"/>
        </w:tabs>
        <w:suppressAutoHyphens/>
        <w:rPr>
          <w:sz w:val="27"/>
          <w:rtl/>
          <w:lang w:bidi="ar-LB"/>
        </w:rPr>
      </w:pPr>
      <w:r w:rsidRPr="006571AC">
        <w:rPr>
          <w:rFonts w:hint="cs"/>
          <w:b/>
          <w:bCs/>
          <w:sz w:val="27"/>
          <w:rtl/>
          <w:lang w:bidi="ar-LB"/>
        </w:rPr>
        <w:t>والتحقيق</w:t>
      </w:r>
      <w:r w:rsidRPr="006571AC">
        <w:rPr>
          <w:rFonts w:hint="cs"/>
          <w:sz w:val="27"/>
          <w:rtl/>
          <w:lang w:bidi="ar-LB"/>
        </w:rPr>
        <w:t xml:space="preserve"> أنّ الواقعة بعد تضارب المصالح والمفاسد فيها لا يخلو أمر</w:t>
      </w:r>
      <w:r w:rsidR="003768E0" w:rsidRPr="006571AC">
        <w:rPr>
          <w:rFonts w:hint="cs"/>
          <w:sz w:val="27"/>
          <w:rtl/>
          <w:lang w:bidi="ar-LB"/>
        </w:rPr>
        <w:t>ُ</w:t>
      </w:r>
      <w:r w:rsidRPr="006571AC">
        <w:rPr>
          <w:rFonts w:hint="cs"/>
          <w:sz w:val="27"/>
          <w:rtl/>
          <w:lang w:bidi="ar-LB"/>
        </w:rPr>
        <w:t>ها من أحد وجوه ثلاثة: فإمّا أن تكون ذات مصلحة</w:t>
      </w:r>
      <w:r w:rsidR="003768E0" w:rsidRPr="006571AC">
        <w:rPr>
          <w:rFonts w:hint="cs"/>
          <w:sz w:val="27"/>
          <w:rtl/>
          <w:lang w:bidi="ar-LB"/>
        </w:rPr>
        <w:t>؛</w:t>
      </w:r>
      <w:r w:rsidRPr="006571AC">
        <w:rPr>
          <w:rFonts w:hint="cs"/>
          <w:sz w:val="27"/>
          <w:rtl/>
          <w:lang w:bidi="ar-LB"/>
        </w:rPr>
        <w:t xml:space="preserve"> وإمّا أن تكون ذات مفسدة</w:t>
      </w:r>
      <w:r w:rsidR="003768E0" w:rsidRPr="006571AC">
        <w:rPr>
          <w:rFonts w:hint="cs"/>
          <w:sz w:val="27"/>
          <w:rtl/>
          <w:lang w:bidi="ar-LB"/>
        </w:rPr>
        <w:t>؛</w:t>
      </w:r>
      <w:r w:rsidRPr="006571AC">
        <w:rPr>
          <w:rFonts w:hint="cs"/>
          <w:sz w:val="27"/>
          <w:rtl/>
          <w:lang w:bidi="ar-LB"/>
        </w:rPr>
        <w:t xml:space="preserve"> </w:t>
      </w:r>
      <w:r w:rsidR="003768E0" w:rsidRPr="006571AC">
        <w:rPr>
          <w:rFonts w:hint="cs"/>
          <w:sz w:val="27"/>
          <w:rtl/>
          <w:lang w:bidi="ar-LB"/>
        </w:rPr>
        <w:t>وإ</w:t>
      </w:r>
      <w:r w:rsidRPr="006571AC">
        <w:rPr>
          <w:rFonts w:hint="cs"/>
          <w:sz w:val="27"/>
          <w:rtl/>
          <w:lang w:bidi="ar-LB"/>
        </w:rPr>
        <w:t>مّا تكون خالية</w:t>
      </w:r>
      <w:r w:rsidR="00697D96" w:rsidRPr="006571AC">
        <w:rPr>
          <w:rFonts w:hint="cs"/>
          <w:sz w:val="27"/>
          <w:rtl/>
          <w:lang w:bidi="ar-LB"/>
        </w:rPr>
        <w:t>ً</w:t>
      </w:r>
      <w:r w:rsidRPr="006571AC">
        <w:rPr>
          <w:rFonts w:hint="cs"/>
          <w:sz w:val="27"/>
          <w:rtl/>
          <w:lang w:bidi="ar-LB"/>
        </w:rPr>
        <w:t xml:space="preserve"> من أيّ ملاك</w:t>
      </w:r>
      <w:r w:rsidR="003768E0" w:rsidRPr="006571AC">
        <w:rPr>
          <w:rFonts w:hint="cs"/>
          <w:sz w:val="27"/>
          <w:rtl/>
          <w:lang w:bidi="ar-LB"/>
        </w:rPr>
        <w:t>ٍ</w:t>
      </w:r>
      <w:r w:rsidRPr="006571AC">
        <w:rPr>
          <w:rFonts w:hint="cs"/>
          <w:sz w:val="27"/>
          <w:rtl/>
          <w:lang w:bidi="ar-LB"/>
        </w:rPr>
        <w:t xml:space="preserve"> مفروض، وهذا أيضاً على قسمين</w:t>
      </w:r>
      <w:r w:rsidR="003768E0" w:rsidRPr="006571AC">
        <w:rPr>
          <w:rFonts w:hint="cs"/>
          <w:sz w:val="27"/>
          <w:rtl/>
          <w:lang w:bidi="ar-LB"/>
        </w:rPr>
        <w:t>؛</w:t>
      </w:r>
      <w:r w:rsidRPr="006571AC">
        <w:rPr>
          <w:rFonts w:hint="cs"/>
          <w:sz w:val="27"/>
          <w:rtl/>
          <w:lang w:bidi="ar-LB"/>
        </w:rPr>
        <w:t xml:space="preserve"> إذ قد تكون خالية</w:t>
      </w:r>
      <w:r w:rsidR="003768E0" w:rsidRPr="006571AC">
        <w:rPr>
          <w:rFonts w:hint="cs"/>
          <w:sz w:val="27"/>
          <w:rtl/>
          <w:lang w:bidi="ar-LB"/>
        </w:rPr>
        <w:t>ً</w:t>
      </w:r>
      <w:r w:rsidRPr="006571AC">
        <w:rPr>
          <w:rFonts w:hint="cs"/>
          <w:sz w:val="27"/>
          <w:rtl/>
          <w:lang w:bidi="ar-LB"/>
        </w:rPr>
        <w:t xml:space="preserve"> منهما رأساً ومن البداية</w:t>
      </w:r>
      <w:r w:rsidR="003768E0" w:rsidRPr="006571AC">
        <w:rPr>
          <w:rFonts w:hint="cs"/>
          <w:sz w:val="27"/>
          <w:rtl/>
          <w:lang w:bidi="ar-LB"/>
        </w:rPr>
        <w:t>؛</w:t>
      </w:r>
      <w:r w:rsidRPr="006571AC">
        <w:rPr>
          <w:rFonts w:hint="cs"/>
          <w:sz w:val="27"/>
          <w:rtl/>
          <w:lang w:bidi="ar-LB"/>
        </w:rPr>
        <w:t xml:space="preserve"> وقد تكون فيها من كلا نوع</w:t>
      </w:r>
      <w:r w:rsidR="003768E0" w:rsidRPr="006571AC">
        <w:rPr>
          <w:rFonts w:hint="cs"/>
          <w:sz w:val="27"/>
          <w:rtl/>
          <w:lang w:bidi="ar-LB"/>
        </w:rPr>
        <w:t>َ</w:t>
      </w:r>
      <w:r w:rsidRPr="006571AC">
        <w:rPr>
          <w:rFonts w:hint="cs"/>
          <w:sz w:val="27"/>
          <w:rtl/>
          <w:lang w:bidi="ar-LB"/>
        </w:rPr>
        <w:t>ي</w:t>
      </w:r>
      <w:r w:rsidR="003768E0" w:rsidRPr="006571AC">
        <w:rPr>
          <w:rFonts w:hint="cs"/>
          <w:sz w:val="27"/>
          <w:rtl/>
          <w:lang w:bidi="ar-LB"/>
        </w:rPr>
        <w:t>ْ</w:t>
      </w:r>
      <w:r w:rsidRPr="006571AC">
        <w:rPr>
          <w:rFonts w:hint="cs"/>
          <w:sz w:val="27"/>
          <w:rtl/>
          <w:lang w:bidi="ar-LB"/>
        </w:rPr>
        <w:t xml:space="preserve"> الملاك، أعني: المصلحة والمفسدة؛ </w:t>
      </w:r>
      <w:r w:rsidR="003768E0" w:rsidRPr="006571AC">
        <w:rPr>
          <w:rFonts w:hint="cs"/>
          <w:sz w:val="27"/>
          <w:rtl/>
          <w:lang w:bidi="ar-LB"/>
        </w:rPr>
        <w:t>إ</w:t>
      </w:r>
      <w:r w:rsidRPr="006571AC">
        <w:rPr>
          <w:rFonts w:hint="cs"/>
          <w:sz w:val="27"/>
          <w:rtl/>
          <w:lang w:bidi="ar-LB"/>
        </w:rPr>
        <w:t>لاّ أنهما تساقطا بعد تساويهما وعدم رجحان أحدهما على الآخر، فبقيت الواقعة كأنّها خالية</w:t>
      </w:r>
      <w:r w:rsidR="003768E0" w:rsidRPr="006571AC">
        <w:rPr>
          <w:rFonts w:hint="cs"/>
          <w:sz w:val="27"/>
          <w:rtl/>
          <w:lang w:bidi="ar-LB"/>
        </w:rPr>
        <w:t>ٌ</w:t>
      </w:r>
      <w:r w:rsidRPr="006571AC">
        <w:rPr>
          <w:rFonts w:hint="cs"/>
          <w:sz w:val="27"/>
          <w:rtl/>
          <w:lang w:bidi="ar-LB"/>
        </w:rPr>
        <w:t xml:space="preserve"> من أيّ ملاك</w:t>
      </w:r>
      <w:r w:rsidR="003768E0" w:rsidRPr="006571AC">
        <w:rPr>
          <w:rFonts w:hint="cs"/>
          <w:sz w:val="27"/>
          <w:rtl/>
          <w:lang w:bidi="ar-LB"/>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lastRenderedPageBreak/>
        <w:t>والكلام في الوجهين الأوّلين يشابه تماماً ما تقدّم في الطريقة الأولى في تقريب الملازمة، وما ي</w:t>
      </w:r>
      <w:r w:rsidR="003768E0" w:rsidRPr="006571AC">
        <w:rPr>
          <w:rFonts w:hint="cs"/>
          <w:sz w:val="27"/>
          <w:rtl/>
          <w:lang w:bidi="ar-LB"/>
        </w:rPr>
        <w:t>َ</w:t>
      </w:r>
      <w:r w:rsidRPr="006571AC">
        <w:rPr>
          <w:rFonts w:hint="cs"/>
          <w:sz w:val="27"/>
          <w:rtl/>
          <w:lang w:bidi="ar-LB"/>
        </w:rPr>
        <w:t>ر</w:t>
      </w:r>
      <w:r w:rsidR="003768E0" w:rsidRPr="006571AC">
        <w:rPr>
          <w:rFonts w:hint="cs"/>
          <w:sz w:val="27"/>
          <w:rtl/>
          <w:lang w:bidi="ar-LB"/>
        </w:rPr>
        <w:t>ِ</w:t>
      </w:r>
      <w:r w:rsidRPr="006571AC">
        <w:rPr>
          <w:rFonts w:hint="cs"/>
          <w:sz w:val="27"/>
          <w:rtl/>
          <w:lang w:bidi="ar-LB"/>
        </w:rPr>
        <w:t>د</w:t>
      </w:r>
      <w:r w:rsidR="003768E0" w:rsidRPr="006571AC">
        <w:rPr>
          <w:rFonts w:hint="cs"/>
          <w:sz w:val="27"/>
          <w:rtl/>
          <w:lang w:bidi="ar-LB"/>
        </w:rPr>
        <w:t>ُ عليها من الإشكالات</w:t>
      </w:r>
      <w:r w:rsidRPr="006571AC">
        <w:rPr>
          <w:rFonts w:hint="cs"/>
          <w:sz w:val="27"/>
          <w:rtl/>
          <w:lang w:bidi="ar-LB"/>
        </w:rPr>
        <w:t xml:space="preserve"> والإجابة عنها. </w:t>
      </w:r>
    </w:p>
    <w:p w:rsidR="001F3F5A" w:rsidRPr="006571AC" w:rsidRDefault="001F3F5A" w:rsidP="002A2E03">
      <w:pPr>
        <w:tabs>
          <w:tab w:val="right" w:pos="6930"/>
        </w:tabs>
        <w:suppressAutoHyphens/>
        <w:rPr>
          <w:sz w:val="27"/>
          <w:rtl/>
          <w:lang w:bidi="ar-LB"/>
        </w:rPr>
      </w:pPr>
      <w:r w:rsidRPr="006571AC">
        <w:rPr>
          <w:rFonts w:hint="cs"/>
          <w:sz w:val="27"/>
          <w:rtl/>
          <w:lang w:bidi="ar-LB"/>
        </w:rPr>
        <w:t>وأمّا الوجه الثالث بكلا قسم</w:t>
      </w:r>
      <w:r w:rsidR="003768E0" w:rsidRPr="006571AC">
        <w:rPr>
          <w:rFonts w:hint="cs"/>
          <w:sz w:val="27"/>
          <w:rtl/>
          <w:lang w:bidi="ar-LB"/>
        </w:rPr>
        <w:t>َ</w:t>
      </w:r>
      <w:r w:rsidRPr="006571AC">
        <w:rPr>
          <w:rFonts w:hint="cs"/>
          <w:sz w:val="27"/>
          <w:rtl/>
          <w:lang w:bidi="ar-LB"/>
        </w:rPr>
        <w:t>يْه فهو على نحو</w:t>
      </w:r>
      <w:r w:rsidR="003768E0" w:rsidRPr="006571AC">
        <w:rPr>
          <w:rFonts w:hint="cs"/>
          <w:sz w:val="27"/>
          <w:rtl/>
          <w:lang w:bidi="ar-LB"/>
        </w:rPr>
        <w:t>َ</w:t>
      </w:r>
      <w:r w:rsidRPr="006571AC">
        <w:rPr>
          <w:rFonts w:hint="cs"/>
          <w:sz w:val="27"/>
          <w:rtl/>
          <w:lang w:bidi="ar-LB"/>
        </w:rPr>
        <w:t>ي</w:t>
      </w:r>
      <w:r w:rsidR="003768E0" w:rsidRPr="006571AC">
        <w:rPr>
          <w:rFonts w:hint="cs"/>
          <w:sz w:val="27"/>
          <w:rtl/>
          <w:lang w:bidi="ar-LB"/>
        </w:rPr>
        <w:t>ْ</w:t>
      </w:r>
      <w:r w:rsidRPr="006571AC">
        <w:rPr>
          <w:rFonts w:hint="cs"/>
          <w:sz w:val="27"/>
          <w:rtl/>
          <w:lang w:bidi="ar-LB"/>
        </w:rPr>
        <w:t xml:space="preserve">ن: </w:t>
      </w:r>
    </w:p>
    <w:p w:rsidR="001F3F5A" w:rsidRPr="006571AC" w:rsidRDefault="001F3F5A" w:rsidP="002A2E03">
      <w:pPr>
        <w:tabs>
          <w:tab w:val="right" w:pos="6930"/>
        </w:tabs>
        <w:suppressAutoHyphens/>
        <w:rPr>
          <w:sz w:val="27"/>
          <w:rtl/>
          <w:lang w:bidi="ar-LB"/>
        </w:rPr>
      </w:pPr>
      <w:r w:rsidRPr="006571AC">
        <w:rPr>
          <w:rFonts w:hint="cs"/>
          <w:b/>
          <w:bCs/>
          <w:sz w:val="27"/>
          <w:rtl/>
          <w:lang w:bidi="ar-LB"/>
        </w:rPr>
        <w:t>فتارة</w:t>
      </w:r>
      <w:r w:rsidR="003768E0" w:rsidRPr="006571AC">
        <w:rPr>
          <w:rFonts w:hint="cs"/>
          <w:b/>
          <w:bCs/>
          <w:sz w:val="27"/>
          <w:rtl/>
          <w:lang w:bidi="ar-LB"/>
        </w:rPr>
        <w:t>ً</w:t>
      </w:r>
      <w:r w:rsidRPr="006571AC">
        <w:rPr>
          <w:sz w:val="27"/>
          <w:rtl/>
          <w:lang w:bidi="ar-LB"/>
        </w:rPr>
        <w:t xml:space="preserve"> </w:t>
      </w:r>
      <w:r w:rsidRPr="006571AC">
        <w:rPr>
          <w:rFonts w:hint="cs"/>
          <w:sz w:val="27"/>
          <w:rtl/>
          <w:lang w:bidi="ar-LB"/>
        </w:rPr>
        <w:t>يوجد هناك ما يقتضي جعل الإباحة لتلك الواقعة، فالإباحة المجعولة في مثل ذلك إباحة</w:t>
      </w:r>
      <w:r w:rsidR="00682C6D" w:rsidRPr="006571AC">
        <w:rPr>
          <w:rFonts w:hint="cs"/>
          <w:sz w:val="27"/>
          <w:rtl/>
          <w:lang w:bidi="ar-LB"/>
        </w:rPr>
        <w:t>ٌ</w:t>
      </w:r>
      <w:r w:rsidRPr="006571AC">
        <w:rPr>
          <w:rFonts w:hint="cs"/>
          <w:sz w:val="27"/>
          <w:rtl/>
          <w:lang w:bidi="ar-LB"/>
        </w:rPr>
        <w:t xml:space="preserve"> اقتضائية، كما إذا كان هناك مصلحة</w:t>
      </w:r>
      <w:r w:rsidR="00682C6D" w:rsidRPr="006571AC">
        <w:rPr>
          <w:rFonts w:hint="cs"/>
          <w:sz w:val="27"/>
          <w:rtl/>
          <w:lang w:bidi="ar-LB"/>
        </w:rPr>
        <w:t>ٌ</w:t>
      </w:r>
      <w:r w:rsidRPr="006571AC">
        <w:rPr>
          <w:rFonts w:hint="cs"/>
          <w:sz w:val="27"/>
          <w:rtl/>
          <w:lang w:bidi="ar-LB"/>
        </w:rPr>
        <w:t xml:space="preserve"> في تسهيل الأمر على العباد وإطلاق عنانهم في تلك الواقعة. </w:t>
      </w:r>
    </w:p>
    <w:p w:rsidR="001F3F5A" w:rsidRPr="006571AC" w:rsidRDefault="001F3F5A" w:rsidP="002A2E03">
      <w:pPr>
        <w:tabs>
          <w:tab w:val="right" w:pos="6930"/>
        </w:tabs>
        <w:suppressAutoHyphens/>
        <w:rPr>
          <w:sz w:val="27"/>
          <w:rtl/>
          <w:lang w:bidi="ar-LB"/>
        </w:rPr>
      </w:pPr>
      <w:r w:rsidRPr="006571AC">
        <w:rPr>
          <w:rFonts w:hint="cs"/>
          <w:b/>
          <w:bCs/>
          <w:sz w:val="27"/>
          <w:rtl/>
          <w:lang w:bidi="ar-LB"/>
        </w:rPr>
        <w:t>وأخرى</w:t>
      </w:r>
      <w:r w:rsidRPr="006571AC">
        <w:rPr>
          <w:sz w:val="27"/>
          <w:rtl/>
          <w:lang w:bidi="ar-LB"/>
        </w:rPr>
        <w:t xml:space="preserve"> </w:t>
      </w:r>
      <w:r w:rsidRPr="006571AC">
        <w:rPr>
          <w:rFonts w:hint="cs"/>
          <w:sz w:val="27"/>
          <w:rtl/>
          <w:lang w:bidi="ar-LB"/>
        </w:rPr>
        <w:t>لا يتوفّ</w:t>
      </w:r>
      <w:r w:rsidR="00682C6D" w:rsidRPr="006571AC">
        <w:rPr>
          <w:rFonts w:hint="cs"/>
          <w:sz w:val="27"/>
          <w:rtl/>
          <w:lang w:bidi="ar-LB"/>
        </w:rPr>
        <w:t>َ</w:t>
      </w:r>
      <w:r w:rsidRPr="006571AC">
        <w:rPr>
          <w:rFonts w:hint="cs"/>
          <w:sz w:val="27"/>
          <w:rtl/>
          <w:lang w:bidi="ar-LB"/>
        </w:rPr>
        <w:t xml:space="preserve">ر ما يقتضي ذلك، </w:t>
      </w:r>
      <w:r w:rsidR="00682C6D" w:rsidRPr="006571AC">
        <w:rPr>
          <w:rFonts w:hint="cs"/>
          <w:sz w:val="27"/>
          <w:rtl/>
          <w:lang w:bidi="ar-LB"/>
        </w:rPr>
        <w:t>والإباحةُ في هذا القسم إ</w:t>
      </w:r>
      <w:r w:rsidRPr="006571AC">
        <w:rPr>
          <w:rFonts w:hint="cs"/>
          <w:sz w:val="27"/>
          <w:rtl/>
          <w:lang w:bidi="ar-LB"/>
        </w:rPr>
        <w:t>باحة</w:t>
      </w:r>
      <w:r w:rsidR="00682C6D" w:rsidRPr="006571AC">
        <w:rPr>
          <w:rFonts w:hint="cs"/>
          <w:sz w:val="27"/>
          <w:rtl/>
          <w:lang w:bidi="ar-LB"/>
        </w:rPr>
        <w:t>ٌ</w:t>
      </w:r>
      <w:r w:rsidRPr="006571AC">
        <w:rPr>
          <w:rFonts w:hint="cs"/>
          <w:sz w:val="27"/>
          <w:rtl/>
          <w:lang w:bidi="ar-LB"/>
        </w:rPr>
        <w:t xml:space="preserve"> لا</w:t>
      </w:r>
      <w:r w:rsidR="00682C6D" w:rsidRPr="006571AC">
        <w:rPr>
          <w:rFonts w:hint="cs"/>
          <w:sz w:val="27"/>
          <w:rtl/>
          <w:lang w:bidi="ar-LB"/>
        </w:rPr>
        <w:t xml:space="preserve"> ا</w:t>
      </w:r>
      <w:r w:rsidRPr="006571AC">
        <w:rPr>
          <w:rFonts w:hint="cs"/>
          <w:sz w:val="27"/>
          <w:rtl/>
          <w:lang w:bidi="ar-LB"/>
        </w:rPr>
        <w:t xml:space="preserve">قتضائية.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وقد حاول </w:t>
      </w:r>
      <w:r w:rsidR="00682C6D" w:rsidRPr="006571AC">
        <w:rPr>
          <w:rFonts w:hint="cs"/>
          <w:sz w:val="27"/>
          <w:rtl/>
          <w:lang w:bidi="ar-LB"/>
        </w:rPr>
        <w:t>الإمام الخميني</w:t>
      </w:r>
      <w:r w:rsidR="002A2C90" w:rsidRPr="006571AC">
        <w:rPr>
          <w:rFonts w:ascii="Mosawi" w:hAnsi="Mosawi" w:cs="Mosawi"/>
          <w:sz w:val="22"/>
          <w:szCs w:val="22"/>
          <w:rtl/>
        </w:rPr>
        <w:t>&amp;</w:t>
      </w:r>
      <w:r w:rsidRPr="006571AC">
        <w:rPr>
          <w:rFonts w:hint="cs"/>
          <w:sz w:val="27"/>
          <w:rtl/>
          <w:lang w:bidi="ar-LB"/>
        </w:rPr>
        <w:t xml:space="preserve"> أن ينقض على القاعدة بهذا النحو الأخير</w:t>
      </w:r>
      <w:r w:rsidR="00682C6D" w:rsidRPr="006571AC">
        <w:rPr>
          <w:rFonts w:hint="cs"/>
          <w:sz w:val="27"/>
          <w:rtl/>
          <w:lang w:bidi="ar-LB"/>
        </w:rPr>
        <w:t>،</w:t>
      </w:r>
      <w:r w:rsidRPr="006571AC">
        <w:rPr>
          <w:rFonts w:hint="cs"/>
          <w:sz w:val="27"/>
          <w:rtl/>
          <w:lang w:bidi="ar-LB"/>
        </w:rPr>
        <w:t xml:space="preserve"> على أس</w:t>
      </w:r>
      <w:r w:rsidR="00682C6D" w:rsidRPr="006571AC">
        <w:rPr>
          <w:rFonts w:hint="cs"/>
          <w:sz w:val="27"/>
          <w:rtl/>
          <w:lang w:bidi="ar-LB"/>
        </w:rPr>
        <w:t>اس أنّه لا معنى لجعل الإ</w:t>
      </w:r>
      <w:r w:rsidRPr="006571AC">
        <w:rPr>
          <w:rFonts w:hint="cs"/>
          <w:sz w:val="27"/>
          <w:rtl/>
          <w:lang w:bidi="ar-LB"/>
        </w:rPr>
        <w:t>باحة في مثل ذلك، بعد أن كان الفعل خالياً من أيّ ملاك</w:t>
      </w:r>
      <w:r w:rsidR="00682C6D" w:rsidRPr="006571AC">
        <w:rPr>
          <w:rFonts w:hint="cs"/>
          <w:sz w:val="27"/>
          <w:rtl/>
          <w:lang w:bidi="ar-LB"/>
        </w:rPr>
        <w:t>ٍ</w:t>
      </w:r>
      <w:r w:rsidRPr="006571AC">
        <w:rPr>
          <w:rFonts w:hint="cs"/>
          <w:sz w:val="27"/>
          <w:rtl/>
          <w:lang w:bidi="ar-LB"/>
        </w:rPr>
        <w:t xml:space="preserve"> يدعو إليه</w:t>
      </w:r>
      <w:r w:rsidR="00682C6D" w:rsidRPr="006571AC">
        <w:rPr>
          <w:rFonts w:hint="cs"/>
          <w:sz w:val="27"/>
          <w:rtl/>
          <w:lang w:bidi="ar-LB"/>
        </w:rPr>
        <w:t>؛</w:t>
      </w:r>
      <w:r w:rsidRPr="006571AC">
        <w:rPr>
          <w:rFonts w:hint="cs"/>
          <w:sz w:val="27"/>
          <w:rtl/>
          <w:lang w:bidi="ar-LB"/>
        </w:rPr>
        <w:t xml:space="preserve"> </w:t>
      </w:r>
      <w:r w:rsidR="00682C6D" w:rsidRPr="006571AC">
        <w:rPr>
          <w:rFonts w:hint="cs"/>
          <w:sz w:val="27"/>
          <w:rtl/>
          <w:lang w:bidi="ar-LB"/>
        </w:rPr>
        <w:t>فإ</w:t>
      </w:r>
      <w:r w:rsidRPr="006571AC">
        <w:rPr>
          <w:rFonts w:hint="cs"/>
          <w:sz w:val="27"/>
          <w:rtl/>
          <w:lang w:bidi="ar-LB"/>
        </w:rPr>
        <w:t>نّه لغو</w:t>
      </w:r>
      <w:r w:rsidR="00682C6D" w:rsidRPr="006571AC">
        <w:rPr>
          <w:rFonts w:hint="cs"/>
          <w:sz w:val="27"/>
          <w:rtl/>
          <w:lang w:bidi="ar-LB"/>
        </w:rPr>
        <w:t>ٌ</w:t>
      </w:r>
      <w:r w:rsidRPr="006571AC">
        <w:rPr>
          <w:rFonts w:hint="cs"/>
          <w:sz w:val="27"/>
          <w:rtl/>
          <w:lang w:bidi="ar-LB"/>
        </w:rPr>
        <w:t>، كما أنّه لا مجال لتحقيق الإرادة والكراهة فيه أيضاً</w:t>
      </w:r>
      <w:r w:rsidR="00682C6D" w:rsidRPr="006571AC">
        <w:rPr>
          <w:rFonts w:hint="cs"/>
          <w:sz w:val="27"/>
          <w:rtl/>
          <w:lang w:bidi="ar-LB"/>
        </w:rPr>
        <w:t>؛</w:t>
      </w:r>
      <w:r w:rsidRPr="006571AC">
        <w:rPr>
          <w:rFonts w:hint="cs"/>
          <w:sz w:val="27"/>
          <w:rtl/>
          <w:lang w:bidi="ar-LB"/>
        </w:rPr>
        <w:t xml:space="preserve"> لأنهما من توابع العلم بالمصالح والمفاسد، ولا مصلحة ولا مفسدة على الفرض في البين، وهذا يعني أنّ الإباحة في مثل ذلك إباحة</w:t>
      </w:r>
      <w:r w:rsidR="00682C6D" w:rsidRPr="006571AC">
        <w:rPr>
          <w:rFonts w:hint="cs"/>
          <w:sz w:val="27"/>
          <w:rtl/>
          <w:lang w:bidi="ar-LB"/>
        </w:rPr>
        <w:t>ٌ</w:t>
      </w:r>
      <w:r w:rsidRPr="006571AC">
        <w:rPr>
          <w:rFonts w:hint="cs"/>
          <w:sz w:val="27"/>
          <w:rtl/>
          <w:lang w:bidi="ar-LB"/>
        </w:rPr>
        <w:t xml:space="preserve"> عقليّة ب</w:t>
      </w:r>
      <w:r w:rsidR="00682C6D" w:rsidRPr="006571AC">
        <w:rPr>
          <w:rFonts w:hint="cs"/>
          <w:sz w:val="27"/>
          <w:rtl/>
          <w:lang w:bidi="ar-LB"/>
        </w:rPr>
        <w:t>َ</w:t>
      </w:r>
      <w:r w:rsidRPr="006571AC">
        <w:rPr>
          <w:rFonts w:hint="cs"/>
          <w:sz w:val="27"/>
          <w:rtl/>
          <w:lang w:bidi="ar-LB"/>
        </w:rPr>
        <w:t>ح</w:t>
      </w:r>
      <w:r w:rsidR="00682C6D" w:rsidRPr="006571AC">
        <w:rPr>
          <w:rFonts w:hint="cs"/>
          <w:sz w:val="27"/>
          <w:rtl/>
          <w:lang w:bidi="ar-LB"/>
        </w:rPr>
        <w:t>ْ</w:t>
      </w:r>
      <w:r w:rsidRPr="006571AC">
        <w:rPr>
          <w:rFonts w:hint="cs"/>
          <w:sz w:val="27"/>
          <w:rtl/>
          <w:lang w:bidi="ar-LB"/>
        </w:rPr>
        <w:t xml:space="preserve">تة.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قال في (مناهج الأصول): </w:t>
      </w:r>
      <w:r w:rsidRPr="006571AC">
        <w:rPr>
          <w:rFonts w:hint="cs"/>
          <w:b/>
          <w:bCs/>
          <w:sz w:val="27"/>
          <w:rtl/>
          <w:lang w:bidi="ar-LB"/>
        </w:rPr>
        <w:t>وثانياً</w:t>
      </w:r>
      <w:r w:rsidRPr="006571AC">
        <w:rPr>
          <w:rFonts w:hint="cs"/>
          <w:sz w:val="27"/>
          <w:rtl/>
          <w:lang w:bidi="ar-LB"/>
        </w:rPr>
        <w:t>: لم يق</w:t>
      </w:r>
      <w:r w:rsidR="00682C6D" w:rsidRPr="006571AC">
        <w:rPr>
          <w:rFonts w:hint="cs"/>
          <w:sz w:val="27"/>
          <w:rtl/>
          <w:lang w:bidi="ar-LB"/>
        </w:rPr>
        <w:t>ُ</w:t>
      </w:r>
      <w:r w:rsidRPr="006571AC">
        <w:rPr>
          <w:rFonts w:hint="cs"/>
          <w:sz w:val="27"/>
          <w:rtl/>
          <w:lang w:bidi="ar-LB"/>
        </w:rPr>
        <w:t>م</w:t>
      </w:r>
      <w:r w:rsidR="00682C6D" w:rsidRPr="006571AC">
        <w:rPr>
          <w:rFonts w:hint="cs"/>
          <w:sz w:val="27"/>
          <w:rtl/>
          <w:lang w:bidi="ar-LB"/>
        </w:rPr>
        <w:t>ْ</w:t>
      </w:r>
      <w:r w:rsidRPr="006571AC">
        <w:rPr>
          <w:rFonts w:hint="cs"/>
          <w:sz w:val="27"/>
          <w:rtl/>
          <w:lang w:bidi="ar-LB"/>
        </w:rPr>
        <w:t xml:space="preserve"> دليل</w:t>
      </w:r>
      <w:r w:rsidR="00682C6D" w:rsidRPr="006571AC">
        <w:rPr>
          <w:rFonts w:hint="cs"/>
          <w:sz w:val="27"/>
          <w:rtl/>
          <w:lang w:bidi="ar-LB"/>
        </w:rPr>
        <w:t>ٌ</w:t>
      </w:r>
      <w:r w:rsidRPr="006571AC">
        <w:rPr>
          <w:rFonts w:hint="cs"/>
          <w:sz w:val="27"/>
          <w:rtl/>
          <w:lang w:bidi="ar-LB"/>
        </w:rPr>
        <w:t xml:space="preserve"> على ع</w:t>
      </w:r>
      <w:r w:rsidR="00682C6D" w:rsidRPr="006571AC">
        <w:rPr>
          <w:rFonts w:hint="cs"/>
          <w:sz w:val="27"/>
          <w:rtl/>
          <w:lang w:bidi="ar-LB"/>
        </w:rPr>
        <w:t>د</w:t>
      </w:r>
      <w:r w:rsidRPr="006571AC">
        <w:rPr>
          <w:rFonts w:hint="cs"/>
          <w:sz w:val="27"/>
          <w:rtl/>
          <w:lang w:bidi="ar-LB"/>
        </w:rPr>
        <w:t>م خلوّ الواقعة من الحكم، بل الدليل على خلافه؛ فإنّ الواقعة لو لم يكن لها اقتضاء</w:t>
      </w:r>
      <w:r w:rsidR="00682C6D" w:rsidRPr="006571AC">
        <w:rPr>
          <w:rFonts w:hint="cs"/>
          <w:sz w:val="27"/>
          <w:rtl/>
          <w:lang w:bidi="ar-LB"/>
        </w:rPr>
        <w:t>ٌ</w:t>
      </w:r>
      <w:r w:rsidRPr="006571AC">
        <w:rPr>
          <w:rFonts w:hint="cs"/>
          <w:sz w:val="27"/>
          <w:rtl/>
          <w:lang w:bidi="ar-LB"/>
        </w:rPr>
        <w:t xml:space="preserve"> أصلاً، ولم يكن لجعل الإباحة أيضاً مصلحة</w:t>
      </w:r>
      <w:r w:rsidR="00682C6D" w:rsidRPr="006571AC">
        <w:rPr>
          <w:rFonts w:hint="cs"/>
          <w:sz w:val="27"/>
          <w:rtl/>
          <w:lang w:bidi="ar-LB"/>
        </w:rPr>
        <w:t>ٌ</w:t>
      </w:r>
      <w:r w:rsidRPr="006571AC">
        <w:rPr>
          <w:rFonts w:hint="cs"/>
          <w:sz w:val="27"/>
          <w:rtl/>
          <w:lang w:bidi="ar-LB"/>
        </w:rPr>
        <w:t>، ف</w:t>
      </w:r>
      <w:r w:rsidR="00731867" w:rsidRPr="006571AC">
        <w:rPr>
          <w:rFonts w:hint="cs"/>
          <w:sz w:val="27"/>
          <w:rtl/>
          <w:lang w:bidi="ar-LB"/>
        </w:rPr>
        <w:t>لا بُدَّ</w:t>
      </w:r>
      <w:r w:rsidRPr="006571AC">
        <w:rPr>
          <w:rFonts w:hint="cs"/>
          <w:sz w:val="27"/>
          <w:rtl/>
          <w:lang w:bidi="ar-LB"/>
        </w:rPr>
        <w:t xml:space="preserve"> أن لا تكون محكومة</w:t>
      </w:r>
      <w:r w:rsidR="00CA5E73" w:rsidRPr="006571AC">
        <w:rPr>
          <w:rFonts w:hint="cs"/>
          <w:sz w:val="27"/>
          <w:rtl/>
          <w:lang w:bidi="ar-LB"/>
        </w:rPr>
        <w:t>ً</w:t>
      </w:r>
      <w:r w:rsidRPr="006571AC">
        <w:rPr>
          <w:rFonts w:hint="cs"/>
          <w:sz w:val="27"/>
          <w:rtl/>
          <w:lang w:bidi="ar-LB"/>
        </w:rPr>
        <w:t xml:space="preserve"> بحكم</w:t>
      </w:r>
      <w:r w:rsidR="00CA5E73" w:rsidRPr="006571AC">
        <w:rPr>
          <w:rFonts w:hint="cs"/>
          <w:sz w:val="27"/>
          <w:rtl/>
          <w:lang w:bidi="ar-LB"/>
        </w:rPr>
        <w:t>ٍ</w:t>
      </w:r>
      <w:r w:rsidRPr="006571AC">
        <w:rPr>
          <w:rFonts w:hint="cs"/>
          <w:sz w:val="27"/>
          <w:rtl/>
          <w:lang w:bidi="ar-LB"/>
        </w:rPr>
        <w:t xml:space="preserve">، </w:t>
      </w:r>
      <w:r w:rsidR="00CA5E73" w:rsidRPr="006571AC">
        <w:rPr>
          <w:rFonts w:hint="cs"/>
          <w:sz w:val="27"/>
          <w:rtl/>
          <w:lang w:bidi="ar-LB"/>
        </w:rPr>
        <w:t>والإ</w:t>
      </w:r>
      <w:r w:rsidRPr="006571AC">
        <w:rPr>
          <w:rFonts w:hint="cs"/>
          <w:sz w:val="27"/>
          <w:rtl/>
          <w:lang w:bidi="ar-LB"/>
        </w:rPr>
        <w:t>باحة العقلية غير الشرعيّة المد</w:t>
      </w:r>
      <w:r w:rsidR="00CA5E73" w:rsidRPr="006571AC">
        <w:rPr>
          <w:rFonts w:hint="cs"/>
          <w:sz w:val="27"/>
          <w:rtl/>
          <w:lang w:bidi="ar-LB"/>
        </w:rPr>
        <w:t>َّعاة...</w:t>
      </w:r>
      <w:r w:rsidRPr="006571AC">
        <w:rPr>
          <w:rFonts w:hint="cs"/>
          <w:sz w:val="27"/>
          <w:rtl/>
          <w:lang w:bidi="ar-LB"/>
        </w:rPr>
        <w:t>إلخ</w:t>
      </w:r>
      <w:r w:rsidRPr="006571AC">
        <w:rPr>
          <w:sz w:val="27"/>
          <w:vertAlign w:val="superscript"/>
          <w:rtl/>
          <w:lang w:bidi="ar-LB"/>
        </w:rPr>
        <w:t>(</w:t>
      </w:r>
      <w:r w:rsidRPr="006571AC">
        <w:rPr>
          <w:rStyle w:val="ac"/>
          <w:sz w:val="27"/>
          <w:rtl/>
          <w:lang w:bidi="ar-LB"/>
        </w:rPr>
        <w:endnoteReference w:id="628"/>
      </w:r>
      <w:r w:rsidRPr="006571AC">
        <w:rPr>
          <w:sz w:val="27"/>
          <w:vertAlign w:val="superscript"/>
          <w:rtl/>
          <w:lang w:bidi="ar-LB"/>
        </w:rPr>
        <w:t>)</w:t>
      </w:r>
      <w:r w:rsidRPr="006571AC">
        <w:rPr>
          <w:rFonts w:hint="cs"/>
          <w:sz w:val="27"/>
          <w:rtl/>
          <w:lang w:bidi="ar-LB"/>
        </w:rPr>
        <w:t xml:space="preserve">. </w:t>
      </w:r>
    </w:p>
    <w:p w:rsidR="00CA5E73" w:rsidRPr="006571AC" w:rsidRDefault="001F3F5A" w:rsidP="00697D96">
      <w:pPr>
        <w:tabs>
          <w:tab w:val="right" w:pos="6930"/>
        </w:tabs>
        <w:suppressAutoHyphens/>
        <w:rPr>
          <w:sz w:val="27"/>
          <w:rtl/>
          <w:lang w:bidi="ar-LB"/>
        </w:rPr>
      </w:pPr>
      <w:r w:rsidRPr="006571AC">
        <w:rPr>
          <w:rFonts w:hint="cs"/>
          <w:sz w:val="27"/>
          <w:rtl/>
          <w:lang w:bidi="ar-LB"/>
        </w:rPr>
        <w:t>والإنصاف أنّ افتراض كون الفعل خالياً من أيّ ملاك</w:t>
      </w:r>
      <w:r w:rsidR="00CA5E73" w:rsidRPr="006571AC">
        <w:rPr>
          <w:rFonts w:hint="cs"/>
          <w:sz w:val="27"/>
          <w:rtl/>
          <w:lang w:bidi="ar-LB"/>
        </w:rPr>
        <w:t>ٍ</w:t>
      </w:r>
      <w:r w:rsidRPr="006571AC">
        <w:rPr>
          <w:rFonts w:hint="cs"/>
          <w:sz w:val="27"/>
          <w:rtl/>
          <w:lang w:bidi="ar-LB"/>
        </w:rPr>
        <w:t xml:space="preserve"> يدعو الى البعث والزجر، ولو بالعناوين الثانوية الطارئة</w:t>
      </w:r>
      <w:r w:rsidR="00CA5E73" w:rsidRPr="006571AC">
        <w:rPr>
          <w:rFonts w:hint="cs"/>
          <w:sz w:val="27"/>
          <w:rtl/>
          <w:lang w:bidi="ar-LB"/>
        </w:rPr>
        <w:t xml:space="preserve">، </w:t>
      </w:r>
      <w:r w:rsidRPr="006571AC">
        <w:rPr>
          <w:rFonts w:hint="cs"/>
          <w:sz w:val="27"/>
          <w:rtl/>
          <w:lang w:bidi="ar-LB"/>
        </w:rPr>
        <w:t>بعيد</w:t>
      </w:r>
      <w:r w:rsidR="00CA5E73" w:rsidRPr="006571AC">
        <w:rPr>
          <w:rFonts w:hint="cs"/>
          <w:sz w:val="27"/>
          <w:rtl/>
          <w:lang w:bidi="ar-LB"/>
        </w:rPr>
        <w:t xml:space="preserve">ٌ </w:t>
      </w:r>
      <w:r w:rsidRPr="006571AC">
        <w:rPr>
          <w:rFonts w:hint="cs"/>
          <w:sz w:val="27"/>
          <w:rtl/>
          <w:lang w:bidi="ar-LB"/>
        </w:rPr>
        <w:t>جد</w:t>
      </w:r>
      <w:r w:rsidR="00CA5E73" w:rsidRPr="006571AC">
        <w:rPr>
          <w:rFonts w:hint="cs"/>
          <w:sz w:val="27"/>
          <w:rtl/>
          <w:lang w:bidi="ar-LB"/>
        </w:rPr>
        <w:t>ّ</w:t>
      </w:r>
      <w:r w:rsidRPr="006571AC">
        <w:rPr>
          <w:rFonts w:hint="cs"/>
          <w:sz w:val="27"/>
          <w:rtl/>
          <w:lang w:bidi="ar-LB"/>
        </w:rPr>
        <w:t>اً، كما عر</w:t>
      </w:r>
      <w:r w:rsidR="00CA5E73" w:rsidRPr="006571AC">
        <w:rPr>
          <w:rFonts w:hint="cs"/>
          <w:sz w:val="27"/>
          <w:rtl/>
          <w:lang w:bidi="ar-LB"/>
        </w:rPr>
        <w:t>َ</w:t>
      </w:r>
      <w:r w:rsidRPr="006571AC">
        <w:rPr>
          <w:rFonts w:hint="cs"/>
          <w:sz w:val="27"/>
          <w:rtl/>
          <w:lang w:bidi="ar-LB"/>
        </w:rPr>
        <w:t>ف</w:t>
      </w:r>
      <w:r w:rsidR="00CA5E73" w:rsidRPr="006571AC">
        <w:rPr>
          <w:rFonts w:hint="cs"/>
          <w:sz w:val="27"/>
          <w:rtl/>
          <w:lang w:bidi="ar-LB"/>
        </w:rPr>
        <w:t>ْ</w:t>
      </w:r>
      <w:r w:rsidRPr="006571AC">
        <w:rPr>
          <w:rFonts w:hint="cs"/>
          <w:sz w:val="27"/>
          <w:rtl/>
          <w:lang w:bidi="ar-LB"/>
        </w:rPr>
        <w:t>نا مثلَ ذلك في الح</w:t>
      </w:r>
      <w:r w:rsidR="00CA5E73" w:rsidRPr="006571AC">
        <w:rPr>
          <w:rFonts w:hint="cs"/>
          <w:sz w:val="27"/>
          <w:rtl/>
          <w:lang w:bidi="ar-LB"/>
        </w:rPr>
        <w:t>ُ</w:t>
      </w:r>
      <w:r w:rsidRPr="006571AC">
        <w:rPr>
          <w:rFonts w:hint="cs"/>
          <w:sz w:val="27"/>
          <w:rtl/>
          <w:lang w:bidi="ar-LB"/>
        </w:rPr>
        <w:t>س</w:t>
      </w:r>
      <w:r w:rsidR="00CA5E73" w:rsidRPr="006571AC">
        <w:rPr>
          <w:rFonts w:hint="cs"/>
          <w:sz w:val="27"/>
          <w:rtl/>
          <w:lang w:bidi="ar-LB"/>
        </w:rPr>
        <w:t>ْ</w:t>
      </w:r>
      <w:r w:rsidRPr="006571AC">
        <w:rPr>
          <w:rFonts w:hint="cs"/>
          <w:sz w:val="27"/>
          <w:rtl/>
          <w:lang w:bidi="ar-LB"/>
        </w:rPr>
        <w:t>ن والق</w:t>
      </w:r>
      <w:r w:rsidR="00CA5E73" w:rsidRPr="006571AC">
        <w:rPr>
          <w:rFonts w:hint="cs"/>
          <w:sz w:val="27"/>
          <w:rtl/>
          <w:lang w:bidi="ar-LB"/>
        </w:rPr>
        <w:t>ُ</w:t>
      </w:r>
      <w:r w:rsidRPr="006571AC">
        <w:rPr>
          <w:rFonts w:hint="cs"/>
          <w:sz w:val="27"/>
          <w:rtl/>
          <w:lang w:bidi="ar-LB"/>
        </w:rPr>
        <w:t>ب</w:t>
      </w:r>
      <w:r w:rsidR="00CA5E73" w:rsidRPr="006571AC">
        <w:rPr>
          <w:rFonts w:hint="cs"/>
          <w:sz w:val="27"/>
          <w:rtl/>
          <w:lang w:bidi="ar-LB"/>
        </w:rPr>
        <w:t>ْ</w:t>
      </w:r>
      <w:r w:rsidRPr="006571AC">
        <w:rPr>
          <w:rFonts w:hint="cs"/>
          <w:sz w:val="27"/>
          <w:rtl/>
          <w:lang w:bidi="ar-LB"/>
        </w:rPr>
        <w:t xml:space="preserve">ح، وهذا مما يؤدّي </w:t>
      </w:r>
      <w:r w:rsidR="00697D96" w:rsidRPr="006571AC">
        <w:rPr>
          <w:rFonts w:hint="cs"/>
          <w:sz w:val="27"/>
          <w:rtl/>
          <w:lang w:bidi="ar-LB"/>
        </w:rPr>
        <w:t>إ</w:t>
      </w:r>
      <w:r w:rsidRPr="006571AC">
        <w:rPr>
          <w:rFonts w:hint="cs"/>
          <w:sz w:val="27"/>
          <w:rtl/>
          <w:lang w:bidi="ar-LB"/>
        </w:rPr>
        <w:t xml:space="preserve">لى الاطمئنان بأنّ الفعل </w:t>
      </w:r>
      <w:r w:rsidRPr="006571AC">
        <w:rPr>
          <w:sz w:val="27"/>
          <w:rtl/>
          <w:lang w:bidi="ar-LB"/>
        </w:rPr>
        <w:t xml:space="preserve">ـ </w:t>
      </w:r>
      <w:r w:rsidRPr="006571AC">
        <w:rPr>
          <w:rFonts w:hint="cs"/>
          <w:sz w:val="27"/>
          <w:rtl/>
          <w:lang w:bidi="ar-LB"/>
        </w:rPr>
        <w:t>أيّ فعل</w:t>
      </w:r>
      <w:r w:rsidR="00CA5E73" w:rsidRPr="006571AC">
        <w:rPr>
          <w:rFonts w:hint="cs"/>
          <w:sz w:val="27"/>
          <w:rtl/>
          <w:lang w:bidi="ar-LB"/>
        </w:rPr>
        <w:t>ٍ</w:t>
      </w:r>
      <w:r w:rsidRPr="006571AC">
        <w:rPr>
          <w:rFonts w:hint="cs"/>
          <w:sz w:val="27"/>
          <w:rtl/>
          <w:lang w:bidi="ar-LB"/>
        </w:rPr>
        <w:t xml:space="preserve"> </w:t>
      </w:r>
      <w:r w:rsidRPr="006571AC">
        <w:rPr>
          <w:sz w:val="27"/>
          <w:rtl/>
          <w:lang w:bidi="ar-LB"/>
        </w:rPr>
        <w:t xml:space="preserve">ـ </w:t>
      </w:r>
      <w:r w:rsidRPr="006571AC">
        <w:rPr>
          <w:rFonts w:hint="cs"/>
          <w:sz w:val="27"/>
          <w:rtl/>
          <w:lang w:bidi="ar-LB"/>
        </w:rPr>
        <w:t>لا يخلو إما أن يكون ذا مصلحة</w:t>
      </w:r>
      <w:r w:rsidR="00CA5E73" w:rsidRPr="006571AC">
        <w:rPr>
          <w:rFonts w:hint="cs"/>
          <w:sz w:val="27"/>
          <w:rtl/>
          <w:lang w:bidi="ar-LB"/>
        </w:rPr>
        <w:t>؛</w:t>
      </w:r>
      <w:r w:rsidRPr="006571AC">
        <w:rPr>
          <w:rFonts w:hint="cs"/>
          <w:sz w:val="27"/>
          <w:rtl/>
          <w:lang w:bidi="ar-LB"/>
        </w:rPr>
        <w:t xml:space="preserve"> أو ذا مفسدة، إما بنفسه أو بالعناوين العَرَضيّة الثانوية</w:t>
      </w:r>
      <w:r w:rsidR="00CA5E73" w:rsidRPr="006571AC">
        <w:rPr>
          <w:rFonts w:hint="cs"/>
          <w:sz w:val="27"/>
          <w:rtl/>
          <w:lang w:bidi="ar-LB"/>
        </w:rPr>
        <w:t>،</w:t>
      </w:r>
      <w:r w:rsidRPr="006571AC">
        <w:rPr>
          <w:rFonts w:hint="cs"/>
          <w:sz w:val="27"/>
          <w:rtl/>
          <w:lang w:bidi="ar-LB"/>
        </w:rPr>
        <w:t xml:space="preserve"> كما يشهد به الوجدان</w:t>
      </w:r>
      <w:r w:rsidR="00CA5E73" w:rsidRPr="006571AC">
        <w:rPr>
          <w:rFonts w:hint="cs"/>
          <w:sz w:val="27"/>
          <w:rtl/>
          <w:lang w:bidi="ar-LB"/>
        </w:rPr>
        <w:t>.</w:t>
      </w:r>
    </w:p>
    <w:p w:rsidR="001F3F5A" w:rsidRPr="006571AC" w:rsidRDefault="00CA5E73" w:rsidP="00697D96">
      <w:pPr>
        <w:tabs>
          <w:tab w:val="right" w:pos="6930"/>
        </w:tabs>
        <w:suppressAutoHyphens/>
        <w:rPr>
          <w:sz w:val="27"/>
          <w:rtl/>
          <w:lang w:bidi="ar-LB"/>
        </w:rPr>
      </w:pPr>
      <w:r w:rsidRPr="006571AC">
        <w:rPr>
          <w:rFonts w:hint="cs"/>
          <w:sz w:val="27"/>
          <w:rtl/>
          <w:lang w:bidi="ar-LB"/>
        </w:rPr>
        <w:t>إلاّ أنّ</w:t>
      </w:r>
      <w:r w:rsidR="001F3F5A" w:rsidRPr="006571AC">
        <w:rPr>
          <w:rFonts w:hint="cs"/>
          <w:sz w:val="27"/>
          <w:rtl/>
          <w:lang w:bidi="ar-LB"/>
        </w:rPr>
        <w:t xml:space="preserve"> هذا المقدار من البيان قد لا يكفي لإثبات القاعدة إثباتاً علمياً كل</w:t>
      </w:r>
      <w:r w:rsidRPr="006571AC">
        <w:rPr>
          <w:rFonts w:hint="cs"/>
          <w:sz w:val="27"/>
          <w:rtl/>
          <w:lang w:bidi="ar-LB"/>
        </w:rPr>
        <w:t>ِّ</w:t>
      </w:r>
      <w:r w:rsidR="001F3F5A" w:rsidRPr="006571AC">
        <w:rPr>
          <w:rFonts w:hint="cs"/>
          <w:sz w:val="27"/>
          <w:rtl/>
          <w:lang w:bidi="ar-LB"/>
        </w:rPr>
        <w:t xml:space="preserve">ياً مبرهناً، فنقول </w:t>
      </w:r>
      <w:r w:rsidR="00697D96" w:rsidRPr="006571AC">
        <w:rPr>
          <w:rFonts w:hint="cs"/>
          <w:sz w:val="27"/>
          <w:rtl/>
          <w:lang w:bidi="ar-LB"/>
        </w:rPr>
        <w:t xml:space="preserve">في </w:t>
      </w:r>
      <w:r w:rsidR="001F3F5A" w:rsidRPr="006571AC">
        <w:rPr>
          <w:rFonts w:hint="cs"/>
          <w:sz w:val="27"/>
          <w:rtl/>
          <w:lang w:bidi="ar-LB"/>
        </w:rPr>
        <w:t xml:space="preserve">هذا الصدد: </w:t>
      </w:r>
      <w:r w:rsidRPr="006571AC">
        <w:rPr>
          <w:rFonts w:hint="cs"/>
          <w:sz w:val="27"/>
          <w:rtl/>
          <w:lang w:bidi="ar-LB"/>
        </w:rPr>
        <w:t>إنّ</w:t>
      </w:r>
      <w:r w:rsidR="001F3F5A" w:rsidRPr="006571AC">
        <w:rPr>
          <w:rFonts w:hint="cs"/>
          <w:sz w:val="27"/>
          <w:rtl/>
          <w:lang w:bidi="ar-LB"/>
        </w:rPr>
        <w:t xml:space="preserve"> الجواب على ذلك يرتبط بما يتخذ من موقف</w:t>
      </w:r>
      <w:r w:rsidRPr="006571AC">
        <w:rPr>
          <w:rFonts w:hint="cs"/>
          <w:sz w:val="27"/>
          <w:rtl/>
          <w:lang w:bidi="ar-LB"/>
        </w:rPr>
        <w:t>ٍ</w:t>
      </w:r>
      <w:r w:rsidR="001F3F5A" w:rsidRPr="006571AC">
        <w:rPr>
          <w:rFonts w:hint="cs"/>
          <w:sz w:val="27"/>
          <w:rtl/>
          <w:lang w:bidi="ar-LB"/>
        </w:rPr>
        <w:t xml:space="preserve"> في تفسير حقيقة الإباحة كحكم</w:t>
      </w:r>
      <w:r w:rsidRPr="006571AC">
        <w:rPr>
          <w:rFonts w:hint="cs"/>
          <w:sz w:val="27"/>
          <w:rtl/>
          <w:lang w:bidi="ar-LB"/>
        </w:rPr>
        <w:t>ٍ</w:t>
      </w:r>
      <w:r w:rsidR="001F3F5A" w:rsidRPr="006571AC">
        <w:rPr>
          <w:rFonts w:hint="cs"/>
          <w:sz w:val="27"/>
          <w:rtl/>
          <w:lang w:bidi="ar-LB"/>
        </w:rPr>
        <w:t xml:space="preserve"> شرعيّ وما يسبقها من ملاك</w:t>
      </w:r>
      <w:r w:rsidRPr="006571AC">
        <w:rPr>
          <w:rFonts w:hint="cs"/>
          <w:sz w:val="27"/>
          <w:rtl/>
          <w:lang w:bidi="ar-LB"/>
        </w:rPr>
        <w:t>ٍ</w:t>
      </w:r>
      <w:r w:rsidR="001F3F5A" w:rsidRPr="006571AC">
        <w:rPr>
          <w:rFonts w:hint="cs"/>
          <w:sz w:val="27"/>
          <w:rtl/>
          <w:lang w:bidi="ar-LB"/>
        </w:rPr>
        <w:t xml:space="preserve"> وإرادة، ويستصعب الأمر فيها إذا قيست الى أخواتها</w:t>
      </w:r>
      <w:r w:rsidRPr="006571AC">
        <w:rPr>
          <w:rFonts w:hint="cs"/>
          <w:sz w:val="27"/>
          <w:rtl/>
          <w:lang w:bidi="ar-LB"/>
        </w:rPr>
        <w:t>،</w:t>
      </w:r>
      <w:r w:rsidR="001F3F5A" w:rsidRPr="006571AC">
        <w:rPr>
          <w:rFonts w:hint="cs"/>
          <w:sz w:val="27"/>
          <w:rtl/>
          <w:lang w:bidi="ar-LB"/>
        </w:rPr>
        <w:t xml:space="preserve"> كالوجوب والحرمة</w:t>
      </w:r>
      <w:r w:rsidRPr="006571AC">
        <w:rPr>
          <w:rFonts w:hint="cs"/>
          <w:sz w:val="27"/>
          <w:rtl/>
          <w:lang w:bidi="ar-LB"/>
        </w:rPr>
        <w:t>؛</w:t>
      </w:r>
      <w:r w:rsidR="001F3F5A" w:rsidRPr="006571AC">
        <w:rPr>
          <w:rFonts w:hint="cs"/>
          <w:sz w:val="27"/>
          <w:rtl/>
          <w:lang w:bidi="ar-LB"/>
        </w:rPr>
        <w:t xml:space="preserve"> حيث </w:t>
      </w:r>
      <w:r w:rsidRPr="006571AC">
        <w:rPr>
          <w:rFonts w:hint="cs"/>
          <w:sz w:val="27"/>
          <w:rtl/>
          <w:lang w:bidi="ar-LB"/>
        </w:rPr>
        <w:t>إ</w:t>
      </w:r>
      <w:r w:rsidR="001F3F5A" w:rsidRPr="006571AC">
        <w:rPr>
          <w:rFonts w:hint="cs"/>
          <w:sz w:val="27"/>
          <w:rtl/>
          <w:lang w:bidi="ar-LB"/>
        </w:rPr>
        <w:t>نها أحكام</w:t>
      </w:r>
      <w:r w:rsidRPr="006571AC">
        <w:rPr>
          <w:rFonts w:hint="cs"/>
          <w:sz w:val="27"/>
          <w:rtl/>
          <w:lang w:bidi="ar-LB"/>
        </w:rPr>
        <w:t>ٌ</w:t>
      </w:r>
      <w:r w:rsidR="001F3F5A" w:rsidRPr="006571AC">
        <w:rPr>
          <w:rFonts w:hint="cs"/>
          <w:sz w:val="27"/>
          <w:rtl/>
          <w:lang w:bidi="ar-LB"/>
        </w:rPr>
        <w:t xml:space="preserve"> تتعل</w:t>
      </w:r>
      <w:r w:rsidRPr="006571AC">
        <w:rPr>
          <w:rFonts w:hint="cs"/>
          <w:sz w:val="27"/>
          <w:rtl/>
          <w:lang w:bidi="ar-LB"/>
        </w:rPr>
        <w:t>َّ</w:t>
      </w:r>
      <w:r w:rsidR="001F3F5A" w:rsidRPr="006571AC">
        <w:rPr>
          <w:rFonts w:hint="cs"/>
          <w:sz w:val="27"/>
          <w:rtl/>
          <w:lang w:bidi="ar-LB"/>
        </w:rPr>
        <w:t>ق بالأفعال أو التروك في المراحل الثلاث، أعني: الملاك والإرادة والإنشاء، بمعنى أنّ الملاك في الوجوب مثلاً منصبّ</w:t>
      </w:r>
      <w:r w:rsidRPr="006571AC">
        <w:rPr>
          <w:rFonts w:hint="cs"/>
          <w:sz w:val="27"/>
          <w:rtl/>
          <w:lang w:bidi="ar-LB"/>
        </w:rPr>
        <w:t>ٌ</w:t>
      </w:r>
      <w:r w:rsidR="001F3F5A" w:rsidRPr="006571AC">
        <w:rPr>
          <w:rFonts w:hint="cs"/>
          <w:sz w:val="27"/>
          <w:rtl/>
          <w:lang w:bidi="ar-LB"/>
        </w:rPr>
        <w:t xml:space="preserve"> على الفعل، كما أنّ الشوق والإنشاء منصبّان عليه أيضاً، وهذا </w:t>
      </w:r>
      <w:r w:rsidR="001F3F5A" w:rsidRPr="006571AC">
        <w:rPr>
          <w:rFonts w:hint="cs"/>
          <w:sz w:val="27"/>
          <w:rtl/>
          <w:lang w:bidi="ar-LB"/>
        </w:rPr>
        <w:lastRenderedPageBreak/>
        <w:t xml:space="preserve">بخلاف الإباحة؛ إذ المفروض أنّ متعلق الإنشاء فيها ليس متعلّقاً </w:t>
      </w:r>
      <w:r w:rsidR="00B109DA" w:rsidRPr="006571AC">
        <w:rPr>
          <w:rFonts w:hint="cs"/>
          <w:sz w:val="27"/>
          <w:rtl/>
          <w:lang w:bidi="ar-LB"/>
        </w:rPr>
        <w:t>ل</w:t>
      </w:r>
      <w:r w:rsidR="001F3F5A" w:rsidRPr="006571AC">
        <w:rPr>
          <w:rFonts w:hint="cs"/>
          <w:sz w:val="27"/>
          <w:rtl/>
          <w:lang w:bidi="ar-LB"/>
        </w:rPr>
        <w:t xml:space="preserve">لملاك والإرادة. </w:t>
      </w:r>
    </w:p>
    <w:p w:rsidR="001F3F5A" w:rsidRPr="006571AC" w:rsidRDefault="00B109DA" w:rsidP="002A2E03">
      <w:pPr>
        <w:tabs>
          <w:tab w:val="right" w:pos="6930"/>
        </w:tabs>
        <w:suppressAutoHyphens/>
        <w:rPr>
          <w:sz w:val="27"/>
          <w:rtl/>
          <w:lang w:bidi="ar-LB"/>
        </w:rPr>
      </w:pPr>
      <w:r w:rsidRPr="006571AC">
        <w:rPr>
          <w:rFonts w:hint="cs"/>
          <w:sz w:val="27"/>
          <w:rtl/>
          <w:lang w:bidi="ar-LB"/>
        </w:rPr>
        <w:t>فهل الإ</w:t>
      </w:r>
      <w:r w:rsidR="001F3F5A" w:rsidRPr="006571AC">
        <w:rPr>
          <w:rFonts w:hint="cs"/>
          <w:sz w:val="27"/>
          <w:rtl/>
          <w:lang w:bidi="ar-LB"/>
        </w:rPr>
        <w:t>باحة غير مسبوقة</w:t>
      </w:r>
      <w:r w:rsidRPr="006571AC">
        <w:rPr>
          <w:rFonts w:hint="cs"/>
          <w:sz w:val="27"/>
          <w:rtl/>
          <w:lang w:bidi="ar-LB"/>
        </w:rPr>
        <w:t>ٍ</w:t>
      </w:r>
      <w:r w:rsidR="001F3F5A" w:rsidRPr="006571AC">
        <w:rPr>
          <w:rFonts w:hint="cs"/>
          <w:sz w:val="27"/>
          <w:rtl/>
          <w:lang w:bidi="ar-LB"/>
        </w:rPr>
        <w:t xml:space="preserve"> بشيء</w:t>
      </w:r>
      <w:r w:rsidRPr="006571AC">
        <w:rPr>
          <w:rFonts w:hint="cs"/>
          <w:sz w:val="27"/>
          <w:rtl/>
          <w:lang w:bidi="ar-LB"/>
        </w:rPr>
        <w:t>ٍ</w:t>
      </w:r>
      <w:r w:rsidR="001F3F5A" w:rsidRPr="006571AC">
        <w:rPr>
          <w:rFonts w:hint="cs"/>
          <w:sz w:val="27"/>
          <w:rtl/>
          <w:lang w:bidi="ar-LB"/>
        </w:rPr>
        <w:t xml:space="preserve"> منهما؟ وكيف ذلك، بعد افتراض تبعيّة الأحكام للمصالح والمفاسد؟</w:t>
      </w:r>
      <w:r w:rsidR="00697D96" w:rsidRPr="006571AC">
        <w:rPr>
          <w:rFonts w:hint="cs"/>
          <w:sz w:val="27"/>
          <w:rtl/>
          <w:lang w:bidi="ar-LB"/>
        </w:rPr>
        <w:t>!</w:t>
      </w:r>
      <w:r w:rsidR="001F3F5A" w:rsidRPr="006571AC">
        <w:rPr>
          <w:rFonts w:hint="cs"/>
          <w:sz w:val="27"/>
          <w:rtl/>
          <w:lang w:bidi="ar-LB"/>
        </w:rPr>
        <w:t xml:space="preserve"> أو أنّ الملاك والإرادة فيها منصبّان على شيء</w:t>
      </w:r>
      <w:r w:rsidRPr="006571AC">
        <w:rPr>
          <w:rFonts w:hint="cs"/>
          <w:sz w:val="27"/>
          <w:rtl/>
          <w:lang w:bidi="ar-LB"/>
        </w:rPr>
        <w:t>ٍ</w:t>
      </w:r>
      <w:r w:rsidR="001F3F5A" w:rsidRPr="006571AC">
        <w:rPr>
          <w:rFonts w:hint="cs"/>
          <w:sz w:val="27"/>
          <w:rtl/>
          <w:lang w:bidi="ar-LB"/>
        </w:rPr>
        <w:t xml:space="preserve"> آخر غير متعل</w:t>
      </w:r>
      <w:r w:rsidRPr="006571AC">
        <w:rPr>
          <w:rFonts w:hint="cs"/>
          <w:sz w:val="27"/>
          <w:rtl/>
          <w:lang w:bidi="ar-LB"/>
        </w:rPr>
        <w:t>ّ</w:t>
      </w:r>
      <w:r w:rsidR="001F3F5A" w:rsidRPr="006571AC">
        <w:rPr>
          <w:rFonts w:hint="cs"/>
          <w:sz w:val="27"/>
          <w:rtl/>
          <w:lang w:bidi="ar-LB"/>
        </w:rPr>
        <w:t xml:space="preserve">ق الإنشاء؟ وما هو ذاك الشيء؟ </w:t>
      </w:r>
    </w:p>
    <w:p w:rsidR="001F3F5A" w:rsidRPr="006571AC" w:rsidRDefault="001F3F5A" w:rsidP="002A2E03">
      <w:pPr>
        <w:tabs>
          <w:tab w:val="right" w:pos="6930"/>
        </w:tabs>
        <w:suppressAutoHyphens/>
        <w:rPr>
          <w:sz w:val="27"/>
          <w:rtl/>
          <w:lang w:bidi="ar-LB"/>
        </w:rPr>
      </w:pPr>
      <w:r w:rsidRPr="006571AC">
        <w:rPr>
          <w:rFonts w:hint="cs"/>
          <w:sz w:val="27"/>
          <w:rtl/>
          <w:lang w:bidi="ar-LB"/>
        </w:rPr>
        <w:t>وقد عرفنا في الأبحاث المتقد</w:t>
      </w:r>
      <w:r w:rsidR="00B109DA" w:rsidRPr="006571AC">
        <w:rPr>
          <w:rFonts w:hint="cs"/>
          <w:sz w:val="27"/>
          <w:rtl/>
          <w:lang w:bidi="ar-LB"/>
        </w:rPr>
        <w:t>ّ</w:t>
      </w:r>
      <w:r w:rsidRPr="006571AC">
        <w:rPr>
          <w:rFonts w:hint="cs"/>
          <w:sz w:val="27"/>
          <w:rtl/>
          <w:lang w:bidi="ar-LB"/>
        </w:rPr>
        <w:t>مة أنّ هذه الصعوبة قد أدّ</w:t>
      </w:r>
      <w:r w:rsidR="00B109DA" w:rsidRPr="006571AC">
        <w:rPr>
          <w:rFonts w:hint="cs"/>
          <w:sz w:val="27"/>
          <w:rtl/>
          <w:lang w:bidi="ar-LB"/>
        </w:rPr>
        <w:t>َ</w:t>
      </w:r>
      <w:r w:rsidRPr="006571AC">
        <w:rPr>
          <w:rFonts w:hint="cs"/>
          <w:sz w:val="27"/>
          <w:rtl/>
          <w:lang w:bidi="ar-LB"/>
        </w:rPr>
        <w:t>ت</w:t>
      </w:r>
      <w:r w:rsidR="00B109DA" w:rsidRPr="006571AC">
        <w:rPr>
          <w:rFonts w:hint="cs"/>
          <w:sz w:val="27"/>
          <w:rtl/>
          <w:lang w:bidi="ar-LB"/>
        </w:rPr>
        <w:t>ْ</w:t>
      </w:r>
      <w:r w:rsidRPr="006571AC">
        <w:rPr>
          <w:rFonts w:hint="cs"/>
          <w:sz w:val="27"/>
          <w:rtl/>
          <w:lang w:bidi="ar-LB"/>
        </w:rPr>
        <w:t xml:space="preserve"> ببعض المحق</w:t>
      </w:r>
      <w:r w:rsidR="00B109DA" w:rsidRPr="006571AC">
        <w:rPr>
          <w:rFonts w:hint="cs"/>
          <w:sz w:val="27"/>
          <w:rtl/>
          <w:lang w:bidi="ar-LB"/>
        </w:rPr>
        <w:t>ِّ</w:t>
      </w:r>
      <w:r w:rsidRPr="006571AC">
        <w:rPr>
          <w:rFonts w:hint="cs"/>
          <w:sz w:val="27"/>
          <w:rtl/>
          <w:lang w:bidi="ar-LB"/>
        </w:rPr>
        <w:t xml:space="preserve">قين </w:t>
      </w:r>
      <w:r w:rsidR="00B109DA" w:rsidRPr="006571AC">
        <w:rPr>
          <w:rFonts w:hint="cs"/>
          <w:sz w:val="27"/>
          <w:rtl/>
          <w:lang w:bidi="ar-LB"/>
        </w:rPr>
        <w:t>إ</w:t>
      </w:r>
      <w:r w:rsidRPr="006571AC">
        <w:rPr>
          <w:rFonts w:hint="cs"/>
          <w:sz w:val="27"/>
          <w:rtl/>
          <w:lang w:bidi="ar-LB"/>
        </w:rPr>
        <w:t xml:space="preserve">لى القول: </w:t>
      </w:r>
      <w:r w:rsidR="00B109DA" w:rsidRPr="006571AC">
        <w:rPr>
          <w:rFonts w:hint="cs"/>
          <w:sz w:val="27"/>
          <w:rtl/>
          <w:lang w:bidi="ar-LB"/>
        </w:rPr>
        <w:t>إنّ الملاك في الإ</w:t>
      </w:r>
      <w:r w:rsidRPr="006571AC">
        <w:rPr>
          <w:rFonts w:hint="cs"/>
          <w:sz w:val="27"/>
          <w:rtl/>
          <w:lang w:bidi="ar-LB"/>
        </w:rPr>
        <w:t>باحة قائم</w:t>
      </w:r>
      <w:r w:rsidR="00B109DA" w:rsidRPr="006571AC">
        <w:rPr>
          <w:rFonts w:hint="cs"/>
          <w:sz w:val="27"/>
          <w:rtl/>
          <w:lang w:bidi="ar-LB"/>
        </w:rPr>
        <w:t>ٌ</w:t>
      </w:r>
      <w:r w:rsidRPr="006571AC">
        <w:rPr>
          <w:rFonts w:hint="cs"/>
          <w:sz w:val="27"/>
          <w:rtl/>
          <w:lang w:bidi="ar-LB"/>
        </w:rPr>
        <w:t xml:space="preserve"> بنفس الجعل</w:t>
      </w:r>
      <w:r w:rsidR="00B109DA" w:rsidRPr="006571AC">
        <w:rPr>
          <w:rFonts w:hint="cs"/>
          <w:sz w:val="27"/>
          <w:rtl/>
          <w:lang w:bidi="ar-LB"/>
        </w:rPr>
        <w:t>.</w:t>
      </w:r>
      <w:r w:rsidRPr="006571AC">
        <w:rPr>
          <w:rFonts w:hint="cs"/>
          <w:sz w:val="27"/>
          <w:rtl/>
          <w:lang w:bidi="ar-LB"/>
        </w:rPr>
        <w:t xml:space="preserve"> كما عرفنا هناك أيضاً ما يوهن هذا ال</w:t>
      </w:r>
      <w:r w:rsidR="00B109DA" w:rsidRPr="006571AC">
        <w:rPr>
          <w:rFonts w:hint="cs"/>
          <w:sz w:val="27"/>
          <w:rtl/>
          <w:lang w:bidi="ar-LB"/>
        </w:rPr>
        <w:t>ا</w:t>
      </w:r>
      <w:r w:rsidRPr="006571AC">
        <w:rPr>
          <w:rFonts w:hint="cs"/>
          <w:sz w:val="27"/>
          <w:rtl/>
          <w:lang w:bidi="ar-LB"/>
        </w:rPr>
        <w:t>تجاه</w:t>
      </w:r>
      <w:r w:rsidR="00B109DA" w:rsidRPr="006571AC">
        <w:rPr>
          <w:rFonts w:hint="cs"/>
          <w:sz w:val="27"/>
          <w:rtl/>
          <w:lang w:bidi="ar-LB"/>
        </w:rPr>
        <w:t>،</w:t>
      </w:r>
      <w:r w:rsidRPr="006571AC">
        <w:rPr>
          <w:rFonts w:hint="cs"/>
          <w:sz w:val="27"/>
          <w:rtl/>
          <w:lang w:bidi="ar-LB"/>
        </w:rPr>
        <w:t xml:space="preserve"> بحيث يحتّ</w:t>
      </w:r>
      <w:r w:rsidR="00B109DA" w:rsidRPr="006571AC">
        <w:rPr>
          <w:rFonts w:hint="cs"/>
          <w:sz w:val="27"/>
          <w:rtl/>
          <w:lang w:bidi="ar-LB"/>
        </w:rPr>
        <w:t>ِ</w:t>
      </w:r>
      <w:r w:rsidRPr="006571AC">
        <w:rPr>
          <w:rFonts w:hint="cs"/>
          <w:sz w:val="27"/>
          <w:rtl/>
          <w:lang w:bidi="ar-LB"/>
        </w:rPr>
        <w:t>م علينا أن نحملها على الس</w:t>
      </w:r>
      <w:r w:rsidR="00B109DA" w:rsidRPr="006571AC">
        <w:rPr>
          <w:rFonts w:hint="cs"/>
          <w:sz w:val="27"/>
          <w:rtl/>
          <w:lang w:bidi="ar-LB"/>
        </w:rPr>
        <w:t>َّ</w:t>
      </w:r>
      <w:r w:rsidRPr="006571AC">
        <w:rPr>
          <w:rFonts w:hint="cs"/>
          <w:sz w:val="27"/>
          <w:rtl/>
          <w:lang w:bidi="ar-LB"/>
        </w:rPr>
        <w:t>ه</w:t>
      </w:r>
      <w:r w:rsidR="00B109DA" w:rsidRPr="006571AC">
        <w:rPr>
          <w:rFonts w:hint="cs"/>
          <w:sz w:val="27"/>
          <w:rtl/>
          <w:lang w:bidi="ar-LB"/>
        </w:rPr>
        <w:t>ْ</w:t>
      </w:r>
      <w:r w:rsidRPr="006571AC">
        <w:rPr>
          <w:rFonts w:hint="cs"/>
          <w:sz w:val="27"/>
          <w:rtl/>
          <w:lang w:bidi="ar-LB"/>
        </w:rPr>
        <w:t>و والمسامحة؛ بداهة أنّه لو كان الملاك قائماً بنفس الجعل كان معناه السقوط بنفس الثبوت</w:t>
      </w:r>
      <w:r w:rsidR="00B109DA" w:rsidRPr="006571AC">
        <w:rPr>
          <w:rFonts w:hint="cs"/>
          <w:sz w:val="27"/>
          <w:rtl/>
          <w:lang w:bidi="ar-LB"/>
        </w:rPr>
        <w:t>.</w:t>
      </w:r>
      <w:r w:rsidRPr="006571AC">
        <w:rPr>
          <w:rFonts w:hint="cs"/>
          <w:sz w:val="27"/>
          <w:rtl/>
          <w:lang w:bidi="ar-LB"/>
        </w:rPr>
        <w:t xml:space="preserve"> مضافاً </w:t>
      </w:r>
      <w:r w:rsidR="00B109DA" w:rsidRPr="006571AC">
        <w:rPr>
          <w:rFonts w:hint="cs"/>
          <w:sz w:val="27"/>
          <w:rtl/>
          <w:lang w:bidi="ar-LB"/>
        </w:rPr>
        <w:t>إ</w:t>
      </w:r>
      <w:r w:rsidRPr="006571AC">
        <w:rPr>
          <w:rFonts w:hint="cs"/>
          <w:sz w:val="27"/>
          <w:rtl/>
          <w:lang w:bidi="ar-LB"/>
        </w:rPr>
        <w:t xml:space="preserve">لى أنّ الجعل يلغو عندئذٍ بالنسبة </w:t>
      </w:r>
      <w:r w:rsidR="00B109DA" w:rsidRPr="006571AC">
        <w:rPr>
          <w:rFonts w:hint="cs"/>
          <w:sz w:val="27"/>
          <w:rtl/>
          <w:lang w:bidi="ar-LB"/>
        </w:rPr>
        <w:t>إ</w:t>
      </w:r>
      <w:r w:rsidRPr="006571AC">
        <w:rPr>
          <w:rFonts w:hint="cs"/>
          <w:sz w:val="27"/>
          <w:rtl/>
          <w:lang w:bidi="ar-LB"/>
        </w:rPr>
        <w:t>لى المكلّ</w:t>
      </w:r>
      <w:r w:rsidR="00B109DA" w:rsidRPr="006571AC">
        <w:rPr>
          <w:rFonts w:hint="cs"/>
          <w:sz w:val="27"/>
          <w:rtl/>
          <w:lang w:bidi="ar-LB"/>
        </w:rPr>
        <w:t>َ</w:t>
      </w:r>
      <w:r w:rsidRPr="006571AC">
        <w:rPr>
          <w:rFonts w:hint="cs"/>
          <w:sz w:val="27"/>
          <w:rtl/>
          <w:lang w:bidi="ar-LB"/>
        </w:rPr>
        <w:t xml:space="preserve">فين، ولا يعود </w:t>
      </w:r>
      <w:r w:rsidR="00B109DA" w:rsidRPr="006571AC">
        <w:rPr>
          <w:rFonts w:hint="cs"/>
          <w:sz w:val="27"/>
          <w:rtl/>
          <w:lang w:bidi="ar-LB"/>
        </w:rPr>
        <w:t>إ</w:t>
      </w:r>
      <w:r w:rsidRPr="006571AC">
        <w:rPr>
          <w:rFonts w:hint="cs"/>
          <w:sz w:val="27"/>
          <w:rtl/>
          <w:lang w:bidi="ar-LB"/>
        </w:rPr>
        <w:t>ليهم من ذلك أيّ نفع</w:t>
      </w:r>
      <w:r w:rsidR="00B109DA" w:rsidRPr="006571AC">
        <w:rPr>
          <w:rFonts w:hint="cs"/>
          <w:sz w:val="27"/>
          <w:rtl/>
          <w:lang w:bidi="ar-LB"/>
        </w:rPr>
        <w:t>ٍ،</w:t>
      </w:r>
      <w:r w:rsidRPr="006571AC">
        <w:rPr>
          <w:rFonts w:hint="cs"/>
          <w:sz w:val="27"/>
          <w:rtl/>
          <w:lang w:bidi="ar-LB"/>
        </w:rPr>
        <w:t xml:space="preserve"> كما هو واضح</w:t>
      </w:r>
      <w:r w:rsidR="00B109DA" w:rsidRPr="006571AC">
        <w:rPr>
          <w:rFonts w:hint="cs"/>
          <w:sz w:val="27"/>
          <w:rtl/>
          <w:lang w:bidi="ar-LB"/>
        </w:rPr>
        <w:t>ٌ.</w:t>
      </w:r>
      <w:r w:rsidRPr="006571AC">
        <w:rPr>
          <w:rFonts w:hint="cs"/>
          <w:sz w:val="27"/>
          <w:rtl/>
          <w:lang w:bidi="ar-LB"/>
        </w:rPr>
        <w:t xml:space="preserve"> وسيأتي في الأبحاث القادمة ما تنحل</w:t>
      </w:r>
      <w:r w:rsidR="00B109DA" w:rsidRPr="006571AC">
        <w:rPr>
          <w:rFonts w:hint="cs"/>
          <w:sz w:val="27"/>
          <w:rtl/>
          <w:lang w:bidi="ar-LB"/>
        </w:rPr>
        <w:t>ّ</w:t>
      </w:r>
      <w:r w:rsidRPr="006571AC">
        <w:rPr>
          <w:rFonts w:hint="cs"/>
          <w:sz w:val="27"/>
          <w:rtl/>
          <w:lang w:bidi="ar-LB"/>
        </w:rPr>
        <w:t xml:space="preserve"> به هذه العقدة.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ومجمل القول: إنّ الأفضل أن يقال: </w:t>
      </w:r>
      <w:r w:rsidR="00B109DA" w:rsidRPr="006571AC">
        <w:rPr>
          <w:rFonts w:hint="cs"/>
          <w:sz w:val="27"/>
          <w:rtl/>
          <w:lang w:bidi="ar-LB"/>
        </w:rPr>
        <w:t>إنّ</w:t>
      </w:r>
      <w:r w:rsidRPr="006571AC">
        <w:rPr>
          <w:rFonts w:hint="cs"/>
          <w:sz w:val="27"/>
          <w:rtl/>
          <w:lang w:bidi="ar-LB"/>
        </w:rPr>
        <w:t xml:space="preserve"> الملاك في الإباحة الاقتضائية قائم</w:t>
      </w:r>
      <w:r w:rsidR="00AD6740" w:rsidRPr="006571AC">
        <w:rPr>
          <w:rFonts w:hint="cs"/>
          <w:sz w:val="27"/>
          <w:rtl/>
          <w:lang w:bidi="ar-LB"/>
        </w:rPr>
        <w:t>ٌ</w:t>
      </w:r>
      <w:r w:rsidRPr="006571AC">
        <w:rPr>
          <w:rFonts w:hint="cs"/>
          <w:sz w:val="27"/>
          <w:rtl/>
          <w:lang w:bidi="ar-LB"/>
        </w:rPr>
        <w:t xml:space="preserve"> بنفس إرخاء عنان العبد وإطلاقه، وهذا شيء</w:t>
      </w:r>
      <w:r w:rsidR="00AD6740" w:rsidRPr="006571AC">
        <w:rPr>
          <w:rFonts w:hint="cs"/>
          <w:sz w:val="27"/>
          <w:rtl/>
          <w:lang w:bidi="ar-LB"/>
        </w:rPr>
        <w:t>ٌ</w:t>
      </w:r>
      <w:r w:rsidRPr="006571AC">
        <w:rPr>
          <w:rFonts w:hint="cs"/>
          <w:sz w:val="27"/>
          <w:rtl/>
          <w:lang w:bidi="ar-LB"/>
        </w:rPr>
        <w:t xml:space="preserve"> غير الجعل الشرعي للإباحة، ولا يسقط بنفس الثبوت، كما لا يكون ل</w:t>
      </w:r>
      <w:r w:rsidR="00AD6740" w:rsidRPr="006571AC">
        <w:rPr>
          <w:rFonts w:hint="cs"/>
          <w:sz w:val="27"/>
          <w:rtl/>
          <w:lang w:bidi="ar-LB"/>
        </w:rPr>
        <w:t>َ</w:t>
      </w:r>
      <w:r w:rsidRPr="006571AC">
        <w:rPr>
          <w:rFonts w:hint="cs"/>
          <w:sz w:val="27"/>
          <w:rtl/>
          <w:lang w:bidi="ar-LB"/>
        </w:rPr>
        <w:t>غ</w:t>
      </w:r>
      <w:r w:rsidR="00AD6740" w:rsidRPr="006571AC">
        <w:rPr>
          <w:rFonts w:hint="cs"/>
          <w:sz w:val="27"/>
          <w:rtl/>
          <w:lang w:bidi="ar-LB"/>
        </w:rPr>
        <w:t>ْ</w:t>
      </w:r>
      <w:r w:rsidRPr="006571AC">
        <w:rPr>
          <w:rFonts w:hint="cs"/>
          <w:sz w:val="27"/>
          <w:rtl/>
          <w:lang w:bidi="ar-LB"/>
        </w:rPr>
        <w:t xml:space="preserve">واً بالنسبة </w:t>
      </w:r>
      <w:r w:rsidR="00AD6740" w:rsidRPr="006571AC">
        <w:rPr>
          <w:rFonts w:hint="cs"/>
          <w:sz w:val="27"/>
          <w:rtl/>
          <w:lang w:bidi="ar-LB"/>
        </w:rPr>
        <w:t>إل</w:t>
      </w:r>
      <w:r w:rsidRPr="006571AC">
        <w:rPr>
          <w:rFonts w:hint="cs"/>
          <w:sz w:val="27"/>
          <w:rtl/>
          <w:lang w:bidi="ar-LB"/>
        </w:rPr>
        <w:t>ى المكلّ</w:t>
      </w:r>
      <w:r w:rsidR="00AD6740" w:rsidRPr="006571AC">
        <w:rPr>
          <w:rFonts w:hint="cs"/>
          <w:sz w:val="27"/>
          <w:rtl/>
          <w:lang w:bidi="ar-LB"/>
        </w:rPr>
        <w:t>َ</w:t>
      </w:r>
      <w:r w:rsidRPr="006571AC">
        <w:rPr>
          <w:rFonts w:hint="cs"/>
          <w:sz w:val="27"/>
          <w:rtl/>
          <w:lang w:bidi="ar-LB"/>
        </w:rPr>
        <w:t>فين</w:t>
      </w:r>
      <w:r w:rsidR="00AD6740" w:rsidRPr="006571AC">
        <w:rPr>
          <w:rFonts w:hint="cs"/>
          <w:sz w:val="27"/>
          <w:rtl/>
          <w:lang w:bidi="ar-LB"/>
        </w:rPr>
        <w:t>.</w:t>
      </w:r>
      <w:r w:rsidRPr="006571AC">
        <w:rPr>
          <w:rFonts w:hint="cs"/>
          <w:sz w:val="27"/>
          <w:rtl/>
          <w:lang w:bidi="ar-LB"/>
        </w:rPr>
        <w:t xml:space="preserve"> والتفصيل في موضعه. </w:t>
      </w:r>
    </w:p>
    <w:p w:rsidR="001F3F5A" w:rsidRPr="006571AC" w:rsidRDefault="001F3F5A" w:rsidP="002A2E03">
      <w:pPr>
        <w:tabs>
          <w:tab w:val="right" w:pos="6930"/>
        </w:tabs>
        <w:suppressAutoHyphens/>
        <w:rPr>
          <w:sz w:val="27"/>
          <w:rtl/>
          <w:lang w:bidi="ar-LB"/>
        </w:rPr>
      </w:pPr>
      <w:r w:rsidRPr="006571AC">
        <w:rPr>
          <w:rFonts w:hint="cs"/>
          <w:sz w:val="27"/>
          <w:rtl/>
          <w:lang w:bidi="ar-LB"/>
        </w:rPr>
        <w:t>والذي نريد أن ندّ</w:t>
      </w:r>
      <w:r w:rsidR="00AD6740" w:rsidRPr="006571AC">
        <w:rPr>
          <w:rFonts w:hint="cs"/>
          <w:sz w:val="27"/>
          <w:rtl/>
          <w:lang w:bidi="ar-LB"/>
        </w:rPr>
        <w:t>َ</w:t>
      </w:r>
      <w:r w:rsidRPr="006571AC">
        <w:rPr>
          <w:rFonts w:hint="cs"/>
          <w:sz w:val="27"/>
          <w:rtl/>
          <w:lang w:bidi="ar-LB"/>
        </w:rPr>
        <w:t>عيه في المقام هو القول بتوفّ</w:t>
      </w:r>
      <w:r w:rsidR="00AD6740" w:rsidRPr="006571AC">
        <w:rPr>
          <w:rFonts w:hint="cs"/>
          <w:sz w:val="27"/>
          <w:rtl/>
          <w:lang w:bidi="ar-LB"/>
        </w:rPr>
        <w:t>ُ</w:t>
      </w:r>
      <w:r w:rsidRPr="006571AC">
        <w:rPr>
          <w:rFonts w:hint="cs"/>
          <w:sz w:val="27"/>
          <w:rtl/>
          <w:lang w:bidi="ar-LB"/>
        </w:rPr>
        <w:t xml:space="preserve">ر هذا الملاك؛ أعني ما يقتضي جعل الإباحة </w:t>
      </w:r>
      <w:r w:rsidRPr="006571AC">
        <w:rPr>
          <w:sz w:val="27"/>
          <w:rtl/>
          <w:lang w:bidi="ar-LB"/>
        </w:rPr>
        <w:t xml:space="preserve">ـ </w:t>
      </w:r>
      <w:r w:rsidRPr="006571AC">
        <w:rPr>
          <w:rFonts w:hint="cs"/>
          <w:sz w:val="27"/>
          <w:rtl/>
          <w:lang w:bidi="ar-LB"/>
        </w:rPr>
        <w:t>بالوجه الذي عرف</w:t>
      </w:r>
      <w:r w:rsidR="00AD6740" w:rsidRPr="006571AC">
        <w:rPr>
          <w:rFonts w:hint="cs"/>
          <w:sz w:val="27"/>
          <w:rtl/>
          <w:lang w:bidi="ar-LB"/>
        </w:rPr>
        <w:t>ْ</w:t>
      </w:r>
      <w:r w:rsidRPr="006571AC">
        <w:rPr>
          <w:rFonts w:hint="cs"/>
          <w:sz w:val="27"/>
          <w:rtl/>
          <w:lang w:bidi="ar-LB"/>
        </w:rPr>
        <w:t>ت</w:t>
      </w:r>
      <w:r w:rsidR="00AD6740" w:rsidRPr="006571AC">
        <w:rPr>
          <w:rFonts w:hint="cs"/>
          <w:sz w:val="27"/>
          <w:rtl/>
          <w:lang w:bidi="ar-LB"/>
        </w:rPr>
        <w:t>َ</w:t>
      </w:r>
      <w:r w:rsidRPr="006571AC">
        <w:rPr>
          <w:rFonts w:hint="cs"/>
          <w:sz w:val="27"/>
          <w:rtl/>
          <w:lang w:bidi="ar-LB"/>
        </w:rPr>
        <w:t xml:space="preserve"> إجماله </w:t>
      </w:r>
      <w:r w:rsidRPr="006571AC">
        <w:rPr>
          <w:sz w:val="27"/>
          <w:rtl/>
          <w:lang w:bidi="ar-LB"/>
        </w:rPr>
        <w:t xml:space="preserve">ـ </w:t>
      </w:r>
      <w:r w:rsidRPr="006571AC">
        <w:rPr>
          <w:rFonts w:hint="cs"/>
          <w:sz w:val="27"/>
          <w:rtl/>
          <w:lang w:bidi="ar-LB"/>
        </w:rPr>
        <w:t>في كلّ مورد</w:t>
      </w:r>
      <w:r w:rsidR="00AD6740" w:rsidRPr="006571AC">
        <w:rPr>
          <w:rFonts w:hint="cs"/>
          <w:sz w:val="27"/>
          <w:rtl/>
          <w:lang w:bidi="ar-LB"/>
        </w:rPr>
        <w:t>ٍ</w:t>
      </w:r>
      <w:r w:rsidRPr="006571AC">
        <w:rPr>
          <w:rFonts w:hint="cs"/>
          <w:sz w:val="27"/>
          <w:rtl/>
          <w:lang w:bidi="ar-LB"/>
        </w:rPr>
        <w:t xml:space="preserve"> لا ملاك فيه</w:t>
      </w:r>
      <w:r w:rsidR="00AD6740" w:rsidRPr="006571AC">
        <w:rPr>
          <w:rFonts w:hint="cs"/>
          <w:sz w:val="27"/>
          <w:rtl/>
          <w:lang w:bidi="ar-LB"/>
        </w:rPr>
        <w:t>،</w:t>
      </w:r>
      <w:r w:rsidRPr="006571AC">
        <w:rPr>
          <w:rFonts w:hint="cs"/>
          <w:sz w:val="27"/>
          <w:rtl/>
          <w:lang w:bidi="ar-LB"/>
        </w:rPr>
        <w:t xml:space="preserve"> أو لا ترجيح لأحد الملاكين على الآخر</w:t>
      </w:r>
      <w:r w:rsidR="00AD6740" w:rsidRPr="006571AC">
        <w:rPr>
          <w:rFonts w:hint="cs"/>
          <w:sz w:val="27"/>
          <w:rtl/>
          <w:lang w:bidi="ar-LB"/>
        </w:rPr>
        <w:t>؛</w:t>
      </w:r>
      <w:r w:rsidRPr="006571AC">
        <w:rPr>
          <w:rFonts w:hint="cs"/>
          <w:sz w:val="27"/>
          <w:rtl/>
          <w:lang w:bidi="ar-LB"/>
        </w:rPr>
        <w:t xml:space="preserve"> وذلك بدعوى أنّ التسهيل وإطلاق العَن</w:t>
      </w:r>
      <w:r w:rsidR="00AD6740" w:rsidRPr="006571AC">
        <w:rPr>
          <w:rFonts w:hint="cs"/>
          <w:sz w:val="27"/>
          <w:rtl/>
          <w:lang w:bidi="ar-LB"/>
        </w:rPr>
        <w:t>َ</w:t>
      </w:r>
      <w:r w:rsidRPr="006571AC">
        <w:rPr>
          <w:rFonts w:hint="cs"/>
          <w:sz w:val="27"/>
          <w:rtl/>
          <w:lang w:bidi="ar-LB"/>
        </w:rPr>
        <w:t>ان بنفسه مصلحة</w:t>
      </w:r>
      <w:r w:rsidR="00AD6740" w:rsidRPr="006571AC">
        <w:rPr>
          <w:rFonts w:hint="cs"/>
          <w:sz w:val="27"/>
          <w:rtl/>
          <w:lang w:bidi="ar-LB"/>
        </w:rPr>
        <w:t>ٌ</w:t>
      </w:r>
      <w:r w:rsidRPr="006571AC">
        <w:rPr>
          <w:rFonts w:hint="cs"/>
          <w:sz w:val="27"/>
          <w:rtl/>
          <w:lang w:bidi="ar-LB"/>
        </w:rPr>
        <w:t xml:space="preserve"> تكفي ملاكاً لجعل الإباحة</w:t>
      </w:r>
      <w:r w:rsidR="00AD6740" w:rsidRPr="006571AC">
        <w:rPr>
          <w:rFonts w:hint="cs"/>
          <w:sz w:val="27"/>
          <w:rtl/>
          <w:lang w:bidi="ar-LB"/>
        </w:rPr>
        <w:t>،</w:t>
      </w:r>
      <w:r w:rsidRPr="006571AC">
        <w:rPr>
          <w:rFonts w:hint="cs"/>
          <w:sz w:val="27"/>
          <w:rtl/>
          <w:lang w:bidi="ar-LB"/>
        </w:rPr>
        <w:t xml:space="preserve"> من </w:t>
      </w:r>
      <w:r w:rsidR="00AD6740" w:rsidRPr="006571AC">
        <w:rPr>
          <w:rFonts w:hint="cs"/>
          <w:sz w:val="27"/>
          <w:rtl/>
          <w:lang w:bidi="ar-LB"/>
        </w:rPr>
        <w:t>د</w:t>
      </w:r>
      <w:r w:rsidRPr="006571AC">
        <w:rPr>
          <w:rFonts w:hint="cs"/>
          <w:sz w:val="27"/>
          <w:rtl/>
          <w:lang w:bidi="ar-LB"/>
        </w:rPr>
        <w:t xml:space="preserve">ون أن يلاحظ أنّه يؤدّي </w:t>
      </w:r>
      <w:r w:rsidR="00AD6740" w:rsidRPr="006571AC">
        <w:rPr>
          <w:rFonts w:hint="cs"/>
          <w:sz w:val="27"/>
          <w:rtl/>
          <w:lang w:bidi="ar-LB"/>
        </w:rPr>
        <w:t>إ</w:t>
      </w:r>
      <w:r w:rsidRPr="006571AC">
        <w:rPr>
          <w:rFonts w:hint="cs"/>
          <w:sz w:val="27"/>
          <w:rtl/>
          <w:lang w:bidi="ar-LB"/>
        </w:rPr>
        <w:t>لى ملاك</w:t>
      </w:r>
      <w:r w:rsidR="00AD6740" w:rsidRPr="006571AC">
        <w:rPr>
          <w:rFonts w:hint="cs"/>
          <w:sz w:val="27"/>
          <w:rtl/>
          <w:lang w:bidi="ar-LB"/>
        </w:rPr>
        <w:t>ٍ</w:t>
      </w:r>
      <w:r w:rsidRPr="006571AC">
        <w:rPr>
          <w:rFonts w:hint="cs"/>
          <w:sz w:val="27"/>
          <w:rtl/>
          <w:lang w:bidi="ar-LB"/>
        </w:rPr>
        <w:t xml:space="preserve"> آخر أو لا يؤدّي، ف</w:t>
      </w:r>
      <w:r w:rsidR="00AD6740" w:rsidRPr="006571AC">
        <w:rPr>
          <w:rFonts w:hint="cs"/>
          <w:sz w:val="27"/>
          <w:rtl/>
          <w:lang w:bidi="ar-LB"/>
        </w:rPr>
        <w:t xml:space="preserve">نفسُ </w:t>
      </w:r>
      <w:r w:rsidRPr="006571AC">
        <w:rPr>
          <w:rFonts w:hint="cs"/>
          <w:sz w:val="27"/>
          <w:rtl/>
          <w:lang w:bidi="ar-LB"/>
        </w:rPr>
        <w:t>كون</w:t>
      </w:r>
      <w:r w:rsidR="00AD6740" w:rsidRPr="006571AC">
        <w:rPr>
          <w:rFonts w:hint="cs"/>
          <w:sz w:val="27"/>
          <w:rtl/>
          <w:lang w:bidi="ar-LB"/>
        </w:rPr>
        <w:t xml:space="preserve"> </w:t>
      </w:r>
      <w:r w:rsidRPr="006571AC">
        <w:rPr>
          <w:rFonts w:hint="cs"/>
          <w:sz w:val="27"/>
          <w:rtl/>
          <w:lang w:bidi="ar-LB"/>
        </w:rPr>
        <w:t>المكلّ</w:t>
      </w:r>
      <w:r w:rsidR="00AD6740" w:rsidRPr="006571AC">
        <w:rPr>
          <w:rFonts w:hint="cs"/>
          <w:sz w:val="27"/>
          <w:rtl/>
          <w:lang w:bidi="ar-LB"/>
        </w:rPr>
        <w:t>َ</w:t>
      </w:r>
      <w:r w:rsidRPr="006571AC">
        <w:rPr>
          <w:rFonts w:hint="cs"/>
          <w:sz w:val="27"/>
          <w:rtl/>
          <w:lang w:bidi="ar-LB"/>
        </w:rPr>
        <w:t>ف مطلق العنان ومرخّصاً في مقام العمل، بحيث لا يحسّ بالضيق</w:t>
      </w:r>
      <w:r w:rsidRPr="006571AC">
        <w:rPr>
          <w:sz w:val="27"/>
          <w:vertAlign w:val="superscript"/>
          <w:rtl/>
          <w:lang w:bidi="ar-LB"/>
        </w:rPr>
        <w:t>(</w:t>
      </w:r>
      <w:r w:rsidRPr="006571AC">
        <w:rPr>
          <w:rStyle w:val="ac"/>
          <w:sz w:val="27"/>
          <w:rtl/>
          <w:lang w:bidi="ar-LB"/>
        </w:rPr>
        <w:endnoteReference w:id="629"/>
      </w:r>
      <w:r w:rsidRPr="006571AC">
        <w:rPr>
          <w:sz w:val="27"/>
          <w:vertAlign w:val="superscript"/>
          <w:rtl/>
          <w:lang w:bidi="ar-LB"/>
        </w:rPr>
        <w:t>)</w:t>
      </w:r>
      <w:r w:rsidRPr="006571AC">
        <w:rPr>
          <w:rFonts w:hint="cs"/>
          <w:sz w:val="27"/>
          <w:rtl/>
          <w:lang w:bidi="ar-LB"/>
        </w:rPr>
        <w:t xml:space="preserve"> والكلفة من ناحية الشريعة، أمر</w:t>
      </w:r>
      <w:r w:rsidR="00AD6740" w:rsidRPr="006571AC">
        <w:rPr>
          <w:rFonts w:hint="cs"/>
          <w:sz w:val="27"/>
          <w:rtl/>
          <w:lang w:bidi="ar-LB"/>
        </w:rPr>
        <w:t>ٌ</w:t>
      </w:r>
      <w:r w:rsidRPr="006571AC">
        <w:rPr>
          <w:rFonts w:hint="cs"/>
          <w:sz w:val="27"/>
          <w:rtl/>
          <w:lang w:bidi="ar-LB"/>
        </w:rPr>
        <w:t xml:space="preserve"> مشتمل</w:t>
      </w:r>
      <w:r w:rsidR="00AD6740" w:rsidRPr="006571AC">
        <w:rPr>
          <w:rFonts w:hint="cs"/>
          <w:sz w:val="27"/>
          <w:rtl/>
          <w:lang w:bidi="ar-LB"/>
        </w:rPr>
        <w:t>ٌ</w:t>
      </w:r>
      <w:r w:rsidRPr="006571AC">
        <w:rPr>
          <w:rFonts w:hint="cs"/>
          <w:sz w:val="27"/>
          <w:rtl/>
          <w:lang w:bidi="ar-LB"/>
        </w:rPr>
        <w:t xml:space="preserve"> على مصلحة</w:t>
      </w:r>
      <w:r w:rsidR="00AD6740" w:rsidRPr="006571AC">
        <w:rPr>
          <w:rFonts w:hint="cs"/>
          <w:sz w:val="27"/>
          <w:rtl/>
          <w:lang w:bidi="ar-LB"/>
        </w:rPr>
        <w:t>ٍ</w:t>
      </w:r>
      <w:r w:rsidRPr="006571AC">
        <w:rPr>
          <w:rFonts w:hint="cs"/>
          <w:sz w:val="27"/>
          <w:rtl/>
          <w:lang w:bidi="ar-LB"/>
        </w:rPr>
        <w:t xml:space="preserve"> عامة، وهذا معنى ما قد يُقال </w:t>
      </w:r>
      <w:r w:rsidR="00AD6740" w:rsidRPr="006571AC">
        <w:rPr>
          <w:rFonts w:hint="cs"/>
          <w:sz w:val="27"/>
          <w:rtl/>
          <w:lang w:bidi="ar-LB"/>
        </w:rPr>
        <w:t>من أنّ</w:t>
      </w:r>
      <w:r w:rsidRPr="006571AC">
        <w:rPr>
          <w:rFonts w:hint="cs"/>
          <w:sz w:val="27"/>
          <w:rtl/>
          <w:lang w:bidi="ar-LB"/>
        </w:rPr>
        <w:t xml:space="preserve"> مصلحة التسهيل مصلحة</w:t>
      </w:r>
      <w:r w:rsidR="00AD6740" w:rsidRPr="006571AC">
        <w:rPr>
          <w:rFonts w:hint="cs"/>
          <w:sz w:val="27"/>
          <w:rtl/>
          <w:lang w:bidi="ar-LB"/>
        </w:rPr>
        <w:t>ٌ</w:t>
      </w:r>
      <w:r w:rsidRPr="006571AC">
        <w:rPr>
          <w:rFonts w:hint="cs"/>
          <w:sz w:val="27"/>
          <w:rtl/>
          <w:lang w:bidi="ar-LB"/>
        </w:rPr>
        <w:t xml:space="preserve"> عقلائية نوعي</w:t>
      </w:r>
      <w:r w:rsidR="00AD6740" w:rsidRPr="006571AC">
        <w:rPr>
          <w:rFonts w:hint="cs"/>
          <w:sz w:val="27"/>
          <w:rtl/>
          <w:lang w:bidi="ar-LB"/>
        </w:rPr>
        <w:t>ّ</w:t>
      </w:r>
      <w:r w:rsidRPr="006571AC">
        <w:rPr>
          <w:rFonts w:hint="cs"/>
          <w:sz w:val="27"/>
          <w:rtl/>
          <w:lang w:bidi="ar-LB"/>
        </w:rPr>
        <w:t xml:space="preserve">ة. </w:t>
      </w:r>
    </w:p>
    <w:p w:rsidR="001F3F5A" w:rsidRPr="006571AC" w:rsidRDefault="001F3F5A" w:rsidP="002A2E03">
      <w:pPr>
        <w:tabs>
          <w:tab w:val="right" w:pos="6930"/>
        </w:tabs>
        <w:suppressAutoHyphens/>
        <w:rPr>
          <w:sz w:val="27"/>
          <w:rtl/>
          <w:lang w:bidi="ar-LB"/>
        </w:rPr>
      </w:pPr>
      <w:r w:rsidRPr="006571AC">
        <w:rPr>
          <w:rFonts w:hint="cs"/>
          <w:sz w:val="27"/>
          <w:rtl/>
          <w:lang w:bidi="ar-LB"/>
        </w:rPr>
        <w:t>وهذا الإطلاق والتسهيل يقتضي جعل الإباحة الشرعية، لولا الموانع الرادعة عنه</w:t>
      </w:r>
      <w:r w:rsidR="00707F34" w:rsidRPr="006571AC">
        <w:rPr>
          <w:rFonts w:hint="cs"/>
          <w:sz w:val="27"/>
          <w:rtl/>
          <w:lang w:bidi="ar-LB"/>
        </w:rPr>
        <w:t>.</w:t>
      </w:r>
      <w:r w:rsidRPr="006571AC">
        <w:rPr>
          <w:rFonts w:hint="cs"/>
          <w:sz w:val="27"/>
          <w:rtl/>
          <w:lang w:bidi="ar-LB"/>
        </w:rPr>
        <w:t xml:space="preserve"> وأمّا تعلّق الإرادة والشوق بهذا الإرخاء والإطلاق فلا يمكن أن يمنع عنه أيّ مانع</w:t>
      </w:r>
      <w:r w:rsidR="00707F34" w:rsidRPr="006571AC">
        <w:rPr>
          <w:rFonts w:hint="cs"/>
          <w:sz w:val="27"/>
          <w:rtl/>
          <w:lang w:bidi="ar-LB"/>
        </w:rPr>
        <w:t>ٍ.</w:t>
      </w:r>
      <w:r w:rsidRPr="006571AC">
        <w:rPr>
          <w:rFonts w:hint="cs"/>
          <w:sz w:val="27"/>
          <w:rtl/>
          <w:lang w:bidi="ar-LB"/>
        </w:rPr>
        <w:t xml:space="preserve"> كما سبق أن عر</w:t>
      </w:r>
      <w:r w:rsidR="00707F34" w:rsidRPr="006571AC">
        <w:rPr>
          <w:rFonts w:hint="cs"/>
          <w:sz w:val="27"/>
          <w:rtl/>
          <w:lang w:bidi="ar-LB"/>
        </w:rPr>
        <w:t>َ</w:t>
      </w:r>
      <w:r w:rsidRPr="006571AC">
        <w:rPr>
          <w:rFonts w:hint="cs"/>
          <w:sz w:val="27"/>
          <w:rtl/>
          <w:lang w:bidi="ar-LB"/>
        </w:rPr>
        <w:t>ف</w:t>
      </w:r>
      <w:r w:rsidR="00707F34" w:rsidRPr="006571AC">
        <w:rPr>
          <w:rFonts w:hint="cs"/>
          <w:sz w:val="27"/>
          <w:rtl/>
          <w:lang w:bidi="ar-LB"/>
        </w:rPr>
        <w:t>ْ</w:t>
      </w:r>
      <w:r w:rsidRPr="006571AC">
        <w:rPr>
          <w:rFonts w:hint="cs"/>
          <w:sz w:val="27"/>
          <w:rtl/>
          <w:lang w:bidi="ar-LB"/>
        </w:rPr>
        <w:t>نا أنّ الإرادة هي لبّ</w:t>
      </w:r>
      <w:r w:rsidR="00707F34" w:rsidRPr="006571AC">
        <w:rPr>
          <w:rFonts w:hint="cs"/>
          <w:sz w:val="27"/>
          <w:rtl/>
          <w:lang w:bidi="ar-LB"/>
        </w:rPr>
        <w:t>ُ</w:t>
      </w:r>
      <w:r w:rsidRPr="006571AC">
        <w:rPr>
          <w:rFonts w:hint="cs"/>
          <w:sz w:val="27"/>
          <w:rtl/>
          <w:lang w:bidi="ar-LB"/>
        </w:rPr>
        <w:t xml:space="preserve"> الحكم وروحه. </w:t>
      </w:r>
    </w:p>
    <w:p w:rsidR="001F3F5A" w:rsidRPr="006571AC" w:rsidRDefault="001F3F5A" w:rsidP="002A2E03">
      <w:pPr>
        <w:tabs>
          <w:tab w:val="right" w:pos="6930"/>
        </w:tabs>
        <w:suppressAutoHyphens/>
        <w:rPr>
          <w:sz w:val="27"/>
          <w:rtl/>
          <w:lang w:bidi="ar-LB"/>
        </w:rPr>
      </w:pPr>
      <w:r w:rsidRPr="006571AC">
        <w:rPr>
          <w:rFonts w:hint="cs"/>
          <w:sz w:val="27"/>
          <w:rtl/>
          <w:lang w:bidi="ar-LB"/>
        </w:rPr>
        <w:t>نعم</w:t>
      </w:r>
      <w:r w:rsidR="00707F34" w:rsidRPr="006571AC">
        <w:rPr>
          <w:rFonts w:hint="cs"/>
          <w:sz w:val="27"/>
          <w:rtl/>
          <w:lang w:bidi="ar-LB"/>
        </w:rPr>
        <w:t>،</w:t>
      </w:r>
      <w:r w:rsidRPr="006571AC">
        <w:rPr>
          <w:rFonts w:hint="cs"/>
          <w:sz w:val="27"/>
          <w:rtl/>
          <w:lang w:bidi="ar-LB"/>
        </w:rPr>
        <w:t xml:space="preserve"> </w:t>
      </w:r>
      <w:r w:rsidR="00707F34" w:rsidRPr="006571AC">
        <w:rPr>
          <w:rFonts w:hint="cs"/>
          <w:sz w:val="27"/>
          <w:rtl/>
          <w:lang w:bidi="ar-LB"/>
        </w:rPr>
        <w:t>يبقى علينا تحقيق أنّ</w:t>
      </w:r>
      <w:r w:rsidRPr="006571AC">
        <w:rPr>
          <w:rFonts w:hint="cs"/>
          <w:sz w:val="27"/>
          <w:rtl/>
          <w:lang w:bidi="ar-LB"/>
        </w:rPr>
        <w:t xml:space="preserve"> هذه الإرادة تشريعيّة</w:t>
      </w:r>
      <w:r w:rsidR="00707F34" w:rsidRPr="006571AC">
        <w:rPr>
          <w:rFonts w:hint="cs"/>
          <w:sz w:val="27"/>
          <w:rtl/>
          <w:lang w:bidi="ar-LB"/>
        </w:rPr>
        <w:t>ٌ</w:t>
      </w:r>
      <w:r w:rsidRPr="006571AC">
        <w:rPr>
          <w:rFonts w:hint="cs"/>
          <w:sz w:val="27"/>
          <w:rtl/>
          <w:lang w:bidi="ar-LB"/>
        </w:rPr>
        <w:t xml:space="preserve"> بفعل الغير </w:t>
      </w:r>
      <w:r w:rsidR="00707F34" w:rsidRPr="006571AC">
        <w:rPr>
          <w:rFonts w:hint="cs"/>
          <w:sz w:val="27"/>
          <w:rtl/>
          <w:lang w:bidi="ar-LB"/>
        </w:rPr>
        <w:t>أو أنّ</w:t>
      </w:r>
      <w:r w:rsidRPr="006571AC">
        <w:rPr>
          <w:rFonts w:hint="cs"/>
          <w:sz w:val="27"/>
          <w:rtl/>
          <w:lang w:bidi="ar-LB"/>
        </w:rPr>
        <w:t>ها إرادة</w:t>
      </w:r>
      <w:r w:rsidR="00707F34" w:rsidRPr="006571AC">
        <w:rPr>
          <w:rFonts w:hint="cs"/>
          <w:sz w:val="27"/>
          <w:rtl/>
          <w:lang w:bidi="ar-LB"/>
        </w:rPr>
        <w:t>ٌ</w:t>
      </w:r>
      <w:r w:rsidRPr="006571AC">
        <w:rPr>
          <w:rFonts w:hint="cs"/>
          <w:sz w:val="27"/>
          <w:rtl/>
          <w:lang w:bidi="ar-LB"/>
        </w:rPr>
        <w:t xml:space="preserve"> تكويني</w:t>
      </w:r>
      <w:r w:rsidR="00697D96" w:rsidRPr="006571AC">
        <w:rPr>
          <w:rFonts w:hint="cs"/>
          <w:sz w:val="27"/>
          <w:rtl/>
          <w:lang w:bidi="ar-LB"/>
        </w:rPr>
        <w:t>ّ</w:t>
      </w:r>
      <w:r w:rsidRPr="006571AC">
        <w:rPr>
          <w:rFonts w:hint="cs"/>
          <w:sz w:val="27"/>
          <w:rtl/>
          <w:lang w:bidi="ar-LB"/>
        </w:rPr>
        <w:t>ة تتعلّ</w:t>
      </w:r>
      <w:r w:rsidR="00707F34" w:rsidRPr="006571AC">
        <w:rPr>
          <w:rFonts w:hint="cs"/>
          <w:sz w:val="27"/>
          <w:rtl/>
          <w:lang w:bidi="ar-LB"/>
        </w:rPr>
        <w:t>َ</w:t>
      </w:r>
      <w:r w:rsidRPr="006571AC">
        <w:rPr>
          <w:rFonts w:hint="cs"/>
          <w:sz w:val="27"/>
          <w:rtl/>
          <w:lang w:bidi="ar-LB"/>
        </w:rPr>
        <w:t>ق بفعل النفس</w:t>
      </w:r>
      <w:r w:rsidR="00707F34" w:rsidRPr="006571AC">
        <w:rPr>
          <w:rFonts w:hint="cs"/>
          <w:sz w:val="27"/>
          <w:rtl/>
          <w:lang w:bidi="ar-LB"/>
        </w:rPr>
        <w:t>؛</w:t>
      </w:r>
      <w:r w:rsidRPr="006571AC">
        <w:rPr>
          <w:rFonts w:hint="cs"/>
          <w:sz w:val="27"/>
          <w:rtl/>
          <w:lang w:bidi="ar-LB"/>
        </w:rPr>
        <w:t xml:space="preserve"> بدعوى </w:t>
      </w:r>
      <w:r w:rsidR="00707F34" w:rsidRPr="006571AC">
        <w:rPr>
          <w:rFonts w:hint="cs"/>
          <w:sz w:val="27"/>
          <w:rtl/>
          <w:lang w:bidi="ar-LB"/>
        </w:rPr>
        <w:t>أنّ الإباحة وإ</w:t>
      </w:r>
      <w:r w:rsidRPr="006571AC">
        <w:rPr>
          <w:rFonts w:hint="cs"/>
          <w:sz w:val="27"/>
          <w:rtl/>
          <w:lang w:bidi="ar-LB"/>
        </w:rPr>
        <w:t>طلاق الع</w:t>
      </w:r>
      <w:r w:rsidR="00707F34" w:rsidRPr="006571AC">
        <w:rPr>
          <w:rFonts w:hint="cs"/>
          <w:sz w:val="27"/>
          <w:rtl/>
          <w:lang w:bidi="ar-LB"/>
        </w:rPr>
        <w:t>َ</w:t>
      </w:r>
      <w:r w:rsidRPr="006571AC">
        <w:rPr>
          <w:rFonts w:hint="cs"/>
          <w:sz w:val="27"/>
          <w:rtl/>
          <w:lang w:bidi="ar-LB"/>
        </w:rPr>
        <w:t>نان ممّا يتقوّم بالجعل الشرعي، ولا وجود لها وراءه</w:t>
      </w:r>
      <w:r w:rsidR="00707F34" w:rsidRPr="006571AC">
        <w:rPr>
          <w:rFonts w:hint="cs"/>
          <w:sz w:val="27"/>
          <w:rtl/>
          <w:lang w:bidi="ar-LB"/>
        </w:rPr>
        <w:t>.</w:t>
      </w:r>
      <w:r w:rsidRPr="006571AC">
        <w:rPr>
          <w:rFonts w:hint="cs"/>
          <w:sz w:val="27"/>
          <w:rtl/>
          <w:lang w:bidi="ar-LB"/>
        </w:rPr>
        <w:t xml:space="preserve"> وهذا ما ينبغي التكلّ</w:t>
      </w:r>
      <w:r w:rsidR="00707F34" w:rsidRPr="006571AC">
        <w:rPr>
          <w:rFonts w:hint="cs"/>
          <w:sz w:val="27"/>
          <w:rtl/>
          <w:lang w:bidi="ar-LB"/>
        </w:rPr>
        <w:t>ُ</w:t>
      </w:r>
      <w:r w:rsidRPr="006571AC">
        <w:rPr>
          <w:rFonts w:hint="cs"/>
          <w:sz w:val="27"/>
          <w:rtl/>
          <w:lang w:bidi="ar-LB"/>
        </w:rPr>
        <w:t>م عنه في الأبحاث الآتية، في</w:t>
      </w:r>
      <w:r w:rsidR="00707F34" w:rsidRPr="006571AC">
        <w:rPr>
          <w:rFonts w:hint="cs"/>
          <w:sz w:val="27"/>
          <w:rtl/>
          <w:lang w:bidi="ar-LB"/>
        </w:rPr>
        <w:t xml:space="preserve"> </w:t>
      </w:r>
      <w:r w:rsidRPr="006571AC">
        <w:rPr>
          <w:rFonts w:hint="cs"/>
          <w:sz w:val="27"/>
          <w:rtl/>
          <w:lang w:bidi="ar-LB"/>
        </w:rPr>
        <w:t xml:space="preserve">ما </w:t>
      </w:r>
      <w:r w:rsidRPr="006571AC">
        <w:rPr>
          <w:rFonts w:hint="cs"/>
          <w:sz w:val="27"/>
          <w:rtl/>
          <w:lang w:bidi="ar-LB"/>
        </w:rPr>
        <w:lastRenderedPageBreak/>
        <w:t xml:space="preserve">تفترق به الأحكام الخمسة </w:t>
      </w:r>
      <w:r w:rsidR="00707F34" w:rsidRPr="006571AC">
        <w:rPr>
          <w:rFonts w:hint="cs"/>
          <w:sz w:val="27"/>
          <w:rtl/>
          <w:lang w:bidi="ar-LB"/>
        </w:rPr>
        <w:t>عن بعضها</w:t>
      </w:r>
      <w:r w:rsidRPr="006571AC">
        <w:rPr>
          <w:rFonts w:hint="cs"/>
          <w:sz w:val="27"/>
          <w:rtl/>
          <w:lang w:bidi="ar-LB"/>
        </w:rPr>
        <w:t xml:space="preserve">. </w:t>
      </w:r>
    </w:p>
    <w:p w:rsidR="001F3F5A" w:rsidRPr="006571AC" w:rsidRDefault="001F3F5A" w:rsidP="00FF45E7">
      <w:pPr>
        <w:tabs>
          <w:tab w:val="right" w:pos="6930"/>
        </w:tabs>
        <w:suppressAutoHyphens/>
        <w:rPr>
          <w:sz w:val="27"/>
          <w:rtl/>
          <w:lang w:bidi="ar-LB"/>
        </w:rPr>
      </w:pPr>
      <w:r w:rsidRPr="006571AC">
        <w:rPr>
          <w:rFonts w:hint="cs"/>
          <w:sz w:val="27"/>
          <w:rtl/>
          <w:lang w:bidi="ar-LB"/>
        </w:rPr>
        <w:t xml:space="preserve">ونحن نعتقد أنّ هذه الدعوى </w:t>
      </w:r>
      <w:r w:rsidRPr="006571AC">
        <w:rPr>
          <w:sz w:val="27"/>
          <w:rtl/>
          <w:lang w:bidi="ar-LB"/>
        </w:rPr>
        <w:t xml:space="preserve">ـ </w:t>
      </w:r>
      <w:r w:rsidRPr="006571AC">
        <w:rPr>
          <w:rFonts w:hint="cs"/>
          <w:sz w:val="27"/>
          <w:rtl/>
          <w:lang w:bidi="ar-LB"/>
        </w:rPr>
        <w:t>أي كون إطلاق العنان بنفسه مصلحة</w:t>
      </w:r>
      <w:r w:rsidR="00707F34" w:rsidRPr="006571AC">
        <w:rPr>
          <w:rFonts w:hint="cs"/>
          <w:sz w:val="27"/>
          <w:rtl/>
          <w:lang w:bidi="ar-LB"/>
        </w:rPr>
        <w:t>ً</w:t>
      </w:r>
      <w:r w:rsidRPr="006571AC">
        <w:rPr>
          <w:rFonts w:hint="cs"/>
          <w:sz w:val="27"/>
          <w:rtl/>
          <w:lang w:bidi="ar-LB"/>
        </w:rPr>
        <w:t xml:space="preserve"> تدعو الى جعل الإباحة </w:t>
      </w:r>
      <w:r w:rsidRPr="006571AC">
        <w:rPr>
          <w:sz w:val="27"/>
          <w:rtl/>
          <w:lang w:bidi="ar-LB"/>
        </w:rPr>
        <w:t xml:space="preserve">ـ </w:t>
      </w:r>
      <w:r w:rsidRPr="006571AC">
        <w:rPr>
          <w:rFonts w:hint="cs"/>
          <w:sz w:val="27"/>
          <w:rtl/>
          <w:lang w:bidi="ar-LB"/>
        </w:rPr>
        <w:t>ممّا يشهد به الوجدان، وهو خير</w:t>
      </w:r>
      <w:r w:rsidR="00707F34" w:rsidRPr="006571AC">
        <w:rPr>
          <w:rFonts w:hint="cs"/>
          <w:sz w:val="27"/>
          <w:rtl/>
          <w:lang w:bidi="ar-LB"/>
        </w:rPr>
        <w:t>ُ</w:t>
      </w:r>
      <w:r w:rsidRPr="006571AC">
        <w:rPr>
          <w:rFonts w:hint="cs"/>
          <w:sz w:val="27"/>
          <w:rtl/>
          <w:lang w:bidi="ar-LB"/>
        </w:rPr>
        <w:t xml:space="preserve"> برهان</w:t>
      </w:r>
      <w:r w:rsidR="00707F34" w:rsidRPr="006571AC">
        <w:rPr>
          <w:rFonts w:hint="cs"/>
          <w:sz w:val="27"/>
          <w:rtl/>
          <w:lang w:bidi="ar-LB"/>
        </w:rPr>
        <w:t>ٍ</w:t>
      </w:r>
      <w:r w:rsidRPr="006571AC">
        <w:rPr>
          <w:rFonts w:hint="cs"/>
          <w:sz w:val="27"/>
          <w:rtl/>
          <w:lang w:bidi="ar-LB"/>
        </w:rPr>
        <w:t xml:space="preserve"> للإ</w:t>
      </w:r>
      <w:r w:rsidR="00FF45E7" w:rsidRPr="006571AC">
        <w:rPr>
          <w:rFonts w:hint="cs"/>
          <w:sz w:val="27"/>
          <w:rtl/>
          <w:lang w:bidi="ar-LB"/>
        </w:rPr>
        <w:t>ي</w:t>
      </w:r>
      <w:r w:rsidRPr="006571AC">
        <w:rPr>
          <w:rFonts w:hint="cs"/>
          <w:sz w:val="27"/>
          <w:rtl/>
          <w:lang w:bidi="ar-LB"/>
        </w:rPr>
        <w:t xml:space="preserve">قان، ولا أقلَّ من الاطمئنان. </w:t>
      </w:r>
    </w:p>
    <w:p w:rsidR="001F3F5A" w:rsidRPr="006571AC" w:rsidRDefault="001F3F5A" w:rsidP="002A2E03">
      <w:pPr>
        <w:tabs>
          <w:tab w:val="right" w:pos="6930"/>
        </w:tabs>
        <w:suppressAutoHyphens/>
        <w:rPr>
          <w:sz w:val="27"/>
          <w:rtl/>
          <w:lang w:bidi="ar-LB"/>
        </w:rPr>
      </w:pPr>
      <w:r w:rsidRPr="006571AC">
        <w:rPr>
          <w:rFonts w:hint="cs"/>
          <w:sz w:val="27"/>
          <w:rtl/>
          <w:lang w:bidi="ar-LB"/>
        </w:rPr>
        <w:t>وهناك طريقة</w:t>
      </w:r>
      <w:r w:rsidR="00707F34" w:rsidRPr="006571AC">
        <w:rPr>
          <w:rFonts w:hint="cs"/>
          <w:sz w:val="27"/>
          <w:rtl/>
          <w:lang w:bidi="ar-LB"/>
        </w:rPr>
        <w:t>ٌ</w:t>
      </w:r>
      <w:r w:rsidRPr="006571AC">
        <w:rPr>
          <w:rFonts w:hint="cs"/>
          <w:sz w:val="27"/>
          <w:rtl/>
          <w:lang w:bidi="ar-LB"/>
        </w:rPr>
        <w:t xml:space="preserve"> أخرى، لا مجال للتشكيك فيها، وهي: </w:t>
      </w:r>
      <w:r w:rsidR="00707F34" w:rsidRPr="006571AC">
        <w:rPr>
          <w:rFonts w:hint="cs"/>
          <w:sz w:val="27"/>
          <w:rtl/>
          <w:lang w:bidi="ar-LB"/>
        </w:rPr>
        <w:t>إنّ إطلاق العنان والإ</w:t>
      </w:r>
      <w:r w:rsidRPr="006571AC">
        <w:rPr>
          <w:rFonts w:hint="cs"/>
          <w:sz w:val="27"/>
          <w:rtl/>
          <w:lang w:bidi="ar-LB"/>
        </w:rPr>
        <w:t>رخاء إن</w:t>
      </w:r>
      <w:r w:rsidR="00707F34" w:rsidRPr="006571AC">
        <w:rPr>
          <w:rFonts w:hint="cs"/>
          <w:sz w:val="27"/>
          <w:rtl/>
          <w:lang w:bidi="ar-LB"/>
        </w:rPr>
        <w:t>ْ</w:t>
      </w:r>
      <w:r w:rsidRPr="006571AC">
        <w:rPr>
          <w:rFonts w:hint="cs"/>
          <w:sz w:val="27"/>
          <w:rtl/>
          <w:lang w:bidi="ar-LB"/>
        </w:rPr>
        <w:t xml:space="preserve"> لم يكفِ بنفسه مصلحةً مقتضية</w:t>
      </w:r>
      <w:r w:rsidR="00707F34" w:rsidRPr="006571AC">
        <w:rPr>
          <w:rFonts w:hint="cs"/>
          <w:sz w:val="27"/>
          <w:rtl/>
          <w:lang w:bidi="ar-LB"/>
        </w:rPr>
        <w:t>ً لجعل الإ</w:t>
      </w:r>
      <w:r w:rsidRPr="006571AC">
        <w:rPr>
          <w:rFonts w:hint="cs"/>
          <w:sz w:val="27"/>
          <w:rtl/>
          <w:lang w:bidi="ar-LB"/>
        </w:rPr>
        <w:t xml:space="preserve">باحة، فلا أقلَّ من </w:t>
      </w:r>
      <w:r w:rsidR="00FF45E7" w:rsidRPr="006571AC">
        <w:rPr>
          <w:rFonts w:hint="cs"/>
          <w:sz w:val="27"/>
          <w:rtl/>
          <w:lang w:bidi="ar-LB"/>
        </w:rPr>
        <w:t>تسبي</w:t>
      </w:r>
      <w:r w:rsidRPr="006571AC">
        <w:rPr>
          <w:rFonts w:hint="cs"/>
          <w:sz w:val="27"/>
          <w:rtl/>
          <w:lang w:bidi="ar-LB"/>
        </w:rPr>
        <w:t>به تمكّن المكلّ</w:t>
      </w:r>
      <w:r w:rsidR="008E0060" w:rsidRPr="006571AC">
        <w:rPr>
          <w:rFonts w:hint="cs"/>
          <w:sz w:val="27"/>
          <w:rtl/>
          <w:lang w:bidi="ar-LB"/>
        </w:rPr>
        <w:t>َ</w:t>
      </w:r>
      <w:r w:rsidRPr="006571AC">
        <w:rPr>
          <w:rFonts w:hint="cs"/>
          <w:sz w:val="27"/>
          <w:rtl/>
          <w:lang w:bidi="ar-LB"/>
        </w:rPr>
        <w:t xml:space="preserve">ف من إسناد الفعل والترك </w:t>
      </w:r>
      <w:r w:rsidR="008E0060" w:rsidRPr="006571AC">
        <w:rPr>
          <w:rFonts w:hint="cs"/>
          <w:sz w:val="27"/>
          <w:rtl/>
          <w:lang w:bidi="ar-LB"/>
        </w:rPr>
        <w:t>إ</w:t>
      </w:r>
      <w:r w:rsidRPr="006571AC">
        <w:rPr>
          <w:rFonts w:hint="cs"/>
          <w:sz w:val="27"/>
          <w:rtl/>
          <w:lang w:bidi="ar-LB"/>
        </w:rPr>
        <w:t xml:space="preserve">لى المولى سبحانه؛ </w:t>
      </w:r>
      <w:r w:rsidR="008E0060" w:rsidRPr="006571AC">
        <w:rPr>
          <w:rFonts w:hint="cs"/>
          <w:sz w:val="27"/>
          <w:rtl/>
          <w:lang w:bidi="ar-LB"/>
        </w:rPr>
        <w:t>فإنّ</w:t>
      </w:r>
      <w:r w:rsidRPr="006571AC">
        <w:rPr>
          <w:rFonts w:hint="cs"/>
          <w:sz w:val="27"/>
          <w:rtl/>
          <w:lang w:bidi="ar-LB"/>
        </w:rPr>
        <w:t xml:space="preserve"> الإسناد كما يتيسّ</w:t>
      </w:r>
      <w:r w:rsidR="008E0060" w:rsidRPr="006571AC">
        <w:rPr>
          <w:rFonts w:hint="cs"/>
          <w:sz w:val="27"/>
          <w:rtl/>
          <w:lang w:bidi="ar-LB"/>
        </w:rPr>
        <w:t>َ</w:t>
      </w:r>
      <w:r w:rsidRPr="006571AC">
        <w:rPr>
          <w:rFonts w:hint="cs"/>
          <w:sz w:val="27"/>
          <w:rtl/>
          <w:lang w:bidi="ar-LB"/>
        </w:rPr>
        <w:t>ر بالوجوب والحرمة أو الندب والكراهة، كذلك يتيس</w:t>
      </w:r>
      <w:r w:rsidR="008E0060" w:rsidRPr="006571AC">
        <w:rPr>
          <w:rFonts w:hint="cs"/>
          <w:sz w:val="27"/>
          <w:rtl/>
          <w:lang w:bidi="ar-LB"/>
        </w:rPr>
        <w:t>َّ</w:t>
      </w:r>
      <w:r w:rsidRPr="006571AC">
        <w:rPr>
          <w:rFonts w:hint="cs"/>
          <w:sz w:val="27"/>
          <w:rtl/>
          <w:lang w:bidi="ar-LB"/>
        </w:rPr>
        <w:t xml:space="preserve">ر بالإباحة. </w:t>
      </w:r>
    </w:p>
    <w:p w:rsidR="001F3F5A" w:rsidRPr="006571AC" w:rsidRDefault="001F3F5A" w:rsidP="002A2E03">
      <w:pPr>
        <w:tabs>
          <w:tab w:val="right" w:pos="6930"/>
        </w:tabs>
        <w:suppressAutoHyphens/>
        <w:rPr>
          <w:sz w:val="27"/>
          <w:rtl/>
          <w:lang w:bidi="ar-LB"/>
        </w:rPr>
      </w:pPr>
      <w:r w:rsidRPr="006571AC">
        <w:rPr>
          <w:rFonts w:hint="cs"/>
          <w:sz w:val="27"/>
          <w:rtl/>
          <w:lang w:bidi="ar-LB"/>
        </w:rPr>
        <w:t>ومن الواضح أنّه لا مجال بعد ذلك لافتراض الفعل خالياً من أيّ ملاك</w:t>
      </w:r>
      <w:r w:rsidR="008E0060" w:rsidRPr="006571AC">
        <w:rPr>
          <w:rFonts w:hint="cs"/>
          <w:sz w:val="27"/>
          <w:rtl/>
          <w:lang w:bidi="ar-LB"/>
        </w:rPr>
        <w:t>ٍ</w:t>
      </w:r>
      <w:r w:rsidRPr="006571AC">
        <w:rPr>
          <w:rFonts w:hint="cs"/>
          <w:sz w:val="27"/>
          <w:rtl/>
          <w:lang w:bidi="ar-LB"/>
        </w:rPr>
        <w:t>، بل هناك ملاك</w:t>
      </w:r>
      <w:r w:rsidR="008E0060" w:rsidRPr="006571AC">
        <w:rPr>
          <w:rFonts w:hint="cs"/>
          <w:sz w:val="27"/>
          <w:rtl/>
          <w:lang w:bidi="ar-LB"/>
        </w:rPr>
        <w:t>ٌ</w:t>
      </w:r>
      <w:r w:rsidRPr="006571AC">
        <w:rPr>
          <w:rFonts w:hint="cs"/>
          <w:sz w:val="27"/>
          <w:rtl/>
          <w:lang w:bidi="ar-LB"/>
        </w:rPr>
        <w:t xml:space="preserve"> يدعو دائماً </w:t>
      </w:r>
      <w:r w:rsidR="008E0060" w:rsidRPr="006571AC">
        <w:rPr>
          <w:rFonts w:hint="cs"/>
          <w:sz w:val="27"/>
          <w:rtl/>
          <w:lang w:bidi="ar-LB"/>
        </w:rPr>
        <w:t>إ</w:t>
      </w:r>
      <w:r w:rsidRPr="006571AC">
        <w:rPr>
          <w:rFonts w:hint="cs"/>
          <w:sz w:val="27"/>
          <w:rtl/>
          <w:lang w:bidi="ar-LB"/>
        </w:rPr>
        <w:t>لى جعل الإباحة، فيما إذا كان الفعل خالياً من ملاك</w:t>
      </w:r>
      <w:r w:rsidR="008E0060" w:rsidRPr="006571AC">
        <w:rPr>
          <w:rFonts w:hint="cs"/>
          <w:sz w:val="27"/>
          <w:rtl/>
          <w:lang w:bidi="ar-LB"/>
        </w:rPr>
        <w:t>ٍ</w:t>
      </w:r>
      <w:r w:rsidRPr="006571AC">
        <w:rPr>
          <w:rFonts w:hint="cs"/>
          <w:sz w:val="27"/>
          <w:rtl/>
          <w:lang w:bidi="ar-LB"/>
        </w:rPr>
        <w:t xml:space="preserve"> في وجوده وعدمه، وهذا يعني أنّ الإباحة لا تكون إلاّ اقتضائي</w:t>
      </w:r>
      <w:r w:rsidR="008E0060" w:rsidRPr="006571AC">
        <w:rPr>
          <w:rFonts w:hint="cs"/>
          <w:sz w:val="27"/>
          <w:rtl/>
          <w:lang w:bidi="ar-LB"/>
        </w:rPr>
        <w:t>ّ</w:t>
      </w:r>
      <w:r w:rsidRPr="006571AC">
        <w:rPr>
          <w:rFonts w:hint="cs"/>
          <w:sz w:val="27"/>
          <w:rtl/>
          <w:lang w:bidi="ar-LB"/>
        </w:rPr>
        <w:t>ة</w:t>
      </w:r>
      <w:r w:rsidR="008E0060" w:rsidRPr="006571AC">
        <w:rPr>
          <w:rFonts w:hint="cs"/>
          <w:sz w:val="27"/>
          <w:rtl/>
          <w:lang w:bidi="ar-LB"/>
        </w:rPr>
        <w:t>ً</w:t>
      </w:r>
      <w:r w:rsidRPr="006571AC">
        <w:rPr>
          <w:rFonts w:hint="cs"/>
          <w:sz w:val="27"/>
          <w:rtl/>
          <w:lang w:bidi="ar-LB"/>
        </w:rPr>
        <w:t xml:space="preserve">، خلافاً لما هو المشهور من انقسامها </w:t>
      </w:r>
      <w:r w:rsidR="008E0060" w:rsidRPr="006571AC">
        <w:rPr>
          <w:rFonts w:hint="cs"/>
          <w:sz w:val="27"/>
          <w:rtl/>
          <w:lang w:bidi="ar-LB"/>
        </w:rPr>
        <w:t>إ</w:t>
      </w:r>
      <w:r w:rsidRPr="006571AC">
        <w:rPr>
          <w:rFonts w:hint="cs"/>
          <w:sz w:val="27"/>
          <w:rtl/>
          <w:lang w:bidi="ar-LB"/>
        </w:rPr>
        <w:t>لى</w:t>
      </w:r>
      <w:r w:rsidR="008E0060" w:rsidRPr="006571AC">
        <w:rPr>
          <w:rFonts w:hint="cs"/>
          <w:sz w:val="27"/>
          <w:rtl/>
          <w:lang w:bidi="ar-LB"/>
        </w:rPr>
        <w:t>:</w:t>
      </w:r>
      <w:r w:rsidRPr="006571AC">
        <w:rPr>
          <w:rFonts w:hint="cs"/>
          <w:sz w:val="27"/>
          <w:rtl/>
          <w:lang w:bidi="ar-LB"/>
        </w:rPr>
        <w:t xml:space="preserve"> الاقتضائية</w:t>
      </w:r>
      <w:r w:rsidR="008E0060" w:rsidRPr="006571AC">
        <w:rPr>
          <w:rFonts w:hint="cs"/>
          <w:sz w:val="27"/>
          <w:rtl/>
          <w:lang w:bidi="ar-LB"/>
        </w:rPr>
        <w:t>؛</w:t>
      </w:r>
      <w:r w:rsidRPr="006571AC">
        <w:rPr>
          <w:rFonts w:hint="cs"/>
          <w:sz w:val="27"/>
          <w:rtl/>
          <w:lang w:bidi="ar-LB"/>
        </w:rPr>
        <w:t xml:space="preserve"> واللا</w:t>
      </w:r>
      <w:r w:rsidR="008E0060" w:rsidRPr="006571AC">
        <w:rPr>
          <w:rFonts w:hint="cs"/>
          <w:sz w:val="27"/>
          <w:rtl/>
          <w:lang w:bidi="ar-LB"/>
        </w:rPr>
        <w:t xml:space="preserve"> ا</w:t>
      </w:r>
      <w:r w:rsidRPr="006571AC">
        <w:rPr>
          <w:rFonts w:hint="cs"/>
          <w:sz w:val="27"/>
          <w:rtl/>
          <w:lang w:bidi="ar-LB"/>
        </w:rPr>
        <w:t xml:space="preserve">قتضائية. </w:t>
      </w:r>
    </w:p>
    <w:p w:rsidR="001F3F5A" w:rsidRPr="006571AC" w:rsidRDefault="001F3F5A" w:rsidP="00FF45E7">
      <w:pPr>
        <w:tabs>
          <w:tab w:val="right" w:pos="6930"/>
        </w:tabs>
        <w:suppressAutoHyphens/>
        <w:rPr>
          <w:sz w:val="27"/>
          <w:rtl/>
          <w:lang w:bidi="ar-LB"/>
        </w:rPr>
      </w:pPr>
      <w:r w:rsidRPr="006571AC">
        <w:rPr>
          <w:rFonts w:hint="cs"/>
          <w:sz w:val="27"/>
          <w:rtl/>
          <w:lang w:bidi="ar-LB"/>
        </w:rPr>
        <w:t>ولا يخف</w:t>
      </w:r>
      <w:r w:rsidR="008E0060" w:rsidRPr="006571AC">
        <w:rPr>
          <w:rFonts w:hint="cs"/>
          <w:sz w:val="27"/>
          <w:rtl/>
          <w:lang w:bidi="ar-LB"/>
        </w:rPr>
        <w:t>ى</w:t>
      </w:r>
      <w:r w:rsidRPr="006571AC">
        <w:rPr>
          <w:rFonts w:hint="cs"/>
          <w:sz w:val="27"/>
          <w:rtl/>
          <w:lang w:bidi="ar-LB"/>
        </w:rPr>
        <w:t xml:space="preserve"> أنّه لا مجال للتضارب بين هذه المصلحة وبين ما قد يكون في الفعل أو الترك من مفسدة</w:t>
      </w:r>
      <w:r w:rsidR="008E0060" w:rsidRPr="006571AC">
        <w:rPr>
          <w:rFonts w:hint="cs"/>
          <w:sz w:val="27"/>
          <w:rtl/>
          <w:lang w:bidi="ar-LB"/>
        </w:rPr>
        <w:t>ٍ</w:t>
      </w:r>
      <w:r w:rsidRPr="006571AC">
        <w:rPr>
          <w:rFonts w:hint="cs"/>
          <w:sz w:val="27"/>
          <w:rtl/>
          <w:lang w:bidi="ar-LB"/>
        </w:rPr>
        <w:t>، ومن ثمّ خلوّ الفعل والترك من أيّ ملاك</w:t>
      </w:r>
      <w:r w:rsidR="008E0060" w:rsidRPr="006571AC">
        <w:rPr>
          <w:rFonts w:hint="cs"/>
          <w:sz w:val="27"/>
          <w:rtl/>
          <w:lang w:bidi="ar-LB"/>
        </w:rPr>
        <w:t>ٍ</w:t>
      </w:r>
      <w:r w:rsidRPr="006571AC">
        <w:rPr>
          <w:rFonts w:hint="cs"/>
          <w:sz w:val="27"/>
          <w:rtl/>
          <w:lang w:bidi="ar-LB"/>
        </w:rPr>
        <w:t xml:space="preserve"> يدعو </w:t>
      </w:r>
      <w:r w:rsidR="00FF45E7" w:rsidRPr="006571AC">
        <w:rPr>
          <w:rFonts w:hint="cs"/>
          <w:sz w:val="27"/>
          <w:rtl/>
          <w:lang w:bidi="ar-LB"/>
        </w:rPr>
        <w:t>إ</w:t>
      </w:r>
      <w:r w:rsidRPr="006571AC">
        <w:rPr>
          <w:rFonts w:hint="cs"/>
          <w:sz w:val="27"/>
          <w:rtl/>
          <w:lang w:bidi="ar-LB"/>
        </w:rPr>
        <w:t>لى الج</w:t>
      </w:r>
      <w:r w:rsidR="008E0060" w:rsidRPr="006571AC">
        <w:rPr>
          <w:rFonts w:hint="cs"/>
          <w:sz w:val="27"/>
          <w:rtl/>
          <w:lang w:bidi="ar-LB"/>
        </w:rPr>
        <w:t>َ</w:t>
      </w:r>
      <w:r w:rsidRPr="006571AC">
        <w:rPr>
          <w:rFonts w:hint="cs"/>
          <w:sz w:val="27"/>
          <w:rtl/>
          <w:lang w:bidi="ar-LB"/>
        </w:rPr>
        <w:t>ع</w:t>
      </w:r>
      <w:r w:rsidR="008E0060" w:rsidRPr="006571AC">
        <w:rPr>
          <w:rFonts w:hint="cs"/>
          <w:sz w:val="27"/>
          <w:rtl/>
          <w:lang w:bidi="ar-LB"/>
        </w:rPr>
        <w:t>ْ</w:t>
      </w:r>
      <w:r w:rsidRPr="006571AC">
        <w:rPr>
          <w:rFonts w:hint="cs"/>
          <w:sz w:val="27"/>
          <w:rtl/>
          <w:lang w:bidi="ar-LB"/>
        </w:rPr>
        <w:t>ل، كما قد ي</w:t>
      </w:r>
      <w:r w:rsidR="008E0060" w:rsidRPr="006571AC">
        <w:rPr>
          <w:rFonts w:hint="cs"/>
          <w:sz w:val="27"/>
          <w:rtl/>
          <w:lang w:bidi="ar-LB"/>
        </w:rPr>
        <w:t>ُ</w:t>
      </w:r>
      <w:r w:rsidRPr="006571AC">
        <w:rPr>
          <w:rFonts w:hint="cs"/>
          <w:sz w:val="27"/>
          <w:rtl/>
          <w:lang w:bidi="ar-LB"/>
        </w:rPr>
        <w:t>توه</w:t>
      </w:r>
      <w:r w:rsidR="008E0060" w:rsidRPr="006571AC">
        <w:rPr>
          <w:rFonts w:hint="cs"/>
          <w:sz w:val="27"/>
          <w:rtl/>
          <w:lang w:bidi="ar-LB"/>
        </w:rPr>
        <w:t>َّ</w:t>
      </w:r>
      <w:r w:rsidRPr="006571AC">
        <w:rPr>
          <w:rFonts w:hint="cs"/>
          <w:sz w:val="27"/>
          <w:rtl/>
          <w:lang w:bidi="ar-LB"/>
        </w:rPr>
        <w:t xml:space="preserve">م؛ </w:t>
      </w:r>
      <w:r w:rsidR="008E0060" w:rsidRPr="006571AC">
        <w:rPr>
          <w:rFonts w:hint="cs"/>
          <w:sz w:val="27"/>
          <w:rtl/>
          <w:lang w:bidi="ar-LB"/>
        </w:rPr>
        <w:t>فإنّ</w:t>
      </w:r>
      <w:r w:rsidRPr="006571AC">
        <w:rPr>
          <w:rFonts w:hint="cs"/>
          <w:sz w:val="27"/>
          <w:rtl/>
          <w:lang w:bidi="ar-LB"/>
        </w:rPr>
        <w:t xml:space="preserve"> هذه المصلحة لا تخضع </w:t>
      </w:r>
      <w:r w:rsidR="00FF45E7" w:rsidRPr="006571AC">
        <w:rPr>
          <w:rFonts w:hint="cs"/>
          <w:sz w:val="27"/>
          <w:rtl/>
          <w:lang w:bidi="ar-LB"/>
        </w:rPr>
        <w:t>ل</w:t>
      </w:r>
      <w:r w:rsidRPr="006571AC">
        <w:rPr>
          <w:rFonts w:hint="cs"/>
          <w:sz w:val="27"/>
          <w:rtl/>
          <w:lang w:bidi="ar-LB"/>
        </w:rPr>
        <w:t xml:space="preserve">لتضارب </w:t>
      </w:r>
      <w:r w:rsidR="00FF45E7" w:rsidRPr="006571AC">
        <w:rPr>
          <w:rFonts w:hint="cs"/>
          <w:sz w:val="27"/>
          <w:rtl/>
          <w:lang w:bidi="ar-LB"/>
        </w:rPr>
        <w:t>و</w:t>
      </w:r>
      <w:r w:rsidRPr="006571AC">
        <w:rPr>
          <w:rFonts w:hint="cs"/>
          <w:sz w:val="27"/>
          <w:rtl/>
          <w:lang w:bidi="ar-LB"/>
        </w:rPr>
        <w:t xml:space="preserve">الانكسار؛ </w:t>
      </w:r>
      <w:r w:rsidR="008E0060" w:rsidRPr="006571AC">
        <w:rPr>
          <w:rFonts w:hint="cs"/>
          <w:sz w:val="27"/>
          <w:rtl/>
          <w:lang w:bidi="ar-LB"/>
        </w:rPr>
        <w:t>لأنّ</w:t>
      </w:r>
      <w:r w:rsidRPr="006571AC">
        <w:rPr>
          <w:rFonts w:hint="cs"/>
          <w:sz w:val="27"/>
          <w:rtl/>
          <w:lang w:bidi="ar-LB"/>
        </w:rPr>
        <w:t xml:space="preserve"> الفعل </w:t>
      </w:r>
      <w:r w:rsidRPr="006571AC">
        <w:rPr>
          <w:sz w:val="27"/>
          <w:rtl/>
          <w:lang w:bidi="ar-LB"/>
        </w:rPr>
        <w:t xml:space="preserve">ـ </w:t>
      </w:r>
      <w:r w:rsidRPr="006571AC">
        <w:rPr>
          <w:rFonts w:hint="cs"/>
          <w:sz w:val="27"/>
          <w:rtl/>
          <w:lang w:bidi="ar-LB"/>
        </w:rPr>
        <w:t xml:space="preserve">بعد افتراض هذا التضارب والتساقط </w:t>
      </w:r>
      <w:r w:rsidRPr="006571AC">
        <w:rPr>
          <w:sz w:val="27"/>
          <w:rtl/>
          <w:lang w:bidi="ar-LB"/>
        </w:rPr>
        <w:t xml:space="preserve">ـ </w:t>
      </w:r>
      <w:r w:rsidR="008E0060" w:rsidRPr="006571AC">
        <w:rPr>
          <w:rFonts w:hint="cs"/>
          <w:sz w:val="27"/>
          <w:rtl/>
          <w:lang w:bidi="ar-LB"/>
        </w:rPr>
        <w:t>لا يزال يحسن إ</w:t>
      </w:r>
      <w:r w:rsidRPr="006571AC">
        <w:rPr>
          <w:rFonts w:hint="cs"/>
          <w:sz w:val="27"/>
          <w:rtl/>
          <w:lang w:bidi="ar-LB"/>
        </w:rPr>
        <w:t xml:space="preserve">سناده </w:t>
      </w:r>
      <w:r w:rsidR="00FF45E7" w:rsidRPr="006571AC">
        <w:rPr>
          <w:rFonts w:hint="cs"/>
          <w:sz w:val="27"/>
          <w:rtl/>
          <w:lang w:bidi="ar-LB"/>
        </w:rPr>
        <w:t>إ</w:t>
      </w:r>
      <w:r w:rsidRPr="006571AC">
        <w:rPr>
          <w:rFonts w:hint="cs"/>
          <w:sz w:val="27"/>
          <w:rtl/>
          <w:lang w:bidi="ar-LB"/>
        </w:rPr>
        <w:t>لى المولى سبحانه، فيكون فيه اقتضاء</w:t>
      </w:r>
      <w:r w:rsidR="008E0060" w:rsidRPr="006571AC">
        <w:rPr>
          <w:rFonts w:hint="cs"/>
          <w:sz w:val="27"/>
          <w:rtl/>
          <w:lang w:bidi="ar-LB"/>
        </w:rPr>
        <w:t>ٌ</w:t>
      </w:r>
      <w:r w:rsidRPr="006571AC">
        <w:rPr>
          <w:rFonts w:hint="cs"/>
          <w:sz w:val="27"/>
          <w:rtl/>
          <w:lang w:bidi="ar-LB"/>
        </w:rPr>
        <w:t xml:space="preserve"> لجعل الإباحة والرخصة. </w:t>
      </w:r>
    </w:p>
    <w:p w:rsidR="001F3F5A" w:rsidRPr="006571AC" w:rsidRDefault="001F3F5A" w:rsidP="00650DB7">
      <w:pPr>
        <w:tabs>
          <w:tab w:val="right" w:pos="6930"/>
        </w:tabs>
        <w:suppressAutoHyphens/>
        <w:rPr>
          <w:sz w:val="27"/>
          <w:rtl/>
          <w:lang w:bidi="ar-LB"/>
        </w:rPr>
      </w:pPr>
      <w:r w:rsidRPr="006571AC">
        <w:rPr>
          <w:rFonts w:hint="cs"/>
          <w:sz w:val="27"/>
          <w:rtl/>
          <w:lang w:bidi="ar-LB"/>
        </w:rPr>
        <w:t>بل ي</w:t>
      </w:r>
      <w:r w:rsidR="008E0060" w:rsidRPr="006571AC">
        <w:rPr>
          <w:rFonts w:hint="cs"/>
          <w:sz w:val="27"/>
          <w:rtl/>
          <w:lang w:bidi="ar-LB"/>
        </w:rPr>
        <w:t>م</w:t>
      </w:r>
      <w:r w:rsidRPr="006571AC">
        <w:rPr>
          <w:rFonts w:hint="cs"/>
          <w:sz w:val="27"/>
          <w:rtl/>
          <w:lang w:bidi="ar-LB"/>
        </w:rPr>
        <w:t>كن أن ي</w:t>
      </w:r>
      <w:r w:rsidR="008E0060" w:rsidRPr="006571AC">
        <w:rPr>
          <w:rFonts w:hint="cs"/>
          <w:sz w:val="27"/>
          <w:rtl/>
          <w:lang w:bidi="ar-LB"/>
        </w:rPr>
        <w:t>ُ</w:t>
      </w:r>
      <w:r w:rsidRPr="006571AC">
        <w:rPr>
          <w:rFonts w:hint="cs"/>
          <w:sz w:val="27"/>
          <w:rtl/>
          <w:lang w:bidi="ar-LB"/>
        </w:rPr>
        <w:t xml:space="preserve">قال: </w:t>
      </w:r>
      <w:r w:rsidR="008E0060" w:rsidRPr="006571AC">
        <w:rPr>
          <w:rFonts w:hint="cs"/>
          <w:sz w:val="27"/>
          <w:rtl/>
          <w:lang w:bidi="ar-LB"/>
        </w:rPr>
        <w:t>إنّ</w:t>
      </w:r>
      <w:r w:rsidRPr="006571AC">
        <w:rPr>
          <w:rFonts w:hint="cs"/>
          <w:sz w:val="27"/>
          <w:rtl/>
          <w:lang w:bidi="ar-LB"/>
        </w:rPr>
        <w:t xml:space="preserve"> هناك طريق</w:t>
      </w:r>
      <w:r w:rsidR="008E0060" w:rsidRPr="006571AC">
        <w:rPr>
          <w:rFonts w:hint="cs"/>
          <w:sz w:val="27"/>
          <w:rtl/>
          <w:lang w:bidi="ar-LB"/>
        </w:rPr>
        <w:t>اً</w:t>
      </w:r>
      <w:r w:rsidRPr="006571AC">
        <w:rPr>
          <w:rFonts w:hint="cs"/>
          <w:sz w:val="27"/>
          <w:rtl/>
          <w:lang w:bidi="ar-LB"/>
        </w:rPr>
        <w:t xml:space="preserve"> ثالثة، وهي: </w:t>
      </w:r>
      <w:r w:rsidR="008E0060" w:rsidRPr="006571AC">
        <w:rPr>
          <w:rFonts w:hint="cs"/>
          <w:sz w:val="27"/>
          <w:rtl/>
          <w:lang w:bidi="ar-LB"/>
        </w:rPr>
        <w:t>إنّ إ</w:t>
      </w:r>
      <w:r w:rsidRPr="006571AC">
        <w:rPr>
          <w:rFonts w:hint="cs"/>
          <w:sz w:val="27"/>
          <w:rtl/>
          <w:lang w:bidi="ar-LB"/>
        </w:rPr>
        <w:t>رخاء الع</w:t>
      </w:r>
      <w:r w:rsidR="008E0060" w:rsidRPr="006571AC">
        <w:rPr>
          <w:rFonts w:hint="cs"/>
          <w:sz w:val="27"/>
          <w:rtl/>
          <w:lang w:bidi="ar-LB"/>
        </w:rPr>
        <w:t>َ</w:t>
      </w:r>
      <w:r w:rsidRPr="006571AC">
        <w:rPr>
          <w:rFonts w:hint="cs"/>
          <w:sz w:val="27"/>
          <w:rtl/>
          <w:lang w:bidi="ar-LB"/>
        </w:rPr>
        <w:t>نان بنفسه مطلوب</w:t>
      </w:r>
      <w:r w:rsidR="008E0060" w:rsidRPr="006571AC">
        <w:rPr>
          <w:rFonts w:hint="cs"/>
          <w:sz w:val="27"/>
          <w:rtl/>
          <w:lang w:bidi="ar-LB"/>
        </w:rPr>
        <w:t>ٌ</w:t>
      </w:r>
      <w:r w:rsidRPr="006571AC">
        <w:rPr>
          <w:rFonts w:hint="cs"/>
          <w:sz w:val="27"/>
          <w:rtl/>
          <w:lang w:bidi="ar-LB"/>
        </w:rPr>
        <w:t xml:space="preserve"> المولى، من دو</w:t>
      </w:r>
      <w:r w:rsidR="008E0060" w:rsidRPr="006571AC">
        <w:rPr>
          <w:rFonts w:hint="cs"/>
          <w:sz w:val="27"/>
          <w:rtl/>
          <w:lang w:bidi="ar-LB"/>
        </w:rPr>
        <w:t>ن</w:t>
      </w:r>
      <w:r w:rsidRPr="006571AC">
        <w:rPr>
          <w:rFonts w:hint="cs"/>
          <w:sz w:val="27"/>
          <w:rtl/>
          <w:lang w:bidi="ar-LB"/>
        </w:rPr>
        <w:t xml:space="preserve"> نظر</w:t>
      </w:r>
      <w:r w:rsidR="008E0060" w:rsidRPr="006571AC">
        <w:rPr>
          <w:rFonts w:hint="cs"/>
          <w:sz w:val="27"/>
          <w:rtl/>
          <w:lang w:bidi="ar-LB"/>
        </w:rPr>
        <w:t>ٍ</w:t>
      </w:r>
      <w:r w:rsidRPr="006571AC">
        <w:rPr>
          <w:rFonts w:hint="cs"/>
          <w:sz w:val="27"/>
          <w:rtl/>
          <w:lang w:bidi="ar-LB"/>
        </w:rPr>
        <w:t xml:space="preserve"> </w:t>
      </w:r>
      <w:r w:rsidR="008E0060" w:rsidRPr="006571AC">
        <w:rPr>
          <w:rFonts w:hint="cs"/>
          <w:sz w:val="27"/>
          <w:rtl/>
          <w:lang w:bidi="ar-LB"/>
        </w:rPr>
        <w:t>إ</w:t>
      </w:r>
      <w:r w:rsidRPr="006571AC">
        <w:rPr>
          <w:rFonts w:hint="cs"/>
          <w:sz w:val="27"/>
          <w:rtl/>
          <w:lang w:bidi="ar-LB"/>
        </w:rPr>
        <w:t xml:space="preserve">لى مصلحة التسهيل، بمعنى </w:t>
      </w:r>
      <w:r w:rsidR="008E0060" w:rsidRPr="006571AC">
        <w:rPr>
          <w:rFonts w:hint="cs"/>
          <w:sz w:val="27"/>
          <w:rtl/>
          <w:lang w:bidi="ar-LB"/>
        </w:rPr>
        <w:t>أنّ</w:t>
      </w:r>
      <w:r w:rsidR="005D05ED" w:rsidRPr="006571AC">
        <w:rPr>
          <w:rFonts w:hint="cs"/>
          <w:sz w:val="27"/>
          <w:rtl/>
          <w:lang w:bidi="ar-LB"/>
        </w:rPr>
        <w:t xml:space="preserve"> مطلوب المولى هنا مثل مطلوبية إ</w:t>
      </w:r>
      <w:r w:rsidRPr="006571AC">
        <w:rPr>
          <w:rFonts w:hint="cs"/>
          <w:sz w:val="27"/>
          <w:rtl/>
          <w:lang w:bidi="ar-LB"/>
        </w:rPr>
        <w:t>رخاء الع</w:t>
      </w:r>
      <w:r w:rsidR="005D05ED" w:rsidRPr="006571AC">
        <w:rPr>
          <w:rFonts w:hint="cs"/>
          <w:sz w:val="27"/>
          <w:rtl/>
          <w:lang w:bidi="ar-LB"/>
        </w:rPr>
        <w:t>َ</w:t>
      </w:r>
      <w:r w:rsidRPr="006571AC">
        <w:rPr>
          <w:rFonts w:hint="cs"/>
          <w:sz w:val="27"/>
          <w:rtl/>
          <w:lang w:bidi="ar-LB"/>
        </w:rPr>
        <w:t>نان عند العقل، فكما أنّ</w:t>
      </w:r>
      <w:r w:rsidR="005D05ED" w:rsidRPr="006571AC">
        <w:rPr>
          <w:rFonts w:hint="cs"/>
          <w:sz w:val="27"/>
          <w:rtl/>
          <w:lang w:bidi="ar-LB"/>
        </w:rPr>
        <w:t>ه</w:t>
      </w:r>
      <w:r w:rsidRPr="006571AC">
        <w:rPr>
          <w:rFonts w:hint="cs"/>
          <w:sz w:val="27"/>
          <w:rtl/>
          <w:lang w:bidi="ar-LB"/>
        </w:rPr>
        <w:t xml:space="preserve"> يرى ال</w:t>
      </w:r>
      <w:r w:rsidR="005D05ED" w:rsidRPr="006571AC">
        <w:rPr>
          <w:rFonts w:hint="cs"/>
          <w:sz w:val="27"/>
          <w:rtl/>
          <w:lang w:bidi="ar-LB"/>
        </w:rPr>
        <w:t>م</w:t>
      </w:r>
      <w:r w:rsidRPr="006571AC">
        <w:rPr>
          <w:rFonts w:hint="cs"/>
          <w:sz w:val="27"/>
          <w:rtl/>
          <w:lang w:bidi="ar-LB"/>
        </w:rPr>
        <w:t>كل</w:t>
      </w:r>
      <w:r w:rsidR="005D05ED" w:rsidRPr="006571AC">
        <w:rPr>
          <w:rFonts w:hint="cs"/>
          <w:sz w:val="27"/>
          <w:rtl/>
          <w:lang w:bidi="ar-LB"/>
        </w:rPr>
        <w:t>َّ</w:t>
      </w:r>
      <w:r w:rsidRPr="006571AC">
        <w:rPr>
          <w:rFonts w:hint="cs"/>
          <w:sz w:val="27"/>
          <w:rtl/>
          <w:lang w:bidi="ar-LB"/>
        </w:rPr>
        <w:t>ف مرخي</w:t>
      </w:r>
      <w:r w:rsidR="005D05ED" w:rsidRPr="006571AC">
        <w:rPr>
          <w:rFonts w:hint="cs"/>
          <w:sz w:val="27"/>
          <w:rtl/>
          <w:lang w:bidi="ar-LB"/>
        </w:rPr>
        <w:t>ّ</w:t>
      </w:r>
      <w:r w:rsidRPr="006571AC">
        <w:rPr>
          <w:rFonts w:hint="cs"/>
          <w:sz w:val="27"/>
          <w:rtl/>
          <w:lang w:bidi="ar-LB"/>
        </w:rPr>
        <w:t xml:space="preserve"> الع</w:t>
      </w:r>
      <w:r w:rsidR="005D05ED" w:rsidRPr="006571AC">
        <w:rPr>
          <w:rFonts w:hint="cs"/>
          <w:sz w:val="27"/>
          <w:rtl/>
          <w:lang w:bidi="ar-LB"/>
        </w:rPr>
        <w:t>َ</w:t>
      </w:r>
      <w:r w:rsidRPr="006571AC">
        <w:rPr>
          <w:rFonts w:hint="cs"/>
          <w:sz w:val="27"/>
          <w:rtl/>
          <w:lang w:bidi="ar-LB"/>
        </w:rPr>
        <w:t>نان عند تساوي الملاكات، فكذك المولى</w:t>
      </w:r>
      <w:r w:rsidR="005D05ED" w:rsidRPr="006571AC">
        <w:rPr>
          <w:rFonts w:hint="cs"/>
          <w:sz w:val="27"/>
          <w:rtl/>
          <w:lang w:bidi="ar-LB"/>
        </w:rPr>
        <w:t>،</w:t>
      </w:r>
      <w:r w:rsidRPr="006571AC">
        <w:rPr>
          <w:rFonts w:hint="cs"/>
          <w:sz w:val="27"/>
          <w:rtl/>
          <w:lang w:bidi="ar-LB"/>
        </w:rPr>
        <w:t xml:space="preserve"> وهذا يعني</w:t>
      </w:r>
      <w:r w:rsidR="005D05ED" w:rsidRPr="006571AC">
        <w:rPr>
          <w:rFonts w:hint="cs"/>
          <w:sz w:val="27"/>
          <w:rtl/>
          <w:lang w:bidi="ar-LB"/>
        </w:rPr>
        <w:t xml:space="preserve"> أنّنا نقطع بأنّ إ</w:t>
      </w:r>
      <w:r w:rsidRPr="006571AC">
        <w:rPr>
          <w:rFonts w:hint="cs"/>
          <w:sz w:val="27"/>
          <w:rtl/>
          <w:lang w:bidi="ar-LB"/>
        </w:rPr>
        <w:t>رخاء عنان العبد ثابت</w:t>
      </w:r>
      <w:r w:rsidR="005D05ED" w:rsidRPr="006571AC">
        <w:rPr>
          <w:rFonts w:hint="cs"/>
          <w:sz w:val="27"/>
          <w:rtl/>
          <w:lang w:bidi="ar-LB"/>
        </w:rPr>
        <w:t>ٌ</w:t>
      </w:r>
      <w:r w:rsidRPr="006571AC">
        <w:rPr>
          <w:rFonts w:hint="cs"/>
          <w:sz w:val="27"/>
          <w:rtl/>
          <w:lang w:bidi="ar-LB"/>
        </w:rPr>
        <w:t xml:space="preserve"> عند الشارع أيضاً</w:t>
      </w:r>
      <w:r w:rsidR="005D05ED" w:rsidRPr="006571AC">
        <w:rPr>
          <w:rFonts w:hint="cs"/>
          <w:sz w:val="27"/>
          <w:rtl/>
          <w:lang w:bidi="ar-LB"/>
        </w:rPr>
        <w:t>،</w:t>
      </w:r>
      <w:r w:rsidR="00FF45E7" w:rsidRPr="006571AC">
        <w:rPr>
          <w:rFonts w:hint="cs"/>
          <w:sz w:val="27"/>
          <w:rtl/>
          <w:lang w:bidi="ar-LB"/>
        </w:rPr>
        <w:t xml:space="preserve"> ولو لم يجعل على طبقه إباحة</w:t>
      </w:r>
      <w:r w:rsidR="00650DB7" w:rsidRPr="006571AC">
        <w:rPr>
          <w:rFonts w:hint="cs"/>
          <w:sz w:val="27"/>
          <w:rtl/>
          <w:lang w:bidi="ar-LB"/>
        </w:rPr>
        <w:t xml:space="preserve">ً </w:t>
      </w:r>
      <w:r w:rsidRPr="006571AC">
        <w:rPr>
          <w:rFonts w:hint="cs"/>
          <w:sz w:val="27"/>
          <w:rtl/>
          <w:lang w:bidi="ar-LB"/>
        </w:rPr>
        <w:t xml:space="preserve">شرعيّة؛ </w:t>
      </w:r>
      <w:r w:rsidR="005D05ED" w:rsidRPr="006571AC">
        <w:rPr>
          <w:rFonts w:hint="cs"/>
          <w:sz w:val="27"/>
          <w:rtl/>
          <w:lang w:bidi="ar-LB"/>
        </w:rPr>
        <w:t>فإنّ</w:t>
      </w:r>
      <w:r w:rsidRPr="006571AC">
        <w:rPr>
          <w:rFonts w:hint="cs"/>
          <w:sz w:val="27"/>
          <w:rtl/>
          <w:lang w:bidi="ar-LB"/>
        </w:rPr>
        <w:t xml:space="preserve"> هذا الثبوت بنفسه كافٍ لإضافة إرخاء العنان </w:t>
      </w:r>
      <w:r w:rsidR="00650DB7" w:rsidRPr="006571AC">
        <w:rPr>
          <w:rFonts w:hint="cs"/>
          <w:sz w:val="27"/>
          <w:rtl/>
          <w:lang w:bidi="ar-LB"/>
        </w:rPr>
        <w:t>إ</w:t>
      </w:r>
      <w:r w:rsidRPr="006571AC">
        <w:rPr>
          <w:rFonts w:hint="cs"/>
          <w:sz w:val="27"/>
          <w:rtl/>
          <w:lang w:bidi="ar-LB"/>
        </w:rPr>
        <w:t xml:space="preserve">لى المولى في وعاء التشريع. </w:t>
      </w:r>
    </w:p>
    <w:p w:rsidR="001F3F5A" w:rsidRPr="006571AC" w:rsidRDefault="001F3F5A" w:rsidP="002A2E03">
      <w:pPr>
        <w:tabs>
          <w:tab w:val="right" w:pos="6930"/>
        </w:tabs>
        <w:suppressAutoHyphens/>
        <w:rPr>
          <w:sz w:val="27"/>
          <w:rtl/>
          <w:lang w:bidi="ar-LB"/>
        </w:rPr>
      </w:pPr>
      <w:r w:rsidRPr="006571AC">
        <w:rPr>
          <w:rFonts w:hint="cs"/>
          <w:sz w:val="27"/>
          <w:rtl/>
          <w:lang w:bidi="ar-LB"/>
        </w:rPr>
        <w:t>والمست</w:t>
      </w:r>
      <w:r w:rsidR="005D05ED" w:rsidRPr="006571AC">
        <w:rPr>
          <w:rFonts w:hint="cs"/>
          <w:sz w:val="27"/>
          <w:rtl/>
          <w:lang w:bidi="ar-LB"/>
        </w:rPr>
        <w:t>َخْ</w:t>
      </w:r>
      <w:r w:rsidRPr="006571AC">
        <w:rPr>
          <w:rFonts w:hint="cs"/>
          <w:sz w:val="27"/>
          <w:rtl/>
          <w:lang w:bidi="ar-LB"/>
        </w:rPr>
        <w:t>ل</w:t>
      </w:r>
      <w:r w:rsidR="005D05ED" w:rsidRPr="006571AC">
        <w:rPr>
          <w:rFonts w:hint="cs"/>
          <w:sz w:val="27"/>
          <w:rtl/>
          <w:lang w:bidi="ar-LB"/>
        </w:rPr>
        <w:t>َ</w:t>
      </w:r>
      <w:r w:rsidRPr="006571AC">
        <w:rPr>
          <w:rFonts w:hint="cs"/>
          <w:sz w:val="27"/>
          <w:rtl/>
          <w:lang w:bidi="ar-LB"/>
        </w:rPr>
        <w:t>ص من جميع ما تقدّ</w:t>
      </w:r>
      <w:r w:rsidR="005D05ED" w:rsidRPr="006571AC">
        <w:rPr>
          <w:rFonts w:hint="cs"/>
          <w:sz w:val="27"/>
          <w:rtl/>
          <w:lang w:bidi="ar-LB"/>
        </w:rPr>
        <w:t>َ</w:t>
      </w:r>
      <w:r w:rsidRPr="006571AC">
        <w:rPr>
          <w:rFonts w:hint="cs"/>
          <w:sz w:val="27"/>
          <w:rtl/>
          <w:lang w:bidi="ar-LB"/>
        </w:rPr>
        <w:t xml:space="preserve">م أنّ هناك طريقتين عقليتين لإثبات المطلوب: </w:t>
      </w:r>
    </w:p>
    <w:p w:rsidR="005D05ED" w:rsidRPr="006571AC" w:rsidRDefault="001F3F5A" w:rsidP="002A2E03">
      <w:pPr>
        <w:tabs>
          <w:tab w:val="right" w:pos="6930"/>
        </w:tabs>
        <w:suppressAutoHyphens/>
        <w:rPr>
          <w:sz w:val="27"/>
          <w:rtl/>
          <w:lang w:bidi="ar-LB"/>
        </w:rPr>
      </w:pPr>
      <w:r w:rsidRPr="006571AC">
        <w:rPr>
          <w:rFonts w:hint="cs"/>
          <w:b/>
          <w:bCs/>
          <w:sz w:val="27"/>
          <w:rtl/>
          <w:lang w:bidi="ar-LB"/>
        </w:rPr>
        <w:t>أولاهما</w:t>
      </w:r>
      <w:r w:rsidR="005D05ED" w:rsidRPr="006571AC">
        <w:rPr>
          <w:rFonts w:hint="cs"/>
          <w:sz w:val="27"/>
          <w:rtl/>
          <w:lang w:bidi="ar-LB"/>
        </w:rPr>
        <w:t xml:space="preserve">: </w:t>
      </w:r>
      <w:r w:rsidRPr="006571AC">
        <w:rPr>
          <w:rFonts w:hint="cs"/>
          <w:sz w:val="27"/>
          <w:rtl/>
          <w:lang w:bidi="ar-LB"/>
        </w:rPr>
        <w:t>دعوى عدم خلوّ الوقايع من الح</w:t>
      </w:r>
      <w:r w:rsidR="005D05ED" w:rsidRPr="006571AC">
        <w:rPr>
          <w:rFonts w:hint="cs"/>
          <w:sz w:val="27"/>
          <w:rtl/>
          <w:lang w:bidi="ar-LB"/>
        </w:rPr>
        <w:t>ُ</w:t>
      </w:r>
      <w:r w:rsidRPr="006571AC">
        <w:rPr>
          <w:rFonts w:hint="cs"/>
          <w:sz w:val="27"/>
          <w:rtl/>
          <w:lang w:bidi="ar-LB"/>
        </w:rPr>
        <w:t>س</w:t>
      </w:r>
      <w:r w:rsidR="005D05ED" w:rsidRPr="006571AC">
        <w:rPr>
          <w:rFonts w:hint="cs"/>
          <w:sz w:val="27"/>
          <w:rtl/>
          <w:lang w:bidi="ar-LB"/>
        </w:rPr>
        <w:t>ْ</w:t>
      </w:r>
      <w:r w:rsidRPr="006571AC">
        <w:rPr>
          <w:rFonts w:hint="cs"/>
          <w:sz w:val="27"/>
          <w:rtl/>
          <w:lang w:bidi="ar-LB"/>
        </w:rPr>
        <w:t>ن والق</w:t>
      </w:r>
      <w:r w:rsidR="005D05ED" w:rsidRPr="006571AC">
        <w:rPr>
          <w:rFonts w:hint="cs"/>
          <w:sz w:val="27"/>
          <w:rtl/>
          <w:lang w:bidi="ar-LB"/>
        </w:rPr>
        <w:t>ُ</w:t>
      </w:r>
      <w:r w:rsidRPr="006571AC">
        <w:rPr>
          <w:rFonts w:hint="cs"/>
          <w:sz w:val="27"/>
          <w:rtl/>
          <w:lang w:bidi="ar-LB"/>
        </w:rPr>
        <w:t>ب</w:t>
      </w:r>
      <w:r w:rsidR="005D05ED" w:rsidRPr="006571AC">
        <w:rPr>
          <w:rFonts w:hint="cs"/>
          <w:sz w:val="27"/>
          <w:rtl/>
          <w:lang w:bidi="ar-LB"/>
        </w:rPr>
        <w:t>ْ</w:t>
      </w:r>
      <w:r w:rsidRPr="006571AC">
        <w:rPr>
          <w:rFonts w:hint="cs"/>
          <w:sz w:val="27"/>
          <w:rtl/>
          <w:lang w:bidi="ar-LB"/>
        </w:rPr>
        <w:t>ح</w:t>
      </w:r>
      <w:r w:rsidR="005D05ED" w:rsidRPr="006571AC">
        <w:rPr>
          <w:rFonts w:hint="cs"/>
          <w:sz w:val="27"/>
          <w:rtl/>
          <w:lang w:bidi="ar-LB"/>
        </w:rPr>
        <w:t>، وبما أنّ</w:t>
      </w:r>
      <w:r w:rsidRPr="006571AC">
        <w:rPr>
          <w:rFonts w:hint="cs"/>
          <w:sz w:val="27"/>
          <w:rtl/>
          <w:lang w:bidi="ar-LB"/>
        </w:rPr>
        <w:t xml:space="preserve"> الله تعالى عالم</w:t>
      </w:r>
      <w:r w:rsidR="005D05ED" w:rsidRPr="006571AC">
        <w:rPr>
          <w:rFonts w:hint="cs"/>
          <w:sz w:val="27"/>
          <w:rtl/>
          <w:lang w:bidi="ar-LB"/>
        </w:rPr>
        <w:t>ٌ</w:t>
      </w:r>
      <w:r w:rsidRPr="006571AC">
        <w:rPr>
          <w:rFonts w:hint="cs"/>
          <w:sz w:val="27"/>
          <w:rtl/>
          <w:lang w:bidi="ar-LB"/>
        </w:rPr>
        <w:t xml:space="preserve"> بجميع ذلك ف</w:t>
      </w:r>
      <w:r w:rsidR="00731867" w:rsidRPr="006571AC">
        <w:rPr>
          <w:rFonts w:hint="cs"/>
          <w:sz w:val="27"/>
          <w:rtl/>
          <w:lang w:bidi="ar-LB"/>
        </w:rPr>
        <w:t>لا بُدَّ</w:t>
      </w:r>
      <w:r w:rsidRPr="006571AC">
        <w:rPr>
          <w:rFonts w:hint="cs"/>
          <w:sz w:val="27"/>
          <w:rtl/>
          <w:lang w:bidi="ar-LB"/>
        </w:rPr>
        <w:t xml:space="preserve"> أن تكون لديه إرادة</w:t>
      </w:r>
      <w:r w:rsidR="005D05ED" w:rsidRPr="006571AC">
        <w:rPr>
          <w:rFonts w:hint="cs"/>
          <w:sz w:val="27"/>
          <w:rtl/>
          <w:lang w:bidi="ar-LB"/>
        </w:rPr>
        <w:t>ٌ</w:t>
      </w:r>
      <w:r w:rsidRPr="006571AC">
        <w:rPr>
          <w:rFonts w:hint="cs"/>
          <w:sz w:val="27"/>
          <w:rtl/>
          <w:lang w:bidi="ar-LB"/>
        </w:rPr>
        <w:t xml:space="preserve"> أو كراهة</w:t>
      </w:r>
      <w:r w:rsidR="005D05ED" w:rsidRPr="006571AC">
        <w:rPr>
          <w:rFonts w:hint="cs"/>
          <w:sz w:val="27"/>
          <w:rtl/>
          <w:lang w:bidi="ar-LB"/>
        </w:rPr>
        <w:t>ٌ</w:t>
      </w:r>
      <w:r w:rsidRPr="006571AC">
        <w:rPr>
          <w:rFonts w:hint="cs"/>
          <w:sz w:val="27"/>
          <w:rtl/>
          <w:lang w:bidi="ar-LB"/>
        </w:rPr>
        <w:t xml:space="preserve"> له</w:t>
      </w:r>
      <w:r w:rsidR="005D05ED"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والمشكلة الرئيسة في هذه الطريقة هي</w:t>
      </w:r>
      <w:r w:rsidR="005D05ED" w:rsidRPr="006571AC">
        <w:rPr>
          <w:rFonts w:hint="cs"/>
          <w:sz w:val="27"/>
          <w:rtl/>
          <w:lang w:bidi="ar-LB"/>
        </w:rPr>
        <w:t xml:space="preserve"> </w:t>
      </w:r>
      <w:r w:rsidRPr="006571AC">
        <w:rPr>
          <w:rFonts w:hint="cs"/>
          <w:sz w:val="27"/>
          <w:rtl/>
          <w:lang w:bidi="ar-LB"/>
        </w:rPr>
        <w:t>عدم الدليل على ح</w:t>
      </w:r>
      <w:r w:rsidR="005D05ED" w:rsidRPr="006571AC">
        <w:rPr>
          <w:rFonts w:hint="cs"/>
          <w:sz w:val="27"/>
          <w:rtl/>
          <w:lang w:bidi="ar-LB"/>
        </w:rPr>
        <w:t>َ</w:t>
      </w:r>
      <w:r w:rsidRPr="006571AC">
        <w:rPr>
          <w:rFonts w:hint="cs"/>
          <w:sz w:val="27"/>
          <w:rtl/>
          <w:lang w:bidi="ar-LB"/>
        </w:rPr>
        <w:t>ص</w:t>
      </w:r>
      <w:r w:rsidR="005D05ED" w:rsidRPr="006571AC">
        <w:rPr>
          <w:rFonts w:hint="cs"/>
          <w:sz w:val="27"/>
          <w:rtl/>
          <w:lang w:bidi="ar-LB"/>
        </w:rPr>
        <w:t>ْ</w:t>
      </w:r>
      <w:r w:rsidRPr="006571AC">
        <w:rPr>
          <w:rFonts w:hint="cs"/>
          <w:sz w:val="27"/>
          <w:rtl/>
          <w:lang w:bidi="ar-LB"/>
        </w:rPr>
        <w:t xml:space="preserve">ر الأمور في </w:t>
      </w:r>
      <w:r w:rsidRPr="006571AC">
        <w:rPr>
          <w:rFonts w:hint="cs"/>
          <w:sz w:val="27"/>
          <w:rtl/>
          <w:lang w:bidi="ar-LB"/>
        </w:rPr>
        <w:lastRenderedPageBreak/>
        <w:t xml:space="preserve">الحَسَن والقبيح، فلا يمكن في ضوئها الاحتجاج بالقاعدة في مقام البحث، </w:t>
      </w:r>
      <w:r w:rsidR="005D05ED" w:rsidRPr="006571AC">
        <w:rPr>
          <w:rFonts w:hint="cs"/>
          <w:sz w:val="27"/>
          <w:rtl/>
          <w:lang w:bidi="ar-LB"/>
        </w:rPr>
        <w:t>وإ</w:t>
      </w:r>
      <w:r w:rsidRPr="006571AC">
        <w:rPr>
          <w:rFonts w:hint="cs"/>
          <w:sz w:val="27"/>
          <w:rtl/>
          <w:lang w:bidi="ar-LB"/>
        </w:rPr>
        <w:t>ن</w:t>
      </w:r>
      <w:r w:rsidR="005D05ED" w:rsidRPr="006571AC">
        <w:rPr>
          <w:rFonts w:hint="cs"/>
          <w:sz w:val="27"/>
          <w:rtl/>
          <w:lang w:bidi="ar-LB"/>
        </w:rPr>
        <w:t>ْ صحّ الاستناد إ</w:t>
      </w:r>
      <w:r w:rsidRPr="006571AC">
        <w:rPr>
          <w:rFonts w:hint="cs"/>
          <w:sz w:val="27"/>
          <w:rtl/>
          <w:lang w:bidi="ar-LB"/>
        </w:rPr>
        <w:t>ليها في مقام الاستنباط</w:t>
      </w:r>
      <w:r w:rsidR="005D05ED" w:rsidRPr="006571AC">
        <w:rPr>
          <w:rFonts w:hint="cs"/>
          <w:sz w:val="27"/>
          <w:rtl/>
          <w:lang w:bidi="ar-LB"/>
        </w:rPr>
        <w:t>،</w:t>
      </w:r>
      <w:r w:rsidRPr="006571AC">
        <w:rPr>
          <w:rFonts w:hint="cs"/>
          <w:sz w:val="27"/>
          <w:rtl/>
          <w:lang w:bidi="ar-LB"/>
        </w:rPr>
        <w:t xml:space="preserve"> بعد توفّ</w:t>
      </w:r>
      <w:r w:rsidR="005D05ED" w:rsidRPr="006571AC">
        <w:rPr>
          <w:rFonts w:hint="cs"/>
          <w:sz w:val="27"/>
          <w:rtl/>
          <w:lang w:bidi="ar-LB"/>
        </w:rPr>
        <w:t>ُ</w:t>
      </w:r>
      <w:r w:rsidRPr="006571AC">
        <w:rPr>
          <w:rFonts w:hint="cs"/>
          <w:sz w:val="27"/>
          <w:rtl/>
          <w:lang w:bidi="ar-LB"/>
        </w:rPr>
        <w:t xml:space="preserve">ر الوثوق والاطمئنان. </w:t>
      </w:r>
    </w:p>
    <w:p w:rsidR="005D05ED" w:rsidRPr="006571AC" w:rsidRDefault="001F3F5A" w:rsidP="002A2E03">
      <w:pPr>
        <w:tabs>
          <w:tab w:val="right" w:pos="6930"/>
        </w:tabs>
        <w:suppressAutoHyphens/>
        <w:rPr>
          <w:sz w:val="27"/>
          <w:rtl/>
          <w:lang w:bidi="ar-LB"/>
        </w:rPr>
      </w:pPr>
      <w:r w:rsidRPr="006571AC">
        <w:rPr>
          <w:rFonts w:hint="cs"/>
          <w:b/>
          <w:bCs/>
          <w:sz w:val="27"/>
          <w:rtl/>
          <w:lang w:bidi="ar-LB"/>
        </w:rPr>
        <w:t>والثانية</w:t>
      </w:r>
      <w:r w:rsidRPr="006571AC">
        <w:rPr>
          <w:rFonts w:hint="cs"/>
          <w:sz w:val="27"/>
          <w:rtl/>
          <w:lang w:bidi="ar-LB"/>
        </w:rPr>
        <w:t>: دعوى عدم خلوّ الوقايع من المصالح أو المفاسد، المقتضية للجعل والتشريع بالنسبة إليها</w:t>
      </w:r>
      <w:r w:rsidR="005D05ED"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وهذه طريقة</w:t>
      </w:r>
      <w:r w:rsidR="005D05ED" w:rsidRPr="006571AC">
        <w:rPr>
          <w:rFonts w:hint="cs"/>
          <w:sz w:val="27"/>
          <w:rtl/>
          <w:lang w:bidi="ar-LB"/>
        </w:rPr>
        <w:t>ٌ</w:t>
      </w:r>
      <w:r w:rsidRPr="006571AC">
        <w:rPr>
          <w:rFonts w:hint="cs"/>
          <w:sz w:val="27"/>
          <w:rtl/>
          <w:lang w:bidi="ar-LB"/>
        </w:rPr>
        <w:t xml:space="preserve"> تامّة قطعي</w:t>
      </w:r>
      <w:r w:rsidR="005D05ED" w:rsidRPr="006571AC">
        <w:rPr>
          <w:rFonts w:hint="cs"/>
          <w:sz w:val="27"/>
          <w:rtl/>
          <w:lang w:bidi="ar-LB"/>
        </w:rPr>
        <w:t>ّ</w:t>
      </w:r>
      <w:r w:rsidRPr="006571AC">
        <w:rPr>
          <w:rFonts w:hint="cs"/>
          <w:sz w:val="27"/>
          <w:rtl/>
          <w:lang w:bidi="ar-LB"/>
        </w:rPr>
        <w:t>ة في ضوء ما سبق، وإن</w:t>
      </w:r>
      <w:r w:rsidR="005D05ED" w:rsidRPr="006571AC">
        <w:rPr>
          <w:rFonts w:hint="cs"/>
          <w:sz w:val="27"/>
          <w:rtl/>
          <w:lang w:bidi="ar-LB"/>
        </w:rPr>
        <w:t>ْ</w:t>
      </w:r>
      <w:r w:rsidRPr="006571AC">
        <w:rPr>
          <w:rFonts w:hint="cs"/>
          <w:sz w:val="27"/>
          <w:rtl/>
          <w:lang w:bidi="ar-LB"/>
        </w:rPr>
        <w:t xml:space="preserve"> لم يثبت بها</w:t>
      </w:r>
      <w:r w:rsidR="005D05ED" w:rsidRPr="006571AC">
        <w:rPr>
          <w:rFonts w:hint="cs"/>
          <w:sz w:val="27"/>
          <w:rtl/>
          <w:lang w:bidi="ar-LB"/>
        </w:rPr>
        <w:t>،</w:t>
      </w:r>
      <w:r w:rsidRPr="006571AC">
        <w:rPr>
          <w:rFonts w:hint="cs"/>
          <w:sz w:val="27"/>
          <w:rtl/>
          <w:lang w:bidi="ar-LB"/>
        </w:rPr>
        <w:t xml:space="preserve"> ولا بسابقتها</w:t>
      </w:r>
      <w:r w:rsidR="005D05ED" w:rsidRPr="006571AC">
        <w:rPr>
          <w:rFonts w:hint="cs"/>
          <w:sz w:val="27"/>
          <w:rtl/>
          <w:lang w:bidi="ar-LB"/>
        </w:rPr>
        <w:t>،</w:t>
      </w:r>
      <w:r w:rsidRPr="006571AC">
        <w:rPr>
          <w:rFonts w:hint="cs"/>
          <w:sz w:val="27"/>
          <w:rtl/>
          <w:lang w:bidi="ar-LB"/>
        </w:rPr>
        <w:t xml:space="preserve"> أكثر من الإرادة والكراهة كما عرف</w:t>
      </w:r>
      <w:r w:rsidR="005D05ED" w:rsidRPr="006571AC">
        <w:rPr>
          <w:rFonts w:hint="cs"/>
          <w:sz w:val="27"/>
          <w:rtl/>
          <w:lang w:bidi="ar-LB"/>
        </w:rPr>
        <w:t>ْ</w:t>
      </w:r>
      <w:r w:rsidRPr="006571AC">
        <w:rPr>
          <w:rFonts w:hint="cs"/>
          <w:sz w:val="27"/>
          <w:rtl/>
          <w:lang w:bidi="ar-LB"/>
        </w:rPr>
        <w:t>ت</w:t>
      </w:r>
      <w:r w:rsidR="005D05ED" w:rsidRPr="006571AC">
        <w:rPr>
          <w:rFonts w:hint="cs"/>
          <w:sz w:val="27"/>
          <w:rtl/>
          <w:lang w:bidi="ar-LB"/>
        </w:rPr>
        <w:t>َ.</w:t>
      </w:r>
      <w:r w:rsidRPr="006571AC">
        <w:rPr>
          <w:rFonts w:hint="cs"/>
          <w:sz w:val="27"/>
          <w:rtl/>
          <w:lang w:bidi="ar-LB"/>
        </w:rPr>
        <w:t xml:space="preserve"> هذا كل</w:t>
      </w:r>
      <w:r w:rsidR="005D05ED" w:rsidRPr="006571AC">
        <w:rPr>
          <w:rFonts w:hint="cs"/>
          <w:sz w:val="27"/>
          <w:rtl/>
          <w:lang w:bidi="ar-LB"/>
        </w:rPr>
        <w:t>ُّ</w:t>
      </w:r>
      <w:r w:rsidRPr="006571AC">
        <w:rPr>
          <w:rFonts w:hint="cs"/>
          <w:sz w:val="27"/>
          <w:rtl/>
          <w:lang w:bidi="ar-LB"/>
        </w:rPr>
        <w:t xml:space="preserve">ه في المرحلة الأولى. </w:t>
      </w:r>
    </w:p>
    <w:p w:rsidR="0067688E" w:rsidRPr="006571AC" w:rsidRDefault="0067688E" w:rsidP="0067688E">
      <w:pPr>
        <w:spacing w:line="420" w:lineRule="exact"/>
        <w:rPr>
          <w:rFonts w:ascii="Arabic Typesetting" w:hAnsi="Arabic Typesetting"/>
          <w:sz w:val="27"/>
          <w:rtl/>
          <w:lang w:bidi="ar-LB"/>
        </w:rPr>
      </w:pPr>
    </w:p>
    <w:p w:rsidR="001F3F5A" w:rsidRPr="006571AC" w:rsidRDefault="001F3F5A" w:rsidP="002A2E03">
      <w:pPr>
        <w:pStyle w:val="31"/>
        <w:spacing w:line="400" w:lineRule="exact"/>
        <w:rPr>
          <w:color w:val="auto"/>
          <w:rtl/>
          <w:lang w:bidi="ar-LB"/>
        </w:rPr>
      </w:pPr>
      <w:bookmarkStart w:id="393" w:name="_Toc114164805"/>
      <w:r w:rsidRPr="006571AC">
        <w:rPr>
          <w:rFonts w:hint="cs"/>
          <w:color w:val="auto"/>
          <w:rtl/>
          <w:lang w:bidi="ar-LB"/>
        </w:rPr>
        <w:t xml:space="preserve">المرحلة الثانية: </w:t>
      </w:r>
      <w:r w:rsidR="004A42AD" w:rsidRPr="006571AC">
        <w:rPr>
          <w:rFonts w:hint="cs"/>
          <w:color w:val="auto"/>
          <w:rtl/>
          <w:lang w:bidi="ar-LB"/>
        </w:rPr>
        <w:t>المدارك النقليّة ل</w:t>
      </w:r>
      <w:r w:rsidRPr="006571AC">
        <w:rPr>
          <w:rFonts w:hint="cs"/>
          <w:color w:val="auto"/>
          <w:rtl/>
          <w:lang w:bidi="ar-LB"/>
        </w:rPr>
        <w:t>لقاعدة</w:t>
      </w:r>
      <w:bookmarkEnd w:id="393"/>
    </w:p>
    <w:p w:rsidR="001F3F5A" w:rsidRPr="006571AC" w:rsidRDefault="001F3F5A" w:rsidP="002A2E03">
      <w:pPr>
        <w:tabs>
          <w:tab w:val="right" w:pos="6930"/>
        </w:tabs>
        <w:suppressAutoHyphens/>
        <w:rPr>
          <w:sz w:val="27"/>
          <w:rtl/>
          <w:lang w:bidi="ar-LB"/>
        </w:rPr>
      </w:pPr>
      <w:r w:rsidRPr="006571AC">
        <w:rPr>
          <w:rFonts w:hint="cs"/>
          <w:sz w:val="27"/>
          <w:rtl/>
          <w:lang w:bidi="ar-LB"/>
        </w:rPr>
        <w:t>أش</w:t>
      </w:r>
      <w:r w:rsidR="005D05ED" w:rsidRPr="006571AC">
        <w:rPr>
          <w:rFonts w:hint="cs"/>
          <w:sz w:val="27"/>
          <w:rtl/>
          <w:lang w:bidi="ar-LB"/>
        </w:rPr>
        <w:t>َ</w:t>
      </w:r>
      <w:r w:rsidRPr="006571AC">
        <w:rPr>
          <w:rFonts w:hint="cs"/>
          <w:sz w:val="27"/>
          <w:rtl/>
          <w:lang w:bidi="ar-LB"/>
        </w:rPr>
        <w:t>ر</w:t>
      </w:r>
      <w:r w:rsidR="005D05ED" w:rsidRPr="006571AC">
        <w:rPr>
          <w:rFonts w:hint="cs"/>
          <w:sz w:val="27"/>
          <w:rtl/>
          <w:lang w:bidi="ar-LB"/>
        </w:rPr>
        <w:t>ْ</w:t>
      </w:r>
      <w:r w:rsidRPr="006571AC">
        <w:rPr>
          <w:rFonts w:hint="cs"/>
          <w:sz w:val="27"/>
          <w:rtl/>
          <w:lang w:bidi="ar-LB"/>
        </w:rPr>
        <w:t>نا في</w:t>
      </w:r>
      <w:r w:rsidR="005D05ED" w:rsidRPr="006571AC">
        <w:rPr>
          <w:rFonts w:hint="cs"/>
          <w:sz w:val="27"/>
          <w:rtl/>
          <w:lang w:bidi="ar-LB"/>
        </w:rPr>
        <w:t xml:space="preserve"> </w:t>
      </w:r>
      <w:r w:rsidRPr="006571AC">
        <w:rPr>
          <w:rFonts w:hint="cs"/>
          <w:sz w:val="27"/>
          <w:rtl/>
          <w:lang w:bidi="ar-LB"/>
        </w:rPr>
        <w:t xml:space="preserve">ما سبق </w:t>
      </w:r>
      <w:r w:rsidR="005D05ED" w:rsidRPr="006571AC">
        <w:rPr>
          <w:rFonts w:hint="cs"/>
          <w:sz w:val="27"/>
          <w:rtl/>
          <w:lang w:bidi="ar-LB"/>
        </w:rPr>
        <w:t>إ</w:t>
      </w:r>
      <w:r w:rsidRPr="006571AC">
        <w:rPr>
          <w:rFonts w:hint="cs"/>
          <w:sz w:val="27"/>
          <w:rtl/>
          <w:lang w:bidi="ar-LB"/>
        </w:rPr>
        <w:t>لى أنّ الأصحاب لم يتعر</w:t>
      </w:r>
      <w:r w:rsidR="005D05ED" w:rsidRPr="006571AC">
        <w:rPr>
          <w:rFonts w:hint="cs"/>
          <w:sz w:val="27"/>
          <w:rtl/>
          <w:lang w:bidi="ar-LB"/>
        </w:rPr>
        <w:t>َّ</w:t>
      </w:r>
      <w:r w:rsidRPr="006571AC">
        <w:rPr>
          <w:rFonts w:hint="cs"/>
          <w:sz w:val="27"/>
          <w:rtl/>
          <w:lang w:bidi="ar-LB"/>
        </w:rPr>
        <w:t xml:space="preserve">ضوا لهذه الجهة بالتفصيل، واقتصروا على القول: </w:t>
      </w:r>
      <w:r w:rsidR="00084BB2" w:rsidRPr="006571AC">
        <w:rPr>
          <w:rFonts w:hint="cs"/>
          <w:sz w:val="27"/>
          <w:rtl/>
          <w:lang w:bidi="ar-LB"/>
        </w:rPr>
        <w:t>إنّ</w:t>
      </w:r>
      <w:r w:rsidRPr="006571AC">
        <w:rPr>
          <w:rFonts w:hint="cs"/>
          <w:sz w:val="27"/>
          <w:rtl/>
          <w:lang w:bidi="ar-LB"/>
        </w:rPr>
        <w:t xml:space="preserve"> المسألة ضرورية</w:t>
      </w:r>
      <w:r w:rsidR="00084BB2" w:rsidRPr="006571AC">
        <w:rPr>
          <w:rFonts w:hint="cs"/>
          <w:sz w:val="27"/>
          <w:rtl/>
          <w:lang w:bidi="ar-LB"/>
        </w:rPr>
        <w:t>ٌ؛</w:t>
      </w:r>
      <w:r w:rsidRPr="006571AC">
        <w:rPr>
          <w:rFonts w:hint="cs"/>
          <w:sz w:val="27"/>
          <w:rtl/>
          <w:lang w:bidi="ar-LB"/>
        </w:rPr>
        <w:t xml:space="preserve"> أو إنها محلّ الاتفاق والإجماع</w:t>
      </w:r>
      <w:r w:rsidR="00084BB2" w:rsidRPr="006571AC">
        <w:rPr>
          <w:rFonts w:hint="cs"/>
          <w:sz w:val="27"/>
          <w:rtl/>
          <w:lang w:bidi="ar-LB"/>
        </w:rPr>
        <w:t>؛</w:t>
      </w:r>
      <w:r w:rsidRPr="006571AC">
        <w:rPr>
          <w:rFonts w:hint="cs"/>
          <w:sz w:val="27"/>
          <w:rtl/>
          <w:lang w:bidi="ar-LB"/>
        </w:rPr>
        <w:t xml:space="preserve"> أو إنّ الأخبار متواترة</w:t>
      </w:r>
      <w:r w:rsidR="00084BB2" w:rsidRPr="006571AC">
        <w:rPr>
          <w:rFonts w:hint="cs"/>
          <w:sz w:val="27"/>
          <w:rtl/>
          <w:lang w:bidi="ar-LB"/>
        </w:rPr>
        <w:t>ٌ</w:t>
      </w:r>
      <w:r w:rsidRPr="006571AC">
        <w:rPr>
          <w:rFonts w:hint="cs"/>
          <w:sz w:val="27"/>
          <w:rtl/>
          <w:lang w:bidi="ar-LB"/>
        </w:rPr>
        <w:t xml:space="preserve"> بها</w:t>
      </w:r>
      <w:r w:rsidR="00084BB2" w:rsidRPr="006571AC">
        <w:rPr>
          <w:rFonts w:hint="cs"/>
          <w:sz w:val="27"/>
          <w:rtl/>
          <w:lang w:bidi="ar-LB"/>
        </w:rPr>
        <w:t>؛</w:t>
      </w:r>
      <w:r w:rsidRPr="006571AC">
        <w:rPr>
          <w:rFonts w:hint="cs"/>
          <w:sz w:val="27"/>
          <w:rtl/>
          <w:lang w:bidi="ar-LB"/>
        </w:rPr>
        <w:t xml:space="preserve"> أو غير ذلك من التعابير</w:t>
      </w:r>
      <w:r w:rsidR="00084BB2" w:rsidRPr="006571AC">
        <w:rPr>
          <w:rFonts w:hint="cs"/>
          <w:sz w:val="27"/>
          <w:rtl/>
          <w:lang w:bidi="ar-LB"/>
        </w:rPr>
        <w:t xml:space="preserve"> المختلفة</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ولا يخف</w:t>
      </w:r>
      <w:r w:rsidR="00084BB2" w:rsidRPr="006571AC">
        <w:rPr>
          <w:rFonts w:hint="cs"/>
          <w:sz w:val="27"/>
          <w:rtl/>
          <w:lang w:bidi="ar-LB"/>
        </w:rPr>
        <w:t>ى</w:t>
      </w:r>
      <w:r w:rsidRPr="006571AC">
        <w:rPr>
          <w:rFonts w:hint="cs"/>
          <w:sz w:val="27"/>
          <w:rtl/>
          <w:lang w:bidi="ar-LB"/>
        </w:rPr>
        <w:t xml:space="preserve"> أنّه لا مجال في المقام لدعوى الضرورة، بقدر ما تقد</w:t>
      </w:r>
      <w:r w:rsidR="00084BB2" w:rsidRPr="006571AC">
        <w:rPr>
          <w:rFonts w:hint="cs"/>
          <w:sz w:val="27"/>
          <w:rtl/>
          <w:lang w:bidi="ar-LB"/>
        </w:rPr>
        <w:t>َّ</w:t>
      </w:r>
      <w:r w:rsidRPr="006571AC">
        <w:rPr>
          <w:rFonts w:hint="cs"/>
          <w:sz w:val="27"/>
          <w:rtl/>
          <w:lang w:bidi="ar-LB"/>
        </w:rPr>
        <w:t>م من إنكار بعض كبار الأصحاب</w:t>
      </w:r>
      <w:r w:rsidR="00084BB2" w:rsidRPr="006571AC">
        <w:rPr>
          <w:rFonts w:hint="cs"/>
          <w:sz w:val="27"/>
          <w:rtl/>
          <w:lang w:bidi="ar-LB"/>
        </w:rPr>
        <w:t>،</w:t>
      </w:r>
      <w:r w:rsidRPr="006571AC">
        <w:rPr>
          <w:rFonts w:hint="cs"/>
          <w:sz w:val="27"/>
          <w:rtl/>
          <w:lang w:bidi="ar-LB"/>
        </w:rPr>
        <w:t xml:space="preserve"> كالمحق</w:t>
      </w:r>
      <w:r w:rsidR="00084BB2" w:rsidRPr="006571AC">
        <w:rPr>
          <w:rFonts w:hint="cs"/>
          <w:sz w:val="27"/>
          <w:rtl/>
          <w:lang w:bidi="ar-LB"/>
        </w:rPr>
        <w:t>ِّ</w:t>
      </w:r>
      <w:r w:rsidRPr="006571AC">
        <w:rPr>
          <w:rFonts w:hint="cs"/>
          <w:sz w:val="27"/>
          <w:rtl/>
          <w:lang w:bidi="ar-LB"/>
        </w:rPr>
        <w:t>ق الخراساني والمحق</w:t>
      </w:r>
      <w:r w:rsidR="00084BB2" w:rsidRPr="006571AC">
        <w:rPr>
          <w:rFonts w:hint="cs"/>
          <w:sz w:val="27"/>
          <w:rtl/>
          <w:lang w:bidi="ar-LB"/>
        </w:rPr>
        <w:t>ِّ</w:t>
      </w:r>
      <w:r w:rsidRPr="006571AC">
        <w:rPr>
          <w:rFonts w:hint="cs"/>
          <w:sz w:val="27"/>
          <w:rtl/>
          <w:lang w:bidi="ar-LB"/>
        </w:rPr>
        <w:t xml:space="preserve">ق الرشتي </w:t>
      </w:r>
      <w:r w:rsidR="00084BB2" w:rsidRPr="006571AC">
        <w:rPr>
          <w:rFonts w:hint="cs"/>
          <w:sz w:val="27"/>
          <w:rtl/>
          <w:lang w:bidi="ar-LB"/>
        </w:rPr>
        <w:t>والإمام الخميني</w:t>
      </w:r>
      <w:r w:rsidRPr="006571AC">
        <w:rPr>
          <w:sz w:val="27"/>
          <w:vertAlign w:val="superscript"/>
          <w:rtl/>
          <w:lang w:bidi="ar-LB"/>
        </w:rPr>
        <w:t>(</w:t>
      </w:r>
      <w:r w:rsidRPr="006571AC">
        <w:rPr>
          <w:rStyle w:val="ac"/>
          <w:sz w:val="27"/>
          <w:rtl/>
          <w:lang w:bidi="ar-LB"/>
        </w:rPr>
        <w:endnoteReference w:id="630"/>
      </w:r>
      <w:r w:rsidRPr="006571AC">
        <w:rPr>
          <w:sz w:val="27"/>
          <w:vertAlign w:val="superscript"/>
          <w:rtl/>
          <w:lang w:bidi="ar-LB"/>
        </w:rPr>
        <w:t>)</w:t>
      </w:r>
      <w:r w:rsidRPr="006571AC">
        <w:rPr>
          <w:rFonts w:hint="cs"/>
          <w:sz w:val="27"/>
          <w:rtl/>
          <w:lang w:bidi="ar-LB"/>
        </w:rPr>
        <w:t xml:space="preserve">. </w:t>
      </w:r>
    </w:p>
    <w:p w:rsidR="001F3F5A" w:rsidRPr="006571AC" w:rsidRDefault="001F3F5A" w:rsidP="00650DB7">
      <w:pPr>
        <w:tabs>
          <w:tab w:val="right" w:pos="6930"/>
        </w:tabs>
        <w:suppressAutoHyphens/>
        <w:rPr>
          <w:sz w:val="27"/>
          <w:rtl/>
          <w:lang w:bidi="ar-LB"/>
        </w:rPr>
      </w:pPr>
      <w:r w:rsidRPr="006571AC">
        <w:rPr>
          <w:rFonts w:hint="cs"/>
          <w:sz w:val="27"/>
          <w:rtl/>
          <w:lang w:bidi="ar-LB"/>
        </w:rPr>
        <w:t>وأمّا ال</w:t>
      </w:r>
      <w:r w:rsidR="00084BB2" w:rsidRPr="006571AC">
        <w:rPr>
          <w:rFonts w:hint="cs"/>
          <w:sz w:val="27"/>
          <w:rtl/>
          <w:lang w:bidi="ar-LB"/>
        </w:rPr>
        <w:t>إجماع</w:t>
      </w:r>
      <w:r w:rsidRPr="006571AC">
        <w:rPr>
          <w:rFonts w:hint="cs"/>
          <w:sz w:val="27"/>
          <w:rtl/>
          <w:lang w:bidi="ar-LB"/>
        </w:rPr>
        <w:t xml:space="preserve"> فحيث </w:t>
      </w:r>
      <w:r w:rsidR="00084BB2" w:rsidRPr="006571AC">
        <w:rPr>
          <w:rFonts w:hint="cs"/>
          <w:sz w:val="27"/>
          <w:rtl/>
          <w:lang w:bidi="ar-LB"/>
        </w:rPr>
        <w:t>إ</w:t>
      </w:r>
      <w:r w:rsidRPr="006571AC">
        <w:rPr>
          <w:rFonts w:hint="cs"/>
          <w:sz w:val="27"/>
          <w:rtl/>
          <w:lang w:bidi="ar-LB"/>
        </w:rPr>
        <w:t>نه مدركي</w:t>
      </w:r>
      <w:r w:rsidR="00084BB2" w:rsidRPr="006571AC">
        <w:rPr>
          <w:rFonts w:hint="cs"/>
          <w:sz w:val="27"/>
          <w:rtl/>
          <w:lang w:bidi="ar-LB"/>
        </w:rPr>
        <w:t>ٌّ</w:t>
      </w:r>
      <w:r w:rsidRPr="006571AC">
        <w:rPr>
          <w:rFonts w:hint="cs"/>
          <w:sz w:val="27"/>
          <w:rtl/>
          <w:lang w:bidi="ar-LB"/>
        </w:rPr>
        <w:t xml:space="preserve"> قطعاً</w:t>
      </w:r>
      <w:r w:rsidR="00650DB7" w:rsidRPr="006571AC">
        <w:rPr>
          <w:rFonts w:hint="cs"/>
          <w:sz w:val="27"/>
          <w:rtl/>
          <w:lang w:bidi="ar-LB"/>
        </w:rPr>
        <w:t>؛</w:t>
      </w:r>
      <w:r w:rsidRPr="006571AC">
        <w:rPr>
          <w:rFonts w:hint="cs"/>
          <w:sz w:val="27"/>
          <w:rtl/>
          <w:lang w:bidi="ar-LB"/>
        </w:rPr>
        <w:t xml:space="preserve"> بعد تمس</w:t>
      </w:r>
      <w:r w:rsidR="00084BB2" w:rsidRPr="006571AC">
        <w:rPr>
          <w:rFonts w:hint="cs"/>
          <w:sz w:val="27"/>
          <w:rtl/>
          <w:lang w:bidi="ar-LB"/>
        </w:rPr>
        <w:t>ُّ</w:t>
      </w:r>
      <w:r w:rsidRPr="006571AC">
        <w:rPr>
          <w:rFonts w:hint="cs"/>
          <w:sz w:val="27"/>
          <w:rtl/>
          <w:lang w:bidi="ar-LB"/>
        </w:rPr>
        <w:t>ك الأكثرين به</w:t>
      </w:r>
      <w:r w:rsidR="00084BB2" w:rsidRPr="006571AC">
        <w:rPr>
          <w:rFonts w:hint="cs"/>
          <w:sz w:val="27"/>
          <w:rtl/>
          <w:lang w:bidi="ar-LB"/>
        </w:rPr>
        <w:t>،</w:t>
      </w:r>
      <w:r w:rsidRPr="006571AC">
        <w:rPr>
          <w:rFonts w:hint="cs"/>
          <w:sz w:val="27"/>
          <w:rtl/>
          <w:lang w:bidi="ar-LB"/>
        </w:rPr>
        <w:t xml:space="preserve"> ولو بالإشارة والإضمار</w:t>
      </w:r>
      <w:r w:rsidR="00084BB2" w:rsidRPr="006571AC">
        <w:rPr>
          <w:rFonts w:hint="cs"/>
          <w:sz w:val="27"/>
          <w:rtl/>
          <w:lang w:bidi="ar-LB"/>
        </w:rPr>
        <w:t>،</w:t>
      </w:r>
      <w:r w:rsidRPr="006571AC">
        <w:rPr>
          <w:rFonts w:hint="cs"/>
          <w:sz w:val="27"/>
          <w:rtl/>
          <w:lang w:bidi="ar-LB"/>
        </w:rPr>
        <w:t xml:space="preserve"> أو أنّه محتمل المدركي</w:t>
      </w:r>
      <w:r w:rsidR="00084BB2" w:rsidRPr="006571AC">
        <w:rPr>
          <w:rFonts w:hint="cs"/>
          <w:sz w:val="27"/>
          <w:rtl/>
          <w:lang w:bidi="ar-LB"/>
        </w:rPr>
        <w:t>ّ</w:t>
      </w:r>
      <w:r w:rsidRPr="006571AC">
        <w:rPr>
          <w:rFonts w:hint="cs"/>
          <w:sz w:val="27"/>
          <w:rtl/>
          <w:lang w:bidi="ar-LB"/>
        </w:rPr>
        <w:t>ة في الأقل</w:t>
      </w:r>
      <w:r w:rsidR="00084BB2" w:rsidRPr="006571AC">
        <w:rPr>
          <w:rFonts w:hint="cs"/>
          <w:sz w:val="27"/>
          <w:rtl/>
          <w:lang w:bidi="ar-LB"/>
        </w:rPr>
        <w:t>ّ</w:t>
      </w:r>
      <w:r w:rsidR="00650DB7" w:rsidRPr="006571AC">
        <w:rPr>
          <w:rFonts w:hint="cs"/>
          <w:sz w:val="27"/>
          <w:rtl/>
          <w:lang w:bidi="ar-LB"/>
        </w:rPr>
        <w:t>؛</w:t>
      </w:r>
      <w:r w:rsidRPr="006571AC">
        <w:rPr>
          <w:rFonts w:hint="cs"/>
          <w:sz w:val="27"/>
          <w:rtl/>
          <w:lang w:bidi="ar-LB"/>
        </w:rPr>
        <w:t xml:space="preserve"> إذا احتم</w:t>
      </w:r>
      <w:r w:rsidR="00084BB2" w:rsidRPr="006571AC">
        <w:rPr>
          <w:rFonts w:hint="cs"/>
          <w:sz w:val="27"/>
          <w:rtl/>
          <w:lang w:bidi="ar-LB"/>
        </w:rPr>
        <w:t>َ</w:t>
      </w:r>
      <w:r w:rsidRPr="006571AC">
        <w:rPr>
          <w:rFonts w:hint="cs"/>
          <w:sz w:val="27"/>
          <w:rtl/>
          <w:lang w:bidi="ar-LB"/>
        </w:rPr>
        <w:t>ل</w:t>
      </w:r>
      <w:r w:rsidR="00084BB2" w:rsidRPr="006571AC">
        <w:rPr>
          <w:rFonts w:hint="cs"/>
          <w:sz w:val="27"/>
          <w:rtl/>
          <w:lang w:bidi="ar-LB"/>
        </w:rPr>
        <w:t>ْ</w:t>
      </w:r>
      <w:r w:rsidRPr="006571AC">
        <w:rPr>
          <w:rFonts w:hint="cs"/>
          <w:sz w:val="27"/>
          <w:rtl/>
          <w:lang w:bidi="ar-LB"/>
        </w:rPr>
        <w:t>نا أنّ استنادهم إليه لم يكن إلاّ تبريراً لما انتقل إليهم من ارتكاز</w:t>
      </w:r>
      <w:r w:rsidR="00084BB2" w:rsidRPr="006571AC">
        <w:rPr>
          <w:rFonts w:hint="cs"/>
          <w:sz w:val="27"/>
          <w:rtl/>
          <w:lang w:bidi="ar-LB"/>
        </w:rPr>
        <w:t>ٍ</w:t>
      </w:r>
      <w:r w:rsidRPr="006571AC">
        <w:rPr>
          <w:rFonts w:hint="cs"/>
          <w:sz w:val="27"/>
          <w:rtl/>
          <w:lang w:bidi="ar-LB"/>
        </w:rPr>
        <w:t xml:space="preserve">، فلا مجال للاستناد إليه في المقام. </w:t>
      </w:r>
    </w:p>
    <w:p w:rsidR="001F3F5A" w:rsidRPr="006571AC" w:rsidRDefault="001F3F5A" w:rsidP="00650DB7">
      <w:pPr>
        <w:tabs>
          <w:tab w:val="right" w:pos="6930"/>
        </w:tabs>
        <w:suppressAutoHyphens/>
        <w:rPr>
          <w:sz w:val="27"/>
          <w:rtl/>
          <w:lang w:bidi="ar-LB"/>
        </w:rPr>
      </w:pPr>
      <w:r w:rsidRPr="006571AC">
        <w:rPr>
          <w:rFonts w:hint="cs"/>
          <w:sz w:val="27"/>
          <w:rtl/>
          <w:lang w:bidi="ar-LB"/>
        </w:rPr>
        <w:t xml:space="preserve">مضافاً </w:t>
      </w:r>
      <w:r w:rsidR="00084BB2" w:rsidRPr="006571AC">
        <w:rPr>
          <w:rFonts w:hint="cs"/>
          <w:sz w:val="27"/>
          <w:rtl/>
          <w:lang w:bidi="ar-LB"/>
        </w:rPr>
        <w:t>إ</w:t>
      </w:r>
      <w:r w:rsidRPr="006571AC">
        <w:rPr>
          <w:rFonts w:hint="cs"/>
          <w:sz w:val="27"/>
          <w:rtl/>
          <w:lang w:bidi="ar-LB"/>
        </w:rPr>
        <w:t>لى ما قد ي</w:t>
      </w:r>
      <w:r w:rsidR="00084BB2" w:rsidRPr="006571AC">
        <w:rPr>
          <w:rFonts w:hint="cs"/>
          <w:sz w:val="27"/>
          <w:rtl/>
          <w:lang w:bidi="ar-LB"/>
        </w:rPr>
        <w:t>ُ</w:t>
      </w:r>
      <w:r w:rsidRPr="006571AC">
        <w:rPr>
          <w:rFonts w:hint="cs"/>
          <w:sz w:val="27"/>
          <w:rtl/>
          <w:lang w:bidi="ar-LB"/>
        </w:rPr>
        <w:t>قال من أنّ المسألة ليست تعب</w:t>
      </w:r>
      <w:r w:rsidR="00084BB2" w:rsidRPr="006571AC">
        <w:rPr>
          <w:rFonts w:hint="cs"/>
          <w:sz w:val="27"/>
          <w:rtl/>
          <w:lang w:bidi="ar-LB"/>
        </w:rPr>
        <w:t>ُّ</w:t>
      </w:r>
      <w:r w:rsidRPr="006571AC">
        <w:rPr>
          <w:rFonts w:hint="cs"/>
          <w:sz w:val="27"/>
          <w:rtl/>
          <w:lang w:bidi="ar-LB"/>
        </w:rPr>
        <w:t>دي</w:t>
      </w:r>
      <w:r w:rsidR="00084BB2" w:rsidRPr="006571AC">
        <w:rPr>
          <w:rFonts w:hint="cs"/>
          <w:sz w:val="27"/>
          <w:rtl/>
          <w:lang w:bidi="ar-LB"/>
        </w:rPr>
        <w:t>ّ</w:t>
      </w:r>
      <w:r w:rsidRPr="006571AC">
        <w:rPr>
          <w:rFonts w:hint="cs"/>
          <w:sz w:val="27"/>
          <w:rtl/>
          <w:lang w:bidi="ar-LB"/>
        </w:rPr>
        <w:t>ة</w:t>
      </w:r>
      <w:r w:rsidR="00084BB2" w:rsidRPr="006571AC">
        <w:rPr>
          <w:rFonts w:hint="cs"/>
          <w:sz w:val="27"/>
          <w:rtl/>
          <w:lang w:bidi="ar-LB"/>
        </w:rPr>
        <w:t>ً</w:t>
      </w:r>
      <w:r w:rsidRPr="006571AC">
        <w:rPr>
          <w:rFonts w:hint="cs"/>
          <w:sz w:val="27"/>
          <w:rtl/>
          <w:lang w:bidi="ar-LB"/>
        </w:rPr>
        <w:t xml:space="preserve"> ب</w:t>
      </w:r>
      <w:r w:rsidR="00084BB2" w:rsidRPr="006571AC">
        <w:rPr>
          <w:rFonts w:hint="cs"/>
          <w:sz w:val="27"/>
          <w:rtl/>
          <w:lang w:bidi="ar-LB"/>
        </w:rPr>
        <w:t>َ</w:t>
      </w:r>
      <w:r w:rsidRPr="006571AC">
        <w:rPr>
          <w:rFonts w:hint="cs"/>
          <w:sz w:val="27"/>
          <w:rtl/>
          <w:lang w:bidi="ar-LB"/>
        </w:rPr>
        <w:t>ح</w:t>
      </w:r>
      <w:r w:rsidR="00084BB2" w:rsidRPr="006571AC">
        <w:rPr>
          <w:rFonts w:hint="cs"/>
          <w:sz w:val="27"/>
          <w:rtl/>
          <w:lang w:bidi="ar-LB"/>
        </w:rPr>
        <w:t>ْ</w:t>
      </w:r>
      <w:r w:rsidRPr="006571AC">
        <w:rPr>
          <w:rFonts w:hint="cs"/>
          <w:sz w:val="27"/>
          <w:rtl/>
          <w:lang w:bidi="ar-LB"/>
        </w:rPr>
        <w:t>تة، بل المقصود فيها كشف الواقع</w:t>
      </w:r>
      <w:r w:rsidR="00BE1BE6" w:rsidRPr="006571AC">
        <w:rPr>
          <w:rFonts w:hint="cs"/>
          <w:sz w:val="27"/>
          <w:rtl/>
          <w:lang w:bidi="ar-LB"/>
        </w:rPr>
        <w:t>،</w:t>
      </w:r>
      <w:r w:rsidRPr="006571AC">
        <w:rPr>
          <w:rFonts w:hint="cs"/>
          <w:sz w:val="27"/>
          <w:rtl/>
          <w:lang w:bidi="ar-LB"/>
        </w:rPr>
        <w:t xml:space="preserve"> وأنّه هل تخلو واقعة</w:t>
      </w:r>
      <w:r w:rsidR="00BE1BE6" w:rsidRPr="006571AC">
        <w:rPr>
          <w:rFonts w:hint="cs"/>
          <w:sz w:val="27"/>
          <w:rtl/>
          <w:lang w:bidi="ar-LB"/>
        </w:rPr>
        <w:t>ٌ</w:t>
      </w:r>
      <w:r w:rsidRPr="006571AC">
        <w:rPr>
          <w:rFonts w:hint="cs"/>
          <w:sz w:val="27"/>
          <w:rtl/>
          <w:lang w:bidi="ar-LB"/>
        </w:rPr>
        <w:t xml:space="preserve"> من حكم</w:t>
      </w:r>
      <w:r w:rsidR="00BE1BE6" w:rsidRPr="006571AC">
        <w:rPr>
          <w:rFonts w:hint="cs"/>
          <w:sz w:val="27"/>
          <w:rtl/>
          <w:lang w:bidi="ar-LB"/>
        </w:rPr>
        <w:t>ٍ</w:t>
      </w:r>
      <w:r w:rsidRPr="006571AC">
        <w:rPr>
          <w:rFonts w:hint="cs"/>
          <w:sz w:val="27"/>
          <w:rtl/>
          <w:lang w:bidi="ar-LB"/>
        </w:rPr>
        <w:t xml:space="preserve"> أم لا؟ فلا ينبغي الاستناد فيها </w:t>
      </w:r>
      <w:r w:rsidR="00BE1BE6" w:rsidRPr="006571AC">
        <w:rPr>
          <w:rFonts w:hint="cs"/>
          <w:sz w:val="27"/>
          <w:rtl/>
          <w:lang w:bidi="ar-LB"/>
        </w:rPr>
        <w:t>إ</w:t>
      </w:r>
      <w:r w:rsidRPr="006571AC">
        <w:rPr>
          <w:rFonts w:hint="cs"/>
          <w:sz w:val="27"/>
          <w:rtl/>
          <w:lang w:bidi="ar-LB"/>
        </w:rPr>
        <w:t>لى ما لا يفيد ال</w:t>
      </w:r>
      <w:r w:rsidR="00650DB7" w:rsidRPr="006571AC">
        <w:rPr>
          <w:rFonts w:hint="cs"/>
          <w:sz w:val="27"/>
          <w:rtl/>
          <w:lang w:bidi="ar-LB"/>
        </w:rPr>
        <w:t>يقين</w:t>
      </w:r>
      <w:r w:rsidRPr="006571AC">
        <w:rPr>
          <w:rFonts w:hint="cs"/>
          <w:sz w:val="27"/>
          <w:rtl/>
          <w:lang w:bidi="ar-LB"/>
        </w:rPr>
        <w:t xml:space="preserve"> بالإتقان، كما قد يحمل عليه ما تقدّ</w:t>
      </w:r>
      <w:r w:rsidR="00BE1BE6" w:rsidRPr="006571AC">
        <w:rPr>
          <w:rFonts w:hint="cs"/>
          <w:sz w:val="27"/>
          <w:rtl/>
          <w:lang w:bidi="ar-LB"/>
        </w:rPr>
        <w:t>َ</w:t>
      </w:r>
      <w:r w:rsidRPr="006571AC">
        <w:rPr>
          <w:rFonts w:hint="cs"/>
          <w:sz w:val="27"/>
          <w:rtl/>
          <w:lang w:bidi="ar-LB"/>
        </w:rPr>
        <w:t>م عن المحق</w:t>
      </w:r>
      <w:r w:rsidR="00BE1BE6" w:rsidRPr="006571AC">
        <w:rPr>
          <w:rFonts w:hint="cs"/>
          <w:sz w:val="27"/>
          <w:rtl/>
          <w:lang w:bidi="ar-LB"/>
        </w:rPr>
        <w:t>ِّ</w:t>
      </w:r>
      <w:r w:rsidRPr="006571AC">
        <w:rPr>
          <w:rFonts w:hint="cs"/>
          <w:sz w:val="27"/>
          <w:rtl/>
          <w:lang w:bidi="ar-LB"/>
        </w:rPr>
        <w:t>ق الرشتي</w:t>
      </w:r>
      <w:r w:rsidR="002A2C90" w:rsidRPr="006571AC">
        <w:rPr>
          <w:rFonts w:ascii="Mosawi" w:hAnsi="Mosawi" w:cs="Mosawi"/>
          <w:sz w:val="22"/>
          <w:szCs w:val="22"/>
          <w:rtl/>
        </w:rPr>
        <w:t>&amp;</w:t>
      </w:r>
      <w:r w:rsidRPr="006571AC">
        <w:rPr>
          <w:rFonts w:hint="cs"/>
          <w:sz w:val="27"/>
          <w:rtl/>
          <w:lang w:bidi="ar-LB"/>
        </w:rPr>
        <w:t xml:space="preserve"> في هذا المقام، </w:t>
      </w:r>
      <w:r w:rsidR="00BE1BE6" w:rsidRPr="006571AC">
        <w:rPr>
          <w:rFonts w:hint="cs"/>
          <w:sz w:val="27"/>
          <w:rtl/>
          <w:lang w:bidi="ar-LB"/>
        </w:rPr>
        <w:t>وإنْ كان لا يخلو عن إ</w:t>
      </w:r>
      <w:r w:rsidRPr="006571AC">
        <w:rPr>
          <w:rFonts w:hint="cs"/>
          <w:sz w:val="27"/>
          <w:rtl/>
          <w:lang w:bidi="ar-LB"/>
        </w:rPr>
        <w:t>شكال أو إبهام؛ لأنَّ المسألة وإن</w:t>
      </w:r>
      <w:r w:rsidR="00BE1BE6" w:rsidRPr="006571AC">
        <w:rPr>
          <w:rFonts w:hint="cs"/>
          <w:sz w:val="27"/>
          <w:rtl/>
          <w:lang w:bidi="ar-LB"/>
        </w:rPr>
        <w:t>ْ</w:t>
      </w:r>
      <w:r w:rsidRPr="006571AC">
        <w:rPr>
          <w:rFonts w:hint="cs"/>
          <w:sz w:val="27"/>
          <w:rtl/>
          <w:lang w:bidi="ar-LB"/>
        </w:rPr>
        <w:t xml:space="preserve"> كانت ذات وجهة كلامية، وقد حقّ</w:t>
      </w:r>
      <w:r w:rsidR="00BE1BE6" w:rsidRPr="006571AC">
        <w:rPr>
          <w:rFonts w:hint="cs"/>
          <w:sz w:val="27"/>
          <w:rtl/>
          <w:lang w:bidi="ar-LB"/>
        </w:rPr>
        <w:t>ِ</w:t>
      </w:r>
      <w:r w:rsidRPr="006571AC">
        <w:rPr>
          <w:rFonts w:hint="cs"/>
          <w:sz w:val="27"/>
          <w:rtl/>
          <w:lang w:bidi="ar-LB"/>
        </w:rPr>
        <w:t>ق في محلّه أنّه لا مجال للتعبّ</w:t>
      </w:r>
      <w:r w:rsidR="00BE1BE6" w:rsidRPr="006571AC">
        <w:rPr>
          <w:rFonts w:hint="cs"/>
          <w:sz w:val="27"/>
          <w:rtl/>
          <w:lang w:bidi="ar-LB"/>
        </w:rPr>
        <w:t>ُ</w:t>
      </w:r>
      <w:r w:rsidRPr="006571AC">
        <w:rPr>
          <w:rFonts w:hint="cs"/>
          <w:sz w:val="27"/>
          <w:rtl/>
          <w:lang w:bidi="ar-LB"/>
        </w:rPr>
        <w:t>د في</w:t>
      </w:r>
      <w:r w:rsidR="00BE1BE6" w:rsidRPr="006571AC">
        <w:rPr>
          <w:rFonts w:hint="cs"/>
          <w:sz w:val="27"/>
          <w:rtl/>
          <w:lang w:bidi="ar-LB"/>
        </w:rPr>
        <w:t xml:space="preserve"> </w:t>
      </w:r>
      <w:r w:rsidRPr="006571AC">
        <w:rPr>
          <w:rFonts w:hint="cs"/>
          <w:sz w:val="27"/>
          <w:rtl/>
          <w:lang w:bidi="ar-LB"/>
        </w:rPr>
        <w:t>ما كان المطلوب فيه الحصول على نفس الواقع؛ إلاّ أنها تدرس في المقام كمبد</w:t>
      </w:r>
      <w:r w:rsidR="00BE1BE6" w:rsidRPr="006571AC">
        <w:rPr>
          <w:rFonts w:hint="cs"/>
          <w:sz w:val="27"/>
          <w:rtl/>
          <w:lang w:bidi="ar-LB"/>
        </w:rPr>
        <w:t>أ</w:t>
      </w:r>
      <w:r w:rsidRPr="006571AC">
        <w:rPr>
          <w:rFonts w:hint="cs"/>
          <w:sz w:val="27"/>
          <w:rtl/>
          <w:lang w:bidi="ar-LB"/>
        </w:rPr>
        <w:t xml:space="preserve"> للمجالات الفقهيّة والأصولي</w:t>
      </w:r>
      <w:r w:rsidR="00BE1BE6" w:rsidRPr="006571AC">
        <w:rPr>
          <w:rFonts w:hint="cs"/>
          <w:sz w:val="27"/>
          <w:rtl/>
          <w:lang w:bidi="ar-LB"/>
        </w:rPr>
        <w:t>ّ</w:t>
      </w:r>
      <w:r w:rsidRPr="006571AC">
        <w:rPr>
          <w:rFonts w:hint="cs"/>
          <w:sz w:val="27"/>
          <w:rtl/>
          <w:lang w:bidi="ar-LB"/>
        </w:rPr>
        <w:t>ة، وهي</w:t>
      </w:r>
      <w:r w:rsidR="00BE1BE6" w:rsidRPr="006571AC">
        <w:rPr>
          <w:rFonts w:hint="cs"/>
          <w:sz w:val="27"/>
          <w:rtl/>
          <w:lang w:bidi="ar-LB"/>
        </w:rPr>
        <w:t>؛</w:t>
      </w:r>
      <w:r w:rsidRPr="006571AC">
        <w:rPr>
          <w:rFonts w:hint="cs"/>
          <w:sz w:val="27"/>
          <w:rtl/>
          <w:lang w:bidi="ar-LB"/>
        </w:rPr>
        <w:t xml:space="preserve"> باعتبارها باحثة</w:t>
      </w:r>
      <w:r w:rsidR="00BE1BE6" w:rsidRPr="006571AC">
        <w:rPr>
          <w:rFonts w:hint="cs"/>
          <w:sz w:val="27"/>
          <w:rtl/>
          <w:lang w:bidi="ar-LB"/>
        </w:rPr>
        <w:t>ً</w:t>
      </w:r>
      <w:r w:rsidRPr="006571AC">
        <w:rPr>
          <w:rFonts w:hint="cs"/>
          <w:sz w:val="27"/>
          <w:rtl/>
          <w:lang w:bidi="ar-LB"/>
        </w:rPr>
        <w:t xml:space="preserve"> عن تعيين الوظيفة العمليّة، ممّا يصحّ تدخّ</w:t>
      </w:r>
      <w:r w:rsidR="00BE1BE6" w:rsidRPr="006571AC">
        <w:rPr>
          <w:rFonts w:hint="cs"/>
          <w:sz w:val="27"/>
          <w:rtl/>
          <w:lang w:bidi="ar-LB"/>
        </w:rPr>
        <w:t>ُ</w:t>
      </w:r>
      <w:r w:rsidRPr="006571AC">
        <w:rPr>
          <w:rFonts w:hint="cs"/>
          <w:sz w:val="27"/>
          <w:rtl/>
          <w:lang w:bidi="ar-LB"/>
        </w:rPr>
        <w:t>ل التعبّ</w:t>
      </w:r>
      <w:r w:rsidR="00BE1BE6" w:rsidRPr="006571AC">
        <w:rPr>
          <w:rFonts w:hint="cs"/>
          <w:sz w:val="27"/>
          <w:rtl/>
          <w:lang w:bidi="ar-LB"/>
        </w:rPr>
        <w:t>ُ</w:t>
      </w:r>
      <w:r w:rsidRPr="006571AC">
        <w:rPr>
          <w:rFonts w:hint="cs"/>
          <w:sz w:val="27"/>
          <w:rtl/>
          <w:lang w:bidi="ar-LB"/>
        </w:rPr>
        <w:t xml:space="preserve">د والتنزيل فيها، ويكون من الصحيح حينئذٍ أن يستند في إثبات المسألة الى الإجماع والأخبار. </w:t>
      </w:r>
    </w:p>
    <w:p w:rsidR="001F3F5A" w:rsidRPr="006571AC" w:rsidRDefault="00BE1BE6" w:rsidP="002A2E03">
      <w:pPr>
        <w:tabs>
          <w:tab w:val="right" w:pos="6930"/>
        </w:tabs>
        <w:suppressAutoHyphens/>
        <w:rPr>
          <w:sz w:val="27"/>
          <w:rtl/>
          <w:lang w:bidi="ar-LB"/>
        </w:rPr>
      </w:pPr>
      <w:r w:rsidRPr="006571AC">
        <w:rPr>
          <w:rFonts w:hint="cs"/>
          <w:sz w:val="27"/>
          <w:rtl/>
          <w:lang w:bidi="ar-LB"/>
        </w:rPr>
        <w:t>ومهما</w:t>
      </w:r>
      <w:r w:rsidR="001F3F5A" w:rsidRPr="006571AC">
        <w:rPr>
          <w:rFonts w:hint="cs"/>
          <w:sz w:val="27"/>
          <w:rtl/>
          <w:lang w:bidi="ar-LB"/>
        </w:rPr>
        <w:t xml:space="preserve"> كان فالأمر ينتهي أخيراً </w:t>
      </w:r>
      <w:r w:rsidRPr="006571AC">
        <w:rPr>
          <w:rFonts w:hint="cs"/>
          <w:sz w:val="27"/>
          <w:rtl/>
          <w:lang w:bidi="ar-LB"/>
        </w:rPr>
        <w:t>إ</w:t>
      </w:r>
      <w:r w:rsidR="001F3F5A" w:rsidRPr="006571AC">
        <w:rPr>
          <w:rFonts w:hint="cs"/>
          <w:sz w:val="27"/>
          <w:rtl/>
          <w:lang w:bidi="ar-LB"/>
        </w:rPr>
        <w:t xml:space="preserve">لى الأخبار الكثيرة التي يستند إليها </w:t>
      </w:r>
      <w:r w:rsidRPr="006571AC">
        <w:rPr>
          <w:rFonts w:hint="cs"/>
          <w:sz w:val="27"/>
          <w:rtl/>
          <w:lang w:bidi="ar-LB"/>
        </w:rPr>
        <w:t xml:space="preserve">في </w:t>
      </w:r>
      <w:r w:rsidR="001F3F5A" w:rsidRPr="006571AC">
        <w:rPr>
          <w:rFonts w:hint="cs"/>
          <w:sz w:val="27"/>
          <w:rtl/>
          <w:lang w:bidi="ar-LB"/>
        </w:rPr>
        <w:t xml:space="preserve">هذا الصدد. </w:t>
      </w:r>
    </w:p>
    <w:p w:rsidR="001F3F5A" w:rsidRPr="006571AC" w:rsidRDefault="001F3F5A" w:rsidP="002A2E03">
      <w:pPr>
        <w:tabs>
          <w:tab w:val="right" w:pos="6930"/>
        </w:tabs>
        <w:suppressAutoHyphens/>
        <w:rPr>
          <w:sz w:val="27"/>
          <w:rtl/>
          <w:lang w:bidi="ar-LB"/>
        </w:rPr>
      </w:pPr>
      <w:r w:rsidRPr="006571AC">
        <w:rPr>
          <w:rFonts w:hint="cs"/>
          <w:sz w:val="27"/>
          <w:rtl/>
          <w:lang w:bidi="ar-LB"/>
        </w:rPr>
        <w:lastRenderedPageBreak/>
        <w:t>ولا يفوتنا</w:t>
      </w:r>
      <w:r w:rsidR="00BE1BE6" w:rsidRPr="006571AC">
        <w:rPr>
          <w:rFonts w:hint="cs"/>
          <w:sz w:val="27"/>
          <w:rtl/>
          <w:lang w:bidi="ar-LB"/>
        </w:rPr>
        <w:t>،</w:t>
      </w:r>
      <w:r w:rsidRPr="006571AC">
        <w:rPr>
          <w:rFonts w:hint="cs"/>
          <w:sz w:val="27"/>
          <w:rtl/>
          <w:lang w:bidi="ar-LB"/>
        </w:rPr>
        <w:t xml:space="preserve"> قبل استعراضها ودراستها</w:t>
      </w:r>
      <w:r w:rsidR="00BE1BE6" w:rsidRPr="006571AC">
        <w:rPr>
          <w:rFonts w:hint="cs"/>
          <w:sz w:val="27"/>
          <w:rtl/>
          <w:lang w:bidi="ar-LB"/>
        </w:rPr>
        <w:t>،</w:t>
      </w:r>
      <w:r w:rsidRPr="006571AC">
        <w:rPr>
          <w:rFonts w:hint="cs"/>
          <w:sz w:val="27"/>
          <w:rtl/>
          <w:lang w:bidi="ar-LB"/>
        </w:rPr>
        <w:t xml:space="preserve"> أن نشير </w:t>
      </w:r>
      <w:r w:rsidR="00BE1BE6" w:rsidRPr="006571AC">
        <w:rPr>
          <w:rFonts w:hint="cs"/>
          <w:sz w:val="27"/>
          <w:rtl/>
          <w:lang w:bidi="ar-LB"/>
        </w:rPr>
        <w:t>إ</w:t>
      </w:r>
      <w:r w:rsidRPr="006571AC">
        <w:rPr>
          <w:rFonts w:hint="cs"/>
          <w:sz w:val="27"/>
          <w:rtl/>
          <w:lang w:bidi="ar-LB"/>
        </w:rPr>
        <w:t>لى ما يبحث عنه في أبحاث فلسفة الدين بعنوان: نطاق الدين ومدى سعته، وما بين ذاك البحث وهذه المسألة من الصلة والترابط</w:t>
      </w:r>
      <w:r w:rsidR="00BE1BE6" w:rsidRPr="006571AC">
        <w:rPr>
          <w:rFonts w:hint="cs"/>
          <w:sz w:val="27"/>
          <w:rtl/>
          <w:lang w:bidi="ar-LB"/>
        </w:rPr>
        <w:t>؛</w:t>
      </w:r>
      <w:r w:rsidRPr="006571AC">
        <w:rPr>
          <w:rFonts w:hint="cs"/>
          <w:sz w:val="27"/>
          <w:rtl/>
          <w:lang w:bidi="ar-LB"/>
        </w:rPr>
        <w:t xml:space="preserve"> والغرض </w:t>
      </w:r>
      <w:r w:rsidR="00BE1BE6" w:rsidRPr="006571AC">
        <w:rPr>
          <w:rFonts w:hint="cs"/>
          <w:sz w:val="27"/>
          <w:rtl/>
          <w:lang w:bidi="ar-LB"/>
        </w:rPr>
        <w:t>أنّ</w:t>
      </w:r>
      <w:r w:rsidRPr="006571AC">
        <w:rPr>
          <w:rFonts w:hint="cs"/>
          <w:sz w:val="27"/>
          <w:rtl/>
          <w:lang w:bidi="ar-LB"/>
        </w:rPr>
        <w:t xml:space="preserve"> الروايات الآتية واضحة الدلالة في تلك المسألة</w:t>
      </w:r>
      <w:r w:rsidR="00BE1BE6" w:rsidRPr="006571AC">
        <w:rPr>
          <w:rFonts w:hint="cs"/>
          <w:sz w:val="27"/>
          <w:rtl/>
          <w:lang w:bidi="ar-LB"/>
        </w:rPr>
        <w:t>،</w:t>
      </w:r>
      <w:r w:rsidRPr="006571AC">
        <w:rPr>
          <w:rFonts w:hint="cs"/>
          <w:sz w:val="27"/>
          <w:rtl/>
          <w:lang w:bidi="ar-LB"/>
        </w:rPr>
        <w:t xml:space="preserve"> دون المقام</w:t>
      </w:r>
      <w:r w:rsidR="00BE1BE6" w:rsidRPr="006571AC">
        <w:rPr>
          <w:rFonts w:hint="cs"/>
          <w:sz w:val="27"/>
          <w:rtl/>
          <w:lang w:bidi="ar-LB"/>
        </w:rPr>
        <w:t>؛</w:t>
      </w:r>
      <w:r w:rsidRPr="006571AC">
        <w:rPr>
          <w:rFonts w:hint="cs"/>
          <w:sz w:val="27"/>
          <w:rtl/>
          <w:lang w:bidi="ar-LB"/>
        </w:rPr>
        <w:t xml:space="preserve"> </w:t>
      </w:r>
      <w:r w:rsidR="00BE1BE6" w:rsidRPr="006571AC">
        <w:rPr>
          <w:rFonts w:hint="cs"/>
          <w:sz w:val="27"/>
          <w:rtl/>
          <w:lang w:bidi="ar-LB"/>
        </w:rPr>
        <w:t>إ</w:t>
      </w:r>
      <w:r w:rsidRPr="006571AC">
        <w:rPr>
          <w:rFonts w:hint="cs"/>
          <w:sz w:val="27"/>
          <w:rtl/>
          <w:lang w:bidi="ar-LB"/>
        </w:rPr>
        <w:t>ذ لا تخلو دلالتها عليه من غموض</w:t>
      </w:r>
      <w:r w:rsidR="00BE1BE6" w:rsidRPr="006571AC">
        <w:rPr>
          <w:rFonts w:hint="cs"/>
          <w:sz w:val="27"/>
          <w:rtl/>
          <w:lang w:bidi="ar-LB"/>
        </w:rPr>
        <w:t>ٍ</w:t>
      </w:r>
      <w:r w:rsidRPr="006571AC">
        <w:rPr>
          <w:rFonts w:hint="cs"/>
          <w:sz w:val="27"/>
          <w:rtl/>
          <w:lang w:bidi="ar-LB"/>
        </w:rPr>
        <w:t xml:space="preserve"> أو </w:t>
      </w:r>
      <w:r w:rsidR="00BE1BE6" w:rsidRPr="006571AC">
        <w:rPr>
          <w:rFonts w:hint="cs"/>
          <w:sz w:val="27"/>
          <w:rtl/>
          <w:lang w:bidi="ar-LB"/>
        </w:rPr>
        <w:t>إب</w:t>
      </w:r>
      <w:r w:rsidRPr="006571AC">
        <w:rPr>
          <w:rFonts w:hint="cs"/>
          <w:sz w:val="27"/>
          <w:rtl/>
          <w:lang w:bidi="ar-LB"/>
        </w:rPr>
        <w:t xml:space="preserve">هام. </w:t>
      </w:r>
    </w:p>
    <w:p w:rsidR="00EF7096" w:rsidRPr="006571AC" w:rsidRDefault="001F3F5A" w:rsidP="002A2E03">
      <w:pPr>
        <w:tabs>
          <w:tab w:val="right" w:pos="6930"/>
        </w:tabs>
        <w:suppressAutoHyphens/>
        <w:rPr>
          <w:sz w:val="27"/>
          <w:rtl/>
          <w:lang w:bidi="ar-LB"/>
        </w:rPr>
      </w:pPr>
      <w:r w:rsidRPr="006571AC">
        <w:rPr>
          <w:rFonts w:hint="cs"/>
          <w:sz w:val="27"/>
          <w:rtl/>
          <w:lang w:bidi="ar-LB"/>
        </w:rPr>
        <w:t xml:space="preserve">وتوضيح الحال: </w:t>
      </w:r>
      <w:r w:rsidR="00BE1BE6" w:rsidRPr="006571AC">
        <w:rPr>
          <w:rFonts w:hint="cs"/>
          <w:sz w:val="27"/>
          <w:rtl/>
          <w:lang w:bidi="ar-LB"/>
        </w:rPr>
        <w:t>اختلفت الكلمة في أنّ</w:t>
      </w:r>
      <w:r w:rsidRPr="006571AC">
        <w:rPr>
          <w:rFonts w:hint="cs"/>
          <w:sz w:val="27"/>
          <w:rtl/>
          <w:lang w:bidi="ar-LB"/>
        </w:rPr>
        <w:t xml:space="preserve"> الدين الحنيف هل يتكفّل جميع الشؤون الدخيلة في الحياة الإنسانية</w:t>
      </w:r>
      <w:r w:rsidR="00EF7096" w:rsidRPr="006571AC">
        <w:rPr>
          <w:rFonts w:hint="cs"/>
          <w:sz w:val="27"/>
          <w:rtl/>
          <w:lang w:bidi="ar-LB"/>
        </w:rPr>
        <w:t>،</w:t>
      </w:r>
      <w:r w:rsidRPr="006571AC">
        <w:rPr>
          <w:rFonts w:hint="cs"/>
          <w:sz w:val="27"/>
          <w:rtl/>
          <w:lang w:bidi="ar-LB"/>
        </w:rPr>
        <w:t xml:space="preserve"> من العقائد والمعارف والأخلاق والعبادات والمعاملات والشؤون الكونيّة والعلوم التجريبية وغيرها، كما هو المختار</w:t>
      </w:r>
      <w:r w:rsidR="00EF7096" w:rsidRPr="006571AC">
        <w:rPr>
          <w:rFonts w:hint="cs"/>
          <w:sz w:val="27"/>
          <w:rtl/>
          <w:lang w:bidi="ar-LB"/>
        </w:rPr>
        <w:t>؛</w:t>
      </w:r>
      <w:r w:rsidRPr="006571AC">
        <w:rPr>
          <w:rFonts w:hint="cs"/>
          <w:sz w:val="27"/>
          <w:rtl/>
          <w:lang w:bidi="ar-LB"/>
        </w:rPr>
        <w:t xml:space="preserve"> أو يختص</w:t>
      </w:r>
      <w:r w:rsidR="00EF7096" w:rsidRPr="006571AC">
        <w:rPr>
          <w:rFonts w:hint="cs"/>
          <w:sz w:val="27"/>
          <w:rtl/>
          <w:lang w:bidi="ar-LB"/>
        </w:rPr>
        <w:t>ّ</w:t>
      </w:r>
      <w:r w:rsidRPr="006571AC">
        <w:rPr>
          <w:rFonts w:hint="cs"/>
          <w:sz w:val="27"/>
          <w:rtl/>
          <w:lang w:bidi="ar-LB"/>
        </w:rPr>
        <w:t xml:space="preserve"> بما له دخل</w:t>
      </w:r>
      <w:r w:rsidR="00EF7096" w:rsidRPr="006571AC">
        <w:rPr>
          <w:rFonts w:hint="cs"/>
          <w:sz w:val="27"/>
          <w:rtl/>
          <w:lang w:bidi="ar-LB"/>
        </w:rPr>
        <w:t>ٌ</w:t>
      </w:r>
      <w:r w:rsidRPr="006571AC">
        <w:rPr>
          <w:rFonts w:hint="cs"/>
          <w:sz w:val="27"/>
          <w:rtl/>
          <w:lang w:bidi="ar-LB"/>
        </w:rPr>
        <w:t xml:space="preserve"> في هداية الإنسان وإرشاده </w:t>
      </w:r>
      <w:r w:rsidR="00EF7096" w:rsidRPr="006571AC">
        <w:rPr>
          <w:rFonts w:hint="cs"/>
          <w:sz w:val="27"/>
          <w:rtl/>
          <w:lang w:bidi="ar-LB"/>
        </w:rPr>
        <w:t>إ</w:t>
      </w:r>
      <w:r w:rsidRPr="006571AC">
        <w:rPr>
          <w:rFonts w:hint="cs"/>
          <w:sz w:val="27"/>
          <w:rtl/>
          <w:lang w:bidi="ar-LB"/>
        </w:rPr>
        <w:t>لى السعادة الأبدية، كما عليه عد</w:t>
      </w:r>
      <w:r w:rsidR="00EF7096" w:rsidRPr="006571AC">
        <w:rPr>
          <w:rFonts w:hint="cs"/>
          <w:sz w:val="27"/>
          <w:rtl/>
          <w:lang w:bidi="ar-LB"/>
        </w:rPr>
        <w:t>دٌ</w:t>
      </w:r>
      <w:r w:rsidRPr="006571AC">
        <w:rPr>
          <w:rFonts w:hint="cs"/>
          <w:sz w:val="27"/>
          <w:rtl/>
          <w:lang w:bidi="ar-LB"/>
        </w:rPr>
        <w:t xml:space="preserve"> من الأعلام</w:t>
      </w:r>
      <w:r w:rsidR="00EF7096" w:rsidRPr="006571AC">
        <w:rPr>
          <w:rFonts w:hint="cs"/>
          <w:sz w:val="27"/>
          <w:rtl/>
          <w:lang w:bidi="ar-LB"/>
        </w:rPr>
        <w:t>؛</w:t>
      </w:r>
      <w:r w:rsidRPr="006571AC">
        <w:rPr>
          <w:rFonts w:hint="cs"/>
          <w:sz w:val="27"/>
          <w:rtl/>
          <w:lang w:bidi="ar-LB"/>
        </w:rPr>
        <w:t xml:space="preserve"> أو أن الدين لا يتعرّض إلاّ للمجالات الشخصية والوظايف الفردية</w:t>
      </w:r>
      <w:r w:rsidR="00EF7096" w:rsidRPr="006571AC">
        <w:rPr>
          <w:rFonts w:hint="cs"/>
          <w:sz w:val="27"/>
          <w:rtl/>
          <w:lang w:bidi="ar-LB"/>
        </w:rPr>
        <w:t>،</w:t>
      </w:r>
      <w:r w:rsidRPr="006571AC">
        <w:rPr>
          <w:rFonts w:hint="cs"/>
          <w:sz w:val="27"/>
          <w:rtl/>
          <w:lang w:bidi="ar-LB"/>
        </w:rPr>
        <w:t xml:space="preserve"> كالعبادات وقسم من الأخلاقيات، كما عليه الكثير من أتباع الغربي</w:t>
      </w:r>
      <w:r w:rsidR="00EF7096" w:rsidRPr="006571AC">
        <w:rPr>
          <w:rFonts w:hint="cs"/>
          <w:sz w:val="27"/>
          <w:rtl/>
          <w:lang w:bidi="ar-LB"/>
        </w:rPr>
        <w:t>ّ</w:t>
      </w:r>
      <w:r w:rsidRPr="006571AC">
        <w:rPr>
          <w:rFonts w:hint="cs"/>
          <w:sz w:val="27"/>
          <w:rtl/>
          <w:lang w:bidi="ar-LB"/>
        </w:rPr>
        <w:t>ين المنتحلين شريعة الإسلام</w:t>
      </w:r>
      <w:r w:rsidR="00EF7096" w:rsidRPr="006571AC">
        <w:rPr>
          <w:rFonts w:hint="cs"/>
          <w:sz w:val="27"/>
          <w:rtl/>
          <w:lang w:bidi="ar-LB"/>
        </w:rPr>
        <w:t>؛</w:t>
      </w:r>
      <w:r w:rsidRPr="006571AC">
        <w:rPr>
          <w:rFonts w:hint="cs"/>
          <w:sz w:val="27"/>
          <w:rtl/>
          <w:lang w:bidi="ar-LB"/>
        </w:rPr>
        <w:t xml:space="preserve"> أو غير ذلك من ال</w:t>
      </w:r>
      <w:r w:rsidR="00EF7096" w:rsidRPr="006571AC">
        <w:rPr>
          <w:rFonts w:hint="cs"/>
          <w:sz w:val="27"/>
          <w:rtl/>
          <w:lang w:bidi="ar-LB"/>
        </w:rPr>
        <w:t>ا</w:t>
      </w:r>
      <w:r w:rsidRPr="006571AC">
        <w:rPr>
          <w:rFonts w:hint="cs"/>
          <w:sz w:val="27"/>
          <w:rtl/>
          <w:lang w:bidi="ar-LB"/>
        </w:rPr>
        <w:t>تجاهات الخارجة عن قيود التديّ</w:t>
      </w:r>
      <w:r w:rsidR="00EF7096" w:rsidRPr="006571AC">
        <w:rPr>
          <w:rFonts w:hint="cs"/>
          <w:sz w:val="27"/>
          <w:rtl/>
          <w:lang w:bidi="ar-LB"/>
        </w:rPr>
        <w:t>ُ</w:t>
      </w:r>
      <w:r w:rsidRPr="006571AC">
        <w:rPr>
          <w:rFonts w:hint="cs"/>
          <w:sz w:val="27"/>
          <w:rtl/>
          <w:lang w:bidi="ar-LB"/>
        </w:rPr>
        <w:t>ن والتشر</w:t>
      </w:r>
      <w:r w:rsidR="00EF7096" w:rsidRPr="006571AC">
        <w:rPr>
          <w:rFonts w:hint="cs"/>
          <w:sz w:val="27"/>
          <w:rtl/>
          <w:lang w:bidi="ar-LB"/>
        </w:rPr>
        <w:t>ُّ</w:t>
      </w:r>
      <w:r w:rsidRPr="006571AC">
        <w:rPr>
          <w:rFonts w:hint="cs"/>
          <w:sz w:val="27"/>
          <w:rtl/>
          <w:lang w:bidi="ar-LB"/>
        </w:rPr>
        <w:t>ع</w:t>
      </w:r>
      <w:r w:rsidR="00EF7096"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وعمدة المستند للمختار </w:t>
      </w:r>
      <w:r w:rsidRPr="006571AC">
        <w:rPr>
          <w:sz w:val="27"/>
          <w:rtl/>
          <w:lang w:bidi="ar-LB"/>
        </w:rPr>
        <w:t xml:space="preserve">ـ </w:t>
      </w:r>
      <w:r w:rsidRPr="006571AC">
        <w:rPr>
          <w:rFonts w:hint="cs"/>
          <w:sz w:val="27"/>
          <w:rtl/>
          <w:lang w:bidi="ar-LB"/>
        </w:rPr>
        <w:t xml:space="preserve">مضافاً </w:t>
      </w:r>
      <w:r w:rsidR="00EF7096" w:rsidRPr="006571AC">
        <w:rPr>
          <w:rFonts w:hint="cs"/>
          <w:sz w:val="27"/>
          <w:rtl/>
          <w:lang w:bidi="ar-LB"/>
        </w:rPr>
        <w:t>إ</w:t>
      </w:r>
      <w:r w:rsidRPr="006571AC">
        <w:rPr>
          <w:rFonts w:hint="cs"/>
          <w:sz w:val="27"/>
          <w:rtl/>
          <w:lang w:bidi="ar-LB"/>
        </w:rPr>
        <w:t xml:space="preserve">لى الوجوه العقلية </w:t>
      </w:r>
      <w:r w:rsidRPr="006571AC">
        <w:rPr>
          <w:sz w:val="27"/>
          <w:rtl/>
          <w:lang w:bidi="ar-LB"/>
        </w:rPr>
        <w:t xml:space="preserve">ـ </w:t>
      </w:r>
      <w:r w:rsidRPr="006571AC">
        <w:rPr>
          <w:rFonts w:hint="cs"/>
          <w:sz w:val="27"/>
          <w:rtl/>
          <w:lang w:bidi="ar-LB"/>
        </w:rPr>
        <w:t>هي المستندات النقلية</w:t>
      </w:r>
      <w:r w:rsidR="00EF7096" w:rsidRPr="006571AC">
        <w:rPr>
          <w:rFonts w:hint="cs"/>
          <w:sz w:val="27"/>
          <w:rtl/>
          <w:lang w:bidi="ar-LB"/>
        </w:rPr>
        <w:t>،</w:t>
      </w:r>
      <w:r w:rsidRPr="006571AC">
        <w:rPr>
          <w:rFonts w:hint="cs"/>
          <w:sz w:val="27"/>
          <w:rtl/>
          <w:lang w:bidi="ar-LB"/>
        </w:rPr>
        <w:t xml:space="preserve"> المتمثّ</w:t>
      </w:r>
      <w:r w:rsidR="00EF7096" w:rsidRPr="006571AC">
        <w:rPr>
          <w:rFonts w:hint="cs"/>
          <w:sz w:val="27"/>
          <w:rtl/>
          <w:lang w:bidi="ar-LB"/>
        </w:rPr>
        <w:t>ِ</w:t>
      </w:r>
      <w:r w:rsidRPr="006571AC">
        <w:rPr>
          <w:rFonts w:hint="cs"/>
          <w:sz w:val="27"/>
          <w:rtl/>
          <w:lang w:bidi="ar-LB"/>
        </w:rPr>
        <w:t>لة في</w:t>
      </w:r>
      <w:r w:rsidR="00EF7096" w:rsidRPr="006571AC">
        <w:rPr>
          <w:rFonts w:hint="cs"/>
          <w:sz w:val="27"/>
          <w:rtl/>
          <w:lang w:bidi="ar-LB"/>
        </w:rPr>
        <w:t>:</w:t>
      </w:r>
      <w:r w:rsidRPr="006571AC">
        <w:rPr>
          <w:rFonts w:hint="cs"/>
          <w:sz w:val="27"/>
          <w:rtl/>
          <w:lang w:bidi="ar-LB"/>
        </w:rPr>
        <w:t xml:space="preserve"> آية التبيان الشريفة</w:t>
      </w:r>
      <w:r w:rsidR="00EF7096" w:rsidRPr="006571AC">
        <w:rPr>
          <w:rFonts w:hint="cs"/>
          <w:sz w:val="27"/>
          <w:rtl/>
          <w:lang w:bidi="ar-LB"/>
        </w:rPr>
        <w:t>؛</w:t>
      </w:r>
      <w:r w:rsidRPr="006571AC">
        <w:rPr>
          <w:rFonts w:hint="cs"/>
          <w:sz w:val="27"/>
          <w:rtl/>
          <w:lang w:bidi="ar-LB"/>
        </w:rPr>
        <w:t xml:space="preserve"> وما ورد من الأخبار في تفسيرها أو ما تدلّ منها على ذلك على حدة</w:t>
      </w:r>
      <w:r w:rsidR="00EF7096" w:rsidRPr="006571AC">
        <w:rPr>
          <w:rFonts w:hint="cs"/>
          <w:sz w:val="27"/>
          <w:rtl/>
          <w:lang w:bidi="ar-LB"/>
        </w:rPr>
        <w:t>ٍ</w:t>
      </w:r>
      <w:r w:rsidRPr="006571AC">
        <w:rPr>
          <w:rFonts w:hint="cs"/>
          <w:sz w:val="27"/>
          <w:rtl/>
          <w:lang w:bidi="ar-LB"/>
        </w:rPr>
        <w:t xml:space="preserve">، من دون نظر </w:t>
      </w:r>
      <w:r w:rsidR="00EF7096" w:rsidRPr="006571AC">
        <w:rPr>
          <w:rFonts w:hint="cs"/>
          <w:sz w:val="27"/>
          <w:rtl/>
          <w:lang w:bidi="ar-LB"/>
        </w:rPr>
        <w:t>إ</w:t>
      </w:r>
      <w:r w:rsidRPr="006571AC">
        <w:rPr>
          <w:rFonts w:hint="cs"/>
          <w:sz w:val="27"/>
          <w:rtl/>
          <w:lang w:bidi="ar-LB"/>
        </w:rPr>
        <w:t>لى الآية الشريفة</w:t>
      </w:r>
      <w:r w:rsidR="00EF7096" w:rsidRPr="006571AC">
        <w:rPr>
          <w:rFonts w:hint="cs"/>
          <w:sz w:val="27"/>
          <w:rtl/>
          <w:lang w:bidi="ar-LB"/>
        </w:rPr>
        <w:t>.</w:t>
      </w:r>
      <w:r w:rsidRPr="006571AC">
        <w:rPr>
          <w:rFonts w:hint="cs"/>
          <w:sz w:val="27"/>
          <w:rtl/>
          <w:lang w:bidi="ar-LB"/>
        </w:rPr>
        <w:t xml:space="preserve"> وسوف يتّضح ذلك </w:t>
      </w:r>
      <w:r w:rsidR="00EF7096" w:rsidRPr="006571AC">
        <w:rPr>
          <w:rFonts w:hint="cs"/>
          <w:sz w:val="27"/>
          <w:rtl/>
          <w:lang w:bidi="ar-LB"/>
        </w:rPr>
        <w:t xml:space="preserve">أكثر </w:t>
      </w:r>
      <w:r w:rsidRPr="006571AC">
        <w:rPr>
          <w:rFonts w:hint="cs"/>
          <w:sz w:val="27"/>
          <w:rtl/>
          <w:lang w:bidi="ar-LB"/>
        </w:rPr>
        <w:t>من خلال الأبحاث الآتية</w:t>
      </w:r>
      <w:r w:rsidR="00EF7096" w:rsidRPr="006571AC">
        <w:rPr>
          <w:rFonts w:hint="cs"/>
          <w:sz w:val="27"/>
          <w:rtl/>
          <w:lang w:bidi="ar-LB"/>
        </w:rPr>
        <w:t>، فانتظِرْ</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وكيف كان فما يمكن الاستدلال به في بادئ النظر على المطلوب عدة روايات: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الرواية الأولى</w:t>
      </w:r>
      <w:r w:rsidRPr="006571AC">
        <w:rPr>
          <w:rFonts w:hint="cs"/>
          <w:sz w:val="27"/>
          <w:rtl/>
          <w:lang w:bidi="ar-LB"/>
        </w:rPr>
        <w:t>: ما رواه الكليني</w:t>
      </w:r>
      <w:r w:rsidR="00650DB7" w:rsidRPr="006571AC">
        <w:rPr>
          <w:rFonts w:hint="cs"/>
          <w:sz w:val="27"/>
          <w:rtl/>
          <w:lang w:bidi="ar-LB"/>
        </w:rPr>
        <w:t>،</w:t>
      </w:r>
      <w:r w:rsidRPr="006571AC">
        <w:rPr>
          <w:rFonts w:hint="cs"/>
          <w:sz w:val="27"/>
          <w:rtl/>
          <w:lang w:bidi="ar-LB"/>
        </w:rPr>
        <w:t xml:space="preserve"> عن محمد بن يحيى</w:t>
      </w:r>
      <w:r w:rsidR="00EF7096" w:rsidRPr="006571AC">
        <w:rPr>
          <w:rFonts w:hint="cs"/>
          <w:sz w:val="27"/>
          <w:rtl/>
          <w:lang w:bidi="ar-LB"/>
        </w:rPr>
        <w:t>،</w:t>
      </w:r>
      <w:r w:rsidRPr="006571AC">
        <w:rPr>
          <w:rFonts w:hint="cs"/>
          <w:sz w:val="27"/>
          <w:rtl/>
          <w:lang w:bidi="ar-LB"/>
        </w:rPr>
        <w:t xml:space="preserve"> عن أحمد بن محمد بن عيسى</w:t>
      </w:r>
      <w:r w:rsidR="00EF7096" w:rsidRPr="006571AC">
        <w:rPr>
          <w:rFonts w:hint="cs"/>
          <w:sz w:val="27"/>
          <w:rtl/>
          <w:lang w:bidi="ar-LB"/>
        </w:rPr>
        <w:t>،</w:t>
      </w:r>
      <w:r w:rsidRPr="006571AC">
        <w:rPr>
          <w:rFonts w:hint="cs"/>
          <w:sz w:val="27"/>
          <w:rtl/>
          <w:lang w:bidi="ar-LB"/>
        </w:rPr>
        <w:t xml:space="preserve"> عن علي</w:t>
      </w:r>
      <w:r w:rsidR="00EF7096" w:rsidRPr="006571AC">
        <w:rPr>
          <w:rFonts w:hint="cs"/>
          <w:sz w:val="27"/>
          <w:rtl/>
          <w:lang w:bidi="ar-LB"/>
        </w:rPr>
        <w:t>ّ</w:t>
      </w:r>
      <w:r w:rsidRPr="006571AC">
        <w:rPr>
          <w:rFonts w:hint="cs"/>
          <w:sz w:val="27"/>
          <w:rtl/>
          <w:lang w:bidi="ar-LB"/>
        </w:rPr>
        <w:t xml:space="preserve"> بن حديد</w:t>
      </w:r>
      <w:r w:rsidR="00EF7096" w:rsidRPr="006571AC">
        <w:rPr>
          <w:rFonts w:hint="cs"/>
          <w:sz w:val="27"/>
          <w:rtl/>
          <w:lang w:bidi="ar-LB"/>
        </w:rPr>
        <w:t>،</w:t>
      </w:r>
      <w:r w:rsidRPr="006571AC">
        <w:rPr>
          <w:rFonts w:hint="cs"/>
          <w:sz w:val="27"/>
          <w:rtl/>
          <w:lang w:bidi="ar-LB"/>
        </w:rPr>
        <w:t xml:space="preserve"> عن مرازم</w:t>
      </w:r>
      <w:r w:rsidR="00EF7096" w:rsidRPr="006571AC">
        <w:rPr>
          <w:rFonts w:hint="cs"/>
          <w:sz w:val="27"/>
          <w:rtl/>
          <w:lang w:bidi="ar-LB"/>
        </w:rPr>
        <w:t>،</w:t>
      </w:r>
      <w:r w:rsidRPr="006571AC">
        <w:rPr>
          <w:rFonts w:hint="cs"/>
          <w:sz w:val="27"/>
          <w:rtl/>
          <w:lang w:bidi="ar-LB"/>
        </w:rPr>
        <w:t xml:space="preserve"> عن أبي عبد الله</w:t>
      </w:r>
      <w:r w:rsidR="00EF7096" w:rsidRPr="006571AC">
        <w:rPr>
          <w:rFonts w:ascii="Mosawi" w:hAnsi="Mosawi" w:cs="Mosawi"/>
          <w:sz w:val="22"/>
          <w:szCs w:val="22"/>
          <w:rtl/>
        </w:rPr>
        <w:t>×</w:t>
      </w:r>
      <w:r w:rsidRPr="006571AC">
        <w:rPr>
          <w:rFonts w:hint="cs"/>
          <w:sz w:val="27"/>
          <w:rtl/>
          <w:lang w:bidi="ar-LB"/>
        </w:rPr>
        <w:t xml:space="preserve"> قال: </w:t>
      </w:r>
      <w:r w:rsidRPr="006571AC">
        <w:rPr>
          <w:rFonts w:hint="eastAsia"/>
          <w:sz w:val="24"/>
          <w:szCs w:val="24"/>
          <w:rtl/>
          <w:lang w:bidi="ar-LB"/>
        </w:rPr>
        <w:t>«</w:t>
      </w:r>
      <w:r w:rsidRPr="006571AC">
        <w:rPr>
          <w:rFonts w:hint="cs"/>
          <w:sz w:val="27"/>
          <w:rtl/>
          <w:lang w:bidi="ar-LB"/>
        </w:rPr>
        <w:t>إنّ الله تبارك وتعالى أنزل في القرآن تبيان كلّ شيء</w:t>
      </w:r>
      <w:r w:rsidR="00837CE1" w:rsidRPr="006571AC">
        <w:rPr>
          <w:rFonts w:hint="cs"/>
          <w:sz w:val="27"/>
          <w:rtl/>
          <w:lang w:bidi="ar-LB"/>
        </w:rPr>
        <w:t>ٍ،</w:t>
      </w:r>
      <w:r w:rsidRPr="006571AC">
        <w:rPr>
          <w:rFonts w:hint="cs"/>
          <w:sz w:val="27"/>
          <w:rtl/>
          <w:lang w:bidi="ar-LB"/>
        </w:rPr>
        <w:t xml:space="preserve"> حتى والله</w:t>
      </w:r>
      <w:r w:rsidR="00837CE1" w:rsidRPr="006571AC">
        <w:rPr>
          <w:rFonts w:hint="cs"/>
          <w:sz w:val="27"/>
          <w:rtl/>
          <w:lang w:bidi="ar-LB"/>
        </w:rPr>
        <w:t>ِ</w:t>
      </w:r>
      <w:r w:rsidRPr="006571AC">
        <w:rPr>
          <w:rFonts w:hint="cs"/>
          <w:sz w:val="27"/>
          <w:rtl/>
          <w:lang w:bidi="ar-LB"/>
        </w:rPr>
        <w:t xml:space="preserve"> ما ترك الله شيئاً يحتاج إليه العباد</w:t>
      </w:r>
      <w:r w:rsidR="00837CE1" w:rsidRPr="006571AC">
        <w:rPr>
          <w:rFonts w:hint="cs"/>
          <w:sz w:val="27"/>
          <w:rtl/>
          <w:lang w:bidi="ar-LB"/>
        </w:rPr>
        <w:t>،</w:t>
      </w:r>
      <w:r w:rsidRPr="006571AC">
        <w:rPr>
          <w:rFonts w:hint="cs"/>
          <w:sz w:val="27"/>
          <w:rtl/>
          <w:lang w:bidi="ar-LB"/>
        </w:rPr>
        <w:t xml:space="preserve"> حت</w:t>
      </w:r>
      <w:r w:rsidR="00837CE1" w:rsidRPr="006571AC">
        <w:rPr>
          <w:rFonts w:hint="cs"/>
          <w:sz w:val="27"/>
          <w:rtl/>
          <w:lang w:bidi="ar-LB"/>
        </w:rPr>
        <w:t>ّ</w:t>
      </w:r>
      <w:r w:rsidRPr="006571AC">
        <w:rPr>
          <w:rFonts w:hint="cs"/>
          <w:sz w:val="27"/>
          <w:rtl/>
          <w:lang w:bidi="ar-LB"/>
        </w:rPr>
        <w:t>ى لا يستطيع عبد</w:t>
      </w:r>
      <w:r w:rsidR="00837CE1" w:rsidRPr="006571AC">
        <w:rPr>
          <w:rFonts w:hint="cs"/>
          <w:sz w:val="27"/>
          <w:rtl/>
          <w:lang w:bidi="ar-LB"/>
        </w:rPr>
        <w:t>ٌ</w:t>
      </w:r>
      <w:r w:rsidRPr="006571AC">
        <w:rPr>
          <w:rFonts w:hint="cs"/>
          <w:sz w:val="27"/>
          <w:rtl/>
          <w:lang w:bidi="ar-LB"/>
        </w:rPr>
        <w:t xml:space="preserve"> يقول: لو كان هذا أ</w:t>
      </w:r>
      <w:r w:rsidR="00837CE1" w:rsidRPr="006571AC">
        <w:rPr>
          <w:rFonts w:hint="cs"/>
          <w:sz w:val="27"/>
          <w:rtl/>
          <w:lang w:bidi="ar-LB"/>
        </w:rPr>
        <w:t>ُ</w:t>
      </w:r>
      <w:r w:rsidRPr="006571AC">
        <w:rPr>
          <w:rFonts w:hint="cs"/>
          <w:sz w:val="27"/>
          <w:rtl/>
          <w:lang w:bidi="ar-LB"/>
        </w:rPr>
        <w:t>نزل في القرآن</w:t>
      </w:r>
      <w:r w:rsidR="00837CE1" w:rsidRPr="006571AC">
        <w:rPr>
          <w:rFonts w:hint="cs"/>
          <w:sz w:val="27"/>
          <w:rtl/>
          <w:lang w:bidi="ar-LB"/>
        </w:rPr>
        <w:t>،</w:t>
      </w:r>
      <w:r w:rsidRPr="006571AC">
        <w:rPr>
          <w:rFonts w:hint="cs"/>
          <w:sz w:val="27"/>
          <w:rtl/>
          <w:lang w:bidi="ar-LB"/>
        </w:rPr>
        <w:t xml:space="preserve"> إلاّ وقد أنزله الله فيه</w:t>
      </w:r>
      <w:r w:rsidRPr="006571AC">
        <w:rPr>
          <w:rFonts w:hint="eastAsia"/>
          <w:sz w:val="24"/>
          <w:szCs w:val="24"/>
          <w:rtl/>
        </w:rPr>
        <w:t>»</w:t>
      </w:r>
      <w:r w:rsidRPr="006571AC">
        <w:rPr>
          <w:rFonts w:hint="cs"/>
          <w:sz w:val="27"/>
          <w:vertAlign w:val="superscript"/>
          <w:rtl/>
        </w:rPr>
        <w:t>(</w:t>
      </w:r>
      <w:r w:rsidRPr="006571AC">
        <w:rPr>
          <w:rStyle w:val="ac"/>
          <w:sz w:val="27"/>
          <w:rtl/>
        </w:rPr>
        <w:endnoteReference w:id="631"/>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والرواية معتبرة</w:t>
      </w:r>
      <w:r w:rsidR="00837CE1" w:rsidRPr="006571AC">
        <w:rPr>
          <w:rFonts w:hint="cs"/>
          <w:sz w:val="27"/>
          <w:rtl/>
          <w:lang w:bidi="ar-LB"/>
        </w:rPr>
        <w:t>ٌ</w:t>
      </w:r>
      <w:r w:rsidRPr="006571AC">
        <w:rPr>
          <w:rFonts w:hint="cs"/>
          <w:sz w:val="27"/>
          <w:rtl/>
          <w:lang w:bidi="ar-LB"/>
        </w:rPr>
        <w:t xml:space="preserve"> بناء على المختار من اعتبار روايات كتاب الكافي. </w:t>
      </w:r>
    </w:p>
    <w:p w:rsidR="001F3F5A" w:rsidRPr="006571AC" w:rsidRDefault="001F3F5A" w:rsidP="002A2E03">
      <w:pPr>
        <w:tabs>
          <w:tab w:val="right" w:pos="6930"/>
        </w:tabs>
        <w:suppressAutoHyphens/>
        <w:rPr>
          <w:sz w:val="27"/>
          <w:rtl/>
          <w:lang w:bidi="ar-LB"/>
        </w:rPr>
      </w:pPr>
      <w:r w:rsidRPr="006571AC">
        <w:rPr>
          <w:rFonts w:hint="cs"/>
          <w:sz w:val="27"/>
          <w:rtl/>
          <w:lang w:bidi="ar-LB"/>
        </w:rPr>
        <w:t>وقد فسّ</w:t>
      </w:r>
      <w:r w:rsidR="00837CE1" w:rsidRPr="006571AC">
        <w:rPr>
          <w:rFonts w:hint="cs"/>
          <w:sz w:val="27"/>
          <w:rtl/>
          <w:lang w:bidi="ar-LB"/>
        </w:rPr>
        <w:t>َ</w:t>
      </w:r>
      <w:r w:rsidRPr="006571AC">
        <w:rPr>
          <w:rFonts w:hint="cs"/>
          <w:sz w:val="27"/>
          <w:rtl/>
          <w:lang w:bidi="ar-LB"/>
        </w:rPr>
        <w:t>ر الإمام</w:t>
      </w:r>
      <w:r w:rsidR="002A2C90" w:rsidRPr="006571AC">
        <w:rPr>
          <w:rFonts w:ascii="Mosawi" w:hAnsi="Mosawi" w:cs="Mosawi"/>
          <w:sz w:val="22"/>
          <w:szCs w:val="22"/>
          <w:rtl/>
        </w:rPr>
        <w:t>×</w:t>
      </w:r>
      <w:r w:rsidRPr="006571AC">
        <w:rPr>
          <w:rFonts w:hint="cs"/>
          <w:sz w:val="27"/>
          <w:rtl/>
          <w:lang w:bidi="ar-LB"/>
        </w:rPr>
        <w:t xml:space="preserve"> بذلك قوله تعالى: </w:t>
      </w:r>
      <w:r w:rsidRPr="006571AC">
        <w:rPr>
          <w:rFonts w:ascii="Mosawi" w:hAnsi="Mosawi" w:cs="Mosawi"/>
          <w:sz w:val="24"/>
          <w:szCs w:val="24"/>
          <w:rtl/>
        </w:rPr>
        <w:t>﴿</w:t>
      </w:r>
      <w:r w:rsidR="00837CE1" w:rsidRPr="006571AC">
        <w:rPr>
          <w:b/>
          <w:bCs/>
          <w:sz w:val="27"/>
          <w:rtl/>
        </w:rPr>
        <w:t>وَيَوْمَ نَبْعَثُ فِي كُلِّ أُمَّةٍ شَهِيداً عَلَيْهِمْ مِنْ أَنفُسِهِمْ وَجِئْنَا بِكَ شَهِيداً عَلَى هَؤُلاَء وَنَزَّلْنَا عَلَيْكَ الْكِتَابَ تِبْيَاناً لِكُلِّ شَيْءٍ وَهُدًى وَرَحْمَةً وَبُشْرَى لِلْمُسْلِمِينَ</w:t>
      </w:r>
      <w:r w:rsidRPr="006571AC">
        <w:rPr>
          <w:rFonts w:ascii="Mosawi" w:hAnsi="Mosawi" w:cs="Mosawi"/>
          <w:sz w:val="24"/>
          <w:szCs w:val="24"/>
          <w:rtl/>
        </w:rPr>
        <w:t>﴾</w:t>
      </w:r>
      <w:r w:rsidRPr="006571AC">
        <w:rPr>
          <w:rFonts w:hint="cs"/>
          <w:sz w:val="27"/>
          <w:rtl/>
          <w:lang w:bidi="ar-LB"/>
        </w:rPr>
        <w:t>. واستظهر منها كثير</w:t>
      </w:r>
      <w:r w:rsidR="00837CE1" w:rsidRPr="006571AC">
        <w:rPr>
          <w:rFonts w:hint="cs"/>
          <w:sz w:val="27"/>
          <w:rtl/>
          <w:lang w:bidi="ar-LB"/>
        </w:rPr>
        <w:t>ٌ</w:t>
      </w:r>
      <w:r w:rsidRPr="006571AC">
        <w:rPr>
          <w:rFonts w:hint="cs"/>
          <w:sz w:val="27"/>
          <w:rtl/>
          <w:lang w:bidi="ar-LB"/>
        </w:rPr>
        <w:t xml:space="preserve"> من الأعلام</w:t>
      </w:r>
      <w:r w:rsidR="00837CE1" w:rsidRPr="006571AC">
        <w:rPr>
          <w:rFonts w:hint="cs"/>
          <w:sz w:val="27"/>
          <w:rtl/>
          <w:lang w:bidi="ar-LB"/>
        </w:rPr>
        <w:t>؛</w:t>
      </w:r>
      <w:r w:rsidRPr="006571AC">
        <w:rPr>
          <w:rFonts w:hint="cs"/>
          <w:sz w:val="27"/>
          <w:rtl/>
          <w:lang w:bidi="ar-LB"/>
        </w:rPr>
        <w:t xml:space="preserve"> بقرينة ما في ذيلها من كون القرآن هداية</w:t>
      </w:r>
      <w:r w:rsidR="00837CE1" w:rsidRPr="006571AC">
        <w:rPr>
          <w:rFonts w:hint="cs"/>
          <w:sz w:val="27"/>
          <w:rtl/>
          <w:lang w:bidi="ar-LB"/>
        </w:rPr>
        <w:t>ً</w:t>
      </w:r>
      <w:r w:rsidRPr="006571AC">
        <w:rPr>
          <w:rFonts w:hint="cs"/>
          <w:sz w:val="27"/>
          <w:rtl/>
          <w:lang w:bidi="ar-LB"/>
        </w:rPr>
        <w:t xml:space="preserve"> ورحمة</w:t>
      </w:r>
      <w:r w:rsidR="00837CE1" w:rsidRPr="006571AC">
        <w:rPr>
          <w:rFonts w:hint="cs"/>
          <w:sz w:val="27"/>
          <w:rtl/>
          <w:lang w:bidi="ar-LB"/>
        </w:rPr>
        <w:t>؛</w:t>
      </w:r>
      <w:r w:rsidRPr="006571AC">
        <w:rPr>
          <w:rFonts w:hint="cs"/>
          <w:sz w:val="27"/>
          <w:rtl/>
          <w:lang w:bidi="ar-LB"/>
        </w:rPr>
        <w:t xml:space="preserve"> </w:t>
      </w:r>
      <w:r w:rsidR="00837CE1" w:rsidRPr="006571AC">
        <w:rPr>
          <w:rFonts w:hint="cs"/>
          <w:sz w:val="27"/>
          <w:rtl/>
          <w:lang w:bidi="ar-LB"/>
        </w:rPr>
        <w:t>وكذا غيرها من القرائن العقلية،</w:t>
      </w:r>
      <w:r w:rsidRPr="006571AC">
        <w:rPr>
          <w:rFonts w:hint="cs"/>
          <w:sz w:val="27"/>
          <w:rtl/>
          <w:lang w:bidi="ar-LB"/>
        </w:rPr>
        <w:t xml:space="preserve"> اختصاص نطاق الدين </w:t>
      </w:r>
      <w:r w:rsidRPr="006571AC">
        <w:rPr>
          <w:rFonts w:hint="cs"/>
          <w:sz w:val="27"/>
          <w:rtl/>
          <w:lang w:bidi="ar-LB"/>
        </w:rPr>
        <w:lastRenderedPageBreak/>
        <w:t xml:space="preserve">بما يدخل في السعادة الأبدية للإنسان، فلا مجال للأخذ بالعموم المستفاد من </w:t>
      </w:r>
      <w:r w:rsidRPr="006571AC">
        <w:rPr>
          <w:rFonts w:hint="eastAsia"/>
          <w:sz w:val="24"/>
          <w:szCs w:val="24"/>
          <w:rtl/>
          <w:lang w:bidi="ar-LB"/>
        </w:rPr>
        <w:t>«</w:t>
      </w:r>
      <w:r w:rsidRPr="006571AC">
        <w:rPr>
          <w:rFonts w:hint="cs"/>
          <w:sz w:val="27"/>
          <w:rtl/>
          <w:lang w:bidi="ar-LB"/>
        </w:rPr>
        <w:t>كل</w:t>
      </w:r>
      <w:r w:rsidR="00837CE1" w:rsidRPr="006571AC">
        <w:rPr>
          <w:rFonts w:hint="cs"/>
          <w:sz w:val="27"/>
          <w:rtl/>
          <w:lang w:bidi="ar-LB"/>
        </w:rPr>
        <w:t>ّ</w:t>
      </w:r>
      <w:r w:rsidRPr="006571AC">
        <w:rPr>
          <w:rFonts w:hint="cs"/>
          <w:sz w:val="27"/>
          <w:rtl/>
          <w:lang w:bidi="ar-LB"/>
        </w:rPr>
        <w:t xml:space="preserve"> شيء</w:t>
      </w:r>
      <w:r w:rsidR="00837CE1" w:rsidRPr="006571AC">
        <w:rPr>
          <w:rFonts w:hint="cs"/>
          <w:sz w:val="27"/>
          <w:rtl/>
          <w:lang w:bidi="ar-LB"/>
        </w:rPr>
        <w:t>ٍ</w:t>
      </w:r>
      <w:r w:rsidRPr="006571AC">
        <w:rPr>
          <w:rFonts w:hint="eastAsia"/>
          <w:sz w:val="24"/>
          <w:szCs w:val="24"/>
          <w:rtl/>
        </w:rPr>
        <w:t>»</w:t>
      </w:r>
      <w:r w:rsidR="00837CE1" w:rsidRPr="006571AC">
        <w:rPr>
          <w:rFonts w:hint="cs"/>
          <w:sz w:val="27"/>
          <w:rtl/>
          <w:lang w:bidi="ar-LB"/>
        </w:rPr>
        <w:t>.</w:t>
      </w:r>
      <w:r w:rsidRPr="006571AC">
        <w:rPr>
          <w:rFonts w:hint="cs"/>
          <w:sz w:val="27"/>
          <w:rtl/>
          <w:lang w:bidi="ar-LB"/>
        </w:rPr>
        <w:t xml:space="preserve"> ولا يبعد أن تكون الروا</w:t>
      </w:r>
      <w:r w:rsidR="00837CE1" w:rsidRPr="006571AC">
        <w:rPr>
          <w:rFonts w:hint="cs"/>
          <w:sz w:val="27"/>
          <w:rtl/>
          <w:lang w:bidi="ar-LB"/>
        </w:rPr>
        <w:t>ية</w:t>
      </w:r>
      <w:r w:rsidRPr="006571AC">
        <w:rPr>
          <w:rFonts w:hint="cs"/>
          <w:sz w:val="27"/>
          <w:rtl/>
          <w:lang w:bidi="ar-LB"/>
        </w:rPr>
        <w:t xml:space="preserve"> المتقدّمة مؤي</w:t>
      </w:r>
      <w:r w:rsidR="00837CE1" w:rsidRPr="006571AC">
        <w:rPr>
          <w:rFonts w:hint="cs"/>
          <w:sz w:val="27"/>
          <w:rtl/>
          <w:lang w:bidi="ar-LB"/>
        </w:rPr>
        <w:t>ِّ</w:t>
      </w:r>
      <w:r w:rsidRPr="006571AC">
        <w:rPr>
          <w:rFonts w:hint="cs"/>
          <w:sz w:val="27"/>
          <w:rtl/>
          <w:lang w:bidi="ar-LB"/>
        </w:rPr>
        <w:t>دة</w:t>
      </w:r>
      <w:r w:rsidR="00837CE1" w:rsidRPr="006571AC">
        <w:rPr>
          <w:rFonts w:hint="cs"/>
          <w:sz w:val="27"/>
          <w:rtl/>
          <w:lang w:bidi="ar-LB"/>
        </w:rPr>
        <w:t>ً</w:t>
      </w:r>
      <w:r w:rsidRPr="006571AC">
        <w:rPr>
          <w:rFonts w:hint="cs"/>
          <w:sz w:val="27"/>
          <w:rtl/>
          <w:lang w:bidi="ar-LB"/>
        </w:rPr>
        <w:t xml:space="preserve"> لهذا الاستظهار. </w:t>
      </w:r>
    </w:p>
    <w:p w:rsidR="001F3F5A" w:rsidRPr="006571AC" w:rsidRDefault="001F3F5A" w:rsidP="002A2E03">
      <w:pPr>
        <w:tabs>
          <w:tab w:val="right" w:pos="6930"/>
        </w:tabs>
        <w:suppressAutoHyphens/>
        <w:rPr>
          <w:sz w:val="27"/>
          <w:rtl/>
          <w:lang w:bidi="ar-LB"/>
        </w:rPr>
      </w:pPr>
      <w:r w:rsidRPr="006571AC">
        <w:rPr>
          <w:rFonts w:hint="cs"/>
          <w:sz w:val="27"/>
          <w:rtl/>
          <w:lang w:bidi="ar-LB"/>
        </w:rPr>
        <w:t>ولكنّ الصحيح هو الأخذ بعموم الحكم، بعد أن كان الظاهر منها الفرق بين صفة البيانيّة والهداية، فكأنّ القرآن موصوف</w:t>
      </w:r>
      <w:r w:rsidR="00837CE1" w:rsidRPr="006571AC">
        <w:rPr>
          <w:rFonts w:hint="cs"/>
          <w:sz w:val="27"/>
          <w:rtl/>
          <w:lang w:bidi="ar-LB"/>
        </w:rPr>
        <w:t>ٌ</w:t>
      </w:r>
      <w:r w:rsidRPr="006571AC">
        <w:rPr>
          <w:rFonts w:hint="cs"/>
          <w:sz w:val="27"/>
          <w:rtl/>
          <w:lang w:bidi="ar-LB"/>
        </w:rPr>
        <w:t xml:space="preserve"> بعدة أوصاف مختلفة، منها: </w:t>
      </w:r>
      <w:r w:rsidR="00837CE1" w:rsidRPr="006571AC">
        <w:rPr>
          <w:rFonts w:hint="cs"/>
          <w:sz w:val="27"/>
          <w:rtl/>
          <w:lang w:bidi="ar-LB"/>
        </w:rPr>
        <w:t>إ</w:t>
      </w:r>
      <w:r w:rsidRPr="006571AC">
        <w:rPr>
          <w:rFonts w:hint="cs"/>
          <w:sz w:val="27"/>
          <w:rtl/>
          <w:lang w:bidi="ar-LB"/>
        </w:rPr>
        <w:t xml:space="preserve">نّه تبيان لكلّ شيء، ومنها: </w:t>
      </w:r>
      <w:r w:rsidR="00837CE1" w:rsidRPr="006571AC">
        <w:rPr>
          <w:rFonts w:hint="cs"/>
          <w:sz w:val="27"/>
          <w:rtl/>
          <w:lang w:bidi="ar-LB"/>
        </w:rPr>
        <w:t>إ</w:t>
      </w:r>
      <w:r w:rsidRPr="006571AC">
        <w:rPr>
          <w:rFonts w:hint="cs"/>
          <w:sz w:val="27"/>
          <w:rtl/>
          <w:lang w:bidi="ar-LB"/>
        </w:rPr>
        <w:t>نّه هدىً ورحمة وبشرى</w:t>
      </w:r>
      <w:r w:rsidR="00837CE1" w:rsidRPr="006571AC">
        <w:rPr>
          <w:rFonts w:hint="cs"/>
          <w:sz w:val="27"/>
          <w:rtl/>
          <w:lang w:bidi="ar-LB"/>
        </w:rPr>
        <w:t>ً</w:t>
      </w:r>
      <w:r w:rsidRPr="006571AC">
        <w:rPr>
          <w:rFonts w:hint="cs"/>
          <w:sz w:val="27"/>
          <w:rtl/>
          <w:lang w:bidi="ar-LB"/>
        </w:rPr>
        <w:t xml:space="preserve"> للمسلمين</w:t>
      </w:r>
      <w:r w:rsidR="00837CE1" w:rsidRPr="006571AC">
        <w:rPr>
          <w:rFonts w:hint="cs"/>
          <w:sz w:val="27"/>
          <w:rtl/>
          <w:lang w:bidi="ar-LB"/>
        </w:rPr>
        <w:t>.</w:t>
      </w:r>
      <w:r w:rsidRPr="006571AC">
        <w:rPr>
          <w:rFonts w:hint="cs"/>
          <w:sz w:val="27"/>
          <w:rtl/>
          <w:lang w:bidi="ar-LB"/>
        </w:rPr>
        <w:t xml:space="preserve"> ويشهد لهذا التعميم ما تعد</w:t>
      </w:r>
      <w:r w:rsidR="00837CE1" w:rsidRPr="006571AC">
        <w:rPr>
          <w:rFonts w:hint="cs"/>
          <w:sz w:val="27"/>
          <w:rtl/>
          <w:lang w:bidi="ar-LB"/>
        </w:rPr>
        <w:t>َّ</w:t>
      </w:r>
      <w:r w:rsidRPr="006571AC">
        <w:rPr>
          <w:rFonts w:hint="cs"/>
          <w:sz w:val="27"/>
          <w:rtl/>
          <w:lang w:bidi="ar-LB"/>
        </w:rPr>
        <w:t>دت روايته عن الأئمة الأطهار</w:t>
      </w:r>
      <w:r w:rsidR="00837CE1" w:rsidRPr="006571AC">
        <w:rPr>
          <w:rFonts w:ascii="Mosawi" w:hAnsi="Mosawi" w:cs="Mosawi"/>
          <w:sz w:val="22"/>
          <w:szCs w:val="22"/>
          <w:rtl/>
        </w:rPr>
        <w:t>^</w:t>
      </w:r>
      <w:r w:rsidR="00837CE1" w:rsidRPr="006571AC">
        <w:rPr>
          <w:rFonts w:hint="cs"/>
          <w:sz w:val="27"/>
          <w:rtl/>
          <w:lang w:bidi="ar-LB"/>
        </w:rPr>
        <w:t>،</w:t>
      </w:r>
      <w:r w:rsidRPr="006571AC">
        <w:rPr>
          <w:rFonts w:hint="cs"/>
          <w:sz w:val="27"/>
          <w:rtl/>
          <w:lang w:bidi="ar-LB"/>
        </w:rPr>
        <w:t xml:space="preserve"> من علمهم بجميع ما كان وما يكون، بعد أن كان عندهم القرآن الذي هو تبيان</w:t>
      </w:r>
      <w:r w:rsidR="00837CE1" w:rsidRPr="006571AC">
        <w:rPr>
          <w:rFonts w:hint="cs"/>
          <w:sz w:val="27"/>
          <w:rtl/>
          <w:lang w:bidi="ar-LB"/>
        </w:rPr>
        <w:t>ُ</w:t>
      </w:r>
      <w:r w:rsidRPr="006571AC">
        <w:rPr>
          <w:rFonts w:hint="cs"/>
          <w:sz w:val="27"/>
          <w:rtl/>
          <w:lang w:bidi="ar-LB"/>
        </w:rPr>
        <w:t xml:space="preserve"> كلّ شيء</w:t>
      </w:r>
      <w:r w:rsidRPr="006571AC">
        <w:rPr>
          <w:rFonts w:hint="cs"/>
          <w:sz w:val="27"/>
          <w:vertAlign w:val="superscript"/>
          <w:rtl/>
        </w:rPr>
        <w:t>(</w:t>
      </w:r>
      <w:r w:rsidRPr="006571AC">
        <w:rPr>
          <w:rStyle w:val="ac"/>
          <w:sz w:val="27"/>
          <w:rtl/>
        </w:rPr>
        <w:endnoteReference w:id="632"/>
      </w:r>
      <w:r w:rsidRPr="006571AC">
        <w:rPr>
          <w:rFonts w:hint="cs"/>
          <w:sz w:val="27"/>
          <w:vertAlign w:val="superscript"/>
          <w:rtl/>
        </w:rPr>
        <w:t>)</w:t>
      </w:r>
      <w:r w:rsidRPr="006571AC">
        <w:rPr>
          <w:rFonts w:hint="cs"/>
          <w:sz w:val="27"/>
          <w:rtl/>
          <w:lang w:bidi="ar-LB"/>
        </w:rPr>
        <w:t>. نعم، لا يمكن أن يكون القرآن بهذه الظهورات الع</w:t>
      </w:r>
      <w:r w:rsidR="00F54212" w:rsidRPr="006571AC">
        <w:rPr>
          <w:rFonts w:hint="cs"/>
          <w:sz w:val="27"/>
          <w:rtl/>
          <w:lang w:bidi="ar-LB"/>
        </w:rPr>
        <w:t>ُ</w:t>
      </w:r>
      <w:r w:rsidRPr="006571AC">
        <w:rPr>
          <w:rFonts w:hint="cs"/>
          <w:sz w:val="27"/>
          <w:rtl/>
          <w:lang w:bidi="ar-LB"/>
        </w:rPr>
        <w:t>ر</w:t>
      </w:r>
      <w:r w:rsidR="00F54212" w:rsidRPr="006571AC">
        <w:rPr>
          <w:rFonts w:hint="cs"/>
          <w:sz w:val="27"/>
          <w:rtl/>
          <w:lang w:bidi="ar-LB"/>
        </w:rPr>
        <w:t>ْ</w:t>
      </w:r>
      <w:r w:rsidRPr="006571AC">
        <w:rPr>
          <w:rFonts w:hint="cs"/>
          <w:sz w:val="27"/>
          <w:rtl/>
          <w:lang w:bidi="ar-LB"/>
        </w:rPr>
        <w:t>فية التي نفهمها كذلك</w:t>
      </w:r>
      <w:r w:rsidR="00F54212" w:rsidRPr="006571AC">
        <w:rPr>
          <w:rFonts w:hint="cs"/>
          <w:sz w:val="27"/>
          <w:rtl/>
          <w:lang w:bidi="ar-LB"/>
        </w:rPr>
        <w:t>،</w:t>
      </w:r>
      <w:r w:rsidRPr="006571AC">
        <w:rPr>
          <w:rFonts w:hint="cs"/>
          <w:sz w:val="27"/>
          <w:rtl/>
          <w:lang w:bidi="ar-LB"/>
        </w:rPr>
        <w:t xml:space="preserve"> </w:t>
      </w:r>
      <w:r w:rsidR="00F54212" w:rsidRPr="006571AC">
        <w:rPr>
          <w:rFonts w:hint="cs"/>
          <w:sz w:val="27"/>
          <w:rtl/>
          <w:lang w:bidi="ar-LB"/>
        </w:rPr>
        <w:t>ف</w:t>
      </w:r>
      <w:r w:rsidR="00731867" w:rsidRPr="006571AC">
        <w:rPr>
          <w:rFonts w:hint="cs"/>
          <w:sz w:val="27"/>
          <w:rtl/>
          <w:lang w:bidi="ar-LB"/>
        </w:rPr>
        <w:t>لا بُدَّ</w:t>
      </w:r>
      <w:r w:rsidRPr="006571AC">
        <w:rPr>
          <w:rFonts w:hint="cs"/>
          <w:sz w:val="27"/>
          <w:rtl/>
          <w:lang w:bidi="ar-LB"/>
        </w:rPr>
        <w:t xml:space="preserve"> أن ي</w:t>
      </w:r>
      <w:r w:rsidR="00F54212" w:rsidRPr="006571AC">
        <w:rPr>
          <w:rFonts w:hint="cs"/>
          <w:sz w:val="27"/>
          <w:rtl/>
          <w:lang w:bidi="ar-LB"/>
        </w:rPr>
        <w:t>ُ</w:t>
      </w:r>
      <w:r w:rsidRPr="006571AC">
        <w:rPr>
          <w:rFonts w:hint="cs"/>
          <w:sz w:val="27"/>
          <w:rtl/>
          <w:lang w:bidi="ar-LB"/>
        </w:rPr>
        <w:t>راد به تلك المراتب والبواطن التي لا يمسّها إلاّ المطهّ</w:t>
      </w:r>
      <w:r w:rsidR="00F54212" w:rsidRPr="006571AC">
        <w:rPr>
          <w:rFonts w:hint="cs"/>
          <w:sz w:val="27"/>
          <w:rtl/>
          <w:lang w:bidi="ar-LB"/>
        </w:rPr>
        <w:t>َ</w:t>
      </w:r>
      <w:r w:rsidRPr="006571AC">
        <w:rPr>
          <w:rFonts w:hint="cs"/>
          <w:sz w:val="27"/>
          <w:rtl/>
          <w:lang w:bidi="ar-LB"/>
        </w:rPr>
        <w:t>رون</w:t>
      </w:r>
      <w:r w:rsidR="00F54212" w:rsidRPr="006571AC">
        <w:rPr>
          <w:rFonts w:hint="cs"/>
          <w:sz w:val="27"/>
          <w:rtl/>
          <w:lang w:bidi="ar-LB"/>
        </w:rPr>
        <w:t>،</w:t>
      </w:r>
      <w:r w:rsidRPr="006571AC">
        <w:rPr>
          <w:rFonts w:hint="cs"/>
          <w:sz w:val="27"/>
          <w:rtl/>
          <w:lang w:bidi="ar-LB"/>
        </w:rPr>
        <w:t xml:space="preserve"> في كتاب</w:t>
      </w:r>
      <w:r w:rsidR="00F54212" w:rsidRPr="006571AC">
        <w:rPr>
          <w:rFonts w:hint="cs"/>
          <w:sz w:val="27"/>
          <w:rtl/>
          <w:lang w:bidi="ar-LB"/>
        </w:rPr>
        <w:t>ٍ</w:t>
      </w:r>
      <w:r w:rsidRPr="006571AC">
        <w:rPr>
          <w:rFonts w:hint="cs"/>
          <w:sz w:val="27"/>
          <w:rtl/>
          <w:lang w:bidi="ar-LB"/>
        </w:rPr>
        <w:t xml:space="preserve"> مكنون</w:t>
      </w:r>
      <w:r w:rsidR="00F54212" w:rsidRPr="006571AC">
        <w:rPr>
          <w:rFonts w:hint="cs"/>
          <w:sz w:val="27"/>
          <w:rtl/>
          <w:lang w:bidi="ar-LB"/>
        </w:rPr>
        <w:t>،</w:t>
      </w:r>
      <w:r w:rsidRPr="006571AC">
        <w:rPr>
          <w:rFonts w:hint="cs"/>
          <w:sz w:val="27"/>
          <w:rtl/>
          <w:lang w:bidi="ar-LB"/>
        </w:rPr>
        <w:t xml:space="preserve"> ولا يعزب عنه من مثقال ذر</w:t>
      </w:r>
      <w:r w:rsidR="00F54212" w:rsidRPr="006571AC">
        <w:rPr>
          <w:rFonts w:hint="cs"/>
          <w:sz w:val="27"/>
          <w:rtl/>
          <w:lang w:bidi="ar-LB"/>
        </w:rPr>
        <w:t>ّ</w:t>
      </w:r>
      <w:r w:rsidRPr="006571AC">
        <w:rPr>
          <w:rFonts w:hint="cs"/>
          <w:sz w:val="27"/>
          <w:rtl/>
          <w:lang w:bidi="ar-LB"/>
        </w:rPr>
        <w:t>ة</w:t>
      </w:r>
      <w:r w:rsidR="00F54212" w:rsidRPr="006571AC">
        <w:rPr>
          <w:rFonts w:hint="cs"/>
          <w:sz w:val="27"/>
          <w:rtl/>
          <w:lang w:bidi="ar-LB"/>
        </w:rPr>
        <w:t>ٍ،</w:t>
      </w:r>
      <w:r w:rsidRPr="006571AC">
        <w:rPr>
          <w:rFonts w:hint="cs"/>
          <w:sz w:val="27"/>
          <w:rtl/>
          <w:lang w:bidi="ar-LB"/>
        </w:rPr>
        <w:t xml:space="preserve"> والله بكلّ شيء عليم. </w:t>
      </w:r>
    </w:p>
    <w:p w:rsidR="001F3F5A" w:rsidRPr="006571AC" w:rsidRDefault="001F3F5A" w:rsidP="002A2E03">
      <w:pPr>
        <w:tabs>
          <w:tab w:val="right" w:pos="6930"/>
        </w:tabs>
        <w:suppressAutoHyphens/>
        <w:rPr>
          <w:sz w:val="27"/>
          <w:rtl/>
          <w:lang w:bidi="ar-LB"/>
        </w:rPr>
      </w:pPr>
      <w:r w:rsidRPr="006571AC">
        <w:rPr>
          <w:rFonts w:hint="cs"/>
          <w:sz w:val="27"/>
          <w:rtl/>
          <w:lang w:bidi="ar-LB"/>
        </w:rPr>
        <w:t>وأمّا دلالة الرواية على ما نحن فيه فت</w:t>
      </w:r>
      <w:r w:rsidR="00F54212" w:rsidRPr="006571AC">
        <w:rPr>
          <w:rFonts w:hint="cs"/>
          <w:sz w:val="27"/>
          <w:rtl/>
          <w:lang w:bidi="ar-LB"/>
        </w:rPr>
        <w:t>ق</w:t>
      </w:r>
      <w:r w:rsidRPr="006571AC">
        <w:rPr>
          <w:rFonts w:hint="cs"/>
          <w:sz w:val="27"/>
          <w:rtl/>
          <w:lang w:bidi="ar-LB"/>
        </w:rPr>
        <w:t>ريب</w:t>
      </w:r>
      <w:r w:rsidR="00F54212" w:rsidRPr="006571AC">
        <w:rPr>
          <w:rFonts w:hint="cs"/>
          <w:sz w:val="27"/>
          <w:rtl/>
          <w:lang w:bidi="ar-LB"/>
        </w:rPr>
        <w:t>ُ</w:t>
      </w:r>
      <w:r w:rsidRPr="006571AC">
        <w:rPr>
          <w:rFonts w:hint="cs"/>
          <w:sz w:val="27"/>
          <w:rtl/>
          <w:lang w:bidi="ar-LB"/>
        </w:rPr>
        <w:t xml:space="preserve"> الاستدلال بها </w:t>
      </w:r>
      <w:r w:rsidR="00F54212" w:rsidRPr="006571AC">
        <w:rPr>
          <w:rFonts w:hint="cs"/>
          <w:sz w:val="27"/>
          <w:rtl/>
          <w:lang w:bidi="ar-LB"/>
        </w:rPr>
        <w:t>أنّ</w:t>
      </w:r>
      <w:r w:rsidRPr="006571AC">
        <w:rPr>
          <w:rFonts w:hint="cs"/>
          <w:sz w:val="27"/>
          <w:rtl/>
          <w:lang w:bidi="ar-LB"/>
        </w:rPr>
        <w:t xml:space="preserve"> هذه الرواية تدلّ على أنّ الله تبارك وتعالى لم يترك شيئاً يحتاج إليه العباد إلاّ وقد أنزله في كتابه</w:t>
      </w:r>
      <w:r w:rsidR="00F54212" w:rsidRPr="006571AC">
        <w:rPr>
          <w:rFonts w:hint="cs"/>
          <w:sz w:val="27"/>
          <w:rtl/>
          <w:lang w:bidi="ar-LB"/>
        </w:rPr>
        <w:t xml:space="preserve">، </w:t>
      </w:r>
      <w:r w:rsidRPr="006571AC">
        <w:rPr>
          <w:rFonts w:hint="cs"/>
          <w:sz w:val="27"/>
          <w:rtl/>
          <w:lang w:bidi="ar-LB"/>
        </w:rPr>
        <w:t>وبيّ</w:t>
      </w:r>
      <w:r w:rsidR="00F54212" w:rsidRPr="006571AC">
        <w:rPr>
          <w:rFonts w:hint="cs"/>
          <w:sz w:val="27"/>
          <w:rtl/>
          <w:lang w:bidi="ar-LB"/>
        </w:rPr>
        <w:t>َ</w:t>
      </w:r>
      <w:r w:rsidRPr="006571AC">
        <w:rPr>
          <w:rFonts w:hint="cs"/>
          <w:sz w:val="27"/>
          <w:rtl/>
          <w:lang w:bidi="ar-LB"/>
        </w:rPr>
        <w:t xml:space="preserve">نه لرسوله.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ولا يخفى على الناظر </w:t>
      </w:r>
      <w:r w:rsidR="00F54212" w:rsidRPr="006571AC">
        <w:rPr>
          <w:rFonts w:hint="cs"/>
          <w:sz w:val="27"/>
          <w:rtl/>
          <w:lang w:bidi="ar-LB"/>
        </w:rPr>
        <w:t>قصور الرواية في بادئ النظر عن إ</w:t>
      </w:r>
      <w:r w:rsidRPr="006571AC">
        <w:rPr>
          <w:rFonts w:hint="cs"/>
          <w:sz w:val="27"/>
          <w:rtl/>
          <w:lang w:bidi="ar-LB"/>
        </w:rPr>
        <w:t>ثبات المطلوب</w:t>
      </w:r>
      <w:r w:rsidR="00F54212" w:rsidRPr="006571AC">
        <w:rPr>
          <w:rFonts w:hint="cs"/>
          <w:sz w:val="27"/>
          <w:rtl/>
          <w:lang w:bidi="ar-LB"/>
        </w:rPr>
        <w:t>؛</w:t>
      </w:r>
      <w:r w:rsidRPr="006571AC">
        <w:rPr>
          <w:rFonts w:hint="cs"/>
          <w:sz w:val="27"/>
          <w:rtl/>
          <w:lang w:bidi="ar-LB"/>
        </w:rPr>
        <w:t xml:space="preserve"> </w:t>
      </w:r>
      <w:r w:rsidR="00F54212" w:rsidRPr="006571AC">
        <w:rPr>
          <w:rFonts w:hint="cs"/>
          <w:sz w:val="27"/>
          <w:rtl/>
          <w:lang w:bidi="ar-LB"/>
        </w:rPr>
        <w:t>إ</w:t>
      </w:r>
      <w:r w:rsidRPr="006571AC">
        <w:rPr>
          <w:rFonts w:hint="cs"/>
          <w:sz w:val="27"/>
          <w:rtl/>
          <w:lang w:bidi="ar-LB"/>
        </w:rPr>
        <w:t xml:space="preserve">ذ </w:t>
      </w:r>
      <w:r w:rsidR="00F54212" w:rsidRPr="006571AC">
        <w:rPr>
          <w:rFonts w:hint="cs"/>
          <w:sz w:val="27"/>
          <w:rtl/>
          <w:lang w:bidi="ar-LB"/>
        </w:rPr>
        <w:t xml:space="preserve">لا بُدَّ أن </w:t>
      </w:r>
      <w:r w:rsidRPr="006571AC">
        <w:rPr>
          <w:rFonts w:hint="cs"/>
          <w:sz w:val="27"/>
          <w:rtl/>
          <w:lang w:bidi="ar-LB"/>
        </w:rPr>
        <w:t>يكون في الفعل مصلحة</w:t>
      </w:r>
      <w:r w:rsidR="00F54212" w:rsidRPr="006571AC">
        <w:rPr>
          <w:rFonts w:hint="cs"/>
          <w:sz w:val="27"/>
          <w:rtl/>
          <w:lang w:bidi="ar-LB"/>
        </w:rPr>
        <w:t>ٌ</w:t>
      </w:r>
      <w:r w:rsidRPr="006571AC">
        <w:rPr>
          <w:rFonts w:hint="cs"/>
          <w:sz w:val="27"/>
          <w:rtl/>
          <w:lang w:bidi="ar-LB"/>
        </w:rPr>
        <w:t xml:space="preserve"> أو مفسدة</w:t>
      </w:r>
      <w:r w:rsidR="00F54212" w:rsidRPr="006571AC">
        <w:rPr>
          <w:rFonts w:hint="cs"/>
          <w:sz w:val="27"/>
          <w:rtl/>
          <w:lang w:bidi="ar-LB"/>
        </w:rPr>
        <w:t>ٌ</w:t>
      </w:r>
      <w:r w:rsidRPr="006571AC">
        <w:rPr>
          <w:rFonts w:hint="cs"/>
          <w:sz w:val="27"/>
          <w:rtl/>
          <w:lang w:bidi="ar-LB"/>
        </w:rPr>
        <w:t xml:space="preserve"> حتى ي</w:t>
      </w:r>
      <w:r w:rsidR="00F54212" w:rsidRPr="006571AC">
        <w:rPr>
          <w:rFonts w:hint="cs"/>
          <w:sz w:val="27"/>
          <w:rtl/>
          <w:lang w:bidi="ar-LB"/>
        </w:rPr>
        <w:t>ُ</w:t>
      </w:r>
      <w:r w:rsidRPr="006571AC">
        <w:rPr>
          <w:rFonts w:hint="cs"/>
          <w:sz w:val="27"/>
          <w:rtl/>
          <w:lang w:bidi="ar-LB"/>
        </w:rPr>
        <w:t xml:space="preserve">قال: إنَّ الناس محتاجون </w:t>
      </w:r>
      <w:r w:rsidR="00F54212" w:rsidRPr="006571AC">
        <w:rPr>
          <w:rFonts w:hint="cs"/>
          <w:sz w:val="27"/>
          <w:rtl/>
          <w:lang w:bidi="ar-LB"/>
        </w:rPr>
        <w:t>إ</w:t>
      </w:r>
      <w:r w:rsidRPr="006571AC">
        <w:rPr>
          <w:rFonts w:hint="cs"/>
          <w:sz w:val="27"/>
          <w:rtl/>
          <w:lang w:bidi="ar-LB"/>
        </w:rPr>
        <w:t>لى الحكم الشرعي</w:t>
      </w:r>
      <w:r w:rsidR="00F54212" w:rsidRPr="006571AC">
        <w:rPr>
          <w:rFonts w:hint="cs"/>
          <w:sz w:val="27"/>
          <w:rtl/>
          <w:lang w:bidi="ar-LB"/>
        </w:rPr>
        <w:t>؛</w:t>
      </w:r>
      <w:r w:rsidRPr="006571AC">
        <w:rPr>
          <w:rFonts w:hint="cs"/>
          <w:sz w:val="27"/>
          <w:rtl/>
          <w:lang w:bidi="ar-LB"/>
        </w:rPr>
        <w:t xml:space="preserve"> لكي يتمكّنوا من خلاله من استيفاء المصلحة ودفع المفسدة، وأما إذا كان خالياً عنهما فلا حاجة لهم حينئذٍ </w:t>
      </w:r>
      <w:r w:rsidR="008E1A5E" w:rsidRPr="006571AC">
        <w:rPr>
          <w:rFonts w:hint="cs"/>
          <w:sz w:val="27"/>
          <w:rtl/>
          <w:lang w:bidi="ar-LB"/>
        </w:rPr>
        <w:t>إلى ا</w:t>
      </w:r>
      <w:r w:rsidRPr="006571AC">
        <w:rPr>
          <w:rFonts w:hint="cs"/>
          <w:sz w:val="27"/>
          <w:rtl/>
          <w:lang w:bidi="ar-LB"/>
        </w:rPr>
        <w:t xml:space="preserve">لحكم. </w:t>
      </w:r>
    </w:p>
    <w:p w:rsidR="001F3F5A" w:rsidRPr="006571AC" w:rsidRDefault="001F3F5A" w:rsidP="002A2E03">
      <w:pPr>
        <w:tabs>
          <w:tab w:val="right" w:pos="6930"/>
        </w:tabs>
        <w:suppressAutoHyphens/>
        <w:rPr>
          <w:sz w:val="27"/>
          <w:rtl/>
          <w:lang w:bidi="ar-LB"/>
        </w:rPr>
      </w:pPr>
      <w:r w:rsidRPr="006571AC">
        <w:rPr>
          <w:rFonts w:hint="cs"/>
          <w:sz w:val="27"/>
          <w:rtl/>
          <w:lang w:bidi="ar-LB"/>
        </w:rPr>
        <w:t>وبعبارة</w:t>
      </w:r>
      <w:r w:rsidR="008E1A5E" w:rsidRPr="006571AC">
        <w:rPr>
          <w:rFonts w:hint="cs"/>
          <w:sz w:val="27"/>
          <w:rtl/>
          <w:lang w:bidi="ar-LB"/>
        </w:rPr>
        <w:t>ٍ</w:t>
      </w:r>
      <w:r w:rsidRPr="006571AC">
        <w:rPr>
          <w:rFonts w:hint="cs"/>
          <w:sz w:val="27"/>
          <w:rtl/>
          <w:lang w:bidi="ar-LB"/>
        </w:rPr>
        <w:t xml:space="preserve"> أخرى: إنّ الرواية لا تدلّ على أكثر من توف</w:t>
      </w:r>
      <w:r w:rsidR="008E1A5E" w:rsidRPr="006571AC">
        <w:rPr>
          <w:rFonts w:hint="cs"/>
          <w:sz w:val="27"/>
          <w:rtl/>
          <w:lang w:bidi="ar-LB"/>
        </w:rPr>
        <w:t>ُّ</w:t>
      </w:r>
      <w:r w:rsidRPr="006571AC">
        <w:rPr>
          <w:rFonts w:hint="cs"/>
          <w:sz w:val="27"/>
          <w:rtl/>
          <w:lang w:bidi="ar-LB"/>
        </w:rPr>
        <w:t>ر الجعل الشرعي في كلّ موضع</w:t>
      </w:r>
      <w:r w:rsidR="008E1A5E" w:rsidRPr="006571AC">
        <w:rPr>
          <w:rFonts w:hint="cs"/>
          <w:sz w:val="27"/>
          <w:rtl/>
          <w:lang w:bidi="ar-LB"/>
        </w:rPr>
        <w:t>ٍ</w:t>
      </w:r>
      <w:r w:rsidRPr="006571AC">
        <w:rPr>
          <w:rFonts w:hint="cs"/>
          <w:sz w:val="27"/>
          <w:rtl/>
          <w:lang w:bidi="ar-LB"/>
        </w:rPr>
        <w:t xml:space="preserve"> يحتاج إليه الناس، وأمّا أنّهم يحتاجون </w:t>
      </w:r>
      <w:r w:rsidR="008E1A5E" w:rsidRPr="006571AC">
        <w:rPr>
          <w:rFonts w:hint="cs"/>
          <w:sz w:val="27"/>
          <w:rtl/>
          <w:lang w:bidi="ar-LB"/>
        </w:rPr>
        <w:t>إ</w:t>
      </w:r>
      <w:r w:rsidRPr="006571AC">
        <w:rPr>
          <w:rFonts w:hint="cs"/>
          <w:sz w:val="27"/>
          <w:rtl/>
          <w:lang w:bidi="ar-LB"/>
        </w:rPr>
        <w:t>لى الحكم في كلّ واقعة</w:t>
      </w:r>
      <w:r w:rsidR="008E1A5E" w:rsidRPr="006571AC">
        <w:rPr>
          <w:rFonts w:hint="cs"/>
          <w:sz w:val="27"/>
          <w:rtl/>
          <w:lang w:bidi="ar-LB"/>
        </w:rPr>
        <w:t>ٍ</w:t>
      </w:r>
      <w:r w:rsidRPr="006571AC">
        <w:rPr>
          <w:rFonts w:hint="cs"/>
          <w:sz w:val="27"/>
          <w:rtl/>
          <w:lang w:bidi="ar-LB"/>
        </w:rPr>
        <w:t xml:space="preserve"> فهذا ما لا دلالة لها عليه. </w:t>
      </w:r>
    </w:p>
    <w:p w:rsidR="001F3F5A" w:rsidRPr="006571AC" w:rsidRDefault="001F3F5A" w:rsidP="002A2E03">
      <w:pPr>
        <w:tabs>
          <w:tab w:val="right" w:pos="6930"/>
        </w:tabs>
        <w:suppressAutoHyphens/>
        <w:rPr>
          <w:sz w:val="27"/>
          <w:rtl/>
          <w:lang w:bidi="ar-LB"/>
        </w:rPr>
      </w:pPr>
      <w:r w:rsidRPr="006571AC">
        <w:rPr>
          <w:rFonts w:hint="cs"/>
          <w:sz w:val="27"/>
          <w:rtl/>
          <w:lang w:bidi="ar-LB"/>
        </w:rPr>
        <w:t>نعم</w:t>
      </w:r>
      <w:r w:rsidR="008E1A5E" w:rsidRPr="006571AC">
        <w:rPr>
          <w:rFonts w:hint="cs"/>
          <w:sz w:val="27"/>
          <w:rtl/>
          <w:lang w:bidi="ar-LB"/>
        </w:rPr>
        <w:t>،</w:t>
      </w:r>
      <w:r w:rsidRPr="006571AC">
        <w:rPr>
          <w:rFonts w:hint="cs"/>
          <w:sz w:val="27"/>
          <w:rtl/>
          <w:lang w:bidi="ar-LB"/>
        </w:rPr>
        <w:t xml:space="preserve"> قد يقال: </w:t>
      </w:r>
      <w:r w:rsidR="008E1A5E" w:rsidRPr="006571AC">
        <w:rPr>
          <w:rFonts w:hint="cs"/>
          <w:sz w:val="27"/>
          <w:rtl/>
          <w:lang w:bidi="ar-LB"/>
        </w:rPr>
        <w:t>إنّ الحكم الشرعيّ</w:t>
      </w:r>
      <w:r w:rsidRPr="006571AC">
        <w:rPr>
          <w:rFonts w:hint="cs"/>
          <w:sz w:val="27"/>
          <w:rtl/>
          <w:lang w:bidi="ar-LB"/>
        </w:rPr>
        <w:t xml:space="preserve"> بنفسه ممّا يحتاج إليه الناس</w:t>
      </w:r>
      <w:r w:rsidR="008E1A5E" w:rsidRPr="006571AC">
        <w:rPr>
          <w:rFonts w:hint="cs"/>
          <w:sz w:val="27"/>
          <w:rtl/>
          <w:lang w:bidi="ar-LB"/>
        </w:rPr>
        <w:t>؛</w:t>
      </w:r>
      <w:r w:rsidRPr="006571AC">
        <w:rPr>
          <w:rFonts w:hint="cs"/>
          <w:sz w:val="27"/>
          <w:rtl/>
          <w:lang w:bidi="ar-LB"/>
        </w:rPr>
        <w:t xml:space="preserve"> </w:t>
      </w:r>
      <w:r w:rsidR="008E1A5E" w:rsidRPr="006571AC">
        <w:rPr>
          <w:rFonts w:hint="cs"/>
          <w:sz w:val="27"/>
          <w:rtl/>
          <w:lang w:bidi="ar-LB"/>
        </w:rPr>
        <w:t>إ</w:t>
      </w:r>
      <w:r w:rsidRPr="006571AC">
        <w:rPr>
          <w:rFonts w:hint="cs"/>
          <w:sz w:val="27"/>
          <w:rtl/>
          <w:lang w:bidi="ar-LB"/>
        </w:rPr>
        <w:t xml:space="preserve">ذ يتيسّر إسناد الفعل والترك </w:t>
      </w:r>
      <w:r w:rsidR="008E1A5E" w:rsidRPr="006571AC">
        <w:rPr>
          <w:rFonts w:hint="cs"/>
          <w:sz w:val="27"/>
          <w:rtl/>
          <w:lang w:bidi="ar-LB"/>
        </w:rPr>
        <w:t>إ</w:t>
      </w:r>
      <w:r w:rsidRPr="006571AC">
        <w:rPr>
          <w:rFonts w:hint="cs"/>
          <w:sz w:val="27"/>
          <w:rtl/>
          <w:lang w:bidi="ar-LB"/>
        </w:rPr>
        <w:t>لى المولى سبحانه، وهذا بنفسه من مصحّ</w:t>
      </w:r>
      <w:r w:rsidR="008E1A5E" w:rsidRPr="006571AC">
        <w:rPr>
          <w:rFonts w:hint="cs"/>
          <w:sz w:val="27"/>
          <w:rtl/>
          <w:lang w:bidi="ar-LB"/>
        </w:rPr>
        <w:t>ِ</w:t>
      </w:r>
      <w:r w:rsidRPr="006571AC">
        <w:rPr>
          <w:rFonts w:hint="cs"/>
          <w:sz w:val="27"/>
          <w:rtl/>
          <w:lang w:bidi="ar-LB"/>
        </w:rPr>
        <w:t>حات الجعل الشرعي</w:t>
      </w:r>
      <w:r w:rsidR="008E1A5E" w:rsidRPr="006571AC">
        <w:rPr>
          <w:rFonts w:hint="cs"/>
          <w:sz w:val="27"/>
          <w:rtl/>
          <w:lang w:bidi="ar-LB"/>
        </w:rPr>
        <w:t>،</w:t>
      </w:r>
      <w:r w:rsidRPr="006571AC">
        <w:rPr>
          <w:rFonts w:hint="cs"/>
          <w:sz w:val="27"/>
          <w:rtl/>
          <w:lang w:bidi="ar-LB"/>
        </w:rPr>
        <w:t xml:space="preserve"> على ما تقد</w:t>
      </w:r>
      <w:r w:rsidR="008E1A5E" w:rsidRPr="006571AC">
        <w:rPr>
          <w:rFonts w:hint="cs"/>
          <w:sz w:val="27"/>
          <w:rtl/>
          <w:lang w:bidi="ar-LB"/>
        </w:rPr>
        <w:t>َّ</w:t>
      </w:r>
      <w:r w:rsidRPr="006571AC">
        <w:rPr>
          <w:rFonts w:hint="cs"/>
          <w:sz w:val="27"/>
          <w:rtl/>
          <w:lang w:bidi="ar-LB"/>
        </w:rPr>
        <w:t xml:space="preserve">م، وهكذا تصحّ دلالة ما ورد بهذا المضمون من الأخبار الكثيرة على المطلوب. </w:t>
      </w:r>
    </w:p>
    <w:p w:rsidR="001F3F5A" w:rsidRPr="006571AC" w:rsidRDefault="001F3F5A" w:rsidP="002A2E03">
      <w:pPr>
        <w:tabs>
          <w:tab w:val="right" w:pos="6930"/>
        </w:tabs>
        <w:suppressAutoHyphens/>
        <w:rPr>
          <w:sz w:val="27"/>
          <w:rtl/>
          <w:lang w:bidi="ar-LB"/>
        </w:rPr>
      </w:pPr>
      <w:r w:rsidRPr="006571AC">
        <w:rPr>
          <w:rFonts w:hint="cs"/>
          <w:sz w:val="27"/>
          <w:rtl/>
          <w:lang w:bidi="ar-LB"/>
        </w:rPr>
        <w:t>إلاّ أنّه لا يبقى حينئذٍ إطلاق</w:t>
      </w:r>
      <w:r w:rsidR="008E1A5E" w:rsidRPr="006571AC">
        <w:rPr>
          <w:rFonts w:hint="cs"/>
          <w:sz w:val="27"/>
          <w:rtl/>
          <w:lang w:bidi="ar-LB"/>
        </w:rPr>
        <w:t>ٌ</w:t>
      </w:r>
      <w:r w:rsidRPr="006571AC">
        <w:rPr>
          <w:rFonts w:hint="cs"/>
          <w:sz w:val="27"/>
          <w:rtl/>
          <w:lang w:bidi="ar-LB"/>
        </w:rPr>
        <w:t xml:space="preserve"> للقاعدة تشمل به بعض المواضع التي استند إليها فيه، وذلك مثل</w:t>
      </w:r>
      <w:r w:rsidR="008E1A5E" w:rsidRPr="006571AC">
        <w:rPr>
          <w:rFonts w:hint="cs"/>
          <w:sz w:val="27"/>
          <w:rtl/>
          <w:lang w:bidi="ar-LB"/>
        </w:rPr>
        <w:t>:</w:t>
      </w:r>
      <w:r w:rsidRPr="006571AC">
        <w:rPr>
          <w:rFonts w:hint="cs"/>
          <w:sz w:val="27"/>
          <w:rtl/>
          <w:lang w:bidi="ar-LB"/>
        </w:rPr>
        <w:t xml:space="preserve"> مسألة الضدّ</w:t>
      </w:r>
      <w:r w:rsidR="008E1A5E" w:rsidRPr="006571AC">
        <w:rPr>
          <w:rFonts w:hint="cs"/>
          <w:sz w:val="27"/>
          <w:rtl/>
          <w:lang w:bidi="ar-LB"/>
        </w:rPr>
        <w:t>،</w:t>
      </w:r>
      <w:r w:rsidRPr="006571AC">
        <w:rPr>
          <w:rFonts w:hint="cs"/>
          <w:sz w:val="27"/>
          <w:rtl/>
          <w:lang w:bidi="ar-LB"/>
        </w:rPr>
        <w:t xml:space="preserve"> على ما يأتي في الخاتمة</w:t>
      </w:r>
      <w:r w:rsidR="008E1A5E" w:rsidRPr="006571AC">
        <w:rPr>
          <w:rFonts w:hint="cs"/>
          <w:sz w:val="27"/>
          <w:rtl/>
          <w:lang w:bidi="ar-LB"/>
        </w:rPr>
        <w:t>؛</w:t>
      </w:r>
      <w:r w:rsidRPr="006571AC">
        <w:rPr>
          <w:rFonts w:hint="cs"/>
          <w:sz w:val="27"/>
          <w:rtl/>
          <w:lang w:bidi="ar-LB"/>
        </w:rPr>
        <w:t xml:space="preserve"> </w:t>
      </w:r>
      <w:r w:rsidR="008E1A5E" w:rsidRPr="006571AC">
        <w:rPr>
          <w:rFonts w:hint="cs"/>
          <w:sz w:val="27"/>
          <w:rtl/>
          <w:lang w:bidi="ar-LB"/>
        </w:rPr>
        <w:t>إ</w:t>
      </w:r>
      <w:r w:rsidRPr="006571AC">
        <w:rPr>
          <w:rFonts w:hint="cs"/>
          <w:sz w:val="27"/>
          <w:rtl/>
          <w:lang w:bidi="ar-LB"/>
        </w:rPr>
        <w:t xml:space="preserve">ذ </w:t>
      </w:r>
      <w:r w:rsidR="008E1A5E" w:rsidRPr="006571AC">
        <w:rPr>
          <w:rFonts w:hint="cs"/>
          <w:sz w:val="27"/>
          <w:rtl/>
          <w:lang w:bidi="ar-LB"/>
        </w:rPr>
        <w:t>إ</w:t>
      </w:r>
      <w:r w:rsidRPr="006571AC">
        <w:rPr>
          <w:rFonts w:hint="cs"/>
          <w:sz w:val="27"/>
          <w:rtl/>
          <w:lang w:bidi="ar-LB"/>
        </w:rPr>
        <w:t>نّ الاحتياج مرفوع</w:t>
      </w:r>
      <w:r w:rsidR="008E1A5E" w:rsidRPr="006571AC">
        <w:rPr>
          <w:rFonts w:hint="cs"/>
          <w:sz w:val="27"/>
          <w:rtl/>
          <w:lang w:bidi="ar-LB"/>
        </w:rPr>
        <w:t>ٌ</w:t>
      </w:r>
      <w:r w:rsidRPr="006571AC">
        <w:rPr>
          <w:rFonts w:hint="cs"/>
          <w:sz w:val="27"/>
          <w:rtl/>
          <w:lang w:bidi="ar-LB"/>
        </w:rPr>
        <w:t xml:space="preserve"> بعد </w:t>
      </w:r>
      <w:r w:rsidRPr="006571AC">
        <w:rPr>
          <w:rFonts w:hint="cs"/>
          <w:sz w:val="27"/>
          <w:rtl/>
          <w:lang w:bidi="ar-LB"/>
        </w:rPr>
        <w:lastRenderedPageBreak/>
        <w:t>العلم بحرمة عدم الإزالة بناء</w:t>
      </w:r>
      <w:r w:rsidR="008E1A5E" w:rsidRPr="006571AC">
        <w:rPr>
          <w:rFonts w:hint="cs"/>
          <w:sz w:val="27"/>
          <w:rtl/>
          <w:lang w:bidi="ar-LB"/>
        </w:rPr>
        <w:t>ً</w:t>
      </w:r>
      <w:r w:rsidRPr="006571AC">
        <w:rPr>
          <w:rFonts w:hint="cs"/>
          <w:sz w:val="27"/>
          <w:rtl/>
          <w:lang w:bidi="ar-LB"/>
        </w:rPr>
        <w:t xml:space="preserve"> على ثبوت الملازمة في الضد</w:t>
      </w:r>
      <w:r w:rsidR="008E1A5E" w:rsidRPr="006571AC">
        <w:rPr>
          <w:rFonts w:hint="cs"/>
          <w:sz w:val="27"/>
          <w:rtl/>
          <w:lang w:bidi="ar-LB"/>
        </w:rPr>
        <w:t>ّ</w:t>
      </w:r>
      <w:r w:rsidRPr="006571AC">
        <w:rPr>
          <w:rFonts w:hint="cs"/>
          <w:sz w:val="27"/>
          <w:rtl/>
          <w:lang w:bidi="ar-LB"/>
        </w:rPr>
        <w:t xml:space="preserve"> العام، ولا تبقى </w:t>
      </w:r>
      <w:r w:rsidR="00940F3A" w:rsidRPr="006571AC">
        <w:rPr>
          <w:rFonts w:hint="cs"/>
          <w:sz w:val="27"/>
          <w:rtl/>
          <w:lang w:bidi="ar-LB"/>
        </w:rPr>
        <w:t xml:space="preserve">حاجةٌ </w:t>
      </w:r>
      <w:r w:rsidRPr="006571AC">
        <w:rPr>
          <w:rFonts w:hint="cs"/>
          <w:sz w:val="27"/>
          <w:rtl/>
          <w:lang w:bidi="ar-LB"/>
        </w:rPr>
        <w:t xml:space="preserve">حينئذٍ </w:t>
      </w:r>
      <w:r w:rsidR="00940F3A" w:rsidRPr="006571AC">
        <w:rPr>
          <w:rFonts w:hint="cs"/>
          <w:sz w:val="27"/>
          <w:rtl/>
          <w:lang w:bidi="ar-LB"/>
        </w:rPr>
        <w:t>إ</w:t>
      </w:r>
      <w:r w:rsidRPr="006571AC">
        <w:rPr>
          <w:rFonts w:hint="cs"/>
          <w:sz w:val="27"/>
          <w:rtl/>
          <w:lang w:bidi="ar-LB"/>
        </w:rPr>
        <w:t>لى العلم بحكم الصلاة التي هي ملازمة</w:t>
      </w:r>
      <w:r w:rsidR="00940F3A" w:rsidRPr="006571AC">
        <w:rPr>
          <w:rFonts w:hint="cs"/>
          <w:sz w:val="27"/>
          <w:rtl/>
          <w:lang w:bidi="ar-LB"/>
        </w:rPr>
        <w:t>ُ</w:t>
      </w:r>
      <w:r w:rsidRPr="006571AC">
        <w:rPr>
          <w:rFonts w:hint="cs"/>
          <w:sz w:val="27"/>
          <w:rtl/>
          <w:lang w:bidi="ar-LB"/>
        </w:rPr>
        <w:t xml:space="preserve"> الإزالة على الفرض؛ </w:t>
      </w:r>
      <w:r w:rsidR="00940F3A" w:rsidRPr="006571AC">
        <w:rPr>
          <w:rFonts w:hint="cs"/>
          <w:sz w:val="27"/>
          <w:rtl/>
          <w:lang w:bidi="ar-LB"/>
        </w:rPr>
        <w:t>لأ</w:t>
      </w:r>
      <w:r w:rsidRPr="006571AC">
        <w:rPr>
          <w:rFonts w:hint="cs"/>
          <w:sz w:val="27"/>
          <w:rtl/>
          <w:lang w:bidi="ar-LB"/>
        </w:rPr>
        <w:t>نّها غير جائزة</w:t>
      </w:r>
      <w:r w:rsidR="00940F3A" w:rsidRPr="006571AC">
        <w:rPr>
          <w:rFonts w:hint="cs"/>
          <w:sz w:val="27"/>
          <w:rtl/>
          <w:lang w:bidi="ar-LB"/>
        </w:rPr>
        <w:t>ٍ</w:t>
      </w:r>
      <w:r w:rsidRPr="006571AC">
        <w:rPr>
          <w:rFonts w:hint="cs"/>
          <w:sz w:val="27"/>
          <w:rtl/>
          <w:lang w:bidi="ar-LB"/>
        </w:rPr>
        <w:t xml:space="preserve"> على أيّ حال</w:t>
      </w:r>
      <w:r w:rsidR="00940F3A" w:rsidRPr="006571AC">
        <w:rPr>
          <w:rFonts w:hint="cs"/>
          <w:sz w:val="27"/>
          <w:rtl/>
          <w:lang w:bidi="ar-LB"/>
        </w:rPr>
        <w:t>ٍ</w:t>
      </w:r>
      <w:r w:rsidRPr="006571AC">
        <w:rPr>
          <w:rFonts w:hint="cs"/>
          <w:sz w:val="27"/>
          <w:rtl/>
          <w:lang w:bidi="ar-LB"/>
        </w:rPr>
        <w:t>، سواء تعلّ</w:t>
      </w:r>
      <w:r w:rsidR="00940F3A" w:rsidRPr="006571AC">
        <w:rPr>
          <w:rFonts w:hint="cs"/>
          <w:sz w:val="27"/>
          <w:rtl/>
          <w:lang w:bidi="ar-LB"/>
        </w:rPr>
        <w:t>َ</w:t>
      </w:r>
      <w:r w:rsidRPr="006571AC">
        <w:rPr>
          <w:rFonts w:hint="cs"/>
          <w:sz w:val="27"/>
          <w:rtl/>
          <w:lang w:bidi="ar-LB"/>
        </w:rPr>
        <w:t>ق بها حكم</w:t>
      </w:r>
      <w:r w:rsidR="00940F3A" w:rsidRPr="006571AC">
        <w:rPr>
          <w:rFonts w:hint="cs"/>
          <w:sz w:val="27"/>
          <w:rtl/>
          <w:lang w:bidi="ar-LB"/>
        </w:rPr>
        <w:t>ٌ</w:t>
      </w:r>
      <w:r w:rsidRPr="006571AC">
        <w:rPr>
          <w:rFonts w:hint="cs"/>
          <w:sz w:val="27"/>
          <w:rtl/>
          <w:lang w:bidi="ar-LB"/>
        </w:rPr>
        <w:t xml:space="preserve"> خاص</w:t>
      </w:r>
      <w:r w:rsidR="00940F3A" w:rsidRPr="006571AC">
        <w:rPr>
          <w:rFonts w:hint="cs"/>
          <w:sz w:val="27"/>
          <w:rtl/>
          <w:lang w:bidi="ar-LB"/>
        </w:rPr>
        <w:t>ّ</w:t>
      </w:r>
      <w:r w:rsidRPr="006571AC">
        <w:rPr>
          <w:rFonts w:hint="cs"/>
          <w:sz w:val="27"/>
          <w:rtl/>
          <w:lang w:bidi="ar-LB"/>
        </w:rPr>
        <w:t xml:space="preserve"> أم لا.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الرواية الثانية</w:t>
      </w:r>
      <w:r w:rsidRPr="006571AC">
        <w:rPr>
          <w:rFonts w:hint="cs"/>
          <w:sz w:val="27"/>
          <w:rtl/>
          <w:lang w:bidi="ar-LB"/>
        </w:rPr>
        <w:t>: ما رواه الكليني</w:t>
      </w:r>
      <w:r w:rsidR="00650DB7" w:rsidRPr="006571AC">
        <w:rPr>
          <w:rFonts w:hint="cs"/>
          <w:sz w:val="27"/>
          <w:rtl/>
          <w:lang w:bidi="ar-LB"/>
        </w:rPr>
        <w:t>،</w:t>
      </w:r>
      <w:r w:rsidRPr="006571AC">
        <w:rPr>
          <w:rFonts w:hint="cs"/>
          <w:sz w:val="27"/>
          <w:rtl/>
          <w:lang w:bidi="ar-LB"/>
        </w:rPr>
        <w:t xml:space="preserve"> عن محمد بن يحيى</w:t>
      </w:r>
      <w:r w:rsidR="00940F3A" w:rsidRPr="006571AC">
        <w:rPr>
          <w:rFonts w:hint="cs"/>
          <w:sz w:val="27"/>
          <w:rtl/>
          <w:lang w:bidi="ar-LB"/>
        </w:rPr>
        <w:t>،</w:t>
      </w:r>
      <w:r w:rsidRPr="006571AC">
        <w:rPr>
          <w:rFonts w:hint="cs"/>
          <w:sz w:val="27"/>
          <w:rtl/>
          <w:lang w:bidi="ar-LB"/>
        </w:rPr>
        <w:t xml:space="preserve"> عن ابن محبوب</w:t>
      </w:r>
      <w:r w:rsidR="00940F3A" w:rsidRPr="006571AC">
        <w:rPr>
          <w:rFonts w:hint="cs"/>
          <w:sz w:val="27"/>
          <w:rtl/>
          <w:lang w:bidi="ar-LB"/>
        </w:rPr>
        <w:t>،</w:t>
      </w:r>
      <w:r w:rsidRPr="006571AC">
        <w:rPr>
          <w:rFonts w:hint="cs"/>
          <w:sz w:val="27"/>
          <w:rtl/>
          <w:lang w:bidi="ar-LB"/>
        </w:rPr>
        <w:t xml:space="preserve"> عن ابن رئاب</w:t>
      </w:r>
      <w:r w:rsidR="00940F3A" w:rsidRPr="006571AC">
        <w:rPr>
          <w:rFonts w:hint="cs"/>
          <w:sz w:val="27"/>
          <w:rtl/>
          <w:lang w:bidi="ar-LB"/>
        </w:rPr>
        <w:t>،</w:t>
      </w:r>
      <w:r w:rsidRPr="006571AC">
        <w:rPr>
          <w:rFonts w:hint="cs"/>
          <w:sz w:val="27"/>
          <w:rtl/>
          <w:lang w:bidi="ar-LB"/>
        </w:rPr>
        <w:t xml:space="preserve"> عن أبي عبيدة قال: سأل أبا عبد الله</w:t>
      </w:r>
      <w:r w:rsidR="002A2C90" w:rsidRPr="006571AC">
        <w:rPr>
          <w:rFonts w:ascii="Mosawi" w:hAnsi="Mosawi" w:cs="Mosawi"/>
          <w:sz w:val="22"/>
          <w:szCs w:val="22"/>
          <w:rtl/>
        </w:rPr>
        <w:t>×</w:t>
      </w:r>
      <w:r w:rsidRPr="006571AC">
        <w:rPr>
          <w:rFonts w:hint="cs"/>
          <w:sz w:val="27"/>
          <w:rtl/>
          <w:lang w:bidi="ar-LB"/>
        </w:rPr>
        <w:t xml:space="preserve"> بعض</w:t>
      </w:r>
      <w:r w:rsidR="00940F3A" w:rsidRPr="006571AC">
        <w:rPr>
          <w:rFonts w:hint="cs"/>
          <w:sz w:val="27"/>
          <w:rtl/>
          <w:lang w:bidi="ar-LB"/>
        </w:rPr>
        <w:t>ُ</w:t>
      </w:r>
      <w:r w:rsidRPr="006571AC">
        <w:rPr>
          <w:rFonts w:hint="cs"/>
          <w:sz w:val="27"/>
          <w:rtl/>
          <w:lang w:bidi="ar-LB"/>
        </w:rPr>
        <w:t xml:space="preserve"> أصحابنا عن الج</w:t>
      </w:r>
      <w:r w:rsidR="00650DB7" w:rsidRPr="006571AC">
        <w:rPr>
          <w:rFonts w:hint="cs"/>
          <w:sz w:val="27"/>
          <w:rtl/>
          <w:lang w:bidi="ar-LB"/>
        </w:rPr>
        <w:t>َ</w:t>
      </w:r>
      <w:r w:rsidRPr="006571AC">
        <w:rPr>
          <w:rFonts w:hint="cs"/>
          <w:sz w:val="27"/>
          <w:rtl/>
          <w:lang w:bidi="ar-LB"/>
        </w:rPr>
        <w:t>ف</w:t>
      </w:r>
      <w:r w:rsidR="00650DB7" w:rsidRPr="006571AC">
        <w:rPr>
          <w:rFonts w:hint="cs"/>
          <w:sz w:val="27"/>
          <w:rtl/>
          <w:lang w:bidi="ar-LB"/>
        </w:rPr>
        <w:t>ْ</w:t>
      </w:r>
      <w:r w:rsidRPr="006571AC">
        <w:rPr>
          <w:rFonts w:hint="cs"/>
          <w:sz w:val="27"/>
          <w:rtl/>
          <w:lang w:bidi="ar-LB"/>
        </w:rPr>
        <w:t>ر</w:t>
      </w:r>
      <w:r w:rsidR="00940F3A" w:rsidRPr="006571AC">
        <w:rPr>
          <w:rFonts w:hint="cs"/>
          <w:sz w:val="27"/>
          <w:rtl/>
          <w:lang w:bidi="ar-LB"/>
        </w:rPr>
        <w:t>؟</w:t>
      </w:r>
      <w:r w:rsidRPr="006571AC">
        <w:rPr>
          <w:rFonts w:hint="cs"/>
          <w:sz w:val="27"/>
          <w:rtl/>
          <w:lang w:bidi="ar-LB"/>
        </w:rPr>
        <w:t xml:space="preserve"> فقال: هو جلد</w:t>
      </w:r>
      <w:r w:rsidR="00940F3A" w:rsidRPr="006571AC">
        <w:rPr>
          <w:rFonts w:hint="cs"/>
          <w:sz w:val="27"/>
          <w:rtl/>
          <w:lang w:bidi="ar-LB"/>
        </w:rPr>
        <w:t>ُ</w:t>
      </w:r>
      <w:r w:rsidRPr="006571AC">
        <w:rPr>
          <w:rFonts w:hint="cs"/>
          <w:sz w:val="27"/>
          <w:rtl/>
          <w:lang w:bidi="ar-LB"/>
        </w:rPr>
        <w:t xml:space="preserve"> ثور</w:t>
      </w:r>
      <w:r w:rsidR="00940F3A" w:rsidRPr="006571AC">
        <w:rPr>
          <w:rFonts w:hint="cs"/>
          <w:sz w:val="27"/>
          <w:rtl/>
          <w:lang w:bidi="ar-LB"/>
        </w:rPr>
        <w:t>ٍ</w:t>
      </w:r>
      <w:r w:rsidRPr="006571AC">
        <w:rPr>
          <w:rFonts w:hint="cs"/>
          <w:sz w:val="27"/>
          <w:rtl/>
          <w:lang w:bidi="ar-LB"/>
        </w:rPr>
        <w:t xml:space="preserve"> مملوء</w:t>
      </w:r>
      <w:r w:rsidR="00940F3A" w:rsidRPr="006571AC">
        <w:rPr>
          <w:rFonts w:hint="cs"/>
          <w:sz w:val="27"/>
          <w:rtl/>
          <w:lang w:bidi="ar-LB"/>
        </w:rPr>
        <w:t>ٌ</w:t>
      </w:r>
      <w:r w:rsidRPr="006571AC">
        <w:rPr>
          <w:rFonts w:hint="cs"/>
          <w:sz w:val="27"/>
          <w:rtl/>
          <w:lang w:bidi="ar-LB"/>
        </w:rPr>
        <w:t xml:space="preserve"> علماً، قال له: فالجامعة؟ قال: تلك صحيفة</w:t>
      </w:r>
      <w:r w:rsidR="00940F3A" w:rsidRPr="006571AC">
        <w:rPr>
          <w:rFonts w:hint="cs"/>
          <w:sz w:val="27"/>
          <w:rtl/>
          <w:lang w:bidi="ar-LB"/>
        </w:rPr>
        <w:t>ٌ،</w:t>
      </w:r>
      <w:r w:rsidRPr="006571AC">
        <w:rPr>
          <w:rFonts w:hint="cs"/>
          <w:sz w:val="27"/>
          <w:rtl/>
          <w:lang w:bidi="ar-LB"/>
        </w:rPr>
        <w:t xml:space="preserve"> طولها سبعون ذراعاً في عرض الأديم</w:t>
      </w:r>
      <w:r w:rsidR="00940F3A" w:rsidRPr="006571AC">
        <w:rPr>
          <w:rFonts w:hint="cs"/>
          <w:sz w:val="27"/>
          <w:rtl/>
          <w:lang w:bidi="ar-LB"/>
        </w:rPr>
        <w:t>،</w:t>
      </w:r>
      <w:r w:rsidRPr="006571AC">
        <w:rPr>
          <w:rFonts w:hint="cs"/>
          <w:sz w:val="27"/>
          <w:rtl/>
          <w:lang w:bidi="ar-LB"/>
        </w:rPr>
        <w:t xml:space="preserve"> مثل</w:t>
      </w:r>
      <w:r w:rsidR="00940F3A" w:rsidRPr="006571AC">
        <w:rPr>
          <w:rFonts w:hint="cs"/>
          <w:sz w:val="27"/>
          <w:rtl/>
          <w:lang w:bidi="ar-LB"/>
        </w:rPr>
        <w:t>:</w:t>
      </w:r>
      <w:r w:rsidRPr="006571AC">
        <w:rPr>
          <w:rFonts w:hint="cs"/>
          <w:sz w:val="27"/>
          <w:rtl/>
          <w:lang w:bidi="ar-LB"/>
        </w:rPr>
        <w:t xml:space="preserve"> فخذ الفالج، فيها كلّ ما يحتاج إليه الناس</w:t>
      </w:r>
      <w:r w:rsidR="00940F3A" w:rsidRPr="006571AC">
        <w:rPr>
          <w:rFonts w:hint="cs"/>
          <w:sz w:val="27"/>
          <w:rtl/>
          <w:lang w:bidi="ar-LB"/>
        </w:rPr>
        <w:t>،</w:t>
      </w:r>
      <w:r w:rsidRPr="006571AC">
        <w:rPr>
          <w:rFonts w:hint="cs"/>
          <w:sz w:val="27"/>
          <w:rtl/>
          <w:lang w:bidi="ar-LB"/>
        </w:rPr>
        <w:t xml:space="preserve"> وليس من قضي</w:t>
      </w:r>
      <w:r w:rsidR="00940F3A" w:rsidRPr="006571AC">
        <w:rPr>
          <w:rFonts w:hint="cs"/>
          <w:sz w:val="27"/>
          <w:rtl/>
          <w:lang w:bidi="ar-LB"/>
        </w:rPr>
        <w:t>ّ</w:t>
      </w:r>
      <w:r w:rsidRPr="006571AC">
        <w:rPr>
          <w:rFonts w:hint="cs"/>
          <w:sz w:val="27"/>
          <w:rtl/>
          <w:lang w:bidi="ar-LB"/>
        </w:rPr>
        <w:t>ة</w:t>
      </w:r>
      <w:r w:rsidR="00940F3A" w:rsidRPr="006571AC">
        <w:rPr>
          <w:rFonts w:hint="cs"/>
          <w:sz w:val="27"/>
          <w:rtl/>
          <w:lang w:bidi="ar-LB"/>
        </w:rPr>
        <w:t>ٍ</w:t>
      </w:r>
      <w:r w:rsidRPr="006571AC">
        <w:rPr>
          <w:rFonts w:hint="cs"/>
          <w:sz w:val="27"/>
          <w:rtl/>
          <w:lang w:bidi="ar-LB"/>
        </w:rPr>
        <w:t xml:space="preserve"> إلاّ وهي فيها</w:t>
      </w:r>
      <w:r w:rsidR="00940F3A" w:rsidRPr="006571AC">
        <w:rPr>
          <w:rFonts w:hint="cs"/>
          <w:sz w:val="27"/>
          <w:rtl/>
          <w:lang w:bidi="ar-LB"/>
        </w:rPr>
        <w:t>،</w:t>
      </w:r>
      <w:r w:rsidRPr="006571AC">
        <w:rPr>
          <w:rFonts w:hint="cs"/>
          <w:sz w:val="27"/>
          <w:rtl/>
          <w:lang w:bidi="ar-LB"/>
        </w:rPr>
        <w:t xml:space="preserve"> حت</w:t>
      </w:r>
      <w:r w:rsidR="00940F3A" w:rsidRPr="006571AC">
        <w:rPr>
          <w:rFonts w:hint="cs"/>
          <w:sz w:val="27"/>
          <w:rtl/>
          <w:lang w:bidi="ar-LB"/>
        </w:rPr>
        <w:t>ّ</w:t>
      </w:r>
      <w:r w:rsidRPr="006571AC">
        <w:rPr>
          <w:rFonts w:hint="cs"/>
          <w:sz w:val="27"/>
          <w:rtl/>
          <w:lang w:bidi="ar-LB"/>
        </w:rPr>
        <w:t>ى أ</w:t>
      </w:r>
      <w:r w:rsidR="00940F3A" w:rsidRPr="006571AC">
        <w:rPr>
          <w:rFonts w:hint="cs"/>
          <w:sz w:val="27"/>
          <w:rtl/>
          <w:lang w:bidi="ar-LB"/>
        </w:rPr>
        <w:t>َ</w:t>
      </w:r>
      <w:r w:rsidRPr="006571AC">
        <w:rPr>
          <w:rFonts w:hint="cs"/>
          <w:sz w:val="27"/>
          <w:rtl/>
          <w:lang w:bidi="ar-LB"/>
        </w:rPr>
        <w:t>ر</w:t>
      </w:r>
      <w:r w:rsidR="00940F3A" w:rsidRPr="006571AC">
        <w:rPr>
          <w:rFonts w:hint="cs"/>
          <w:sz w:val="27"/>
          <w:rtl/>
          <w:lang w:bidi="ar-LB"/>
        </w:rPr>
        <w:t>ْ</w:t>
      </w:r>
      <w:r w:rsidRPr="006571AC">
        <w:rPr>
          <w:rFonts w:hint="cs"/>
          <w:sz w:val="27"/>
          <w:rtl/>
          <w:lang w:bidi="ar-LB"/>
        </w:rPr>
        <w:t>ش الخ</w:t>
      </w:r>
      <w:r w:rsidR="00940F3A" w:rsidRPr="006571AC">
        <w:rPr>
          <w:rFonts w:hint="cs"/>
          <w:sz w:val="27"/>
          <w:rtl/>
          <w:lang w:bidi="ar-LB"/>
        </w:rPr>
        <w:t>َ</w:t>
      </w:r>
      <w:r w:rsidRPr="006571AC">
        <w:rPr>
          <w:rFonts w:hint="cs"/>
          <w:sz w:val="27"/>
          <w:rtl/>
          <w:lang w:bidi="ar-LB"/>
        </w:rPr>
        <w:t>د</w:t>
      </w:r>
      <w:r w:rsidR="00940F3A" w:rsidRPr="006571AC">
        <w:rPr>
          <w:rFonts w:hint="cs"/>
          <w:sz w:val="27"/>
          <w:rtl/>
          <w:lang w:bidi="ar-LB"/>
        </w:rPr>
        <w:t>ْ</w:t>
      </w:r>
      <w:r w:rsidRPr="006571AC">
        <w:rPr>
          <w:rFonts w:hint="cs"/>
          <w:sz w:val="27"/>
          <w:rtl/>
          <w:lang w:bidi="ar-LB"/>
        </w:rPr>
        <w:t>ش</w:t>
      </w:r>
      <w:r w:rsidRPr="006571AC">
        <w:rPr>
          <w:rFonts w:hint="eastAsia"/>
          <w:sz w:val="24"/>
          <w:szCs w:val="24"/>
          <w:rtl/>
        </w:rPr>
        <w:t>»</w:t>
      </w:r>
      <w:r w:rsidRPr="006571AC">
        <w:rPr>
          <w:rFonts w:hint="cs"/>
          <w:sz w:val="27"/>
          <w:vertAlign w:val="superscript"/>
          <w:rtl/>
        </w:rPr>
        <w:t>(</w:t>
      </w:r>
      <w:r w:rsidRPr="006571AC">
        <w:rPr>
          <w:rStyle w:val="ac"/>
          <w:sz w:val="27"/>
          <w:rtl/>
        </w:rPr>
        <w:endnoteReference w:id="633"/>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وموضع الاستدلال هو الفقرة القائلة: </w:t>
      </w:r>
      <w:r w:rsidRPr="006571AC">
        <w:rPr>
          <w:rFonts w:hint="eastAsia"/>
          <w:sz w:val="24"/>
          <w:szCs w:val="24"/>
          <w:rtl/>
          <w:lang w:bidi="ar-LB"/>
        </w:rPr>
        <w:t>«</w:t>
      </w:r>
      <w:r w:rsidR="00940F3A" w:rsidRPr="006571AC">
        <w:rPr>
          <w:rFonts w:hint="cs"/>
          <w:sz w:val="27"/>
          <w:rtl/>
          <w:lang w:bidi="ar-LB"/>
        </w:rPr>
        <w:t>ليس من قضيّة إ</w:t>
      </w:r>
      <w:r w:rsidRPr="006571AC">
        <w:rPr>
          <w:rFonts w:hint="cs"/>
          <w:sz w:val="27"/>
          <w:rtl/>
          <w:lang w:bidi="ar-LB"/>
        </w:rPr>
        <w:t>لاّ وهي فيها</w:t>
      </w:r>
      <w:r w:rsidRPr="006571AC">
        <w:rPr>
          <w:rFonts w:hint="eastAsia"/>
          <w:sz w:val="24"/>
          <w:szCs w:val="24"/>
          <w:rtl/>
        </w:rPr>
        <w:t>»</w:t>
      </w:r>
      <w:r w:rsidRPr="006571AC">
        <w:rPr>
          <w:rFonts w:hint="cs"/>
          <w:sz w:val="27"/>
          <w:rtl/>
          <w:lang w:bidi="ar-LB"/>
        </w:rPr>
        <w:t xml:space="preserve">؛ </w:t>
      </w:r>
      <w:r w:rsidR="00940F3A" w:rsidRPr="006571AC">
        <w:rPr>
          <w:rFonts w:hint="cs"/>
          <w:sz w:val="27"/>
          <w:rtl/>
          <w:lang w:bidi="ar-LB"/>
        </w:rPr>
        <w:t>إ</w:t>
      </w:r>
      <w:r w:rsidRPr="006571AC">
        <w:rPr>
          <w:rFonts w:hint="cs"/>
          <w:sz w:val="27"/>
          <w:rtl/>
          <w:lang w:bidi="ar-LB"/>
        </w:rPr>
        <w:t xml:space="preserve">ذ قد يقال: </w:t>
      </w:r>
      <w:r w:rsidR="00940F3A" w:rsidRPr="006571AC">
        <w:rPr>
          <w:rFonts w:hint="cs"/>
          <w:sz w:val="27"/>
          <w:rtl/>
          <w:lang w:bidi="ar-LB"/>
        </w:rPr>
        <w:t>إنّ</w:t>
      </w:r>
      <w:r w:rsidRPr="006571AC">
        <w:rPr>
          <w:rFonts w:hint="cs"/>
          <w:sz w:val="27"/>
          <w:rtl/>
          <w:lang w:bidi="ar-LB"/>
        </w:rPr>
        <w:t xml:space="preserve"> المقصود بالقضيّة هو الواقعة والفعل، وكون القضية فيها إنّما هو بوجودها التشريعي، بمعنى أنّ لكلّ قضية حكماً شرعي</w:t>
      </w:r>
      <w:r w:rsidR="00940F3A" w:rsidRPr="006571AC">
        <w:rPr>
          <w:rFonts w:hint="cs"/>
          <w:sz w:val="27"/>
          <w:rtl/>
          <w:lang w:bidi="ar-LB"/>
        </w:rPr>
        <w:t>ّ</w:t>
      </w:r>
      <w:r w:rsidRPr="006571AC">
        <w:rPr>
          <w:rFonts w:hint="cs"/>
          <w:sz w:val="27"/>
          <w:rtl/>
          <w:lang w:bidi="ar-LB"/>
        </w:rPr>
        <w:t xml:space="preserve">اً عند الله تعالى. </w:t>
      </w:r>
    </w:p>
    <w:p w:rsidR="001F3F5A" w:rsidRPr="006571AC" w:rsidRDefault="00940F3A" w:rsidP="002A2E03">
      <w:pPr>
        <w:tabs>
          <w:tab w:val="right" w:pos="6930"/>
        </w:tabs>
        <w:suppressAutoHyphens/>
        <w:rPr>
          <w:sz w:val="27"/>
          <w:rtl/>
          <w:lang w:bidi="ar-LB"/>
        </w:rPr>
      </w:pPr>
      <w:r w:rsidRPr="006571AC">
        <w:rPr>
          <w:rFonts w:hint="cs"/>
          <w:sz w:val="27"/>
          <w:rtl/>
          <w:lang w:bidi="ar-LB"/>
        </w:rPr>
        <w:t>إلاّ أنّ الأشبه أنّ</w:t>
      </w:r>
      <w:r w:rsidR="001F3F5A" w:rsidRPr="006571AC">
        <w:rPr>
          <w:rFonts w:hint="cs"/>
          <w:sz w:val="27"/>
          <w:rtl/>
          <w:lang w:bidi="ar-LB"/>
        </w:rPr>
        <w:t xml:space="preserve"> المقصود بالقضيّة هو ما قضى الله تعالى به</w:t>
      </w:r>
      <w:r w:rsidRPr="006571AC">
        <w:rPr>
          <w:rFonts w:hint="cs"/>
          <w:sz w:val="27"/>
          <w:rtl/>
          <w:lang w:bidi="ar-LB"/>
        </w:rPr>
        <w:t>،</w:t>
      </w:r>
      <w:r w:rsidR="001F3F5A" w:rsidRPr="006571AC">
        <w:rPr>
          <w:rFonts w:hint="cs"/>
          <w:sz w:val="27"/>
          <w:rtl/>
          <w:lang w:bidi="ar-LB"/>
        </w:rPr>
        <w:t xml:space="preserve"> وحكم على وفق</w:t>
      </w:r>
      <w:r w:rsidRPr="006571AC">
        <w:rPr>
          <w:rFonts w:hint="cs"/>
          <w:sz w:val="27"/>
          <w:rtl/>
          <w:lang w:bidi="ar-LB"/>
        </w:rPr>
        <w:t>ه</w:t>
      </w:r>
      <w:r w:rsidR="001F3F5A" w:rsidRPr="006571AC">
        <w:rPr>
          <w:rFonts w:hint="cs"/>
          <w:sz w:val="27"/>
          <w:rtl/>
          <w:lang w:bidi="ar-LB"/>
        </w:rPr>
        <w:t xml:space="preserve">، </w:t>
      </w:r>
      <w:r w:rsidR="003F3CE2" w:rsidRPr="006571AC">
        <w:rPr>
          <w:rFonts w:hint="cs"/>
          <w:sz w:val="27"/>
          <w:rtl/>
          <w:lang w:bidi="ar-LB"/>
        </w:rPr>
        <w:t>ف</w:t>
      </w:r>
      <w:r w:rsidR="001F3F5A" w:rsidRPr="006571AC">
        <w:rPr>
          <w:rFonts w:hint="cs"/>
          <w:sz w:val="27"/>
          <w:rtl/>
          <w:lang w:bidi="ar-LB"/>
        </w:rPr>
        <w:t>القضيّة تعني الحكم والتشريع، ويكون المعنى حينئذ</w:t>
      </w:r>
      <w:r w:rsidR="003F3CE2" w:rsidRPr="006571AC">
        <w:rPr>
          <w:rFonts w:hint="cs"/>
          <w:sz w:val="27"/>
          <w:rtl/>
          <w:lang w:bidi="ar-LB"/>
        </w:rPr>
        <w:t>ٍ</w:t>
      </w:r>
      <w:r w:rsidR="001F3F5A" w:rsidRPr="006571AC">
        <w:rPr>
          <w:rFonts w:hint="cs"/>
          <w:sz w:val="27"/>
          <w:rtl/>
          <w:lang w:bidi="ar-LB"/>
        </w:rPr>
        <w:t xml:space="preserve">: </w:t>
      </w:r>
      <w:r w:rsidR="003F3CE2" w:rsidRPr="006571AC">
        <w:rPr>
          <w:rFonts w:hint="cs"/>
          <w:sz w:val="27"/>
          <w:rtl/>
          <w:lang w:bidi="ar-LB"/>
        </w:rPr>
        <w:t>إ</w:t>
      </w:r>
      <w:r w:rsidR="001F3F5A" w:rsidRPr="006571AC">
        <w:rPr>
          <w:rFonts w:hint="cs"/>
          <w:sz w:val="27"/>
          <w:rtl/>
          <w:lang w:bidi="ar-LB"/>
        </w:rPr>
        <w:t>نّه ما من حكم</w:t>
      </w:r>
      <w:r w:rsidR="003F3CE2" w:rsidRPr="006571AC">
        <w:rPr>
          <w:rFonts w:hint="cs"/>
          <w:sz w:val="27"/>
          <w:rtl/>
          <w:lang w:bidi="ar-LB"/>
        </w:rPr>
        <w:t>ٍ</w:t>
      </w:r>
      <w:r w:rsidR="001F3F5A" w:rsidRPr="006571AC">
        <w:rPr>
          <w:rFonts w:hint="cs"/>
          <w:sz w:val="27"/>
          <w:rtl/>
          <w:lang w:bidi="ar-LB"/>
        </w:rPr>
        <w:t xml:space="preserve"> شرعي إلاّ وهو فيه، وهذا أجنبيّ</w:t>
      </w:r>
      <w:r w:rsidR="003F3CE2" w:rsidRPr="006571AC">
        <w:rPr>
          <w:rFonts w:hint="cs"/>
          <w:sz w:val="27"/>
          <w:rtl/>
          <w:lang w:bidi="ar-LB"/>
        </w:rPr>
        <w:t>ٌ</w:t>
      </w:r>
      <w:r w:rsidR="001F3F5A" w:rsidRPr="006571AC">
        <w:rPr>
          <w:rFonts w:hint="cs"/>
          <w:sz w:val="27"/>
          <w:rtl/>
          <w:lang w:bidi="ar-LB"/>
        </w:rPr>
        <w:t xml:space="preserve"> عن المطلوب</w:t>
      </w:r>
      <w:r w:rsidR="003F3CE2" w:rsidRPr="006571AC">
        <w:rPr>
          <w:rFonts w:hint="cs"/>
          <w:sz w:val="27"/>
          <w:rtl/>
          <w:lang w:bidi="ar-LB"/>
        </w:rPr>
        <w:t>.</w:t>
      </w:r>
      <w:r w:rsidR="001F3F5A" w:rsidRPr="006571AC">
        <w:rPr>
          <w:rFonts w:hint="cs"/>
          <w:sz w:val="27"/>
          <w:rtl/>
          <w:lang w:bidi="ar-LB"/>
        </w:rPr>
        <w:t xml:space="preserve"> والتأكيد بأ</w:t>
      </w:r>
      <w:r w:rsidR="003F3CE2" w:rsidRPr="006571AC">
        <w:rPr>
          <w:rFonts w:hint="cs"/>
          <w:sz w:val="27"/>
          <w:rtl/>
          <w:lang w:bidi="ar-LB"/>
        </w:rPr>
        <w:t>َ</w:t>
      </w:r>
      <w:r w:rsidR="001F3F5A" w:rsidRPr="006571AC">
        <w:rPr>
          <w:rFonts w:hint="cs"/>
          <w:sz w:val="27"/>
          <w:rtl/>
          <w:lang w:bidi="ar-LB"/>
        </w:rPr>
        <w:t>ر</w:t>
      </w:r>
      <w:r w:rsidR="003F3CE2" w:rsidRPr="006571AC">
        <w:rPr>
          <w:rFonts w:hint="cs"/>
          <w:sz w:val="27"/>
          <w:rtl/>
          <w:lang w:bidi="ar-LB"/>
        </w:rPr>
        <w:t>ْ</w:t>
      </w:r>
      <w:r w:rsidR="001F3F5A" w:rsidRPr="006571AC">
        <w:rPr>
          <w:rFonts w:hint="cs"/>
          <w:sz w:val="27"/>
          <w:rtl/>
          <w:lang w:bidi="ar-LB"/>
        </w:rPr>
        <w:t>ش الخ</w:t>
      </w:r>
      <w:r w:rsidR="003F3CE2" w:rsidRPr="006571AC">
        <w:rPr>
          <w:rFonts w:hint="cs"/>
          <w:sz w:val="27"/>
          <w:rtl/>
          <w:lang w:bidi="ar-LB"/>
        </w:rPr>
        <w:t>َ</w:t>
      </w:r>
      <w:r w:rsidR="001F3F5A" w:rsidRPr="006571AC">
        <w:rPr>
          <w:rFonts w:hint="cs"/>
          <w:sz w:val="27"/>
          <w:rtl/>
          <w:lang w:bidi="ar-LB"/>
        </w:rPr>
        <w:t>د</w:t>
      </w:r>
      <w:r w:rsidR="003F3CE2" w:rsidRPr="006571AC">
        <w:rPr>
          <w:rFonts w:hint="cs"/>
          <w:sz w:val="27"/>
          <w:rtl/>
          <w:lang w:bidi="ar-LB"/>
        </w:rPr>
        <w:t>ْ</w:t>
      </w:r>
      <w:r w:rsidR="001F3F5A" w:rsidRPr="006571AC">
        <w:rPr>
          <w:rFonts w:hint="cs"/>
          <w:sz w:val="27"/>
          <w:rtl/>
          <w:lang w:bidi="ar-LB"/>
        </w:rPr>
        <w:t>ش</w:t>
      </w:r>
      <w:r w:rsidR="003F3CE2" w:rsidRPr="006571AC">
        <w:rPr>
          <w:rFonts w:hint="cs"/>
          <w:sz w:val="27"/>
          <w:rtl/>
          <w:lang w:bidi="ar-LB"/>
        </w:rPr>
        <w:t>،</w:t>
      </w:r>
      <w:r w:rsidR="001F3F5A" w:rsidRPr="006571AC">
        <w:rPr>
          <w:rFonts w:hint="cs"/>
          <w:sz w:val="27"/>
          <w:rtl/>
          <w:lang w:bidi="ar-LB"/>
        </w:rPr>
        <w:t xml:space="preserve"> الذي هو موضوع الحكم لا نفسه</w:t>
      </w:r>
      <w:r w:rsidR="003F3CE2" w:rsidRPr="006571AC">
        <w:rPr>
          <w:rFonts w:hint="cs"/>
          <w:sz w:val="27"/>
          <w:rtl/>
          <w:lang w:bidi="ar-LB"/>
        </w:rPr>
        <w:t>،</w:t>
      </w:r>
      <w:r w:rsidR="001F3F5A" w:rsidRPr="006571AC">
        <w:rPr>
          <w:rFonts w:hint="cs"/>
          <w:sz w:val="27"/>
          <w:rtl/>
          <w:lang w:bidi="ar-LB"/>
        </w:rPr>
        <w:t xml:space="preserve"> إنّما هو باعتبار حكمه على أيّ تقدير</w:t>
      </w:r>
      <w:r w:rsidR="003F3CE2" w:rsidRPr="006571AC">
        <w:rPr>
          <w:rFonts w:hint="cs"/>
          <w:sz w:val="27"/>
          <w:rtl/>
          <w:lang w:bidi="ar-LB"/>
        </w:rPr>
        <w:t>ٍ</w:t>
      </w:r>
      <w:r w:rsidR="001F3F5A" w:rsidRPr="006571AC">
        <w:rPr>
          <w:rFonts w:hint="cs"/>
          <w:sz w:val="27"/>
          <w:rtl/>
          <w:lang w:bidi="ar-LB"/>
        </w:rPr>
        <w:t xml:space="preserve">، سواء كانت القضية تعني الحكم أو الواقعة.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الرواية الثالثة</w:t>
      </w:r>
      <w:r w:rsidRPr="006571AC">
        <w:rPr>
          <w:rFonts w:hint="cs"/>
          <w:sz w:val="27"/>
          <w:rtl/>
          <w:lang w:bidi="ar-LB"/>
        </w:rPr>
        <w:t>: ما رواه الكليني</w:t>
      </w:r>
      <w:r w:rsidR="00650DB7" w:rsidRPr="006571AC">
        <w:rPr>
          <w:rFonts w:hint="cs"/>
          <w:sz w:val="27"/>
          <w:rtl/>
          <w:lang w:bidi="ar-LB"/>
        </w:rPr>
        <w:t>،</w:t>
      </w:r>
      <w:r w:rsidRPr="006571AC">
        <w:rPr>
          <w:rFonts w:hint="cs"/>
          <w:sz w:val="27"/>
          <w:rtl/>
          <w:lang w:bidi="ar-LB"/>
        </w:rPr>
        <w:t xml:space="preserve"> عن علي</w:t>
      </w:r>
      <w:r w:rsidR="003F3CE2" w:rsidRPr="006571AC">
        <w:rPr>
          <w:rFonts w:hint="cs"/>
          <w:sz w:val="27"/>
          <w:rtl/>
          <w:lang w:bidi="ar-LB"/>
        </w:rPr>
        <w:t>ّ</w:t>
      </w:r>
      <w:r w:rsidRPr="006571AC">
        <w:rPr>
          <w:rFonts w:hint="cs"/>
          <w:sz w:val="27"/>
          <w:rtl/>
          <w:lang w:bidi="ar-LB"/>
        </w:rPr>
        <w:t xml:space="preserve"> بن </w:t>
      </w:r>
      <w:r w:rsidR="003F3CE2" w:rsidRPr="006571AC">
        <w:rPr>
          <w:rFonts w:hint="eastAsia"/>
          <w:sz w:val="27"/>
          <w:rtl/>
          <w:lang w:bidi="ar-LB"/>
        </w:rPr>
        <w:t>إبراهيم</w:t>
      </w:r>
      <w:r w:rsidR="003F3CE2" w:rsidRPr="006571AC">
        <w:rPr>
          <w:rFonts w:hint="cs"/>
          <w:sz w:val="27"/>
          <w:rtl/>
          <w:lang w:bidi="ar-LB"/>
        </w:rPr>
        <w:t>،</w:t>
      </w:r>
      <w:r w:rsidRPr="006571AC">
        <w:rPr>
          <w:rFonts w:hint="cs"/>
          <w:sz w:val="27"/>
          <w:rtl/>
          <w:lang w:bidi="ar-LB"/>
        </w:rPr>
        <w:t xml:space="preserve"> عن محمد بن عيسى</w:t>
      </w:r>
      <w:r w:rsidR="003F3CE2" w:rsidRPr="006571AC">
        <w:rPr>
          <w:rFonts w:hint="cs"/>
          <w:sz w:val="27"/>
          <w:rtl/>
          <w:lang w:bidi="ar-LB"/>
        </w:rPr>
        <w:t>،</w:t>
      </w:r>
      <w:r w:rsidRPr="006571AC">
        <w:rPr>
          <w:rFonts w:hint="cs"/>
          <w:sz w:val="27"/>
          <w:rtl/>
          <w:lang w:bidi="ar-LB"/>
        </w:rPr>
        <w:t xml:space="preserve"> عن يونس</w:t>
      </w:r>
      <w:r w:rsidR="003F3CE2" w:rsidRPr="006571AC">
        <w:rPr>
          <w:rFonts w:hint="cs"/>
          <w:sz w:val="27"/>
          <w:rtl/>
          <w:lang w:bidi="ar-LB"/>
        </w:rPr>
        <w:t>،</w:t>
      </w:r>
      <w:r w:rsidRPr="006571AC">
        <w:rPr>
          <w:rFonts w:hint="cs"/>
          <w:sz w:val="27"/>
          <w:rtl/>
          <w:lang w:bidi="ar-LB"/>
        </w:rPr>
        <w:t xml:space="preserve"> عن حسين بن المنذر</w:t>
      </w:r>
      <w:r w:rsidR="003F3CE2" w:rsidRPr="006571AC">
        <w:rPr>
          <w:rFonts w:hint="cs"/>
          <w:sz w:val="27"/>
          <w:rtl/>
          <w:lang w:bidi="ar-LB"/>
        </w:rPr>
        <w:t>،</w:t>
      </w:r>
      <w:r w:rsidRPr="006571AC">
        <w:rPr>
          <w:rFonts w:hint="cs"/>
          <w:sz w:val="27"/>
          <w:rtl/>
          <w:lang w:bidi="ar-LB"/>
        </w:rPr>
        <w:t xml:space="preserve"> عن عمر بن قيس</w:t>
      </w:r>
      <w:r w:rsidR="003F3CE2" w:rsidRPr="006571AC">
        <w:rPr>
          <w:rFonts w:hint="cs"/>
          <w:sz w:val="27"/>
          <w:rtl/>
          <w:lang w:bidi="ar-LB"/>
        </w:rPr>
        <w:t>،</w:t>
      </w:r>
      <w:r w:rsidRPr="006571AC">
        <w:rPr>
          <w:rFonts w:hint="cs"/>
          <w:sz w:val="27"/>
          <w:rtl/>
          <w:lang w:bidi="ar-LB"/>
        </w:rPr>
        <w:t xml:space="preserve"> عن أبي جعفر</w:t>
      </w:r>
      <w:r w:rsidR="002A2C90" w:rsidRPr="006571AC">
        <w:rPr>
          <w:rFonts w:ascii="Mosawi" w:hAnsi="Mosawi" w:cs="Mosawi"/>
          <w:sz w:val="22"/>
          <w:szCs w:val="22"/>
          <w:rtl/>
        </w:rPr>
        <w:t>×</w:t>
      </w:r>
      <w:r w:rsidR="003F3CE2" w:rsidRPr="006571AC">
        <w:rPr>
          <w:rFonts w:hint="cs"/>
          <w:sz w:val="27"/>
          <w:rtl/>
          <w:lang w:bidi="ar-LB"/>
        </w:rPr>
        <w:t>،</w:t>
      </w:r>
      <w:r w:rsidRPr="006571AC">
        <w:rPr>
          <w:rFonts w:hint="cs"/>
          <w:sz w:val="27"/>
          <w:rtl/>
          <w:lang w:bidi="ar-LB"/>
        </w:rPr>
        <w:t xml:space="preserve"> قال: سمعت</w:t>
      </w:r>
      <w:r w:rsidR="003F3CE2" w:rsidRPr="006571AC">
        <w:rPr>
          <w:rFonts w:hint="cs"/>
          <w:sz w:val="27"/>
          <w:rtl/>
          <w:lang w:bidi="ar-LB"/>
        </w:rPr>
        <w:t>ُ</w:t>
      </w:r>
      <w:r w:rsidRPr="006571AC">
        <w:rPr>
          <w:rFonts w:hint="cs"/>
          <w:sz w:val="27"/>
          <w:rtl/>
          <w:lang w:bidi="ar-LB"/>
        </w:rPr>
        <w:t xml:space="preserve">ه يقول: </w:t>
      </w:r>
      <w:r w:rsidRPr="006571AC">
        <w:rPr>
          <w:rFonts w:hint="eastAsia"/>
          <w:sz w:val="24"/>
          <w:szCs w:val="24"/>
          <w:rtl/>
          <w:lang w:bidi="ar-LB"/>
        </w:rPr>
        <w:t>«</w:t>
      </w:r>
      <w:r w:rsidRPr="006571AC">
        <w:rPr>
          <w:rFonts w:hint="cs"/>
          <w:sz w:val="27"/>
          <w:rtl/>
          <w:lang w:bidi="ar-LB"/>
        </w:rPr>
        <w:t>إنّ الله تبارك وتعالى لم ي</w:t>
      </w:r>
      <w:r w:rsidR="003F3CE2" w:rsidRPr="006571AC">
        <w:rPr>
          <w:rFonts w:hint="cs"/>
          <w:sz w:val="27"/>
          <w:rtl/>
          <w:lang w:bidi="ar-LB"/>
        </w:rPr>
        <w:t>َ</w:t>
      </w:r>
      <w:r w:rsidRPr="006571AC">
        <w:rPr>
          <w:rFonts w:hint="cs"/>
          <w:sz w:val="27"/>
          <w:rtl/>
          <w:lang w:bidi="ar-LB"/>
        </w:rPr>
        <w:t>د</w:t>
      </w:r>
      <w:r w:rsidR="003F3CE2" w:rsidRPr="006571AC">
        <w:rPr>
          <w:rFonts w:hint="cs"/>
          <w:sz w:val="27"/>
          <w:rtl/>
          <w:lang w:bidi="ar-LB"/>
        </w:rPr>
        <w:t>َ</w:t>
      </w:r>
      <w:r w:rsidRPr="006571AC">
        <w:rPr>
          <w:rFonts w:hint="cs"/>
          <w:sz w:val="27"/>
          <w:rtl/>
          <w:lang w:bidi="ar-LB"/>
        </w:rPr>
        <w:t>ع</w:t>
      </w:r>
      <w:r w:rsidR="003F3CE2" w:rsidRPr="006571AC">
        <w:rPr>
          <w:rFonts w:hint="cs"/>
          <w:sz w:val="27"/>
          <w:rtl/>
          <w:lang w:bidi="ar-LB"/>
        </w:rPr>
        <w:t>ْ</w:t>
      </w:r>
      <w:r w:rsidRPr="006571AC">
        <w:rPr>
          <w:rFonts w:hint="cs"/>
          <w:sz w:val="27"/>
          <w:rtl/>
          <w:lang w:bidi="ar-LB"/>
        </w:rPr>
        <w:t xml:space="preserve"> شيئاً يحتاج إليه الأمّة إلاّ أنزله في كتابه</w:t>
      </w:r>
      <w:r w:rsidR="003F3CE2" w:rsidRPr="006571AC">
        <w:rPr>
          <w:rFonts w:hint="cs"/>
          <w:sz w:val="27"/>
          <w:rtl/>
          <w:lang w:bidi="ar-LB"/>
        </w:rPr>
        <w:t>،</w:t>
      </w:r>
      <w:r w:rsidRPr="006571AC">
        <w:rPr>
          <w:rFonts w:hint="cs"/>
          <w:sz w:val="27"/>
          <w:rtl/>
          <w:lang w:bidi="ar-LB"/>
        </w:rPr>
        <w:t xml:space="preserve"> وبيّ</w:t>
      </w:r>
      <w:r w:rsidR="003F3CE2" w:rsidRPr="006571AC">
        <w:rPr>
          <w:rFonts w:hint="cs"/>
          <w:sz w:val="27"/>
          <w:rtl/>
          <w:lang w:bidi="ar-LB"/>
        </w:rPr>
        <w:t>َنه لرسوله</w:t>
      </w:r>
      <w:r w:rsidR="003F3CE2" w:rsidRPr="006571AC">
        <w:rPr>
          <w:rFonts w:ascii="Mosawi" w:hAnsi="Mosawi" w:cs="Mosawi"/>
          <w:sz w:val="22"/>
          <w:szCs w:val="22"/>
          <w:rtl/>
        </w:rPr>
        <w:t>|</w:t>
      </w:r>
      <w:r w:rsidRPr="006571AC">
        <w:rPr>
          <w:rFonts w:hint="cs"/>
          <w:sz w:val="27"/>
          <w:rtl/>
          <w:lang w:bidi="ar-LB"/>
        </w:rPr>
        <w:t>، وجعل لكلّ شيء حدّاً</w:t>
      </w:r>
      <w:r w:rsidR="003F3CE2" w:rsidRPr="006571AC">
        <w:rPr>
          <w:rFonts w:hint="cs"/>
          <w:sz w:val="27"/>
          <w:rtl/>
          <w:lang w:bidi="ar-LB"/>
        </w:rPr>
        <w:t>،</w:t>
      </w:r>
      <w:r w:rsidRPr="006571AC">
        <w:rPr>
          <w:rFonts w:hint="cs"/>
          <w:sz w:val="27"/>
          <w:rtl/>
          <w:lang w:bidi="ar-LB"/>
        </w:rPr>
        <w:t xml:space="preserve"> وجعل عليه دليلاً يدل</w:t>
      </w:r>
      <w:r w:rsidR="003F3CE2" w:rsidRPr="006571AC">
        <w:rPr>
          <w:rFonts w:hint="cs"/>
          <w:sz w:val="27"/>
          <w:rtl/>
          <w:lang w:bidi="ar-LB"/>
        </w:rPr>
        <w:t>ّ</w:t>
      </w:r>
      <w:r w:rsidRPr="006571AC">
        <w:rPr>
          <w:rFonts w:hint="cs"/>
          <w:sz w:val="27"/>
          <w:rtl/>
          <w:lang w:bidi="ar-LB"/>
        </w:rPr>
        <w:t xml:space="preserve"> عليه، وجعل على م</w:t>
      </w:r>
      <w:r w:rsidR="003F3CE2" w:rsidRPr="006571AC">
        <w:rPr>
          <w:rFonts w:hint="cs"/>
          <w:sz w:val="27"/>
          <w:rtl/>
          <w:lang w:bidi="ar-LB"/>
        </w:rPr>
        <w:t>َ</w:t>
      </w:r>
      <w:r w:rsidRPr="006571AC">
        <w:rPr>
          <w:rFonts w:hint="cs"/>
          <w:sz w:val="27"/>
          <w:rtl/>
          <w:lang w:bidi="ar-LB"/>
        </w:rPr>
        <w:t>ن</w:t>
      </w:r>
      <w:r w:rsidR="003F3CE2" w:rsidRPr="006571AC">
        <w:rPr>
          <w:rFonts w:hint="cs"/>
          <w:sz w:val="27"/>
          <w:rtl/>
          <w:lang w:bidi="ar-LB"/>
        </w:rPr>
        <w:t>ْ</w:t>
      </w:r>
      <w:r w:rsidRPr="006571AC">
        <w:rPr>
          <w:rFonts w:hint="cs"/>
          <w:sz w:val="27"/>
          <w:rtl/>
          <w:lang w:bidi="ar-LB"/>
        </w:rPr>
        <w:t xml:space="preserve"> تعدّى ذلك الحدّ حدّاً</w:t>
      </w:r>
      <w:r w:rsidRPr="006571AC">
        <w:rPr>
          <w:rFonts w:hint="eastAsia"/>
          <w:sz w:val="24"/>
          <w:szCs w:val="24"/>
          <w:rtl/>
        </w:rPr>
        <w:t>»</w:t>
      </w:r>
      <w:r w:rsidRPr="006571AC">
        <w:rPr>
          <w:rFonts w:hint="cs"/>
          <w:sz w:val="27"/>
          <w:vertAlign w:val="superscript"/>
          <w:rtl/>
        </w:rPr>
        <w:t>(</w:t>
      </w:r>
      <w:r w:rsidRPr="006571AC">
        <w:rPr>
          <w:rStyle w:val="ac"/>
          <w:sz w:val="27"/>
          <w:rtl/>
        </w:rPr>
        <w:endnoteReference w:id="634"/>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وكأنَّ صاحب الفصول</w:t>
      </w:r>
      <w:r w:rsidR="002A2C90" w:rsidRPr="006571AC">
        <w:rPr>
          <w:rFonts w:ascii="Mosawi" w:hAnsi="Mosawi" w:cs="Mosawi"/>
          <w:sz w:val="22"/>
          <w:szCs w:val="22"/>
          <w:rtl/>
        </w:rPr>
        <w:t>&amp;</w:t>
      </w:r>
      <w:r w:rsidRPr="006571AC">
        <w:rPr>
          <w:sz w:val="27"/>
          <w:rtl/>
          <w:lang w:bidi="ar-LB"/>
        </w:rPr>
        <w:t xml:space="preserve"> </w:t>
      </w:r>
      <w:r w:rsidRPr="006571AC">
        <w:rPr>
          <w:rFonts w:hint="cs"/>
          <w:sz w:val="27"/>
          <w:rtl/>
          <w:lang w:bidi="ar-LB"/>
        </w:rPr>
        <w:t>قد استند في</w:t>
      </w:r>
      <w:r w:rsidR="003F3CE2" w:rsidRPr="006571AC">
        <w:rPr>
          <w:rFonts w:hint="cs"/>
          <w:sz w:val="27"/>
          <w:rtl/>
          <w:lang w:bidi="ar-LB"/>
        </w:rPr>
        <w:t xml:space="preserve"> </w:t>
      </w:r>
      <w:r w:rsidRPr="006571AC">
        <w:rPr>
          <w:rFonts w:hint="cs"/>
          <w:sz w:val="27"/>
          <w:rtl/>
          <w:lang w:bidi="ar-LB"/>
        </w:rPr>
        <w:t>ما حك</w:t>
      </w:r>
      <w:r w:rsidR="003F3CE2" w:rsidRPr="006571AC">
        <w:rPr>
          <w:rFonts w:hint="cs"/>
          <w:sz w:val="27"/>
          <w:rtl/>
          <w:lang w:bidi="ar-LB"/>
        </w:rPr>
        <w:t>َ</w:t>
      </w:r>
      <w:r w:rsidRPr="006571AC">
        <w:rPr>
          <w:rFonts w:hint="cs"/>
          <w:sz w:val="27"/>
          <w:rtl/>
          <w:lang w:bidi="ar-LB"/>
        </w:rPr>
        <w:t>ي</w:t>
      </w:r>
      <w:r w:rsidR="003F3CE2" w:rsidRPr="006571AC">
        <w:rPr>
          <w:rFonts w:hint="cs"/>
          <w:sz w:val="27"/>
          <w:rtl/>
          <w:lang w:bidi="ar-LB"/>
        </w:rPr>
        <w:t>ْ</w:t>
      </w:r>
      <w:r w:rsidRPr="006571AC">
        <w:rPr>
          <w:rFonts w:hint="cs"/>
          <w:sz w:val="27"/>
          <w:rtl/>
          <w:lang w:bidi="ar-LB"/>
        </w:rPr>
        <w:t xml:space="preserve">نا عنه سابقاً </w:t>
      </w:r>
      <w:r w:rsidR="003F3CE2" w:rsidRPr="006571AC">
        <w:rPr>
          <w:rFonts w:hint="cs"/>
          <w:sz w:val="27"/>
          <w:rtl/>
          <w:lang w:bidi="ar-LB"/>
        </w:rPr>
        <w:t>إ</w:t>
      </w:r>
      <w:r w:rsidRPr="006571AC">
        <w:rPr>
          <w:rFonts w:hint="cs"/>
          <w:sz w:val="27"/>
          <w:rtl/>
          <w:lang w:bidi="ar-LB"/>
        </w:rPr>
        <w:t>لى مثل هذه الرواية، لما أشار إ</w:t>
      </w:r>
      <w:r w:rsidR="003F3CE2" w:rsidRPr="006571AC">
        <w:rPr>
          <w:rFonts w:hint="cs"/>
          <w:sz w:val="27"/>
          <w:rtl/>
          <w:lang w:bidi="ar-LB"/>
        </w:rPr>
        <w:t>ليه من أنّ</w:t>
      </w:r>
      <w:r w:rsidRPr="006571AC">
        <w:rPr>
          <w:rFonts w:hint="cs"/>
          <w:sz w:val="27"/>
          <w:rtl/>
          <w:lang w:bidi="ar-LB"/>
        </w:rPr>
        <w:t xml:space="preserve"> لله تعالى في كلّ واقعة</w:t>
      </w:r>
      <w:r w:rsidR="003F3CE2" w:rsidRPr="006571AC">
        <w:rPr>
          <w:rFonts w:hint="cs"/>
          <w:sz w:val="27"/>
          <w:rtl/>
          <w:lang w:bidi="ar-LB"/>
        </w:rPr>
        <w:t>ٍ</w:t>
      </w:r>
      <w:r w:rsidRPr="006571AC">
        <w:rPr>
          <w:rFonts w:hint="cs"/>
          <w:sz w:val="27"/>
          <w:rtl/>
          <w:lang w:bidi="ar-LB"/>
        </w:rPr>
        <w:t xml:space="preserve"> حكماً</w:t>
      </w:r>
      <w:r w:rsidR="003F3CE2" w:rsidRPr="006571AC">
        <w:rPr>
          <w:rFonts w:hint="cs"/>
          <w:sz w:val="27"/>
          <w:rtl/>
          <w:lang w:bidi="ar-LB"/>
        </w:rPr>
        <w:t>،</w:t>
      </w:r>
      <w:r w:rsidRPr="006571AC">
        <w:rPr>
          <w:rFonts w:hint="cs"/>
          <w:sz w:val="27"/>
          <w:rtl/>
          <w:lang w:bidi="ar-LB"/>
        </w:rPr>
        <w:t xml:space="preserve"> أنزله في كتابه</w:t>
      </w:r>
      <w:r w:rsidR="003F3CE2" w:rsidRPr="006571AC">
        <w:rPr>
          <w:rFonts w:hint="cs"/>
          <w:sz w:val="27"/>
          <w:rtl/>
          <w:lang w:bidi="ar-LB"/>
        </w:rPr>
        <w:t>،</w:t>
      </w:r>
      <w:r w:rsidRPr="006571AC">
        <w:rPr>
          <w:rFonts w:hint="cs"/>
          <w:sz w:val="27"/>
          <w:rtl/>
          <w:lang w:bidi="ar-LB"/>
        </w:rPr>
        <w:t xml:space="preserve"> وبيّ</w:t>
      </w:r>
      <w:r w:rsidR="003F3CE2" w:rsidRPr="006571AC">
        <w:rPr>
          <w:rFonts w:hint="cs"/>
          <w:sz w:val="27"/>
          <w:rtl/>
          <w:lang w:bidi="ar-LB"/>
        </w:rPr>
        <w:t>َ</w:t>
      </w:r>
      <w:r w:rsidRPr="006571AC">
        <w:rPr>
          <w:rFonts w:hint="cs"/>
          <w:sz w:val="27"/>
          <w:rtl/>
          <w:lang w:bidi="ar-LB"/>
        </w:rPr>
        <w:t xml:space="preserve">نه لرسوله. </w:t>
      </w:r>
    </w:p>
    <w:p w:rsidR="001F3F5A" w:rsidRPr="006571AC" w:rsidRDefault="001F3F5A" w:rsidP="002A2E03">
      <w:pPr>
        <w:tabs>
          <w:tab w:val="right" w:pos="6930"/>
        </w:tabs>
        <w:suppressAutoHyphens/>
        <w:rPr>
          <w:sz w:val="27"/>
          <w:rtl/>
          <w:lang w:bidi="ar-LB"/>
        </w:rPr>
      </w:pPr>
      <w:r w:rsidRPr="006571AC">
        <w:rPr>
          <w:rFonts w:hint="cs"/>
          <w:sz w:val="27"/>
          <w:rtl/>
          <w:lang w:bidi="ar-LB"/>
        </w:rPr>
        <w:t>وفقرة الاستدلال هي قوله</w:t>
      </w:r>
      <w:r w:rsidR="002A2C90"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وجعل لكلّ شيء حدّاً</w:t>
      </w:r>
      <w:r w:rsidRPr="006571AC">
        <w:rPr>
          <w:rFonts w:hint="eastAsia"/>
          <w:sz w:val="24"/>
          <w:szCs w:val="24"/>
          <w:rtl/>
        </w:rPr>
        <w:t>»</w:t>
      </w:r>
      <w:r w:rsidR="00F358CD" w:rsidRPr="006571AC">
        <w:rPr>
          <w:rFonts w:hint="cs"/>
          <w:sz w:val="27"/>
          <w:rtl/>
          <w:lang w:bidi="ar-LB"/>
        </w:rPr>
        <w:t>؛</w:t>
      </w:r>
      <w:r w:rsidRPr="006571AC">
        <w:rPr>
          <w:rFonts w:hint="cs"/>
          <w:sz w:val="27"/>
          <w:rtl/>
          <w:lang w:bidi="ar-LB"/>
        </w:rPr>
        <w:t xml:space="preserve"> </w:t>
      </w:r>
      <w:r w:rsidR="00F358CD" w:rsidRPr="006571AC">
        <w:rPr>
          <w:rFonts w:hint="cs"/>
          <w:sz w:val="27"/>
          <w:rtl/>
          <w:lang w:bidi="ar-LB"/>
        </w:rPr>
        <w:t>إ</w:t>
      </w:r>
      <w:r w:rsidRPr="006571AC">
        <w:rPr>
          <w:rFonts w:hint="cs"/>
          <w:sz w:val="27"/>
          <w:rtl/>
          <w:lang w:bidi="ar-LB"/>
        </w:rPr>
        <w:t xml:space="preserve">ذ الظاهر أنّ المقصود بالحدّ هو الحكم، سواء كان إلزاميّاً أو ترخيصيّاً. </w:t>
      </w:r>
    </w:p>
    <w:p w:rsidR="00A3080C" w:rsidRPr="006571AC" w:rsidRDefault="001F3F5A" w:rsidP="002A2E03">
      <w:pPr>
        <w:tabs>
          <w:tab w:val="right" w:pos="6930"/>
        </w:tabs>
        <w:suppressAutoHyphens/>
        <w:rPr>
          <w:sz w:val="27"/>
          <w:rtl/>
          <w:lang w:bidi="ar-LB"/>
        </w:rPr>
      </w:pPr>
      <w:r w:rsidRPr="006571AC">
        <w:rPr>
          <w:rFonts w:hint="cs"/>
          <w:sz w:val="27"/>
          <w:rtl/>
          <w:lang w:bidi="ar-LB"/>
        </w:rPr>
        <w:lastRenderedPageBreak/>
        <w:t>ولا ي</w:t>
      </w:r>
      <w:r w:rsidR="00A3080C" w:rsidRPr="006571AC">
        <w:rPr>
          <w:rFonts w:hint="cs"/>
          <w:sz w:val="27"/>
          <w:rtl/>
          <w:lang w:bidi="ar-LB"/>
        </w:rPr>
        <w:t>َ</w:t>
      </w:r>
      <w:r w:rsidRPr="006571AC">
        <w:rPr>
          <w:rFonts w:hint="cs"/>
          <w:sz w:val="27"/>
          <w:rtl/>
          <w:lang w:bidi="ar-LB"/>
        </w:rPr>
        <w:t>ر</w:t>
      </w:r>
      <w:r w:rsidR="00A3080C" w:rsidRPr="006571AC">
        <w:rPr>
          <w:rFonts w:hint="cs"/>
          <w:sz w:val="27"/>
          <w:rtl/>
          <w:lang w:bidi="ar-LB"/>
        </w:rPr>
        <w:t>ِ</w:t>
      </w:r>
      <w:r w:rsidRPr="006571AC">
        <w:rPr>
          <w:rFonts w:hint="cs"/>
          <w:sz w:val="27"/>
          <w:rtl/>
          <w:lang w:bidi="ar-LB"/>
        </w:rPr>
        <w:t>د</w:t>
      </w:r>
      <w:r w:rsidR="00A3080C" w:rsidRPr="006571AC">
        <w:rPr>
          <w:rFonts w:hint="cs"/>
          <w:sz w:val="27"/>
          <w:rtl/>
          <w:lang w:bidi="ar-LB"/>
        </w:rPr>
        <w:t>ُ</w:t>
      </w:r>
      <w:r w:rsidRPr="006571AC">
        <w:rPr>
          <w:rFonts w:hint="cs"/>
          <w:sz w:val="27"/>
          <w:rtl/>
          <w:lang w:bidi="ar-LB"/>
        </w:rPr>
        <w:t xml:space="preserve"> الإشكال بأنّ قوله</w:t>
      </w:r>
      <w:r w:rsidR="002A2C90"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وجعل على م</w:t>
      </w:r>
      <w:r w:rsidR="00A3080C" w:rsidRPr="006571AC">
        <w:rPr>
          <w:rFonts w:hint="cs"/>
          <w:sz w:val="27"/>
          <w:rtl/>
          <w:lang w:bidi="ar-LB"/>
        </w:rPr>
        <w:t>َ</w:t>
      </w:r>
      <w:r w:rsidRPr="006571AC">
        <w:rPr>
          <w:rFonts w:hint="cs"/>
          <w:sz w:val="27"/>
          <w:rtl/>
          <w:lang w:bidi="ar-LB"/>
        </w:rPr>
        <w:t>ن</w:t>
      </w:r>
      <w:r w:rsidR="00A3080C" w:rsidRPr="006571AC">
        <w:rPr>
          <w:rFonts w:hint="cs"/>
          <w:sz w:val="27"/>
          <w:rtl/>
          <w:lang w:bidi="ar-LB"/>
        </w:rPr>
        <w:t>ْ</w:t>
      </w:r>
      <w:r w:rsidRPr="006571AC">
        <w:rPr>
          <w:rFonts w:hint="cs"/>
          <w:sz w:val="27"/>
          <w:rtl/>
          <w:lang w:bidi="ar-LB"/>
        </w:rPr>
        <w:t xml:space="preserve"> تعدّى ذلك الحدّ حدّاً</w:t>
      </w:r>
      <w:r w:rsidRPr="006571AC">
        <w:rPr>
          <w:rFonts w:hint="eastAsia"/>
          <w:sz w:val="24"/>
          <w:szCs w:val="24"/>
          <w:rtl/>
        </w:rPr>
        <w:t>»</w:t>
      </w:r>
      <w:r w:rsidRPr="006571AC">
        <w:rPr>
          <w:rFonts w:hint="cs"/>
          <w:sz w:val="27"/>
          <w:rtl/>
          <w:lang w:bidi="ar-LB"/>
        </w:rPr>
        <w:t xml:space="preserve"> إنما </w:t>
      </w:r>
      <w:r w:rsidR="00A3080C" w:rsidRPr="006571AC">
        <w:rPr>
          <w:rFonts w:hint="cs"/>
          <w:sz w:val="27"/>
          <w:rtl/>
          <w:lang w:bidi="ar-LB"/>
        </w:rPr>
        <w:t xml:space="preserve">هو </w:t>
      </w:r>
      <w:r w:rsidRPr="006571AC">
        <w:rPr>
          <w:rFonts w:hint="cs"/>
          <w:sz w:val="27"/>
          <w:rtl/>
          <w:lang w:bidi="ar-LB"/>
        </w:rPr>
        <w:t>في غير الإباحة بالمعنى الأعمّ</w:t>
      </w:r>
      <w:r w:rsidR="00A3080C"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والوجه</w:t>
      </w:r>
      <w:r w:rsidR="00A3080C" w:rsidRPr="006571AC">
        <w:rPr>
          <w:rFonts w:hint="cs"/>
          <w:sz w:val="27"/>
          <w:rtl/>
          <w:lang w:bidi="ar-LB"/>
        </w:rPr>
        <w:t>ُ</w:t>
      </w:r>
      <w:r w:rsidRPr="006571AC">
        <w:rPr>
          <w:rFonts w:hint="cs"/>
          <w:sz w:val="27"/>
          <w:rtl/>
          <w:lang w:bidi="ar-LB"/>
        </w:rPr>
        <w:t xml:space="preserve"> في الدفع أنّ التعدّي عن الإباحة معقول</w:t>
      </w:r>
      <w:r w:rsidR="00A3080C" w:rsidRPr="006571AC">
        <w:rPr>
          <w:rFonts w:hint="cs"/>
          <w:sz w:val="27"/>
          <w:rtl/>
          <w:lang w:bidi="ar-LB"/>
        </w:rPr>
        <w:t>ٌ</w:t>
      </w:r>
      <w:r w:rsidRPr="006571AC">
        <w:rPr>
          <w:rFonts w:hint="cs"/>
          <w:sz w:val="27"/>
          <w:rtl/>
          <w:lang w:bidi="ar-LB"/>
        </w:rPr>
        <w:t xml:space="preserve"> أيضاً، ولهذا نعتقد أنّ بعض الاحتياطات الفقهيّة خلاف الاحتياط. </w:t>
      </w:r>
    </w:p>
    <w:p w:rsidR="001F3F5A" w:rsidRPr="006571AC" w:rsidRDefault="001F3F5A" w:rsidP="002A2E03">
      <w:pPr>
        <w:tabs>
          <w:tab w:val="right" w:pos="6930"/>
        </w:tabs>
        <w:suppressAutoHyphens/>
        <w:rPr>
          <w:sz w:val="27"/>
          <w:rtl/>
          <w:lang w:bidi="ar-LB"/>
        </w:rPr>
      </w:pPr>
      <w:r w:rsidRPr="006571AC">
        <w:rPr>
          <w:rFonts w:hint="cs"/>
          <w:sz w:val="27"/>
          <w:rtl/>
          <w:lang w:bidi="ar-LB"/>
        </w:rPr>
        <w:t>وتؤي</w:t>
      </w:r>
      <w:r w:rsidR="00A3080C" w:rsidRPr="006571AC">
        <w:rPr>
          <w:rFonts w:hint="cs"/>
          <w:sz w:val="27"/>
          <w:rtl/>
          <w:lang w:bidi="ar-LB"/>
        </w:rPr>
        <w:t>ِّ</w:t>
      </w:r>
      <w:r w:rsidRPr="006571AC">
        <w:rPr>
          <w:rFonts w:hint="cs"/>
          <w:sz w:val="27"/>
          <w:rtl/>
          <w:lang w:bidi="ar-LB"/>
        </w:rPr>
        <w:t>د المطلوب نفس</w:t>
      </w:r>
      <w:r w:rsidR="00A3080C" w:rsidRPr="006571AC">
        <w:rPr>
          <w:rFonts w:hint="cs"/>
          <w:sz w:val="27"/>
          <w:rtl/>
          <w:lang w:bidi="ar-LB"/>
        </w:rPr>
        <w:t>ُ</w:t>
      </w:r>
      <w:r w:rsidRPr="006571AC">
        <w:rPr>
          <w:rFonts w:hint="cs"/>
          <w:sz w:val="27"/>
          <w:rtl/>
          <w:lang w:bidi="ar-LB"/>
        </w:rPr>
        <w:t xml:space="preserve"> هذه العبارة</w:t>
      </w:r>
      <w:r w:rsidR="00A3080C" w:rsidRPr="006571AC">
        <w:rPr>
          <w:rFonts w:hint="cs"/>
          <w:sz w:val="27"/>
          <w:rtl/>
          <w:lang w:bidi="ar-LB"/>
        </w:rPr>
        <w:t>،</w:t>
      </w:r>
      <w:r w:rsidRPr="006571AC">
        <w:rPr>
          <w:rFonts w:hint="cs"/>
          <w:sz w:val="27"/>
          <w:rtl/>
          <w:lang w:bidi="ar-LB"/>
        </w:rPr>
        <w:t xml:space="preserve"> أعني قوله</w:t>
      </w:r>
      <w:r w:rsidR="002A2C90"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وجعل على م</w:t>
      </w:r>
      <w:r w:rsidR="00A3080C" w:rsidRPr="006571AC">
        <w:rPr>
          <w:rFonts w:hint="cs"/>
          <w:sz w:val="27"/>
          <w:rtl/>
          <w:lang w:bidi="ar-LB"/>
        </w:rPr>
        <w:t>َ</w:t>
      </w:r>
      <w:r w:rsidRPr="006571AC">
        <w:rPr>
          <w:rFonts w:hint="cs"/>
          <w:sz w:val="27"/>
          <w:rtl/>
          <w:lang w:bidi="ar-LB"/>
        </w:rPr>
        <w:t>ن</w:t>
      </w:r>
      <w:r w:rsidR="00A3080C" w:rsidRPr="006571AC">
        <w:rPr>
          <w:rFonts w:hint="cs"/>
          <w:sz w:val="27"/>
          <w:rtl/>
          <w:lang w:bidi="ar-LB"/>
        </w:rPr>
        <w:t>ْ</w:t>
      </w:r>
      <w:r w:rsidRPr="006571AC">
        <w:rPr>
          <w:rFonts w:hint="cs"/>
          <w:sz w:val="27"/>
          <w:rtl/>
          <w:lang w:bidi="ar-LB"/>
        </w:rPr>
        <w:t xml:space="preserve"> تعدّى ذلك الحدّ حدّاً</w:t>
      </w:r>
      <w:r w:rsidRPr="006571AC">
        <w:rPr>
          <w:rFonts w:hint="eastAsia"/>
          <w:sz w:val="24"/>
          <w:szCs w:val="24"/>
          <w:rtl/>
        </w:rPr>
        <w:t>»</w:t>
      </w:r>
      <w:r w:rsidRPr="006571AC">
        <w:rPr>
          <w:rFonts w:hint="cs"/>
          <w:sz w:val="27"/>
          <w:rtl/>
          <w:lang w:bidi="ar-LB"/>
        </w:rPr>
        <w:t>؛ فإنّها تعني أنّ تلك الحدود قابلة</w:t>
      </w:r>
      <w:r w:rsidR="00A3080C" w:rsidRPr="006571AC">
        <w:rPr>
          <w:rFonts w:hint="cs"/>
          <w:sz w:val="27"/>
          <w:rtl/>
          <w:lang w:bidi="ar-LB"/>
        </w:rPr>
        <w:t>ٌ</w:t>
      </w:r>
      <w:r w:rsidRPr="006571AC">
        <w:rPr>
          <w:rFonts w:hint="cs"/>
          <w:sz w:val="27"/>
          <w:rtl/>
          <w:lang w:bidi="ar-LB"/>
        </w:rPr>
        <w:t xml:space="preserve"> للتعدّي والعصيان، فلا تنطبق على الحدود الماهويّة المقدّ</w:t>
      </w:r>
      <w:r w:rsidR="00A3080C" w:rsidRPr="006571AC">
        <w:rPr>
          <w:rFonts w:hint="cs"/>
          <w:sz w:val="27"/>
          <w:rtl/>
          <w:lang w:bidi="ar-LB"/>
        </w:rPr>
        <w:t>َ</w:t>
      </w:r>
      <w:r w:rsidRPr="006571AC">
        <w:rPr>
          <w:rFonts w:hint="cs"/>
          <w:sz w:val="27"/>
          <w:rtl/>
          <w:lang w:bidi="ar-LB"/>
        </w:rPr>
        <w:t xml:space="preserve">رة في مرحلة الخلق، بل ينحصر انطباقها على الحدود الشرعية. </w:t>
      </w:r>
    </w:p>
    <w:p w:rsidR="001F3F5A" w:rsidRPr="006571AC" w:rsidRDefault="001F3F5A" w:rsidP="002A2E03">
      <w:pPr>
        <w:tabs>
          <w:tab w:val="right" w:pos="6930"/>
        </w:tabs>
        <w:suppressAutoHyphens/>
        <w:rPr>
          <w:sz w:val="27"/>
          <w:rtl/>
          <w:lang w:bidi="ar-LB"/>
        </w:rPr>
      </w:pPr>
      <w:r w:rsidRPr="006571AC">
        <w:rPr>
          <w:rFonts w:hint="cs"/>
          <w:sz w:val="27"/>
          <w:rtl/>
          <w:lang w:bidi="ar-LB"/>
        </w:rPr>
        <w:t>والحاصل</w:t>
      </w:r>
      <w:r w:rsidR="00A3080C" w:rsidRPr="006571AC">
        <w:rPr>
          <w:rFonts w:hint="cs"/>
          <w:sz w:val="27"/>
          <w:rtl/>
          <w:lang w:bidi="ar-LB"/>
        </w:rPr>
        <w:t>ُ</w:t>
      </w:r>
      <w:r w:rsidRPr="006571AC">
        <w:rPr>
          <w:rFonts w:hint="cs"/>
          <w:sz w:val="27"/>
          <w:rtl/>
          <w:lang w:bidi="ar-LB"/>
        </w:rPr>
        <w:t xml:space="preserve"> أنّ الظاهر تماميّة هذه الرواية في إثبات المطلوب، وقد ورد بهذا المضمون روايات</w:t>
      </w:r>
      <w:r w:rsidR="00A3080C" w:rsidRPr="006571AC">
        <w:rPr>
          <w:rFonts w:hint="cs"/>
          <w:sz w:val="27"/>
          <w:rtl/>
          <w:lang w:bidi="ar-LB"/>
        </w:rPr>
        <w:t>ٌ</w:t>
      </w:r>
      <w:r w:rsidRPr="006571AC">
        <w:rPr>
          <w:rFonts w:hint="cs"/>
          <w:sz w:val="27"/>
          <w:rtl/>
          <w:lang w:bidi="ar-LB"/>
        </w:rPr>
        <w:t xml:space="preserve"> أخرى</w:t>
      </w:r>
      <w:r w:rsidR="00A3080C" w:rsidRPr="006571AC">
        <w:rPr>
          <w:rFonts w:hint="cs"/>
          <w:sz w:val="27"/>
          <w:rtl/>
          <w:lang w:bidi="ar-LB"/>
        </w:rPr>
        <w:t xml:space="preserve">، </w:t>
      </w:r>
      <w:r w:rsidR="00A03F67" w:rsidRPr="006571AC">
        <w:rPr>
          <w:rFonts w:hint="cs"/>
          <w:sz w:val="27"/>
          <w:rtl/>
          <w:lang w:bidi="ar-LB"/>
        </w:rPr>
        <w:t xml:space="preserve">تبلغ ستّاً، </w:t>
      </w:r>
      <w:r w:rsidRPr="006571AC">
        <w:rPr>
          <w:rFonts w:hint="cs"/>
          <w:sz w:val="27"/>
          <w:rtl/>
          <w:lang w:bidi="ar-LB"/>
        </w:rPr>
        <w:t>جمعها الشيخ الح</w:t>
      </w:r>
      <w:r w:rsidR="00A3080C" w:rsidRPr="006571AC">
        <w:rPr>
          <w:rFonts w:hint="cs"/>
          <w:sz w:val="27"/>
          <w:rtl/>
          <w:lang w:bidi="ar-LB"/>
        </w:rPr>
        <w:t>ُ</w:t>
      </w:r>
      <w:r w:rsidRPr="006571AC">
        <w:rPr>
          <w:rFonts w:hint="cs"/>
          <w:sz w:val="27"/>
          <w:rtl/>
          <w:lang w:bidi="ar-LB"/>
        </w:rPr>
        <w:t>ر</w:t>
      </w:r>
      <w:r w:rsidR="00A3080C" w:rsidRPr="006571AC">
        <w:rPr>
          <w:rFonts w:hint="cs"/>
          <w:sz w:val="27"/>
          <w:rtl/>
          <w:lang w:bidi="ar-LB"/>
        </w:rPr>
        <w:t>ّ</w:t>
      </w:r>
      <w:r w:rsidRPr="006571AC">
        <w:rPr>
          <w:rFonts w:hint="cs"/>
          <w:sz w:val="27"/>
          <w:rtl/>
          <w:lang w:bidi="ar-LB"/>
        </w:rPr>
        <w:t xml:space="preserve"> العاملي</w:t>
      </w:r>
      <w:r w:rsidR="002A2C90" w:rsidRPr="006571AC">
        <w:rPr>
          <w:rFonts w:ascii="Mosawi" w:hAnsi="Mosawi" w:cs="Mosawi"/>
          <w:sz w:val="22"/>
          <w:szCs w:val="22"/>
          <w:rtl/>
        </w:rPr>
        <w:t>&amp;</w:t>
      </w:r>
      <w:r w:rsidRPr="006571AC">
        <w:rPr>
          <w:sz w:val="27"/>
          <w:rtl/>
          <w:lang w:bidi="ar-LB"/>
        </w:rPr>
        <w:t xml:space="preserve"> </w:t>
      </w:r>
      <w:r w:rsidRPr="006571AC">
        <w:rPr>
          <w:rFonts w:hint="cs"/>
          <w:sz w:val="27"/>
          <w:rtl/>
          <w:lang w:bidi="ar-LB"/>
        </w:rPr>
        <w:t>في الفصول المهمّة</w:t>
      </w:r>
      <w:r w:rsidRPr="006571AC">
        <w:rPr>
          <w:rFonts w:hint="cs"/>
          <w:sz w:val="27"/>
          <w:vertAlign w:val="superscript"/>
          <w:rtl/>
        </w:rPr>
        <w:t>(</w:t>
      </w:r>
      <w:r w:rsidRPr="006571AC">
        <w:rPr>
          <w:rStyle w:val="ac"/>
          <w:sz w:val="27"/>
          <w:rtl/>
        </w:rPr>
        <w:endnoteReference w:id="635"/>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الرواية الرابعة</w:t>
      </w:r>
      <w:r w:rsidRPr="006571AC">
        <w:rPr>
          <w:rFonts w:hint="cs"/>
          <w:sz w:val="27"/>
          <w:rtl/>
          <w:lang w:bidi="ar-LB"/>
        </w:rPr>
        <w:t xml:space="preserve">: ما رواه </w:t>
      </w:r>
      <w:r w:rsidR="00E960E1" w:rsidRPr="006571AC">
        <w:rPr>
          <w:rFonts w:hint="cs"/>
          <w:sz w:val="27"/>
          <w:rtl/>
          <w:lang w:bidi="ar-LB"/>
        </w:rPr>
        <w:t xml:space="preserve">الكليني </w:t>
      </w:r>
      <w:r w:rsidRPr="006571AC">
        <w:rPr>
          <w:rFonts w:hint="cs"/>
          <w:sz w:val="27"/>
          <w:rtl/>
          <w:lang w:bidi="ar-LB"/>
        </w:rPr>
        <w:t>أيضاً عن علي</w:t>
      </w:r>
      <w:r w:rsidR="00E960E1" w:rsidRPr="006571AC">
        <w:rPr>
          <w:rFonts w:hint="cs"/>
          <w:sz w:val="27"/>
          <w:rtl/>
          <w:lang w:bidi="ar-LB"/>
        </w:rPr>
        <w:t>ّ</w:t>
      </w:r>
      <w:r w:rsidRPr="006571AC">
        <w:rPr>
          <w:rFonts w:hint="cs"/>
          <w:sz w:val="27"/>
          <w:rtl/>
          <w:lang w:bidi="ar-LB"/>
        </w:rPr>
        <w:t xml:space="preserve"> بن </w:t>
      </w:r>
      <w:r w:rsidR="00E960E1" w:rsidRPr="006571AC">
        <w:rPr>
          <w:rFonts w:hint="eastAsia"/>
          <w:sz w:val="27"/>
          <w:rtl/>
          <w:lang w:bidi="ar-LB"/>
        </w:rPr>
        <w:t>إبراهيم</w:t>
      </w:r>
      <w:r w:rsidR="00E960E1" w:rsidRPr="006571AC">
        <w:rPr>
          <w:rFonts w:hint="cs"/>
          <w:sz w:val="27"/>
          <w:rtl/>
          <w:lang w:bidi="ar-LB"/>
        </w:rPr>
        <w:t>،</w:t>
      </w:r>
      <w:r w:rsidRPr="006571AC">
        <w:rPr>
          <w:rFonts w:hint="cs"/>
          <w:sz w:val="27"/>
          <w:rtl/>
          <w:lang w:bidi="ar-LB"/>
        </w:rPr>
        <w:t xml:space="preserve"> عن محمد بن عيسى</w:t>
      </w:r>
      <w:r w:rsidR="00E960E1" w:rsidRPr="006571AC">
        <w:rPr>
          <w:rFonts w:hint="cs"/>
          <w:sz w:val="27"/>
          <w:rtl/>
          <w:lang w:bidi="ar-LB"/>
        </w:rPr>
        <w:t>،</w:t>
      </w:r>
      <w:r w:rsidRPr="006571AC">
        <w:rPr>
          <w:rFonts w:hint="cs"/>
          <w:sz w:val="27"/>
          <w:rtl/>
          <w:lang w:bidi="ar-LB"/>
        </w:rPr>
        <w:t xml:space="preserve"> عن يونس</w:t>
      </w:r>
      <w:r w:rsidR="00E960E1" w:rsidRPr="006571AC">
        <w:rPr>
          <w:rFonts w:hint="cs"/>
          <w:sz w:val="27"/>
          <w:rtl/>
          <w:lang w:bidi="ar-LB"/>
        </w:rPr>
        <w:t>،</w:t>
      </w:r>
      <w:r w:rsidRPr="006571AC">
        <w:rPr>
          <w:rFonts w:hint="cs"/>
          <w:sz w:val="27"/>
          <w:rtl/>
          <w:lang w:bidi="ar-LB"/>
        </w:rPr>
        <w:t xml:space="preserve"> عن حم</w:t>
      </w:r>
      <w:r w:rsidR="00E960E1" w:rsidRPr="006571AC">
        <w:rPr>
          <w:rFonts w:hint="cs"/>
          <w:sz w:val="27"/>
          <w:rtl/>
          <w:lang w:bidi="ar-LB"/>
        </w:rPr>
        <w:t>ّ</w:t>
      </w:r>
      <w:r w:rsidRPr="006571AC">
        <w:rPr>
          <w:rFonts w:hint="cs"/>
          <w:sz w:val="27"/>
          <w:rtl/>
          <w:lang w:bidi="ar-LB"/>
        </w:rPr>
        <w:t>اد</w:t>
      </w:r>
      <w:r w:rsidR="00E960E1" w:rsidRPr="006571AC">
        <w:rPr>
          <w:rFonts w:hint="cs"/>
          <w:sz w:val="27"/>
          <w:rtl/>
          <w:lang w:bidi="ar-LB"/>
        </w:rPr>
        <w:t>،</w:t>
      </w:r>
      <w:r w:rsidRPr="006571AC">
        <w:rPr>
          <w:rFonts w:hint="cs"/>
          <w:sz w:val="27"/>
          <w:rtl/>
          <w:lang w:bidi="ar-LB"/>
        </w:rPr>
        <w:t xml:space="preserve"> عن أبي عبد الله</w:t>
      </w:r>
      <w:r w:rsidR="002A2C90" w:rsidRPr="006571AC">
        <w:rPr>
          <w:rFonts w:ascii="Mosawi" w:hAnsi="Mosawi" w:cs="Mosawi"/>
          <w:sz w:val="22"/>
          <w:szCs w:val="22"/>
          <w:rtl/>
        </w:rPr>
        <w:t>×</w:t>
      </w:r>
      <w:r w:rsidR="00E960E1" w:rsidRPr="006571AC">
        <w:rPr>
          <w:rFonts w:hint="cs"/>
          <w:sz w:val="27"/>
          <w:rtl/>
          <w:lang w:bidi="ar-LB"/>
        </w:rPr>
        <w:t>،</w:t>
      </w:r>
      <w:r w:rsidRPr="006571AC">
        <w:rPr>
          <w:rFonts w:hint="cs"/>
          <w:sz w:val="27"/>
          <w:rtl/>
          <w:lang w:bidi="ar-LB"/>
        </w:rPr>
        <w:t xml:space="preserve"> قال: سمعت</w:t>
      </w:r>
      <w:r w:rsidR="00E960E1" w:rsidRPr="006571AC">
        <w:rPr>
          <w:rFonts w:hint="cs"/>
          <w:sz w:val="27"/>
          <w:rtl/>
          <w:lang w:bidi="ar-LB"/>
        </w:rPr>
        <w:t>ُ</w:t>
      </w:r>
      <w:r w:rsidRPr="006571AC">
        <w:rPr>
          <w:rFonts w:hint="cs"/>
          <w:sz w:val="27"/>
          <w:rtl/>
          <w:lang w:bidi="ar-LB"/>
        </w:rPr>
        <w:t xml:space="preserve">ه يقول: </w:t>
      </w:r>
      <w:r w:rsidRPr="006571AC">
        <w:rPr>
          <w:rFonts w:hint="eastAsia"/>
          <w:sz w:val="24"/>
          <w:szCs w:val="24"/>
          <w:rtl/>
          <w:lang w:bidi="ar-LB"/>
        </w:rPr>
        <w:t>«</w:t>
      </w:r>
      <w:r w:rsidRPr="006571AC">
        <w:rPr>
          <w:rFonts w:hint="cs"/>
          <w:sz w:val="27"/>
          <w:rtl/>
          <w:lang w:bidi="ar-LB"/>
        </w:rPr>
        <w:t>ما من شيء</w:t>
      </w:r>
      <w:r w:rsidR="00E960E1" w:rsidRPr="006571AC">
        <w:rPr>
          <w:rFonts w:hint="cs"/>
          <w:sz w:val="27"/>
          <w:rtl/>
          <w:lang w:bidi="ar-LB"/>
        </w:rPr>
        <w:t>ٍ</w:t>
      </w:r>
      <w:r w:rsidRPr="006571AC">
        <w:rPr>
          <w:rFonts w:hint="cs"/>
          <w:sz w:val="27"/>
          <w:rtl/>
          <w:lang w:bidi="ar-LB"/>
        </w:rPr>
        <w:t xml:space="preserve"> إلاّ وفيه كتاب</w:t>
      </w:r>
      <w:r w:rsidR="00E960E1" w:rsidRPr="006571AC">
        <w:rPr>
          <w:rFonts w:hint="cs"/>
          <w:sz w:val="27"/>
          <w:rtl/>
          <w:lang w:bidi="ar-LB"/>
        </w:rPr>
        <w:t>ٌ</w:t>
      </w:r>
      <w:r w:rsidRPr="006571AC">
        <w:rPr>
          <w:rFonts w:hint="cs"/>
          <w:sz w:val="27"/>
          <w:rtl/>
          <w:lang w:bidi="ar-LB"/>
        </w:rPr>
        <w:t xml:space="preserve"> أو س</w:t>
      </w:r>
      <w:r w:rsidR="00E960E1" w:rsidRPr="006571AC">
        <w:rPr>
          <w:rFonts w:hint="cs"/>
          <w:sz w:val="27"/>
          <w:rtl/>
          <w:lang w:bidi="ar-LB"/>
        </w:rPr>
        <w:t>ُ</w:t>
      </w:r>
      <w:r w:rsidRPr="006571AC">
        <w:rPr>
          <w:rFonts w:hint="cs"/>
          <w:sz w:val="27"/>
          <w:rtl/>
          <w:lang w:bidi="ar-LB"/>
        </w:rPr>
        <w:t>نّة</w:t>
      </w:r>
      <w:r w:rsidR="00E960E1" w:rsidRPr="006571AC">
        <w:rPr>
          <w:rFonts w:hint="cs"/>
          <w:sz w:val="27"/>
          <w:rtl/>
          <w:lang w:bidi="ar-LB"/>
        </w:rPr>
        <w:t>ٌ</w:t>
      </w:r>
      <w:r w:rsidRPr="006571AC">
        <w:rPr>
          <w:rFonts w:hint="eastAsia"/>
          <w:sz w:val="24"/>
          <w:szCs w:val="24"/>
          <w:rtl/>
        </w:rPr>
        <w:t>»</w:t>
      </w:r>
      <w:r w:rsidRPr="006571AC">
        <w:rPr>
          <w:rFonts w:hint="cs"/>
          <w:sz w:val="27"/>
          <w:vertAlign w:val="superscript"/>
          <w:rtl/>
        </w:rPr>
        <w:t>(</w:t>
      </w:r>
      <w:r w:rsidRPr="006571AC">
        <w:rPr>
          <w:rStyle w:val="ac"/>
          <w:sz w:val="27"/>
          <w:rtl/>
        </w:rPr>
        <w:endnoteReference w:id="636"/>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وقد كنّا نرى أنّ هذه الرواية وما ورد بمضمونها من الروايات لا دلالة لها على المطلوب، كما أنّ الأمر كذلك لو لم نلاحظ معها شيئاً آخر من القرائن الحافّة بغير هذه الرواية</w:t>
      </w:r>
      <w:r w:rsidRPr="006571AC">
        <w:rPr>
          <w:sz w:val="27"/>
          <w:vertAlign w:val="superscript"/>
          <w:rtl/>
          <w:lang w:bidi="ar-LB"/>
        </w:rPr>
        <w:t>(</w:t>
      </w:r>
      <w:r w:rsidRPr="006571AC">
        <w:rPr>
          <w:rStyle w:val="ac"/>
          <w:sz w:val="27"/>
          <w:rtl/>
          <w:lang w:bidi="ar-LB"/>
        </w:rPr>
        <w:endnoteReference w:id="637"/>
      </w:r>
      <w:r w:rsidRPr="006571AC">
        <w:rPr>
          <w:sz w:val="27"/>
          <w:vertAlign w:val="superscript"/>
          <w:rtl/>
          <w:lang w:bidi="ar-LB"/>
        </w:rPr>
        <w:t>)</w:t>
      </w:r>
      <w:r w:rsidRPr="006571AC">
        <w:rPr>
          <w:rFonts w:hint="cs"/>
          <w:sz w:val="27"/>
          <w:rtl/>
          <w:lang w:bidi="ar-LB"/>
        </w:rPr>
        <w:t xml:space="preserve">؛ </w:t>
      </w:r>
      <w:r w:rsidR="00E960E1" w:rsidRPr="006571AC">
        <w:rPr>
          <w:rFonts w:hint="cs"/>
          <w:sz w:val="27"/>
          <w:rtl/>
          <w:lang w:bidi="ar-LB"/>
        </w:rPr>
        <w:t>إ</w:t>
      </w:r>
      <w:r w:rsidRPr="006571AC">
        <w:rPr>
          <w:rFonts w:hint="cs"/>
          <w:sz w:val="27"/>
          <w:rtl/>
          <w:lang w:bidi="ar-LB"/>
        </w:rPr>
        <w:t>ذ مجرّ</w:t>
      </w:r>
      <w:r w:rsidR="00E960E1" w:rsidRPr="006571AC">
        <w:rPr>
          <w:rFonts w:hint="cs"/>
          <w:sz w:val="27"/>
          <w:rtl/>
          <w:lang w:bidi="ar-LB"/>
        </w:rPr>
        <w:t>َ</w:t>
      </w:r>
      <w:r w:rsidRPr="006571AC">
        <w:rPr>
          <w:rFonts w:hint="cs"/>
          <w:sz w:val="27"/>
          <w:rtl/>
          <w:lang w:bidi="ar-LB"/>
        </w:rPr>
        <w:t>د ورود شيء</w:t>
      </w:r>
      <w:r w:rsidR="00E960E1" w:rsidRPr="006571AC">
        <w:rPr>
          <w:rFonts w:hint="cs"/>
          <w:sz w:val="27"/>
          <w:rtl/>
          <w:lang w:bidi="ar-LB"/>
        </w:rPr>
        <w:t>ٍ</w:t>
      </w:r>
      <w:r w:rsidRPr="006571AC">
        <w:rPr>
          <w:rFonts w:hint="cs"/>
          <w:sz w:val="27"/>
          <w:rtl/>
          <w:lang w:bidi="ar-LB"/>
        </w:rPr>
        <w:t xml:space="preserve"> من الكتاب أو الس</w:t>
      </w:r>
      <w:r w:rsidR="00E960E1" w:rsidRPr="006571AC">
        <w:rPr>
          <w:rFonts w:hint="cs"/>
          <w:sz w:val="27"/>
          <w:rtl/>
          <w:lang w:bidi="ar-LB"/>
        </w:rPr>
        <w:t>ُّ</w:t>
      </w:r>
      <w:r w:rsidRPr="006571AC">
        <w:rPr>
          <w:rFonts w:hint="cs"/>
          <w:sz w:val="27"/>
          <w:rtl/>
          <w:lang w:bidi="ar-LB"/>
        </w:rPr>
        <w:t>نّة على شيء</w:t>
      </w:r>
      <w:r w:rsidR="00E960E1" w:rsidRPr="006571AC">
        <w:rPr>
          <w:rFonts w:hint="cs"/>
          <w:sz w:val="27"/>
          <w:rtl/>
          <w:lang w:bidi="ar-LB"/>
        </w:rPr>
        <w:t>ٍ</w:t>
      </w:r>
      <w:r w:rsidRPr="006571AC">
        <w:rPr>
          <w:rFonts w:hint="cs"/>
          <w:sz w:val="27"/>
          <w:rtl/>
          <w:lang w:bidi="ar-LB"/>
        </w:rPr>
        <w:t xml:space="preserve"> لا يعني ثبوت الحكم الشرعي له، فر</w:t>
      </w:r>
      <w:r w:rsidR="00E960E1" w:rsidRPr="006571AC">
        <w:rPr>
          <w:rFonts w:hint="cs"/>
          <w:sz w:val="27"/>
          <w:rtl/>
          <w:lang w:bidi="ar-LB"/>
        </w:rPr>
        <w:t>ُ</w:t>
      </w:r>
      <w:r w:rsidRPr="006571AC">
        <w:rPr>
          <w:rFonts w:hint="cs"/>
          <w:sz w:val="27"/>
          <w:rtl/>
          <w:lang w:bidi="ar-LB"/>
        </w:rPr>
        <w:t>ب</w:t>
      </w:r>
      <w:r w:rsidR="00E960E1" w:rsidRPr="006571AC">
        <w:rPr>
          <w:rFonts w:hint="cs"/>
          <w:sz w:val="27"/>
          <w:rtl/>
          <w:lang w:bidi="ar-LB"/>
        </w:rPr>
        <w:t>َ</w:t>
      </w:r>
      <w:r w:rsidRPr="006571AC">
        <w:rPr>
          <w:rFonts w:hint="cs"/>
          <w:sz w:val="27"/>
          <w:rtl/>
          <w:lang w:bidi="ar-LB"/>
        </w:rPr>
        <w:t>ما كان ذاك الشيء من المعارف والعقائد والأخلاقيات أو غيرها من الأبحاث الكوني</w:t>
      </w:r>
      <w:r w:rsidR="00E960E1" w:rsidRPr="006571AC">
        <w:rPr>
          <w:rFonts w:hint="cs"/>
          <w:sz w:val="27"/>
          <w:rtl/>
          <w:lang w:bidi="ar-LB"/>
        </w:rPr>
        <w:t>ّ</w:t>
      </w:r>
      <w:r w:rsidRPr="006571AC">
        <w:rPr>
          <w:rFonts w:hint="cs"/>
          <w:sz w:val="27"/>
          <w:rtl/>
          <w:lang w:bidi="ar-LB"/>
        </w:rPr>
        <w:t xml:space="preserve">ة، إلاّ أنّ الصحيح </w:t>
      </w:r>
      <w:r w:rsidRPr="006571AC">
        <w:rPr>
          <w:sz w:val="27"/>
          <w:rtl/>
          <w:lang w:bidi="ar-LB"/>
        </w:rPr>
        <w:t xml:space="preserve">ـ </w:t>
      </w:r>
      <w:r w:rsidRPr="006571AC">
        <w:rPr>
          <w:rFonts w:hint="cs"/>
          <w:sz w:val="27"/>
          <w:rtl/>
          <w:lang w:bidi="ar-LB"/>
        </w:rPr>
        <w:t>كما تفطّ</w:t>
      </w:r>
      <w:r w:rsidR="00E960E1" w:rsidRPr="006571AC">
        <w:rPr>
          <w:rFonts w:hint="cs"/>
          <w:sz w:val="27"/>
          <w:rtl/>
          <w:lang w:bidi="ar-LB"/>
        </w:rPr>
        <w:t>َ</w:t>
      </w:r>
      <w:r w:rsidRPr="006571AC">
        <w:rPr>
          <w:rFonts w:hint="cs"/>
          <w:sz w:val="27"/>
          <w:rtl/>
          <w:lang w:bidi="ar-LB"/>
        </w:rPr>
        <w:t>ن إليه بعض</w:t>
      </w:r>
      <w:r w:rsidR="00E960E1" w:rsidRPr="006571AC">
        <w:rPr>
          <w:rFonts w:hint="cs"/>
          <w:sz w:val="27"/>
          <w:rtl/>
          <w:lang w:bidi="ar-LB"/>
        </w:rPr>
        <w:t>ُ</w:t>
      </w:r>
      <w:r w:rsidRPr="006571AC">
        <w:rPr>
          <w:rFonts w:hint="cs"/>
          <w:sz w:val="27"/>
          <w:rtl/>
          <w:lang w:bidi="ar-LB"/>
        </w:rPr>
        <w:t xml:space="preserve"> حاضري مجلس البحث </w:t>
      </w:r>
      <w:r w:rsidRPr="006571AC">
        <w:rPr>
          <w:sz w:val="27"/>
          <w:rtl/>
          <w:lang w:bidi="ar-LB"/>
        </w:rPr>
        <w:t xml:space="preserve">ـ </w:t>
      </w:r>
      <w:r w:rsidRPr="006571AC">
        <w:rPr>
          <w:rFonts w:hint="cs"/>
          <w:sz w:val="27"/>
          <w:rtl/>
          <w:lang w:bidi="ar-LB"/>
        </w:rPr>
        <w:t xml:space="preserve">تماميّة دلالتها على المطلوب، عندما نلاحظ القرائن الحافّة بها.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وتوضيح الأمر: </w:t>
      </w:r>
      <w:r w:rsidR="00E960E1" w:rsidRPr="006571AC">
        <w:rPr>
          <w:rFonts w:hint="cs"/>
          <w:sz w:val="27"/>
          <w:rtl/>
          <w:lang w:bidi="ar-LB"/>
        </w:rPr>
        <w:t>إ</w:t>
      </w:r>
      <w:r w:rsidRPr="006571AC">
        <w:rPr>
          <w:rFonts w:hint="cs"/>
          <w:sz w:val="27"/>
          <w:rtl/>
          <w:lang w:bidi="ar-LB"/>
        </w:rPr>
        <w:t>نّ أكثر هذه الروايات قد ورد</w:t>
      </w:r>
      <w:r w:rsidR="00E960E1" w:rsidRPr="006571AC">
        <w:rPr>
          <w:rFonts w:hint="cs"/>
          <w:sz w:val="27"/>
          <w:rtl/>
          <w:lang w:bidi="ar-LB"/>
        </w:rPr>
        <w:t>َ</w:t>
      </w:r>
      <w:r w:rsidRPr="006571AC">
        <w:rPr>
          <w:rFonts w:hint="cs"/>
          <w:sz w:val="27"/>
          <w:rtl/>
          <w:lang w:bidi="ar-LB"/>
        </w:rPr>
        <w:t>ت</w:t>
      </w:r>
      <w:r w:rsidR="00E960E1" w:rsidRPr="006571AC">
        <w:rPr>
          <w:rFonts w:hint="cs"/>
          <w:sz w:val="27"/>
          <w:rtl/>
          <w:lang w:bidi="ar-LB"/>
        </w:rPr>
        <w:t>ْ</w:t>
      </w:r>
      <w:r w:rsidRPr="006571AC">
        <w:rPr>
          <w:rFonts w:hint="cs"/>
          <w:sz w:val="27"/>
          <w:rtl/>
          <w:lang w:bidi="ar-LB"/>
        </w:rPr>
        <w:t xml:space="preserve"> في ذيل الأخبار الناهية عن العمل ب</w:t>
      </w:r>
      <w:r w:rsidR="00E960E1" w:rsidRPr="006571AC">
        <w:rPr>
          <w:rFonts w:hint="cs"/>
          <w:sz w:val="27"/>
          <w:rtl/>
          <w:lang w:bidi="ar-LB"/>
        </w:rPr>
        <w:t>ال</w:t>
      </w:r>
      <w:r w:rsidRPr="006571AC">
        <w:rPr>
          <w:rFonts w:hint="cs"/>
          <w:sz w:val="27"/>
          <w:rtl/>
          <w:lang w:bidi="ar-LB"/>
        </w:rPr>
        <w:t>قياس</w:t>
      </w:r>
      <w:r w:rsidR="00E960E1" w:rsidRPr="006571AC">
        <w:rPr>
          <w:rFonts w:hint="cs"/>
          <w:sz w:val="27"/>
          <w:rtl/>
          <w:lang w:bidi="ar-LB"/>
        </w:rPr>
        <w:t>،</w:t>
      </w:r>
      <w:r w:rsidRPr="006571AC">
        <w:rPr>
          <w:rFonts w:hint="cs"/>
          <w:sz w:val="27"/>
          <w:rtl/>
          <w:lang w:bidi="ar-LB"/>
        </w:rPr>
        <w:t xml:space="preserve"> وحيث </w:t>
      </w:r>
      <w:r w:rsidR="00E960E1" w:rsidRPr="006571AC">
        <w:rPr>
          <w:rFonts w:hint="cs"/>
          <w:sz w:val="27"/>
          <w:rtl/>
          <w:lang w:bidi="ar-LB"/>
        </w:rPr>
        <w:t>إنّ القياس إ</w:t>
      </w:r>
      <w:r w:rsidRPr="006571AC">
        <w:rPr>
          <w:rFonts w:hint="cs"/>
          <w:sz w:val="27"/>
          <w:rtl/>
          <w:lang w:bidi="ar-LB"/>
        </w:rPr>
        <w:t>نّما هو في الأحكام كان من الواجب أن يكون المقصود بهذه الأخبار أنّ لكل شيء</w:t>
      </w:r>
      <w:r w:rsidR="00E960E1" w:rsidRPr="006571AC">
        <w:rPr>
          <w:rFonts w:hint="cs"/>
          <w:sz w:val="27"/>
          <w:rtl/>
          <w:lang w:bidi="ar-LB"/>
        </w:rPr>
        <w:t>ٍ</w:t>
      </w:r>
      <w:r w:rsidRPr="006571AC">
        <w:rPr>
          <w:rFonts w:hint="cs"/>
          <w:sz w:val="27"/>
          <w:rtl/>
          <w:lang w:bidi="ar-LB"/>
        </w:rPr>
        <w:t xml:space="preserve"> حكماً مبيّ</w:t>
      </w:r>
      <w:r w:rsidR="00E960E1" w:rsidRPr="006571AC">
        <w:rPr>
          <w:rFonts w:hint="cs"/>
          <w:sz w:val="27"/>
          <w:rtl/>
          <w:lang w:bidi="ar-LB"/>
        </w:rPr>
        <w:t>َ</w:t>
      </w:r>
      <w:r w:rsidRPr="006571AC">
        <w:rPr>
          <w:rFonts w:hint="cs"/>
          <w:sz w:val="27"/>
          <w:rtl/>
          <w:lang w:bidi="ar-LB"/>
        </w:rPr>
        <w:t>ناً في الكتاب والس</w:t>
      </w:r>
      <w:r w:rsidR="00E960E1" w:rsidRPr="006571AC">
        <w:rPr>
          <w:rFonts w:hint="cs"/>
          <w:sz w:val="27"/>
          <w:rtl/>
          <w:lang w:bidi="ar-LB"/>
        </w:rPr>
        <w:t>ُّ</w:t>
      </w:r>
      <w:r w:rsidRPr="006571AC">
        <w:rPr>
          <w:rFonts w:hint="cs"/>
          <w:sz w:val="27"/>
          <w:rtl/>
          <w:lang w:bidi="ar-LB"/>
        </w:rPr>
        <w:t>نّة، وإلاّ لم يكن هناك تناسب</w:t>
      </w:r>
      <w:r w:rsidR="00E960E1" w:rsidRPr="006571AC">
        <w:rPr>
          <w:rFonts w:hint="cs"/>
          <w:sz w:val="27"/>
          <w:rtl/>
          <w:lang w:bidi="ar-LB"/>
        </w:rPr>
        <w:t>ٌ</w:t>
      </w:r>
      <w:r w:rsidRPr="006571AC">
        <w:rPr>
          <w:rFonts w:hint="cs"/>
          <w:sz w:val="27"/>
          <w:rtl/>
          <w:lang w:bidi="ar-LB"/>
        </w:rPr>
        <w:t xml:space="preserve"> بين الردّ والمردود، كما هو واضح</w:t>
      </w:r>
      <w:r w:rsidR="00E960E1" w:rsidRPr="006571AC">
        <w:rPr>
          <w:rFonts w:hint="cs"/>
          <w:sz w:val="27"/>
          <w:rtl/>
          <w:lang w:bidi="ar-LB"/>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إن</w:t>
      </w:r>
      <w:r w:rsidR="00E960E1" w:rsidRPr="006571AC">
        <w:rPr>
          <w:rFonts w:hint="cs"/>
          <w:b/>
          <w:bCs/>
          <w:sz w:val="27"/>
          <w:rtl/>
          <w:lang w:bidi="ar-LB"/>
        </w:rPr>
        <w:t>ْ</w:t>
      </w:r>
      <w:r w:rsidRPr="006571AC">
        <w:rPr>
          <w:rFonts w:hint="cs"/>
          <w:b/>
          <w:bCs/>
          <w:sz w:val="27"/>
          <w:rtl/>
          <w:lang w:bidi="ar-LB"/>
        </w:rPr>
        <w:t xml:space="preserve"> قلت</w:t>
      </w:r>
      <w:r w:rsidR="00E960E1" w:rsidRPr="006571AC">
        <w:rPr>
          <w:rFonts w:hint="cs"/>
          <w:b/>
          <w:bCs/>
          <w:sz w:val="27"/>
          <w:rtl/>
          <w:lang w:bidi="ar-LB"/>
        </w:rPr>
        <w:t>َ</w:t>
      </w:r>
      <w:r w:rsidRPr="006571AC">
        <w:rPr>
          <w:rFonts w:hint="cs"/>
          <w:sz w:val="27"/>
          <w:rtl/>
          <w:lang w:bidi="ar-LB"/>
        </w:rPr>
        <w:t xml:space="preserve">: إنّ القياس يجري </w:t>
      </w:r>
      <w:r w:rsidR="0055778F" w:rsidRPr="006571AC">
        <w:rPr>
          <w:rFonts w:hint="cs"/>
          <w:sz w:val="27"/>
          <w:rtl/>
          <w:lang w:bidi="ar-LB"/>
        </w:rPr>
        <w:t xml:space="preserve">كذلك </w:t>
      </w:r>
      <w:r w:rsidRPr="006571AC">
        <w:rPr>
          <w:rFonts w:hint="cs"/>
          <w:sz w:val="27"/>
          <w:rtl/>
          <w:lang w:bidi="ar-LB"/>
        </w:rPr>
        <w:t>في غيرها</w:t>
      </w:r>
      <w:r w:rsidR="0055778F" w:rsidRPr="006571AC">
        <w:rPr>
          <w:rFonts w:hint="cs"/>
          <w:sz w:val="27"/>
          <w:rtl/>
          <w:lang w:bidi="ar-LB"/>
        </w:rPr>
        <w:t>،</w:t>
      </w:r>
      <w:r w:rsidRPr="006571AC">
        <w:rPr>
          <w:rFonts w:hint="cs"/>
          <w:sz w:val="27"/>
          <w:rtl/>
          <w:lang w:bidi="ar-LB"/>
        </w:rPr>
        <w:t xml:space="preserve"> كالعقائد</w:t>
      </w:r>
      <w:r w:rsidR="0055778F" w:rsidRPr="006571AC">
        <w:rPr>
          <w:rFonts w:hint="cs"/>
          <w:sz w:val="27"/>
          <w:rtl/>
          <w:lang w:bidi="ar-LB"/>
        </w:rPr>
        <w:t>،</w:t>
      </w:r>
      <w:r w:rsidRPr="006571AC">
        <w:rPr>
          <w:rFonts w:hint="cs"/>
          <w:sz w:val="27"/>
          <w:rtl/>
          <w:lang w:bidi="ar-LB"/>
        </w:rPr>
        <w:t xml:space="preserve"> فليس من الواضح أن يكون المنع الوارد في الأخبار عن خصوص القياس في الأحكام؛ بل لعلّ المنع في الأخبار الدالّة على أنّ أوّل م</w:t>
      </w:r>
      <w:r w:rsidR="0055778F" w:rsidRPr="006571AC">
        <w:rPr>
          <w:rFonts w:hint="cs"/>
          <w:sz w:val="27"/>
          <w:rtl/>
          <w:lang w:bidi="ar-LB"/>
        </w:rPr>
        <w:t>َ</w:t>
      </w:r>
      <w:r w:rsidRPr="006571AC">
        <w:rPr>
          <w:rFonts w:hint="cs"/>
          <w:sz w:val="27"/>
          <w:rtl/>
          <w:lang w:bidi="ar-LB"/>
        </w:rPr>
        <w:t>ن</w:t>
      </w:r>
      <w:r w:rsidR="0055778F" w:rsidRPr="006571AC">
        <w:rPr>
          <w:rFonts w:hint="cs"/>
          <w:sz w:val="27"/>
          <w:rtl/>
          <w:lang w:bidi="ar-LB"/>
        </w:rPr>
        <w:t>ْ</w:t>
      </w:r>
      <w:r w:rsidRPr="006571AC">
        <w:rPr>
          <w:rFonts w:hint="cs"/>
          <w:sz w:val="27"/>
          <w:rtl/>
          <w:lang w:bidi="ar-LB"/>
        </w:rPr>
        <w:t xml:space="preserve"> قاس إبليس اللعين منصبّ</w:t>
      </w:r>
      <w:r w:rsidR="0055778F" w:rsidRPr="006571AC">
        <w:rPr>
          <w:rFonts w:hint="cs"/>
          <w:sz w:val="27"/>
          <w:rtl/>
          <w:lang w:bidi="ar-LB"/>
        </w:rPr>
        <w:t>ٌ</w:t>
      </w:r>
      <w:r w:rsidRPr="006571AC">
        <w:rPr>
          <w:rFonts w:hint="cs"/>
          <w:sz w:val="27"/>
          <w:rtl/>
          <w:lang w:bidi="ar-LB"/>
        </w:rPr>
        <w:t xml:space="preserve"> على القياس في الاعتقاد.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وتوضيحه: </w:t>
      </w:r>
      <w:r w:rsidR="0055778F" w:rsidRPr="006571AC">
        <w:rPr>
          <w:rFonts w:hint="cs"/>
          <w:sz w:val="27"/>
          <w:rtl/>
          <w:lang w:bidi="ar-LB"/>
        </w:rPr>
        <w:t>إ</w:t>
      </w:r>
      <w:r w:rsidRPr="006571AC">
        <w:rPr>
          <w:rFonts w:hint="cs"/>
          <w:sz w:val="27"/>
          <w:rtl/>
          <w:lang w:bidi="ar-LB"/>
        </w:rPr>
        <w:t xml:space="preserve">نّ ابليس لعنه الله قاس شرافة النار من الطين على شرافة نفسه من </w:t>
      </w:r>
      <w:r w:rsidRPr="006571AC">
        <w:rPr>
          <w:rFonts w:hint="cs"/>
          <w:sz w:val="27"/>
          <w:rtl/>
          <w:lang w:bidi="ar-LB"/>
        </w:rPr>
        <w:lastRenderedPageBreak/>
        <w:t>آدم، فزعم أنّه لمّا خ</w:t>
      </w:r>
      <w:r w:rsidR="0055778F" w:rsidRPr="006571AC">
        <w:rPr>
          <w:rFonts w:hint="cs"/>
          <w:sz w:val="27"/>
          <w:rtl/>
          <w:lang w:bidi="ar-LB"/>
        </w:rPr>
        <w:t>ُ</w:t>
      </w:r>
      <w:r w:rsidRPr="006571AC">
        <w:rPr>
          <w:rFonts w:hint="cs"/>
          <w:sz w:val="27"/>
          <w:rtl/>
          <w:lang w:bidi="ar-LB"/>
        </w:rPr>
        <w:t>لق هو من النار</w:t>
      </w:r>
      <w:r w:rsidR="0055778F" w:rsidRPr="006571AC">
        <w:rPr>
          <w:rFonts w:hint="cs"/>
          <w:sz w:val="27"/>
          <w:rtl/>
          <w:lang w:bidi="ar-LB"/>
        </w:rPr>
        <w:t>،</w:t>
      </w:r>
      <w:r w:rsidRPr="006571AC">
        <w:rPr>
          <w:rFonts w:hint="cs"/>
          <w:sz w:val="27"/>
          <w:rtl/>
          <w:lang w:bidi="ar-LB"/>
        </w:rPr>
        <w:t xml:space="preserve"> وهي أشرف ممّا خ</w:t>
      </w:r>
      <w:r w:rsidR="0055778F" w:rsidRPr="006571AC">
        <w:rPr>
          <w:rFonts w:hint="cs"/>
          <w:sz w:val="27"/>
          <w:rtl/>
          <w:lang w:bidi="ar-LB"/>
        </w:rPr>
        <w:t>ُ</w:t>
      </w:r>
      <w:r w:rsidRPr="006571AC">
        <w:rPr>
          <w:rFonts w:hint="cs"/>
          <w:sz w:val="27"/>
          <w:rtl/>
          <w:lang w:bidi="ar-LB"/>
        </w:rPr>
        <w:t>لق منه آدم</w:t>
      </w:r>
      <w:r w:rsidR="0055778F" w:rsidRPr="006571AC">
        <w:rPr>
          <w:rFonts w:hint="cs"/>
          <w:sz w:val="27"/>
          <w:rtl/>
          <w:lang w:bidi="ar-LB"/>
        </w:rPr>
        <w:t xml:space="preserve">، </w:t>
      </w:r>
      <w:r w:rsidRPr="006571AC">
        <w:rPr>
          <w:rFonts w:hint="cs"/>
          <w:sz w:val="27"/>
          <w:rtl/>
          <w:lang w:bidi="ar-LB"/>
        </w:rPr>
        <w:t>فلا محالة يكون هو أشرف من آ</w:t>
      </w:r>
      <w:r w:rsidR="0055778F" w:rsidRPr="006571AC">
        <w:rPr>
          <w:rFonts w:hint="cs"/>
          <w:sz w:val="27"/>
          <w:rtl/>
          <w:lang w:bidi="ar-LB"/>
        </w:rPr>
        <w:t>د</w:t>
      </w:r>
      <w:r w:rsidRPr="006571AC">
        <w:rPr>
          <w:rFonts w:hint="cs"/>
          <w:sz w:val="27"/>
          <w:rtl/>
          <w:lang w:bidi="ar-LB"/>
        </w:rPr>
        <w:t>م</w:t>
      </w:r>
      <w:r w:rsidR="0055778F" w:rsidRPr="006571AC">
        <w:rPr>
          <w:rFonts w:hint="cs"/>
          <w:sz w:val="27"/>
          <w:rtl/>
          <w:lang w:bidi="ar-LB"/>
        </w:rPr>
        <w:t>.</w:t>
      </w:r>
      <w:r w:rsidRPr="006571AC">
        <w:rPr>
          <w:rFonts w:hint="cs"/>
          <w:sz w:val="27"/>
          <w:rtl/>
          <w:lang w:bidi="ar-LB"/>
        </w:rPr>
        <w:t xml:space="preserve"> مع أنّ هذا لا يكفي دليلاً على زعمه الفاسد؛ </w:t>
      </w:r>
      <w:r w:rsidR="0055778F" w:rsidRPr="006571AC">
        <w:rPr>
          <w:rFonts w:hint="cs"/>
          <w:sz w:val="27"/>
          <w:rtl/>
          <w:lang w:bidi="ar-LB"/>
        </w:rPr>
        <w:t>فإ</w:t>
      </w:r>
      <w:r w:rsidRPr="006571AC">
        <w:rPr>
          <w:rFonts w:hint="cs"/>
          <w:sz w:val="27"/>
          <w:rtl/>
          <w:lang w:bidi="ar-LB"/>
        </w:rPr>
        <w:t>نّ الشرافة بيد الله تعالى، يخرج الحيّ من الميّت</w:t>
      </w:r>
      <w:r w:rsidR="0055778F" w:rsidRPr="006571AC">
        <w:rPr>
          <w:rFonts w:hint="cs"/>
          <w:sz w:val="27"/>
          <w:rtl/>
          <w:lang w:bidi="ar-LB"/>
        </w:rPr>
        <w:t>،</w:t>
      </w:r>
      <w:r w:rsidRPr="006571AC">
        <w:rPr>
          <w:rFonts w:hint="cs"/>
          <w:sz w:val="27"/>
          <w:rtl/>
          <w:lang w:bidi="ar-LB"/>
        </w:rPr>
        <w:t xml:space="preserve"> والمي</w:t>
      </w:r>
      <w:r w:rsidR="0055778F" w:rsidRPr="006571AC">
        <w:rPr>
          <w:rFonts w:hint="cs"/>
          <w:sz w:val="27"/>
          <w:rtl/>
          <w:lang w:bidi="ar-LB"/>
        </w:rPr>
        <w:t>ِّ</w:t>
      </w:r>
      <w:r w:rsidRPr="006571AC">
        <w:rPr>
          <w:rFonts w:hint="cs"/>
          <w:sz w:val="27"/>
          <w:rtl/>
          <w:lang w:bidi="ar-LB"/>
        </w:rPr>
        <w:t>ت من الحيّ</w:t>
      </w:r>
      <w:r w:rsidR="0055778F" w:rsidRPr="006571AC">
        <w:rPr>
          <w:rFonts w:hint="cs"/>
          <w:sz w:val="27"/>
          <w:rtl/>
          <w:lang w:bidi="ar-LB"/>
        </w:rPr>
        <w:t>،</w:t>
      </w:r>
      <w:r w:rsidRPr="006571AC">
        <w:rPr>
          <w:rFonts w:hint="cs"/>
          <w:sz w:val="27"/>
          <w:rtl/>
          <w:lang w:bidi="ar-LB"/>
        </w:rPr>
        <w:t xml:space="preserve"> والشريف من الوضيع، والوضيع من الشريف</w:t>
      </w:r>
      <w:r w:rsidR="0055778F" w:rsidRPr="006571AC">
        <w:rPr>
          <w:rFonts w:hint="cs"/>
          <w:sz w:val="27"/>
          <w:rtl/>
          <w:lang w:bidi="ar-LB"/>
        </w:rPr>
        <w:t>.</w:t>
      </w:r>
      <w:r w:rsidRPr="006571AC">
        <w:rPr>
          <w:rFonts w:hint="cs"/>
          <w:sz w:val="27"/>
          <w:rtl/>
          <w:lang w:bidi="ar-LB"/>
        </w:rPr>
        <w:t xml:space="preserve"> وهذا كما ترى قياس</w:t>
      </w:r>
      <w:r w:rsidR="0055778F" w:rsidRPr="006571AC">
        <w:rPr>
          <w:rFonts w:hint="cs"/>
          <w:sz w:val="27"/>
          <w:rtl/>
          <w:lang w:bidi="ar-LB"/>
        </w:rPr>
        <w:t>ٌ</w:t>
      </w:r>
      <w:r w:rsidRPr="006571AC">
        <w:rPr>
          <w:rFonts w:hint="cs"/>
          <w:sz w:val="27"/>
          <w:rtl/>
          <w:lang w:bidi="ar-LB"/>
        </w:rPr>
        <w:t xml:space="preserve"> في الاعتقاد. </w:t>
      </w:r>
    </w:p>
    <w:p w:rsidR="001F3F5A" w:rsidRPr="006571AC" w:rsidRDefault="001F3F5A" w:rsidP="002A2E03">
      <w:pPr>
        <w:tabs>
          <w:tab w:val="right" w:pos="6930"/>
        </w:tabs>
        <w:suppressAutoHyphens/>
        <w:rPr>
          <w:sz w:val="27"/>
          <w:rtl/>
          <w:lang w:bidi="ar-LB"/>
        </w:rPr>
      </w:pPr>
      <w:r w:rsidRPr="006571AC">
        <w:rPr>
          <w:rFonts w:hint="cs"/>
          <w:b/>
          <w:bCs/>
          <w:sz w:val="27"/>
          <w:rtl/>
          <w:lang w:bidi="ar-LB"/>
        </w:rPr>
        <w:t>قلت</w:t>
      </w:r>
      <w:r w:rsidR="00E960E1" w:rsidRPr="006571AC">
        <w:rPr>
          <w:rFonts w:hint="cs"/>
          <w:b/>
          <w:bCs/>
          <w:sz w:val="27"/>
          <w:rtl/>
          <w:lang w:bidi="ar-LB"/>
        </w:rPr>
        <w:t>ُ</w:t>
      </w:r>
      <w:r w:rsidRPr="006571AC">
        <w:rPr>
          <w:rFonts w:hint="cs"/>
          <w:sz w:val="27"/>
          <w:rtl/>
          <w:lang w:bidi="ar-LB"/>
        </w:rPr>
        <w:t xml:space="preserve">: </w:t>
      </w:r>
      <w:r w:rsidRPr="006571AC">
        <w:rPr>
          <w:rFonts w:hint="cs"/>
          <w:b/>
          <w:bCs/>
          <w:sz w:val="27"/>
          <w:rtl/>
          <w:lang w:bidi="ar-LB"/>
        </w:rPr>
        <w:t>أوّلاً</w:t>
      </w:r>
      <w:r w:rsidRPr="006571AC">
        <w:rPr>
          <w:rFonts w:hint="cs"/>
          <w:sz w:val="27"/>
          <w:rtl/>
          <w:lang w:bidi="ar-LB"/>
        </w:rPr>
        <w:t>: إنّ القياس الدارج في عصر الأئمّة</w:t>
      </w:r>
      <w:r w:rsidR="002A2C90" w:rsidRPr="006571AC">
        <w:rPr>
          <w:rFonts w:ascii="Mosawi" w:hAnsi="Mosawi" w:cs="Mosawi"/>
          <w:sz w:val="22"/>
          <w:szCs w:val="22"/>
          <w:rtl/>
        </w:rPr>
        <w:t>^</w:t>
      </w:r>
      <w:r w:rsidRPr="006571AC">
        <w:rPr>
          <w:rFonts w:hint="cs"/>
          <w:sz w:val="27"/>
          <w:rtl/>
          <w:lang w:bidi="ar-LB"/>
        </w:rPr>
        <w:t xml:space="preserve"> كان منصب</w:t>
      </w:r>
      <w:r w:rsidR="0055778F" w:rsidRPr="006571AC">
        <w:rPr>
          <w:rFonts w:hint="cs"/>
          <w:sz w:val="27"/>
          <w:rtl/>
          <w:lang w:bidi="ar-LB"/>
        </w:rPr>
        <w:t>ّ</w:t>
      </w:r>
      <w:r w:rsidRPr="006571AC">
        <w:rPr>
          <w:rFonts w:hint="cs"/>
          <w:sz w:val="27"/>
          <w:rtl/>
          <w:lang w:bidi="ar-LB"/>
        </w:rPr>
        <w:t>اً على الأحكام والحلال والحرام، كما يتّ</w:t>
      </w:r>
      <w:r w:rsidR="0055778F" w:rsidRPr="006571AC">
        <w:rPr>
          <w:rFonts w:hint="cs"/>
          <w:sz w:val="27"/>
          <w:rtl/>
          <w:lang w:bidi="ar-LB"/>
        </w:rPr>
        <w:t>َ</w:t>
      </w:r>
      <w:r w:rsidRPr="006571AC">
        <w:rPr>
          <w:rFonts w:hint="cs"/>
          <w:sz w:val="27"/>
          <w:rtl/>
          <w:lang w:bidi="ar-LB"/>
        </w:rPr>
        <w:t>ضح بأدنى مراجع</w:t>
      </w:r>
      <w:r w:rsidR="0055778F" w:rsidRPr="006571AC">
        <w:rPr>
          <w:rFonts w:hint="cs"/>
          <w:sz w:val="27"/>
          <w:rtl/>
          <w:lang w:bidi="ar-LB"/>
        </w:rPr>
        <w:t>ةٍ</w:t>
      </w:r>
      <w:r w:rsidRPr="006571AC">
        <w:rPr>
          <w:rFonts w:hint="cs"/>
          <w:sz w:val="27"/>
          <w:rtl/>
          <w:lang w:bidi="ar-LB"/>
        </w:rPr>
        <w:t xml:space="preserve">. </w:t>
      </w:r>
    </w:p>
    <w:p w:rsidR="001F3F5A" w:rsidRPr="006571AC" w:rsidRDefault="001F3F5A" w:rsidP="00EC789F">
      <w:pPr>
        <w:tabs>
          <w:tab w:val="right" w:pos="6930"/>
        </w:tabs>
        <w:suppressAutoHyphens/>
        <w:rPr>
          <w:sz w:val="27"/>
          <w:rtl/>
          <w:lang w:bidi="ar-LB"/>
        </w:rPr>
      </w:pPr>
      <w:r w:rsidRPr="006571AC">
        <w:rPr>
          <w:rFonts w:hint="cs"/>
          <w:b/>
          <w:bCs/>
          <w:sz w:val="27"/>
          <w:rtl/>
          <w:lang w:bidi="ar-LB"/>
        </w:rPr>
        <w:t>وثانياً</w:t>
      </w:r>
      <w:r w:rsidRPr="006571AC">
        <w:rPr>
          <w:rFonts w:hint="cs"/>
          <w:sz w:val="27"/>
          <w:rtl/>
          <w:lang w:bidi="ar-LB"/>
        </w:rPr>
        <w:t>: لو س</w:t>
      </w:r>
      <w:r w:rsidR="0055778F" w:rsidRPr="006571AC">
        <w:rPr>
          <w:rFonts w:hint="cs"/>
          <w:sz w:val="27"/>
          <w:rtl/>
          <w:lang w:bidi="ar-LB"/>
        </w:rPr>
        <w:t>ُ</w:t>
      </w:r>
      <w:r w:rsidRPr="006571AC">
        <w:rPr>
          <w:rFonts w:hint="cs"/>
          <w:sz w:val="27"/>
          <w:rtl/>
          <w:lang w:bidi="ar-LB"/>
        </w:rPr>
        <w:t>لّ</w:t>
      </w:r>
      <w:r w:rsidR="0055778F" w:rsidRPr="006571AC">
        <w:rPr>
          <w:rFonts w:hint="cs"/>
          <w:sz w:val="27"/>
          <w:rtl/>
          <w:lang w:bidi="ar-LB"/>
        </w:rPr>
        <w:t>ِ</w:t>
      </w:r>
      <w:r w:rsidRPr="006571AC">
        <w:rPr>
          <w:rFonts w:hint="cs"/>
          <w:sz w:val="27"/>
          <w:rtl/>
          <w:lang w:bidi="ar-LB"/>
        </w:rPr>
        <w:t>م أنّ القياس كان مستعملاً في الأحكام وغيرها كفى ذلك لإثبات المطلوب أيضاً؛ لأنّه لا مجال للتشكيك في أنّ القياس كان يستعمل في الأحكام، ولو في الجملة، فيجب أن تدلّ هذه الروايات على عدم خلوّ الواقعة من الحكم الشرعي</w:t>
      </w:r>
      <w:r w:rsidR="0055778F" w:rsidRPr="006571AC">
        <w:rPr>
          <w:rFonts w:hint="cs"/>
          <w:sz w:val="27"/>
          <w:rtl/>
          <w:lang w:bidi="ar-LB"/>
        </w:rPr>
        <w:t>ّ</w:t>
      </w:r>
      <w:r w:rsidRPr="006571AC">
        <w:rPr>
          <w:rFonts w:hint="cs"/>
          <w:sz w:val="27"/>
          <w:rtl/>
          <w:lang w:bidi="ar-LB"/>
        </w:rPr>
        <w:t xml:space="preserve"> في الأقل</w:t>
      </w:r>
      <w:r w:rsidR="0055778F" w:rsidRPr="006571AC">
        <w:rPr>
          <w:rFonts w:hint="cs"/>
          <w:sz w:val="27"/>
          <w:rtl/>
          <w:lang w:bidi="ar-LB"/>
        </w:rPr>
        <w:t>ّ</w:t>
      </w:r>
      <w:r w:rsidRPr="006571AC">
        <w:rPr>
          <w:rFonts w:hint="cs"/>
          <w:sz w:val="27"/>
          <w:rtl/>
          <w:lang w:bidi="ar-LB"/>
        </w:rPr>
        <w:t xml:space="preserve">، وإلاّ لم يصلح هذا التعليل، أعني </w:t>
      </w:r>
      <w:r w:rsidRPr="006571AC">
        <w:rPr>
          <w:rFonts w:hint="eastAsia"/>
          <w:sz w:val="24"/>
          <w:szCs w:val="24"/>
          <w:rtl/>
          <w:lang w:bidi="ar-LB"/>
        </w:rPr>
        <w:t>«</w:t>
      </w:r>
      <w:r w:rsidRPr="006571AC">
        <w:rPr>
          <w:rFonts w:hint="cs"/>
          <w:sz w:val="27"/>
          <w:rtl/>
          <w:lang w:bidi="ar-LB"/>
        </w:rPr>
        <w:t>ما من شيء</w:t>
      </w:r>
      <w:r w:rsidR="0055778F" w:rsidRPr="006571AC">
        <w:rPr>
          <w:rFonts w:hint="cs"/>
          <w:sz w:val="27"/>
          <w:rtl/>
          <w:lang w:bidi="ar-LB"/>
        </w:rPr>
        <w:t>ٍ</w:t>
      </w:r>
      <w:r w:rsidRPr="006571AC">
        <w:rPr>
          <w:rFonts w:hint="cs"/>
          <w:sz w:val="27"/>
          <w:rtl/>
          <w:lang w:bidi="ar-LB"/>
        </w:rPr>
        <w:t xml:space="preserve"> إلاّ و...</w:t>
      </w:r>
      <w:r w:rsidRPr="006571AC">
        <w:rPr>
          <w:rFonts w:hint="eastAsia"/>
          <w:sz w:val="24"/>
          <w:szCs w:val="24"/>
          <w:rtl/>
        </w:rPr>
        <w:t>»</w:t>
      </w:r>
      <w:r w:rsidR="00074E4D" w:rsidRPr="006571AC">
        <w:rPr>
          <w:rFonts w:hint="cs"/>
          <w:sz w:val="27"/>
          <w:rtl/>
          <w:lang w:bidi="ar-LB"/>
        </w:rPr>
        <w:t>،</w:t>
      </w:r>
      <w:r w:rsidRPr="006571AC">
        <w:rPr>
          <w:rFonts w:hint="cs"/>
          <w:sz w:val="27"/>
          <w:rtl/>
          <w:lang w:bidi="ar-LB"/>
        </w:rPr>
        <w:t xml:space="preserve"> للردع عن القياس في الأحكام</w:t>
      </w:r>
      <w:r w:rsidR="00074E4D" w:rsidRPr="006571AC">
        <w:rPr>
          <w:rFonts w:hint="cs"/>
          <w:sz w:val="27"/>
          <w:rtl/>
          <w:lang w:bidi="ar-LB"/>
        </w:rPr>
        <w:t xml:space="preserve">، </w:t>
      </w:r>
      <w:r w:rsidRPr="006571AC">
        <w:rPr>
          <w:rFonts w:hint="cs"/>
          <w:sz w:val="27"/>
          <w:rtl/>
          <w:lang w:bidi="ar-LB"/>
        </w:rPr>
        <w:t>كما ورد في بعض الأخبار</w:t>
      </w:r>
      <w:r w:rsidR="00074E4D" w:rsidRPr="006571AC">
        <w:rPr>
          <w:rFonts w:hint="cs"/>
          <w:sz w:val="27"/>
          <w:rtl/>
          <w:lang w:bidi="ar-LB"/>
        </w:rPr>
        <w:t>؛</w:t>
      </w:r>
      <w:r w:rsidRPr="006571AC">
        <w:rPr>
          <w:rFonts w:hint="cs"/>
          <w:sz w:val="27"/>
          <w:rtl/>
          <w:lang w:bidi="ar-LB"/>
        </w:rPr>
        <w:t xml:space="preserve"> لنفس ما عرف</w:t>
      </w:r>
      <w:r w:rsidR="00074E4D" w:rsidRPr="006571AC">
        <w:rPr>
          <w:rFonts w:hint="cs"/>
          <w:sz w:val="27"/>
          <w:rtl/>
          <w:lang w:bidi="ar-LB"/>
        </w:rPr>
        <w:t>ْ</w:t>
      </w:r>
      <w:r w:rsidRPr="006571AC">
        <w:rPr>
          <w:rFonts w:hint="cs"/>
          <w:sz w:val="27"/>
          <w:rtl/>
          <w:lang w:bidi="ar-LB"/>
        </w:rPr>
        <w:t>ت</w:t>
      </w:r>
      <w:r w:rsidR="00074E4D" w:rsidRPr="006571AC">
        <w:rPr>
          <w:rFonts w:hint="cs"/>
          <w:sz w:val="27"/>
          <w:rtl/>
          <w:lang w:bidi="ar-LB"/>
        </w:rPr>
        <w:t>َ</w:t>
      </w:r>
      <w:r w:rsidRPr="006571AC">
        <w:rPr>
          <w:rFonts w:hint="cs"/>
          <w:sz w:val="27"/>
          <w:rtl/>
          <w:lang w:bidi="ar-LB"/>
        </w:rPr>
        <w:t xml:space="preserve"> من النكتة. </w:t>
      </w:r>
    </w:p>
    <w:p w:rsidR="001F3F5A" w:rsidRPr="006571AC" w:rsidRDefault="001F3F5A" w:rsidP="00EC789F">
      <w:pPr>
        <w:tabs>
          <w:tab w:val="right" w:pos="6930"/>
        </w:tabs>
        <w:suppressAutoHyphens/>
        <w:rPr>
          <w:sz w:val="27"/>
          <w:rtl/>
          <w:lang w:bidi="ar-LB"/>
        </w:rPr>
      </w:pPr>
      <w:r w:rsidRPr="006571AC">
        <w:rPr>
          <w:rFonts w:hint="cs"/>
          <w:b/>
          <w:bCs/>
          <w:sz w:val="27"/>
          <w:rtl/>
          <w:lang w:bidi="ar-LB"/>
        </w:rPr>
        <w:t>الرواية الخامسة</w:t>
      </w:r>
      <w:r w:rsidRPr="006571AC">
        <w:rPr>
          <w:rFonts w:hint="cs"/>
          <w:sz w:val="27"/>
          <w:rtl/>
          <w:lang w:bidi="ar-LB"/>
        </w:rPr>
        <w:t>: فقرة</w:t>
      </w:r>
      <w:r w:rsidR="00074E4D" w:rsidRPr="006571AC">
        <w:rPr>
          <w:rFonts w:hint="cs"/>
          <w:sz w:val="27"/>
          <w:rtl/>
          <w:lang w:bidi="ar-LB"/>
        </w:rPr>
        <w:t>ٌ</w:t>
      </w:r>
      <w:r w:rsidRPr="006571AC">
        <w:rPr>
          <w:rFonts w:hint="cs"/>
          <w:sz w:val="27"/>
          <w:rtl/>
          <w:lang w:bidi="ar-LB"/>
        </w:rPr>
        <w:t xml:space="preserve"> من خطبة النبيّ</w:t>
      </w:r>
      <w:r w:rsidR="00074E4D" w:rsidRPr="006571AC">
        <w:rPr>
          <w:rFonts w:ascii="Mosawi" w:hAnsi="Mosawi" w:cs="Mosawi"/>
          <w:sz w:val="22"/>
          <w:szCs w:val="22"/>
          <w:rtl/>
        </w:rPr>
        <w:t>|</w:t>
      </w:r>
      <w:r w:rsidRPr="006571AC">
        <w:rPr>
          <w:rFonts w:hint="cs"/>
          <w:sz w:val="27"/>
          <w:rtl/>
          <w:lang w:bidi="ar-LB"/>
        </w:rPr>
        <w:t xml:space="preserve"> في حجّة الوداع</w:t>
      </w:r>
      <w:r w:rsidR="00074E4D" w:rsidRPr="006571AC">
        <w:rPr>
          <w:rFonts w:hint="cs"/>
          <w:sz w:val="27"/>
          <w:rtl/>
          <w:lang w:bidi="ar-LB"/>
        </w:rPr>
        <w:t>، وقد</w:t>
      </w:r>
      <w:r w:rsidRPr="006571AC">
        <w:rPr>
          <w:rFonts w:hint="cs"/>
          <w:sz w:val="27"/>
          <w:rtl/>
          <w:lang w:bidi="ar-LB"/>
        </w:rPr>
        <w:t xml:space="preserve"> رواها الكليني</w:t>
      </w:r>
      <w:r w:rsidR="00EC789F" w:rsidRPr="006571AC">
        <w:rPr>
          <w:rFonts w:hint="cs"/>
          <w:sz w:val="27"/>
          <w:rtl/>
          <w:lang w:bidi="ar-LB"/>
        </w:rPr>
        <w:t>،</w:t>
      </w:r>
      <w:r w:rsidRPr="006571AC">
        <w:rPr>
          <w:rFonts w:hint="cs"/>
          <w:sz w:val="27"/>
          <w:rtl/>
          <w:lang w:bidi="ar-LB"/>
        </w:rPr>
        <w:t xml:space="preserve"> عن عدّة</w:t>
      </w:r>
      <w:r w:rsidR="00074E4D" w:rsidRPr="006571AC">
        <w:rPr>
          <w:rFonts w:hint="cs"/>
          <w:sz w:val="27"/>
          <w:rtl/>
          <w:lang w:bidi="ar-LB"/>
        </w:rPr>
        <w:t>ٍ</w:t>
      </w:r>
      <w:r w:rsidRPr="006571AC">
        <w:rPr>
          <w:rFonts w:hint="cs"/>
          <w:sz w:val="27"/>
          <w:rtl/>
          <w:lang w:bidi="ar-LB"/>
        </w:rPr>
        <w:t xml:space="preserve"> من أصحابنا</w:t>
      </w:r>
      <w:r w:rsidR="00074E4D" w:rsidRPr="006571AC">
        <w:rPr>
          <w:rFonts w:hint="cs"/>
          <w:sz w:val="27"/>
          <w:rtl/>
          <w:lang w:bidi="ar-LB"/>
        </w:rPr>
        <w:t>،</w:t>
      </w:r>
      <w:r w:rsidRPr="006571AC">
        <w:rPr>
          <w:rFonts w:hint="cs"/>
          <w:sz w:val="27"/>
          <w:rtl/>
          <w:lang w:bidi="ar-LB"/>
        </w:rPr>
        <w:t xml:space="preserve"> عن أحمد بن محمد</w:t>
      </w:r>
      <w:r w:rsidR="00074E4D" w:rsidRPr="006571AC">
        <w:rPr>
          <w:rFonts w:hint="cs"/>
          <w:sz w:val="27"/>
          <w:rtl/>
          <w:lang w:bidi="ar-LB"/>
        </w:rPr>
        <w:t>،</w:t>
      </w:r>
      <w:r w:rsidRPr="006571AC">
        <w:rPr>
          <w:rFonts w:hint="cs"/>
          <w:sz w:val="27"/>
          <w:rtl/>
          <w:lang w:bidi="ar-LB"/>
        </w:rPr>
        <w:t xml:space="preserve"> عن ابن فض</w:t>
      </w:r>
      <w:r w:rsidR="00074E4D" w:rsidRPr="006571AC">
        <w:rPr>
          <w:rFonts w:hint="cs"/>
          <w:sz w:val="27"/>
          <w:rtl/>
          <w:lang w:bidi="ar-LB"/>
        </w:rPr>
        <w:t>ّ</w:t>
      </w:r>
      <w:r w:rsidRPr="006571AC">
        <w:rPr>
          <w:rFonts w:hint="cs"/>
          <w:sz w:val="27"/>
          <w:rtl/>
          <w:lang w:bidi="ar-LB"/>
        </w:rPr>
        <w:t>ال</w:t>
      </w:r>
      <w:r w:rsidR="00074E4D" w:rsidRPr="006571AC">
        <w:rPr>
          <w:rFonts w:hint="cs"/>
          <w:sz w:val="27"/>
          <w:rtl/>
          <w:lang w:bidi="ar-LB"/>
        </w:rPr>
        <w:t>،</w:t>
      </w:r>
      <w:r w:rsidRPr="006571AC">
        <w:rPr>
          <w:rFonts w:hint="cs"/>
          <w:sz w:val="27"/>
          <w:rtl/>
          <w:lang w:bidi="ar-LB"/>
        </w:rPr>
        <w:t xml:space="preserve"> عن عاصم بن حُم</w:t>
      </w:r>
      <w:r w:rsidR="00074E4D" w:rsidRPr="006571AC">
        <w:rPr>
          <w:rFonts w:hint="cs"/>
          <w:sz w:val="27"/>
          <w:rtl/>
          <w:lang w:bidi="ar-LB"/>
        </w:rPr>
        <w:t>َ</w:t>
      </w:r>
      <w:r w:rsidRPr="006571AC">
        <w:rPr>
          <w:rFonts w:hint="cs"/>
          <w:sz w:val="27"/>
          <w:rtl/>
          <w:lang w:bidi="ar-LB"/>
        </w:rPr>
        <w:t>ي</w:t>
      </w:r>
      <w:r w:rsidR="00074E4D" w:rsidRPr="006571AC">
        <w:rPr>
          <w:rFonts w:hint="cs"/>
          <w:sz w:val="27"/>
          <w:rtl/>
          <w:lang w:bidi="ar-LB"/>
        </w:rPr>
        <w:t>ْ</w:t>
      </w:r>
      <w:r w:rsidRPr="006571AC">
        <w:rPr>
          <w:rFonts w:hint="cs"/>
          <w:sz w:val="27"/>
          <w:rtl/>
          <w:lang w:bidi="ar-LB"/>
        </w:rPr>
        <w:t>د</w:t>
      </w:r>
      <w:r w:rsidR="00074E4D" w:rsidRPr="006571AC">
        <w:rPr>
          <w:rFonts w:hint="cs"/>
          <w:sz w:val="27"/>
          <w:rtl/>
          <w:lang w:bidi="ar-LB"/>
        </w:rPr>
        <w:t>،</w:t>
      </w:r>
      <w:r w:rsidRPr="006571AC">
        <w:rPr>
          <w:rFonts w:hint="cs"/>
          <w:sz w:val="27"/>
          <w:rtl/>
          <w:lang w:bidi="ar-LB"/>
        </w:rPr>
        <w:t xml:space="preserve"> عن أبي حمزة الثمالي</w:t>
      </w:r>
      <w:r w:rsidR="00074E4D" w:rsidRPr="006571AC">
        <w:rPr>
          <w:rFonts w:hint="cs"/>
          <w:sz w:val="27"/>
          <w:rtl/>
          <w:lang w:bidi="ar-LB"/>
        </w:rPr>
        <w:t>،</w:t>
      </w:r>
      <w:r w:rsidRPr="006571AC">
        <w:rPr>
          <w:rFonts w:hint="cs"/>
          <w:sz w:val="27"/>
          <w:rtl/>
          <w:lang w:bidi="ar-LB"/>
        </w:rPr>
        <w:t xml:space="preserve"> عن أبي جعفر</w:t>
      </w:r>
      <w:r w:rsidR="002A2C90" w:rsidRPr="006571AC">
        <w:rPr>
          <w:rFonts w:ascii="Mosawi" w:hAnsi="Mosawi" w:cs="Mosawi"/>
          <w:sz w:val="22"/>
          <w:szCs w:val="22"/>
          <w:rtl/>
        </w:rPr>
        <w:t>×</w:t>
      </w:r>
      <w:r w:rsidRPr="006571AC">
        <w:rPr>
          <w:rFonts w:hint="cs"/>
          <w:sz w:val="27"/>
          <w:rtl/>
          <w:lang w:bidi="ar-LB"/>
        </w:rPr>
        <w:t xml:space="preserve"> قال: </w:t>
      </w:r>
      <w:r w:rsidRPr="006571AC">
        <w:rPr>
          <w:rFonts w:hint="eastAsia"/>
          <w:sz w:val="24"/>
          <w:szCs w:val="24"/>
          <w:rtl/>
          <w:lang w:bidi="ar-LB"/>
        </w:rPr>
        <w:t>«</w:t>
      </w:r>
      <w:r w:rsidRPr="006571AC">
        <w:rPr>
          <w:rFonts w:hint="cs"/>
          <w:sz w:val="27"/>
          <w:rtl/>
          <w:lang w:bidi="ar-LB"/>
        </w:rPr>
        <w:t>خطب رسول الله</w:t>
      </w:r>
      <w:r w:rsidR="004459D6" w:rsidRPr="006571AC">
        <w:rPr>
          <w:rFonts w:ascii="Mosawi" w:hAnsi="Mosawi" w:cs="Mosawi"/>
          <w:sz w:val="22"/>
          <w:szCs w:val="22"/>
          <w:rtl/>
        </w:rPr>
        <w:t>ﷺ</w:t>
      </w:r>
      <w:r w:rsidRPr="006571AC">
        <w:rPr>
          <w:rFonts w:hint="cs"/>
          <w:sz w:val="27"/>
          <w:rtl/>
          <w:lang w:bidi="ar-LB"/>
        </w:rPr>
        <w:t xml:space="preserve"> في حج</w:t>
      </w:r>
      <w:r w:rsidR="00074E4D" w:rsidRPr="006571AC">
        <w:rPr>
          <w:rFonts w:hint="cs"/>
          <w:sz w:val="27"/>
          <w:rtl/>
          <w:lang w:bidi="ar-LB"/>
        </w:rPr>
        <w:t>ّ</w:t>
      </w:r>
      <w:r w:rsidRPr="006571AC">
        <w:rPr>
          <w:rFonts w:hint="cs"/>
          <w:sz w:val="27"/>
          <w:rtl/>
          <w:lang w:bidi="ar-LB"/>
        </w:rPr>
        <w:t>ة الوداع فقال: أي</w:t>
      </w:r>
      <w:r w:rsidR="00074E4D" w:rsidRPr="006571AC">
        <w:rPr>
          <w:rFonts w:hint="cs"/>
          <w:sz w:val="27"/>
          <w:rtl/>
          <w:lang w:bidi="ar-LB"/>
        </w:rPr>
        <w:t>ّ</w:t>
      </w:r>
      <w:r w:rsidRPr="006571AC">
        <w:rPr>
          <w:rFonts w:hint="cs"/>
          <w:sz w:val="27"/>
          <w:rtl/>
          <w:lang w:bidi="ar-LB"/>
        </w:rPr>
        <w:t>ها الناس</w:t>
      </w:r>
      <w:r w:rsidR="00074E4D" w:rsidRPr="006571AC">
        <w:rPr>
          <w:rFonts w:hint="cs"/>
          <w:sz w:val="27"/>
          <w:rtl/>
          <w:lang w:bidi="ar-LB"/>
        </w:rPr>
        <w:t>،</w:t>
      </w:r>
      <w:r w:rsidRPr="006571AC">
        <w:rPr>
          <w:rFonts w:hint="cs"/>
          <w:sz w:val="27"/>
          <w:rtl/>
          <w:lang w:bidi="ar-LB"/>
        </w:rPr>
        <w:t xml:space="preserve"> والله</w:t>
      </w:r>
      <w:r w:rsidR="00074E4D" w:rsidRPr="006571AC">
        <w:rPr>
          <w:rFonts w:hint="cs"/>
          <w:sz w:val="27"/>
          <w:rtl/>
          <w:lang w:bidi="ar-LB"/>
        </w:rPr>
        <w:t>ِ،</w:t>
      </w:r>
      <w:r w:rsidRPr="006571AC">
        <w:rPr>
          <w:rFonts w:hint="cs"/>
          <w:sz w:val="27"/>
          <w:rtl/>
          <w:lang w:bidi="ar-LB"/>
        </w:rPr>
        <w:t xml:space="preserve"> ما من شيء</w:t>
      </w:r>
      <w:r w:rsidR="00074E4D" w:rsidRPr="006571AC">
        <w:rPr>
          <w:rFonts w:hint="cs"/>
          <w:sz w:val="27"/>
          <w:rtl/>
          <w:lang w:bidi="ar-LB"/>
        </w:rPr>
        <w:t xml:space="preserve">ٍ </w:t>
      </w:r>
      <w:r w:rsidRPr="006571AC">
        <w:rPr>
          <w:rFonts w:hint="cs"/>
          <w:sz w:val="27"/>
          <w:rtl/>
          <w:lang w:bidi="ar-LB"/>
        </w:rPr>
        <w:t>يقرّ</w:t>
      </w:r>
      <w:r w:rsidR="00074E4D" w:rsidRPr="006571AC">
        <w:rPr>
          <w:rFonts w:hint="cs"/>
          <w:sz w:val="27"/>
          <w:rtl/>
          <w:lang w:bidi="ar-LB"/>
        </w:rPr>
        <w:t>ِ</w:t>
      </w:r>
      <w:r w:rsidRPr="006571AC">
        <w:rPr>
          <w:rFonts w:hint="cs"/>
          <w:sz w:val="27"/>
          <w:rtl/>
          <w:lang w:bidi="ar-LB"/>
        </w:rPr>
        <w:t>بكم من الجن</w:t>
      </w:r>
      <w:r w:rsidR="00074E4D" w:rsidRPr="006571AC">
        <w:rPr>
          <w:rFonts w:hint="cs"/>
          <w:sz w:val="27"/>
          <w:rtl/>
          <w:lang w:bidi="ar-LB"/>
        </w:rPr>
        <w:t>ّ</w:t>
      </w:r>
      <w:r w:rsidRPr="006571AC">
        <w:rPr>
          <w:rFonts w:hint="cs"/>
          <w:sz w:val="27"/>
          <w:rtl/>
          <w:lang w:bidi="ar-LB"/>
        </w:rPr>
        <w:t xml:space="preserve">ة ويباعدكم من النار إلاّ وقد </w:t>
      </w:r>
      <w:r w:rsidR="00074E4D" w:rsidRPr="006571AC">
        <w:rPr>
          <w:rFonts w:hint="cs"/>
          <w:sz w:val="27"/>
          <w:rtl/>
          <w:lang w:bidi="ar-LB"/>
        </w:rPr>
        <w:t>أ</w:t>
      </w:r>
      <w:r w:rsidRPr="006571AC">
        <w:rPr>
          <w:rFonts w:hint="cs"/>
          <w:sz w:val="27"/>
          <w:rtl/>
          <w:lang w:bidi="ar-LB"/>
        </w:rPr>
        <w:t>مرت</w:t>
      </w:r>
      <w:r w:rsidR="00074E4D" w:rsidRPr="006571AC">
        <w:rPr>
          <w:rFonts w:hint="cs"/>
          <w:sz w:val="27"/>
          <w:rtl/>
          <w:lang w:bidi="ar-LB"/>
        </w:rPr>
        <w:t>ُ</w:t>
      </w:r>
      <w:r w:rsidRPr="006571AC">
        <w:rPr>
          <w:rFonts w:hint="cs"/>
          <w:sz w:val="27"/>
          <w:rtl/>
          <w:lang w:bidi="ar-LB"/>
        </w:rPr>
        <w:t>كم به</w:t>
      </w:r>
      <w:r w:rsidR="00074E4D" w:rsidRPr="006571AC">
        <w:rPr>
          <w:rFonts w:hint="cs"/>
          <w:sz w:val="27"/>
          <w:rtl/>
          <w:lang w:bidi="ar-LB"/>
        </w:rPr>
        <w:t>،</w:t>
      </w:r>
      <w:r w:rsidRPr="006571AC">
        <w:rPr>
          <w:rFonts w:hint="cs"/>
          <w:sz w:val="27"/>
          <w:rtl/>
          <w:lang w:bidi="ar-LB"/>
        </w:rPr>
        <w:t xml:space="preserve"> وما من شيء</w:t>
      </w:r>
      <w:r w:rsidR="00074E4D" w:rsidRPr="006571AC">
        <w:rPr>
          <w:rFonts w:hint="cs"/>
          <w:sz w:val="27"/>
          <w:rtl/>
          <w:lang w:bidi="ar-LB"/>
        </w:rPr>
        <w:t>ٍ</w:t>
      </w:r>
      <w:r w:rsidRPr="006571AC">
        <w:rPr>
          <w:rFonts w:hint="cs"/>
          <w:sz w:val="27"/>
          <w:rtl/>
          <w:lang w:bidi="ar-LB"/>
        </w:rPr>
        <w:t xml:space="preserve"> يقرّبكم من النار ويباعدكم من الجنّة إلاّ وقد نهيت</w:t>
      </w:r>
      <w:r w:rsidR="00074E4D" w:rsidRPr="006571AC">
        <w:rPr>
          <w:rFonts w:hint="cs"/>
          <w:sz w:val="27"/>
          <w:rtl/>
          <w:lang w:bidi="ar-LB"/>
        </w:rPr>
        <w:t>ُ</w:t>
      </w:r>
      <w:r w:rsidRPr="006571AC">
        <w:rPr>
          <w:rFonts w:hint="cs"/>
          <w:sz w:val="27"/>
          <w:rtl/>
          <w:lang w:bidi="ar-LB"/>
        </w:rPr>
        <w:t>كم عنه</w:t>
      </w:r>
      <w:r w:rsidR="00074E4D" w:rsidRPr="006571AC">
        <w:rPr>
          <w:rFonts w:hint="cs"/>
          <w:sz w:val="27"/>
          <w:rtl/>
          <w:lang w:bidi="ar-LB"/>
        </w:rPr>
        <w:t>...</w:t>
      </w:r>
      <w:r w:rsidR="00EC789F" w:rsidRPr="006571AC">
        <w:rPr>
          <w:rFonts w:hint="cs"/>
          <w:sz w:val="27"/>
          <w:rtl/>
          <w:lang w:bidi="ar-LB"/>
        </w:rPr>
        <w:t xml:space="preserve">، </w:t>
      </w:r>
      <w:r w:rsidRPr="006571AC">
        <w:rPr>
          <w:rFonts w:hint="cs"/>
          <w:sz w:val="27"/>
          <w:rtl/>
          <w:lang w:bidi="ar-LB"/>
        </w:rPr>
        <w:t>الحديث</w:t>
      </w:r>
      <w:r w:rsidR="00EC789F" w:rsidRPr="006571AC">
        <w:rPr>
          <w:rFonts w:hint="eastAsia"/>
          <w:sz w:val="24"/>
          <w:szCs w:val="24"/>
          <w:rtl/>
        </w:rPr>
        <w:t>»</w:t>
      </w:r>
      <w:r w:rsidRPr="006571AC">
        <w:rPr>
          <w:rFonts w:hint="cs"/>
          <w:sz w:val="27"/>
          <w:vertAlign w:val="superscript"/>
          <w:rtl/>
        </w:rPr>
        <w:t>(</w:t>
      </w:r>
      <w:r w:rsidRPr="006571AC">
        <w:rPr>
          <w:rStyle w:val="ac"/>
          <w:sz w:val="27"/>
          <w:rtl/>
        </w:rPr>
        <w:endnoteReference w:id="638"/>
      </w:r>
      <w:r w:rsidRPr="006571AC">
        <w:rPr>
          <w:rFonts w:hint="cs"/>
          <w:sz w:val="27"/>
          <w:vertAlign w:val="superscript"/>
          <w:rtl/>
        </w:rPr>
        <w:t>)</w:t>
      </w:r>
      <w:r w:rsidRPr="006571AC">
        <w:rPr>
          <w:rFonts w:hint="cs"/>
          <w:sz w:val="27"/>
          <w:rtl/>
          <w:lang w:bidi="ar-LB"/>
        </w:rPr>
        <w:t>. وقد ذكرها المحدّ</w:t>
      </w:r>
      <w:r w:rsidR="00074E4D" w:rsidRPr="006571AC">
        <w:rPr>
          <w:rFonts w:hint="cs"/>
          <w:sz w:val="27"/>
          <w:rtl/>
          <w:lang w:bidi="ar-LB"/>
        </w:rPr>
        <w:t>ِ</w:t>
      </w:r>
      <w:r w:rsidRPr="006571AC">
        <w:rPr>
          <w:rFonts w:hint="cs"/>
          <w:sz w:val="27"/>
          <w:rtl/>
          <w:lang w:bidi="ar-LB"/>
        </w:rPr>
        <w:t>ث النوري</w:t>
      </w:r>
      <w:r w:rsidR="002A2C90" w:rsidRPr="006571AC">
        <w:rPr>
          <w:rFonts w:ascii="Mosawi" w:hAnsi="Mosawi" w:cs="Mosawi"/>
          <w:sz w:val="22"/>
          <w:szCs w:val="22"/>
          <w:rtl/>
        </w:rPr>
        <w:t>&amp;</w:t>
      </w:r>
      <w:r w:rsidRPr="006571AC">
        <w:rPr>
          <w:sz w:val="27"/>
          <w:rtl/>
          <w:lang w:bidi="ar-LB"/>
        </w:rPr>
        <w:t xml:space="preserve"> </w:t>
      </w:r>
      <w:r w:rsidRPr="006571AC">
        <w:rPr>
          <w:rFonts w:hint="cs"/>
          <w:sz w:val="27"/>
          <w:rtl/>
          <w:lang w:bidi="ar-LB"/>
        </w:rPr>
        <w:t>في المستدرك</w:t>
      </w:r>
      <w:r w:rsidR="00074E4D" w:rsidRPr="006571AC">
        <w:rPr>
          <w:rFonts w:hint="cs"/>
          <w:sz w:val="27"/>
          <w:rtl/>
          <w:lang w:bidi="ar-LB"/>
        </w:rPr>
        <w:t>،</w:t>
      </w:r>
      <w:r w:rsidRPr="006571AC">
        <w:rPr>
          <w:rFonts w:hint="cs"/>
          <w:sz w:val="27"/>
          <w:rtl/>
          <w:lang w:bidi="ar-LB"/>
        </w:rPr>
        <w:t xml:space="preserve"> نقلاً عن كتاب عاصم بن حُم</w:t>
      </w:r>
      <w:r w:rsidR="00074E4D" w:rsidRPr="006571AC">
        <w:rPr>
          <w:rFonts w:hint="cs"/>
          <w:sz w:val="27"/>
          <w:rtl/>
          <w:lang w:bidi="ar-LB"/>
        </w:rPr>
        <w:t>َ</w:t>
      </w:r>
      <w:r w:rsidRPr="006571AC">
        <w:rPr>
          <w:rFonts w:hint="cs"/>
          <w:sz w:val="27"/>
          <w:rtl/>
          <w:lang w:bidi="ar-LB"/>
        </w:rPr>
        <w:t>ي</w:t>
      </w:r>
      <w:r w:rsidR="00074E4D" w:rsidRPr="006571AC">
        <w:rPr>
          <w:rFonts w:hint="cs"/>
          <w:sz w:val="27"/>
          <w:rtl/>
          <w:lang w:bidi="ar-LB"/>
        </w:rPr>
        <w:t>ْ</w:t>
      </w:r>
      <w:r w:rsidRPr="006571AC">
        <w:rPr>
          <w:rFonts w:hint="cs"/>
          <w:sz w:val="27"/>
          <w:rtl/>
          <w:lang w:bidi="ar-LB"/>
        </w:rPr>
        <w:t>د</w:t>
      </w:r>
      <w:r w:rsidR="00074E4D" w:rsidRPr="006571AC">
        <w:rPr>
          <w:rFonts w:hint="cs"/>
          <w:sz w:val="27"/>
          <w:rtl/>
          <w:lang w:bidi="ar-LB"/>
        </w:rPr>
        <w:t>،</w:t>
      </w:r>
      <w:r w:rsidRPr="006571AC">
        <w:rPr>
          <w:rFonts w:hint="cs"/>
          <w:sz w:val="27"/>
          <w:rtl/>
          <w:lang w:bidi="ar-LB"/>
        </w:rPr>
        <w:t xml:space="preserve"> عن أبي حمزة</w:t>
      </w:r>
      <w:r w:rsidR="00074E4D" w:rsidRPr="006571AC">
        <w:rPr>
          <w:rFonts w:hint="cs"/>
          <w:sz w:val="27"/>
          <w:rtl/>
          <w:lang w:bidi="ar-LB"/>
        </w:rPr>
        <w:t>،</w:t>
      </w:r>
      <w:r w:rsidRPr="006571AC">
        <w:rPr>
          <w:rFonts w:hint="cs"/>
          <w:sz w:val="27"/>
          <w:rtl/>
          <w:lang w:bidi="ar-LB"/>
        </w:rPr>
        <w:t xml:space="preserve"> مثله</w:t>
      </w:r>
      <w:r w:rsidRPr="006571AC">
        <w:rPr>
          <w:rFonts w:hint="cs"/>
          <w:sz w:val="27"/>
          <w:vertAlign w:val="superscript"/>
          <w:rtl/>
        </w:rPr>
        <w:t>(</w:t>
      </w:r>
      <w:r w:rsidRPr="006571AC">
        <w:rPr>
          <w:rStyle w:val="ac"/>
          <w:sz w:val="27"/>
          <w:rtl/>
        </w:rPr>
        <w:endnoteReference w:id="639"/>
      </w:r>
      <w:r w:rsidRPr="006571AC">
        <w:rPr>
          <w:rFonts w:hint="cs"/>
          <w:sz w:val="27"/>
          <w:vertAlign w:val="superscript"/>
          <w:rtl/>
        </w:rPr>
        <w:t>)</w:t>
      </w:r>
      <w:r w:rsidRPr="006571AC">
        <w:rPr>
          <w:rFonts w:hint="cs"/>
          <w:sz w:val="27"/>
          <w:rtl/>
          <w:lang w:bidi="ar-LB"/>
        </w:rPr>
        <w:t xml:space="preserve">. </w:t>
      </w:r>
    </w:p>
    <w:p w:rsidR="001F3F5A" w:rsidRPr="006571AC" w:rsidRDefault="001F3F5A" w:rsidP="00EC789F">
      <w:pPr>
        <w:tabs>
          <w:tab w:val="right" w:pos="6930"/>
        </w:tabs>
        <w:suppressAutoHyphens/>
        <w:rPr>
          <w:sz w:val="27"/>
          <w:rtl/>
          <w:lang w:bidi="ar-LB"/>
        </w:rPr>
      </w:pPr>
      <w:r w:rsidRPr="006571AC">
        <w:rPr>
          <w:rFonts w:hint="cs"/>
          <w:sz w:val="27"/>
          <w:rtl/>
          <w:lang w:bidi="ar-LB"/>
        </w:rPr>
        <w:t xml:space="preserve">وتقريب الاستدلال </w:t>
      </w:r>
      <w:r w:rsidR="00074E4D" w:rsidRPr="006571AC">
        <w:rPr>
          <w:rFonts w:hint="cs"/>
          <w:sz w:val="27"/>
          <w:rtl/>
          <w:lang w:bidi="ar-LB"/>
        </w:rPr>
        <w:t>أنّ الظاهر أنّ</w:t>
      </w:r>
      <w:r w:rsidRPr="006571AC">
        <w:rPr>
          <w:rFonts w:hint="cs"/>
          <w:sz w:val="27"/>
          <w:rtl/>
          <w:lang w:bidi="ar-LB"/>
        </w:rPr>
        <w:t xml:space="preserve"> المراد بما يقرّ</w:t>
      </w:r>
      <w:r w:rsidR="00074E4D" w:rsidRPr="006571AC">
        <w:rPr>
          <w:rFonts w:hint="cs"/>
          <w:sz w:val="27"/>
          <w:rtl/>
          <w:lang w:bidi="ar-LB"/>
        </w:rPr>
        <w:t>ِ</w:t>
      </w:r>
      <w:r w:rsidRPr="006571AC">
        <w:rPr>
          <w:rFonts w:hint="cs"/>
          <w:sz w:val="27"/>
          <w:rtl/>
          <w:lang w:bidi="ar-LB"/>
        </w:rPr>
        <w:t>ب من الله تعالى وجنّته هو المصالح الكامنة في الأشياء، كما أنّ المراد بما يبع</w:t>
      </w:r>
      <w:r w:rsidR="00074E4D" w:rsidRPr="006571AC">
        <w:rPr>
          <w:rFonts w:hint="cs"/>
          <w:sz w:val="27"/>
          <w:rtl/>
          <w:lang w:bidi="ar-LB"/>
        </w:rPr>
        <w:t>ِّ</w:t>
      </w:r>
      <w:r w:rsidRPr="006571AC">
        <w:rPr>
          <w:rFonts w:hint="cs"/>
          <w:sz w:val="27"/>
          <w:rtl/>
          <w:lang w:bidi="ar-LB"/>
        </w:rPr>
        <w:t>د منها هو المفاسد كذلك، وقد دلّ النبيّ الأعظم</w:t>
      </w:r>
      <w:r w:rsidR="00EC789F" w:rsidRPr="006571AC">
        <w:rPr>
          <w:rFonts w:ascii="Mosawi" w:hAnsi="Mosawi" w:cs="Mosawi"/>
          <w:sz w:val="22"/>
          <w:szCs w:val="22"/>
          <w:rtl/>
        </w:rPr>
        <w:t>|</w:t>
      </w:r>
      <w:r w:rsidRPr="006571AC">
        <w:rPr>
          <w:rFonts w:hint="cs"/>
          <w:sz w:val="27"/>
          <w:rtl/>
          <w:lang w:bidi="ar-LB"/>
        </w:rPr>
        <w:t xml:space="preserve"> على كلّ ذلك بالأمر والنهي، وهذا يعني أنّه ما من واقعة</w:t>
      </w:r>
      <w:r w:rsidR="00074E4D" w:rsidRPr="006571AC">
        <w:rPr>
          <w:rFonts w:hint="cs"/>
          <w:sz w:val="27"/>
          <w:rtl/>
          <w:lang w:bidi="ar-LB"/>
        </w:rPr>
        <w:t>ٍ</w:t>
      </w:r>
      <w:r w:rsidRPr="006571AC">
        <w:rPr>
          <w:rFonts w:hint="cs"/>
          <w:sz w:val="27"/>
          <w:rtl/>
          <w:lang w:bidi="ar-LB"/>
        </w:rPr>
        <w:t xml:space="preserve"> فيها مصلحة</w:t>
      </w:r>
      <w:r w:rsidR="00F21B98" w:rsidRPr="006571AC">
        <w:rPr>
          <w:rFonts w:hint="cs"/>
          <w:sz w:val="27"/>
          <w:rtl/>
          <w:lang w:bidi="ar-LB"/>
        </w:rPr>
        <w:t>ٌ</w:t>
      </w:r>
      <w:r w:rsidRPr="006571AC">
        <w:rPr>
          <w:rFonts w:hint="cs"/>
          <w:sz w:val="27"/>
          <w:rtl/>
          <w:lang w:bidi="ar-LB"/>
        </w:rPr>
        <w:t xml:space="preserve"> أو مفسدة</w:t>
      </w:r>
      <w:r w:rsidR="00F21B98" w:rsidRPr="006571AC">
        <w:rPr>
          <w:rFonts w:hint="cs"/>
          <w:sz w:val="27"/>
          <w:rtl/>
          <w:lang w:bidi="ar-LB"/>
        </w:rPr>
        <w:t>ٌ</w:t>
      </w:r>
      <w:r w:rsidRPr="006571AC">
        <w:rPr>
          <w:rFonts w:hint="cs"/>
          <w:sz w:val="27"/>
          <w:rtl/>
          <w:lang w:bidi="ar-LB"/>
        </w:rPr>
        <w:t xml:space="preserve"> إلاّ وقد أمر الله تعالى بها أو نهى عنها، وحيث </w:t>
      </w:r>
      <w:r w:rsidR="00F21B98" w:rsidRPr="006571AC">
        <w:rPr>
          <w:rFonts w:hint="cs"/>
          <w:sz w:val="27"/>
          <w:rtl/>
          <w:lang w:bidi="ar-LB"/>
        </w:rPr>
        <w:t>إنن</w:t>
      </w:r>
      <w:r w:rsidRPr="006571AC">
        <w:rPr>
          <w:rFonts w:hint="cs"/>
          <w:sz w:val="27"/>
          <w:rtl/>
          <w:lang w:bidi="ar-LB"/>
        </w:rPr>
        <w:t>ا قد أثب</w:t>
      </w:r>
      <w:r w:rsidR="00F21B98" w:rsidRPr="006571AC">
        <w:rPr>
          <w:rFonts w:hint="cs"/>
          <w:sz w:val="27"/>
          <w:rtl/>
          <w:lang w:bidi="ar-LB"/>
        </w:rPr>
        <w:t>َ</w:t>
      </w:r>
      <w:r w:rsidRPr="006571AC">
        <w:rPr>
          <w:rFonts w:hint="cs"/>
          <w:sz w:val="27"/>
          <w:rtl/>
          <w:lang w:bidi="ar-LB"/>
        </w:rPr>
        <w:t>ت</w:t>
      </w:r>
      <w:r w:rsidR="00F21B98" w:rsidRPr="006571AC">
        <w:rPr>
          <w:rFonts w:hint="cs"/>
          <w:sz w:val="27"/>
          <w:rtl/>
          <w:lang w:bidi="ar-LB"/>
        </w:rPr>
        <w:t>ْ</w:t>
      </w:r>
      <w:r w:rsidRPr="006571AC">
        <w:rPr>
          <w:rFonts w:hint="cs"/>
          <w:sz w:val="27"/>
          <w:rtl/>
          <w:lang w:bidi="ar-LB"/>
        </w:rPr>
        <w:t>نا عدم خلوّ الوقائع من المصالح والمفاسد</w:t>
      </w:r>
      <w:r w:rsidR="00F21B98" w:rsidRPr="006571AC">
        <w:rPr>
          <w:rFonts w:hint="cs"/>
          <w:sz w:val="27"/>
          <w:rtl/>
          <w:lang w:bidi="ar-LB"/>
        </w:rPr>
        <w:t>،</w:t>
      </w:r>
      <w:r w:rsidRPr="006571AC">
        <w:rPr>
          <w:rFonts w:hint="cs"/>
          <w:sz w:val="27"/>
          <w:rtl/>
          <w:lang w:bidi="ar-LB"/>
        </w:rPr>
        <w:t xml:space="preserve"> بناء</w:t>
      </w:r>
      <w:r w:rsidR="00F21B98" w:rsidRPr="006571AC">
        <w:rPr>
          <w:rFonts w:hint="cs"/>
          <w:sz w:val="27"/>
          <w:rtl/>
          <w:lang w:bidi="ar-LB"/>
        </w:rPr>
        <w:t>ً</w:t>
      </w:r>
      <w:r w:rsidRPr="006571AC">
        <w:rPr>
          <w:rFonts w:hint="cs"/>
          <w:sz w:val="27"/>
          <w:rtl/>
          <w:lang w:bidi="ar-LB"/>
        </w:rPr>
        <w:t xml:space="preserve"> على توفّ</w:t>
      </w:r>
      <w:r w:rsidR="00F21B98" w:rsidRPr="006571AC">
        <w:rPr>
          <w:rFonts w:hint="cs"/>
          <w:sz w:val="27"/>
          <w:rtl/>
          <w:lang w:bidi="ar-LB"/>
        </w:rPr>
        <w:t>ُ</w:t>
      </w:r>
      <w:r w:rsidRPr="006571AC">
        <w:rPr>
          <w:rFonts w:hint="cs"/>
          <w:sz w:val="27"/>
          <w:rtl/>
          <w:lang w:bidi="ar-LB"/>
        </w:rPr>
        <w:t>ر مصلحة التسهيل والإضافة العبوديّة في كلّ واقعة</w:t>
      </w:r>
      <w:r w:rsidR="00EF32C6" w:rsidRPr="006571AC">
        <w:rPr>
          <w:rFonts w:hint="cs"/>
          <w:sz w:val="27"/>
          <w:rtl/>
          <w:lang w:bidi="ar-LB"/>
        </w:rPr>
        <w:t>ٍ</w:t>
      </w:r>
      <w:r w:rsidRPr="006571AC">
        <w:rPr>
          <w:rFonts w:hint="cs"/>
          <w:sz w:val="27"/>
          <w:rtl/>
          <w:lang w:bidi="ar-LB"/>
        </w:rPr>
        <w:t xml:space="preserve">، كانت النتيجة عدم خلوّ الوقائع من الأحكام الشرعيّة. </w:t>
      </w:r>
    </w:p>
    <w:p w:rsidR="001F3F5A" w:rsidRPr="006571AC" w:rsidRDefault="001F3F5A" w:rsidP="002A2E03">
      <w:pPr>
        <w:tabs>
          <w:tab w:val="right" w:pos="6930"/>
        </w:tabs>
        <w:suppressAutoHyphens/>
        <w:rPr>
          <w:sz w:val="27"/>
          <w:rtl/>
          <w:lang w:bidi="ar-LB"/>
        </w:rPr>
      </w:pPr>
      <w:r w:rsidRPr="006571AC">
        <w:rPr>
          <w:rFonts w:hint="cs"/>
          <w:sz w:val="27"/>
          <w:rtl/>
          <w:lang w:bidi="ar-LB"/>
        </w:rPr>
        <w:t>ولا يخف</w:t>
      </w:r>
      <w:r w:rsidR="00EF32C6" w:rsidRPr="006571AC">
        <w:rPr>
          <w:rFonts w:hint="cs"/>
          <w:sz w:val="27"/>
          <w:rtl/>
          <w:lang w:bidi="ar-LB"/>
        </w:rPr>
        <w:t>ى</w:t>
      </w:r>
      <w:r w:rsidRPr="006571AC">
        <w:rPr>
          <w:rFonts w:hint="cs"/>
          <w:sz w:val="27"/>
          <w:rtl/>
          <w:lang w:bidi="ar-LB"/>
        </w:rPr>
        <w:t xml:space="preserve"> أنّ الاستدلال بها بهذا التقريب قد يعني</w:t>
      </w:r>
      <w:r w:rsidR="00551E93" w:rsidRPr="006571AC">
        <w:rPr>
          <w:rFonts w:hint="cs"/>
          <w:sz w:val="27"/>
          <w:rtl/>
          <w:lang w:bidi="ar-LB"/>
        </w:rPr>
        <w:t xml:space="preserve"> </w:t>
      </w:r>
      <w:r w:rsidRPr="006571AC">
        <w:rPr>
          <w:rFonts w:hint="cs"/>
          <w:sz w:val="27"/>
          <w:rtl/>
          <w:lang w:bidi="ar-LB"/>
        </w:rPr>
        <w:t xml:space="preserve">أنّ المصالح والمفاسد الواقعيّة </w:t>
      </w:r>
      <w:r w:rsidRPr="006571AC">
        <w:rPr>
          <w:rFonts w:hint="cs"/>
          <w:sz w:val="27"/>
          <w:rtl/>
          <w:lang w:bidi="ar-LB"/>
        </w:rPr>
        <w:lastRenderedPageBreak/>
        <w:t>مقرّ</w:t>
      </w:r>
      <w:r w:rsidR="00EC789F" w:rsidRPr="006571AC">
        <w:rPr>
          <w:rFonts w:hint="cs"/>
          <w:sz w:val="27"/>
          <w:rtl/>
          <w:lang w:bidi="ar-LB"/>
        </w:rPr>
        <w:t>ِ</w:t>
      </w:r>
      <w:r w:rsidRPr="006571AC">
        <w:rPr>
          <w:rFonts w:hint="cs"/>
          <w:sz w:val="27"/>
          <w:rtl/>
          <w:lang w:bidi="ar-LB"/>
        </w:rPr>
        <w:t>بة</w:t>
      </w:r>
      <w:r w:rsidR="00551E93" w:rsidRPr="006571AC">
        <w:rPr>
          <w:rFonts w:hint="cs"/>
          <w:sz w:val="27"/>
          <w:rtl/>
          <w:lang w:bidi="ar-LB"/>
        </w:rPr>
        <w:t>ٌ</w:t>
      </w:r>
      <w:r w:rsidRPr="006571AC">
        <w:rPr>
          <w:rFonts w:hint="cs"/>
          <w:sz w:val="27"/>
          <w:rtl/>
          <w:lang w:bidi="ar-LB"/>
        </w:rPr>
        <w:t xml:space="preserve"> </w:t>
      </w:r>
      <w:r w:rsidR="00551E93" w:rsidRPr="006571AC">
        <w:rPr>
          <w:rFonts w:hint="cs"/>
          <w:sz w:val="27"/>
          <w:rtl/>
          <w:lang w:bidi="ar-LB"/>
        </w:rPr>
        <w:t>إ</w:t>
      </w:r>
      <w:r w:rsidRPr="006571AC">
        <w:rPr>
          <w:rFonts w:hint="cs"/>
          <w:sz w:val="27"/>
          <w:rtl/>
          <w:lang w:bidi="ar-LB"/>
        </w:rPr>
        <w:t>لى الجنّة أو مبع</w:t>
      </w:r>
      <w:r w:rsidR="00551E93" w:rsidRPr="006571AC">
        <w:rPr>
          <w:rFonts w:hint="cs"/>
          <w:sz w:val="27"/>
          <w:rtl/>
          <w:lang w:bidi="ar-LB"/>
        </w:rPr>
        <w:t>ِّ</w:t>
      </w:r>
      <w:r w:rsidRPr="006571AC">
        <w:rPr>
          <w:rFonts w:hint="cs"/>
          <w:sz w:val="27"/>
          <w:rtl/>
          <w:lang w:bidi="ar-LB"/>
        </w:rPr>
        <w:t>دة عنها قبل أن يأمر بها النبي</w:t>
      </w:r>
      <w:r w:rsidR="00551E93" w:rsidRPr="006571AC">
        <w:rPr>
          <w:rFonts w:hint="cs"/>
          <w:sz w:val="27"/>
          <w:rtl/>
          <w:lang w:bidi="ar-LB"/>
        </w:rPr>
        <w:t>ّ</w:t>
      </w:r>
      <w:r w:rsidR="00551E93" w:rsidRPr="006571AC">
        <w:rPr>
          <w:rFonts w:ascii="Mosawi" w:hAnsi="Mosawi" w:cs="Mosawi"/>
          <w:sz w:val="22"/>
          <w:szCs w:val="22"/>
          <w:rtl/>
        </w:rPr>
        <w:t>|</w:t>
      </w:r>
      <w:r w:rsidRPr="006571AC">
        <w:rPr>
          <w:rFonts w:hint="cs"/>
          <w:sz w:val="27"/>
          <w:rtl/>
          <w:lang w:bidi="ar-LB"/>
        </w:rPr>
        <w:t xml:space="preserve">، </w:t>
      </w:r>
      <w:r w:rsidR="00551E93" w:rsidRPr="006571AC">
        <w:rPr>
          <w:rFonts w:hint="cs"/>
          <w:sz w:val="27"/>
          <w:rtl/>
          <w:lang w:bidi="ar-LB"/>
        </w:rPr>
        <w:t>إ</w:t>
      </w:r>
      <w:r w:rsidRPr="006571AC">
        <w:rPr>
          <w:rFonts w:hint="cs"/>
          <w:sz w:val="27"/>
          <w:rtl/>
          <w:lang w:bidi="ar-LB"/>
        </w:rPr>
        <w:t>ذا افتر</w:t>
      </w:r>
      <w:r w:rsidR="00551E93" w:rsidRPr="006571AC">
        <w:rPr>
          <w:rFonts w:hint="cs"/>
          <w:sz w:val="27"/>
          <w:rtl/>
          <w:lang w:bidi="ar-LB"/>
        </w:rPr>
        <w:t>َ</w:t>
      </w:r>
      <w:r w:rsidRPr="006571AC">
        <w:rPr>
          <w:rFonts w:hint="cs"/>
          <w:sz w:val="27"/>
          <w:rtl/>
          <w:lang w:bidi="ar-LB"/>
        </w:rPr>
        <w:t>ض</w:t>
      </w:r>
      <w:r w:rsidR="00551E93" w:rsidRPr="006571AC">
        <w:rPr>
          <w:rFonts w:hint="cs"/>
          <w:sz w:val="27"/>
          <w:rtl/>
          <w:lang w:bidi="ar-LB"/>
        </w:rPr>
        <w:t>ْ</w:t>
      </w:r>
      <w:r w:rsidRPr="006571AC">
        <w:rPr>
          <w:rFonts w:hint="cs"/>
          <w:sz w:val="27"/>
          <w:rtl/>
          <w:lang w:bidi="ar-LB"/>
        </w:rPr>
        <w:t>نا أنّ المقصود بالمقرّ</w:t>
      </w:r>
      <w:r w:rsidR="00551E93" w:rsidRPr="006571AC">
        <w:rPr>
          <w:rFonts w:hint="cs"/>
          <w:sz w:val="27"/>
          <w:rtl/>
          <w:lang w:bidi="ar-LB"/>
        </w:rPr>
        <w:t>ِ</w:t>
      </w:r>
      <w:r w:rsidRPr="006571AC">
        <w:rPr>
          <w:rFonts w:hint="cs"/>
          <w:sz w:val="27"/>
          <w:rtl/>
          <w:lang w:bidi="ar-LB"/>
        </w:rPr>
        <w:t>بات والم</w:t>
      </w:r>
      <w:r w:rsidR="00551E93" w:rsidRPr="006571AC">
        <w:rPr>
          <w:rFonts w:hint="cs"/>
          <w:sz w:val="27"/>
          <w:rtl/>
          <w:lang w:bidi="ar-LB"/>
        </w:rPr>
        <w:t>ب</w:t>
      </w:r>
      <w:r w:rsidRPr="006571AC">
        <w:rPr>
          <w:rFonts w:hint="cs"/>
          <w:sz w:val="27"/>
          <w:rtl/>
          <w:lang w:bidi="ar-LB"/>
        </w:rPr>
        <w:t>ع</w:t>
      </w:r>
      <w:r w:rsidR="00551E93" w:rsidRPr="006571AC">
        <w:rPr>
          <w:rFonts w:hint="cs"/>
          <w:sz w:val="27"/>
          <w:rtl/>
          <w:lang w:bidi="ar-LB"/>
        </w:rPr>
        <w:t>ِّ</w:t>
      </w:r>
      <w:r w:rsidRPr="006571AC">
        <w:rPr>
          <w:rFonts w:hint="cs"/>
          <w:sz w:val="27"/>
          <w:rtl/>
          <w:lang w:bidi="ar-LB"/>
        </w:rPr>
        <w:t xml:space="preserve">دات ذلك، كما هو الظاهر من الرواية. </w:t>
      </w:r>
    </w:p>
    <w:p w:rsidR="001F3F5A" w:rsidRPr="006571AC" w:rsidRDefault="001F3F5A" w:rsidP="009C18AF">
      <w:pPr>
        <w:tabs>
          <w:tab w:val="right" w:pos="6930"/>
        </w:tabs>
        <w:suppressAutoHyphens/>
        <w:rPr>
          <w:sz w:val="27"/>
          <w:rtl/>
          <w:lang w:bidi="ar-LB"/>
        </w:rPr>
      </w:pPr>
      <w:r w:rsidRPr="006571AC">
        <w:rPr>
          <w:rFonts w:hint="cs"/>
          <w:sz w:val="27"/>
          <w:rtl/>
          <w:lang w:bidi="ar-LB"/>
        </w:rPr>
        <w:t>مع أنّ هذا لا معنى معقول</w:t>
      </w:r>
      <w:r w:rsidR="00551E93" w:rsidRPr="006571AC">
        <w:rPr>
          <w:rFonts w:hint="cs"/>
          <w:sz w:val="27"/>
          <w:rtl/>
          <w:lang w:bidi="ar-LB"/>
        </w:rPr>
        <w:t>اً</w:t>
      </w:r>
      <w:r w:rsidRPr="006571AC">
        <w:rPr>
          <w:rFonts w:hint="cs"/>
          <w:sz w:val="27"/>
          <w:rtl/>
          <w:lang w:bidi="ar-LB"/>
        </w:rPr>
        <w:t xml:space="preserve"> له؛ </w:t>
      </w:r>
      <w:r w:rsidR="00551E93" w:rsidRPr="006571AC">
        <w:rPr>
          <w:rFonts w:hint="cs"/>
          <w:sz w:val="27"/>
          <w:rtl/>
          <w:lang w:bidi="ar-LB"/>
        </w:rPr>
        <w:t>إ</w:t>
      </w:r>
      <w:r w:rsidRPr="006571AC">
        <w:rPr>
          <w:rFonts w:hint="cs"/>
          <w:sz w:val="27"/>
          <w:rtl/>
          <w:lang w:bidi="ar-LB"/>
        </w:rPr>
        <w:t>ذ</w:t>
      </w:r>
      <w:r w:rsidR="00551E93" w:rsidRPr="006571AC">
        <w:rPr>
          <w:rFonts w:hint="cs"/>
          <w:sz w:val="27"/>
          <w:rtl/>
          <w:lang w:bidi="ar-LB"/>
        </w:rPr>
        <w:t xml:space="preserve"> المصالح والمفاسد الواقعيّة وإ</w:t>
      </w:r>
      <w:r w:rsidRPr="006571AC">
        <w:rPr>
          <w:rFonts w:hint="cs"/>
          <w:sz w:val="27"/>
          <w:rtl/>
          <w:lang w:bidi="ar-LB"/>
        </w:rPr>
        <w:t>ن</w:t>
      </w:r>
      <w:r w:rsidR="00551E93" w:rsidRPr="006571AC">
        <w:rPr>
          <w:rFonts w:hint="cs"/>
          <w:sz w:val="27"/>
          <w:rtl/>
          <w:lang w:bidi="ar-LB"/>
        </w:rPr>
        <w:t>ْ</w:t>
      </w:r>
      <w:r w:rsidRPr="006571AC">
        <w:rPr>
          <w:rFonts w:hint="cs"/>
          <w:sz w:val="27"/>
          <w:rtl/>
          <w:lang w:bidi="ar-LB"/>
        </w:rPr>
        <w:t xml:space="preserve"> كانت لها آثار</w:t>
      </w:r>
      <w:r w:rsidR="000F52ED" w:rsidRPr="006571AC">
        <w:rPr>
          <w:rFonts w:hint="cs"/>
          <w:sz w:val="27"/>
          <w:rtl/>
          <w:lang w:bidi="ar-LB"/>
        </w:rPr>
        <w:t>ٌ</w:t>
      </w:r>
      <w:r w:rsidRPr="006571AC">
        <w:rPr>
          <w:rFonts w:hint="cs"/>
          <w:sz w:val="27"/>
          <w:rtl/>
          <w:lang w:bidi="ar-LB"/>
        </w:rPr>
        <w:t xml:space="preserve"> تكوينية خاصّة، كما أنّ لها اقتضاء الق</w:t>
      </w:r>
      <w:r w:rsidR="000F52ED" w:rsidRPr="006571AC">
        <w:rPr>
          <w:rFonts w:hint="cs"/>
          <w:sz w:val="27"/>
          <w:rtl/>
          <w:lang w:bidi="ar-LB"/>
        </w:rPr>
        <w:t>ُ</w:t>
      </w:r>
      <w:r w:rsidRPr="006571AC">
        <w:rPr>
          <w:rFonts w:hint="cs"/>
          <w:sz w:val="27"/>
          <w:rtl/>
          <w:lang w:bidi="ar-LB"/>
        </w:rPr>
        <w:t>ر</w:t>
      </w:r>
      <w:r w:rsidR="000F52ED" w:rsidRPr="006571AC">
        <w:rPr>
          <w:rFonts w:hint="cs"/>
          <w:sz w:val="27"/>
          <w:rtl/>
          <w:lang w:bidi="ar-LB"/>
        </w:rPr>
        <w:t>ْ</w:t>
      </w:r>
      <w:r w:rsidRPr="006571AC">
        <w:rPr>
          <w:rFonts w:hint="cs"/>
          <w:sz w:val="27"/>
          <w:rtl/>
          <w:lang w:bidi="ar-LB"/>
        </w:rPr>
        <w:t>ب والب</w:t>
      </w:r>
      <w:r w:rsidR="000F52ED" w:rsidRPr="006571AC">
        <w:rPr>
          <w:rFonts w:hint="cs"/>
          <w:sz w:val="27"/>
          <w:rtl/>
          <w:lang w:bidi="ar-LB"/>
        </w:rPr>
        <w:t>ُ</w:t>
      </w:r>
      <w:r w:rsidRPr="006571AC">
        <w:rPr>
          <w:rFonts w:hint="cs"/>
          <w:sz w:val="27"/>
          <w:rtl/>
          <w:lang w:bidi="ar-LB"/>
        </w:rPr>
        <w:t>ع</w:t>
      </w:r>
      <w:r w:rsidR="000F52ED" w:rsidRPr="006571AC">
        <w:rPr>
          <w:rFonts w:hint="cs"/>
          <w:sz w:val="27"/>
          <w:rtl/>
          <w:lang w:bidi="ar-LB"/>
        </w:rPr>
        <w:t>ْ</w:t>
      </w:r>
      <w:r w:rsidRPr="006571AC">
        <w:rPr>
          <w:rFonts w:hint="cs"/>
          <w:sz w:val="27"/>
          <w:rtl/>
          <w:lang w:bidi="ar-LB"/>
        </w:rPr>
        <w:t>د، بمعنى أنّ ارتكابها وف</w:t>
      </w:r>
      <w:r w:rsidR="009C18AF" w:rsidRPr="006571AC">
        <w:rPr>
          <w:rFonts w:hint="cs"/>
          <w:sz w:val="27"/>
          <w:rtl/>
          <w:lang w:bidi="ar-LB"/>
        </w:rPr>
        <w:t>َوْ</w:t>
      </w:r>
      <w:r w:rsidRPr="006571AC">
        <w:rPr>
          <w:rFonts w:hint="cs"/>
          <w:sz w:val="27"/>
          <w:rtl/>
          <w:lang w:bidi="ar-LB"/>
        </w:rPr>
        <w:t>تها قد يسبّ</w:t>
      </w:r>
      <w:r w:rsidR="000F52ED" w:rsidRPr="006571AC">
        <w:rPr>
          <w:rFonts w:hint="cs"/>
          <w:sz w:val="27"/>
          <w:rtl/>
          <w:lang w:bidi="ar-LB"/>
        </w:rPr>
        <w:t>ِ</w:t>
      </w:r>
      <w:r w:rsidRPr="006571AC">
        <w:rPr>
          <w:rFonts w:hint="cs"/>
          <w:sz w:val="27"/>
          <w:rtl/>
          <w:lang w:bidi="ar-LB"/>
        </w:rPr>
        <w:t>ب حالة</w:t>
      </w:r>
      <w:r w:rsidR="000F52ED" w:rsidRPr="006571AC">
        <w:rPr>
          <w:rFonts w:hint="cs"/>
          <w:sz w:val="27"/>
          <w:rtl/>
          <w:lang w:bidi="ar-LB"/>
        </w:rPr>
        <w:t>ً</w:t>
      </w:r>
      <w:r w:rsidRPr="006571AC">
        <w:rPr>
          <w:rFonts w:hint="cs"/>
          <w:sz w:val="27"/>
          <w:rtl/>
          <w:lang w:bidi="ar-LB"/>
        </w:rPr>
        <w:t xml:space="preserve"> اقتضائية لارتكاب المعاصي وترك الفرائض، إلاّ أنه لا مجال للقول بكونها بأنفسها</w:t>
      </w:r>
      <w:r w:rsidR="000F52ED" w:rsidRPr="006571AC">
        <w:rPr>
          <w:rFonts w:hint="cs"/>
          <w:sz w:val="27"/>
          <w:rtl/>
          <w:lang w:bidi="ar-LB"/>
        </w:rPr>
        <w:t>،</w:t>
      </w:r>
      <w:r w:rsidRPr="006571AC">
        <w:rPr>
          <w:rFonts w:hint="cs"/>
          <w:sz w:val="27"/>
          <w:rtl/>
          <w:lang w:bidi="ar-LB"/>
        </w:rPr>
        <w:t xml:space="preserve"> ولو لم يعلم المكلّ</w:t>
      </w:r>
      <w:r w:rsidR="000F52ED" w:rsidRPr="006571AC">
        <w:rPr>
          <w:rFonts w:hint="cs"/>
          <w:sz w:val="27"/>
          <w:rtl/>
          <w:lang w:bidi="ar-LB"/>
        </w:rPr>
        <w:t>َ</w:t>
      </w:r>
      <w:r w:rsidRPr="006571AC">
        <w:rPr>
          <w:rFonts w:hint="cs"/>
          <w:sz w:val="27"/>
          <w:rtl/>
          <w:lang w:bidi="ar-LB"/>
        </w:rPr>
        <w:t>ف بها</w:t>
      </w:r>
      <w:r w:rsidR="000F52ED" w:rsidRPr="006571AC">
        <w:rPr>
          <w:rFonts w:hint="cs"/>
          <w:sz w:val="27"/>
          <w:rtl/>
          <w:lang w:bidi="ar-LB"/>
        </w:rPr>
        <w:t>،</w:t>
      </w:r>
      <w:r w:rsidRPr="006571AC">
        <w:rPr>
          <w:rFonts w:hint="cs"/>
          <w:sz w:val="27"/>
          <w:rtl/>
          <w:lang w:bidi="ar-LB"/>
        </w:rPr>
        <w:t xml:space="preserve"> مقرّ</w:t>
      </w:r>
      <w:r w:rsidR="009C18AF" w:rsidRPr="006571AC">
        <w:rPr>
          <w:rFonts w:hint="cs"/>
          <w:sz w:val="27"/>
          <w:rtl/>
          <w:lang w:bidi="ar-LB"/>
        </w:rPr>
        <w:t>ِ</w:t>
      </w:r>
      <w:r w:rsidRPr="006571AC">
        <w:rPr>
          <w:rFonts w:hint="cs"/>
          <w:sz w:val="27"/>
          <w:rtl/>
          <w:lang w:bidi="ar-LB"/>
        </w:rPr>
        <w:t>بات</w:t>
      </w:r>
      <w:r w:rsidR="000F52ED" w:rsidRPr="006571AC">
        <w:rPr>
          <w:rFonts w:hint="cs"/>
          <w:sz w:val="27"/>
          <w:rtl/>
          <w:lang w:bidi="ar-LB"/>
        </w:rPr>
        <w:t>ٍ</w:t>
      </w:r>
      <w:r w:rsidRPr="006571AC">
        <w:rPr>
          <w:rFonts w:hint="cs"/>
          <w:sz w:val="27"/>
          <w:rtl/>
          <w:lang w:bidi="ar-LB"/>
        </w:rPr>
        <w:t xml:space="preserve"> ومبعّ</w:t>
      </w:r>
      <w:r w:rsidR="000F52ED" w:rsidRPr="006571AC">
        <w:rPr>
          <w:rFonts w:hint="cs"/>
          <w:sz w:val="27"/>
          <w:rtl/>
          <w:lang w:bidi="ar-LB"/>
        </w:rPr>
        <w:t>ِ</w:t>
      </w:r>
      <w:r w:rsidRPr="006571AC">
        <w:rPr>
          <w:rFonts w:hint="cs"/>
          <w:sz w:val="27"/>
          <w:rtl/>
          <w:lang w:bidi="ar-LB"/>
        </w:rPr>
        <w:t>دات</w:t>
      </w:r>
      <w:r w:rsidR="000F52ED" w:rsidRPr="006571AC">
        <w:rPr>
          <w:rFonts w:hint="cs"/>
          <w:sz w:val="27"/>
          <w:rtl/>
          <w:lang w:bidi="ar-LB"/>
        </w:rPr>
        <w:t>ٍ</w:t>
      </w:r>
      <w:r w:rsidRPr="006571AC">
        <w:rPr>
          <w:rFonts w:hint="cs"/>
          <w:sz w:val="27"/>
          <w:rtl/>
          <w:lang w:bidi="ar-LB"/>
        </w:rPr>
        <w:t xml:space="preserve"> فعلية</w:t>
      </w:r>
      <w:r w:rsidR="000F52ED" w:rsidRPr="006571AC">
        <w:rPr>
          <w:rFonts w:hint="cs"/>
          <w:sz w:val="27"/>
          <w:rtl/>
          <w:lang w:bidi="ar-LB"/>
        </w:rPr>
        <w:t>.</w:t>
      </w:r>
      <w:r w:rsidRPr="006571AC">
        <w:rPr>
          <w:rFonts w:hint="cs"/>
          <w:sz w:val="27"/>
          <w:rtl/>
          <w:lang w:bidi="ar-LB"/>
        </w:rPr>
        <w:t xml:space="preserve"> وقد اتفقوا على نفي ذلك في مسألة </w:t>
      </w:r>
      <w:r w:rsidR="00020906" w:rsidRPr="006571AC">
        <w:rPr>
          <w:rFonts w:hint="cs"/>
          <w:sz w:val="27"/>
          <w:rtl/>
          <w:lang w:bidi="ar-LB"/>
        </w:rPr>
        <w:t>ا</w:t>
      </w:r>
      <w:r w:rsidRPr="006571AC">
        <w:rPr>
          <w:rFonts w:hint="cs"/>
          <w:sz w:val="27"/>
          <w:rtl/>
          <w:lang w:bidi="ar-LB"/>
        </w:rPr>
        <w:t>لتجرّي</w:t>
      </w:r>
      <w:r w:rsidR="00020906" w:rsidRPr="006571AC">
        <w:rPr>
          <w:rFonts w:hint="cs"/>
          <w:sz w:val="27"/>
          <w:rtl/>
          <w:lang w:bidi="ar-LB"/>
        </w:rPr>
        <w:t>؛</w:t>
      </w:r>
      <w:r w:rsidRPr="006571AC">
        <w:rPr>
          <w:rFonts w:hint="cs"/>
          <w:sz w:val="27"/>
          <w:rtl/>
          <w:lang w:bidi="ar-LB"/>
        </w:rPr>
        <w:t xml:space="preserve"> إذ رأ</w:t>
      </w:r>
      <w:r w:rsidR="00020906" w:rsidRPr="006571AC">
        <w:rPr>
          <w:rFonts w:hint="cs"/>
          <w:sz w:val="27"/>
          <w:rtl/>
          <w:lang w:bidi="ar-LB"/>
        </w:rPr>
        <w:t>َ</w:t>
      </w:r>
      <w:r w:rsidRPr="006571AC">
        <w:rPr>
          <w:rFonts w:hint="cs"/>
          <w:sz w:val="27"/>
          <w:rtl/>
          <w:lang w:bidi="ar-LB"/>
        </w:rPr>
        <w:t>و</w:t>
      </w:r>
      <w:r w:rsidR="00020906" w:rsidRPr="006571AC">
        <w:rPr>
          <w:rFonts w:hint="cs"/>
          <w:sz w:val="27"/>
          <w:rtl/>
          <w:lang w:bidi="ar-LB"/>
        </w:rPr>
        <w:t>ْ</w:t>
      </w:r>
      <w:r w:rsidRPr="006571AC">
        <w:rPr>
          <w:rFonts w:hint="cs"/>
          <w:sz w:val="27"/>
          <w:rtl/>
          <w:lang w:bidi="ar-LB"/>
        </w:rPr>
        <w:t>ا أن العقاب بالنار والثواب بالجن</w:t>
      </w:r>
      <w:r w:rsidR="00020906" w:rsidRPr="006571AC">
        <w:rPr>
          <w:rFonts w:hint="cs"/>
          <w:sz w:val="27"/>
          <w:rtl/>
          <w:lang w:bidi="ar-LB"/>
        </w:rPr>
        <w:t>ّ</w:t>
      </w:r>
      <w:r w:rsidRPr="006571AC">
        <w:rPr>
          <w:rFonts w:hint="cs"/>
          <w:sz w:val="27"/>
          <w:rtl/>
          <w:lang w:bidi="ar-LB"/>
        </w:rPr>
        <w:t>ة لا يترتّ</w:t>
      </w:r>
      <w:r w:rsidR="00020906" w:rsidRPr="006571AC">
        <w:rPr>
          <w:rFonts w:hint="cs"/>
          <w:sz w:val="27"/>
          <w:rtl/>
          <w:lang w:bidi="ar-LB"/>
        </w:rPr>
        <w:t>َ</w:t>
      </w:r>
      <w:r w:rsidRPr="006571AC">
        <w:rPr>
          <w:rFonts w:hint="cs"/>
          <w:sz w:val="27"/>
          <w:rtl/>
          <w:lang w:bidi="ar-LB"/>
        </w:rPr>
        <w:t>ب إلاّ على الدواعي</w:t>
      </w:r>
      <w:r w:rsidR="00020906" w:rsidRPr="006571AC">
        <w:rPr>
          <w:rFonts w:hint="cs"/>
          <w:sz w:val="27"/>
          <w:rtl/>
          <w:lang w:bidi="ar-LB"/>
        </w:rPr>
        <w:t>،</w:t>
      </w:r>
      <w:r w:rsidRPr="006571AC">
        <w:rPr>
          <w:rFonts w:hint="cs"/>
          <w:sz w:val="27"/>
          <w:rtl/>
          <w:lang w:bidi="ar-LB"/>
        </w:rPr>
        <w:t xml:space="preserve"> دون المصالح والمفاسد الواقعيّة. </w:t>
      </w:r>
    </w:p>
    <w:p w:rsidR="001F3F5A" w:rsidRPr="006571AC" w:rsidRDefault="001F3F5A" w:rsidP="002A2E03">
      <w:pPr>
        <w:tabs>
          <w:tab w:val="right" w:pos="6930"/>
        </w:tabs>
        <w:suppressAutoHyphens/>
        <w:rPr>
          <w:sz w:val="27"/>
          <w:rtl/>
          <w:lang w:bidi="ar-LB"/>
        </w:rPr>
      </w:pPr>
      <w:r w:rsidRPr="006571AC">
        <w:rPr>
          <w:rFonts w:hint="cs"/>
          <w:sz w:val="27"/>
          <w:rtl/>
          <w:lang w:bidi="ar-LB"/>
        </w:rPr>
        <w:t>والحاصل</w:t>
      </w:r>
      <w:r w:rsidR="00020906" w:rsidRPr="006571AC">
        <w:rPr>
          <w:rFonts w:hint="cs"/>
          <w:sz w:val="27"/>
          <w:rtl/>
          <w:lang w:bidi="ar-LB"/>
        </w:rPr>
        <w:t>ُ</w:t>
      </w:r>
      <w:r w:rsidRPr="006571AC">
        <w:rPr>
          <w:rFonts w:hint="cs"/>
          <w:sz w:val="27"/>
          <w:rtl/>
          <w:lang w:bidi="ar-LB"/>
        </w:rPr>
        <w:t xml:space="preserve"> أنّه لا مجال للقول بأنّ المصالح والمفاسد الواقعيّة مقرّ</w:t>
      </w:r>
      <w:r w:rsidR="009C18AF" w:rsidRPr="006571AC">
        <w:rPr>
          <w:rFonts w:hint="cs"/>
          <w:sz w:val="27"/>
          <w:rtl/>
          <w:lang w:bidi="ar-LB"/>
        </w:rPr>
        <w:t>ِ</w:t>
      </w:r>
      <w:r w:rsidRPr="006571AC">
        <w:rPr>
          <w:rFonts w:hint="cs"/>
          <w:sz w:val="27"/>
          <w:rtl/>
          <w:lang w:bidi="ar-LB"/>
        </w:rPr>
        <w:t>بات</w:t>
      </w:r>
      <w:r w:rsidR="00020906" w:rsidRPr="006571AC">
        <w:rPr>
          <w:rFonts w:hint="cs"/>
          <w:sz w:val="27"/>
          <w:rtl/>
          <w:lang w:bidi="ar-LB"/>
        </w:rPr>
        <w:t>ٌ قبل ت</w:t>
      </w:r>
      <w:r w:rsidRPr="006571AC">
        <w:rPr>
          <w:rFonts w:hint="cs"/>
          <w:sz w:val="27"/>
          <w:rtl/>
          <w:lang w:bidi="ar-LB"/>
        </w:rPr>
        <w:t>علّ</w:t>
      </w:r>
      <w:r w:rsidR="00020906" w:rsidRPr="006571AC">
        <w:rPr>
          <w:rFonts w:hint="cs"/>
          <w:sz w:val="27"/>
          <w:rtl/>
          <w:lang w:bidi="ar-LB"/>
        </w:rPr>
        <w:t>ُ</w:t>
      </w:r>
      <w:r w:rsidRPr="006571AC">
        <w:rPr>
          <w:rFonts w:hint="cs"/>
          <w:sz w:val="27"/>
          <w:rtl/>
          <w:lang w:bidi="ar-LB"/>
        </w:rPr>
        <w:t xml:space="preserve">ق الأمر والنهي بها. </w:t>
      </w:r>
    </w:p>
    <w:p w:rsidR="009C18AF" w:rsidRPr="006571AC" w:rsidRDefault="001F3F5A" w:rsidP="009C18AF">
      <w:pPr>
        <w:tabs>
          <w:tab w:val="right" w:pos="6930"/>
        </w:tabs>
        <w:suppressAutoHyphens/>
        <w:rPr>
          <w:sz w:val="27"/>
          <w:rtl/>
          <w:lang w:bidi="ar-LB"/>
        </w:rPr>
      </w:pPr>
      <w:r w:rsidRPr="006571AC">
        <w:rPr>
          <w:rFonts w:hint="cs"/>
          <w:sz w:val="27"/>
          <w:rtl/>
          <w:lang w:bidi="ar-LB"/>
        </w:rPr>
        <w:t>ويبقى حينئذ</w:t>
      </w:r>
      <w:r w:rsidR="00020906" w:rsidRPr="006571AC">
        <w:rPr>
          <w:rFonts w:hint="cs"/>
          <w:sz w:val="27"/>
          <w:rtl/>
          <w:lang w:bidi="ar-LB"/>
        </w:rPr>
        <w:t>ٍ</w:t>
      </w:r>
      <w:r w:rsidRPr="006571AC">
        <w:rPr>
          <w:rFonts w:hint="cs"/>
          <w:sz w:val="27"/>
          <w:rtl/>
          <w:lang w:bidi="ar-LB"/>
        </w:rPr>
        <w:t xml:space="preserve"> أن ي</w:t>
      </w:r>
      <w:r w:rsidR="00020906" w:rsidRPr="006571AC">
        <w:rPr>
          <w:rFonts w:hint="cs"/>
          <w:sz w:val="27"/>
          <w:rtl/>
          <w:lang w:bidi="ar-LB"/>
        </w:rPr>
        <w:t>ُ</w:t>
      </w:r>
      <w:r w:rsidRPr="006571AC">
        <w:rPr>
          <w:rFonts w:hint="cs"/>
          <w:sz w:val="27"/>
          <w:rtl/>
          <w:lang w:bidi="ar-LB"/>
        </w:rPr>
        <w:t>راد بما يقر</w:t>
      </w:r>
      <w:r w:rsidR="00020906" w:rsidRPr="006571AC">
        <w:rPr>
          <w:rFonts w:hint="cs"/>
          <w:sz w:val="27"/>
          <w:rtl/>
          <w:lang w:bidi="ar-LB"/>
        </w:rPr>
        <w:t>ِّ</w:t>
      </w:r>
      <w:r w:rsidRPr="006571AC">
        <w:rPr>
          <w:rFonts w:hint="cs"/>
          <w:sz w:val="27"/>
          <w:rtl/>
          <w:lang w:bidi="ar-LB"/>
        </w:rPr>
        <w:t xml:space="preserve">ب </w:t>
      </w:r>
      <w:r w:rsidR="00020906" w:rsidRPr="006571AC">
        <w:rPr>
          <w:rFonts w:hint="cs"/>
          <w:sz w:val="27"/>
          <w:rtl/>
          <w:lang w:bidi="ar-LB"/>
        </w:rPr>
        <w:t>إ</w:t>
      </w:r>
      <w:r w:rsidRPr="006571AC">
        <w:rPr>
          <w:rFonts w:hint="cs"/>
          <w:sz w:val="27"/>
          <w:rtl/>
          <w:lang w:bidi="ar-LB"/>
        </w:rPr>
        <w:t>لى الجن</w:t>
      </w:r>
      <w:r w:rsidR="00020906" w:rsidRPr="006571AC">
        <w:rPr>
          <w:rFonts w:hint="cs"/>
          <w:sz w:val="27"/>
          <w:rtl/>
          <w:lang w:bidi="ar-LB"/>
        </w:rPr>
        <w:t>ّ</w:t>
      </w:r>
      <w:r w:rsidRPr="006571AC">
        <w:rPr>
          <w:rFonts w:hint="cs"/>
          <w:sz w:val="27"/>
          <w:rtl/>
          <w:lang w:bidi="ar-LB"/>
        </w:rPr>
        <w:t>ة أو يبعّ</w:t>
      </w:r>
      <w:r w:rsidR="00020906" w:rsidRPr="006571AC">
        <w:rPr>
          <w:rFonts w:hint="cs"/>
          <w:sz w:val="27"/>
          <w:rtl/>
          <w:lang w:bidi="ar-LB"/>
        </w:rPr>
        <w:t>ِ</w:t>
      </w:r>
      <w:r w:rsidRPr="006571AC">
        <w:rPr>
          <w:rFonts w:hint="cs"/>
          <w:sz w:val="27"/>
          <w:rtl/>
          <w:lang w:bidi="ar-LB"/>
        </w:rPr>
        <w:t>د عنها الأفعال الخارجيّة</w:t>
      </w:r>
      <w:r w:rsidR="00020906" w:rsidRPr="006571AC">
        <w:rPr>
          <w:rFonts w:hint="cs"/>
          <w:sz w:val="27"/>
          <w:rtl/>
          <w:lang w:bidi="ar-LB"/>
        </w:rPr>
        <w:t>.</w:t>
      </w:r>
      <w:r w:rsidRPr="006571AC">
        <w:rPr>
          <w:rFonts w:hint="cs"/>
          <w:sz w:val="27"/>
          <w:rtl/>
          <w:lang w:bidi="ar-LB"/>
        </w:rPr>
        <w:t xml:space="preserve"> إلاّ أنّ ات</w:t>
      </w:r>
      <w:r w:rsidR="00020906" w:rsidRPr="006571AC">
        <w:rPr>
          <w:rFonts w:hint="cs"/>
          <w:sz w:val="27"/>
          <w:rtl/>
          <w:lang w:bidi="ar-LB"/>
        </w:rPr>
        <w:t>ّ</w:t>
      </w:r>
      <w:r w:rsidRPr="006571AC">
        <w:rPr>
          <w:rFonts w:hint="cs"/>
          <w:sz w:val="27"/>
          <w:rtl/>
          <w:lang w:bidi="ar-LB"/>
        </w:rPr>
        <w:t>صافها بصفة التقريب والتبعيد إنّما هو من جهة تعلّ</w:t>
      </w:r>
      <w:r w:rsidR="00020906" w:rsidRPr="006571AC">
        <w:rPr>
          <w:rFonts w:hint="cs"/>
          <w:sz w:val="27"/>
          <w:rtl/>
          <w:lang w:bidi="ar-LB"/>
        </w:rPr>
        <w:t>ُ</w:t>
      </w:r>
      <w:r w:rsidRPr="006571AC">
        <w:rPr>
          <w:rFonts w:hint="cs"/>
          <w:sz w:val="27"/>
          <w:rtl/>
          <w:lang w:bidi="ar-LB"/>
        </w:rPr>
        <w:t>ق الأمر والنهي به</w:t>
      </w:r>
      <w:r w:rsidR="00020906" w:rsidRPr="006571AC">
        <w:rPr>
          <w:rFonts w:hint="cs"/>
          <w:sz w:val="27"/>
          <w:rtl/>
          <w:lang w:bidi="ar-LB"/>
        </w:rPr>
        <w:t>.</w:t>
      </w:r>
      <w:r w:rsidR="009C18AF" w:rsidRPr="006571AC">
        <w:rPr>
          <w:rFonts w:hint="cs"/>
          <w:sz w:val="27"/>
          <w:rtl/>
          <w:lang w:bidi="ar-LB"/>
        </w:rPr>
        <w:t xml:space="preserve"> </w:t>
      </w:r>
      <w:r w:rsidRPr="006571AC">
        <w:rPr>
          <w:rFonts w:hint="cs"/>
          <w:sz w:val="27"/>
          <w:rtl/>
          <w:lang w:bidi="ar-LB"/>
        </w:rPr>
        <w:t>فالمعنى أنّه ما من شيء</w:t>
      </w:r>
      <w:r w:rsidR="00020906" w:rsidRPr="006571AC">
        <w:rPr>
          <w:rFonts w:hint="cs"/>
          <w:sz w:val="27"/>
          <w:rtl/>
          <w:lang w:bidi="ar-LB"/>
        </w:rPr>
        <w:t>ٍ</w:t>
      </w:r>
      <w:r w:rsidRPr="006571AC">
        <w:rPr>
          <w:rFonts w:hint="cs"/>
          <w:sz w:val="27"/>
          <w:rtl/>
          <w:lang w:bidi="ar-LB"/>
        </w:rPr>
        <w:t xml:space="preserve"> يقرّبكم من الجن</w:t>
      </w:r>
      <w:r w:rsidR="00020906" w:rsidRPr="006571AC">
        <w:rPr>
          <w:rFonts w:hint="cs"/>
          <w:sz w:val="27"/>
          <w:rtl/>
          <w:lang w:bidi="ar-LB"/>
        </w:rPr>
        <w:t>ّ</w:t>
      </w:r>
      <w:r w:rsidRPr="006571AC">
        <w:rPr>
          <w:rFonts w:hint="cs"/>
          <w:sz w:val="27"/>
          <w:rtl/>
          <w:lang w:bidi="ar-LB"/>
        </w:rPr>
        <w:t>ة ويباعدكم من النّار إلاّ وهو في جملة ما أمرت</w:t>
      </w:r>
      <w:r w:rsidR="00020906" w:rsidRPr="006571AC">
        <w:rPr>
          <w:rFonts w:hint="cs"/>
          <w:sz w:val="27"/>
          <w:rtl/>
          <w:lang w:bidi="ar-LB"/>
        </w:rPr>
        <w:t>ُ</w:t>
      </w:r>
      <w:r w:rsidRPr="006571AC">
        <w:rPr>
          <w:rFonts w:hint="cs"/>
          <w:sz w:val="27"/>
          <w:rtl/>
          <w:lang w:bidi="ar-LB"/>
        </w:rPr>
        <w:t>كم به، وما من شيء</w:t>
      </w:r>
      <w:r w:rsidR="00020906" w:rsidRPr="006571AC">
        <w:rPr>
          <w:rFonts w:hint="cs"/>
          <w:sz w:val="27"/>
          <w:rtl/>
          <w:lang w:bidi="ar-LB"/>
        </w:rPr>
        <w:t>ٍ</w:t>
      </w:r>
      <w:r w:rsidRPr="006571AC">
        <w:rPr>
          <w:rFonts w:hint="cs"/>
          <w:sz w:val="27"/>
          <w:rtl/>
          <w:lang w:bidi="ar-LB"/>
        </w:rPr>
        <w:t xml:space="preserve"> يبع</w:t>
      </w:r>
      <w:r w:rsidR="00020906" w:rsidRPr="006571AC">
        <w:rPr>
          <w:rFonts w:hint="cs"/>
          <w:sz w:val="27"/>
          <w:rtl/>
          <w:lang w:bidi="ar-LB"/>
        </w:rPr>
        <w:t>ِّ</w:t>
      </w:r>
      <w:r w:rsidRPr="006571AC">
        <w:rPr>
          <w:rFonts w:hint="cs"/>
          <w:sz w:val="27"/>
          <w:rtl/>
          <w:lang w:bidi="ar-LB"/>
        </w:rPr>
        <w:t>دكم من الجن</w:t>
      </w:r>
      <w:r w:rsidR="00020906" w:rsidRPr="006571AC">
        <w:rPr>
          <w:rFonts w:hint="cs"/>
          <w:sz w:val="27"/>
          <w:rtl/>
          <w:lang w:bidi="ar-LB"/>
        </w:rPr>
        <w:t>ّ</w:t>
      </w:r>
      <w:r w:rsidRPr="006571AC">
        <w:rPr>
          <w:rFonts w:hint="cs"/>
          <w:sz w:val="27"/>
          <w:rtl/>
          <w:lang w:bidi="ar-LB"/>
        </w:rPr>
        <w:t xml:space="preserve">ة ويقرّبكم </w:t>
      </w:r>
      <w:r w:rsidR="00020906" w:rsidRPr="006571AC">
        <w:rPr>
          <w:rFonts w:hint="cs"/>
          <w:sz w:val="27"/>
          <w:rtl/>
          <w:lang w:bidi="ar-LB"/>
        </w:rPr>
        <w:t>إل</w:t>
      </w:r>
      <w:r w:rsidRPr="006571AC">
        <w:rPr>
          <w:rFonts w:hint="cs"/>
          <w:sz w:val="27"/>
          <w:rtl/>
          <w:lang w:bidi="ar-LB"/>
        </w:rPr>
        <w:t>ى النار إلاّ وهو في جملة ما نهيت</w:t>
      </w:r>
      <w:r w:rsidR="00020906" w:rsidRPr="006571AC">
        <w:rPr>
          <w:rFonts w:hint="cs"/>
          <w:sz w:val="27"/>
          <w:rtl/>
          <w:lang w:bidi="ar-LB"/>
        </w:rPr>
        <w:t>ُ</w:t>
      </w:r>
      <w:r w:rsidRPr="006571AC">
        <w:rPr>
          <w:rFonts w:hint="cs"/>
          <w:sz w:val="27"/>
          <w:rtl/>
          <w:lang w:bidi="ar-LB"/>
        </w:rPr>
        <w:t>كم عنه</w:t>
      </w:r>
      <w:r w:rsidR="009C18AF" w:rsidRPr="006571AC">
        <w:rPr>
          <w:rFonts w:hint="cs"/>
          <w:sz w:val="27"/>
          <w:rtl/>
          <w:lang w:bidi="ar-LB"/>
        </w:rPr>
        <w:t>.</w:t>
      </w:r>
    </w:p>
    <w:p w:rsidR="001F3F5A" w:rsidRPr="006571AC" w:rsidRDefault="001F3F5A" w:rsidP="009C18AF">
      <w:pPr>
        <w:tabs>
          <w:tab w:val="right" w:pos="6930"/>
        </w:tabs>
        <w:suppressAutoHyphens/>
        <w:rPr>
          <w:sz w:val="27"/>
          <w:rtl/>
          <w:lang w:bidi="ar-LB"/>
        </w:rPr>
      </w:pPr>
      <w:r w:rsidRPr="006571AC">
        <w:rPr>
          <w:rFonts w:hint="cs"/>
          <w:sz w:val="27"/>
          <w:rtl/>
          <w:lang w:bidi="ar-LB"/>
        </w:rPr>
        <w:t>ولكن</w:t>
      </w:r>
      <w:r w:rsidR="00020906" w:rsidRPr="006571AC">
        <w:rPr>
          <w:rFonts w:hint="cs"/>
          <w:sz w:val="27"/>
          <w:rtl/>
          <w:lang w:bidi="ar-LB"/>
        </w:rPr>
        <w:t>ّ</w:t>
      </w:r>
      <w:r w:rsidRPr="006571AC">
        <w:rPr>
          <w:rFonts w:hint="cs"/>
          <w:sz w:val="27"/>
          <w:rtl/>
          <w:lang w:bidi="ar-LB"/>
        </w:rPr>
        <w:t>ه خلاف</w:t>
      </w:r>
      <w:r w:rsidR="00020906" w:rsidRPr="006571AC">
        <w:rPr>
          <w:rFonts w:hint="cs"/>
          <w:sz w:val="27"/>
          <w:rtl/>
          <w:lang w:bidi="ar-LB"/>
        </w:rPr>
        <w:t>ُ</w:t>
      </w:r>
      <w:r w:rsidRPr="006571AC">
        <w:rPr>
          <w:rFonts w:hint="cs"/>
          <w:sz w:val="27"/>
          <w:rtl/>
          <w:lang w:bidi="ar-LB"/>
        </w:rPr>
        <w:t xml:space="preserve"> ظاهر الرواية</w:t>
      </w:r>
      <w:r w:rsidR="00020906" w:rsidRPr="006571AC">
        <w:rPr>
          <w:rFonts w:hint="cs"/>
          <w:sz w:val="27"/>
          <w:rtl/>
          <w:lang w:bidi="ar-LB"/>
        </w:rPr>
        <w:t>،</w:t>
      </w:r>
      <w:r w:rsidRPr="006571AC">
        <w:rPr>
          <w:rFonts w:hint="cs"/>
          <w:sz w:val="27"/>
          <w:rtl/>
          <w:lang w:bidi="ar-LB"/>
        </w:rPr>
        <w:t xml:space="preserve"> كما هو واضح</w:t>
      </w:r>
      <w:r w:rsidR="00020906" w:rsidRPr="006571AC">
        <w:rPr>
          <w:rFonts w:hint="cs"/>
          <w:sz w:val="27"/>
          <w:rtl/>
          <w:lang w:bidi="ar-LB"/>
        </w:rPr>
        <w:t>ٌ</w:t>
      </w:r>
      <w:r w:rsidRPr="006571AC">
        <w:rPr>
          <w:rFonts w:hint="cs"/>
          <w:sz w:val="27"/>
          <w:rtl/>
          <w:lang w:bidi="ar-LB"/>
        </w:rPr>
        <w:t>، ولا دلالة لها حينئذٍ على المطلوب، كما لايخفى على المتأمّ</w:t>
      </w:r>
      <w:r w:rsidR="00020906" w:rsidRPr="006571AC">
        <w:rPr>
          <w:rFonts w:hint="cs"/>
          <w:sz w:val="27"/>
          <w:rtl/>
          <w:lang w:bidi="ar-LB"/>
        </w:rPr>
        <w:t>ِ</w:t>
      </w:r>
      <w:r w:rsidRPr="006571AC">
        <w:rPr>
          <w:rFonts w:hint="cs"/>
          <w:sz w:val="27"/>
          <w:rtl/>
          <w:lang w:bidi="ar-LB"/>
        </w:rPr>
        <w:t xml:space="preserve">ل. </w:t>
      </w:r>
    </w:p>
    <w:p w:rsidR="009C18AF" w:rsidRPr="006571AC" w:rsidRDefault="001F3F5A" w:rsidP="002A2E03">
      <w:pPr>
        <w:tabs>
          <w:tab w:val="right" w:pos="6930"/>
        </w:tabs>
        <w:suppressAutoHyphens/>
        <w:rPr>
          <w:sz w:val="27"/>
          <w:rtl/>
          <w:lang w:bidi="ar-LB"/>
        </w:rPr>
      </w:pPr>
      <w:r w:rsidRPr="006571AC">
        <w:rPr>
          <w:rFonts w:hint="cs"/>
          <w:sz w:val="27"/>
          <w:rtl/>
          <w:lang w:bidi="ar-LB"/>
        </w:rPr>
        <w:t>أو ي</w:t>
      </w:r>
      <w:r w:rsidR="00020906" w:rsidRPr="006571AC">
        <w:rPr>
          <w:rFonts w:hint="cs"/>
          <w:sz w:val="27"/>
          <w:rtl/>
          <w:lang w:bidi="ar-LB"/>
        </w:rPr>
        <w:t>ُ</w:t>
      </w:r>
      <w:r w:rsidRPr="006571AC">
        <w:rPr>
          <w:rFonts w:hint="cs"/>
          <w:sz w:val="27"/>
          <w:rtl/>
          <w:lang w:bidi="ar-LB"/>
        </w:rPr>
        <w:t>راد بذلك ما تمّ حكمه من جانب العقل</w:t>
      </w:r>
      <w:r w:rsidR="00020906" w:rsidRPr="006571AC">
        <w:rPr>
          <w:rFonts w:hint="cs"/>
          <w:sz w:val="27"/>
          <w:rtl/>
          <w:lang w:bidi="ar-LB"/>
        </w:rPr>
        <w:t>،</w:t>
      </w:r>
      <w:r w:rsidRPr="006571AC">
        <w:rPr>
          <w:rFonts w:hint="cs"/>
          <w:sz w:val="27"/>
          <w:rtl/>
          <w:lang w:bidi="ar-LB"/>
        </w:rPr>
        <w:t xml:space="preserve"> كالكذب والظلم</w:t>
      </w:r>
      <w:r w:rsidR="00020906" w:rsidRPr="006571AC">
        <w:rPr>
          <w:rFonts w:hint="cs"/>
          <w:sz w:val="27"/>
          <w:rtl/>
          <w:lang w:bidi="ar-LB"/>
        </w:rPr>
        <w:t>،</w:t>
      </w:r>
      <w:r w:rsidRPr="006571AC">
        <w:rPr>
          <w:rFonts w:hint="cs"/>
          <w:sz w:val="27"/>
          <w:rtl/>
          <w:lang w:bidi="ar-LB"/>
        </w:rPr>
        <w:t xml:space="preserve"> ممّا لا يخفى كونها مقرّ</w:t>
      </w:r>
      <w:r w:rsidR="00020906" w:rsidRPr="006571AC">
        <w:rPr>
          <w:rFonts w:hint="cs"/>
          <w:sz w:val="27"/>
          <w:rtl/>
          <w:lang w:bidi="ar-LB"/>
        </w:rPr>
        <w:t>ِ</w:t>
      </w:r>
      <w:r w:rsidRPr="006571AC">
        <w:rPr>
          <w:rFonts w:hint="cs"/>
          <w:sz w:val="27"/>
          <w:rtl/>
          <w:lang w:bidi="ar-LB"/>
        </w:rPr>
        <w:t>بة</w:t>
      </w:r>
      <w:r w:rsidR="00020906" w:rsidRPr="006571AC">
        <w:rPr>
          <w:rFonts w:hint="cs"/>
          <w:sz w:val="27"/>
          <w:rtl/>
          <w:lang w:bidi="ar-LB"/>
        </w:rPr>
        <w:t>ً</w:t>
      </w:r>
      <w:r w:rsidRPr="006571AC">
        <w:rPr>
          <w:rFonts w:hint="cs"/>
          <w:sz w:val="27"/>
          <w:rtl/>
          <w:lang w:bidi="ar-LB"/>
        </w:rPr>
        <w:t xml:space="preserve"> </w:t>
      </w:r>
      <w:r w:rsidR="00020906" w:rsidRPr="006571AC">
        <w:rPr>
          <w:rFonts w:hint="cs"/>
          <w:sz w:val="27"/>
          <w:rtl/>
          <w:lang w:bidi="ar-LB"/>
        </w:rPr>
        <w:t>إ</w:t>
      </w:r>
      <w:r w:rsidRPr="006571AC">
        <w:rPr>
          <w:rFonts w:hint="cs"/>
          <w:sz w:val="27"/>
          <w:rtl/>
          <w:lang w:bidi="ar-LB"/>
        </w:rPr>
        <w:t>لى النار ومبعّ</w:t>
      </w:r>
      <w:r w:rsidR="00020906" w:rsidRPr="006571AC">
        <w:rPr>
          <w:rFonts w:hint="cs"/>
          <w:sz w:val="27"/>
          <w:rtl/>
          <w:lang w:bidi="ar-LB"/>
        </w:rPr>
        <w:t>ِ</w:t>
      </w:r>
      <w:r w:rsidRPr="006571AC">
        <w:rPr>
          <w:rFonts w:hint="cs"/>
          <w:sz w:val="27"/>
          <w:rtl/>
          <w:lang w:bidi="ar-LB"/>
        </w:rPr>
        <w:t>دة من الجنّة، فإنّ اتصافها بالتقريب والتبعيد لا يتوق</w:t>
      </w:r>
      <w:r w:rsidR="00D47CA8" w:rsidRPr="006571AC">
        <w:rPr>
          <w:rFonts w:hint="cs"/>
          <w:sz w:val="27"/>
          <w:rtl/>
          <w:lang w:bidi="ar-LB"/>
        </w:rPr>
        <w:t>ّف</w:t>
      </w:r>
      <w:r w:rsidRPr="006571AC">
        <w:rPr>
          <w:rFonts w:hint="cs"/>
          <w:sz w:val="27"/>
          <w:rtl/>
          <w:lang w:bidi="ar-LB"/>
        </w:rPr>
        <w:t xml:space="preserve"> على تعل</w:t>
      </w:r>
      <w:r w:rsidR="00020906" w:rsidRPr="006571AC">
        <w:rPr>
          <w:rFonts w:hint="cs"/>
          <w:sz w:val="27"/>
          <w:rtl/>
          <w:lang w:bidi="ar-LB"/>
        </w:rPr>
        <w:t>ُّ</w:t>
      </w:r>
      <w:r w:rsidRPr="006571AC">
        <w:rPr>
          <w:rFonts w:hint="cs"/>
          <w:sz w:val="27"/>
          <w:rtl/>
          <w:lang w:bidi="ar-LB"/>
        </w:rPr>
        <w:t>ق الأمر والنهي بها</w:t>
      </w:r>
      <w:r w:rsidR="00D47CA8"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وهذا أيضاً يخالف العموم المصرّ</w:t>
      </w:r>
      <w:r w:rsidR="00D47CA8" w:rsidRPr="006571AC">
        <w:rPr>
          <w:rFonts w:hint="cs"/>
          <w:sz w:val="27"/>
          <w:rtl/>
          <w:lang w:bidi="ar-LB"/>
        </w:rPr>
        <w:t>َ</w:t>
      </w:r>
      <w:r w:rsidRPr="006571AC">
        <w:rPr>
          <w:rFonts w:hint="cs"/>
          <w:sz w:val="27"/>
          <w:rtl/>
          <w:lang w:bidi="ar-LB"/>
        </w:rPr>
        <w:t>ح به في الرواية</w:t>
      </w:r>
      <w:r w:rsidR="00D47CA8" w:rsidRPr="006571AC">
        <w:rPr>
          <w:rFonts w:hint="cs"/>
          <w:sz w:val="27"/>
          <w:rtl/>
          <w:lang w:bidi="ar-LB"/>
        </w:rPr>
        <w:t>،</w:t>
      </w:r>
      <w:r w:rsidRPr="006571AC">
        <w:rPr>
          <w:rFonts w:hint="cs"/>
          <w:sz w:val="27"/>
          <w:rtl/>
          <w:lang w:bidi="ar-LB"/>
        </w:rPr>
        <w:t xml:space="preserve"> بقوله</w:t>
      </w:r>
      <w:r w:rsidR="00D47CA8"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ما من شيء</w:t>
      </w:r>
      <w:r w:rsidR="00D47CA8" w:rsidRPr="006571AC">
        <w:rPr>
          <w:rFonts w:hint="cs"/>
          <w:sz w:val="27"/>
          <w:rtl/>
          <w:lang w:bidi="ar-LB"/>
        </w:rPr>
        <w:t>ٍ</w:t>
      </w:r>
      <w:r w:rsidRPr="006571AC">
        <w:rPr>
          <w:rFonts w:hint="eastAsia"/>
          <w:sz w:val="24"/>
          <w:szCs w:val="24"/>
          <w:rtl/>
        </w:rPr>
        <w:t>»</w:t>
      </w:r>
      <w:r w:rsidRPr="006571AC">
        <w:rPr>
          <w:rFonts w:hint="cs"/>
          <w:sz w:val="27"/>
          <w:rtl/>
          <w:lang w:bidi="ar-LB"/>
        </w:rPr>
        <w:t>. ولكن</w:t>
      </w:r>
      <w:r w:rsidR="00D47CA8" w:rsidRPr="006571AC">
        <w:rPr>
          <w:rFonts w:hint="cs"/>
          <w:sz w:val="27"/>
          <w:rtl/>
          <w:lang w:bidi="ar-LB"/>
        </w:rPr>
        <w:t>ّ</w:t>
      </w:r>
      <w:r w:rsidRPr="006571AC">
        <w:rPr>
          <w:rFonts w:hint="cs"/>
          <w:sz w:val="27"/>
          <w:rtl/>
          <w:lang w:bidi="ar-LB"/>
        </w:rPr>
        <w:t>ه أقرب الوجوه</w:t>
      </w:r>
      <w:r w:rsidR="00D47CA8" w:rsidRPr="006571AC">
        <w:rPr>
          <w:rFonts w:hint="cs"/>
          <w:sz w:val="27"/>
          <w:rtl/>
          <w:lang w:bidi="ar-LB"/>
        </w:rPr>
        <w:t>.</w:t>
      </w:r>
      <w:r w:rsidRPr="006571AC">
        <w:rPr>
          <w:rFonts w:hint="cs"/>
          <w:sz w:val="27"/>
          <w:rtl/>
          <w:lang w:bidi="ar-LB"/>
        </w:rPr>
        <w:t xml:space="preserve"> وعدم دلالة الرواية على المطلوب بناءً على هذا الوجه أوضح من سابقه، فتأمّ</w:t>
      </w:r>
      <w:r w:rsidR="00D47CA8" w:rsidRPr="006571AC">
        <w:rPr>
          <w:rFonts w:hint="cs"/>
          <w:sz w:val="27"/>
          <w:rtl/>
          <w:lang w:bidi="ar-LB"/>
        </w:rPr>
        <w:t>َ</w:t>
      </w:r>
      <w:r w:rsidRPr="006571AC">
        <w:rPr>
          <w:rFonts w:hint="cs"/>
          <w:sz w:val="27"/>
          <w:rtl/>
          <w:lang w:bidi="ar-LB"/>
        </w:rPr>
        <w:t>ل</w:t>
      </w:r>
      <w:r w:rsidR="00D47CA8" w:rsidRPr="006571AC">
        <w:rPr>
          <w:rFonts w:hint="cs"/>
          <w:sz w:val="27"/>
          <w:rtl/>
          <w:lang w:bidi="ar-LB"/>
        </w:rPr>
        <w:t>ْ</w:t>
      </w:r>
      <w:r w:rsidRPr="006571AC">
        <w:rPr>
          <w:rFonts w:hint="cs"/>
          <w:sz w:val="27"/>
          <w:rtl/>
          <w:lang w:bidi="ar-LB"/>
        </w:rPr>
        <w:t xml:space="preserve"> جيّداً.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الرواية السادسة</w:t>
      </w:r>
      <w:r w:rsidRPr="006571AC">
        <w:rPr>
          <w:rFonts w:hint="cs"/>
          <w:sz w:val="27"/>
          <w:rtl/>
          <w:lang w:bidi="ar-LB"/>
        </w:rPr>
        <w:t>: النبويّ المشهور المرويّ في مقبولة عمر بن حنظلة وغيرها</w:t>
      </w:r>
      <w:r w:rsidR="00D47CA8" w:rsidRPr="006571AC">
        <w:rPr>
          <w:rFonts w:hint="cs"/>
          <w:sz w:val="27"/>
          <w:rtl/>
          <w:lang w:bidi="ar-LB"/>
        </w:rPr>
        <w:t>،</w:t>
      </w:r>
      <w:r w:rsidRPr="006571AC">
        <w:rPr>
          <w:rFonts w:hint="cs"/>
          <w:sz w:val="27"/>
          <w:rtl/>
          <w:lang w:bidi="ar-LB"/>
        </w:rPr>
        <w:t xml:space="preserve"> القائلة: </w:t>
      </w:r>
      <w:r w:rsidRPr="006571AC">
        <w:rPr>
          <w:rFonts w:hint="eastAsia"/>
          <w:sz w:val="24"/>
          <w:szCs w:val="24"/>
          <w:rtl/>
          <w:lang w:bidi="ar-LB"/>
        </w:rPr>
        <w:t>«</w:t>
      </w:r>
      <w:r w:rsidRPr="006571AC">
        <w:rPr>
          <w:rFonts w:hint="cs"/>
          <w:sz w:val="27"/>
          <w:rtl/>
          <w:lang w:bidi="ar-LB"/>
        </w:rPr>
        <w:t>إنّما الأمور ثلاثة: أمر</w:t>
      </w:r>
      <w:r w:rsidR="00D47CA8" w:rsidRPr="006571AC">
        <w:rPr>
          <w:rFonts w:hint="cs"/>
          <w:sz w:val="27"/>
          <w:rtl/>
          <w:lang w:bidi="ar-LB"/>
        </w:rPr>
        <w:t>ٌ</w:t>
      </w:r>
      <w:r w:rsidRPr="006571AC">
        <w:rPr>
          <w:rFonts w:hint="cs"/>
          <w:sz w:val="27"/>
          <w:rtl/>
          <w:lang w:bidi="ar-LB"/>
        </w:rPr>
        <w:t xml:space="preserve"> بيّن</w:t>
      </w:r>
      <w:r w:rsidR="00D47CA8" w:rsidRPr="006571AC">
        <w:rPr>
          <w:rFonts w:hint="cs"/>
          <w:sz w:val="27"/>
          <w:rtl/>
          <w:lang w:bidi="ar-LB"/>
        </w:rPr>
        <w:t>ٌ</w:t>
      </w:r>
      <w:r w:rsidRPr="006571AC">
        <w:rPr>
          <w:rFonts w:hint="cs"/>
          <w:sz w:val="27"/>
          <w:rtl/>
          <w:lang w:bidi="ar-LB"/>
        </w:rPr>
        <w:t xml:space="preserve"> رشد</w:t>
      </w:r>
      <w:r w:rsidR="00D47CA8" w:rsidRPr="006571AC">
        <w:rPr>
          <w:rFonts w:hint="cs"/>
          <w:sz w:val="27"/>
          <w:rtl/>
          <w:lang w:bidi="ar-LB"/>
        </w:rPr>
        <w:t>ُ</w:t>
      </w:r>
      <w:r w:rsidRPr="006571AC">
        <w:rPr>
          <w:rFonts w:hint="cs"/>
          <w:sz w:val="27"/>
          <w:rtl/>
          <w:lang w:bidi="ar-LB"/>
        </w:rPr>
        <w:t>ه في</w:t>
      </w:r>
      <w:r w:rsidR="004D725F" w:rsidRPr="006571AC">
        <w:rPr>
          <w:rFonts w:hint="cs"/>
          <w:sz w:val="27"/>
          <w:rtl/>
          <w:lang w:bidi="ar-LB"/>
        </w:rPr>
        <w:t>ُ</w:t>
      </w:r>
      <w:r w:rsidRPr="006571AC">
        <w:rPr>
          <w:rFonts w:hint="cs"/>
          <w:sz w:val="27"/>
          <w:rtl/>
          <w:lang w:bidi="ar-LB"/>
        </w:rPr>
        <w:t>تب</w:t>
      </w:r>
      <w:r w:rsidR="00D47CA8" w:rsidRPr="006571AC">
        <w:rPr>
          <w:rFonts w:hint="cs"/>
          <w:sz w:val="27"/>
          <w:rtl/>
          <w:lang w:bidi="ar-LB"/>
        </w:rPr>
        <w:t>َّ</w:t>
      </w:r>
      <w:r w:rsidRPr="006571AC">
        <w:rPr>
          <w:rFonts w:hint="cs"/>
          <w:sz w:val="27"/>
          <w:rtl/>
          <w:lang w:bidi="ar-LB"/>
        </w:rPr>
        <w:t>ع</w:t>
      </w:r>
      <w:r w:rsidR="004D725F" w:rsidRPr="006571AC">
        <w:rPr>
          <w:rFonts w:hint="cs"/>
          <w:sz w:val="27"/>
          <w:rtl/>
          <w:lang w:bidi="ar-LB"/>
        </w:rPr>
        <w:t>؛</w:t>
      </w:r>
      <w:r w:rsidRPr="006571AC">
        <w:rPr>
          <w:rFonts w:hint="cs"/>
          <w:sz w:val="27"/>
          <w:rtl/>
          <w:lang w:bidi="ar-LB"/>
        </w:rPr>
        <w:t xml:space="preserve"> وأمر</w:t>
      </w:r>
      <w:r w:rsidR="00D47CA8" w:rsidRPr="006571AC">
        <w:rPr>
          <w:rFonts w:hint="cs"/>
          <w:sz w:val="27"/>
          <w:rtl/>
          <w:lang w:bidi="ar-LB"/>
        </w:rPr>
        <w:t>ٌ</w:t>
      </w:r>
      <w:r w:rsidRPr="006571AC">
        <w:rPr>
          <w:rFonts w:hint="cs"/>
          <w:sz w:val="27"/>
          <w:rtl/>
          <w:lang w:bidi="ar-LB"/>
        </w:rPr>
        <w:t xml:space="preserve"> بيّن</w:t>
      </w:r>
      <w:r w:rsidR="00D47CA8" w:rsidRPr="006571AC">
        <w:rPr>
          <w:rFonts w:hint="cs"/>
          <w:sz w:val="27"/>
          <w:rtl/>
          <w:lang w:bidi="ar-LB"/>
        </w:rPr>
        <w:t>ٌ</w:t>
      </w:r>
      <w:r w:rsidRPr="006571AC">
        <w:rPr>
          <w:rFonts w:hint="cs"/>
          <w:sz w:val="27"/>
          <w:rtl/>
          <w:lang w:bidi="ar-LB"/>
        </w:rPr>
        <w:t xml:space="preserve"> غيّ</w:t>
      </w:r>
      <w:r w:rsidR="004D725F" w:rsidRPr="006571AC">
        <w:rPr>
          <w:rFonts w:hint="cs"/>
          <w:sz w:val="27"/>
          <w:rtl/>
          <w:lang w:bidi="ar-LB"/>
        </w:rPr>
        <w:t>ُ</w:t>
      </w:r>
      <w:r w:rsidRPr="006571AC">
        <w:rPr>
          <w:rFonts w:hint="cs"/>
          <w:sz w:val="27"/>
          <w:rtl/>
          <w:lang w:bidi="ar-LB"/>
        </w:rPr>
        <w:t>ه في</w:t>
      </w:r>
      <w:r w:rsidR="004D725F" w:rsidRPr="006571AC">
        <w:rPr>
          <w:rFonts w:hint="cs"/>
          <w:sz w:val="27"/>
          <w:rtl/>
          <w:lang w:bidi="ar-LB"/>
        </w:rPr>
        <w:t>ُ</w:t>
      </w:r>
      <w:r w:rsidRPr="006571AC">
        <w:rPr>
          <w:rFonts w:hint="cs"/>
          <w:sz w:val="27"/>
          <w:rtl/>
          <w:lang w:bidi="ar-LB"/>
        </w:rPr>
        <w:t>ج</w:t>
      </w:r>
      <w:r w:rsidR="004D725F" w:rsidRPr="006571AC">
        <w:rPr>
          <w:rFonts w:hint="cs"/>
          <w:sz w:val="27"/>
          <w:rtl/>
          <w:lang w:bidi="ar-LB"/>
        </w:rPr>
        <w:t>تَ</w:t>
      </w:r>
      <w:r w:rsidRPr="006571AC">
        <w:rPr>
          <w:rFonts w:hint="cs"/>
          <w:sz w:val="27"/>
          <w:rtl/>
          <w:lang w:bidi="ar-LB"/>
        </w:rPr>
        <w:t>ن</w:t>
      </w:r>
      <w:r w:rsidR="004D725F" w:rsidRPr="006571AC">
        <w:rPr>
          <w:rFonts w:hint="cs"/>
          <w:sz w:val="27"/>
          <w:rtl/>
          <w:lang w:bidi="ar-LB"/>
        </w:rPr>
        <w:t>َ</w:t>
      </w:r>
      <w:r w:rsidRPr="006571AC">
        <w:rPr>
          <w:rFonts w:hint="cs"/>
          <w:sz w:val="27"/>
          <w:rtl/>
          <w:lang w:bidi="ar-LB"/>
        </w:rPr>
        <w:t>ب</w:t>
      </w:r>
      <w:r w:rsidR="004D725F" w:rsidRPr="006571AC">
        <w:rPr>
          <w:rFonts w:hint="cs"/>
          <w:sz w:val="27"/>
          <w:rtl/>
          <w:lang w:bidi="ar-LB"/>
        </w:rPr>
        <w:t>؛</w:t>
      </w:r>
      <w:r w:rsidRPr="006571AC">
        <w:rPr>
          <w:rFonts w:hint="cs"/>
          <w:sz w:val="27"/>
          <w:rtl/>
          <w:lang w:bidi="ar-LB"/>
        </w:rPr>
        <w:t xml:space="preserve"> وأمر</w:t>
      </w:r>
      <w:r w:rsidR="004D725F" w:rsidRPr="006571AC">
        <w:rPr>
          <w:rFonts w:hint="cs"/>
          <w:sz w:val="27"/>
          <w:rtl/>
          <w:lang w:bidi="ar-LB"/>
        </w:rPr>
        <w:t>ٌ</w:t>
      </w:r>
      <w:r w:rsidRPr="006571AC">
        <w:rPr>
          <w:rFonts w:hint="cs"/>
          <w:sz w:val="27"/>
          <w:rtl/>
          <w:lang w:bidi="ar-LB"/>
        </w:rPr>
        <w:t xml:space="preserve"> مشكل</w:t>
      </w:r>
      <w:r w:rsidR="004D725F" w:rsidRPr="006571AC">
        <w:rPr>
          <w:rFonts w:hint="cs"/>
          <w:sz w:val="27"/>
          <w:rtl/>
          <w:lang w:bidi="ar-LB"/>
        </w:rPr>
        <w:t>ٌ</w:t>
      </w:r>
      <w:r w:rsidRPr="006571AC">
        <w:rPr>
          <w:rFonts w:hint="cs"/>
          <w:sz w:val="27"/>
          <w:rtl/>
          <w:lang w:bidi="ar-LB"/>
        </w:rPr>
        <w:t>، ي</w:t>
      </w:r>
      <w:r w:rsidR="004D725F" w:rsidRPr="006571AC">
        <w:rPr>
          <w:rFonts w:hint="cs"/>
          <w:sz w:val="27"/>
          <w:rtl/>
          <w:lang w:bidi="ar-LB"/>
        </w:rPr>
        <w:t>ُ</w:t>
      </w:r>
      <w:r w:rsidRPr="006571AC">
        <w:rPr>
          <w:rFonts w:hint="cs"/>
          <w:sz w:val="27"/>
          <w:rtl/>
          <w:lang w:bidi="ar-LB"/>
        </w:rPr>
        <w:t>ر</w:t>
      </w:r>
      <w:r w:rsidR="004D725F" w:rsidRPr="006571AC">
        <w:rPr>
          <w:rFonts w:hint="cs"/>
          <w:sz w:val="27"/>
          <w:rtl/>
          <w:lang w:bidi="ar-LB"/>
        </w:rPr>
        <w:t>َ</w:t>
      </w:r>
      <w:r w:rsidRPr="006571AC">
        <w:rPr>
          <w:rFonts w:hint="cs"/>
          <w:sz w:val="27"/>
          <w:rtl/>
          <w:lang w:bidi="ar-LB"/>
        </w:rPr>
        <w:t>دّ</w:t>
      </w:r>
      <w:r w:rsidR="004D725F" w:rsidRPr="006571AC">
        <w:rPr>
          <w:rFonts w:hint="cs"/>
          <w:sz w:val="27"/>
          <w:rtl/>
          <w:lang w:bidi="ar-LB"/>
        </w:rPr>
        <w:t>ُ</w:t>
      </w:r>
      <w:r w:rsidRPr="006571AC">
        <w:rPr>
          <w:rFonts w:hint="cs"/>
          <w:sz w:val="27"/>
          <w:rtl/>
          <w:lang w:bidi="ar-LB"/>
        </w:rPr>
        <w:t xml:space="preserve"> علم</w:t>
      </w:r>
      <w:r w:rsidR="004D725F" w:rsidRPr="006571AC">
        <w:rPr>
          <w:rFonts w:hint="cs"/>
          <w:sz w:val="27"/>
          <w:rtl/>
          <w:lang w:bidi="ar-LB"/>
        </w:rPr>
        <w:t>ُ</w:t>
      </w:r>
      <w:r w:rsidRPr="006571AC">
        <w:rPr>
          <w:rFonts w:hint="cs"/>
          <w:sz w:val="27"/>
          <w:rtl/>
          <w:lang w:bidi="ar-LB"/>
        </w:rPr>
        <w:t xml:space="preserve">ه </w:t>
      </w:r>
      <w:r w:rsidR="004D725F" w:rsidRPr="006571AC">
        <w:rPr>
          <w:rFonts w:hint="cs"/>
          <w:sz w:val="27"/>
          <w:rtl/>
          <w:lang w:bidi="ar-LB"/>
        </w:rPr>
        <w:t>إ</w:t>
      </w:r>
      <w:r w:rsidRPr="006571AC">
        <w:rPr>
          <w:rFonts w:hint="cs"/>
          <w:sz w:val="27"/>
          <w:rtl/>
          <w:lang w:bidi="ar-LB"/>
        </w:rPr>
        <w:t>لى الله و</w:t>
      </w:r>
      <w:r w:rsidR="004D725F" w:rsidRPr="006571AC">
        <w:rPr>
          <w:rFonts w:hint="cs"/>
          <w:sz w:val="27"/>
          <w:rtl/>
          <w:lang w:bidi="ar-LB"/>
        </w:rPr>
        <w:t>إ</w:t>
      </w:r>
      <w:r w:rsidRPr="006571AC">
        <w:rPr>
          <w:rFonts w:hint="cs"/>
          <w:sz w:val="27"/>
          <w:rtl/>
          <w:lang w:bidi="ar-LB"/>
        </w:rPr>
        <w:t>لى رسوله، قال رسول الله</w:t>
      </w:r>
      <w:r w:rsidR="004D725F" w:rsidRPr="006571AC">
        <w:rPr>
          <w:rFonts w:ascii="Mosawi" w:hAnsi="Mosawi" w:cs="Mosawi"/>
          <w:sz w:val="22"/>
          <w:szCs w:val="22"/>
          <w:rtl/>
        </w:rPr>
        <w:t>|</w:t>
      </w:r>
      <w:r w:rsidRPr="006571AC">
        <w:rPr>
          <w:rFonts w:hint="cs"/>
          <w:sz w:val="27"/>
          <w:rtl/>
          <w:lang w:bidi="ar-LB"/>
        </w:rPr>
        <w:t>: حلال</w:t>
      </w:r>
      <w:r w:rsidR="004D725F" w:rsidRPr="006571AC">
        <w:rPr>
          <w:rFonts w:hint="cs"/>
          <w:sz w:val="27"/>
          <w:rtl/>
          <w:lang w:bidi="ar-LB"/>
        </w:rPr>
        <w:t>ٌ</w:t>
      </w:r>
      <w:r w:rsidRPr="006571AC">
        <w:rPr>
          <w:rFonts w:hint="cs"/>
          <w:sz w:val="27"/>
          <w:rtl/>
          <w:lang w:bidi="ar-LB"/>
        </w:rPr>
        <w:t xml:space="preserve"> بيّن</w:t>
      </w:r>
      <w:r w:rsidR="004D725F" w:rsidRPr="006571AC">
        <w:rPr>
          <w:rFonts w:hint="cs"/>
          <w:sz w:val="27"/>
          <w:rtl/>
          <w:lang w:bidi="ar-LB"/>
        </w:rPr>
        <w:t>؛</w:t>
      </w:r>
      <w:r w:rsidRPr="006571AC">
        <w:rPr>
          <w:rFonts w:hint="cs"/>
          <w:sz w:val="27"/>
          <w:rtl/>
          <w:lang w:bidi="ar-LB"/>
        </w:rPr>
        <w:t xml:space="preserve"> وحرام</w:t>
      </w:r>
      <w:r w:rsidR="004D725F" w:rsidRPr="006571AC">
        <w:rPr>
          <w:rFonts w:hint="cs"/>
          <w:sz w:val="27"/>
          <w:rtl/>
          <w:lang w:bidi="ar-LB"/>
        </w:rPr>
        <w:t>ٌ</w:t>
      </w:r>
      <w:r w:rsidRPr="006571AC">
        <w:rPr>
          <w:rFonts w:hint="cs"/>
          <w:sz w:val="27"/>
          <w:rtl/>
          <w:lang w:bidi="ar-LB"/>
        </w:rPr>
        <w:t xml:space="preserve"> بيّن</w:t>
      </w:r>
      <w:r w:rsidR="004D725F" w:rsidRPr="006571AC">
        <w:rPr>
          <w:rFonts w:hint="cs"/>
          <w:sz w:val="27"/>
          <w:rtl/>
          <w:lang w:bidi="ar-LB"/>
        </w:rPr>
        <w:t>؛</w:t>
      </w:r>
      <w:r w:rsidRPr="006571AC">
        <w:rPr>
          <w:rFonts w:hint="cs"/>
          <w:sz w:val="27"/>
          <w:rtl/>
          <w:lang w:bidi="ar-LB"/>
        </w:rPr>
        <w:t xml:space="preserve"> وشبهات</w:t>
      </w:r>
      <w:r w:rsidR="004D725F" w:rsidRPr="006571AC">
        <w:rPr>
          <w:rFonts w:hint="cs"/>
          <w:sz w:val="27"/>
          <w:rtl/>
          <w:lang w:bidi="ar-LB"/>
        </w:rPr>
        <w:t>ٌ</w:t>
      </w:r>
      <w:r w:rsidRPr="006571AC">
        <w:rPr>
          <w:rFonts w:hint="cs"/>
          <w:sz w:val="27"/>
          <w:rtl/>
          <w:lang w:bidi="ar-LB"/>
        </w:rPr>
        <w:t xml:space="preserve"> بين ذلك</w:t>
      </w:r>
      <w:r w:rsidR="004D725F" w:rsidRPr="006571AC">
        <w:rPr>
          <w:rFonts w:hint="cs"/>
          <w:sz w:val="27"/>
          <w:rtl/>
          <w:lang w:bidi="ar-LB"/>
        </w:rPr>
        <w:t>.</w:t>
      </w:r>
      <w:r w:rsidRPr="006571AC">
        <w:rPr>
          <w:rFonts w:hint="cs"/>
          <w:sz w:val="27"/>
          <w:rtl/>
          <w:lang w:bidi="ar-LB"/>
        </w:rPr>
        <w:t xml:space="preserve"> فم</w:t>
      </w:r>
      <w:r w:rsidR="004D725F" w:rsidRPr="006571AC">
        <w:rPr>
          <w:rFonts w:hint="cs"/>
          <w:sz w:val="27"/>
          <w:rtl/>
          <w:lang w:bidi="ar-LB"/>
        </w:rPr>
        <w:t>َ</w:t>
      </w:r>
      <w:r w:rsidRPr="006571AC">
        <w:rPr>
          <w:rFonts w:hint="cs"/>
          <w:sz w:val="27"/>
          <w:rtl/>
          <w:lang w:bidi="ar-LB"/>
        </w:rPr>
        <w:t>ن</w:t>
      </w:r>
      <w:r w:rsidR="004D725F" w:rsidRPr="006571AC">
        <w:rPr>
          <w:rFonts w:hint="cs"/>
          <w:sz w:val="27"/>
          <w:rtl/>
          <w:lang w:bidi="ar-LB"/>
        </w:rPr>
        <w:t>ْ</w:t>
      </w:r>
      <w:r w:rsidRPr="006571AC">
        <w:rPr>
          <w:rFonts w:hint="cs"/>
          <w:sz w:val="27"/>
          <w:rtl/>
          <w:lang w:bidi="ar-LB"/>
        </w:rPr>
        <w:t xml:space="preserve"> ترك الشبهات نجا من المحرّ</w:t>
      </w:r>
      <w:r w:rsidR="004D725F" w:rsidRPr="006571AC">
        <w:rPr>
          <w:rFonts w:hint="cs"/>
          <w:sz w:val="27"/>
          <w:rtl/>
          <w:lang w:bidi="ar-LB"/>
        </w:rPr>
        <w:t>َ</w:t>
      </w:r>
      <w:r w:rsidRPr="006571AC">
        <w:rPr>
          <w:rFonts w:hint="cs"/>
          <w:sz w:val="27"/>
          <w:rtl/>
          <w:lang w:bidi="ar-LB"/>
        </w:rPr>
        <w:t>مات، وم</w:t>
      </w:r>
      <w:r w:rsidR="004D725F" w:rsidRPr="006571AC">
        <w:rPr>
          <w:rFonts w:hint="cs"/>
          <w:sz w:val="27"/>
          <w:rtl/>
          <w:lang w:bidi="ar-LB"/>
        </w:rPr>
        <w:t>َ</w:t>
      </w:r>
      <w:r w:rsidRPr="006571AC">
        <w:rPr>
          <w:rFonts w:hint="cs"/>
          <w:sz w:val="27"/>
          <w:rtl/>
          <w:lang w:bidi="ar-LB"/>
        </w:rPr>
        <w:t>ن</w:t>
      </w:r>
      <w:r w:rsidR="004D725F" w:rsidRPr="006571AC">
        <w:rPr>
          <w:rFonts w:hint="cs"/>
          <w:sz w:val="27"/>
          <w:rtl/>
          <w:lang w:bidi="ar-LB"/>
        </w:rPr>
        <w:t>ْ أخذ بالش</w:t>
      </w:r>
      <w:r w:rsidRPr="006571AC">
        <w:rPr>
          <w:rFonts w:hint="cs"/>
          <w:sz w:val="27"/>
          <w:rtl/>
          <w:lang w:bidi="ar-LB"/>
        </w:rPr>
        <w:t xml:space="preserve">بهات ارتكب </w:t>
      </w:r>
      <w:r w:rsidRPr="006571AC">
        <w:rPr>
          <w:rFonts w:hint="cs"/>
          <w:sz w:val="27"/>
          <w:rtl/>
          <w:lang w:bidi="ar-LB"/>
        </w:rPr>
        <w:lastRenderedPageBreak/>
        <w:t>المحرّ</w:t>
      </w:r>
      <w:r w:rsidR="004D725F" w:rsidRPr="006571AC">
        <w:rPr>
          <w:rFonts w:hint="cs"/>
          <w:sz w:val="27"/>
          <w:rtl/>
          <w:lang w:bidi="ar-LB"/>
        </w:rPr>
        <w:t>َ</w:t>
      </w:r>
      <w:r w:rsidRPr="006571AC">
        <w:rPr>
          <w:rFonts w:hint="cs"/>
          <w:sz w:val="27"/>
          <w:rtl/>
          <w:lang w:bidi="ar-LB"/>
        </w:rPr>
        <w:t>مات</w:t>
      </w:r>
      <w:r w:rsidR="004D725F" w:rsidRPr="006571AC">
        <w:rPr>
          <w:rFonts w:hint="cs"/>
          <w:sz w:val="27"/>
          <w:rtl/>
          <w:lang w:bidi="ar-LB"/>
        </w:rPr>
        <w:t>،</w:t>
      </w:r>
      <w:r w:rsidRPr="006571AC">
        <w:rPr>
          <w:rFonts w:hint="cs"/>
          <w:sz w:val="27"/>
          <w:rtl/>
          <w:lang w:bidi="ar-LB"/>
        </w:rPr>
        <w:t xml:space="preserve"> وهلك من حيث لا يعلم</w:t>
      </w:r>
      <w:r w:rsidRPr="006571AC">
        <w:rPr>
          <w:rFonts w:hint="eastAsia"/>
          <w:sz w:val="24"/>
          <w:szCs w:val="24"/>
          <w:rtl/>
        </w:rPr>
        <w:t>»</w:t>
      </w:r>
      <w:r w:rsidRPr="006571AC">
        <w:rPr>
          <w:rFonts w:hint="cs"/>
          <w:sz w:val="27"/>
          <w:vertAlign w:val="superscript"/>
          <w:rtl/>
        </w:rPr>
        <w:t>(</w:t>
      </w:r>
      <w:r w:rsidRPr="006571AC">
        <w:rPr>
          <w:rStyle w:val="ac"/>
          <w:sz w:val="27"/>
          <w:rtl/>
        </w:rPr>
        <w:endnoteReference w:id="640"/>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وتقريب الاستدلال بها ـ كما عن بعض المعاصرين</w:t>
      </w:r>
      <w:r w:rsidRPr="006571AC">
        <w:rPr>
          <w:sz w:val="27"/>
          <w:vertAlign w:val="superscript"/>
          <w:rtl/>
          <w:lang w:bidi="ar-LB"/>
        </w:rPr>
        <w:t>(</w:t>
      </w:r>
      <w:r w:rsidRPr="006571AC">
        <w:rPr>
          <w:rStyle w:val="ac"/>
          <w:sz w:val="27"/>
          <w:rtl/>
          <w:lang w:bidi="ar-LB"/>
        </w:rPr>
        <w:endnoteReference w:id="641"/>
      </w:r>
      <w:r w:rsidRPr="006571AC">
        <w:rPr>
          <w:sz w:val="27"/>
          <w:vertAlign w:val="superscript"/>
          <w:rtl/>
          <w:lang w:bidi="ar-LB"/>
        </w:rPr>
        <w:t>)</w:t>
      </w:r>
      <w:r w:rsidRPr="006571AC">
        <w:rPr>
          <w:rFonts w:hint="cs"/>
          <w:sz w:val="27"/>
          <w:rtl/>
          <w:lang w:bidi="ar-LB"/>
        </w:rPr>
        <w:t xml:space="preserve"> </w:t>
      </w:r>
      <w:r w:rsidRPr="006571AC">
        <w:rPr>
          <w:sz w:val="27"/>
          <w:rtl/>
          <w:lang w:bidi="ar-LB"/>
        </w:rPr>
        <w:t xml:space="preserve">ـ </w:t>
      </w:r>
      <w:r w:rsidR="004D725F" w:rsidRPr="006571AC">
        <w:rPr>
          <w:rFonts w:hint="cs"/>
          <w:sz w:val="27"/>
          <w:rtl/>
          <w:lang w:bidi="ar-LB"/>
        </w:rPr>
        <w:t>أنّ</w:t>
      </w:r>
      <w:r w:rsidRPr="006571AC">
        <w:rPr>
          <w:rFonts w:hint="cs"/>
          <w:sz w:val="27"/>
          <w:rtl/>
          <w:lang w:bidi="ar-LB"/>
        </w:rPr>
        <w:t xml:space="preserve"> الأمور قد حصرت فيها في الحلال والحرام، وأمّا الشبهة فهي دائرة</w:t>
      </w:r>
      <w:r w:rsidR="004D725F" w:rsidRPr="006571AC">
        <w:rPr>
          <w:rFonts w:hint="cs"/>
          <w:sz w:val="27"/>
          <w:rtl/>
          <w:lang w:bidi="ar-LB"/>
        </w:rPr>
        <w:t>ٌ</w:t>
      </w:r>
      <w:r w:rsidRPr="006571AC">
        <w:rPr>
          <w:rFonts w:hint="cs"/>
          <w:sz w:val="27"/>
          <w:rtl/>
          <w:lang w:bidi="ar-LB"/>
        </w:rPr>
        <w:t xml:space="preserve"> بينهما</w:t>
      </w:r>
      <w:r w:rsidR="004D725F" w:rsidRPr="006571AC">
        <w:rPr>
          <w:rFonts w:hint="cs"/>
          <w:sz w:val="27"/>
          <w:rtl/>
          <w:lang w:bidi="ar-LB"/>
        </w:rPr>
        <w:t>،</w:t>
      </w:r>
      <w:r w:rsidRPr="006571AC">
        <w:rPr>
          <w:rFonts w:hint="cs"/>
          <w:sz w:val="27"/>
          <w:rtl/>
          <w:lang w:bidi="ar-LB"/>
        </w:rPr>
        <w:t xml:space="preserve"> كما يظهر من الرواية، والمراد بالحلال معناه الأعمّ، فيكون المقصود </w:t>
      </w:r>
      <w:r w:rsidR="004D725F" w:rsidRPr="006571AC">
        <w:rPr>
          <w:rFonts w:hint="cs"/>
          <w:sz w:val="27"/>
          <w:rtl/>
          <w:lang w:bidi="ar-LB"/>
        </w:rPr>
        <w:t>أنّ</w:t>
      </w:r>
      <w:r w:rsidRPr="006571AC">
        <w:rPr>
          <w:rFonts w:hint="cs"/>
          <w:sz w:val="27"/>
          <w:rtl/>
          <w:lang w:bidi="ar-LB"/>
        </w:rPr>
        <w:t xml:space="preserve"> الواقع لا</w:t>
      </w:r>
      <w:r w:rsidR="004D725F" w:rsidRPr="006571AC">
        <w:rPr>
          <w:rFonts w:hint="cs"/>
          <w:sz w:val="27"/>
          <w:rtl/>
          <w:lang w:bidi="ar-LB"/>
        </w:rPr>
        <w:t xml:space="preserve"> </w:t>
      </w:r>
      <w:r w:rsidRPr="006571AC">
        <w:rPr>
          <w:rFonts w:hint="cs"/>
          <w:sz w:val="27"/>
          <w:rtl/>
          <w:lang w:bidi="ar-LB"/>
        </w:rPr>
        <w:t>يخلو أمر</w:t>
      </w:r>
      <w:r w:rsidR="004D725F" w:rsidRPr="006571AC">
        <w:rPr>
          <w:rFonts w:hint="cs"/>
          <w:sz w:val="27"/>
          <w:rtl/>
          <w:lang w:bidi="ar-LB"/>
        </w:rPr>
        <w:t>ُ</w:t>
      </w:r>
      <w:r w:rsidRPr="006571AC">
        <w:rPr>
          <w:rFonts w:hint="cs"/>
          <w:sz w:val="27"/>
          <w:rtl/>
          <w:lang w:bidi="ar-LB"/>
        </w:rPr>
        <w:t>ه عن الحليّة أو الحرمة، والمكلّ</w:t>
      </w:r>
      <w:r w:rsidR="004D725F" w:rsidRPr="006571AC">
        <w:rPr>
          <w:rFonts w:hint="cs"/>
          <w:sz w:val="27"/>
          <w:rtl/>
          <w:lang w:bidi="ar-LB"/>
        </w:rPr>
        <w:t>َ</w:t>
      </w:r>
      <w:r w:rsidRPr="006571AC">
        <w:rPr>
          <w:rFonts w:hint="cs"/>
          <w:sz w:val="27"/>
          <w:rtl/>
          <w:lang w:bidi="ar-LB"/>
        </w:rPr>
        <w:t>ف في فرض الشك مردّ</w:t>
      </w:r>
      <w:r w:rsidR="004D725F" w:rsidRPr="006571AC">
        <w:rPr>
          <w:rFonts w:hint="cs"/>
          <w:sz w:val="27"/>
          <w:rtl/>
          <w:lang w:bidi="ar-LB"/>
        </w:rPr>
        <w:t>َ</w:t>
      </w:r>
      <w:r w:rsidRPr="006571AC">
        <w:rPr>
          <w:rFonts w:hint="cs"/>
          <w:sz w:val="27"/>
          <w:rtl/>
          <w:lang w:bidi="ar-LB"/>
        </w:rPr>
        <w:t>د</w:t>
      </w:r>
      <w:r w:rsidR="004D725F" w:rsidRPr="006571AC">
        <w:rPr>
          <w:rFonts w:hint="cs"/>
          <w:sz w:val="27"/>
          <w:rtl/>
          <w:lang w:bidi="ar-LB"/>
        </w:rPr>
        <w:t>ٌ</w:t>
      </w:r>
      <w:r w:rsidRPr="006571AC">
        <w:rPr>
          <w:rFonts w:hint="cs"/>
          <w:sz w:val="27"/>
          <w:rtl/>
          <w:lang w:bidi="ar-LB"/>
        </w:rPr>
        <w:t xml:space="preserve"> بينهما، ومن الواضح أن هذا لا يجامع افتراض خلوّ الواقع من الحليّة والحرمة معاً. </w:t>
      </w:r>
    </w:p>
    <w:p w:rsidR="001F3F5A" w:rsidRPr="006571AC" w:rsidRDefault="001F3F5A" w:rsidP="002A2E03">
      <w:pPr>
        <w:tabs>
          <w:tab w:val="right" w:pos="6930"/>
        </w:tabs>
        <w:suppressAutoHyphens/>
        <w:rPr>
          <w:sz w:val="27"/>
          <w:rtl/>
          <w:lang w:bidi="ar-LB"/>
        </w:rPr>
      </w:pPr>
      <w:r w:rsidRPr="006571AC">
        <w:rPr>
          <w:rFonts w:hint="cs"/>
          <w:sz w:val="27"/>
          <w:rtl/>
          <w:lang w:bidi="ar-LB"/>
        </w:rPr>
        <w:t>ولكن</w:t>
      </w:r>
      <w:r w:rsidR="004D725F" w:rsidRPr="006571AC">
        <w:rPr>
          <w:rFonts w:hint="cs"/>
          <w:sz w:val="27"/>
          <w:rtl/>
          <w:lang w:bidi="ar-LB"/>
        </w:rPr>
        <w:t>ّ</w:t>
      </w:r>
      <w:r w:rsidRPr="006571AC">
        <w:rPr>
          <w:rFonts w:hint="cs"/>
          <w:sz w:val="27"/>
          <w:rtl/>
          <w:lang w:bidi="ar-LB"/>
        </w:rPr>
        <w:t xml:space="preserve"> الصحيح أنّ المقسم هنا هو المكلّ</w:t>
      </w:r>
      <w:r w:rsidR="004D725F" w:rsidRPr="006571AC">
        <w:rPr>
          <w:rFonts w:hint="cs"/>
          <w:sz w:val="27"/>
          <w:rtl/>
          <w:lang w:bidi="ar-LB"/>
        </w:rPr>
        <w:t>َ</w:t>
      </w:r>
      <w:r w:rsidRPr="006571AC">
        <w:rPr>
          <w:rFonts w:hint="cs"/>
          <w:sz w:val="27"/>
          <w:rtl/>
          <w:lang w:bidi="ar-LB"/>
        </w:rPr>
        <w:t xml:space="preserve">ف الملتفت، ولا نظر للرواية </w:t>
      </w:r>
      <w:r w:rsidR="004D725F" w:rsidRPr="006571AC">
        <w:rPr>
          <w:rFonts w:hint="cs"/>
          <w:sz w:val="27"/>
          <w:rtl/>
          <w:lang w:bidi="ar-LB"/>
        </w:rPr>
        <w:t>إ</w:t>
      </w:r>
      <w:r w:rsidRPr="006571AC">
        <w:rPr>
          <w:rFonts w:hint="cs"/>
          <w:sz w:val="27"/>
          <w:rtl/>
          <w:lang w:bidi="ar-LB"/>
        </w:rPr>
        <w:t>لى الواقع</w:t>
      </w:r>
      <w:r w:rsidR="004D725F" w:rsidRPr="006571AC">
        <w:rPr>
          <w:rFonts w:hint="cs"/>
          <w:sz w:val="27"/>
          <w:rtl/>
          <w:lang w:bidi="ar-LB"/>
        </w:rPr>
        <w:t>،</w:t>
      </w:r>
      <w:r w:rsidRPr="006571AC">
        <w:rPr>
          <w:rFonts w:hint="cs"/>
          <w:sz w:val="27"/>
          <w:rtl/>
          <w:lang w:bidi="ar-LB"/>
        </w:rPr>
        <w:t xml:space="preserve"> حتى ي</w:t>
      </w:r>
      <w:r w:rsidR="004D725F" w:rsidRPr="006571AC">
        <w:rPr>
          <w:rFonts w:hint="cs"/>
          <w:sz w:val="27"/>
          <w:rtl/>
          <w:lang w:bidi="ar-LB"/>
        </w:rPr>
        <w:t>ُ</w:t>
      </w:r>
      <w:r w:rsidRPr="006571AC">
        <w:rPr>
          <w:rFonts w:hint="cs"/>
          <w:sz w:val="27"/>
          <w:rtl/>
          <w:lang w:bidi="ar-LB"/>
        </w:rPr>
        <w:t xml:space="preserve">قال: إنّ الواقع لا يخلو من غيرهما. </w:t>
      </w:r>
    </w:p>
    <w:p w:rsidR="001F3F5A" w:rsidRPr="006571AC" w:rsidRDefault="001F3F5A" w:rsidP="002A2E03">
      <w:pPr>
        <w:tabs>
          <w:tab w:val="right" w:pos="6930"/>
        </w:tabs>
        <w:suppressAutoHyphens/>
        <w:rPr>
          <w:sz w:val="27"/>
          <w:rtl/>
          <w:lang w:bidi="ar-LB"/>
        </w:rPr>
      </w:pPr>
      <w:r w:rsidRPr="006571AC">
        <w:rPr>
          <w:rFonts w:hint="cs"/>
          <w:sz w:val="27"/>
          <w:rtl/>
          <w:lang w:bidi="ar-LB"/>
        </w:rPr>
        <w:t>ودعوى أنّه لو كان هناك في الواقع حالة</w:t>
      </w:r>
      <w:r w:rsidR="00A16CD3" w:rsidRPr="006571AC">
        <w:rPr>
          <w:rFonts w:hint="cs"/>
          <w:sz w:val="27"/>
          <w:rtl/>
          <w:lang w:bidi="ar-LB"/>
        </w:rPr>
        <w:t>ٌ</w:t>
      </w:r>
      <w:r w:rsidRPr="006571AC">
        <w:rPr>
          <w:rFonts w:hint="cs"/>
          <w:sz w:val="27"/>
          <w:rtl/>
          <w:lang w:bidi="ar-LB"/>
        </w:rPr>
        <w:t xml:space="preserve"> ثالثة</w:t>
      </w:r>
      <w:r w:rsidR="00A16CD3" w:rsidRPr="006571AC">
        <w:rPr>
          <w:rFonts w:hint="cs"/>
          <w:sz w:val="27"/>
          <w:rtl/>
          <w:lang w:bidi="ar-LB"/>
        </w:rPr>
        <w:t>ٌ</w:t>
      </w:r>
      <w:r w:rsidRPr="006571AC">
        <w:rPr>
          <w:rFonts w:hint="cs"/>
          <w:sz w:val="27"/>
          <w:rtl/>
          <w:lang w:bidi="ar-LB"/>
        </w:rPr>
        <w:t xml:space="preserve"> خالية</w:t>
      </w:r>
      <w:r w:rsidR="00A16CD3" w:rsidRPr="006571AC">
        <w:rPr>
          <w:rFonts w:hint="cs"/>
          <w:sz w:val="27"/>
          <w:rtl/>
          <w:lang w:bidi="ar-LB"/>
        </w:rPr>
        <w:t>ٌ</w:t>
      </w:r>
      <w:r w:rsidRPr="006571AC">
        <w:rPr>
          <w:rFonts w:hint="cs"/>
          <w:sz w:val="27"/>
          <w:rtl/>
          <w:lang w:bidi="ar-LB"/>
        </w:rPr>
        <w:t xml:space="preserve"> من الحكم لكان من الواجب أن تكون داخلة</w:t>
      </w:r>
      <w:r w:rsidR="00A16CD3" w:rsidRPr="006571AC">
        <w:rPr>
          <w:rFonts w:hint="cs"/>
          <w:sz w:val="27"/>
          <w:rtl/>
          <w:lang w:bidi="ar-LB"/>
        </w:rPr>
        <w:t>ً</w:t>
      </w:r>
      <w:r w:rsidRPr="006571AC">
        <w:rPr>
          <w:rFonts w:hint="cs"/>
          <w:sz w:val="27"/>
          <w:rtl/>
          <w:lang w:bidi="ar-LB"/>
        </w:rPr>
        <w:t xml:space="preserve"> في أطراف الاشتباه، فلا تدور الشبهة بين الحلال والحرام فقط، مدفوعة</w:t>
      </w:r>
      <w:r w:rsidR="00A16CD3" w:rsidRPr="006571AC">
        <w:rPr>
          <w:rFonts w:hint="cs"/>
          <w:sz w:val="27"/>
          <w:rtl/>
          <w:lang w:bidi="ar-LB"/>
        </w:rPr>
        <w:t>ٌ</w:t>
      </w:r>
      <w:r w:rsidRPr="006571AC">
        <w:rPr>
          <w:rFonts w:hint="cs"/>
          <w:sz w:val="27"/>
          <w:rtl/>
          <w:lang w:bidi="ar-LB"/>
        </w:rPr>
        <w:t xml:space="preserve"> </w:t>
      </w:r>
      <w:r w:rsidR="00A16CD3" w:rsidRPr="006571AC">
        <w:rPr>
          <w:rFonts w:hint="cs"/>
          <w:sz w:val="27"/>
          <w:rtl/>
          <w:lang w:bidi="ar-LB"/>
        </w:rPr>
        <w:t>بأنّ</w:t>
      </w:r>
      <w:r w:rsidRPr="006571AC">
        <w:rPr>
          <w:rFonts w:hint="cs"/>
          <w:sz w:val="27"/>
          <w:rtl/>
          <w:lang w:bidi="ar-LB"/>
        </w:rPr>
        <w:t>ه لا ملازمة بين علم المكلّ</w:t>
      </w:r>
      <w:r w:rsidR="00A16CD3" w:rsidRPr="006571AC">
        <w:rPr>
          <w:rFonts w:hint="cs"/>
          <w:sz w:val="27"/>
          <w:rtl/>
          <w:lang w:bidi="ar-LB"/>
        </w:rPr>
        <w:t>َ</w:t>
      </w:r>
      <w:r w:rsidRPr="006571AC">
        <w:rPr>
          <w:rFonts w:hint="cs"/>
          <w:sz w:val="27"/>
          <w:rtl/>
          <w:lang w:bidi="ar-LB"/>
        </w:rPr>
        <w:t>ف أو جهله وبين ما هو الواقع وراء ذهنه، فقد لا يكون هناك حكم</w:t>
      </w:r>
      <w:r w:rsidR="00A16CD3" w:rsidRPr="006571AC">
        <w:rPr>
          <w:rFonts w:hint="cs"/>
          <w:sz w:val="27"/>
          <w:rtl/>
          <w:lang w:bidi="ar-LB"/>
        </w:rPr>
        <w:t>ٌ</w:t>
      </w:r>
      <w:r w:rsidRPr="006571AC">
        <w:rPr>
          <w:rFonts w:hint="cs"/>
          <w:sz w:val="27"/>
          <w:rtl/>
          <w:lang w:bidi="ar-LB"/>
        </w:rPr>
        <w:t xml:space="preserve"> أصلاً، مع أنّ المكلّ</w:t>
      </w:r>
      <w:r w:rsidR="00A16CD3" w:rsidRPr="006571AC">
        <w:rPr>
          <w:rFonts w:hint="cs"/>
          <w:sz w:val="27"/>
          <w:rtl/>
          <w:lang w:bidi="ar-LB"/>
        </w:rPr>
        <w:t>َ</w:t>
      </w:r>
      <w:r w:rsidRPr="006571AC">
        <w:rPr>
          <w:rFonts w:hint="cs"/>
          <w:sz w:val="27"/>
          <w:rtl/>
          <w:lang w:bidi="ar-LB"/>
        </w:rPr>
        <w:t>ف يتخي</w:t>
      </w:r>
      <w:r w:rsidR="00A16CD3" w:rsidRPr="006571AC">
        <w:rPr>
          <w:rFonts w:hint="cs"/>
          <w:sz w:val="27"/>
          <w:rtl/>
          <w:lang w:bidi="ar-LB"/>
        </w:rPr>
        <w:t>َّ</w:t>
      </w:r>
      <w:r w:rsidRPr="006571AC">
        <w:rPr>
          <w:rFonts w:hint="cs"/>
          <w:sz w:val="27"/>
          <w:rtl/>
          <w:lang w:bidi="ar-LB"/>
        </w:rPr>
        <w:t>ل د</w:t>
      </w:r>
      <w:r w:rsidR="00A16CD3" w:rsidRPr="006571AC">
        <w:rPr>
          <w:rFonts w:hint="cs"/>
          <w:sz w:val="27"/>
          <w:rtl/>
          <w:lang w:bidi="ar-LB"/>
        </w:rPr>
        <w:t>َ</w:t>
      </w:r>
      <w:r w:rsidRPr="006571AC">
        <w:rPr>
          <w:rFonts w:hint="cs"/>
          <w:sz w:val="27"/>
          <w:rtl/>
          <w:lang w:bidi="ar-LB"/>
        </w:rPr>
        <w:t>و</w:t>
      </w:r>
      <w:r w:rsidR="00A16CD3" w:rsidRPr="006571AC">
        <w:rPr>
          <w:rFonts w:hint="cs"/>
          <w:sz w:val="27"/>
          <w:rtl/>
          <w:lang w:bidi="ar-LB"/>
        </w:rPr>
        <w:t>َ</w:t>
      </w:r>
      <w:r w:rsidRPr="006571AC">
        <w:rPr>
          <w:rFonts w:hint="cs"/>
          <w:sz w:val="27"/>
          <w:rtl/>
          <w:lang w:bidi="ar-LB"/>
        </w:rPr>
        <w:t>ران الأمر بين الحليّة والحرمة</w:t>
      </w:r>
      <w:r w:rsidRPr="006571AC">
        <w:rPr>
          <w:sz w:val="27"/>
          <w:vertAlign w:val="superscript"/>
          <w:rtl/>
          <w:lang w:bidi="ar-LB"/>
        </w:rPr>
        <w:t>(</w:t>
      </w:r>
      <w:r w:rsidRPr="006571AC">
        <w:rPr>
          <w:rStyle w:val="ac"/>
          <w:sz w:val="27"/>
          <w:rtl/>
          <w:lang w:bidi="ar-LB"/>
        </w:rPr>
        <w:endnoteReference w:id="642"/>
      </w:r>
      <w:r w:rsidRPr="006571AC">
        <w:rPr>
          <w:sz w:val="27"/>
          <w:vertAlign w:val="superscript"/>
          <w:rtl/>
          <w:lang w:bidi="ar-LB"/>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نعم</w:t>
      </w:r>
      <w:r w:rsidR="00A16CD3" w:rsidRPr="006571AC">
        <w:rPr>
          <w:rFonts w:hint="cs"/>
          <w:sz w:val="27"/>
          <w:rtl/>
          <w:lang w:bidi="ar-LB"/>
        </w:rPr>
        <w:t>،</w:t>
      </w:r>
      <w:r w:rsidRPr="006571AC">
        <w:rPr>
          <w:rFonts w:hint="cs"/>
          <w:sz w:val="27"/>
          <w:rtl/>
          <w:lang w:bidi="ar-LB"/>
        </w:rPr>
        <w:t xml:space="preserve"> تتمّ دلالة هذه الرواية أيضاً</w:t>
      </w:r>
      <w:r w:rsidR="00A16CD3" w:rsidRPr="006571AC">
        <w:rPr>
          <w:rFonts w:hint="cs"/>
          <w:sz w:val="27"/>
          <w:rtl/>
          <w:lang w:bidi="ar-LB"/>
        </w:rPr>
        <w:t>،</w:t>
      </w:r>
      <w:r w:rsidRPr="006571AC">
        <w:rPr>
          <w:rFonts w:hint="cs"/>
          <w:sz w:val="27"/>
          <w:rtl/>
          <w:lang w:bidi="ar-LB"/>
        </w:rPr>
        <w:t xml:space="preserve"> بناء</w:t>
      </w:r>
      <w:r w:rsidR="00A16CD3" w:rsidRPr="006571AC">
        <w:rPr>
          <w:rFonts w:hint="cs"/>
          <w:sz w:val="27"/>
          <w:rtl/>
          <w:lang w:bidi="ar-LB"/>
        </w:rPr>
        <w:t>ً</w:t>
      </w:r>
      <w:r w:rsidRPr="006571AC">
        <w:rPr>
          <w:rFonts w:hint="cs"/>
          <w:sz w:val="27"/>
          <w:rtl/>
          <w:lang w:bidi="ar-LB"/>
        </w:rPr>
        <w:t xml:space="preserve"> على ما تقدّ</w:t>
      </w:r>
      <w:r w:rsidR="00A16CD3" w:rsidRPr="006571AC">
        <w:rPr>
          <w:rFonts w:hint="cs"/>
          <w:sz w:val="27"/>
          <w:rtl/>
          <w:lang w:bidi="ar-LB"/>
        </w:rPr>
        <w:t>َ</w:t>
      </w:r>
      <w:r w:rsidRPr="006571AC">
        <w:rPr>
          <w:rFonts w:hint="cs"/>
          <w:sz w:val="27"/>
          <w:rtl/>
          <w:lang w:bidi="ar-LB"/>
        </w:rPr>
        <w:t>م من انحصار الإباحة في الاقتضائية</w:t>
      </w:r>
      <w:r w:rsidR="00A16CD3" w:rsidRPr="006571AC">
        <w:rPr>
          <w:rFonts w:hint="cs"/>
          <w:sz w:val="27"/>
          <w:rtl/>
          <w:lang w:bidi="ar-LB"/>
        </w:rPr>
        <w:t>؛</w:t>
      </w:r>
      <w:r w:rsidRPr="006571AC">
        <w:rPr>
          <w:rFonts w:hint="cs"/>
          <w:sz w:val="27"/>
          <w:rtl/>
          <w:lang w:bidi="ar-LB"/>
        </w:rPr>
        <w:t xml:space="preserve"> إذ الفعل لا يكون خالياً من أيّ مصلحة</w:t>
      </w:r>
      <w:r w:rsidR="00A16CD3" w:rsidRPr="006571AC">
        <w:rPr>
          <w:rFonts w:hint="cs"/>
          <w:sz w:val="27"/>
          <w:rtl/>
          <w:lang w:bidi="ar-LB"/>
        </w:rPr>
        <w:t>ٍ</w:t>
      </w:r>
      <w:r w:rsidRPr="006571AC">
        <w:rPr>
          <w:rFonts w:hint="cs"/>
          <w:sz w:val="27"/>
          <w:rtl/>
          <w:lang w:bidi="ar-LB"/>
        </w:rPr>
        <w:t>، فيكون مقتضياً لجعل الإباحة</w:t>
      </w:r>
      <w:r w:rsidR="00A16CD3" w:rsidRPr="006571AC">
        <w:rPr>
          <w:rFonts w:hint="cs"/>
          <w:sz w:val="27"/>
          <w:rtl/>
          <w:lang w:bidi="ar-LB"/>
        </w:rPr>
        <w:t>،</w:t>
      </w:r>
      <w:r w:rsidRPr="006571AC">
        <w:rPr>
          <w:rFonts w:hint="cs"/>
          <w:sz w:val="27"/>
          <w:rtl/>
          <w:lang w:bidi="ar-LB"/>
        </w:rPr>
        <w:t xml:space="preserve"> بمعنى أنّ الفعل إذا لم يكن حراماً ولا واجباً ولا مندوباً ولا مكروهاً فهو مباح</w:t>
      </w:r>
      <w:r w:rsidR="00A16CD3" w:rsidRPr="006571AC">
        <w:rPr>
          <w:rFonts w:hint="cs"/>
          <w:sz w:val="27"/>
          <w:rtl/>
          <w:lang w:bidi="ar-LB"/>
        </w:rPr>
        <w:t>ٌ</w:t>
      </w:r>
      <w:r w:rsidRPr="006571AC">
        <w:rPr>
          <w:rFonts w:hint="cs"/>
          <w:sz w:val="27"/>
          <w:rtl/>
          <w:lang w:bidi="ar-LB"/>
        </w:rPr>
        <w:t xml:space="preserve"> بالإباحة الج</w:t>
      </w:r>
      <w:r w:rsidR="00A16CD3" w:rsidRPr="006571AC">
        <w:rPr>
          <w:rFonts w:hint="cs"/>
          <w:sz w:val="27"/>
          <w:rtl/>
          <w:lang w:bidi="ar-LB"/>
        </w:rPr>
        <w:t>َ</w:t>
      </w:r>
      <w:r w:rsidRPr="006571AC">
        <w:rPr>
          <w:rFonts w:hint="cs"/>
          <w:sz w:val="27"/>
          <w:rtl/>
          <w:lang w:bidi="ar-LB"/>
        </w:rPr>
        <w:t>ع</w:t>
      </w:r>
      <w:r w:rsidR="00A16CD3" w:rsidRPr="006571AC">
        <w:rPr>
          <w:rFonts w:hint="cs"/>
          <w:sz w:val="27"/>
          <w:rtl/>
          <w:lang w:bidi="ar-LB"/>
        </w:rPr>
        <w:t>ْ</w:t>
      </w:r>
      <w:r w:rsidRPr="006571AC">
        <w:rPr>
          <w:rFonts w:hint="cs"/>
          <w:sz w:val="27"/>
          <w:rtl/>
          <w:lang w:bidi="ar-LB"/>
        </w:rPr>
        <w:t>لية لا محالة</w:t>
      </w:r>
      <w:r w:rsidR="00A16CD3" w:rsidRPr="006571AC">
        <w:rPr>
          <w:rFonts w:hint="cs"/>
          <w:sz w:val="27"/>
          <w:rtl/>
          <w:lang w:bidi="ar-LB"/>
        </w:rPr>
        <w:t>؛</w:t>
      </w:r>
      <w:r w:rsidRPr="006571AC">
        <w:rPr>
          <w:rFonts w:hint="cs"/>
          <w:sz w:val="27"/>
          <w:rtl/>
          <w:lang w:bidi="ar-LB"/>
        </w:rPr>
        <w:t xml:space="preserve"> أو الإراديّة </w:t>
      </w:r>
      <w:r w:rsidRPr="006571AC">
        <w:rPr>
          <w:sz w:val="27"/>
          <w:rtl/>
          <w:lang w:bidi="ar-LB"/>
        </w:rPr>
        <w:t xml:space="preserve">ـ </w:t>
      </w:r>
      <w:r w:rsidRPr="006571AC">
        <w:rPr>
          <w:rFonts w:hint="cs"/>
          <w:sz w:val="27"/>
          <w:rtl/>
          <w:lang w:bidi="ar-LB"/>
        </w:rPr>
        <w:t xml:space="preserve">إذا كان هناك ما يمنع من الجعل </w:t>
      </w:r>
      <w:r w:rsidRPr="006571AC">
        <w:rPr>
          <w:sz w:val="27"/>
          <w:rtl/>
          <w:lang w:bidi="ar-LB"/>
        </w:rPr>
        <w:t>ـ</w:t>
      </w:r>
      <w:r w:rsidR="00A16CD3" w:rsidRPr="006571AC">
        <w:rPr>
          <w:rFonts w:hint="cs"/>
          <w:sz w:val="27"/>
          <w:rtl/>
          <w:lang w:bidi="ar-LB"/>
        </w:rPr>
        <w:t>،</w:t>
      </w:r>
      <w:r w:rsidRPr="006571AC">
        <w:rPr>
          <w:sz w:val="27"/>
          <w:rtl/>
          <w:lang w:bidi="ar-LB"/>
        </w:rPr>
        <w:t xml:space="preserve"> </w:t>
      </w:r>
      <w:r w:rsidRPr="006571AC">
        <w:rPr>
          <w:rFonts w:hint="cs"/>
          <w:sz w:val="27"/>
          <w:rtl/>
          <w:lang w:bidi="ar-LB"/>
        </w:rPr>
        <w:t>ومن ث</w:t>
      </w:r>
      <w:r w:rsidR="00A16CD3" w:rsidRPr="006571AC">
        <w:rPr>
          <w:rFonts w:hint="cs"/>
          <w:sz w:val="27"/>
          <w:rtl/>
          <w:lang w:bidi="ar-LB"/>
        </w:rPr>
        <w:t>َ</w:t>
      </w:r>
      <w:r w:rsidRPr="006571AC">
        <w:rPr>
          <w:rFonts w:hint="cs"/>
          <w:sz w:val="27"/>
          <w:rtl/>
          <w:lang w:bidi="ar-LB"/>
        </w:rPr>
        <w:t>مّ</w:t>
      </w:r>
      <w:r w:rsidR="00A16CD3" w:rsidRPr="006571AC">
        <w:rPr>
          <w:rFonts w:hint="cs"/>
          <w:sz w:val="27"/>
          <w:rtl/>
          <w:lang w:bidi="ar-LB"/>
        </w:rPr>
        <w:t>َ</w:t>
      </w:r>
      <w:r w:rsidRPr="006571AC">
        <w:rPr>
          <w:rFonts w:hint="cs"/>
          <w:sz w:val="27"/>
          <w:rtl/>
          <w:lang w:bidi="ar-LB"/>
        </w:rPr>
        <w:t xml:space="preserve"> صحّ الح</w:t>
      </w:r>
      <w:r w:rsidR="00A16CD3" w:rsidRPr="006571AC">
        <w:rPr>
          <w:rFonts w:hint="cs"/>
          <w:sz w:val="27"/>
          <w:rtl/>
          <w:lang w:bidi="ar-LB"/>
        </w:rPr>
        <w:t>َ</w:t>
      </w:r>
      <w:r w:rsidRPr="006571AC">
        <w:rPr>
          <w:rFonts w:hint="cs"/>
          <w:sz w:val="27"/>
          <w:rtl/>
          <w:lang w:bidi="ar-LB"/>
        </w:rPr>
        <w:t>ص</w:t>
      </w:r>
      <w:r w:rsidR="00A16CD3" w:rsidRPr="006571AC">
        <w:rPr>
          <w:rFonts w:hint="cs"/>
          <w:sz w:val="27"/>
          <w:rtl/>
          <w:lang w:bidi="ar-LB"/>
        </w:rPr>
        <w:t>ْ</w:t>
      </w:r>
      <w:r w:rsidRPr="006571AC">
        <w:rPr>
          <w:rFonts w:hint="cs"/>
          <w:sz w:val="27"/>
          <w:rtl/>
          <w:lang w:bidi="ar-LB"/>
        </w:rPr>
        <w:t xml:space="preserve">ر في الرواية. </w:t>
      </w:r>
    </w:p>
    <w:p w:rsidR="001F3F5A" w:rsidRPr="006571AC" w:rsidRDefault="001F3F5A" w:rsidP="002A2E03">
      <w:pPr>
        <w:tabs>
          <w:tab w:val="right" w:pos="6930"/>
        </w:tabs>
        <w:suppressAutoHyphens/>
        <w:rPr>
          <w:sz w:val="27"/>
          <w:rtl/>
          <w:lang w:bidi="ar-LB"/>
        </w:rPr>
      </w:pPr>
      <w:r w:rsidRPr="006571AC">
        <w:rPr>
          <w:rFonts w:hint="cs"/>
          <w:sz w:val="27"/>
          <w:rtl/>
          <w:lang w:bidi="ar-LB"/>
        </w:rPr>
        <w:t>ولكنّك خبير</w:t>
      </w:r>
      <w:r w:rsidR="00A16CD3" w:rsidRPr="006571AC">
        <w:rPr>
          <w:rFonts w:hint="cs"/>
          <w:sz w:val="27"/>
          <w:rtl/>
          <w:lang w:bidi="ar-LB"/>
        </w:rPr>
        <w:t>ٌ</w:t>
      </w:r>
      <w:r w:rsidRPr="006571AC">
        <w:rPr>
          <w:rFonts w:hint="cs"/>
          <w:sz w:val="27"/>
          <w:rtl/>
          <w:lang w:bidi="ar-LB"/>
        </w:rPr>
        <w:t xml:space="preserve"> بأنّ هذا ليس من دلالة </w:t>
      </w:r>
      <w:r w:rsidR="00A16CD3" w:rsidRPr="006571AC">
        <w:rPr>
          <w:rFonts w:hint="cs"/>
          <w:sz w:val="27"/>
          <w:rtl/>
          <w:lang w:bidi="ar-LB"/>
        </w:rPr>
        <w:t>ا</w:t>
      </w:r>
      <w:r w:rsidRPr="006571AC">
        <w:rPr>
          <w:rFonts w:hint="cs"/>
          <w:sz w:val="27"/>
          <w:rtl/>
          <w:lang w:bidi="ar-LB"/>
        </w:rPr>
        <w:t>لرواية في شيء</w:t>
      </w:r>
      <w:r w:rsidR="00A16CD3" w:rsidRPr="006571AC">
        <w:rPr>
          <w:rFonts w:hint="cs"/>
          <w:sz w:val="27"/>
          <w:rtl/>
          <w:lang w:bidi="ar-LB"/>
        </w:rPr>
        <w:t>ٍ</w:t>
      </w:r>
      <w:r w:rsidRPr="006571AC">
        <w:rPr>
          <w:rFonts w:hint="cs"/>
          <w:sz w:val="27"/>
          <w:rtl/>
          <w:lang w:bidi="ar-LB"/>
        </w:rPr>
        <w:t xml:space="preserve">، </w:t>
      </w:r>
      <w:r w:rsidR="00A16CD3" w:rsidRPr="006571AC">
        <w:rPr>
          <w:rFonts w:hint="cs"/>
          <w:sz w:val="27"/>
          <w:rtl/>
          <w:lang w:bidi="ar-LB"/>
        </w:rPr>
        <w:t>وإ</w:t>
      </w:r>
      <w:r w:rsidRPr="006571AC">
        <w:rPr>
          <w:rFonts w:hint="cs"/>
          <w:sz w:val="27"/>
          <w:rtl/>
          <w:lang w:bidi="ar-LB"/>
        </w:rPr>
        <w:t>نّما هو الدليل العقلي المتقدّ</w:t>
      </w:r>
      <w:r w:rsidR="00A16CD3" w:rsidRPr="006571AC">
        <w:rPr>
          <w:rFonts w:hint="cs"/>
          <w:sz w:val="27"/>
          <w:rtl/>
          <w:lang w:bidi="ar-LB"/>
        </w:rPr>
        <w:t>ِ</w:t>
      </w:r>
      <w:r w:rsidRPr="006571AC">
        <w:rPr>
          <w:rFonts w:hint="cs"/>
          <w:sz w:val="27"/>
          <w:rtl/>
          <w:lang w:bidi="ar-LB"/>
        </w:rPr>
        <w:t>م</w:t>
      </w:r>
      <w:r w:rsidR="00A16CD3" w:rsidRPr="006571AC">
        <w:rPr>
          <w:rFonts w:hint="cs"/>
          <w:sz w:val="27"/>
          <w:rtl/>
          <w:lang w:bidi="ar-LB"/>
        </w:rPr>
        <w:t>.</w:t>
      </w:r>
      <w:r w:rsidRPr="006571AC">
        <w:rPr>
          <w:rFonts w:hint="cs"/>
          <w:sz w:val="27"/>
          <w:rtl/>
          <w:lang w:bidi="ar-LB"/>
        </w:rPr>
        <w:t xml:space="preserve"> وكيف كان فلا دلالة للرواية بنفسها</w:t>
      </w:r>
      <w:r w:rsidR="00A16CD3" w:rsidRPr="006571AC">
        <w:rPr>
          <w:rFonts w:hint="cs"/>
          <w:sz w:val="27"/>
          <w:rtl/>
          <w:lang w:bidi="ar-LB"/>
        </w:rPr>
        <w:t>،</w:t>
      </w:r>
      <w:r w:rsidRPr="006571AC">
        <w:rPr>
          <w:rFonts w:hint="cs"/>
          <w:sz w:val="27"/>
          <w:rtl/>
          <w:lang w:bidi="ar-LB"/>
        </w:rPr>
        <w:t xml:space="preserve"> ولا بضمّ غيرها</w:t>
      </w:r>
      <w:r w:rsidR="00A16CD3" w:rsidRPr="006571AC">
        <w:rPr>
          <w:rFonts w:hint="cs"/>
          <w:sz w:val="27"/>
          <w:rtl/>
          <w:lang w:bidi="ar-LB"/>
        </w:rPr>
        <w:t>،</w:t>
      </w:r>
      <w:r w:rsidRPr="006571AC">
        <w:rPr>
          <w:rFonts w:hint="cs"/>
          <w:sz w:val="27"/>
          <w:rtl/>
          <w:lang w:bidi="ar-LB"/>
        </w:rPr>
        <w:t xml:space="preserve"> على المطلوب. </w:t>
      </w:r>
    </w:p>
    <w:p w:rsidR="001F3F5A" w:rsidRPr="006571AC" w:rsidRDefault="001F3F5A" w:rsidP="002A2E03">
      <w:pPr>
        <w:tabs>
          <w:tab w:val="right" w:pos="6930"/>
        </w:tabs>
        <w:suppressAutoHyphens/>
        <w:rPr>
          <w:sz w:val="27"/>
          <w:rtl/>
          <w:lang w:bidi="ar-LB"/>
        </w:rPr>
      </w:pPr>
      <w:r w:rsidRPr="006571AC">
        <w:rPr>
          <w:rFonts w:hint="cs"/>
          <w:sz w:val="27"/>
          <w:rtl/>
          <w:lang w:bidi="ar-LB"/>
        </w:rPr>
        <w:t>هذه نبذة</w:t>
      </w:r>
      <w:r w:rsidR="00A16CD3" w:rsidRPr="006571AC">
        <w:rPr>
          <w:rFonts w:hint="cs"/>
          <w:sz w:val="27"/>
          <w:rtl/>
          <w:lang w:bidi="ar-LB"/>
        </w:rPr>
        <w:t>ٌ</w:t>
      </w:r>
      <w:r w:rsidRPr="006571AC">
        <w:rPr>
          <w:rFonts w:hint="cs"/>
          <w:sz w:val="27"/>
          <w:rtl/>
          <w:lang w:bidi="ar-LB"/>
        </w:rPr>
        <w:t xml:space="preserve"> من الروايات والأخبار التي يمكن أن ي</w:t>
      </w:r>
      <w:r w:rsidR="00A16CD3" w:rsidRPr="006571AC">
        <w:rPr>
          <w:rFonts w:hint="cs"/>
          <w:sz w:val="27"/>
          <w:rtl/>
          <w:lang w:bidi="ar-LB"/>
        </w:rPr>
        <w:t>ُ</w:t>
      </w:r>
      <w:r w:rsidRPr="006571AC">
        <w:rPr>
          <w:rFonts w:hint="cs"/>
          <w:sz w:val="27"/>
          <w:rtl/>
          <w:lang w:bidi="ar-LB"/>
        </w:rPr>
        <w:t>دّ</w:t>
      </w:r>
      <w:r w:rsidR="00A16CD3" w:rsidRPr="006571AC">
        <w:rPr>
          <w:rFonts w:hint="cs"/>
          <w:sz w:val="27"/>
          <w:rtl/>
          <w:lang w:bidi="ar-LB"/>
        </w:rPr>
        <w:t>َ</w:t>
      </w:r>
      <w:r w:rsidRPr="006571AC">
        <w:rPr>
          <w:rFonts w:hint="cs"/>
          <w:sz w:val="27"/>
          <w:rtl/>
          <w:lang w:bidi="ar-LB"/>
        </w:rPr>
        <w:t>عى في بادئ النظر دلالتها على المطلوب</w:t>
      </w:r>
      <w:r w:rsidR="00A16CD3" w:rsidRPr="006571AC">
        <w:rPr>
          <w:rFonts w:hint="cs"/>
          <w:sz w:val="27"/>
          <w:rtl/>
          <w:lang w:bidi="ar-LB"/>
        </w:rPr>
        <w:t>.</w:t>
      </w:r>
      <w:r w:rsidRPr="006571AC">
        <w:rPr>
          <w:rFonts w:hint="cs"/>
          <w:sz w:val="27"/>
          <w:rtl/>
          <w:lang w:bidi="ar-LB"/>
        </w:rPr>
        <w:t xml:space="preserve"> وفيها ما ه</w:t>
      </w:r>
      <w:r w:rsidR="00A16CD3" w:rsidRPr="006571AC">
        <w:rPr>
          <w:rFonts w:hint="cs"/>
          <w:sz w:val="27"/>
          <w:rtl/>
          <w:lang w:bidi="ar-LB"/>
        </w:rPr>
        <w:t>و</w:t>
      </w:r>
      <w:r w:rsidRPr="006571AC">
        <w:rPr>
          <w:rFonts w:hint="cs"/>
          <w:sz w:val="27"/>
          <w:rtl/>
          <w:lang w:bidi="ar-LB"/>
        </w:rPr>
        <w:t xml:space="preserve"> تامّ</w:t>
      </w:r>
      <w:r w:rsidR="00A16CD3" w:rsidRPr="006571AC">
        <w:rPr>
          <w:rFonts w:hint="cs"/>
          <w:sz w:val="27"/>
          <w:rtl/>
          <w:lang w:bidi="ar-LB"/>
        </w:rPr>
        <w:t>ٌ</w:t>
      </w:r>
      <w:r w:rsidRPr="006571AC">
        <w:rPr>
          <w:rFonts w:hint="cs"/>
          <w:sz w:val="27"/>
          <w:rtl/>
          <w:lang w:bidi="ar-LB"/>
        </w:rPr>
        <w:t xml:space="preserve"> في الدلالة والسند</w:t>
      </w:r>
      <w:r w:rsidR="00A16CD3" w:rsidRPr="006571AC">
        <w:rPr>
          <w:rFonts w:hint="cs"/>
          <w:sz w:val="27"/>
          <w:rtl/>
          <w:lang w:bidi="ar-LB"/>
        </w:rPr>
        <w:t>،</w:t>
      </w:r>
      <w:r w:rsidRPr="006571AC">
        <w:rPr>
          <w:rFonts w:hint="cs"/>
          <w:sz w:val="27"/>
          <w:rtl/>
          <w:lang w:bidi="ar-LB"/>
        </w:rPr>
        <w:t xml:space="preserve"> فيثبت به القاعدة</w:t>
      </w:r>
      <w:r w:rsidR="00A16CD3" w:rsidRPr="006571AC">
        <w:rPr>
          <w:rFonts w:hint="cs"/>
          <w:sz w:val="27"/>
          <w:rtl/>
          <w:lang w:bidi="ar-LB"/>
        </w:rPr>
        <w:t>.</w:t>
      </w:r>
      <w:r w:rsidRPr="006571AC">
        <w:rPr>
          <w:rFonts w:hint="cs"/>
          <w:sz w:val="27"/>
          <w:rtl/>
          <w:lang w:bidi="ar-LB"/>
        </w:rPr>
        <w:t xml:space="preserve"> </w:t>
      </w:r>
      <w:r w:rsidR="00A16CD3" w:rsidRPr="006571AC">
        <w:rPr>
          <w:rFonts w:hint="cs"/>
          <w:sz w:val="27"/>
          <w:rtl/>
          <w:lang w:bidi="ar-LB"/>
        </w:rPr>
        <w:t>إ</w:t>
      </w:r>
      <w:r w:rsidRPr="006571AC">
        <w:rPr>
          <w:rFonts w:hint="cs"/>
          <w:sz w:val="27"/>
          <w:rtl/>
          <w:lang w:bidi="ar-LB"/>
        </w:rPr>
        <w:t>لاّ أن التواتر المدّ</w:t>
      </w:r>
      <w:r w:rsidR="00A16CD3" w:rsidRPr="006571AC">
        <w:rPr>
          <w:rFonts w:hint="cs"/>
          <w:sz w:val="27"/>
          <w:rtl/>
          <w:lang w:bidi="ar-LB"/>
        </w:rPr>
        <w:t>َ</w:t>
      </w:r>
      <w:r w:rsidRPr="006571AC">
        <w:rPr>
          <w:rFonts w:hint="cs"/>
          <w:sz w:val="27"/>
          <w:rtl/>
          <w:lang w:bidi="ar-LB"/>
        </w:rPr>
        <w:t>عى عند الأصحاب غير</w:t>
      </w:r>
      <w:r w:rsidR="00A224F8" w:rsidRPr="006571AC">
        <w:rPr>
          <w:rFonts w:hint="cs"/>
          <w:sz w:val="27"/>
          <w:rtl/>
          <w:lang w:bidi="ar-LB"/>
        </w:rPr>
        <w:t>ُ</w:t>
      </w:r>
      <w:r w:rsidRPr="006571AC">
        <w:rPr>
          <w:rFonts w:hint="cs"/>
          <w:sz w:val="27"/>
          <w:rtl/>
          <w:lang w:bidi="ar-LB"/>
        </w:rPr>
        <w:t xml:space="preserve"> ثابت</w:t>
      </w:r>
      <w:r w:rsidR="00A224F8" w:rsidRPr="006571AC">
        <w:rPr>
          <w:rFonts w:hint="cs"/>
          <w:sz w:val="27"/>
          <w:rtl/>
          <w:lang w:bidi="ar-LB"/>
        </w:rPr>
        <w:t>ٍ</w:t>
      </w:r>
      <w:r w:rsidRPr="006571AC">
        <w:rPr>
          <w:rFonts w:hint="cs"/>
          <w:sz w:val="27"/>
          <w:rtl/>
          <w:lang w:bidi="ar-LB"/>
        </w:rPr>
        <w:t xml:space="preserve"> عندنا. </w:t>
      </w:r>
    </w:p>
    <w:p w:rsidR="0067688E" w:rsidRPr="006571AC" w:rsidRDefault="0067688E" w:rsidP="0067688E">
      <w:pPr>
        <w:spacing w:line="420" w:lineRule="exact"/>
        <w:rPr>
          <w:rFonts w:ascii="Arabic Typesetting" w:hAnsi="Arabic Typesetting"/>
          <w:sz w:val="27"/>
          <w:rtl/>
          <w:lang w:bidi="ar-LB"/>
        </w:rPr>
      </w:pPr>
    </w:p>
    <w:p w:rsidR="001F3F5A" w:rsidRPr="006571AC" w:rsidRDefault="001F3F5A" w:rsidP="004A42AD">
      <w:pPr>
        <w:pStyle w:val="31"/>
        <w:rPr>
          <w:color w:val="auto"/>
          <w:rtl/>
          <w:lang w:bidi="ar-LB"/>
        </w:rPr>
      </w:pPr>
      <w:bookmarkStart w:id="394" w:name="_Toc114164806"/>
      <w:r w:rsidRPr="006571AC">
        <w:rPr>
          <w:rFonts w:hint="cs"/>
          <w:color w:val="auto"/>
          <w:rtl/>
          <w:lang w:bidi="ar-LB"/>
        </w:rPr>
        <w:t xml:space="preserve">المرحلة الثالثة: </w:t>
      </w:r>
      <w:r w:rsidR="004A42AD" w:rsidRPr="006571AC">
        <w:rPr>
          <w:rFonts w:hint="cs"/>
          <w:color w:val="auto"/>
          <w:rtl/>
          <w:lang w:bidi="ar-LB"/>
        </w:rPr>
        <w:t>الدليل</w:t>
      </w:r>
      <w:r w:rsidRPr="006571AC">
        <w:rPr>
          <w:rFonts w:hint="cs"/>
          <w:color w:val="auto"/>
          <w:rtl/>
          <w:lang w:bidi="ar-LB"/>
        </w:rPr>
        <w:t xml:space="preserve"> المركّ</w:t>
      </w:r>
      <w:r w:rsidR="00A224F8" w:rsidRPr="006571AC">
        <w:rPr>
          <w:rFonts w:hint="cs"/>
          <w:color w:val="auto"/>
          <w:rtl/>
          <w:lang w:bidi="ar-LB"/>
        </w:rPr>
        <w:t>َب من العقل والن</w:t>
      </w:r>
      <w:r w:rsidRPr="006571AC">
        <w:rPr>
          <w:rFonts w:hint="cs"/>
          <w:color w:val="auto"/>
          <w:rtl/>
          <w:lang w:bidi="ar-LB"/>
        </w:rPr>
        <w:t>قل</w:t>
      </w:r>
      <w:bookmarkEnd w:id="394"/>
      <w:r w:rsidRPr="006571AC">
        <w:rPr>
          <w:rFonts w:hint="cs"/>
          <w:color w:val="auto"/>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وقد خطر بالبال أخيراً أنّ</w:t>
      </w:r>
      <w:r w:rsidR="00AA4C22" w:rsidRPr="006571AC">
        <w:rPr>
          <w:rFonts w:hint="cs"/>
          <w:sz w:val="27"/>
          <w:rtl/>
          <w:lang w:bidi="ar-LB"/>
        </w:rPr>
        <w:t>ه</w:t>
      </w:r>
      <w:r w:rsidRPr="006571AC">
        <w:rPr>
          <w:rFonts w:hint="cs"/>
          <w:sz w:val="27"/>
          <w:rtl/>
          <w:lang w:bidi="ar-LB"/>
        </w:rPr>
        <w:t xml:space="preserve"> بالإمكان الاستدلال على القاعدة بطريقة</w:t>
      </w:r>
      <w:r w:rsidR="00AA4C22" w:rsidRPr="006571AC">
        <w:rPr>
          <w:rFonts w:hint="cs"/>
          <w:sz w:val="27"/>
          <w:rtl/>
          <w:lang w:bidi="ar-LB"/>
        </w:rPr>
        <w:t>ٍ</w:t>
      </w:r>
      <w:r w:rsidRPr="006571AC">
        <w:rPr>
          <w:rFonts w:hint="cs"/>
          <w:sz w:val="27"/>
          <w:rtl/>
          <w:lang w:bidi="ar-LB"/>
        </w:rPr>
        <w:t xml:space="preserve"> ثالثة</w:t>
      </w:r>
      <w:r w:rsidR="00AA4C22" w:rsidRPr="006571AC">
        <w:rPr>
          <w:rFonts w:hint="cs"/>
          <w:sz w:val="27"/>
          <w:rtl/>
          <w:lang w:bidi="ar-LB"/>
        </w:rPr>
        <w:t>،</w:t>
      </w:r>
      <w:r w:rsidRPr="006571AC">
        <w:rPr>
          <w:rFonts w:hint="cs"/>
          <w:sz w:val="27"/>
          <w:rtl/>
          <w:lang w:bidi="ar-LB"/>
        </w:rPr>
        <w:t xml:space="preserve"> </w:t>
      </w:r>
      <w:r w:rsidRPr="006571AC">
        <w:rPr>
          <w:rFonts w:hint="cs"/>
          <w:sz w:val="27"/>
          <w:rtl/>
          <w:lang w:bidi="ar-LB"/>
        </w:rPr>
        <w:lastRenderedPageBreak/>
        <w:t>مركّبة</w:t>
      </w:r>
      <w:r w:rsidR="00AA4C22" w:rsidRPr="006571AC">
        <w:rPr>
          <w:rFonts w:hint="cs"/>
          <w:sz w:val="27"/>
          <w:rtl/>
          <w:lang w:bidi="ar-LB"/>
        </w:rPr>
        <w:t>ٍ</w:t>
      </w:r>
      <w:r w:rsidRPr="006571AC">
        <w:rPr>
          <w:rFonts w:hint="cs"/>
          <w:sz w:val="27"/>
          <w:rtl/>
          <w:lang w:bidi="ar-LB"/>
        </w:rPr>
        <w:t xml:space="preserve"> من الدليل العقلي والنقلي. </w:t>
      </w:r>
    </w:p>
    <w:p w:rsidR="001F3F5A" w:rsidRPr="006571AC" w:rsidRDefault="001F3F5A" w:rsidP="00935DA6">
      <w:pPr>
        <w:tabs>
          <w:tab w:val="right" w:pos="6930"/>
        </w:tabs>
        <w:suppressAutoHyphens/>
        <w:spacing w:line="420" w:lineRule="exact"/>
        <w:rPr>
          <w:sz w:val="27"/>
          <w:rtl/>
          <w:lang w:bidi="ar-LB"/>
        </w:rPr>
      </w:pPr>
      <w:r w:rsidRPr="006571AC">
        <w:rPr>
          <w:rFonts w:hint="cs"/>
          <w:sz w:val="27"/>
          <w:rtl/>
          <w:lang w:bidi="ar-LB"/>
        </w:rPr>
        <w:t>وتقريبه أن ي</w:t>
      </w:r>
      <w:r w:rsidR="00AA4C22" w:rsidRPr="006571AC">
        <w:rPr>
          <w:rFonts w:hint="cs"/>
          <w:sz w:val="27"/>
          <w:rtl/>
          <w:lang w:bidi="ar-LB"/>
        </w:rPr>
        <w:t>ُ</w:t>
      </w:r>
      <w:r w:rsidRPr="006571AC">
        <w:rPr>
          <w:rFonts w:hint="cs"/>
          <w:sz w:val="27"/>
          <w:rtl/>
          <w:lang w:bidi="ar-LB"/>
        </w:rPr>
        <w:t>قال: إنّ الوقائع الخارجيّة إن</w:t>
      </w:r>
      <w:r w:rsidR="00AA4C22" w:rsidRPr="006571AC">
        <w:rPr>
          <w:rFonts w:hint="cs"/>
          <w:sz w:val="27"/>
          <w:rtl/>
          <w:lang w:bidi="ar-LB"/>
        </w:rPr>
        <w:t>ْ</w:t>
      </w:r>
      <w:r w:rsidRPr="006571AC">
        <w:rPr>
          <w:rFonts w:hint="cs"/>
          <w:sz w:val="27"/>
          <w:rtl/>
          <w:lang w:bidi="ar-LB"/>
        </w:rPr>
        <w:t xml:space="preserve"> كانت ذات مصالح أو مفاسد ف</w:t>
      </w:r>
      <w:r w:rsidR="00731867" w:rsidRPr="006571AC">
        <w:rPr>
          <w:rFonts w:hint="cs"/>
          <w:sz w:val="27"/>
          <w:rtl/>
          <w:lang w:bidi="ar-LB"/>
        </w:rPr>
        <w:t>لا شَكَّ</w:t>
      </w:r>
      <w:r w:rsidRPr="006571AC">
        <w:rPr>
          <w:rFonts w:hint="cs"/>
          <w:sz w:val="27"/>
          <w:rtl/>
          <w:lang w:bidi="ar-LB"/>
        </w:rPr>
        <w:t xml:space="preserve"> في عدم خلوّ</w:t>
      </w:r>
      <w:r w:rsidR="00AA4C22" w:rsidRPr="006571AC">
        <w:rPr>
          <w:rFonts w:hint="cs"/>
          <w:sz w:val="27"/>
          <w:rtl/>
          <w:lang w:bidi="ar-LB"/>
        </w:rPr>
        <w:t>ِ</w:t>
      </w:r>
      <w:r w:rsidRPr="006571AC">
        <w:rPr>
          <w:rFonts w:hint="cs"/>
          <w:sz w:val="27"/>
          <w:rtl/>
          <w:lang w:bidi="ar-LB"/>
        </w:rPr>
        <w:t>ها حينئذٍ من الحكم، وإن</w:t>
      </w:r>
      <w:r w:rsidR="00AA4C22" w:rsidRPr="006571AC">
        <w:rPr>
          <w:rFonts w:hint="cs"/>
          <w:sz w:val="27"/>
          <w:rtl/>
          <w:lang w:bidi="ar-LB"/>
        </w:rPr>
        <w:t>ْ</w:t>
      </w:r>
      <w:r w:rsidRPr="006571AC">
        <w:rPr>
          <w:rFonts w:hint="cs"/>
          <w:sz w:val="27"/>
          <w:rtl/>
          <w:lang w:bidi="ar-LB"/>
        </w:rPr>
        <w:t xml:space="preserve"> كانت خاليةً من أيّ مصلحة</w:t>
      </w:r>
      <w:r w:rsidR="00AA4C22" w:rsidRPr="006571AC">
        <w:rPr>
          <w:rFonts w:hint="cs"/>
          <w:sz w:val="27"/>
          <w:rtl/>
          <w:lang w:bidi="ar-LB"/>
        </w:rPr>
        <w:t>ٍ</w:t>
      </w:r>
      <w:r w:rsidRPr="006571AC">
        <w:rPr>
          <w:rFonts w:hint="cs"/>
          <w:sz w:val="27"/>
          <w:rtl/>
          <w:lang w:bidi="ar-LB"/>
        </w:rPr>
        <w:t xml:space="preserve"> أو مفسدة </w:t>
      </w:r>
      <w:r w:rsidRPr="006571AC">
        <w:rPr>
          <w:sz w:val="27"/>
          <w:rtl/>
          <w:lang w:bidi="ar-LB"/>
        </w:rPr>
        <w:t xml:space="preserve">ـ </w:t>
      </w:r>
      <w:r w:rsidRPr="006571AC">
        <w:rPr>
          <w:rFonts w:hint="cs"/>
          <w:sz w:val="27"/>
          <w:rtl/>
          <w:lang w:bidi="ar-LB"/>
        </w:rPr>
        <w:t>وذلك على فرض عدم تماميّة ما سبق من انحصار الإباحة في الاقتضائي</w:t>
      </w:r>
      <w:r w:rsidR="00AA4C22" w:rsidRPr="006571AC">
        <w:rPr>
          <w:rFonts w:hint="cs"/>
          <w:sz w:val="27"/>
          <w:rtl/>
          <w:lang w:bidi="ar-LB"/>
        </w:rPr>
        <w:t>ّ</w:t>
      </w:r>
      <w:r w:rsidRPr="006571AC">
        <w:rPr>
          <w:rFonts w:hint="cs"/>
          <w:sz w:val="27"/>
          <w:rtl/>
          <w:lang w:bidi="ar-LB"/>
        </w:rPr>
        <w:t xml:space="preserve">ة </w:t>
      </w:r>
      <w:r w:rsidRPr="006571AC">
        <w:rPr>
          <w:sz w:val="27"/>
          <w:rtl/>
          <w:lang w:bidi="ar-LB"/>
        </w:rPr>
        <w:t xml:space="preserve">ـ </w:t>
      </w:r>
      <w:r w:rsidRPr="006571AC">
        <w:rPr>
          <w:rFonts w:hint="cs"/>
          <w:sz w:val="27"/>
          <w:rtl/>
          <w:lang w:bidi="ar-LB"/>
        </w:rPr>
        <w:t>ف</w:t>
      </w:r>
      <w:r w:rsidR="00731867" w:rsidRPr="006571AC">
        <w:rPr>
          <w:rFonts w:hint="cs"/>
          <w:sz w:val="27"/>
          <w:rtl/>
          <w:lang w:bidi="ar-LB"/>
        </w:rPr>
        <w:t>لا بُدَّ</w:t>
      </w:r>
      <w:r w:rsidRPr="006571AC">
        <w:rPr>
          <w:rFonts w:hint="cs"/>
          <w:sz w:val="27"/>
          <w:rtl/>
          <w:lang w:bidi="ar-LB"/>
        </w:rPr>
        <w:t xml:space="preserve"> أن تكون محكومة</w:t>
      </w:r>
      <w:r w:rsidR="00AA4C22" w:rsidRPr="006571AC">
        <w:rPr>
          <w:rFonts w:hint="cs"/>
          <w:sz w:val="27"/>
          <w:rtl/>
          <w:lang w:bidi="ar-LB"/>
        </w:rPr>
        <w:t>ً</w:t>
      </w:r>
      <w:r w:rsidRPr="006571AC">
        <w:rPr>
          <w:rFonts w:hint="cs"/>
          <w:sz w:val="27"/>
          <w:rtl/>
          <w:lang w:bidi="ar-LB"/>
        </w:rPr>
        <w:t xml:space="preserve"> بشيء من الأحكام الأربعة، كما هو واضح</w:t>
      </w:r>
      <w:r w:rsidR="00AA4C22" w:rsidRPr="006571AC">
        <w:rPr>
          <w:rFonts w:hint="cs"/>
          <w:sz w:val="27"/>
          <w:rtl/>
          <w:lang w:bidi="ar-LB"/>
        </w:rPr>
        <w:t>ٌ</w:t>
      </w:r>
      <w:r w:rsidRPr="006571AC">
        <w:rPr>
          <w:rFonts w:hint="cs"/>
          <w:sz w:val="27"/>
          <w:rtl/>
          <w:lang w:bidi="ar-LB"/>
        </w:rPr>
        <w:t xml:space="preserve">. </w:t>
      </w:r>
    </w:p>
    <w:p w:rsidR="001F3F5A" w:rsidRPr="006571AC" w:rsidRDefault="001F3F5A" w:rsidP="00935DA6">
      <w:pPr>
        <w:tabs>
          <w:tab w:val="right" w:pos="6930"/>
        </w:tabs>
        <w:suppressAutoHyphens/>
        <w:spacing w:line="416" w:lineRule="exact"/>
        <w:rPr>
          <w:sz w:val="27"/>
          <w:rtl/>
          <w:lang w:bidi="ar-LB"/>
        </w:rPr>
      </w:pPr>
      <w:r w:rsidRPr="006571AC">
        <w:rPr>
          <w:rFonts w:hint="cs"/>
          <w:sz w:val="27"/>
          <w:rtl/>
          <w:lang w:bidi="ar-LB"/>
        </w:rPr>
        <w:t>وحينئذٍ نستدلّ على جعل الإباحة الشرعية فيها ببعض ما ورد من الأخبار والآيات الدالّة على أنّ ما لا يكون حراماً في الشريعة فهو حلال</w:t>
      </w:r>
      <w:r w:rsidR="00AA4C22" w:rsidRPr="006571AC">
        <w:rPr>
          <w:rFonts w:hint="cs"/>
          <w:sz w:val="27"/>
          <w:rtl/>
          <w:lang w:bidi="ar-LB"/>
        </w:rPr>
        <w:t>ٌ</w:t>
      </w:r>
      <w:r w:rsidRPr="006571AC">
        <w:rPr>
          <w:rFonts w:hint="cs"/>
          <w:sz w:val="27"/>
          <w:rtl/>
          <w:lang w:bidi="ar-LB"/>
        </w:rPr>
        <w:t>، كما قد ي</w:t>
      </w:r>
      <w:r w:rsidR="00AA4C22" w:rsidRPr="006571AC">
        <w:rPr>
          <w:rFonts w:hint="cs"/>
          <w:sz w:val="27"/>
          <w:rtl/>
          <w:lang w:bidi="ar-LB"/>
        </w:rPr>
        <w:t>ُ</w:t>
      </w:r>
      <w:r w:rsidRPr="006571AC">
        <w:rPr>
          <w:rFonts w:hint="cs"/>
          <w:sz w:val="27"/>
          <w:rtl/>
          <w:lang w:bidi="ar-LB"/>
        </w:rPr>
        <w:t>دّ</w:t>
      </w:r>
      <w:r w:rsidR="00AA4C22" w:rsidRPr="006571AC">
        <w:rPr>
          <w:rFonts w:hint="cs"/>
          <w:sz w:val="27"/>
          <w:rtl/>
          <w:lang w:bidi="ar-LB"/>
        </w:rPr>
        <w:t>َ</w:t>
      </w:r>
      <w:r w:rsidRPr="006571AC">
        <w:rPr>
          <w:rFonts w:hint="cs"/>
          <w:sz w:val="27"/>
          <w:rtl/>
          <w:lang w:bidi="ar-LB"/>
        </w:rPr>
        <w:t xml:space="preserve">عى دلالة قوله تعالى: </w:t>
      </w:r>
      <w:r w:rsidRPr="006571AC">
        <w:rPr>
          <w:rFonts w:ascii="Mosawi" w:hAnsi="Mosawi" w:cs="Mosawi"/>
          <w:sz w:val="24"/>
          <w:szCs w:val="24"/>
          <w:rtl/>
        </w:rPr>
        <w:t>﴿</w:t>
      </w:r>
      <w:r w:rsidR="00AA4C22" w:rsidRPr="006571AC">
        <w:rPr>
          <w:b/>
          <w:bCs/>
          <w:sz w:val="27"/>
          <w:rtl/>
        </w:rPr>
        <w:t>هُوَ الَّذِي خَلَقَ لَكُمْ مَا فِي الأَرْضِ جَمِيعاً</w:t>
      </w:r>
      <w:r w:rsidRPr="006571AC">
        <w:rPr>
          <w:rFonts w:ascii="Mosawi" w:hAnsi="Mosawi" w:cs="Mosawi"/>
          <w:sz w:val="24"/>
          <w:szCs w:val="24"/>
          <w:rtl/>
        </w:rPr>
        <w:t>﴾</w:t>
      </w:r>
      <w:r w:rsidRPr="006571AC">
        <w:rPr>
          <w:rFonts w:hint="cs"/>
          <w:sz w:val="27"/>
          <w:rtl/>
          <w:lang w:bidi="ar-LB"/>
        </w:rPr>
        <w:t xml:space="preserve"> (البقرة: 29) على ذلك. </w:t>
      </w:r>
    </w:p>
    <w:p w:rsidR="00AA4C22" w:rsidRPr="006571AC" w:rsidRDefault="001F3F5A" w:rsidP="00935DA6">
      <w:pPr>
        <w:tabs>
          <w:tab w:val="right" w:pos="6930"/>
        </w:tabs>
        <w:suppressAutoHyphens/>
        <w:spacing w:line="416" w:lineRule="exact"/>
        <w:rPr>
          <w:sz w:val="27"/>
          <w:rtl/>
          <w:lang w:bidi="ar-LB"/>
        </w:rPr>
      </w:pPr>
      <w:r w:rsidRPr="006571AC">
        <w:rPr>
          <w:rFonts w:hint="cs"/>
          <w:sz w:val="27"/>
          <w:rtl/>
          <w:lang w:bidi="ar-LB"/>
        </w:rPr>
        <w:t>وقد حاول جمع</w:t>
      </w:r>
      <w:r w:rsidR="00AA4C22" w:rsidRPr="006571AC">
        <w:rPr>
          <w:rFonts w:hint="cs"/>
          <w:sz w:val="27"/>
          <w:rtl/>
          <w:lang w:bidi="ar-LB"/>
        </w:rPr>
        <w:t>ٌ</w:t>
      </w:r>
      <w:r w:rsidRPr="006571AC">
        <w:rPr>
          <w:rFonts w:hint="cs"/>
          <w:sz w:val="27"/>
          <w:rtl/>
          <w:lang w:bidi="ar-LB"/>
        </w:rPr>
        <w:t xml:space="preserve"> من الفقهاء والمحدّ</w:t>
      </w:r>
      <w:r w:rsidR="00AA4C22" w:rsidRPr="006571AC">
        <w:rPr>
          <w:rFonts w:hint="cs"/>
          <w:sz w:val="27"/>
          <w:rtl/>
          <w:lang w:bidi="ar-LB"/>
        </w:rPr>
        <w:t>ِ</w:t>
      </w:r>
      <w:r w:rsidRPr="006571AC">
        <w:rPr>
          <w:rFonts w:hint="cs"/>
          <w:sz w:val="27"/>
          <w:rtl/>
          <w:lang w:bidi="ar-LB"/>
        </w:rPr>
        <w:t>ثين أن يثبتوا أنّ الأشياء كلّها على الحلّ</w:t>
      </w:r>
      <w:r w:rsidR="00AA4C22" w:rsidRPr="006571AC">
        <w:rPr>
          <w:rFonts w:hint="cs"/>
          <w:sz w:val="27"/>
          <w:rtl/>
          <w:lang w:bidi="ar-LB"/>
        </w:rPr>
        <w:t>،</w:t>
      </w:r>
      <w:r w:rsidRPr="006571AC">
        <w:rPr>
          <w:rFonts w:hint="cs"/>
          <w:sz w:val="27"/>
          <w:rtl/>
          <w:lang w:bidi="ar-LB"/>
        </w:rPr>
        <w:t xml:space="preserve"> عدا ما است</w:t>
      </w:r>
      <w:r w:rsidR="00AA4C22" w:rsidRPr="006571AC">
        <w:rPr>
          <w:rFonts w:hint="cs"/>
          <w:sz w:val="27"/>
          <w:rtl/>
          <w:lang w:bidi="ar-LB"/>
        </w:rPr>
        <w:t>ُ</w:t>
      </w:r>
      <w:r w:rsidRPr="006571AC">
        <w:rPr>
          <w:rFonts w:hint="cs"/>
          <w:sz w:val="27"/>
          <w:rtl/>
          <w:lang w:bidi="ar-LB"/>
        </w:rPr>
        <w:t>ثني منها</w:t>
      </w:r>
      <w:r w:rsidR="00AA4C22" w:rsidRPr="006571AC">
        <w:rPr>
          <w:rFonts w:hint="cs"/>
          <w:sz w:val="27"/>
          <w:rtl/>
          <w:lang w:bidi="ar-LB"/>
        </w:rPr>
        <w:t>؛</w:t>
      </w:r>
      <w:r w:rsidRPr="006571AC">
        <w:rPr>
          <w:rFonts w:hint="cs"/>
          <w:sz w:val="27"/>
          <w:rtl/>
          <w:lang w:bidi="ar-LB"/>
        </w:rPr>
        <w:t xml:space="preserve"> استناداً إليها و</w:t>
      </w:r>
      <w:r w:rsidR="00AA4C22" w:rsidRPr="006571AC">
        <w:rPr>
          <w:rFonts w:hint="cs"/>
          <w:sz w:val="27"/>
          <w:rtl/>
          <w:lang w:bidi="ar-LB"/>
        </w:rPr>
        <w:t>إ</w:t>
      </w:r>
      <w:r w:rsidRPr="006571AC">
        <w:rPr>
          <w:rFonts w:hint="cs"/>
          <w:sz w:val="27"/>
          <w:rtl/>
          <w:lang w:bidi="ar-LB"/>
        </w:rPr>
        <w:t>لى مثلها من الآيات والأخبار</w:t>
      </w:r>
      <w:r w:rsidR="00AA4C22" w:rsidRPr="006571AC">
        <w:rPr>
          <w:rFonts w:hint="cs"/>
          <w:sz w:val="27"/>
          <w:rtl/>
          <w:lang w:bidi="ar-LB"/>
        </w:rPr>
        <w:t>،</w:t>
      </w:r>
      <w:r w:rsidRPr="006571AC">
        <w:rPr>
          <w:rFonts w:hint="cs"/>
          <w:sz w:val="27"/>
          <w:rtl/>
          <w:lang w:bidi="ar-LB"/>
        </w:rPr>
        <w:t xml:space="preserve"> </w:t>
      </w:r>
      <w:r w:rsidR="00AA4C22" w:rsidRPr="006571AC">
        <w:rPr>
          <w:rFonts w:hint="cs"/>
          <w:sz w:val="27"/>
          <w:rtl/>
          <w:lang w:bidi="ar-LB"/>
        </w:rPr>
        <w:t>و</w:t>
      </w:r>
      <w:r w:rsidRPr="006571AC">
        <w:rPr>
          <w:rFonts w:hint="cs"/>
          <w:sz w:val="27"/>
          <w:rtl/>
          <w:lang w:bidi="ar-LB"/>
        </w:rPr>
        <w:t>منها</w:t>
      </w:r>
      <w:r w:rsidR="00AA4C22" w:rsidRPr="006571AC">
        <w:rPr>
          <w:rFonts w:hint="cs"/>
          <w:sz w:val="27"/>
          <w:rtl/>
          <w:lang w:bidi="ar-LB"/>
        </w:rPr>
        <w:t>:</w:t>
      </w:r>
    </w:p>
    <w:p w:rsidR="001F3F5A" w:rsidRPr="006571AC" w:rsidRDefault="00807F36" w:rsidP="00935DA6">
      <w:pPr>
        <w:tabs>
          <w:tab w:val="right" w:pos="6930"/>
        </w:tabs>
        <w:suppressAutoHyphens/>
        <w:spacing w:line="416" w:lineRule="exact"/>
        <w:rPr>
          <w:sz w:val="27"/>
          <w:rtl/>
          <w:lang w:bidi="ar-LB"/>
        </w:rPr>
      </w:pPr>
      <w:r w:rsidRPr="006571AC">
        <w:rPr>
          <w:rFonts w:hint="cs"/>
          <w:sz w:val="27"/>
          <w:rtl/>
          <w:lang w:bidi="ar-LB"/>
        </w:rPr>
        <w:t xml:space="preserve">ـ </w:t>
      </w:r>
      <w:r w:rsidR="001F3F5A" w:rsidRPr="006571AC">
        <w:rPr>
          <w:rFonts w:hint="cs"/>
          <w:sz w:val="27"/>
          <w:rtl/>
          <w:lang w:bidi="ar-LB"/>
        </w:rPr>
        <w:t>ما في الكافي والمحاسن</w:t>
      </w:r>
      <w:r w:rsidRPr="006571AC">
        <w:rPr>
          <w:rFonts w:hint="cs"/>
          <w:sz w:val="27"/>
          <w:rtl/>
          <w:lang w:bidi="ar-LB"/>
        </w:rPr>
        <w:t xml:space="preserve">: </w:t>
      </w:r>
      <w:r w:rsidR="001F3F5A" w:rsidRPr="006571AC">
        <w:rPr>
          <w:rFonts w:hint="cs"/>
          <w:sz w:val="27"/>
          <w:rtl/>
          <w:lang w:bidi="ar-LB"/>
        </w:rPr>
        <w:t>قلت</w:t>
      </w:r>
      <w:r w:rsidRPr="006571AC">
        <w:rPr>
          <w:rFonts w:hint="cs"/>
          <w:sz w:val="27"/>
          <w:rtl/>
          <w:lang w:bidi="ar-LB"/>
        </w:rPr>
        <w:t>ُ</w:t>
      </w:r>
      <w:r w:rsidR="001F3F5A" w:rsidRPr="006571AC">
        <w:rPr>
          <w:rFonts w:hint="cs"/>
          <w:sz w:val="27"/>
          <w:rtl/>
          <w:lang w:bidi="ar-LB"/>
        </w:rPr>
        <w:t xml:space="preserve"> لأبي عبد الله</w:t>
      </w:r>
      <w:r w:rsidR="002A2C90" w:rsidRPr="006571AC">
        <w:rPr>
          <w:rFonts w:ascii="Mosawi" w:hAnsi="Mosawi" w:cs="Mosawi"/>
          <w:sz w:val="22"/>
          <w:szCs w:val="22"/>
          <w:rtl/>
        </w:rPr>
        <w:t>×</w:t>
      </w:r>
      <w:r w:rsidR="001F3F5A" w:rsidRPr="006571AC">
        <w:rPr>
          <w:rFonts w:hint="cs"/>
          <w:sz w:val="27"/>
          <w:rtl/>
          <w:lang w:bidi="ar-LB"/>
        </w:rPr>
        <w:t>: أخبرني</w:t>
      </w:r>
      <w:r w:rsidRPr="006571AC">
        <w:rPr>
          <w:rFonts w:hint="cs"/>
          <w:sz w:val="27"/>
          <w:rtl/>
          <w:lang w:bidi="ar-LB"/>
        </w:rPr>
        <w:t>،</w:t>
      </w:r>
      <w:r w:rsidR="001F3F5A" w:rsidRPr="006571AC">
        <w:rPr>
          <w:rFonts w:hint="cs"/>
          <w:sz w:val="27"/>
          <w:rtl/>
          <w:lang w:bidi="ar-LB"/>
        </w:rPr>
        <w:t xml:space="preserve"> ج</w:t>
      </w:r>
      <w:r w:rsidRPr="006571AC">
        <w:rPr>
          <w:rFonts w:hint="cs"/>
          <w:sz w:val="27"/>
          <w:rtl/>
          <w:lang w:bidi="ar-LB"/>
        </w:rPr>
        <w:t>ُ</w:t>
      </w:r>
      <w:r w:rsidR="001F3F5A" w:rsidRPr="006571AC">
        <w:rPr>
          <w:rFonts w:hint="cs"/>
          <w:sz w:val="27"/>
          <w:rtl/>
          <w:lang w:bidi="ar-LB"/>
        </w:rPr>
        <w:t>علت</w:t>
      </w:r>
      <w:r w:rsidRPr="006571AC">
        <w:rPr>
          <w:rFonts w:hint="cs"/>
          <w:sz w:val="27"/>
          <w:rtl/>
          <w:lang w:bidi="ar-LB"/>
        </w:rPr>
        <w:t>ُ</w:t>
      </w:r>
      <w:r w:rsidR="001F3F5A" w:rsidRPr="006571AC">
        <w:rPr>
          <w:rFonts w:hint="cs"/>
          <w:sz w:val="27"/>
          <w:rtl/>
          <w:lang w:bidi="ar-LB"/>
        </w:rPr>
        <w:t xml:space="preserve"> فداك، لِمَ حرّ</w:t>
      </w:r>
      <w:r w:rsidRPr="006571AC">
        <w:rPr>
          <w:rFonts w:hint="cs"/>
          <w:sz w:val="27"/>
          <w:rtl/>
          <w:lang w:bidi="ar-LB"/>
        </w:rPr>
        <w:t>َ</w:t>
      </w:r>
      <w:r w:rsidR="001F3F5A" w:rsidRPr="006571AC">
        <w:rPr>
          <w:rFonts w:hint="cs"/>
          <w:sz w:val="27"/>
          <w:rtl/>
          <w:lang w:bidi="ar-LB"/>
        </w:rPr>
        <w:t xml:space="preserve">م الله الخمر والدم ولحم الخنزير؟ فقال: إن الله تبارك وتعالى </w:t>
      </w:r>
      <w:r w:rsidRPr="006571AC">
        <w:rPr>
          <w:rFonts w:hint="cs"/>
          <w:sz w:val="27"/>
          <w:rtl/>
          <w:lang w:bidi="ar-LB"/>
        </w:rPr>
        <w:t xml:space="preserve">لم </w:t>
      </w:r>
      <w:r w:rsidR="001F3F5A" w:rsidRPr="006571AC">
        <w:rPr>
          <w:rFonts w:hint="cs"/>
          <w:sz w:val="27"/>
          <w:rtl/>
          <w:lang w:bidi="ar-LB"/>
        </w:rPr>
        <w:t>يحرّ</w:t>
      </w:r>
      <w:r w:rsidRPr="006571AC">
        <w:rPr>
          <w:rFonts w:hint="cs"/>
          <w:sz w:val="27"/>
          <w:rtl/>
          <w:lang w:bidi="ar-LB"/>
        </w:rPr>
        <w:t>ِ</w:t>
      </w:r>
      <w:r w:rsidR="001F3F5A" w:rsidRPr="006571AC">
        <w:rPr>
          <w:rFonts w:hint="cs"/>
          <w:sz w:val="27"/>
          <w:rtl/>
          <w:lang w:bidi="ar-LB"/>
        </w:rPr>
        <w:t>م ذلك على عبده</w:t>
      </w:r>
      <w:r w:rsidRPr="006571AC">
        <w:rPr>
          <w:rFonts w:hint="cs"/>
          <w:sz w:val="27"/>
          <w:rtl/>
          <w:lang w:bidi="ar-LB"/>
        </w:rPr>
        <w:t>،</w:t>
      </w:r>
      <w:r w:rsidR="001F3F5A" w:rsidRPr="006571AC">
        <w:rPr>
          <w:rFonts w:hint="cs"/>
          <w:sz w:val="27"/>
          <w:rtl/>
          <w:lang w:bidi="ar-LB"/>
        </w:rPr>
        <w:t xml:space="preserve"> وأحلّ لهم سواه</w:t>
      </w:r>
      <w:r w:rsidRPr="006571AC">
        <w:rPr>
          <w:rFonts w:hint="cs"/>
          <w:sz w:val="27"/>
          <w:rtl/>
          <w:lang w:bidi="ar-LB"/>
        </w:rPr>
        <w:t>،</w:t>
      </w:r>
      <w:r w:rsidR="001F3F5A" w:rsidRPr="006571AC">
        <w:rPr>
          <w:rFonts w:hint="cs"/>
          <w:sz w:val="27"/>
          <w:rtl/>
          <w:lang w:bidi="ar-LB"/>
        </w:rPr>
        <w:t xml:space="preserve"> من رغبة</w:t>
      </w:r>
      <w:r w:rsidRPr="006571AC">
        <w:rPr>
          <w:rFonts w:hint="cs"/>
          <w:sz w:val="27"/>
          <w:rtl/>
          <w:lang w:bidi="ar-LB"/>
        </w:rPr>
        <w:t>ٍ</w:t>
      </w:r>
      <w:r w:rsidR="001F3F5A" w:rsidRPr="006571AC">
        <w:rPr>
          <w:rFonts w:hint="cs"/>
          <w:sz w:val="27"/>
          <w:rtl/>
          <w:lang w:bidi="ar-LB"/>
        </w:rPr>
        <w:t xml:space="preserve"> منه في</w:t>
      </w:r>
      <w:r w:rsidRPr="006571AC">
        <w:rPr>
          <w:rFonts w:hint="cs"/>
          <w:sz w:val="27"/>
          <w:rtl/>
          <w:lang w:bidi="ar-LB"/>
        </w:rPr>
        <w:t xml:space="preserve"> </w:t>
      </w:r>
      <w:r w:rsidR="001F3F5A" w:rsidRPr="006571AC">
        <w:rPr>
          <w:rFonts w:hint="cs"/>
          <w:sz w:val="27"/>
          <w:rtl/>
          <w:lang w:bidi="ar-LB"/>
        </w:rPr>
        <w:t>ما حرّ</w:t>
      </w:r>
      <w:r w:rsidRPr="006571AC">
        <w:rPr>
          <w:rFonts w:hint="cs"/>
          <w:sz w:val="27"/>
          <w:rtl/>
          <w:lang w:bidi="ar-LB"/>
        </w:rPr>
        <w:t>َ</w:t>
      </w:r>
      <w:r w:rsidR="001F3F5A" w:rsidRPr="006571AC">
        <w:rPr>
          <w:rFonts w:hint="cs"/>
          <w:sz w:val="27"/>
          <w:rtl/>
          <w:lang w:bidi="ar-LB"/>
        </w:rPr>
        <w:t>م عليهم، ولا زهدٍ في</w:t>
      </w:r>
      <w:r w:rsidRPr="006571AC">
        <w:rPr>
          <w:rFonts w:hint="cs"/>
          <w:sz w:val="27"/>
          <w:rtl/>
          <w:lang w:bidi="ar-LB"/>
        </w:rPr>
        <w:t xml:space="preserve"> </w:t>
      </w:r>
      <w:r w:rsidR="001F3F5A" w:rsidRPr="006571AC">
        <w:rPr>
          <w:rFonts w:hint="cs"/>
          <w:sz w:val="27"/>
          <w:rtl/>
          <w:lang w:bidi="ar-LB"/>
        </w:rPr>
        <w:t>ما أحلّ</w:t>
      </w:r>
      <w:r w:rsidRPr="006571AC">
        <w:rPr>
          <w:rFonts w:hint="cs"/>
          <w:sz w:val="27"/>
          <w:rtl/>
          <w:lang w:bidi="ar-LB"/>
        </w:rPr>
        <w:t>َ</w:t>
      </w:r>
      <w:r w:rsidR="001F3F5A" w:rsidRPr="006571AC">
        <w:rPr>
          <w:rFonts w:hint="cs"/>
          <w:sz w:val="27"/>
          <w:rtl/>
          <w:lang w:bidi="ar-LB"/>
        </w:rPr>
        <w:t xml:space="preserve"> لهم، ولكنّه عزّ</w:t>
      </w:r>
      <w:r w:rsidRPr="006571AC">
        <w:rPr>
          <w:rFonts w:hint="cs"/>
          <w:sz w:val="27"/>
          <w:rtl/>
          <w:lang w:bidi="ar-LB"/>
        </w:rPr>
        <w:t>َ</w:t>
      </w:r>
      <w:r w:rsidR="001F3F5A" w:rsidRPr="006571AC">
        <w:rPr>
          <w:rFonts w:hint="cs"/>
          <w:sz w:val="27"/>
          <w:rtl/>
          <w:lang w:bidi="ar-LB"/>
        </w:rPr>
        <w:t xml:space="preserve"> وجلّ</w:t>
      </w:r>
      <w:r w:rsidRPr="006571AC">
        <w:rPr>
          <w:rFonts w:hint="cs"/>
          <w:sz w:val="27"/>
          <w:rtl/>
          <w:lang w:bidi="ar-LB"/>
        </w:rPr>
        <w:t>َ</w:t>
      </w:r>
      <w:r w:rsidR="001F3F5A" w:rsidRPr="006571AC">
        <w:rPr>
          <w:rFonts w:hint="cs"/>
          <w:sz w:val="27"/>
          <w:rtl/>
          <w:lang w:bidi="ar-LB"/>
        </w:rPr>
        <w:t xml:space="preserve"> خلق الخ</w:t>
      </w:r>
      <w:r w:rsidRPr="006571AC">
        <w:rPr>
          <w:rFonts w:hint="cs"/>
          <w:sz w:val="27"/>
          <w:rtl/>
          <w:lang w:bidi="ar-LB"/>
        </w:rPr>
        <w:t>َ</w:t>
      </w:r>
      <w:r w:rsidR="001F3F5A" w:rsidRPr="006571AC">
        <w:rPr>
          <w:rFonts w:hint="cs"/>
          <w:sz w:val="27"/>
          <w:rtl/>
          <w:lang w:bidi="ar-LB"/>
        </w:rPr>
        <w:t>ل</w:t>
      </w:r>
      <w:r w:rsidRPr="006571AC">
        <w:rPr>
          <w:rFonts w:hint="cs"/>
          <w:sz w:val="27"/>
          <w:rtl/>
          <w:lang w:bidi="ar-LB"/>
        </w:rPr>
        <w:t>ْ</w:t>
      </w:r>
      <w:r w:rsidR="001F3F5A" w:rsidRPr="006571AC">
        <w:rPr>
          <w:rFonts w:hint="cs"/>
          <w:sz w:val="27"/>
          <w:rtl/>
          <w:lang w:bidi="ar-LB"/>
        </w:rPr>
        <w:t>قَ</w:t>
      </w:r>
      <w:r w:rsidRPr="006571AC">
        <w:rPr>
          <w:rFonts w:hint="cs"/>
          <w:sz w:val="27"/>
          <w:rtl/>
          <w:lang w:bidi="ar-LB"/>
        </w:rPr>
        <w:t>،</w:t>
      </w:r>
      <w:r w:rsidR="001F3F5A" w:rsidRPr="006571AC">
        <w:rPr>
          <w:rFonts w:hint="cs"/>
          <w:sz w:val="27"/>
          <w:rtl/>
          <w:lang w:bidi="ar-LB"/>
        </w:rPr>
        <w:t xml:space="preserve"> وعلم ما تقوم به أبدانهم وما يصلحهم</w:t>
      </w:r>
      <w:r w:rsidRPr="006571AC">
        <w:rPr>
          <w:rFonts w:hint="cs"/>
          <w:sz w:val="27"/>
          <w:rtl/>
          <w:lang w:bidi="ar-LB"/>
        </w:rPr>
        <w:t>،</w:t>
      </w:r>
      <w:r w:rsidR="001F3F5A" w:rsidRPr="006571AC">
        <w:rPr>
          <w:rFonts w:hint="cs"/>
          <w:sz w:val="27"/>
          <w:rtl/>
          <w:lang w:bidi="ar-LB"/>
        </w:rPr>
        <w:t xml:space="preserve"> فأحلّه لهم وأباحه</w:t>
      </w:r>
      <w:r w:rsidRPr="006571AC">
        <w:rPr>
          <w:rFonts w:hint="cs"/>
          <w:sz w:val="27"/>
          <w:rtl/>
          <w:lang w:bidi="ar-LB"/>
        </w:rPr>
        <w:t>؛</w:t>
      </w:r>
      <w:r w:rsidR="001F3F5A" w:rsidRPr="006571AC">
        <w:rPr>
          <w:rFonts w:hint="cs"/>
          <w:sz w:val="27"/>
          <w:rtl/>
          <w:lang w:bidi="ar-LB"/>
        </w:rPr>
        <w:t xml:space="preserve"> تفض</w:t>
      </w:r>
      <w:r w:rsidRPr="006571AC">
        <w:rPr>
          <w:rFonts w:hint="cs"/>
          <w:sz w:val="27"/>
          <w:rtl/>
          <w:lang w:bidi="ar-LB"/>
        </w:rPr>
        <w:t>ُّ</w:t>
      </w:r>
      <w:r w:rsidR="001F3F5A" w:rsidRPr="006571AC">
        <w:rPr>
          <w:rFonts w:hint="cs"/>
          <w:sz w:val="27"/>
          <w:rtl/>
          <w:lang w:bidi="ar-LB"/>
        </w:rPr>
        <w:t xml:space="preserve">لاً منه </w:t>
      </w:r>
      <w:r w:rsidRPr="006571AC">
        <w:rPr>
          <w:rFonts w:hint="cs"/>
          <w:sz w:val="27"/>
          <w:rtl/>
          <w:lang w:bidi="ar-LB"/>
        </w:rPr>
        <w:t>تبارك وتعالى عليهم؛</w:t>
      </w:r>
      <w:r w:rsidR="001F3F5A" w:rsidRPr="006571AC">
        <w:rPr>
          <w:rFonts w:hint="cs"/>
          <w:sz w:val="27"/>
          <w:rtl/>
          <w:lang w:bidi="ar-LB"/>
        </w:rPr>
        <w:t xml:space="preserve"> لمصلحتهم، وعلم عزّ</w:t>
      </w:r>
      <w:r w:rsidR="007D7CA0" w:rsidRPr="006571AC">
        <w:rPr>
          <w:rFonts w:hint="cs"/>
          <w:sz w:val="27"/>
          <w:rtl/>
          <w:lang w:bidi="ar-LB"/>
        </w:rPr>
        <w:t>َ</w:t>
      </w:r>
      <w:r w:rsidR="001F3F5A" w:rsidRPr="006571AC">
        <w:rPr>
          <w:rFonts w:hint="cs"/>
          <w:sz w:val="27"/>
          <w:rtl/>
          <w:lang w:bidi="ar-LB"/>
        </w:rPr>
        <w:t xml:space="preserve"> وجلّ</w:t>
      </w:r>
      <w:r w:rsidR="007D7CA0" w:rsidRPr="006571AC">
        <w:rPr>
          <w:rFonts w:hint="cs"/>
          <w:sz w:val="27"/>
          <w:rtl/>
          <w:lang w:bidi="ar-LB"/>
        </w:rPr>
        <w:t>َ</w:t>
      </w:r>
      <w:r w:rsidR="001F3F5A" w:rsidRPr="006571AC">
        <w:rPr>
          <w:rFonts w:hint="cs"/>
          <w:sz w:val="27"/>
          <w:rtl/>
          <w:lang w:bidi="ar-LB"/>
        </w:rPr>
        <w:t xml:space="preserve"> ما يضرّهم</w:t>
      </w:r>
      <w:r w:rsidR="007D7CA0" w:rsidRPr="006571AC">
        <w:rPr>
          <w:rFonts w:hint="cs"/>
          <w:sz w:val="27"/>
          <w:rtl/>
          <w:lang w:bidi="ar-LB"/>
        </w:rPr>
        <w:t>،</w:t>
      </w:r>
      <w:r w:rsidR="001F3F5A" w:rsidRPr="006571AC">
        <w:rPr>
          <w:rFonts w:hint="cs"/>
          <w:sz w:val="27"/>
          <w:rtl/>
          <w:lang w:bidi="ar-LB"/>
        </w:rPr>
        <w:t xml:space="preserve"> فنهاهم عنه وحرّ</w:t>
      </w:r>
      <w:r w:rsidR="007D7CA0" w:rsidRPr="006571AC">
        <w:rPr>
          <w:rFonts w:hint="cs"/>
          <w:sz w:val="27"/>
          <w:rtl/>
          <w:lang w:bidi="ar-LB"/>
        </w:rPr>
        <w:t>َ</w:t>
      </w:r>
      <w:r w:rsidR="001F3F5A" w:rsidRPr="006571AC">
        <w:rPr>
          <w:rFonts w:hint="cs"/>
          <w:sz w:val="27"/>
          <w:rtl/>
          <w:lang w:bidi="ar-LB"/>
        </w:rPr>
        <w:t>مه عليهم، ثمّ أباحه للمضطرّ وأباحه له في الوقت الذي لا يقوم بدنه إلاّ به، فأمره أن ينال منه بقدر الب</w:t>
      </w:r>
      <w:r w:rsidR="007D7CA0" w:rsidRPr="006571AC">
        <w:rPr>
          <w:rFonts w:hint="cs"/>
          <w:sz w:val="27"/>
          <w:rtl/>
          <w:lang w:bidi="ar-LB"/>
        </w:rPr>
        <w:t>ُ</w:t>
      </w:r>
      <w:r w:rsidR="001F3F5A" w:rsidRPr="006571AC">
        <w:rPr>
          <w:rFonts w:hint="cs"/>
          <w:sz w:val="27"/>
          <w:rtl/>
          <w:lang w:bidi="ar-LB"/>
        </w:rPr>
        <w:t>ل</w:t>
      </w:r>
      <w:r w:rsidR="007D7CA0" w:rsidRPr="006571AC">
        <w:rPr>
          <w:rFonts w:hint="cs"/>
          <w:sz w:val="27"/>
          <w:rtl/>
          <w:lang w:bidi="ar-LB"/>
        </w:rPr>
        <w:t>ْ</w:t>
      </w:r>
      <w:r w:rsidR="001F3F5A" w:rsidRPr="006571AC">
        <w:rPr>
          <w:rFonts w:hint="cs"/>
          <w:sz w:val="27"/>
          <w:rtl/>
          <w:lang w:bidi="ar-LB"/>
        </w:rPr>
        <w:t>غة</w:t>
      </w:r>
      <w:r w:rsidR="007D7CA0" w:rsidRPr="006571AC">
        <w:rPr>
          <w:rFonts w:hint="cs"/>
          <w:sz w:val="27"/>
          <w:rtl/>
          <w:lang w:bidi="ar-LB"/>
        </w:rPr>
        <w:t>،</w:t>
      </w:r>
      <w:r w:rsidR="001F3F5A" w:rsidRPr="006571AC">
        <w:rPr>
          <w:rFonts w:hint="cs"/>
          <w:sz w:val="27"/>
          <w:rtl/>
          <w:lang w:bidi="ar-LB"/>
        </w:rPr>
        <w:t xml:space="preserve"> لا غير ذلك</w:t>
      </w:r>
      <w:r w:rsidR="001F3F5A" w:rsidRPr="006571AC">
        <w:rPr>
          <w:rFonts w:hint="cs"/>
          <w:sz w:val="27"/>
          <w:vertAlign w:val="superscript"/>
          <w:rtl/>
        </w:rPr>
        <w:t>(</w:t>
      </w:r>
      <w:r w:rsidR="001F3F5A" w:rsidRPr="006571AC">
        <w:rPr>
          <w:rStyle w:val="ac"/>
          <w:sz w:val="27"/>
          <w:rtl/>
        </w:rPr>
        <w:endnoteReference w:id="643"/>
      </w:r>
      <w:r w:rsidR="001F3F5A" w:rsidRPr="006571AC">
        <w:rPr>
          <w:rFonts w:hint="cs"/>
          <w:sz w:val="27"/>
          <w:vertAlign w:val="superscript"/>
          <w:rtl/>
        </w:rPr>
        <w:t>)</w:t>
      </w:r>
      <w:r w:rsidR="001F3F5A" w:rsidRPr="006571AC">
        <w:rPr>
          <w:rFonts w:hint="cs"/>
          <w:sz w:val="27"/>
          <w:rtl/>
          <w:lang w:bidi="ar-LB"/>
        </w:rPr>
        <w:t xml:space="preserve">.  </w:t>
      </w:r>
    </w:p>
    <w:p w:rsidR="001F3F5A" w:rsidRPr="006571AC" w:rsidRDefault="001F3F5A" w:rsidP="00935DA6">
      <w:pPr>
        <w:tabs>
          <w:tab w:val="right" w:pos="6930"/>
        </w:tabs>
        <w:suppressAutoHyphens/>
        <w:spacing w:line="416" w:lineRule="exact"/>
        <w:rPr>
          <w:sz w:val="27"/>
          <w:rtl/>
          <w:lang w:bidi="ar-LB"/>
        </w:rPr>
      </w:pPr>
      <w:r w:rsidRPr="006571AC">
        <w:rPr>
          <w:rFonts w:hint="cs"/>
          <w:sz w:val="27"/>
          <w:rtl/>
          <w:lang w:bidi="ar-LB"/>
        </w:rPr>
        <w:t>وفقرة الاستدلال هي قوله</w:t>
      </w:r>
      <w:r w:rsidR="002A2C90"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وأحلّ لهم سواه</w:t>
      </w:r>
      <w:r w:rsidRPr="006571AC">
        <w:rPr>
          <w:rFonts w:hint="eastAsia"/>
          <w:sz w:val="24"/>
          <w:szCs w:val="24"/>
          <w:rtl/>
        </w:rPr>
        <w:t>»</w:t>
      </w:r>
      <w:r w:rsidR="007D7CA0" w:rsidRPr="006571AC">
        <w:rPr>
          <w:rFonts w:hint="cs"/>
          <w:sz w:val="27"/>
          <w:rtl/>
          <w:lang w:bidi="ar-LB"/>
        </w:rPr>
        <w:t>؛</w:t>
      </w:r>
      <w:r w:rsidRPr="006571AC">
        <w:rPr>
          <w:rFonts w:hint="cs"/>
          <w:sz w:val="27"/>
          <w:rtl/>
          <w:lang w:bidi="ar-LB"/>
        </w:rPr>
        <w:t xml:space="preserve"> فإنّه ظاهرٌ في حل</w:t>
      </w:r>
      <w:r w:rsidR="007D7CA0" w:rsidRPr="006571AC">
        <w:rPr>
          <w:rFonts w:hint="cs"/>
          <w:sz w:val="27"/>
          <w:rtl/>
          <w:lang w:bidi="ar-LB"/>
        </w:rPr>
        <w:t>ِّي</w:t>
      </w:r>
      <w:r w:rsidRPr="006571AC">
        <w:rPr>
          <w:rFonts w:hint="cs"/>
          <w:sz w:val="27"/>
          <w:rtl/>
          <w:lang w:bidi="ar-LB"/>
        </w:rPr>
        <w:t>ة كلّ شيء</w:t>
      </w:r>
      <w:r w:rsidR="007D7CA0" w:rsidRPr="006571AC">
        <w:rPr>
          <w:rFonts w:hint="cs"/>
          <w:sz w:val="27"/>
          <w:rtl/>
          <w:lang w:bidi="ar-LB"/>
        </w:rPr>
        <w:t>ٍ</w:t>
      </w:r>
      <w:r w:rsidRPr="006571AC">
        <w:rPr>
          <w:rFonts w:hint="cs"/>
          <w:sz w:val="27"/>
          <w:rtl/>
          <w:lang w:bidi="ar-LB"/>
        </w:rPr>
        <w:t xml:space="preserve"> سوى ما حرّ</w:t>
      </w:r>
      <w:r w:rsidR="007D7CA0" w:rsidRPr="006571AC">
        <w:rPr>
          <w:rFonts w:hint="cs"/>
          <w:sz w:val="27"/>
          <w:rtl/>
          <w:lang w:bidi="ar-LB"/>
        </w:rPr>
        <w:t>َ</w:t>
      </w:r>
      <w:r w:rsidRPr="006571AC">
        <w:rPr>
          <w:rFonts w:hint="cs"/>
          <w:sz w:val="27"/>
          <w:rtl/>
          <w:lang w:bidi="ar-LB"/>
        </w:rPr>
        <w:t>مه على العباد</w:t>
      </w:r>
      <w:r w:rsidR="007D7CA0" w:rsidRPr="006571AC">
        <w:rPr>
          <w:rFonts w:hint="cs"/>
          <w:sz w:val="27"/>
          <w:rtl/>
          <w:lang w:bidi="ar-LB"/>
        </w:rPr>
        <w:t>.</w:t>
      </w:r>
      <w:r w:rsidRPr="006571AC">
        <w:rPr>
          <w:rFonts w:hint="cs"/>
          <w:sz w:val="27"/>
          <w:rtl/>
          <w:lang w:bidi="ar-LB"/>
        </w:rPr>
        <w:t xml:space="preserve"> نعم، الظاهر أنّ المقصود بذلك خصوص الأطعمة، أو فق</w:t>
      </w:r>
      <w:r w:rsidR="007D7CA0" w:rsidRPr="006571AC">
        <w:rPr>
          <w:rFonts w:hint="cs"/>
          <w:sz w:val="27"/>
          <w:rtl/>
          <w:lang w:bidi="ar-LB"/>
        </w:rPr>
        <w:t>ُ</w:t>
      </w:r>
      <w:r w:rsidRPr="006571AC">
        <w:rPr>
          <w:rFonts w:hint="cs"/>
          <w:sz w:val="27"/>
          <w:rtl/>
          <w:lang w:bidi="ar-LB"/>
        </w:rPr>
        <w:t>ل</w:t>
      </w:r>
      <w:r w:rsidR="007D7CA0" w:rsidRPr="006571AC">
        <w:rPr>
          <w:rFonts w:hint="cs"/>
          <w:sz w:val="27"/>
          <w:rtl/>
          <w:lang w:bidi="ar-LB"/>
        </w:rPr>
        <w:t>ْ</w:t>
      </w:r>
      <w:r w:rsidRPr="006571AC">
        <w:rPr>
          <w:rFonts w:hint="cs"/>
          <w:sz w:val="27"/>
          <w:rtl/>
          <w:lang w:bidi="ar-LB"/>
        </w:rPr>
        <w:t>: إنّه المورد في الرواية، إلاّ أنها تتمّ دلالتها على المطلوب بانضمام عدم القول بالفصل بين المأكولات وغيرها</w:t>
      </w:r>
      <w:r w:rsidR="007D7CA0" w:rsidRPr="006571AC">
        <w:rPr>
          <w:rFonts w:hint="cs"/>
          <w:sz w:val="27"/>
          <w:rtl/>
          <w:lang w:bidi="ar-LB"/>
        </w:rPr>
        <w:t>؛</w:t>
      </w:r>
      <w:r w:rsidRPr="006571AC">
        <w:rPr>
          <w:rFonts w:hint="cs"/>
          <w:sz w:val="27"/>
          <w:rtl/>
          <w:lang w:bidi="ar-LB"/>
        </w:rPr>
        <w:t xml:space="preserve"> إذ لم يق</w:t>
      </w:r>
      <w:r w:rsidR="007D7CA0" w:rsidRPr="006571AC">
        <w:rPr>
          <w:rFonts w:hint="cs"/>
          <w:sz w:val="27"/>
          <w:rtl/>
          <w:lang w:bidi="ar-LB"/>
        </w:rPr>
        <w:t>ُ</w:t>
      </w:r>
      <w:r w:rsidRPr="006571AC">
        <w:rPr>
          <w:rFonts w:hint="cs"/>
          <w:sz w:val="27"/>
          <w:rtl/>
          <w:lang w:bidi="ar-LB"/>
        </w:rPr>
        <w:t>ل</w:t>
      </w:r>
      <w:r w:rsidR="007D7CA0" w:rsidRPr="006571AC">
        <w:rPr>
          <w:rFonts w:hint="cs"/>
          <w:sz w:val="27"/>
          <w:rtl/>
          <w:lang w:bidi="ar-LB"/>
        </w:rPr>
        <w:t>ْ</w:t>
      </w:r>
      <w:r w:rsidRPr="006571AC">
        <w:rPr>
          <w:rFonts w:hint="cs"/>
          <w:sz w:val="27"/>
          <w:rtl/>
          <w:lang w:bidi="ar-LB"/>
        </w:rPr>
        <w:t xml:space="preserve"> واحدٌ من الفقهاء بالتفصيل في المقام بين الأكل وسائر الأفعال. </w:t>
      </w:r>
    </w:p>
    <w:p w:rsidR="001F3F5A" w:rsidRPr="006571AC" w:rsidRDefault="001F3F5A" w:rsidP="00935DA6">
      <w:pPr>
        <w:tabs>
          <w:tab w:val="right" w:pos="6930"/>
        </w:tabs>
        <w:suppressAutoHyphens/>
        <w:spacing w:line="416" w:lineRule="exact"/>
        <w:rPr>
          <w:sz w:val="27"/>
          <w:rtl/>
          <w:lang w:bidi="ar-LB"/>
        </w:rPr>
      </w:pPr>
      <w:r w:rsidRPr="006571AC">
        <w:rPr>
          <w:rFonts w:hint="cs"/>
          <w:sz w:val="27"/>
          <w:rtl/>
          <w:lang w:bidi="ar-LB"/>
        </w:rPr>
        <w:t>وبالجملة، فهذه طريقة</w:t>
      </w:r>
      <w:r w:rsidR="007D7CA0" w:rsidRPr="006571AC">
        <w:rPr>
          <w:rFonts w:hint="cs"/>
          <w:sz w:val="27"/>
          <w:rtl/>
          <w:lang w:bidi="ar-LB"/>
        </w:rPr>
        <w:t>ٌ</w:t>
      </w:r>
      <w:r w:rsidRPr="006571AC">
        <w:rPr>
          <w:rFonts w:hint="cs"/>
          <w:sz w:val="27"/>
          <w:rtl/>
          <w:lang w:bidi="ar-LB"/>
        </w:rPr>
        <w:t xml:space="preserve"> ثالثة مركّ</w:t>
      </w:r>
      <w:r w:rsidR="007D7CA0" w:rsidRPr="006571AC">
        <w:rPr>
          <w:rFonts w:hint="cs"/>
          <w:sz w:val="27"/>
          <w:rtl/>
          <w:lang w:bidi="ar-LB"/>
        </w:rPr>
        <w:t>َ</w:t>
      </w:r>
      <w:r w:rsidRPr="006571AC">
        <w:rPr>
          <w:rFonts w:hint="cs"/>
          <w:sz w:val="27"/>
          <w:rtl/>
          <w:lang w:bidi="ar-LB"/>
        </w:rPr>
        <w:t>بة من العقل والنقل</w:t>
      </w:r>
      <w:r w:rsidR="007D7CA0" w:rsidRPr="006571AC">
        <w:rPr>
          <w:rFonts w:hint="cs"/>
          <w:sz w:val="27"/>
          <w:rtl/>
          <w:lang w:bidi="ar-LB"/>
        </w:rPr>
        <w:t>.</w:t>
      </w:r>
      <w:r w:rsidRPr="006571AC">
        <w:rPr>
          <w:rFonts w:hint="cs"/>
          <w:sz w:val="27"/>
          <w:rtl/>
          <w:lang w:bidi="ar-LB"/>
        </w:rPr>
        <w:t xml:space="preserve"> ولعلّ هناك بعضَ الآيات والروايات الأخرى لها دلالة</w:t>
      </w:r>
      <w:r w:rsidR="007D7CA0" w:rsidRPr="006571AC">
        <w:rPr>
          <w:rFonts w:hint="cs"/>
          <w:sz w:val="27"/>
          <w:rtl/>
          <w:lang w:bidi="ar-LB"/>
        </w:rPr>
        <w:t>ٌ</w:t>
      </w:r>
      <w:r w:rsidRPr="006571AC">
        <w:rPr>
          <w:rFonts w:hint="cs"/>
          <w:sz w:val="27"/>
          <w:rtl/>
          <w:lang w:bidi="ar-LB"/>
        </w:rPr>
        <w:t xml:space="preserve"> على حل</w:t>
      </w:r>
      <w:r w:rsidR="007D7CA0" w:rsidRPr="006571AC">
        <w:rPr>
          <w:rFonts w:hint="cs"/>
          <w:sz w:val="27"/>
          <w:rtl/>
          <w:lang w:bidi="ar-LB"/>
        </w:rPr>
        <w:t>ِّي</w:t>
      </w:r>
      <w:r w:rsidRPr="006571AC">
        <w:rPr>
          <w:rFonts w:hint="cs"/>
          <w:sz w:val="27"/>
          <w:rtl/>
          <w:lang w:bidi="ar-LB"/>
        </w:rPr>
        <w:t>ة ما لم ي</w:t>
      </w:r>
      <w:r w:rsidR="007D7CA0" w:rsidRPr="006571AC">
        <w:rPr>
          <w:rFonts w:hint="cs"/>
          <w:sz w:val="27"/>
          <w:rtl/>
          <w:lang w:bidi="ar-LB"/>
        </w:rPr>
        <w:t>ُ</w:t>
      </w:r>
      <w:r w:rsidRPr="006571AC">
        <w:rPr>
          <w:rFonts w:hint="cs"/>
          <w:sz w:val="27"/>
          <w:rtl/>
          <w:lang w:bidi="ar-LB"/>
        </w:rPr>
        <w:t>حرّ</w:t>
      </w:r>
      <w:r w:rsidR="007D7CA0" w:rsidRPr="006571AC">
        <w:rPr>
          <w:rFonts w:hint="cs"/>
          <w:sz w:val="27"/>
          <w:rtl/>
          <w:lang w:bidi="ar-LB"/>
        </w:rPr>
        <w:t>َ</w:t>
      </w:r>
      <w:r w:rsidRPr="006571AC">
        <w:rPr>
          <w:rFonts w:hint="cs"/>
          <w:sz w:val="27"/>
          <w:rtl/>
          <w:lang w:bidi="ar-LB"/>
        </w:rPr>
        <w:t>م، قد تظهر بالفحص والتأمّ</w:t>
      </w:r>
      <w:r w:rsidR="007D7CA0" w:rsidRPr="006571AC">
        <w:rPr>
          <w:rFonts w:hint="cs"/>
          <w:sz w:val="27"/>
          <w:rtl/>
          <w:lang w:bidi="ar-LB"/>
        </w:rPr>
        <w:t>ُ</w:t>
      </w:r>
      <w:r w:rsidRPr="006571AC">
        <w:rPr>
          <w:rFonts w:hint="cs"/>
          <w:sz w:val="27"/>
          <w:rtl/>
          <w:lang w:bidi="ar-LB"/>
        </w:rPr>
        <w:t xml:space="preserve">ل أكثر من ذلك. </w:t>
      </w:r>
    </w:p>
    <w:p w:rsidR="001F3F5A" w:rsidRPr="006571AC" w:rsidRDefault="001F3F5A" w:rsidP="008141F9">
      <w:pPr>
        <w:pStyle w:val="31"/>
        <w:rPr>
          <w:color w:val="auto"/>
          <w:rtl/>
        </w:rPr>
      </w:pPr>
      <w:bookmarkStart w:id="395" w:name="_Toc114164807"/>
      <w:r w:rsidRPr="006571AC">
        <w:rPr>
          <w:rFonts w:hint="cs"/>
          <w:color w:val="auto"/>
          <w:rtl/>
        </w:rPr>
        <w:lastRenderedPageBreak/>
        <w:t>خاتمة</w:t>
      </w:r>
      <w:r w:rsidR="007D7CA0" w:rsidRPr="006571AC">
        <w:rPr>
          <w:rFonts w:hint="cs"/>
          <w:color w:val="auto"/>
          <w:rtl/>
        </w:rPr>
        <w:t xml:space="preserve">ٌ: </w:t>
      </w:r>
      <w:r w:rsidR="004A42AD" w:rsidRPr="006571AC">
        <w:rPr>
          <w:rFonts w:hint="cs"/>
          <w:color w:val="auto"/>
          <w:rtl/>
        </w:rPr>
        <w:t>بعض المباحث الأصوليّة الم</w:t>
      </w:r>
      <w:r w:rsidRPr="006571AC">
        <w:rPr>
          <w:rFonts w:hint="cs"/>
          <w:color w:val="auto"/>
          <w:rtl/>
        </w:rPr>
        <w:t>توق</w:t>
      </w:r>
      <w:r w:rsidR="004A42AD" w:rsidRPr="006571AC">
        <w:rPr>
          <w:rFonts w:hint="cs"/>
          <w:color w:val="auto"/>
          <w:rtl/>
        </w:rPr>
        <w:t>ِّ</w:t>
      </w:r>
      <w:r w:rsidRPr="006571AC">
        <w:rPr>
          <w:rFonts w:hint="cs"/>
          <w:color w:val="auto"/>
          <w:rtl/>
        </w:rPr>
        <w:t>ف</w:t>
      </w:r>
      <w:r w:rsidR="004A42AD" w:rsidRPr="006571AC">
        <w:rPr>
          <w:rFonts w:hint="cs"/>
          <w:color w:val="auto"/>
          <w:rtl/>
        </w:rPr>
        <w:t>ة</w:t>
      </w:r>
      <w:r w:rsidRPr="006571AC">
        <w:rPr>
          <w:rFonts w:hint="cs"/>
          <w:color w:val="auto"/>
          <w:rtl/>
        </w:rPr>
        <w:t xml:space="preserve"> على </w:t>
      </w:r>
      <w:r w:rsidR="008141F9" w:rsidRPr="006571AC">
        <w:rPr>
          <w:rFonts w:hint="cs"/>
          <w:color w:val="auto"/>
          <w:rtl/>
        </w:rPr>
        <w:t>هذه القاعدة</w:t>
      </w:r>
      <w:bookmarkEnd w:id="395"/>
      <w:r w:rsidRPr="006571AC">
        <w:rPr>
          <w:rFonts w:hint="cs"/>
          <w:color w:val="auto"/>
          <w:rtl/>
        </w:rPr>
        <w:t xml:space="preserve"> </w:t>
      </w:r>
    </w:p>
    <w:p w:rsidR="007D77B0" w:rsidRPr="006571AC" w:rsidRDefault="001F3F5A" w:rsidP="00935DA6">
      <w:pPr>
        <w:tabs>
          <w:tab w:val="right" w:pos="6930"/>
        </w:tabs>
        <w:suppressAutoHyphens/>
        <w:spacing w:line="410" w:lineRule="exact"/>
        <w:rPr>
          <w:sz w:val="27"/>
          <w:rtl/>
          <w:lang w:bidi="ar-LB"/>
        </w:rPr>
      </w:pPr>
      <w:r w:rsidRPr="006571AC">
        <w:rPr>
          <w:rFonts w:hint="cs"/>
          <w:sz w:val="27"/>
          <w:rtl/>
          <w:lang w:bidi="ar-LB"/>
        </w:rPr>
        <w:t>ع</w:t>
      </w:r>
      <w:r w:rsidR="008141F9" w:rsidRPr="006571AC">
        <w:rPr>
          <w:rFonts w:hint="cs"/>
          <w:sz w:val="27"/>
          <w:rtl/>
          <w:lang w:bidi="ar-LB"/>
        </w:rPr>
        <w:t>َ</w:t>
      </w:r>
      <w:r w:rsidRPr="006571AC">
        <w:rPr>
          <w:rFonts w:hint="cs"/>
          <w:sz w:val="27"/>
          <w:rtl/>
          <w:lang w:bidi="ar-LB"/>
        </w:rPr>
        <w:t>ر</w:t>
      </w:r>
      <w:r w:rsidR="008141F9" w:rsidRPr="006571AC">
        <w:rPr>
          <w:rFonts w:hint="cs"/>
          <w:sz w:val="27"/>
          <w:rtl/>
          <w:lang w:bidi="ar-LB"/>
        </w:rPr>
        <w:t>َ</w:t>
      </w:r>
      <w:r w:rsidRPr="006571AC">
        <w:rPr>
          <w:rFonts w:hint="cs"/>
          <w:sz w:val="27"/>
          <w:rtl/>
          <w:lang w:bidi="ar-LB"/>
        </w:rPr>
        <w:t>ف</w:t>
      </w:r>
      <w:r w:rsidR="008141F9" w:rsidRPr="006571AC">
        <w:rPr>
          <w:rFonts w:hint="cs"/>
          <w:sz w:val="27"/>
          <w:rtl/>
          <w:lang w:bidi="ar-LB"/>
        </w:rPr>
        <w:t>ْ</w:t>
      </w:r>
      <w:r w:rsidRPr="006571AC">
        <w:rPr>
          <w:rFonts w:hint="cs"/>
          <w:sz w:val="27"/>
          <w:rtl/>
          <w:lang w:bidi="ar-LB"/>
        </w:rPr>
        <w:t>نا في</w:t>
      </w:r>
      <w:r w:rsidR="007D77B0" w:rsidRPr="006571AC">
        <w:rPr>
          <w:rFonts w:hint="cs"/>
          <w:sz w:val="27"/>
          <w:rtl/>
          <w:lang w:bidi="ar-LB"/>
        </w:rPr>
        <w:t xml:space="preserve"> </w:t>
      </w:r>
      <w:r w:rsidRPr="006571AC">
        <w:rPr>
          <w:rFonts w:hint="cs"/>
          <w:sz w:val="27"/>
          <w:rtl/>
          <w:lang w:bidi="ar-LB"/>
        </w:rPr>
        <w:t xml:space="preserve">ما سبق أنّ لهذه القاعدة تأثيراً مهمّاً في الأبحاث الكلاميّة، </w:t>
      </w:r>
      <w:r w:rsidR="007D77B0" w:rsidRPr="006571AC">
        <w:rPr>
          <w:rFonts w:hint="cs"/>
          <w:sz w:val="27"/>
          <w:rtl/>
          <w:lang w:bidi="ar-LB"/>
        </w:rPr>
        <w:t xml:space="preserve">ولا </w:t>
      </w:r>
      <w:r w:rsidRPr="006571AC">
        <w:rPr>
          <w:rFonts w:hint="cs"/>
          <w:sz w:val="27"/>
          <w:rtl/>
          <w:lang w:bidi="ar-LB"/>
        </w:rPr>
        <w:t>سيّ</w:t>
      </w:r>
      <w:r w:rsidR="007D77B0" w:rsidRPr="006571AC">
        <w:rPr>
          <w:rFonts w:hint="cs"/>
          <w:sz w:val="27"/>
          <w:rtl/>
          <w:lang w:bidi="ar-LB"/>
        </w:rPr>
        <w:t>َما مسألة نطاق الد</w:t>
      </w:r>
      <w:r w:rsidRPr="006571AC">
        <w:rPr>
          <w:rFonts w:hint="cs"/>
          <w:sz w:val="27"/>
          <w:rtl/>
          <w:lang w:bidi="ar-LB"/>
        </w:rPr>
        <w:t>ين الإسلامي ومدى سعته</w:t>
      </w:r>
      <w:r w:rsidR="007D77B0"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وأمّا الأبحاث الأصوليّة فقد توق</w:t>
      </w:r>
      <w:r w:rsidR="007D77B0" w:rsidRPr="006571AC">
        <w:rPr>
          <w:rFonts w:hint="cs"/>
          <w:sz w:val="27"/>
          <w:rtl/>
          <w:lang w:bidi="ar-LB"/>
        </w:rPr>
        <w:t>َّ</w:t>
      </w:r>
      <w:r w:rsidRPr="006571AC">
        <w:rPr>
          <w:rFonts w:hint="cs"/>
          <w:sz w:val="27"/>
          <w:rtl/>
          <w:lang w:bidi="ar-LB"/>
        </w:rPr>
        <w:t>ف البحث في شطر</w:t>
      </w:r>
      <w:r w:rsidR="007D77B0" w:rsidRPr="006571AC">
        <w:rPr>
          <w:rFonts w:hint="cs"/>
          <w:sz w:val="27"/>
          <w:rtl/>
          <w:lang w:bidi="ar-LB"/>
        </w:rPr>
        <w:t>ٍ</w:t>
      </w:r>
      <w:r w:rsidRPr="006571AC">
        <w:rPr>
          <w:rFonts w:hint="cs"/>
          <w:sz w:val="27"/>
          <w:rtl/>
          <w:lang w:bidi="ar-LB"/>
        </w:rPr>
        <w:t xml:space="preserve"> منها على هذا المبدأ، ونخصّ بالذكر منها: </w:t>
      </w:r>
    </w:p>
    <w:p w:rsidR="001F3F5A" w:rsidRPr="006571AC" w:rsidRDefault="001F3F5A" w:rsidP="00935DA6">
      <w:pPr>
        <w:tabs>
          <w:tab w:val="right" w:pos="6930"/>
        </w:tabs>
        <w:suppressAutoHyphens/>
        <w:rPr>
          <w:sz w:val="27"/>
          <w:rtl/>
          <w:lang w:bidi="ar-LB"/>
        </w:rPr>
      </w:pPr>
      <w:r w:rsidRPr="006571AC">
        <w:rPr>
          <w:rFonts w:hint="cs"/>
          <w:b/>
          <w:bCs/>
          <w:sz w:val="27"/>
          <w:rtl/>
          <w:lang w:bidi="ar-LB"/>
        </w:rPr>
        <w:t>أو</w:t>
      </w:r>
      <w:r w:rsidR="007D77B0" w:rsidRPr="006571AC">
        <w:rPr>
          <w:rFonts w:hint="cs"/>
          <w:b/>
          <w:bCs/>
          <w:sz w:val="27"/>
          <w:rtl/>
          <w:lang w:bidi="ar-LB"/>
        </w:rPr>
        <w:t>ّ</w:t>
      </w:r>
      <w:r w:rsidRPr="006571AC">
        <w:rPr>
          <w:rFonts w:hint="cs"/>
          <w:b/>
          <w:bCs/>
          <w:sz w:val="27"/>
          <w:rtl/>
          <w:lang w:bidi="ar-LB"/>
        </w:rPr>
        <w:t>لاً</w:t>
      </w:r>
      <w:r w:rsidRPr="006571AC">
        <w:rPr>
          <w:rFonts w:hint="cs"/>
          <w:sz w:val="27"/>
          <w:rtl/>
          <w:lang w:bidi="ar-LB"/>
        </w:rPr>
        <w:t>: مسألة التخطئة والتصويب</w:t>
      </w:r>
      <w:r w:rsidR="007D77B0" w:rsidRPr="006571AC">
        <w:rPr>
          <w:rFonts w:hint="cs"/>
          <w:sz w:val="27"/>
          <w:rtl/>
          <w:lang w:bidi="ar-LB"/>
        </w:rPr>
        <w:t>.</w:t>
      </w:r>
      <w:r w:rsidRPr="006571AC">
        <w:rPr>
          <w:rFonts w:hint="cs"/>
          <w:sz w:val="27"/>
          <w:rtl/>
          <w:lang w:bidi="ar-LB"/>
        </w:rPr>
        <w:t xml:space="preserve"> وهي ب</w:t>
      </w:r>
      <w:r w:rsidR="007D77B0" w:rsidRPr="006571AC">
        <w:rPr>
          <w:rFonts w:hint="cs"/>
          <w:sz w:val="27"/>
          <w:rtl/>
          <w:lang w:bidi="ar-LB"/>
        </w:rPr>
        <w:t>ذ</w:t>
      </w:r>
      <w:r w:rsidRPr="006571AC">
        <w:rPr>
          <w:rFonts w:hint="cs"/>
          <w:sz w:val="27"/>
          <w:rtl/>
          <w:lang w:bidi="ar-LB"/>
        </w:rPr>
        <w:t>اتها أيضاً تدخل في عدّة أبحاث، كالاجتهاد والتقليد، وكذا في مسألة التعبّ</w:t>
      </w:r>
      <w:r w:rsidR="007D77B0" w:rsidRPr="006571AC">
        <w:rPr>
          <w:rFonts w:hint="cs"/>
          <w:sz w:val="27"/>
          <w:rtl/>
          <w:lang w:bidi="ar-LB"/>
        </w:rPr>
        <w:t>ُ</w:t>
      </w:r>
      <w:r w:rsidRPr="006571AC">
        <w:rPr>
          <w:rFonts w:hint="cs"/>
          <w:sz w:val="27"/>
          <w:rtl/>
          <w:lang w:bidi="ar-LB"/>
        </w:rPr>
        <w:t>د بالظنون عندما يعترض عليه باستلزامه التصويب أو تفويت المصلحة والإلقاء في المفسدة، وكلاهما باطل</w:t>
      </w:r>
      <w:r w:rsidR="007D77B0" w:rsidRPr="006571AC">
        <w:rPr>
          <w:rFonts w:hint="cs"/>
          <w:sz w:val="27"/>
          <w:rtl/>
          <w:lang w:bidi="ar-LB"/>
        </w:rPr>
        <w:t>ٌ</w:t>
      </w:r>
      <w:r w:rsidRPr="006571AC">
        <w:rPr>
          <w:rFonts w:hint="cs"/>
          <w:sz w:val="27"/>
          <w:rtl/>
          <w:lang w:bidi="ar-LB"/>
        </w:rPr>
        <w:t xml:space="preserve"> لا سبيل </w:t>
      </w:r>
      <w:r w:rsidR="007D77B0" w:rsidRPr="006571AC">
        <w:rPr>
          <w:rFonts w:hint="cs"/>
          <w:sz w:val="27"/>
          <w:rtl/>
          <w:lang w:bidi="ar-LB"/>
        </w:rPr>
        <w:t>إ</w:t>
      </w:r>
      <w:r w:rsidRPr="006571AC">
        <w:rPr>
          <w:rFonts w:hint="cs"/>
          <w:sz w:val="27"/>
          <w:rtl/>
          <w:lang w:bidi="ar-LB"/>
        </w:rPr>
        <w:t>لى ال</w:t>
      </w:r>
      <w:r w:rsidR="007D77B0" w:rsidRPr="006571AC">
        <w:rPr>
          <w:rFonts w:hint="cs"/>
          <w:sz w:val="27"/>
          <w:rtl/>
          <w:lang w:bidi="ar-LB"/>
        </w:rPr>
        <w:t>ا</w:t>
      </w:r>
      <w:r w:rsidRPr="006571AC">
        <w:rPr>
          <w:rFonts w:hint="cs"/>
          <w:sz w:val="27"/>
          <w:rtl/>
          <w:lang w:bidi="ar-LB"/>
        </w:rPr>
        <w:t xml:space="preserve">لتزام به، فقد استند </w:t>
      </w:r>
      <w:r w:rsidR="00935DA6" w:rsidRPr="006571AC">
        <w:rPr>
          <w:rFonts w:hint="cs"/>
          <w:sz w:val="27"/>
          <w:rtl/>
          <w:lang w:bidi="ar-LB"/>
        </w:rPr>
        <w:t>إ</w:t>
      </w:r>
      <w:r w:rsidRPr="006571AC">
        <w:rPr>
          <w:rFonts w:hint="cs"/>
          <w:sz w:val="27"/>
          <w:rtl/>
          <w:lang w:bidi="ar-LB"/>
        </w:rPr>
        <w:t>لى قاعدة نفي الخلوّ في تبرير بطلان التصويب ح</w:t>
      </w:r>
      <w:r w:rsidR="007D77B0" w:rsidRPr="006571AC">
        <w:rPr>
          <w:rFonts w:hint="cs"/>
          <w:sz w:val="27"/>
          <w:rtl/>
          <w:lang w:bidi="ar-LB"/>
        </w:rPr>
        <w:t>َ</w:t>
      </w:r>
      <w:r w:rsidRPr="006571AC">
        <w:rPr>
          <w:rFonts w:hint="cs"/>
          <w:sz w:val="27"/>
          <w:rtl/>
          <w:lang w:bidi="ar-LB"/>
        </w:rPr>
        <w:t>س</w:t>
      </w:r>
      <w:r w:rsidR="007D77B0" w:rsidRPr="006571AC">
        <w:rPr>
          <w:rFonts w:hint="cs"/>
          <w:sz w:val="27"/>
          <w:rtl/>
          <w:lang w:bidi="ar-LB"/>
        </w:rPr>
        <w:t>ْ</w:t>
      </w:r>
      <w:r w:rsidRPr="006571AC">
        <w:rPr>
          <w:rFonts w:hint="cs"/>
          <w:sz w:val="27"/>
          <w:rtl/>
          <w:lang w:bidi="ar-LB"/>
        </w:rPr>
        <w:t>ب تقريب</w:t>
      </w:r>
      <w:r w:rsidR="007D77B0" w:rsidRPr="006571AC">
        <w:rPr>
          <w:rFonts w:hint="cs"/>
          <w:sz w:val="27"/>
          <w:rtl/>
          <w:lang w:bidi="ar-LB"/>
        </w:rPr>
        <w:t>َ</w:t>
      </w:r>
      <w:r w:rsidRPr="006571AC">
        <w:rPr>
          <w:rFonts w:hint="cs"/>
          <w:sz w:val="27"/>
          <w:rtl/>
          <w:lang w:bidi="ar-LB"/>
        </w:rPr>
        <w:t>ي</w:t>
      </w:r>
      <w:r w:rsidR="007D77B0" w:rsidRPr="006571AC">
        <w:rPr>
          <w:rFonts w:hint="cs"/>
          <w:sz w:val="27"/>
          <w:rtl/>
          <w:lang w:bidi="ar-LB"/>
        </w:rPr>
        <w:t>ْ</w:t>
      </w:r>
      <w:r w:rsidRPr="006571AC">
        <w:rPr>
          <w:rFonts w:hint="cs"/>
          <w:sz w:val="27"/>
          <w:rtl/>
          <w:lang w:bidi="ar-LB"/>
        </w:rPr>
        <w:t>ه</w:t>
      </w:r>
      <w:r w:rsidR="007D77B0" w:rsidRPr="006571AC">
        <w:rPr>
          <w:rFonts w:hint="cs"/>
          <w:sz w:val="27"/>
          <w:rtl/>
          <w:lang w:bidi="ar-LB"/>
        </w:rPr>
        <w:t>:</w:t>
      </w:r>
      <w:r w:rsidRPr="006571AC">
        <w:rPr>
          <w:rFonts w:hint="cs"/>
          <w:sz w:val="27"/>
          <w:rtl/>
          <w:lang w:bidi="ar-LB"/>
        </w:rPr>
        <w:t xml:space="preserve"> المعتزلي</w:t>
      </w:r>
      <w:r w:rsidR="007D77B0" w:rsidRPr="006571AC">
        <w:rPr>
          <w:rFonts w:hint="cs"/>
          <w:sz w:val="27"/>
          <w:rtl/>
          <w:lang w:bidi="ar-LB"/>
        </w:rPr>
        <w:t>؛</w:t>
      </w:r>
      <w:r w:rsidRPr="006571AC">
        <w:rPr>
          <w:rFonts w:hint="cs"/>
          <w:sz w:val="27"/>
          <w:rtl/>
          <w:lang w:bidi="ar-LB"/>
        </w:rPr>
        <w:t xml:space="preserve"> والأشعري. </w:t>
      </w:r>
    </w:p>
    <w:p w:rsidR="001F3F5A" w:rsidRPr="006571AC" w:rsidRDefault="001F3F5A" w:rsidP="00935DA6">
      <w:pPr>
        <w:tabs>
          <w:tab w:val="right" w:pos="6930"/>
        </w:tabs>
        <w:suppressAutoHyphens/>
        <w:rPr>
          <w:sz w:val="27"/>
          <w:rtl/>
          <w:lang w:bidi="ar-LB"/>
        </w:rPr>
      </w:pPr>
      <w:r w:rsidRPr="006571AC">
        <w:rPr>
          <w:rFonts w:hint="cs"/>
          <w:sz w:val="27"/>
          <w:rtl/>
          <w:lang w:bidi="ar-LB"/>
        </w:rPr>
        <w:t xml:space="preserve">وتوضيح الحال: </w:t>
      </w:r>
      <w:r w:rsidR="007D77B0" w:rsidRPr="006571AC">
        <w:rPr>
          <w:rFonts w:hint="cs"/>
          <w:sz w:val="27"/>
          <w:rtl/>
          <w:lang w:bidi="ar-LB"/>
        </w:rPr>
        <w:t>إ</w:t>
      </w:r>
      <w:r w:rsidRPr="006571AC">
        <w:rPr>
          <w:rFonts w:hint="cs"/>
          <w:sz w:val="27"/>
          <w:rtl/>
          <w:lang w:bidi="ar-LB"/>
        </w:rPr>
        <w:t>نّ التصويب قد ي</w:t>
      </w:r>
      <w:r w:rsidR="00052DBB" w:rsidRPr="006571AC">
        <w:rPr>
          <w:rFonts w:hint="cs"/>
          <w:sz w:val="27"/>
          <w:rtl/>
          <w:lang w:bidi="ar-LB"/>
        </w:rPr>
        <w:t>ُ</w:t>
      </w:r>
      <w:r w:rsidRPr="006571AC">
        <w:rPr>
          <w:rFonts w:hint="cs"/>
          <w:sz w:val="27"/>
          <w:rtl/>
          <w:lang w:bidi="ar-LB"/>
        </w:rPr>
        <w:t>ر</w:t>
      </w:r>
      <w:r w:rsidR="00052DBB" w:rsidRPr="006571AC">
        <w:rPr>
          <w:rFonts w:hint="cs"/>
          <w:sz w:val="27"/>
          <w:rtl/>
          <w:lang w:bidi="ar-LB"/>
        </w:rPr>
        <w:t>اد</w:t>
      </w:r>
      <w:r w:rsidRPr="006571AC">
        <w:rPr>
          <w:rFonts w:hint="cs"/>
          <w:sz w:val="27"/>
          <w:rtl/>
          <w:lang w:bidi="ar-LB"/>
        </w:rPr>
        <w:t xml:space="preserve"> به خلوّ الواقع من أيّ حكم</w:t>
      </w:r>
      <w:r w:rsidR="00052DBB" w:rsidRPr="006571AC">
        <w:rPr>
          <w:rFonts w:hint="cs"/>
          <w:sz w:val="27"/>
          <w:rtl/>
          <w:lang w:bidi="ar-LB"/>
        </w:rPr>
        <w:t>ٍ</w:t>
      </w:r>
      <w:r w:rsidRPr="006571AC">
        <w:rPr>
          <w:rFonts w:hint="cs"/>
          <w:sz w:val="27"/>
          <w:rtl/>
          <w:lang w:bidi="ar-LB"/>
        </w:rPr>
        <w:t>، مع قطع النظر عمّا تؤدّي إليه الإمارة ورأ</w:t>
      </w:r>
      <w:r w:rsidR="00052DBB" w:rsidRPr="006571AC">
        <w:rPr>
          <w:rFonts w:hint="cs"/>
          <w:sz w:val="27"/>
          <w:rtl/>
          <w:lang w:bidi="ar-LB"/>
        </w:rPr>
        <w:t>ي</w:t>
      </w:r>
      <w:r w:rsidRPr="006571AC">
        <w:rPr>
          <w:rFonts w:hint="cs"/>
          <w:sz w:val="27"/>
          <w:rtl/>
          <w:lang w:bidi="ar-LB"/>
        </w:rPr>
        <w:t xml:space="preserve"> المجتهد، فيكون الحكم الواقعيّ ما يؤدّي إليه نظر المفتي والأمارة، ولا واقع للحكم وراء ذلك، وهذا ما ي</w:t>
      </w:r>
      <w:r w:rsidR="00052DBB" w:rsidRPr="006571AC">
        <w:rPr>
          <w:rFonts w:hint="cs"/>
          <w:sz w:val="27"/>
          <w:rtl/>
          <w:lang w:bidi="ar-LB"/>
        </w:rPr>
        <w:t>ُ</w:t>
      </w:r>
      <w:r w:rsidRPr="006571AC">
        <w:rPr>
          <w:rFonts w:hint="cs"/>
          <w:sz w:val="27"/>
          <w:rtl/>
          <w:lang w:bidi="ar-LB"/>
        </w:rPr>
        <w:t>سمّى بالتصويب الأشعري</w:t>
      </w:r>
      <w:r w:rsidR="00052DBB" w:rsidRPr="006571AC">
        <w:rPr>
          <w:rFonts w:hint="cs"/>
          <w:sz w:val="27"/>
          <w:rtl/>
          <w:lang w:bidi="ar-LB"/>
        </w:rPr>
        <w:t>؛</w:t>
      </w:r>
      <w:r w:rsidRPr="006571AC">
        <w:rPr>
          <w:rFonts w:hint="cs"/>
          <w:sz w:val="27"/>
          <w:rtl/>
          <w:lang w:bidi="ar-LB"/>
        </w:rPr>
        <w:t xml:space="preserve"> وقد ي</w:t>
      </w:r>
      <w:r w:rsidR="00052DBB" w:rsidRPr="006571AC">
        <w:rPr>
          <w:rFonts w:hint="cs"/>
          <w:sz w:val="27"/>
          <w:rtl/>
          <w:lang w:bidi="ar-LB"/>
        </w:rPr>
        <w:t>ُ</w:t>
      </w:r>
      <w:r w:rsidRPr="006571AC">
        <w:rPr>
          <w:rFonts w:hint="cs"/>
          <w:sz w:val="27"/>
          <w:rtl/>
          <w:lang w:bidi="ar-LB"/>
        </w:rPr>
        <w:t>راد به تقيّ</w:t>
      </w:r>
      <w:r w:rsidR="00052DBB" w:rsidRPr="006571AC">
        <w:rPr>
          <w:rFonts w:hint="cs"/>
          <w:sz w:val="27"/>
          <w:rtl/>
          <w:lang w:bidi="ar-LB"/>
        </w:rPr>
        <w:t>ُ</w:t>
      </w:r>
      <w:r w:rsidRPr="006571AC">
        <w:rPr>
          <w:rFonts w:hint="cs"/>
          <w:sz w:val="27"/>
          <w:rtl/>
          <w:lang w:bidi="ar-LB"/>
        </w:rPr>
        <w:t xml:space="preserve">د الأحكام الواقعيّة بعدم قيام الأمارة على الخلاف، فإنْ قامت تبدّلت الأحكام الواقعيّة </w:t>
      </w:r>
      <w:r w:rsidR="00935DA6" w:rsidRPr="006571AC">
        <w:rPr>
          <w:rFonts w:hint="cs"/>
          <w:sz w:val="27"/>
          <w:rtl/>
          <w:lang w:bidi="ar-LB"/>
        </w:rPr>
        <w:t>إ</w:t>
      </w:r>
      <w:r w:rsidRPr="006571AC">
        <w:rPr>
          <w:rFonts w:hint="cs"/>
          <w:sz w:val="27"/>
          <w:rtl/>
          <w:lang w:bidi="ar-LB"/>
        </w:rPr>
        <w:t>لى ما تؤدّي إليه الأمارة. وهذا ما ي</w:t>
      </w:r>
      <w:r w:rsidR="00052DBB" w:rsidRPr="006571AC">
        <w:rPr>
          <w:rFonts w:hint="cs"/>
          <w:sz w:val="27"/>
          <w:rtl/>
          <w:lang w:bidi="ar-LB"/>
        </w:rPr>
        <w:t>ُ</w:t>
      </w:r>
      <w:r w:rsidRPr="006571AC">
        <w:rPr>
          <w:rFonts w:hint="cs"/>
          <w:sz w:val="27"/>
          <w:rtl/>
          <w:lang w:bidi="ar-LB"/>
        </w:rPr>
        <w:t xml:space="preserve">سمّى بالتصويب المعتزلي. </w:t>
      </w:r>
    </w:p>
    <w:p w:rsidR="00282DA3" w:rsidRPr="006571AC" w:rsidRDefault="001F3F5A" w:rsidP="002A2E03">
      <w:pPr>
        <w:tabs>
          <w:tab w:val="right" w:pos="6930"/>
        </w:tabs>
        <w:suppressAutoHyphens/>
        <w:rPr>
          <w:sz w:val="27"/>
          <w:rtl/>
          <w:lang w:bidi="ar-LB"/>
        </w:rPr>
      </w:pPr>
      <w:r w:rsidRPr="006571AC">
        <w:rPr>
          <w:rFonts w:hint="cs"/>
          <w:sz w:val="27"/>
          <w:rtl/>
          <w:lang w:bidi="ar-LB"/>
        </w:rPr>
        <w:t>أمّا القسم الأوّل ف</w:t>
      </w:r>
      <w:r w:rsidR="00731867" w:rsidRPr="006571AC">
        <w:rPr>
          <w:rFonts w:hint="cs"/>
          <w:sz w:val="27"/>
          <w:rtl/>
          <w:lang w:bidi="ar-LB"/>
        </w:rPr>
        <w:t>لا رَيْبَ</w:t>
      </w:r>
      <w:r w:rsidRPr="006571AC">
        <w:rPr>
          <w:rFonts w:hint="cs"/>
          <w:sz w:val="27"/>
          <w:rtl/>
          <w:lang w:bidi="ar-LB"/>
        </w:rPr>
        <w:t xml:space="preserve"> في بطلانه؛ إذ لا معنى للأمارة وحج</w:t>
      </w:r>
      <w:r w:rsidR="00052DBB" w:rsidRPr="006571AC">
        <w:rPr>
          <w:rFonts w:hint="cs"/>
          <w:sz w:val="27"/>
          <w:rtl/>
          <w:lang w:bidi="ar-LB"/>
        </w:rPr>
        <w:t>ِّي</w:t>
      </w:r>
      <w:r w:rsidRPr="006571AC">
        <w:rPr>
          <w:rFonts w:hint="cs"/>
          <w:sz w:val="27"/>
          <w:rtl/>
          <w:lang w:bidi="ar-LB"/>
        </w:rPr>
        <w:t>تها إذا لم يكن هناك حكم</w:t>
      </w:r>
      <w:r w:rsidR="00282DA3" w:rsidRPr="006571AC">
        <w:rPr>
          <w:rFonts w:hint="cs"/>
          <w:sz w:val="27"/>
          <w:rtl/>
          <w:lang w:bidi="ar-LB"/>
        </w:rPr>
        <w:t>ٌ</w:t>
      </w:r>
      <w:r w:rsidRPr="006571AC">
        <w:rPr>
          <w:rFonts w:hint="cs"/>
          <w:sz w:val="27"/>
          <w:rtl/>
          <w:lang w:bidi="ar-LB"/>
        </w:rPr>
        <w:t xml:space="preserve"> في الواقع</w:t>
      </w:r>
      <w:r w:rsidR="00282DA3"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وأمّا القسم الثاني فالأكثر على استحالته؛ لاستلزامه أخذ العلم بالحكم في موضوع شخصه، المستتبع لل</w:t>
      </w:r>
      <w:r w:rsidR="00282DA3" w:rsidRPr="006571AC">
        <w:rPr>
          <w:rFonts w:hint="cs"/>
          <w:sz w:val="27"/>
          <w:rtl/>
          <w:lang w:bidi="ar-LB"/>
        </w:rPr>
        <w:t>دَّ</w:t>
      </w:r>
      <w:r w:rsidR="00EA38F1" w:rsidRPr="006571AC">
        <w:rPr>
          <w:rFonts w:hint="cs"/>
          <w:sz w:val="27"/>
          <w:rtl/>
          <w:lang w:bidi="ar-LB"/>
        </w:rPr>
        <w:t>وْر</w:t>
      </w:r>
      <w:r w:rsidRPr="006571AC">
        <w:rPr>
          <w:rFonts w:hint="cs"/>
          <w:sz w:val="27"/>
          <w:rtl/>
          <w:lang w:bidi="ar-LB"/>
        </w:rPr>
        <w:t xml:space="preserve"> الم</w:t>
      </w:r>
      <w:r w:rsidR="00282DA3" w:rsidRPr="006571AC">
        <w:rPr>
          <w:rFonts w:hint="cs"/>
          <w:sz w:val="27"/>
          <w:rtl/>
          <w:lang w:bidi="ar-LB"/>
        </w:rPr>
        <w:t>َ</w:t>
      </w:r>
      <w:r w:rsidRPr="006571AC">
        <w:rPr>
          <w:rFonts w:hint="cs"/>
          <w:sz w:val="27"/>
          <w:rtl/>
          <w:lang w:bidi="ar-LB"/>
        </w:rPr>
        <w:t>ح</w:t>
      </w:r>
      <w:r w:rsidR="00282DA3" w:rsidRPr="006571AC">
        <w:rPr>
          <w:rFonts w:hint="cs"/>
          <w:sz w:val="27"/>
          <w:rtl/>
          <w:lang w:bidi="ar-LB"/>
        </w:rPr>
        <w:t>َ</w:t>
      </w:r>
      <w:r w:rsidRPr="006571AC">
        <w:rPr>
          <w:rFonts w:hint="cs"/>
          <w:sz w:val="27"/>
          <w:rtl/>
          <w:lang w:bidi="ar-LB"/>
        </w:rPr>
        <w:t>ال، كما عليه القوم</w:t>
      </w:r>
      <w:r w:rsidR="00282DA3" w:rsidRPr="006571AC">
        <w:rPr>
          <w:rFonts w:hint="cs"/>
          <w:sz w:val="27"/>
          <w:rtl/>
          <w:lang w:bidi="ar-LB"/>
        </w:rPr>
        <w:t>؛</w:t>
      </w:r>
      <w:r w:rsidRPr="006571AC">
        <w:rPr>
          <w:rFonts w:hint="cs"/>
          <w:sz w:val="27"/>
          <w:rtl/>
          <w:lang w:bidi="ar-LB"/>
        </w:rPr>
        <w:t xml:space="preserve"> أو الل</w:t>
      </w:r>
      <w:r w:rsidR="00282DA3" w:rsidRPr="006571AC">
        <w:rPr>
          <w:rFonts w:hint="cs"/>
          <w:sz w:val="27"/>
          <w:rtl/>
          <w:lang w:bidi="ar-LB"/>
        </w:rPr>
        <w:t>َّ</w:t>
      </w:r>
      <w:r w:rsidRPr="006571AC">
        <w:rPr>
          <w:rFonts w:hint="cs"/>
          <w:sz w:val="27"/>
          <w:rtl/>
          <w:lang w:bidi="ar-LB"/>
        </w:rPr>
        <w:t>غ</w:t>
      </w:r>
      <w:r w:rsidR="00282DA3" w:rsidRPr="006571AC">
        <w:rPr>
          <w:rFonts w:hint="cs"/>
          <w:sz w:val="27"/>
          <w:rtl/>
          <w:lang w:bidi="ar-LB"/>
        </w:rPr>
        <w:t>ْ</w:t>
      </w:r>
      <w:r w:rsidRPr="006571AC">
        <w:rPr>
          <w:rFonts w:hint="cs"/>
          <w:sz w:val="27"/>
          <w:rtl/>
          <w:lang w:bidi="ar-LB"/>
        </w:rPr>
        <w:t>وية</w:t>
      </w:r>
      <w:r w:rsidR="00282DA3" w:rsidRPr="006571AC">
        <w:rPr>
          <w:rFonts w:hint="cs"/>
          <w:sz w:val="27"/>
          <w:rtl/>
          <w:lang w:bidi="ar-LB"/>
        </w:rPr>
        <w:t>،</w:t>
      </w:r>
      <w:r w:rsidRPr="006571AC">
        <w:rPr>
          <w:rFonts w:hint="cs"/>
          <w:sz w:val="27"/>
          <w:rtl/>
          <w:lang w:bidi="ar-LB"/>
        </w:rPr>
        <w:t xml:space="preserve"> كما هو المختار، ت</w:t>
      </w:r>
      <w:r w:rsidR="00282DA3" w:rsidRPr="006571AC">
        <w:rPr>
          <w:rFonts w:hint="cs"/>
          <w:sz w:val="27"/>
          <w:rtl/>
          <w:lang w:bidi="ar-LB"/>
        </w:rPr>
        <w:t>َ</w:t>
      </w:r>
      <w:r w:rsidRPr="006571AC">
        <w:rPr>
          <w:rFonts w:hint="cs"/>
          <w:sz w:val="27"/>
          <w:rtl/>
          <w:lang w:bidi="ar-LB"/>
        </w:rPr>
        <w:t>ب</w:t>
      </w:r>
      <w:r w:rsidR="00282DA3" w:rsidRPr="006571AC">
        <w:rPr>
          <w:rFonts w:hint="cs"/>
          <w:sz w:val="27"/>
          <w:rtl/>
          <w:lang w:bidi="ar-LB"/>
        </w:rPr>
        <w:t>َعاً لجملةٍ من الأعاظم</w:t>
      </w:r>
      <w:r w:rsidRPr="006571AC">
        <w:rPr>
          <w:rFonts w:hint="cs"/>
          <w:sz w:val="27"/>
          <w:rtl/>
          <w:lang w:bidi="ar-LB"/>
        </w:rPr>
        <w:t>، وخالف في ذلك الشهيد الصدر</w:t>
      </w:r>
      <w:r w:rsidR="002A2C90" w:rsidRPr="006571AC">
        <w:rPr>
          <w:rFonts w:ascii="Mosawi" w:hAnsi="Mosawi" w:cs="Mosawi"/>
          <w:sz w:val="22"/>
          <w:szCs w:val="22"/>
          <w:rtl/>
        </w:rPr>
        <w:t>&amp;</w:t>
      </w:r>
      <w:r w:rsidR="00282DA3" w:rsidRPr="006571AC">
        <w:rPr>
          <w:rFonts w:hint="cs"/>
          <w:sz w:val="27"/>
          <w:rtl/>
          <w:lang w:bidi="ar-LB"/>
        </w:rPr>
        <w:t>؛</w:t>
      </w:r>
      <w:r w:rsidRPr="006571AC">
        <w:rPr>
          <w:sz w:val="27"/>
          <w:rtl/>
          <w:lang w:bidi="ar-LB"/>
        </w:rPr>
        <w:t xml:space="preserve"> </w:t>
      </w:r>
      <w:r w:rsidRPr="006571AC">
        <w:rPr>
          <w:rFonts w:hint="cs"/>
          <w:sz w:val="27"/>
          <w:rtl/>
          <w:lang w:bidi="ar-LB"/>
        </w:rPr>
        <w:t>إذ رأى أنّ أخذ العلم بالجعل في موضوع المجعول أمر</w:t>
      </w:r>
      <w:r w:rsidR="00282DA3" w:rsidRPr="006571AC">
        <w:rPr>
          <w:rFonts w:hint="cs"/>
          <w:sz w:val="27"/>
          <w:rtl/>
          <w:lang w:bidi="ar-LB"/>
        </w:rPr>
        <w:t>ٌ</w:t>
      </w:r>
      <w:r w:rsidRPr="006571AC">
        <w:rPr>
          <w:rFonts w:hint="cs"/>
          <w:sz w:val="27"/>
          <w:rtl/>
          <w:lang w:bidi="ar-LB"/>
        </w:rPr>
        <w:t xml:space="preserve"> ممكن، ولا يؤدّي </w:t>
      </w:r>
      <w:r w:rsidR="00282DA3" w:rsidRPr="006571AC">
        <w:rPr>
          <w:rFonts w:hint="cs"/>
          <w:sz w:val="27"/>
          <w:rtl/>
          <w:lang w:bidi="ar-LB"/>
        </w:rPr>
        <w:t>إ</w:t>
      </w:r>
      <w:r w:rsidRPr="006571AC">
        <w:rPr>
          <w:rFonts w:hint="cs"/>
          <w:sz w:val="27"/>
          <w:rtl/>
          <w:lang w:bidi="ar-LB"/>
        </w:rPr>
        <w:t>لى ال</w:t>
      </w:r>
      <w:r w:rsidR="00282DA3" w:rsidRPr="006571AC">
        <w:rPr>
          <w:rFonts w:hint="cs"/>
          <w:sz w:val="27"/>
          <w:rtl/>
          <w:lang w:bidi="ar-LB"/>
        </w:rPr>
        <w:t>دَّ</w:t>
      </w:r>
      <w:r w:rsidR="00EA38F1" w:rsidRPr="006571AC">
        <w:rPr>
          <w:rFonts w:hint="cs"/>
          <w:sz w:val="27"/>
          <w:rtl/>
          <w:lang w:bidi="ar-LB"/>
        </w:rPr>
        <w:t>وْر</w:t>
      </w:r>
      <w:r w:rsidRPr="006571AC">
        <w:rPr>
          <w:rFonts w:hint="cs"/>
          <w:sz w:val="27"/>
          <w:rtl/>
          <w:lang w:bidi="ar-LB"/>
        </w:rPr>
        <w:t>، ومن هنا حاول إبطال هذا القسم من التصويب، بل كلا القسمين منه، من طريق</w:t>
      </w:r>
      <w:r w:rsidR="00CB6758" w:rsidRPr="006571AC">
        <w:rPr>
          <w:rFonts w:hint="cs"/>
          <w:sz w:val="27"/>
          <w:rtl/>
          <w:lang w:bidi="ar-LB"/>
        </w:rPr>
        <w:t>ٍ</w:t>
      </w:r>
      <w:r w:rsidRPr="006571AC">
        <w:rPr>
          <w:rFonts w:hint="cs"/>
          <w:sz w:val="27"/>
          <w:rtl/>
          <w:lang w:bidi="ar-LB"/>
        </w:rPr>
        <w:t xml:space="preserve"> آخر، وهو كونهما مستلزمين لخلوّ الواقع من الحكم، فيبطلان بالضرورة، وهكذا تتوق</w:t>
      </w:r>
      <w:r w:rsidR="00CB6758" w:rsidRPr="006571AC">
        <w:rPr>
          <w:rFonts w:hint="cs"/>
          <w:sz w:val="27"/>
          <w:rtl/>
          <w:lang w:bidi="ar-LB"/>
        </w:rPr>
        <w:t>َّ</w:t>
      </w:r>
      <w:r w:rsidRPr="006571AC">
        <w:rPr>
          <w:rFonts w:hint="cs"/>
          <w:sz w:val="27"/>
          <w:rtl/>
          <w:lang w:bidi="ar-LB"/>
        </w:rPr>
        <w:t>ف المسألة على قاعدة عدم الخلوّ</w:t>
      </w:r>
      <w:r w:rsidRPr="006571AC">
        <w:rPr>
          <w:rFonts w:hint="cs"/>
          <w:sz w:val="27"/>
          <w:vertAlign w:val="superscript"/>
          <w:rtl/>
        </w:rPr>
        <w:t>(</w:t>
      </w:r>
      <w:r w:rsidRPr="006571AC">
        <w:rPr>
          <w:rStyle w:val="ac"/>
          <w:sz w:val="27"/>
          <w:rtl/>
        </w:rPr>
        <w:endnoteReference w:id="644"/>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إلاّ أنّ الصحيح عندنا </w:t>
      </w:r>
      <w:r w:rsidR="00CB6758" w:rsidRPr="006571AC">
        <w:rPr>
          <w:rFonts w:hint="cs"/>
          <w:sz w:val="27"/>
          <w:rtl/>
          <w:lang w:bidi="ar-LB"/>
        </w:rPr>
        <w:t>عدم توقُّف إ</w:t>
      </w:r>
      <w:r w:rsidRPr="006571AC">
        <w:rPr>
          <w:rFonts w:hint="cs"/>
          <w:sz w:val="27"/>
          <w:rtl/>
          <w:lang w:bidi="ar-LB"/>
        </w:rPr>
        <w:t>بطال التصويب على هذه القاعدة</w:t>
      </w:r>
      <w:r w:rsidR="00CB6758" w:rsidRPr="006571AC">
        <w:rPr>
          <w:rFonts w:hint="cs"/>
          <w:sz w:val="27"/>
          <w:rtl/>
          <w:lang w:bidi="ar-LB"/>
        </w:rPr>
        <w:t>؛</w:t>
      </w:r>
      <w:r w:rsidRPr="006571AC">
        <w:rPr>
          <w:rFonts w:hint="cs"/>
          <w:sz w:val="27"/>
          <w:rtl/>
          <w:lang w:bidi="ar-LB"/>
        </w:rPr>
        <w:t xml:space="preserve"> لما تقدّ</w:t>
      </w:r>
      <w:r w:rsidR="00CB6758" w:rsidRPr="006571AC">
        <w:rPr>
          <w:rFonts w:hint="cs"/>
          <w:sz w:val="27"/>
          <w:rtl/>
          <w:lang w:bidi="ar-LB"/>
        </w:rPr>
        <w:t>َ</w:t>
      </w:r>
      <w:r w:rsidRPr="006571AC">
        <w:rPr>
          <w:rFonts w:hint="cs"/>
          <w:sz w:val="27"/>
          <w:rtl/>
          <w:lang w:bidi="ar-LB"/>
        </w:rPr>
        <w:t>م في محلّه من استحالة أخذ العلم بالحكم في موضوعه، وإن</w:t>
      </w:r>
      <w:r w:rsidR="00CB6758" w:rsidRPr="006571AC">
        <w:rPr>
          <w:rFonts w:hint="cs"/>
          <w:sz w:val="27"/>
          <w:rtl/>
          <w:lang w:bidi="ar-LB"/>
        </w:rPr>
        <w:t>ْ</w:t>
      </w:r>
      <w:r w:rsidRPr="006571AC">
        <w:rPr>
          <w:rFonts w:hint="cs"/>
          <w:sz w:val="27"/>
          <w:rtl/>
          <w:lang w:bidi="ar-LB"/>
        </w:rPr>
        <w:t xml:space="preserve"> صحّ ع</w:t>
      </w:r>
      <w:r w:rsidR="00CB6758" w:rsidRPr="006571AC">
        <w:rPr>
          <w:rFonts w:hint="cs"/>
          <w:sz w:val="27"/>
          <w:rtl/>
          <w:lang w:bidi="ar-LB"/>
        </w:rPr>
        <w:t>َ</w:t>
      </w:r>
      <w:r w:rsidRPr="006571AC">
        <w:rPr>
          <w:rFonts w:hint="cs"/>
          <w:sz w:val="27"/>
          <w:rtl/>
          <w:lang w:bidi="ar-LB"/>
        </w:rPr>
        <w:t>دّ</w:t>
      </w:r>
      <w:r w:rsidR="00CB6758" w:rsidRPr="006571AC">
        <w:rPr>
          <w:rFonts w:hint="cs"/>
          <w:sz w:val="27"/>
          <w:rtl/>
          <w:lang w:bidi="ar-LB"/>
        </w:rPr>
        <w:t>ُ</w:t>
      </w:r>
      <w:r w:rsidRPr="006571AC">
        <w:rPr>
          <w:rFonts w:hint="cs"/>
          <w:sz w:val="27"/>
          <w:rtl/>
          <w:lang w:bidi="ar-LB"/>
        </w:rPr>
        <w:t xml:space="preserve"> هذه القاعدة مع ذلك </w:t>
      </w:r>
      <w:r w:rsidRPr="006571AC">
        <w:rPr>
          <w:rFonts w:hint="cs"/>
          <w:sz w:val="27"/>
          <w:rtl/>
          <w:lang w:bidi="ar-LB"/>
        </w:rPr>
        <w:lastRenderedPageBreak/>
        <w:t>من المبادئ الأحكامية</w:t>
      </w:r>
      <w:r w:rsidR="00935DA6" w:rsidRPr="006571AC">
        <w:rPr>
          <w:rFonts w:hint="cs"/>
          <w:sz w:val="27"/>
          <w:rtl/>
          <w:lang w:bidi="ar-LB"/>
        </w:rPr>
        <w:t>؛</w:t>
      </w:r>
      <w:r w:rsidR="00CB6758" w:rsidRPr="006571AC">
        <w:rPr>
          <w:rFonts w:hint="cs"/>
          <w:sz w:val="27"/>
          <w:rtl/>
          <w:lang w:bidi="ar-LB"/>
        </w:rPr>
        <w:t xml:space="preserve"> </w:t>
      </w:r>
      <w:r w:rsidR="00935DA6" w:rsidRPr="006571AC">
        <w:rPr>
          <w:rFonts w:hint="cs"/>
          <w:sz w:val="27"/>
          <w:rtl/>
          <w:lang w:bidi="ar-LB"/>
        </w:rPr>
        <w:t>ل</w:t>
      </w:r>
      <w:r w:rsidRPr="006571AC">
        <w:rPr>
          <w:rFonts w:hint="cs"/>
          <w:sz w:val="27"/>
          <w:rtl/>
          <w:lang w:bidi="ar-LB"/>
        </w:rPr>
        <w:t>توقّ</w:t>
      </w:r>
      <w:r w:rsidR="00935DA6" w:rsidRPr="006571AC">
        <w:rPr>
          <w:rFonts w:hint="cs"/>
          <w:sz w:val="27"/>
          <w:rtl/>
          <w:lang w:bidi="ar-LB"/>
        </w:rPr>
        <w:t>ُ</w:t>
      </w:r>
      <w:r w:rsidRPr="006571AC">
        <w:rPr>
          <w:rFonts w:hint="cs"/>
          <w:sz w:val="27"/>
          <w:rtl/>
          <w:lang w:bidi="ar-LB"/>
        </w:rPr>
        <w:t>ف البحث الأصولي</w:t>
      </w:r>
      <w:r w:rsidR="00CB6758" w:rsidRPr="006571AC">
        <w:rPr>
          <w:rFonts w:hint="cs"/>
          <w:sz w:val="27"/>
          <w:rtl/>
          <w:lang w:bidi="ar-LB"/>
        </w:rPr>
        <w:t>ّ</w:t>
      </w:r>
      <w:r w:rsidRPr="006571AC">
        <w:rPr>
          <w:rFonts w:hint="cs"/>
          <w:sz w:val="27"/>
          <w:rtl/>
          <w:lang w:bidi="ar-LB"/>
        </w:rPr>
        <w:t xml:space="preserve"> عليها، ولو على بعض المباني</w:t>
      </w:r>
      <w:r w:rsidRPr="006571AC">
        <w:rPr>
          <w:sz w:val="27"/>
          <w:vertAlign w:val="superscript"/>
          <w:rtl/>
          <w:lang w:bidi="ar-LB"/>
        </w:rPr>
        <w:t>(</w:t>
      </w:r>
      <w:r w:rsidRPr="006571AC">
        <w:rPr>
          <w:rStyle w:val="ac"/>
          <w:sz w:val="27"/>
          <w:rtl/>
          <w:lang w:bidi="ar-LB"/>
        </w:rPr>
        <w:endnoteReference w:id="645"/>
      </w:r>
      <w:r w:rsidRPr="006571AC">
        <w:rPr>
          <w:sz w:val="27"/>
          <w:vertAlign w:val="superscript"/>
          <w:rtl/>
          <w:lang w:bidi="ar-LB"/>
        </w:rPr>
        <w:t>)</w:t>
      </w:r>
      <w:r w:rsidRPr="006571AC">
        <w:rPr>
          <w:rFonts w:hint="cs"/>
          <w:sz w:val="27"/>
          <w:rtl/>
          <w:lang w:bidi="ar-LB"/>
        </w:rPr>
        <w:t xml:space="preserve">. </w:t>
      </w:r>
    </w:p>
    <w:p w:rsidR="00CB6758" w:rsidRPr="006571AC" w:rsidRDefault="001F3F5A" w:rsidP="002A2E03">
      <w:pPr>
        <w:tabs>
          <w:tab w:val="right" w:pos="6930"/>
        </w:tabs>
        <w:suppressAutoHyphens/>
        <w:rPr>
          <w:sz w:val="27"/>
          <w:rtl/>
          <w:lang w:bidi="ar-LB"/>
        </w:rPr>
      </w:pPr>
      <w:r w:rsidRPr="006571AC">
        <w:rPr>
          <w:rFonts w:hint="cs"/>
          <w:b/>
          <w:bCs/>
          <w:sz w:val="27"/>
          <w:rtl/>
          <w:lang w:bidi="ar-LB"/>
        </w:rPr>
        <w:t>وثانياً</w:t>
      </w:r>
      <w:r w:rsidRPr="006571AC">
        <w:rPr>
          <w:rFonts w:hint="cs"/>
          <w:sz w:val="27"/>
          <w:rtl/>
          <w:lang w:bidi="ar-LB"/>
        </w:rPr>
        <w:t>: مسألة أن الأمر بالشيء هل يقتضي النهي عن ضد</w:t>
      </w:r>
      <w:r w:rsidR="00CB6758" w:rsidRPr="006571AC">
        <w:rPr>
          <w:rFonts w:hint="cs"/>
          <w:sz w:val="27"/>
          <w:rtl/>
          <w:lang w:bidi="ar-LB"/>
        </w:rPr>
        <w:t>ّ</w:t>
      </w:r>
      <w:r w:rsidRPr="006571AC">
        <w:rPr>
          <w:rFonts w:hint="cs"/>
          <w:sz w:val="27"/>
          <w:rtl/>
          <w:lang w:bidi="ar-LB"/>
        </w:rPr>
        <w:t>ه أم لا</w:t>
      </w:r>
      <w:r w:rsidR="00CB6758"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وقد استند في تبرير ذلك </w:t>
      </w:r>
      <w:r w:rsidR="00CB6758" w:rsidRPr="006571AC">
        <w:rPr>
          <w:rFonts w:hint="cs"/>
          <w:sz w:val="27"/>
          <w:rtl/>
          <w:lang w:bidi="ar-LB"/>
        </w:rPr>
        <w:t>إ</w:t>
      </w:r>
      <w:r w:rsidRPr="006571AC">
        <w:rPr>
          <w:rFonts w:hint="cs"/>
          <w:sz w:val="27"/>
          <w:rtl/>
          <w:lang w:bidi="ar-LB"/>
        </w:rPr>
        <w:t xml:space="preserve">لى أحد وجهين: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الأو</w:t>
      </w:r>
      <w:r w:rsidR="00CB6758" w:rsidRPr="006571AC">
        <w:rPr>
          <w:rFonts w:hint="cs"/>
          <w:b/>
          <w:bCs/>
          <w:sz w:val="27"/>
          <w:rtl/>
          <w:lang w:bidi="ar-LB"/>
        </w:rPr>
        <w:t>ّ</w:t>
      </w:r>
      <w:r w:rsidRPr="006571AC">
        <w:rPr>
          <w:rFonts w:hint="cs"/>
          <w:b/>
          <w:bCs/>
          <w:sz w:val="27"/>
          <w:rtl/>
          <w:lang w:bidi="ar-LB"/>
        </w:rPr>
        <w:t>ل</w:t>
      </w:r>
      <w:r w:rsidRPr="006571AC">
        <w:rPr>
          <w:rFonts w:hint="cs"/>
          <w:sz w:val="27"/>
          <w:rtl/>
          <w:lang w:bidi="ar-LB"/>
        </w:rPr>
        <w:t>: دعوى مقد</w:t>
      </w:r>
      <w:r w:rsidR="00CB6758" w:rsidRPr="006571AC">
        <w:rPr>
          <w:rFonts w:hint="cs"/>
          <w:sz w:val="27"/>
          <w:rtl/>
          <w:lang w:bidi="ar-LB"/>
        </w:rPr>
        <w:t>ّميّة أحد الض</w:t>
      </w:r>
      <w:r w:rsidRPr="006571AC">
        <w:rPr>
          <w:rFonts w:hint="cs"/>
          <w:sz w:val="27"/>
          <w:rtl/>
          <w:lang w:bidi="ar-LB"/>
        </w:rPr>
        <w:t>د</w:t>
      </w:r>
      <w:r w:rsidR="00CB6758" w:rsidRPr="006571AC">
        <w:rPr>
          <w:rFonts w:hint="cs"/>
          <w:sz w:val="27"/>
          <w:rtl/>
          <w:lang w:bidi="ar-LB"/>
        </w:rPr>
        <w:t>َّ</w:t>
      </w:r>
      <w:r w:rsidRPr="006571AC">
        <w:rPr>
          <w:rFonts w:hint="cs"/>
          <w:sz w:val="27"/>
          <w:rtl/>
          <w:lang w:bidi="ar-LB"/>
        </w:rPr>
        <w:t>ي</w:t>
      </w:r>
      <w:r w:rsidR="00CB6758" w:rsidRPr="006571AC">
        <w:rPr>
          <w:rFonts w:hint="cs"/>
          <w:sz w:val="27"/>
          <w:rtl/>
          <w:lang w:bidi="ar-LB"/>
        </w:rPr>
        <w:t>ْ</w:t>
      </w:r>
      <w:r w:rsidRPr="006571AC">
        <w:rPr>
          <w:rFonts w:hint="cs"/>
          <w:sz w:val="27"/>
          <w:rtl/>
          <w:lang w:bidi="ar-LB"/>
        </w:rPr>
        <w:t xml:space="preserve">ن لعدم الآخر، </w:t>
      </w:r>
      <w:r w:rsidR="001545E1" w:rsidRPr="006571AC">
        <w:rPr>
          <w:rFonts w:hint="cs"/>
          <w:sz w:val="27"/>
          <w:rtl/>
          <w:lang w:bidi="ar-LB"/>
        </w:rPr>
        <w:t>وبما أنّ</w:t>
      </w:r>
      <w:r w:rsidRPr="006571AC">
        <w:rPr>
          <w:rFonts w:hint="cs"/>
          <w:sz w:val="27"/>
          <w:rtl/>
          <w:lang w:bidi="ar-LB"/>
        </w:rPr>
        <w:t xml:space="preserve"> عدمه حرام</w:t>
      </w:r>
      <w:r w:rsidR="001545E1" w:rsidRPr="006571AC">
        <w:rPr>
          <w:rFonts w:hint="cs"/>
          <w:sz w:val="27"/>
          <w:rtl/>
          <w:lang w:bidi="ar-LB"/>
        </w:rPr>
        <w:t>ٌ</w:t>
      </w:r>
      <w:r w:rsidRPr="006571AC">
        <w:rPr>
          <w:rFonts w:hint="cs"/>
          <w:sz w:val="27"/>
          <w:rtl/>
          <w:lang w:bidi="ar-LB"/>
        </w:rPr>
        <w:t xml:space="preserve">، </w:t>
      </w:r>
      <w:r w:rsidR="001545E1" w:rsidRPr="006571AC">
        <w:rPr>
          <w:rFonts w:hint="cs"/>
          <w:sz w:val="27"/>
          <w:rtl/>
          <w:lang w:bidi="ar-LB"/>
        </w:rPr>
        <w:t>ل</w:t>
      </w:r>
      <w:r w:rsidRPr="006571AC">
        <w:rPr>
          <w:rFonts w:hint="cs"/>
          <w:sz w:val="27"/>
          <w:rtl/>
          <w:lang w:bidi="ar-LB"/>
        </w:rPr>
        <w:t>ثبوت المسألة في الضدّ العام</w:t>
      </w:r>
      <w:r w:rsidR="001545E1" w:rsidRPr="006571AC">
        <w:rPr>
          <w:rFonts w:hint="cs"/>
          <w:sz w:val="27"/>
          <w:rtl/>
          <w:lang w:bidi="ar-LB"/>
        </w:rPr>
        <w:t>ّ</w:t>
      </w:r>
      <w:r w:rsidRPr="006571AC">
        <w:rPr>
          <w:rFonts w:hint="cs"/>
          <w:sz w:val="27"/>
          <w:rtl/>
          <w:lang w:bidi="ar-LB"/>
        </w:rPr>
        <w:t>، كانت مقد</w:t>
      </w:r>
      <w:r w:rsidR="001545E1" w:rsidRPr="006571AC">
        <w:rPr>
          <w:rFonts w:hint="cs"/>
          <w:sz w:val="27"/>
          <w:rtl/>
          <w:lang w:bidi="ar-LB"/>
        </w:rPr>
        <w:t>ّ</w:t>
      </w:r>
      <w:r w:rsidRPr="006571AC">
        <w:rPr>
          <w:rFonts w:hint="cs"/>
          <w:sz w:val="27"/>
          <w:rtl/>
          <w:lang w:bidi="ar-LB"/>
        </w:rPr>
        <w:t xml:space="preserve">مته حراماً أيضاً.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الثاني</w:t>
      </w:r>
      <w:r w:rsidRPr="006571AC">
        <w:rPr>
          <w:rFonts w:hint="cs"/>
          <w:sz w:val="27"/>
          <w:rtl/>
          <w:lang w:bidi="ar-LB"/>
        </w:rPr>
        <w:t>: دعوى الملازمة والسراي</w:t>
      </w:r>
      <w:r w:rsidR="001545E1" w:rsidRPr="006571AC">
        <w:rPr>
          <w:rFonts w:hint="cs"/>
          <w:sz w:val="27"/>
          <w:rtl/>
          <w:lang w:bidi="ar-LB"/>
        </w:rPr>
        <w:t>ة</w:t>
      </w:r>
      <w:r w:rsidRPr="006571AC">
        <w:rPr>
          <w:rFonts w:hint="cs"/>
          <w:sz w:val="27"/>
          <w:rtl/>
          <w:lang w:bidi="ar-LB"/>
        </w:rPr>
        <w:t xml:space="preserve"> على أساس أنّ عدم أحد الضدّ</w:t>
      </w:r>
      <w:r w:rsidR="001545E1" w:rsidRPr="006571AC">
        <w:rPr>
          <w:rFonts w:hint="cs"/>
          <w:sz w:val="27"/>
          <w:rtl/>
          <w:lang w:bidi="ar-LB"/>
        </w:rPr>
        <w:t>َ</w:t>
      </w:r>
      <w:r w:rsidRPr="006571AC">
        <w:rPr>
          <w:rFonts w:hint="cs"/>
          <w:sz w:val="27"/>
          <w:rtl/>
          <w:lang w:bidi="ar-LB"/>
        </w:rPr>
        <w:t>ي</w:t>
      </w:r>
      <w:r w:rsidR="001545E1" w:rsidRPr="006571AC">
        <w:rPr>
          <w:rFonts w:hint="cs"/>
          <w:sz w:val="27"/>
          <w:rtl/>
          <w:lang w:bidi="ar-LB"/>
        </w:rPr>
        <w:t>ْن إ</w:t>
      </w:r>
      <w:r w:rsidRPr="006571AC">
        <w:rPr>
          <w:rFonts w:hint="cs"/>
          <w:sz w:val="27"/>
          <w:rtl/>
          <w:lang w:bidi="ar-LB"/>
        </w:rPr>
        <w:t>ن</w:t>
      </w:r>
      <w:r w:rsidR="001545E1" w:rsidRPr="006571AC">
        <w:rPr>
          <w:rFonts w:hint="cs"/>
          <w:sz w:val="27"/>
          <w:rtl/>
          <w:lang w:bidi="ar-LB"/>
        </w:rPr>
        <w:t>ْ</w:t>
      </w:r>
      <w:r w:rsidRPr="006571AC">
        <w:rPr>
          <w:rFonts w:hint="cs"/>
          <w:sz w:val="27"/>
          <w:rtl/>
          <w:lang w:bidi="ar-LB"/>
        </w:rPr>
        <w:t xml:space="preserve"> لم يكن مقد</w:t>
      </w:r>
      <w:r w:rsidR="001545E1" w:rsidRPr="006571AC">
        <w:rPr>
          <w:rFonts w:hint="cs"/>
          <w:sz w:val="27"/>
          <w:rtl/>
          <w:lang w:bidi="ar-LB"/>
        </w:rPr>
        <w:t>ّ</w:t>
      </w:r>
      <w:r w:rsidRPr="006571AC">
        <w:rPr>
          <w:rFonts w:hint="cs"/>
          <w:sz w:val="27"/>
          <w:rtl/>
          <w:lang w:bidi="ar-LB"/>
        </w:rPr>
        <w:t>مة</w:t>
      </w:r>
      <w:r w:rsidR="001545E1" w:rsidRPr="006571AC">
        <w:rPr>
          <w:rFonts w:hint="cs"/>
          <w:sz w:val="27"/>
          <w:rtl/>
          <w:lang w:bidi="ar-LB"/>
        </w:rPr>
        <w:t>ً</w:t>
      </w:r>
      <w:r w:rsidRPr="006571AC">
        <w:rPr>
          <w:rFonts w:hint="cs"/>
          <w:sz w:val="27"/>
          <w:rtl/>
          <w:lang w:bidi="ar-LB"/>
        </w:rPr>
        <w:t xml:space="preserve"> لوجود الآخر، فلا أقلّ من كونه ملازماً له، فتسري منه الحرمة إليه؛ و</w:t>
      </w:r>
      <w:r w:rsidR="001545E1" w:rsidRPr="006571AC">
        <w:rPr>
          <w:rFonts w:hint="cs"/>
          <w:sz w:val="27"/>
          <w:rtl/>
          <w:lang w:bidi="ar-LB"/>
        </w:rPr>
        <w:t>ف</w:t>
      </w:r>
      <w:r w:rsidRPr="006571AC">
        <w:rPr>
          <w:rFonts w:hint="cs"/>
          <w:sz w:val="27"/>
          <w:rtl/>
          <w:lang w:bidi="ar-LB"/>
        </w:rPr>
        <w:t>قاً لكبرى يجب إثباتها م</w:t>
      </w:r>
      <w:r w:rsidR="001545E1" w:rsidRPr="006571AC">
        <w:rPr>
          <w:rFonts w:hint="cs"/>
          <w:sz w:val="27"/>
          <w:rtl/>
          <w:lang w:bidi="ar-LB"/>
        </w:rPr>
        <w:t>ُ</w:t>
      </w:r>
      <w:r w:rsidRPr="006571AC">
        <w:rPr>
          <w:rFonts w:hint="cs"/>
          <w:sz w:val="27"/>
          <w:rtl/>
          <w:lang w:bidi="ar-LB"/>
        </w:rPr>
        <w:t>س</w:t>
      </w:r>
      <w:r w:rsidR="001545E1" w:rsidRPr="006571AC">
        <w:rPr>
          <w:rFonts w:hint="cs"/>
          <w:sz w:val="27"/>
          <w:rtl/>
          <w:lang w:bidi="ar-LB"/>
        </w:rPr>
        <w:t>ْ</w:t>
      </w:r>
      <w:r w:rsidRPr="006571AC">
        <w:rPr>
          <w:rFonts w:hint="cs"/>
          <w:sz w:val="27"/>
          <w:rtl/>
          <w:lang w:bidi="ar-LB"/>
        </w:rPr>
        <w:t>ب</w:t>
      </w:r>
      <w:r w:rsidR="001545E1" w:rsidRPr="006571AC">
        <w:rPr>
          <w:rFonts w:hint="cs"/>
          <w:sz w:val="27"/>
          <w:rtl/>
          <w:lang w:bidi="ar-LB"/>
        </w:rPr>
        <w:t>َ</w:t>
      </w:r>
      <w:r w:rsidRPr="006571AC">
        <w:rPr>
          <w:rFonts w:hint="cs"/>
          <w:sz w:val="27"/>
          <w:rtl/>
          <w:lang w:bidi="ar-LB"/>
        </w:rPr>
        <w:t>قاً</w:t>
      </w:r>
      <w:r w:rsidR="001545E1" w:rsidRPr="006571AC">
        <w:rPr>
          <w:rFonts w:hint="cs"/>
          <w:sz w:val="27"/>
          <w:rtl/>
          <w:lang w:bidi="ar-LB"/>
        </w:rPr>
        <w:t>،</w:t>
      </w:r>
      <w:r w:rsidRPr="006571AC">
        <w:rPr>
          <w:rFonts w:hint="cs"/>
          <w:sz w:val="27"/>
          <w:rtl/>
          <w:lang w:bidi="ar-LB"/>
        </w:rPr>
        <w:t xml:space="preserve"> وهي: سراية حكم أحد المتلازمين </w:t>
      </w:r>
      <w:r w:rsidR="001545E1" w:rsidRPr="006571AC">
        <w:rPr>
          <w:rFonts w:hint="cs"/>
          <w:sz w:val="27"/>
          <w:rtl/>
          <w:lang w:bidi="ar-LB"/>
        </w:rPr>
        <w:t>إ</w:t>
      </w:r>
      <w:r w:rsidRPr="006571AC">
        <w:rPr>
          <w:rFonts w:hint="cs"/>
          <w:sz w:val="27"/>
          <w:rtl/>
          <w:lang w:bidi="ar-LB"/>
        </w:rPr>
        <w:t xml:space="preserve">لى الآخر.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وقد اعترض على هذا الوجه ـ مضافاً </w:t>
      </w:r>
      <w:r w:rsidR="001545E1" w:rsidRPr="006571AC">
        <w:rPr>
          <w:rFonts w:hint="cs"/>
          <w:sz w:val="27"/>
          <w:rtl/>
          <w:lang w:bidi="ar-LB"/>
        </w:rPr>
        <w:t>إ</w:t>
      </w:r>
      <w:r w:rsidRPr="006571AC">
        <w:rPr>
          <w:rFonts w:hint="cs"/>
          <w:sz w:val="27"/>
          <w:rtl/>
          <w:lang w:bidi="ar-LB"/>
        </w:rPr>
        <w:t>لى المنع من حرمة الضدّ العام</w:t>
      </w:r>
      <w:r w:rsidR="001545E1" w:rsidRPr="006571AC">
        <w:rPr>
          <w:rFonts w:hint="cs"/>
          <w:sz w:val="27"/>
          <w:rtl/>
          <w:lang w:bidi="ar-LB"/>
        </w:rPr>
        <w:t>ّ،</w:t>
      </w:r>
      <w:r w:rsidRPr="006571AC">
        <w:rPr>
          <w:rFonts w:hint="cs"/>
          <w:sz w:val="27"/>
          <w:rtl/>
          <w:lang w:bidi="ar-LB"/>
        </w:rPr>
        <w:t xml:space="preserve"> وكبرى السراية </w:t>
      </w:r>
      <w:r w:rsidRPr="006571AC">
        <w:rPr>
          <w:sz w:val="27"/>
          <w:rtl/>
          <w:lang w:bidi="ar-LB"/>
        </w:rPr>
        <w:t xml:space="preserve">ـ </w:t>
      </w:r>
      <w:r w:rsidR="001545E1" w:rsidRPr="006571AC">
        <w:rPr>
          <w:rFonts w:hint="cs"/>
          <w:sz w:val="27"/>
          <w:rtl/>
          <w:lang w:bidi="ar-LB"/>
        </w:rPr>
        <w:t>بأنّ عدم أحد الض</w:t>
      </w:r>
      <w:r w:rsidRPr="006571AC">
        <w:rPr>
          <w:rFonts w:hint="cs"/>
          <w:sz w:val="27"/>
          <w:rtl/>
          <w:lang w:bidi="ar-LB"/>
        </w:rPr>
        <w:t>د</w:t>
      </w:r>
      <w:r w:rsidR="001545E1" w:rsidRPr="006571AC">
        <w:rPr>
          <w:rFonts w:hint="cs"/>
          <w:sz w:val="27"/>
          <w:rtl/>
          <w:lang w:bidi="ar-LB"/>
        </w:rPr>
        <w:t>َّ</w:t>
      </w:r>
      <w:r w:rsidRPr="006571AC">
        <w:rPr>
          <w:rFonts w:hint="cs"/>
          <w:sz w:val="27"/>
          <w:rtl/>
          <w:lang w:bidi="ar-LB"/>
        </w:rPr>
        <w:t>ي</w:t>
      </w:r>
      <w:r w:rsidR="001545E1" w:rsidRPr="006571AC">
        <w:rPr>
          <w:rFonts w:hint="cs"/>
          <w:sz w:val="27"/>
          <w:rtl/>
          <w:lang w:bidi="ar-LB"/>
        </w:rPr>
        <w:t>ْن إن</w:t>
      </w:r>
      <w:r w:rsidRPr="006571AC">
        <w:rPr>
          <w:rFonts w:hint="cs"/>
          <w:sz w:val="27"/>
          <w:rtl/>
          <w:lang w:bidi="ar-LB"/>
        </w:rPr>
        <w:t>ما يلازم وجود الآخر إذا كانا بلا ثالث</w:t>
      </w:r>
      <w:r w:rsidR="001545E1" w:rsidRPr="006571AC">
        <w:rPr>
          <w:rFonts w:hint="cs"/>
          <w:sz w:val="27"/>
          <w:rtl/>
          <w:lang w:bidi="ar-LB"/>
        </w:rPr>
        <w:t>ٍ</w:t>
      </w:r>
      <w:r w:rsidRPr="006571AC">
        <w:rPr>
          <w:rFonts w:hint="cs"/>
          <w:sz w:val="27"/>
          <w:rtl/>
          <w:lang w:bidi="ar-LB"/>
        </w:rPr>
        <w:t>، دون</w:t>
      </w:r>
      <w:r w:rsidR="001545E1" w:rsidRPr="006571AC">
        <w:rPr>
          <w:rFonts w:hint="cs"/>
          <w:sz w:val="27"/>
          <w:rtl/>
          <w:lang w:bidi="ar-LB"/>
        </w:rPr>
        <w:t xml:space="preserve"> </w:t>
      </w:r>
      <w:r w:rsidRPr="006571AC">
        <w:rPr>
          <w:rFonts w:hint="cs"/>
          <w:sz w:val="27"/>
          <w:rtl/>
          <w:lang w:bidi="ar-LB"/>
        </w:rPr>
        <w:t xml:space="preserve">ما إذا لم يكونا كذلك، كالصلاة وعدم الإزالة. </w:t>
      </w:r>
    </w:p>
    <w:p w:rsidR="001F3F5A" w:rsidRPr="006571AC" w:rsidRDefault="001545E1" w:rsidP="00B37556">
      <w:pPr>
        <w:tabs>
          <w:tab w:val="right" w:pos="6930"/>
        </w:tabs>
        <w:suppressAutoHyphens/>
        <w:rPr>
          <w:sz w:val="27"/>
          <w:rtl/>
          <w:lang w:bidi="ar-LB"/>
        </w:rPr>
      </w:pPr>
      <w:r w:rsidRPr="006571AC">
        <w:rPr>
          <w:rFonts w:hint="cs"/>
          <w:sz w:val="27"/>
          <w:rtl/>
          <w:lang w:bidi="ar-LB"/>
        </w:rPr>
        <w:t xml:space="preserve">ومن هنا </w:t>
      </w:r>
      <w:r w:rsidR="00B37556" w:rsidRPr="006571AC">
        <w:rPr>
          <w:rFonts w:hint="cs"/>
          <w:sz w:val="27"/>
          <w:rtl/>
          <w:lang w:bidi="ar-LB"/>
        </w:rPr>
        <w:t>حاولوا</w:t>
      </w:r>
      <w:r w:rsidR="001F3F5A" w:rsidRPr="006571AC">
        <w:rPr>
          <w:rFonts w:hint="cs"/>
          <w:sz w:val="27"/>
          <w:rtl/>
          <w:lang w:bidi="ar-LB"/>
        </w:rPr>
        <w:t xml:space="preserve"> دفع هذا ال</w:t>
      </w:r>
      <w:r w:rsidRPr="006571AC">
        <w:rPr>
          <w:rFonts w:hint="cs"/>
          <w:sz w:val="27"/>
          <w:rtl/>
          <w:lang w:bidi="ar-LB"/>
        </w:rPr>
        <w:t>ا</w:t>
      </w:r>
      <w:r w:rsidR="001F3F5A" w:rsidRPr="006571AC">
        <w:rPr>
          <w:rFonts w:hint="cs"/>
          <w:sz w:val="27"/>
          <w:rtl/>
          <w:lang w:bidi="ar-LB"/>
        </w:rPr>
        <w:t>عتراض على أساس أنّ الملازمة قائمة</w:t>
      </w:r>
      <w:r w:rsidR="005152E8" w:rsidRPr="006571AC">
        <w:rPr>
          <w:rFonts w:hint="cs"/>
          <w:sz w:val="27"/>
          <w:rtl/>
          <w:lang w:bidi="ar-LB"/>
        </w:rPr>
        <w:t>ٌ</w:t>
      </w:r>
      <w:r w:rsidR="001F3F5A" w:rsidRPr="006571AC">
        <w:rPr>
          <w:rFonts w:hint="cs"/>
          <w:sz w:val="27"/>
          <w:rtl/>
          <w:lang w:bidi="ar-LB"/>
        </w:rPr>
        <w:t xml:space="preserve"> بين الصلاة وعدم الإزالة</w:t>
      </w:r>
      <w:r w:rsidR="005152E8" w:rsidRPr="006571AC">
        <w:rPr>
          <w:rFonts w:hint="cs"/>
          <w:sz w:val="27"/>
          <w:rtl/>
          <w:lang w:bidi="ar-LB"/>
        </w:rPr>
        <w:t>،</w:t>
      </w:r>
      <w:r w:rsidR="001F3F5A" w:rsidRPr="006571AC">
        <w:rPr>
          <w:rFonts w:hint="cs"/>
          <w:sz w:val="27"/>
          <w:rtl/>
          <w:lang w:bidi="ar-LB"/>
        </w:rPr>
        <w:t xml:space="preserve"> دون العكس، وبما أنّ عدم الإزالة حرام</w:t>
      </w:r>
      <w:r w:rsidR="005152E8" w:rsidRPr="006571AC">
        <w:rPr>
          <w:rFonts w:hint="cs"/>
          <w:sz w:val="27"/>
          <w:rtl/>
          <w:lang w:bidi="ar-LB"/>
        </w:rPr>
        <w:t>ٌ؛</w:t>
      </w:r>
      <w:r w:rsidR="001F3F5A" w:rsidRPr="006571AC">
        <w:rPr>
          <w:rFonts w:hint="cs"/>
          <w:sz w:val="27"/>
          <w:rtl/>
          <w:lang w:bidi="ar-LB"/>
        </w:rPr>
        <w:t xml:space="preserve"> للتسليم بالقاعدة في الضد</w:t>
      </w:r>
      <w:r w:rsidR="005152E8" w:rsidRPr="006571AC">
        <w:rPr>
          <w:rFonts w:hint="cs"/>
          <w:sz w:val="27"/>
          <w:rtl/>
          <w:lang w:bidi="ar-LB"/>
        </w:rPr>
        <w:t>ّ</w:t>
      </w:r>
      <w:r w:rsidR="001F3F5A" w:rsidRPr="006571AC">
        <w:rPr>
          <w:rFonts w:hint="cs"/>
          <w:sz w:val="27"/>
          <w:rtl/>
          <w:lang w:bidi="ar-LB"/>
        </w:rPr>
        <w:t xml:space="preserve"> العام</w:t>
      </w:r>
      <w:r w:rsidR="005152E8" w:rsidRPr="006571AC">
        <w:rPr>
          <w:rFonts w:hint="cs"/>
          <w:sz w:val="27"/>
          <w:rtl/>
          <w:lang w:bidi="ar-LB"/>
        </w:rPr>
        <w:t>ّ</w:t>
      </w:r>
      <w:r w:rsidR="001F3F5A" w:rsidRPr="006571AC">
        <w:rPr>
          <w:rFonts w:hint="cs"/>
          <w:sz w:val="27"/>
          <w:rtl/>
          <w:lang w:bidi="ar-LB"/>
        </w:rPr>
        <w:t>، ف</w:t>
      </w:r>
      <w:r w:rsidR="00731867" w:rsidRPr="006571AC">
        <w:rPr>
          <w:rFonts w:hint="cs"/>
          <w:sz w:val="27"/>
          <w:rtl/>
          <w:lang w:bidi="ar-LB"/>
        </w:rPr>
        <w:t>لا بُدَّ</w:t>
      </w:r>
      <w:r w:rsidR="001F3F5A" w:rsidRPr="006571AC">
        <w:rPr>
          <w:rFonts w:hint="cs"/>
          <w:sz w:val="27"/>
          <w:rtl/>
          <w:lang w:bidi="ar-LB"/>
        </w:rPr>
        <w:t xml:space="preserve"> من أن تكون الصلاة محكومة</w:t>
      </w:r>
      <w:r w:rsidR="005152E8" w:rsidRPr="006571AC">
        <w:rPr>
          <w:rFonts w:hint="cs"/>
          <w:sz w:val="27"/>
          <w:rtl/>
          <w:lang w:bidi="ar-LB"/>
        </w:rPr>
        <w:t>ً</w:t>
      </w:r>
      <w:r w:rsidR="001F3F5A" w:rsidRPr="006571AC">
        <w:rPr>
          <w:rFonts w:hint="cs"/>
          <w:sz w:val="27"/>
          <w:rtl/>
          <w:lang w:bidi="ar-LB"/>
        </w:rPr>
        <w:t xml:space="preserve"> بها أيضاً</w:t>
      </w:r>
      <w:r w:rsidR="005152E8" w:rsidRPr="006571AC">
        <w:rPr>
          <w:rFonts w:hint="cs"/>
          <w:sz w:val="27"/>
          <w:rtl/>
          <w:lang w:bidi="ar-LB"/>
        </w:rPr>
        <w:t>؛</w:t>
      </w:r>
      <w:r w:rsidR="001F3F5A" w:rsidRPr="006571AC">
        <w:rPr>
          <w:rFonts w:hint="cs"/>
          <w:sz w:val="27"/>
          <w:rtl/>
          <w:lang w:bidi="ar-LB"/>
        </w:rPr>
        <w:t xml:space="preserve"> وذلك أنه لا يمكن أن تكون محكومة</w:t>
      </w:r>
      <w:r w:rsidR="005152E8" w:rsidRPr="006571AC">
        <w:rPr>
          <w:rFonts w:hint="cs"/>
          <w:sz w:val="27"/>
          <w:rtl/>
          <w:lang w:bidi="ar-LB"/>
        </w:rPr>
        <w:t>ً</w:t>
      </w:r>
      <w:r w:rsidR="001F3F5A" w:rsidRPr="006571AC">
        <w:rPr>
          <w:rFonts w:hint="cs"/>
          <w:sz w:val="27"/>
          <w:rtl/>
          <w:lang w:bidi="ar-LB"/>
        </w:rPr>
        <w:t xml:space="preserve"> بغيرها من الأحكام الخمسة</w:t>
      </w:r>
      <w:r w:rsidR="005152E8" w:rsidRPr="006571AC">
        <w:rPr>
          <w:rFonts w:hint="cs"/>
          <w:sz w:val="27"/>
          <w:rtl/>
          <w:lang w:bidi="ar-LB"/>
        </w:rPr>
        <w:t>؛</w:t>
      </w:r>
      <w:r w:rsidR="001F3F5A" w:rsidRPr="006571AC">
        <w:rPr>
          <w:rFonts w:hint="cs"/>
          <w:sz w:val="27"/>
          <w:rtl/>
          <w:lang w:bidi="ar-LB"/>
        </w:rPr>
        <w:t xml:space="preserve"> لاجتماع الحكمين المتضادّ</w:t>
      </w:r>
      <w:r w:rsidR="005152E8" w:rsidRPr="006571AC">
        <w:rPr>
          <w:rFonts w:hint="cs"/>
          <w:sz w:val="27"/>
          <w:rtl/>
          <w:lang w:bidi="ar-LB"/>
        </w:rPr>
        <w:t>َ</w:t>
      </w:r>
      <w:r w:rsidR="001F3F5A" w:rsidRPr="006571AC">
        <w:rPr>
          <w:rFonts w:hint="cs"/>
          <w:sz w:val="27"/>
          <w:rtl/>
          <w:lang w:bidi="ar-LB"/>
        </w:rPr>
        <w:t>ي</w:t>
      </w:r>
      <w:r w:rsidR="005152E8" w:rsidRPr="006571AC">
        <w:rPr>
          <w:rFonts w:hint="cs"/>
          <w:sz w:val="27"/>
          <w:rtl/>
          <w:lang w:bidi="ar-LB"/>
        </w:rPr>
        <w:t>ْ</w:t>
      </w:r>
      <w:r w:rsidR="001F3F5A" w:rsidRPr="006571AC">
        <w:rPr>
          <w:rFonts w:hint="cs"/>
          <w:sz w:val="27"/>
          <w:rtl/>
          <w:lang w:bidi="ar-LB"/>
        </w:rPr>
        <w:t xml:space="preserve">ن في عدم الإزالة، بعد تسرّي حكم الصلاة </w:t>
      </w:r>
      <w:r w:rsidR="005152E8" w:rsidRPr="006571AC">
        <w:rPr>
          <w:rFonts w:hint="cs"/>
          <w:sz w:val="27"/>
          <w:rtl/>
          <w:lang w:bidi="ar-LB"/>
        </w:rPr>
        <w:t>إ</w:t>
      </w:r>
      <w:r w:rsidR="001F3F5A" w:rsidRPr="006571AC">
        <w:rPr>
          <w:rFonts w:hint="cs"/>
          <w:sz w:val="27"/>
          <w:rtl/>
          <w:lang w:bidi="ar-LB"/>
        </w:rPr>
        <w:t>لى ملازمها، ولا يمكنها أن لا تكون محكومة</w:t>
      </w:r>
      <w:r w:rsidR="00746303" w:rsidRPr="006571AC">
        <w:rPr>
          <w:rFonts w:hint="cs"/>
          <w:sz w:val="27"/>
          <w:rtl/>
          <w:lang w:bidi="ar-LB"/>
        </w:rPr>
        <w:t>ً</w:t>
      </w:r>
      <w:r w:rsidR="001F3F5A" w:rsidRPr="006571AC">
        <w:rPr>
          <w:rFonts w:hint="cs"/>
          <w:sz w:val="27"/>
          <w:rtl/>
          <w:lang w:bidi="ar-LB"/>
        </w:rPr>
        <w:t xml:space="preserve"> بشيء</w:t>
      </w:r>
      <w:r w:rsidR="00746303" w:rsidRPr="006571AC">
        <w:rPr>
          <w:rFonts w:hint="cs"/>
          <w:sz w:val="27"/>
          <w:rtl/>
          <w:lang w:bidi="ar-LB"/>
        </w:rPr>
        <w:t>ٍ</w:t>
      </w:r>
      <w:r w:rsidR="001F3F5A" w:rsidRPr="006571AC">
        <w:rPr>
          <w:rFonts w:hint="cs"/>
          <w:sz w:val="27"/>
          <w:rtl/>
          <w:lang w:bidi="ar-LB"/>
        </w:rPr>
        <w:t xml:space="preserve"> منها</w:t>
      </w:r>
      <w:r w:rsidR="00746303" w:rsidRPr="006571AC">
        <w:rPr>
          <w:rFonts w:hint="cs"/>
          <w:sz w:val="27"/>
          <w:rtl/>
          <w:lang w:bidi="ar-LB"/>
        </w:rPr>
        <w:t>؛</w:t>
      </w:r>
      <w:r w:rsidR="001F3F5A" w:rsidRPr="006571AC">
        <w:rPr>
          <w:rFonts w:hint="cs"/>
          <w:sz w:val="27"/>
          <w:rtl/>
          <w:lang w:bidi="ar-LB"/>
        </w:rPr>
        <w:t xml:space="preserve"> لعدم خلوّ الواقع من الحكم</w:t>
      </w:r>
      <w:r w:rsidR="00746303" w:rsidRPr="006571AC">
        <w:rPr>
          <w:rFonts w:hint="cs"/>
          <w:sz w:val="27"/>
          <w:rtl/>
          <w:lang w:bidi="ar-LB"/>
        </w:rPr>
        <w:t>،</w:t>
      </w:r>
      <w:r w:rsidR="001F3F5A" w:rsidRPr="006571AC">
        <w:rPr>
          <w:rFonts w:hint="cs"/>
          <w:sz w:val="27"/>
          <w:rtl/>
          <w:lang w:bidi="ar-LB"/>
        </w:rPr>
        <w:t xml:space="preserve"> فينتهي الأمر أخيراً </w:t>
      </w:r>
      <w:r w:rsidR="00746303" w:rsidRPr="006571AC">
        <w:rPr>
          <w:rFonts w:hint="cs"/>
          <w:sz w:val="27"/>
          <w:rtl/>
          <w:lang w:bidi="ar-LB"/>
        </w:rPr>
        <w:t>إ</w:t>
      </w:r>
      <w:r w:rsidR="001F3F5A" w:rsidRPr="006571AC">
        <w:rPr>
          <w:rFonts w:hint="cs"/>
          <w:sz w:val="27"/>
          <w:rtl/>
          <w:lang w:bidi="ar-LB"/>
        </w:rPr>
        <w:t>لى الحرمة</w:t>
      </w:r>
      <w:r w:rsidR="00746303" w:rsidRPr="006571AC">
        <w:rPr>
          <w:rFonts w:hint="cs"/>
          <w:sz w:val="27"/>
          <w:rtl/>
          <w:lang w:bidi="ar-LB"/>
        </w:rPr>
        <w:t>.</w:t>
      </w:r>
      <w:r w:rsidR="001F3F5A" w:rsidRPr="006571AC">
        <w:rPr>
          <w:rFonts w:hint="cs"/>
          <w:sz w:val="27"/>
          <w:rtl/>
          <w:lang w:bidi="ar-LB"/>
        </w:rPr>
        <w:t xml:space="preserve"> وهكذا يستند </w:t>
      </w:r>
      <w:r w:rsidR="00746303" w:rsidRPr="006571AC">
        <w:rPr>
          <w:rFonts w:hint="cs"/>
          <w:sz w:val="27"/>
          <w:rtl/>
          <w:lang w:bidi="ar-LB"/>
        </w:rPr>
        <w:t>إ</w:t>
      </w:r>
      <w:r w:rsidR="001F3F5A" w:rsidRPr="006571AC">
        <w:rPr>
          <w:rFonts w:hint="cs"/>
          <w:sz w:val="27"/>
          <w:rtl/>
          <w:lang w:bidi="ar-LB"/>
        </w:rPr>
        <w:t xml:space="preserve">لى هذه القاعدة في هذه المسألة الأصوليّة. </w:t>
      </w:r>
    </w:p>
    <w:p w:rsidR="001F3F5A" w:rsidRPr="006571AC" w:rsidRDefault="001F3F5A" w:rsidP="002A2E03">
      <w:pPr>
        <w:tabs>
          <w:tab w:val="right" w:pos="6930"/>
        </w:tabs>
        <w:suppressAutoHyphens/>
        <w:rPr>
          <w:sz w:val="27"/>
          <w:rtl/>
          <w:lang w:bidi="ar-LB"/>
        </w:rPr>
      </w:pPr>
      <w:r w:rsidRPr="006571AC">
        <w:rPr>
          <w:rFonts w:hint="cs"/>
          <w:sz w:val="27"/>
          <w:rtl/>
          <w:lang w:bidi="ar-LB"/>
        </w:rPr>
        <w:t>وقد ذكر الشهيد الصدر</w:t>
      </w:r>
      <w:r w:rsidR="002A2C90" w:rsidRPr="006571AC">
        <w:rPr>
          <w:rFonts w:ascii="Mosawi" w:hAnsi="Mosawi" w:cs="Mosawi"/>
          <w:sz w:val="22"/>
          <w:szCs w:val="22"/>
          <w:rtl/>
        </w:rPr>
        <w:t>&amp;</w:t>
      </w:r>
      <w:r w:rsidRPr="006571AC">
        <w:rPr>
          <w:rFonts w:hint="cs"/>
          <w:sz w:val="27"/>
          <w:rtl/>
          <w:lang w:bidi="ar-LB"/>
        </w:rPr>
        <w:t xml:space="preserve"> </w:t>
      </w:r>
      <w:r w:rsidR="00746303" w:rsidRPr="006571AC">
        <w:rPr>
          <w:rFonts w:hint="cs"/>
          <w:sz w:val="27"/>
          <w:rtl/>
          <w:lang w:bidi="ar-LB"/>
        </w:rPr>
        <w:t xml:space="preserve">في </w:t>
      </w:r>
      <w:r w:rsidRPr="006571AC">
        <w:rPr>
          <w:rFonts w:hint="cs"/>
          <w:sz w:val="27"/>
          <w:rtl/>
          <w:lang w:bidi="ar-LB"/>
        </w:rPr>
        <w:t>هذا الصدد أنّ ذلك موقوف</w:t>
      </w:r>
      <w:r w:rsidR="00746303" w:rsidRPr="006571AC">
        <w:rPr>
          <w:rFonts w:hint="cs"/>
          <w:sz w:val="27"/>
          <w:rtl/>
          <w:lang w:bidi="ar-LB"/>
        </w:rPr>
        <w:t>ٌ</w:t>
      </w:r>
      <w:r w:rsidRPr="006571AC">
        <w:rPr>
          <w:rFonts w:hint="cs"/>
          <w:sz w:val="27"/>
          <w:rtl/>
          <w:lang w:bidi="ar-LB"/>
        </w:rPr>
        <w:t xml:space="preserve"> على كون قاعدة عدم الخلوّ بمعنى</w:t>
      </w:r>
      <w:r w:rsidR="00746303" w:rsidRPr="006571AC">
        <w:rPr>
          <w:rFonts w:hint="cs"/>
          <w:sz w:val="27"/>
          <w:rtl/>
          <w:lang w:bidi="ar-LB"/>
        </w:rPr>
        <w:t>ً</w:t>
      </w:r>
      <w:r w:rsidRPr="006571AC">
        <w:rPr>
          <w:rFonts w:hint="cs"/>
          <w:sz w:val="27"/>
          <w:rtl/>
          <w:lang w:bidi="ar-LB"/>
        </w:rPr>
        <w:t xml:space="preserve"> خاص</w:t>
      </w:r>
      <w:r w:rsidR="00746303" w:rsidRPr="006571AC">
        <w:rPr>
          <w:rFonts w:hint="cs"/>
          <w:sz w:val="27"/>
          <w:rtl/>
          <w:lang w:bidi="ar-LB"/>
        </w:rPr>
        <w:t>ّ</w:t>
      </w:r>
      <w:r w:rsidRPr="006571AC">
        <w:rPr>
          <w:rFonts w:hint="cs"/>
          <w:sz w:val="27"/>
          <w:rtl/>
          <w:lang w:bidi="ar-LB"/>
        </w:rPr>
        <w:t xml:space="preserve"> للحكم، أعني الإنشاء والتسريع، لا بمعنى عدم خلوّ الواقع من الموقف الشرعي</w:t>
      </w:r>
      <w:r w:rsidR="00746303" w:rsidRPr="006571AC">
        <w:rPr>
          <w:rFonts w:hint="cs"/>
          <w:sz w:val="27"/>
          <w:rtl/>
          <w:lang w:bidi="ar-LB"/>
        </w:rPr>
        <w:t>،</w:t>
      </w:r>
      <w:r w:rsidRPr="006571AC">
        <w:rPr>
          <w:rFonts w:hint="cs"/>
          <w:sz w:val="27"/>
          <w:rtl/>
          <w:lang w:bidi="ar-LB"/>
        </w:rPr>
        <w:t xml:space="preserve"> وعدم تحيّ</w:t>
      </w:r>
      <w:r w:rsidR="00746303" w:rsidRPr="006571AC">
        <w:rPr>
          <w:rFonts w:hint="cs"/>
          <w:sz w:val="27"/>
          <w:rtl/>
          <w:lang w:bidi="ar-LB"/>
        </w:rPr>
        <w:t>ُ</w:t>
      </w:r>
      <w:r w:rsidRPr="006571AC">
        <w:rPr>
          <w:rFonts w:hint="cs"/>
          <w:sz w:val="27"/>
          <w:rtl/>
          <w:lang w:bidi="ar-LB"/>
        </w:rPr>
        <w:t>ر المكلّ</w:t>
      </w:r>
      <w:r w:rsidR="00746303" w:rsidRPr="006571AC">
        <w:rPr>
          <w:rFonts w:hint="cs"/>
          <w:sz w:val="27"/>
          <w:rtl/>
          <w:lang w:bidi="ar-LB"/>
        </w:rPr>
        <w:t>َ</w:t>
      </w:r>
      <w:r w:rsidRPr="006571AC">
        <w:rPr>
          <w:rFonts w:hint="cs"/>
          <w:sz w:val="27"/>
          <w:rtl/>
          <w:lang w:bidi="ar-LB"/>
        </w:rPr>
        <w:t>ف شرعاً في مقام العمل بح</w:t>
      </w:r>
      <w:r w:rsidR="00746303" w:rsidRPr="006571AC">
        <w:rPr>
          <w:rFonts w:hint="cs"/>
          <w:sz w:val="27"/>
          <w:rtl/>
          <w:lang w:bidi="ar-LB"/>
        </w:rPr>
        <w:t>َ</w:t>
      </w:r>
      <w:r w:rsidRPr="006571AC">
        <w:rPr>
          <w:rFonts w:hint="cs"/>
          <w:sz w:val="27"/>
          <w:rtl/>
          <w:lang w:bidi="ar-LB"/>
        </w:rPr>
        <w:t>س</w:t>
      </w:r>
      <w:r w:rsidR="00746303" w:rsidRPr="006571AC">
        <w:rPr>
          <w:rFonts w:hint="cs"/>
          <w:sz w:val="27"/>
          <w:rtl/>
          <w:lang w:bidi="ar-LB"/>
        </w:rPr>
        <w:t>َ</w:t>
      </w:r>
      <w:r w:rsidRPr="006571AC">
        <w:rPr>
          <w:rFonts w:hint="cs"/>
          <w:sz w:val="27"/>
          <w:rtl/>
          <w:lang w:bidi="ar-LB"/>
        </w:rPr>
        <w:t>ب الواقع</w:t>
      </w:r>
      <w:r w:rsidR="00746303" w:rsidRPr="006571AC">
        <w:rPr>
          <w:rFonts w:hint="cs"/>
          <w:sz w:val="27"/>
          <w:rtl/>
          <w:lang w:bidi="ar-LB"/>
        </w:rPr>
        <w:t>؛</w:t>
      </w:r>
      <w:r w:rsidRPr="006571AC">
        <w:rPr>
          <w:rFonts w:hint="cs"/>
          <w:sz w:val="27"/>
          <w:rtl/>
          <w:lang w:bidi="ar-LB"/>
        </w:rPr>
        <w:t xml:space="preserve"> </w:t>
      </w:r>
      <w:r w:rsidR="00746303" w:rsidRPr="006571AC">
        <w:rPr>
          <w:rFonts w:hint="cs"/>
          <w:sz w:val="27"/>
          <w:rtl/>
          <w:lang w:bidi="ar-LB"/>
        </w:rPr>
        <w:t>إ</w:t>
      </w:r>
      <w:r w:rsidRPr="006571AC">
        <w:rPr>
          <w:rFonts w:hint="cs"/>
          <w:sz w:val="27"/>
          <w:rtl/>
          <w:lang w:bidi="ar-LB"/>
        </w:rPr>
        <w:t>ذ لا مانع حينئذٍ من خلوّ الصلاة من أيّ حكم</w:t>
      </w:r>
      <w:r w:rsidR="00746303" w:rsidRPr="006571AC">
        <w:rPr>
          <w:rFonts w:hint="cs"/>
          <w:sz w:val="27"/>
          <w:rtl/>
          <w:lang w:bidi="ar-LB"/>
        </w:rPr>
        <w:t>ٍ</w:t>
      </w:r>
      <w:r w:rsidRPr="006571AC">
        <w:rPr>
          <w:rFonts w:hint="cs"/>
          <w:sz w:val="27"/>
          <w:rtl/>
          <w:lang w:bidi="ar-LB"/>
        </w:rPr>
        <w:t>؛ لأنّ المكلّ</w:t>
      </w:r>
      <w:r w:rsidR="00746303" w:rsidRPr="006571AC">
        <w:rPr>
          <w:rFonts w:hint="cs"/>
          <w:sz w:val="27"/>
          <w:rtl/>
          <w:lang w:bidi="ar-LB"/>
        </w:rPr>
        <w:t>َ</w:t>
      </w:r>
      <w:r w:rsidRPr="006571AC">
        <w:rPr>
          <w:rFonts w:hint="cs"/>
          <w:sz w:val="27"/>
          <w:rtl/>
          <w:lang w:bidi="ar-LB"/>
        </w:rPr>
        <w:t>ف ليس متحيّ</w:t>
      </w:r>
      <w:r w:rsidR="00746303" w:rsidRPr="006571AC">
        <w:rPr>
          <w:rFonts w:hint="cs"/>
          <w:sz w:val="27"/>
          <w:rtl/>
          <w:lang w:bidi="ar-LB"/>
        </w:rPr>
        <w:t>ِ</w:t>
      </w:r>
      <w:r w:rsidRPr="006571AC">
        <w:rPr>
          <w:rFonts w:hint="cs"/>
          <w:sz w:val="27"/>
          <w:rtl/>
          <w:lang w:bidi="ar-LB"/>
        </w:rPr>
        <w:t>راً في ذلك في مقام العمل، حتّى وإن</w:t>
      </w:r>
      <w:r w:rsidR="00746303" w:rsidRPr="006571AC">
        <w:rPr>
          <w:rFonts w:hint="cs"/>
          <w:sz w:val="27"/>
          <w:rtl/>
          <w:lang w:bidi="ar-LB"/>
        </w:rPr>
        <w:t>ْ</w:t>
      </w:r>
      <w:r w:rsidRPr="006571AC">
        <w:rPr>
          <w:rFonts w:hint="cs"/>
          <w:sz w:val="27"/>
          <w:rtl/>
          <w:lang w:bidi="ar-LB"/>
        </w:rPr>
        <w:t xml:space="preserve"> لم تكن الصلاة محرّ</w:t>
      </w:r>
      <w:r w:rsidR="00746303" w:rsidRPr="006571AC">
        <w:rPr>
          <w:rFonts w:hint="cs"/>
          <w:sz w:val="27"/>
          <w:rtl/>
          <w:lang w:bidi="ar-LB"/>
        </w:rPr>
        <w:t>َ</w:t>
      </w:r>
      <w:r w:rsidRPr="006571AC">
        <w:rPr>
          <w:rFonts w:hint="cs"/>
          <w:sz w:val="27"/>
          <w:rtl/>
          <w:lang w:bidi="ar-LB"/>
        </w:rPr>
        <w:t>مة</w:t>
      </w:r>
      <w:r w:rsidR="00746303" w:rsidRPr="006571AC">
        <w:rPr>
          <w:rFonts w:hint="cs"/>
          <w:sz w:val="27"/>
          <w:rtl/>
          <w:lang w:bidi="ar-LB"/>
        </w:rPr>
        <w:t>ً</w:t>
      </w:r>
      <w:r w:rsidRPr="006571AC">
        <w:rPr>
          <w:rFonts w:hint="cs"/>
          <w:sz w:val="27"/>
          <w:rtl/>
          <w:lang w:bidi="ar-LB"/>
        </w:rPr>
        <w:t xml:space="preserve"> شرعاً</w:t>
      </w:r>
      <w:r w:rsidRPr="006571AC">
        <w:rPr>
          <w:rFonts w:hint="cs"/>
          <w:sz w:val="27"/>
          <w:vertAlign w:val="superscript"/>
          <w:rtl/>
        </w:rPr>
        <w:t>(</w:t>
      </w:r>
      <w:r w:rsidRPr="006571AC">
        <w:rPr>
          <w:rStyle w:val="ac"/>
          <w:sz w:val="27"/>
          <w:rtl/>
        </w:rPr>
        <w:endnoteReference w:id="646"/>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وقد سكت</w:t>
      </w:r>
      <w:r w:rsidR="00746303" w:rsidRPr="006571AC">
        <w:rPr>
          <w:rFonts w:ascii="Mosawi" w:hAnsi="Mosawi" w:cs="Mosawi"/>
          <w:sz w:val="22"/>
          <w:szCs w:val="22"/>
          <w:rtl/>
        </w:rPr>
        <w:t>&amp;</w:t>
      </w:r>
      <w:r w:rsidRPr="006571AC">
        <w:rPr>
          <w:rFonts w:hint="cs"/>
          <w:sz w:val="27"/>
          <w:rtl/>
          <w:lang w:bidi="ar-LB"/>
        </w:rPr>
        <w:t xml:space="preserve"> عن المسألة بهذا المقدار، </w:t>
      </w:r>
      <w:r w:rsidR="00746303" w:rsidRPr="006571AC">
        <w:rPr>
          <w:rFonts w:hint="cs"/>
          <w:sz w:val="27"/>
          <w:rtl/>
          <w:lang w:bidi="ar-LB"/>
        </w:rPr>
        <w:t>وإ</w:t>
      </w:r>
      <w:r w:rsidRPr="006571AC">
        <w:rPr>
          <w:rFonts w:hint="cs"/>
          <w:sz w:val="27"/>
          <w:rtl/>
          <w:lang w:bidi="ar-LB"/>
        </w:rPr>
        <w:t>ن</w:t>
      </w:r>
      <w:r w:rsidR="00746303" w:rsidRPr="006571AC">
        <w:rPr>
          <w:rFonts w:hint="cs"/>
          <w:sz w:val="27"/>
          <w:rtl/>
          <w:lang w:bidi="ar-LB"/>
        </w:rPr>
        <w:t>ْ</w:t>
      </w:r>
      <w:r w:rsidRPr="006571AC">
        <w:rPr>
          <w:rFonts w:hint="cs"/>
          <w:sz w:val="27"/>
          <w:rtl/>
          <w:lang w:bidi="ar-LB"/>
        </w:rPr>
        <w:t xml:space="preserve"> كان الظاهر منه الم</w:t>
      </w:r>
      <w:r w:rsidR="00746303" w:rsidRPr="006571AC">
        <w:rPr>
          <w:rFonts w:hint="cs"/>
          <w:sz w:val="27"/>
          <w:rtl/>
          <w:lang w:bidi="ar-LB"/>
        </w:rPr>
        <w:t>َ</w:t>
      </w:r>
      <w:r w:rsidRPr="006571AC">
        <w:rPr>
          <w:rFonts w:hint="cs"/>
          <w:sz w:val="27"/>
          <w:rtl/>
          <w:lang w:bidi="ar-LB"/>
        </w:rPr>
        <w:t>ي</w:t>
      </w:r>
      <w:r w:rsidR="00746303" w:rsidRPr="006571AC">
        <w:rPr>
          <w:rFonts w:hint="cs"/>
          <w:sz w:val="27"/>
          <w:rtl/>
          <w:lang w:bidi="ar-LB"/>
        </w:rPr>
        <w:t>ْ</w:t>
      </w:r>
      <w:r w:rsidRPr="006571AC">
        <w:rPr>
          <w:rFonts w:hint="cs"/>
          <w:sz w:val="27"/>
          <w:rtl/>
          <w:lang w:bidi="ar-LB"/>
        </w:rPr>
        <w:t xml:space="preserve">ل </w:t>
      </w:r>
      <w:r w:rsidR="00746303" w:rsidRPr="006571AC">
        <w:rPr>
          <w:rFonts w:hint="cs"/>
          <w:sz w:val="27"/>
          <w:rtl/>
          <w:lang w:bidi="ar-LB"/>
        </w:rPr>
        <w:t>إل</w:t>
      </w:r>
      <w:r w:rsidRPr="006571AC">
        <w:rPr>
          <w:rFonts w:hint="cs"/>
          <w:sz w:val="27"/>
          <w:rtl/>
          <w:lang w:bidi="ar-LB"/>
        </w:rPr>
        <w:t>ى الثاني</w:t>
      </w:r>
      <w:r w:rsidR="00746303" w:rsidRPr="006571AC">
        <w:rPr>
          <w:rFonts w:hint="cs"/>
          <w:sz w:val="27"/>
          <w:rtl/>
          <w:lang w:bidi="ar-LB"/>
        </w:rPr>
        <w:t>،</w:t>
      </w:r>
      <w:r w:rsidRPr="006571AC">
        <w:rPr>
          <w:rFonts w:hint="cs"/>
          <w:sz w:val="27"/>
          <w:rtl/>
          <w:lang w:bidi="ar-LB"/>
        </w:rPr>
        <w:t xml:space="preserve"> وأنّه لا ي</w:t>
      </w:r>
      <w:r w:rsidR="00746303" w:rsidRPr="006571AC">
        <w:rPr>
          <w:rFonts w:hint="cs"/>
          <w:sz w:val="27"/>
          <w:rtl/>
          <w:lang w:bidi="ar-LB"/>
        </w:rPr>
        <w:t>ُ</w:t>
      </w:r>
      <w:r w:rsidRPr="006571AC">
        <w:rPr>
          <w:rFonts w:hint="cs"/>
          <w:sz w:val="27"/>
          <w:rtl/>
          <w:lang w:bidi="ar-LB"/>
        </w:rPr>
        <w:t>راد بالقاعدة إلاّ مجر</w:t>
      </w:r>
      <w:r w:rsidR="00746303" w:rsidRPr="006571AC">
        <w:rPr>
          <w:rFonts w:hint="cs"/>
          <w:sz w:val="27"/>
          <w:rtl/>
          <w:lang w:bidi="ar-LB"/>
        </w:rPr>
        <w:t>ّ</w:t>
      </w:r>
      <w:r w:rsidRPr="006571AC">
        <w:rPr>
          <w:rFonts w:hint="cs"/>
          <w:sz w:val="27"/>
          <w:rtl/>
          <w:lang w:bidi="ar-LB"/>
        </w:rPr>
        <w:t>د عدم كون المكلّ</w:t>
      </w:r>
      <w:r w:rsidR="00746303" w:rsidRPr="006571AC">
        <w:rPr>
          <w:rFonts w:hint="cs"/>
          <w:sz w:val="27"/>
          <w:rtl/>
          <w:lang w:bidi="ar-LB"/>
        </w:rPr>
        <w:t>َ</w:t>
      </w:r>
      <w:r w:rsidRPr="006571AC">
        <w:rPr>
          <w:rFonts w:hint="cs"/>
          <w:sz w:val="27"/>
          <w:rtl/>
          <w:lang w:bidi="ar-LB"/>
        </w:rPr>
        <w:t>ف متحيّ</w:t>
      </w:r>
      <w:r w:rsidR="00746303" w:rsidRPr="006571AC">
        <w:rPr>
          <w:rFonts w:hint="cs"/>
          <w:sz w:val="27"/>
          <w:rtl/>
          <w:lang w:bidi="ar-LB"/>
        </w:rPr>
        <w:t>ِ</w:t>
      </w:r>
      <w:r w:rsidRPr="006571AC">
        <w:rPr>
          <w:rFonts w:hint="cs"/>
          <w:sz w:val="27"/>
          <w:rtl/>
          <w:lang w:bidi="ar-LB"/>
        </w:rPr>
        <w:t>راً في مقام العمل بح</w:t>
      </w:r>
      <w:r w:rsidR="00746303" w:rsidRPr="006571AC">
        <w:rPr>
          <w:rFonts w:hint="cs"/>
          <w:sz w:val="27"/>
          <w:rtl/>
          <w:lang w:bidi="ar-LB"/>
        </w:rPr>
        <w:t>َ</w:t>
      </w:r>
      <w:r w:rsidRPr="006571AC">
        <w:rPr>
          <w:rFonts w:hint="cs"/>
          <w:sz w:val="27"/>
          <w:rtl/>
          <w:lang w:bidi="ar-LB"/>
        </w:rPr>
        <w:t>س</w:t>
      </w:r>
      <w:r w:rsidR="00746303" w:rsidRPr="006571AC">
        <w:rPr>
          <w:rFonts w:hint="cs"/>
          <w:sz w:val="27"/>
          <w:rtl/>
          <w:lang w:bidi="ar-LB"/>
        </w:rPr>
        <w:t>َ</w:t>
      </w:r>
      <w:r w:rsidRPr="006571AC">
        <w:rPr>
          <w:rFonts w:hint="cs"/>
          <w:sz w:val="27"/>
          <w:rtl/>
          <w:lang w:bidi="ar-LB"/>
        </w:rPr>
        <w:t xml:space="preserve">ب المواقف الشرعيّة الإلهيّة. </w:t>
      </w:r>
    </w:p>
    <w:p w:rsidR="00172B55" w:rsidRPr="006571AC" w:rsidRDefault="001F3F5A" w:rsidP="002A2E03">
      <w:pPr>
        <w:tabs>
          <w:tab w:val="right" w:pos="6930"/>
        </w:tabs>
        <w:suppressAutoHyphens/>
        <w:rPr>
          <w:sz w:val="27"/>
          <w:rtl/>
          <w:lang w:bidi="ar-LB"/>
        </w:rPr>
      </w:pPr>
      <w:r w:rsidRPr="006571AC">
        <w:rPr>
          <w:rFonts w:hint="cs"/>
          <w:sz w:val="27"/>
          <w:rtl/>
          <w:lang w:bidi="ar-LB"/>
        </w:rPr>
        <w:lastRenderedPageBreak/>
        <w:t xml:space="preserve">وقد ردّ </w:t>
      </w:r>
      <w:r w:rsidR="00746303" w:rsidRPr="006571AC">
        <w:rPr>
          <w:rFonts w:hint="cs"/>
          <w:sz w:val="27"/>
          <w:rtl/>
          <w:lang w:bidi="ar-LB"/>
        </w:rPr>
        <w:t>صاحبُ المنتقى</w:t>
      </w:r>
      <w:r w:rsidR="00746303" w:rsidRPr="006571AC">
        <w:rPr>
          <w:rFonts w:ascii="Mosawi" w:hAnsi="Mosawi" w:cs="Mosawi"/>
          <w:sz w:val="22"/>
          <w:szCs w:val="22"/>
          <w:rtl/>
        </w:rPr>
        <w:t>&amp;</w:t>
      </w:r>
      <w:r w:rsidR="00746303" w:rsidRPr="006571AC">
        <w:rPr>
          <w:rFonts w:hint="cs"/>
          <w:sz w:val="27"/>
          <w:rtl/>
          <w:lang w:bidi="ar-LB"/>
        </w:rPr>
        <w:t xml:space="preserve"> </w:t>
      </w:r>
      <w:r w:rsidRPr="006571AC">
        <w:rPr>
          <w:rFonts w:hint="cs"/>
          <w:sz w:val="27"/>
          <w:rtl/>
          <w:lang w:bidi="ar-LB"/>
        </w:rPr>
        <w:t xml:space="preserve">على هذه الطريقة </w:t>
      </w:r>
      <w:r w:rsidRPr="006571AC">
        <w:rPr>
          <w:sz w:val="27"/>
          <w:rtl/>
          <w:lang w:bidi="ar-LB"/>
        </w:rPr>
        <w:t xml:space="preserve">ـ </w:t>
      </w:r>
      <w:r w:rsidRPr="006571AC">
        <w:rPr>
          <w:rFonts w:hint="cs"/>
          <w:sz w:val="27"/>
          <w:rtl/>
          <w:lang w:bidi="ar-LB"/>
        </w:rPr>
        <w:t>أعني</w:t>
      </w:r>
      <w:r w:rsidR="00746303" w:rsidRPr="006571AC">
        <w:rPr>
          <w:rFonts w:hint="cs"/>
          <w:sz w:val="27"/>
          <w:rtl/>
          <w:lang w:bidi="ar-LB"/>
        </w:rPr>
        <w:t xml:space="preserve"> </w:t>
      </w:r>
      <w:r w:rsidRPr="006571AC">
        <w:rPr>
          <w:rFonts w:hint="cs"/>
          <w:sz w:val="27"/>
          <w:rtl/>
          <w:lang w:bidi="ar-LB"/>
        </w:rPr>
        <w:t xml:space="preserve">التتميم المذكور </w:t>
      </w:r>
      <w:r w:rsidRPr="006571AC">
        <w:rPr>
          <w:sz w:val="27"/>
          <w:rtl/>
          <w:lang w:bidi="ar-LB"/>
        </w:rPr>
        <w:t xml:space="preserve">ـ </w:t>
      </w:r>
      <w:r w:rsidRPr="006571AC">
        <w:rPr>
          <w:rFonts w:hint="cs"/>
          <w:sz w:val="27"/>
          <w:rtl/>
          <w:lang w:bidi="ar-LB"/>
        </w:rPr>
        <w:t>بنفس البيان أيضاً</w:t>
      </w:r>
      <w:r w:rsidRPr="006571AC">
        <w:rPr>
          <w:rFonts w:hint="cs"/>
          <w:sz w:val="27"/>
          <w:vertAlign w:val="superscript"/>
          <w:rtl/>
        </w:rPr>
        <w:t>(</w:t>
      </w:r>
      <w:r w:rsidRPr="006571AC">
        <w:rPr>
          <w:rStyle w:val="ac"/>
          <w:sz w:val="27"/>
          <w:rtl/>
        </w:rPr>
        <w:endnoteReference w:id="647"/>
      </w:r>
      <w:r w:rsidRPr="006571AC">
        <w:rPr>
          <w:rFonts w:hint="cs"/>
          <w:sz w:val="27"/>
          <w:vertAlign w:val="superscript"/>
          <w:rtl/>
        </w:rPr>
        <w:t>)</w:t>
      </w:r>
      <w:r w:rsidR="00172B55"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وكيف كان فالوجه في مبدئي</w:t>
      </w:r>
      <w:r w:rsidR="00172B55" w:rsidRPr="006571AC">
        <w:rPr>
          <w:rFonts w:hint="cs"/>
          <w:sz w:val="27"/>
          <w:rtl/>
          <w:lang w:bidi="ar-LB"/>
        </w:rPr>
        <w:t>ّ</w:t>
      </w:r>
      <w:r w:rsidRPr="006571AC">
        <w:rPr>
          <w:rFonts w:hint="cs"/>
          <w:sz w:val="27"/>
          <w:rtl/>
          <w:lang w:bidi="ar-LB"/>
        </w:rPr>
        <w:t>ة القاعدة لهذه المسألة توقّ</w:t>
      </w:r>
      <w:r w:rsidR="00172B55" w:rsidRPr="006571AC">
        <w:rPr>
          <w:rFonts w:hint="cs"/>
          <w:sz w:val="27"/>
          <w:rtl/>
          <w:lang w:bidi="ar-LB"/>
        </w:rPr>
        <w:t>ُ</w:t>
      </w:r>
      <w:r w:rsidRPr="006571AC">
        <w:rPr>
          <w:rFonts w:hint="cs"/>
          <w:sz w:val="27"/>
          <w:rtl/>
          <w:lang w:bidi="ar-LB"/>
        </w:rPr>
        <w:t>ف البحث فيها على هذه القاعدة، ولو على بعض الأسس والمباني</w:t>
      </w:r>
      <w:r w:rsidR="00172B55" w:rsidRPr="006571AC">
        <w:rPr>
          <w:rFonts w:hint="cs"/>
          <w:sz w:val="27"/>
          <w:rtl/>
          <w:lang w:bidi="ar-LB"/>
        </w:rPr>
        <w:t>،</w:t>
      </w:r>
      <w:r w:rsidRPr="006571AC">
        <w:rPr>
          <w:rFonts w:hint="cs"/>
          <w:sz w:val="27"/>
          <w:rtl/>
          <w:lang w:bidi="ar-LB"/>
        </w:rPr>
        <w:t xml:space="preserve"> كما سبق نظيره. </w:t>
      </w:r>
    </w:p>
    <w:p w:rsidR="005C43CC" w:rsidRPr="006571AC" w:rsidRDefault="00172B55" w:rsidP="002A2E03">
      <w:pPr>
        <w:tabs>
          <w:tab w:val="right" w:pos="6930"/>
        </w:tabs>
        <w:suppressAutoHyphens/>
        <w:rPr>
          <w:sz w:val="27"/>
          <w:rtl/>
          <w:lang w:bidi="ar-LB"/>
        </w:rPr>
      </w:pPr>
      <w:r w:rsidRPr="006571AC">
        <w:rPr>
          <w:rFonts w:hint="cs"/>
          <w:b/>
          <w:bCs/>
          <w:sz w:val="27"/>
          <w:rtl/>
          <w:lang w:bidi="ar-LB"/>
        </w:rPr>
        <w:t>و</w:t>
      </w:r>
      <w:r w:rsidR="001F3F5A" w:rsidRPr="006571AC">
        <w:rPr>
          <w:rFonts w:hint="cs"/>
          <w:b/>
          <w:bCs/>
          <w:sz w:val="27"/>
          <w:rtl/>
          <w:lang w:bidi="ar-LB"/>
        </w:rPr>
        <w:t>ثالثاً</w:t>
      </w:r>
      <w:r w:rsidR="001F3F5A" w:rsidRPr="006571AC">
        <w:rPr>
          <w:rFonts w:hint="cs"/>
          <w:sz w:val="27"/>
          <w:rtl/>
          <w:lang w:bidi="ar-LB"/>
        </w:rPr>
        <w:t>: قاعدة لا ض</w:t>
      </w:r>
      <w:r w:rsidRPr="006571AC">
        <w:rPr>
          <w:rFonts w:hint="cs"/>
          <w:sz w:val="27"/>
          <w:rtl/>
          <w:lang w:bidi="ar-LB"/>
        </w:rPr>
        <w:t>َ</w:t>
      </w:r>
      <w:r w:rsidR="001F3F5A" w:rsidRPr="006571AC">
        <w:rPr>
          <w:rFonts w:hint="cs"/>
          <w:sz w:val="27"/>
          <w:rtl/>
          <w:lang w:bidi="ar-LB"/>
        </w:rPr>
        <w:t>ر</w:t>
      </w:r>
      <w:r w:rsidRPr="006571AC">
        <w:rPr>
          <w:rFonts w:hint="cs"/>
          <w:sz w:val="27"/>
          <w:rtl/>
          <w:lang w:bidi="ar-LB"/>
        </w:rPr>
        <w:t>َ</w:t>
      </w:r>
      <w:r w:rsidR="001F3F5A" w:rsidRPr="006571AC">
        <w:rPr>
          <w:rFonts w:hint="cs"/>
          <w:sz w:val="27"/>
          <w:rtl/>
          <w:lang w:bidi="ar-LB"/>
        </w:rPr>
        <w:t>ر، وهي وإن</w:t>
      </w:r>
      <w:r w:rsidRPr="006571AC">
        <w:rPr>
          <w:rFonts w:hint="cs"/>
          <w:sz w:val="27"/>
          <w:rtl/>
          <w:lang w:bidi="ar-LB"/>
        </w:rPr>
        <w:t>ْ</w:t>
      </w:r>
      <w:r w:rsidR="001F3F5A" w:rsidRPr="006571AC">
        <w:rPr>
          <w:rFonts w:hint="cs"/>
          <w:sz w:val="27"/>
          <w:rtl/>
          <w:lang w:bidi="ar-LB"/>
        </w:rPr>
        <w:t xml:space="preserve"> كانت في الواقع قاعدة</w:t>
      </w:r>
      <w:r w:rsidRPr="006571AC">
        <w:rPr>
          <w:rFonts w:hint="cs"/>
          <w:sz w:val="27"/>
          <w:rtl/>
          <w:lang w:bidi="ar-LB"/>
        </w:rPr>
        <w:t>ً</w:t>
      </w:r>
      <w:r w:rsidR="001F3F5A" w:rsidRPr="006571AC">
        <w:rPr>
          <w:rFonts w:hint="cs"/>
          <w:sz w:val="27"/>
          <w:rtl/>
          <w:lang w:bidi="ar-LB"/>
        </w:rPr>
        <w:t xml:space="preserve"> فقهيّة، إلاّ أنّ المتداول عند الأصحاب ذكرها في علم الأصول على وجه الاستطراد</w:t>
      </w:r>
      <w:r w:rsidR="005C43CC" w:rsidRPr="006571AC">
        <w:rPr>
          <w:rFonts w:hint="cs"/>
          <w:sz w:val="27"/>
          <w:rtl/>
          <w:lang w:bidi="ar-LB"/>
        </w:rPr>
        <w:t>.</w:t>
      </w:r>
    </w:p>
    <w:p w:rsidR="005C43CC" w:rsidRPr="006571AC" w:rsidRDefault="005C43CC" w:rsidP="002A2E03">
      <w:pPr>
        <w:tabs>
          <w:tab w:val="right" w:pos="6930"/>
        </w:tabs>
        <w:suppressAutoHyphens/>
        <w:rPr>
          <w:sz w:val="27"/>
          <w:rtl/>
          <w:lang w:bidi="ar-LB"/>
        </w:rPr>
      </w:pPr>
      <w:r w:rsidRPr="006571AC">
        <w:rPr>
          <w:rFonts w:hint="cs"/>
          <w:sz w:val="27"/>
          <w:rtl/>
          <w:lang w:bidi="ar-LB"/>
        </w:rPr>
        <w:t>وقد استند في إ</w:t>
      </w:r>
      <w:r w:rsidR="001F3F5A" w:rsidRPr="006571AC">
        <w:rPr>
          <w:rFonts w:hint="cs"/>
          <w:sz w:val="27"/>
          <w:rtl/>
          <w:lang w:bidi="ar-LB"/>
        </w:rPr>
        <w:t>ثبات شمولها للأحكام الع</w:t>
      </w:r>
      <w:r w:rsidRPr="006571AC">
        <w:rPr>
          <w:rFonts w:hint="cs"/>
          <w:sz w:val="27"/>
          <w:rtl/>
          <w:lang w:bidi="ar-LB"/>
        </w:rPr>
        <w:t>َ</w:t>
      </w:r>
      <w:r w:rsidR="001F3F5A" w:rsidRPr="006571AC">
        <w:rPr>
          <w:rFonts w:hint="cs"/>
          <w:sz w:val="27"/>
          <w:rtl/>
          <w:lang w:bidi="ar-LB"/>
        </w:rPr>
        <w:t>د</w:t>
      </w:r>
      <w:r w:rsidRPr="006571AC">
        <w:rPr>
          <w:rFonts w:hint="cs"/>
          <w:sz w:val="27"/>
          <w:rtl/>
          <w:lang w:bidi="ar-LB"/>
        </w:rPr>
        <w:t>َ</w:t>
      </w:r>
      <w:r w:rsidR="001F3F5A" w:rsidRPr="006571AC">
        <w:rPr>
          <w:rFonts w:hint="cs"/>
          <w:sz w:val="27"/>
          <w:rtl/>
          <w:lang w:bidi="ar-LB"/>
        </w:rPr>
        <w:t xml:space="preserve">ميّة </w:t>
      </w:r>
      <w:r w:rsidRPr="006571AC">
        <w:rPr>
          <w:rFonts w:hint="cs"/>
          <w:sz w:val="27"/>
          <w:rtl/>
          <w:lang w:bidi="ar-LB"/>
        </w:rPr>
        <w:t>إ</w:t>
      </w:r>
      <w:r w:rsidR="001F3F5A" w:rsidRPr="006571AC">
        <w:rPr>
          <w:rFonts w:hint="cs"/>
          <w:sz w:val="27"/>
          <w:rtl/>
          <w:lang w:bidi="ar-LB"/>
        </w:rPr>
        <w:t>لى قاعدة منع خلوّ الواقع من الحكم</w:t>
      </w:r>
      <w:r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وتوضيح الأمر: </w:t>
      </w:r>
      <w:r w:rsidR="005C43CC" w:rsidRPr="006571AC">
        <w:rPr>
          <w:rFonts w:hint="cs"/>
          <w:sz w:val="27"/>
          <w:rtl/>
          <w:lang w:bidi="ar-LB"/>
        </w:rPr>
        <w:t>إ</w:t>
      </w:r>
      <w:r w:rsidRPr="006571AC">
        <w:rPr>
          <w:rFonts w:hint="cs"/>
          <w:sz w:val="27"/>
          <w:rtl/>
          <w:lang w:bidi="ar-LB"/>
        </w:rPr>
        <w:t>نّه قد اعترض على القول بالتعميم على أساس أنّ الظاهر من أخبار الباب إنّما ه</w:t>
      </w:r>
      <w:r w:rsidR="005C43CC" w:rsidRPr="006571AC">
        <w:rPr>
          <w:rFonts w:hint="cs"/>
          <w:sz w:val="27"/>
          <w:rtl/>
          <w:lang w:bidi="ar-LB"/>
        </w:rPr>
        <w:t>و</w:t>
      </w:r>
      <w:r w:rsidRPr="006571AC">
        <w:rPr>
          <w:rFonts w:hint="cs"/>
          <w:sz w:val="27"/>
          <w:rtl/>
          <w:lang w:bidi="ar-LB"/>
        </w:rPr>
        <w:t xml:space="preserve"> نفي التشريع والحكم الضّ</w:t>
      </w:r>
      <w:r w:rsidR="005C43CC" w:rsidRPr="006571AC">
        <w:rPr>
          <w:rFonts w:hint="cs"/>
          <w:sz w:val="27"/>
          <w:rtl/>
          <w:lang w:bidi="ar-LB"/>
        </w:rPr>
        <w:t>َ</w:t>
      </w:r>
      <w:r w:rsidRPr="006571AC">
        <w:rPr>
          <w:rFonts w:hint="cs"/>
          <w:sz w:val="27"/>
          <w:rtl/>
          <w:lang w:bidi="ar-LB"/>
        </w:rPr>
        <w:t>ر</w:t>
      </w:r>
      <w:r w:rsidR="005C43CC" w:rsidRPr="006571AC">
        <w:rPr>
          <w:rFonts w:hint="cs"/>
          <w:sz w:val="27"/>
          <w:rtl/>
          <w:lang w:bidi="ar-LB"/>
        </w:rPr>
        <w:t>َ</w:t>
      </w:r>
      <w:r w:rsidRPr="006571AC">
        <w:rPr>
          <w:rFonts w:hint="cs"/>
          <w:sz w:val="27"/>
          <w:rtl/>
          <w:lang w:bidi="ar-LB"/>
        </w:rPr>
        <w:t xml:space="preserve">ري، ومن الواضح </w:t>
      </w:r>
      <w:r w:rsidRPr="006571AC">
        <w:rPr>
          <w:sz w:val="27"/>
          <w:rtl/>
          <w:lang w:bidi="ar-LB"/>
        </w:rPr>
        <w:t xml:space="preserve">ـ </w:t>
      </w:r>
      <w:r w:rsidRPr="006571AC">
        <w:rPr>
          <w:rFonts w:hint="cs"/>
          <w:sz w:val="27"/>
          <w:rtl/>
          <w:lang w:bidi="ar-LB"/>
        </w:rPr>
        <w:t xml:space="preserve">كما يقتضيه التقييد بالإسلام </w:t>
      </w:r>
      <w:r w:rsidRPr="006571AC">
        <w:rPr>
          <w:sz w:val="27"/>
          <w:rtl/>
          <w:lang w:bidi="ar-LB"/>
        </w:rPr>
        <w:t xml:space="preserve">ـ </w:t>
      </w:r>
      <w:r w:rsidRPr="006571AC">
        <w:rPr>
          <w:rFonts w:hint="cs"/>
          <w:sz w:val="27"/>
          <w:rtl/>
          <w:lang w:bidi="ar-LB"/>
        </w:rPr>
        <w:t>أنّ العدم ليس بحكم</w:t>
      </w:r>
      <w:r w:rsidR="005C43CC" w:rsidRPr="006571AC">
        <w:rPr>
          <w:rFonts w:hint="cs"/>
          <w:sz w:val="27"/>
          <w:rtl/>
          <w:lang w:bidi="ar-LB"/>
        </w:rPr>
        <w:t>ٍ</w:t>
      </w:r>
      <w:r w:rsidRPr="006571AC">
        <w:rPr>
          <w:rFonts w:hint="cs"/>
          <w:sz w:val="27"/>
          <w:rtl/>
          <w:lang w:bidi="ar-LB"/>
        </w:rPr>
        <w:t xml:space="preserve">، فلا يدخل في موضوع النفي. </w:t>
      </w:r>
    </w:p>
    <w:p w:rsidR="001F3F5A" w:rsidRPr="006571AC" w:rsidRDefault="001F3F5A" w:rsidP="002A2E03">
      <w:pPr>
        <w:tabs>
          <w:tab w:val="right" w:pos="6930"/>
        </w:tabs>
        <w:suppressAutoHyphens/>
        <w:rPr>
          <w:sz w:val="27"/>
          <w:rtl/>
          <w:lang w:bidi="ar-LB"/>
        </w:rPr>
      </w:pPr>
      <w:r w:rsidRPr="006571AC">
        <w:rPr>
          <w:rFonts w:hint="cs"/>
          <w:sz w:val="27"/>
          <w:rtl/>
          <w:lang w:bidi="ar-LB"/>
        </w:rPr>
        <w:t>وقد أجاب عن ذلك بعضهم بأن</w:t>
      </w:r>
      <w:r w:rsidR="005C43CC" w:rsidRPr="006571AC">
        <w:rPr>
          <w:rFonts w:hint="cs"/>
          <w:sz w:val="27"/>
          <w:rtl/>
          <w:lang w:bidi="ar-LB"/>
        </w:rPr>
        <w:t>ّ</w:t>
      </w:r>
      <w:r w:rsidRPr="006571AC">
        <w:rPr>
          <w:rFonts w:hint="cs"/>
          <w:sz w:val="27"/>
          <w:rtl/>
          <w:lang w:bidi="ar-LB"/>
        </w:rPr>
        <w:t xml:space="preserve"> عدم الحكم ي</w:t>
      </w:r>
      <w:r w:rsidR="005C43CC" w:rsidRPr="006571AC">
        <w:rPr>
          <w:rFonts w:hint="cs"/>
          <w:sz w:val="27"/>
          <w:rtl/>
          <w:lang w:bidi="ar-LB"/>
        </w:rPr>
        <w:t>ُ</w:t>
      </w:r>
      <w:r w:rsidRPr="006571AC">
        <w:rPr>
          <w:rFonts w:hint="cs"/>
          <w:sz w:val="27"/>
          <w:rtl/>
          <w:lang w:bidi="ar-LB"/>
        </w:rPr>
        <w:t>ع</w:t>
      </w:r>
      <w:r w:rsidR="005C43CC" w:rsidRPr="006571AC">
        <w:rPr>
          <w:rFonts w:hint="cs"/>
          <w:sz w:val="27"/>
          <w:rtl/>
          <w:lang w:bidi="ar-LB"/>
        </w:rPr>
        <w:t>َ</w:t>
      </w:r>
      <w:r w:rsidRPr="006571AC">
        <w:rPr>
          <w:rFonts w:hint="cs"/>
          <w:sz w:val="27"/>
          <w:rtl/>
          <w:lang w:bidi="ar-LB"/>
        </w:rPr>
        <w:t>دّ عند الع</w:t>
      </w:r>
      <w:r w:rsidR="005C43CC" w:rsidRPr="006571AC">
        <w:rPr>
          <w:rFonts w:hint="cs"/>
          <w:sz w:val="27"/>
          <w:rtl/>
          <w:lang w:bidi="ar-LB"/>
        </w:rPr>
        <w:t>ُ</w:t>
      </w:r>
      <w:r w:rsidRPr="006571AC">
        <w:rPr>
          <w:rFonts w:hint="cs"/>
          <w:sz w:val="27"/>
          <w:rtl/>
          <w:lang w:bidi="ar-LB"/>
        </w:rPr>
        <w:t>ر</w:t>
      </w:r>
      <w:r w:rsidR="005C43CC" w:rsidRPr="006571AC">
        <w:rPr>
          <w:rFonts w:hint="cs"/>
          <w:sz w:val="27"/>
          <w:rtl/>
          <w:lang w:bidi="ar-LB"/>
        </w:rPr>
        <w:t>ْ</w:t>
      </w:r>
      <w:r w:rsidRPr="006571AC">
        <w:rPr>
          <w:rFonts w:hint="cs"/>
          <w:sz w:val="27"/>
          <w:rtl/>
          <w:lang w:bidi="ar-LB"/>
        </w:rPr>
        <w:t>ف رخصة</w:t>
      </w:r>
      <w:r w:rsidR="005C43CC" w:rsidRPr="006571AC">
        <w:rPr>
          <w:rFonts w:hint="cs"/>
          <w:sz w:val="27"/>
          <w:rtl/>
          <w:lang w:bidi="ar-LB"/>
        </w:rPr>
        <w:t>ً وإ</w:t>
      </w:r>
      <w:r w:rsidRPr="006571AC">
        <w:rPr>
          <w:rFonts w:hint="cs"/>
          <w:sz w:val="27"/>
          <w:rtl/>
          <w:lang w:bidi="ar-LB"/>
        </w:rPr>
        <w:t>باحة</w:t>
      </w:r>
      <w:r w:rsidR="005C43CC" w:rsidRPr="006571AC">
        <w:rPr>
          <w:rFonts w:hint="cs"/>
          <w:sz w:val="27"/>
          <w:rtl/>
          <w:lang w:bidi="ar-LB"/>
        </w:rPr>
        <w:t>ً،</w:t>
      </w:r>
      <w:r w:rsidRPr="006571AC">
        <w:rPr>
          <w:rFonts w:hint="cs"/>
          <w:sz w:val="27"/>
          <w:rtl/>
          <w:lang w:bidi="ar-LB"/>
        </w:rPr>
        <w:t xml:space="preserve"> ومن الواضح أنّ الترخيص والإباحة حكم</w:t>
      </w:r>
      <w:r w:rsidR="005C43CC" w:rsidRPr="006571AC">
        <w:rPr>
          <w:rFonts w:hint="cs"/>
          <w:sz w:val="27"/>
          <w:rtl/>
          <w:lang w:bidi="ar-LB"/>
        </w:rPr>
        <w:t>ٌ</w:t>
      </w:r>
      <w:r w:rsidRPr="006571AC">
        <w:rPr>
          <w:rFonts w:hint="cs"/>
          <w:sz w:val="27"/>
          <w:rtl/>
          <w:lang w:bidi="ar-LB"/>
        </w:rPr>
        <w:t xml:space="preserve"> من الأحكام الخمسة، فيدخل في موضوع القاعدة، ثم</w:t>
      </w:r>
      <w:r w:rsidR="005C43CC" w:rsidRPr="006571AC">
        <w:rPr>
          <w:rFonts w:hint="cs"/>
          <w:sz w:val="27"/>
          <w:rtl/>
          <w:lang w:bidi="ar-LB"/>
        </w:rPr>
        <w:t>ّ</w:t>
      </w:r>
      <w:r w:rsidRPr="006571AC">
        <w:rPr>
          <w:rFonts w:hint="cs"/>
          <w:sz w:val="27"/>
          <w:rtl/>
          <w:lang w:bidi="ar-LB"/>
        </w:rPr>
        <w:t xml:space="preserve"> يرتفع بها عن المورد، وينتج من ذلك أن الفعل الفلانيّ ليس بمباح</w:t>
      </w:r>
      <w:r w:rsidR="005C43CC" w:rsidRPr="006571AC">
        <w:rPr>
          <w:rFonts w:hint="cs"/>
          <w:sz w:val="27"/>
          <w:rtl/>
          <w:lang w:bidi="ar-LB"/>
        </w:rPr>
        <w:t>ٍ</w:t>
      </w:r>
      <w:r w:rsidRPr="006571AC">
        <w:rPr>
          <w:rFonts w:hint="cs"/>
          <w:sz w:val="27"/>
          <w:rtl/>
          <w:lang w:bidi="ar-LB"/>
        </w:rPr>
        <w:t>، وبما أنّ الواقعة لا تخلو من حكم</w:t>
      </w:r>
      <w:r w:rsidR="005C43CC" w:rsidRPr="006571AC">
        <w:rPr>
          <w:rFonts w:hint="cs"/>
          <w:sz w:val="27"/>
          <w:rtl/>
          <w:lang w:bidi="ar-LB"/>
        </w:rPr>
        <w:t>ٍ</w:t>
      </w:r>
      <w:r w:rsidRPr="006571AC">
        <w:rPr>
          <w:rFonts w:hint="cs"/>
          <w:sz w:val="27"/>
          <w:rtl/>
          <w:lang w:bidi="ar-LB"/>
        </w:rPr>
        <w:t xml:space="preserve"> كان مقتضى التناسب بين الحكم وموضوعه أن يكون ذاك الفعل محرّ</w:t>
      </w:r>
      <w:r w:rsidR="005C43CC" w:rsidRPr="006571AC">
        <w:rPr>
          <w:rFonts w:hint="cs"/>
          <w:sz w:val="27"/>
          <w:rtl/>
          <w:lang w:bidi="ar-LB"/>
        </w:rPr>
        <w:t>َ</w:t>
      </w:r>
      <w:r w:rsidRPr="006571AC">
        <w:rPr>
          <w:rFonts w:hint="cs"/>
          <w:sz w:val="27"/>
          <w:rtl/>
          <w:lang w:bidi="ar-LB"/>
        </w:rPr>
        <w:t>ماً، وهكذا تستعمل</w:t>
      </w:r>
      <w:r w:rsidR="005C43CC" w:rsidRPr="006571AC">
        <w:rPr>
          <w:rFonts w:hint="cs"/>
          <w:sz w:val="27"/>
          <w:rtl/>
          <w:lang w:bidi="ar-LB"/>
        </w:rPr>
        <w:t xml:space="preserve"> قاعدتنا هذه في إثبات شمول اللا</w:t>
      </w:r>
      <w:r w:rsidR="00532F14" w:rsidRPr="006571AC">
        <w:rPr>
          <w:rFonts w:hint="cs"/>
          <w:sz w:val="27"/>
          <w:rtl/>
          <w:lang w:bidi="ar-LB"/>
        </w:rPr>
        <w:t xml:space="preserve"> </w:t>
      </w:r>
      <w:r w:rsidRPr="006571AC">
        <w:rPr>
          <w:rFonts w:hint="cs"/>
          <w:sz w:val="27"/>
          <w:rtl/>
          <w:lang w:bidi="ar-LB"/>
        </w:rPr>
        <w:t>ض</w:t>
      </w:r>
      <w:r w:rsidR="005C43CC" w:rsidRPr="006571AC">
        <w:rPr>
          <w:rFonts w:hint="cs"/>
          <w:sz w:val="27"/>
          <w:rtl/>
          <w:lang w:bidi="ar-LB"/>
        </w:rPr>
        <w:t>َ</w:t>
      </w:r>
      <w:r w:rsidRPr="006571AC">
        <w:rPr>
          <w:rFonts w:hint="cs"/>
          <w:sz w:val="27"/>
          <w:rtl/>
          <w:lang w:bidi="ar-LB"/>
        </w:rPr>
        <w:t>ر</w:t>
      </w:r>
      <w:r w:rsidR="005C43CC" w:rsidRPr="006571AC">
        <w:rPr>
          <w:rFonts w:hint="cs"/>
          <w:sz w:val="27"/>
          <w:rtl/>
          <w:lang w:bidi="ar-LB"/>
        </w:rPr>
        <w:t>َ</w:t>
      </w:r>
      <w:r w:rsidRPr="006571AC">
        <w:rPr>
          <w:rFonts w:hint="cs"/>
          <w:sz w:val="27"/>
          <w:rtl/>
          <w:lang w:bidi="ar-LB"/>
        </w:rPr>
        <w:t>ر للأحكام الع</w:t>
      </w:r>
      <w:r w:rsidR="00B37556" w:rsidRPr="006571AC">
        <w:rPr>
          <w:rFonts w:hint="cs"/>
          <w:sz w:val="27"/>
          <w:rtl/>
          <w:lang w:bidi="ar-LB"/>
        </w:rPr>
        <w:t>َ</w:t>
      </w:r>
      <w:r w:rsidRPr="006571AC">
        <w:rPr>
          <w:rFonts w:hint="cs"/>
          <w:sz w:val="27"/>
          <w:rtl/>
          <w:lang w:bidi="ar-LB"/>
        </w:rPr>
        <w:t>د</w:t>
      </w:r>
      <w:r w:rsidR="00B37556" w:rsidRPr="006571AC">
        <w:rPr>
          <w:rFonts w:hint="cs"/>
          <w:sz w:val="27"/>
          <w:rtl/>
          <w:lang w:bidi="ar-LB"/>
        </w:rPr>
        <w:t>َ</w:t>
      </w:r>
      <w:r w:rsidRPr="006571AC">
        <w:rPr>
          <w:rFonts w:hint="cs"/>
          <w:sz w:val="27"/>
          <w:rtl/>
          <w:lang w:bidi="ar-LB"/>
        </w:rPr>
        <w:t xml:space="preserve">ميّة. </w:t>
      </w:r>
    </w:p>
    <w:p w:rsidR="001F3F5A" w:rsidRPr="006571AC" w:rsidRDefault="001F3F5A" w:rsidP="002A2E03">
      <w:pPr>
        <w:tabs>
          <w:tab w:val="right" w:pos="6930"/>
        </w:tabs>
        <w:suppressAutoHyphens/>
        <w:rPr>
          <w:sz w:val="27"/>
          <w:rtl/>
          <w:lang w:bidi="ar-LB"/>
        </w:rPr>
      </w:pPr>
      <w:r w:rsidRPr="006571AC">
        <w:rPr>
          <w:rFonts w:hint="cs"/>
          <w:sz w:val="27"/>
          <w:rtl/>
          <w:lang w:bidi="ar-LB"/>
        </w:rPr>
        <w:t>واعترض على ذلك الشهيد الصدر</w:t>
      </w:r>
      <w:r w:rsidR="002A2C90" w:rsidRPr="006571AC">
        <w:rPr>
          <w:rFonts w:ascii="Mosawi" w:hAnsi="Mosawi" w:cs="Mosawi"/>
          <w:sz w:val="22"/>
          <w:szCs w:val="22"/>
          <w:rtl/>
        </w:rPr>
        <w:t>&amp;</w:t>
      </w:r>
      <w:r w:rsidR="005C43CC" w:rsidRPr="006571AC">
        <w:rPr>
          <w:rFonts w:hint="cs"/>
          <w:sz w:val="27"/>
          <w:rtl/>
          <w:lang w:bidi="ar-LB"/>
        </w:rPr>
        <w:t>؛</w:t>
      </w:r>
      <w:r w:rsidRPr="006571AC">
        <w:rPr>
          <w:rFonts w:hint="cs"/>
          <w:sz w:val="27"/>
          <w:rtl/>
          <w:lang w:bidi="ar-LB"/>
        </w:rPr>
        <w:t xml:space="preserve"> </w:t>
      </w:r>
      <w:r w:rsidR="005C43CC" w:rsidRPr="006571AC">
        <w:rPr>
          <w:rFonts w:hint="cs"/>
          <w:sz w:val="27"/>
          <w:rtl/>
          <w:lang w:bidi="ar-LB"/>
        </w:rPr>
        <w:t>إ</w:t>
      </w:r>
      <w:r w:rsidRPr="006571AC">
        <w:rPr>
          <w:rFonts w:hint="cs"/>
          <w:sz w:val="27"/>
          <w:rtl/>
          <w:lang w:bidi="ar-LB"/>
        </w:rPr>
        <w:t>ذ رأى أنّ المقصود</w:t>
      </w:r>
      <w:r w:rsidR="005C43CC" w:rsidRPr="006571AC">
        <w:rPr>
          <w:rFonts w:hint="cs"/>
          <w:sz w:val="27"/>
          <w:rtl/>
          <w:lang w:bidi="ar-LB"/>
        </w:rPr>
        <w:t xml:space="preserve"> بقاعدة نفي الخلوّ ليس إلاّ أنّ</w:t>
      </w:r>
      <w:r w:rsidRPr="006571AC">
        <w:rPr>
          <w:rFonts w:hint="cs"/>
          <w:sz w:val="27"/>
          <w:rtl/>
          <w:lang w:bidi="ar-LB"/>
        </w:rPr>
        <w:t xml:space="preserve"> الشريعة كاملة</w:t>
      </w:r>
      <w:r w:rsidR="005C43CC" w:rsidRPr="006571AC">
        <w:rPr>
          <w:rFonts w:hint="cs"/>
          <w:sz w:val="27"/>
          <w:rtl/>
          <w:lang w:bidi="ar-LB"/>
        </w:rPr>
        <w:t>ٌ</w:t>
      </w:r>
      <w:r w:rsidRPr="006571AC">
        <w:rPr>
          <w:rFonts w:hint="cs"/>
          <w:sz w:val="27"/>
          <w:rtl/>
          <w:lang w:bidi="ar-LB"/>
        </w:rPr>
        <w:t xml:space="preserve"> تام</w:t>
      </w:r>
      <w:r w:rsidR="005C43CC" w:rsidRPr="006571AC">
        <w:rPr>
          <w:rFonts w:hint="cs"/>
          <w:sz w:val="27"/>
          <w:rtl/>
          <w:lang w:bidi="ar-LB"/>
        </w:rPr>
        <w:t>ّ</w:t>
      </w:r>
      <w:r w:rsidRPr="006571AC">
        <w:rPr>
          <w:rFonts w:hint="cs"/>
          <w:sz w:val="27"/>
          <w:rtl/>
          <w:lang w:bidi="ar-LB"/>
        </w:rPr>
        <w:t>ة</w:t>
      </w:r>
      <w:r w:rsidR="005C43CC" w:rsidRPr="006571AC">
        <w:rPr>
          <w:rFonts w:hint="cs"/>
          <w:sz w:val="27"/>
          <w:rtl/>
          <w:lang w:bidi="ar-LB"/>
        </w:rPr>
        <w:t>ٌ،</w:t>
      </w:r>
      <w:r w:rsidRPr="006571AC">
        <w:rPr>
          <w:rFonts w:hint="cs"/>
          <w:sz w:val="27"/>
          <w:rtl/>
          <w:lang w:bidi="ar-LB"/>
        </w:rPr>
        <w:t xml:space="preserve"> ولا نقصان فيها</w:t>
      </w:r>
      <w:r w:rsidR="005C43CC" w:rsidRPr="006571AC">
        <w:rPr>
          <w:rFonts w:hint="cs"/>
          <w:sz w:val="27"/>
          <w:rtl/>
          <w:lang w:bidi="ar-LB"/>
        </w:rPr>
        <w:t>،</w:t>
      </w:r>
      <w:r w:rsidRPr="006571AC">
        <w:rPr>
          <w:rFonts w:hint="cs"/>
          <w:sz w:val="27"/>
          <w:rtl/>
          <w:lang w:bidi="ar-LB"/>
        </w:rPr>
        <w:t xml:space="preserve"> ولا إهمال</w:t>
      </w:r>
      <w:r w:rsidR="005C43CC" w:rsidRPr="006571AC">
        <w:rPr>
          <w:rFonts w:hint="cs"/>
          <w:sz w:val="27"/>
          <w:rtl/>
          <w:lang w:bidi="ar-LB"/>
        </w:rPr>
        <w:t xml:space="preserve">، </w:t>
      </w:r>
      <w:r w:rsidRPr="006571AC">
        <w:rPr>
          <w:rFonts w:hint="cs"/>
          <w:sz w:val="27"/>
          <w:rtl/>
          <w:lang w:bidi="ar-LB"/>
        </w:rPr>
        <w:t>ف</w:t>
      </w:r>
      <w:r w:rsidR="005C43CC" w:rsidRPr="006571AC">
        <w:rPr>
          <w:rFonts w:hint="cs"/>
          <w:sz w:val="27"/>
          <w:rtl/>
          <w:lang w:bidi="ar-LB"/>
        </w:rPr>
        <w:t>ل</w:t>
      </w:r>
      <w:r w:rsidRPr="006571AC">
        <w:rPr>
          <w:rFonts w:hint="cs"/>
          <w:sz w:val="27"/>
          <w:rtl/>
          <w:lang w:bidi="ar-LB"/>
        </w:rPr>
        <w:t>ها في كلّ واقعة</w:t>
      </w:r>
      <w:r w:rsidR="005C43CC" w:rsidRPr="006571AC">
        <w:rPr>
          <w:rFonts w:hint="cs"/>
          <w:sz w:val="27"/>
          <w:rtl/>
          <w:lang w:bidi="ar-LB"/>
        </w:rPr>
        <w:t>ٍ</w:t>
      </w:r>
      <w:r w:rsidRPr="006571AC">
        <w:rPr>
          <w:rFonts w:hint="cs"/>
          <w:sz w:val="27"/>
          <w:rtl/>
          <w:lang w:bidi="ar-LB"/>
        </w:rPr>
        <w:t xml:space="preserve"> موقف</w:t>
      </w:r>
      <w:r w:rsidR="005C43CC" w:rsidRPr="006571AC">
        <w:rPr>
          <w:rFonts w:hint="cs"/>
          <w:sz w:val="27"/>
          <w:rtl/>
          <w:lang w:bidi="ar-LB"/>
        </w:rPr>
        <w:t>ٌ</w:t>
      </w:r>
      <w:r w:rsidRPr="006571AC">
        <w:rPr>
          <w:rFonts w:hint="cs"/>
          <w:sz w:val="27"/>
          <w:rtl/>
          <w:lang w:bidi="ar-LB"/>
        </w:rPr>
        <w:t xml:space="preserve"> خاصّ بها. وهذا أعمّ من الإلزام والترخيص</w:t>
      </w:r>
      <w:r w:rsidR="00E767B0" w:rsidRPr="006571AC">
        <w:rPr>
          <w:rFonts w:hint="cs"/>
          <w:sz w:val="27"/>
          <w:rtl/>
          <w:lang w:bidi="ar-LB"/>
        </w:rPr>
        <w:t>،</w:t>
      </w:r>
      <w:r w:rsidRPr="006571AC">
        <w:rPr>
          <w:rFonts w:hint="cs"/>
          <w:sz w:val="27"/>
          <w:rtl/>
          <w:lang w:bidi="ar-LB"/>
        </w:rPr>
        <w:t xml:space="preserve"> بمعنى عدم الحكم؛ ل</w:t>
      </w:r>
      <w:r w:rsidR="00E767B0" w:rsidRPr="006571AC">
        <w:rPr>
          <w:rFonts w:hint="cs"/>
          <w:sz w:val="27"/>
          <w:rtl/>
          <w:lang w:bidi="ar-LB"/>
        </w:rPr>
        <w:t>أ</w:t>
      </w:r>
      <w:r w:rsidRPr="006571AC">
        <w:rPr>
          <w:rFonts w:hint="cs"/>
          <w:sz w:val="27"/>
          <w:rtl/>
          <w:lang w:bidi="ar-LB"/>
        </w:rPr>
        <w:t>نّ هذا الع</w:t>
      </w:r>
      <w:r w:rsidR="00E767B0" w:rsidRPr="006571AC">
        <w:rPr>
          <w:rFonts w:hint="cs"/>
          <w:sz w:val="27"/>
          <w:rtl/>
          <w:lang w:bidi="ar-LB"/>
        </w:rPr>
        <w:t>َ</w:t>
      </w:r>
      <w:r w:rsidRPr="006571AC">
        <w:rPr>
          <w:rFonts w:hint="cs"/>
          <w:sz w:val="27"/>
          <w:rtl/>
          <w:lang w:bidi="ar-LB"/>
        </w:rPr>
        <w:t>د</w:t>
      </w:r>
      <w:r w:rsidR="00E767B0" w:rsidRPr="006571AC">
        <w:rPr>
          <w:rFonts w:hint="cs"/>
          <w:sz w:val="27"/>
          <w:rtl/>
          <w:lang w:bidi="ar-LB"/>
        </w:rPr>
        <w:t>َ</w:t>
      </w:r>
      <w:r w:rsidRPr="006571AC">
        <w:rPr>
          <w:rFonts w:hint="cs"/>
          <w:sz w:val="27"/>
          <w:rtl/>
          <w:lang w:bidi="ar-LB"/>
        </w:rPr>
        <w:t>م ي</w:t>
      </w:r>
      <w:r w:rsidR="00E767B0" w:rsidRPr="006571AC">
        <w:rPr>
          <w:rFonts w:hint="cs"/>
          <w:sz w:val="27"/>
          <w:rtl/>
          <w:lang w:bidi="ar-LB"/>
        </w:rPr>
        <w:t>ُ</w:t>
      </w:r>
      <w:r w:rsidRPr="006571AC">
        <w:rPr>
          <w:rFonts w:hint="cs"/>
          <w:sz w:val="27"/>
          <w:rtl/>
          <w:lang w:bidi="ar-LB"/>
        </w:rPr>
        <w:t>ع</w:t>
      </w:r>
      <w:r w:rsidR="00E767B0" w:rsidRPr="006571AC">
        <w:rPr>
          <w:rFonts w:hint="cs"/>
          <w:sz w:val="27"/>
          <w:rtl/>
          <w:lang w:bidi="ar-LB"/>
        </w:rPr>
        <w:t>َ</w:t>
      </w:r>
      <w:r w:rsidRPr="006571AC">
        <w:rPr>
          <w:rFonts w:hint="cs"/>
          <w:sz w:val="27"/>
          <w:rtl/>
          <w:lang w:bidi="ar-LB"/>
        </w:rPr>
        <w:t>دّ موقفاً شرعي</w:t>
      </w:r>
      <w:r w:rsidR="00E767B0" w:rsidRPr="006571AC">
        <w:rPr>
          <w:rFonts w:hint="cs"/>
          <w:sz w:val="27"/>
          <w:rtl/>
          <w:lang w:bidi="ar-LB"/>
        </w:rPr>
        <w:t>ّ</w:t>
      </w:r>
      <w:r w:rsidRPr="006571AC">
        <w:rPr>
          <w:rFonts w:hint="cs"/>
          <w:sz w:val="27"/>
          <w:rtl/>
          <w:lang w:bidi="ar-LB"/>
        </w:rPr>
        <w:t>اً أيضاً إذا كان مسبوقاً بال</w:t>
      </w:r>
      <w:r w:rsidR="00E767B0" w:rsidRPr="006571AC">
        <w:rPr>
          <w:rFonts w:hint="cs"/>
          <w:sz w:val="27"/>
          <w:rtl/>
          <w:lang w:bidi="ar-LB"/>
        </w:rPr>
        <w:t>ا</w:t>
      </w:r>
      <w:r w:rsidRPr="006571AC">
        <w:rPr>
          <w:rFonts w:hint="cs"/>
          <w:sz w:val="27"/>
          <w:rtl/>
          <w:lang w:bidi="ar-LB"/>
        </w:rPr>
        <w:t>لتفات، والأدلّة لا تقتضي أكثر من ذلك</w:t>
      </w:r>
      <w:r w:rsidRPr="006571AC">
        <w:rPr>
          <w:rFonts w:hint="cs"/>
          <w:sz w:val="27"/>
          <w:vertAlign w:val="superscript"/>
          <w:rtl/>
        </w:rPr>
        <w:t>(</w:t>
      </w:r>
      <w:r w:rsidRPr="006571AC">
        <w:rPr>
          <w:rStyle w:val="ac"/>
          <w:sz w:val="27"/>
          <w:rtl/>
        </w:rPr>
        <w:endnoteReference w:id="648"/>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أقول</w:t>
      </w:r>
      <w:r w:rsidRPr="006571AC">
        <w:rPr>
          <w:rFonts w:hint="cs"/>
          <w:sz w:val="27"/>
          <w:rtl/>
          <w:lang w:bidi="ar-LB"/>
        </w:rPr>
        <w:t>: ه</w:t>
      </w:r>
      <w:r w:rsidR="00E767B0" w:rsidRPr="006571AC">
        <w:rPr>
          <w:rFonts w:hint="cs"/>
          <w:sz w:val="27"/>
          <w:rtl/>
          <w:lang w:bidi="ar-LB"/>
        </w:rPr>
        <w:t>ا</w:t>
      </w:r>
      <w:r w:rsidRPr="006571AC">
        <w:rPr>
          <w:rFonts w:hint="cs"/>
          <w:sz w:val="27"/>
          <w:rtl/>
          <w:lang w:bidi="ar-LB"/>
        </w:rPr>
        <w:t xml:space="preserve">هنا ملاحظتان: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 تتوجّ</w:t>
      </w:r>
      <w:r w:rsidR="00E767B0" w:rsidRPr="006571AC">
        <w:rPr>
          <w:rFonts w:hint="cs"/>
          <w:sz w:val="27"/>
          <w:rtl/>
          <w:lang w:bidi="ar-LB"/>
        </w:rPr>
        <w:t>َ</w:t>
      </w:r>
      <w:r w:rsidRPr="006571AC">
        <w:rPr>
          <w:rFonts w:hint="cs"/>
          <w:sz w:val="27"/>
          <w:rtl/>
          <w:lang w:bidi="ar-LB"/>
        </w:rPr>
        <w:t xml:space="preserve">ه على أصل هذا المنهج للاستدلال؛ </w:t>
      </w:r>
      <w:r w:rsidR="00E767B0" w:rsidRPr="006571AC">
        <w:rPr>
          <w:rFonts w:hint="cs"/>
          <w:sz w:val="27"/>
          <w:rtl/>
          <w:lang w:bidi="ar-LB"/>
        </w:rPr>
        <w:t>إ</w:t>
      </w:r>
      <w:r w:rsidRPr="006571AC">
        <w:rPr>
          <w:rFonts w:hint="cs"/>
          <w:sz w:val="27"/>
          <w:rtl/>
          <w:lang w:bidi="ar-LB"/>
        </w:rPr>
        <w:t>ذ لا يخلو من غرابة</w:t>
      </w:r>
      <w:r w:rsidR="00E767B0" w:rsidRPr="006571AC">
        <w:rPr>
          <w:rFonts w:hint="cs"/>
          <w:sz w:val="27"/>
          <w:rtl/>
          <w:lang w:bidi="ar-LB"/>
        </w:rPr>
        <w:t>ٍ</w:t>
      </w:r>
      <w:r w:rsidRPr="006571AC">
        <w:rPr>
          <w:rFonts w:hint="cs"/>
          <w:sz w:val="27"/>
          <w:rtl/>
          <w:lang w:bidi="ar-LB"/>
        </w:rPr>
        <w:t xml:space="preserve">؛ </w:t>
      </w:r>
      <w:r w:rsidR="00E767B0" w:rsidRPr="006571AC">
        <w:rPr>
          <w:rFonts w:hint="cs"/>
          <w:sz w:val="27"/>
          <w:rtl/>
          <w:lang w:bidi="ar-LB"/>
        </w:rPr>
        <w:t>وذلك لأنن</w:t>
      </w:r>
      <w:r w:rsidRPr="006571AC">
        <w:rPr>
          <w:rFonts w:hint="cs"/>
          <w:sz w:val="27"/>
          <w:rtl/>
          <w:lang w:bidi="ar-LB"/>
        </w:rPr>
        <w:t xml:space="preserve">ا إذا افترضنا دخول الترخيص في موضوع القاعدة </w:t>
      </w:r>
      <w:r w:rsidR="00E767B0" w:rsidRPr="006571AC">
        <w:rPr>
          <w:rFonts w:hint="cs"/>
          <w:sz w:val="27"/>
          <w:rtl/>
          <w:lang w:bidi="ar-LB"/>
        </w:rPr>
        <w:t xml:space="preserve">ـ </w:t>
      </w:r>
      <w:r w:rsidRPr="006571AC">
        <w:rPr>
          <w:rFonts w:hint="cs"/>
          <w:sz w:val="27"/>
          <w:rtl/>
          <w:lang w:bidi="ar-LB"/>
        </w:rPr>
        <w:t>بعد التسليم بكونه ع</w:t>
      </w:r>
      <w:r w:rsidR="00B37556" w:rsidRPr="006571AC">
        <w:rPr>
          <w:rFonts w:hint="cs"/>
          <w:sz w:val="27"/>
          <w:rtl/>
          <w:lang w:bidi="ar-LB"/>
        </w:rPr>
        <w:t>َ</w:t>
      </w:r>
      <w:r w:rsidRPr="006571AC">
        <w:rPr>
          <w:rFonts w:hint="cs"/>
          <w:sz w:val="27"/>
          <w:rtl/>
          <w:lang w:bidi="ar-LB"/>
        </w:rPr>
        <w:t>د</w:t>
      </w:r>
      <w:r w:rsidR="00B37556" w:rsidRPr="006571AC">
        <w:rPr>
          <w:rFonts w:hint="cs"/>
          <w:sz w:val="27"/>
          <w:rtl/>
          <w:lang w:bidi="ar-LB"/>
        </w:rPr>
        <w:t>َ</w:t>
      </w:r>
      <w:r w:rsidRPr="006571AC">
        <w:rPr>
          <w:rFonts w:hint="cs"/>
          <w:sz w:val="27"/>
          <w:rtl/>
          <w:lang w:bidi="ar-LB"/>
        </w:rPr>
        <w:t xml:space="preserve">ميّاً </w:t>
      </w:r>
      <w:r w:rsidR="00E767B0" w:rsidRPr="006571AC">
        <w:rPr>
          <w:rFonts w:hint="cs"/>
          <w:sz w:val="27"/>
          <w:rtl/>
          <w:lang w:bidi="ar-LB"/>
        </w:rPr>
        <w:t xml:space="preserve">ـ </w:t>
      </w:r>
      <w:r w:rsidRPr="006571AC">
        <w:rPr>
          <w:rFonts w:hint="cs"/>
          <w:sz w:val="27"/>
          <w:rtl/>
          <w:lang w:bidi="ar-LB"/>
        </w:rPr>
        <w:t xml:space="preserve">فلا حاجة بعد ذلك </w:t>
      </w:r>
      <w:r w:rsidR="00E767B0" w:rsidRPr="006571AC">
        <w:rPr>
          <w:rFonts w:hint="cs"/>
          <w:sz w:val="27"/>
          <w:rtl/>
          <w:lang w:bidi="ar-LB"/>
        </w:rPr>
        <w:t>إ</w:t>
      </w:r>
      <w:r w:rsidRPr="006571AC">
        <w:rPr>
          <w:rFonts w:hint="cs"/>
          <w:sz w:val="27"/>
          <w:rtl/>
          <w:lang w:bidi="ar-LB"/>
        </w:rPr>
        <w:t>لى ضمّ قاعدة عدم الخلوّ واستنتاج الحرمة، وبعبارة</w:t>
      </w:r>
      <w:r w:rsidR="00E767B0" w:rsidRPr="006571AC">
        <w:rPr>
          <w:rFonts w:hint="cs"/>
          <w:sz w:val="27"/>
          <w:rtl/>
          <w:lang w:bidi="ar-LB"/>
        </w:rPr>
        <w:t>ٍ</w:t>
      </w:r>
      <w:r w:rsidRPr="006571AC">
        <w:rPr>
          <w:rFonts w:hint="cs"/>
          <w:sz w:val="27"/>
          <w:rtl/>
          <w:lang w:bidi="ar-LB"/>
        </w:rPr>
        <w:t xml:space="preserve"> أخرى: لا د</w:t>
      </w:r>
      <w:r w:rsidR="00E767B0" w:rsidRPr="006571AC">
        <w:rPr>
          <w:rFonts w:hint="cs"/>
          <w:sz w:val="27"/>
          <w:rtl/>
          <w:lang w:bidi="ar-LB"/>
        </w:rPr>
        <w:t>َ</w:t>
      </w:r>
      <w:r w:rsidRPr="006571AC">
        <w:rPr>
          <w:rFonts w:hint="cs"/>
          <w:sz w:val="27"/>
          <w:rtl/>
          <w:lang w:bidi="ar-LB"/>
        </w:rPr>
        <w:t>خ</w:t>
      </w:r>
      <w:r w:rsidR="00E767B0" w:rsidRPr="006571AC">
        <w:rPr>
          <w:rFonts w:hint="cs"/>
          <w:sz w:val="27"/>
          <w:rtl/>
          <w:lang w:bidi="ar-LB"/>
        </w:rPr>
        <w:t>ْ</w:t>
      </w:r>
      <w:r w:rsidRPr="006571AC">
        <w:rPr>
          <w:rFonts w:hint="cs"/>
          <w:sz w:val="27"/>
          <w:rtl/>
          <w:lang w:bidi="ar-LB"/>
        </w:rPr>
        <w:t xml:space="preserve">ل </w:t>
      </w:r>
      <w:r w:rsidRPr="006571AC">
        <w:rPr>
          <w:rFonts w:hint="cs"/>
          <w:sz w:val="27"/>
          <w:rtl/>
          <w:lang w:bidi="ar-LB"/>
        </w:rPr>
        <w:lastRenderedPageBreak/>
        <w:t>لقاعدة عدم الخلوّ في إثبات شمول اللا</w:t>
      </w:r>
      <w:r w:rsidR="00532F14" w:rsidRPr="006571AC">
        <w:rPr>
          <w:rFonts w:hint="cs"/>
          <w:sz w:val="27"/>
          <w:rtl/>
          <w:lang w:bidi="ar-LB"/>
        </w:rPr>
        <w:t xml:space="preserve"> </w:t>
      </w:r>
      <w:r w:rsidRPr="006571AC">
        <w:rPr>
          <w:rFonts w:hint="cs"/>
          <w:sz w:val="27"/>
          <w:rtl/>
          <w:lang w:bidi="ar-LB"/>
        </w:rPr>
        <w:t>ض</w:t>
      </w:r>
      <w:r w:rsidR="00532F14" w:rsidRPr="006571AC">
        <w:rPr>
          <w:rFonts w:hint="cs"/>
          <w:sz w:val="27"/>
          <w:rtl/>
          <w:lang w:bidi="ar-LB"/>
        </w:rPr>
        <w:t>َ</w:t>
      </w:r>
      <w:r w:rsidRPr="006571AC">
        <w:rPr>
          <w:rFonts w:hint="cs"/>
          <w:sz w:val="27"/>
          <w:rtl/>
          <w:lang w:bidi="ar-LB"/>
        </w:rPr>
        <w:t>ر</w:t>
      </w:r>
      <w:r w:rsidR="00532F14" w:rsidRPr="006571AC">
        <w:rPr>
          <w:rFonts w:hint="cs"/>
          <w:sz w:val="27"/>
          <w:rtl/>
          <w:lang w:bidi="ar-LB"/>
        </w:rPr>
        <w:t>َ</w:t>
      </w:r>
      <w:r w:rsidRPr="006571AC">
        <w:rPr>
          <w:rFonts w:hint="cs"/>
          <w:sz w:val="27"/>
          <w:rtl/>
          <w:lang w:bidi="ar-LB"/>
        </w:rPr>
        <w:t>ر للأحكام الع</w:t>
      </w:r>
      <w:r w:rsidR="00E767B0" w:rsidRPr="006571AC">
        <w:rPr>
          <w:rFonts w:hint="cs"/>
          <w:sz w:val="27"/>
          <w:rtl/>
          <w:lang w:bidi="ar-LB"/>
        </w:rPr>
        <w:t>َ</w:t>
      </w:r>
      <w:r w:rsidRPr="006571AC">
        <w:rPr>
          <w:rFonts w:hint="cs"/>
          <w:sz w:val="27"/>
          <w:rtl/>
          <w:lang w:bidi="ar-LB"/>
        </w:rPr>
        <w:t>د</w:t>
      </w:r>
      <w:r w:rsidR="00E767B0" w:rsidRPr="006571AC">
        <w:rPr>
          <w:rFonts w:hint="cs"/>
          <w:sz w:val="27"/>
          <w:rtl/>
          <w:lang w:bidi="ar-LB"/>
        </w:rPr>
        <w:t>َ</w:t>
      </w:r>
      <w:r w:rsidRPr="006571AC">
        <w:rPr>
          <w:rFonts w:hint="cs"/>
          <w:sz w:val="27"/>
          <w:rtl/>
          <w:lang w:bidi="ar-LB"/>
        </w:rPr>
        <w:t>مية إذا افترضنا أنّ الترخيص حكمٌ ع</w:t>
      </w:r>
      <w:r w:rsidR="00E767B0" w:rsidRPr="006571AC">
        <w:rPr>
          <w:rFonts w:hint="cs"/>
          <w:sz w:val="27"/>
          <w:rtl/>
          <w:lang w:bidi="ar-LB"/>
        </w:rPr>
        <w:t>ُ</w:t>
      </w:r>
      <w:r w:rsidRPr="006571AC">
        <w:rPr>
          <w:rFonts w:hint="cs"/>
          <w:sz w:val="27"/>
          <w:rtl/>
          <w:lang w:bidi="ar-LB"/>
        </w:rPr>
        <w:t>ر</w:t>
      </w:r>
      <w:r w:rsidR="00E767B0" w:rsidRPr="006571AC">
        <w:rPr>
          <w:rFonts w:hint="cs"/>
          <w:sz w:val="27"/>
          <w:rtl/>
          <w:lang w:bidi="ar-LB"/>
        </w:rPr>
        <w:t>ْ</w:t>
      </w:r>
      <w:r w:rsidRPr="006571AC">
        <w:rPr>
          <w:rFonts w:hint="cs"/>
          <w:sz w:val="27"/>
          <w:rtl/>
          <w:lang w:bidi="ar-LB"/>
        </w:rPr>
        <w:t>فاً</w:t>
      </w:r>
      <w:r w:rsidR="00E767B0" w:rsidRPr="006571AC">
        <w:rPr>
          <w:rFonts w:hint="cs"/>
          <w:sz w:val="27"/>
          <w:rtl/>
          <w:lang w:bidi="ar-LB"/>
        </w:rPr>
        <w:t>؛</w:t>
      </w:r>
      <w:r w:rsidRPr="006571AC">
        <w:rPr>
          <w:rFonts w:hint="cs"/>
          <w:sz w:val="27"/>
          <w:rtl/>
          <w:lang w:bidi="ar-LB"/>
        </w:rPr>
        <w:t xml:space="preserve"> </w:t>
      </w:r>
      <w:r w:rsidR="00E767B0" w:rsidRPr="006571AC">
        <w:rPr>
          <w:rFonts w:hint="cs"/>
          <w:sz w:val="27"/>
          <w:rtl/>
          <w:lang w:bidi="ar-LB"/>
        </w:rPr>
        <w:t>لأنّ</w:t>
      </w:r>
      <w:r w:rsidRPr="006571AC">
        <w:rPr>
          <w:rFonts w:hint="cs"/>
          <w:sz w:val="27"/>
          <w:rtl/>
          <w:lang w:bidi="ar-LB"/>
        </w:rPr>
        <w:t xml:space="preserve"> المقصود حاصل</w:t>
      </w:r>
      <w:r w:rsidR="00E767B0" w:rsidRPr="006571AC">
        <w:rPr>
          <w:rFonts w:hint="cs"/>
          <w:sz w:val="27"/>
          <w:rtl/>
          <w:lang w:bidi="ar-LB"/>
        </w:rPr>
        <w:t>ٌ</w:t>
      </w:r>
      <w:r w:rsidRPr="006571AC">
        <w:rPr>
          <w:rFonts w:hint="cs"/>
          <w:sz w:val="27"/>
          <w:rtl/>
          <w:lang w:bidi="ar-LB"/>
        </w:rPr>
        <w:t xml:space="preserve"> بنفس هذا الافتراض</w:t>
      </w:r>
      <w:r w:rsidR="00E767B0" w:rsidRPr="006571AC">
        <w:rPr>
          <w:rFonts w:hint="cs"/>
          <w:sz w:val="27"/>
          <w:rtl/>
          <w:lang w:bidi="ar-LB"/>
        </w:rPr>
        <w:t>،</w:t>
      </w:r>
      <w:r w:rsidRPr="006571AC">
        <w:rPr>
          <w:rFonts w:hint="cs"/>
          <w:sz w:val="27"/>
          <w:rtl/>
          <w:lang w:bidi="ar-LB"/>
        </w:rPr>
        <w:t xml:space="preserve"> من دون حاجة</w:t>
      </w:r>
      <w:r w:rsidR="00E767B0" w:rsidRPr="006571AC">
        <w:rPr>
          <w:rFonts w:hint="cs"/>
          <w:sz w:val="27"/>
          <w:rtl/>
          <w:lang w:bidi="ar-LB"/>
        </w:rPr>
        <w:t>ٍ</w:t>
      </w:r>
      <w:r w:rsidRPr="006571AC">
        <w:rPr>
          <w:rFonts w:hint="cs"/>
          <w:sz w:val="27"/>
          <w:rtl/>
          <w:lang w:bidi="ar-LB"/>
        </w:rPr>
        <w:t xml:space="preserve"> </w:t>
      </w:r>
      <w:r w:rsidR="00E767B0" w:rsidRPr="006571AC">
        <w:rPr>
          <w:rFonts w:hint="cs"/>
          <w:sz w:val="27"/>
          <w:rtl/>
          <w:lang w:bidi="ar-LB"/>
        </w:rPr>
        <w:t>إ</w:t>
      </w:r>
      <w:r w:rsidRPr="006571AC">
        <w:rPr>
          <w:rFonts w:hint="cs"/>
          <w:sz w:val="27"/>
          <w:rtl/>
          <w:lang w:bidi="ar-LB"/>
        </w:rPr>
        <w:t xml:space="preserve">لى الاستناد </w:t>
      </w:r>
      <w:r w:rsidR="00E767B0" w:rsidRPr="006571AC">
        <w:rPr>
          <w:rFonts w:hint="cs"/>
          <w:sz w:val="27"/>
          <w:rtl/>
          <w:lang w:bidi="ar-LB"/>
        </w:rPr>
        <w:t>إ</w:t>
      </w:r>
      <w:r w:rsidRPr="006571AC">
        <w:rPr>
          <w:rFonts w:hint="cs"/>
          <w:sz w:val="27"/>
          <w:rtl/>
          <w:lang w:bidi="ar-LB"/>
        </w:rPr>
        <w:t xml:space="preserve">لى عدم الخلوّ. </w:t>
      </w:r>
    </w:p>
    <w:p w:rsidR="001F3F5A" w:rsidRPr="006571AC" w:rsidRDefault="001F3F5A" w:rsidP="002A2E03">
      <w:pPr>
        <w:tabs>
          <w:tab w:val="right" w:pos="6930"/>
        </w:tabs>
        <w:suppressAutoHyphens/>
        <w:rPr>
          <w:sz w:val="27"/>
          <w:rtl/>
          <w:lang w:bidi="ar-LB"/>
        </w:rPr>
      </w:pPr>
      <w:r w:rsidRPr="006571AC">
        <w:rPr>
          <w:rFonts w:hint="cs"/>
          <w:sz w:val="27"/>
          <w:rtl/>
          <w:lang w:bidi="ar-LB"/>
        </w:rPr>
        <w:t>نعم</w:t>
      </w:r>
      <w:r w:rsidR="00E767B0" w:rsidRPr="006571AC">
        <w:rPr>
          <w:rFonts w:hint="cs"/>
          <w:sz w:val="27"/>
          <w:rtl/>
          <w:lang w:bidi="ar-LB"/>
        </w:rPr>
        <w:t>،</w:t>
      </w:r>
      <w:r w:rsidRPr="006571AC">
        <w:rPr>
          <w:rFonts w:hint="cs"/>
          <w:sz w:val="27"/>
          <w:rtl/>
          <w:lang w:bidi="ar-LB"/>
        </w:rPr>
        <w:t xml:space="preserve"> يمكن أن يدفع اعتراض</w:t>
      </w:r>
      <w:r w:rsidR="00E767B0" w:rsidRPr="006571AC">
        <w:rPr>
          <w:rFonts w:hint="cs"/>
          <w:sz w:val="27"/>
          <w:rtl/>
          <w:lang w:bidi="ar-LB"/>
        </w:rPr>
        <w:t>ٌ</w:t>
      </w:r>
      <w:r w:rsidRPr="006571AC">
        <w:rPr>
          <w:rFonts w:hint="cs"/>
          <w:sz w:val="27"/>
          <w:rtl/>
          <w:lang w:bidi="ar-LB"/>
        </w:rPr>
        <w:t xml:space="preserve"> مقدّ</w:t>
      </w:r>
      <w:r w:rsidR="00E767B0" w:rsidRPr="006571AC">
        <w:rPr>
          <w:rFonts w:hint="cs"/>
          <w:sz w:val="27"/>
          <w:rtl/>
          <w:lang w:bidi="ar-LB"/>
        </w:rPr>
        <w:t>َ</w:t>
      </w:r>
      <w:r w:rsidRPr="006571AC">
        <w:rPr>
          <w:rFonts w:hint="cs"/>
          <w:sz w:val="27"/>
          <w:rtl/>
          <w:lang w:bidi="ar-LB"/>
        </w:rPr>
        <w:t>ر</w:t>
      </w:r>
      <w:r w:rsidR="00E767B0" w:rsidRPr="006571AC">
        <w:rPr>
          <w:rFonts w:hint="cs"/>
          <w:sz w:val="27"/>
          <w:rtl/>
          <w:lang w:bidi="ar-LB"/>
        </w:rPr>
        <w:t>،</w:t>
      </w:r>
      <w:r w:rsidRPr="006571AC">
        <w:rPr>
          <w:rFonts w:hint="cs"/>
          <w:sz w:val="27"/>
          <w:rtl/>
          <w:lang w:bidi="ar-LB"/>
        </w:rPr>
        <w:t xml:space="preserve"> وهو أنّ مجرّد ارتفاع الإباحة باللا</w:t>
      </w:r>
      <w:r w:rsidR="00532F14" w:rsidRPr="006571AC">
        <w:rPr>
          <w:rFonts w:hint="cs"/>
          <w:sz w:val="27"/>
          <w:rtl/>
          <w:lang w:bidi="ar-LB"/>
        </w:rPr>
        <w:t xml:space="preserve"> </w:t>
      </w:r>
      <w:r w:rsidRPr="006571AC">
        <w:rPr>
          <w:rFonts w:hint="cs"/>
          <w:sz w:val="27"/>
          <w:rtl/>
          <w:lang w:bidi="ar-LB"/>
        </w:rPr>
        <w:t>ض</w:t>
      </w:r>
      <w:r w:rsidR="00532F14" w:rsidRPr="006571AC">
        <w:rPr>
          <w:rFonts w:hint="cs"/>
          <w:sz w:val="27"/>
          <w:rtl/>
          <w:lang w:bidi="ar-LB"/>
        </w:rPr>
        <w:t>َ</w:t>
      </w:r>
      <w:r w:rsidRPr="006571AC">
        <w:rPr>
          <w:rFonts w:hint="cs"/>
          <w:sz w:val="27"/>
          <w:rtl/>
          <w:lang w:bidi="ar-LB"/>
        </w:rPr>
        <w:t>ر</w:t>
      </w:r>
      <w:r w:rsidR="00532F14" w:rsidRPr="006571AC">
        <w:rPr>
          <w:rFonts w:hint="cs"/>
          <w:sz w:val="27"/>
          <w:rtl/>
          <w:lang w:bidi="ar-LB"/>
        </w:rPr>
        <w:t>َ</w:t>
      </w:r>
      <w:r w:rsidRPr="006571AC">
        <w:rPr>
          <w:rFonts w:hint="cs"/>
          <w:sz w:val="27"/>
          <w:rtl/>
          <w:lang w:bidi="ar-LB"/>
        </w:rPr>
        <w:t>ر لا يعني ثبوت حكم</w:t>
      </w:r>
      <w:r w:rsidR="00532F14" w:rsidRPr="006571AC">
        <w:rPr>
          <w:rFonts w:hint="cs"/>
          <w:sz w:val="27"/>
          <w:rtl/>
          <w:lang w:bidi="ar-LB"/>
        </w:rPr>
        <w:t>ٍ</w:t>
      </w:r>
      <w:r w:rsidRPr="006571AC">
        <w:rPr>
          <w:rFonts w:hint="cs"/>
          <w:sz w:val="27"/>
          <w:rtl/>
          <w:lang w:bidi="ar-LB"/>
        </w:rPr>
        <w:t xml:space="preserve"> آخر</w:t>
      </w:r>
      <w:r w:rsidR="00532F14" w:rsidRPr="006571AC">
        <w:rPr>
          <w:rFonts w:hint="cs"/>
          <w:sz w:val="27"/>
          <w:rtl/>
          <w:lang w:bidi="ar-LB"/>
        </w:rPr>
        <w:t>،</w:t>
      </w:r>
      <w:r w:rsidRPr="006571AC">
        <w:rPr>
          <w:rFonts w:hint="cs"/>
          <w:sz w:val="27"/>
          <w:rtl/>
          <w:lang w:bidi="ar-LB"/>
        </w:rPr>
        <w:t xml:space="preserve"> فلا يبقى حائل</w:t>
      </w:r>
      <w:r w:rsidR="00532F14" w:rsidRPr="006571AC">
        <w:rPr>
          <w:rFonts w:hint="cs"/>
          <w:sz w:val="27"/>
          <w:rtl/>
          <w:lang w:bidi="ar-LB"/>
        </w:rPr>
        <w:t>ٌ</w:t>
      </w:r>
      <w:r w:rsidRPr="006571AC">
        <w:rPr>
          <w:rFonts w:hint="cs"/>
          <w:sz w:val="27"/>
          <w:rtl/>
          <w:lang w:bidi="ar-LB"/>
        </w:rPr>
        <w:t xml:space="preserve"> دون هذا الارتفاع.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ولكنّ الصحيح أنّه لا حاجة مع ذلك </w:t>
      </w:r>
      <w:r w:rsidR="00532F14" w:rsidRPr="006571AC">
        <w:rPr>
          <w:rFonts w:hint="cs"/>
          <w:sz w:val="27"/>
          <w:rtl/>
          <w:lang w:bidi="ar-LB"/>
        </w:rPr>
        <w:t>إ</w:t>
      </w:r>
      <w:r w:rsidRPr="006571AC">
        <w:rPr>
          <w:rFonts w:hint="cs"/>
          <w:sz w:val="27"/>
          <w:rtl/>
          <w:lang w:bidi="ar-LB"/>
        </w:rPr>
        <w:t xml:space="preserve">لى هذه المحاولات؛ </w:t>
      </w:r>
      <w:r w:rsidR="00532F14" w:rsidRPr="006571AC">
        <w:rPr>
          <w:rFonts w:hint="cs"/>
          <w:sz w:val="27"/>
          <w:rtl/>
          <w:lang w:bidi="ar-LB"/>
        </w:rPr>
        <w:t>إ</w:t>
      </w:r>
      <w:r w:rsidRPr="006571AC">
        <w:rPr>
          <w:rFonts w:hint="cs"/>
          <w:sz w:val="27"/>
          <w:rtl/>
          <w:lang w:bidi="ar-LB"/>
        </w:rPr>
        <w:t>ذ لا يتوق</w:t>
      </w:r>
      <w:r w:rsidR="00532F14" w:rsidRPr="006571AC">
        <w:rPr>
          <w:rFonts w:hint="cs"/>
          <w:sz w:val="27"/>
          <w:rtl/>
          <w:lang w:bidi="ar-LB"/>
        </w:rPr>
        <w:t>ّ</w:t>
      </w:r>
      <w:r w:rsidRPr="006571AC">
        <w:rPr>
          <w:rFonts w:hint="cs"/>
          <w:sz w:val="27"/>
          <w:rtl/>
          <w:lang w:bidi="ar-LB"/>
        </w:rPr>
        <w:t>ف ترت</w:t>
      </w:r>
      <w:r w:rsidR="00532F14" w:rsidRPr="006571AC">
        <w:rPr>
          <w:rFonts w:hint="cs"/>
          <w:sz w:val="27"/>
          <w:rtl/>
          <w:lang w:bidi="ar-LB"/>
        </w:rPr>
        <w:t>ُّ</w:t>
      </w:r>
      <w:r w:rsidRPr="006571AC">
        <w:rPr>
          <w:rFonts w:hint="cs"/>
          <w:sz w:val="27"/>
          <w:rtl/>
          <w:lang w:bidi="ar-LB"/>
        </w:rPr>
        <w:t>ب الفائد</w:t>
      </w:r>
      <w:r w:rsidR="00532F14" w:rsidRPr="006571AC">
        <w:rPr>
          <w:rFonts w:hint="cs"/>
          <w:sz w:val="27"/>
          <w:rtl/>
          <w:lang w:bidi="ar-LB"/>
        </w:rPr>
        <w:t>ة والثمرة العملية على إ</w:t>
      </w:r>
      <w:r w:rsidRPr="006571AC">
        <w:rPr>
          <w:rFonts w:hint="cs"/>
          <w:sz w:val="27"/>
          <w:rtl/>
          <w:lang w:bidi="ar-LB"/>
        </w:rPr>
        <w:t>ثبات الحرمة بحدّها للفع</w:t>
      </w:r>
      <w:r w:rsidR="00532F14" w:rsidRPr="006571AC">
        <w:rPr>
          <w:rFonts w:hint="cs"/>
          <w:sz w:val="27"/>
          <w:rtl/>
          <w:lang w:bidi="ar-LB"/>
        </w:rPr>
        <w:t>ل بعد أن انتفى عنه الترخيص والإ</w:t>
      </w:r>
      <w:r w:rsidRPr="006571AC">
        <w:rPr>
          <w:rFonts w:hint="cs"/>
          <w:sz w:val="27"/>
          <w:rtl/>
          <w:lang w:bidi="ar-LB"/>
        </w:rPr>
        <w:t>باحة باللا</w:t>
      </w:r>
      <w:r w:rsidR="00532F14" w:rsidRPr="006571AC">
        <w:rPr>
          <w:rFonts w:hint="cs"/>
          <w:sz w:val="27"/>
          <w:rtl/>
          <w:lang w:bidi="ar-LB"/>
        </w:rPr>
        <w:t xml:space="preserve"> </w:t>
      </w:r>
      <w:r w:rsidRPr="006571AC">
        <w:rPr>
          <w:rFonts w:hint="cs"/>
          <w:sz w:val="27"/>
          <w:rtl/>
          <w:lang w:bidi="ar-LB"/>
        </w:rPr>
        <w:t>ض</w:t>
      </w:r>
      <w:r w:rsidR="00532F14" w:rsidRPr="006571AC">
        <w:rPr>
          <w:rFonts w:hint="cs"/>
          <w:sz w:val="27"/>
          <w:rtl/>
          <w:lang w:bidi="ar-LB"/>
        </w:rPr>
        <w:t>َ</w:t>
      </w:r>
      <w:r w:rsidRPr="006571AC">
        <w:rPr>
          <w:rFonts w:hint="cs"/>
          <w:sz w:val="27"/>
          <w:rtl/>
          <w:lang w:bidi="ar-LB"/>
        </w:rPr>
        <w:t>ر</w:t>
      </w:r>
      <w:r w:rsidR="00532F14" w:rsidRPr="006571AC">
        <w:rPr>
          <w:rFonts w:hint="cs"/>
          <w:sz w:val="27"/>
          <w:rtl/>
          <w:lang w:bidi="ar-LB"/>
        </w:rPr>
        <w:t>َ</w:t>
      </w:r>
      <w:r w:rsidRPr="006571AC">
        <w:rPr>
          <w:rFonts w:hint="cs"/>
          <w:sz w:val="27"/>
          <w:rtl/>
          <w:lang w:bidi="ar-LB"/>
        </w:rPr>
        <w:t xml:space="preserve">ر؛ </w:t>
      </w:r>
      <w:r w:rsidR="00532F14" w:rsidRPr="006571AC">
        <w:rPr>
          <w:rFonts w:hint="cs"/>
          <w:sz w:val="27"/>
          <w:rtl/>
          <w:lang w:bidi="ar-LB"/>
        </w:rPr>
        <w:t>فإنّ ارتفاع الإ</w:t>
      </w:r>
      <w:r w:rsidRPr="006571AC">
        <w:rPr>
          <w:rFonts w:hint="cs"/>
          <w:sz w:val="27"/>
          <w:rtl/>
          <w:lang w:bidi="ar-LB"/>
        </w:rPr>
        <w:t>باحة لا يكفي بنفسه لحكم العقل بالتنجّ</w:t>
      </w:r>
      <w:r w:rsidR="00532F14" w:rsidRPr="006571AC">
        <w:rPr>
          <w:rFonts w:hint="cs"/>
          <w:sz w:val="27"/>
          <w:rtl/>
          <w:lang w:bidi="ar-LB"/>
        </w:rPr>
        <w:t>ُ</w:t>
      </w:r>
      <w:r w:rsidRPr="006571AC">
        <w:rPr>
          <w:rFonts w:hint="cs"/>
          <w:sz w:val="27"/>
          <w:rtl/>
          <w:lang w:bidi="ar-LB"/>
        </w:rPr>
        <w:t xml:space="preserve">ز وفقدان العذر.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تتوجّ</w:t>
      </w:r>
      <w:r w:rsidR="00532F14" w:rsidRPr="006571AC">
        <w:rPr>
          <w:rFonts w:hint="cs"/>
          <w:sz w:val="27"/>
          <w:rtl/>
          <w:lang w:bidi="ar-LB"/>
        </w:rPr>
        <w:t>َ</w:t>
      </w:r>
      <w:r w:rsidRPr="006571AC">
        <w:rPr>
          <w:rFonts w:hint="cs"/>
          <w:sz w:val="27"/>
          <w:rtl/>
          <w:lang w:bidi="ar-LB"/>
        </w:rPr>
        <w:t>ه على ما أفاده الشهيد الصدر</w:t>
      </w:r>
      <w:r w:rsidR="002A2C90" w:rsidRPr="006571AC">
        <w:rPr>
          <w:rFonts w:ascii="Mosawi" w:hAnsi="Mosawi" w:cs="Mosawi"/>
          <w:sz w:val="22"/>
          <w:szCs w:val="22"/>
          <w:rtl/>
        </w:rPr>
        <w:t>&amp;</w:t>
      </w:r>
      <w:r w:rsidRPr="006571AC">
        <w:rPr>
          <w:rFonts w:hint="cs"/>
          <w:sz w:val="27"/>
          <w:rtl/>
          <w:lang w:bidi="ar-LB"/>
        </w:rPr>
        <w:t xml:space="preserve"> </w:t>
      </w:r>
      <w:r w:rsidR="00532F14" w:rsidRPr="006571AC">
        <w:rPr>
          <w:rFonts w:hint="cs"/>
          <w:sz w:val="27"/>
          <w:rtl/>
          <w:lang w:bidi="ar-LB"/>
        </w:rPr>
        <w:t xml:space="preserve">في </w:t>
      </w:r>
      <w:r w:rsidRPr="006571AC">
        <w:rPr>
          <w:rFonts w:hint="cs"/>
          <w:sz w:val="27"/>
          <w:rtl/>
          <w:lang w:bidi="ar-LB"/>
        </w:rPr>
        <w:t>هذا الصدد</w:t>
      </w:r>
      <w:r w:rsidR="00532F14" w:rsidRPr="006571AC">
        <w:rPr>
          <w:rFonts w:hint="cs"/>
          <w:sz w:val="27"/>
          <w:rtl/>
          <w:lang w:bidi="ar-LB"/>
        </w:rPr>
        <w:t>،</w:t>
      </w:r>
      <w:r w:rsidRPr="006571AC">
        <w:rPr>
          <w:rFonts w:hint="cs"/>
          <w:sz w:val="27"/>
          <w:rtl/>
          <w:lang w:bidi="ar-LB"/>
        </w:rPr>
        <w:t xml:space="preserve"> من أنّ المقصود بذلك ليس إلاّ أنّ للشريعة موقفاً تجاه أيّ واقعة</w:t>
      </w:r>
      <w:r w:rsidR="00532F14" w:rsidRPr="006571AC">
        <w:rPr>
          <w:rFonts w:hint="cs"/>
          <w:sz w:val="27"/>
          <w:rtl/>
          <w:lang w:bidi="ar-LB"/>
        </w:rPr>
        <w:t>ٍ</w:t>
      </w:r>
      <w:r w:rsidRPr="006571AC">
        <w:rPr>
          <w:rFonts w:hint="cs"/>
          <w:sz w:val="27"/>
          <w:rtl/>
          <w:lang w:bidi="ar-LB"/>
        </w:rPr>
        <w:t xml:space="preserve"> من وقايع الحياة، وهذا أعمّ من الحكم وعدمه.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وتوضيح الملاحظة: </w:t>
      </w:r>
      <w:r w:rsidR="00532F14" w:rsidRPr="006571AC">
        <w:rPr>
          <w:rFonts w:hint="cs"/>
          <w:sz w:val="27"/>
          <w:rtl/>
          <w:lang w:bidi="ar-LB"/>
        </w:rPr>
        <w:t>إ</w:t>
      </w:r>
      <w:r w:rsidRPr="006571AC">
        <w:rPr>
          <w:rFonts w:hint="cs"/>
          <w:sz w:val="27"/>
          <w:rtl/>
          <w:lang w:bidi="ar-LB"/>
        </w:rPr>
        <w:t>نّ هذا المبدأ إن</w:t>
      </w:r>
      <w:r w:rsidR="00532F14" w:rsidRPr="006571AC">
        <w:rPr>
          <w:rFonts w:hint="cs"/>
          <w:sz w:val="27"/>
          <w:rtl/>
          <w:lang w:bidi="ar-LB"/>
        </w:rPr>
        <w:t>ْ</w:t>
      </w:r>
      <w:r w:rsidRPr="006571AC">
        <w:rPr>
          <w:rFonts w:hint="cs"/>
          <w:sz w:val="27"/>
          <w:rtl/>
          <w:lang w:bidi="ar-LB"/>
        </w:rPr>
        <w:t xml:space="preserve"> كان مبدأ</w:t>
      </w:r>
      <w:r w:rsidR="00532F14" w:rsidRPr="006571AC">
        <w:rPr>
          <w:rFonts w:hint="cs"/>
          <w:sz w:val="27"/>
          <w:rtl/>
          <w:lang w:bidi="ar-LB"/>
        </w:rPr>
        <w:t>ً</w:t>
      </w:r>
      <w:r w:rsidRPr="006571AC">
        <w:rPr>
          <w:rFonts w:hint="cs"/>
          <w:sz w:val="27"/>
          <w:rtl/>
          <w:lang w:bidi="ar-LB"/>
        </w:rPr>
        <w:t xml:space="preserve"> عقلي</w:t>
      </w:r>
      <w:r w:rsidR="00532F14" w:rsidRPr="006571AC">
        <w:rPr>
          <w:rFonts w:hint="cs"/>
          <w:sz w:val="27"/>
          <w:rtl/>
          <w:lang w:bidi="ar-LB"/>
        </w:rPr>
        <w:t>ّ</w:t>
      </w:r>
      <w:r w:rsidRPr="006571AC">
        <w:rPr>
          <w:rFonts w:hint="cs"/>
          <w:sz w:val="27"/>
          <w:rtl/>
          <w:lang w:bidi="ar-LB"/>
        </w:rPr>
        <w:t>اً، فمن الواضح في ضوء ما تقدّم أنّ الواقعة لا تخلو من لبّ الحكم وحقيقته، ولا يعقل خلوّها عن أيّ إرادة</w:t>
      </w:r>
      <w:r w:rsidR="005C31E5" w:rsidRPr="006571AC">
        <w:rPr>
          <w:rFonts w:hint="cs"/>
          <w:sz w:val="27"/>
          <w:rtl/>
          <w:lang w:bidi="ar-LB"/>
        </w:rPr>
        <w:t>ٍ</w:t>
      </w:r>
      <w:r w:rsidRPr="006571AC">
        <w:rPr>
          <w:rFonts w:hint="cs"/>
          <w:sz w:val="27"/>
          <w:rtl/>
          <w:lang w:bidi="ar-LB"/>
        </w:rPr>
        <w:t xml:space="preserve"> أو كراهة</w:t>
      </w:r>
      <w:r w:rsidR="005C31E5" w:rsidRPr="006571AC">
        <w:rPr>
          <w:rFonts w:hint="cs"/>
          <w:sz w:val="27"/>
          <w:rtl/>
          <w:lang w:bidi="ar-LB"/>
        </w:rPr>
        <w:t>ٍ</w:t>
      </w:r>
      <w:r w:rsidRPr="006571AC">
        <w:rPr>
          <w:rFonts w:hint="cs"/>
          <w:sz w:val="27"/>
          <w:rtl/>
          <w:lang w:bidi="ar-LB"/>
        </w:rPr>
        <w:t>، فلا يتصوّ</w:t>
      </w:r>
      <w:r w:rsidR="005C31E5" w:rsidRPr="006571AC">
        <w:rPr>
          <w:rFonts w:hint="cs"/>
          <w:sz w:val="27"/>
          <w:rtl/>
          <w:lang w:bidi="ar-LB"/>
        </w:rPr>
        <w:t>َ</w:t>
      </w:r>
      <w:r w:rsidRPr="006571AC">
        <w:rPr>
          <w:rFonts w:hint="cs"/>
          <w:sz w:val="27"/>
          <w:rtl/>
          <w:lang w:bidi="ar-LB"/>
        </w:rPr>
        <w:t>ر الع</w:t>
      </w:r>
      <w:r w:rsidR="005C31E5" w:rsidRPr="006571AC">
        <w:rPr>
          <w:rFonts w:hint="cs"/>
          <w:sz w:val="27"/>
          <w:rtl/>
          <w:lang w:bidi="ar-LB"/>
        </w:rPr>
        <w:t>َ</w:t>
      </w:r>
      <w:r w:rsidRPr="006571AC">
        <w:rPr>
          <w:rFonts w:hint="cs"/>
          <w:sz w:val="27"/>
          <w:rtl/>
          <w:lang w:bidi="ar-LB"/>
        </w:rPr>
        <w:t>د</w:t>
      </w:r>
      <w:r w:rsidR="005C31E5" w:rsidRPr="006571AC">
        <w:rPr>
          <w:rFonts w:hint="cs"/>
          <w:sz w:val="27"/>
          <w:rtl/>
          <w:lang w:bidi="ar-LB"/>
        </w:rPr>
        <w:t>َ</w:t>
      </w:r>
      <w:r w:rsidRPr="006571AC">
        <w:rPr>
          <w:rFonts w:hint="cs"/>
          <w:sz w:val="27"/>
          <w:rtl/>
          <w:lang w:bidi="ar-LB"/>
        </w:rPr>
        <w:t>م في أيّ واقعة</w:t>
      </w:r>
      <w:r w:rsidR="005C31E5" w:rsidRPr="006571AC">
        <w:rPr>
          <w:rFonts w:hint="cs"/>
          <w:sz w:val="27"/>
          <w:rtl/>
          <w:lang w:bidi="ar-LB"/>
        </w:rPr>
        <w:t>ٍ</w:t>
      </w:r>
      <w:r w:rsidRPr="006571AC">
        <w:rPr>
          <w:rFonts w:hint="cs"/>
          <w:sz w:val="27"/>
          <w:rtl/>
          <w:lang w:bidi="ar-LB"/>
        </w:rPr>
        <w:t xml:space="preserve"> حتى نحتاج الى تفسير الحكم في هذا المبدأ بالموقف، وإن</w:t>
      </w:r>
      <w:r w:rsidR="005C31E5" w:rsidRPr="006571AC">
        <w:rPr>
          <w:rFonts w:hint="cs"/>
          <w:sz w:val="27"/>
          <w:rtl/>
          <w:lang w:bidi="ar-LB"/>
        </w:rPr>
        <w:t>ْ</w:t>
      </w:r>
      <w:r w:rsidRPr="006571AC">
        <w:rPr>
          <w:rFonts w:hint="cs"/>
          <w:sz w:val="27"/>
          <w:rtl/>
          <w:lang w:bidi="ar-LB"/>
        </w:rPr>
        <w:t xml:space="preserve"> كان مبدأ</w:t>
      </w:r>
      <w:r w:rsidR="005C31E5" w:rsidRPr="006571AC">
        <w:rPr>
          <w:rFonts w:hint="cs"/>
          <w:sz w:val="27"/>
          <w:rtl/>
          <w:lang w:bidi="ar-LB"/>
        </w:rPr>
        <w:t>ً</w:t>
      </w:r>
      <w:r w:rsidRPr="006571AC">
        <w:rPr>
          <w:rFonts w:hint="cs"/>
          <w:sz w:val="27"/>
          <w:rtl/>
          <w:lang w:bidi="ar-LB"/>
        </w:rPr>
        <w:t xml:space="preserve"> نقلياً، </w:t>
      </w:r>
      <w:r w:rsidR="005C31E5" w:rsidRPr="006571AC">
        <w:rPr>
          <w:rFonts w:hint="cs"/>
          <w:sz w:val="27"/>
          <w:rtl/>
          <w:lang w:bidi="ar-LB"/>
        </w:rPr>
        <w:t>فبما أنّ</w:t>
      </w:r>
      <w:r w:rsidRPr="006571AC">
        <w:rPr>
          <w:rFonts w:hint="cs"/>
          <w:sz w:val="27"/>
          <w:rtl/>
          <w:lang w:bidi="ar-LB"/>
        </w:rPr>
        <w:t xml:space="preserve"> العمدة من المدارك النقلية ما تقد</w:t>
      </w:r>
      <w:r w:rsidR="005C31E5" w:rsidRPr="006571AC">
        <w:rPr>
          <w:rFonts w:hint="cs"/>
          <w:sz w:val="27"/>
          <w:rtl/>
          <w:lang w:bidi="ar-LB"/>
        </w:rPr>
        <w:t>َّ</w:t>
      </w:r>
      <w:r w:rsidRPr="006571AC">
        <w:rPr>
          <w:rFonts w:hint="cs"/>
          <w:sz w:val="27"/>
          <w:rtl/>
          <w:lang w:bidi="ar-LB"/>
        </w:rPr>
        <w:t xml:space="preserve">م بعنوان: </w:t>
      </w:r>
      <w:r w:rsidRPr="006571AC">
        <w:rPr>
          <w:rFonts w:hint="eastAsia"/>
          <w:sz w:val="24"/>
          <w:szCs w:val="24"/>
          <w:rtl/>
          <w:lang w:bidi="ar-LB"/>
        </w:rPr>
        <w:t>«</w:t>
      </w:r>
      <w:r w:rsidR="005C31E5" w:rsidRPr="006571AC">
        <w:rPr>
          <w:rFonts w:hint="cs"/>
          <w:sz w:val="27"/>
          <w:rtl/>
          <w:lang w:bidi="ar-LB"/>
        </w:rPr>
        <w:t>إ</w:t>
      </w:r>
      <w:r w:rsidRPr="006571AC">
        <w:rPr>
          <w:rFonts w:hint="cs"/>
          <w:sz w:val="27"/>
          <w:rtl/>
          <w:lang w:bidi="ar-LB"/>
        </w:rPr>
        <w:t>ن الله قد جعل لكل</w:t>
      </w:r>
      <w:r w:rsidR="005C31E5" w:rsidRPr="006571AC">
        <w:rPr>
          <w:rFonts w:hint="cs"/>
          <w:sz w:val="27"/>
          <w:rtl/>
          <w:lang w:bidi="ar-LB"/>
        </w:rPr>
        <w:t>ّ</w:t>
      </w:r>
      <w:r w:rsidRPr="006571AC">
        <w:rPr>
          <w:rFonts w:hint="cs"/>
          <w:sz w:val="27"/>
          <w:rtl/>
          <w:lang w:bidi="ar-LB"/>
        </w:rPr>
        <w:t xml:space="preserve"> شيء</w:t>
      </w:r>
      <w:r w:rsidR="005C31E5" w:rsidRPr="006571AC">
        <w:rPr>
          <w:rFonts w:hint="cs"/>
          <w:sz w:val="27"/>
          <w:rtl/>
          <w:lang w:bidi="ar-LB"/>
        </w:rPr>
        <w:t>ٍ</w:t>
      </w:r>
      <w:r w:rsidRPr="006571AC">
        <w:rPr>
          <w:rFonts w:hint="cs"/>
          <w:sz w:val="27"/>
          <w:rtl/>
          <w:lang w:bidi="ar-LB"/>
        </w:rPr>
        <w:t xml:space="preserve"> حدّاً</w:t>
      </w:r>
      <w:r w:rsidRPr="006571AC">
        <w:rPr>
          <w:rFonts w:hint="eastAsia"/>
          <w:sz w:val="24"/>
          <w:szCs w:val="24"/>
          <w:rtl/>
        </w:rPr>
        <w:t>»</w:t>
      </w:r>
      <w:r w:rsidR="005C31E5" w:rsidRPr="006571AC">
        <w:rPr>
          <w:rFonts w:hint="cs"/>
          <w:sz w:val="27"/>
          <w:rtl/>
          <w:lang w:bidi="ar-LB"/>
        </w:rPr>
        <w:t>،</w:t>
      </w:r>
      <w:r w:rsidRPr="006571AC">
        <w:rPr>
          <w:rFonts w:hint="cs"/>
          <w:sz w:val="27"/>
          <w:rtl/>
          <w:lang w:bidi="ar-LB"/>
        </w:rPr>
        <w:t xml:space="preserve"> وأنّ الظاهر من الحدّ هو الحكم</w:t>
      </w:r>
      <w:r w:rsidR="005C31E5" w:rsidRPr="006571AC">
        <w:rPr>
          <w:rFonts w:hint="cs"/>
          <w:sz w:val="27"/>
          <w:rtl/>
          <w:lang w:bidi="ar-LB"/>
        </w:rPr>
        <w:t>،</w:t>
      </w:r>
      <w:r w:rsidRPr="006571AC">
        <w:rPr>
          <w:rFonts w:hint="cs"/>
          <w:sz w:val="27"/>
          <w:rtl/>
          <w:lang w:bidi="ar-LB"/>
        </w:rPr>
        <w:t xml:space="preserve"> كما تقدّ</w:t>
      </w:r>
      <w:r w:rsidR="005C31E5" w:rsidRPr="006571AC">
        <w:rPr>
          <w:rFonts w:hint="cs"/>
          <w:sz w:val="27"/>
          <w:rtl/>
          <w:lang w:bidi="ar-LB"/>
        </w:rPr>
        <w:t>َ</w:t>
      </w:r>
      <w:r w:rsidRPr="006571AC">
        <w:rPr>
          <w:rFonts w:hint="cs"/>
          <w:sz w:val="27"/>
          <w:rtl/>
          <w:lang w:bidi="ar-LB"/>
        </w:rPr>
        <w:t>م، كان المقصود بالحكم ف</w:t>
      </w:r>
      <w:r w:rsidR="005C31E5" w:rsidRPr="006571AC">
        <w:rPr>
          <w:rFonts w:hint="cs"/>
          <w:sz w:val="27"/>
          <w:rtl/>
          <w:lang w:bidi="ar-LB"/>
        </w:rPr>
        <w:t>ي القاعدة خصوص الحكم بمعناه الإ</w:t>
      </w:r>
      <w:r w:rsidRPr="006571AC">
        <w:rPr>
          <w:rFonts w:hint="cs"/>
          <w:sz w:val="27"/>
          <w:rtl/>
          <w:lang w:bidi="ar-LB"/>
        </w:rPr>
        <w:t>ثباتي، وأمّا السلبي فليس من البيّ</w:t>
      </w:r>
      <w:r w:rsidR="005C31E5" w:rsidRPr="006571AC">
        <w:rPr>
          <w:rFonts w:hint="cs"/>
          <w:sz w:val="27"/>
          <w:rtl/>
          <w:lang w:bidi="ar-LB"/>
        </w:rPr>
        <w:t>ِ</w:t>
      </w:r>
      <w:r w:rsidRPr="006571AC">
        <w:rPr>
          <w:rFonts w:hint="cs"/>
          <w:sz w:val="27"/>
          <w:rtl/>
          <w:lang w:bidi="ar-LB"/>
        </w:rPr>
        <w:t>ن ما يبرّ</w:t>
      </w:r>
      <w:r w:rsidR="005C31E5" w:rsidRPr="006571AC">
        <w:rPr>
          <w:rFonts w:hint="cs"/>
          <w:sz w:val="27"/>
          <w:rtl/>
          <w:lang w:bidi="ar-LB"/>
        </w:rPr>
        <w:t>ِ</w:t>
      </w:r>
      <w:r w:rsidRPr="006571AC">
        <w:rPr>
          <w:rFonts w:hint="cs"/>
          <w:sz w:val="27"/>
          <w:rtl/>
          <w:lang w:bidi="ar-LB"/>
        </w:rPr>
        <w:t>ر إطلاق الحدّ عليه، وإن</w:t>
      </w:r>
      <w:r w:rsidR="00A76867" w:rsidRPr="006571AC">
        <w:rPr>
          <w:rFonts w:hint="cs"/>
          <w:sz w:val="27"/>
          <w:rtl/>
          <w:lang w:bidi="ar-LB"/>
        </w:rPr>
        <w:t>ْ</w:t>
      </w:r>
      <w:r w:rsidRPr="006571AC">
        <w:rPr>
          <w:rFonts w:hint="cs"/>
          <w:sz w:val="27"/>
          <w:rtl/>
          <w:lang w:bidi="ar-LB"/>
        </w:rPr>
        <w:t xml:space="preserve"> صحّ إطلاق الموقف عليه إذا كان مسبوقاً بالالتفات. </w:t>
      </w:r>
    </w:p>
    <w:p w:rsidR="001F3F5A" w:rsidRPr="006571AC" w:rsidRDefault="001F3F5A" w:rsidP="002A2E03">
      <w:pPr>
        <w:tabs>
          <w:tab w:val="right" w:pos="6930"/>
        </w:tabs>
        <w:suppressAutoHyphens/>
        <w:rPr>
          <w:sz w:val="27"/>
          <w:rtl/>
          <w:lang w:bidi="ar-LB"/>
        </w:rPr>
      </w:pPr>
      <w:r w:rsidRPr="006571AC">
        <w:rPr>
          <w:rFonts w:hint="cs"/>
          <w:sz w:val="27"/>
          <w:rtl/>
          <w:lang w:bidi="ar-LB"/>
        </w:rPr>
        <w:t>كما أنّ ظاهر كثير</w:t>
      </w:r>
      <w:r w:rsidR="00A76867" w:rsidRPr="006571AC">
        <w:rPr>
          <w:rFonts w:hint="cs"/>
          <w:sz w:val="27"/>
          <w:rtl/>
          <w:lang w:bidi="ar-LB"/>
        </w:rPr>
        <w:t>ٍ</w:t>
      </w:r>
      <w:r w:rsidRPr="006571AC">
        <w:rPr>
          <w:rFonts w:hint="cs"/>
          <w:sz w:val="27"/>
          <w:rtl/>
          <w:lang w:bidi="ar-LB"/>
        </w:rPr>
        <w:t xml:space="preserve"> من التعابير ذلك أيضاً، كقولهم</w:t>
      </w:r>
      <w:r w:rsidR="002A2C90"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فيه كتاب</w:t>
      </w:r>
      <w:r w:rsidR="00A76867" w:rsidRPr="006571AC">
        <w:rPr>
          <w:rFonts w:hint="cs"/>
          <w:sz w:val="27"/>
          <w:rtl/>
          <w:lang w:bidi="ar-LB"/>
        </w:rPr>
        <w:t>ٌ</w:t>
      </w:r>
      <w:r w:rsidRPr="006571AC">
        <w:rPr>
          <w:rFonts w:hint="cs"/>
          <w:sz w:val="27"/>
          <w:rtl/>
          <w:lang w:bidi="ar-LB"/>
        </w:rPr>
        <w:t xml:space="preserve"> أو س</w:t>
      </w:r>
      <w:r w:rsidR="00A76867" w:rsidRPr="006571AC">
        <w:rPr>
          <w:rFonts w:hint="cs"/>
          <w:sz w:val="27"/>
          <w:rtl/>
          <w:lang w:bidi="ar-LB"/>
        </w:rPr>
        <w:t>ُ</w:t>
      </w:r>
      <w:r w:rsidRPr="006571AC">
        <w:rPr>
          <w:rFonts w:hint="cs"/>
          <w:sz w:val="27"/>
          <w:rtl/>
          <w:lang w:bidi="ar-LB"/>
        </w:rPr>
        <w:t>ن</w:t>
      </w:r>
      <w:r w:rsidR="00A76867" w:rsidRPr="006571AC">
        <w:rPr>
          <w:rFonts w:hint="cs"/>
          <w:sz w:val="27"/>
          <w:rtl/>
          <w:lang w:bidi="ar-LB"/>
        </w:rPr>
        <w:t>ّ</w:t>
      </w:r>
      <w:r w:rsidRPr="006571AC">
        <w:rPr>
          <w:rFonts w:hint="cs"/>
          <w:sz w:val="27"/>
          <w:rtl/>
          <w:lang w:bidi="ar-LB"/>
        </w:rPr>
        <w:t>ة</w:t>
      </w:r>
      <w:r w:rsidR="00A76867" w:rsidRPr="006571AC">
        <w:rPr>
          <w:rFonts w:hint="cs"/>
          <w:sz w:val="27"/>
          <w:rtl/>
          <w:lang w:bidi="ar-LB"/>
        </w:rPr>
        <w:t>ٌ</w:t>
      </w:r>
      <w:r w:rsidRPr="006571AC">
        <w:rPr>
          <w:rFonts w:hint="eastAsia"/>
          <w:sz w:val="24"/>
          <w:szCs w:val="24"/>
          <w:rtl/>
        </w:rPr>
        <w:t>»</w:t>
      </w:r>
      <w:r w:rsidRPr="006571AC">
        <w:rPr>
          <w:rFonts w:hint="cs"/>
          <w:sz w:val="27"/>
          <w:rtl/>
          <w:lang w:bidi="ar-LB"/>
        </w:rPr>
        <w:t xml:space="preserve">، </w:t>
      </w:r>
      <w:r w:rsidR="00A76867" w:rsidRPr="006571AC">
        <w:rPr>
          <w:rFonts w:hint="cs"/>
          <w:sz w:val="27"/>
          <w:rtl/>
          <w:lang w:bidi="ar-LB"/>
        </w:rPr>
        <w:t>و</w:t>
      </w:r>
      <w:r w:rsidRPr="006571AC">
        <w:rPr>
          <w:rFonts w:hint="eastAsia"/>
          <w:sz w:val="24"/>
          <w:szCs w:val="24"/>
          <w:rtl/>
          <w:lang w:bidi="ar-LB"/>
        </w:rPr>
        <w:t>«</w:t>
      </w:r>
      <w:r w:rsidRPr="006571AC">
        <w:rPr>
          <w:rFonts w:hint="cs"/>
          <w:sz w:val="27"/>
          <w:rtl/>
          <w:lang w:bidi="ar-LB"/>
        </w:rPr>
        <w:t>أنزل في القرآن تبيانُ كلّ شيء</w:t>
      </w:r>
      <w:r w:rsidR="00A76867" w:rsidRPr="006571AC">
        <w:rPr>
          <w:rFonts w:hint="cs"/>
          <w:sz w:val="27"/>
          <w:rtl/>
          <w:lang w:bidi="ar-LB"/>
        </w:rPr>
        <w:t>ٍ</w:t>
      </w:r>
      <w:r w:rsidRPr="006571AC">
        <w:rPr>
          <w:rFonts w:hint="eastAsia"/>
          <w:sz w:val="24"/>
          <w:szCs w:val="24"/>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وبيّ</w:t>
      </w:r>
      <w:r w:rsidR="00A76867" w:rsidRPr="006571AC">
        <w:rPr>
          <w:rFonts w:hint="cs"/>
          <w:sz w:val="27"/>
          <w:rtl/>
          <w:lang w:bidi="ar-LB"/>
        </w:rPr>
        <w:t>َ</w:t>
      </w:r>
      <w:r w:rsidRPr="006571AC">
        <w:rPr>
          <w:rFonts w:hint="cs"/>
          <w:sz w:val="27"/>
          <w:rtl/>
          <w:lang w:bidi="ar-LB"/>
        </w:rPr>
        <w:t>نه لرسوله</w:t>
      </w:r>
      <w:r w:rsidRPr="006571AC">
        <w:rPr>
          <w:rFonts w:hint="eastAsia"/>
          <w:sz w:val="24"/>
          <w:szCs w:val="24"/>
          <w:rtl/>
        </w:rPr>
        <w:t>»</w:t>
      </w:r>
      <w:r w:rsidR="00A76867" w:rsidRPr="006571AC">
        <w:rPr>
          <w:rFonts w:hint="cs"/>
          <w:sz w:val="27"/>
          <w:rtl/>
          <w:lang w:bidi="ar-LB"/>
        </w:rPr>
        <w:t xml:space="preserve">؛ </w:t>
      </w:r>
      <w:r w:rsidRPr="006571AC">
        <w:rPr>
          <w:rFonts w:hint="cs"/>
          <w:sz w:val="27"/>
          <w:rtl/>
          <w:lang w:bidi="ar-LB"/>
        </w:rPr>
        <w:t>إذ لا يخفى ظهورها في الأمور الوجودية، لا في مجر</w:t>
      </w:r>
      <w:r w:rsidR="00A76867" w:rsidRPr="006571AC">
        <w:rPr>
          <w:rFonts w:hint="cs"/>
          <w:sz w:val="27"/>
          <w:rtl/>
          <w:lang w:bidi="ar-LB"/>
        </w:rPr>
        <w:t>ّ</w:t>
      </w:r>
      <w:r w:rsidRPr="006571AC">
        <w:rPr>
          <w:rFonts w:hint="cs"/>
          <w:sz w:val="27"/>
          <w:rtl/>
          <w:lang w:bidi="ar-LB"/>
        </w:rPr>
        <w:t>د عدم الحكم، وإن</w:t>
      </w:r>
      <w:r w:rsidR="00A76867" w:rsidRPr="006571AC">
        <w:rPr>
          <w:rFonts w:hint="cs"/>
          <w:sz w:val="27"/>
          <w:rtl/>
          <w:lang w:bidi="ar-LB"/>
        </w:rPr>
        <w:t>ْ</w:t>
      </w:r>
      <w:r w:rsidRPr="006571AC">
        <w:rPr>
          <w:rFonts w:hint="cs"/>
          <w:sz w:val="27"/>
          <w:rtl/>
          <w:lang w:bidi="ar-LB"/>
        </w:rPr>
        <w:t xml:space="preserve"> كان مسبوقاً بالالتفات. </w:t>
      </w:r>
    </w:p>
    <w:p w:rsidR="001F3F5A" w:rsidRPr="006571AC" w:rsidRDefault="001F3F5A" w:rsidP="002A2E03">
      <w:pPr>
        <w:tabs>
          <w:tab w:val="right" w:pos="6930"/>
        </w:tabs>
        <w:suppressAutoHyphens/>
        <w:rPr>
          <w:sz w:val="27"/>
          <w:rtl/>
          <w:lang w:bidi="ar-LB"/>
        </w:rPr>
      </w:pPr>
      <w:r w:rsidRPr="006571AC">
        <w:rPr>
          <w:rFonts w:hint="cs"/>
          <w:sz w:val="27"/>
          <w:rtl/>
          <w:lang w:bidi="ar-LB"/>
        </w:rPr>
        <w:t>وهناك مواضع</w:t>
      </w:r>
      <w:r w:rsidR="00A76867" w:rsidRPr="006571AC">
        <w:rPr>
          <w:rFonts w:hint="cs"/>
          <w:sz w:val="27"/>
          <w:rtl/>
          <w:lang w:bidi="ar-LB"/>
        </w:rPr>
        <w:t>ُ</w:t>
      </w:r>
      <w:r w:rsidRPr="006571AC">
        <w:rPr>
          <w:rFonts w:hint="cs"/>
          <w:sz w:val="27"/>
          <w:rtl/>
          <w:lang w:bidi="ar-LB"/>
        </w:rPr>
        <w:t xml:space="preserve"> أخرى قد ي</w:t>
      </w:r>
      <w:r w:rsidR="00A76867" w:rsidRPr="006571AC">
        <w:rPr>
          <w:rFonts w:hint="cs"/>
          <w:sz w:val="27"/>
          <w:rtl/>
          <w:lang w:bidi="ar-LB"/>
        </w:rPr>
        <w:t>ُ</w:t>
      </w:r>
      <w:r w:rsidRPr="006571AC">
        <w:rPr>
          <w:rFonts w:hint="cs"/>
          <w:sz w:val="27"/>
          <w:rtl/>
          <w:lang w:bidi="ar-LB"/>
        </w:rPr>
        <w:t>ستعان فيها بهذه القاعدة تظهر بالفحص والتأم</w:t>
      </w:r>
      <w:r w:rsidR="00A76867" w:rsidRPr="006571AC">
        <w:rPr>
          <w:rFonts w:hint="cs"/>
          <w:sz w:val="27"/>
          <w:rtl/>
          <w:lang w:bidi="ar-LB"/>
        </w:rPr>
        <w:t>ُّ</w:t>
      </w:r>
      <w:r w:rsidRPr="006571AC">
        <w:rPr>
          <w:rFonts w:hint="cs"/>
          <w:sz w:val="27"/>
          <w:rtl/>
          <w:lang w:bidi="ar-LB"/>
        </w:rPr>
        <w:t xml:space="preserve">ل. </w:t>
      </w:r>
    </w:p>
    <w:p w:rsidR="001F3F5A" w:rsidRPr="006571AC" w:rsidRDefault="001F3F5A" w:rsidP="002A2E03">
      <w:pPr>
        <w:tabs>
          <w:tab w:val="right" w:pos="6930"/>
        </w:tabs>
        <w:suppressAutoHyphens/>
        <w:rPr>
          <w:sz w:val="27"/>
          <w:rtl/>
          <w:lang w:bidi="ar-LB"/>
        </w:rPr>
      </w:pPr>
      <w:r w:rsidRPr="006571AC">
        <w:rPr>
          <w:rFonts w:hint="cs"/>
          <w:sz w:val="27"/>
          <w:rtl/>
          <w:lang w:bidi="ar-LB"/>
        </w:rPr>
        <w:t>وبهذا نختتم الكلام على قاعدة (عدم خلوّ الواقع من الحكم)</w:t>
      </w:r>
      <w:r w:rsidR="00A76867" w:rsidRPr="006571AC">
        <w:rPr>
          <w:rFonts w:hint="cs"/>
          <w:sz w:val="27"/>
          <w:rtl/>
          <w:lang w:bidi="ar-LB"/>
        </w:rPr>
        <w:t>،</w:t>
      </w:r>
      <w:r w:rsidRPr="006571AC">
        <w:rPr>
          <w:rFonts w:hint="cs"/>
          <w:sz w:val="27"/>
          <w:rtl/>
          <w:lang w:bidi="ar-LB"/>
        </w:rPr>
        <w:t xml:space="preserve"> راجين من الله سبحانه ما هو أهله، وآخر د</w:t>
      </w:r>
      <w:r w:rsidR="00A76867" w:rsidRPr="006571AC">
        <w:rPr>
          <w:rFonts w:hint="cs"/>
          <w:sz w:val="27"/>
          <w:rtl/>
          <w:lang w:bidi="ar-LB"/>
        </w:rPr>
        <w:t>ع</w:t>
      </w:r>
      <w:r w:rsidRPr="006571AC">
        <w:rPr>
          <w:rFonts w:hint="cs"/>
          <w:sz w:val="27"/>
          <w:rtl/>
          <w:lang w:bidi="ar-LB"/>
        </w:rPr>
        <w:t>وانا أن الحمد لله رب</w:t>
      </w:r>
      <w:r w:rsidR="00A76867" w:rsidRPr="006571AC">
        <w:rPr>
          <w:rFonts w:hint="cs"/>
          <w:sz w:val="27"/>
          <w:rtl/>
          <w:lang w:bidi="ar-LB"/>
        </w:rPr>
        <w:t>ّ</w:t>
      </w:r>
      <w:r w:rsidRPr="006571AC">
        <w:rPr>
          <w:rFonts w:hint="cs"/>
          <w:sz w:val="27"/>
          <w:rtl/>
          <w:lang w:bidi="ar-LB"/>
        </w:rPr>
        <w:t xml:space="preserve"> العالمين. </w:t>
      </w: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lastRenderedPageBreak/>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125"/>
          <w:headerReference w:type="default" r:id="rId126"/>
          <w:footerReference w:type="even" r:id="rId127"/>
          <w:footerReference w:type="default" r:id="rId12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129"/>
          <w:headerReference w:type="default" r:id="rId130"/>
          <w:footerReference w:type="even" r:id="rId131"/>
          <w:footerReference w:type="default" r:id="rId132"/>
          <w:headerReference w:type="first" r:id="rId13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DD301A">
      <w:pPr>
        <w:spacing w:line="440" w:lineRule="exact"/>
        <w:rPr>
          <w:rtl/>
        </w:rPr>
      </w:pPr>
    </w:p>
    <w:p w:rsidR="00E83C22" w:rsidRPr="006571AC" w:rsidRDefault="00E83C22" w:rsidP="00DD301A">
      <w:pPr>
        <w:spacing w:line="420" w:lineRule="exact"/>
        <w:rPr>
          <w:rtl/>
        </w:rPr>
      </w:pPr>
    </w:p>
    <w:p w:rsidR="00236494" w:rsidRPr="006571AC" w:rsidRDefault="00236494" w:rsidP="00236494">
      <w:pPr>
        <w:pStyle w:val="10"/>
        <w:spacing w:line="216" w:lineRule="auto"/>
        <w:rPr>
          <w:rtl/>
          <w:lang w:bidi="ar-LB"/>
        </w:rPr>
      </w:pPr>
      <w:bookmarkStart w:id="396" w:name="_Toc87011488"/>
      <w:bookmarkStart w:id="397" w:name="_Toc114164808"/>
      <w:bookmarkStart w:id="398" w:name="_Toc52453158"/>
      <w:r w:rsidRPr="006571AC">
        <w:rPr>
          <w:rFonts w:hint="cs"/>
          <w:rtl/>
          <w:lang w:bidi="ar-LB"/>
        </w:rPr>
        <w:t>قاعدة التسامح في أدلّة السُّنَن</w:t>
      </w:r>
      <w:bookmarkEnd w:id="396"/>
      <w:bookmarkEnd w:id="397"/>
    </w:p>
    <w:p w:rsidR="00236494" w:rsidRPr="006571AC" w:rsidRDefault="00236494" w:rsidP="00236494">
      <w:pPr>
        <w:pStyle w:val="10"/>
        <w:spacing w:line="216" w:lineRule="auto"/>
        <w:rPr>
          <w:sz w:val="26"/>
          <w:szCs w:val="42"/>
          <w:rtl/>
        </w:rPr>
      </w:pPr>
      <w:bookmarkStart w:id="399" w:name="_Toc87011489"/>
      <w:bookmarkStart w:id="400" w:name="_Toc114164809"/>
      <w:r w:rsidRPr="006571AC">
        <w:rPr>
          <w:rFonts w:hint="cs"/>
          <w:sz w:val="26"/>
          <w:szCs w:val="42"/>
          <w:rtl/>
          <w:lang w:bidi="ar-LB"/>
        </w:rPr>
        <w:t>ودَوْرها في تسرُّب الموضوعات</w:t>
      </w:r>
      <w:bookmarkEnd w:id="399"/>
      <w:bookmarkEnd w:id="400"/>
    </w:p>
    <w:p w:rsidR="00236494" w:rsidRPr="006571AC" w:rsidRDefault="00236494" w:rsidP="00DD301A">
      <w:pPr>
        <w:spacing w:line="240" w:lineRule="auto"/>
        <w:ind w:firstLine="0"/>
        <w:jc w:val="center"/>
        <w:rPr>
          <w:rFonts w:cs="Ya-Ali"/>
          <w:sz w:val="32"/>
          <w:szCs w:val="31"/>
          <w:rtl/>
        </w:rPr>
      </w:pPr>
      <w:r w:rsidRPr="006571AC">
        <w:rPr>
          <w:rFonts w:cs="Ya-Ali" w:hint="cs"/>
          <w:sz w:val="32"/>
          <w:szCs w:val="31"/>
          <w:rtl/>
        </w:rPr>
        <w:t>ـ القسم الثاني ـ</w:t>
      </w:r>
    </w:p>
    <w:p w:rsidR="00236494" w:rsidRPr="006571AC" w:rsidRDefault="00236494" w:rsidP="00236494">
      <w:pPr>
        <w:rPr>
          <w:rtl/>
        </w:rPr>
      </w:pPr>
    </w:p>
    <w:p w:rsidR="00236494" w:rsidRPr="006571AC" w:rsidRDefault="00236494" w:rsidP="00236494">
      <w:pPr>
        <w:pStyle w:val="Author"/>
        <w:rPr>
          <w:rtl/>
        </w:rPr>
      </w:pPr>
      <w:bookmarkStart w:id="401" w:name="_Toc87011490"/>
      <w:r w:rsidRPr="006571AC">
        <w:rPr>
          <w:rFonts w:hint="cs"/>
          <w:rtl/>
          <w:lang w:bidi="ar-LB"/>
        </w:rPr>
        <w:t>د. الشيخ حسين الخشن</w:t>
      </w:r>
      <w:r w:rsidRPr="006571AC">
        <w:rPr>
          <w:rFonts w:cs="Taher" w:hint="cs"/>
          <w:vertAlign w:val="superscript"/>
          <w:rtl/>
        </w:rPr>
        <w:t>(</w:t>
      </w:r>
      <w:r w:rsidRPr="006571AC">
        <w:rPr>
          <w:rFonts w:cs="Taher"/>
          <w:vertAlign w:val="superscript"/>
          <w:rtl/>
        </w:rPr>
        <w:footnoteReference w:customMarkFollows="1" w:id="17"/>
        <w:t>*)</w:t>
      </w:r>
      <w:bookmarkEnd w:id="401"/>
    </w:p>
    <w:p w:rsidR="00236494" w:rsidRPr="006571AC" w:rsidRDefault="00236494" w:rsidP="00236494">
      <w:pPr>
        <w:rPr>
          <w:rtl/>
        </w:rPr>
      </w:pPr>
    </w:p>
    <w:p w:rsidR="009B65D5" w:rsidRPr="006571AC" w:rsidRDefault="0035540A" w:rsidP="0035540A">
      <w:pPr>
        <w:pStyle w:val="31"/>
        <w:rPr>
          <w:rFonts w:eastAsia="Calibri"/>
          <w:color w:val="auto"/>
          <w:rtl/>
          <w:lang w:bidi="ar-LB"/>
        </w:rPr>
      </w:pPr>
      <w:bookmarkStart w:id="402" w:name="_Toc114164810"/>
      <w:bookmarkEnd w:id="398"/>
      <w:r w:rsidRPr="006571AC">
        <w:rPr>
          <w:rFonts w:eastAsia="Calibri" w:hint="cs"/>
          <w:color w:val="auto"/>
          <w:rtl/>
          <w:lang w:bidi="ar-LB"/>
        </w:rPr>
        <w:t>8</w:t>
      </w:r>
      <w:r w:rsidR="009B65D5" w:rsidRPr="006571AC">
        <w:rPr>
          <w:rFonts w:eastAsia="Calibri" w:hint="cs"/>
          <w:color w:val="auto"/>
          <w:rtl/>
          <w:lang w:bidi="ar-LB"/>
        </w:rPr>
        <w:t xml:space="preserve">ـ </w:t>
      </w:r>
      <w:r w:rsidR="009B65D5" w:rsidRPr="006571AC">
        <w:rPr>
          <w:rFonts w:eastAsia="Calibri"/>
          <w:color w:val="auto"/>
          <w:rtl/>
          <w:lang w:bidi="ar-LB"/>
        </w:rPr>
        <w:t>التوس</w:t>
      </w:r>
      <w:r w:rsidR="00A41F88" w:rsidRPr="006571AC">
        <w:rPr>
          <w:rFonts w:eastAsia="Calibri" w:hint="cs"/>
          <w:color w:val="auto"/>
          <w:rtl/>
          <w:lang w:bidi="ar-LB"/>
        </w:rPr>
        <w:t>ُّ</w:t>
      </w:r>
      <w:r w:rsidR="009B65D5" w:rsidRPr="006571AC">
        <w:rPr>
          <w:rFonts w:eastAsia="Calibri"/>
          <w:color w:val="auto"/>
          <w:rtl/>
          <w:lang w:bidi="ar-LB"/>
        </w:rPr>
        <w:t>ع في القاعدة</w:t>
      </w:r>
      <w:bookmarkEnd w:id="402"/>
      <w:r w:rsidR="009B65D5" w:rsidRPr="006571AC">
        <w:rPr>
          <w:rFonts w:eastAsia="Calibri" w:hint="cs"/>
          <w:color w:val="auto"/>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لا يخفى أنّ الكثير من السلبي</w:t>
      </w:r>
      <w:r w:rsidR="004816F9" w:rsidRPr="006571AC">
        <w:rPr>
          <w:rFonts w:ascii="Arial" w:eastAsia="Calibri" w:hAnsi="Arial" w:hint="cs"/>
          <w:sz w:val="27"/>
          <w:rtl/>
          <w:lang w:bidi="ar-LB"/>
        </w:rPr>
        <w:t>ّ</w:t>
      </w:r>
      <w:r w:rsidRPr="006571AC">
        <w:rPr>
          <w:rFonts w:ascii="Arial" w:eastAsia="Calibri" w:hAnsi="Arial" w:hint="cs"/>
          <w:sz w:val="27"/>
          <w:rtl/>
          <w:lang w:bidi="ar-LB"/>
        </w:rPr>
        <w:t>ات المشار إليها قد نتج</w:t>
      </w:r>
      <w:r w:rsidR="004816F9" w:rsidRPr="006571AC">
        <w:rPr>
          <w:rFonts w:ascii="Arial" w:eastAsia="Calibri" w:hAnsi="Arial" w:hint="cs"/>
          <w:sz w:val="27"/>
          <w:rtl/>
          <w:lang w:bidi="ar-LB"/>
        </w:rPr>
        <w:t>َ</w:t>
      </w:r>
      <w:r w:rsidRPr="006571AC">
        <w:rPr>
          <w:rFonts w:ascii="Arial" w:eastAsia="Calibri" w:hAnsi="Arial" w:hint="cs"/>
          <w:sz w:val="27"/>
          <w:rtl/>
          <w:lang w:bidi="ar-LB"/>
        </w:rPr>
        <w:t>ت</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عن التوس</w:t>
      </w:r>
      <w:r w:rsidR="004816F9" w:rsidRPr="006571AC">
        <w:rPr>
          <w:rFonts w:ascii="Arial" w:eastAsia="Calibri" w:hAnsi="Arial" w:hint="cs"/>
          <w:sz w:val="27"/>
          <w:rtl/>
          <w:lang w:bidi="ar-LB"/>
        </w:rPr>
        <w:t>ُّ</w:t>
      </w:r>
      <w:r w:rsidRPr="006571AC">
        <w:rPr>
          <w:rFonts w:ascii="Arial" w:eastAsia="Calibri" w:hAnsi="Arial" w:hint="cs"/>
          <w:sz w:val="27"/>
          <w:rtl/>
          <w:lang w:bidi="ar-LB"/>
        </w:rPr>
        <w:t>ع الذي أجراه الفقهاء على قاعدة التسامح في أدلة الس</w:t>
      </w:r>
      <w:r w:rsidR="004816F9" w:rsidRPr="006571AC">
        <w:rPr>
          <w:rFonts w:ascii="Arial" w:eastAsia="Calibri" w:hAnsi="Arial" w:hint="cs"/>
          <w:sz w:val="27"/>
          <w:rtl/>
          <w:lang w:bidi="ar-LB"/>
        </w:rPr>
        <w:t>ُّ</w:t>
      </w:r>
      <w:r w:rsidRPr="006571AC">
        <w:rPr>
          <w:rFonts w:ascii="Arial" w:eastAsia="Calibri" w:hAnsi="Arial" w:hint="cs"/>
          <w:sz w:val="27"/>
          <w:rtl/>
          <w:lang w:bidi="ar-LB"/>
        </w:rPr>
        <w:t>ن</w:t>
      </w:r>
      <w:r w:rsidR="004816F9" w:rsidRPr="006571AC">
        <w:rPr>
          <w:rFonts w:ascii="Arial" w:eastAsia="Calibri" w:hAnsi="Arial" w:hint="cs"/>
          <w:sz w:val="27"/>
          <w:rtl/>
          <w:lang w:bidi="ar-LB"/>
        </w:rPr>
        <w:t>َ</w:t>
      </w:r>
      <w:r w:rsidRPr="006571AC">
        <w:rPr>
          <w:rFonts w:ascii="Arial" w:eastAsia="Calibri" w:hAnsi="Arial" w:hint="cs"/>
          <w:sz w:val="27"/>
          <w:rtl/>
          <w:lang w:bidi="ar-LB"/>
        </w:rPr>
        <w:t>ن، ومعظم توس</w:t>
      </w:r>
      <w:r w:rsidR="004816F9" w:rsidRPr="006571AC">
        <w:rPr>
          <w:rFonts w:ascii="Arial" w:eastAsia="Calibri" w:hAnsi="Arial" w:hint="cs"/>
          <w:sz w:val="27"/>
          <w:rtl/>
          <w:lang w:bidi="ar-LB"/>
        </w:rPr>
        <w:t>ُّ</w:t>
      </w:r>
      <w:r w:rsidRPr="006571AC">
        <w:rPr>
          <w:rFonts w:ascii="Arial" w:eastAsia="Calibri" w:hAnsi="Arial" w:hint="cs"/>
          <w:sz w:val="27"/>
          <w:rtl/>
          <w:lang w:bidi="ar-LB"/>
        </w:rPr>
        <w:t>عاتهم مم</w:t>
      </w:r>
      <w:r w:rsidR="004816F9" w:rsidRPr="006571AC">
        <w:rPr>
          <w:rFonts w:ascii="Arial" w:eastAsia="Calibri" w:hAnsi="Arial" w:hint="cs"/>
          <w:sz w:val="27"/>
          <w:rtl/>
          <w:lang w:bidi="ar-LB"/>
        </w:rPr>
        <w:t>ّ</w:t>
      </w:r>
      <w:r w:rsidRPr="006571AC">
        <w:rPr>
          <w:rFonts w:ascii="Arial" w:eastAsia="Calibri" w:hAnsi="Arial" w:hint="cs"/>
          <w:sz w:val="27"/>
          <w:rtl/>
          <w:lang w:bidi="ar-LB"/>
        </w:rPr>
        <w:t>ا لا يساعد عليها الدليل. ويمكن تصنيف هذه التوس</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عات إلى نوعين: </w:t>
      </w:r>
    </w:p>
    <w:p w:rsidR="009B65D5" w:rsidRPr="006571AC" w:rsidRDefault="009B65D5" w:rsidP="002A2E03">
      <w:pPr>
        <w:rPr>
          <w:rFonts w:ascii="Arial" w:eastAsia="Calibri" w:hAnsi="Arial"/>
          <w:sz w:val="27"/>
          <w:rtl/>
          <w:lang w:bidi="ar-LB"/>
        </w:rPr>
      </w:pPr>
    </w:p>
    <w:p w:rsidR="009B65D5" w:rsidRPr="006571AC" w:rsidRDefault="008141F9" w:rsidP="0035540A">
      <w:pPr>
        <w:pStyle w:val="31"/>
        <w:rPr>
          <w:rFonts w:eastAsia="Calibri"/>
          <w:color w:val="auto"/>
          <w:rtl/>
          <w:lang w:bidi="ar-LB"/>
        </w:rPr>
      </w:pPr>
      <w:bookmarkStart w:id="403" w:name="_Toc114164811"/>
      <w:r w:rsidRPr="006571AC">
        <w:rPr>
          <w:rFonts w:eastAsia="Calibri" w:hint="cs"/>
          <w:color w:val="auto"/>
          <w:rtl/>
          <w:lang w:bidi="ar-LB"/>
        </w:rPr>
        <w:t>أـ</w:t>
      </w:r>
      <w:r w:rsidR="009B65D5" w:rsidRPr="006571AC">
        <w:rPr>
          <w:rFonts w:eastAsia="Calibri" w:hint="cs"/>
          <w:color w:val="auto"/>
          <w:rtl/>
          <w:lang w:bidi="ar-LB"/>
        </w:rPr>
        <w:t xml:space="preserve"> التوس</w:t>
      </w:r>
      <w:r w:rsidR="004816F9" w:rsidRPr="006571AC">
        <w:rPr>
          <w:rFonts w:eastAsia="Calibri" w:hint="cs"/>
          <w:color w:val="auto"/>
          <w:rtl/>
          <w:lang w:bidi="ar-LB"/>
        </w:rPr>
        <w:t>ُّ</w:t>
      </w:r>
      <w:r w:rsidR="009B65D5" w:rsidRPr="006571AC">
        <w:rPr>
          <w:rFonts w:eastAsia="Calibri" w:hint="cs"/>
          <w:color w:val="auto"/>
          <w:rtl/>
          <w:lang w:bidi="ar-LB"/>
        </w:rPr>
        <w:t>عات الفقهيّة</w:t>
      </w:r>
      <w:bookmarkEnd w:id="403"/>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 xml:space="preserve"> وهي توس</w:t>
      </w:r>
      <w:r w:rsidR="004816F9" w:rsidRPr="006571AC">
        <w:rPr>
          <w:rFonts w:ascii="Arial" w:eastAsia="Calibri" w:hAnsi="Arial" w:hint="cs"/>
          <w:sz w:val="27"/>
          <w:rtl/>
          <w:lang w:bidi="ar-LB"/>
        </w:rPr>
        <w:t>ُّ</w:t>
      </w:r>
      <w:r w:rsidRPr="006571AC">
        <w:rPr>
          <w:rFonts w:ascii="Arial" w:eastAsia="Calibri" w:hAnsi="Arial" w:hint="cs"/>
          <w:sz w:val="27"/>
          <w:rtl/>
          <w:lang w:bidi="ar-LB"/>
        </w:rPr>
        <w:t>عات</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كثيرة، جعلت مئات الفروع تندرج في قاعدة التسامح، بمعنى أنه لولا القاعدة فلن نجد دليلاً على هذه الفروع</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وإليك أهم</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هذه التوس</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عات: </w:t>
      </w:r>
    </w:p>
    <w:p w:rsidR="00EE4133" w:rsidRPr="006571AC" w:rsidRDefault="009B65D5" w:rsidP="002A2E03">
      <w:pPr>
        <w:contextualSpacing/>
        <w:rPr>
          <w:rFonts w:ascii="Arial" w:eastAsia="Calibri" w:hAnsi="Arial"/>
          <w:sz w:val="27"/>
          <w:rtl/>
          <w:lang w:bidi="ar-LB"/>
        </w:rPr>
      </w:pPr>
      <w:r w:rsidRPr="006571AC">
        <w:rPr>
          <w:rFonts w:ascii="Arial" w:eastAsia="Calibri" w:hAnsi="Arial" w:hint="cs"/>
          <w:sz w:val="27"/>
          <w:rtl/>
          <w:lang w:bidi="ar-LB"/>
        </w:rPr>
        <w:t>أـ الخروج عن مفاد أخبار القاعدة في</w:t>
      </w:r>
      <w:r w:rsidR="004816F9" w:rsidRPr="006571AC">
        <w:rPr>
          <w:rFonts w:ascii="Arial" w:eastAsia="Calibri" w:hAnsi="Arial" w:hint="cs"/>
          <w:sz w:val="27"/>
          <w:rtl/>
          <w:lang w:bidi="ar-LB"/>
        </w:rPr>
        <w:t xml:space="preserve"> </w:t>
      </w:r>
      <w:r w:rsidRPr="006571AC">
        <w:rPr>
          <w:rFonts w:ascii="Arial" w:eastAsia="Calibri" w:hAnsi="Arial" w:hint="cs"/>
          <w:sz w:val="27"/>
          <w:rtl/>
          <w:lang w:bidi="ar-LB"/>
        </w:rPr>
        <w:t>ما نصّ</w:t>
      </w:r>
      <w:r w:rsidR="004816F9" w:rsidRPr="006571AC">
        <w:rPr>
          <w:rFonts w:ascii="Arial" w:eastAsia="Calibri" w:hAnsi="Arial" w:hint="cs"/>
          <w:sz w:val="27"/>
          <w:rtl/>
          <w:lang w:bidi="ar-LB"/>
        </w:rPr>
        <w:t>َ</w:t>
      </w:r>
      <w:r w:rsidRPr="006571AC">
        <w:rPr>
          <w:rFonts w:ascii="Arial" w:eastAsia="Calibri" w:hAnsi="Arial" w:hint="cs"/>
          <w:sz w:val="27"/>
          <w:rtl/>
          <w:lang w:bidi="ar-LB"/>
        </w:rPr>
        <w:t>ت</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عليه من إعطاء الثواب على الأعمال التي تضم</w:t>
      </w:r>
      <w:r w:rsidR="004816F9" w:rsidRPr="006571AC">
        <w:rPr>
          <w:rFonts w:ascii="Arial" w:eastAsia="Calibri" w:hAnsi="Arial" w:hint="cs"/>
          <w:sz w:val="27"/>
          <w:rtl/>
          <w:lang w:bidi="ar-LB"/>
        </w:rPr>
        <w:t>ّ</w:t>
      </w:r>
      <w:r w:rsidRPr="006571AC">
        <w:rPr>
          <w:rFonts w:ascii="Arial" w:eastAsia="Calibri" w:hAnsi="Arial" w:hint="cs"/>
          <w:sz w:val="27"/>
          <w:rtl/>
          <w:lang w:bidi="ar-LB"/>
        </w:rPr>
        <w:t>نتها الأخبار الضعيفة، لتشمل كل</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خبر</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ضعيف تضمّ</w:t>
      </w:r>
      <w:r w:rsidR="004816F9" w:rsidRPr="006571AC">
        <w:rPr>
          <w:rFonts w:ascii="Arial" w:eastAsia="Calibri" w:hAnsi="Arial" w:hint="cs"/>
          <w:sz w:val="27"/>
          <w:rtl/>
          <w:lang w:bidi="ar-LB"/>
        </w:rPr>
        <w:t>َ</w:t>
      </w:r>
      <w:r w:rsidRPr="006571AC">
        <w:rPr>
          <w:rFonts w:ascii="Arial" w:eastAsia="Calibri" w:hAnsi="Arial" w:hint="cs"/>
          <w:sz w:val="27"/>
          <w:rtl/>
          <w:lang w:bidi="ar-LB"/>
        </w:rPr>
        <w:t>ن أمراً أو ترغيباً بعمل</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ما، فيفتى باستحبابه، ولو لم يتضم</w:t>
      </w:r>
      <w:r w:rsidR="004816F9" w:rsidRPr="006571AC">
        <w:rPr>
          <w:rFonts w:ascii="Arial" w:eastAsia="Calibri" w:hAnsi="Arial" w:hint="cs"/>
          <w:sz w:val="27"/>
          <w:rtl/>
          <w:lang w:bidi="ar-LB"/>
        </w:rPr>
        <w:t>َّ</w:t>
      </w:r>
      <w:r w:rsidRPr="006571AC">
        <w:rPr>
          <w:rFonts w:ascii="Arial" w:eastAsia="Calibri" w:hAnsi="Arial" w:hint="cs"/>
          <w:sz w:val="27"/>
          <w:rtl/>
          <w:lang w:bidi="ar-LB"/>
        </w:rPr>
        <w:t>ن الخبر ثواباً</w:t>
      </w:r>
      <w:r w:rsidR="00EE4133" w:rsidRPr="006571AC">
        <w:rPr>
          <w:rFonts w:ascii="Arial" w:eastAsia="Calibri" w:hAnsi="Arial" w:hint="cs"/>
          <w:sz w:val="27"/>
          <w:rtl/>
          <w:lang w:bidi="ar-LB"/>
        </w:rPr>
        <w:t>.</w:t>
      </w:r>
    </w:p>
    <w:p w:rsidR="009B65D5" w:rsidRPr="006571AC" w:rsidRDefault="009B65D5" w:rsidP="002A2E03">
      <w:pPr>
        <w:contextualSpacing/>
        <w:rPr>
          <w:rFonts w:ascii="Arial" w:eastAsia="Calibri" w:hAnsi="Arial"/>
          <w:sz w:val="27"/>
          <w:rtl/>
          <w:lang w:bidi="ar-LB"/>
        </w:rPr>
      </w:pPr>
      <w:r w:rsidRPr="006571AC">
        <w:rPr>
          <w:rFonts w:ascii="Arial" w:eastAsia="Calibri" w:hAnsi="Arial" w:hint="cs"/>
          <w:sz w:val="27"/>
          <w:rtl/>
          <w:lang w:bidi="ar-LB"/>
        </w:rPr>
        <w:t>وهذا توس</w:t>
      </w:r>
      <w:r w:rsidR="004816F9" w:rsidRPr="006571AC">
        <w:rPr>
          <w:rFonts w:ascii="Arial" w:eastAsia="Calibri" w:hAnsi="Arial" w:hint="cs"/>
          <w:sz w:val="27"/>
          <w:rtl/>
          <w:lang w:bidi="ar-LB"/>
        </w:rPr>
        <w:t>ُّ</w:t>
      </w:r>
      <w:r w:rsidRPr="006571AC">
        <w:rPr>
          <w:rFonts w:ascii="Arial" w:eastAsia="Calibri" w:hAnsi="Arial" w:hint="cs"/>
          <w:sz w:val="27"/>
          <w:rtl/>
          <w:lang w:bidi="ar-LB"/>
        </w:rPr>
        <w:t>ع</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كبير جد</w:t>
      </w:r>
      <w:r w:rsidR="004816F9" w:rsidRPr="006571AC">
        <w:rPr>
          <w:rFonts w:ascii="Arial" w:eastAsia="Calibri" w:hAnsi="Arial" w:hint="cs"/>
          <w:sz w:val="27"/>
          <w:rtl/>
          <w:lang w:bidi="ar-LB"/>
        </w:rPr>
        <w:t>ّ</w:t>
      </w:r>
      <w:r w:rsidRPr="006571AC">
        <w:rPr>
          <w:rFonts w:ascii="Arial" w:eastAsia="Calibri" w:hAnsi="Arial" w:hint="cs"/>
          <w:sz w:val="27"/>
          <w:rtl/>
          <w:lang w:bidi="ar-LB"/>
        </w:rPr>
        <w:t>اً، والأكثر على الأخذ به، وإن</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رفضه بعضهم</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كالشيخ محمد بن الحسن بن الشهيد الثاني</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49"/>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EE4133" w:rsidRPr="006571AC" w:rsidRDefault="009B65D5" w:rsidP="002A2E03">
      <w:pPr>
        <w:contextualSpacing/>
        <w:rPr>
          <w:rFonts w:ascii="Arial" w:eastAsia="Calibri" w:hAnsi="Arial"/>
          <w:sz w:val="27"/>
          <w:rtl/>
          <w:lang w:bidi="ar-LB"/>
        </w:rPr>
      </w:pPr>
      <w:r w:rsidRPr="006571AC">
        <w:rPr>
          <w:rFonts w:ascii="Arial" w:eastAsia="Calibri" w:hAnsi="Arial" w:hint="cs"/>
          <w:sz w:val="27"/>
          <w:rtl/>
          <w:lang w:bidi="ar-LB"/>
        </w:rPr>
        <w:t xml:space="preserve">ب ـ </w:t>
      </w:r>
      <w:r w:rsidRPr="006571AC">
        <w:rPr>
          <w:rFonts w:ascii="Arial" w:eastAsia="Calibri" w:hAnsi="Arial"/>
          <w:sz w:val="27"/>
          <w:rtl/>
          <w:lang w:bidi="ar-LB"/>
        </w:rPr>
        <w:t xml:space="preserve">الحكم بالاستحباب </w:t>
      </w:r>
      <w:r w:rsidRPr="006571AC">
        <w:rPr>
          <w:rFonts w:ascii="Arial" w:eastAsia="Calibri" w:hAnsi="Arial" w:hint="cs"/>
          <w:sz w:val="27"/>
          <w:rtl/>
          <w:lang w:bidi="ar-LB"/>
        </w:rPr>
        <w:t>استناداً إلى فتوى الفقهاء أنفسهم، فقد لا يكون في المسألة مستند</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روائي</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ولو ضعيفاً، ومع ذلك يحكم بالاستحباب</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اكتفاءً بشهرة </w:t>
      </w:r>
      <w:r w:rsidRPr="006571AC">
        <w:rPr>
          <w:rFonts w:ascii="Arial" w:eastAsia="Calibri" w:hAnsi="Arial" w:hint="cs"/>
          <w:sz w:val="27"/>
          <w:rtl/>
          <w:lang w:bidi="ar-LB"/>
        </w:rPr>
        <w:lastRenderedPageBreak/>
        <w:t>الفتوى</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50"/>
      </w:r>
      <w:r w:rsidRPr="006571AC">
        <w:rPr>
          <w:rFonts w:ascii="Arial" w:eastAsia="Calibri" w:hAnsi="Arial"/>
          <w:sz w:val="27"/>
          <w:vertAlign w:val="superscript"/>
          <w:rtl/>
          <w:lang w:bidi="ar-LB"/>
        </w:rPr>
        <w:t>)</w:t>
      </w:r>
      <w:r w:rsidRPr="006571AC">
        <w:rPr>
          <w:rFonts w:ascii="Arial" w:eastAsia="Calibri" w:hAnsi="Arial" w:hint="cs"/>
          <w:sz w:val="27"/>
          <w:rtl/>
          <w:lang w:bidi="ar-LB"/>
        </w:rPr>
        <w:t>، بل اكتفاءً بفتوى فقيه</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واحد</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51"/>
      </w:r>
      <w:r w:rsidRPr="006571AC">
        <w:rPr>
          <w:rFonts w:ascii="Arial" w:eastAsia="Calibri" w:hAnsi="Arial"/>
          <w:sz w:val="27"/>
          <w:vertAlign w:val="superscript"/>
          <w:rtl/>
          <w:lang w:bidi="ar-LB"/>
        </w:rPr>
        <w:t>)</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بذريعة شمول قاعدة </w:t>
      </w:r>
      <w:r w:rsidRPr="006571AC">
        <w:rPr>
          <w:rFonts w:hint="eastAsia"/>
          <w:sz w:val="24"/>
          <w:szCs w:val="24"/>
          <w:rtl/>
          <w:lang w:bidi="ar-LB"/>
        </w:rPr>
        <w:t>«</w:t>
      </w:r>
      <w:r w:rsidRPr="006571AC">
        <w:rPr>
          <w:rFonts w:ascii="Arial" w:eastAsia="Calibri" w:hAnsi="Arial" w:hint="cs"/>
          <w:sz w:val="27"/>
          <w:rtl/>
          <w:lang w:bidi="ar-LB"/>
        </w:rPr>
        <w:t>م</w:t>
      </w:r>
      <w:r w:rsidR="004816F9" w:rsidRPr="006571AC">
        <w:rPr>
          <w:rFonts w:ascii="Arial" w:eastAsia="Calibri" w:hAnsi="Arial" w:hint="cs"/>
          <w:sz w:val="27"/>
          <w:rtl/>
          <w:lang w:bidi="ar-LB"/>
        </w:rPr>
        <w:t>َ</w:t>
      </w:r>
      <w:r w:rsidRPr="006571AC">
        <w:rPr>
          <w:rFonts w:ascii="Arial" w:eastAsia="Calibri" w:hAnsi="Arial" w:hint="cs"/>
          <w:sz w:val="27"/>
          <w:rtl/>
          <w:lang w:bidi="ar-LB"/>
        </w:rPr>
        <w:t>ن</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بلغ</w:t>
      </w:r>
      <w:r w:rsidRPr="006571AC">
        <w:rPr>
          <w:rFonts w:hint="eastAsia"/>
          <w:sz w:val="24"/>
          <w:szCs w:val="24"/>
          <w:rtl/>
        </w:rPr>
        <w:t>»</w:t>
      </w:r>
      <w:r w:rsidRPr="006571AC">
        <w:rPr>
          <w:rFonts w:ascii="Arial" w:eastAsia="Calibri" w:hAnsi="Arial" w:hint="cs"/>
          <w:sz w:val="27"/>
          <w:rtl/>
          <w:lang w:bidi="ar-LB"/>
        </w:rPr>
        <w:t xml:space="preserve"> لها</w:t>
      </w:r>
      <w:r w:rsidR="004816F9" w:rsidRPr="006571AC">
        <w:rPr>
          <w:rFonts w:ascii="Arial" w:eastAsia="Calibri" w:hAnsi="Arial" w:hint="cs"/>
          <w:sz w:val="27"/>
          <w:rtl/>
          <w:lang w:bidi="ar-LB"/>
        </w:rPr>
        <w:t>.</w:t>
      </w:r>
    </w:p>
    <w:p w:rsidR="009B65D5" w:rsidRPr="006571AC" w:rsidRDefault="009B65D5" w:rsidP="002A2E03">
      <w:pPr>
        <w:contextualSpacing/>
        <w:rPr>
          <w:rFonts w:ascii="Arial" w:eastAsia="Calibri" w:hAnsi="Arial"/>
          <w:b/>
          <w:bCs/>
          <w:sz w:val="27"/>
          <w:rtl/>
          <w:lang w:bidi="ar-LB"/>
        </w:rPr>
      </w:pPr>
      <w:r w:rsidRPr="006571AC">
        <w:rPr>
          <w:rFonts w:ascii="Arial" w:eastAsia="Calibri" w:hAnsi="Arial" w:hint="cs"/>
          <w:sz w:val="27"/>
          <w:rtl/>
          <w:lang w:bidi="ar-LB"/>
        </w:rPr>
        <w:t>وهذا التوسع لا يقلّ عن سابقه في سعة ما شمله من فروع</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فقهية. والأقوى أنّه توس</w:t>
      </w:r>
      <w:r w:rsidR="00EE4133" w:rsidRPr="006571AC">
        <w:rPr>
          <w:rFonts w:ascii="Arial" w:eastAsia="Calibri" w:hAnsi="Arial" w:hint="cs"/>
          <w:sz w:val="27"/>
          <w:rtl/>
          <w:lang w:bidi="ar-LB"/>
        </w:rPr>
        <w:t>ُّ</w:t>
      </w:r>
      <w:r w:rsidRPr="006571AC">
        <w:rPr>
          <w:rFonts w:ascii="Arial" w:eastAsia="Calibri" w:hAnsi="Arial" w:hint="cs"/>
          <w:sz w:val="27"/>
          <w:rtl/>
          <w:lang w:bidi="ar-LB"/>
        </w:rPr>
        <w:t>عٌ غير مبر</w:t>
      </w:r>
      <w:r w:rsidR="00EE4133" w:rsidRPr="006571AC">
        <w:rPr>
          <w:rFonts w:ascii="Arial" w:eastAsia="Calibri" w:hAnsi="Arial" w:hint="cs"/>
          <w:sz w:val="27"/>
          <w:rtl/>
          <w:lang w:bidi="ar-LB"/>
        </w:rPr>
        <w:t>َّ</w:t>
      </w:r>
      <w:r w:rsidRPr="006571AC">
        <w:rPr>
          <w:rFonts w:ascii="Arial" w:eastAsia="Calibri" w:hAnsi="Arial" w:hint="cs"/>
          <w:sz w:val="27"/>
          <w:rtl/>
          <w:lang w:bidi="ar-LB"/>
        </w:rPr>
        <w:t>ر</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ومخالف</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لقوله</w:t>
      </w:r>
      <w:r w:rsidR="002A2C90" w:rsidRPr="006571AC">
        <w:rPr>
          <w:rFonts w:ascii="Mosawi" w:hAnsi="Mosawi" w:cs="Mosawi"/>
          <w:sz w:val="22"/>
          <w:szCs w:val="22"/>
          <w:rtl/>
        </w:rPr>
        <w:t>×</w:t>
      </w:r>
      <w:r w:rsidRPr="006571AC">
        <w:rPr>
          <w:rFonts w:ascii="Arial" w:eastAsia="Calibri" w:hAnsi="Arial" w:hint="cs"/>
          <w:sz w:val="27"/>
          <w:rtl/>
          <w:lang w:bidi="ar-LB"/>
        </w:rPr>
        <w:t xml:space="preserve">: </w:t>
      </w:r>
      <w:r w:rsidRPr="006571AC">
        <w:rPr>
          <w:rFonts w:hint="eastAsia"/>
          <w:sz w:val="24"/>
          <w:szCs w:val="24"/>
          <w:rtl/>
          <w:lang w:bidi="ar-LB"/>
        </w:rPr>
        <w:t>«</w:t>
      </w:r>
      <w:r w:rsidRPr="006571AC">
        <w:rPr>
          <w:rFonts w:ascii="Arial" w:eastAsia="Calibri" w:hAnsi="Arial" w:hint="cs"/>
          <w:sz w:val="27"/>
          <w:rtl/>
          <w:lang w:bidi="ar-LB"/>
        </w:rPr>
        <w:t>وإن</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كان رسول الله لم يق</w:t>
      </w:r>
      <w:r w:rsidR="00EE4133" w:rsidRPr="006571AC">
        <w:rPr>
          <w:rFonts w:ascii="Arial" w:eastAsia="Calibri" w:hAnsi="Arial" w:hint="cs"/>
          <w:sz w:val="27"/>
          <w:rtl/>
          <w:lang w:bidi="ar-LB"/>
        </w:rPr>
        <w:t>ُ</w:t>
      </w:r>
      <w:r w:rsidRPr="006571AC">
        <w:rPr>
          <w:rFonts w:ascii="Arial" w:eastAsia="Calibri" w:hAnsi="Arial" w:hint="cs"/>
          <w:sz w:val="27"/>
          <w:rtl/>
          <w:lang w:bidi="ar-LB"/>
        </w:rPr>
        <w:t>ل</w:t>
      </w:r>
      <w:r w:rsidR="00EE4133" w:rsidRPr="006571AC">
        <w:rPr>
          <w:rFonts w:ascii="Arial" w:eastAsia="Calibri" w:hAnsi="Arial" w:hint="cs"/>
          <w:sz w:val="27"/>
          <w:rtl/>
          <w:lang w:bidi="ar-LB"/>
        </w:rPr>
        <w:t>ْ</w:t>
      </w:r>
      <w:r w:rsidRPr="006571AC">
        <w:rPr>
          <w:rFonts w:ascii="Arial" w:eastAsia="Calibri" w:hAnsi="Arial" w:hint="cs"/>
          <w:sz w:val="27"/>
          <w:rtl/>
          <w:lang w:bidi="ar-LB"/>
        </w:rPr>
        <w:t>ه</w:t>
      </w:r>
      <w:r w:rsidRPr="006571AC">
        <w:rPr>
          <w:rFonts w:hint="eastAsia"/>
          <w:sz w:val="24"/>
          <w:szCs w:val="24"/>
          <w:rtl/>
        </w:rPr>
        <w:t>»</w:t>
      </w:r>
      <w:r w:rsidRPr="006571AC">
        <w:rPr>
          <w:rFonts w:ascii="Arial" w:eastAsia="Calibri" w:hAnsi="Arial" w:hint="cs"/>
          <w:sz w:val="27"/>
          <w:rtl/>
          <w:lang w:bidi="ar-LB"/>
        </w:rPr>
        <w:t>، الظاهر في أنّ إبلاغ الثواب كان بواسطة خبر</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ينقل كلامه</w:t>
      </w:r>
      <w:r w:rsidR="002A2C90" w:rsidRPr="006571AC">
        <w:rPr>
          <w:rFonts w:ascii="Mosawi" w:hAnsi="Mosawi" w:cs="Mosawi"/>
          <w:sz w:val="22"/>
          <w:szCs w:val="22"/>
          <w:rtl/>
        </w:rPr>
        <w:t>|</w:t>
      </w:r>
      <w:r w:rsidRPr="006571AC">
        <w:rPr>
          <w:rFonts w:ascii="Arial" w:eastAsia="Calibri" w:hAnsi="Arial" w:hint="cs"/>
          <w:sz w:val="27"/>
          <w:rtl/>
          <w:lang w:bidi="ar-LB"/>
        </w:rPr>
        <w:t xml:space="preserve"> مباشرة</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وحس</w:t>
      </w:r>
      <w:r w:rsidR="00EE4133" w:rsidRPr="006571AC">
        <w:rPr>
          <w:rFonts w:ascii="Arial" w:eastAsia="Calibri" w:hAnsi="Arial" w:hint="cs"/>
          <w:sz w:val="27"/>
          <w:rtl/>
          <w:lang w:bidi="ar-LB"/>
        </w:rPr>
        <w:t>ّ</w:t>
      </w:r>
      <w:r w:rsidRPr="006571AC">
        <w:rPr>
          <w:rFonts w:ascii="Arial" w:eastAsia="Calibri" w:hAnsi="Arial" w:hint="cs"/>
          <w:sz w:val="27"/>
          <w:rtl/>
          <w:lang w:bidi="ar-LB"/>
        </w:rPr>
        <w:t>اً</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لا ح</w:t>
      </w:r>
      <w:r w:rsidR="00C574D7" w:rsidRPr="006571AC">
        <w:rPr>
          <w:rFonts w:ascii="Arial" w:eastAsia="Calibri" w:hAnsi="Arial" w:hint="cs"/>
          <w:sz w:val="27"/>
          <w:rtl/>
          <w:lang w:bidi="ar-LB"/>
        </w:rPr>
        <w:t>َ</w:t>
      </w:r>
      <w:r w:rsidRPr="006571AC">
        <w:rPr>
          <w:rFonts w:ascii="Arial" w:eastAsia="Calibri" w:hAnsi="Arial" w:hint="cs"/>
          <w:sz w:val="27"/>
          <w:rtl/>
          <w:lang w:bidi="ar-LB"/>
        </w:rPr>
        <w:t>د</w:t>
      </w:r>
      <w:r w:rsidR="00C574D7" w:rsidRPr="006571AC">
        <w:rPr>
          <w:rFonts w:ascii="Arial" w:eastAsia="Calibri" w:hAnsi="Arial" w:hint="cs"/>
          <w:sz w:val="27"/>
          <w:rtl/>
          <w:lang w:bidi="ar-LB"/>
        </w:rPr>
        <w:t>ْ</w:t>
      </w:r>
      <w:r w:rsidRPr="006571AC">
        <w:rPr>
          <w:rFonts w:ascii="Arial" w:eastAsia="Calibri" w:hAnsi="Arial" w:hint="cs"/>
          <w:sz w:val="27"/>
          <w:rtl/>
          <w:lang w:bidi="ar-LB"/>
        </w:rPr>
        <w:t xml:space="preserve">ساً وبالواسطة. </w:t>
      </w:r>
    </w:p>
    <w:p w:rsidR="009B65D5" w:rsidRPr="006571AC" w:rsidRDefault="009B65D5" w:rsidP="002A2E03">
      <w:pPr>
        <w:contextualSpacing/>
        <w:rPr>
          <w:rFonts w:ascii="Arial" w:eastAsia="Calibri" w:hAnsi="Arial"/>
          <w:b/>
          <w:bCs/>
          <w:sz w:val="27"/>
          <w:lang w:bidi="ar-LB"/>
        </w:rPr>
      </w:pPr>
      <w:r w:rsidRPr="006571AC">
        <w:rPr>
          <w:rFonts w:ascii="Arial" w:hAnsi="Arial" w:hint="cs"/>
          <w:sz w:val="27"/>
          <w:rtl/>
        </w:rPr>
        <w:t>ج ـ توسعة القاعدة لحالات ورود ا</w:t>
      </w:r>
      <w:r w:rsidRPr="006571AC">
        <w:rPr>
          <w:rFonts w:ascii="Arial" w:hAnsi="Arial"/>
          <w:sz w:val="27"/>
          <w:rtl/>
        </w:rPr>
        <w:t>لروايات</w:t>
      </w:r>
      <w:r w:rsidRPr="006571AC">
        <w:rPr>
          <w:rFonts w:ascii="Arial" w:hAnsi="Arial" w:hint="cs"/>
          <w:sz w:val="27"/>
          <w:rtl/>
        </w:rPr>
        <w:t xml:space="preserve"> الضعيفة</w:t>
      </w:r>
      <w:r w:rsidRPr="006571AC">
        <w:rPr>
          <w:rFonts w:ascii="Arial" w:hAnsi="Arial"/>
          <w:sz w:val="27"/>
          <w:rtl/>
        </w:rPr>
        <w:t xml:space="preserve"> الظاهرة في الوجوب، على اعتبار أنّ الخبر الضعيف إذا كان قاصراً عن إثبات الحكم الإلزامي</w:t>
      </w:r>
      <w:r w:rsidR="00EE4133" w:rsidRPr="006571AC">
        <w:rPr>
          <w:rFonts w:ascii="Arial" w:hAnsi="Arial" w:hint="cs"/>
          <w:sz w:val="27"/>
          <w:rtl/>
        </w:rPr>
        <w:t>ّ</w:t>
      </w:r>
      <w:r w:rsidRPr="006571AC">
        <w:rPr>
          <w:rFonts w:ascii="Arial" w:hAnsi="Arial"/>
          <w:sz w:val="27"/>
          <w:rtl/>
        </w:rPr>
        <w:t xml:space="preserve"> فهو لا يقصر </w:t>
      </w:r>
      <w:r w:rsidRPr="006571AC">
        <w:rPr>
          <w:rFonts w:ascii="Arial" w:hAnsi="Arial" w:hint="cs"/>
          <w:sz w:val="27"/>
          <w:rtl/>
        </w:rPr>
        <w:t xml:space="preserve">ـ </w:t>
      </w:r>
      <w:r w:rsidRPr="006571AC">
        <w:rPr>
          <w:rFonts w:ascii="Arial" w:hAnsi="Arial"/>
          <w:sz w:val="27"/>
          <w:rtl/>
        </w:rPr>
        <w:t>ببركة قاعدة التسامح</w:t>
      </w:r>
      <w:r w:rsidRPr="006571AC">
        <w:rPr>
          <w:rFonts w:ascii="Arial" w:hAnsi="Arial" w:hint="cs"/>
          <w:sz w:val="27"/>
          <w:rtl/>
        </w:rPr>
        <w:t xml:space="preserve"> </w:t>
      </w:r>
      <w:r w:rsidRPr="006571AC">
        <w:rPr>
          <w:rFonts w:ascii="Arial" w:hAnsi="Arial"/>
          <w:sz w:val="27"/>
          <w:rtl/>
        </w:rPr>
        <w:t>ـ عن إثبات الاستحباب</w:t>
      </w:r>
      <w:r w:rsidRPr="006571AC">
        <w:rPr>
          <w:rFonts w:ascii="Arial" w:hAnsi="Arial"/>
          <w:sz w:val="27"/>
          <w:vertAlign w:val="superscript"/>
          <w:rtl/>
        </w:rPr>
        <w:t>(</w:t>
      </w:r>
      <w:r w:rsidRPr="006571AC">
        <w:rPr>
          <w:rFonts w:ascii="Arial" w:eastAsia="Calibri" w:hAnsi="Arial"/>
          <w:sz w:val="27"/>
          <w:vertAlign w:val="superscript"/>
          <w:rtl/>
          <w:lang w:bidi="ar-LB"/>
        </w:rPr>
        <w:endnoteReference w:id="652"/>
      </w:r>
      <w:r w:rsidRPr="006571AC">
        <w:rPr>
          <w:rFonts w:ascii="Arial" w:hAnsi="Arial"/>
          <w:sz w:val="27"/>
          <w:vertAlign w:val="superscript"/>
          <w:rtl/>
        </w:rPr>
        <w:t>)</w:t>
      </w:r>
      <w:r w:rsidRPr="006571AC">
        <w:rPr>
          <w:rFonts w:ascii="Arial" w:hAnsi="Arial" w:hint="cs"/>
          <w:sz w:val="27"/>
          <w:rtl/>
        </w:rPr>
        <w:t xml:space="preserve">. </w:t>
      </w:r>
    </w:p>
    <w:p w:rsidR="00BC707C" w:rsidRPr="006571AC" w:rsidRDefault="009B65D5" w:rsidP="002A2E03">
      <w:pPr>
        <w:contextualSpacing/>
        <w:rPr>
          <w:rFonts w:ascii="Arial" w:hAnsi="Arial"/>
          <w:sz w:val="27"/>
          <w:rtl/>
        </w:rPr>
      </w:pPr>
      <w:r w:rsidRPr="006571AC">
        <w:rPr>
          <w:rFonts w:ascii="Arial" w:hAnsi="Arial" w:hint="cs"/>
          <w:sz w:val="27"/>
          <w:rtl/>
        </w:rPr>
        <w:t xml:space="preserve">د ـ توسعة القاعدة لحالات ورود الخبر الضعيف الظاهر في الحرمة، فإنه إذا كان لا ينهض لإثبات </w:t>
      </w:r>
      <w:r w:rsidRPr="006571AC">
        <w:rPr>
          <w:rFonts w:ascii="Arial" w:hAnsi="Arial"/>
          <w:sz w:val="27"/>
          <w:rtl/>
        </w:rPr>
        <w:t xml:space="preserve">التحريم </w:t>
      </w:r>
      <w:r w:rsidRPr="006571AC">
        <w:rPr>
          <w:rFonts w:ascii="Arial" w:hAnsi="Arial" w:hint="cs"/>
          <w:sz w:val="27"/>
          <w:rtl/>
        </w:rPr>
        <w:t>فيفتى ب</w:t>
      </w:r>
      <w:r w:rsidRPr="006571AC">
        <w:rPr>
          <w:rFonts w:ascii="Arial" w:hAnsi="Arial"/>
          <w:sz w:val="27"/>
          <w:rtl/>
        </w:rPr>
        <w:t>الكراهة</w:t>
      </w:r>
      <w:r w:rsidR="00EE4133" w:rsidRPr="006571AC">
        <w:rPr>
          <w:rFonts w:ascii="Arial" w:hAnsi="Arial" w:hint="cs"/>
          <w:sz w:val="27"/>
          <w:rtl/>
        </w:rPr>
        <w:t>؛</w:t>
      </w:r>
      <w:r w:rsidRPr="006571AC">
        <w:rPr>
          <w:rFonts w:ascii="Arial" w:hAnsi="Arial"/>
          <w:sz w:val="27"/>
          <w:rtl/>
        </w:rPr>
        <w:t xml:space="preserve"> للتسامح في دليلها</w:t>
      </w:r>
      <w:r w:rsidRPr="006571AC">
        <w:rPr>
          <w:rFonts w:ascii="Arial" w:hAnsi="Arial"/>
          <w:sz w:val="27"/>
          <w:vertAlign w:val="superscript"/>
          <w:rtl/>
        </w:rPr>
        <w:t>(</w:t>
      </w:r>
      <w:r w:rsidRPr="006571AC">
        <w:rPr>
          <w:rFonts w:ascii="Arial" w:hAnsi="Arial"/>
          <w:sz w:val="27"/>
          <w:vertAlign w:val="superscript"/>
          <w:rtl/>
        </w:rPr>
        <w:endnoteReference w:id="653"/>
      </w:r>
      <w:r w:rsidRPr="006571AC">
        <w:rPr>
          <w:rFonts w:ascii="Arial" w:hAnsi="Arial"/>
          <w:sz w:val="27"/>
          <w:vertAlign w:val="superscript"/>
          <w:rtl/>
        </w:rPr>
        <w:t>)</w:t>
      </w:r>
      <w:r w:rsidR="00BC707C" w:rsidRPr="006571AC">
        <w:rPr>
          <w:rFonts w:ascii="Arial" w:hAnsi="Arial" w:hint="cs"/>
          <w:sz w:val="27"/>
          <w:rtl/>
        </w:rPr>
        <w:t>.</w:t>
      </w:r>
    </w:p>
    <w:p w:rsidR="009B65D5" w:rsidRPr="006571AC" w:rsidRDefault="009B65D5" w:rsidP="002A2E03">
      <w:pPr>
        <w:contextualSpacing/>
        <w:rPr>
          <w:rFonts w:ascii="Arial" w:eastAsia="Calibri" w:hAnsi="Arial"/>
          <w:b/>
          <w:bCs/>
          <w:sz w:val="27"/>
          <w:lang w:bidi="ar-LB"/>
        </w:rPr>
      </w:pPr>
      <w:r w:rsidRPr="006571AC">
        <w:rPr>
          <w:rFonts w:ascii="Arial" w:hAnsi="Arial" w:hint="cs"/>
          <w:sz w:val="27"/>
          <w:rtl/>
        </w:rPr>
        <w:t>وهو توس</w:t>
      </w:r>
      <w:r w:rsidR="00EE4133" w:rsidRPr="006571AC">
        <w:rPr>
          <w:rFonts w:ascii="Arial" w:hAnsi="Arial" w:hint="cs"/>
          <w:sz w:val="27"/>
          <w:rtl/>
        </w:rPr>
        <w:t>ُّ</w:t>
      </w:r>
      <w:r w:rsidRPr="006571AC">
        <w:rPr>
          <w:rFonts w:ascii="Arial" w:hAnsi="Arial" w:hint="cs"/>
          <w:sz w:val="27"/>
          <w:rtl/>
        </w:rPr>
        <w:t>ع</w:t>
      </w:r>
      <w:r w:rsidR="00EE4133" w:rsidRPr="006571AC">
        <w:rPr>
          <w:rFonts w:ascii="Arial" w:hAnsi="Arial" w:hint="cs"/>
          <w:sz w:val="27"/>
          <w:rtl/>
        </w:rPr>
        <w:t>ٌ</w:t>
      </w:r>
      <w:r w:rsidRPr="006571AC">
        <w:rPr>
          <w:rFonts w:ascii="Arial" w:hAnsi="Arial" w:hint="cs"/>
          <w:sz w:val="27"/>
          <w:rtl/>
        </w:rPr>
        <w:t xml:space="preserve"> ضعيف</w:t>
      </w:r>
      <w:r w:rsidR="00EE4133" w:rsidRPr="006571AC">
        <w:rPr>
          <w:rFonts w:ascii="Arial" w:hAnsi="Arial" w:hint="cs"/>
          <w:sz w:val="27"/>
          <w:rtl/>
        </w:rPr>
        <w:t>ٌ؛</w:t>
      </w:r>
      <w:r w:rsidRPr="006571AC">
        <w:rPr>
          <w:rFonts w:ascii="Arial" w:hAnsi="Arial" w:hint="cs"/>
          <w:sz w:val="27"/>
          <w:rtl/>
        </w:rPr>
        <w:t xml:space="preserve"> لعدم مساعدة أخبار </w:t>
      </w:r>
      <w:r w:rsidRPr="006571AC">
        <w:rPr>
          <w:rFonts w:hint="eastAsia"/>
          <w:sz w:val="24"/>
          <w:szCs w:val="24"/>
          <w:rtl/>
        </w:rPr>
        <w:t>«</w:t>
      </w:r>
      <w:r w:rsidRPr="006571AC">
        <w:rPr>
          <w:rFonts w:ascii="Arial" w:hAnsi="Arial" w:hint="cs"/>
          <w:sz w:val="27"/>
          <w:rtl/>
        </w:rPr>
        <w:t>م</w:t>
      </w:r>
      <w:r w:rsidR="00EE4133" w:rsidRPr="006571AC">
        <w:rPr>
          <w:rFonts w:ascii="Arial" w:hAnsi="Arial" w:hint="cs"/>
          <w:sz w:val="27"/>
          <w:rtl/>
        </w:rPr>
        <w:t>َ</w:t>
      </w:r>
      <w:r w:rsidRPr="006571AC">
        <w:rPr>
          <w:rFonts w:ascii="Arial" w:hAnsi="Arial" w:hint="cs"/>
          <w:sz w:val="27"/>
          <w:rtl/>
        </w:rPr>
        <w:t>ن</w:t>
      </w:r>
      <w:r w:rsidR="00EE4133" w:rsidRPr="006571AC">
        <w:rPr>
          <w:rFonts w:ascii="Arial" w:hAnsi="Arial" w:hint="cs"/>
          <w:sz w:val="27"/>
          <w:rtl/>
        </w:rPr>
        <w:t>ْ</w:t>
      </w:r>
      <w:r w:rsidRPr="006571AC">
        <w:rPr>
          <w:rFonts w:ascii="Arial" w:hAnsi="Arial" w:hint="cs"/>
          <w:sz w:val="27"/>
          <w:rtl/>
        </w:rPr>
        <w:t xml:space="preserve"> بلغ</w:t>
      </w:r>
      <w:r w:rsidRPr="006571AC">
        <w:rPr>
          <w:rFonts w:hint="eastAsia"/>
          <w:sz w:val="24"/>
          <w:szCs w:val="24"/>
          <w:rtl/>
        </w:rPr>
        <w:t>»</w:t>
      </w:r>
      <w:r w:rsidRPr="006571AC">
        <w:rPr>
          <w:rFonts w:ascii="Arial" w:hAnsi="Arial" w:hint="cs"/>
          <w:sz w:val="27"/>
          <w:rtl/>
        </w:rPr>
        <w:t xml:space="preserve"> عليه. </w:t>
      </w:r>
    </w:p>
    <w:p w:rsidR="00BC707C" w:rsidRPr="006571AC" w:rsidRDefault="009B65D5" w:rsidP="002A2E03">
      <w:pPr>
        <w:contextualSpacing/>
        <w:rPr>
          <w:rFonts w:ascii="Arial" w:eastAsia="Calibri" w:hAnsi="Arial"/>
          <w:sz w:val="27"/>
          <w:rtl/>
          <w:lang w:bidi="ar-LB"/>
        </w:rPr>
      </w:pPr>
      <w:r w:rsidRPr="006571AC">
        <w:rPr>
          <w:rFonts w:ascii="Arial" w:eastAsia="Calibri" w:hAnsi="Arial" w:hint="cs"/>
          <w:sz w:val="27"/>
          <w:rtl/>
          <w:lang w:bidi="ar-LB"/>
        </w:rPr>
        <w:t xml:space="preserve">هـ ـ </w:t>
      </w:r>
      <w:r w:rsidRPr="006571AC">
        <w:rPr>
          <w:rFonts w:ascii="Arial" w:eastAsia="Calibri" w:hAnsi="Arial"/>
          <w:sz w:val="27"/>
          <w:rtl/>
          <w:lang w:bidi="ar-LB"/>
        </w:rPr>
        <w:t>التوس</w:t>
      </w:r>
      <w:r w:rsidR="00EE4133" w:rsidRPr="006571AC">
        <w:rPr>
          <w:rFonts w:ascii="Arial" w:eastAsia="Calibri" w:hAnsi="Arial" w:hint="cs"/>
          <w:sz w:val="27"/>
          <w:rtl/>
          <w:lang w:bidi="ar-LB"/>
        </w:rPr>
        <w:t>ُّ</w:t>
      </w:r>
      <w:r w:rsidRPr="006571AC">
        <w:rPr>
          <w:rFonts w:ascii="Arial" w:eastAsia="Calibri" w:hAnsi="Arial"/>
          <w:sz w:val="27"/>
          <w:rtl/>
          <w:lang w:bidi="ar-LB"/>
        </w:rPr>
        <w:t xml:space="preserve">ع للكراهة، </w:t>
      </w:r>
      <w:r w:rsidRPr="006571AC">
        <w:rPr>
          <w:rFonts w:ascii="Arial" w:eastAsia="Calibri" w:hAnsi="Arial" w:hint="cs"/>
          <w:sz w:val="27"/>
          <w:rtl/>
          <w:lang w:bidi="ar-LB"/>
        </w:rPr>
        <w:t>فقد أفت</w:t>
      </w:r>
      <w:r w:rsidR="00EE4133" w:rsidRPr="006571AC">
        <w:rPr>
          <w:rFonts w:ascii="Arial" w:eastAsia="Calibri" w:hAnsi="Arial" w:hint="cs"/>
          <w:sz w:val="27"/>
          <w:rtl/>
          <w:lang w:bidi="ar-LB"/>
        </w:rPr>
        <w:t>َ</w:t>
      </w:r>
      <w:r w:rsidRPr="006571AC">
        <w:rPr>
          <w:rFonts w:ascii="Arial" w:eastAsia="Calibri" w:hAnsi="Arial" w:hint="cs"/>
          <w:sz w:val="27"/>
          <w:rtl/>
          <w:lang w:bidi="ar-LB"/>
        </w:rPr>
        <w:t>و</w:t>
      </w:r>
      <w:r w:rsidR="00EE4133" w:rsidRPr="006571AC">
        <w:rPr>
          <w:rFonts w:ascii="Arial" w:eastAsia="Calibri" w:hAnsi="Arial" w:hint="cs"/>
          <w:sz w:val="27"/>
          <w:rtl/>
          <w:lang w:bidi="ar-LB"/>
        </w:rPr>
        <w:t>ْ</w:t>
      </w:r>
      <w:r w:rsidRPr="006571AC">
        <w:rPr>
          <w:rFonts w:ascii="Arial" w:eastAsia="Calibri" w:hAnsi="Arial" w:hint="cs"/>
          <w:sz w:val="27"/>
          <w:rtl/>
          <w:lang w:bidi="ar-LB"/>
        </w:rPr>
        <w:t>ا بالكراهة في موارد دلالة الخبر الضعيف عليها</w:t>
      </w:r>
      <w:r w:rsidR="00EE4133" w:rsidRPr="006571AC">
        <w:rPr>
          <w:rFonts w:ascii="Arial" w:eastAsia="Calibri" w:hAnsi="Arial" w:hint="cs"/>
          <w:sz w:val="27"/>
          <w:rtl/>
          <w:lang w:bidi="ar-LB"/>
        </w:rPr>
        <w:t>.</w:t>
      </w:r>
    </w:p>
    <w:p w:rsidR="00BC707C" w:rsidRPr="006571AC" w:rsidRDefault="009B65D5" w:rsidP="002A2E03">
      <w:pPr>
        <w:contextualSpacing/>
        <w:rPr>
          <w:rFonts w:ascii="Arial" w:eastAsia="Calibri" w:hAnsi="Arial"/>
          <w:sz w:val="27"/>
          <w:rtl/>
          <w:lang w:bidi="ar-LB"/>
        </w:rPr>
      </w:pPr>
      <w:r w:rsidRPr="006571AC">
        <w:rPr>
          <w:rFonts w:ascii="Arial" w:eastAsia="Calibri" w:hAnsi="Arial" w:hint="cs"/>
          <w:sz w:val="27"/>
          <w:rtl/>
          <w:lang w:bidi="ar-LB"/>
        </w:rPr>
        <w:t>وبر</w:t>
      </w:r>
      <w:r w:rsidR="00EE4133" w:rsidRPr="006571AC">
        <w:rPr>
          <w:rFonts w:ascii="Arial" w:eastAsia="Calibri" w:hAnsi="Arial" w:hint="cs"/>
          <w:sz w:val="27"/>
          <w:rtl/>
          <w:lang w:bidi="ar-LB"/>
        </w:rPr>
        <w:t>َّ</w:t>
      </w:r>
      <w:r w:rsidRPr="006571AC">
        <w:rPr>
          <w:rFonts w:ascii="Arial" w:eastAsia="Calibri" w:hAnsi="Arial" w:hint="cs"/>
          <w:sz w:val="27"/>
          <w:rtl/>
          <w:lang w:bidi="ar-LB"/>
        </w:rPr>
        <w:t>ره بعضهم بأنّ ترك المكروه مستحب</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وهو تبرير</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ضعيف</w:t>
      </w:r>
      <w:r w:rsidRPr="006571AC">
        <w:rPr>
          <w:rFonts w:ascii="Arial" w:eastAsia="Calibri" w:hAnsi="Arial"/>
          <w:sz w:val="27"/>
          <w:vertAlign w:val="superscript"/>
          <w:rtl/>
          <w:lang w:bidi="ar-LB"/>
        </w:rPr>
        <w:t>(</w:t>
      </w:r>
      <w:r w:rsidRPr="006571AC">
        <w:rPr>
          <w:rFonts w:ascii="Calibri" w:eastAsia="Calibri" w:hAnsi="Calibri"/>
          <w:sz w:val="27"/>
          <w:vertAlign w:val="superscript"/>
          <w:rtl/>
          <w:lang w:bidi="ar-LB"/>
        </w:rPr>
        <w:endnoteReference w:id="654"/>
      </w:r>
      <w:r w:rsidRPr="006571AC">
        <w:rPr>
          <w:rFonts w:ascii="Arial" w:eastAsia="Calibri" w:hAnsi="Arial"/>
          <w:sz w:val="27"/>
          <w:vertAlign w:val="superscript"/>
          <w:rtl/>
          <w:lang w:bidi="ar-LB"/>
        </w:rPr>
        <w:t>)</w:t>
      </w:r>
      <w:r w:rsidR="00BC707C" w:rsidRPr="006571AC">
        <w:rPr>
          <w:rFonts w:ascii="Arial" w:eastAsia="Calibri" w:hAnsi="Arial" w:hint="cs"/>
          <w:sz w:val="27"/>
          <w:rtl/>
          <w:lang w:bidi="ar-LB"/>
        </w:rPr>
        <w:t>.</w:t>
      </w:r>
    </w:p>
    <w:p w:rsidR="009B65D5" w:rsidRPr="006571AC" w:rsidRDefault="009B65D5" w:rsidP="002A2E03">
      <w:pPr>
        <w:contextualSpacing/>
        <w:rPr>
          <w:rFonts w:ascii="Arial" w:eastAsia="Calibri" w:hAnsi="Arial"/>
          <w:b/>
          <w:bCs/>
          <w:sz w:val="27"/>
          <w:lang w:bidi="ar-LB"/>
        </w:rPr>
      </w:pPr>
      <w:r w:rsidRPr="006571AC">
        <w:rPr>
          <w:rFonts w:ascii="Arial" w:eastAsia="Calibri" w:hAnsi="Arial" w:hint="cs"/>
          <w:sz w:val="27"/>
          <w:rtl/>
          <w:lang w:bidi="ar-LB"/>
        </w:rPr>
        <w:t xml:space="preserve">وقد رفض </w:t>
      </w:r>
      <w:r w:rsidRPr="006571AC">
        <w:rPr>
          <w:rFonts w:ascii="Arial" w:eastAsia="Calibri" w:hAnsi="Arial"/>
          <w:sz w:val="27"/>
          <w:rtl/>
          <w:lang w:bidi="ar-LB"/>
        </w:rPr>
        <w:t xml:space="preserve">بعض الفقهاء </w:t>
      </w:r>
      <w:r w:rsidRPr="006571AC">
        <w:rPr>
          <w:rFonts w:ascii="Arial" w:eastAsia="Calibri" w:hAnsi="Arial" w:hint="cs"/>
          <w:sz w:val="27"/>
          <w:rtl/>
          <w:lang w:bidi="ar-LB"/>
        </w:rPr>
        <w:t>هذا التوس</w:t>
      </w:r>
      <w:r w:rsidR="00BC707C" w:rsidRPr="006571AC">
        <w:rPr>
          <w:rFonts w:ascii="Arial" w:eastAsia="Calibri" w:hAnsi="Arial" w:hint="cs"/>
          <w:sz w:val="27"/>
          <w:rtl/>
          <w:lang w:bidi="ar-LB"/>
        </w:rPr>
        <w:t>ُّ</w:t>
      </w:r>
      <w:r w:rsidRPr="006571AC">
        <w:rPr>
          <w:rFonts w:ascii="Arial" w:eastAsia="Calibri" w:hAnsi="Arial" w:hint="cs"/>
          <w:sz w:val="27"/>
          <w:rtl/>
          <w:lang w:bidi="ar-LB"/>
        </w:rPr>
        <w:t>ع، أو استشكلوا فيه</w:t>
      </w:r>
      <w:r w:rsidRPr="006571AC">
        <w:rPr>
          <w:rFonts w:ascii="Arial" w:eastAsia="Calibri" w:hAnsi="Arial"/>
          <w:sz w:val="27"/>
          <w:vertAlign w:val="superscript"/>
          <w:rtl/>
          <w:lang w:bidi="ar-LB"/>
        </w:rPr>
        <w:t>(</w:t>
      </w:r>
      <w:r w:rsidRPr="006571AC">
        <w:rPr>
          <w:rFonts w:ascii="Calibri" w:eastAsia="Calibri" w:hAnsi="Calibri"/>
          <w:sz w:val="27"/>
          <w:vertAlign w:val="superscript"/>
          <w:rtl/>
          <w:lang w:bidi="ar-LB"/>
        </w:rPr>
        <w:endnoteReference w:id="655"/>
      </w:r>
      <w:r w:rsidRPr="006571AC">
        <w:rPr>
          <w:rFonts w:ascii="Arial" w:eastAsia="Calibri" w:hAnsi="Arial"/>
          <w:sz w:val="27"/>
          <w:vertAlign w:val="superscript"/>
          <w:rtl/>
          <w:lang w:bidi="ar-LB"/>
        </w:rPr>
        <w:t>)</w:t>
      </w:r>
      <w:r w:rsidRPr="006571AC">
        <w:rPr>
          <w:rFonts w:ascii="Arial" w:eastAsia="Calibri" w:hAnsi="Arial" w:hint="cs"/>
          <w:sz w:val="27"/>
          <w:rtl/>
          <w:lang w:bidi="ar-LB"/>
        </w:rPr>
        <w:t>. والوجه</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في ضعف هذا التوس</w:t>
      </w:r>
      <w:r w:rsidR="00BC707C" w:rsidRPr="006571AC">
        <w:rPr>
          <w:rFonts w:ascii="Arial" w:eastAsia="Calibri" w:hAnsi="Arial" w:hint="cs"/>
          <w:sz w:val="27"/>
          <w:rtl/>
          <w:lang w:bidi="ar-LB"/>
        </w:rPr>
        <w:t>ُّ</w:t>
      </w:r>
      <w:r w:rsidRPr="006571AC">
        <w:rPr>
          <w:rFonts w:ascii="Arial" w:eastAsia="Calibri" w:hAnsi="Arial" w:hint="cs"/>
          <w:sz w:val="27"/>
          <w:rtl/>
          <w:lang w:bidi="ar-LB"/>
        </w:rPr>
        <w:t>ع</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وكذا سابقه، أ</w:t>
      </w:r>
      <w:r w:rsidRPr="006571AC">
        <w:rPr>
          <w:rFonts w:ascii="Arial" w:eastAsia="Calibri" w:hAnsi="Arial"/>
          <w:sz w:val="27"/>
          <w:rtl/>
          <w:lang w:bidi="ar-LB"/>
        </w:rPr>
        <w:t>ن</w:t>
      </w:r>
      <w:r w:rsidRPr="006571AC">
        <w:rPr>
          <w:rFonts w:ascii="Arial" w:eastAsia="Calibri" w:hAnsi="Arial" w:hint="cs"/>
          <w:sz w:val="27"/>
          <w:rtl/>
          <w:lang w:bidi="ar-LB"/>
        </w:rPr>
        <w:t>ّ</w:t>
      </w:r>
      <w:r w:rsidRPr="006571AC">
        <w:rPr>
          <w:rFonts w:ascii="Arial" w:eastAsia="Calibri" w:hAnsi="Arial"/>
          <w:sz w:val="27"/>
          <w:rtl/>
          <w:lang w:bidi="ar-LB"/>
        </w:rPr>
        <w:t xml:space="preserve"> الظاهر من الثواب على العمل هو الثواب على الفعل</w:t>
      </w:r>
      <w:r w:rsidR="00BC707C" w:rsidRPr="006571AC">
        <w:rPr>
          <w:rFonts w:ascii="Arial" w:eastAsia="Calibri" w:hAnsi="Arial" w:hint="cs"/>
          <w:sz w:val="27"/>
          <w:rtl/>
          <w:lang w:bidi="ar-LB"/>
        </w:rPr>
        <w:t>،</w:t>
      </w:r>
      <w:r w:rsidRPr="006571AC">
        <w:rPr>
          <w:rFonts w:ascii="Arial" w:eastAsia="Calibri" w:hAnsi="Arial"/>
          <w:sz w:val="27"/>
          <w:rtl/>
          <w:lang w:bidi="ar-LB"/>
        </w:rPr>
        <w:t xml:space="preserve"> لا على الترك، وليس الترك مستحب</w:t>
      </w:r>
      <w:r w:rsidR="00BC707C" w:rsidRPr="006571AC">
        <w:rPr>
          <w:rFonts w:ascii="Arial" w:eastAsia="Calibri" w:hAnsi="Arial" w:hint="cs"/>
          <w:sz w:val="27"/>
          <w:rtl/>
          <w:lang w:bidi="ar-LB"/>
        </w:rPr>
        <w:t>ّ</w:t>
      </w:r>
      <w:r w:rsidRPr="006571AC">
        <w:rPr>
          <w:rFonts w:ascii="Arial" w:eastAsia="Calibri" w:hAnsi="Arial"/>
          <w:sz w:val="27"/>
          <w:rtl/>
          <w:lang w:bidi="ar-LB"/>
        </w:rPr>
        <w:t>ا</w:t>
      </w:r>
      <w:r w:rsidR="00BC707C" w:rsidRPr="006571AC">
        <w:rPr>
          <w:rFonts w:ascii="Arial" w:eastAsia="Calibri" w:hAnsi="Arial" w:hint="cs"/>
          <w:sz w:val="27"/>
          <w:rtl/>
          <w:lang w:bidi="ar-LB"/>
        </w:rPr>
        <w:t>ً</w:t>
      </w:r>
      <w:r w:rsidRPr="006571AC">
        <w:rPr>
          <w:rFonts w:ascii="Arial" w:eastAsia="Calibri" w:hAnsi="Arial"/>
          <w:sz w:val="27"/>
          <w:rtl/>
          <w:lang w:bidi="ar-LB"/>
        </w:rPr>
        <w:t xml:space="preserve"> شرعيا</w:t>
      </w:r>
      <w:r w:rsidRPr="006571AC">
        <w:rPr>
          <w:rFonts w:ascii="Arial" w:eastAsia="Calibri" w:hAnsi="Arial" w:hint="cs"/>
          <w:sz w:val="27"/>
          <w:rtl/>
          <w:lang w:bidi="ar-LB"/>
        </w:rPr>
        <w:t>ً</w:t>
      </w:r>
      <w:r w:rsidR="00BC707C" w:rsidRPr="006571AC">
        <w:rPr>
          <w:rFonts w:ascii="Arial" w:eastAsia="Calibri" w:hAnsi="Arial" w:hint="cs"/>
          <w:sz w:val="27"/>
          <w:rtl/>
          <w:lang w:bidi="ar-LB"/>
        </w:rPr>
        <w:t>؛</w:t>
      </w:r>
      <w:r w:rsidRPr="006571AC">
        <w:rPr>
          <w:rFonts w:ascii="Arial" w:eastAsia="Calibri" w:hAnsi="Arial"/>
          <w:sz w:val="27"/>
          <w:rtl/>
          <w:lang w:bidi="ar-LB"/>
        </w:rPr>
        <w:t xml:space="preserve"> لعدم انحلال الحكم إلى حكمين</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56"/>
      </w:r>
      <w:r w:rsidRPr="006571AC">
        <w:rPr>
          <w:rFonts w:ascii="Arial" w:eastAsia="Calibri" w:hAnsi="Arial"/>
          <w:sz w:val="27"/>
          <w:vertAlign w:val="superscript"/>
          <w:rtl/>
          <w:lang w:bidi="ar-LB"/>
        </w:rPr>
        <w:t>)</w:t>
      </w:r>
      <w:r w:rsidRPr="006571AC">
        <w:rPr>
          <w:rFonts w:ascii="Arial" w:eastAsia="Calibri" w:hAnsi="Arial"/>
          <w:sz w:val="27"/>
          <w:rtl/>
          <w:lang w:bidi="ar-LB"/>
        </w:rPr>
        <w:t xml:space="preserve">. </w:t>
      </w:r>
    </w:p>
    <w:p w:rsidR="009B65D5" w:rsidRPr="006571AC" w:rsidRDefault="009B65D5" w:rsidP="002A2E03">
      <w:pPr>
        <w:contextualSpacing/>
        <w:rPr>
          <w:rFonts w:ascii="Arial" w:eastAsia="Calibri" w:hAnsi="Arial"/>
          <w:b/>
          <w:bCs/>
          <w:sz w:val="27"/>
          <w:rtl/>
          <w:lang w:bidi="ar-LB"/>
        </w:rPr>
      </w:pPr>
      <w:r w:rsidRPr="006571AC">
        <w:rPr>
          <w:rFonts w:ascii="Arial" w:eastAsia="Calibri" w:hAnsi="Arial" w:hint="cs"/>
          <w:sz w:val="27"/>
          <w:rtl/>
          <w:lang w:bidi="ar-LB"/>
        </w:rPr>
        <w:t>ولا يعنينا هنا البحث التفصيلي في التوس</w:t>
      </w:r>
      <w:r w:rsidR="00BC707C" w:rsidRPr="006571AC">
        <w:rPr>
          <w:rFonts w:ascii="Arial" w:eastAsia="Calibri" w:hAnsi="Arial" w:hint="cs"/>
          <w:sz w:val="27"/>
          <w:rtl/>
          <w:lang w:bidi="ar-LB"/>
        </w:rPr>
        <w:t>ُّ</w:t>
      </w:r>
      <w:r w:rsidRPr="006571AC">
        <w:rPr>
          <w:rFonts w:ascii="Arial" w:eastAsia="Calibri" w:hAnsi="Arial" w:hint="cs"/>
          <w:sz w:val="27"/>
          <w:rtl/>
          <w:lang w:bidi="ar-LB"/>
        </w:rPr>
        <w:t>عات المتقد</w:t>
      </w:r>
      <w:r w:rsidR="00BC707C" w:rsidRPr="006571AC">
        <w:rPr>
          <w:rFonts w:ascii="Arial" w:eastAsia="Calibri" w:hAnsi="Arial" w:hint="cs"/>
          <w:sz w:val="27"/>
          <w:rtl/>
          <w:lang w:bidi="ar-LB"/>
        </w:rPr>
        <w:t>ِّ</w:t>
      </w:r>
      <w:r w:rsidRPr="006571AC">
        <w:rPr>
          <w:rFonts w:ascii="Arial" w:eastAsia="Calibri" w:hAnsi="Arial" w:hint="cs"/>
          <w:sz w:val="27"/>
          <w:rtl/>
          <w:lang w:bidi="ar-LB"/>
        </w:rPr>
        <w:t>مة، فمحل</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ذلك في الأصول أو في القواعد الفقهية، حيث يتم</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بحث تلك القاعدة</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على أننا بعد رفض القاعدة من أساسها يكون ما ب</w:t>
      </w:r>
      <w:r w:rsidR="00BC707C" w:rsidRPr="006571AC">
        <w:rPr>
          <w:rFonts w:ascii="Arial" w:eastAsia="Calibri" w:hAnsi="Arial" w:hint="cs"/>
          <w:sz w:val="27"/>
          <w:rtl/>
          <w:lang w:bidi="ar-LB"/>
        </w:rPr>
        <w:t>ُ</w:t>
      </w:r>
      <w:r w:rsidRPr="006571AC">
        <w:rPr>
          <w:rFonts w:ascii="Arial" w:eastAsia="Calibri" w:hAnsi="Arial" w:hint="cs"/>
          <w:sz w:val="27"/>
          <w:rtl/>
          <w:lang w:bidi="ar-LB"/>
        </w:rPr>
        <w:t>ني عليها من توس</w:t>
      </w:r>
      <w:r w:rsidR="00BC707C" w:rsidRPr="006571AC">
        <w:rPr>
          <w:rFonts w:ascii="Arial" w:eastAsia="Calibri" w:hAnsi="Arial" w:hint="cs"/>
          <w:sz w:val="27"/>
          <w:rtl/>
          <w:lang w:bidi="ar-LB"/>
        </w:rPr>
        <w:t>ُّ</w:t>
      </w:r>
      <w:r w:rsidRPr="006571AC">
        <w:rPr>
          <w:rFonts w:ascii="Arial" w:eastAsia="Calibri" w:hAnsi="Arial" w:hint="cs"/>
          <w:sz w:val="27"/>
          <w:rtl/>
          <w:lang w:bidi="ar-LB"/>
        </w:rPr>
        <w:t>عات</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باطلاً. </w:t>
      </w:r>
    </w:p>
    <w:p w:rsidR="009B65D5" w:rsidRPr="006571AC" w:rsidRDefault="009B65D5" w:rsidP="002A2E03">
      <w:pPr>
        <w:contextualSpacing/>
        <w:rPr>
          <w:rFonts w:ascii="Arial" w:eastAsia="Calibri" w:hAnsi="Arial"/>
          <w:b/>
          <w:bCs/>
          <w:sz w:val="27"/>
          <w:rtl/>
          <w:lang w:bidi="ar-LB"/>
        </w:rPr>
      </w:pPr>
      <w:r w:rsidRPr="006571AC">
        <w:rPr>
          <w:rFonts w:ascii="Arial" w:eastAsia="Calibri" w:hAnsi="Arial" w:hint="cs"/>
          <w:sz w:val="27"/>
          <w:rtl/>
          <w:lang w:bidi="ar-LB"/>
        </w:rPr>
        <w:t>و ـ شمول القاعدة للروايات المرويّة من طرق الس</w:t>
      </w:r>
      <w:r w:rsidR="00BC707C" w:rsidRPr="006571AC">
        <w:rPr>
          <w:rFonts w:ascii="Arial" w:eastAsia="Calibri" w:hAnsi="Arial" w:hint="cs"/>
          <w:sz w:val="27"/>
          <w:rtl/>
          <w:lang w:bidi="ar-LB"/>
        </w:rPr>
        <w:t>ُّ</w:t>
      </w:r>
      <w:r w:rsidRPr="006571AC">
        <w:rPr>
          <w:rFonts w:ascii="Arial" w:eastAsia="Calibri" w:hAnsi="Arial" w:hint="cs"/>
          <w:sz w:val="27"/>
          <w:rtl/>
          <w:lang w:bidi="ar-LB"/>
        </w:rPr>
        <w:t>ن</w:t>
      </w:r>
      <w:r w:rsidR="00BC707C" w:rsidRPr="006571AC">
        <w:rPr>
          <w:rFonts w:ascii="Arial" w:eastAsia="Calibri" w:hAnsi="Arial" w:hint="cs"/>
          <w:sz w:val="27"/>
          <w:rtl/>
          <w:lang w:bidi="ar-LB"/>
        </w:rPr>
        <w:t>ّ</w:t>
      </w:r>
      <w:r w:rsidRPr="006571AC">
        <w:rPr>
          <w:rFonts w:ascii="Arial" w:eastAsia="Calibri" w:hAnsi="Arial" w:hint="cs"/>
          <w:sz w:val="27"/>
          <w:rtl/>
          <w:lang w:bidi="ar-LB"/>
        </w:rPr>
        <w:t>ة</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57"/>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في شت</w:t>
      </w:r>
      <w:r w:rsidR="00BC707C" w:rsidRPr="006571AC">
        <w:rPr>
          <w:rFonts w:ascii="Arial" w:eastAsia="Calibri" w:hAnsi="Arial" w:hint="cs"/>
          <w:sz w:val="27"/>
          <w:rtl/>
          <w:lang w:bidi="ar-LB"/>
        </w:rPr>
        <w:t>ّ</w:t>
      </w:r>
      <w:r w:rsidRPr="006571AC">
        <w:rPr>
          <w:rFonts w:ascii="Arial" w:eastAsia="Calibri" w:hAnsi="Arial" w:hint="cs"/>
          <w:sz w:val="27"/>
          <w:rtl/>
          <w:lang w:bidi="ar-LB"/>
        </w:rPr>
        <w:t>ى الفروع الفقهية، والحقيقة أنّ هذا توس</w:t>
      </w:r>
      <w:r w:rsidR="00BC707C" w:rsidRPr="006571AC">
        <w:rPr>
          <w:rFonts w:ascii="Arial" w:eastAsia="Calibri" w:hAnsi="Arial" w:hint="cs"/>
          <w:sz w:val="27"/>
          <w:rtl/>
          <w:lang w:bidi="ar-LB"/>
        </w:rPr>
        <w:t>ُّ</w:t>
      </w:r>
      <w:r w:rsidRPr="006571AC">
        <w:rPr>
          <w:rFonts w:ascii="Arial" w:eastAsia="Calibri" w:hAnsi="Arial" w:hint="cs"/>
          <w:sz w:val="27"/>
          <w:rtl/>
          <w:lang w:bidi="ar-LB"/>
        </w:rPr>
        <w:t>ع</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كبير للغاية ع</w:t>
      </w:r>
      <w:r w:rsidR="00BC707C" w:rsidRPr="006571AC">
        <w:rPr>
          <w:rFonts w:ascii="Arial" w:eastAsia="Calibri" w:hAnsi="Arial" w:hint="cs"/>
          <w:sz w:val="27"/>
          <w:rtl/>
          <w:lang w:bidi="ar-LB"/>
        </w:rPr>
        <w:t>َ</w:t>
      </w:r>
      <w:r w:rsidRPr="006571AC">
        <w:rPr>
          <w:rFonts w:ascii="Arial" w:eastAsia="Calibri" w:hAnsi="Arial" w:hint="cs"/>
          <w:sz w:val="27"/>
          <w:rtl/>
          <w:lang w:bidi="ar-LB"/>
        </w:rPr>
        <w:t>ر</w:t>
      </w:r>
      <w:r w:rsidR="00BC707C" w:rsidRPr="006571AC">
        <w:rPr>
          <w:rFonts w:ascii="Arial" w:eastAsia="Calibri" w:hAnsi="Arial" w:hint="cs"/>
          <w:sz w:val="27"/>
          <w:rtl/>
          <w:lang w:bidi="ar-LB"/>
        </w:rPr>
        <w:t>َ</w:t>
      </w:r>
      <w:r w:rsidRPr="006571AC">
        <w:rPr>
          <w:rFonts w:ascii="Arial" w:eastAsia="Calibri" w:hAnsi="Arial" w:hint="cs"/>
          <w:sz w:val="27"/>
          <w:rtl/>
          <w:lang w:bidi="ar-LB"/>
        </w:rPr>
        <w:t>ف</w:t>
      </w:r>
      <w:r w:rsidR="00BC707C" w:rsidRPr="006571AC">
        <w:rPr>
          <w:rFonts w:ascii="Arial" w:eastAsia="Calibri" w:hAnsi="Arial" w:hint="cs"/>
          <w:sz w:val="27"/>
          <w:rtl/>
          <w:lang w:bidi="ar-LB"/>
        </w:rPr>
        <w:t>َ</w:t>
      </w:r>
      <w:r w:rsidRPr="006571AC">
        <w:rPr>
          <w:rFonts w:ascii="Arial" w:eastAsia="Calibri" w:hAnsi="Arial" w:hint="cs"/>
          <w:sz w:val="27"/>
          <w:rtl/>
          <w:lang w:bidi="ar-LB"/>
        </w:rPr>
        <w:t>ت</w:t>
      </w:r>
      <w:r w:rsidR="00BC707C" w:rsidRPr="006571AC">
        <w:rPr>
          <w:rFonts w:ascii="Arial" w:eastAsia="Calibri" w:hAnsi="Arial" w:hint="cs"/>
          <w:sz w:val="27"/>
          <w:rtl/>
          <w:lang w:bidi="ar-LB"/>
        </w:rPr>
        <w:t>ْ</w:t>
      </w:r>
      <w:r w:rsidRPr="006571AC">
        <w:rPr>
          <w:rFonts w:ascii="Arial" w:eastAsia="Calibri" w:hAnsi="Arial" w:hint="cs"/>
          <w:sz w:val="27"/>
          <w:rtl/>
          <w:lang w:bidi="ar-LB"/>
        </w:rPr>
        <w:t>ه القاعدة، بما جعلها شاملة</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للتراث الحديثي غير الإمامي، وعلى رأس ذلك الأخبار </w:t>
      </w:r>
      <w:r w:rsidRPr="006571AC">
        <w:rPr>
          <w:rFonts w:ascii="Arial" w:eastAsia="Calibri" w:hAnsi="Arial"/>
          <w:sz w:val="27"/>
          <w:rtl/>
          <w:lang w:bidi="ar-LB"/>
        </w:rPr>
        <w:t>المروية من طرق السن</w:t>
      </w:r>
      <w:r w:rsidR="00BC707C" w:rsidRPr="006571AC">
        <w:rPr>
          <w:rFonts w:ascii="Arial" w:eastAsia="Calibri" w:hAnsi="Arial" w:hint="cs"/>
          <w:sz w:val="27"/>
          <w:rtl/>
          <w:lang w:bidi="ar-LB"/>
        </w:rPr>
        <w:t>ّ</w:t>
      </w:r>
      <w:r w:rsidRPr="006571AC">
        <w:rPr>
          <w:rFonts w:ascii="Arial" w:eastAsia="Calibri" w:hAnsi="Arial"/>
          <w:sz w:val="27"/>
          <w:rtl/>
          <w:lang w:bidi="ar-LB"/>
        </w:rPr>
        <w:t>ة</w:t>
      </w:r>
      <w:r w:rsidRPr="006571AC">
        <w:rPr>
          <w:rFonts w:ascii="Arial" w:eastAsia="Calibri" w:hAnsi="Arial" w:hint="cs"/>
          <w:sz w:val="27"/>
          <w:rtl/>
          <w:lang w:bidi="ar-LB"/>
        </w:rPr>
        <w:t>. وأخبارهم وإن</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كانت في نظر المشهور </w:t>
      </w:r>
      <w:r w:rsidR="00BC707C" w:rsidRPr="006571AC">
        <w:rPr>
          <w:rFonts w:ascii="Arial" w:eastAsia="Calibri" w:hAnsi="Arial" w:hint="cs"/>
          <w:sz w:val="27"/>
          <w:rtl/>
          <w:lang w:bidi="ar-LB"/>
        </w:rPr>
        <w:t>غير</w:t>
      </w:r>
      <w:r w:rsidRPr="006571AC">
        <w:rPr>
          <w:rFonts w:ascii="Arial" w:eastAsia="Calibri" w:hAnsi="Arial" w:hint="cs"/>
          <w:sz w:val="27"/>
          <w:rtl/>
          <w:lang w:bidi="ar-LB"/>
        </w:rPr>
        <w:t xml:space="preserve"> حج</w:t>
      </w:r>
      <w:r w:rsidR="00BC707C" w:rsidRPr="006571AC">
        <w:rPr>
          <w:rFonts w:ascii="Arial" w:eastAsia="Calibri" w:hAnsi="Arial" w:hint="cs"/>
          <w:sz w:val="27"/>
          <w:rtl/>
          <w:lang w:bidi="ar-LB"/>
        </w:rPr>
        <w:t>ّ</w:t>
      </w:r>
      <w:r w:rsidRPr="006571AC">
        <w:rPr>
          <w:rFonts w:ascii="Arial" w:eastAsia="Calibri" w:hAnsi="Arial" w:hint="cs"/>
          <w:sz w:val="27"/>
          <w:rtl/>
          <w:lang w:bidi="ar-LB"/>
        </w:rPr>
        <w:t>ة</w:t>
      </w:r>
      <w:r w:rsidR="00BC707C" w:rsidRPr="006571AC">
        <w:rPr>
          <w:rFonts w:ascii="Arial" w:eastAsia="Calibri" w:hAnsi="Arial" w:hint="cs"/>
          <w:sz w:val="27"/>
          <w:rtl/>
          <w:lang w:bidi="ar-LB"/>
        </w:rPr>
        <w:t>ٍ</w:t>
      </w:r>
      <w:r w:rsidRPr="006571AC">
        <w:rPr>
          <w:rFonts w:ascii="Arial" w:eastAsia="Calibri" w:hAnsi="Arial"/>
          <w:sz w:val="27"/>
          <w:vertAlign w:val="superscript"/>
          <w:rtl/>
          <w:lang w:bidi="ar-LB"/>
        </w:rPr>
        <w:t>(</w:t>
      </w:r>
      <w:r w:rsidRPr="006571AC">
        <w:rPr>
          <w:rStyle w:val="ac"/>
          <w:rFonts w:ascii="Arial" w:eastAsia="Calibri" w:hAnsi="Arial"/>
          <w:sz w:val="27"/>
          <w:rtl/>
          <w:lang w:bidi="ar-LB"/>
        </w:rPr>
        <w:endnoteReference w:id="658"/>
      </w:r>
      <w:r w:rsidRPr="006571AC">
        <w:rPr>
          <w:rFonts w:ascii="Arial" w:eastAsia="Calibri" w:hAnsi="Arial"/>
          <w:sz w:val="27"/>
          <w:vertAlign w:val="superscript"/>
          <w:rtl/>
          <w:lang w:bidi="ar-LB"/>
        </w:rPr>
        <w:t>)</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ولا يعتمدون عليها، ولكنّ الوارد منها في خصوص الس</w:t>
      </w:r>
      <w:r w:rsidR="00BC707C" w:rsidRPr="006571AC">
        <w:rPr>
          <w:rFonts w:ascii="Arial" w:eastAsia="Calibri" w:hAnsi="Arial" w:hint="cs"/>
          <w:sz w:val="27"/>
          <w:rtl/>
          <w:lang w:bidi="ar-LB"/>
        </w:rPr>
        <w:t>ُّ</w:t>
      </w:r>
      <w:r w:rsidRPr="006571AC">
        <w:rPr>
          <w:rFonts w:ascii="Arial" w:eastAsia="Calibri" w:hAnsi="Arial" w:hint="cs"/>
          <w:sz w:val="27"/>
          <w:rtl/>
          <w:lang w:bidi="ar-LB"/>
        </w:rPr>
        <w:t>ن</w:t>
      </w:r>
      <w:r w:rsidR="00BC707C" w:rsidRPr="006571AC">
        <w:rPr>
          <w:rFonts w:ascii="Arial" w:eastAsia="Calibri" w:hAnsi="Arial" w:hint="cs"/>
          <w:sz w:val="27"/>
          <w:rtl/>
          <w:lang w:bidi="ar-LB"/>
        </w:rPr>
        <w:t>َ</w:t>
      </w:r>
      <w:r w:rsidRPr="006571AC">
        <w:rPr>
          <w:rFonts w:ascii="Arial" w:eastAsia="Calibri" w:hAnsi="Arial" w:hint="cs"/>
          <w:sz w:val="27"/>
          <w:rtl/>
          <w:lang w:bidi="ar-LB"/>
        </w:rPr>
        <w:t>ن وما يلحق بها يمكن بنظرهم الاعتماد عليها</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لشمول أخبار </w:t>
      </w:r>
      <w:r w:rsidRPr="006571AC">
        <w:rPr>
          <w:rFonts w:hint="eastAsia"/>
          <w:sz w:val="24"/>
          <w:szCs w:val="24"/>
          <w:rtl/>
          <w:lang w:bidi="ar-LB"/>
        </w:rPr>
        <w:t>«</w:t>
      </w:r>
      <w:r w:rsidRPr="006571AC">
        <w:rPr>
          <w:rFonts w:ascii="Arial" w:eastAsia="Calibri" w:hAnsi="Arial" w:hint="cs"/>
          <w:sz w:val="27"/>
          <w:rtl/>
          <w:lang w:bidi="ar-LB"/>
        </w:rPr>
        <w:t>م</w:t>
      </w:r>
      <w:r w:rsidR="00BC707C" w:rsidRPr="006571AC">
        <w:rPr>
          <w:rFonts w:ascii="Arial" w:eastAsia="Calibri" w:hAnsi="Arial" w:hint="cs"/>
          <w:sz w:val="27"/>
          <w:rtl/>
          <w:lang w:bidi="ar-LB"/>
        </w:rPr>
        <w:t>َ</w:t>
      </w:r>
      <w:r w:rsidRPr="006571AC">
        <w:rPr>
          <w:rFonts w:ascii="Arial" w:eastAsia="Calibri" w:hAnsi="Arial" w:hint="cs"/>
          <w:sz w:val="27"/>
          <w:rtl/>
          <w:lang w:bidi="ar-LB"/>
        </w:rPr>
        <w:t>ن</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بلغ</w:t>
      </w:r>
      <w:r w:rsidRPr="006571AC">
        <w:rPr>
          <w:rFonts w:hint="eastAsia"/>
          <w:sz w:val="24"/>
          <w:szCs w:val="24"/>
          <w:rtl/>
        </w:rPr>
        <w:t>»</w:t>
      </w:r>
      <w:r w:rsidRPr="006571AC">
        <w:rPr>
          <w:rFonts w:ascii="Arial" w:eastAsia="Calibri" w:hAnsi="Arial" w:hint="cs"/>
          <w:sz w:val="27"/>
          <w:rtl/>
          <w:lang w:bidi="ar-LB"/>
        </w:rPr>
        <w:t xml:space="preserve"> لها</w:t>
      </w:r>
      <w:r w:rsidR="00BC707C" w:rsidRPr="006571AC">
        <w:rPr>
          <w:rFonts w:ascii="Arial" w:eastAsia="Calibri" w:hAnsi="Arial" w:hint="cs"/>
          <w:sz w:val="27"/>
          <w:rtl/>
          <w:lang w:bidi="ar-LB"/>
        </w:rPr>
        <w:t>.</w:t>
      </w:r>
      <w:r w:rsidRPr="006571AC">
        <w:rPr>
          <w:rFonts w:ascii="Arial" w:eastAsia="Calibri" w:hAnsi="Arial"/>
          <w:sz w:val="27"/>
          <w:rtl/>
          <w:lang w:bidi="ar-LB"/>
        </w:rPr>
        <w:t xml:space="preserve"> </w:t>
      </w:r>
      <w:r w:rsidRPr="006571AC">
        <w:rPr>
          <w:rFonts w:ascii="Arial" w:eastAsia="Calibri" w:hAnsi="Arial" w:hint="cs"/>
          <w:sz w:val="27"/>
          <w:rtl/>
          <w:lang w:bidi="ar-LB"/>
        </w:rPr>
        <w:t>وقد نصّ على ذلك غير واحد</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من الفقهاء.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 xml:space="preserve"> قال الشيخ </w:t>
      </w:r>
      <w:r w:rsidRPr="006571AC">
        <w:rPr>
          <w:rFonts w:ascii="Arial" w:eastAsia="Calibri" w:hAnsi="Arial"/>
          <w:sz w:val="27"/>
          <w:rtl/>
          <w:lang w:bidi="ar-LB"/>
        </w:rPr>
        <w:t xml:space="preserve">حسين بن عبد الصمد </w:t>
      </w:r>
      <w:r w:rsidRPr="006571AC">
        <w:rPr>
          <w:rFonts w:ascii="Arial" w:eastAsia="Calibri" w:hAnsi="Arial" w:hint="cs"/>
          <w:sz w:val="27"/>
          <w:rtl/>
          <w:lang w:bidi="ar-LB"/>
        </w:rPr>
        <w:t xml:space="preserve">العاملي: </w:t>
      </w:r>
      <w:r w:rsidRPr="006571AC">
        <w:rPr>
          <w:rFonts w:hint="eastAsia"/>
          <w:sz w:val="24"/>
          <w:szCs w:val="24"/>
          <w:rtl/>
          <w:lang w:bidi="ar-LB"/>
        </w:rPr>
        <w:t>«</w:t>
      </w:r>
      <w:r w:rsidRPr="006571AC">
        <w:rPr>
          <w:rFonts w:ascii="Arial" w:eastAsia="Calibri" w:hAnsi="Arial"/>
          <w:sz w:val="27"/>
          <w:rtl/>
          <w:lang w:bidi="ar-LB"/>
        </w:rPr>
        <w:t>ولهذا لم يز</w:t>
      </w:r>
      <w:r w:rsidR="00BC707C" w:rsidRPr="006571AC">
        <w:rPr>
          <w:rFonts w:ascii="Arial" w:eastAsia="Calibri" w:hAnsi="Arial" w:hint="cs"/>
          <w:sz w:val="27"/>
          <w:rtl/>
          <w:lang w:bidi="ar-LB"/>
        </w:rPr>
        <w:t>َ</w:t>
      </w:r>
      <w:r w:rsidRPr="006571AC">
        <w:rPr>
          <w:rFonts w:ascii="Arial" w:eastAsia="Calibri" w:hAnsi="Arial"/>
          <w:sz w:val="27"/>
          <w:rtl/>
          <w:lang w:bidi="ar-LB"/>
        </w:rPr>
        <w:t>ل</w:t>
      </w:r>
      <w:r w:rsidR="00BC707C" w:rsidRPr="006571AC">
        <w:rPr>
          <w:rFonts w:ascii="Arial" w:eastAsia="Calibri" w:hAnsi="Arial" w:hint="cs"/>
          <w:sz w:val="27"/>
          <w:rtl/>
          <w:lang w:bidi="ar-LB"/>
        </w:rPr>
        <w:t>ْ</w:t>
      </w:r>
      <w:r w:rsidRPr="006571AC">
        <w:rPr>
          <w:rFonts w:ascii="Arial" w:eastAsia="Calibri" w:hAnsi="Arial"/>
          <w:sz w:val="27"/>
          <w:rtl/>
          <w:lang w:bidi="ar-LB"/>
        </w:rPr>
        <w:t xml:space="preserve"> علماؤنا المتقد</w:t>
      </w:r>
      <w:r w:rsidR="00BC707C" w:rsidRPr="006571AC">
        <w:rPr>
          <w:rFonts w:ascii="Arial" w:eastAsia="Calibri" w:hAnsi="Arial" w:hint="cs"/>
          <w:sz w:val="27"/>
          <w:rtl/>
          <w:lang w:bidi="ar-LB"/>
        </w:rPr>
        <w:t>ِّ</w:t>
      </w:r>
      <w:r w:rsidRPr="006571AC">
        <w:rPr>
          <w:rFonts w:ascii="Arial" w:eastAsia="Calibri" w:hAnsi="Arial"/>
          <w:sz w:val="27"/>
          <w:rtl/>
          <w:lang w:bidi="ar-LB"/>
        </w:rPr>
        <w:t xml:space="preserve">مون </w:t>
      </w:r>
      <w:r w:rsidRPr="006571AC">
        <w:rPr>
          <w:rFonts w:ascii="Arial" w:eastAsia="Calibri" w:hAnsi="Arial"/>
          <w:sz w:val="27"/>
          <w:rtl/>
          <w:lang w:bidi="ar-LB"/>
        </w:rPr>
        <w:lastRenderedPageBreak/>
        <w:t>والمتأخ</w:t>
      </w:r>
      <w:r w:rsidR="00BC707C" w:rsidRPr="006571AC">
        <w:rPr>
          <w:rFonts w:ascii="Arial" w:eastAsia="Calibri" w:hAnsi="Arial" w:hint="cs"/>
          <w:sz w:val="27"/>
          <w:rtl/>
          <w:lang w:bidi="ar-LB"/>
        </w:rPr>
        <w:t>ِّ</w:t>
      </w:r>
      <w:r w:rsidRPr="006571AC">
        <w:rPr>
          <w:rFonts w:ascii="Arial" w:eastAsia="Calibri" w:hAnsi="Arial"/>
          <w:sz w:val="27"/>
          <w:rtl/>
          <w:lang w:bidi="ar-LB"/>
        </w:rPr>
        <w:t>رون يتداولون نقل صحاحهم ورواياتهم بالرواية</w:t>
      </w:r>
      <w:r w:rsidR="00BC707C" w:rsidRPr="006571AC">
        <w:rPr>
          <w:rFonts w:ascii="Arial" w:eastAsia="Calibri" w:hAnsi="Arial" w:hint="cs"/>
          <w:sz w:val="27"/>
          <w:rtl/>
          <w:lang w:bidi="ar-LB"/>
        </w:rPr>
        <w:t>،</w:t>
      </w:r>
      <w:r w:rsidRPr="006571AC">
        <w:rPr>
          <w:rFonts w:ascii="Arial" w:eastAsia="Calibri" w:hAnsi="Arial"/>
          <w:sz w:val="27"/>
          <w:rtl/>
          <w:lang w:bidi="ar-LB"/>
        </w:rPr>
        <w:t xml:space="preserve"> وصار ذلك متعارفاً بينهم</w:t>
      </w:r>
      <w:r w:rsidR="00BC707C" w:rsidRPr="006571AC">
        <w:rPr>
          <w:rFonts w:ascii="Arial" w:eastAsia="Calibri" w:hAnsi="Arial" w:hint="cs"/>
          <w:sz w:val="27"/>
          <w:rtl/>
          <w:lang w:bidi="ar-LB"/>
        </w:rPr>
        <w:t>،</w:t>
      </w:r>
      <w:r w:rsidRPr="006571AC">
        <w:rPr>
          <w:rFonts w:ascii="Arial" w:eastAsia="Calibri" w:hAnsi="Arial"/>
          <w:sz w:val="27"/>
          <w:rtl/>
          <w:lang w:bidi="ar-LB"/>
        </w:rPr>
        <w:t xml:space="preserve"> حت</w:t>
      </w:r>
      <w:r w:rsidR="00BC707C" w:rsidRPr="006571AC">
        <w:rPr>
          <w:rFonts w:ascii="Arial" w:eastAsia="Calibri" w:hAnsi="Arial" w:hint="cs"/>
          <w:sz w:val="27"/>
          <w:rtl/>
          <w:lang w:bidi="ar-LB"/>
        </w:rPr>
        <w:t>ّ</w:t>
      </w:r>
      <w:r w:rsidRPr="006571AC">
        <w:rPr>
          <w:rFonts w:ascii="Arial" w:eastAsia="Calibri" w:hAnsi="Arial"/>
          <w:sz w:val="27"/>
          <w:rtl/>
          <w:lang w:bidi="ar-LB"/>
        </w:rPr>
        <w:t>ى اتصل إلينا من طرقنا وطرقهم. وإنما نقلها أصحابنا لما يترت</w:t>
      </w:r>
      <w:r w:rsidR="007107AA" w:rsidRPr="006571AC">
        <w:rPr>
          <w:rFonts w:ascii="Arial" w:eastAsia="Calibri" w:hAnsi="Arial" w:hint="cs"/>
          <w:sz w:val="27"/>
          <w:rtl/>
          <w:lang w:bidi="ar-LB"/>
        </w:rPr>
        <w:t>َّ</w:t>
      </w:r>
      <w:r w:rsidRPr="006571AC">
        <w:rPr>
          <w:rFonts w:ascii="Arial" w:eastAsia="Calibri" w:hAnsi="Arial"/>
          <w:sz w:val="27"/>
          <w:rtl/>
          <w:lang w:bidi="ar-LB"/>
        </w:rPr>
        <w:t>ب عليها من جواز العمل بالس</w:t>
      </w:r>
      <w:r w:rsidR="007107AA" w:rsidRPr="006571AC">
        <w:rPr>
          <w:rFonts w:ascii="Arial" w:eastAsia="Calibri" w:hAnsi="Arial" w:hint="cs"/>
          <w:sz w:val="27"/>
          <w:rtl/>
          <w:lang w:bidi="ar-LB"/>
        </w:rPr>
        <w:t>ُّ</w:t>
      </w:r>
      <w:r w:rsidRPr="006571AC">
        <w:rPr>
          <w:rFonts w:ascii="Arial" w:eastAsia="Calibri" w:hAnsi="Arial"/>
          <w:sz w:val="27"/>
          <w:rtl/>
          <w:lang w:bidi="ar-LB"/>
        </w:rPr>
        <w:t>ن</w:t>
      </w:r>
      <w:r w:rsidR="007107AA" w:rsidRPr="006571AC">
        <w:rPr>
          <w:rFonts w:ascii="Arial" w:eastAsia="Calibri" w:hAnsi="Arial" w:hint="cs"/>
          <w:sz w:val="27"/>
          <w:rtl/>
          <w:lang w:bidi="ar-LB"/>
        </w:rPr>
        <w:t>َ</w:t>
      </w:r>
      <w:r w:rsidRPr="006571AC">
        <w:rPr>
          <w:rFonts w:ascii="Arial" w:eastAsia="Calibri" w:hAnsi="Arial"/>
          <w:sz w:val="27"/>
          <w:rtl/>
          <w:lang w:bidi="ar-LB"/>
        </w:rPr>
        <w:t>ن والأدب والمواعظ وكل</w:t>
      </w:r>
      <w:r w:rsidRPr="006571AC">
        <w:rPr>
          <w:rFonts w:ascii="Arial" w:eastAsia="Calibri" w:hAnsi="Arial" w:hint="cs"/>
          <w:sz w:val="27"/>
          <w:rtl/>
          <w:lang w:bidi="ar-LB"/>
        </w:rPr>
        <w:t xml:space="preserve">ّ </w:t>
      </w:r>
      <w:r w:rsidRPr="006571AC">
        <w:rPr>
          <w:rFonts w:ascii="Arial" w:eastAsia="Calibri" w:hAnsi="Arial"/>
          <w:sz w:val="27"/>
          <w:rtl/>
          <w:lang w:bidi="ar-LB"/>
        </w:rPr>
        <w:t>ما لا يتعل</w:t>
      </w:r>
      <w:r w:rsidR="007107AA" w:rsidRPr="006571AC">
        <w:rPr>
          <w:rFonts w:ascii="Arial" w:eastAsia="Calibri" w:hAnsi="Arial" w:hint="cs"/>
          <w:sz w:val="27"/>
          <w:rtl/>
          <w:lang w:bidi="ar-LB"/>
        </w:rPr>
        <w:t>َّ</w:t>
      </w:r>
      <w:r w:rsidRPr="006571AC">
        <w:rPr>
          <w:rFonts w:ascii="Arial" w:eastAsia="Calibri" w:hAnsi="Arial"/>
          <w:sz w:val="27"/>
          <w:rtl/>
          <w:lang w:bidi="ar-LB"/>
        </w:rPr>
        <w:t>ق بالأحكام وصفات ذي الجلال وال</w:t>
      </w:r>
      <w:r w:rsidR="007107AA" w:rsidRPr="006571AC">
        <w:rPr>
          <w:rFonts w:ascii="Arial" w:eastAsia="Calibri" w:hAnsi="Arial" w:hint="cs"/>
          <w:sz w:val="27"/>
          <w:rtl/>
          <w:lang w:bidi="ar-LB"/>
        </w:rPr>
        <w:t>إ</w:t>
      </w:r>
      <w:r w:rsidRPr="006571AC">
        <w:rPr>
          <w:rFonts w:ascii="Arial" w:eastAsia="Calibri" w:hAnsi="Arial"/>
          <w:sz w:val="27"/>
          <w:rtl/>
          <w:lang w:bidi="ar-LB"/>
        </w:rPr>
        <w:t>كرام</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على ما اشتهر بين العلماء. ويمكن أن يستدل</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لذلك بحديث</w:t>
      </w:r>
      <w:r w:rsidRPr="006571AC">
        <w:rPr>
          <w:rFonts w:ascii="Arial" w:eastAsia="Calibri" w:hAnsi="Arial" w:hint="cs"/>
          <w:sz w:val="27"/>
          <w:rtl/>
          <w:lang w:bidi="ar-LB"/>
        </w:rPr>
        <w:t xml:space="preserve">: </w:t>
      </w:r>
      <w:r w:rsidRPr="006571AC">
        <w:rPr>
          <w:rFonts w:hint="eastAsia"/>
          <w:sz w:val="24"/>
          <w:szCs w:val="24"/>
          <w:rtl/>
          <w:lang w:bidi="ar-LB"/>
        </w:rPr>
        <w:t>«</w:t>
      </w:r>
      <w:r w:rsidRPr="006571AC">
        <w:rPr>
          <w:rFonts w:ascii="Arial" w:eastAsia="Calibri" w:hAnsi="Arial"/>
          <w:sz w:val="27"/>
          <w:rtl/>
          <w:lang w:bidi="ar-LB"/>
        </w:rPr>
        <w:t>م</w:t>
      </w:r>
      <w:r w:rsidR="007107AA" w:rsidRPr="006571AC">
        <w:rPr>
          <w:rFonts w:ascii="Arial" w:eastAsia="Calibri" w:hAnsi="Arial" w:hint="cs"/>
          <w:sz w:val="27"/>
          <w:rtl/>
          <w:lang w:bidi="ar-LB"/>
        </w:rPr>
        <w:t>َ</w:t>
      </w:r>
      <w:r w:rsidRPr="006571AC">
        <w:rPr>
          <w:rFonts w:ascii="Arial" w:eastAsia="Calibri" w:hAnsi="Arial"/>
          <w:sz w:val="27"/>
          <w:rtl/>
          <w:lang w:bidi="ar-LB"/>
        </w:rPr>
        <w:t>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بلغه شيء</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من أعمال الخير فعمل به أعطاه الله ذلك</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وإن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لم يكن ال</w:t>
      </w:r>
      <w:r w:rsidRPr="006571AC">
        <w:rPr>
          <w:rFonts w:ascii="Arial" w:eastAsia="Calibri" w:hAnsi="Arial" w:hint="cs"/>
          <w:sz w:val="27"/>
          <w:rtl/>
          <w:lang w:bidi="ar-LB"/>
        </w:rPr>
        <w:t>أ</w:t>
      </w:r>
      <w:r w:rsidRPr="006571AC">
        <w:rPr>
          <w:rFonts w:ascii="Arial" w:eastAsia="Calibri" w:hAnsi="Arial"/>
          <w:sz w:val="27"/>
          <w:rtl/>
          <w:lang w:bidi="ar-LB"/>
        </w:rPr>
        <w:t>مر على ما بلغه</w:t>
      </w:r>
      <w:r w:rsidRPr="006571AC">
        <w:rPr>
          <w:rFonts w:hint="eastAsia"/>
          <w:sz w:val="24"/>
          <w:szCs w:val="24"/>
          <w:rtl/>
        </w:rPr>
        <w:t>»</w:t>
      </w:r>
      <w:r w:rsidR="007107AA" w:rsidRPr="006571AC">
        <w:rPr>
          <w:rFonts w:ascii="Arial" w:eastAsia="Calibri" w:hAnsi="Arial" w:hint="cs"/>
          <w:sz w:val="27"/>
          <w:rtl/>
          <w:lang w:bidi="ar-LB"/>
        </w:rPr>
        <w:t>؛</w:t>
      </w:r>
      <w:r w:rsidRPr="006571AC">
        <w:rPr>
          <w:rFonts w:ascii="Arial" w:eastAsia="Calibri" w:hAnsi="Arial" w:hint="cs"/>
          <w:sz w:val="27"/>
          <w:rtl/>
          <w:lang w:bidi="ar-LB"/>
        </w:rPr>
        <w:t xml:space="preserve"> </w:t>
      </w:r>
      <w:r w:rsidRPr="006571AC">
        <w:rPr>
          <w:rFonts w:ascii="Arial" w:eastAsia="Calibri" w:hAnsi="Arial"/>
          <w:sz w:val="27"/>
          <w:rtl/>
          <w:lang w:bidi="ar-LB"/>
        </w:rPr>
        <w:t>ولما تفيده من الاعتبار والشواهد في بعض الموارد</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كما نبي</w:t>
      </w:r>
      <w:r w:rsidR="007107AA" w:rsidRPr="006571AC">
        <w:rPr>
          <w:rFonts w:ascii="Arial" w:eastAsia="Calibri" w:hAnsi="Arial" w:hint="cs"/>
          <w:sz w:val="27"/>
          <w:rtl/>
          <w:lang w:bidi="ar-LB"/>
        </w:rPr>
        <w:t>ِّ</w:t>
      </w:r>
      <w:r w:rsidRPr="006571AC">
        <w:rPr>
          <w:rFonts w:ascii="Arial" w:eastAsia="Calibri" w:hAnsi="Arial"/>
          <w:sz w:val="27"/>
          <w:rtl/>
          <w:lang w:bidi="ar-LB"/>
        </w:rPr>
        <w:t>نه في موضعه</w:t>
      </w:r>
      <w:r w:rsidR="007107AA" w:rsidRPr="006571AC">
        <w:rPr>
          <w:rFonts w:ascii="Arial" w:eastAsia="Calibri" w:hAnsi="Arial" w:hint="cs"/>
          <w:sz w:val="27"/>
          <w:rtl/>
          <w:lang w:bidi="ar-LB"/>
        </w:rPr>
        <w:t>،</w:t>
      </w:r>
      <w:r w:rsidRPr="006571AC">
        <w:rPr>
          <w:rFonts w:ascii="Arial" w:eastAsia="Calibri" w:hAnsi="Arial"/>
          <w:sz w:val="27"/>
          <w:rtl/>
          <w:lang w:bidi="ar-LB"/>
        </w:rPr>
        <w:t xml:space="preserve"> </w:t>
      </w:r>
      <w:r w:rsidRPr="006571AC">
        <w:rPr>
          <w:rFonts w:ascii="Arial" w:eastAsia="Calibri" w:hAnsi="Arial" w:hint="cs"/>
          <w:sz w:val="27"/>
          <w:rtl/>
          <w:lang w:bidi="ar-LB"/>
        </w:rPr>
        <w:t>إ</w:t>
      </w:r>
      <w:r w:rsidRPr="006571AC">
        <w:rPr>
          <w:rFonts w:ascii="Arial" w:eastAsia="Calibri" w:hAnsi="Arial"/>
          <w:sz w:val="27"/>
          <w:rtl/>
          <w:lang w:bidi="ar-LB"/>
        </w:rPr>
        <w:t>ن</w:t>
      </w:r>
      <w:r w:rsidR="007107AA" w:rsidRPr="006571AC">
        <w:rPr>
          <w:rFonts w:ascii="Arial" w:eastAsia="Calibri" w:hAnsi="Arial" w:hint="cs"/>
          <w:sz w:val="27"/>
          <w:rtl/>
          <w:lang w:bidi="ar-LB"/>
        </w:rPr>
        <w:t>ْ</w:t>
      </w:r>
      <w:r w:rsidRPr="006571AC">
        <w:rPr>
          <w:rFonts w:ascii="Arial" w:eastAsia="Calibri" w:hAnsi="Arial" w:hint="cs"/>
          <w:sz w:val="27"/>
          <w:rtl/>
          <w:lang w:bidi="ar-LB"/>
        </w:rPr>
        <w:t xml:space="preserve"> </w:t>
      </w:r>
      <w:r w:rsidRPr="006571AC">
        <w:rPr>
          <w:rFonts w:ascii="Arial" w:eastAsia="Calibri" w:hAnsi="Arial"/>
          <w:sz w:val="27"/>
          <w:rtl/>
          <w:lang w:bidi="ar-LB"/>
        </w:rPr>
        <w:t>شاء الله تعالى</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59"/>
      </w:r>
      <w:r w:rsidRPr="006571AC">
        <w:rPr>
          <w:rFonts w:ascii="Arial" w:eastAsia="Calibri" w:hAnsi="Arial"/>
          <w:sz w:val="27"/>
          <w:vertAlign w:val="superscript"/>
          <w:rtl/>
          <w:lang w:bidi="ar-LB"/>
        </w:rPr>
        <w:t>)</w:t>
      </w:r>
      <w:r w:rsidRPr="006571AC">
        <w:rPr>
          <w:rFonts w:ascii="Arial" w:eastAsia="Calibri" w:hAnsi="Arial"/>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 xml:space="preserve">وقال الميرداماد: </w:t>
      </w:r>
      <w:r w:rsidRPr="006571AC">
        <w:rPr>
          <w:rFonts w:hint="eastAsia"/>
          <w:sz w:val="24"/>
          <w:szCs w:val="24"/>
          <w:rtl/>
          <w:lang w:bidi="ar-LB"/>
        </w:rPr>
        <w:t>«</w:t>
      </w:r>
      <w:r w:rsidRPr="006571AC">
        <w:rPr>
          <w:rFonts w:ascii="Arial" w:eastAsia="Calibri" w:hAnsi="Arial"/>
          <w:sz w:val="27"/>
          <w:rtl/>
          <w:lang w:bidi="ar-LB"/>
        </w:rPr>
        <w:t>اختصّ جواز العمل بالحديث الضعيف بما</w:t>
      </w:r>
      <w:r w:rsidRPr="006571AC">
        <w:rPr>
          <w:rFonts w:ascii="Arial" w:eastAsia="Calibri" w:hAnsi="Arial" w:hint="cs"/>
          <w:sz w:val="27"/>
          <w:rtl/>
          <w:lang w:bidi="ar-LB"/>
        </w:rPr>
        <w:t xml:space="preserve"> </w:t>
      </w:r>
      <w:r w:rsidRPr="006571AC">
        <w:rPr>
          <w:rFonts w:ascii="Arial" w:eastAsia="Calibri" w:hAnsi="Arial"/>
          <w:sz w:val="27"/>
          <w:rtl/>
          <w:lang w:bidi="ar-LB"/>
        </w:rPr>
        <w:t>يكون في مستحبّات أبواب العبادات؛ ومن ثَمّ</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ترى الأصحاب ـ رضوان الله تعالى</w:t>
      </w:r>
      <w:r w:rsidRPr="006571AC">
        <w:rPr>
          <w:rFonts w:ascii="Arial" w:eastAsia="Calibri" w:hAnsi="Arial" w:hint="cs"/>
          <w:sz w:val="27"/>
          <w:rtl/>
          <w:lang w:bidi="ar-LB"/>
        </w:rPr>
        <w:t xml:space="preserve"> </w:t>
      </w:r>
      <w:r w:rsidRPr="006571AC">
        <w:rPr>
          <w:rFonts w:ascii="Arial" w:eastAsia="Calibri" w:hAnsi="Arial"/>
          <w:sz w:val="27"/>
          <w:rtl/>
          <w:lang w:bidi="ar-LB"/>
        </w:rPr>
        <w:t>عليهم ـ في كتبهم الاستدلاليّة ر</w:t>
      </w:r>
      <w:r w:rsidR="007107AA" w:rsidRPr="006571AC">
        <w:rPr>
          <w:rFonts w:ascii="Arial" w:eastAsia="Calibri" w:hAnsi="Arial" w:hint="cs"/>
          <w:sz w:val="27"/>
          <w:rtl/>
          <w:lang w:bidi="ar-LB"/>
        </w:rPr>
        <w:t>ُ</w:t>
      </w:r>
      <w:r w:rsidR="007107AA" w:rsidRPr="006571AC">
        <w:rPr>
          <w:rFonts w:ascii="Arial" w:eastAsia="Calibri" w:hAnsi="Arial"/>
          <w:sz w:val="27"/>
          <w:rtl/>
          <w:lang w:bidi="ar-LB"/>
        </w:rPr>
        <w:t>ب</w:t>
      </w:r>
      <w:r w:rsidR="007107AA" w:rsidRPr="006571AC">
        <w:rPr>
          <w:rFonts w:ascii="Arial" w:eastAsia="Calibri" w:hAnsi="Arial" w:hint="cs"/>
          <w:sz w:val="27"/>
          <w:rtl/>
          <w:lang w:bidi="ar-LB"/>
        </w:rPr>
        <w:t>َ</w:t>
      </w:r>
      <w:r w:rsidRPr="006571AC">
        <w:rPr>
          <w:rFonts w:ascii="Arial" w:eastAsia="Calibri" w:hAnsi="Arial"/>
          <w:sz w:val="27"/>
          <w:rtl/>
          <w:lang w:bidi="ar-LB"/>
        </w:rPr>
        <w:t>ما يحتجّون في سنن العبادات ووظائف المستحبّات</w:t>
      </w:r>
      <w:r w:rsidRPr="006571AC">
        <w:rPr>
          <w:rFonts w:ascii="Arial" w:eastAsia="Calibri" w:hAnsi="Arial" w:hint="cs"/>
          <w:sz w:val="27"/>
          <w:rtl/>
          <w:lang w:bidi="ar-LB"/>
        </w:rPr>
        <w:t xml:space="preserve"> </w:t>
      </w:r>
      <w:r w:rsidR="007107AA" w:rsidRPr="006571AC">
        <w:rPr>
          <w:rFonts w:ascii="Arial" w:eastAsia="Calibri" w:hAnsi="Arial"/>
          <w:sz w:val="27"/>
          <w:rtl/>
          <w:lang w:bidi="ar-LB"/>
        </w:rPr>
        <w:t>بأحاديث</w:t>
      </w:r>
      <w:r w:rsidRPr="006571AC">
        <w:rPr>
          <w:rFonts w:ascii="Arial" w:eastAsia="Calibri" w:hAnsi="Arial"/>
          <w:sz w:val="27"/>
          <w:rtl/>
          <w:lang w:bidi="ar-LB"/>
        </w:rPr>
        <w:t xml:space="preserve"> من طرق العامّة</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0"/>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sz w:val="27"/>
          <w:rtl/>
          <w:lang w:bidi="ar-LB"/>
        </w:rPr>
        <w:t>و</w:t>
      </w:r>
      <w:r w:rsidRPr="006571AC">
        <w:rPr>
          <w:rFonts w:ascii="Arial" w:eastAsia="Calibri" w:hAnsi="Arial" w:hint="cs"/>
          <w:sz w:val="27"/>
          <w:rtl/>
          <w:lang w:bidi="ar-LB"/>
        </w:rPr>
        <w:t>الأ</w:t>
      </w:r>
      <w:r w:rsidRPr="006571AC">
        <w:rPr>
          <w:rFonts w:ascii="Arial" w:eastAsia="Calibri" w:hAnsi="Arial"/>
          <w:sz w:val="27"/>
          <w:rtl/>
          <w:lang w:bidi="ar-LB"/>
        </w:rPr>
        <w:t>مث</w:t>
      </w:r>
      <w:r w:rsidRPr="006571AC">
        <w:rPr>
          <w:rFonts w:ascii="Arial" w:eastAsia="Calibri" w:hAnsi="Arial" w:hint="cs"/>
          <w:sz w:val="27"/>
          <w:rtl/>
          <w:lang w:bidi="ar-LB"/>
        </w:rPr>
        <w:t>لة</w:t>
      </w:r>
      <w:r w:rsidR="007107AA" w:rsidRPr="006571AC">
        <w:rPr>
          <w:rFonts w:ascii="Arial" w:eastAsia="Calibri" w:hAnsi="Arial" w:hint="cs"/>
          <w:sz w:val="27"/>
          <w:rtl/>
          <w:lang w:bidi="ar-LB"/>
        </w:rPr>
        <w:t>ُ</w:t>
      </w:r>
      <w:r w:rsidRPr="006571AC">
        <w:rPr>
          <w:rFonts w:ascii="Arial" w:eastAsia="Calibri" w:hAnsi="Arial" w:hint="cs"/>
          <w:sz w:val="27"/>
          <w:rtl/>
          <w:lang w:bidi="ar-LB"/>
        </w:rPr>
        <w:t xml:space="preserve"> على ذلك كثيرة</w:t>
      </w:r>
      <w:r w:rsidR="007107AA" w:rsidRPr="006571AC">
        <w:rPr>
          <w:rFonts w:ascii="Arial" w:eastAsia="Calibri" w:hAnsi="Arial" w:hint="cs"/>
          <w:sz w:val="27"/>
          <w:rtl/>
          <w:lang w:bidi="ar-LB"/>
        </w:rPr>
        <w:t>ٌ</w:t>
      </w:r>
      <w:r w:rsidRPr="006571AC">
        <w:rPr>
          <w:rFonts w:ascii="Arial" w:eastAsia="Calibri" w:hAnsi="Arial" w:hint="cs"/>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 xml:space="preserve">منها: </w:t>
      </w:r>
      <w:r w:rsidRPr="006571AC">
        <w:rPr>
          <w:rFonts w:ascii="Arial" w:eastAsia="Calibri" w:hAnsi="Arial"/>
          <w:sz w:val="27"/>
          <w:rtl/>
          <w:lang w:bidi="ar-LB"/>
        </w:rPr>
        <w:t xml:space="preserve">ما أشار إليه </w:t>
      </w:r>
      <w:r w:rsidRPr="006571AC">
        <w:rPr>
          <w:rFonts w:ascii="Arial" w:eastAsia="Calibri" w:hAnsi="Arial" w:hint="cs"/>
          <w:sz w:val="27"/>
          <w:rtl/>
          <w:lang w:bidi="ar-LB"/>
        </w:rPr>
        <w:t>الشهيد الأو</w:t>
      </w:r>
      <w:r w:rsidR="007107AA" w:rsidRPr="006571AC">
        <w:rPr>
          <w:rFonts w:ascii="Arial" w:eastAsia="Calibri" w:hAnsi="Arial" w:hint="cs"/>
          <w:sz w:val="27"/>
          <w:rtl/>
          <w:lang w:bidi="ar-LB"/>
        </w:rPr>
        <w:t>ّ</w:t>
      </w:r>
      <w:r w:rsidRPr="006571AC">
        <w:rPr>
          <w:rFonts w:ascii="Arial" w:eastAsia="Calibri" w:hAnsi="Arial" w:hint="cs"/>
          <w:sz w:val="27"/>
          <w:rtl/>
          <w:lang w:bidi="ar-LB"/>
        </w:rPr>
        <w:t>ل، قال في بيان مستحب</w:t>
      </w:r>
      <w:r w:rsidR="007107AA" w:rsidRPr="006571AC">
        <w:rPr>
          <w:rFonts w:ascii="Arial" w:eastAsia="Calibri" w:hAnsi="Arial" w:hint="cs"/>
          <w:sz w:val="27"/>
          <w:rtl/>
          <w:lang w:bidi="ar-LB"/>
        </w:rPr>
        <w:t>ّ</w:t>
      </w:r>
      <w:r w:rsidRPr="006571AC">
        <w:rPr>
          <w:rFonts w:ascii="Arial" w:eastAsia="Calibri" w:hAnsi="Arial" w:hint="cs"/>
          <w:sz w:val="27"/>
          <w:rtl/>
          <w:lang w:bidi="ar-LB"/>
        </w:rPr>
        <w:t xml:space="preserve">ات الصلاة على الميت: </w:t>
      </w:r>
      <w:r w:rsidRPr="006571AC">
        <w:rPr>
          <w:rFonts w:hint="eastAsia"/>
          <w:sz w:val="24"/>
          <w:szCs w:val="24"/>
          <w:rtl/>
          <w:lang w:bidi="ar-LB"/>
        </w:rPr>
        <w:t>«</w:t>
      </w:r>
      <w:r w:rsidRPr="006571AC">
        <w:rPr>
          <w:rFonts w:ascii="Arial" w:eastAsia="Calibri" w:hAnsi="Arial"/>
          <w:sz w:val="27"/>
          <w:rtl/>
          <w:lang w:bidi="ar-LB"/>
        </w:rPr>
        <w:t>قال الفاضل: وليكونوا ثلاثة صفوف</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لما روي عن النبي</w:t>
      </w:r>
      <w:r w:rsidR="007107AA" w:rsidRPr="006571AC">
        <w:rPr>
          <w:rFonts w:ascii="Arial" w:eastAsia="Calibri" w:hAnsi="Arial" w:hint="cs"/>
          <w:sz w:val="27"/>
          <w:rtl/>
          <w:lang w:bidi="ar-LB"/>
        </w:rPr>
        <w:t>ّ</w:t>
      </w:r>
      <w:r w:rsidR="002A2C90" w:rsidRPr="006571AC">
        <w:rPr>
          <w:rFonts w:ascii="Mosawi" w:hAnsi="Mosawi" w:cs="Mosawi"/>
          <w:sz w:val="22"/>
          <w:szCs w:val="22"/>
          <w:rtl/>
        </w:rPr>
        <w:t>|</w:t>
      </w:r>
      <w:r w:rsidRPr="006571AC">
        <w:rPr>
          <w:rFonts w:ascii="Arial" w:eastAsia="Calibri" w:hAnsi="Arial"/>
          <w:sz w:val="27"/>
          <w:rtl/>
          <w:lang w:bidi="ar-LB"/>
        </w:rPr>
        <w:t xml:space="preserve">: </w:t>
      </w:r>
      <w:r w:rsidRPr="006571AC">
        <w:rPr>
          <w:rFonts w:hint="eastAsia"/>
          <w:sz w:val="24"/>
          <w:szCs w:val="24"/>
          <w:rtl/>
          <w:lang w:bidi="ar-LB"/>
        </w:rPr>
        <w:t>«</w:t>
      </w:r>
      <w:r w:rsidRPr="006571AC">
        <w:rPr>
          <w:rFonts w:ascii="Arial" w:eastAsia="Calibri" w:hAnsi="Arial"/>
          <w:sz w:val="27"/>
          <w:rtl/>
          <w:lang w:bidi="ar-LB"/>
        </w:rPr>
        <w:t>م</w:t>
      </w:r>
      <w:r w:rsidR="007107AA" w:rsidRPr="006571AC">
        <w:rPr>
          <w:rFonts w:ascii="Arial" w:eastAsia="Calibri" w:hAnsi="Arial" w:hint="cs"/>
          <w:sz w:val="27"/>
          <w:rtl/>
          <w:lang w:bidi="ar-LB"/>
        </w:rPr>
        <w:t>َ</w:t>
      </w:r>
      <w:r w:rsidRPr="006571AC">
        <w:rPr>
          <w:rFonts w:ascii="Arial" w:eastAsia="Calibri" w:hAnsi="Arial"/>
          <w:sz w:val="27"/>
          <w:rtl/>
          <w:lang w:bidi="ar-LB"/>
        </w:rPr>
        <w:t>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صل</w:t>
      </w:r>
      <w:r w:rsidR="007107AA" w:rsidRPr="006571AC">
        <w:rPr>
          <w:rFonts w:ascii="Arial" w:eastAsia="Calibri" w:hAnsi="Arial" w:hint="cs"/>
          <w:sz w:val="27"/>
          <w:rtl/>
          <w:lang w:bidi="ar-LB"/>
        </w:rPr>
        <w:t>ّ</w:t>
      </w:r>
      <w:r w:rsidRPr="006571AC">
        <w:rPr>
          <w:rFonts w:ascii="Arial" w:eastAsia="Calibri" w:hAnsi="Arial"/>
          <w:sz w:val="27"/>
          <w:rtl/>
          <w:lang w:bidi="ar-LB"/>
        </w:rPr>
        <w:t>ى عليه ثلاثة صفوف فقد أوجب</w:t>
      </w:r>
      <w:r w:rsidRPr="006571AC">
        <w:rPr>
          <w:rFonts w:hint="eastAsia"/>
          <w:sz w:val="24"/>
          <w:szCs w:val="24"/>
          <w:rtl/>
        </w:rPr>
        <w:t>»</w:t>
      </w:r>
      <w:r w:rsidRPr="006571AC">
        <w:rPr>
          <w:rFonts w:ascii="Arial" w:eastAsia="Calibri" w:hAnsi="Arial"/>
          <w:sz w:val="27"/>
          <w:rtl/>
          <w:lang w:bidi="ar-LB"/>
        </w:rPr>
        <w:t>. قلت</w:t>
      </w:r>
      <w:r w:rsidR="007107AA" w:rsidRPr="006571AC">
        <w:rPr>
          <w:rFonts w:ascii="Arial" w:eastAsia="Calibri" w:hAnsi="Arial" w:hint="cs"/>
          <w:sz w:val="27"/>
          <w:rtl/>
          <w:lang w:bidi="ar-LB"/>
        </w:rPr>
        <w:t>ُ</w:t>
      </w:r>
      <w:r w:rsidRPr="006571AC">
        <w:rPr>
          <w:rFonts w:ascii="Arial" w:eastAsia="Calibri" w:hAnsi="Arial"/>
          <w:sz w:val="27"/>
          <w:rtl/>
          <w:lang w:bidi="ar-LB"/>
        </w:rPr>
        <w:t>: الخبر عام</w:t>
      </w:r>
      <w:r w:rsidR="007107AA" w:rsidRPr="006571AC">
        <w:rPr>
          <w:rFonts w:ascii="Arial" w:eastAsia="Calibri" w:hAnsi="Arial" w:hint="cs"/>
          <w:sz w:val="27"/>
          <w:rtl/>
          <w:lang w:bidi="ar-LB"/>
        </w:rPr>
        <w:t>ّ</w:t>
      </w:r>
      <w:r w:rsidRPr="006571AC">
        <w:rPr>
          <w:rFonts w:ascii="Arial" w:eastAsia="Calibri" w:hAnsi="Arial"/>
          <w:sz w:val="27"/>
          <w:rtl/>
          <w:lang w:bidi="ar-LB"/>
        </w:rPr>
        <w:t>ي، ولكن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فضائل الأعمال ر</w:t>
      </w:r>
      <w:r w:rsidR="007107AA" w:rsidRPr="006571AC">
        <w:rPr>
          <w:rFonts w:ascii="Arial" w:eastAsia="Calibri" w:hAnsi="Arial" w:hint="cs"/>
          <w:sz w:val="27"/>
          <w:rtl/>
          <w:lang w:bidi="ar-LB"/>
        </w:rPr>
        <w:t>ُ</w:t>
      </w:r>
      <w:r w:rsidRPr="006571AC">
        <w:rPr>
          <w:rFonts w:ascii="Arial" w:eastAsia="Calibri" w:hAnsi="Arial"/>
          <w:sz w:val="27"/>
          <w:rtl/>
          <w:lang w:bidi="ar-LB"/>
        </w:rPr>
        <w:t>ب</w:t>
      </w:r>
      <w:r w:rsidR="007107AA" w:rsidRPr="006571AC">
        <w:rPr>
          <w:rFonts w:ascii="Arial" w:eastAsia="Calibri" w:hAnsi="Arial" w:hint="cs"/>
          <w:sz w:val="27"/>
          <w:rtl/>
          <w:lang w:bidi="ar-LB"/>
        </w:rPr>
        <w:t>َ</w:t>
      </w:r>
      <w:r w:rsidRPr="006571AC">
        <w:rPr>
          <w:rFonts w:ascii="Arial" w:eastAsia="Calibri" w:hAnsi="Arial"/>
          <w:sz w:val="27"/>
          <w:rtl/>
          <w:lang w:bidi="ar-LB"/>
        </w:rPr>
        <w:t>ما تثبت بالخبر الضعيف</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1"/>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 xml:space="preserve">ومنها: </w:t>
      </w:r>
      <w:r w:rsidRPr="006571AC">
        <w:rPr>
          <w:rFonts w:ascii="Arial" w:eastAsia="Calibri" w:hAnsi="Arial" w:hint="cs"/>
          <w:sz w:val="27"/>
          <w:rtl/>
          <w:lang w:bidi="ar-LB"/>
        </w:rPr>
        <w:t xml:space="preserve">ما ذكره </w:t>
      </w:r>
      <w:r w:rsidRPr="006571AC">
        <w:rPr>
          <w:rFonts w:ascii="Arial" w:eastAsia="Calibri" w:hAnsi="Arial"/>
          <w:sz w:val="27"/>
          <w:rtl/>
          <w:lang w:bidi="ar-LB"/>
        </w:rPr>
        <w:t xml:space="preserve">الشيخ البهائي، قال: </w:t>
      </w:r>
      <w:r w:rsidRPr="006571AC">
        <w:rPr>
          <w:rFonts w:hint="eastAsia"/>
          <w:sz w:val="24"/>
          <w:szCs w:val="24"/>
          <w:rtl/>
          <w:lang w:bidi="ar-LB"/>
        </w:rPr>
        <w:t>«</w:t>
      </w:r>
      <w:r w:rsidRPr="006571AC">
        <w:rPr>
          <w:rFonts w:ascii="Arial" w:eastAsia="Calibri" w:hAnsi="Arial"/>
          <w:sz w:val="27"/>
          <w:rtl/>
          <w:lang w:bidi="ar-LB"/>
        </w:rPr>
        <w:t>وقد اشتهر بين أصحابنا رضوان الله عليهم</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وسي</w:t>
      </w:r>
      <w:r w:rsidRPr="006571AC">
        <w:rPr>
          <w:rFonts w:ascii="Arial" w:eastAsia="Calibri" w:hAnsi="Arial" w:hint="cs"/>
          <w:sz w:val="27"/>
          <w:rtl/>
          <w:lang w:bidi="ar-LB"/>
        </w:rPr>
        <w:t>ّ</w:t>
      </w:r>
      <w:r w:rsidR="007107AA" w:rsidRPr="006571AC">
        <w:rPr>
          <w:rFonts w:ascii="Arial" w:eastAsia="Calibri" w:hAnsi="Arial" w:hint="cs"/>
          <w:sz w:val="27"/>
          <w:rtl/>
          <w:lang w:bidi="ar-LB"/>
        </w:rPr>
        <w:t>َ</w:t>
      </w:r>
      <w:r w:rsidRPr="006571AC">
        <w:rPr>
          <w:rFonts w:ascii="Arial" w:eastAsia="Calibri" w:hAnsi="Arial"/>
          <w:sz w:val="27"/>
          <w:rtl/>
          <w:lang w:bidi="ar-LB"/>
        </w:rPr>
        <w:t>ما المتأخ</w:t>
      </w:r>
      <w:r w:rsidR="007107AA" w:rsidRPr="006571AC">
        <w:rPr>
          <w:rFonts w:ascii="Arial" w:eastAsia="Calibri" w:hAnsi="Arial" w:hint="cs"/>
          <w:sz w:val="27"/>
          <w:rtl/>
          <w:lang w:bidi="ar-LB"/>
        </w:rPr>
        <w:t>ِّ</w:t>
      </w:r>
      <w:r w:rsidRPr="006571AC">
        <w:rPr>
          <w:rFonts w:ascii="Arial" w:eastAsia="Calibri" w:hAnsi="Arial"/>
          <w:sz w:val="27"/>
          <w:rtl/>
          <w:lang w:bidi="ar-LB"/>
        </w:rPr>
        <w:t>رين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استحباب قراءة سور المفص</w:t>
      </w:r>
      <w:r w:rsidR="007107AA" w:rsidRPr="006571AC">
        <w:rPr>
          <w:rFonts w:ascii="Arial" w:eastAsia="Calibri" w:hAnsi="Arial" w:hint="cs"/>
          <w:sz w:val="27"/>
          <w:rtl/>
          <w:lang w:bidi="ar-LB"/>
        </w:rPr>
        <w:t>َّ</w:t>
      </w:r>
      <w:r w:rsidRPr="006571AC">
        <w:rPr>
          <w:rFonts w:ascii="Arial" w:eastAsia="Calibri" w:hAnsi="Arial"/>
          <w:sz w:val="27"/>
          <w:rtl/>
          <w:lang w:bidi="ar-LB"/>
        </w:rPr>
        <w:t>ل في الصلاة</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وهي ثمان وستون سورة</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من سورة محمد</w:t>
      </w:r>
      <w:r w:rsidR="002A2C90" w:rsidRPr="006571AC">
        <w:rPr>
          <w:rFonts w:ascii="Mosawi" w:hAnsi="Mosawi" w:cs="Mosawi"/>
          <w:sz w:val="22"/>
          <w:szCs w:val="22"/>
          <w:rtl/>
        </w:rPr>
        <w:t>|</w:t>
      </w:r>
      <w:r w:rsidRPr="006571AC">
        <w:rPr>
          <w:rFonts w:ascii="Arial" w:eastAsia="Calibri" w:hAnsi="Arial"/>
          <w:sz w:val="27"/>
          <w:rtl/>
          <w:lang w:bidi="ar-LB"/>
        </w:rPr>
        <w:t xml:space="preserve"> إلى آخر القرآن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w:t>
      </w:r>
      <w:r w:rsidR="007107AA" w:rsidRPr="006571AC">
        <w:rPr>
          <w:rFonts w:ascii="Arial" w:eastAsia="Calibri" w:hAnsi="Arial" w:hint="cs"/>
          <w:sz w:val="27"/>
          <w:rtl/>
          <w:lang w:bidi="ar-LB"/>
        </w:rPr>
        <w:t>أ</w:t>
      </w:r>
      <w:r w:rsidRPr="006571AC">
        <w:rPr>
          <w:rFonts w:ascii="Arial" w:eastAsia="Calibri" w:hAnsi="Arial"/>
          <w:sz w:val="27"/>
          <w:rtl/>
          <w:lang w:bidi="ar-LB"/>
        </w:rPr>
        <w:t>نه يستحب</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تخصيص الصبح بمطو</w:t>
      </w:r>
      <w:r w:rsidR="007107AA" w:rsidRPr="006571AC">
        <w:rPr>
          <w:rFonts w:ascii="Arial" w:eastAsia="Calibri" w:hAnsi="Arial" w:hint="cs"/>
          <w:sz w:val="27"/>
          <w:rtl/>
          <w:lang w:bidi="ar-LB"/>
        </w:rPr>
        <w:t>َّ</w:t>
      </w:r>
      <w:r w:rsidRPr="006571AC">
        <w:rPr>
          <w:rFonts w:ascii="Arial" w:eastAsia="Calibri" w:hAnsi="Arial"/>
          <w:sz w:val="27"/>
          <w:rtl/>
          <w:lang w:bidi="ar-LB"/>
        </w:rPr>
        <w:t>لاته</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وهي من محمد إلى عم</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والعشاء بمتوس</w:t>
      </w:r>
      <w:r w:rsidR="007107AA" w:rsidRPr="006571AC">
        <w:rPr>
          <w:rFonts w:ascii="Arial" w:eastAsia="Calibri" w:hAnsi="Arial" w:hint="cs"/>
          <w:sz w:val="27"/>
          <w:rtl/>
          <w:lang w:bidi="ar-LB"/>
        </w:rPr>
        <w:t>ِّ</w:t>
      </w:r>
      <w:r w:rsidRPr="006571AC">
        <w:rPr>
          <w:rFonts w:ascii="Arial" w:eastAsia="Calibri" w:hAnsi="Arial"/>
          <w:sz w:val="27"/>
          <w:rtl/>
          <w:lang w:bidi="ar-LB"/>
        </w:rPr>
        <w:t>طاته</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وهي من عم</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إلى الضحى</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والظهرين والمغرب بقصاره</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وهي من الضحى إلى آخر القرآن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وهذا ش</w:t>
      </w:r>
      <w:r w:rsidRPr="006571AC">
        <w:rPr>
          <w:rFonts w:ascii="Arial" w:eastAsia="Calibri" w:hAnsi="Arial" w:hint="cs"/>
          <w:sz w:val="27"/>
          <w:rtl/>
          <w:lang w:bidi="ar-LB"/>
        </w:rPr>
        <w:t>يء</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ذكره الشيخ</w:t>
      </w:r>
      <w:r w:rsidR="002A2C90" w:rsidRPr="006571AC">
        <w:rPr>
          <w:rFonts w:ascii="Mosawi" w:hAnsi="Mosawi" w:cs="Mosawi"/>
          <w:sz w:val="22"/>
          <w:szCs w:val="22"/>
          <w:rtl/>
        </w:rPr>
        <w:t>&amp;</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ولم نط</w:t>
      </w:r>
      <w:r w:rsidR="007107AA" w:rsidRPr="006571AC">
        <w:rPr>
          <w:rFonts w:ascii="Arial" w:eastAsia="Calibri" w:hAnsi="Arial" w:hint="cs"/>
          <w:sz w:val="27"/>
          <w:rtl/>
          <w:lang w:bidi="ar-LB"/>
        </w:rPr>
        <w:t>َّ</w:t>
      </w:r>
      <w:r w:rsidRPr="006571AC">
        <w:rPr>
          <w:rFonts w:ascii="Arial" w:eastAsia="Calibri" w:hAnsi="Arial"/>
          <w:sz w:val="27"/>
          <w:rtl/>
          <w:lang w:bidi="ar-LB"/>
        </w:rPr>
        <w:t>لع في ما وصل إلينا من الأحاديث المروي</w:t>
      </w:r>
      <w:r w:rsidR="007107AA" w:rsidRPr="006571AC">
        <w:rPr>
          <w:rFonts w:ascii="Arial" w:eastAsia="Calibri" w:hAnsi="Arial" w:hint="cs"/>
          <w:sz w:val="27"/>
          <w:rtl/>
          <w:lang w:bidi="ar-LB"/>
        </w:rPr>
        <w:t>ّ</w:t>
      </w:r>
      <w:r w:rsidRPr="006571AC">
        <w:rPr>
          <w:rFonts w:ascii="Arial" w:eastAsia="Calibri" w:hAnsi="Arial"/>
          <w:sz w:val="27"/>
          <w:rtl/>
          <w:lang w:bidi="ar-LB"/>
        </w:rPr>
        <w:t>ة من طرقنا على ما يتضم</w:t>
      </w:r>
      <w:r w:rsidR="007107AA" w:rsidRPr="006571AC">
        <w:rPr>
          <w:rFonts w:ascii="Arial" w:eastAsia="Calibri" w:hAnsi="Arial" w:hint="cs"/>
          <w:sz w:val="27"/>
          <w:rtl/>
          <w:lang w:bidi="ar-LB"/>
        </w:rPr>
        <w:t>ّ</w:t>
      </w:r>
      <w:r w:rsidRPr="006571AC">
        <w:rPr>
          <w:rFonts w:ascii="Arial" w:eastAsia="Calibri" w:hAnsi="Arial"/>
          <w:sz w:val="27"/>
          <w:rtl/>
          <w:lang w:bidi="ar-LB"/>
        </w:rPr>
        <w:t>ن ذلك</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بل أصولنا المتداولة في زماننا خالية</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عن هذا الاسم أيضا</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وهذا التفصيل </w:t>
      </w:r>
      <w:r w:rsidR="007107AA" w:rsidRPr="006571AC">
        <w:rPr>
          <w:rFonts w:ascii="Arial" w:eastAsia="Calibri" w:hAnsi="Arial" w:hint="cs"/>
          <w:sz w:val="27"/>
          <w:rtl/>
          <w:lang w:bidi="ar-LB"/>
        </w:rPr>
        <w:t>إ</w:t>
      </w:r>
      <w:r w:rsidRPr="006571AC">
        <w:rPr>
          <w:rFonts w:ascii="Arial" w:eastAsia="Calibri" w:hAnsi="Arial"/>
          <w:sz w:val="27"/>
          <w:rtl/>
          <w:lang w:bidi="ar-LB"/>
        </w:rPr>
        <w:t>نما هو مذكور</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في كتب الفروع</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وقد رواه العام</w:t>
      </w:r>
      <w:r w:rsidR="007E61F4" w:rsidRPr="006571AC">
        <w:rPr>
          <w:rFonts w:ascii="Arial" w:eastAsia="Calibri" w:hAnsi="Arial" w:hint="cs"/>
          <w:sz w:val="27"/>
          <w:rtl/>
          <w:lang w:bidi="ar-LB"/>
        </w:rPr>
        <w:t>ّ</w:t>
      </w:r>
      <w:r w:rsidRPr="006571AC">
        <w:rPr>
          <w:rFonts w:ascii="Arial" w:eastAsia="Calibri" w:hAnsi="Arial"/>
          <w:sz w:val="27"/>
          <w:rtl/>
          <w:lang w:bidi="ar-LB"/>
        </w:rPr>
        <w:t>ة بطريق</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فيه عمر بن الخط</w:t>
      </w:r>
      <w:r w:rsidR="007E61F4" w:rsidRPr="006571AC">
        <w:rPr>
          <w:rFonts w:ascii="Arial" w:eastAsia="Calibri" w:hAnsi="Arial" w:hint="cs"/>
          <w:sz w:val="27"/>
          <w:rtl/>
          <w:lang w:bidi="ar-LB"/>
        </w:rPr>
        <w:t>ّ</w:t>
      </w:r>
      <w:r w:rsidRPr="006571AC">
        <w:rPr>
          <w:rFonts w:ascii="Arial" w:eastAsia="Calibri" w:hAnsi="Arial"/>
          <w:sz w:val="27"/>
          <w:rtl/>
          <w:lang w:bidi="ar-LB"/>
        </w:rPr>
        <w:t>اب</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ولعل</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وجه ذكر أصحابنا له في كتب الفروع </w:t>
      </w:r>
      <w:r w:rsidR="007E61F4" w:rsidRPr="006571AC">
        <w:rPr>
          <w:rFonts w:ascii="Arial" w:eastAsia="Calibri" w:hAnsi="Arial" w:hint="cs"/>
          <w:sz w:val="27"/>
          <w:rtl/>
          <w:lang w:bidi="ar-LB"/>
        </w:rPr>
        <w:t>أ</w:t>
      </w:r>
      <w:r w:rsidRPr="006571AC">
        <w:rPr>
          <w:rFonts w:ascii="Arial" w:eastAsia="Calibri" w:hAnsi="Arial"/>
          <w:sz w:val="27"/>
          <w:rtl/>
          <w:lang w:bidi="ar-LB"/>
        </w:rPr>
        <w:t>ن من عادتهم قد</w:t>
      </w:r>
      <w:r w:rsidR="007E61F4" w:rsidRPr="006571AC">
        <w:rPr>
          <w:rFonts w:ascii="Arial" w:eastAsia="Calibri" w:hAnsi="Arial" w:hint="cs"/>
          <w:sz w:val="27"/>
          <w:rtl/>
          <w:lang w:bidi="ar-LB"/>
        </w:rPr>
        <w:t>َّ</w:t>
      </w:r>
      <w:r w:rsidRPr="006571AC">
        <w:rPr>
          <w:rFonts w:ascii="Arial" w:eastAsia="Calibri" w:hAnsi="Arial"/>
          <w:sz w:val="27"/>
          <w:rtl/>
          <w:lang w:bidi="ar-LB"/>
        </w:rPr>
        <w:t>س الله أرواحهم التسامح في دلائل الس</w:t>
      </w:r>
      <w:r w:rsidR="007E61F4" w:rsidRPr="006571AC">
        <w:rPr>
          <w:rFonts w:ascii="Arial" w:eastAsia="Calibri" w:hAnsi="Arial" w:hint="cs"/>
          <w:sz w:val="27"/>
          <w:rtl/>
          <w:lang w:bidi="ar-LB"/>
        </w:rPr>
        <w:t>ُّ</w:t>
      </w:r>
      <w:r w:rsidRPr="006571AC">
        <w:rPr>
          <w:rFonts w:ascii="Arial" w:eastAsia="Calibri" w:hAnsi="Arial"/>
          <w:sz w:val="27"/>
          <w:rtl/>
          <w:lang w:bidi="ar-LB"/>
        </w:rPr>
        <w:t>ن</w:t>
      </w:r>
      <w:r w:rsidR="007E61F4" w:rsidRPr="006571AC">
        <w:rPr>
          <w:rFonts w:ascii="Arial" w:eastAsia="Calibri" w:hAnsi="Arial" w:hint="cs"/>
          <w:sz w:val="27"/>
          <w:rtl/>
          <w:lang w:bidi="ar-LB"/>
        </w:rPr>
        <w:t>َ</w:t>
      </w:r>
      <w:r w:rsidRPr="006571AC">
        <w:rPr>
          <w:rFonts w:ascii="Arial" w:eastAsia="Calibri" w:hAnsi="Arial"/>
          <w:sz w:val="27"/>
          <w:rtl/>
          <w:lang w:bidi="ar-LB"/>
        </w:rPr>
        <w:t>ن</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والعمل فيها بال</w:t>
      </w:r>
      <w:r w:rsidRPr="006571AC">
        <w:rPr>
          <w:rFonts w:ascii="Arial" w:eastAsia="Calibri" w:hAnsi="Arial" w:hint="cs"/>
          <w:sz w:val="27"/>
          <w:rtl/>
          <w:lang w:bidi="ar-LB"/>
        </w:rPr>
        <w:t>أ</w:t>
      </w:r>
      <w:r w:rsidRPr="006571AC">
        <w:rPr>
          <w:rFonts w:ascii="Arial" w:eastAsia="Calibri" w:hAnsi="Arial"/>
          <w:sz w:val="27"/>
          <w:rtl/>
          <w:lang w:bidi="ar-LB"/>
        </w:rPr>
        <w:t>خبار الضعيفة</w:t>
      </w:r>
      <w:r w:rsidR="007E61F4" w:rsidRPr="006571AC">
        <w:rPr>
          <w:rFonts w:ascii="Arial" w:eastAsia="Calibri" w:hAnsi="Arial" w:hint="cs"/>
          <w:sz w:val="27"/>
          <w:rtl/>
          <w:lang w:bidi="ar-LB"/>
        </w:rPr>
        <w:t>؛</w:t>
      </w:r>
      <w:r w:rsidRPr="006571AC">
        <w:rPr>
          <w:rFonts w:ascii="Arial" w:eastAsia="Calibri" w:hAnsi="Arial"/>
          <w:sz w:val="27"/>
          <w:rtl/>
          <w:lang w:bidi="ar-LB"/>
        </w:rPr>
        <w:t xml:space="preserve"> تعويلا</w:t>
      </w:r>
      <w:r w:rsidRPr="006571AC">
        <w:rPr>
          <w:rFonts w:ascii="Arial" w:eastAsia="Calibri" w:hAnsi="Arial" w:hint="cs"/>
          <w:sz w:val="27"/>
          <w:rtl/>
          <w:lang w:bidi="ar-LB"/>
        </w:rPr>
        <w:t>ً</w:t>
      </w:r>
      <w:r w:rsidRPr="006571AC">
        <w:rPr>
          <w:rFonts w:ascii="Arial" w:eastAsia="Calibri" w:hAnsi="Arial"/>
          <w:sz w:val="27"/>
          <w:rtl/>
          <w:lang w:bidi="ar-LB"/>
        </w:rPr>
        <w:t xml:space="preserve"> على الحديث الح</w:t>
      </w:r>
      <w:r w:rsidR="007E61F4" w:rsidRPr="006571AC">
        <w:rPr>
          <w:rFonts w:ascii="Arial" w:eastAsia="Calibri" w:hAnsi="Arial" w:hint="cs"/>
          <w:sz w:val="27"/>
          <w:rtl/>
          <w:lang w:bidi="ar-LB"/>
        </w:rPr>
        <w:t>َ</w:t>
      </w:r>
      <w:r w:rsidRPr="006571AC">
        <w:rPr>
          <w:rFonts w:ascii="Arial" w:eastAsia="Calibri" w:hAnsi="Arial"/>
          <w:sz w:val="27"/>
          <w:rtl/>
          <w:lang w:bidi="ar-LB"/>
        </w:rPr>
        <w:t>س</w:t>
      </w:r>
      <w:r w:rsidR="007E61F4" w:rsidRPr="006571AC">
        <w:rPr>
          <w:rFonts w:ascii="Arial" w:eastAsia="Calibri" w:hAnsi="Arial" w:hint="cs"/>
          <w:sz w:val="27"/>
          <w:rtl/>
          <w:lang w:bidi="ar-LB"/>
        </w:rPr>
        <w:t>َ</w:t>
      </w:r>
      <w:r w:rsidRPr="006571AC">
        <w:rPr>
          <w:rFonts w:ascii="Arial" w:eastAsia="Calibri" w:hAnsi="Arial"/>
          <w:sz w:val="27"/>
          <w:rtl/>
          <w:lang w:bidi="ar-LB"/>
        </w:rPr>
        <w:t>ن المشهور الدال</w:t>
      </w:r>
      <w:r w:rsidR="007E61F4" w:rsidRPr="006571AC">
        <w:rPr>
          <w:rFonts w:ascii="Arial" w:eastAsia="Calibri" w:hAnsi="Arial" w:hint="cs"/>
          <w:sz w:val="27"/>
          <w:rtl/>
          <w:lang w:bidi="ar-LB"/>
        </w:rPr>
        <w:t>ّ</w:t>
      </w:r>
      <w:r w:rsidRPr="006571AC">
        <w:rPr>
          <w:rFonts w:ascii="Arial" w:eastAsia="Calibri" w:hAnsi="Arial"/>
          <w:sz w:val="27"/>
          <w:rtl/>
          <w:lang w:bidi="ar-LB"/>
        </w:rPr>
        <w:t xml:space="preserve"> على جواز العمل في الس</w:t>
      </w:r>
      <w:r w:rsidR="007E61F4" w:rsidRPr="006571AC">
        <w:rPr>
          <w:rFonts w:ascii="Arial" w:eastAsia="Calibri" w:hAnsi="Arial" w:hint="cs"/>
          <w:sz w:val="27"/>
          <w:rtl/>
          <w:lang w:bidi="ar-LB"/>
        </w:rPr>
        <w:t>ُّ</w:t>
      </w:r>
      <w:r w:rsidRPr="006571AC">
        <w:rPr>
          <w:rFonts w:ascii="Arial" w:eastAsia="Calibri" w:hAnsi="Arial"/>
          <w:sz w:val="27"/>
          <w:rtl/>
          <w:lang w:bidi="ar-LB"/>
        </w:rPr>
        <w:t>ن</w:t>
      </w:r>
      <w:r w:rsidR="007E61F4" w:rsidRPr="006571AC">
        <w:rPr>
          <w:rFonts w:ascii="Arial" w:eastAsia="Calibri" w:hAnsi="Arial" w:hint="cs"/>
          <w:sz w:val="27"/>
          <w:rtl/>
          <w:lang w:bidi="ar-LB"/>
        </w:rPr>
        <w:t>َ</w:t>
      </w:r>
      <w:r w:rsidRPr="006571AC">
        <w:rPr>
          <w:rFonts w:ascii="Arial" w:eastAsia="Calibri" w:hAnsi="Arial"/>
          <w:sz w:val="27"/>
          <w:rtl/>
          <w:lang w:bidi="ar-LB"/>
        </w:rPr>
        <w:t>ن بالأحاديث الضعيفة</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2"/>
      </w:r>
      <w:r w:rsidRPr="006571AC">
        <w:rPr>
          <w:rFonts w:ascii="Arial" w:eastAsia="Calibri" w:hAnsi="Arial"/>
          <w:sz w:val="27"/>
          <w:vertAlign w:val="superscript"/>
          <w:rtl/>
          <w:lang w:bidi="ar-LB"/>
        </w:rPr>
        <w:t>)</w:t>
      </w:r>
      <w:r w:rsidRPr="006571AC">
        <w:rPr>
          <w:rFonts w:ascii="Arial" w:eastAsia="Calibri" w:hAnsi="Arial"/>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b/>
          <w:bCs/>
          <w:sz w:val="27"/>
          <w:rtl/>
          <w:lang w:bidi="ar-LB"/>
        </w:rPr>
        <w:lastRenderedPageBreak/>
        <w:t>و</w:t>
      </w:r>
      <w:r w:rsidRPr="006571AC">
        <w:rPr>
          <w:rFonts w:ascii="Arial" w:eastAsia="Calibri" w:hAnsi="Arial" w:hint="cs"/>
          <w:b/>
          <w:bCs/>
          <w:sz w:val="27"/>
          <w:rtl/>
          <w:lang w:bidi="ar-LB"/>
        </w:rPr>
        <w:t xml:space="preserve">منها: </w:t>
      </w:r>
      <w:r w:rsidRPr="006571AC">
        <w:rPr>
          <w:rFonts w:ascii="Arial" w:eastAsia="Calibri" w:hAnsi="Arial" w:hint="cs"/>
          <w:sz w:val="27"/>
          <w:rtl/>
          <w:lang w:bidi="ar-LB"/>
        </w:rPr>
        <w:t xml:space="preserve">ما </w:t>
      </w:r>
      <w:r w:rsidRPr="006571AC">
        <w:rPr>
          <w:rFonts w:ascii="Arial" w:eastAsia="Calibri" w:hAnsi="Arial"/>
          <w:sz w:val="27"/>
          <w:rtl/>
          <w:lang w:bidi="ar-LB"/>
        </w:rPr>
        <w:t>ذكر</w:t>
      </w:r>
      <w:r w:rsidRPr="006571AC">
        <w:rPr>
          <w:rFonts w:ascii="Arial" w:eastAsia="Calibri" w:hAnsi="Arial" w:hint="cs"/>
          <w:sz w:val="27"/>
          <w:rtl/>
          <w:lang w:bidi="ar-LB"/>
        </w:rPr>
        <w:t>ه</w:t>
      </w:r>
      <w:r w:rsidRPr="006571AC">
        <w:rPr>
          <w:rFonts w:ascii="Arial" w:eastAsia="Calibri" w:hAnsi="Arial"/>
          <w:sz w:val="27"/>
          <w:rtl/>
          <w:lang w:bidi="ar-LB"/>
        </w:rPr>
        <w:t xml:space="preserve"> الشيخ المجلسي</w:t>
      </w:r>
      <w:r w:rsidR="007E61F4" w:rsidRPr="006571AC">
        <w:rPr>
          <w:rFonts w:ascii="Arial" w:eastAsia="Calibri" w:hAnsi="Arial" w:hint="cs"/>
          <w:sz w:val="27"/>
          <w:rtl/>
          <w:lang w:bidi="ar-LB"/>
        </w:rPr>
        <w:t>،</w:t>
      </w:r>
      <w:r w:rsidRPr="006571AC">
        <w:rPr>
          <w:rFonts w:ascii="Arial" w:eastAsia="Calibri" w:hAnsi="Arial"/>
          <w:sz w:val="27"/>
          <w:rtl/>
          <w:lang w:bidi="ar-LB"/>
        </w:rPr>
        <w:t xml:space="preserve"> </w:t>
      </w:r>
      <w:r w:rsidRPr="006571AC">
        <w:rPr>
          <w:rFonts w:ascii="Arial" w:eastAsia="Calibri" w:hAnsi="Arial" w:hint="cs"/>
          <w:sz w:val="27"/>
          <w:rtl/>
          <w:lang w:bidi="ar-LB"/>
        </w:rPr>
        <w:t xml:space="preserve">تعليقاً على ما أورده </w:t>
      </w:r>
      <w:r w:rsidRPr="006571AC">
        <w:rPr>
          <w:rFonts w:ascii="Arial" w:eastAsia="Calibri" w:hAnsi="Arial"/>
          <w:sz w:val="27"/>
          <w:rtl/>
          <w:lang w:bidi="ar-LB"/>
        </w:rPr>
        <w:t xml:space="preserve">والده </w:t>
      </w:r>
      <w:r w:rsidRPr="006571AC">
        <w:rPr>
          <w:rFonts w:ascii="Arial" w:eastAsia="Calibri" w:hAnsi="Arial" w:hint="cs"/>
          <w:sz w:val="27"/>
          <w:rtl/>
          <w:lang w:bidi="ar-LB"/>
        </w:rPr>
        <w:t xml:space="preserve">من </w:t>
      </w:r>
      <w:r w:rsidRPr="006571AC">
        <w:rPr>
          <w:rFonts w:ascii="Arial" w:eastAsia="Calibri" w:hAnsi="Arial"/>
          <w:sz w:val="27"/>
          <w:rtl/>
          <w:lang w:bidi="ar-LB"/>
        </w:rPr>
        <w:t>روايات</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مروي</w:t>
      </w:r>
      <w:r w:rsidR="007E61F4" w:rsidRPr="006571AC">
        <w:rPr>
          <w:rFonts w:ascii="Arial" w:eastAsia="Calibri" w:hAnsi="Arial" w:hint="cs"/>
          <w:sz w:val="27"/>
          <w:rtl/>
          <w:lang w:bidi="ar-LB"/>
        </w:rPr>
        <w:t>ّ</w:t>
      </w:r>
      <w:r w:rsidRPr="006571AC">
        <w:rPr>
          <w:rFonts w:ascii="Arial" w:eastAsia="Calibri" w:hAnsi="Arial"/>
          <w:sz w:val="27"/>
          <w:rtl/>
          <w:lang w:bidi="ar-LB"/>
        </w:rPr>
        <w:t>ة من طرق الس</w:t>
      </w:r>
      <w:r w:rsidR="007E61F4" w:rsidRPr="006571AC">
        <w:rPr>
          <w:rFonts w:ascii="Arial" w:eastAsia="Calibri" w:hAnsi="Arial" w:hint="cs"/>
          <w:sz w:val="27"/>
          <w:rtl/>
          <w:lang w:bidi="ar-LB"/>
        </w:rPr>
        <w:t>ُّ</w:t>
      </w:r>
      <w:r w:rsidRPr="006571AC">
        <w:rPr>
          <w:rFonts w:ascii="Arial" w:eastAsia="Calibri" w:hAnsi="Arial"/>
          <w:sz w:val="27"/>
          <w:rtl/>
          <w:lang w:bidi="ar-LB"/>
        </w:rPr>
        <w:t>ن</w:t>
      </w:r>
      <w:r w:rsidR="007E61F4" w:rsidRPr="006571AC">
        <w:rPr>
          <w:rFonts w:ascii="Arial" w:eastAsia="Calibri" w:hAnsi="Arial" w:hint="cs"/>
          <w:sz w:val="27"/>
          <w:rtl/>
          <w:lang w:bidi="ar-LB"/>
        </w:rPr>
        <w:t>ّ</w:t>
      </w:r>
      <w:r w:rsidRPr="006571AC">
        <w:rPr>
          <w:rFonts w:ascii="Arial" w:eastAsia="Calibri" w:hAnsi="Arial"/>
          <w:sz w:val="27"/>
          <w:rtl/>
          <w:lang w:bidi="ar-LB"/>
        </w:rPr>
        <w:t>ة في التحذير من الغيبة، قال</w:t>
      </w:r>
      <w:r w:rsidR="007E61F4" w:rsidRPr="006571AC">
        <w:rPr>
          <w:rFonts w:ascii="Arial" w:eastAsia="Calibri" w:hAnsi="Arial" w:hint="cs"/>
          <w:sz w:val="27"/>
          <w:rtl/>
          <w:lang w:bidi="ar-LB"/>
        </w:rPr>
        <w:t>:</w:t>
      </w:r>
      <w:r w:rsidRPr="006571AC">
        <w:rPr>
          <w:rFonts w:ascii="Arial" w:eastAsia="Calibri" w:hAnsi="Arial" w:hint="cs"/>
          <w:sz w:val="27"/>
          <w:rtl/>
          <w:lang w:bidi="ar-LB"/>
        </w:rPr>
        <w:t xml:space="preserve"> </w:t>
      </w:r>
      <w:r w:rsidRPr="006571AC">
        <w:rPr>
          <w:rFonts w:hint="eastAsia"/>
          <w:sz w:val="24"/>
          <w:szCs w:val="24"/>
          <w:rtl/>
          <w:lang w:bidi="ar-LB"/>
        </w:rPr>
        <w:t>«</w:t>
      </w:r>
      <w:r w:rsidRPr="006571AC">
        <w:rPr>
          <w:rFonts w:ascii="Arial" w:eastAsia="Calibri" w:hAnsi="Arial"/>
          <w:sz w:val="27"/>
          <w:rtl/>
          <w:lang w:bidi="ar-LB"/>
        </w:rPr>
        <w:t xml:space="preserve">وأما ما أورده الوالد </w:t>
      </w:r>
      <w:r w:rsidRPr="006571AC">
        <w:rPr>
          <w:rFonts w:ascii="Arial" w:eastAsia="Calibri" w:hAnsi="Arial" w:hint="cs"/>
          <w:sz w:val="27"/>
          <w:rtl/>
          <w:lang w:bidi="ar-LB"/>
        </w:rPr>
        <w:t>(</w:t>
      </w:r>
      <w:r w:rsidRPr="006571AC">
        <w:rPr>
          <w:rFonts w:ascii="Arial" w:eastAsia="Calibri" w:hAnsi="Arial"/>
          <w:sz w:val="27"/>
          <w:rtl/>
          <w:lang w:bidi="ar-LB"/>
        </w:rPr>
        <w:t>قد</w:t>
      </w:r>
      <w:r w:rsidR="007E61F4" w:rsidRPr="006571AC">
        <w:rPr>
          <w:rFonts w:ascii="Arial" w:eastAsia="Calibri" w:hAnsi="Arial" w:hint="cs"/>
          <w:sz w:val="27"/>
          <w:rtl/>
          <w:lang w:bidi="ar-LB"/>
        </w:rPr>
        <w:t>ِّ</w:t>
      </w:r>
      <w:r w:rsidRPr="006571AC">
        <w:rPr>
          <w:rFonts w:ascii="Arial" w:eastAsia="Calibri" w:hAnsi="Arial"/>
          <w:sz w:val="27"/>
          <w:rtl/>
          <w:lang w:bidi="ar-LB"/>
        </w:rPr>
        <w:t>س سر</w:t>
      </w:r>
      <w:r w:rsidR="007E61F4" w:rsidRPr="006571AC">
        <w:rPr>
          <w:rFonts w:ascii="Arial" w:eastAsia="Calibri" w:hAnsi="Arial" w:hint="cs"/>
          <w:sz w:val="27"/>
          <w:rtl/>
          <w:lang w:bidi="ar-LB"/>
        </w:rPr>
        <w:t>ُّ</w:t>
      </w:r>
      <w:r w:rsidRPr="006571AC">
        <w:rPr>
          <w:rFonts w:ascii="Arial" w:eastAsia="Calibri" w:hAnsi="Arial"/>
          <w:sz w:val="27"/>
          <w:rtl/>
          <w:lang w:bidi="ar-LB"/>
        </w:rPr>
        <w:t>ه</w:t>
      </w:r>
      <w:r w:rsidRPr="006571AC">
        <w:rPr>
          <w:rFonts w:ascii="Arial" w:eastAsia="Calibri" w:hAnsi="Arial" w:hint="cs"/>
          <w:sz w:val="27"/>
          <w:rtl/>
          <w:lang w:bidi="ar-LB"/>
        </w:rPr>
        <w:t xml:space="preserve">) </w:t>
      </w:r>
      <w:r w:rsidRPr="006571AC">
        <w:rPr>
          <w:rFonts w:ascii="Arial" w:eastAsia="Calibri" w:hAnsi="Arial"/>
          <w:sz w:val="27"/>
          <w:rtl/>
          <w:lang w:bidi="ar-LB"/>
        </w:rPr>
        <w:t>في رسالته من ال</w:t>
      </w:r>
      <w:r w:rsidRPr="006571AC">
        <w:rPr>
          <w:rFonts w:ascii="Arial" w:eastAsia="Calibri" w:hAnsi="Arial" w:hint="cs"/>
          <w:sz w:val="27"/>
          <w:rtl/>
          <w:lang w:bidi="ar-LB"/>
        </w:rPr>
        <w:t>أ</w:t>
      </w:r>
      <w:r w:rsidRPr="006571AC">
        <w:rPr>
          <w:rFonts w:ascii="Arial" w:eastAsia="Calibri" w:hAnsi="Arial"/>
          <w:sz w:val="27"/>
          <w:rtl/>
          <w:lang w:bidi="ar-LB"/>
        </w:rPr>
        <w:t>خبار</w:t>
      </w:r>
      <w:r w:rsidR="007E61F4" w:rsidRPr="006571AC">
        <w:rPr>
          <w:rFonts w:ascii="Arial" w:eastAsia="Calibri" w:hAnsi="Arial" w:hint="cs"/>
          <w:sz w:val="27"/>
          <w:rtl/>
          <w:lang w:bidi="ar-LB"/>
        </w:rPr>
        <w:t>،</w:t>
      </w:r>
      <w:r w:rsidRPr="006571AC">
        <w:rPr>
          <w:rFonts w:ascii="Arial" w:eastAsia="Calibri" w:hAnsi="Arial"/>
          <w:sz w:val="27"/>
          <w:rtl/>
          <w:lang w:bidi="ar-LB"/>
        </w:rPr>
        <w:t xml:space="preserve"> التي يظهر منها عموم المنع</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كل</w:t>
      </w:r>
      <w:r w:rsidR="007E61F4" w:rsidRPr="006571AC">
        <w:rPr>
          <w:rFonts w:ascii="Arial" w:eastAsia="Calibri" w:hAnsi="Arial" w:hint="cs"/>
          <w:sz w:val="27"/>
          <w:rtl/>
          <w:lang w:bidi="ar-LB"/>
        </w:rPr>
        <w:t>ّ</w:t>
      </w:r>
      <w:r w:rsidRPr="006571AC">
        <w:rPr>
          <w:rFonts w:ascii="Arial" w:eastAsia="Calibri" w:hAnsi="Arial"/>
          <w:sz w:val="27"/>
          <w:rtl/>
          <w:lang w:bidi="ar-LB"/>
        </w:rPr>
        <w:t>ها من أخبار العامة</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فلا تصلح لإثبات حكم</w:t>
      </w:r>
      <w:r w:rsidR="007E61F4" w:rsidRPr="006571AC">
        <w:rPr>
          <w:rFonts w:ascii="Arial" w:eastAsia="Calibri" w:hAnsi="Arial" w:hint="cs"/>
          <w:sz w:val="27"/>
          <w:rtl/>
          <w:lang w:bidi="ar-LB"/>
        </w:rPr>
        <w:t>ٍ</w:t>
      </w:r>
      <w:r w:rsidRPr="006571AC">
        <w:rPr>
          <w:rFonts w:ascii="Arial" w:eastAsia="Calibri" w:hAnsi="Arial"/>
          <w:sz w:val="27"/>
          <w:rtl/>
          <w:lang w:bidi="ar-LB"/>
        </w:rPr>
        <w:t xml:space="preserve"> شرعي، وعذر</w:t>
      </w:r>
      <w:r w:rsidR="007E61F4" w:rsidRPr="006571AC">
        <w:rPr>
          <w:rFonts w:ascii="Arial" w:eastAsia="Calibri" w:hAnsi="Arial" w:hint="cs"/>
          <w:sz w:val="27"/>
          <w:rtl/>
          <w:lang w:bidi="ar-LB"/>
        </w:rPr>
        <w:t>ُ</w:t>
      </w:r>
      <w:r w:rsidRPr="006571AC">
        <w:rPr>
          <w:rFonts w:ascii="Arial" w:eastAsia="Calibri" w:hAnsi="Arial"/>
          <w:sz w:val="27"/>
          <w:rtl/>
          <w:lang w:bidi="ar-LB"/>
        </w:rPr>
        <w:t>ه في إيرادها أنه إنما ذكرها في سياق الترهيب، وشأنهم التسامح في مثله</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3"/>
      </w:r>
      <w:r w:rsidRPr="006571AC">
        <w:rPr>
          <w:rFonts w:ascii="Arial" w:eastAsia="Calibri" w:hAnsi="Arial"/>
          <w:sz w:val="27"/>
          <w:vertAlign w:val="superscript"/>
          <w:rtl/>
          <w:lang w:bidi="ar-LB"/>
        </w:rPr>
        <w:t>)</w:t>
      </w:r>
      <w:r w:rsidRPr="006571AC">
        <w:rPr>
          <w:rFonts w:ascii="Arial" w:eastAsia="Calibri" w:hAnsi="Arial"/>
          <w:sz w:val="27"/>
          <w:rtl/>
          <w:lang w:bidi="ar-LB"/>
        </w:rPr>
        <w:t xml:space="preserve">. </w:t>
      </w:r>
    </w:p>
    <w:p w:rsidR="009B65D5" w:rsidRPr="006571AC" w:rsidRDefault="009B65D5" w:rsidP="002A2E03">
      <w:pPr>
        <w:rPr>
          <w:rFonts w:ascii="Arial" w:eastAsia="MS Mincho" w:hAnsi="Arial"/>
          <w:sz w:val="27"/>
          <w:rtl/>
          <w:lang w:bidi="ar-LB"/>
        </w:rPr>
      </w:pPr>
      <w:r w:rsidRPr="006571AC">
        <w:rPr>
          <w:rFonts w:ascii="Arial" w:eastAsia="MS Mincho" w:hAnsi="Arial" w:hint="cs"/>
          <w:b/>
          <w:bCs/>
          <w:sz w:val="27"/>
          <w:rtl/>
          <w:lang w:bidi="ar-LB"/>
        </w:rPr>
        <w:t xml:space="preserve">ومنها: </w:t>
      </w:r>
      <w:r w:rsidRPr="006571AC">
        <w:rPr>
          <w:rFonts w:ascii="Arial" w:eastAsia="MS Mincho" w:hAnsi="Arial" w:hint="cs"/>
          <w:sz w:val="27"/>
          <w:rtl/>
          <w:lang w:bidi="ar-LB"/>
        </w:rPr>
        <w:t xml:space="preserve">صلاة الرغائب. </w:t>
      </w:r>
    </w:p>
    <w:p w:rsidR="009B65D5" w:rsidRPr="006571AC" w:rsidRDefault="009B65D5" w:rsidP="00DD301A">
      <w:pPr>
        <w:spacing w:line="420" w:lineRule="exact"/>
        <w:rPr>
          <w:rFonts w:ascii="Arial" w:eastAsia="MS Mincho" w:hAnsi="Arial"/>
          <w:sz w:val="27"/>
          <w:rtl/>
          <w:lang w:bidi="ar-LB"/>
        </w:rPr>
      </w:pPr>
    </w:p>
    <w:p w:rsidR="009B65D5" w:rsidRPr="006571AC" w:rsidRDefault="008141F9" w:rsidP="0035540A">
      <w:pPr>
        <w:pStyle w:val="31"/>
        <w:rPr>
          <w:rFonts w:eastAsia="MS Mincho"/>
          <w:color w:val="auto"/>
          <w:rtl/>
        </w:rPr>
      </w:pPr>
      <w:bookmarkStart w:id="404" w:name="_Toc114164812"/>
      <w:r w:rsidRPr="006571AC">
        <w:rPr>
          <w:rFonts w:eastAsia="MS Mincho" w:hint="cs"/>
          <w:color w:val="auto"/>
          <w:rtl/>
        </w:rPr>
        <w:t>ب ـ</w:t>
      </w:r>
      <w:r w:rsidR="009B65D5" w:rsidRPr="006571AC">
        <w:rPr>
          <w:rFonts w:eastAsia="MS Mincho" w:hint="cs"/>
          <w:color w:val="auto"/>
          <w:rtl/>
        </w:rPr>
        <w:t xml:space="preserve"> </w:t>
      </w:r>
      <w:r w:rsidR="009B65D5" w:rsidRPr="006571AC">
        <w:rPr>
          <w:rFonts w:eastAsia="MS Mincho"/>
          <w:color w:val="auto"/>
          <w:rtl/>
        </w:rPr>
        <w:t>التوس</w:t>
      </w:r>
      <w:r w:rsidR="007E61F4" w:rsidRPr="006571AC">
        <w:rPr>
          <w:rFonts w:eastAsia="MS Mincho" w:hint="cs"/>
          <w:color w:val="auto"/>
          <w:rtl/>
        </w:rPr>
        <w:t>ُّ</w:t>
      </w:r>
      <w:r w:rsidR="009B65D5" w:rsidRPr="006571AC">
        <w:rPr>
          <w:rFonts w:eastAsia="MS Mincho"/>
          <w:color w:val="auto"/>
          <w:rtl/>
        </w:rPr>
        <w:t>ع</w:t>
      </w:r>
      <w:r w:rsidR="009B65D5" w:rsidRPr="006571AC">
        <w:rPr>
          <w:rFonts w:eastAsia="MS Mincho" w:hint="cs"/>
          <w:color w:val="auto"/>
          <w:rtl/>
        </w:rPr>
        <w:t>ات غير الفقهي</w:t>
      </w:r>
      <w:r w:rsidR="007E61F4" w:rsidRPr="006571AC">
        <w:rPr>
          <w:rFonts w:eastAsia="MS Mincho" w:hint="cs"/>
          <w:color w:val="auto"/>
          <w:rtl/>
        </w:rPr>
        <w:t>ّ</w:t>
      </w:r>
      <w:r w:rsidR="009B65D5" w:rsidRPr="006571AC">
        <w:rPr>
          <w:rFonts w:eastAsia="MS Mincho" w:hint="cs"/>
          <w:color w:val="auto"/>
          <w:rtl/>
        </w:rPr>
        <w:t>ة</w:t>
      </w:r>
      <w:bookmarkEnd w:id="404"/>
    </w:p>
    <w:p w:rsidR="009B65D5" w:rsidRPr="006571AC" w:rsidRDefault="009B65D5" w:rsidP="002A2E03">
      <w:pPr>
        <w:rPr>
          <w:rFonts w:ascii="Arial" w:eastAsia="Calibri" w:hAnsi="Arial"/>
          <w:b/>
          <w:bCs/>
          <w:sz w:val="27"/>
          <w:rtl/>
          <w:lang w:bidi="ar-LB"/>
        </w:rPr>
      </w:pPr>
      <w:r w:rsidRPr="006571AC">
        <w:rPr>
          <w:rFonts w:ascii="Arial" w:eastAsia="MS Mincho" w:hAnsi="Arial" w:hint="cs"/>
          <w:sz w:val="27"/>
          <w:rtl/>
        </w:rPr>
        <w:t xml:space="preserve"> وهذا النوع يهم</w:t>
      </w:r>
      <w:r w:rsidR="007E61F4" w:rsidRPr="006571AC">
        <w:rPr>
          <w:rFonts w:ascii="Arial" w:eastAsia="MS Mincho" w:hAnsi="Arial" w:hint="cs"/>
          <w:sz w:val="27"/>
          <w:rtl/>
        </w:rPr>
        <w:t>ُّ</w:t>
      </w:r>
      <w:r w:rsidRPr="006571AC">
        <w:rPr>
          <w:rFonts w:ascii="Arial" w:eastAsia="MS Mincho" w:hAnsi="Arial" w:hint="cs"/>
          <w:sz w:val="27"/>
          <w:rtl/>
        </w:rPr>
        <w:t>نا التوق</w:t>
      </w:r>
      <w:r w:rsidR="007E61F4" w:rsidRPr="006571AC">
        <w:rPr>
          <w:rFonts w:ascii="Arial" w:eastAsia="MS Mincho" w:hAnsi="Arial" w:hint="cs"/>
          <w:sz w:val="27"/>
          <w:rtl/>
        </w:rPr>
        <w:t>ُّ</w:t>
      </w:r>
      <w:r w:rsidRPr="006571AC">
        <w:rPr>
          <w:rFonts w:ascii="Arial" w:eastAsia="MS Mincho" w:hAnsi="Arial" w:hint="cs"/>
          <w:sz w:val="27"/>
          <w:rtl/>
        </w:rPr>
        <w:t>ف عنده</w:t>
      </w:r>
      <w:r w:rsidR="007E61F4" w:rsidRPr="006571AC">
        <w:rPr>
          <w:rFonts w:ascii="Arial" w:eastAsia="MS Mincho" w:hAnsi="Arial" w:hint="cs"/>
          <w:sz w:val="27"/>
          <w:rtl/>
        </w:rPr>
        <w:t>؛</w:t>
      </w:r>
      <w:r w:rsidRPr="006571AC">
        <w:rPr>
          <w:rFonts w:ascii="Arial" w:eastAsia="MS Mincho" w:hAnsi="Arial" w:hint="cs"/>
          <w:sz w:val="27"/>
          <w:rtl/>
        </w:rPr>
        <w:t xml:space="preserve"> لصلته ببحثنا</w:t>
      </w:r>
      <w:r w:rsidR="007E61F4" w:rsidRPr="006571AC">
        <w:rPr>
          <w:rFonts w:ascii="Arial" w:eastAsia="MS Mincho" w:hAnsi="Arial" w:hint="cs"/>
          <w:sz w:val="27"/>
          <w:rtl/>
        </w:rPr>
        <w:t>.</w:t>
      </w:r>
      <w:r w:rsidRPr="006571AC">
        <w:rPr>
          <w:rFonts w:ascii="Arial" w:eastAsia="MS Mincho" w:hAnsi="Arial" w:hint="cs"/>
          <w:sz w:val="27"/>
          <w:rtl/>
        </w:rPr>
        <w:t xml:space="preserve"> وبح</w:t>
      </w:r>
      <w:r w:rsidR="007E61F4" w:rsidRPr="006571AC">
        <w:rPr>
          <w:rFonts w:ascii="Arial" w:eastAsia="MS Mincho" w:hAnsi="Arial" w:hint="cs"/>
          <w:sz w:val="27"/>
          <w:rtl/>
        </w:rPr>
        <w:t>َ</w:t>
      </w:r>
      <w:r w:rsidRPr="006571AC">
        <w:rPr>
          <w:rFonts w:ascii="Arial" w:eastAsia="MS Mincho" w:hAnsi="Arial" w:hint="cs"/>
          <w:sz w:val="27"/>
          <w:rtl/>
        </w:rPr>
        <w:t>س</w:t>
      </w:r>
      <w:r w:rsidR="007E61F4" w:rsidRPr="006571AC">
        <w:rPr>
          <w:rFonts w:ascii="Arial" w:eastAsia="MS Mincho" w:hAnsi="Arial" w:hint="cs"/>
          <w:sz w:val="27"/>
          <w:rtl/>
        </w:rPr>
        <w:t>َ</w:t>
      </w:r>
      <w:r w:rsidRPr="006571AC">
        <w:rPr>
          <w:rFonts w:ascii="Arial" w:eastAsia="MS Mincho" w:hAnsi="Arial" w:hint="cs"/>
          <w:sz w:val="27"/>
          <w:rtl/>
        </w:rPr>
        <w:t>ب ما لاحظنا في كلام الأعلام يمكن رصد العديد من التوس</w:t>
      </w:r>
      <w:r w:rsidR="007E61F4" w:rsidRPr="006571AC">
        <w:rPr>
          <w:rFonts w:ascii="Arial" w:eastAsia="MS Mincho" w:hAnsi="Arial" w:hint="cs"/>
          <w:sz w:val="27"/>
          <w:rtl/>
        </w:rPr>
        <w:t>ُّ</w:t>
      </w:r>
      <w:r w:rsidRPr="006571AC">
        <w:rPr>
          <w:rFonts w:ascii="Arial" w:eastAsia="MS Mincho" w:hAnsi="Arial" w:hint="cs"/>
          <w:sz w:val="27"/>
          <w:rtl/>
        </w:rPr>
        <w:t>عات غير الفقهية، بحيث يمكن القول</w:t>
      </w:r>
      <w:r w:rsidR="007E61F4" w:rsidRPr="006571AC">
        <w:rPr>
          <w:rFonts w:ascii="Arial" w:eastAsia="MS Mincho" w:hAnsi="Arial" w:hint="cs"/>
          <w:sz w:val="27"/>
          <w:rtl/>
        </w:rPr>
        <w:t>:</w:t>
      </w:r>
      <w:r w:rsidRPr="006571AC">
        <w:rPr>
          <w:rFonts w:ascii="Arial" w:eastAsia="MS Mincho" w:hAnsi="Arial" w:hint="cs"/>
          <w:sz w:val="27"/>
          <w:rtl/>
        </w:rPr>
        <w:t xml:space="preserve"> إنّ </w:t>
      </w:r>
      <w:r w:rsidRPr="006571AC">
        <w:rPr>
          <w:rFonts w:ascii="Arial" w:eastAsia="Calibri" w:hAnsi="Arial"/>
          <w:sz w:val="27"/>
          <w:rtl/>
          <w:lang w:bidi="ar-LB"/>
        </w:rPr>
        <w:t xml:space="preserve">قاعدة التسامح </w:t>
      </w:r>
      <w:r w:rsidRPr="006571AC">
        <w:rPr>
          <w:rFonts w:ascii="Arial" w:eastAsia="Calibri" w:hAnsi="Arial" w:hint="cs"/>
          <w:sz w:val="27"/>
          <w:rtl/>
          <w:lang w:bidi="ar-LB"/>
        </w:rPr>
        <w:t xml:space="preserve">قد </w:t>
      </w:r>
      <w:r w:rsidRPr="006571AC">
        <w:rPr>
          <w:rFonts w:ascii="Arial" w:eastAsia="Calibri" w:hAnsi="Arial"/>
          <w:sz w:val="27"/>
          <w:rtl/>
          <w:lang w:bidi="ar-LB"/>
        </w:rPr>
        <w:t>أرخ</w:t>
      </w:r>
      <w:r w:rsidR="007E61F4" w:rsidRPr="006571AC">
        <w:rPr>
          <w:rFonts w:ascii="Arial" w:eastAsia="Calibri" w:hAnsi="Arial" w:hint="cs"/>
          <w:sz w:val="27"/>
          <w:rtl/>
          <w:lang w:bidi="ar-LB"/>
        </w:rPr>
        <w:t>َ</w:t>
      </w:r>
      <w:r w:rsidRPr="006571AC">
        <w:rPr>
          <w:rFonts w:ascii="Arial" w:eastAsia="Calibri" w:hAnsi="Arial"/>
          <w:sz w:val="27"/>
          <w:rtl/>
          <w:lang w:bidi="ar-LB"/>
        </w:rPr>
        <w:t>ت</w:t>
      </w:r>
      <w:r w:rsidR="007E61F4" w:rsidRPr="006571AC">
        <w:rPr>
          <w:rFonts w:ascii="Arial" w:eastAsia="Calibri" w:hAnsi="Arial" w:hint="cs"/>
          <w:sz w:val="27"/>
          <w:rtl/>
          <w:lang w:bidi="ar-LB"/>
        </w:rPr>
        <w:t>ْ</w:t>
      </w:r>
      <w:r w:rsidRPr="006571AC">
        <w:rPr>
          <w:rFonts w:ascii="Arial" w:eastAsia="Calibri" w:hAnsi="Arial"/>
          <w:sz w:val="27"/>
          <w:rtl/>
          <w:lang w:bidi="ar-LB"/>
        </w:rPr>
        <w:t xml:space="preserve"> بظلالها على الفكر والفقه والتاريخ والسيرة</w:t>
      </w:r>
      <w:r w:rsidRPr="006571AC">
        <w:rPr>
          <w:rFonts w:ascii="Arial" w:eastAsia="Calibri" w:hAnsi="Arial" w:hint="cs"/>
          <w:sz w:val="27"/>
          <w:rtl/>
          <w:lang w:bidi="ar-LB"/>
        </w:rPr>
        <w:t xml:space="preserve"> والو</w:t>
      </w:r>
      <w:r w:rsidR="007E61F4" w:rsidRPr="006571AC">
        <w:rPr>
          <w:rFonts w:ascii="Arial" w:eastAsia="Calibri" w:hAnsi="Arial" w:hint="cs"/>
          <w:sz w:val="27"/>
          <w:rtl/>
          <w:lang w:bidi="ar-LB"/>
        </w:rPr>
        <w:t>َ</w:t>
      </w:r>
      <w:r w:rsidRPr="006571AC">
        <w:rPr>
          <w:rFonts w:ascii="Arial" w:eastAsia="Calibri" w:hAnsi="Arial" w:hint="cs"/>
          <w:sz w:val="27"/>
          <w:rtl/>
          <w:lang w:bidi="ar-LB"/>
        </w:rPr>
        <w:t>ع</w:t>
      </w:r>
      <w:r w:rsidR="007E61F4" w:rsidRPr="006571AC">
        <w:rPr>
          <w:rFonts w:ascii="Arial" w:eastAsia="Calibri" w:hAnsi="Arial" w:hint="cs"/>
          <w:sz w:val="27"/>
          <w:rtl/>
          <w:lang w:bidi="ar-LB"/>
        </w:rPr>
        <w:t>ْ</w:t>
      </w:r>
      <w:r w:rsidRPr="006571AC">
        <w:rPr>
          <w:rFonts w:ascii="Arial" w:eastAsia="Calibri" w:hAnsi="Arial" w:hint="cs"/>
          <w:sz w:val="27"/>
          <w:rtl/>
          <w:lang w:bidi="ar-LB"/>
        </w:rPr>
        <w:t xml:space="preserve">ظ والإرشاد. لقد دخل التسامح إلى </w:t>
      </w:r>
      <w:r w:rsidRPr="006571AC">
        <w:rPr>
          <w:rFonts w:ascii="Arial" w:eastAsia="Calibri" w:hAnsi="Arial"/>
          <w:sz w:val="27"/>
          <w:rtl/>
          <w:lang w:bidi="ar-LB"/>
        </w:rPr>
        <w:t xml:space="preserve">الروايات </w:t>
      </w:r>
      <w:r w:rsidRPr="006571AC">
        <w:rPr>
          <w:rFonts w:ascii="Arial" w:eastAsia="Calibri" w:hAnsi="Arial" w:hint="cs"/>
          <w:sz w:val="27"/>
          <w:rtl/>
          <w:lang w:bidi="ar-LB"/>
        </w:rPr>
        <w:t>ذات الب</w:t>
      </w:r>
      <w:r w:rsidR="007E61F4" w:rsidRPr="006571AC">
        <w:rPr>
          <w:rFonts w:ascii="Arial" w:eastAsia="Calibri" w:hAnsi="Arial" w:hint="cs"/>
          <w:sz w:val="27"/>
          <w:rtl/>
          <w:lang w:bidi="ar-LB"/>
        </w:rPr>
        <w:t>ُ</w:t>
      </w:r>
      <w:r w:rsidRPr="006571AC">
        <w:rPr>
          <w:rFonts w:ascii="Arial" w:eastAsia="Calibri" w:hAnsi="Arial" w:hint="cs"/>
          <w:sz w:val="27"/>
          <w:rtl/>
          <w:lang w:bidi="ar-LB"/>
        </w:rPr>
        <w:t>ع</w:t>
      </w:r>
      <w:r w:rsidR="00C574D7" w:rsidRPr="006571AC">
        <w:rPr>
          <w:rFonts w:ascii="Arial" w:eastAsia="Calibri" w:hAnsi="Arial" w:hint="cs"/>
          <w:sz w:val="27"/>
          <w:rtl/>
          <w:lang w:bidi="ar-LB"/>
        </w:rPr>
        <w:t>ْ</w:t>
      </w:r>
      <w:r w:rsidRPr="006571AC">
        <w:rPr>
          <w:rFonts w:ascii="Arial" w:eastAsia="Calibri" w:hAnsi="Arial" w:hint="cs"/>
          <w:sz w:val="27"/>
          <w:rtl/>
          <w:lang w:bidi="ar-LB"/>
        </w:rPr>
        <w:t xml:space="preserve">د </w:t>
      </w:r>
      <w:r w:rsidRPr="006571AC">
        <w:rPr>
          <w:rFonts w:ascii="Arial" w:eastAsia="Calibri" w:hAnsi="Arial"/>
          <w:sz w:val="27"/>
          <w:rtl/>
          <w:lang w:bidi="ar-LB"/>
        </w:rPr>
        <w:t>العقائدي</w:t>
      </w:r>
      <w:r w:rsidRPr="006571AC">
        <w:rPr>
          <w:rFonts w:ascii="Arial" w:eastAsia="Calibri" w:hAnsi="Arial" w:hint="cs"/>
          <w:sz w:val="27"/>
          <w:rtl/>
          <w:lang w:bidi="ar-LB"/>
        </w:rPr>
        <w:t xml:space="preserve">، وإلى بعض </w:t>
      </w:r>
      <w:r w:rsidRPr="006571AC">
        <w:rPr>
          <w:rFonts w:ascii="Arial" w:eastAsia="Calibri" w:hAnsi="Arial"/>
          <w:sz w:val="27"/>
          <w:rtl/>
          <w:lang w:bidi="ar-LB"/>
        </w:rPr>
        <w:t xml:space="preserve">الروايات </w:t>
      </w:r>
      <w:r w:rsidRPr="006571AC">
        <w:rPr>
          <w:rFonts w:ascii="Arial" w:eastAsia="Calibri" w:hAnsi="Arial" w:hint="cs"/>
          <w:sz w:val="27"/>
          <w:rtl/>
          <w:lang w:bidi="ar-LB"/>
        </w:rPr>
        <w:t>ذات</w:t>
      </w:r>
      <w:r w:rsidRPr="006571AC">
        <w:rPr>
          <w:rFonts w:ascii="Arial" w:eastAsia="Calibri" w:hAnsi="Arial"/>
          <w:sz w:val="27"/>
          <w:rtl/>
          <w:lang w:bidi="ar-LB"/>
        </w:rPr>
        <w:t xml:space="preserve"> ال</w:t>
      </w:r>
      <w:r w:rsidRPr="006571AC">
        <w:rPr>
          <w:rFonts w:ascii="Arial" w:eastAsia="Calibri" w:hAnsi="Arial" w:hint="cs"/>
          <w:sz w:val="27"/>
          <w:rtl/>
          <w:lang w:bidi="ar-LB"/>
        </w:rPr>
        <w:t>دلالات ال</w:t>
      </w:r>
      <w:r w:rsidRPr="006571AC">
        <w:rPr>
          <w:rFonts w:ascii="Arial" w:eastAsia="Calibri" w:hAnsi="Arial"/>
          <w:sz w:val="27"/>
          <w:rtl/>
          <w:lang w:bidi="ar-LB"/>
        </w:rPr>
        <w:t>عرفا</w:t>
      </w:r>
      <w:r w:rsidRPr="006571AC">
        <w:rPr>
          <w:rFonts w:ascii="Arial" w:eastAsia="Calibri" w:hAnsi="Arial" w:hint="cs"/>
          <w:sz w:val="27"/>
          <w:rtl/>
          <w:lang w:bidi="ar-LB"/>
        </w:rPr>
        <w:t>نية، وإلى</w:t>
      </w:r>
      <w:r w:rsidRPr="006571AC">
        <w:rPr>
          <w:rFonts w:ascii="Arial" w:eastAsia="Calibri" w:hAnsi="Arial"/>
          <w:sz w:val="27"/>
          <w:rtl/>
          <w:lang w:bidi="ar-LB"/>
        </w:rPr>
        <w:t xml:space="preserve"> المجال الأخلاقي</w:t>
      </w:r>
      <w:r w:rsidR="007E61F4" w:rsidRPr="006571AC">
        <w:rPr>
          <w:rFonts w:ascii="Arial" w:eastAsia="Calibri" w:hAnsi="Arial" w:hint="cs"/>
          <w:sz w:val="27"/>
          <w:rtl/>
          <w:lang w:bidi="ar-LB"/>
        </w:rPr>
        <w:t xml:space="preserve">، </w:t>
      </w:r>
      <w:r w:rsidRPr="006571AC">
        <w:rPr>
          <w:rFonts w:ascii="Arial" w:eastAsia="Calibri" w:hAnsi="Arial" w:hint="cs"/>
          <w:sz w:val="27"/>
          <w:rtl/>
          <w:lang w:bidi="ar-LB"/>
        </w:rPr>
        <w:t>وكذلك إلى المجال الطبي، ناهيك عن المجال التاريخي</w:t>
      </w:r>
      <w:r w:rsidR="007E61F4" w:rsidRPr="006571AC">
        <w:rPr>
          <w:rFonts w:ascii="Arial" w:eastAsia="Calibri" w:hAnsi="Arial" w:hint="cs"/>
          <w:sz w:val="27"/>
          <w:rtl/>
          <w:lang w:bidi="ar-LB"/>
        </w:rPr>
        <w:t>.</w:t>
      </w:r>
      <w:r w:rsidRPr="006571AC">
        <w:rPr>
          <w:rFonts w:ascii="Arial" w:eastAsia="Calibri" w:hAnsi="Arial" w:hint="cs"/>
          <w:sz w:val="27"/>
          <w:rtl/>
          <w:lang w:bidi="ar-LB"/>
        </w:rPr>
        <w:t xml:space="preserve"> ورصد</w:t>
      </w:r>
      <w:r w:rsidR="007E61F4" w:rsidRPr="006571AC">
        <w:rPr>
          <w:rFonts w:ascii="Arial" w:eastAsia="Calibri" w:hAnsi="Arial" w:hint="cs"/>
          <w:sz w:val="27"/>
          <w:rtl/>
          <w:lang w:bidi="ar-LB"/>
        </w:rPr>
        <w:t>ُ</w:t>
      </w:r>
      <w:r w:rsidRPr="006571AC">
        <w:rPr>
          <w:rFonts w:ascii="Arial" w:eastAsia="Calibri" w:hAnsi="Arial" w:hint="cs"/>
          <w:sz w:val="27"/>
          <w:rtl/>
          <w:lang w:bidi="ar-LB"/>
        </w:rPr>
        <w:t xml:space="preserve"> التوس</w:t>
      </w:r>
      <w:r w:rsidR="007E61F4" w:rsidRPr="006571AC">
        <w:rPr>
          <w:rFonts w:ascii="Arial" w:eastAsia="Calibri" w:hAnsi="Arial" w:hint="cs"/>
          <w:sz w:val="27"/>
          <w:rtl/>
          <w:lang w:bidi="ar-LB"/>
        </w:rPr>
        <w:t>ُّ</w:t>
      </w:r>
      <w:r w:rsidRPr="006571AC">
        <w:rPr>
          <w:rFonts w:ascii="Arial" w:eastAsia="Calibri" w:hAnsi="Arial" w:hint="cs"/>
          <w:sz w:val="27"/>
          <w:rtl/>
          <w:lang w:bidi="ar-LB"/>
        </w:rPr>
        <w:t>عات الجارية في كل</w:t>
      </w:r>
      <w:r w:rsidR="007E61F4" w:rsidRPr="006571AC">
        <w:rPr>
          <w:rFonts w:ascii="Arial" w:eastAsia="Calibri" w:hAnsi="Arial" w:hint="cs"/>
          <w:sz w:val="27"/>
          <w:rtl/>
          <w:lang w:bidi="ar-LB"/>
        </w:rPr>
        <w:t>ّ</w:t>
      </w:r>
      <w:r w:rsidRPr="006571AC">
        <w:rPr>
          <w:rFonts w:ascii="Arial" w:eastAsia="Calibri" w:hAnsi="Arial" w:hint="cs"/>
          <w:sz w:val="27"/>
          <w:rtl/>
          <w:lang w:bidi="ar-LB"/>
        </w:rPr>
        <w:t xml:space="preserve"> هذه المجالات يحتاج إلى تتب</w:t>
      </w:r>
      <w:r w:rsidR="007E61F4" w:rsidRPr="006571AC">
        <w:rPr>
          <w:rFonts w:ascii="Arial" w:eastAsia="Calibri" w:hAnsi="Arial" w:hint="cs"/>
          <w:sz w:val="27"/>
          <w:rtl/>
          <w:lang w:bidi="ar-LB"/>
        </w:rPr>
        <w:t>ُّ</w:t>
      </w:r>
      <w:r w:rsidRPr="006571AC">
        <w:rPr>
          <w:rFonts w:ascii="Arial" w:eastAsia="Calibri" w:hAnsi="Arial" w:hint="cs"/>
          <w:sz w:val="27"/>
          <w:rtl/>
          <w:lang w:bidi="ar-LB"/>
        </w:rPr>
        <w:t>ع</w:t>
      </w:r>
      <w:r w:rsidR="007E61F4" w:rsidRPr="006571AC">
        <w:rPr>
          <w:rFonts w:ascii="Arial" w:eastAsia="Calibri" w:hAnsi="Arial" w:hint="cs"/>
          <w:sz w:val="27"/>
          <w:rtl/>
          <w:lang w:bidi="ar-LB"/>
        </w:rPr>
        <w:t>ٍ</w:t>
      </w:r>
      <w:r w:rsidRPr="006571AC">
        <w:rPr>
          <w:rFonts w:ascii="Arial" w:eastAsia="Calibri" w:hAnsi="Arial" w:hint="cs"/>
          <w:sz w:val="27"/>
          <w:rtl/>
          <w:lang w:bidi="ar-LB"/>
        </w:rPr>
        <w:t>، ولكنّي سوف أكتفي بالإشارة إلى ثلاثة توس</w:t>
      </w:r>
      <w:r w:rsidR="007E61F4" w:rsidRPr="006571AC">
        <w:rPr>
          <w:rFonts w:ascii="Arial" w:eastAsia="Calibri" w:hAnsi="Arial" w:hint="cs"/>
          <w:sz w:val="27"/>
          <w:rtl/>
          <w:lang w:bidi="ar-LB"/>
        </w:rPr>
        <w:t>ُّ</w:t>
      </w:r>
      <w:r w:rsidRPr="006571AC">
        <w:rPr>
          <w:rFonts w:ascii="Arial" w:eastAsia="Calibri" w:hAnsi="Arial" w:hint="cs"/>
          <w:sz w:val="27"/>
          <w:rtl/>
          <w:lang w:bidi="ar-LB"/>
        </w:rPr>
        <w:t>عات</w:t>
      </w:r>
      <w:r w:rsidRPr="006571AC">
        <w:rPr>
          <w:rFonts w:ascii="Arial" w:eastAsia="MS Mincho" w:hAnsi="Arial" w:hint="cs"/>
          <w:sz w:val="27"/>
          <w:rtl/>
        </w:rPr>
        <w:t xml:space="preserve">: </w:t>
      </w:r>
    </w:p>
    <w:p w:rsidR="009B65D5" w:rsidRPr="006571AC" w:rsidRDefault="009B65D5" w:rsidP="00DD301A">
      <w:pPr>
        <w:spacing w:line="430" w:lineRule="exact"/>
        <w:rPr>
          <w:rFonts w:ascii="Arial" w:eastAsia="Calibri" w:hAnsi="Arial"/>
          <w:b/>
          <w:bCs/>
          <w:sz w:val="27"/>
          <w:rtl/>
          <w:lang w:bidi="ar-LB"/>
        </w:rPr>
      </w:pPr>
    </w:p>
    <w:p w:rsidR="009B65D5" w:rsidRPr="006571AC" w:rsidRDefault="008141F9" w:rsidP="0035540A">
      <w:pPr>
        <w:pStyle w:val="31"/>
        <w:rPr>
          <w:rFonts w:eastAsia="MS Mincho"/>
          <w:color w:val="auto"/>
          <w:rtl/>
        </w:rPr>
      </w:pPr>
      <w:bookmarkStart w:id="405" w:name="_Toc114164813"/>
      <w:r w:rsidRPr="006571AC">
        <w:rPr>
          <w:rFonts w:eastAsia="MS Mincho" w:hint="cs"/>
          <w:color w:val="auto"/>
          <w:rtl/>
        </w:rPr>
        <w:t>1ـ</w:t>
      </w:r>
      <w:r w:rsidR="009B65D5" w:rsidRPr="006571AC">
        <w:rPr>
          <w:rFonts w:eastAsia="MS Mincho" w:hint="cs"/>
          <w:color w:val="auto"/>
          <w:rtl/>
        </w:rPr>
        <w:t xml:space="preserve"> </w:t>
      </w:r>
      <w:r w:rsidR="009B65D5" w:rsidRPr="006571AC">
        <w:rPr>
          <w:rFonts w:eastAsia="MS Mincho"/>
          <w:color w:val="auto"/>
          <w:rtl/>
        </w:rPr>
        <w:t>قضايا التاريخ</w:t>
      </w:r>
      <w:bookmarkEnd w:id="405"/>
    </w:p>
    <w:p w:rsidR="009B65D5" w:rsidRPr="006571AC" w:rsidRDefault="009B65D5" w:rsidP="002A2E03">
      <w:pPr>
        <w:rPr>
          <w:rFonts w:ascii="Arial" w:eastAsia="MS Mincho" w:hAnsi="Arial"/>
          <w:sz w:val="27"/>
          <w:rtl/>
        </w:rPr>
      </w:pPr>
      <w:r w:rsidRPr="006571AC">
        <w:rPr>
          <w:rFonts w:ascii="Arial" w:eastAsia="MS Mincho" w:hAnsi="Arial"/>
          <w:sz w:val="27"/>
          <w:rtl/>
        </w:rPr>
        <w:t xml:space="preserve"> قال آقا </w:t>
      </w:r>
      <w:r w:rsidRPr="006571AC">
        <w:rPr>
          <w:rFonts w:ascii="Mosawi" w:hAnsi="Mosawi" w:cs="Abz-3 (Yagut)"/>
          <w:sz w:val="24"/>
          <w:szCs w:val="24"/>
          <w:rtl/>
        </w:rPr>
        <w:t>بزر</w:t>
      </w:r>
      <w:r w:rsidR="00946E61" w:rsidRPr="006571AC">
        <w:rPr>
          <w:rFonts w:ascii="Mosawi" w:hAnsi="Mosawi" w:cs="Abz-3 (Yagut)"/>
          <w:sz w:val="24"/>
          <w:szCs w:val="24"/>
          <w:rtl/>
        </w:rPr>
        <w:t>گ</w:t>
      </w:r>
      <w:r w:rsidRPr="006571AC">
        <w:rPr>
          <w:rFonts w:ascii="Arial" w:eastAsia="MS Mincho" w:hAnsi="Arial"/>
          <w:sz w:val="27"/>
          <w:rtl/>
        </w:rPr>
        <w:t xml:space="preserve"> ال</w:t>
      </w:r>
      <w:r w:rsidRPr="006571AC">
        <w:rPr>
          <w:rFonts w:ascii="Arial" w:eastAsia="MS Mincho" w:hAnsi="Arial" w:hint="cs"/>
          <w:sz w:val="27"/>
          <w:rtl/>
        </w:rPr>
        <w:t>ط</w:t>
      </w:r>
      <w:r w:rsidRPr="006571AC">
        <w:rPr>
          <w:rFonts w:ascii="Arial" w:eastAsia="MS Mincho" w:hAnsi="Arial"/>
          <w:sz w:val="27"/>
          <w:rtl/>
        </w:rPr>
        <w:t>هراني</w:t>
      </w:r>
      <w:r w:rsidR="00946E61" w:rsidRPr="006571AC">
        <w:rPr>
          <w:rFonts w:ascii="Arial" w:eastAsia="MS Mincho" w:hAnsi="Arial" w:hint="cs"/>
          <w:sz w:val="27"/>
          <w:rtl/>
        </w:rPr>
        <w:t>،</w:t>
      </w:r>
      <w:r w:rsidRPr="006571AC">
        <w:rPr>
          <w:rFonts w:ascii="Arial" w:eastAsia="MS Mincho" w:hAnsi="Arial"/>
          <w:sz w:val="27"/>
          <w:rtl/>
        </w:rPr>
        <w:t xml:space="preserve"> تعليقاً على ما فعله الدربندي في كتابه </w:t>
      </w:r>
      <w:r w:rsidRPr="006571AC">
        <w:rPr>
          <w:rFonts w:hint="eastAsia"/>
          <w:sz w:val="24"/>
          <w:szCs w:val="24"/>
          <w:rtl/>
        </w:rPr>
        <w:t>«</w:t>
      </w:r>
      <w:r w:rsidRPr="006571AC">
        <w:rPr>
          <w:rFonts w:ascii="Arial" w:eastAsia="MS Mincho" w:hAnsi="Arial"/>
          <w:sz w:val="27"/>
          <w:rtl/>
        </w:rPr>
        <w:t>أس</w:t>
      </w:r>
      <w:r w:rsidRPr="006571AC">
        <w:rPr>
          <w:rFonts w:ascii="Arial" w:eastAsia="MS Mincho" w:hAnsi="Arial" w:hint="cs"/>
          <w:sz w:val="27"/>
          <w:rtl/>
        </w:rPr>
        <w:t>ر</w:t>
      </w:r>
      <w:r w:rsidRPr="006571AC">
        <w:rPr>
          <w:rFonts w:ascii="Arial" w:eastAsia="MS Mincho" w:hAnsi="Arial"/>
          <w:sz w:val="27"/>
          <w:rtl/>
        </w:rPr>
        <w:t>ار الشهادة</w:t>
      </w:r>
      <w:r w:rsidRPr="006571AC">
        <w:rPr>
          <w:rFonts w:hint="eastAsia"/>
          <w:sz w:val="24"/>
          <w:szCs w:val="24"/>
          <w:rtl/>
        </w:rPr>
        <w:t>»</w:t>
      </w:r>
      <w:r w:rsidR="00946E61" w:rsidRPr="006571AC">
        <w:rPr>
          <w:rFonts w:ascii="Arial" w:eastAsia="MS Mincho" w:hAnsi="Arial" w:hint="cs"/>
          <w:sz w:val="27"/>
          <w:rtl/>
        </w:rPr>
        <w:t>،</w:t>
      </w:r>
      <w:r w:rsidRPr="006571AC">
        <w:rPr>
          <w:rFonts w:ascii="Arial" w:eastAsia="MS Mincho" w:hAnsi="Arial" w:hint="cs"/>
          <w:sz w:val="27"/>
          <w:rtl/>
        </w:rPr>
        <w:t xml:space="preserve"> من إدخال بعض ضعاف الأخبار</w:t>
      </w:r>
      <w:r w:rsidRPr="006571AC">
        <w:rPr>
          <w:rFonts w:ascii="Arial" w:eastAsia="MS Mincho" w:hAnsi="Arial"/>
          <w:sz w:val="27"/>
          <w:rtl/>
        </w:rPr>
        <w:t xml:space="preserve">: </w:t>
      </w:r>
      <w:r w:rsidRPr="006571AC">
        <w:rPr>
          <w:rFonts w:hint="eastAsia"/>
          <w:sz w:val="24"/>
          <w:szCs w:val="24"/>
          <w:rtl/>
        </w:rPr>
        <w:t>«</w:t>
      </w:r>
      <w:r w:rsidRPr="006571AC">
        <w:rPr>
          <w:rFonts w:ascii="Arial" w:eastAsia="MS Mincho" w:hAnsi="Arial"/>
          <w:sz w:val="27"/>
          <w:rtl/>
        </w:rPr>
        <w:t>ومن شد</w:t>
      </w:r>
      <w:r w:rsidR="00946E61" w:rsidRPr="006571AC">
        <w:rPr>
          <w:rFonts w:ascii="Arial" w:eastAsia="MS Mincho" w:hAnsi="Arial" w:hint="cs"/>
          <w:sz w:val="27"/>
          <w:rtl/>
        </w:rPr>
        <w:t>ّ</w:t>
      </w:r>
      <w:r w:rsidRPr="006571AC">
        <w:rPr>
          <w:rFonts w:ascii="Arial" w:eastAsia="MS Mincho" w:hAnsi="Arial"/>
          <w:sz w:val="27"/>
          <w:rtl/>
        </w:rPr>
        <w:t>ة خلوصه وصفاء نفسه نقل في هذا الكتاب أمورا</w:t>
      </w:r>
      <w:r w:rsidRPr="006571AC">
        <w:rPr>
          <w:rFonts w:ascii="Arial" w:eastAsia="MS Mincho" w:hAnsi="Arial" w:hint="cs"/>
          <w:sz w:val="27"/>
          <w:rtl/>
        </w:rPr>
        <w:t>ً</w:t>
      </w:r>
      <w:r w:rsidRPr="006571AC">
        <w:rPr>
          <w:rFonts w:ascii="Arial" w:eastAsia="MS Mincho" w:hAnsi="Arial"/>
          <w:sz w:val="27"/>
          <w:rtl/>
        </w:rPr>
        <w:t xml:space="preserve"> لا </w:t>
      </w:r>
      <w:r w:rsidRPr="006571AC">
        <w:rPr>
          <w:rFonts w:ascii="Arial" w:eastAsia="MS Mincho" w:hAnsi="Arial" w:hint="cs"/>
          <w:sz w:val="27"/>
          <w:rtl/>
        </w:rPr>
        <w:t>ت</w:t>
      </w:r>
      <w:r w:rsidRPr="006571AC">
        <w:rPr>
          <w:rFonts w:ascii="Arial" w:eastAsia="MS Mincho" w:hAnsi="Arial"/>
          <w:sz w:val="27"/>
          <w:rtl/>
        </w:rPr>
        <w:t>وجد في الكتب المعتبرة</w:t>
      </w:r>
      <w:r w:rsidRPr="006571AC">
        <w:rPr>
          <w:rFonts w:ascii="Arial" w:eastAsia="MS Mincho" w:hAnsi="Arial" w:hint="cs"/>
          <w:sz w:val="27"/>
          <w:rtl/>
        </w:rPr>
        <w:t xml:space="preserve">، </w:t>
      </w:r>
      <w:r w:rsidRPr="006571AC">
        <w:rPr>
          <w:rFonts w:ascii="Arial" w:eastAsia="MS Mincho" w:hAnsi="Arial"/>
          <w:sz w:val="27"/>
          <w:rtl/>
        </w:rPr>
        <w:t>وإنما أخذها عن بعض المجاميع المجهولة</w:t>
      </w:r>
      <w:r w:rsidR="00946E61" w:rsidRPr="006571AC">
        <w:rPr>
          <w:rFonts w:ascii="Arial" w:eastAsia="MS Mincho" w:hAnsi="Arial" w:hint="cs"/>
          <w:sz w:val="27"/>
          <w:rtl/>
        </w:rPr>
        <w:t>؛</w:t>
      </w:r>
      <w:r w:rsidRPr="006571AC">
        <w:rPr>
          <w:rFonts w:ascii="Arial" w:eastAsia="MS Mincho" w:hAnsi="Arial"/>
          <w:sz w:val="27"/>
          <w:rtl/>
        </w:rPr>
        <w:t xml:space="preserve"> اتكالا</w:t>
      </w:r>
      <w:r w:rsidRPr="006571AC">
        <w:rPr>
          <w:rFonts w:ascii="Arial" w:eastAsia="MS Mincho" w:hAnsi="Arial" w:hint="cs"/>
          <w:sz w:val="27"/>
          <w:rtl/>
        </w:rPr>
        <w:t>ً</w:t>
      </w:r>
      <w:r w:rsidRPr="006571AC">
        <w:rPr>
          <w:rFonts w:ascii="Arial" w:eastAsia="MS Mincho" w:hAnsi="Arial"/>
          <w:sz w:val="27"/>
          <w:rtl/>
        </w:rPr>
        <w:t xml:space="preserve"> على قاعدة التسامح في أدلة الس</w:t>
      </w:r>
      <w:r w:rsidR="00946E61" w:rsidRPr="006571AC">
        <w:rPr>
          <w:rFonts w:ascii="Arial" w:eastAsia="MS Mincho" w:hAnsi="Arial" w:hint="cs"/>
          <w:sz w:val="27"/>
          <w:rtl/>
        </w:rPr>
        <w:t>ُّ</w:t>
      </w:r>
      <w:r w:rsidRPr="006571AC">
        <w:rPr>
          <w:rFonts w:ascii="Arial" w:eastAsia="MS Mincho" w:hAnsi="Arial"/>
          <w:sz w:val="27"/>
          <w:rtl/>
        </w:rPr>
        <w:t>ن</w:t>
      </w:r>
      <w:r w:rsidR="00946E61" w:rsidRPr="006571AC">
        <w:rPr>
          <w:rFonts w:ascii="Arial" w:eastAsia="MS Mincho" w:hAnsi="Arial" w:hint="cs"/>
          <w:sz w:val="27"/>
          <w:rtl/>
        </w:rPr>
        <w:t>َ</w:t>
      </w:r>
      <w:r w:rsidRPr="006571AC">
        <w:rPr>
          <w:rFonts w:ascii="Arial" w:eastAsia="MS Mincho" w:hAnsi="Arial"/>
          <w:sz w:val="27"/>
          <w:rtl/>
        </w:rPr>
        <w:t>ن</w:t>
      </w:r>
      <w:r w:rsidR="00946E61" w:rsidRPr="006571AC">
        <w:rPr>
          <w:rFonts w:ascii="Arial" w:eastAsia="MS Mincho" w:hAnsi="Arial" w:hint="cs"/>
          <w:sz w:val="27"/>
          <w:rtl/>
        </w:rPr>
        <w:t>،</w:t>
      </w:r>
      <w:r w:rsidRPr="006571AC">
        <w:rPr>
          <w:rFonts w:ascii="Arial" w:eastAsia="MS Mincho" w:hAnsi="Arial"/>
          <w:sz w:val="27"/>
          <w:rtl/>
        </w:rPr>
        <w:t xml:space="preserve"> مع أنه لا يصدق البلوغ عنه بمجر</w:t>
      </w:r>
      <w:r w:rsidR="00946E61" w:rsidRPr="006571AC">
        <w:rPr>
          <w:rFonts w:ascii="Arial" w:eastAsia="MS Mincho" w:hAnsi="Arial" w:hint="cs"/>
          <w:sz w:val="27"/>
          <w:rtl/>
        </w:rPr>
        <w:t>ّ</w:t>
      </w:r>
      <w:r w:rsidRPr="006571AC">
        <w:rPr>
          <w:rFonts w:ascii="Arial" w:eastAsia="MS Mincho" w:hAnsi="Arial"/>
          <w:sz w:val="27"/>
          <w:rtl/>
        </w:rPr>
        <w:t>د الوجادة</w:t>
      </w:r>
      <w:r w:rsidRPr="006571AC">
        <w:rPr>
          <w:rFonts w:ascii="Arial" w:eastAsia="MS Mincho" w:hAnsi="Arial" w:hint="cs"/>
          <w:sz w:val="27"/>
          <w:rtl/>
        </w:rPr>
        <w:t xml:space="preserve"> </w:t>
      </w:r>
      <w:r w:rsidRPr="006571AC">
        <w:rPr>
          <w:rFonts w:ascii="Arial" w:eastAsia="MS Mincho" w:hAnsi="Arial"/>
          <w:sz w:val="27"/>
          <w:rtl/>
        </w:rPr>
        <w:t>بخط</w:t>
      </w:r>
      <w:r w:rsidR="00946E61" w:rsidRPr="006571AC">
        <w:rPr>
          <w:rFonts w:ascii="Arial" w:eastAsia="MS Mincho" w:hAnsi="Arial" w:hint="cs"/>
          <w:sz w:val="27"/>
          <w:rtl/>
        </w:rPr>
        <w:t>ٍّ</w:t>
      </w:r>
      <w:r w:rsidRPr="006571AC">
        <w:rPr>
          <w:rFonts w:ascii="Arial" w:eastAsia="MS Mincho" w:hAnsi="Arial"/>
          <w:sz w:val="27"/>
          <w:rtl/>
        </w:rPr>
        <w:t xml:space="preserve"> مجهول</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64"/>
      </w:r>
      <w:r w:rsidRPr="006571AC">
        <w:rPr>
          <w:rFonts w:ascii="Arial" w:eastAsia="MS Mincho" w:hAnsi="Arial"/>
          <w:sz w:val="27"/>
          <w:vertAlign w:val="superscript"/>
          <w:rtl/>
        </w:rPr>
        <w:t>)</w:t>
      </w:r>
      <w:r w:rsidRPr="006571AC">
        <w:rPr>
          <w:rFonts w:ascii="Arial" w:eastAsia="MS Mincho" w:hAnsi="Arial"/>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b/>
          <w:bCs/>
          <w:sz w:val="27"/>
          <w:rtl/>
        </w:rPr>
        <w:t>أقول</w:t>
      </w:r>
      <w:r w:rsidRPr="006571AC">
        <w:rPr>
          <w:rFonts w:ascii="Arial" w:eastAsia="MS Mincho" w:hAnsi="Arial" w:hint="cs"/>
          <w:sz w:val="27"/>
          <w:rtl/>
        </w:rPr>
        <w:t xml:space="preserve">: تطبيق قاعدة التسامح في المجال التاريخي إما أن يكون: </w:t>
      </w:r>
    </w:p>
    <w:p w:rsidR="009B65D5" w:rsidRPr="006571AC" w:rsidRDefault="009B65D5" w:rsidP="002A2E03">
      <w:pPr>
        <w:contextualSpacing/>
        <w:rPr>
          <w:rFonts w:ascii="Arial" w:eastAsia="MS Mincho" w:hAnsi="Arial"/>
          <w:sz w:val="27"/>
        </w:rPr>
      </w:pPr>
      <w:r w:rsidRPr="006571AC">
        <w:rPr>
          <w:rFonts w:ascii="Arial" w:eastAsia="MS Mincho" w:hAnsi="Arial" w:hint="cs"/>
          <w:sz w:val="27"/>
          <w:rtl/>
        </w:rPr>
        <w:t>1ـ بلحاظ الآثار الشرعية المترت</w:t>
      </w:r>
      <w:r w:rsidR="00946E61" w:rsidRPr="006571AC">
        <w:rPr>
          <w:rFonts w:ascii="Arial" w:eastAsia="MS Mincho" w:hAnsi="Arial" w:hint="cs"/>
          <w:sz w:val="27"/>
          <w:rtl/>
        </w:rPr>
        <w:t>ِّ</w:t>
      </w:r>
      <w:r w:rsidRPr="006571AC">
        <w:rPr>
          <w:rFonts w:ascii="Arial" w:eastAsia="MS Mincho" w:hAnsi="Arial" w:hint="cs"/>
          <w:sz w:val="27"/>
          <w:rtl/>
        </w:rPr>
        <w:t xml:space="preserve">بة على بعض القضايا التاريخية. </w:t>
      </w:r>
    </w:p>
    <w:p w:rsidR="009B65D5" w:rsidRPr="006571AC" w:rsidRDefault="009B65D5" w:rsidP="002A2E03">
      <w:pPr>
        <w:contextualSpacing/>
        <w:rPr>
          <w:rFonts w:ascii="Arial" w:eastAsia="MS Mincho" w:hAnsi="Arial"/>
          <w:sz w:val="27"/>
        </w:rPr>
      </w:pPr>
      <w:r w:rsidRPr="006571AC">
        <w:rPr>
          <w:rFonts w:ascii="Arial" w:eastAsia="MS Mincho" w:hAnsi="Arial" w:hint="cs"/>
          <w:sz w:val="27"/>
          <w:rtl/>
        </w:rPr>
        <w:t xml:space="preserve">2ـ </w:t>
      </w:r>
      <w:r w:rsidR="00946E61" w:rsidRPr="006571AC">
        <w:rPr>
          <w:rFonts w:ascii="Arial" w:eastAsia="MS Mincho" w:hAnsi="Arial" w:hint="cs"/>
          <w:sz w:val="27"/>
          <w:rtl/>
        </w:rPr>
        <w:t>أو</w:t>
      </w:r>
      <w:r w:rsidRPr="006571AC">
        <w:rPr>
          <w:rFonts w:ascii="Arial" w:eastAsia="MS Mincho" w:hAnsi="Arial" w:hint="cs"/>
          <w:sz w:val="27"/>
          <w:rtl/>
        </w:rPr>
        <w:t xml:space="preserve"> بلحاظ نقل التاريخ وروايته، باعتبار أن النقل هو أمر</w:t>
      </w:r>
      <w:r w:rsidR="00946E61" w:rsidRPr="006571AC">
        <w:rPr>
          <w:rFonts w:ascii="Arial" w:eastAsia="MS Mincho" w:hAnsi="Arial" w:hint="cs"/>
          <w:sz w:val="27"/>
          <w:rtl/>
        </w:rPr>
        <w:t>ٌ</w:t>
      </w:r>
      <w:r w:rsidRPr="006571AC">
        <w:rPr>
          <w:rFonts w:ascii="Arial" w:eastAsia="MS Mincho" w:hAnsi="Arial" w:hint="cs"/>
          <w:sz w:val="27"/>
          <w:rtl/>
        </w:rPr>
        <w:t xml:space="preserve"> يقع موقع التساؤل عن حكمه الشرعي. </w:t>
      </w:r>
    </w:p>
    <w:p w:rsidR="009B65D5" w:rsidRPr="006571AC" w:rsidRDefault="009B65D5" w:rsidP="002A2E03">
      <w:pPr>
        <w:contextualSpacing/>
        <w:rPr>
          <w:rFonts w:ascii="Arial" w:eastAsia="MS Mincho" w:hAnsi="Arial"/>
          <w:sz w:val="27"/>
          <w:rtl/>
        </w:rPr>
      </w:pPr>
      <w:r w:rsidRPr="006571AC">
        <w:rPr>
          <w:rFonts w:ascii="Arial" w:eastAsia="MS Mincho" w:hAnsi="Arial" w:hint="cs"/>
          <w:sz w:val="27"/>
          <w:rtl/>
        </w:rPr>
        <w:lastRenderedPageBreak/>
        <w:t xml:space="preserve">3ـ </w:t>
      </w:r>
      <w:r w:rsidR="00946E61" w:rsidRPr="006571AC">
        <w:rPr>
          <w:rFonts w:ascii="Arial" w:eastAsia="MS Mincho" w:hAnsi="Arial" w:hint="cs"/>
          <w:sz w:val="27"/>
          <w:rtl/>
        </w:rPr>
        <w:t>أو</w:t>
      </w:r>
      <w:r w:rsidRPr="006571AC">
        <w:rPr>
          <w:rFonts w:ascii="Arial" w:eastAsia="MS Mincho" w:hAnsi="Arial" w:hint="cs"/>
          <w:sz w:val="27"/>
          <w:rtl/>
        </w:rPr>
        <w:t xml:space="preserve"> بلحاظ معرفة التاريخ وما جرى خلاله من أحداث، وهذا الأخير</w:t>
      </w:r>
      <w:r w:rsidR="00946E61" w:rsidRPr="006571AC">
        <w:rPr>
          <w:rFonts w:ascii="Arial" w:eastAsia="MS Mincho" w:hAnsi="Arial" w:hint="cs"/>
          <w:sz w:val="27"/>
          <w:rtl/>
        </w:rPr>
        <w:t>ُ</w:t>
      </w:r>
      <w:r w:rsidRPr="006571AC">
        <w:rPr>
          <w:rFonts w:ascii="Arial" w:eastAsia="MS Mincho" w:hAnsi="Arial" w:hint="cs"/>
          <w:sz w:val="27"/>
          <w:rtl/>
        </w:rPr>
        <w:t xml:space="preserve"> له فوائد كثيرة. </w:t>
      </w:r>
    </w:p>
    <w:p w:rsidR="009B65D5" w:rsidRPr="006571AC" w:rsidRDefault="009B65D5" w:rsidP="002A2E03">
      <w:pPr>
        <w:rPr>
          <w:rFonts w:ascii="Arial" w:eastAsia="MS Mincho" w:hAnsi="Arial"/>
          <w:sz w:val="27"/>
          <w:rtl/>
        </w:rPr>
      </w:pPr>
      <w:r w:rsidRPr="006571AC">
        <w:rPr>
          <w:rFonts w:ascii="Arial" w:eastAsia="MS Mincho" w:hAnsi="Arial" w:hint="cs"/>
          <w:b/>
          <w:bCs/>
          <w:sz w:val="27"/>
          <w:rtl/>
        </w:rPr>
        <w:t>أما الأو</w:t>
      </w:r>
      <w:r w:rsidR="00946E61" w:rsidRPr="006571AC">
        <w:rPr>
          <w:rFonts w:ascii="Arial" w:eastAsia="MS Mincho" w:hAnsi="Arial" w:hint="cs"/>
          <w:b/>
          <w:bCs/>
          <w:sz w:val="27"/>
          <w:rtl/>
        </w:rPr>
        <w:t>ّ</w:t>
      </w:r>
      <w:r w:rsidRPr="006571AC">
        <w:rPr>
          <w:rFonts w:ascii="Arial" w:eastAsia="MS Mincho" w:hAnsi="Arial" w:hint="cs"/>
          <w:b/>
          <w:bCs/>
          <w:sz w:val="27"/>
          <w:rtl/>
        </w:rPr>
        <w:t>ل</w:t>
      </w:r>
      <w:r w:rsidRPr="006571AC">
        <w:rPr>
          <w:rFonts w:ascii="Arial" w:eastAsia="MS Mincho" w:hAnsi="Arial" w:hint="cs"/>
          <w:sz w:val="27"/>
          <w:rtl/>
        </w:rPr>
        <w:t>، أعني تضم</w:t>
      </w:r>
      <w:r w:rsidR="00946E61" w:rsidRPr="006571AC">
        <w:rPr>
          <w:rFonts w:ascii="Arial" w:eastAsia="MS Mincho" w:hAnsi="Arial" w:hint="cs"/>
          <w:sz w:val="27"/>
          <w:rtl/>
        </w:rPr>
        <w:t>ُّ</w:t>
      </w:r>
      <w:r w:rsidRPr="006571AC">
        <w:rPr>
          <w:rFonts w:ascii="Arial" w:eastAsia="MS Mincho" w:hAnsi="Arial" w:hint="cs"/>
          <w:sz w:val="27"/>
          <w:rtl/>
        </w:rPr>
        <w:t>ن النقل التاريخي س</w:t>
      </w:r>
      <w:r w:rsidR="00946E61" w:rsidRPr="006571AC">
        <w:rPr>
          <w:rFonts w:ascii="Arial" w:eastAsia="MS Mincho" w:hAnsi="Arial" w:hint="cs"/>
          <w:sz w:val="27"/>
          <w:rtl/>
        </w:rPr>
        <w:t>ُ</w:t>
      </w:r>
      <w:r w:rsidRPr="006571AC">
        <w:rPr>
          <w:rFonts w:ascii="Arial" w:eastAsia="MS Mincho" w:hAnsi="Arial" w:hint="cs"/>
          <w:sz w:val="27"/>
          <w:rtl/>
        </w:rPr>
        <w:t>ن</w:t>
      </w:r>
      <w:r w:rsidR="00946E61" w:rsidRPr="006571AC">
        <w:rPr>
          <w:rFonts w:ascii="Arial" w:eastAsia="MS Mincho" w:hAnsi="Arial" w:hint="cs"/>
          <w:sz w:val="27"/>
          <w:rtl/>
        </w:rPr>
        <w:t>َ</w:t>
      </w:r>
      <w:r w:rsidRPr="006571AC">
        <w:rPr>
          <w:rFonts w:ascii="Arial" w:eastAsia="MS Mincho" w:hAnsi="Arial" w:hint="cs"/>
          <w:sz w:val="27"/>
          <w:rtl/>
        </w:rPr>
        <w:t>ناً شرعية، فيجري عليه ما يجري على كاف</w:t>
      </w:r>
      <w:r w:rsidR="00946E61" w:rsidRPr="006571AC">
        <w:rPr>
          <w:rFonts w:ascii="Arial" w:eastAsia="MS Mincho" w:hAnsi="Arial" w:hint="cs"/>
          <w:sz w:val="27"/>
          <w:rtl/>
        </w:rPr>
        <w:t>ّ</w:t>
      </w:r>
      <w:r w:rsidRPr="006571AC">
        <w:rPr>
          <w:rFonts w:ascii="Arial" w:eastAsia="MS Mincho" w:hAnsi="Arial" w:hint="cs"/>
          <w:sz w:val="27"/>
          <w:rtl/>
        </w:rPr>
        <w:t>ة الأخبار الناقلة للس</w:t>
      </w:r>
      <w:r w:rsidR="00946E61" w:rsidRPr="006571AC">
        <w:rPr>
          <w:rFonts w:ascii="Arial" w:eastAsia="MS Mincho" w:hAnsi="Arial" w:hint="cs"/>
          <w:sz w:val="27"/>
          <w:rtl/>
        </w:rPr>
        <w:t>ُّ</w:t>
      </w:r>
      <w:r w:rsidRPr="006571AC">
        <w:rPr>
          <w:rFonts w:ascii="Arial" w:eastAsia="MS Mincho" w:hAnsi="Arial" w:hint="cs"/>
          <w:sz w:val="27"/>
          <w:rtl/>
        </w:rPr>
        <w:t>ن</w:t>
      </w:r>
      <w:r w:rsidR="00946E61" w:rsidRPr="006571AC">
        <w:rPr>
          <w:rFonts w:ascii="Arial" w:eastAsia="MS Mincho" w:hAnsi="Arial" w:hint="cs"/>
          <w:sz w:val="27"/>
          <w:rtl/>
        </w:rPr>
        <w:t>َ</w:t>
      </w:r>
      <w:r w:rsidRPr="006571AC">
        <w:rPr>
          <w:rFonts w:ascii="Arial" w:eastAsia="MS Mincho" w:hAnsi="Arial" w:hint="cs"/>
          <w:sz w:val="27"/>
          <w:rtl/>
        </w:rPr>
        <w:t xml:space="preserve">ن.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وأما الثاني</w:t>
      </w:r>
      <w:r w:rsidRPr="006571AC">
        <w:rPr>
          <w:rFonts w:ascii="Arial" w:eastAsia="Calibri" w:hAnsi="Arial" w:hint="cs"/>
          <w:sz w:val="27"/>
          <w:rtl/>
          <w:lang w:bidi="ar-LB"/>
        </w:rPr>
        <w:t>، أعني نقل التاريخ ص</w:t>
      </w:r>
      <w:r w:rsidR="00457BA4" w:rsidRPr="006571AC">
        <w:rPr>
          <w:rFonts w:ascii="Arial" w:eastAsia="Calibri" w:hAnsi="Arial" w:hint="cs"/>
          <w:sz w:val="27"/>
          <w:rtl/>
          <w:lang w:bidi="ar-LB"/>
        </w:rPr>
        <w:t>ِ</w:t>
      </w:r>
      <w:r w:rsidRPr="006571AC">
        <w:rPr>
          <w:rFonts w:ascii="Arial" w:eastAsia="Calibri" w:hAnsi="Arial" w:hint="cs"/>
          <w:sz w:val="27"/>
          <w:rtl/>
          <w:lang w:bidi="ar-LB"/>
        </w:rPr>
        <w:t>ر</w:t>
      </w:r>
      <w:r w:rsidR="00457BA4" w:rsidRPr="006571AC">
        <w:rPr>
          <w:rFonts w:ascii="Arial" w:eastAsia="Calibri" w:hAnsi="Arial" w:hint="cs"/>
          <w:sz w:val="27"/>
          <w:rtl/>
          <w:lang w:bidi="ar-LB"/>
        </w:rPr>
        <w:t>ْ</w:t>
      </w:r>
      <w:r w:rsidRPr="006571AC">
        <w:rPr>
          <w:rFonts w:ascii="Arial" w:eastAsia="Calibri" w:hAnsi="Arial" w:hint="cs"/>
          <w:sz w:val="27"/>
          <w:rtl/>
          <w:lang w:bidi="ar-LB"/>
        </w:rPr>
        <w:t>فاً وحكايته، فمعلوم</w:t>
      </w:r>
      <w:r w:rsidR="00457BA4" w:rsidRPr="006571AC">
        <w:rPr>
          <w:rFonts w:ascii="Arial" w:eastAsia="Calibri" w:hAnsi="Arial" w:hint="cs"/>
          <w:sz w:val="27"/>
          <w:rtl/>
          <w:lang w:bidi="ar-LB"/>
        </w:rPr>
        <w:t>ٌ</w:t>
      </w:r>
      <w:r w:rsidRPr="006571AC">
        <w:rPr>
          <w:rFonts w:ascii="Arial" w:eastAsia="Calibri" w:hAnsi="Arial" w:hint="cs"/>
          <w:sz w:val="27"/>
          <w:rtl/>
          <w:lang w:bidi="ar-LB"/>
        </w:rPr>
        <w:t xml:space="preserve"> أن نقل الأحداث غير الثابتة والأخبار الضعيفة غير</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جائز</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لأنه قول</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بغير علم</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ولا حج</w:t>
      </w:r>
      <w:r w:rsidR="00B91124" w:rsidRPr="006571AC">
        <w:rPr>
          <w:rFonts w:ascii="Arial" w:eastAsia="Calibri" w:hAnsi="Arial" w:hint="cs"/>
          <w:sz w:val="27"/>
          <w:rtl/>
          <w:lang w:bidi="ar-LB"/>
        </w:rPr>
        <w:t>ّ</w:t>
      </w:r>
      <w:r w:rsidRPr="006571AC">
        <w:rPr>
          <w:rFonts w:ascii="Arial" w:eastAsia="Calibri" w:hAnsi="Arial" w:hint="cs"/>
          <w:sz w:val="27"/>
          <w:rtl/>
          <w:lang w:bidi="ar-LB"/>
        </w:rPr>
        <w:t>ة</w:t>
      </w:r>
      <w:r w:rsidR="00B91124" w:rsidRPr="006571AC">
        <w:rPr>
          <w:rFonts w:ascii="Arial" w:eastAsia="Calibri" w:hAnsi="Arial" w:hint="cs"/>
          <w:sz w:val="27"/>
          <w:rtl/>
          <w:lang w:bidi="ar-LB"/>
        </w:rPr>
        <w:t>ٍ</w:t>
      </w:r>
      <w:r w:rsidRPr="006571AC">
        <w:rPr>
          <w:rFonts w:ascii="Arial" w:eastAsia="Calibri" w:hAnsi="Arial" w:hint="cs"/>
          <w:sz w:val="27"/>
          <w:rtl/>
          <w:lang w:bidi="ar-LB"/>
        </w:rPr>
        <w:t>، وهو منهي</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عنه، كما سنذكر في التوس</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ع الآتي، ومع ذلك يمكن تبريره بأحد توجيهين: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التوجيه الأو</w:t>
      </w:r>
      <w:r w:rsidR="00B91124" w:rsidRPr="006571AC">
        <w:rPr>
          <w:rFonts w:ascii="Arial" w:eastAsia="Calibri" w:hAnsi="Arial" w:hint="cs"/>
          <w:b/>
          <w:bCs/>
          <w:sz w:val="27"/>
          <w:rtl/>
          <w:lang w:bidi="ar-LB"/>
        </w:rPr>
        <w:t>ّ</w:t>
      </w:r>
      <w:r w:rsidRPr="006571AC">
        <w:rPr>
          <w:rFonts w:ascii="Arial" w:eastAsia="Calibri" w:hAnsi="Arial" w:hint="cs"/>
          <w:b/>
          <w:bCs/>
          <w:sz w:val="27"/>
          <w:rtl/>
          <w:lang w:bidi="ar-LB"/>
        </w:rPr>
        <w:t xml:space="preserve">ل: </w:t>
      </w:r>
      <w:r w:rsidRPr="006571AC">
        <w:rPr>
          <w:rFonts w:ascii="Calibri" w:eastAsia="Calibri" w:hAnsi="Calibri" w:hint="cs"/>
          <w:sz w:val="27"/>
          <w:rtl/>
        </w:rPr>
        <w:t>التمس</w:t>
      </w:r>
      <w:r w:rsidR="00B91124" w:rsidRPr="006571AC">
        <w:rPr>
          <w:rFonts w:ascii="Calibri" w:eastAsia="Calibri" w:hAnsi="Calibri" w:hint="cs"/>
          <w:sz w:val="27"/>
          <w:rtl/>
        </w:rPr>
        <w:t>ُّ</w:t>
      </w:r>
      <w:r w:rsidRPr="006571AC">
        <w:rPr>
          <w:rFonts w:ascii="Calibri" w:eastAsia="Calibri" w:hAnsi="Calibri" w:hint="cs"/>
          <w:sz w:val="27"/>
          <w:rtl/>
        </w:rPr>
        <w:t>ك بقاعدة التسامح</w:t>
      </w:r>
      <w:r w:rsidR="00B91124" w:rsidRPr="006571AC">
        <w:rPr>
          <w:rFonts w:ascii="Calibri" w:eastAsia="Calibri" w:hAnsi="Calibri" w:hint="cs"/>
          <w:sz w:val="27"/>
          <w:rtl/>
        </w:rPr>
        <w:t>،</w:t>
      </w:r>
      <w:r w:rsidRPr="006571AC">
        <w:rPr>
          <w:rFonts w:ascii="Calibri" w:eastAsia="Calibri" w:hAnsi="Calibri" w:hint="cs"/>
          <w:sz w:val="27"/>
          <w:rtl/>
        </w:rPr>
        <w:t xml:space="preserve"> وذلك بتوجيه </w:t>
      </w:r>
      <w:r w:rsidRPr="006571AC">
        <w:rPr>
          <w:rFonts w:ascii="Arial" w:eastAsia="Calibri" w:hAnsi="Arial"/>
          <w:sz w:val="27"/>
          <w:rtl/>
          <w:lang w:bidi="ar-LB"/>
        </w:rPr>
        <w:t>أن مفاد هذه ال</w:t>
      </w:r>
      <w:r w:rsidRPr="006571AC">
        <w:rPr>
          <w:rFonts w:ascii="Arial" w:eastAsia="Calibri" w:hAnsi="Arial" w:hint="cs"/>
          <w:sz w:val="27"/>
          <w:rtl/>
          <w:lang w:bidi="ar-LB"/>
        </w:rPr>
        <w:t>أحداث التاريخية</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كمجريات يوم كربلاء مثلاً</w:t>
      </w:r>
      <w:r w:rsidR="00B91124" w:rsidRPr="006571AC">
        <w:rPr>
          <w:rFonts w:ascii="Arial" w:eastAsia="Calibri" w:hAnsi="Arial" w:hint="cs"/>
          <w:sz w:val="27"/>
          <w:rtl/>
          <w:lang w:bidi="ar-LB"/>
        </w:rPr>
        <w:t xml:space="preserve">، </w:t>
      </w:r>
      <w:r w:rsidRPr="006571AC">
        <w:rPr>
          <w:rFonts w:ascii="Arial" w:eastAsia="Calibri" w:hAnsi="Arial" w:hint="cs"/>
          <w:sz w:val="27"/>
          <w:rtl/>
          <w:lang w:bidi="ar-LB"/>
        </w:rPr>
        <w:t xml:space="preserve">وإنْ </w:t>
      </w:r>
      <w:r w:rsidRPr="006571AC">
        <w:rPr>
          <w:rFonts w:ascii="Arial" w:eastAsia="Calibri" w:hAnsi="Arial"/>
          <w:sz w:val="27"/>
          <w:rtl/>
          <w:lang w:bidi="ar-LB"/>
        </w:rPr>
        <w:t>ل</w:t>
      </w:r>
      <w:r w:rsidRPr="006571AC">
        <w:rPr>
          <w:rFonts w:ascii="Arial" w:eastAsia="Calibri" w:hAnsi="Arial" w:hint="cs"/>
          <w:sz w:val="27"/>
          <w:rtl/>
          <w:lang w:bidi="ar-LB"/>
        </w:rPr>
        <w:t>م يكن</w:t>
      </w:r>
      <w:r w:rsidRPr="006571AC">
        <w:rPr>
          <w:rFonts w:ascii="Arial" w:eastAsia="Calibri" w:hAnsi="Arial"/>
          <w:sz w:val="27"/>
          <w:rtl/>
          <w:lang w:bidi="ar-LB"/>
        </w:rPr>
        <w:t xml:space="preserve"> حكما</w:t>
      </w:r>
      <w:r w:rsidRPr="006571AC">
        <w:rPr>
          <w:rFonts w:ascii="Arial" w:eastAsia="Calibri" w:hAnsi="Arial" w:hint="cs"/>
          <w:sz w:val="27"/>
          <w:rtl/>
          <w:lang w:bidi="ar-LB"/>
        </w:rPr>
        <w:t>ً</w:t>
      </w:r>
      <w:r w:rsidRPr="006571AC">
        <w:rPr>
          <w:rFonts w:ascii="Arial" w:eastAsia="Calibri" w:hAnsi="Arial"/>
          <w:sz w:val="27"/>
          <w:rtl/>
          <w:lang w:bidi="ar-LB"/>
        </w:rPr>
        <w:t xml:space="preserve"> شرعيا</w:t>
      </w:r>
      <w:r w:rsidRPr="006571AC">
        <w:rPr>
          <w:rFonts w:ascii="Arial" w:eastAsia="Calibri" w:hAnsi="Arial" w:hint="cs"/>
          <w:sz w:val="27"/>
          <w:rtl/>
          <w:lang w:bidi="ar-LB"/>
        </w:rPr>
        <w:t>ً مستحب</w:t>
      </w:r>
      <w:r w:rsidR="00B91124" w:rsidRPr="006571AC">
        <w:rPr>
          <w:rFonts w:ascii="Arial" w:eastAsia="Calibri" w:hAnsi="Arial" w:hint="cs"/>
          <w:sz w:val="27"/>
          <w:rtl/>
          <w:lang w:bidi="ar-LB"/>
        </w:rPr>
        <w:t>ّ</w:t>
      </w:r>
      <w:r w:rsidRPr="006571AC">
        <w:rPr>
          <w:rFonts w:ascii="Arial" w:eastAsia="Calibri" w:hAnsi="Arial" w:hint="cs"/>
          <w:sz w:val="27"/>
          <w:rtl/>
          <w:lang w:bidi="ar-LB"/>
        </w:rPr>
        <w:t>اً</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لي</w:t>
      </w:r>
      <w:r w:rsidR="00B91124" w:rsidRPr="006571AC">
        <w:rPr>
          <w:rFonts w:ascii="Arial" w:eastAsia="Calibri" w:hAnsi="Arial" w:hint="cs"/>
          <w:sz w:val="27"/>
          <w:rtl/>
          <w:lang w:bidi="ar-LB"/>
        </w:rPr>
        <w:t>ُ</w:t>
      </w:r>
      <w:r w:rsidRPr="006571AC">
        <w:rPr>
          <w:rFonts w:ascii="Arial" w:eastAsia="Calibri" w:hAnsi="Arial" w:hint="cs"/>
          <w:sz w:val="27"/>
          <w:rtl/>
          <w:lang w:bidi="ar-LB"/>
        </w:rPr>
        <w:t>ت</w:t>
      </w:r>
      <w:r w:rsidR="00B91124" w:rsidRPr="006571AC">
        <w:rPr>
          <w:rFonts w:ascii="Arial" w:eastAsia="Calibri" w:hAnsi="Arial" w:hint="cs"/>
          <w:sz w:val="27"/>
          <w:rtl/>
          <w:lang w:bidi="ar-LB"/>
        </w:rPr>
        <w:t>َ</w:t>
      </w:r>
      <w:r w:rsidRPr="006571AC">
        <w:rPr>
          <w:rFonts w:ascii="Arial" w:eastAsia="Calibri" w:hAnsi="Arial" w:hint="cs"/>
          <w:sz w:val="27"/>
          <w:rtl/>
          <w:lang w:bidi="ar-LB"/>
        </w:rPr>
        <w:t>س</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امح في دليله، </w:t>
      </w:r>
      <w:r w:rsidRPr="006571AC">
        <w:rPr>
          <w:rFonts w:ascii="Arial" w:eastAsia="Calibri" w:hAnsi="Arial"/>
          <w:sz w:val="27"/>
          <w:rtl/>
          <w:lang w:bidi="ar-LB"/>
        </w:rPr>
        <w:t>ول</w:t>
      </w:r>
      <w:r w:rsidRPr="006571AC">
        <w:rPr>
          <w:rFonts w:ascii="Arial" w:eastAsia="Calibri" w:hAnsi="Arial" w:hint="cs"/>
          <w:sz w:val="27"/>
          <w:rtl/>
          <w:lang w:bidi="ar-LB"/>
        </w:rPr>
        <w:t>كنه م</w:t>
      </w:r>
      <w:r w:rsidRPr="006571AC">
        <w:rPr>
          <w:rFonts w:ascii="Arial" w:eastAsia="Calibri" w:hAnsi="Arial"/>
          <w:sz w:val="27"/>
          <w:rtl/>
          <w:lang w:bidi="ar-LB"/>
        </w:rPr>
        <w:t>وضوع</w:t>
      </w:r>
      <w:r w:rsidR="00B91124" w:rsidRPr="006571AC">
        <w:rPr>
          <w:rFonts w:ascii="Arial" w:eastAsia="Calibri" w:hAnsi="Arial" w:hint="cs"/>
          <w:sz w:val="27"/>
          <w:rtl/>
          <w:lang w:bidi="ar-LB"/>
        </w:rPr>
        <w:t>ٌ</w:t>
      </w:r>
      <w:r w:rsidRPr="006571AC">
        <w:rPr>
          <w:rFonts w:ascii="Arial" w:eastAsia="Calibri" w:hAnsi="Arial"/>
          <w:sz w:val="27"/>
          <w:rtl/>
          <w:lang w:bidi="ar-LB"/>
        </w:rPr>
        <w:t xml:space="preserve"> لما هو مستحب</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w:t>
      </w:r>
      <w:r w:rsidRPr="006571AC">
        <w:rPr>
          <w:rFonts w:ascii="Arial" w:eastAsia="Calibri" w:hAnsi="Arial"/>
          <w:sz w:val="27"/>
          <w:rtl/>
          <w:lang w:bidi="ar-LB"/>
        </w:rPr>
        <w:t>ف</w:t>
      </w:r>
      <w:r w:rsidRPr="006571AC">
        <w:rPr>
          <w:rFonts w:ascii="Arial" w:eastAsia="Calibri" w:hAnsi="Arial" w:hint="cs"/>
          <w:sz w:val="27"/>
          <w:rtl/>
          <w:lang w:bidi="ar-LB"/>
        </w:rPr>
        <w:t>إ</w:t>
      </w:r>
      <w:r w:rsidRPr="006571AC">
        <w:rPr>
          <w:rFonts w:ascii="Arial" w:eastAsia="Calibri" w:hAnsi="Arial"/>
          <w:sz w:val="27"/>
          <w:rtl/>
          <w:lang w:bidi="ar-LB"/>
        </w:rPr>
        <w:t>ن</w:t>
      </w:r>
      <w:r w:rsidRPr="006571AC">
        <w:rPr>
          <w:rFonts w:ascii="Arial" w:eastAsia="Calibri" w:hAnsi="Arial" w:hint="cs"/>
          <w:sz w:val="27"/>
          <w:rtl/>
          <w:lang w:bidi="ar-LB"/>
        </w:rPr>
        <w:t>ّ</w:t>
      </w:r>
      <w:r w:rsidRPr="006571AC">
        <w:rPr>
          <w:rFonts w:ascii="Arial" w:eastAsia="Calibri" w:hAnsi="Arial"/>
          <w:sz w:val="27"/>
          <w:rtl/>
          <w:lang w:bidi="ar-LB"/>
        </w:rPr>
        <w:t xml:space="preserve"> البكاء على </w:t>
      </w:r>
      <w:r w:rsidRPr="006571AC">
        <w:rPr>
          <w:rFonts w:ascii="Arial" w:eastAsia="Calibri" w:hAnsi="Arial" w:hint="cs"/>
          <w:sz w:val="27"/>
          <w:rtl/>
          <w:lang w:bidi="ar-LB"/>
        </w:rPr>
        <w:t>الحسين بن علي</w:t>
      </w:r>
      <w:r w:rsidR="00B91124" w:rsidRPr="006571AC">
        <w:rPr>
          <w:rFonts w:ascii="Arial" w:eastAsia="Calibri" w:hAnsi="Arial" w:hint="cs"/>
          <w:sz w:val="27"/>
          <w:rtl/>
          <w:lang w:bidi="ar-LB"/>
        </w:rPr>
        <w:t>ٍّ</w:t>
      </w:r>
      <w:r w:rsidR="002A2C90" w:rsidRPr="006571AC">
        <w:rPr>
          <w:rFonts w:ascii="Mosawi" w:hAnsi="Mosawi" w:cs="Mosawi"/>
          <w:sz w:val="24"/>
          <w:szCs w:val="24"/>
          <w:rtl/>
        </w:rPr>
        <w:t>’</w:t>
      </w:r>
      <w:r w:rsidRPr="006571AC">
        <w:rPr>
          <w:rFonts w:ascii="Arial" w:eastAsia="Calibri" w:hAnsi="Arial"/>
          <w:sz w:val="27"/>
          <w:rtl/>
          <w:lang w:bidi="ar-LB"/>
        </w:rPr>
        <w:t xml:space="preserve"> يكون مستحب</w:t>
      </w:r>
      <w:r w:rsidR="00B91124" w:rsidRPr="006571AC">
        <w:rPr>
          <w:rFonts w:ascii="Arial" w:eastAsia="Calibri" w:hAnsi="Arial" w:hint="cs"/>
          <w:sz w:val="27"/>
          <w:rtl/>
          <w:lang w:bidi="ar-LB"/>
        </w:rPr>
        <w:t>ّ</w:t>
      </w:r>
      <w:r w:rsidRPr="006571AC">
        <w:rPr>
          <w:rFonts w:ascii="Arial" w:eastAsia="Calibri" w:hAnsi="Arial"/>
          <w:sz w:val="27"/>
          <w:rtl/>
          <w:lang w:bidi="ar-LB"/>
        </w:rPr>
        <w:t>ا</w:t>
      </w:r>
      <w:r w:rsidRPr="006571AC">
        <w:rPr>
          <w:rFonts w:ascii="Arial" w:eastAsia="Calibri" w:hAnsi="Arial" w:hint="cs"/>
          <w:sz w:val="27"/>
          <w:rtl/>
          <w:lang w:bidi="ar-LB"/>
        </w:rPr>
        <w:t>ً</w:t>
      </w:r>
      <w:r w:rsidR="00B91124" w:rsidRPr="006571AC">
        <w:rPr>
          <w:rFonts w:ascii="Arial" w:eastAsia="Calibri" w:hAnsi="Arial" w:hint="cs"/>
          <w:sz w:val="27"/>
          <w:rtl/>
          <w:lang w:bidi="ar-LB"/>
        </w:rPr>
        <w:t>،</w:t>
      </w:r>
      <w:r w:rsidRPr="006571AC">
        <w:rPr>
          <w:rFonts w:ascii="Arial" w:eastAsia="Calibri" w:hAnsi="Arial"/>
          <w:sz w:val="27"/>
          <w:rtl/>
          <w:lang w:bidi="ar-LB"/>
        </w:rPr>
        <w:t xml:space="preserve"> ويترت</w:t>
      </w:r>
      <w:r w:rsidR="00B91124" w:rsidRPr="006571AC">
        <w:rPr>
          <w:rFonts w:ascii="Arial" w:eastAsia="Calibri" w:hAnsi="Arial" w:hint="cs"/>
          <w:sz w:val="27"/>
          <w:rtl/>
          <w:lang w:bidi="ar-LB"/>
        </w:rPr>
        <w:t>َّ</w:t>
      </w:r>
      <w:r w:rsidRPr="006571AC">
        <w:rPr>
          <w:rFonts w:ascii="Arial" w:eastAsia="Calibri" w:hAnsi="Arial"/>
          <w:sz w:val="27"/>
          <w:rtl/>
          <w:lang w:bidi="ar-LB"/>
        </w:rPr>
        <w:t xml:space="preserve">ب عليه الثواب </w:t>
      </w:r>
      <w:r w:rsidRPr="006571AC">
        <w:rPr>
          <w:rFonts w:ascii="Arial" w:eastAsia="Calibri" w:hAnsi="Arial" w:hint="cs"/>
          <w:sz w:val="27"/>
          <w:rtl/>
          <w:lang w:bidi="ar-LB"/>
        </w:rPr>
        <w:t>ال</w:t>
      </w:r>
      <w:r w:rsidRPr="006571AC">
        <w:rPr>
          <w:rFonts w:ascii="Arial" w:eastAsia="Calibri" w:hAnsi="Arial"/>
          <w:sz w:val="27"/>
          <w:rtl/>
          <w:lang w:bidi="ar-LB"/>
        </w:rPr>
        <w:t>كثير</w:t>
      </w:r>
      <w:r w:rsidRPr="006571AC">
        <w:rPr>
          <w:rFonts w:ascii="Arial" w:eastAsia="Calibri" w:hAnsi="Arial" w:hint="cs"/>
          <w:sz w:val="27"/>
          <w:rtl/>
          <w:lang w:bidi="ar-LB"/>
        </w:rPr>
        <w:t xml:space="preserve">، </w:t>
      </w:r>
      <w:r w:rsidRPr="006571AC">
        <w:rPr>
          <w:rFonts w:ascii="Arial" w:eastAsia="Calibri" w:hAnsi="Arial"/>
          <w:sz w:val="27"/>
          <w:rtl/>
          <w:lang w:bidi="ar-LB"/>
        </w:rPr>
        <w:t>ويصير هذا النقل سببا</w:t>
      </w:r>
      <w:r w:rsidRPr="006571AC">
        <w:rPr>
          <w:rFonts w:ascii="Arial" w:eastAsia="Calibri" w:hAnsi="Arial" w:hint="cs"/>
          <w:sz w:val="27"/>
          <w:rtl/>
          <w:lang w:bidi="ar-LB"/>
        </w:rPr>
        <w:t>ً</w:t>
      </w:r>
      <w:r w:rsidRPr="006571AC">
        <w:rPr>
          <w:rFonts w:ascii="Arial" w:eastAsia="Calibri" w:hAnsi="Arial"/>
          <w:sz w:val="27"/>
          <w:rtl/>
          <w:lang w:bidi="ar-LB"/>
        </w:rPr>
        <w:t xml:space="preserve"> لما يكون حكمه</w:t>
      </w:r>
      <w:r w:rsidRPr="006571AC">
        <w:rPr>
          <w:rFonts w:ascii="Arial" w:eastAsia="Calibri" w:hAnsi="Arial" w:hint="cs"/>
          <w:sz w:val="27"/>
          <w:rtl/>
          <w:lang w:bidi="ar-LB"/>
        </w:rPr>
        <w:t xml:space="preserve"> </w:t>
      </w:r>
      <w:r w:rsidRPr="006571AC">
        <w:rPr>
          <w:rFonts w:ascii="Arial" w:eastAsia="Calibri" w:hAnsi="Arial"/>
          <w:sz w:val="27"/>
          <w:rtl/>
          <w:lang w:bidi="ar-LB"/>
        </w:rPr>
        <w:t>الاستحباب</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5"/>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9B65D5" w:rsidRPr="006571AC" w:rsidRDefault="009B65D5" w:rsidP="002A2E03">
      <w:pPr>
        <w:rPr>
          <w:rFonts w:ascii="Arial" w:eastAsia="Calibri" w:hAnsi="Arial"/>
          <w:sz w:val="27"/>
          <w:lang w:bidi="ar-LB"/>
        </w:rPr>
      </w:pPr>
      <w:r w:rsidRPr="006571AC">
        <w:rPr>
          <w:rFonts w:ascii="Arial" w:eastAsia="Calibri" w:hAnsi="Arial" w:hint="cs"/>
          <w:b/>
          <w:bCs/>
          <w:sz w:val="27"/>
          <w:rtl/>
          <w:lang w:bidi="ar-LB"/>
        </w:rPr>
        <w:t>ولكن</w:t>
      </w:r>
      <w:r w:rsidR="00B91124" w:rsidRPr="006571AC">
        <w:rPr>
          <w:rFonts w:ascii="Arial" w:eastAsia="Calibri" w:hAnsi="Arial" w:hint="cs"/>
          <w:b/>
          <w:bCs/>
          <w:sz w:val="27"/>
          <w:rtl/>
          <w:lang w:bidi="ar-LB"/>
        </w:rPr>
        <w:t>ْ</w:t>
      </w:r>
      <w:r w:rsidRPr="006571AC">
        <w:rPr>
          <w:rFonts w:ascii="Arial" w:eastAsia="Calibri" w:hAnsi="Arial" w:hint="cs"/>
          <w:b/>
          <w:bCs/>
          <w:sz w:val="27"/>
          <w:rtl/>
          <w:lang w:bidi="ar-LB"/>
        </w:rPr>
        <w:t xml:space="preserve"> ي</w:t>
      </w:r>
      <w:r w:rsidR="00B91124" w:rsidRPr="006571AC">
        <w:rPr>
          <w:rFonts w:ascii="Arial" w:eastAsia="Calibri" w:hAnsi="Arial" w:hint="cs"/>
          <w:b/>
          <w:bCs/>
          <w:sz w:val="27"/>
          <w:rtl/>
          <w:lang w:bidi="ar-LB"/>
        </w:rPr>
        <w:t>ُ</w:t>
      </w:r>
      <w:r w:rsidRPr="006571AC">
        <w:rPr>
          <w:rFonts w:ascii="Arial" w:eastAsia="Calibri" w:hAnsi="Arial" w:hint="cs"/>
          <w:b/>
          <w:bCs/>
          <w:sz w:val="27"/>
          <w:rtl/>
          <w:lang w:bidi="ar-LB"/>
        </w:rPr>
        <w:t>لاح</w:t>
      </w:r>
      <w:r w:rsidR="00B91124" w:rsidRPr="006571AC">
        <w:rPr>
          <w:rFonts w:ascii="Arial" w:eastAsia="Calibri" w:hAnsi="Arial" w:hint="cs"/>
          <w:b/>
          <w:bCs/>
          <w:sz w:val="27"/>
          <w:rtl/>
          <w:lang w:bidi="ar-LB"/>
        </w:rPr>
        <w:t>َ</w:t>
      </w:r>
      <w:r w:rsidRPr="006571AC">
        <w:rPr>
          <w:rFonts w:ascii="Arial" w:eastAsia="Calibri" w:hAnsi="Arial" w:hint="cs"/>
          <w:b/>
          <w:bCs/>
          <w:sz w:val="27"/>
          <w:rtl/>
          <w:lang w:bidi="ar-LB"/>
        </w:rPr>
        <w:t>ظ عليه</w:t>
      </w:r>
      <w:r w:rsidRPr="006571AC">
        <w:rPr>
          <w:rFonts w:ascii="Arial" w:eastAsia="Calibri" w:hAnsi="Arial" w:hint="cs"/>
          <w:sz w:val="27"/>
          <w:rtl/>
          <w:lang w:bidi="ar-LB"/>
        </w:rPr>
        <w:t>: إنّ أخبار م</w:t>
      </w:r>
      <w:r w:rsidR="00B91124" w:rsidRPr="006571AC">
        <w:rPr>
          <w:rFonts w:ascii="Arial" w:eastAsia="Calibri" w:hAnsi="Arial" w:hint="cs"/>
          <w:sz w:val="27"/>
          <w:rtl/>
          <w:lang w:bidi="ar-LB"/>
        </w:rPr>
        <w:t>َ</w:t>
      </w:r>
      <w:r w:rsidRPr="006571AC">
        <w:rPr>
          <w:rFonts w:ascii="Arial" w:eastAsia="Calibri" w:hAnsi="Arial" w:hint="cs"/>
          <w:sz w:val="27"/>
          <w:rtl/>
          <w:lang w:bidi="ar-LB"/>
        </w:rPr>
        <w:t>ن</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بلغ ـ لو تم</w:t>
      </w:r>
      <w:r w:rsidR="00B91124" w:rsidRPr="006571AC">
        <w:rPr>
          <w:rFonts w:ascii="Arial" w:eastAsia="Calibri" w:hAnsi="Arial" w:hint="cs"/>
          <w:sz w:val="27"/>
          <w:rtl/>
          <w:lang w:bidi="ar-LB"/>
        </w:rPr>
        <w:t>َّ</w:t>
      </w:r>
      <w:r w:rsidRPr="006571AC">
        <w:rPr>
          <w:rFonts w:ascii="Arial" w:eastAsia="Calibri" w:hAnsi="Arial" w:hint="cs"/>
          <w:sz w:val="27"/>
          <w:rtl/>
          <w:lang w:bidi="ar-LB"/>
        </w:rPr>
        <w:t>ت</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دلالتها ـ تدل</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على التسامح في دليل الحكم الشرعي نفسه، لا دليل ما يكون موضوعاً للحكم.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 xml:space="preserve">التوجيه الثاني: </w:t>
      </w:r>
      <w:r w:rsidRPr="006571AC">
        <w:rPr>
          <w:rFonts w:ascii="Arial" w:eastAsia="Calibri" w:hAnsi="Arial" w:hint="cs"/>
          <w:sz w:val="27"/>
          <w:rtl/>
          <w:lang w:bidi="ar-LB"/>
        </w:rPr>
        <w:t>ما ذهب إليه بعض الفقهاء من جواز نقل الحوادث التاريخيّة</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التي لم يق</w:t>
      </w:r>
      <w:r w:rsidR="00B91124" w:rsidRPr="006571AC">
        <w:rPr>
          <w:rFonts w:ascii="Arial" w:eastAsia="Calibri" w:hAnsi="Arial" w:hint="cs"/>
          <w:sz w:val="27"/>
          <w:rtl/>
          <w:lang w:bidi="ar-LB"/>
        </w:rPr>
        <w:t>ُ</w:t>
      </w:r>
      <w:r w:rsidRPr="006571AC">
        <w:rPr>
          <w:rFonts w:ascii="Arial" w:eastAsia="Calibri" w:hAnsi="Arial" w:hint="cs"/>
          <w:sz w:val="27"/>
          <w:rtl/>
          <w:lang w:bidi="ar-LB"/>
        </w:rPr>
        <w:t>م</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دليل عليها، بعنوان الحكاية</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لا بعنوان الورود أو الج</w:t>
      </w:r>
      <w:r w:rsidR="00B91124" w:rsidRPr="006571AC">
        <w:rPr>
          <w:rFonts w:ascii="Arial" w:eastAsia="Calibri" w:hAnsi="Arial" w:hint="cs"/>
          <w:sz w:val="27"/>
          <w:rtl/>
          <w:lang w:bidi="ar-LB"/>
        </w:rPr>
        <w:t>َ</w:t>
      </w:r>
      <w:r w:rsidRPr="006571AC">
        <w:rPr>
          <w:rFonts w:ascii="Arial" w:eastAsia="Calibri" w:hAnsi="Arial" w:hint="cs"/>
          <w:sz w:val="27"/>
          <w:rtl/>
          <w:lang w:bidi="ar-LB"/>
        </w:rPr>
        <w:t>ز</w:t>
      </w:r>
      <w:r w:rsidR="00B91124" w:rsidRPr="006571AC">
        <w:rPr>
          <w:rFonts w:ascii="Arial" w:eastAsia="Calibri" w:hAnsi="Arial" w:hint="cs"/>
          <w:sz w:val="27"/>
          <w:rtl/>
          <w:lang w:bidi="ar-LB"/>
        </w:rPr>
        <w:t>ْ</w:t>
      </w:r>
      <w:r w:rsidRPr="006571AC">
        <w:rPr>
          <w:rFonts w:ascii="Arial" w:eastAsia="Calibri" w:hAnsi="Arial" w:hint="cs"/>
          <w:sz w:val="27"/>
          <w:rtl/>
          <w:lang w:bidi="ar-LB"/>
        </w:rPr>
        <w:t>م، فنقلها بصورة الجزم لا مبر</w:t>
      </w:r>
      <w:r w:rsidR="00B91124" w:rsidRPr="006571AC">
        <w:rPr>
          <w:rFonts w:ascii="Arial" w:eastAsia="Calibri" w:hAnsi="Arial" w:hint="cs"/>
          <w:sz w:val="27"/>
          <w:rtl/>
          <w:lang w:bidi="ar-LB"/>
        </w:rPr>
        <w:t>ِّ</w:t>
      </w:r>
      <w:r w:rsidRPr="006571AC">
        <w:rPr>
          <w:rFonts w:ascii="Arial" w:eastAsia="Calibri" w:hAnsi="Arial" w:hint="cs"/>
          <w:sz w:val="27"/>
          <w:rtl/>
          <w:lang w:bidi="ar-LB"/>
        </w:rPr>
        <w:t>ر له</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6"/>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9B65D5" w:rsidRPr="006571AC" w:rsidRDefault="009B65D5" w:rsidP="00357822">
      <w:pPr>
        <w:rPr>
          <w:rFonts w:ascii="Arial" w:eastAsia="Calibri" w:hAnsi="Arial"/>
          <w:sz w:val="27"/>
          <w:rtl/>
          <w:lang w:bidi="ar-LB"/>
        </w:rPr>
      </w:pPr>
      <w:r w:rsidRPr="006571AC">
        <w:rPr>
          <w:rFonts w:ascii="Arial" w:eastAsia="Calibri" w:hAnsi="Arial" w:hint="cs"/>
          <w:sz w:val="27"/>
          <w:rtl/>
          <w:lang w:bidi="ar-LB"/>
        </w:rPr>
        <w:t xml:space="preserve"> </w:t>
      </w:r>
      <w:r w:rsidRPr="006571AC">
        <w:rPr>
          <w:rFonts w:ascii="Arial" w:eastAsia="Calibri" w:hAnsi="Arial"/>
          <w:sz w:val="27"/>
          <w:rtl/>
          <w:lang w:bidi="ar-LB"/>
        </w:rPr>
        <w:t>س</w:t>
      </w:r>
      <w:r w:rsidR="00B91124" w:rsidRPr="006571AC">
        <w:rPr>
          <w:rFonts w:ascii="Arial" w:eastAsia="Calibri" w:hAnsi="Arial" w:hint="cs"/>
          <w:sz w:val="27"/>
          <w:rtl/>
          <w:lang w:bidi="ar-LB"/>
        </w:rPr>
        <w:t>ُ</w:t>
      </w:r>
      <w:r w:rsidRPr="006571AC">
        <w:rPr>
          <w:rFonts w:ascii="Arial" w:eastAsia="Calibri" w:hAnsi="Arial"/>
          <w:sz w:val="27"/>
          <w:rtl/>
          <w:lang w:bidi="ar-LB"/>
        </w:rPr>
        <w:t>ئل</w:t>
      </w:r>
      <w:r w:rsidRPr="006571AC">
        <w:rPr>
          <w:rFonts w:ascii="Arial" w:eastAsia="Calibri" w:hAnsi="Arial" w:hint="cs"/>
          <w:sz w:val="27"/>
          <w:rtl/>
          <w:lang w:bidi="ar-LB"/>
        </w:rPr>
        <w:t xml:space="preserve"> السيد الخوئي</w:t>
      </w:r>
      <w:r w:rsidRPr="006571AC">
        <w:rPr>
          <w:rFonts w:ascii="Arial" w:eastAsia="Calibri" w:hAnsi="Arial"/>
          <w:sz w:val="27"/>
          <w:rtl/>
          <w:lang w:bidi="ar-LB"/>
        </w:rPr>
        <w:t xml:space="preserve">: </w:t>
      </w:r>
      <w:r w:rsidRPr="006571AC">
        <w:rPr>
          <w:rFonts w:hint="eastAsia"/>
          <w:sz w:val="24"/>
          <w:szCs w:val="24"/>
          <w:rtl/>
          <w:lang w:bidi="ar-LB"/>
        </w:rPr>
        <w:t>«</w:t>
      </w:r>
      <w:r w:rsidRPr="006571AC">
        <w:rPr>
          <w:rFonts w:ascii="Arial" w:eastAsia="Calibri" w:hAnsi="Arial"/>
          <w:sz w:val="27"/>
          <w:rtl/>
          <w:lang w:bidi="ar-LB"/>
        </w:rPr>
        <w:t>هل يجوز للخطيب الحسيني</w:t>
      </w:r>
      <w:r w:rsidR="00B91124" w:rsidRPr="006571AC">
        <w:rPr>
          <w:rFonts w:ascii="Arial" w:eastAsia="Calibri" w:hAnsi="Arial" w:hint="cs"/>
          <w:sz w:val="27"/>
          <w:rtl/>
          <w:lang w:bidi="ar-LB"/>
        </w:rPr>
        <w:t>ّ</w:t>
      </w:r>
      <w:r w:rsidRPr="006571AC">
        <w:rPr>
          <w:rFonts w:ascii="Arial" w:eastAsia="Calibri" w:hAnsi="Arial"/>
          <w:sz w:val="27"/>
          <w:rtl/>
          <w:lang w:bidi="ar-LB"/>
        </w:rPr>
        <w:t xml:space="preserve"> أن ينقل القضايا التي لم يثبت وقوعها، بعنوان أن</w:t>
      </w:r>
      <w:r w:rsidRPr="006571AC">
        <w:rPr>
          <w:rFonts w:ascii="Arial" w:eastAsia="Calibri" w:hAnsi="Arial" w:hint="cs"/>
          <w:sz w:val="27"/>
          <w:rtl/>
          <w:lang w:bidi="ar-LB"/>
        </w:rPr>
        <w:t>ّ</w:t>
      </w:r>
      <w:r w:rsidRPr="006571AC">
        <w:rPr>
          <w:rFonts w:ascii="Arial" w:eastAsia="Calibri" w:hAnsi="Arial"/>
          <w:sz w:val="27"/>
          <w:rtl/>
          <w:lang w:bidi="ar-LB"/>
        </w:rPr>
        <w:t>ها واقعة</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w:t>
      </w:r>
      <w:r w:rsidRPr="006571AC">
        <w:rPr>
          <w:rFonts w:ascii="Arial" w:eastAsia="Calibri" w:hAnsi="Arial"/>
          <w:sz w:val="27"/>
          <w:rtl/>
          <w:lang w:bidi="ar-LB"/>
        </w:rPr>
        <w:t>كزواج القاسم بن الحسن</w:t>
      </w:r>
      <w:r w:rsidR="002A2C90" w:rsidRPr="006571AC">
        <w:rPr>
          <w:rFonts w:ascii="Mosawi" w:hAnsi="Mosawi" w:cs="Mosawi"/>
          <w:sz w:val="22"/>
          <w:szCs w:val="22"/>
          <w:rtl/>
        </w:rPr>
        <w:t>×</w:t>
      </w:r>
      <w:r w:rsidRPr="006571AC">
        <w:rPr>
          <w:rFonts w:ascii="Arial" w:eastAsia="Calibri" w:hAnsi="Arial"/>
          <w:sz w:val="27"/>
          <w:rtl/>
          <w:lang w:bidi="ar-LB"/>
        </w:rPr>
        <w:t xml:space="preserve"> من سكينة بنت الحسين</w:t>
      </w:r>
      <w:r w:rsidR="00357822" w:rsidRPr="006571AC">
        <w:rPr>
          <w:rFonts w:ascii="Mosawi" w:hAnsi="Mosawi" w:cs="Mosawi"/>
          <w:sz w:val="22"/>
          <w:szCs w:val="22"/>
          <w:rtl/>
        </w:rPr>
        <w:t>×</w:t>
      </w:r>
      <w:r w:rsidR="00B91124" w:rsidRPr="006571AC">
        <w:rPr>
          <w:rFonts w:ascii="Arial" w:eastAsia="Calibri" w:hAnsi="Arial" w:hint="cs"/>
          <w:sz w:val="27"/>
          <w:rtl/>
          <w:lang w:bidi="ar-LB"/>
        </w:rPr>
        <w:t>،</w:t>
      </w:r>
      <w:r w:rsidRPr="006571AC">
        <w:rPr>
          <w:rFonts w:ascii="Arial" w:eastAsia="Calibri" w:hAnsi="Arial"/>
          <w:sz w:val="27"/>
          <w:rtl/>
          <w:lang w:bidi="ar-LB"/>
        </w:rPr>
        <w:t xml:space="preserve"> أم </w:t>
      </w:r>
      <w:r w:rsidR="00731867" w:rsidRPr="006571AC">
        <w:rPr>
          <w:rFonts w:ascii="Arial" w:eastAsia="Calibri" w:hAnsi="Arial"/>
          <w:sz w:val="27"/>
          <w:rtl/>
          <w:lang w:bidi="ar-LB"/>
        </w:rPr>
        <w:t>لا بُدَّ</w:t>
      </w:r>
      <w:r w:rsidRPr="006571AC">
        <w:rPr>
          <w:rFonts w:ascii="Arial" w:eastAsia="Calibri" w:hAnsi="Arial"/>
          <w:sz w:val="27"/>
          <w:rtl/>
          <w:lang w:bidi="ar-LB"/>
        </w:rPr>
        <w:t xml:space="preserve"> من التثب</w:t>
      </w:r>
      <w:r w:rsidR="00B91124" w:rsidRPr="006571AC">
        <w:rPr>
          <w:rFonts w:ascii="Arial" w:eastAsia="Calibri" w:hAnsi="Arial" w:hint="cs"/>
          <w:sz w:val="27"/>
          <w:rtl/>
          <w:lang w:bidi="ar-LB"/>
        </w:rPr>
        <w:t>ُّ</w:t>
      </w:r>
      <w:r w:rsidRPr="006571AC">
        <w:rPr>
          <w:rFonts w:ascii="Arial" w:eastAsia="Calibri" w:hAnsi="Arial"/>
          <w:sz w:val="27"/>
          <w:rtl/>
          <w:lang w:bidi="ar-LB"/>
        </w:rPr>
        <w:t xml:space="preserve">ت في نقل ما أثبته العلماء وطرح ما طرحوه؟ </w:t>
      </w:r>
      <w:r w:rsidRPr="006571AC">
        <w:rPr>
          <w:rFonts w:ascii="Arial" w:eastAsia="Calibri" w:hAnsi="Arial" w:hint="cs"/>
          <w:sz w:val="27"/>
          <w:rtl/>
          <w:lang w:bidi="ar-LB"/>
        </w:rPr>
        <w:t>فأجاب</w:t>
      </w:r>
      <w:r w:rsidRPr="006571AC">
        <w:rPr>
          <w:rFonts w:ascii="Arial" w:eastAsia="Calibri" w:hAnsi="Arial"/>
          <w:b/>
          <w:bCs/>
          <w:sz w:val="27"/>
          <w:rtl/>
          <w:lang w:bidi="ar-LB"/>
        </w:rPr>
        <w:t xml:space="preserve">: </w:t>
      </w:r>
      <w:r w:rsidRPr="006571AC">
        <w:rPr>
          <w:rFonts w:ascii="Arial" w:eastAsia="Calibri" w:hAnsi="Arial"/>
          <w:sz w:val="27"/>
          <w:rtl/>
          <w:lang w:bidi="ar-LB"/>
        </w:rPr>
        <w:t>لا يجوز النقل بعنوان الورود</w:t>
      </w:r>
      <w:r w:rsidRPr="006571AC">
        <w:rPr>
          <w:rFonts w:ascii="Arial" w:eastAsia="Calibri" w:hAnsi="Arial" w:hint="cs"/>
          <w:sz w:val="27"/>
          <w:rtl/>
          <w:lang w:bidi="ar-LB"/>
        </w:rPr>
        <w:t xml:space="preserve">، </w:t>
      </w:r>
      <w:r w:rsidRPr="006571AC">
        <w:rPr>
          <w:rFonts w:ascii="Arial" w:eastAsia="Calibri" w:hAnsi="Arial"/>
          <w:sz w:val="27"/>
          <w:rtl/>
          <w:lang w:bidi="ar-LB"/>
        </w:rPr>
        <w:t>وأما بعنوان الحكاية عن كتاب</w:t>
      </w:r>
      <w:r w:rsidR="00B91124" w:rsidRPr="006571AC">
        <w:rPr>
          <w:rFonts w:ascii="Arial" w:eastAsia="Calibri" w:hAnsi="Arial" w:hint="cs"/>
          <w:sz w:val="27"/>
          <w:rtl/>
          <w:lang w:bidi="ar-LB"/>
        </w:rPr>
        <w:t>ٍ</w:t>
      </w:r>
      <w:r w:rsidRPr="006571AC">
        <w:rPr>
          <w:rFonts w:ascii="Arial" w:eastAsia="Calibri" w:hAnsi="Arial"/>
          <w:sz w:val="27"/>
          <w:rtl/>
          <w:lang w:bidi="ar-LB"/>
        </w:rPr>
        <w:t xml:space="preserve"> أو شخص</w:t>
      </w:r>
      <w:r w:rsidR="00B91124" w:rsidRPr="006571AC">
        <w:rPr>
          <w:rFonts w:ascii="Arial" w:eastAsia="Calibri" w:hAnsi="Arial" w:hint="cs"/>
          <w:sz w:val="27"/>
          <w:rtl/>
          <w:lang w:bidi="ar-LB"/>
        </w:rPr>
        <w:t>ٍ</w:t>
      </w:r>
      <w:r w:rsidRPr="006571AC">
        <w:rPr>
          <w:rFonts w:ascii="Arial" w:eastAsia="Calibri" w:hAnsi="Arial"/>
          <w:sz w:val="27"/>
          <w:rtl/>
          <w:lang w:bidi="ar-LB"/>
        </w:rPr>
        <w:t xml:space="preserve"> فلا بأس به</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Calibri" w:eastAsia="Calibri" w:hAnsi="Calibri"/>
          <w:sz w:val="27"/>
          <w:vertAlign w:val="superscript"/>
          <w:rtl/>
          <w:lang w:bidi="ar-LB"/>
        </w:rPr>
        <w:endnoteReference w:id="667"/>
      </w:r>
      <w:r w:rsidRPr="006571AC">
        <w:rPr>
          <w:rFonts w:ascii="Arial" w:eastAsia="Calibri" w:hAnsi="Arial"/>
          <w:sz w:val="27"/>
          <w:vertAlign w:val="superscript"/>
          <w:rtl/>
          <w:lang w:bidi="ar-LB"/>
        </w:rPr>
        <w:t>)</w:t>
      </w:r>
      <w:r w:rsidRPr="006571AC">
        <w:rPr>
          <w:rFonts w:ascii="Arial" w:eastAsia="Calibri" w:hAnsi="Arial"/>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 xml:space="preserve">وقال الميرزا هاشم الآملي: </w:t>
      </w:r>
      <w:r w:rsidRPr="006571AC">
        <w:rPr>
          <w:rFonts w:hint="eastAsia"/>
          <w:sz w:val="24"/>
          <w:szCs w:val="24"/>
          <w:rtl/>
          <w:lang w:bidi="ar-LB"/>
        </w:rPr>
        <w:t>«</w:t>
      </w:r>
      <w:r w:rsidR="00B91124" w:rsidRPr="006571AC">
        <w:rPr>
          <w:rFonts w:ascii="Arial" w:eastAsia="Calibri" w:hAnsi="Arial" w:hint="cs"/>
          <w:sz w:val="27"/>
          <w:rtl/>
          <w:lang w:bidi="ar-LB"/>
        </w:rPr>
        <w:t>...</w:t>
      </w:r>
      <w:r w:rsidRPr="006571AC">
        <w:rPr>
          <w:rFonts w:ascii="Arial" w:eastAsia="Calibri" w:hAnsi="Arial"/>
          <w:sz w:val="27"/>
          <w:rtl/>
          <w:lang w:bidi="ar-LB"/>
        </w:rPr>
        <w:t>إذا كان التعبير في نقل المصيبة بعنوان</w:t>
      </w:r>
      <w:r w:rsidR="00B91124" w:rsidRPr="006571AC">
        <w:rPr>
          <w:rFonts w:ascii="Arial" w:eastAsia="Calibri" w:hAnsi="Arial" w:hint="cs"/>
          <w:sz w:val="27"/>
          <w:rtl/>
          <w:lang w:bidi="ar-LB"/>
        </w:rPr>
        <w:t>:</w:t>
      </w:r>
      <w:r w:rsidRPr="006571AC">
        <w:rPr>
          <w:rFonts w:ascii="Arial" w:eastAsia="Calibri" w:hAnsi="Arial"/>
          <w:sz w:val="27"/>
          <w:rtl/>
          <w:lang w:bidi="ar-LB"/>
        </w:rPr>
        <w:t xml:space="preserve"> </w:t>
      </w:r>
      <w:r w:rsidR="00B91124" w:rsidRPr="006571AC">
        <w:rPr>
          <w:rFonts w:ascii="Arial" w:eastAsia="Calibri" w:hAnsi="Arial" w:hint="cs"/>
          <w:sz w:val="27"/>
          <w:rtl/>
          <w:lang w:bidi="ar-LB"/>
        </w:rPr>
        <w:t>(</w:t>
      </w:r>
      <w:r w:rsidRPr="006571AC">
        <w:rPr>
          <w:rFonts w:ascii="Arial" w:eastAsia="Calibri" w:hAnsi="Arial"/>
          <w:sz w:val="27"/>
          <w:rtl/>
          <w:lang w:bidi="ar-LB"/>
        </w:rPr>
        <w:t>ن</w:t>
      </w:r>
      <w:r w:rsidRPr="006571AC">
        <w:rPr>
          <w:rFonts w:ascii="Arial" w:eastAsia="Calibri" w:hAnsi="Arial" w:hint="cs"/>
          <w:sz w:val="27"/>
          <w:rtl/>
          <w:lang w:bidi="ar-LB"/>
        </w:rPr>
        <w:t>ُ</w:t>
      </w:r>
      <w:r w:rsidRPr="006571AC">
        <w:rPr>
          <w:rFonts w:ascii="Arial" w:eastAsia="Calibri" w:hAnsi="Arial"/>
          <w:sz w:val="27"/>
          <w:rtl/>
          <w:lang w:bidi="ar-LB"/>
        </w:rPr>
        <w:t>قل كذا أو كذا</w:t>
      </w:r>
      <w:r w:rsidR="00B91124" w:rsidRPr="006571AC">
        <w:rPr>
          <w:rFonts w:ascii="Arial" w:eastAsia="Calibri" w:hAnsi="Arial" w:hint="cs"/>
          <w:sz w:val="27"/>
          <w:rtl/>
          <w:lang w:bidi="ar-LB"/>
        </w:rPr>
        <w:t>)،</w:t>
      </w:r>
      <w:r w:rsidRPr="006571AC">
        <w:rPr>
          <w:rFonts w:ascii="Arial" w:eastAsia="Calibri" w:hAnsi="Arial"/>
          <w:sz w:val="27"/>
          <w:rtl/>
          <w:lang w:bidi="ar-LB"/>
        </w:rPr>
        <w:t xml:space="preserve"> ويكون هذا النقل أيضا</w:t>
      </w:r>
      <w:r w:rsidRPr="006571AC">
        <w:rPr>
          <w:rFonts w:ascii="Arial" w:eastAsia="Calibri" w:hAnsi="Arial" w:hint="cs"/>
          <w:sz w:val="27"/>
          <w:rtl/>
          <w:lang w:bidi="ar-LB"/>
        </w:rPr>
        <w:t>ً</w:t>
      </w:r>
      <w:r w:rsidRPr="006571AC">
        <w:rPr>
          <w:rFonts w:ascii="Arial" w:eastAsia="Calibri" w:hAnsi="Arial"/>
          <w:sz w:val="27"/>
          <w:rtl/>
          <w:lang w:bidi="ar-LB"/>
        </w:rPr>
        <w:t xml:space="preserve"> من باب الرجاء</w:t>
      </w:r>
      <w:r w:rsidR="00B91124" w:rsidRPr="006571AC">
        <w:rPr>
          <w:rFonts w:ascii="Arial" w:eastAsia="Calibri" w:hAnsi="Arial" w:hint="cs"/>
          <w:sz w:val="27"/>
          <w:rtl/>
          <w:lang w:bidi="ar-LB"/>
        </w:rPr>
        <w:t>،</w:t>
      </w:r>
      <w:r w:rsidRPr="006571AC">
        <w:rPr>
          <w:rFonts w:ascii="Arial" w:eastAsia="Calibri" w:hAnsi="Arial"/>
          <w:sz w:val="27"/>
          <w:rtl/>
          <w:lang w:bidi="ar-LB"/>
        </w:rPr>
        <w:t xml:space="preserve"> فلا إشكال فيه</w:t>
      </w:r>
      <w:r w:rsidRPr="006571AC">
        <w:rPr>
          <w:rFonts w:ascii="Arial" w:eastAsia="Calibri" w:hAnsi="Arial" w:hint="cs"/>
          <w:sz w:val="27"/>
          <w:rtl/>
          <w:lang w:bidi="ar-LB"/>
        </w:rPr>
        <w:t xml:space="preserve">، </w:t>
      </w:r>
      <w:r w:rsidRPr="006571AC">
        <w:rPr>
          <w:rFonts w:ascii="Arial" w:eastAsia="Calibri" w:hAnsi="Arial"/>
          <w:sz w:val="27"/>
          <w:rtl/>
          <w:lang w:bidi="ar-LB"/>
        </w:rPr>
        <w:t>فما هو الم</w:t>
      </w:r>
      <w:r w:rsidR="00987FAA" w:rsidRPr="006571AC">
        <w:rPr>
          <w:rFonts w:ascii="Arial" w:eastAsia="Calibri" w:hAnsi="Arial" w:hint="cs"/>
          <w:sz w:val="27"/>
          <w:rtl/>
          <w:lang w:bidi="ar-LB"/>
        </w:rPr>
        <w:t>ُ</w:t>
      </w:r>
      <w:r w:rsidRPr="006571AC">
        <w:rPr>
          <w:rFonts w:ascii="Arial" w:eastAsia="Calibri" w:hAnsi="Arial"/>
          <w:sz w:val="27"/>
          <w:rtl/>
          <w:lang w:bidi="ar-LB"/>
        </w:rPr>
        <w:t>شك</w:t>
      </w:r>
      <w:r w:rsidRPr="006571AC">
        <w:rPr>
          <w:rFonts w:ascii="Arial" w:eastAsia="Calibri" w:hAnsi="Arial" w:hint="cs"/>
          <w:sz w:val="27"/>
          <w:rtl/>
          <w:lang w:bidi="ar-LB"/>
        </w:rPr>
        <w:t>ِ</w:t>
      </w:r>
      <w:r w:rsidRPr="006571AC">
        <w:rPr>
          <w:rFonts w:ascii="Arial" w:eastAsia="Calibri" w:hAnsi="Arial"/>
          <w:sz w:val="27"/>
          <w:rtl/>
          <w:lang w:bidi="ar-LB"/>
        </w:rPr>
        <w:t>ل</w:t>
      </w:r>
      <w:r w:rsidRPr="006571AC">
        <w:rPr>
          <w:rFonts w:ascii="Arial" w:eastAsia="Calibri" w:hAnsi="Arial" w:hint="cs"/>
          <w:sz w:val="27"/>
          <w:rtl/>
          <w:lang w:bidi="ar-LB"/>
        </w:rPr>
        <w:t>ُ</w:t>
      </w:r>
      <w:r w:rsidRPr="006571AC">
        <w:rPr>
          <w:rFonts w:ascii="Arial" w:eastAsia="Calibri" w:hAnsi="Arial"/>
          <w:sz w:val="27"/>
          <w:rtl/>
          <w:lang w:bidi="ar-LB"/>
        </w:rPr>
        <w:t xml:space="preserve"> يكون النقل بعنوان الج</w:t>
      </w:r>
      <w:r w:rsidR="00987FAA" w:rsidRPr="006571AC">
        <w:rPr>
          <w:rFonts w:ascii="Arial" w:eastAsia="Calibri" w:hAnsi="Arial" w:hint="cs"/>
          <w:sz w:val="27"/>
          <w:rtl/>
          <w:lang w:bidi="ar-LB"/>
        </w:rPr>
        <w:t>َ</w:t>
      </w:r>
      <w:r w:rsidRPr="006571AC">
        <w:rPr>
          <w:rFonts w:ascii="Arial" w:eastAsia="Calibri" w:hAnsi="Arial"/>
          <w:sz w:val="27"/>
          <w:rtl/>
          <w:lang w:bidi="ar-LB"/>
        </w:rPr>
        <w:t>ز</w:t>
      </w:r>
      <w:r w:rsidR="00987FAA" w:rsidRPr="006571AC">
        <w:rPr>
          <w:rFonts w:ascii="Arial" w:eastAsia="Calibri" w:hAnsi="Arial" w:hint="cs"/>
          <w:sz w:val="27"/>
          <w:rtl/>
          <w:lang w:bidi="ar-LB"/>
        </w:rPr>
        <w:t>ْ</w:t>
      </w:r>
      <w:r w:rsidRPr="006571AC">
        <w:rPr>
          <w:rFonts w:ascii="Arial" w:eastAsia="Calibri" w:hAnsi="Arial"/>
          <w:sz w:val="27"/>
          <w:rtl/>
          <w:lang w:bidi="ar-LB"/>
        </w:rPr>
        <w:t>م</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8"/>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ور</w:t>
      </w:r>
      <w:r w:rsidR="00987FAA" w:rsidRPr="006571AC">
        <w:rPr>
          <w:rFonts w:ascii="Arial" w:eastAsia="Calibri" w:hAnsi="Arial" w:hint="cs"/>
          <w:sz w:val="27"/>
          <w:rtl/>
          <w:lang w:bidi="ar-LB"/>
        </w:rPr>
        <w:t>ُ</w:t>
      </w:r>
      <w:r w:rsidRPr="006571AC">
        <w:rPr>
          <w:rFonts w:ascii="Arial" w:eastAsia="Calibri" w:hAnsi="Arial" w:hint="cs"/>
          <w:sz w:val="27"/>
          <w:rtl/>
          <w:lang w:bidi="ar-LB"/>
        </w:rPr>
        <w:t>ب</w:t>
      </w:r>
      <w:r w:rsidR="00987FAA" w:rsidRPr="006571AC">
        <w:rPr>
          <w:rFonts w:ascii="Arial" w:eastAsia="Calibri" w:hAnsi="Arial" w:hint="cs"/>
          <w:sz w:val="27"/>
          <w:rtl/>
          <w:lang w:bidi="ar-LB"/>
        </w:rPr>
        <w:t>َ</w:t>
      </w:r>
      <w:r w:rsidRPr="006571AC">
        <w:rPr>
          <w:rFonts w:ascii="Arial" w:eastAsia="Calibri" w:hAnsi="Arial" w:hint="cs"/>
          <w:sz w:val="27"/>
          <w:rtl/>
          <w:lang w:bidi="ar-LB"/>
        </w:rPr>
        <w:t>ما ي</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قال بعدم حاجة الناقل إلى استخدام تعابير من قبيل: روى فلان، أو جاء في الكتاب الفلاني، بل يكفي عدم قصد كون الخبر مطابقاً للواقع.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lastRenderedPageBreak/>
        <w:t>ونلاحظ على هذا التوجيه الذي طرحه الع</w:t>
      </w:r>
      <w:r w:rsidR="00987FAA" w:rsidRPr="006571AC">
        <w:rPr>
          <w:rFonts w:ascii="Arial" w:eastAsia="Calibri" w:hAnsi="Arial" w:hint="cs"/>
          <w:sz w:val="27"/>
          <w:rtl/>
          <w:lang w:bidi="ar-LB"/>
        </w:rPr>
        <w:t>َ</w:t>
      </w:r>
      <w:r w:rsidRPr="006571AC">
        <w:rPr>
          <w:rFonts w:ascii="Arial" w:eastAsia="Calibri" w:hAnsi="Arial" w:hint="cs"/>
          <w:sz w:val="27"/>
          <w:rtl/>
          <w:lang w:bidi="ar-LB"/>
        </w:rPr>
        <w:t>ل</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مان (الخوئي والآملي) بملاحظتين: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الملاحظة الأولى</w:t>
      </w:r>
      <w:r w:rsidRPr="006571AC">
        <w:rPr>
          <w:rFonts w:ascii="Arial" w:eastAsia="Calibri" w:hAnsi="Arial" w:hint="cs"/>
          <w:sz w:val="27"/>
          <w:rtl/>
          <w:lang w:bidi="ar-LB"/>
        </w:rPr>
        <w:t>: إنّ هذا التوجيه ناظر</w:t>
      </w:r>
      <w:r w:rsidR="00987FAA" w:rsidRPr="006571AC">
        <w:rPr>
          <w:rFonts w:ascii="Arial" w:eastAsia="Calibri" w:hAnsi="Arial" w:hint="cs"/>
          <w:sz w:val="27"/>
          <w:rtl/>
          <w:lang w:bidi="ar-LB"/>
        </w:rPr>
        <w:t>ٌ إلى إعطاء حلٍّ</w:t>
      </w:r>
      <w:r w:rsidRPr="006571AC">
        <w:rPr>
          <w:rFonts w:ascii="Arial" w:eastAsia="Calibri" w:hAnsi="Arial" w:hint="cs"/>
          <w:sz w:val="27"/>
          <w:rtl/>
          <w:lang w:bidi="ar-LB"/>
        </w:rPr>
        <w:t xml:space="preserve"> شرعي للناقل بما يسوِّغ له رواية الخبر دون الوقوع في محذور</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شرعي</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وهو بهذا اللحاظ توجيهٌ سليم، لكن</w:t>
      </w:r>
      <w:r w:rsidR="00987FAA" w:rsidRPr="006571AC">
        <w:rPr>
          <w:rFonts w:ascii="Arial" w:eastAsia="Calibri" w:hAnsi="Arial" w:hint="cs"/>
          <w:sz w:val="27"/>
          <w:rtl/>
          <w:lang w:bidi="ar-LB"/>
        </w:rPr>
        <w:t>ّ</w:t>
      </w:r>
      <w:r w:rsidRPr="006571AC">
        <w:rPr>
          <w:rFonts w:ascii="Arial" w:eastAsia="Calibri" w:hAnsi="Arial" w:hint="cs"/>
          <w:sz w:val="27"/>
          <w:rtl/>
          <w:lang w:bidi="ar-LB"/>
        </w:rPr>
        <w:t>نا نضع له ش</w:t>
      </w:r>
      <w:r w:rsidR="00987FAA" w:rsidRPr="006571AC">
        <w:rPr>
          <w:rFonts w:ascii="Arial" w:eastAsia="Calibri" w:hAnsi="Arial" w:hint="cs"/>
          <w:sz w:val="27"/>
          <w:rtl/>
          <w:lang w:bidi="ar-LB"/>
        </w:rPr>
        <w:t>َ</w:t>
      </w:r>
      <w:r w:rsidRPr="006571AC">
        <w:rPr>
          <w:rFonts w:ascii="Arial" w:eastAsia="Calibri" w:hAnsi="Arial" w:hint="cs"/>
          <w:sz w:val="27"/>
          <w:rtl/>
          <w:lang w:bidi="ar-LB"/>
        </w:rPr>
        <w:t>ر</w:t>
      </w:r>
      <w:r w:rsidR="00987FAA" w:rsidRPr="006571AC">
        <w:rPr>
          <w:rFonts w:ascii="Arial" w:eastAsia="Calibri" w:hAnsi="Arial" w:hint="cs"/>
          <w:sz w:val="27"/>
          <w:rtl/>
          <w:lang w:bidi="ar-LB"/>
        </w:rPr>
        <w:t>ْ</w:t>
      </w:r>
      <w:r w:rsidRPr="006571AC">
        <w:rPr>
          <w:rFonts w:ascii="Arial" w:eastAsia="Calibri" w:hAnsi="Arial" w:hint="cs"/>
          <w:sz w:val="27"/>
          <w:rtl/>
          <w:lang w:bidi="ar-LB"/>
        </w:rPr>
        <w:t>طاً، وهو أن لا يتمّ إيهام الناس من خلال طريقة الطرح بأنّ ما يُط</w:t>
      </w:r>
      <w:r w:rsidR="00987FAA" w:rsidRPr="006571AC">
        <w:rPr>
          <w:rFonts w:ascii="Arial" w:eastAsia="Calibri" w:hAnsi="Arial" w:hint="cs"/>
          <w:sz w:val="27"/>
          <w:rtl/>
          <w:lang w:bidi="ar-LB"/>
        </w:rPr>
        <w:t>ْ</w:t>
      </w:r>
      <w:r w:rsidRPr="006571AC">
        <w:rPr>
          <w:rFonts w:ascii="Arial" w:eastAsia="Calibri" w:hAnsi="Arial" w:hint="cs"/>
          <w:sz w:val="27"/>
          <w:rtl/>
          <w:lang w:bidi="ar-LB"/>
        </w:rPr>
        <w:t>ر</w:t>
      </w:r>
      <w:r w:rsidR="00987FAA" w:rsidRPr="006571AC">
        <w:rPr>
          <w:rFonts w:ascii="Arial" w:eastAsia="Calibri" w:hAnsi="Arial" w:hint="cs"/>
          <w:sz w:val="27"/>
          <w:rtl/>
          <w:lang w:bidi="ar-LB"/>
        </w:rPr>
        <w:t>َ</w:t>
      </w:r>
      <w:r w:rsidRPr="006571AC">
        <w:rPr>
          <w:rFonts w:ascii="Arial" w:eastAsia="Calibri" w:hAnsi="Arial" w:hint="cs"/>
          <w:sz w:val="27"/>
          <w:rtl/>
          <w:lang w:bidi="ar-LB"/>
        </w:rPr>
        <w:t>ح عليهم هو حقائق تاريخية</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لأن ذلك يُعد</w:t>
      </w:r>
      <w:r w:rsidR="00987FAA" w:rsidRPr="006571AC">
        <w:rPr>
          <w:rFonts w:ascii="Arial" w:eastAsia="Calibri" w:hAnsi="Arial" w:hint="cs"/>
          <w:sz w:val="27"/>
          <w:rtl/>
          <w:lang w:bidi="ar-LB"/>
        </w:rPr>
        <w:t>َ</w:t>
      </w:r>
      <w:r w:rsidRPr="006571AC">
        <w:rPr>
          <w:rFonts w:ascii="Arial" w:eastAsia="Calibri" w:hAnsi="Arial" w:hint="cs"/>
          <w:sz w:val="27"/>
          <w:rtl/>
          <w:lang w:bidi="ar-LB"/>
        </w:rPr>
        <w:t>ّ من أنواع الكذب، فإنّ الكذب ليس هو رواية أو نقل ما تعلم أنّه خلاف الواقع دون تنبيه المستمع إلى ذلك فح</w:t>
      </w:r>
      <w:r w:rsidR="00987FAA" w:rsidRPr="006571AC">
        <w:rPr>
          <w:rFonts w:ascii="Arial" w:eastAsia="Calibri" w:hAnsi="Arial" w:hint="cs"/>
          <w:sz w:val="27"/>
          <w:rtl/>
          <w:lang w:bidi="ar-LB"/>
        </w:rPr>
        <w:t>َ</w:t>
      </w:r>
      <w:r w:rsidRPr="006571AC">
        <w:rPr>
          <w:rFonts w:ascii="Arial" w:eastAsia="Calibri" w:hAnsi="Arial" w:hint="cs"/>
          <w:sz w:val="27"/>
          <w:rtl/>
          <w:lang w:bidi="ar-LB"/>
        </w:rPr>
        <w:t>س</w:t>
      </w:r>
      <w:r w:rsidR="00987FAA" w:rsidRPr="006571AC">
        <w:rPr>
          <w:rFonts w:ascii="Arial" w:eastAsia="Calibri" w:hAnsi="Arial" w:hint="cs"/>
          <w:sz w:val="27"/>
          <w:rtl/>
          <w:lang w:bidi="ar-LB"/>
        </w:rPr>
        <w:t>ْ</w:t>
      </w:r>
      <w:r w:rsidRPr="006571AC">
        <w:rPr>
          <w:rFonts w:ascii="Arial" w:eastAsia="Calibri" w:hAnsi="Arial" w:hint="cs"/>
          <w:sz w:val="27"/>
          <w:rtl/>
          <w:lang w:bidi="ar-LB"/>
        </w:rPr>
        <w:t>ب، بل هو ع</w:t>
      </w:r>
      <w:r w:rsidR="00987FAA" w:rsidRPr="006571AC">
        <w:rPr>
          <w:rFonts w:ascii="Arial" w:eastAsia="Calibri" w:hAnsi="Arial" w:hint="cs"/>
          <w:sz w:val="27"/>
          <w:rtl/>
          <w:lang w:bidi="ar-LB"/>
        </w:rPr>
        <w:t>ُ</w:t>
      </w:r>
      <w:r w:rsidRPr="006571AC">
        <w:rPr>
          <w:rFonts w:ascii="Arial" w:eastAsia="Calibri" w:hAnsi="Arial" w:hint="cs"/>
          <w:sz w:val="27"/>
          <w:rtl/>
          <w:lang w:bidi="ar-LB"/>
        </w:rPr>
        <w:t>ر</w:t>
      </w:r>
      <w:r w:rsidR="00987FAA" w:rsidRPr="006571AC">
        <w:rPr>
          <w:rFonts w:ascii="Arial" w:eastAsia="Calibri" w:hAnsi="Arial" w:hint="cs"/>
          <w:sz w:val="27"/>
          <w:rtl/>
          <w:lang w:bidi="ar-LB"/>
        </w:rPr>
        <w:t>ْ</w:t>
      </w:r>
      <w:r w:rsidRPr="006571AC">
        <w:rPr>
          <w:rFonts w:ascii="Arial" w:eastAsia="Calibri" w:hAnsi="Arial" w:hint="cs"/>
          <w:sz w:val="27"/>
          <w:rtl/>
          <w:lang w:bidi="ar-LB"/>
        </w:rPr>
        <w:t>فاً شامل</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لنقل ورواية ما لم تعلم أنه مطابق</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للواقع مع الإيحاء للمستمع بكونه مطابقاً له، ولا يخفى أنّه عندما</w:t>
      </w:r>
      <w:r w:rsidRPr="006571AC">
        <w:rPr>
          <w:rFonts w:ascii="Arial" w:eastAsia="Calibri" w:hAnsi="Arial"/>
          <w:sz w:val="27"/>
          <w:rtl/>
          <w:lang w:bidi="ar-LB"/>
        </w:rPr>
        <w:t xml:space="preserve"> يتمّ تداول الروايات في الفضاء الشع</w:t>
      </w:r>
      <w:r w:rsidRPr="006571AC">
        <w:rPr>
          <w:rFonts w:ascii="Arial" w:eastAsia="Calibri" w:hAnsi="Arial" w:hint="cs"/>
          <w:sz w:val="27"/>
          <w:rtl/>
          <w:lang w:bidi="ar-LB"/>
        </w:rPr>
        <w:t>ب</w:t>
      </w:r>
      <w:r w:rsidRPr="006571AC">
        <w:rPr>
          <w:rFonts w:ascii="Arial" w:eastAsia="Calibri" w:hAnsi="Arial"/>
          <w:sz w:val="27"/>
          <w:rtl/>
          <w:lang w:bidi="ar-LB"/>
        </w:rPr>
        <w:t>ي العام</w:t>
      </w:r>
      <w:r w:rsidR="00987FAA" w:rsidRPr="006571AC">
        <w:rPr>
          <w:rFonts w:ascii="Arial" w:eastAsia="Calibri" w:hAnsi="Arial" w:hint="cs"/>
          <w:sz w:val="27"/>
          <w:rtl/>
          <w:lang w:bidi="ar-LB"/>
        </w:rPr>
        <w:t>ّ</w:t>
      </w:r>
      <w:r w:rsidRPr="006571AC">
        <w:rPr>
          <w:rFonts w:ascii="Arial" w:eastAsia="Calibri" w:hAnsi="Arial"/>
          <w:sz w:val="27"/>
          <w:rtl/>
          <w:lang w:bidi="ar-LB"/>
        </w:rPr>
        <w:t xml:space="preserve"> </w:t>
      </w:r>
      <w:r w:rsidRPr="006571AC">
        <w:rPr>
          <w:rFonts w:ascii="Arial" w:eastAsia="Calibri" w:hAnsi="Arial" w:hint="cs"/>
          <w:sz w:val="27"/>
          <w:rtl/>
          <w:lang w:bidi="ar-LB"/>
        </w:rPr>
        <w:t>بعنوان النقل من كتاب</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فغالباً ما يكون ذلك بقصد الحكاية عن الواقع، لا مجر</w:t>
      </w:r>
      <w:r w:rsidR="00987FAA" w:rsidRPr="006571AC">
        <w:rPr>
          <w:rFonts w:ascii="Arial" w:eastAsia="Calibri" w:hAnsi="Arial" w:hint="cs"/>
          <w:sz w:val="27"/>
          <w:rtl/>
          <w:lang w:bidi="ar-LB"/>
        </w:rPr>
        <w:t>ّ</w:t>
      </w:r>
      <w:r w:rsidRPr="006571AC">
        <w:rPr>
          <w:rFonts w:ascii="Arial" w:eastAsia="Calibri" w:hAnsi="Arial" w:hint="cs"/>
          <w:sz w:val="27"/>
          <w:rtl/>
          <w:lang w:bidi="ar-LB"/>
        </w:rPr>
        <w:t>د الإخبار عم</w:t>
      </w:r>
      <w:r w:rsidR="00987FAA" w:rsidRPr="006571AC">
        <w:rPr>
          <w:rFonts w:ascii="Arial" w:eastAsia="Calibri" w:hAnsi="Arial" w:hint="cs"/>
          <w:sz w:val="27"/>
          <w:rtl/>
          <w:lang w:bidi="ar-LB"/>
        </w:rPr>
        <w:t>ّ</w:t>
      </w:r>
      <w:r w:rsidRPr="006571AC">
        <w:rPr>
          <w:rFonts w:ascii="Arial" w:eastAsia="Calibri" w:hAnsi="Arial" w:hint="cs"/>
          <w:sz w:val="27"/>
          <w:rtl/>
          <w:lang w:bidi="ar-LB"/>
        </w:rPr>
        <w:t>ا ورد في كتاب، ولو قصد الناقل ذلك فإن المتلق</w:t>
      </w:r>
      <w:r w:rsidR="00987FAA" w:rsidRPr="006571AC">
        <w:rPr>
          <w:rFonts w:ascii="Arial" w:eastAsia="Calibri" w:hAnsi="Arial" w:hint="cs"/>
          <w:sz w:val="27"/>
          <w:rtl/>
          <w:lang w:bidi="ar-LB"/>
        </w:rPr>
        <w:t>ّ</w:t>
      </w:r>
      <w:r w:rsidRPr="006571AC">
        <w:rPr>
          <w:rFonts w:ascii="Arial" w:eastAsia="Calibri" w:hAnsi="Arial" w:hint="cs"/>
          <w:sz w:val="27"/>
          <w:rtl/>
          <w:lang w:bidi="ar-LB"/>
        </w:rPr>
        <w:t>ي لا يلتفت إليه</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و</w:t>
      </w:r>
      <w:r w:rsidR="00731867" w:rsidRPr="006571AC">
        <w:rPr>
          <w:rFonts w:ascii="Arial" w:eastAsia="Calibri" w:hAnsi="Arial" w:hint="cs"/>
          <w:sz w:val="27"/>
          <w:rtl/>
          <w:lang w:bidi="ar-LB"/>
        </w:rPr>
        <w:t>لا سيَّما</w:t>
      </w:r>
      <w:r w:rsidRPr="006571AC">
        <w:rPr>
          <w:rFonts w:ascii="Arial" w:eastAsia="Calibri" w:hAnsi="Arial" w:hint="cs"/>
          <w:sz w:val="27"/>
          <w:rtl/>
          <w:lang w:bidi="ar-LB"/>
        </w:rPr>
        <w:t xml:space="preserve"> مع تكرار النقل أو الإيحاء من خلال ق</w:t>
      </w:r>
      <w:r w:rsidR="00987FAA" w:rsidRPr="006571AC">
        <w:rPr>
          <w:rFonts w:ascii="Arial" w:eastAsia="Calibri" w:hAnsi="Arial" w:hint="cs"/>
          <w:sz w:val="27"/>
          <w:rtl/>
          <w:lang w:bidi="ar-LB"/>
        </w:rPr>
        <w:t>َ</w:t>
      </w:r>
      <w:r w:rsidRPr="006571AC">
        <w:rPr>
          <w:rFonts w:ascii="Arial" w:eastAsia="Calibri" w:hAnsi="Arial" w:hint="cs"/>
          <w:sz w:val="27"/>
          <w:rtl/>
          <w:lang w:bidi="ar-LB"/>
        </w:rPr>
        <w:t>س</w:t>
      </w:r>
      <w:r w:rsidR="00987FAA" w:rsidRPr="006571AC">
        <w:rPr>
          <w:rFonts w:ascii="Arial" w:eastAsia="Calibri" w:hAnsi="Arial" w:hint="cs"/>
          <w:sz w:val="27"/>
          <w:rtl/>
          <w:lang w:bidi="ar-LB"/>
        </w:rPr>
        <w:t>َ</w:t>
      </w:r>
      <w:r w:rsidRPr="006571AC">
        <w:rPr>
          <w:rFonts w:ascii="Arial" w:eastAsia="Calibri" w:hAnsi="Arial" w:hint="cs"/>
          <w:sz w:val="27"/>
          <w:rtl/>
          <w:lang w:bidi="ar-LB"/>
        </w:rPr>
        <w:t>مات الوجه وطريقة التعبير بكون الخبر معتبراً ومطابقاً للواقع. والذي يدفع الخطيب إلى ذلك أنه لا يرغب في تسر</w:t>
      </w:r>
      <w:r w:rsidR="00987FAA" w:rsidRPr="006571AC">
        <w:rPr>
          <w:rFonts w:ascii="Arial" w:eastAsia="Calibri" w:hAnsi="Arial" w:hint="cs"/>
          <w:sz w:val="27"/>
          <w:rtl/>
          <w:lang w:bidi="ar-LB"/>
        </w:rPr>
        <w:t>ُّ</w:t>
      </w:r>
      <w:r w:rsidRPr="006571AC">
        <w:rPr>
          <w:rFonts w:ascii="Arial" w:eastAsia="Calibri" w:hAnsi="Arial" w:hint="cs"/>
          <w:sz w:val="27"/>
          <w:rtl/>
          <w:lang w:bidi="ar-LB"/>
        </w:rPr>
        <w:t>ب الشك</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إلى كلامه، وعام</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ة الناس لا يلتفتون إلى أنّه بقوله: </w:t>
      </w:r>
      <w:r w:rsidRPr="006571AC">
        <w:rPr>
          <w:rFonts w:hint="eastAsia"/>
          <w:sz w:val="24"/>
          <w:szCs w:val="24"/>
          <w:rtl/>
          <w:lang w:bidi="ar-LB"/>
        </w:rPr>
        <w:t>«</w:t>
      </w:r>
      <w:r w:rsidRPr="006571AC">
        <w:rPr>
          <w:rFonts w:ascii="Arial" w:eastAsia="Calibri" w:hAnsi="Arial" w:hint="cs"/>
          <w:sz w:val="27"/>
          <w:rtl/>
          <w:lang w:bidi="ar-LB"/>
        </w:rPr>
        <w:t>روى فلان</w:t>
      </w:r>
      <w:r w:rsidRPr="006571AC">
        <w:rPr>
          <w:rFonts w:hint="eastAsia"/>
          <w:sz w:val="24"/>
          <w:szCs w:val="24"/>
          <w:rtl/>
        </w:rPr>
        <w:t>»</w:t>
      </w:r>
      <w:r w:rsidRPr="006571AC">
        <w:rPr>
          <w:rFonts w:ascii="Arial" w:eastAsia="Calibri" w:hAnsi="Arial" w:hint="cs"/>
          <w:sz w:val="27"/>
          <w:rtl/>
          <w:lang w:bidi="ar-LB"/>
        </w:rPr>
        <w:t xml:space="preserve"> ونحوه لا يضمن لهم صح</w:t>
      </w:r>
      <w:r w:rsidR="00987FAA" w:rsidRPr="006571AC">
        <w:rPr>
          <w:rFonts w:ascii="Arial" w:eastAsia="Calibri" w:hAnsi="Arial" w:hint="cs"/>
          <w:sz w:val="27"/>
          <w:rtl/>
          <w:lang w:bidi="ar-LB"/>
        </w:rPr>
        <w:t>ّ</w:t>
      </w:r>
      <w:r w:rsidRPr="006571AC">
        <w:rPr>
          <w:rFonts w:ascii="Arial" w:eastAsia="Calibri" w:hAnsi="Arial" w:hint="cs"/>
          <w:sz w:val="27"/>
          <w:rtl/>
          <w:lang w:bidi="ar-LB"/>
        </w:rPr>
        <w:t>ة النقل، ويجعل الع</w:t>
      </w:r>
      <w:r w:rsidR="00357822" w:rsidRPr="006571AC">
        <w:rPr>
          <w:rFonts w:ascii="Arial" w:eastAsia="Calibri" w:hAnsi="Arial" w:hint="cs"/>
          <w:sz w:val="27"/>
          <w:rtl/>
          <w:lang w:bidi="ar-LB"/>
        </w:rPr>
        <w:t>ُ</w:t>
      </w:r>
      <w:r w:rsidRPr="006571AC">
        <w:rPr>
          <w:rFonts w:ascii="Arial" w:eastAsia="Calibri" w:hAnsi="Arial" w:hint="cs"/>
          <w:sz w:val="27"/>
          <w:rtl/>
          <w:lang w:bidi="ar-LB"/>
        </w:rPr>
        <w:t>ه</w:t>
      </w:r>
      <w:r w:rsidR="00357822" w:rsidRPr="006571AC">
        <w:rPr>
          <w:rFonts w:ascii="Arial" w:eastAsia="Calibri" w:hAnsi="Arial" w:hint="cs"/>
          <w:sz w:val="27"/>
          <w:rtl/>
          <w:lang w:bidi="ar-LB"/>
        </w:rPr>
        <w:t>ْ</w:t>
      </w:r>
      <w:r w:rsidRPr="006571AC">
        <w:rPr>
          <w:rFonts w:ascii="Arial" w:eastAsia="Calibri" w:hAnsi="Arial" w:hint="cs"/>
          <w:sz w:val="27"/>
          <w:rtl/>
          <w:lang w:bidi="ar-LB"/>
        </w:rPr>
        <w:t>دة على الراوي، وهذا ما يجعل الخبر ي</w:t>
      </w:r>
      <w:r w:rsidRPr="006571AC">
        <w:rPr>
          <w:rFonts w:ascii="Arial" w:eastAsia="Calibri" w:hAnsi="Arial"/>
          <w:sz w:val="27"/>
          <w:rtl/>
          <w:lang w:bidi="ar-LB"/>
        </w:rPr>
        <w:t>لقى رواجاً إلى حد</w:t>
      </w:r>
      <w:r w:rsidR="00357822" w:rsidRPr="006571AC">
        <w:rPr>
          <w:rFonts w:ascii="Arial" w:eastAsia="Calibri" w:hAnsi="Arial" w:hint="cs"/>
          <w:sz w:val="27"/>
          <w:rtl/>
          <w:lang w:bidi="ar-LB"/>
        </w:rPr>
        <w:t>ّ</w:t>
      </w:r>
      <w:r w:rsidRPr="006571AC">
        <w:rPr>
          <w:rFonts w:ascii="Arial" w:eastAsia="Calibri" w:hAnsi="Arial"/>
          <w:sz w:val="27"/>
          <w:rtl/>
          <w:lang w:bidi="ar-LB"/>
        </w:rPr>
        <w:t xml:space="preserve"> ال</w:t>
      </w:r>
      <w:r w:rsidRPr="006571AC">
        <w:rPr>
          <w:rFonts w:ascii="Arial" w:eastAsia="Calibri" w:hAnsi="Arial" w:hint="cs"/>
          <w:sz w:val="27"/>
          <w:rtl/>
          <w:lang w:bidi="ar-LB"/>
        </w:rPr>
        <w:t>تصديق به</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وتصو</w:t>
      </w:r>
      <w:r w:rsidR="00987FAA" w:rsidRPr="006571AC">
        <w:rPr>
          <w:rFonts w:ascii="Arial" w:eastAsia="Calibri" w:hAnsi="Arial" w:hint="cs"/>
          <w:sz w:val="27"/>
          <w:rtl/>
          <w:lang w:bidi="ar-LB"/>
        </w:rPr>
        <w:t>ُّ</w:t>
      </w:r>
      <w:r w:rsidRPr="006571AC">
        <w:rPr>
          <w:rFonts w:ascii="Arial" w:eastAsia="Calibri" w:hAnsi="Arial" w:hint="cs"/>
          <w:sz w:val="27"/>
          <w:rtl/>
          <w:lang w:bidi="ar-LB"/>
        </w:rPr>
        <w:t>ر أنّه يمث</w:t>
      </w:r>
      <w:r w:rsidR="00987FAA" w:rsidRPr="006571AC">
        <w:rPr>
          <w:rFonts w:ascii="Arial" w:eastAsia="Calibri" w:hAnsi="Arial" w:hint="cs"/>
          <w:sz w:val="27"/>
          <w:rtl/>
          <w:lang w:bidi="ar-LB"/>
        </w:rPr>
        <w:t>ِّ</w:t>
      </w:r>
      <w:r w:rsidRPr="006571AC">
        <w:rPr>
          <w:rFonts w:ascii="Arial" w:eastAsia="Calibri" w:hAnsi="Arial" w:hint="cs"/>
          <w:sz w:val="27"/>
          <w:rtl/>
          <w:lang w:bidi="ar-LB"/>
        </w:rPr>
        <w:t>ل الحقيقة</w:t>
      </w:r>
      <w:r w:rsidRPr="006571AC">
        <w:rPr>
          <w:rFonts w:ascii="Arial" w:eastAsia="Calibri" w:hAnsi="Arial"/>
          <w:sz w:val="27"/>
          <w:rtl/>
          <w:lang w:bidi="ar-LB"/>
        </w:rPr>
        <w:t xml:space="preserve">، </w:t>
      </w:r>
      <w:r w:rsidRPr="006571AC">
        <w:rPr>
          <w:rFonts w:ascii="Arial" w:eastAsia="Calibri" w:hAnsi="Arial" w:hint="cs"/>
          <w:sz w:val="27"/>
          <w:rtl/>
          <w:lang w:bidi="ar-LB"/>
        </w:rPr>
        <w:t>ولذا ي</w:t>
      </w:r>
      <w:r w:rsidRPr="006571AC">
        <w:rPr>
          <w:rFonts w:ascii="Arial" w:eastAsia="Calibri" w:hAnsi="Arial"/>
          <w:sz w:val="27"/>
          <w:rtl/>
          <w:lang w:bidi="ar-LB"/>
        </w:rPr>
        <w:t>صعب</w:t>
      </w:r>
      <w:r w:rsidRPr="006571AC">
        <w:rPr>
          <w:rFonts w:ascii="Arial" w:eastAsia="Calibri" w:hAnsi="Arial" w:hint="cs"/>
          <w:sz w:val="27"/>
          <w:rtl/>
          <w:lang w:bidi="ar-LB"/>
        </w:rPr>
        <w:t xml:space="preserve"> بعد ذلك </w:t>
      </w:r>
      <w:r w:rsidRPr="006571AC">
        <w:rPr>
          <w:rFonts w:ascii="Arial" w:eastAsia="Calibri" w:hAnsi="Arial"/>
          <w:sz w:val="27"/>
          <w:rtl/>
          <w:lang w:bidi="ar-LB"/>
        </w:rPr>
        <w:t>نقد</w:t>
      </w:r>
      <w:r w:rsidRPr="006571AC">
        <w:rPr>
          <w:rFonts w:ascii="Arial" w:eastAsia="Calibri" w:hAnsi="Arial" w:hint="cs"/>
          <w:sz w:val="27"/>
          <w:rtl/>
          <w:lang w:bidi="ar-LB"/>
        </w:rPr>
        <w:t>ه</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بسبب ترس</w:t>
      </w:r>
      <w:r w:rsidR="00251317" w:rsidRPr="006571AC">
        <w:rPr>
          <w:rFonts w:ascii="Arial" w:eastAsia="Calibri" w:hAnsi="Arial" w:hint="cs"/>
          <w:sz w:val="27"/>
          <w:rtl/>
          <w:lang w:bidi="ar-LB"/>
        </w:rPr>
        <w:t>ُّ</w:t>
      </w:r>
      <w:r w:rsidRPr="006571AC">
        <w:rPr>
          <w:rFonts w:ascii="Arial" w:eastAsia="Calibri" w:hAnsi="Arial" w:hint="cs"/>
          <w:sz w:val="27"/>
          <w:rtl/>
          <w:lang w:bidi="ar-LB"/>
        </w:rPr>
        <w:t>خه في الأذهان، والخطيب هو م</w:t>
      </w:r>
      <w:r w:rsidR="00251317" w:rsidRPr="006571AC">
        <w:rPr>
          <w:rFonts w:ascii="Arial" w:eastAsia="Calibri" w:hAnsi="Arial" w:hint="cs"/>
          <w:sz w:val="27"/>
          <w:rtl/>
          <w:lang w:bidi="ar-LB"/>
        </w:rPr>
        <w:t>َ</w:t>
      </w:r>
      <w:r w:rsidRPr="006571AC">
        <w:rPr>
          <w:rFonts w:ascii="Arial" w:eastAsia="Calibri" w:hAnsi="Arial" w:hint="cs"/>
          <w:sz w:val="27"/>
          <w:rtl/>
          <w:lang w:bidi="ar-LB"/>
        </w:rPr>
        <w:t>ن</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أسهم في هذا الترس</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خ.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ومنه يت</w:t>
      </w:r>
      <w:r w:rsidR="00251317" w:rsidRPr="006571AC">
        <w:rPr>
          <w:rFonts w:ascii="Arial" w:eastAsia="Calibri" w:hAnsi="Arial" w:hint="cs"/>
          <w:sz w:val="27"/>
          <w:rtl/>
          <w:lang w:bidi="ar-LB"/>
        </w:rPr>
        <w:t>ّ</w:t>
      </w:r>
      <w:r w:rsidRPr="006571AC">
        <w:rPr>
          <w:rFonts w:ascii="Arial" w:eastAsia="Calibri" w:hAnsi="Arial" w:hint="cs"/>
          <w:sz w:val="27"/>
          <w:rtl/>
          <w:lang w:bidi="ar-LB"/>
        </w:rPr>
        <w:t>ضح أن عدم قصد المطابقة لا يكفي، بل هو أكثر إشكالاً من طريقة النقل من كتاب</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والإحالة إليه.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 xml:space="preserve">الملاحظة الثانية: </w:t>
      </w:r>
      <w:r w:rsidRPr="006571AC">
        <w:rPr>
          <w:rFonts w:ascii="Arial" w:eastAsia="Calibri" w:hAnsi="Arial" w:hint="cs"/>
          <w:sz w:val="27"/>
          <w:rtl/>
          <w:lang w:bidi="ar-LB"/>
        </w:rPr>
        <w:t>إنّ إشكالية نقل الأخبار من الكتب غير المعتبرة وروايتها للناس لا تنحصر بالإشكال الشرعي</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الذي يقع فيه الناقل</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وأنه في حال نقل على نحو الج</w:t>
      </w:r>
      <w:r w:rsidR="00357822" w:rsidRPr="006571AC">
        <w:rPr>
          <w:rFonts w:ascii="Arial" w:eastAsia="Calibri" w:hAnsi="Arial" w:hint="cs"/>
          <w:sz w:val="27"/>
          <w:rtl/>
          <w:lang w:bidi="ar-LB"/>
        </w:rPr>
        <w:t>َ</w:t>
      </w:r>
      <w:r w:rsidRPr="006571AC">
        <w:rPr>
          <w:rFonts w:ascii="Arial" w:eastAsia="Calibri" w:hAnsi="Arial" w:hint="cs"/>
          <w:sz w:val="27"/>
          <w:rtl/>
          <w:lang w:bidi="ar-LB"/>
        </w:rPr>
        <w:t>ز</w:t>
      </w:r>
      <w:r w:rsidR="00357822" w:rsidRPr="006571AC">
        <w:rPr>
          <w:rFonts w:ascii="Arial" w:eastAsia="Calibri" w:hAnsi="Arial" w:hint="cs"/>
          <w:sz w:val="27"/>
          <w:rtl/>
          <w:lang w:bidi="ar-LB"/>
        </w:rPr>
        <w:t>ْ</w:t>
      </w:r>
      <w:r w:rsidRPr="006571AC">
        <w:rPr>
          <w:rFonts w:ascii="Arial" w:eastAsia="Calibri" w:hAnsi="Arial" w:hint="cs"/>
          <w:sz w:val="27"/>
          <w:rtl/>
          <w:lang w:bidi="ar-LB"/>
        </w:rPr>
        <w:t>م فقد ق</w:t>
      </w:r>
      <w:r w:rsidR="00251317" w:rsidRPr="006571AC">
        <w:rPr>
          <w:rFonts w:ascii="Arial" w:eastAsia="Calibri" w:hAnsi="Arial" w:hint="cs"/>
          <w:sz w:val="27"/>
          <w:rtl/>
          <w:lang w:bidi="ar-LB"/>
        </w:rPr>
        <w:t>َ</w:t>
      </w:r>
      <w:r w:rsidRPr="006571AC">
        <w:rPr>
          <w:rFonts w:ascii="Arial" w:eastAsia="Calibri" w:hAnsi="Arial" w:hint="cs"/>
          <w:sz w:val="27"/>
          <w:rtl/>
          <w:lang w:bidi="ar-LB"/>
        </w:rPr>
        <w:t>ف</w:t>
      </w:r>
      <w:r w:rsidR="00251317" w:rsidRPr="006571AC">
        <w:rPr>
          <w:rFonts w:ascii="Arial" w:eastAsia="Calibri" w:hAnsi="Arial" w:hint="cs"/>
          <w:sz w:val="27"/>
          <w:rtl/>
          <w:lang w:bidi="ar-LB"/>
        </w:rPr>
        <w:t>َ</w:t>
      </w:r>
      <w:r w:rsidRPr="006571AC">
        <w:rPr>
          <w:rFonts w:ascii="Arial" w:eastAsia="Calibri" w:hAnsi="Arial" w:hint="cs"/>
          <w:sz w:val="27"/>
          <w:rtl/>
          <w:lang w:bidi="ar-LB"/>
        </w:rPr>
        <w:t>ا ما ليس له به علم</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ووقع في الكذب، ومن هنا نحاول إيجاد مخرج</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شرعي له بأن لا ينقل الخبر بعنوان الورود والج</w:t>
      </w:r>
      <w:r w:rsidR="00251317" w:rsidRPr="006571AC">
        <w:rPr>
          <w:rFonts w:ascii="Arial" w:eastAsia="Calibri" w:hAnsi="Arial" w:hint="cs"/>
          <w:sz w:val="27"/>
          <w:rtl/>
          <w:lang w:bidi="ar-LB"/>
        </w:rPr>
        <w:t>َ</w:t>
      </w:r>
      <w:r w:rsidRPr="006571AC">
        <w:rPr>
          <w:rFonts w:ascii="Arial" w:eastAsia="Calibri" w:hAnsi="Arial" w:hint="cs"/>
          <w:sz w:val="27"/>
          <w:rtl/>
          <w:lang w:bidi="ar-LB"/>
        </w:rPr>
        <w:t>ز</w:t>
      </w:r>
      <w:r w:rsidR="00251317" w:rsidRPr="006571AC">
        <w:rPr>
          <w:rFonts w:ascii="Arial" w:eastAsia="Calibri" w:hAnsi="Arial" w:hint="cs"/>
          <w:sz w:val="27"/>
          <w:rtl/>
          <w:lang w:bidi="ar-LB"/>
        </w:rPr>
        <w:t>ْ</w:t>
      </w:r>
      <w:r w:rsidRPr="006571AC">
        <w:rPr>
          <w:rFonts w:ascii="Arial" w:eastAsia="Calibri" w:hAnsi="Arial" w:hint="cs"/>
          <w:sz w:val="27"/>
          <w:rtl/>
          <w:lang w:bidi="ar-LB"/>
        </w:rPr>
        <w:t>م، وإنما ينقل من كتاب</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إنّ الإشكاليّة أوسع من ذلك بكثير</w:t>
      </w:r>
      <w:r w:rsidR="00251317" w:rsidRPr="006571AC">
        <w:rPr>
          <w:rFonts w:ascii="Arial" w:eastAsia="Calibri" w:hAnsi="Arial" w:hint="cs"/>
          <w:sz w:val="27"/>
          <w:rtl/>
          <w:lang w:bidi="ar-LB"/>
        </w:rPr>
        <w:t>ٍ</w:t>
      </w:r>
      <w:r w:rsidRPr="006571AC">
        <w:rPr>
          <w:rFonts w:ascii="Arial" w:eastAsia="Calibri" w:hAnsi="Arial" w:hint="cs"/>
          <w:sz w:val="27"/>
          <w:rtl/>
          <w:lang w:bidi="ar-LB"/>
        </w:rPr>
        <w:t>، وهي دون شك</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تتعد</w:t>
      </w:r>
      <w:r w:rsidR="00251317" w:rsidRPr="006571AC">
        <w:rPr>
          <w:rFonts w:ascii="Arial" w:eastAsia="Calibri" w:hAnsi="Arial" w:hint="cs"/>
          <w:sz w:val="27"/>
          <w:rtl/>
          <w:lang w:bidi="ar-LB"/>
        </w:rPr>
        <w:t>ّ</w:t>
      </w:r>
      <w:r w:rsidRPr="006571AC">
        <w:rPr>
          <w:rFonts w:ascii="Arial" w:eastAsia="Calibri" w:hAnsi="Arial" w:hint="cs"/>
          <w:sz w:val="27"/>
          <w:rtl/>
          <w:lang w:bidi="ar-LB"/>
        </w:rPr>
        <w:t>ى هذا الحد</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فهي ـ من جهة</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ـ تت</w:t>
      </w:r>
      <w:r w:rsidR="00251317" w:rsidRPr="006571AC">
        <w:rPr>
          <w:rFonts w:ascii="Arial" w:eastAsia="Calibri" w:hAnsi="Arial" w:hint="cs"/>
          <w:sz w:val="27"/>
          <w:rtl/>
          <w:lang w:bidi="ar-LB"/>
        </w:rPr>
        <w:t>َّ</w:t>
      </w:r>
      <w:r w:rsidRPr="006571AC">
        <w:rPr>
          <w:rFonts w:ascii="Arial" w:eastAsia="Calibri" w:hAnsi="Arial" w:hint="cs"/>
          <w:sz w:val="27"/>
          <w:rtl/>
          <w:lang w:bidi="ar-LB"/>
        </w:rPr>
        <w:t>صل بالصورة الحقيقية لتاريخنا الإسلامي</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والتي هي صورة</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لها انعكاسها على مفاهيمنا وق</w:t>
      </w:r>
      <w:r w:rsidR="00251317" w:rsidRPr="006571AC">
        <w:rPr>
          <w:rFonts w:ascii="Arial" w:eastAsia="Calibri" w:hAnsi="Arial" w:hint="cs"/>
          <w:sz w:val="27"/>
          <w:rtl/>
          <w:lang w:bidi="ar-LB"/>
        </w:rPr>
        <w:t>ِ</w:t>
      </w:r>
      <w:r w:rsidRPr="006571AC">
        <w:rPr>
          <w:rFonts w:ascii="Arial" w:eastAsia="Calibri" w:hAnsi="Arial" w:hint="cs"/>
          <w:sz w:val="27"/>
          <w:rtl/>
          <w:lang w:bidi="ar-LB"/>
        </w:rPr>
        <w:t>ي</w:t>
      </w:r>
      <w:r w:rsidR="00251317" w:rsidRPr="006571AC">
        <w:rPr>
          <w:rFonts w:ascii="Arial" w:eastAsia="Calibri" w:hAnsi="Arial" w:hint="cs"/>
          <w:sz w:val="27"/>
          <w:rtl/>
          <w:lang w:bidi="ar-LB"/>
        </w:rPr>
        <w:t>َ</w:t>
      </w:r>
      <w:r w:rsidRPr="006571AC">
        <w:rPr>
          <w:rFonts w:ascii="Arial" w:eastAsia="Calibri" w:hAnsi="Arial" w:hint="cs"/>
          <w:sz w:val="27"/>
          <w:rtl/>
          <w:lang w:bidi="ar-LB"/>
        </w:rPr>
        <w:t>منا وم</w:t>
      </w:r>
      <w:r w:rsidR="00251317" w:rsidRPr="006571AC">
        <w:rPr>
          <w:rFonts w:ascii="Arial" w:eastAsia="Calibri" w:hAnsi="Arial" w:hint="cs"/>
          <w:sz w:val="27"/>
          <w:rtl/>
          <w:lang w:bidi="ar-LB"/>
        </w:rPr>
        <w:t>ُ</w:t>
      </w:r>
      <w:r w:rsidRPr="006571AC">
        <w:rPr>
          <w:rFonts w:ascii="Arial" w:eastAsia="Calibri" w:hAnsi="Arial" w:hint="cs"/>
          <w:sz w:val="27"/>
          <w:rtl/>
          <w:lang w:bidi="ar-LB"/>
        </w:rPr>
        <w:t>ث</w:t>
      </w:r>
      <w:r w:rsidR="00251317" w:rsidRPr="006571AC">
        <w:rPr>
          <w:rFonts w:ascii="Arial" w:eastAsia="Calibri" w:hAnsi="Arial" w:hint="cs"/>
          <w:sz w:val="27"/>
          <w:rtl/>
          <w:lang w:bidi="ar-LB"/>
        </w:rPr>
        <w:t>ُ</w:t>
      </w:r>
      <w:r w:rsidRPr="006571AC">
        <w:rPr>
          <w:rFonts w:ascii="Arial" w:eastAsia="Calibri" w:hAnsi="Arial" w:hint="cs"/>
          <w:sz w:val="27"/>
          <w:rtl/>
          <w:lang w:bidi="ar-LB"/>
        </w:rPr>
        <w:t>لنا العليا، وتمس</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أحيانا</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قضايا الاعتقاد والتشريع، وتت</w:t>
      </w:r>
      <w:r w:rsidR="00251317" w:rsidRPr="006571AC">
        <w:rPr>
          <w:rFonts w:ascii="Arial" w:eastAsia="Calibri" w:hAnsi="Arial" w:hint="cs"/>
          <w:sz w:val="27"/>
          <w:rtl/>
          <w:lang w:bidi="ar-LB"/>
        </w:rPr>
        <w:t>ّ</w:t>
      </w:r>
      <w:r w:rsidRPr="006571AC">
        <w:rPr>
          <w:rFonts w:ascii="Arial" w:eastAsia="Calibri" w:hAnsi="Arial" w:hint="cs"/>
          <w:sz w:val="27"/>
          <w:rtl/>
          <w:lang w:bidi="ar-LB"/>
        </w:rPr>
        <w:t>صل بتربيتنا الدينية</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وهي ـ من جهة</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أخرى ـ تت</w:t>
      </w:r>
      <w:r w:rsidR="00251317" w:rsidRPr="006571AC">
        <w:rPr>
          <w:rFonts w:ascii="Arial" w:eastAsia="Calibri" w:hAnsi="Arial" w:hint="cs"/>
          <w:sz w:val="27"/>
          <w:rtl/>
          <w:lang w:bidi="ar-LB"/>
        </w:rPr>
        <w:t>ّ</w:t>
      </w:r>
      <w:r w:rsidRPr="006571AC">
        <w:rPr>
          <w:rFonts w:ascii="Arial" w:eastAsia="Calibri" w:hAnsi="Arial" w:hint="cs"/>
          <w:sz w:val="27"/>
          <w:rtl/>
          <w:lang w:bidi="ar-LB"/>
        </w:rPr>
        <w:t>صل بكيفية رد</w:t>
      </w:r>
      <w:r w:rsidR="00251317" w:rsidRPr="006571AC">
        <w:rPr>
          <w:rFonts w:ascii="Arial" w:eastAsia="Calibri" w:hAnsi="Arial" w:hint="cs"/>
          <w:sz w:val="27"/>
          <w:rtl/>
          <w:lang w:bidi="ar-LB"/>
        </w:rPr>
        <w:t>ّ</w:t>
      </w:r>
      <w:r w:rsidRPr="006571AC">
        <w:rPr>
          <w:rFonts w:ascii="Arial" w:eastAsia="Calibri" w:hAnsi="Arial" w:hint="cs"/>
          <w:sz w:val="27"/>
          <w:rtl/>
          <w:lang w:bidi="ar-LB"/>
        </w:rPr>
        <w:t>ة فعل الجمهور المتلق</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ي لهذه الصورة </w:t>
      </w:r>
      <w:r w:rsidRPr="006571AC">
        <w:rPr>
          <w:rFonts w:ascii="Arial" w:eastAsia="Calibri" w:hAnsi="Arial" w:hint="cs"/>
          <w:sz w:val="27"/>
          <w:rtl/>
          <w:lang w:bidi="ar-LB"/>
        </w:rPr>
        <w:lastRenderedPageBreak/>
        <w:t>والمستمع لهذا الخطاب، أكان جمهوراً إسلامي</w:t>
      </w:r>
      <w:r w:rsidR="00251317" w:rsidRPr="006571AC">
        <w:rPr>
          <w:rFonts w:ascii="Arial" w:eastAsia="Calibri" w:hAnsi="Arial" w:hint="cs"/>
          <w:sz w:val="27"/>
          <w:rtl/>
          <w:lang w:bidi="ar-LB"/>
        </w:rPr>
        <w:t>ّ</w:t>
      </w:r>
      <w:r w:rsidRPr="006571AC">
        <w:rPr>
          <w:rFonts w:ascii="Arial" w:eastAsia="Calibri" w:hAnsi="Arial" w:hint="cs"/>
          <w:sz w:val="27"/>
          <w:rtl/>
          <w:lang w:bidi="ar-LB"/>
        </w:rPr>
        <w:t>اً أو غير إسلامي</w:t>
      </w:r>
      <w:r w:rsidR="00251317" w:rsidRPr="006571AC">
        <w:rPr>
          <w:rFonts w:ascii="Arial" w:eastAsia="Calibri" w:hAnsi="Arial" w:hint="cs"/>
          <w:sz w:val="27"/>
          <w:rtl/>
          <w:lang w:bidi="ar-LB"/>
        </w:rPr>
        <w:t>ّ</w:t>
      </w:r>
      <w:r w:rsidRPr="006571AC">
        <w:rPr>
          <w:rFonts w:ascii="Arial" w:eastAsia="Calibri" w:hAnsi="Arial" w:hint="cs"/>
          <w:sz w:val="27"/>
          <w:rtl/>
          <w:lang w:bidi="ar-LB"/>
        </w:rPr>
        <w:t>، فما هو التأثير والصدى الذي يتركه مثل هذا الخطاب العام</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غير المتثب</w:t>
      </w:r>
      <w:r w:rsidR="00251317" w:rsidRPr="006571AC">
        <w:rPr>
          <w:rFonts w:ascii="Arial" w:eastAsia="Calibri" w:hAnsi="Arial" w:hint="cs"/>
          <w:sz w:val="27"/>
          <w:rtl/>
          <w:lang w:bidi="ar-LB"/>
        </w:rPr>
        <w:t>ِّ</w:t>
      </w:r>
      <w:r w:rsidRPr="006571AC">
        <w:rPr>
          <w:rFonts w:ascii="Arial" w:eastAsia="Calibri" w:hAnsi="Arial" w:hint="cs"/>
          <w:sz w:val="27"/>
          <w:rtl/>
          <w:lang w:bidi="ar-LB"/>
        </w:rPr>
        <w:t>ت في نقل وقائع التاريخ، وجلُّ اعتماده على الأخبار غير المعتبرة، ولو نقلها المُخ</w:t>
      </w:r>
      <w:r w:rsidR="000B45A4" w:rsidRPr="006571AC">
        <w:rPr>
          <w:rFonts w:ascii="Arial" w:eastAsia="Calibri" w:hAnsi="Arial" w:hint="cs"/>
          <w:sz w:val="27"/>
          <w:rtl/>
          <w:lang w:bidi="ar-LB"/>
        </w:rPr>
        <w:t>ْ</w:t>
      </w:r>
      <w:r w:rsidRPr="006571AC">
        <w:rPr>
          <w:rFonts w:ascii="Arial" w:eastAsia="Calibri" w:hAnsi="Arial" w:hint="cs"/>
          <w:sz w:val="27"/>
          <w:rtl/>
          <w:lang w:bidi="ar-LB"/>
        </w:rPr>
        <w:t>ب</w:t>
      </w:r>
      <w:r w:rsidR="000B45A4" w:rsidRPr="006571AC">
        <w:rPr>
          <w:rFonts w:ascii="Arial" w:eastAsia="Calibri" w:hAnsi="Arial" w:hint="cs"/>
          <w:sz w:val="27"/>
          <w:rtl/>
          <w:lang w:bidi="ar-LB"/>
        </w:rPr>
        <w:t>ِ</w:t>
      </w:r>
      <w:r w:rsidRPr="006571AC">
        <w:rPr>
          <w:rFonts w:ascii="Arial" w:eastAsia="Calibri" w:hAnsi="Arial" w:hint="cs"/>
          <w:sz w:val="27"/>
          <w:rtl/>
          <w:lang w:bidi="ar-LB"/>
        </w:rPr>
        <w:t>ر بعنوان: جاء في الكتاب الفلاني، أو ذكر الراوي الفلاني</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هل تمّ رصد تلك الآثار والتداعيات؟ إنّ ما نلاحظه هو نفور كثير</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من المسلمين</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فضلاً عن غيرهم</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من مثل هذا الخطاب، وات</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هامه باعتماد الخرافة في تثقيف الناس، والكذب في نقل الأحداث والوقائع.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إنّ من الغرابة بمكان</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أن تجد في الأم</w:t>
      </w:r>
      <w:r w:rsidR="000B45A4" w:rsidRPr="006571AC">
        <w:rPr>
          <w:rFonts w:ascii="Arial" w:eastAsia="Calibri" w:hAnsi="Arial" w:hint="cs"/>
          <w:sz w:val="27"/>
          <w:rtl/>
          <w:lang w:bidi="ar-LB"/>
        </w:rPr>
        <w:t>ّ</w:t>
      </w:r>
      <w:r w:rsidRPr="006571AC">
        <w:rPr>
          <w:rFonts w:ascii="Arial" w:eastAsia="Calibri" w:hAnsi="Arial" w:hint="cs"/>
          <w:sz w:val="27"/>
          <w:rtl/>
          <w:lang w:bidi="ar-LB"/>
        </w:rPr>
        <w:t>ة مسار</w:t>
      </w:r>
      <w:r w:rsidR="000B45A4" w:rsidRPr="006571AC">
        <w:rPr>
          <w:rFonts w:ascii="Arial" w:eastAsia="Calibri" w:hAnsi="Arial" w:hint="cs"/>
          <w:sz w:val="27"/>
          <w:rtl/>
          <w:lang w:bidi="ar-LB"/>
        </w:rPr>
        <w:t>َ</w:t>
      </w:r>
      <w:r w:rsidRPr="006571AC">
        <w:rPr>
          <w:rFonts w:ascii="Arial" w:eastAsia="Calibri" w:hAnsi="Arial" w:hint="cs"/>
          <w:sz w:val="27"/>
          <w:rtl/>
          <w:lang w:bidi="ar-LB"/>
        </w:rPr>
        <w:t>ي</w:t>
      </w:r>
      <w:r w:rsidR="000B45A4" w:rsidRPr="006571AC">
        <w:rPr>
          <w:rFonts w:ascii="Arial" w:eastAsia="Calibri" w:hAnsi="Arial" w:hint="cs"/>
          <w:sz w:val="27"/>
          <w:rtl/>
          <w:lang w:bidi="ar-LB"/>
        </w:rPr>
        <w:t>ْ</w:t>
      </w:r>
      <w:r w:rsidRPr="006571AC">
        <w:rPr>
          <w:rFonts w:ascii="Arial" w:eastAsia="Calibri" w:hAnsi="Arial" w:hint="cs"/>
          <w:sz w:val="27"/>
          <w:rtl/>
          <w:lang w:bidi="ar-LB"/>
        </w:rPr>
        <w:t>ن يتحر</w:t>
      </w:r>
      <w:r w:rsidR="000B45A4" w:rsidRPr="006571AC">
        <w:rPr>
          <w:rFonts w:ascii="Arial" w:eastAsia="Calibri" w:hAnsi="Arial" w:hint="cs"/>
          <w:sz w:val="27"/>
          <w:rtl/>
          <w:lang w:bidi="ar-LB"/>
        </w:rPr>
        <w:t>َّ</w:t>
      </w:r>
      <w:r w:rsidRPr="006571AC">
        <w:rPr>
          <w:rFonts w:ascii="Arial" w:eastAsia="Calibri" w:hAnsi="Arial" w:hint="cs"/>
          <w:sz w:val="27"/>
          <w:rtl/>
          <w:lang w:bidi="ar-LB"/>
        </w:rPr>
        <w:t>كان بشكل</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متوازٍ في التعامل مع هذا التاريخ</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فثمة مسار</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تحقيقي ينطلق به بعض المحق</w:t>
      </w:r>
      <w:r w:rsidR="000B45A4" w:rsidRPr="006571AC">
        <w:rPr>
          <w:rFonts w:ascii="Arial" w:eastAsia="Calibri" w:hAnsi="Arial" w:hint="cs"/>
          <w:sz w:val="27"/>
          <w:rtl/>
          <w:lang w:bidi="ar-LB"/>
        </w:rPr>
        <w:t>ِّ</w:t>
      </w:r>
      <w:r w:rsidRPr="006571AC">
        <w:rPr>
          <w:rFonts w:ascii="Arial" w:eastAsia="Calibri" w:hAnsi="Arial" w:hint="cs"/>
          <w:sz w:val="27"/>
          <w:rtl/>
          <w:lang w:bidi="ar-LB"/>
        </w:rPr>
        <w:t>قين والباحثين</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وفي موازاته مسار</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آخر لا شغل له بالتحقيق والبحث، ولا يستفيد إلا</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لماماً من جهود المحق</w:t>
      </w:r>
      <w:r w:rsidR="000B45A4" w:rsidRPr="006571AC">
        <w:rPr>
          <w:rFonts w:ascii="Arial" w:eastAsia="Calibri" w:hAnsi="Arial" w:hint="cs"/>
          <w:sz w:val="27"/>
          <w:rtl/>
          <w:lang w:bidi="ar-LB"/>
        </w:rPr>
        <w:t>ِّ</w:t>
      </w:r>
      <w:r w:rsidRPr="006571AC">
        <w:rPr>
          <w:rFonts w:ascii="Arial" w:eastAsia="Calibri" w:hAnsi="Arial" w:hint="cs"/>
          <w:sz w:val="27"/>
          <w:rtl/>
          <w:lang w:bidi="ar-LB"/>
        </w:rPr>
        <w:t>قين ونتائج أبحاثهم، بل ر</w:t>
      </w:r>
      <w:r w:rsidR="000B45A4" w:rsidRPr="006571AC">
        <w:rPr>
          <w:rFonts w:ascii="Arial" w:eastAsia="Calibri" w:hAnsi="Arial" w:hint="cs"/>
          <w:sz w:val="27"/>
          <w:rtl/>
          <w:lang w:bidi="ar-LB"/>
        </w:rPr>
        <w:t>ُ</w:t>
      </w:r>
      <w:r w:rsidRPr="006571AC">
        <w:rPr>
          <w:rFonts w:ascii="Arial" w:eastAsia="Calibri" w:hAnsi="Arial" w:hint="cs"/>
          <w:sz w:val="27"/>
          <w:rtl/>
          <w:lang w:bidi="ar-LB"/>
        </w:rPr>
        <w:t>ب</w:t>
      </w:r>
      <w:r w:rsidR="000B45A4" w:rsidRPr="006571AC">
        <w:rPr>
          <w:rFonts w:ascii="Arial" w:eastAsia="Calibri" w:hAnsi="Arial" w:hint="cs"/>
          <w:sz w:val="27"/>
          <w:rtl/>
          <w:lang w:bidi="ar-LB"/>
        </w:rPr>
        <w:t>َ</w:t>
      </w:r>
      <w:r w:rsidRPr="006571AC">
        <w:rPr>
          <w:rFonts w:ascii="Arial" w:eastAsia="Calibri" w:hAnsi="Arial" w:hint="cs"/>
          <w:sz w:val="27"/>
          <w:rtl/>
          <w:lang w:bidi="ar-LB"/>
        </w:rPr>
        <w:t>ما رآها غير مفيدة</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لكونها تأتي على حساب خطابه العاطفي الذي يعتمد الإثارة. </w:t>
      </w:r>
    </w:p>
    <w:p w:rsidR="009B65D5" w:rsidRPr="006571AC" w:rsidRDefault="009B65D5" w:rsidP="002A2E03">
      <w:pPr>
        <w:rPr>
          <w:rFonts w:ascii="Arial" w:eastAsia="MS Mincho" w:hAnsi="Arial"/>
          <w:sz w:val="27"/>
          <w:rtl/>
        </w:rPr>
      </w:pPr>
      <w:r w:rsidRPr="006571AC">
        <w:rPr>
          <w:rFonts w:ascii="Arial" w:eastAsia="MS Mincho" w:hAnsi="Arial" w:hint="cs"/>
          <w:b/>
          <w:bCs/>
          <w:sz w:val="27"/>
          <w:rtl/>
        </w:rPr>
        <w:t>وأما الثالث</w:t>
      </w:r>
      <w:r w:rsidRPr="006571AC">
        <w:rPr>
          <w:rFonts w:ascii="Arial" w:eastAsia="MS Mincho" w:hAnsi="Arial" w:hint="cs"/>
          <w:sz w:val="27"/>
          <w:rtl/>
        </w:rPr>
        <w:t>، أعني معرفة التاريخ وما جرى خلاله من أحداث، فلا مجال للتعامل معه بتساهل</w:t>
      </w:r>
      <w:r w:rsidR="000B45A4" w:rsidRPr="006571AC">
        <w:rPr>
          <w:rFonts w:ascii="Arial" w:eastAsia="MS Mincho" w:hAnsi="Arial" w:hint="cs"/>
          <w:sz w:val="27"/>
          <w:rtl/>
        </w:rPr>
        <w:t>ٍ</w:t>
      </w:r>
      <w:r w:rsidRPr="006571AC">
        <w:rPr>
          <w:rFonts w:ascii="Arial" w:eastAsia="MS Mincho" w:hAnsi="Arial" w:hint="cs"/>
          <w:sz w:val="27"/>
          <w:rtl/>
        </w:rPr>
        <w:t xml:space="preserve"> وتسامح</w:t>
      </w:r>
      <w:r w:rsidR="000B45A4" w:rsidRPr="006571AC">
        <w:rPr>
          <w:rFonts w:ascii="Arial" w:eastAsia="MS Mincho" w:hAnsi="Arial" w:hint="cs"/>
          <w:sz w:val="27"/>
          <w:rtl/>
        </w:rPr>
        <w:t>ٍ</w:t>
      </w:r>
      <w:r w:rsidRPr="006571AC">
        <w:rPr>
          <w:rFonts w:ascii="Arial" w:eastAsia="MS Mincho" w:hAnsi="Arial" w:hint="cs"/>
          <w:sz w:val="27"/>
          <w:rtl/>
        </w:rPr>
        <w:t>، و</w:t>
      </w:r>
      <w:r w:rsidR="00731867" w:rsidRPr="006571AC">
        <w:rPr>
          <w:rFonts w:ascii="Arial" w:eastAsia="MS Mincho" w:hAnsi="Arial" w:hint="cs"/>
          <w:sz w:val="27"/>
          <w:rtl/>
        </w:rPr>
        <w:t>لا سيَّما</w:t>
      </w:r>
      <w:r w:rsidRPr="006571AC">
        <w:rPr>
          <w:rFonts w:ascii="Arial" w:eastAsia="MS Mincho" w:hAnsi="Arial" w:hint="cs"/>
          <w:sz w:val="27"/>
          <w:rtl/>
        </w:rPr>
        <w:t xml:space="preserve"> </w:t>
      </w:r>
      <w:r w:rsidR="000B45A4" w:rsidRPr="006571AC">
        <w:rPr>
          <w:rFonts w:ascii="Arial" w:eastAsia="MS Mincho" w:hAnsi="Arial" w:hint="cs"/>
          <w:sz w:val="27"/>
          <w:rtl/>
        </w:rPr>
        <w:t>بملاحظة ما اكتنفه من تلاعبٍ ودسٍّ</w:t>
      </w:r>
      <w:r w:rsidRPr="006571AC">
        <w:rPr>
          <w:rFonts w:ascii="Arial" w:eastAsia="MS Mincho" w:hAnsi="Arial" w:hint="cs"/>
          <w:sz w:val="27"/>
          <w:rtl/>
        </w:rPr>
        <w:t xml:space="preserve"> وطمس</w:t>
      </w:r>
      <w:r w:rsidR="000B45A4" w:rsidRPr="006571AC">
        <w:rPr>
          <w:rFonts w:ascii="Arial" w:eastAsia="MS Mincho" w:hAnsi="Arial" w:hint="cs"/>
          <w:sz w:val="27"/>
          <w:rtl/>
        </w:rPr>
        <w:t>ٍ</w:t>
      </w:r>
      <w:r w:rsidRPr="006571AC">
        <w:rPr>
          <w:rFonts w:ascii="Arial" w:eastAsia="MS Mincho" w:hAnsi="Arial" w:hint="cs"/>
          <w:sz w:val="27"/>
          <w:rtl/>
        </w:rPr>
        <w:t xml:space="preserve"> وتزوير للحقائق</w:t>
      </w:r>
      <w:r w:rsidR="00190B92" w:rsidRPr="006571AC">
        <w:rPr>
          <w:rFonts w:ascii="Arial" w:eastAsia="MS Mincho" w:hAnsi="Arial" w:hint="cs"/>
          <w:sz w:val="27"/>
          <w:rtl/>
        </w:rPr>
        <w:t>.</w:t>
      </w:r>
      <w:r w:rsidRPr="006571AC">
        <w:rPr>
          <w:rFonts w:ascii="Arial" w:eastAsia="MS Mincho" w:hAnsi="Arial" w:hint="cs"/>
          <w:sz w:val="27"/>
          <w:rtl/>
        </w:rPr>
        <w:t xml:space="preserve"> هذا ناهيك عن أنّ معظم ك</w:t>
      </w:r>
      <w:r w:rsidR="00190B92" w:rsidRPr="006571AC">
        <w:rPr>
          <w:rFonts w:ascii="Arial" w:eastAsia="MS Mincho" w:hAnsi="Arial" w:hint="cs"/>
          <w:sz w:val="27"/>
          <w:rtl/>
        </w:rPr>
        <w:t>ُ</w:t>
      </w:r>
      <w:r w:rsidRPr="006571AC">
        <w:rPr>
          <w:rFonts w:ascii="Arial" w:eastAsia="MS Mincho" w:hAnsi="Arial" w:hint="cs"/>
          <w:sz w:val="27"/>
          <w:rtl/>
        </w:rPr>
        <w:t>تّاب التاريخ كانوا يؤر</w:t>
      </w:r>
      <w:r w:rsidR="00190B92" w:rsidRPr="006571AC">
        <w:rPr>
          <w:rFonts w:ascii="Arial" w:eastAsia="MS Mincho" w:hAnsi="Arial" w:hint="cs"/>
          <w:sz w:val="27"/>
          <w:rtl/>
        </w:rPr>
        <w:t>ِّ</w:t>
      </w:r>
      <w:r w:rsidRPr="006571AC">
        <w:rPr>
          <w:rFonts w:ascii="Arial" w:eastAsia="MS Mincho" w:hAnsi="Arial" w:hint="cs"/>
          <w:sz w:val="27"/>
          <w:rtl/>
        </w:rPr>
        <w:t>خون للسل</w:t>
      </w:r>
      <w:r w:rsidR="00190B92" w:rsidRPr="006571AC">
        <w:rPr>
          <w:rFonts w:ascii="Arial" w:eastAsia="MS Mincho" w:hAnsi="Arial" w:hint="cs"/>
          <w:sz w:val="27"/>
          <w:rtl/>
        </w:rPr>
        <w:t>ا</w:t>
      </w:r>
      <w:r w:rsidRPr="006571AC">
        <w:rPr>
          <w:rFonts w:ascii="Arial" w:eastAsia="MS Mincho" w:hAnsi="Arial" w:hint="cs"/>
          <w:sz w:val="27"/>
          <w:rtl/>
        </w:rPr>
        <w:t>ط</w:t>
      </w:r>
      <w:r w:rsidR="00190B92" w:rsidRPr="006571AC">
        <w:rPr>
          <w:rFonts w:ascii="Arial" w:eastAsia="MS Mincho" w:hAnsi="Arial" w:hint="cs"/>
          <w:sz w:val="27"/>
          <w:rtl/>
        </w:rPr>
        <w:t>ي</w:t>
      </w:r>
      <w:r w:rsidRPr="006571AC">
        <w:rPr>
          <w:rFonts w:ascii="Arial" w:eastAsia="MS Mincho" w:hAnsi="Arial" w:hint="cs"/>
          <w:sz w:val="27"/>
          <w:rtl/>
        </w:rPr>
        <w:t>ن</w:t>
      </w:r>
      <w:r w:rsidR="00190B92" w:rsidRPr="006571AC">
        <w:rPr>
          <w:rFonts w:ascii="Arial" w:eastAsia="MS Mincho" w:hAnsi="Arial" w:hint="cs"/>
          <w:sz w:val="27"/>
          <w:rtl/>
        </w:rPr>
        <w:t>،</w:t>
      </w:r>
      <w:r w:rsidRPr="006571AC">
        <w:rPr>
          <w:rFonts w:ascii="Arial" w:eastAsia="MS Mincho" w:hAnsi="Arial" w:hint="cs"/>
          <w:sz w:val="27"/>
          <w:rtl/>
        </w:rPr>
        <w:t xml:space="preserve"> ويكتبون وفق أهوائهم.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والدعوة إلى التوث</w:t>
      </w:r>
      <w:r w:rsidR="00190B92" w:rsidRPr="006571AC">
        <w:rPr>
          <w:rFonts w:ascii="Arial" w:eastAsia="Calibri" w:hAnsi="Arial" w:hint="cs"/>
          <w:sz w:val="27"/>
          <w:rtl/>
          <w:lang w:bidi="ar-LB"/>
        </w:rPr>
        <w:t>ُّ</w:t>
      </w:r>
      <w:r w:rsidRPr="006571AC">
        <w:rPr>
          <w:rFonts w:ascii="Arial" w:eastAsia="Calibri" w:hAnsi="Arial" w:hint="cs"/>
          <w:sz w:val="27"/>
          <w:rtl/>
          <w:lang w:bidi="ar-LB"/>
        </w:rPr>
        <w:t>ق من الخبر التاريخي لن تؤد</w:t>
      </w:r>
      <w:r w:rsidR="00190B92" w:rsidRPr="006571AC">
        <w:rPr>
          <w:rFonts w:ascii="Arial" w:eastAsia="Calibri" w:hAnsi="Arial" w:hint="cs"/>
          <w:sz w:val="27"/>
          <w:rtl/>
          <w:lang w:bidi="ar-LB"/>
        </w:rPr>
        <w:t>ّ</w:t>
      </w:r>
      <w:r w:rsidRPr="006571AC">
        <w:rPr>
          <w:rFonts w:ascii="Arial" w:eastAsia="Calibri" w:hAnsi="Arial" w:hint="cs"/>
          <w:sz w:val="27"/>
          <w:rtl/>
          <w:lang w:bidi="ar-LB"/>
        </w:rPr>
        <w:t>ي إلى سدّ باب المعرفة بأحداث هذا التاريخ</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وخفاء حقائقه، كما قد يزعم البعض</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وذلك لأنّه بالإمكان تحصيل الوثوق به بنحو</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من أنحاء الاعتبار</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ولعلّ من أوسع الأبواب التي يمكن من خلالها الوثوق بالأخبار التاريخية تجميع</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القرائن والشواهد المتعد</w:t>
      </w:r>
      <w:r w:rsidR="009944D2" w:rsidRPr="006571AC">
        <w:rPr>
          <w:rFonts w:ascii="Arial" w:eastAsia="Calibri" w:hAnsi="Arial" w:hint="cs"/>
          <w:sz w:val="27"/>
          <w:rtl/>
          <w:lang w:bidi="ar-LB"/>
        </w:rPr>
        <w:t>ِّ</w:t>
      </w:r>
      <w:r w:rsidRPr="006571AC">
        <w:rPr>
          <w:rFonts w:ascii="Arial" w:eastAsia="Calibri" w:hAnsi="Arial" w:hint="cs"/>
          <w:sz w:val="27"/>
          <w:rtl/>
          <w:lang w:bidi="ar-LB"/>
        </w:rPr>
        <w:t>دة</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بما يبعث على الوثوق بوقوع الحادثة أو عدم وقوعها. وما لم نتحر</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من صدق الخبر واعتباره فلا يصح</w:t>
      </w:r>
      <w:r w:rsidR="0056298F" w:rsidRPr="006571AC">
        <w:rPr>
          <w:rFonts w:ascii="Arial" w:eastAsia="Calibri" w:hAnsi="Arial" w:hint="cs"/>
          <w:sz w:val="27"/>
          <w:rtl/>
          <w:lang w:bidi="ar-LB"/>
        </w:rPr>
        <w:t>ّ</w:t>
      </w:r>
      <w:r w:rsidRPr="006571AC">
        <w:rPr>
          <w:rFonts w:ascii="Arial" w:eastAsia="Calibri" w:hAnsi="Arial" w:hint="cs"/>
          <w:sz w:val="27"/>
          <w:rtl/>
          <w:lang w:bidi="ar-LB"/>
        </w:rPr>
        <w:t xml:space="preserve"> الإخبار عنه</w:t>
      </w:r>
      <w:r w:rsidR="0056298F" w:rsidRPr="006571AC">
        <w:rPr>
          <w:rFonts w:ascii="Arial" w:eastAsia="Calibri" w:hAnsi="Arial" w:hint="cs"/>
          <w:sz w:val="27"/>
          <w:rtl/>
          <w:lang w:bidi="ar-LB"/>
        </w:rPr>
        <w:t>،</w:t>
      </w:r>
      <w:r w:rsidRPr="006571AC">
        <w:rPr>
          <w:rFonts w:ascii="Arial" w:eastAsia="Calibri" w:hAnsi="Arial" w:hint="cs"/>
          <w:sz w:val="27"/>
          <w:rtl/>
          <w:lang w:bidi="ar-LB"/>
        </w:rPr>
        <w:t xml:space="preserve"> وتثقيف الناس به. </w:t>
      </w:r>
    </w:p>
    <w:p w:rsidR="009B65D5" w:rsidRPr="006571AC" w:rsidRDefault="009B65D5" w:rsidP="002A2E03">
      <w:pPr>
        <w:rPr>
          <w:rFonts w:ascii="Arial" w:hAnsi="Arial"/>
          <w:sz w:val="27"/>
          <w:rtl/>
        </w:rPr>
      </w:pPr>
      <w:r w:rsidRPr="006571AC">
        <w:rPr>
          <w:rFonts w:ascii="Arial" w:hAnsi="Arial" w:hint="cs"/>
          <w:sz w:val="27"/>
          <w:rtl/>
        </w:rPr>
        <w:t>هذا</w:t>
      </w:r>
      <w:r w:rsidR="0056298F" w:rsidRPr="006571AC">
        <w:rPr>
          <w:rFonts w:ascii="Arial" w:hAnsi="Arial" w:hint="cs"/>
          <w:sz w:val="27"/>
          <w:rtl/>
        </w:rPr>
        <w:t>،</w:t>
      </w:r>
      <w:r w:rsidRPr="006571AC">
        <w:rPr>
          <w:rFonts w:ascii="Arial" w:hAnsi="Arial" w:hint="cs"/>
          <w:sz w:val="27"/>
          <w:rtl/>
        </w:rPr>
        <w:t xml:space="preserve"> ويمكن القول: إنّ الوثوق بالخبر التاريخي أقلّ مؤونة</w:t>
      </w:r>
      <w:r w:rsidR="0056298F" w:rsidRPr="006571AC">
        <w:rPr>
          <w:rFonts w:ascii="Arial" w:hAnsi="Arial" w:hint="cs"/>
          <w:sz w:val="27"/>
          <w:rtl/>
        </w:rPr>
        <w:t>ً</w:t>
      </w:r>
      <w:r w:rsidRPr="006571AC">
        <w:rPr>
          <w:rFonts w:ascii="Arial" w:hAnsi="Arial" w:hint="cs"/>
          <w:sz w:val="27"/>
          <w:rtl/>
        </w:rPr>
        <w:t xml:space="preserve"> وكلفة</w:t>
      </w:r>
      <w:r w:rsidR="0056298F" w:rsidRPr="006571AC">
        <w:rPr>
          <w:rFonts w:ascii="Arial" w:hAnsi="Arial" w:hint="cs"/>
          <w:sz w:val="27"/>
          <w:rtl/>
        </w:rPr>
        <w:t>ً</w:t>
      </w:r>
      <w:r w:rsidRPr="006571AC">
        <w:rPr>
          <w:rFonts w:ascii="Arial" w:hAnsi="Arial" w:hint="cs"/>
          <w:sz w:val="27"/>
          <w:rtl/>
        </w:rPr>
        <w:t xml:space="preserve"> من الوثوق بالخبر الع</w:t>
      </w:r>
      <w:r w:rsidR="00D505A9" w:rsidRPr="006571AC">
        <w:rPr>
          <w:rFonts w:ascii="Arial" w:hAnsi="Arial" w:hint="cs"/>
          <w:sz w:val="27"/>
          <w:rtl/>
        </w:rPr>
        <w:t>َ</w:t>
      </w:r>
      <w:r w:rsidRPr="006571AC">
        <w:rPr>
          <w:rFonts w:ascii="Arial" w:hAnsi="Arial" w:hint="cs"/>
          <w:sz w:val="27"/>
          <w:rtl/>
        </w:rPr>
        <w:t>ق</w:t>
      </w:r>
      <w:r w:rsidR="00D505A9" w:rsidRPr="006571AC">
        <w:rPr>
          <w:rFonts w:ascii="Arial" w:hAnsi="Arial" w:hint="cs"/>
          <w:sz w:val="27"/>
          <w:rtl/>
        </w:rPr>
        <w:t>ْ</w:t>
      </w:r>
      <w:r w:rsidRPr="006571AC">
        <w:rPr>
          <w:rFonts w:ascii="Arial" w:hAnsi="Arial" w:hint="cs"/>
          <w:sz w:val="27"/>
          <w:rtl/>
        </w:rPr>
        <w:t>دي</w:t>
      </w:r>
      <w:r w:rsidR="00D505A9" w:rsidRPr="006571AC">
        <w:rPr>
          <w:rFonts w:ascii="Arial" w:hAnsi="Arial" w:hint="cs"/>
          <w:sz w:val="27"/>
          <w:rtl/>
        </w:rPr>
        <w:t>،</w:t>
      </w:r>
      <w:r w:rsidRPr="006571AC">
        <w:rPr>
          <w:rFonts w:ascii="Arial" w:hAnsi="Arial" w:hint="cs"/>
          <w:sz w:val="27"/>
          <w:rtl/>
        </w:rPr>
        <w:t xml:space="preserve"> </w:t>
      </w:r>
      <w:r w:rsidR="00D505A9" w:rsidRPr="006571AC">
        <w:rPr>
          <w:rFonts w:ascii="Arial" w:hAnsi="Arial" w:hint="cs"/>
          <w:sz w:val="27"/>
          <w:rtl/>
        </w:rPr>
        <w:t>و</w:t>
      </w:r>
      <w:r w:rsidRPr="006571AC">
        <w:rPr>
          <w:rFonts w:ascii="Arial" w:hAnsi="Arial" w:hint="cs"/>
          <w:sz w:val="27"/>
          <w:rtl/>
        </w:rPr>
        <w:t>الفقهي</w:t>
      </w:r>
      <w:r w:rsidR="00D505A9" w:rsidRPr="006571AC">
        <w:rPr>
          <w:rFonts w:ascii="Arial" w:hAnsi="Arial" w:hint="cs"/>
          <w:sz w:val="27"/>
          <w:rtl/>
        </w:rPr>
        <w:t xml:space="preserve"> أيضاً.</w:t>
      </w:r>
      <w:r w:rsidRPr="006571AC">
        <w:rPr>
          <w:rFonts w:ascii="Arial" w:hAnsi="Arial" w:hint="cs"/>
          <w:sz w:val="27"/>
          <w:rtl/>
        </w:rPr>
        <w:t xml:space="preserve"> وبالإمكان طرح عد</w:t>
      </w:r>
      <w:r w:rsidR="00D505A9" w:rsidRPr="006571AC">
        <w:rPr>
          <w:rFonts w:ascii="Arial" w:hAnsi="Arial" w:hint="cs"/>
          <w:sz w:val="27"/>
          <w:rtl/>
        </w:rPr>
        <w:t>ّ</w:t>
      </w:r>
      <w:r w:rsidRPr="006571AC">
        <w:rPr>
          <w:rFonts w:ascii="Arial" w:hAnsi="Arial" w:hint="cs"/>
          <w:sz w:val="27"/>
          <w:rtl/>
        </w:rPr>
        <w:t xml:space="preserve">ة مستويات لاعتبار الخبر: </w:t>
      </w:r>
    </w:p>
    <w:p w:rsidR="009B65D5" w:rsidRPr="006571AC" w:rsidRDefault="009B65D5" w:rsidP="002A2E03">
      <w:pPr>
        <w:rPr>
          <w:rFonts w:ascii="Arial" w:hAnsi="Arial"/>
          <w:sz w:val="27"/>
          <w:rtl/>
        </w:rPr>
      </w:pPr>
      <w:r w:rsidRPr="006571AC">
        <w:rPr>
          <w:rFonts w:ascii="Arial" w:hAnsi="Arial" w:hint="cs"/>
          <w:b/>
          <w:bCs/>
          <w:sz w:val="27"/>
          <w:rtl/>
        </w:rPr>
        <w:t>الاعتبار الكلامي</w:t>
      </w:r>
      <w:r w:rsidRPr="006571AC">
        <w:rPr>
          <w:rFonts w:ascii="Arial" w:hAnsi="Arial" w:hint="cs"/>
          <w:sz w:val="27"/>
          <w:rtl/>
        </w:rPr>
        <w:t xml:space="preserve">: وذلك لأنّ </w:t>
      </w:r>
      <w:r w:rsidRPr="006571AC">
        <w:rPr>
          <w:rFonts w:ascii="Arial" w:hAnsi="Arial"/>
          <w:sz w:val="27"/>
          <w:rtl/>
        </w:rPr>
        <w:t xml:space="preserve">القضيّة </w:t>
      </w:r>
      <w:r w:rsidRPr="006571AC">
        <w:rPr>
          <w:rFonts w:ascii="Arial" w:hAnsi="Arial" w:hint="cs"/>
          <w:sz w:val="27"/>
          <w:rtl/>
        </w:rPr>
        <w:t>إذا كانت تت</w:t>
      </w:r>
      <w:r w:rsidR="00D505A9" w:rsidRPr="006571AC">
        <w:rPr>
          <w:rFonts w:ascii="Arial" w:hAnsi="Arial" w:hint="cs"/>
          <w:sz w:val="27"/>
          <w:rtl/>
        </w:rPr>
        <w:t>ّ</w:t>
      </w:r>
      <w:r w:rsidRPr="006571AC">
        <w:rPr>
          <w:rFonts w:ascii="Arial" w:hAnsi="Arial" w:hint="cs"/>
          <w:sz w:val="27"/>
          <w:rtl/>
        </w:rPr>
        <w:t xml:space="preserve">صل ببيان </w:t>
      </w:r>
      <w:r w:rsidRPr="006571AC">
        <w:rPr>
          <w:rFonts w:ascii="Arial" w:hAnsi="Arial"/>
          <w:sz w:val="27"/>
          <w:rtl/>
        </w:rPr>
        <w:t>مفهومٍ عقيديّ</w:t>
      </w:r>
      <w:r w:rsidRPr="006571AC">
        <w:rPr>
          <w:rFonts w:ascii="Arial" w:hAnsi="Arial" w:hint="cs"/>
          <w:sz w:val="27"/>
          <w:rtl/>
        </w:rPr>
        <w:t xml:space="preserve"> ف</w:t>
      </w:r>
      <w:r w:rsidR="00731867" w:rsidRPr="006571AC">
        <w:rPr>
          <w:rFonts w:ascii="Arial" w:hAnsi="Arial" w:hint="cs"/>
          <w:sz w:val="27"/>
          <w:rtl/>
        </w:rPr>
        <w:t>لا بُدَّ</w:t>
      </w:r>
      <w:r w:rsidRPr="006571AC">
        <w:rPr>
          <w:rFonts w:ascii="Arial" w:hAnsi="Arial" w:hint="cs"/>
          <w:sz w:val="27"/>
          <w:rtl/>
        </w:rPr>
        <w:t xml:space="preserve"> عند المشهور من العثور لها على دليل</w:t>
      </w:r>
      <w:r w:rsidR="00D505A9" w:rsidRPr="006571AC">
        <w:rPr>
          <w:rFonts w:ascii="Arial" w:hAnsi="Arial" w:hint="cs"/>
          <w:sz w:val="27"/>
          <w:rtl/>
        </w:rPr>
        <w:t>ٍ</w:t>
      </w:r>
      <w:r w:rsidRPr="006571AC">
        <w:rPr>
          <w:rFonts w:ascii="Arial" w:hAnsi="Arial" w:hint="cs"/>
          <w:sz w:val="27"/>
          <w:rtl/>
        </w:rPr>
        <w:t xml:space="preserve"> قطعي</w:t>
      </w:r>
      <w:r w:rsidR="00D505A9" w:rsidRPr="006571AC">
        <w:rPr>
          <w:rFonts w:ascii="Arial" w:hAnsi="Arial" w:hint="cs"/>
          <w:sz w:val="27"/>
          <w:rtl/>
        </w:rPr>
        <w:t>،</w:t>
      </w:r>
      <w:r w:rsidRPr="006571AC">
        <w:rPr>
          <w:rFonts w:ascii="Arial" w:hAnsi="Arial" w:hint="cs"/>
          <w:sz w:val="27"/>
          <w:rtl/>
        </w:rPr>
        <w:t xml:space="preserve"> عقلياً كان أو نقلياً. </w:t>
      </w:r>
    </w:p>
    <w:p w:rsidR="009B65D5" w:rsidRPr="006571AC" w:rsidRDefault="009B65D5" w:rsidP="002A2E03">
      <w:pPr>
        <w:rPr>
          <w:rFonts w:ascii="Arial" w:hAnsi="Arial"/>
          <w:b/>
          <w:bCs/>
          <w:sz w:val="27"/>
          <w:rtl/>
        </w:rPr>
      </w:pPr>
      <w:r w:rsidRPr="006571AC">
        <w:rPr>
          <w:rFonts w:ascii="Arial" w:hAnsi="Arial"/>
          <w:sz w:val="27"/>
          <w:rtl/>
        </w:rPr>
        <w:t xml:space="preserve"> </w:t>
      </w:r>
      <w:r w:rsidRPr="006571AC">
        <w:rPr>
          <w:rFonts w:ascii="Arial" w:hAnsi="Arial" w:hint="cs"/>
          <w:b/>
          <w:bCs/>
          <w:sz w:val="27"/>
          <w:rtl/>
        </w:rPr>
        <w:t xml:space="preserve">الاعتبار </w:t>
      </w:r>
      <w:r w:rsidRPr="006571AC">
        <w:rPr>
          <w:rFonts w:ascii="Arial" w:hAnsi="Arial"/>
          <w:b/>
          <w:bCs/>
          <w:sz w:val="27"/>
          <w:rtl/>
        </w:rPr>
        <w:t>الفقه</w:t>
      </w:r>
      <w:r w:rsidRPr="006571AC">
        <w:rPr>
          <w:rFonts w:ascii="Arial" w:hAnsi="Arial" w:hint="cs"/>
          <w:b/>
          <w:bCs/>
          <w:sz w:val="27"/>
          <w:rtl/>
        </w:rPr>
        <w:t>ي</w:t>
      </w:r>
      <w:r w:rsidRPr="006571AC">
        <w:rPr>
          <w:rFonts w:ascii="Arial" w:hAnsi="Arial" w:hint="cs"/>
          <w:sz w:val="27"/>
          <w:rtl/>
        </w:rPr>
        <w:t>: بم</w:t>
      </w:r>
      <w:r w:rsidRPr="006571AC">
        <w:rPr>
          <w:rFonts w:ascii="Arial" w:hAnsi="Arial"/>
          <w:sz w:val="27"/>
          <w:rtl/>
        </w:rPr>
        <w:t>عن</w:t>
      </w:r>
      <w:r w:rsidRPr="006571AC">
        <w:rPr>
          <w:rFonts w:ascii="Arial" w:hAnsi="Arial" w:hint="cs"/>
          <w:sz w:val="27"/>
          <w:rtl/>
        </w:rPr>
        <w:t>ى الاعتماد</w:t>
      </w:r>
      <w:r w:rsidRPr="006571AC">
        <w:rPr>
          <w:rFonts w:ascii="Arial" w:hAnsi="Arial"/>
          <w:sz w:val="27"/>
          <w:rtl/>
        </w:rPr>
        <w:t xml:space="preserve"> </w:t>
      </w:r>
      <w:r w:rsidRPr="006571AC">
        <w:rPr>
          <w:rFonts w:ascii="Arial" w:hAnsi="Arial" w:hint="cs"/>
          <w:sz w:val="27"/>
          <w:rtl/>
        </w:rPr>
        <w:t>على خبر</w:t>
      </w:r>
      <w:r w:rsidR="00D505A9" w:rsidRPr="006571AC">
        <w:rPr>
          <w:rFonts w:ascii="Arial" w:hAnsi="Arial" w:hint="cs"/>
          <w:sz w:val="27"/>
          <w:rtl/>
        </w:rPr>
        <w:t>ٍ</w:t>
      </w:r>
      <w:r w:rsidRPr="006571AC">
        <w:rPr>
          <w:rFonts w:ascii="Arial" w:hAnsi="Arial" w:hint="cs"/>
          <w:sz w:val="27"/>
          <w:rtl/>
        </w:rPr>
        <w:t xml:space="preserve"> موثوق أو </w:t>
      </w:r>
      <w:r w:rsidRPr="006571AC">
        <w:rPr>
          <w:rFonts w:ascii="Arial" w:hAnsi="Arial"/>
          <w:sz w:val="27"/>
          <w:rtl/>
        </w:rPr>
        <w:t>صحيح</w:t>
      </w:r>
      <w:r w:rsidRPr="006571AC">
        <w:rPr>
          <w:rFonts w:ascii="Arial" w:hAnsi="Arial" w:hint="cs"/>
          <w:sz w:val="27"/>
          <w:rtl/>
        </w:rPr>
        <w:t xml:space="preserve"> </w:t>
      </w:r>
      <w:r w:rsidR="00D505A9" w:rsidRPr="006571AC">
        <w:rPr>
          <w:rFonts w:ascii="Arial" w:hAnsi="Arial"/>
          <w:sz w:val="27"/>
          <w:rtl/>
        </w:rPr>
        <w:t>يرويه الث</w:t>
      </w:r>
      <w:r w:rsidR="00D505A9" w:rsidRPr="006571AC">
        <w:rPr>
          <w:rFonts w:ascii="Arial" w:hAnsi="Arial" w:hint="cs"/>
          <w:sz w:val="27"/>
          <w:rtl/>
        </w:rPr>
        <w:t>ِّ</w:t>
      </w:r>
      <w:r w:rsidRPr="006571AC">
        <w:rPr>
          <w:rFonts w:ascii="Arial" w:hAnsi="Arial"/>
          <w:sz w:val="27"/>
          <w:rtl/>
        </w:rPr>
        <w:t>قا</w:t>
      </w:r>
      <w:r w:rsidR="00D505A9" w:rsidRPr="006571AC">
        <w:rPr>
          <w:rFonts w:ascii="Arial" w:hAnsi="Arial" w:hint="cs"/>
          <w:sz w:val="27"/>
          <w:rtl/>
        </w:rPr>
        <w:t>ت</w:t>
      </w:r>
      <w:r w:rsidRPr="006571AC">
        <w:rPr>
          <w:rFonts w:ascii="Arial" w:hAnsi="Arial"/>
          <w:sz w:val="27"/>
          <w:rtl/>
        </w:rPr>
        <w:t xml:space="preserve">، </w:t>
      </w:r>
      <w:r w:rsidRPr="006571AC">
        <w:rPr>
          <w:rFonts w:ascii="Arial" w:hAnsi="Arial" w:hint="cs"/>
          <w:sz w:val="27"/>
          <w:rtl/>
        </w:rPr>
        <w:lastRenderedPageBreak/>
        <w:t>وذلك عندما يكون المفهوم المطروح مت</w:t>
      </w:r>
      <w:r w:rsidR="00D505A9" w:rsidRPr="006571AC">
        <w:rPr>
          <w:rFonts w:ascii="Arial" w:hAnsi="Arial" w:hint="cs"/>
          <w:sz w:val="27"/>
          <w:rtl/>
        </w:rPr>
        <w:t>ّ</w:t>
      </w:r>
      <w:r w:rsidRPr="006571AC">
        <w:rPr>
          <w:rFonts w:ascii="Arial" w:hAnsi="Arial" w:hint="cs"/>
          <w:sz w:val="27"/>
          <w:rtl/>
        </w:rPr>
        <w:t>صلاً ببيان حكم</w:t>
      </w:r>
      <w:r w:rsidR="00D505A9" w:rsidRPr="006571AC">
        <w:rPr>
          <w:rFonts w:ascii="Arial" w:hAnsi="Arial" w:hint="cs"/>
          <w:sz w:val="27"/>
          <w:rtl/>
        </w:rPr>
        <w:t>ٍ</w:t>
      </w:r>
      <w:r w:rsidRPr="006571AC">
        <w:rPr>
          <w:rFonts w:ascii="Arial" w:hAnsi="Arial" w:hint="cs"/>
          <w:sz w:val="27"/>
          <w:rtl/>
        </w:rPr>
        <w:t xml:space="preserve"> شرعي. </w:t>
      </w:r>
    </w:p>
    <w:p w:rsidR="009B65D5" w:rsidRPr="006571AC" w:rsidRDefault="00D505A9" w:rsidP="002A2E03">
      <w:pPr>
        <w:rPr>
          <w:rFonts w:ascii="Arial" w:hAnsi="Arial"/>
          <w:sz w:val="27"/>
          <w:rtl/>
        </w:rPr>
      </w:pPr>
      <w:r w:rsidRPr="006571AC">
        <w:rPr>
          <w:rFonts w:ascii="Arial" w:hAnsi="Arial"/>
          <w:b/>
          <w:bCs/>
          <w:sz w:val="27"/>
          <w:rtl/>
        </w:rPr>
        <w:t>الاعتبار التاريخي</w:t>
      </w:r>
      <w:r w:rsidR="009B65D5" w:rsidRPr="006571AC">
        <w:rPr>
          <w:rFonts w:ascii="Arial" w:hAnsi="Arial" w:hint="cs"/>
          <w:sz w:val="27"/>
          <w:rtl/>
        </w:rPr>
        <w:t xml:space="preserve">: </w:t>
      </w:r>
      <w:r w:rsidR="009B65D5" w:rsidRPr="006571AC">
        <w:rPr>
          <w:rFonts w:ascii="Arial" w:hAnsi="Arial"/>
          <w:sz w:val="27"/>
          <w:rtl/>
        </w:rPr>
        <w:t xml:space="preserve">عندما </w:t>
      </w:r>
      <w:r w:rsidR="009B65D5" w:rsidRPr="006571AC">
        <w:rPr>
          <w:rFonts w:ascii="Arial" w:hAnsi="Arial" w:hint="cs"/>
          <w:sz w:val="27"/>
          <w:rtl/>
        </w:rPr>
        <w:t>يت</w:t>
      </w:r>
      <w:r w:rsidRPr="006571AC">
        <w:rPr>
          <w:rFonts w:ascii="Arial" w:hAnsi="Arial" w:hint="cs"/>
          <w:sz w:val="27"/>
          <w:rtl/>
        </w:rPr>
        <w:t>ّ</w:t>
      </w:r>
      <w:r w:rsidR="009B65D5" w:rsidRPr="006571AC">
        <w:rPr>
          <w:rFonts w:ascii="Arial" w:hAnsi="Arial" w:hint="cs"/>
          <w:sz w:val="27"/>
          <w:rtl/>
        </w:rPr>
        <w:t>صل الأمر بنقل حادثة</w:t>
      </w:r>
      <w:r w:rsidRPr="006571AC">
        <w:rPr>
          <w:rFonts w:ascii="Arial" w:hAnsi="Arial" w:hint="cs"/>
          <w:sz w:val="27"/>
          <w:rtl/>
        </w:rPr>
        <w:t>ٍ</w:t>
      </w:r>
      <w:r w:rsidR="009B65D5" w:rsidRPr="006571AC">
        <w:rPr>
          <w:rFonts w:ascii="Arial" w:hAnsi="Arial" w:hint="cs"/>
          <w:sz w:val="27"/>
          <w:rtl/>
        </w:rPr>
        <w:t xml:space="preserve"> تاريخيّة لا علاقة لها ببيان</w:t>
      </w:r>
      <w:r w:rsidR="009B65D5" w:rsidRPr="006571AC">
        <w:rPr>
          <w:rFonts w:ascii="Arial" w:hAnsi="Arial"/>
          <w:sz w:val="27"/>
          <w:rtl/>
        </w:rPr>
        <w:t xml:space="preserve"> حكمٍ شرعيّ</w:t>
      </w:r>
      <w:r w:rsidR="009B65D5" w:rsidRPr="006571AC">
        <w:rPr>
          <w:rFonts w:ascii="Arial" w:hAnsi="Arial" w:hint="cs"/>
          <w:sz w:val="27"/>
          <w:rtl/>
        </w:rPr>
        <w:t xml:space="preserve"> أو مفهوم</w:t>
      </w:r>
      <w:r w:rsidRPr="006571AC">
        <w:rPr>
          <w:rFonts w:ascii="Arial" w:hAnsi="Arial" w:hint="cs"/>
          <w:sz w:val="27"/>
          <w:rtl/>
        </w:rPr>
        <w:t>ٍ</w:t>
      </w:r>
      <w:r w:rsidR="009B65D5" w:rsidRPr="006571AC">
        <w:rPr>
          <w:rFonts w:ascii="Arial" w:hAnsi="Arial" w:hint="cs"/>
          <w:sz w:val="27"/>
          <w:rtl/>
        </w:rPr>
        <w:t xml:space="preserve"> ع</w:t>
      </w:r>
      <w:r w:rsidRPr="006571AC">
        <w:rPr>
          <w:rFonts w:ascii="Arial" w:hAnsi="Arial" w:hint="cs"/>
          <w:sz w:val="27"/>
          <w:rtl/>
        </w:rPr>
        <w:t>َ</w:t>
      </w:r>
      <w:r w:rsidR="009B65D5" w:rsidRPr="006571AC">
        <w:rPr>
          <w:rFonts w:ascii="Arial" w:hAnsi="Arial" w:hint="cs"/>
          <w:sz w:val="27"/>
          <w:rtl/>
        </w:rPr>
        <w:t>ق</w:t>
      </w:r>
      <w:r w:rsidRPr="006571AC">
        <w:rPr>
          <w:rFonts w:ascii="Arial" w:hAnsi="Arial" w:hint="cs"/>
          <w:sz w:val="27"/>
          <w:rtl/>
        </w:rPr>
        <w:t>ْ</w:t>
      </w:r>
      <w:r w:rsidR="009B65D5" w:rsidRPr="006571AC">
        <w:rPr>
          <w:rFonts w:ascii="Arial" w:hAnsi="Arial" w:hint="cs"/>
          <w:sz w:val="27"/>
          <w:rtl/>
        </w:rPr>
        <w:t>دي</w:t>
      </w:r>
      <w:r w:rsidR="009B65D5" w:rsidRPr="006571AC">
        <w:rPr>
          <w:rFonts w:ascii="Arial" w:hAnsi="Arial"/>
          <w:sz w:val="27"/>
          <w:rtl/>
        </w:rPr>
        <w:t xml:space="preserve"> </w:t>
      </w:r>
      <w:r w:rsidR="009B65D5" w:rsidRPr="006571AC">
        <w:rPr>
          <w:rFonts w:ascii="Arial" w:hAnsi="Arial" w:hint="cs"/>
          <w:sz w:val="27"/>
          <w:rtl/>
        </w:rPr>
        <w:t xml:space="preserve">فهنا قد يكفينا </w:t>
      </w:r>
      <w:r w:rsidRPr="006571AC">
        <w:rPr>
          <w:rFonts w:ascii="Arial" w:hAnsi="Arial"/>
          <w:sz w:val="27"/>
          <w:rtl/>
        </w:rPr>
        <w:t>الاعتبار الت</w:t>
      </w:r>
      <w:r w:rsidR="009B65D5" w:rsidRPr="006571AC">
        <w:rPr>
          <w:rFonts w:ascii="Arial" w:hAnsi="Arial"/>
          <w:sz w:val="27"/>
          <w:rtl/>
        </w:rPr>
        <w:t xml:space="preserve">اريخيّ، </w:t>
      </w:r>
      <w:r w:rsidR="009B65D5" w:rsidRPr="006571AC">
        <w:rPr>
          <w:rFonts w:ascii="Arial" w:hAnsi="Arial" w:hint="cs"/>
          <w:sz w:val="27"/>
          <w:rtl/>
        </w:rPr>
        <w:t xml:space="preserve">بمعنى </w:t>
      </w:r>
      <w:r w:rsidRPr="006571AC">
        <w:rPr>
          <w:rFonts w:ascii="Arial" w:hAnsi="Arial"/>
          <w:sz w:val="27"/>
          <w:rtl/>
        </w:rPr>
        <w:t>أن يكون للحادثة ال</w:t>
      </w:r>
      <w:r w:rsidR="009B65D5" w:rsidRPr="006571AC">
        <w:rPr>
          <w:rFonts w:ascii="Arial" w:hAnsi="Arial"/>
          <w:sz w:val="27"/>
          <w:rtl/>
        </w:rPr>
        <w:t xml:space="preserve">تي </w:t>
      </w:r>
      <w:r w:rsidR="009B65D5" w:rsidRPr="006571AC">
        <w:rPr>
          <w:rFonts w:ascii="Arial" w:hAnsi="Arial" w:hint="cs"/>
          <w:sz w:val="27"/>
          <w:rtl/>
        </w:rPr>
        <w:t>ت</w:t>
      </w:r>
      <w:r w:rsidR="00357822" w:rsidRPr="006571AC">
        <w:rPr>
          <w:rFonts w:ascii="Arial" w:hAnsi="Arial" w:hint="cs"/>
          <w:sz w:val="27"/>
          <w:rtl/>
        </w:rPr>
        <w:t>ُ</w:t>
      </w:r>
      <w:r w:rsidR="009B65D5" w:rsidRPr="006571AC">
        <w:rPr>
          <w:rFonts w:ascii="Arial" w:hAnsi="Arial"/>
          <w:sz w:val="27"/>
          <w:rtl/>
        </w:rPr>
        <w:t>ق</w:t>
      </w:r>
      <w:r w:rsidR="009B65D5" w:rsidRPr="006571AC">
        <w:rPr>
          <w:rFonts w:ascii="Arial" w:hAnsi="Arial" w:hint="cs"/>
          <w:sz w:val="27"/>
          <w:rtl/>
        </w:rPr>
        <w:t>د</w:t>
      </w:r>
      <w:r w:rsidRPr="006571AC">
        <w:rPr>
          <w:rFonts w:ascii="Arial" w:hAnsi="Arial" w:hint="cs"/>
          <w:sz w:val="27"/>
          <w:rtl/>
        </w:rPr>
        <w:t>َّ</w:t>
      </w:r>
      <w:r w:rsidR="009B65D5" w:rsidRPr="006571AC">
        <w:rPr>
          <w:rFonts w:ascii="Arial" w:hAnsi="Arial" w:hint="cs"/>
          <w:sz w:val="27"/>
          <w:rtl/>
        </w:rPr>
        <w:t>م</w:t>
      </w:r>
      <w:r w:rsidRPr="006571AC">
        <w:rPr>
          <w:rFonts w:ascii="Arial" w:hAnsi="Arial"/>
          <w:sz w:val="27"/>
          <w:rtl/>
        </w:rPr>
        <w:t xml:space="preserve"> إلى الن</w:t>
      </w:r>
      <w:r w:rsidR="009B65D5" w:rsidRPr="006571AC">
        <w:rPr>
          <w:rFonts w:ascii="Arial" w:hAnsi="Arial"/>
          <w:sz w:val="27"/>
          <w:rtl/>
        </w:rPr>
        <w:t>اس مصدر</w:t>
      </w:r>
      <w:r w:rsidRPr="006571AC">
        <w:rPr>
          <w:rFonts w:ascii="Arial" w:hAnsi="Arial" w:hint="cs"/>
          <w:sz w:val="27"/>
          <w:rtl/>
        </w:rPr>
        <w:t>ٌ</w:t>
      </w:r>
      <w:r w:rsidR="009B65D5" w:rsidRPr="006571AC">
        <w:rPr>
          <w:rFonts w:ascii="Arial" w:hAnsi="Arial"/>
          <w:sz w:val="27"/>
          <w:rtl/>
        </w:rPr>
        <w:t xml:space="preserve"> تاريخي معتبر</w:t>
      </w:r>
      <w:r w:rsidRPr="006571AC">
        <w:rPr>
          <w:rFonts w:ascii="Arial" w:hAnsi="Arial" w:hint="cs"/>
          <w:sz w:val="27"/>
          <w:rtl/>
        </w:rPr>
        <w:t>ٌ</w:t>
      </w:r>
      <w:r w:rsidR="009B65D5" w:rsidRPr="006571AC">
        <w:rPr>
          <w:rFonts w:ascii="Arial" w:hAnsi="Arial" w:hint="cs"/>
          <w:sz w:val="27"/>
          <w:rtl/>
        </w:rPr>
        <w:t xml:space="preserve"> ومعتد</w:t>
      </w:r>
      <w:r w:rsidRPr="006571AC">
        <w:rPr>
          <w:rFonts w:ascii="Arial" w:hAnsi="Arial" w:hint="cs"/>
          <w:sz w:val="27"/>
          <w:rtl/>
        </w:rPr>
        <w:t>ٌّ</w:t>
      </w:r>
      <w:r w:rsidR="009B65D5" w:rsidRPr="006571AC">
        <w:rPr>
          <w:rFonts w:ascii="Arial" w:hAnsi="Arial" w:hint="cs"/>
          <w:sz w:val="27"/>
          <w:rtl/>
        </w:rPr>
        <w:t xml:space="preserve"> به، ولا يكون المضمون مخالفاً لضوابط وشروط قبول الخبر</w:t>
      </w:r>
      <w:r w:rsidRPr="006571AC">
        <w:rPr>
          <w:rFonts w:ascii="Arial" w:hAnsi="Arial" w:hint="cs"/>
          <w:sz w:val="27"/>
          <w:rtl/>
        </w:rPr>
        <w:t>.</w:t>
      </w:r>
      <w:r w:rsidR="009B65D5" w:rsidRPr="006571AC">
        <w:rPr>
          <w:rFonts w:ascii="Arial" w:hAnsi="Arial" w:hint="cs"/>
          <w:sz w:val="27"/>
          <w:rtl/>
        </w:rPr>
        <w:t xml:space="preserve"> والتشد</w:t>
      </w:r>
      <w:r w:rsidRPr="006571AC">
        <w:rPr>
          <w:rFonts w:ascii="Arial" w:hAnsi="Arial" w:hint="cs"/>
          <w:sz w:val="27"/>
          <w:rtl/>
        </w:rPr>
        <w:t>ُّ</w:t>
      </w:r>
      <w:r w:rsidR="009B65D5" w:rsidRPr="006571AC">
        <w:rPr>
          <w:rFonts w:ascii="Arial" w:hAnsi="Arial" w:hint="cs"/>
          <w:sz w:val="27"/>
          <w:rtl/>
        </w:rPr>
        <w:t>د هنا لا يوازي التشد</w:t>
      </w:r>
      <w:r w:rsidRPr="006571AC">
        <w:rPr>
          <w:rFonts w:ascii="Arial" w:hAnsi="Arial" w:hint="cs"/>
          <w:sz w:val="27"/>
          <w:rtl/>
        </w:rPr>
        <w:t>ُّ</w:t>
      </w:r>
      <w:r w:rsidR="009B65D5" w:rsidRPr="006571AC">
        <w:rPr>
          <w:rFonts w:ascii="Arial" w:hAnsi="Arial" w:hint="cs"/>
          <w:sz w:val="27"/>
          <w:rtl/>
        </w:rPr>
        <w:t>د الذي نشترطه في الاعتبار الع</w:t>
      </w:r>
      <w:r w:rsidR="00357822" w:rsidRPr="006571AC">
        <w:rPr>
          <w:rFonts w:ascii="Arial" w:hAnsi="Arial" w:hint="cs"/>
          <w:sz w:val="27"/>
          <w:rtl/>
        </w:rPr>
        <w:t>َ</w:t>
      </w:r>
      <w:r w:rsidR="009B65D5" w:rsidRPr="006571AC">
        <w:rPr>
          <w:rFonts w:ascii="Arial" w:hAnsi="Arial" w:hint="cs"/>
          <w:sz w:val="27"/>
          <w:rtl/>
        </w:rPr>
        <w:t>ق</w:t>
      </w:r>
      <w:r w:rsidR="00357822" w:rsidRPr="006571AC">
        <w:rPr>
          <w:rFonts w:ascii="Arial" w:hAnsi="Arial" w:hint="cs"/>
          <w:sz w:val="27"/>
          <w:rtl/>
        </w:rPr>
        <w:t>ْ</w:t>
      </w:r>
      <w:r w:rsidR="009B65D5" w:rsidRPr="006571AC">
        <w:rPr>
          <w:rFonts w:ascii="Arial" w:hAnsi="Arial" w:hint="cs"/>
          <w:sz w:val="27"/>
          <w:rtl/>
        </w:rPr>
        <w:t>دي أو الفقهي</w:t>
      </w:r>
      <w:r w:rsidR="009B65D5" w:rsidRPr="006571AC">
        <w:rPr>
          <w:rFonts w:ascii="Arial" w:hAnsi="Arial"/>
          <w:sz w:val="27"/>
          <w:rtl/>
        </w:rPr>
        <w:t xml:space="preserve">. </w:t>
      </w:r>
    </w:p>
    <w:p w:rsidR="009B65D5" w:rsidRPr="006571AC" w:rsidRDefault="009B65D5" w:rsidP="002A2E03">
      <w:pPr>
        <w:rPr>
          <w:rFonts w:ascii="Arial" w:eastAsia="Calibri" w:hAnsi="Arial"/>
          <w:sz w:val="27"/>
          <w:rtl/>
          <w:lang w:bidi="ar-LB"/>
        </w:rPr>
      </w:pPr>
      <w:r w:rsidRPr="006571AC">
        <w:rPr>
          <w:rFonts w:ascii="Arial" w:hAnsi="Arial" w:hint="cs"/>
          <w:sz w:val="27"/>
          <w:rtl/>
        </w:rPr>
        <w:t>والحقيقة أنّ عمليّة البحث التحقيقي والجهد التنقيبي في المصادر التاريخية المعتبرة قد توصل الباحث إلى الكثير من الحقائق المدفونة في هذا الركام التاريخي، ويتمك</w:t>
      </w:r>
      <w:r w:rsidR="00D505A9" w:rsidRPr="006571AC">
        <w:rPr>
          <w:rFonts w:ascii="Arial" w:hAnsi="Arial" w:hint="cs"/>
          <w:sz w:val="27"/>
          <w:rtl/>
        </w:rPr>
        <w:t>َّ</w:t>
      </w:r>
      <w:r w:rsidRPr="006571AC">
        <w:rPr>
          <w:rFonts w:ascii="Arial" w:hAnsi="Arial" w:hint="cs"/>
          <w:sz w:val="27"/>
          <w:rtl/>
        </w:rPr>
        <w:t xml:space="preserve">ن </w:t>
      </w:r>
      <w:r w:rsidR="00D505A9" w:rsidRPr="006571AC">
        <w:rPr>
          <w:rFonts w:ascii="Arial" w:hAnsi="Arial" w:hint="cs"/>
          <w:sz w:val="27"/>
          <w:rtl/>
        </w:rPr>
        <w:t>ب</w:t>
      </w:r>
      <w:r w:rsidRPr="006571AC">
        <w:rPr>
          <w:rFonts w:ascii="Arial" w:hAnsi="Arial" w:hint="cs"/>
          <w:sz w:val="27"/>
          <w:rtl/>
        </w:rPr>
        <w:t>الاعتماد على أساليب البحث العلمي من تمييز الغث</w:t>
      </w:r>
      <w:r w:rsidR="00D505A9" w:rsidRPr="006571AC">
        <w:rPr>
          <w:rFonts w:ascii="Arial" w:hAnsi="Arial" w:hint="cs"/>
          <w:sz w:val="27"/>
          <w:rtl/>
        </w:rPr>
        <w:t>ّ</w:t>
      </w:r>
      <w:r w:rsidRPr="006571AC">
        <w:rPr>
          <w:rFonts w:ascii="Arial" w:hAnsi="Arial" w:hint="cs"/>
          <w:sz w:val="27"/>
          <w:rtl/>
        </w:rPr>
        <w:t xml:space="preserve"> من السمين. </w:t>
      </w:r>
    </w:p>
    <w:p w:rsidR="00DD301A" w:rsidRPr="006571AC" w:rsidRDefault="00DD301A" w:rsidP="00DD301A">
      <w:pPr>
        <w:spacing w:line="420" w:lineRule="exact"/>
        <w:rPr>
          <w:rFonts w:ascii="Arabic Typesetting" w:hAnsi="Arabic Typesetting"/>
          <w:sz w:val="27"/>
          <w:rtl/>
          <w:lang w:bidi="ar-LB"/>
        </w:rPr>
      </w:pPr>
    </w:p>
    <w:p w:rsidR="009B65D5" w:rsidRPr="006571AC" w:rsidRDefault="008141F9" w:rsidP="00950CDA">
      <w:pPr>
        <w:pStyle w:val="31"/>
        <w:rPr>
          <w:rFonts w:eastAsia="MS Mincho"/>
          <w:color w:val="auto"/>
          <w:rtl/>
        </w:rPr>
      </w:pPr>
      <w:bookmarkStart w:id="406" w:name="_Toc114164814"/>
      <w:r w:rsidRPr="006571AC">
        <w:rPr>
          <w:rFonts w:eastAsia="MS Mincho" w:hint="cs"/>
          <w:color w:val="auto"/>
          <w:rtl/>
        </w:rPr>
        <w:t>2ـ</w:t>
      </w:r>
      <w:r w:rsidR="009B65D5" w:rsidRPr="006571AC">
        <w:rPr>
          <w:rFonts w:eastAsia="MS Mincho" w:hint="cs"/>
          <w:color w:val="auto"/>
          <w:rtl/>
        </w:rPr>
        <w:t xml:space="preserve"> </w:t>
      </w:r>
      <w:r w:rsidR="00950CDA" w:rsidRPr="006571AC">
        <w:rPr>
          <w:rFonts w:eastAsia="MS Mincho" w:hint="cs"/>
          <w:color w:val="auto"/>
          <w:rtl/>
        </w:rPr>
        <w:t>ا</w:t>
      </w:r>
      <w:r w:rsidR="009B65D5" w:rsidRPr="006571AC">
        <w:rPr>
          <w:rFonts w:eastAsia="MS Mincho" w:hint="cs"/>
          <w:color w:val="auto"/>
          <w:rtl/>
        </w:rPr>
        <w:t>لمواعظ والقصص</w:t>
      </w:r>
      <w:bookmarkEnd w:id="406"/>
      <w:r w:rsidR="009B65D5" w:rsidRPr="006571AC">
        <w:rPr>
          <w:rFonts w:eastAsia="MS Mincho" w:hint="cs"/>
          <w:color w:val="auto"/>
          <w:rtl/>
        </w:rPr>
        <w:t xml:space="preserve"> </w:t>
      </w:r>
    </w:p>
    <w:p w:rsidR="009B65D5" w:rsidRPr="006571AC" w:rsidRDefault="009B65D5" w:rsidP="00357822">
      <w:pPr>
        <w:rPr>
          <w:rFonts w:ascii="Arial" w:eastAsia="MS Mincho" w:hAnsi="Arial"/>
          <w:sz w:val="27"/>
          <w:rtl/>
        </w:rPr>
      </w:pPr>
      <w:r w:rsidRPr="006571AC">
        <w:rPr>
          <w:rFonts w:ascii="Arial" w:eastAsia="MS Mincho" w:hAnsi="Arial"/>
          <w:sz w:val="27"/>
          <w:rtl/>
        </w:rPr>
        <w:t xml:space="preserve">قال </w:t>
      </w:r>
      <w:r w:rsidRPr="006571AC">
        <w:rPr>
          <w:rFonts w:ascii="Arial" w:eastAsia="MS Mincho" w:hAnsi="Arial" w:hint="cs"/>
          <w:sz w:val="27"/>
          <w:rtl/>
        </w:rPr>
        <w:t xml:space="preserve">الشهيد الثاني: </w:t>
      </w:r>
      <w:r w:rsidRPr="006571AC">
        <w:rPr>
          <w:rFonts w:hint="eastAsia"/>
          <w:sz w:val="24"/>
          <w:szCs w:val="24"/>
          <w:rtl/>
        </w:rPr>
        <w:t>«</w:t>
      </w:r>
      <w:r w:rsidRPr="006571AC">
        <w:rPr>
          <w:rFonts w:ascii="Arial" w:eastAsia="MS Mincho" w:hAnsi="Arial"/>
          <w:sz w:val="27"/>
          <w:rtl/>
        </w:rPr>
        <w:t>وجو</w:t>
      </w:r>
      <w:r w:rsidR="00950CDA" w:rsidRPr="006571AC">
        <w:rPr>
          <w:rFonts w:ascii="Arial" w:eastAsia="MS Mincho" w:hAnsi="Arial" w:hint="cs"/>
          <w:sz w:val="27"/>
          <w:rtl/>
        </w:rPr>
        <w:t>َّ</w:t>
      </w:r>
      <w:r w:rsidRPr="006571AC">
        <w:rPr>
          <w:rFonts w:ascii="Arial" w:eastAsia="MS Mincho" w:hAnsi="Arial"/>
          <w:sz w:val="27"/>
          <w:rtl/>
        </w:rPr>
        <w:t>ز الأكثر</w:t>
      </w:r>
      <w:r w:rsidR="00357822" w:rsidRPr="006571AC">
        <w:rPr>
          <w:rFonts w:ascii="Arial" w:eastAsia="MS Mincho" w:hAnsi="Arial" w:hint="cs"/>
          <w:sz w:val="27"/>
          <w:rtl/>
        </w:rPr>
        <w:t>ُ</w:t>
      </w:r>
      <w:r w:rsidRPr="006571AC">
        <w:rPr>
          <w:rFonts w:ascii="Arial" w:eastAsia="MS Mincho" w:hAnsi="Arial"/>
          <w:sz w:val="27"/>
          <w:rtl/>
        </w:rPr>
        <w:t xml:space="preserve"> العمل</w:t>
      </w:r>
      <w:r w:rsidR="00357822" w:rsidRPr="006571AC">
        <w:rPr>
          <w:rFonts w:ascii="Arial" w:eastAsia="MS Mincho" w:hAnsi="Arial" w:hint="cs"/>
          <w:sz w:val="27"/>
          <w:rtl/>
        </w:rPr>
        <w:t>َ</w:t>
      </w:r>
      <w:r w:rsidRPr="006571AC">
        <w:rPr>
          <w:rFonts w:ascii="Arial" w:eastAsia="MS Mincho" w:hAnsi="Arial"/>
          <w:sz w:val="27"/>
          <w:rtl/>
        </w:rPr>
        <w:t xml:space="preserve"> به ـ أي بالخبر الضعيف ـ في نحو: القصص، والمواعظ، وفضائل الأعمال، لا في نحو: صفات الله المتعال، وأحكام الحلال والحرام. وهو ح</w:t>
      </w:r>
      <w:r w:rsidR="00950CDA" w:rsidRPr="006571AC">
        <w:rPr>
          <w:rFonts w:ascii="Arial" w:eastAsia="MS Mincho" w:hAnsi="Arial" w:hint="cs"/>
          <w:sz w:val="27"/>
          <w:rtl/>
        </w:rPr>
        <w:t>َ</w:t>
      </w:r>
      <w:r w:rsidRPr="006571AC">
        <w:rPr>
          <w:rFonts w:ascii="Arial" w:eastAsia="MS Mincho" w:hAnsi="Arial"/>
          <w:sz w:val="27"/>
          <w:rtl/>
        </w:rPr>
        <w:t>س</w:t>
      </w:r>
      <w:r w:rsidR="00950CDA" w:rsidRPr="006571AC">
        <w:rPr>
          <w:rFonts w:ascii="Arial" w:eastAsia="MS Mincho" w:hAnsi="Arial" w:hint="cs"/>
          <w:sz w:val="27"/>
          <w:rtl/>
        </w:rPr>
        <w:t>َ</w:t>
      </w:r>
      <w:r w:rsidRPr="006571AC">
        <w:rPr>
          <w:rFonts w:ascii="Arial" w:eastAsia="MS Mincho" w:hAnsi="Arial"/>
          <w:sz w:val="27"/>
          <w:rtl/>
        </w:rPr>
        <w:t>ن</w:t>
      </w:r>
      <w:r w:rsidR="00950CDA" w:rsidRPr="006571AC">
        <w:rPr>
          <w:rFonts w:ascii="Arial" w:eastAsia="MS Mincho" w:hAnsi="Arial" w:hint="cs"/>
          <w:sz w:val="27"/>
          <w:rtl/>
        </w:rPr>
        <w:t>ٌ</w:t>
      </w:r>
      <w:r w:rsidRPr="006571AC">
        <w:rPr>
          <w:rFonts w:ascii="Arial" w:eastAsia="MS Mincho" w:hAnsi="Arial" w:hint="cs"/>
          <w:sz w:val="27"/>
          <w:rtl/>
        </w:rPr>
        <w:t xml:space="preserve">، </w:t>
      </w:r>
      <w:r w:rsidRPr="006571AC">
        <w:rPr>
          <w:rFonts w:ascii="Arial" w:eastAsia="MS Mincho" w:hAnsi="Arial"/>
          <w:sz w:val="27"/>
          <w:rtl/>
        </w:rPr>
        <w:t>حيث لا يبلغ الضعف حد</w:t>
      </w:r>
      <w:r w:rsidRPr="006571AC">
        <w:rPr>
          <w:rFonts w:ascii="Arial" w:eastAsia="MS Mincho" w:hAnsi="Arial" w:hint="cs"/>
          <w:sz w:val="27"/>
          <w:rtl/>
        </w:rPr>
        <w:t>ّ</w:t>
      </w:r>
      <w:r w:rsidRPr="006571AC">
        <w:rPr>
          <w:rFonts w:ascii="Arial" w:eastAsia="MS Mincho" w:hAnsi="Arial"/>
          <w:sz w:val="27"/>
          <w:rtl/>
        </w:rPr>
        <w:t xml:space="preserve"> الوضع والاختلاق</w:t>
      </w:r>
      <w:r w:rsidR="00950CDA" w:rsidRPr="006571AC">
        <w:rPr>
          <w:rFonts w:ascii="Arial" w:eastAsia="MS Mincho" w:hAnsi="Arial" w:hint="cs"/>
          <w:sz w:val="27"/>
          <w:rtl/>
        </w:rPr>
        <w:t>؛</w:t>
      </w:r>
      <w:r w:rsidRPr="006571AC">
        <w:rPr>
          <w:rFonts w:ascii="Arial" w:eastAsia="MS Mincho" w:hAnsi="Arial"/>
          <w:sz w:val="27"/>
          <w:rtl/>
        </w:rPr>
        <w:t xml:space="preserve"> لما اشتهر بين العلماء</w:t>
      </w:r>
      <w:r w:rsidRPr="006571AC">
        <w:rPr>
          <w:rFonts w:ascii="Arial" w:eastAsia="MS Mincho" w:hAnsi="Arial" w:hint="cs"/>
          <w:sz w:val="27"/>
          <w:rtl/>
        </w:rPr>
        <w:t xml:space="preserve"> </w:t>
      </w:r>
      <w:r w:rsidRPr="006571AC">
        <w:rPr>
          <w:rFonts w:ascii="Arial" w:eastAsia="MS Mincho" w:hAnsi="Arial"/>
          <w:sz w:val="27"/>
          <w:rtl/>
        </w:rPr>
        <w:t>المحق</w:t>
      </w:r>
      <w:r w:rsidR="00950CDA" w:rsidRPr="006571AC">
        <w:rPr>
          <w:rFonts w:ascii="Arial" w:eastAsia="MS Mincho" w:hAnsi="Arial" w:hint="cs"/>
          <w:sz w:val="27"/>
          <w:rtl/>
        </w:rPr>
        <w:t>ِّ</w:t>
      </w:r>
      <w:r w:rsidRPr="006571AC">
        <w:rPr>
          <w:rFonts w:ascii="Arial" w:eastAsia="MS Mincho" w:hAnsi="Arial"/>
          <w:sz w:val="27"/>
          <w:rtl/>
        </w:rPr>
        <w:t>قين من التساهل بأدلة الس</w:t>
      </w:r>
      <w:r w:rsidR="00950CDA" w:rsidRPr="006571AC">
        <w:rPr>
          <w:rFonts w:ascii="Arial" w:eastAsia="MS Mincho" w:hAnsi="Arial" w:hint="cs"/>
          <w:sz w:val="27"/>
          <w:rtl/>
        </w:rPr>
        <w:t>ُّ</w:t>
      </w:r>
      <w:r w:rsidRPr="006571AC">
        <w:rPr>
          <w:rFonts w:ascii="Arial" w:eastAsia="MS Mincho" w:hAnsi="Arial"/>
          <w:sz w:val="27"/>
          <w:rtl/>
        </w:rPr>
        <w:t>ن</w:t>
      </w:r>
      <w:r w:rsidR="00950CDA" w:rsidRPr="006571AC">
        <w:rPr>
          <w:rFonts w:ascii="Arial" w:eastAsia="MS Mincho" w:hAnsi="Arial" w:hint="cs"/>
          <w:sz w:val="27"/>
          <w:rtl/>
        </w:rPr>
        <w:t>َ</w:t>
      </w:r>
      <w:r w:rsidRPr="006571AC">
        <w:rPr>
          <w:rFonts w:ascii="Arial" w:eastAsia="MS Mincho" w:hAnsi="Arial"/>
          <w:sz w:val="27"/>
          <w:rtl/>
        </w:rPr>
        <w:t>ن، وليس في المواعظ والقصص غير م</w:t>
      </w:r>
      <w:r w:rsidR="00950CDA" w:rsidRPr="006571AC">
        <w:rPr>
          <w:rFonts w:ascii="Arial" w:eastAsia="MS Mincho" w:hAnsi="Arial" w:hint="cs"/>
          <w:sz w:val="27"/>
          <w:rtl/>
        </w:rPr>
        <w:t>َ</w:t>
      </w:r>
      <w:r w:rsidRPr="006571AC">
        <w:rPr>
          <w:rFonts w:ascii="Arial" w:eastAsia="MS Mincho" w:hAnsi="Arial"/>
          <w:sz w:val="27"/>
          <w:rtl/>
        </w:rPr>
        <w:t>ح</w:t>
      </w:r>
      <w:r w:rsidR="00950CDA" w:rsidRPr="006571AC">
        <w:rPr>
          <w:rFonts w:ascii="Arial" w:eastAsia="MS Mincho" w:hAnsi="Arial" w:hint="cs"/>
          <w:sz w:val="27"/>
          <w:rtl/>
        </w:rPr>
        <w:t>ْ</w:t>
      </w:r>
      <w:r w:rsidRPr="006571AC">
        <w:rPr>
          <w:rFonts w:ascii="Arial" w:eastAsia="MS Mincho" w:hAnsi="Arial"/>
          <w:sz w:val="27"/>
          <w:rtl/>
        </w:rPr>
        <w:t>ض الخير</w:t>
      </w:r>
      <w:r w:rsidR="00950CDA" w:rsidRPr="006571AC">
        <w:rPr>
          <w:rFonts w:ascii="Arial" w:eastAsia="MS Mincho" w:hAnsi="Arial" w:hint="cs"/>
          <w:sz w:val="27"/>
          <w:rtl/>
        </w:rPr>
        <w:t>؛</w:t>
      </w:r>
      <w:r w:rsidRPr="006571AC">
        <w:rPr>
          <w:rFonts w:ascii="Arial" w:eastAsia="MS Mincho" w:hAnsi="Arial"/>
          <w:sz w:val="27"/>
          <w:rtl/>
        </w:rPr>
        <w:t xml:space="preserve"> لما ورد عن النبي</w:t>
      </w:r>
      <w:r w:rsidR="00950CDA" w:rsidRPr="006571AC">
        <w:rPr>
          <w:rFonts w:ascii="Arial" w:eastAsia="MS Mincho" w:hAnsi="Arial" w:hint="cs"/>
          <w:sz w:val="27"/>
          <w:rtl/>
        </w:rPr>
        <w:t>ّ</w:t>
      </w:r>
      <w:r w:rsidR="002A2C90" w:rsidRPr="006571AC">
        <w:rPr>
          <w:rFonts w:ascii="Mosawi" w:hAnsi="Mosawi" w:cs="Mosawi"/>
          <w:sz w:val="22"/>
          <w:szCs w:val="22"/>
          <w:rtl/>
        </w:rPr>
        <w:t>|</w:t>
      </w:r>
      <w:r w:rsidRPr="006571AC">
        <w:rPr>
          <w:rFonts w:ascii="Arial" w:eastAsia="MS Mincho" w:hAnsi="Arial"/>
          <w:sz w:val="27"/>
          <w:rtl/>
        </w:rPr>
        <w:t xml:space="preserve"> ـ من طريق الخاص</w:t>
      </w:r>
      <w:r w:rsidR="00950CDA" w:rsidRPr="006571AC">
        <w:rPr>
          <w:rFonts w:ascii="Arial" w:eastAsia="MS Mincho" w:hAnsi="Arial" w:hint="cs"/>
          <w:sz w:val="27"/>
          <w:rtl/>
        </w:rPr>
        <w:t>ّ</w:t>
      </w:r>
      <w:r w:rsidRPr="006571AC">
        <w:rPr>
          <w:rFonts w:ascii="Arial" w:eastAsia="MS Mincho" w:hAnsi="Arial"/>
          <w:sz w:val="27"/>
          <w:rtl/>
        </w:rPr>
        <w:t xml:space="preserve">ة والعامة ـ أنه قال: </w:t>
      </w:r>
      <w:r w:rsidRPr="006571AC">
        <w:rPr>
          <w:rFonts w:hint="eastAsia"/>
          <w:sz w:val="24"/>
          <w:szCs w:val="24"/>
          <w:rtl/>
        </w:rPr>
        <w:t>«</w:t>
      </w:r>
      <w:r w:rsidRPr="006571AC">
        <w:rPr>
          <w:rFonts w:ascii="Arial" w:eastAsia="MS Mincho" w:hAnsi="Arial"/>
          <w:sz w:val="27"/>
          <w:rtl/>
        </w:rPr>
        <w:t>م</w:t>
      </w:r>
      <w:r w:rsidR="00950CDA" w:rsidRPr="006571AC">
        <w:rPr>
          <w:rFonts w:ascii="Arial" w:eastAsia="MS Mincho" w:hAnsi="Arial" w:hint="cs"/>
          <w:sz w:val="27"/>
          <w:rtl/>
        </w:rPr>
        <w:t>َ</w:t>
      </w:r>
      <w:r w:rsidRPr="006571AC">
        <w:rPr>
          <w:rFonts w:ascii="Arial" w:eastAsia="MS Mincho" w:hAnsi="Arial"/>
          <w:sz w:val="27"/>
          <w:rtl/>
        </w:rPr>
        <w:t>ن</w:t>
      </w:r>
      <w:r w:rsidR="00950CDA" w:rsidRPr="006571AC">
        <w:rPr>
          <w:rFonts w:ascii="Arial" w:eastAsia="MS Mincho" w:hAnsi="Arial" w:hint="cs"/>
          <w:sz w:val="27"/>
          <w:rtl/>
        </w:rPr>
        <w:t>ْ</w:t>
      </w:r>
      <w:r w:rsidRPr="006571AC">
        <w:rPr>
          <w:rFonts w:ascii="Arial" w:eastAsia="MS Mincho" w:hAnsi="Arial"/>
          <w:sz w:val="27"/>
          <w:rtl/>
        </w:rPr>
        <w:t xml:space="preserve"> بلغه عن</w:t>
      </w:r>
      <w:r w:rsidRPr="006571AC">
        <w:rPr>
          <w:rFonts w:ascii="Arial" w:eastAsia="MS Mincho" w:hAnsi="Arial" w:hint="cs"/>
          <w:sz w:val="27"/>
          <w:rtl/>
        </w:rPr>
        <w:t xml:space="preserve"> </w:t>
      </w:r>
      <w:r w:rsidRPr="006571AC">
        <w:rPr>
          <w:rFonts w:ascii="Arial" w:eastAsia="MS Mincho" w:hAnsi="Arial"/>
          <w:sz w:val="27"/>
          <w:rtl/>
        </w:rPr>
        <w:t>الله تعالى فضيلة فأخذها وعمل بما فيها</w:t>
      </w:r>
      <w:r w:rsidR="00950CDA" w:rsidRPr="006571AC">
        <w:rPr>
          <w:rFonts w:ascii="Arial" w:eastAsia="MS Mincho" w:hAnsi="Arial" w:hint="cs"/>
          <w:sz w:val="27"/>
          <w:rtl/>
        </w:rPr>
        <w:t>؛</w:t>
      </w:r>
      <w:r w:rsidRPr="006571AC">
        <w:rPr>
          <w:rFonts w:ascii="Arial" w:eastAsia="MS Mincho" w:hAnsi="Arial"/>
          <w:sz w:val="27"/>
          <w:rtl/>
        </w:rPr>
        <w:t xml:space="preserve"> إيمانا</w:t>
      </w:r>
      <w:r w:rsidRPr="006571AC">
        <w:rPr>
          <w:rFonts w:ascii="Arial" w:eastAsia="MS Mincho" w:hAnsi="Arial" w:hint="cs"/>
          <w:sz w:val="27"/>
          <w:rtl/>
        </w:rPr>
        <w:t>ً</w:t>
      </w:r>
      <w:r w:rsidRPr="006571AC">
        <w:rPr>
          <w:rFonts w:ascii="Arial" w:eastAsia="MS Mincho" w:hAnsi="Arial"/>
          <w:sz w:val="27"/>
          <w:rtl/>
        </w:rPr>
        <w:t xml:space="preserve"> بالله ورجاء</w:t>
      </w:r>
      <w:r w:rsidR="00950CDA" w:rsidRPr="006571AC">
        <w:rPr>
          <w:rFonts w:ascii="Arial" w:eastAsia="MS Mincho" w:hAnsi="Arial" w:hint="cs"/>
          <w:sz w:val="27"/>
          <w:rtl/>
        </w:rPr>
        <w:t>َ</w:t>
      </w:r>
      <w:r w:rsidRPr="006571AC">
        <w:rPr>
          <w:rFonts w:ascii="Arial" w:eastAsia="MS Mincho" w:hAnsi="Arial"/>
          <w:sz w:val="27"/>
          <w:rtl/>
        </w:rPr>
        <w:t xml:space="preserve"> ثوابه، أعطاه الله تعالى</w:t>
      </w:r>
      <w:r w:rsidRPr="006571AC">
        <w:rPr>
          <w:rFonts w:ascii="Arial" w:eastAsia="MS Mincho" w:hAnsi="Arial" w:hint="cs"/>
          <w:sz w:val="27"/>
          <w:rtl/>
        </w:rPr>
        <w:t xml:space="preserve"> </w:t>
      </w:r>
      <w:r w:rsidRPr="006571AC">
        <w:rPr>
          <w:rFonts w:ascii="Arial" w:eastAsia="MS Mincho" w:hAnsi="Arial"/>
          <w:sz w:val="27"/>
          <w:rtl/>
        </w:rPr>
        <w:t>ذلك، وإن</w:t>
      </w:r>
      <w:r w:rsidR="00950CDA" w:rsidRPr="006571AC">
        <w:rPr>
          <w:rFonts w:ascii="Arial" w:eastAsia="MS Mincho" w:hAnsi="Arial" w:hint="cs"/>
          <w:sz w:val="27"/>
          <w:rtl/>
        </w:rPr>
        <w:t>ْ</w:t>
      </w:r>
      <w:r w:rsidRPr="006571AC">
        <w:rPr>
          <w:rFonts w:ascii="Arial" w:eastAsia="MS Mincho" w:hAnsi="Arial"/>
          <w:sz w:val="27"/>
          <w:rtl/>
        </w:rPr>
        <w:t xml:space="preserve"> لم يكن كذلك</w:t>
      </w:r>
      <w:r w:rsidR="00950CDA"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69"/>
      </w:r>
      <w:r w:rsidRPr="006571AC">
        <w:rPr>
          <w:rFonts w:ascii="Arial" w:eastAsia="MS Mincho" w:hAnsi="Arial"/>
          <w:sz w:val="27"/>
          <w:vertAlign w:val="superscript"/>
          <w:rtl/>
        </w:rPr>
        <w:t>)</w:t>
      </w:r>
      <w:r w:rsidRPr="006571AC">
        <w:rPr>
          <w:rFonts w:ascii="Arial" w:eastAsia="MS Mincho" w:hAnsi="Arial" w:hint="cs"/>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sz w:val="27"/>
          <w:rtl/>
        </w:rPr>
        <w:t xml:space="preserve">وقال الشيخ الأنصاري: </w:t>
      </w:r>
      <w:r w:rsidRPr="006571AC">
        <w:rPr>
          <w:rFonts w:hint="eastAsia"/>
          <w:sz w:val="24"/>
          <w:szCs w:val="24"/>
          <w:rtl/>
        </w:rPr>
        <w:t>«</w:t>
      </w:r>
      <w:r w:rsidRPr="006571AC">
        <w:rPr>
          <w:rFonts w:ascii="Arial" w:eastAsia="MS Mincho" w:hAnsi="Arial"/>
          <w:sz w:val="27"/>
          <w:rtl/>
        </w:rPr>
        <w:t>الم</w:t>
      </w:r>
      <w:r w:rsidR="00950CDA" w:rsidRPr="006571AC">
        <w:rPr>
          <w:rFonts w:ascii="Arial" w:eastAsia="MS Mincho" w:hAnsi="Arial" w:hint="cs"/>
          <w:sz w:val="27"/>
          <w:rtl/>
        </w:rPr>
        <w:t>ُ</w:t>
      </w:r>
      <w:r w:rsidRPr="006571AC">
        <w:rPr>
          <w:rFonts w:ascii="Arial" w:eastAsia="MS Mincho" w:hAnsi="Arial"/>
          <w:sz w:val="27"/>
          <w:rtl/>
        </w:rPr>
        <w:t>راد بالخبر الضعيف في القصص والمواعظ هو نقلها واستماعها</w:t>
      </w:r>
      <w:r w:rsidRPr="006571AC">
        <w:rPr>
          <w:rFonts w:ascii="Arial" w:eastAsia="MS Mincho" w:hAnsi="Arial" w:hint="cs"/>
          <w:sz w:val="27"/>
          <w:rtl/>
        </w:rPr>
        <w:t xml:space="preserve"> </w:t>
      </w:r>
      <w:r w:rsidRPr="006571AC">
        <w:rPr>
          <w:rFonts w:ascii="Arial" w:eastAsia="MS Mincho" w:hAnsi="Arial"/>
          <w:sz w:val="27"/>
          <w:rtl/>
        </w:rPr>
        <w:t>وضبطها في القلب</w:t>
      </w:r>
      <w:r w:rsidR="00950CDA" w:rsidRPr="006571AC">
        <w:rPr>
          <w:rFonts w:ascii="Arial" w:eastAsia="MS Mincho" w:hAnsi="Arial" w:hint="cs"/>
          <w:sz w:val="27"/>
          <w:rtl/>
        </w:rPr>
        <w:t>،</w:t>
      </w:r>
      <w:r w:rsidRPr="006571AC">
        <w:rPr>
          <w:rFonts w:ascii="Arial" w:eastAsia="MS Mincho" w:hAnsi="Arial"/>
          <w:sz w:val="27"/>
          <w:rtl/>
        </w:rPr>
        <w:t xml:space="preserve"> وترتيب الآثار عليها، عدا ما يتعل</w:t>
      </w:r>
      <w:r w:rsidR="00950CDA" w:rsidRPr="006571AC">
        <w:rPr>
          <w:rFonts w:ascii="Arial" w:eastAsia="MS Mincho" w:hAnsi="Arial" w:hint="cs"/>
          <w:sz w:val="27"/>
          <w:rtl/>
        </w:rPr>
        <w:t>َّ</w:t>
      </w:r>
      <w:r w:rsidRPr="006571AC">
        <w:rPr>
          <w:rFonts w:ascii="Arial" w:eastAsia="MS Mincho" w:hAnsi="Arial"/>
          <w:sz w:val="27"/>
          <w:rtl/>
        </w:rPr>
        <w:t>ق بالواجب والحرام</w:t>
      </w:r>
      <w:r w:rsidR="00950CDA" w:rsidRPr="006571AC">
        <w:rPr>
          <w:rFonts w:ascii="Arial" w:eastAsia="MS Mincho" w:hAnsi="Arial" w:hint="cs"/>
          <w:sz w:val="27"/>
          <w:rtl/>
        </w:rPr>
        <w:t>.</w:t>
      </w:r>
      <w:r w:rsidRPr="006571AC">
        <w:rPr>
          <w:rFonts w:ascii="Arial" w:eastAsia="MS Mincho" w:hAnsi="Arial" w:hint="cs"/>
          <w:sz w:val="27"/>
          <w:rtl/>
        </w:rPr>
        <w:t xml:space="preserve"> </w:t>
      </w:r>
      <w:r w:rsidRPr="006571AC">
        <w:rPr>
          <w:rFonts w:ascii="Arial" w:eastAsia="MS Mincho" w:hAnsi="Arial"/>
          <w:sz w:val="27"/>
          <w:rtl/>
        </w:rPr>
        <w:t xml:space="preserve">والحاصل: </w:t>
      </w:r>
      <w:r w:rsidR="00950CDA" w:rsidRPr="006571AC">
        <w:rPr>
          <w:rFonts w:ascii="Arial" w:eastAsia="MS Mincho" w:hAnsi="Arial" w:hint="cs"/>
          <w:sz w:val="27"/>
          <w:rtl/>
        </w:rPr>
        <w:t>إ</w:t>
      </w:r>
      <w:r w:rsidRPr="006571AC">
        <w:rPr>
          <w:rFonts w:ascii="Arial" w:eastAsia="MS Mincho" w:hAnsi="Arial"/>
          <w:sz w:val="27"/>
          <w:rtl/>
        </w:rPr>
        <w:t>ن العمل بكل</w:t>
      </w:r>
      <w:r w:rsidR="00950CDA" w:rsidRPr="006571AC">
        <w:rPr>
          <w:rFonts w:ascii="Arial" w:eastAsia="MS Mincho" w:hAnsi="Arial" w:hint="cs"/>
          <w:sz w:val="27"/>
          <w:rtl/>
        </w:rPr>
        <w:t>ّ</w:t>
      </w:r>
      <w:r w:rsidRPr="006571AC">
        <w:rPr>
          <w:rFonts w:ascii="Arial" w:eastAsia="MS Mincho" w:hAnsi="Arial"/>
          <w:sz w:val="27"/>
          <w:rtl/>
        </w:rPr>
        <w:t xml:space="preserve"> ش</w:t>
      </w:r>
      <w:r w:rsidRPr="006571AC">
        <w:rPr>
          <w:rFonts w:ascii="Arial" w:eastAsia="MS Mincho" w:hAnsi="Arial" w:hint="cs"/>
          <w:sz w:val="27"/>
          <w:rtl/>
        </w:rPr>
        <w:t>يء</w:t>
      </w:r>
      <w:r w:rsidR="00950CDA" w:rsidRPr="006571AC">
        <w:rPr>
          <w:rFonts w:ascii="Arial" w:eastAsia="MS Mincho" w:hAnsi="Arial" w:hint="cs"/>
          <w:sz w:val="27"/>
          <w:rtl/>
        </w:rPr>
        <w:t>ٍ</w:t>
      </w:r>
      <w:r w:rsidRPr="006571AC">
        <w:rPr>
          <w:rFonts w:ascii="Arial" w:eastAsia="MS Mincho" w:hAnsi="Arial"/>
          <w:sz w:val="27"/>
          <w:rtl/>
        </w:rPr>
        <w:t xml:space="preserve"> على ح</w:t>
      </w:r>
      <w:r w:rsidR="00950CDA" w:rsidRPr="006571AC">
        <w:rPr>
          <w:rFonts w:ascii="Arial" w:eastAsia="MS Mincho" w:hAnsi="Arial" w:hint="cs"/>
          <w:sz w:val="27"/>
          <w:rtl/>
        </w:rPr>
        <w:t>َ</w:t>
      </w:r>
      <w:r w:rsidRPr="006571AC">
        <w:rPr>
          <w:rFonts w:ascii="Arial" w:eastAsia="MS Mincho" w:hAnsi="Arial"/>
          <w:sz w:val="27"/>
          <w:rtl/>
        </w:rPr>
        <w:t>س</w:t>
      </w:r>
      <w:r w:rsidR="00950CDA" w:rsidRPr="006571AC">
        <w:rPr>
          <w:rFonts w:ascii="Arial" w:eastAsia="MS Mincho" w:hAnsi="Arial" w:hint="cs"/>
          <w:sz w:val="27"/>
          <w:rtl/>
        </w:rPr>
        <w:t>َ</w:t>
      </w:r>
      <w:r w:rsidRPr="006571AC">
        <w:rPr>
          <w:rFonts w:ascii="Arial" w:eastAsia="MS Mincho" w:hAnsi="Arial"/>
          <w:sz w:val="27"/>
          <w:rtl/>
        </w:rPr>
        <w:t>ب ذلك الش</w:t>
      </w:r>
      <w:r w:rsidRPr="006571AC">
        <w:rPr>
          <w:rFonts w:ascii="Arial" w:eastAsia="MS Mincho" w:hAnsi="Arial" w:hint="cs"/>
          <w:sz w:val="27"/>
          <w:rtl/>
        </w:rPr>
        <w:t>يء</w:t>
      </w:r>
      <w:r w:rsidR="00950CDA" w:rsidRPr="006571AC">
        <w:rPr>
          <w:rFonts w:ascii="Arial" w:eastAsia="MS Mincho" w:hAnsi="Arial" w:hint="cs"/>
          <w:sz w:val="27"/>
          <w:rtl/>
        </w:rPr>
        <w:t>.</w:t>
      </w:r>
      <w:r w:rsidRPr="006571AC">
        <w:rPr>
          <w:rFonts w:ascii="Arial" w:eastAsia="MS Mincho" w:hAnsi="Arial"/>
          <w:sz w:val="27"/>
          <w:rtl/>
        </w:rPr>
        <w:t xml:space="preserve"> وهذا أمر</w:t>
      </w:r>
      <w:r w:rsidR="00950CDA" w:rsidRPr="006571AC">
        <w:rPr>
          <w:rFonts w:ascii="Arial" w:eastAsia="MS Mincho" w:hAnsi="Arial" w:hint="cs"/>
          <w:sz w:val="27"/>
          <w:rtl/>
        </w:rPr>
        <w:t>ٌ</w:t>
      </w:r>
      <w:r w:rsidRPr="006571AC">
        <w:rPr>
          <w:rFonts w:ascii="Arial" w:eastAsia="MS Mincho" w:hAnsi="Arial" w:hint="cs"/>
          <w:sz w:val="27"/>
          <w:rtl/>
        </w:rPr>
        <w:t xml:space="preserve"> </w:t>
      </w:r>
      <w:r w:rsidRPr="006571AC">
        <w:rPr>
          <w:rFonts w:ascii="Arial" w:eastAsia="MS Mincho" w:hAnsi="Arial"/>
          <w:sz w:val="27"/>
          <w:rtl/>
        </w:rPr>
        <w:t>وجداني</w:t>
      </w:r>
      <w:r w:rsidR="00950CDA" w:rsidRPr="006571AC">
        <w:rPr>
          <w:rFonts w:ascii="Arial" w:eastAsia="MS Mincho" w:hAnsi="Arial" w:hint="cs"/>
          <w:sz w:val="27"/>
          <w:rtl/>
        </w:rPr>
        <w:t>ّ</w:t>
      </w:r>
      <w:r w:rsidRPr="006571AC">
        <w:rPr>
          <w:rFonts w:ascii="Arial" w:eastAsia="MS Mincho" w:hAnsi="Arial"/>
          <w:sz w:val="27"/>
          <w:rtl/>
        </w:rPr>
        <w:t xml:space="preserve"> لا ي</w:t>
      </w:r>
      <w:r w:rsidR="00950CDA" w:rsidRPr="006571AC">
        <w:rPr>
          <w:rFonts w:ascii="Arial" w:eastAsia="MS Mincho" w:hAnsi="Arial" w:hint="cs"/>
          <w:sz w:val="27"/>
          <w:rtl/>
        </w:rPr>
        <w:t>ُ</w:t>
      </w:r>
      <w:r w:rsidRPr="006571AC">
        <w:rPr>
          <w:rFonts w:ascii="Arial" w:eastAsia="MS Mincho" w:hAnsi="Arial"/>
          <w:sz w:val="27"/>
          <w:rtl/>
        </w:rPr>
        <w:t>ن</w:t>
      </w:r>
      <w:r w:rsidR="00950CDA" w:rsidRPr="006571AC">
        <w:rPr>
          <w:rFonts w:ascii="Arial" w:eastAsia="MS Mincho" w:hAnsi="Arial" w:hint="cs"/>
          <w:sz w:val="27"/>
          <w:rtl/>
        </w:rPr>
        <w:t>ْ</w:t>
      </w:r>
      <w:r w:rsidRPr="006571AC">
        <w:rPr>
          <w:rFonts w:ascii="Arial" w:eastAsia="MS Mincho" w:hAnsi="Arial"/>
          <w:sz w:val="27"/>
          <w:rtl/>
        </w:rPr>
        <w:t>ك</w:t>
      </w:r>
      <w:r w:rsidR="00950CDA" w:rsidRPr="006571AC">
        <w:rPr>
          <w:rFonts w:ascii="Arial" w:eastAsia="MS Mincho" w:hAnsi="Arial" w:hint="cs"/>
          <w:sz w:val="27"/>
          <w:rtl/>
        </w:rPr>
        <w:t>َ</w:t>
      </w:r>
      <w:r w:rsidRPr="006571AC">
        <w:rPr>
          <w:rFonts w:ascii="Arial" w:eastAsia="MS Mincho" w:hAnsi="Arial"/>
          <w:sz w:val="27"/>
          <w:rtl/>
        </w:rPr>
        <w:t>ر</w:t>
      </w:r>
      <w:r w:rsidR="003364CE" w:rsidRPr="006571AC">
        <w:rPr>
          <w:rFonts w:ascii="Arial" w:eastAsia="MS Mincho" w:hAnsi="Arial" w:hint="cs"/>
          <w:sz w:val="27"/>
          <w:rtl/>
        </w:rPr>
        <w:t>.</w:t>
      </w:r>
      <w:r w:rsidRPr="006571AC">
        <w:rPr>
          <w:rFonts w:ascii="Arial" w:eastAsia="MS Mincho" w:hAnsi="Arial"/>
          <w:sz w:val="27"/>
          <w:rtl/>
        </w:rPr>
        <w:t xml:space="preserve"> ويدخل حكاية فضائل أهل البيت</w:t>
      </w:r>
      <w:r w:rsidR="002A2C90" w:rsidRPr="006571AC">
        <w:rPr>
          <w:rFonts w:ascii="Mosawi" w:hAnsi="Mosawi" w:cs="Mosawi"/>
          <w:sz w:val="22"/>
          <w:szCs w:val="22"/>
          <w:rtl/>
        </w:rPr>
        <w:t>^</w:t>
      </w:r>
      <w:r w:rsidRPr="006571AC">
        <w:rPr>
          <w:rFonts w:ascii="Arial" w:eastAsia="MS Mincho" w:hAnsi="Arial"/>
          <w:sz w:val="27"/>
          <w:rtl/>
        </w:rPr>
        <w:t xml:space="preserve"> ومصائبهم، ويدخل</w:t>
      </w:r>
      <w:r w:rsidRPr="006571AC">
        <w:rPr>
          <w:rFonts w:ascii="Arial" w:eastAsia="MS Mincho" w:hAnsi="Arial" w:hint="cs"/>
          <w:sz w:val="27"/>
          <w:rtl/>
        </w:rPr>
        <w:t xml:space="preserve"> </w:t>
      </w:r>
      <w:r w:rsidRPr="006571AC">
        <w:rPr>
          <w:rFonts w:ascii="Arial" w:eastAsia="MS Mincho" w:hAnsi="Arial"/>
          <w:sz w:val="27"/>
          <w:rtl/>
        </w:rPr>
        <w:t>في العمل ال</w:t>
      </w:r>
      <w:r w:rsidR="003364CE" w:rsidRPr="006571AC">
        <w:rPr>
          <w:rFonts w:ascii="Arial" w:eastAsia="MS Mincho" w:hAnsi="Arial" w:hint="cs"/>
          <w:sz w:val="27"/>
          <w:rtl/>
        </w:rPr>
        <w:t>إ</w:t>
      </w:r>
      <w:r w:rsidRPr="006571AC">
        <w:rPr>
          <w:rFonts w:ascii="Arial" w:eastAsia="MS Mincho" w:hAnsi="Arial"/>
          <w:sz w:val="27"/>
          <w:rtl/>
        </w:rPr>
        <w:t>خبار بوقوعها من دون نسبة</w:t>
      </w:r>
      <w:r w:rsidR="003364CE" w:rsidRPr="006571AC">
        <w:rPr>
          <w:rFonts w:ascii="Arial" w:eastAsia="MS Mincho" w:hAnsi="Arial" w:hint="cs"/>
          <w:sz w:val="27"/>
          <w:rtl/>
        </w:rPr>
        <w:t>ٍ</w:t>
      </w:r>
      <w:r w:rsidRPr="006571AC">
        <w:rPr>
          <w:rFonts w:ascii="Arial" w:eastAsia="MS Mincho" w:hAnsi="Arial"/>
          <w:sz w:val="27"/>
          <w:rtl/>
        </w:rPr>
        <w:t xml:space="preserve"> إلى الحكاية على حد</w:t>
      </w:r>
      <w:r w:rsidR="003364CE" w:rsidRPr="006571AC">
        <w:rPr>
          <w:rFonts w:ascii="Arial" w:eastAsia="MS Mincho" w:hAnsi="Arial" w:hint="cs"/>
          <w:sz w:val="27"/>
          <w:rtl/>
        </w:rPr>
        <w:t>ّ</w:t>
      </w:r>
      <w:r w:rsidRPr="006571AC">
        <w:rPr>
          <w:rFonts w:ascii="Arial" w:eastAsia="MS Mincho" w:hAnsi="Arial"/>
          <w:sz w:val="27"/>
          <w:rtl/>
        </w:rPr>
        <w:t xml:space="preserve"> ال</w:t>
      </w:r>
      <w:r w:rsidR="003364CE" w:rsidRPr="006571AC">
        <w:rPr>
          <w:rFonts w:ascii="Arial" w:eastAsia="MS Mincho" w:hAnsi="Arial" w:hint="cs"/>
          <w:sz w:val="27"/>
          <w:rtl/>
        </w:rPr>
        <w:t>إ</w:t>
      </w:r>
      <w:r w:rsidRPr="006571AC">
        <w:rPr>
          <w:rFonts w:ascii="Arial" w:eastAsia="MS Mincho" w:hAnsi="Arial"/>
          <w:sz w:val="27"/>
          <w:rtl/>
        </w:rPr>
        <w:t>خبار بالأمور</w:t>
      </w:r>
      <w:r w:rsidRPr="006571AC">
        <w:rPr>
          <w:rFonts w:ascii="Arial" w:eastAsia="MS Mincho" w:hAnsi="Arial" w:hint="cs"/>
          <w:sz w:val="27"/>
          <w:rtl/>
        </w:rPr>
        <w:t xml:space="preserve"> </w:t>
      </w:r>
      <w:r w:rsidRPr="006571AC">
        <w:rPr>
          <w:rFonts w:ascii="Arial" w:eastAsia="MS Mincho" w:hAnsi="Arial"/>
          <w:sz w:val="27"/>
          <w:rtl/>
        </w:rPr>
        <w:t>الواردة بالطرق المعتبرة، بأن يقال: كان أمير المؤمنين</w:t>
      </w:r>
      <w:r w:rsidR="002A2C90" w:rsidRPr="006571AC">
        <w:rPr>
          <w:rFonts w:ascii="Mosawi" w:hAnsi="Mosawi" w:cs="Mosawi"/>
          <w:sz w:val="22"/>
          <w:szCs w:val="22"/>
          <w:rtl/>
        </w:rPr>
        <w:t>×</w:t>
      </w:r>
      <w:r w:rsidRPr="006571AC">
        <w:rPr>
          <w:rFonts w:ascii="Arial" w:eastAsia="MS Mincho" w:hAnsi="Arial"/>
          <w:sz w:val="27"/>
          <w:rtl/>
        </w:rPr>
        <w:t xml:space="preserve"> يصل</w:t>
      </w:r>
      <w:r w:rsidR="003364CE" w:rsidRPr="006571AC">
        <w:rPr>
          <w:rFonts w:ascii="Arial" w:eastAsia="MS Mincho" w:hAnsi="Arial" w:hint="cs"/>
          <w:sz w:val="27"/>
          <w:rtl/>
        </w:rPr>
        <w:t>ّ</w:t>
      </w:r>
      <w:r w:rsidRPr="006571AC">
        <w:rPr>
          <w:rFonts w:ascii="Arial" w:eastAsia="MS Mincho" w:hAnsi="Arial"/>
          <w:sz w:val="27"/>
          <w:rtl/>
        </w:rPr>
        <w:t>ي كذا</w:t>
      </w:r>
      <w:r w:rsidR="003364CE" w:rsidRPr="006571AC">
        <w:rPr>
          <w:rFonts w:ascii="Arial" w:eastAsia="MS Mincho" w:hAnsi="Arial" w:hint="cs"/>
          <w:sz w:val="27"/>
          <w:rtl/>
        </w:rPr>
        <w:t>،</w:t>
      </w:r>
      <w:r w:rsidRPr="006571AC">
        <w:rPr>
          <w:rFonts w:ascii="Arial" w:eastAsia="MS Mincho" w:hAnsi="Arial"/>
          <w:sz w:val="27"/>
          <w:rtl/>
        </w:rPr>
        <w:t xml:space="preserve"> ويبكي</w:t>
      </w:r>
      <w:r w:rsidRPr="006571AC">
        <w:rPr>
          <w:rFonts w:ascii="Arial" w:eastAsia="MS Mincho" w:hAnsi="Arial" w:hint="cs"/>
          <w:sz w:val="27"/>
          <w:rtl/>
        </w:rPr>
        <w:t xml:space="preserve"> </w:t>
      </w:r>
      <w:r w:rsidRPr="006571AC">
        <w:rPr>
          <w:rFonts w:ascii="Arial" w:eastAsia="MS Mincho" w:hAnsi="Arial"/>
          <w:sz w:val="27"/>
          <w:rtl/>
        </w:rPr>
        <w:t>كذا، ونزل على مولانا سي</w:t>
      </w:r>
      <w:r w:rsidR="003364CE" w:rsidRPr="006571AC">
        <w:rPr>
          <w:rFonts w:ascii="Arial" w:eastAsia="MS Mincho" w:hAnsi="Arial" w:hint="cs"/>
          <w:sz w:val="27"/>
          <w:rtl/>
        </w:rPr>
        <w:t>ّ</w:t>
      </w:r>
      <w:r w:rsidRPr="006571AC">
        <w:rPr>
          <w:rFonts w:ascii="Arial" w:eastAsia="MS Mincho" w:hAnsi="Arial"/>
          <w:sz w:val="27"/>
          <w:rtl/>
        </w:rPr>
        <w:t>د الشهداء</w:t>
      </w:r>
      <w:r w:rsidR="002A2C90" w:rsidRPr="006571AC">
        <w:rPr>
          <w:rFonts w:ascii="Mosawi" w:hAnsi="Mosawi" w:cs="Mosawi"/>
          <w:sz w:val="22"/>
          <w:szCs w:val="22"/>
          <w:rtl/>
        </w:rPr>
        <w:t>×</w:t>
      </w:r>
      <w:r w:rsidRPr="006571AC">
        <w:rPr>
          <w:rFonts w:ascii="Arial" w:eastAsia="MS Mincho" w:hAnsi="Arial"/>
          <w:sz w:val="27"/>
          <w:rtl/>
        </w:rPr>
        <w:t xml:space="preserve"> كذا وكذا</w:t>
      </w:r>
      <w:r w:rsidR="003364CE" w:rsidRPr="006571AC">
        <w:rPr>
          <w:rFonts w:ascii="Arial" w:eastAsia="MS Mincho" w:hAnsi="Arial" w:hint="cs"/>
          <w:sz w:val="27"/>
          <w:rtl/>
        </w:rPr>
        <w:t>.</w:t>
      </w:r>
      <w:r w:rsidRPr="006571AC">
        <w:rPr>
          <w:rFonts w:ascii="Arial" w:eastAsia="MS Mincho" w:hAnsi="Arial"/>
          <w:sz w:val="27"/>
          <w:rtl/>
        </w:rPr>
        <w:t xml:space="preserve"> ولا يجوز ذلك في الأخبار</w:t>
      </w:r>
      <w:r w:rsidRPr="006571AC">
        <w:rPr>
          <w:rFonts w:ascii="Arial" w:eastAsia="MS Mincho" w:hAnsi="Arial" w:hint="cs"/>
          <w:sz w:val="27"/>
          <w:rtl/>
        </w:rPr>
        <w:t xml:space="preserve"> </w:t>
      </w:r>
      <w:r w:rsidRPr="006571AC">
        <w:rPr>
          <w:rFonts w:ascii="Arial" w:eastAsia="MS Mincho" w:hAnsi="Arial"/>
          <w:sz w:val="27"/>
          <w:rtl/>
        </w:rPr>
        <w:t>الكاذبة، وإن</w:t>
      </w:r>
      <w:r w:rsidR="003364CE" w:rsidRPr="006571AC">
        <w:rPr>
          <w:rFonts w:ascii="Arial" w:eastAsia="MS Mincho" w:hAnsi="Arial" w:hint="cs"/>
          <w:sz w:val="27"/>
          <w:rtl/>
        </w:rPr>
        <w:t>ْ</w:t>
      </w:r>
      <w:r w:rsidRPr="006571AC">
        <w:rPr>
          <w:rFonts w:ascii="Arial" w:eastAsia="MS Mincho" w:hAnsi="Arial"/>
          <w:sz w:val="27"/>
          <w:rtl/>
        </w:rPr>
        <w:t xml:space="preserve"> كان يجوز حكايتها</w:t>
      </w:r>
      <w:r w:rsidR="003364CE" w:rsidRPr="006571AC">
        <w:rPr>
          <w:rFonts w:ascii="Arial" w:eastAsia="MS Mincho" w:hAnsi="Arial" w:hint="cs"/>
          <w:sz w:val="27"/>
          <w:rtl/>
        </w:rPr>
        <w:t>؛</w:t>
      </w:r>
      <w:r w:rsidRPr="006571AC">
        <w:rPr>
          <w:rFonts w:ascii="Arial" w:eastAsia="MS Mincho" w:hAnsi="Arial"/>
          <w:sz w:val="27"/>
          <w:rtl/>
        </w:rPr>
        <w:t xml:space="preserve"> فإن</w:t>
      </w:r>
      <w:r w:rsidRPr="006571AC">
        <w:rPr>
          <w:rFonts w:ascii="Arial" w:eastAsia="MS Mincho" w:hAnsi="Arial" w:hint="cs"/>
          <w:sz w:val="27"/>
          <w:rtl/>
        </w:rPr>
        <w:t>ّ</w:t>
      </w:r>
      <w:r w:rsidRPr="006571AC">
        <w:rPr>
          <w:rFonts w:ascii="Arial" w:eastAsia="MS Mincho" w:hAnsi="Arial"/>
          <w:sz w:val="27"/>
          <w:rtl/>
        </w:rPr>
        <w:t xml:space="preserve"> حكاية الخبر الكاذب ليس كذبا</w:t>
      </w:r>
      <w:r w:rsidRPr="006571AC">
        <w:rPr>
          <w:rFonts w:ascii="Arial" w:eastAsia="MS Mincho" w:hAnsi="Arial" w:hint="cs"/>
          <w:sz w:val="27"/>
          <w:rtl/>
        </w:rPr>
        <w:t>ً</w:t>
      </w:r>
      <w:r w:rsidRPr="006571AC">
        <w:rPr>
          <w:rFonts w:ascii="Arial" w:eastAsia="MS Mincho" w:hAnsi="Arial"/>
          <w:sz w:val="27"/>
          <w:rtl/>
        </w:rPr>
        <w:t>، مع أنه</w:t>
      </w:r>
      <w:r w:rsidRPr="006571AC">
        <w:rPr>
          <w:rFonts w:ascii="Arial" w:eastAsia="MS Mincho" w:hAnsi="Arial" w:hint="cs"/>
          <w:sz w:val="27"/>
          <w:rtl/>
        </w:rPr>
        <w:t xml:space="preserve"> </w:t>
      </w:r>
      <w:r w:rsidRPr="006571AC">
        <w:rPr>
          <w:rFonts w:ascii="Arial" w:eastAsia="MS Mincho" w:hAnsi="Arial"/>
          <w:sz w:val="27"/>
          <w:rtl/>
        </w:rPr>
        <w:t>لا يبعد عدم الجواز</w:t>
      </w:r>
      <w:r w:rsidR="003364CE" w:rsidRPr="006571AC">
        <w:rPr>
          <w:rFonts w:ascii="Arial" w:eastAsia="MS Mincho" w:hAnsi="Arial" w:hint="cs"/>
          <w:sz w:val="27"/>
          <w:rtl/>
        </w:rPr>
        <w:t>،</w:t>
      </w:r>
      <w:r w:rsidRPr="006571AC">
        <w:rPr>
          <w:rFonts w:ascii="Arial" w:eastAsia="MS Mincho" w:hAnsi="Arial"/>
          <w:sz w:val="27"/>
          <w:rtl/>
        </w:rPr>
        <w:t xml:space="preserve"> إلا</w:t>
      </w:r>
      <w:r w:rsidR="003364CE" w:rsidRPr="006571AC">
        <w:rPr>
          <w:rFonts w:ascii="Arial" w:eastAsia="MS Mincho" w:hAnsi="Arial" w:hint="cs"/>
          <w:sz w:val="27"/>
          <w:rtl/>
        </w:rPr>
        <w:t>ّ</w:t>
      </w:r>
      <w:r w:rsidRPr="006571AC">
        <w:rPr>
          <w:rFonts w:ascii="Arial" w:eastAsia="MS Mincho" w:hAnsi="Arial"/>
          <w:sz w:val="27"/>
          <w:rtl/>
        </w:rPr>
        <w:t xml:space="preserve"> </w:t>
      </w:r>
      <w:r w:rsidRPr="006571AC">
        <w:rPr>
          <w:rFonts w:ascii="Arial" w:eastAsia="MS Mincho" w:hAnsi="Arial"/>
          <w:sz w:val="27"/>
          <w:rtl/>
        </w:rPr>
        <w:lastRenderedPageBreak/>
        <w:t>مع بيان كونها كاذبة</w:t>
      </w:r>
      <w:r w:rsidR="003364CE" w:rsidRPr="006571AC">
        <w:rPr>
          <w:rFonts w:ascii="Arial" w:eastAsia="MS Mincho" w:hAnsi="Arial" w:hint="cs"/>
          <w:sz w:val="27"/>
          <w:rtl/>
        </w:rPr>
        <w:t>ً</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70"/>
      </w:r>
      <w:r w:rsidRPr="006571AC">
        <w:rPr>
          <w:rFonts w:ascii="Arial" w:eastAsia="MS Mincho" w:hAnsi="Arial"/>
          <w:sz w:val="27"/>
          <w:vertAlign w:val="superscript"/>
          <w:rtl/>
        </w:rPr>
        <w:t>)</w:t>
      </w:r>
      <w:r w:rsidRPr="006571AC">
        <w:rPr>
          <w:rFonts w:ascii="Arial" w:eastAsia="MS Mincho" w:hAnsi="Arial" w:hint="cs"/>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sz w:val="27"/>
          <w:rtl/>
        </w:rPr>
        <w:t>وتعليقاً على كلام الع</w:t>
      </w:r>
      <w:r w:rsidR="003364CE" w:rsidRPr="006571AC">
        <w:rPr>
          <w:rFonts w:ascii="Arial" w:eastAsia="MS Mincho" w:hAnsi="Arial" w:hint="cs"/>
          <w:sz w:val="27"/>
          <w:rtl/>
        </w:rPr>
        <w:t>َ</w:t>
      </w:r>
      <w:r w:rsidRPr="006571AC">
        <w:rPr>
          <w:rFonts w:ascii="Arial" w:eastAsia="MS Mincho" w:hAnsi="Arial" w:hint="cs"/>
          <w:sz w:val="27"/>
          <w:rtl/>
        </w:rPr>
        <w:t>ل</w:t>
      </w:r>
      <w:r w:rsidR="003364CE" w:rsidRPr="006571AC">
        <w:rPr>
          <w:rFonts w:ascii="Arial" w:eastAsia="MS Mincho" w:hAnsi="Arial" w:hint="cs"/>
          <w:sz w:val="27"/>
          <w:rtl/>
        </w:rPr>
        <w:t>َ</w:t>
      </w:r>
      <w:r w:rsidRPr="006571AC">
        <w:rPr>
          <w:rFonts w:ascii="Arial" w:eastAsia="MS Mincho" w:hAnsi="Arial" w:hint="cs"/>
          <w:sz w:val="27"/>
          <w:rtl/>
        </w:rPr>
        <w:t>مين (الشهيد الثاني والأنصاري) نقول: إنّ فضائل الأعمال ي</w:t>
      </w:r>
      <w:r w:rsidR="003364CE" w:rsidRPr="006571AC">
        <w:rPr>
          <w:rFonts w:ascii="Arial" w:eastAsia="MS Mincho" w:hAnsi="Arial" w:hint="cs"/>
          <w:sz w:val="27"/>
          <w:rtl/>
        </w:rPr>
        <w:t>ُ</w:t>
      </w:r>
      <w:r w:rsidRPr="006571AC">
        <w:rPr>
          <w:rFonts w:ascii="Arial" w:eastAsia="MS Mincho" w:hAnsi="Arial" w:hint="cs"/>
          <w:sz w:val="27"/>
          <w:rtl/>
        </w:rPr>
        <w:t>راد بها ثواب العمل المسنون، فمرد</w:t>
      </w:r>
      <w:r w:rsidR="00725B56" w:rsidRPr="006571AC">
        <w:rPr>
          <w:rFonts w:ascii="Arial" w:eastAsia="MS Mincho" w:hAnsi="Arial" w:hint="cs"/>
          <w:sz w:val="27"/>
          <w:rtl/>
        </w:rPr>
        <w:t>ُّ</w:t>
      </w:r>
      <w:r w:rsidRPr="006571AC">
        <w:rPr>
          <w:rFonts w:ascii="Arial" w:eastAsia="MS Mincho" w:hAnsi="Arial" w:hint="cs"/>
          <w:sz w:val="27"/>
          <w:rtl/>
        </w:rPr>
        <w:t>ها إلى ما تقد</w:t>
      </w:r>
      <w:r w:rsidR="00725B56" w:rsidRPr="006571AC">
        <w:rPr>
          <w:rFonts w:ascii="Arial" w:eastAsia="MS Mincho" w:hAnsi="Arial" w:hint="cs"/>
          <w:sz w:val="27"/>
          <w:rtl/>
        </w:rPr>
        <w:t>َّ</w:t>
      </w:r>
      <w:r w:rsidRPr="006571AC">
        <w:rPr>
          <w:rFonts w:ascii="Arial" w:eastAsia="MS Mincho" w:hAnsi="Arial" w:hint="cs"/>
          <w:sz w:val="27"/>
          <w:rtl/>
        </w:rPr>
        <w:t>م من التسامح في أدلة الس</w:t>
      </w:r>
      <w:r w:rsidR="00725B56" w:rsidRPr="006571AC">
        <w:rPr>
          <w:rFonts w:ascii="Arial" w:eastAsia="MS Mincho" w:hAnsi="Arial" w:hint="cs"/>
          <w:sz w:val="27"/>
          <w:rtl/>
        </w:rPr>
        <w:t>ُّ</w:t>
      </w:r>
      <w:r w:rsidRPr="006571AC">
        <w:rPr>
          <w:rFonts w:ascii="Arial" w:eastAsia="MS Mincho" w:hAnsi="Arial" w:hint="cs"/>
          <w:sz w:val="27"/>
          <w:rtl/>
        </w:rPr>
        <w:t>ن</w:t>
      </w:r>
      <w:r w:rsidR="00725B56" w:rsidRPr="006571AC">
        <w:rPr>
          <w:rFonts w:ascii="Arial" w:eastAsia="MS Mincho" w:hAnsi="Arial" w:hint="cs"/>
          <w:sz w:val="27"/>
          <w:rtl/>
        </w:rPr>
        <w:t>َ</w:t>
      </w:r>
      <w:r w:rsidRPr="006571AC">
        <w:rPr>
          <w:rFonts w:ascii="Arial" w:eastAsia="MS Mincho" w:hAnsi="Arial" w:hint="cs"/>
          <w:sz w:val="27"/>
          <w:rtl/>
        </w:rPr>
        <w:t>ن، ولكن</w:t>
      </w:r>
      <w:r w:rsidR="00725B56" w:rsidRPr="006571AC">
        <w:rPr>
          <w:rFonts w:ascii="Arial" w:eastAsia="MS Mincho" w:hAnsi="Arial" w:hint="cs"/>
          <w:sz w:val="27"/>
          <w:rtl/>
        </w:rPr>
        <w:t>ْ</w:t>
      </w:r>
      <w:r w:rsidRPr="006571AC">
        <w:rPr>
          <w:rFonts w:ascii="Arial" w:eastAsia="MS Mincho" w:hAnsi="Arial" w:hint="cs"/>
          <w:sz w:val="27"/>
          <w:rtl/>
        </w:rPr>
        <w:t xml:space="preserve"> ما المراد بالتسامح في المواعظ والقصص؟ </w:t>
      </w:r>
    </w:p>
    <w:p w:rsidR="009B65D5" w:rsidRPr="006571AC" w:rsidRDefault="009B65D5" w:rsidP="00357822">
      <w:pPr>
        <w:rPr>
          <w:rFonts w:ascii="Arial" w:eastAsia="MS Mincho" w:hAnsi="Arial"/>
          <w:sz w:val="27"/>
          <w:rtl/>
        </w:rPr>
      </w:pPr>
      <w:r w:rsidRPr="006571AC">
        <w:rPr>
          <w:rFonts w:ascii="Arial" w:eastAsia="MS Mincho" w:hAnsi="Arial" w:hint="cs"/>
          <w:b/>
          <w:bCs/>
          <w:sz w:val="27"/>
          <w:rtl/>
        </w:rPr>
        <w:t>أقول</w:t>
      </w:r>
      <w:r w:rsidRPr="006571AC">
        <w:rPr>
          <w:rFonts w:ascii="Arial" w:eastAsia="MS Mincho" w:hAnsi="Arial" w:hint="cs"/>
          <w:sz w:val="27"/>
          <w:rtl/>
        </w:rPr>
        <w:t>: إن المواعظ تارة</w:t>
      </w:r>
      <w:r w:rsidR="00725B56" w:rsidRPr="006571AC">
        <w:rPr>
          <w:rFonts w:ascii="Arial" w:eastAsia="MS Mincho" w:hAnsi="Arial" w:hint="cs"/>
          <w:sz w:val="27"/>
          <w:rtl/>
        </w:rPr>
        <w:t>ً</w:t>
      </w:r>
      <w:r w:rsidRPr="006571AC">
        <w:rPr>
          <w:rFonts w:ascii="Arial" w:eastAsia="MS Mincho" w:hAnsi="Arial" w:hint="cs"/>
          <w:sz w:val="27"/>
          <w:rtl/>
        </w:rPr>
        <w:t xml:space="preserve"> تكون نصوص أخبار ينقلها الواعظ للناس</w:t>
      </w:r>
      <w:r w:rsidR="00725B56" w:rsidRPr="006571AC">
        <w:rPr>
          <w:rFonts w:ascii="Arial" w:eastAsia="MS Mincho" w:hAnsi="Arial" w:hint="cs"/>
          <w:sz w:val="27"/>
          <w:rtl/>
        </w:rPr>
        <w:t>؛</w:t>
      </w:r>
      <w:r w:rsidRPr="006571AC">
        <w:rPr>
          <w:rFonts w:ascii="Arial" w:eastAsia="MS Mincho" w:hAnsi="Arial" w:hint="cs"/>
          <w:sz w:val="27"/>
          <w:rtl/>
        </w:rPr>
        <w:t xml:space="preserve"> وأخرى تكون كلمات</w:t>
      </w:r>
      <w:r w:rsidR="00725B56" w:rsidRPr="006571AC">
        <w:rPr>
          <w:rFonts w:ascii="Arial" w:eastAsia="MS Mincho" w:hAnsi="Arial" w:hint="cs"/>
          <w:sz w:val="27"/>
          <w:rtl/>
        </w:rPr>
        <w:t>ٍ</w:t>
      </w:r>
      <w:r w:rsidRPr="006571AC">
        <w:rPr>
          <w:rFonts w:ascii="Arial" w:eastAsia="MS Mincho" w:hAnsi="Arial" w:hint="cs"/>
          <w:sz w:val="27"/>
          <w:rtl/>
        </w:rPr>
        <w:t xml:space="preserve"> بليغة</w:t>
      </w:r>
      <w:r w:rsidR="00725B56" w:rsidRPr="006571AC">
        <w:rPr>
          <w:rFonts w:ascii="Arial" w:eastAsia="MS Mincho" w:hAnsi="Arial" w:hint="cs"/>
          <w:sz w:val="27"/>
          <w:rtl/>
        </w:rPr>
        <w:t>ً</w:t>
      </w:r>
      <w:r w:rsidRPr="006571AC">
        <w:rPr>
          <w:rFonts w:ascii="Arial" w:eastAsia="MS Mincho" w:hAnsi="Arial" w:hint="cs"/>
          <w:sz w:val="27"/>
          <w:rtl/>
        </w:rPr>
        <w:t xml:space="preserve"> من إنشائه أو إنشاء غيره، شعراً أو نثراً أو أحداثاً معي</w:t>
      </w:r>
      <w:r w:rsidR="00725B56" w:rsidRPr="006571AC">
        <w:rPr>
          <w:rFonts w:ascii="Arial" w:eastAsia="MS Mincho" w:hAnsi="Arial" w:hint="cs"/>
          <w:sz w:val="27"/>
          <w:rtl/>
        </w:rPr>
        <w:t>َّ</w:t>
      </w:r>
      <w:r w:rsidRPr="006571AC">
        <w:rPr>
          <w:rFonts w:ascii="Arial" w:eastAsia="MS Mincho" w:hAnsi="Arial" w:hint="cs"/>
          <w:sz w:val="27"/>
          <w:rtl/>
        </w:rPr>
        <w:t>نة واقعية أو قصص</w:t>
      </w:r>
      <w:r w:rsidR="00725B56" w:rsidRPr="006571AC">
        <w:rPr>
          <w:rFonts w:ascii="Arial" w:eastAsia="MS Mincho" w:hAnsi="Arial" w:hint="cs"/>
          <w:sz w:val="27"/>
          <w:rtl/>
        </w:rPr>
        <w:t>اً</w:t>
      </w:r>
      <w:r w:rsidRPr="006571AC">
        <w:rPr>
          <w:rFonts w:ascii="Arial" w:eastAsia="MS Mincho" w:hAnsi="Arial" w:hint="cs"/>
          <w:sz w:val="27"/>
          <w:rtl/>
        </w:rPr>
        <w:t xml:space="preserve"> افتراضيّة</w:t>
      </w:r>
      <w:r w:rsidR="00725B56" w:rsidRPr="006571AC">
        <w:rPr>
          <w:rFonts w:ascii="Arial" w:eastAsia="MS Mincho" w:hAnsi="Arial" w:hint="cs"/>
          <w:sz w:val="27"/>
          <w:rtl/>
        </w:rPr>
        <w:t>ً</w:t>
      </w:r>
      <w:r w:rsidRPr="006571AC">
        <w:rPr>
          <w:rFonts w:ascii="Arial" w:eastAsia="MS Mincho" w:hAnsi="Arial" w:hint="cs"/>
          <w:sz w:val="27"/>
          <w:rtl/>
        </w:rPr>
        <w:t xml:space="preserve"> ينقلها للناس به</w:t>
      </w:r>
      <w:r w:rsidR="00725B56" w:rsidRPr="006571AC">
        <w:rPr>
          <w:rFonts w:ascii="Arial" w:eastAsia="MS Mincho" w:hAnsi="Arial" w:hint="cs"/>
          <w:sz w:val="27"/>
          <w:rtl/>
        </w:rPr>
        <w:t>َ</w:t>
      </w:r>
      <w:r w:rsidRPr="006571AC">
        <w:rPr>
          <w:rFonts w:ascii="Arial" w:eastAsia="MS Mincho" w:hAnsi="Arial" w:hint="cs"/>
          <w:sz w:val="27"/>
          <w:rtl/>
        </w:rPr>
        <w:t>د</w:t>
      </w:r>
      <w:r w:rsidR="00725B56" w:rsidRPr="006571AC">
        <w:rPr>
          <w:rFonts w:ascii="Arial" w:eastAsia="MS Mincho" w:hAnsi="Arial" w:hint="cs"/>
          <w:sz w:val="27"/>
          <w:rtl/>
        </w:rPr>
        <w:t>َ</w:t>
      </w:r>
      <w:r w:rsidRPr="006571AC">
        <w:rPr>
          <w:rFonts w:ascii="Arial" w:eastAsia="MS Mincho" w:hAnsi="Arial" w:hint="cs"/>
          <w:sz w:val="27"/>
          <w:rtl/>
        </w:rPr>
        <w:t>ف و</w:t>
      </w:r>
      <w:r w:rsidR="00357822" w:rsidRPr="006571AC">
        <w:rPr>
          <w:rFonts w:ascii="Arial" w:eastAsia="MS Mincho" w:hAnsi="Arial" w:hint="cs"/>
          <w:sz w:val="27"/>
          <w:rtl/>
        </w:rPr>
        <w:t>َ</w:t>
      </w:r>
      <w:r w:rsidRPr="006571AC">
        <w:rPr>
          <w:rFonts w:ascii="Arial" w:eastAsia="MS Mincho" w:hAnsi="Arial" w:hint="cs"/>
          <w:sz w:val="27"/>
          <w:rtl/>
        </w:rPr>
        <w:t>ع</w:t>
      </w:r>
      <w:r w:rsidR="00357822" w:rsidRPr="006571AC">
        <w:rPr>
          <w:rFonts w:ascii="Arial" w:eastAsia="MS Mincho" w:hAnsi="Arial" w:hint="cs"/>
          <w:sz w:val="27"/>
          <w:rtl/>
        </w:rPr>
        <w:t>ْ</w:t>
      </w:r>
      <w:r w:rsidRPr="006571AC">
        <w:rPr>
          <w:rFonts w:ascii="Arial" w:eastAsia="MS Mincho" w:hAnsi="Arial" w:hint="cs"/>
          <w:sz w:val="27"/>
          <w:rtl/>
        </w:rPr>
        <w:t>ظهم وتنبيههم، دون أن تكون مضامين أخبار منقولة</w:t>
      </w:r>
      <w:r w:rsidR="00725B56" w:rsidRPr="006571AC">
        <w:rPr>
          <w:rFonts w:ascii="Arial" w:eastAsia="MS Mincho" w:hAnsi="Arial" w:hint="cs"/>
          <w:sz w:val="27"/>
          <w:rtl/>
        </w:rPr>
        <w:t>ٍ</w:t>
      </w:r>
      <w:r w:rsidRPr="006571AC">
        <w:rPr>
          <w:rFonts w:ascii="Arial" w:eastAsia="MS Mincho" w:hAnsi="Arial" w:hint="cs"/>
          <w:sz w:val="27"/>
          <w:rtl/>
        </w:rPr>
        <w:t xml:space="preserve"> عن النبي</w:t>
      </w:r>
      <w:r w:rsidR="00725B56" w:rsidRPr="006571AC">
        <w:rPr>
          <w:rFonts w:ascii="Arial" w:eastAsia="MS Mincho" w:hAnsi="Arial" w:hint="cs"/>
          <w:sz w:val="27"/>
          <w:rtl/>
        </w:rPr>
        <w:t>ّ</w:t>
      </w:r>
      <w:r w:rsidR="002A2C90" w:rsidRPr="006571AC">
        <w:rPr>
          <w:rFonts w:ascii="Mosawi" w:hAnsi="Mosawi" w:cs="Mosawi"/>
          <w:sz w:val="22"/>
          <w:szCs w:val="22"/>
          <w:rtl/>
        </w:rPr>
        <w:t>|</w:t>
      </w:r>
      <w:r w:rsidRPr="006571AC">
        <w:rPr>
          <w:rFonts w:ascii="Arial" w:eastAsia="MS Mincho" w:hAnsi="Arial" w:hint="cs"/>
          <w:sz w:val="27"/>
          <w:rtl/>
        </w:rPr>
        <w:t xml:space="preserve"> </w:t>
      </w:r>
      <w:r w:rsidR="00725B56" w:rsidRPr="006571AC">
        <w:rPr>
          <w:rFonts w:ascii="Arial" w:eastAsia="MS Mincho" w:hAnsi="Arial" w:hint="cs"/>
          <w:sz w:val="27"/>
          <w:rtl/>
        </w:rPr>
        <w:t>أو</w:t>
      </w:r>
      <w:r w:rsidRPr="006571AC">
        <w:rPr>
          <w:rFonts w:ascii="Arial" w:eastAsia="MS Mincho" w:hAnsi="Arial" w:hint="cs"/>
          <w:sz w:val="27"/>
          <w:rtl/>
        </w:rPr>
        <w:t xml:space="preserve"> الأئم</w:t>
      </w:r>
      <w:r w:rsidR="00725B56" w:rsidRPr="006571AC">
        <w:rPr>
          <w:rFonts w:ascii="Arial" w:eastAsia="MS Mincho" w:hAnsi="Arial" w:hint="cs"/>
          <w:sz w:val="27"/>
          <w:rtl/>
        </w:rPr>
        <w:t>ّ</w:t>
      </w:r>
      <w:r w:rsidRPr="006571AC">
        <w:rPr>
          <w:rFonts w:ascii="Arial" w:eastAsia="MS Mincho" w:hAnsi="Arial" w:hint="cs"/>
          <w:sz w:val="27"/>
          <w:rtl/>
        </w:rPr>
        <w:t>ة</w:t>
      </w:r>
      <w:r w:rsidR="00357822" w:rsidRPr="006571AC">
        <w:rPr>
          <w:rFonts w:ascii="Mosawi" w:hAnsi="Mosawi" w:cs="Mosawi"/>
          <w:sz w:val="22"/>
          <w:szCs w:val="22"/>
          <w:rtl/>
        </w:rPr>
        <w:t>^</w:t>
      </w:r>
      <w:r w:rsidRPr="006571AC">
        <w:rPr>
          <w:rFonts w:ascii="Arial" w:eastAsia="MS Mincho" w:hAnsi="Arial" w:hint="cs"/>
          <w:sz w:val="27"/>
          <w:rtl/>
        </w:rPr>
        <w:t xml:space="preserve"> أو غيرهم</w:t>
      </w:r>
      <w:r w:rsidR="00725B56" w:rsidRPr="006571AC">
        <w:rPr>
          <w:rFonts w:ascii="Arial" w:eastAsia="MS Mincho" w:hAnsi="Arial" w:hint="cs"/>
          <w:sz w:val="27"/>
          <w:rtl/>
        </w:rPr>
        <w:t>.</w:t>
      </w:r>
      <w:r w:rsidRPr="006571AC">
        <w:rPr>
          <w:rFonts w:ascii="Arial" w:eastAsia="MS Mincho" w:hAnsi="Arial" w:hint="cs"/>
          <w:sz w:val="27"/>
          <w:rtl/>
        </w:rPr>
        <w:t xml:space="preserve"> أما الثاني فلا مشكلة فيه، ولو حصل فيه شيء</w:t>
      </w:r>
      <w:r w:rsidR="00725B56" w:rsidRPr="006571AC">
        <w:rPr>
          <w:rFonts w:ascii="Arial" w:eastAsia="MS Mincho" w:hAnsi="Arial" w:hint="cs"/>
          <w:sz w:val="27"/>
          <w:rtl/>
        </w:rPr>
        <w:t>ٌ</w:t>
      </w:r>
      <w:r w:rsidRPr="006571AC">
        <w:rPr>
          <w:rFonts w:ascii="Arial" w:eastAsia="MS Mincho" w:hAnsi="Arial" w:hint="cs"/>
          <w:sz w:val="27"/>
          <w:rtl/>
        </w:rPr>
        <w:t xml:space="preserve"> من التسامح</w:t>
      </w:r>
      <w:r w:rsidR="00725B56" w:rsidRPr="006571AC">
        <w:rPr>
          <w:rFonts w:ascii="Arial" w:eastAsia="MS Mincho" w:hAnsi="Arial" w:hint="cs"/>
          <w:sz w:val="27"/>
          <w:rtl/>
        </w:rPr>
        <w:t>؛</w:t>
      </w:r>
      <w:r w:rsidRPr="006571AC">
        <w:rPr>
          <w:rFonts w:ascii="Arial" w:eastAsia="MS Mincho" w:hAnsi="Arial" w:hint="cs"/>
          <w:sz w:val="27"/>
          <w:rtl/>
        </w:rPr>
        <w:t xml:space="preserve"> وأما الأو</w:t>
      </w:r>
      <w:r w:rsidR="00725B56" w:rsidRPr="006571AC">
        <w:rPr>
          <w:rFonts w:ascii="Arial" w:eastAsia="MS Mincho" w:hAnsi="Arial" w:hint="cs"/>
          <w:sz w:val="27"/>
          <w:rtl/>
        </w:rPr>
        <w:t>ّ</w:t>
      </w:r>
      <w:r w:rsidRPr="006571AC">
        <w:rPr>
          <w:rFonts w:ascii="Arial" w:eastAsia="MS Mincho" w:hAnsi="Arial" w:hint="cs"/>
          <w:sz w:val="27"/>
          <w:rtl/>
        </w:rPr>
        <w:t>ل، وهو المقصود بكلمات الفقهاء ال</w:t>
      </w:r>
      <w:r w:rsidR="00725B56" w:rsidRPr="006571AC">
        <w:rPr>
          <w:rFonts w:ascii="Arial" w:eastAsia="MS Mincho" w:hAnsi="Arial" w:hint="cs"/>
          <w:sz w:val="27"/>
          <w:rtl/>
        </w:rPr>
        <w:t>متقدِّمة</w:t>
      </w:r>
      <w:r w:rsidRPr="006571AC">
        <w:rPr>
          <w:rFonts w:ascii="Arial" w:eastAsia="MS Mincho" w:hAnsi="Arial" w:hint="cs"/>
          <w:sz w:val="27"/>
          <w:rtl/>
        </w:rPr>
        <w:t xml:space="preserve">، فلا وجه للتسامح فيه، كما استقرب بعض الفقهاء المعاصرين، قال: </w:t>
      </w:r>
      <w:r w:rsidRPr="006571AC">
        <w:rPr>
          <w:rFonts w:hint="eastAsia"/>
          <w:sz w:val="24"/>
          <w:szCs w:val="24"/>
          <w:rtl/>
        </w:rPr>
        <w:t>«</w:t>
      </w:r>
      <w:r w:rsidRPr="006571AC">
        <w:rPr>
          <w:rFonts w:ascii="Arial" w:eastAsia="MS Mincho" w:hAnsi="Arial"/>
          <w:sz w:val="27"/>
          <w:rtl/>
        </w:rPr>
        <w:t xml:space="preserve">لا يبعد أن يكون المراد بالتسامح فيها </w:t>
      </w:r>
      <w:r w:rsidRPr="006571AC">
        <w:rPr>
          <w:rFonts w:ascii="Arial" w:eastAsia="MS Mincho" w:hAnsi="Arial" w:hint="cs"/>
          <w:sz w:val="27"/>
          <w:rtl/>
        </w:rPr>
        <w:t xml:space="preserve">(المواعظ والقصص) </w:t>
      </w:r>
      <w:r w:rsidRPr="006571AC">
        <w:rPr>
          <w:rFonts w:ascii="Arial" w:eastAsia="MS Mincho" w:hAnsi="Arial"/>
          <w:sz w:val="27"/>
          <w:rtl/>
        </w:rPr>
        <w:t>هو التسامح في نقلها</w:t>
      </w:r>
      <w:r w:rsidR="0044008C" w:rsidRPr="006571AC">
        <w:rPr>
          <w:rFonts w:ascii="Arial" w:eastAsia="MS Mincho" w:hAnsi="Arial" w:hint="cs"/>
          <w:sz w:val="27"/>
          <w:rtl/>
        </w:rPr>
        <w:t>،</w:t>
      </w:r>
      <w:r w:rsidRPr="006571AC">
        <w:rPr>
          <w:rFonts w:ascii="Arial" w:eastAsia="MS Mincho" w:hAnsi="Arial"/>
          <w:sz w:val="27"/>
          <w:rtl/>
        </w:rPr>
        <w:t xml:space="preserve"> من</w:t>
      </w:r>
      <w:r w:rsidRPr="006571AC">
        <w:rPr>
          <w:rFonts w:ascii="Arial" w:eastAsia="MS Mincho" w:hAnsi="Arial" w:hint="cs"/>
          <w:sz w:val="27"/>
          <w:rtl/>
        </w:rPr>
        <w:t xml:space="preserve"> </w:t>
      </w:r>
      <w:r w:rsidRPr="006571AC">
        <w:rPr>
          <w:rFonts w:ascii="Arial" w:eastAsia="MS Mincho" w:hAnsi="Arial"/>
          <w:sz w:val="27"/>
          <w:rtl/>
        </w:rPr>
        <w:t>دون نسبتها إلى الرواية، فلا يتقي</w:t>
      </w:r>
      <w:r w:rsidR="0044008C" w:rsidRPr="006571AC">
        <w:rPr>
          <w:rFonts w:ascii="Arial" w:eastAsia="MS Mincho" w:hAnsi="Arial" w:hint="cs"/>
          <w:sz w:val="27"/>
          <w:rtl/>
        </w:rPr>
        <w:t>َّ</w:t>
      </w:r>
      <w:r w:rsidRPr="006571AC">
        <w:rPr>
          <w:rFonts w:ascii="Arial" w:eastAsia="MS Mincho" w:hAnsi="Arial"/>
          <w:sz w:val="27"/>
          <w:rtl/>
        </w:rPr>
        <w:t>د بثبوتها بطرق معتبرة، كما عليه د</w:t>
      </w:r>
      <w:r w:rsidR="0044008C" w:rsidRPr="006571AC">
        <w:rPr>
          <w:rFonts w:ascii="Arial" w:eastAsia="MS Mincho" w:hAnsi="Arial" w:hint="cs"/>
          <w:sz w:val="27"/>
          <w:rtl/>
        </w:rPr>
        <w:t>َ</w:t>
      </w:r>
      <w:r w:rsidRPr="006571AC">
        <w:rPr>
          <w:rFonts w:ascii="Arial" w:eastAsia="MS Mincho" w:hAnsi="Arial"/>
          <w:sz w:val="27"/>
          <w:rtl/>
        </w:rPr>
        <w:t>ي</w:t>
      </w:r>
      <w:r w:rsidR="0044008C" w:rsidRPr="006571AC">
        <w:rPr>
          <w:rFonts w:ascii="Arial" w:eastAsia="MS Mincho" w:hAnsi="Arial" w:hint="cs"/>
          <w:sz w:val="27"/>
          <w:rtl/>
        </w:rPr>
        <w:t>ْ</w:t>
      </w:r>
      <w:r w:rsidRPr="006571AC">
        <w:rPr>
          <w:rFonts w:ascii="Arial" w:eastAsia="MS Mincho" w:hAnsi="Arial"/>
          <w:sz w:val="27"/>
          <w:rtl/>
        </w:rPr>
        <w:t>د</w:t>
      </w:r>
      <w:r w:rsidR="0044008C" w:rsidRPr="006571AC">
        <w:rPr>
          <w:rFonts w:ascii="Arial" w:eastAsia="MS Mincho" w:hAnsi="Arial" w:hint="cs"/>
          <w:sz w:val="27"/>
          <w:rtl/>
        </w:rPr>
        <w:t>َ</w:t>
      </w:r>
      <w:r w:rsidRPr="006571AC">
        <w:rPr>
          <w:rFonts w:ascii="Arial" w:eastAsia="MS Mincho" w:hAnsi="Arial"/>
          <w:sz w:val="27"/>
          <w:rtl/>
        </w:rPr>
        <w:t>ن الوع</w:t>
      </w:r>
      <w:r w:rsidR="0044008C" w:rsidRPr="006571AC">
        <w:rPr>
          <w:rFonts w:ascii="Arial" w:eastAsia="MS Mincho" w:hAnsi="Arial" w:hint="cs"/>
          <w:sz w:val="27"/>
          <w:rtl/>
        </w:rPr>
        <w:t>ّ</w:t>
      </w:r>
      <w:r w:rsidRPr="006571AC">
        <w:rPr>
          <w:rFonts w:ascii="Arial" w:eastAsia="MS Mincho" w:hAnsi="Arial"/>
          <w:sz w:val="27"/>
          <w:rtl/>
        </w:rPr>
        <w:t>اظ</w:t>
      </w:r>
      <w:r w:rsidRPr="006571AC">
        <w:rPr>
          <w:rFonts w:ascii="Arial" w:eastAsia="MS Mincho" w:hAnsi="Arial" w:hint="cs"/>
          <w:sz w:val="27"/>
          <w:rtl/>
        </w:rPr>
        <w:t xml:space="preserve"> </w:t>
      </w:r>
      <w:r w:rsidRPr="006571AC">
        <w:rPr>
          <w:rFonts w:ascii="Arial" w:eastAsia="MS Mincho" w:hAnsi="Arial"/>
          <w:sz w:val="27"/>
          <w:rtl/>
        </w:rPr>
        <w:t>وخطباء المنبر الحسيني في عصورنا هذه. ولكن</w:t>
      </w:r>
      <w:r w:rsidR="0044008C" w:rsidRPr="006571AC">
        <w:rPr>
          <w:rFonts w:ascii="Arial" w:eastAsia="MS Mincho" w:hAnsi="Arial" w:hint="cs"/>
          <w:sz w:val="27"/>
          <w:rtl/>
        </w:rPr>
        <w:t>ّ</w:t>
      </w:r>
      <w:r w:rsidRPr="006571AC">
        <w:rPr>
          <w:rFonts w:ascii="Arial" w:eastAsia="MS Mincho" w:hAnsi="Arial"/>
          <w:sz w:val="27"/>
          <w:rtl/>
        </w:rPr>
        <w:t xml:space="preserve"> الوجه فيه غير</w:t>
      </w:r>
      <w:r w:rsidR="0044008C" w:rsidRPr="006571AC">
        <w:rPr>
          <w:rFonts w:ascii="Arial" w:eastAsia="MS Mincho" w:hAnsi="Arial" w:hint="cs"/>
          <w:sz w:val="27"/>
          <w:rtl/>
        </w:rPr>
        <w:t>ُ</w:t>
      </w:r>
      <w:r w:rsidRPr="006571AC">
        <w:rPr>
          <w:rFonts w:ascii="Arial" w:eastAsia="MS Mincho" w:hAnsi="Arial"/>
          <w:sz w:val="27"/>
          <w:rtl/>
        </w:rPr>
        <w:t xml:space="preserve"> ظاهر</w:t>
      </w:r>
      <w:r w:rsidR="0044008C" w:rsidRPr="006571AC">
        <w:rPr>
          <w:rFonts w:ascii="Arial" w:eastAsia="MS Mincho" w:hAnsi="Arial" w:hint="cs"/>
          <w:sz w:val="27"/>
          <w:rtl/>
        </w:rPr>
        <w:t>ٍ</w:t>
      </w:r>
      <w:r w:rsidRPr="006571AC">
        <w:rPr>
          <w:rFonts w:ascii="Arial" w:eastAsia="MS Mincho" w:hAnsi="Arial"/>
          <w:sz w:val="27"/>
          <w:rtl/>
        </w:rPr>
        <w:t xml:space="preserve"> مع ما هو المفروغ عنه ظاهرا</w:t>
      </w:r>
      <w:r w:rsidRPr="006571AC">
        <w:rPr>
          <w:rFonts w:ascii="Arial" w:eastAsia="MS Mincho" w:hAnsi="Arial" w:hint="cs"/>
          <w:sz w:val="27"/>
          <w:rtl/>
        </w:rPr>
        <w:t>ً</w:t>
      </w:r>
      <w:r w:rsidRPr="006571AC">
        <w:rPr>
          <w:rFonts w:ascii="Arial" w:eastAsia="MS Mincho" w:hAnsi="Arial"/>
          <w:sz w:val="27"/>
          <w:rtl/>
        </w:rPr>
        <w:t xml:space="preserve"> من حرمة ال</w:t>
      </w:r>
      <w:r w:rsidRPr="006571AC">
        <w:rPr>
          <w:rFonts w:ascii="Arial" w:eastAsia="MS Mincho" w:hAnsi="Arial" w:hint="cs"/>
          <w:sz w:val="27"/>
          <w:rtl/>
        </w:rPr>
        <w:t>إ</w:t>
      </w:r>
      <w:r w:rsidRPr="006571AC">
        <w:rPr>
          <w:rFonts w:ascii="Arial" w:eastAsia="MS Mincho" w:hAnsi="Arial"/>
          <w:sz w:val="27"/>
          <w:rtl/>
        </w:rPr>
        <w:t>خبار</w:t>
      </w:r>
      <w:r w:rsidRPr="006571AC">
        <w:rPr>
          <w:rFonts w:ascii="Arial" w:eastAsia="MS Mincho" w:hAnsi="Arial" w:hint="cs"/>
          <w:sz w:val="27"/>
          <w:rtl/>
        </w:rPr>
        <w:t xml:space="preserve"> </w:t>
      </w:r>
      <w:r w:rsidRPr="006571AC">
        <w:rPr>
          <w:rFonts w:ascii="Arial" w:eastAsia="MS Mincho" w:hAnsi="Arial"/>
          <w:sz w:val="27"/>
          <w:rtl/>
        </w:rPr>
        <w:t>من دون علم</w:t>
      </w:r>
      <w:r w:rsidR="0044008C" w:rsidRPr="006571AC">
        <w:rPr>
          <w:rFonts w:ascii="Arial" w:eastAsia="MS Mincho" w:hAnsi="Arial" w:hint="cs"/>
          <w:sz w:val="27"/>
          <w:rtl/>
        </w:rPr>
        <w:t>ٍ</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71"/>
      </w:r>
      <w:r w:rsidRPr="006571AC">
        <w:rPr>
          <w:rFonts w:ascii="Arial" w:eastAsia="MS Mincho" w:hAnsi="Arial"/>
          <w:sz w:val="27"/>
          <w:vertAlign w:val="superscript"/>
          <w:rtl/>
        </w:rPr>
        <w:t>)</w:t>
      </w:r>
      <w:r w:rsidRPr="006571AC">
        <w:rPr>
          <w:rFonts w:ascii="Arial" w:eastAsia="MS Mincho" w:hAnsi="Arial" w:hint="cs"/>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sz w:val="27"/>
          <w:rtl/>
        </w:rPr>
        <w:t>وما ذكره صحيح</w:t>
      </w:r>
      <w:r w:rsidR="0044008C" w:rsidRPr="006571AC">
        <w:rPr>
          <w:rFonts w:ascii="Arial" w:eastAsia="MS Mincho" w:hAnsi="Arial" w:hint="cs"/>
          <w:sz w:val="27"/>
          <w:rtl/>
        </w:rPr>
        <w:t>ٌ؛</w:t>
      </w:r>
      <w:r w:rsidRPr="006571AC">
        <w:rPr>
          <w:rFonts w:ascii="Arial" w:eastAsia="MS Mincho" w:hAnsi="Arial" w:hint="cs"/>
          <w:sz w:val="27"/>
          <w:rtl/>
        </w:rPr>
        <w:t xml:space="preserve"> فإنّ الإخبار بغير علم</w:t>
      </w:r>
      <w:r w:rsidR="0044008C" w:rsidRPr="006571AC">
        <w:rPr>
          <w:rFonts w:ascii="Arial" w:eastAsia="MS Mincho" w:hAnsi="Arial" w:hint="cs"/>
          <w:sz w:val="27"/>
          <w:rtl/>
        </w:rPr>
        <w:t>ٍ</w:t>
      </w:r>
      <w:r w:rsidRPr="006571AC">
        <w:rPr>
          <w:rFonts w:ascii="Arial" w:eastAsia="MS Mincho" w:hAnsi="Arial" w:hint="cs"/>
          <w:sz w:val="27"/>
          <w:rtl/>
        </w:rPr>
        <w:t xml:space="preserve"> منهي</w:t>
      </w:r>
      <w:r w:rsidR="0044008C" w:rsidRPr="006571AC">
        <w:rPr>
          <w:rFonts w:ascii="Arial" w:eastAsia="MS Mincho" w:hAnsi="Arial" w:hint="cs"/>
          <w:sz w:val="27"/>
          <w:rtl/>
        </w:rPr>
        <w:t>ٌّ</w:t>
      </w:r>
      <w:r w:rsidRPr="006571AC">
        <w:rPr>
          <w:rFonts w:ascii="Arial" w:eastAsia="MS Mincho" w:hAnsi="Arial" w:hint="cs"/>
          <w:sz w:val="27"/>
          <w:rtl/>
        </w:rPr>
        <w:t xml:space="preserve"> عنه شرعاً، قال تعالى: </w:t>
      </w:r>
      <w:r w:rsidRPr="006571AC">
        <w:rPr>
          <w:rFonts w:ascii="Mosawi" w:hAnsi="Mosawi" w:cs="Mosawi"/>
          <w:sz w:val="24"/>
          <w:szCs w:val="24"/>
          <w:rtl/>
        </w:rPr>
        <w:t>﴿</w:t>
      </w:r>
      <w:r w:rsidRPr="006571AC">
        <w:rPr>
          <w:rFonts w:ascii="Arial" w:eastAsia="MS Mincho" w:hAnsi="Arial" w:hint="cs"/>
          <w:b/>
          <w:bCs/>
          <w:sz w:val="27"/>
          <w:rtl/>
        </w:rPr>
        <w:t>و</w:t>
      </w:r>
      <w:r w:rsidR="0044008C" w:rsidRPr="006571AC">
        <w:rPr>
          <w:rFonts w:ascii="Arial" w:eastAsia="MS Mincho" w:hAnsi="Arial" w:hint="cs"/>
          <w:b/>
          <w:bCs/>
          <w:sz w:val="27"/>
          <w:rtl/>
        </w:rPr>
        <w:t>َ</w:t>
      </w:r>
      <w:r w:rsidRPr="006571AC">
        <w:rPr>
          <w:rFonts w:ascii="Arial" w:eastAsia="MS Mincho" w:hAnsi="Arial" w:hint="cs"/>
          <w:b/>
          <w:bCs/>
          <w:sz w:val="27"/>
          <w:rtl/>
        </w:rPr>
        <w:t>لا</w:t>
      </w:r>
      <w:r w:rsidR="0044008C" w:rsidRPr="006571AC">
        <w:rPr>
          <w:rFonts w:ascii="Arial" w:eastAsia="MS Mincho" w:hAnsi="Arial" w:hint="cs"/>
          <w:b/>
          <w:bCs/>
          <w:sz w:val="27"/>
          <w:rtl/>
        </w:rPr>
        <w:t>َ</w:t>
      </w:r>
      <w:r w:rsidRPr="006571AC">
        <w:rPr>
          <w:rFonts w:ascii="Arial" w:eastAsia="MS Mincho" w:hAnsi="Arial" w:hint="cs"/>
          <w:b/>
          <w:bCs/>
          <w:sz w:val="27"/>
          <w:rtl/>
        </w:rPr>
        <w:t xml:space="preserve"> ت</w:t>
      </w:r>
      <w:r w:rsidR="0044008C" w:rsidRPr="006571AC">
        <w:rPr>
          <w:rFonts w:ascii="Arial" w:eastAsia="MS Mincho" w:hAnsi="Arial" w:hint="cs"/>
          <w:b/>
          <w:bCs/>
          <w:sz w:val="27"/>
          <w:rtl/>
        </w:rPr>
        <w:t>َ</w:t>
      </w:r>
      <w:r w:rsidRPr="006571AC">
        <w:rPr>
          <w:rFonts w:ascii="Arial" w:eastAsia="MS Mincho" w:hAnsi="Arial" w:hint="cs"/>
          <w:b/>
          <w:bCs/>
          <w:sz w:val="27"/>
          <w:rtl/>
        </w:rPr>
        <w:t>ق</w:t>
      </w:r>
      <w:r w:rsidR="0044008C" w:rsidRPr="006571AC">
        <w:rPr>
          <w:rFonts w:ascii="Arial" w:eastAsia="MS Mincho" w:hAnsi="Arial" w:hint="cs"/>
          <w:b/>
          <w:bCs/>
          <w:sz w:val="27"/>
          <w:rtl/>
        </w:rPr>
        <w:t>ْ</w:t>
      </w:r>
      <w:r w:rsidRPr="006571AC">
        <w:rPr>
          <w:rFonts w:ascii="Arial" w:eastAsia="MS Mincho" w:hAnsi="Arial" w:hint="cs"/>
          <w:b/>
          <w:bCs/>
          <w:sz w:val="27"/>
          <w:rtl/>
        </w:rPr>
        <w:t>ف</w:t>
      </w:r>
      <w:r w:rsidR="0044008C" w:rsidRPr="006571AC">
        <w:rPr>
          <w:rFonts w:ascii="Arial" w:eastAsia="MS Mincho" w:hAnsi="Arial" w:hint="cs"/>
          <w:b/>
          <w:bCs/>
          <w:sz w:val="27"/>
          <w:rtl/>
        </w:rPr>
        <w:t>ُ</w:t>
      </w:r>
      <w:r w:rsidRPr="006571AC">
        <w:rPr>
          <w:rFonts w:ascii="Arial" w:eastAsia="MS Mincho" w:hAnsi="Arial" w:hint="cs"/>
          <w:b/>
          <w:bCs/>
          <w:sz w:val="27"/>
          <w:rtl/>
        </w:rPr>
        <w:t xml:space="preserve"> م</w:t>
      </w:r>
      <w:r w:rsidR="0044008C" w:rsidRPr="006571AC">
        <w:rPr>
          <w:rFonts w:ascii="Arial" w:eastAsia="MS Mincho" w:hAnsi="Arial" w:hint="cs"/>
          <w:b/>
          <w:bCs/>
          <w:sz w:val="27"/>
          <w:rtl/>
        </w:rPr>
        <w:t>َ</w:t>
      </w:r>
      <w:r w:rsidRPr="006571AC">
        <w:rPr>
          <w:rFonts w:ascii="Arial" w:eastAsia="MS Mincho" w:hAnsi="Arial" w:hint="cs"/>
          <w:b/>
          <w:bCs/>
          <w:sz w:val="27"/>
          <w:rtl/>
        </w:rPr>
        <w:t>ا ل</w:t>
      </w:r>
      <w:r w:rsidR="0044008C" w:rsidRPr="006571AC">
        <w:rPr>
          <w:rFonts w:ascii="Arial" w:eastAsia="MS Mincho" w:hAnsi="Arial" w:hint="cs"/>
          <w:b/>
          <w:bCs/>
          <w:sz w:val="27"/>
          <w:rtl/>
        </w:rPr>
        <w:t>َ</w:t>
      </w:r>
      <w:r w:rsidRPr="006571AC">
        <w:rPr>
          <w:rFonts w:ascii="Arial" w:eastAsia="MS Mincho" w:hAnsi="Arial" w:hint="cs"/>
          <w:b/>
          <w:bCs/>
          <w:sz w:val="27"/>
          <w:rtl/>
        </w:rPr>
        <w:t>ي</w:t>
      </w:r>
      <w:r w:rsidR="0044008C" w:rsidRPr="006571AC">
        <w:rPr>
          <w:rFonts w:ascii="Arial" w:eastAsia="MS Mincho" w:hAnsi="Arial" w:hint="cs"/>
          <w:b/>
          <w:bCs/>
          <w:sz w:val="27"/>
          <w:rtl/>
        </w:rPr>
        <w:t>ْ</w:t>
      </w:r>
      <w:r w:rsidRPr="006571AC">
        <w:rPr>
          <w:rFonts w:ascii="Arial" w:eastAsia="MS Mincho" w:hAnsi="Arial" w:hint="cs"/>
          <w:b/>
          <w:bCs/>
          <w:sz w:val="27"/>
          <w:rtl/>
        </w:rPr>
        <w:t>س</w:t>
      </w:r>
      <w:r w:rsidR="0044008C" w:rsidRPr="006571AC">
        <w:rPr>
          <w:rFonts w:ascii="Arial" w:eastAsia="MS Mincho" w:hAnsi="Arial" w:hint="cs"/>
          <w:b/>
          <w:bCs/>
          <w:sz w:val="27"/>
          <w:rtl/>
        </w:rPr>
        <w:t>َ</w:t>
      </w:r>
      <w:r w:rsidRPr="006571AC">
        <w:rPr>
          <w:rFonts w:ascii="Arial" w:eastAsia="MS Mincho" w:hAnsi="Arial" w:hint="cs"/>
          <w:b/>
          <w:bCs/>
          <w:sz w:val="27"/>
          <w:rtl/>
        </w:rPr>
        <w:t xml:space="preserve"> ل</w:t>
      </w:r>
      <w:r w:rsidR="0044008C" w:rsidRPr="006571AC">
        <w:rPr>
          <w:rFonts w:ascii="Arial" w:eastAsia="MS Mincho" w:hAnsi="Arial" w:hint="cs"/>
          <w:b/>
          <w:bCs/>
          <w:sz w:val="27"/>
          <w:rtl/>
        </w:rPr>
        <w:t>َ</w:t>
      </w:r>
      <w:r w:rsidRPr="006571AC">
        <w:rPr>
          <w:rFonts w:ascii="Arial" w:eastAsia="MS Mincho" w:hAnsi="Arial" w:hint="cs"/>
          <w:b/>
          <w:bCs/>
          <w:sz w:val="27"/>
          <w:rtl/>
        </w:rPr>
        <w:t>ك</w:t>
      </w:r>
      <w:r w:rsidR="0044008C" w:rsidRPr="006571AC">
        <w:rPr>
          <w:rFonts w:ascii="Arial" w:eastAsia="MS Mincho" w:hAnsi="Arial" w:hint="cs"/>
          <w:b/>
          <w:bCs/>
          <w:sz w:val="27"/>
          <w:rtl/>
        </w:rPr>
        <w:t>َ</w:t>
      </w:r>
      <w:r w:rsidRPr="006571AC">
        <w:rPr>
          <w:rFonts w:ascii="Arial" w:eastAsia="MS Mincho" w:hAnsi="Arial" w:hint="cs"/>
          <w:b/>
          <w:bCs/>
          <w:sz w:val="27"/>
          <w:rtl/>
        </w:rPr>
        <w:t xml:space="preserve"> ب</w:t>
      </w:r>
      <w:r w:rsidR="0044008C" w:rsidRPr="006571AC">
        <w:rPr>
          <w:rFonts w:ascii="Arial" w:eastAsia="MS Mincho" w:hAnsi="Arial" w:hint="cs"/>
          <w:b/>
          <w:bCs/>
          <w:sz w:val="27"/>
          <w:rtl/>
        </w:rPr>
        <w:t>ِ</w:t>
      </w:r>
      <w:r w:rsidRPr="006571AC">
        <w:rPr>
          <w:rFonts w:ascii="Arial" w:eastAsia="MS Mincho" w:hAnsi="Arial" w:hint="cs"/>
          <w:b/>
          <w:bCs/>
          <w:sz w:val="27"/>
          <w:rtl/>
        </w:rPr>
        <w:t>ه</w:t>
      </w:r>
      <w:r w:rsidR="0044008C" w:rsidRPr="006571AC">
        <w:rPr>
          <w:rFonts w:ascii="Arial" w:eastAsia="MS Mincho" w:hAnsi="Arial" w:hint="cs"/>
          <w:b/>
          <w:bCs/>
          <w:sz w:val="27"/>
          <w:rtl/>
        </w:rPr>
        <w:t>ِ</w:t>
      </w:r>
      <w:r w:rsidRPr="006571AC">
        <w:rPr>
          <w:rFonts w:ascii="Arial" w:eastAsia="MS Mincho" w:hAnsi="Arial" w:hint="cs"/>
          <w:b/>
          <w:bCs/>
          <w:sz w:val="27"/>
          <w:rtl/>
        </w:rPr>
        <w:t xml:space="preserve"> ع</w:t>
      </w:r>
      <w:r w:rsidR="0044008C" w:rsidRPr="006571AC">
        <w:rPr>
          <w:rFonts w:ascii="Arial" w:eastAsia="MS Mincho" w:hAnsi="Arial" w:hint="cs"/>
          <w:b/>
          <w:bCs/>
          <w:sz w:val="27"/>
          <w:rtl/>
        </w:rPr>
        <w:t>ِ</w:t>
      </w:r>
      <w:r w:rsidRPr="006571AC">
        <w:rPr>
          <w:rFonts w:ascii="Arial" w:eastAsia="MS Mincho" w:hAnsi="Arial" w:hint="cs"/>
          <w:b/>
          <w:bCs/>
          <w:sz w:val="27"/>
          <w:rtl/>
        </w:rPr>
        <w:t>ل</w:t>
      </w:r>
      <w:r w:rsidR="0044008C" w:rsidRPr="006571AC">
        <w:rPr>
          <w:rFonts w:ascii="Arial" w:eastAsia="MS Mincho" w:hAnsi="Arial" w:hint="cs"/>
          <w:b/>
          <w:bCs/>
          <w:sz w:val="27"/>
          <w:rtl/>
        </w:rPr>
        <w:t>ْ</w:t>
      </w:r>
      <w:r w:rsidRPr="006571AC">
        <w:rPr>
          <w:rFonts w:ascii="Arial" w:eastAsia="MS Mincho" w:hAnsi="Arial" w:hint="cs"/>
          <w:b/>
          <w:bCs/>
          <w:sz w:val="27"/>
          <w:rtl/>
        </w:rPr>
        <w:t>م</w:t>
      </w:r>
      <w:r w:rsidR="0044008C" w:rsidRPr="006571AC">
        <w:rPr>
          <w:rFonts w:ascii="Arial" w:eastAsia="MS Mincho" w:hAnsi="Arial" w:hint="cs"/>
          <w:b/>
          <w:bCs/>
          <w:sz w:val="27"/>
          <w:rtl/>
        </w:rPr>
        <w:t>ٌ</w:t>
      </w:r>
      <w:r w:rsidRPr="006571AC">
        <w:rPr>
          <w:rFonts w:ascii="Mosawi" w:hAnsi="Mosawi" w:cs="Mosawi"/>
          <w:sz w:val="24"/>
          <w:szCs w:val="24"/>
          <w:rtl/>
        </w:rPr>
        <w:t>﴾</w:t>
      </w:r>
      <w:r w:rsidRPr="006571AC">
        <w:rPr>
          <w:rFonts w:ascii="Arial" w:eastAsia="MS Mincho" w:hAnsi="Arial" w:hint="cs"/>
          <w:sz w:val="27"/>
          <w:rtl/>
        </w:rPr>
        <w:t xml:space="preserve"> (الإسراء: 36)، كما أنه قبيح</w:t>
      </w:r>
      <w:r w:rsidR="0044008C" w:rsidRPr="006571AC">
        <w:rPr>
          <w:rFonts w:ascii="Arial" w:eastAsia="MS Mincho" w:hAnsi="Arial" w:hint="cs"/>
          <w:sz w:val="27"/>
          <w:rtl/>
        </w:rPr>
        <w:t>ٌ</w:t>
      </w:r>
      <w:r w:rsidRPr="006571AC">
        <w:rPr>
          <w:rFonts w:ascii="Arial" w:eastAsia="MS Mincho" w:hAnsi="Arial" w:hint="cs"/>
          <w:sz w:val="27"/>
          <w:rtl/>
        </w:rPr>
        <w:t xml:space="preserve"> عقلاً، قال المحق</w:t>
      </w:r>
      <w:r w:rsidR="0044008C" w:rsidRPr="006571AC">
        <w:rPr>
          <w:rFonts w:ascii="Arial" w:eastAsia="MS Mincho" w:hAnsi="Arial" w:hint="cs"/>
          <w:sz w:val="27"/>
          <w:rtl/>
        </w:rPr>
        <w:t>ِّ</w:t>
      </w:r>
      <w:r w:rsidRPr="006571AC">
        <w:rPr>
          <w:rFonts w:ascii="Arial" w:eastAsia="MS Mincho" w:hAnsi="Arial" w:hint="cs"/>
          <w:sz w:val="27"/>
          <w:rtl/>
        </w:rPr>
        <w:t>ق ال</w:t>
      </w:r>
      <w:r w:rsidR="0044008C" w:rsidRPr="006571AC">
        <w:rPr>
          <w:rFonts w:ascii="Arial" w:eastAsia="MS Mincho" w:hAnsi="Arial" w:hint="cs"/>
          <w:sz w:val="27"/>
          <w:rtl/>
        </w:rPr>
        <w:t>إ</w:t>
      </w:r>
      <w:r w:rsidRPr="006571AC">
        <w:rPr>
          <w:rFonts w:ascii="Arial" w:eastAsia="MS Mincho" w:hAnsi="Arial" w:hint="cs"/>
          <w:sz w:val="27"/>
          <w:rtl/>
        </w:rPr>
        <w:t xml:space="preserve">صفهاني: فإنّ </w:t>
      </w:r>
      <w:r w:rsidRPr="006571AC">
        <w:rPr>
          <w:rFonts w:hint="eastAsia"/>
          <w:sz w:val="24"/>
          <w:szCs w:val="24"/>
          <w:rtl/>
        </w:rPr>
        <w:t>«</w:t>
      </w:r>
      <w:r w:rsidRPr="006571AC">
        <w:rPr>
          <w:rFonts w:ascii="Arial" w:eastAsia="MS Mincho" w:hAnsi="Arial"/>
          <w:sz w:val="27"/>
          <w:rtl/>
        </w:rPr>
        <w:t>نشر الفضيلة التي لا حج</w:t>
      </w:r>
      <w:r w:rsidR="0044008C" w:rsidRPr="006571AC">
        <w:rPr>
          <w:rFonts w:ascii="Arial" w:eastAsia="MS Mincho" w:hAnsi="Arial" w:hint="cs"/>
          <w:sz w:val="27"/>
          <w:rtl/>
        </w:rPr>
        <w:t>ّ</w:t>
      </w:r>
      <w:r w:rsidRPr="006571AC">
        <w:rPr>
          <w:rFonts w:ascii="Arial" w:eastAsia="MS Mincho" w:hAnsi="Arial"/>
          <w:sz w:val="27"/>
          <w:rtl/>
        </w:rPr>
        <w:t>ة عليها</w:t>
      </w:r>
      <w:r w:rsidR="0044008C" w:rsidRPr="006571AC">
        <w:rPr>
          <w:rFonts w:ascii="Arial" w:eastAsia="MS Mincho" w:hAnsi="Arial" w:hint="cs"/>
          <w:sz w:val="27"/>
          <w:rtl/>
        </w:rPr>
        <w:t>،</w:t>
      </w:r>
      <w:r w:rsidRPr="006571AC">
        <w:rPr>
          <w:rFonts w:ascii="Arial" w:eastAsia="MS Mincho" w:hAnsi="Arial"/>
          <w:sz w:val="27"/>
          <w:rtl/>
        </w:rPr>
        <w:t xml:space="preserve"> وذكر المصيبة</w:t>
      </w:r>
      <w:r w:rsidRPr="006571AC">
        <w:rPr>
          <w:rFonts w:ascii="Arial" w:eastAsia="MS Mincho" w:hAnsi="Arial" w:hint="cs"/>
          <w:sz w:val="27"/>
          <w:rtl/>
        </w:rPr>
        <w:t xml:space="preserve"> </w:t>
      </w:r>
      <w:r w:rsidRPr="006571AC">
        <w:rPr>
          <w:rFonts w:ascii="Arial" w:eastAsia="MS Mincho" w:hAnsi="Arial"/>
          <w:sz w:val="27"/>
          <w:rtl/>
        </w:rPr>
        <w:t>التي لا حج</w:t>
      </w:r>
      <w:r w:rsidR="0044008C" w:rsidRPr="006571AC">
        <w:rPr>
          <w:rFonts w:ascii="Arial" w:eastAsia="MS Mincho" w:hAnsi="Arial" w:hint="cs"/>
          <w:sz w:val="27"/>
          <w:rtl/>
        </w:rPr>
        <w:t>ّ</w:t>
      </w:r>
      <w:r w:rsidRPr="006571AC">
        <w:rPr>
          <w:rFonts w:ascii="Arial" w:eastAsia="MS Mincho" w:hAnsi="Arial"/>
          <w:sz w:val="27"/>
          <w:rtl/>
        </w:rPr>
        <w:t>ة عليها</w:t>
      </w:r>
      <w:r w:rsidR="0044008C" w:rsidRPr="006571AC">
        <w:rPr>
          <w:rFonts w:ascii="Arial" w:eastAsia="MS Mincho" w:hAnsi="Arial" w:hint="cs"/>
          <w:sz w:val="27"/>
          <w:rtl/>
        </w:rPr>
        <w:t>،</w:t>
      </w:r>
      <w:r w:rsidRPr="006571AC">
        <w:rPr>
          <w:rFonts w:ascii="Arial" w:eastAsia="MS Mincho" w:hAnsi="Arial"/>
          <w:sz w:val="27"/>
          <w:rtl/>
        </w:rPr>
        <w:t xml:space="preserve"> قبيح</w:t>
      </w:r>
      <w:r w:rsidR="0044008C" w:rsidRPr="006571AC">
        <w:rPr>
          <w:rFonts w:ascii="Arial" w:eastAsia="MS Mincho" w:hAnsi="Arial" w:hint="cs"/>
          <w:sz w:val="27"/>
          <w:rtl/>
        </w:rPr>
        <w:t>ٌ</w:t>
      </w:r>
      <w:r w:rsidRPr="006571AC">
        <w:rPr>
          <w:rFonts w:ascii="Arial" w:eastAsia="MS Mincho" w:hAnsi="Arial"/>
          <w:sz w:val="27"/>
          <w:rtl/>
        </w:rPr>
        <w:t xml:space="preserve"> عقلا</w:t>
      </w:r>
      <w:r w:rsidR="0044008C" w:rsidRPr="006571AC">
        <w:rPr>
          <w:rFonts w:ascii="Arial" w:eastAsia="MS Mincho" w:hAnsi="Arial" w:hint="cs"/>
          <w:sz w:val="27"/>
          <w:rtl/>
        </w:rPr>
        <w:t>ً،</w:t>
      </w:r>
      <w:r w:rsidRPr="006571AC">
        <w:rPr>
          <w:rFonts w:ascii="Arial" w:eastAsia="MS Mincho" w:hAnsi="Arial"/>
          <w:sz w:val="27"/>
          <w:rtl/>
        </w:rPr>
        <w:t xml:space="preserve"> ومحر</w:t>
      </w:r>
      <w:r w:rsidR="0044008C" w:rsidRPr="006571AC">
        <w:rPr>
          <w:rFonts w:ascii="Arial" w:eastAsia="MS Mincho" w:hAnsi="Arial" w:hint="cs"/>
          <w:sz w:val="27"/>
          <w:rtl/>
        </w:rPr>
        <w:t>َّ</w:t>
      </w:r>
      <w:r w:rsidRPr="006571AC">
        <w:rPr>
          <w:rFonts w:ascii="Arial" w:eastAsia="MS Mincho" w:hAnsi="Arial"/>
          <w:sz w:val="27"/>
          <w:rtl/>
        </w:rPr>
        <w:t>م</w:t>
      </w:r>
      <w:r w:rsidR="0044008C" w:rsidRPr="006571AC">
        <w:rPr>
          <w:rFonts w:ascii="Arial" w:eastAsia="MS Mincho" w:hAnsi="Arial" w:hint="cs"/>
          <w:sz w:val="27"/>
          <w:rtl/>
        </w:rPr>
        <w:t>ٌ</w:t>
      </w:r>
      <w:r w:rsidRPr="006571AC">
        <w:rPr>
          <w:rFonts w:ascii="Arial" w:eastAsia="MS Mincho" w:hAnsi="Arial"/>
          <w:sz w:val="27"/>
          <w:rtl/>
        </w:rPr>
        <w:t xml:space="preserve"> شرعا</w:t>
      </w:r>
      <w:r w:rsidRPr="006571AC">
        <w:rPr>
          <w:rFonts w:ascii="Arial" w:eastAsia="MS Mincho" w:hAnsi="Arial" w:hint="cs"/>
          <w:sz w:val="27"/>
          <w:rtl/>
        </w:rPr>
        <w:t>ً</w:t>
      </w:r>
      <w:r w:rsidR="0044008C" w:rsidRPr="006571AC">
        <w:rPr>
          <w:rFonts w:ascii="Arial" w:eastAsia="MS Mincho" w:hAnsi="Arial" w:hint="cs"/>
          <w:sz w:val="27"/>
          <w:rtl/>
        </w:rPr>
        <w:t>،</w:t>
      </w:r>
      <w:r w:rsidRPr="006571AC">
        <w:rPr>
          <w:rFonts w:ascii="Arial" w:eastAsia="MS Mincho" w:hAnsi="Arial"/>
          <w:sz w:val="27"/>
          <w:rtl/>
        </w:rPr>
        <w:t xml:space="preserve"> فكيف يعم</w:t>
      </w:r>
      <w:r w:rsidR="0044008C" w:rsidRPr="006571AC">
        <w:rPr>
          <w:rFonts w:ascii="Arial" w:eastAsia="MS Mincho" w:hAnsi="Arial" w:hint="cs"/>
          <w:sz w:val="27"/>
          <w:rtl/>
        </w:rPr>
        <w:t>ّ</w:t>
      </w:r>
      <w:r w:rsidRPr="006571AC">
        <w:rPr>
          <w:rFonts w:ascii="Arial" w:eastAsia="MS Mincho" w:hAnsi="Arial"/>
          <w:sz w:val="27"/>
          <w:rtl/>
        </w:rPr>
        <w:t xml:space="preserve">ها </w:t>
      </w:r>
      <w:r w:rsidRPr="006571AC">
        <w:rPr>
          <w:rFonts w:ascii="Arial" w:eastAsia="MS Mincho" w:hAnsi="Arial" w:hint="cs"/>
          <w:sz w:val="27"/>
          <w:rtl/>
        </w:rPr>
        <w:t>أ</w:t>
      </w:r>
      <w:r w:rsidRPr="006571AC">
        <w:rPr>
          <w:rFonts w:ascii="Arial" w:eastAsia="MS Mincho" w:hAnsi="Arial"/>
          <w:sz w:val="27"/>
          <w:rtl/>
        </w:rPr>
        <w:t>خبار م</w:t>
      </w:r>
      <w:r w:rsidR="0044008C" w:rsidRPr="006571AC">
        <w:rPr>
          <w:rFonts w:ascii="Arial" w:eastAsia="MS Mincho" w:hAnsi="Arial" w:hint="cs"/>
          <w:sz w:val="27"/>
          <w:rtl/>
        </w:rPr>
        <w:t>َ</w:t>
      </w:r>
      <w:r w:rsidRPr="006571AC">
        <w:rPr>
          <w:rFonts w:ascii="Arial" w:eastAsia="MS Mincho" w:hAnsi="Arial"/>
          <w:sz w:val="27"/>
          <w:rtl/>
        </w:rPr>
        <w:t>ن</w:t>
      </w:r>
      <w:r w:rsidR="0044008C" w:rsidRPr="006571AC">
        <w:rPr>
          <w:rFonts w:ascii="Arial" w:eastAsia="MS Mincho" w:hAnsi="Arial" w:hint="cs"/>
          <w:sz w:val="27"/>
          <w:rtl/>
        </w:rPr>
        <w:t>ْ</w:t>
      </w:r>
      <w:r w:rsidRPr="006571AC">
        <w:rPr>
          <w:rFonts w:ascii="Arial" w:eastAsia="MS Mincho" w:hAnsi="Arial"/>
          <w:sz w:val="27"/>
          <w:rtl/>
        </w:rPr>
        <w:t xml:space="preserve"> بلغ</w:t>
      </w:r>
      <w:r w:rsidRPr="006571AC">
        <w:rPr>
          <w:rFonts w:ascii="Arial" w:eastAsia="MS Mincho" w:hAnsi="Arial" w:hint="cs"/>
          <w:sz w:val="27"/>
          <w:rtl/>
        </w:rPr>
        <w:t>؟!</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72"/>
      </w:r>
      <w:r w:rsidRPr="006571AC">
        <w:rPr>
          <w:rFonts w:ascii="Arial" w:eastAsia="MS Mincho" w:hAnsi="Arial"/>
          <w:sz w:val="27"/>
          <w:vertAlign w:val="superscript"/>
          <w:rtl/>
        </w:rPr>
        <w:t>)</w:t>
      </w:r>
      <w:r w:rsidRPr="006571AC">
        <w:rPr>
          <w:rFonts w:ascii="Arial" w:eastAsia="MS Mincho" w:hAnsi="Arial" w:hint="cs"/>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sz w:val="27"/>
          <w:rtl/>
        </w:rPr>
        <w:t>على أنّ التساهل في مجال الوعظ والقصص قد فتح الباب على مصراع</w:t>
      </w:r>
      <w:r w:rsidR="0044008C" w:rsidRPr="006571AC">
        <w:rPr>
          <w:rFonts w:ascii="Arial" w:eastAsia="MS Mincho" w:hAnsi="Arial" w:hint="cs"/>
          <w:sz w:val="27"/>
          <w:rtl/>
        </w:rPr>
        <w:t>َ</w:t>
      </w:r>
      <w:r w:rsidRPr="006571AC">
        <w:rPr>
          <w:rFonts w:ascii="Arial" w:eastAsia="MS Mincho" w:hAnsi="Arial" w:hint="cs"/>
          <w:sz w:val="27"/>
          <w:rtl/>
        </w:rPr>
        <w:t>ي</w:t>
      </w:r>
      <w:r w:rsidR="0044008C" w:rsidRPr="006571AC">
        <w:rPr>
          <w:rFonts w:ascii="Arial" w:eastAsia="MS Mincho" w:hAnsi="Arial" w:hint="cs"/>
          <w:sz w:val="27"/>
          <w:rtl/>
        </w:rPr>
        <w:t>ْ</w:t>
      </w:r>
      <w:r w:rsidRPr="006571AC">
        <w:rPr>
          <w:rFonts w:ascii="Arial" w:eastAsia="MS Mincho" w:hAnsi="Arial" w:hint="cs"/>
          <w:sz w:val="27"/>
          <w:rtl/>
        </w:rPr>
        <w:t>ه، فغدا منبر التوجيه والإرشاد بشكل</w:t>
      </w:r>
      <w:r w:rsidR="000B40D0" w:rsidRPr="006571AC">
        <w:rPr>
          <w:rFonts w:ascii="Arial" w:eastAsia="MS Mincho" w:hAnsi="Arial" w:hint="cs"/>
          <w:sz w:val="27"/>
          <w:rtl/>
        </w:rPr>
        <w:t>ٍ</w:t>
      </w:r>
      <w:r w:rsidRPr="006571AC">
        <w:rPr>
          <w:rFonts w:ascii="Arial" w:eastAsia="MS Mincho" w:hAnsi="Arial" w:hint="cs"/>
          <w:sz w:val="27"/>
          <w:rtl/>
        </w:rPr>
        <w:t xml:space="preserve"> عام</w:t>
      </w:r>
      <w:r w:rsidR="000B40D0" w:rsidRPr="006571AC">
        <w:rPr>
          <w:rFonts w:ascii="Arial" w:eastAsia="MS Mincho" w:hAnsi="Arial" w:hint="cs"/>
          <w:sz w:val="27"/>
          <w:rtl/>
        </w:rPr>
        <w:t>ّ</w:t>
      </w:r>
      <w:r w:rsidRPr="006571AC">
        <w:rPr>
          <w:rFonts w:ascii="Arial" w:eastAsia="MS Mincho" w:hAnsi="Arial" w:hint="cs"/>
          <w:sz w:val="27"/>
          <w:rtl/>
        </w:rPr>
        <w:t xml:space="preserve"> مرتعاً لشبه الأم</w:t>
      </w:r>
      <w:r w:rsidR="000B40D0" w:rsidRPr="006571AC">
        <w:rPr>
          <w:rFonts w:ascii="Arial" w:eastAsia="MS Mincho" w:hAnsi="Arial" w:hint="cs"/>
          <w:sz w:val="27"/>
          <w:rtl/>
        </w:rPr>
        <w:t>ِّ</w:t>
      </w:r>
      <w:r w:rsidRPr="006571AC">
        <w:rPr>
          <w:rFonts w:ascii="Arial" w:eastAsia="MS Mincho" w:hAnsi="Arial" w:hint="cs"/>
          <w:sz w:val="27"/>
          <w:rtl/>
        </w:rPr>
        <w:t>يين والج</w:t>
      </w:r>
      <w:r w:rsidR="000B40D0" w:rsidRPr="006571AC">
        <w:rPr>
          <w:rFonts w:ascii="Arial" w:eastAsia="MS Mincho" w:hAnsi="Arial" w:hint="cs"/>
          <w:sz w:val="27"/>
          <w:rtl/>
        </w:rPr>
        <w:t>َ</w:t>
      </w:r>
      <w:r w:rsidRPr="006571AC">
        <w:rPr>
          <w:rFonts w:ascii="Arial" w:eastAsia="MS Mincho" w:hAnsi="Arial" w:hint="cs"/>
          <w:sz w:val="27"/>
          <w:rtl/>
        </w:rPr>
        <w:t>ه</w:t>
      </w:r>
      <w:r w:rsidR="000B40D0" w:rsidRPr="006571AC">
        <w:rPr>
          <w:rFonts w:ascii="Arial" w:eastAsia="MS Mincho" w:hAnsi="Arial" w:hint="cs"/>
          <w:sz w:val="27"/>
          <w:rtl/>
        </w:rPr>
        <w:t>َ</w:t>
      </w:r>
      <w:r w:rsidRPr="006571AC">
        <w:rPr>
          <w:rFonts w:ascii="Arial" w:eastAsia="MS Mincho" w:hAnsi="Arial" w:hint="cs"/>
          <w:sz w:val="27"/>
          <w:rtl/>
        </w:rPr>
        <w:t>لة</w:t>
      </w:r>
      <w:r w:rsidR="000B40D0" w:rsidRPr="006571AC">
        <w:rPr>
          <w:rFonts w:ascii="Arial" w:eastAsia="MS Mincho" w:hAnsi="Arial" w:hint="cs"/>
          <w:sz w:val="27"/>
          <w:rtl/>
        </w:rPr>
        <w:t>،</w:t>
      </w:r>
      <w:r w:rsidRPr="006571AC">
        <w:rPr>
          <w:rFonts w:ascii="Arial" w:eastAsia="MS Mincho" w:hAnsi="Arial" w:hint="cs"/>
          <w:sz w:val="27"/>
          <w:rtl/>
        </w:rPr>
        <w:t xml:space="preserve"> الذين يتلون على الناس الأخبار الخرافية والقصص الخيالية</w:t>
      </w:r>
      <w:r w:rsidR="000B40D0" w:rsidRPr="006571AC">
        <w:rPr>
          <w:rFonts w:ascii="Arial" w:eastAsia="MS Mincho" w:hAnsi="Arial" w:hint="cs"/>
          <w:sz w:val="27"/>
          <w:rtl/>
        </w:rPr>
        <w:t>،</w:t>
      </w:r>
      <w:r w:rsidRPr="006571AC">
        <w:rPr>
          <w:rFonts w:ascii="Arial" w:eastAsia="MS Mincho" w:hAnsi="Arial" w:hint="cs"/>
          <w:sz w:val="27"/>
          <w:rtl/>
        </w:rPr>
        <w:t xml:space="preserve"> ما ساهم ـ من جهة</w:t>
      </w:r>
      <w:r w:rsidR="000B40D0" w:rsidRPr="006571AC">
        <w:rPr>
          <w:rFonts w:ascii="Arial" w:eastAsia="MS Mincho" w:hAnsi="Arial" w:hint="cs"/>
          <w:sz w:val="27"/>
          <w:rtl/>
        </w:rPr>
        <w:t>ٍ</w:t>
      </w:r>
      <w:r w:rsidRPr="006571AC">
        <w:rPr>
          <w:rFonts w:ascii="Arial" w:eastAsia="MS Mincho" w:hAnsi="Arial" w:hint="cs"/>
          <w:sz w:val="27"/>
          <w:rtl/>
        </w:rPr>
        <w:t xml:space="preserve"> ـ في بناء جيل</w:t>
      </w:r>
      <w:r w:rsidR="000B40D0" w:rsidRPr="006571AC">
        <w:rPr>
          <w:rFonts w:ascii="Arial" w:eastAsia="MS Mincho" w:hAnsi="Arial" w:hint="cs"/>
          <w:sz w:val="27"/>
          <w:rtl/>
        </w:rPr>
        <w:t>ٍ</w:t>
      </w:r>
      <w:r w:rsidRPr="006571AC">
        <w:rPr>
          <w:rFonts w:ascii="Arial" w:eastAsia="MS Mincho" w:hAnsi="Arial" w:hint="cs"/>
          <w:sz w:val="27"/>
          <w:rtl/>
        </w:rPr>
        <w:t xml:space="preserve"> من الخرافيين، وساهم ـ من جهة</w:t>
      </w:r>
      <w:r w:rsidR="000B40D0" w:rsidRPr="006571AC">
        <w:rPr>
          <w:rFonts w:ascii="Arial" w:eastAsia="MS Mincho" w:hAnsi="Arial" w:hint="cs"/>
          <w:sz w:val="27"/>
          <w:rtl/>
        </w:rPr>
        <w:t>ٍ</w:t>
      </w:r>
      <w:r w:rsidRPr="006571AC">
        <w:rPr>
          <w:rFonts w:ascii="Arial" w:eastAsia="MS Mincho" w:hAnsi="Arial" w:hint="cs"/>
          <w:sz w:val="27"/>
          <w:rtl/>
        </w:rPr>
        <w:t xml:space="preserve"> أخرى ـ في التنفير عن المذهب وأتباعه، كما نلاحظ في أي</w:t>
      </w:r>
      <w:r w:rsidR="000B40D0" w:rsidRPr="006571AC">
        <w:rPr>
          <w:rFonts w:ascii="Arial" w:eastAsia="MS Mincho" w:hAnsi="Arial" w:hint="cs"/>
          <w:sz w:val="27"/>
          <w:rtl/>
        </w:rPr>
        <w:t>ّ</w:t>
      </w:r>
      <w:r w:rsidRPr="006571AC">
        <w:rPr>
          <w:rFonts w:ascii="Arial" w:eastAsia="MS Mincho" w:hAnsi="Arial" w:hint="cs"/>
          <w:sz w:val="27"/>
          <w:rtl/>
        </w:rPr>
        <w:t>امنا</w:t>
      </w:r>
      <w:r w:rsidR="000B40D0" w:rsidRPr="006571AC">
        <w:rPr>
          <w:rFonts w:ascii="Arial" w:eastAsia="MS Mincho" w:hAnsi="Arial" w:hint="cs"/>
          <w:sz w:val="27"/>
          <w:rtl/>
        </w:rPr>
        <w:t>،</w:t>
      </w:r>
      <w:r w:rsidRPr="006571AC">
        <w:rPr>
          <w:rFonts w:ascii="Arial" w:eastAsia="MS Mincho" w:hAnsi="Arial" w:hint="cs"/>
          <w:sz w:val="27"/>
          <w:rtl/>
        </w:rPr>
        <w:t xml:space="preserve"> حيث استغل</w:t>
      </w:r>
      <w:r w:rsidR="000B40D0" w:rsidRPr="006571AC">
        <w:rPr>
          <w:rFonts w:ascii="Arial" w:eastAsia="MS Mincho" w:hAnsi="Arial" w:hint="cs"/>
          <w:sz w:val="27"/>
          <w:rtl/>
        </w:rPr>
        <w:t>ّ</w:t>
      </w:r>
      <w:r w:rsidRPr="006571AC">
        <w:rPr>
          <w:rFonts w:ascii="Arial" w:eastAsia="MS Mincho" w:hAnsi="Arial" w:hint="cs"/>
          <w:sz w:val="27"/>
          <w:rtl/>
        </w:rPr>
        <w:t xml:space="preserve"> خصوم</w:t>
      </w:r>
      <w:r w:rsidR="000B40D0" w:rsidRPr="006571AC">
        <w:rPr>
          <w:rFonts w:ascii="Arial" w:eastAsia="MS Mincho" w:hAnsi="Arial" w:hint="cs"/>
          <w:sz w:val="27"/>
          <w:rtl/>
        </w:rPr>
        <w:t>ُ</w:t>
      </w:r>
      <w:r w:rsidRPr="006571AC">
        <w:rPr>
          <w:rFonts w:ascii="Arial" w:eastAsia="MS Mincho" w:hAnsi="Arial" w:hint="cs"/>
          <w:sz w:val="27"/>
          <w:rtl/>
        </w:rPr>
        <w:t xml:space="preserve"> خط</w:t>
      </w:r>
      <w:r w:rsidR="000B40D0" w:rsidRPr="006571AC">
        <w:rPr>
          <w:rFonts w:ascii="Arial" w:eastAsia="MS Mincho" w:hAnsi="Arial" w:hint="cs"/>
          <w:sz w:val="27"/>
          <w:rtl/>
        </w:rPr>
        <w:t>ّ</w:t>
      </w:r>
      <w:r w:rsidRPr="006571AC">
        <w:rPr>
          <w:rFonts w:ascii="Arial" w:eastAsia="MS Mincho" w:hAnsi="Arial" w:hint="cs"/>
          <w:sz w:val="27"/>
          <w:rtl/>
        </w:rPr>
        <w:t xml:space="preserve"> أهل البيت</w:t>
      </w:r>
      <w:r w:rsidR="002A2C90" w:rsidRPr="006571AC">
        <w:rPr>
          <w:rFonts w:ascii="Mosawi" w:hAnsi="Mosawi" w:cs="Mosawi"/>
          <w:sz w:val="22"/>
          <w:szCs w:val="22"/>
          <w:rtl/>
        </w:rPr>
        <w:t>×</w:t>
      </w:r>
      <w:r w:rsidRPr="006571AC">
        <w:rPr>
          <w:rFonts w:ascii="Arial" w:eastAsia="MS Mincho" w:hAnsi="Arial" w:hint="cs"/>
          <w:sz w:val="27"/>
          <w:rtl/>
        </w:rPr>
        <w:t xml:space="preserve"> ما تتضم</w:t>
      </w:r>
      <w:r w:rsidR="000B40D0" w:rsidRPr="006571AC">
        <w:rPr>
          <w:rFonts w:ascii="Arial" w:eastAsia="MS Mincho" w:hAnsi="Arial" w:hint="cs"/>
          <w:sz w:val="27"/>
          <w:rtl/>
        </w:rPr>
        <w:t>َّ</w:t>
      </w:r>
      <w:r w:rsidRPr="006571AC">
        <w:rPr>
          <w:rFonts w:ascii="Arial" w:eastAsia="MS Mincho" w:hAnsi="Arial" w:hint="cs"/>
          <w:sz w:val="27"/>
          <w:rtl/>
        </w:rPr>
        <w:t>نه مواعظ الكثير من الخطباء من قصص خرافية</w:t>
      </w:r>
      <w:r w:rsidR="000B40D0" w:rsidRPr="006571AC">
        <w:rPr>
          <w:rFonts w:ascii="Arial" w:eastAsia="MS Mincho" w:hAnsi="Arial" w:hint="cs"/>
          <w:sz w:val="27"/>
          <w:rtl/>
        </w:rPr>
        <w:t>،</w:t>
      </w:r>
      <w:r w:rsidRPr="006571AC">
        <w:rPr>
          <w:rFonts w:ascii="Arial" w:eastAsia="MS Mincho" w:hAnsi="Arial" w:hint="cs"/>
          <w:sz w:val="27"/>
          <w:rtl/>
        </w:rPr>
        <w:t xml:space="preserve"> ونشروها عبر وسائلهم الإعلامي</w:t>
      </w:r>
      <w:r w:rsidR="000B40D0" w:rsidRPr="006571AC">
        <w:rPr>
          <w:rFonts w:ascii="Arial" w:eastAsia="MS Mincho" w:hAnsi="Arial" w:hint="cs"/>
          <w:sz w:val="27"/>
          <w:rtl/>
        </w:rPr>
        <w:t>ّ</w:t>
      </w:r>
      <w:r w:rsidRPr="006571AC">
        <w:rPr>
          <w:rFonts w:ascii="Arial" w:eastAsia="MS Mincho" w:hAnsi="Arial" w:hint="cs"/>
          <w:sz w:val="27"/>
          <w:rtl/>
        </w:rPr>
        <w:t>ة التحرضي</w:t>
      </w:r>
      <w:r w:rsidR="000B40D0" w:rsidRPr="006571AC">
        <w:rPr>
          <w:rFonts w:ascii="Arial" w:eastAsia="MS Mincho" w:hAnsi="Arial" w:hint="cs"/>
          <w:sz w:val="27"/>
          <w:rtl/>
        </w:rPr>
        <w:t>ّ</w:t>
      </w:r>
      <w:r w:rsidRPr="006571AC">
        <w:rPr>
          <w:rFonts w:ascii="Arial" w:eastAsia="MS Mincho" w:hAnsi="Arial" w:hint="cs"/>
          <w:sz w:val="27"/>
          <w:rtl/>
        </w:rPr>
        <w:t>ة</w:t>
      </w:r>
      <w:r w:rsidR="000B40D0" w:rsidRPr="006571AC">
        <w:rPr>
          <w:rFonts w:ascii="Arial" w:eastAsia="MS Mincho" w:hAnsi="Arial" w:hint="cs"/>
          <w:sz w:val="27"/>
          <w:rtl/>
        </w:rPr>
        <w:t>؛</w:t>
      </w:r>
      <w:r w:rsidRPr="006571AC">
        <w:rPr>
          <w:rFonts w:ascii="Arial" w:eastAsia="MS Mincho" w:hAnsi="Arial" w:hint="cs"/>
          <w:sz w:val="27"/>
          <w:rtl/>
        </w:rPr>
        <w:t xml:space="preserve"> به</w:t>
      </w:r>
      <w:r w:rsidR="000B40D0" w:rsidRPr="006571AC">
        <w:rPr>
          <w:rFonts w:ascii="Arial" w:eastAsia="MS Mincho" w:hAnsi="Arial" w:hint="cs"/>
          <w:sz w:val="27"/>
          <w:rtl/>
        </w:rPr>
        <w:t>َ</w:t>
      </w:r>
      <w:r w:rsidRPr="006571AC">
        <w:rPr>
          <w:rFonts w:ascii="Arial" w:eastAsia="MS Mincho" w:hAnsi="Arial" w:hint="cs"/>
          <w:sz w:val="27"/>
          <w:rtl/>
        </w:rPr>
        <w:t>د</w:t>
      </w:r>
      <w:r w:rsidR="000B40D0" w:rsidRPr="006571AC">
        <w:rPr>
          <w:rFonts w:ascii="Arial" w:eastAsia="MS Mincho" w:hAnsi="Arial" w:hint="cs"/>
          <w:sz w:val="27"/>
          <w:rtl/>
        </w:rPr>
        <w:t>َ</w:t>
      </w:r>
      <w:r w:rsidRPr="006571AC">
        <w:rPr>
          <w:rFonts w:ascii="Arial" w:eastAsia="MS Mincho" w:hAnsi="Arial" w:hint="cs"/>
          <w:sz w:val="27"/>
          <w:rtl/>
        </w:rPr>
        <w:t xml:space="preserve">ف الإساءة إلى المذهب وتوهينه. </w:t>
      </w:r>
    </w:p>
    <w:p w:rsidR="009B65D5" w:rsidRPr="006571AC" w:rsidRDefault="009B65D5" w:rsidP="002A2E03">
      <w:pPr>
        <w:rPr>
          <w:rFonts w:ascii="Arial" w:eastAsia="MS Mincho" w:hAnsi="Arial"/>
          <w:sz w:val="27"/>
          <w:rtl/>
        </w:rPr>
      </w:pPr>
      <w:r w:rsidRPr="006571AC">
        <w:rPr>
          <w:rFonts w:ascii="Arial" w:eastAsia="MS Mincho" w:hAnsi="Arial" w:hint="cs"/>
          <w:sz w:val="27"/>
          <w:rtl/>
        </w:rPr>
        <w:t xml:space="preserve">وأما قول الشهيد الثاني: </w:t>
      </w:r>
      <w:r w:rsidRPr="006571AC">
        <w:rPr>
          <w:rFonts w:hint="eastAsia"/>
          <w:sz w:val="24"/>
          <w:szCs w:val="24"/>
          <w:rtl/>
        </w:rPr>
        <w:t>«</w:t>
      </w:r>
      <w:r w:rsidRPr="006571AC">
        <w:rPr>
          <w:rFonts w:ascii="Arial" w:eastAsia="MS Mincho" w:hAnsi="Arial" w:hint="cs"/>
          <w:sz w:val="27"/>
          <w:rtl/>
        </w:rPr>
        <w:t xml:space="preserve">وليس في </w:t>
      </w:r>
      <w:r w:rsidRPr="006571AC">
        <w:rPr>
          <w:rFonts w:ascii="Arial" w:eastAsia="MS Mincho" w:hAnsi="Arial"/>
          <w:sz w:val="27"/>
          <w:rtl/>
        </w:rPr>
        <w:t>المواعظ والقصص غير م</w:t>
      </w:r>
      <w:r w:rsidR="000B40D0" w:rsidRPr="006571AC">
        <w:rPr>
          <w:rFonts w:ascii="Arial" w:eastAsia="MS Mincho" w:hAnsi="Arial" w:hint="cs"/>
          <w:sz w:val="27"/>
          <w:rtl/>
        </w:rPr>
        <w:t>َ</w:t>
      </w:r>
      <w:r w:rsidRPr="006571AC">
        <w:rPr>
          <w:rFonts w:ascii="Arial" w:eastAsia="MS Mincho" w:hAnsi="Arial"/>
          <w:sz w:val="27"/>
          <w:rtl/>
        </w:rPr>
        <w:t>ح</w:t>
      </w:r>
      <w:r w:rsidR="000B40D0" w:rsidRPr="006571AC">
        <w:rPr>
          <w:rFonts w:ascii="Arial" w:eastAsia="MS Mincho" w:hAnsi="Arial" w:hint="cs"/>
          <w:sz w:val="27"/>
          <w:rtl/>
        </w:rPr>
        <w:t>ْ</w:t>
      </w:r>
      <w:r w:rsidRPr="006571AC">
        <w:rPr>
          <w:rFonts w:ascii="Arial" w:eastAsia="MS Mincho" w:hAnsi="Arial"/>
          <w:sz w:val="27"/>
          <w:rtl/>
        </w:rPr>
        <w:t>ض</w:t>
      </w:r>
      <w:r w:rsidR="000B40D0" w:rsidRPr="006571AC">
        <w:rPr>
          <w:rFonts w:ascii="Arial" w:eastAsia="MS Mincho" w:hAnsi="Arial" w:hint="cs"/>
          <w:sz w:val="27"/>
          <w:rtl/>
        </w:rPr>
        <w:t>ِ</w:t>
      </w:r>
      <w:r w:rsidRPr="006571AC">
        <w:rPr>
          <w:rFonts w:ascii="Arial" w:eastAsia="MS Mincho" w:hAnsi="Arial"/>
          <w:sz w:val="27"/>
          <w:rtl/>
        </w:rPr>
        <w:t xml:space="preserve"> الخير</w:t>
      </w:r>
      <w:r w:rsidRPr="006571AC">
        <w:rPr>
          <w:rFonts w:hint="eastAsia"/>
          <w:sz w:val="24"/>
          <w:szCs w:val="24"/>
          <w:rtl/>
        </w:rPr>
        <w:t>»</w:t>
      </w:r>
      <w:r w:rsidRPr="006571AC">
        <w:rPr>
          <w:rFonts w:ascii="Arial" w:eastAsia="MS Mincho" w:hAnsi="Arial" w:hint="cs"/>
          <w:sz w:val="27"/>
          <w:rtl/>
        </w:rPr>
        <w:t xml:space="preserve"> فهو </w:t>
      </w:r>
      <w:r w:rsidRPr="006571AC">
        <w:rPr>
          <w:rFonts w:ascii="Arial" w:eastAsia="MS Mincho" w:hAnsi="Arial" w:hint="cs"/>
          <w:sz w:val="27"/>
          <w:rtl/>
        </w:rPr>
        <w:lastRenderedPageBreak/>
        <w:t>كلام</w:t>
      </w:r>
      <w:r w:rsidR="000B40D0" w:rsidRPr="006571AC">
        <w:rPr>
          <w:rFonts w:ascii="Arial" w:eastAsia="MS Mincho" w:hAnsi="Arial" w:hint="cs"/>
          <w:sz w:val="27"/>
          <w:rtl/>
        </w:rPr>
        <w:t>ٌ</w:t>
      </w:r>
      <w:r w:rsidRPr="006571AC">
        <w:rPr>
          <w:rFonts w:ascii="Arial" w:eastAsia="MS Mincho" w:hAnsi="Arial" w:hint="cs"/>
          <w:sz w:val="27"/>
          <w:rtl/>
        </w:rPr>
        <w:t xml:space="preserve"> غير دقيق</w:t>
      </w:r>
      <w:r w:rsidR="000B40D0" w:rsidRPr="006571AC">
        <w:rPr>
          <w:rFonts w:ascii="Arial" w:eastAsia="MS Mincho" w:hAnsi="Arial" w:hint="cs"/>
          <w:sz w:val="27"/>
          <w:rtl/>
        </w:rPr>
        <w:t>ٍ؛</w:t>
      </w:r>
      <w:r w:rsidRPr="006571AC">
        <w:rPr>
          <w:rFonts w:ascii="Arial" w:eastAsia="MS Mincho" w:hAnsi="Arial" w:hint="cs"/>
          <w:sz w:val="27"/>
          <w:rtl/>
        </w:rPr>
        <w:t xml:space="preserve"> إذ الأمر يختلف بنوعية الموعظة وما تتضم</w:t>
      </w:r>
      <w:r w:rsidR="000B40D0" w:rsidRPr="006571AC">
        <w:rPr>
          <w:rFonts w:ascii="Arial" w:eastAsia="MS Mincho" w:hAnsi="Arial" w:hint="cs"/>
          <w:sz w:val="27"/>
          <w:rtl/>
        </w:rPr>
        <w:t>َّ</w:t>
      </w:r>
      <w:r w:rsidRPr="006571AC">
        <w:rPr>
          <w:rFonts w:ascii="Arial" w:eastAsia="MS Mincho" w:hAnsi="Arial" w:hint="cs"/>
          <w:sz w:val="27"/>
          <w:rtl/>
        </w:rPr>
        <w:t>نه، فكثير</w:t>
      </w:r>
      <w:r w:rsidR="000B40D0" w:rsidRPr="006571AC">
        <w:rPr>
          <w:rFonts w:ascii="Arial" w:eastAsia="MS Mincho" w:hAnsi="Arial" w:hint="cs"/>
          <w:sz w:val="27"/>
          <w:rtl/>
        </w:rPr>
        <w:t>ٌ</w:t>
      </w:r>
      <w:r w:rsidRPr="006571AC">
        <w:rPr>
          <w:rFonts w:ascii="Arial" w:eastAsia="MS Mincho" w:hAnsi="Arial" w:hint="cs"/>
          <w:sz w:val="27"/>
          <w:rtl/>
        </w:rPr>
        <w:t xml:space="preserve"> من المواعظ والقصص تشتمل على معانٍ غير صحيحة أو مفاهيم قلقة. ولعل</w:t>
      </w:r>
      <w:r w:rsidR="000B40D0" w:rsidRPr="006571AC">
        <w:rPr>
          <w:rFonts w:ascii="Arial" w:eastAsia="MS Mincho" w:hAnsi="Arial" w:hint="cs"/>
          <w:sz w:val="27"/>
          <w:rtl/>
        </w:rPr>
        <w:t>ّ</w:t>
      </w:r>
      <w:r w:rsidRPr="006571AC">
        <w:rPr>
          <w:rFonts w:ascii="Arial" w:eastAsia="MS Mincho" w:hAnsi="Arial" w:hint="cs"/>
          <w:sz w:val="27"/>
          <w:rtl/>
        </w:rPr>
        <w:t xml:space="preserve"> الو</w:t>
      </w:r>
      <w:r w:rsidR="000B40D0" w:rsidRPr="006571AC">
        <w:rPr>
          <w:rFonts w:ascii="Arial" w:eastAsia="MS Mincho" w:hAnsi="Arial" w:hint="cs"/>
          <w:sz w:val="27"/>
          <w:rtl/>
        </w:rPr>
        <w:t>ُ</w:t>
      </w:r>
      <w:r w:rsidRPr="006571AC">
        <w:rPr>
          <w:rFonts w:ascii="Arial" w:eastAsia="MS Mincho" w:hAnsi="Arial" w:hint="cs"/>
          <w:sz w:val="27"/>
          <w:rtl/>
        </w:rPr>
        <w:t>ع</w:t>
      </w:r>
      <w:r w:rsidR="000B40D0" w:rsidRPr="006571AC">
        <w:rPr>
          <w:rFonts w:ascii="Arial" w:eastAsia="MS Mincho" w:hAnsi="Arial" w:hint="cs"/>
          <w:sz w:val="27"/>
          <w:rtl/>
        </w:rPr>
        <w:t>ّ</w:t>
      </w:r>
      <w:r w:rsidRPr="006571AC">
        <w:rPr>
          <w:rFonts w:ascii="Arial" w:eastAsia="MS Mincho" w:hAnsi="Arial" w:hint="cs"/>
          <w:sz w:val="27"/>
          <w:rtl/>
        </w:rPr>
        <w:t>اظ في زمانه كانوا من أهل العلم</w:t>
      </w:r>
      <w:r w:rsidR="000B40D0" w:rsidRPr="006571AC">
        <w:rPr>
          <w:rFonts w:ascii="Arial" w:eastAsia="MS Mincho" w:hAnsi="Arial" w:hint="cs"/>
          <w:sz w:val="27"/>
          <w:rtl/>
        </w:rPr>
        <w:t>،</w:t>
      </w:r>
      <w:r w:rsidRPr="006571AC">
        <w:rPr>
          <w:rFonts w:ascii="Arial" w:eastAsia="MS Mincho" w:hAnsi="Arial" w:hint="cs"/>
          <w:sz w:val="27"/>
          <w:rtl/>
        </w:rPr>
        <w:t xml:space="preserve"> الذين لا يذكرون في مواعظهم إلا</w:t>
      </w:r>
      <w:r w:rsidR="000B40D0" w:rsidRPr="006571AC">
        <w:rPr>
          <w:rFonts w:ascii="Arial" w:eastAsia="MS Mincho" w:hAnsi="Arial" w:hint="cs"/>
          <w:sz w:val="27"/>
          <w:rtl/>
        </w:rPr>
        <w:t>ّ</w:t>
      </w:r>
      <w:r w:rsidRPr="006571AC">
        <w:rPr>
          <w:rFonts w:ascii="Arial" w:eastAsia="MS Mincho" w:hAnsi="Arial" w:hint="cs"/>
          <w:sz w:val="27"/>
          <w:rtl/>
        </w:rPr>
        <w:t xml:space="preserve"> م</w:t>
      </w:r>
      <w:r w:rsidR="000B40D0" w:rsidRPr="006571AC">
        <w:rPr>
          <w:rFonts w:ascii="Arial" w:eastAsia="MS Mincho" w:hAnsi="Arial" w:hint="cs"/>
          <w:sz w:val="27"/>
          <w:rtl/>
        </w:rPr>
        <w:t>َ</w:t>
      </w:r>
      <w:r w:rsidRPr="006571AC">
        <w:rPr>
          <w:rFonts w:ascii="Arial" w:eastAsia="MS Mincho" w:hAnsi="Arial" w:hint="cs"/>
          <w:sz w:val="27"/>
          <w:rtl/>
        </w:rPr>
        <w:t>ح</w:t>
      </w:r>
      <w:r w:rsidR="000B40D0" w:rsidRPr="006571AC">
        <w:rPr>
          <w:rFonts w:ascii="Arial" w:eastAsia="MS Mincho" w:hAnsi="Arial" w:hint="cs"/>
          <w:sz w:val="27"/>
          <w:rtl/>
        </w:rPr>
        <w:t>ْ</w:t>
      </w:r>
      <w:r w:rsidRPr="006571AC">
        <w:rPr>
          <w:rFonts w:ascii="Arial" w:eastAsia="MS Mincho" w:hAnsi="Arial" w:hint="cs"/>
          <w:sz w:val="27"/>
          <w:rtl/>
        </w:rPr>
        <w:t xml:space="preserve">ض الخير! </w:t>
      </w:r>
    </w:p>
    <w:p w:rsidR="00DD301A" w:rsidRPr="006571AC" w:rsidRDefault="00DD301A" w:rsidP="00DD301A">
      <w:pPr>
        <w:spacing w:line="420" w:lineRule="exact"/>
        <w:rPr>
          <w:rFonts w:ascii="Arabic Typesetting" w:hAnsi="Arabic Typesetting"/>
          <w:sz w:val="27"/>
          <w:rtl/>
          <w:lang w:bidi="ar-LB"/>
        </w:rPr>
      </w:pPr>
    </w:p>
    <w:p w:rsidR="009B65D5" w:rsidRPr="006571AC" w:rsidRDefault="008141F9" w:rsidP="00C746EB">
      <w:pPr>
        <w:pStyle w:val="31"/>
        <w:rPr>
          <w:rFonts w:eastAsia="MS Mincho"/>
          <w:color w:val="auto"/>
          <w:rtl/>
        </w:rPr>
      </w:pPr>
      <w:bookmarkStart w:id="407" w:name="_Toc114164815"/>
      <w:r w:rsidRPr="006571AC">
        <w:rPr>
          <w:rFonts w:eastAsia="MS Mincho" w:hint="cs"/>
          <w:color w:val="auto"/>
          <w:rtl/>
        </w:rPr>
        <w:t>3ـ</w:t>
      </w:r>
      <w:r w:rsidR="009B65D5" w:rsidRPr="006571AC">
        <w:rPr>
          <w:rFonts w:eastAsia="MS Mincho" w:hint="cs"/>
          <w:color w:val="auto"/>
          <w:rtl/>
        </w:rPr>
        <w:t xml:space="preserve"> بعض </w:t>
      </w:r>
      <w:r w:rsidR="009B65D5" w:rsidRPr="006571AC">
        <w:rPr>
          <w:rFonts w:eastAsia="MS Mincho"/>
          <w:color w:val="auto"/>
          <w:rtl/>
        </w:rPr>
        <w:t>قضايا العقيدة</w:t>
      </w:r>
      <w:r w:rsidR="00C746EB" w:rsidRPr="006571AC">
        <w:rPr>
          <w:rFonts w:eastAsia="MS Mincho" w:hint="cs"/>
          <w:color w:val="auto"/>
          <w:rtl/>
        </w:rPr>
        <w:t>،</w:t>
      </w:r>
      <w:r w:rsidR="009B65D5" w:rsidRPr="006571AC">
        <w:rPr>
          <w:rFonts w:eastAsia="MS Mincho" w:hint="cs"/>
          <w:color w:val="auto"/>
          <w:rtl/>
        </w:rPr>
        <w:t xml:space="preserve"> </w:t>
      </w:r>
      <w:r w:rsidR="00C746EB" w:rsidRPr="006571AC">
        <w:rPr>
          <w:rFonts w:eastAsia="MS Mincho" w:hint="cs"/>
          <w:color w:val="auto"/>
          <w:rtl/>
        </w:rPr>
        <w:t>ك</w:t>
      </w:r>
      <w:r w:rsidR="009B65D5" w:rsidRPr="006571AC">
        <w:rPr>
          <w:rFonts w:eastAsia="MS Mincho" w:hint="cs"/>
          <w:color w:val="auto"/>
          <w:rtl/>
        </w:rPr>
        <w:t>فضائل المعصومين</w:t>
      </w:r>
      <w:r w:rsidR="000B40D0" w:rsidRPr="006571AC">
        <w:rPr>
          <w:rFonts w:ascii="Mosawi" w:hAnsi="Mosawi" w:cs="Mosawi"/>
          <w:color w:val="auto"/>
          <w:sz w:val="22"/>
          <w:szCs w:val="22"/>
          <w:rtl/>
        </w:rPr>
        <w:t>^</w:t>
      </w:r>
      <w:bookmarkEnd w:id="407"/>
      <w:r w:rsidR="009B65D5" w:rsidRPr="006571AC">
        <w:rPr>
          <w:rFonts w:eastAsia="MS Mincho" w:hint="cs"/>
          <w:color w:val="auto"/>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sz w:val="27"/>
          <w:rtl/>
        </w:rPr>
        <w:t xml:space="preserve"> وهذا</w:t>
      </w:r>
      <w:r w:rsidRPr="006571AC">
        <w:rPr>
          <w:rFonts w:ascii="Arial" w:eastAsia="MS Mincho" w:hAnsi="Arial"/>
          <w:sz w:val="27"/>
          <w:rtl/>
        </w:rPr>
        <w:t xml:space="preserve"> </w:t>
      </w:r>
      <w:r w:rsidRPr="006571AC">
        <w:rPr>
          <w:rFonts w:ascii="Arial" w:eastAsia="MS Mincho" w:hAnsi="Arial" w:hint="cs"/>
          <w:sz w:val="27"/>
          <w:rtl/>
        </w:rPr>
        <w:t>النحو من التوس</w:t>
      </w:r>
      <w:r w:rsidR="000B40D0" w:rsidRPr="006571AC">
        <w:rPr>
          <w:rFonts w:ascii="Arial" w:eastAsia="MS Mincho" w:hAnsi="Arial" w:hint="cs"/>
          <w:sz w:val="27"/>
          <w:rtl/>
        </w:rPr>
        <w:t>ُّ</w:t>
      </w:r>
      <w:r w:rsidRPr="006571AC">
        <w:rPr>
          <w:rFonts w:ascii="Arial" w:eastAsia="MS Mincho" w:hAnsi="Arial" w:hint="cs"/>
          <w:sz w:val="27"/>
          <w:rtl/>
        </w:rPr>
        <w:t xml:space="preserve">ع </w:t>
      </w:r>
      <w:r w:rsidR="000B40D0" w:rsidRPr="006571AC">
        <w:rPr>
          <w:rFonts w:ascii="Arial" w:eastAsia="MS Mincho" w:hAnsi="Arial" w:hint="cs"/>
          <w:sz w:val="27"/>
          <w:rtl/>
        </w:rPr>
        <w:t xml:space="preserve">ـ </w:t>
      </w:r>
      <w:r w:rsidRPr="006571AC">
        <w:rPr>
          <w:rFonts w:ascii="Arial" w:eastAsia="MS Mincho" w:hAnsi="Arial" w:hint="cs"/>
          <w:sz w:val="27"/>
          <w:rtl/>
        </w:rPr>
        <w:t xml:space="preserve">لو قيل به </w:t>
      </w:r>
      <w:r w:rsidR="000B40D0" w:rsidRPr="006571AC">
        <w:rPr>
          <w:rFonts w:ascii="Arial" w:eastAsia="MS Mincho" w:hAnsi="Arial" w:hint="cs"/>
          <w:sz w:val="27"/>
          <w:rtl/>
        </w:rPr>
        <w:t xml:space="preserve">ـ </w:t>
      </w:r>
      <w:r w:rsidRPr="006571AC">
        <w:rPr>
          <w:rFonts w:ascii="Arial" w:eastAsia="MS Mincho" w:hAnsi="Arial" w:hint="cs"/>
          <w:sz w:val="27"/>
          <w:rtl/>
        </w:rPr>
        <w:t>سوف يكون أغرب توس</w:t>
      </w:r>
      <w:r w:rsidR="000B40D0" w:rsidRPr="006571AC">
        <w:rPr>
          <w:rFonts w:ascii="Arial" w:eastAsia="MS Mincho" w:hAnsi="Arial" w:hint="cs"/>
          <w:sz w:val="27"/>
          <w:rtl/>
        </w:rPr>
        <w:t>ُّ</w:t>
      </w:r>
      <w:r w:rsidRPr="006571AC">
        <w:rPr>
          <w:rFonts w:ascii="Arial" w:eastAsia="MS Mincho" w:hAnsi="Arial" w:hint="cs"/>
          <w:sz w:val="27"/>
          <w:rtl/>
        </w:rPr>
        <w:t>ع</w:t>
      </w:r>
      <w:r w:rsidR="000B40D0" w:rsidRPr="006571AC">
        <w:rPr>
          <w:rFonts w:ascii="Arial" w:eastAsia="MS Mincho" w:hAnsi="Arial" w:hint="cs"/>
          <w:sz w:val="27"/>
          <w:rtl/>
        </w:rPr>
        <w:t>ٍ</w:t>
      </w:r>
      <w:r w:rsidRPr="006571AC">
        <w:rPr>
          <w:rFonts w:ascii="Arial" w:eastAsia="MS Mincho" w:hAnsi="Arial" w:hint="cs"/>
          <w:sz w:val="27"/>
          <w:rtl/>
        </w:rPr>
        <w:t xml:space="preserve"> ع</w:t>
      </w:r>
      <w:r w:rsidR="000B40D0" w:rsidRPr="006571AC">
        <w:rPr>
          <w:rFonts w:ascii="Arial" w:eastAsia="MS Mincho" w:hAnsi="Arial" w:hint="cs"/>
          <w:sz w:val="27"/>
          <w:rtl/>
        </w:rPr>
        <w:t>َ</w:t>
      </w:r>
      <w:r w:rsidRPr="006571AC">
        <w:rPr>
          <w:rFonts w:ascii="Arial" w:eastAsia="MS Mincho" w:hAnsi="Arial" w:hint="cs"/>
          <w:sz w:val="27"/>
          <w:rtl/>
        </w:rPr>
        <w:t>ر</w:t>
      </w:r>
      <w:r w:rsidR="000B40D0" w:rsidRPr="006571AC">
        <w:rPr>
          <w:rFonts w:ascii="Arial" w:eastAsia="MS Mincho" w:hAnsi="Arial" w:hint="cs"/>
          <w:sz w:val="27"/>
          <w:rtl/>
        </w:rPr>
        <w:t>َ</w:t>
      </w:r>
      <w:r w:rsidRPr="006571AC">
        <w:rPr>
          <w:rFonts w:ascii="Arial" w:eastAsia="MS Mincho" w:hAnsi="Arial" w:hint="cs"/>
          <w:sz w:val="27"/>
          <w:rtl/>
        </w:rPr>
        <w:t>ف</w:t>
      </w:r>
      <w:r w:rsidR="000B40D0" w:rsidRPr="006571AC">
        <w:rPr>
          <w:rFonts w:ascii="Arial" w:eastAsia="MS Mincho" w:hAnsi="Arial" w:hint="cs"/>
          <w:sz w:val="27"/>
          <w:rtl/>
        </w:rPr>
        <w:t>َ</w:t>
      </w:r>
      <w:r w:rsidRPr="006571AC">
        <w:rPr>
          <w:rFonts w:ascii="Arial" w:eastAsia="MS Mincho" w:hAnsi="Arial" w:hint="cs"/>
          <w:sz w:val="27"/>
          <w:rtl/>
        </w:rPr>
        <w:t>ت</w:t>
      </w:r>
      <w:r w:rsidR="000B40D0" w:rsidRPr="006571AC">
        <w:rPr>
          <w:rFonts w:ascii="Arial" w:eastAsia="MS Mincho" w:hAnsi="Arial" w:hint="cs"/>
          <w:sz w:val="27"/>
          <w:rtl/>
        </w:rPr>
        <w:t>ْ</w:t>
      </w:r>
      <w:r w:rsidRPr="006571AC">
        <w:rPr>
          <w:rFonts w:ascii="Arial" w:eastAsia="MS Mincho" w:hAnsi="Arial" w:hint="cs"/>
          <w:sz w:val="27"/>
          <w:rtl/>
        </w:rPr>
        <w:t>ه القاعدة، فهل من قائل</w:t>
      </w:r>
      <w:r w:rsidR="000B40D0" w:rsidRPr="006571AC">
        <w:rPr>
          <w:rFonts w:ascii="Arial" w:eastAsia="MS Mincho" w:hAnsi="Arial" w:hint="cs"/>
          <w:sz w:val="27"/>
          <w:rtl/>
        </w:rPr>
        <w:t>ٍ</w:t>
      </w:r>
      <w:r w:rsidRPr="006571AC">
        <w:rPr>
          <w:rFonts w:ascii="Arial" w:eastAsia="MS Mincho" w:hAnsi="Arial" w:hint="cs"/>
          <w:sz w:val="27"/>
          <w:rtl/>
        </w:rPr>
        <w:t xml:space="preserve"> بإمكان التسامح في الأخبار الواردة في قضايا الاعتقاد</w:t>
      </w:r>
      <w:r w:rsidR="000B40D0" w:rsidRPr="006571AC">
        <w:rPr>
          <w:rFonts w:ascii="Arial" w:eastAsia="MS Mincho" w:hAnsi="Arial" w:hint="cs"/>
          <w:sz w:val="27"/>
          <w:rtl/>
        </w:rPr>
        <w:t>؟</w:t>
      </w:r>
    </w:p>
    <w:p w:rsidR="009B65D5" w:rsidRPr="006571AC" w:rsidRDefault="009B65D5" w:rsidP="002A2E03">
      <w:pPr>
        <w:rPr>
          <w:rFonts w:ascii="Arial" w:eastAsia="MS Mincho" w:hAnsi="Arial"/>
          <w:b/>
          <w:bCs/>
          <w:sz w:val="27"/>
          <w:rtl/>
        </w:rPr>
      </w:pPr>
      <w:r w:rsidRPr="006571AC">
        <w:rPr>
          <w:rFonts w:ascii="Arial" w:eastAsia="MS Mincho" w:hAnsi="Arial" w:hint="cs"/>
          <w:sz w:val="27"/>
          <w:rtl/>
        </w:rPr>
        <w:t>يظهر من كلام</w:t>
      </w:r>
      <w:r w:rsidR="000B40D0" w:rsidRPr="006571AC">
        <w:rPr>
          <w:rFonts w:ascii="Arial" w:eastAsia="MS Mincho" w:hAnsi="Arial" w:hint="cs"/>
          <w:sz w:val="27"/>
          <w:rtl/>
        </w:rPr>
        <w:t>ٍ</w:t>
      </w:r>
      <w:r w:rsidRPr="006571AC">
        <w:rPr>
          <w:rFonts w:ascii="Arial" w:eastAsia="MS Mincho" w:hAnsi="Arial" w:hint="cs"/>
          <w:sz w:val="27"/>
          <w:rtl/>
        </w:rPr>
        <w:t xml:space="preserve"> ل</w:t>
      </w:r>
      <w:r w:rsidRPr="006571AC">
        <w:rPr>
          <w:rFonts w:ascii="Arial" w:eastAsia="MS Mincho" w:hAnsi="Arial"/>
          <w:sz w:val="27"/>
          <w:rtl/>
        </w:rPr>
        <w:t xml:space="preserve">بعض </w:t>
      </w:r>
      <w:r w:rsidRPr="006571AC">
        <w:rPr>
          <w:rFonts w:ascii="Arial" w:eastAsia="MS Mincho" w:hAnsi="Arial" w:hint="cs"/>
          <w:sz w:val="27"/>
          <w:rtl/>
        </w:rPr>
        <w:t>الفقه</w:t>
      </w:r>
      <w:r w:rsidRPr="006571AC">
        <w:rPr>
          <w:rFonts w:ascii="Arial" w:eastAsia="MS Mincho" w:hAnsi="Arial"/>
          <w:sz w:val="27"/>
          <w:rtl/>
        </w:rPr>
        <w:t>اء المعاصرين</w:t>
      </w:r>
      <w:r w:rsidRPr="006571AC">
        <w:rPr>
          <w:rFonts w:ascii="Arial" w:eastAsia="MS Mincho" w:hAnsi="Arial" w:hint="cs"/>
          <w:sz w:val="27"/>
          <w:rtl/>
        </w:rPr>
        <w:t xml:space="preserve"> قبوله بهذا </w:t>
      </w:r>
      <w:r w:rsidRPr="006571AC">
        <w:rPr>
          <w:rFonts w:ascii="Arial" w:eastAsia="MS Mincho" w:hAnsi="Arial"/>
          <w:sz w:val="27"/>
          <w:rtl/>
        </w:rPr>
        <w:t>التسامح، مساوياً بين</w:t>
      </w:r>
      <w:r w:rsidRPr="006571AC">
        <w:rPr>
          <w:rFonts w:ascii="Arial" w:eastAsia="MS Mincho" w:hAnsi="Arial" w:hint="cs"/>
          <w:sz w:val="27"/>
          <w:rtl/>
        </w:rPr>
        <w:t xml:space="preserve"> الأخبار ذات المضامين الع</w:t>
      </w:r>
      <w:r w:rsidR="007C6DC1" w:rsidRPr="006571AC">
        <w:rPr>
          <w:rFonts w:ascii="Arial" w:eastAsia="MS Mincho" w:hAnsi="Arial" w:hint="cs"/>
          <w:sz w:val="27"/>
          <w:rtl/>
        </w:rPr>
        <w:t>َ</w:t>
      </w:r>
      <w:r w:rsidRPr="006571AC">
        <w:rPr>
          <w:rFonts w:ascii="Arial" w:eastAsia="MS Mincho" w:hAnsi="Arial" w:hint="cs"/>
          <w:sz w:val="27"/>
          <w:rtl/>
        </w:rPr>
        <w:t>ق</w:t>
      </w:r>
      <w:r w:rsidR="007C6DC1" w:rsidRPr="006571AC">
        <w:rPr>
          <w:rFonts w:ascii="Arial" w:eastAsia="MS Mincho" w:hAnsi="Arial" w:hint="cs"/>
          <w:sz w:val="27"/>
          <w:rtl/>
        </w:rPr>
        <w:t>ْ</w:t>
      </w:r>
      <w:r w:rsidRPr="006571AC">
        <w:rPr>
          <w:rFonts w:ascii="Arial" w:eastAsia="MS Mincho" w:hAnsi="Arial" w:hint="cs"/>
          <w:sz w:val="27"/>
          <w:rtl/>
        </w:rPr>
        <w:t>دية</w:t>
      </w:r>
      <w:r w:rsidRPr="006571AC">
        <w:rPr>
          <w:rFonts w:ascii="Arial" w:eastAsia="MS Mincho" w:hAnsi="Arial"/>
          <w:sz w:val="27"/>
          <w:rtl/>
        </w:rPr>
        <w:t xml:space="preserve"> وبين أخبار المستحبّات، ومتجاوزاً ما هو معروفٌ </w:t>
      </w:r>
      <w:r w:rsidRPr="006571AC">
        <w:rPr>
          <w:rFonts w:ascii="Arial" w:eastAsia="MS Mincho" w:hAnsi="Arial" w:hint="cs"/>
          <w:sz w:val="27"/>
          <w:rtl/>
        </w:rPr>
        <w:t xml:space="preserve">بين الأعلام، </w:t>
      </w:r>
      <w:r w:rsidRPr="006571AC">
        <w:rPr>
          <w:rFonts w:ascii="Arial" w:eastAsia="MS Mincho" w:hAnsi="Arial"/>
          <w:sz w:val="27"/>
          <w:rtl/>
        </w:rPr>
        <w:t>من أنّ خبر الواحد ليس حجّةً ولا يعوّل عليه في أص</w:t>
      </w:r>
      <w:r w:rsidR="007C6DC1" w:rsidRPr="006571AC">
        <w:rPr>
          <w:rFonts w:ascii="Arial" w:eastAsia="MS Mincho" w:hAnsi="Arial"/>
          <w:sz w:val="27"/>
          <w:rtl/>
        </w:rPr>
        <w:t>ول العقائد فيما لو كان صحيح الس</w:t>
      </w:r>
      <w:r w:rsidRPr="006571AC">
        <w:rPr>
          <w:rFonts w:ascii="Arial" w:eastAsia="MS Mincho" w:hAnsi="Arial"/>
          <w:sz w:val="27"/>
          <w:rtl/>
        </w:rPr>
        <w:t>ند، فضلاً عمّا لو كان ضعيفاً. قال ما نصّ</w:t>
      </w:r>
      <w:r w:rsidR="007C6DC1" w:rsidRPr="006571AC">
        <w:rPr>
          <w:rFonts w:ascii="Arial" w:eastAsia="MS Mincho" w:hAnsi="Arial" w:hint="cs"/>
          <w:sz w:val="27"/>
          <w:rtl/>
        </w:rPr>
        <w:t>ُ</w:t>
      </w:r>
      <w:r w:rsidRPr="006571AC">
        <w:rPr>
          <w:rFonts w:ascii="Arial" w:eastAsia="MS Mincho" w:hAnsi="Arial"/>
          <w:sz w:val="27"/>
          <w:rtl/>
        </w:rPr>
        <w:t xml:space="preserve">ه: </w:t>
      </w:r>
      <w:r w:rsidRPr="006571AC">
        <w:rPr>
          <w:rFonts w:hint="eastAsia"/>
          <w:sz w:val="24"/>
          <w:szCs w:val="24"/>
          <w:rtl/>
        </w:rPr>
        <w:t>«</w:t>
      </w:r>
      <w:r w:rsidRPr="006571AC">
        <w:rPr>
          <w:rFonts w:ascii="Arial" w:eastAsia="MS Mincho" w:hAnsi="Arial"/>
          <w:sz w:val="27"/>
          <w:rtl/>
        </w:rPr>
        <w:t>وهذا التدقيق والتحقيق والتثب</w:t>
      </w:r>
      <w:r w:rsidR="007C6DC1" w:rsidRPr="006571AC">
        <w:rPr>
          <w:rFonts w:ascii="Arial" w:eastAsia="MS Mincho" w:hAnsi="Arial" w:hint="cs"/>
          <w:sz w:val="27"/>
          <w:rtl/>
        </w:rPr>
        <w:t>ُّ</w:t>
      </w:r>
      <w:r w:rsidRPr="006571AC">
        <w:rPr>
          <w:rFonts w:ascii="Arial" w:eastAsia="MS Mincho" w:hAnsi="Arial"/>
          <w:sz w:val="27"/>
          <w:rtl/>
        </w:rPr>
        <w:t>ت</w:t>
      </w:r>
      <w:r w:rsidR="007C6DC1" w:rsidRPr="006571AC">
        <w:rPr>
          <w:rFonts w:ascii="Arial" w:eastAsia="MS Mincho" w:hAnsi="Arial" w:hint="cs"/>
          <w:sz w:val="27"/>
          <w:rtl/>
        </w:rPr>
        <w:t>؛</w:t>
      </w:r>
      <w:r w:rsidRPr="006571AC">
        <w:rPr>
          <w:rFonts w:ascii="Arial" w:eastAsia="MS Mincho" w:hAnsi="Arial"/>
          <w:sz w:val="27"/>
          <w:rtl/>
        </w:rPr>
        <w:t xml:space="preserve"> لاستحصال الاطمئنان بصدور الحديث عن المعصوم، يتأكّ</w:t>
      </w:r>
      <w:r w:rsidR="007C6DC1" w:rsidRPr="006571AC">
        <w:rPr>
          <w:rFonts w:ascii="Arial" w:eastAsia="MS Mincho" w:hAnsi="Arial" w:hint="cs"/>
          <w:sz w:val="27"/>
          <w:rtl/>
        </w:rPr>
        <w:t>َ</w:t>
      </w:r>
      <w:r w:rsidRPr="006571AC">
        <w:rPr>
          <w:rFonts w:ascii="Arial" w:eastAsia="MS Mincho" w:hAnsi="Arial"/>
          <w:sz w:val="27"/>
          <w:rtl/>
        </w:rPr>
        <w:t>د في</w:t>
      </w:r>
      <w:r w:rsidR="007C6DC1" w:rsidRPr="006571AC">
        <w:rPr>
          <w:rFonts w:ascii="Arial" w:eastAsia="MS Mincho" w:hAnsi="Arial" w:hint="cs"/>
          <w:sz w:val="27"/>
          <w:rtl/>
        </w:rPr>
        <w:t xml:space="preserve"> </w:t>
      </w:r>
      <w:r w:rsidRPr="006571AC">
        <w:rPr>
          <w:rFonts w:ascii="Arial" w:eastAsia="MS Mincho" w:hAnsi="Arial"/>
          <w:sz w:val="27"/>
          <w:rtl/>
        </w:rPr>
        <w:t>ما يتعلّ</w:t>
      </w:r>
      <w:r w:rsidR="007C6DC1" w:rsidRPr="006571AC">
        <w:rPr>
          <w:rFonts w:ascii="Arial" w:eastAsia="MS Mincho" w:hAnsi="Arial" w:hint="cs"/>
          <w:sz w:val="27"/>
          <w:rtl/>
        </w:rPr>
        <w:t>َ</w:t>
      </w:r>
      <w:r w:rsidRPr="006571AC">
        <w:rPr>
          <w:rFonts w:ascii="Arial" w:eastAsia="MS Mincho" w:hAnsi="Arial"/>
          <w:sz w:val="27"/>
          <w:rtl/>
        </w:rPr>
        <w:t>ق بالأحاديث المرتبطة بالحكم الإلزامي، مثل</w:t>
      </w:r>
      <w:r w:rsidR="007C6DC1" w:rsidRPr="006571AC">
        <w:rPr>
          <w:rFonts w:ascii="Arial" w:eastAsia="MS Mincho" w:hAnsi="Arial" w:hint="cs"/>
          <w:sz w:val="27"/>
          <w:rtl/>
        </w:rPr>
        <w:t>:</w:t>
      </w:r>
      <w:r w:rsidRPr="006571AC">
        <w:rPr>
          <w:rFonts w:ascii="Arial" w:eastAsia="MS Mincho" w:hAnsi="Arial"/>
          <w:sz w:val="27"/>
          <w:rtl/>
        </w:rPr>
        <w:t xml:space="preserve"> الواجب والحرام، أو المعاملات والأمور المالي</w:t>
      </w:r>
      <w:r w:rsidR="007C6DC1" w:rsidRPr="006571AC">
        <w:rPr>
          <w:rFonts w:ascii="Arial" w:eastAsia="MS Mincho" w:hAnsi="Arial" w:hint="cs"/>
          <w:sz w:val="27"/>
          <w:rtl/>
        </w:rPr>
        <w:t>ّ</w:t>
      </w:r>
      <w:r w:rsidRPr="006571AC">
        <w:rPr>
          <w:rFonts w:ascii="Arial" w:eastAsia="MS Mincho" w:hAnsi="Arial"/>
          <w:sz w:val="27"/>
          <w:rtl/>
        </w:rPr>
        <w:t>ة والحقوقيّة والسياسي</w:t>
      </w:r>
      <w:r w:rsidR="007C6DC1" w:rsidRPr="006571AC">
        <w:rPr>
          <w:rFonts w:ascii="Arial" w:eastAsia="MS Mincho" w:hAnsi="Arial" w:hint="cs"/>
          <w:sz w:val="27"/>
          <w:rtl/>
        </w:rPr>
        <w:t>ّ</w:t>
      </w:r>
      <w:r w:rsidRPr="006571AC">
        <w:rPr>
          <w:rFonts w:ascii="Arial" w:eastAsia="MS Mincho" w:hAnsi="Arial"/>
          <w:sz w:val="27"/>
          <w:rtl/>
        </w:rPr>
        <w:t>ة، في حين أنّ التعامل مع الأحاديث الأخرى ـ كالمتحدّ</w:t>
      </w:r>
      <w:r w:rsidR="007C6DC1" w:rsidRPr="006571AC">
        <w:rPr>
          <w:rFonts w:ascii="Arial" w:eastAsia="MS Mincho" w:hAnsi="Arial" w:hint="cs"/>
          <w:sz w:val="27"/>
          <w:rtl/>
        </w:rPr>
        <w:t>ِ</w:t>
      </w:r>
      <w:r w:rsidRPr="006571AC">
        <w:rPr>
          <w:rFonts w:ascii="Arial" w:eastAsia="MS Mincho" w:hAnsi="Arial"/>
          <w:sz w:val="27"/>
          <w:rtl/>
        </w:rPr>
        <w:t>ثة عن أصول العقائد والمستحب</w:t>
      </w:r>
      <w:r w:rsidR="007C6DC1" w:rsidRPr="006571AC">
        <w:rPr>
          <w:rFonts w:ascii="Arial" w:eastAsia="MS Mincho" w:hAnsi="Arial" w:hint="cs"/>
          <w:sz w:val="27"/>
          <w:rtl/>
        </w:rPr>
        <w:t>ّ</w:t>
      </w:r>
      <w:r w:rsidRPr="006571AC">
        <w:rPr>
          <w:rFonts w:ascii="Arial" w:eastAsia="MS Mincho" w:hAnsi="Arial"/>
          <w:sz w:val="27"/>
          <w:rtl/>
        </w:rPr>
        <w:t>ات ـ لا يحتاج إلى هذا المقدار من التحقيق والدق</w:t>
      </w:r>
      <w:r w:rsidR="007C6DC1" w:rsidRPr="006571AC">
        <w:rPr>
          <w:rFonts w:ascii="Arial" w:eastAsia="MS Mincho" w:hAnsi="Arial" w:hint="cs"/>
          <w:sz w:val="27"/>
          <w:rtl/>
        </w:rPr>
        <w:t>ّ</w:t>
      </w:r>
      <w:r w:rsidRPr="006571AC">
        <w:rPr>
          <w:rFonts w:ascii="Arial" w:eastAsia="MS Mincho" w:hAnsi="Arial"/>
          <w:sz w:val="27"/>
          <w:rtl/>
        </w:rPr>
        <w:t>ة</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73"/>
      </w:r>
      <w:r w:rsidRPr="006571AC">
        <w:rPr>
          <w:rFonts w:ascii="Arial" w:eastAsia="MS Mincho" w:hAnsi="Arial"/>
          <w:sz w:val="27"/>
          <w:vertAlign w:val="superscript"/>
          <w:rtl/>
        </w:rPr>
        <w:t>)</w:t>
      </w:r>
      <w:r w:rsidRPr="006571AC">
        <w:rPr>
          <w:rFonts w:ascii="Arial" w:eastAsia="MS Mincho" w:hAnsi="Arial" w:hint="cs"/>
          <w:sz w:val="27"/>
          <w:rtl/>
        </w:rPr>
        <w:t>.</w:t>
      </w:r>
      <w:r w:rsidRPr="006571AC">
        <w:rPr>
          <w:rFonts w:ascii="Arial" w:eastAsia="MS Mincho" w:hAnsi="Arial"/>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sz w:val="27"/>
          <w:rtl/>
        </w:rPr>
        <w:t>إنّ ما يثير الاستغراب في هذا الكلام ـ لو حُمِل على ظاهره ـ هو أنّ التحقيق والتثبّ</w:t>
      </w:r>
      <w:r w:rsidR="007C6DC1" w:rsidRPr="006571AC">
        <w:rPr>
          <w:rFonts w:ascii="Arial" w:eastAsia="MS Mincho" w:hAnsi="Arial" w:hint="cs"/>
          <w:sz w:val="27"/>
          <w:rtl/>
        </w:rPr>
        <w:t>ُ</w:t>
      </w:r>
      <w:r w:rsidRPr="006571AC">
        <w:rPr>
          <w:rFonts w:ascii="Arial" w:eastAsia="MS Mincho" w:hAnsi="Arial"/>
          <w:sz w:val="27"/>
          <w:rtl/>
        </w:rPr>
        <w:t>ت المطلوب في الأخبار ذات المضامين الفقهية يستدعي تثب</w:t>
      </w:r>
      <w:r w:rsidR="007C6DC1" w:rsidRPr="006571AC">
        <w:rPr>
          <w:rFonts w:ascii="Arial" w:eastAsia="MS Mincho" w:hAnsi="Arial" w:hint="cs"/>
          <w:sz w:val="27"/>
          <w:rtl/>
        </w:rPr>
        <w:t>ُّ</w:t>
      </w:r>
      <w:r w:rsidRPr="006571AC">
        <w:rPr>
          <w:rFonts w:ascii="Arial" w:eastAsia="MS Mincho" w:hAnsi="Arial"/>
          <w:sz w:val="27"/>
          <w:rtl/>
        </w:rPr>
        <w:t>تاً بدرجةٍ أعلى في الأخبار ذات المضامين الع</w:t>
      </w:r>
      <w:r w:rsidR="007C6DC1" w:rsidRPr="006571AC">
        <w:rPr>
          <w:rFonts w:ascii="Arial" w:eastAsia="MS Mincho" w:hAnsi="Arial" w:hint="cs"/>
          <w:sz w:val="27"/>
          <w:rtl/>
        </w:rPr>
        <w:t>َ</w:t>
      </w:r>
      <w:r w:rsidRPr="006571AC">
        <w:rPr>
          <w:rFonts w:ascii="Arial" w:eastAsia="MS Mincho" w:hAnsi="Arial"/>
          <w:sz w:val="27"/>
          <w:rtl/>
        </w:rPr>
        <w:t>ق</w:t>
      </w:r>
      <w:r w:rsidR="007C6DC1" w:rsidRPr="006571AC">
        <w:rPr>
          <w:rFonts w:ascii="Arial" w:eastAsia="MS Mincho" w:hAnsi="Arial" w:hint="cs"/>
          <w:sz w:val="27"/>
          <w:rtl/>
        </w:rPr>
        <w:t>ْ</w:t>
      </w:r>
      <w:r w:rsidRPr="006571AC">
        <w:rPr>
          <w:rFonts w:ascii="Arial" w:eastAsia="MS Mincho" w:hAnsi="Arial"/>
          <w:sz w:val="27"/>
          <w:rtl/>
        </w:rPr>
        <w:t>دية</w:t>
      </w:r>
      <w:r w:rsidRPr="006571AC">
        <w:rPr>
          <w:rFonts w:ascii="Arial" w:eastAsia="MS Mincho" w:hAnsi="Arial" w:hint="cs"/>
          <w:sz w:val="27"/>
          <w:rtl/>
        </w:rPr>
        <w:t xml:space="preserve">. </w:t>
      </w:r>
      <w:r w:rsidRPr="006571AC">
        <w:rPr>
          <w:rFonts w:ascii="Arial" w:eastAsia="MS Mincho" w:hAnsi="Arial"/>
          <w:sz w:val="27"/>
          <w:rtl/>
        </w:rPr>
        <w:t xml:space="preserve">وأمّا مساواة أخبار </w:t>
      </w:r>
      <w:r w:rsidRPr="006571AC">
        <w:rPr>
          <w:rFonts w:ascii="Arial" w:eastAsia="MS Mincho" w:hAnsi="Arial" w:hint="cs"/>
          <w:sz w:val="27"/>
          <w:rtl/>
        </w:rPr>
        <w:t xml:space="preserve">أصول </w:t>
      </w:r>
      <w:r w:rsidRPr="006571AC">
        <w:rPr>
          <w:rFonts w:ascii="Arial" w:eastAsia="MS Mincho" w:hAnsi="Arial"/>
          <w:sz w:val="27"/>
          <w:rtl/>
        </w:rPr>
        <w:t>العقائد بأخبار المستحبّات فهو أشدّ</w:t>
      </w:r>
      <w:r w:rsidR="007C6DC1" w:rsidRPr="006571AC">
        <w:rPr>
          <w:rFonts w:ascii="Arial" w:eastAsia="MS Mincho" w:hAnsi="Arial" w:hint="cs"/>
          <w:sz w:val="27"/>
          <w:rtl/>
        </w:rPr>
        <w:t>ُ</w:t>
      </w:r>
      <w:r w:rsidRPr="006571AC">
        <w:rPr>
          <w:rFonts w:ascii="Arial" w:eastAsia="MS Mincho" w:hAnsi="Arial"/>
          <w:sz w:val="27"/>
          <w:rtl/>
        </w:rPr>
        <w:t xml:space="preserve"> غرابةً</w:t>
      </w:r>
      <w:r w:rsidR="007C6DC1" w:rsidRPr="006571AC">
        <w:rPr>
          <w:rFonts w:ascii="Arial" w:eastAsia="MS Mincho" w:hAnsi="Arial" w:hint="cs"/>
          <w:sz w:val="27"/>
          <w:rtl/>
        </w:rPr>
        <w:t>.</w:t>
      </w:r>
      <w:r w:rsidRPr="006571AC">
        <w:rPr>
          <w:rFonts w:ascii="Arial" w:eastAsia="MS Mincho" w:hAnsi="Arial"/>
          <w:sz w:val="27"/>
          <w:rtl/>
        </w:rPr>
        <w:t xml:space="preserve"> وقياس</w:t>
      </w:r>
      <w:r w:rsidR="007C6DC1" w:rsidRPr="006571AC">
        <w:rPr>
          <w:rFonts w:ascii="Arial" w:eastAsia="MS Mincho" w:hAnsi="Arial" w:hint="cs"/>
          <w:sz w:val="27"/>
          <w:rtl/>
        </w:rPr>
        <w:t>ُ</w:t>
      </w:r>
      <w:r w:rsidRPr="006571AC">
        <w:rPr>
          <w:rFonts w:ascii="Arial" w:eastAsia="MS Mincho" w:hAnsi="Arial"/>
          <w:sz w:val="27"/>
          <w:rtl/>
        </w:rPr>
        <w:t xml:space="preserve"> إحداهما بالأخرى قياس</w:t>
      </w:r>
      <w:r w:rsidR="007C6DC1" w:rsidRPr="006571AC">
        <w:rPr>
          <w:rFonts w:ascii="Arial" w:eastAsia="MS Mincho" w:hAnsi="Arial" w:hint="cs"/>
          <w:sz w:val="27"/>
          <w:rtl/>
        </w:rPr>
        <w:t>ٌ</w:t>
      </w:r>
      <w:r w:rsidRPr="006571AC">
        <w:rPr>
          <w:rFonts w:ascii="Arial" w:eastAsia="MS Mincho" w:hAnsi="Arial"/>
          <w:sz w:val="27"/>
          <w:rtl/>
        </w:rPr>
        <w:t xml:space="preserve"> مع الفارق</w:t>
      </w:r>
      <w:r w:rsidR="007C6DC1" w:rsidRPr="006571AC">
        <w:rPr>
          <w:rFonts w:ascii="Arial" w:eastAsia="MS Mincho" w:hAnsi="Arial" w:hint="cs"/>
          <w:sz w:val="27"/>
          <w:rtl/>
        </w:rPr>
        <w:t>؛</w:t>
      </w:r>
      <w:r w:rsidRPr="006571AC">
        <w:rPr>
          <w:rFonts w:ascii="Arial" w:eastAsia="MS Mincho" w:hAnsi="Arial"/>
          <w:sz w:val="27"/>
          <w:rtl/>
        </w:rPr>
        <w:t xml:space="preserve"> لأنّ أخبار </w:t>
      </w:r>
      <w:r w:rsidRPr="006571AC">
        <w:rPr>
          <w:rFonts w:ascii="Arial" w:eastAsia="MS Mincho" w:hAnsi="Arial" w:hint="cs"/>
          <w:sz w:val="27"/>
          <w:rtl/>
        </w:rPr>
        <w:t xml:space="preserve">أصول </w:t>
      </w:r>
      <w:r w:rsidRPr="006571AC">
        <w:rPr>
          <w:rFonts w:ascii="Arial" w:eastAsia="MS Mincho" w:hAnsi="Arial"/>
          <w:sz w:val="27"/>
          <w:rtl/>
        </w:rPr>
        <w:t>العقائد تؤسّ</w:t>
      </w:r>
      <w:r w:rsidR="007C6DC1" w:rsidRPr="006571AC">
        <w:rPr>
          <w:rFonts w:ascii="Arial" w:eastAsia="MS Mincho" w:hAnsi="Arial" w:hint="cs"/>
          <w:sz w:val="27"/>
          <w:rtl/>
        </w:rPr>
        <w:t>ِ</w:t>
      </w:r>
      <w:r w:rsidR="007C6DC1" w:rsidRPr="006571AC">
        <w:rPr>
          <w:rFonts w:ascii="Arial" w:eastAsia="MS Mincho" w:hAnsi="Arial"/>
          <w:sz w:val="27"/>
          <w:rtl/>
        </w:rPr>
        <w:t>س للبناء المعرفي ال</w:t>
      </w:r>
      <w:r w:rsidRPr="006571AC">
        <w:rPr>
          <w:rFonts w:ascii="Arial" w:eastAsia="MS Mincho" w:hAnsi="Arial"/>
          <w:sz w:val="27"/>
          <w:rtl/>
        </w:rPr>
        <w:t>ذي لا يكمل إسلام الشخص وإيمانه إلا</w:t>
      </w:r>
      <w:r w:rsidR="007C6DC1" w:rsidRPr="006571AC">
        <w:rPr>
          <w:rFonts w:ascii="Arial" w:eastAsia="MS Mincho" w:hAnsi="Arial" w:hint="cs"/>
          <w:sz w:val="27"/>
          <w:rtl/>
        </w:rPr>
        <w:t>ّ</w:t>
      </w:r>
      <w:r w:rsidRPr="006571AC">
        <w:rPr>
          <w:rFonts w:ascii="Arial" w:eastAsia="MS Mincho" w:hAnsi="Arial"/>
          <w:sz w:val="27"/>
          <w:rtl/>
        </w:rPr>
        <w:t xml:space="preserve"> به، بينما المستحبّات هي مجرّد نوافل عمليّة</w:t>
      </w:r>
      <w:r w:rsidR="007C6DC1" w:rsidRPr="006571AC">
        <w:rPr>
          <w:rFonts w:ascii="Arial" w:eastAsia="MS Mincho" w:hAnsi="Arial" w:hint="cs"/>
          <w:sz w:val="27"/>
          <w:rtl/>
        </w:rPr>
        <w:t>،</w:t>
      </w:r>
      <w:r w:rsidRPr="006571AC">
        <w:rPr>
          <w:rFonts w:ascii="Arial" w:eastAsia="MS Mincho" w:hAnsi="Arial"/>
          <w:sz w:val="27"/>
          <w:rtl/>
        </w:rPr>
        <w:t xml:space="preserve"> لا يخدش الإخلال بها في استقامة المسلم وعدالته، فضلاً عن إيمانه وإسلامه. </w:t>
      </w:r>
    </w:p>
    <w:p w:rsidR="009B65D5" w:rsidRPr="006571AC" w:rsidRDefault="009B65D5" w:rsidP="002A2E03">
      <w:pPr>
        <w:rPr>
          <w:rFonts w:ascii="Arial" w:eastAsia="MS Mincho" w:hAnsi="Arial"/>
          <w:sz w:val="27"/>
          <w:rtl/>
        </w:rPr>
      </w:pPr>
      <w:r w:rsidRPr="006571AC">
        <w:rPr>
          <w:rFonts w:ascii="Arial" w:eastAsia="MS Mincho" w:hAnsi="Arial" w:hint="cs"/>
          <w:sz w:val="27"/>
          <w:rtl/>
        </w:rPr>
        <w:t>هذا</w:t>
      </w:r>
      <w:r w:rsidR="007C6DC1" w:rsidRPr="006571AC">
        <w:rPr>
          <w:rFonts w:ascii="Arial" w:eastAsia="MS Mincho" w:hAnsi="Arial" w:hint="cs"/>
          <w:sz w:val="27"/>
          <w:rtl/>
        </w:rPr>
        <w:t>،</w:t>
      </w:r>
      <w:r w:rsidRPr="006571AC">
        <w:rPr>
          <w:rFonts w:ascii="Arial" w:eastAsia="MS Mincho" w:hAnsi="Arial" w:hint="cs"/>
          <w:sz w:val="27"/>
          <w:rtl/>
        </w:rPr>
        <w:t xml:space="preserve"> ولكن</w:t>
      </w:r>
      <w:r w:rsidR="007C6DC1" w:rsidRPr="006571AC">
        <w:rPr>
          <w:rFonts w:ascii="Arial" w:eastAsia="MS Mincho" w:hAnsi="Arial" w:hint="cs"/>
          <w:sz w:val="27"/>
          <w:rtl/>
        </w:rPr>
        <w:t>ْ</w:t>
      </w:r>
      <w:r w:rsidRPr="006571AC">
        <w:rPr>
          <w:rFonts w:ascii="Arial" w:eastAsia="MS Mincho" w:hAnsi="Arial" w:hint="cs"/>
          <w:sz w:val="27"/>
          <w:rtl/>
        </w:rPr>
        <w:t xml:space="preserve"> ر</w:t>
      </w:r>
      <w:r w:rsidR="007C6DC1" w:rsidRPr="006571AC">
        <w:rPr>
          <w:rFonts w:ascii="Arial" w:eastAsia="MS Mincho" w:hAnsi="Arial" w:hint="cs"/>
          <w:sz w:val="27"/>
          <w:rtl/>
        </w:rPr>
        <w:t>ُ</w:t>
      </w:r>
      <w:r w:rsidRPr="006571AC">
        <w:rPr>
          <w:rFonts w:ascii="Arial" w:eastAsia="MS Mincho" w:hAnsi="Arial" w:hint="cs"/>
          <w:sz w:val="27"/>
          <w:rtl/>
        </w:rPr>
        <w:t>ب</w:t>
      </w:r>
      <w:r w:rsidR="007C6DC1" w:rsidRPr="006571AC">
        <w:rPr>
          <w:rFonts w:ascii="Arial" w:eastAsia="MS Mincho" w:hAnsi="Arial" w:hint="cs"/>
          <w:sz w:val="27"/>
          <w:rtl/>
        </w:rPr>
        <w:t>َ</w:t>
      </w:r>
      <w:r w:rsidRPr="006571AC">
        <w:rPr>
          <w:rFonts w:ascii="Arial" w:eastAsia="MS Mincho" w:hAnsi="Arial" w:hint="cs"/>
          <w:sz w:val="27"/>
          <w:rtl/>
        </w:rPr>
        <w:t xml:space="preserve">ما </w:t>
      </w:r>
      <w:r w:rsidRPr="006571AC">
        <w:rPr>
          <w:rFonts w:ascii="Arial" w:eastAsia="Calibri" w:hAnsi="Arial" w:hint="cs"/>
          <w:sz w:val="27"/>
          <w:rtl/>
        </w:rPr>
        <w:t>ي</w:t>
      </w:r>
      <w:r w:rsidR="007C6DC1" w:rsidRPr="006571AC">
        <w:rPr>
          <w:rFonts w:ascii="Arial" w:eastAsia="Calibri" w:hAnsi="Arial" w:hint="cs"/>
          <w:sz w:val="27"/>
          <w:rtl/>
        </w:rPr>
        <w:t>ُ</w:t>
      </w:r>
      <w:r w:rsidRPr="006571AC">
        <w:rPr>
          <w:rFonts w:ascii="Arial" w:eastAsia="Calibri" w:hAnsi="Arial" w:hint="cs"/>
          <w:sz w:val="27"/>
          <w:rtl/>
        </w:rPr>
        <w:t>قال: إنّنا</w:t>
      </w:r>
      <w:r w:rsidRPr="006571AC">
        <w:rPr>
          <w:rFonts w:ascii="Arial" w:eastAsia="Calibri" w:hAnsi="Arial"/>
          <w:sz w:val="27"/>
          <w:rtl/>
        </w:rPr>
        <w:t xml:space="preserve"> نستبعد أن يكون ظاهر الكلام مراداً له، فهو قد صرّ</w:t>
      </w:r>
      <w:r w:rsidR="007C6DC1" w:rsidRPr="006571AC">
        <w:rPr>
          <w:rFonts w:ascii="Arial" w:eastAsia="Calibri" w:hAnsi="Arial" w:hint="cs"/>
          <w:sz w:val="27"/>
          <w:rtl/>
        </w:rPr>
        <w:t>َ</w:t>
      </w:r>
      <w:r w:rsidRPr="006571AC">
        <w:rPr>
          <w:rFonts w:ascii="Arial" w:eastAsia="Calibri" w:hAnsi="Arial"/>
          <w:sz w:val="27"/>
          <w:rtl/>
        </w:rPr>
        <w:t xml:space="preserve">ح في موارد أخرى بأنّ خبر الواحد </w:t>
      </w:r>
      <w:r w:rsidR="007C6DC1" w:rsidRPr="006571AC">
        <w:rPr>
          <w:rFonts w:ascii="Arial" w:eastAsia="Calibri" w:hAnsi="Arial" w:hint="cs"/>
          <w:sz w:val="27"/>
          <w:rtl/>
        </w:rPr>
        <w:t xml:space="preserve">ـ </w:t>
      </w:r>
      <w:r w:rsidRPr="006571AC">
        <w:rPr>
          <w:rFonts w:ascii="Arial" w:eastAsia="Calibri" w:hAnsi="Arial"/>
          <w:sz w:val="27"/>
          <w:rtl/>
        </w:rPr>
        <w:t>حت</w:t>
      </w:r>
      <w:r w:rsidR="007C6DC1" w:rsidRPr="006571AC">
        <w:rPr>
          <w:rFonts w:ascii="Arial" w:eastAsia="Calibri" w:hAnsi="Arial" w:hint="cs"/>
          <w:sz w:val="27"/>
          <w:rtl/>
        </w:rPr>
        <w:t>ّ</w:t>
      </w:r>
      <w:r w:rsidRPr="006571AC">
        <w:rPr>
          <w:rFonts w:ascii="Arial" w:eastAsia="Calibri" w:hAnsi="Arial"/>
          <w:sz w:val="27"/>
          <w:rtl/>
        </w:rPr>
        <w:t xml:space="preserve">ى لو كان صحيح السند </w:t>
      </w:r>
      <w:r w:rsidR="007C6DC1" w:rsidRPr="006571AC">
        <w:rPr>
          <w:rFonts w:ascii="Arial" w:eastAsia="Calibri" w:hAnsi="Arial" w:hint="cs"/>
          <w:sz w:val="27"/>
          <w:rtl/>
        </w:rPr>
        <w:t xml:space="preserve">ـ </w:t>
      </w:r>
      <w:r w:rsidRPr="006571AC">
        <w:rPr>
          <w:rFonts w:ascii="Arial" w:eastAsia="Calibri" w:hAnsi="Arial"/>
          <w:sz w:val="27"/>
          <w:rtl/>
        </w:rPr>
        <w:t>لا يصح</w:t>
      </w:r>
      <w:r w:rsidR="007C6DC1" w:rsidRPr="006571AC">
        <w:rPr>
          <w:rFonts w:ascii="Arial" w:eastAsia="Calibri" w:hAnsi="Arial" w:hint="cs"/>
          <w:sz w:val="27"/>
          <w:rtl/>
        </w:rPr>
        <w:t>ّ</w:t>
      </w:r>
      <w:r w:rsidRPr="006571AC">
        <w:rPr>
          <w:rFonts w:ascii="Arial" w:eastAsia="Calibri" w:hAnsi="Arial"/>
          <w:sz w:val="27"/>
          <w:rtl/>
        </w:rPr>
        <w:t xml:space="preserve"> الاستناد إليه في إثبات المعتقدات، بل لا يمكن إلزام المكل</w:t>
      </w:r>
      <w:r w:rsidR="007C6DC1" w:rsidRPr="006571AC">
        <w:rPr>
          <w:rFonts w:ascii="Arial" w:eastAsia="Calibri" w:hAnsi="Arial" w:hint="cs"/>
          <w:sz w:val="27"/>
          <w:rtl/>
        </w:rPr>
        <w:t>َّ</w:t>
      </w:r>
      <w:r w:rsidRPr="006571AC">
        <w:rPr>
          <w:rFonts w:ascii="Arial" w:eastAsia="Calibri" w:hAnsi="Arial"/>
          <w:sz w:val="27"/>
          <w:rtl/>
        </w:rPr>
        <w:t>ف بالاعتقاد بمضمون الخبر الوارد في المجال الع</w:t>
      </w:r>
      <w:r w:rsidR="007C6DC1" w:rsidRPr="006571AC">
        <w:rPr>
          <w:rFonts w:ascii="Arial" w:eastAsia="Calibri" w:hAnsi="Arial" w:hint="cs"/>
          <w:sz w:val="27"/>
          <w:rtl/>
        </w:rPr>
        <w:t>َ</w:t>
      </w:r>
      <w:r w:rsidRPr="006571AC">
        <w:rPr>
          <w:rFonts w:ascii="Arial" w:eastAsia="Calibri" w:hAnsi="Arial"/>
          <w:sz w:val="27"/>
          <w:rtl/>
        </w:rPr>
        <w:t>ق</w:t>
      </w:r>
      <w:r w:rsidR="007C6DC1" w:rsidRPr="006571AC">
        <w:rPr>
          <w:rFonts w:ascii="Arial" w:eastAsia="Calibri" w:hAnsi="Arial" w:hint="cs"/>
          <w:sz w:val="27"/>
          <w:rtl/>
        </w:rPr>
        <w:t>ْ</w:t>
      </w:r>
      <w:r w:rsidRPr="006571AC">
        <w:rPr>
          <w:rFonts w:ascii="Arial" w:eastAsia="Calibri" w:hAnsi="Arial"/>
          <w:sz w:val="27"/>
          <w:rtl/>
        </w:rPr>
        <w:t>دي</w:t>
      </w:r>
      <w:r w:rsidRPr="006571AC">
        <w:rPr>
          <w:rFonts w:ascii="Arial" w:eastAsia="Calibri" w:hAnsi="Arial"/>
          <w:sz w:val="27"/>
          <w:vertAlign w:val="superscript"/>
          <w:rtl/>
        </w:rPr>
        <w:t>(</w:t>
      </w:r>
      <w:r w:rsidRPr="006571AC">
        <w:rPr>
          <w:rFonts w:ascii="Arial" w:eastAsia="Calibri" w:hAnsi="Arial"/>
          <w:sz w:val="27"/>
          <w:vertAlign w:val="superscript"/>
          <w:rtl/>
        </w:rPr>
        <w:endnoteReference w:id="674"/>
      </w:r>
      <w:r w:rsidRPr="006571AC">
        <w:rPr>
          <w:rFonts w:ascii="Arial" w:eastAsia="Calibri" w:hAnsi="Arial"/>
          <w:sz w:val="27"/>
          <w:vertAlign w:val="superscript"/>
          <w:rtl/>
        </w:rPr>
        <w:t>)</w:t>
      </w:r>
      <w:r w:rsidR="007C6DC1" w:rsidRPr="006571AC">
        <w:rPr>
          <w:rFonts w:ascii="Arial" w:eastAsia="Calibri" w:hAnsi="Arial" w:hint="cs"/>
          <w:sz w:val="27"/>
          <w:rtl/>
        </w:rPr>
        <w:t xml:space="preserve">. </w:t>
      </w:r>
      <w:r w:rsidRPr="006571AC">
        <w:rPr>
          <w:rFonts w:ascii="Arial" w:eastAsia="Calibri" w:hAnsi="Arial" w:hint="cs"/>
          <w:sz w:val="27"/>
          <w:rtl/>
        </w:rPr>
        <w:t>وعليه</w:t>
      </w:r>
      <w:r w:rsidR="007C6DC1" w:rsidRPr="006571AC">
        <w:rPr>
          <w:rFonts w:ascii="Arial" w:eastAsia="Calibri" w:hAnsi="Arial" w:hint="cs"/>
          <w:sz w:val="27"/>
          <w:rtl/>
        </w:rPr>
        <w:t>؛</w:t>
      </w:r>
      <w:r w:rsidRPr="006571AC">
        <w:rPr>
          <w:rFonts w:ascii="Arial" w:eastAsia="Calibri" w:hAnsi="Arial" w:hint="cs"/>
          <w:sz w:val="27"/>
          <w:rtl/>
        </w:rPr>
        <w:t xml:space="preserve"> فإمّا أنه حصل خطأ</w:t>
      </w:r>
      <w:r w:rsidR="007C6DC1" w:rsidRPr="006571AC">
        <w:rPr>
          <w:rFonts w:ascii="Arial" w:eastAsia="Calibri" w:hAnsi="Arial" w:hint="cs"/>
          <w:sz w:val="27"/>
          <w:rtl/>
        </w:rPr>
        <w:t>ٌ</w:t>
      </w:r>
      <w:r w:rsidRPr="006571AC">
        <w:rPr>
          <w:rFonts w:ascii="Arial" w:eastAsia="Calibri" w:hAnsi="Arial" w:hint="cs"/>
          <w:sz w:val="27"/>
          <w:rtl/>
        </w:rPr>
        <w:t xml:space="preserve"> طباعي أو نحوه في الكلام المذكور</w:t>
      </w:r>
      <w:r w:rsidR="00320DFD" w:rsidRPr="006571AC">
        <w:rPr>
          <w:rFonts w:ascii="Arial" w:eastAsia="Calibri" w:hAnsi="Arial" w:hint="cs"/>
          <w:sz w:val="27"/>
          <w:rtl/>
        </w:rPr>
        <w:t>؛</w:t>
      </w:r>
      <w:r w:rsidRPr="006571AC">
        <w:rPr>
          <w:rFonts w:ascii="Arial" w:eastAsia="Calibri" w:hAnsi="Arial" w:hint="cs"/>
          <w:sz w:val="27"/>
          <w:rtl/>
        </w:rPr>
        <w:t xml:space="preserve"> </w:t>
      </w:r>
      <w:r w:rsidRPr="006571AC">
        <w:rPr>
          <w:rFonts w:ascii="Arial" w:eastAsia="Calibri" w:hAnsi="Arial" w:hint="cs"/>
          <w:sz w:val="27"/>
          <w:rtl/>
        </w:rPr>
        <w:lastRenderedPageBreak/>
        <w:t>أو أنه يقصد بعدم التدقيق في أخبار أصول العقائد أنّه حيث كانت مضامينها ثابتة</w:t>
      </w:r>
      <w:r w:rsidR="00320DFD" w:rsidRPr="006571AC">
        <w:rPr>
          <w:rFonts w:ascii="Arial" w:eastAsia="Calibri" w:hAnsi="Arial" w:hint="cs"/>
          <w:sz w:val="27"/>
          <w:rtl/>
        </w:rPr>
        <w:t>ً</w:t>
      </w:r>
      <w:r w:rsidRPr="006571AC">
        <w:rPr>
          <w:rFonts w:ascii="Arial" w:eastAsia="Calibri" w:hAnsi="Arial" w:hint="cs"/>
          <w:sz w:val="27"/>
          <w:rtl/>
        </w:rPr>
        <w:t xml:space="preserve"> بالدليل العقلي فلا يحتاج معها </w:t>
      </w:r>
      <w:r w:rsidR="00320DFD" w:rsidRPr="006571AC">
        <w:rPr>
          <w:rFonts w:ascii="Arial" w:eastAsia="Calibri" w:hAnsi="Arial" w:hint="cs"/>
          <w:sz w:val="27"/>
          <w:rtl/>
        </w:rPr>
        <w:t xml:space="preserve">إلى </w:t>
      </w:r>
      <w:r w:rsidRPr="006571AC">
        <w:rPr>
          <w:rFonts w:ascii="Arial" w:eastAsia="Calibri" w:hAnsi="Arial" w:hint="cs"/>
          <w:sz w:val="27"/>
          <w:rtl/>
        </w:rPr>
        <w:t>التثب</w:t>
      </w:r>
      <w:r w:rsidR="00320DFD" w:rsidRPr="006571AC">
        <w:rPr>
          <w:rFonts w:ascii="Arial" w:eastAsia="Calibri" w:hAnsi="Arial" w:hint="cs"/>
          <w:sz w:val="27"/>
          <w:rtl/>
        </w:rPr>
        <w:t>ُّ</w:t>
      </w:r>
      <w:r w:rsidRPr="006571AC">
        <w:rPr>
          <w:rFonts w:ascii="Arial" w:eastAsia="Calibri" w:hAnsi="Arial" w:hint="cs"/>
          <w:sz w:val="27"/>
          <w:rtl/>
        </w:rPr>
        <w:t xml:space="preserve">ت في أخبارها. </w:t>
      </w:r>
    </w:p>
    <w:p w:rsidR="009B65D5" w:rsidRPr="006571AC" w:rsidRDefault="009B65D5" w:rsidP="00DD301A">
      <w:pPr>
        <w:spacing w:line="420" w:lineRule="exact"/>
        <w:rPr>
          <w:rFonts w:ascii="Arial" w:eastAsia="MS Mincho" w:hAnsi="Arial"/>
          <w:sz w:val="27"/>
          <w:rtl/>
        </w:rPr>
      </w:pPr>
      <w:r w:rsidRPr="006571AC">
        <w:rPr>
          <w:rFonts w:ascii="Arial" w:eastAsia="MS Mincho" w:hAnsi="Arial" w:hint="cs"/>
          <w:sz w:val="27"/>
          <w:rtl/>
        </w:rPr>
        <w:t>إن أخبار الفضائل تساهم في تكوين تصو</w:t>
      </w:r>
      <w:r w:rsidR="00320DFD" w:rsidRPr="006571AC">
        <w:rPr>
          <w:rFonts w:ascii="Arial" w:eastAsia="MS Mincho" w:hAnsi="Arial" w:hint="cs"/>
          <w:sz w:val="27"/>
          <w:rtl/>
        </w:rPr>
        <w:t>ُّ</w:t>
      </w:r>
      <w:r w:rsidRPr="006571AC">
        <w:rPr>
          <w:rFonts w:ascii="Arial" w:eastAsia="MS Mincho" w:hAnsi="Arial" w:hint="cs"/>
          <w:sz w:val="27"/>
          <w:rtl/>
        </w:rPr>
        <w:t>رات ع</w:t>
      </w:r>
      <w:r w:rsidR="00320DFD" w:rsidRPr="006571AC">
        <w:rPr>
          <w:rFonts w:ascii="Arial" w:eastAsia="MS Mincho" w:hAnsi="Arial" w:hint="cs"/>
          <w:sz w:val="27"/>
          <w:rtl/>
        </w:rPr>
        <w:t>َ</w:t>
      </w:r>
      <w:r w:rsidRPr="006571AC">
        <w:rPr>
          <w:rFonts w:ascii="Arial" w:eastAsia="MS Mincho" w:hAnsi="Arial" w:hint="cs"/>
          <w:sz w:val="27"/>
          <w:rtl/>
        </w:rPr>
        <w:t>ق</w:t>
      </w:r>
      <w:r w:rsidR="00320DFD" w:rsidRPr="006571AC">
        <w:rPr>
          <w:rFonts w:ascii="Arial" w:eastAsia="MS Mincho" w:hAnsi="Arial" w:hint="cs"/>
          <w:sz w:val="27"/>
          <w:rtl/>
        </w:rPr>
        <w:t>ْ</w:t>
      </w:r>
      <w:r w:rsidRPr="006571AC">
        <w:rPr>
          <w:rFonts w:ascii="Arial" w:eastAsia="MS Mincho" w:hAnsi="Arial" w:hint="cs"/>
          <w:sz w:val="27"/>
          <w:rtl/>
        </w:rPr>
        <w:t>دية، ف</w:t>
      </w:r>
      <w:r w:rsidR="00731867" w:rsidRPr="006571AC">
        <w:rPr>
          <w:rFonts w:ascii="Arial" w:eastAsia="MS Mincho" w:hAnsi="Arial" w:hint="cs"/>
          <w:sz w:val="27"/>
          <w:rtl/>
        </w:rPr>
        <w:t>لا بُدَّ</w:t>
      </w:r>
      <w:r w:rsidRPr="006571AC">
        <w:rPr>
          <w:rFonts w:ascii="Arial" w:eastAsia="MS Mincho" w:hAnsi="Arial" w:hint="cs"/>
          <w:sz w:val="27"/>
          <w:rtl/>
        </w:rPr>
        <w:t xml:space="preserve"> من التثب</w:t>
      </w:r>
      <w:r w:rsidR="00320DFD" w:rsidRPr="006571AC">
        <w:rPr>
          <w:rFonts w:ascii="Arial" w:eastAsia="MS Mincho" w:hAnsi="Arial" w:hint="cs"/>
          <w:sz w:val="27"/>
          <w:rtl/>
        </w:rPr>
        <w:t>ُّ</w:t>
      </w:r>
      <w:r w:rsidRPr="006571AC">
        <w:rPr>
          <w:rFonts w:ascii="Arial" w:eastAsia="MS Mincho" w:hAnsi="Arial" w:hint="cs"/>
          <w:sz w:val="27"/>
          <w:rtl/>
        </w:rPr>
        <w:t>ت فيها. نعم</w:t>
      </w:r>
      <w:r w:rsidR="00320DFD" w:rsidRPr="006571AC">
        <w:rPr>
          <w:rFonts w:ascii="Arial" w:eastAsia="MS Mincho" w:hAnsi="Arial" w:hint="cs"/>
          <w:sz w:val="27"/>
          <w:rtl/>
        </w:rPr>
        <w:t>،</w:t>
      </w:r>
      <w:r w:rsidRPr="006571AC">
        <w:rPr>
          <w:rFonts w:ascii="Arial" w:eastAsia="MS Mincho" w:hAnsi="Arial" w:hint="cs"/>
          <w:sz w:val="27"/>
          <w:rtl/>
        </w:rPr>
        <w:t xml:space="preserve"> قد ي</w:t>
      </w:r>
      <w:r w:rsidR="00320DFD" w:rsidRPr="006571AC">
        <w:rPr>
          <w:rFonts w:ascii="Arial" w:eastAsia="MS Mincho" w:hAnsi="Arial" w:hint="cs"/>
          <w:sz w:val="27"/>
          <w:rtl/>
        </w:rPr>
        <w:t>ُ</w:t>
      </w:r>
      <w:r w:rsidRPr="006571AC">
        <w:rPr>
          <w:rFonts w:ascii="Arial" w:eastAsia="MS Mincho" w:hAnsi="Arial" w:hint="cs"/>
          <w:sz w:val="27"/>
          <w:rtl/>
        </w:rPr>
        <w:t>قال: إن مستندها هو ما ر</w:t>
      </w:r>
      <w:r w:rsidR="00320DFD" w:rsidRPr="006571AC">
        <w:rPr>
          <w:rFonts w:ascii="Arial" w:eastAsia="MS Mincho" w:hAnsi="Arial" w:hint="cs"/>
          <w:sz w:val="27"/>
          <w:rtl/>
        </w:rPr>
        <w:t>ُ</w:t>
      </w:r>
      <w:r w:rsidRPr="006571AC">
        <w:rPr>
          <w:rFonts w:ascii="Arial" w:eastAsia="MS Mincho" w:hAnsi="Arial" w:hint="cs"/>
          <w:sz w:val="27"/>
          <w:rtl/>
        </w:rPr>
        <w:t xml:space="preserve">وي عنهم: </w:t>
      </w:r>
      <w:r w:rsidRPr="006571AC">
        <w:rPr>
          <w:rFonts w:hint="eastAsia"/>
          <w:sz w:val="24"/>
          <w:szCs w:val="24"/>
          <w:rtl/>
        </w:rPr>
        <w:t>«</w:t>
      </w:r>
      <w:r w:rsidRPr="006571AC">
        <w:rPr>
          <w:rFonts w:ascii="Arial" w:eastAsia="MS Mincho" w:hAnsi="Arial" w:hint="cs"/>
          <w:sz w:val="27"/>
          <w:rtl/>
        </w:rPr>
        <w:t>نز</w:t>
      </w:r>
      <w:r w:rsidR="00320DFD" w:rsidRPr="006571AC">
        <w:rPr>
          <w:rFonts w:ascii="Arial" w:eastAsia="MS Mincho" w:hAnsi="Arial" w:hint="cs"/>
          <w:sz w:val="27"/>
          <w:rtl/>
        </w:rPr>
        <w:t>ِّ</w:t>
      </w:r>
      <w:r w:rsidRPr="006571AC">
        <w:rPr>
          <w:rFonts w:ascii="Arial" w:eastAsia="MS Mincho" w:hAnsi="Arial" w:hint="cs"/>
          <w:sz w:val="27"/>
          <w:rtl/>
        </w:rPr>
        <w:t>هونا عن الربوبي</w:t>
      </w:r>
      <w:r w:rsidR="00357822" w:rsidRPr="006571AC">
        <w:rPr>
          <w:rFonts w:ascii="Arial" w:eastAsia="MS Mincho" w:hAnsi="Arial" w:hint="cs"/>
          <w:sz w:val="27"/>
          <w:rtl/>
        </w:rPr>
        <w:t>ّ</w:t>
      </w:r>
      <w:r w:rsidRPr="006571AC">
        <w:rPr>
          <w:rFonts w:ascii="Arial" w:eastAsia="MS Mincho" w:hAnsi="Arial" w:hint="cs"/>
          <w:sz w:val="27"/>
          <w:rtl/>
        </w:rPr>
        <w:t>ة</w:t>
      </w:r>
      <w:r w:rsidR="00320DFD" w:rsidRPr="006571AC">
        <w:rPr>
          <w:rFonts w:ascii="Arial" w:eastAsia="MS Mincho" w:hAnsi="Arial" w:hint="cs"/>
          <w:sz w:val="27"/>
          <w:rtl/>
        </w:rPr>
        <w:t>،</w:t>
      </w:r>
      <w:r w:rsidRPr="006571AC">
        <w:rPr>
          <w:rFonts w:ascii="Arial" w:eastAsia="MS Mincho" w:hAnsi="Arial" w:hint="cs"/>
          <w:sz w:val="27"/>
          <w:rtl/>
        </w:rPr>
        <w:t xml:space="preserve"> وقولوا فينا ما شئتم</w:t>
      </w:r>
      <w:r w:rsidRPr="006571AC">
        <w:rPr>
          <w:rFonts w:hint="eastAsia"/>
          <w:sz w:val="24"/>
          <w:szCs w:val="24"/>
          <w:rtl/>
        </w:rPr>
        <w:t>»</w:t>
      </w:r>
      <w:r w:rsidRPr="006571AC">
        <w:rPr>
          <w:rFonts w:ascii="Arial" w:eastAsia="MS Mincho" w:hAnsi="Arial" w:hint="cs"/>
          <w:sz w:val="27"/>
          <w:rtl/>
        </w:rPr>
        <w:t xml:space="preserve">. </w:t>
      </w:r>
    </w:p>
    <w:p w:rsidR="009B65D5" w:rsidRPr="006571AC" w:rsidRDefault="009B65D5" w:rsidP="00DD301A">
      <w:pPr>
        <w:spacing w:line="420" w:lineRule="exact"/>
        <w:rPr>
          <w:rFonts w:ascii="Arial" w:eastAsia="MS Mincho" w:hAnsi="Arial"/>
          <w:sz w:val="27"/>
          <w:rtl/>
        </w:rPr>
      </w:pPr>
      <w:r w:rsidRPr="006571AC">
        <w:rPr>
          <w:rFonts w:ascii="Arial" w:eastAsia="MS Mincho" w:hAnsi="Arial" w:hint="cs"/>
          <w:sz w:val="27"/>
          <w:rtl/>
        </w:rPr>
        <w:t>وقد أسل</w:t>
      </w:r>
      <w:r w:rsidR="00320DFD" w:rsidRPr="006571AC">
        <w:rPr>
          <w:rFonts w:ascii="Arial" w:eastAsia="MS Mincho" w:hAnsi="Arial" w:hint="cs"/>
          <w:sz w:val="27"/>
          <w:rtl/>
        </w:rPr>
        <w:t>َ</w:t>
      </w:r>
      <w:r w:rsidRPr="006571AC">
        <w:rPr>
          <w:rFonts w:ascii="Arial" w:eastAsia="MS Mincho" w:hAnsi="Arial" w:hint="cs"/>
          <w:sz w:val="27"/>
          <w:rtl/>
        </w:rPr>
        <w:t>ف</w:t>
      </w:r>
      <w:r w:rsidR="00320DFD" w:rsidRPr="006571AC">
        <w:rPr>
          <w:rFonts w:ascii="Arial" w:eastAsia="MS Mincho" w:hAnsi="Arial" w:hint="cs"/>
          <w:sz w:val="27"/>
          <w:rtl/>
        </w:rPr>
        <w:t>ْ</w:t>
      </w:r>
      <w:r w:rsidRPr="006571AC">
        <w:rPr>
          <w:rFonts w:ascii="Arial" w:eastAsia="MS Mincho" w:hAnsi="Arial" w:hint="cs"/>
          <w:sz w:val="27"/>
          <w:rtl/>
        </w:rPr>
        <w:t>نا نقل كلام المحق</w:t>
      </w:r>
      <w:r w:rsidR="00320DFD" w:rsidRPr="006571AC">
        <w:rPr>
          <w:rFonts w:ascii="Arial" w:eastAsia="MS Mincho" w:hAnsi="Arial" w:hint="cs"/>
          <w:sz w:val="27"/>
          <w:rtl/>
        </w:rPr>
        <w:t>ِّ</w:t>
      </w:r>
      <w:r w:rsidRPr="006571AC">
        <w:rPr>
          <w:rFonts w:ascii="Arial" w:eastAsia="MS Mincho" w:hAnsi="Arial" w:hint="cs"/>
          <w:sz w:val="27"/>
          <w:rtl/>
        </w:rPr>
        <w:t>ق ال</w:t>
      </w:r>
      <w:r w:rsidR="00320DFD" w:rsidRPr="006571AC">
        <w:rPr>
          <w:rFonts w:ascii="Arial" w:eastAsia="MS Mincho" w:hAnsi="Arial" w:hint="cs"/>
          <w:sz w:val="27"/>
          <w:rtl/>
        </w:rPr>
        <w:t>إ</w:t>
      </w:r>
      <w:r w:rsidRPr="006571AC">
        <w:rPr>
          <w:rFonts w:ascii="Arial" w:eastAsia="MS Mincho" w:hAnsi="Arial" w:hint="cs"/>
          <w:sz w:val="27"/>
          <w:rtl/>
        </w:rPr>
        <w:t>صفهاني</w:t>
      </w:r>
      <w:r w:rsidR="00320DFD" w:rsidRPr="006571AC">
        <w:rPr>
          <w:rFonts w:ascii="Arial" w:eastAsia="MS Mincho" w:hAnsi="Arial" w:hint="cs"/>
          <w:sz w:val="27"/>
          <w:rtl/>
        </w:rPr>
        <w:t>،</w:t>
      </w:r>
      <w:r w:rsidRPr="006571AC">
        <w:rPr>
          <w:rFonts w:ascii="Arial" w:eastAsia="MS Mincho" w:hAnsi="Arial" w:hint="cs"/>
          <w:sz w:val="27"/>
          <w:rtl/>
        </w:rPr>
        <w:t xml:space="preserve"> الذي قال فيه: </w:t>
      </w:r>
      <w:r w:rsidRPr="006571AC">
        <w:rPr>
          <w:rFonts w:hint="eastAsia"/>
          <w:sz w:val="24"/>
          <w:szCs w:val="24"/>
          <w:rtl/>
        </w:rPr>
        <w:t>«</w:t>
      </w:r>
      <w:r w:rsidRPr="006571AC">
        <w:rPr>
          <w:rFonts w:ascii="Arial" w:eastAsia="MS Mincho" w:hAnsi="Arial"/>
          <w:sz w:val="27"/>
          <w:rtl/>
        </w:rPr>
        <w:t>نشر الفضيلة التي لا حج</w:t>
      </w:r>
      <w:r w:rsidR="00320DFD" w:rsidRPr="006571AC">
        <w:rPr>
          <w:rFonts w:ascii="Arial" w:eastAsia="MS Mincho" w:hAnsi="Arial" w:hint="cs"/>
          <w:sz w:val="27"/>
          <w:rtl/>
        </w:rPr>
        <w:t>ّ</w:t>
      </w:r>
      <w:r w:rsidRPr="006571AC">
        <w:rPr>
          <w:rFonts w:ascii="Arial" w:eastAsia="MS Mincho" w:hAnsi="Arial"/>
          <w:sz w:val="27"/>
          <w:rtl/>
        </w:rPr>
        <w:t>ة عليها</w:t>
      </w:r>
      <w:r w:rsidR="00320DFD" w:rsidRPr="006571AC">
        <w:rPr>
          <w:rFonts w:ascii="Arial" w:eastAsia="MS Mincho" w:hAnsi="Arial" w:hint="cs"/>
          <w:sz w:val="27"/>
          <w:rtl/>
        </w:rPr>
        <w:t>،</w:t>
      </w:r>
      <w:r w:rsidRPr="006571AC">
        <w:rPr>
          <w:rFonts w:ascii="Arial" w:eastAsia="MS Mincho" w:hAnsi="Arial"/>
          <w:sz w:val="27"/>
          <w:rtl/>
        </w:rPr>
        <w:t xml:space="preserve"> وذكر المصيبة</w:t>
      </w:r>
      <w:r w:rsidRPr="006571AC">
        <w:rPr>
          <w:rFonts w:ascii="Arial" w:eastAsia="MS Mincho" w:hAnsi="Arial" w:hint="cs"/>
          <w:sz w:val="27"/>
          <w:rtl/>
        </w:rPr>
        <w:t xml:space="preserve"> </w:t>
      </w:r>
      <w:r w:rsidRPr="006571AC">
        <w:rPr>
          <w:rFonts w:ascii="Arial" w:eastAsia="MS Mincho" w:hAnsi="Arial"/>
          <w:sz w:val="27"/>
          <w:rtl/>
        </w:rPr>
        <w:t>التي لا حج</w:t>
      </w:r>
      <w:r w:rsidR="00320DFD" w:rsidRPr="006571AC">
        <w:rPr>
          <w:rFonts w:ascii="Arial" w:eastAsia="MS Mincho" w:hAnsi="Arial" w:hint="cs"/>
          <w:sz w:val="27"/>
          <w:rtl/>
        </w:rPr>
        <w:t>ّ</w:t>
      </w:r>
      <w:r w:rsidRPr="006571AC">
        <w:rPr>
          <w:rFonts w:ascii="Arial" w:eastAsia="MS Mincho" w:hAnsi="Arial"/>
          <w:sz w:val="27"/>
          <w:rtl/>
        </w:rPr>
        <w:t>ة عليها</w:t>
      </w:r>
      <w:r w:rsidR="00320DFD" w:rsidRPr="006571AC">
        <w:rPr>
          <w:rFonts w:ascii="Arial" w:eastAsia="MS Mincho" w:hAnsi="Arial" w:hint="cs"/>
          <w:sz w:val="27"/>
          <w:rtl/>
        </w:rPr>
        <w:t>،</w:t>
      </w:r>
      <w:r w:rsidRPr="006571AC">
        <w:rPr>
          <w:rFonts w:ascii="Arial" w:eastAsia="MS Mincho" w:hAnsi="Arial"/>
          <w:sz w:val="27"/>
          <w:rtl/>
        </w:rPr>
        <w:t xml:space="preserve"> قبيح</w:t>
      </w:r>
      <w:r w:rsidR="00320DFD" w:rsidRPr="006571AC">
        <w:rPr>
          <w:rFonts w:ascii="Arial" w:eastAsia="MS Mincho" w:hAnsi="Arial" w:hint="cs"/>
          <w:sz w:val="27"/>
          <w:rtl/>
        </w:rPr>
        <w:t>ٌ</w:t>
      </w:r>
      <w:r w:rsidRPr="006571AC">
        <w:rPr>
          <w:rFonts w:ascii="Arial" w:eastAsia="MS Mincho" w:hAnsi="Arial"/>
          <w:sz w:val="27"/>
          <w:rtl/>
        </w:rPr>
        <w:t xml:space="preserve"> عقلا</w:t>
      </w:r>
      <w:r w:rsidR="00320DFD" w:rsidRPr="006571AC">
        <w:rPr>
          <w:rFonts w:ascii="Arial" w:eastAsia="MS Mincho" w:hAnsi="Arial" w:hint="cs"/>
          <w:sz w:val="27"/>
          <w:rtl/>
        </w:rPr>
        <w:t>ً،</w:t>
      </w:r>
      <w:r w:rsidRPr="006571AC">
        <w:rPr>
          <w:rFonts w:ascii="Arial" w:eastAsia="MS Mincho" w:hAnsi="Arial"/>
          <w:sz w:val="27"/>
          <w:rtl/>
        </w:rPr>
        <w:t xml:space="preserve"> ومحر</w:t>
      </w:r>
      <w:r w:rsidR="00320DFD" w:rsidRPr="006571AC">
        <w:rPr>
          <w:rFonts w:ascii="Arial" w:eastAsia="MS Mincho" w:hAnsi="Arial" w:hint="cs"/>
          <w:sz w:val="27"/>
          <w:rtl/>
        </w:rPr>
        <w:t>َّ</w:t>
      </w:r>
      <w:r w:rsidRPr="006571AC">
        <w:rPr>
          <w:rFonts w:ascii="Arial" w:eastAsia="MS Mincho" w:hAnsi="Arial"/>
          <w:sz w:val="27"/>
          <w:rtl/>
        </w:rPr>
        <w:t>م</w:t>
      </w:r>
      <w:r w:rsidR="00357822" w:rsidRPr="006571AC">
        <w:rPr>
          <w:rFonts w:ascii="Arial" w:eastAsia="MS Mincho" w:hAnsi="Arial" w:hint="cs"/>
          <w:sz w:val="27"/>
          <w:rtl/>
        </w:rPr>
        <w:t>ٌ</w:t>
      </w:r>
      <w:r w:rsidRPr="006571AC">
        <w:rPr>
          <w:rFonts w:ascii="Arial" w:eastAsia="MS Mincho" w:hAnsi="Arial"/>
          <w:sz w:val="27"/>
          <w:rtl/>
        </w:rPr>
        <w:t xml:space="preserve"> شرعا</w:t>
      </w:r>
      <w:r w:rsidRPr="006571AC">
        <w:rPr>
          <w:rFonts w:ascii="Arial" w:eastAsia="MS Mincho" w:hAnsi="Arial" w:hint="cs"/>
          <w:sz w:val="27"/>
          <w:rtl/>
        </w:rPr>
        <w:t>ً</w:t>
      </w:r>
      <w:r w:rsidR="00320DFD" w:rsidRPr="006571AC">
        <w:rPr>
          <w:rFonts w:ascii="Arial" w:eastAsia="MS Mincho" w:hAnsi="Arial" w:hint="cs"/>
          <w:sz w:val="27"/>
          <w:rtl/>
        </w:rPr>
        <w:t>،</w:t>
      </w:r>
      <w:r w:rsidRPr="006571AC">
        <w:rPr>
          <w:rFonts w:ascii="Arial" w:eastAsia="MS Mincho" w:hAnsi="Arial"/>
          <w:sz w:val="27"/>
          <w:rtl/>
        </w:rPr>
        <w:t xml:space="preserve"> فكيف يعم</w:t>
      </w:r>
      <w:r w:rsidRPr="006571AC">
        <w:rPr>
          <w:rFonts w:ascii="Arial" w:eastAsia="MS Mincho" w:hAnsi="Arial" w:hint="cs"/>
          <w:sz w:val="27"/>
          <w:rtl/>
        </w:rPr>
        <w:t>ّ</w:t>
      </w:r>
      <w:r w:rsidRPr="006571AC">
        <w:rPr>
          <w:rFonts w:ascii="Arial" w:eastAsia="MS Mincho" w:hAnsi="Arial"/>
          <w:sz w:val="27"/>
          <w:rtl/>
        </w:rPr>
        <w:t xml:space="preserve">ها </w:t>
      </w:r>
      <w:r w:rsidRPr="006571AC">
        <w:rPr>
          <w:rFonts w:ascii="Arial" w:eastAsia="MS Mincho" w:hAnsi="Arial" w:hint="cs"/>
          <w:sz w:val="27"/>
          <w:rtl/>
        </w:rPr>
        <w:t>أ</w:t>
      </w:r>
      <w:r w:rsidRPr="006571AC">
        <w:rPr>
          <w:rFonts w:ascii="Arial" w:eastAsia="MS Mincho" w:hAnsi="Arial"/>
          <w:sz w:val="27"/>
          <w:rtl/>
        </w:rPr>
        <w:t>خبار م</w:t>
      </w:r>
      <w:r w:rsidR="00320DFD" w:rsidRPr="006571AC">
        <w:rPr>
          <w:rFonts w:ascii="Arial" w:eastAsia="MS Mincho" w:hAnsi="Arial" w:hint="cs"/>
          <w:sz w:val="27"/>
          <w:rtl/>
        </w:rPr>
        <w:t>َ</w:t>
      </w:r>
      <w:r w:rsidRPr="006571AC">
        <w:rPr>
          <w:rFonts w:ascii="Arial" w:eastAsia="MS Mincho" w:hAnsi="Arial"/>
          <w:sz w:val="27"/>
          <w:rtl/>
        </w:rPr>
        <w:t>ن</w:t>
      </w:r>
      <w:r w:rsidR="00320DFD" w:rsidRPr="006571AC">
        <w:rPr>
          <w:rFonts w:ascii="Arial" w:eastAsia="MS Mincho" w:hAnsi="Arial" w:hint="cs"/>
          <w:sz w:val="27"/>
          <w:rtl/>
        </w:rPr>
        <w:t>ْ</w:t>
      </w:r>
      <w:r w:rsidRPr="006571AC">
        <w:rPr>
          <w:rFonts w:ascii="Arial" w:eastAsia="MS Mincho" w:hAnsi="Arial"/>
          <w:sz w:val="27"/>
          <w:rtl/>
        </w:rPr>
        <w:t xml:space="preserve"> بلغ</w:t>
      </w:r>
      <w:r w:rsidRPr="006571AC">
        <w:rPr>
          <w:rFonts w:ascii="Arial" w:eastAsia="MS Mincho" w:hAnsi="Arial" w:hint="cs"/>
          <w:sz w:val="27"/>
          <w:rtl/>
        </w:rPr>
        <w:t>؟!</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75"/>
      </w:r>
      <w:r w:rsidRPr="006571AC">
        <w:rPr>
          <w:rFonts w:ascii="Arial" w:eastAsia="MS Mincho" w:hAnsi="Arial"/>
          <w:sz w:val="27"/>
          <w:vertAlign w:val="superscript"/>
          <w:rtl/>
        </w:rPr>
        <w:t>)</w:t>
      </w:r>
      <w:r w:rsidRPr="006571AC">
        <w:rPr>
          <w:rFonts w:ascii="Arial" w:eastAsia="MS Mincho" w:hAnsi="Arial" w:hint="cs"/>
          <w:sz w:val="27"/>
          <w:rtl/>
        </w:rPr>
        <w:t xml:space="preserve">. </w:t>
      </w:r>
    </w:p>
    <w:p w:rsidR="009B65D5" w:rsidRPr="006571AC" w:rsidRDefault="009B65D5" w:rsidP="00DD301A">
      <w:pPr>
        <w:spacing w:line="420" w:lineRule="exact"/>
        <w:rPr>
          <w:rFonts w:ascii="Arial" w:eastAsia="MS Mincho" w:hAnsi="Arial"/>
          <w:sz w:val="27"/>
          <w:rtl/>
        </w:rPr>
      </w:pPr>
      <w:r w:rsidRPr="006571AC">
        <w:rPr>
          <w:rFonts w:ascii="Arial" w:eastAsia="MS Mincho" w:hAnsi="Arial"/>
          <w:b/>
          <w:bCs/>
          <w:sz w:val="27"/>
          <w:rtl/>
        </w:rPr>
        <w:t>وق</w:t>
      </w:r>
      <w:r w:rsidRPr="006571AC">
        <w:rPr>
          <w:rFonts w:ascii="Arial" w:eastAsia="MS Mincho" w:hAnsi="Arial" w:hint="cs"/>
          <w:b/>
          <w:bCs/>
          <w:sz w:val="27"/>
          <w:rtl/>
        </w:rPr>
        <w:t>صارى القول</w:t>
      </w:r>
      <w:r w:rsidRPr="006571AC">
        <w:rPr>
          <w:rFonts w:ascii="Arial" w:eastAsia="MS Mincho" w:hAnsi="Arial" w:hint="cs"/>
          <w:sz w:val="27"/>
          <w:rtl/>
        </w:rPr>
        <w:t xml:space="preserve">: إنّه </w:t>
      </w:r>
      <w:r w:rsidRPr="006571AC">
        <w:rPr>
          <w:rFonts w:ascii="Arial" w:eastAsia="MS Mincho" w:hAnsi="Arial"/>
          <w:sz w:val="27"/>
          <w:rtl/>
        </w:rPr>
        <w:t xml:space="preserve">لو </w:t>
      </w:r>
      <w:r w:rsidRPr="006571AC">
        <w:rPr>
          <w:rFonts w:ascii="Arial" w:eastAsia="MS Mincho" w:hAnsi="Arial" w:hint="cs"/>
          <w:sz w:val="27"/>
          <w:rtl/>
        </w:rPr>
        <w:t>قبلنا ال</w:t>
      </w:r>
      <w:r w:rsidRPr="006571AC">
        <w:rPr>
          <w:rFonts w:ascii="Arial" w:eastAsia="MS Mincho" w:hAnsi="Arial"/>
          <w:sz w:val="27"/>
          <w:rtl/>
        </w:rPr>
        <w:t xml:space="preserve">أخذ بأخبار </w:t>
      </w:r>
      <w:r w:rsidRPr="006571AC">
        <w:rPr>
          <w:rFonts w:hint="eastAsia"/>
          <w:sz w:val="24"/>
          <w:szCs w:val="24"/>
          <w:rtl/>
        </w:rPr>
        <w:t>«</w:t>
      </w:r>
      <w:r w:rsidRPr="006571AC">
        <w:rPr>
          <w:rFonts w:ascii="Arial" w:eastAsia="MS Mincho" w:hAnsi="Arial" w:hint="cs"/>
          <w:sz w:val="27"/>
          <w:rtl/>
        </w:rPr>
        <w:t>م</w:t>
      </w:r>
      <w:r w:rsidR="00320DFD" w:rsidRPr="006571AC">
        <w:rPr>
          <w:rFonts w:ascii="Arial" w:eastAsia="MS Mincho" w:hAnsi="Arial" w:hint="cs"/>
          <w:sz w:val="27"/>
          <w:rtl/>
        </w:rPr>
        <w:t>َ</w:t>
      </w:r>
      <w:r w:rsidRPr="006571AC">
        <w:rPr>
          <w:rFonts w:ascii="Arial" w:eastAsia="MS Mincho" w:hAnsi="Arial" w:hint="cs"/>
          <w:sz w:val="27"/>
          <w:rtl/>
        </w:rPr>
        <w:t>ن</w:t>
      </w:r>
      <w:r w:rsidR="00320DFD" w:rsidRPr="006571AC">
        <w:rPr>
          <w:rFonts w:ascii="Arial" w:eastAsia="MS Mincho" w:hAnsi="Arial" w:hint="cs"/>
          <w:sz w:val="27"/>
          <w:rtl/>
        </w:rPr>
        <w:t>ْ</w:t>
      </w:r>
      <w:r w:rsidRPr="006571AC">
        <w:rPr>
          <w:rFonts w:ascii="Arial" w:eastAsia="MS Mincho" w:hAnsi="Arial" w:hint="cs"/>
          <w:sz w:val="27"/>
          <w:rtl/>
        </w:rPr>
        <w:t xml:space="preserve"> بلغ</w:t>
      </w:r>
      <w:r w:rsidRPr="006571AC">
        <w:rPr>
          <w:rFonts w:hint="eastAsia"/>
          <w:sz w:val="24"/>
          <w:szCs w:val="24"/>
          <w:rtl/>
        </w:rPr>
        <w:t>»</w:t>
      </w:r>
      <w:r w:rsidRPr="006571AC">
        <w:rPr>
          <w:rFonts w:ascii="Arial" w:eastAsia="MS Mincho" w:hAnsi="Arial" w:hint="cs"/>
          <w:sz w:val="27"/>
          <w:rtl/>
        </w:rPr>
        <w:t xml:space="preserve"> </w:t>
      </w:r>
      <w:r w:rsidRPr="006571AC">
        <w:rPr>
          <w:rFonts w:ascii="Arial" w:eastAsia="MS Mincho" w:hAnsi="Arial"/>
          <w:sz w:val="27"/>
          <w:rtl/>
        </w:rPr>
        <w:t>في مورد</w:t>
      </w:r>
      <w:r w:rsidRPr="006571AC">
        <w:rPr>
          <w:rFonts w:ascii="Arial" w:eastAsia="MS Mincho" w:hAnsi="Arial" w:hint="cs"/>
          <w:sz w:val="27"/>
          <w:rtl/>
        </w:rPr>
        <w:t xml:space="preserve"> </w:t>
      </w:r>
      <w:r w:rsidRPr="006571AC">
        <w:rPr>
          <w:rFonts w:ascii="Arial" w:eastAsia="MS Mincho" w:hAnsi="Arial"/>
          <w:sz w:val="27"/>
          <w:rtl/>
        </w:rPr>
        <w:t>الس</w:t>
      </w:r>
      <w:r w:rsidR="00320DFD" w:rsidRPr="006571AC">
        <w:rPr>
          <w:rFonts w:ascii="Arial" w:eastAsia="MS Mincho" w:hAnsi="Arial" w:hint="cs"/>
          <w:sz w:val="27"/>
          <w:rtl/>
        </w:rPr>
        <w:t>ُّ</w:t>
      </w:r>
      <w:r w:rsidRPr="006571AC">
        <w:rPr>
          <w:rFonts w:ascii="Arial" w:eastAsia="MS Mincho" w:hAnsi="Arial"/>
          <w:sz w:val="27"/>
          <w:rtl/>
        </w:rPr>
        <w:t>ن</w:t>
      </w:r>
      <w:r w:rsidR="00320DFD" w:rsidRPr="006571AC">
        <w:rPr>
          <w:rFonts w:ascii="Arial" w:eastAsia="MS Mincho" w:hAnsi="Arial" w:hint="cs"/>
          <w:sz w:val="27"/>
          <w:rtl/>
        </w:rPr>
        <w:t>َ</w:t>
      </w:r>
      <w:r w:rsidRPr="006571AC">
        <w:rPr>
          <w:rFonts w:ascii="Arial" w:eastAsia="MS Mincho" w:hAnsi="Arial"/>
          <w:sz w:val="27"/>
          <w:rtl/>
        </w:rPr>
        <w:t>ن، وصرفنا النظر عمّا دار من نقاشٍ أصولي</w:t>
      </w:r>
      <w:r w:rsidR="00320DFD" w:rsidRPr="006571AC">
        <w:rPr>
          <w:rFonts w:ascii="Arial" w:eastAsia="MS Mincho" w:hAnsi="Arial" w:hint="cs"/>
          <w:sz w:val="27"/>
          <w:rtl/>
        </w:rPr>
        <w:t>ّ</w:t>
      </w:r>
      <w:r w:rsidRPr="006571AC">
        <w:rPr>
          <w:rFonts w:ascii="Arial" w:eastAsia="MS Mincho" w:hAnsi="Arial"/>
          <w:sz w:val="27"/>
          <w:rtl/>
        </w:rPr>
        <w:t xml:space="preserve"> حول مدى دلالتها على قاعدة التسامح المذكورة، إلا</w:t>
      </w:r>
      <w:r w:rsidR="00320DFD" w:rsidRPr="006571AC">
        <w:rPr>
          <w:rFonts w:ascii="Arial" w:eastAsia="MS Mincho" w:hAnsi="Arial" w:hint="cs"/>
          <w:sz w:val="27"/>
          <w:rtl/>
        </w:rPr>
        <w:t>ّ</w:t>
      </w:r>
      <w:r w:rsidRPr="006571AC">
        <w:rPr>
          <w:rFonts w:ascii="Arial" w:eastAsia="MS Mincho" w:hAnsi="Arial"/>
          <w:sz w:val="27"/>
          <w:rtl/>
        </w:rPr>
        <w:t xml:space="preserve"> أنّه لا مجال ـ بحال</w:t>
      </w:r>
      <w:r w:rsidR="00320DFD" w:rsidRPr="006571AC">
        <w:rPr>
          <w:rFonts w:ascii="Arial" w:eastAsia="MS Mincho" w:hAnsi="Arial" w:hint="cs"/>
          <w:sz w:val="27"/>
          <w:rtl/>
        </w:rPr>
        <w:t>ٍ</w:t>
      </w:r>
      <w:r w:rsidRPr="006571AC">
        <w:rPr>
          <w:rFonts w:ascii="Arial" w:eastAsia="MS Mincho" w:hAnsi="Arial"/>
          <w:sz w:val="27"/>
          <w:rtl/>
        </w:rPr>
        <w:t xml:space="preserve"> ـ لتعميم مفادها إلى غير دائرة الس</w:t>
      </w:r>
      <w:r w:rsidR="00320DFD" w:rsidRPr="006571AC">
        <w:rPr>
          <w:rFonts w:ascii="Arial" w:eastAsia="MS Mincho" w:hAnsi="Arial" w:hint="cs"/>
          <w:sz w:val="27"/>
          <w:rtl/>
        </w:rPr>
        <w:t>ُّ</w:t>
      </w:r>
      <w:r w:rsidRPr="006571AC">
        <w:rPr>
          <w:rFonts w:ascii="Arial" w:eastAsia="MS Mincho" w:hAnsi="Arial"/>
          <w:sz w:val="27"/>
          <w:rtl/>
        </w:rPr>
        <w:t>ن</w:t>
      </w:r>
      <w:r w:rsidR="00320DFD" w:rsidRPr="006571AC">
        <w:rPr>
          <w:rFonts w:ascii="Arial" w:eastAsia="MS Mincho" w:hAnsi="Arial" w:hint="cs"/>
          <w:sz w:val="27"/>
          <w:rtl/>
        </w:rPr>
        <w:t>َ</w:t>
      </w:r>
      <w:r w:rsidRPr="006571AC">
        <w:rPr>
          <w:rFonts w:ascii="Arial" w:eastAsia="MS Mincho" w:hAnsi="Arial"/>
          <w:sz w:val="27"/>
          <w:rtl/>
        </w:rPr>
        <w:t>ن</w:t>
      </w:r>
      <w:r w:rsidR="00320DFD" w:rsidRPr="006571AC">
        <w:rPr>
          <w:rFonts w:ascii="Arial" w:eastAsia="MS Mincho" w:hAnsi="Arial" w:hint="cs"/>
          <w:sz w:val="27"/>
          <w:rtl/>
        </w:rPr>
        <w:t>،</w:t>
      </w:r>
      <w:r w:rsidRPr="006571AC">
        <w:rPr>
          <w:rFonts w:ascii="Arial" w:eastAsia="MS Mincho" w:hAnsi="Arial" w:hint="cs"/>
          <w:sz w:val="27"/>
          <w:rtl/>
        </w:rPr>
        <w:t xml:space="preserve"> كما فعل كثيرون</w:t>
      </w:r>
      <w:r w:rsidR="00320DFD" w:rsidRPr="006571AC">
        <w:rPr>
          <w:rFonts w:ascii="Arial" w:eastAsia="MS Mincho" w:hAnsi="Arial" w:hint="cs"/>
          <w:sz w:val="27"/>
          <w:rtl/>
        </w:rPr>
        <w:t>؛</w:t>
      </w:r>
      <w:r w:rsidRPr="006571AC">
        <w:rPr>
          <w:rFonts w:ascii="Arial" w:eastAsia="MS Mincho" w:hAnsi="Arial" w:hint="cs"/>
          <w:sz w:val="27"/>
          <w:rtl/>
        </w:rPr>
        <w:t xml:space="preserve"> لأنه لا مبر</w:t>
      </w:r>
      <w:r w:rsidR="00320DFD" w:rsidRPr="006571AC">
        <w:rPr>
          <w:rFonts w:ascii="Arial" w:eastAsia="MS Mincho" w:hAnsi="Arial" w:hint="cs"/>
          <w:sz w:val="27"/>
          <w:rtl/>
        </w:rPr>
        <w:t>ِّ</w:t>
      </w:r>
      <w:r w:rsidRPr="006571AC">
        <w:rPr>
          <w:rFonts w:ascii="Arial" w:eastAsia="MS Mincho" w:hAnsi="Arial" w:hint="cs"/>
          <w:sz w:val="27"/>
          <w:rtl/>
        </w:rPr>
        <w:t xml:space="preserve">ر لهذا التعميم، الذي </w:t>
      </w:r>
      <w:r w:rsidRPr="006571AC">
        <w:rPr>
          <w:rFonts w:ascii="Arial" w:eastAsia="MS Mincho" w:hAnsi="Arial"/>
          <w:sz w:val="27"/>
          <w:rtl/>
        </w:rPr>
        <w:t>شكّل غطاءً سمح بتسل</w:t>
      </w:r>
      <w:r w:rsidR="00320DFD" w:rsidRPr="006571AC">
        <w:rPr>
          <w:rFonts w:ascii="Arial" w:eastAsia="MS Mincho" w:hAnsi="Arial" w:hint="cs"/>
          <w:sz w:val="27"/>
          <w:rtl/>
        </w:rPr>
        <w:t>ُّ</w:t>
      </w:r>
      <w:r w:rsidRPr="006571AC">
        <w:rPr>
          <w:rFonts w:ascii="Arial" w:eastAsia="MS Mincho" w:hAnsi="Arial"/>
          <w:sz w:val="27"/>
          <w:rtl/>
        </w:rPr>
        <w:t>ل أخبار الغلو</w:t>
      </w:r>
      <w:r w:rsidR="00320DFD" w:rsidRPr="006571AC">
        <w:rPr>
          <w:rFonts w:ascii="Arial" w:eastAsia="MS Mincho" w:hAnsi="Arial" w:hint="cs"/>
          <w:sz w:val="27"/>
          <w:rtl/>
        </w:rPr>
        <w:t>ّ</w:t>
      </w:r>
      <w:r w:rsidRPr="006571AC">
        <w:rPr>
          <w:rFonts w:ascii="Arial" w:eastAsia="MS Mincho" w:hAnsi="Arial"/>
          <w:sz w:val="27"/>
          <w:rtl/>
        </w:rPr>
        <w:t xml:space="preserve"> والخرافة إلى الأذهان </w:t>
      </w:r>
      <w:r w:rsidRPr="006571AC">
        <w:rPr>
          <w:rFonts w:ascii="Arial" w:eastAsia="MS Mincho" w:hAnsi="Arial" w:hint="cs"/>
          <w:sz w:val="27"/>
          <w:rtl/>
        </w:rPr>
        <w:t>و</w:t>
      </w:r>
      <w:r w:rsidRPr="006571AC">
        <w:rPr>
          <w:rFonts w:ascii="Arial" w:eastAsia="MS Mincho" w:hAnsi="Arial"/>
          <w:sz w:val="27"/>
          <w:rtl/>
        </w:rPr>
        <w:t>العق</w:t>
      </w:r>
      <w:r w:rsidRPr="006571AC">
        <w:rPr>
          <w:rFonts w:ascii="Arial" w:eastAsia="MS Mincho" w:hAnsi="Arial" w:hint="cs"/>
          <w:sz w:val="27"/>
          <w:rtl/>
        </w:rPr>
        <w:t>و</w:t>
      </w:r>
      <w:r w:rsidRPr="006571AC">
        <w:rPr>
          <w:rFonts w:ascii="Arial" w:eastAsia="MS Mincho" w:hAnsi="Arial"/>
          <w:sz w:val="27"/>
          <w:rtl/>
          <w:lang w:bidi="ar-LB"/>
        </w:rPr>
        <w:t xml:space="preserve">ل، </w:t>
      </w:r>
      <w:r w:rsidRPr="006571AC">
        <w:rPr>
          <w:rFonts w:ascii="Arial" w:eastAsia="MS Mincho" w:hAnsi="Arial" w:hint="cs"/>
          <w:sz w:val="27"/>
          <w:rtl/>
          <w:lang w:bidi="ar-LB"/>
        </w:rPr>
        <w:t>وأعاق</w:t>
      </w:r>
      <w:r w:rsidRPr="006571AC">
        <w:rPr>
          <w:rFonts w:ascii="Arial" w:eastAsia="MS Mincho" w:hAnsi="Arial"/>
          <w:sz w:val="27"/>
          <w:rtl/>
          <w:lang w:bidi="ar-LB"/>
        </w:rPr>
        <w:t xml:space="preserve"> انطلاق جهود</w:t>
      </w:r>
      <w:r w:rsidR="00320DFD" w:rsidRPr="006571AC">
        <w:rPr>
          <w:rFonts w:ascii="Arial" w:eastAsia="MS Mincho" w:hAnsi="Arial" w:hint="cs"/>
          <w:sz w:val="27"/>
          <w:rtl/>
          <w:lang w:bidi="ar-LB"/>
        </w:rPr>
        <w:t>ٍ</w:t>
      </w:r>
      <w:r w:rsidRPr="006571AC">
        <w:rPr>
          <w:rFonts w:ascii="Arial" w:eastAsia="MS Mincho" w:hAnsi="Arial"/>
          <w:sz w:val="27"/>
          <w:rtl/>
          <w:lang w:bidi="ar-LB"/>
        </w:rPr>
        <w:t xml:space="preserve"> أو بحوث</w:t>
      </w:r>
      <w:r w:rsidR="00320DFD" w:rsidRPr="006571AC">
        <w:rPr>
          <w:rFonts w:ascii="Arial" w:eastAsia="MS Mincho" w:hAnsi="Arial" w:hint="cs"/>
          <w:sz w:val="27"/>
          <w:rtl/>
          <w:lang w:bidi="ar-LB"/>
        </w:rPr>
        <w:t>ٍ</w:t>
      </w:r>
      <w:r w:rsidRPr="006571AC">
        <w:rPr>
          <w:rFonts w:ascii="Arial" w:eastAsia="MS Mincho" w:hAnsi="Arial"/>
          <w:sz w:val="27"/>
          <w:rtl/>
          <w:lang w:bidi="ar-LB"/>
        </w:rPr>
        <w:t xml:space="preserve"> جادّة هدف</w:t>
      </w:r>
      <w:r w:rsidR="00320DFD" w:rsidRPr="006571AC">
        <w:rPr>
          <w:rFonts w:ascii="Arial" w:eastAsia="MS Mincho" w:hAnsi="Arial" w:hint="cs"/>
          <w:sz w:val="27"/>
          <w:rtl/>
          <w:lang w:bidi="ar-LB"/>
        </w:rPr>
        <w:t>ُ</w:t>
      </w:r>
      <w:r w:rsidRPr="006571AC">
        <w:rPr>
          <w:rFonts w:ascii="Arial" w:eastAsia="MS Mincho" w:hAnsi="Arial"/>
          <w:sz w:val="27"/>
          <w:rtl/>
          <w:lang w:bidi="ar-LB"/>
        </w:rPr>
        <w:t xml:space="preserve">ها غربلة التراث وتصفيته من الموضوعات. </w:t>
      </w:r>
    </w:p>
    <w:p w:rsidR="009B65D5" w:rsidRPr="006571AC" w:rsidRDefault="00357822" w:rsidP="00DD301A">
      <w:pPr>
        <w:spacing w:line="420" w:lineRule="exact"/>
        <w:rPr>
          <w:rFonts w:ascii="Arial" w:eastAsia="MS Mincho" w:hAnsi="Arial"/>
          <w:sz w:val="27"/>
          <w:rtl/>
          <w:lang w:bidi="ar-LB"/>
        </w:rPr>
      </w:pPr>
      <w:r w:rsidRPr="006571AC">
        <w:rPr>
          <w:rFonts w:ascii="Arial" w:eastAsia="Calibri" w:hAnsi="Arial" w:hint="cs"/>
          <w:sz w:val="27"/>
          <w:rtl/>
          <w:lang w:bidi="ar-LB"/>
        </w:rPr>
        <w:t>وقال بعض العلماء</w:t>
      </w:r>
      <w:r w:rsidR="00320DFD" w:rsidRPr="006571AC">
        <w:rPr>
          <w:rFonts w:ascii="Arial" w:eastAsia="Calibri" w:hAnsi="Arial" w:hint="cs"/>
          <w:sz w:val="27"/>
          <w:rtl/>
          <w:lang w:bidi="ar-LB"/>
        </w:rPr>
        <w:t>،</w:t>
      </w:r>
      <w:r w:rsidRPr="006571AC">
        <w:rPr>
          <w:rFonts w:ascii="Arial" w:eastAsia="Calibri" w:hAnsi="Arial" w:hint="cs"/>
          <w:sz w:val="27"/>
          <w:rtl/>
          <w:lang w:bidi="ar-LB"/>
        </w:rPr>
        <w:t xml:space="preserve"> </w:t>
      </w:r>
      <w:r w:rsidR="009B65D5" w:rsidRPr="006571AC">
        <w:rPr>
          <w:rFonts w:ascii="Arial" w:eastAsia="Calibri" w:hAnsi="Arial" w:hint="cs"/>
          <w:sz w:val="27"/>
          <w:rtl/>
          <w:lang w:bidi="ar-LB"/>
        </w:rPr>
        <w:t>اعتراضاً على هذا التوس</w:t>
      </w:r>
      <w:r w:rsidR="00320DFD" w:rsidRPr="006571AC">
        <w:rPr>
          <w:rFonts w:ascii="Arial" w:eastAsia="Calibri" w:hAnsi="Arial" w:hint="cs"/>
          <w:sz w:val="27"/>
          <w:rtl/>
          <w:lang w:bidi="ar-LB"/>
        </w:rPr>
        <w:t>ُّ</w:t>
      </w:r>
      <w:r w:rsidR="009B65D5" w:rsidRPr="006571AC">
        <w:rPr>
          <w:rFonts w:ascii="Arial" w:eastAsia="Calibri" w:hAnsi="Arial" w:hint="cs"/>
          <w:sz w:val="27"/>
          <w:rtl/>
          <w:lang w:bidi="ar-LB"/>
        </w:rPr>
        <w:t xml:space="preserve">ع: </w:t>
      </w:r>
      <w:r w:rsidR="009B65D5" w:rsidRPr="006571AC">
        <w:rPr>
          <w:rFonts w:hint="eastAsia"/>
          <w:sz w:val="24"/>
          <w:szCs w:val="24"/>
          <w:rtl/>
          <w:lang w:bidi="ar-LB"/>
        </w:rPr>
        <w:t>«</w:t>
      </w:r>
      <w:r w:rsidR="009B65D5" w:rsidRPr="006571AC">
        <w:rPr>
          <w:rFonts w:ascii="Arial" w:eastAsia="Calibri" w:hAnsi="Arial"/>
          <w:sz w:val="27"/>
          <w:rtl/>
          <w:lang w:bidi="ar-LB"/>
        </w:rPr>
        <w:t>كيف يسوغ للعلماء أن يتساهلوا في دين الله</w:t>
      </w:r>
      <w:r w:rsidR="00320DFD" w:rsidRPr="006571AC">
        <w:rPr>
          <w:rFonts w:ascii="Arial" w:eastAsia="Calibri" w:hAnsi="Arial" w:hint="cs"/>
          <w:sz w:val="27"/>
          <w:rtl/>
          <w:lang w:bidi="ar-LB"/>
        </w:rPr>
        <w:t>،</w:t>
      </w:r>
      <w:r w:rsidR="009B65D5" w:rsidRPr="006571AC">
        <w:rPr>
          <w:rFonts w:ascii="Arial" w:eastAsia="Calibri" w:hAnsi="Arial"/>
          <w:sz w:val="27"/>
          <w:rtl/>
          <w:lang w:bidi="ar-LB"/>
        </w:rPr>
        <w:t xml:space="preserve"> فيروون عن رسول الله</w:t>
      </w:r>
      <w:r w:rsidR="002A2C90" w:rsidRPr="006571AC">
        <w:rPr>
          <w:rFonts w:ascii="Mosawi" w:hAnsi="Mosawi" w:cs="Mosawi"/>
          <w:sz w:val="22"/>
          <w:szCs w:val="22"/>
          <w:rtl/>
        </w:rPr>
        <w:t>|</w:t>
      </w:r>
      <w:r w:rsidR="009B65D5" w:rsidRPr="006571AC">
        <w:rPr>
          <w:rFonts w:ascii="Arial" w:eastAsia="Calibri" w:hAnsi="Arial"/>
          <w:sz w:val="27"/>
          <w:rtl/>
          <w:lang w:bidi="ar-LB"/>
        </w:rPr>
        <w:t xml:space="preserve"> ما لم يق</w:t>
      </w:r>
      <w:r w:rsidR="00320DFD" w:rsidRPr="006571AC">
        <w:rPr>
          <w:rFonts w:ascii="Arial" w:eastAsia="Calibri" w:hAnsi="Arial" w:hint="cs"/>
          <w:sz w:val="27"/>
          <w:rtl/>
          <w:lang w:bidi="ar-LB"/>
        </w:rPr>
        <w:t>ُ</w:t>
      </w:r>
      <w:r w:rsidR="009B65D5" w:rsidRPr="006571AC">
        <w:rPr>
          <w:rFonts w:ascii="Arial" w:eastAsia="Calibri" w:hAnsi="Arial"/>
          <w:sz w:val="27"/>
          <w:rtl/>
          <w:lang w:bidi="ar-LB"/>
        </w:rPr>
        <w:t>ل</w:t>
      </w:r>
      <w:r w:rsidR="00320DFD" w:rsidRPr="006571AC">
        <w:rPr>
          <w:rFonts w:ascii="Arial" w:eastAsia="Calibri" w:hAnsi="Arial" w:hint="cs"/>
          <w:sz w:val="27"/>
          <w:rtl/>
          <w:lang w:bidi="ar-LB"/>
        </w:rPr>
        <w:t>ْ</w:t>
      </w:r>
      <w:r w:rsidR="009B65D5" w:rsidRPr="006571AC">
        <w:rPr>
          <w:rFonts w:ascii="Arial" w:eastAsia="Calibri" w:hAnsi="Arial"/>
          <w:sz w:val="27"/>
          <w:rtl/>
          <w:lang w:bidi="ar-LB"/>
        </w:rPr>
        <w:t>ه؟! إذ بإمكانهم أن يرفعوا منزلة السخيف</w:t>
      </w:r>
      <w:r w:rsidR="00320DFD" w:rsidRPr="006571AC">
        <w:rPr>
          <w:rFonts w:ascii="Arial" w:eastAsia="Calibri" w:hAnsi="Arial" w:hint="cs"/>
          <w:sz w:val="27"/>
          <w:rtl/>
          <w:lang w:bidi="ar-LB"/>
        </w:rPr>
        <w:t>،</w:t>
      </w:r>
      <w:r w:rsidR="009B65D5" w:rsidRPr="006571AC">
        <w:rPr>
          <w:rFonts w:ascii="Arial" w:eastAsia="Calibri" w:hAnsi="Arial"/>
          <w:sz w:val="27"/>
          <w:rtl/>
          <w:lang w:bidi="ar-LB"/>
        </w:rPr>
        <w:t xml:space="preserve"> ويخفضوا قدر الشريف، </w:t>
      </w:r>
      <w:r w:rsidR="006A441C" w:rsidRPr="006571AC">
        <w:rPr>
          <w:rFonts w:ascii="Arial" w:eastAsia="Calibri" w:hAnsi="Arial"/>
          <w:sz w:val="27"/>
          <w:rtl/>
          <w:lang w:bidi="ar-LB"/>
        </w:rPr>
        <w:t>أ</w:t>
      </w:r>
      <w:r w:rsidR="006A441C" w:rsidRPr="006571AC">
        <w:rPr>
          <w:rFonts w:ascii="Arial" w:eastAsia="Calibri" w:hAnsi="Arial" w:hint="cs"/>
          <w:sz w:val="27"/>
          <w:rtl/>
          <w:lang w:bidi="ar-LB"/>
        </w:rPr>
        <w:t>َ</w:t>
      </w:r>
      <w:r w:rsidR="006A441C" w:rsidRPr="006571AC">
        <w:rPr>
          <w:rFonts w:ascii="Arial" w:eastAsia="Calibri" w:hAnsi="Arial"/>
          <w:sz w:val="27"/>
          <w:rtl/>
          <w:lang w:bidi="ar-LB"/>
        </w:rPr>
        <w:t>و</w:t>
      </w:r>
      <w:r w:rsidR="006A441C" w:rsidRPr="006571AC">
        <w:rPr>
          <w:rFonts w:ascii="Arial" w:eastAsia="Calibri" w:hAnsi="Arial" w:hint="cs"/>
          <w:sz w:val="27"/>
          <w:rtl/>
          <w:lang w:bidi="ar-LB"/>
        </w:rPr>
        <w:t>َ</w:t>
      </w:r>
      <w:r w:rsidR="009B65D5" w:rsidRPr="006571AC">
        <w:rPr>
          <w:rFonts w:ascii="Arial" w:eastAsia="Calibri" w:hAnsi="Arial"/>
          <w:sz w:val="27"/>
          <w:rtl/>
          <w:lang w:bidi="ar-LB"/>
        </w:rPr>
        <w:t>ليس</w:t>
      </w:r>
      <w:r w:rsidR="006A441C" w:rsidRPr="006571AC">
        <w:rPr>
          <w:rFonts w:ascii="Arial" w:eastAsia="Calibri" w:hAnsi="Arial" w:hint="cs"/>
          <w:sz w:val="27"/>
          <w:rtl/>
          <w:lang w:bidi="ar-LB"/>
        </w:rPr>
        <w:t>َ</w:t>
      </w:r>
      <w:r w:rsidR="009B65D5" w:rsidRPr="006571AC">
        <w:rPr>
          <w:rFonts w:ascii="Arial" w:eastAsia="Calibri" w:hAnsi="Arial"/>
          <w:sz w:val="27"/>
          <w:rtl/>
          <w:lang w:bidi="ar-LB"/>
        </w:rPr>
        <w:t>ت</w:t>
      </w:r>
      <w:r w:rsidR="006A441C" w:rsidRPr="006571AC">
        <w:rPr>
          <w:rFonts w:ascii="Arial" w:eastAsia="Calibri" w:hAnsi="Arial" w:hint="cs"/>
          <w:sz w:val="27"/>
          <w:rtl/>
          <w:lang w:bidi="ar-LB"/>
        </w:rPr>
        <w:t>ْ</w:t>
      </w:r>
      <w:r w:rsidR="009B65D5" w:rsidRPr="006571AC">
        <w:rPr>
          <w:rFonts w:ascii="Arial" w:eastAsia="Calibri" w:hAnsi="Arial"/>
          <w:sz w:val="27"/>
          <w:rtl/>
          <w:lang w:bidi="ar-LB"/>
        </w:rPr>
        <w:t xml:space="preserve"> أحكام الله والفضائل تعطي صورة</w:t>
      </w:r>
      <w:r w:rsidR="006A441C" w:rsidRPr="006571AC">
        <w:rPr>
          <w:rFonts w:ascii="Arial" w:eastAsia="Calibri" w:hAnsi="Arial" w:hint="cs"/>
          <w:sz w:val="27"/>
          <w:rtl/>
          <w:lang w:bidi="ar-LB"/>
        </w:rPr>
        <w:t>ً</w:t>
      </w:r>
      <w:r w:rsidR="009B65D5" w:rsidRPr="006571AC">
        <w:rPr>
          <w:rFonts w:ascii="Arial" w:eastAsia="Calibri" w:hAnsi="Arial"/>
          <w:sz w:val="27"/>
          <w:rtl/>
          <w:lang w:bidi="ar-LB"/>
        </w:rPr>
        <w:t xml:space="preserve"> عن الدين الإسلامي الحنيف؟ فإن</w:t>
      </w:r>
      <w:r w:rsidR="006A441C" w:rsidRPr="006571AC">
        <w:rPr>
          <w:rFonts w:ascii="Arial" w:eastAsia="Calibri" w:hAnsi="Arial" w:hint="cs"/>
          <w:sz w:val="27"/>
          <w:rtl/>
          <w:lang w:bidi="ar-LB"/>
        </w:rPr>
        <w:t>ْ</w:t>
      </w:r>
      <w:r w:rsidR="009B65D5" w:rsidRPr="006571AC">
        <w:rPr>
          <w:rFonts w:ascii="Arial" w:eastAsia="Calibri" w:hAnsi="Arial"/>
          <w:sz w:val="27"/>
          <w:rtl/>
          <w:lang w:bidi="ar-LB"/>
        </w:rPr>
        <w:t xml:space="preserve"> لم ي</w:t>
      </w:r>
      <w:r w:rsidR="006A441C" w:rsidRPr="006571AC">
        <w:rPr>
          <w:rFonts w:ascii="Arial" w:eastAsia="Calibri" w:hAnsi="Arial" w:hint="cs"/>
          <w:sz w:val="27"/>
          <w:rtl/>
          <w:lang w:bidi="ar-LB"/>
        </w:rPr>
        <w:t>ُ</w:t>
      </w:r>
      <w:r w:rsidR="009B65D5" w:rsidRPr="006571AC">
        <w:rPr>
          <w:rFonts w:ascii="Arial" w:eastAsia="Calibri" w:hAnsi="Arial"/>
          <w:sz w:val="27"/>
          <w:rtl/>
          <w:lang w:bidi="ar-LB"/>
        </w:rPr>
        <w:t>تشد</w:t>
      </w:r>
      <w:r w:rsidR="006A441C" w:rsidRPr="006571AC">
        <w:rPr>
          <w:rFonts w:ascii="Arial" w:eastAsia="Calibri" w:hAnsi="Arial" w:hint="cs"/>
          <w:sz w:val="27"/>
          <w:rtl/>
          <w:lang w:bidi="ar-LB"/>
        </w:rPr>
        <w:t>َّ</w:t>
      </w:r>
      <w:r w:rsidR="009B65D5" w:rsidRPr="006571AC">
        <w:rPr>
          <w:rFonts w:ascii="Arial" w:eastAsia="Calibri" w:hAnsi="Arial"/>
          <w:sz w:val="27"/>
          <w:rtl/>
          <w:lang w:bidi="ar-LB"/>
        </w:rPr>
        <w:t>د بأدلة الس</w:t>
      </w:r>
      <w:r w:rsidR="006A441C" w:rsidRPr="006571AC">
        <w:rPr>
          <w:rFonts w:ascii="Arial" w:eastAsia="Calibri" w:hAnsi="Arial" w:hint="cs"/>
          <w:sz w:val="27"/>
          <w:rtl/>
          <w:lang w:bidi="ar-LB"/>
        </w:rPr>
        <w:t>ُّ</w:t>
      </w:r>
      <w:r w:rsidR="009B65D5" w:rsidRPr="006571AC">
        <w:rPr>
          <w:rFonts w:ascii="Arial" w:eastAsia="Calibri" w:hAnsi="Arial"/>
          <w:sz w:val="27"/>
          <w:rtl/>
          <w:lang w:bidi="ar-LB"/>
        </w:rPr>
        <w:t>ن</w:t>
      </w:r>
      <w:r w:rsidR="006A441C" w:rsidRPr="006571AC">
        <w:rPr>
          <w:rFonts w:ascii="Arial" w:eastAsia="Calibri" w:hAnsi="Arial" w:hint="cs"/>
          <w:sz w:val="27"/>
          <w:rtl/>
          <w:lang w:bidi="ar-LB"/>
        </w:rPr>
        <w:t>َ</w:t>
      </w:r>
      <w:r w:rsidR="009B65D5" w:rsidRPr="006571AC">
        <w:rPr>
          <w:rFonts w:ascii="Arial" w:eastAsia="Calibri" w:hAnsi="Arial"/>
          <w:sz w:val="27"/>
          <w:rtl/>
          <w:lang w:bidi="ar-LB"/>
        </w:rPr>
        <w:t>ن أعط</w:t>
      </w:r>
      <w:r w:rsidR="006A441C" w:rsidRPr="006571AC">
        <w:rPr>
          <w:rFonts w:ascii="Arial" w:eastAsia="Calibri" w:hAnsi="Arial" w:hint="cs"/>
          <w:sz w:val="27"/>
          <w:rtl/>
          <w:lang w:bidi="ar-LB"/>
        </w:rPr>
        <w:t>َ</w:t>
      </w:r>
      <w:r w:rsidR="009B65D5" w:rsidRPr="006571AC">
        <w:rPr>
          <w:rFonts w:ascii="Arial" w:eastAsia="Calibri" w:hAnsi="Arial"/>
          <w:sz w:val="27"/>
          <w:rtl/>
          <w:lang w:bidi="ar-LB"/>
        </w:rPr>
        <w:t>ت</w:t>
      </w:r>
      <w:r w:rsidR="006A441C" w:rsidRPr="006571AC">
        <w:rPr>
          <w:rFonts w:ascii="Arial" w:eastAsia="Calibri" w:hAnsi="Arial" w:hint="cs"/>
          <w:sz w:val="27"/>
          <w:rtl/>
          <w:lang w:bidi="ar-LB"/>
        </w:rPr>
        <w:t>ْ</w:t>
      </w:r>
      <w:r w:rsidR="009B65D5" w:rsidRPr="006571AC">
        <w:rPr>
          <w:rFonts w:ascii="Arial" w:eastAsia="Calibri" w:hAnsi="Arial"/>
          <w:sz w:val="27"/>
          <w:rtl/>
          <w:lang w:bidi="ar-LB"/>
        </w:rPr>
        <w:t xml:space="preserve"> صورة</w:t>
      </w:r>
      <w:r w:rsidR="006A441C" w:rsidRPr="006571AC">
        <w:rPr>
          <w:rFonts w:ascii="Arial" w:eastAsia="Calibri" w:hAnsi="Arial" w:hint="cs"/>
          <w:sz w:val="27"/>
          <w:rtl/>
          <w:lang w:bidi="ar-LB"/>
        </w:rPr>
        <w:t>ً</w:t>
      </w:r>
      <w:r w:rsidR="009B65D5" w:rsidRPr="006571AC">
        <w:rPr>
          <w:rFonts w:ascii="Arial" w:eastAsia="Calibri" w:hAnsi="Arial"/>
          <w:sz w:val="27"/>
          <w:rtl/>
          <w:lang w:bidi="ar-LB"/>
        </w:rPr>
        <w:t xml:space="preserve"> مباينة وخاطئة</w:t>
      </w:r>
      <w:r w:rsidR="006A441C" w:rsidRPr="006571AC">
        <w:rPr>
          <w:rFonts w:ascii="Arial" w:eastAsia="Calibri" w:hAnsi="Arial" w:hint="cs"/>
          <w:sz w:val="27"/>
          <w:rtl/>
          <w:lang w:bidi="ar-LB"/>
        </w:rPr>
        <w:t>.</w:t>
      </w:r>
      <w:r w:rsidR="009B65D5" w:rsidRPr="006571AC">
        <w:rPr>
          <w:rFonts w:ascii="Arial" w:eastAsia="Calibri" w:hAnsi="Arial" w:hint="cs"/>
          <w:sz w:val="27"/>
          <w:rtl/>
          <w:lang w:bidi="ar-LB"/>
        </w:rPr>
        <w:t>..</w:t>
      </w:r>
      <w:r w:rsidR="006A441C" w:rsidRPr="006571AC">
        <w:rPr>
          <w:rFonts w:hint="eastAsia"/>
          <w:sz w:val="24"/>
          <w:szCs w:val="24"/>
          <w:rtl/>
        </w:rPr>
        <w:t>»</w:t>
      </w:r>
      <w:r w:rsidR="009B65D5" w:rsidRPr="006571AC">
        <w:rPr>
          <w:rFonts w:ascii="Arial" w:eastAsia="Calibri" w:hAnsi="Arial"/>
          <w:sz w:val="27"/>
          <w:vertAlign w:val="superscript"/>
          <w:rtl/>
          <w:lang w:bidi="ar-LB"/>
        </w:rPr>
        <w:t>(</w:t>
      </w:r>
      <w:r w:rsidR="009B65D5" w:rsidRPr="006571AC">
        <w:rPr>
          <w:rFonts w:ascii="Arial" w:eastAsia="Calibri" w:hAnsi="Arial"/>
          <w:sz w:val="27"/>
          <w:vertAlign w:val="superscript"/>
          <w:rtl/>
          <w:lang w:bidi="ar-LB"/>
        </w:rPr>
        <w:endnoteReference w:id="676"/>
      </w:r>
      <w:r w:rsidR="009B65D5" w:rsidRPr="006571AC">
        <w:rPr>
          <w:rFonts w:ascii="Arial" w:eastAsia="Calibri" w:hAnsi="Arial"/>
          <w:sz w:val="27"/>
          <w:vertAlign w:val="superscript"/>
          <w:rtl/>
          <w:lang w:bidi="ar-LB"/>
        </w:rPr>
        <w:t>)</w:t>
      </w:r>
      <w:r w:rsidR="009B65D5" w:rsidRPr="006571AC">
        <w:rPr>
          <w:rFonts w:ascii="Arial" w:eastAsia="Calibri" w:hAnsi="Arial"/>
          <w:sz w:val="27"/>
          <w:rtl/>
          <w:lang w:bidi="ar-LB"/>
        </w:rPr>
        <w:t xml:space="preserve">. </w:t>
      </w:r>
    </w:p>
    <w:p w:rsidR="00DD301A" w:rsidRPr="006571AC" w:rsidRDefault="00DD301A" w:rsidP="00DD301A">
      <w:pPr>
        <w:rPr>
          <w:rFonts w:ascii="Arabic Typesetting" w:hAnsi="Arabic Typesetting"/>
          <w:sz w:val="27"/>
          <w:rtl/>
          <w:lang w:bidi="ar-LB"/>
        </w:rPr>
      </w:pPr>
    </w:p>
    <w:p w:rsidR="009B65D5" w:rsidRPr="006571AC" w:rsidRDefault="0035540A" w:rsidP="00C746EB">
      <w:pPr>
        <w:pStyle w:val="31"/>
        <w:rPr>
          <w:color w:val="auto"/>
        </w:rPr>
      </w:pPr>
      <w:bookmarkStart w:id="408" w:name="_Toc114164816"/>
      <w:r w:rsidRPr="006571AC">
        <w:rPr>
          <w:rFonts w:hint="cs"/>
          <w:color w:val="auto"/>
          <w:rtl/>
        </w:rPr>
        <w:t>9</w:t>
      </w:r>
      <w:r w:rsidR="00C746EB" w:rsidRPr="006571AC">
        <w:rPr>
          <w:rFonts w:hint="cs"/>
          <w:color w:val="auto"/>
          <w:rtl/>
        </w:rPr>
        <w:t xml:space="preserve">ـ </w:t>
      </w:r>
      <w:r w:rsidR="009B65D5" w:rsidRPr="006571AC">
        <w:rPr>
          <w:rFonts w:hint="cs"/>
          <w:color w:val="auto"/>
          <w:rtl/>
        </w:rPr>
        <w:t>شروط جريان القاعدة</w:t>
      </w:r>
      <w:bookmarkEnd w:id="408"/>
    </w:p>
    <w:p w:rsidR="006A441C" w:rsidRPr="006571AC" w:rsidRDefault="009B65D5" w:rsidP="0098214D">
      <w:pPr>
        <w:spacing w:line="420" w:lineRule="exact"/>
        <w:rPr>
          <w:rtl/>
        </w:rPr>
      </w:pPr>
      <w:r w:rsidRPr="006571AC">
        <w:rPr>
          <w:rFonts w:hint="cs"/>
          <w:rtl/>
        </w:rPr>
        <w:t>ثم إنه بناءً على القبول بقاعدة التسامح، فقد تُذ</w:t>
      </w:r>
      <w:r w:rsidR="006A441C" w:rsidRPr="006571AC">
        <w:rPr>
          <w:rFonts w:hint="cs"/>
          <w:rtl/>
        </w:rPr>
        <w:t>ْ</w:t>
      </w:r>
      <w:r w:rsidRPr="006571AC">
        <w:rPr>
          <w:rFonts w:hint="cs"/>
          <w:rtl/>
        </w:rPr>
        <w:t>ك</w:t>
      </w:r>
      <w:r w:rsidR="006A441C" w:rsidRPr="006571AC">
        <w:rPr>
          <w:rFonts w:hint="cs"/>
          <w:rtl/>
        </w:rPr>
        <w:t>َ</w:t>
      </w:r>
      <w:r w:rsidRPr="006571AC">
        <w:rPr>
          <w:rFonts w:hint="cs"/>
          <w:rtl/>
        </w:rPr>
        <w:t>ر بعض الشرائط لإجرائها</w:t>
      </w:r>
      <w:r w:rsidR="006A441C" w:rsidRPr="006571AC">
        <w:rPr>
          <w:rFonts w:hint="cs"/>
          <w:rtl/>
        </w:rPr>
        <w:t>.</w:t>
      </w:r>
      <w:r w:rsidRPr="006571AC">
        <w:rPr>
          <w:rFonts w:hint="cs"/>
          <w:rtl/>
        </w:rPr>
        <w:t xml:space="preserve"> ويهمني الإشارة إلى شرطين</w:t>
      </w:r>
      <w:r w:rsidR="006A441C" w:rsidRPr="006571AC">
        <w:rPr>
          <w:rFonts w:hint="cs"/>
          <w:rtl/>
        </w:rPr>
        <w:t>؛</w:t>
      </w:r>
      <w:r w:rsidRPr="006571AC">
        <w:rPr>
          <w:rFonts w:hint="cs"/>
          <w:rtl/>
        </w:rPr>
        <w:t xml:space="preserve"> لأنهما يت</w:t>
      </w:r>
      <w:r w:rsidR="006A441C" w:rsidRPr="006571AC">
        <w:rPr>
          <w:rFonts w:hint="cs"/>
          <w:rtl/>
        </w:rPr>
        <w:t>ّ</w:t>
      </w:r>
      <w:r w:rsidRPr="006571AC">
        <w:rPr>
          <w:rFonts w:hint="cs"/>
          <w:rtl/>
        </w:rPr>
        <w:t>صلان بقضيّة التوس</w:t>
      </w:r>
      <w:r w:rsidR="006A441C" w:rsidRPr="006571AC">
        <w:rPr>
          <w:rFonts w:hint="cs"/>
          <w:rtl/>
        </w:rPr>
        <w:t>ُّ</w:t>
      </w:r>
      <w:r w:rsidRPr="006571AC">
        <w:rPr>
          <w:rFonts w:hint="cs"/>
          <w:rtl/>
        </w:rPr>
        <w:t>عات التي تحد</w:t>
      </w:r>
      <w:r w:rsidR="006A441C" w:rsidRPr="006571AC">
        <w:rPr>
          <w:rFonts w:hint="cs"/>
          <w:rtl/>
        </w:rPr>
        <w:t>َّ</w:t>
      </w:r>
      <w:r w:rsidRPr="006571AC">
        <w:rPr>
          <w:rFonts w:hint="cs"/>
          <w:rtl/>
        </w:rPr>
        <w:t>ثنا عنها وأش</w:t>
      </w:r>
      <w:r w:rsidR="006A441C" w:rsidRPr="006571AC">
        <w:rPr>
          <w:rFonts w:hint="cs"/>
          <w:rtl/>
        </w:rPr>
        <w:t>َ</w:t>
      </w:r>
      <w:r w:rsidRPr="006571AC">
        <w:rPr>
          <w:rFonts w:hint="cs"/>
          <w:rtl/>
        </w:rPr>
        <w:t>ر</w:t>
      </w:r>
      <w:r w:rsidR="006A441C" w:rsidRPr="006571AC">
        <w:rPr>
          <w:rFonts w:hint="cs"/>
          <w:rtl/>
        </w:rPr>
        <w:t>ْ</w:t>
      </w:r>
      <w:r w:rsidRPr="006571AC">
        <w:rPr>
          <w:rFonts w:hint="cs"/>
          <w:rtl/>
        </w:rPr>
        <w:t>نا إلى بعضها، وإسقاط شرطي</w:t>
      </w:r>
      <w:r w:rsidR="006A441C" w:rsidRPr="006571AC">
        <w:rPr>
          <w:rFonts w:hint="cs"/>
          <w:rtl/>
        </w:rPr>
        <w:t>ّ</w:t>
      </w:r>
      <w:r w:rsidRPr="006571AC">
        <w:rPr>
          <w:rFonts w:hint="cs"/>
          <w:rtl/>
        </w:rPr>
        <w:t>ة ما سي</w:t>
      </w:r>
      <w:r w:rsidR="006A441C" w:rsidRPr="006571AC">
        <w:rPr>
          <w:rFonts w:hint="cs"/>
          <w:rtl/>
        </w:rPr>
        <w:t>ُ</w:t>
      </w:r>
      <w:r w:rsidRPr="006571AC">
        <w:rPr>
          <w:rFonts w:hint="cs"/>
          <w:rtl/>
        </w:rPr>
        <w:t>ذ</w:t>
      </w:r>
      <w:r w:rsidR="006A441C" w:rsidRPr="006571AC">
        <w:rPr>
          <w:rFonts w:hint="cs"/>
          <w:rtl/>
        </w:rPr>
        <w:t>ْ</w:t>
      </w:r>
      <w:r w:rsidRPr="006571AC">
        <w:rPr>
          <w:rFonts w:hint="cs"/>
          <w:rtl/>
        </w:rPr>
        <w:t>ك</w:t>
      </w:r>
      <w:r w:rsidR="006A441C" w:rsidRPr="006571AC">
        <w:rPr>
          <w:rFonts w:hint="cs"/>
          <w:rtl/>
        </w:rPr>
        <w:t>َ</w:t>
      </w:r>
      <w:r w:rsidRPr="006571AC">
        <w:rPr>
          <w:rFonts w:hint="cs"/>
          <w:rtl/>
        </w:rPr>
        <w:t>ر</w:t>
      </w:r>
      <w:r w:rsidR="006A441C" w:rsidRPr="006571AC">
        <w:rPr>
          <w:rFonts w:hint="cs"/>
          <w:rtl/>
        </w:rPr>
        <w:t>،</w:t>
      </w:r>
      <w:r w:rsidRPr="006571AC">
        <w:rPr>
          <w:rFonts w:hint="cs"/>
          <w:rtl/>
        </w:rPr>
        <w:t xml:space="preserve"> يعني توس</w:t>
      </w:r>
      <w:r w:rsidR="006A441C" w:rsidRPr="006571AC">
        <w:rPr>
          <w:rFonts w:hint="cs"/>
          <w:rtl/>
        </w:rPr>
        <w:t>ُّ</w:t>
      </w:r>
      <w:r w:rsidRPr="006571AC">
        <w:rPr>
          <w:rFonts w:hint="cs"/>
          <w:rtl/>
        </w:rPr>
        <w:t>عاً إضافي</w:t>
      </w:r>
      <w:r w:rsidR="006A441C" w:rsidRPr="006571AC">
        <w:rPr>
          <w:rFonts w:hint="cs"/>
          <w:rtl/>
        </w:rPr>
        <w:t>ّ</w:t>
      </w:r>
      <w:r w:rsidRPr="006571AC">
        <w:rPr>
          <w:rFonts w:hint="cs"/>
          <w:rtl/>
        </w:rPr>
        <w:t>اً في تطبيق القاعدة</w:t>
      </w:r>
      <w:r w:rsidR="006A441C" w:rsidRPr="006571AC">
        <w:rPr>
          <w:rFonts w:hint="cs"/>
          <w:rtl/>
        </w:rPr>
        <w:t>.</w:t>
      </w:r>
    </w:p>
    <w:p w:rsidR="009B65D5" w:rsidRPr="006571AC" w:rsidRDefault="009B65D5" w:rsidP="0098214D">
      <w:pPr>
        <w:spacing w:line="420" w:lineRule="exact"/>
        <w:rPr>
          <w:rtl/>
        </w:rPr>
      </w:pPr>
      <w:r w:rsidRPr="006571AC">
        <w:rPr>
          <w:rFonts w:hint="cs"/>
          <w:rtl/>
        </w:rPr>
        <w:t xml:space="preserve">وإليك الشرطان المذكوران: </w:t>
      </w:r>
    </w:p>
    <w:p w:rsidR="009B65D5" w:rsidRPr="006571AC" w:rsidRDefault="00C746EB" w:rsidP="0035540A">
      <w:pPr>
        <w:pStyle w:val="31"/>
        <w:rPr>
          <w:color w:val="auto"/>
        </w:rPr>
      </w:pPr>
      <w:bookmarkStart w:id="409" w:name="_Toc114164817"/>
      <w:r w:rsidRPr="006571AC">
        <w:rPr>
          <w:rFonts w:hint="cs"/>
          <w:color w:val="auto"/>
          <w:rtl/>
        </w:rPr>
        <w:lastRenderedPageBreak/>
        <w:t>أـ</w:t>
      </w:r>
      <w:r w:rsidR="009B65D5" w:rsidRPr="006571AC">
        <w:rPr>
          <w:rFonts w:hint="cs"/>
          <w:color w:val="auto"/>
          <w:rtl/>
        </w:rPr>
        <w:t xml:space="preserve"> كفاية احتمال صدق الخبر</w:t>
      </w:r>
      <w:bookmarkEnd w:id="409"/>
      <w:r w:rsidR="009B65D5" w:rsidRPr="006571AC">
        <w:rPr>
          <w:rFonts w:hint="cs"/>
          <w:color w:val="auto"/>
          <w:rtl/>
        </w:rPr>
        <w:t xml:space="preserve"> </w:t>
      </w:r>
    </w:p>
    <w:p w:rsidR="009B65D5" w:rsidRPr="006571AC" w:rsidRDefault="009B65D5" w:rsidP="008C2497">
      <w:pPr>
        <w:rPr>
          <w:rFonts w:ascii="Arial" w:hAnsi="Arial"/>
          <w:sz w:val="27"/>
          <w:rtl/>
        </w:rPr>
      </w:pPr>
      <w:r w:rsidRPr="006571AC">
        <w:rPr>
          <w:rFonts w:ascii="Arial" w:hAnsi="Arial" w:hint="cs"/>
          <w:sz w:val="27"/>
          <w:rtl/>
        </w:rPr>
        <w:t>هل ي</w:t>
      </w:r>
      <w:r w:rsidR="006A441C" w:rsidRPr="006571AC">
        <w:rPr>
          <w:rFonts w:ascii="Arial" w:hAnsi="Arial" w:hint="cs"/>
          <w:sz w:val="27"/>
          <w:rtl/>
        </w:rPr>
        <w:t>ُ</w:t>
      </w:r>
      <w:r w:rsidRPr="006571AC">
        <w:rPr>
          <w:rFonts w:ascii="Arial" w:hAnsi="Arial" w:hint="cs"/>
          <w:sz w:val="27"/>
          <w:rtl/>
        </w:rPr>
        <w:t>ؤخ</w:t>
      </w:r>
      <w:r w:rsidR="006A441C" w:rsidRPr="006571AC">
        <w:rPr>
          <w:rFonts w:ascii="Arial" w:hAnsi="Arial" w:hint="cs"/>
          <w:sz w:val="27"/>
          <w:rtl/>
        </w:rPr>
        <w:t>َ</w:t>
      </w:r>
      <w:r w:rsidRPr="006571AC">
        <w:rPr>
          <w:rFonts w:ascii="Arial" w:hAnsi="Arial" w:hint="cs"/>
          <w:sz w:val="27"/>
          <w:rtl/>
        </w:rPr>
        <w:t>ذ بقاعدة التسامح في الأخبار الضعيفة</w:t>
      </w:r>
      <w:r w:rsidR="006A441C" w:rsidRPr="006571AC">
        <w:rPr>
          <w:rFonts w:ascii="Arial" w:hAnsi="Arial" w:hint="cs"/>
          <w:sz w:val="27"/>
          <w:rtl/>
        </w:rPr>
        <w:t>،</w:t>
      </w:r>
      <w:r w:rsidRPr="006571AC">
        <w:rPr>
          <w:rFonts w:ascii="Arial" w:hAnsi="Arial" w:hint="cs"/>
          <w:sz w:val="27"/>
          <w:rtl/>
        </w:rPr>
        <w:t xml:space="preserve"> التي يكون احتمال الصدق فيها ضعيفاً وواهياً؟ </w:t>
      </w:r>
    </w:p>
    <w:p w:rsidR="00492FFC" w:rsidRPr="006571AC" w:rsidRDefault="009B65D5" w:rsidP="008C2497">
      <w:pPr>
        <w:rPr>
          <w:rFonts w:ascii="Arial" w:hAnsi="Arial"/>
          <w:sz w:val="27"/>
          <w:rtl/>
        </w:rPr>
      </w:pPr>
      <w:r w:rsidRPr="006571AC">
        <w:rPr>
          <w:rFonts w:ascii="Arial" w:hAnsi="Arial" w:hint="cs"/>
          <w:sz w:val="27"/>
          <w:rtl/>
        </w:rPr>
        <w:t>يبدو من بعضهم التمس</w:t>
      </w:r>
      <w:r w:rsidR="006A441C" w:rsidRPr="006571AC">
        <w:rPr>
          <w:rFonts w:ascii="Arial" w:hAnsi="Arial" w:hint="cs"/>
          <w:sz w:val="27"/>
          <w:rtl/>
        </w:rPr>
        <w:t>ُّ</w:t>
      </w:r>
      <w:r w:rsidRPr="006571AC">
        <w:rPr>
          <w:rFonts w:ascii="Arial" w:hAnsi="Arial" w:hint="cs"/>
          <w:sz w:val="27"/>
          <w:rtl/>
        </w:rPr>
        <w:t>ك بإطلاقها لصورة كون الاحتمال ضعيفاً، وكل</w:t>
      </w:r>
      <w:r w:rsidR="006A441C" w:rsidRPr="006571AC">
        <w:rPr>
          <w:rFonts w:ascii="Arial" w:hAnsi="Arial" w:hint="cs"/>
          <w:sz w:val="27"/>
          <w:rtl/>
        </w:rPr>
        <w:t>ّ</w:t>
      </w:r>
      <w:r w:rsidRPr="006571AC">
        <w:rPr>
          <w:rFonts w:ascii="Arial" w:hAnsi="Arial" w:hint="cs"/>
          <w:sz w:val="27"/>
          <w:rtl/>
        </w:rPr>
        <w:t xml:space="preserve"> م</w:t>
      </w:r>
      <w:r w:rsidR="006A441C" w:rsidRPr="006571AC">
        <w:rPr>
          <w:rFonts w:ascii="Arial" w:hAnsi="Arial" w:hint="cs"/>
          <w:sz w:val="27"/>
          <w:rtl/>
        </w:rPr>
        <w:t>َ</w:t>
      </w:r>
      <w:r w:rsidRPr="006571AC">
        <w:rPr>
          <w:rFonts w:ascii="Arial" w:hAnsi="Arial" w:hint="cs"/>
          <w:sz w:val="27"/>
          <w:rtl/>
        </w:rPr>
        <w:t>ن</w:t>
      </w:r>
      <w:r w:rsidR="006A441C" w:rsidRPr="006571AC">
        <w:rPr>
          <w:rFonts w:ascii="Arial" w:hAnsi="Arial" w:hint="cs"/>
          <w:sz w:val="27"/>
          <w:rtl/>
        </w:rPr>
        <w:t>ْ</w:t>
      </w:r>
      <w:r w:rsidRPr="006571AC">
        <w:rPr>
          <w:rFonts w:ascii="Arial" w:hAnsi="Arial" w:hint="cs"/>
          <w:sz w:val="27"/>
          <w:rtl/>
        </w:rPr>
        <w:t xml:space="preserve"> قال بأنه يُعمل بالقاعدة ما لم يعلم بكذب الخبر ووضعه فظاهره الاكتفاء بالاحتمال الضعيف</w:t>
      </w:r>
      <w:r w:rsidR="00492FFC" w:rsidRPr="006571AC">
        <w:rPr>
          <w:rFonts w:ascii="Arial" w:hAnsi="Arial" w:hint="cs"/>
          <w:sz w:val="27"/>
          <w:rtl/>
        </w:rPr>
        <w:t>.</w:t>
      </w:r>
    </w:p>
    <w:p w:rsidR="009B65D5" w:rsidRPr="006571AC" w:rsidRDefault="009B65D5" w:rsidP="008C2497">
      <w:pPr>
        <w:rPr>
          <w:rFonts w:ascii="Arial" w:hAnsi="Arial"/>
          <w:sz w:val="27"/>
          <w:rtl/>
        </w:rPr>
      </w:pPr>
      <w:r w:rsidRPr="006571AC">
        <w:rPr>
          <w:rFonts w:ascii="Arial" w:hAnsi="Arial" w:hint="cs"/>
          <w:sz w:val="27"/>
          <w:rtl/>
        </w:rPr>
        <w:t>لكن</w:t>
      </w:r>
      <w:r w:rsidR="00492FFC" w:rsidRPr="006571AC">
        <w:rPr>
          <w:rFonts w:ascii="Arial" w:hAnsi="Arial" w:hint="cs"/>
          <w:sz w:val="27"/>
          <w:rtl/>
        </w:rPr>
        <w:t>ّ</w:t>
      </w:r>
      <w:r w:rsidRPr="006571AC">
        <w:rPr>
          <w:rFonts w:ascii="Arial" w:hAnsi="Arial" w:hint="cs"/>
          <w:sz w:val="27"/>
          <w:rtl/>
        </w:rPr>
        <w:t xml:space="preserve"> الشيخ الأنصاري يشترط أن لا يكون الاحتمال موهوماً، قال: </w:t>
      </w:r>
      <w:r w:rsidRPr="008C2497">
        <w:rPr>
          <w:rFonts w:ascii="Arial" w:hAnsi="Arial" w:hint="eastAsia"/>
          <w:sz w:val="24"/>
          <w:szCs w:val="24"/>
          <w:rtl/>
        </w:rPr>
        <w:t>«</w:t>
      </w:r>
      <w:r w:rsidRPr="006571AC">
        <w:rPr>
          <w:rFonts w:ascii="Arial" w:hAnsi="Arial"/>
          <w:sz w:val="27"/>
          <w:rtl/>
        </w:rPr>
        <w:t>هل يعتبر في الرواية الضعيفة أن تفيد الظن</w:t>
      </w:r>
      <w:r w:rsidR="00492FFC" w:rsidRPr="006571AC">
        <w:rPr>
          <w:rFonts w:ascii="Arial" w:hAnsi="Arial" w:hint="cs"/>
          <w:sz w:val="27"/>
          <w:rtl/>
        </w:rPr>
        <w:t>ّ</w:t>
      </w:r>
      <w:r w:rsidRPr="006571AC">
        <w:rPr>
          <w:rFonts w:ascii="Arial" w:hAnsi="Arial"/>
          <w:sz w:val="27"/>
          <w:rtl/>
        </w:rPr>
        <w:t xml:space="preserve"> أو يكفي فيها أن لا تكون</w:t>
      </w:r>
      <w:r w:rsidRPr="006571AC">
        <w:rPr>
          <w:rFonts w:ascii="Arial" w:hAnsi="Arial" w:hint="cs"/>
          <w:sz w:val="27"/>
          <w:rtl/>
        </w:rPr>
        <w:t xml:space="preserve"> </w:t>
      </w:r>
      <w:r w:rsidRPr="006571AC">
        <w:rPr>
          <w:rFonts w:ascii="Arial" w:hAnsi="Arial"/>
          <w:sz w:val="27"/>
          <w:rtl/>
        </w:rPr>
        <w:t>موهونة</w:t>
      </w:r>
      <w:r w:rsidR="00492FFC" w:rsidRPr="006571AC">
        <w:rPr>
          <w:rFonts w:ascii="Arial" w:hAnsi="Arial" w:hint="cs"/>
          <w:sz w:val="27"/>
          <w:rtl/>
        </w:rPr>
        <w:t>ً</w:t>
      </w:r>
      <w:r w:rsidRPr="006571AC">
        <w:rPr>
          <w:rFonts w:ascii="Arial" w:hAnsi="Arial"/>
          <w:sz w:val="27"/>
          <w:rtl/>
        </w:rPr>
        <w:t xml:space="preserve"> أو لا يعتبر ذلك أيضا</w:t>
      </w:r>
      <w:r w:rsidRPr="006571AC">
        <w:rPr>
          <w:rFonts w:ascii="Arial" w:hAnsi="Arial" w:hint="cs"/>
          <w:sz w:val="27"/>
          <w:rtl/>
        </w:rPr>
        <w:t>ً</w:t>
      </w:r>
      <w:r w:rsidRPr="006571AC">
        <w:rPr>
          <w:rFonts w:ascii="Arial" w:hAnsi="Arial"/>
          <w:sz w:val="27"/>
          <w:rtl/>
        </w:rPr>
        <w:t>؟ وجوه</w:t>
      </w:r>
      <w:r w:rsidR="00492FFC" w:rsidRPr="006571AC">
        <w:rPr>
          <w:rFonts w:ascii="Arial" w:hAnsi="Arial" w:hint="cs"/>
          <w:sz w:val="27"/>
          <w:rtl/>
        </w:rPr>
        <w:t>ٌ</w:t>
      </w:r>
      <w:r w:rsidRPr="006571AC">
        <w:rPr>
          <w:rFonts w:ascii="Arial" w:hAnsi="Arial"/>
          <w:sz w:val="27"/>
          <w:rtl/>
        </w:rPr>
        <w:t>، منشأها إطلاقات النصوص والفتاوى، وإمكان دعوى انصراف النصوص</w:t>
      </w:r>
      <w:r w:rsidR="00492FFC" w:rsidRPr="006571AC">
        <w:rPr>
          <w:rFonts w:ascii="Arial" w:hAnsi="Arial" w:hint="cs"/>
          <w:sz w:val="27"/>
          <w:rtl/>
        </w:rPr>
        <w:t>،</w:t>
      </w:r>
      <w:r w:rsidRPr="006571AC">
        <w:rPr>
          <w:rFonts w:ascii="Arial" w:hAnsi="Arial"/>
          <w:sz w:val="27"/>
          <w:rtl/>
        </w:rPr>
        <w:t xml:space="preserve"> التي هي مستند الفتاوى</w:t>
      </w:r>
      <w:r w:rsidR="00492FFC" w:rsidRPr="006571AC">
        <w:rPr>
          <w:rFonts w:ascii="Arial" w:hAnsi="Arial" w:hint="cs"/>
          <w:sz w:val="27"/>
          <w:rtl/>
        </w:rPr>
        <w:t xml:space="preserve">، </w:t>
      </w:r>
      <w:r w:rsidRPr="006571AC">
        <w:rPr>
          <w:rFonts w:ascii="Arial" w:hAnsi="Arial"/>
          <w:sz w:val="27"/>
          <w:rtl/>
        </w:rPr>
        <w:t>إلى صورة عدم كون</w:t>
      </w:r>
      <w:r w:rsidRPr="006571AC">
        <w:rPr>
          <w:rFonts w:ascii="Arial" w:hAnsi="Arial" w:hint="cs"/>
          <w:sz w:val="27"/>
          <w:rtl/>
        </w:rPr>
        <w:t xml:space="preserve"> </w:t>
      </w:r>
      <w:r w:rsidRPr="006571AC">
        <w:rPr>
          <w:rFonts w:ascii="Arial" w:hAnsi="Arial"/>
          <w:sz w:val="27"/>
          <w:rtl/>
        </w:rPr>
        <w:t>مضمون الرواية موهوما</w:t>
      </w:r>
      <w:r w:rsidRPr="006571AC">
        <w:rPr>
          <w:rFonts w:ascii="Arial" w:hAnsi="Arial" w:hint="cs"/>
          <w:sz w:val="27"/>
          <w:rtl/>
        </w:rPr>
        <w:t>ً</w:t>
      </w:r>
      <w:r w:rsidRPr="006571AC">
        <w:rPr>
          <w:rFonts w:ascii="Arial" w:hAnsi="Arial"/>
          <w:sz w:val="27"/>
          <w:rtl/>
        </w:rPr>
        <w:t>، أو إلى صورة كونه مظنونا</w:t>
      </w:r>
      <w:r w:rsidRPr="006571AC">
        <w:rPr>
          <w:rFonts w:ascii="Arial" w:hAnsi="Arial" w:hint="cs"/>
          <w:sz w:val="27"/>
          <w:rtl/>
        </w:rPr>
        <w:t>ً</w:t>
      </w:r>
      <w:r w:rsidR="00492FFC" w:rsidRPr="006571AC">
        <w:rPr>
          <w:rFonts w:ascii="Arial" w:hAnsi="Arial" w:hint="cs"/>
          <w:sz w:val="27"/>
          <w:rtl/>
        </w:rPr>
        <w:t xml:space="preserve">. </w:t>
      </w:r>
      <w:r w:rsidRPr="006571AC">
        <w:rPr>
          <w:rFonts w:ascii="Arial" w:hAnsi="Arial"/>
          <w:sz w:val="27"/>
          <w:rtl/>
        </w:rPr>
        <w:t>والاحتمال الأوسط أوسط</w:t>
      </w:r>
      <w:r w:rsidRPr="008C2497">
        <w:rPr>
          <w:rFonts w:ascii="Arial" w:hAnsi="Arial" w:hint="eastAsia"/>
          <w:sz w:val="24"/>
          <w:szCs w:val="24"/>
          <w:rtl/>
        </w:rPr>
        <w:t>»</w:t>
      </w:r>
      <w:r w:rsidRPr="008C2497">
        <w:rPr>
          <w:rFonts w:ascii="Arial" w:hAnsi="Arial"/>
          <w:sz w:val="27"/>
          <w:vertAlign w:val="superscript"/>
          <w:rtl/>
        </w:rPr>
        <w:t>(</w:t>
      </w:r>
      <w:r w:rsidRPr="008C2497">
        <w:rPr>
          <w:rFonts w:ascii="Arial" w:hAnsi="Arial"/>
          <w:sz w:val="27"/>
          <w:vertAlign w:val="superscript"/>
          <w:rtl/>
        </w:rPr>
        <w:endnoteReference w:id="677"/>
      </w:r>
      <w:r w:rsidRPr="008C2497">
        <w:rPr>
          <w:rFonts w:ascii="Arial" w:hAnsi="Arial"/>
          <w:sz w:val="27"/>
          <w:vertAlign w:val="superscript"/>
          <w:rtl/>
        </w:rPr>
        <w:t>)</w:t>
      </w:r>
      <w:r w:rsidRPr="006571AC">
        <w:rPr>
          <w:rFonts w:ascii="Arial" w:hAnsi="Arial"/>
          <w:sz w:val="27"/>
          <w:rtl/>
        </w:rPr>
        <w:t xml:space="preserve">. </w:t>
      </w:r>
    </w:p>
    <w:p w:rsidR="009B65D5" w:rsidRPr="006571AC" w:rsidRDefault="009B65D5" w:rsidP="001E27B5">
      <w:pPr>
        <w:rPr>
          <w:rFonts w:ascii="Arial" w:hAnsi="Arial"/>
          <w:sz w:val="27"/>
          <w:rtl/>
        </w:rPr>
      </w:pPr>
      <w:r w:rsidRPr="006571AC">
        <w:rPr>
          <w:rFonts w:ascii="Arial" w:hAnsi="Arial" w:hint="cs"/>
          <w:sz w:val="27"/>
          <w:rtl/>
        </w:rPr>
        <w:t xml:space="preserve">وما اختاره الشيخ هو الأظهر، </w:t>
      </w:r>
      <w:r w:rsidRPr="00560D94">
        <w:rPr>
          <w:rFonts w:ascii="Arial" w:hAnsi="Arial" w:hint="cs"/>
          <w:sz w:val="27"/>
          <w:rtl/>
        </w:rPr>
        <w:t xml:space="preserve">وهو مختار </w:t>
      </w:r>
      <w:r w:rsidRPr="00560D94">
        <w:rPr>
          <w:rFonts w:ascii="Arial" w:hAnsi="Arial"/>
          <w:sz w:val="27"/>
          <w:rtl/>
        </w:rPr>
        <w:t xml:space="preserve">الشيخ </w:t>
      </w:r>
      <w:r w:rsidRPr="00560D94">
        <w:rPr>
          <w:rFonts w:ascii="Arial" w:hAnsi="Arial" w:hint="cs"/>
          <w:sz w:val="27"/>
          <w:rtl/>
        </w:rPr>
        <w:t xml:space="preserve">البهائي </w:t>
      </w:r>
      <w:r w:rsidRPr="00560D94">
        <w:rPr>
          <w:rFonts w:ascii="Arial" w:hAnsi="Arial"/>
          <w:sz w:val="27"/>
          <w:rtl/>
        </w:rPr>
        <w:t xml:space="preserve">في </w:t>
      </w:r>
      <w:r w:rsidRPr="001E27B5">
        <w:rPr>
          <w:rFonts w:ascii="Arial" w:hAnsi="Arial" w:hint="eastAsia"/>
          <w:sz w:val="24"/>
          <w:szCs w:val="24"/>
          <w:rtl/>
        </w:rPr>
        <w:t>«</w:t>
      </w:r>
      <w:r w:rsidRPr="00560D94">
        <w:rPr>
          <w:rFonts w:ascii="Arial" w:hAnsi="Arial"/>
          <w:sz w:val="27"/>
          <w:rtl/>
        </w:rPr>
        <w:t>الأربع</w:t>
      </w:r>
      <w:r w:rsidRPr="00560D94">
        <w:rPr>
          <w:rFonts w:ascii="Arial" w:hAnsi="Arial" w:hint="cs"/>
          <w:sz w:val="27"/>
          <w:rtl/>
        </w:rPr>
        <w:t>ون حديثاً</w:t>
      </w:r>
      <w:r w:rsidRPr="001E27B5">
        <w:rPr>
          <w:rFonts w:ascii="Arial" w:hAnsi="Arial" w:hint="eastAsia"/>
          <w:sz w:val="24"/>
          <w:szCs w:val="24"/>
          <w:rtl/>
        </w:rPr>
        <w:t>»</w:t>
      </w:r>
      <w:r w:rsidR="00492FFC" w:rsidRPr="00560D94">
        <w:rPr>
          <w:rFonts w:ascii="Arial" w:hAnsi="Arial" w:hint="cs"/>
          <w:sz w:val="27"/>
          <w:rtl/>
        </w:rPr>
        <w:t xml:space="preserve">، </w:t>
      </w:r>
      <w:r w:rsidRPr="00560D94">
        <w:rPr>
          <w:rFonts w:ascii="Arial" w:hAnsi="Arial" w:hint="cs"/>
          <w:sz w:val="27"/>
          <w:rtl/>
        </w:rPr>
        <w:t xml:space="preserve">قال: </w:t>
      </w:r>
      <w:r w:rsidRPr="001E27B5">
        <w:rPr>
          <w:rFonts w:ascii="Arial" w:hAnsi="Arial" w:hint="eastAsia"/>
          <w:sz w:val="24"/>
          <w:szCs w:val="24"/>
          <w:rtl/>
        </w:rPr>
        <w:t>«</w:t>
      </w:r>
      <w:r w:rsidRPr="00560D94">
        <w:rPr>
          <w:rFonts w:ascii="Arial" w:hAnsi="Arial"/>
          <w:sz w:val="27"/>
          <w:rtl/>
        </w:rPr>
        <w:t>و</w:t>
      </w:r>
      <w:r w:rsidRPr="006571AC">
        <w:rPr>
          <w:rFonts w:ascii="Arial" w:hAnsi="Arial"/>
          <w:sz w:val="27"/>
          <w:rtl/>
        </w:rPr>
        <w:t>ظاهر ال</w:t>
      </w:r>
      <w:r w:rsidRPr="006571AC">
        <w:rPr>
          <w:rFonts w:ascii="Arial" w:hAnsi="Arial" w:hint="cs"/>
          <w:sz w:val="27"/>
          <w:rtl/>
        </w:rPr>
        <w:t>إ</w:t>
      </w:r>
      <w:r w:rsidRPr="006571AC">
        <w:rPr>
          <w:rFonts w:ascii="Arial" w:hAnsi="Arial"/>
          <w:sz w:val="27"/>
          <w:rtl/>
        </w:rPr>
        <w:t xml:space="preserve">طلاق أن </w:t>
      </w:r>
      <w:r w:rsidRPr="006571AC">
        <w:rPr>
          <w:rFonts w:ascii="Arial" w:hAnsi="Arial" w:hint="cs"/>
          <w:sz w:val="27"/>
          <w:rtl/>
        </w:rPr>
        <w:t>ظن</w:t>
      </w:r>
      <w:r w:rsidR="00492FFC"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صدق الناقل غير شرط</w:t>
      </w:r>
      <w:r w:rsidR="00492FFC" w:rsidRPr="006571AC">
        <w:rPr>
          <w:rFonts w:ascii="Arial" w:hAnsi="Arial" w:hint="cs"/>
          <w:sz w:val="27"/>
          <w:rtl/>
        </w:rPr>
        <w:t>ٍ</w:t>
      </w:r>
      <w:r w:rsidRPr="006571AC">
        <w:rPr>
          <w:rFonts w:ascii="Arial" w:hAnsi="Arial"/>
          <w:sz w:val="27"/>
          <w:rtl/>
        </w:rPr>
        <w:t xml:space="preserve"> في ترت</w:t>
      </w:r>
      <w:r w:rsidR="00492FFC" w:rsidRPr="006571AC">
        <w:rPr>
          <w:rFonts w:ascii="Arial" w:hAnsi="Arial" w:hint="cs"/>
          <w:sz w:val="27"/>
          <w:rtl/>
        </w:rPr>
        <w:t>ُّ</w:t>
      </w:r>
      <w:r w:rsidRPr="006571AC">
        <w:rPr>
          <w:rFonts w:ascii="Arial" w:hAnsi="Arial"/>
          <w:sz w:val="27"/>
          <w:rtl/>
        </w:rPr>
        <w:t>ب الثواب</w:t>
      </w:r>
      <w:r w:rsidRPr="006571AC">
        <w:rPr>
          <w:rFonts w:ascii="Arial" w:hAnsi="Arial" w:hint="cs"/>
          <w:sz w:val="27"/>
          <w:rtl/>
        </w:rPr>
        <w:t xml:space="preserve">، </w:t>
      </w:r>
      <w:r w:rsidRPr="006571AC">
        <w:rPr>
          <w:rFonts w:ascii="Arial" w:hAnsi="Arial"/>
          <w:sz w:val="27"/>
          <w:rtl/>
        </w:rPr>
        <w:t>فلو تساوى صدقه وكذبه في نظر السامع</w:t>
      </w:r>
      <w:r w:rsidR="00492FFC" w:rsidRPr="006571AC">
        <w:rPr>
          <w:rFonts w:ascii="Arial" w:hAnsi="Arial" w:hint="cs"/>
          <w:sz w:val="27"/>
          <w:rtl/>
        </w:rPr>
        <w:t>،</w:t>
      </w:r>
      <w:r w:rsidRPr="006571AC">
        <w:rPr>
          <w:rFonts w:ascii="Arial" w:hAnsi="Arial"/>
          <w:sz w:val="27"/>
          <w:rtl/>
        </w:rPr>
        <w:t xml:space="preserve"> وعمل بقوله</w:t>
      </w:r>
      <w:r w:rsidR="00492FFC" w:rsidRPr="00560D94">
        <w:rPr>
          <w:rFonts w:ascii="Arial" w:hAnsi="Arial" w:hint="cs"/>
          <w:sz w:val="27"/>
          <w:rtl/>
        </w:rPr>
        <w:t>،</w:t>
      </w:r>
      <w:r w:rsidRPr="00560D94">
        <w:rPr>
          <w:rFonts w:ascii="Arial" w:hAnsi="Arial"/>
          <w:sz w:val="27"/>
          <w:rtl/>
        </w:rPr>
        <w:t xml:space="preserve"> </w:t>
      </w:r>
      <w:r w:rsidRPr="006571AC">
        <w:rPr>
          <w:rFonts w:ascii="Arial" w:hAnsi="Arial"/>
          <w:sz w:val="27"/>
          <w:rtl/>
        </w:rPr>
        <w:t>فاز بال</w:t>
      </w:r>
      <w:r w:rsidRPr="006571AC">
        <w:rPr>
          <w:rFonts w:ascii="Arial" w:hAnsi="Arial" w:hint="cs"/>
          <w:sz w:val="27"/>
          <w:rtl/>
        </w:rPr>
        <w:t>أ</w:t>
      </w:r>
      <w:r w:rsidRPr="006571AC">
        <w:rPr>
          <w:rFonts w:ascii="Arial" w:hAnsi="Arial"/>
          <w:sz w:val="27"/>
          <w:rtl/>
        </w:rPr>
        <w:t>جر</w:t>
      </w:r>
      <w:r w:rsidR="00492FFC"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نعم</w:t>
      </w:r>
      <w:r w:rsidRPr="006571AC">
        <w:rPr>
          <w:rFonts w:ascii="Arial" w:hAnsi="Arial" w:hint="cs"/>
          <w:sz w:val="27"/>
          <w:rtl/>
        </w:rPr>
        <w:t>، ي</w:t>
      </w:r>
      <w:r w:rsidRPr="006571AC">
        <w:rPr>
          <w:rFonts w:ascii="Arial" w:hAnsi="Arial"/>
          <w:sz w:val="27"/>
          <w:rtl/>
        </w:rPr>
        <w:t>ش</w:t>
      </w:r>
      <w:r w:rsidRPr="006571AC">
        <w:rPr>
          <w:rFonts w:ascii="Arial" w:hAnsi="Arial" w:hint="cs"/>
          <w:sz w:val="27"/>
          <w:rtl/>
        </w:rPr>
        <w:t>ت</w:t>
      </w:r>
      <w:r w:rsidRPr="006571AC">
        <w:rPr>
          <w:rFonts w:ascii="Arial" w:hAnsi="Arial"/>
          <w:sz w:val="27"/>
          <w:rtl/>
        </w:rPr>
        <w:t>رط ع</w:t>
      </w:r>
      <w:r w:rsidRPr="006571AC">
        <w:rPr>
          <w:rFonts w:ascii="Arial" w:hAnsi="Arial" w:hint="cs"/>
          <w:sz w:val="27"/>
          <w:rtl/>
        </w:rPr>
        <w:t>د</w:t>
      </w:r>
      <w:r w:rsidRPr="006571AC">
        <w:rPr>
          <w:rFonts w:ascii="Arial" w:hAnsi="Arial"/>
          <w:sz w:val="27"/>
          <w:rtl/>
        </w:rPr>
        <w:t>م ظن</w:t>
      </w:r>
      <w:r w:rsidR="00492FFC" w:rsidRPr="006571AC">
        <w:rPr>
          <w:rFonts w:ascii="Arial" w:hAnsi="Arial" w:hint="cs"/>
          <w:sz w:val="27"/>
          <w:rtl/>
        </w:rPr>
        <w:t>ّ</w:t>
      </w:r>
      <w:r w:rsidRPr="006571AC">
        <w:rPr>
          <w:rFonts w:ascii="Arial" w:hAnsi="Arial"/>
          <w:sz w:val="27"/>
          <w:rtl/>
        </w:rPr>
        <w:t xml:space="preserve"> كذبه بقيام بعض القرائن</w:t>
      </w:r>
      <w:r w:rsidRPr="001E27B5">
        <w:rPr>
          <w:rFonts w:ascii="Arial" w:hAnsi="Arial" w:hint="eastAsia"/>
          <w:sz w:val="24"/>
          <w:szCs w:val="24"/>
          <w:rtl/>
        </w:rPr>
        <w:t>»</w:t>
      </w:r>
      <w:r w:rsidRPr="001E27B5">
        <w:rPr>
          <w:rFonts w:ascii="Arial" w:hAnsi="Arial"/>
          <w:sz w:val="27"/>
          <w:vertAlign w:val="superscript"/>
          <w:rtl/>
        </w:rPr>
        <w:t>(</w:t>
      </w:r>
      <w:r w:rsidRPr="001E27B5">
        <w:rPr>
          <w:rFonts w:ascii="Arial" w:hAnsi="Arial"/>
          <w:sz w:val="27"/>
          <w:vertAlign w:val="superscript"/>
          <w:rtl/>
        </w:rPr>
        <w:endnoteReference w:id="678"/>
      </w:r>
      <w:r w:rsidRPr="001E27B5">
        <w:rPr>
          <w:rFonts w:ascii="Arial" w:hAnsi="Arial"/>
          <w:sz w:val="27"/>
          <w:vertAlign w:val="superscript"/>
          <w:rtl/>
        </w:rPr>
        <w:t>)</w:t>
      </w:r>
      <w:r w:rsidRPr="006571AC">
        <w:rPr>
          <w:rFonts w:ascii="Arial" w:hAnsi="Arial" w:hint="cs"/>
          <w:sz w:val="27"/>
          <w:rtl/>
        </w:rPr>
        <w:t xml:space="preserve">. </w:t>
      </w:r>
    </w:p>
    <w:p w:rsidR="009B65D5" w:rsidRPr="006571AC" w:rsidRDefault="009B65D5" w:rsidP="001E27B5">
      <w:pPr>
        <w:rPr>
          <w:rFonts w:ascii="Arial" w:hAnsi="Arial"/>
          <w:sz w:val="27"/>
          <w:rtl/>
        </w:rPr>
      </w:pPr>
      <w:r w:rsidRPr="006571AC">
        <w:rPr>
          <w:rFonts w:ascii="Arial" w:hAnsi="Arial"/>
          <w:sz w:val="27"/>
          <w:rtl/>
        </w:rPr>
        <w:t>والوجه</w:t>
      </w:r>
      <w:r w:rsidR="00492FFC" w:rsidRPr="006571AC">
        <w:rPr>
          <w:rFonts w:ascii="Arial" w:hAnsi="Arial" w:hint="cs"/>
          <w:sz w:val="27"/>
          <w:rtl/>
        </w:rPr>
        <w:t>ُ</w:t>
      </w:r>
      <w:r w:rsidRPr="006571AC">
        <w:rPr>
          <w:rFonts w:ascii="Arial" w:hAnsi="Arial"/>
          <w:sz w:val="27"/>
          <w:rtl/>
        </w:rPr>
        <w:t xml:space="preserve"> في </w:t>
      </w:r>
      <w:r w:rsidRPr="006571AC">
        <w:rPr>
          <w:rFonts w:ascii="Arial" w:hAnsi="Arial" w:hint="cs"/>
          <w:sz w:val="27"/>
          <w:rtl/>
        </w:rPr>
        <w:t xml:space="preserve">صحة ما </w:t>
      </w:r>
      <w:r w:rsidRPr="006571AC">
        <w:rPr>
          <w:rFonts w:ascii="Arial" w:hAnsi="Arial"/>
          <w:sz w:val="27"/>
          <w:rtl/>
        </w:rPr>
        <w:t>ذ</w:t>
      </w:r>
      <w:r w:rsidRPr="006571AC">
        <w:rPr>
          <w:rFonts w:ascii="Arial" w:hAnsi="Arial" w:hint="cs"/>
          <w:sz w:val="27"/>
          <w:rtl/>
        </w:rPr>
        <w:t>كراه</w:t>
      </w:r>
      <w:r w:rsidRPr="006571AC">
        <w:rPr>
          <w:rFonts w:ascii="Arial" w:hAnsi="Arial"/>
          <w:sz w:val="27"/>
          <w:rtl/>
        </w:rPr>
        <w:t xml:space="preserve"> </w:t>
      </w:r>
      <w:r w:rsidRPr="006571AC">
        <w:rPr>
          <w:rFonts w:ascii="Arial" w:hAnsi="Arial" w:hint="cs"/>
          <w:sz w:val="27"/>
          <w:rtl/>
        </w:rPr>
        <w:t>استبعاد</w:t>
      </w:r>
      <w:r w:rsidR="00492FFC"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تحق</w:t>
      </w:r>
      <w:r w:rsidR="00492FFC" w:rsidRPr="006571AC">
        <w:rPr>
          <w:rFonts w:ascii="Arial" w:hAnsi="Arial" w:hint="cs"/>
          <w:sz w:val="27"/>
          <w:rtl/>
        </w:rPr>
        <w:t>ُّ</w:t>
      </w:r>
      <w:r w:rsidRPr="006571AC">
        <w:rPr>
          <w:rFonts w:ascii="Arial" w:hAnsi="Arial"/>
          <w:sz w:val="27"/>
          <w:rtl/>
        </w:rPr>
        <w:t>ق عنوان البلوغ الذي</w:t>
      </w:r>
      <w:r w:rsidRPr="006571AC">
        <w:rPr>
          <w:rFonts w:ascii="Arial" w:hAnsi="Arial"/>
          <w:sz w:val="27"/>
        </w:rPr>
        <w:t xml:space="preserve"> </w:t>
      </w:r>
      <w:r w:rsidRPr="006571AC">
        <w:rPr>
          <w:rFonts w:ascii="Arial" w:hAnsi="Arial"/>
          <w:sz w:val="27"/>
          <w:rtl/>
        </w:rPr>
        <w:t>تحد</w:t>
      </w:r>
      <w:r w:rsidR="00492FFC" w:rsidRPr="006571AC">
        <w:rPr>
          <w:rFonts w:ascii="Arial" w:hAnsi="Arial" w:hint="cs"/>
          <w:sz w:val="27"/>
          <w:rtl/>
        </w:rPr>
        <w:t>َّ</w:t>
      </w:r>
      <w:r w:rsidRPr="006571AC">
        <w:rPr>
          <w:rFonts w:ascii="Arial" w:hAnsi="Arial"/>
          <w:sz w:val="27"/>
          <w:rtl/>
        </w:rPr>
        <w:t>ث</w:t>
      </w:r>
      <w:r w:rsidR="00492FFC" w:rsidRPr="006571AC">
        <w:rPr>
          <w:rFonts w:ascii="Arial" w:hAnsi="Arial" w:hint="cs"/>
          <w:sz w:val="27"/>
          <w:rtl/>
        </w:rPr>
        <w:t>َ</w:t>
      </w:r>
      <w:r w:rsidRPr="006571AC">
        <w:rPr>
          <w:rFonts w:ascii="Arial" w:hAnsi="Arial"/>
          <w:sz w:val="27"/>
          <w:rtl/>
        </w:rPr>
        <w:t>ت</w:t>
      </w:r>
      <w:r w:rsidR="00492FFC" w:rsidRPr="006571AC">
        <w:rPr>
          <w:rFonts w:ascii="Arial" w:hAnsi="Arial" w:hint="cs"/>
          <w:sz w:val="27"/>
          <w:rtl/>
        </w:rPr>
        <w:t>ْ</w:t>
      </w:r>
      <w:r w:rsidRPr="006571AC">
        <w:rPr>
          <w:rFonts w:ascii="Arial" w:hAnsi="Arial"/>
          <w:sz w:val="27"/>
          <w:rtl/>
        </w:rPr>
        <w:t xml:space="preserve"> عنه الروايات</w:t>
      </w:r>
      <w:r w:rsidRPr="006571AC">
        <w:rPr>
          <w:rFonts w:ascii="Arial" w:hAnsi="Arial" w:hint="cs"/>
          <w:sz w:val="27"/>
          <w:rtl/>
        </w:rPr>
        <w:t xml:space="preserve"> بالخبر الموهوم، ولا أقل</w:t>
      </w:r>
      <w:r w:rsidR="00492FFC" w:rsidRPr="006571AC">
        <w:rPr>
          <w:rFonts w:ascii="Arial" w:hAnsi="Arial" w:hint="cs"/>
          <w:sz w:val="27"/>
          <w:rtl/>
        </w:rPr>
        <w:t>ّ</w:t>
      </w:r>
      <w:r w:rsidRPr="006571AC">
        <w:rPr>
          <w:rFonts w:ascii="Arial" w:hAnsi="Arial" w:hint="cs"/>
          <w:sz w:val="27"/>
          <w:rtl/>
        </w:rPr>
        <w:t xml:space="preserve"> من أ</w:t>
      </w:r>
      <w:r w:rsidRPr="006571AC">
        <w:rPr>
          <w:rFonts w:ascii="Arial" w:hAnsi="Arial"/>
          <w:sz w:val="27"/>
          <w:rtl/>
        </w:rPr>
        <w:t>نّ قوله</w:t>
      </w:r>
      <w:r w:rsidR="002A2C90" w:rsidRPr="001E27B5">
        <w:rPr>
          <w:rFonts w:ascii="Mosawi" w:hAnsi="Mosawi" w:cs="Mosawi"/>
          <w:sz w:val="22"/>
          <w:szCs w:val="22"/>
          <w:rtl/>
        </w:rPr>
        <w:t>|</w:t>
      </w:r>
      <w:r w:rsidRPr="006571AC">
        <w:rPr>
          <w:rFonts w:ascii="Arial" w:hAnsi="Arial"/>
          <w:sz w:val="27"/>
          <w:rtl/>
        </w:rPr>
        <w:t xml:space="preserve">: </w:t>
      </w:r>
      <w:r w:rsidRPr="001E27B5">
        <w:rPr>
          <w:rFonts w:ascii="Arial" w:hAnsi="Arial" w:hint="eastAsia"/>
          <w:sz w:val="24"/>
          <w:szCs w:val="24"/>
          <w:rtl/>
        </w:rPr>
        <w:t>«</w:t>
      </w:r>
      <w:r w:rsidRPr="006571AC">
        <w:rPr>
          <w:rFonts w:ascii="Arial" w:hAnsi="Arial"/>
          <w:sz w:val="27"/>
          <w:rtl/>
        </w:rPr>
        <w:t>م</w:t>
      </w:r>
      <w:r w:rsidR="00492FFC" w:rsidRPr="006571AC">
        <w:rPr>
          <w:rFonts w:ascii="Arial" w:hAnsi="Arial" w:hint="cs"/>
          <w:sz w:val="27"/>
          <w:rtl/>
        </w:rPr>
        <w:t>َ</w:t>
      </w:r>
      <w:r w:rsidRPr="006571AC">
        <w:rPr>
          <w:rFonts w:ascii="Arial" w:hAnsi="Arial"/>
          <w:sz w:val="27"/>
          <w:rtl/>
        </w:rPr>
        <w:t>ن</w:t>
      </w:r>
      <w:r w:rsidR="00492FFC" w:rsidRPr="006571AC">
        <w:rPr>
          <w:rFonts w:ascii="Arial" w:hAnsi="Arial" w:hint="cs"/>
          <w:sz w:val="27"/>
          <w:rtl/>
        </w:rPr>
        <w:t>ْ</w:t>
      </w:r>
      <w:r w:rsidRPr="006571AC">
        <w:rPr>
          <w:rFonts w:ascii="Arial" w:hAnsi="Arial"/>
          <w:sz w:val="27"/>
          <w:rtl/>
        </w:rPr>
        <w:t xml:space="preserve"> بلغه</w:t>
      </w:r>
      <w:r w:rsidRPr="001E27B5">
        <w:rPr>
          <w:rFonts w:ascii="Arial" w:hAnsi="Arial" w:hint="eastAsia"/>
          <w:sz w:val="24"/>
          <w:szCs w:val="24"/>
          <w:rtl/>
        </w:rPr>
        <w:t>»</w:t>
      </w:r>
      <w:r w:rsidRPr="006571AC">
        <w:rPr>
          <w:rFonts w:ascii="Arial" w:hAnsi="Arial"/>
          <w:sz w:val="27"/>
          <w:rtl/>
        </w:rPr>
        <w:t xml:space="preserve"> منصرف</w:t>
      </w:r>
      <w:r w:rsidR="00492FFC" w:rsidRPr="006571AC">
        <w:rPr>
          <w:rFonts w:ascii="Arial" w:hAnsi="Arial" w:hint="cs"/>
          <w:sz w:val="27"/>
          <w:rtl/>
        </w:rPr>
        <w:t>ٌ</w:t>
      </w:r>
      <w:r w:rsidRPr="006571AC">
        <w:rPr>
          <w:rFonts w:ascii="Arial" w:hAnsi="Arial"/>
          <w:sz w:val="27"/>
          <w:rtl/>
        </w:rPr>
        <w:t xml:space="preserve"> عن صورة ظن</w:t>
      </w:r>
      <w:r w:rsidRPr="006571AC">
        <w:rPr>
          <w:rFonts w:ascii="Arial" w:hAnsi="Arial" w:hint="cs"/>
          <w:sz w:val="27"/>
          <w:rtl/>
        </w:rPr>
        <w:t>ّ</w:t>
      </w:r>
      <w:r w:rsidRPr="006571AC">
        <w:rPr>
          <w:rFonts w:ascii="Arial" w:hAnsi="Arial"/>
          <w:sz w:val="27"/>
          <w:rtl/>
        </w:rPr>
        <w:t xml:space="preserve"> كذب الراوي</w:t>
      </w:r>
      <w:r w:rsidR="00492FFC" w:rsidRPr="006571AC">
        <w:rPr>
          <w:rFonts w:ascii="Arial" w:hAnsi="Arial" w:hint="cs"/>
          <w:sz w:val="27"/>
          <w:rtl/>
        </w:rPr>
        <w:t xml:space="preserve">؛ </w:t>
      </w:r>
      <w:r w:rsidRPr="006571AC">
        <w:rPr>
          <w:rFonts w:ascii="Arial" w:hAnsi="Arial"/>
          <w:sz w:val="27"/>
          <w:rtl/>
        </w:rPr>
        <w:t xml:space="preserve">والقرينة على ذلك </w:t>
      </w:r>
      <w:r w:rsidR="00492FFC" w:rsidRPr="006571AC">
        <w:rPr>
          <w:rFonts w:ascii="Arial" w:hAnsi="Arial" w:hint="cs"/>
          <w:sz w:val="27"/>
          <w:rtl/>
        </w:rPr>
        <w:t>أ</w:t>
      </w:r>
      <w:r w:rsidRPr="006571AC">
        <w:rPr>
          <w:rFonts w:ascii="Arial" w:hAnsi="Arial"/>
          <w:sz w:val="27"/>
          <w:rtl/>
        </w:rPr>
        <w:t>نّ التشد</w:t>
      </w:r>
      <w:r w:rsidR="00492FFC" w:rsidRPr="006571AC">
        <w:rPr>
          <w:rFonts w:ascii="Arial" w:hAnsi="Arial" w:hint="cs"/>
          <w:sz w:val="27"/>
          <w:rtl/>
        </w:rPr>
        <w:t>ُّ</w:t>
      </w:r>
      <w:r w:rsidRPr="006571AC">
        <w:rPr>
          <w:rFonts w:ascii="Arial" w:hAnsi="Arial"/>
          <w:sz w:val="27"/>
          <w:rtl/>
        </w:rPr>
        <w:t>د الشرعي الملحوظ</w:t>
      </w:r>
      <w:r w:rsidRPr="006571AC">
        <w:rPr>
          <w:rFonts w:ascii="Arial" w:hAnsi="Arial" w:hint="cs"/>
          <w:sz w:val="27"/>
          <w:rtl/>
        </w:rPr>
        <w:t xml:space="preserve"> </w:t>
      </w:r>
      <w:r w:rsidRPr="006571AC">
        <w:rPr>
          <w:rFonts w:ascii="Arial" w:hAnsi="Arial"/>
          <w:sz w:val="27"/>
          <w:rtl/>
        </w:rPr>
        <w:t xml:space="preserve">إزاء </w:t>
      </w:r>
      <w:r w:rsidRPr="006571AC">
        <w:rPr>
          <w:rFonts w:ascii="Arial" w:hAnsi="Arial" w:hint="cs"/>
          <w:sz w:val="27"/>
          <w:rtl/>
        </w:rPr>
        <w:t>مصادر تلق</w:t>
      </w:r>
      <w:r w:rsidR="00492FFC" w:rsidRPr="006571AC">
        <w:rPr>
          <w:rFonts w:ascii="Arial" w:hAnsi="Arial" w:hint="cs"/>
          <w:sz w:val="27"/>
          <w:rtl/>
        </w:rPr>
        <w:t>ّ</w:t>
      </w:r>
      <w:r w:rsidRPr="006571AC">
        <w:rPr>
          <w:rFonts w:ascii="Arial" w:hAnsi="Arial" w:hint="cs"/>
          <w:sz w:val="27"/>
          <w:rtl/>
        </w:rPr>
        <w:t xml:space="preserve">ي </w:t>
      </w:r>
      <w:r w:rsidRPr="006571AC">
        <w:rPr>
          <w:rFonts w:ascii="Arial" w:hAnsi="Arial"/>
          <w:sz w:val="27"/>
          <w:rtl/>
        </w:rPr>
        <w:t>الخبر</w:t>
      </w:r>
      <w:r w:rsidR="00492FFC" w:rsidRPr="006571AC">
        <w:rPr>
          <w:rFonts w:ascii="Arial" w:hAnsi="Arial" w:hint="cs"/>
          <w:sz w:val="27"/>
          <w:rtl/>
        </w:rPr>
        <w:t>،</w:t>
      </w:r>
      <w:r w:rsidRPr="006571AC">
        <w:rPr>
          <w:rFonts w:ascii="Arial" w:hAnsi="Arial"/>
          <w:sz w:val="27"/>
          <w:rtl/>
        </w:rPr>
        <w:t xml:space="preserve"> و</w:t>
      </w:r>
      <w:r w:rsidRPr="006571AC">
        <w:rPr>
          <w:rFonts w:ascii="Arial" w:hAnsi="Arial" w:hint="cs"/>
          <w:sz w:val="27"/>
          <w:rtl/>
        </w:rPr>
        <w:t xml:space="preserve">كذا إزاء </w:t>
      </w:r>
      <w:r w:rsidRPr="006571AC">
        <w:rPr>
          <w:rFonts w:ascii="Arial" w:hAnsi="Arial"/>
          <w:sz w:val="27"/>
          <w:rtl/>
        </w:rPr>
        <w:t>صفات المخبر من الوثاقة والصدق</w:t>
      </w:r>
      <w:r w:rsidR="00492FFC" w:rsidRPr="006571AC">
        <w:rPr>
          <w:rFonts w:ascii="Arial" w:hAnsi="Arial" w:hint="cs"/>
          <w:sz w:val="27"/>
          <w:rtl/>
        </w:rPr>
        <w:t>...،</w:t>
      </w:r>
      <w:r w:rsidRPr="006571AC">
        <w:rPr>
          <w:rFonts w:ascii="Arial" w:hAnsi="Arial"/>
          <w:sz w:val="27"/>
          <w:rtl/>
        </w:rPr>
        <w:t xml:space="preserve"> يخلق جو</w:t>
      </w:r>
      <w:r w:rsidR="00492FFC" w:rsidRPr="006571AC">
        <w:rPr>
          <w:rFonts w:ascii="Arial" w:hAnsi="Arial" w:hint="cs"/>
          <w:sz w:val="27"/>
          <w:rtl/>
        </w:rPr>
        <w:t>ّ</w:t>
      </w:r>
      <w:r w:rsidRPr="006571AC">
        <w:rPr>
          <w:rFonts w:ascii="Arial" w:hAnsi="Arial"/>
          <w:sz w:val="27"/>
          <w:rtl/>
        </w:rPr>
        <w:t>اً متشر</w:t>
      </w:r>
      <w:r w:rsidR="00492FFC" w:rsidRPr="006571AC">
        <w:rPr>
          <w:rFonts w:ascii="Arial" w:hAnsi="Arial" w:hint="cs"/>
          <w:sz w:val="27"/>
          <w:rtl/>
        </w:rPr>
        <w:t>ِّ</w:t>
      </w:r>
      <w:r w:rsidR="00492FFC" w:rsidRPr="006571AC">
        <w:rPr>
          <w:rFonts w:ascii="Arial" w:hAnsi="Arial"/>
          <w:sz w:val="27"/>
          <w:rtl/>
        </w:rPr>
        <w:t>عي</w:t>
      </w:r>
      <w:r w:rsidRPr="006571AC">
        <w:rPr>
          <w:rFonts w:ascii="Arial" w:hAnsi="Arial"/>
          <w:sz w:val="27"/>
          <w:rtl/>
        </w:rPr>
        <w:t>اً رافضاً للعمل بأخبار الكذ</w:t>
      </w:r>
      <w:r w:rsidR="00492FFC" w:rsidRPr="006571AC">
        <w:rPr>
          <w:rFonts w:ascii="Arial" w:hAnsi="Arial" w:hint="cs"/>
          <w:sz w:val="27"/>
          <w:rtl/>
        </w:rPr>
        <w:t>ّ</w:t>
      </w:r>
      <w:r w:rsidRPr="006571AC">
        <w:rPr>
          <w:rFonts w:ascii="Arial" w:hAnsi="Arial"/>
          <w:sz w:val="27"/>
          <w:rtl/>
        </w:rPr>
        <w:t>ابين وغير الثقا</w:t>
      </w:r>
      <w:r w:rsidR="00492FFC" w:rsidRPr="006571AC">
        <w:rPr>
          <w:rFonts w:ascii="Arial" w:hAnsi="Arial" w:hint="cs"/>
          <w:sz w:val="27"/>
          <w:rtl/>
        </w:rPr>
        <w:t>ت</w:t>
      </w:r>
      <w:r w:rsidRPr="006571AC">
        <w:rPr>
          <w:rFonts w:ascii="Arial" w:hAnsi="Arial"/>
          <w:sz w:val="27"/>
          <w:rtl/>
        </w:rPr>
        <w:t>، ومتحس</w:t>
      </w:r>
      <w:r w:rsidR="00492FFC" w:rsidRPr="006571AC">
        <w:rPr>
          <w:rFonts w:ascii="Arial" w:hAnsi="Arial" w:hint="cs"/>
          <w:sz w:val="27"/>
          <w:rtl/>
        </w:rPr>
        <w:t>ِّ</w:t>
      </w:r>
      <w:r w:rsidRPr="006571AC">
        <w:rPr>
          <w:rFonts w:ascii="Arial" w:hAnsi="Arial"/>
          <w:sz w:val="27"/>
          <w:rtl/>
        </w:rPr>
        <w:t>ساً إزاء هذا الأمر</w:t>
      </w:r>
      <w:r w:rsidR="00492FFC" w:rsidRPr="006571AC">
        <w:rPr>
          <w:rFonts w:ascii="Arial" w:hAnsi="Arial" w:hint="cs"/>
          <w:sz w:val="27"/>
          <w:rtl/>
        </w:rPr>
        <w:t>.</w:t>
      </w:r>
      <w:r w:rsidRPr="006571AC">
        <w:rPr>
          <w:rFonts w:ascii="Arial" w:hAnsi="Arial"/>
          <w:sz w:val="27"/>
          <w:rtl/>
        </w:rPr>
        <w:t xml:space="preserve"> وفي ضوئه لو كانت روايات </w:t>
      </w:r>
      <w:r w:rsidRPr="001E27B5">
        <w:rPr>
          <w:rFonts w:ascii="Arial" w:hAnsi="Arial" w:hint="eastAsia"/>
          <w:sz w:val="24"/>
          <w:szCs w:val="24"/>
          <w:rtl/>
        </w:rPr>
        <w:t>«</w:t>
      </w:r>
      <w:r w:rsidRPr="006571AC">
        <w:rPr>
          <w:rFonts w:ascii="Arial" w:hAnsi="Arial"/>
          <w:sz w:val="27"/>
          <w:rtl/>
        </w:rPr>
        <w:t>م</w:t>
      </w:r>
      <w:r w:rsidR="00492FFC" w:rsidRPr="006571AC">
        <w:rPr>
          <w:rFonts w:ascii="Arial" w:hAnsi="Arial" w:hint="cs"/>
          <w:sz w:val="27"/>
          <w:rtl/>
        </w:rPr>
        <w:t>َ</w:t>
      </w:r>
      <w:r w:rsidRPr="006571AC">
        <w:rPr>
          <w:rFonts w:ascii="Arial" w:hAnsi="Arial"/>
          <w:sz w:val="27"/>
          <w:rtl/>
        </w:rPr>
        <w:t>ن</w:t>
      </w:r>
      <w:r w:rsidR="00492FFC" w:rsidRPr="006571AC">
        <w:rPr>
          <w:rFonts w:ascii="Arial" w:hAnsi="Arial" w:hint="cs"/>
          <w:sz w:val="27"/>
          <w:rtl/>
        </w:rPr>
        <w:t>ْ</w:t>
      </w:r>
      <w:r w:rsidRPr="006571AC">
        <w:rPr>
          <w:rFonts w:ascii="Arial" w:hAnsi="Arial"/>
          <w:sz w:val="27"/>
          <w:rtl/>
        </w:rPr>
        <w:t xml:space="preserve"> بلغ</w:t>
      </w:r>
      <w:r w:rsidRPr="001E27B5">
        <w:rPr>
          <w:rFonts w:ascii="Arial" w:hAnsi="Arial" w:hint="eastAsia"/>
          <w:sz w:val="24"/>
          <w:szCs w:val="24"/>
          <w:rtl/>
        </w:rPr>
        <w:t>»</w:t>
      </w:r>
      <w:r w:rsidRPr="006571AC">
        <w:rPr>
          <w:rFonts w:ascii="Arial" w:hAnsi="Arial"/>
          <w:sz w:val="27"/>
          <w:rtl/>
        </w:rPr>
        <w:t xml:space="preserve"> مطلقة</w:t>
      </w:r>
      <w:r w:rsidR="00492FFC" w:rsidRPr="006571AC">
        <w:rPr>
          <w:rFonts w:ascii="Arial" w:hAnsi="Arial" w:hint="cs"/>
          <w:sz w:val="27"/>
          <w:rtl/>
        </w:rPr>
        <w:t>ً</w:t>
      </w:r>
      <w:r w:rsidRPr="006571AC">
        <w:rPr>
          <w:rFonts w:ascii="Arial" w:hAnsi="Arial"/>
          <w:sz w:val="27"/>
          <w:rtl/>
        </w:rPr>
        <w:t xml:space="preserve"> وشاملة</w:t>
      </w:r>
      <w:r w:rsidR="00492FFC" w:rsidRPr="006571AC">
        <w:rPr>
          <w:rFonts w:ascii="Arial" w:hAnsi="Arial" w:hint="cs"/>
          <w:sz w:val="27"/>
          <w:rtl/>
        </w:rPr>
        <w:t>ً</w:t>
      </w:r>
      <w:r w:rsidRPr="006571AC">
        <w:rPr>
          <w:rFonts w:ascii="Arial" w:hAnsi="Arial"/>
          <w:sz w:val="27"/>
          <w:rtl/>
        </w:rPr>
        <w:t xml:space="preserve"> لصورة احتمال صدق الخبر</w:t>
      </w:r>
      <w:r w:rsidR="00492FFC" w:rsidRPr="006571AC">
        <w:rPr>
          <w:rFonts w:ascii="Arial" w:hAnsi="Arial" w:hint="cs"/>
          <w:sz w:val="27"/>
          <w:rtl/>
        </w:rPr>
        <w:t>،</w:t>
      </w:r>
      <w:r w:rsidRPr="006571AC">
        <w:rPr>
          <w:rFonts w:ascii="Arial" w:hAnsi="Arial"/>
          <w:sz w:val="27"/>
          <w:rtl/>
        </w:rPr>
        <w:t xml:space="preserve"> </w:t>
      </w:r>
      <w:r w:rsidR="007726A9" w:rsidRPr="006571AC">
        <w:rPr>
          <w:rFonts w:ascii="Arial" w:hAnsi="Arial" w:hint="cs"/>
          <w:sz w:val="27"/>
          <w:rtl/>
        </w:rPr>
        <w:t>و</w:t>
      </w:r>
      <w:r w:rsidRPr="006571AC">
        <w:rPr>
          <w:rFonts w:ascii="Arial" w:hAnsi="Arial"/>
          <w:sz w:val="27"/>
          <w:rtl/>
        </w:rPr>
        <w:t>كان الاحتمال موهوناً</w:t>
      </w:r>
      <w:r w:rsidR="00492FFC" w:rsidRPr="006571AC">
        <w:rPr>
          <w:rFonts w:ascii="Arial" w:hAnsi="Arial" w:hint="cs"/>
          <w:sz w:val="27"/>
          <w:rtl/>
        </w:rPr>
        <w:t>،</w:t>
      </w:r>
      <w:r w:rsidRPr="006571AC">
        <w:rPr>
          <w:rFonts w:ascii="Arial" w:hAnsi="Arial"/>
          <w:sz w:val="27"/>
          <w:rtl/>
        </w:rPr>
        <w:t xml:space="preserve"> لشك</w:t>
      </w:r>
      <w:r w:rsidR="00492FFC" w:rsidRPr="006571AC">
        <w:rPr>
          <w:rFonts w:ascii="Arial" w:hAnsi="Arial" w:hint="cs"/>
          <w:sz w:val="27"/>
          <w:rtl/>
        </w:rPr>
        <w:t>َّ</w:t>
      </w:r>
      <w:r w:rsidRPr="006571AC">
        <w:rPr>
          <w:rFonts w:ascii="Arial" w:hAnsi="Arial"/>
          <w:sz w:val="27"/>
          <w:rtl/>
        </w:rPr>
        <w:t>ل ذلك استثناءً صادماً للجو</w:t>
      </w:r>
      <w:r w:rsidR="007726A9" w:rsidRPr="006571AC">
        <w:rPr>
          <w:rFonts w:ascii="Arial" w:hAnsi="Arial" w:hint="cs"/>
          <w:sz w:val="27"/>
          <w:rtl/>
        </w:rPr>
        <w:t>ّ</w:t>
      </w:r>
      <w:r w:rsidRPr="006571AC">
        <w:rPr>
          <w:rFonts w:ascii="Arial" w:hAnsi="Arial"/>
          <w:sz w:val="27"/>
          <w:rtl/>
        </w:rPr>
        <w:t xml:space="preserve"> التشريعي المذكور، الأمر الذي يثير حفيظة المتشر</w:t>
      </w:r>
      <w:r w:rsidR="007726A9" w:rsidRPr="006571AC">
        <w:rPr>
          <w:rFonts w:ascii="Arial" w:hAnsi="Arial" w:hint="cs"/>
          <w:sz w:val="27"/>
          <w:rtl/>
        </w:rPr>
        <w:t>ِّ</w:t>
      </w:r>
      <w:r w:rsidRPr="006571AC">
        <w:rPr>
          <w:rFonts w:ascii="Arial" w:hAnsi="Arial"/>
          <w:sz w:val="27"/>
          <w:rtl/>
        </w:rPr>
        <w:t>عة</w:t>
      </w:r>
      <w:r w:rsidR="007726A9" w:rsidRPr="006571AC">
        <w:rPr>
          <w:rFonts w:ascii="Arial" w:hAnsi="Arial" w:hint="cs"/>
          <w:sz w:val="27"/>
          <w:rtl/>
        </w:rPr>
        <w:t>،</w:t>
      </w:r>
      <w:r w:rsidRPr="006571AC">
        <w:rPr>
          <w:rFonts w:ascii="Arial" w:hAnsi="Arial"/>
          <w:sz w:val="27"/>
          <w:rtl/>
        </w:rPr>
        <w:t xml:space="preserve"> ويدفعهم للإكثار من الأسئلة حول هذا الاستثناء وحدوده، مع أننا لم نج</w:t>
      </w:r>
      <w:r w:rsidR="007726A9" w:rsidRPr="006571AC">
        <w:rPr>
          <w:rFonts w:ascii="Arial" w:hAnsi="Arial" w:hint="cs"/>
          <w:sz w:val="27"/>
          <w:rtl/>
        </w:rPr>
        <w:t>ِ</w:t>
      </w:r>
      <w:r w:rsidRPr="006571AC">
        <w:rPr>
          <w:rFonts w:ascii="Arial" w:hAnsi="Arial"/>
          <w:sz w:val="27"/>
          <w:rtl/>
        </w:rPr>
        <w:t>د</w:t>
      </w:r>
      <w:r w:rsidR="007726A9" w:rsidRPr="006571AC">
        <w:rPr>
          <w:rFonts w:ascii="Arial" w:hAnsi="Arial" w:hint="cs"/>
          <w:sz w:val="27"/>
          <w:rtl/>
        </w:rPr>
        <w:t>ْ</w:t>
      </w:r>
      <w:r w:rsidRPr="006571AC">
        <w:rPr>
          <w:rFonts w:ascii="Arial" w:hAnsi="Arial"/>
          <w:sz w:val="27"/>
          <w:rtl/>
        </w:rPr>
        <w:t xml:space="preserve"> شيئاً من ذلك في الروايات، الأمر الذي ي</w:t>
      </w:r>
      <w:r w:rsidRPr="006571AC">
        <w:rPr>
          <w:rFonts w:ascii="Arial" w:hAnsi="Arial" w:hint="cs"/>
          <w:sz w:val="27"/>
          <w:rtl/>
        </w:rPr>
        <w:t>دل</w:t>
      </w:r>
      <w:r w:rsidR="007726A9" w:rsidRPr="006571AC">
        <w:rPr>
          <w:rFonts w:ascii="Arial" w:hAnsi="Arial" w:hint="cs"/>
          <w:sz w:val="27"/>
          <w:rtl/>
        </w:rPr>
        <w:t>ِّ</w:t>
      </w:r>
      <w:r w:rsidRPr="006571AC">
        <w:rPr>
          <w:rFonts w:ascii="Arial" w:hAnsi="Arial" w:hint="cs"/>
          <w:sz w:val="27"/>
          <w:rtl/>
        </w:rPr>
        <w:t>ل ع</w:t>
      </w:r>
      <w:r w:rsidRPr="006571AC">
        <w:rPr>
          <w:rFonts w:ascii="Arial" w:hAnsi="Arial"/>
          <w:sz w:val="27"/>
          <w:rtl/>
        </w:rPr>
        <w:t xml:space="preserve">لى عدم شمول روايات </w:t>
      </w:r>
      <w:r w:rsidRPr="001E27B5">
        <w:rPr>
          <w:rFonts w:ascii="Arial" w:hAnsi="Arial" w:hint="eastAsia"/>
          <w:sz w:val="24"/>
          <w:szCs w:val="24"/>
          <w:rtl/>
        </w:rPr>
        <w:t>«</w:t>
      </w:r>
      <w:r w:rsidRPr="006571AC">
        <w:rPr>
          <w:rFonts w:ascii="Arial" w:hAnsi="Arial"/>
          <w:sz w:val="27"/>
          <w:rtl/>
        </w:rPr>
        <w:t>م</w:t>
      </w:r>
      <w:r w:rsidR="007726A9" w:rsidRPr="006571AC">
        <w:rPr>
          <w:rFonts w:ascii="Arial" w:hAnsi="Arial" w:hint="cs"/>
          <w:sz w:val="27"/>
          <w:rtl/>
        </w:rPr>
        <w:t>َ</w:t>
      </w:r>
      <w:r w:rsidRPr="006571AC">
        <w:rPr>
          <w:rFonts w:ascii="Arial" w:hAnsi="Arial"/>
          <w:sz w:val="27"/>
          <w:rtl/>
        </w:rPr>
        <w:t>ن</w:t>
      </w:r>
      <w:r w:rsidR="007726A9" w:rsidRPr="006571AC">
        <w:rPr>
          <w:rFonts w:ascii="Arial" w:hAnsi="Arial" w:hint="cs"/>
          <w:sz w:val="27"/>
          <w:rtl/>
        </w:rPr>
        <w:t>ْ</w:t>
      </w:r>
      <w:r w:rsidRPr="006571AC">
        <w:rPr>
          <w:rFonts w:ascii="Arial" w:hAnsi="Arial"/>
          <w:sz w:val="27"/>
          <w:rtl/>
        </w:rPr>
        <w:t xml:space="preserve"> بلغ</w:t>
      </w:r>
      <w:r w:rsidRPr="001E27B5">
        <w:rPr>
          <w:rFonts w:ascii="Arial" w:hAnsi="Arial" w:hint="eastAsia"/>
          <w:sz w:val="24"/>
          <w:szCs w:val="24"/>
          <w:rtl/>
        </w:rPr>
        <w:t>»</w:t>
      </w:r>
      <w:r w:rsidRPr="006571AC">
        <w:rPr>
          <w:rFonts w:ascii="Arial" w:hAnsi="Arial"/>
          <w:sz w:val="27"/>
          <w:rtl/>
        </w:rPr>
        <w:t xml:space="preserve"> لصورة احتمال صدق الخبر. </w:t>
      </w:r>
    </w:p>
    <w:p w:rsidR="009B65D5" w:rsidRPr="006571AC" w:rsidRDefault="009B65D5" w:rsidP="001E27B5">
      <w:pPr>
        <w:rPr>
          <w:rFonts w:ascii="Arial" w:hAnsi="Arial"/>
          <w:sz w:val="27"/>
          <w:rtl/>
        </w:rPr>
      </w:pPr>
      <w:r w:rsidRPr="006571AC">
        <w:rPr>
          <w:rFonts w:ascii="Arial" w:hAnsi="Arial" w:hint="cs"/>
          <w:sz w:val="27"/>
          <w:rtl/>
        </w:rPr>
        <w:t>ولا يخفى أ</w:t>
      </w:r>
      <w:r w:rsidRPr="006571AC">
        <w:rPr>
          <w:rFonts w:ascii="Arial" w:hAnsi="Arial"/>
          <w:sz w:val="27"/>
          <w:rtl/>
        </w:rPr>
        <w:t xml:space="preserve">نّ </w:t>
      </w:r>
      <w:r w:rsidRPr="006571AC">
        <w:rPr>
          <w:rFonts w:ascii="Arial" w:hAnsi="Arial" w:hint="cs"/>
          <w:sz w:val="27"/>
          <w:rtl/>
        </w:rPr>
        <w:t xml:space="preserve">الاكتفاء بالاحتمال </w:t>
      </w:r>
      <w:r w:rsidR="007726A9" w:rsidRPr="006571AC">
        <w:rPr>
          <w:rFonts w:ascii="Arial" w:hAnsi="Arial" w:hint="cs"/>
          <w:sz w:val="27"/>
          <w:rtl/>
        </w:rPr>
        <w:t xml:space="preserve">ـ </w:t>
      </w:r>
      <w:r w:rsidRPr="006571AC">
        <w:rPr>
          <w:rFonts w:ascii="Arial" w:hAnsi="Arial" w:hint="cs"/>
          <w:sz w:val="27"/>
          <w:rtl/>
        </w:rPr>
        <w:t xml:space="preserve">ولو ضعيفاً </w:t>
      </w:r>
      <w:r w:rsidR="007726A9" w:rsidRPr="006571AC">
        <w:rPr>
          <w:rFonts w:ascii="Arial" w:hAnsi="Arial" w:hint="cs"/>
          <w:sz w:val="27"/>
          <w:rtl/>
        </w:rPr>
        <w:t xml:space="preserve">ـ </w:t>
      </w:r>
      <w:r w:rsidRPr="006571AC">
        <w:rPr>
          <w:rFonts w:ascii="Arial" w:hAnsi="Arial" w:hint="cs"/>
          <w:sz w:val="27"/>
          <w:rtl/>
        </w:rPr>
        <w:t xml:space="preserve">قد </w:t>
      </w:r>
      <w:r w:rsidRPr="006571AC">
        <w:rPr>
          <w:rFonts w:ascii="Arial" w:hAnsi="Arial"/>
          <w:sz w:val="27"/>
          <w:rtl/>
        </w:rPr>
        <w:t>شك</w:t>
      </w:r>
      <w:r w:rsidRPr="006571AC">
        <w:rPr>
          <w:rFonts w:ascii="Arial" w:hAnsi="Arial" w:hint="cs"/>
          <w:sz w:val="27"/>
          <w:rtl/>
        </w:rPr>
        <w:t>ّ</w:t>
      </w:r>
      <w:r w:rsidR="007726A9" w:rsidRPr="006571AC">
        <w:rPr>
          <w:rFonts w:ascii="Arial" w:hAnsi="Arial" w:hint="cs"/>
          <w:sz w:val="27"/>
          <w:rtl/>
        </w:rPr>
        <w:t>َ</w:t>
      </w:r>
      <w:r w:rsidRPr="006571AC">
        <w:rPr>
          <w:rFonts w:ascii="Arial" w:hAnsi="Arial"/>
          <w:sz w:val="27"/>
          <w:rtl/>
        </w:rPr>
        <w:t xml:space="preserve">ل مسرباً لدخول تراث </w:t>
      </w:r>
      <w:r w:rsidRPr="006571AC">
        <w:rPr>
          <w:rFonts w:ascii="Arial" w:hAnsi="Arial"/>
          <w:sz w:val="27"/>
          <w:rtl/>
        </w:rPr>
        <w:lastRenderedPageBreak/>
        <w:t>الكذ</w:t>
      </w:r>
      <w:r w:rsidR="007726A9" w:rsidRPr="006571AC">
        <w:rPr>
          <w:rFonts w:ascii="Arial" w:hAnsi="Arial" w:hint="cs"/>
          <w:sz w:val="27"/>
          <w:rtl/>
        </w:rPr>
        <w:t>ّ</w:t>
      </w:r>
      <w:r w:rsidRPr="006571AC">
        <w:rPr>
          <w:rFonts w:ascii="Arial" w:hAnsi="Arial"/>
          <w:sz w:val="27"/>
          <w:rtl/>
        </w:rPr>
        <w:t xml:space="preserve">ابين والوضّاعين إلى الفضاء الشرعي، </w:t>
      </w:r>
      <w:r w:rsidR="007726A9" w:rsidRPr="006571AC">
        <w:rPr>
          <w:rFonts w:ascii="Arial" w:hAnsi="Arial"/>
          <w:sz w:val="27"/>
          <w:rtl/>
        </w:rPr>
        <w:t>على اعتبار أن</w:t>
      </w:r>
      <w:r w:rsidRPr="006571AC">
        <w:rPr>
          <w:rFonts w:ascii="Arial" w:hAnsi="Arial"/>
          <w:sz w:val="27"/>
          <w:rtl/>
        </w:rPr>
        <w:t xml:space="preserve"> الكذّاب قد يصدق أحياناً</w:t>
      </w:r>
      <w:r w:rsidR="007726A9" w:rsidRPr="006571AC">
        <w:rPr>
          <w:rFonts w:ascii="Arial" w:hAnsi="Arial" w:hint="cs"/>
          <w:sz w:val="27"/>
          <w:rtl/>
        </w:rPr>
        <w:t>،</w:t>
      </w:r>
      <w:r w:rsidRPr="006571AC">
        <w:rPr>
          <w:rFonts w:ascii="Arial" w:hAnsi="Arial"/>
          <w:sz w:val="27"/>
          <w:rtl/>
        </w:rPr>
        <w:t xml:space="preserve"> ولا يقطع بكذب رواياته بأجم</w:t>
      </w:r>
      <w:r w:rsidRPr="006571AC">
        <w:rPr>
          <w:rFonts w:ascii="Arial" w:hAnsi="Arial" w:hint="cs"/>
          <w:sz w:val="27"/>
          <w:rtl/>
        </w:rPr>
        <w:t>ع</w:t>
      </w:r>
      <w:r w:rsidRPr="006571AC">
        <w:rPr>
          <w:rFonts w:ascii="Arial" w:hAnsi="Arial"/>
          <w:sz w:val="27"/>
          <w:rtl/>
        </w:rPr>
        <w:t>ها، وبهذا نكون قد فت</w:t>
      </w:r>
      <w:r w:rsidR="007726A9" w:rsidRPr="006571AC">
        <w:rPr>
          <w:rFonts w:ascii="Arial" w:hAnsi="Arial" w:hint="cs"/>
          <w:sz w:val="27"/>
          <w:rtl/>
        </w:rPr>
        <w:t>َ</w:t>
      </w:r>
      <w:r w:rsidRPr="006571AC">
        <w:rPr>
          <w:rFonts w:ascii="Arial" w:hAnsi="Arial"/>
          <w:sz w:val="27"/>
          <w:rtl/>
        </w:rPr>
        <w:t>ح</w:t>
      </w:r>
      <w:r w:rsidR="007726A9" w:rsidRPr="006571AC">
        <w:rPr>
          <w:rFonts w:ascii="Arial" w:hAnsi="Arial" w:hint="cs"/>
          <w:sz w:val="27"/>
          <w:rtl/>
        </w:rPr>
        <w:t>ْ</w:t>
      </w:r>
      <w:r w:rsidRPr="006571AC">
        <w:rPr>
          <w:rFonts w:ascii="Arial" w:hAnsi="Arial"/>
          <w:sz w:val="27"/>
          <w:rtl/>
        </w:rPr>
        <w:t>نا باب الوضع على مصراع</w:t>
      </w:r>
      <w:r w:rsidR="007726A9" w:rsidRPr="006571AC">
        <w:rPr>
          <w:rFonts w:ascii="Arial" w:hAnsi="Arial" w:hint="cs"/>
          <w:sz w:val="27"/>
          <w:rtl/>
        </w:rPr>
        <w:t>َ</w:t>
      </w:r>
      <w:r w:rsidRPr="006571AC">
        <w:rPr>
          <w:rFonts w:ascii="Arial" w:hAnsi="Arial"/>
          <w:sz w:val="27"/>
          <w:rtl/>
        </w:rPr>
        <w:t>ي</w:t>
      </w:r>
      <w:r w:rsidR="007726A9" w:rsidRPr="006571AC">
        <w:rPr>
          <w:rFonts w:ascii="Arial" w:hAnsi="Arial" w:hint="cs"/>
          <w:sz w:val="27"/>
          <w:rtl/>
        </w:rPr>
        <w:t>ْ</w:t>
      </w:r>
      <w:r w:rsidRPr="006571AC">
        <w:rPr>
          <w:rFonts w:ascii="Arial" w:hAnsi="Arial"/>
          <w:sz w:val="27"/>
          <w:rtl/>
        </w:rPr>
        <w:t>ه</w:t>
      </w:r>
      <w:r w:rsidR="007726A9" w:rsidRPr="006571AC">
        <w:rPr>
          <w:rFonts w:ascii="Arial" w:hAnsi="Arial" w:hint="cs"/>
          <w:sz w:val="27"/>
          <w:rtl/>
        </w:rPr>
        <w:t>،</w:t>
      </w:r>
      <w:r w:rsidRPr="006571AC">
        <w:rPr>
          <w:rFonts w:ascii="Arial" w:hAnsi="Arial"/>
          <w:sz w:val="27"/>
          <w:rtl/>
        </w:rPr>
        <w:t xml:space="preserve"> وأضف</w:t>
      </w:r>
      <w:r w:rsidR="005D174D" w:rsidRPr="006571AC">
        <w:rPr>
          <w:rFonts w:ascii="Arial" w:hAnsi="Arial" w:hint="cs"/>
          <w:sz w:val="27"/>
          <w:rtl/>
        </w:rPr>
        <w:t>َ</w:t>
      </w:r>
      <w:r w:rsidR="007726A9" w:rsidRPr="006571AC">
        <w:rPr>
          <w:rFonts w:ascii="Arial" w:hAnsi="Arial" w:hint="cs"/>
          <w:sz w:val="27"/>
          <w:rtl/>
        </w:rPr>
        <w:t>ي</w:t>
      </w:r>
      <w:r w:rsidR="005D174D" w:rsidRPr="006571AC">
        <w:rPr>
          <w:rFonts w:ascii="Arial" w:hAnsi="Arial" w:hint="cs"/>
          <w:sz w:val="27"/>
          <w:rtl/>
        </w:rPr>
        <w:t>ْ</w:t>
      </w:r>
      <w:r w:rsidRPr="006571AC">
        <w:rPr>
          <w:rFonts w:ascii="Arial" w:hAnsi="Arial"/>
          <w:sz w:val="27"/>
          <w:rtl/>
        </w:rPr>
        <w:t>نا عليه غطاءً شرعي</w:t>
      </w:r>
      <w:r w:rsidR="007726A9" w:rsidRPr="006571AC">
        <w:rPr>
          <w:rFonts w:ascii="Arial" w:hAnsi="Arial" w:hint="cs"/>
          <w:sz w:val="27"/>
          <w:rtl/>
        </w:rPr>
        <w:t>ّ</w:t>
      </w:r>
      <w:r w:rsidRPr="006571AC">
        <w:rPr>
          <w:rFonts w:ascii="Arial" w:hAnsi="Arial"/>
          <w:sz w:val="27"/>
          <w:rtl/>
        </w:rPr>
        <w:t>اً</w:t>
      </w:r>
      <w:r w:rsidRPr="006571AC">
        <w:rPr>
          <w:rFonts w:ascii="Arial" w:hAnsi="Arial" w:hint="cs"/>
          <w:sz w:val="27"/>
          <w:rtl/>
        </w:rPr>
        <w:t>. وعليه</w:t>
      </w:r>
      <w:r w:rsidR="007726A9" w:rsidRPr="006571AC">
        <w:rPr>
          <w:rFonts w:ascii="Arial" w:hAnsi="Arial" w:hint="cs"/>
          <w:sz w:val="27"/>
          <w:rtl/>
        </w:rPr>
        <w:t>،</w:t>
      </w:r>
      <w:r w:rsidRPr="006571AC">
        <w:rPr>
          <w:rFonts w:ascii="Arial" w:hAnsi="Arial" w:hint="cs"/>
          <w:sz w:val="27"/>
          <w:rtl/>
        </w:rPr>
        <w:t xml:space="preserve"> لا مبر</w:t>
      </w:r>
      <w:r w:rsidR="007726A9" w:rsidRPr="006571AC">
        <w:rPr>
          <w:rFonts w:ascii="Arial" w:hAnsi="Arial" w:hint="cs"/>
          <w:sz w:val="27"/>
          <w:rtl/>
        </w:rPr>
        <w:t>ِّ</w:t>
      </w:r>
      <w:r w:rsidRPr="006571AC">
        <w:rPr>
          <w:rFonts w:ascii="Arial" w:hAnsi="Arial" w:hint="cs"/>
          <w:sz w:val="27"/>
          <w:rtl/>
        </w:rPr>
        <w:t xml:space="preserve">ر لهذه التوسعة في القاعدة لصورة </w:t>
      </w:r>
      <w:r w:rsidRPr="006571AC">
        <w:rPr>
          <w:rFonts w:ascii="Arial" w:hAnsi="Arial"/>
          <w:sz w:val="27"/>
          <w:rtl/>
        </w:rPr>
        <w:t>احتمال صدق الراوي</w:t>
      </w:r>
      <w:r w:rsidRPr="006571AC">
        <w:rPr>
          <w:rFonts w:ascii="Arial" w:hAnsi="Arial" w:hint="cs"/>
          <w:sz w:val="27"/>
          <w:rtl/>
        </w:rPr>
        <w:t xml:space="preserve"> مع كون الاحتمال ضعيف</w:t>
      </w:r>
      <w:r w:rsidRPr="006571AC">
        <w:rPr>
          <w:rFonts w:ascii="Arial" w:hAnsi="Arial"/>
          <w:sz w:val="27"/>
          <w:rtl/>
        </w:rPr>
        <w:t>اً</w:t>
      </w:r>
      <w:r w:rsidRPr="006571AC">
        <w:rPr>
          <w:rFonts w:ascii="Arial" w:hAnsi="Arial" w:hint="cs"/>
          <w:sz w:val="27"/>
          <w:rtl/>
        </w:rPr>
        <w:t xml:space="preserve">. </w:t>
      </w:r>
      <w:r w:rsidRPr="006571AC">
        <w:rPr>
          <w:rFonts w:ascii="Arial" w:hAnsi="Arial"/>
          <w:sz w:val="27"/>
          <w:rtl/>
        </w:rPr>
        <w:t>و</w:t>
      </w:r>
      <w:r w:rsidRPr="006571AC">
        <w:rPr>
          <w:rFonts w:ascii="Arial" w:hAnsi="Arial" w:hint="cs"/>
          <w:sz w:val="27"/>
          <w:rtl/>
        </w:rPr>
        <w:t>لعل</w:t>
      </w:r>
      <w:r w:rsidR="007726A9" w:rsidRPr="006571AC">
        <w:rPr>
          <w:rFonts w:ascii="Arial" w:hAnsi="Arial" w:hint="cs"/>
          <w:sz w:val="27"/>
          <w:rtl/>
        </w:rPr>
        <w:t>ّ</w:t>
      </w:r>
      <w:r w:rsidRPr="006571AC">
        <w:rPr>
          <w:rFonts w:ascii="Arial" w:hAnsi="Arial" w:hint="cs"/>
          <w:sz w:val="27"/>
          <w:rtl/>
        </w:rPr>
        <w:t xml:space="preserve">ه لأجل ذلك ذهب </w:t>
      </w:r>
      <w:r w:rsidRPr="006571AC">
        <w:rPr>
          <w:rFonts w:ascii="Arial" w:hAnsi="Arial"/>
          <w:sz w:val="27"/>
          <w:rtl/>
        </w:rPr>
        <w:t>المازندراني</w:t>
      </w:r>
      <w:r w:rsidRPr="006571AC">
        <w:rPr>
          <w:rFonts w:ascii="Arial" w:hAnsi="Arial" w:hint="cs"/>
          <w:sz w:val="27"/>
          <w:rtl/>
        </w:rPr>
        <w:t xml:space="preserve"> إلى حمل أخبار </w:t>
      </w:r>
      <w:r w:rsidRPr="001E27B5">
        <w:rPr>
          <w:rFonts w:ascii="Arial" w:hAnsi="Arial" w:hint="eastAsia"/>
          <w:sz w:val="24"/>
          <w:szCs w:val="24"/>
          <w:rtl/>
        </w:rPr>
        <w:t>«</w:t>
      </w:r>
      <w:r w:rsidRPr="006571AC">
        <w:rPr>
          <w:rFonts w:ascii="Arial" w:hAnsi="Arial" w:hint="cs"/>
          <w:sz w:val="27"/>
          <w:rtl/>
        </w:rPr>
        <w:t>م</w:t>
      </w:r>
      <w:r w:rsidR="007726A9" w:rsidRPr="006571AC">
        <w:rPr>
          <w:rFonts w:ascii="Arial" w:hAnsi="Arial" w:hint="cs"/>
          <w:sz w:val="27"/>
          <w:rtl/>
        </w:rPr>
        <w:t>َ</w:t>
      </w:r>
      <w:r w:rsidRPr="006571AC">
        <w:rPr>
          <w:rFonts w:ascii="Arial" w:hAnsi="Arial" w:hint="cs"/>
          <w:sz w:val="27"/>
          <w:rtl/>
        </w:rPr>
        <w:t>ن</w:t>
      </w:r>
      <w:r w:rsidR="007726A9" w:rsidRPr="006571AC">
        <w:rPr>
          <w:rFonts w:ascii="Arial" w:hAnsi="Arial" w:hint="cs"/>
          <w:sz w:val="27"/>
          <w:rtl/>
        </w:rPr>
        <w:t>ْ</w:t>
      </w:r>
      <w:r w:rsidRPr="006571AC">
        <w:rPr>
          <w:rFonts w:ascii="Arial" w:hAnsi="Arial" w:hint="cs"/>
          <w:sz w:val="27"/>
          <w:rtl/>
        </w:rPr>
        <w:t xml:space="preserve"> بلغ</w:t>
      </w:r>
      <w:r w:rsidRPr="001E27B5">
        <w:rPr>
          <w:rFonts w:ascii="Arial" w:hAnsi="Arial" w:hint="eastAsia"/>
          <w:sz w:val="24"/>
          <w:szCs w:val="24"/>
          <w:rtl/>
        </w:rPr>
        <w:t>»</w:t>
      </w:r>
      <w:r w:rsidRPr="006571AC">
        <w:rPr>
          <w:rFonts w:ascii="Arial" w:hAnsi="Arial" w:hint="cs"/>
          <w:sz w:val="27"/>
          <w:rtl/>
        </w:rPr>
        <w:t xml:space="preserve"> على صورة ظن</w:t>
      </w:r>
      <w:r w:rsidR="007726A9" w:rsidRPr="006571AC">
        <w:rPr>
          <w:rFonts w:ascii="Arial" w:hAnsi="Arial" w:hint="cs"/>
          <w:sz w:val="27"/>
          <w:rtl/>
        </w:rPr>
        <w:t>ّ</w:t>
      </w:r>
      <w:r w:rsidRPr="006571AC">
        <w:rPr>
          <w:rFonts w:ascii="Arial" w:hAnsi="Arial" w:hint="cs"/>
          <w:sz w:val="27"/>
          <w:rtl/>
        </w:rPr>
        <w:t xml:space="preserve"> السامع صدق الخبر، قال</w:t>
      </w:r>
      <w:r w:rsidRPr="006571AC">
        <w:rPr>
          <w:rFonts w:ascii="Arial" w:hAnsi="Arial"/>
          <w:sz w:val="27"/>
          <w:rtl/>
        </w:rPr>
        <w:t xml:space="preserve">: </w:t>
      </w:r>
      <w:r w:rsidRPr="001E27B5">
        <w:rPr>
          <w:rFonts w:ascii="Arial" w:hAnsi="Arial" w:hint="eastAsia"/>
          <w:sz w:val="24"/>
          <w:szCs w:val="24"/>
          <w:rtl/>
        </w:rPr>
        <w:t>«</w:t>
      </w:r>
      <w:r w:rsidRPr="0090712C">
        <w:rPr>
          <w:rFonts w:ascii="Arial" w:hAnsi="Arial"/>
          <w:sz w:val="27"/>
          <w:rtl/>
        </w:rPr>
        <w:t>كأن</w:t>
      </w:r>
      <w:r w:rsidRPr="0090712C">
        <w:rPr>
          <w:rFonts w:ascii="Arial" w:hAnsi="Arial" w:hint="cs"/>
          <w:sz w:val="27"/>
          <w:rtl/>
        </w:rPr>
        <w:t>ّ</w:t>
      </w:r>
      <w:r w:rsidRPr="0090712C">
        <w:rPr>
          <w:rFonts w:ascii="Arial" w:hAnsi="Arial"/>
          <w:sz w:val="27"/>
          <w:rtl/>
        </w:rPr>
        <w:t xml:space="preserve"> المراد أن</w:t>
      </w:r>
      <w:r w:rsidRPr="0090712C">
        <w:rPr>
          <w:rFonts w:ascii="Arial" w:hAnsi="Arial" w:hint="cs"/>
          <w:sz w:val="27"/>
          <w:rtl/>
        </w:rPr>
        <w:t>ّ</w:t>
      </w:r>
      <w:r w:rsidRPr="0090712C">
        <w:rPr>
          <w:rFonts w:ascii="Arial" w:hAnsi="Arial"/>
          <w:sz w:val="27"/>
          <w:rtl/>
        </w:rPr>
        <w:t xml:space="preserve"> م</w:t>
      </w:r>
      <w:r w:rsidR="007726A9" w:rsidRPr="0090712C">
        <w:rPr>
          <w:rFonts w:ascii="Arial" w:hAnsi="Arial" w:hint="cs"/>
          <w:sz w:val="27"/>
          <w:rtl/>
        </w:rPr>
        <w:t>َ</w:t>
      </w:r>
      <w:r w:rsidRPr="0090712C">
        <w:rPr>
          <w:rFonts w:ascii="Arial" w:hAnsi="Arial"/>
          <w:sz w:val="27"/>
          <w:rtl/>
        </w:rPr>
        <w:t>ن</w:t>
      </w:r>
      <w:r w:rsidR="007726A9" w:rsidRPr="0090712C">
        <w:rPr>
          <w:rFonts w:ascii="Arial" w:hAnsi="Arial" w:hint="cs"/>
          <w:sz w:val="27"/>
          <w:rtl/>
        </w:rPr>
        <w:t>ْ</w:t>
      </w:r>
      <w:r w:rsidRPr="0090712C">
        <w:rPr>
          <w:rFonts w:ascii="Arial" w:hAnsi="Arial"/>
          <w:sz w:val="27"/>
          <w:rtl/>
        </w:rPr>
        <w:t xml:space="preserve"> سمع رواية</w:t>
      </w:r>
      <w:r w:rsidR="007726A9" w:rsidRPr="0090712C">
        <w:rPr>
          <w:rFonts w:ascii="Arial" w:hAnsi="Arial" w:hint="cs"/>
          <w:sz w:val="27"/>
          <w:rtl/>
        </w:rPr>
        <w:t>ً</w:t>
      </w:r>
      <w:r w:rsidRPr="0090712C">
        <w:rPr>
          <w:rFonts w:ascii="Arial" w:hAnsi="Arial"/>
          <w:sz w:val="27"/>
          <w:rtl/>
        </w:rPr>
        <w:t xml:space="preserve"> صادق</w:t>
      </w:r>
      <w:r w:rsidRPr="0090712C">
        <w:rPr>
          <w:rFonts w:ascii="Arial" w:hAnsi="Arial" w:hint="cs"/>
          <w:sz w:val="27"/>
          <w:rtl/>
        </w:rPr>
        <w:t>ة</w:t>
      </w:r>
      <w:r w:rsidRPr="0090712C">
        <w:rPr>
          <w:rFonts w:ascii="Arial" w:hAnsi="Arial"/>
          <w:sz w:val="27"/>
          <w:rtl/>
        </w:rPr>
        <w:t xml:space="preserve"> بح</w:t>
      </w:r>
      <w:r w:rsidR="007726A9" w:rsidRPr="0090712C">
        <w:rPr>
          <w:rFonts w:ascii="Arial" w:hAnsi="Arial" w:hint="cs"/>
          <w:sz w:val="27"/>
          <w:rtl/>
        </w:rPr>
        <w:t>َ</w:t>
      </w:r>
      <w:r w:rsidRPr="0090712C">
        <w:rPr>
          <w:rFonts w:ascii="Arial" w:hAnsi="Arial"/>
          <w:sz w:val="27"/>
          <w:rtl/>
        </w:rPr>
        <w:t>س</w:t>
      </w:r>
      <w:r w:rsidR="007726A9" w:rsidRPr="0090712C">
        <w:rPr>
          <w:rFonts w:ascii="Arial" w:hAnsi="Arial" w:hint="cs"/>
          <w:sz w:val="27"/>
          <w:rtl/>
        </w:rPr>
        <w:t>َ</w:t>
      </w:r>
      <w:r w:rsidRPr="0090712C">
        <w:rPr>
          <w:rFonts w:ascii="Arial" w:hAnsi="Arial"/>
          <w:sz w:val="27"/>
          <w:rtl/>
        </w:rPr>
        <w:t>ب ظن</w:t>
      </w:r>
      <w:r w:rsidR="007726A9" w:rsidRPr="0090712C">
        <w:rPr>
          <w:rFonts w:ascii="Arial" w:hAnsi="Arial" w:hint="cs"/>
          <w:sz w:val="27"/>
          <w:rtl/>
        </w:rPr>
        <w:t>ِّ</w:t>
      </w:r>
      <w:r w:rsidRPr="0090712C">
        <w:rPr>
          <w:rFonts w:ascii="Arial" w:hAnsi="Arial"/>
          <w:sz w:val="27"/>
          <w:rtl/>
        </w:rPr>
        <w:t>ه</w:t>
      </w:r>
      <w:r w:rsidR="007726A9" w:rsidRPr="0090712C">
        <w:rPr>
          <w:rFonts w:ascii="Arial" w:hAnsi="Arial" w:hint="cs"/>
          <w:sz w:val="27"/>
          <w:rtl/>
        </w:rPr>
        <w:t>،</w:t>
      </w:r>
      <w:r w:rsidRPr="0090712C">
        <w:rPr>
          <w:rFonts w:ascii="Arial" w:hAnsi="Arial"/>
          <w:sz w:val="27"/>
          <w:rtl/>
        </w:rPr>
        <w:t xml:space="preserve"> دال</w:t>
      </w:r>
      <w:r w:rsidR="007726A9" w:rsidRPr="0090712C">
        <w:rPr>
          <w:rFonts w:ascii="Arial" w:hAnsi="Arial" w:hint="cs"/>
          <w:sz w:val="27"/>
          <w:rtl/>
        </w:rPr>
        <w:t>ّ</w:t>
      </w:r>
      <w:r w:rsidRPr="0090712C">
        <w:rPr>
          <w:rFonts w:ascii="Arial" w:hAnsi="Arial"/>
          <w:sz w:val="27"/>
          <w:rtl/>
        </w:rPr>
        <w:t>ة</w:t>
      </w:r>
      <w:r w:rsidR="007726A9" w:rsidRPr="0090712C">
        <w:rPr>
          <w:rFonts w:ascii="Arial" w:hAnsi="Arial" w:hint="cs"/>
          <w:sz w:val="27"/>
          <w:rtl/>
        </w:rPr>
        <w:t>ً</w:t>
      </w:r>
      <w:r w:rsidRPr="0090712C">
        <w:rPr>
          <w:rFonts w:ascii="Arial" w:hAnsi="Arial"/>
          <w:sz w:val="27"/>
          <w:rtl/>
        </w:rPr>
        <w:t xml:space="preserve"> على الثواب المترت</w:t>
      </w:r>
      <w:r w:rsidR="007726A9" w:rsidRPr="0090712C">
        <w:rPr>
          <w:rFonts w:ascii="Arial" w:hAnsi="Arial" w:hint="cs"/>
          <w:sz w:val="27"/>
          <w:rtl/>
        </w:rPr>
        <w:t>ِّ</w:t>
      </w:r>
      <w:r w:rsidRPr="0090712C">
        <w:rPr>
          <w:rFonts w:ascii="Arial" w:hAnsi="Arial"/>
          <w:sz w:val="27"/>
          <w:rtl/>
        </w:rPr>
        <w:t>ب على فعل شيء</w:t>
      </w:r>
      <w:r w:rsidR="007726A9" w:rsidRPr="0090712C">
        <w:rPr>
          <w:rFonts w:ascii="Arial" w:hAnsi="Arial" w:hint="cs"/>
          <w:sz w:val="27"/>
          <w:rtl/>
        </w:rPr>
        <w:t>ٍ</w:t>
      </w:r>
      <w:r w:rsidRPr="0090712C">
        <w:rPr>
          <w:rFonts w:ascii="Arial" w:hAnsi="Arial"/>
          <w:sz w:val="27"/>
          <w:rtl/>
        </w:rPr>
        <w:t xml:space="preserve"> أو تركه</w:t>
      </w:r>
      <w:r w:rsidR="007726A9" w:rsidRPr="0090712C">
        <w:rPr>
          <w:rFonts w:ascii="Arial" w:hAnsi="Arial" w:hint="cs"/>
          <w:sz w:val="27"/>
          <w:rtl/>
        </w:rPr>
        <w:t>،</w:t>
      </w:r>
      <w:r w:rsidRPr="0090712C">
        <w:rPr>
          <w:rFonts w:ascii="Arial" w:hAnsi="Arial"/>
          <w:sz w:val="27"/>
          <w:rtl/>
        </w:rPr>
        <w:t xml:space="preserve"> فصنع ذلك الشيء وأتى به</w:t>
      </w:r>
      <w:r w:rsidR="007726A9" w:rsidRPr="0090712C">
        <w:rPr>
          <w:rFonts w:ascii="Arial" w:hAnsi="Arial" w:hint="cs"/>
          <w:sz w:val="27"/>
          <w:rtl/>
        </w:rPr>
        <w:t>؛</w:t>
      </w:r>
      <w:r w:rsidRPr="0090712C">
        <w:rPr>
          <w:rFonts w:ascii="Arial" w:hAnsi="Arial"/>
          <w:sz w:val="27"/>
          <w:rtl/>
        </w:rPr>
        <w:t xml:space="preserve"> طلباً لذلك الثواب</w:t>
      </w:r>
      <w:r w:rsidR="007726A9" w:rsidRPr="0090712C">
        <w:rPr>
          <w:rFonts w:ascii="Arial" w:hAnsi="Arial" w:hint="cs"/>
          <w:sz w:val="27"/>
          <w:rtl/>
        </w:rPr>
        <w:t>،</w:t>
      </w:r>
      <w:r w:rsidRPr="0090712C">
        <w:rPr>
          <w:rFonts w:ascii="Arial" w:hAnsi="Arial"/>
          <w:sz w:val="27"/>
          <w:rtl/>
        </w:rPr>
        <w:t xml:space="preserve"> كان له أجر ذلك الشيء</w:t>
      </w:r>
      <w:r w:rsidR="007726A9" w:rsidRPr="0090712C">
        <w:rPr>
          <w:rFonts w:ascii="Arial" w:hAnsi="Arial" w:hint="cs"/>
          <w:sz w:val="27"/>
          <w:rtl/>
        </w:rPr>
        <w:t>،</w:t>
      </w:r>
      <w:r w:rsidRPr="0090712C">
        <w:rPr>
          <w:rFonts w:ascii="Arial" w:hAnsi="Arial"/>
          <w:sz w:val="27"/>
          <w:rtl/>
        </w:rPr>
        <w:t xml:space="preserve"> و</w:t>
      </w:r>
      <w:r w:rsidR="007726A9" w:rsidRPr="0090712C">
        <w:rPr>
          <w:rFonts w:ascii="Arial" w:hAnsi="Arial" w:hint="cs"/>
          <w:sz w:val="27"/>
          <w:rtl/>
        </w:rPr>
        <w:t>إ</w:t>
      </w:r>
      <w:r w:rsidRPr="0090712C">
        <w:rPr>
          <w:rFonts w:ascii="Arial" w:hAnsi="Arial"/>
          <w:sz w:val="27"/>
          <w:rtl/>
        </w:rPr>
        <w:t>ن</w:t>
      </w:r>
      <w:r w:rsidR="007726A9" w:rsidRPr="0090712C">
        <w:rPr>
          <w:rFonts w:ascii="Arial" w:hAnsi="Arial" w:hint="cs"/>
          <w:sz w:val="27"/>
          <w:rtl/>
        </w:rPr>
        <w:t>ْ</w:t>
      </w:r>
      <w:r w:rsidRPr="0090712C">
        <w:rPr>
          <w:rFonts w:ascii="Arial" w:hAnsi="Arial"/>
          <w:sz w:val="27"/>
          <w:rtl/>
        </w:rPr>
        <w:t xml:space="preserve"> لم يكن المسموع على ما بلغه</w:t>
      </w:r>
      <w:r w:rsidRPr="001E27B5">
        <w:rPr>
          <w:rFonts w:ascii="Arial" w:hAnsi="Arial" w:hint="eastAsia"/>
          <w:sz w:val="24"/>
          <w:szCs w:val="24"/>
          <w:rtl/>
        </w:rPr>
        <w:t>»</w:t>
      </w:r>
      <w:r w:rsidRPr="001E27B5">
        <w:rPr>
          <w:rFonts w:ascii="Arial" w:hAnsi="Arial"/>
          <w:sz w:val="27"/>
          <w:vertAlign w:val="superscript"/>
          <w:rtl/>
        </w:rPr>
        <w:t>(</w:t>
      </w:r>
      <w:r w:rsidRPr="001E27B5">
        <w:rPr>
          <w:rFonts w:ascii="Arial" w:hAnsi="Arial"/>
          <w:sz w:val="27"/>
          <w:vertAlign w:val="superscript"/>
          <w:rtl/>
        </w:rPr>
        <w:endnoteReference w:id="679"/>
      </w:r>
      <w:r w:rsidRPr="001E27B5">
        <w:rPr>
          <w:rFonts w:ascii="Arial" w:hAnsi="Arial"/>
          <w:sz w:val="27"/>
          <w:vertAlign w:val="superscript"/>
          <w:rtl/>
        </w:rPr>
        <w:t>)</w:t>
      </w:r>
      <w:r w:rsidRPr="0090712C">
        <w:rPr>
          <w:rFonts w:ascii="Arial" w:hAnsi="Arial"/>
          <w:sz w:val="27"/>
          <w:rtl/>
        </w:rPr>
        <w:t xml:space="preserve">. </w:t>
      </w:r>
    </w:p>
    <w:p w:rsidR="009B65D5" w:rsidRPr="006571AC" w:rsidRDefault="009B65D5" w:rsidP="001E27B5">
      <w:pPr>
        <w:rPr>
          <w:rFonts w:ascii="Arial" w:hAnsi="Arial"/>
          <w:sz w:val="27"/>
          <w:rtl/>
        </w:rPr>
      </w:pPr>
      <w:r w:rsidRPr="006571AC">
        <w:rPr>
          <w:rFonts w:ascii="Arial" w:hAnsi="Arial" w:hint="cs"/>
          <w:sz w:val="27"/>
          <w:rtl/>
        </w:rPr>
        <w:t>وأما ما قد يذكر من أن البلوغ لا يصدق إلا</w:t>
      </w:r>
      <w:r w:rsidR="007726A9" w:rsidRPr="006571AC">
        <w:rPr>
          <w:rFonts w:ascii="Arial" w:hAnsi="Arial" w:hint="cs"/>
          <w:sz w:val="27"/>
          <w:rtl/>
        </w:rPr>
        <w:t>ّ</w:t>
      </w:r>
      <w:r w:rsidRPr="006571AC">
        <w:rPr>
          <w:rFonts w:ascii="Arial" w:hAnsi="Arial" w:hint="cs"/>
          <w:sz w:val="27"/>
          <w:rtl/>
        </w:rPr>
        <w:t xml:space="preserve"> على الوصول من خلال الطريق المعتبر</w:t>
      </w:r>
      <w:r w:rsidR="007726A9" w:rsidRPr="006571AC">
        <w:rPr>
          <w:rFonts w:ascii="Arial" w:hAnsi="Arial" w:hint="cs"/>
          <w:sz w:val="27"/>
          <w:rtl/>
        </w:rPr>
        <w:t xml:space="preserve">؛ </w:t>
      </w:r>
      <w:r w:rsidRPr="006571AC">
        <w:rPr>
          <w:rFonts w:ascii="Arial" w:hAnsi="Arial" w:hint="cs"/>
          <w:sz w:val="27"/>
          <w:rtl/>
        </w:rPr>
        <w:t>ويشهد بذلك كلمة البلوغ في اللغة</w:t>
      </w:r>
      <w:r w:rsidR="007726A9" w:rsidRPr="006571AC">
        <w:rPr>
          <w:rFonts w:ascii="Arial" w:hAnsi="Arial" w:hint="cs"/>
          <w:sz w:val="27"/>
          <w:rtl/>
        </w:rPr>
        <w:t>؛</w:t>
      </w:r>
      <w:r w:rsidRPr="006571AC">
        <w:rPr>
          <w:rFonts w:ascii="Arial" w:hAnsi="Arial" w:hint="cs"/>
          <w:sz w:val="27"/>
          <w:rtl/>
        </w:rPr>
        <w:t xml:space="preserve"> فإنها بمعنى وصول الشيء إلى الغاية أو المشارفة على ذلك، كما ذكر الراغب ال</w:t>
      </w:r>
      <w:r w:rsidR="007726A9" w:rsidRPr="006571AC">
        <w:rPr>
          <w:rFonts w:ascii="Arial" w:hAnsi="Arial" w:hint="cs"/>
          <w:sz w:val="27"/>
          <w:rtl/>
        </w:rPr>
        <w:t>إ</w:t>
      </w:r>
      <w:r w:rsidRPr="006571AC">
        <w:rPr>
          <w:rFonts w:ascii="Arial" w:hAnsi="Arial" w:hint="cs"/>
          <w:sz w:val="27"/>
          <w:rtl/>
        </w:rPr>
        <w:t>صفهاني</w:t>
      </w:r>
      <w:r w:rsidRPr="000A006F">
        <w:rPr>
          <w:rFonts w:ascii="Arial" w:hAnsi="Arial"/>
          <w:sz w:val="27"/>
          <w:vertAlign w:val="superscript"/>
          <w:rtl/>
        </w:rPr>
        <w:t>(</w:t>
      </w:r>
      <w:r w:rsidRPr="000A006F">
        <w:rPr>
          <w:rFonts w:ascii="Arial" w:hAnsi="Arial"/>
          <w:sz w:val="27"/>
          <w:vertAlign w:val="superscript"/>
          <w:rtl/>
        </w:rPr>
        <w:endnoteReference w:id="680"/>
      </w:r>
      <w:r w:rsidRPr="000A006F">
        <w:rPr>
          <w:rFonts w:ascii="Arial" w:hAnsi="Arial"/>
          <w:sz w:val="27"/>
          <w:vertAlign w:val="superscript"/>
          <w:rtl/>
        </w:rPr>
        <w:t>)</w:t>
      </w:r>
      <w:r w:rsidRPr="006571AC">
        <w:rPr>
          <w:rFonts w:ascii="Arial" w:hAnsi="Arial" w:hint="cs"/>
          <w:sz w:val="27"/>
          <w:rtl/>
        </w:rPr>
        <w:t>، وعليه فالخبر إذا لم يص</w:t>
      </w:r>
      <w:r w:rsidR="007726A9" w:rsidRPr="006571AC">
        <w:rPr>
          <w:rFonts w:ascii="Arial" w:hAnsi="Arial" w:hint="cs"/>
          <w:sz w:val="27"/>
          <w:rtl/>
        </w:rPr>
        <w:t>ِلْ</w:t>
      </w:r>
      <w:r w:rsidRPr="006571AC">
        <w:rPr>
          <w:rFonts w:ascii="Arial" w:hAnsi="Arial" w:hint="cs"/>
          <w:sz w:val="27"/>
          <w:rtl/>
        </w:rPr>
        <w:t xml:space="preserve"> بطريق</w:t>
      </w:r>
      <w:r w:rsidR="007726A9" w:rsidRPr="006571AC">
        <w:rPr>
          <w:rFonts w:ascii="Arial" w:hAnsi="Arial" w:hint="cs"/>
          <w:sz w:val="27"/>
          <w:rtl/>
        </w:rPr>
        <w:t>ٍ</w:t>
      </w:r>
      <w:r w:rsidRPr="006571AC">
        <w:rPr>
          <w:rFonts w:ascii="Arial" w:hAnsi="Arial" w:hint="cs"/>
          <w:sz w:val="27"/>
          <w:rtl/>
        </w:rPr>
        <w:t xml:space="preserve"> معتبر فلا يصدق عليه البلوغ</w:t>
      </w:r>
      <w:r w:rsidR="007726A9" w:rsidRPr="006571AC">
        <w:rPr>
          <w:rFonts w:ascii="Arial" w:hAnsi="Arial" w:hint="cs"/>
          <w:sz w:val="27"/>
          <w:rtl/>
        </w:rPr>
        <w:t>،</w:t>
      </w:r>
      <w:r w:rsidRPr="006571AC">
        <w:rPr>
          <w:rFonts w:ascii="Arial" w:hAnsi="Arial" w:hint="cs"/>
          <w:sz w:val="27"/>
          <w:rtl/>
        </w:rPr>
        <w:t xml:space="preserve"> فهو ضعيف</w:t>
      </w:r>
      <w:r w:rsidR="007726A9" w:rsidRPr="006571AC">
        <w:rPr>
          <w:rFonts w:ascii="Arial" w:hAnsi="Arial" w:hint="cs"/>
          <w:sz w:val="27"/>
          <w:rtl/>
        </w:rPr>
        <w:t>ٌ</w:t>
      </w:r>
      <w:r w:rsidRPr="006571AC">
        <w:rPr>
          <w:rFonts w:ascii="Arial" w:hAnsi="Arial" w:hint="cs"/>
          <w:sz w:val="27"/>
          <w:rtl/>
        </w:rPr>
        <w:t xml:space="preserve"> ومردود</w:t>
      </w:r>
      <w:r w:rsidR="007726A9" w:rsidRPr="006571AC">
        <w:rPr>
          <w:rFonts w:ascii="Arial" w:hAnsi="Arial" w:hint="cs"/>
          <w:sz w:val="27"/>
          <w:rtl/>
        </w:rPr>
        <w:t>ٌ؛</w:t>
      </w:r>
      <w:r w:rsidRPr="006571AC">
        <w:rPr>
          <w:rFonts w:ascii="Arial" w:hAnsi="Arial" w:hint="cs"/>
          <w:sz w:val="27"/>
          <w:rtl/>
        </w:rPr>
        <w:t xml:space="preserve"> لأنّ: </w:t>
      </w:r>
    </w:p>
    <w:p w:rsidR="009B65D5" w:rsidRPr="006571AC" w:rsidRDefault="009B65D5" w:rsidP="000A006F">
      <w:pPr>
        <w:rPr>
          <w:rFonts w:ascii="Arial" w:hAnsi="Arial"/>
          <w:sz w:val="27"/>
        </w:rPr>
      </w:pPr>
      <w:r w:rsidRPr="006571AC">
        <w:rPr>
          <w:rFonts w:ascii="Arial" w:hAnsi="Arial" w:hint="cs"/>
          <w:sz w:val="27"/>
          <w:rtl/>
        </w:rPr>
        <w:t>أـ البلوغ يصدق على الخبر الضعيف الظن</w:t>
      </w:r>
      <w:r w:rsidR="007726A9" w:rsidRPr="006571AC">
        <w:rPr>
          <w:rFonts w:ascii="Arial" w:hAnsi="Arial" w:hint="cs"/>
          <w:sz w:val="27"/>
          <w:rtl/>
        </w:rPr>
        <w:t>ّ</w:t>
      </w:r>
      <w:r w:rsidRPr="006571AC">
        <w:rPr>
          <w:rFonts w:ascii="Arial" w:hAnsi="Arial" w:hint="cs"/>
          <w:sz w:val="27"/>
          <w:rtl/>
        </w:rPr>
        <w:t>ي كما يصدق على الخبر الصحيح</w:t>
      </w:r>
      <w:r w:rsidR="00085F4A" w:rsidRPr="006571AC">
        <w:rPr>
          <w:rFonts w:ascii="Arial" w:hAnsi="Arial" w:hint="cs"/>
          <w:sz w:val="27"/>
          <w:rtl/>
        </w:rPr>
        <w:t>؛</w:t>
      </w:r>
      <w:r w:rsidRPr="006571AC">
        <w:rPr>
          <w:rFonts w:ascii="Arial" w:hAnsi="Arial" w:hint="cs"/>
          <w:sz w:val="27"/>
          <w:rtl/>
        </w:rPr>
        <w:t xml:space="preserve"> ألا ترى أننا نقول</w:t>
      </w:r>
      <w:r w:rsidR="00085F4A" w:rsidRPr="006571AC">
        <w:rPr>
          <w:rFonts w:ascii="Arial" w:hAnsi="Arial" w:hint="cs"/>
          <w:sz w:val="27"/>
          <w:rtl/>
        </w:rPr>
        <w:t>:</w:t>
      </w:r>
      <w:r w:rsidRPr="006571AC">
        <w:rPr>
          <w:rFonts w:ascii="Arial" w:hAnsi="Arial" w:hint="cs"/>
          <w:sz w:val="27"/>
          <w:rtl/>
        </w:rPr>
        <w:t xml:space="preserve"> بلغني كلام</w:t>
      </w:r>
      <w:r w:rsidR="00085F4A" w:rsidRPr="006571AC">
        <w:rPr>
          <w:rFonts w:ascii="Arial" w:hAnsi="Arial" w:hint="cs"/>
          <w:sz w:val="27"/>
          <w:rtl/>
        </w:rPr>
        <w:t>ٌ</w:t>
      </w:r>
      <w:r w:rsidRPr="006571AC">
        <w:rPr>
          <w:rFonts w:ascii="Arial" w:hAnsi="Arial" w:hint="cs"/>
          <w:sz w:val="27"/>
          <w:rtl/>
        </w:rPr>
        <w:t xml:space="preserve"> أو خبر</w:t>
      </w:r>
      <w:r w:rsidR="00085F4A" w:rsidRPr="006571AC">
        <w:rPr>
          <w:rFonts w:ascii="Arial" w:hAnsi="Arial" w:hint="cs"/>
          <w:sz w:val="27"/>
          <w:rtl/>
        </w:rPr>
        <w:t>ٌ</w:t>
      </w:r>
      <w:r w:rsidRPr="006571AC">
        <w:rPr>
          <w:rFonts w:ascii="Arial" w:hAnsi="Arial" w:hint="cs"/>
          <w:sz w:val="27"/>
          <w:rtl/>
        </w:rPr>
        <w:t xml:space="preserve"> كاذب</w:t>
      </w:r>
      <w:r w:rsidR="00085F4A" w:rsidRPr="006571AC">
        <w:rPr>
          <w:rFonts w:ascii="Arial" w:hAnsi="Arial" w:hint="cs"/>
          <w:sz w:val="27"/>
          <w:rtl/>
        </w:rPr>
        <w:t>.</w:t>
      </w:r>
      <w:r w:rsidRPr="006571AC">
        <w:rPr>
          <w:rFonts w:ascii="Arial" w:hAnsi="Arial" w:hint="cs"/>
          <w:sz w:val="27"/>
          <w:rtl/>
        </w:rPr>
        <w:t xml:space="preserve"> وحيثية</w:t>
      </w:r>
      <w:r w:rsidR="00085F4A" w:rsidRPr="006571AC">
        <w:rPr>
          <w:rFonts w:ascii="Arial" w:hAnsi="Arial" w:hint="cs"/>
          <w:sz w:val="27"/>
          <w:rtl/>
        </w:rPr>
        <w:t>ُ</w:t>
      </w:r>
      <w:r w:rsidRPr="006571AC">
        <w:rPr>
          <w:rFonts w:ascii="Arial" w:hAnsi="Arial" w:hint="cs"/>
          <w:sz w:val="27"/>
          <w:rtl/>
        </w:rPr>
        <w:t xml:space="preserve"> وصول الشيء إلى منتهاه لو فرض دخالتها في مفهوم البلوغ</w:t>
      </w:r>
      <w:r w:rsidR="00085F4A" w:rsidRPr="006571AC">
        <w:rPr>
          <w:rFonts w:ascii="Arial" w:hAnsi="Arial" w:hint="cs"/>
          <w:sz w:val="27"/>
          <w:rtl/>
        </w:rPr>
        <w:t>،</w:t>
      </w:r>
      <w:r w:rsidRPr="006571AC">
        <w:rPr>
          <w:rFonts w:ascii="Arial" w:hAnsi="Arial" w:hint="cs"/>
          <w:sz w:val="27"/>
          <w:rtl/>
        </w:rPr>
        <w:t xml:space="preserve"> لغة</w:t>
      </w:r>
      <w:r w:rsidR="00085F4A" w:rsidRPr="006571AC">
        <w:rPr>
          <w:rFonts w:ascii="Arial" w:hAnsi="Arial" w:hint="cs"/>
          <w:sz w:val="27"/>
          <w:rtl/>
        </w:rPr>
        <w:t>ً</w:t>
      </w:r>
      <w:r w:rsidRPr="006571AC">
        <w:rPr>
          <w:rFonts w:ascii="Arial" w:hAnsi="Arial" w:hint="cs"/>
          <w:sz w:val="27"/>
          <w:rtl/>
        </w:rPr>
        <w:t xml:space="preserve"> أو ع</w:t>
      </w:r>
      <w:r w:rsidR="00085F4A" w:rsidRPr="006571AC">
        <w:rPr>
          <w:rFonts w:ascii="Arial" w:hAnsi="Arial" w:hint="cs"/>
          <w:sz w:val="27"/>
          <w:rtl/>
        </w:rPr>
        <w:t>ُ</w:t>
      </w:r>
      <w:r w:rsidRPr="006571AC">
        <w:rPr>
          <w:rFonts w:ascii="Arial" w:hAnsi="Arial" w:hint="cs"/>
          <w:sz w:val="27"/>
          <w:rtl/>
        </w:rPr>
        <w:t>ر</w:t>
      </w:r>
      <w:r w:rsidR="00085F4A" w:rsidRPr="006571AC">
        <w:rPr>
          <w:rFonts w:ascii="Arial" w:hAnsi="Arial" w:hint="cs"/>
          <w:sz w:val="27"/>
          <w:rtl/>
        </w:rPr>
        <w:t>ْ</w:t>
      </w:r>
      <w:r w:rsidRPr="006571AC">
        <w:rPr>
          <w:rFonts w:ascii="Arial" w:hAnsi="Arial" w:hint="cs"/>
          <w:sz w:val="27"/>
          <w:rtl/>
        </w:rPr>
        <w:t>فاً</w:t>
      </w:r>
      <w:r w:rsidR="00085F4A" w:rsidRPr="006571AC">
        <w:rPr>
          <w:rFonts w:ascii="Arial" w:hAnsi="Arial" w:hint="cs"/>
          <w:sz w:val="27"/>
          <w:rtl/>
        </w:rPr>
        <w:t>،</w:t>
      </w:r>
      <w:r w:rsidRPr="006571AC">
        <w:rPr>
          <w:rFonts w:ascii="Arial" w:hAnsi="Arial" w:hint="cs"/>
          <w:sz w:val="27"/>
          <w:rtl/>
        </w:rPr>
        <w:t xml:space="preserve"> لا تمنع من صدق البلوغ على الخبر الضعيف، فالخبر الصحيح يبلغ ويصل إلى منتهاه</w:t>
      </w:r>
      <w:r w:rsidR="00085F4A" w:rsidRPr="006571AC">
        <w:rPr>
          <w:rFonts w:ascii="Arial" w:hAnsi="Arial" w:hint="cs"/>
          <w:sz w:val="27"/>
          <w:rtl/>
        </w:rPr>
        <w:t>،</w:t>
      </w:r>
      <w:r w:rsidRPr="006571AC">
        <w:rPr>
          <w:rFonts w:ascii="Arial" w:hAnsi="Arial" w:hint="cs"/>
          <w:sz w:val="27"/>
          <w:rtl/>
        </w:rPr>
        <w:t xml:space="preserve"> وكذلك الخبر الضعيف. </w:t>
      </w:r>
    </w:p>
    <w:p w:rsidR="009B65D5" w:rsidRPr="006571AC" w:rsidRDefault="009B65D5" w:rsidP="000A006F">
      <w:pPr>
        <w:rPr>
          <w:rFonts w:ascii="Arial" w:hAnsi="Arial"/>
          <w:sz w:val="27"/>
          <w:rtl/>
        </w:rPr>
      </w:pPr>
      <w:r w:rsidRPr="006571AC">
        <w:rPr>
          <w:rFonts w:ascii="Arial" w:hAnsi="Arial" w:hint="cs"/>
          <w:sz w:val="27"/>
          <w:rtl/>
        </w:rPr>
        <w:t>ب ـ ولو سل</w:t>
      </w:r>
      <w:r w:rsidR="00085F4A" w:rsidRPr="006571AC">
        <w:rPr>
          <w:rFonts w:ascii="Arial" w:hAnsi="Arial" w:hint="cs"/>
          <w:sz w:val="27"/>
          <w:rtl/>
        </w:rPr>
        <w:t>ِّ</w:t>
      </w:r>
      <w:r w:rsidRPr="006571AC">
        <w:rPr>
          <w:rFonts w:ascii="Arial" w:hAnsi="Arial" w:hint="cs"/>
          <w:sz w:val="27"/>
          <w:rtl/>
        </w:rPr>
        <w:t xml:space="preserve">م بأن المراد ببلوغ الثواب بلوغه بواسطة الخبر الصحيح فإنّ في أخبار </w:t>
      </w:r>
      <w:r w:rsidRPr="000A006F">
        <w:rPr>
          <w:rFonts w:ascii="Arial" w:hAnsi="Arial" w:hint="eastAsia"/>
          <w:sz w:val="24"/>
          <w:szCs w:val="24"/>
          <w:rtl/>
        </w:rPr>
        <w:t>«</w:t>
      </w:r>
      <w:r w:rsidRPr="006571AC">
        <w:rPr>
          <w:rFonts w:ascii="Arial" w:hAnsi="Arial" w:hint="cs"/>
          <w:sz w:val="27"/>
          <w:rtl/>
        </w:rPr>
        <w:t>م</w:t>
      </w:r>
      <w:r w:rsidR="00085F4A" w:rsidRPr="006571AC">
        <w:rPr>
          <w:rFonts w:ascii="Arial" w:hAnsi="Arial" w:hint="cs"/>
          <w:sz w:val="27"/>
          <w:rtl/>
        </w:rPr>
        <w:t>َ</w:t>
      </w:r>
      <w:r w:rsidRPr="006571AC">
        <w:rPr>
          <w:rFonts w:ascii="Arial" w:hAnsi="Arial" w:hint="cs"/>
          <w:sz w:val="27"/>
          <w:rtl/>
        </w:rPr>
        <w:t>ن</w:t>
      </w:r>
      <w:r w:rsidR="00085F4A" w:rsidRPr="006571AC">
        <w:rPr>
          <w:rFonts w:ascii="Arial" w:hAnsi="Arial" w:hint="cs"/>
          <w:sz w:val="27"/>
          <w:rtl/>
        </w:rPr>
        <w:t>ْ</w:t>
      </w:r>
      <w:r w:rsidRPr="006571AC">
        <w:rPr>
          <w:rFonts w:ascii="Arial" w:hAnsi="Arial" w:hint="cs"/>
          <w:sz w:val="27"/>
          <w:rtl/>
        </w:rPr>
        <w:t xml:space="preserve"> بلغ</w:t>
      </w:r>
      <w:r w:rsidRPr="000A006F">
        <w:rPr>
          <w:rFonts w:ascii="Arial" w:hAnsi="Arial" w:hint="eastAsia"/>
          <w:sz w:val="24"/>
          <w:szCs w:val="24"/>
          <w:rtl/>
        </w:rPr>
        <w:t>»</w:t>
      </w:r>
      <w:r w:rsidRPr="006571AC">
        <w:rPr>
          <w:rFonts w:ascii="Arial" w:hAnsi="Arial" w:hint="cs"/>
          <w:sz w:val="27"/>
          <w:rtl/>
        </w:rPr>
        <w:t xml:space="preserve"> قرينة</w:t>
      </w:r>
      <w:r w:rsidR="00085F4A" w:rsidRPr="006571AC">
        <w:rPr>
          <w:rFonts w:ascii="Arial" w:hAnsi="Arial" w:hint="cs"/>
          <w:sz w:val="27"/>
          <w:rtl/>
        </w:rPr>
        <w:t>ً</w:t>
      </w:r>
      <w:r w:rsidRPr="006571AC">
        <w:rPr>
          <w:rFonts w:ascii="Arial" w:hAnsi="Arial" w:hint="cs"/>
          <w:sz w:val="27"/>
          <w:rtl/>
        </w:rPr>
        <w:t xml:space="preserve"> تقتضي التعميم بما يشمل بلوغه بالخبر الضعيف</w:t>
      </w:r>
      <w:r w:rsidR="00085F4A" w:rsidRPr="006571AC">
        <w:rPr>
          <w:rFonts w:ascii="Arial" w:hAnsi="Arial" w:hint="cs"/>
          <w:sz w:val="27"/>
          <w:rtl/>
        </w:rPr>
        <w:t>؛</w:t>
      </w:r>
      <w:r w:rsidRPr="006571AC">
        <w:rPr>
          <w:rFonts w:ascii="Arial" w:hAnsi="Arial" w:hint="cs"/>
          <w:sz w:val="27"/>
          <w:rtl/>
        </w:rPr>
        <w:t xml:space="preserve"> والقرينة هي ما تضم</w:t>
      </w:r>
      <w:r w:rsidR="00085F4A" w:rsidRPr="006571AC">
        <w:rPr>
          <w:rFonts w:ascii="Arial" w:hAnsi="Arial" w:hint="cs"/>
          <w:sz w:val="27"/>
          <w:rtl/>
        </w:rPr>
        <w:t>َّ</w:t>
      </w:r>
      <w:r w:rsidRPr="006571AC">
        <w:rPr>
          <w:rFonts w:ascii="Arial" w:hAnsi="Arial" w:hint="cs"/>
          <w:sz w:val="27"/>
          <w:rtl/>
        </w:rPr>
        <w:t xml:space="preserve">نه ذيل الحديث، أعني قوله: </w:t>
      </w:r>
      <w:r w:rsidRPr="000A006F">
        <w:rPr>
          <w:rFonts w:ascii="Arial" w:hAnsi="Arial" w:hint="eastAsia"/>
          <w:sz w:val="24"/>
          <w:szCs w:val="24"/>
          <w:rtl/>
        </w:rPr>
        <w:t>«</w:t>
      </w:r>
      <w:r w:rsidRPr="006571AC">
        <w:rPr>
          <w:rFonts w:ascii="Arial" w:hAnsi="Arial"/>
          <w:sz w:val="27"/>
          <w:rtl/>
        </w:rPr>
        <w:t>وإن</w:t>
      </w:r>
      <w:r w:rsidR="00085F4A" w:rsidRPr="006571AC">
        <w:rPr>
          <w:rFonts w:ascii="Arial" w:hAnsi="Arial" w:hint="cs"/>
          <w:sz w:val="27"/>
          <w:rtl/>
        </w:rPr>
        <w:t>ْ</w:t>
      </w:r>
      <w:r w:rsidRPr="006571AC">
        <w:rPr>
          <w:rFonts w:ascii="Arial" w:hAnsi="Arial"/>
          <w:sz w:val="27"/>
          <w:rtl/>
        </w:rPr>
        <w:t xml:space="preserve"> كان رسول الله</w:t>
      </w:r>
      <w:r w:rsidR="002A2C90" w:rsidRPr="000A006F">
        <w:rPr>
          <w:rFonts w:ascii="Mosawi" w:hAnsi="Mosawi" w:cs="Mosawi"/>
          <w:sz w:val="22"/>
          <w:szCs w:val="22"/>
          <w:rtl/>
        </w:rPr>
        <w:t>|</w:t>
      </w:r>
      <w:r w:rsidRPr="006571AC">
        <w:rPr>
          <w:rFonts w:ascii="Arial" w:hAnsi="Arial"/>
          <w:sz w:val="27"/>
          <w:rtl/>
        </w:rPr>
        <w:t xml:space="preserve"> لم يق</w:t>
      </w:r>
      <w:r w:rsidR="00085F4A" w:rsidRPr="006571AC">
        <w:rPr>
          <w:rFonts w:ascii="Arial" w:hAnsi="Arial" w:hint="cs"/>
          <w:sz w:val="27"/>
          <w:rtl/>
        </w:rPr>
        <w:t>ُ</w:t>
      </w:r>
      <w:r w:rsidRPr="006571AC">
        <w:rPr>
          <w:rFonts w:ascii="Arial" w:hAnsi="Arial"/>
          <w:sz w:val="27"/>
          <w:rtl/>
        </w:rPr>
        <w:t>ل</w:t>
      </w:r>
      <w:r w:rsidR="00085F4A" w:rsidRPr="006571AC">
        <w:rPr>
          <w:rFonts w:ascii="Arial" w:hAnsi="Arial" w:hint="cs"/>
          <w:sz w:val="27"/>
          <w:rtl/>
        </w:rPr>
        <w:t>ْ</w:t>
      </w:r>
      <w:r w:rsidRPr="006571AC">
        <w:rPr>
          <w:rFonts w:ascii="Arial" w:hAnsi="Arial"/>
          <w:sz w:val="27"/>
          <w:rtl/>
        </w:rPr>
        <w:t>ه</w:t>
      </w:r>
      <w:r w:rsidRPr="000A006F">
        <w:rPr>
          <w:rFonts w:ascii="Arial" w:hAnsi="Arial" w:hint="eastAsia"/>
          <w:sz w:val="24"/>
          <w:szCs w:val="24"/>
          <w:rtl/>
        </w:rPr>
        <w:t>»</w:t>
      </w:r>
      <w:r w:rsidRPr="006571AC">
        <w:rPr>
          <w:rFonts w:ascii="Arial" w:hAnsi="Arial" w:hint="cs"/>
          <w:sz w:val="27"/>
          <w:rtl/>
        </w:rPr>
        <w:t>، فهذه الفقرة بإطلاقها تشمل الخبر الضعيف. نعم</w:t>
      </w:r>
      <w:r w:rsidR="00085F4A" w:rsidRPr="006571AC">
        <w:rPr>
          <w:rFonts w:ascii="Arial" w:hAnsi="Arial" w:hint="cs"/>
          <w:sz w:val="27"/>
          <w:rtl/>
        </w:rPr>
        <w:t>،</w:t>
      </w:r>
      <w:r w:rsidRPr="006571AC">
        <w:rPr>
          <w:rFonts w:ascii="Arial" w:hAnsi="Arial" w:hint="cs"/>
          <w:sz w:val="27"/>
          <w:rtl/>
        </w:rPr>
        <w:t xml:space="preserve"> قد عرف</w:t>
      </w:r>
      <w:r w:rsidR="00085F4A" w:rsidRPr="006571AC">
        <w:rPr>
          <w:rFonts w:ascii="Arial" w:hAnsi="Arial" w:hint="cs"/>
          <w:sz w:val="27"/>
          <w:rtl/>
        </w:rPr>
        <w:t>ْ</w:t>
      </w:r>
      <w:r w:rsidRPr="006571AC">
        <w:rPr>
          <w:rFonts w:ascii="Arial" w:hAnsi="Arial" w:hint="cs"/>
          <w:sz w:val="27"/>
          <w:rtl/>
        </w:rPr>
        <w:t>ت</w:t>
      </w:r>
      <w:r w:rsidR="00085F4A" w:rsidRPr="006571AC">
        <w:rPr>
          <w:rFonts w:ascii="Arial" w:hAnsi="Arial" w:hint="cs"/>
          <w:sz w:val="27"/>
          <w:rtl/>
        </w:rPr>
        <w:t>َ</w:t>
      </w:r>
      <w:r w:rsidRPr="006571AC">
        <w:rPr>
          <w:rFonts w:ascii="Arial" w:hAnsi="Arial" w:hint="cs"/>
          <w:sz w:val="27"/>
          <w:rtl/>
        </w:rPr>
        <w:t xml:space="preserve"> أن ضعف الخبر إن</w:t>
      </w:r>
      <w:r w:rsidR="00085F4A" w:rsidRPr="006571AC">
        <w:rPr>
          <w:rFonts w:ascii="Arial" w:hAnsi="Arial" w:hint="cs"/>
          <w:sz w:val="27"/>
          <w:rtl/>
        </w:rPr>
        <w:t>ْ</w:t>
      </w:r>
      <w:r w:rsidRPr="006571AC">
        <w:rPr>
          <w:rFonts w:ascii="Arial" w:hAnsi="Arial" w:hint="cs"/>
          <w:sz w:val="27"/>
          <w:rtl/>
        </w:rPr>
        <w:t xml:space="preserve"> وصل إلى مستوى</w:t>
      </w:r>
      <w:r w:rsidR="00085F4A" w:rsidRPr="006571AC">
        <w:rPr>
          <w:rFonts w:ascii="Arial" w:hAnsi="Arial" w:hint="cs"/>
          <w:sz w:val="27"/>
          <w:rtl/>
        </w:rPr>
        <w:t>ً</w:t>
      </w:r>
      <w:r w:rsidRPr="006571AC">
        <w:rPr>
          <w:rFonts w:ascii="Arial" w:hAnsi="Arial" w:hint="cs"/>
          <w:sz w:val="27"/>
          <w:rtl/>
        </w:rPr>
        <w:t xml:space="preserve"> كان احتمال الصدق فيه واهياً فلا يكون مشمولاً لأخبار </w:t>
      </w:r>
      <w:r w:rsidRPr="000A006F">
        <w:rPr>
          <w:rFonts w:ascii="Arial" w:hAnsi="Arial" w:hint="eastAsia"/>
          <w:sz w:val="24"/>
          <w:szCs w:val="24"/>
          <w:rtl/>
        </w:rPr>
        <w:t>«</w:t>
      </w:r>
      <w:r w:rsidRPr="006571AC">
        <w:rPr>
          <w:rFonts w:ascii="Arial" w:hAnsi="Arial" w:hint="cs"/>
          <w:sz w:val="27"/>
          <w:rtl/>
        </w:rPr>
        <w:t>م</w:t>
      </w:r>
      <w:r w:rsidR="00085F4A" w:rsidRPr="006571AC">
        <w:rPr>
          <w:rFonts w:ascii="Arial" w:hAnsi="Arial" w:hint="cs"/>
          <w:sz w:val="27"/>
          <w:rtl/>
        </w:rPr>
        <w:t>َ</w:t>
      </w:r>
      <w:r w:rsidRPr="006571AC">
        <w:rPr>
          <w:rFonts w:ascii="Arial" w:hAnsi="Arial" w:hint="cs"/>
          <w:sz w:val="27"/>
          <w:rtl/>
        </w:rPr>
        <w:t>ن</w:t>
      </w:r>
      <w:r w:rsidR="00085F4A" w:rsidRPr="006571AC">
        <w:rPr>
          <w:rFonts w:ascii="Arial" w:hAnsi="Arial" w:hint="cs"/>
          <w:sz w:val="27"/>
          <w:rtl/>
        </w:rPr>
        <w:t>ْ</w:t>
      </w:r>
      <w:r w:rsidRPr="006571AC">
        <w:rPr>
          <w:rFonts w:ascii="Arial" w:hAnsi="Arial" w:hint="cs"/>
          <w:sz w:val="27"/>
          <w:rtl/>
        </w:rPr>
        <w:t xml:space="preserve"> بلغ</w:t>
      </w:r>
      <w:r w:rsidRPr="000A006F">
        <w:rPr>
          <w:rFonts w:ascii="Arial" w:hAnsi="Arial" w:hint="eastAsia"/>
          <w:sz w:val="24"/>
          <w:szCs w:val="24"/>
          <w:rtl/>
        </w:rPr>
        <w:t>»</w:t>
      </w:r>
      <w:r w:rsidRPr="006571AC">
        <w:rPr>
          <w:rFonts w:ascii="Arial" w:hAnsi="Arial" w:hint="cs"/>
          <w:sz w:val="27"/>
          <w:rtl/>
        </w:rPr>
        <w:t xml:space="preserve">. </w:t>
      </w:r>
    </w:p>
    <w:p w:rsidR="00DD301A" w:rsidRPr="006571AC" w:rsidRDefault="00DD301A" w:rsidP="00DD301A">
      <w:pPr>
        <w:spacing w:line="420" w:lineRule="exact"/>
        <w:rPr>
          <w:rFonts w:ascii="Arabic Typesetting" w:hAnsi="Arabic Typesetting"/>
          <w:sz w:val="27"/>
          <w:rtl/>
          <w:lang w:bidi="ar-LB"/>
        </w:rPr>
      </w:pPr>
    </w:p>
    <w:p w:rsidR="009B65D5" w:rsidRPr="006571AC" w:rsidRDefault="00C746EB" w:rsidP="0035540A">
      <w:pPr>
        <w:pStyle w:val="31"/>
        <w:rPr>
          <w:color w:val="auto"/>
          <w:rtl/>
        </w:rPr>
      </w:pPr>
      <w:bookmarkStart w:id="410" w:name="_Toc114164818"/>
      <w:r w:rsidRPr="006571AC">
        <w:rPr>
          <w:rFonts w:hint="cs"/>
          <w:color w:val="auto"/>
          <w:rtl/>
        </w:rPr>
        <w:t>ب ـ</w:t>
      </w:r>
      <w:r w:rsidR="009B65D5" w:rsidRPr="006571AC">
        <w:rPr>
          <w:rFonts w:hint="cs"/>
          <w:color w:val="auto"/>
          <w:rtl/>
        </w:rPr>
        <w:t xml:space="preserve"> انتفاء احتمال الحرمة</w:t>
      </w:r>
      <w:bookmarkEnd w:id="410"/>
    </w:p>
    <w:p w:rsidR="009B65D5" w:rsidRPr="006571AC" w:rsidRDefault="009B65D5" w:rsidP="000A006F">
      <w:pPr>
        <w:rPr>
          <w:rFonts w:ascii="Arial" w:hAnsi="Arial"/>
          <w:sz w:val="27"/>
          <w:rtl/>
        </w:rPr>
      </w:pPr>
      <w:r w:rsidRPr="006571AC">
        <w:rPr>
          <w:rFonts w:ascii="Arial" w:hAnsi="Arial" w:hint="cs"/>
          <w:sz w:val="27"/>
          <w:rtl/>
        </w:rPr>
        <w:t>إنّ موارد تطبيق القاعدة تارة</w:t>
      </w:r>
      <w:r w:rsidR="00085F4A" w:rsidRPr="006571AC">
        <w:rPr>
          <w:rFonts w:ascii="Arial" w:hAnsi="Arial" w:hint="cs"/>
          <w:sz w:val="27"/>
          <w:rtl/>
        </w:rPr>
        <w:t>ً</w:t>
      </w:r>
      <w:r w:rsidRPr="006571AC">
        <w:rPr>
          <w:rFonts w:ascii="Arial" w:hAnsi="Arial" w:hint="cs"/>
          <w:sz w:val="27"/>
          <w:rtl/>
        </w:rPr>
        <w:t xml:space="preserve"> تكون مقطوعة التحريم</w:t>
      </w:r>
      <w:r w:rsidR="00085F4A" w:rsidRPr="006571AC">
        <w:rPr>
          <w:rFonts w:ascii="Arial" w:hAnsi="Arial" w:hint="cs"/>
          <w:sz w:val="27"/>
          <w:rtl/>
        </w:rPr>
        <w:t>؛</w:t>
      </w:r>
      <w:r w:rsidRPr="006571AC">
        <w:rPr>
          <w:rFonts w:ascii="Arial" w:hAnsi="Arial" w:hint="cs"/>
          <w:sz w:val="27"/>
          <w:rtl/>
        </w:rPr>
        <w:t xml:space="preserve"> وأخرى محتملة التحريم</w:t>
      </w:r>
      <w:r w:rsidR="00085F4A" w:rsidRPr="006571AC">
        <w:rPr>
          <w:rFonts w:ascii="Arial" w:hAnsi="Arial" w:hint="cs"/>
          <w:sz w:val="27"/>
          <w:rtl/>
        </w:rPr>
        <w:t>.</w:t>
      </w:r>
      <w:r w:rsidRPr="006571AC">
        <w:rPr>
          <w:rFonts w:ascii="Arial" w:hAnsi="Arial" w:hint="cs"/>
          <w:sz w:val="27"/>
          <w:rtl/>
        </w:rPr>
        <w:t xml:space="preserve"> أمّا في الصورة الأولى فإذا ورد خبر</w:t>
      </w:r>
      <w:r w:rsidR="00085F4A" w:rsidRPr="006571AC">
        <w:rPr>
          <w:rFonts w:ascii="Arial" w:hAnsi="Arial" w:hint="cs"/>
          <w:sz w:val="27"/>
          <w:rtl/>
        </w:rPr>
        <w:t>ٌ</w:t>
      </w:r>
      <w:r w:rsidRPr="006571AC">
        <w:rPr>
          <w:rFonts w:ascii="Arial" w:hAnsi="Arial" w:hint="cs"/>
          <w:sz w:val="27"/>
          <w:rtl/>
        </w:rPr>
        <w:t xml:space="preserve"> ضعيف يعطي ثواباً على العمل المحر</w:t>
      </w:r>
      <w:r w:rsidR="00085F4A" w:rsidRPr="006571AC">
        <w:rPr>
          <w:rFonts w:ascii="Arial" w:hAnsi="Arial" w:hint="cs"/>
          <w:sz w:val="27"/>
          <w:rtl/>
        </w:rPr>
        <w:t>َّ</w:t>
      </w:r>
      <w:r w:rsidRPr="006571AC">
        <w:rPr>
          <w:rFonts w:ascii="Arial" w:hAnsi="Arial" w:hint="cs"/>
          <w:sz w:val="27"/>
          <w:rtl/>
        </w:rPr>
        <w:t>م ف</w:t>
      </w:r>
      <w:r w:rsidR="00731867" w:rsidRPr="006571AC">
        <w:rPr>
          <w:rFonts w:ascii="Arial" w:hAnsi="Arial" w:hint="cs"/>
          <w:sz w:val="27"/>
          <w:rtl/>
        </w:rPr>
        <w:t>لا رَيْبَ</w:t>
      </w:r>
      <w:r w:rsidRPr="006571AC">
        <w:rPr>
          <w:rFonts w:ascii="Arial" w:hAnsi="Arial" w:hint="cs"/>
          <w:sz w:val="27"/>
          <w:rtl/>
        </w:rPr>
        <w:t xml:space="preserve"> في أنّ أخبار </w:t>
      </w:r>
      <w:r w:rsidRPr="000A006F">
        <w:rPr>
          <w:rFonts w:ascii="Arial" w:hAnsi="Arial" w:hint="eastAsia"/>
          <w:sz w:val="24"/>
          <w:szCs w:val="24"/>
          <w:rtl/>
        </w:rPr>
        <w:t>«</w:t>
      </w:r>
      <w:r w:rsidRPr="006571AC">
        <w:rPr>
          <w:rFonts w:ascii="Arial" w:hAnsi="Arial" w:hint="cs"/>
          <w:sz w:val="27"/>
          <w:rtl/>
        </w:rPr>
        <w:t>م</w:t>
      </w:r>
      <w:r w:rsidR="00085F4A" w:rsidRPr="006571AC">
        <w:rPr>
          <w:rFonts w:ascii="Arial" w:hAnsi="Arial" w:hint="cs"/>
          <w:sz w:val="27"/>
          <w:rtl/>
        </w:rPr>
        <w:t>َ</w:t>
      </w:r>
      <w:r w:rsidRPr="006571AC">
        <w:rPr>
          <w:rFonts w:ascii="Arial" w:hAnsi="Arial" w:hint="cs"/>
          <w:sz w:val="27"/>
          <w:rtl/>
        </w:rPr>
        <w:t>ن</w:t>
      </w:r>
      <w:r w:rsidR="00085F4A" w:rsidRPr="006571AC">
        <w:rPr>
          <w:rFonts w:ascii="Arial" w:hAnsi="Arial" w:hint="cs"/>
          <w:sz w:val="27"/>
          <w:rtl/>
        </w:rPr>
        <w:t>ْ</w:t>
      </w:r>
      <w:r w:rsidRPr="006571AC">
        <w:rPr>
          <w:rFonts w:ascii="Arial" w:hAnsi="Arial" w:hint="cs"/>
          <w:sz w:val="27"/>
          <w:rtl/>
        </w:rPr>
        <w:t xml:space="preserve"> بلغ</w:t>
      </w:r>
      <w:r w:rsidRPr="000A006F">
        <w:rPr>
          <w:rFonts w:ascii="Arial" w:hAnsi="Arial" w:hint="eastAsia"/>
          <w:sz w:val="24"/>
          <w:szCs w:val="24"/>
          <w:rtl/>
        </w:rPr>
        <w:t>»</w:t>
      </w:r>
      <w:r w:rsidRPr="006571AC">
        <w:rPr>
          <w:rFonts w:ascii="Arial" w:hAnsi="Arial" w:hint="cs"/>
          <w:sz w:val="27"/>
          <w:rtl/>
        </w:rPr>
        <w:t xml:space="preserve"> لا شمول لها لذلك</w:t>
      </w:r>
      <w:r w:rsidR="00085F4A" w:rsidRPr="006571AC">
        <w:rPr>
          <w:rFonts w:ascii="Arial" w:hAnsi="Arial" w:hint="cs"/>
          <w:sz w:val="27"/>
          <w:rtl/>
        </w:rPr>
        <w:t>؛</w:t>
      </w:r>
      <w:r w:rsidRPr="006571AC">
        <w:rPr>
          <w:rFonts w:ascii="Arial" w:hAnsi="Arial" w:hint="cs"/>
          <w:sz w:val="27"/>
          <w:rtl/>
        </w:rPr>
        <w:t xml:space="preserve"> لأن لازم شمولها لصورة كون الفعل ثابت</w:t>
      </w:r>
      <w:r w:rsidR="00085F4A" w:rsidRPr="006571AC">
        <w:rPr>
          <w:rFonts w:ascii="Arial" w:hAnsi="Arial" w:hint="cs"/>
          <w:sz w:val="27"/>
          <w:rtl/>
        </w:rPr>
        <w:t>َ</w:t>
      </w:r>
      <w:r w:rsidRPr="006571AC">
        <w:rPr>
          <w:rFonts w:ascii="Arial" w:hAnsi="Arial" w:hint="cs"/>
          <w:sz w:val="27"/>
          <w:rtl/>
        </w:rPr>
        <w:t xml:space="preserve"> التحريم، </w:t>
      </w:r>
      <w:r w:rsidRPr="006571AC">
        <w:rPr>
          <w:rFonts w:ascii="Arial" w:hAnsi="Arial" w:hint="cs"/>
          <w:sz w:val="27"/>
          <w:rtl/>
        </w:rPr>
        <w:lastRenderedPageBreak/>
        <w:t>ومخالفاً للسن</w:t>
      </w:r>
      <w:r w:rsidR="00085F4A" w:rsidRPr="006571AC">
        <w:rPr>
          <w:rFonts w:ascii="Arial" w:hAnsi="Arial" w:hint="cs"/>
          <w:sz w:val="27"/>
          <w:rtl/>
        </w:rPr>
        <w:t>ّ</w:t>
      </w:r>
      <w:r w:rsidRPr="006571AC">
        <w:rPr>
          <w:rFonts w:ascii="Arial" w:hAnsi="Arial" w:hint="cs"/>
          <w:sz w:val="27"/>
          <w:rtl/>
        </w:rPr>
        <w:t>ة القطعي</w:t>
      </w:r>
      <w:r w:rsidR="00085F4A" w:rsidRPr="006571AC">
        <w:rPr>
          <w:rFonts w:ascii="Arial" w:hAnsi="Arial" w:hint="cs"/>
          <w:sz w:val="27"/>
          <w:rtl/>
        </w:rPr>
        <w:t>ّ</w:t>
      </w:r>
      <w:r w:rsidRPr="006571AC">
        <w:rPr>
          <w:rFonts w:ascii="Arial" w:hAnsi="Arial" w:hint="cs"/>
          <w:sz w:val="27"/>
          <w:rtl/>
        </w:rPr>
        <w:t>ة</w:t>
      </w:r>
      <w:r w:rsidR="00085F4A" w:rsidRPr="006571AC">
        <w:rPr>
          <w:rFonts w:ascii="Arial" w:hAnsi="Arial" w:hint="cs"/>
          <w:sz w:val="27"/>
          <w:rtl/>
        </w:rPr>
        <w:t>،</w:t>
      </w:r>
      <w:r w:rsidRPr="006571AC">
        <w:rPr>
          <w:rFonts w:ascii="Arial" w:hAnsi="Arial" w:hint="cs"/>
          <w:sz w:val="27"/>
          <w:rtl/>
        </w:rPr>
        <w:t xml:space="preserve"> هو لزوم تحليل الحرام، وإشاعة الب</w:t>
      </w:r>
      <w:r w:rsidR="00085F4A" w:rsidRPr="006571AC">
        <w:rPr>
          <w:rFonts w:ascii="Arial" w:hAnsi="Arial" w:hint="cs"/>
          <w:sz w:val="27"/>
          <w:rtl/>
        </w:rPr>
        <w:t>ِ</w:t>
      </w:r>
      <w:r w:rsidRPr="006571AC">
        <w:rPr>
          <w:rFonts w:ascii="Arial" w:hAnsi="Arial" w:hint="cs"/>
          <w:sz w:val="27"/>
          <w:rtl/>
        </w:rPr>
        <w:t>د</w:t>
      </w:r>
      <w:r w:rsidR="00085F4A" w:rsidRPr="006571AC">
        <w:rPr>
          <w:rFonts w:ascii="Arial" w:hAnsi="Arial" w:hint="cs"/>
          <w:sz w:val="27"/>
          <w:rtl/>
        </w:rPr>
        <w:t>َ</w:t>
      </w:r>
      <w:r w:rsidRPr="006571AC">
        <w:rPr>
          <w:rFonts w:ascii="Arial" w:hAnsi="Arial" w:hint="cs"/>
          <w:sz w:val="27"/>
          <w:rtl/>
        </w:rPr>
        <w:t>ع، وتخريب الدين</w:t>
      </w:r>
      <w:r w:rsidR="00085F4A" w:rsidRPr="006571AC">
        <w:rPr>
          <w:rFonts w:ascii="Arial" w:hAnsi="Arial" w:hint="cs"/>
          <w:sz w:val="27"/>
          <w:rtl/>
        </w:rPr>
        <w:t>.</w:t>
      </w:r>
      <w:r w:rsidRPr="006571AC">
        <w:rPr>
          <w:rFonts w:ascii="Arial" w:hAnsi="Arial" w:hint="cs"/>
          <w:sz w:val="27"/>
          <w:rtl/>
        </w:rPr>
        <w:t xml:space="preserve"> قال العلا</w:t>
      </w:r>
      <w:r w:rsidR="00085F4A" w:rsidRPr="006571AC">
        <w:rPr>
          <w:rFonts w:ascii="Arial" w:hAnsi="Arial" w:hint="cs"/>
          <w:sz w:val="27"/>
          <w:rtl/>
        </w:rPr>
        <w:t>ّ</w:t>
      </w:r>
      <w:r w:rsidRPr="006571AC">
        <w:rPr>
          <w:rFonts w:ascii="Arial" w:hAnsi="Arial" w:hint="cs"/>
          <w:sz w:val="27"/>
          <w:rtl/>
        </w:rPr>
        <w:t>مة المجلسي</w:t>
      </w:r>
      <w:r w:rsidR="002A2C90" w:rsidRPr="000A006F">
        <w:rPr>
          <w:rFonts w:ascii="Mosawi" w:hAnsi="Mosawi" w:cs="Mosawi"/>
          <w:sz w:val="22"/>
          <w:szCs w:val="22"/>
          <w:rtl/>
        </w:rPr>
        <w:t>&amp;</w:t>
      </w:r>
      <w:r w:rsidRPr="006571AC">
        <w:rPr>
          <w:rFonts w:ascii="Arial" w:hAnsi="Arial" w:hint="cs"/>
          <w:sz w:val="27"/>
          <w:rtl/>
        </w:rPr>
        <w:t xml:space="preserve">: </w:t>
      </w:r>
      <w:r w:rsidRPr="000A006F">
        <w:rPr>
          <w:rFonts w:ascii="Arial" w:hAnsi="Arial" w:hint="eastAsia"/>
          <w:sz w:val="24"/>
          <w:szCs w:val="24"/>
          <w:rtl/>
        </w:rPr>
        <w:t>«</w:t>
      </w:r>
      <w:r w:rsidRPr="006571AC">
        <w:rPr>
          <w:rFonts w:ascii="Arial" w:hAnsi="Arial"/>
          <w:sz w:val="27"/>
          <w:rtl/>
        </w:rPr>
        <w:t>وأما الفقهاء والمحد</w:t>
      </w:r>
      <w:r w:rsidR="00085F4A" w:rsidRPr="006571AC">
        <w:rPr>
          <w:rFonts w:ascii="Arial" w:hAnsi="Arial" w:hint="cs"/>
          <w:sz w:val="27"/>
          <w:rtl/>
        </w:rPr>
        <w:t>ِّ</w:t>
      </w:r>
      <w:r w:rsidRPr="006571AC">
        <w:rPr>
          <w:rFonts w:ascii="Arial" w:hAnsi="Arial"/>
          <w:sz w:val="27"/>
          <w:rtl/>
        </w:rPr>
        <w:t>ثون من الأصحاب ـ رضوان الله عليهم</w:t>
      </w:r>
      <w:r w:rsidR="00085F4A" w:rsidRPr="006571AC">
        <w:rPr>
          <w:rFonts w:ascii="Arial" w:hAnsi="Arial" w:hint="cs"/>
          <w:sz w:val="27"/>
          <w:rtl/>
        </w:rPr>
        <w:t xml:space="preserve"> </w:t>
      </w:r>
      <w:r w:rsidRPr="006571AC">
        <w:rPr>
          <w:rFonts w:ascii="Arial" w:hAnsi="Arial"/>
          <w:sz w:val="27"/>
          <w:rtl/>
        </w:rPr>
        <w:t>فإنما نقلوا هذه الأحاديث وما ضاهاها في كتبهم المدو</w:t>
      </w:r>
      <w:r w:rsidR="00085F4A" w:rsidRPr="006571AC">
        <w:rPr>
          <w:rFonts w:ascii="Arial" w:hAnsi="Arial" w:hint="cs"/>
          <w:sz w:val="27"/>
          <w:rtl/>
        </w:rPr>
        <w:t>َّ</w:t>
      </w:r>
      <w:r w:rsidRPr="006571AC">
        <w:rPr>
          <w:rFonts w:ascii="Arial" w:hAnsi="Arial"/>
          <w:sz w:val="27"/>
          <w:rtl/>
        </w:rPr>
        <w:t>نة ل</w:t>
      </w:r>
      <w:r w:rsidRPr="006571AC">
        <w:rPr>
          <w:rFonts w:ascii="Arial" w:hAnsi="Arial" w:hint="cs"/>
          <w:sz w:val="27"/>
          <w:rtl/>
        </w:rPr>
        <w:t>أ</w:t>
      </w:r>
      <w:r w:rsidRPr="006571AC">
        <w:rPr>
          <w:rFonts w:ascii="Arial" w:hAnsi="Arial"/>
          <w:sz w:val="27"/>
          <w:rtl/>
        </w:rPr>
        <w:t xml:space="preserve">عمال اليوم والليلة ـ مع اعترافهم بضعف سندها </w:t>
      </w:r>
      <w:r w:rsidR="001C10DE" w:rsidRPr="006571AC">
        <w:rPr>
          <w:rFonts w:ascii="Arial" w:hAnsi="Arial" w:hint="cs"/>
          <w:sz w:val="27"/>
          <w:rtl/>
        </w:rPr>
        <w:t>ـ؛</w:t>
      </w:r>
      <w:r w:rsidRPr="006571AC">
        <w:rPr>
          <w:rFonts w:ascii="Arial" w:hAnsi="Arial" w:hint="cs"/>
          <w:sz w:val="27"/>
          <w:rtl/>
        </w:rPr>
        <w:t xml:space="preserve"> </w:t>
      </w:r>
      <w:r w:rsidRPr="006571AC">
        <w:rPr>
          <w:rFonts w:ascii="Arial" w:hAnsi="Arial"/>
          <w:sz w:val="27"/>
          <w:rtl/>
        </w:rPr>
        <w:t>تعويلا</w:t>
      </w:r>
      <w:r w:rsidRPr="006571AC">
        <w:rPr>
          <w:rFonts w:ascii="Arial" w:hAnsi="Arial" w:hint="cs"/>
          <w:sz w:val="27"/>
          <w:rtl/>
        </w:rPr>
        <w:t>ً</w:t>
      </w:r>
      <w:r w:rsidRPr="006571AC">
        <w:rPr>
          <w:rFonts w:ascii="Arial" w:hAnsi="Arial"/>
          <w:sz w:val="27"/>
          <w:rtl/>
        </w:rPr>
        <w:t xml:space="preserve"> على قاعدة التسامح في أدلة الس</w:t>
      </w:r>
      <w:r w:rsidR="001C10DE" w:rsidRPr="006571AC">
        <w:rPr>
          <w:rFonts w:ascii="Arial" w:hAnsi="Arial" w:hint="cs"/>
          <w:sz w:val="27"/>
          <w:rtl/>
        </w:rPr>
        <w:t>ُّ</w:t>
      </w:r>
      <w:r w:rsidRPr="006571AC">
        <w:rPr>
          <w:rFonts w:ascii="Arial" w:hAnsi="Arial"/>
          <w:sz w:val="27"/>
          <w:rtl/>
        </w:rPr>
        <w:t>ن</w:t>
      </w:r>
      <w:r w:rsidR="001C10DE" w:rsidRPr="006571AC">
        <w:rPr>
          <w:rFonts w:ascii="Arial" w:hAnsi="Arial" w:hint="cs"/>
          <w:sz w:val="27"/>
          <w:rtl/>
        </w:rPr>
        <w:t>َ</w:t>
      </w:r>
      <w:r w:rsidRPr="006571AC">
        <w:rPr>
          <w:rFonts w:ascii="Arial" w:hAnsi="Arial"/>
          <w:sz w:val="27"/>
          <w:rtl/>
        </w:rPr>
        <w:t>ن</w:t>
      </w:r>
      <w:r w:rsidR="001C10DE" w:rsidRPr="006571AC">
        <w:rPr>
          <w:rFonts w:ascii="Arial" w:hAnsi="Arial" w:hint="cs"/>
          <w:sz w:val="27"/>
          <w:rtl/>
        </w:rPr>
        <w:t>،</w:t>
      </w:r>
      <w:r w:rsidRPr="006571AC">
        <w:rPr>
          <w:rFonts w:ascii="Arial" w:hAnsi="Arial"/>
          <w:sz w:val="27"/>
          <w:rtl/>
        </w:rPr>
        <w:t xml:space="preserve"> المبتنية على أحاديث </w:t>
      </w:r>
      <w:r w:rsidRPr="000A006F">
        <w:rPr>
          <w:rFonts w:ascii="Arial" w:hAnsi="Arial" w:hint="eastAsia"/>
          <w:sz w:val="24"/>
          <w:szCs w:val="24"/>
          <w:rtl/>
        </w:rPr>
        <w:t>«</w:t>
      </w:r>
      <w:r w:rsidRPr="006571AC">
        <w:rPr>
          <w:rFonts w:ascii="Arial" w:hAnsi="Arial"/>
          <w:sz w:val="27"/>
          <w:rtl/>
        </w:rPr>
        <w:t>م</w:t>
      </w:r>
      <w:r w:rsidR="001C10DE" w:rsidRPr="006571AC">
        <w:rPr>
          <w:rFonts w:ascii="Arial" w:hAnsi="Arial" w:hint="cs"/>
          <w:sz w:val="27"/>
          <w:rtl/>
        </w:rPr>
        <w:t>َ</w:t>
      </w:r>
      <w:r w:rsidRPr="006571AC">
        <w:rPr>
          <w:rFonts w:ascii="Arial" w:hAnsi="Arial"/>
          <w:sz w:val="27"/>
          <w:rtl/>
        </w:rPr>
        <w:t>ن</w:t>
      </w:r>
      <w:r w:rsidR="001C10DE" w:rsidRPr="006571AC">
        <w:rPr>
          <w:rFonts w:ascii="Arial" w:hAnsi="Arial" w:hint="cs"/>
          <w:sz w:val="27"/>
          <w:rtl/>
        </w:rPr>
        <w:t>ْ</w:t>
      </w:r>
      <w:r w:rsidRPr="006571AC">
        <w:rPr>
          <w:rFonts w:ascii="Arial" w:hAnsi="Arial"/>
          <w:sz w:val="27"/>
          <w:rtl/>
        </w:rPr>
        <w:t xml:space="preserve"> بلغ</w:t>
      </w:r>
      <w:r w:rsidRPr="000A006F">
        <w:rPr>
          <w:rFonts w:ascii="Arial" w:hAnsi="Arial" w:hint="eastAsia"/>
          <w:sz w:val="24"/>
          <w:szCs w:val="24"/>
          <w:rtl/>
        </w:rPr>
        <w:t>»</w:t>
      </w:r>
      <w:r w:rsidRPr="006571AC">
        <w:rPr>
          <w:rFonts w:ascii="Arial" w:hAnsi="Arial"/>
          <w:sz w:val="27"/>
          <w:rtl/>
        </w:rPr>
        <w:t>، ز</w:t>
      </w:r>
      <w:r w:rsidR="001C10DE" w:rsidRPr="006571AC">
        <w:rPr>
          <w:rFonts w:ascii="Arial" w:hAnsi="Arial" w:hint="cs"/>
          <w:sz w:val="27"/>
          <w:rtl/>
        </w:rPr>
        <w:t>َ</w:t>
      </w:r>
      <w:r w:rsidRPr="006571AC">
        <w:rPr>
          <w:rFonts w:ascii="Arial" w:hAnsi="Arial"/>
          <w:sz w:val="27"/>
          <w:rtl/>
        </w:rPr>
        <w:t>ع</w:t>
      </w:r>
      <w:r w:rsidR="001C10DE" w:rsidRPr="006571AC">
        <w:rPr>
          <w:rFonts w:ascii="Arial" w:hAnsi="Arial" w:hint="cs"/>
          <w:sz w:val="27"/>
          <w:rtl/>
        </w:rPr>
        <w:t>ْ</w:t>
      </w:r>
      <w:r w:rsidRPr="006571AC">
        <w:rPr>
          <w:rFonts w:ascii="Arial" w:hAnsi="Arial"/>
          <w:sz w:val="27"/>
          <w:rtl/>
        </w:rPr>
        <w:t>ما</w:t>
      </w:r>
      <w:r w:rsidRPr="006571AC">
        <w:rPr>
          <w:rFonts w:ascii="Arial" w:hAnsi="Arial" w:hint="cs"/>
          <w:sz w:val="27"/>
          <w:rtl/>
        </w:rPr>
        <w:t>ً</w:t>
      </w:r>
      <w:r w:rsidRPr="006571AC">
        <w:rPr>
          <w:rFonts w:ascii="Arial" w:hAnsi="Arial"/>
          <w:sz w:val="27"/>
          <w:rtl/>
        </w:rPr>
        <w:t xml:space="preserve"> منهم أن</w:t>
      </w:r>
      <w:r w:rsidRPr="006571AC">
        <w:rPr>
          <w:rFonts w:ascii="Arial" w:hAnsi="Arial" w:hint="cs"/>
          <w:sz w:val="27"/>
          <w:rtl/>
        </w:rPr>
        <w:t>ّ</w:t>
      </w:r>
      <w:r w:rsidRPr="006571AC">
        <w:rPr>
          <w:rFonts w:ascii="Arial" w:hAnsi="Arial"/>
          <w:sz w:val="27"/>
          <w:rtl/>
        </w:rPr>
        <w:t>ها تشمل كل</w:t>
      </w:r>
      <w:r w:rsidRPr="006571AC">
        <w:rPr>
          <w:rFonts w:ascii="Arial" w:hAnsi="Arial" w:hint="cs"/>
          <w:sz w:val="27"/>
          <w:rtl/>
        </w:rPr>
        <w:t>َّ</w:t>
      </w:r>
      <w:r w:rsidRPr="006571AC">
        <w:rPr>
          <w:rFonts w:ascii="Arial" w:hAnsi="Arial"/>
          <w:sz w:val="27"/>
          <w:rtl/>
        </w:rPr>
        <w:t xml:space="preserve"> حديث</w:t>
      </w:r>
      <w:r w:rsidR="001C10DE" w:rsidRPr="006571AC">
        <w:rPr>
          <w:rFonts w:ascii="Arial" w:hAnsi="Arial" w:hint="cs"/>
          <w:sz w:val="27"/>
          <w:rtl/>
        </w:rPr>
        <w:t>ٍ</w:t>
      </w:r>
      <w:r w:rsidRPr="006571AC">
        <w:rPr>
          <w:rFonts w:ascii="Arial" w:hAnsi="Arial"/>
          <w:sz w:val="27"/>
          <w:rtl/>
        </w:rPr>
        <w:t xml:space="preserve"> ر</w:t>
      </w:r>
      <w:r w:rsidR="00FA41A4" w:rsidRPr="006571AC">
        <w:rPr>
          <w:rFonts w:ascii="Arial" w:hAnsi="Arial" w:hint="cs"/>
          <w:sz w:val="27"/>
          <w:rtl/>
        </w:rPr>
        <w:t>ُ</w:t>
      </w:r>
      <w:r w:rsidRPr="006571AC">
        <w:rPr>
          <w:rFonts w:ascii="Arial" w:hAnsi="Arial"/>
          <w:sz w:val="27"/>
          <w:rtl/>
        </w:rPr>
        <w:t>و</w:t>
      </w:r>
      <w:r w:rsidR="001C10DE" w:rsidRPr="006571AC">
        <w:rPr>
          <w:rFonts w:ascii="Arial" w:hAnsi="Arial" w:hint="cs"/>
          <w:sz w:val="27"/>
          <w:rtl/>
        </w:rPr>
        <w:t>ي</w:t>
      </w:r>
      <w:r w:rsidRPr="006571AC">
        <w:rPr>
          <w:rFonts w:ascii="Arial" w:hAnsi="Arial"/>
          <w:sz w:val="27"/>
          <w:rtl/>
        </w:rPr>
        <w:t xml:space="preserve"> فيه ثواب</w:t>
      </w:r>
      <w:r w:rsidR="001C10DE" w:rsidRPr="006571AC">
        <w:rPr>
          <w:rFonts w:ascii="Arial" w:hAnsi="Arial" w:hint="cs"/>
          <w:sz w:val="27"/>
          <w:rtl/>
        </w:rPr>
        <w:t>ٌ</w:t>
      </w:r>
      <w:r w:rsidRPr="006571AC">
        <w:rPr>
          <w:rFonts w:ascii="Arial" w:hAnsi="Arial"/>
          <w:sz w:val="27"/>
          <w:rtl/>
        </w:rPr>
        <w:t xml:space="preserve"> على عمل</w:t>
      </w:r>
      <w:r w:rsidR="001C10DE" w:rsidRPr="006571AC">
        <w:rPr>
          <w:rFonts w:ascii="Arial" w:hAnsi="Arial" w:hint="cs"/>
          <w:sz w:val="27"/>
          <w:rtl/>
        </w:rPr>
        <w:t>ٍ،</w:t>
      </w:r>
      <w:r w:rsidRPr="006571AC">
        <w:rPr>
          <w:rFonts w:ascii="Arial" w:hAnsi="Arial"/>
          <w:sz w:val="27"/>
          <w:rtl/>
        </w:rPr>
        <w:t xml:space="preserve"> مطلقا</w:t>
      </w:r>
      <w:r w:rsidRPr="006571AC">
        <w:rPr>
          <w:rFonts w:ascii="Arial" w:hAnsi="Arial" w:hint="cs"/>
          <w:sz w:val="27"/>
          <w:rtl/>
        </w:rPr>
        <w:t>ً</w:t>
      </w:r>
      <w:r w:rsidRPr="006571AC">
        <w:rPr>
          <w:rFonts w:ascii="Arial" w:hAnsi="Arial"/>
          <w:sz w:val="27"/>
          <w:rtl/>
        </w:rPr>
        <w:t>، وإن</w:t>
      </w:r>
      <w:r w:rsidR="001C10DE" w:rsidRPr="006571AC">
        <w:rPr>
          <w:rFonts w:ascii="Arial" w:hAnsi="Arial" w:hint="cs"/>
          <w:sz w:val="27"/>
          <w:rtl/>
        </w:rPr>
        <w:t>ْ</w:t>
      </w:r>
      <w:r w:rsidRPr="006571AC">
        <w:rPr>
          <w:rFonts w:ascii="Arial" w:hAnsi="Arial"/>
          <w:sz w:val="27"/>
          <w:rtl/>
        </w:rPr>
        <w:t xml:space="preserve"> كان العمل مخالفا</w:t>
      </w:r>
      <w:r w:rsidRPr="006571AC">
        <w:rPr>
          <w:rFonts w:ascii="Arial" w:hAnsi="Arial" w:hint="cs"/>
          <w:sz w:val="27"/>
          <w:rtl/>
        </w:rPr>
        <w:t>ً</w:t>
      </w:r>
      <w:r w:rsidRPr="006571AC">
        <w:rPr>
          <w:rFonts w:ascii="Arial" w:hAnsi="Arial"/>
          <w:sz w:val="27"/>
          <w:rtl/>
        </w:rPr>
        <w:t xml:space="preserve"> للسن</w:t>
      </w:r>
      <w:r w:rsidR="001C10DE" w:rsidRPr="006571AC">
        <w:rPr>
          <w:rFonts w:ascii="Arial" w:hAnsi="Arial" w:hint="cs"/>
          <w:sz w:val="27"/>
          <w:rtl/>
        </w:rPr>
        <w:t>ّ</w:t>
      </w:r>
      <w:r w:rsidRPr="006571AC">
        <w:rPr>
          <w:rFonts w:ascii="Arial" w:hAnsi="Arial"/>
          <w:sz w:val="27"/>
          <w:rtl/>
        </w:rPr>
        <w:t>ة القطعية</w:t>
      </w:r>
      <w:r w:rsidR="001C10DE" w:rsidRPr="006571AC">
        <w:rPr>
          <w:rFonts w:ascii="Arial" w:hAnsi="Arial" w:hint="cs"/>
          <w:sz w:val="27"/>
          <w:rtl/>
        </w:rPr>
        <w:t>.</w:t>
      </w:r>
      <w:r w:rsidRPr="006571AC">
        <w:rPr>
          <w:rFonts w:ascii="Arial" w:hAnsi="Arial"/>
          <w:sz w:val="27"/>
          <w:rtl/>
        </w:rPr>
        <w:t xml:space="preserve"> وليس كذلك، و</w:t>
      </w:r>
      <w:r w:rsidRPr="006571AC">
        <w:rPr>
          <w:rFonts w:ascii="Arial" w:hAnsi="Arial" w:hint="cs"/>
          <w:sz w:val="27"/>
          <w:rtl/>
        </w:rPr>
        <w:t>إ</w:t>
      </w:r>
      <w:r w:rsidRPr="006571AC">
        <w:rPr>
          <w:rFonts w:ascii="Arial" w:hAnsi="Arial"/>
          <w:sz w:val="27"/>
          <w:rtl/>
        </w:rPr>
        <w:t>لا</w:t>
      </w:r>
      <w:r w:rsidR="001C10DE" w:rsidRPr="006571AC">
        <w:rPr>
          <w:rFonts w:ascii="Arial" w:hAnsi="Arial" w:hint="cs"/>
          <w:sz w:val="27"/>
          <w:rtl/>
        </w:rPr>
        <w:t>ّ</w:t>
      </w:r>
      <w:r w:rsidRPr="006571AC">
        <w:rPr>
          <w:rFonts w:ascii="Arial" w:hAnsi="Arial"/>
          <w:sz w:val="27"/>
          <w:rtl/>
        </w:rPr>
        <w:t xml:space="preserve"> لكان مفادها تصويب الب</w:t>
      </w:r>
      <w:r w:rsidR="001C10DE" w:rsidRPr="006571AC">
        <w:rPr>
          <w:rFonts w:ascii="Arial" w:hAnsi="Arial" w:hint="cs"/>
          <w:sz w:val="27"/>
          <w:rtl/>
        </w:rPr>
        <w:t>ِ</w:t>
      </w:r>
      <w:r w:rsidRPr="006571AC">
        <w:rPr>
          <w:rFonts w:ascii="Arial" w:hAnsi="Arial"/>
          <w:sz w:val="27"/>
          <w:rtl/>
        </w:rPr>
        <w:t>د</w:t>
      </w:r>
      <w:r w:rsidR="001C10DE" w:rsidRPr="006571AC">
        <w:rPr>
          <w:rFonts w:ascii="Arial" w:hAnsi="Arial" w:hint="cs"/>
          <w:sz w:val="27"/>
          <w:rtl/>
        </w:rPr>
        <w:t>َ</w:t>
      </w:r>
      <w:r w:rsidRPr="006571AC">
        <w:rPr>
          <w:rFonts w:ascii="Arial" w:hAnsi="Arial"/>
          <w:sz w:val="27"/>
          <w:rtl/>
        </w:rPr>
        <w:t>ع</w:t>
      </w:r>
      <w:r w:rsidR="001C10DE" w:rsidRPr="006571AC">
        <w:rPr>
          <w:rFonts w:ascii="Arial" w:hAnsi="Arial" w:hint="cs"/>
          <w:sz w:val="27"/>
          <w:rtl/>
        </w:rPr>
        <w:t>،</w:t>
      </w:r>
      <w:r w:rsidRPr="006571AC">
        <w:rPr>
          <w:rFonts w:ascii="Arial" w:hAnsi="Arial"/>
          <w:sz w:val="27"/>
          <w:rtl/>
        </w:rPr>
        <w:t xml:space="preserve"> والحكم بمشروعيتها، والكذب المفت</w:t>
      </w:r>
      <w:r w:rsidRPr="006571AC">
        <w:rPr>
          <w:rFonts w:ascii="Arial" w:hAnsi="Arial" w:hint="cs"/>
          <w:sz w:val="27"/>
          <w:rtl/>
        </w:rPr>
        <w:t>ر</w:t>
      </w:r>
      <w:r w:rsidRPr="006571AC">
        <w:rPr>
          <w:rFonts w:ascii="Arial" w:hAnsi="Arial"/>
          <w:sz w:val="27"/>
          <w:rtl/>
        </w:rPr>
        <w:t>ع</w:t>
      </w:r>
      <w:r w:rsidRPr="000A006F">
        <w:rPr>
          <w:rFonts w:ascii="Arial" w:hAnsi="Arial"/>
          <w:sz w:val="27"/>
          <w:vertAlign w:val="superscript"/>
          <w:rtl/>
        </w:rPr>
        <w:t>(</w:t>
      </w:r>
      <w:r w:rsidRPr="000A006F">
        <w:rPr>
          <w:rFonts w:ascii="Arial" w:hAnsi="Arial"/>
          <w:sz w:val="27"/>
          <w:vertAlign w:val="superscript"/>
          <w:rtl/>
        </w:rPr>
        <w:endnoteReference w:id="681"/>
      </w:r>
      <w:r w:rsidRPr="000A006F">
        <w:rPr>
          <w:rFonts w:ascii="Arial" w:hAnsi="Arial"/>
          <w:sz w:val="27"/>
          <w:vertAlign w:val="superscript"/>
          <w:rtl/>
        </w:rPr>
        <w:t>)</w:t>
      </w:r>
      <w:r w:rsidRPr="006571AC">
        <w:rPr>
          <w:rFonts w:ascii="Arial" w:hAnsi="Arial" w:hint="cs"/>
          <w:sz w:val="27"/>
          <w:rtl/>
        </w:rPr>
        <w:t xml:space="preserve"> </w:t>
      </w:r>
      <w:r w:rsidRPr="006571AC">
        <w:rPr>
          <w:rFonts w:ascii="Arial" w:hAnsi="Arial"/>
          <w:sz w:val="27"/>
          <w:rtl/>
        </w:rPr>
        <w:t>على أئم</w:t>
      </w:r>
      <w:r w:rsidR="001C10DE" w:rsidRPr="006571AC">
        <w:rPr>
          <w:rFonts w:ascii="Arial" w:hAnsi="Arial" w:hint="cs"/>
          <w:sz w:val="27"/>
          <w:rtl/>
        </w:rPr>
        <w:t>ّ</w:t>
      </w:r>
      <w:r w:rsidRPr="006571AC">
        <w:rPr>
          <w:rFonts w:ascii="Arial" w:hAnsi="Arial"/>
          <w:sz w:val="27"/>
          <w:rtl/>
        </w:rPr>
        <w:t>ة الدين وح</w:t>
      </w:r>
      <w:r w:rsidR="001C10DE" w:rsidRPr="006571AC">
        <w:rPr>
          <w:rFonts w:ascii="Arial" w:hAnsi="Arial" w:hint="cs"/>
          <w:sz w:val="27"/>
          <w:rtl/>
        </w:rPr>
        <w:t>ُ</w:t>
      </w:r>
      <w:r w:rsidRPr="006571AC">
        <w:rPr>
          <w:rFonts w:ascii="Arial" w:hAnsi="Arial"/>
          <w:sz w:val="27"/>
          <w:rtl/>
        </w:rPr>
        <w:t>ماته</w:t>
      </w:r>
      <w:r w:rsidR="001C10DE" w:rsidRPr="006571AC">
        <w:rPr>
          <w:rFonts w:ascii="Arial" w:hAnsi="Arial" w:hint="cs"/>
          <w:sz w:val="27"/>
          <w:rtl/>
        </w:rPr>
        <w:t>.</w:t>
      </w:r>
      <w:r w:rsidRPr="006571AC">
        <w:rPr>
          <w:rFonts w:ascii="Arial" w:hAnsi="Arial"/>
          <w:sz w:val="27"/>
          <w:rtl/>
        </w:rPr>
        <w:t xml:space="preserve"> وهذا </w:t>
      </w:r>
      <w:r w:rsidR="001C10DE" w:rsidRPr="006571AC">
        <w:rPr>
          <w:rFonts w:ascii="Arial" w:hAnsi="Arial" w:hint="cs"/>
          <w:sz w:val="27"/>
          <w:rtl/>
        </w:rPr>
        <w:t xml:space="preserve">ـ </w:t>
      </w:r>
      <w:r w:rsidRPr="006571AC">
        <w:rPr>
          <w:rFonts w:ascii="Arial" w:hAnsi="Arial"/>
          <w:sz w:val="27"/>
          <w:rtl/>
        </w:rPr>
        <w:t>كما ترى</w:t>
      </w:r>
      <w:r w:rsidR="001C10DE" w:rsidRPr="006571AC">
        <w:rPr>
          <w:rFonts w:ascii="Arial" w:hAnsi="Arial" w:hint="cs"/>
          <w:sz w:val="27"/>
          <w:rtl/>
        </w:rPr>
        <w:t xml:space="preserve"> ـ</w:t>
      </w:r>
      <w:r w:rsidRPr="006571AC">
        <w:rPr>
          <w:rFonts w:ascii="Arial" w:hAnsi="Arial"/>
          <w:sz w:val="27"/>
          <w:rtl/>
        </w:rPr>
        <w:t xml:space="preserve"> مخالف</w:t>
      </w:r>
      <w:r w:rsidR="001C10DE" w:rsidRPr="006571AC">
        <w:rPr>
          <w:rFonts w:ascii="Arial" w:hAnsi="Arial" w:hint="cs"/>
          <w:sz w:val="27"/>
          <w:rtl/>
        </w:rPr>
        <w:t>ٌ</w:t>
      </w:r>
      <w:r w:rsidRPr="006571AC">
        <w:rPr>
          <w:rFonts w:ascii="Arial" w:hAnsi="Arial"/>
          <w:sz w:val="27"/>
          <w:rtl/>
        </w:rPr>
        <w:t xml:space="preserve"> لضرورة المذهب</w:t>
      </w:r>
      <w:r w:rsidRPr="000A006F">
        <w:rPr>
          <w:rFonts w:ascii="Arial" w:hAnsi="Arial" w:hint="eastAsia"/>
          <w:sz w:val="24"/>
          <w:szCs w:val="24"/>
          <w:rtl/>
        </w:rPr>
        <w:t>»</w:t>
      </w:r>
      <w:r w:rsidRPr="000A006F">
        <w:rPr>
          <w:rFonts w:ascii="Arial" w:hAnsi="Arial"/>
          <w:sz w:val="27"/>
          <w:vertAlign w:val="superscript"/>
          <w:rtl/>
        </w:rPr>
        <w:t>(</w:t>
      </w:r>
      <w:r w:rsidRPr="000A006F">
        <w:rPr>
          <w:rFonts w:ascii="Arial" w:hAnsi="Arial"/>
          <w:sz w:val="27"/>
          <w:vertAlign w:val="superscript"/>
          <w:rtl/>
        </w:rPr>
        <w:endnoteReference w:id="682"/>
      </w:r>
      <w:r w:rsidRPr="000A006F">
        <w:rPr>
          <w:rFonts w:ascii="Arial" w:hAnsi="Arial"/>
          <w:sz w:val="27"/>
          <w:vertAlign w:val="superscript"/>
          <w:rtl/>
        </w:rPr>
        <w:t>)</w:t>
      </w:r>
      <w:r w:rsidRPr="006571AC">
        <w:rPr>
          <w:rFonts w:ascii="Arial" w:hAnsi="Arial"/>
          <w:sz w:val="27"/>
          <w:rtl/>
        </w:rPr>
        <w:t xml:space="preserve">. </w:t>
      </w:r>
    </w:p>
    <w:p w:rsidR="001C10DE" w:rsidRPr="006571AC" w:rsidRDefault="009B65D5" w:rsidP="000A006F">
      <w:pPr>
        <w:rPr>
          <w:rFonts w:ascii="Arial" w:hAnsi="Arial"/>
          <w:sz w:val="27"/>
          <w:rtl/>
        </w:rPr>
      </w:pPr>
      <w:r w:rsidRPr="006571AC">
        <w:rPr>
          <w:rFonts w:ascii="Arial" w:hAnsi="Arial" w:hint="cs"/>
          <w:sz w:val="27"/>
          <w:rtl/>
        </w:rPr>
        <w:t>وأما في الصورة الثانية، أعني كونها محتملة التحريم، فما عليه بعض الفقهاء هو عدم إجراء القاعدة أيضاً، فيكون إجراؤها مشروطاً بانتفاء احتمال التحريم، وبعبارة</w:t>
      </w:r>
      <w:r w:rsidR="001C10DE" w:rsidRPr="006571AC">
        <w:rPr>
          <w:rFonts w:ascii="Arial" w:hAnsi="Arial" w:hint="cs"/>
          <w:sz w:val="27"/>
          <w:rtl/>
        </w:rPr>
        <w:t>ٍ</w:t>
      </w:r>
      <w:r w:rsidRPr="006571AC">
        <w:rPr>
          <w:rFonts w:ascii="Arial" w:hAnsi="Arial" w:hint="cs"/>
          <w:sz w:val="27"/>
          <w:rtl/>
        </w:rPr>
        <w:t xml:space="preserve"> أخرى: إنما تجري في مورد</w:t>
      </w:r>
      <w:r w:rsidR="001C10DE" w:rsidRPr="006571AC">
        <w:rPr>
          <w:rFonts w:ascii="Arial" w:hAnsi="Arial" w:hint="cs"/>
          <w:sz w:val="27"/>
          <w:rtl/>
        </w:rPr>
        <w:t>ٍ</w:t>
      </w:r>
      <w:r w:rsidRPr="006571AC">
        <w:rPr>
          <w:rFonts w:ascii="Arial" w:hAnsi="Arial" w:hint="cs"/>
          <w:sz w:val="27"/>
          <w:rtl/>
        </w:rPr>
        <w:t xml:space="preserve"> يكون احتمال الاستحباب غير مجامع</w:t>
      </w:r>
      <w:r w:rsidR="001C10DE" w:rsidRPr="006571AC">
        <w:rPr>
          <w:rFonts w:ascii="Arial" w:hAnsi="Arial" w:hint="cs"/>
          <w:sz w:val="27"/>
          <w:rtl/>
        </w:rPr>
        <w:t>ٍ</w:t>
      </w:r>
      <w:r w:rsidRPr="006571AC">
        <w:rPr>
          <w:rFonts w:ascii="Arial" w:hAnsi="Arial" w:hint="cs"/>
          <w:sz w:val="27"/>
          <w:rtl/>
        </w:rPr>
        <w:t xml:space="preserve"> لاحتمال التحريم، فيدور الأمر بين الإباحة والاستحباب</w:t>
      </w:r>
      <w:r w:rsidR="001C10DE" w:rsidRPr="006571AC">
        <w:rPr>
          <w:rFonts w:ascii="Arial" w:hAnsi="Arial" w:hint="cs"/>
          <w:sz w:val="27"/>
          <w:rtl/>
        </w:rPr>
        <w:t>،</w:t>
      </w:r>
      <w:r w:rsidRPr="006571AC">
        <w:rPr>
          <w:rFonts w:ascii="Arial" w:hAnsi="Arial" w:hint="cs"/>
          <w:sz w:val="27"/>
          <w:rtl/>
        </w:rPr>
        <w:t xml:space="preserve"> أو الكراهة والاستحباب</w:t>
      </w:r>
      <w:r w:rsidR="001C10DE" w:rsidRPr="006571AC">
        <w:rPr>
          <w:rFonts w:ascii="Arial" w:hAnsi="Arial" w:hint="cs"/>
          <w:sz w:val="27"/>
          <w:rtl/>
        </w:rPr>
        <w:t>,</w:t>
      </w:r>
      <w:r w:rsidRPr="006571AC">
        <w:rPr>
          <w:rFonts w:ascii="Arial" w:hAnsi="Arial" w:hint="cs"/>
          <w:sz w:val="27"/>
          <w:rtl/>
        </w:rPr>
        <w:t xml:space="preserve"> وهذا الشرط في محلّ</w:t>
      </w:r>
      <w:r w:rsidR="001C10DE" w:rsidRPr="006571AC">
        <w:rPr>
          <w:rFonts w:ascii="Arial" w:hAnsi="Arial" w:hint="cs"/>
          <w:sz w:val="27"/>
          <w:rtl/>
        </w:rPr>
        <w:t>ِ</w:t>
      </w:r>
      <w:r w:rsidRPr="006571AC">
        <w:rPr>
          <w:rFonts w:ascii="Arial" w:hAnsi="Arial" w:hint="cs"/>
          <w:sz w:val="27"/>
          <w:rtl/>
        </w:rPr>
        <w:t>ه أيضاً</w:t>
      </w:r>
      <w:r w:rsidR="001C10DE" w:rsidRPr="006571AC">
        <w:rPr>
          <w:rFonts w:ascii="Arial" w:hAnsi="Arial" w:hint="cs"/>
          <w:sz w:val="27"/>
          <w:rtl/>
        </w:rPr>
        <w:t>؛</w:t>
      </w:r>
      <w:r w:rsidRPr="006571AC">
        <w:rPr>
          <w:rFonts w:ascii="Arial" w:hAnsi="Arial" w:hint="cs"/>
          <w:sz w:val="27"/>
          <w:rtl/>
        </w:rPr>
        <w:t xml:space="preserve"> ويمكن الاستدلال عليه بأنّ حديث الإمام</w:t>
      </w:r>
      <w:r w:rsidR="002A2C90" w:rsidRPr="00E452B7">
        <w:rPr>
          <w:rFonts w:ascii="Mosawi" w:hAnsi="Mosawi" w:cs="Mosawi"/>
          <w:sz w:val="22"/>
          <w:szCs w:val="22"/>
          <w:rtl/>
        </w:rPr>
        <w:t>×</w:t>
      </w:r>
      <w:r w:rsidRPr="006571AC">
        <w:rPr>
          <w:rFonts w:ascii="Arial" w:hAnsi="Arial" w:hint="cs"/>
          <w:sz w:val="27"/>
          <w:rtl/>
        </w:rPr>
        <w:t xml:space="preserve"> عن </w:t>
      </w:r>
      <w:r w:rsidRPr="00E452B7">
        <w:rPr>
          <w:rFonts w:ascii="Arial" w:hAnsi="Arial" w:hint="eastAsia"/>
          <w:sz w:val="24"/>
          <w:szCs w:val="24"/>
          <w:rtl/>
        </w:rPr>
        <w:t>«</w:t>
      </w:r>
      <w:r w:rsidRPr="006571AC">
        <w:rPr>
          <w:rFonts w:ascii="Arial" w:hAnsi="Arial" w:hint="cs"/>
          <w:sz w:val="27"/>
          <w:rtl/>
        </w:rPr>
        <w:t>بلوغ الثواب</w:t>
      </w:r>
      <w:r w:rsidRPr="00E452B7">
        <w:rPr>
          <w:rFonts w:ascii="Arial" w:hAnsi="Arial" w:hint="eastAsia"/>
          <w:sz w:val="24"/>
          <w:szCs w:val="24"/>
          <w:rtl/>
        </w:rPr>
        <w:t>»</w:t>
      </w:r>
      <w:r w:rsidRPr="006571AC">
        <w:rPr>
          <w:rFonts w:ascii="Arial" w:hAnsi="Arial" w:hint="cs"/>
          <w:sz w:val="27"/>
          <w:rtl/>
        </w:rPr>
        <w:t xml:space="preserve"> منصرف</w:t>
      </w:r>
      <w:r w:rsidR="001C10DE" w:rsidRPr="006571AC">
        <w:rPr>
          <w:rFonts w:ascii="Arial" w:hAnsi="Arial" w:hint="cs"/>
          <w:sz w:val="27"/>
          <w:rtl/>
        </w:rPr>
        <w:t>ٌ</w:t>
      </w:r>
      <w:r w:rsidRPr="006571AC">
        <w:rPr>
          <w:rFonts w:ascii="Arial" w:hAnsi="Arial" w:hint="cs"/>
          <w:sz w:val="27"/>
          <w:rtl/>
        </w:rPr>
        <w:t xml:space="preserve"> إلى الثواب الم</w:t>
      </w:r>
      <w:r w:rsidR="001C10DE" w:rsidRPr="006571AC">
        <w:rPr>
          <w:rFonts w:ascii="Arial" w:hAnsi="Arial" w:hint="cs"/>
          <w:sz w:val="27"/>
          <w:rtl/>
        </w:rPr>
        <w:t>َ</w:t>
      </w:r>
      <w:r w:rsidRPr="006571AC">
        <w:rPr>
          <w:rFonts w:ascii="Arial" w:hAnsi="Arial" w:hint="cs"/>
          <w:sz w:val="27"/>
          <w:rtl/>
        </w:rPr>
        <w:t>ح</w:t>
      </w:r>
      <w:r w:rsidR="001C10DE" w:rsidRPr="006571AC">
        <w:rPr>
          <w:rFonts w:ascii="Arial" w:hAnsi="Arial" w:hint="cs"/>
          <w:sz w:val="27"/>
          <w:rtl/>
        </w:rPr>
        <w:t>ْ</w:t>
      </w:r>
      <w:r w:rsidRPr="006571AC">
        <w:rPr>
          <w:rFonts w:ascii="Arial" w:hAnsi="Arial" w:hint="cs"/>
          <w:sz w:val="27"/>
          <w:rtl/>
        </w:rPr>
        <w:t>ض</w:t>
      </w:r>
      <w:r w:rsidR="001C10DE" w:rsidRPr="006571AC">
        <w:rPr>
          <w:rFonts w:ascii="Arial" w:hAnsi="Arial" w:hint="cs"/>
          <w:sz w:val="27"/>
          <w:rtl/>
        </w:rPr>
        <w:t>،</w:t>
      </w:r>
      <w:r w:rsidRPr="006571AC">
        <w:rPr>
          <w:rFonts w:ascii="Arial" w:hAnsi="Arial" w:hint="cs"/>
          <w:sz w:val="27"/>
          <w:rtl/>
        </w:rPr>
        <w:t xml:space="preserve"> لا الثواب المشوب بالعقاب الناتج عن احتمال التحريم</w:t>
      </w:r>
      <w:r w:rsidR="001C10DE" w:rsidRPr="006571AC">
        <w:rPr>
          <w:rFonts w:ascii="Arial" w:hAnsi="Arial" w:hint="cs"/>
          <w:sz w:val="27"/>
          <w:rtl/>
        </w:rPr>
        <w:t>.</w:t>
      </w:r>
      <w:r w:rsidRPr="006571AC">
        <w:rPr>
          <w:rFonts w:ascii="Arial" w:hAnsi="Arial" w:hint="cs"/>
          <w:sz w:val="27"/>
          <w:rtl/>
        </w:rPr>
        <w:t xml:space="preserve"> وقوله</w:t>
      </w:r>
      <w:r w:rsidR="002A2C90" w:rsidRPr="00E452B7">
        <w:rPr>
          <w:rFonts w:ascii="Mosawi" w:hAnsi="Mosawi" w:cs="Mosawi"/>
          <w:sz w:val="22"/>
          <w:szCs w:val="22"/>
          <w:rtl/>
        </w:rPr>
        <w:t>×</w:t>
      </w:r>
      <w:r w:rsidRPr="006571AC">
        <w:rPr>
          <w:rFonts w:ascii="Arial" w:hAnsi="Arial" w:hint="cs"/>
          <w:sz w:val="27"/>
          <w:rtl/>
        </w:rPr>
        <w:t xml:space="preserve"> في بعض الروايات</w:t>
      </w:r>
      <w:r w:rsidR="001C10DE" w:rsidRPr="006571AC">
        <w:rPr>
          <w:rFonts w:ascii="Arial" w:hAnsi="Arial" w:hint="cs"/>
          <w:sz w:val="27"/>
          <w:rtl/>
        </w:rPr>
        <w:t>:</w:t>
      </w:r>
      <w:r w:rsidRPr="006571AC">
        <w:rPr>
          <w:rFonts w:ascii="Arial" w:hAnsi="Arial" w:hint="cs"/>
          <w:sz w:val="27"/>
          <w:rtl/>
        </w:rPr>
        <w:t xml:space="preserve"> </w:t>
      </w:r>
      <w:r w:rsidRPr="00E452B7">
        <w:rPr>
          <w:rFonts w:ascii="Arial" w:hAnsi="Arial" w:hint="eastAsia"/>
          <w:sz w:val="24"/>
          <w:szCs w:val="24"/>
          <w:rtl/>
        </w:rPr>
        <w:t>«</w:t>
      </w:r>
      <w:r w:rsidRPr="006571AC">
        <w:rPr>
          <w:rFonts w:ascii="Arial" w:hAnsi="Arial" w:hint="cs"/>
          <w:sz w:val="27"/>
          <w:rtl/>
        </w:rPr>
        <w:t>ففعله رجاء ذلك الثواب</w:t>
      </w:r>
      <w:r w:rsidRPr="00E452B7">
        <w:rPr>
          <w:rFonts w:ascii="Arial" w:hAnsi="Arial" w:hint="eastAsia"/>
          <w:sz w:val="24"/>
          <w:szCs w:val="24"/>
          <w:rtl/>
        </w:rPr>
        <w:t>»</w:t>
      </w:r>
      <w:r w:rsidRPr="006571AC">
        <w:rPr>
          <w:rFonts w:ascii="Arial" w:hAnsi="Arial" w:hint="cs"/>
          <w:sz w:val="27"/>
          <w:rtl/>
        </w:rPr>
        <w:t xml:space="preserve"> ظاهر</w:t>
      </w:r>
      <w:r w:rsidR="001C10DE" w:rsidRPr="006571AC">
        <w:rPr>
          <w:rFonts w:ascii="Arial" w:hAnsi="Arial" w:hint="cs"/>
          <w:sz w:val="27"/>
          <w:rtl/>
        </w:rPr>
        <w:t>ٌ</w:t>
      </w:r>
      <w:r w:rsidRPr="00E452B7">
        <w:rPr>
          <w:rFonts w:ascii="Arial" w:hAnsi="Arial"/>
          <w:sz w:val="27"/>
          <w:vertAlign w:val="superscript"/>
          <w:rtl/>
        </w:rPr>
        <w:t>(</w:t>
      </w:r>
      <w:r w:rsidRPr="00E452B7">
        <w:rPr>
          <w:rFonts w:ascii="Arial" w:hAnsi="Arial"/>
          <w:sz w:val="27"/>
          <w:vertAlign w:val="superscript"/>
          <w:rtl/>
        </w:rPr>
        <w:endnoteReference w:id="683"/>
      </w:r>
      <w:r w:rsidRPr="00E452B7">
        <w:rPr>
          <w:rFonts w:ascii="Arial" w:hAnsi="Arial"/>
          <w:sz w:val="27"/>
          <w:vertAlign w:val="superscript"/>
          <w:rtl/>
        </w:rPr>
        <w:t>)</w:t>
      </w:r>
      <w:r w:rsidRPr="006571AC">
        <w:rPr>
          <w:rFonts w:ascii="Arial" w:hAnsi="Arial" w:hint="cs"/>
          <w:sz w:val="27"/>
          <w:rtl/>
        </w:rPr>
        <w:t xml:space="preserve"> وناظر</w:t>
      </w:r>
      <w:r w:rsidR="001C10DE" w:rsidRPr="006571AC">
        <w:rPr>
          <w:rFonts w:ascii="Arial" w:hAnsi="Arial" w:hint="cs"/>
          <w:sz w:val="27"/>
          <w:rtl/>
        </w:rPr>
        <w:t>ٌ</w:t>
      </w:r>
      <w:r w:rsidRPr="006571AC">
        <w:rPr>
          <w:rFonts w:ascii="Arial" w:hAnsi="Arial" w:hint="cs"/>
          <w:sz w:val="27"/>
          <w:rtl/>
        </w:rPr>
        <w:t xml:space="preserve"> إلى صورة عدم وجود احتمال الحرمة</w:t>
      </w:r>
      <w:r w:rsidR="001C10DE" w:rsidRPr="006571AC">
        <w:rPr>
          <w:rFonts w:ascii="Arial" w:hAnsi="Arial" w:hint="cs"/>
          <w:sz w:val="27"/>
          <w:rtl/>
        </w:rPr>
        <w:t>.</w:t>
      </w:r>
    </w:p>
    <w:p w:rsidR="009B65D5" w:rsidRPr="006571AC" w:rsidRDefault="009B65D5" w:rsidP="00E452B7">
      <w:pPr>
        <w:rPr>
          <w:rFonts w:ascii="Arial" w:hAnsi="Arial"/>
          <w:sz w:val="27"/>
          <w:rtl/>
        </w:rPr>
      </w:pPr>
      <w:r w:rsidRPr="006571AC">
        <w:rPr>
          <w:rFonts w:ascii="Arial" w:hAnsi="Arial" w:hint="cs"/>
          <w:sz w:val="27"/>
          <w:rtl/>
        </w:rPr>
        <w:t>هذا لو أخ</w:t>
      </w:r>
      <w:r w:rsidR="001C10DE" w:rsidRPr="006571AC">
        <w:rPr>
          <w:rFonts w:ascii="Arial" w:hAnsi="Arial" w:hint="cs"/>
          <w:sz w:val="27"/>
          <w:rtl/>
        </w:rPr>
        <w:t>َ</w:t>
      </w:r>
      <w:r w:rsidRPr="006571AC">
        <w:rPr>
          <w:rFonts w:ascii="Arial" w:hAnsi="Arial" w:hint="cs"/>
          <w:sz w:val="27"/>
          <w:rtl/>
        </w:rPr>
        <w:t>ذ</w:t>
      </w:r>
      <w:r w:rsidR="001C10DE" w:rsidRPr="006571AC">
        <w:rPr>
          <w:rFonts w:ascii="Arial" w:hAnsi="Arial" w:hint="cs"/>
          <w:sz w:val="27"/>
          <w:rtl/>
        </w:rPr>
        <w:t>ْ</w:t>
      </w:r>
      <w:r w:rsidRPr="006571AC">
        <w:rPr>
          <w:rFonts w:ascii="Arial" w:hAnsi="Arial" w:hint="cs"/>
          <w:sz w:val="27"/>
          <w:rtl/>
        </w:rPr>
        <w:t xml:space="preserve">نا بتفسير أخبار </w:t>
      </w:r>
      <w:r w:rsidRPr="00E452B7">
        <w:rPr>
          <w:rFonts w:ascii="Arial" w:hAnsi="Arial" w:hint="eastAsia"/>
          <w:sz w:val="24"/>
          <w:szCs w:val="24"/>
          <w:rtl/>
        </w:rPr>
        <w:t>«</w:t>
      </w:r>
      <w:r w:rsidRPr="006571AC">
        <w:rPr>
          <w:rFonts w:ascii="Arial" w:hAnsi="Arial" w:hint="cs"/>
          <w:sz w:val="27"/>
          <w:rtl/>
        </w:rPr>
        <w:t>م</w:t>
      </w:r>
      <w:r w:rsidR="001C10DE" w:rsidRPr="006571AC">
        <w:rPr>
          <w:rFonts w:ascii="Arial" w:hAnsi="Arial" w:hint="cs"/>
          <w:sz w:val="27"/>
          <w:rtl/>
        </w:rPr>
        <w:t>َ</w:t>
      </w:r>
      <w:r w:rsidRPr="006571AC">
        <w:rPr>
          <w:rFonts w:ascii="Arial" w:hAnsi="Arial" w:hint="cs"/>
          <w:sz w:val="27"/>
          <w:rtl/>
        </w:rPr>
        <w:t>ن</w:t>
      </w:r>
      <w:r w:rsidR="001C10DE" w:rsidRPr="006571AC">
        <w:rPr>
          <w:rFonts w:ascii="Arial" w:hAnsi="Arial" w:hint="cs"/>
          <w:sz w:val="27"/>
          <w:rtl/>
        </w:rPr>
        <w:t>ْ</w:t>
      </w:r>
      <w:r w:rsidRPr="006571AC">
        <w:rPr>
          <w:rFonts w:ascii="Arial" w:hAnsi="Arial" w:hint="cs"/>
          <w:sz w:val="27"/>
          <w:rtl/>
        </w:rPr>
        <w:t xml:space="preserve"> بلغ</w:t>
      </w:r>
      <w:r w:rsidRPr="00E452B7">
        <w:rPr>
          <w:rFonts w:ascii="Arial" w:hAnsi="Arial" w:hint="eastAsia"/>
          <w:sz w:val="24"/>
          <w:szCs w:val="24"/>
          <w:rtl/>
        </w:rPr>
        <w:t>»</w:t>
      </w:r>
      <w:r w:rsidRPr="006571AC">
        <w:rPr>
          <w:rFonts w:ascii="Arial" w:hAnsi="Arial" w:hint="cs"/>
          <w:sz w:val="27"/>
          <w:rtl/>
        </w:rPr>
        <w:t xml:space="preserve"> وفقاً للوجه الأو</w:t>
      </w:r>
      <w:r w:rsidR="001C10DE" w:rsidRPr="006571AC">
        <w:rPr>
          <w:rFonts w:ascii="Arial" w:hAnsi="Arial" w:hint="cs"/>
          <w:sz w:val="27"/>
          <w:rtl/>
        </w:rPr>
        <w:t>ّ</w:t>
      </w:r>
      <w:r w:rsidRPr="006571AC">
        <w:rPr>
          <w:rFonts w:ascii="Arial" w:hAnsi="Arial" w:hint="cs"/>
          <w:sz w:val="27"/>
          <w:rtl/>
        </w:rPr>
        <w:t>ل من الوجوه الخمسة المتقد</w:t>
      </w:r>
      <w:r w:rsidR="001C10DE" w:rsidRPr="006571AC">
        <w:rPr>
          <w:rFonts w:ascii="Arial" w:hAnsi="Arial" w:hint="cs"/>
          <w:sz w:val="27"/>
          <w:rtl/>
        </w:rPr>
        <w:t>ِّ</w:t>
      </w:r>
      <w:r w:rsidRPr="006571AC">
        <w:rPr>
          <w:rFonts w:ascii="Arial" w:hAnsi="Arial" w:hint="cs"/>
          <w:sz w:val="27"/>
          <w:rtl/>
        </w:rPr>
        <w:t>مة</w:t>
      </w:r>
      <w:r w:rsidR="001C10DE" w:rsidRPr="006571AC">
        <w:rPr>
          <w:rFonts w:ascii="Arial" w:hAnsi="Arial" w:hint="cs"/>
          <w:sz w:val="27"/>
          <w:rtl/>
        </w:rPr>
        <w:t>،</w:t>
      </w:r>
      <w:r w:rsidRPr="006571AC">
        <w:rPr>
          <w:rFonts w:ascii="Arial" w:hAnsi="Arial" w:hint="cs"/>
          <w:sz w:val="27"/>
          <w:rtl/>
        </w:rPr>
        <w:t xml:space="preserve"> والذي بموجبه دل</w:t>
      </w:r>
      <w:r w:rsidR="001C10DE" w:rsidRPr="006571AC">
        <w:rPr>
          <w:rFonts w:ascii="Arial" w:hAnsi="Arial" w:hint="cs"/>
          <w:sz w:val="27"/>
          <w:rtl/>
        </w:rPr>
        <w:t>َّ</w:t>
      </w:r>
      <w:r w:rsidRPr="006571AC">
        <w:rPr>
          <w:rFonts w:ascii="Arial" w:hAnsi="Arial" w:hint="cs"/>
          <w:sz w:val="27"/>
          <w:rtl/>
        </w:rPr>
        <w:t>ت</w:t>
      </w:r>
      <w:r w:rsidR="001C10DE" w:rsidRPr="006571AC">
        <w:rPr>
          <w:rFonts w:ascii="Arial" w:hAnsi="Arial" w:hint="cs"/>
          <w:sz w:val="27"/>
          <w:rtl/>
        </w:rPr>
        <w:t>ْ</w:t>
      </w:r>
      <w:r w:rsidRPr="006571AC">
        <w:rPr>
          <w:rFonts w:ascii="Arial" w:hAnsi="Arial" w:hint="cs"/>
          <w:sz w:val="27"/>
          <w:rtl/>
        </w:rPr>
        <w:t xml:space="preserve"> الأخبار على القاعدة</w:t>
      </w:r>
      <w:r w:rsidR="001C10DE" w:rsidRPr="006571AC">
        <w:rPr>
          <w:rFonts w:ascii="Arial" w:hAnsi="Arial" w:hint="cs"/>
          <w:sz w:val="27"/>
          <w:rtl/>
        </w:rPr>
        <w:t>؛</w:t>
      </w:r>
      <w:r w:rsidRPr="006571AC">
        <w:rPr>
          <w:rFonts w:ascii="Arial" w:hAnsi="Arial" w:hint="cs"/>
          <w:sz w:val="27"/>
          <w:rtl/>
        </w:rPr>
        <w:t xml:space="preserve"> وأما بناءً على أقرب الوجوه في تفسير القاعدة، وهما</w:t>
      </w:r>
      <w:r w:rsidR="00E9105D" w:rsidRPr="006571AC">
        <w:rPr>
          <w:rFonts w:ascii="Arial" w:hAnsi="Arial" w:hint="cs"/>
          <w:sz w:val="27"/>
          <w:rtl/>
        </w:rPr>
        <w:t>:</w:t>
      </w:r>
      <w:r w:rsidRPr="006571AC">
        <w:rPr>
          <w:rFonts w:ascii="Arial" w:hAnsi="Arial" w:hint="cs"/>
          <w:sz w:val="27"/>
          <w:rtl/>
        </w:rPr>
        <w:t xml:space="preserve"> الوجه الثالث (مطع</w:t>
      </w:r>
      <w:r w:rsidR="00E9105D" w:rsidRPr="006571AC">
        <w:rPr>
          <w:rFonts w:ascii="Arial" w:hAnsi="Arial" w:hint="cs"/>
          <w:sz w:val="27"/>
          <w:rtl/>
        </w:rPr>
        <w:t>َّ</w:t>
      </w:r>
      <w:r w:rsidRPr="006571AC">
        <w:rPr>
          <w:rFonts w:ascii="Arial" w:hAnsi="Arial" w:hint="cs"/>
          <w:sz w:val="27"/>
          <w:rtl/>
        </w:rPr>
        <w:t>ماً بالرابع)</w:t>
      </w:r>
      <w:r w:rsidR="00E9105D" w:rsidRPr="006571AC">
        <w:rPr>
          <w:rFonts w:ascii="Arial" w:hAnsi="Arial" w:hint="cs"/>
          <w:sz w:val="27"/>
          <w:rtl/>
        </w:rPr>
        <w:t>؛</w:t>
      </w:r>
      <w:r w:rsidRPr="006571AC">
        <w:rPr>
          <w:rFonts w:ascii="Arial" w:hAnsi="Arial" w:hint="cs"/>
          <w:sz w:val="27"/>
          <w:rtl/>
        </w:rPr>
        <w:t xml:space="preserve"> أو </w:t>
      </w:r>
      <w:r w:rsidR="00E9105D" w:rsidRPr="006571AC">
        <w:rPr>
          <w:rFonts w:ascii="Arial" w:hAnsi="Arial" w:hint="cs"/>
          <w:sz w:val="27"/>
          <w:rtl/>
        </w:rPr>
        <w:t xml:space="preserve">الوجه </w:t>
      </w:r>
      <w:r w:rsidRPr="006571AC">
        <w:rPr>
          <w:rFonts w:ascii="Arial" w:hAnsi="Arial" w:hint="cs"/>
          <w:sz w:val="27"/>
          <w:rtl/>
        </w:rPr>
        <w:t>الخامس، فالأمر يغدو أكثر وضوحاً</w:t>
      </w:r>
      <w:r w:rsidR="00E9105D" w:rsidRPr="006571AC">
        <w:rPr>
          <w:rFonts w:ascii="Arial" w:hAnsi="Arial" w:hint="cs"/>
          <w:sz w:val="27"/>
          <w:rtl/>
        </w:rPr>
        <w:t>.</w:t>
      </w:r>
      <w:r w:rsidRPr="006571AC">
        <w:rPr>
          <w:rFonts w:ascii="Arial" w:hAnsi="Arial" w:hint="cs"/>
          <w:sz w:val="27"/>
          <w:rtl/>
        </w:rPr>
        <w:t xml:space="preserve"> أما على الوجه الثالث</w:t>
      </w:r>
      <w:r w:rsidR="00E9105D" w:rsidRPr="006571AC">
        <w:rPr>
          <w:rFonts w:ascii="Arial" w:hAnsi="Arial" w:hint="cs"/>
          <w:sz w:val="27"/>
          <w:rtl/>
        </w:rPr>
        <w:t>،</w:t>
      </w:r>
      <w:r w:rsidRPr="006571AC">
        <w:rPr>
          <w:rFonts w:ascii="Arial" w:hAnsi="Arial" w:hint="cs"/>
          <w:sz w:val="27"/>
          <w:rtl/>
        </w:rPr>
        <w:t xml:space="preserve"> القائل</w:t>
      </w:r>
      <w:r w:rsidR="00E9105D" w:rsidRPr="006571AC">
        <w:rPr>
          <w:rFonts w:ascii="Arial" w:hAnsi="Arial" w:hint="cs"/>
          <w:sz w:val="27"/>
          <w:rtl/>
        </w:rPr>
        <w:t>:</w:t>
      </w:r>
      <w:r w:rsidRPr="006571AC">
        <w:rPr>
          <w:rFonts w:ascii="Arial" w:hAnsi="Arial" w:hint="cs"/>
          <w:sz w:val="27"/>
          <w:rtl/>
        </w:rPr>
        <w:t xml:space="preserve"> إنّها إرشاد إلى حكم العقل بح</w:t>
      </w:r>
      <w:r w:rsidR="00E9105D" w:rsidRPr="006571AC">
        <w:rPr>
          <w:rFonts w:ascii="Arial" w:hAnsi="Arial" w:hint="cs"/>
          <w:sz w:val="27"/>
          <w:rtl/>
        </w:rPr>
        <w:t>ُ</w:t>
      </w:r>
      <w:r w:rsidRPr="006571AC">
        <w:rPr>
          <w:rFonts w:ascii="Arial" w:hAnsi="Arial" w:hint="cs"/>
          <w:sz w:val="27"/>
          <w:rtl/>
        </w:rPr>
        <w:t>س</w:t>
      </w:r>
      <w:r w:rsidR="00E9105D" w:rsidRPr="006571AC">
        <w:rPr>
          <w:rFonts w:ascii="Arial" w:hAnsi="Arial" w:hint="cs"/>
          <w:sz w:val="27"/>
          <w:rtl/>
        </w:rPr>
        <w:t>ْ</w:t>
      </w:r>
      <w:r w:rsidRPr="006571AC">
        <w:rPr>
          <w:rFonts w:ascii="Arial" w:hAnsi="Arial" w:hint="cs"/>
          <w:sz w:val="27"/>
          <w:rtl/>
        </w:rPr>
        <w:t>ن الانقياد، فإن العقل يحكم بذلك في مورد</w:t>
      </w:r>
      <w:r w:rsidR="00E9105D" w:rsidRPr="006571AC">
        <w:rPr>
          <w:rFonts w:ascii="Arial" w:hAnsi="Arial" w:hint="cs"/>
          <w:sz w:val="27"/>
          <w:rtl/>
        </w:rPr>
        <w:t>ٍ</w:t>
      </w:r>
      <w:r w:rsidRPr="006571AC">
        <w:rPr>
          <w:rFonts w:ascii="Arial" w:hAnsi="Arial" w:hint="cs"/>
          <w:sz w:val="27"/>
          <w:rtl/>
        </w:rPr>
        <w:t xml:space="preserve"> يكون في الانقياد صرفُ احتمالِ الن</w:t>
      </w:r>
      <w:r w:rsidR="00E9105D" w:rsidRPr="006571AC">
        <w:rPr>
          <w:rFonts w:ascii="Arial" w:hAnsi="Arial" w:hint="cs"/>
          <w:sz w:val="27"/>
          <w:rtl/>
        </w:rPr>
        <w:t>َّ</w:t>
      </w:r>
      <w:r w:rsidRPr="006571AC">
        <w:rPr>
          <w:rFonts w:ascii="Arial" w:hAnsi="Arial" w:hint="cs"/>
          <w:sz w:val="27"/>
          <w:rtl/>
        </w:rPr>
        <w:t>ف</w:t>
      </w:r>
      <w:r w:rsidR="00E9105D" w:rsidRPr="006571AC">
        <w:rPr>
          <w:rFonts w:ascii="Arial" w:hAnsi="Arial" w:hint="cs"/>
          <w:sz w:val="27"/>
          <w:rtl/>
        </w:rPr>
        <w:t>ْ</w:t>
      </w:r>
      <w:r w:rsidRPr="006571AC">
        <w:rPr>
          <w:rFonts w:ascii="Arial" w:hAnsi="Arial" w:hint="cs"/>
          <w:sz w:val="27"/>
          <w:rtl/>
        </w:rPr>
        <w:t>ع، وأما إذا كان فيه ـ بالإضافة إلى احتمال الن</w:t>
      </w:r>
      <w:r w:rsidR="00E9105D" w:rsidRPr="006571AC">
        <w:rPr>
          <w:rFonts w:ascii="Arial" w:hAnsi="Arial" w:hint="cs"/>
          <w:sz w:val="27"/>
          <w:rtl/>
        </w:rPr>
        <w:t>َّ</w:t>
      </w:r>
      <w:r w:rsidRPr="006571AC">
        <w:rPr>
          <w:rFonts w:ascii="Arial" w:hAnsi="Arial" w:hint="cs"/>
          <w:sz w:val="27"/>
          <w:rtl/>
        </w:rPr>
        <w:t>ف</w:t>
      </w:r>
      <w:r w:rsidR="00E9105D" w:rsidRPr="006571AC">
        <w:rPr>
          <w:rFonts w:ascii="Arial" w:hAnsi="Arial" w:hint="cs"/>
          <w:sz w:val="27"/>
          <w:rtl/>
        </w:rPr>
        <w:t>ْ</w:t>
      </w:r>
      <w:r w:rsidRPr="006571AC">
        <w:rPr>
          <w:rFonts w:ascii="Arial" w:hAnsi="Arial" w:hint="cs"/>
          <w:sz w:val="27"/>
          <w:rtl/>
        </w:rPr>
        <w:t>ع ـ احتمال الض</w:t>
      </w:r>
      <w:r w:rsidR="00E9105D" w:rsidRPr="006571AC">
        <w:rPr>
          <w:rFonts w:ascii="Arial" w:hAnsi="Arial" w:hint="cs"/>
          <w:sz w:val="27"/>
          <w:rtl/>
        </w:rPr>
        <w:t>َّ</w:t>
      </w:r>
      <w:r w:rsidRPr="006571AC">
        <w:rPr>
          <w:rFonts w:ascii="Arial" w:hAnsi="Arial" w:hint="cs"/>
          <w:sz w:val="27"/>
          <w:rtl/>
        </w:rPr>
        <w:t>ر</w:t>
      </w:r>
      <w:r w:rsidR="00E9105D" w:rsidRPr="006571AC">
        <w:rPr>
          <w:rFonts w:ascii="Arial" w:hAnsi="Arial" w:hint="cs"/>
          <w:sz w:val="27"/>
          <w:rtl/>
        </w:rPr>
        <w:t>َ</w:t>
      </w:r>
      <w:r w:rsidRPr="006571AC">
        <w:rPr>
          <w:rFonts w:ascii="Arial" w:hAnsi="Arial" w:hint="cs"/>
          <w:sz w:val="27"/>
          <w:rtl/>
        </w:rPr>
        <w:t>ر فلا يحكم بح</w:t>
      </w:r>
      <w:r w:rsidR="00E9105D" w:rsidRPr="006571AC">
        <w:rPr>
          <w:rFonts w:ascii="Arial" w:hAnsi="Arial" w:hint="cs"/>
          <w:sz w:val="27"/>
          <w:rtl/>
        </w:rPr>
        <w:t>ُ</w:t>
      </w:r>
      <w:r w:rsidRPr="006571AC">
        <w:rPr>
          <w:rFonts w:ascii="Arial" w:hAnsi="Arial" w:hint="cs"/>
          <w:sz w:val="27"/>
          <w:rtl/>
        </w:rPr>
        <w:t>س</w:t>
      </w:r>
      <w:r w:rsidR="00E9105D" w:rsidRPr="006571AC">
        <w:rPr>
          <w:rFonts w:ascii="Arial" w:hAnsi="Arial" w:hint="cs"/>
          <w:sz w:val="27"/>
          <w:rtl/>
        </w:rPr>
        <w:t>ْ</w:t>
      </w:r>
      <w:r w:rsidRPr="006571AC">
        <w:rPr>
          <w:rFonts w:ascii="Arial" w:hAnsi="Arial" w:hint="cs"/>
          <w:sz w:val="27"/>
          <w:rtl/>
        </w:rPr>
        <w:t>نه</w:t>
      </w:r>
      <w:r w:rsidR="00E9105D" w:rsidRPr="006571AC">
        <w:rPr>
          <w:rFonts w:ascii="Arial" w:hAnsi="Arial" w:hint="cs"/>
          <w:sz w:val="27"/>
          <w:rtl/>
        </w:rPr>
        <w:t>.</w:t>
      </w:r>
      <w:r w:rsidRPr="006571AC">
        <w:rPr>
          <w:rFonts w:ascii="Arial" w:hAnsi="Arial" w:hint="cs"/>
          <w:sz w:val="27"/>
          <w:rtl/>
        </w:rPr>
        <w:t xml:space="preserve"> وأما </w:t>
      </w:r>
      <w:r w:rsidR="00E9105D" w:rsidRPr="006571AC">
        <w:rPr>
          <w:rFonts w:ascii="Arial" w:hAnsi="Arial" w:hint="cs"/>
          <w:sz w:val="27"/>
          <w:rtl/>
        </w:rPr>
        <w:t xml:space="preserve">على الوجه </w:t>
      </w:r>
      <w:r w:rsidRPr="006571AC">
        <w:rPr>
          <w:rFonts w:ascii="Arial" w:hAnsi="Arial" w:hint="cs"/>
          <w:sz w:val="27"/>
          <w:rtl/>
        </w:rPr>
        <w:t>الخامس</w:t>
      </w:r>
      <w:r w:rsidR="00E9105D" w:rsidRPr="006571AC">
        <w:rPr>
          <w:rFonts w:ascii="Arial" w:hAnsi="Arial" w:hint="cs"/>
          <w:sz w:val="27"/>
          <w:rtl/>
        </w:rPr>
        <w:t>،</w:t>
      </w:r>
      <w:r w:rsidRPr="006571AC">
        <w:rPr>
          <w:rFonts w:ascii="Arial" w:hAnsi="Arial" w:hint="cs"/>
          <w:sz w:val="27"/>
          <w:rtl/>
        </w:rPr>
        <w:t xml:space="preserve"> القائل</w:t>
      </w:r>
      <w:r w:rsidR="00E9105D" w:rsidRPr="006571AC">
        <w:rPr>
          <w:rFonts w:ascii="Arial" w:hAnsi="Arial" w:hint="cs"/>
          <w:sz w:val="27"/>
          <w:rtl/>
        </w:rPr>
        <w:t>:</w:t>
      </w:r>
      <w:r w:rsidRPr="006571AC">
        <w:rPr>
          <w:rFonts w:ascii="Arial" w:hAnsi="Arial" w:hint="cs"/>
          <w:sz w:val="27"/>
          <w:rtl/>
        </w:rPr>
        <w:t xml:space="preserve"> إنّ نظر الروايات إلى جعل الثواب على العمل المفروغ كونه طاعة</w:t>
      </w:r>
      <w:r w:rsidR="00E9105D" w:rsidRPr="006571AC">
        <w:rPr>
          <w:rFonts w:ascii="Arial" w:hAnsi="Arial" w:hint="cs"/>
          <w:sz w:val="27"/>
          <w:rtl/>
        </w:rPr>
        <w:t>ً</w:t>
      </w:r>
      <w:r w:rsidRPr="006571AC">
        <w:rPr>
          <w:rFonts w:ascii="Arial" w:hAnsi="Arial" w:hint="cs"/>
          <w:sz w:val="27"/>
          <w:rtl/>
        </w:rPr>
        <w:t xml:space="preserve"> في مرتبة</w:t>
      </w:r>
      <w:r w:rsidR="00E9105D" w:rsidRPr="006571AC">
        <w:rPr>
          <w:rFonts w:ascii="Arial" w:hAnsi="Arial" w:hint="cs"/>
          <w:sz w:val="27"/>
          <w:rtl/>
        </w:rPr>
        <w:t>ٍ</w:t>
      </w:r>
      <w:r w:rsidRPr="006571AC">
        <w:rPr>
          <w:rFonts w:ascii="Arial" w:hAnsi="Arial" w:hint="cs"/>
          <w:sz w:val="27"/>
          <w:rtl/>
        </w:rPr>
        <w:t xml:space="preserve"> سابقة</w:t>
      </w:r>
      <w:r w:rsidR="00E9105D" w:rsidRPr="006571AC">
        <w:rPr>
          <w:rFonts w:ascii="Arial" w:hAnsi="Arial" w:hint="cs"/>
          <w:sz w:val="27"/>
          <w:rtl/>
        </w:rPr>
        <w:t>،</w:t>
      </w:r>
      <w:r w:rsidRPr="006571AC">
        <w:rPr>
          <w:rFonts w:ascii="Arial" w:hAnsi="Arial" w:hint="cs"/>
          <w:sz w:val="27"/>
          <w:rtl/>
        </w:rPr>
        <w:t xml:space="preserve"> فهذا يعني أن احتمال الحرمة منتفٍ ج</w:t>
      </w:r>
      <w:r w:rsidR="00E9105D" w:rsidRPr="006571AC">
        <w:rPr>
          <w:rFonts w:ascii="Arial" w:hAnsi="Arial" w:hint="cs"/>
          <w:sz w:val="27"/>
          <w:rtl/>
        </w:rPr>
        <w:t>َ</w:t>
      </w:r>
      <w:r w:rsidRPr="006571AC">
        <w:rPr>
          <w:rFonts w:ascii="Arial" w:hAnsi="Arial" w:hint="cs"/>
          <w:sz w:val="27"/>
          <w:rtl/>
        </w:rPr>
        <w:t>ز</w:t>
      </w:r>
      <w:r w:rsidR="00E9105D" w:rsidRPr="006571AC">
        <w:rPr>
          <w:rFonts w:ascii="Arial" w:hAnsi="Arial" w:hint="cs"/>
          <w:sz w:val="27"/>
          <w:rtl/>
        </w:rPr>
        <w:t>ْ</w:t>
      </w:r>
      <w:r w:rsidRPr="006571AC">
        <w:rPr>
          <w:rFonts w:ascii="Arial" w:hAnsi="Arial" w:hint="cs"/>
          <w:sz w:val="27"/>
          <w:rtl/>
        </w:rPr>
        <w:t xml:space="preserve">ماً. </w:t>
      </w:r>
    </w:p>
    <w:p w:rsidR="00E72C92" w:rsidRPr="006571AC" w:rsidRDefault="009B65D5" w:rsidP="00E452B7">
      <w:pPr>
        <w:rPr>
          <w:rFonts w:ascii="Arial" w:hAnsi="Arial"/>
          <w:sz w:val="27"/>
          <w:rtl/>
        </w:rPr>
      </w:pPr>
      <w:r w:rsidRPr="006571AC">
        <w:rPr>
          <w:rFonts w:ascii="Arial" w:hAnsi="Arial" w:hint="cs"/>
          <w:sz w:val="27"/>
          <w:rtl/>
        </w:rPr>
        <w:t>ومن خلال ما تقد</w:t>
      </w:r>
      <w:r w:rsidR="00E9105D" w:rsidRPr="006571AC">
        <w:rPr>
          <w:rFonts w:ascii="Arial" w:hAnsi="Arial" w:hint="cs"/>
          <w:sz w:val="27"/>
          <w:rtl/>
        </w:rPr>
        <w:t>َّ</w:t>
      </w:r>
      <w:r w:rsidRPr="006571AC">
        <w:rPr>
          <w:rFonts w:ascii="Arial" w:hAnsi="Arial" w:hint="cs"/>
          <w:sz w:val="27"/>
          <w:rtl/>
        </w:rPr>
        <w:t>م يت</w:t>
      </w:r>
      <w:r w:rsidR="00E9105D" w:rsidRPr="006571AC">
        <w:rPr>
          <w:rFonts w:ascii="Arial" w:hAnsi="Arial" w:hint="cs"/>
          <w:sz w:val="27"/>
          <w:rtl/>
        </w:rPr>
        <w:t>َّ</w:t>
      </w:r>
      <w:r w:rsidRPr="006571AC">
        <w:rPr>
          <w:rFonts w:ascii="Arial" w:hAnsi="Arial" w:hint="cs"/>
          <w:sz w:val="27"/>
          <w:rtl/>
        </w:rPr>
        <w:t>ضح أنّ تمس</w:t>
      </w:r>
      <w:r w:rsidR="00E9105D" w:rsidRPr="006571AC">
        <w:rPr>
          <w:rFonts w:ascii="Arial" w:hAnsi="Arial" w:hint="cs"/>
          <w:sz w:val="27"/>
          <w:rtl/>
        </w:rPr>
        <w:t>ُّ</w:t>
      </w:r>
      <w:r w:rsidRPr="006571AC">
        <w:rPr>
          <w:rFonts w:ascii="Arial" w:hAnsi="Arial" w:hint="cs"/>
          <w:sz w:val="27"/>
          <w:rtl/>
        </w:rPr>
        <w:t>ك الشيخ الأنصاري بمطلقات الأخبار الواردة في القاعدة</w:t>
      </w:r>
      <w:r w:rsidR="00E9105D" w:rsidRPr="006571AC">
        <w:rPr>
          <w:rFonts w:ascii="Arial" w:hAnsi="Arial" w:hint="cs"/>
          <w:sz w:val="27"/>
          <w:rtl/>
        </w:rPr>
        <w:t>؛</w:t>
      </w:r>
      <w:r w:rsidRPr="006571AC">
        <w:rPr>
          <w:rFonts w:ascii="Arial" w:hAnsi="Arial" w:hint="cs"/>
          <w:sz w:val="27"/>
          <w:rtl/>
        </w:rPr>
        <w:t xml:space="preserve"> لإثبات ج</w:t>
      </w:r>
      <w:r w:rsidR="00E9105D" w:rsidRPr="006571AC">
        <w:rPr>
          <w:rFonts w:ascii="Arial" w:hAnsi="Arial" w:hint="cs"/>
          <w:sz w:val="27"/>
          <w:rtl/>
        </w:rPr>
        <w:t>َ</w:t>
      </w:r>
      <w:r w:rsidRPr="006571AC">
        <w:rPr>
          <w:rFonts w:ascii="Arial" w:hAnsi="Arial" w:hint="cs"/>
          <w:sz w:val="27"/>
          <w:rtl/>
        </w:rPr>
        <w:t>ر</w:t>
      </w:r>
      <w:r w:rsidR="00E9105D" w:rsidRPr="006571AC">
        <w:rPr>
          <w:rFonts w:ascii="Arial" w:hAnsi="Arial" w:hint="cs"/>
          <w:sz w:val="27"/>
          <w:rtl/>
        </w:rPr>
        <w:t>َ</w:t>
      </w:r>
      <w:r w:rsidRPr="006571AC">
        <w:rPr>
          <w:rFonts w:ascii="Arial" w:hAnsi="Arial" w:hint="cs"/>
          <w:sz w:val="27"/>
          <w:rtl/>
        </w:rPr>
        <w:t>يانها حتى مع وجود احتمال التحريم</w:t>
      </w:r>
      <w:r w:rsidR="00C43D1F" w:rsidRPr="006571AC">
        <w:rPr>
          <w:rFonts w:ascii="Arial" w:hAnsi="Arial" w:hint="cs"/>
          <w:sz w:val="27"/>
          <w:rtl/>
        </w:rPr>
        <w:t>،</w:t>
      </w:r>
      <w:r w:rsidRPr="006571AC">
        <w:rPr>
          <w:rFonts w:ascii="Arial" w:hAnsi="Arial" w:hint="cs"/>
          <w:sz w:val="27"/>
          <w:rtl/>
        </w:rPr>
        <w:t xml:space="preserve"> هو في غير محل</w:t>
      </w:r>
      <w:r w:rsidR="00C43D1F" w:rsidRPr="006571AC">
        <w:rPr>
          <w:rFonts w:ascii="Arial" w:hAnsi="Arial" w:hint="cs"/>
          <w:sz w:val="27"/>
          <w:rtl/>
        </w:rPr>
        <w:t>ِّ</w:t>
      </w:r>
      <w:r w:rsidRPr="006571AC">
        <w:rPr>
          <w:rFonts w:ascii="Arial" w:hAnsi="Arial" w:hint="cs"/>
          <w:sz w:val="27"/>
          <w:rtl/>
        </w:rPr>
        <w:t xml:space="preserve">ه، قال: </w:t>
      </w:r>
      <w:r w:rsidRPr="00E452B7">
        <w:rPr>
          <w:rFonts w:ascii="Arial" w:hAnsi="Arial" w:hint="eastAsia"/>
          <w:sz w:val="24"/>
          <w:szCs w:val="24"/>
          <w:rtl/>
        </w:rPr>
        <w:lastRenderedPageBreak/>
        <w:t>«</w:t>
      </w:r>
      <w:r w:rsidRPr="006571AC">
        <w:rPr>
          <w:rFonts w:ascii="Arial" w:hAnsi="Arial"/>
          <w:sz w:val="27"/>
          <w:rtl/>
        </w:rPr>
        <w:t>الظاهر إطلاقها وعدم تقييدها بعدم</w:t>
      </w:r>
      <w:r w:rsidRPr="006571AC">
        <w:rPr>
          <w:rFonts w:ascii="Arial" w:hAnsi="Arial" w:hint="cs"/>
          <w:sz w:val="27"/>
          <w:rtl/>
        </w:rPr>
        <w:t xml:space="preserve"> </w:t>
      </w:r>
      <w:r w:rsidRPr="006571AC">
        <w:rPr>
          <w:rFonts w:ascii="Arial" w:hAnsi="Arial"/>
          <w:sz w:val="27"/>
          <w:rtl/>
        </w:rPr>
        <w:t>احتمال الحرمة</w:t>
      </w:r>
      <w:r w:rsidR="00C43D1F" w:rsidRPr="006571AC">
        <w:rPr>
          <w:rFonts w:ascii="Arial" w:hAnsi="Arial" w:hint="cs"/>
          <w:sz w:val="27"/>
          <w:rtl/>
        </w:rPr>
        <w:t>.</w:t>
      </w:r>
      <w:r w:rsidRPr="006571AC">
        <w:rPr>
          <w:rFonts w:ascii="Arial" w:hAnsi="Arial"/>
          <w:sz w:val="27"/>
          <w:rtl/>
        </w:rPr>
        <w:t xml:space="preserve"> نعم، ما اشتمل منها على التعليل برجاء الثواب ظاهر</w:t>
      </w:r>
      <w:r w:rsidR="00E72C92" w:rsidRPr="006571AC">
        <w:rPr>
          <w:rFonts w:ascii="Arial" w:hAnsi="Arial" w:hint="cs"/>
          <w:sz w:val="27"/>
          <w:rtl/>
        </w:rPr>
        <w:t>ٌ</w:t>
      </w:r>
      <w:r w:rsidRPr="006571AC">
        <w:rPr>
          <w:rFonts w:ascii="Arial" w:hAnsi="Arial"/>
          <w:sz w:val="27"/>
          <w:rtl/>
        </w:rPr>
        <w:t xml:space="preserve"> في صورة</w:t>
      </w:r>
      <w:r w:rsidRPr="006571AC">
        <w:rPr>
          <w:rFonts w:ascii="Arial" w:hAnsi="Arial" w:hint="cs"/>
          <w:sz w:val="27"/>
          <w:rtl/>
        </w:rPr>
        <w:t xml:space="preserve"> </w:t>
      </w:r>
      <w:r w:rsidRPr="006571AC">
        <w:rPr>
          <w:rFonts w:ascii="Arial" w:hAnsi="Arial"/>
          <w:sz w:val="27"/>
          <w:rtl/>
        </w:rPr>
        <w:t>عدم احتمال الحرمة</w:t>
      </w:r>
      <w:r w:rsidR="00E72C92"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لكنك قد عرف</w:t>
      </w:r>
      <w:r w:rsidR="00E72C92" w:rsidRPr="006571AC">
        <w:rPr>
          <w:rFonts w:ascii="Arial" w:hAnsi="Arial" w:hint="cs"/>
          <w:sz w:val="27"/>
          <w:rtl/>
        </w:rPr>
        <w:t>ْ</w:t>
      </w:r>
      <w:r w:rsidRPr="006571AC">
        <w:rPr>
          <w:rFonts w:ascii="Arial" w:hAnsi="Arial"/>
          <w:sz w:val="27"/>
          <w:rtl/>
        </w:rPr>
        <w:t>ت</w:t>
      </w:r>
      <w:r w:rsidR="00E72C92" w:rsidRPr="006571AC">
        <w:rPr>
          <w:rFonts w:ascii="Arial" w:hAnsi="Arial" w:hint="cs"/>
          <w:sz w:val="27"/>
          <w:rtl/>
        </w:rPr>
        <w:t>َ</w:t>
      </w:r>
      <w:r w:rsidRPr="006571AC">
        <w:rPr>
          <w:rFonts w:ascii="Arial" w:hAnsi="Arial"/>
          <w:sz w:val="27"/>
          <w:rtl/>
        </w:rPr>
        <w:t xml:space="preserve"> أن المعتمد في الاستدلال هو</w:t>
      </w:r>
      <w:r w:rsidRPr="006571AC">
        <w:rPr>
          <w:rFonts w:ascii="Arial" w:hAnsi="Arial" w:hint="cs"/>
          <w:sz w:val="27"/>
          <w:rtl/>
        </w:rPr>
        <w:t xml:space="preserve"> </w:t>
      </w:r>
      <w:r w:rsidRPr="006571AC">
        <w:rPr>
          <w:rFonts w:ascii="Arial" w:hAnsi="Arial"/>
          <w:sz w:val="27"/>
          <w:rtl/>
        </w:rPr>
        <w:t>إطلاق غيرها، والمطلق هنا لا يحمل على المقي</w:t>
      </w:r>
      <w:r w:rsidR="00E72C92" w:rsidRPr="006571AC">
        <w:rPr>
          <w:rFonts w:ascii="Arial" w:hAnsi="Arial" w:hint="cs"/>
          <w:sz w:val="27"/>
          <w:rtl/>
        </w:rPr>
        <w:t>ّ</w:t>
      </w:r>
      <w:r w:rsidRPr="006571AC">
        <w:rPr>
          <w:rFonts w:ascii="Arial" w:hAnsi="Arial"/>
          <w:sz w:val="27"/>
          <w:rtl/>
        </w:rPr>
        <w:t>د، كما لا يخفى. اللهم</w:t>
      </w:r>
      <w:r w:rsidR="00E72C92" w:rsidRPr="006571AC">
        <w:rPr>
          <w:rFonts w:ascii="Arial" w:hAnsi="Arial" w:hint="cs"/>
          <w:sz w:val="27"/>
          <w:rtl/>
        </w:rPr>
        <w:t>ّ</w:t>
      </w:r>
      <w:r w:rsidRPr="006571AC">
        <w:rPr>
          <w:rFonts w:ascii="Arial" w:hAnsi="Arial"/>
          <w:sz w:val="27"/>
          <w:rtl/>
        </w:rPr>
        <w:t xml:space="preserve"> إلا</w:t>
      </w:r>
      <w:r w:rsidR="00E72C92" w:rsidRPr="006571AC">
        <w:rPr>
          <w:rFonts w:ascii="Arial" w:hAnsi="Arial" w:hint="cs"/>
          <w:sz w:val="27"/>
          <w:rtl/>
        </w:rPr>
        <w:t>ّ</w:t>
      </w:r>
      <w:r w:rsidRPr="006571AC">
        <w:rPr>
          <w:rFonts w:ascii="Arial" w:hAnsi="Arial"/>
          <w:sz w:val="27"/>
          <w:rtl/>
        </w:rPr>
        <w:t xml:space="preserve"> أن ي</w:t>
      </w:r>
      <w:r w:rsidR="00E72C92" w:rsidRPr="006571AC">
        <w:rPr>
          <w:rFonts w:ascii="Arial" w:hAnsi="Arial" w:hint="cs"/>
          <w:sz w:val="27"/>
          <w:rtl/>
        </w:rPr>
        <w:t>ُ</w:t>
      </w:r>
      <w:r w:rsidRPr="006571AC">
        <w:rPr>
          <w:rFonts w:ascii="Arial" w:hAnsi="Arial"/>
          <w:sz w:val="27"/>
          <w:rtl/>
        </w:rPr>
        <w:t>د</w:t>
      </w:r>
      <w:r w:rsidR="00E72C92" w:rsidRPr="006571AC">
        <w:rPr>
          <w:rFonts w:ascii="Arial" w:hAnsi="Arial" w:hint="cs"/>
          <w:sz w:val="27"/>
          <w:rtl/>
        </w:rPr>
        <w:t>َّ</w:t>
      </w:r>
      <w:r w:rsidRPr="006571AC">
        <w:rPr>
          <w:rFonts w:ascii="Arial" w:hAnsi="Arial"/>
          <w:sz w:val="27"/>
          <w:rtl/>
        </w:rPr>
        <w:t>عى انصراف تلك</w:t>
      </w:r>
      <w:r w:rsidRPr="006571AC">
        <w:rPr>
          <w:rFonts w:ascii="Arial" w:hAnsi="Arial" w:hint="cs"/>
          <w:sz w:val="27"/>
          <w:rtl/>
        </w:rPr>
        <w:t xml:space="preserve"> </w:t>
      </w:r>
      <w:r w:rsidRPr="006571AC">
        <w:rPr>
          <w:rFonts w:ascii="Arial" w:hAnsi="Arial"/>
          <w:sz w:val="27"/>
          <w:rtl/>
        </w:rPr>
        <w:t>ال</w:t>
      </w:r>
      <w:r w:rsidR="00C31E61" w:rsidRPr="006571AC">
        <w:rPr>
          <w:rFonts w:ascii="Arial" w:hAnsi="Arial" w:hint="cs"/>
          <w:sz w:val="27"/>
          <w:rtl/>
        </w:rPr>
        <w:t>إ</w:t>
      </w:r>
      <w:r w:rsidRPr="006571AC">
        <w:rPr>
          <w:rFonts w:ascii="Arial" w:hAnsi="Arial"/>
          <w:sz w:val="27"/>
          <w:rtl/>
        </w:rPr>
        <w:t>طلاقات أيضا</w:t>
      </w:r>
      <w:r w:rsidRPr="006571AC">
        <w:rPr>
          <w:rFonts w:ascii="Arial" w:hAnsi="Arial" w:hint="cs"/>
          <w:sz w:val="27"/>
          <w:rtl/>
        </w:rPr>
        <w:t>ً</w:t>
      </w:r>
      <w:r w:rsidRPr="006571AC">
        <w:rPr>
          <w:rFonts w:ascii="Arial" w:hAnsi="Arial"/>
          <w:sz w:val="27"/>
          <w:rtl/>
        </w:rPr>
        <w:t xml:space="preserve"> إلى غير صورة احتمال التحريم</w:t>
      </w:r>
      <w:r w:rsidRPr="00E452B7">
        <w:rPr>
          <w:rFonts w:ascii="Arial" w:hAnsi="Arial" w:hint="eastAsia"/>
          <w:sz w:val="24"/>
          <w:szCs w:val="24"/>
          <w:rtl/>
        </w:rPr>
        <w:t>»</w:t>
      </w:r>
      <w:r w:rsidRPr="00E452B7">
        <w:rPr>
          <w:rFonts w:ascii="Arial" w:hAnsi="Arial"/>
          <w:sz w:val="27"/>
          <w:vertAlign w:val="superscript"/>
          <w:rtl/>
        </w:rPr>
        <w:t>(</w:t>
      </w:r>
      <w:r w:rsidRPr="00E452B7">
        <w:rPr>
          <w:rFonts w:ascii="Arial" w:hAnsi="Arial"/>
          <w:sz w:val="27"/>
          <w:vertAlign w:val="superscript"/>
          <w:rtl/>
        </w:rPr>
        <w:endnoteReference w:id="684"/>
      </w:r>
      <w:r w:rsidRPr="00E452B7">
        <w:rPr>
          <w:rFonts w:ascii="Arial" w:hAnsi="Arial"/>
          <w:sz w:val="27"/>
          <w:vertAlign w:val="superscript"/>
          <w:rtl/>
        </w:rPr>
        <w:t>)</w:t>
      </w:r>
      <w:r w:rsidR="00E72C92" w:rsidRPr="006571AC">
        <w:rPr>
          <w:rFonts w:ascii="Arial" w:hAnsi="Arial" w:hint="cs"/>
          <w:sz w:val="27"/>
          <w:rtl/>
        </w:rPr>
        <w:t>.</w:t>
      </w:r>
    </w:p>
    <w:p w:rsidR="009B65D5" w:rsidRPr="006571AC" w:rsidRDefault="009B65D5" w:rsidP="00E452B7">
      <w:pPr>
        <w:rPr>
          <w:rFonts w:ascii="Arial" w:hAnsi="Arial"/>
          <w:sz w:val="27"/>
          <w:rtl/>
        </w:rPr>
      </w:pPr>
      <w:r w:rsidRPr="006571AC">
        <w:rPr>
          <w:rFonts w:ascii="Arial" w:hAnsi="Arial" w:hint="cs"/>
          <w:sz w:val="27"/>
          <w:rtl/>
        </w:rPr>
        <w:t>والوجه</w:t>
      </w:r>
      <w:r w:rsidR="00E72C92" w:rsidRPr="006571AC">
        <w:rPr>
          <w:rFonts w:ascii="Arial" w:hAnsi="Arial" w:hint="cs"/>
          <w:sz w:val="27"/>
          <w:rtl/>
        </w:rPr>
        <w:t>ُ</w:t>
      </w:r>
      <w:r w:rsidRPr="006571AC">
        <w:rPr>
          <w:rFonts w:ascii="Arial" w:hAnsi="Arial" w:hint="cs"/>
          <w:sz w:val="27"/>
          <w:rtl/>
        </w:rPr>
        <w:t xml:space="preserve"> في ضعفه ـ بالإضافة إلى صح</w:t>
      </w:r>
      <w:r w:rsidR="00E72C92" w:rsidRPr="006571AC">
        <w:rPr>
          <w:rFonts w:ascii="Arial" w:hAnsi="Arial" w:hint="cs"/>
          <w:sz w:val="27"/>
          <w:rtl/>
        </w:rPr>
        <w:t>ّ</w:t>
      </w:r>
      <w:r w:rsidRPr="006571AC">
        <w:rPr>
          <w:rFonts w:ascii="Arial" w:hAnsi="Arial" w:hint="cs"/>
          <w:sz w:val="27"/>
          <w:rtl/>
        </w:rPr>
        <w:t>ة الانصراف المذكور ـ أنّ هذه الأخبار هي في صدد بيان حقيقة</w:t>
      </w:r>
      <w:r w:rsidR="00E72C92" w:rsidRPr="006571AC">
        <w:rPr>
          <w:rFonts w:ascii="Arial" w:hAnsi="Arial" w:hint="cs"/>
          <w:sz w:val="27"/>
          <w:rtl/>
        </w:rPr>
        <w:t>ٍ</w:t>
      </w:r>
      <w:r w:rsidRPr="006571AC">
        <w:rPr>
          <w:rFonts w:ascii="Arial" w:hAnsi="Arial" w:hint="cs"/>
          <w:sz w:val="27"/>
          <w:rtl/>
        </w:rPr>
        <w:t xml:space="preserve"> واحدة، فما اشتمل عليه بعض</w:t>
      </w:r>
      <w:r w:rsidR="00E72C92" w:rsidRPr="006571AC">
        <w:rPr>
          <w:rFonts w:ascii="Arial" w:hAnsi="Arial" w:hint="cs"/>
          <w:sz w:val="27"/>
          <w:rtl/>
        </w:rPr>
        <w:t>ُ</w:t>
      </w:r>
      <w:r w:rsidRPr="006571AC">
        <w:rPr>
          <w:rFonts w:ascii="Arial" w:hAnsi="Arial" w:hint="cs"/>
          <w:sz w:val="27"/>
          <w:rtl/>
        </w:rPr>
        <w:t xml:space="preserve">ها هو قرينة لبيان تلك الحقيقة، فلا ينعقد الإطلاق في الخبر الثاني. </w:t>
      </w:r>
    </w:p>
    <w:p w:rsidR="00DD301A" w:rsidRPr="006571AC" w:rsidRDefault="00DD301A" w:rsidP="00DD301A">
      <w:pPr>
        <w:spacing w:line="420" w:lineRule="exact"/>
        <w:rPr>
          <w:rFonts w:ascii="Arabic Typesetting" w:hAnsi="Arabic Typesetting"/>
          <w:sz w:val="27"/>
          <w:rtl/>
          <w:lang w:bidi="ar-LB"/>
        </w:rPr>
      </w:pPr>
    </w:p>
    <w:p w:rsidR="009B65D5" w:rsidRPr="006571AC" w:rsidRDefault="0035540A" w:rsidP="0035540A">
      <w:pPr>
        <w:pStyle w:val="31"/>
        <w:rPr>
          <w:color w:val="auto"/>
          <w:rtl/>
        </w:rPr>
      </w:pPr>
      <w:bookmarkStart w:id="411" w:name="_Toc114164819"/>
      <w:r w:rsidRPr="006571AC">
        <w:rPr>
          <w:rFonts w:hint="cs"/>
          <w:color w:val="auto"/>
          <w:rtl/>
        </w:rPr>
        <w:t>10</w:t>
      </w:r>
      <w:r w:rsidR="009B65D5" w:rsidRPr="006571AC">
        <w:rPr>
          <w:rFonts w:hint="cs"/>
          <w:color w:val="auto"/>
          <w:rtl/>
        </w:rPr>
        <w:t>ـ عنوان رجاء المطلوبي</w:t>
      </w:r>
      <w:r w:rsidR="00E72C92" w:rsidRPr="006571AC">
        <w:rPr>
          <w:rFonts w:hint="cs"/>
          <w:color w:val="auto"/>
          <w:rtl/>
        </w:rPr>
        <w:t>ّ</w:t>
      </w:r>
      <w:r w:rsidR="009B65D5" w:rsidRPr="006571AC">
        <w:rPr>
          <w:rFonts w:hint="cs"/>
          <w:color w:val="auto"/>
          <w:rtl/>
        </w:rPr>
        <w:t>ة</w:t>
      </w:r>
      <w:bookmarkEnd w:id="411"/>
    </w:p>
    <w:p w:rsidR="009B65D5" w:rsidRPr="00DB0DA9" w:rsidRDefault="009B65D5" w:rsidP="00E452B7">
      <w:pPr>
        <w:rPr>
          <w:rFonts w:ascii="Arial" w:hAnsi="Arial"/>
          <w:sz w:val="27"/>
          <w:rtl/>
        </w:rPr>
      </w:pPr>
      <w:r w:rsidRPr="006571AC">
        <w:rPr>
          <w:rFonts w:ascii="Arial" w:hAnsi="Arial" w:hint="cs"/>
          <w:sz w:val="27"/>
          <w:rtl/>
        </w:rPr>
        <w:t>ثم إنّ الفقهاء</w:t>
      </w:r>
      <w:r w:rsidR="00E72C92" w:rsidRPr="006571AC">
        <w:rPr>
          <w:rFonts w:ascii="Arial" w:hAnsi="Arial" w:hint="cs"/>
          <w:sz w:val="27"/>
          <w:rtl/>
        </w:rPr>
        <w:t>،</w:t>
      </w:r>
      <w:r w:rsidRPr="006571AC">
        <w:rPr>
          <w:rFonts w:ascii="Arial" w:hAnsi="Arial" w:hint="cs"/>
          <w:sz w:val="27"/>
          <w:rtl/>
        </w:rPr>
        <w:t xml:space="preserve"> و</w:t>
      </w:r>
      <w:r w:rsidR="00731867" w:rsidRPr="006571AC">
        <w:rPr>
          <w:rFonts w:ascii="Arial" w:hAnsi="Arial" w:hint="cs"/>
          <w:sz w:val="27"/>
          <w:rtl/>
        </w:rPr>
        <w:t>لا سيَّما</w:t>
      </w:r>
      <w:r w:rsidRPr="006571AC">
        <w:rPr>
          <w:rFonts w:ascii="Arial" w:hAnsi="Arial" w:hint="cs"/>
          <w:sz w:val="27"/>
          <w:rtl/>
        </w:rPr>
        <w:t xml:space="preserve"> الرافضين لقاعدة التسامح في أدلة الس</w:t>
      </w:r>
      <w:r w:rsidR="00E72C92" w:rsidRPr="006571AC">
        <w:rPr>
          <w:rFonts w:ascii="Arial" w:hAnsi="Arial" w:hint="cs"/>
          <w:sz w:val="27"/>
          <w:rtl/>
        </w:rPr>
        <w:t>ُّ</w:t>
      </w:r>
      <w:r w:rsidRPr="006571AC">
        <w:rPr>
          <w:rFonts w:ascii="Arial" w:hAnsi="Arial" w:hint="cs"/>
          <w:sz w:val="27"/>
          <w:rtl/>
        </w:rPr>
        <w:t>ن</w:t>
      </w:r>
      <w:r w:rsidR="00E72C92" w:rsidRPr="006571AC">
        <w:rPr>
          <w:rFonts w:ascii="Arial" w:hAnsi="Arial" w:hint="cs"/>
          <w:sz w:val="27"/>
          <w:rtl/>
        </w:rPr>
        <w:t>َ</w:t>
      </w:r>
      <w:r w:rsidRPr="006571AC">
        <w:rPr>
          <w:rFonts w:ascii="Arial" w:hAnsi="Arial" w:hint="cs"/>
          <w:sz w:val="27"/>
          <w:rtl/>
        </w:rPr>
        <w:t>ن</w:t>
      </w:r>
      <w:r w:rsidR="00E72C92" w:rsidRPr="006571AC">
        <w:rPr>
          <w:rFonts w:ascii="Arial" w:hAnsi="Arial" w:hint="cs"/>
          <w:sz w:val="27"/>
          <w:rtl/>
        </w:rPr>
        <w:t>،</w:t>
      </w:r>
      <w:r w:rsidRPr="006571AC">
        <w:rPr>
          <w:rFonts w:ascii="Arial" w:hAnsi="Arial" w:hint="cs"/>
          <w:sz w:val="27"/>
          <w:rtl/>
        </w:rPr>
        <w:t xml:space="preserve"> قد فتحوا باباً للعمل بما جاء في الخبر الضعيف</w:t>
      </w:r>
      <w:r w:rsidR="00E72C92" w:rsidRPr="006571AC">
        <w:rPr>
          <w:rFonts w:ascii="Arial" w:hAnsi="Arial" w:hint="cs"/>
          <w:sz w:val="27"/>
          <w:rtl/>
        </w:rPr>
        <w:t>،</w:t>
      </w:r>
      <w:r w:rsidRPr="006571AC">
        <w:rPr>
          <w:rFonts w:ascii="Arial" w:hAnsi="Arial" w:hint="cs"/>
          <w:sz w:val="27"/>
          <w:rtl/>
        </w:rPr>
        <w:t xml:space="preserve"> دون الإفتاء به ونسبته إلى الله تعالى</w:t>
      </w:r>
      <w:r w:rsidR="00E72C92" w:rsidRPr="006571AC">
        <w:rPr>
          <w:rFonts w:ascii="Arial" w:hAnsi="Arial" w:hint="cs"/>
          <w:sz w:val="27"/>
          <w:rtl/>
        </w:rPr>
        <w:t>.</w:t>
      </w:r>
      <w:r w:rsidRPr="006571AC">
        <w:rPr>
          <w:rFonts w:ascii="Arial" w:hAnsi="Arial" w:hint="cs"/>
          <w:sz w:val="27"/>
          <w:rtl/>
        </w:rPr>
        <w:t xml:space="preserve"> وهذا الباب هو أنّ مجر</w:t>
      </w:r>
      <w:r w:rsidR="00E72C92" w:rsidRPr="006571AC">
        <w:rPr>
          <w:rFonts w:ascii="Arial" w:hAnsi="Arial" w:hint="cs"/>
          <w:sz w:val="27"/>
          <w:rtl/>
        </w:rPr>
        <w:t>ّ</w:t>
      </w:r>
      <w:r w:rsidRPr="006571AC">
        <w:rPr>
          <w:rFonts w:ascii="Arial" w:hAnsi="Arial" w:hint="cs"/>
          <w:sz w:val="27"/>
          <w:rtl/>
        </w:rPr>
        <w:t>د الاحتمال وإن</w:t>
      </w:r>
      <w:r w:rsidR="00E72C92" w:rsidRPr="006571AC">
        <w:rPr>
          <w:rFonts w:ascii="Arial" w:hAnsi="Arial" w:hint="cs"/>
          <w:sz w:val="27"/>
          <w:rtl/>
        </w:rPr>
        <w:t>ْ</w:t>
      </w:r>
      <w:r w:rsidRPr="006571AC">
        <w:rPr>
          <w:rFonts w:ascii="Arial" w:hAnsi="Arial" w:hint="cs"/>
          <w:sz w:val="27"/>
          <w:rtl/>
        </w:rPr>
        <w:t xml:space="preserve"> كان لا يبر</w:t>
      </w:r>
      <w:r w:rsidR="00E72C92" w:rsidRPr="006571AC">
        <w:rPr>
          <w:rFonts w:ascii="Arial" w:hAnsi="Arial" w:hint="cs"/>
          <w:sz w:val="27"/>
          <w:rtl/>
        </w:rPr>
        <w:t>ِّ</w:t>
      </w:r>
      <w:r w:rsidRPr="006571AC">
        <w:rPr>
          <w:rFonts w:ascii="Arial" w:hAnsi="Arial" w:hint="cs"/>
          <w:sz w:val="27"/>
          <w:rtl/>
        </w:rPr>
        <w:t>ر الإفتاء بالاستحباب</w:t>
      </w:r>
      <w:r w:rsidR="00E72C92" w:rsidRPr="006571AC">
        <w:rPr>
          <w:rFonts w:ascii="Arial" w:hAnsi="Arial" w:hint="cs"/>
          <w:sz w:val="27"/>
          <w:rtl/>
        </w:rPr>
        <w:t>،</w:t>
      </w:r>
      <w:r w:rsidRPr="006571AC">
        <w:rPr>
          <w:rFonts w:ascii="Arial" w:hAnsi="Arial" w:hint="cs"/>
          <w:sz w:val="27"/>
          <w:rtl/>
        </w:rPr>
        <w:t xml:space="preserve"> ولا الإتيان بالعمل بعنوان الورود، لكن</w:t>
      </w:r>
      <w:r w:rsidR="00E72C92" w:rsidRPr="006571AC">
        <w:rPr>
          <w:rFonts w:ascii="Arial" w:hAnsi="Arial" w:hint="cs"/>
          <w:sz w:val="27"/>
          <w:rtl/>
        </w:rPr>
        <w:t>ّ</w:t>
      </w:r>
      <w:r w:rsidRPr="006571AC">
        <w:rPr>
          <w:rFonts w:ascii="Arial" w:hAnsi="Arial" w:hint="cs"/>
          <w:sz w:val="27"/>
          <w:rtl/>
        </w:rPr>
        <w:t>ه كافٍ في الإتيان بالعمل رجاء المطلوبي</w:t>
      </w:r>
      <w:r w:rsidR="00E72C92" w:rsidRPr="006571AC">
        <w:rPr>
          <w:rFonts w:ascii="Arial" w:hAnsi="Arial" w:hint="cs"/>
          <w:sz w:val="27"/>
          <w:rtl/>
        </w:rPr>
        <w:t>ّ</w:t>
      </w:r>
      <w:r w:rsidRPr="006571AC">
        <w:rPr>
          <w:rFonts w:ascii="Arial" w:hAnsi="Arial" w:hint="cs"/>
          <w:sz w:val="27"/>
          <w:rtl/>
        </w:rPr>
        <w:t>ة</w:t>
      </w:r>
      <w:r w:rsidR="00E72C92" w:rsidRPr="006571AC">
        <w:rPr>
          <w:rFonts w:ascii="Arial" w:hAnsi="Arial" w:hint="cs"/>
          <w:sz w:val="27"/>
          <w:rtl/>
        </w:rPr>
        <w:t>.</w:t>
      </w:r>
      <w:r w:rsidRPr="006571AC">
        <w:rPr>
          <w:rFonts w:ascii="Arial" w:hAnsi="Arial" w:hint="cs"/>
          <w:sz w:val="27"/>
          <w:rtl/>
        </w:rPr>
        <w:t xml:space="preserve"> وقد درج الفقهاء المتأخ</w:t>
      </w:r>
      <w:r w:rsidR="00E72C92" w:rsidRPr="006571AC">
        <w:rPr>
          <w:rFonts w:ascii="Arial" w:hAnsi="Arial" w:hint="cs"/>
          <w:sz w:val="27"/>
          <w:rtl/>
        </w:rPr>
        <w:t>ِّ</w:t>
      </w:r>
      <w:r w:rsidRPr="006571AC">
        <w:rPr>
          <w:rFonts w:ascii="Arial" w:hAnsi="Arial" w:hint="cs"/>
          <w:sz w:val="27"/>
          <w:rtl/>
        </w:rPr>
        <w:t>رون الرافضون لقاعدة التسامح على دعوة مقل</w:t>
      </w:r>
      <w:r w:rsidR="00E72C92" w:rsidRPr="006571AC">
        <w:rPr>
          <w:rFonts w:ascii="Arial" w:hAnsi="Arial" w:hint="cs"/>
          <w:sz w:val="27"/>
          <w:rtl/>
        </w:rPr>
        <w:t>ِّ</w:t>
      </w:r>
      <w:r w:rsidRPr="006571AC">
        <w:rPr>
          <w:rFonts w:ascii="Arial" w:hAnsi="Arial" w:hint="cs"/>
          <w:sz w:val="27"/>
          <w:rtl/>
        </w:rPr>
        <w:t>ديهم إلى الإتيان بالمستحب</w:t>
      </w:r>
      <w:r w:rsidR="00E72C92" w:rsidRPr="006571AC">
        <w:rPr>
          <w:rFonts w:ascii="Arial" w:hAnsi="Arial" w:hint="cs"/>
          <w:sz w:val="27"/>
          <w:rtl/>
        </w:rPr>
        <w:t>ّ</w:t>
      </w:r>
      <w:r w:rsidRPr="006571AC">
        <w:rPr>
          <w:rFonts w:ascii="Arial" w:hAnsi="Arial" w:hint="cs"/>
          <w:sz w:val="27"/>
          <w:rtl/>
        </w:rPr>
        <w:t>ات المذكورة في الرسائل العملية بقصد رجاء المطلوبي</w:t>
      </w:r>
      <w:r w:rsidR="00E72C92" w:rsidRPr="006571AC">
        <w:rPr>
          <w:rFonts w:ascii="Arial" w:hAnsi="Arial" w:hint="cs"/>
          <w:sz w:val="27"/>
          <w:rtl/>
        </w:rPr>
        <w:t>ّ</w:t>
      </w:r>
      <w:r w:rsidRPr="006571AC">
        <w:rPr>
          <w:rFonts w:ascii="Arial" w:hAnsi="Arial" w:hint="cs"/>
          <w:sz w:val="27"/>
          <w:rtl/>
        </w:rPr>
        <w:t>ة</w:t>
      </w:r>
      <w:r w:rsidR="00E72C92" w:rsidRPr="006571AC">
        <w:rPr>
          <w:rFonts w:ascii="Arial" w:hAnsi="Arial" w:hint="cs"/>
          <w:sz w:val="27"/>
          <w:rtl/>
        </w:rPr>
        <w:t>؛</w:t>
      </w:r>
      <w:r w:rsidRPr="006571AC">
        <w:rPr>
          <w:rFonts w:ascii="Arial" w:hAnsi="Arial" w:hint="cs"/>
          <w:sz w:val="27"/>
          <w:rtl/>
        </w:rPr>
        <w:t xml:space="preserve"> لأنّ استحبابها لم يثبت عندهم بالدليل</w:t>
      </w:r>
      <w:r w:rsidRPr="00E452B7">
        <w:rPr>
          <w:rFonts w:ascii="Arial" w:hAnsi="Arial"/>
          <w:sz w:val="27"/>
          <w:vertAlign w:val="superscript"/>
          <w:rtl/>
        </w:rPr>
        <w:t>(</w:t>
      </w:r>
      <w:r w:rsidRPr="00E452B7">
        <w:rPr>
          <w:rFonts w:ascii="Arial" w:hAnsi="Arial"/>
          <w:sz w:val="27"/>
          <w:vertAlign w:val="superscript"/>
          <w:rtl/>
        </w:rPr>
        <w:endnoteReference w:id="685"/>
      </w:r>
      <w:r w:rsidRPr="00E452B7">
        <w:rPr>
          <w:rFonts w:ascii="Arial" w:hAnsi="Arial"/>
          <w:sz w:val="27"/>
          <w:vertAlign w:val="superscript"/>
          <w:rtl/>
        </w:rPr>
        <w:t>)</w:t>
      </w:r>
      <w:r w:rsidRPr="006571AC">
        <w:rPr>
          <w:rFonts w:ascii="Arial" w:hAnsi="Arial" w:hint="cs"/>
          <w:sz w:val="27"/>
          <w:rtl/>
        </w:rPr>
        <w:t>. والعبد الذي يأتي بما يحتمل أنه مطلوب</w:t>
      </w:r>
      <w:r w:rsidR="00E72C92" w:rsidRPr="006571AC">
        <w:rPr>
          <w:rFonts w:ascii="Arial" w:hAnsi="Arial" w:hint="cs"/>
          <w:sz w:val="27"/>
          <w:rtl/>
        </w:rPr>
        <w:t>ُ</w:t>
      </w:r>
      <w:r w:rsidRPr="006571AC">
        <w:rPr>
          <w:rFonts w:ascii="Arial" w:hAnsi="Arial" w:hint="cs"/>
          <w:sz w:val="27"/>
          <w:rtl/>
        </w:rPr>
        <w:t xml:space="preserve"> المولى </w:t>
      </w:r>
      <w:r w:rsidR="00731867" w:rsidRPr="006571AC">
        <w:rPr>
          <w:rFonts w:ascii="Arial" w:hAnsi="Arial" w:hint="cs"/>
          <w:sz w:val="27"/>
          <w:rtl/>
        </w:rPr>
        <w:t>لا رَيْبَ</w:t>
      </w:r>
      <w:r w:rsidRPr="006571AC">
        <w:rPr>
          <w:rFonts w:ascii="Arial" w:hAnsi="Arial" w:hint="cs"/>
          <w:sz w:val="27"/>
          <w:rtl/>
        </w:rPr>
        <w:t xml:space="preserve"> أنه يستحق</w:t>
      </w:r>
      <w:r w:rsidR="00E72C92" w:rsidRPr="006571AC">
        <w:rPr>
          <w:rFonts w:ascii="Arial" w:hAnsi="Arial" w:hint="cs"/>
          <w:sz w:val="27"/>
          <w:rtl/>
        </w:rPr>
        <w:t>ّ</w:t>
      </w:r>
      <w:r w:rsidRPr="006571AC">
        <w:rPr>
          <w:rFonts w:ascii="Arial" w:hAnsi="Arial" w:hint="cs"/>
          <w:sz w:val="27"/>
          <w:rtl/>
        </w:rPr>
        <w:t xml:space="preserve"> المدح والثناء عقلاً، وهكذا العبد الذي يجتنب ما يحتمل أنه مكروه</w:t>
      </w:r>
      <w:r w:rsidR="00E72C92" w:rsidRPr="006571AC">
        <w:rPr>
          <w:rFonts w:ascii="Arial" w:hAnsi="Arial" w:hint="cs"/>
          <w:sz w:val="27"/>
          <w:rtl/>
        </w:rPr>
        <w:t>ٌ</w:t>
      </w:r>
      <w:r w:rsidRPr="006571AC">
        <w:rPr>
          <w:rFonts w:ascii="Arial" w:hAnsi="Arial" w:hint="cs"/>
          <w:sz w:val="27"/>
          <w:rtl/>
        </w:rPr>
        <w:t xml:space="preserve"> ومبغوض</w:t>
      </w:r>
      <w:r w:rsidR="00E72C92" w:rsidRPr="006571AC">
        <w:rPr>
          <w:rFonts w:ascii="Arial" w:hAnsi="Arial" w:hint="cs"/>
          <w:sz w:val="27"/>
          <w:rtl/>
        </w:rPr>
        <w:t>ٌ</w:t>
      </w:r>
      <w:r w:rsidRPr="006571AC">
        <w:rPr>
          <w:rFonts w:ascii="Arial" w:hAnsi="Arial" w:hint="cs"/>
          <w:sz w:val="27"/>
          <w:rtl/>
        </w:rPr>
        <w:t xml:space="preserve"> للمولى</w:t>
      </w:r>
      <w:r w:rsidRPr="00DB0DA9">
        <w:rPr>
          <w:rFonts w:ascii="Arial" w:hAnsi="Arial" w:hint="cs"/>
          <w:sz w:val="27"/>
          <w:rtl/>
        </w:rPr>
        <w:t xml:space="preserve">. </w:t>
      </w:r>
    </w:p>
    <w:p w:rsidR="009B65D5" w:rsidRPr="006571AC" w:rsidRDefault="009B65D5" w:rsidP="00E452B7">
      <w:pPr>
        <w:rPr>
          <w:rFonts w:ascii="Arial" w:hAnsi="Arial"/>
          <w:sz w:val="27"/>
          <w:rtl/>
        </w:rPr>
      </w:pPr>
      <w:r w:rsidRPr="006571AC">
        <w:rPr>
          <w:rFonts w:ascii="Arial" w:hAnsi="Arial" w:hint="cs"/>
          <w:sz w:val="27"/>
          <w:rtl/>
        </w:rPr>
        <w:t>وطبيعي</w:t>
      </w:r>
      <w:r w:rsidR="00E72C92" w:rsidRPr="006571AC">
        <w:rPr>
          <w:rFonts w:ascii="Arial" w:hAnsi="Arial" w:hint="cs"/>
          <w:sz w:val="27"/>
          <w:rtl/>
        </w:rPr>
        <w:t>ٌّ</w:t>
      </w:r>
      <w:r w:rsidRPr="006571AC">
        <w:rPr>
          <w:rFonts w:ascii="Arial" w:hAnsi="Arial" w:hint="cs"/>
          <w:sz w:val="27"/>
          <w:rtl/>
        </w:rPr>
        <w:t xml:space="preserve"> أن يخرج عن ذلك ما لو قطع بكذب الرواية</w:t>
      </w:r>
      <w:r w:rsidR="00E72C92" w:rsidRPr="006571AC">
        <w:rPr>
          <w:rFonts w:ascii="Arial" w:hAnsi="Arial" w:hint="cs"/>
          <w:sz w:val="27"/>
          <w:rtl/>
        </w:rPr>
        <w:t>؛</w:t>
      </w:r>
      <w:r w:rsidRPr="006571AC">
        <w:rPr>
          <w:rFonts w:ascii="Arial" w:hAnsi="Arial" w:hint="cs"/>
          <w:sz w:val="27"/>
          <w:rtl/>
        </w:rPr>
        <w:t xml:space="preserve"> فإنها إذا كانت </w:t>
      </w:r>
      <w:r w:rsidRPr="006571AC">
        <w:rPr>
          <w:rFonts w:ascii="Arial" w:hAnsi="Arial"/>
          <w:sz w:val="27"/>
          <w:rtl/>
        </w:rPr>
        <w:t>م</w:t>
      </w:r>
      <w:r w:rsidRPr="006571AC">
        <w:rPr>
          <w:rFonts w:ascii="Arial" w:hAnsi="Arial" w:hint="cs"/>
          <w:sz w:val="27"/>
          <w:rtl/>
        </w:rPr>
        <w:t>كذوب</w:t>
      </w:r>
      <w:r w:rsidRPr="006571AC">
        <w:rPr>
          <w:rFonts w:ascii="Arial" w:hAnsi="Arial"/>
          <w:sz w:val="27"/>
          <w:rtl/>
        </w:rPr>
        <w:t>ة</w:t>
      </w:r>
      <w:r w:rsidR="00E72C92" w:rsidRPr="006571AC">
        <w:rPr>
          <w:rFonts w:ascii="Arial" w:hAnsi="Arial" w:hint="cs"/>
          <w:sz w:val="27"/>
          <w:rtl/>
        </w:rPr>
        <w:t>ً</w:t>
      </w:r>
      <w:r w:rsidRPr="006571AC">
        <w:rPr>
          <w:rFonts w:ascii="Arial" w:hAnsi="Arial"/>
          <w:sz w:val="27"/>
          <w:rtl/>
        </w:rPr>
        <w:t xml:space="preserve"> لا مجال شرعاً للإتيان ب</w:t>
      </w:r>
      <w:r w:rsidRPr="006571AC">
        <w:rPr>
          <w:rFonts w:ascii="Arial" w:hAnsi="Arial" w:hint="cs"/>
          <w:sz w:val="27"/>
          <w:rtl/>
        </w:rPr>
        <w:t>العمل الذي تضم</w:t>
      </w:r>
      <w:r w:rsidR="00E72C92" w:rsidRPr="006571AC">
        <w:rPr>
          <w:rFonts w:ascii="Arial" w:hAnsi="Arial" w:hint="cs"/>
          <w:sz w:val="27"/>
          <w:rtl/>
        </w:rPr>
        <w:t>َّ</w:t>
      </w:r>
      <w:r w:rsidRPr="006571AC">
        <w:rPr>
          <w:rFonts w:ascii="Arial" w:hAnsi="Arial" w:hint="cs"/>
          <w:sz w:val="27"/>
          <w:rtl/>
        </w:rPr>
        <w:t>ن</w:t>
      </w:r>
      <w:r w:rsidR="00E72C92" w:rsidRPr="006571AC">
        <w:rPr>
          <w:rFonts w:ascii="Arial" w:hAnsi="Arial" w:hint="cs"/>
          <w:sz w:val="27"/>
          <w:rtl/>
        </w:rPr>
        <w:t>َ</w:t>
      </w:r>
      <w:r w:rsidRPr="006571AC">
        <w:rPr>
          <w:rFonts w:ascii="Arial" w:hAnsi="Arial" w:hint="cs"/>
          <w:sz w:val="27"/>
          <w:rtl/>
        </w:rPr>
        <w:t>ت</w:t>
      </w:r>
      <w:r w:rsidR="00E72C92" w:rsidRPr="006571AC">
        <w:rPr>
          <w:rFonts w:ascii="Arial" w:hAnsi="Arial" w:hint="cs"/>
          <w:sz w:val="27"/>
          <w:rtl/>
        </w:rPr>
        <w:t>ْ</w:t>
      </w:r>
      <w:r w:rsidRPr="006571AC">
        <w:rPr>
          <w:rFonts w:ascii="Arial" w:hAnsi="Arial" w:hint="cs"/>
          <w:sz w:val="27"/>
          <w:rtl/>
        </w:rPr>
        <w:t>ه</w:t>
      </w:r>
      <w:r w:rsidR="00E72C92"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ولو بعنوان الرجاء</w:t>
      </w:r>
      <w:r w:rsidR="00E72C92" w:rsidRPr="006571AC">
        <w:rPr>
          <w:rFonts w:ascii="Arial" w:hAnsi="Arial" w:hint="cs"/>
          <w:sz w:val="27"/>
          <w:rtl/>
        </w:rPr>
        <w:t>؛</w:t>
      </w:r>
      <w:r w:rsidRPr="006571AC">
        <w:rPr>
          <w:rFonts w:ascii="Arial" w:hAnsi="Arial" w:hint="cs"/>
          <w:sz w:val="27"/>
          <w:rtl/>
        </w:rPr>
        <w:t xml:space="preserve"> لانتفاء احتمال المطلوبي</w:t>
      </w:r>
      <w:r w:rsidR="00E72C92" w:rsidRPr="006571AC">
        <w:rPr>
          <w:rFonts w:ascii="Arial" w:hAnsi="Arial" w:hint="cs"/>
          <w:sz w:val="27"/>
          <w:rtl/>
        </w:rPr>
        <w:t>ّ</w:t>
      </w:r>
      <w:r w:rsidRPr="006571AC">
        <w:rPr>
          <w:rFonts w:ascii="Arial" w:hAnsi="Arial" w:hint="cs"/>
          <w:sz w:val="27"/>
          <w:rtl/>
        </w:rPr>
        <w:t>ة</w:t>
      </w:r>
      <w:r w:rsidR="00E72C92" w:rsidRPr="006571AC">
        <w:rPr>
          <w:rFonts w:ascii="Arial" w:hAnsi="Arial" w:hint="cs"/>
          <w:sz w:val="27"/>
          <w:rtl/>
        </w:rPr>
        <w:t>.</w:t>
      </w:r>
      <w:r w:rsidRPr="006571AC">
        <w:rPr>
          <w:rFonts w:ascii="Arial" w:hAnsi="Arial" w:hint="cs"/>
          <w:sz w:val="27"/>
          <w:rtl/>
        </w:rPr>
        <w:t xml:space="preserve"> فالعمل بقصد الرجاء يتوق</w:t>
      </w:r>
      <w:r w:rsidR="00E72C92" w:rsidRPr="006571AC">
        <w:rPr>
          <w:rFonts w:ascii="Arial" w:hAnsi="Arial" w:hint="cs"/>
          <w:sz w:val="27"/>
          <w:rtl/>
        </w:rPr>
        <w:t>َّ</w:t>
      </w:r>
      <w:r w:rsidRPr="006571AC">
        <w:rPr>
          <w:rFonts w:ascii="Arial" w:hAnsi="Arial" w:hint="cs"/>
          <w:sz w:val="27"/>
          <w:rtl/>
        </w:rPr>
        <w:t xml:space="preserve">ف على احتمال صدور الخبر </w:t>
      </w:r>
      <w:r w:rsidRPr="006571AC">
        <w:rPr>
          <w:rFonts w:ascii="Arial" w:hAnsi="Arial"/>
          <w:sz w:val="27"/>
          <w:rtl/>
        </w:rPr>
        <w:t>عن النبي</w:t>
      </w:r>
      <w:r w:rsidR="00E72C92" w:rsidRPr="006571AC">
        <w:rPr>
          <w:rFonts w:ascii="Arial" w:hAnsi="Arial" w:hint="cs"/>
          <w:sz w:val="27"/>
          <w:rtl/>
        </w:rPr>
        <w:t>ّ</w:t>
      </w:r>
      <w:r w:rsidR="002A2C90" w:rsidRPr="00E452B7">
        <w:rPr>
          <w:rFonts w:ascii="Mosawi" w:hAnsi="Mosawi" w:cs="Mosawi"/>
          <w:sz w:val="22"/>
          <w:szCs w:val="22"/>
          <w:rtl/>
        </w:rPr>
        <w:t>|</w:t>
      </w:r>
      <w:r w:rsidRPr="006571AC">
        <w:rPr>
          <w:rFonts w:ascii="Arial" w:hAnsi="Arial" w:hint="cs"/>
          <w:sz w:val="27"/>
          <w:rtl/>
        </w:rPr>
        <w:t xml:space="preserve"> أو الإمام</w:t>
      </w:r>
      <w:r w:rsidR="002A2C90" w:rsidRPr="00E452B7">
        <w:rPr>
          <w:rFonts w:ascii="Mosawi" w:hAnsi="Mosawi" w:cs="Mosawi"/>
          <w:sz w:val="22"/>
          <w:szCs w:val="22"/>
          <w:rtl/>
        </w:rPr>
        <w:t>×</w:t>
      </w:r>
      <w:r w:rsidRPr="006571AC">
        <w:rPr>
          <w:rFonts w:ascii="Arial" w:hAnsi="Arial" w:hint="cs"/>
          <w:sz w:val="27"/>
          <w:rtl/>
        </w:rPr>
        <w:t xml:space="preserve">. </w:t>
      </w:r>
    </w:p>
    <w:p w:rsidR="00E83C22" w:rsidRPr="008C2497" w:rsidRDefault="009B65D5" w:rsidP="008C2497">
      <w:pPr>
        <w:rPr>
          <w:rFonts w:ascii="Arial" w:hAnsi="Arial"/>
          <w:sz w:val="27"/>
          <w:rtl/>
        </w:rPr>
      </w:pPr>
      <w:r w:rsidRPr="006571AC">
        <w:rPr>
          <w:rFonts w:ascii="Arial" w:hAnsi="Arial" w:hint="cs"/>
          <w:sz w:val="27"/>
          <w:rtl/>
        </w:rPr>
        <w:t>لكن</w:t>
      </w:r>
      <w:r w:rsidR="00E72C92" w:rsidRPr="006571AC">
        <w:rPr>
          <w:rFonts w:ascii="Arial" w:hAnsi="Arial" w:hint="cs"/>
          <w:sz w:val="27"/>
          <w:rtl/>
        </w:rPr>
        <w:t>ْ</w:t>
      </w:r>
      <w:r w:rsidRPr="006571AC">
        <w:rPr>
          <w:rFonts w:ascii="Arial" w:hAnsi="Arial" w:hint="cs"/>
          <w:sz w:val="27"/>
          <w:rtl/>
        </w:rPr>
        <w:t xml:space="preserve"> ثمّة ملاحظة</w:t>
      </w:r>
      <w:r w:rsidR="00E72C92" w:rsidRPr="006571AC">
        <w:rPr>
          <w:rFonts w:ascii="Arial" w:hAnsi="Arial" w:hint="cs"/>
          <w:sz w:val="27"/>
          <w:rtl/>
        </w:rPr>
        <w:t>ٌ</w:t>
      </w:r>
      <w:r w:rsidRPr="006571AC">
        <w:rPr>
          <w:rFonts w:ascii="Arial" w:hAnsi="Arial" w:hint="cs"/>
          <w:sz w:val="27"/>
          <w:rtl/>
        </w:rPr>
        <w:t xml:space="preserve"> نريد أن نسج</w:t>
      </w:r>
      <w:r w:rsidR="00E72C92" w:rsidRPr="006571AC">
        <w:rPr>
          <w:rFonts w:ascii="Arial" w:hAnsi="Arial" w:hint="cs"/>
          <w:sz w:val="27"/>
          <w:rtl/>
        </w:rPr>
        <w:t>ِّ</w:t>
      </w:r>
      <w:r w:rsidR="008C2497">
        <w:rPr>
          <w:rFonts w:ascii="Arial" w:hAnsi="Arial" w:hint="cs"/>
          <w:sz w:val="27"/>
          <w:rtl/>
        </w:rPr>
        <w:t xml:space="preserve">لها في المقام، </w:t>
      </w:r>
      <w:r w:rsidRPr="006571AC">
        <w:rPr>
          <w:rFonts w:ascii="Arial" w:hAnsi="Arial" w:hint="cs"/>
          <w:sz w:val="27"/>
          <w:rtl/>
        </w:rPr>
        <w:t>وهي أنّ فتح هذا الباب</w:t>
      </w:r>
      <w:r w:rsidR="00E72C92" w:rsidRPr="006571AC">
        <w:rPr>
          <w:rFonts w:ascii="Arial" w:hAnsi="Arial" w:hint="cs"/>
          <w:sz w:val="27"/>
          <w:rtl/>
        </w:rPr>
        <w:t>،</w:t>
      </w:r>
      <w:r w:rsidRPr="006571AC">
        <w:rPr>
          <w:rFonts w:ascii="Arial" w:hAnsi="Arial" w:hint="cs"/>
          <w:sz w:val="27"/>
          <w:rtl/>
        </w:rPr>
        <w:t xml:space="preserve"> وهو الإتيان بالعمل بقصد</w:t>
      </w:r>
      <w:r w:rsidRPr="006571AC">
        <w:rPr>
          <w:rFonts w:ascii="Arial" w:hAnsi="Arial"/>
          <w:sz w:val="27"/>
          <w:rtl/>
        </w:rPr>
        <w:t xml:space="preserve"> </w:t>
      </w:r>
      <w:r w:rsidRPr="006571AC">
        <w:rPr>
          <w:rFonts w:hint="eastAsia"/>
          <w:sz w:val="24"/>
          <w:szCs w:val="24"/>
          <w:rtl/>
        </w:rPr>
        <w:t>«</w:t>
      </w:r>
      <w:r w:rsidRPr="006571AC">
        <w:rPr>
          <w:rFonts w:ascii="Arial" w:hAnsi="Arial"/>
          <w:sz w:val="27"/>
          <w:rtl/>
        </w:rPr>
        <w:t>الرجاء</w:t>
      </w:r>
      <w:r w:rsidRPr="006571AC">
        <w:rPr>
          <w:rFonts w:hint="eastAsia"/>
          <w:sz w:val="24"/>
          <w:szCs w:val="24"/>
          <w:rtl/>
        </w:rPr>
        <w:t>»</w:t>
      </w:r>
      <w:r w:rsidR="00E72C92"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لمجرد الاحتمال غير الناشئ من منشأ ي</w:t>
      </w:r>
      <w:r w:rsidR="00E72C92" w:rsidRPr="006571AC">
        <w:rPr>
          <w:rFonts w:ascii="Arial" w:hAnsi="Arial" w:hint="cs"/>
          <w:sz w:val="27"/>
          <w:rtl/>
        </w:rPr>
        <w:t>ُ</w:t>
      </w:r>
      <w:r w:rsidRPr="006571AC">
        <w:rPr>
          <w:rFonts w:ascii="Arial" w:hAnsi="Arial" w:hint="cs"/>
          <w:sz w:val="27"/>
          <w:rtl/>
        </w:rPr>
        <w:t>ع</w:t>
      </w:r>
      <w:r w:rsidR="00E72C92" w:rsidRPr="006571AC">
        <w:rPr>
          <w:rFonts w:ascii="Arial" w:hAnsi="Arial" w:hint="cs"/>
          <w:sz w:val="27"/>
          <w:rtl/>
        </w:rPr>
        <w:t>ْ</w:t>
      </w:r>
      <w:r w:rsidRPr="006571AC">
        <w:rPr>
          <w:rFonts w:ascii="Arial" w:hAnsi="Arial" w:hint="cs"/>
          <w:sz w:val="27"/>
          <w:rtl/>
        </w:rPr>
        <w:t>ت</w:t>
      </w:r>
      <w:r w:rsidR="00E72C92" w:rsidRPr="006571AC">
        <w:rPr>
          <w:rFonts w:ascii="Arial" w:hAnsi="Arial" w:hint="cs"/>
          <w:sz w:val="27"/>
          <w:rtl/>
        </w:rPr>
        <w:t>َ</w:t>
      </w:r>
      <w:r w:rsidRPr="006571AC">
        <w:rPr>
          <w:rFonts w:ascii="Arial" w:hAnsi="Arial" w:hint="cs"/>
          <w:sz w:val="27"/>
          <w:rtl/>
        </w:rPr>
        <w:t>د</w:t>
      </w:r>
      <w:r w:rsidR="00E72C92" w:rsidRPr="006571AC">
        <w:rPr>
          <w:rFonts w:ascii="Arial" w:hAnsi="Arial" w:hint="cs"/>
          <w:sz w:val="27"/>
          <w:rtl/>
        </w:rPr>
        <w:t>ّ</w:t>
      </w:r>
      <w:r w:rsidRPr="006571AC">
        <w:rPr>
          <w:rFonts w:ascii="Arial" w:hAnsi="Arial" w:hint="cs"/>
          <w:sz w:val="27"/>
          <w:rtl/>
        </w:rPr>
        <w:t xml:space="preserve"> به عقلائياً أو شرعاً، ونظيره</w:t>
      </w:r>
      <w:r w:rsidR="00E72C92" w:rsidRPr="006571AC">
        <w:rPr>
          <w:rFonts w:ascii="Arial" w:hAnsi="Arial" w:hint="cs"/>
          <w:sz w:val="27"/>
          <w:rtl/>
        </w:rPr>
        <w:t>:</w:t>
      </w:r>
      <w:r w:rsidRPr="006571AC">
        <w:rPr>
          <w:rFonts w:ascii="Arial" w:hAnsi="Arial" w:hint="cs"/>
          <w:sz w:val="27"/>
          <w:rtl/>
        </w:rPr>
        <w:t xml:space="preserve"> الإتيان بالعمل لا بقصد الجزئي</w:t>
      </w:r>
      <w:r w:rsidR="00E72C92" w:rsidRPr="006571AC">
        <w:rPr>
          <w:rFonts w:ascii="Arial" w:hAnsi="Arial" w:hint="cs"/>
          <w:sz w:val="27"/>
          <w:rtl/>
        </w:rPr>
        <w:t>ّ</w:t>
      </w:r>
      <w:r w:rsidRPr="006571AC">
        <w:rPr>
          <w:rFonts w:ascii="Arial" w:hAnsi="Arial" w:hint="cs"/>
          <w:sz w:val="27"/>
          <w:rtl/>
        </w:rPr>
        <w:t>ة في الموارد التي يكون قصدها مضر</w:t>
      </w:r>
      <w:r w:rsidR="00E72C92" w:rsidRPr="006571AC">
        <w:rPr>
          <w:rFonts w:ascii="Arial" w:hAnsi="Arial" w:hint="cs"/>
          <w:sz w:val="27"/>
          <w:rtl/>
        </w:rPr>
        <w:t>ّ</w:t>
      </w:r>
      <w:r w:rsidRPr="006571AC">
        <w:rPr>
          <w:rFonts w:ascii="Arial" w:hAnsi="Arial" w:hint="cs"/>
          <w:sz w:val="27"/>
          <w:rtl/>
        </w:rPr>
        <w:t>اً، إنّ هذا وذاك لا يخلوان في بعض الصور والحالات من شائبة الابتداع، ومنشأ الشبهة أ</w:t>
      </w:r>
      <w:r w:rsidRPr="006571AC">
        <w:rPr>
          <w:rFonts w:ascii="Arial" w:hAnsi="Arial"/>
          <w:sz w:val="27"/>
          <w:rtl/>
        </w:rPr>
        <w:t>نّه مع كون العمل المأتي</w:t>
      </w:r>
      <w:r w:rsidR="009A6E14" w:rsidRPr="006571AC">
        <w:rPr>
          <w:rFonts w:ascii="Arial" w:hAnsi="Arial" w:hint="cs"/>
          <w:sz w:val="27"/>
          <w:rtl/>
        </w:rPr>
        <w:t>ّ</w:t>
      </w:r>
      <w:r w:rsidRPr="006571AC">
        <w:rPr>
          <w:rFonts w:ascii="Arial" w:hAnsi="Arial"/>
          <w:sz w:val="27"/>
          <w:rtl/>
        </w:rPr>
        <w:t xml:space="preserve"> به بعنوان الرجاء عملاً عبادياً ـ كما في صلاة </w:t>
      </w:r>
      <w:r w:rsidRPr="006571AC">
        <w:rPr>
          <w:rFonts w:ascii="Arial" w:hAnsi="Arial"/>
          <w:sz w:val="27"/>
          <w:rtl/>
        </w:rPr>
        <w:lastRenderedPageBreak/>
        <w:t xml:space="preserve">الرغائب </w:t>
      </w:r>
      <w:r w:rsidRPr="006571AC">
        <w:rPr>
          <w:rFonts w:ascii="Arial" w:hAnsi="Arial" w:hint="cs"/>
          <w:sz w:val="27"/>
          <w:rtl/>
        </w:rPr>
        <w:t>مثلاً ـ</w:t>
      </w:r>
      <w:r w:rsidR="009A6E14" w:rsidRPr="006571AC">
        <w:rPr>
          <w:rFonts w:ascii="Arial" w:hAnsi="Arial" w:hint="cs"/>
          <w:sz w:val="27"/>
          <w:rtl/>
        </w:rPr>
        <w:t>،</w:t>
      </w:r>
      <w:r w:rsidRPr="006571AC">
        <w:rPr>
          <w:rFonts w:ascii="Arial" w:hAnsi="Arial" w:hint="cs"/>
          <w:sz w:val="27"/>
          <w:rtl/>
        </w:rPr>
        <w:t xml:space="preserve"> و</w:t>
      </w:r>
      <w:r w:rsidRPr="006571AC">
        <w:rPr>
          <w:rFonts w:ascii="Arial" w:hAnsi="Arial"/>
          <w:sz w:val="27"/>
          <w:rtl/>
        </w:rPr>
        <w:t>لا ي</w:t>
      </w:r>
      <w:r w:rsidR="009A6E14" w:rsidRPr="006571AC">
        <w:rPr>
          <w:rFonts w:ascii="Arial" w:hAnsi="Arial" w:hint="cs"/>
          <w:sz w:val="27"/>
          <w:rtl/>
        </w:rPr>
        <w:t>ُ</w:t>
      </w:r>
      <w:r w:rsidRPr="006571AC">
        <w:rPr>
          <w:rFonts w:ascii="Arial" w:hAnsi="Arial"/>
          <w:sz w:val="27"/>
          <w:rtl/>
        </w:rPr>
        <w:t>راد</w:t>
      </w:r>
      <w:r w:rsidRPr="006571AC">
        <w:rPr>
          <w:rFonts w:ascii="Arial" w:hAnsi="Arial"/>
          <w:sz w:val="27"/>
        </w:rPr>
        <w:t xml:space="preserve"> </w:t>
      </w:r>
      <w:r w:rsidRPr="006571AC">
        <w:rPr>
          <w:rFonts w:ascii="Arial" w:hAnsi="Arial"/>
          <w:sz w:val="27"/>
          <w:rtl/>
        </w:rPr>
        <w:t>الإتيان به بصورة</w:t>
      </w:r>
      <w:r w:rsidR="009A6E14" w:rsidRPr="006571AC">
        <w:rPr>
          <w:rFonts w:ascii="Arial" w:hAnsi="Arial" w:hint="cs"/>
          <w:sz w:val="27"/>
          <w:rtl/>
        </w:rPr>
        <w:t>ٍ</w:t>
      </w:r>
      <w:r w:rsidRPr="006571AC">
        <w:rPr>
          <w:rFonts w:ascii="Arial" w:hAnsi="Arial"/>
          <w:sz w:val="27"/>
          <w:rtl/>
        </w:rPr>
        <w:t xml:space="preserve"> عفويّة، بل ي</w:t>
      </w:r>
      <w:r w:rsidR="009A6E14" w:rsidRPr="006571AC">
        <w:rPr>
          <w:rFonts w:ascii="Arial" w:hAnsi="Arial" w:hint="cs"/>
          <w:sz w:val="27"/>
          <w:rtl/>
        </w:rPr>
        <w:t>ُ</w:t>
      </w:r>
      <w:r w:rsidRPr="006571AC">
        <w:rPr>
          <w:rFonts w:ascii="Arial" w:hAnsi="Arial"/>
          <w:sz w:val="27"/>
          <w:rtl/>
        </w:rPr>
        <w:t>راد تكريسه كـ</w:t>
      </w:r>
      <w:r w:rsidR="009A6E14" w:rsidRPr="006571AC">
        <w:rPr>
          <w:rFonts w:ascii="Arial" w:hAnsi="Arial" w:hint="cs"/>
          <w:sz w:val="27"/>
          <w:rtl/>
        </w:rPr>
        <w:t xml:space="preserve"> </w:t>
      </w:r>
      <w:r w:rsidR="009A6E14" w:rsidRPr="006571AC">
        <w:rPr>
          <w:rFonts w:hint="eastAsia"/>
          <w:sz w:val="24"/>
          <w:szCs w:val="24"/>
          <w:rtl/>
        </w:rPr>
        <w:t>«</w:t>
      </w:r>
      <w:r w:rsidRPr="006571AC">
        <w:rPr>
          <w:rFonts w:ascii="Arial" w:hAnsi="Arial"/>
          <w:sz w:val="27"/>
          <w:rtl/>
        </w:rPr>
        <w:t>س</w:t>
      </w:r>
      <w:r w:rsidR="009A6E14" w:rsidRPr="006571AC">
        <w:rPr>
          <w:rFonts w:ascii="Arial" w:hAnsi="Arial" w:hint="cs"/>
          <w:sz w:val="27"/>
          <w:rtl/>
        </w:rPr>
        <w:t>ُ</w:t>
      </w:r>
      <w:r w:rsidRPr="006571AC">
        <w:rPr>
          <w:rFonts w:ascii="Arial" w:hAnsi="Arial"/>
          <w:sz w:val="27"/>
          <w:rtl/>
        </w:rPr>
        <w:t>ن</w:t>
      </w:r>
      <w:r w:rsidR="009A6E14" w:rsidRPr="006571AC">
        <w:rPr>
          <w:rFonts w:ascii="Arial" w:hAnsi="Arial" w:hint="cs"/>
          <w:sz w:val="27"/>
          <w:rtl/>
        </w:rPr>
        <w:t>ّ</w:t>
      </w:r>
      <w:r w:rsidRPr="006571AC">
        <w:rPr>
          <w:rFonts w:ascii="Arial" w:hAnsi="Arial"/>
          <w:sz w:val="27"/>
          <w:rtl/>
        </w:rPr>
        <w:t>ة</w:t>
      </w:r>
      <w:r w:rsidRPr="006571AC">
        <w:rPr>
          <w:rFonts w:hint="eastAsia"/>
          <w:sz w:val="24"/>
          <w:szCs w:val="24"/>
          <w:rtl/>
        </w:rPr>
        <w:t>»</w:t>
      </w:r>
      <w:r w:rsidRPr="006571AC">
        <w:rPr>
          <w:rFonts w:ascii="Arial" w:hAnsi="Arial"/>
          <w:sz w:val="27"/>
          <w:rtl/>
        </w:rPr>
        <w:t xml:space="preserve"> عملي</w:t>
      </w:r>
      <w:r w:rsidRPr="006571AC">
        <w:rPr>
          <w:rFonts w:ascii="Arial" w:hAnsi="Arial" w:hint="cs"/>
          <w:sz w:val="27"/>
          <w:rtl/>
        </w:rPr>
        <w:t>ّ</w:t>
      </w:r>
      <w:r w:rsidRPr="006571AC">
        <w:rPr>
          <w:rFonts w:ascii="Arial" w:hAnsi="Arial"/>
          <w:sz w:val="27"/>
          <w:rtl/>
        </w:rPr>
        <w:t>ة يتم</w:t>
      </w:r>
      <w:r w:rsidR="009A6E14" w:rsidRPr="006571AC">
        <w:rPr>
          <w:rFonts w:ascii="Arial" w:hAnsi="Arial" w:hint="cs"/>
          <w:sz w:val="27"/>
          <w:rtl/>
        </w:rPr>
        <w:t>ّ</w:t>
      </w:r>
      <w:r w:rsidRPr="006571AC">
        <w:rPr>
          <w:rFonts w:ascii="Arial" w:hAnsi="Arial"/>
          <w:sz w:val="27"/>
          <w:rtl/>
        </w:rPr>
        <w:t xml:space="preserve"> المواظبة عليها بكيفي</w:t>
      </w:r>
      <w:r w:rsidR="009A6E14" w:rsidRPr="006571AC">
        <w:rPr>
          <w:rFonts w:ascii="Arial" w:hAnsi="Arial" w:hint="cs"/>
          <w:sz w:val="27"/>
          <w:rtl/>
        </w:rPr>
        <w:t>ّ</w:t>
      </w:r>
      <w:r w:rsidRPr="006571AC">
        <w:rPr>
          <w:rFonts w:ascii="Arial" w:hAnsi="Arial"/>
          <w:sz w:val="27"/>
          <w:rtl/>
        </w:rPr>
        <w:t>تها الخاص</w:t>
      </w:r>
      <w:r w:rsidR="009A6E14" w:rsidRPr="006571AC">
        <w:rPr>
          <w:rFonts w:ascii="Arial" w:hAnsi="Arial" w:hint="cs"/>
          <w:sz w:val="27"/>
          <w:rtl/>
        </w:rPr>
        <w:t>ّ</w:t>
      </w:r>
      <w:r w:rsidRPr="006571AC">
        <w:rPr>
          <w:rFonts w:ascii="Arial" w:hAnsi="Arial"/>
          <w:sz w:val="27"/>
          <w:rtl/>
        </w:rPr>
        <w:t>ة غير الثابتة</w:t>
      </w:r>
      <w:r w:rsidR="009A6E14" w:rsidRPr="006571AC">
        <w:rPr>
          <w:rFonts w:ascii="Arial" w:hAnsi="Arial" w:hint="cs"/>
          <w:sz w:val="27"/>
          <w:rtl/>
        </w:rPr>
        <w:t>،</w:t>
      </w:r>
      <w:r w:rsidRPr="006571AC">
        <w:rPr>
          <w:rFonts w:ascii="Arial" w:hAnsi="Arial"/>
          <w:sz w:val="27"/>
          <w:rtl/>
        </w:rPr>
        <w:t xml:space="preserve"> ويُح</w:t>
      </w:r>
      <w:r w:rsidR="009A6E14" w:rsidRPr="006571AC">
        <w:rPr>
          <w:rFonts w:ascii="Arial" w:hAnsi="Arial" w:hint="cs"/>
          <w:sz w:val="27"/>
          <w:rtl/>
        </w:rPr>
        <w:t>َ</w:t>
      </w:r>
      <w:r w:rsidRPr="006571AC">
        <w:rPr>
          <w:rFonts w:ascii="Arial" w:hAnsi="Arial"/>
          <w:sz w:val="27"/>
          <w:rtl/>
        </w:rPr>
        <w:t>ثّ الناس على أدائها في المساجد</w:t>
      </w:r>
      <w:r w:rsidRPr="006571AC">
        <w:rPr>
          <w:rFonts w:ascii="Arial" w:hAnsi="Arial"/>
          <w:sz w:val="27"/>
          <w:vertAlign w:val="superscript"/>
          <w:rtl/>
        </w:rPr>
        <w:t>(</w:t>
      </w:r>
      <w:r w:rsidRPr="006571AC">
        <w:rPr>
          <w:rFonts w:ascii="Arial" w:hAnsi="Arial"/>
          <w:sz w:val="27"/>
          <w:vertAlign w:val="superscript"/>
          <w:rtl/>
        </w:rPr>
        <w:endnoteReference w:id="686"/>
      </w:r>
      <w:r w:rsidRPr="006571AC">
        <w:rPr>
          <w:rFonts w:ascii="Arial" w:hAnsi="Arial"/>
          <w:sz w:val="27"/>
          <w:vertAlign w:val="superscript"/>
          <w:rtl/>
        </w:rPr>
        <w:t>)</w:t>
      </w:r>
      <w:r w:rsidR="009A6E14" w:rsidRPr="006571AC">
        <w:rPr>
          <w:rFonts w:ascii="Arial" w:hAnsi="Arial" w:hint="cs"/>
          <w:sz w:val="27"/>
          <w:rtl/>
        </w:rPr>
        <w:t>،</w:t>
      </w:r>
      <w:r w:rsidRPr="006571AC">
        <w:rPr>
          <w:rFonts w:ascii="Arial" w:hAnsi="Arial"/>
          <w:sz w:val="27"/>
          <w:rtl/>
        </w:rPr>
        <w:t xml:space="preserve"> فإنّ احتمال الحرمة والحال هذه سيدخل في البين</w:t>
      </w:r>
      <w:r w:rsidR="009A6E14" w:rsidRPr="006571AC">
        <w:rPr>
          <w:rFonts w:ascii="Arial" w:hAnsi="Arial" w:hint="cs"/>
          <w:sz w:val="27"/>
          <w:rtl/>
        </w:rPr>
        <w:t>؛</w:t>
      </w:r>
      <w:r w:rsidRPr="006571AC">
        <w:rPr>
          <w:rFonts w:ascii="Arial" w:hAnsi="Arial"/>
          <w:sz w:val="27"/>
          <w:rtl/>
        </w:rPr>
        <w:t xml:space="preserve"> ل</w:t>
      </w:r>
      <w:r w:rsidRPr="006571AC">
        <w:rPr>
          <w:rFonts w:ascii="Arial" w:hAnsi="Arial" w:hint="cs"/>
          <w:sz w:val="27"/>
          <w:rtl/>
        </w:rPr>
        <w:t>قو</w:t>
      </w:r>
      <w:r w:rsidR="009A6E14" w:rsidRPr="006571AC">
        <w:rPr>
          <w:rFonts w:ascii="Arial" w:hAnsi="Arial" w:hint="cs"/>
          <w:sz w:val="27"/>
          <w:rtl/>
        </w:rPr>
        <w:t>ّ</w:t>
      </w:r>
      <w:r w:rsidRPr="006571AC">
        <w:rPr>
          <w:rFonts w:ascii="Arial" w:hAnsi="Arial" w:hint="cs"/>
          <w:sz w:val="27"/>
          <w:rtl/>
        </w:rPr>
        <w:t xml:space="preserve">ة </w:t>
      </w:r>
      <w:r w:rsidRPr="006571AC">
        <w:rPr>
          <w:rFonts w:ascii="Arial" w:hAnsi="Arial"/>
          <w:sz w:val="27"/>
          <w:rtl/>
        </w:rPr>
        <w:t xml:space="preserve">احتمال أن يكون </w:t>
      </w:r>
      <w:r w:rsidRPr="006571AC">
        <w:rPr>
          <w:rFonts w:ascii="Arial" w:hAnsi="Arial" w:hint="cs"/>
          <w:sz w:val="27"/>
          <w:rtl/>
        </w:rPr>
        <w:t>هذا التكريس</w:t>
      </w:r>
      <w:r w:rsidR="009A6E14" w:rsidRPr="006571AC">
        <w:rPr>
          <w:rFonts w:ascii="Arial" w:hAnsi="Arial" w:hint="cs"/>
          <w:sz w:val="27"/>
          <w:rtl/>
        </w:rPr>
        <w:t>ُ</w:t>
      </w:r>
      <w:r w:rsidRPr="006571AC">
        <w:rPr>
          <w:rFonts w:ascii="Arial" w:hAnsi="Arial" w:hint="cs"/>
          <w:sz w:val="27"/>
          <w:rtl/>
        </w:rPr>
        <w:t xml:space="preserve"> العملي ـ وإن</w:t>
      </w:r>
      <w:r w:rsidR="009A6E14" w:rsidRPr="006571AC">
        <w:rPr>
          <w:rFonts w:ascii="Arial" w:hAnsi="Arial" w:hint="cs"/>
          <w:sz w:val="27"/>
          <w:rtl/>
        </w:rPr>
        <w:t>ْ</w:t>
      </w:r>
      <w:r w:rsidRPr="006571AC">
        <w:rPr>
          <w:rFonts w:ascii="Arial" w:hAnsi="Arial" w:hint="cs"/>
          <w:sz w:val="27"/>
          <w:rtl/>
        </w:rPr>
        <w:t xml:space="preserve"> لم يترافق ذلك مع قصد الورود ـ لصلاة</w:t>
      </w:r>
      <w:r w:rsidR="009A6E14" w:rsidRPr="006571AC">
        <w:rPr>
          <w:rFonts w:ascii="Arial" w:hAnsi="Arial" w:hint="cs"/>
          <w:sz w:val="27"/>
          <w:rtl/>
        </w:rPr>
        <w:t>ٍ</w:t>
      </w:r>
      <w:r w:rsidRPr="006571AC">
        <w:rPr>
          <w:rFonts w:ascii="Arial" w:hAnsi="Arial" w:hint="cs"/>
          <w:sz w:val="27"/>
          <w:rtl/>
        </w:rPr>
        <w:t xml:space="preserve"> لم ت</w:t>
      </w:r>
      <w:r w:rsidR="009A6E14" w:rsidRPr="006571AC">
        <w:rPr>
          <w:rFonts w:ascii="Arial" w:hAnsi="Arial" w:hint="cs"/>
          <w:sz w:val="27"/>
          <w:rtl/>
        </w:rPr>
        <w:t>َ</w:t>
      </w:r>
      <w:r w:rsidRPr="006571AC">
        <w:rPr>
          <w:rFonts w:ascii="Arial" w:hAnsi="Arial" w:hint="cs"/>
          <w:sz w:val="27"/>
          <w:rtl/>
        </w:rPr>
        <w:t>د</w:t>
      </w:r>
      <w:r w:rsidR="009A6E14" w:rsidRPr="006571AC">
        <w:rPr>
          <w:rFonts w:ascii="Arial" w:hAnsi="Arial" w:hint="cs"/>
          <w:sz w:val="27"/>
          <w:rtl/>
        </w:rPr>
        <w:t>ْ</w:t>
      </w:r>
      <w:r w:rsidRPr="006571AC">
        <w:rPr>
          <w:rFonts w:ascii="Arial" w:hAnsi="Arial" w:hint="cs"/>
          <w:sz w:val="27"/>
          <w:rtl/>
        </w:rPr>
        <w:t xml:space="preserve">عُ الشريعة إلى تكريسها </w:t>
      </w:r>
      <w:r w:rsidR="00C31E61" w:rsidRPr="006571AC">
        <w:rPr>
          <w:rFonts w:ascii="Arial" w:hAnsi="Arial"/>
          <w:sz w:val="27"/>
          <w:rtl/>
        </w:rPr>
        <w:t>مصداق</w:t>
      </w:r>
      <w:r w:rsidR="00C31E61" w:rsidRPr="006571AC">
        <w:rPr>
          <w:rFonts w:ascii="Arial" w:hAnsi="Arial" w:hint="cs"/>
          <w:sz w:val="27"/>
          <w:rtl/>
        </w:rPr>
        <w:t>اً</w:t>
      </w:r>
      <w:r w:rsidRPr="006571AC">
        <w:rPr>
          <w:rFonts w:ascii="Arial" w:hAnsi="Arial"/>
          <w:sz w:val="27"/>
          <w:rtl/>
        </w:rPr>
        <w:t xml:space="preserve"> لعنوان الابتداع في دين الله تعالى، ومع ورود هذا الاحتمال لا يصح</w:t>
      </w:r>
      <w:r w:rsidR="009A6E14" w:rsidRPr="006571AC">
        <w:rPr>
          <w:rFonts w:ascii="Arial" w:hAnsi="Arial" w:hint="cs"/>
          <w:sz w:val="27"/>
          <w:rtl/>
        </w:rPr>
        <w:t>ّ</w:t>
      </w:r>
      <w:r w:rsidRPr="006571AC">
        <w:rPr>
          <w:rFonts w:ascii="Arial" w:hAnsi="Arial"/>
          <w:sz w:val="27"/>
          <w:rtl/>
        </w:rPr>
        <w:t xml:space="preserve"> العمل</w:t>
      </w:r>
      <w:r w:rsidR="009A6E14" w:rsidRPr="006571AC">
        <w:rPr>
          <w:rFonts w:ascii="Arial" w:hAnsi="Arial" w:hint="cs"/>
          <w:sz w:val="27"/>
          <w:rtl/>
        </w:rPr>
        <w:t>؛</w:t>
      </w:r>
      <w:r w:rsidRPr="006571AC">
        <w:rPr>
          <w:rFonts w:ascii="Arial" w:hAnsi="Arial"/>
          <w:sz w:val="27"/>
          <w:rtl/>
        </w:rPr>
        <w:t xml:space="preserve"> لأن</w:t>
      </w:r>
      <w:r w:rsidRPr="006571AC">
        <w:rPr>
          <w:rFonts w:ascii="Arial" w:hAnsi="Arial" w:hint="cs"/>
          <w:sz w:val="27"/>
          <w:rtl/>
        </w:rPr>
        <w:t>ّ</w:t>
      </w:r>
      <w:r w:rsidRPr="006571AC">
        <w:rPr>
          <w:rFonts w:ascii="Arial" w:hAnsi="Arial"/>
          <w:sz w:val="27"/>
          <w:rtl/>
        </w:rPr>
        <w:t xml:space="preserve"> احتمال المطلوبي</w:t>
      </w:r>
      <w:r w:rsidRPr="006571AC">
        <w:rPr>
          <w:rFonts w:ascii="Arial" w:hAnsi="Arial" w:hint="cs"/>
          <w:sz w:val="27"/>
          <w:rtl/>
        </w:rPr>
        <w:t>ّ</w:t>
      </w:r>
      <w:r w:rsidRPr="006571AC">
        <w:rPr>
          <w:rFonts w:ascii="Arial" w:hAnsi="Arial"/>
          <w:sz w:val="27"/>
          <w:rtl/>
        </w:rPr>
        <w:t xml:space="preserve">ة يقابله احتمال المبغوضية، وهذا ما يجعل المورد خارجاً عن مفاد </w:t>
      </w:r>
      <w:r w:rsidR="009A6E14" w:rsidRPr="006571AC">
        <w:rPr>
          <w:rFonts w:ascii="Arial" w:hAnsi="Arial"/>
          <w:sz w:val="27"/>
          <w:rtl/>
        </w:rPr>
        <w:t>روايات</w:t>
      </w:r>
      <w:r w:rsidR="009A6E14" w:rsidRPr="006571AC">
        <w:rPr>
          <w:rFonts w:hint="eastAsia"/>
          <w:sz w:val="24"/>
          <w:szCs w:val="24"/>
          <w:rtl/>
        </w:rPr>
        <w:t xml:space="preserve"> </w:t>
      </w:r>
      <w:r w:rsidRPr="006571AC">
        <w:rPr>
          <w:rFonts w:hint="eastAsia"/>
          <w:sz w:val="24"/>
          <w:szCs w:val="24"/>
          <w:rtl/>
        </w:rPr>
        <w:t>«</w:t>
      </w:r>
      <w:r w:rsidRPr="006571AC">
        <w:rPr>
          <w:rFonts w:ascii="Arial" w:hAnsi="Arial"/>
          <w:sz w:val="27"/>
          <w:rtl/>
        </w:rPr>
        <w:t>م</w:t>
      </w:r>
      <w:r w:rsidR="009A6E14" w:rsidRPr="006571AC">
        <w:rPr>
          <w:rFonts w:ascii="Arial" w:hAnsi="Arial" w:hint="cs"/>
          <w:sz w:val="27"/>
          <w:rtl/>
        </w:rPr>
        <w:t>َ</w:t>
      </w:r>
      <w:r w:rsidRPr="006571AC">
        <w:rPr>
          <w:rFonts w:ascii="Arial" w:hAnsi="Arial"/>
          <w:sz w:val="27"/>
          <w:rtl/>
        </w:rPr>
        <w:t>ن</w:t>
      </w:r>
      <w:r w:rsidR="009A6E14" w:rsidRPr="006571AC">
        <w:rPr>
          <w:rFonts w:ascii="Arial" w:hAnsi="Arial" w:hint="cs"/>
          <w:sz w:val="27"/>
          <w:rtl/>
        </w:rPr>
        <w:t>ْ</w:t>
      </w:r>
      <w:r w:rsidRPr="006571AC">
        <w:rPr>
          <w:rFonts w:ascii="Arial" w:hAnsi="Arial"/>
          <w:sz w:val="27"/>
          <w:rtl/>
        </w:rPr>
        <w:t xml:space="preserve"> بلغ</w:t>
      </w:r>
      <w:r w:rsidRPr="006571AC">
        <w:rPr>
          <w:rFonts w:hint="eastAsia"/>
          <w:sz w:val="24"/>
          <w:szCs w:val="24"/>
          <w:rtl/>
        </w:rPr>
        <w:t>»</w:t>
      </w:r>
      <w:r w:rsidRPr="006571AC">
        <w:rPr>
          <w:rFonts w:ascii="Arial" w:hAnsi="Arial"/>
          <w:sz w:val="27"/>
          <w:rtl/>
        </w:rPr>
        <w:t>، وبعبارة</w:t>
      </w:r>
      <w:r w:rsidR="009A6E14" w:rsidRPr="006571AC">
        <w:rPr>
          <w:rFonts w:ascii="Arial" w:hAnsi="Arial" w:hint="cs"/>
          <w:sz w:val="27"/>
          <w:rtl/>
        </w:rPr>
        <w:t>ٍ</w:t>
      </w:r>
      <w:r w:rsidRPr="006571AC">
        <w:rPr>
          <w:rFonts w:ascii="Arial" w:hAnsi="Arial"/>
          <w:sz w:val="27"/>
          <w:rtl/>
        </w:rPr>
        <w:t xml:space="preserve"> أخرى: إنّ ما دلّ على حرمة الابتداع والتشريع في دين الله</w:t>
      </w:r>
      <w:r w:rsidRPr="006571AC">
        <w:rPr>
          <w:rFonts w:ascii="Arial" w:hAnsi="Arial" w:hint="cs"/>
          <w:sz w:val="27"/>
          <w:rtl/>
        </w:rPr>
        <w:t xml:space="preserve"> </w:t>
      </w:r>
      <w:r w:rsidRPr="006571AC">
        <w:rPr>
          <w:rFonts w:ascii="Arial" w:hAnsi="Arial"/>
          <w:sz w:val="27"/>
          <w:rtl/>
        </w:rPr>
        <w:t>شامل</w:t>
      </w:r>
      <w:r w:rsidR="009A6E14"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 xml:space="preserve">ـ </w:t>
      </w:r>
      <w:r w:rsidRPr="006571AC">
        <w:rPr>
          <w:rFonts w:ascii="Arial" w:hAnsi="Arial"/>
          <w:sz w:val="27"/>
          <w:rtl/>
        </w:rPr>
        <w:t>ولو على نحو الظن</w:t>
      </w:r>
      <w:r w:rsidR="009A6E14" w:rsidRPr="006571AC">
        <w:rPr>
          <w:rFonts w:ascii="Arial" w:hAnsi="Arial" w:hint="cs"/>
          <w:sz w:val="27"/>
          <w:rtl/>
        </w:rPr>
        <w:t>ّ</w:t>
      </w:r>
      <w:r w:rsidRPr="006571AC">
        <w:rPr>
          <w:rFonts w:ascii="Arial" w:hAnsi="Arial"/>
          <w:sz w:val="27"/>
          <w:rtl/>
        </w:rPr>
        <w:t xml:space="preserve"> والاحتمال </w:t>
      </w:r>
      <w:r w:rsidRPr="006571AC">
        <w:rPr>
          <w:rFonts w:ascii="Arial" w:hAnsi="Arial" w:hint="cs"/>
          <w:sz w:val="27"/>
          <w:rtl/>
        </w:rPr>
        <w:t xml:space="preserve">ـ </w:t>
      </w:r>
      <w:r w:rsidRPr="006571AC">
        <w:rPr>
          <w:rFonts w:ascii="Arial" w:hAnsi="Arial"/>
          <w:sz w:val="27"/>
          <w:rtl/>
        </w:rPr>
        <w:t xml:space="preserve">لصورة التكريس العملي الواسع </w:t>
      </w:r>
      <w:r w:rsidRPr="006571AC">
        <w:rPr>
          <w:rFonts w:hint="eastAsia"/>
          <w:sz w:val="24"/>
          <w:szCs w:val="24"/>
          <w:rtl/>
        </w:rPr>
        <w:t>«</w:t>
      </w:r>
      <w:r w:rsidRPr="006571AC">
        <w:rPr>
          <w:rFonts w:ascii="Arial" w:hAnsi="Arial"/>
          <w:sz w:val="27"/>
          <w:rtl/>
        </w:rPr>
        <w:t>للصلاة</w:t>
      </w:r>
      <w:r w:rsidRPr="006571AC">
        <w:rPr>
          <w:rFonts w:hint="eastAsia"/>
          <w:sz w:val="24"/>
          <w:szCs w:val="24"/>
          <w:rtl/>
        </w:rPr>
        <w:t>»</w:t>
      </w:r>
      <w:r w:rsidRPr="006571AC">
        <w:rPr>
          <w:rFonts w:ascii="Arial" w:hAnsi="Arial"/>
          <w:sz w:val="27"/>
          <w:rtl/>
        </w:rPr>
        <w:t xml:space="preserve"> أو </w:t>
      </w:r>
      <w:r w:rsidRPr="006571AC">
        <w:rPr>
          <w:rFonts w:hint="eastAsia"/>
          <w:sz w:val="24"/>
          <w:szCs w:val="24"/>
          <w:rtl/>
        </w:rPr>
        <w:t>«</w:t>
      </w:r>
      <w:r w:rsidRPr="006571AC">
        <w:rPr>
          <w:rFonts w:ascii="Arial" w:hAnsi="Arial"/>
          <w:sz w:val="27"/>
          <w:rtl/>
        </w:rPr>
        <w:t>العبادة</w:t>
      </w:r>
      <w:r w:rsidRPr="006571AC">
        <w:rPr>
          <w:rFonts w:hint="eastAsia"/>
          <w:sz w:val="24"/>
          <w:szCs w:val="24"/>
          <w:rtl/>
        </w:rPr>
        <w:t>»</w:t>
      </w:r>
      <w:r w:rsidRPr="006571AC">
        <w:rPr>
          <w:rFonts w:ascii="Arial" w:hAnsi="Arial"/>
          <w:sz w:val="27"/>
          <w:rtl/>
        </w:rPr>
        <w:t xml:space="preserve"> التي لم تثبت شرعي</w:t>
      </w:r>
      <w:r w:rsidR="009A6E14" w:rsidRPr="006571AC">
        <w:rPr>
          <w:rFonts w:ascii="Arial" w:hAnsi="Arial" w:hint="cs"/>
          <w:sz w:val="27"/>
          <w:rtl/>
        </w:rPr>
        <w:t>ّ</w:t>
      </w:r>
      <w:r w:rsidRPr="006571AC">
        <w:rPr>
          <w:rFonts w:ascii="Arial" w:hAnsi="Arial"/>
          <w:sz w:val="27"/>
          <w:rtl/>
        </w:rPr>
        <w:t>تها بدليل</w:t>
      </w:r>
      <w:r w:rsidR="009A6E14" w:rsidRPr="006571AC">
        <w:rPr>
          <w:rFonts w:ascii="Arial" w:hAnsi="Arial" w:hint="cs"/>
          <w:sz w:val="27"/>
          <w:rtl/>
        </w:rPr>
        <w:t>ٍ</w:t>
      </w:r>
      <w:r w:rsidRPr="006571AC">
        <w:rPr>
          <w:rFonts w:ascii="Arial" w:hAnsi="Arial"/>
          <w:sz w:val="27"/>
          <w:rtl/>
        </w:rPr>
        <w:t xml:space="preserve"> ي</w:t>
      </w:r>
      <w:r w:rsidR="009A6E14" w:rsidRPr="006571AC">
        <w:rPr>
          <w:rFonts w:ascii="Arial" w:hAnsi="Arial" w:hint="cs"/>
          <w:sz w:val="27"/>
          <w:rtl/>
        </w:rPr>
        <w:t>ُ</w:t>
      </w:r>
      <w:r w:rsidRPr="006571AC">
        <w:rPr>
          <w:rFonts w:ascii="Arial" w:hAnsi="Arial"/>
          <w:sz w:val="27"/>
          <w:rtl/>
        </w:rPr>
        <w:t>ع</w:t>
      </w:r>
      <w:r w:rsidR="009A6E14" w:rsidRPr="006571AC">
        <w:rPr>
          <w:rFonts w:ascii="Arial" w:hAnsi="Arial" w:hint="cs"/>
          <w:sz w:val="27"/>
          <w:rtl/>
        </w:rPr>
        <w:t>ْ</w:t>
      </w:r>
      <w:r w:rsidRPr="006571AC">
        <w:rPr>
          <w:rFonts w:ascii="Arial" w:hAnsi="Arial"/>
          <w:sz w:val="27"/>
          <w:rtl/>
        </w:rPr>
        <w:t>ت</w:t>
      </w:r>
      <w:r w:rsidR="009A6E14" w:rsidRPr="006571AC">
        <w:rPr>
          <w:rFonts w:ascii="Arial" w:hAnsi="Arial" w:hint="cs"/>
          <w:sz w:val="27"/>
          <w:rtl/>
        </w:rPr>
        <w:t>َ</w:t>
      </w:r>
      <w:r w:rsidRPr="006571AC">
        <w:rPr>
          <w:rFonts w:ascii="Arial" w:hAnsi="Arial"/>
          <w:sz w:val="27"/>
          <w:rtl/>
        </w:rPr>
        <w:t>د</w:t>
      </w:r>
      <w:r w:rsidR="009A6E14" w:rsidRPr="006571AC">
        <w:rPr>
          <w:rFonts w:ascii="Arial" w:hAnsi="Arial" w:hint="cs"/>
          <w:sz w:val="27"/>
          <w:rtl/>
        </w:rPr>
        <w:t>ّ</w:t>
      </w:r>
      <w:r w:rsidRPr="006571AC">
        <w:rPr>
          <w:rFonts w:ascii="Arial" w:hAnsi="Arial"/>
          <w:sz w:val="27"/>
          <w:rtl/>
        </w:rPr>
        <w:t xml:space="preserve"> به، الأمر الذي يجعل احتمال المطلوبية مزاح</w:t>
      </w:r>
      <w:r w:rsidR="009A6E14" w:rsidRPr="006571AC">
        <w:rPr>
          <w:rFonts w:ascii="Arial" w:hAnsi="Arial" w:hint="cs"/>
          <w:sz w:val="27"/>
          <w:rtl/>
        </w:rPr>
        <w:t>َ</w:t>
      </w:r>
      <w:r w:rsidRPr="006571AC">
        <w:rPr>
          <w:rFonts w:ascii="Arial" w:hAnsi="Arial"/>
          <w:sz w:val="27"/>
          <w:rtl/>
        </w:rPr>
        <w:t>ماً باحتمال المبغوضية.</w:t>
      </w:r>
    </w:p>
    <w:p w:rsidR="00E83C22" w:rsidRPr="006571AC" w:rsidRDefault="00E83C22" w:rsidP="00864FC3">
      <w:pPr>
        <w:spacing w:line="550" w:lineRule="exact"/>
        <w:rPr>
          <w:rtl/>
        </w:rPr>
      </w:pPr>
    </w:p>
    <w:p w:rsidR="00E83C22" w:rsidRPr="006571AC" w:rsidRDefault="00E83C22" w:rsidP="00864FC3">
      <w:pPr>
        <w:spacing w:line="560" w:lineRule="exact"/>
        <w:rPr>
          <w:rtl/>
        </w:rPr>
      </w:pPr>
    </w:p>
    <w:p w:rsidR="007A519B" w:rsidRPr="006571AC" w:rsidRDefault="007A519B" w:rsidP="007A519B">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7A519B" w:rsidRPr="006571AC" w:rsidRDefault="007A519B" w:rsidP="007A519B">
      <w:pPr>
        <w:pStyle w:val="34"/>
        <w:autoSpaceDE w:val="0"/>
        <w:autoSpaceDN w:val="0"/>
        <w:adjustRightInd w:val="0"/>
        <w:spacing w:line="418" w:lineRule="exact"/>
        <w:ind w:firstLine="0"/>
        <w:rPr>
          <w:rFonts w:cs="K Sina"/>
          <w:sz w:val="26"/>
          <w:rtl/>
          <w:lang w:eastAsia="ar-SA"/>
        </w:rPr>
        <w:sectPr w:rsidR="007A519B" w:rsidRPr="006571AC" w:rsidSect="00E85587">
          <w:headerReference w:type="even" r:id="rId134"/>
          <w:headerReference w:type="default" r:id="rId135"/>
          <w:footerReference w:type="even" r:id="rId136"/>
          <w:footerReference w:type="default" r:id="rId137"/>
          <w:endnotePr>
            <w:numFmt w:val="decimal"/>
            <w:numRestart w:val="eachSect"/>
          </w:endnotePr>
          <w:type w:val="continuous"/>
          <w:pgSz w:w="11907" w:h="16840" w:code="9"/>
          <w:pgMar w:top="2637" w:right="2438" w:bottom="3686" w:left="2438" w:header="2268" w:footer="3119" w:gutter="0"/>
          <w:cols w:space="720"/>
          <w:titlePg/>
          <w:docGrid w:linePitch="360"/>
        </w:sectPr>
      </w:pPr>
    </w:p>
    <w:p w:rsidR="007A519B" w:rsidRPr="006571AC" w:rsidRDefault="007A519B" w:rsidP="007A519B">
      <w:r w:rsidRPr="006571AC">
        <w:rPr>
          <w:rtl/>
        </w:rPr>
        <w:lastRenderedPageBreak/>
        <w:br w:type="page"/>
      </w:r>
    </w:p>
    <w:p w:rsidR="007A519B" w:rsidRPr="006571AC" w:rsidRDefault="007A519B" w:rsidP="007A519B">
      <w:pPr>
        <w:rPr>
          <w:rtl/>
        </w:rPr>
        <w:sectPr w:rsidR="007A519B" w:rsidRPr="006571AC" w:rsidSect="00E85587">
          <w:headerReference w:type="even" r:id="rId138"/>
          <w:headerReference w:type="default" r:id="rId139"/>
          <w:footerReference w:type="even" r:id="rId140"/>
          <w:footerReference w:type="default" r:id="rId141"/>
          <w:headerReference w:type="first" r:id="rId142"/>
          <w:endnotePr>
            <w:numFmt w:val="decimal"/>
            <w:numRestart w:val="eachSect"/>
          </w:endnotePr>
          <w:type w:val="continuous"/>
          <w:pgSz w:w="11907" w:h="16840" w:code="9"/>
          <w:pgMar w:top="2637" w:right="2438" w:bottom="3686" w:left="2438" w:header="2268" w:footer="3119" w:gutter="0"/>
          <w:cols w:space="720"/>
          <w:titlePg/>
          <w:docGrid w:linePitch="360"/>
        </w:sectPr>
      </w:pPr>
    </w:p>
    <w:p w:rsidR="007A519B" w:rsidRPr="006571AC" w:rsidRDefault="007A519B" w:rsidP="007A519B">
      <w:pPr>
        <w:spacing w:line="360" w:lineRule="exact"/>
        <w:rPr>
          <w:rtl/>
        </w:rPr>
      </w:pPr>
    </w:p>
    <w:p w:rsidR="00E83C22" w:rsidRPr="006571AC" w:rsidRDefault="00E83C22" w:rsidP="007A519B">
      <w:pPr>
        <w:spacing w:line="340" w:lineRule="exact"/>
        <w:rPr>
          <w:rtl/>
        </w:rPr>
      </w:pPr>
    </w:p>
    <w:p w:rsidR="00E83C22" w:rsidRPr="006571AC" w:rsidRDefault="0001386F" w:rsidP="0001386F">
      <w:pPr>
        <w:pStyle w:val="10"/>
        <w:spacing w:line="216" w:lineRule="auto"/>
        <w:rPr>
          <w:rtl/>
        </w:rPr>
      </w:pPr>
      <w:bookmarkStart w:id="412" w:name="_Toc114164820"/>
      <w:r w:rsidRPr="006571AC">
        <w:rPr>
          <w:rFonts w:hint="cs"/>
          <w:rtl/>
        </w:rPr>
        <w:t>فلسفة الأخلاق في فكر الشهيد مطه</w:t>
      </w:r>
      <w:r w:rsidR="00B11D9F" w:rsidRPr="006571AC">
        <w:rPr>
          <w:rFonts w:hint="cs"/>
          <w:rtl/>
        </w:rPr>
        <w:t>َّ</w:t>
      </w:r>
      <w:r w:rsidRPr="006571AC">
        <w:rPr>
          <w:rFonts w:hint="cs"/>
          <w:rtl/>
        </w:rPr>
        <w:t>ري</w:t>
      </w:r>
      <w:bookmarkEnd w:id="412"/>
    </w:p>
    <w:p w:rsidR="00E83C22" w:rsidRPr="006571AC" w:rsidRDefault="0001386F" w:rsidP="000B6711">
      <w:pPr>
        <w:pStyle w:val="10"/>
        <w:spacing w:line="216" w:lineRule="auto"/>
        <w:rPr>
          <w:sz w:val="26"/>
          <w:szCs w:val="42"/>
          <w:rtl/>
        </w:rPr>
      </w:pPr>
      <w:bookmarkStart w:id="413" w:name="_Toc114164821"/>
      <w:r w:rsidRPr="006571AC">
        <w:rPr>
          <w:rFonts w:hint="cs"/>
          <w:sz w:val="26"/>
          <w:szCs w:val="42"/>
          <w:rtl/>
        </w:rPr>
        <w:t>الذات بين الألم والسعادة، ومرجعي</w:t>
      </w:r>
      <w:r w:rsidR="00B11D9F" w:rsidRPr="006571AC">
        <w:rPr>
          <w:rFonts w:hint="cs"/>
          <w:sz w:val="26"/>
          <w:szCs w:val="42"/>
          <w:rtl/>
        </w:rPr>
        <w:t>ّ</w:t>
      </w:r>
      <w:r w:rsidRPr="006571AC">
        <w:rPr>
          <w:rFonts w:hint="cs"/>
          <w:sz w:val="26"/>
          <w:szCs w:val="42"/>
          <w:rtl/>
        </w:rPr>
        <w:t>ة الضبط الأخلاقي</w:t>
      </w:r>
      <w:r w:rsidR="00D816D7" w:rsidRPr="006571AC">
        <w:rPr>
          <w:rFonts w:hint="cs"/>
          <w:sz w:val="26"/>
          <w:szCs w:val="42"/>
          <w:rtl/>
        </w:rPr>
        <w:t>ّ</w:t>
      </w:r>
      <w:r w:rsidR="000B6711" w:rsidRPr="006571AC">
        <w:rPr>
          <w:sz w:val="26"/>
          <w:szCs w:val="42"/>
          <w:vertAlign w:val="superscript"/>
          <w:rtl/>
        </w:rPr>
        <w:t>(</w:t>
      </w:r>
      <w:r w:rsidR="000B6711" w:rsidRPr="006571AC">
        <w:rPr>
          <w:sz w:val="26"/>
          <w:szCs w:val="42"/>
          <w:vertAlign w:val="superscript"/>
          <w:rtl/>
        </w:rPr>
        <w:endnoteReference w:id="687"/>
      </w:r>
      <w:r w:rsidR="000B6711" w:rsidRPr="006571AC">
        <w:rPr>
          <w:sz w:val="26"/>
          <w:szCs w:val="42"/>
          <w:vertAlign w:val="superscript"/>
          <w:rtl/>
        </w:rPr>
        <w:t>)</w:t>
      </w:r>
      <w:bookmarkEnd w:id="413"/>
    </w:p>
    <w:p w:rsidR="00E83C22" w:rsidRPr="006571AC" w:rsidRDefault="00E83C22" w:rsidP="00E83C22">
      <w:pPr>
        <w:spacing w:line="300" w:lineRule="exact"/>
        <w:rPr>
          <w:rtl/>
        </w:rPr>
      </w:pPr>
    </w:p>
    <w:p w:rsidR="00E83C22" w:rsidRPr="006571AC" w:rsidRDefault="00A208B5" w:rsidP="0001386F">
      <w:pPr>
        <w:pStyle w:val="Author"/>
        <w:rPr>
          <w:rtl/>
        </w:rPr>
      </w:pPr>
      <w:r w:rsidRPr="006571AC">
        <w:rPr>
          <w:rFonts w:hint="cs"/>
          <w:rtl/>
        </w:rPr>
        <w:t>أ</w:t>
      </w:r>
      <w:r w:rsidR="000B6711" w:rsidRPr="006571AC">
        <w:rPr>
          <w:rFonts w:hint="cs"/>
          <w:rtl/>
        </w:rPr>
        <w:t xml:space="preserve">. </w:t>
      </w:r>
      <w:r w:rsidR="0001386F" w:rsidRPr="006571AC">
        <w:rPr>
          <w:rFonts w:hint="cs"/>
          <w:rtl/>
        </w:rPr>
        <w:t>إيمان شمس الدين</w:t>
      </w:r>
      <w:r w:rsidR="00527634" w:rsidRPr="006571AC">
        <w:rPr>
          <w:rFonts w:cs="Taher" w:hint="cs"/>
          <w:vertAlign w:val="superscript"/>
          <w:rtl/>
        </w:rPr>
        <w:t>(</w:t>
      </w:r>
      <w:r w:rsidR="00527634" w:rsidRPr="006571AC">
        <w:rPr>
          <w:rFonts w:cs="Taher"/>
          <w:vertAlign w:val="superscript"/>
          <w:rtl/>
        </w:rPr>
        <w:footnoteReference w:customMarkFollows="1" w:id="18"/>
        <w:t>*)</w:t>
      </w:r>
    </w:p>
    <w:p w:rsidR="00E83C22" w:rsidRPr="006571AC" w:rsidRDefault="00E83C22" w:rsidP="00E83C22">
      <w:pPr>
        <w:spacing w:line="300" w:lineRule="exact"/>
        <w:rPr>
          <w:rtl/>
        </w:rPr>
      </w:pPr>
    </w:p>
    <w:p w:rsidR="002A0A84" w:rsidRPr="006571AC" w:rsidRDefault="002A0A84" w:rsidP="002A0A84">
      <w:pPr>
        <w:pStyle w:val="31"/>
        <w:rPr>
          <w:color w:val="auto"/>
          <w:rtl/>
        </w:rPr>
      </w:pPr>
      <w:bookmarkStart w:id="414" w:name="_Toc114164822"/>
      <w:r w:rsidRPr="006571AC">
        <w:rPr>
          <w:rFonts w:hint="cs"/>
          <w:color w:val="auto"/>
          <w:rtl/>
        </w:rPr>
        <w:t>تمهيدٌ</w:t>
      </w:r>
      <w:bookmarkEnd w:id="414"/>
    </w:p>
    <w:p w:rsidR="00F4351E" w:rsidRPr="006571AC" w:rsidRDefault="0001386F" w:rsidP="00D259C9">
      <w:pPr>
        <w:autoSpaceDE w:val="0"/>
        <w:autoSpaceDN w:val="0"/>
        <w:adjustRightInd w:val="0"/>
        <w:rPr>
          <w:rFonts w:ascii="Arial" w:hAnsi="Arial"/>
          <w:sz w:val="27"/>
          <w:rtl/>
        </w:rPr>
      </w:pPr>
      <w:r w:rsidRPr="006571AC">
        <w:rPr>
          <w:rFonts w:ascii="Arial" w:hAnsi="Arial"/>
          <w:sz w:val="27"/>
          <w:rtl/>
        </w:rPr>
        <w:t xml:space="preserve">قد تكون الضوابط </w:t>
      </w:r>
      <w:r w:rsidRPr="006571AC">
        <w:rPr>
          <w:rFonts w:ascii="Arial" w:hAnsi="Arial" w:hint="cs"/>
          <w:sz w:val="27"/>
          <w:rtl/>
        </w:rPr>
        <w:t>ال</w:t>
      </w:r>
      <w:r w:rsidRPr="006571AC">
        <w:rPr>
          <w:rFonts w:ascii="Arial" w:hAnsi="Arial"/>
          <w:sz w:val="27"/>
          <w:rtl/>
        </w:rPr>
        <w:t>قانونية تنظم عمل ال</w:t>
      </w:r>
      <w:r w:rsidR="00364E61" w:rsidRPr="006571AC">
        <w:rPr>
          <w:rFonts w:ascii="Arial" w:hAnsi="Arial" w:hint="cs"/>
          <w:sz w:val="27"/>
          <w:rtl/>
        </w:rPr>
        <w:t>أ</w:t>
      </w:r>
      <w:r w:rsidRPr="006571AC">
        <w:rPr>
          <w:rFonts w:ascii="Arial" w:hAnsi="Arial"/>
          <w:sz w:val="27"/>
          <w:rtl/>
        </w:rPr>
        <w:t>فراد في مؤس</w:t>
      </w:r>
      <w:r w:rsidR="00B7524F" w:rsidRPr="006571AC">
        <w:rPr>
          <w:rFonts w:ascii="Arial" w:hAnsi="Arial" w:hint="cs"/>
          <w:sz w:val="27"/>
          <w:rtl/>
        </w:rPr>
        <w:t>َّ</w:t>
      </w:r>
      <w:r w:rsidRPr="006571AC">
        <w:rPr>
          <w:rFonts w:ascii="Arial" w:hAnsi="Arial"/>
          <w:sz w:val="27"/>
          <w:rtl/>
        </w:rPr>
        <w:t>سات الدولة</w:t>
      </w:r>
      <w:r w:rsidR="00364E61" w:rsidRPr="006571AC">
        <w:rPr>
          <w:rFonts w:ascii="Arial" w:hAnsi="Arial" w:hint="cs"/>
          <w:sz w:val="27"/>
          <w:rtl/>
        </w:rPr>
        <w:t>،</w:t>
      </w:r>
      <w:r w:rsidRPr="006571AC">
        <w:rPr>
          <w:rFonts w:ascii="Arial" w:hAnsi="Arial"/>
          <w:sz w:val="27"/>
          <w:rtl/>
        </w:rPr>
        <w:t xml:space="preserve"> إلا أن حديثنا عن القوانين ضابطة</w:t>
      </w:r>
      <w:r w:rsidR="00F4351E" w:rsidRPr="006571AC">
        <w:rPr>
          <w:rFonts w:ascii="Arial" w:hAnsi="Arial" w:hint="cs"/>
          <w:sz w:val="27"/>
          <w:rtl/>
        </w:rPr>
        <w:t>ً</w:t>
      </w:r>
      <w:r w:rsidRPr="006571AC">
        <w:rPr>
          <w:rFonts w:ascii="Arial" w:hAnsi="Arial"/>
          <w:sz w:val="27"/>
          <w:rtl/>
        </w:rPr>
        <w:t xml:space="preserve"> لعلاقات الإنسان مع المحيط الإنساني</w:t>
      </w:r>
      <w:r w:rsidR="00F4351E" w:rsidRPr="006571AC">
        <w:rPr>
          <w:rFonts w:ascii="Arial" w:hAnsi="Arial" w:hint="cs"/>
          <w:sz w:val="27"/>
          <w:rtl/>
        </w:rPr>
        <w:t>،</w:t>
      </w:r>
      <w:r w:rsidRPr="006571AC">
        <w:rPr>
          <w:rFonts w:ascii="Arial" w:hAnsi="Arial"/>
          <w:sz w:val="27"/>
          <w:rtl/>
        </w:rPr>
        <w:t xml:space="preserve"> وهي ضوابط أخلاقية وق</w:t>
      </w:r>
      <w:r w:rsidR="00F4351E" w:rsidRPr="006571AC">
        <w:rPr>
          <w:rFonts w:ascii="Arial" w:hAnsi="Arial" w:hint="cs"/>
          <w:sz w:val="27"/>
          <w:rtl/>
        </w:rPr>
        <w:t>ِ</w:t>
      </w:r>
      <w:r w:rsidRPr="006571AC">
        <w:rPr>
          <w:rFonts w:ascii="Arial" w:hAnsi="Arial"/>
          <w:sz w:val="27"/>
          <w:rtl/>
        </w:rPr>
        <w:t>ي</w:t>
      </w:r>
      <w:r w:rsidR="00F4351E" w:rsidRPr="006571AC">
        <w:rPr>
          <w:rFonts w:ascii="Arial" w:hAnsi="Arial" w:hint="cs"/>
          <w:sz w:val="27"/>
          <w:rtl/>
        </w:rPr>
        <w:t>َ</w:t>
      </w:r>
      <w:r w:rsidRPr="006571AC">
        <w:rPr>
          <w:rFonts w:ascii="Arial" w:hAnsi="Arial"/>
          <w:sz w:val="27"/>
          <w:rtl/>
        </w:rPr>
        <w:t>مية</w:t>
      </w:r>
      <w:r w:rsidR="00F4351E" w:rsidRPr="006571AC">
        <w:rPr>
          <w:rFonts w:ascii="Arial" w:hAnsi="Arial" w:hint="cs"/>
          <w:sz w:val="27"/>
          <w:rtl/>
        </w:rPr>
        <w:t>.</w:t>
      </w:r>
      <w:r w:rsidRPr="006571AC">
        <w:rPr>
          <w:rFonts w:ascii="Arial" w:hAnsi="Arial"/>
          <w:sz w:val="27"/>
          <w:rtl/>
        </w:rPr>
        <w:t xml:space="preserve"> ولكل</w:t>
      </w:r>
      <w:r w:rsidR="00F4351E" w:rsidRPr="006571AC">
        <w:rPr>
          <w:rFonts w:ascii="Arial" w:hAnsi="Arial" w:hint="cs"/>
          <w:sz w:val="27"/>
          <w:rtl/>
        </w:rPr>
        <w:t>ٍّ</w:t>
      </w:r>
      <w:r w:rsidRPr="006571AC">
        <w:rPr>
          <w:rFonts w:ascii="Arial" w:hAnsi="Arial"/>
          <w:sz w:val="27"/>
          <w:rtl/>
        </w:rPr>
        <w:t xml:space="preserve"> ساحته الفكرية نظريا</w:t>
      </w:r>
      <w:r w:rsidR="00F4351E" w:rsidRPr="006571AC">
        <w:rPr>
          <w:rFonts w:ascii="Arial" w:hAnsi="Arial" w:hint="cs"/>
          <w:sz w:val="27"/>
          <w:rtl/>
        </w:rPr>
        <w:t>ً،</w:t>
      </w:r>
      <w:r w:rsidRPr="006571AC">
        <w:rPr>
          <w:rFonts w:ascii="Arial" w:hAnsi="Arial"/>
          <w:sz w:val="27"/>
          <w:rtl/>
        </w:rPr>
        <w:t xml:space="preserve"> ومن ثم ساحته في الضبط اجتماعيا</w:t>
      </w:r>
      <w:r w:rsidR="00F4351E"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 xml:space="preserve">رغم التداخل الظاهري بين القيمة والأخلاق. </w:t>
      </w:r>
      <w:r w:rsidRPr="006571AC">
        <w:rPr>
          <w:rFonts w:ascii="Arial" w:hAnsi="Arial" w:hint="cs"/>
          <w:sz w:val="27"/>
          <w:rtl/>
        </w:rPr>
        <w:t>وهناك سعي</w:t>
      </w:r>
      <w:r w:rsidR="00F4351E" w:rsidRPr="006571AC">
        <w:rPr>
          <w:rFonts w:ascii="Arial" w:hAnsi="Arial" w:hint="cs"/>
          <w:sz w:val="27"/>
          <w:rtl/>
        </w:rPr>
        <w:t>ٌ</w:t>
      </w:r>
      <w:r w:rsidRPr="006571AC">
        <w:rPr>
          <w:rFonts w:ascii="Arial" w:hAnsi="Arial" w:hint="cs"/>
          <w:sz w:val="27"/>
          <w:rtl/>
        </w:rPr>
        <w:t xml:space="preserve"> حقيقي بين المفك</w:t>
      </w:r>
      <w:r w:rsidR="00F4351E" w:rsidRPr="006571AC">
        <w:rPr>
          <w:rFonts w:ascii="Arial" w:hAnsi="Arial" w:hint="cs"/>
          <w:sz w:val="27"/>
          <w:rtl/>
        </w:rPr>
        <w:t>ِّ</w:t>
      </w:r>
      <w:r w:rsidRPr="006571AC">
        <w:rPr>
          <w:rFonts w:ascii="Arial" w:hAnsi="Arial" w:hint="cs"/>
          <w:sz w:val="27"/>
          <w:rtl/>
        </w:rPr>
        <w:t>رين والفلاسفة</w:t>
      </w:r>
      <w:r w:rsidR="00F4351E" w:rsidRPr="006571AC">
        <w:rPr>
          <w:rFonts w:ascii="Arial" w:hAnsi="Arial" w:hint="cs"/>
          <w:sz w:val="27"/>
          <w:rtl/>
        </w:rPr>
        <w:t>،</w:t>
      </w:r>
      <w:r w:rsidRPr="006571AC">
        <w:rPr>
          <w:rFonts w:ascii="Arial" w:hAnsi="Arial" w:hint="cs"/>
          <w:sz w:val="27"/>
          <w:rtl/>
        </w:rPr>
        <w:t xml:space="preserve"> ومحاولات</w:t>
      </w:r>
      <w:r w:rsidR="00F4351E" w:rsidRPr="006571AC">
        <w:rPr>
          <w:rFonts w:ascii="Arial" w:hAnsi="Arial" w:hint="cs"/>
          <w:sz w:val="27"/>
          <w:rtl/>
        </w:rPr>
        <w:t>ٌ</w:t>
      </w:r>
      <w:r w:rsidRPr="006571AC">
        <w:rPr>
          <w:rFonts w:ascii="Arial" w:hAnsi="Arial" w:hint="cs"/>
          <w:sz w:val="27"/>
          <w:rtl/>
        </w:rPr>
        <w:t xml:space="preserve"> تهدف إلى طرح مشروع</w:t>
      </w:r>
      <w:r w:rsidR="00F4351E" w:rsidRPr="006571AC">
        <w:rPr>
          <w:rFonts w:ascii="Arial" w:hAnsi="Arial" w:hint="cs"/>
          <w:sz w:val="27"/>
          <w:rtl/>
        </w:rPr>
        <w:t>ٍ</w:t>
      </w:r>
      <w:r w:rsidRPr="006571AC">
        <w:rPr>
          <w:rFonts w:ascii="Arial" w:hAnsi="Arial" w:hint="cs"/>
          <w:sz w:val="27"/>
          <w:rtl/>
        </w:rPr>
        <w:t xml:space="preserve"> يمكن من خلاله إعادة الألفة والوئام بين مختلف الأديان، وبين الإنسان وأخيه الإنسان</w:t>
      </w:r>
      <w:r w:rsidR="00F4351E" w:rsidRPr="006571AC">
        <w:rPr>
          <w:rFonts w:ascii="Arial" w:hAnsi="Arial" w:hint="cs"/>
          <w:sz w:val="27"/>
          <w:rtl/>
        </w:rPr>
        <w:t>.</w:t>
      </w:r>
      <w:r w:rsidRPr="006571AC">
        <w:rPr>
          <w:rFonts w:ascii="Arial" w:hAnsi="Arial" w:hint="cs"/>
          <w:sz w:val="27"/>
          <w:rtl/>
        </w:rPr>
        <w:t xml:space="preserve"> ومن هؤلاء</w:t>
      </w:r>
      <w:r w:rsidR="00F4351E" w:rsidRPr="006571AC">
        <w:rPr>
          <w:rFonts w:ascii="Arial" w:hAnsi="Arial" w:hint="cs"/>
          <w:sz w:val="27"/>
          <w:rtl/>
        </w:rPr>
        <w:t>:</w:t>
      </w:r>
      <w:r w:rsidRPr="006571AC">
        <w:rPr>
          <w:rFonts w:ascii="Arial" w:hAnsi="Arial" w:hint="cs"/>
          <w:sz w:val="27"/>
          <w:rtl/>
        </w:rPr>
        <w:t xml:space="preserve"> المفك</w:t>
      </w:r>
      <w:r w:rsidR="00F4351E" w:rsidRPr="006571AC">
        <w:rPr>
          <w:rFonts w:ascii="Arial" w:hAnsi="Arial" w:hint="cs"/>
          <w:sz w:val="27"/>
          <w:rtl/>
        </w:rPr>
        <w:t>ِّ</w:t>
      </w:r>
      <w:r w:rsidRPr="006571AC">
        <w:rPr>
          <w:rFonts w:ascii="Arial" w:hAnsi="Arial" w:hint="cs"/>
          <w:sz w:val="27"/>
          <w:rtl/>
        </w:rPr>
        <w:t>ر الديني السويسري المعاصر هانز كونج</w:t>
      </w:r>
      <w:r w:rsidR="00F4351E" w:rsidRPr="006571AC">
        <w:rPr>
          <w:rFonts w:ascii="Arial" w:hAnsi="Arial" w:hint="cs"/>
          <w:sz w:val="27"/>
          <w:rtl/>
        </w:rPr>
        <w:t>(1928م)</w:t>
      </w:r>
      <w:r w:rsidRPr="006571AC">
        <w:rPr>
          <w:rFonts w:ascii="Arial" w:hAnsi="Arial"/>
          <w:sz w:val="27"/>
          <w:vertAlign w:val="superscript"/>
          <w:rtl/>
        </w:rPr>
        <w:t>(</w:t>
      </w:r>
      <w:r w:rsidRPr="006571AC">
        <w:rPr>
          <w:rStyle w:val="ac"/>
          <w:rFonts w:ascii="Arial" w:hAnsi="Arial"/>
          <w:sz w:val="27"/>
          <w:rtl/>
        </w:rPr>
        <w:endnoteReference w:id="688"/>
      </w:r>
      <w:r w:rsidRPr="006571AC">
        <w:rPr>
          <w:rFonts w:ascii="Arial" w:hAnsi="Arial"/>
          <w:sz w:val="27"/>
          <w:vertAlign w:val="superscript"/>
          <w:rtl/>
        </w:rPr>
        <w:t>)</w:t>
      </w:r>
      <w:r w:rsidR="00F4351E" w:rsidRPr="006571AC">
        <w:rPr>
          <w:rFonts w:ascii="Arial" w:hAnsi="Arial" w:hint="cs"/>
          <w:sz w:val="27"/>
          <w:rtl/>
        </w:rPr>
        <w:t xml:space="preserve">، </w:t>
      </w:r>
      <w:r w:rsidRPr="006571AC">
        <w:rPr>
          <w:rFonts w:ascii="Arial" w:hAnsi="Arial" w:hint="cs"/>
          <w:sz w:val="27"/>
          <w:rtl/>
        </w:rPr>
        <w:t>وهو أحد أهم</w:t>
      </w:r>
      <w:r w:rsidR="00F4351E" w:rsidRPr="006571AC">
        <w:rPr>
          <w:rFonts w:ascii="Arial" w:hAnsi="Arial" w:hint="cs"/>
          <w:sz w:val="27"/>
          <w:rtl/>
        </w:rPr>
        <w:t>ّ</w:t>
      </w:r>
      <w:r w:rsidRPr="006571AC">
        <w:rPr>
          <w:rFonts w:ascii="Arial" w:hAnsi="Arial" w:hint="cs"/>
          <w:sz w:val="27"/>
          <w:rtl/>
        </w:rPr>
        <w:t xml:space="preserve"> الشخصي</w:t>
      </w:r>
      <w:r w:rsidR="002A0A84" w:rsidRPr="006571AC">
        <w:rPr>
          <w:rFonts w:ascii="Arial" w:hAnsi="Arial" w:hint="cs"/>
          <w:sz w:val="27"/>
          <w:rtl/>
        </w:rPr>
        <w:t>ّ</w:t>
      </w:r>
      <w:r w:rsidRPr="006571AC">
        <w:rPr>
          <w:rFonts w:ascii="Arial" w:hAnsi="Arial" w:hint="cs"/>
          <w:sz w:val="27"/>
          <w:rtl/>
        </w:rPr>
        <w:t xml:space="preserve">ات التي اشتغلت </w:t>
      </w:r>
      <w:r w:rsidR="00F4351E" w:rsidRPr="006571AC">
        <w:rPr>
          <w:rFonts w:ascii="Arial" w:hAnsi="Arial" w:hint="cs"/>
          <w:sz w:val="27"/>
          <w:rtl/>
        </w:rPr>
        <w:t xml:space="preserve">على </w:t>
      </w:r>
      <w:r w:rsidRPr="006571AC">
        <w:rPr>
          <w:rFonts w:ascii="Arial" w:hAnsi="Arial" w:hint="cs"/>
          <w:sz w:val="27"/>
          <w:rtl/>
        </w:rPr>
        <w:t xml:space="preserve">مشروع </w:t>
      </w:r>
      <w:r w:rsidRPr="006571AC">
        <w:rPr>
          <w:rFonts w:hint="eastAsia"/>
          <w:sz w:val="24"/>
          <w:szCs w:val="24"/>
          <w:rtl/>
        </w:rPr>
        <w:t>«</w:t>
      </w:r>
      <w:r w:rsidRPr="006571AC">
        <w:rPr>
          <w:rFonts w:ascii="Arial" w:hAnsi="Arial" w:hint="cs"/>
          <w:sz w:val="27"/>
          <w:rtl/>
        </w:rPr>
        <w:t>السلام الأدياني العالمي</w:t>
      </w:r>
      <w:r w:rsidRPr="006571AC">
        <w:rPr>
          <w:rFonts w:hint="eastAsia"/>
          <w:sz w:val="24"/>
          <w:szCs w:val="24"/>
          <w:rtl/>
        </w:rPr>
        <w:t>»</w:t>
      </w:r>
      <w:r w:rsidRPr="006571AC">
        <w:rPr>
          <w:rFonts w:ascii="Arial" w:hAnsi="Arial" w:hint="cs"/>
          <w:sz w:val="27"/>
          <w:rtl/>
        </w:rPr>
        <w:t>، حيث اعتبر أن مشروعه في المسؤولية والأخلاق العالمية هو حصيلة عمره، وأن هدفه من البحث الديني كل</w:t>
      </w:r>
      <w:r w:rsidR="00F4351E" w:rsidRPr="006571AC">
        <w:rPr>
          <w:rFonts w:ascii="Arial" w:hAnsi="Arial" w:hint="cs"/>
          <w:sz w:val="27"/>
          <w:rtl/>
        </w:rPr>
        <w:t>ّ</w:t>
      </w:r>
      <w:r w:rsidRPr="006571AC">
        <w:rPr>
          <w:rFonts w:ascii="Arial" w:hAnsi="Arial" w:hint="cs"/>
          <w:sz w:val="27"/>
          <w:rtl/>
        </w:rPr>
        <w:t>ه كان تحقيق صلح</w:t>
      </w:r>
      <w:r w:rsidR="00F4351E" w:rsidRPr="006571AC">
        <w:rPr>
          <w:rFonts w:ascii="Arial" w:hAnsi="Arial" w:hint="cs"/>
          <w:sz w:val="27"/>
          <w:rtl/>
        </w:rPr>
        <w:t>ٍ</w:t>
      </w:r>
      <w:r w:rsidRPr="006571AC">
        <w:rPr>
          <w:rFonts w:ascii="Arial" w:hAnsi="Arial" w:hint="cs"/>
          <w:sz w:val="27"/>
          <w:rtl/>
        </w:rPr>
        <w:t xml:space="preserve"> ديني عالمي، وهو يقول بصراحة</w:t>
      </w:r>
      <w:r w:rsidR="00F4351E" w:rsidRPr="006571AC">
        <w:rPr>
          <w:rFonts w:ascii="Arial" w:hAnsi="Arial" w:hint="cs"/>
          <w:sz w:val="27"/>
          <w:rtl/>
        </w:rPr>
        <w:t>ٍ</w:t>
      </w:r>
      <w:r w:rsidRPr="006571AC">
        <w:rPr>
          <w:rFonts w:ascii="Arial" w:hAnsi="Arial" w:hint="cs"/>
          <w:sz w:val="27"/>
          <w:rtl/>
        </w:rPr>
        <w:t xml:space="preserve">: </w:t>
      </w:r>
      <w:r w:rsidRPr="006571AC">
        <w:rPr>
          <w:rFonts w:hint="eastAsia"/>
          <w:sz w:val="24"/>
          <w:szCs w:val="24"/>
          <w:rtl/>
        </w:rPr>
        <w:t>«</w:t>
      </w:r>
      <w:r w:rsidRPr="006571AC">
        <w:rPr>
          <w:rFonts w:ascii="Arial" w:hAnsi="Arial" w:hint="cs"/>
          <w:sz w:val="27"/>
          <w:rtl/>
        </w:rPr>
        <w:t xml:space="preserve">لا صلح بين الأمم </w:t>
      </w:r>
      <w:r w:rsidR="00F4351E" w:rsidRPr="006571AC">
        <w:rPr>
          <w:rFonts w:ascii="Arial" w:hAnsi="Arial" w:hint="cs"/>
          <w:sz w:val="27"/>
          <w:rtl/>
        </w:rPr>
        <w:t>دون</w:t>
      </w:r>
      <w:r w:rsidRPr="006571AC">
        <w:rPr>
          <w:rFonts w:ascii="Arial" w:hAnsi="Arial" w:hint="cs"/>
          <w:sz w:val="27"/>
          <w:rtl/>
        </w:rPr>
        <w:t xml:space="preserve"> الصلح بين الأديان، ولا صلح بين الأديان دون الحوار بينها، ولا حوار بينها دون وجود معايير أخلاقية عالمية (أي متعالية عن دين</w:t>
      </w:r>
      <w:r w:rsidR="00F4351E" w:rsidRPr="006571AC">
        <w:rPr>
          <w:rFonts w:ascii="Arial" w:hAnsi="Arial" w:hint="cs"/>
          <w:sz w:val="27"/>
          <w:rtl/>
        </w:rPr>
        <w:t>ٍ</w:t>
      </w:r>
      <w:r w:rsidRPr="006571AC">
        <w:rPr>
          <w:rFonts w:ascii="Arial" w:hAnsi="Arial" w:hint="cs"/>
          <w:sz w:val="27"/>
          <w:rtl/>
        </w:rPr>
        <w:t xml:space="preserve"> خاص)، ولا بقاء للكرة الأرضية دون هذه المنظومة الأخلاقية الكونية</w:t>
      </w:r>
      <w:r w:rsidRPr="006571AC">
        <w:rPr>
          <w:rFonts w:ascii="Arial" w:hAnsi="Arial"/>
          <w:sz w:val="27"/>
          <w:vertAlign w:val="superscript"/>
          <w:rtl/>
        </w:rPr>
        <w:t>(</w:t>
      </w:r>
      <w:r w:rsidRPr="006571AC">
        <w:rPr>
          <w:rStyle w:val="ac"/>
          <w:rFonts w:ascii="Arial" w:hAnsi="Arial"/>
          <w:sz w:val="27"/>
          <w:rtl/>
        </w:rPr>
        <w:endnoteReference w:id="689"/>
      </w:r>
      <w:r w:rsidRPr="006571AC">
        <w:rPr>
          <w:rFonts w:ascii="Arial" w:hAnsi="Arial"/>
          <w:sz w:val="27"/>
          <w:vertAlign w:val="superscript"/>
          <w:rtl/>
        </w:rPr>
        <w:t>)</w:t>
      </w:r>
      <w:r w:rsidRPr="006571AC">
        <w:rPr>
          <w:rFonts w:ascii="Arial" w:hAnsi="Arial"/>
          <w:sz w:val="27"/>
          <w:rtl/>
        </w:rPr>
        <w:t>.</w:t>
      </w:r>
    </w:p>
    <w:p w:rsidR="0001386F" w:rsidRPr="006571AC" w:rsidRDefault="0001386F" w:rsidP="00D259C9">
      <w:pPr>
        <w:autoSpaceDE w:val="0"/>
        <w:autoSpaceDN w:val="0"/>
        <w:adjustRightInd w:val="0"/>
        <w:rPr>
          <w:rFonts w:ascii="Arial" w:hAnsi="Arial"/>
          <w:sz w:val="27"/>
          <w:rtl/>
        </w:rPr>
      </w:pPr>
      <w:r w:rsidRPr="006571AC">
        <w:rPr>
          <w:rFonts w:ascii="Arial" w:hAnsi="Arial" w:hint="cs"/>
          <w:sz w:val="27"/>
          <w:rtl/>
        </w:rPr>
        <w:t>إلا</w:t>
      </w:r>
      <w:r w:rsidR="002A0A84" w:rsidRPr="006571AC">
        <w:rPr>
          <w:rFonts w:ascii="Arial" w:hAnsi="Arial" w:hint="cs"/>
          <w:sz w:val="27"/>
          <w:rtl/>
        </w:rPr>
        <w:t>ّ</w:t>
      </w:r>
      <w:r w:rsidRPr="006571AC">
        <w:rPr>
          <w:rFonts w:ascii="Arial" w:hAnsi="Arial" w:hint="cs"/>
          <w:sz w:val="27"/>
          <w:rtl/>
        </w:rPr>
        <w:t xml:space="preserve"> أن الشهيد والفيلسوف </w:t>
      </w:r>
      <w:r w:rsidR="00D61551" w:rsidRPr="006571AC">
        <w:rPr>
          <w:rFonts w:ascii="Arial" w:hAnsi="Arial" w:hint="cs"/>
          <w:sz w:val="27"/>
          <w:rtl/>
        </w:rPr>
        <w:t>الشيخ</w:t>
      </w:r>
      <w:r w:rsidRPr="006571AC">
        <w:rPr>
          <w:rFonts w:ascii="Arial" w:hAnsi="Arial" w:hint="cs"/>
          <w:sz w:val="27"/>
          <w:rtl/>
        </w:rPr>
        <w:t xml:space="preserve"> مرتضى مطه</w:t>
      </w:r>
      <w:r w:rsidR="00D61551" w:rsidRPr="006571AC">
        <w:rPr>
          <w:rFonts w:ascii="Arial" w:hAnsi="Arial" w:hint="cs"/>
          <w:sz w:val="27"/>
          <w:rtl/>
        </w:rPr>
        <w:t>َّ</w:t>
      </w:r>
      <w:r w:rsidRPr="006571AC">
        <w:rPr>
          <w:rFonts w:ascii="Arial" w:hAnsi="Arial" w:hint="cs"/>
          <w:sz w:val="27"/>
          <w:rtl/>
        </w:rPr>
        <w:t xml:space="preserve">ري (1919م </w:t>
      </w:r>
      <w:r w:rsidRPr="006571AC">
        <w:rPr>
          <w:rFonts w:ascii="Arial" w:hAnsi="Arial"/>
          <w:sz w:val="27"/>
          <w:rtl/>
        </w:rPr>
        <w:t>ـ</w:t>
      </w:r>
      <w:r w:rsidRPr="006571AC">
        <w:rPr>
          <w:rFonts w:ascii="Arial" w:hAnsi="Arial" w:hint="cs"/>
          <w:sz w:val="27"/>
          <w:rtl/>
        </w:rPr>
        <w:t xml:space="preserve"> 1979م)</w:t>
      </w:r>
      <w:r w:rsidRPr="006571AC">
        <w:rPr>
          <w:rFonts w:ascii="Arial" w:hAnsi="Arial"/>
          <w:sz w:val="27"/>
          <w:vertAlign w:val="superscript"/>
          <w:rtl/>
        </w:rPr>
        <w:t>(</w:t>
      </w:r>
      <w:r w:rsidRPr="006571AC">
        <w:rPr>
          <w:rStyle w:val="ac"/>
          <w:rFonts w:ascii="Arial" w:hAnsi="Arial"/>
          <w:sz w:val="27"/>
          <w:rtl/>
        </w:rPr>
        <w:endnoteReference w:id="690"/>
      </w:r>
      <w:r w:rsidRPr="006571AC">
        <w:rPr>
          <w:rFonts w:ascii="Arial" w:hAnsi="Arial"/>
          <w:sz w:val="27"/>
          <w:vertAlign w:val="superscript"/>
          <w:rtl/>
        </w:rPr>
        <w:t>)</w:t>
      </w:r>
      <w:r w:rsidRPr="006571AC">
        <w:rPr>
          <w:rFonts w:ascii="Arial" w:hAnsi="Arial"/>
          <w:sz w:val="27"/>
          <w:rtl/>
        </w:rPr>
        <w:t xml:space="preserve"> </w:t>
      </w:r>
      <w:r w:rsidRPr="006571AC">
        <w:rPr>
          <w:rFonts w:ascii="Arial" w:hAnsi="Arial" w:hint="cs"/>
          <w:sz w:val="27"/>
          <w:rtl/>
        </w:rPr>
        <w:t>قارب الموضوع من زاوية</w:t>
      </w:r>
      <w:r w:rsidR="00D61551" w:rsidRPr="006571AC">
        <w:rPr>
          <w:rFonts w:ascii="Arial" w:hAnsi="Arial" w:hint="cs"/>
          <w:sz w:val="27"/>
          <w:rtl/>
        </w:rPr>
        <w:t>ٍ</w:t>
      </w:r>
      <w:r w:rsidRPr="006571AC">
        <w:rPr>
          <w:rFonts w:ascii="Arial" w:hAnsi="Arial" w:hint="cs"/>
          <w:sz w:val="27"/>
          <w:rtl/>
        </w:rPr>
        <w:t xml:space="preserve"> مختلفة في أفكاره</w:t>
      </w:r>
      <w:r w:rsidR="00D61551" w:rsidRPr="006571AC">
        <w:rPr>
          <w:rFonts w:ascii="Arial" w:hAnsi="Arial" w:hint="cs"/>
          <w:sz w:val="27"/>
          <w:rtl/>
        </w:rPr>
        <w:t>،</w:t>
      </w:r>
      <w:r w:rsidRPr="006571AC">
        <w:rPr>
          <w:rFonts w:ascii="Arial" w:hAnsi="Arial" w:hint="cs"/>
          <w:sz w:val="27"/>
          <w:rtl/>
        </w:rPr>
        <w:t xml:space="preserve"> تحت عنوان</w:t>
      </w:r>
      <w:r w:rsidR="00D61551" w:rsidRPr="006571AC">
        <w:rPr>
          <w:rFonts w:ascii="Arial" w:hAnsi="Arial" w:hint="cs"/>
          <w:sz w:val="27"/>
          <w:rtl/>
        </w:rPr>
        <w:t>:</w:t>
      </w:r>
      <w:r w:rsidRPr="006571AC">
        <w:rPr>
          <w:rFonts w:ascii="Arial" w:hAnsi="Arial" w:hint="cs"/>
          <w:sz w:val="27"/>
          <w:rtl/>
        </w:rPr>
        <w:t xml:space="preserve"> </w:t>
      </w:r>
      <w:r w:rsidRPr="006571AC">
        <w:rPr>
          <w:rFonts w:hint="eastAsia"/>
          <w:sz w:val="24"/>
          <w:szCs w:val="24"/>
          <w:rtl/>
        </w:rPr>
        <w:t>«</w:t>
      </w:r>
      <w:r w:rsidRPr="006571AC">
        <w:rPr>
          <w:rFonts w:ascii="Arial" w:hAnsi="Arial" w:hint="cs"/>
          <w:sz w:val="27"/>
          <w:rtl/>
        </w:rPr>
        <w:t>المفهوم التوحيدي للعالم</w:t>
      </w:r>
      <w:r w:rsidRPr="006571AC">
        <w:rPr>
          <w:rFonts w:hint="eastAsia"/>
          <w:sz w:val="24"/>
          <w:szCs w:val="24"/>
          <w:rtl/>
        </w:rPr>
        <w:t>»</w:t>
      </w:r>
      <w:r w:rsidRPr="006571AC">
        <w:rPr>
          <w:rFonts w:ascii="Arial" w:hAnsi="Arial" w:hint="cs"/>
          <w:sz w:val="27"/>
          <w:rtl/>
        </w:rPr>
        <w:t>، من خلال تأسيسه لمعيار تقييم للتصو</w:t>
      </w:r>
      <w:r w:rsidR="00D61551" w:rsidRPr="006571AC">
        <w:rPr>
          <w:rFonts w:ascii="Arial" w:hAnsi="Arial" w:hint="cs"/>
          <w:sz w:val="27"/>
          <w:rtl/>
        </w:rPr>
        <w:t>ُّ</w:t>
      </w:r>
      <w:r w:rsidRPr="006571AC">
        <w:rPr>
          <w:rFonts w:ascii="Arial" w:hAnsi="Arial" w:hint="cs"/>
          <w:sz w:val="27"/>
          <w:rtl/>
        </w:rPr>
        <w:t>ر الذي يستطيع أن يكون قاعدة</w:t>
      </w:r>
      <w:r w:rsidR="00D61551" w:rsidRPr="006571AC">
        <w:rPr>
          <w:rFonts w:ascii="Arial" w:hAnsi="Arial" w:hint="cs"/>
          <w:sz w:val="27"/>
          <w:rtl/>
        </w:rPr>
        <w:t>ً</w:t>
      </w:r>
      <w:r w:rsidRPr="006571AC">
        <w:rPr>
          <w:rFonts w:ascii="Arial" w:hAnsi="Arial" w:hint="cs"/>
          <w:sz w:val="27"/>
          <w:rtl/>
        </w:rPr>
        <w:t xml:space="preserve"> لل</w:t>
      </w:r>
      <w:r w:rsidR="00D61551" w:rsidRPr="006571AC">
        <w:rPr>
          <w:rFonts w:ascii="Arial" w:hAnsi="Arial" w:hint="cs"/>
          <w:sz w:val="27"/>
          <w:rtl/>
        </w:rPr>
        <w:t>أ</w:t>
      </w:r>
      <w:r w:rsidRPr="006571AC">
        <w:rPr>
          <w:rFonts w:ascii="Arial" w:hAnsi="Arial" w:hint="cs"/>
          <w:sz w:val="27"/>
          <w:rtl/>
        </w:rPr>
        <w:t>يديولوجي</w:t>
      </w:r>
      <w:r w:rsidR="00D61551" w:rsidRPr="006571AC">
        <w:rPr>
          <w:rFonts w:ascii="Arial" w:hAnsi="Arial" w:hint="cs"/>
          <w:sz w:val="27"/>
          <w:rtl/>
        </w:rPr>
        <w:t>ا</w:t>
      </w:r>
      <w:r w:rsidRPr="006571AC">
        <w:rPr>
          <w:rFonts w:ascii="Arial" w:hAnsi="Arial" w:hint="cs"/>
          <w:sz w:val="27"/>
          <w:rtl/>
        </w:rPr>
        <w:t xml:space="preserve"> حين يت</w:t>
      </w:r>
      <w:r w:rsidR="00D61551" w:rsidRPr="006571AC">
        <w:rPr>
          <w:rFonts w:ascii="Arial" w:hAnsi="Arial" w:hint="cs"/>
          <w:sz w:val="27"/>
          <w:rtl/>
        </w:rPr>
        <w:t>ّ</w:t>
      </w:r>
      <w:r w:rsidRPr="006571AC">
        <w:rPr>
          <w:rFonts w:ascii="Arial" w:hAnsi="Arial" w:hint="cs"/>
          <w:sz w:val="27"/>
          <w:rtl/>
        </w:rPr>
        <w:t xml:space="preserve">صف بالاستحكام وسِعَة التفكير الفلسفي وقدسية المبادئ الدينية. </w:t>
      </w:r>
    </w:p>
    <w:p w:rsidR="0001386F" w:rsidRPr="006571AC" w:rsidRDefault="0001386F" w:rsidP="00D259C9">
      <w:pPr>
        <w:autoSpaceDE w:val="0"/>
        <w:autoSpaceDN w:val="0"/>
        <w:adjustRightInd w:val="0"/>
        <w:rPr>
          <w:rFonts w:ascii="Arial" w:hAnsi="Arial"/>
          <w:sz w:val="27"/>
          <w:rtl/>
        </w:rPr>
      </w:pPr>
      <w:r w:rsidRPr="006571AC">
        <w:rPr>
          <w:rFonts w:ascii="Arial" w:hAnsi="Arial" w:hint="cs"/>
          <w:sz w:val="27"/>
          <w:rtl/>
        </w:rPr>
        <w:lastRenderedPageBreak/>
        <w:t>فهو</w:t>
      </w:r>
      <w:r w:rsidR="002A2C90" w:rsidRPr="006571AC">
        <w:rPr>
          <w:rFonts w:ascii="Mosawi" w:hAnsi="Mosawi" w:cs="Mosawi"/>
          <w:sz w:val="22"/>
          <w:szCs w:val="22"/>
          <w:rtl/>
        </w:rPr>
        <w:t>&amp;</w:t>
      </w:r>
      <w:r w:rsidRPr="006571AC">
        <w:rPr>
          <w:rFonts w:ascii="Arial" w:hAnsi="Arial" w:hint="cs"/>
          <w:sz w:val="27"/>
          <w:rtl/>
        </w:rPr>
        <w:t xml:space="preserve"> أس</w:t>
      </w:r>
      <w:r w:rsidR="000776DE" w:rsidRPr="006571AC">
        <w:rPr>
          <w:rFonts w:ascii="Arial" w:hAnsi="Arial" w:hint="cs"/>
          <w:sz w:val="27"/>
          <w:rtl/>
        </w:rPr>
        <w:t>ّ</w:t>
      </w:r>
      <w:r w:rsidRPr="006571AC">
        <w:rPr>
          <w:rFonts w:ascii="Arial" w:hAnsi="Arial" w:hint="cs"/>
          <w:sz w:val="27"/>
          <w:rtl/>
        </w:rPr>
        <w:t>س لقاعدة</w:t>
      </w:r>
      <w:r w:rsidR="000776DE" w:rsidRPr="006571AC">
        <w:rPr>
          <w:rFonts w:ascii="Arial" w:hAnsi="Arial" w:hint="cs"/>
          <w:sz w:val="27"/>
          <w:rtl/>
        </w:rPr>
        <w:t>ٍ</w:t>
      </w:r>
      <w:r w:rsidRPr="006571AC">
        <w:rPr>
          <w:rFonts w:ascii="Arial" w:hAnsi="Arial" w:hint="cs"/>
          <w:sz w:val="27"/>
          <w:rtl/>
        </w:rPr>
        <w:t xml:space="preserve"> معيارية</w:t>
      </w:r>
      <w:r w:rsidR="000776DE" w:rsidRPr="006571AC">
        <w:rPr>
          <w:rFonts w:ascii="Arial" w:hAnsi="Arial" w:hint="cs"/>
          <w:sz w:val="27"/>
          <w:rtl/>
        </w:rPr>
        <w:t>؛</w:t>
      </w:r>
      <w:r w:rsidRPr="006571AC">
        <w:rPr>
          <w:rFonts w:ascii="Arial" w:hAnsi="Arial" w:hint="cs"/>
          <w:sz w:val="27"/>
          <w:rtl/>
        </w:rPr>
        <w:t xml:space="preserve"> حتى يضمن جودة التصو</w:t>
      </w:r>
      <w:r w:rsidR="000776DE" w:rsidRPr="006571AC">
        <w:rPr>
          <w:rFonts w:ascii="Arial" w:hAnsi="Arial" w:hint="cs"/>
          <w:sz w:val="27"/>
          <w:rtl/>
        </w:rPr>
        <w:t>ُّ</w:t>
      </w:r>
      <w:r w:rsidRPr="006571AC">
        <w:rPr>
          <w:rFonts w:ascii="Arial" w:hAnsi="Arial" w:hint="cs"/>
          <w:sz w:val="27"/>
          <w:rtl/>
        </w:rPr>
        <w:t xml:space="preserve">ر للكون والعالم، وهي: </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1ـ أن يكون قابلا</w:t>
      </w:r>
      <w:r w:rsidR="000776DE" w:rsidRPr="006571AC">
        <w:rPr>
          <w:rFonts w:ascii="Arial" w:hAnsi="Arial" w:hint="cs"/>
          <w:sz w:val="27"/>
          <w:rtl/>
        </w:rPr>
        <w:t>ً</w:t>
      </w:r>
      <w:r w:rsidRPr="006571AC">
        <w:rPr>
          <w:rFonts w:ascii="Arial" w:hAnsi="Arial" w:hint="cs"/>
          <w:sz w:val="27"/>
          <w:rtl/>
        </w:rPr>
        <w:t xml:space="preserve"> للإثبات والاستدلال، أي أن يكون </w:t>
      </w:r>
      <w:r w:rsidRPr="006571AC">
        <w:rPr>
          <w:rFonts w:ascii="Arial" w:hAnsi="Arial"/>
          <w:sz w:val="27"/>
          <w:rtl/>
        </w:rPr>
        <w:t>ـ</w:t>
      </w:r>
      <w:r w:rsidRPr="006571AC">
        <w:rPr>
          <w:rFonts w:ascii="Arial" w:hAnsi="Arial" w:hint="cs"/>
          <w:sz w:val="27"/>
          <w:rtl/>
        </w:rPr>
        <w:t xml:space="preserve"> بعبارة</w:t>
      </w:r>
      <w:r w:rsidR="000776DE" w:rsidRPr="006571AC">
        <w:rPr>
          <w:rFonts w:ascii="Arial" w:hAnsi="Arial" w:hint="cs"/>
          <w:sz w:val="27"/>
          <w:rtl/>
        </w:rPr>
        <w:t>ٍ</w:t>
      </w:r>
      <w:r w:rsidRPr="006571AC">
        <w:rPr>
          <w:rFonts w:ascii="Arial" w:hAnsi="Arial" w:hint="cs"/>
          <w:sz w:val="27"/>
          <w:rtl/>
        </w:rPr>
        <w:t xml:space="preserve"> أخر</w:t>
      </w:r>
      <w:r w:rsidR="000776DE" w:rsidRPr="006571AC">
        <w:rPr>
          <w:rFonts w:ascii="Arial" w:hAnsi="Arial" w:hint="cs"/>
          <w:sz w:val="27"/>
          <w:rtl/>
        </w:rPr>
        <w:t>ى</w:t>
      </w:r>
      <w:r w:rsidRPr="006571AC">
        <w:rPr>
          <w:rFonts w:ascii="Arial" w:hAnsi="Arial" w:hint="cs"/>
          <w:sz w:val="27"/>
          <w:rtl/>
        </w:rPr>
        <w:t xml:space="preserve"> </w:t>
      </w:r>
      <w:r w:rsidRPr="006571AC">
        <w:rPr>
          <w:rFonts w:ascii="Arial" w:hAnsi="Arial"/>
          <w:sz w:val="27"/>
          <w:rtl/>
        </w:rPr>
        <w:t>ـ</w:t>
      </w:r>
      <w:r w:rsidRPr="006571AC">
        <w:rPr>
          <w:rFonts w:ascii="Arial" w:hAnsi="Arial" w:hint="cs"/>
          <w:sz w:val="27"/>
          <w:rtl/>
        </w:rPr>
        <w:t xml:space="preserve"> </w:t>
      </w:r>
      <w:r w:rsidR="000776DE" w:rsidRPr="006571AC">
        <w:rPr>
          <w:rFonts w:ascii="Arial" w:hAnsi="Arial" w:hint="cs"/>
          <w:sz w:val="27"/>
          <w:rtl/>
        </w:rPr>
        <w:t>مؤيَّ</w:t>
      </w:r>
      <w:r w:rsidRPr="006571AC">
        <w:rPr>
          <w:rFonts w:ascii="Arial" w:hAnsi="Arial" w:hint="cs"/>
          <w:sz w:val="27"/>
          <w:rtl/>
        </w:rPr>
        <w:t>دا</w:t>
      </w:r>
      <w:r w:rsidR="000776DE" w:rsidRPr="006571AC">
        <w:rPr>
          <w:rFonts w:ascii="Arial" w:hAnsi="Arial" w:hint="cs"/>
          <w:sz w:val="27"/>
          <w:rtl/>
        </w:rPr>
        <w:t>ً</w:t>
      </w:r>
      <w:r w:rsidRPr="006571AC">
        <w:rPr>
          <w:rFonts w:ascii="Arial" w:hAnsi="Arial" w:hint="cs"/>
          <w:sz w:val="27"/>
          <w:rtl/>
        </w:rPr>
        <w:t xml:space="preserve"> بالعقل والمنطق، وبذلك يوف</w:t>
      </w:r>
      <w:r w:rsidR="000776DE" w:rsidRPr="006571AC">
        <w:rPr>
          <w:rFonts w:ascii="Arial" w:hAnsi="Arial" w:hint="cs"/>
          <w:sz w:val="27"/>
          <w:rtl/>
        </w:rPr>
        <w:t>ِّ</w:t>
      </w:r>
      <w:r w:rsidRPr="006571AC">
        <w:rPr>
          <w:rFonts w:ascii="Arial" w:hAnsi="Arial" w:hint="cs"/>
          <w:sz w:val="27"/>
          <w:rtl/>
        </w:rPr>
        <w:t>ر الأرضية العقلية لتقب</w:t>
      </w:r>
      <w:r w:rsidR="000776DE" w:rsidRPr="006571AC">
        <w:rPr>
          <w:rFonts w:ascii="Arial" w:hAnsi="Arial" w:hint="cs"/>
          <w:sz w:val="27"/>
          <w:rtl/>
        </w:rPr>
        <w:t>ُّ</w:t>
      </w:r>
      <w:r w:rsidRPr="006571AC">
        <w:rPr>
          <w:rFonts w:ascii="Arial" w:hAnsi="Arial" w:hint="cs"/>
          <w:sz w:val="27"/>
          <w:rtl/>
        </w:rPr>
        <w:t>له، ويزيل ال</w:t>
      </w:r>
      <w:r w:rsidR="000776DE" w:rsidRPr="006571AC">
        <w:rPr>
          <w:rFonts w:ascii="Arial" w:hAnsi="Arial" w:hint="cs"/>
          <w:sz w:val="27"/>
          <w:rtl/>
        </w:rPr>
        <w:t>إ</w:t>
      </w:r>
      <w:r w:rsidRPr="006571AC">
        <w:rPr>
          <w:rFonts w:ascii="Arial" w:hAnsi="Arial" w:hint="cs"/>
          <w:sz w:val="27"/>
          <w:rtl/>
        </w:rPr>
        <w:t xml:space="preserve">بهام والغموض عن طريق العمل. </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2ـ أن يمنح الحياة معنى</w:t>
      </w:r>
      <w:r w:rsidR="000776DE" w:rsidRPr="006571AC">
        <w:rPr>
          <w:rFonts w:ascii="Arial" w:hAnsi="Arial" w:hint="cs"/>
          <w:sz w:val="27"/>
          <w:rtl/>
        </w:rPr>
        <w:t>ً</w:t>
      </w:r>
      <w:r w:rsidRPr="006571AC">
        <w:rPr>
          <w:rFonts w:ascii="Arial" w:hAnsi="Arial" w:hint="cs"/>
          <w:sz w:val="27"/>
          <w:rtl/>
        </w:rPr>
        <w:t>، وأن يزيل من الأذهان أفكار عبثية الحياة، ويزيل ال</w:t>
      </w:r>
      <w:r w:rsidR="000776DE" w:rsidRPr="006571AC">
        <w:rPr>
          <w:rFonts w:ascii="Arial" w:hAnsi="Arial" w:hint="cs"/>
          <w:sz w:val="27"/>
          <w:rtl/>
        </w:rPr>
        <w:t>إ</w:t>
      </w:r>
      <w:r w:rsidRPr="006571AC">
        <w:rPr>
          <w:rFonts w:ascii="Arial" w:hAnsi="Arial" w:hint="cs"/>
          <w:sz w:val="27"/>
          <w:rtl/>
        </w:rPr>
        <w:t>بهام والغموض عن طريق العمل</w:t>
      </w:r>
      <w:r w:rsidR="00260862" w:rsidRPr="006571AC">
        <w:rPr>
          <w:rFonts w:ascii="Arial" w:hAnsi="Arial" w:hint="cs"/>
          <w:sz w:val="27"/>
          <w:rtl/>
        </w:rPr>
        <w:t xml:space="preserve"> أيضاً</w:t>
      </w:r>
      <w:r w:rsidRPr="006571AC">
        <w:rPr>
          <w:rFonts w:ascii="Arial" w:hAnsi="Arial" w:hint="cs"/>
          <w:sz w:val="27"/>
          <w:rtl/>
        </w:rPr>
        <w:t xml:space="preserve">. </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3ـ أن يبعث في النفوس الاندفاع والشوق والهدفية</w:t>
      </w:r>
      <w:r w:rsidR="000776DE" w:rsidRPr="006571AC">
        <w:rPr>
          <w:rFonts w:ascii="Arial" w:hAnsi="Arial" w:hint="cs"/>
          <w:sz w:val="27"/>
          <w:rtl/>
        </w:rPr>
        <w:t>؛</w:t>
      </w:r>
      <w:r w:rsidRPr="006571AC">
        <w:rPr>
          <w:rFonts w:ascii="Arial" w:hAnsi="Arial" w:hint="cs"/>
          <w:sz w:val="27"/>
          <w:rtl/>
        </w:rPr>
        <w:t xml:space="preserve"> لتكون له قدرة الج</w:t>
      </w:r>
      <w:r w:rsidR="000776DE" w:rsidRPr="006571AC">
        <w:rPr>
          <w:rFonts w:ascii="Arial" w:hAnsi="Arial" w:hint="cs"/>
          <w:sz w:val="27"/>
          <w:rtl/>
        </w:rPr>
        <w:t>َ</w:t>
      </w:r>
      <w:r w:rsidRPr="006571AC">
        <w:rPr>
          <w:rFonts w:ascii="Arial" w:hAnsi="Arial" w:hint="cs"/>
          <w:sz w:val="27"/>
          <w:rtl/>
        </w:rPr>
        <w:t>ذ</w:t>
      </w:r>
      <w:r w:rsidR="000776DE" w:rsidRPr="006571AC">
        <w:rPr>
          <w:rFonts w:ascii="Arial" w:hAnsi="Arial" w:hint="cs"/>
          <w:sz w:val="27"/>
          <w:rtl/>
        </w:rPr>
        <w:t>ْ</w:t>
      </w:r>
      <w:r w:rsidRPr="006571AC">
        <w:rPr>
          <w:rFonts w:ascii="Arial" w:hAnsi="Arial" w:hint="cs"/>
          <w:sz w:val="27"/>
          <w:rtl/>
        </w:rPr>
        <w:t xml:space="preserve">ب ومنح الطاقة والحرارة. </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4ـ قدرته على إعطاء طابع التقديس للأهداف الإنسانية والاجتماعية</w:t>
      </w:r>
      <w:r w:rsidR="000776DE" w:rsidRPr="006571AC">
        <w:rPr>
          <w:rFonts w:ascii="Arial" w:hAnsi="Arial" w:hint="cs"/>
          <w:sz w:val="27"/>
          <w:rtl/>
        </w:rPr>
        <w:t>؛</w:t>
      </w:r>
      <w:r w:rsidRPr="006571AC">
        <w:rPr>
          <w:rFonts w:ascii="Arial" w:hAnsi="Arial" w:hint="cs"/>
          <w:sz w:val="27"/>
          <w:rtl/>
        </w:rPr>
        <w:t xml:space="preserve"> ليبعث في نفوس معتنقيه الاستعداد والتضحية وتجاوز الذات، وبذلك يوف</w:t>
      </w:r>
      <w:r w:rsidR="000776DE" w:rsidRPr="006571AC">
        <w:rPr>
          <w:rFonts w:ascii="Arial" w:hAnsi="Arial" w:hint="cs"/>
          <w:sz w:val="27"/>
          <w:rtl/>
        </w:rPr>
        <w:t>ِّ</w:t>
      </w:r>
      <w:r w:rsidRPr="006571AC">
        <w:rPr>
          <w:rFonts w:ascii="Arial" w:hAnsi="Arial" w:hint="cs"/>
          <w:sz w:val="27"/>
          <w:rtl/>
        </w:rPr>
        <w:t xml:space="preserve">ر عنصر </w:t>
      </w:r>
      <w:r w:rsidRPr="006571AC">
        <w:rPr>
          <w:rFonts w:hint="eastAsia"/>
          <w:sz w:val="24"/>
          <w:szCs w:val="24"/>
          <w:rtl/>
        </w:rPr>
        <w:t>«</w:t>
      </w:r>
      <w:r w:rsidRPr="006571AC">
        <w:rPr>
          <w:rFonts w:ascii="Arial" w:hAnsi="Arial" w:hint="cs"/>
          <w:sz w:val="27"/>
          <w:rtl/>
        </w:rPr>
        <w:t>ضمان التنفيذ</w:t>
      </w:r>
      <w:r w:rsidRPr="006571AC">
        <w:rPr>
          <w:rFonts w:hint="eastAsia"/>
          <w:sz w:val="24"/>
          <w:szCs w:val="24"/>
          <w:rtl/>
        </w:rPr>
        <w:t>»</w:t>
      </w:r>
      <w:r w:rsidRPr="006571AC">
        <w:rPr>
          <w:rFonts w:ascii="Arial" w:hAnsi="Arial" w:hint="cs"/>
          <w:sz w:val="27"/>
          <w:rtl/>
        </w:rPr>
        <w:t xml:space="preserve"> للمدرسة الفكرية القائمة على ذلك التصو</w:t>
      </w:r>
      <w:r w:rsidR="000776DE" w:rsidRPr="006571AC">
        <w:rPr>
          <w:rFonts w:ascii="Arial" w:hAnsi="Arial" w:hint="cs"/>
          <w:sz w:val="27"/>
          <w:rtl/>
        </w:rPr>
        <w:t>ُّ</w:t>
      </w:r>
      <w:r w:rsidRPr="006571AC">
        <w:rPr>
          <w:rFonts w:ascii="Arial" w:hAnsi="Arial" w:hint="cs"/>
          <w:sz w:val="27"/>
          <w:rtl/>
        </w:rPr>
        <w:t xml:space="preserve">ر. </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5ـ قدرته على خلق روح الالتزام وال</w:t>
      </w:r>
      <w:r w:rsidR="000776DE" w:rsidRPr="006571AC">
        <w:rPr>
          <w:rFonts w:ascii="Arial" w:hAnsi="Arial" w:hint="cs"/>
          <w:sz w:val="27"/>
          <w:rtl/>
        </w:rPr>
        <w:t>إ</w:t>
      </w:r>
      <w:r w:rsidRPr="006571AC">
        <w:rPr>
          <w:rFonts w:ascii="Arial" w:hAnsi="Arial" w:hint="cs"/>
          <w:sz w:val="27"/>
          <w:rtl/>
        </w:rPr>
        <w:t xml:space="preserve">حساس بالمسؤولية في ضمير الأفراد أمام أنفسهم ومجتمعهم. </w:t>
      </w:r>
    </w:p>
    <w:p w:rsidR="0001386F" w:rsidRPr="006571AC" w:rsidRDefault="0001386F" w:rsidP="00D259C9">
      <w:pPr>
        <w:autoSpaceDE w:val="0"/>
        <w:autoSpaceDN w:val="0"/>
        <w:adjustRightInd w:val="0"/>
        <w:rPr>
          <w:rFonts w:ascii="Arial" w:hAnsi="Arial"/>
          <w:sz w:val="27"/>
          <w:rtl/>
        </w:rPr>
      </w:pPr>
      <w:r w:rsidRPr="006571AC">
        <w:rPr>
          <w:rFonts w:ascii="Arial" w:hAnsi="Arial" w:hint="cs"/>
          <w:sz w:val="27"/>
          <w:rtl/>
        </w:rPr>
        <w:t>واعتبر أن التصو</w:t>
      </w:r>
      <w:r w:rsidR="000776DE" w:rsidRPr="006571AC">
        <w:rPr>
          <w:rFonts w:ascii="Arial" w:hAnsi="Arial" w:hint="cs"/>
          <w:sz w:val="27"/>
          <w:rtl/>
        </w:rPr>
        <w:t>ُّ</w:t>
      </w:r>
      <w:r w:rsidRPr="006571AC">
        <w:rPr>
          <w:rFonts w:ascii="Arial" w:hAnsi="Arial" w:hint="cs"/>
          <w:sz w:val="27"/>
          <w:rtl/>
        </w:rPr>
        <w:t>ر التوحيدي يتوف</w:t>
      </w:r>
      <w:r w:rsidR="000776DE" w:rsidRPr="006571AC">
        <w:rPr>
          <w:rFonts w:ascii="Arial" w:hAnsi="Arial" w:hint="cs"/>
          <w:sz w:val="27"/>
          <w:rtl/>
        </w:rPr>
        <w:t>َّ</w:t>
      </w:r>
      <w:r w:rsidRPr="006571AC">
        <w:rPr>
          <w:rFonts w:ascii="Arial" w:hAnsi="Arial" w:hint="cs"/>
          <w:sz w:val="27"/>
          <w:rtl/>
        </w:rPr>
        <w:t>ر على جميع الخصائص اللازمة للتصو</w:t>
      </w:r>
      <w:r w:rsidR="000776DE" w:rsidRPr="006571AC">
        <w:rPr>
          <w:rFonts w:ascii="Arial" w:hAnsi="Arial" w:hint="cs"/>
          <w:sz w:val="27"/>
          <w:rtl/>
        </w:rPr>
        <w:t>ُّ</w:t>
      </w:r>
      <w:r w:rsidRPr="006571AC">
        <w:rPr>
          <w:rFonts w:ascii="Arial" w:hAnsi="Arial" w:hint="cs"/>
          <w:sz w:val="27"/>
          <w:rtl/>
        </w:rPr>
        <w:t>ر المطلوب، بل هو التصو</w:t>
      </w:r>
      <w:r w:rsidR="000776DE" w:rsidRPr="006571AC">
        <w:rPr>
          <w:rFonts w:ascii="Arial" w:hAnsi="Arial" w:hint="cs"/>
          <w:sz w:val="27"/>
          <w:rtl/>
        </w:rPr>
        <w:t>ُّ</w:t>
      </w:r>
      <w:r w:rsidRPr="006571AC">
        <w:rPr>
          <w:rFonts w:ascii="Arial" w:hAnsi="Arial" w:hint="cs"/>
          <w:sz w:val="27"/>
          <w:rtl/>
        </w:rPr>
        <w:t xml:space="preserve">ر الوحيد </w:t>
      </w:r>
      <w:r w:rsidRPr="006571AC">
        <w:rPr>
          <w:rFonts w:ascii="Arial" w:hAnsi="Arial"/>
          <w:sz w:val="27"/>
          <w:rtl/>
        </w:rPr>
        <w:t>ـ</w:t>
      </w:r>
      <w:r w:rsidRPr="006571AC">
        <w:rPr>
          <w:rFonts w:ascii="Arial" w:hAnsi="Arial" w:hint="cs"/>
          <w:sz w:val="27"/>
          <w:rtl/>
        </w:rPr>
        <w:t xml:space="preserve"> وفق منظور الشهيد </w:t>
      </w:r>
      <w:r w:rsidRPr="006571AC">
        <w:rPr>
          <w:rFonts w:ascii="Arial" w:hAnsi="Arial"/>
          <w:sz w:val="27"/>
          <w:rtl/>
        </w:rPr>
        <w:t>ـ</w:t>
      </w:r>
      <w:r w:rsidRPr="006571AC">
        <w:rPr>
          <w:rFonts w:ascii="Arial" w:hAnsi="Arial" w:hint="cs"/>
          <w:sz w:val="27"/>
          <w:rtl/>
        </w:rPr>
        <w:t xml:space="preserve"> القادر على جمع كل</w:t>
      </w:r>
      <w:r w:rsidR="000776DE" w:rsidRPr="006571AC">
        <w:rPr>
          <w:rFonts w:ascii="Arial" w:hAnsi="Arial" w:hint="cs"/>
          <w:sz w:val="27"/>
          <w:rtl/>
        </w:rPr>
        <w:t>ّ</w:t>
      </w:r>
      <w:r w:rsidRPr="006571AC">
        <w:rPr>
          <w:rFonts w:ascii="Arial" w:hAnsi="Arial" w:hint="cs"/>
          <w:sz w:val="27"/>
          <w:rtl/>
        </w:rPr>
        <w:t xml:space="preserve"> هذه الخصائص. </w:t>
      </w:r>
    </w:p>
    <w:p w:rsidR="0001386F" w:rsidRPr="006571AC" w:rsidRDefault="0001386F" w:rsidP="00D259C9">
      <w:pPr>
        <w:autoSpaceDE w:val="0"/>
        <w:autoSpaceDN w:val="0"/>
        <w:adjustRightInd w:val="0"/>
        <w:rPr>
          <w:rFonts w:ascii="Arial" w:hAnsi="Arial"/>
          <w:sz w:val="27"/>
          <w:rtl/>
        </w:rPr>
      </w:pPr>
      <w:r w:rsidRPr="006571AC">
        <w:rPr>
          <w:rFonts w:ascii="Arial" w:hAnsi="Arial" w:hint="cs"/>
          <w:sz w:val="27"/>
          <w:rtl/>
        </w:rPr>
        <w:t>ويوض</w:t>
      </w:r>
      <w:r w:rsidR="00B7524F" w:rsidRPr="006571AC">
        <w:rPr>
          <w:rFonts w:ascii="Arial" w:hAnsi="Arial" w:hint="cs"/>
          <w:sz w:val="27"/>
          <w:rtl/>
        </w:rPr>
        <w:t>ِّ</w:t>
      </w:r>
      <w:r w:rsidRPr="006571AC">
        <w:rPr>
          <w:rFonts w:ascii="Arial" w:hAnsi="Arial" w:hint="cs"/>
          <w:sz w:val="27"/>
          <w:rtl/>
        </w:rPr>
        <w:t>ح أن التصو</w:t>
      </w:r>
      <w:r w:rsidR="000776DE" w:rsidRPr="006571AC">
        <w:rPr>
          <w:rFonts w:ascii="Arial" w:hAnsi="Arial" w:hint="cs"/>
          <w:sz w:val="27"/>
          <w:rtl/>
        </w:rPr>
        <w:t>ُّ</w:t>
      </w:r>
      <w:r w:rsidRPr="006571AC">
        <w:rPr>
          <w:rFonts w:ascii="Arial" w:hAnsi="Arial" w:hint="cs"/>
          <w:sz w:val="27"/>
          <w:rtl/>
        </w:rPr>
        <w:t>ر التوحيدي يعني فهم العالم على أنه خ</w:t>
      </w:r>
      <w:r w:rsidR="00260862" w:rsidRPr="006571AC">
        <w:rPr>
          <w:rFonts w:ascii="Arial" w:hAnsi="Arial" w:hint="cs"/>
          <w:sz w:val="27"/>
          <w:rtl/>
        </w:rPr>
        <w:t>ُ</w:t>
      </w:r>
      <w:r w:rsidRPr="006571AC">
        <w:rPr>
          <w:rFonts w:ascii="Arial" w:hAnsi="Arial" w:hint="cs"/>
          <w:sz w:val="27"/>
          <w:rtl/>
        </w:rPr>
        <w:t>لق نتيجة</w:t>
      </w:r>
      <w:r w:rsidR="00260862" w:rsidRPr="006571AC">
        <w:rPr>
          <w:rFonts w:ascii="Arial" w:hAnsi="Arial" w:hint="cs"/>
          <w:sz w:val="27"/>
          <w:rtl/>
        </w:rPr>
        <w:t>ً</w:t>
      </w:r>
      <w:r w:rsidRPr="006571AC">
        <w:rPr>
          <w:rFonts w:ascii="Arial" w:hAnsi="Arial" w:hint="cs"/>
          <w:sz w:val="27"/>
          <w:rtl/>
        </w:rPr>
        <w:t xml:space="preserve"> لمشيئة، وأن نظام الوجود يقوم على أساس الخير والرحمة</w:t>
      </w:r>
      <w:r w:rsidR="00260862" w:rsidRPr="006571AC">
        <w:rPr>
          <w:rFonts w:ascii="Arial" w:hAnsi="Arial" w:hint="cs"/>
          <w:sz w:val="27"/>
          <w:rtl/>
        </w:rPr>
        <w:t>،</w:t>
      </w:r>
      <w:r w:rsidRPr="006571AC">
        <w:rPr>
          <w:rFonts w:ascii="Arial" w:hAnsi="Arial" w:hint="cs"/>
          <w:sz w:val="27"/>
          <w:rtl/>
        </w:rPr>
        <w:t xml:space="preserve"> وعلى أساس بلوغ الموجودات كمال</w:t>
      </w:r>
      <w:r w:rsidR="00260862" w:rsidRPr="006571AC">
        <w:rPr>
          <w:rFonts w:ascii="Arial" w:hAnsi="Arial" w:hint="cs"/>
          <w:sz w:val="27"/>
          <w:rtl/>
        </w:rPr>
        <w:t>َ</w:t>
      </w:r>
      <w:r w:rsidRPr="006571AC">
        <w:rPr>
          <w:rFonts w:ascii="Arial" w:hAnsi="Arial" w:hint="cs"/>
          <w:sz w:val="27"/>
          <w:rtl/>
        </w:rPr>
        <w:t>ها المطلوب، وهو يعني أن العالم ذو قطب</w:t>
      </w:r>
      <w:r w:rsidR="00260862" w:rsidRPr="006571AC">
        <w:rPr>
          <w:rFonts w:ascii="Arial" w:hAnsi="Arial" w:hint="cs"/>
          <w:sz w:val="27"/>
          <w:rtl/>
        </w:rPr>
        <w:t>ٍ</w:t>
      </w:r>
      <w:r w:rsidRPr="006571AC">
        <w:rPr>
          <w:rFonts w:ascii="Arial" w:hAnsi="Arial" w:hint="cs"/>
          <w:sz w:val="27"/>
          <w:rtl/>
        </w:rPr>
        <w:t xml:space="preserve"> واحد</w:t>
      </w:r>
      <w:r w:rsidR="00260862" w:rsidRPr="006571AC">
        <w:rPr>
          <w:rFonts w:ascii="Arial" w:hAnsi="Arial" w:hint="cs"/>
          <w:sz w:val="27"/>
          <w:rtl/>
        </w:rPr>
        <w:t>،</w:t>
      </w:r>
      <w:r w:rsidRPr="006571AC">
        <w:rPr>
          <w:rFonts w:ascii="Arial" w:hAnsi="Arial" w:hint="cs"/>
          <w:sz w:val="27"/>
          <w:rtl/>
        </w:rPr>
        <w:t xml:space="preserve"> ومحور</w:t>
      </w:r>
      <w:r w:rsidR="00260862" w:rsidRPr="006571AC">
        <w:rPr>
          <w:rFonts w:ascii="Arial" w:hAnsi="Arial" w:hint="cs"/>
          <w:sz w:val="27"/>
          <w:rtl/>
        </w:rPr>
        <w:t>ٍ</w:t>
      </w:r>
      <w:r w:rsidRPr="006571AC">
        <w:rPr>
          <w:rFonts w:ascii="Arial" w:hAnsi="Arial" w:hint="cs"/>
          <w:sz w:val="27"/>
          <w:rtl/>
        </w:rPr>
        <w:t xml:space="preserve"> واحد، وأن مبدأه ومرجعه واحد: </w:t>
      </w:r>
      <w:r w:rsidR="00260862" w:rsidRPr="006571AC">
        <w:rPr>
          <w:rFonts w:hint="eastAsia"/>
          <w:sz w:val="24"/>
          <w:szCs w:val="24"/>
          <w:rtl/>
        </w:rPr>
        <w:t>«</w:t>
      </w:r>
      <w:r w:rsidRPr="006571AC">
        <w:rPr>
          <w:rFonts w:ascii="Arial" w:hAnsi="Arial" w:hint="cs"/>
          <w:sz w:val="27"/>
          <w:rtl/>
        </w:rPr>
        <w:t>إنا لله وإنا إليه راجعون</w:t>
      </w:r>
      <w:r w:rsidRPr="006571AC">
        <w:rPr>
          <w:rFonts w:hint="eastAsia"/>
          <w:sz w:val="24"/>
          <w:szCs w:val="24"/>
          <w:rtl/>
        </w:rPr>
        <w:t>»</w:t>
      </w:r>
      <w:r w:rsidRPr="006571AC">
        <w:rPr>
          <w:rFonts w:ascii="Arial" w:hAnsi="Arial" w:hint="cs"/>
          <w:sz w:val="27"/>
          <w:rtl/>
        </w:rPr>
        <w:t>. فموجودات</w:t>
      </w:r>
      <w:r w:rsidR="00260862" w:rsidRPr="006571AC">
        <w:rPr>
          <w:rFonts w:ascii="Arial" w:hAnsi="Arial" w:hint="cs"/>
          <w:sz w:val="27"/>
          <w:rtl/>
        </w:rPr>
        <w:t>ُ</w:t>
      </w:r>
      <w:r w:rsidRPr="006571AC">
        <w:rPr>
          <w:rFonts w:ascii="Arial" w:hAnsi="Arial" w:hint="cs"/>
          <w:sz w:val="27"/>
          <w:rtl/>
        </w:rPr>
        <w:t xml:space="preserve"> هذا العالم </w:t>
      </w:r>
      <w:r w:rsidRPr="006571AC">
        <w:rPr>
          <w:rFonts w:ascii="Arial" w:hAnsi="Arial"/>
          <w:sz w:val="27"/>
          <w:rtl/>
        </w:rPr>
        <w:t>ـ</w:t>
      </w:r>
      <w:r w:rsidRPr="006571AC">
        <w:rPr>
          <w:rFonts w:ascii="Arial" w:hAnsi="Arial" w:hint="cs"/>
          <w:sz w:val="27"/>
          <w:rtl/>
        </w:rPr>
        <w:t xml:space="preserve"> وفق هذا التصو</w:t>
      </w:r>
      <w:r w:rsidR="00260862" w:rsidRPr="006571AC">
        <w:rPr>
          <w:rFonts w:ascii="Arial" w:hAnsi="Arial" w:hint="cs"/>
          <w:sz w:val="27"/>
          <w:rtl/>
        </w:rPr>
        <w:t>ُّ</w:t>
      </w:r>
      <w:r w:rsidRPr="006571AC">
        <w:rPr>
          <w:rFonts w:ascii="Arial" w:hAnsi="Arial" w:hint="cs"/>
          <w:sz w:val="27"/>
          <w:rtl/>
        </w:rPr>
        <w:t xml:space="preserve">ر </w:t>
      </w:r>
      <w:r w:rsidRPr="006571AC">
        <w:rPr>
          <w:rFonts w:ascii="Arial" w:hAnsi="Arial"/>
          <w:sz w:val="27"/>
          <w:rtl/>
        </w:rPr>
        <w:t>ـ</w:t>
      </w:r>
      <w:r w:rsidRPr="006571AC">
        <w:rPr>
          <w:rFonts w:ascii="Arial" w:hAnsi="Arial" w:hint="cs"/>
          <w:sz w:val="27"/>
          <w:rtl/>
        </w:rPr>
        <w:t xml:space="preserve"> تت</w:t>
      </w:r>
      <w:r w:rsidR="00260862" w:rsidRPr="006571AC">
        <w:rPr>
          <w:rFonts w:ascii="Arial" w:hAnsi="Arial" w:hint="cs"/>
          <w:sz w:val="27"/>
          <w:rtl/>
        </w:rPr>
        <w:t>ّ</w:t>
      </w:r>
      <w:r w:rsidRPr="006571AC">
        <w:rPr>
          <w:rFonts w:ascii="Arial" w:hAnsi="Arial" w:hint="cs"/>
          <w:sz w:val="27"/>
          <w:rtl/>
        </w:rPr>
        <w:t>جه في اتجاه</w:t>
      </w:r>
      <w:r w:rsidR="00260862" w:rsidRPr="006571AC">
        <w:rPr>
          <w:rFonts w:ascii="Arial" w:hAnsi="Arial" w:hint="cs"/>
          <w:sz w:val="27"/>
          <w:rtl/>
        </w:rPr>
        <w:t>ٍ</w:t>
      </w:r>
      <w:r w:rsidRPr="006571AC">
        <w:rPr>
          <w:rFonts w:ascii="Arial" w:hAnsi="Arial" w:hint="cs"/>
          <w:sz w:val="27"/>
          <w:rtl/>
        </w:rPr>
        <w:t xml:space="preserve"> واحد، ونحو مركز تكامل</w:t>
      </w:r>
      <w:r w:rsidR="00260862" w:rsidRPr="006571AC">
        <w:rPr>
          <w:rFonts w:ascii="Arial" w:hAnsi="Arial" w:hint="cs"/>
          <w:sz w:val="27"/>
          <w:rtl/>
        </w:rPr>
        <w:t>ٍ</w:t>
      </w:r>
      <w:r w:rsidRPr="006571AC">
        <w:rPr>
          <w:rFonts w:ascii="Arial" w:hAnsi="Arial" w:hint="cs"/>
          <w:sz w:val="27"/>
          <w:rtl/>
        </w:rPr>
        <w:t xml:space="preserve"> واحد، وفق نظام منسجم</w:t>
      </w:r>
      <w:r w:rsidR="00260862" w:rsidRPr="006571AC">
        <w:rPr>
          <w:rFonts w:ascii="Arial" w:hAnsi="Arial" w:hint="cs"/>
          <w:sz w:val="27"/>
          <w:rtl/>
        </w:rPr>
        <w:t>،</w:t>
      </w:r>
      <w:r w:rsidRPr="006571AC">
        <w:rPr>
          <w:rFonts w:ascii="Arial" w:hAnsi="Arial" w:hint="cs"/>
          <w:sz w:val="27"/>
          <w:rtl/>
        </w:rPr>
        <w:t xml:space="preserve"> </w:t>
      </w:r>
      <w:r w:rsidR="00260862" w:rsidRPr="006571AC">
        <w:rPr>
          <w:rFonts w:ascii="Arial" w:hAnsi="Arial" w:hint="cs"/>
          <w:sz w:val="27"/>
          <w:rtl/>
        </w:rPr>
        <w:t>و</w:t>
      </w:r>
      <w:r w:rsidRPr="006571AC">
        <w:rPr>
          <w:rFonts w:ascii="Arial" w:hAnsi="Arial" w:hint="cs"/>
          <w:sz w:val="27"/>
          <w:rtl/>
        </w:rPr>
        <w:t>ليست الخليقة موجودا</w:t>
      </w:r>
      <w:r w:rsidR="00260862" w:rsidRPr="006571AC">
        <w:rPr>
          <w:rFonts w:ascii="Arial" w:hAnsi="Arial" w:hint="cs"/>
          <w:sz w:val="27"/>
          <w:rtl/>
        </w:rPr>
        <w:t>ً</w:t>
      </w:r>
      <w:r w:rsidRPr="006571AC">
        <w:rPr>
          <w:rFonts w:ascii="Arial" w:hAnsi="Arial" w:hint="cs"/>
          <w:sz w:val="27"/>
          <w:rtl/>
        </w:rPr>
        <w:t xml:space="preserve"> عبثيا</w:t>
      </w:r>
      <w:r w:rsidR="00260862" w:rsidRPr="006571AC">
        <w:rPr>
          <w:rFonts w:ascii="Arial" w:hAnsi="Arial" w:hint="cs"/>
          <w:sz w:val="27"/>
          <w:rtl/>
        </w:rPr>
        <w:t>ً</w:t>
      </w:r>
      <w:r w:rsidRPr="006571AC">
        <w:rPr>
          <w:rFonts w:ascii="Arial" w:hAnsi="Arial" w:hint="cs"/>
          <w:sz w:val="27"/>
          <w:rtl/>
        </w:rPr>
        <w:t xml:space="preserve"> خاويا</w:t>
      </w:r>
      <w:r w:rsidR="00260862" w:rsidRPr="006571AC">
        <w:rPr>
          <w:rFonts w:ascii="Arial" w:hAnsi="Arial" w:hint="cs"/>
          <w:sz w:val="27"/>
          <w:rtl/>
        </w:rPr>
        <w:t>ً</w:t>
      </w:r>
      <w:r w:rsidRPr="006571AC">
        <w:rPr>
          <w:rFonts w:ascii="Arial" w:hAnsi="Arial" w:hint="cs"/>
          <w:sz w:val="27"/>
          <w:rtl/>
        </w:rPr>
        <w:t xml:space="preserve"> بدون هدف، والعالم يسير وفق مجموعة ن</w:t>
      </w:r>
      <w:r w:rsidR="00260862" w:rsidRPr="006571AC">
        <w:rPr>
          <w:rFonts w:ascii="Arial" w:hAnsi="Arial" w:hint="cs"/>
          <w:sz w:val="27"/>
          <w:rtl/>
        </w:rPr>
        <w:t>ُ</w:t>
      </w:r>
      <w:r w:rsidRPr="006571AC">
        <w:rPr>
          <w:rFonts w:ascii="Arial" w:hAnsi="Arial" w:hint="cs"/>
          <w:sz w:val="27"/>
          <w:rtl/>
        </w:rPr>
        <w:t>ظ</w:t>
      </w:r>
      <w:r w:rsidR="00260862" w:rsidRPr="006571AC">
        <w:rPr>
          <w:rFonts w:ascii="Arial" w:hAnsi="Arial" w:hint="cs"/>
          <w:sz w:val="27"/>
          <w:rtl/>
        </w:rPr>
        <w:t>ُ</w:t>
      </w:r>
      <w:r w:rsidRPr="006571AC">
        <w:rPr>
          <w:rFonts w:ascii="Arial" w:hAnsi="Arial" w:hint="cs"/>
          <w:sz w:val="27"/>
          <w:rtl/>
        </w:rPr>
        <w:t>م لا تتخل</w:t>
      </w:r>
      <w:r w:rsidR="00260862" w:rsidRPr="006571AC">
        <w:rPr>
          <w:rFonts w:ascii="Arial" w:hAnsi="Arial" w:hint="cs"/>
          <w:sz w:val="27"/>
          <w:rtl/>
        </w:rPr>
        <w:t>َّ</w:t>
      </w:r>
      <w:r w:rsidRPr="006571AC">
        <w:rPr>
          <w:rFonts w:ascii="Arial" w:hAnsi="Arial" w:hint="cs"/>
          <w:sz w:val="27"/>
          <w:rtl/>
        </w:rPr>
        <w:t xml:space="preserve">ف في </w:t>
      </w:r>
      <w:r w:rsidRPr="006571AC">
        <w:rPr>
          <w:rFonts w:hint="eastAsia"/>
          <w:sz w:val="24"/>
          <w:szCs w:val="24"/>
          <w:rtl/>
        </w:rPr>
        <w:t>«</w:t>
      </w:r>
      <w:r w:rsidRPr="006571AC">
        <w:rPr>
          <w:rFonts w:ascii="Arial" w:hAnsi="Arial" w:hint="cs"/>
          <w:sz w:val="27"/>
          <w:rtl/>
        </w:rPr>
        <w:t>السنن الإلهية</w:t>
      </w:r>
      <w:r w:rsidRPr="006571AC">
        <w:rPr>
          <w:rFonts w:hint="eastAsia"/>
          <w:sz w:val="24"/>
          <w:szCs w:val="24"/>
          <w:rtl/>
        </w:rPr>
        <w:t>»</w:t>
      </w:r>
      <w:r w:rsidRPr="006571AC">
        <w:rPr>
          <w:rFonts w:ascii="Arial" w:hAnsi="Arial" w:hint="cs"/>
          <w:sz w:val="27"/>
          <w:rtl/>
        </w:rPr>
        <w:t>. والإنسان يتمت</w:t>
      </w:r>
      <w:r w:rsidR="00260862" w:rsidRPr="006571AC">
        <w:rPr>
          <w:rFonts w:ascii="Arial" w:hAnsi="Arial" w:hint="cs"/>
          <w:sz w:val="27"/>
          <w:rtl/>
        </w:rPr>
        <w:t>ّ</w:t>
      </w:r>
      <w:r w:rsidRPr="006571AC">
        <w:rPr>
          <w:rFonts w:ascii="Arial" w:hAnsi="Arial" w:hint="cs"/>
          <w:sz w:val="27"/>
          <w:rtl/>
        </w:rPr>
        <w:t>ع بين الموجودات بكرامة</w:t>
      </w:r>
      <w:r w:rsidR="00260862" w:rsidRPr="006571AC">
        <w:rPr>
          <w:rFonts w:ascii="Arial" w:hAnsi="Arial" w:hint="cs"/>
          <w:sz w:val="27"/>
          <w:rtl/>
        </w:rPr>
        <w:t>ٍ</w:t>
      </w:r>
      <w:r w:rsidRPr="006571AC">
        <w:rPr>
          <w:rFonts w:ascii="Arial" w:hAnsi="Arial" w:hint="cs"/>
          <w:sz w:val="27"/>
          <w:rtl/>
        </w:rPr>
        <w:t xml:space="preserve"> خاصة</w:t>
      </w:r>
      <w:r w:rsidR="00260862" w:rsidRPr="006571AC">
        <w:rPr>
          <w:rFonts w:ascii="Arial" w:hAnsi="Arial" w:hint="cs"/>
          <w:sz w:val="27"/>
          <w:rtl/>
        </w:rPr>
        <w:t>،</w:t>
      </w:r>
      <w:r w:rsidRPr="006571AC">
        <w:rPr>
          <w:rFonts w:ascii="Arial" w:hAnsi="Arial" w:hint="cs"/>
          <w:sz w:val="27"/>
          <w:rtl/>
        </w:rPr>
        <w:t xml:space="preserve"> ورسالة</w:t>
      </w:r>
      <w:r w:rsidR="00260862" w:rsidRPr="006571AC">
        <w:rPr>
          <w:rFonts w:ascii="Arial" w:hAnsi="Arial" w:hint="cs"/>
          <w:sz w:val="27"/>
          <w:rtl/>
        </w:rPr>
        <w:t>ٍ</w:t>
      </w:r>
      <w:r w:rsidRPr="006571AC">
        <w:rPr>
          <w:rFonts w:ascii="Arial" w:hAnsi="Arial" w:hint="cs"/>
          <w:sz w:val="27"/>
          <w:rtl/>
        </w:rPr>
        <w:t xml:space="preserve"> خاصة</w:t>
      </w:r>
      <w:r w:rsidR="00260862" w:rsidRPr="006571AC">
        <w:rPr>
          <w:rFonts w:ascii="Arial" w:hAnsi="Arial" w:hint="cs"/>
          <w:sz w:val="27"/>
          <w:rtl/>
        </w:rPr>
        <w:t>،</w:t>
      </w:r>
      <w:r w:rsidRPr="006571AC">
        <w:rPr>
          <w:rFonts w:ascii="Arial" w:hAnsi="Arial" w:hint="cs"/>
          <w:sz w:val="27"/>
          <w:rtl/>
        </w:rPr>
        <w:t xml:space="preserve"> ويتحمل مسؤولية تربية نفسه</w:t>
      </w:r>
      <w:r w:rsidR="00260862" w:rsidRPr="006571AC">
        <w:rPr>
          <w:rFonts w:ascii="Arial" w:hAnsi="Arial" w:hint="cs"/>
          <w:sz w:val="27"/>
          <w:rtl/>
        </w:rPr>
        <w:t>،</w:t>
      </w:r>
      <w:r w:rsidRPr="006571AC">
        <w:rPr>
          <w:rFonts w:ascii="Arial" w:hAnsi="Arial" w:hint="cs"/>
          <w:sz w:val="27"/>
          <w:rtl/>
        </w:rPr>
        <w:t xml:space="preserve"> وإصلاح مجتمعه</w:t>
      </w:r>
      <w:r w:rsidRPr="006571AC">
        <w:rPr>
          <w:rFonts w:ascii="Arial" w:hAnsi="Arial"/>
          <w:sz w:val="27"/>
          <w:vertAlign w:val="superscript"/>
          <w:rtl/>
        </w:rPr>
        <w:t>(</w:t>
      </w:r>
      <w:r w:rsidRPr="006571AC">
        <w:rPr>
          <w:rStyle w:val="ac"/>
          <w:rFonts w:ascii="Arial" w:hAnsi="Arial"/>
          <w:sz w:val="27"/>
          <w:rtl/>
        </w:rPr>
        <w:endnoteReference w:id="691"/>
      </w:r>
      <w:r w:rsidRPr="006571AC">
        <w:rPr>
          <w:rFonts w:ascii="Arial" w:hAnsi="Arial"/>
          <w:sz w:val="27"/>
          <w:vertAlign w:val="superscript"/>
          <w:rtl/>
        </w:rPr>
        <w:t>)</w:t>
      </w:r>
      <w:r w:rsidRPr="006571AC">
        <w:rPr>
          <w:rFonts w:ascii="Arial" w:hAnsi="Arial"/>
          <w:sz w:val="27"/>
          <w:rtl/>
        </w:rPr>
        <w:t>.</w:t>
      </w:r>
      <w:r w:rsidRPr="006571AC">
        <w:rPr>
          <w:rFonts w:ascii="Arial" w:hAnsi="Arial" w:hint="cs"/>
          <w:sz w:val="27"/>
          <w:rtl/>
        </w:rPr>
        <w:t xml:space="preserve"> وهو هنا استلهم الفكرة من الآية: </w:t>
      </w:r>
      <w:r w:rsidRPr="006571AC">
        <w:rPr>
          <w:rFonts w:ascii="Mosawi" w:hAnsi="Mosawi" w:cs="Mosawi"/>
          <w:sz w:val="24"/>
          <w:szCs w:val="24"/>
          <w:rtl/>
        </w:rPr>
        <w:t>﴿</w:t>
      </w:r>
      <w:r w:rsidRPr="006571AC">
        <w:rPr>
          <w:rFonts w:ascii="Arial" w:hAnsi="Arial" w:hint="cs"/>
          <w:b/>
          <w:bCs/>
          <w:sz w:val="27"/>
          <w:rtl/>
        </w:rPr>
        <w:t>قُلْ ي</w:t>
      </w:r>
      <w:r w:rsidR="00260862" w:rsidRPr="006571AC">
        <w:rPr>
          <w:rFonts w:ascii="Arial" w:hAnsi="Arial" w:hint="cs"/>
          <w:b/>
          <w:bCs/>
          <w:sz w:val="27"/>
          <w:rtl/>
        </w:rPr>
        <w:t>َ</w:t>
      </w:r>
      <w:r w:rsidRPr="006571AC">
        <w:rPr>
          <w:rFonts w:ascii="Arial" w:hAnsi="Arial" w:hint="cs"/>
          <w:b/>
          <w:bCs/>
          <w:sz w:val="27"/>
          <w:rtl/>
        </w:rPr>
        <w:t>ا أَهْلَ الْكِت</w:t>
      </w:r>
      <w:r w:rsidR="00260862" w:rsidRPr="006571AC">
        <w:rPr>
          <w:rFonts w:ascii="Arial" w:hAnsi="Arial" w:hint="cs"/>
          <w:b/>
          <w:bCs/>
          <w:sz w:val="27"/>
          <w:rtl/>
        </w:rPr>
        <w:t>َ</w:t>
      </w:r>
      <w:r w:rsidRPr="006571AC">
        <w:rPr>
          <w:rFonts w:ascii="Arial" w:hAnsi="Arial" w:hint="cs"/>
          <w:b/>
          <w:bCs/>
          <w:sz w:val="27"/>
          <w:rtl/>
        </w:rPr>
        <w:t>ابِ تَع</w:t>
      </w:r>
      <w:r w:rsidR="00260862" w:rsidRPr="006571AC">
        <w:rPr>
          <w:rFonts w:ascii="Arial" w:hAnsi="Arial" w:hint="cs"/>
          <w:b/>
          <w:bCs/>
          <w:sz w:val="27"/>
          <w:rtl/>
        </w:rPr>
        <w:t>َ</w:t>
      </w:r>
      <w:r w:rsidRPr="006571AC">
        <w:rPr>
          <w:rFonts w:ascii="Arial" w:hAnsi="Arial" w:hint="cs"/>
          <w:b/>
          <w:bCs/>
          <w:sz w:val="27"/>
          <w:rtl/>
        </w:rPr>
        <w:t>الَوْا إِلَى كَلِمَةٍ سَو</w:t>
      </w:r>
      <w:r w:rsidR="00260862" w:rsidRPr="006571AC">
        <w:rPr>
          <w:rFonts w:ascii="Arial" w:hAnsi="Arial" w:hint="cs"/>
          <w:b/>
          <w:bCs/>
          <w:sz w:val="27"/>
          <w:rtl/>
        </w:rPr>
        <w:t>َ</w:t>
      </w:r>
      <w:r w:rsidRPr="006571AC">
        <w:rPr>
          <w:rFonts w:ascii="Arial" w:hAnsi="Arial" w:hint="cs"/>
          <w:b/>
          <w:bCs/>
          <w:sz w:val="27"/>
          <w:rtl/>
        </w:rPr>
        <w:t>اءٍ بَيْن</w:t>
      </w:r>
      <w:r w:rsidR="00260862" w:rsidRPr="006571AC">
        <w:rPr>
          <w:rFonts w:ascii="Arial" w:hAnsi="Arial" w:hint="cs"/>
          <w:b/>
          <w:bCs/>
          <w:sz w:val="27"/>
          <w:rtl/>
        </w:rPr>
        <w:t>َ</w:t>
      </w:r>
      <w:r w:rsidRPr="006571AC">
        <w:rPr>
          <w:rFonts w:ascii="Arial" w:hAnsi="Arial" w:hint="cs"/>
          <w:b/>
          <w:bCs/>
          <w:sz w:val="27"/>
          <w:rtl/>
        </w:rPr>
        <w:t>ن</w:t>
      </w:r>
      <w:r w:rsidR="00260862" w:rsidRPr="006571AC">
        <w:rPr>
          <w:rFonts w:ascii="Arial" w:hAnsi="Arial" w:hint="cs"/>
          <w:b/>
          <w:bCs/>
          <w:sz w:val="27"/>
          <w:rtl/>
        </w:rPr>
        <w:t>َ</w:t>
      </w:r>
      <w:r w:rsidRPr="006571AC">
        <w:rPr>
          <w:rFonts w:ascii="Arial" w:hAnsi="Arial" w:hint="cs"/>
          <w:b/>
          <w:bCs/>
          <w:sz w:val="27"/>
          <w:rtl/>
        </w:rPr>
        <w:t>ا وَبَيْنَكُمْ أَ</w:t>
      </w:r>
      <w:r w:rsidR="00260862" w:rsidRPr="006571AC">
        <w:rPr>
          <w:rFonts w:ascii="Arial" w:hAnsi="Arial" w:hint="cs"/>
          <w:b/>
          <w:bCs/>
          <w:sz w:val="27"/>
          <w:rtl/>
        </w:rPr>
        <w:t>نْ لاَ</w:t>
      </w:r>
      <w:r w:rsidRPr="006571AC">
        <w:rPr>
          <w:rFonts w:ascii="Arial" w:hAnsi="Arial" w:hint="cs"/>
          <w:b/>
          <w:bCs/>
          <w:sz w:val="27"/>
          <w:rtl/>
        </w:rPr>
        <w:t xml:space="preserve"> نَعْبُدَ إِ</w:t>
      </w:r>
      <w:r w:rsidR="003C2639" w:rsidRPr="006571AC">
        <w:rPr>
          <w:rFonts w:ascii="Arial" w:hAnsi="Arial" w:hint="cs"/>
          <w:b/>
          <w:bCs/>
          <w:sz w:val="27"/>
          <w:rtl/>
        </w:rPr>
        <w:t>لاّ</w:t>
      </w:r>
      <w:r w:rsidR="00260862" w:rsidRPr="006571AC">
        <w:rPr>
          <w:rFonts w:ascii="Arial" w:hAnsi="Arial" w:hint="cs"/>
          <w:b/>
          <w:bCs/>
          <w:sz w:val="27"/>
          <w:rtl/>
        </w:rPr>
        <w:t>َ اللهَ وَل</w:t>
      </w:r>
      <w:r w:rsidRPr="006571AC">
        <w:rPr>
          <w:rFonts w:ascii="Arial" w:hAnsi="Arial" w:hint="cs"/>
          <w:b/>
          <w:bCs/>
          <w:sz w:val="27"/>
          <w:rtl/>
        </w:rPr>
        <w:t>ا</w:t>
      </w:r>
      <w:r w:rsidR="00260862" w:rsidRPr="006571AC">
        <w:rPr>
          <w:rFonts w:ascii="Arial" w:hAnsi="Arial" w:hint="cs"/>
          <w:b/>
          <w:bCs/>
          <w:sz w:val="27"/>
          <w:rtl/>
        </w:rPr>
        <w:t>َ</w:t>
      </w:r>
      <w:r w:rsidR="005B561D" w:rsidRPr="006571AC">
        <w:rPr>
          <w:rFonts w:ascii="Arial" w:hAnsi="Arial" w:hint="cs"/>
          <w:b/>
          <w:bCs/>
          <w:sz w:val="27"/>
          <w:rtl/>
        </w:rPr>
        <w:t xml:space="preserve"> نَشْرِكُ بِهِ شَيْئاً وَل</w:t>
      </w:r>
      <w:r w:rsidRPr="006571AC">
        <w:rPr>
          <w:rFonts w:ascii="Arial" w:hAnsi="Arial" w:hint="cs"/>
          <w:b/>
          <w:bCs/>
          <w:sz w:val="27"/>
          <w:rtl/>
        </w:rPr>
        <w:t>ا</w:t>
      </w:r>
      <w:r w:rsidR="005B561D" w:rsidRPr="006571AC">
        <w:rPr>
          <w:rFonts w:ascii="Arial" w:hAnsi="Arial" w:hint="cs"/>
          <w:b/>
          <w:bCs/>
          <w:sz w:val="27"/>
          <w:rtl/>
        </w:rPr>
        <w:t>َ</w:t>
      </w:r>
      <w:r w:rsidRPr="006571AC">
        <w:rPr>
          <w:rFonts w:ascii="Arial" w:hAnsi="Arial" w:hint="cs"/>
          <w:b/>
          <w:bCs/>
          <w:sz w:val="27"/>
          <w:rtl/>
        </w:rPr>
        <w:t xml:space="preserve"> يَتَّخِذَ بَعْضُن</w:t>
      </w:r>
      <w:r w:rsidR="005B561D" w:rsidRPr="006571AC">
        <w:rPr>
          <w:rFonts w:ascii="Arial" w:hAnsi="Arial" w:hint="cs"/>
          <w:b/>
          <w:bCs/>
          <w:sz w:val="27"/>
          <w:rtl/>
        </w:rPr>
        <w:t>َ</w:t>
      </w:r>
      <w:r w:rsidRPr="006571AC">
        <w:rPr>
          <w:rFonts w:ascii="Arial" w:hAnsi="Arial" w:hint="cs"/>
          <w:b/>
          <w:bCs/>
          <w:sz w:val="27"/>
          <w:rtl/>
        </w:rPr>
        <w:t>ا بَعْض</w:t>
      </w:r>
      <w:r w:rsidR="00731867" w:rsidRPr="006571AC">
        <w:rPr>
          <w:rFonts w:ascii="Arial" w:hAnsi="Arial" w:hint="cs"/>
          <w:b/>
          <w:bCs/>
          <w:sz w:val="27"/>
          <w:rtl/>
        </w:rPr>
        <w:t>اً</w:t>
      </w:r>
      <w:r w:rsidRPr="006571AC">
        <w:rPr>
          <w:rFonts w:ascii="Arial" w:hAnsi="Arial" w:hint="cs"/>
          <w:b/>
          <w:bCs/>
          <w:sz w:val="27"/>
          <w:rtl/>
        </w:rPr>
        <w:t xml:space="preserve"> أَرْبَاب</w:t>
      </w:r>
      <w:r w:rsidR="00731867" w:rsidRPr="006571AC">
        <w:rPr>
          <w:rFonts w:ascii="Arial" w:hAnsi="Arial" w:hint="cs"/>
          <w:b/>
          <w:bCs/>
          <w:sz w:val="27"/>
          <w:rtl/>
        </w:rPr>
        <w:t>اً</w:t>
      </w:r>
      <w:r w:rsidRPr="006571AC">
        <w:rPr>
          <w:rFonts w:ascii="Arial" w:hAnsi="Arial" w:hint="cs"/>
          <w:b/>
          <w:bCs/>
          <w:sz w:val="27"/>
          <w:rtl/>
        </w:rPr>
        <w:t xml:space="preserve"> مِنْ د</w:t>
      </w:r>
      <w:r w:rsidR="005B561D" w:rsidRPr="006571AC">
        <w:rPr>
          <w:rFonts w:ascii="Arial" w:hAnsi="Arial" w:hint="cs"/>
          <w:b/>
          <w:bCs/>
          <w:sz w:val="27"/>
          <w:rtl/>
        </w:rPr>
        <w:t>ُ</w:t>
      </w:r>
      <w:r w:rsidRPr="006571AC">
        <w:rPr>
          <w:rFonts w:ascii="Arial" w:hAnsi="Arial" w:hint="cs"/>
          <w:b/>
          <w:bCs/>
          <w:sz w:val="27"/>
          <w:rtl/>
        </w:rPr>
        <w:t>ونِ اللهِ فَإِنْ تَوَلَّوْا فَق</w:t>
      </w:r>
      <w:r w:rsidR="005B561D" w:rsidRPr="006571AC">
        <w:rPr>
          <w:rFonts w:ascii="Arial" w:hAnsi="Arial" w:hint="cs"/>
          <w:b/>
          <w:bCs/>
          <w:sz w:val="27"/>
          <w:rtl/>
        </w:rPr>
        <w:t>ُ</w:t>
      </w:r>
      <w:r w:rsidRPr="006571AC">
        <w:rPr>
          <w:rFonts w:ascii="Arial" w:hAnsi="Arial" w:hint="cs"/>
          <w:b/>
          <w:bCs/>
          <w:sz w:val="27"/>
          <w:rtl/>
        </w:rPr>
        <w:t>ولُوا اشْهَدُوا بِأَنّ</w:t>
      </w:r>
      <w:r w:rsidR="005B561D" w:rsidRPr="006571AC">
        <w:rPr>
          <w:rFonts w:ascii="Arial" w:hAnsi="Arial" w:hint="cs"/>
          <w:b/>
          <w:bCs/>
          <w:sz w:val="27"/>
          <w:rtl/>
        </w:rPr>
        <w:t>َ</w:t>
      </w:r>
      <w:r w:rsidRPr="006571AC">
        <w:rPr>
          <w:rFonts w:ascii="Arial" w:hAnsi="Arial" w:hint="cs"/>
          <w:b/>
          <w:bCs/>
          <w:sz w:val="27"/>
          <w:rtl/>
        </w:rPr>
        <w:t>ا مُسْلِمُونَ</w:t>
      </w:r>
      <w:r w:rsidRPr="006571AC">
        <w:rPr>
          <w:rFonts w:ascii="Mosawi" w:hAnsi="Mosawi" w:cs="Mosawi"/>
          <w:sz w:val="24"/>
          <w:szCs w:val="24"/>
          <w:rtl/>
        </w:rPr>
        <w:t>﴾</w:t>
      </w:r>
      <w:r w:rsidRPr="006571AC">
        <w:rPr>
          <w:rFonts w:eastAsia="Calibri" w:hint="cs"/>
          <w:sz w:val="27"/>
          <w:rtl/>
        </w:rPr>
        <w:t xml:space="preserve"> (آل عمران: </w:t>
      </w:r>
      <w:r w:rsidRPr="006571AC">
        <w:rPr>
          <w:rFonts w:eastAsia="Calibri" w:hint="cs"/>
          <w:sz w:val="27"/>
          <w:rtl/>
        </w:rPr>
        <w:lastRenderedPageBreak/>
        <w:t>14)</w:t>
      </w:r>
      <w:r w:rsidRPr="006571AC">
        <w:rPr>
          <w:rFonts w:ascii="Arial" w:hAnsi="Arial" w:hint="cs"/>
          <w:sz w:val="27"/>
          <w:rtl/>
        </w:rPr>
        <w:t>.</w:t>
      </w:r>
    </w:p>
    <w:p w:rsidR="0001386F" w:rsidRPr="006571AC" w:rsidRDefault="0001386F" w:rsidP="007238FE">
      <w:pPr>
        <w:autoSpaceDE w:val="0"/>
        <w:autoSpaceDN w:val="0"/>
        <w:adjustRightInd w:val="0"/>
        <w:rPr>
          <w:rFonts w:ascii="Arial" w:hAnsi="Arial"/>
          <w:sz w:val="27"/>
          <w:rtl/>
          <w:lang w:val="en-GB"/>
        </w:rPr>
      </w:pPr>
      <w:r w:rsidRPr="006571AC">
        <w:rPr>
          <w:rFonts w:ascii="Arial" w:hAnsi="Arial" w:hint="cs"/>
          <w:sz w:val="27"/>
          <w:rtl/>
        </w:rPr>
        <w:t xml:space="preserve">وبين </w:t>
      </w:r>
      <w:r w:rsidR="007238FE" w:rsidRPr="006571AC">
        <w:rPr>
          <w:rFonts w:ascii="Arial" w:hAnsi="Arial" w:hint="cs"/>
          <w:sz w:val="27"/>
          <w:rtl/>
        </w:rPr>
        <w:t>كونج</w:t>
      </w:r>
      <w:r w:rsidRPr="006571AC">
        <w:rPr>
          <w:rFonts w:ascii="Arial" w:hAnsi="Arial" w:hint="cs"/>
          <w:sz w:val="27"/>
          <w:rtl/>
        </w:rPr>
        <w:t xml:space="preserve"> </w:t>
      </w:r>
      <w:r w:rsidR="005B561D" w:rsidRPr="006571AC">
        <w:rPr>
          <w:rFonts w:ascii="Arial" w:hAnsi="Arial" w:hint="cs"/>
          <w:sz w:val="27"/>
          <w:rtl/>
        </w:rPr>
        <w:t xml:space="preserve">ـ </w:t>
      </w:r>
      <w:r w:rsidRPr="006571AC">
        <w:rPr>
          <w:rFonts w:ascii="Arial" w:hAnsi="Arial" w:hint="cs"/>
          <w:sz w:val="27"/>
          <w:rtl/>
        </w:rPr>
        <w:t xml:space="preserve">الذي يذهب إلى </w:t>
      </w:r>
      <w:r w:rsidRPr="006571AC">
        <w:rPr>
          <w:rFonts w:hint="eastAsia"/>
          <w:sz w:val="24"/>
          <w:szCs w:val="24"/>
          <w:rtl/>
        </w:rPr>
        <w:t>«</w:t>
      </w:r>
      <w:r w:rsidRPr="006571AC">
        <w:rPr>
          <w:rFonts w:ascii="Arial" w:hAnsi="Arial" w:hint="cs"/>
          <w:sz w:val="27"/>
          <w:rtl/>
        </w:rPr>
        <w:t>السلام الأدياني العالمي</w:t>
      </w:r>
      <w:r w:rsidRPr="006571AC">
        <w:rPr>
          <w:rFonts w:hint="eastAsia"/>
          <w:sz w:val="24"/>
          <w:szCs w:val="24"/>
          <w:rtl/>
        </w:rPr>
        <w:t>»</w:t>
      </w:r>
      <w:r w:rsidR="005B561D" w:rsidRPr="006571AC">
        <w:rPr>
          <w:rFonts w:ascii="Arial" w:hAnsi="Arial" w:hint="cs"/>
          <w:sz w:val="27"/>
          <w:rtl/>
        </w:rPr>
        <w:t xml:space="preserve"> ـ</w:t>
      </w:r>
      <w:r w:rsidRPr="006571AC">
        <w:rPr>
          <w:rFonts w:ascii="Arial" w:hAnsi="Arial" w:hint="cs"/>
          <w:sz w:val="27"/>
          <w:rtl/>
        </w:rPr>
        <w:t xml:space="preserve"> ومطه</w:t>
      </w:r>
      <w:r w:rsidR="005B561D" w:rsidRPr="006571AC">
        <w:rPr>
          <w:rFonts w:ascii="Arial" w:hAnsi="Arial" w:hint="cs"/>
          <w:sz w:val="27"/>
          <w:rtl/>
        </w:rPr>
        <w:t>َّ</w:t>
      </w:r>
      <w:r w:rsidRPr="006571AC">
        <w:rPr>
          <w:rFonts w:ascii="Arial" w:hAnsi="Arial" w:hint="cs"/>
          <w:sz w:val="27"/>
          <w:rtl/>
        </w:rPr>
        <w:t xml:space="preserve">ري </w:t>
      </w:r>
      <w:r w:rsidR="005B561D" w:rsidRPr="006571AC">
        <w:rPr>
          <w:rFonts w:ascii="Arial" w:hAnsi="Arial" w:hint="cs"/>
          <w:sz w:val="27"/>
          <w:rtl/>
        </w:rPr>
        <w:t xml:space="preserve">ـ </w:t>
      </w:r>
      <w:r w:rsidRPr="006571AC">
        <w:rPr>
          <w:rFonts w:ascii="Arial" w:hAnsi="Arial" w:hint="cs"/>
          <w:sz w:val="27"/>
          <w:rtl/>
        </w:rPr>
        <w:t xml:space="preserve">الذي يذهب إلى </w:t>
      </w:r>
      <w:r w:rsidRPr="006571AC">
        <w:rPr>
          <w:rFonts w:hint="eastAsia"/>
          <w:sz w:val="24"/>
          <w:szCs w:val="24"/>
          <w:rtl/>
        </w:rPr>
        <w:t>«</w:t>
      </w:r>
      <w:r w:rsidRPr="006571AC">
        <w:rPr>
          <w:rFonts w:ascii="Arial" w:hAnsi="Arial" w:hint="cs"/>
          <w:sz w:val="27"/>
          <w:rtl/>
        </w:rPr>
        <w:t>المفهوم التوحيدي للعالم</w:t>
      </w:r>
      <w:r w:rsidRPr="006571AC">
        <w:rPr>
          <w:rFonts w:hint="eastAsia"/>
          <w:sz w:val="24"/>
          <w:szCs w:val="24"/>
          <w:rtl/>
        </w:rPr>
        <w:t>»</w:t>
      </w:r>
      <w:r w:rsidR="005B561D" w:rsidRPr="006571AC">
        <w:rPr>
          <w:rFonts w:ascii="Arial" w:hAnsi="Arial" w:hint="cs"/>
          <w:sz w:val="27"/>
          <w:rtl/>
        </w:rPr>
        <w:t xml:space="preserve"> ـ</w:t>
      </w:r>
      <w:r w:rsidRPr="006571AC">
        <w:rPr>
          <w:rFonts w:ascii="Arial" w:hAnsi="Arial" w:hint="cs"/>
          <w:sz w:val="27"/>
          <w:rtl/>
        </w:rPr>
        <w:t xml:space="preserve"> فارق</w:t>
      </w:r>
      <w:r w:rsidR="005B561D" w:rsidRPr="006571AC">
        <w:rPr>
          <w:rFonts w:ascii="Arial" w:hAnsi="Arial" w:hint="cs"/>
          <w:sz w:val="27"/>
          <w:rtl/>
        </w:rPr>
        <w:t>ٌ</w:t>
      </w:r>
      <w:r w:rsidRPr="006571AC">
        <w:rPr>
          <w:rFonts w:ascii="Arial" w:hAnsi="Arial" w:hint="cs"/>
          <w:sz w:val="27"/>
          <w:rtl/>
        </w:rPr>
        <w:t xml:space="preserve"> مهم</w:t>
      </w:r>
      <w:r w:rsidR="005B561D" w:rsidRPr="006571AC">
        <w:rPr>
          <w:rFonts w:ascii="Arial" w:hAnsi="Arial" w:hint="cs"/>
          <w:sz w:val="27"/>
          <w:rtl/>
        </w:rPr>
        <w:t>ّ،</w:t>
      </w:r>
      <w:r w:rsidRPr="006571AC">
        <w:rPr>
          <w:rFonts w:ascii="Arial" w:hAnsi="Arial" w:hint="cs"/>
          <w:sz w:val="27"/>
          <w:rtl/>
        </w:rPr>
        <w:t xml:space="preserve"> وهو السعة التي ستحق</w:t>
      </w:r>
      <w:r w:rsidR="005B561D" w:rsidRPr="006571AC">
        <w:rPr>
          <w:rFonts w:ascii="Arial" w:hAnsi="Arial" w:hint="cs"/>
          <w:sz w:val="27"/>
          <w:rtl/>
        </w:rPr>
        <w:t>ِّ</w:t>
      </w:r>
      <w:r w:rsidRPr="006571AC">
        <w:rPr>
          <w:rFonts w:ascii="Arial" w:hAnsi="Arial" w:hint="cs"/>
          <w:sz w:val="27"/>
          <w:rtl/>
        </w:rPr>
        <w:t>قها كل</w:t>
      </w:r>
      <w:r w:rsidR="005B561D" w:rsidRPr="006571AC">
        <w:rPr>
          <w:rFonts w:ascii="Arial" w:hAnsi="Arial" w:hint="cs"/>
          <w:sz w:val="27"/>
          <w:rtl/>
        </w:rPr>
        <w:t>ّ</w:t>
      </w:r>
      <w:r w:rsidRPr="006571AC">
        <w:rPr>
          <w:rFonts w:ascii="Arial" w:hAnsi="Arial" w:hint="cs"/>
          <w:sz w:val="27"/>
          <w:rtl/>
        </w:rPr>
        <w:t xml:space="preserve"> نظرة</w:t>
      </w:r>
      <w:r w:rsidR="005B561D" w:rsidRPr="006571AC">
        <w:rPr>
          <w:rFonts w:ascii="Arial" w:hAnsi="Arial" w:hint="cs"/>
          <w:sz w:val="27"/>
          <w:rtl/>
        </w:rPr>
        <w:t>ٍ.</w:t>
      </w:r>
      <w:r w:rsidRPr="006571AC">
        <w:rPr>
          <w:rFonts w:ascii="Arial" w:hAnsi="Arial" w:hint="cs"/>
          <w:sz w:val="27"/>
          <w:rtl/>
        </w:rPr>
        <w:t xml:space="preserve"> فبينما يؤس</w:t>
      </w:r>
      <w:r w:rsidR="005B561D" w:rsidRPr="006571AC">
        <w:rPr>
          <w:rFonts w:ascii="Arial" w:hAnsi="Arial" w:hint="cs"/>
          <w:sz w:val="27"/>
          <w:rtl/>
        </w:rPr>
        <w:t>ِّ</w:t>
      </w:r>
      <w:r w:rsidRPr="006571AC">
        <w:rPr>
          <w:rFonts w:ascii="Arial" w:hAnsi="Arial" w:hint="cs"/>
          <w:sz w:val="27"/>
          <w:rtl/>
        </w:rPr>
        <w:t xml:space="preserve">س </w:t>
      </w:r>
      <w:r w:rsidR="007238FE" w:rsidRPr="006571AC">
        <w:rPr>
          <w:rFonts w:ascii="Arial" w:hAnsi="Arial" w:hint="cs"/>
          <w:sz w:val="27"/>
          <w:rtl/>
        </w:rPr>
        <w:t xml:space="preserve">كونج </w:t>
      </w:r>
      <w:r w:rsidRPr="006571AC">
        <w:rPr>
          <w:rFonts w:ascii="Arial" w:hAnsi="Arial" w:hint="cs"/>
          <w:sz w:val="27"/>
          <w:rtl/>
        </w:rPr>
        <w:t>لأخلاق عالمية كونية، كنوع</w:t>
      </w:r>
      <w:r w:rsidR="005B561D" w:rsidRPr="006571AC">
        <w:rPr>
          <w:rFonts w:ascii="Arial" w:hAnsi="Arial" w:hint="cs"/>
          <w:sz w:val="27"/>
          <w:rtl/>
        </w:rPr>
        <w:t>ٍ</w:t>
      </w:r>
      <w:r w:rsidRPr="006571AC">
        <w:rPr>
          <w:rFonts w:ascii="Arial" w:hAnsi="Arial" w:hint="cs"/>
          <w:sz w:val="27"/>
          <w:rtl/>
        </w:rPr>
        <w:t xml:space="preserve"> من الضوابط التي تقل</w:t>
      </w:r>
      <w:r w:rsidR="005B561D" w:rsidRPr="006571AC">
        <w:rPr>
          <w:rFonts w:ascii="Arial" w:hAnsi="Arial" w:hint="cs"/>
          <w:sz w:val="27"/>
          <w:rtl/>
        </w:rPr>
        <w:t>ِّ</w:t>
      </w:r>
      <w:r w:rsidRPr="006571AC">
        <w:rPr>
          <w:rFonts w:ascii="Arial" w:hAnsi="Arial" w:hint="cs"/>
          <w:sz w:val="27"/>
          <w:rtl/>
        </w:rPr>
        <w:t>ل مساحات الاختلاف بين الناس، وخاص</w:t>
      </w:r>
      <w:r w:rsidR="005B561D" w:rsidRPr="006571AC">
        <w:rPr>
          <w:rFonts w:ascii="Arial" w:hAnsi="Arial" w:hint="cs"/>
          <w:sz w:val="27"/>
          <w:rtl/>
        </w:rPr>
        <w:t>ّ</w:t>
      </w:r>
      <w:r w:rsidRPr="006571AC">
        <w:rPr>
          <w:rFonts w:ascii="Arial" w:hAnsi="Arial" w:hint="cs"/>
          <w:sz w:val="27"/>
          <w:rtl/>
        </w:rPr>
        <w:t>ة الأديان السماوية</w:t>
      </w:r>
      <w:r w:rsidR="005B561D" w:rsidRPr="006571AC">
        <w:rPr>
          <w:rFonts w:ascii="Arial" w:hAnsi="Arial" w:hint="cs"/>
          <w:sz w:val="27"/>
          <w:rtl/>
        </w:rPr>
        <w:t>؛</w:t>
      </w:r>
      <w:r w:rsidRPr="006571AC">
        <w:rPr>
          <w:rFonts w:ascii="Arial" w:hAnsi="Arial" w:hint="cs"/>
          <w:sz w:val="27"/>
          <w:rtl/>
        </w:rPr>
        <w:t xml:space="preserve"> فإن الشهيد مطه</w:t>
      </w:r>
      <w:r w:rsidR="005B561D" w:rsidRPr="006571AC">
        <w:rPr>
          <w:rFonts w:ascii="Arial" w:hAnsi="Arial" w:hint="cs"/>
          <w:sz w:val="27"/>
          <w:rtl/>
        </w:rPr>
        <w:t>َّ</w:t>
      </w:r>
      <w:r w:rsidRPr="006571AC">
        <w:rPr>
          <w:rFonts w:ascii="Arial" w:hAnsi="Arial" w:hint="cs"/>
          <w:sz w:val="27"/>
          <w:rtl/>
        </w:rPr>
        <w:t>ري يوح</w:t>
      </w:r>
      <w:r w:rsidR="005B561D" w:rsidRPr="006571AC">
        <w:rPr>
          <w:rFonts w:ascii="Arial" w:hAnsi="Arial" w:hint="cs"/>
          <w:sz w:val="27"/>
          <w:rtl/>
        </w:rPr>
        <w:t>ِّ</w:t>
      </w:r>
      <w:r w:rsidRPr="006571AC">
        <w:rPr>
          <w:rFonts w:ascii="Arial" w:hAnsi="Arial" w:hint="cs"/>
          <w:sz w:val="27"/>
          <w:rtl/>
        </w:rPr>
        <w:t>د الكون في نظرته، ويجعله تحت مظل</w:t>
      </w:r>
      <w:r w:rsidR="005B561D" w:rsidRPr="006571AC">
        <w:rPr>
          <w:rFonts w:ascii="Arial" w:hAnsi="Arial" w:hint="cs"/>
          <w:sz w:val="27"/>
          <w:rtl/>
        </w:rPr>
        <w:t>ّ</w:t>
      </w:r>
      <w:r w:rsidRPr="006571AC">
        <w:rPr>
          <w:rFonts w:ascii="Arial" w:hAnsi="Arial" w:hint="cs"/>
          <w:sz w:val="27"/>
          <w:rtl/>
        </w:rPr>
        <w:t>ة قطب</w:t>
      </w:r>
      <w:r w:rsidR="005B561D" w:rsidRPr="006571AC">
        <w:rPr>
          <w:rFonts w:ascii="Arial" w:hAnsi="Arial" w:hint="cs"/>
          <w:sz w:val="27"/>
          <w:rtl/>
        </w:rPr>
        <w:t>ٍ</w:t>
      </w:r>
      <w:r w:rsidRPr="006571AC">
        <w:rPr>
          <w:rFonts w:ascii="Arial" w:hAnsi="Arial" w:hint="cs"/>
          <w:sz w:val="27"/>
          <w:rtl/>
        </w:rPr>
        <w:t xml:space="preserve"> واحد</w:t>
      </w:r>
      <w:r w:rsidR="005B561D" w:rsidRPr="006571AC">
        <w:rPr>
          <w:rFonts w:ascii="Arial" w:hAnsi="Arial" w:hint="cs"/>
          <w:sz w:val="27"/>
          <w:rtl/>
        </w:rPr>
        <w:t>،</w:t>
      </w:r>
      <w:r w:rsidRPr="006571AC">
        <w:rPr>
          <w:rFonts w:ascii="Arial" w:hAnsi="Arial" w:hint="cs"/>
          <w:sz w:val="27"/>
          <w:rtl/>
        </w:rPr>
        <w:t xml:space="preserve"> هو الله</w:t>
      </w:r>
      <w:r w:rsidR="005B561D" w:rsidRPr="006571AC">
        <w:rPr>
          <w:rFonts w:ascii="Arial" w:hAnsi="Arial" w:hint="cs"/>
          <w:sz w:val="27"/>
          <w:rtl/>
        </w:rPr>
        <w:t>.</w:t>
      </w:r>
      <w:r w:rsidRPr="006571AC">
        <w:rPr>
          <w:rFonts w:ascii="Arial" w:hAnsi="Arial" w:hint="cs"/>
          <w:sz w:val="27"/>
          <w:rtl/>
        </w:rPr>
        <w:t xml:space="preserve"> وهنا الفرق يكمن في المرجعية المعيارية لكل</w:t>
      </w:r>
      <w:r w:rsidR="005B561D" w:rsidRPr="006571AC">
        <w:rPr>
          <w:rFonts w:ascii="Arial" w:hAnsi="Arial" w:hint="cs"/>
          <w:sz w:val="27"/>
          <w:rtl/>
        </w:rPr>
        <w:t>ّ</w:t>
      </w:r>
      <w:r w:rsidRPr="006571AC">
        <w:rPr>
          <w:rFonts w:ascii="Arial" w:hAnsi="Arial" w:hint="cs"/>
          <w:sz w:val="27"/>
          <w:rtl/>
        </w:rPr>
        <w:t xml:space="preserve"> وجهة نظر</w:t>
      </w:r>
      <w:r w:rsidR="005B561D" w:rsidRPr="006571AC">
        <w:rPr>
          <w:rFonts w:ascii="Arial" w:hAnsi="Arial" w:hint="cs"/>
          <w:sz w:val="27"/>
          <w:rtl/>
        </w:rPr>
        <w:t>ٍ</w:t>
      </w:r>
      <w:r w:rsidRPr="006571AC">
        <w:rPr>
          <w:rFonts w:ascii="Arial" w:hAnsi="Arial" w:hint="cs"/>
          <w:sz w:val="27"/>
          <w:rtl/>
        </w:rPr>
        <w:t xml:space="preserve"> في التأسيس للمنظومة الأخلاقية</w:t>
      </w:r>
      <w:r w:rsidR="005B561D" w:rsidRPr="006571AC">
        <w:rPr>
          <w:rFonts w:ascii="Arial" w:hAnsi="Arial" w:hint="cs"/>
          <w:sz w:val="27"/>
          <w:rtl/>
        </w:rPr>
        <w:t>،</w:t>
      </w:r>
      <w:r w:rsidRPr="006571AC">
        <w:rPr>
          <w:rFonts w:ascii="Arial" w:hAnsi="Arial" w:hint="cs"/>
          <w:sz w:val="27"/>
          <w:rtl/>
        </w:rPr>
        <w:t xml:space="preserve"> التي من خلالها يمكن توحيد العالم وتحقيق السلام</w:t>
      </w:r>
      <w:r w:rsidR="005B561D" w:rsidRPr="006571AC">
        <w:rPr>
          <w:rFonts w:ascii="Arial" w:hAnsi="Arial" w:hint="cs"/>
          <w:sz w:val="27"/>
          <w:rtl/>
        </w:rPr>
        <w:t>.</w:t>
      </w:r>
      <w:r w:rsidRPr="006571AC">
        <w:rPr>
          <w:rFonts w:ascii="Arial" w:hAnsi="Arial" w:hint="cs"/>
          <w:sz w:val="27"/>
          <w:rtl/>
        </w:rPr>
        <w:t xml:space="preserve"> وهذا الفارق الجوهري هو فارق</w:t>
      </w:r>
      <w:r w:rsidR="005B561D" w:rsidRPr="006571AC">
        <w:rPr>
          <w:rFonts w:ascii="Arial" w:hAnsi="Arial" w:hint="cs"/>
          <w:sz w:val="27"/>
          <w:rtl/>
        </w:rPr>
        <w:t>ٌ</w:t>
      </w:r>
      <w:r w:rsidRPr="006571AC">
        <w:rPr>
          <w:rFonts w:ascii="Arial" w:hAnsi="Arial" w:hint="cs"/>
          <w:sz w:val="27"/>
          <w:rtl/>
        </w:rPr>
        <w:t xml:space="preserve"> ظهر بشكل</w:t>
      </w:r>
      <w:r w:rsidR="005B561D" w:rsidRPr="006571AC">
        <w:rPr>
          <w:rFonts w:ascii="Arial" w:hAnsi="Arial" w:hint="cs"/>
          <w:sz w:val="27"/>
          <w:rtl/>
        </w:rPr>
        <w:t>ٍ</w:t>
      </w:r>
      <w:r w:rsidRPr="006571AC">
        <w:rPr>
          <w:rFonts w:ascii="Arial" w:hAnsi="Arial" w:hint="cs"/>
          <w:sz w:val="27"/>
          <w:rtl/>
        </w:rPr>
        <w:t xml:space="preserve"> جلي</w:t>
      </w:r>
      <w:r w:rsidR="005B561D" w:rsidRPr="006571AC">
        <w:rPr>
          <w:rFonts w:ascii="Arial" w:hAnsi="Arial" w:hint="cs"/>
          <w:sz w:val="27"/>
          <w:rtl/>
        </w:rPr>
        <w:t>ّ</w:t>
      </w:r>
      <w:r w:rsidRPr="006571AC">
        <w:rPr>
          <w:rFonts w:ascii="Arial" w:hAnsi="Arial" w:hint="cs"/>
          <w:sz w:val="27"/>
          <w:rtl/>
        </w:rPr>
        <w:t xml:space="preserve"> في أزمة الوباء العالمي </w:t>
      </w:r>
      <w:r w:rsidRPr="006571AC">
        <w:rPr>
          <w:rFonts w:hint="eastAsia"/>
          <w:sz w:val="24"/>
          <w:szCs w:val="24"/>
          <w:rtl/>
        </w:rPr>
        <w:t>«</w:t>
      </w:r>
      <w:r w:rsidRPr="006571AC">
        <w:rPr>
          <w:rFonts w:asciiTheme="majorBidi" w:hAnsiTheme="majorBidi" w:cstheme="majorBidi"/>
          <w:sz w:val="22"/>
          <w:szCs w:val="22"/>
          <w:lang w:val="en-GB"/>
        </w:rPr>
        <w:t>COVID</w:t>
      </w:r>
      <w:r w:rsidR="005B561D" w:rsidRPr="006571AC">
        <w:rPr>
          <w:rFonts w:asciiTheme="majorBidi" w:hAnsiTheme="majorBidi" w:cstheme="majorBidi"/>
          <w:sz w:val="22"/>
          <w:szCs w:val="22"/>
          <w:lang w:val="en-GB"/>
        </w:rPr>
        <w:t>19</w:t>
      </w:r>
      <w:r w:rsidRPr="006571AC">
        <w:rPr>
          <w:rFonts w:hint="eastAsia"/>
          <w:sz w:val="24"/>
          <w:szCs w:val="24"/>
          <w:rtl/>
        </w:rPr>
        <w:t>»</w:t>
      </w:r>
      <w:r w:rsidRPr="006571AC">
        <w:rPr>
          <w:rFonts w:ascii="Arial" w:hAnsi="Arial" w:hint="cs"/>
          <w:sz w:val="27"/>
          <w:rtl/>
          <w:lang w:val="en-GB"/>
        </w:rPr>
        <w:t>، الذي تجل</w:t>
      </w:r>
      <w:r w:rsidR="005B561D" w:rsidRPr="006571AC">
        <w:rPr>
          <w:rFonts w:ascii="Arial" w:hAnsi="Arial" w:hint="cs"/>
          <w:sz w:val="27"/>
          <w:rtl/>
          <w:lang w:val="en-GB"/>
        </w:rPr>
        <w:t>َّ</w:t>
      </w:r>
      <w:r w:rsidRPr="006571AC">
        <w:rPr>
          <w:rFonts w:ascii="Arial" w:hAnsi="Arial" w:hint="cs"/>
          <w:sz w:val="27"/>
          <w:rtl/>
          <w:lang w:val="en-GB"/>
        </w:rPr>
        <w:t>ت خلاله نظرية نسبية الأخلاق في العالم الغربي، والتي شك</w:t>
      </w:r>
      <w:r w:rsidR="00007234" w:rsidRPr="006571AC">
        <w:rPr>
          <w:rFonts w:ascii="Arial" w:hAnsi="Arial" w:hint="cs"/>
          <w:sz w:val="27"/>
          <w:rtl/>
          <w:lang w:val="en-GB"/>
        </w:rPr>
        <w:t>ّ</w:t>
      </w:r>
      <w:r w:rsidRPr="006571AC">
        <w:rPr>
          <w:rFonts w:ascii="Arial" w:hAnsi="Arial" w:hint="cs"/>
          <w:sz w:val="27"/>
          <w:rtl/>
          <w:lang w:val="en-GB"/>
        </w:rPr>
        <w:t>لت لديهم مأزقا</w:t>
      </w:r>
      <w:r w:rsidR="00007234" w:rsidRPr="006571AC">
        <w:rPr>
          <w:rFonts w:ascii="Arial" w:hAnsi="Arial" w:hint="cs"/>
          <w:sz w:val="27"/>
          <w:rtl/>
          <w:lang w:val="en-GB"/>
        </w:rPr>
        <w:t>ً</w:t>
      </w:r>
      <w:r w:rsidRPr="006571AC">
        <w:rPr>
          <w:rFonts w:ascii="Arial" w:hAnsi="Arial" w:hint="cs"/>
          <w:sz w:val="27"/>
          <w:rtl/>
          <w:lang w:val="en-GB"/>
        </w:rPr>
        <w:t xml:space="preserve"> حقيقيا</w:t>
      </w:r>
      <w:r w:rsidR="00007234" w:rsidRPr="006571AC">
        <w:rPr>
          <w:rFonts w:ascii="Arial" w:hAnsi="Arial" w:hint="cs"/>
          <w:sz w:val="27"/>
          <w:rtl/>
          <w:lang w:val="en-GB"/>
        </w:rPr>
        <w:t>ً</w:t>
      </w:r>
      <w:r w:rsidRPr="006571AC">
        <w:rPr>
          <w:rFonts w:ascii="Arial" w:hAnsi="Arial" w:hint="cs"/>
          <w:sz w:val="27"/>
          <w:rtl/>
          <w:lang w:val="en-GB"/>
        </w:rPr>
        <w:t xml:space="preserve"> أخلاقيا</w:t>
      </w:r>
      <w:r w:rsidR="00007234" w:rsidRPr="006571AC">
        <w:rPr>
          <w:rFonts w:ascii="Arial" w:hAnsi="Arial" w:hint="cs"/>
          <w:sz w:val="27"/>
          <w:rtl/>
          <w:lang w:val="en-GB"/>
        </w:rPr>
        <w:t>ً</w:t>
      </w:r>
      <w:r w:rsidRPr="006571AC">
        <w:rPr>
          <w:rFonts w:ascii="Arial" w:hAnsi="Arial" w:hint="cs"/>
          <w:sz w:val="27"/>
          <w:rtl/>
          <w:lang w:val="en-GB"/>
        </w:rPr>
        <w:t>، كشف الخ</w:t>
      </w:r>
      <w:r w:rsidR="00007234" w:rsidRPr="006571AC">
        <w:rPr>
          <w:rFonts w:ascii="Arial" w:hAnsi="Arial" w:hint="cs"/>
          <w:sz w:val="27"/>
          <w:rtl/>
          <w:lang w:val="en-GB"/>
        </w:rPr>
        <w:t>َ</w:t>
      </w:r>
      <w:r w:rsidRPr="006571AC">
        <w:rPr>
          <w:rFonts w:ascii="Arial" w:hAnsi="Arial" w:hint="cs"/>
          <w:sz w:val="27"/>
          <w:rtl/>
          <w:lang w:val="en-GB"/>
        </w:rPr>
        <w:t>ل</w:t>
      </w:r>
      <w:r w:rsidR="00007234" w:rsidRPr="006571AC">
        <w:rPr>
          <w:rFonts w:ascii="Arial" w:hAnsi="Arial" w:hint="cs"/>
          <w:sz w:val="27"/>
          <w:rtl/>
          <w:lang w:val="en-GB"/>
        </w:rPr>
        <w:t>َ</w:t>
      </w:r>
      <w:r w:rsidRPr="006571AC">
        <w:rPr>
          <w:rFonts w:ascii="Arial" w:hAnsi="Arial" w:hint="cs"/>
          <w:sz w:val="27"/>
          <w:rtl/>
          <w:lang w:val="en-GB"/>
        </w:rPr>
        <w:t>ل المعرفي المصدري والمعياري في تشخيص الضوابط الق</w:t>
      </w:r>
      <w:r w:rsidR="00007234" w:rsidRPr="006571AC">
        <w:rPr>
          <w:rFonts w:ascii="Arial" w:hAnsi="Arial" w:hint="cs"/>
          <w:sz w:val="27"/>
          <w:rtl/>
          <w:lang w:val="en-GB"/>
        </w:rPr>
        <w:t>ِ</w:t>
      </w:r>
      <w:r w:rsidRPr="006571AC">
        <w:rPr>
          <w:rFonts w:ascii="Arial" w:hAnsi="Arial" w:hint="cs"/>
          <w:sz w:val="27"/>
          <w:rtl/>
          <w:lang w:val="en-GB"/>
        </w:rPr>
        <w:t>ي</w:t>
      </w:r>
      <w:r w:rsidR="00007234" w:rsidRPr="006571AC">
        <w:rPr>
          <w:rFonts w:ascii="Arial" w:hAnsi="Arial" w:hint="cs"/>
          <w:sz w:val="27"/>
          <w:rtl/>
          <w:lang w:val="en-GB"/>
        </w:rPr>
        <w:t>َ</w:t>
      </w:r>
      <w:r w:rsidRPr="006571AC">
        <w:rPr>
          <w:rFonts w:ascii="Arial" w:hAnsi="Arial" w:hint="cs"/>
          <w:sz w:val="27"/>
          <w:rtl/>
          <w:lang w:val="en-GB"/>
        </w:rPr>
        <w:t xml:space="preserve">مية والأخلاقية والمعيارية.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وخلال هذ</w:t>
      </w:r>
      <w:r w:rsidR="00B7524F" w:rsidRPr="006571AC">
        <w:rPr>
          <w:rFonts w:ascii="Arial" w:hAnsi="Arial" w:hint="cs"/>
          <w:sz w:val="27"/>
          <w:rtl/>
          <w:lang w:val="en-GB"/>
        </w:rPr>
        <w:t xml:space="preserve">ا البحث </w:t>
      </w:r>
      <w:r w:rsidRPr="006571AC">
        <w:rPr>
          <w:rFonts w:ascii="Arial" w:hAnsi="Arial" w:hint="cs"/>
          <w:sz w:val="27"/>
          <w:rtl/>
          <w:lang w:val="en-GB"/>
        </w:rPr>
        <w:t>سنتناول</w:t>
      </w:r>
      <w:r w:rsidR="00007234" w:rsidRPr="006571AC">
        <w:rPr>
          <w:rFonts w:ascii="Arial" w:hAnsi="Arial" w:hint="cs"/>
          <w:sz w:val="27"/>
          <w:rtl/>
          <w:lang w:val="en-GB"/>
        </w:rPr>
        <w:t>،</w:t>
      </w:r>
      <w:r w:rsidRPr="006571AC">
        <w:rPr>
          <w:rFonts w:ascii="Arial" w:hAnsi="Arial" w:hint="cs"/>
          <w:sz w:val="27"/>
          <w:rtl/>
          <w:lang w:val="en-GB"/>
        </w:rPr>
        <w:t xml:space="preserve"> بقدر</w:t>
      </w:r>
      <w:r w:rsidR="00007234" w:rsidRPr="006571AC">
        <w:rPr>
          <w:rFonts w:ascii="Arial" w:hAnsi="Arial" w:hint="cs"/>
          <w:sz w:val="27"/>
          <w:rtl/>
          <w:lang w:val="en-GB"/>
        </w:rPr>
        <w:t>ٍ</w:t>
      </w:r>
      <w:r w:rsidRPr="006571AC">
        <w:rPr>
          <w:rFonts w:ascii="Arial" w:hAnsi="Arial" w:hint="cs"/>
          <w:sz w:val="27"/>
          <w:rtl/>
          <w:lang w:val="en-GB"/>
        </w:rPr>
        <w:t xml:space="preserve"> من الإمكان، رؤية الشهيد مطه</w:t>
      </w:r>
      <w:r w:rsidR="00007234" w:rsidRPr="006571AC">
        <w:rPr>
          <w:rFonts w:ascii="Arial" w:hAnsi="Arial" w:hint="cs"/>
          <w:sz w:val="27"/>
          <w:rtl/>
          <w:lang w:val="en-GB"/>
        </w:rPr>
        <w:t>َّ</w:t>
      </w:r>
      <w:r w:rsidRPr="006571AC">
        <w:rPr>
          <w:rFonts w:ascii="Arial" w:hAnsi="Arial" w:hint="cs"/>
          <w:sz w:val="27"/>
          <w:rtl/>
          <w:lang w:val="en-GB"/>
        </w:rPr>
        <w:t>ري وفلسفته الأخلاقية حول الذات والألم والسعادة، والتي تنطلق من تأسيسه الفلسفي في المفهوم التوحيدي للعالم، وتعتبر مصداق</w:t>
      </w:r>
      <w:r w:rsidR="00007234" w:rsidRPr="006571AC">
        <w:rPr>
          <w:rFonts w:ascii="Arial" w:hAnsi="Arial" w:hint="cs"/>
          <w:sz w:val="27"/>
          <w:rtl/>
          <w:lang w:val="en-GB"/>
        </w:rPr>
        <w:t>اً</w:t>
      </w:r>
      <w:r w:rsidRPr="006571AC">
        <w:rPr>
          <w:rFonts w:ascii="Arial" w:hAnsi="Arial" w:hint="cs"/>
          <w:sz w:val="27"/>
          <w:rtl/>
          <w:lang w:val="en-GB"/>
        </w:rPr>
        <w:t xml:space="preserve"> جلي</w:t>
      </w:r>
      <w:r w:rsidR="00007234" w:rsidRPr="006571AC">
        <w:rPr>
          <w:rFonts w:ascii="Arial" w:hAnsi="Arial" w:hint="cs"/>
          <w:sz w:val="27"/>
          <w:rtl/>
          <w:lang w:val="en-GB"/>
        </w:rPr>
        <w:t>ّاً</w:t>
      </w:r>
      <w:r w:rsidRPr="006571AC">
        <w:rPr>
          <w:rFonts w:ascii="Arial" w:hAnsi="Arial" w:hint="cs"/>
          <w:sz w:val="27"/>
          <w:rtl/>
          <w:lang w:val="en-GB"/>
        </w:rPr>
        <w:t xml:space="preserve"> من مصاديق هذه الرؤية</w:t>
      </w:r>
      <w:r w:rsidR="00007234" w:rsidRPr="006571AC">
        <w:rPr>
          <w:rFonts w:ascii="Arial" w:hAnsi="Arial" w:hint="cs"/>
          <w:sz w:val="27"/>
          <w:rtl/>
          <w:lang w:val="en-GB"/>
        </w:rPr>
        <w:t>؛</w:t>
      </w:r>
      <w:r w:rsidRPr="006571AC">
        <w:rPr>
          <w:rFonts w:ascii="Arial" w:hAnsi="Arial" w:hint="cs"/>
          <w:sz w:val="27"/>
          <w:rtl/>
          <w:lang w:val="en-GB"/>
        </w:rPr>
        <w:t xml:space="preserve"> إذ يمكن أن تنطبق عليها ضوابط التصو</w:t>
      </w:r>
      <w:r w:rsidR="00007234" w:rsidRPr="006571AC">
        <w:rPr>
          <w:rFonts w:ascii="Arial" w:hAnsi="Arial" w:hint="cs"/>
          <w:sz w:val="27"/>
          <w:rtl/>
          <w:lang w:val="en-GB"/>
        </w:rPr>
        <w:t>ُّ</w:t>
      </w:r>
      <w:r w:rsidRPr="006571AC">
        <w:rPr>
          <w:rFonts w:ascii="Arial" w:hAnsi="Arial" w:hint="cs"/>
          <w:sz w:val="27"/>
          <w:rtl/>
          <w:lang w:val="en-GB"/>
        </w:rPr>
        <w:t>ر الذي انطلق منها الشهيد مطه</w:t>
      </w:r>
      <w:r w:rsidR="00007234" w:rsidRPr="006571AC">
        <w:rPr>
          <w:rFonts w:ascii="Arial" w:hAnsi="Arial" w:hint="cs"/>
          <w:sz w:val="27"/>
          <w:rtl/>
          <w:lang w:val="en-GB"/>
        </w:rPr>
        <w:t>َّ</w:t>
      </w:r>
      <w:r w:rsidRPr="006571AC">
        <w:rPr>
          <w:rFonts w:ascii="Arial" w:hAnsi="Arial" w:hint="cs"/>
          <w:sz w:val="27"/>
          <w:rtl/>
          <w:lang w:val="en-GB"/>
        </w:rPr>
        <w:t>ري في مفهومه التوحيدي للعالم</w:t>
      </w:r>
      <w:r w:rsidR="00007234" w:rsidRPr="006571AC">
        <w:rPr>
          <w:rFonts w:ascii="Arial" w:hAnsi="Arial" w:hint="cs"/>
          <w:sz w:val="27"/>
          <w:rtl/>
          <w:lang w:val="en-GB"/>
        </w:rPr>
        <w:t>؛</w:t>
      </w:r>
      <w:r w:rsidRPr="006571AC">
        <w:rPr>
          <w:rFonts w:ascii="Arial" w:hAnsi="Arial" w:hint="cs"/>
          <w:sz w:val="27"/>
          <w:rtl/>
          <w:lang w:val="en-GB"/>
        </w:rPr>
        <w:t xml:space="preserve"> لأن كثيرا</w:t>
      </w:r>
      <w:r w:rsidR="00007234" w:rsidRPr="006571AC">
        <w:rPr>
          <w:rFonts w:ascii="Arial" w:hAnsi="Arial" w:hint="cs"/>
          <w:sz w:val="27"/>
          <w:rtl/>
          <w:lang w:val="en-GB"/>
        </w:rPr>
        <w:t>ً</w:t>
      </w:r>
      <w:r w:rsidRPr="006571AC">
        <w:rPr>
          <w:rFonts w:ascii="Arial" w:hAnsi="Arial" w:hint="cs"/>
          <w:sz w:val="27"/>
          <w:rtl/>
          <w:lang w:val="en-GB"/>
        </w:rPr>
        <w:t xml:space="preserve"> من المدارس الفلسفية الأخلاقية كانت ترى أن الإنسان العاقل لا يتلف عمره في البحث عن الفعل الأخلاقي، ف</w:t>
      </w:r>
      <w:r w:rsidR="00007234" w:rsidRPr="006571AC">
        <w:rPr>
          <w:rFonts w:ascii="Arial" w:hAnsi="Arial" w:hint="cs"/>
          <w:sz w:val="27"/>
          <w:rtl/>
          <w:lang w:val="en-GB"/>
        </w:rPr>
        <w:t>ث</w:t>
      </w:r>
      <w:r w:rsidRPr="006571AC">
        <w:rPr>
          <w:rFonts w:ascii="Arial" w:hAnsi="Arial" w:hint="cs"/>
          <w:sz w:val="27"/>
          <w:rtl/>
          <w:lang w:val="en-GB"/>
        </w:rPr>
        <w:t>م</w:t>
      </w:r>
      <w:r w:rsidR="00007234" w:rsidRPr="006571AC">
        <w:rPr>
          <w:rFonts w:ascii="Arial" w:hAnsi="Arial" w:hint="cs"/>
          <w:sz w:val="27"/>
          <w:rtl/>
          <w:lang w:val="en-GB"/>
        </w:rPr>
        <w:t>ّ</w:t>
      </w:r>
      <w:r w:rsidRPr="006571AC">
        <w:rPr>
          <w:rFonts w:ascii="Arial" w:hAnsi="Arial" w:hint="cs"/>
          <w:sz w:val="27"/>
          <w:rtl/>
          <w:lang w:val="en-GB"/>
        </w:rPr>
        <w:t xml:space="preserve"> سذاجة متناهية، وإنما هو يحرص على اللذات والمصالح وأنواع السعادة، ويؤك</w:t>
      </w:r>
      <w:r w:rsidR="00007234" w:rsidRPr="006571AC">
        <w:rPr>
          <w:rFonts w:ascii="Arial" w:hAnsi="Arial" w:hint="cs"/>
          <w:sz w:val="27"/>
          <w:rtl/>
          <w:lang w:val="en-GB"/>
        </w:rPr>
        <w:t>ِّ</w:t>
      </w:r>
      <w:r w:rsidRPr="006571AC">
        <w:rPr>
          <w:rFonts w:ascii="Arial" w:hAnsi="Arial" w:hint="cs"/>
          <w:sz w:val="27"/>
          <w:rtl/>
          <w:lang w:val="en-GB"/>
        </w:rPr>
        <w:t xml:space="preserve">د على أنه لا يوجد في العالم سوى اللذة والمنفعة والسعادة.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ونحن هنا لا ند</w:t>
      </w:r>
      <w:r w:rsidR="00007234" w:rsidRPr="006571AC">
        <w:rPr>
          <w:rFonts w:ascii="Arial" w:hAnsi="Arial" w:hint="cs"/>
          <w:sz w:val="27"/>
          <w:rtl/>
          <w:lang w:val="en-GB"/>
        </w:rPr>
        <w:t>َّ</w:t>
      </w:r>
      <w:r w:rsidRPr="006571AC">
        <w:rPr>
          <w:rFonts w:ascii="Arial" w:hAnsi="Arial" w:hint="cs"/>
          <w:sz w:val="27"/>
          <w:rtl/>
          <w:lang w:val="en-GB"/>
        </w:rPr>
        <w:t>عي أنها قراءات</w:t>
      </w:r>
      <w:r w:rsidR="00007234" w:rsidRPr="006571AC">
        <w:rPr>
          <w:rFonts w:ascii="Arial" w:hAnsi="Arial" w:hint="cs"/>
          <w:sz w:val="27"/>
          <w:rtl/>
          <w:lang w:val="en-GB"/>
        </w:rPr>
        <w:t>ٌ</w:t>
      </w:r>
      <w:r w:rsidRPr="006571AC">
        <w:rPr>
          <w:rFonts w:ascii="Arial" w:hAnsi="Arial" w:hint="cs"/>
          <w:sz w:val="27"/>
          <w:rtl/>
          <w:lang w:val="en-GB"/>
        </w:rPr>
        <w:t xml:space="preserve"> ح</w:t>
      </w:r>
      <w:r w:rsidR="007238FE" w:rsidRPr="006571AC">
        <w:rPr>
          <w:rFonts w:ascii="Arial" w:hAnsi="Arial" w:hint="cs"/>
          <w:sz w:val="27"/>
          <w:rtl/>
          <w:lang w:val="en-GB"/>
        </w:rPr>
        <w:t>َ</w:t>
      </w:r>
      <w:r w:rsidRPr="006571AC">
        <w:rPr>
          <w:rFonts w:ascii="Arial" w:hAnsi="Arial" w:hint="cs"/>
          <w:sz w:val="27"/>
          <w:rtl/>
          <w:lang w:val="en-GB"/>
        </w:rPr>
        <w:t>ت</w:t>
      </w:r>
      <w:r w:rsidR="007238FE" w:rsidRPr="006571AC">
        <w:rPr>
          <w:rFonts w:ascii="Arial" w:hAnsi="Arial" w:hint="cs"/>
          <w:sz w:val="27"/>
          <w:rtl/>
          <w:lang w:val="en-GB"/>
        </w:rPr>
        <w:t>ْ</w:t>
      </w:r>
      <w:r w:rsidRPr="006571AC">
        <w:rPr>
          <w:rFonts w:ascii="Arial" w:hAnsi="Arial" w:hint="cs"/>
          <w:sz w:val="27"/>
          <w:rtl/>
          <w:lang w:val="en-GB"/>
        </w:rPr>
        <w:t>مية نهائية</w:t>
      </w:r>
      <w:r w:rsidR="00007234" w:rsidRPr="006571AC">
        <w:rPr>
          <w:rFonts w:ascii="Arial" w:hAnsi="Arial" w:hint="cs"/>
          <w:sz w:val="27"/>
          <w:rtl/>
          <w:lang w:val="en-GB"/>
        </w:rPr>
        <w:t>؛</w:t>
      </w:r>
      <w:r w:rsidRPr="006571AC">
        <w:rPr>
          <w:rFonts w:ascii="Arial" w:hAnsi="Arial" w:hint="cs"/>
          <w:sz w:val="27"/>
          <w:rtl/>
          <w:lang w:val="en-GB"/>
        </w:rPr>
        <w:t xml:space="preserve"> لأنه إلى الآن ومنذ آلاف السنين المتصر</w:t>
      </w:r>
      <w:r w:rsidR="00007234" w:rsidRPr="006571AC">
        <w:rPr>
          <w:rFonts w:ascii="Arial" w:hAnsi="Arial" w:hint="cs"/>
          <w:sz w:val="27"/>
          <w:rtl/>
          <w:lang w:val="en-GB"/>
        </w:rPr>
        <w:t>ِّ</w:t>
      </w:r>
      <w:r w:rsidRPr="006571AC">
        <w:rPr>
          <w:rFonts w:ascii="Arial" w:hAnsi="Arial" w:hint="cs"/>
          <w:sz w:val="27"/>
          <w:rtl/>
          <w:lang w:val="en-GB"/>
        </w:rPr>
        <w:t>مة، لم تت</w:t>
      </w:r>
      <w:r w:rsidR="00007234" w:rsidRPr="006571AC">
        <w:rPr>
          <w:rFonts w:ascii="Arial" w:hAnsi="Arial" w:hint="cs"/>
          <w:sz w:val="27"/>
          <w:rtl/>
          <w:lang w:val="en-GB"/>
        </w:rPr>
        <w:t>َّ</w:t>
      </w:r>
      <w:r w:rsidRPr="006571AC">
        <w:rPr>
          <w:rFonts w:ascii="Arial" w:hAnsi="Arial" w:hint="cs"/>
          <w:sz w:val="27"/>
          <w:rtl/>
          <w:lang w:val="en-GB"/>
        </w:rPr>
        <w:t>فق آراء فلاسفة العالم على تشخيص ماهية الفعل الأخلاقي، وع</w:t>
      </w:r>
      <w:r w:rsidR="00007234" w:rsidRPr="006571AC">
        <w:rPr>
          <w:rFonts w:ascii="Arial" w:hAnsi="Arial" w:hint="cs"/>
          <w:sz w:val="27"/>
          <w:rtl/>
          <w:lang w:val="en-GB"/>
        </w:rPr>
        <w:t>لى</w:t>
      </w:r>
      <w:r w:rsidRPr="006571AC">
        <w:rPr>
          <w:rFonts w:ascii="Arial" w:hAnsi="Arial" w:hint="cs"/>
          <w:sz w:val="27"/>
          <w:rtl/>
          <w:lang w:val="en-GB"/>
        </w:rPr>
        <w:t xml:space="preserve"> كون الفعل الفلاني فعلا</w:t>
      </w:r>
      <w:r w:rsidR="00007234" w:rsidRPr="006571AC">
        <w:rPr>
          <w:rFonts w:ascii="Arial" w:hAnsi="Arial" w:hint="cs"/>
          <w:sz w:val="27"/>
          <w:rtl/>
          <w:lang w:val="en-GB"/>
        </w:rPr>
        <w:t>ً</w:t>
      </w:r>
      <w:r w:rsidRPr="006571AC">
        <w:rPr>
          <w:rFonts w:ascii="Arial" w:hAnsi="Arial" w:hint="cs"/>
          <w:sz w:val="27"/>
          <w:rtl/>
          <w:lang w:val="en-GB"/>
        </w:rPr>
        <w:t xml:space="preserve"> أخلاقيا</w:t>
      </w:r>
      <w:r w:rsidR="00007234" w:rsidRPr="006571AC">
        <w:rPr>
          <w:rFonts w:ascii="Arial" w:hAnsi="Arial" w:hint="cs"/>
          <w:sz w:val="27"/>
          <w:rtl/>
          <w:lang w:val="en-GB"/>
        </w:rPr>
        <w:t>ً</w:t>
      </w:r>
      <w:r w:rsidRPr="006571AC">
        <w:rPr>
          <w:rFonts w:ascii="Arial" w:hAnsi="Arial" w:hint="cs"/>
          <w:sz w:val="27"/>
          <w:rtl/>
          <w:lang w:val="en-GB"/>
        </w:rPr>
        <w:t xml:space="preserve"> أو لا، واختلفت المدارس اختلافا</w:t>
      </w:r>
      <w:r w:rsidR="00007234" w:rsidRPr="006571AC">
        <w:rPr>
          <w:rFonts w:ascii="Arial" w:hAnsi="Arial" w:hint="cs"/>
          <w:sz w:val="27"/>
          <w:rtl/>
          <w:lang w:val="en-GB"/>
        </w:rPr>
        <w:t>ً</w:t>
      </w:r>
      <w:r w:rsidRPr="006571AC">
        <w:rPr>
          <w:rFonts w:ascii="Arial" w:hAnsi="Arial" w:hint="cs"/>
          <w:sz w:val="27"/>
          <w:rtl/>
          <w:lang w:val="en-GB"/>
        </w:rPr>
        <w:t xml:space="preserve"> كبيرا</w:t>
      </w:r>
      <w:r w:rsidR="00007234" w:rsidRPr="006571AC">
        <w:rPr>
          <w:rFonts w:ascii="Arial" w:hAnsi="Arial" w:hint="cs"/>
          <w:sz w:val="27"/>
          <w:rtl/>
          <w:lang w:val="en-GB"/>
        </w:rPr>
        <w:t>ً</w:t>
      </w:r>
      <w:r w:rsidRPr="006571AC">
        <w:rPr>
          <w:rFonts w:ascii="Arial" w:hAnsi="Arial" w:hint="cs"/>
          <w:sz w:val="27"/>
          <w:rtl/>
          <w:lang w:val="en-GB"/>
        </w:rPr>
        <w:t xml:space="preserve">، أغلبه قائم على مصدرية تشخيص معيار تحديد الفعل الأخلاقي من عدمه. </w:t>
      </w:r>
    </w:p>
    <w:p w:rsidR="00895BEB" w:rsidRPr="006571AC" w:rsidRDefault="00895BEB" w:rsidP="00895BEB">
      <w:pPr>
        <w:spacing w:line="420" w:lineRule="exact"/>
        <w:rPr>
          <w:rFonts w:ascii="Arabic Typesetting" w:hAnsi="Arabic Typesetting"/>
          <w:sz w:val="27"/>
          <w:rtl/>
          <w:lang w:bidi="ar-LB"/>
        </w:rPr>
      </w:pPr>
    </w:p>
    <w:p w:rsidR="0001386F" w:rsidRPr="006571AC" w:rsidRDefault="0001386F" w:rsidP="000B6711">
      <w:pPr>
        <w:pStyle w:val="31"/>
        <w:rPr>
          <w:color w:val="auto"/>
          <w:rtl/>
          <w:lang w:val="en-GB"/>
        </w:rPr>
      </w:pPr>
      <w:bookmarkStart w:id="415" w:name="_Toc114164823"/>
      <w:r w:rsidRPr="006571AC">
        <w:rPr>
          <w:rFonts w:hint="cs"/>
          <w:color w:val="auto"/>
          <w:rtl/>
          <w:lang w:val="en-GB"/>
        </w:rPr>
        <w:t>ثبات الأخلاق</w:t>
      </w:r>
      <w:bookmarkEnd w:id="415"/>
      <w:r w:rsidRPr="006571AC">
        <w:rPr>
          <w:rFonts w:hint="cs"/>
          <w:color w:val="auto"/>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يمكن بيان الخلود في الأخلاق</w:t>
      </w:r>
      <w:r w:rsidR="00007234" w:rsidRPr="006571AC">
        <w:rPr>
          <w:rFonts w:ascii="Arial" w:hAnsi="Arial" w:hint="cs"/>
          <w:sz w:val="27"/>
          <w:rtl/>
          <w:lang w:val="en-GB"/>
        </w:rPr>
        <w:t>،</w:t>
      </w:r>
      <w:r w:rsidRPr="006571AC">
        <w:rPr>
          <w:rFonts w:ascii="Arial" w:hAnsi="Arial" w:hint="cs"/>
          <w:sz w:val="27"/>
          <w:rtl/>
          <w:lang w:val="en-GB"/>
        </w:rPr>
        <w:t xml:space="preserve"> التي نسم</w:t>
      </w:r>
      <w:r w:rsidR="00007234" w:rsidRPr="006571AC">
        <w:rPr>
          <w:rFonts w:ascii="Arial" w:hAnsi="Arial" w:hint="cs"/>
          <w:sz w:val="27"/>
          <w:rtl/>
          <w:lang w:val="en-GB"/>
        </w:rPr>
        <w:t>ّ</w:t>
      </w:r>
      <w:r w:rsidRPr="006571AC">
        <w:rPr>
          <w:rFonts w:ascii="Arial" w:hAnsi="Arial" w:hint="cs"/>
          <w:sz w:val="27"/>
          <w:rtl/>
          <w:lang w:val="en-GB"/>
        </w:rPr>
        <w:t>يها اصطلاحا</w:t>
      </w:r>
      <w:r w:rsidR="00007234" w:rsidRPr="006571AC">
        <w:rPr>
          <w:rFonts w:ascii="Arial" w:hAnsi="Arial" w:hint="cs"/>
          <w:sz w:val="27"/>
          <w:rtl/>
          <w:lang w:val="en-GB"/>
        </w:rPr>
        <w:t>ً</w:t>
      </w:r>
      <w:r w:rsidRPr="006571AC">
        <w:rPr>
          <w:rFonts w:ascii="Arial" w:hAnsi="Arial" w:hint="cs"/>
          <w:sz w:val="27"/>
          <w:rtl/>
          <w:lang w:val="en-GB"/>
        </w:rPr>
        <w:t xml:space="preserve"> </w:t>
      </w:r>
      <w:r w:rsidRPr="006571AC">
        <w:rPr>
          <w:rFonts w:hint="eastAsia"/>
          <w:sz w:val="24"/>
          <w:szCs w:val="24"/>
          <w:rtl/>
        </w:rPr>
        <w:t>«</w:t>
      </w:r>
      <w:r w:rsidRPr="006571AC">
        <w:rPr>
          <w:rFonts w:ascii="Arial" w:hAnsi="Arial" w:hint="cs"/>
          <w:sz w:val="27"/>
          <w:rtl/>
          <w:lang w:val="en-GB"/>
        </w:rPr>
        <w:t>الحقيقة</w:t>
      </w:r>
      <w:r w:rsidRPr="006571AC">
        <w:rPr>
          <w:rFonts w:hint="eastAsia"/>
          <w:sz w:val="24"/>
          <w:szCs w:val="24"/>
          <w:rtl/>
        </w:rPr>
        <w:t>»</w:t>
      </w:r>
      <w:r w:rsidR="00BE3EE7" w:rsidRPr="006571AC">
        <w:rPr>
          <w:rFonts w:ascii="Arial" w:hAnsi="Arial" w:hint="cs"/>
          <w:sz w:val="27"/>
          <w:rtl/>
          <w:lang w:val="en-GB"/>
        </w:rPr>
        <w:t>،</w:t>
      </w:r>
      <w:r w:rsidRPr="006571AC">
        <w:rPr>
          <w:rFonts w:ascii="Arial" w:hAnsi="Arial" w:hint="cs"/>
          <w:sz w:val="27"/>
          <w:rtl/>
          <w:lang w:val="en-GB"/>
        </w:rPr>
        <w:t xml:space="preserve"> بأن قولنا: </w:t>
      </w:r>
      <w:r w:rsidRPr="006571AC">
        <w:rPr>
          <w:rFonts w:ascii="Arial" w:hAnsi="Arial" w:hint="cs"/>
          <w:sz w:val="27"/>
          <w:rtl/>
          <w:lang w:val="en-GB"/>
        </w:rPr>
        <w:lastRenderedPageBreak/>
        <w:t>(هذه معاملة ح</w:t>
      </w:r>
      <w:r w:rsidR="00B7524F" w:rsidRPr="006571AC">
        <w:rPr>
          <w:rFonts w:ascii="Arial" w:hAnsi="Arial" w:hint="cs"/>
          <w:sz w:val="27"/>
          <w:rtl/>
          <w:lang w:val="en-GB"/>
        </w:rPr>
        <w:t>َ</w:t>
      </w:r>
      <w:r w:rsidRPr="006571AC">
        <w:rPr>
          <w:rFonts w:ascii="Arial" w:hAnsi="Arial" w:hint="cs"/>
          <w:sz w:val="27"/>
          <w:rtl/>
          <w:lang w:val="en-GB"/>
        </w:rPr>
        <w:t>س</w:t>
      </w:r>
      <w:r w:rsidR="00B7524F" w:rsidRPr="006571AC">
        <w:rPr>
          <w:rFonts w:ascii="Arial" w:hAnsi="Arial" w:hint="cs"/>
          <w:sz w:val="27"/>
          <w:rtl/>
          <w:lang w:val="en-GB"/>
        </w:rPr>
        <w:t>َ</w:t>
      </w:r>
      <w:r w:rsidRPr="006571AC">
        <w:rPr>
          <w:rFonts w:ascii="Arial" w:hAnsi="Arial" w:hint="cs"/>
          <w:sz w:val="27"/>
          <w:rtl/>
          <w:lang w:val="en-GB"/>
        </w:rPr>
        <w:t>نة) يعني أنها ح</w:t>
      </w:r>
      <w:r w:rsidR="00B7524F" w:rsidRPr="006571AC">
        <w:rPr>
          <w:rFonts w:ascii="Arial" w:hAnsi="Arial" w:hint="cs"/>
          <w:sz w:val="27"/>
          <w:rtl/>
          <w:lang w:val="en-GB"/>
        </w:rPr>
        <w:t>َ</w:t>
      </w:r>
      <w:r w:rsidRPr="006571AC">
        <w:rPr>
          <w:rFonts w:ascii="Arial" w:hAnsi="Arial" w:hint="cs"/>
          <w:sz w:val="27"/>
          <w:rtl/>
          <w:lang w:val="en-GB"/>
        </w:rPr>
        <w:t>س</w:t>
      </w:r>
      <w:r w:rsidR="00B7524F" w:rsidRPr="006571AC">
        <w:rPr>
          <w:rFonts w:ascii="Arial" w:hAnsi="Arial" w:hint="cs"/>
          <w:sz w:val="27"/>
          <w:rtl/>
          <w:lang w:val="en-GB"/>
        </w:rPr>
        <w:t>َ</w:t>
      </w:r>
      <w:r w:rsidRPr="006571AC">
        <w:rPr>
          <w:rFonts w:ascii="Arial" w:hAnsi="Arial" w:hint="cs"/>
          <w:sz w:val="27"/>
          <w:rtl/>
          <w:lang w:val="en-GB"/>
        </w:rPr>
        <w:t>نة في عينها، وهكذا لو و</w:t>
      </w:r>
      <w:r w:rsidR="00BE3EE7" w:rsidRPr="006571AC">
        <w:rPr>
          <w:rFonts w:ascii="Arial" w:hAnsi="Arial" w:hint="cs"/>
          <w:sz w:val="27"/>
          <w:rtl/>
          <w:lang w:val="en-GB"/>
        </w:rPr>
        <w:t>ُ</w:t>
      </w:r>
      <w:r w:rsidRPr="006571AC">
        <w:rPr>
          <w:rFonts w:ascii="Arial" w:hAnsi="Arial" w:hint="cs"/>
          <w:sz w:val="27"/>
          <w:rtl/>
          <w:lang w:val="en-GB"/>
        </w:rPr>
        <w:t>صفت بالق</w:t>
      </w:r>
      <w:r w:rsidR="00B7524F" w:rsidRPr="006571AC">
        <w:rPr>
          <w:rFonts w:ascii="Arial" w:hAnsi="Arial" w:hint="cs"/>
          <w:sz w:val="27"/>
          <w:rtl/>
          <w:lang w:val="en-GB"/>
        </w:rPr>
        <w:t>ُ</w:t>
      </w:r>
      <w:r w:rsidRPr="006571AC">
        <w:rPr>
          <w:rFonts w:ascii="Arial" w:hAnsi="Arial" w:hint="cs"/>
          <w:sz w:val="27"/>
          <w:rtl/>
          <w:lang w:val="en-GB"/>
        </w:rPr>
        <w:t>ب</w:t>
      </w:r>
      <w:r w:rsidR="00B7524F" w:rsidRPr="006571AC">
        <w:rPr>
          <w:rFonts w:ascii="Arial" w:hAnsi="Arial" w:hint="cs"/>
          <w:sz w:val="27"/>
          <w:rtl/>
          <w:lang w:val="en-GB"/>
        </w:rPr>
        <w:t>ْ</w:t>
      </w:r>
      <w:r w:rsidRPr="006571AC">
        <w:rPr>
          <w:rFonts w:ascii="Arial" w:hAnsi="Arial" w:hint="cs"/>
          <w:sz w:val="27"/>
          <w:rtl/>
          <w:lang w:val="en-GB"/>
        </w:rPr>
        <w:t xml:space="preserve">ح. أي </w:t>
      </w:r>
      <w:r w:rsidR="00BE3EE7" w:rsidRPr="006571AC">
        <w:rPr>
          <w:rFonts w:ascii="Arial" w:hAnsi="Arial" w:hint="cs"/>
          <w:sz w:val="27"/>
          <w:rtl/>
          <w:lang w:val="en-GB"/>
        </w:rPr>
        <w:t>إ</w:t>
      </w:r>
      <w:r w:rsidRPr="006571AC">
        <w:rPr>
          <w:rFonts w:ascii="Arial" w:hAnsi="Arial" w:hint="cs"/>
          <w:sz w:val="27"/>
          <w:rtl/>
          <w:lang w:val="en-GB"/>
        </w:rPr>
        <w:t>ن كل</w:t>
      </w:r>
      <w:r w:rsidR="00BE3EE7" w:rsidRPr="006571AC">
        <w:rPr>
          <w:rFonts w:ascii="Arial" w:hAnsi="Arial" w:hint="cs"/>
          <w:sz w:val="27"/>
          <w:rtl/>
          <w:lang w:val="en-GB"/>
        </w:rPr>
        <w:t>َّ</w:t>
      </w:r>
      <w:r w:rsidRPr="006571AC">
        <w:rPr>
          <w:rFonts w:ascii="Arial" w:hAnsi="Arial" w:hint="cs"/>
          <w:sz w:val="27"/>
          <w:rtl/>
          <w:lang w:val="en-GB"/>
        </w:rPr>
        <w:t xml:space="preserve"> فعل</w:t>
      </w:r>
      <w:r w:rsidR="00BE3EE7" w:rsidRPr="006571AC">
        <w:rPr>
          <w:rFonts w:ascii="Arial" w:hAnsi="Arial" w:hint="cs"/>
          <w:sz w:val="27"/>
          <w:rtl/>
          <w:lang w:val="en-GB"/>
        </w:rPr>
        <w:t>ٍ</w:t>
      </w:r>
      <w:r w:rsidRPr="006571AC">
        <w:rPr>
          <w:rFonts w:ascii="Arial" w:hAnsi="Arial" w:hint="cs"/>
          <w:sz w:val="27"/>
          <w:rtl/>
          <w:lang w:val="en-GB"/>
        </w:rPr>
        <w:t xml:space="preserve"> ح</w:t>
      </w:r>
      <w:r w:rsidR="00BE3EE7" w:rsidRPr="006571AC">
        <w:rPr>
          <w:rFonts w:ascii="Arial" w:hAnsi="Arial" w:hint="cs"/>
          <w:sz w:val="27"/>
          <w:rtl/>
          <w:lang w:val="en-GB"/>
        </w:rPr>
        <w:t>َ</w:t>
      </w:r>
      <w:r w:rsidRPr="006571AC">
        <w:rPr>
          <w:rFonts w:ascii="Arial" w:hAnsi="Arial" w:hint="cs"/>
          <w:sz w:val="27"/>
          <w:rtl/>
          <w:lang w:val="en-GB"/>
        </w:rPr>
        <w:t>س</w:t>
      </w:r>
      <w:r w:rsidR="00BE3EE7" w:rsidRPr="006571AC">
        <w:rPr>
          <w:rFonts w:ascii="Arial" w:hAnsi="Arial" w:hint="cs"/>
          <w:sz w:val="27"/>
          <w:rtl/>
          <w:lang w:val="en-GB"/>
        </w:rPr>
        <w:t>َ</w:t>
      </w:r>
      <w:r w:rsidRPr="006571AC">
        <w:rPr>
          <w:rFonts w:ascii="Arial" w:hAnsi="Arial" w:hint="cs"/>
          <w:sz w:val="27"/>
          <w:rtl/>
          <w:lang w:val="en-GB"/>
        </w:rPr>
        <w:t>ن</w:t>
      </w:r>
      <w:r w:rsidR="00BE3EE7" w:rsidRPr="006571AC">
        <w:rPr>
          <w:rFonts w:ascii="Arial" w:hAnsi="Arial" w:hint="cs"/>
          <w:sz w:val="27"/>
          <w:rtl/>
          <w:lang w:val="en-GB"/>
        </w:rPr>
        <w:t>ٌ</w:t>
      </w:r>
      <w:r w:rsidRPr="006571AC">
        <w:rPr>
          <w:rFonts w:ascii="Arial" w:hAnsi="Arial" w:hint="cs"/>
          <w:sz w:val="27"/>
          <w:rtl/>
          <w:lang w:val="en-GB"/>
        </w:rPr>
        <w:t xml:space="preserve"> في عينه</w:t>
      </w:r>
      <w:r w:rsidR="00BE3EE7" w:rsidRPr="006571AC">
        <w:rPr>
          <w:rFonts w:ascii="Arial" w:hAnsi="Arial" w:hint="cs"/>
          <w:sz w:val="27"/>
          <w:rtl/>
          <w:lang w:val="en-GB"/>
        </w:rPr>
        <w:t>،</w:t>
      </w:r>
      <w:r w:rsidRPr="006571AC">
        <w:rPr>
          <w:rFonts w:ascii="Arial" w:hAnsi="Arial" w:hint="cs"/>
          <w:sz w:val="27"/>
          <w:rtl/>
          <w:lang w:val="en-GB"/>
        </w:rPr>
        <w:t xml:space="preserve"> أو قبيح</w:t>
      </w:r>
      <w:r w:rsidR="00BE3EE7" w:rsidRPr="006571AC">
        <w:rPr>
          <w:rFonts w:ascii="Arial" w:hAnsi="Arial" w:hint="cs"/>
          <w:sz w:val="27"/>
          <w:rtl/>
          <w:lang w:val="en-GB"/>
        </w:rPr>
        <w:t>ٌ</w:t>
      </w:r>
      <w:r w:rsidRPr="006571AC">
        <w:rPr>
          <w:rFonts w:ascii="Arial" w:hAnsi="Arial" w:hint="cs"/>
          <w:sz w:val="27"/>
          <w:rtl/>
          <w:lang w:val="en-GB"/>
        </w:rPr>
        <w:t xml:space="preserve"> في عين</w:t>
      </w:r>
      <w:r w:rsidR="00B7524F" w:rsidRPr="006571AC">
        <w:rPr>
          <w:rFonts w:ascii="Arial" w:hAnsi="Arial" w:hint="cs"/>
          <w:sz w:val="27"/>
          <w:rtl/>
          <w:lang w:val="en-GB"/>
        </w:rPr>
        <w:t>ه، ويمكن القول بأن بعض الأفعال ليس</w:t>
      </w:r>
      <w:r w:rsidRPr="006571AC">
        <w:rPr>
          <w:rFonts w:ascii="Arial" w:hAnsi="Arial" w:hint="cs"/>
          <w:sz w:val="27"/>
          <w:rtl/>
          <w:lang w:val="en-GB"/>
        </w:rPr>
        <w:t xml:space="preserve"> ح</w:t>
      </w:r>
      <w:r w:rsidR="00BE3EE7" w:rsidRPr="006571AC">
        <w:rPr>
          <w:rFonts w:ascii="Arial" w:hAnsi="Arial" w:hint="cs"/>
          <w:sz w:val="27"/>
          <w:rtl/>
          <w:lang w:val="en-GB"/>
        </w:rPr>
        <w:t>َسَ</w:t>
      </w:r>
      <w:r w:rsidRPr="006571AC">
        <w:rPr>
          <w:rFonts w:ascii="Arial" w:hAnsi="Arial" w:hint="cs"/>
          <w:sz w:val="27"/>
          <w:rtl/>
          <w:lang w:val="en-GB"/>
        </w:rPr>
        <w:t>ن</w:t>
      </w:r>
      <w:r w:rsidR="00BE3EE7" w:rsidRPr="006571AC">
        <w:rPr>
          <w:rFonts w:ascii="Arial" w:hAnsi="Arial" w:hint="cs"/>
          <w:sz w:val="27"/>
          <w:rtl/>
          <w:lang w:val="en-GB"/>
        </w:rPr>
        <w:t>اً</w:t>
      </w:r>
      <w:r w:rsidRPr="006571AC">
        <w:rPr>
          <w:rFonts w:ascii="Arial" w:hAnsi="Arial" w:hint="cs"/>
          <w:sz w:val="27"/>
          <w:rtl/>
          <w:lang w:val="en-GB"/>
        </w:rPr>
        <w:t xml:space="preserve"> في عينه</w:t>
      </w:r>
      <w:r w:rsidR="00BE3EE7" w:rsidRPr="006571AC">
        <w:rPr>
          <w:rFonts w:ascii="Arial" w:hAnsi="Arial" w:hint="cs"/>
          <w:sz w:val="27"/>
          <w:rtl/>
          <w:lang w:val="en-GB"/>
        </w:rPr>
        <w:t>،</w:t>
      </w:r>
      <w:r w:rsidRPr="006571AC">
        <w:rPr>
          <w:rFonts w:ascii="Arial" w:hAnsi="Arial" w:hint="cs"/>
          <w:sz w:val="27"/>
          <w:rtl/>
          <w:lang w:val="en-GB"/>
        </w:rPr>
        <w:t xml:space="preserve"> ولا قبيح</w:t>
      </w:r>
      <w:r w:rsidR="00BE3EE7" w:rsidRPr="006571AC">
        <w:rPr>
          <w:rFonts w:ascii="Arial" w:hAnsi="Arial" w:hint="cs"/>
          <w:sz w:val="27"/>
          <w:rtl/>
          <w:lang w:val="en-GB"/>
        </w:rPr>
        <w:t>اً</w:t>
      </w:r>
      <w:r w:rsidRPr="006571AC">
        <w:rPr>
          <w:rFonts w:ascii="Arial" w:hAnsi="Arial" w:hint="cs"/>
          <w:sz w:val="27"/>
          <w:rtl/>
          <w:lang w:val="en-GB"/>
        </w:rPr>
        <w:t xml:space="preserve"> في عينه.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ومعنى ذلك أن الح</w:t>
      </w:r>
      <w:r w:rsidR="00B7524F" w:rsidRPr="006571AC">
        <w:rPr>
          <w:rFonts w:ascii="Arial" w:hAnsi="Arial" w:hint="cs"/>
          <w:sz w:val="27"/>
          <w:rtl/>
          <w:lang w:val="en-GB"/>
        </w:rPr>
        <w:t>ُ</w:t>
      </w:r>
      <w:r w:rsidRPr="006571AC">
        <w:rPr>
          <w:rFonts w:ascii="Arial" w:hAnsi="Arial" w:hint="cs"/>
          <w:sz w:val="27"/>
          <w:rtl/>
          <w:lang w:val="en-GB"/>
        </w:rPr>
        <w:t>س</w:t>
      </w:r>
      <w:r w:rsidR="00B7524F" w:rsidRPr="006571AC">
        <w:rPr>
          <w:rFonts w:ascii="Arial" w:hAnsi="Arial" w:hint="cs"/>
          <w:sz w:val="27"/>
          <w:rtl/>
          <w:lang w:val="en-GB"/>
        </w:rPr>
        <w:t>ْ</w:t>
      </w:r>
      <w:r w:rsidRPr="006571AC">
        <w:rPr>
          <w:rFonts w:ascii="Arial" w:hAnsi="Arial" w:hint="cs"/>
          <w:sz w:val="27"/>
          <w:rtl/>
          <w:lang w:val="en-GB"/>
        </w:rPr>
        <w:t>ن والق</w:t>
      </w:r>
      <w:r w:rsidR="00B7524F" w:rsidRPr="006571AC">
        <w:rPr>
          <w:rFonts w:ascii="Arial" w:hAnsi="Arial" w:hint="cs"/>
          <w:sz w:val="27"/>
          <w:rtl/>
          <w:lang w:val="en-GB"/>
        </w:rPr>
        <w:t>ُ</w:t>
      </w:r>
      <w:r w:rsidRPr="006571AC">
        <w:rPr>
          <w:rFonts w:ascii="Arial" w:hAnsi="Arial" w:hint="cs"/>
          <w:sz w:val="27"/>
          <w:rtl/>
          <w:lang w:val="en-GB"/>
        </w:rPr>
        <w:t>ب</w:t>
      </w:r>
      <w:r w:rsidR="00B7524F" w:rsidRPr="006571AC">
        <w:rPr>
          <w:rFonts w:ascii="Arial" w:hAnsi="Arial" w:hint="cs"/>
          <w:sz w:val="27"/>
          <w:rtl/>
          <w:lang w:val="en-GB"/>
        </w:rPr>
        <w:t>ْ</w:t>
      </w:r>
      <w:r w:rsidRPr="006571AC">
        <w:rPr>
          <w:rFonts w:ascii="Arial" w:hAnsi="Arial" w:hint="cs"/>
          <w:sz w:val="27"/>
          <w:rtl/>
          <w:lang w:val="en-GB"/>
        </w:rPr>
        <w:t>ح عيني</w:t>
      </w:r>
      <w:r w:rsidR="00BE3EE7" w:rsidRPr="006571AC">
        <w:rPr>
          <w:rFonts w:ascii="Arial" w:hAnsi="Arial" w:hint="cs"/>
          <w:sz w:val="27"/>
          <w:rtl/>
          <w:lang w:val="en-GB"/>
        </w:rPr>
        <w:t>ّ</w:t>
      </w:r>
      <w:r w:rsidRPr="006571AC">
        <w:rPr>
          <w:rFonts w:ascii="Arial" w:hAnsi="Arial" w:hint="cs"/>
          <w:sz w:val="27"/>
          <w:rtl/>
          <w:lang w:val="en-GB"/>
        </w:rPr>
        <w:t>ان، والصفة العينية لا تتخل</w:t>
      </w:r>
      <w:r w:rsidR="00BE3EE7" w:rsidRPr="006571AC">
        <w:rPr>
          <w:rFonts w:ascii="Arial" w:hAnsi="Arial" w:hint="cs"/>
          <w:sz w:val="27"/>
          <w:rtl/>
          <w:lang w:val="en-GB"/>
        </w:rPr>
        <w:t>َّ</w:t>
      </w:r>
      <w:r w:rsidRPr="006571AC">
        <w:rPr>
          <w:rFonts w:ascii="Arial" w:hAnsi="Arial" w:hint="cs"/>
          <w:sz w:val="27"/>
          <w:rtl/>
          <w:lang w:val="en-GB"/>
        </w:rPr>
        <w:t>ف ولا تختلف، وسيبقى الح</w:t>
      </w:r>
      <w:r w:rsidR="00BE3EE7" w:rsidRPr="006571AC">
        <w:rPr>
          <w:rFonts w:ascii="Arial" w:hAnsi="Arial" w:hint="cs"/>
          <w:sz w:val="27"/>
          <w:rtl/>
          <w:lang w:val="en-GB"/>
        </w:rPr>
        <w:t>َ</w:t>
      </w:r>
      <w:r w:rsidRPr="006571AC">
        <w:rPr>
          <w:rFonts w:ascii="Arial" w:hAnsi="Arial" w:hint="cs"/>
          <w:sz w:val="27"/>
          <w:rtl/>
          <w:lang w:val="en-GB"/>
        </w:rPr>
        <w:t>س</w:t>
      </w:r>
      <w:r w:rsidR="00BE3EE7" w:rsidRPr="006571AC">
        <w:rPr>
          <w:rFonts w:ascii="Arial" w:hAnsi="Arial" w:hint="cs"/>
          <w:sz w:val="27"/>
          <w:rtl/>
          <w:lang w:val="en-GB"/>
        </w:rPr>
        <w:t>َ</w:t>
      </w:r>
      <w:r w:rsidRPr="006571AC">
        <w:rPr>
          <w:rFonts w:ascii="Arial" w:hAnsi="Arial" w:hint="cs"/>
          <w:sz w:val="27"/>
          <w:rtl/>
          <w:lang w:val="en-GB"/>
        </w:rPr>
        <w:t>ن ح</w:t>
      </w:r>
      <w:r w:rsidR="00BE3EE7" w:rsidRPr="006571AC">
        <w:rPr>
          <w:rFonts w:ascii="Arial" w:hAnsi="Arial" w:hint="cs"/>
          <w:sz w:val="27"/>
          <w:rtl/>
          <w:lang w:val="en-GB"/>
        </w:rPr>
        <w:t>َ</w:t>
      </w:r>
      <w:r w:rsidRPr="006571AC">
        <w:rPr>
          <w:rFonts w:ascii="Arial" w:hAnsi="Arial" w:hint="cs"/>
          <w:sz w:val="27"/>
          <w:rtl/>
          <w:lang w:val="en-GB"/>
        </w:rPr>
        <w:t>س</w:t>
      </w:r>
      <w:r w:rsidR="00BE3EE7" w:rsidRPr="006571AC">
        <w:rPr>
          <w:rFonts w:ascii="Arial" w:hAnsi="Arial" w:hint="cs"/>
          <w:sz w:val="27"/>
          <w:rtl/>
          <w:lang w:val="en-GB"/>
        </w:rPr>
        <w:t>َ</w:t>
      </w:r>
      <w:r w:rsidRPr="006571AC">
        <w:rPr>
          <w:rFonts w:ascii="Arial" w:hAnsi="Arial" w:hint="cs"/>
          <w:sz w:val="27"/>
          <w:rtl/>
          <w:lang w:val="en-GB"/>
        </w:rPr>
        <w:t>نا</w:t>
      </w:r>
      <w:r w:rsidR="00BE3EE7" w:rsidRPr="006571AC">
        <w:rPr>
          <w:rFonts w:ascii="Arial" w:hAnsi="Arial" w:hint="cs"/>
          <w:sz w:val="27"/>
          <w:rtl/>
          <w:lang w:val="en-GB"/>
        </w:rPr>
        <w:t>ً</w:t>
      </w:r>
      <w:r w:rsidRPr="006571AC">
        <w:rPr>
          <w:rFonts w:ascii="Arial" w:hAnsi="Arial" w:hint="cs"/>
          <w:sz w:val="27"/>
          <w:rtl/>
          <w:lang w:val="en-GB"/>
        </w:rPr>
        <w:t xml:space="preserve"> والقبيح قبيحا</w:t>
      </w:r>
      <w:r w:rsidR="00BE3EE7" w:rsidRPr="006571AC">
        <w:rPr>
          <w:rFonts w:ascii="Arial" w:hAnsi="Arial" w:hint="cs"/>
          <w:sz w:val="27"/>
          <w:rtl/>
          <w:lang w:val="en-GB"/>
        </w:rPr>
        <w:t>ً</w:t>
      </w:r>
      <w:r w:rsidRPr="006571AC">
        <w:rPr>
          <w:rFonts w:ascii="Arial" w:hAnsi="Arial" w:hint="cs"/>
          <w:sz w:val="27"/>
          <w:rtl/>
          <w:lang w:val="en-GB"/>
        </w:rPr>
        <w:t xml:space="preserve"> ما دام العالم. وحكم العقل بإنجاز الح</w:t>
      </w:r>
      <w:r w:rsidR="00BE3EE7" w:rsidRPr="006571AC">
        <w:rPr>
          <w:rFonts w:ascii="Arial" w:hAnsi="Arial" w:hint="cs"/>
          <w:sz w:val="27"/>
          <w:rtl/>
          <w:lang w:val="en-GB"/>
        </w:rPr>
        <w:t>َ</w:t>
      </w:r>
      <w:r w:rsidRPr="006571AC">
        <w:rPr>
          <w:rFonts w:ascii="Arial" w:hAnsi="Arial" w:hint="cs"/>
          <w:sz w:val="27"/>
          <w:rtl/>
          <w:lang w:val="en-GB"/>
        </w:rPr>
        <w:t>س</w:t>
      </w:r>
      <w:r w:rsidR="00BE3EE7" w:rsidRPr="006571AC">
        <w:rPr>
          <w:rFonts w:ascii="Arial" w:hAnsi="Arial" w:hint="cs"/>
          <w:sz w:val="27"/>
          <w:rtl/>
          <w:lang w:val="en-GB"/>
        </w:rPr>
        <w:t>َ</w:t>
      </w:r>
      <w:r w:rsidRPr="006571AC">
        <w:rPr>
          <w:rFonts w:ascii="Arial" w:hAnsi="Arial" w:hint="cs"/>
          <w:sz w:val="27"/>
          <w:rtl/>
          <w:lang w:val="en-GB"/>
        </w:rPr>
        <w:t>ن واجتناب القبيح يستند عادة</w:t>
      </w:r>
      <w:r w:rsidR="00BE3EE7" w:rsidRPr="006571AC">
        <w:rPr>
          <w:rFonts w:ascii="Arial" w:hAnsi="Arial" w:hint="cs"/>
          <w:sz w:val="27"/>
          <w:rtl/>
          <w:lang w:val="en-GB"/>
        </w:rPr>
        <w:t>ً</w:t>
      </w:r>
      <w:r w:rsidRPr="006571AC">
        <w:rPr>
          <w:rFonts w:ascii="Arial" w:hAnsi="Arial" w:hint="cs"/>
          <w:sz w:val="27"/>
          <w:rtl/>
          <w:lang w:val="en-GB"/>
        </w:rPr>
        <w:t xml:space="preserve"> إلى ذاتية الحُس</w:t>
      </w:r>
      <w:r w:rsidR="00BE3EE7" w:rsidRPr="006571AC">
        <w:rPr>
          <w:rFonts w:ascii="Arial" w:hAnsi="Arial" w:hint="cs"/>
          <w:sz w:val="27"/>
          <w:rtl/>
          <w:lang w:val="en-GB"/>
        </w:rPr>
        <w:t>ْ</w:t>
      </w:r>
      <w:r w:rsidRPr="006571AC">
        <w:rPr>
          <w:rFonts w:ascii="Arial" w:hAnsi="Arial" w:hint="cs"/>
          <w:sz w:val="27"/>
          <w:rtl/>
          <w:lang w:val="en-GB"/>
        </w:rPr>
        <w:t>ن والقُب</w:t>
      </w:r>
      <w:r w:rsidR="00BE3EE7" w:rsidRPr="006571AC">
        <w:rPr>
          <w:rFonts w:ascii="Arial" w:hAnsi="Arial" w:hint="cs"/>
          <w:sz w:val="27"/>
          <w:rtl/>
          <w:lang w:val="en-GB"/>
        </w:rPr>
        <w:t>ْ</w:t>
      </w:r>
      <w:r w:rsidRPr="006571AC">
        <w:rPr>
          <w:rFonts w:ascii="Arial" w:hAnsi="Arial" w:hint="cs"/>
          <w:sz w:val="27"/>
          <w:rtl/>
          <w:lang w:val="en-GB"/>
        </w:rPr>
        <w:t>ح في الأشياء</w:t>
      </w:r>
      <w:r w:rsidRPr="006571AC">
        <w:rPr>
          <w:rFonts w:ascii="Arial" w:hAnsi="Arial"/>
          <w:sz w:val="27"/>
          <w:vertAlign w:val="superscript"/>
          <w:rtl/>
          <w:lang w:val="en-GB"/>
        </w:rPr>
        <w:t>(</w:t>
      </w:r>
      <w:r w:rsidRPr="006571AC">
        <w:rPr>
          <w:rStyle w:val="ac"/>
          <w:rFonts w:ascii="Arial" w:hAnsi="Arial"/>
          <w:sz w:val="27"/>
          <w:rtl/>
          <w:lang w:val="en-GB"/>
        </w:rPr>
        <w:endnoteReference w:id="692"/>
      </w:r>
      <w:r w:rsidRPr="006571AC">
        <w:rPr>
          <w:rFonts w:ascii="Arial" w:hAnsi="Arial"/>
          <w:sz w:val="27"/>
          <w:vertAlign w:val="superscript"/>
          <w:rtl/>
          <w:lang w:val="en-GB"/>
        </w:rPr>
        <w:t>)</w:t>
      </w:r>
      <w:r w:rsidRPr="006571AC">
        <w:rPr>
          <w:rFonts w:ascii="Arial" w:hAnsi="Arial" w:hint="cs"/>
          <w:sz w:val="27"/>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 xml:space="preserve"> وسبق التذكير أن الح</w:t>
      </w:r>
      <w:r w:rsidR="00BE3EE7" w:rsidRPr="006571AC">
        <w:rPr>
          <w:rFonts w:ascii="Arial" w:hAnsi="Arial" w:hint="cs"/>
          <w:sz w:val="27"/>
          <w:rtl/>
          <w:lang w:val="en-GB"/>
        </w:rPr>
        <w:t>ُ</w:t>
      </w:r>
      <w:r w:rsidRPr="006571AC">
        <w:rPr>
          <w:rFonts w:ascii="Arial" w:hAnsi="Arial" w:hint="cs"/>
          <w:sz w:val="27"/>
          <w:rtl/>
          <w:lang w:val="en-GB"/>
        </w:rPr>
        <w:t>س</w:t>
      </w:r>
      <w:r w:rsidR="00BE3EE7" w:rsidRPr="006571AC">
        <w:rPr>
          <w:rFonts w:ascii="Arial" w:hAnsi="Arial" w:hint="cs"/>
          <w:sz w:val="27"/>
          <w:rtl/>
          <w:lang w:val="en-GB"/>
        </w:rPr>
        <w:t>ْ</w:t>
      </w:r>
      <w:r w:rsidRPr="006571AC">
        <w:rPr>
          <w:rFonts w:ascii="Arial" w:hAnsi="Arial" w:hint="cs"/>
          <w:sz w:val="27"/>
          <w:rtl/>
          <w:lang w:val="en-GB"/>
        </w:rPr>
        <w:t>ن والق</w:t>
      </w:r>
      <w:r w:rsidR="00BE3EE7" w:rsidRPr="006571AC">
        <w:rPr>
          <w:rFonts w:ascii="Arial" w:hAnsi="Arial" w:hint="cs"/>
          <w:sz w:val="27"/>
          <w:rtl/>
          <w:lang w:val="en-GB"/>
        </w:rPr>
        <w:t>ُ</w:t>
      </w:r>
      <w:r w:rsidRPr="006571AC">
        <w:rPr>
          <w:rFonts w:ascii="Arial" w:hAnsi="Arial" w:hint="cs"/>
          <w:sz w:val="27"/>
          <w:rtl/>
          <w:lang w:val="en-GB"/>
        </w:rPr>
        <w:t>ب</w:t>
      </w:r>
      <w:r w:rsidR="00BE3EE7" w:rsidRPr="006571AC">
        <w:rPr>
          <w:rFonts w:ascii="Arial" w:hAnsi="Arial" w:hint="cs"/>
          <w:sz w:val="27"/>
          <w:rtl/>
          <w:lang w:val="en-GB"/>
        </w:rPr>
        <w:t>ْ</w:t>
      </w:r>
      <w:r w:rsidRPr="006571AC">
        <w:rPr>
          <w:rFonts w:ascii="Arial" w:hAnsi="Arial" w:hint="cs"/>
          <w:sz w:val="27"/>
          <w:rtl/>
          <w:lang w:val="en-GB"/>
        </w:rPr>
        <w:t>ح مختلفان عند الأمم والأقوام، ولكن</w:t>
      </w:r>
      <w:r w:rsidR="00BE3EE7" w:rsidRPr="006571AC">
        <w:rPr>
          <w:rFonts w:ascii="Arial" w:hAnsi="Arial" w:hint="cs"/>
          <w:sz w:val="27"/>
          <w:rtl/>
          <w:lang w:val="en-GB"/>
        </w:rPr>
        <w:t>ْ</w:t>
      </w:r>
      <w:r w:rsidRPr="006571AC">
        <w:rPr>
          <w:rFonts w:ascii="Arial" w:hAnsi="Arial" w:hint="cs"/>
          <w:sz w:val="27"/>
          <w:rtl/>
          <w:lang w:val="en-GB"/>
        </w:rPr>
        <w:t xml:space="preserve"> كيف عالج الشهيد مرتضى مطه</w:t>
      </w:r>
      <w:r w:rsidR="00BE3EE7" w:rsidRPr="006571AC">
        <w:rPr>
          <w:rFonts w:ascii="Arial" w:hAnsi="Arial" w:hint="cs"/>
          <w:sz w:val="27"/>
          <w:rtl/>
          <w:lang w:val="en-GB"/>
        </w:rPr>
        <w:t>َّ</w:t>
      </w:r>
      <w:r w:rsidRPr="006571AC">
        <w:rPr>
          <w:rFonts w:ascii="Arial" w:hAnsi="Arial" w:hint="cs"/>
          <w:sz w:val="27"/>
          <w:rtl/>
          <w:lang w:val="en-GB"/>
        </w:rPr>
        <w:t>ري إشكالية هذا الاختلاف</w:t>
      </w:r>
      <w:r w:rsidR="00BE3EE7" w:rsidRPr="006571AC">
        <w:rPr>
          <w:rFonts w:ascii="Arial" w:hAnsi="Arial" w:hint="cs"/>
          <w:sz w:val="27"/>
          <w:rtl/>
          <w:lang w:val="en-GB"/>
        </w:rPr>
        <w:t>،</w:t>
      </w:r>
      <w:r w:rsidRPr="006571AC">
        <w:rPr>
          <w:rFonts w:ascii="Arial" w:hAnsi="Arial" w:hint="cs"/>
          <w:sz w:val="27"/>
          <w:rtl/>
          <w:lang w:val="en-GB"/>
        </w:rPr>
        <w:t xml:space="preserve"> الذي يؤد</w:t>
      </w:r>
      <w:r w:rsidR="00BE3EE7" w:rsidRPr="006571AC">
        <w:rPr>
          <w:rFonts w:ascii="Arial" w:hAnsi="Arial" w:hint="cs"/>
          <w:sz w:val="27"/>
          <w:rtl/>
          <w:lang w:val="en-GB"/>
        </w:rPr>
        <w:t>ّ</w:t>
      </w:r>
      <w:r w:rsidRPr="006571AC">
        <w:rPr>
          <w:rFonts w:ascii="Arial" w:hAnsi="Arial" w:hint="cs"/>
          <w:sz w:val="27"/>
          <w:rtl/>
          <w:lang w:val="en-GB"/>
        </w:rPr>
        <w:t xml:space="preserve">ي إلى النسبية؟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يرى الشهيد مطه</w:t>
      </w:r>
      <w:r w:rsidR="00BE3EE7" w:rsidRPr="006571AC">
        <w:rPr>
          <w:rFonts w:ascii="Arial" w:hAnsi="Arial" w:hint="cs"/>
          <w:sz w:val="27"/>
          <w:rtl/>
          <w:lang w:val="en-GB"/>
        </w:rPr>
        <w:t>َّ</w:t>
      </w:r>
      <w:r w:rsidRPr="006571AC">
        <w:rPr>
          <w:rFonts w:ascii="Arial" w:hAnsi="Arial" w:hint="cs"/>
          <w:sz w:val="27"/>
          <w:rtl/>
          <w:lang w:val="en-GB"/>
        </w:rPr>
        <w:t>ري</w:t>
      </w:r>
      <w:r w:rsidR="00BE3EE7" w:rsidRPr="006571AC">
        <w:rPr>
          <w:rFonts w:ascii="Arial" w:hAnsi="Arial" w:hint="cs"/>
          <w:sz w:val="27"/>
          <w:rtl/>
          <w:lang w:val="en-GB"/>
        </w:rPr>
        <w:t xml:space="preserve"> ـ</w:t>
      </w:r>
      <w:r w:rsidRPr="006571AC">
        <w:rPr>
          <w:rFonts w:ascii="Arial" w:hAnsi="Arial" w:hint="cs"/>
          <w:sz w:val="27"/>
          <w:rtl/>
          <w:lang w:val="en-GB"/>
        </w:rPr>
        <w:t xml:space="preserve"> </w:t>
      </w:r>
      <w:r w:rsidR="00BE3EE7" w:rsidRPr="006571AC">
        <w:rPr>
          <w:rFonts w:ascii="Arial" w:hAnsi="Arial" w:hint="cs"/>
          <w:sz w:val="27"/>
          <w:rtl/>
          <w:lang w:val="en-GB"/>
        </w:rPr>
        <w:t>ب</w:t>
      </w:r>
      <w:r w:rsidRPr="006571AC">
        <w:rPr>
          <w:rFonts w:ascii="Arial" w:hAnsi="Arial" w:hint="cs"/>
          <w:sz w:val="27"/>
          <w:rtl/>
          <w:lang w:val="en-GB"/>
        </w:rPr>
        <w:t>خلاف أستاذه السي</w:t>
      </w:r>
      <w:r w:rsidR="00BE3EE7" w:rsidRPr="006571AC">
        <w:rPr>
          <w:rFonts w:ascii="Arial" w:hAnsi="Arial" w:hint="cs"/>
          <w:sz w:val="27"/>
          <w:rtl/>
          <w:lang w:val="en-GB"/>
        </w:rPr>
        <w:t>ّ</w:t>
      </w:r>
      <w:r w:rsidRPr="006571AC">
        <w:rPr>
          <w:rFonts w:ascii="Arial" w:hAnsi="Arial" w:hint="cs"/>
          <w:sz w:val="27"/>
          <w:rtl/>
          <w:lang w:val="en-GB"/>
        </w:rPr>
        <w:t>د الطباطبائي</w:t>
      </w:r>
      <w:r w:rsidR="00BE3EE7" w:rsidRPr="006571AC">
        <w:rPr>
          <w:rFonts w:ascii="Arial" w:hAnsi="Arial" w:hint="cs"/>
          <w:sz w:val="27"/>
          <w:rtl/>
          <w:lang w:val="en-GB"/>
        </w:rPr>
        <w:t xml:space="preserve"> (</w:t>
      </w:r>
      <w:r w:rsidR="00BE3EE7" w:rsidRPr="006571AC">
        <w:rPr>
          <w:rFonts w:ascii="Arial" w:hAnsi="Arial" w:hint="cs"/>
          <w:sz w:val="27"/>
          <w:rtl/>
        </w:rPr>
        <w:t>1904</w:t>
      </w:r>
      <w:r w:rsidR="00BE3EE7" w:rsidRPr="006571AC">
        <w:rPr>
          <w:rFonts w:ascii="Arial" w:hAnsi="Arial" w:hint="cs"/>
          <w:sz w:val="27"/>
          <w:rtl/>
          <w:lang w:val="en-GB"/>
        </w:rPr>
        <w:t xml:space="preserve">م </w:t>
      </w:r>
      <w:r w:rsidR="00BE3EE7" w:rsidRPr="006571AC">
        <w:rPr>
          <w:rFonts w:ascii="Arial" w:hAnsi="Arial"/>
          <w:sz w:val="27"/>
          <w:rtl/>
          <w:lang w:val="en-GB"/>
        </w:rPr>
        <w:t>ـ</w:t>
      </w:r>
      <w:r w:rsidR="00BE3EE7" w:rsidRPr="006571AC">
        <w:rPr>
          <w:rFonts w:ascii="Arial" w:hAnsi="Arial" w:hint="cs"/>
          <w:sz w:val="27"/>
          <w:rtl/>
          <w:lang w:val="en-GB"/>
        </w:rPr>
        <w:t xml:space="preserve"> </w:t>
      </w:r>
      <w:r w:rsidR="00BE3EE7" w:rsidRPr="006571AC">
        <w:rPr>
          <w:rFonts w:ascii="Arial" w:hAnsi="Arial" w:hint="cs"/>
          <w:sz w:val="27"/>
          <w:rtl/>
        </w:rPr>
        <w:t>1981</w:t>
      </w:r>
      <w:r w:rsidR="00BE3EE7" w:rsidRPr="006571AC">
        <w:rPr>
          <w:rFonts w:ascii="Arial" w:hAnsi="Arial" w:hint="cs"/>
          <w:sz w:val="27"/>
          <w:rtl/>
          <w:lang w:val="en-GB"/>
        </w:rPr>
        <w:t>م)</w:t>
      </w:r>
      <w:r w:rsidRPr="006571AC">
        <w:rPr>
          <w:rFonts w:ascii="Arial" w:hAnsi="Arial"/>
          <w:sz w:val="27"/>
          <w:vertAlign w:val="superscript"/>
          <w:rtl/>
          <w:lang w:val="en-GB"/>
        </w:rPr>
        <w:t>(</w:t>
      </w:r>
      <w:r w:rsidRPr="006571AC">
        <w:rPr>
          <w:rStyle w:val="ac"/>
          <w:rFonts w:ascii="Arial" w:hAnsi="Arial"/>
          <w:sz w:val="27"/>
          <w:rtl/>
          <w:lang w:val="en-GB"/>
        </w:rPr>
        <w:endnoteReference w:id="693"/>
      </w:r>
      <w:r w:rsidRPr="006571AC">
        <w:rPr>
          <w:rFonts w:ascii="Arial" w:hAnsi="Arial"/>
          <w:sz w:val="27"/>
          <w:vertAlign w:val="superscript"/>
          <w:rtl/>
          <w:lang w:val="en-GB"/>
        </w:rPr>
        <w:t>)</w:t>
      </w:r>
      <w:r w:rsidRPr="006571AC">
        <w:rPr>
          <w:rFonts w:ascii="Arial" w:hAnsi="Arial" w:hint="cs"/>
          <w:sz w:val="27"/>
          <w:rtl/>
          <w:lang w:val="en-GB"/>
        </w:rPr>
        <w:t>، الذي قال</w:t>
      </w:r>
      <w:r w:rsidR="00BE3EE7" w:rsidRPr="006571AC">
        <w:rPr>
          <w:rFonts w:ascii="Arial" w:hAnsi="Arial" w:hint="cs"/>
          <w:sz w:val="27"/>
          <w:rtl/>
          <w:lang w:val="en-GB"/>
        </w:rPr>
        <w:t>:</w:t>
      </w:r>
      <w:r w:rsidRPr="006571AC">
        <w:rPr>
          <w:rFonts w:ascii="Arial" w:hAnsi="Arial" w:hint="cs"/>
          <w:sz w:val="27"/>
          <w:rtl/>
          <w:lang w:val="en-GB"/>
        </w:rPr>
        <w:t xml:space="preserve"> </w:t>
      </w:r>
      <w:r w:rsidR="00BE3EE7" w:rsidRPr="006571AC">
        <w:rPr>
          <w:rFonts w:ascii="Arial" w:hAnsi="Arial" w:hint="cs"/>
          <w:sz w:val="27"/>
          <w:rtl/>
          <w:lang w:val="en-GB"/>
        </w:rPr>
        <w:t>إ</w:t>
      </w:r>
      <w:r w:rsidRPr="006571AC">
        <w:rPr>
          <w:rFonts w:ascii="Arial" w:hAnsi="Arial" w:hint="cs"/>
          <w:sz w:val="27"/>
          <w:rtl/>
          <w:lang w:val="en-GB"/>
        </w:rPr>
        <w:t>ن جهاز</w:t>
      </w:r>
      <w:r w:rsidR="00B7533E" w:rsidRPr="006571AC">
        <w:rPr>
          <w:rFonts w:ascii="Arial" w:hAnsi="Arial" w:hint="cs"/>
          <w:sz w:val="27"/>
          <w:rtl/>
          <w:lang w:val="en-GB"/>
        </w:rPr>
        <w:t>َ</w:t>
      </w:r>
      <w:r w:rsidRPr="006571AC">
        <w:rPr>
          <w:rFonts w:ascii="Arial" w:hAnsi="Arial" w:hint="cs"/>
          <w:sz w:val="27"/>
          <w:rtl/>
          <w:lang w:val="en-GB"/>
        </w:rPr>
        <w:t xml:space="preserve"> الإنسان الحسِّي مطابق</w:t>
      </w:r>
      <w:r w:rsidR="00B7533E" w:rsidRPr="006571AC">
        <w:rPr>
          <w:rFonts w:ascii="Arial" w:hAnsi="Arial" w:hint="cs"/>
          <w:sz w:val="27"/>
          <w:rtl/>
          <w:lang w:val="en-GB"/>
        </w:rPr>
        <w:t>ٌ</w:t>
      </w:r>
      <w:r w:rsidRPr="006571AC">
        <w:rPr>
          <w:rFonts w:ascii="Arial" w:hAnsi="Arial" w:hint="cs"/>
          <w:sz w:val="27"/>
          <w:rtl/>
          <w:lang w:val="en-GB"/>
        </w:rPr>
        <w:t xml:space="preserve"> لجهازه الطبيعي التكويني</w:t>
      </w:r>
      <w:r w:rsidR="007307DD" w:rsidRPr="006571AC">
        <w:rPr>
          <w:rFonts w:ascii="Arial" w:hAnsi="Arial" w:hint="cs"/>
          <w:sz w:val="27"/>
          <w:rtl/>
          <w:lang w:val="en-GB"/>
        </w:rPr>
        <w:t xml:space="preserve"> ـ </w:t>
      </w:r>
      <w:r w:rsidRPr="006571AC">
        <w:rPr>
          <w:rFonts w:ascii="Arial" w:hAnsi="Arial" w:hint="cs"/>
          <w:sz w:val="27"/>
          <w:rtl/>
          <w:lang w:val="en-GB"/>
        </w:rPr>
        <w:t>أن الاستخدام أصل</w:t>
      </w:r>
      <w:r w:rsidR="00B7533E" w:rsidRPr="006571AC">
        <w:rPr>
          <w:rFonts w:ascii="Arial" w:hAnsi="Arial" w:hint="cs"/>
          <w:sz w:val="27"/>
          <w:rtl/>
          <w:lang w:val="en-GB"/>
        </w:rPr>
        <w:t>ٌ</w:t>
      </w:r>
      <w:r w:rsidRPr="006571AC">
        <w:rPr>
          <w:rFonts w:ascii="Arial" w:hAnsi="Arial" w:hint="cs"/>
          <w:sz w:val="27"/>
          <w:rtl/>
          <w:lang w:val="en-GB"/>
        </w:rPr>
        <w:t xml:space="preserve"> عام</w:t>
      </w:r>
      <w:r w:rsidR="00B7533E" w:rsidRPr="006571AC">
        <w:rPr>
          <w:rFonts w:ascii="Arial" w:hAnsi="Arial" w:hint="cs"/>
          <w:sz w:val="27"/>
          <w:rtl/>
          <w:lang w:val="en-GB"/>
        </w:rPr>
        <w:t>ٌّ</w:t>
      </w:r>
      <w:r w:rsidRPr="006571AC">
        <w:rPr>
          <w:rFonts w:ascii="Arial" w:hAnsi="Arial" w:hint="cs"/>
          <w:sz w:val="27"/>
          <w:rtl/>
          <w:lang w:val="en-GB"/>
        </w:rPr>
        <w:t xml:space="preserve"> وضروري</w:t>
      </w:r>
      <w:r w:rsidR="00B7533E" w:rsidRPr="006571AC">
        <w:rPr>
          <w:rFonts w:ascii="Arial" w:hAnsi="Arial" w:hint="cs"/>
          <w:sz w:val="27"/>
          <w:rtl/>
          <w:lang w:val="en-GB"/>
        </w:rPr>
        <w:t>ٌّ</w:t>
      </w:r>
      <w:r w:rsidR="007307DD" w:rsidRPr="006571AC">
        <w:rPr>
          <w:rFonts w:ascii="Arial" w:hAnsi="Arial" w:hint="cs"/>
          <w:sz w:val="27"/>
          <w:rtl/>
          <w:lang w:val="en-GB"/>
        </w:rPr>
        <w:t>،</w:t>
      </w:r>
      <w:r w:rsidRPr="006571AC">
        <w:rPr>
          <w:rFonts w:ascii="Arial" w:hAnsi="Arial" w:hint="cs"/>
          <w:sz w:val="27"/>
          <w:rtl/>
          <w:lang w:val="en-GB"/>
        </w:rPr>
        <w:t xml:space="preserve"> </w:t>
      </w:r>
      <w:r w:rsidR="007307DD" w:rsidRPr="006571AC">
        <w:rPr>
          <w:rFonts w:ascii="Arial" w:hAnsi="Arial" w:hint="cs"/>
          <w:sz w:val="27"/>
          <w:rtl/>
          <w:lang w:val="en-GB"/>
        </w:rPr>
        <w:t>ف</w:t>
      </w:r>
      <w:r w:rsidRPr="006571AC">
        <w:rPr>
          <w:rFonts w:ascii="Arial" w:hAnsi="Arial" w:hint="cs"/>
          <w:sz w:val="27"/>
          <w:rtl/>
          <w:lang w:val="en-GB"/>
        </w:rPr>
        <w:t>مثلما تسرع الطبيعة إلى جهة كمال الفرد ومصلحته تسرع إلى كمال النوع ومصلحته، فليس كمال الفرد بمعزل</w:t>
      </w:r>
      <w:r w:rsidR="00B7533E" w:rsidRPr="006571AC">
        <w:rPr>
          <w:rFonts w:ascii="Arial" w:hAnsi="Arial" w:hint="cs"/>
          <w:sz w:val="27"/>
          <w:rtl/>
          <w:lang w:val="en-GB"/>
        </w:rPr>
        <w:t>ٍ</w:t>
      </w:r>
      <w:r w:rsidRPr="006571AC">
        <w:rPr>
          <w:rFonts w:ascii="Arial" w:hAnsi="Arial" w:hint="cs"/>
          <w:sz w:val="27"/>
          <w:rtl/>
          <w:lang w:val="en-GB"/>
        </w:rPr>
        <w:t xml:space="preserve"> عن كمال النوع، وإنما هو مرتبط</w:t>
      </w:r>
      <w:r w:rsidR="00B7533E" w:rsidRPr="006571AC">
        <w:rPr>
          <w:rFonts w:ascii="Arial" w:hAnsi="Arial" w:hint="cs"/>
          <w:sz w:val="27"/>
          <w:rtl/>
          <w:lang w:val="en-GB"/>
        </w:rPr>
        <w:t>ٌ</w:t>
      </w:r>
      <w:r w:rsidRPr="006571AC">
        <w:rPr>
          <w:rFonts w:ascii="Arial" w:hAnsi="Arial" w:hint="cs"/>
          <w:sz w:val="27"/>
          <w:rtl/>
          <w:lang w:val="en-GB"/>
        </w:rPr>
        <w:t xml:space="preserve"> به ارتباطا</w:t>
      </w:r>
      <w:r w:rsidR="00B7533E" w:rsidRPr="006571AC">
        <w:rPr>
          <w:rFonts w:ascii="Arial" w:hAnsi="Arial" w:hint="cs"/>
          <w:sz w:val="27"/>
          <w:rtl/>
          <w:lang w:val="en-GB"/>
        </w:rPr>
        <w:t>ً</w:t>
      </w:r>
      <w:r w:rsidRPr="006571AC">
        <w:rPr>
          <w:rFonts w:ascii="Arial" w:hAnsi="Arial" w:hint="cs"/>
          <w:sz w:val="27"/>
          <w:rtl/>
          <w:lang w:val="en-GB"/>
        </w:rPr>
        <w:t xml:space="preserve"> وثيقا</w:t>
      </w:r>
      <w:r w:rsidR="00B7533E" w:rsidRPr="006571AC">
        <w:rPr>
          <w:rFonts w:ascii="Arial" w:hAnsi="Arial" w:hint="cs"/>
          <w:sz w:val="27"/>
          <w:rtl/>
          <w:lang w:val="en-GB"/>
        </w:rPr>
        <w:t>ً</w:t>
      </w:r>
      <w:r w:rsidRPr="006571AC">
        <w:rPr>
          <w:rFonts w:ascii="Arial" w:hAnsi="Arial" w:hint="cs"/>
          <w:sz w:val="27"/>
          <w:rtl/>
          <w:lang w:val="en-GB"/>
        </w:rPr>
        <w:t>. ولهذا تحث</w:t>
      </w:r>
      <w:r w:rsidR="00B7533E" w:rsidRPr="006571AC">
        <w:rPr>
          <w:rFonts w:ascii="Arial" w:hAnsi="Arial" w:hint="cs"/>
          <w:sz w:val="27"/>
          <w:rtl/>
          <w:lang w:val="en-GB"/>
        </w:rPr>
        <w:t>ّ</w:t>
      </w:r>
      <w:r w:rsidRPr="006571AC">
        <w:rPr>
          <w:rFonts w:ascii="Arial" w:hAnsi="Arial" w:hint="cs"/>
          <w:sz w:val="27"/>
          <w:rtl/>
          <w:lang w:val="en-GB"/>
        </w:rPr>
        <w:t xml:space="preserve"> الطبيعة الجميع على حب</w:t>
      </w:r>
      <w:r w:rsidR="00B7533E" w:rsidRPr="006571AC">
        <w:rPr>
          <w:rFonts w:ascii="Arial" w:hAnsi="Arial" w:hint="cs"/>
          <w:sz w:val="27"/>
          <w:rtl/>
          <w:lang w:val="en-GB"/>
        </w:rPr>
        <w:t>ّ</w:t>
      </w:r>
      <w:r w:rsidRPr="006571AC">
        <w:rPr>
          <w:rFonts w:ascii="Arial" w:hAnsi="Arial" w:hint="cs"/>
          <w:sz w:val="27"/>
          <w:rtl/>
          <w:lang w:val="en-GB"/>
        </w:rPr>
        <w:t xml:space="preserve"> أشياء يتحق</w:t>
      </w:r>
      <w:r w:rsidR="00B7533E" w:rsidRPr="006571AC">
        <w:rPr>
          <w:rFonts w:ascii="Arial" w:hAnsi="Arial" w:hint="cs"/>
          <w:sz w:val="27"/>
          <w:rtl/>
          <w:lang w:val="en-GB"/>
        </w:rPr>
        <w:t>ّ</w:t>
      </w:r>
      <w:r w:rsidRPr="006571AC">
        <w:rPr>
          <w:rFonts w:ascii="Arial" w:hAnsi="Arial" w:hint="cs"/>
          <w:sz w:val="27"/>
          <w:rtl/>
          <w:lang w:val="en-GB"/>
        </w:rPr>
        <w:t>ق بها كمال النوع</w:t>
      </w:r>
      <w:r w:rsidR="00B7533E" w:rsidRPr="006571AC">
        <w:rPr>
          <w:rFonts w:ascii="Arial" w:hAnsi="Arial" w:hint="cs"/>
          <w:sz w:val="27"/>
          <w:rtl/>
          <w:lang w:val="en-GB"/>
        </w:rPr>
        <w:t>.</w:t>
      </w:r>
      <w:r w:rsidRPr="006571AC">
        <w:rPr>
          <w:rFonts w:ascii="Arial" w:hAnsi="Arial" w:hint="cs"/>
          <w:sz w:val="27"/>
          <w:rtl/>
          <w:lang w:val="en-GB"/>
        </w:rPr>
        <w:t xml:space="preserve"> وهذه المحبوبات متشابهة</w:t>
      </w:r>
      <w:r w:rsidR="00B7533E" w:rsidRPr="006571AC">
        <w:rPr>
          <w:rFonts w:ascii="Arial" w:hAnsi="Arial" w:hint="cs"/>
          <w:sz w:val="27"/>
          <w:rtl/>
          <w:lang w:val="en-GB"/>
        </w:rPr>
        <w:t>ٌ،</w:t>
      </w:r>
      <w:r w:rsidRPr="006571AC">
        <w:rPr>
          <w:rFonts w:ascii="Arial" w:hAnsi="Arial" w:hint="cs"/>
          <w:sz w:val="27"/>
          <w:rtl/>
          <w:lang w:val="en-GB"/>
        </w:rPr>
        <w:t xml:space="preserve"> دائمة</w:t>
      </w:r>
      <w:r w:rsidR="00B7533E" w:rsidRPr="006571AC">
        <w:rPr>
          <w:rFonts w:ascii="Arial" w:hAnsi="Arial" w:hint="cs"/>
          <w:sz w:val="27"/>
          <w:rtl/>
          <w:lang w:val="en-GB"/>
        </w:rPr>
        <w:t>،</w:t>
      </w:r>
      <w:r w:rsidRPr="006571AC">
        <w:rPr>
          <w:rFonts w:ascii="Arial" w:hAnsi="Arial" w:hint="cs"/>
          <w:sz w:val="27"/>
          <w:rtl/>
          <w:lang w:val="en-GB"/>
        </w:rPr>
        <w:t xml:space="preserve"> كلية</w:t>
      </w:r>
      <w:r w:rsidR="00B7533E" w:rsidRPr="006571AC">
        <w:rPr>
          <w:rFonts w:ascii="Arial" w:hAnsi="Arial" w:hint="cs"/>
          <w:sz w:val="27"/>
          <w:rtl/>
          <w:lang w:val="en-GB"/>
        </w:rPr>
        <w:t>،</w:t>
      </w:r>
      <w:r w:rsidRPr="006571AC">
        <w:rPr>
          <w:rFonts w:ascii="Arial" w:hAnsi="Arial" w:hint="cs"/>
          <w:sz w:val="27"/>
          <w:rtl/>
          <w:lang w:val="en-GB"/>
        </w:rPr>
        <w:t xml:space="preserve"> مطلقة، وهي معيار المحاسن والمساو</w:t>
      </w:r>
      <w:r w:rsidR="00A061F8" w:rsidRPr="006571AC">
        <w:rPr>
          <w:rFonts w:ascii="Arial" w:hAnsi="Arial" w:hint="cs"/>
          <w:sz w:val="27"/>
          <w:rtl/>
          <w:lang w:val="en-GB"/>
        </w:rPr>
        <w:t>ئ</w:t>
      </w:r>
      <w:r w:rsidRPr="006571AC">
        <w:rPr>
          <w:rFonts w:ascii="Arial" w:hAnsi="Arial"/>
          <w:sz w:val="27"/>
          <w:vertAlign w:val="superscript"/>
          <w:rtl/>
          <w:lang w:val="en-GB"/>
        </w:rPr>
        <w:t>(</w:t>
      </w:r>
      <w:r w:rsidRPr="006571AC">
        <w:rPr>
          <w:rStyle w:val="ac"/>
          <w:rFonts w:ascii="Arial" w:hAnsi="Arial"/>
          <w:sz w:val="27"/>
          <w:rtl/>
          <w:lang w:val="en-GB"/>
        </w:rPr>
        <w:endnoteReference w:id="694"/>
      </w:r>
      <w:r w:rsidRPr="006571AC">
        <w:rPr>
          <w:rFonts w:ascii="Arial" w:hAnsi="Arial"/>
          <w:sz w:val="27"/>
          <w:vertAlign w:val="superscript"/>
          <w:rtl/>
          <w:lang w:val="en-GB"/>
        </w:rPr>
        <w:t>)</w:t>
      </w:r>
      <w:r w:rsidRPr="006571AC">
        <w:rPr>
          <w:rFonts w:ascii="Arial" w:hAnsi="Arial" w:hint="cs"/>
          <w:sz w:val="27"/>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 xml:space="preserve"> </w:t>
      </w:r>
      <w:r w:rsidRPr="006571AC">
        <w:rPr>
          <w:rFonts w:ascii="Arial" w:hAnsi="Arial" w:hint="cs"/>
          <w:b/>
          <w:bCs/>
          <w:sz w:val="27"/>
          <w:rtl/>
          <w:lang w:val="en-GB"/>
        </w:rPr>
        <w:t>ثم</w:t>
      </w:r>
      <w:r w:rsidR="00A061F8" w:rsidRPr="006571AC">
        <w:rPr>
          <w:rFonts w:ascii="Arial" w:hAnsi="Arial" w:hint="cs"/>
          <w:b/>
          <w:bCs/>
          <w:sz w:val="27"/>
          <w:rtl/>
          <w:lang w:val="en-GB"/>
        </w:rPr>
        <w:t>ّ</w:t>
      </w:r>
      <w:r w:rsidRPr="006571AC">
        <w:rPr>
          <w:rFonts w:ascii="Arial" w:hAnsi="Arial" w:hint="cs"/>
          <w:b/>
          <w:bCs/>
          <w:sz w:val="27"/>
          <w:rtl/>
          <w:lang w:val="en-GB"/>
        </w:rPr>
        <w:t xml:space="preserve"> يطرح تساؤلا</w:t>
      </w:r>
      <w:r w:rsidR="00B7533E" w:rsidRPr="006571AC">
        <w:rPr>
          <w:rFonts w:ascii="Arial" w:hAnsi="Arial" w:hint="cs"/>
          <w:b/>
          <w:bCs/>
          <w:sz w:val="27"/>
          <w:rtl/>
          <w:lang w:val="en-GB"/>
        </w:rPr>
        <w:t>ً</w:t>
      </w:r>
      <w:r w:rsidRPr="006571AC">
        <w:rPr>
          <w:rFonts w:ascii="Arial" w:hAnsi="Arial" w:hint="cs"/>
          <w:b/>
          <w:bCs/>
          <w:sz w:val="27"/>
          <w:rtl/>
          <w:lang w:val="en-GB"/>
        </w:rPr>
        <w:t xml:space="preserve"> فيقول</w:t>
      </w:r>
      <w:r w:rsidRPr="006571AC">
        <w:rPr>
          <w:rFonts w:ascii="Arial" w:hAnsi="Arial" w:hint="cs"/>
          <w:sz w:val="27"/>
          <w:rtl/>
          <w:lang w:val="en-GB"/>
        </w:rPr>
        <w:t xml:space="preserve">: </w:t>
      </w:r>
      <w:r w:rsidRPr="006571AC">
        <w:rPr>
          <w:rFonts w:hint="eastAsia"/>
          <w:sz w:val="24"/>
          <w:szCs w:val="24"/>
          <w:rtl/>
        </w:rPr>
        <w:t>«</w:t>
      </w:r>
      <w:r w:rsidRPr="006571AC">
        <w:rPr>
          <w:rFonts w:ascii="Arial" w:hAnsi="Arial" w:hint="cs"/>
          <w:sz w:val="27"/>
          <w:rtl/>
          <w:lang w:val="en-GB"/>
        </w:rPr>
        <w:t>ما هو جذر الح</w:t>
      </w:r>
      <w:r w:rsidR="00A061F8" w:rsidRPr="006571AC">
        <w:rPr>
          <w:rFonts w:ascii="Arial" w:hAnsi="Arial" w:hint="cs"/>
          <w:sz w:val="27"/>
          <w:rtl/>
          <w:lang w:val="en-GB"/>
        </w:rPr>
        <w:t>ُ</w:t>
      </w:r>
      <w:r w:rsidRPr="006571AC">
        <w:rPr>
          <w:rFonts w:ascii="Arial" w:hAnsi="Arial" w:hint="cs"/>
          <w:sz w:val="27"/>
          <w:rtl/>
          <w:lang w:val="en-GB"/>
        </w:rPr>
        <w:t>س</w:t>
      </w:r>
      <w:r w:rsidR="00A061F8" w:rsidRPr="006571AC">
        <w:rPr>
          <w:rFonts w:ascii="Arial" w:hAnsi="Arial" w:hint="cs"/>
          <w:sz w:val="27"/>
          <w:rtl/>
          <w:lang w:val="en-GB"/>
        </w:rPr>
        <w:t>ْ</w:t>
      </w:r>
      <w:r w:rsidRPr="006571AC">
        <w:rPr>
          <w:rFonts w:ascii="Arial" w:hAnsi="Arial" w:hint="cs"/>
          <w:sz w:val="27"/>
          <w:rtl/>
          <w:lang w:val="en-GB"/>
        </w:rPr>
        <w:t>ن والق</w:t>
      </w:r>
      <w:r w:rsidR="00A061F8" w:rsidRPr="006571AC">
        <w:rPr>
          <w:rFonts w:ascii="Arial" w:hAnsi="Arial" w:hint="cs"/>
          <w:sz w:val="27"/>
          <w:rtl/>
          <w:lang w:val="en-GB"/>
        </w:rPr>
        <w:t>ُ</w:t>
      </w:r>
      <w:r w:rsidRPr="006571AC">
        <w:rPr>
          <w:rFonts w:ascii="Arial" w:hAnsi="Arial" w:hint="cs"/>
          <w:sz w:val="27"/>
          <w:rtl/>
          <w:lang w:val="en-GB"/>
        </w:rPr>
        <w:t>ب</w:t>
      </w:r>
      <w:r w:rsidR="00A061F8" w:rsidRPr="006571AC">
        <w:rPr>
          <w:rFonts w:ascii="Arial" w:hAnsi="Arial" w:hint="cs"/>
          <w:sz w:val="27"/>
          <w:rtl/>
          <w:lang w:val="en-GB"/>
        </w:rPr>
        <w:t>ْ</w:t>
      </w:r>
      <w:r w:rsidRPr="006571AC">
        <w:rPr>
          <w:rFonts w:ascii="Arial" w:hAnsi="Arial" w:hint="cs"/>
          <w:sz w:val="27"/>
          <w:rtl/>
          <w:lang w:val="en-GB"/>
        </w:rPr>
        <w:t>ح الكل</w:t>
      </w:r>
      <w:r w:rsidR="00A061F8" w:rsidRPr="006571AC">
        <w:rPr>
          <w:rFonts w:ascii="Arial" w:hAnsi="Arial" w:hint="cs"/>
          <w:sz w:val="27"/>
          <w:rtl/>
          <w:lang w:val="en-GB"/>
        </w:rPr>
        <w:t>ِّيين؟ وما هو مبنى</w:t>
      </w:r>
      <w:r w:rsidRPr="006571AC">
        <w:rPr>
          <w:rFonts w:ascii="Arial" w:hAnsi="Arial" w:hint="cs"/>
          <w:sz w:val="27"/>
          <w:rtl/>
          <w:lang w:val="en-GB"/>
        </w:rPr>
        <w:t xml:space="preserve"> كونهما ذاتي</w:t>
      </w:r>
      <w:r w:rsidR="00A061F8" w:rsidRPr="006571AC">
        <w:rPr>
          <w:rFonts w:ascii="Arial" w:hAnsi="Arial" w:hint="cs"/>
          <w:sz w:val="27"/>
          <w:rtl/>
          <w:lang w:val="en-GB"/>
        </w:rPr>
        <w:t>ي</w:t>
      </w:r>
      <w:r w:rsidRPr="006571AC">
        <w:rPr>
          <w:rFonts w:ascii="Arial" w:hAnsi="Arial" w:hint="cs"/>
          <w:sz w:val="27"/>
          <w:rtl/>
          <w:lang w:val="en-GB"/>
        </w:rPr>
        <w:t>ن</w:t>
      </w:r>
      <w:r w:rsidR="00A061F8" w:rsidRPr="006571AC">
        <w:rPr>
          <w:rFonts w:ascii="Arial" w:hAnsi="Arial" w:hint="cs"/>
          <w:sz w:val="27"/>
          <w:rtl/>
          <w:lang w:val="en-GB"/>
        </w:rPr>
        <w:t>،</w:t>
      </w:r>
      <w:r w:rsidRPr="006571AC">
        <w:rPr>
          <w:rFonts w:ascii="Arial" w:hAnsi="Arial" w:hint="cs"/>
          <w:sz w:val="27"/>
          <w:rtl/>
          <w:lang w:val="en-GB"/>
        </w:rPr>
        <w:t xml:space="preserve"> وليس عيني</w:t>
      </w:r>
      <w:r w:rsidR="00A061F8" w:rsidRPr="006571AC">
        <w:rPr>
          <w:rFonts w:ascii="Arial" w:hAnsi="Arial" w:hint="cs"/>
          <w:sz w:val="27"/>
          <w:rtl/>
          <w:lang w:val="en-GB"/>
        </w:rPr>
        <w:t>ي</w:t>
      </w:r>
      <w:r w:rsidRPr="006571AC">
        <w:rPr>
          <w:rFonts w:ascii="Arial" w:hAnsi="Arial" w:hint="cs"/>
          <w:sz w:val="27"/>
          <w:rtl/>
          <w:lang w:val="en-GB"/>
        </w:rPr>
        <w:t>ن</w:t>
      </w:r>
      <w:r w:rsidR="00A061F8" w:rsidRPr="006571AC">
        <w:rPr>
          <w:rFonts w:ascii="Arial" w:hAnsi="Arial" w:hint="cs"/>
          <w:sz w:val="27"/>
          <w:rtl/>
          <w:lang w:val="en-GB"/>
        </w:rPr>
        <w:t>،</w:t>
      </w:r>
      <w:r w:rsidRPr="006571AC">
        <w:rPr>
          <w:rFonts w:ascii="Arial" w:hAnsi="Arial" w:hint="cs"/>
          <w:sz w:val="27"/>
          <w:rtl/>
          <w:lang w:val="en-GB"/>
        </w:rPr>
        <w:t xml:space="preserve"> وفق رأينا؟ كيف يوج</w:t>
      </w:r>
      <w:r w:rsidR="00A061F8" w:rsidRPr="006571AC">
        <w:rPr>
          <w:rFonts w:ascii="Arial" w:hAnsi="Arial" w:hint="cs"/>
          <w:sz w:val="27"/>
          <w:rtl/>
          <w:lang w:val="en-GB"/>
        </w:rPr>
        <w:t>َّ</w:t>
      </w:r>
      <w:r w:rsidRPr="006571AC">
        <w:rPr>
          <w:rFonts w:ascii="Arial" w:hAnsi="Arial" w:hint="cs"/>
          <w:sz w:val="27"/>
          <w:rtl/>
          <w:lang w:val="en-GB"/>
        </w:rPr>
        <w:t>ه الح</w:t>
      </w:r>
      <w:r w:rsidR="00A061F8" w:rsidRPr="006571AC">
        <w:rPr>
          <w:rFonts w:ascii="Arial" w:hAnsi="Arial" w:hint="cs"/>
          <w:sz w:val="27"/>
          <w:rtl/>
          <w:lang w:val="en-GB"/>
        </w:rPr>
        <w:t>ُ</w:t>
      </w:r>
      <w:r w:rsidRPr="006571AC">
        <w:rPr>
          <w:rFonts w:ascii="Arial" w:hAnsi="Arial" w:hint="cs"/>
          <w:sz w:val="27"/>
          <w:rtl/>
          <w:lang w:val="en-GB"/>
        </w:rPr>
        <w:t>س</w:t>
      </w:r>
      <w:r w:rsidR="00A061F8" w:rsidRPr="006571AC">
        <w:rPr>
          <w:rFonts w:ascii="Arial" w:hAnsi="Arial" w:hint="cs"/>
          <w:sz w:val="27"/>
          <w:rtl/>
          <w:lang w:val="en-GB"/>
        </w:rPr>
        <w:t>ْ</w:t>
      </w:r>
      <w:r w:rsidRPr="006571AC">
        <w:rPr>
          <w:rFonts w:ascii="Arial" w:hAnsi="Arial" w:hint="cs"/>
          <w:sz w:val="27"/>
          <w:rtl/>
          <w:lang w:val="en-GB"/>
        </w:rPr>
        <w:t>ن والق</w:t>
      </w:r>
      <w:r w:rsidR="00A061F8" w:rsidRPr="006571AC">
        <w:rPr>
          <w:rFonts w:ascii="Arial" w:hAnsi="Arial" w:hint="cs"/>
          <w:sz w:val="27"/>
          <w:rtl/>
          <w:lang w:val="en-GB"/>
        </w:rPr>
        <w:t>ُ</w:t>
      </w:r>
      <w:r w:rsidRPr="006571AC">
        <w:rPr>
          <w:rFonts w:ascii="Arial" w:hAnsi="Arial" w:hint="cs"/>
          <w:sz w:val="27"/>
          <w:rtl/>
          <w:lang w:val="en-GB"/>
        </w:rPr>
        <w:t>ب</w:t>
      </w:r>
      <w:r w:rsidR="00A061F8" w:rsidRPr="006571AC">
        <w:rPr>
          <w:rFonts w:ascii="Arial" w:hAnsi="Arial" w:hint="cs"/>
          <w:sz w:val="27"/>
          <w:rtl/>
          <w:lang w:val="en-GB"/>
        </w:rPr>
        <w:t>ْ</w:t>
      </w:r>
      <w:r w:rsidRPr="006571AC">
        <w:rPr>
          <w:rFonts w:ascii="Arial" w:hAnsi="Arial" w:hint="cs"/>
          <w:sz w:val="27"/>
          <w:rtl/>
          <w:lang w:val="en-GB"/>
        </w:rPr>
        <w:t xml:space="preserve">ح بعدما قلنا في النهاية: </w:t>
      </w:r>
      <w:r w:rsidR="00A061F8" w:rsidRPr="006571AC">
        <w:rPr>
          <w:rFonts w:ascii="Arial" w:hAnsi="Arial" w:hint="cs"/>
          <w:sz w:val="27"/>
          <w:rtl/>
          <w:lang w:val="en-GB"/>
        </w:rPr>
        <w:t>إ</w:t>
      </w:r>
      <w:r w:rsidRPr="006571AC">
        <w:rPr>
          <w:rFonts w:ascii="Arial" w:hAnsi="Arial" w:hint="cs"/>
          <w:sz w:val="27"/>
          <w:rtl/>
          <w:lang w:val="en-GB"/>
        </w:rPr>
        <w:t>نهما رابطة</w:t>
      </w:r>
      <w:r w:rsidR="00A061F8" w:rsidRPr="006571AC">
        <w:rPr>
          <w:rFonts w:ascii="Arial" w:hAnsi="Arial" w:hint="cs"/>
          <w:sz w:val="27"/>
          <w:rtl/>
          <w:lang w:val="en-GB"/>
        </w:rPr>
        <w:t>ٌ</w:t>
      </w:r>
      <w:r w:rsidRPr="006571AC">
        <w:rPr>
          <w:rFonts w:ascii="Arial" w:hAnsi="Arial" w:hint="cs"/>
          <w:sz w:val="27"/>
          <w:rtl/>
          <w:lang w:val="en-GB"/>
        </w:rPr>
        <w:t xml:space="preserve"> بين الإنسان والشيء؟ </w:t>
      </w:r>
    </w:p>
    <w:p w:rsidR="0001386F" w:rsidRPr="006571AC" w:rsidRDefault="00E051CE" w:rsidP="00D259C9">
      <w:pPr>
        <w:autoSpaceDE w:val="0"/>
        <w:autoSpaceDN w:val="0"/>
        <w:adjustRightInd w:val="0"/>
        <w:rPr>
          <w:rFonts w:ascii="Arial" w:hAnsi="Arial"/>
          <w:sz w:val="27"/>
          <w:rtl/>
          <w:lang w:val="en-GB"/>
        </w:rPr>
      </w:pPr>
      <w:r w:rsidRPr="006571AC">
        <w:rPr>
          <w:rFonts w:ascii="Arial" w:hAnsi="Arial" w:hint="cs"/>
          <w:sz w:val="27"/>
          <w:rtl/>
          <w:lang w:val="en-GB"/>
        </w:rPr>
        <w:t>و</w:t>
      </w:r>
      <w:r w:rsidR="0001386F" w:rsidRPr="006571AC">
        <w:rPr>
          <w:rFonts w:ascii="Arial" w:hAnsi="Arial" w:hint="cs"/>
          <w:sz w:val="27"/>
          <w:rtl/>
          <w:lang w:val="en-GB"/>
        </w:rPr>
        <w:t xml:space="preserve">يجيب الشهيد </w:t>
      </w:r>
      <w:r w:rsidRPr="006571AC">
        <w:rPr>
          <w:rFonts w:ascii="Arial" w:hAnsi="Arial" w:hint="cs"/>
          <w:sz w:val="27"/>
          <w:rtl/>
          <w:lang w:val="en-GB"/>
        </w:rPr>
        <w:t>ب</w:t>
      </w:r>
      <w:r w:rsidR="0001386F" w:rsidRPr="006571AC">
        <w:rPr>
          <w:rFonts w:ascii="Arial" w:hAnsi="Arial" w:hint="cs"/>
          <w:sz w:val="27"/>
          <w:rtl/>
          <w:lang w:val="en-GB"/>
        </w:rPr>
        <w:t>أن هناك ثلاث</w:t>
      </w:r>
      <w:r w:rsidR="00A061F8" w:rsidRPr="006571AC">
        <w:rPr>
          <w:rFonts w:ascii="Arial" w:hAnsi="Arial" w:hint="cs"/>
          <w:sz w:val="27"/>
          <w:rtl/>
          <w:lang w:val="en-GB"/>
        </w:rPr>
        <w:t>ة</w:t>
      </w:r>
      <w:r w:rsidR="0001386F" w:rsidRPr="006571AC">
        <w:rPr>
          <w:rFonts w:ascii="Arial" w:hAnsi="Arial" w:hint="cs"/>
          <w:sz w:val="27"/>
          <w:rtl/>
          <w:lang w:val="en-GB"/>
        </w:rPr>
        <w:t xml:space="preserve"> توجيهات: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b/>
          <w:bCs/>
          <w:sz w:val="27"/>
          <w:rtl/>
          <w:lang w:val="en-GB"/>
        </w:rPr>
        <w:t>الأو</w:t>
      </w:r>
      <w:r w:rsidR="00A061F8" w:rsidRPr="006571AC">
        <w:rPr>
          <w:rFonts w:ascii="Arial" w:hAnsi="Arial" w:hint="cs"/>
          <w:b/>
          <w:bCs/>
          <w:sz w:val="27"/>
          <w:rtl/>
          <w:lang w:val="en-GB"/>
        </w:rPr>
        <w:t>ّ</w:t>
      </w:r>
      <w:r w:rsidRPr="006571AC">
        <w:rPr>
          <w:rFonts w:ascii="Arial" w:hAnsi="Arial" w:hint="cs"/>
          <w:b/>
          <w:bCs/>
          <w:sz w:val="27"/>
          <w:rtl/>
          <w:lang w:val="en-GB"/>
        </w:rPr>
        <w:t>ل</w:t>
      </w:r>
      <w:r w:rsidRPr="006571AC">
        <w:rPr>
          <w:rFonts w:ascii="Arial" w:hAnsi="Arial" w:hint="cs"/>
          <w:sz w:val="27"/>
          <w:rtl/>
          <w:lang w:val="en-GB"/>
        </w:rPr>
        <w:t>: هو أن للإنسان أهدافا</w:t>
      </w:r>
      <w:r w:rsidR="00A061F8" w:rsidRPr="006571AC">
        <w:rPr>
          <w:rFonts w:ascii="Arial" w:hAnsi="Arial" w:hint="cs"/>
          <w:sz w:val="27"/>
          <w:rtl/>
          <w:lang w:val="en-GB"/>
        </w:rPr>
        <w:t>ً</w:t>
      </w:r>
      <w:r w:rsidRPr="006571AC">
        <w:rPr>
          <w:rFonts w:ascii="Arial" w:hAnsi="Arial" w:hint="cs"/>
          <w:sz w:val="27"/>
          <w:rtl/>
          <w:lang w:val="en-GB"/>
        </w:rPr>
        <w:t xml:space="preserve"> لسد</w:t>
      </w:r>
      <w:r w:rsidR="00A061F8" w:rsidRPr="006571AC">
        <w:rPr>
          <w:rFonts w:ascii="Arial" w:hAnsi="Arial" w:hint="cs"/>
          <w:sz w:val="27"/>
          <w:rtl/>
          <w:lang w:val="en-GB"/>
        </w:rPr>
        <w:t>ّ</w:t>
      </w:r>
      <w:r w:rsidRPr="006571AC">
        <w:rPr>
          <w:rFonts w:ascii="Arial" w:hAnsi="Arial" w:hint="cs"/>
          <w:sz w:val="27"/>
          <w:rtl/>
          <w:lang w:val="en-GB"/>
        </w:rPr>
        <w:t xml:space="preserve"> حاجته الذاتية، فإذا جاع</w:t>
      </w:r>
      <w:r w:rsidR="00A061F8" w:rsidRPr="006571AC">
        <w:rPr>
          <w:rFonts w:ascii="Arial" w:hAnsi="Arial" w:hint="cs"/>
          <w:sz w:val="27"/>
          <w:rtl/>
          <w:lang w:val="en-GB"/>
        </w:rPr>
        <w:t xml:space="preserve"> وُجد</w:t>
      </w:r>
      <w:r w:rsidRPr="006571AC">
        <w:rPr>
          <w:rFonts w:ascii="Arial" w:hAnsi="Arial" w:hint="cs"/>
          <w:sz w:val="27"/>
          <w:rtl/>
          <w:lang w:val="en-GB"/>
        </w:rPr>
        <w:t xml:space="preserve"> له هدف</w:t>
      </w:r>
      <w:r w:rsidR="00A061F8" w:rsidRPr="006571AC">
        <w:rPr>
          <w:rFonts w:ascii="Arial" w:hAnsi="Arial" w:hint="cs"/>
          <w:sz w:val="27"/>
          <w:rtl/>
          <w:lang w:val="en-GB"/>
        </w:rPr>
        <w:t>ٌ</w:t>
      </w:r>
      <w:r w:rsidRPr="006571AC">
        <w:rPr>
          <w:rFonts w:ascii="Arial" w:hAnsi="Arial" w:hint="cs"/>
          <w:sz w:val="27"/>
          <w:rtl/>
          <w:lang w:val="en-GB"/>
        </w:rPr>
        <w:t xml:space="preserve"> هو أن يُطْعَم</w:t>
      </w:r>
      <w:r w:rsidR="00A061F8" w:rsidRPr="006571AC">
        <w:rPr>
          <w:rFonts w:ascii="Arial" w:hAnsi="Arial" w:hint="cs"/>
          <w:sz w:val="27"/>
          <w:rtl/>
          <w:lang w:val="en-GB"/>
        </w:rPr>
        <w:t>،</w:t>
      </w:r>
      <w:r w:rsidRPr="006571AC">
        <w:rPr>
          <w:rFonts w:ascii="Arial" w:hAnsi="Arial" w:hint="cs"/>
          <w:sz w:val="27"/>
          <w:rtl/>
          <w:lang w:val="en-GB"/>
        </w:rPr>
        <w:t xml:space="preserve"> وأمثال ذلك</w:t>
      </w:r>
      <w:r w:rsidR="00A061F8" w:rsidRPr="006571AC">
        <w:rPr>
          <w:rFonts w:ascii="Arial" w:hAnsi="Arial" w:hint="cs"/>
          <w:sz w:val="27"/>
          <w:rtl/>
          <w:lang w:val="en-GB"/>
        </w:rPr>
        <w:t>.</w:t>
      </w:r>
      <w:r w:rsidRPr="006571AC">
        <w:rPr>
          <w:rFonts w:ascii="Arial" w:hAnsi="Arial" w:hint="cs"/>
          <w:sz w:val="27"/>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b/>
          <w:bCs/>
          <w:sz w:val="27"/>
          <w:rtl/>
          <w:lang w:val="en-GB"/>
        </w:rPr>
        <w:t>الثاني</w:t>
      </w:r>
      <w:r w:rsidRPr="006571AC">
        <w:rPr>
          <w:rFonts w:ascii="Arial" w:hAnsi="Arial" w:hint="cs"/>
          <w:sz w:val="27"/>
          <w:rtl/>
          <w:lang w:val="en-GB"/>
        </w:rPr>
        <w:t>: للإنسان أهداف</w:t>
      </w:r>
      <w:r w:rsidR="00A061F8" w:rsidRPr="006571AC">
        <w:rPr>
          <w:rFonts w:ascii="Arial" w:hAnsi="Arial" w:hint="cs"/>
          <w:sz w:val="27"/>
          <w:rtl/>
          <w:lang w:val="en-GB"/>
        </w:rPr>
        <w:t>ٌ</w:t>
      </w:r>
      <w:r w:rsidRPr="006571AC">
        <w:rPr>
          <w:rFonts w:ascii="Arial" w:hAnsi="Arial" w:hint="cs"/>
          <w:sz w:val="27"/>
          <w:rtl/>
          <w:lang w:val="en-GB"/>
        </w:rPr>
        <w:t xml:space="preserve"> أخرى، وهي الأهداف النوعية، </w:t>
      </w:r>
      <w:r w:rsidR="00A061F8" w:rsidRPr="006571AC">
        <w:rPr>
          <w:rFonts w:ascii="Arial" w:hAnsi="Arial" w:hint="cs"/>
          <w:sz w:val="27"/>
          <w:rtl/>
          <w:lang w:val="en-GB"/>
        </w:rPr>
        <w:t>ف</w:t>
      </w:r>
      <w:r w:rsidRPr="006571AC">
        <w:rPr>
          <w:rFonts w:ascii="Arial" w:hAnsi="Arial" w:hint="cs"/>
          <w:sz w:val="27"/>
          <w:rtl/>
          <w:lang w:val="en-GB"/>
        </w:rPr>
        <w:t>ه</w:t>
      </w:r>
      <w:r w:rsidR="00A061F8" w:rsidRPr="006571AC">
        <w:rPr>
          <w:rFonts w:ascii="Arial" w:hAnsi="Arial" w:hint="cs"/>
          <w:sz w:val="27"/>
          <w:rtl/>
          <w:lang w:val="en-GB"/>
        </w:rPr>
        <w:t>و</w:t>
      </w:r>
      <w:r w:rsidRPr="006571AC">
        <w:rPr>
          <w:rFonts w:ascii="Arial" w:hAnsi="Arial" w:hint="cs"/>
          <w:sz w:val="27"/>
          <w:rtl/>
          <w:lang w:val="en-GB"/>
        </w:rPr>
        <w:t xml:space="preserve"> يحب</w:t>
      </w:r>
      <w:r w:rsidR="00A061F8" w:rsidRPr="006571AC">
        <w:rPr>
          <w:rFonts w:ascii="Arial" w:hAnsi="Arial" w:hint="cs"/>
          <w:sz w:val="27"/>
          <w:rtl/>
          <w:lang w:val="en-GB"/>
        </w:rPr>
        <w:t>ّ</w:t>
      </w:r>
      <w:r w:rsidRPr="006571AC">
        <w:rPr>
          <w:rFonts w:ascii="Arial" w:hAnsi="Arial" w:hint="cs"/>
          <w:sz w:val="27"/>
          <w:rtl/>
          <w:lang w:val="en-GB"/>
        </w:rPr>
        <w:t xml:space="preserve"> الشيء لا من أجل نفسه، وإنما من أجل الآخرين.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b/>
          <w:bCs/>
          <w:sz w:val="27"/>
          <w:rtl/>
          <w:lang w:val="en-GB"/>
        </w:rPr>
        <w:t>الثالث</w:t>
      </w:r>
      <w:r w:rsidRPr="006571AC">
        <w:rPr>
          <w:rFonts w:ascii="Arial" w:hAnsi="Arial" w:hint="cs"/>
          <w:sz w:val="27"/>
          <w:rtl/>
          <w:lang w:val="en-GB"/>
        </w:rPr>
        <w:t>: نتيجة للأو</w:t>
      </w:r>
      <w:r w:rsidR="00A061F8" w:rsidRPr="006571AC">
        <w:rPr>
          <w:rFonts w:ascii="Arial" w:hAnsi="Arial" w:hint="cs"/>
          <w:sz w:val="27"/>
          <w:rtl/>
          <w:lang w:val="en-GB"/>
        </w:rPr>
        <w:t>ّ</w:t>
      </w:r>
      <w:r w:rsidRPr="006571AC">
        <w:rPr>
          <w:rFonts w:ascii="Arial" w:hAnsi="Arial" w:hint="cs"/>
          <w:sz w:val="27"/>
          <w:rtl/>
          <w:lang w:val="en-GB"/>
        </w:rPr>
        <w:t>ل والثاني يكون العمل اعتياديا</w:t>
      </w:r>
      <w:r w:rsidR="00A061F8" w:rsidRPr="006571AC">
        <w:rPr>
          <w:rFonts w:ascii="Arial" w:hAnsi="Arial" w:hint="cs"/>
          <w:sz w:val="27"/>
          <w:rtl/>
          <w:lang w:val="en-GB"/>
        </w:rPr>
        <w:t>ً</w:t>
      </w:r>
      <w:r w:rsidRPr="006571AC">
        <w:rPr>
          <w:rFonts w:ascii="Arial" w:hAnsi="Arial" w:hint="cs"/>
          <w:sz w:val="27"/>
          <w:rtl/>
          <w:lang w:val="en-GB"/>
        </w:rPr>
        <w:t xml:space="preserve"> ومبتذلا</w:t>
      </w:r>
      <w:r w:rsidR="00A061F8" w:rsidRPr="006571AC">
        <w:rPr>
          <w:rFonts w:ascii="Arial" w:hAnsi="Arial" w:hint="cs"/>
          <w:sz w:val="27"/>
          <w:rtl/>
          <w:lang w:val="en-GB"/>
        </w:rPr>
        <w:t>ً</w:t>
      </w:r>
      <w:r w:rsidRPr="006571AC">
        <w:rPr>
          <w:rFonts w:ascii="Arial" w:hAnsi="Arial" w:hint="cs"/>
          <w:sz w:val="27"/>
          <w:rtl/>
          <w:lang w:val="en-GB"/>
        </w:rPr>
        <w:t xml:space="preserve"> إذا عاد على عامله، ويكون متعاليا</w:t>
      </w:r>
      <w:r w:rsidR="00A061F8" w:rsidRPr="006571AC">
        <w:rPr>
          <w:rFonts w:ascii="Arial" w:hAnsi="Arial" w:hint="cs"/>
          <w:sz w:val="27"/>
          <w:rtl/>
          <w:lang w:val="en-GB"/>
        </w:rPr>
        <w:t>ً</w:t>
      </w:r>
      <w:r w:rsidRPr="006571AC">
        <w:rPr>
          <w:rFonts w:ascii="Arial" w:hAnsi="Arial" w:hint="cs"/>
          <w:sz w:val="27"/>
          <w:rtl/>
          <w:lang w:val="en-GB"/>
        </w:rPr>
        <w:t xml:space="preserve"> وكريما</w:t>
      </w:r>
      <w:r w:rsidR="00A061F8" w:rsidRPr="006571AC">
        <w:rPr>
          <w:rFonts w:ascii="Arial" w:hAnsi="Arial" w:hint="cs"/>
          <w:sz w:val="27"/>
          <w:rtl/>
          <w:lang w:val="en-GB"/>
        </w:rPr>
        <w:t>ً</w:t>
      </w:r>
      <w:r w:rsidRPr="006571AC">
        <w:rPr>
          <w:rFonts w:ascii="Arial" w:hAnsi="Arial" w:hint="cs"/>
          <w:sz w:val="27"/>
          <w:rtl/>
          <w:lang w:val="en-GB"/>
        </w:rPr>
        <w:t xml:space="preserve"> إذا عاد على الآخرين. فالغيرية ملاك الرفعة، والذاتية ملاك الضعة. فمعيار الأخلاقية هو العمومية، ومعيار غير الأخلاقية هو الخصوصية. فالعمومية تضفي على الفعل قيمة</w:t>
      </w:r>
      <w:r w:rsidR="00A061F8" w:rsidRPr="006571AC">
        <w:rPr>
          <w:rFonts w:ascii="Arial" w:hAnsi="Arial" w:hint="cs"/>
          <w:sz w:val="27"/>
          <w:rtl/>
          <w:lang w:val="en-GB"/>
        </w:rPr>
        <w:t>ً،</w:t>
      </w:r>
      <w:r w:rsidRPr="006571AC">
        <w:rPr>
          <w:rFonts w:ascii="Arial" w:hAnsi="Arial" w:hint="cs"/>
          <w:sz w:val="27"/>
          <w:rtl/>
          <w:lang w:val="en-GB"/>
        </w:rPr>
        <w:t xml:space="preserve"> مع أنه لا يختلف عن الفعل الذاتي. </w:t>
      </w:r>
    </w:p>
    <w:p w:rsidR="0001386F" w:rsidRPr="006571AC" w:rsidRDefault="0001386F" w:rsidP="00895BEB">
      <w:pPr>
        <w:autoSpaceDE w:val="0"/>
        <w:autoSpaceDN w:val="0"/>
        <w:adjustRightInd w:val="0"/>
        <w:spacing w:line="416" w:lineRule="exact"/>
        <w:rPr>
          <w:rFonts w:ascii="Arial" w:hAnsi="Arial"/>
          <w:sz w:val="27"/>
          <w:rtl/>
          <w:lang w:val="en-GB"/>
        </w:rPr>
      </w:pPr>
      <w:r w:rsidRPr="006571AC">
        <w:rPr>
          <w:rFonts w:ascii="Arial" w:hAnsi="Arial" w:hint="cs"/>
          <w:sz w:val="27"/>
          <w:rtl/>
          <w:lang w:val="en-GB"/>
        </w:rPr>
        <w:lastRenderedPageBreak/>
        <w:t>فصحيح</w:t>
      </w:r>
      <w:r w:rsidR="00137470" w:rsidRPr="006571AC">
        <w:rPr>
          <w:rFonts w:ascii="Arial" w:hAnsi="Arial" w:hint="cs"/>
          <w:sz w:val="27"/>
          <w:rtl/>
          <w:lang w:val="en-GB"/>
        </w:rPr>
        <w:t>ٌ</w:t>
      </w:r>
      <w:r w:rsidRPr="006571AC">
        <w:rPr>
          <w:rFonts w:ascii="Arial" w:hAnsi="Arial" w:hint="cs"/>
          <w:sz w:val="27"/>
          <w:rtl/>
          <w:lang w:val="en-GB"/>
        </w:rPr>
        <w:t xml:space="preserve"> أن الح</w:t>
      </w:r>
      <w:r w:rsidR="00137470" w:rsidRPr="006571AC">
        <w:rPr>
          <w:rFonts w:ascii="Arial" w:hAnsi="Arial" w:hint="cs"/>
          <w:sz w:val="27"/>
          <w:rtl/>
          <w:lang w:val="en-GB"/>
        </w:rPr>
        <w:t>َ</w:t>
      </w:r>
      <w:r w:rsidRPr="006571AC">
        <w:rPr>
          <w:rFonts w:ascii="Arial" w:hAnsi="Arial" w:hint="cs"/>
          <w:sz w:val="27"/>
          <w:rtl/>
          <w:lang w:val="en-GB"/>
        </w:rPr>
        <w:t>س</w:t>
      </w:r>
      <w:r w:rsidR="00137470" w:rsidRPr="006571AC">
        <w:rPr>
          <w:rFonts w:ascii="Arial" w:hAnsi="Arial" w:hint="cs"/>
          <w:sz w:val="27"/>
          <w:rtl/>
          <w:lang w:val="en-GB"/>
        </w:rPr>
        <w:t>َ</w:t>
      </w:r>
      <w:r w:rsidRPr="006571AC">
        <w:rPr>
          <w:rFonts w:ascii="Arial" w:hAnsi="Arial" w:hint="cs"/>
          <w:sz w:val="27"/>
          <w:rtl/>
          <w:lang w:val="en-GB"/>
        </w:rPr>
        <w:t>ن هو ما أحب</w:t>
      </w:r>
      <w:r w:rsidR="00E051CE" w:rsidRPr="006571AC">
        <w:rPr>
          <w:rFonts w:ascii="Arial" w:hAnsi="Arial" w:hint="cs"/>
          <w:sz w:val="27"/>
          <w:rtl/>
          <w:lang w:val="en-GB"/>
        </w:rPr>
        <w:t>ّ</w:t>
      </w:r>
      <w:r w:rsidRPr="006571AC">
        <w:rPr>
          <w:rFonts w:ascii="Arial" w:hAnsi="Arial" w:hint="cs"/>
          <w:sz w:val="27"/>
          <w:rtl/>
          <w:lang w:val="en-GB"/>
        </w:rPr>
        <w:t>، ولكني أحب</w:t>
      </w:r>
      <w:r w:rsidR="00137470" w:rsidRPr="006571AC">
        <w:rPr>
          <w:rFonts w:ascii="Arial" w:hAnsi="Arial" w:hint="cs"/>
          <w:sz w:val="27"/>
          <w:rtl/>
          <w:lang w:val="en-GB"/>
        </w:rPr>
        <w:t>ّ</w:t>
      </w:r>
      <w:r w:rsidRPr="006571AC">
        <w:rPr>
          <w:rFonts w:ascii="Arial" w:hAnsi="Arial" w:hint="cs"/>
          <w:sz w:val="27"/>
          <w:rtl/>
          <w:lang w:val="en-GB"/>
        </w:rPr>
        <w:t xml:space="preserve"> حينا</w:t>
      </w:r>
      <w:r w:rsidR="00137470" w:rsidRPr="006571AC">
        <w:rPr>
          <w:rFonts w:ascii="Arial" w:hAnsi="Arial" w:hint="cs"/>
          <w:sz w:val="27"/>
          <w:rtl/>
          <w:lang w:val="en-GB"/>
        </w:rPr>
        <w:t>ً</w:t>
      </w:r>
      <w:r w:rsidRPr="006571AC">
        <w:rPr>
          <w:rFonts w:ascii="Arial" w:hAnsi="Arial" w:hint="cs"/>
          <w:sz w:val="27"/>
          <w:rtl/>
          <w:lang w:val="en-GB"/>
        </w:rPr>
        <w:t xml:space="preserve"> لنفسي</w:t>
      </w:r>
      <w:r w:rsidR="00137470" w:rsidRPr="006571AC">
        <w:rPr>
          <w:rFonts w:ascii="Arial" w:hAnsi="Arial" w:hint="cs"/>
          <w:sz w:val="27"/>
          <w:rtl/>
          <w:lang w:val="en-GB"/>
        </w:rPr>
        <w:t xml:space="preserve">؛ </w:t>
      </w:r>
      <w:r w:rsidRPr="006571AC">
        <w:rPr>
          <w:rFonts w:ascii="Arial" w:hAnsi="Arial" w:hint="cs"/>
          <w:sz w:val="27"/>
          <w:rtl/>
          <w:lang w:val="en-GB"/>
        </w:rPr>
        <w:t>وحينا</w:t>
      </w:r>
      <w:r w:rsidR="00137470" w:rsidRPr="006571AC">
        <w:rPr>
          <w:rFonts w:ascii="Arial" w:hAnsi="Arial" w:hint="cs"/>
          <w:sz w:val="27"/>
          <w:rtl/>
          <w:lang w:val="en-GB"/>
        </w:rPr>
        <w:t>ً</w:t>
      </w:r>
      <w:r w:rsidRPr="006571AC">
        <w:rPr>
          <w:rFonts w:ascii="Arial" w:hAnsi="Arial" w:hint="cs"/>
          <w:sz w:val="27"/>
          <w:rtl/>
          <w:lang w:val="en-GB"/>
        </w:rPr>
        <w:t xml:space="preserve"> للآخرين وغيري، وما أحب</w:t>
      </w:r>
      <w:r w:rsidR="00137470" w:rsidRPr="006571AC">
        <w:rPr>
          <w:rFonts w:ascii="Arial" w:hAnsi="Arial" w:hint="cs"/>
          <w:sz w:val="27"/>
          <w:rtl/>
          <w:lang w:val="en-GB"/>
        </w:rPr>
        <w:t>ّ</w:t>
      </w:r>
      <w:r w:rsidRPr="006571AC">
        <w:rPr>
          <w:rFonts w:ascii="Arial" w:hAnsi="Arial" w:hint="cs"/>
          <w:sz w:val="27"/>
          <w:rtl/>
          <w:lang w:val="en-GB"/>
        </w:rPr>
        <w:t>ه لغيري يخرج عن البعضية (النسبي</w:t>
      </w:r>
      <w:r w:rsidR="00137470" w:rsidRPr="006571AC">
        <w:rPr>
          <w:rFonts w:ascii="Arial" w:hAnsi="Arial" w:hint="cs"/>
          <w:sz w:val="27"/>
          <w:rtl/>
          <w:lang w:val="en-GB"/>
        </w:rPr>
        <w:t>ّ</w:t>
      </w:r>
      <w:r w:rsidRPr="006571AC">
        <w:rPr>
          <w:rFonts w:ascii="Arial" w:hAnsi="Arial" w:hint="cs"/>
          <w:sz w:val="27"/>
          <w:rtl/>
          <w:lang w:val="en-GB"/>
        </w:rPr>
        <w:t>ة) إلى الكل</w:t>
      </w:r>
      <w:r w:rsidR="00E051CE" w:rsidRPr="006571AC">
        <w:rPr>
          <w:rFonts w:ascii="Arial" w:hAnsi="Arial" w:hint="cs"/>
          <w:sz w:val="27"/>
          <w:rtl/>
          <w:lang w:val="en-GB"/>
        </w:rPr>
        <w:t>ِّ</w:t>
      </w:r>
      <w:r w:rsidRPr="006571AC">
        <w:rPr>
          <w:rFonts w:ascii="Arial" w:hAnsi="Arial" w:hint="cs"/>
          <w:sz w:val="27"/>
          <w:rtl/>
          <w:lang w:val="en-GB"/>
        </w:rPr>
        <w:t>ية ق</w:t>
      </w:r>
      <w:r w:rsidR="00E051CE" w:rsidRPr="006571AC">
        <w:rPr>
          <w:rFonts w:ascii="Arial" w:hAnsi="Arial" w:hint="cs"/>
          <w:sz w:val="27"/>
          <w:rtl/>
          <w:lang w:val="en-GB"/>
        </w:rPr>
        <w:t>َ</w:t>
      </w:r>
      <w:r w:rsidRPr="006571AC">
        <w:rPr>
          <w:rFonts w:ascii="Arial" w:hAnsi="Arial" w:hint="cs"/>
          <w:sz w:val="27"/>
          <w:rtl/>
          <w:lang w:val="en-GB"/>
        </w:rPr>
        <w:t>ه</w:t>
      </w:r>
      <w:r w:rsidR="00E051CE" w:rsidRPr="006571AC">
        <w:rPr>
          <w:rFonts w:ascii="Arial" w:hAnsi="Arial" w:hint="cs"/>
          <w:sz w:val="27"/>
          <w:rtl/>
          <w:lang w:val="en-GB"/>
        </w:rPr>
        <w:t>ْ</w:t>
      </w:r>
      <w:r w:rsidRPr="006571AC">
        <w:rPr>
          <w:rFonts w:ascii="Arial" w:hAnsi="Arial" w:hint="cs"/>
          <w:sz w:val="27"/>
          <w:rtl/>
          <w:lang w:val="en-GB"/>
        </w:rPr>
        <w:t>را</w:t>
      </w:r>
      <w:r w:rsidR="00137470" w:rsidRPr="006571AC">
        <w:rPr>
          <w:rFonts w:ascii="Arial" w:hAnsi="Arial" w:hint="cs"/>
          <w:sz w:val="27"/>
          <w:rtl/>
          <w:lang w:val="en-GB"/>
        </w:rPr>
        <w:t>ً</w:t>
      </w:r>
      <w:r w:rsidRPr="006571AC">
        <w:rPr>
          <w:rFonts w:ascii="Arial" w:hAnsi="Arial" w:hint="cs"/>
          <w:sz w:val="27"/>
          <w:rtl/>
          <w:lang w:val="en-GB"/>
        </w:rPr>
        <w:t>، ويصير عام</w:t>
      </w:r>
      <w:r w:rsidR="00137470" w:rsidRPr="006571AC">
        <w:rPr>
          <w:rFonts w:ascii="Arial" w:hAnsi="Arial" w:hint="cs"/>
          <w:sz w:val="27"/>
          <w:rtl/>
          <w:lang w:val="en-GB"/>
        </w:rPr>
        <w:t>ّ</w:t>
      </w:r>
      <w:r w:rsidRPr="006571AC">
        <w:rPr>
          <w:rFonts w:ascii="Arial" w:hAnsi="Arial" w:hint="cs"/>
          <w:sz w:val="27"/>
          <w:rtl/>
          <w:lang w:val="en-GB"/>
        </w:rPr>
        <w:t>ا</w:t>
      </w:r>
      <w:r w:rsidR="00137470" w:rsidRPr="006571AC">
        <w:rPr>
          <w:rFonts w:ascii="Arial" w:hAnsi="Arial" w:hint="cs"/>
          <w:sz w:val="27"/>
          <w:rtl/>
          <w:lang w:val="en-GB"/>
        </w:rPr>
        <w:t>ً</w:t>
      </w:r>
      <w:r w:rsidRPr="006571AC">
        <w:rPr>
          <w:rFonts w:ascii="Arial" w:hAnsi="Arial" w:hint="cs"/>
          <w:sz w:val="27"/>
          <w:rtl/>
          <w:lang w:val="en-GB"/>
        </w:rPr>
        <w:t xml:space="preserve"> دائما</w:t>
      </w:r>
      <w:r w:rsidR="00137470" w:rsidRPr="006571AC">
        <w:rPr>
          <w:rFonts w:ascii="Arial" w:hAnsi="Arial" w:hint="cs"/>
          <w:sz w:val="27"/>
          <w:rtl/>
          <w:lang w:val="en-GB"/>
        </w:rPr>
        <w:t>ً</w:t>
      </w:r>
      <w:r w:rsidRPr="006571AC">
        <w:rPr>
          <w:rFonts w:ascii="Arial" w:hAnsi="Arial" w:hint="cs"/>
          <w:sz w:val="27"/>
          <w:rtl/>
          <w:lang w:val="en-GB"/>
        </w:rPr>
        <w:t xml:space="preserve"> أخلاقيا</w:t>
      </w:r>
      <w:r w:rsidR="00137470" w:rsidRPr="006571AC">
        <w:rPr>
          <w:rFonts w:ascii="Arial" w:hAnsi="Arial" w:hint="cs"/>
          <w:sz w:val="27"/>
          <w:rtl/>
          <w:lang w:val="en-GB"/>
        </w:rPr>
        <w:t>ً؛</w:t>
      </w:r>
      <w:r w:rsidRPr="006571AC">
        <w:rPr>
          <w:rFonts w:ascii="Arial" w:hAnsi="Arial" w:hint="cs"/>
          <w:sz w:val="27"/>
          <w:rtl/>
          <w:lang w:val="en-GB"/>
        </w:rPr>
        <w:t xml:space="preserve"> لأنه ينبع من حب</w:t>
      </w:r>
      <w:r w:rsidR="00137470" w:rsidRPr="006571AC">
        <w:rPr>
          <w:rFonts w:ascii="Arial" w:hAnsi="Arial" w:hint="cs"/>
          <w:sz w:val="27"/>
          <w:rtl/>
          <w:lang w:val="en-GB"/>
        </w:rPr>
        <w:t>ّ</w:t>
      </w:r>
      <w:r w:rsidRPr="006571AC">
        <w:rPr>
          <w:rFonts w:ascii="Arial" w:hAnsi="Arial" w:hint="cs"/>
          <w:sz w:val="27"/>
          <w:rtl/>
          <w:lang w:val="en-GB"/>
        </w:rPr>
        <w:t xml:space="preserve"> الخير للآخرين. وهذا أصل</w:t>
      </w:r>
      <w:r w:rsidR="00137470" w:rsidRPr="006571AC">
        <w:rPr>
          <w:rFonts w:ascii="Arial" w:hAnsi="Arial" w:hint="cs"/>
          <w:sz w:val="27"/>
          <w:rtl/>
          <w:lang w:val="en-GB"/>
        </w:rPr>
        <w:t>ٌ</w:t>
      </w:r>
      <w:r w:rsidRPr="006571AC">
        <w:rPr>
          <w:rFonts w:ascii="Arial" w:hAnsi="Arial" w:hint="cs"/>
          <w:sz w:val="27"/>
          <w:rtl/>
          <w:lang w:val="en-GB"/>
        </w:rPr>
        <w:t xml:space="preserve"> كل</w:t>
      </w:r>
      <w:r w:rsidR="00137470" w:rsidRPr="006571AC">
        <w:rPr>
          <w:rFonts w:ascii="Arial" w:hAnsi="Arial" w:hint="cs"/>
          <w:sz w:val="27"/>
          <w:rtl/>
          <w:lang w:val="en-GB"/>
        </w:rPr>
        <w:t>ّ</w:t>
      </w:r>
      <w:r w:rsidRPr="006571AC">
        <w:rPr>
          <w:rFonts w:ascii="Arial" w:hAnsi="Arial" w:hint="cs"/>
          <w:sz w:val="27"/>
          <w:rtl/>
          <w:lang w:val="en-GB"/>
        </w:rPr>
        <w:t>ي دائم</w:t>
      </w:r>
      <w:r w:rsidRPr="006571AC">
        <w:rPr>
          <w:rFonts w:ascii="Arial" w:hAnsi="Arial"/>
          <w:sz w:val="27"/>
          <w:vertAlign w:val="superscript"/>
          <w:rtl/>
          <w:lang w:val="en-GB"/>
        </w:rPr>
        <w:t>(</w:t>
      </w:r>
      <w:r w:rsidRPr="006571AC">
        <w:rPr>
          <w:rStyle w:val="ac"/>
          <w:rFonts w:ascii="Arial" w:hAnsi="Arial"/>
          <w:sz w:val="27"/>
          <w:rtl/>
          <w:lang w:val="en-GB"/>
        </w:rPr>
        <w:endnoteReference w:id="695"/>
      </w:r>
      <w:r w:rsidRPr="006571AC">
        <w:rPr>
          <w:rFonts w:ascii="Arial" w:hAnsi="Arial"/>
          <w:sz w:val="27"/>
          <w:vertAlign w:val="superscript"/>
          <w:rtl/>
          <w:lang w:val="en-GB"/>
        </w:rPr>
        <w:t>)</w:t>
      </w:r>
      <w:r w:rsidRPr="006571AC">
        <w:rPr>
          <w:rFonts w:ascii="Arial" w:hAnsi="Arial" w:hint="cs"/>
          <w:sz w:val="27"/>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b/>
          <w:bCs/>
          <w:sz w:val="27"/>
          <w:rtl/>
          <w:lang w:val="en-GB"/>
        </w:rPr>
        <w:t>ثم</w:t>
      </w:r>
      <w:r w:rsidR="007307DD" w:rsidRPr="006571AC">
        <w:rPr>
          <w:rFonts w:ascii="Arial" w:hAnsi="Arial" w:hint="cs"/>
          <w:b/>
          <w:bCs/>
          <w:sz w:val="27"/>
          <w:rtl/>
          <w:lang w:val="en-GB"/>
        </w:rPr>
        <w:t>ّ</w:t>
      </w:r>
      <w:r w:rsidRPr="006571AC">
        <w:rPr>
          <w:rFonts w:ascii="Arial" w:hAnsi="Arial" w:hint="cs"/>
          <w:b/>
          <w:bCs/>
          <w:sz w:val="27"/>
          <w:rtl/>
          <w:lang w:val="en-GB"/>
        </w:rPr>
        <w:t xml:space="preserve"> يطرح سؤال</w:t>
      </w:r>
      <w:r w:rsidR="007307DD" w:rsidRPr="006571AC">
        <w:rPr>
          <w:rFonts w:ascii="Arial" w:hAnsi="Arial" w:hint="cs"/>
          <w:b/>
          <w:bCs/>
          <w:sz w:val="27"/>
          <w:rtl/>
          <w:lang w:val="en-GB"/>
        </w:rPr>
        <w:t>اً</w:t>
      </w:r>
      <w:r w:rsidRPr="006571AC">
        <w:rPr>
          <w:rFonts w:ascii="Arial" w:hAnsi="Arial" w:hint="cs"/>
          <w:b/>
          <w:bCs/>
          <w:sz w:val="27"/>
          <w:rtl/>
          <w:lang w:val="en-GB"/>
        </w:rPr>
        <w:t xml:space="preserve"> مدار</w:t>
      </w:r>
      <w:r w:rsidR="007307DD" w:rsidRPr="006571AC">
        <w:rPr>
          <w:rFonts w:ascii="Arial" w:hAnsi="Arial" w:hint="cs"/>
          <w:b/>
          <w:bCs/>
          <w:sz w:val="27"/>
          <w:rtl/>
          <w:lang w:val="en-GB"/>
        </w:rPr>
        <w:t>اً</w:t>
      </w:r>
      <w:r w:rsidRPr="006571AC">
        <w:rPr>
          <w:rFonts w:ascii="Arial" w:hAnsi="Arial" w:hint="cs"/>
          <w:b/>
          <w:bCs/>
          <w:sz w:val="27"/>
          <w:rtl/>
          <w:lang w:val="en-GB"/>
        </w:rPr>
        <w:t xml:space="preserve"> </w:t>
      </w:r>
      <w:r w:rsidR="007307DD" w:rsidRPr="006571AC">
        <w:rPr>
          <w:rFonts w:ascii="Arial" w:hAnsi="Arial" w:hint="cs"/>
          <w:b/>
          <w:bCs/>
          <w:sz w:val="27"/>
          <w:rtl/>
          <w:lang w:val="en-GB"/>
        </w:rPr>
        <w:t>ل</w:t>
      </w:r>
      <w:r w:rsidRPr="006571AC">
        <w:rPr>
          <w:rFonts w:ascii="Arial" w:hAnsi="Arial" w:hint="cs"/>
          <w:b/>
          <w:bCs/>
          <w:sz w:val="27"/>
          <w:rtl/>
          <w:lang w:val="en-GB"/>
        </w:rPr>
        <w:t>لبحث</w:t>
      </w:r>
      <w:r w:rsidR="007307DD" w:rsidRPr="006571AC">
        <w:rPr>
          <w:rFonts w:ascii="Arial" w:hAnsi="Arial" w:hint="cs"/>
          <w:sz w:val="27"/>
          <w:rtl/>
          <w:lang w:val="en-GB"/>
        </w:rPr>
        <w:t>،</w:t>
      </w:r>
      <w:r w:rsidRPr="006571AC">
        <w:rPr>
          <w:rFonts w:ascii="Arial" w:hAnsi="Arial" w:hint="cs"/>
          <w:sz w:val="27"/>
          <w:rtl/>
          <w:lang w:val="en-GB"/>
        </w:rPr>
        <w:t xml:space="preserve"> </w:t>
      </w:r>
      <w:r w:rsidR="007307DD" w:rsidRPr="006571AC">
        <w:rPr>
          <w:rFonts w:ascii="Arial" w:hAnsi="Arial" w:hint="cs"/>
          <w:sz w:val="27"/>
          <w:rtl/>
          <w:lang w:val="en-GB"/>
        </w:rPr>
        <w:t xml:space="preserve">وهو: </w:t>
      </w:r>
      <w:r w:rsidRPr="006571AC">
        <w:rPr>
          <w:rFonts w:ascii="Arial" w:hAnsi="Arial" w:hint="cs"/>
          <w:sz w:val="27"/>
          <w:rtl/>
          <w:lang w:val="en-GB"/>
        </w:rPr>
        <w:t>هل الأصول الأخلاقية ثابتة</w:t>
      </w:r>
      <w:r w:rsidR="007307DD" w:rsidRPr="006571AC">
        <w:rPr>
          <w:rFonts w:ascii="Arial" w:hAnsi="Arial" w:hint="cs"/>
          <w:sz w:val="27"/>
          <w:rtl/>
          <w:lang w:val="en-GB"/>
        </w:rPr>
        <w:t>ٌ</w:t>
      </w:r>
      <w:r w:rsidRPr="006571AC">
        <w:rPr>
          <w:rFonts w:ascii="Arial" w:hAnsi="Arial" w:hint="cs"/>
          <w:sz w:val="27"/>
          <w:rtl/>
          <w:lang w:val="en-GB"/>
        </w:rPr>
        <w:t xml:space="preserve"> أو لا؟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يقول</w:t>
      </w:r>
      <w:r w:rsidR="007307DD" w:rsidRPr="006571AC">
        <w:rPr>
          <w:rFonts w:ascii="Arial" w:hAnsi="Arial" w:hint="cs"/>
          <w:sz w:val="27"/>
          <w:rtl/>
          <w:lang w:val="en-GB"/>
        </w:rPr>
        <w:t>:</w:t>
      </w:r>
      <w:r w:rsidRPr="006571AC">
        <w:rPr>
          <w:rFonts w:ascii="Arial" w:hAnsi="Arial" w:hint="cs"/>
          <w:sz w:val="27"/>
          <w:rtl/>
          <w:lang w:val="en-GB"/>
        </w:rPr>
        <w:t xml:space="preserve"> نحن لدينا أمور يحكم عليها الجميع حكما</w:t>
      </w:r>
      <w:r w:rsidR="007307DD" w:rsidRPr="006571AC">
        <w:rPr>
          <w:rFonts w:ascii="Arial" w:hAnsi="Arial" w:hint="cs"/>
          <w:sz w:val="27"/>
          <w:rtl/>
          <w:lang w:val="en-GB"/>
        </w:rPr>
        <w:t>ً</w:t>
      </w:r>
      <w:r w:rsidRPr="006571AC">
        <w:rPr>
          <w:rFonts w:ascii="Arial" w:hAnsi="Arial" w:hint="cs"/>
          <w:sz w:val="27"/>
          <w:rtl/>
          <w:lang w:val="en-GB"/>
        </w:rPr>
        <w:t xml:space="preserve"> واحدا</w:t>
      </w:r>
      <w:r w:rsidR="007307DD" w:rsidRPr="006571AC">
        <w:rPr>
          <w:rFonts w:ascii="Arial" w:hAnsi="Arial" w:hint="cs"/>
          <w:sz w:val="27"/>
          <w:rtl/>
          <w:lang w:val="en-GB"/>
        </w:rPr>
        <w:t>ً</w:t>
      </w:r>
      <w:r w:rsidRPr="006571AC">
        <w:rPr>
          <w:rFonts w:ascii="Arial" w:hAnsi="Arial" w:hint="cs"/>
          <w:sz w:val="27"/>
          <w:rtl/>
          <w:lang w:val="en-GB"/>
        </w:rPr>
        <w:t>، وكلهم ير</w:t>
      </w:r>
      <w:r w:rsidR="007307DD" w:rsidRPr="006571AC">
        <w:rPr>
          <w:rFonts w:ascii="Arial" w:hAnsi="Arial" w:hint="cs"/>
          <w:sz w:val="27"/>
          <w:rtl/>
          <w:lang w:val="en-GB"/>
        </w:rPr>
        <w:t>َ</w:t>
      </w:r>
      <w:r w:rsidRPr="006571AC">
        <w:rPr>
          <w:rFonts w:ascii="Arial" w:hAnsi="Arial" w:hint="cs"/>
          <w:sz w:val="27"/>
          <w:rtl/>
          <w:lang w:val="en-GB"/>
        </w:rPr>
        <w:t>و</w:t>
      </w:r>
      <w:r w:rsidR="007307DD" w:rsidRPr="006571AC">
        <w:rPr>
          <w:rFonts w:ascii="Arial" w:hAnsi="Arial" w:hint="cs"/>
          <w:sz w:val="27"/>
          <w:rtl/>
          <w:lang w:val="en-GB"/>
        </w:rPr>
        <w:t>ْ</w:t>
      </w:r>
      <w:r w:rsidRPr="006571AC">
        <w:rPr>
          <w:rFonts w:ascii="Arial" w:hAnsi="Arial" w:hint="cs"/>
          <w:sz w:val="27"/>
          <w:rtl/>
          <w:lang w:val="en-GB"/>
        </w:rPr>
        <w:t>نها ذات قيمة، كالإحسان للمحسن، وعمل الخير للآخرين، والثبات على المبدأ</w:t>
      </w:r>
      <w:r w:rsidR="007307DD" w:rsidRPr="006571AC">
        <w:rPr>
          <w:rFonts w:ascii="Arial" w:hAnsi="Arial" w:hint="cs"/>
          <w:sz w:val="27"/>
          <w:rtl/>
          <w:lang w:val="en-GB"/>
        </w:rPr>
        <w:t>.</w:t>
      </w:r>
      <w:r w:rsidRPr="006571AC">
        <w:rPr>
          <w:rFonts w:ascii="Arial" w:hAnsi="Arial" w:hint="cs"/>
          <w:sz w:val="27"/>
          <w:rtl/>
          <w:lang w:val="en-GB"/>
        </w:rPr>
        <w:t xml:space="preserve"> وينقل لنا التاريخ قصصا</w:t>
      </w:r>
      <w:r w:rsidR="007307DD" w:rsidRPr="006571AC">
        <w:rPr>
          <w:rFonts w:ascii="Arial" w:hAnsi="Arial" w:hint="cs"/>
          <w:sz w:val="27"/>
          <w:rtl/>
          <w:lang w:val="en-GB"/>
        </w:rPr>
        <w:t>ً</w:t>
      </w:r>
      <w:r w:rsidRPr="006571AC">
        <w:rPr>
          <w:rFonts w:ascii="Arial" w:hAnsi="Arial" w:hint="cs"/>
          <w:sz w:val="27"/>
          <w:rtl/>
          <w:lang w:val="en-GB"/>
        </w:rPr>
        <w:t xml:space="preserve"> كثير</w:t>
      </w:r>
      <w:r w:rsidR="007307DD" w:rsidRPr="006571AC">
        <w:rPr>
          <w:rFonts w:ascii="Arial" w:hAnsi="Arial" w:hint="cs"/>
          <w:sz w:val="27"/>
          <w:rtl/>
          <w:lang w:val="en-GB"/>
        </w:rPr>
        <w:t>ةً</w:t>
      </w:r>
      <w:r w:rsidRPr="006571AC">
        <w:rPr>
          <w:rFonts w:ascii="Arial" w:hAnsi="Arial" w:hint="cs"/>
          <w:sz w:val="27"/>
          <w:rtl/>
          <w:lang w:val="en-GB"/>
        </w:rPr>
        <w:t xml:space="preserve"> من هذا القبيل</w:t>
      </w:r>
      <w:r w:rsidR="00392892" w:rsidRPr="006571AC">
        <w:rPr>
          <w:rFonts w:ascii="Arial" w:hAnsi="Arial" w:hint="cs"/>
          <w:sz w:val="27"/>
          <w:rtl/>
          <w:lang w:val="en-GB"/>
        </w:rPr>
        <w:t>.</w:t>
      </w:r>
      <w:r w:rsidRPr="006571AC">
        <w:rPr>
          <w:rFonts w:ascii="Arial" w:hAnsi="Arial" w:hint="cs"/>
          <w:sz w:val="27"/>
          <w:rtl/>
          <w:lang w:val="en-GB"/>
        </w:rPr>
        <w:t xml:space="preserve"> مدح الناس عبر أجيال وأجيال بنفس المستوى.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وفق ذلك فالصدق ح</w:t>
      </w:r>
      <w:r w:rsidR="00392892" w:rsidRPr="006571AC">
        <w:rPr>
          <w:rFonts w:ascii="Arial" w:hAnsi="Arial" w:hint="cs"/>
          <w:sz w:val="27"/>
          <w:rtl/>
          <w:lang w:val="en-GB"/>
        </w:rPr>
        <w:t>َ</w:t>
      </w:r>
      <w:r w:rsidRPr="006571AC">
        <w:rPr>
          <w:rFonts w:ascii="Arial" w:hAnsi="Arial" w:hint="cs"/>
          <w:sz w:val="27"/>
          <w:rtl/>
          <w:lang w:val="en-GB"/>
        </w:rPr>
        <w:t>س</w:t>
      </w:r>
      <w:r w:rsidR="00392892" w:rsidRPr="006571AC">
        <w:rPr>
          <w:rFonts w:ascii="Arial" w:hAnsi="Arial" w:hint="cs"/>
          <w:sz w:val="27"/>
          <w:rtl/>
          <w:lang w:val="en-GB"/>
        </w:rPr>
        <w:t>َ</w:t>
      </w:r>
      <w:r w:rsidRPr="006571AC">
        <w:rPr>
          <w:rFonts w:ascii="Arial" w:hAnsi="Arial" w:hint="cs"/>
          <w:sz w:val="27"/>
          <w:rtl/>
          <w:lang w:val="en-GB"/>
        </w:rPr>
        <w:t>ن</w:t>
      </w:r>
      <w:r w:rsidR="00392892" w:rsidRPr="006571AC">
        <w:rPr>
          <w:rFonts w:ascii="Arial" w:hAnsi="Arial" w:hint="cs"/>
          <w:sz w:val="27"/>
          <w:rtl/>
          <w:lang w:val="en-GB"/>
        </w:rPr>
        <w:t>ٌ</w:t>
      </w:r>
      <w:r w:rsidRPr="006571AC">
        <w:rPr>
          <w:rFonts w:ascii="Arial" w:hAnsi="Arial" w:hint="cs"/>
          <w:sz w:val="27"/>
          <w:rtl/>
          <w:lang w:val="en-GB"/>
        </w:rPr>
        <w:t xml:space="preserve"> بما هو صدق</w:t>
      </w:r>
      <w:r w:rsidR="00392892" w:rsidRPr="006571AC">
        <w:rPr>
          <w:rFonts w:ascii="Arial" w:hAnsi="Arial" w:hint="cs"/>
          <w:sz w:val="27"/>
          <w:rtl/>
          <w:lang w:val="en-GB"/>
        </w:rPr>
        <w:t>ٌ</w:t>
      </w:r>
      <w:r w:rsidRPr="006571AC">
        <w:rPr>
          <w:rFonts w:ascii="Arial" w:hAnsi="Arial" w:hint="cs"/>
          <w:sz w:val="27"/>
          <w:rtl/>
          <w:lang w:val="en-GB"/>
        </w:rPr>
        <w:t>، ولكنه ح</w:t>
      </w:r>
      <w:r w:rsidR="00392892" w:rsidRPr="006571AC">
        <w:rPr>
          <w:rFonts w:ascii="Arial" w:hAnsi="Arial" w:hint="cs"/>
          <w:sz w:val="27"/>
          <w:rtl/>
          <w:lang w:val="en-GB"/>
        </w:rPr>
        <w:t>َ</w:t>
      </w:r>
      <w:r w:rsidRPr="006571AC">
        <w:rPr>
          <w:rFonts w:ascii="Arial" w:hAnsi="Arial" w:hint="cs"/>
          <w:sz w:val="27"/>
          <w:rtl/>
          <w:lang w:val="en-GB"/>
        </w:rPr>
        <w:t>س</w:t>
      </w:r>
      <w:r w:rsidR="00392892" w:rsidRPr="006571AC">
        <w:rPr>
          <w:rFonts w:ascii="Arial" w:hAnsi="Arial" w:hint="cs"/>
          <w:sz w:val="27"/>
          <w:rtl/>
          <w:lang w:val="en-GB"/>
        </w:rPr>
        <w:t>َ</w:t>
      </w:r>
      <w:r w:rsidRPr="006571AC">
        <w:rPr>
          <w:rFonts w:ascii="Arial" w:hAnsi="Arial" w:hint="cs"/>
          <w:sz w:val="27"/>
          <w:rtl/>
          <w:lang w:val="en-GB"/>
        </w:rPr>
        <w:t>ن</w:t>
      </w:r>
      <w:r w:rsidR="00392892" w:rsidRPr="006571AC">
        <w:rPr>
          <w:rFonts w:ascii="Arial" w:hAnsi="Arial" w:hint="cs"/>
          <w:sz w:val="27"/>
          <w:rtl/>
          <w:lang w:val="en-GB"/>
        </w:rPr>
        <w:t>ٌ</w:t>
      </w:r>
      <w:r w:rsidRPr="006571AC">
        <w:rPr>
          <w:rFonts w:ascii="Arial" w:hAnsi="Arial" w:hint="cs"/>
          <w:sz w:val="27"/>
          <w:rtl/>
          <w:lang w:val="en-GB"/>
        </w:rPr>
        <w:t xml:space="preserve"> لخدمته للآخرين</w:t>
      </w:r>
      <w:r w:rsidR="00392892" w:rsidRPr="006571AC">
        <w:rPr>
          <w:rFonts w:ascii="Arial" w:hAnsi="Arial" w:hint="cs"/>
          <w:sz w:val="27"/>
          <w:rtl/>
          <w:lang w:val="en-GB"/>
        </w:rPr>
        <w:t>.</w:t>
      </w:r>
      <w:r w:rsidRPr="006571AC">
        <w:rPr>
          <w:rFonts w:ascii="Arial" w:hAnsi="Arial" w:hint="cs"/>
          <w:sz w:val="27"/>
          <w:rtl/>
          <w:lang w:val="en-GB"/>
        </w:rPr>
        <w:t xml:space="preserve"> فملاك ح</w:t>
      </w:r>
      <w:r w:rsidR="00392892" w:rsidRPr="006571AC">
        <w:rPr>
          <w:rFonts w:ascii="Arial" w:hAnsi="Arial" w:hint="cs"/>
          <w:sz w:val="27"/>
          <w:rtl/>
          <w:lang w:val="en-GB"/>
        </w:rPr>
        <w:t>ُ</w:t>
      </w:r>
      <w:r w:rsidRPr="006571AC">
        <w:rPr>
          <w:rFonts w:ascii="Arial" w:hAnsi="Arial" w:hint="cs"/>
          <w:sz w:val="27"/>
          <w:rtl/>
          <w:lang w:val="en-GB"/>
        </w:rPr>
        <w:t>س</w:t>
      </w:r>
      <w:r w:rsidR="00392892" w:rsidRPr="006571AC">
        <w:rPr>
          <w:rFonts w:ascii="Arial" w:hAnsi="Arial" w:hint="cs"/>
          <w:sz w:val="27"/>
          <w:rtl/>
          <w:lang w:val="en-GB"/>
        </w:rPr>
        <w:t>ْ</w:t>
      </w:r>
      <w:r w:rsidRPr="006571AC">
        <w:rPr>
          <w:rFonts w:ascii="Arial" w:hAnsi="Arial" w:hint="cs"/>
          <w:sz w:val="27"/>
          <w:rtl/>
          <w:lang w:val="en-GB"/>
        </w:rPr>
        <w:t>نه الأصلي هو هذه الخدمة العام</w:t>
      </w:r>
      <w:r w:rsidR="00392892" w:rsidRPr="006571AC">
        <w:rPr>
          <w:rFonts w:ascii="Arial" w:hAnsi="Arial" w:hint="cs"/>
          <w:sz w:val="27"/>
          <w:rtl/>
          <w:lang w:val="en-GB"/>
        </w:rPr>
        <w:t>ّ</w:t>
      </w:r>
      <w:r w:rsidRPr="006571AC">
        <w:rPr>
          <w:rFonts w:ascii="Arial" w:hAnsi="Arial" w:hint="cs"/>
          <w:sz w:val="27"/>
          <w:rtl/>
          <w:lang w:val="en-GB"/>
        </w:rPr>
        <w:t>ة، فلو ترت</w:t>
      </w:r>
      <w:r w:rsidR="00392892" w:rsidRPr="006571AC">
        <w:rPr>
          <w:rFonts w:ascii="Arial" w:hAnsi="Arial" w:hint="cs"/>
          <w:sz w:val="27"/>
          <w:rtl/>
          <w:lang w:val="en-GB"/>
        </w:rPr>
        <w:t>َّ</w:t>
      </w:r>
      <w:r w:rsidRPr="006571AC">
        <w:rPr>
          <w:rFonts w:ascii="Arial" w:hAnsi="Arial" w:hint="cs"/>
          <w:sz w:val="27"/>
          <w:rtl/>
          <w:lang w:val="en-GB"/>
        </w:rPr>
        <w:t>ب عليه ض</w:t>
      </w:r>
      <w:r w:rsidR="007238FE" w:rsidRPr="006571AC">
        <w:rPr>
          <w:rFonts w:ascii="Arial" w:hAnsi="Arial" w:hint="cs"/>
          <w:sz w:val="27"/>
          <w:rtl/>
          <w:lang w:val="en-GB"/>
        </w:rPr>
        <w:t>َ</w:t>
      </w:r>
      <w:r w:rsidRPr="006571AC">
        <w:rPr>
          <w:rFonts w:ascii="Arial" w:hAnsi="Arial" w:hint="cs"/>
          <w:sz w:val="27"/>
          <w:rtl/>
          <w:lang w:val="en-GB"/>
        </w:rPr>
        <w:t>ر</w:t>
      </w:r>
      <w:r w:rsidR="007238FE" w:rsidRPr="006571AC">
        <w:rPr>
          <w:rFonts w:ascii="Arial" w:hAnsi="Arial" w:hint="cs"/>
          <w:sz w:val="27"/>
          <w:rtl/>
          <w:lang w:val="en-GB"/>
        </w:rPr>
        <w:t>َ</w:t>
      </w:r>
      <w:r w:rsidRPr="006571AC">
        <w:rPr>
          <w:rFonts w:ascii="Arial" w:hAnsi="Arial" w:hint="cs"/>
          <w:sz w:val="27"/>
          <w:rtl/>
          <w:lang w:val="en-GB"/>
        </w:rPr>
        <w:t>ر</w:t>
      </w:r>
      <w:r w:rsidR="00392892" w:rsidRPr="006571AC">
        <w:rPr>
          <w:rFonts w:ascii="Arial" w:hAnsi="Arial" w:hint="cs"/>
          <w:sz w:val="27"/>
          <w:rtl/>
          <w:lang w:val="en-GB"/>
        </w:rPr>
        <w:t>ٌ</w:t>
      </w:r>
      <w:r w:rsidRPr="006571AC">
        <w:rPr>
          <w:rFonts w:ascii="Arial" w:hAnsi="Arial" w:hint="cs"/>
          <w:sz w:val="27"/>
          <w:rtl/>
          <w:lang w:val="en-GB"/>
        </w:rPr>
        <w:t xml:space="preserve"> للآخرين كان قبيحا</w:t>
      </w:r>
      <w:r w:rsidR="00392892" w:rsidRPr="006571AC">
        <w:rPr>
          <w:rFonts w:ascii="Arial" w:hAnsi="Arial" w:hint="cs"/>
          <w:sz w:val="27"/>
          <w:rtl/>
          <w:lang w:val="en-GB"/>
        </w:rPr>
        <w:t>ً</w:t>
      </w:r>
      <w:r w:rsidRPr="006571AC">
        <w:rPr>
          <w:rFonts w:ascii="Arial" w:hAnsi="Arial" w:hint="cs"/>
          <w:sz w:val="27"/>
          <w:rtl/>
          <w:lang w:val="en-GB"/>
        </w:rPr>
        <w:t>. وهذا يعني أن الأخلاق اجتماعية الطابع</w:t>
      </w:r>
      <w:r w:rsidR="00392892" w:rsidRPr="006571AC">
        <w:rPr>
          <w:rFonts w:ascii="Arial" w:hAnsi="Arial" w:hint="cs"/>
          <w:sz w:val="27"/>
          <w:rtl/>
          <w:lang w:val="en-GB"/>
        </w:rPr>
        <w:t>.</w:t>
      </w:r>
      <w:r w:rsidRPr="006571AC">
        <w:rPr>
          <w:rFonts w:ascii="Arial" w:hAnsi="Arial" w:hint="cs"/>
          <w:sz w:val="27"/>
          <w:rtl/>
          <w:lang w:val="en-GB"/>
        </w:rPr>
        <w:t xml:space="preserve"> ونصل هنا</w:t>
      </w:r>
      <w:r w:rsidR="00392892" w:rsidRPr="006571AC">
        <w:rPr>
          <w:rFonts w:ascii="Arial" w:hAnsi="Arial" w:hint="cs"/>
          <w:sz w:val="27"/>
          <w:rtl/>
          <w:lang w:val="en-GB"/>
        </w:rPr>
        <w:t>،</w:t>
      </w:r>
      <w:r w:rsidRPr="006571AC">
        <w:rPr>
          <w:rFonts w:ascii="Arial" w:hAnsi="Arial" w:hint="cs"/>
          <w:sz w:val="27"/>
          <w:rtl/>
          <w:lang w:val="en-GB"/>
        </w:rPr>
        <w:t xml:space="preserve"> وفق هذا التوجيه</w:t>
      </w:r>
      <w:r w:rsidR="00392892" w:rsidRPr="006571AC">
        <w:rPr>
          <w:rFonts w:ascii="Arial" w:hAnsi="Arial" w:hint="cs"/>
          <w:sz w:val="27"/>
          <w:rtl/>
          <w:lang w:val="en-GB"/>
        </w:rPr>
        <w:t>،</w:t>
      </w:r>
      <w:r w:rsidRPr="006571AC">
        <w:rPr>
          <w:rFonts w:ascii="Arial" w:hAnsi="Arial" w:hint="cs"/>
          <w:sz w:val="27"/>
          <w:rtl/>
          <w:lang w:val="en-GB"/>
        </w:rPr>
        <w:t xml:space="preserve"> إلى أصل</w:t>
      </w:r>
      <w:r w:rsidR="00392892" w:rsidRPr="006571AC">
        <w:rPr>
          <w:rFonts w:ascii="Arial" w:hAnsi="Arial" w:hint="cs"/>
          <w:sz w:val="27"/>
          <w:rtl/>
          <w:lang w:val="en-GB"/>
        </w:rPr>
        <w:t>ٍ</w:t>
      </w:r>
      <w:r w:rsidRPr="006571AC">
        <w:rPr>
          <w:rFonts w:ascii="Arial" w:hAnsi="Arial" w:hint="cs"/>
          <w:sz w:val="27"/>
          <w:rtl/>
          <w:lang w:val="en-GB"/>
        </w:rPr>
        <w:t xml:space="preserve"> أخلاقي كل</w:t>
      </w:r>
      <w:r w:rsidR="00392892" w:rsidRPr="006571AC">
        <w:rPr>
          <w:rFonts w:ascii="Arial" w:hAnsi="Arial" w:hint="cs"/>
          <w:sz w:val="27"/>
          <w:rtl/>
          <w:lang w:val="en-GB"/>
        </w:rPr>
        <w:t>ّ</w:t>
      </w:r>
      <w:r w:rsidRPr="006571AC">
        <w:rPr>
          <w:rFonts w:ascii="Arial" w:hAnsi="Arial" w:hint="cs"/>
          <w:sz w:val="27"/>
          <w:rtl/>
          <w:lang w:val="en-GB"/>
        </w:rPr>
        <w:t>ي خالد</w:t>
      </w:r>
      <w:r w:rsidR="00392892" w:rsidRPr="006571AC">
        <w:rPr>
          <w:rFonts w:ascii="Arial" w:hAnsi="Arial" w:hint="cs"/>
          <w:sz w:val="27"/>
          <w:rtl/>
          <w:lang w:val="en-GB"/>
        </w:rPr>
        <w:t>،</w:t>
      </w:r>
      <w:r w:rsidRPr="006571AC">
        <w:rPr>
          <w:rFonts w:ascii="Arial" w:hAnsi="Arial" w:hint="cs"/>
          <w:sz w:val="27"/>
          <w:rtl/>
          <w:lang w:val="en-GB"/>
        </w:rPr>
        <w:t xml:space="preserve"> تتغي</w:t>
      </w:r>
      <w:r w:rsidR="00392892" w:rsidRPr="006571AC">
        <w:rPr>
          <w:rFonts w:ascii="Arial" w:hAnsi="Arial" w:hint="cs"/>
          <w:sz w:val="27"/>
          <w:rtl/>
          <w:lang w:val="en-GB"/>
        </w:rPr>
        <w:t>َّ</w:t>
      </w:r>
      <w:r w:rsidRPr="006571AC">
        <w:rPr>
          <w:rFonts w:ascii="Arial" w:hAnsi="Arial" w:hint="cs"/>
          <w:sz w:val="27"/>
          <w:rtl/>
          <w:lang w:val="en-GB"/>
        </w:rPr>
        <w:t>ر مصاديقه وهو ثابت</w:t>
      </w:r>
      <w:r w:rsidR="00392892" w:rsidRPr="006571AC">
        <w:rPr>
          <w:rFonts w:ascii="Arial" w:hAnsi="Arial" w:hint="cs"/>
          <w:sz w:val="27"/>
          <w:rtl/>
          <w:lang w:val="en-GB"/>
        </w:rPr>
        <w:t>ٌ</w:t>
      </w:r>
      <w:r w:rsidRPr="006571AC">
        <w:rPr>
          <w:rFonts w:ascii="Arial" w:hAnsi="Arial" w:hint="cs"/>
          <w:sz w:val="27"/>
          <w:rtl/>
          <w:lang w:val="en-GB"/>
        </w:rPr>
        <w:t>، والفرق</w:t>
      </w:r>
      <w:r w:rsidR="00392892" w:rsidRPr="006571AC">
        <w:rPr>
          <w:rFonts w:ascii="Arial" w:hAnsi="Arial" w:hint="cs"/>
          <w:sz w:val="27"/>
          <w:rtl/>
          <w:lang w:val="en-GB"/>
        </w:rPr>
        <w:t>ُ</w:t>
      </w:r>
      <w:r w:rsidRPr="006571AC">
        <w:rPr>
          <w:rFonts w:ascii="Arial" w:hAnsi="Arial" w:hint="cs"/>
          <w:sz w:val="27"/>
          <w:rtl/>
          <w:lang w:val="en-GB"/>
        </w:rPr>
        <w:t xml:space="preserve"> كبير</w:t>
      </w:r>
      <w:r w:rsidR="00392892" w:rsidRPr="006571AC">
        <w:rPr>
          <w:rFonts w:ascii="Arial" w:hAnsi="Arial" w:hint="cs"/>
          <w:sz w:val="27"/>
          <w:rtl/>
          <w:lang w:val="en-GB"/>
        </w:rPr>
        <w:t>ٌ</w:t>
      </w:r>
      <w:r w:rsidRPr="006571AC">
        <w:rPr>
          <w:rFonts w:ascii="Arial" w:hAnsi="Arial" w:hint="cs"/>
          <w:sz w:val="27"/>
          <w:rtl/>
          <w:lang w:val="en-GB"/>
        </w:rPr>
        <w:t xml:space="preserve"> بين تغي</w:t>
      </w:r>
      <w:r w:rsidR="00392892" w:rsidRPr="006571AC">
        <w:rPr>
          <w:rFonts w:ascii="Arial" w:hAnsi="Arial" w:hint="cs"/>
          <w:sz w:val="27"/>
          <w:rtl/>
          <w:lang w:val="en-GB"/>
        </w:rPr>
        <w:t>ُّ</w:t>
      </w:r>
      <w:r w:rsidRPr="006571AC">
        <w:rPr>
          <w:rFonts w:ascii="Arial" w:hAnsi="Arial" w:hint="cs"/>
          <w:sz w:val="27"/>
          <w:rtl/>
          <w:lang w:val="en-GB"/>
        </w:rPr>
        <w:t>ر الأصل وتغي</w:t>
      </w:r>
      <w:r w:rsidR="00392892" w:rsidRPr="006571AC">
        <w:rPr>
          <w:rFonts w:ascii="Arial" w:hAnsi="Arial" w:hint="cs"/>
          <w:sz w:val="27"/>
          <w:rtl/>
          <w:lang w:val="en-GB"/>
        </w:rPr>
        <w:t>ُّ</w:t>
      </w:r>
      <w:r w:rsidRPr="006571AC">
        <w:rPr>
          <w:rFonts w:ascii="Arial" w:hAnsi="Arial" w:hint="cs"/>
          <w:sz w:val="27"/>
          <w:rtl/>
          <w:lang w:val="en-GB"/>
        </w:rPr>
        <w:t>ر مصاديقه</w:t>
      </w:r>
      <w:r w:rsidR="00392892" w:rsidRPr="006571AC">
        <w:rPr>
          <w:rFonts w:ascii="Arial" w:hAnsi="Arial" w:hint="cs"/>
          <w:sz w:val="27"/>
          <w:rtl/>
          <w:lang w:val="en-GB"/>
        </w:rPr>
        <w:t>،</w:t>
      </w:r>
      <w:r w:rsidRPr="006571AC">
        <w:rPr>
          <w:rFonts w:ascii="Arial" w:hAnsi="Arial" w:hint="cs"/>
          <w:sz w:val="27"/>
          <w:rtl/>
          <w:lang w:val="en-GB"/>
        </w:rPr>
        <w:t xml:space="preserve"> أي فرق بين النظرية الأخلاقية ككل</w:t>
      </w:r>
      <w:r w:rsidR="00392892" w:rsidRPr="006571AC">
        <w:rPr>
          <w:rFonts w:ascii="Arial" w:hAnsi="Arial" w:hint="cs"/>
          <w:sz w:val="27"/>
          <w:rtl/>
          <w:lang w:val="en-GB"/>
        </w:rPr>
        <w:t>ّ</w:t>
      </w:r>
      <w:r w:rsidRPr="006571AC">
        <w:rPr>
          <w:rFonts w:ascii="Arial" w:hAnsi="Arial" w:hint="cs"/>
          <w:sz w:val="27"/>
          <w:rtl/>
          <w:lang w:val="en-GB"/>
        </w:rPr>
        <w:t>ي</w:t>
      </w:r>
      <w:r w:rsidR="00392892" w:rsidRPr="006571AC">
        <w:rPr>
          <w:rFonts w:ascii="Arial" w:hAnsi="Arial" w:hint="cs"/>
          <w:sz w:val="27"/>
          <w:rtl/>
          <w:lang w:val="en-GB"/>
        </w:rPr>
        <w:t>ٍّ</w:t>
      </w:r>
      <w:r w:rsidRPr="006571AC">
        <w:rPr>
          <w:rFonts w:ascii="Arial" w:hAnsi="Arial" w:hint="cs"/>
          <w:sz w:val="27"/>
          <w:rtl/>
          <w:lang w:val="en-GB"/>
        </w:rPr>
        <w:t xml:space="preserve"> وبين الفعل الأخلاقي كمصداق لذلك الكل</w:t>
      </w:r>
      <w:r w:rsidR="00392892" w:rsidRPr="006571AC">
        <w:rPr>
          <w:rFonts w:ascii="Arial" w:hAnsi="Arial" w:hint="cs"/>
          <w:sz w:val="27"/>
          <w:rtl/>
          <w:lang w:val="en-GB"/>
        </w:rPr>
        <w:t>ِّ</w:t>
      </w:r>
      <w:r w:rsidRPr="006571AC">
        <w:rPr>
          <w:rFonts w:ascii="Arial" w:hAnsi="Arial" w:hint="cs"/>
          <w:sz w:val="27"/>
          <w:rtl/>
          <w:lang w:val="en-GB"/>
        </w:rPr>
        <w:t xml:space="preserve">ي الثابت. وخدمة الآخرين هنا لا </w:t>
      </w:r>
      <w:r w:rsidR="00392892" w:rsidRPr="006571AC">
        <w:rPr>
          <w:rFonts w:ascii="Arial" w:hAnsi="Arial" w:hint="cs"/>
          <w:sz w:val="27"/>
          <w:rtl/>
          <w:lang w:val="en-GB"/>
        </w:rPr>
        <w:t>ت</w:t>
      </w:r>
      <w:r w:rsidRPr="006571AC">
        <w:rPr>
          <w:rFonts w:ascii="Arial" w:hAnsi="Arial" w:hint="cs"/>
          <w:sz w:val="27"/>
          <w:rtl/>
          <w:lang w:val="en-GB"/>
        </w:rPr>
        <w:t>عني فردا</w:t>
      </w:r>
      <w:r w:rsidR="00392892" w:rsidRPr="006571AC">
        <w:rPr>
          <w:rFonts w:ascii="Arial" w:hAnsi="Arial" w:hint="cs"/>
          <w:sz w:val="27"/>
          <w:rtl/>
          <w:lang w:val="en-GB"/>
        </w:rPr>
        <w:t>ً</w:t>
      </w:r>
      <w:r w:rsidRPr="006571AC">
        <w:rPr>
          <w:rFonts w:ascii="Arial" w:hAnsi="Arial" w:hint="cs"/>
          <w:sz w:val="27"/>
          <w:rtl/>
          <w:lang w:val="en-GB"/>
        </w:rPr>
        <w:t xml:space="preserve"> بذاته، الخدمة كمعيار</w:t>
      </w:r>
      <w:r w:rsidR="00392892" w:rsidRPr="006571AC">
        <w:rPr>
          <w:rFonts w:ascii="Arial" w:hAnsi="Arial" w:hint="cs"/>
          <w:sz w:val="27"/>
          <w:rtl/>
          <w:lang w:val="en-GB"/>
        </w:rPr>
        <w:t>ٍ</w:t>
      </w:r>
      <w:r w:rsidRPr="006571AC">
        <w:rPr>
          <w:rFonts w:ascii="Arial" w:hAnsi="Arial" w:hint="cs"/>
          <w:sz w:val="27"/>
          <w:rtl/>
          <w:lang w:val="en-GB"/>
        </w:rPr>
        <w:t xml:space="preserve"> هنا هي خدمة النوع الإنساني، أي العمل الذي يعود على الناس بالخير، لا الذي يعود على هذا أو ذاك بالضر</w:t>
      </w:r>
      <w:r w:rsidR="00392892" w:rsidRPr="006571AC">
        <w:rPr>
          <w:rFonts w:ascii="Arial" w:hAnsi="Arial" w:hint="cs"/>
          <w:sz w:val="27"/>
          <w:rtl/>
          <w:lang w:val="en-GB"/>
        </w:rPr>
        <w:t>ّ</w:t>
      </w:r>
      <w:r w:rsidRPr="006571AC">
        <w:rPr>
          <w:rFonts w:ascii="Arial" w:hAnsi="Arial" w:hint="cs"/>
          <w:sz w:val="27"/>
          <w:rtl/>
          <w:lang w:val="en-GB"/>
        </w:rPr>
        <w:t xml:space="preserve"> أو النفع.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وهذا يعود إلى مفهوم النفس كتوسعة</w:t>
      </w:r>
      <w:r w:rsidR="00392892" w:rsidRPr="006571AC">
        <w:rPr>
          <w:rFonts w:ascii="Arial" w:hAnsi="Arial" w:hint="cs"/>
          <w:sz w:val="27"/>
          <w:rtl/>
          <w:lang w:val="en-GB"/>
        </w:rPr>
        <w:t>ٍ</w:t>
      </w:r>
      <w:r w:rsidRPr="006571AC">
        <w:rPr>
          <w:rFonts w:ascii="Arial" w:hAnsi="Arial" w:hint="cs"/>
          <w:sz w:val="27"/>
          <w:rtl/>
          <w:lang w:val="en-GB"/>
        </w:rPr>
        <w:t xml:space="preserve"> له، فالعمل عندما يكون أخلاقيا</w:t>
      </w:r>
      <w:r w:rsidR="00392892" w:rsidRPr="006571AC">
        <w:rPr>
          <w:rFonts w:ascii="Arial" w:hAnsi="Arial" w:hint="cs"/>
          <w:sz w:val="27"/>
          <w:rtl/>
          <w:lang w:val="en-GB"/>
        </w:rPr>
        <w:t>ً</w:t>
      </w:r>
      <w:r w:rsidRPr="006571AC">
        <w:rPr>
          <w:rFonts w:ascii="Arial" w:hAnsi="Arial" w:hint="cs"/>
          <w:sz w:val="27"/>
          <w:rtl/>
          <w:lang w:val="en-GB"/>
        </w:rPr>
        <w:t xml:space="preserve"> يجتاز حدود النفس إلى الناس عام</w:t>
      </w:r>
      <w:r w:rsidR="00392892" w:rsidRPr="006571AC">
        <w:rPr>
          <w:rFonts w:ascii="Arial" w:hAnsi="Arial" w:hint="cs"/>
          <w:sz w:val="27"/>
          <w:rtl/>
          <w:lang w:val="en-GB"/>
        </w:rPr>
        <w:t>ّ</w:t>
      </w:r>
      <w:r w:rsidRPr="006571AC">
        <w:rPr>
          <w:rFonts w:ascii="Arial" w:hAnsi="Arial" w:hint="cs"/>
          <w:sz w:val="27"/>
          <w:rtl/>
          <w:lang w:val="en-GB"/>
        </w:rPr>
        <w:t>ة، وإذا اجتاز دائرة الناس إلى دائرة أوسع هي الله فيكون أخلاقيا</w:t>
      </w:r>
      <w:r w:rsidR="00392892" w:rsidRPr="006571AC">
        <w:rPr>
          <w:rFonts w:ascii="Arial" w:hAnsi="Arial" w:hint="cs"/>
          <w:sz w:val="27"/>
          <w:rtl/>
          <w:lang w:val="en-GB"/>
        </w:rPr>
        <w:t>ً</w:t>
      </w:r>
      <w:r w:rsidRPr="006571AC">
        <w:rPr>
          <w:rFonts w:ascii="Arial" w:hAnsi="Arial" w:hint="cs"/>
          <w:sz w:val="27"/>
          <w:rtl/>
          <w:lang w:val="en-GB"/>
        </w:rPr>
        <w:t xml:space="preserve"> بشكل</w:t>
      </w:r>
      <w:r w:rsidR="00392892" w:rsidRPr="006571AC">
        <w:rPr>
          <w:rFonts w:ascii="Arial" w:hAnsi="Arial" w:hint="cs"/>
          <w:sz w:val="27"/>
          <w:rtl/>
          <w:lang w:val="en-GB"/>
        </w:rPr>
        <w:t>ٍ</w:t>
      </w:r>
      <w:r w:rsidRPr="006571AC">
        <w:rPr>
          <w:rFonts w:ascii="Arial" w:hAnsi="Arial" w:hint="cs"/>
          <w:sz w:val="27"/>
          <w:rtl/>
          <w:lang w:val="en-GB"/>
        </w:rPr>
        <w:t xml:space="preserve"> أسم</w:t>
      </w:r>
      <w:r w:rsidR="00392892" w:rsidRPr="006571AC">
        <w:rPr>
          <w:rFonts w:ascii="Arial" w:hAnsi="Arial" w:hint="cs"/>
          <w:sz w:val="27"/>
          <w:rtl/>
          <w:lang w:val="en-GB"/>
        </w:rPr>
        <w:t>ى</w:t>
      </w:r>
      <w:r w:rsidRPr="006571AC">
        <w:rPr>
          <w:rFonts w:ascii="Arial" w:hAnsi="Arial" w:hint="cs"/>
          <w:sz w:val="27"/>
          <w:rtl/>
          <w:lang w:val="en-GB"/>
        </w:rPr>
        <w:t xml:space="preserve"> وأرفع</w:t>
      </w:r>
      <w:r w:rsidR="00392892" w:rsidRPr="006571AC">
        <w:rPr>
          <w:rFonts w:ascii="Arial" w:hAnsi="Arial" w:hint="cs"/>
          <w:sz w:val="27"/>
          <w:rtl/>
          <w:lang w:val="en-GB"/>
        </w:rPr>
        <w:t>.</w:t>
      </w:r>
      <w:r w:rsidRPr="006571AC">
        <w:rPr>
          <w:rFonts w:ascii="Arial" w:hAnsi="Arial" w:hint="cs"/>
          <w:sz w:val="27"/>
          <w:rtl/>
          <w:lang w:val="en-GB"/>
        </w:rPr>
        <w:t xml:space="preserve"> فكلما كسر العمل طوق النفس، ومضى إلى دائرة أوسع</w:t>
      </w:r>
      <w:r w:rsidR="00392892" w:rsidRPr="006571AC">
        <w:rPr>
          <w:rFonts w:ascii="Arial" w:hAnsi="Arial" w:hint="cs"/>
          <w:sz w:val="27"/>
          <w:rtl/>
          <w:lang w:val="en-GB"/>
        </w:rPr>
        <w:t>،</w:t>
      </w:r>
      <w:r w:rsidRPr="006571AC">
        <w:rPr>
          <w:rFonts w:ascii="Arial" w:hAnsi="Arial" w:hint="cs"/>
          <w:sz w:val="27"/>
          <w:rtl/>
          <w:lang w:val="en-GB"/>
        </w:rPr>
        <w:t xml:space="preserve"> كان أخلاقيا</w:t>
      </w:r>
      <w:r w:rsidR="00392892" w:rsidRPr="006571AC">
        <w:rPr>
          <w:rFonts w:ascii="Arial" w:hAnsi="Arial" w:hint="cs"/>
          <w:sz w:val="27"/>
          <w:rtl/>
          <w:lang w:val="en-GB"/>
        </w:rPr>
        <w:t>ً</w:t>
      </w:r>
      <w:r w:rsidRPr="006571AC">
        <w:rPr>
          <w:rFonts w:ascii="Arial" w:hAnsi="Arial"/>
          <w:sz w:val="27"/>
          <w:vertAlign w:val="superscript"/>
          <w:rtl/>
          <w:lang w:val="en-GB"/>
        </w:rPr>
        <w:t>(</w:t>
      </w:r>
      <w:r w:rsidRPr="006571AC">
        <w:rPr>
          <w:rStyle w:val="ac"/>
          <w:rFonts w:ascii="Arial" w:hAnsi="Arial"/>
          <w:sz w:val="27"/>
          <w:rtl/>
          <w:lang w:val="en-GB"/>
        </w:rPr>
        <w:endnoteReference w:id="696"/>
      </w:r>
      <w:r w:rsidRPr="006571AC">
        <w:rPr>
          <w:rFonts w:ascii="Arial" w:hAnsi="Arial"/>
          <w:sz w:val="27"/>
          <w:vertAlign w:val="superscript"/>
          <w:rtl/>
          <w:lang w:val="en-GB"/>
        </w:rPr>
        <w:t>)</w:t>
      </w:r>
      <w:r w:rsidRPr="006571AC">
        <w:rPr>
          <w:rFonts w:ascii="Arial" w:hAnsi="Arial"/>
          <w:sz w:val="27"/>
          <w:rtl/>
          <w:lang w:val="en-GB"/>
        </w:rPr>
        <w:t>.</w:t>
      </w:r>
      <w:r w:rsidRPr="006571AC">
        <w:rPr>
          <w:rFonts w:ascii="Arial" w:hAnsi="Arial" w:hint="cs"/>
          <w:sz w:val="27"/>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ويجيب حول إشكالية عدم الانسجام بين جهاز الإدراك وجهاز الطبيعة الفردية</w:t>
      </w:r>
      <w:r w:rsidR="006C103E" w:rsidRPr="006571AC">
        <w:rPr>
          <w:rFonts w:ascii="Arial" w:hAnsi="Arial" w:hint="cs"/>
          <w:sz w:val="27"/>
          <w:rtl/>
          <w:lang w:val="en-GB"/>
        </w:rPr>
        <w:t xml:space="preserve"> ب</w:t>
      </w:r>
      <w:r w:rsidRPr="006571AC">
        <w:rPr>
          <w:rFonts w:ascii="Arial" w:hAnsi="Arial" w:hint="cs"/>
          <w:sz w:val="27"/>
          <w:rtl/>
          <w:lang w:val="en-GB"/>
        </w:rPr>
        <w:t>أن طبيعة الإنسان الفردية تتحر</w:t>
      </w:r>
      <w:r w:rsidR="006C103E" w:rsidRPr="006571AC">
        <w:rPr>
          <w:rFonts w:ascii="Arial" w:hAnsi="Arial" w:hint="cs"/>
          <w:sz w:val="27"/>
          <w:rtl/>
          <w:lang w:val="en-GB"/>
        </w:rPr>
        <w:t>ّ</w:t>
      </w:r>
      <w:r w:rsidRPr="006571AC">
        <w:rPr>
          <w:rFonts w:ascii="Arial" w:hAnsi="Arial" w:hint="cs"/>
          <w:sz w:val="27"/>
          <w:rtl/>
          <w:lang w:val="en-GB"/>
        </w:rPr>
        <w:t>ك إلى جهة</w:t>
      </w:r>
      <w:r w:rsidR="006C103E" w:rsidRPr="006571AC">
        <w:rPr>
          <w:rFonts w:ascii="Arial" w:hAnsi="Arial" w:hint="cs"/>
          <w:sz w:val="27"/>
          <w:rtl/>
          <w:lang w:val="en-GB"/>
        </w:rPr>
        <w:t>ٍ</w:t>
      </w:r>
      <w:r w:rsidRPr="006571AC">
        <w:rPr>
          <w:rFonts w:ascii="Arial" w:hAnsi="Arial" w:hint="cs"/>
          <w:sz w:val="27"/>
          <w:rtl/>
          <w:lang w:val="en-GB"/>
        </w:rPr>
        <w:t>، وطبيعته الإدراكية تتحرك إلى جهة</w:t>
      </w:r>
      <w:r w:rsidR="006C103E" w:rsidRPr="006571AC">
        <w:rPr>
          <w:rFonts w:ascii="Arial" w:hAnsi="Arial" w:hint="cs"/>
          <w:sz w:val="27"/>
          <w:rtl/>
          <w:lang w:val="en-GB"/>
        </w:rPr>
        <w:t>ٍ</w:t>
      </w:r>
      <w:r w:rsidRPr="006571AC">
        <w:rPr>
          <w:rFonts w:ascii="Arial" w:hAnsi="Arial" w:hint="cs"/>
          <w:sz w:val="27"/>
          <w:rtl/>
          <w:lang w:val="en-GB"/>
        </w:rPr>
        <w:t xml:space="preserve"> أخرى، وتسعى إلى الكمال النوعي من غير عبءٍ بالكمال</w:t>
      </w:r>
      <w:r w:rsidR="006C103E" w:rsidRPr="006571AC">
        <w:rPr>
          <w:rFonts w:ascii="Arial" w:hAnsi="Arial" w:hint="cs"/>
          <w:sz w:val="27"/>
          <w:rtl/>
          <w:lang w:val="en-GB"/>
        </w:rPr>
        <w:t>،</w:t>
      </w:r>
      <w:r w:rsidRPr="006571AC">
        <w:rPr>
          <w:rFonts w:ascii="Arial" w:hAnsi="Arial" w:hint="cs"/>
          <w:sz w:val="27"/>
          <w:rtl/>
          <w:lang w:val="en-GB"/>
        </w:rPr>
        <w:t xml:space="preserve"> وجهاز الإدراك الذي هو في خدمة الجهاز الطبيعي</w:t>
      </w:r>
      <w:r w:rsidR="006C103E" w:rsidRPr="006571AC">
        <w:rPr>
          <w:rFonts w:ascii="Arial" w:hAnsi="Arial" w:hint="cs"/>
          <w:sz w:val="27"/>
          <w:rtl/>
          <w:lang w:val="en-GB"/>
        </w:rPr>
        <w:t>،</w:t>
      </w:r>
      <w:r w:rsidRPr="006571AC">
        <w:rPr>
          <w:rFonts w:ascii="Arial" w:hAnsi="Arial" w:hint="cs"/>
          <w:sz w:val="27"/>
          <w:rtl/>
          <w:lang w:val="en-GB"/>
        </w:rPr>
        <w:t xml:space="preserve"> ويجب أيضا</w:t>
      </w:r>
      <w:r w:rsidR="006C103E" w:rsidRPr="006571AC">
        <w:rPr>
          <w:rFonts w:ascii="Arial" w:hAnsi="Arial" w:hint="cs"/>
          <w:sz w:val="27"/>
          <w:rtl/>
          <w:lang w:val="en-GB"/>
        </w:rPr>
        <w:t>ً</w:t>
      </w:r>
      <w:r w:rsidRPr="006571AC">
        <w:rPr>
          <w:rFonts w:ascii="Arial" w:hAnsi="Arial" w:hint="cs"/>
          <w:sz w:val="27"/>
          <w:rtl/>
          <w:lang w:val="en-GB"/>
        </w:rPr>
        <w:t xml:space="preserve"> أن يكون كذلك، هو في خدمة النوع</w:t>
      </w:r>
      <w:r w:rsidR="006C103E" w:rsidRPr="006571AC">
        <w:rPr>
          <w:rFonts w:ascii="Arial" w:hAnsi="Arial" w:hint="cs"/>
          <w:sz w:val="27"/>
          <w:rtl/>
          <w:lang w:val="en-GB"/>
        </w:rPr>
        <w:t>،</w:t>
      </w:r>
      <w:r w:rsidRPr="006571AC">
        <w:rPr>
          <w:rFonts w:ascii="Arial" w:hAnsi="Arial" w:hint="cs"/>
          <w:sz w:val="27"/>
          <w:rtl/>
          <w:lang w:val="en-GB"/>
        </w:rPr>
        <w:t xml:space="preserve"> من دون ارتباط بالفرد ومصالحه. </w:t>
      </w:r>
    </w:p>
    <w:p w:rsidR="0001386F" w:rsidRPr="006571AC" w:rsidRDefault="0001386F" w:rsidP="00895BEB">
      <w:pPr>
        <w:autoSpaceDE w:val="0"/>
        <w:autoSpaceDN w:val="0"/>
        <w:adjustRightInd w:val="0"/>
        <w:spacing w:line="380" w:lineRule="exact"/>
        <w:rPr>
          <w:rFonts w:ascii="Arial" w:hAnsi="Arial"/>
          <w:sz w:val="27"/>
          <w:rtl/>
          <w:lang w:val="en-GB"/>
        </w:rPr>
      </w:pPr>
      <w:r w:rsidRPr="006571AC">
        <w:rPr>
          <w:rFonts w:ascii="Arial" w:hAnsi="Arial" w:hint="cs"/>
          <w:sz w:val="27"/>
          <w:rtl/>
          <w:lang w:val="en-GB"/>
        </w:rPr>
        <w:t>ويعتبر الشهيد مطه</w:t>
      </w:r>
      <w:r w:rsidR="006C103E" w:rsidRPr="006571AC">
        <w:rPr>
          <w:rFonts w:ascii="Arial" w:hAnsi="Arial" w:hint="cs"/>
          <w:sz w:val="27"/>
          <w:rtl/>
          <w:lang w:val="en-GB"/>
        </w:rPr>
        <w:t>َّري أن خدمة النوع ليست جزءاً</w:t>
      </w:r>
      <w:r w:rsidRPr="006571AC">
        <w:rPr>
          <w:rFonts w:ascii="Arial" w:hAnsi="Arial" w:hint="cs"/>
          <w:sz w:val="27"/>
          <w:rtl/>
          <w:lang w:val="en-GB"/>
        </w:rPr>
        <w:t xml:space="preserve"> من طبيعة الفرد، لكن</w:t>
      </w:r>
      <w:r w:rsidR="006C103E" w:rsidRPr="006571AC">
        <w:rPr>
          <w:rFonts w:ascii="Arial" w:hAnsi="Arial" w:hint="cs"/>
          <w:sz w:val="27"/>
          <w:rtl/>
          <w:lang w:val="en-GB"/>
        </w:rPr>
        <w:t>ّ</w:t>
      </w:r>
      <w:r w:rsidRPr="006571AC">
        <w:rPr>
          <w:rFonts w:ascii="Arial" w:hAnsi="Arial" w:hint="cs"/>
          <w:sz w:val="27"/>
          <w:rtl/>
          <w:lang w:val="en-GB"/>
        </w:rPr>
        <w:t xml:space="preserve"> الفرد يحس</w:t>
      </w:r>
      <w:r w:rsidR="006C103E" w:rsidRPr="006571AC">
        <w:rPr>
          <w:rFonts w:ascii="Arial" w:hAnsi="Arial" w:hint="cs"/>
          <w:sz w:val="27"/>
          <w:rtl/>
          <w:lang w:val="en-GB"/>
        </w:rPr>
        <w:t>ّ</w:t>
      </w:r>
      <w:r w:rsidRPr="006571AC">
        <w:rPr>
          <w:rFonts w:ascii="Arial" w:hAnsi="Arial" w:hint="cs"/>
          <w:sz w:val="27"/>
          <w:rtl/>
          <w:lang w:val="en-GB"/>
        </w:rPr>
        <w:t xml:space="preserve"> بلذ</w:t>
      </w:r>
      <w:r w:rsidR="006C103E" w:rsidRPr="006571AC">
        <w:rPr>
          <w:rFonts w:ascii="Arial" w:hAnsi="Arial" w:hint="cs"/>
          <w:sz w:val="27"/>
          <w:rtl/>
          <w:lang w:val="en-GB"/>
        </w:rPr>
        <w:t>ّ</w:t>
      </w:r>
      <w:r w:rsidRPr="006571AC">
        <w:rPr>
          <w:rFonts w:ascii="Arial" w:hAnsi="Arial" w:hint="cs"/>
          <w:sz w:val="27"/>
          <w:rtl/>
          <w:lang w:val="en-GB"/>
        </w:rPr>
        <w:t>ة</w:t>
      </w:r>
      <w:r w:rsidR="006C103E" w:rsidRPr="006571AC">
        <w:rPr>
          <w:rFonts w:ascii="Arial" w:hAnsi="Arial" w:hint="cs"/>
          <w:sz w:val="27"/>
          <w:rtl/>
          <w:lang w:val="en-GB"/>
        </w:rPr>
        <w:t>ٍ</w:t>
      </w:r>
      <w:r w:rsidRPr="006571AC">
        <w:rPr>
          <w:rFonts w:ascii="Arial" w:hAnsi="Arial" w:hint="cs"/>
          <w:sz w:val="27"/>
          <w:rtl/>
          <w:lang w:val="en-GB"/>
        </w:rPr>
        <w:t xml:space="preserve"> حين يحسن إلى الآخرين، وليست هذه اللذ</w:t>
      </w:r>
      <w:r w:rsidR="006C103E" w:rsidRPr="006571AC">
        <w:rPr>
          <w:rFonts w:ascii="Arial" w:hAnsi="Arial" w:hint="cs"/>
          <w:sz w:val="27"/>
          <w:rtl/>
          <w:lang w:val="en-GB"/>
        </w:rPr>
        <w:t>ّ</w:t>
      </w:r>
      <w:r w:rsidRPr="006571AC">
        <w:rPr>
          <w:rFonts w:ascii="Arial" w:hAnsi="Arial" w:hint="cs"/>
          <w:sz w:val="27"/>
          <w:rtl/>
          <w:lang w:val="en-GB"/>
        </w:rPr>
        <w:t>ة سدىً</w:t>
      </w:r>
      <w:r w:rsidR="006C103E" w:rsidRPr="006571AC">
        <w:rPr>
          <w:rFonts w:ascii="Arial" w:hAnsi="Arial" w:hint="cs"/>
          <w:sz w:val="27"/>
          <w:rtl/>
          <w:lang w:val="en-GB"/>
        </w:rPr>
        <w:t xml:space="preserve">؛ </w:t>
      </w:r>
      <w:r w:rsidRPr="006571AC">
        <w:rPr>
          <w:rFonts w:ascii="Arial" w:hAnsi="Arial" w:hint="cs"/>
          <w:sz w:val="27"/>
          <w:rtl/>
          <w:lang w:val="en-GB"/>
        </w:rPr>
        <w:t xml:space="preserve">لأنه لا يمكن الالتذاذ </w:t>
      </w:r>
      <w:r w:rsidRPr="006571AC">
        <w:rPr>
          <w:rFonts w:ascii="Arial" w:hAnsi="Arial" w:hint="cs"/>
          <w:sz w:val="27"/>
          <w:rtl/>
          <w:lang w:val="en-GB"/>
        </w:rPr>
        <w:lastRenderedPageBreak/>
        <w:t>إذا لم تبلغ الطبيعة الفردية الكمال. ويقول</w:t>
      </w:r>
      <w:r w:rsidR="006C103E" w:rsidRPr="006571AC">
        <w:rPr>
          <w:rFonts w:ascii="Arial" w:hAnsi="Arial" w:hint="cs"/>
          <w:sz w:val="27"/>
          <w:rtl/>
          <w:lang w:val="en-GB"/>
        </w:rPr>
        <w:t>:</w:t>
      </w:r>
      <w:r w:rsidRPr="006571AC">
        <w:rPr>
          <w:rFonts w:ascii="Arial" w:hAnsi="Arial" w:hint="cs"/>
          <w:sz w:val="27"/>
          <w:rtl/>
          <w:lang w:val="en-GB"/>
        </w:rPr>
        <w:t xml:space="preserve"> إن الإنسان إذا أدرك اللذة فليس لأن الطبيعة ذات جريان وإحساس</w:t>
      </w:r>
      <w:r w:rsidR="006C103E" w:rsidRPr="006571AC">
        <w:rPr>
          <w:rFonts w:ascii="Arial" w:hAnsi="Arial" w:hint="cs"/>
          <w:sz w:val="27"/>
          <w:rtl/>
          <w:lang w:val="en-GB"/>
        </w:rPr>
        <w:t>،</w:t>
      </w:r>
      <w:r w:rsidRPr="006571AC">
        <w:rPr>
          <w:rFonts w:ascii="Arial" w:hAnsi="Arial" w:hint="cs"/>
          <w:sz w:val="27"/>
          <w:rtl/>
          <w:lang w:val="en-GB"/>
        </w:rPr>
        <w:t xml:space="preserve"> وإنما لأن هذه الطبيعة تنشد الكمال، وإذ تبلغه فإن علم الشيء علما</w:t>
      </w:r>
      <w:r w:rsidR="006C103E" w:rsidRPr="006571AC">
        <w:rPr>
          <w:rFonts w:ascii="Arial" w:hAnsi="Arial" w:hint="cs"/>
          <w:sz w:val="27"/>
          <w:rtl/>
          <w:lang w:val="en-GB"/>
        </w:rPr>
        <w:t>ً</w:t>
      </w:r>
      <w:r w:rsidRPr="006571AC">
        <w:rPr>
          <w:rFonts w:ascii="Arial" w:hAnsi="Arial" w:hint="cs"/>
          <w:sz w:val="27"/>
          <w:rtl/>
          <w:lang w:val="en-GB"/>
        </w:rPr>
        <w:t xml:space="preserve"> حضوريا</w:t>
      </w:r>
      <w:r w:rsidR="006C103E" w:rsidRPr="006571AC">
        <w:rPr>
          <w:rFonts w:ascii="Arial" w:hAnsi="Arial" w:hint="cs"/>
          <w:sz w:val="27"/>
          <w:rtl/>
          <w:lang w:val="en-GB"/>
        </w:rPr>
        <w:t>ً</w:t>
      </w:r>
      <w:r w:rsidRPr="006571AC">
        <w:rPr>
          <w:rFonts w:ascii="Arial" w:hAnsi="Arial" w:hint="cs"/>
          <w:sz w:val="27"/>
          <w:rtl/>
          <w:lang w:val="en-GB"/>
        </w:rPr>
        <w:t xml:space="preserve"> كان باعثا</w:t>
      </w:r>
      <w:r w:rsidR="006C103E" w:rsidRPr="006571AC">
        <w:rPr>
          <w:rFonts w:ascii="Arial" w:hAnsi="Arial" w:hint="cs"/>
          <w:sz w:val="27"/>
          <w:rtl/>
          <w:lang w:val="en-GB"/>
        </w:rPr>
        <w:t>ً</w:t>
      </w:r>
      <w:r w:rsidRPr="006571AC">
        <w:rPr>
          <w:rFonts w:ascii="Arial" w:hAnsi="Arial" w:hint="cs"/>
          <w:sz w:val="27"/>
          <w:rtl/>
          <w:lang w:val="en-GB"/>
        </w:rPr>
        <w:t xml:space="preserve"> على الإحساس باللذ</w:t>
      </w:r>
      <w:r w:rsidR="006C103E" w:rsidRPr="006571AC">
        <w:rPr>
          <w:rFonts w:ascii="Arial" w:hAnsi="Arial" w:hint="cs"/>
          <w:sz w:val="27"/>
          <w:rtl/>
          <w:lang w:val="en-GB"/>
        </w:rPr>
        <w:t>ّ</w:t>
      </w:r>
      <w:r w:rsidRPr="006571AC">
        <w:rPr>
          <w:rFonts w:ascii="Arial" w:hAnsi="Arial" w:hint="cs"/>
          <w:sz w:val="27"/>
          <w:rtl/>
          <w:lang w:val="en-GB"/>
        </w:rPr>
        <w:t>ة. وهذا يعني عبور الطبيعة من القو</w:t>
      </w:r>
      <w:r w:rsidR="006C103E" w:rsidRPr="006571AC">
        <w:rPr>
          <w:rFonts w:ascii="Arial" w:hAnsi="Arial" w:hint="cs"/>
          <w:sz w:val="27"/>
          <w:rtl/>
          <w:lang w:val="en-GB"/>
        </w:rPr>
        <w:t>ّ</w:t>
      </w:r>
      <w:r w:rsidRPr="006571AC">
        <w:rPr>
          <w:rFonts w:ascii="Arial" w:hAnsi="Arial" w:hint="cs"/>
          <w:sz w:val="27"/>
          <w:rtl/>
          <w:lang w:val="en-GB"/>
        </w:rPr>
        <w:t>ة إلى الكمال، وإن علم الشيء علماً حضوريا</w:t>
      </w:r>
      <w:r w:rsidR="006C103E" w:rsidRPr="006571AC">
        <w:rPr>
          <w:rFonts w:ascii="Arial" w:hAnsi="Arial" w:hint="cs"/>
          <w:sz w:val="27"/>
          <w:rtl/>
          <w:lang w:val="en-GB"/>
        </w:rPr>
        <w:t>ً</w:t>
      </w:r>
      <w:r w:rsidRPr="006571AC">
        <w:rPr>
          <w:rFonts w:ascii="Arial" w:hAnsi="Arial" w:hint="cs"/>
          <w:sz w:val="27"/>
          <w:rtl/>
          <w:lang w:val="en-GB"/>
        </w:rPr>
        <w:t xml:space="preserve"> هو عين اللذ</w:t>
      </w:r>
      <w:r w:rsidR="006C103E" w:rsidRPr="006571AC">
        <w:rPr>
          <w:rFonts w:ascii="Arial" w:hAnsi="Arial" w:hint="cs"/>
          <w:sz w:val="27"/>
          <w:rtl/>
          <w:lang w:val="en-GB"/>
        </w:rPr>
        <w:t>ّ</w:t>
      </w:r>
      <w:r w:rsidRPr="006571AC">
        <w:rPr>
          <w:rFonts w:ascii="Arial" w:hAnsi="Arial" w:hint="cs"/>
          <w:sz w:val="27"/>
          <w:rtl/>
          <w:lang w:val="en-GB"/>
        </w:rPr>
        <w:t>ة، يعني نيل اللذ</w:t>
      </w:r>
      <w:r w:rsidR="006C103E" w:rsidRPr="006571AC">
        <w:rPr>
          <w:rFonts w:ascii="Arial" w:hAnsi="Arial" w:hint="cs"/>
          <w:sz w:val="27"/>
          <w:rtl/>
          <w:lang w:val="en-GB"/>
        </w:rPr>
        <w:t>ّ</w:t>
      </w:r>
      <w:r w:rsidRPr="006571AC">
        <w:rPr>
          <w:rFonts w:ascii="Arial" w:hAnsi="Arial" w:hint="cs"/>
          <w:sz w:val="27"/>
          <w:rtl/>
          <w:lang w:val="en-GB"/>
        </w:rPr>
        <w:t>ة هو الكمال، وذلك عند اقتران هذا النيل بالإدراك، ولا يمكن للإنسان أن يلتذ</w:t>
      </w:r>
      <w:r w:rsidR="006C103E" w:rsidRPr="006571AC">
        <w:rPr>
          <w:rFonts w:ascii="Arial" w:hAnsi="Arial" w:hint="cs"/>
          <w:sz w:val="27"/>
          <w:rtl/>
          <w:lang w:val="en-GB"/>
        </w:rPr>
        <w:t>ّ</w:t>
      </w:r>
      <w:r w:rsidRPr="006571AC">
        <w:rPr>
          <w:rFonts w:ascii="Arial" w:hAnsi="Arial" w:hint="cs"/>
          <w:sz w:val="27"/>
          <w:rtl/>
          <w:lang w:val="en-GB"/>
        </w:rPr>
        <w:t xml:space="preserve"> دون أن تبلغ الطبيعة الكمال</w:t>
      </w:r>
      <w:r w:rsidRPr="006571AC">
        <w:rPr>
          <w:rFonts w:ascii="Arial" w:hAnsi="Arial"/>
          <w:sz w:val="27"/>
          <w:vertAlign w:val="superscript"/>
          <w:rtl/>
          <w:lang w:val="en-GB"/>
        </w:rPr>
        <w:t>(</w:t>
      </w:r>
      <w:r w:rsidRPr="006571AC">
        <w:rPr>
          <w:rStyle w:val="ac"/>
          <w:rFonts w:ascii="Arial" w:hAnsi="Arial"/>
          <w:sz w:val="27"/>
          <w:rtl/>
          <w:lang w:val="en-GB"/>
        </w:rPr>
        <w:endnoteReference w:id="697"/>
      </w:r>
      <w:r w:rsidRPr="006571AC">
        <w:rPr>
          <w:rFonts w:ascii="Arial" w:hAnsi="Arial"/>
          <w:sz w:val="27"/>
          <w:vertAlign w:val="superscript"/>
          <w:rtl/>
          <w:lang w:val="en-GB"/>
        </w:rPr>
        <w:t>)</w:t>
      </w:r>
      <w:r w:rsidRPr="006571AC">
        <w:rPr>
          <w:rFonts w:ascii="Arial" w:hAnsi="Arial"/>
          <w:sz w:val="27"/>
          <w:rtl/>
          <w:lang w:val="en-GB"/>
        </w:rPr>
        <w:t>.</w:t>
      </w:r>
      <w:r w:rsidRPr="006571AC">
        <w:rPr>
          <w:rFonts w:ascii="Arial" w:hAnsi="Arial" w:hint="cs"/>
          <w:sz w:val="27"/>
          <w:rtl/>
          <w:lang w:val="en-GB"/>
        </w:rPr>
        <w:t xml:space="preserve"> </w:t>
      </w:r>
    </w:p>
    <w:p w:rsidR="0001386F" w:rsidRPr="006571AC" w:rsidRDefault="0001386F" w:rsidP="00BB404F">
      <w:pPr>
        <w:autoSpaceDE w:val="0"/>
        <w:autoSpaceDN w:val="0"/>
        <w:adjustRightInd w:val="0"/>
        <w:spacing w:line="386" w:lineRule="exact"/>
        <w:rPr>
          <w:rFonts w:ascii="Arial" w:hAnsi="Arial"/>
          <w:sz w:val="27"/>
          <w:rtl/>
          <w:lang w:val="en-GB"/>
        </w:rPr>
      </w:pPr>
      <w:r w:rsidRPr="006571AC">
        <w:rPr>
          <w:rFonts w:ascii="Arial" w:hAnsi="Arial" w:hint="cs"/>
          <w:sz w:val="27"/>
          <w:rtl/>
          <w:lang w:val="en-GB"/>
        </w:rPr>
        <w:t>وحول الأنا الكل</w:t>
      </w:r>
      <w:r w:rsidR="006C103E" w:rsidRPr="006571AC">
        <w:rPr>
          <w:rFonts w:ascii="Arial" w:hAnsi="Arial" w:hint="cs"/>
          <w:sz w:val="27"/>
          <w:rtl/>
          <w:lang w:val="en-GB"/>
        </w:rPr>
        <w:t>ِّ</w:t>
      </w:r>
      <w:r w:rsidRPr="006571AC">
        <w:rPr>
          <w:rFonts w:ascii="Arial" w:hAnsi="Arial" w:hint="cs"/>
          <w:sz w:val="27"/>
          <w:rtl/>
          <w:lang w:val="en-GB"/>
        </w:rPr>
        <w:t>ية يقول: للإنسان كمالات</w:t>
      </w:r>
      <w:r w:rsidR="006C103E" w:rsidRPr="006571AC">
        <w:rPr>
          <w:rFonts w:ascii="Arial" w:hAnsi="Arial" w:hint="cs"/>
          <w:sz w:val="27"/>
          <w:rtl/>
          <w:lang w:val="en-GB"/>
        </w:rPr>
        <w:t>ٌ</w:t>
      </w:r>
      <w:r w:rsidRPr="006571AC">
        <w:rPr>
          <w:rFonts w:ascii="Arial" w:hAnsi="Arial" w:hint="cs"/>
          <w:sz w:val="27"/>
          <w:rtl/>
          <w:lang w:val="en-GB"/>
        </w:rPr>
        <w:t xml:space="preserve"> بح</w:t>
      </w:r>
      <w:r w:rsidR="006C103E" w:rsidRPr="006571AC">
        <w:rPr>
          <w:rFonts w:ascii="Arial" w:hAnsi="Arial" w:hint="cs"/>
          <w:sz w:val="27"/>
          <w:rtl/>
          <w:lang w:val="en-GB"/>
        </w:rPr>
        <w:t>َ</w:t>
      </w:r>
      <w:r w:rsidRPr="006571AC">
        <w:rPr>
          <w:rFonts w:ascii="Arial" w:hAnsi="Arial" w:hint="cs"/>
          <w:sz w:val="27"/>
          <w:rtl/>
          <w:lang w:val="en-GB"/>
        </w:rPr>
        <w:t>س</w:t>
      </w:r>
      <w:r w:rsidR="006C103E" w:rsidRPr="006571AC">
        <w:rPr>
          <w:rFonts w:ascii="Arial" w:hAnsi="Arial" w:hint="cs"/>
          <w:sz w:val="27"/>
          <w:rtl/>
          <w:lang w:val="en-GB"/>
        </w:rPr>
        <w:t>َ</w:t>
      </w:r>
      <w:r w:rsidRPr="006571AC">
        <w:rPr>
          <w:rFonts w:ascii="Arial" w:hAnsi="Arial" w:hint="cs"/>
          <w:sz w:val="27"/>
          <w:rtl/>
          <w:lang w:val="en-GB"/>
        </w:rPr>
        <w:t>ب الأنا الملكوتية، وهي كمالات</w:t>
      </w:r>
      <w:r w:rsidR="006C103E" w:rsidRPr="006571AC">
        <w:rPr>
          <w:rFonts w:ascii="Arial" w:hAnsi="Arial" w:hint="cs"/>
          <w:sz w:val="27"/>
          <w:rtl/>
          <w:lang w:val="en-GB"/>
        </w:rPr>
        <w:t>ٌ</w:t>
      </w:r>
      <w:r w:rsidRPr="006571AC">
        <w:rPr>
          <w:rFonts w:ascii="Arial" w:hAnsi="Arial" w:hint="cs"/>
          <w:sz w:val="27"/>
          <w:rtl/>
          <w:lang w:val="en-GB"/>
        </w:rPr>
        <w:t xml:space="preserve"> واقعية، لا إنشائية</w:t>
      </w:r>
      <w:r w:rsidR="006C103E" w:rsidRPr="006571AC">
        <w:rPr>
          <w:rFonts w:ascii="Arial" w:hAnsi="Arial" w:hint="cs"/>
          <w:sz w:val="27"/>
          <w:rtl/>
          <w:lang w:val="en-GB"/>
        </w:rPr>
        <w:t>؛</w:t>
      </w:r>
      <w:r w:rsidRPr="006571AC">
        <w:rPr>
          <w:rFonts w:ascii="Arial" w:hAnsi="Arial" w:hint="cs"/>
          <w:sz w:val="27"/>
          <w:rtl/>
          <w:lang w:val="en-GB"/>
        </w:rPr>
        <w:t xml:space="preserve"> لأن الإنسان ليس بدناً فقط، وإنما هو جسم</w:t>
      </w:r>
      <w:r w:rsidR="006C103E" w:rsidRPr="006571AC">
        <w:rPr>
          <w:rFonts w:ascii="Arial" w:hAnsi="Arial" w:hint="cs"/>
          <w:sz w:val="27"/>
          <w:rtl/>
          <w:lang w:val="en-GB"/>
        </w:rPr>
        <w:t>ٌ</w:t>
      </w:r>
      <w:r w:rsidRPr="006571AC">
        <w:rPr>
          <w:rFonts w:ascii="Arial" w:hAnsi="Arial" w:hint="cs"/>
          <w:sz w:val="27"/>
          <w:rtl/>
          <w:lang w:val="en-GB"/>
        </w:rPr>
        <w:t xml:space="preserve"> وروح. والعمل المتناسب وكمال الإنسان المعنوي الروحي عمل</w:t>
      </w:r>
      <w:r w:rsidR="006C103E" w:rsidRPr="006571AC">
        <w:rPr>
          <w:rFonts w:ascii="Arial" w:hAnsi="Arial" w:hint="cs"/>
          <w:sz w:val="27"/>
          <w:rtl/>
          <w:lang w:val="en-GB"/>
        </w:rPr>
        <w:t>ٌ</w:t>
      </w:r>
      <w:r w:rsidRPr="006571AC">
        <w:rPr>
          <w:rFonts w:ascii="Arial" w:hAnsi="Arial" w:hint="cs"/>
          <w:sz w:val="27"/>
          <w:rtl/>
          <w:lang w:val="en-GB"/>
        </w:rPr>
        <w:t xml:space="preserve"> علوي قي</w:t>
      </w:r>
      <w:r w:rsidR="006C103E" w:rsidRPr="006571AC">
        <w:rPr>
          <w:rFonts w:ascii="Arial" w:hAnsi="Arial" w:hint="cs"/>
          <w:sz w:val="27"/>
          <w:rtl/>
          <w:lang w:val="en-GB"/>
        </w:rPr>
        <w:t>ِّ</w:t>
      </w:r>
      <w:r w:rsidRPr="006571AC">
        <w:rPr>
          <w:rFonts w:ascii="Arial" w:hAnsi="Arial" w:hint="cs"/>
          <w:sz w:val="27"/>
          <w:rtl/>
          <w:lang w:val="en-GB"/>
        </w:rPr>
        <w:t>م، والعمل الذي لا يتلاءم وعلو</w:t>
      </w:r>
      <w:r w:rsidR="006C103E" w:rsidRPr="006571AC">
        <w:rPr>
          <w:rFonts w:ascii="Arial" w:hAnsi="Arial" w:hint="cs"/>
          <w:sz w:val="27"/>
          <w:rtl/>
          <w:lang w:val="en-GB"/>
        </w:rPr>
        <w:t>ّ</w:t>
      </w:r>
      <w:r w:rsidRPr="006571AC">
        <w:rPr>
          <w:rFonts w:ascii="Arial" w:hAnsi="Arial" w:hint="cs"/>
          <w:sz w:val="27"/>
          <w:rtl/>
          <w:lang w:val="en-GB"/>
        </w:rPr>
        <w:t xml:space="preserve"> الروح عمل</w:t>
      </w:r>
      <w:r w:rsidR="006C103E" w:rsidRPr="006571AC">
        <w:rPr>
          <w:rFonts w:ascii="Arial" w:hAnsi="Arial" w:hint="cs"/>
          <w:sz w:val="27"/>
          <w:rtl/>
          <w:lang w:val="en-GB"/>
        </w:rPr>
        <w:t>ٌ</w:t>
      </w:r>
      <w:r w:rsidRPr="006571AC">
        <w:rPr>
          <w:rFonts w:ascii="Arial" w:hAnsi="Arial" w:hint="cs"/>
          <w:sz w:val="27"/>
          <w:rtl/>
          <w:lang w:val="en-GB"/>
        </w:rPr>
        <w:t xml:space="preserve"> اعتيادي</w:t>
      </w:r>
      <w:r w:rsidR="006C103E" w:rsidRPr="006571AC">
        <w:rPr>
          <w:rFonts w:ascii="Arial" w:hAnsi="Arial" w:hint="cs"/>
          <w:sz w:val="27"/>
          <w:rtl/>
          <w:lang w:val="en-GB"/>
        </w:rPr>
        <w:t>ّ،</w:t>
      </w:r>
      <w:r w:rsidRPr="006571AC">
        <w:rPr>
          <w:rFonts w:ascii="Arial" w:hAnsi="Arial" w:hint="cs"/>
          <w:sz w:val="27"/>
          <w:rtl/>
          <w:lang w:val="en-GB"/>
        </w:rPr>
        <w:t xml:space="preserve"> وي</w:t>
      </w:r>
      <w:r w:rsidR="007238FE" w:rsidRPr="006571AC">
        <w:rPr>
          <w:rFonts w:ascii="Arial" w:hAnsi="Arial" w:hint="cs"/>
          <w:sz w:val="27"/>
          <w:rtl/>
          <w:lang w:val="en-GB"/>
        </w:rPr>
        <w:t>ُ</w:t>
      </w:r>
      <w:r w:rsidRPr="006571AC">
        <w:rPr>
          <w:rFonts w:ascii="Arial" w:hAnsi="Arial" w:hint="cs"/>
          <w:sz w:val="27"/>
          <w:rtl/>
          <w:lang w:val="en-GB"/>
        </w:rPr>
        <w:t>ع</w:t>
      </w:r>
      <w:r w:rsidR="007238FE" w:rsidRPr="006571AC">
        <w:rPr>
          <w:rFonts w:ascii="Arial" w:hAnsi="Arial" w:hint="cs"/>
          <w:sz w:val="27"/>
          <w:rtl/>
          <w:lang w:val="en-GB"/>
        </w:rPr>
        <w:t>َ</w:t>
      </w:r>
      <w:r w:rsidRPr="006571AC">
        <w:rPr>
          <w:rFonts w:ascii="Arial" w:hAnsi="Arial" w:hint="cs"/>
          <w:sz w:val="27"/>
          <w:rtl/>
          <w:lang w:val="en-GB"/>
        </w:rPr>
        <w:t>د</w:t>
      </w:r>
      <w:r w:rsidR="006C103E" w:rsidRPr="006571AC">
        <w:rPr>
          <w:rFonts w:ascii="Arial" w:hAnsi="Arial" w:hint="cs"/>
          <w:sz w:val="27"/>
          <w:rtl/>
          <w:lang w:val="en-GB"/>
        </w:rPr>
        <w:t>ّ</w:t>
      </w:r>
      <w:r w:rsidRPr="006571AC">
        <w:rPr>
          <w:rFonts w:ascii="Arial" w:hAnsi="Arial" w:hint="cs"/>
          <w:sz w:val="27"/>
          <w:rtl/>
          <w:lang w:val="en-GB"/>
        </w:rPr>
        <w:t xml:space="preserve"> تافها</w:t>
      </w:r>
      <w:r w:rsidR="006C103E" w:rsidRPr="006571AC">
        <w:rPr>
          <w:rFonts w:ascii="Arial" w:hAnsi="Arial" w:hint="cs"/>
          <w:sz w:val="27"/>
          <w:rtl/>
          <w:lang w:val="en-GB"/>
        </w:rPr>
        <w:t>ً</w:t>
      </w:r>
      <w:r w:rsidRPr="006571AC">
        <w:rPr>
          <w:rFonts w:ascii="Arial" w:hAnsi="Arial" w:hint="cs"/>
          <w:sz w:val="27"/>
          <w:rtl/>
          <w:lang w:val="en-GB"/>
        </w:rPr>
        <w:t>. ويتساءل: هنا البحث عن أي</w:t>
      </w:r>
      <w:r w:rsidR="006C103E" w:rsidRPr="006571AC">
        <w:rPr>
          <w:rFonts w:ascii="Arial" w:hAnsi="Arial" w:hint="cs"/>
          <w:sz w:val="27"/>
          <w:rtl/>
          <w:lang w:val="en-GB"/>
        </w:rPr>
        <w:t>ّ</w:t>
      </w:r>
      <w:r w:rsidRPr="006571AC">
        <w:rPr>
          <w:rFonts w:ascii="Arial" w:hAnsi="Arial" w:hint="cs"/>
          <w:sz w:val="27"/>
          <w:rtl/>
          <w:lang w:val="en-GB"/>
        </w:rPr>
        <w:t xml:space="preserve"> (أنا) نحب</w:t>
      </w:r>
      <w:r w:rsidR="00834B7A" w:rsidRPr="006571AC">
        <w:rPr>
          <w:rFonts w:ascii="Arial" w:hAnsi="Arial" w:hint="cs"/>
          <w:sz w:val="27"/>
          <w:rtl/>
          <w:lang w:val="en-GB"/>
        </w:rPr>
        <w:t>ّ</w:t>
      </w:r>
      <w:r w:rsidRPr="006571AC">
        <w:rPr>
          <w:rFonts w:ascii="Arial" w:hAnsi="Arial" w:hint="cs"/>
          <w:sz w:val="27"/>
          <w:rtl/>
          <w:lang w:val="en-GB"/>
        </w:rPr>
        <w:t>ها</w:t>
      </w:r>
      <w:r w:rsidR="00834B7A" w:rsidRPr="006571AC">
        <w:rPr>
          <w:rFonts w:ascii="Arial" w:hAnsi="Arial" w:hint="cs"/>
          <w:sz w:val="27"/>
          <w:rtl/>
          <w:lang w:val="en-GB"/>
        </w:rPr>
        <w:t>، الت</w:t>
      </w:r>
      <w:r w:rsidRPr="006571AC">
        <w:rPr>
          <w:rFonts w:ascii="Arial" w:hAnsi="Arial" w:hint="cs"/>
          <w:sz w:val="27"/>
          <w:rtl/>
          <w:lang w:val="en-GB"/>
        </w:rPr>
        <w:t xml:space="preserve">حتي أم العلوي؟ </w:t>
      </w:r>
    </w:p>
    <w:p w:rsidR="0001386F" w:rsidRPr="006571AC" w:rsidRDefault="0001386F" w:rsidP="00BB404F">
      <w:pPr>
        <w:autoSpaceDE w:val="0"/>
        <w:autoSpaceDN w:val="0"/>
        <w:adjustRightInd w:val="0"/>
        <w:spacing w:line="386" w:lineRule="exact"/>
        <w:rPr>
          <w:rFonts w:ascii="Arial" w:hAnsi="Arial"/>
          <w:sz w:val="27"/>
          <w:rtl/>
          <w:lang w:val="en-GB"/>
        </w:rPr>
      </w:pPr>
      <w:r w:rsidRPr="006571AC">
        <w:rPr>
          <w:rFonts w:ascii="Arial" w:hAnsi="Arial" w:hint="cs"/>
          <w:sz w:val="27"/>
          <w:rtl/>
          <w:lang w:val="en-GB"/>
        </w:rPr>
        <w:t>فإذا كان المحبوب هو الأنا الفوقي كان الحب</w:t>
      </w:r>
      <w:r w:rsidR="00834B7A" w:rsidRPr="006571AC">
        <w:rPr>
          <w:rFonts w:ascii="Arial" w:hAnsi="Arial" w:hint="cs"/>
          <w:sz w:val="27"/>
          <w:rtl/>
          <w:lang w:val="en-GB"/>
        </w:rPr>
        <w:t>ّ</w:t>
      </w:r>
      <w:r w:rsidRPr="006571AC">
        <w:rPr>
          <w:rFonts w:ascii="Arial" w:hAnsi="Arial" w:hint="cs"/>
          <w:sz w:val="27"/>
          <w:rtl/>
          <w:lang w:val="en-GB"/>
        </w:rPr>
        <w:t xml:space="preserve"> أخلاقيا</w:t>
      </w:r>
      <w:r w:rsidR="00834B7A" w:rsidRPr="006571AC">
        <w:rPr>
          <w:rFonts w:ascii="Arial" w:hAnsi="Arial" w:hint="cs"/>
          <w:sz w:val="27"/>
          <w:rtl/>
          <w:lang w:val="en-GB"/>
        </w:rPr>
        <w:t>ً</w:t>
      </w:r>
      <w:r w:rsidRPr="006571AC">
        <w:rPr>
          <w:rFonts w:ascii="Arial" w:hAnsi="Arial" w:hint="cs"/>
          <w:sz w:val="27"/>
          <w:rtl/>
          <w:lang w:val="en-GB"/>
        </w:rPr>
        <w:t xml:space="preserve"> وذا قيمة</w:t>
      </w:r>
      <w:r w:rsidR="00834B7A" w:rsidRPr="006571AC">
        <w:rPr>
          <w:rFonts w:ascii="Arial" w:hAnsi="Arial" w:hint="cs"/>
          <w:sz w:val="27"/>
          <w:rtl/>
          <w:lang w:val="en-GB"/>
        </w:rPr>
        <w:t>ٍ.</w:t>
      </w:r>
      <w:r w:rsidRPr="006571AC">
        <w:rPr>
          <w:rFonts w:ascii="Arial" w:hAnsi="Arial" w:hint="cs"/>
          <w:sz w:val="27"/>
          <w:rtl/>
          <w:lang w:val="en-GB"/>
        </w:rPr>
        <w:t xml:space="preserve"> وإحساس الإنسان بالأخلاق ناشئ</w:t>
      </w:r>
      <w:r w:rsidR="00834B7A" w:rsidRPr="006571AC">
        <w:rPr>
          <w:rFonts w:ascii="Arial" w:hAnsi="Arial" w:hint="cs"/>
          <w:sz w:val="27"/>
          <w:rtl/>
          <w:lang w:val="en-GB"/>
        </w:rPr>
        <w:t>ٌ</w:t>
      </w:r>
      <w:r w:rsidRPr="006571AC">
        <w:rPr>
          <w:rFonts w:ascii="Arial" w:hAnsi="Arial" w:hint="cs"/>
          <w:sz w:val="27"/>
          <w:rtl/>
          <w:lang w:val="en-GB"/>
        </w:rPr>
        <w:t xml:space="preserve"> من هنا. </w:t>
      </w:r>
      <w:r w:rsidR="00834B7A" w:rsidRPr="006571AC">
        <w:rPr>
          <w:rFonts w:ascii="Arial" w:hAnsi="Arial" w:hint="cs"/>
          <w:sz w:val="27"/>
          <w:rtl/>
          <w:lang w:val="en-GB"/>
        </w:rPr>
        <w:t>ورؤية</w:t>
      </w:r>
      <w:r w:rsidRPr="006571AC">
        <w:rPr>
          <w:rFonts w:ascii="Arial" w:hAnsi="Arial" w:hint="cs"/>
          <w:sz w:val="27"/>
          <w:rtl/>
          <w:lang w:val="en-GB"/>
        </w:rPr>
        <w:t xml:space="preserve"> الإنسان جنبة</w:t>
      </w:r>
      <w:r w:rsidR="00834B7A" w:rsidRPr="006571AC">
        <w:rPr>
          <w:rFonts w:ascii="Arial" w:hAnsi="Arial" w:hint="cs"/>
          <w:sz w:val="27"/>
          <w:rtl/>
          <w:lang w:val="en-GB"/>
        </w:rPr>
        <w:t>ً</w:t>
      </w:r>
      <w:r w:rsidRPr="006571AC">
        <w:rPr>
          <w:rFonts w:ascii="Arial" w:hAnsi="Arial" w:hint="cs"/>
          <w:sz w:val="27"/>
          <w:rtl/>
          <w:lang w:val="en-GB"/>
        </w:rPr>
        <w:t xml:space="preserve"> من وجوده سامية</w:t>
      </w:r>
      <w:r w:rsidR="00834B7A" w:rsidRPr="006571AC">
        <w:rPr>
          <w:rFonts w:ascii="Arial" w:hAnsi="Arial" w:hint="cs"/>
          <w:sz w:val="27"/>
          <w:rtl/>
          <w:lang w:val="en-GB"/>
        </w:rPr>
        <w:t>ً،</w:t>
      </w:r>
      <w:r w:rsidRPr="006571AC">
        <w:rPr>
          <w:rFonts w:ascii="Arial" w:hAnsi="Arial" w:hint="cs"/>
          <w:sz w:val="27"/>
          <w:rtl/>
          <w:lang w:val="en-GB"/>
        </w:rPr>
        <w:t xml:space="preserve"> والأعمال المرتبطة بها رفيعة</w:t>
      </w:r>
      <w:r w:rsidR="00834B7A" w:rsidRPr="006571AC">
        <w:rPr>
          <w:rFonts w:ascii="Arial" w:hAnsi="Arial" w:hint="cs"/>
          <w:sz w:val="27"/>
          <w:rtl/>
          <w:lang w:val="en-GB"/>
        </w:rPr>
        <w:t>ً،</w:t>
      </w:r>
      <w:r w:rsidRPr="006571AC">
        <w:rPr>
          <w:rFonts w:ascii="Arial" w:hAnsi="Arial" w:hint="cs"/>
          <w:sz w:val="27"/>
          <w:rtl/>
          <w:lang w:val="en-GB"/>
        </w:rPr>
        <w:t xml:space="preserve"> ليس اعتبارا</w:t>
      </w:r>
      <w:r w:rsidR="00834B7A" w:rsidRPr="006571AC">
        <w:rPr>
          <w:rFonts w:ascii="Arial" w:hAnsi="Arial" w:hint="cs"/>
          <w:sz w:val="27"/>
          <w:rtl/>
          <w:lang w:val="en-GB"/>
        </w:rPr>
        <w:t>ً؛</w:t>
      </w:r>
      <w:r w:rsidRPr="006571AC">
        <w:rPr>
          <w:rFonts w:ascii="Arial" w:hAnsi="Arial" w:hint="cs"/>
          <w:sz w:val="27"/>
          <w:rtl/>
          <w:lang w:val="en-GB"/>
        </w:rPr>
        <w:t xml:space="preserve"> بل لأنه يرى تلك الجنبة في وجوده أكمل وأقوى من غيرها. </w:t>
      </w:r>
    </w:p>
    <w:p w:rsidR="0001386F" w:rsidRPr="006571AC" w:rsidRDefault="0001386F" w:rsidP="00BB404F">
      <w:pPr>
        <w:autoSpaceDE w:val="0"/>
        <w:autoSpaceDN w:val="0"/>
        <w:adjustRightInd w:val="0"/>
        <w:spacing w:line="386" w:lineRule="exact"/>
        <w:rPr>
          <w:rFonts w:ascii="Arial" w:hAnsi="Arial"/>
          <w:sz w:val="27"/>
          <w:rtl/>
          <w:lang w:val="en-GB"/>
        </w:rPr>
      </w:pPr>
      <w:r w:rsidRPr="006571AC">
        <w:rPr>
          <w:rFonts w:ascii="Arial" w:hAnsi="Arial" w:hint="cs"/>
          <w:sz w:val="27"/>
          <w:rtl/>
          <w:lang w:val="en-GB"/>
        </w:rPr>
        <w:t>وكل</w:t>
      </w:r>
      <w:r w:rsidR="007238FE" w:rsidRPr="006571AC">
        <w:rPr>
          <w:rFonts w:ascii="Arial" w:hAnsi="Arial" w:hint="cs"/>
          <w:sz w:val="27"/>
          <w:rtl/>
          <w:lang w:val="en-GB"/>
        </w:rPr>
        <w:t>ّ</w:t>
      </w:r>
      <w:r w:rsidRPr="006571AC">
        <w:rPr>
          <w:rFonts w:ascii="Arial" w:hAnsi="Arial" w:hint="cs"/>
          <w:sz w:val="27"/>
          <w:rtl/>
          <w:lang w:val="en-GB"/>
        </w:rPr>
        <w:t xml:space="preserve"> الكمالات ترجع إلى هذا الوجود، وكل</w:t>
      </w:r>
      <w:r w:rsidR="00834B7A" w:rsidRPr="006571AC">
        <w:rPr>
          <w:rFonts w:ascii="Arial" w:hAnsi="Arial" w:hint="cs"/>
          <w:sz w:val="27"/>
          <w:rtl/>
          <w:lang w:val="en-GB"/>
        </w:rPr>
        <w:t>ّ</w:t>
      </w:r>
      <w:r w:rsidRPr="006571AC">
        <w:rPr>
          <w:rFonts w:ascii="Arial" w:hAnsi="Arial" w:hint="cs"/>
          <w:sz w:val="27"/>
          <w:rtl/>
          <w:lang w:val="en-GB"/>
        </w:rPr>
        <w:t xml:space="preserve"> المناقص ترجع إلى عدمه</w:t>
      </w:r>
      <w:r w:rsidR="00834B7A" w:rsidRPr="006571AC">
        <w:rPr>
          <w:rFonts w:ascii="Arial" w:hAnsi="Arial" w:hint="cs"/>
          <w:sz w:val="27"/>
          <w:rtl/>
          <w:lang w:val="en-GB"/>
        </w:rPr>
        <w:t>.</w:t>
      </w:r>
      <w:r w:rsidRPr="006571AC">
        <w:rPr>
          <w:rFonts w:ascii="Arial" w:hAnsi="Arial" w:hint="cs"/>
          <w:sz w:val="27"/>
          <w:rtl/>
          <w:lang w:val="en-GB"/>
        </w:rPr>
        <w:t xml:space="preserve"> ولذا رُد</w:t>
      </w:r>
      <w:r w:rsidR="00834B7A" w:rsidRPr="006571AC">
        <w:rPr>
          <w:rFonts w:ascii="Arial" w:hAnsi="Arial" w:hint="cs"/>
          <w:sz w:val="27"/>
          <w:rtl/>
          <w:lang w:val="en-GB"/>
        </w:rPr>
        <w:t>ّ</w:t>
      </w:r>
      <w:r w:rsidRPr="006571AC">
        <w:rPr>
          <w:rFonts w:ascii="Arial" w:hAnsi="Arial" w:hint="cs"/>
          <w:sz w:val="27"/>
          <w:rtl/>
          <w:lang w:val="en-GB"/>
        </w:rPr>
        <w:t xml:space="preserve"> الصد</w:t>
      </w:r>
      <w:r w:rsidR="00834B7A" w:rsidRPr="006571AC">
        <w:rPr>
          <w:rFonts w:ascii="Arial" w:hAnsi="Arial" w:hint="cs"/>
          <w:sz w:val="27"/>
          <w:rtl/>
          <w:lang w:val="en-GB"/>
        </w:rPr>
        <w:t>ّ</w:t>
      </w:r>
      <w:r w:rsidRPr="006571AC">
        <w:rPr>
          <w:rFonts w:ascii="Arial" w:hAnsi="Arial" w:hint="cs"/>
          <w:sz w:val="27"/>
          <w:rtl/>
          <w:lang w:val="en-GB"/>
        </w:rPr>
        <w:t xml:space="preserve"> والصواب والإحسان والرحمة والخير وأمثالهما إلى الأنا الأعلى في الإنسان. </w:t>
      </w:r>
    </w:p>
    <w:p w:rsidR="0001386F" w:rsidRPr="006571AC" w:rsidRDefault="0001386F" w:rsidP="00BB404F">
      <w:pPr>
        <w:autoSpaceDE w:val="0"/>
        <w:autoSpaceDN w:val="0"/>
        <w:adjustRightInd w:val="0"/>
        <w:spacing w:line="386" w:lineRule="exact"/>
        <w:rPr>
          <w:rFonts w:ascii="Arial" w:hAnsi="Arial"/>
          <w:sz w:val="27"/>
          <w:rtl/>
          <w:lang w:val="en-GB"/>
        </w:rPr>
      </w:pPr>
      <w:r w:rsidRPr="006571AC">
        <w:rPr>
          <w:rFonts w:ascii="Arial" w:hAnsi="Arial" w:hint="cs"/>
          <w:sz w:val="27"/>
          <w:rtl/>
          <w:lang w:val="en-GB"/>
        </w:rPr>
        <w:t>فالإنسان يحس</w:t>
      </w:r>
      <w:r w:rsidR="00834B7A" w:rsidRPr="006571AC">
        <w:rPr>
          <w:rFonts w:ascii="Arial" w:hAnsi="Arial" w:hint="cs"/>
          <w:sz w:val="27"/>
          <w:rtl/>
          <w:lang w:val="en-GB"/>
        </w:rPr>
        <w:t>ّ</w:t>
      </w:r>
      <w:r w:rsidRPr="006571AC">
        <w:rPr>
          <w:rFonts w:ascii="Arial" w:hAnsi="Arial" w:hint="cs"/>
          <w:sz w:val="27"/>
          <w:rtl/>
          <w:lang w:val="en-GB"/>
        </w:rPr>
        <w:t xml:space="preserve"> بالسمو</w:t>
      </w:r>
      <w:r w:rsidR="00834B7A" w:rsidRPr="006571AC">
        <w:rPr>
          <w:rFonts w:ascii="Arial" w:hAnsi="Arial" w:hint="cs"/>
          <w:sz w:val="27"/>
          <w:rtl/>
          <w:lang w:val="en-GB"/>
        </w:rPr>
        <w:t>ّ</w:t>
      </w:r>
      <w:r w:rsidRPr="006571AC">
        <w:rPr>
          <w:rFonts w:ascii="Arial" w:hAnsi="Arial" w:hint="cs"/>
          <w:sz w:val="27"/>
          <w:rtl/>
          <w:lang w:val="en-GB"/>
        </w:rPr>
        <w:t xml:space="preserve"> بحكم ما لديه من شرف</w:t>
      </w:r>
      <w:r w:rsidR="00834B7A" w:rsidRPr="006571AC">
        <w:rPr>
          <w:rFonts w:ascii="Arial" w:hAnsi="Arial" w:hint="cs"/>
          <w:sz w:val="27"/>
          <w:rtl/>
          <w:lang w:val="en-GB"/>
        </w:rPr>
        <w:t>ٍ</w:t>
      </w:r>
      <w:r w:rsidRPr="006571AC">
        <w:rPr>
          <w:rFonts w:ascii="Arial" w:hAnsi="Arial" w:hint="cs"/>
          <w:sz w:val="27"/>
          <w:rtl/>
          <w:lang w:val="en-GB"/>
        </w:rPr>
        <w:t xml:space="preserve"> وكرامة</w:t>
      </w:r>
      <w:r w:rsidR="00834B7A" w:rsidRPr="006571AC">
        <w:rPr>
          <w:rFonts w:ascii="Arial" w:hAnsi="Arial" w:hint="cs"/>
          <w:sz w:val="27"/>
          <w:rtl/>
          <w:lang w:val="en-GB"/>
        </w:rPr>
        <w:t>ٍ</w:t>
      </w:r>
      <w:r w:rsidRPr="006571AC">
        <w:rPr>
          <w:rFonts w:ascii="Arial" w:hAnsi="Arial" w:hint="cs"/>
          <w:sz w:val="27"/>
          <w:rtl/>
          <w:lang w:val="en-GB"/>
        </w:rPr>
        <w:t xml:space="preserve"> ذاتيين</w:t>
      </w:r>
      <w:r w:rsidR="00834B7A" w:rsidRPr="006571AC">
        <w:rPr>
          <w:rFonts w:ascii="Arial" w:hAnsi="Arial" w:hint="cs"/>
          <w:sz w:val="27"/>
          <w:rtl/>
          <w:lang w:val="en-GB"/>
        </w:rPr>
        <w:t>،</w:t>
      </w:r>
      <w:r w:rsidRPr="006571AC">
        <w:rPr>
          <w:rFonts w:ascii="Arial" w:hAnsi="Arial" w:hint="cs"/>
          <w:sz w:val="27"/>
          <w:rtl/>
          <w:lang w:val="en-GB"/>
        </w:rPr>
        <w:t xml:space="preserve"> وهما جنبة ملكوتيه ونفحة إلهية من دون انتباه</w:t>
      </w:r>
      <w:r w:rsidR="00834B7A" w:rsidRPr="006571AC">
        <w:rPr>
          <w:rFonts w:ascii="Arial" w:hAnsi="Arial" w:hint="cs"/>
          <w:sz w:val="27"/>
          <w:rtl/>
          <w:lang w:val="en-GB"/>
        </w:rPr>
        <w:t>ٍ.</w:t>
      </w:r>
      <w:r w:rsidRPr="006571AC">
        <w:rPr>
          <w:rFonts w:ascii="Arial" w:hAnsi="Arial" w:hint="cs"/>
          <w:sz w:val="27"/>
          <w:rtl/>
          <w:lang w:val="en-GB"/>
        </w:rPr>
        <w:t xml:space="preserve"> فالناس خ</w:t>
      </w:r>
      <w:r w:rsidR="00834B7A" w:rsidRPr="006571AC">
        <w:rPr>
          <w:rFonts w:ascii="Arial" w:hAnsi="Arial" w:hint="cs"/>
          <w:sz w:val="27"/>
          <w:rtl/>
          <w:lang w:val="en-GB"/>
        </w:rPr>
        <w:t>ُ</w:t>
      </w:r>
      <w:r w:rsidRPr="006571AC">
        <w:rPr>
          <w:rFonts w:ascii="Arial" w:hAnsi="Arial" w:hint="cs"/>
          <w:sz w:val="27"/>
          <w:rtl/>
          <w:lang w:val="en-GB"/>
        </w:rPr>
        <w:t>لقوا متشابهين في الكمال، و</w:t>
      </w:r>
      <w:r w:rsidR="00834B7A" w:rsidRPr="006571AC">
        <w:rPr>
          <w:rFonts w:ascii="Arial" w:hAnsi="Arial" w:hint="cs"/>
          <w:sz w:val="27"/>
          <w:rtl/>
          <w:lang w:val="en-GB"/>
        </w:rPr>
        <w:t>إ</w:t>
      </w:r>
      <w:r w:rsidRPr="006571AC">
        <w:rPr>
          <w:rFonts w:ascii="Arial" w:hAnsi="Arial" w:hint="cs"/>
          <w:sz w:val="27"/>
          <w:rtl/>
          <w:lang w:val="en-GB"/>
        </w:rPr>
        <w:t>نهم متشابهين في الكمال الصعودي والمعنوي، على الرغم من اختلافهم في الأجسام والأماكن</w:t>
      </w:r>
      <w:r w:rsidR="00834B7A" w:rsidRPr="006571AC">
        <w:rPr>
          <w:rFonts w:ascii="Arial" w:hAnsi="Arial" w:hint="cs"/>
          <w:sz w:val="27"/>
          <w:rtl/>
          <w:lang w:val="en-GB"/>
        </w:rPr>
        <w:t>،</w:t>
      </w:r>
      <w:r w:rsidRPr="006571AC">
        <w:rPr>
          <w:rFonts w:ascii="Arial" w:hAnsi="Arial" w:hint="cs"/>
          <w:sz w:val="27"/>
          <w:rtl/>
          <w:lang w:val="en-GB"/>
        </w:rPr>
        <w:t xml:space="preserve"> وتغي</w:t>
      </w:r>
      <w:r w:rsidR="00834B7A" w:rsidRPr="006571AC">
        <w:rPr>
          <w:rFonts w:ascii="Arial" w:hAnsi="Arial" w:hint="cs"/>
          <w:sz w:val="27"/>
          <w:rtl/>
          <w:lang w:val="en-GB"/>
        </w:rPr>
        <w:t>ُّ</w:t>
      </w:r>
      <w:r w:rsidRPr="006571AC">
        <w:rPr>
          <w:rFonts w:ascii="Arial" w:hAnsi="Arial" w:hint="cs"/>
          <w:sz w:val="27"/>
          <w:rtl/>
          <w:lang w:val="en-GB"/>
        </w:rPr>
        <w:t>رهم في الحاجات البدنية، و</w:t>
      </w:r>
      <w:r w:rsidR="00731867" w:rsidRPr="006571AC">
        <w:rPr>
          <w:rFonts w:ascii="Arial" w:hAnsi="Arial" w:hint="cs"/>
          <w:sz w:val="27"/>
          <w:rtl/>
          <w:lang w:val="en-GB"/>
        </w:rPr>
        <w:t>لا بُدَّ</w:t>
      </w:r>
      <w:r w:rsidRPr="006571AC">
        <w:rPr>
          <w:rFonts w:ascii="Arial" w:hAnsi="Arial" w:hint="cs"/>
          <w:sz w:val="27"/>
          <w:rtl/>
          <w:lang w:val="en-GB"/>
        </w:rPr>
        <w:t xml:space="preserve"> أن تكون المحبوبات والطيبات والمساوي والمنكرات واحدة</w:t>
      </w:r>
      <w:r w:rsidR="00834B7A" w:rsidRPr="006571AC">
        <w:rPr>
          <w:rFonts w:ascii="Arial" w:hAnsi="Arial" w:hint="cs"/>
          <w:sz w:val="27"/>
          <w:rtl/>
          <w:lang w:val="en-GB"/>
        </w:rPr>
        <w:t>ً</w:t>
      </w:r>
      <w:r w:rsidRPr="006571AC">
        <w:rPr>
          <w:rFonts w:ascii="Arial" w:hAnsi="Arial" w:hint="cs"/>
          <w:sz w:val="27"/>
          <w:rtl/>
          <w:lang w:val="en-GB"/>
        </w:rPr>
        <w:t xml:space="preserve"> دائمة وكلية. ومن هذا الأصل المبين لجميع المحاسن والمساوي</w:t>
      </w:r>
      <w:r w:rsidR="00834B7A" w:rsidRPr="006571AC">
        <w:rPr>
          <w:rFonts w:ascii="Arial" w:hAnsi="Arial" w:hint="cs"/>
          <w:sz w:val="27"/>
          <w:rtl/>
          <w:lang w:val="en-GB"/>
        </w:rPr>
        <w:t>،</w:t>
      </w:r>
      <w:r w:rsidRPr="006571AC">
        <w:rPr>
          <w:rFonts w:ascii="Arial" w:hAnsi="Arial" w:hint="cs"/>
          <w:sz w:val="27"/>
          <w:rtl/>
          <w:lang w:val="en-GB"/>
        </w:rPr>
        <w:t xml:space="preserve"> وأنها ناشئة</w:t>
      </w:r>
      <w:r w:rsidR="00834B7A" w:rsidRPr="006571AC">
        <w:rPr>
          <w:rFonts w:ascii="Arial" w:hAnsi="Arial" w:hint="cs"/>
          <w:sz w:val="27"/>
          <w:rtl/>
          <w:lang w:val="en-GB"/>
        </w:rPr>
        <w:t>ٌ</w:t>
      </w:r>
      <w:r w:rsidRPr="006571AC">
        <w:rPr>
          <w:rFonts w:ascii="Arial" w:hAnsi="Arial" w:hint="cs"/>
          <w:sz w:val="27"/>
          <w:rtl/>
          <w:lang w:val="en-GB"/>
        </w:rPr>
        <w:t xml:space="preserve"> من ارتباط الشيء بكماله، نستكشف </w:t>
      </w:r>
      <w:r w:rsidR="00A04CD6" w:rsidRPr="006571AC">
        <w:rPr>
          <w:rFonts w:ascii="Arial" w:hAnsi="Arial" w:hint="cs"/>
          <w:sz w:val="27"/>
          <w:rtl/>
          <w:lang w:val="en-GB"/>
        </w:rPr>
        <w:t>أ</w:t>
      </w:r>
      <w:r w:rsidRPr="006571AC">
        <w:rPr>
          <w:rFonts w:ascii="Arial" w:hAnsi="Arial" w:hint="cs"/>
          <w:sz w:val="27"/>
          <w:rtl/>
          <w:lang w:val="en-GB"/>
        </w:rPr>
        <w:t>ن هذ</w:t>
      </w:r>
      <w:r w:rsidR="00A04CD6" w:rsidRPr="006571AC">
        <w:rPr>
          <w:rFonts w:ascii="Arial" w:hAnsi="Arial" w:hint="cs"/>
          <w:sz w:val="27"/>
          <w:rtl/>
          <w:lang w:val="en-GB"/>
        </w:rPr>
        <w:t>ه</w:t>
      </w:r>
      <w:r w:rsidRPr="006571AC">
        <w:rPr>
          <w:rFonts w:ascii="Arial" w:hAnsi="Arial" w:hint="cs"/>
          <w:sz w:val="27"/>
          <w:rtl/>
          <w:lang w:val="en-GB"/>
        </w:rPr>
        <w:t xml:space="preserve"> المحاسن والمساوي مشتركة</w:t>
      </w:r>
      <w:r w:rsidR="00A04CD6" w:rsidRPr="006571AC">
        <w:rPr>
          <w:rFonts w:ascii="Arial" w:hAnsi="Arial" w:hint="cs"/>
          <w:sz w:val="27"/>
          <w:rtl/>
          <w:lang w:val="en-GB"/>
        </w:rPr>
        <w:t>ٌ</w:t>
      </w:r>
      <w:r w:rsidRPr="006571AC">
        <w:rPr>
          <w:rFonts w:ascii="Arial" w:hAnsi="Arial" w:hint="cs"/>
          <w:sz w:val="27"/>
          <w:rtl/>
          <w:lang w:val="en-GB"/>
        </w:rPr>
        <w:t xml:space="preserve"> كلية ودائمة</w:t>
      </w:r>
      <w:r w:rsidRPr="006571AC">
        <w:rPr>
          <w:rFonts w:ascii="Arial" w:hAnsi="Arial"/>
          <w:sz w:val="27"/>
          <w:vertAlign w:val="superscript"/>
          <w:rtl/>
          <w:lang w:val="en-GB"/>
        </w:rPr>
        <w:t>(</w:t>
      </w:r>
      <w:r w:rsidRPr="006571AC">
        <w:rPr>
          <w:rStyle w:val="ac"/>
          <w:rFonts w:ascii="Arial" w:hAnsi="Arial"/>
          <w:sz w:val="27"/>
          <w:rtl/>
          <w:lang w:val="en-GB"/>
        </w:rPr>
        <w:endnoteReference w:id="698"/>
      </w:r>
      <w:r w:rsidRPr="006571AC">
        <w:rPr>
          <w:rFonts w:ascii="Arial" w:hAnsi="Arial"/>
          <w:sz w:val="27"/>
          <w:vertAlign w:val="superscript"/>
          <w:rtl/>
          <w:lang w:val="en-GB"/>
        </w:rPr>
        <w:t>)</w:t>
      </w:r>
      <w:r w:rsidRPr="006571AC">
        <w:rPr>
          <w:rFonts w:ascii="Arial" w:hAnsi="Arial"/>
          <w:sz w:val="27"/>
          <w:rtl/>
          <w:lang w:val="en-GB"/>
        </w:rPr>
        <w:t>.</w:t>
      </w:r>
      <w:r w:rsidRPr="006571AC">
        <w:rPr>
          <w:rFonts w:ascii="Arial" w:hAnsi="Arial" w:hint="cs"/>
          <w:sz w:val="27"/>
          <w:rtl/>
          <w:lang w:val="en-GB"/>
        </w:rPr>
        <w:t xml:space="preserve"> </w:t>
      </w:r>
    </w:p>
    <w:p w:rsidR="0001386F" w:rsidRPr="006571AC" w:rsidRDefault="0001386F" w:rsidP="00BB404F">
      <w:pPr>
        <w:autoSpaceDE w:val="0"/>
        <w:autoSpaceDN w:val="0"/>
        <w:adjustRightInd w:val="0"/>
        <w:rPr>
          <w:rFonts w:ascii="Arial" w:hAnsi="Arial"/>
          <w:sz w:val="27"/>
        </w:rPr>
      </w:pPr>
    </w:p>
    <w:p w:rsidR="0001386F" w:rsidRPr="006571AC" w:rsidRDefault="0001386F" w:rsidP="000B6711">
      <w:pPr>
        <w:pStyle w:val="31"/>
        <w:rPr>
          <w:color w:val="auto"/>
        </w:rPr>
      </w:pPr>
      <w:bookmarkStart w:id="416" w:name="_Toc114164824"/>
      <w:r w:rsidRPr="006571AC">
        <w:rPr>
          <w:color w:val="auto"/>
          <w:rtl/>
        </w:rPr>
        <w:t>مفهوم الأخلاق</w:t>
      </w:r>
      <w:bookmarkEnd w:id="416"/>
      <w:r w:rsidRPr="006571AC">
        <w:rPr>
          <w:color w:val="auto"/>
          <w:rtl/>
        </w:rPr>
        <w:t xml:space="preserve">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فعل</w:t>
      </w:r>
      <w:r w:rsidR="00A04CD6" w:rsidRPr="006571AC">
        <w:rPr>
          <w:rFonts w:ascii="Arial" w:hAnsi="Arial" w:hint="cs"/>
          <w:sz w:val="27"/>
          <w:rtl/>
        </w:rPr>
        <w:t>ٌ</w:t>
      </w:r>
      <w:r w:rsidRPr="006571AC">
        <w:rPr>
          <w:rFonts w:ascii="Arial" w:hAnsi="Arial"/>
          <w:sz w:val="27"/>
          <w:rtl/>
        </w:rPr>
        <w:t xml:space="preserve"> وسلوك</w:t>
      </w:r>
      <w:r w:rsidR="00A04CD6" w:rsidRPr="006571AC">
        <w:rPr>
          <w:rFonts w:ascii="Arial" w:hAnsi="Arial" w:hint="cs"/>
          <w:sz w:val="27"/>
          <w:rtl/>
        </w:rPr>
        <w:t>ٌ</w:t>
      </w:r>
      <w:r w:rsidRPr="006571AC">
        <w:rPr>
          <w:rFonts w:ascii="Arial" w:hAnsi="Arial"/>
          <w:sz w:val="27"/>
          <w:rtl/>
        </w:rPr>
        <w:t xml:space="preserve"> يشك</w:t>
      </w:r>
      <w:r w:rsidR="00A04CD6" w:rsidRPr="006571AC">
        <w:rPr>
          <w:rFonts w:ascii="Arial" w:hAnsi="Arial" w:hint="cs"/>
          <w:sz w:val="27"/>
          <w:rtl/>
        </w:rPr>
        <w:t>ِّ</w:t>
      </w:r>
      <w:r w:rsidRPr="006571AC">
        <w:rPr>
          <w:rFonts w:ascii="Arial" w:hAnsi="Arial"/>
          <w:sz w:val="27"/>
          <w:rtl/>
        </w:rPr>
        <w:t>ل حركة ال</w:t>
      </w:r>
      <w:r w:rsidR="00A04CD6" w:rsidRPr="006571AC">
        <w:rPr>
          <w:rFonts w:ascii="Arial" w:hAnsi="Arial" w:hint="cs"/>
          <w:sz w:val="27"/>
          <w:rtl/>
        </w:rPr>
        <w:t>إ</w:t>
      </w:r>
      <w:r w:rsidRPr="006571AC">
        <w:rPr>
          <w:rFonts w:ascii="Arial" w:hAnsi="Arial"/>
          <w:sz w:val="27"/>
          <w:rtl/>
        </w:rPr>
        <w:t>نسان الاجتماعية والعلائقية</w:t>
      </w:r>
      <w:r w:rsidR="00A04CD6" w:rsidRPr="006571AC">
        <w:rPr>
          <w:rFonts w:ascii="Arial" w:hAnsi="Arial" w:hint="cs"/>
          <w:sz w:val="27"/>
          <w:rtl/>
        </w:rPr>
        <w:t>،</w:t>
      </w:r>
      <w:r w:rsidRPr="006571AC">
        <w:rPr>
          <w:rFonts w:ascii="Arial" w:hAnsi="Arial"/>
          <w:sz w:val="27"/>
          <w:rtl/>
        </w:rPr>
        <w:t xml:space="preserve"> </w:t>
      </w:r>
      <w:r w:rsidR="0015072C" w:rsidRPr="006571AC">
        <w:rPr>
          <w:rFonts w:ascii="Arial" w:hAnsi="Arial" w:hint="cs"/>
          <w:sz w:val="27"/>
          <w:rtl/>
        </w:rPr>
        <w:t>و</w:t>
      </w:r>
      <w:r w:rsidRPr="006571AC">
        <w:rPr>
          <w:rFonts w:ascii="Arial" w:hAnsi="Arial"/>
          <w:sz w:val="27"/>
          <w:rtl/>
        </w:rPr>
        <w:t>يعمد لحفظ ق</w:t>
      </w:r>
      <w:r w:rsidR="00A04CD6" w:rsidRPr="006571AC">
        <w:rPr>
          <w:rFonts w:ascii="Arial" w:hAnsi="Arial" w:hint="cs"/>
          <w:sz w:val="27"/>
          <w:rtl/>
        </w:rPr>
        <w:t>ِ</w:t>
      </w:r>
      <w:r w:rsidRPr="006571AC">
        <w:rPr>
          <w:rFonts w:ascii="Arial" w:hAnsi="Arial"/>
          <w:sz w:val="27"/>
          <w:rtl/>
        </w:rPr>
        <w:t>ي</w:t>
      </w:r>
      <w:r w:rsidR="00A04CD6" w:rsidRPr="006571AC">
        <w:rPr>
          <w:rFonts w:ascii="Arial" w:hAnsi="Arial" w:hint="cs"/>
          <w:sz w:val="27"/>
          <w:rtl/>
        </w:rPr>
        <w:t>َ</w:t>
      </w:r>
      <w:r w:rsidRPr="006571AC">
        <w:rPr>
          <w:rFonts w:ascii="Arial" w:hAnsi="Arial"/>
          <w:sz w:val="27"/>
          <w:rtl/>
        </w:rPr>
        <w:t xml:space="preserve">مه </w:t>
      </w:r>
      <w:r w:rsidRPr="006571AC">
        <w:rPr>
          <w:rFonts w:ascii="Arial" w:hAnsi="Arial"/>
          <w:sz w:val="27"/>
          <w:rtl/>
        </w:rPr>
        <w:lastRenderedPageBreak/>
        <w:t>الذاتية والاجتماعية</w:t>
      </w:r>
      <w:r w:rsidR="00A04CD6" w:rsidRPr="006571AC">
        <w:rPr>
          <w:rFonts w:ascii="Arial" w:hAnsi="Arial" w:hint="cs"/>
          <w:sz w:val="27"/>
          <w:rtl/>
        </w:rPr>
        <w:t>.</w:t>
      </w:r>
      <w:r w:rsidRPr="006571AC">
        <w:rPr>
          <w:rFonts w:ascii="Arial" w:hAnsi="Arial" w:hint="cs"/>
          <w:sz w:val="27"/>
          <w:rtl/>
        </w:rPr>
        <w:t xml:space="preserve"> ويمي</w:t>
      </w:r>
      <w:r w:rsidR="00A04CD6" w:rsidRPr="006571AC">
        <w:rPr>
          <w:rFonts w:ascii="Arial" w:hAnsi="Arial" w:hint="cs"/>
          <w:sz w:val="27"/>
          <w:rtl/>
        </w:rPr>
        <w:t>ِّ</w:t>
      </w:r>
      <w:r w:rsidRPr="006571AC">
        <w:rPr>
          <w:rFonts w:ascii="Arial" w:hAnsi="Arial" w:hint="cs"/>
          <w:sz w:val="27"/>
          <w:rtl/>
        </w:rPr>
        <w:t xml:space="preserve">ز الشهيد مرتضى مطهري بين الأفعال الأخلاقية والأفعال العادية الطبيعية </w:t>
      </w:r>
      <w:r w:rsidR="00A04CD6" w:rsidRPr="006571AC">
        <w:rPr>
          <w:rFonts w:ascii="Arial" w:hAnsi="Arial" w:hint="cs"/>
          <w:sz w:val="27"/>
          <w:rtl/>
        </w:rPr>
        <w:t>ب</w:t>
      </w:r>
      <w:r w:rsidRPr="006571AC">
        <w:rPr>
          <w:rFonts w:ascii="Arial" w:hAnsi="Arial" w:hint="cs"/>
          <w:sz w:val="27"/>
          <w:rtl/>
        </w:rPr>
        <w:t>أن الفعل الأخلاقي قابل</w:t>
      </w:r>
      <w:r w:rsidR="00A04CD6" w:rsidRPr="006571AC">
        <w:rPr>
          <w:rFonts w:ascii="Arial" w:hAnsi="Arial" w:hint="cs"/>
          <w:sz w:val="27"/>
          <w:rtl/>
        </w:rPr>
        <w:t>ٌ</w:t>
      </w:r>
      <w:r w:rsidRPr="006571AC">
        <w:rPr>
          <w:rFonts w:ascii="Arial" w:hAnsi="Arial" w:hint="cs"/>
          <w:sz w:val="27"/>
          <w:rtl/>
        </w:rPr>
        <w:t xml:space="preserve"> للثناء والمدح، ويضفي الناس قيمة</w:t>
      </w:r>
      <w:r w:rsidR="00A04CD6" w:rsidRPr="006571AC">
        <w:rPr>
          <w:rFonts w:ascii="Arial" w:hAnsi="Arial" w:hint="cs"/>
          <w:sz w:val="27"/>
          <w:rtl/>
        </w:rPr>
        <w:t>ً</w:t>
      </w:r>
      <w:r w:rsidRPr="006571AC">
        <w:rPr>
          <w:rFonts w:ascii="Arial" w:hAnsi="Arial" w:hint="cs"/>
          <w:sz w:val="27"/>
          <w:rtl/>
        </w:rPr>
        <w:t xml:space="preserve"> على مثل هذا الفعل، لكن</w:t>
      </w:r>
      <w:r w:rsidR="00A04CD6" w:rsidRPr="006571AC">
        <w:rPr>
          <w:rFonts w:ascii="Arial" w:hAnsi="Arial" w:hint="cs"/>
          <w:sz w:val="27"/>
          <w:rtl/>
        </w:rPr>
        <w:t>ّ</w:t>
      </w:r>
      <w:r w:rsidRPr="006571AC">
        <w:rPr>
          <w:rFonts w:ascii="Arial" w:hAnsi="Arial" w:hint="cs"/>
          <w:sz w:val="27"/>
          <w:rtl/>
        </w:rPr>
        <w:t xml:space="preserve"> هذه القيمة ليست من نوع القيمة التي يقيم بها عمل أحد العمال</w:t>
      </w:r>
      <w:r w:rsidR="00A04CD6" w:rsidRPr="006571AC">
        <w:rPr>
          <w:rFonts w:ascii="Arial" w:hAnsi="Arial" w:hint="cs"/>
          <w:sz w:val="27"/>
          <w:rtl/>
        </w:rPr>
        <w:t>؛</w:t>
      </w:r>
      <w:r w:rsidRPr="006571AC">
        <w:rPr>
          <w:rFonts w:ascii="Arial" w:hAnsi="Arial" w:hint="cs"/>
          <w:sz w:val="27"/>
          <w:rtl/>
        </w:rPr>
        <w:t xml:space="preserve"> لأن العامل يوجد قيمة</w:t>
      </w:r>
      <w:r w:rsidR="00A04CD6" w:rsidRPr="006571AC">
        <w:rPr>
          <w:rFonts w:ascii="Arial" w:hAnsi="Arial" w:hint="cs"/>
          <w:sz w:val="27"/>
          <w:rtl/>
        </w:rPr>
        <w:t>ً</w:t>
      </w:r>
      <w:r w:rsidRPr="006571AC">
        <w:rPr>
          <w:rFonts w:ascii="Arial" w:hAnsi="Arial" w:hint="cs"/>
          <w:sz w:val="27"/>
          <w:rtl/>
        </w:rPr>
        <w:t xml:space="preserve"> ماد</w:t>
      </w:r>
      <w:r w:rsidR="00A04CD6" w:rsidRPr="006571AC">
        <w:rPr>
          <w:rFonts w:ascii="Arial" w:hAnsi="Arial" w:hint="cs"/>
          <w:sz w:val="27"/>
          <w:rtl/>
        </w:rPr>
        <w:t>ّ</w:t>
      </w:r>
      <w:r w:rsidRPr="006571AC">
        <w:rPr>
          <w:rFonts w:ascii="Arial" w:hAnsi="Arial" w:hint="cs"/>
          <w:sz w:val="27"/>
          <w:rtl/>
        </w:rPr>
        <w:t>ية</w:t>
      </w:r>
      <w:r w:rsidR="00A04CD6" w:rsidRPr="006571AC">
        <w:rPr>
          <w:rFonts w:ascii="Arial" w:hAnsi="Arial" w:hint="cs"/>
          <w:sz w:val="27"/>
          <w:rtl/>
        </w:rPr>
        <w:t>،</w:t>
      </w:r>
      <w:r w:rsidRPr="006571AC">
        <w:rPr>
          <w:rFonts w:ascii="Arial" w:hAnsi="Arial" w:hint="cs"/>
          <w:sz w:val="27"/>
          <w:rtl/>
        </w:rPr>
        <w:t xml:space="preserve"> </w:t>
      </w:r>
      <w:r w:rsidR="00A04CD6" w:rsidRPr="006571AC">
        <w:rPr>
          <w:rFonts w:ascii="Arial" w:hAnsi="Arial" w:hint="cs"/>
          <w:sz w:val="27"/>
          <w:rtl/>
        </w:rPr>
        <w:t>ف</w:t>
      </w:r>
      <w:r w:rsidRPr="006571AC">
        <w:rPr>
          <w:rFonts w:ascii="Arial" w:hAnsi="Arial" w:hint="cs"/>
          <w:sz w:val="27"/>
          <w:rtl/>
        </w:rPr>
        <w:t>يستحق مبلغا</w:t>
      </w:r>
      <w:r w:rsidR="00A04CD6" w:rsidRPr="006571AC">
        <w:rPr>
          <w:rFonts w:ascii="Arial" w:hAnsi="Arial" w:hint="cs"/>
          <w:sz w:val="27"/>
          <w:rtl/>
        </w:rPr>
        <w:t>ً</w:t>
      </w:r>
      <w:r w:rsidRPr="006571AC">
        <w:rPr>
          <w:rFonts w:ascii="Arial" w:hAnsi="Arial" w:hint="cs"/>
          <w:sz w:val="27"/>
          <w:rtl/>
        </w:rPr>
        <w:t xml:space="preserve"> من المال أو شيئا</w:t>
      </w:r>
      <w:r w:rsidR="00A04CD6" w:rsidRPr="006571AC">
        <w:rPr>
          <w:rFonts w:ascii="Arial" w:hAnsi="Arial" w:hint="cs"/>
          <w:sz w:val="27"/>
          <w:rtl/>
        </w:rPr>
        <w:t>ً</w:t>
      </w:r>
      <w:r w:rsidRPr="006571AC">
        <w:rPr>
          <w:rFonts w:ascii="Arial" w:hAnsi="Arial" w:hint="cs"/>
          <w:sz w:val="27"/>
          <w:rtl/>
        </w:rPr>
        <w:t xml:space="preserve"> من السلع في مقابل عمله، بينما الفعل الأخلاقي يتمي</w:t>
      </w:r>
      <w:r w:rsidR="00A04CD6" w:rsidRPr="006571AC">
        <w:rPr>
          <w:rFonts w:ascii="Arial" w:hAnsi="Arial" w:hint="cs"/>
          <w:sz w:val="27"/>
          <w:rtl/>
        </w:rPr>
        <w:t>َّ</w:t>
      </w:r>
      <w:r w:rsidRPr="006571AC">
        <w:rPr>
          <w:rFonts w:ascii="Arial" w:hAnsi="Arial" w:hint="cs"/>
          <w:sz w:val="27"/>
          <w:rtl/>
        </w:rPr>
        <w:t>ز بقيمة</w:t>
      </w:r>
      <w:r w:rsidR="00A04CD6" w:rsidRPr="006571AC">
        <w:rPr>
          <w:rFonts w:ascii="Arial" w:hAnsi="Arial" w:hint="cs"/>
          <w:sz w:val="27"/>
          <w:rtl/>
        </w:rPr>
        <w:t>ٍ</w:t>
      </w:r>
      <w:r w:rsidRPr="006571AC">
        <w:rPr>
          <w:rFonts w:ascii="Arial" w:hAnsi="Arial" w:hint="cs"/>
          <w:sz w:val="27"/>
          <w:rtl/>
        </w:rPr>
        <w:t xml:space="preserve"> تفوق الق</w:t>
      </w:r>
      <w:r w:rsidR="00A04CD6" w:rsidRPr="006571AC">
        <w:rPr>
          <w:rFonts w:ascii="Arial" w:hAnsi="Arial" w:hint="cs"/>
          <w:sz w:val="27"/>
          <w:rtl/>
        </w:rPr>
        <w:t>ِ</w:t>
      </w:r>
      <w:r w:rsidRPr="006571AC">
        <w:rPr>
          <w:rFonts w:ascii="Arial" w:hAnsi="Arial" w:hint="cs"/>
          <w:sz w:val="27"/>
          <w:rtl/>
        </w:rPr>
        <w:t>ي</w:t>
      </w:r>
      <w:r w:rsidR="00A04CD6" w:rsidRPr="006571AC">
        <w:rPr>
          <w:rFonts w:ascii="Arial" w:hAnsi="Arial" w:hint="cs"/>
          <w:sz w:val="27"/>
          <w:rtl/>
        </w:rPr>
        <w:t>َ</w:t>
      </w:r>
      <w:r w:rsidRPr="006571AC">
        <w:rPr>
          <w:rFonts w:ascii="Arial" w:hAnsi="Arial" w:hint="cs"/>
          <w:sz w:val="27"/>
          <w:rtl/>
        </w:rPr>
        <w:t>م</w:t>
      </w:r>
      <w:r w:rsidR="00A04CD6" w:rsidRPr="006571AC">
        <w:rPr>
          <w:rFonts w:ascii="Arial" w:hAnsi="Arial" w:hint="cs"/>
          <w:sz w:val="27"/>
          <w:rtl/>
        </w:rPr>
        <w:t>،</w:t>
      </w:r>
      <w:r w:rsidRPr="006571AC">
        <w:rPr>
          <w:rFonts w:ascii="Arial" w:hAnsi="Arial" w:hint="cs"/>
          <w:sz w:val="27"/>
          <w:rtl/>
        </w:rPr>
        <w:t xml:space="preserve"> بحيث لا يمكن تقويمها بالمال</w:t>
      </w:r>
      <w:r w:rsidR="00A04CD6" w:rsidRPr="006571AC">
        <w:rPr>
          <w:rFonts w:ascii="Arial" w:hAnsi="Arial" w:hint="cs"/>
          <w:sz w:val="27"/>
          <w:rtl/>
        </w:rPr>
        <w:t>،</w:t>
      </w:r>
      <w:r w:rsidRPr="006571AC">
        <w:rPr>
          <w:rFonts w:ascii="Arial" w:hAnsi="Arial" w:hint="cs"/>
          <w:sz w:val="27"/>
          <w:rtl/>
        </w:rPr>
        <w:t xml:space="preserve"> ولا بالسلع المادية، وتنفرد الأفعال الأخلاقية بقيمة</w:t>
      </w:r>
      <w:r w:rsidR="00A04CD6" w:rsidRPr="006571AC">
        <w:rPr>
          <w:rFonts w:ascii="Arial" w:hAnsi="Arial" w:hint="cs"/>
          <w:sz w:val="27"/>
          <w:rtl/>
        </w:rPr>
        <w:t>ٍ</w:t>
      </w:r>
      <w:r w:rsidRPr="006571AC">
        <w:rPr>
          <w:rFonts w:ascii="Arial" w:hAnsi="Arial" w:hint="cs"/>
          <w:sz w:val="27"/>
          <w:rtl/>
        </w:rPr>
        <w:t xml:space="preserve"> ثمينة، وهي قيمة</w:t>
      </w:r>
      <w:r w:rsidR="00A04CD6" w:rsidRPr="006571AC">
        <w:rPr>
          <w:rFonts w:ascii="Arial" w:hAnsi="Arial" w:hint="cs"/>
          <w:sz w:val="27"/>
          <w:rtl/>
        </w:rPr>
        <w:t>ٌ</w:t>
      </w:r>
      <w:r w:rsidRPr="006571AC">
        <w:rPr>
          <w:rFonts w:ascii="Arial" w:hAnsi="Arial" w:hint="cs"/>
          <w:sz w:val="27"/>
          <w:rtl/>
        </w:rPr>
        <w:t xml:space="preserve"> لا يستوعبها الذهن البشري، ولما كان نوع القيمة متفاوتا</w:t>
      </w:r>
      <w:r w:rsidR="00A04CD6" w:rsidRPr="006571AC">
        <w:rPr>
          <w:rFonts w:ascii="Arial" w:hAnsi="Arial" w:hint="cs"/>
          <w:sz w:val="27"/>
          <w:rtl/>
        </w:rPr>
        <w:t>ً</w:t>
      </w:r>
      <w:r w:rsidRPr="006571AC">
        <w:rPr>
          <w:rFonts w:ascii="Arial" w:hAnsi="Arial" w:hint="cs"/>
          <w:sz w:val="27"/>
          <w:rtl/>
        </w:rPr>
        <w:t xml:space="preserve"> فنحن مهما رفعنا مستوى المعيار والمقياس فإننا لا نستطيع أن نقيس الق</w:t>
      </w:r>
      <w:r w:rsidR="00A04CD6" w:rsidRPr="006571AC">
        <w:rPr>
          <w:rFonts w:ascii="Arial" w:hAnsi="Arial" w:hint="cs"/>
          <w:sz w:val="27"/>
          <w:rtl/>
        </w:rPr>
        <w:t>ِ</w:t>
      </w:r>
      <w:r w:rsidRPr="006571AC">
        <w:rPr>
          <w:rFonts w:ascii="Arial" w:hAnsi="Arial" w:hint="cs"/>
          <w:sz w:val="27"/>
          <w:rtl/>
        </w:rPr>
        <w:t>ي</w:t>
      </w:r>
      <w:r w:rsidR="00A04CD6" w:rsidRPr="006571AC">
        <w:rPr>
          <w:rFonts w:ascii="Arial" w:hAnsi="Arial" w:hint="cs"/>
          <w:sz w:val="27"/>
          <w:rtl/>
        </w:rPr>
        <w:t>َ</w:t>
      </w:r>
      <w:r w:rsidRPr="006571AC">
        <w:rPr>
          <w:rFonts w:ascii="Arial" w:hAnsi="Arial" w:hint="cs"/>
          <w:sz w:val="27"/>
          <w:rtl/>
        </w:rPr>
        <w:t>م الأخلاقية بالمعايير المادية</w:t>
      </w:r>
      <w:r w:rsidRPr="006571AC">
        <w:rPr>
          <w:rFonts w:ascii="Arial" w:hAnsi="Arial"/>
          <w:sz w:val="27"/>
          <w:vertAlign w:val="superscript"/>
          <w:rtl/>
        </w:rPr>
        <w:t>(</w:t>
      </w:r>
      <w:r w:rsidRPr="006571AC">
        <w:rPr>
          <w:rStyle w:val="ac"/>
          <w:rFonts w:ascii="Arial" w:hAnsi="Arial"/>
          <w:sz w:val="27"/>
          <w:rtl/>
        </w:rPr>
        <w:endnoteReference w:id="699"/>
      </w:r>
      <w:r w:rsidRPr="006571AC">
        <w:rPr>
          <w:rFonts w:ascii="Arial" w:hAnsi="Arial"/>
          <w:sz w:val="27"/>
          <w:vertAlign w:val="superscript"/>
          <w:rtl/>
        </w:rPr>
        <w:t>)</w:t>
      </w:r>
      <w:r w:rsidRPr="006571AC">
        <w:rPr>
          <w:rFonts w:ascii="Arial" w:hAnsi="Arial" w:hint="cs"/>
          <w:sz w:val="27"/>
          <w:rtl/>
        </w:rPr>
        <w:t xml:space="preserve">. </w:t>
      </w:r>
    </w:p>
    <w:p w:rsidR="00895BEB" w:rsidRPr="006571AC" w:rsidRDefault="00895BEB" w:rsidP="00895BEB">
      <w:pPr>
        <w:spacing w:line="420" w:lineRule="exact"/>
        <w:rPr>
          <w:rFonts w:ascii="Arabic Typesetting" w:hAnsi="Arabic Typesetting"/>
          <w:sz w:val="27"/>
          <w:rtl/>
          <w:lang w:bidi="ar-LB"/>
        </w:rPr>
      </w:pPr>
    </w:p>
    <w:p w:rsidR="0001386F" w:rsidRPr="006571AC" w:rsidRDefault="0001386F" w:rsidP="000B6711">
      <w:pPr>
        <w:pStyle w:val="31"/>
        <w:rPr>
          <w:color w:val="auto"/>
        </w:rPr>
      </w:pPr>
      <w:bookmarkStart w:id="417" w:name="_Toc114164825"/>
      <w:r w:rsidRPr="006571AC">
        <w:rPr>
          <w:color w:val="auto"/>
          <w:rtl/>
        </w:rPr>
        <w:t>الأخلاق في الفكر الإسلامي</w:t>
      </w:r>
      <w:r w:rsidR="00E051CE" w:rsidRPr="006571AC">
        <w:rPr>
          <w:rFonts w:hint="cs"/>
          <w:color w:val="auto"/>
          <w:rtl/>
        </w:rPr>
        <w:t>ّ</w:t>
      </w:r>
      <w:bookmarkEnd w:id="417"/>
      <w:r w:rsidRPr="006571AC">
        <w:rPr>
          <w:color w:val="auto"/>
          <w:rtl/>
        </w:rPr>
        <w:t xml:space="preserve">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البنية التنظيمية للإسلام متكاملة</w:t>
      </w:r>
      <w:r w:rsidR="0015072C" w:rsidRPr="006571AC">
        <w:rPr>
          <w:rFonts w:ascii="Arial" w:hAnsi="Arial" w:hint="cs"/>
          <w:sz w:val="27"/>
          <w:rtl/>
        </w:rPr>
        <w:t>ٌ</w:t>
      </w:r>
      <w:r w:rsidRPr="006571AC">
        <w:rPr>
          <w:rFonts w:ascii="Arial" w:hAnsi="Arial"/>
          <w:sz w:val="27"/>
          <w:rtl/>
        </w:rPr>
        <w:t xml:space="preserve"> ومتراص</w:t>
      </w:r>
      <w:r w:rsidR="0015072C" w:rsidRPr="006571AC">
        <w:rPr>
          <w:rFonts w:ascii="Arial" w:hAnsi="Arial" w:hint="cs"/>
          <w:sz w:val="27"/>
          <w:rtl/>
        </w:rPr>
        <w:t>ّ</w:t>
      </w:r>
      <w:r w:rsidRPr="006571AC">
        <w:rPr>
          <w:rFonts w:ascii="Arial" w:hAnsi="Arial"/>
          <w:sz w:val="27"/>
          <w:rtl/>
        </w:rPr>
        <w:t>ة ومت</w:t>
      </w:r>
      <w:r w:rsidR="0015072C" w:rsidRPr="006571AC">
        <w:rPr>
          <w:rFonts w:ascii="Arial" w:hAnsi="Arial" w:hint="cs"/>
          <w:sz w:val="27"/>
          <w:rtl/>
        </w:rPr>
        <w:t>ّ</w:t>
      </w:r>
      <w:r w:rsidRPr="006571AC">
        <w:rPr>
          <w:rFonts w:ascii="Arial" w:hAnsi="Arial"/>
          <w:sz w:val="27"/>
          <w:rtl/>
        </w:rPr>
        <w:t>صلة</w:t>
      </w:r>
      <w:r w:rsidR="0015072C" w:rsidRPr="006571AC">
        <w:rPr>
          <w:rFonts w:ascii="Arial" w:hAnsi="Arial" w:hint="cs"/>
          <w:sz w:val="27"/>
          <w:rtl/>
        </w:rPr>
        <w:t>،</w:t>
      </w:r>
      <w:r w:rsidRPr="006571AC">
        <w:rPr>
          <w:rFonts w:ascii="Arial" w:hAnsi="Arial"/>
          <w:sz w:val="27"/>
          <w:rtl/>
        </w:rPr>
        <w:t xml:space="preserve"> بحيث لا يمكن تفكيك بنيان منها أو فصله</w:t>
      </w:r>
      <w:r w:rsidR="0015072C" w:rsidRPr="006571AC">
        <w:rPr>
          <w:rFonts w:ascii="Arial" w:hAnsi="Arial" w:hint="cs"/>
          <w:sz w:val="27"/>
          <w:rtl/>
        </w:rPr>
        <w:t>؛</w:t>
      </w:r>
      <w:r w:rsidRPr="006571AC">
        <w:rPr>
          <w:rFonts w:ascii="Arial" w:hAnsi="Arial"/>
          <w:sz w:val="27"/>
          <w:rtl/>
        </w:rPr>
        <w:t xml:space="preserve"> للتداخل الوظيفي بين بناها الرئيسية المؤس</w:t>
      </w:r>
      <w:r w:rsidR="0015072C" w:rsidRPr="006571AC">
        <w:rPr>
          <w:rFonts w:ascii="Arial" w:hAnsi="Arial" w:hint="cs"/>
          <w:sz w:val="27"/>
          <w:rtl/>
        </w:rPr>
        <w:t>ّ</w:t>
      </w:r>
      <w:r w:rsidRPr="006571AC">
        <w:rPr>
          <w:rFonts w:ascii="Arial" w:hAnsi="Arial"/>
          <w:sz w:val="27"/>
          <w:rtl/>
        </w:rPr>
        <w:t>سة لها</w:t>
      </w:r>
      <w:r w:rsidR="0015072C" w:rsidRPr="006571AC">
        <w:rPr>
          <w:rFonts w:ascii="Arial" w:hAnsi="Arial" w:hint="cs"/>
          <w:sz w:val="27"/>
          <w:rtl/>
        </w:rPr>
        <w:t>.</w:t>
      </w:r>
      <w:r w:rsidRPr="006571AC">
        <w:rPr>
          <w:rFonts w:ascii="Arial" w:hAnsi="Arial"/>
          <w:sz w:val="27"/>
          <w:rtl/>
        </w:rPr>
        <w:t xml:space="preserve"> وهي</w:t>
      </w:r>
      <w:r w:rsidR="0015072C" w:rsidRPr="006571AC">
        <w:rPr>
          <w:rFonts w:ascii="Arial" w:hAnsi="Arial" w:hint="cs"/>
          <w:sz w:val="27"/>
          <w:rtl/>
        </w:rPr>
        <w:t>،</w:t>
      </w:r>
      <w:r w:rsidRPr="006571AC">
        <w:rPr>
          <w:rFonts w:ascii="Arial" w:hAnsi="Arial"/>
          <w:sz w:val="27"/>
          <w:rtl/>
        </w:rPr>
        <w:t xml:space="preserve"> حسب بعض التصنيفات</w:t>
      </w:r>
      <w:r w:rsidR="0015072C" w:rsidRPr="006571AC">
        <w:rPr>
          <w:rFonts w:ascii="Arial" w:hAnsi="Arial" w:hint="cs"/>
          <w:sz w:val="27"/>
          <w:rtl/>
        </w:rPr>
        <w:t>،</w:t>
      </w:r>
      <w:r w:rsidRPr="006571AC">
        <w:rPr>
          <w:rFonts w:ascii="Arial" w:hAnsi="Arial"/>
          <w:sz w:val="27"/>
          <w:rtl/>
        </w:rPr>
        <w:t xml:space="preserve"> تتشك</w:t>
      </w:r>
      <w:r w:rsidR="0015072C" w:rsidRPr="006571AC">
        <w:rPr>
          <w:rFonts w:ascii="Arial" w:hAnsi="Arial" w:hint="cs"/>
          <w:sz w:val="27"/>
          <w:rtl/>
        </w:rPr>
        <w:t>َّ</w:t>
      </w:r>
      <w:r w:rsidRPr="006571AC">
        <w:rPr>
          <w:rFonts w:ascii="Arial" w:hAnsi="Arial"/>
          <w:sz w:val="27"/>
          <w:rtl/>
        </w:rPr>
        <w:t>ل من: العقيدة</w:t>
      </w:r>
      <w:r w:rsidR="0015072C" w:rsidRPr="006571AC">
        <w:rPr>
          <w:rFonts w:ascii="Arial" w:hAnsi="Arial" w:hint="cs"/>
          <w:sz w:val="27"/>
          <w:rtl/>
        </w:rPr>
        <w:t xml:space="preserve">؛ </w:t>
      </w:r>
      <w:r w:rsidRPr="006571AC">
        <w:rPr>
          <w:rFonts w:ascii="Arial" w:hAnsi="Arial"/>
          <w:sz w:val="27"/>
          <w:rtl/>
        </w:rPr>
        <w:t>والفقه</w:t>
      </w:r>
      <w:r w:rsidR="0015072C" w:rsidRPr="006571AC">
        <w:rPr>
          <w:rFonts w:ascii="Arial" w:hAnsi="Arial" w:hint="cs"/>
          <w:sz w:val="27"/>
          <w:rtl/>
        </w:rPr>
        <w:t>؛</w:t>
      </w:r>
      <w:r w:rsidRPr="006571AC">
        <w:rPr>
          <w:rFonts w:ascii="Arial" w:hAnsi="Arial"/>
          <w:sz w:val="27"/>
          <w:rtl/>
        </w:rPr>
        <w:t xml:space="preserve"> والأخلاق</w:t>
      </w:r>
      <w:r w:rsidR="0015072C" w:rsidRPr="006571AC">
        <w:rPr>
          <w:rFonts w:ascii="Arial" w:hAnsi="Arial" w:hint="cs"/>
          <w:sz w:val="27"/>
          <w:rtl/>
        </w:rPr>
        <w:t>.</w:t>
      </w:r>
      <w:r w:rsidRPr="006571AC">
        <w:rPr>
          <w:rFonts w:ascii="Arial" w:hAnsi="Arial"/>
          <w:sz w:val="27"/>
          <w:rtl/>
        </w:rPr>
        <w:t xml:space="preserve"> ووفق تصنيفات أخرى من: القانون</w:t>
      </w:r>
      <w:r w:rsidR="0015072C" w:rsidRPr="006571AC">
        <w:rPr>
          <w:rFonts w:ascii="Arial" w:hAnsi="Arial" w:hint="cs"/>
          <w:sz w:val="27"/>
          <w:rtl/>
        </w:rPr>
        <w:t>؛</w:t>
      </w:r>
      <w:r w:rsidRPr="006571AC">
        <w:rPr>
          <w:rFonts w:ascii="Arial" w:hAnsi="Arial"/>
          <w:sz w:val="27"/>
          <w:rtl/>
        </w:rPr>
        <w:t xml:space="preserve"> والآداب</w:t>
      </w:r>
      <w:r w:rsidR="0015072C" w:rsidRPr="006571AC">
        <w:rPr>
          <w:rFonts w:ascii="Arial" w:hAnsi="Arial" w:hint="cs"/>
          <w:sz w:val="27"/>
          <w:rtl/>
        </w:rPr>
        <w:t>؛</w:t>
      </w:r>
      <w:r w:rsidRPr="006571AC">
        <w:rPr>
          <w:rFonts w:ascii="Arial" w:hAnsi="Arial"/>
          <w:sz w:val="27"/>
          <w:rtl/>
        </w:rPr>
        <w:t xml:space="preserve"> والق</w:t>
      </w:r>
      <w:r w:rsidR="0015072C" w:rsidRPr="006571AC">
        <w:rPr>
          <w:rFonts w:ascii="Arial" w:hAnsi="Arial" w:hint="cs"/>
          <w:sz w:val="27"/>
          <w:rtl/>
        </w:rPr>
        <w:t>ِ</w:t>
      </w:r>
      <w:r w:rsidRPr="006571AC">
        <w:rPr>
          <w:rFonts w:ascii="Arial" w:hAnsi="Arial"/>
          <w:sz w:val="27"/>
          <w:rtl/>
        </w:rPr>
        <w:t>ي</w:t>
      </w:r>
      <w:r w:rsidR="0015072C" w:rsidRPr="006571AC">
        <w:rPr>
          <w:rFonts w:ascii="Arial" w:hAnsi="Arial" w:hint="cs"/>
          <w:sz w:val="27"/>
          <w:rtl/>
        </w:rPr>
        <w:t>َ</w:t>
      </w:r>
      <w:r w:rsidRPr="006571AC">
        <w:rPr>
          <w:rFonts w:ascii="Arial" w:hAnsi="Arial"/>
          <w:sz w:val="27"/>
          <w:rtl/>
        </w:rPr>
        <w:t xml:space="preserve">م.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هذه البنى التأسيسية تتوازى طوليا</w:t>
      </w:r>
      <w:r w:rsidR="0015072C" w:rsidRPr="006571AC">
        <w:rPr>
          <w:rFonts w:ascii="Arial" w:hAnsi="Arial" w:hint="cs"/>
          <w:sz w:val="27"/>
          <w:rtl/>
        </w:rPr>
        <w:t>ً</w:t>
      </w:r>
      <w:r w:rsidRPr="006571AC">
        <w:rPr>
          <w:rFonts w:ascii="Arial" w:hAnsi="Arial"/>
          <w:sz w:val="27"/>
          <w:rtl/>
        </w:rPr>
        <w:t xml:space="preserve"> وتتداخل أفقيا</w:t>
      </w:r>
      <w:r w:rsidR="0015072C" w:rsidRPr="006571AC">
        <w:rPr>
          <w:rFonts w:ascii="Arial" w:hAnsi="Arial" w:hint="cs"/>
          <w:sz w:val="27"/>
          <w:rtl/>
        </w:rPr>
        <w:t>ً،</w:t>
      </w:r>
      <w:r w:rsidRPr="006571AC">
        <w:rPr>
          <w:rFonts w:ascii="Arial" w:hAnsi="Arial"/>
          <w:sz w:val="27"/>
          <w:rtl/>
        </w:rPr>
        <w:t xml:space="preserve"> بحيث يؤث</w:t>
      </w:r>
      <w:r w:rsidR="0015072C" w:rsidRPr="006571AC">
        <w:rPr>
          <w:rFonts w:ascii="Arial" w:hAnsi="Arial" w:hint="cs"/>
          <w:sz w:val="27"/>
          <w:rtl/>
        </w:rPr>
        <w:t>ِّر</w:t>
      </w:r>
      <w:r w:rsidRPr="006571AC">
        <w:rPr>
          <w:rFonts w:ascii="Arial" w:hAnsi="Arial"/>
          <w:sz w:val="27"/>
          <w:rtl/>
        </w:rPr>
        <w:t xml:space="preserve"> بعضها </w:t>
      </w:r>
      <w:r w:rsidR="0015072C" w:rsidRPr="006571AC">
        <w:rPr>
          <w:rFonts w:ascii="Arial" w:hAnsi="Arial" w:hint="cs"/>
          <w:sz w:val="27"/>
          <w:rtl/>
        </w:rPr>
        <w:t xml:space="preserve">في </w:t>
      </w:r>
      <w:r w:rsidRPr="006571AC">
        <w:rPr>
          <w:rFonts w:ascii="Arial" w:hAnsi="Arial"/>
          <w:sz w:val="27"/>
          <w:rtl/>
        </w:rPr>
        <w:t>ال</w:t>
      </w:r>
      <w:r w:rsidR="0015072C" w:rsidRPr="006571AC">
        <w:rPr>
          <w:rFonts w:ascii="Arial" w:hAnsi="Arial" w:hint="cs"/>
          <w:sz w:val="27"/>
          <w:rtl/>
        </w:rPr>
        <w:t>آ</w:t>
      </w:r>
      <w:r w:rsidRPr="006571AC">
        <w:rPr>
          <w:rFonts w:ascii="Arial" w:hAnsi="Arial"/>
          <w:sz w:val="27"/>
          <w:rtl/>
        </w:rPr>
        <w:t>خر بشكل</w:t>
      </w:r>
      <w:r w:rsidR="0015072C" w:rsidRPr="006571AC">
        <w:rPr>
          <w:rFonts w:ascii="Arial" w:hAnsi="Arial" w:hint="cs"/>
          <w:sz w:val="27"/>
          <w:rtl/>
        </w:rPr>
        <w:t>ٍ</w:t>
      </w:r>
      <w:r w:rsidRPr="006571AC">
        <w:rPr>
          <w:rFonts w:ascii="Arial" w:hAnsi="Arial"/>
          <w:sz w:val="27"/>
          <w:rtl/>
        </w:rPr>
        <w:t xml:space="preserve"> تبادلي</w:t>
      </w:r>
      <w:r w:rsidRPr="006571AC">
        <w:rPr>
          <w:rFonts w:ascii="Arial" w:hAnsi="Arial" w:hint="cs"/>
          <w:sz w:val="27"/>
          <w:rtl/>
        </w:rPr>
        <w:t xml:space="preserve">، </w:t>
      </w:r>
      <w:r w:rsidRPr="006571AC">
        <w:rPr>
          <w:rFonts w:ascii="Arial" w:hAnsi="Arial"/>
          <w:sz w:val="27"/>
          <w:rtl/>
        </w:rPr>
        <w:t>يعتمد على الوعاء القابل، ولو رجح أحدها على الآخر أو غي</w:t>
      </w:r>
      <w:r w:rsidR="0015072C" w:rsidRPr="006571AC">
        <w:rPr>
          <w:rFonts w:ascii="Arial" w:hAnsi="Arial" w:hint="cs"/>
          <w:sz w:val="27"/>
          <w:rtl/>
        </w:rPr>
        <w:t>ّ</w:t>
      </w:r>
      <w:r w:rsidRPr="006571AC">
        <w:rPr>
          <w:rFonts w:ascii="Arial" w:hAnsi="Arial"/>
          <w:sz w:val="27"/>
          <w:rtl/>
        </w:rPr>
        <w:t>ب أحدها لحساب الآخر سيظهر الخ</w:t>
      </w:r>
      <w:r w:rsidR="0015072C" w:rsidRPr="006571AC">
        <w:rPr>
          <w:rFonts w:ascii="Arial" w:hAnsi="Arial" w:hint="cs"/>
          <w:sz w:val="27"/>
          <w:rtl/>
        </w:rPr>
        <w:t>َ</w:t>
      </w:r>
      <w:r w:rsidRPr="006571AC">
        <w:rPr>
          <w:rFonts w:ascii="Arial" w:hAnsi="Arial"/>
          <w:sz w:val="27"/>
          <w:rtl/>
        </w:rPr>
        <w:t>ل</w:t>
      </w:r>
      <w:r w:rsidR="0015072C" w:rsidRPr="006571AC">
        <w:rPr>
          <w:rFonts w:ascii="Arial" w:hAnsi="Arial" w:hint="cs"/>
          <w:sz w:val="27"/>
          <w:rtl/>
        </w:rPr>
        <w:t>َ</w:t>
      </w:r>
      <w:r w:rsidRPr="006571AC">
        <w:rPr>
          <w:rFonts w:ascii="Arial" w:hAnsi="Arial"/>
          <w:sz w:val="27"/>
          <w:rtl/>
        </w:rPr>
        <w:t>ل الوظيفي على الإنسان</w:t>
      </w:r>
      <w:r w:rsidR="0015072C" w:rsidRPr="006571AC">
        <w:rPr>
          <w:rFonts w:ascii="Arial" w:hAnsi="Arial" w:hint="cs"/>
          <w:sz w:val="27"/>
          <w:rtl/>
        </w:rPr>
        <w:t>،</w:t>
      </w:r>
      <w:r w:rsidRPr="006571AC">
        <w:rPr>
          <w:rFonts w:ascii="Arial" w:hAnsi="Arial"/>
          <w:sz w:val="27"/>
          <w:rtl/>
        </w:rPr>
        <w:t xml:space="preserve"> وتبدأ تظهر الانحرافات في الفهم والسلوك.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وهذا التقسيم قديم</w:t>
      </w:r>
      <w:r w:rsidR="0015072C" w:rsidRPr="006571AC">
        <w:rPr>
          <w:rFonts w:ascii="Arial" w:hAnsi="Arial" w:hint="cs"/>
          <w:sz w:val="27"/>
          <w:rtl/>
        </w:rPr>
        <w:t>ٌ</w:t>
      </w:r>
      <w:r w:rsidRPr="006571AC">
        <w:rPr>
          <w:rFonts w:ascii="Arial" w:hAnsi="Arial"/>
          <w:sz w:val="27"/>
          <w:rtl/>
        </w:rPr>
        <w:t xml:space="preserve"> ومت</w:t>
      </w:r>
      <w:r w:rsidR="0015072C" w:rsidRPr="006571AC">
        <w:rPr>
          <w:rFonts w:ascii="Arial" w:hAnsi="Arial" w:hint="cs"/>
          <w:sz w:val="27"/>
          <w:rtl/>
        </w:rPr>
        <w:t>َّ</w:t>
      </w:r>
      <w:r w:rsidRPr="006571AC">
        <w:rPr>
          <w:rFonts w:ascii="Arial" w:hAnsi="Arial"/>
          <w:sz w:val="27"/>
          <w:rtl/>
        </w:rPr>
        <w:t>فق عليه</w:t>
      </w:r>
      <w:r w:rsidR="0015072C" w:rsidRPr="006571AC">
        <w:rPr>
          <w:rFonts w:ascii="Arial" w:hAnsi="Arial" w:hint="cs"/>
          <w:sz w:val="27"/>
          <w:rtl/>
        </w:rPr>
        <w:t>؛</w:t>
      </w:r>
      <w:r w:rsidRPr="006571AC">
        <w:rPr>
          <w:rFonts w:ascii="Arial" w:hAnsi="Arial"/>
          <w:sz w:val="27"/>
          <w:rtl/>
        </w:rPr>
        <w:t xml:space="preserve"> كونه يعود إلى تقسيم مدركات العقل إلى</w:t>
      </w:r>
      <w:r w:rsidR="0015072C" w:rsidRPr="006571AC">
        <w:rPr>
          <w:rFonts w:ascii="Arial" w:hAnsi="Arial" w:hint="cs"/>
          <w:sz w:val="27"/>
          <w:rtl/>
        </w:rPr>
        <w:t>:</w:t>
      </w:r>
      <w:r w:rsidRPr="006571AC">
        <w:rPr>
          <w:rFonts w:ascii="Arial" w:hAnsi="Arial"/>
          <w:sz w:val="27"/>
          <w:rtl/>
        </w:rPr>
        <w:t xml:space="preserve"> نظري</w:t>
      </w:r>
      <w:r w:rsidR="0015072C" w:rsidRPr="006571AC">
        <w:rPr>
          <w:rFonts w:ascii="Arial" w:hAnsi="Arial" w:hint="cs"/>
          <w:sz w:val="27"/>
          <w:rtl/>
        </w:rPr>
        <w:t>ّ؛</w:t>
      </w:r>
      <w:r w:rsidRPr="006571AC">
        <w:rPr>
          <w:rFonts w:ascii="Arial" w:hAnsi="Arial"/>
          <w:sz w:val="27"/>
          <w:rtl/>
        </w:rPr>
        <w:t xml:space="preserve"> وعملي</w:t>
      </w:r>
      <w:r w:rsidR="0015072C" w:rsidRPr="006571AC">
        <w:rPr>
          <w:rFonts w:ascii="Arial" w:hAnsi="Arial" w:hint="cs"/>
          <w:sz w:val="27"/>
          <w:rtl/>
        </w:rPr>
        <w:t>ّ.</w:t>
      </w:r>
      <w:r w:rsidRPr="006571AC">
        <w:rPr>
          <w:rFonts w:ascii="Arial" w:hAnsi="Arial"/>
          <w:sz w:val="27"/>
          <w:rtl/>
        </w:rPr>
        <w:t xml:space="preserve"> فالعقل النظري يتعل</w:t>
      </w:r>
      <w:r w:rsidR="0015072C" w:rsidRPr="006571AC">
        <w:rPr>
          <w:rFonts w:ascii="Arial" w:hAnsi="Arial" w:hint="cs"/>
          <w:sz w:val="27"/>
          <w:rtl/>
        </w:rPr>
        <w:t>َّ</w:t>
      </w:r>
      <w:r w:rsidRPr="006571AC">
        <w:rPr>
          <w:rFonts w:ascii="Arial" w:hAnsi="Arial"/>
          <w:sz w:val="27"/>
          <w:rtl/>
        </w:rPr>
        <w:t>ق بما هو كائن</w:t>
      </w:r>
      <w:r w:rsidR="0015072C" w:rsidRPr="006571AC">
        <w:rPr>
          <w:rFonts w:ascii="Arial" w:hAnsi="Arial" w:hint="cs"/>
          <w:sz w:val="27"/>
          <w:rtl/>
        </w:rPr>
        <w:t>ٌ</w:t>
      </w:r>
      <w:r w:rsidRPr="006571AC">
        <w:rPr>
          <w:rFonts w:ascii="Arial" w:hAnsi="Arial"/>
          <w:sz w:val="27"/>
          <w:rtl/>
        </w:rPr>
        <w:t xml:space="preserve"> (العقيدة)</w:t>
      </w:r>
      <w:r w:rsidR="0015072C" w:rsidRPr="006571AC">
        <w:rPr>
          <w:rFonts w:ascii="Arial" w:hAnsi="Arial" w:hint="cs"/>
          <w:sz w:val="27"/>
          <w:rtl/>
        </w:rPr>
        <w:t>،</w:t>
      </w:r>
      <w:r w:rsidRPr="006571AC">
        <w:rPr>
          <w:rFonts w:ascii="Arial" w:hAnsi="Arial"/>
          <w:sz w:val="27"/>
          <w:rtl/>
        </w:rPr>
        <w:t xml:space="preserve"> والعقل العملي أي بما ينبغي أن يكون (فقه</w:t>
      </w:r>
      <w:r w:rsidR="0015072C" w:rsidRPr="006571AC">
        <w:rPr>
          <w:rFonts w:ascii="Arial" w:hAnsi="Arial" w:hint="cs"/>
          <w:sz w:val="27"/>
          <w:rtl/>
        </w:rPr>
        <w:t>ٌ</w:t>
      </w:r>
      <w:r w:rsidRPr="006571AC">
        <w:rPr>
          <w:rFonts w:ascii="Arial" w:hAnsi="Arial"/>
          <w:sz w:val="27"/>
          <w:rtl/>
        </w:rPr>
        <w:t xml:space="preserve"> وأخلاق)</w:t>
      </w:r>
      <w:r w:rsidR="0015072C" w:rsidRPr="006571AC">
        <w:rPr>
          <w:rFonts w:ascii="Arial" w:hAnsi="Arial" w:hint="cs"/>
          <w:sz w:val="27"/>
          <w:rtl/>
        </w:rPr>
        <w:t>.</w:t>
      </w:r>
      <w:r w:rsidRPr="006571AC">
        <w:rPr>
          <w:rFonts w:ascii="Arial" w:hAnsi="Arial"/>
          <w:sz w:val="27"/>
          <w:rtl/>
        </w:rPr>
        <w:t xml:space="preserve"> الفقه يتعل</w:t>
      </w:r>
      <w:r w:rsidR="0015072C" w:rsidRPr="006571AC">
        <w:rPr>
          <w:rFonts w:ascii="Arial" w:hAnsi="Arial" w:hint="cs"/>
          <w:sz w:val="27"/>
          <w:rtl/>
        </w:rPr>
        <w:t>َّ</w:t>
      </w:r>
      <w:r w:rsidRPr="006571AC">
        <w:rPr>
          <w:rFonts w:ascii="Arial" w:hAnsi="Arial"/>
          <w:sz w:val="27"/>
          <w:rtl/>
        </w:rPr>
        <w:t>ق بمفردات الأفعال، والأخلاق تتعل</w:t>
      </w:r>
      <w:r w:rsidR="0015072C" w:rsidRPr="006571AC">
        <w:rPr>
          <w:rFonts w:ascii="Arial" w:hAnsi="Arial" w:hint="cs"/>
          <w:sz w:val="27"/>
          <w:rtl/>
        </w:rPr>
        <w:t>َّ</w:t>
      </w:r>
      <w:r w:rsidRPr="006571AC">
        <w:rPr>
          <w:rFonts w:ascii="Arial" w:hAnsi="Arial"/>
          <w:sz w:val="27"/>
          <w:rtl/>
        </w:rPr>
        <w:t>ق بكل</w:t>
      </w:r>
      <w:r w:rsidR="0015072C" w:rsidRPr="006571AC">
        <w:rPr>
          <w:rFonts w:ascii="Arial" w:hAnsi="Arial" w:hint="cs"/>
          <w:sz w:val="27"/>
          <w:rtl/>
        </w:rPr>
        <w:t>ِّ</w:t>
      </w:r>
      <w:r w:rsidRPr="006571AC">
        <w:rPr>
          <w:rFonts w:ascii="Arial" w:hAnsi="Arial"/>
          <w:sz w:val="27"/>
          <w:rtl/>
        </w:rPr>
        <w:t>ياتها (العادات وال</w:t>
      </w:r>
      <w:r w:rsidR="0015072C" w:rsidRPr="006571AC">
        <w:rPr>
          <w:rFonts w:ascii="Arial" w:hAnsi="Arial" w:hint="cs"/>
          <w:sz w:val="27"/>
          <w:rtl/>
        </w:rPr>
        <w:t>مَ</w:t>
      </w:r>
      <w:r w:rsidRPr="006571AC">
        <w:rPr>
          <w:rFonts w:ascii="Arial" w:hAnsi="Arial"/>
          <w:sz w:val="27"/>
          <w:rtl/>
        </w:rPr>
        <w:t>ل</w:t>
      </w:r>
      <w:r w:rsidR="0015072C" w:rsidRPr="006571AC">
        <w:rPr>
          <w:rFonts w:ascii="Arial" w:hAnsi="Arial" w:hint="cs"/>
          <w:sz w:val="27"/>
          <w:rtl/>
        </w:rPr>
        <w:t>َ</w:t>
      </w:r>
      <w:r w:rsidRPr="006571AC">
        <w:rPr>
          <w:rFonts w:ascii="Arial" w:hAnsi="Arial"/>
          <w:sz w:val="27"/>
          <w:rtl/>
        </w:rPr>
        <w:t xml:space="preserve">كات).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تأتي أهم</w:t>
      </w:r>
      <w:r w:rsidR="0015072C" w:rsidRPr="006571AC">
        <w:rPr>
          <w:rFonts w:ascii="Arial" w:hAnsi="Arial" w:hint="cs"/>
          <w:sz w:val="27"/>
          <w:rtl/>
        </w:rPr>
        <w:t>ِّ</w:t>
      </w:r>
      <w:r w:rsidRPr="006571AC">
        <w:rPr>
          <w:rFonts w:ascii="Arial" w:hAnsi="Arial"/>
          <w:sz w:val="27"/>
          <w:rtl/>
        </w:rPr>
        <w:t>ية الأخلاق في هذه المنظومة كونها تشك</w:t>
      </w:r>
      <w:r w:rsidR="0015072C" w:rsidRPr="006571AC">
        <w:rPr>
          <w:rFonts w:ascii="Arial" w:hAnsi="Arial" w:hint="cs"/>
          <w:sz w:val="27"/>
          <w:rtl/>
        </w:rPr>
        <w:t>ِّ</w:t>
      </w:r>
      <w:r w:rsidRPr="006571AC">
        <w:rPr>
          <w:rFonts w:ascii="Arial" w:hAnsi="Arial"/>
          <w:sz w:val="27"/>
          <w:rtl/>
        </w:rPr>
        <w:t>ل الضابطة في ب</w:t>
      </w:r>
      <w:r w:rsidR="0015072C" w:rsidRPr="006571AC">
        <w:rPr>
          <w:rFonts w:ascii="Arial" w:hAnsi="Arial" w:hint="cs"/>
          <w:sz w:val="27"/>
          <w:rtl/>
        </w:rPr>
        <w:t>ُ</w:t>
      </w:r>
      <w:r w:rsidRPr="006571AC">
        <w:rPr>
          <w:rFonts w:ascii="Arial" w:hAnsi="Arial"/>
          <w:sz w:val="27"/>
          <w:rtl/>
        </w:rPr>
        <w:t>ع</w:t>
      </w:r>
      <w:r w:rsidR="0015072C" w:rsidRPr="006571AC">
        <w:rPr>
          <w:rFonts w:ascii="Arial" w:hAnsi="Arial" w:hint="cs"/>
          <w:sz w:val="27"/>
          <w:rtl/>
        </w:rPr>
        <w:t>ْ</w:t>
      </w:r>
      <w:r w:rsidRPr="006571AC">
        <w:rPr>
          <w:rFonts w:ascii="Arial" w:hAnsi="Arial"/>
          <w:sz w:val="27"/>
          <w:rtl/>
        </w:rPr>
        <w:t>د</w:t>
      </w:r>
      <w:r w:rsidR="0015072C" w:rsidRPr="006571AC">
        <w:rPr>
          <w:rFonts w:ascii="Arial" w:hAnsi="Arial" w:hint="cs"/>
          <w:sz w:val="27"/>
          <w:rtl/>
        </w:rPr>
        <w:t>َ</w:t>
      </w:r>
      <w:r w:rsidRPr="006571AC">
        <w:rPr>
          <w:rFonts w:ascii="Arial" w:hAnsi="Arial"/>
          <w:sz w:val="27"/>
          <w:rtl/>
        </w:rPr>
        <w:t>ي</w:t>
      </w:r>
      <w:r w:rsidR="0015072C" w:rsidRPr="006571AC">
        <w:rPr>
          <w:rFonts w:ascii="Arial" w:hAnsi="Arial" w:hint="cs"/>
          <w:sz w:val="27"/>
          <w:rtl/>
        </w:rPr>
        <w:t>ْ</w:t>
      </w:r>
      <w:r w:rsidRPr="006571AC">
        <w:rPr>
          <w:rFonts w:ascii="Arial" w:hAnsi="Arial"/>
          <w:sz w:val="27"/>
          <w:rtl/>
        </w:rPr>
        <w:t>ن</w:t>
      </w:r>
      <w:r w:rsidR="0015072C" w:rsidRPr="006571AC">
        <w:rPr>
          <w:rFonts w:ascii="Arial" w:hAnsi="Arial" w:hint="cs"/>
          <w:sz w:val="27"/>
          <w:rtl/>
        </w:rPr>
        <w:t>،</w:t>
      </w:r>
      <w:r w:rsidRPr="006571AC">
        <w:rPr>
          <w:rFonts w:ascii="Arial" w:hAnsi="Arial"/>
          <w:sz w:val="27"/>
          <w:rtl/>
        </w:rPr>
        <w:t xml:space="preserve"> هما: </w:t>
      </w:r>
    </w:p>
    <w:p w:rsidR="0001386F" w:rsidRPr="006571AC" w:rsidRDefault="0001386F" w:rsidP="00D259C9">
      <w:pPr>
        <w:autoSpaceDE w:val="0"/>
        <w:autoSpaceDN w:val="0"/>
        <w:adjustRightInd w:val="0"/>
        <w:rPr>
          <w:rFonts w:ascii="Arial" w:hAnsi="Arial"/>
          <w:sz w:val="27"/>
        </w:rPr>
      </w:pPr>
      <w:r w:rsidRPr="006571AC">
        <w:rPr>
          <w:rFonts w:ascii="Arial" w:hAnsi="Arial" w:hint="cs"/>
          <w:b/>
          <w:bCs/>
          <w:sz w:val="27"/>
          <w:rtl/>
        </w:rPr>
        <w:t>1</w:t>
      </w:r>
      <w:r w:rsidRPr="006571AC">
        <w:rPr>
          <w:rFonts w:ascii="Arial" w:hAnsi="Arial"/>
          <w:b/>
          <w:bCs/>
          <w:sz w:val="27"/>
          <w:rtl/>
        </w:rPr>
        <w:t xml:space="preserve">ـ </w:t>
      </w:r>
      <w:r w:rsidRPr="006571AC">
        <w:rPr>
          <w:rFonts w:ascii="Arial" w:hAnsi="Arial" w:hint="cs"/>
          <w:b/>
          <w:bCs/>
          <w:sz w:val="27"/>
          <w:rtl/>
        </w:rPr>
        <w:t>الب</w:t>
      </w:r>
      <w:r w:rsidR="0015072C" w:rsidRPr="006571AC">
        <w:rPr>
          <w:rFonts w:ascii="Arial" w:hAnsi="Arial" w:hint="cs"/>
          <w:b/>
          <w:bCs/>
          <w:sz w:val="27"/>
          <w:rtl/>
        </w:rPr>
        <w:t>ُ</w:t>
      </w:r>
      <w:r w:rsidRPr="006571AC">
        <w:rPr>
          <w:rFonts w:ascii="Arial" w:hAnsi="Arial" w:hint="cs"/>
          <w:b/>
          <w:bCs/>
          <w:sz w:val="27"/>
          <w:rtl/>
        </w:rPr>
        <w:t>ع</w:t>
      </w:r>
      <w:r w:rsidR="0015072C" w:rsidRPr="006571AC">
        <w:rPr>
          <w:rFonts w:ascii="Arial" w:hAnsi="Arial" w:hint="cs"/>
          <w:b/>
          <w:bCs/>
          <w:sz w:val="27"/>
          <w:rtl/>
        </w:rPr>
        <w:t>ْ</w:t>
      </w:r>
      <w:r w:rsidRPr="006571AC">
        <w:rPr>
          <w:rFonts w:ascii="Arial" w:hAnsi="Arial"/>
          <w:b/>
          <w:bCs/>
          <w:sz w:val="27"/>
          <w:rtl/>
        </w:rPr>
        <w:t>د الفردي</w:t>
      </w:r>
      <w:r w:rsidR="0015072C" w:rsidRPr="006571AC">
        <w:rPr>
          <w:rFonts w:ascii="Arial" w:hAnsi="Arial" w:hint="cs"/>
          <w:sz w:val="27"/>
          <w:rtl/>
        </w:rPr>
        <w:t>،</w:t>
      </w:r>
      <w:r w:rsidRPr="006571AC">
        <w:rPr>
          <w:rFonts w:ascii="Arial" w:hAnsi="Arial"/>
          <w:sz w:val="27"/>
          <w:rtl/>
        </w:rPr>
        <w:t xml:space="preserve"> حيث تضبط جوانحيا</w:t>
      </w:r>
      <w:r w:rsidR="0015072C" w:rsidRPr="006571AC">
        <w:rPr>
          <w:rFonts w:ascii="Arial" w:hAnsi="Arial" w:hint="cs"/>
          <w:sz w:val="27"/>
          <w:rtl/>
        </w:rPr>
        <w:t>ً</w:t>
      </w:r>
      <w:r w:rsidRPr="006571AC">
        <w:rPr>
          <w:rFonts w:ascii="Arial" w:hAnsi="Arial"/>
          <w:sz w:val="27"/>
          <w:rtl/>
        </w:rPr>
        <w:t xml:space="preserve"> أعماق الإنسان</w:t>
      </w:r>
      <w:r w:rsidR="0015072C" w:rsidRPr="006571AC">
        <w:rPr>
          <w:rFonts w:ascii="Arial" w:hAnsi="Arial" w:hint="cs"/>
          <w:sz w:val="27"/>
          <w:rtl/>
        </w:rPr>
        <w:t>،</w:t>
      </w:r>
      <w:r w:rsidRPr="006571AC">
        <w:rPr>
          <w:rFonts w:ascii="Arial" w:hAnsi="Arial"/>
          <w:sz w:val="27"/>
          <w:rtl/>
        </w:rPr>
        <w:t xml:space="preserve"> وتربطها بق</w:t>
      </w:r>
      <w:r w:rsidR="00B61116" w:rsidRPr="006571AC">
        <w:rPr>
          <w:rFonts w:ascii="Arial" w:hAnsi="Arial" w:hint="cs"/>
          <w:sz w:val="27"/>
          <w:rtl/>
        </w:rPr>
        <w:t>ِ</w:t>
      </w:r>
      <w:r w:rsidRPr="006571AC">
        <w:rPr>
          <w:rFonts w:ascii="Arial" w:hAnsi="Arial"/>
          <w:sz w:val="27"/>
          <w:rtl/>
        </w:rPr>
        <w:t>ي</w:t>
      </w:r>
      <w:r w:rsidR="00B61116" w:rsidRPr="006571AC">
        <w:rPr>
          <w:rFonts w:ascii="Arial" w:hAnsi="Arial" w:hint="cs"/>
          <w:sz w:val="27"/>
          <w:rtl/>
        </w:rPr>
        <w:t>َ</w:t>
      </w:r>
      <w:r w:rsidRPr="006571AC">
        <w:rPr>
          <w:rFonts w:ascii="Arial" w:hAnsi="Arial"/>
          <w:sz w:val="27"/>
          <w:rtl/>
        </w:rPr>
        <w:t>م السماء وأخلاق الله تعالى</w:t>
      </w:r>
      <w:r w:rsidR="00B61116" w:rsidRPr="006571AC">
        <w:rPr>
          <w:rFonts w:ascii="Arial" w:hAnsi="Arial" w:hint="cs"/>
          <w:sz w:val="27"/>
          <w:rtl/>
        </w:rPr>
        <w:t>.</w:t>
      </w:r>
      <w:r w:rsidRPr="006571AC">
        <w:rPr>
          <w:rFonts w:ascii="Arial" w:hAnsi="Arial"/>
          <w:sz w:val="27"/>
          <w:rtl/>
        </w:rPr>
        <w:t xml:space="preserve"> هذا الانضباط النفسي هو النواة التي تنطلق منها الضوابط في ب</w:t>
      </w:r>
      <w:r w:rsidR="00B61116" w:rsidRPr="006571AC">
        <w:rPr>
          <w:rFonts w:ascii="Arial" w:hAnsi="Arial" w:hint="cs"/>
          <w:sz w:val="27"/>
          <w:rtl/>
        </w:rPr>
        <w:t>ُ</w:t>
      </w:r>
      <w:r w:rsidRPr="006571AC">
        <w:rPr>
          <w:rFonts w:ascii="Arial" w:hAnsi="Arial"/>
          <w:sz w:val="27"/>
          <w:rtl/>
        </w:rPr>
        <w:t>ع</w:t>
      </w:r>
      <w:r w:rsidR="00B61116" w:rsidRPr="006571AC">
        <w:rPr>
          <w:rFonts w:ascii="Arial" w:hAnsi="Arial" w:hint="cs"/>
          <w:sz w:val="27"/>
          <w:rtl/>
        </w:rPr>
        <w:t>ْ</w:t>
      </w:r>
      <w:r w:rsidRPr="006571AC">
        <w:rPr>
          <w:rFonts w:ascii="Arial" w:hAnsi="Arial"/>
          <w:sz w:val="27"/>
          <w:rtl/>
        </w:rPr>
        <w:t>دها ال</w:t>
      </w:r>
      <w:r w:rsidR="00B61116" w:rsidRPr="006571AC">
        <w:rPr>
          <w:rFonts w:ascii="Arial" w:hAnsi="Arial" w:hint="cs"/>
          <w:sz w:val="27"/>
          <w:rtl/>
        </w:rPr>
        <w:t>آ</w:t>
      </w:r>
      <w:r w:rsidRPr="006571AC">
        <w:rPr>
          <w:rFonts w:ascii="Arial" w:hAnsi="Arial"/>
          <w:sz w:val="27"/>
          <w:rtl/>
        </w:rPr>
        <w:t>خر. البعد الفردي يقتصر على ساحة الكمال الفردي الإنساني</w:t>
      </w:r>
      <w:r w:rsidR="00B61116" w:rsidRPr="006571AC">
        <w:rPr>
          <w:rFonts w:ascii="Arial" w:hAnsi="Arial" w:hint="cs"/>
          <w:sz w:val="27"/>
          <w:rtl/>
        </w:rPr>
        <w:t>؛</w:t>
      </w:r>
      <w:r w:rsidRPr="006571AC">
        <w:rPr>
          <w:rFonts w:ascii="Arial" w:hAnsi="Arial"/>
          <w:sz w:val="27"/>
          <w:rtl/>
        </w:rPr>
        <w:t xml:space="preserve"> فالانضباط </w:t>
      </w:r>
      <w:r w:rsidRPr="006571AC">
        <w:rPr>
          <w:rFonts w:ascii="Arial" w:hAnsi="Arial"/>
          <w:sz w:val="27"/>
          <w:rtl/>
        </w:rPr>
        <w:lastRenderedPageBreak/>
        <w:t>الأنفسي هو انطلاق</w:t>
      </w:r>
      <w:r w:rsidR="00B61116" w:rsidRPr="006571AC">
        <w:rPr>
          <w:rFonts w:ascii="Arial" w:hAnsi="Arial" w:hint="cs"/>
          <w:sz w:val="27"/>
          <w:rtl/>
        </w:rPr>
        <w:t>ٌ</w:t>
      </w:r>
      <w:r w:rsidRPr="006571AC">
        <w:rPr>
          <w:rFonts w:ascii="Arial" w:hAnsi="Arial"/>
          <w:sz w:val="27"/>
          <w:rtl/>
        </w:rPr>
        <w:t xml:space="preserve"> نحو الانضباط الاجتماعي الخارجي. </w:t>
      </w:r>
    </w:p>
    <w:p w:rsidR="0001386F" w:rsidRPr="006571AC" w:rsidRDefault="0001386F" w:rsidP="00D259C9">
      <w:pPr>
        <w:autoSpaceDE w:val="0"/>
        <w:autoSpaceDN w:val="0"/>
        <w:adjustRightInd w:val="0"/>
        <w:rPr>
          <w:rFonts w:ascii="Arial" w:hAnsi="Arial"/>
          <w:sz w:val="27"/>
        </w:rPr>
      </w:pPr>
      <w:r w:rsidRPr="006571AC">
        <w:rPr>
          <w:rFonts w:ascii="Arial" w:hAnsi="Arial" w:hint="cs"/>
          <w:b/>
          <w:bCs/>
          <w:sz w:val="27"/>
          <w:rtl/>
        </w:rPr>
        <w:t>2</w:t>
      </w:r>
      <w:r w:rsidRPr="006571AC">
        <w:rPr>
          <w:rFonts w:ascii="Arial" w:hAnsi="Arial"/>
          <w:b/>
          <w:bCs/>
          <w:sz w:val="27"/>
          <w:rtl/>
        </w:rPr>
        <w:t xml:space="preserve">ـ </w:t>
      </w:r>
      <w:r w:rsidRPr="006571AC">
        <w:rPr>
          <w:rFonts w:ascii="Arial" w:hAnsi="Arial" w:hint="cs"/>
          <w:b/>
          <w:bCs/>
          <w:sz w:val="27"/>
          <w:rtl/>
        </w:rPr>
        <w:t>الب</w:t>
      </w:r>
      <w:r w:rsidR="00B61116" w:rsidRPr="006571AC">
        <w:rPr>
          <w:rFonts w:ascii="Arial" w:hAnsi="Arial" w:hint="cs"/>
          <w:b/>
          <w:bCs/>
          <w:sz w:val="27"/>
          <w:rtl/>
        </w:rPr>
        <w:t>ُ</w:t>
      </w:r>
      <w:r w:rsidRPr="006571AC">
        <w:rPr>
          <w:rFonts w:ascii="Arial" w:hAnsi="Arial" w:hint="cs"/>
          <w:b/>
          <w:bCs/>
          <w:sz w:val="27"/>
          <w:rtl/>
        </w:rPr>
        <w:t>ع</w:t>
      </w:r>
      <w:r w:rsidR="00B61116" w:rsidRPr="006571AC">
        <w:rPr>
          <w:rFonts w:ascii="Arial" w:hAnsi="Arial" w:hint="cs"/>
          <w:b/>
          <w:bCs/>
          <w:sz w:val="27"/>
          <w:rtl/>
        </w:rPr>
        <w:t>ْ</w:t>
      </w:r>
      <w:r w:rsidRPr="006571AC">
        <w:rPr>
          <w:rFonts w:ascii="Arial" w:hAnsi="Arial" w:hint="cs"/>
          <w:b/>
          <w:bCs/>
          <w:sz w:val="27"/>
          <w:rtl/>
        </w:rPr>
        <w:t>د</w:t>
      </w:r>
      <w:r w:rsidRPr="006571AC">
        <w:rPr>
          <w:rFonts w:ascii="Arial" w:hAnsi="Arial"/>
          <w:b/>
          <w:bCs/>
          <w:sz w:val="27"/>
          <w:rtl/>
        </w:rPr>
        <w:t xml:space="preserve"> </w:t>
      </w:r>
      <w:r w:rsidRPr="006571AC">
        <w:rPr>
          <w:rFonts w:ascii="Arial" w:hAnsi="Arial" w:hint="cs"/>
          <w:b/>
          <w:bCs/>
          <w:sz w:val="27"/>
          <w:rtl/>
        </w:rPr>
        <w:t>الاجتماعي</w:t>
      </w:r>
      <w:r w:rsidRPr="006571AC">
        <w:rPr>
          <w:rFonts w:ascii="Arial" w:hAnsi="Arial"/>
          <w:sz w:val="27"/>
          <w:rtl/>
        </w:rPr>
        <w:t>: هنا هي ساحة التفاعل الإنساني في الس</w:t>
      </w:r>
      <w:r w:rsidR="00B61116" w:rsidRPr="006571AC">
        <w:rPr>
          <w:rFonts w:ascii="Arial" w:hAnsi="Arial" w:hint="cs"/>
          <w:sz w:val="27"/>
          <w:rtl/>
        </w:rPr>
        <w:t>َّ</w:t>
      </w:r>
      <w:r w:rsidRPr="006571AC">
        <w:rPr>
          <w:rFonts w:ascii="Arial" w:hAnsi="Arial"/>
          <w:sz w:val="27"/>
          <w:rtl/>
        </w:rPr>
        <w:t>ي</w:t>
      </w:r>
      <w:r w:rsidR="00B61116" w:rsidRPr="006571AC">
        <w:rPr>
          <w:rFonts w:ascii="Arial" w:hAnsi="Arial" w:hint="cs"/>
          <w:sz w:val="27"/>
          <w:rtl/>
        </w:rPr>
        <w:t>ْ</w:t>
      </w:r>
      <w:r w:rsidRPr="006571AC">
        <w:rPr>
          <w:rFonts w:ascii="Arial" w:hAnsi="Arial"/>
          <w:sz w:val="27"/>
          <w:rtl/>
        </w:rPr>
        <w:t>ر نحو كل</w:t>
      </w:r>
      <w:r w:rsidR="00B61116" w:rsidRPr="006571AC">
        <w:rPr>
          <w:rFonts w:ascii="Arial" w:hAnsi="Arial" w:hint="cs"/>
          <w:sz w:val="27"/>
          <w:rtl/>
        </w:rPr>
        <w:t>ٍّ</w:t>
      </w:r>
      <w:r w:rsidRPr="006571AC">
        <w:rPr>
          <w:rFonts w:ascii="Arial" w:hAnsi="Arial"/>
          <w:sz w:val="27"/>
          <w:rtl/>
        </w:rPr>
        <w:t xml:space="preserve"> من الكمال والتكامل الإنساني</w:t>
      </w:r>
      <w:r w:rsidR="00B61116" w:rsidRPr="006571AC">
        <w:rPr>
          <w:rFonts w:ascii="Arial" w:hAnsi="Arial" w:hint="cs"/>
          <w:sz w:val="27"/>
          <w:rtl/>
        </w:rPr>
        <w:t>.</w:t>
      </w:r>
      <w:r w:rsidRPr="006571AC">
        <w:rPr>
          <w:rFonts w:ascii="Arial" w:hAnsi="Arial"/>
          <w:sz w:val="27"/>
          <w:rtl/>
        </w:rPr>
        <w:t xml:space="preserve"> ومحورية الأخلاق هنا تأتي كضابطة</w:t>
      </w:r>
      <w:r w:rsidR="00B61116" w:rsidRPr="006571AC">
        <w:rPr>
          <w:rFonts w:ascii="Arial" w:hAnsi="Arial" w:hint="cs"/>
          <w:sz w:val="27"/>
          <w:rtl/>
        </w:rPr>
        <w:t>ٍ</w:t>
      </w:r>
      <w:r w:rsidRPr="006571AC">
        <w:rPr>
          <w:rFonts w:ascii="Arial" w:hAnsi="Arial"/>
          <w:sz w:val="27"/>
          <w:rtl/>
        </w:rPr>
        <w:t xml:space="preserve"> تمنع وقوع الفساد الاجتماعي، وتدفع باتجاه التطو</w:t>
      </w:r>
      <w:r w:rsidR="00B61116" w:rsidRPr="006571AC">
        <w:rPr>
          <w:rFonts w:ascii="Arial" w:hAnsi="Arial" w:hint="cs"/>
          <w:sz w:val="27"/>
          <w:rtl/>
        </w:rPr>
        <w:t>ُّ</w:t>
      </w:r>
      <w:r w:rsidRPr="006571AC">
        <w:rPr>
          <w:rFonts w:ascii="Arial" w:hAnsi="Arial"/>
          <w:sz w:val="27"/>
          <w:rtl/>
        </w:rPr>
        <w:t>ر والتنمية البشرية على كاف</w:t>
      </w:r>
      <w:r w:rsidR="00B61116" w:rsidRPr="006571AC">
        <w:rPr>
          <w:rFonts w:ascii="Arial" w:hAnsi="Arial" w:hint="cs"/>
          <w:sz w:val="27"/>
          <w:rtl/>
        </w:rPr>
        <w:t>ّ</w:t>
      </w:r>
      <w:r w:rsidRPr="006571AC">
        <w:rPr>
          <w:rFonts w:ascii="Arial" w:hAnsi="Arial"/>
          <w:sz w:val="27"/>
          <w:rtl/>
        </w:rPr>
        <w:t xml:space="preserve">ة الأصعدة. </w:t>
      </w:r>
    </w:p>
    <w:p w:rsidR="00B61116" w:rsidRPr="006571AC" w:rsidRDefault="0001386F" w:rsidP="00D259C9">
      <w:pPr>
        <w:autoSpaceDE w:val="0"/>
        <w:autoSpaceDN w:val="0"/>
        <w:adjustRightInd w:val="0"/>
        <w:rPr>
          <w:rFonts w:ascii="Arial" w:hAnsi="Arial"/>
          <w:sz w:val="27"/>
          <w:rtl/>
        </w:rPr>
      </w:pPr>
      <w:r w:rsidRPr="006571AC">
        <w:rPr>
          <w:rFonts w:ascii="Arial" w:hAnsi="Arial"/>
          <w:sz w:val="27"/>
          <w:rtl/>
        </w:rPr>
        <w:t>كيف يمكن أن تشك</w:t>
      </w:r>
      <w:r w:rsidR="00B61116" w:rsidRPr="006571AC">
        <w:rPr>
          <w:rFonts w:ascii="Arial" w:hAnsi="Arial" w:hint="cs"/>
          <w:sz w:val="27"/>
          <w:rtl/>
        </w:rPr>
        <w:t>ِّ</w:t>
      </w:r>
      <w:r w:rsidRPr="006571AC">
        <w:rPr>
          <w:rFonts w:ascii="Arial" w:hAnsi="Arial"/>
          <w:sz w:val="27"/>
          <w:rtl/>
        </w:rPr>
        <w:t>ل الأخلاق ضابطة</w:t>
      </w:r>
      <w:r w:rsidR="00B61116" w:rsidRPr="006571AC">
        <w:rPr>
          <w:rFonts w:ascii="Arial" w:hAnsi="Arial" w:hint="cs"/>
          <w:sz w:val="27"/>
          <w:rtl/>
        </w:rPr>
        <w:t>ً</w:t>
      </w:r>
      <w:r w:rsidRPr="006571AC">
        <w:rPr>
          <w:rFonts w:ascii="Arial" w:hAnsi="Arial"/>
          <w:sz w:val="27"/>
          <w:rtl/>
        </w:rPr>
        <w:t xml:space="preserve"> فردية واجتماعية في ظل</w:t>
      </w:r>
      <w:r w:rsidR="00B61116" w:rsidRPr="006571AC">
        <w:rPr>
          <w:rFonts w:ascii="Arial" w:hAnsi="Arial" w:hint="cs"/>
          <w:sz w:val="27"/>
          <w:rtl/>
        </w:rPr>
        <w:t>ّ</w:t>
      </w:r>
      <w:r w:rsidR="00B61116" w:rsidRPr="006571AC">
        <w:rPr>
          <w:rFonts w:ascii="Arial" w:hAnsi="Arial"/>
          <w:sz w:val="27"/>
          <w:rtl/>
        </w:rPr>
        <w:t xml:space="preserve"> وجود الأنا والذات والنفس؟</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عالج الشهيد مرتضى مطه</w:t>
      </w:r>
      <w:r w:rsidR="00B61116" w:rsidRPr="006571AC">
        <w:rPr>
          <w:rFonts w:ascii="Arial" w:hAnsi="Arial" w:hint="cs"/>
          <w:sz w:val="27"/>
          <w:rtl/>
        </w:rPr>
        <w:t>َّ</w:t>
      </w:r>
      <w:r w:rsidRPr="006571AC">
        <w:rPr>
          <w:rFonts w:ascii="Arial" w:hAnsi="Arial" w:hint="cs"/>
          <w:sz w:val="27"/>
          <w:rtl/>
        </w:rPr>
        <w:t>ري هذه الإشكالية حينما تناول موضوع الذات والسعادة واللذ</w:t>
      </w:r>
      <w:r w:rsidR="00B61116" w:rsidRPr="006571AC">
        <w:rPr>
          <w:rFonts w:ascii="Arial" w:hAnsi="Arial" w:hint="cs"/>
          <w:sz w:val="27"/>
          <w:rtl/>
        </w:rPr>
        <w:t>ّ</w:t>
      </w:r>
      <w:r w:rsidRPr="006571AC">
        <w:rPr>
          <w:rFonts w:ascii="Arial" w:hAnsi="Arial" w:hint="cs"/>
          <w:sz w:val="27"/>
          <w:rtl/>
        </w:rPr>
        <w:t xml:space="preserve">ة والألم. </w:t>
      </w:r>
    </w:p>
    <w:p w:rsidR="0001386F" w:rsidRPr="006571AC" w:rsidRDefault="0001386F" w:rsidP="00BC29E6">
      <w:pPr>
        <w:autoSpaceDE w:val="0"/>
        <w:autoSpaceDN w:val="0"/>
        <w:adjustRightInd w:val="0"/>
        <w:spacing w:line="420" w:lineRule="exact"/>
        <w:rPr>
          <w:rFonts w:ascii="Arial" w:hAnsi="Arial"/>
          <w:sz w:val="27"/>
        </w:rPr>
      </w:pPr>
    </w:p>
    <w:p w:rsidR="0001386F" w:rsidRPr="006571AC" w:rsidRDefault="0001386F" w:rsidP="000B6711">
      <w:pPr>
        <w:pStyle w:val="31"/>
        <w:rPr>
          <w:color w:val="auto"/>
          <w:rtl/>
        </w:rPr>
      </w:pPr>
      <w:bookmarkStart w:id="418" w:name="_Toc114164826"/>
      <w:r w:rsidRPr="006571AC">
        <w:rPr>
          <w:color w:val="auto"/>
          <w:rtl/>
        </w:rPr>
        <w:t>حب</w:t>
      </w:r>
      <w:r w:rsidR="00B61116" w:rsidRPr="006571AC">
        <w:rPr>
          <w:rFonts w:hint="cs"/>
          <w:color w:val="auto"/>
          <w:rtl/>
        </w:rPr>
        <w:t>ّ</w:t>
      </w:r>
      <w:r w:rsidRPr="006571AC">
        <w:rPr>
          <w:color w:val="auto"/>
          <w:rtl/>
        </w:rPr>
        <w:t xml:space="preserve"> الذات: اللذ</w:t>
      </w:r>
      <w:r w:rsidR="00E051CE" w:rsidRPr="006571AC">
        <w:rPr>
          <w:rFonts w:hint="cs"/>
          <w:color w:val="auto"/>
          <w:rtl/>
        </w:rPr>
        <w:t>ّ</w:t>
      </w:r>
      <w:r w:rsidRPr="006571AC">
        <w:rPr>
          <w:color w:val="auto"/>
          <w:rtl/>
        </w:rPr>
        <w:t xml:space="preserve">ة، السعادة، </w:t>
      </w:r>
      <w:r w:rsidR="00E051CE" w:rsidRPr="006571AC">
        <w:rPr>
          <w:rFonts w:hint="cs"/>
          <w:color w:val="auto"/>
          <w:rtl/>
        </w:rPr>
        <w:t>و</w:t>
      </w:r>
      <w:r w:rsidRPr="006571AC">
        <w:rPr>
          <w:color w:val="auto"/>
          <w:rtl/>
        </w:rPr>
        <w:t>الألم</w:t>
      </w:r>
      <w:bookmarkEnd w:id="418"/>
      <w:r w:rsidRPr="006571AC">
        <w:rPr>
          <w:color w:val="auto"/>
          <w:rtl/>
        </w:rPr>
        <w:t xml:space="preserve"> </w:t>
      </w:r>
    </w:p>
    <w:p w:rsidR="0001386F" w:rsidRPr="006571AC" w:rsidRDefault="0001386F" w:rsidP="009B79FE">
      <w:pPr>
        <w:rPr>
          <w:rtl/>
        </w:rPr>
      </w:pPr>
      <w:r w:rsidRPr="006571AC">
        <w:rPr>
          <w:rtl/>
        </w:rPr>
        <w:t>أهم</w:t>
      </w:r>
      <w:r w:rsidR="00B61116" w:rsidRPr="006571AC">
        <w:rPr>
          <w:rtl/>
        </w:rPr>
        <w:t>ِّ</w:t>
      </w:r>
      <w:r w:rsidRPr="006571AC">
        <w:rPr>
          <w:rtl/>
        </w:rPr>
        <w:t>ية هذا التأسيس</w:t>
      </w:r>
      <w:r w:rsidR="009B79FE" w:rsidRPr="006571AC">
        <w:rPr>
          <w:rFonts w:hint="cs"/>
          <w:rtl/>
        </w:rPr>
        <w:t>،</w:t>
      </w:r>
      <w:r w:rsidRPr="006571AC">
        <w:rPr>
          <w:rtl/>
        </w:rPr>
        <w:t xml:space="preserve"> الذي يكمن في س</w:t>
      </w:r>
      <w:r w:rsidR="009B79FE" w:rsidRPr="006571AC">
        <w:rPr>
          <w:rFonts w:hint="cs"/>
          <w:rtl/>
        </w:rPr>
        <w:t>ِ</w:t>
      </w:r>
      <w:r w:rsidRPr="006571AC">
        <w:rPr>
          <w:rtl/>
        </w:rPr>
        <w:t>م</w:t>
      </w:r>
      <w:r w:rsidR="009B79FE" w:rsidRPr="006571AC">
        <w:rPr>
          <w:rFonts w:hint="cs"/>
          <w:rtl/>
        </w:rPr>
        <w:t>َ</w:t>
      </w:r>
      <w:r w:rsidRPr="006571AC">
        <w:rPr>
          <w:rtl/>
        </w:rPr>
        <w:t>ة</w:t>
      </w:r>
      <w:r w:rsidR="00B61116" w:rsidRPr="006571AC">
        <w:rPr>
          <w:rtl/>
        </w:rPr>
        <w:t>ٍ</w:t>
      </w:r>
      <w:r w:rsidRPr="006571AC">
        <w:rPr>
          <w:rtl/>
        </w:rPr>
        <w:t xml:space="preserve"> عام</w:t>
      </w:r>
      <w:r w:rsidR="00B61116" w:rsidRPr="006571AC">
        <w:rPr>
          <w:rtl/>
        </w:rPr>
        <w:t>ّ</w:t>
      </w:r>
      <w:r w:rsidRPr="006571AC">
        <w:rPr>
          <w:rtl/>
        </w:rPr>
        <w:t>ة عند كل</w:t>
      </w:r>
      <w:r w:rsidR="00B61116" w:rsidRPr="006571AC">
        <w:rPr>
          <w:rtl/>
        </w:rPr>
        <w:t>ّ</w:t>
      </w:r>
      <w:r w:rsidRPr="006571AC">
        <w:rPr>
          <w:rtl/>
        </w:rPr>
        <w:t xml:space="preserve"> البشر</w:t>
      </w:r>
      <w:r w:rsidR="00B61116" w:rsidRPr="006571AC">
        <w:rPr>
          <w:rtl/>
        </w:rPr>
        <w:t>،</w:t>
      </w:r>
      <w:r w:rsidRPr="006571AC">
        <w:rPr>
          <w:rtl/>
        </w:rPr>
        <w:t xml:space="preserve"> وفي فطرتهم</w:t>
      </w:r>
      <w:r w:rsidR="00B61116" w:rsidRPr="006571AC">
        <w:rPr>
          <w:rtl/>
        </w:rPr>
        <w:t>،</w:t>
      </w:r>
      <w:r w:rsidRPr="006571AC">
        <w:rPr>
          <w:rtl/>
        </w:rPr>
        <w:t xml:space="preserve"> وهي</w:t>
      </w:r>
      <w:r w:rsidR="00B61116" w:rsidRPr="006571AC">
        <w:rPr>
          <w:rtl/>
        </w:rPr>
        <w:t>:</w:t>
      </w:r>
      <w:r w:rsidRPr="006571AC">
        <w:rPr>
          <w:rtl/>
        </w:rPr>
        <w:t xml:space="preserve"> </w:t>
      </w:r>
      <w:r w:rsidRPr="006571AC">
        <w:rPr>
          <w:rFonts w:hint="eastAsia"/>
          <w:sz w:val="24"/>
          <w:szCs w:val="24"/>
          <w:rtl/>
        </w:rPr>
        <w:t>«</w:t>
      </w:r>
      <w:r w:rsidRPr="006571AC">
        <w:rPr>
          <w:rtl/>
        </w:rPr>
        <w:t>حب</w:t>
      </w:r>
      <w:r w:rsidR="00124D2B" w:rsidRPr="006571AC">
        <w:rPr>
          <w:rtl/>
        </w:rPr>
        <w:t>ّ</w:t>
      </w:r>
      <w:r w:rsidRPr="006571AC">
        <w:rPr>
          <w:rtl/>
        </w:rPr>
        <w:t xml:space="preserve"> الذات</w:t>
      </w:r>
      <w:r w:rsidR="00B61116" w:rsidRPr="006571AC">
        <w:rPr>
          <w:rFonts w:hint="eastAsia"/>
          <w:sz w:val="24"/>
          <w:szCs w:val="24"/>
          <w:rtl/>
        </w:rPr>
        <w:t>»</w:t>
      </w:r>
      <w:r w:rsidRPr="006571AC">
        <w:rPr>
          <w:rtl/>
        </w:rPr>
        <w:t xml:space="preserve">، </w:t>
      </w:r>
      <w:r w:rsidR="009B79FE" w:rsidRPr="006571AC">
        <w:rPr>
          <w:rFonts w:hint="cs"/>
          <w:rtl/>
        </w:rPr>
        <w:t>أنه</w:t>
      </w:r>
      <w:r w:rsidRPr="006571AC">
        <w:rPr>
          <w:rtl/>
        </w:rPr>
        <w:t xml:space="preserve"> يعتبر المحر</w:t>
      </w:r>
      <w:r w:rsidR="00B61116" w:rsidRPr="006571AC">
        <w:rPr>
          <w:rtl/>
        </w:rPr>
        <w:t>ِّ</w:t>
      </w:r>
      <w:r w:rsidRPr="006571AC">
        <w:rPr>
          <w:rtl/>
        </w:rPr>
        <w:t>ك الرئيس والباعث الأساس للدافع والإرادة، بل المؤث</w:t>
      </w:r>
      <w:r w:rsidR="00B61116" w:rsidRPr="006571AC">
        <w:rPr>
          <w:rtl/>
        </w:rPr>
        <w:t>ِّ</w:t>
      </w:r>
      <w:r w:rsidRPr="006571AC">
        <w:rPr>
          <w:rtl/>
        </w:rPr>
        <w:t xml:space="preserve">ر الأول في السلوك الإنساني. </w:t>
      </w:r>
    </w:p>
    <w:p w:rsidR="0001386F" w:rsidRPr="006571AC" w:rsidRDefault="0001386F" w:rsidP="00BC29E6">
      <w:pPr>
        <w:spacing w:line="430" w:lineRule="exact"/>
        <w:rPr>
          <w:rtl/>
        </w:rPr>
      </w:pPr>
    </w:p>
    <w:p w:rsidR="0001386F" w:rsidRPr="006571AC" w:rsidRDefault="0001386F" w:rsidP="000B6711">
      <w:pPr>
        <w:pStyle w:val="31"/>
        <w:rPr>
          <w:color w:val="auto"/>
          <w:rtl/>
        </w:rPr>
      </w:pPr>
      <w:bookmarkStart w:id="419" w:name="_Toc114164827"/>
      <w:r w:rsidRPr="006571AC">
        <w:rPr>
          <w:color w:val="auto"/>
          <w:rtl/>
        </w:rPr>
        <w:t>أـ تعريف الذات</w:t>
      </w:r>
      <w:bookmarkEnd w:id="419"/>
      <w:r w:rsidRPr="006571AC">
        <w:rPr>
          <w:color w:val="auto"/>
          <w:rtl/>
        </w:rPr>
        <w:t xml:space="preserve"> </w:t>
      </w:r>
    </w:p>
    <w:p w:rsidR="0001386F" w:rsidRPr="006571AC" w:rsidRDefault="0001386F" w:rsidP="006C5D28">
      <w:pPr>
        <w:rPr>
          <w:rtl/>
        </w:rPr>
      </w:pPr>
      <w:r w:rsidRPr="006571AC">
        <w:rPr>
          <w:rtl/>
        </w:rPr>
        <w:t>هو تكوين</w:t>
      </w:r>
      <w:r w:rsidR="00B61116" w:rsidRPr="006571AC">
        <w:rPr>
          <w:rtl/>
        </w:rPr>
        <w:t>ٌ</w:t>
      </w:r>
      <w:r w:rsidRPr="006571AC">
        <w:rPr>
          <w:rtl/>
        </w:rPr>
        <w:t xml:space="preserve"> معرفي منظ</w:t>
      </w:r>
      <w:r w:rsidR="00B61116" w:rsidRPr="006571AC">
        <w:rPr>
          <w:rtl/>
        </w:rPr>
        <w:t>ّ</w:t>
      </w:r>
      <w:r w:rsidRPr="006571AC">
        <w:rPr>
          <w:rtl/>
        </w:rPr>
        <w:t>م ومتعل</w:t>
      </w:r>
      <w:r w:rsidR="00B61116" w:rsidRPr="006571AC">
        <w:rPr>
          <w:rtl/>
        </w:rPr>
        <w:t>ّ</w:t>
      </w:r>
      <w:r w:rsidRPr="006571AC">
        <w:rPr>
          <w:rtl/>
        </w:rPr>
        <w:t>م للمدركات الشعورية والتصو</w:t>
      </w:r>
      <w:r w:rsidR="00B61116" w:rsidRPr="006571AC">
        <w:rPr>
          <w:rtl/>
        </w:rPr>
        <w:t>ُّ</w:t>
      </w:r>
      <w:r w:rsidRPr="006571AC">
        <w:rPr>
          <w:rtl/>
        </w:rPr>
        <w:t>رات والتقييمات الخاصة بالذات، يبلوره الفرد، ويعتبره تعريفا</w:t>
      </w:r>
      <w:r w:rsidR="00B61116" w:rsidRPr="006571AC">
        <w:rPr>
          <w:rtl/>
        </w:rPr>
        <w:t>ً</w:t>
      </w:r>
      <w:r w:rsidRPr="006571AC">
        <w:rPr>
          <w:rtl/>
        </w:rPr>
        <w:t xml:space="preserve"> نفسي</w:t>
      </w:r>
      <w:r w:rsidR="00B61116" w:rsidRPr="006571AC">
        <w:rPr>
          <w:rtl/>
        </w:rPr>
        <w:t>ّ</w:t>
      </w:r>
      <w:r w:rsidRPr="006571AC">
        <w:rPr>
          <w:rtl/>
        </w:rPr>
        <w:t>ا</w:t>
      </w:r>
      <w:r w:rsidR="00B61116" w:rsidRPr="006571AC">
        <w:rPr>
          <w:rtl/>
        </w:rPr>
        <w:t>ً</w:t>
      </w:r>
      <w:r w:rsidRPr="006571AC">
        <w:rPr>
          <w:rtl/>
        </w:rPr>
        <w:t xml:space="preserve"> لذاته</w:t>
      </w:r>
      <w:r w:rsidR="00B61116" w:rsidRPr="006571AC">
        <w:rPr>
          <w:rtl/>
        </w:rPr>
        <w:t>.</w:t>
      </w:r>
      <w:r w:rsidRPr="006571AC">
        <w:rPr>
          <w:rtl/>
        </w:rPr>
        <w:t xml:space="preserve"> ويتكو</w:t>
      </w:r>
      <w:r w:rsidR="00B61116" w:rsidRPr="006571AC">
        <w:rPr>
          <w:rtl/>
        </w:rPr>
        <w:t>ّ</w:t>
      </w:r>
      <w:r w:rsidR="00753E4A" w:rsidRPr="006571AC">
        <w:rPr>
          <w:rtl/>
        </w:rPr>
        <w:t>َ</w:t>
      </w:r>
      <w:r w:rsidRPr="006571AC">
        <w:rPr>
          <w:rtl/>
        </w:rPr>
        <w:t>ن مفهوم الذات من أفكار الفرد الذاتية المنس</w:t>
      </w:r>
      <w:r w:rsidR="00753E4A" w:rsidRPr="006571AC">
        <w:rPr>
          <w:rtl/>
        </w:rPr>
        <w:t>ّ</w:t>
      </w:r>
      <w:r w:rsidRPr="006571AC">
        <w:rPr>
          <w:rtl/>
        </w:rPr>
        <w:t>قة</w:t>
      </w:r>
      <w:r w:rsidR="00753E4A" w:rsidRPr="006571AC">
        <w:rPr>
          <w:rtl/>
        </w:rPr>
        <w:t>،</w:t>
      </w:r>
      <w:r w:rsidRPr="006571AC">
        <w:rPr>
          <w:rtl/>
        </w:rPr>
        <w:t xml:space="preserve"> </w:t>
      </w:r>
      <w:r w:rsidR="00753E4A" w:rsidRPr="006571AC">
        <w:rPr>
          <w:rtl/>
        </w:rPr>
        <w:t>و</w:t>
      </w:r>
      <w:r w:rsidRPr="006571AC">
        <w:rPr>
          <w:rtl/>
        </w:rPr>
        <w:t>محد</w:t>
      </w:r>
      <w:r w:rsidR="00753E4A" w:rsidRPr="006571AC">
        <w:rPr>
          <w:rtl/>
        </w:rPr>
        <w:t>ّ</w:t>
      </w:r>
      <w:r w:rsidRPr="006571AC">
        <w:rPr>
          <w:rtl/>
        </w:rPr>
        <w:t>دة الأبعاد عن العناصر المختلفة لكينونته الداخلية والخارجية. وتشمل هذه العناصر المدركات والتصو</w:t>
      </w:r>
      <w:r w:rsidR="00753E4A" w:rsidRPr="006571AC">
        <w:rPr>
          <w:rtl/>
        </w:rPr>
        <w:t>ُّ</w:t>
      </w:r>
      <w:r w:rsidRPr="006571AC">
        <w:rPr>
          <w:rtl/>
        </w:rPr>
        <w:t>رات التي تحد</w:t>
      </w:r>
      <w:r w:rsidR="00753E4A" w:rsidRPr="006571AC">
        <w:rPr>
          <w:rtl/>
        </w:rPr>
        <w:t>ِّ</w:t>
      </w:r>
      <w:r w:rsidRPr="006571AC">
        <w:rPr>
          <w:rtl/>
        </w:rPr>
        <w:t>د خصائص الذات، كما تنعكس إجرائيا</w:t>
      </w:r>
      <w:r w:rsidR="00753E4A" w:rsidRPr="006571AC">
        <w:rPr>
          <w:rtl/>
        </w:rPr>
        <w:t>ً</w:t>
      </w:r>
      <w:r w:rsidRPr="006571AC">
        <w:rPr>
          <w:rtl/>
        </w:rPr>
        <w:t xml:space="preserve"> في وصف الفرد لذاته كما يتصو</w:t>
      </w:r>
      <w:r w:rsidR="00753E4A" w:rsidRPr="006571AC">
        <w:rPr>
          <w:rtl/>
        </w:rPr>
        <w:t>َّ</w:t>
      </w:r>
      <w:r w:rsidRPr="006571AC">
        <w:rPr>
          <w:rtl/>
        </w:rPr>
        <w:t>رها هو</w:t>
      </w:r>
      <w:r w:rsidR="00753E4A" w:rsidRPr="006571AC">
        <w:rPr>
          <w:rtl/>
        </w:rPr>
        <w:t>:</w:t>
      </w:r>
      <w:r w:rsidRPr="006571AC">
        <w:rPr>
          <w:rtl/>
        </w:rPr>
        <w:t xml:space="preserve"> </w:t>
      </w:r>
      <w:r w:rsidRPr="006571AC">
        <w:rPr>
          <w:rFonts w:hint="eastAsia"/>
          <w:sz w:val="24"/>
          <w:szCs w:val="24"/>
          <w:rtl/>
        </w:rPr>
        <w:t>«</w:t>
      </w:r>
      <w:r w:rsidRPr="006571AC">
        <w:rPr>
          <w:rtl/>
        </w:rPr>
        <w:t>مفهوم الذات المدرك</w:t>
      </w:r>
      <w:r w:rsidRPr="006571AC">
        <w:rPr>
          <w:rFonts w:hint="eastAsia"/>
          <w:sz w:val="24"/>
          <w:szCs w:val="24"/>
          <w:rtl/>
        </w:rPr>
        <w:t>»</w:t>
      </w:r>
      <w:r w:rsidR="00753E4A" w:rsidRPr="006571AC">
        <w:rPr>
          <w:rtl/>
        </w:rPr>
        <w:t>؛</w:t>
      </w:r>
      <w:r w:rsidRPr="006571AC">
        <w:rPr>
          <w:rtl/>
        </w:rPr>
        <w:t xml:space="preserve"> والمدركات والتصو</w:t>
      </w:r>
      <w:r w:rsidR="00753E4A" w:rsidRPr="006571AC">
        <w:rPr>
          <w:rtl/>
        </w:rPr>
        <w:t>ُّ</w:t>
      </w:r>
      <w:r w:rsidRPr="006571AC">
        <w:rPr>
          <w:rtl/>
        </w:rPr>
        <w:t>رات التي تحد</w:t>
      </w:r>
      <w:r w:rsidR="00753E4A" w:rsidRPr="006571AC">
        <w:rPr>
          <w:rtl/>
        </w:rPr>
        <w:t>ِّ</w:t>
      </w:r>
      <w:r w:rsidRPr="006571AC">
        <w:rPr>
          <w:rtl/>
        </w:rPr>
        <w:t xml:space="preserve">د الصورة التي يعتقد </w:t>
      </w:r>
      <w:r w:rsidR="00753E4A" w:rsidRPr="006571AC">
        <w:rPr>
          <w:rtl/>
        </w:rPr>
        <w:t>أ</w:t>
      </w:r>
      <w:r w:rsidRPr="006571AC">
        <w:rPr>
          <w:rtl/>
        </w:rPr>
        <w:t>ن الآخرين في المجتمع يتصو</w:t>
      </w:r>
      <w:r w:rsidR="00753E4A" w:rsidRPr="006571AC">
        <w:rPr>
          <w:rtl/>
        </w:rPr>
        <w:t>ّ</w:t>
      </w:r>
      <w:r w:rsidRPr="006571AC">
        <w:rPr>
          <w:rtl/>
        </w:rPr>
        <w:t>ر</w:t>
      </w:r>
      <w:r w:rsidR="00753E4A" w:rsidRPr="006571AC">
        <w:rPr>
          <w:rtl/>
        </w:rPr>
        <w:t>ون</w:t>
      </w:r>
      <w:r w:rsidRPr="006571AC">
        <w:rPr>
          <w:rtl/>
        </w:rPr>
        <w:t>ها، والتي يتمث</w:t>
      </w:r>
      <w:r w:rsidR="00753E4A" w:rsidRPr="006571AC">
        <w:rPr>
          <w:rtl/>
        </w:rPr>
        <w:t>َّ</w:t>
      </w:r>
      <w:r w:rsidRPr="006571AC">
        <w:rPr>
          <w:rtl/>
        </w:rPr>
        <w:t>لها الفرد من خلال التفاعل الاجتماعي مع الآخرين</w:t>
      </w:r>
      <w:r w:rsidR="00753E4A" w:rsidRPr="006571AC">
        <w:rPr>
          <w:rtl/>
        </w:rPr>
        <w:t>:</w:t>
      </w:r>
      <w:r w:rsidRPr="006571AC">
        <w:rPr>
          <w:rtl/>
        </w:rPr>
        <w:t xml:space="preserve"> </w:t>
      </w:r>
      <w:r w:rsidRPr="006571AC">
        <w:rPr>
          <w:rFonts w:hint="eastAsia"/>
          <w:sz w:val="24"/>
          <w:szCs w:val="24"/>
          <w:rtl/>
        </w:rPr>
        <w:t>«</w:t>
      </w:r>
      <w:r w:rsidRPr="006571AC">
        <w:rPr>
          <w:rtl/>
        </w:rPr>
        <w:t>مفهوم الذات الاجتماعي</w:t>
      </w:r>
      <w:r w:rsidRPr="006571AC">
        <w:rPr>
          <w:rFonts w:hint="eastAsia"/>
          <w:sz w:val="24"/>
          <w:szCs w:val="24"/>
          <w:rtl/>
        </w:rPr>
        <w:t>»</w:t>
      </w:r>
      <w:r w:rsidR="00753E4A" w:rsidRPr="006571AC">
        <w:rPr>
          <w:rtl/>
        </w:rPr>
        <w:t>؛</w:t>
      </w:r>
      <w:r w:rsidRPr="006571AC">
        <w:rPr>
          <w:rtl/>
        </w:rPr>
        <w:t xml:space="preserve"> والمدركات والتصو</w:t>
      </w:r>
      <w:r w:rsidR="00753E4A" w:rsidRPr="006571AC">
        <w:rPr>
          <w:rtl/>
        </w:rPr>
        <w:t>ُّ</w:t>
      </w:r>
      <w:r w:rsidRPr="006571AC">
        <w:rPr>
          <w:rtl/>
        </w:rPr>
        <w:t>رات التي تحد</w:t>
      </w:r>
      <w:r w:rsidR="00753E4A" w:rsidRPr="006571AC">
        <w:rPr>
          <w:rtl/>
        </w:rPr>
        <w:t>ِّ</w:t>
      </w:r>
      <w:r w:rsidRPr="006571AC">
        <w:rPr>
          <w:rtl/>
        </w:rPr>
        <w:t>د الصورة المثالية للشخص الذي يود</w:t>
      </w:r>
      <w:r w:rsidR="00753E4A" w:rsidRPr="006571AC">
        <w:rPr>
          <w:rtl/>
        </w:rPr>
        <w:t>ّ</w:t>
      </w:r>
      <w:r w:rsidRPr="006571AC">
        <w:rPr>
          <w:rtl/>
        </w:rPr>
        <w:t xml:space="preserve"> أن يكون</w:t>
      </w:r>
      <w:r w:rsidR="00753E4A" w:rsidRPr="006571AC">
        <w:rPr>
          <w:rtl/>
        </w:rPr>
        <w:t>:</w:t>
      </w:r>
      <w:r w:rsidRPr="006571AC">
        <w:rPr>
          <w:rtl/>
        </w:rPr>
        <w:t xml:space="preserve"> </w:t>
      </w:r>
      <w:r w:rsidRPr="006571AC">
        <w:rPr>
          <w:rFonts w:hint="eastAsia"/>
          <w:sz w:val="24"/>
          <w:szCs w:val="24"/>
          <w:rtl/>
        </w:rPr>
        <w:t>«</w:t>
      </w:r>
      <w:r w:rsidRPr="006571AC">
        <w:rPr>
          <w:rtl/>
        </w:rPr>
        <w:t>مفهوم الذات المثالي</w:t>
      </w:r>
      <w:r w:rsidRPr="006571AC">
        <w:rPr>
          <w:rFonts w:hint="eastAsia"/>
          <w:sz w:val="24"/>
          <w:szCs w:val="24"/>
          <w:rtl/>
        </w:rPr>
        <w:t>»</w:t>
      </w:r>
      <w:r w:rsidRPr="006571AC">
        <w:rPr>
          <w:vertAlign w:val="superscript"/>
          <w:rtl/>
        </w:rPr>
        <w:t>(</w:t>
      </w:r>
      <w:r w:rsidRPr="006571AC">
        <w:rPr>
          <w:rStyle w:val="ac"/>
          <w:rFonts w:ascii="Arial" w:hAnsi="Arial"/>
          <w:sz w:val="27"/>
          <w:rtl/>
        </w:rPr>
        <w:endnoteReference w:id="700"/>
      </w:r>
      <w:r w:rsidRPr="006571AC">
        <w:rPr>
          <w:vertAlign w:val="superscript"/>
          <w:rtl/>
        </w:rPr>
        <w:t>)</w:t>
      </w:r>
      <w:r w:rsidRPr="006571AC">
        <w:rPr>
          <w:rtl/>
        </w:rPr>
        <w:t xml:space="preserve">. </w:t>
      </w:r>
    </w:p>
    <w:p w:rsidR="0001386F" w:rsidRPr="006571AC" w:rsidRDefault="0042338C" w:rsidP="006C5D28">
      <w:pPr>
        <w:rPr>
          <w:rtl/>
        </w:rPr>
      </w:pPr>
      <w:r w:rsidRPr="006571AC">
        <w:rPr>
          <w:rtl/>
        </w:rPr>
        <w:t>ويقول ت</w:t>
      </w:r>
      <w:r w:rsidR="0001386F" w:rsidRPr="006571AC">
        <w:rPr>
          <w:rtl/>
        </w:rPr>
        <w:t>عريف</w:t>
      </w:r>
      <w:r w:rsidRPr="006571AC">
        <w:rPr>
          <w:rtl/>
        </w:rPr>
        <w:t>ٌ</w:t>
      </w:r>
      <w:r w:rsidR="0001386F" w:rsidRPr="006571AC">
        <w:rPr>
          <w:rtl/>
        </w:rPr>
        <w:t xml:space="preserve"> آخر: </w:t>
      </w:r>
      <w:r w:rsidRPr="006571AC">
        <w:rPr>
          <w:rtl/>
        </w:rPr>
        <w:t xml:space="preserve">هي </w:t>
      </w:r>
      <w:r w:rsidR="0001386F" w:rsidRPr="006571AC">
        <w:rPr>
          <w:rtl/>
        </w:rPr>
        <w:t>الصورة التي يعرف الإنسان نفسه بها. هي الإطار الذي يستطيع الإنسان أن يطبع نفسه بها، بحيث يكون ملم</w:t>
      </w:r>
      <w:r w:rsidRPr="006571AC">
        <w:rPr>
          <w:rtl/>
        </w:rPr>
        <w:t>ّ</w:t>
      </w:r>
      <w:r w:rsidR="0001386F" w:rsidRPr="006571AC">
        <w:rPr>
          <w:rtl/>
        </w:rPr>
        <w:t>ا</w:t>
      </w:r>
      <w:r w:rsidRPr="006571AC">
        <w:rPr>
          <w:rtl/>
        </w:rPr>
        <w:t>ً</w:t>
      </w:r>
      <w:r w:rsidR="0001386F" w:rsidRPr="006571AC">
        <w:rPr>
          <w:rtl/>
        </w:rPr>
        <w:t xml:space="preserve"> بما في نفسه</w:t>
      </w:r>
      <w:r w:rsidRPr="006571AC">
        <w:rPr>
          <w:rtl/>
        </w:rPr>
        <w:t>.</w:t>
      </w:r>
      <w:r w:rsidR="0001386F" w:rsidRPr="006571AC">
        <w:rPr>
          <w:rtl/>
        </w:rPr>
        <w:t xml:space="preserve"> وهذه المعلومات </w:t>
      </w:r>
      <w:r w:rsidR="0001386F" w:rsidRPr="006571AC">
        <w:rPr>
          <w:rtl/>
        </w:rPr>
        <w:lastRenderedPageBreak/>
        <w:t>التي يتوص</w:t>
      </w:r>
      <w:r w:rsidRPr="006571AC">
        <w:rPr>
          <w:rtl/>
        </w:rPr>
        <w:t>ّ</w:t>
      </w:r>
      <w:r w:rsidR="0001386F" w:rsidRPr="006571AC">
        <w:rPr>
          <w:rtl/>
        </w:rPr>
        <w:t>ل إليها الإنسان عن نفسه تعتبر أشياء تعل</w:t>
      </w:r>
      <w:r w:rsidRPr="006571AC">
        <w:rPr>
          <w:rtl/>
        </w:rPr>
        <w:t>َّ</w:t>
      </w:r>
      <w:r w:rsidR="0001386F" w:rsidRPr="006571AC">
        <w:rPr>
          <w:rtl/>
        </w:rPr>
        <w:t>مها عن نفسه</w:t>
      </w:r>
      <w:r w:rsidRPr="006571AC">
        <w:rPr>
          <w:rtl/>
        </w:rPr>
        <w:t>،</w:t>
      </w:r>
      <w:r w:rsidR="0001386F" w:rsidRPr="006571AC">
        <w:rPr>
          <w:rtl/>
        </w:rPr>
        <w:t xml:space="preserve"> </w:t>
      </w:r>
      <w:r w:rsidRPr="006571AC">
        <w:rPr>
          <w:rtl/>
        </w:rPr>
        <w:t>و</w:t>
      </w:r>
      <w:r w:rsidR="0001386F" w:rsidRPr="006571AC">
        <w:rPr>
          <w:rtl/>
        </w:rPr>
        <w:t>لهذا السبب استطاع أن يصو</w:t>
      </w:r>
      <w:r w:rsidRPr="006571AC">
        <w:rPr>
          <w:rtl/>
        </w:rPr>
        <w:t>ِّ</w:t>
      </w:r>
      <w:r w:rsidR="0001386F" w:rsidRPr="006571AC">
        <w:rPr>
          <w:rtl/>
        </w:rPr>
        <w:t>ر نفسه بأسلوب</w:t>
      </w:r>
      <w:r w:rsidRPr="006571AC">
        <w:rPr>
          <w:rtl/>
        </w:rPr>
        <w:t>ٍ</w:t>
      </w:r>
      <w:r w:rsidR="0001386F" w:rsidRPr="006571AC">
        <w:rPr>
          <w:rtl/>
        </w:rPr>
        <w:t xml:space="preserve"> يستطيع من خلاله معرفة الكثير عن حقيقته</w:t>
      </w:r>
      <w:r w:rsidR="0001386F" w:rsidRPr="006571AC">
        <w:rPr>
          <w:vertAlign w:val="superscript"/>
          <w:rtl/>
        </w:rPr>
        <w:t>(</w:t>
      </w:r>
      <w:r w:rsidR="0001386F" w:rsidRPr="006571AC">
        <w:rPr>
          <w:rStyle w:val="ac"/>
          <w:rFonts w:ascii="Arial" w:hAnsi="Arial"/>
          <w:sz w:val="27"/>
          <w:rtl/>
        </w:rPr>
        <w:endnoteReference w:id="701"/>
      </w:r>
      <w:r w:rsidR="0001386F" w:rsidRPr="006571AC">
        <w:rPr>
          <w:vertAlign w:val="superscript"/>
          <w:rtl/>
        </w:rPr>
        <w:t>)</w:t>
      </w:r>
      <w:r w:rsidR="0001386F" w:rsidRPr="006571AC">
        <w:rPr>
          <w:rtl/>
        </w:rPr>
        <w:t xml:space="preserve">. </w:t>
      </w:r>
    </w:p>
    <w:p w:rsidR="0001386F" w:rsidRPr="006571AC" w:rsidRDefault="0001386F" w:rsidP="00BC29E6">
      <w:pPr>
        <w:spacing w:line="430" w:lineRule="exact"/>
        <w:rPr>
          <w:rtl/>
        </w:rPr>
      </w:pPr>
    </w:p>
    <w:p w:rsidR="0001386F" w:rsidRPr="006571AC" w:rsidRDefault="0001386F" w:rsidP="000B6711">
      <w:pPr>
        <w:pStyle w:val="31"/>
        <w:rPr>
          <w:color w:val="auto"/>
          <w:rtl/>
        </w:rPr>
      </w:pPr>
      <w:bookmarkStart w:id="420" w:name="_Toc114164828"/>
      <w:r w:rsidRPr="006571AC">
        <w:rPr>
          <w:color w:val="auto"/>
          <w:rtl/>
        </w:rPr>
        <w:t>ب ـ وظيفة الذات</w:t>
      </w:r>
      <w:bookmarkEnd w:id="420"/>
      <w:r w:rsidRPr="006571AC">
        <w:rPr>
          <w:color w:val="auto"/>
          <w:rtl/>
        </w:rPr>
        <w:t xml:space="preserve"> </w:t>
      </w:r>
    </w:p>
    <w:p w:rsidR="0001386F" w:rsidRPr="006571AC" w:rsidRDefault="0001386F" w:rsidP="006C5D28">
      <w:pPr>
        <w:rPr>
          <w:rtl/>
        </w:rPr>
      </w:pPr>
      <w:r w:rsidRPr="006571AC">
        <w:rPr>
          <w:rtl/>
        </w:rPr>
        <w:t>وظيفة مفهوم الذات وظيفة</w:t>
      </w:r>
      <w:r w:rsidR="0042338C" w:rsidRPr="006571AC">
        <w:rPr>
          <w:rtl/>
        </w:rPr>
        <w:t>ٌ</w:t>
      </w:r>
      <w:r w:rsidRPr="006571AC">
        <w:rPr>
          <w:rtl/>
        </w:rPr>
        <w:t xml:space="preserve"> دافعية، وكذلك وظيفة تكامل وتنظيم وبلورة عالم الخبرة المتغي</w:t>
      </w:r>
      <w:r w:rsidR="0042338C" w:rsidRPr="006571AC">
        <w:rPr>
          <w:rtl/>
        </w:rPr>
        <w:t>ِّ</w:t>
      </w:r>
      <w:r w:rsidRPr="006571AC">
        <w:rPr>
          <w:rtl/>
        </w:rPr>
        <w:t>ر، الذي يوجد الفرد في وسطه. ولذا فإنه ينظم ويحد</w:t>
      </w:r>
      <w:r w:rsidR="0042338C" w:rsidRPr="006571AC">
        <w:rPr>
          <w:rtl/>
        </w:rPr>
        <w:t>ِّ</w:t>
      </w:r>
      <w:r w:rsidRPr="006571AC">
        <w:rPr>
          <w:rtl/>
        </w:rPr>
        <w:t>د السلوك، وينمو تكوينيا</w:t>
      </w:r>
      <w:r w:rsidR="0042338C" w:rsidRPr="006571AC">
        <w:rPr>
          <w:rtl/>
        </w:rPr>
        <w:t>ً</w:t>
      </w:r>
      <w:r w:rsidRPr="006571AC">
        <w:rPr>
          <w:rtl/>
        </w:rPr>
        <w:t xml:space="preserve"> كنتاج</w:t>
      </w:r>
      <w:r w:rsidR="0042338C" w:rsidRPr="006571AC">
        <w:rPr>
          <w:rtl/>
        </w:rPr>
        <w:t>ٍ</w:t>
      </w:r>
      <w:r w:rsidRPr="006571AC">
        <w:rPr>
          <w:rtl/>
        </w:rPr>
        <w:t xml:space="preserve"> للتفاعل الاجتماعي</w:t>
      </w:r>
      <w:r w:rsidR="0042338C" w:rsidRPr="006571AC">
        <w:rPr>
          <w:rtl/>
        </w:rPr>
        <w:t>ّ،</w:t>
      </w:r>
      <w:r w:rsidRPr="006571AC">
        <w:rPr>
          <w:rtl/>
        </w:rPr>
        <w:t xml:space="preserve"> ج</w:t>
      </w:r>
      <w:r w:rsidR="009B79FE" w:rsidRPr="006571AC">
        <w:rPr>
          <w:rFonts w:hint="cs"/>
          <w:rtl/>
        </w:rPr>
        <w:t>َ</w:t>
      </w:r>
      <w:r w:rsidRPr="006571AC">
        <w:rPr>
          <w:rtl/>
        </w:rPr>
        <w:t>ن</w:t>
      </w:r>
      <w:r w:rsidR="009B79FE" w:rsidRPr="006571AC">
        <w:rPr>
          <w:rFonts w:hint="cs"/>
          <w:rtl/>
        </w:rPr>
        <w:t>ْ</w:t>
      </w:r>
      <w:r w:rsidRPr="006571AC">
        <w:rPr>
          <w:rtl/>
        </w:rPr>
        <w:t>با</w:t>
      </w:r>
      <w:r w:rsidR="0042338C" w:rsidRPr="006571AC">
        <w:rPr>
          <w:rtl/>
        </w:rPr>
        <w:t>ً</w:t>
      </w:r>
      <w:r w:rsidRPr="006571AC">
        <w:rPr>
          <w:rtl/>
        </w:rPr>
        <w:t xml:space="preserve"> إلى ج</w:t>
      </w:r>
      <w:r w:rsidR="009B79FE" w:rsidRPr="006571AC">
        <w:rPr>
          <w:rFonts w:hint="cs"/>
          <w:rtl/>
        </w:rPr>
        <w:t>َ</w:t>
      </w:r>
      <w:r w:rsidRPr="006571AC">
        <w:rPr>
          <w:rtl/>
        </w:rPr>
        <w:t>ن</w:t>
      </w:r>
      <w:r w:rsidR="009B79FE" w:rsidRPr="006571AC">
        <w:rPr>
          <w:rFonts w:hint="cs"/>
          <w:rtl/>
        </w:rPr>
        <w:t>ْ</w:t>
      </w:r>
      <w:r w:rsidRPr="006571AC">
        <w:rPr>
          <w:rtl/>
        </w:rPr>
        <w:t>ب</w:t>
      </w:r>
      <w:r w:rsidR="009B79FE" w:rsidRPr="006571AC">
        <w:rPr>
          <w:rFonts w:hint="cs"/>
          <w:rtl/>
        </w:rPr>
        <w:t>ٍ</w:t>
      </w:r>
      <w:r w:rsidRPr="006571AC">
        <w:rPr>
          <w:rtl/>
        </w:rPr>
        <w:t xml:space="preserve"> مع الدافع الداخلي لتأكيد الذات</w:t>
      </w:r>
      <w:r w:rsidR="0042338C" w:rsidRPr="006571AC">
        <w:rPr>
          <w:rtl/>
        </w:rPr>
        <w:t>.</w:t>
      </w:r>
      <w:r w:rsidRPr="006571AC">
        <w:rPr>
          <w:rtl/>
        </w:rPr>
        <w:t xml:space="preserve"> وبالرغم من أنه ثابت</w:t>
      </w:r>
      <w:r w:rsidR="0042338C" w:rsidRPr="006571AC">
        <w:rPr>
          <w:rtl/>
        </w:rPr>
        <w:t>ٌ</w:t>
      </w:r>
      <w:r w:rsidRPr="006571AC">
        <w:rPr>
          <w:rtl/>
        </w:rPr>
        <w:t xml:space="preserve"> تقريبا</w:t>
      </w:r>
      <w:r w:rsidR="0042338C" w:rsidRPr="006571AC">
        <w:rPr>
          <w:rtl/>
        </w:rPr>
        <w:t>ً</w:t>
      </w:r>
      <w:r w:rsidRPr="006571AC">
        <w:rPr>
          <w:rtl/>
        </w:rPr>
        <w:t>، إلا</w:t>
      </w:r>
      <w:r w:rsidR="0042338C" w:rsidRPr="006571AC">
        <w:rPr>
          <w:rtl/>
        </w:rPr>
        <w:t>ّ</w:t>
      </w:r>
      <w:r w:rsidRPr="006571AC">
        <w:rPr>
          <w:rtl/>
        </w:rPr>
        <w:t xml:space="preserve"> أنه يمكن تعديله تحت ظروف معينة</w:t>
      </w:r>
      <w:r w:rsidRPr="006571AC">
        <w:rPr>
          <w:vertAlign w:val="superscript"/>
          <w:rtl/>
        </w:rPr>
        <w:t>(</w:t>
      </w:r>
      <w:r w:rsidRPr="006571AC">
        <w:rPr>
          <w:rStyle w:val="ac"/>
          <w:rFonts w:ascii="Arial" w:hAnsi="Arial"/>
          <w:sz w:val="27"/>
          <w:rtl/>
        </w:rPr>
        <w:endnoteReference w:id="702"/>
      </w:r>
      <w:r w:rsidRPr="006571AC">
        <w:rPr>
          <w:vertAlign w:val="superscript"/>
          <w:rtl/>
        </w:rPr>
        <w:t>)</w:t>
      </w:r>
      <w:r w:rsidRPr="006571AC">
        <w:rPr>
          <w:rtl/>
        </w:rPr>
        <w:t xml:space="preserve">. </w:t>
      </w:r>
    </w:p>
    <w:p w:rsidR="0001386F" w:rsidRPr="006571AC" w:rsidRDefault="0001386F" w:rsidP="006C5D28">
      <w:pPr>
        <w:rPr>
          <w:rtl/>
        </w:rPr>
      </w:pPr>
      <w:r w:rsidRPr="006571AC">
        <w:rPr>
          <w:rtl/>
        </w:rPr>
        <w:t>فمفهوم الذات أهم</w:t>
      </w:r>
      <w:r w:rsidR="0042338C" w:rsidRPr="006571AC">
        <w:rPr>
          <w:rtl/>
        </w:rPr>
        <w:t>ّ</w:t>
      </w:r>
      <w:r w:rsidRPr="006571AC">
        <w:rPr>
          <w:rtl/>
        </w:rPr>
        <w:t xml:space="preserve"> من الذات الحقيقية في تقرير الذات، وكل</w:t>
      </w:r>
      <w:r w:rsidR="0042338C" w:rsidRPr="006571AC">
        <w:rPr>
          <w:rtl/>
        </w:rPr>
        <w:t>ّ</w:t>
      </w:r>
      <w:r w:rsidRPr="006571AC">
        <w:rPr>
          <w:rtl/>
        </w:rPr>
        <w:t xml:space="preserve"> فرد</w:t>
      </w:r>
      <w:r w:rsidR="0042338C" w:rsidRPr="006571AC">
        <w:rPr>
          <w:rtl/>
        </w:rPr>
        <w:t>ٍ</w:t>
      </w:r>
      <w:r w:rsidRPr="006571AC">
        <w:rPr>
          <w:rtl/>
        </w:rPr>
        <w:t xml:space="preserve"> يتأث</w:t>
      </w:r>
      <w:r w:rsidR="0042338C" w:rsidRPr="006571AC">
        <w:rPr>
          <w:rtl/>
        </w:rPr>
        <w:t>َّ</w:t>
      </w:r>
      <w:r w:rsidRPr="006571AC">
        <w:rPr>
          <w:rtl/>
        </w:rPr>
        <w:t>ر بالوراثة والبيئة الجغرافية والمادية والاجتماعية والسلوكية، ويتأث</w:t>
      </w:r>
      <w:r w:rsidR="0042338C" w:rsidRPr="006571AC">
        <w:rPr>
          <w:rtl/>
        </w:rPr>
        <w:t>َّ</w:t>
      </w:r>
      <w:r w:rsidRPr="006571AC">
        <w:rPr>
          <w:rtl/>
        </w:rPr>
        <w:t>ر بالآخرين المهم</w:t>
      </w:r>
      <w:r w:rsidR="0042338C" w:rsidRPr="006571AC">
        <w:rPr>
          <w:rtl/>
        </w:rPr>
        <w:t>ّ</w:t>
      </w:r>
      <w:r w:rsidRPr="006571AC">
        <w:rPr>
          <w:rtl/>
        </w:rPr>
        <w:t>ين في حياة الفرد، ويتأث</w:t>
      </w:r>
      <w:r w:rsidR="0042338C" w:rsidRPr="006571AC">
        <w:rPr>
          <w:rtl/>
        </w:rPr>
        <w:t>َّ</w:t>
      </w:r>
      <w:r w:rsidRPr="006571AC">
        <w:rPr>
          <w:rtl/>
        </w:rPr>
        <w:t>ر بالنضج والتعل</w:t>
      </w:r>
      <w:r w:rsidR="0042338C" w:rsidRPr="006571AC">
        <w:rPr>
          <w:rtl/>
        </w:rPr>
        <w:t>ّ</w:t>
      </w:r>
      <w:r w:rsidRPr="006571AC">
        <w:rPr>
          <w:rtl/>
        </w:rPr>
        <w:t>م، ويتأث</w:t>
      </w:r>
      <w:r w:rsidR="0042338C" w:rsidRPr="006571AC">
        <w:rPr>
          <w:rtl/>
        </w:rPr>
        <w:t>َّ</w:t>
      </w:r>
      <w:r w:rsidRPr="006571AC">
        <w:rPr>
          <w:rtl/>
        </w:rPr>
        <w:t>ر بالحاجات وبالموج</w:t>
      </w:r>
      <w:r w:rsidR="0042338C" w:rsidRPr="006571AC">
        <w:rPr>
          <w:rtl/>
        </w:rPr>
        <w:t>ّ</w:t>
      </w:r>
      <w:r w:rsidRPr="006571AC">
        <w:rPr>
          <w:rtl/>
        </w:rPr>
        <w:t>هات</w:t>
      </w:r>
      <w:r w:rsidRPr="006571AC">
        <w:rPr>
          <w:vertAlign w:val="superscript"/>
          <w:rtl/>
        </w:rPr>
        <w:t>(</w:t>
      </w:r>
      <w:r w:rsidRPr="006571AC">
        <w:rPr>
          <w:rStyle w:val="ac"/>
          <w:rFonts w:ascii="Arial" w:hAnsi="Arial"/>
          <w:sz w:val="27"/>
          <w:rtl/>
        </w:rPr>
        <w:endnoteReference w:id="703"/>
      </w:r>
      <w:r w:rsidRPr="006571AC">
        <w:rPr>
          <w:vertAlign w:val="superscript"/>
          <w:rtl/>
        </w:rPr>
        <w:t>)</w:t>
      </w:r>
      <w:r w:rsidRPr="006571AC">
        <w:rPr>
          <w:rtl/>
        </w:rPr>
        <w:t>. ويطرح الشهيد مرتضى مطه</w:t>
      </w:r>
      <w:r w:rsidR="0042338C" w:rsidRPr="006571AC">
        <w:rPr>
          <w:rtl/>
        </w:rPr>
        <w:t>َّ</w:t>
      </w:r>
      <w:r w:rsidRPr="006571AC">
        <w:rPr>
          <w:rtl/>
        </w:rPr>
        <w:t xml:space="preserve">ري </w:t>
      </w:r>
      <w:r w:rsidR="0042338C" w:rsidRPr="006571AC">
        <w:rPr>
          <w:rtl/>
        </w:rPr>
        <w:t>ال</w:t>
      </w:r>
      <w:r w:rsidRPr="006571AC">
        <w:rPr>
          <w:rtl/>
        </w:rPr>
        <w:t>سؤال قائلا</w:t>
      </w:r>
      <w:r w:rsidR="0042338C" w:rsidRPr="006571AC">
        <w:rPr>
          <w:rtl/>
        </w:rPr>
        <w:t>ً</w:t>
      </w:r>
      <w:r w:rsidRPr="006571AC">
        <w:rPr>
          <w:rtl/>
        </w:rPr>
        <w:t>: لماذا نصحونا بمعرفة الذات؟ وإلى أي</w:t>
      </w:r>
      <w:r w:rsidR="0042338C" w:rsidRPr="006571AC">
        <w:rPr>
          <w:rtl/>
        </w:rPr>
        <w:t>ّ</w:t>
      </w:r>
      <w:r w:rsidRPr="006571AC">
        <w:rPr>
          <w:rtl/>
        </w:rPr>
        <w:t xml:space="preserve"> شيء</w:t>
      </w:r>
      <w:r w:rsidR="0042338C" w:rsidRPr="006571AC">
        <w:rPr>
          <w:rtl/>
        </w:rPr>
        <w:t>ٍ</w:t>
      </w:r>
      <w:r w:rsidRPr="006571AC">
        <w:rPr>
          <w:rtl/>
        </w:rPr>
        <w:t xml:space="preserve"> نصل من خلال معرفة الذات؟ وبعبارة</w:t>
      </w:r>
      <w:r w:rsidR="0042338C" w:rsidRPr="006571AC">
        <w:rPr>
          <w:rtl/>
        </w:rPr>
        <w:t>ٍ</w:t>
      </w:r>
      <w:r w:rsidRPr="006571AC">
        <w:rPr>
          <w:rtl/>
        </w:rPr>
        <w:t xml:space="preserve"> أخرى</w:t>
      </w:r>
      <w:r w:rsidR="0042338C" w:rsidRPr="006571AC">
        <w:rPr>
          <w:rtl/>
        </w:rPr>
        <w:t>:</w:t>
      </w:r>
      <w:r w:rsidRPr="006571AC">
        <w:rPr>
          <w:rtl/>
        </w:rPr>
        <w:t xml:space="preserve"> إن معرفة الذات تكون مقد</w:t>
      </w:r>
      <w:r w:rsidR="00034B9C" w:rsidRPr="006571AC">
        <w:rPr>
          <w:rtl/>
        </w:rPr>
        <w:t>ّ</w:t>
      </w:r>
      <w:r w:rsidRPr="006571AC">
        <w:rPr>
          <w:rtl/>
        </w:rPr>
        <w:t>مة</w:t>
      </w:r>
      <w:r w:rsidR="00034B9C" w:rsidRPr="006571AC">
        <w:rPr>
          <w:rtl/>
        </w:rPr>
        <w:t>ً</w:t>
      </w:r>
      <w:r w:rsidRPr="006571AC">
        <w:rPr>
          <w:rtl/>
        </w:rPr>
        <w:t xml:space="preserve"> لأي شيء؟</w:t>
      </w:r>
      <w:r w:rsidRPr="006571AC">
        <w:rPr>
          <w:vertAlign w:val="superscript"/>
          <w:rtl/>
        </w:rPr>
        <w:t>(</w:t>
      </w:r>
      <w:r w:rsidRPr="006571AC">
        <w:rPr>
          <w:rStyle w:val="ac"/>
          <w:rFonts w:ascii="Arial" w:hAnsi="Arial"/>
          <w:sz w:val="27"/>
          <w:rtl/>
        </w:rPr>
        <w:endnoteReference w:id="704"/>
      </w:r>
      <w:r w:rsidRPr="006571AC">
        <w:rPr>
          <w:vertAlign w:val="superscript"/>
          <w:rtl/>
        </w:rPr>
        <w:t>)</w:t>
      </w:r>
      <w:r w:rsidRPr="006571AC">
        <w:rPr>
          <w:rtl/>
        </w:rPr>
        <w:t>.</w:t>
      </w:r>
    </w:p>
    <w:p w:rsidR="0001386F" w:rsidRPr="006571AC" w:rsidRDefault="00034B9C" w:rsidP="006C5D28">
      <w:pPr>
        <w:rPr>
          <w:rtl/>
        </w:rPr>
      </w:pPr>
      <w:r w:rsidRPr="006571AC">
        <w:rPr>
          <w:rtl/>
        </w:rPr>
        <w:t>و</w:t>
      </w:r>
      <w:r w:rsidR="0001386F" w:rsidRPr="006571AC">
        <w:rPr>
          <w:rtl/>
        </w:rPr>
        <w:t>يجيب الشهيد مطه</w:t>
      </w:r>
      <w:r w:rsidRPr="006571AC">
        <w:rPr>
          <w:rtl/>
        </w:rPr>
        <w:t>َّ</w:t>
      </w:r>
      <w:r w:rsidR="0001386F" w:rsidRPr="006571AC">
        <w:rPr>
          <w:rtl/>
        </w:rPr>
        <w:t xml:space="preserve">ري: </w:t>
      </w:r>
      <w:r w:rsidRPr="006571AC">
        <w:rPr>
          <w:rtl/>
        </w:rPr>
        <w:t>إ</w:t>
      </w:r>
      <w:r w:rsidR="0001386F" w:rsidRPr="006571AC">
        <w:rPr>
          <w:rtl/>
        </w:rPr>
        <w:t>نهم أوصونا بذلك</w:t>
      </w:r>
      <w:r w:rsidRPr="006571AC">
        <w:rPr>
          <w:rtl/>
        </w:rPr>
        <w:t>؛</w:t>
      </w:r>
      <w:r w:rsidR="0001386F" w:rsidRPr="006571AC">
        <w:rPr>
          <w:rtl/>
        </w:rPr>
        <w:t xml:space="preserve"> لهدفين: </w:t>
      </w:r>
    </w:p>
    <w:p w:rsidR="0001386F" w:rsidRPr="006571AC" w:rsidRDefault="0001386F" w:rsidP="006C5D28">
      <w:pPr>
        <w:rPr>
          <w:rtl/>
        </w:rPr>
      </w:pPr>
      <w:r w:rsidRPr="006571AC">
        <w:rPr>
          <w:b/>
          <w:bCs/>
          <w:rtl/>
        </w:rPr>
        <w:t>أحدهما</w:t>
      </w:r>
      <w:r w:rsidR="00034B9C" w:rsidRPr="006571AC">
        <w:rPr>
          <w:rtl/>
        </w:rPr>
        <w:t>:</w:t>
      </w:r>
      <w:r w:rsidRPr="006571AC">
        <w:rPr>
          <w:rtl/>
        </w:rPr>
        <w:t xml:space="preserve"> هو أننا إذا عرفنا ذواتنا فسوف ندرك أهم</w:t>
      </w:r>
      <w:r w:rsidR="00034B9C" w:rsidRPr="006571AC">
        <w:rPr>
          <w:rtl/>
        </w:rPr>
        <w:t>ّ</w:t>
      </w:r>
      <w:r w:rsidRPr="006571AC">
        <w:rPr>
          <w:rtl/>
        </w:rPr>
        <w:t xml:space="preserve"> مسألة يواجهها الإنسان في حياته</w:t>
      </w:r>
      <w:r w:rsidR="00034B9C" w:rsidRPr="006571AC">
        <w:rPr>
          <w:rtl/>
        </w:rPr>
        <w:t>،</w:t>
      </w:r>
      <w:r w:rsidRPr="006571AC">
        <w:rPr>
          <w:rtl/>
        </w:rPr>
        <w:t xml:space="preserve"> وتعتبر السر</w:t>
      </w:r>
      <w:r w:rsidR="00034B9C" w:rsidRPr="006571AC">
        <w:rPr>
          <w:rtl/>
        </w:rPr>
        <w:t>ّ</w:t>
      </w:r>
      <w:r w:rsidRPr="006571AC">
        <w:rPr>
          <w:rtl/>
        </w:rPr>
        <w:t xml:space="preserve"> الأساس للعالم</w:t>
      </w:r>
      <w:r w:rsidR="00034B9C" w:rsidRPr="006571AC">
        <w:rPr>
          <w:rtl/>
        </w:rPr>
        <w:t>،</w:t>
      </w:r>
      <w:r w:rsidRPr="006571AC">
        <w:rPr>
          <w:rtl/>
        </w:rPr>
        <w:t xml:space="preserve"> وهو معرفة الله. </w:t>
      </w:r>
    </w:p>
    <w:p w:rsidR="0001386F" w:rsidRPr="006571AC" w:rsidRDefault="0001386F" w:rsidP="006C5D28">
      <w:pPr>
        <w:rPr>
          <w:rtl/>
        </w:rPr>
      </w:pPr>
      <w:r w:rsidRPr="006571AC">
        <w:rPr>
          <w:b/>
          <w:bCs/>
          <w:rtl/>
        </w:rPr>
        <w:t>ثانيهما</w:t>
      </w:r>
      <w:r w:rsidRPr="006571AC">
        <w:rPr>
          <w:rtl/>
        </w:rPr>
        <w:t>: هو أننا نعرف ذواتنا</w:t>
      </w:r>
      <w:r w:rsidR="00034B9C" w:rsidRPr="006571AC">
        <w:rPr>
          <w:rtl/>
        </w:rPr>
        <w:t>؛</w:t>
      </w:r>
      <w:r w:rsidRPr="006571AC">
        <w:rPr>
          <w:rtl/>
        </w:rPr>
        <w:t xml:space="preserve"> لكي نعرف ماذا ينبغي لنا أن نفعل في الحياة والعالم</w:t>
      </w:r>
      <w:r w:rsidR="00034B9C" w:rsidRPr="006571AC">
        <w:rPr>
          <w:rtl/>
        </w:rPr>
        <w:t>؟</w:t>
      </w:r>
      <w:r w:rsidRPr="006571AC">
        <w:rPr>
          <w:rtl/>
        </w:rPr>
        <w:t xml:space="preserve"> وكيف نتصر</w:t>
      </w:r>
      <w:r w:rsidR="00034B9C" w:rsidRPr="006571AC">
        <w:rPr>
          <w:rtl/>
        </w:rPr>
        <w:t>ّ</w:t>
      </w:r>
      <w:r w:rsidRPr="006571AC">
        <w:rPr>
          <w:rtl/>
        </w:rPr>
        <w:t>ف</w:t>
      </w:r>
      <w:r w:rsidR="00034B9C" w:rsidRPr="006571AC">
        <w:rPr>
          <w:rtl/>
        </w:rPr>
        <w:t xml:space="preserve"> في</w:t>
      </w:r>
      <w:r w:rsidRPr="006571AC">
        <w:rPr>
          <w:rtl/>
        </w:rPr>
        <w:t xml:space="preserve"> مجال الأخلاق والعمل</w:t>
      </w:r>
      <w:r w:rsidR="00034B9C" w:rsidRPr="006571AC">
        <w:rPr>
          <w:rtl/>
        </w:rPr>
        <w:t>؟</w:t>
      </w:r>
      <w:r w:rsidRPr="006571AC">
        <w:rPr>
          <w:rtl/>
        </w:rPr>
        <w:t xml:space="preserve"> ولو لم نعرف ذواتنا فسوف لن نعرف كيف يجب علينا أن نصوغ أخلاقنا وسلوكنا، أي كيف يجب أن نكون</w:t>
      </w:r>
      <w:r w:rsidR="00034B9C" w:rsidRPr="006571AC">
        <w:rPr>
          <w:rtl/>
        </w:rPr>
        <w:t>؟</w:t>
      </w:r>
      <w:r w:rsidRPr="006571AC">
        <w:rPr>
          <w:rtl/>
        </w:rPr>
        <w:t xml:space="preserve"> وذلك لأن الأخلاق ـ من حيث إنها مجموعة</w:t>
      </w:r>
      <w:r w:rsidR="00034B9C" w:rsidRPr="006571AC">
        <w:rPr>
          <w:rtl/>
        </w:rPr>
        <w:t>ٌ</w:t>
      </w:r>
      <w:r w:rsidRPr="006571AC">
        <w:rPr>
          <w:rtl/>
        </w:rPr>
        <w:t xml:space="preserve"> من الم</w:t>
      </w:r>
      <w:r w:rsidR="00034B9C" w:rsidRPr="006571AC">
        <w:rPr>
          <w:rtl/>
        </w:rPr>
        <w:t>َ</w:t>
      </w:r>
      <w:r w:rsidRPr="006571AC">
        <w:rPr>
          <w:rtl/>
        </w:rPr>
        <w:t>ل</w:t>
      </w:r>
      <w:r w:rsidR="00034B9C" w:rsidRPr="006571AC">
        <w:rPr>
          <w:rtl/>
        </w:rPr>
        <w:t>َ</w:t>
      </w:r>
      <w:r w:rsidRPr="006571AC">
        <w:rPr>
          <w:rtl/>
        </w:rPr>
        <w:t>كات ـ تعود إلى أننا كيف يجب أن نكون ونتصر</w:t>
      </w:r>
      <w:r w:rsidR="00034B9C" w:rsidRPr="006571AC">
        <w:rPr>
          <w:rtl/>
        </w:rPr>
        <w:t>ّ</w:t>
      </w:r>
      <w:r w:rsidRPr="006571AC">
        <w:rPr>
          <w:rtl/>
        </w:rPr>
        <w:t>ف</w:t>
      </w:r>
      <w:r w:rsidR="00034B9C" w:rsidRPr="006571AC">
        <w:rPr>
          <w:rtl/>
        </w:rPr>
        <w:t>؟</w:t>
      </w:r>
      <w:r w:rsidRPr="006571AC">
        <w:rPr>
          <w:vertAlign w:val="superscript"/>
          <w:rtl/>
        </w:rPr>
        <w:t>(</w:t>
      </w:r>
      <w:r w:rsidRPr="006571AC">
        <w:rPr>
          <w:rStyle w:val="ac"/>
          <w:rFonts w:ascii="Arial" w:hAnsi="Arial"/>
          <w:sz w:val="27"/>
          <w:rtl/>
        </w:rPr>
        <w:endnoteReference w:id="705"/>
      </w:r>
      <w:r w:rsidRPr="006571AC">
        <w:rPr>
          <w:vertAlign w:val="superscript"/>
          <w:rtl/>
        </w:rPr>
        <w:t>)</w:t>
      </w:r>
      <w:r w:rsidR="00034B9C" w:rsidRPr="006571AC">
        <w:rPr>
          <w:rtl/>
        </w:rPr>
        <w:t>،</w:t>
      </w:r>
      <w:r w:rsidRPr="006571AC">
        <w:rPr>
          <w:rtl/>
        </w:rPr>
        <w:t xml:space="preserve"> وهي ما يقودنا تلقائي</w:t>
      </w:r>
      <w:r w:rsidR="00034B9C" w:rsidRPr="006571AC">
        <w:rPr>
          <w:rtl/>
        </w:rPr>
        <w:t>ّ</w:t>
      </w:r>
      <w:r w:rsidRPr="006571AC">
        <w:rPr>
          <w:rtl/>
        </w:rPr>
        <w:t>ا</w:t>
      </w:r>
      <w:r w:rsidR="00034B9C" w:rsidRPr="006571AC">
        <w:rPr>
          <w:rtl/>
        </w:rPr>
        <w:t>ً</w:t>
      </w:r>
      <w:r w:rsidRPr="006571AC">
        <w:rPr>
          <w:rtl/>
        </w:rPr>
        <w:t xml:space="preserve"> إلى مفهوم السلوك. </w:t>
      </w:r>
    </w:p>
    <w:p w:rsidR="0001386F" w:rsidRPr="006571AC" w:rsidRDefault="0001386F" w:rsidP="00BC29E6">
      <w:pPr>
        <w:spacing w:line="420" w:lineRule="exact"/>
        <w:rPr>
          <w:rtl/>
        </w:rPr>
      </w:pPr>
    </w:p>
    <w:p w:rsidR="0001386F" w:rsidRPr="006571AC" w:rsidRDefault="0001386F" w:rsidP="000B6711">
      <w:pPr>
        <w:pStyle w:val="31"/>
        <w:rPr>
          <w:color w:val="auto"/>
          <w:rtl/>
        </w:rPr>
      </w:pPr>
      <w:bookmarkStart w:id="421" w:name="_Toc114164829"/>
      <w:r w:rsidRPr="006571AC">
        <w:rPr>
          <w:color w:val="auto"/>
          <w:rtl/>
        </w:rPr>
        <w:t>ج ـ السلوك</w:t>
      </w:r>
      <w:bookmarkEnd w:id="421"/>
      <w:r w:rsidRPr="006571AC">
        <w:rPr>
          <w:color w:val="auto"/>
          <w:rtl/>
        </w:rPr>
        <w:t xml:space="preserve"> </w:t>
      </w:r>
    </w:p>
    <w:p w:rsidR="00BB404F" w:rsidRPr="006571AC" w:rsidRDefault="0001386F" w:rsidP="006C5D28">
      <w:pPr>
        <w:rPr>
          <w:rtl/>
        </w:rPr>
      </w:pPr>
      <w:r w:rsidRPr="006571AC">
        <w:rPr>
          <w:rtl/>
        </w:rPr>
        <w:t>هو نشاط</w:t>
      </w:r>
      <w:r w:rsidR="00034B9C" w:rsidRPr="006571AC">
        <w:rPr>
          <w:rtl/>
        </w:rPr>
        <w:t>ٌ</w:t>
      </w:r>
      <w:r w:rsidRPr="006571AC">
        <w:rPr>
          <w:rtl/>
        </w:rPr>
        <w:t xml:space="preserve"> موج</w:t>
      </w:r>
      <w:r w:rsidR="00034B9C" w:rsidRPr="006571AC">
        <w:rPr>
          <w:rtl/>
        </w:rPr>
        <w:t>ّ</w:t>
      </w:r>
      <w:r w:rsidRPr="006571AC">
        <w:rPr>
          <w:rtl/>
        </w:rPr>
        <w:t>ه نحو هدف</w:t>
      </w:r>
      <w:r w:rsidR="00034B9C" w:rsidRPr="006571AC">
        <w:rPr>
          <w:rtl/>
        </w:rPr>
        <w:t>ٍ</w:t>
      </w:r>
      <w:r w:rsidRPr="006571AC">
        <w:rPr>
          <w:rtl/>
        </w:rPr>
        <w:t xml:space="preserve"> من جانب الفرد</w:t>
      </w:r>
      <w:r w:rsidR="00034B9C" w:rsidRPr="006571AC">
        <w:rPr>
          <w:rtl/>
        </w:rPr>
        <w:t>؛</w:t>
      </w:r>
      <w:r w:rsidRPr="006571AC">
        <w:rPr>
          <w:rtl/>
        </w:rPr>
        <w:t xml:space="preserve"> لتحقيق وإشباع حاجاته كما يخبرها في المجال الظاهري كما يدركه</w:t>
      </w:r>
      <w:r w:rsidRPr="006571AC">
        <w:rPr>
          <w:vertAlign w:val="superscript"/>
          <w:rtl/>
        </w:rPr>
        <w:t>(</w:t>
      </w:r>
      <w:r w:rsidRPr="006571AC">
        <w:rPr>
          <w:rStyle w:val="ac"/>
          <w:rFonts w:ascii="Arial" w:hAnsi="Arial"/>
          <w:sz w:val="27"/>
          <w:rtl/>
        </w:rPr>
        <w:endnoteReference w:id="706"/>
      </w:r>
      <w:r w:rsidRPr="006571AC">
        <w:rPr>
          <w:vertAlign w:val="superscript"/>
          <w:rtl/>
        </w:rPr>
        <w:t>)</w:t>
      </w:r>
      <w:r w:rsidR="00BB404F" w:rsidRPr="006571AC">
        <w:rPr>
          <w:rtl/>
        </w:rPr>
        <w:t>.</w:t>
      </w:r>
    </w:p>
    <w:p w:rsidR="0001386F" w:rsidRPr="006571AC" w:rsidRDefault="0001386F" w:rsidP="006C5D28">
      <w:pPr>
        <w:rPr>
          <w:rtl/>
        </w:rPr>
      </w:pPr>
      <w:r w:rsidRPr="006571AC">
        <w:rPr>
          <w:rtl/>
        </w:rPr>
        <w:t>فحب</w:t>
      </w:r>
      <w:r w:rsidR="00B24E52" w:rsidRPr="006571AC">
        <w:rPr>
          <w:rtl/>
        </w:rPr>
        <w:t>ُّ</w:t>
      </w:r>
      <w:r w:rsidRPr="006571AC">
        <w:rPr>
          <w:rtl/>
        </w:rPr>
        <w:t xml:space="preserve"> الإنسان لذاته، أي حب</w:t>
      </w:r>
      <w:r w:rsidR="00B24E52" w:rsidRPr="006571AC">
        <w:rPr>
          <w:rtl/>
        </w:rPr>
        <w:t>ّ</w:t>
      </w:r>
      <w:r w:rsidRPr="006571AC">
        <w:rPr>
          <w:rtl/>
        </w:rPr>
        <w:t>ه للذة والسعادة، ونفوره من الألم والشقاء، غريزة</w:t>
      </w:r>
      <w:r w:rsidR="00B24E52" w:rsidRPr="006571AC">
        <w:rPr>
          <w:rtl/>
        </w:rPr>
        <w:t>ٌ</w:t>
      </w:r>
      <w:r w:rsidRPr="006571AC">
        <w:rPr>
          <w:rtl/>
        </w:rPr>
        <w:t xml:space="preserve"> </w:t>
      </w:r>
      <w:r w:rsidRPr="006571AC">
        <w:rPr>
          <w:rtl/>
        </w:rPr>
        <w:lastRenderedPageBreak/>
        <w:t>عام</w:t>
      </w:r>
      <w:r w:rsidR="00B24E52" w:rsidRPr="006571AC">
        <w:rPr>
          <w:rtl/>
        </w:rPr>
        <w:t>ّ</w:t>
      </w:r>
      <w:r w:rsidRPr="006571AC">
        <w:rPr>
          <w:rtl/>
        </w:rPr>
        <w:t>ة وقديمة في كل</w:t>
      </w:r>
      <w:r w:rsidR="00B24E52" w:rsidRPr="006571AC">
        <w:rPr>
          <w:rtl/>
        </w:rPr>
        <w:t>ّ</w:t>
      </w:r>
      <w:r w:rsidRPr="006571AC">
        <w:rPr>
          <w:rtl/>
        </w:rPr>
        <w:t xml:space="preserve"> البشر</w:t>
      </w:r>
      <w:r w:rsidR="00B24E52" w:rsidRPr="006571AC">
        <w:rPr>
          <w:rtl/>
        </w:rPr>
        <w:t>؛</w:t>
      </w:r>
      <w:r w:rsidRPr="006571AC">
        <w:rPr>
          <w:rtl/>
        </w:rPr>
        <w:t xml:space="preserve"> </w:t>
      </w:r>
      <w:r w:rsidRPr="006571AC">
        <w:rPr>
          <w:rFonts w:hint="eastAsia"/>
          <w:sz w:val="24"/>
          <w:szCs w:val="24"/>
          <w:rtl/>
        </w:rPr>
        <w:t>«</w:t>
      </w:r>
      <w:r w:rsidRPr="006571AC">
        <w:rPr>
          <w:rtl/>
        </w:rPr>
        <w:t>فالواقع الحقيقي الطبيعي الذي يكمن وراء الحياة الإنسانية كلها</w:t>
      </w:r>
      <w:r w:rsidR="00B24E52" w:rsidRPr="006571AC">
        <w:rPr>
          <w:rtl/>
        </w:rPr>
        <w:t>،</w:t>
      </w:r>
      <w:r w:rsidRPr="006571AC">
        <w:rPr>
          <w:rtl/>
        </w:rPr>
        <w:t xml:space="preserve"> ويوج</w:t>
      </w:r>
      <w:r w:rsidR="00B24E52" w:rsidRPr="006571AC">
        <w:rPr>
          <w:rtl/>
        </w:rPr>
        <w:t>ِّ</w:t>
      </w:r>
      <w:r w:rsidRPr="006571AC">
        <w:rPr>
          <w:rtl/>
        </w:rPr>
        <w:t>هها بأصابعه</w:t>
      </w:r>
      <w:r w:rsidR="00B24E52" w:rsidRPr="006571AC">
        <w:rPr>
          <w:rtl/>
        </w:rPr>
        <w:t>،</w:t>
      </w:r>
      <w:r w:rsidRPr="006571AC">
        <w:rPr>
          <w:rtl/>
        </w:rPr>
        <w:t xml:space="preserve"> هو حب</w:t>
      </w:r>
      <w:r w:rsidR="00B24E52" w:rsidRPr="006571AC">
        <w:rPr>
          <w:rtl/>
        </w:rPr>
        <w:t>ّ</w:t>
      </w:r>
      <w:r w:rsidRPr="006571AC">
        <w:rPr>
          <w:rtl/>
        </w:rPr>
        <w:t xml:space="preserve"> الذات، الذي نعب</w:t>
      </w:r>
      <w:r w:rsidR="00B24E52" w:rsidRPr="006571AC">
        <w:rPr>
          <w:rtl/>
        </w:rPr>
        <w:t>ِّ</w:t>
      </w:r>
      <w:r w:rsidRPr="006571AC">
        <w:rPr>
          <w:rtl/>
        </w:rPr>
        <w:t>ر عنه بحب</w:t>
      </w:r>
      <w:r w:rsidR="00B24E52" w:rsidRPr="006571AC">
        <w:rPr>
          <w:rtl/>
        </w:rPr>
        <w:t>ّ</w:t>
      </w:r>
      <w:r w:rsidRPr="006571AC">
        <w:rPr>
          <w:rtl/>
        </w:rPr>
        <w:t xml:space="preserve"> اللذ</w:t>
      </w:r>
      <w:r w:rsidR="00B24E52" w:rsidRPr="006571AC">
        <w:rPr>
          <w:rtl/>
        </w:rPr>
        <w:t>ّ</w:t>
      </w:r>
      <w:r w:rsidRPr="006571AC">
        <w:rPr>
          <w:rtl/>
        </w:rPr>
        <w:t>ة وبغض الألم</w:t>
      </w:r>
      <w:r w:rsidR="00B24E52" w:rsidRPr="006571AC">
        <w:rPr>
          <w:rtl/>
        </w:rPr>
        <w:t>،</w:t>
      </w:r>
      <w:r w:rsidRPr="006571AC">
        <w:rPr>
          <w:rtl/>
        </w:rPr>
        <w:t xml:space="preserve"> والمرتبط بطبيعة الحال بالضمير. ولا يمكن تكليف الإنسان أن يتحمل مختارا</w:t>
      </w:r>
      <w:r w:rsidR="00B24E52" w:rsidRPr="006571AC">
        <w:rPr>
          <w:rtl/>
        </w:rPr>
        <w:t>ً</w:t>
      </w:r>
      <w:r w:rsidRPr="006571AC">
        <w:rPr>
          <w:rtl/>
        </w:rPr>
        <w:t xml:space="preserve"> مرارة الألم</w:t>
      </w:r>
      <w:r w:rsidR="00B24E52" w:rsidRPr="006571AC">
        <w:rPr>
          <w:rtl/>
        </w:rPr>
        <w:t>،</w:t>
      </w:r>
      <w:r w:rsidRPr="006571AC">
        <w:rPr>
          <w:rtl/>
        </w:rPr>
        <w:t xml:space="preserve"> دون شيء</w:t>
      </w:r>
      <w:r w:rsidR="00B24E52" w:rsidRPr="006571AC">
        <w:rPr>
          <w:rtl/>
        </w:rPr>
        <w:t>ٍ</w:t>
      </w:r>
      <w:r w:rsidRPr="006571AC">
        <w:rPr>
          <w:rtl/>
        </w:rPr>
        <w:t xml:space="preserve"> من اللذة، في سبيل أن يلتذ</w:t>
      </w:r>
      <w:r w:rsidR="00B24E52" w:rsidRPr="006571AC">
        <w:rPr>
          <w:rtl/>
        </w:rPr>
        <w:t>ّ</w:t>
      </w:r>
      <w:r w:rsidRPr="006571AC">
        <w:rPr>
          <w:rtl/>
        </w:rPr>
        <w:t xml:space="preserve"> الآخرون وينعموا، إلا</w:t>
      </w:r>
      <w:r w:rsidR="00B24E52" w:rsidRPr="006571AC">
        <w:rPr>
          <w:rtl/>
        </w:rPr>
        <w:t>ّ</w:t>
      </w:r>
      <w:r w:rsidRPr="006571AC">
        <w:rPr>
          <w:rtl/>
        </w:rPr>
        <w:t xml:space="preserve"> إذا سلب</w:t>
      </w:r>
      <w:r w:rsidR="00B24E52" w:rsidRPr="006571AC">
        <w:rPr>
          <w:rtl/>
        </w:rPr>
        <w:t>َ</w:t>
      </w:r>
      <w:r w:rsidRPr="006571AC">
        <w:rPr>
          <w:rtl/>
        </w:rPr>
        <w:t>ت</w:t>
      </w:r>
      <w:r w:rsidR="00B24E52" w:rsidRPr="006571AC">
        <w:rPr>
          <w:rtl/>
        </w:rPr>
        <w:t>ْ</w:t>
      </w:r>
      <w:r w:rsidRPr="006571AC">
        <w:rPr>
          <w:rtl/>
        </w:rPr>
        <w:t xml:space="preserve"> منه إنسانيته، وأ</w:t>
      </w:r>
      <w:r w:rsidR="00B24E52" w:rsidRPr="006571AC">
        <w:rPr>
          <w:rtl/>
        </w:rPr>
        <w:t>ُ</w:t>
      </w:r>
      <w:r w:rsidRPr="006571AC">
        <w:rPr>
          <w:rtl/>
        </w:rPr>
        <w:t>عطي طبيعة</w:t>
      </w:r>
      <w:r w:rsidR="00B24E52" w:rsidRPr="006571AC">
        <w:rPr>
          <w:rtl/>
        </w:rPr>
        <w:t>ً</w:t>
      </w:r>
      <w:r w:rsidRPr="006571AC">
        <w:rPr>
          <w:rtl/>
        </w:rPr>
        <w:t xml:space="preserve"> جديدة</w:t>
      </w:r>
      <w:r w:rsidR="00B24E52" w:rsidRPr="006571AC">
        <w:rPr>
          <w:rtl/>
        </w:rPr>
        <w:t>،</w:t>
      </w:r>
      <w:r w:rsidRPr="006571AC">
        <w:rPr>
          <w:rtl/>
        </w:rPr>
        <w:t xml:space="preserve"> لا تتعش</w:t>
      </w:r>
      <w:r w:rsidR="00B24E52" w:rsidRPr="006571AC">
        <w:rPr>
          <w:rtl/>
        </w:rPr>
        <w:t>َّ</w:t>
      </w:r>
      <w:r w:rsidRPr="006571AC">
        <w:rPr>
          <w:rtl/>
        </w:rPr>
        <w:t>ق اللذ</w:t>
      </w:r>
      <w:r w:rsidR="00B24E52" w:rsidRPr="006571AC">
        <w:rPr>
          <w:rtl/>
        </w:rPr>
        <w:t>ّ</w:t>
      </w:r>
      <w:r w:rsidRPr="006571AC">
        <w:rPr>
          <w:rtl/>
        </w:rPr>
        <w:t>ة ولا تكره الألم...</w:t>
      </w:r>
      <w:r w:rsidRPr="006571AC">
        <w:rPr>
          <w:rFonts w:hint="eastAsia"/>
          <w:sz w:val="24"/>
          <w:szCs w:val="24"/>
          <w:rtl/>
        </w:rPr>
        <w:t>»</w:t>
      </w:r>
      <w:r w:rsidRPr="006571AC">
        <w:rPr>
          <w:vertAlign w:val="superscript"/>
          <w:rtl/>
        </w:rPr>
        <w:t>(</w:t>
      </w:r>
      <w:r w:rsidRPr="006571AC">
        <w:rPr>
          <w:rStyle w:val="ac"/>
          <w:rFonts w:ascii="Arial" w:hAnsi="Arial"/>
          <w:sz w:val="27"/>
          <w:rtl/>
        </w:rPr>
        <w:endnoteReference w:id="707"/>
      </w:r>
      <w:r w:rsidRPr="006571AC">
        <w:rPr>
          <w:vertAlign w:val="superscript"/>
          <w:rtl/>
        </w:rPr>
        <w:t>)</w:t>
      </w:r>
      <w:r w:rsidR="009B79FE" w:rsidRPr="006571AC">
        <w:rPr>
          <w:rFonts w:hint="cs"/>
          <w:rtl/>
        </w:rPr>
        <w:t>.</w:t>
      </w:r>
    </w:p>
    <w:p w:rsidR="0001386F" w:rsidRPr="006571AC" w:rsidRDefault="0001386F" w:rsidP="006C5D28">
      <w:pPr>
        <w:rPr>
          <w:rtl/>
        </w:rPr>
      </w:pPr>
      <w:r w:rsidRPr="006571AC">
        <w:rPr>
          <w:rtl/>
        </w:rPr>
        <w:t>يطرح الشهيد مرتضى مطه</w:t>
      </w:r>
      <w:r w:rsidR="00B24E52" w:rsidRPr="006571AC">
        <w:rPr>
          <w:rtl/>
        </w:rPr>
        <w:t>َّ</w:t>
      </w:r>
      <w:r w:rsidRPr="006571AC">
        <w:rPr>
          <w:rtl/>
        </w:rPr>
        <w:t>ري بحوث علم النفس المتعل</w:t>
      </w:r>
      <w:r w:rsidR="00B24E52" w:rsidRPr="006571AC">
        <w:rPr>
          <w:rtl/>
        </w:rPr>
        <w:t>ِّ</w:t>
      </w:r>
      <w:r w:rsidRPr="006571AC">
        <w:rPr>
          <w:rtl/>
        </w:rPr>
        <w:t>قة بضمائر الناس</w:t>
      </w:r>
      <w:r w:rsidR="00B24E52" w:rsidRPr="006571AC">
        <w:rPr>
          <w:rtl/>
        </w:rPr>
        <w:t>.</w:t>
      </w:r>
      <w:r w:rsidRPr="006571AC">
        <w:rPr>
          <w:rtl/>
        </w:rPr>
        <w:t xml:space="preserve"> وما يهمنا هنا هو المبحث الخاص</w:t>
      </w:r>
      <w:r w:rsidR="00B24E52" w:rsidRPr="006571AC">
        <w:rPr>
          <w:rtl/>
        </w:rPr>
        <w:t>ّ</w:t>
      </w:r>
      <w:r w:rsidRPr="006571AC">
        <w:rPr>
          <w:rtl/>
        </w:rPr>
        <w:t xml:space="preserve"> بالوجدان الأخلاقي حيث يتساءل الشهيد</w:t>
      </w:r>
      <w:r w:rsidR="00CC232C" w:rsidRPr="006571AC">
        <w:rPr>
          <w:rFonts w:ascii="Mosawi" w:hAnsi="Mosawi" w:cs="Mosawi"/>
          <w:rtl/>
        </w:rPr>
        <w:t>&amp;</w:t>
      </w:r>
      <w:r w:rsidRPr="006571AC">
        <w:rPr>
          <w:rtl/>
        </w:rPr>
        <w:t xml:space="preserve"> قائلا</w:t>
      </w:r>
      <w:r w:rsidR="00B24E52" w:rsidRPr="006571AC">
        <w:rPr>
          <w:rtl/>
        </w:rPr>
        <w:t>ً</w:t>
      </w:r>
      <w:r w:rsidRPr="006571AC">
        <w:rPr>
          <w:rtl/>
        </w:rPr>
        <w:t>: هل الإنسان قد خ</w:t>
      </w:r>
      <w:r w:rsidR="00B24E52" w:rsidRPr="006571AC">
        <w:rPr>
          <w:rtl/>
        </w:rPr>
        <w:t>ُ</w:t>
      </w:r>
      <w:r w:rsidRPr="006571AC">
        <w:rPr>
          <w:rtl/>
        </w:rPr>
        <w:t>لق فاعلا</w:t>
      </w:r>
      <w:r w:rsidR="00B24E52" w:rsidRPr="006571AC">
        <w:rPr>
          <w:rtl/>
        </w:rPr>
        <w:t>ً</w:t>
      </w:r>
      <w:r w:rsidRPr="006571AC">
        <w:rPr>
          <w:rtl/>
        </w:rPr>
        <w:t xml:space="preserve"> للخير بح</w:t>
      </w:r>
      <w:r w:rsidR="00B24E52" w:rsidRPr="006571AC">
        <w:rPr>
          <w:rtl/>
        </w:rPr>
        <w:t>َ</w:t>
      </w:r>
      <w:r w:rsidRPr="006571AC">
        <w:rPr>
          <w:rtl/>
        </w:rPr>
        <w:t>س</w:t>
      </w:r>
      <w:r w:rsidR="00B24E52" w:rsidRPr="006571AC">
        <w:rPr>
          <w:rtl/>
        </w:rPr>
        <w:t>َ</w:t>
      </w:r>
      <w:r w:rsidRPr="006571AC">
        <w:rPr>
          <w:rtl/>
        </w:rPr>
        <w:t>ب فطرته</w:t>
      </w:r>
      <w:r w:rsidR="00B24E52" w:rsidRPr="006571AC">
        <w:rPr>
          <w:rtl/>
        </w:rPr>
        <w:t>؟</w:t>
      </w:r>
      <w:r w:rsidRPr="006571AC">
        <w:rPr>
          <w:rtl/>
        </w:rPr>
        <w:t xml:space="preserve"> أي هل منح وجدانا</w:t>
      </w:r>
      <w:r w:rsidR="00B24E52" w:rsidRPr="006571AC">
        <w:rPr>
          <w:rtl/>
        </w:rPr>
        <w:t>ً</w:t>
      </w:r>
      <w:r w:rsidRPr="006571AC">
        <w:rPr>
          <w:rtl/>
        </w:rPr>
        <w:t xml:space="preserve"> يدعوه إلى فعل الخير ويأمره بالإحسان</w:t>
      </w:r>
      <w:r w:rsidR="00B24E52" w:rsidRPr="006571AC">
        <w:rPr>
          <w:rtl/>
        </w:rPr>
        <w:t>؟</w:t>
      </w:r>
      <w:r w:rsidRPr="006571AC">
        <w:rPr>
          <w:vertAlign w:val="superscript"/>
          <w:rtl/>
        </w:rPr>
        <w:t>(</w:t>
      </w:r>
      <w:r w:rsidRPr="006571AC">
        <w:rPr>
          <w:rStyle w:val="ac"/>
          <w:rFonts w:ascii="Arial" w:hAnsi="Arial"/>
          <w:sz w:val="27"/>
          <w:rtl/>
        </w:rPr>
        <w:endnoteReference w:id="708"/>
      </w:r>
      <w:r w:rsidRPr="006571AC">
        <w:rPr>
          <w:vertAlign w:val="superscript"/>
          <w:rtl/>
        </w:rPr>
        <w:t>)</w:t>
      </w:r>
      <w:r w:rsidR="00B24E52" w:rsidRPr="006571AC">
        <w:rPr>
          <w:rtl/>
        </w:rPr>
        <w:t>.</w:t>
      </w:r>
      <w:r w:rsidRPr="006571AC">
        <w:rPr>
          <w:rtl/>
        </w:rPr>
        <w:t xml:space="preserve"> </w:t>
      </w:r>
    </w:p>
    <w:p w:rsidR="00BC29E6" w:rsidRPr="006571AC" w:rsidRDefault="00BC29E6" w:rsidP="00BC29E6">
      <w:pPr>
        <w:spacing w:line="420" w:lineRule="exact"/>
        <w:rPr>
          <w:rFonts w:ascii="Arabic Typesetting" w:hAnsi="Arabic Typesetting"/>
          <w:sz w:val="27"/>
          <w:rtl/>
          <w:lang w:bidi="ar-LB"/>
        </w:rPr>
      </w:pPr>
    </w:p>
    <w:p w:rsidR="00202D8F" w:rsidRPr="006571AC" w:rsidRDefault="00202D8F" w:rsidP="00202D8F">
      <w:pPr>
        <w:pStyle w:val="31"/>
        <w:rPr>
          <w:color w:val="auto"/>
          <w:rtl/>
        </w:rPr>
      </w:pPr>
      <w:bookmarkStart w:id="422" w:name="_Toc114164830"/>
      <w:r w:rsidRPr="006571AC">
        <w:rPr>
          <w:color w:val="auto"/>
          <w:rtl/>
        </w:rPr>
        <w:t xml:space="preserve">نظريّة </w:t>
      </w:r>
      <w:r w:rsidRPr="006571AC">
        <w:rPr>
          <w:rFonts w:hint="eastAsia"/>
          <w:color w:val="auto"/>
          <w:rtl/>
        </w:rPr>
        <w:t>«</w:t>
      </w:r>
      <w:r w:rsidRPr="006571AC">
        <w:rPr>
          <w:color w:val="auto"/>
          <w:rtl/>
        </w:rPr>
        <w:t>كانْ</w:t>
      </w:r>
      <w:r w:rsidRPr="006571AC">
        <w:rPr>
          <w:rFonts w:hint="cs"/>
          <w:color w:val="auto"/>
          <w:rtl/>
        </w:rPr>
        <w:t>ت</w:t>
      </w:r>
      <w:r w:rsidRPr="006571AC">
        <w:rPr>
          <w:rFonts w:hint="eastAsia"/>
          <w:color w:val="auto"/>
          <w:sz w:val="26"/>
          <w:rtl/>
        </w:rPr>
        <w:t>»</w:t>
      </w:r>
      <w:r w:rsidRPr="006571AC">
        <w:rPr>
          <w:color w:val="auto"/>
          <w:rtl/>
        </w:rPr>
        <w:t xml:space="preserve"> حول الوجدان</w:t>
      </w:r>
      <w:r w:rsidRPr="006571AC">
        <w:rPr>
          <w:rFonts w:hint="cs"/>
          <w:color w:val="auto"/>
          <w:rtl/>
        </w:rPr>
        <w:t>، عرضٌ ونقاش</w:t>
      </w:r>
      <w:bookmarkEnd w:id="422"/>
    </w:p>
    <w:p w:rsidR="0001386F" w:rsidRPr="006571AC" w:rsidRDefault="0001386F" w:rsidP="009B79FE">
      <w:pPr>
        <w:rPr>
          <w:rtl/>
        </w:rPr>
      </w:pPr>
      <w:r w:rsidRPr="006571AC">
        <w:rPr>
          <w:rtl/>
        </w:rPr>
        <w:t>يناقش الشهيد مطه</w:t>
      </w:r>
      <w:r w:rsidR="00B24E52" w:rsidRPr="006571AC">
        <w:rPr>
          <w:rtl/>
        </w:rPr>
        <w:t>َّ</w:t>
      </w:r>
      <w:r w:rsidRPr="006571AC">
        <w:rPr>
          <w:rtl/>
        </w:rPr>
        <w:t xml:space="preserve">ري في هذا الصدد نظرية </w:t>
      </w:r>
      <w:r w:rsidRPr="006571AC">
        <w:rPr>
          <w:rFonts w:hint="eastAsia"/>
          <w:sz w:val="24"/>
          <w:szCs w:val="24"/>
          <w:rtl/>
        </w:rPr>
        <w:t>«</w:t>
      </w:r>
      <w:r w:rsidRPr="006571AC">
        <w:rPr>
          <w:rtl/>
        </w:rPr>
        <w:t>كان</w:t>
      </w:r>
      <w:r w:rsidR="00202D8F" w:rsidRPr="006571AC">
        <w:rPr>
          <w:rtl/>
        </w:rPr>
        <w:t>ْ</w:t>
      </w:r>
      <w:r w:rsidRPr="006571AC">
        <w:rPr>
          <w:rtl/>
        </w:rPr>
        <w:t>ت</w:t>
      </w:r>
      <w:r w:rsidRPr="006571AC">
        <w:rPr>
          <w:rFonts w:hint="eastAsia"/>
          <w:sz w:val="24"/>
          <w:szCs w:val="24"/>
          <w:rtl/>
        </w:rPr>
        <w:t>»</w:t>
      </w:r>
      <w:r w:rsidRPr="006571AC">
        <w:rPr>
          <w:rtl/>
        </w:rPr>
        <w:t xml:space="preserve"> حول الوجدان</w:t>
      </w:r>
      <w:r w:rsidR="00B24E52" w:rsidRPr="006571AC">
        <w:rPr>
          <w:rtl/>
        </w:rPr>
        <w:t>،</w:t>
      </w:r>
      <w:r w:rsidRPr="006571AC">
        <w:rPr>
          <w:rtl/>
        </w:rPr>
        <w:t xml:space="preserve"> حيث يعتقد </w:t>
      </w:r>
      <w:r w:rsidR="009B79FE" w:rsidRPr="006571AC">
        <w:rPr>
          <w:rFonts w:hint="eastAsia"/>
          <w:sz w:val="24"/>
          <w:szCs w:val="24"/>
          <w:rtl/>
        </w:rPr>
        <w:t>«</w:t>
      </w:r>
      <w:r w:rsidRPr="006571AC">
        <w:rPr>
          <w:rtl/>
        </w:rPr>
        <w:t>كان</w:t>
      </w:r>
      <w:r w:rsidR="009B79FE" w:rsidRPr="006571AC">
        <w:rPr>
          <w:rFonts w:hint="cs"/>
          <w:rtl/>
        </w:rPr>
        <w:t>ْ</w:t>
      </w:r>
      <w:r w:rsidRPr="006571AC">
        <w:rPr>
          <w:rtl/>
        </w:rPr>
        <w:t>ت</w:t>
      </w:r>
      <w:r w:rsidR="009B79FE" w:rsidRPr="006571AC">
        <w:rPr>
          <w:rFonts w:hint="eastAsia"/>
          <w:sz w:val="24"/>
          <w:szCs w:val="24"/>
          <w:rtl/>
        </w:rPr>
        <w:t>»</w:t>
      </w:r>
      <w:r w:rsidRPr="006571AC">
        <w:rPr>
          <w:rtl/>
        </w:rPr>
        <w:t xml:space="preserve"> بوجود حقائق تسبق التجربة. </w:t>
      </w:r>
    </w:p>
    <w:p w:rsidR="0001386F" w:rsidRPr="006571AC" w:rsidRDefault="0001386F" w:rsidP="006C5D28">
      <w:pPr>
        <w:rPr>
          <w:rtl/>
        </w:rPr>
      </w:pPr>
      <w:r w:rsidRPr="006571AC">
        <w:rPr>
          <w:rtl/>
        </w:rPr>
        <w:t>فالموضوع المطروح للبحث هو: هل أن جميع محتويات ذهن الإنسان وجميع ذخائره الفكرية والوجدانية مأخوذة</w:t>
      </w:r>
      <w:r w:rsidR="00B24E52" w:rsidRPr="006571AC">
        <w:rPr>
          <w:rtl/>
        </w:rPr>
        <w:t>ٌ</w:t>
      </w:r>
      <w:r w:rsidRPr="006571AC">
        <w:rPr>
          <w:rtl/>
        </w:rPr>
        <w:t xml:space="preserve"> من أحاسيسه وتجاربه</w:t>
      </w:r>
      <w:r w:rsidR="00B24E52" w:rsidRPr="006571AC">
        <w:rPr>
          <w:rtl/>
        </w:rPr>
        <w:t>،</w:t>
      </w:r>
      <w:r w:rsidRPr="006571AC">
        <w:rPr>
          <w:rtl/>
        </w:rPr>
        <w:t xml:space="preserve"> بحيث لم تكن موجودة عنده من بداية خلقته</w:t>
      </w:r>
      <w:r w:rsidR="00CC232C" w:rsidRPr="006571AC">
        <w:rPr>
          <w:rtl/>
        </w:rPr>
        <w:t>،</w:t>
      </w:r>
      <w:r w:rsidRPr="006571AC">
        <w:rPr>
          <w:rtl/>
        </w:rPr>
        <w:t xml:space="preserve"> وقد حصل عليها عن طريق الحواس</w:t>
      </w:r>
      <w:r w:rsidR="009B79FE" w:rsidRPr="006571AC">
        <w:rPr>
          <w:rFonts w:hint="cs"/>
          <w:rtl/>
        </w:rPr>
        <w:t>ّ</w:t>
      </w:r>
      <w:r w:rsidR="00CC232C" w:rsidRPr="006571AC">
        <w:rPr>
          <w:rtl/>
        </w:rPr>
        <w:t>،</w:t>
      </w:r>
      <w:r w:rsidRPr="006571AC">
        <w:rPr>
          <w:rtl/>
        </w:rPr>
        <w:t xml:space="preserve"> أم أن هناك مجموعة</w:t>
      </w:r>
      <w:r w:rsidR="00CC232C" w:rsidRPr="006571AC">
        <w:rPr>
          <w:rtl/>
        </w:rPr>
        <w:t>ً</w:t>
      </w:r>
      <w:r w:rsidRPr="006571AC">
        <w:rPr>
          <w:rtl/>
        </w:rPr>
        <w:t xml:space="preserve"> من الأحكام كانت مرافقة</w:t>
      </w:r>
      <w:r w:rsidR="00CC232C" w:rsidRPr="006571AC">
        <w:rPr>
          <w:rtl/>
        </w:rPr>
        <w:t>ً</w:t>
      </w:r>
      <w:r w:rsidRPr="006571AC">
        <w:rPr>
          <w:rtl/>
        </w:rPr>
        <w:t xml:space="preserve"> لذهن الإنسان منذ البداية</w:t>
      </w:r>
      <w:r w:rsidR="00CC232C" w:rsidRPr="006571AC">
        <w:rPr>
          <w:rtl/>
        </w:rPr>
        <w:t>،</w:t>
      </w:r>
      <w:r w:rsidRPr="006571AC">
        <w:rPr>
          <w:rtl/>
        </w:rPr>
        <w:t xml:space="preserve"> وهي مغروسة</w:t>
      </w:r>
      <w:r w:rsidR="009B79FE" w:rsidRPr="006571AC">
        <w:rPr>
          <w:rFonts w:hint="cs"/>
          <w:rtl/>
        </w:rPr>
        <w:t>ٌ</w:t>
      </w:r>
      <w:r w:rsidRPr="006571AC">
        <w:rPr>
          <w:rtl/>
        </w:rPr>
        <w:t xml:space="preserve"> في أعماقه؟</w:t>
      </w:r>
      <w:r w:rsidR="00CC232C" w:rsidRPr="006571AC">
        <w:rPr>
          <w:vertAlign w:val="superscript"/>
          <w:rtl/>
        </w:rPr>
        <w:t>(</w:t>
      </w:r>
      <w:r w:rsidR="00CC232C" w:rsidRPr="006571AC">
        <w:rPr>
          <w:rStyle w:val="ac"/>
          <w:rFonts w:ascii="Arial" w:hAnsi="Arial"/>
          <w:sz w:val="27"/>
          <w:rtl/>
        </w:rPr>
        <w:endnoteReference w:id="709"/>
      </w:r>
      <w:r w:rsidR="00CC232C" w:rsidRPr="006571AC">
        <w:rPr>
          <w:vertAlign w:val="superscript"/>
          <w:rtl/>
        </w:rPr>
        <w:t>)</w:t>
      </w:r>
      <w:r w:rsidR="00CC232C" w:rsidRPr="006571AC">
        <w:rPr>
          <w:rtl/>
        </w:rPr>
        <w:t>.</w:t>
      </w:r>
    </w:p>
    <w:p w:rsidR="0001386F" w:rsidRPr="006571AC" w:rsidRDefault="0001386F" w:rsidP="006C5D28">
      <w:pPr>
        <w:rPr>
          <w:rtl/>
        </w:rPr>
      </w:pPr>
      <w:r w:rsidRPr="006571AC">
        <w:rPr>
          <w:rtl/>
        </w:rPr>
        <w:t>وفي عرضه للإجابة يشرح الشهيد</w:t>
      </w:r>
      <w:r w:rsidR="00CC232C" w:rsidRPr="006571AC">
        <w:rPr>
          <w:rFonts w:ascii="Mosawi" w:hAnsi="Mosawi" w:cs="Mosawi"/>
          <w:rtl/>
        </w:rPr>
        <w:t>&amp;</w:t>
      </w:r>
      <w:r w:rsidRPr="006571AC">
        <w:rPr>
          <w:rtl/>
        </w:rPr>
        <w:t xml:space="preserve"> أن هناك </w:t>
      </w:r>
      <w:r w:rsidR="00CC232C" w:rsidRPr="006571AC">
        <w:rPr>
          <w:rtl/>
        </w:rPr>
        <w:t>رأيين</w:t>
      </w:r>
      <w:r w:rsidRPr="006571AC">
        <w:rPr>
          <w:rtl/>
        </w:rPr>
        <w:t xml:space="preserve"> حول هذا الموضوع: </w:t>
      </w:r>
    </w:p>
    <w:p w:rsidR="0001386F" w:rsidRPr="006571AC" w:rsidRDefault="0001386F" w:rsidP="006C5D28">
      <w:pPr>
        <w:rPr>
          <w:rtl/>
        </w:rPr>
      </w:pPr>
      <w:r w:rsidRPr="006571AC">
        <w:rPr>
          <w:b/>
          <w:bCs/>
          <w:rtl/>
        </w:rPr>
        <w:t>أحده</w:t>
      </w:r>
      <w:r w:rsidR="00CC232C" w:rsidRPr="006571AC">
        <w:rPr>
          <w:b/>
          <w:bCs/>
          <w:rtl/>
        </w:rPr>
        <w:t>م</w:t>
      </w:r>
      <w:r w:rsidRPr="006571AC">
        <w:rPr>
          <w:b/>
          <w:bCs/>
          <w:rtl/>
        </w:rPr>
        <w:t>ا</w:t>
      </w:r>
      <w:r w:rsidRPr="006571AC">
        <w:rPr>
          <w:rtl/>
        </w:rPr>
        <w:t xml:space="preserve">: </w:t>
      </w:r>
      <w:r w:rsidR="00CC232C" w:rsidRPr="006571AC">
        <w:rPr>
          <w:rtl/>
        </w:rPr>
        <w:t>إ</w:t>
      </w:r>
      <w:r w:rsidRPr="006571AC">
        <w:rPr>
          <w:rtl/>
        </w:rPr>
        <w:t>ن ذهن الإنسان كمخزن كان فارغا</w:t>
      </w:r>
      <w:r w:rsidR="00CC232C" w:rsidRPr="006571AC">
        <w:rPr>
          <w:rtl/>
        </w:rPr>
        <w:t>ً</w:t>
      </w:r>
      <w:r w:rsidRPr="006571AC">
        <w:rPr>
          <w:rtl/>
        </w:rPr>
        <w:t xml:space="preserve"> في بداية الأمر، ثم</w:t>
      </w:r>
      <w:r w:rsidR="00CC232C" w:rsidRPr="006571AC">
        <w:rPr>
          <w:rtl/>
        </w:rPr>
        <w:t>ّ</w:t>
      </w:r>
      <w:r w:rsidRPr="006571AC">
        <w:rPr>
          <w:rtl/>
        </w:rPr>
        <w:t xml:space="preserve"> أ</w:t>
      </w:r>
      <w:r w:rsidR="00CC232C" w:rsidRPr="006571AC">
        <w:rPr>
          <w:rtl/>
        </w:rPr>
        <w:t>ُ</w:t>
      </w:r>
      <w:r w:rsidRPr="006571AC">
        <w:rPr>
          <w:rtl/>
        </w:rPr>
        <w:t>لقيت في هذا المخزن أشياء عن طريق الحواسّ، وهو لا يحتوي شيئا</w:t>
      </w:r>
      <w:r w:rsidR="00CC232C" w:rsidRPr="006571AC">
        <w:rPr>
          <w:rtl/>
        </w:rPr>
        <w:t>ً</w:t>
      </w:r>
      <w:r w:rsidRPr="006571AC">
        <w:rPr>
          <w:rtl/>
        </w:rPr>
        <w:t xml:space="preserve"> قد جاءه عن غير هذا الطريق. </w:t>
      </w:r>
    </w:p>
    <w:p w:rsidR="00CC232C" w:rsidRPr="006571AC" w:rsidRDefault="0001386F" w:rsidP="006C5D28">
      <w:pPr>
        <w:rPr>
          <w:rtl/>
        </w:rPr>
      </w:pPr>
      <w:r w:rsidRPr="006571AC">
        <w:rPr>
          <w:b/>
          <w:bCs/>
          <w:rtl/>
        </w:rPr>
        <w:t>وال</w:t>
      </w:r>
      <w:r w:rsidR="00CC232C" w:rsidRPr="006571AC">
        <w:rPr>
          <w:b/>
          <w:bCs/>
          <w:rtl/>
        </w:rPr>
        <w:t>آ</w:t>
      </w:r>
      <w:r w:rsidRPr="006571AC">
        <w:rPr>
          <w:b/>
          <w:bCs/>
          <w:rtl/>
        </w:rPr>
        <w:t>خر</w:t>
      </w:r>
      <w:r w:rsidRPr="006571AC">
        <w:rPr>
          <w:rtl/>
        </w:rPr>
        <w:t>: إن ما هو مخزون</w:t>
      </w:r>
      <w:r w:rsidR="00CC232C" w:rsidRPr="006571AC">
        <w:rPr>
          <w:rtl/>
        </w:rPr>
        <w:t>ٌ</w:t>
      </w:r>
      <w:r w:rsidRPr="006571AC">
        <w:rPr>
          <w:rtl/>
        </w:rPr>
        <w:t xml:space="preserve"> في ذهن الإنسان ينقسم إلى قسمين: أحدهما</w:t>
      </w:r>
      <w:r w:rsidR="00CC232C" w:rsidRPr="006571AC">
        <w:rPr>
          <w:rtl/>
        </w:rPr>
        <w:t>:</w:t>
      </w:r>
      <w:r w:rsidRPr="006571AC">
        <w:rPr>
          <w:rtl/>
        </w:rPr>
        <w:t xml:space="preserve"> يضم</w:t>
      </w:r>
      <w:r w:rsidR="00CC232C" w:rsidRPr="006571AC">
        <w:rPr>
          <w:rtl/>
        </w:rPr>
        <w:t>ّ</w:t>
      </w:r>
      <w:r w:rsidRPr="006571AC">
        <w:rPr>
          <w:rtl/>
        </w:rPr>
        <w:t xml:space="preserve"> ما جاءه عن طريق هذه الحواس</w:t>
      </w:r>
      <w:r w:rsidR="009B79FE" w:rsidRPr="006571AC">
        <w:rPr>
          <w:rFonts w:hint="cs"/>
          <w:rtl/>
        </w:rPr>
        <w:t>ّ</w:t>
      </w:r>
      <w:r w:rsidRPr="006571AC">
        <w:rPr>
          <w:rtl/>
        </w:rPr>
        <w:t xml:space="preserve"> الظاهرية</w:t>
      </w:r>
      <w:r w:rsidR="00CC232C" w:rsidRPr="006571AC">
        <w:rPr>
          <w:rtl/>
        </w:rPr>
        <w:t>؛</w:t>
      </w:r>
      <w:r w:rsidRPr="006571AC">
        <w:rPr>
          <w:rtl/>
        </w:rPr>
        <w:t xml:space="preserve"> والثاني</w:t>
      </w:r>
      <w:r w:rsidR="00CC232C" w:rsidRPr="006571AC">
        <w:rPr>
          <w:rtl/>
        </w:rPr>
        <w:t>:</w:t>
      </w:r>
      <w:r w:rsidRPr="006571AC">
        <w:rPr>
          <w:rtl/>
        </w:rPr>
        <w:t xml:space="preserve"> يشمل ما كان موجودا</w:t>
      </w:r>
      <w:r w:rsidR="00CC232C" w:rsidRPr="006571AC">
        <w:rPr>
          <w:rtl/>
        </w:rPr>
        <w:t>ً في الذهن قبل الإحساس.</w:t>
      </w:r>
    </w:p>
    <w:p w:rsidR="0001386F" w:rsidRPr="006571AC" w:rsidRDefault="0001386F" w:rsidP="006C5D28">
      <w:pPr>
        <w:rPr>
          <w:rtl/>
        </w:rPr>
      </w:pPr>
      <w:r w:rsidRPr="006571AC">
        <w:rPr>
          <w:rtl/>
        </w:rPr>
        <w:t xml:space="preserve">وقد اختار </w:t>
      </w:r>
      <w:r w:rsidRPr="006571AC">
        <w:rPr>
          <w:rFonts w:hint="eastAsia"/>
          <w:sz w:val="24"/>
          <w:szCs w:val="24"/>
          <w:rtl/>
        </w:rPr>
        <w:t>«</w:t>
      </w:r>
      <w:r w:rsidRPr="006571AC">
        <w:rPr>
          <w:rtl/>
        </w:rPr>
        <w:t>كان</w:t>
      </w:r>
      <w:r w:rsidR="00202D8F" w:rsidRPr="006571AC">
        <w:rPr>
          <w:rtl/>
        </w:rPr>
        <w:t>ْ</w:t>
      </w:r>
      <w:r w:rsidRPr="006571AC">
        <w:rPr>
          <w:rtl/>
        </w:rPr>
        <w:t>ت</w:t>
      </w:r>
      <w:r w:rsidRPr="006571AC">
        <w:rPr>
          <w:rFonts w:hint="eastAsia"/>
          <w:sz w:val="24"/>
          <w:szCs w:val="24"/>
          <w:rtl/>
        </w:rPr>
        <w:t>»</w:t>
      </w:r>
      <w:r w:rsidRPr="006571AC">
        <w:rPr>
          <w:rtl/>
        </w:rPr>
        <w:t xml:space="preserve"> ـ ح</w:t>
      </w:r>
      <w:r w:rsidR="00CC232C" w:rsidRPr="006571AC">
        <w:rPr>
          <w:rtl/>
        </w:rPr>
        <w:t>َ</w:t>
      </w:r>
      <w:r w:rsidRPr="006571AC">
        <w:rPr>
          <w:rtl/>
        </w:rPr>
        <w:t>س</w:t>
      </w:r>
      <w:r w:rsidR="00CC232C" w:rsidRPr="006571AC">
        <w:rPr>
          <w:rtl/>
        </w:rPr>
        <w:t>ْ</w:t>
      </w:r>
      <w:r w:rsidRPr="006571AC">
        <w:rPr>
          <w:rtl/>
        </w:rPr>
        <w:t>ب الشهيد مطه</w:t>
      </w:r>
      <w:r w:rsidR="00124D2B" w:rsidRPr="006571AC">
        <w:rPr>
          <w:rtl/>
        </w:rPr>
        <w:t>َّ</w:t>
      </w:r>
      <w:r w:rsidRPr="006571AC">
        <w:rPr>
          <w:rtl/>
        </w:rPr>
        <w:t>ري ـ الرأي الثاني، فهو يعتقد بوجود الحقائق السابقة للتجربة</w:t>
      </w:r>
      <w:r w:rsidRPr="006571AC">
        <w:rPr>
          <w:vertAlign w:val="superscript"/>
          <w:rtl/>
        </w:rPr>
        <w:t>(</w:t>
      </w:r>
      <w:r w:rsidRPr="006571AC">
        <w:rPr>
          <w:rStyle w:val="ac"/>
          <w:rFonts w:ascii="Arial" w:hAnsi="Arial"/>
          <w:sz w:val="27"/>
          <w:rtl/>
        </w:rPr>
        <w:endnoteReference w:id="710"/>
      </w:r>
      <w:r w:rsidRPr="006571AC">
        <w:rPr>
          <w:vertAlign w:val="superscript"/>
          <w:rtl/>
        </w:rPr>
        <w:t>)</w:t>
      </w:r>
      <w:r w:rsidRPr="006571AC">
        <w:rPr>
          <w:rtl/>
        </w:rPr>
        <w:t xml:space="preserve">. </w:t>
      </w:r>
    </w:p>
    <w:p w:rsidR="00AA1C09" w:rsidRPr="006571AC" w:rsidRDefault="0001386F" w:rsidP="006C5D28">
      <w:pPr>
        <w:rPr>
          <w:rtl/>
          <w:lang w:val="en-GB"/>
        </w:rPr>
      </w:pPr>
      <w:r w:rsidRPr="006571AC">
        <w:rPr>
          <w:rtl/>
        </w:rPr>
        <w:lastRenderedPageBreak/>
        <w:t>وناقش الشهيد مطه</w:t>
      </w:r>
      <w:r w:rsidR="00CC232C" w:rsidRPr="006571AC">
        <w:rPr>
          <w:rtl/>
        </w:rPr>
        <w:t>َّ</w:t>
      </w:r>
      <w:r w:rsidRPr="006571AC">
        <w:rPr>
          <w:rtl/>
        </w:rPr>
        <w:t xml:space="preserve">ري آراء </w:t>
      </w:r>
      <w:r w:rsidR="00CB3B21" w:rsidRPr="006571AC">
        <w:rPr>
          <w:rFonts w:hint="eastAsia"/>
          <w:sz w:val="24"/>
          <w:szCs w:val="24"/>
          <w:rtl/>
        </w:rPr>
        <w:t>«</w:t>
      </w:r>
      <w:r w:rsidR="00CB3B21" w:rsidRPr="006571AC">
        <w:rPr>
          <w:rtl/>
        </w:rPr>
        <w:t>كانْت</w:t>
      </w:r>
      <w:r w:rsidR="00CB3B21" w:rsidRPr="006571AC">
        <w:rPr>
          <w:rFonts w:hint="eastAsia"/>
          <w:sz w:val="24"/>
          <w:szCs w:val="24"/>
          <w:rtl/>
        </w:rPr>
        <w:t>»</w:t>
      </w:r>
      <w:r w:rsidR="00AA1C09" w:rsidRPr="006571AC">
        <w:rPr>
          <w:rtl/>
        </w:rPr>
        <w:t xml:space="preserve">. </w:t>
      </w:r>
      <w:r w:rsidRPr="006571AC">
        <w:rPr>
          <w:rtl/>
        </w:rPr>
        <w:t>ف</w:t>
      </w:r>
      <w:r w:rsidR="00CB3B21" w:rsidRPr="006571AC">
        <w:rPr>
          <w:rtl/>
        </w:rPr>
        <w:t xml:space="preserve">ـ </w:t>
      </w:r>
      <w:r w:rsidR="00CB3B21" w:rsidRPr="006571AC">
        <w:rPr>
          <w:rFonts w:hint="eastAsia"/>
          <w:sz w:val="24"/>
          <w:szCs w:val="24"/>
          <w:rtl/>
        </w:rPr>
        <w:t>«</w:t>
      </w:r>
      <w:r w:rsidR="00CB3B21" w:rsidRPr="006571AC">
        <w:rPr>
          <w:rtl/>
        </w:rPr>
        <w:t>كانْت</w:t>
      </w:r>
      <w:r w:rsidR="00CB3B21" w:rsidRPr="006571AC">
        <w:rPr>
          <w:rFonts w:hint="eastAsia"/>
          <w:sz w:val="24"/>
          <w:szCs w:val="24"/>
          <w:rtl/>
        </w:rPr>
        <w:t>»</w:t>
      </w:r>
      <w:r w:rsidRPr="006571AC">
        <w:rPr>
          <w:rtl/>
        </w:rPr>
        <w:t xml:space="preserve"> يقول</w:t>
      </w:r>
      <w:r w:rsidR="00AA1C09" w:rsidRPr="006571AC">
        <w:rPr>
          <w:rtl/>
        </w:rPr>
        <w:t>:</w:t>
      </w:r>
      <w:r w:rsidRPr="006571AC">
        <w:rPr>
          <w:rtl/>
        </w:rPr>
        <w:t xml:space="preserve"> إن الوجدان أو العقل العملي يتضم</w:t>
      </w:r>
      <w:r w:rsidR="00AA1C09" w:rsidRPr="006571AC">
        <w:rPr>
          <w:rtl/>
        </w:rPr>
        <w:t>ّ</w:t>
      </w:r>
      <w:r w:rsidRPr="006571AC">
        <w:rPr>
          <w:rtl/>
        </w:rPr>
        <w:t>ن مجموعة</w:t>
      </w:r>
      <w:r w:rsidR="00AA1C09" w:rsidRPr="006571AC">
        <w:rPr>
          <w:rtl/>
        </w:rPr>
        <w:t>ً</w:t>
      </w:r>
      <w:r w:rsidRPr="006571AC">
        <w:rPr>
          <w:rtl/>
        </w:rPr>
        <w:t xml:space="preserve"> من الأحكام القبلية، أي التي لم يحصل عليها الإنسان من طريق الحس</w:t>
      </w:r>
      <w:r w:rsidR="00AA1C09" w:rsidRPr="006571AC">
        <w:rPr>
          <w:rtl/>
        </w:rPr>
        <w:t>ّ</w:t>
      </w:r>
      <w:r w:rsidRPr="006571AC">
        <w:rPr>
          <w:rtl/>
        </w:rPr>
        <w:t xml:space="preserve"> والتجربة، وإنما </w:t>
      </w:r>
      <w:r w:rsidR="00AA1C09" w:rsidRPr="006571AC">
        <w:rPr>
          <w:rtl/>
        </w:rPr>
        <w:t xml:space="preserve">هي </w:t>
      </w:r>
      <w:r w:rsidRPr="006571AC">
        <w:rPr>
          <w:rtl/>
        </w:rPr>
        <w:t>جزء</w:t>
      </w:r>
      <w:r w:rsidR="00AA1C09" w:rsidRPr="006571AC">
        <w:rPr>
          <w:rtl/>
        </w:rPr>
        <w:t>ٌ</w:t>
      </w:r>
      <w:r w:rsidRPr="006571AC">
        <w:rPr>
          <w:rtl/>
        </w:rPr>
        <w:t xml:space="preserve"> من فطرته وكيانه. </w:t>
      </w:r>
      <w:r w:rsidRPr="006571AC">
        <w:rPr>
          <w:rtl/>
          <w:lang w:val="en-GB"/>
        </w:rPr>
        <w:t>ويطرح مثالا</w:t>
      </w:r>
      <w:r w:rsidR="00AA1C09" w:rsidRPr="006571AC">
        <w:rPr>
          <w:rtl/>
          <w:lang w:val="en-GB"/>
        </w:rPr>
        <w:t>ً</w:t>
      </w:r>
      <w:r w:rsidRPr="006571AC">
        <w:rPr>
          <w:rtl/>
          <w:lang w:val="en-GB"/>
        </w:rPr>
        <w:t xml:space="preserve"> حول الصدق</w:t>
      </w:r>
      <w:r w:rsidR="00AA1C09" w:rsidRPr="006571AC">
        <w:rPr>
          <w:rtl/>
          <w:lang w:val="en-GB"/>
        </w:rPr>
        <w:t>،</w:t>
      </w:r>
      <w:r w:rsidRPr="006571AC">
        <w:rPr>
          <w:rtl/>
          <w:lang w:val="en-GB"/>
        </w:rPr>
        <w:t xml:space="preserve"> قائلا</w:t>
      </w:r>
      <w:r w:rsidR="00AA1C09" w:rsidRPr="006571AC">
        <w:rPr>
          <w:rtl/>
          <w:lang w:val="en-GB"/>
        </w:rPr>
        <w:t>ً</w:t>
      </w:r>
      <w:r w:rsidRPr="006571AC">
        <w:rPr>
          <w:rtl/>
          <w:lang w:val="en-GB"/>
        </w:rPr>
        <w:t>: الأمر بأننا يجب أن نكون صادقين</w:t>
      </w:r>
      <w:r w:rsidR="00AA1C09" w:rsidRPr="006571AC">
        <w:rPr>
          <w:rtl/>
          <w:lang w:val="en-GB"/>
        </w:rPr>
        <w:t>،</w:t>
      </w:r>
      <w:r w:rsidRPr="006571AC">
        <w:rPr>
          <w:rtl/>
          <w:lang w:val="en-GB"/>
        </w:rPr>
        <w:t xml:space="preserve"> وأ</w:t>
      </w:r>
      <w:r w:rsidR="00AA1C09" w:rsidRPr="006571AC">
        <w:rPr>
          <w:rtl/>
          <w:lang w:val="en-GB"/>
        </w:rPr>
        <w:t xml:space="preserve">ن </w:t>
      </w:r>
      <w:r w:rsidRPr="006571AC">
        <w:rPr>
          <w:rtl/>
          <w:lang w:val="en-GB"/>
        </w:rPr>
        <w:t>لا نكون كاذبين</w:t>
      </w:r>
      <w:r w:rsidR="00AA1C09" w:rsidRPr="006571AC">
        <w:rPr>
          <w:rtl/>
          <w:lang w:val="en-GB"/>
        </w:rPr>
        <w:t>،</w:t>
      </w:r>
      <w:r w:rsidRPr="006571AC">
        <w:rPr>
          <w:rtl/>
          <w:lang w:val="en-GB"/>
        </w:rPr>
        <w:t xml:space="preserve"> هو أمر</w:t>
      </w:r>
      <w:r w:rsidR="00AA1C09" w:rsidRPr="006571AC">
        <w:rPr>
          <w:rtl/>
          <w:lang w:val="en-GB"/>
        </w:rPr>
        <w:t>ٌ</w:t>
      </w:r>
      <w:r w:rsidRPr="006571AC">
        <w:rPr>
          <w:rtl/>
          <w:lang w:val="en-GB"/>
        </w:rPr>
        <w:t xml:space="preserve"> موجود في ضمير الإنسان قبل أن تكون له تجربة</w:t>
      </w:r>
      <w:r w:rsidR="00AA1C09" w:rsidRPr="006571AC">
        <w:rPr>
          <w:rtl/>
          <w:lang w:val="en-GB"/>
        </w:rPr>
        <w:t>ٌ</w:t>
      </w:r>
      <w:r w:rsidRPr="006571AC">
        <w:rPr>
          <w:rtl/>
          <w:lang w:val="en-GB"/>
        </w:rPr>
        <w:t xml:space="preserve"> في مجال الصدق والكذب، وهو أمر</w:t>
      </w:r>
      <w:r w:rsidR="00AA1C09" w:rsidRPr="006571AC">
        <w:rPr>
          <w:rtl/>
          <w:lang w:val="en-GB"/>
        </w:rPr>
        <w:t>ٌ</w:t>
      </w:r>
      <w:r w:rsidRPr="006571AC">
        <w:rPr>
          <w:rtl/>
          <w:lang w:val="en-GB"/>
        </w:rPr>
        <w:t xml:space="preserve"> فطري لا علاقة له بالحس</w:t>
      </w:r>
      <w:r w:rsidR="00AA1C09" w:rsidRPr="006571AC">
        <w:rPr>
          <w:rtl/>
          <w:lang w:val="en-GB"/>
        </w:rPr>
        <w:t>ّ</w:t>
      </w:r>
      <w:r w:rsidRPr="006571AC">
        <w:rPr>
          <w:rtl/>
          <w:lang w:val="en-GB"/>
        </w:rPr>
        <w:t xml:space="preserve"> والتجربة، وهو أمر</w:t>
      </w:r>
      <w:r w:rsidR="00AA1C09" w:rsidRPr="006571AC">
        <w:rPr>
          <w:rtl/>
          <w:lang w:val="en-GB"/>
        </w:rPr>
        <w:t>ٌ</w:t>
      </w:r>
      <w:r w:rsidRPr="006571AC">
        <w:rPr>
          <w:rtl/>
          <w:lang w:val="en-GB"/>
        </w:rPr>
        <w:t xml:space="preserve"> مطبق لا يتوق</w:t>
      </w:r>
      <w:r w:rsidR="00AA1C09" w:rsidRPr="006571AC">
        <w:rPr>
          <w:rtl/>
          <w:lang w:val="en-GB"/>
        </w:rPr>
        <w:t>َّ</w:t>
      </w:r>
      <w:r w:rsidRPr="006571AC">
        <w:rPr>
          <w:rtl/>
          <w:lang w:val="en-GB"/>
        </w:rPr>
        <w:t>ف على نتائج الأعمال، معتبرا</w:t>
      </w:r>
      <w:r w:rsidR="00AA1C09" w:rsidRPr="006571AC">
        <w:rPr>
          <w:rtl/>
          <w:lang w:val="en-GB"/>
        </w:rPr>
        <w:t>ً</w:t>
      </w:r>
      <w:r w:rsidRPr="006571AC">
        <w:rPr>
          <w:rtl/>
          <w:lang w:val="en-GB"/>
        </w:rPr>
        <w:t xml:space="preserve"> أن الوجدان الأخلاقي لا يعير بالاً لأي</w:t>
      </w:r>
      <w:r w:rsidR="00AA1C09" w:rsidRPr="006571AC">
        <w:rPr>
          <w:rtl/>
          <w:lang w:val="en-GB"/>
        </w:rPr>
        <w:t>ّ</w:t>
      </w:r>
      <w:r w:rsidRPr="006571AC">
        <w:rPr>
          <w:rtl/>
          <w:lang w:val="en-GB"/>
        </w:rPr>
        <w:t xml:space="preserve"> نتائج مترت</w:t>
      </w:r>
      <w:r w:rsidR="00AA1C09" w:rsidRPr="006571AC">
        <w:rPr>
          <w:rtl/>
          <w:lang w:val="en-GB"/>
        </w:rPr>
        <w:t>ِّ</w:t>
      </w:r>
      <w:r w:rsidRPr="006571AC">
        <w:rPr>
          <w:rtl/>
          <w:lang w:val="en-GB"/>
        </w:rPr>
        <w:t>بة على الكذب والصدق، ولكن</w:t>
      </w:r>
      <w:r w:rsidR="00AA1C09" w:rsidRPr="006571AC">
        <w:rPr>
          <w:rtl/>
          <w:lang w:val="en-GB"/>
        </w:rPr>
        <w:t>ّ</w:t>
      </w:r>
      <w:r w:rsidRPr="006571AC">
        <w:rPr>
          <w:rtl/>
          <w:lang w:val="en-GB"/>
        </w:rPr>
        <w:t xml:space="preserve"> العقل هو الذي يهتم</w:t>
      </w:r>
      <w:r w:rsidR="00AA1C09" w:rsidRPr="006571AC">
        <w:rPr>
          <w:rtl/>
          <w:lang w:val="en-GB"/>
        </w:rPr>
        <w:t>ّ</w:t>
      </w:r>
      <w:r w:rsidRPr="006571AC">
        <w:rPr>
          <w:rtl/>
          <w:lang w:val="en-GB"/>
        </w:rPr>
        <w:t xml:space="preserve"> بالمصلحة، فهو يأمر بالشيء حينما يدور حول محور المصلحة، وبمجرد أن تنتفي المصلحة فإن العقل يكف</w:t>
      </w:r>
      <w:r w:rsidR="00AA1C09" w:rsidRPr="006571AC">
        <w:rPr>
          <w:rtl/>
          <w:lang w:val="en-GB"/>
        </w:rPr>
        <w:t>ّ عن حكمه وأمره.</w:t>
      </w:r>
    </w:p>
    <w:p w:rsidR="0001386F" w:rsidRPr="006571AC" w:rsidRDefault="0001386F" w:rsidP="009B79FE">
      <w:pPr>
        <w:rPr>
          <w:rtl/>
          <w:lang w:val="en-GB"/>
        </w:rPr>
      </w:pPr>
      <w:r w:rsidRPr="006571AC">
        <w:rPr>
          <w:rtl/>
          <w:lang w:val="en-GB"/>
        </w:rPr>
        <w:t>وقد ناقش الشهيد السعيد</w:t>
      </w:r>
      <w:r w:rsidR="00124D2B" w:rsidRPr="006571AC">
        <w:rPr>
          <w:rtl/>
          <w:lang w:val="en-GB"/>
        </w:rPr>
        <w:t>،</w:t>
      </w:r>
      <w:r w:rsidRPr="006571AC">
        <w:rPr>
          <w:rtl/>
          <w:lang w:val="en-GB"/>
        </w:rPr>
        <w:t xml:space="preserve"> في نقده لهذه النظرية</w:t>
      </w:r>
      <w:r w:rsidR="00124D2B" w:rsidRPr="006571AC">
        <w:rPr>
          <w:rtl/>
          <w:lang w:val="en-GB"/>
        </w:rPr>
        <w:t>،</w:t>
      </w:r>
      <w:r w:rsidRPr="006571AC">
        <w:rPr>
          <w:rtl/>
          <w:lang w:val="en-GB"/>
        </w:rPr>
        <w:t xml:space="preserve"> قائلا</w:t>
      </w:r>
      <w:r w:rsidR="00AA1C09" w:rsidRPr="006571AC">
        <w:rPr>
          <w:rtl/>
          <w:lang w:val="en-GB"/>
        </w:rPr>
        <w:t>ً</w:t>
      </w:r>
      <w:r w:rsidRPr="006571AC">
        <w:rPr>
          <w:rtl/>
          <w:lang w:val="en-GB"/>
        </w:rPr>
        <w:t>: في هذه النظرية احت</w:t>
      </w:r>
      <w:r w:rsidR="00AA1C09" w:rsidRPr="006571AC">
        <w:rPr>
          <w:rtl/>
          <w:lang w:val="en-GB"/>
        </w:rPr>
        <w:t>ُ</w:t>
      </w:r>
      <w:r w:rsidRPr="006571AC">
        <w:rPr>
          <w:rtl/>
          <w:lang w:val="en-GB"/>
        </w:rPr>
        <w:t>قر</w:t>
      </w:r>
      <w:r w:rsidR="00AA1C09" w:rsidRPr="006571AC">
        <w:rPr>
          <w:rtl/>
          <w:lang w:val="en-GB"/>
        </w:rPr>
        <w:t>َ</w:t>
      </w:r>
      <w:r w:rsidRPr="006571AC">
        <w:rPr>
          <w:rtl/>
          <w:lang w:val="en-GB"/>
        </w:rPr>
        <w:t>ت الفلسفة ـ ح</w:t>
      </w:r>
      <w:r w:rsidR="00AA1C09" w:rsidRPr="006571AC">
        <w:rPr>
          <w:rtl/>
          <w:lang w:val="en-GB"/>
        </w:rPr>
        <w:t>َ</w:t>
      </w:r>
      <w:r w:rsidRPr="006571AC">
        <w:rPr>
          <w:rtl/>
          <w:lang w:val="en-GB"/>
        </w:rPr>
        <w:t>س</w:t>
      </w:r>
      <w:r w:rsidR="00AA1C09" w:rsidRPr="006571AC">
        <w:rPr>
          <w:rtl/>
          <w:lang w:val="en-GB"/>
        </w:rPr>
        <w:t>ْ</w:t>
      </w:r>
      <w:r w:rsidRPr="006571AC">
        <w:rPr>
          <w:rtl/>
          <w:lang w:val="en-GB"/>
        </w:rPr>
        <w:t>ب اصطلاح الفلاسفة المسلمين ـ والعقل الم</w:t>
      </w:r>
      <w:r w:rsidR="00AA1C09" w:rsidRPr="006571AC">
        <w:rPr>
          <w:rtl/>
          <w:lang w:val="en-GB"/>
        </w:rPr>
        <w:t>َ</w:t>
      </w:r>
      <w:r w:rsidRPr="006571AC">
        <w:rPr>
          <w:rtl/>
          <w:lang w:val="en-GB"/>
        </w:rPr>
        <w:t>ح</w:t>
      </w:r>
      <w:r w:rsidR="00AA1C09" w:rsidRPr="006571AC">
        <w:rPr>
          <w:rtl/>
          <w:lang w:val="en-GB"/>
        </w:rPr>
        <w:t>ْ</w:t>
      </w:r>
      <w:r w:rsidRPr="006571AC">
        <w:rPr>
          <w:rtl/>
          <w:lang w:val="en-GB"/>
        </w:rPr>
        <w:t>ض ـ ح</w:t>
      </w:r>
      <w:r w:rsidR="00AA1C09" w:rsidRPr="006571AC">
        <w:rPr>
          <w:rtl/>
          <w:lang w:val="en-GB"/>
        </w:rPr>
        <w:t>َ</w:t>
      </w:r>
      <w:r w:rsidRPr="006571AC">
        <w:rPr>
          <w:rtl/>
          <w:lang w:val="en-GB"/>
        </w:rPr>
        <w:t>س</w:t>
      </w:r>
      <w:r w:rsidR="00AA1C09" w:rsidRPr="006571AC">
        <w:rPr>
          <w:rtl/>
          <w:lang w:val="en-GB"/>
        </w:rPr>
        <w:t>ْ</w:t>
      </w:r>
      <w:r w:rsidRPr="006571AC">
        <w:rPr>
          <w:rtl/>
          <w:lang w:val="en-GB"/>
        </w:rPr>
        <w:t xml:space="preserve">ب اصطلاح </w:t>
      </w:r>
      <w:r w:rsidRPr="006571AC">
        <w:rPr>
          <w:rFonts w:hint="eastAsia"/>
          <w:sz w:val="24"/>
          <w:szCs w:val="24"/>
          <w:rtl/>
        </w:rPr>
        <w:t>«</w:t>
      </w:r>
      <w:r w:rsidRPr="006571AC">
        <w:rPr>
          <w:rtl/>
          <w:lang w:val="en-GB"/>
        </w:rPr>
        <w:t>كان</w:t>
      </w:r>
      <w:r w:rsidR="009B79FE" w:rsidRPr="006571AC">
        <w:rPr>
          <w:rFonts w:hint="cs"/>
          <w:rtl/>
          <w:lang w:val="en-GB"/>
        </w:rPr>
        <w:t>ْ</w:t>
      </w:r>
      <w:r w:rsidRPr="006571AC">
        <w:rPr>
          <w:rtl/>
          <w:lang w:val="en-GB"/>
        </w:rPr>
        <w:t>ت</w:t>
      </w:r>
      <w:r w:rsidRPr="006571AC">
        <w:rPr>
          <w:rFonts w:hint="eastAsia"/>
          <w:sz w:val="24"/>
          <w:szCs w:val="24"/>
          <w:rtl/>
        </w:rPr>
        <w:t>»</w:t>
      </w:r>
      <w:r w:rsidRPr="006571AC">
        <w:rPr>
          <w:rtl/>
          <w:lang w:val="en-GB"/>
        </w:rPr>
        <w:t xml:space="preserve"> نفسه ـ احتقارا</w:t>
      </w:r>
      <w:r w:rsidR="00AA1C09" w:rsidRPr="006571AC">
        <w:rPr>
          <w:rtl/>
          <w:lang w:val="en-GB"/>
        </w:rPr>
        <w:t>ً</w:t>
      </w:r>
      <w:r w:rsidRPr="006571AC">
        <w:rPr>
          <w:rtl/>
          <w:lang w:val="en-GB"/>
        </w:rPr>
        <w:t xml:space="preserve"> شديدا</w:t>
      </w:r>
      <w:r w:rsidR="00AA1C09" w:rsidRPr="006571AC">
        <w:rPr>
          <w:rtl/>
          <w:lang w:val="en-GB"/>
        </w:rPr>
        <w:t>ً</w:t>
      </w:r>
      <w:r w:rsidR="009B79FE" w:rsidRPr="006571AC">
        <w:rPr>
          <w:rFonts w:hint="cs"/>
          <w:rtl/>
          <w:lang w:val="en-GB"/>
        </w:rPr>
        <w:t>.</w:t>
      </w:r>
      <w:r w:rsidRPr="006571AC">
        <w:rPr>
          <w:rtl/>
          <w:lang w:val="en-GB"/>
        </w:rPr>
        <w:t xml:space="preserve"> وما يقوله </w:t>
      </w:r>
      <w:r w:rsidRPr="006571AC">
        <w:rPr>
          <w:rFonts w:hint="eastAsia"/>
          <w:sz w:val="24"/>
          <w:szCs w:val="24"/>
          <w:rtl/>
        </w:rPr>
        <w:t>«</w:t>
      </w:r>
      <w:r w:rsidRPr="006571AC">
        <w:rPr>
          <w:rtl/>
          <w:lang w:val="en-GB"/>
        </w:rPr>
        <w:t>كان</w:t>
      </w:r>
      <w:r w:rsidR="00CB3B21" w:rsidRPr="006571AC">
        <w:rPr>
          <w:rtl/>
          <w:lang w:val="en-GB"/>
        </w:rPr>
        <w:t>ْ</w:t>
      </w:r>
      <w:r w:rsidRPr="006571AC">
        <w:rPr>
          <w:rtl/>
          <w:lang w:val="en-GB"/>
        </w:rPr>
        <w:t>ت</w:t>
      </w:r>
      <w:r w:rsidRPr="006571AC">
        <w:rPr>
          <w:rFonts w:hint="eastAsia"/>
          <w:sz w:val="24"/>
          <w:szCs w:val="24"/>
          <w:rtl/>
        </w:rPr>
        <w:t>»</w:t>
      </w:r>
      <w:r w:rsidR="00AA1C09" w:rsidRPr="006571AC">
        <w:rPr>
          <w:rtl/>
          <w:lang w:val="en-GB"/>
        </w:rPr>
        <w:t>:</w:t>
      </w:r>
      <w:r w:rsidRPr="006571AC">
        <w:rPr>
          <w:rtl/>
          <w:lang w:val="en-GB"/>
        </w:rPr>
        <w:t xml:space="preserve"> </w:t>
      </w:r>
      <w:r w:rsidRPr="006571AC">
        <w:rPr>
          <w:rFonts w:hint="eastAsia"/>
          <w:sz w:val="24"/>
          <w:szCs w:val="24"/>
          <w:rtl/>
        </w:rPr>
        <w:t>«</w:t>
      </w:r>
      <w:r w:rsidRPr="006571AC">
        <w:rPr>
          <w:rtl/>
          <w:lang w:val="en-GB"/>
        </w:rPr>
        <w:t>نحن لا نستطيع أن نثبت أي</w:t>
      </w:r>
      <w:r w:rsidR="00AA1C09" w:rsidRPr="006571AC">
        <w:rPr>
          <w:rtl/>
          <w:lang w:val="en-GB"/>
        </w:rPr>
        <w:t>ّ</w:t>
      </w:r>
      <w:r w:rsidRPr="006571AC">
        <w:rPr>
          <w:rtl/>
          <w:lang w:val="en-GB"/>
        </w:rPr>
        <w:t xml:space="preserve"> مسألة</w:t>
      </w:r>
      <w:r w:rsidR="00AA1C09" w:rsidRPr="006571AC">
        <w:rPr>
          <w:rtl/>
          <w:lang w:val="en-GB"/>
        </w:rPr>
        <w:t>ٍ</w:t>
      </w:r>
      <w:r w:rsidRPr="006571AC">
        <w:rPr>
          <w:rtl/>
          <w:lang w:val="en-GB"/>
        </w:rPr>
        <w:t xml:space="preserve"> من هذه المسائل عن طريق العقل النظري</w:t>
      </w:r>
      <w:r w:rsidRPr="006571AC">
        <w:rPr>
          <w:rFonts w:hint="eastAsia"/>
          <w:sz w:val="24"/>
          <w:szCs w:val="24"/>
          <w:rtl/>
        </w:rPr>
        <w:t>»</w:t>
      </w:r>
      <w:r w:rsidRPr="006571AC">
        <w:rPr>
          <w:rtl/>
          <w:lang w:val="en-GB"/>
        </w:rPr>
        <w:t xml:space="preserve"> هو خطأ</w:t>
      </w:r>
      <w:r w:rsidR="00AA1C09" w:rsidRPr="006571AC">
        <w:rPr>
          <w:rtl/>
          <w:lang w:val="en-GB"/>
        </w:rPr>
        <w:t>ٌ</w:t>
      </w:r>
      <w:r w:rsidRPr="006571AC">
        <w:rPr>
          <w:rtl/>
          <w:lang w:val="en-GB"/>
        </w:rPr>
        <w:t xml:space="preserve"> قطعا</w:t>
      </w:r>
      <w:r w:rsidR="00AA1C09" w:rsidRPr="006571AC">
        <w:rPr>
          <w:rtl/>
          <w:lang w:val="en-GB"/>
        </w:rPr>
        <w:t>ً</w:t>
      </w:r>
      <w:r w:rsidRPr="006571AC">
        <w:rPr>
          <w:rtl/>
          <w:lang w:val="en-GB"/>
        </w:rPr>
        <w:t>، فنحن نستطيع أن نثبت عن طريق العقل النظري ـ ومن دون أن نلجأ إلى إنكار طريق الوجدان والعقل العملي ـ حر</w:t>
      </w:r>
      <w:r w:rsidR="00AA1C09" w:rsidRPr="006571AC">
        <w:rPr>
          <w:rtl/>
          <w:lang w:val="en-GB"/>
        </w:rPr>
        <w:t>ّ</w:t>
      </w:r>
      <w:r w:rsidRPr="006571AC">
        <w:rPr>
          <w:rtl/>
          <w:lang w:val="en-GB"/>
        </w:rPr>
        <w:t>ية الإنسان واختياره</w:t>
      </w:r>
      <w:r w:rsidR="00AA1C09" w:rsidRPr="006571AC">
        <w:rPr>
          <w:rtl/>
          <w:lang w:val="en-GB"/>
        </w:rPr>
        <w:t>،</w:t>
      </w:r>
      <w:r w:rsidRPr="006571AC">
        <w:rPr>
          <w:rtl/>
          <w:lang w:val="en-GB"/>
        </w:rPr>
        <w:t xml:space="preserve"> وبقاء النفس وخلودها</w:t>
      </w:r>
      <w:r w:rsidR="00AA1C09" w:rsidRPr="006571AC">
        <w:rPr>
          <w:rtl/>
          <w:lang w:val="en-GB"/>
        </w:rPr>
        <w:t>،</w:t>
      </w:r>
      <w:r w:rsidRPr="006571AC">
        <w:rPr>
          <w:rtl/>
          <w:lang w:val="en-GB"/>
        </w:rPr>
        <w:t xml:space="preserve"> ووجود الله تعالى، فنفس الأوامر الأخلاقية ـ المستلهمة من الوجدان ـ يستطيع العقل النظري</w:t>
      </w:r>
      <w:r w:rsidR="009B79FE" w:rsidRPr="006571AC">
        <w:rPr>
          <w:rFonts w:hint="cs"/>
          <w:rtl/>
          <w:lang w:val="en-GB"/>
        </w:rPr>
        <w:t>ّ</w:t>
      </w:r>
      <w:r w:rsidRPr="006571AC">
        <w:rPr>
          <w:rtl/>
          <w:lang w:val="en-GB"/>
        </w:rPr>
        <w:t xml:space="preserve"> إدراكها النظري</w:t>
      </w:r>
      <w:r w:rsidR="00AA1C09" w:rsidRPr="006571AC">
        <w:rPr>
          <w:rtl/>
          <w:lang w:val="en-GB"/>
        </w:rPr>
        <w:t>ّ</w:t>
      </w:r>
      <w:r w:rsidRPr="006571AC">
        <w:rPr>
          <w:rtl/>
          <w:lang w:val="en-GB"/>
        </w:rPr>
        <w:t xml:space="preserve"> وإصدارها، وعلى أقل</w:t>
      </w:r>
      <w:r w:rsidR="00AA1C09" w:rsidRPr="006571AC">
        <w:rPr>
          <w:rtl/>
          <w:lang w:val="en-GB"/>
        </w:rPr>
        <w:t>ّ</w:t>
      </w:r>
      <w:r w:rsidRPr="006571AC">
        <w:rPr>
          <w:rtl/>
          <w:lang w:val="en-GB"/>
        </w:rPr>
        <w:t xml:space="preserve"> التقادير بعنوان كونه مؤي</w:t>
      </w:r>
      <w:r w:rsidR="00AA1C09" w:rsidRPr="006571AC">
        <w:rPr>
          <w:rtl/>
          <w:lang w:val="en-GB"/>
        </w:rPr>
        <w:t>ِّ</w:t>
      </w:r>
      <w:r w:rsidRPr="006571AC">
        <w:rPr>
          <w:rtl/>
          <w:lang w:val="en-GB"/>
        </w:rPr>
        <w:t>دا</w:t>
      </w:r>
      <w:r w:rsidR="00AA1C09" w:rsidRPr="006571AC">
        <w:rPr>
          <w:rtl/>
          <w:lang w:val="en-GB"/>
        </w:rPr>
        <w:t>ً</w:t>
      </w:r>
      <w:r w:rsidRPr="006571AC">
        <w:rPr>
          <w:rtl/>
          <w:lang w:val="en-GB"/>
        </w:rPr>
        <w:t xml:space="preserve"> للوجدان</w:t>
      </w:r>
      <w:r w:rsidRPr="006571AC">
        <w:rPr>
          <w:vertAlign w:val="superscript"/>
          <w:rtl/>
          <w:lang w:val="en-GB"/>
        </w:rPr>
        <w:t>(</w:t>
      </w:r>
      <w:r w:rsidRPr="006571AC">
        <w:rPr>
          <w:rStyle w:val="ac"/>
          <w:rFonts w:ascii="Arial" w:hAnsi="Arial"/>
          <w:sz w:val="27"/>
          <w:rtl/>
          <w:lang w:val="en-GB"/>
        </w:rPr>
        <w:endnoteReference w:id="711"/>
      </w:r>
      <w:r w:rsidRPr="006571AC">
        <w:rPr>
          <w:vertAlign w:val="superscript"/>
          <w:rtl/>
          <w:lang w:val="en-GB"/>
        </w:rPr>
        <w:t>)</w:t>
      </w:r>
      <w:r w:rsidRPr="006571AC">
        <w:rPr>
          <w:rtl/>
          <w:lang w:val="en-GB"/>
        </w:rPr>
        <w:t xml:space="preserve">. </w:t>
      </w:r>
    </w:p>
    <w:p w:rsidR="00BC29E6" w:rsidRPr="006571AC" w:rsidRDefault="00BC29E6" w:rsidP="00BC29E6">
      <w:pPr>
        <w:spacing w:line="420" w:lineRule="exact"/>
        <w:rPr>
          <w:rFonts w:ascii="Arabic Typesetting" w:hAnsi="Arabic Typesetting"/>
          <w:sz w:val="27"/>
          <w:rtl/>
          <w:lang w:bidi="ar-LB"/>
        </w:rPr>
      </w:pPr>
    </w:p>
    <w:p w:rsidR="0001386F" w:rsidRPr="006571AC" w:rsidRDefault="0001386F" w:rsidP="000B6711">
      <w:pPr>
        <w:pStyle w:val="31"/>
        <w:rPr>
          <w:color w:val="auto"/>
          <w:rtl/>
        </w:rPr>
      </w:pPr>
      <w:bookmarkStart w:id="423" w:name="_Toc114164831"/>
      <w:r w:rsidRPr="006571AC">
        <w:rPr>
          <w:color w:val="auto"/>
          <w:rtl/>
        </w:rPr>
        <w:t>أثر حب</w:t>
      </w:r>
      <w:r w:rsidR="00AA1C09" w:rsidRPr="006571AC">
        <w:rPr>
          <w:rFonts w:hint="cs"/>
          <w:color w:val="auto"/>
          <w:rtl/>
        </w:rPr>
        <w:t>ّ</w:t>
      </w:r>
      <w:r w:rsidRPr="006571AC">
        <w:rPr>
          <w:color w:val="auto"/>
          <w:rtl/>
        </w:rPr>
        <w:t xml:space="preserve"> الذات على الكيان الداخلي</w:t>
      </w:r>
      <w:r w:rsidR="00124D2B" w:rsidRPr="006571AC">
        <w:rPr>
          <w:rFonts w:hint="cs"/>
          <w:color w:val="auto"/>
          <w:rtl/>
        </w:rPr>
        <w:t>ّ</w:t>
      </w:r>
      <w:r w:rsidRPr="006571AC">
        <w:rPr>
          <w:color w:val="auto"/>
          <w:rtl/>
        </w:rPr>
        <w:t xml:space="preserve"> للإنسان</w:t>
      </w:r>
      <w:bookmarkEnd w:id="423"/>
      <w:r w:rsidRPr="006571AC">
        <w:rPr>
          <w:color w:val="auto"/>
          <w:rtl/>
        </w:rPr>
        <w:t xml:space="preserve"> </w:t>
      </w:r>
    </w:p>
    <w:p w:rsidR="00110A47" w:rsidRPr="006571AC" w:rsidRDefault="0001386F" w:rsidP="006C5D28">
      <w:pPr>
        <w:rPr>
          <w:rtl/>
        </w:rPr>
      </w:pPr>
      <w:r w:rsidRPr="006571AC">
        <w:rPr>
          <w:rtl/>
        </w:rPr>
        <w:t>لغريزة حب</w:t>
      </w:r>
      <w:r w:rsidR="00AA1C09" w:rsidRPr="006571AC">
        <w:rPr>
          <w:rtl/>
        </w:rPr>
        <w:t>ّ</w:t>
      </w:r>
      <w:r w:rsidRPr="006571AC">
        <w:rPr>
          <w:rtl/>
        </w:rPr>
        <w:t xml:space="preserve"> الذات آثارٌ هام</w:t>
      </w:r>
      <w:r w:rsidR="00AA1C09" w:rsidRPr="006571AC">
        <w:rPr>
          <w:rtl/>
        </w:rPr>
        <w:t>ّ</w:t>
      </w:r>
      <w:r w:rsidRPr="006571AC">
        <w:rPr>
          <w:rtl/>
        </w:rPr>
        <w:t xml:space="preserve">ة جدّاً في تشكيل الكيان الداخلي للإنسان، </w:t>
      </w:r>
      <w:r w:rsidR="00AA1C09" w:rsidRPr="006571AC">
        <w:rPr>
          <w:rtl/>
        </w:rPr>
        <w:t>و</w:t>
      </w:r>
      <w:r w:rsidRPr="006571AC">
        <w:rPr>
          <w:rtl/>
        </w:rPr>
        <w:t>خاص</w:t>
      </w:r>
      <w:r w:rsidR="00AA1C09" w:rsidRPr="006571AC">
        <w:rPr>
          <w:rtl/>
        </w:rPr>
        <w:t>ّ</w:t>
      </w:r>
      <w:r w:rsidRPr="006571AC">
        <w:rPr>
          <w:rtl/>
        </w:rPr>
        <w:t>ة</w:t>
      </w:r>
      <w:r w:rsidR="00AA1C09" w:rsidRPr="006571AC">
        <w:rPr>
          <w:rtl/>
        </w:rPr>
        <w:t>ً</w:t>
      </w:r>
      <w:r w:rsidRPr="006571AC">
        <w:rPr>
          <w:rtl/>
        </w:rPr>
        <w:t xml:space="preserve"> في مجاله الإدراكي الذهني، وما يتشك</w:t>
      </w:r>
      <w:r w:rsidR="00AA1C09" w:rsidRPr="006571AC">
        <w:rPr>
          <w:rtl/>
        </w:rPr>
        <w:t>ّ</w:t>
      </w:r>
      <w:r w:rsidRPr="006571AC">
        <w:rPr>
          <w:rtl/>
        </w:rPr>
        <w:t>ل من تصو</w:t>
      </w:r>
      <w:r w:rsidR="00AA1C09" w:rsidRPr="006571AC">
        <w:rPr>
          <w:rtl/>
        </w:rPr>
        <w:t>ُّ</w:t>
      </w:r>
      <w:r w:rsidRPr="006571AC">
        <w:rPr>
          <w:rtl/>
        </w:rPr>
        <w:t>رات وتصديقات، تنتظم منها مجموعة</w:t>
      </w:r>
      <w:r w:rsidR="00110A47" w:rsidRPr="006571AC">
        <w:rPr>
          <w:rtl/>
        </w:rPr>
        <w:t>ُ</w:t>
      </w:r>
      <w:r w:rsidRPr="006571AC">
        <w:rPr>
          <w:rtl/>
        </w:rPr>
        <w:t xml:space="preserve"> أحكام</w:t>
      </w:r>
      <w:r w:rsidR="00110A47" w:rsidRPr="006571AC">
        <w:rPr>
          <w:rtl/>
        </w:rPr>
        <w:t>ٍ</w:t>
      </w:r>
      <w:r w:rsidRPr="006571AC">
        <w:rPr>
          <w:rtl/>
        </w:rPr>
        <w:t xml:space="preserve"> تنعكس بعد ذلك على مجموعة الاعتقادات التي يعتقدها، وعلى تشكيل عواطفه</w:t>
      </w:r>
      <w:r w:rsidR="00110A47" w:rsidRPr="006571AC">
        <w:rPr>
          <w:rtl/>
        </w:rPr>
        <w:t>،</w:t>
      </w:r>
      <w:r w:rsidRPr="006571AC">
        <w:rPr>
          <w:rtl/>
        </w:rPr>
        <w:t xml:space="preserve"> وعلى ماهية سلوكه الفردي والاجتماعي. </w:t>
      </w:r>
      <w:r w:rsidRPr="006571AC">
        <w:rPr>
          <w:rFonts w:hint="eastAsia"/>
          <w:sz w:val="24"/>
          <w:szCs w:val="24"/>
          <w:rtl/>
        </w:rPr>
        <w:t>«</w:t>
      </w:r>
      <w:r w:rsidRPr="006571AC">
        <w:rPr>
          <w:rtl/>
        </w:rPr>
        <w:t>فالقانون الذاتي لحب</w:t>
      </w:r>
      <w:r w:rsidR="00110A47" w:rsidRPr="006571AC">
        <w:rPr>
          <w:rtl/>
        </w:rPr>
        <w:t>ّ</w:t>
      </w:r>
      <w:r w:rsidRPr="006571AC">
        <w:rPr>
          <w:rtl/>
        </w:rPr>
        <w:t xml:space="preserve"> الذات هو أنه مقتض</w:t>
      </w:r>
      <w:r w:rsidR="00004FD2" w:rsidRPr="006571AC">
        <w:rPr>
          <w:rtl/>
        </w:rPr>
        <w:t>ٍ</w:t>
      </w:r>
      <w:r w:rsidRPr="006571AC">
        <w:rPr>
          <w:rtl/>
        </w:rPr>
        <w:t xml:space="preserve"> أو عل</w:t>
      </w:r>
      <w:r w:rsidR="00110A47" w:rsidRPr="006571AC">
        <w:rPr>
          <w:rtl/>
        </w:rPr>
        <w:t>ّ</w:t>
      </w:r>
      <w:r w:rsidRPr="006571AC">
        <w:rPr>
          <w:rtl/>
        </w:rPr>
        <w:t>ة</w:t>
      </w:r>
      <w:r w:rsidR="00110A47" w:rsidRPr="006571AC">
        <w:rPr>
          <w:rtl/>
        </w:rPr>
        <w:t>ٌ</w:t>
      </w:r>
      <w:r w:rsidRPr="006571AC">
        <w:rPr>
          <w:rtl/>
        </w:rPr>
        <w:t xml:space="preserve"> تام</w:t>
      </w:r>
      <w:r w:rsidR="00110A47" w:rsidRPr="006571AC">
        <w:rPr>
          <w:rtl/>
        </w:rPr>
        <w:t>ّ</w:t>
      </w:r>
      <w:r w:rsidRPr="006571AC">
        <w:rPr>
          <w:rtl/>
        </w:rPr>
        <w:t>ة لج</w:t>
      </w:r>
      <w:r w:rsidR="009B79FE" w:rsidRPr="006571AC">
        <w:rPr>
          <w:rFonts w:hint="cs"/>
          <w:rtl/>
        </w:rPr>
        <w:t>َ</w:t>
      </w:r>
      <w:r w:rsidRPr="006571AC">
        <w:rPr>
          <w:rtl/>
        </w:rPr>
        <w:t>ل</w:t>
      </w:r>
      <w:r w:rsidR="009B79FE" w:rsidRPr="006571AC">
        <w:rPr>
          <w:rFonts w:hint="cs"/>
          <w:rtl/>
        </w:rPr>
        <w:t>ْ</w:t>
      </w:r>
      <w:r w:rsidRPr="006571AC">
        <w:rPr>
          <w:rtl/>
        </w:rPr>
        <w:t>ب الخير إلى النفس</w:t>
      </w:r>
      <w:r w:rsidR="00110A47" w:rsidRPr="006571AC">
        <w:rPr>
          <w:rtl/>
        </w:rPr>
        <w:t>،</w:t>
      </w:r>
      <w:r w:rsidRPr="006571AC">
        <w:rPr>
          <w:rtl/>
        </w:rPr>
        <w:t xml:space="preserve"> ودفع الشر</w:t>
      </w:r>
      <w:r w:rsidR="00110A47" w:rsidRPr="006571AC">
        <w:rPr>
          <w:rtl/>
        </w:rPr>
        <w:t>ّ</w:t>
      </w:r>
      <w:r w:rsidRPr="006571AC">
        <w:rPr>
          <w:rtl/>
        </w:rPr>
        <w:t xml:space="preserve"> عنها</w:t>
      </w:r>
      <w:r w:rsidR="00110A47" w:rsidRPr="006571AC">
        <w:rPr>
          <w:rtl/>
        </w:rPr>
        <w:t>،</w:t>
      </w:r>
      <w:r w:rsidRPr="006571AC">
        <w:rPr>
          <w:rtl/>
        </w:rPr>
        <w:t xml:space="preserve"> والاعتقاد بكل</w:t>
      </w:r>
      <w:r w:rsidR="00110A47" w:rsidRPr="006571AC">
        <w:rPr>
          <w:rtl/>
        </w:rPr>
        <w:t>ّ</w:t>
      </w:r>
      <w:r w:rsidRPr="006571AC">
        <w:rPr>
          <w:rtl/>
        </w:rPr>
        <w:t xml:space="preserve"> ما هو محبوب</w:t>
      </w:r>
      <w:r w:rsidR="00110A47" w:rsidRPr="006571AC">
        <w:rPr>
          <w:rtl/>
        </w:rPr>
        <w:t>ٌ</w:t>
      </w:r>
      <w:r w:rsidRPr="006571AC">
        <w:rPr>
          <w:rtl/>
        </w:rPr>
        <w:t xml:space="preserve"> لديها، والتفكير بكل</w:t>
      </w:r>
      <w:r w:rsidR="00110A47" w:rsidRPr="006571AC">
        <w:rPr>
          <w:rtl/>
        </w:rPr>
        <w:t>ّ</w:t>
      </w:r>
      <w:r w:rsidRPr="006571AC">
        <w:rPr>
          <w:rtl/>
        </w:rPr>
        <w:t xml:space="preserve"> ما هو راجح</w:t>
      </w:r>
      <w:r w:rsidR="00110A47" w:rsidRPr="006571AC">
        <w:rPr>
          <w:rtl/>
        </w:rPr>
        <w:t>ٌ</w:t>
      </w:r>
      <w:r w:rsidRPr="006571AC">
        <w:rPr>
          <w:rtl/>
        </w:rPr>
        <w:t xml:space="preserve"> في نظرها، وإبعاد كل</w:t>
      </w:r>
      <w:r w:rsidR="00110A47" w:rsidRPr="006571AC">
        <w:rPr>
          <w:rtl/>
        </w:rPr>
        <w:t>ّ</w:t>
      </w:r>
      <w:r w:rsidRPr="006571AC">
        <w:rPr>
          <w:rtl/>
        </w:rPr>
        <w:t xml:space="preserve"> ما هو مكروه</w:t>
      </w:r>
      <w:r w:rsidR="00110A47" w:rsidRPr="006571AC">
        <w:rPr>
          <w:rtl/>
        </w:rPr>
        <w:t>ٌ</w:t>
      </w:r>
      <w:r w:rsidRPr="006571AC">
        <w:rPr>
          <w:rtl/>
        </w:rPr>
        <w:t xml:space="preserve"> عنها إبعادا</w:t>
      </w:r>
      <w:r w:rsidR="00110A47" w:rsidRPr="006571AC">
        <w:rPr>
          <w:rtl/>
        </w:rPr>
        <w:t>ً</w:t>
      </w:r>
      <w:r w:rsidRPr="006571AC">
        <w:rPr>
          <w:rtl/>
        </w:rPr>
        <w:t xml:space="preserve"> لا شعوريا</w:t>
      </w:r>
      <w:r w:rsidR="00110A47" w:rsidRPr="006571AC">
        <w:rPr>
          <w:rtl/>
        </w:rPr>
        <w:t>ً</w:t>
      </w:r>
      <w:r w:rsidRPr="006571AC">
        <w:rPr>
          <w:rtl/>
        </w:rPr>
        <w:t xml:space="preserve"> تلقائيا</w:t>
      </w:r>
      <w:r w:rsidR="00110A47" w:rsidRPr="006571AC">
        <w:rPr>
          <w:rtl/>
        </w:rPr>
        <w:t>ً...</w:t>
      </w:r>
    </w:p>
    <w:p w:rsidR="0001386F" w:rsidRPr="006571AC" w:rsidRDefault="00110A47" w:rsidP="006C5D28">
      <w:pPr>
        <w:rPr>
          <w:rtl/>
        </w:rPr>
      </w:pPr>
      <w:r w:rsidRPr="006571AC">
        <w:rPr>
          <w:rtl/>
        </w:rPr>
        <w:lastRenderedPageBreak/>
        <w:t>و</w:t>
      </w:r>
      <w:r w:rsidR="0001386F" w:rsidRPr="006571AC">
        <w:rPr>
          <w:rtl/>
        </w:rPr>
        <w:t>من آثار حب</w:t>
      </w:r>
      <w:r w:rsidRPr="006571AC">
        <w:rPr>
          <w:rtl/>
        </w:rPr>
        <w:t>ّ</w:t>
      </w:r>
      <w:r w:rsidR="0001386F" w:rsidRPr="006571AC">
        <w:rPr>
          <w:rtl/>
        </w:rPr>
        <w:t xml:space="preserve"> الذات على الشخصية الإنسانية</w:t>
      </w:r>
      <w:r w:rsidRPr="006571AC">
        <w:rPr>
          <w:rtl/>
        </w:rPr>
        <w:t>،</w:t>
      </w:r>
      <w:r w:rsidR="0001386F" w:rsidRPr="006571AC">
        <w:rPr>
          <w:rtl/>
        </w:rPr>
        <w:t xml:space="preserve"> وعلى التفكير الإنساني بالخصوص، هو أنه يسلخ موضوعي</w:t>
      </w:r>
      <w:r w:rsidRPr="006571AC">
        <w:rPr>
          <w:rtl/>
        </w:rPr>
        <w:t>ّ</w:t>
      </w:r>
      <w:r w:rsidR="0001386F" w:rsidRPr="006571AC">
        <w:rPr>
          <w:rtl/>
        </w:rPr>
        <w:t>ته في النظر بمقدار</w:t>
      </w:r>
      <w:r w:rsidRPr="006571AC">
        <w:rPr>
          <w:rtl/>
        </w:rPr>
        <w:t>ٍ</w:t>
      </w:r>
      <w:r w:rsidR="0001386F" w:rsidRPr="006571AC">
        <w:rPr>
          <w:rtl/>
        </w:rPr>
        <w:t xml:space="preserve"> ما</w:t>
      </w:r>
      <w:r w:rsidRPr="006571AC">
        <w:rPr>
          <w:rtl/>
        </w:rPr>
        <w:t>.</w:t>
      </w:r>
      <w:r w:rsidR="0001386F" w:rsidRPr="006571AC">
        <w:rPr>
          <w:rtl/>
        </w:rPr>
        <w:t xml:space="preserve"> وهذا المقدار في بعض حدوده ضروري</w:t>
      </w:r>
      <w:r w:rsidRPr="006571AC">
        <w:rPr>
          <w:rtl/>
        </w:rPr>
        <w:t>ٌّ</w:t>
      </w:r>
      <w:r w:rsidR="0001386F" w:rsidRPr="006571AC">
        <w:rPr>
          <w:rtl/>
        </w:rPr>
        <w:t>، لا يمكن للإنسان ويستحيل أن ينفك</w:t>
      </w:r>
      <w:r w:rsidRPr="006571AC">
        <w:rPr>
          <w:rtl/>
        </w:rPr>
        <w:t>ّ</w:t>
      </w:r>
      <w:r w:rsidR="0001386F" w:rsidRPr="006571AC">
        <w:rPr>
          <w:rtl/>
        </w:rPr>
        <w:t xml:space="preserve"> عنه. فهو دائما</w:t>
      </w:r>
      <w:r w:rsidRPr="006571AC">
        <w:rPr>
          <w:rtl/>
        </w:rPr>
        <w:t>ً</w:t>
      </w:r>
      <w:r w:rsidR="0001386F" w:rsidRPr="006571AC">
        <w:rPr>
          <w:rtl/>
        </w:rPr>
        <w:t xml:space="preserve"> يعيش في إطار ذاته، ويعيش في حلقة</w:t>
      </w:r>
      <w:r w:rsidRPr="006571AC">
        <w:rPr>
          <w:rtl/>
        </w:rPr>
        <w:t>ٍ</w:t>
      </w:r>
      <w:r w:rsidR="0001386F" w:rsidRPr="006571AC">
        <w:rPr>
          <w:rtl/>
        </w:rPr>
        <w:t xml:space="preserve"> مفرغة من تفكيراته الذاتية وتأم</w:t>
      </w:r>
      <w:r w:rsidRPr="006571AC">
        <w:rPr>
          <w:rtl/>
        </w:rPr>
        <w:t>ُّ</w:t>
      </w:r>
      <w:r w:rsidR="0001386F" w:rsidRPr="006571AC">
        <w:rPr>
          <w:rtl/>
        </w:rPr>
        <w:t>لاته الباطنية، بما يوحيه إليه سائر إحساساته</w:t>
      </w:r>
      <w:r w:rsidRPr="006571AC">
        <w:rPr>
          <w:rtl/>
        </w:rPr>
        <w:t>،</w:t>
      </w:r>
      <w:r w:rsidR="0001386F" w:rsidRPr="006571AC">
        <w:rPr>
          <w:rtl/>
        </w:rPr>
        <w:t xml:space="preserve"> التي على رأسها حب</w:t>
      </w:r>
      <w:r w:rsidRPr="006571AC">
        <w:rPr>
          <w:rtl/>
        </w:rPr>
        <w:t>ّ</w:t>
      </w:r>
      <w:r w:rsidR="0001386F" w:rsidRPr="006571AC">
        <w:rPr>
          <w:rtl/>
        </w:rPr>
        <w:t xml:space="preserve"> الذات، ويتدخ</w:t>
      </w:r>
      <w:r w:rsidRPr="006571AC">
        <w:rPr>
          <w:rtl/>
        </w:rPr>
        <w:t>ّ</w:t>
      </w:r>
      <w:r w:rsidR="0001386F" w:rsidRPr="006571AC">
        <w:rPr>
          <w:rtl/>
        </w:rPr>
        <w:t>ل كل</w:t>
      </w:r>
      <w:r w:rsidRPr="006571AC">
        <w:rPr>
          <w:rtl/>
        </w:rPr>
        <w:t>ّ</w:t>
      </w:r>
      <w:r w:rsidR="0001386F" w:rsidRPr="006571AC">
        <w:rPr>
          <w:rtl/>
        </w:rPr>
        <w:t xml:space="preserve"> ذلك في تفكيراته العلمية وتأم</w:t>
      </w:r>
      <w:r w:rsidRPr="006571AC">
        <w:rPr>
          <w:rtl/>
        </w:rPr>
        <w:t>ُّ</w:t>
      </w:r>
      <w:r w:rsidR="0001386F" w:rsidRPr="006571AC">
        <w:rPr>
          <w:rtl/>
        </w:rPr>
        <w:t>لاته النظرية، مما يؤث</w:t>
      </w:r>
      <w:r w:rsidRPr="006571AC">
        <w:rPr>
          <w:rtl/>
        </w:rPr>
        <w:t>ِّ</w:t>
      </w:r>
      <w:r w:rsidR="0001386F" w:rsidRPr="006571AC">
        <w:rPr>
          <w:rtl/>
        </w:rPr>
        <w:t>ر قطعا</w:t>
      </w:r>
      <w:r w:rsidRPr="006571AC">
        <w:rPr>
          <w:rtl/>
        </w:rPr>
        <w:t>ً</w:t>
      </w:r>
      <w:r w:rsidR="0001386F" w:rsidRPr="006571AC">
        <w:rPr>
          <w:rtl/>
        </w:rPr>
        <w:t xml:space="preserve"> فيها، ولا يمكن أن يتخل</w:t>
      </w:r>
      <w:r w:rsidRPr="006571AC">
        <w:rPr>
          <w:rtl/>
        </w:rPr>
        <w:t>ّ</w:t>
      </w:r>
      <w:r w:rsidR="0001386F" w:rsidRPr="006571AC">
        <w:rPr>
          <w:rtl/>
        </w:rPr>
        <w:t>ى عنها</w:t>
      </w:r>
      <w:r w:rsidR="0001386F" w:rsidRPr="006571AC">
        <w:rPr>
          <w:rFonts w:hint="eastAsia"/>
          <w:sz w:val="24"/>
          <w:szCs w:val="24"/>
          <w:rtl/>
        </w:rPr>
        <w:t>»</w:t>
      </w:r>
      <w:r w:rsidR="0001386F" w:rsidRPr="006571AC">
        <w:rPr>
          <w:vertAlign w:val="superscript"/>
          <w:rtl/>
        </w:rPr>
        <w:t>(</w:t>
      </w:r>
      <w:r w:rsidR="0001386F" w:rsidRPr="006571AC">
        <w:rPr>
          <w:rStyle w:val="ac"/>
          <w:rFonts w:ascii="Arial" w:hAnsi="Arial"/>
          <w:sz w:val="27"/>
          <w:rtl/>
        </w:rPr>
        <w:endnoteReference w:id="712"/>
      </w:r>
      <w:r w:rsidR="0001386F" w:rsidRPr="006571AC">
        <w:rPr>
          <w:vertAlign w:val="superscript"/>
          <w:rtl/>
        </w:rPr>
        <w:t>)</w:t>
      </w:r>
      <w:r w:rsidR="0001386F" w:rsidRPr="006571AC">
        <w:rPr>
          <w:rtl/>
        </w:rPr>
        <w:t xml:space="preserve">. </w:t>
      </w:r>
    </w:p>
    <w:p w:rsidR="00BC29E6" w:rsidRPr="006571AC" w:rsidRDefault="00BC29E6" w:rsidP="00BC29E6">
      <w:pPr>
        <w:spacing w:line="420" w:lineRule="exact"/>
        <w:rPr>
          <w:rFonts w:ascii="Arabic Typesetting" w:hAnsi="Arabic Typesetting"/>
          <w:sz w:val="27"/>
          <w:rtl/>
          <w:lang w:bidi="ar-LB"/>
        </w:rPr>
      </w:pPr>
    </w:p>
    <w:p w:rsidR="0001386F" w:rsidRPr="006571AC" w:rsidRDefault="0001386F" w:rsidP="000B6711">
      <w:pPr>
        <w:pStyle w:val="31"/>
        <w:rPr>
          <w:color w:val="auto"/>
          <w:rtl/>
        </w:rPr>
      </w:pPr>
      <w:bookmarkStart w:id="424" w:name="_Toc114164832"/>
      <w:r w:rsidRPr="006571AC">
        <w:rPr>
          <w:color w:val="auto"/>
          <w:rtl/>
        </w:rPr>
        <w:t>أثر حب</w:t>
      </w:r>
      <w:r w:rsidR="00110A47" w:rsidRPr="006571AC">
        <w:rPr>
          <w:rFonts w:hint="cs"/>
          <w:color w:val="auto"/>
          <w:rtl/>
        </w:rPr>
        <w:t>ّ</w:t>
      </w:r>
      <w:r w:rsidRPr="006571AC">
        <w:rPr>
          <w:color w:val="auto"/>
          <w:rtl/>
        </w:rPr>
        <w:t xml:space="preserve"> الذات في المجتمع</w:t>
      </w:r>
      <w:bookmarkEnd w:id="424"/>
      <w:r w:rsidRPr="006571AC">
        <w:rPr>
          <w:color w:val="auto"/>
          <w:rtl/>
        </w:rPr>
        <w:t xml:space="preserve"> </w:t>
      </w:r>
    </w:p>
    <w:p w:rsidR="0001386F" w:rsidRPr="006571AC" w:rsidRDefault="0001386F" w:rsidP="006C5D28">
      <w:pPr>
        <w:rPr>
          <w:rtl/>
        </w:rPr>
      </w:pPr>
      <w:r w:rsidRPr="006571AC">
        <w:rPr>
          <w:rtl/>
        </w:rPr>
        <w:t>حب</w:t>
      </w:r>
      <w:r w:rsidR="00110A47" w:rsidRPr="006571AC">
        <w:rPr>
          <w:rtl/>
        </w:rPr>
        <w:t>ّ</w:t>
      </w:r>
      <w:r w:rsidRPr="006571AC">
        <w:rPr>
          <w:rtl/>
        </w:rPr>
        <w:t xml:space="preserve"> الإنسان لذاته يخلق لديه الدافع للتفاعل الاجتماعي</w:t>
      </w:r>
      <w:r w:rsidR="00110A47" w:rsidRPr="006571AC">
        <w:rPr>
          <w:rtl/>
        </w:rPr>
        <w:t>،</w:t>
      </w:r>
      <w:r w:rsidRPr="006571AC">
        <w:rPr>
          <w:rtl/>
        </w:rPr>
        <w:t xml:space="preserve"> والتأثير في محيطه، إلا</w:t>
      </w:r>
      <w:r w:rsidR="00110A47" w:rsidRPr="006571AC">
        <w:rPr>
          <w:rtl/>
        </w:rPr>
        <w:t>ّ</w:t>
      </w:r>
      <w:r w:rsidRPr="006571AC">
        <w:rPr>
          <w:rtl/>
        </w:rPr>
        <w:t xml:space="preserve"> أنه يتفاعل على قاعدة التماثل يفيد الانضمام، أي ينجذب</w:t>
      </w:r>
      <w:r w:rsidR="00110A47" w:rsidRPr="006571AC">
        <w:rPr>
          <w:rtl/>
        </w:rPr>
        <w:t>؛</w:t>
      </w:r>
      <w:r w:rsidRPr="006571AC">
        <w:rPr>
          <w:rtl/>
        </w:rPr>
        <w:t xml:space="preserve"> نتيجة حب</w:t>
      </w:r>
      <w:r w:rsidR="00110A47" w:rsidRPr="006571AC">
        <w:rPr>
          <w:rtl/>
        </w:rPr>
        <w:t>ِّ</w:t>
      </w:r>
      <w:r w:rsidRPr="006571AC">
        <w:rPr>
          <w:rtl/>
        </w:rPr>
        <w:t>ه لذاته</w:t>
      </w:r>
      <w:r w:rsidR="00110A47" w:rsidRPr="006571AC">
        <w:rPr>
          <w:rtl/>
        </w:rPr>
        <w:t>،</w:t>
      </w:r>
      <w:r w:rsidRPr="006571AC">
        <w:rPr>
          <w:rtl/>
        </w:rPr>
        <w:t xml:space="preserve"> </w:t>
      </w:r>
      <w:r w:rsidR="00110A47" w:rsidRPr="006571AC">
        <w:rPr>
          <w:rtl/>
        </w:rPr>
        <w:t>إلى</w:t>
      </w:r>
      <w:r w:rsidRPr="006571AC">
        <w:rPr>
          <w:rtl/>
        </w:rPr>
        <w:t xml:space="preserve"> كل</w:t>
      </w:r>
      <w:r w:rsidR="00110A47" w:rsidRPr="006571AC">
        <w:rPr>
          <w:rtl/>
        </w:rPr>
        <w:t>ّ</w:t>
      </w:r>
      <w:r w:rsidRPr="006571AC">
        <w:rPr>
          <w:rtl/>
        </w:rPr>
        <w:t xml:space="preserve"> م</w:t>
      </w:r>
      <w:r w:rsidR="00110A47" w:rsidRPr="006571AC">
        <w:rPr>
          <w:rtl/>
        </w:rPr>
        <w:t>َ</w:t>
      </w:r>
      <w:r w:rsidRPr="006571AC">
        <w:rPr>
          <w:rtl/>
        </w:rPr>
        <w:t>ن</w:t>
      </w:r>
      <w:r w:rsidR="00110A47" w:rsidRPr="006571AC">
        <w:rPr>
          <w:rtl/>
        </w:rPr>
        <w:t>ْ</w:t>
      </w:r>
      <w:r w:rsidRPr="006571AC">
        <w:rPr>
          <w:rtl/>
        </w:rPr>
        <w:t xml:space="preserve"> يتوافق معه في الميول والرغبات والأهداف والأفكار، ويتنافر مع كل</w:t>
      </w:r>
      <w:r w:rsidR="00110A47" w:rsidRPr="006571AC">
        <w:rPr>
          <w:rtl/>
        </w:rPr>
        <w:t>ّ</w:t>
      </w:r>
      <w:r w:rsidRPr="006571AC">
        <w:rPr>
          <w:rtl/>
        </w:rPr>
        <w:t xml:space="preserve"> م</w:t>
      </w:r>
      <w:r w:rsidR="00110A47" w:rsidRPr="006571AC">
        <w:rPr>
          <w:rtl/>
        </w:rPr>
        <w:t>َ</w:t>
      </w:r>
      <w:r w:rsidRPr="006571AC">
        <w:rPr>
          <w:rtl/>
        </w:rPr>
        <w:t>ن</w:t>
      </w:r>
      <w:r w:rsidR="00110A47" w:rsidRPr="006571AC">
        <w:rPr>
          <w:rtl/>
        </w:rPr>
        <w:t>ْ</w:t>
      </w:r>
      <w:r w:rsidRPr="006571AC">
        <w:rPr>
          <w:rtl/>
        </w:rPr>
        <w:t xml:space="preserve"> يخالفه</w:t>
      </w:r>
      <w:r w:rsidR="00110A47" w:rsidRPr="006571AC">
        <w:rPr>
          <w:rtl/>
        </w:rPr>
        <w:t>؛</w:t>
      </w:r>
      <w:r w:rsidRPr="006571AC">
        <w:rPr>
          <w:rtl/>
        </w:rPr>
        <w:t xml:space="preserve"> لأن حب</w:t>
      </w:r>
      <w:r w:rsidR="00110A47" w:rsidRPr="006571AC">
        <w:rPr>
          <w:rtl/>
        </w:rPr>
        <w:t>ّ</w:t>
      </w:r>
      <w:r w:rsidRPr="006571AC">
        <w:rPr>
          <w:rtl/>
        </w:rPr>
        <w:t xml:space="preserve"> الذات تختلف ترجمته بين الناس، وتختلف رؤاه وتفسيراته ومحيطه وساحات تطبيقاته، بل تختلف أيضا</w:t>
      </w:r>
      <w:r w:rsidR="001C125E" w:rsidRPr="006571AC">
        <w:rPr>
          <w:rtl/>
        </w:rPr>
        <w:t>ً</w:t>
      </w:r>
      <w:r w:rsidRPr="006571AC">
        <w:rPr>
          <w:rtl/>
        </w:rPr>
        <w:t xml:space="preserve"> دوافعه ومسارات الكمال فيه، وهذا الاختلاف سبب</w:t>
      </w:r>
      <w:r w:rsidR="001C125E" w:rsidRPr="006571AC">
        <w:rPr>
          <w:rtl/>
        </w:rPr>
        <w:t>ٌ</w:t>
      </w:r>
      <w:r w:rsidRPr="006571AC">
        <w:rPr>
          <w:rtl/>
        </w:rPr>
        <w:t xml:space="preserve"> لتشك</w:t>
      </w:r>
      <w:r w:rsidR="001C125E" w:rsidRPr="006571AC">
        <w:rPr>
          <w:rtl/>
        </w:rPr>
        <w:t>ُّ</w:t>
      </w:r>
      <w:r w:rsidRPr="006571AC">
        <w:rPr>
          <w:rtl/>
        </w:rPr>
        <w:t>ل الجماعات</w:t>
      </w:r>
      <w:r w:rsidR="001C125E" w:rsidRPr="006571AC">
        <w:rPr>
          <w:rtl/>
        </w:rPr>
        <w:t>،</w:t>
      </w:r>
      <w:r w:rsidRPr="006571AC">
        <w:rPr>
          <w:rtl/>
        </w:rPr>
        <w:t xml:space="preserve"> أو ما يسم</w:t>
      </w:r>
      <w:r w:rsidR="001C125E" w:rsidRPr="006571AC">
        <w:rPr>
          <w:rtl/>
        </w:rPr>
        <w:t>ِّ</w:t>
      </w:r>
      <w:r w:rsidRPr="006571AC">
        <w:rPr>
          <w:rtl/>
        </w:rPr>
        <w:t>يه علم الاجتماع ب</w:t>
      </w:r>
      <w:r w:rsidR="001C125E" w:rsidRPr="006571AC">
        <w:rPr>
          <w:rtl/>
        </w:rPr>
        <w:t>ـ: (</w:t>
      </w:r>
      <w:r w:rsidRPr="006571AC">
        <w:rPr>
          <w:rtl/>
        </w:rPr>
        <w:t xml:space="preserve">الشعور بـ </w:t>
      </w:r>
      <w:r w:rsidRPr="006571AC">
        <w:rPr>
          <w:rFonts w:hint="eastAsia"/>
          <w:sz w:val="24"/>
          <w:szCs w:val="24"/>
          <w:rtl/>
        </w:rPr>
        <w:t>«</w:t>
      </w:r>
      <w:r w:rsidRPr="006571AC">
        <w:rPr>
          <w:rtl/>
        </w:rPr>
        <w:t>نحن</w:t>
      </w:r>
      <w:r w:rsidRPr="006571AC">
        <w:rPr>
          <w:rFonts w:hint="eastAsia"/>
          <w:sz w:val="24"/>
          <w:szCs w:val="24"/>
          <w:rtl/>
        </w:rPr>
        <w:t>»</w:t>
      </w:r>
      <w:r w:rsidR="001C125E" w:rsidRPr="006571AC">
        <w:rPr>
          <w:rtl/>
        </w:rPr>
        <w:t>)</w:t>
      </w:r>
      <w:r w:rsidRPr="006571AC">
        <w:rPr>
          <w:rtl/>
        </w:rPr>
        <w:t xml:space="preserve">. </w:t>
      </w:r>
    </w:p>
    <w:p w:rsidR="00286033" w:rsidRPr="006571AC" w:rsidRDefault="001C125E" w:rsidP="006C5D28">
      <w:pPr>
        <w:rPr>
          <w:rtl/>
        </w:rPr>
      </w:pPr>
      <w:r w:rsidRPr="006571AC">
        <w:rPr>
          <w:rFonts w:hint="eastAsia"/>
          <w:sz w:val="24"/>
          <w:szCs w:val="24"/>
          <w:rtl/>
        </w:rPr>
        <w:t>«</w:t>
      </w:r>
      <w:r w:rsidR="0001386F" w:rsidRPr="006571AC">
        <w:rPr>
          <w:rtl/>
        </w:rPr>
        <w:t>ويتخذ ال</w:t>
      </w:r>
      <w:r w:rsidRPr="006571AC">
        <w:rPr>
          <w:rtl/>
        </w:rPr>
        <w:t>ـ</w:t>
      </w:r>
      <w:r w:rsidR="0001386F" w:rsidRPr="006571AC">
        <w:rPr>
          <w:rtl/>
        </w:rPr>
        <w:t xml:space="preserve"> </w:t>
      </w:r>
      <w:r w:rsidR="0001386F" w:rsidRPr="006571AC">
        <w:rPr>
          <w:rFonts w:hint="eastAsia"/>
          <w:sz w:val="24"/>
          <w:szCs w:val="24"/>
          <w:rtl/>
        </w:rPr>
        <w:t>«</w:t>
      </w:r>
      <w:r w:rsidR="0001386F" w:rsidRPr="006571AC">
        <w:rPr>
          <w:rtl/>
        </w:rPr>
        <w:t>نحن</w:t>
      </w:r>
      <w:r w:rsidR="0001386F" w:rsidRPr="006571AC">
        <w:rPr>
          <w:rFonts w:hint="eastAsia"/>
          <w:sz w:val="24"/>
          <w:szCs w:val="24"/>
          <w:rtl/>
        </w:rPr>
        <w:t>»</w:t>
      </w:r>
      <w:r w:rsidR="0001386F" w:rsidRPr="006571AC">
        <w:rPr>
          <w:rtl/>
        </w:rPr>
        <w:t xml:space="preserve"> كيانا</w:t>
      </w:r>
      <w:r w:rsidRPr="006571AC">
        <w:rPr>
          <w:rtl/>
        </w:rPr>
        <w:t>ً</w:t>
      </w:r>
      <w:r w:rsidR="0001386F" w:rsidRPr="006571AC">
        <w:rPr>
          <w:rtl/>
        </w:rPr>
        <w:t xml:space="preserve"> مستقلا</w:t>
      </w:r>
      <w:r w:rsidR="00CB3B21" w:rsidRPr="006571AC">
        <w:rPr>
          <w:rtl/>
        </w:rPr>
        <w:t>ًّ</w:t>
      </w:r>
      <w:r w:rsidR="0001386F" w:rsidRPr="006571AC">
        <w:rPr>
          <w:rtl/>
        </w:rPr>
        <w:t xml:space="preserve"> عن كيانات أفراده، وتتلب</w:t>
      </w:r>
      <w:r w:rsidRPr="006571AC">
        <w:rPr>
          <w:rtl/>
        </w:rPr>
        <w:t>ّ</w:t>
      </w:r>
      <w:r w:rsidR="0001386F" w:rsidRPr="006571AC">
        <w:rPr>
          <w:rtl/>
        </w:rPr>
        <w:t>سه صفات وخصائص لا يت</w:t>
      </w:r>
      <w:r w:rsidRPr="006571AC">
        <w:rPr>
          <w:rtl/>
        </w:rPr>
        <w:t>ّ</w:t>
      </w:r>
      <w:r w:rsidR="0001386F" w:rsidRPr="006571AC">
        <w:rPr>
          <w:rtl/>
        </w:rPr>
        <w:t>صف بها آحاد أفراده</w:t>
      </w:r>
      <w:r w:rsidRPr="006571AC">
        <w:rPr>
          <w:rtl/>
        </w:rPr>
        <w:t>.</w:t>
      </w:r>
      <w:r w:rsidR="0001386F" w:rsidRPr="006571AC">
        <w:rPr>
          <w:rtl/>
        </w:rPr>
        <w:t xml:space="preserve"> ولأهمية هذه الخصائص نشأ علم نفس الجماعة، أو الجمهور أو القطيع. ومن أبرز م</w:t>
      </w:r>
      <w:r w:rsidRPr="006571AC">
        <w:rPr>
          <w:rtl/>
        </w:rPr>
        <w:t>َ</w:t>
      </w:r>
      <w:r w:rsidR="0001386F" w:rsidRPr="006571AC">
        <w:rPr>
          <w:rtl/>
        </w:rPr>
        <w:t>ن</w:t>
      </w:r>
      <w:r w:rsidRPr="006571AC">
        <w:rPr>
          <w:rtl/>
        </w:rPr>
        <w:t>ْ</w:t>
      </w:r>
      <w:r w:rsidR="0001386F" w:rsidRPr="006571AC">
        <w:rPr>
          <w:rtl/>
        </w:rPr>
        <w:t xml:space="preserve"> كتب في هذا المجال</w:t>
      </w:r>
      <w:r w:rsidRPr="006571AC">
        <w:rPr>
          <w:rtl/>
        </w:rPr>
        <w:t>:</w:t>
      </w:r>
      <w:r w:rsidR="0001386F" w:rsidRPr="006571AC">
        <w:rPr>
          <w:rtl/>
        </w:rPr>
        <w:t xml:space="preserve"> غوستاف لوبون في كتابه (روح الجماعات) أو (سيك</w:t>
      </w:r>
      <w:r w:rsidRPr="006571AC">
        <w:rPr>
          <w:rtl/>
        </w:rPr>
        <w:t>و</w:t>
      </w:r>
      <w:r w:rsidR="0001386F" w:rsidRPr="006571AC">
        <w:rPr>
          <w:rtl/>
        </w:rPr>
        <w:t>لوجي</w:t>
      </w:r>
      <w:r w:rsidRPr="006571AC">
        <w:rPr>
          <w:rtl/>
        </w:rPr>
        <w:t>ة</w:t>
      </w:r>
      <w:r w:rsidR="0001386F" w:rsidRPr="006571AC">
        <w:rPr>
          <w:rtl/>
        </w:rPr>
        <w:t xml:space="preserve"> الجماهير)</w:t>
      </w:r>
      <w:r w:rsidRPr="006571AC">
        <w:rPr>
          <w:rtl/>
        </w:rPr>
        <w:t>؛</w:t>
      </w:r>
      <w:r w:rsidR="0001386F" w:rsidRPr="006571AC">
        <w:rPr>
          <w:rtl/>
        </w:rPr>
        <w:t xml:space="preserve"> وسي</w:t>
      </w:r>
      <w:r w:rsidRPr="006571AC">
        <w:rPr>
          <w:rtl/>
        </w:rPr>
        <w:t>غ</w:t>
      </w:r>
      <w:r w:rsidR="0001386F" w:rsidRPr="006571AC">
        <w:rPr>
          <w:rtl/>
        </w:rPr>
        <w:t>موند فرويد في (علم نفس الجماهير)</w:t>
      </w:r>
      <w:r w:rsidR="0001386F" w:rsidRPr="006571AC">
        <w:rPr>
          <w:rFonts w:hint="eastAsia"/>
          <w:sz w:val="24"/>
          <w:szCs w:val="24"/>
          <w:rtl/>
        </w:rPr>
        <w:t>»</w:t>
      </w:r>
      <w:r w:rsidR="0001386F" w:rsidRPr="006571AC">
        <w:rPr>
          <w:vertAlign w:val="superscript"/>
          <w:rtl/>
        </w:rPr>
        <w:t>(</w:t>
      </w:r>
      <w:r w:rsidR="0001386F" w:rsidRPr="006571AC">
        <w:rPr>
          <w:rStyle w:val="ac"/>
          <w:rFonts w:ascii="Arial" w:hAnsi="Arial"/>
          <w:sz w:val="27"/>
          <w:rtl/>
        </w:rPr>
        <w:endnoteReference w:id="713"/>
      </w:r>
      <w:r w:rsidR="0001386F" w:rsidRPr="006571AC">
        <w:rPr>
          <w:vertAlign w:val="superscript"/>
          <w:rtl/>
        </w:rPr>
        <w:t>)</w:t>
      </w:r>
      <w:r w:rsidR="0001386F" w:rsidRPr="006571AC">
        <w:rPr>
          <w:rtl/>
        </w:rPr>
        <w:t>.</w:t>
      </w:r>
    </w:p>
    <w:p w:rsidR="00286033" w:rsidRPr="006571AC" w:rsidRDefault="0001386F" w:rsidP="006C5D28">
      <w:pPr>
        <w:rPr>
          <w:rtl/>
        </w:rPr>
      </w:pPr>
      <w:r w:rsidRPr="006571AC">
        <w:rPr>
          <w:rtl/>
        </w:rPr>
        <w:t>فتشك</w:t>
      </w:r>
      <w:r w:rsidR="001C125E" w:rsidRPr="006571AC">
        <w:rPr>
          <w:rtl/>
        </w:rPr>
        <w:t>ُّ</w:t>
      </w:r>
      <w:r w:rsidRPr="006571AC">
        <w:rPr>
          <w:rtl/>
        </w:rPr>
        <w:t>ل الجماعة أو ال</w:t>
      </w:r>
      <w:r w:rsidR="001C125E" w:rsidRPr="006571AC">
        <w:rPr>
          <w:rtl/>
        </w:rPr>
        <w:t>ـ</w:t>
      </w:r>
      <w:r w:rsidRPr="006571AC">
        <w:rPr>
          <w:rtl/>
        </w:rPr>
        <w:t xml:space="preserve"> </w:t>
      </w:r>
      <w:r w:rsidRPr="006571AC">
        <w:rPr>
          <w:rFonts w:hint="eastAsia"/>
          <w:sz w:val="24"/>
          <w:szCs w:val="24"/>
          <w:rtl/>
        </w:rPr>
        <w:t>«</w:t>
      </w:r>
      <w:r w:rsidRPr="006571AC">
        <w:rPr>
          <w:rtl/>
        </w:rPr>
        <w:t>نحن</w:t>
      </w:r>
      <w:r w:rsidRPr="006571AC">
        <w:rPr>
          <w:rFonts w:hint="eastAsia"/>
          <w:sz w:val="24"/>
          <w:szCs w:val="24"/>
          <w:rtl/>
        </w:rPr>
        <w:t>»</w:t>
      </w:r>
      <w:r w:rsidRPr="006571AC">
        <w:rPr>
          <w:rtl/>
        </w:rPr>
        <w:t xml:space="preserve"> يأتي انعكاسا</w:t>
      </w:r>
      <w:r w:rsidR="001C125E" w:rsidRPr="006571AC">
        <w:rPr>
          <w:rtl/>
        </w:rPr>
        <w:t>ً</w:t>
      </w:r>
      <w:r w:rsidRPr="006571AC">
        <w:rPr>
          <w:rtl/>
        </w:rPr>
        <w:t xml:space="preserve"> لحب</w:t>
      </w:r>
      <w:r w:rsidR="001C125E" w:rsidRPr="006571AC">
        <w:rPr>
          <w:rtl/>
        </w:rPr>
        <w:t>ّ</w:t>
      </w:r>
      <w:r w:rsidRPr="006571AC">
        <w:rPr>
          <w:rtl/>
        </w:rPr>
        <w:t xml:space="preserve"> الذات على الجماعة، التي تتشك</w:t>
      </w:r>
      <w:r w:rsidR="001C125E" w:rsidRPr="006571AC">
        <w:rPr>
          <w:rtl/>
        </w:rPr>
        <w:t>َّ</w:t>
      </w:r>
      <w:r w:rsidRPr="006571AC">
        <w:rPr>
          <w:rtl/>
        </w:rPr>
        <w:t>ل من أفراد</w:t>
      </w:r>
      <w:r w:rsidR="001C125E" w:rsidRPr="006571AC">
        <w:rPr>
          <w:rtl/>
        </w:rPr>
        <w:t>ٍ</w:t>
      </w:r>
      <w:r w:rsidRPr="006571AC">
        <w:rPr>
          <w:rtl/>
        </w:rPr>
        <w:t xml:space="preserve"> تشاب</w:t>
      </w:r>
      <w:r w:rsidR="009B79FE" w:rsidRPr="006571AC">
        <w:rPr>
          <w:rFonts w:hint="cs"/>
          <w:rtl/>
        </w:rPr>
        <w:t>َ</w:t>
      </w:r>
      <w:r w:rsidRPr="006571AC">
        <w:rPr>
          <w:rtl/>
        </w:rPr>
        <w:t>ه</w:t>
      </w:r>
      <w:r w:rsidR="009B79FE" w:rsidRPr="006571AC">
        <w:rPr>
          <w:rFonts w:hint="cs"/>
          <w:rtl/>
        </w:rPr>
        <w:t>َ</w:t>
      </w:r>
      <w:r w:rsidRPr="006571AC">
        <w:rPr>
          <w:rtl/>
        </w:rPr>
        <w:t>ت</w:t>
      </w:r>
      <w:r w:rsidR="009B79FE" w:rsidRPr="006571AC">
        <w:rPr>
          <w:rFonts w:hint="cs"/>
          <w:rtl/>
        </w:rPr>
        <w:t>ْ</w:t>
      </w:r>
      <w:r w:rsidRPr="006571AC">
        <w:rPr>
          <w:rtl/>
        </w:rPr>
        <w:t xml:space="preserve"> أهدافهم وميولهم وأفهامهم ورغباتهم حول </w:t>
      </w:r>
      <w:r w:rsidRPr="006571AC">
        <w:rPr>
          <w:rFonts w:hint="eastAsia"/>
          <w:sz w:val="24"/>
          <w:szCs w:val="24"/>
          <w:rtl/>
        </w:rPr>
        <w:t>«</w:t>
      </w:r>
      <w:r w:rsidRPr="006571AC">
        <w:rPr>
          <w:rtl/>
        </w:rPr>
        <w:t>حب</w:t>
      </w:r>
      <w:r w:rsidR="001C125E" w:rsidRPr="006571AC">
        <w:rPr>
          <w:rtl/>
        </w:rPr>
        <w:t>ّ</w:t>
      </w:r>
      <w:r w:rsidRPr="006571AC">
        <w:rPr>
          <w:rtl/>
        </w:rPr>
        <w:t xml:space="preserve"> الذات</w:t>
      </w:r>
      <w:r w:rsidRPr="006571AC">
        <w:rPr>
          <w:rFonts w:hint="eastAsia"/>
          <w:sz w:val="24"/>
          <w:szCs w:val="24"/>
          <w:rtl/>
        </w:rPr>
        <w:t>»</w:t>
      </w:r>
      <w:r w:rsidRPr="006571AC">
        <w:rPr>
          <w:rtl/>
        </w:rPr>
        <w:t>، وقد تمث</w:t>
      </w:r>
      <w:r w:rsidR="001C125E" w:rsidRPr="006571AC">
        <w:rPr>
          <w:rtl/>
        </w:rPr>
        <w:t>ِّ</w:t>
      </w:r>
      <w:r w:rsidRPr="006571AC">
        <w:rPr>
          <w:rtl/>
        </w:rPr>
        <w:t xml:space="preserve">ل الـ </w:t>
      </w:r>
      <w:r w:rsidRPr="006571AC">
        <w:rPr>
          <w:rFonts w:hint="eastAsia"/>
          <w:sz w:val="24"/>
          <w:szCs w:val="24"/>
          <w:rtl/>
        </w:rPr>
        <w:t>«</w:t>
      </w:r>
      <w:r w:rsidRPr="006571AC">
        <w:rPr>
          <w:rtl/>
        </w:rPr>
        <w:t xml:space="preserve"> نحن </w:t>
      </w:r>
      <w:r w:rsidRPr="006571AC">
        <w:rPr>
          <w:rFonts w:hint="eastAsia"/>
          <w:sz w:val="24"/>
          <w:szCs w:val="24"/>
          <w:rtl/>
        </w:rPr>
        <w:t>«</w:t>
      </w:r>
      <w:r w:rsidRPr="006571AC">
        <w:rPr>
          <w:rtl/>
        </w:rPr>
        <w:t xml:space="preserve"> تعص</w:t>
      </w:r>
      <w:r w:rsidR="001C125E" w:rsidRPr="006571AC">
        <w:rPr>
          <w:rtl/>
        </w:rPr>
        <w:t>ُّ</w:t>
      </w:r>
      <w:r w:rsidRPr="006571AC">
        <w:rPr>
          <w:rtl/>
        </w:rPr>
        <w:t>با</w:t>
      </w:r>
      <w:r w:rsidR="001C125E" w:rsidRPr="006571AC">
        <w:rPr>
          <w:rtl/>
        </w:rPr>
        <w:t>ً</w:t>
      </w:r>
      <w:r w:rsidRPr="006571AC">
        <w:rPr>
          <w:rtl/>
        </w:rPr>
        <w:t xml:space="preserve"> للجماعة</w:t>
      </w:r>
      <w:r w:rsidR="001C125E" w:rsidRPr="006571AC">
        <w:rPr>
          <w:rtl/>
        </w:rPr>
        <w:t>،</w:t>
      </w:r>
      <w:r w:rsidRPr="006571AC">
        <w:rPr>
          <w:rtl/>
        </w:rPr>
        <w:t xml:space="preserve"> وتحز</w:t>
      </w:r>
      <w:r w:rsidR="001C125E" w:rsidRPr="006571AC">
        <w:rPr>
          <w:rtl/>
        </w:rPr>
        <w:t>ُّ</w:t>
      </w:r>
      <w:r w:rsidRPr="006571AC">
        <w:rPr>
          <w:rtl/>
        </w:rPr>
        <w:t>با</w:t>
      </w:r>
      <w:r w:rsidR="001C125E" w:rsidRPr="006571AC">
        <w:rPr>
          <w:rtl/>
        </w:rPr>
        <w:t>ً</w:t>
      </w:r>
      <w:r w:rsidR="00286033" w:rsidRPr="006571AC">
        <w:rPr>
          <w:rtl/>
        </w:rPr>
        <w:t xml:space="preserve"> لأفكارها وأهدافها.</w:t>
      </w:r>
    </w:p>
    <w:p w:rsidR="00286033" w:rsidRPr="006571AC" w:rsidRDefault="0001386F" w:rsidP="006C5D28">
      <w:pPr>
        <w:rPr>
          <w:rtl/>
        </w:rPr>
      </w:pPr>
      <w:r w:rsidRPr="006571AC">
        <w:rPr>
          <w:rtl/>
        </w:rPr>
        <w:t>فنتيجة هذا الاختلاف في إدراك غريزة حب</w:t>
      </w:r>
      <w:r w:rsidR="001C125E" w:rsidRPr="006571AC">
        <w:rPr>
          <w:rtl/>
        </w:rPr>
        <w:t>ّ</w:t>
      </w:r>
      <w:r w:rsidRPr="006571AC">
        <w:rPr>
          <w:rtl/>
        </w:rPr>
        <w:t xml:space="preserve"> الذات وفهمها، والتي يؤث</w:t>
      </w:r>
      <w:r w:rsidR="001C125E" w:rsidRPr="006571AC">
        <w:rPr>
          <w:rtl/>
        </w:rPr>
        <w:t>ِّ</w:t>
      </w:r>
      <w:r w:rsidRPr="006571AC">
        <w:rPr>
          <w:rtl/>
        </w:rPr>
        <w:t>ر فيها أيضا</w:t>
      </w:r>
      <w:r w:rsidR="001C125E" w:rsidRPr="006571AC">
        <w:rPr>
          <w:rtl/>
        </w:rPr>
        <w:t>ً</w:t>
      </w:r>
      <w:r w:rsidRPr="006571AC">
        <w:rPr>
          <w:rtl/>
        </w:rPr>
        <w:t xml:space="preserve"> وفي تشكيلات مجال إدراك الفرد حولها الأسرة</w:t>
      </w:r>
      <w:r w:rsidR="00246AAB" w:rsidRPr="006571AC">
        <w:rPr>
          <w:rtl/>
        </w:rPr>
        <w:t>ُ</w:t>
      </w:r>
      <w:r w:rsidRPr="006571AC">
        <w:rPr>
          <w:rtl/>
        </w:rPr>
        <w:t xml:space="preserve"> والمجتمع</w:t>
      </w:r>
      <w:r w:rsidR="00246AAB" w:rsidRPr="006571AC">
        <w:rPr>
          <w:rtl/>
        </w:rPr>
        <w:t>ُ</w:t>
      </w:r>
      <w:r w:rsidRPr="006571AC">
        <w:rPr>
          <w:rtl/>
        </w:rPr>
        <w:t>، فإن هذا الاختلاف يؤد</w:t>
      </w:r>
      <w:r w:rsidR="00246AAB" w:rsidRPr="006571AC">
        <w:rPr>
          <w:rtl/>
        </w:rPr>
        <w:t>ّ</w:t>
      </w:r>
      <w:r w:rsidRPr="006571AC">
        <w:rPr>
          <w:rtl/>
        </w:rPr>
        <w:t>ي تلقائي</w:t>
      </w:r>
      <w:r w:rsidR="00246AAB" w:rsidRPr="006571AC">
        <w:rPr>
          <w:rtl/>
        </w:rPr>
        <w:t>ّ</w:t>
      </w:r>
      <w:r w:rsidRPr="006571AC">
        <w:rPr>
          <w:rtl/>
        </w:rPr>
        <w:t>ا</w:t>
      </w:r>
      <w:r w:rsidR="00246AAB" w:rsidRPr="006571AC">
        <w:rPr>
          <w:rtl/>
        </w:rPr>
        <w:t>ً</w:t>
      </w:r>
      <w:r w:rsidRPr="006571AC">
        <w:rPr>
          <w:rtl/>
        </w:rPr>
        <w:t xml:space="preserve"> إلى اختلاف الأهداف والغايات والآليات، بل والمرجعي</w:t>
      </w:r>
      <w:r w:rsidR="00246AAB" w:rsidRPr="006571AC">
        <w:rPr>
          <w:rtl/>
        </w:rPr>
        <w:t>ّ</w:t>
      </w:r>
      <w:r w:rsidRPr="006571AC">
        <w:rPr>
          <w:rtl/>
        </w:rPr>
        <w:t>ات المعرفية المعيارية، ومنظومة الق</w:t>
      </w:r>
      <w:r w:rsidR="00246AAB" w:rsidRPr="006571AC">
        <w:rPr>
          <w:rtl/>
        </w:rPr>
        <w:t>ِ</w:t>
      </w:r>
      <w:r w:rsidRPr="006571AC">
        <w:rPr>
          <w:rtl/>
        </w:rPr>
        <w:t>ي</w:t>
      </w:r>
      <w:r w:rsidR="00246AAB" w:rsidRPr="006571AC">
        <w:rPr>
          <w:rtl/>
        </w:rPr>
        <w:t>َ</w:t>
      </w:r>
      <w:r w:rsidRPr="006571AC">
        <w:rPr>
          <w:rtl/>
        </w:rPr>
        <w:t>م والمبادئ</w:t>
      </w:r>
      <w:r w:rsidR="00246AAB" w:rsidRPr="006571AC">
        <w:rPr>
          <w:rtl/>
        </w:rPr>
        <w:t xml:space="preserve">؛ </w:t>
      </w:r>
      <w:r w:rsidRPr="006571AC">
        <w:rPr>
          <w:rtl/>
        </w:rPr>
        <w:t>لأنها كل</w:t>
      </w:r>
      <w:r w:rsidR="00246AAB" w:rsidRPr="006571AC">
        <w:rPr>
          <w:rtl/>
        </w:rPr>
        <w:t>ّ</w:t>
      </w:r>
      <w:r w:rsidRPr="006571AC">
        <w:rPr>
          <w:rtl/>
        </w:rPr>
        <w:t>ها تأتي تحت عنوان اللذ</w:t>
      </w:r>
      <w:r w:rsidR="00246AAB" w:rsidRPr="006571AC">
        <w:rPr>
          <w:rtl/>
        </w:rPr>
        <w:t>ّ</w:t>
      </w:r>
      <w:r w:rsidRPr="006571AC">
        <w:rPr>
          <w:rtl/>
        </w:rPr>
        <w:t xml:space="preserve">ة والسعادة والألم، </w:t>
      </w:r>
      <w:r w:rsidRPr="006571AC">
        <w:rPr>
          <w:rtl/>
        </w:rPr>
        <w:lastRenderedPageBreak/>
        <w:t>و</w:t>
      </w:r>
      <w:r w:rsidR="00286033" w:rsidRPr="006571AC">
        <w:rPr>
          <w:rtl/>
        </w:rPr>
        <w:t>تشكيل الأفكار حول هذه المفاهيم.</w:t>
      </w:r>
    </w:p>
    <w:p w:rsidR="0001386F" w:rsidRPr="006571AC" w:rsidRDefault="00246AAB" w:rsidP="006C5D28">
      <w:pPr>
        <w:rPr>
          <w:rtl/>
        </w:rPr>
      </w:pPr>
      <w:r w:rsidRPr="006571AC">
        <w:rPr>
          <w:rtl/>
        </w:rPr>
        <w:t xml:space="preserve">يؤدّي </w:t>
      </w:r>
      <w:r w:rsidR="0001386F" w:rsidRPr="006571AC">
        <w:rPr>
          <w:rtl/>
        </w:rPr>
        <w:t>اختلاف المرجعيات المعيارية إلى اختلاف القوانين الناظمة في المجتمعات، بل يؤد</w:t>
      </w:r>
      <w:r w:rsidRPr="006571AC">
        <w:rPr>
          <w:rtl/>
        </w:rPr>
        <w:t>ّ</w:t>
      </w:r>
      <w:r w:rsidR="0001386F" w:rsidRPr="006571AC">
        <w:rPr>
          <w:rtl/>
        </w:rPr>
        <w:t>ي إلى اختلاف الم</w:t>
      </w:r>
      <w:r w:rsidRPr="006571AC">
        <w:rPr>
          <w:rtl/>
        </w:rPr>
        <w:t>َ</w:t>
      </w:r>
      <w:r w:rsidR="0001386F" w:rsidRPr="006571AC">
        <w:rPr>
          <w:rtl/>
        </w:rPr>
        <w:t>ث</w:t>
      </w:r>
      <w:r w:rsidRPr="006571AC">
        <w:rPr>
          <w:rtl/>
        </w:rPr>
        <w:t>َ</w:t>
      </w:r>
      <w:r w:rsidR="0001386F" w:rsidRPr="006571AC">
        <w:rPr>
          <w:rtl/>
        </w:rPr>
        <w:t>ل الأعلى</w:t>
      </w:r>
      <w:r w:rsidRPr="006571AC">
        <w:rPr>
          <w:rtl/>
        </w:rPr>
        <w:t>،</w:t>
      </w:r>
      <w:r w:rsidR="0001386F" w:rsidRPr="006571AC">
        <w:rPr>
          <w:rtl/>
        </w:rPr>
        <w:t xml:space="preserve"> وآليات التغيير الاجتماعي</w:t>
      </w:r>
      <w:r w:rsidRPr="006571AC">
        <w:rPr>
          <w:rtl/>
        </w:rPr>
        <w:t>،</w:t>
      </w:r>
      <w:r w:rsidR="0001386F" w:rsidRPr="006571AC">
        <w:rPr>
          <w:rtl/>
        </w:rPr>
        <w:t xml:space="preserve"> والأفكار المؤس</w:t>
      </w:r>
      <w:r w:rsidRPr="006571AC">
        <w:rPr>
          <w:rtl/>
        </w:rPr>
        <w:t>ِّ</w:t>
      </w:r>
      <w:r w:rsidR="0001386F" w:rsidRPr="006571AC">
        <w:rPr>
          <w:rtl/>
        </w:rPr>
        <w:t>سة لنظريات التغيير</w:t>
      </w:r>
      <w:r w:rsidRPr="006571AC">
        <w:rPr>
          <w:rtl/>
        </w:rPr>
        <w:t>.</w:t>
      </w:r>
      <w:r w:rsidR="0001386F" w:rsidRPr="006571AC">
        <w:rPr>
          <w:rtl/>
        </w:rPr>
        <w:t xml:space="preserve"> وهذا الاختلاف ناتج</w:t>
      </w:r>
      <w:r w:rsidRPr="006571AC">
        <w:rPr>
          <w:rtl/>
        </w:rPr>
        <w:t>ٌ</w:t>
      </w:r>
      <w:r w:rsidR="0001386F" w:rsidRPr="006571AC">
        <w:rPr>
          <w:rtl/>
        </w:rPr>
        <w:t xml:space="preserve"> من الأساس من غريزة حب</w:t>
      </w:r>
      <w:r w:rsidRPr="006571AC">
        <w:rPr>
          <w:rtl/>
        </w:rPr>
        <w:t>ّ</w:t>
      </w:r>
      <w:r w:rsidR="0001386F" w:rsidRPr="006571AC">
        <w:rPr>
          <w:rtl/>
        </w:rPr>
        <w:t xml:space="preserve"> الذات، ومجالات تطبيقها وتجل</w:t>
      </w:r>
      <w:r w:rsidRPr="006571AC">
        <w:rPr>
          <w:rtl/>
        </w:rPr>
        <w:t>ِّ</w:t>
      </w:r>
      <w:r w:rsidR="0001386F" w:rsidRPr="006571AC">
        <w:rPr>
          <w:rtl/>
        </w:rPr>
        <w:t>يها، وامتدادات مفاهيم اللذ</w:t>
      </w:r>
      <w:r w:rsidRPr="006571AC">
        <w:rPr>
          <w:rtl/>
        </w:rPr>
        <w:t>ّ</w:t>
      </w:r>
      <w:r w:rsidR="0001386F" w:rsidRPr="006571AC">
        <w:rPr>
          <w:rtl/>
        </w:rPr>
        <w:t xml:space="preserve">ة والسعادة والألم. </w:t>
      </w:r>
    </w:p>
    <w:p w:rsidR="0001386F" w:rsidRPr="006571AC" w:rsidRDefault="0001386F" w:rsidP="006C5D28">
      <w:pPr>
        <w:rPr>
          <w:rtl/>
        </w:rPr>
      </w:pPr>
      <w:r w:rsidRPr="006571AC">
        <w:rPr>
          <w:rtl/>
        </w:rPr>
        <w:t>بل إن منشأ أي</w:t>
      </w:r>
      <w:r w:rsidR="00246AAB" w:rsidRPr="006571AC">
        <w:rPr>
          <w:rtl/>
        </w:rPr>
        <w:t>ّ</w:t>
      </w:r>
      <w:r w:rsidRPr="006571AC">
        <w:rPr>
          <w:rtl/>
        </w:rPr>
        <w:t xml:space="preserve"> تغيير</w:t>
      </w:r>
      <w:r w:rsidR="00246AAB" w:rsidRPr="006571AC">
        <w:rPr>
          <w:rtl/>
        </w:rPr>
        <w:t>ٍ</w:t>
      </w:r>
      <w:r w:rsidRPr="006571AC">
        <w:rPr>
          <w:rtl/>
        </w:rPr>
        <w:t xml:space="preserve"> اجتماعي هو حب</w:t>
      </w:r>
      <w:r w:rsidR="00246AAB" w:rsidRPr="006571AC">
        <w:rPr>
          <w:rtl/>
        </w:rPr>
        <w:t>ّ</w:t>
      </w:r>
      <w:r w:rsidRPr="006571AC">
        <w:rPr>
          <w:rtl/>
        </w:rPr>
        <w:t xml:space="preserve"> الذات، الذي من مقو</w:t>
      </w:r>
      <w:r w:rsidR="00246AAB" w:rsidRPr="006571AC">
        <w:rPr>
          <w:rtl/>
        </w:rPr>
        <w:t>ِّ</w:t>
      </w:r>
      <w:r w:rsidRPr="006571AC">
        <w:rPr>
          <w:rtl/>
        </w:rPr>
        <w:t>ماته السعي إلى الكمال والسعادة والشعور باللذ</w:t>
      </w:r>
      <w:r w:rsidR="00246AAB" w:rsidRPr="006571AC">
        <w:rPr>
          <w:rtl/>
        </w:rPr>
        <w:t>ّ</w:t>
      </w:r>
      <w:r w:rsidRPr="006571AC">
        <w:rPr>
          <w:rtl/>
        </w:rPr>
        <w:t>ة، والابتعاد عن كل</w:t>
      </w:r>
      <w:r w:rsidR="00246AAB" w:rsidRPr="006571AC">
        <w:rPr>
          <w:rtl/>
        </w:rPr>
        <w:t>ّ</w:t>
      </w:r>
      <w:r w:rsidRPr="006571AC">
        <w:rPr>
          <w:rtl/>
        </w:rPr>
        <w:t xml:space="preserve"> المنغ</w:t>
      </w:r>
      <w:r w:rsidR="00246AAB" w:rsidRPr="006571AC">
        <w:rPr>
          <w:rtl/>
        </w:rPr>
        <w:t>ِّ</w:t>
      </w:r>
      <w:r w:rsidRPr="006571AC">
        <w:rPr>
          <w:rtl/>
        </w:rPr>
        <w:t>صات</w:t>
      </w:r>
      <w:r w:rsidR="00246AAB" w:rsidRPr="006571AC">
        <w:rPr>
          <w:rtl/>
        </w:rPr>
        <w:t>.</w:t>
      </w:r>
      <w:r w:rsidRPr="006571AC">
        <w:rPr>
          <w:rtl/>
        </w:rPr>
        <w:t xml:space="preserve"> فما أن يتول</w:t>
      </w:r>
      <w:r w:rsidR="00246AAB" w:rsidRPr="006571AC">
        <w:rPr>
          <w:rtl/>
        </w:rPr>
        <w:t>َّ</w:t>
      </w:r>
      <w:r w:rsidRPr="006571AC">
        <w:rPr>
          <w:rtl/>
        </w:rPr>
        <w:t>د شعور</w:t>
      </w:r>
      <w:r w:rsidR="00246AAB" w:rsidRPr="006571AC">
        <w:rPr>
          <w:rtl/>
        </w:rPr>
        <w:t>ٌ</w:t>
      </w:r>
      <w:r w:rsidRPr="006571AC">
        <w:rPr>
          <w:rtl/>
        </w:rPr>
        <w:t xml:space="preserve"> ج</w:t>
      </w:r>
      <w:r w:rsidR="00246AAB" w:rsidRPr="006571AC">
        <w:rPr>
          <w:rtl/>
        </w:rPr>
        <w:t>َ</w:t>
      </w:r>
      <w:r w:rsidRPr="006571AC">
        <w:rPr>
          <w:rtl/>
        </w:rPr>
        <w:t>م</w:t>
      </w:r>
      <w:r w:rsidR="00246AAB" w:rsidRPr="006571AC">
        <w:rPr>
          <w:rtl/>
        </w:rPr>
        <w:t>ْ</w:t>
      </w:r>
      <w:r w:rsidRPr="006571AC">
        <w:rPr>
          <w:rtl/>
        </w:rPr>
        <w:t>عي</w:t>
      </w:r>
      <w:r w:rsidR="00246AAB" w:rsidRPr="006571AC">
        <w:rPr>
          <w:rtl/>
        </w:rPr>
        <w:t>ّ</w:t>
      </w:r>
      <w:r w:rsidRPr="006571AC">
        <w:rPr>
          <w:rtl/>
        </w:rPr>
        <w:t xml:space="preserve"> بالألم، وتتراكم تلك المشاعر الاجتماعية، </w:t>
      </w:r>
      <w:r w:rsidR="00246AAB" w:rsidRPr="006571AC">
        <w:rPr>
          <w:rtl/>
        </w:rPr>
        <w:t>و</w:t>
      </w:r>
      <w:r w:rsidRPr="006571AC">
        <w:rPr>
          <w:rtl/>
        </w:rPr>
        <w:t>خاص</w:t>
      </w:r>
      <w:r w:rsidR="00246AAB" w:rsidRPr="006571AC">
        <w:rPr>
          <w:rtl/>
        </w:rPr>
        <w:t>ّ</w:t>
      </w:r>
      <w:r w:rsidRPr="006571AC">
        <w:rPr>
          <w:rtl/>
        </w:rPr>
        <w:t>ة عند تراكم الشعور بالظلم والغبن وسلب الحقوق، الذي هو مدعاة</w:t>
      </w:r>
      <w:r w:rsidR="00246AAB" w:rsidRPr="006571AC">
        <w:rPr>
          <w:rtl/>
        </w:rPr>
        <w:t>ٌ</w:t>
      </w:r>
      <w:r w:rsidRPr="006571AC">
        <w:rPr>
          <w:rtl/>
        </w:rPr>
        <w:t xml:space="preserve"> للعقوق، حتى يؤد</w:t>
      </w:r>
      <w:r w:rsidR="00246AAB" w:rsidRPr="006571AC">
        <w:rPr>
          <w:rtl/>
        </w:rPr>
        <w:t>ّ</w:t>
      </w:r>
      <w:r w:rsidRPr="006571AC">
        <w:rPr>
          <w:rtl/>
        </w:rPr>
        <w:t>ي حب</w:t>
      </w:r>
      <w:r w:rsidR="00246AAB" w:rsidRPr="006571AC">
        <w:rPr>
          <w:rtl/>
        </w:rPr>
        <w:t>ّ</w:t>
      </w:r>
      <w:r w:rsidRPr="006571AC">
        <w:rPr>
          <w:rtl/>
        </w:rPr>
        <w:t xml:space="preserve"> الذات إلى خلق الدافع نحو التغيير للحصول على السعادة</w:t>
      </w:r>
      <w:r w:rsidR="000812F9" w:rsidRPr="006571AC">
        <w:rPr>
          <w:rtl/>
        </w:rPr>
        <w:t>.</w:t>
      </w:r>
      <w:r w:rsidRPr="006571AC">
        <w:rPr>
          <w:rtl/>
        </w:rPr>
        <w:t xml:space="preserve"> ونتيجة تشك</w:t>
      </w:r>
      <w:r w:rsidR="000812F9" w:rsidRPr="006571AC">
        <w:rPr>
          <w:rtl/>
        </w:rPr>
        <w:t>ُّ</w:t>
      </w:r>
      <w:r w:rsidRPr="006571AC">
        <w:rPr>
          <w:rtl/>
        </w:rPr>
        <w:t>ل الجماعات على أساس المشتركات المنطلقة من حب</w:t>
      </w:r>
      <w:r w:rsidR="000812F9" w:rsidRPr="006571AC">
        <w:rPr>
          <w:rtl/>
        </w:rPr>
        <w:t>ّ</w:t>
      </w:r>
      <w:r w:rsidRPr="006571AC">
        <w:rPr>
          <w:rtl/>
        </w:rPr>
        <w:t xml:space="preserve"> الذات، ومجالات تحقيقه وأهدافه وآلياته، تختلف آليات التغيير ومقو</w:t>
      </w:r>
      <w:r w:rsidR="000812F9" w:rsidRPr="006571AC">
        <w:rPr>
          <w:rtl/>
        </w:rPr>
        <w:t>ّ</w:t>
      </w:r>
      <w:r w:rsidRPr="006571AC">
        <w:rPr>
          <w:rtl/>
        </w:rPr>
        <w:t>ماته، إلا</w:t>
      </w:r>
      <w:r w:rsidR="000812F9" w:rsidRPr="006571AC">
        <w:rPr>
          <w:rtl/>
        </w:rPr>
        <w:t>ّ</w:t>
      </w:r>
      <w:r w:rsidRPr="006571AC">
        <w:rPr>
          <w:rtl/>
        </w:rPr>
        <w:t xml:space="preserve"> أنها تت</w:t>
      </w:r>
      <w:r w:rsidR="000812F9" w:rsidRPr="006571AC">
        <w:rPr>
          <w:rtl/>
        </w:rPr>
        <w:t>َّ</w:t>
      </w:r>
      <w:r w:rsidRPr="006571AC">
        <w:rPr>
          <w:rtl/>
        </w:rPr>
        <w:t>فق في الشكل العام</w:t>
      </w:r>
      <w:r w:rsidR="000812F9" w:rsidRPr="006571AC">
        <w:rPr>
          <w:rtl/>
        </w:rPr>
        <w:t>ّ</w:t>
      </w:r>
      <w:r w:rsidRPr="006571AC">
        <w:rPr>
          <w:rtl/>
        </w:rPr>
        <w:t>، وهو السعي نحو الكمال</w:t>
      </w:r>
      <w:r w:rsidR="000812F9" w:rsidRPr="006571AC">
        <w:rPr>
          <w:rtl/>
        </w:rPr>
        <w:t>،</w:t>
      </w:r>
      <w:r w:rsidRPr="006571AC">
        <w:rPr>
          <w:rtl/>
        </w:rPr>
        <w:t xml:space="preserve"> والتخل</w:t>
      </w:r>
      <w:r w:rsidR="000812F9" w:rsidRPr="006571AC">
        <w:rPr>
          <w:rtl/>
        </w:rPr>
        <w:t>ُّ</w:t>
      </w:r>
      <w:r w:rsidRPr="006571AC">
        <w:rPr>
          <w:rtl/>
        </w:rPr>
        <w:t>ص من مشاعر الألم</w:t>
      </w:r>
      <w:r w:rsidR="000812F9" w:rsidRPr="006571AC">
        <w:rPr>
          <w:rtl/>
        </w:rPr>
        <w:t>،</w:t>
      </w:r>
      <w:r w:rsidRPr="006571AC">
        <w:rPr>
          <w:rtl/>
        </w:rPr>
        <w:t xml:space="preserve"> ومن كل</w:t>
      </w:r>
      <w:r w:rsidR="000812F9" w:rsidRPr="006571AC">
        <w:rPr>
          <w:rtl/>
        </w:rPr>
        <w:t>ّ</w:t>
      </w:r>
      <w:r w:rsidRPr="006571AC">
        <w:rPr>
          <w:rtl/>
        </w:rPr>
        <w:t xml:space="preserve"> المنغ</w:t>
      </w:r>
      <w:r w:rsidR="000812F9" w:rsidRPr="006571AC">
        <w:rPr>
          <w:rtl/>
        </w:rPr>
        <w:t>ِّ</w:t>
      </w:r>
      <w:r w:rsidRPr="006571AC">
        <w:rPr>
          <w:rtl/>
        </w:rPr>
        <w:t>صات التي تعيق تحقيق السعادة، وتغيير الواقع إلى واقع</w:t>
      </w:r>
      <w:r w:rsidR="000812F9" w:rsidRPr="006571AC">
        <w:rPr>
          <w:rtl/>
        </w:rPr>
        <w:t>ٍ</w:t>
      </w:r>
      <w:r w:rsidRPr="006571AC">
        <w:rPr>
          <w:rtl/>
        </w:rPr>
        <w:t xml:space="preserve"> أكمل وأرقى. </w:t>
      </w:r>
    </w:p>
    <w:p w:rsidR="0001386F" w:rsidRPr="006571AC" w:rsidRDefault="0001386F" w:rsidP="006C5D28">
      <w:pPr>
        <w:rPr>
          <w:rtl/>
        </w:rPr>
      </w:pPr>
      <w:r w:rsidRPr="006571AC">
        <w:rPr>
          <w:rtl/>
        </w:rPr>
        <w:t>ويعتمد شعور الحاجة للتغيير وانبعاث إرادة الفرد أو الجماعة للتغيير على مدى إدراك وو</w:t>
      </w:r>
      <w:r w:rsidR="000812F9" w:rsidRPr="006571AC">
        <w:rPr>
          <w:rtl/>
        </w:rPr>
        <w:t>َ</w:t>
      </w:r>
      <w:r w:rsidRPr="006571AC">
        <w:rPr>
          <w:rtl/>
        </w:rPr>
        <w:t>ع</w:t>
      </w:r>
      <w:r w:rsidR="000812F9" w:rsidRPr="006571AC">
        <w:rPr>
          <w:rtl/>
        </w:rPr>
        <w:t>ْ</w:t>
      </w:r>
      <w:r w:rsidRPr="006571AC">
        <w:rPr>
          <w:rtl/>
        </w:rPr>
        <w:t>ي هذا الفرد والمجتمع لحاجة التغيير</w:t>
      </w:r>
      <w:r w:rsidR="000812F9" w:rsidRPr="006571AC">
        <w:rPr>
          <w:rtl/>
        </w:rPr>
        <w:t>؛</w:t>
      </w:r>
      <w:r w:rsidRPr="006571AC">
        <w:rPr>
          <w:rtl/>
        </w:rPr>
        <w:t xml:space="preserve"> فالإدراك مظل</w:t>
      </w:r>
      <w:r w:rsidR="000812F9" w:rsidRPr="006571AC">
        <w:rPr>
          <w:rtl/>
        </w:rPr>
        <w:t>ّ</w:t>
      </w:r>
      <w:r w:rsidRPr="006571AC">
        <w:rPr>
          <w:rtl/>
        </w:rPr>
        <w:t>ة</w:t>
      </w:r>
      <w:r w:rsidR="000812F9" w:rsidRPr="006571AC">
        <w:rPr>
          <w:rtl/>
        </w:rPr>
        <w:t>ٌ</w:t>
      </w:r>
      <w:r w:rsidRPr="006571AC">
        <w:rPr>
          <w:rtl/>
        </w:rPr>
        <w:t xml:space="preserve"> مهم</w:t>
      </w:r>
      <w:r w:rsidR="000812F9" w:rsidRPr="006571AC">
        <w:rPr>
          <w:rtl/>
        </w:rPr>
        <w:t>ّ</w:t>
      </w:r>
      <w:r w:rsidRPr="006571AC">
        <w:rPr>
          <w:rtl/>
        </w:rPr>
        <w:t>ة للأفكار الباعثة للحركة، والو</w:t>
      </w:r>
      <w:r w:rsidR="000812F9" w:rsidRPr="006571AC">
        <w:rPr>
          <w:rtl/>
        </w:rPr>
        <w:t>َ</w:t>
      </w:r>
      <w:r w:rsidRPr="006571AC">
        <w:rPr>
          <w:rtl/>
        </w:rPr>
        <w:t>ع</w:t>
      </w:r>
      <w:r w:rsidR="000812F9" w:rsidRPr="006571AC">
        <w:rPr>
          <w:rtl/>
        </w:rPr>
        <w:t>ْ</w:t>
      </w:r>
      <w:r w:rsidRPr="006571AC">
        <w:rPr>
          <w:rtl/>
        </w:rPr>
        <w:t>ي مظل</w:t>
      </w:r>
      <w:r w:rsidR="000812F9" w:rsidRPr="006571AC">
        <w:rPr>
          <w:rtl/>
        </w:rPr>
        <w:t>ّ</w:t>
      </w:r>
      <w:r w:rsidRPr="006571AC">
        <w:rPr>
          <w:rtl/>
        </w:rPr>
        <w:t>ة</w:t>
      </w:r>
      <w:r w:rsidR="000812F9" w:rsidRPr="006571AC">
        <w:rPr>
          <w:rtl/>
        </w:rPr>
        <w:t>ٌ</w:t>
      </w:r>
      <w:r w:rsidRPr="006571AC">
        <w:rPr>
          <w:rtl/>
        </w:rPr>
        <w:t xml:space="preserve"> أعمق</w:t>
      </w:r>
      <w:r w:rsidR="000812F9" w:rsidRPr="006571AC">
        <w:rPr>
          <w:rtl/>
        </w:rPr>
        <w:t>،</w:t>
      </w:r>
      <w:r w:rsidRPr="006571AC">
        <w:rPr>
          <w:rtl/>
        </w:rPr>
        <w:t xml:space="preserve"> باعثة للدافع وإرادة الحركة، بل الاختيار بين مجموعة خيارات، وإدراك وو</w:t>
      </w:r>
      <w:r w:rsidR="000812F9" w:rsidRPr="006571AC">
        <w:rPr>
          <w:rtl/>
        </w:rPr>
        <w:t>َ</w:t>
      </w:r>
      <w:r w:rsidRPr="006571AC">
        <w:rPr>
          <w:rtl/>
        </w:rPr>
        <w:t>ع</w:t>
      </w:r>
      <w:r w:rsidR="000812F9" w:rsidRPr="006571AC">
        <w:rPr>
          <w:rtl/>
        </w:rPr>
        <w:t>ْ</w:t>
      </w:r>
      <w:r w:rsidRPr="006571AC">
        <w:rPr>
          <w:rtl/>
        </w:rPr>
        <w:t>ي وجود إشكاليات، بل وفهم اللذ</w:t>
      </w:r>
      <w:r w:rsidR="000812F9" w:rsidRPr="006571AC">
        <w:rPr>
          <w:rtl/>
        </w:rPr>
        <w:t>ّ</w:t>
      </w:r>
      <w:r w:rsidRPr="006571AC">
        <w:rPr>
          <w:rtl/>
        </w:rPr>
        <w:t xml:space="preserve">ة والألم والسعادة ومصاديقها الخارجية المادية والمعنوية. </w:t>
      </w:r>
    </w:p>
    <w:p w:rsidR="0001386F" w:rsidRPr="006571AC" w:rsidRDefault="0001386F" w:rsidP="006C5D28">
      <w:pPr>
        <w:rPr>
          <w:rtl/>
        </w:rPr>
      </w:pPr>
      <w:r w:rsidRPr="006571AC">
        <w:rPr>
          <w:rtl/>
        </w:rPr>
        <w:t>لكن</w:t>
      </w:r>
      <w:r w:rsidR="000812F9" w:rsidRPr="006571AC">
        <w:rPr>
          <w:rtl/>
        </w:rPr>
        <w:t>ّ</w:t>
      </w:r>
      <w:r w:rsidRPr="006571AC">
        <w:rPr>
          <w:rtl/>
        </w:rPr>
        <w:t xml:space="preserve"> هذه الدافعية والإرادة الناشئة من حب</w:t>
      </w:r>
      <w:r w:rsidR="000812F9" w:rsidRPr="006571AC">
        <w:rPr>
          <w:rtl/>
        </w:rPr>
        <w:t>ّ</w:t>
      </w:r>
      <w:r w:rsidRPr="006571AC">
        <w:rPr>
          <w:rtl/>
        </w:rPr>
        <w:t xml:space="preserve"> الذات في السعي نحو التغيير الاجتماعي</w:t>
      </w:r>
      <w:r w:rsidR="000812F9" w:rsidRPr="006571AC">
        <w:rPr>
          <w:rtl/>
        </w:rPr>
        <w:t>ّ</w:t>
      </w:r>
      <w:r w:rsidRPr="006571AC">
        <w:rPr>
          <w:rtl/>
        </w:rPr>
        <w:t xml:space="preserve"> ليست خارجة</w:t>
      </w:r>
      <w:r w:rsidR="000812F9" w:rsidRPr="006571AC">
        <w:rPr>
          <w:rtl/>
        </w:rPr>
        <w:t>ً</w:t>
      </w:r>
      <w:r w:rsidRPr="006571AC">
        <w:rPr>
          <w:rtl/>
        </w:rPr>
        <w:t xml:space="preserve"> عن قوانين التاريخ وس</w:t>
      </w:r>
      <w:r w:rsidR="000812F9" w:rsidRPr="006571AC">
        <w:rPr>
          <w:rtl/>
        </w:rPr>
        <w:t>ُ</w:t>
      </w:r>
      <w:r w:rsidRPr="006571AC">
        <w:rPr>
          <w:rtl/>
        </w:rPr>
        <w:t>ن</w:t>
      </w:r>
      <w:r w:rsidR="000812F9" w:rsidRPr="006571AC">
        <w:rPr>
          <w:rtl/>
        </w:rPr>
        <w:t>َ</w:t>
      </w:r>
      <w:r w:rsidRPr="006571AC">
        <w:rPr>
          <w:rtl/>
        </w:rPr>
        <w:t>نه، بل كما أن للطبيعة قوانينها، وللكون كذلك قوانينه</w:t>
      </w:r>
      <w:r w:rsidR="000812F9" w:rsidRPr="006571AC">
        <w:rPr>
          <w:rtl/>
        </w:rPr>
        <w:t>،</w:t>
      </w:r>
      <w:r w:rsidRPr="006571AC">
        <w:rPr>
          <w:rtl/>
        </w:rPr>
        <w:t xml:space="preserve"> يفهمها الإنسان، ثم</w:t>
      </w:r>
      <w:r w:rsidR="000812F9" w:rsidRPr="006571AC">
        <w:rPr>
          <w:rtl/>
        </w:rPr>
        <w:t>ّ</w:t>
      </w:r>
      <w:r w:rsidRPr="006571AC">
        <w:rPr>
          <w:rtl/>
        </w:rPr>
        <w:t xml:space="preserve"> يستطيع التحكم بها إلى درج</w:t>
      </w:r>
      <w:r w:rsidR="000812F9" w:rsidRPr="006571AC">
        <w:rPr>
          <w:rtl/>
        </w:rPr>
        <w:t>ةٍ</w:t>
      </w:r>
      <w:r w:rsidRPr="006571AC">
        <w:rPr>
          <w:rtl/>
        </w:rPr>
        <w:t xml:space="preserve"> معينة، كذلك للتاريخ قوانينه وس</w:t>
      </w:r>
      <w:r w:rsidR="000812F9" w:rsidRPr="006571AC">
        <w:rPr>
          <w:rtl/>
        </w:rPr>
        <w:t>ُ</w:t>
      </w:r>
      <w:r w:rsidRPr="006571AC">
        <w:rPr>
          <w:rtl/>
        </w:rPr>
        <w:t>ن</w:t>
      </w:r>
      <w:r w:rsidR="000812F9" w:rsidRPr="006571AC">
        <w:rPr>
          <w:rtl/>
        </w:rPr>
        <w:t>َ</w:t>
      </w:r>
      <w:r w:rsidRPr="006571AC">
        <w:rPr>
          <w:rtl/>
        </w:rPr>
        <w:t>نه في مجال التغيير الاجتماعي، إذا أدركها الإنسان يمكنه بعد ذلك استخدامها في تحقيق غايته في التغيير والترق</w:t>
      </w:r>
      <w:r w:rsidR="000812F9" w:rsidRPr="006571AC">
        <w:rPr>
          <w:rtl/>
        </w:rPr>
        <w:t>ّ</w:t>
      </w:r>
      <w:r w:rsidRPr="006571AC">
        <w:rPr>
          <w:rtl/>
        </w:rPr>
        <w:t>ي</w:t>
      </w:r>
      <w:r w:rsidR="000812F9" w:rsidRPr="006571AC">
        <w:rPr>
          <w:rtl/>
        </w:rPr>
        <w:t>.</w:t>
      </w:r>
      <w:r w:rsidRPr="006571AC">
        <w:rPr>
          <w:rtl/>
        </w:rPr>
        <w:t xml:space="preserve"> إلا</w:t>
      </w:r>
      <w:r w:rsidR="000812F9" w:rsidRPr="006571AC">
        <w:rPr>
          <w:rtl/>
        </w:rPr>
        <w:t>ّ</w:t>
      </w:r>
      <w:r w:rsidRPr="006571AC">
        <w:rPr>
          <w:rtl/>
        </w:rPr>
        <w:t xml:space="preserve"> أن اختلاف الغايات والإدراكات والأفهام للكمال والترق</w:t>
      </w:r>
      <w:r w:rsidR="000812F9" w:rsidRPr="006571AC">
        <w:rPr>
          <w:rtl/>
        </w:rPr>
        <w:t>ّ</w:t>
      </w:r>
      <w:r w:rsidRPr="006571AC">
        <w:rPr>
          <w:rtl/>
        </w:rPr>
        <w:t>ي هو الذي يؤد</w:t>
      </w:r>
      <w:r w:rsidR="000812F9" w:rsidRPr="006571AC">
        <w:rPr>
          <w:rtl/>
        </w:rPr>
        <w:t>ّ</w:t>
      </w:r>
      <w:r w:rsidRPr="006571AC">
        <w:rPr>
          <w:rtl/>
        </w:rPr>
        <w:t>ي إما للتكامل أو للتسافل</w:t>
      </w:r>
      <w:r w:rsidR="000812F9" w:rsidRPr="006571AC">
        <w:rPr>
          <w:rtl/>
        </w:rPr>
        <w:t>،</w:t>
      </w:r>
      <w:r w:rsidRPr="006571AC">
        <w:rPr>
          <w:rtl/>
        </w:rPr>
        <w:t xml:space="preserve"> وإلى انقلابات متجد</w:t>
      </w:r>
      <w:r w:rsidR="000812F9" w:rsidRPr="006571AC">
        <w:rPr>
          <w:rtl/>
        </w:rPr>
        <w:t>ّ</w:t>
      </w:r>
      <w:r w:rsidRPr="006571AC">
        <w:rPr>
          <w:rtl/>
        </w:rPr>
        <w:t>دة تعيد المسار الطبيعي للمجتمع وفق س</w:t>
      </w:r>
      <w:r w:rsidR="000812F9" w:rsidRPr="006571AC">
        <w:rPr>
          <w:rtl/>
        </w:rPr>
        <w:t>ُ</w:t>
      </w:r>
      <w:r w:rsidRPr="006571AC">
        <w:rPr>
          <w:rtl/>
        </w:rPr>
        <w:t>ن</w:t>
      </w:r>
      <w:r w:rsidR="000812F9" w:rsidRPr="006571AC">
        <w:rPr>
          <w:rtl/>
        </w:rPr>
        <w:t>َ</w:t>
      </w:r>
      <w:r w:rsidRPr="006571AC">
        <w:rPr>
          <w:rtl/>
        </w:rPr>
        <w:t xml:space="preserve">ن التاريخ، التي </w:t>
      </w:r>
      <w:r w:rsidRPr="006571AC">
        <w:rPr>
          <w:rtl/>
        </w:rPr>
        <w:lastRenderedPageBreak/>
        <w:t>لا يمكن تحد</w:t>
      </w:r>
      <w:r w:rsidR="000812F9" w:rsidRPr="006571AC">
        <w:rPr>
          <w:rtl/>
        </w:rPr>
        <w:t>ِّ</w:t>
      </w:r>
      <w:r w:rsidRPr="006571AC">
        <w:rPr>
          <w:rtl/>
        </w:rPr>
        <w:t>يها إلا</w:t>
      </w:r>
      <w:r w:rsidR="000812F9" w:rsidRPr="006571AC">
        <w:rPr>
          <w:rtl/>
        </w:rPr>
        <w:t>ّ</w:t>
      </w:r>
      <w:r w:rsidRPr="006571AC">
        <w:rPr>
          <w:rtl/>
        </w:rPr>
        <w:t xml:space="preserve"> لفترات</w:t>
      </w:r>
      <w:r w:rsidR="000812F9" w:rsidRPr="006571AC">
        <w:rPr>
          <w:rtl/>
        </w:rPr>
        <w:t>ٍ</w:t>
      </w:r>
      <w:r w:rsidRPr="006571AC">
        <w:rPr>
          <w:rtl/>
        </w:rPr>
        <w:t xml:space="preserve"> قصيرة، ثم تنقلب لتعود إلى مسارها الطبيعي نحو الكمال، ووفق تحق</w:t>
      </w:r>
      <w:r w:rsidR="000812F9" w:rsidRPr="006571AC">
        <w:rPr>
          <w:rtl/>
        </w:rPr>
        <w:t>ُّ</w:t>
      </w:r>
      <w:r w:rsidRPr="006571AC">
        <w:rPr>
          <w:rtl/>
        </w:rPr>
        <w:t>ق شروطها التي تحق</w:t>
      </w:r>
      <w:r w:rsidR="000812F9" w:rsidRPr="006571AC">
        <w:rPr>
          <w:rtl/>
        </w:rPr>
        <w:t>ِّ</w:t>
      </w:r>
      <w:r w:rsidRPr="006571AC">
        <w:rPr>
          <w:rtl/>
        </w:rPr>
        <w:t>ق النتيجة المت</w:t>
      </w:r>
      <w:r w:rsidR="000812F9" w:rsidRPr="006571AC">
        <w:rPr>
          <w:rtl/>
        </w:rPr>
        <w:t>َّ</w:t>
      </w:r>
      <w:r w:rsidRPr="006571AC">
        <w:rPr>
          <w:rtl/>
        </w:rPr>
        <w:t xml:space="preserve">صلة بها. </w:t>
      </w:r>
    </w:p>
    <w:p w:rsidR="00BC29E6" w:rsidRPr="006571AC" w:rsidRDefault="00BC29E6" w:rsidP="00BC29E6">
      <w:pPr>
        <w:spacing w:line="420" w:lineRule="exact"/>
        <w:rPr>
          <w:rFonts w:ascii="Arabic Typesetting" w:hAnsi="Arabic Typesetting"/>
          <w:sz w:val="27"/>
          <w:rtl/>
          <w:lang w:bidi="ar-LB"/>
        </w:rPr>
      </w:pPr>
    </w:p>
    <w:p w:rsidR="001E0419" w:rsidRPr="006571AC" w:rsidRDefault="001E0419" w:rsidP="00A86073">
      <w:pPr>
        <w:pStyle w:val="31"/>
        <w:rPr>
          <w:color w:val="auto"/>
          <w:rtl/>
        </w:rPr>
      </w:pPr>
      <w:bookmarkStart w:id="425" w:name="_Toc114164833"/>
      <w:r w:rsidRPr="006571AC">
        <w:rPr>
          <w:color w:val="auto"/>
          <w:rtl/>
        </w:rPr>
        <w:t xml:space="preserve">مقاربةٌ نقديّة </w:t>
      </w:r>
      <w:r w:rsidR="00A86073" w:rsidRPr="006571AC">
        <w:rPr>
          <w:color w:val="auto"/>
          <w:rtl/>
        </w:rPr>
        <w:t xml:space="preserve">لرأي </w:t>
      </w:r>
      <w:r w:rsidR="00A86073" w:rsidRPr="006571AC">
        <w:rPr>
          <w:rFonts w:hint="eastAsia"/>
          <w:color w:val="auto"/>
          <w:rtl/>
        </w:rPr>
        <w:t>«</w:t>
      </w:r>
      <w:r w:rsidR="00A86073" w:rsidRPr="006571AC">
        <w:rPr>
          <w:color w:val="auto"/>
          <w:rtl/>
        </w:rPr>
        <w:t>كانْت</w:t>
      </w:r>
      <w:r w:rsidR="00A86073" w:rsidRPr="006571AC">
        <w:rPr>
          <w:rFonts w:hint="eastAsia"/>
          <w:color w:val="auto"/>
          <w:sz w:val="26"/>
          <w:rtl/>
        </w:rPr>
        <w:t>»</w:t>
      </w:r>
      <w:r w:rsidR="00A86073" w:rsidRPr="006571AC">
        <w:rPr>
          <w:color w:val="auto"/>
          <w:rtl/>
        </w:rPr>
        <w:t xml:space="preserve"> حول اللذّة والألم والسعادة</w:t>
      </w:r>
      <w:bookmarkEnd w:id="425"/>
    </w:p>
    <w:p w:rsidR="0001386F" w:rsidRPr="006571AC" w:rsidRDefault="0001386F" w:rsidP="006C5D28">
      <w:pPr>
        <w:rPr>
          <w:rtl/>
        </w:rPr>
      </w:pPr>
      <w:r w:rsidRPr="006571AC">
        <w:rPr>
          <w:rtl/>
        </w:rPr>
        <w:t>وفي موضوع اللذ</w:t>
      </w:r>
      <w:r w:rsidR="000812F9" w:rsidRPr="006571AC">
        <w:rPr>
          <w:rtl/>
        </w:rPr>
        <w:t>ّ</w:t>
      </w:r>
      <w:r w:rsidRPr="006571AC">
        <w:rPr>
          <w:rtl/>
        </w:rPr>
        <w:t>ة والألم والسعادة يناقش الشهيد مطه</w:t>
      </w:r>
      <w:r w:rsidR="000812F9" w:rsidRPr="006571AC">
        <w:rPr>
          <w:rtl/>
        </w:rPr>
        <w:t>َّ</w:t>
      </w:r>
      <w:r w:rsidRPr="006571AC">
        <w:rPr>
          <w:rtl/>
        </w:rPr>
        <w:t>ري الموضوع</w:t>
      </w:r>
      <w:r w:rsidR="000812F9" w:rsidRPr="006571AC">
        <w:rPr>
          <w:rtl/>
        </w:rPr>
        <w:t>،</w:t>
      </w:r>
      <w:r w:rsidRPr="006571AC">
        <w:rPr>
          <w:rtl/>
        </w:rPr>
        <w:t xml:space="preserve"> طارحا</w:t>
      </w:r>
      <w:r w:rsidR="000812F9" w:rsidRPr="006571AC">
        <w:rPr>
          <w:rtl/>
        </w:rPr>
        <w:t>ً</w:t>
      </w:r>
      <w:r w:rsidRPr="006571AC">
        <w:rPr>
          <w:rtl/>
        </w:rPr>
        <w:t xml:space="preserve"> نظرية </w:t>
      </w:r>
      <w:r w:rsidRPr="006571AC">
        <w:rPr>
          <w:rFonts w:hint="eastAsia"/>
          <w:sz w:val="24"/>
          <w:szCs w:val="24"/>
          <w:rtl/>
        </w:rPr>
        <w:t>«</w:t>
      </w:r>
      <w:r w:rsidRPr="006571AC">
        <w:rPr>
          <w:rtl/>
        </w:rPr>
        <w:t>كان</w:t>
      </w:r>
      <w:r w:rsidR="00CB3B21" w:rsidRPr="006571AC">
        <w:rPr>
          <w:rtl/>
        </w:rPr>
        <w:t>ْ</w:t>
      </w:r>
      <w:r w:rsidRPr="006571AC">
        <w:rPr>
          <w:rtl/>
        </w:rPr>
        <w:t>ت</w:t>
      </w:r>
      <w:r w:rsidRPr="006571AC">
        <w:rPr>
          <w:rFonts w:hint="eastAsia"/>
          <w:sz w:val="24"/>
          <w:szCs w:val="24"/>
          <w:rtl/>
        </w:rPr>
        <w:t>»</w:t>
      </w:r>
      <w:r w:rsidRPr="006571AC">
        <w:rPr>
          <w:rtl/>
        </w:rPr>
        <w:t xml:space="preserve"> حول عذاب الضمير</w:t>
      </w:r>
      <w:r w:rsidR="000812F9" w:rsidRPr="006571AC">
        <w:rPr>
          <w:rtl/>
        </w:rPr>
        <w:t>،</w:t>
      </w:r>
      <w:r w:rsidRPr="006571AC">
        <w:rPr>
          <w:rtl/>
        </w:rPr>
        <w:t xml:space="preserve"> إذ يقول </w:t>
      </w:r>
      <w:r w:rsidRPr="006571AC">
        <w:rPr>
          <w:rFonts w:hint="eastAsia"/>
          <w:sz w:val="24"/>
          <w:szCs w:val="24"/>
          <w:rtl/>
        </w:rPr>
        <w:t>«</w:t>
      </w:r>
      <w:r w:rsidRPr="006571AC">
        <w:rPr>
          <w:rtl/>
        </w:rPr>
        <w:t>كان</w:t>
      </w:r>
      <w:r w:rsidR="00CB3B21" w:rsidRPr="006571AC">
        <w:rPr>
          <w:rtl/>
        </w:rPr>
        <w:t>ْ</w:t>
      </w:r>
      <w:r w:rsidRPr="006571AC">
        <w:rPr>
          <w:rtl/>
        </w:rPr>
        <w:t>ت</w:t>
      </w:r>
      <w:r w:rsidRPr="006571AC">
        <w:rPr>
          <w:rFonts w:hint="eastAsia"/>
          <w:sz w:val="24"/>
          <w:szCs w:val="24"/>
          <w:rtl/>
        </w:rPr>
        <w:t>»</w:t>
      </w:r>
      <w:r w:rsidRPr="006571AC">
        <w:rPr>
          <w:rtl/>
        </w:rPr>
        <w:t>: ليس في الدنيا م</w:t>
      </w:r>
      <w:r w:rsidR="000812F9" w:rsidRPr="006571AC">
        <w:rPr>
          <w:rtl/>
        </w:rPr>
        <w:t>َ</w:t>
      </w:r>
      <w:r w:rsidRPr="006571AC">
        <w:rPr>
          <w:rtl/>
        </w:rPr>
        <w:t>ن</w:t>
      </w:r>
      <w:r w:rsidR="000812F9" w:rsidRPr="006571AC">
        <w:rPr>
          <w:rtl/>
        </w:rPr>
        <w:t>ْ</w:t>
      </w:r>
      <w:r w:rsidRPr="006571AC">
        <w:rPr>
          <w:rtl/>
        </w:rPr>
        <w:t xml:space="preserve"> قام بفعل</w:t>
      </w:r>
      <w:r w:rsidR="000812F9" w:rsidRPr="006571AC">
        <w:rPr>
          <w:rtl/>
        </w:rPr>
        <w:t>ٍ</w:t>
      </w:r>
      <w:r w:rsidRPr="006571AC">
        <w:rPr>
          <w:rtl/>
        </w:rPr>
        <w:t xml:space="preserve"> غير أخلاقي ولم يشعر بمرارة الندم عليه. فالإنسان حينما يرتكب خطأ</w:t>
      </w:r>
      <w:r w:rsidR="000812F9" w:rsidRPr="006571AC">
        <w:rPr>
          <w:rtl/>
        </w:rPr>
        <w:t>ً</w:t>
      </w:r>
      <w:r w:rsidRPr="006571AC">
        <w:rPr>
          <w:rtl/>
        </w:rPr>
        <w:t xml:space="preserve"> أو رذيلة</w:t>
      </w:r>
      <w:r w:rsidR="000812F9" w:rsidRPr="006571AC">
        <w:rPr>
          <w:rtl/>
        </w:rPr>
        <w:t>ً</w:t>
      </w:r>
      <w:r w:rsidRPr="006571AC">
        <w:rPr>
          <w:rtl/>
        </w:rPr>
        <w:t xml:space="preserve"> أخلاقية فهو في أثناء هذا الفعل يعيش بحرارة الموقف، فهو لا يشعر بأثر هذا الفعل إلا</w:t>
      </w:r>
      <w:r w:rsidR="00676922" w:rsidRPr="006571AC">
        <w:rPr>
          <w:rtl/>
        </w:rPr>
        <w:t>ّ</w:t>
      </w:r>
      <w:r w:rsidRPr="006571AC">
        <w:rPr>
          <w:rtl/>
        </w:rPr>
        <w:t xml:space="preserve"> بعد تجاوز الفعل و</w:t>
      </w:r>
      <w:r w:rsidR="00676922" w:rsidRPr="006571AC">
        <w:rPr>
          <w:rtl/>
        </w:rPr>
        <w:t>ا</w:t>
      </w:r>
      <w:r w:rsidRPr="006571AC">
        <w:rPr>
          <w:rtl/>
        </w:rPr>
        <w:t>ستع</w:t>
      </w:r>
      <w:r w:rsidR="00676922" w:rsidRPr="006571AC">
        <w:rPr>
          <w:rtl/>
        </w:rPr>
        <w:t>ا</w:t>
      </w:r>
      <w:r w:rsidRPr="006571AC">
        <w:rPr>
          <w:rtl/>
        </w:rPr>
        <w:t>د</w:t>
      </w:r>
      <w:r w:rsidR="00676922" w:rsidRPr="006571AC">
        <w:rPr>
          <w:rtl/>
        </w:rPr>
        <w:t>ة</w:t>
      </w:r>
      <w:r w:rsidRPr="006571AC">
        <w:rPr>
          <w:rtl/>
        </w:rPr>
        <w:t xml:space="preserve"> حالته الطبيعية</w:t>
      </w:r>
      <w:r w:rsidR="00676922" w:rsidRPr="006571AC">
        <w:rPr>
          <w:rtl/>
        </w:rPr>
        <w:t>،</w:t>
      </w:r>
      <w:r w:rsidRPr="006571AC">
        <w:rPr>
          <w:rtl/>
        </w:rPr>
        <w:t xml:space="preserve"> فإنه عندئذ</w:t>
      </w:r>
      <w:r w:rsidR="00676922" w:rsidRPr="006571AC">
        <w:rPr>
          <w:rtl/>
        </w:rPr>
        <w:t>ٍ</w:t>
      </w:r>
      <w:r w:rsidRPr="006571AC">
        <w:rPr>
          <w:rtl/>
        </w:rPr>
        <w:t xml:space="preserve"> يشعر بالآلام، فهو يحب</w:t>
      </w:r>
      <w:r w:rsidR="00676922" w:rsidRPr="006571AC">
        <w:rPr>
          <w:rtl/>
        </w:rPr>
        <w:t>ّ</w:t>
      </w:r>
      <w:r w:rsidRPr="006571AC">
        <w:rPr>
          <w:rtl/>
        </w:rPr>
        <w:t xml:space="preserve"> أن ينفصل عن ذاته، ويوب</w:t>
      </w:r>
      <w:r w:rsidR="00676922" w:rsidRPr="006571AC">
        <w:rPr>
          <w:rtl/>
        </w:rPr>
        <w:t>ِّ</w:t>
      </w:r>
      <w:r w:rsidRPr="006571AC">
        <w:rPr>
          <w:rtl/>
        </w:rPr>
        <w:t>خ نفسه</w:t>
      </w:r>
      <w:r w:rsidR="00676922" w:rsidRPr="006571AC">
        <w:rPr>
          <w:rtl/>
        </w:rPr>
        <w:t>،</w:t>
      </w:r>
      <w:r w:rsidRPr="006571AC">
        <w:rPr>
          <w:rtl/>
        </w:rPr>
        <w:t xml:space="preserve"> وينح</w:t>
      </w:r>
      <w:r w:rsidR="00676922" w:rsidRPr="006571AC">
        <w:rPr>
          <w:rtl/>
        </w:rPr>
        <w:t>و</w:t>
      </w:r>
      <w:r w:rsidRPr="006571AC">
        <w:rPr>
          <w:rtl/>
        </w:rPr>
        <w:t xml:space="preserve"> باللائمة عليها</w:t>
      </w:r>
      <w:r w:rsidR="00676922" w:rsidRPr="006571AC">
        <w:rPr>
          <w:rtl/>
        </w:rPr>
        <w:t>.</w:t>
      </w:r>
      <w:r w:rsidRPr="006571AC">
        <w:rPr>
          <w:rtl/>
        </w:rPr>
        <w:t xml:space="preserve"> وهذا هو عذاب الضمير</w:t>
      </w:r>
      <w:r w:rsidR="00676922" w:rsidRPr="006571AC">
        <w:rPr>
          <w:rtl/>
        </w:rPr>
        <w:t>،</w:t>
      </w:r>
      <w:r w:rsidRPr="006571AC">
        <w:rPr>
          <w:rtl/>
        </w:rPr>
        <w:t xml:space="preserve"> الذي ي</w:t>
      </w:r>
      <w:r w:rsidR="00676922" w:rsidRPr="006571AC">
        <w:rPr>
          <w:rtl/>
        </w:rPr>
        <w:t>ُ</w:t>
      </w:r>
      <w:r w:rsidRPr="006571AC">
        <w:rPr>
          <w:rtl/>
        </w:rPr>
        <w:t>ع</w:t>
      </w:r>
      <w:r w:rsidR="00676922" w:rsidRPr="006571AC">
        <w:rPr>
          <w:rtl/>
        </w:rPr>
        <w:t>َ</w:t>
      </w:r>
      <w:r w:rsidRPr="006571AC">
        <w:rPr>
          <w:rtl/>
        </w:rPr>
        <w:t>د</w:t>
      </w:r>
      <w:r w:rsidR="00676922" w:rsidRPr="006571AC">
        <w:rPr>
          <w:rtl/>
        </w:rPr>
        <w:t>ّ</w:t>
      </w:r>
      <w:r w:rsidRPr="006571AC">
        <w:rPr>
          <w:rtl/>
        </w:rPr>
        <w:t xml:space="preserve"> من الحقائق المسلّمة... </w:t>
      </w:r>
    </w:p>
    <w:p w:rsidR="0001386F" w:rsidRPr="006571AC" w:rsidRDefault="0001386F" w:rsidP="006C5D28">
      <w:pPr>
        <w:rPr>
          <w:rtl/>
        </w:rPr>
      </w:pPr>
      <w:r w:rsidRPr="006571AC">
        <w:rPr>
          <w:rtl/>
        </w:rPr>
        <w:t>وعلى العكس من هذا</w:t>
      </w:r>
      <w:r w:rsidR="00676922" w:rsidRPr="006571AC">
        <w:rPr>
          <w:rtl/>
        </w:rPr>
        <w:t>،</w:t>
      </w:r>
      <w:r w:rsidRPr="006571AC">
        <w:rPr>
          <w:rtl/>
        </w:rPr>
        <w:t xml:space="preserve"> أكثر أهل الصلاح والتقوى والأخلاق</w:t>
      </w:r>
      <w:r w:rsidR="00676922" w:rsidRPr="006571AC">
        <w:rPr>
          <w:rtl/>
        </w:rPr>
        <w:t xml:space="preserve">، </w:t>
      </w:r>
      <w:r w:rsidRPr="006571AC">
        <w:rPr>
          <w:rtl/>
        </w:rPr>
        <w:t>والذين ينصتون دائما إلى نداءات ضمائرهم</w:t>
      </w:r>
      <w:r w:rsidR="00676922" w:rsidRPr="006571AC">
        <w:rPr>
          <w:rtl/>
        </w:rPr>
        <w:t>،</w:t>
      </w:r>
      <w:r w:rsidRPr="006571AC">
        <w:rPr>
          <w:rtl/>
        </w:rPr>
        <w:t xml:space="preserve"> لا يحب</w:t>
      </w:r>
      <w:r w:rsidR="00676922" w:rsidRPr="006571AC">
        <w:rPr>
          <w:rtl/>
        </w:rPr>
        <w:t>ّ</w:t>
      </w:r>
      <w:r w:rsidRPr="006571AC">
        <w:rPr>
          <w:rtl/>
        </w:rPr>
        <w:t>ون الهروب من ذواتهم، بل يحب</w:t>
      </w:r>
      <w:r w:rsidR="00676922" w:rsidRPr="006571AC">
        <w:rPr>
          <w:rtl/>
        </w:rPr>
        <w:t>ّ</w:t>
      </w:r>
      <w:r w:rsidRPr="006571AC">
        <w:rPr>
          <w:rtl/>
        </w:rPr>
        <w:t>ون أن يتفر</w:t>
      </w:r>
      <w:r w:rsidR="00676922" w:rsidRPr="006571AC">
        <w:rPr>
          <w:rtl/>
        </w:rPr>
        <w:t>َّ</w:t>
      </w:r>
      <w:r w:rsidRPr="006571AC">
        <w:rPr>
          <w:rtl/>
        </w:rPr>
        <w:t>غوا ويتأم</w:t>
      </w:r>
      <w:r w:rsidR="00676922" w:rsidRPr="006571AC">
        <w:rPr>
          <w:rtl/>
        </w:rPr>
        <w:t>َّ</w:t>
      </w:r>
      <w:r w:rsidRPr="006571AC">
        <w:rPr>
          <w:rtl/>
        </w:rPr>
        <w:t>لوا ذواتهم</w:t>
      </w:r>
      <w:r w:rsidR="00676922" w:rsidRPr="006571AC">
        <w:rPr>
          <w:rtl/>
        </w:rPr>
        <w:t>؛</w:t>
      </w:r>
      <w:r w:rsidRPr="006571AC">
        <w:rPr>
          <w:rtl/>
        </w:rPr>
        <w:t xml:space="preserve"> لأن عالمهم الباطني أسلم في الواقع من العالم الخارجي. </w:t>
      </w:r>
    </w:p>
    <w:p w:rsidR="0001386F" w:rsidRPr="006571AC" w:rsidRDefault="0001386F" w:rsidP="006C5D28">
      <w:pPr>
        <w:rPr>
          <w:rtl/>
        </w:rPr>
      </w:pPr>
      <w:r w:rsidRPr="006571AC">
        <w:rPr>
          <w:rtl/>
        </w:rPr>
        <w:t>والسبب في أن الإنسان لا يستطيع الانفراد بذاته هو أنه فقد ذاته الواقعية</w:t>
      </w:r>
      <w:r w:rsidR="00676922" w:rsidRPr="006571AC">
        <w:rPr>
          <w:rtl/>
        </w:rPr>
        <w:t>،</w:t>
      </w:r>
      <w:r w:rsidRPr="006571AC">
        <w:rPr>
          <w:rtl/>
        </w:rPr>
        <w:t xml:space="preserve"> فهو لا يستطيع الخلوة بضميره</w:t>
      </w:r>
      <w:r w:rsidR="00676922" w:rsidRPr="006571AC">
        <w:rPr>
          <w:rtl/>
        </w:rPr>
        <w:t>؛</w:t>
      </w:r>
      <w:r w:rsidRPr="006571AC">
        <w:rPr>
          <w:rtl/>
        </w:rPr>
        <w:t xml:space="preserve"> لأنه ضميره يوبّ</w:t>
      </w:r>
      <w:r w:rsidR="00676922" w:rsidRPr="006571AC">
        <w:rPr>
          <w:rtl/>
        </w:rPr>
        <w:t>ِ</w:t>
      </w:r>
      <w:r w:rsidRPr="006571AC">
        <w:rPr>
          <w:rtl/>
        </w:rPr>
        <w:t>خه ويؤنّ</w:t>
      </w:r>
      <w:r w:rsidR="00676922" w:rsidRPr="006571AC">
        <w:rPr>
          <w:rtl/>
        </w:rPr>
        <w:t>ِ</w:t>
      </w:r>
      <w:r w:rsidRPr="006571AC">
        <w:rPr>
          <w:rtl/>
        </w:rPr>
        <w:t xml:space="preserve">به. ويواصل </w:t>
      </w:r>
      <w:r w:rsidRPr="006571AC">
        <w:rPr>
          <w:rFonts w:hint="eastAsia"/>
          <w:sz w:val="24"/>
          <w:szCs w:val="24"/>
          <w:rtl/>
        </w:rPr>
        <w:t>«</w:t>
      </w:r>
      <w:r w:rsidRPr="006571AC">
        <w:rPr>
          <w:rtl/>
        </w:rPr>
        <w:t>كان</w:t>
      </w:r>
      <w:r w:rsidR="004B6AEE" w:rsidRPr="006571AC">
        <w:rPr>
          <w:rFonts w:hint="cs"/>
          <w:rtl/>
        </w:rPr>
        <w:t>ْ</w:t>
      </w:r>
      <w:r w:rsidRPr="006571AC">
        <w:rPr>
          <w:rtl/>
        </w:rPr>
        <w:t>ت</w:t>
      </w:r>
      <w:r w:rsidRPr="006571AC">
        <w:rPr>
          <w:rFonts w:hint="eastAsia"/>
          <w:sz w:val="24"/>
          <w:szCs w:val="24"/>
          <w:rtl/>
        </w:rPr>
        <w:t>»</w:t>
      </w:r>
      <w:r w:rsidRPr="006571AC">
        <w:rPr>
          <w:rtl/>
        </w:rPr>
        <w:t xml:space="preserve"> قائلا</w:t>
      </w:r>
      <w:r w:rsidR="00676922" w:rsidRPr="006571AC">
        <w:rPr>
          <w:rtl/>
        </w:rPr>
        <w:t>ً</w:t>
      </w:r>
      <w:r w:rsidRPr="006571AC">
        <w:rPr>
          <w:rtl/>
        </w:rPr>
        <w:t>: لو لم تكن مثل هذه السلطة في أعماق الإنسان فإنه لا توجد فيها مثل هذه المرارة وهذا الندم وهذا العذاب الروحي، ولأمسى الإنسان راضياً عن أفعاله</w:t>
      </w:r>
      <w:r w:rsidR="00676922" w:rsidRPr="006571AC">
        <w:rPr>
          <w:rtl/>
        </w:rPr>
        <w:t>،</w:t>
      </w:r>
      <w:r w:rsidRPr="006571AC">
        <w:rPr>
          <w:rtl/>
        </w:rPr>
        <w:t xml:space="preserve"> أو على أقل تقدير</w:t>
      </w:r>
      <w:r w:rsidR="00676922" w:rsidRPr="006571AC">
        <w:rPr>
          <w:rtl/>
        </w:rPr>
        <w:t>ٍ</w:t>
      </w:r>
      <w:r w:rsidRPr="006571AC">
        <w:rPr>
          <w:rtl/>
        </w:rPr>
        <w:t xml:space="preserve"> لم يشعر بهذه الآلام، لكن</w:t>
      </w:r>
      <w:r w:rsidR="00676922" w:rsidRPr="006571AC">
        <w:rPr>
          <w:rtl/>
        </w:rPr>
        <w:t>ّ</w:t>
      </w:r>
      <w:r w:rsidRPr="006571AC">
        <w:rPr>
          <w:rtl/>
        </w:rPr>
        <w:t xml:space="preserve"> الإنسان يحسّ دائما</w:t>
      </w:r>
      <w:r w:rsidR="00676922" w:rsidRPr="006571AC">
        <w:rPr>
          <w:rtl/>
        </w:rPr>
        <w:t>ً</w:t>
      </w:r>
      <w:r w:rsidRPr="006571AC">
        <w:rPr>
          <w:rtl/>
        </w:rPr>
        <w:t xml:space="preserve"> بو</w:t>
      </w:r>
      <w:r w:rsidR="00676922" w:rsidRPr="006571AC">
        <w:rPr>
          <w:rtl/>
        </w:rPr>
        <w:t>َ</w:t>
      </w:r>
      <w:r w:rsidRPr="006571AC">
        <w:rPr>
          <w:rtl/>
        </w:rPr>
        <w:t>خ</w:t>
      </w:r>
      <w:r w:rsidR="00676922" w:rsidRPr="006571AC">
        <w:rPr>
          <w:rtl/>
        </w:rPr>
        <w:t>ْ</w:t>
      </w:r>
      <w:r w:rsidRPr="006571AC">
        <w:rPr>
          <w:rtl/>
        </w:rPr>
        <w:t>ز هذه الآلام</w:t>
      </w:r>
      <w:r w:rsidR="00676922" w:rsidRPr="006571AC">
        <w:rPr>
          <w:rtl/>
        </w:rPr>
        <w:t>؛</w:t>
      </w:r>
      <w:r w:rsidRPr="006571AC">
        <w:rPr>
          <w:rtl/>
        </w:rPr>
        <w:t xml:space="preserve"> وذلك لأن هذه القوة سابقة</w:t>
      </w:r>
      <w:r w:rsidR="00676922" w:rsidRPr="006571AC">
        <w:rPr>
          <w:rtl/>
        </w:rPr>
        <w:t>ٌ</w:t>
      </w:r>
      <w:r w:rsidRPr="006571AC">
        <w:rPr>
          <w:rtl/>
        </w:rPr>
        <w:t xml:space="preserve"> للتجربة</w:t>
      </w:r>
      <w:r w:rsidR="00676922" w:rsidRPr="006571AC">
        <w:rPr>
          <w:rtl/>
        </w:rPr>
        <w:t>،</w:t>
      </w:r>
      <w:r w:rsidRPr="006571AC">
        <w:rPr>
          <w:rtl/>
        </w:rPr>
        <w:t xml:space="preserve"> وهي مطلقة</w:t>
      </w:r>
      <w:r w:rsidR="00676922" w:rsidRPr="006571AC">
        <w:rPr>
          <w:rtl/>
        </w:rPr>
        <w:t>ٌ</w:t>
      </w:r>
      <w:r w:rsidRPr="006571AC">
        <w:rPr>
          <w:rtl/>
        </w:rPr>
        <w:t xml:space="preserve"> ـ ليست مشروطة</w:t>
      </w:r>
      <w:r w:rsidR="00676922" w:rsidRPr="006571AC">
        <w:rPr>
          <w:rtl/>
        </w:rPr>
        <w:t>ً</w:t>
      </w:r>
      <w:r w:rsidRPr="006571AC">
        <w:rPr>
          <w:rtl/>
        </w:rPr>
        <w:t xml:space="preserve"> بالمصلحة</w:t>
      </w:r>
      <w:r w:rsidR="00676922" w:rsidRPr="006571AC">
        <w:rPr>
          <w:rtl/>
        </w:rPr>
        <w:t>،</w:t>
      </w:r>
      <w:r w:rsidRPr="006571AC">
        <w:rPr>
          <w:rtl/>
        </w:rPr>
        <w:t xml:space="preserve"> كأحكام العقل ـ</w:t>
      </w:r>
      <w:r w:rsidR="00676922" w:rsidRPr="006571AC">
        <w:rPr>
          <w:rtl/>
        </w:rPr>
        <w:t>،</w:t>
      </w:r>
      <w:r w:rsidRPr="006571AC">
        <w:rPr>
          <w:rtl/>
        </w:rPr>
        <w:t xml:space="preserve"> وعام</w:t>
      </w:r>
      <w:r w:rsidR="00676922" w:rsidRPr="006571AC">
        <w:rPr>
          <w:rtl/>
        </w:rPr>
        <w:t>ّ</w:t>
      </w:r>
      <w:r w:rsidRPr="006571AC">
        <w:rPr>
          <w:rtl/>
        </w:rPr>
        <w:t>ة</w:t>
      </w:r>
      <w:r w:rsidR="00676922" w:rsidRPr="006571AC">
        <w:rPr>
          <w:rtl/>
        </w:rPr>
        <w:t>ٌ</w:t>
      </w:r>
      <w:r w:rsidRPr="006571AC">
        <w:rPr>
          <w:rtl/>
        </w:rPr>
        <w:t xml:space="preserve"> تصدق في جميع الموارد بشكل</w:t>
      </w:r>
      <w:r w:rsidR="00676922" w:rsidRPr="006571AC">
        <w:rPr>
          <w:rtl/>
        </w:rPr>
        <w:t>ٍ</w:t>
      </w:r>
      <w:r w:rsidRPr="006571AC">
        <w:rPr>
          <w:rtl/>
        </w:rPr>
        <w:t xml:space="preserve"> واحد، فهي صادقة</w:t>
      </w:r>
      <w:r w:rsidR="00676922" w:rsidRPr="006571AC">
        <w:rPr>
          <w:rtl/>
        </w:rPr>
        <w:t>ٌ</w:t>
      </w:r>
      <w:r w:rsidRPr="006571AC">
        <w:rPr>
          <w:rtl/>
        </w:rPr>
        <w:t xml:space="preserve"> عليّ</w:t>
      </w:r>
      <w:r w:rsidR="00676922" w:rsidRPr="006571AC">
        <w:rPr>
          <w:rtl/>
        </w:rPr>
        <w:t>َ</w:t>
      </w:r>
      <w:r w:rsidRPr="006571AC">
        <w:rPr>
          <w:rtl/>
        </w:rPr>
        <w:t xml:space="preserve"> بمقدار صدقها عليك، وهي صادقة</w:t>
      </w:r>
      <w:r w:rsidR="00676922" w:rsidRPr="006571AC">
        <w:rPr>
          <w:rtl/>
        </w:rPr>
        <w:t>ٌ</w:t>
      </w:r>
      <w:r w:rsidRPr="006571AC">
        <w:rPr>
          <w:rtl/>
        </w:rPr>
        <w:t xml:space="preserve"> عليك بمقدار صدقها على الآخرين. </w:t>
      </w:r>
    </w:p>
    <w:p w:rsidR="0001386F" w:rsidRPr="006571AC" w:rsidRDefault="0001386F" w:rsidP="006C5D28">
      <w:pPr>
        <w:rPr>
          <w:rtl/>
        </w:rPr>
      </w:pPr>
      <w:r w:rsidRPr="006571AC">
        <w:rPr>
          <w:rtl/>
        </w:rPr>
        <w:t xml:space="preserve">ويعتبر </w:t>
      </w:r>
      <w:r w:rsidRPr="006571AC">
        <w:rPr>
          <w:rFonts w:hint="eastAsia"/>
          <w:sz w:val="24"/>
          <w:szCs w:val="24"/>
          <w:rtl/>
        </w:rPr>
        <w:t>«</w:t>
      </w:r>
      <w:r w:rsidRPr="006571AC">
        <w:rPr>
          <w:rtl/>
        </w:rPr>
        <w:t>كان</w:t>
      </w:r>
      <w:r w:rsidR="00CB3B21" w:rsidRPr="006571AC">
        <w:rPr>
          <w:rtl/>
        </w:rPr>
        <w:t>ْ</w:t>
      </w:r>
      <w:r w:rsidRPr="006571AC">
        <w:rPr>
          <w:rtl/>
        </w:rPr>
        <w:t>ت</w:t>
      </w:r>
      <w:r w:rsidRPr="006571AC">
        <w:rPr>
          <w:rFonts w:hint="eastAsia"/>
          <w:sz w:val="24"/>
          <w:szCs w:val="24"/>
          <w:rtl/>
        </w:rPr>
        <w:t>»</w:t>
      </w:r>
      <w:r w:rsidRPr="006571AC">
        <w:rPr>
          <w:rtl/>
        </w:rPr>
        <w:t xml:space="preserve"> أن الوجدان الأخلاقي يدعو إلى الكمال</w:t>
      </w:r>
      <w:r w:rsidR="00676922" w:rsidRPr="006571AC">
        <w:rPr>
          <w:rtl/>
        </w:rPr>
        <w:t>،</w:t>
      </w:r>
      <w:r w:rsidRPr="006571AC">
        <w:rPr>
          <w:rtl/>
        </w:rPr>
        <w:t xml:space="preserve"> لا إلى السعادة</w:t>
      </w:r>
      <w:r w:rsidR="00676922" w:rsidRPr="006571AC">
        <w:rPr>
          <w:rtl/>
        </w:rPr>
        <w:t>.</w:t>
      </w:r>
      <w:r w:rsidRPr="006571AC">
        <w:rPr>
          <w:rtl/>
        </w:rPr>
        <w:t xml:space="preserve"> وهو يفر</w:t>
      </w:r>
      <w:r w:rsidR="00676922" w:rsidRPr="006571AC">
        <w:rPr>
          <w:rtl/>
        </w:rPr>
        <w:t>ِّ</w:t>
      </w:r>
      <w:r w:rsidRPr="006571AC">
        <w:rPr>
          <w:rtl/>
        </w:rPr>
        <w:t>ق بين الكمال والسعادة</w:t>
      </w:r>
      <w:r w:rsidR="00676922" w:rsidRPr="006571AC">
        <w:rPr>
          <w:rtl/>
        </w:rPr>
        <w:t>،</w:t>
      </w:r>
      <w:r w:rsidRPr="006571AC">
        <w:rPr>
          <w:rtl/>
        </w:rPr>
        <w:t xml:space="preserve"> فيقول: في العالم كل</w:t>
      </w:r>
      <w:r w:rsidR="00676922" w:rsidRPr="006571AC">
        <w:rPr>
          <w:rtl/>
        </w:rPr>
        <w:t>ِّ</w:t>
      </w:r>
      <w:r w:rsidRPr="006571AC">
        <w:rPr>
          <w:rtl/>
        </w:rPr>
        <w:t>ه لا يوجد إلا</w:t>
      </w:r>
      <w:r w:rsidR="00676922" w:rsidRPr="006571AC">
        <w:rPr>
          <w:rtl/>
        </w:rPr>
        <w:t>ّ</w:t>
      </w:r>
      <w:r w:rsidRPr="006571AC">
        <w:rPr>
          <w:rtl/>
        </w:rPr>
        <w:t xml:space="preserve"> خير</w:t>
      </w:r>
      <w:r w:rsidR="00676922" w:rsidRPr="006571AC">
        <w:rPr>
          <w:rtl/>
        </w:rPr>
        <w:t>ٌ</w:t>
      </w:r>
      <w:r w:rsidRPr="006571AC">
        <w:rPr>
          <w:rtl/>
        </w:rPr>
        <w:t xml:space="preserve"> واحد</w:t>
      </w:r>
      <w:r w:rsidR="00676922" w:rsidRPr="006571AC">
        <w:rPr>
          <w:rtl/>
        </w:rPr>
        <w:t>،</w:t>
      </w:r>
      <w:r w:rsidRPr="006571AC">
        <w:rPr>
          <w:rtl/>
        </w:rPr>
        <w:t xml:space="preserve"> وهو الإرادة الخيّرة، أي الطاعة المطلقة لأوامر الضمير، سواء كانت فيها لذ</w:t>
      </w:r>
      <w:r w:rsidR="007155A6" w:rsidRPr="006571AC">
        <w:rPr>
          <w:rtl/>
        </w:rPr>
        <w:t>ّ</w:t>
      </w:r>
      <w:r w:rsidRPr="006571AC">
        <w:rPr>
          <w:rtl/>
        </w:rPr>
        <w:t>ة</w:t>
      </w:r>
      <w:r w:rsidR="001E0419" w:rsidRPr="006571AC">
        <w:rPr>
          <w:rtl/>
        </w:rPr>
        <w:t>ٌ</w:t>
      </w:r>
      <w:r w:rsidRPr="006571AC">
        <w:rPr>
          <w:rtl/>
        </w:rPr>
        <w:t xml:space="preserve"> وفائدة للإنسان أم لم تكن، وسواء أنتج</w:t>
      </w:r>
      <w:r w:rsidR="007155A6" w:rsidRPr="006571AC">
        <w:rPr>
          <w:rtl/>
        </w:rPr>
        <w:t>َ</w:t>
      </w:r>
      <w:r w:rsidRPr="006571AC">
        <w:rPr>
          <w:rtl/>
        </w:rPr>
        <w:t>ت</w:t>
      </w:r>
      <w:r w:rsidR="007155A6" w:rsidRPr="006571AC">
        <w:rPr>
          <w:rtl/>
        </w:rPr>
        <w:t>ْ</w:t>
      </w:r>
      <w:r w:rsidRPr="006571AC">
        <w:rPr>
          <w:rtl/>
        </w:rPr>
        <w:t xml:space="preserve"> راحة</w:t>
      </w:r>
      <w:r w:rsidR="004B6AEE" w:rsidRPr="006571AC">
        <w:rPr>
          <w:rFonts w:hint="cs"/>
          <w:rtl/>
        </w:rPr>
        <w:t>ً</w:t>
      </w:r>
      <w:r w:rsidRPr="006571AC">
        <w:rPr>
          <w:rtl/>
        </w:rPr>
        <w:t xml:space="preserve"> أم عذابا</w:t>
      </w:r>
      <w:r w:rsidR="007155A6" w:rsidRPr="006571AC">
        <w:rPr>
          <w:rtl/>
        </w:rPr>
        <w:t>ً.</w:t>
      </w:r>
      <w:r w:rsidRPr="006571AC">
        <w:rPr>
          <w:rtl/>
        </w:rPr>
        <w:t xml:space="preserve"> فالضمير لا علاقة له بالسعادة</w:t>
      </w:r>
      <w:r w:rsidR="007155A6" w:rsidRPr="006571AC">
        <w:rPr>
          <w:rtl/>
        </w:rPr>
        <w:t>؛</w:t>
      </w:r>
      <w:r w:rsidRPr="006571AC">
        <w:rPr>
          <w:rtl/>
        </w:rPr>
        <w:t xml:space="preserve"> لأن </w:t>
      </w:r>
      <w:r w:rsidRPr="006571AC">
        <w:rPr>
          <w:rtl/>
        </w:rPr>
        <w:lastRenderedPageBreak/>
        <w:t>السعادة هي اللذة في خاتمة المطاف، غاية الأمر أن</w:t>
      </w:r>
      <w:r w:rsidR="007155A6" w:rsidRPr="006571AC">
        <w:rPr>
          <w:rtl/>
        </w:rPr>
        <w:t>ه</w:t>
      </w:r>
      <w:r w:rsidRPr="006571AC">
        <w:rPr>
          <w:rtl/>
        </w:rPr>
        <w:t xml:space="preserve"> ليست كل</w:t>
      </w:r>
      <w:r w:rsidR="007155A6" w:rsidRPr="006571AC">
        <w:rPr>
          <w:rtl/>
        </w:rPr>
        <w:t>ُّ</w:t>
      </w:r>
      <w:r w:rsidRPr="006571AC">
        <w:rPr>
          <w:rtl/>
        </w:rPr>
        <w:t xml:space="preserve"> لذ</w:t>
      </w:r>
      <w:r w:rsidR="007155A6" w:rsidRPr="006571AC">
        <w:rPr>
          <w:rtl/>
        </w:rPr>
        <w:t>ّ</w:t>
      </w:r>
      <w:r w:rsidRPr="006571AC">
        <w:rPr>
          <w:rtl/>
        </w:rPr>
        <w:t>ة</w:t>
      </w:r>
      <w:r w:rsidR="007155A6" w:rsidRPr="006571AC">
        <w:rPr>
          <w:rtl/>
        </w:rPr>
        <w:t>ٍ</w:t>
      </w:r>
      <w:r w:rsidRPr="006571AC">
        <w:rPr>
          <w:rtl/>
        </w:rPr>
        <w:t xml:space="preserve"> سعادة</w:t>
      </w:r>
      <w:r w:rsidR="007155A6" w:rsidRPr="006571AC">
        <w:rPr>
          <w:rtl/>
        </w:rPr>
        <w:t>ً</w:t>
      </w:r>
      <w:r w:rsidRPr="006571AC">
        <w:rPr>
          <w:rtl/>
        </w:rPr>
        <w:t>، فاللذ</w:t>
      </w:r>
      <w:r w:rsidR="007155A6" w:rsidRPr="006571AC">
        <w:rPr>
          <w:rtl/>
        </w:rPr>
        <w:t>ّ</w:t>
      </w:r>
      <w:r w:rsidRPr="006571AC">
        <w:rPr>
          <w:rtl/>
        </w:rPr>
        <w:t>ة التي يعقبها ألم</w:t>
      </w:r>
      <w:r w:rsidR="007155A6" w:rsidRPr="006571AC">
        <w:rPr>
          <w:rtl/>
        </w:rPr>
        <w:t>ٌ</w:t>
      </w:r>
      <w:r w:rsidRPr="006571AC">
        <w:rPr>
          <w:rtl/>
        </w:rPr>
        <w:t xml:space="preserve"> ليست سعادة</w:t>
      </w:r>
      <w:r w:rsidR="007155A6" w:rsidRPr="006571AC">
        <w:rPr>
          <w:rtl/>
        </w:rPr>
        <w:t>ً</w:t>
      </w:r>
      <w:r w:rsidRPr="006571AC">
        <w:rPr>
          <w:rtl/>
        </w:rPr>
        <w:t>، والسعادة</w:t>
      </w:r>
      <w:r w:rsidR="007155A6" w:rsidRPr="006571AC">
        <w:rPr>
          <w:rtl/>
        </w:rPr>
        <w:t>ُ</w:t>
      </w:r>
      <w:r w:rsidRPr="006571AC">
        <w:rPr>
          <w:rtl/>
        </w:rPr>
        <w:t xml:space="preserve"> </w:t>
      </w:r>
      <w:r w:rsidR="007155A6" w:rsidRPr="006571AC">
        <w:rPr>
          <w:rtl/>
        </w:rPr>
        <w:t>ه</w:t>
      </w:r>
      <w:r w:rsidRPr="006571AC">
        <w:rPr>
          <w:rtl/>
        </w:rPr>
        <w:t>ي اللذ</w:t>
      </w:r>
      <w:r w:rsidR="007155A6" w:rsidRPr="006571AC">
        <w:rPr>
          <w:rtl/>
        </w:rPr>
        <w:t>ّ</w:t>
      </w:r>
      <w:r w:rsidRPr="006571AC">
        <w:rPr>
          <w:rtl/>
        </w:rPr>
        <w:t>ة الخالصة التي لا يشوبها أي</w:t>
      </w:r>
      <w:r w:rsidR="007155A6" w:rsidRPr="006571AC">
        <w:rPr>
          <w:rtl/>
        </w:rPr>
        <w:t>ّ</w:t>
      </w:r>
      <w:r w:rsidRPr="006571AC">
        <w:rPr>
          <w:rtl/>
        </w:rPr>
        <w:t xml:space="preserve"> ألم</w:t>
      </w:r>
      <w:r w:rsidR="007155A6" w:rsidRPr="006571AC">
        <w:rPr>
          <w:rtl/>
        </w:rPr>
        <w:t>ٍ</w:t>
      </w:r>
      <w:r w:rsidRPr="006571AC">
        <w:rPr>
          <w:rtl/>
        </w:rPr>
        <w:t xml:space="preserve"> أو عذاب</w:t>
      </w:r>
      <w:r w:rsidR="007155A6" w:rsidRPr="006571AC">
        <w:rPr>
          <w:rtl/>
        </w:rPr>
        <w:t>ٍ،</w:t>
      </w:r>
      <w:r w:rsidRPr="006571AC">
        <w:rPr>
          <w:rtl/>
        </w:rPr>
        <w:t xml:space="preserve"> روحي أو جسمي، دنيوي أو آخروي..</w:t>
      </w:r>
      <w:r w:rsidR="007155A6" w:rsidRPr="006571AC">
        <w:rPr>
          <w:rtl/>
        </w:rPr>
        <w:t>.</w:t>
      </w:r>
      <w:r w:rsidRPr="006571AC">
        <w:rPr>
          <w:rtl/>
        </w:rPr>
        <w:t xml:space="preserve"> فالسعادة عند </w:t>
      </w:r>
      <w:r w:rsidR="007155A6" w:rsidRPr="006571AC">
        <w:rPr>
          <w:rFonts w:hint="eastAsia"/>
          <w:sz w:val="24"/>
          <w:szCs w:val="24"/>
          <w:rtl/>
        </w:rPr>
        <w:t>«</w:t>
      </w:r>
      <w:r w:rsidR="007155A6" w:rsidRPr="006571AC">
        <w:rPr>
          <w:rtl/>
        </w:rPr>
        <w:t>كان</w:t>
      </w:r>
      <w:r w:rsidR="001E0419" w:rsidRPr="006571AC">
        <w:rPr>
          <w:rtl/>
        </w:rPr>
        <w:t>ْ</w:t>
      </w:r>
      <w:r w:rsidR="007155A6" w:rsidRPr="006571AC">
        <w:rPr>
          <w:rtl/>
        </w:rPr>
        <w:t>ت</w:t>
      </w:r>
      <w:r w:rsidR="007155A6" w:rsidRPr="006571AC">
        <w:rPr>
          <w:rFonts w:hint="eastAsia"/>
          <w:sz w:val="24"/>
          <w:szCs w:val="24"/>
          <w:rtl/>
        </w:rPr>
        <w:t>»</w:t>
      </w:r>
      <w:r w:rsidRPr="006571AC">
        <w:rPr>
          <w:rtl/>
        </w:rPr>
        <w:t xml:space="preserve"> مبني</w:t>
      </w:r>
      <w:r w:rsidR="007155A6" w:rsidRPr="006571AC">
        <w:rPr>
          <w:rtl/>
        </w:rPr>
        <w:t>ّ</w:t>
      </w:r>
      <w:r w:rsidRPr="006571AC">
        <w:rPr>
          <w:rtl/>
        </w:rPr>
        <w:t>ة</w:t>
      </w:r>
      <w:r w:rsidR="007155A6" w:rsidRPr="006571AC">
        <w:rPr>
          <w:rtl/>
        </w:rPr>
        <w:t>ٌ</w:t>
      </w:r>
      <w:r w:rsidRPr="006571AC">
        <w:rPr>
          <w:rtl/>
        </w:rPr>
        <w:t xml:space="preserve"> على الالتذاذ، والوجدان غير مرتبط</w:t>
      </w:r>
      <w:r w:rsidR="007155A6" w:rsidRPr="006571AC">
        <w:rPr>
          <w:rtl/>
        </w:rPr>
        <w:t>ٍ</w:t>
      </w:r>
      <w:r w:rsidRPr="006571AC">
        <w:rPr>
          <w:rtl/>
        </w:rPr>
        <w:t xml:space="preserve"> بالسعادة</w:t>
      </w:r>
      <w:r w:rsidR="007155A6" w:rsidRPr="006571AC">
        <w:rPr>
          <w:rtl/>
        </w:rPr>
        <w:t>،</w:t>
      </w:r>
      <w:r w:rsidRPr="006571AC">
        <w:rPr>
          <w:rtl/>
        </w:rPr>
        <w:t xml:space="preserve"> وإنما هو مرتبط</w:t>
      </w:r>
      <w:r w:rsidR="007155A6" w:rsidRPr="006571AC">
        <w:rPr>
          <w:rtl/>
        </w:rPr>
        <w:t>ٌ</w:t>
      </w:r>
      <w:r w:rsidRPr="006571AC">
        <w:rPr>
          <w:rtl/>
        </w:rPr>
        <w:t xml:space="preserve"> بالكمال</w:t>
      </w:r>
      <w:r w:rsidRPr="006571AC">
        <w:rPr>
          <w:vertAlign w:val="superscript"/>
          <w:rtl/>
        </w:rPr>
        <w:t>(</w:t>
      </w:r>
      <w:r w:rsidRPr="006571AC">
        <w:rPr>
          <w:rStyle w:val="ac"/>
          <w:rFonts w:ascii="Arial" w:hAnsi="Arial"/>
          <w:sz w:val="27"/>
          <w:rtl/>
        </w:rPr>
        <w:endnoteReference w:id="714"/>
      </w:r>
      <w:r w:rsidRPr="006571AC">
        <w:rPr>
          <w:vertAlign w:val="superscript"/>
          <w:rtl/>
        </w:rPr>
        <w:t>)</w:t>
      </w:r>
      <w:r w:rsidRPr="006571AC">
        <w:rPr>
          <w:rtl/>
        </w:rPr>
        <w:t xml:space="preserve">. </w:t>
      </w:r>
    </w:p>
    <w:p w:rsidR="0001386F" w:rsidRPr="006571AC" w:rsidRDefault="0001386F" w:rsidP="006C5D28">
      <w:pPr>
        <w:rPr>
          <w:rtl/>
          <w:lang w:val="en-GB"/>
        </w:rPr>
      </w:pPr>
      <w:r w:rsidRPr="006571AC">
        <w:rPr>
          <w:rtl/>
        </w:rPr>
        <w:t xml:space="preserve">وفي مناقشته لرأي </w:t>
      </w:r>
      <w:r w:rsidRPr="006571AC">
        <w:rPr>
          <w:rFonts w:hint="eastAsia"/>
          <w:sz w:val="24"/>
          <w:szCs w:val="24"/>
          <w:rtl/>
        </w:rPr>
        <w:t>«</w:t>
      </w:r>
      <w:r w:rsidRPr="006571AC">
        <w:rPr>
          <w:rtl/>
        </w:rPr>
        <w:t>كان</w:t>
      </w:r>
      <w:r w:rsidR="00CB3B21" w:rsidRPr="006571AC">
        <w:rPr>
          <w:rtl/>
        </w:rPr>
        <w:t>ْ</w:t>
      </w:r>
      <w:r w:rsidRPr="006571AC">
        <w:rPr>
          <w:rtl/>
        </w:rPr>
        <w:t>ت</w:t>
      </w:r>
      <w:r w:rsidRPr="006571AC">
        <w:rPr>
          <w:rFonts w:hint="eastAsia"/>
          <w:sz w:val="24"/>
          <w:szCs w:val="24"/>
          <w:rtl/>
        </w:rPr>
        <w:t>»</w:t>
      </w:r>
      <w:r w:rsidRPr="006571AC">
        <w:rPr>
          <w:rtl/>
        </w:rPr>
        <w:t xml:space="preserve"> حول اللذ</w:t>
      </w:r>
      <w:r w:rsidR="007155A6" w:rsidRPr="006571AC">
        <w:rPr>
          <w:rtl/>
        </w:rPr>
        <w:t>ّ</w:t>
      </w:r>
      <w:r w:rsidRPr="006571AC">
        <w:rPr>
          <w:rtl/>
        </w:rPr>
        <w:t>ة والألم والسعادة يقول الشهيد مرتضى مطه</w:t>
      </w:r>
      <w:r w:rsidR="007155A6" w:rsidRPr="006571AC">
        <w:rPr>
          <w:rtl/>
        </w:rPr>
        <w:t>َّ</w:t>
      </w:r>
      <w:r w:rsidRPr="006571AC">
        <w:rPr>
          <w:rtl/>
        </w:rPr>
        <w:t xml:space="preserve">ري: </w:t>
      </w:r>
      <w:r w:rsidRPr="006571AC">
        <w:rPr>
          <w:rtl/>
          <w:lang w:val="en-GB"/>
        </w:rPr>
        <w:t>إن موضوع الكمال والسعادة مطروح</w:t>
      </w:r>
      <w:r w:rsidR="007155A6" w:rsidRPr="006571AC">
        <w:rPr>
          <w:rtl/>
          <w:lang w:val="en-GB"/>
        </w:rPr>
        <w:t>ٌ</w:t>
      </w:r>
      <w:r w:rsidRPr="006571AC">
        <w:rPr>
          <w:rtl/>
          <w:lang w:val="en-GB"/>
        </w:rPr>
        <w:t xml:space="preserve"> للبحث في الفلسفة الإسلامية</w:t>
      </w:r>
      <w:r w:rsidR="007155A6" w:rsidRPr="006571AC">
        <w:rPr>
          <w:rtl/>
          <w:lang w:val="en-GB"/>
        </w:rPr>
        <w:t>،</w:t>
      </w:r>
      <w:r w:rsidRPr="006571AC">
        <w:rPr>
          <w:rtl/>
          <w:lang w:val="en-GB"/>
        </w:rPr>
        <w:t xml:space="preserve"> وتناوله ابن سينا في </w:t>
      </w:r>
      <w:r w:rsidRPr="006571AC">
        <w:rPr>
          <w:rFonts w:hint="eastAsia"/>
          <w:sz w:val="24"/>
          <w:szCs w:val="24"/>
          <w:rtl/>
        </w:rPr>
        <w:t>«</w:t>
      </w:r>
      <w:r w:rsidRPr="006571AC">
        <w:rPr>
          <w:rtl/>
          <w:lang w:val="en-GB"/>
        </w:rPr>
        <w:t>الإشارات</w:t>
      </w:r>
      <w:r w:rsidRPr="006571AC">
        <w:rPr>
          <w:rFonts w:hint="eastAsia"/>
          <w:sz w:val="24"/>
          <w:szCs w:val="24"/>
          <w:rtl/>
        </w:rPr>
        <w:t>»</w:t>
      </w:r>
      <w:r w:rsidR="007155A6" w:rsidRPr="006571AC">
        <w:rPr>
          <w:rtl/>
          <w:lang w:val="en-GB"/>
        </w:rPr>
        <w:t>،</w:t>
      </w:r>
      <w:r w:rsidRPr="006571AC">
        <w:rPr>
          <w:rtl/>
          <w:lang w:val="en-GB"/>
        </w:rPr>
        <w:t xml:space="preserve"> وغيره في كتب أخرى</w:t>
      </w:r>
      <w:r w:rsidR="007155A6" w:rsidRPr="006571AC">
        <w:rPr>
          <w:rtl/>
          <w:lang w:val="en-GB"/>
        </w:rPr>
        <w:t>.</w:t>
      </w:r>
      <w:r w:rsidRPr="006571AC">
        <w:rPr>
          <w:rtl/>
          <w:lang w:val="en-GB"/>
        </w:rPr>
        <w:t xml:space="preserve"> ويعتقد الفلاسفة المسلمون أنه لا يمكن فصل السعادة عن الكمال</w:t>
      </w:r>
      <w:r w:rsidR="007155A6" w:rsidRPr="006571AC">
        <w:rPr>
          <w:rtl/>
          <w:lang w:val="en-GB"/>
        </w:rPr>
        <w:t>،</w:t>
      </w:r>
      <w:r w:rsidRPr="006571AC">
        <w:rPr>
          <w:rtl/>
          <w:lang w:val="en-GB"/>
        </w:rPr>
        <w:t xml:space="preserve"> ولا فصل الكمال عن السعادة</w:t>
      </w:r>
      <w:r w:rsidR="007155A6" w:rsidRPr="006571AC">
        <w:rPr>
          <w:rtl/>
          <w:lang w:val="en-GB"/>
        </w:rPr>
        <w:t>؛</w:t>
      </w:r>
      <w:r w:rsidRPr="006571AC">
        <w:rPr>
          <w:rtl/>
          <w:lang w:val="en-GB"/>
        </w:rPr>
        <w:t xml:space="preserve"> وذلك لأن كل كمال هو لون</w:t>
      </w:r>
      <w:r w:rsidR="007155A6" w:rsidRPr="006571AC">
        <w:rPr>
          <w:rtl/>
          <w:lang w:val="en-GB"/>
        </w:rPr>
        <w:t>ٌ</w:t>
      </w:r>
      <w:r w:rsidRPr="006571AC">
        <w:rPr>
          <w:rtl/>
          <w:lang w:val="en-GB"/>
        </w:rPr>
        <w:t xml:space="preserve"> من السعادة. أمّا </w:t>
      </w:r>
      <w:r w:rsidRPr="006571AC">
        <w:rPr>
          <w:rFonts w:hint="eastAsia"/>
          <w:sz w:val="24"/>
          <w:szCs w:val="24"/>
          <w:rtl/>
        </w:rPr>
        <w:t>«</w:t>
      </w:r>
      <w:r w:rsidRPr="006571AC">
        <w:rPr>
          <w:rtl/>
          <w:lang w:val="en-GB"/>
        </w:rPr>
        <w:t>كان</w:t>
      </w:r>
      <w:r w:rsidR="00CB3B21" w:rsidRPr="006571AC">
        <w:rPr>
          <w:rtl/>
          <w:lang w:val="en-GB"/>
        </w:rPr>
        <w:t>ْ</w:t>
      </w:r>
      <w:r w:rsidRPr="006571AC">
        <w:rPr>
          <w:rtl/>
          <w:lang w:val="en-GB"/>
        </w:rPr>
        <w:t>ت</w:t>
      </w:r>
      <w:r w:rsidRPr="006571AC">
        <w:rPr>
          <w:rFonts w:hint="eastAsia"/>
          <w:sz w:val="24"/>
          <w:szCs w:val="24"/>
          <w:rtl/>
        </w:rPr>
        <w:t>»</w:t>
      </w:r>
      <w:r w:rsidRPr="006571AC">
        <w:rPr>
          <w:rtl/>
          <w:lang w:val="en-GB"/>
        </w:rPr>
        <w:t xml:space="preserve"> فهو يعترف بأن فصل التكليف عن الجمال وفصل الأخلاق عن السعادة هو أمر</w:t>
      </w:r>
      <w:r w:rsidR="007155A6" w:rsidRPr="006571AC">
        <w:rPr>
          <w:rtl/>
          <w:lang w:val="en-GB"/>
        </w:rPr>
        <w:t>ٌ</w:t>
      </w:r>
      <w:r w:rsidRPr="006571AC">
        <w:rPr>
          <w:rtl/>
          <w:lang w:val="en-GB"/>
        </w:rPr>
        <w:t xml:space="preserve"> صعب</w:t>
      </w:r>
      <w:r w:rsidR="007155A6" w:rsidRPr="006571AC">
        <w:rPr>
          <w:rtl/>
          <w:lang w:val="en-GB"/>
        </w:rPr>
        <w:t>،</w:t>
      </w:r>
      <w:r w:rsidRPr="006571AC">
        <w:rPr>
          <w:rtl/>
          <w:lang w:val="en-GB"/>
        </w:rPr>
        <w:t xml:space="preserve"> لكنه مع ذلك ي</w:t>
      </w:r>
      <w:r w:rsidR="004B6AEE" w:rsidRPr="006571AC">
        <w:rPr>
          <w:rFonts w:hint="cs"/>
          <w:rtl/>
          <w:lang w:val="en-GB"/>
        </w:rPr>
        <w:t>ُ</w:t>
      </w:r>
      <w:r w:rsidRPr="006571AC">
        <w:rPr>
          <w:rtl/>
          <w:lang w:val="en-GB"/>
        </w:rPr>
        <w:t>ق</w:t>
      </w:r>
      <w:r w:rsidR="004B6AEE" w:rsidRPr="006571AC">
        <w:rPr>
          <w:rFonts w:hint="cs"/>
          <w:rtl/>
          <w:lang w:val="en-GB"/>
        </w:rPr>
        <w:t>ْ</w:t>
      </w:r>
      <w:r w:rsidRPr="006571AC">
        <w:rPr>
          <w:rtl/>
          <w:lang w:val="en-GB"/>
        </w:rPr>
        <w:t>د</w:t>
      </w:r>
      <w:r w:rsidR="004B6AEE" w:rsidRPr="006571AC">
        <w:rPr>
          <w:rFonts w:hint="cs"/>
          <w:rtl/>
          <w:lang w:val="en-GB"/>
        </w:rPr>
        <w:t>ِ</w:t>
      </w:r>
      <w:r w:rsidRPr="006571AC">
        <w:rPr>
          <w:rtl/>
          <w:lang w:val="en-GB"/>
        </w:rPr>
        <w:t>م عل</w:t>
      </w:r>
      <w:r w:rsidR="007155A6" w:rsidRPr="006571AC">
        <w:rPr>
          <w:rtl/>
          <w:lang w:val="en-GB"/>
        </w:rPr>
        <w:t>ى</w:t>
      </w:r>
      <w:r w:rsidRPr="006571AC">
        <w:rPr>
          <w:rtl/>
          <w:lang w:val="en-GB"/>
        </w:rPr>
        <w:t xml:space="preserve"> الفصل بينهما. </w:t>
      </w:r>
    </w:p>
    <w:p w:rsidR="0001386F" w:rsidRPr="006571AC" w:rsidRDefault="0001386F" w:rsidP="006C5D28">
      <w:pPr>
        <w:rPr>
          <w:rtl/>
          <w:lang w:val="en-GB"/>
        </w:rPr>
      </w:pPr>
      <w:r w:rsidRPr="006571AC">
        <w:rPr>
          <w:rtl/>
          <w:lang w:val="en-GB"/>
        </w:rPr>
        <w:t xml:space="preserve"> وجميع فلاسفة الإسلام يؤك</w:t>
      </w:r>
      <w:r w:rsidR="007155A6" w:rsidRPr="006571AC">
        <w:rPr>
          <w:rtl/>
          <w:lang w:val="en-GB"/>
        </w:rPr>
        <w:t>ِّ</w:t>
      </w:r>
      <w:r w:rsidRPr="006571AC">
        <w:rPr>
          <w:rtl/>
          <w:lang w:val="en-GB"/>
        </w:rPr>
        <w:t>دون على التلازم بين الأخلاق والسعادة</w:t>
      </w:r>
      <w:r w:rsidR="007155A6" w:rsidRPr="006571AC">
        <w:rPr>
          <w:rtl/>
          <w:lang w:val="en-GB"/>
        </w:rPr>
        <w:t>،</w:t>
      </w:r>
      <w:r w:rsidRPr="006571AC">
        <w:rPr>
          <w:rtl/>
          <w:lang w:val="en-GB"/>
        </w:rPr>
        <w:t xml:space="preserve"> بل يعد</w:t>
      </w:r>
      <w:r w:rsidR="007155A6" w:rsidRPr="006571AC">
        <w:rPr>
          <w:rtl/>
          <w:lang w:val="en-GB"/>
        </w:rPr>
        <w:t>ّ</w:t>
      </w:r>
      <w:r w:rsidRPr="006571AC">
        <w:rPr>
          <w:rtl/>
          <w:lang w:val="en-GB"/>
        </w:rPr>
        <w:t>ون مفهوم السعادة ر</w:t>
      </w:r>
      <w:r w:rsidR="004B6AEE" w:rsidRPr="006571AC">
        <w:rPr>
          <w:rFonts w:hint="cs"/>
          <w:rtl/>
          <w:lang w:val="en-GB"/>
        </w:rPr>
        <w:t>ُ</w:t>
      </w:r>
      <w:r w:rsidRPr="006571AC">
        <w:rPr>
          <w:rtl/>
          <w:lang w:val="en-GB"/>
        </w:rPr>
        <w:t>ك</w:t>
      </w:r>
      <w:r w:rsidR="004B6AEE" w:rsidRPr="006571AC">
        <w:rPr>
          <w:rFonts w:hint="cs"/>
          <w:rtl/>
          <w:lang w:val="en-GB"/>
        </w:rPr>
        <w:t>ْ</w:t>
      </w:r>
      <w:r w:rsidRPr="006571AC">
        <w:rPr>
          <w:rtl/>
          <w:lang w:val="en-GB"/>
        </w:rPr>
        <w:t>نا</w:t>
      </w:r>
      <w:r w:rsidR="007155A6" w:rsidRPr="006571AC">
        <w:rPr>
          <w:rtl/>
          <w:lang w:val="en-GB"/>
        </w:rPr>
        <w:t>ً</w:t>
      </w:r>
      <w:r w:rsidRPr="006571AC">
        <w:rPr>
          <w:rtl/>
          <w:lang w:val="en-GB"/>
        </w:rPr>
        <w:t xml:space="preserve"> للأخلاق، كالفارابي مثلا</w:t>
      </w:r>
      <w:r w:rsidR="007155A6" w:rsidRPr="006571AC">
        <w:rPr>
          <w:rtl/>
          <w:lang w:val="en-GB"/>
        </w:rPr>
        <w:t>ً،</w:t>
      </w:r>
      <w:r w:rsidRPr="006571AC">
        <w:rPr>
          <w:rtl/>
          <w:lang w:val="en-GB"/>
        </w:rPr>
        <w:t xml:space="preserve"> الذي ألّف عدّة كتب في الأخلاق</w:t>
      </w:r>
      <w:r w:rsidR="007155A6" w:rsidRPr="006571AC">
        <w:rPr>
          <w:rtl/>
          <w:lang w:val="en-GB"/>
        </w:rPr>
        <w:t>،</w:t>
      </w:r>
      <w:r w:rsidRPr="006571AC">
        <w:rPr>
          <w:rtl/>
          <w:lang w:val="en-GB"/>
        </w:rPr>
        <w:t xml:space="preserve"> فهو مم</w:t>
      </w:r>
      <w:r w:rsidR="007155A6" w:rsidRPr="006571AC">
        <w:rPr>
          <w:rtl/>
          <w:lang w:val="en-GB"/>
        </w:rPr>
        <w:t>َّ</w:t>
      </w:r>
      <w:r w:rsidRPr="006571AC">
        <w:rPr>
          <w:rtl/>
          <w:lang w:val="en-GB"/>
        </w:rPr>
        <w:t>ن</w:t>
      </w:r>
      <w:r w:rsidR="007155A6" w:rsidRPr="006571AC">
        <w:rPr>
          <w:rtl/>
          <w:lang w:val="en-GB"/>
        </w:rPr>
        <w:t>ْ</w:t>
      </w:r>
      <w:r w:rsidRPr="006571AC">
        <w:rPr>
          <w:rtl/>
          <w:lang w:val="en-GB"/>
        </w:rPr>
        <w:t xml:space="preserve"> توس</w:t>
      </w:r>
      <w:r w:rsidR="007155A6" w:rsidRPr="006571AC">
        <w:rPr>
          <w:rtl/>
          <w:lang w:val="en-GB"/>
        </w:rPr>
        <w:t>َّ</w:t>
      </w:r>
      <w:r w:rsidRPr="006571AC">
        <w:rPr>
          <w:rtl/>
          <w:lang w:val="en-GB"/>
        </w:rPr>
        <w:t>ع في دراسة السعادة</w:t>
      </w:r>
      <w:r w:rsidR="007155A6" w:rsidRPr="006571AC">
        <w:rPr>
          <w:rtl/>
          <w:lang w:val="en-GB"/>
        </w:rPr>
        <w:t>،</w:t>
      </w:r>
      <w:r w:rsidRPr="006571AC">
        <w:rPr>
          <w:rtl/>
          <w:lang w:val="en-GB"/>
        </w:rPr>
        <w:t xml:space="preserve"> ورأى أن الأخلاق والسعادة توأمان، فالكمال لا ينفك</w:t>
      </w:r>
      <w:r w:rsidR="007155A6" w:rsidRPr="006571AC">
        <w:rPr>
          <w:rtl/>
          <w:lang w:val="en-GB"/>
        </w:rPr>
        <w:t>ّ</w:t>
      </w:r>
      <w:r w:rsidRPr="006571AC">
        <w:rPr>
          <w:rtl/>
          <w:lang w:val="en-GB"/>
        </w:rPr>
        <w:t xml:space="preserve"> عن السعادة، وإنما كل</w:t>
      </w:r>
      <w:r w:rsidR="007155A6" w:rsidRPr="006571AC">
        <w:rPr>
          <w:rtl/>
          <w:lang w:val="en-GB"/>
        </w:rPr>
        <w:t>ّ</w:t>
      </w:r>
      <w:r w:rsidRPr="006571AC">
        <w:rPr>
          <w:rtl/>
          <w:lang w:val="en-GB"/>
        </w:rPr>
        <w:t xml:space="preserve"> كمال هو بنفسه لون</w:t>
      </w:r>
      <w:r w:rsidR="007155A6" w:rsidRPr="006571AC">
        <w:rPr>
          <w:rtl/>
          <w:lang w:val="en-GB"/>
        </w:rPr>
        <w:t>ٌ</w:t>
      </w:r>
      <w:r w:rsidRPr="006571AC">
        <w:rPr>
          <w:rtl/>
          <w:lang w:val="en-GB"/>
        </w:rPr>
        <w:t xml:space="preserve"> من ألوان السعادة، غاية الأمر أن السعادة ليست محصورة</w:t>
      </w:r>
      <w:r w:rsidR="004E14B8" w:rsidRPr="006571AC">
        <w:rPr>
          <w:rtl/>
          <w:lang w:val="en-GB"/>
        </w:rPr>
        <w:t>ً</w:t>
      </w:r>
      <w:r w:rsidRPr="006571AC">
        <w:rPr>
          <w:rtl/>
          <w:lang w:val="en-GB"/>
        </w:rPr>
        <w:t xml:space="preserve"> في اللذات الحس</w:t>
      </w:r>
      <w:r w:rsidR="004E14B8" w:rsidRPr="006571AC">
        <w:rPr>
          <w:rtl/>
          <w:lang w:val="en-GB"/>
        </w:rPr>
        <w:t>ِّ</w:t>
      </w:r>
      <w:r w:rsidRPr="006571AC">
        <w:rPr>
          <w:rtl/>
          <w:lang w:val="en-GB"/>
        </w:rPr>
        <w:t>ية</w:t>
      </w:r>
      <w:r w:rsidR="004E14B8" w:rsidRPr="006571AC">
        <w:rPr>
          <w:rtl/>
          <w:lang w:val="en-GB"/>
        </w:rPr>
        <w:t>.</w:t>
      </w:r>
      <w:r w:rsidRPr="006571AC">
        <w:rPr>
          <w:rtl/>
          <w:lang w:val="en-GB"/>
        </w:rPr>
        <w:t xml:space="preserve"> والعجيب </w:t>
      </w:r>
      <w:r w:rsidR="004E14B8" w:rsidRPr="006571AC">
        <w:rPr>
          <w:rtl/>
          <w:lang w:val="en-GB"/>
        </w:rPr>
        <w:t>أ</w:t>
      </w:r>
      <w:r w:rsidRPr="006571AC">
        <w:rPr>
          <w:rtl/>
          <w:lang w:val="en-GB"/>
        </w:rPr>
        <w:t xml:space="preserve">ن </w:t>
      </w:r>
      <w:r w:rsidRPr="006571AC">
        <w:rPr>
          <w:rFonts w:hint="eastAsia"/>
          <w:sz w:val="24"/>
          <w:szCs w:val="24"/>
          <w:rtl/>
        </w:rPr>
        <w:t>«</w:t>
      </w:r>
      <w:r w:rsidRPr="006571AC">
        <w:rPr>
          <w:rtl/>
          <w:lang w:val="en-GB"/>
        </w:rPr>
        <w:t>كان</w:t>
      </w:r>
      <w:r w:rsidR="004B6AEE" w:rsidRPr="006571AC">
        <w:rPr>
          <w:rFonts w:hint="cs"/>
          <w:rtl/>
          <w:lang w:val="en-GB"/>
        </w:rPr>
        <w:t>ْ</w:t>
      </w:r>
      <w:r w:rsidRPr="006571AC">
        <w:rPr>
          <w:rtl/>
          <w:lang w:val="en-GB"/>
        </w:rPr>
        <w:t>ت</w:t>
      </w:r>
      <w:r w:rsidRPr="006571AC">
        <w:rPr>
          <w:rFonts w:hint="eastAsia"/>
          <w:sz w:val="24"/>
          <w:szCs w:val="24"/>
          <w:rtl/>
        </w:rPr>
        <w:t>»</w:t>
      </w:r>
      <w:r w:rsidRPr="006571AC">
        <w:rPr>
          <w:rtl/>
          <w:lang w:val="en-GB"/>
        </w:rPr>
        <w:t xml:space="preserve"> يحصر السعادة في هذا النطاق الضيّ</w:t>
      </w:r>
      <w:r w:rsidR="004E14B8" w:rsidRPr="006571AC">
        <w:rPr>
          <w:rtl/>
          <w:lang w:val="en-GB"/>
        </w:rPr>
        <w:t>ِ</w:t>
      </w:r>
      <w:r w:rsidRPr="006571AC">
        <w:rPr>
          <w:rtl/>
          <w:lang w:val="en-GB"/>
        </w:rPr>
        <w:t>ق. ويسأل الشهيد مطه</w:t>
      </w:r>
      <w:r w:rsidR="004E14B8" w:rsidRPr="006571AC">
        <w:rPr>
          <w:rtl/>
          <w:lang w:val="en-GB"/>
        </w:rPr>
        <w:t>َّ</w:t>
      </w:r>
      <w:r w:rsidRPr="006571AC">
        <w:rPr>
          <w:rtl/>
          <w:lang w:val="en-GB"/>
        </w:rPr>
        <w:t xml:space="preserve">ري </w:t>
      </w:r>
      <w:r w:rsidRPr="006571AC">
        <w:rPr>
          <w:rFonts w:hint="eastAsia"/>
          <w:sz w:val="24"/>
          <w:szCs w:val="24"/>
          <w:rtl/>
        </w:rPr>
        <w:t>«</w:t>
      </w:r>
      <w:r w:rsidRPr="006571AC">
        <w:rPr>
          <w:rtl/>
          <w:lang w:val="en-GB"/>
        </w:rPr>
        <w:t>كان</w:t>
      </w:r>
      <w:r w:rsidR="004B6AEE" w:rsidRPr="006571AC">
        <w:rPr>
          <w:rFonts w:hint="cs"/>
          <w:rtl/>
          <w:lang w:val="en-GB"/>
        </w:rPr>
        <w:t>ْ</w:t>
      </w:r>
      <w:r w:rsidRPr="006571AC">
        <w:rPr>
          <w:rtl/>
          <w:lang w:val="en-GB"/>
        </w:rPr>
        <w:t>ت</w:t>
      </w:r>
      <w:r w:rsidRPr="006571AC">
        <w:rPr>
          <w:rFonts w:hint="eastAsia"/>
          <w:sz w:val="24"/>
          <w:szCs w:val="24"/>
          <w:rtl/>
        </w:rPr>
        <w:t>»</w:t>
      </w:r>
      <w:r w:rsidRPr="006571AC">
        <w:rPr>
          <w:rtl/>
          <w:lang w:val="en-GB"/>
        </w:rPr>
        <w:t xml:space="preserve">: </w:t>
      </w:r>
      <w:r w:rsidR="004E14B8" w:rsidRPr="006571AC">
        <w:rPr>
          <w:rtl/>
          <w:lang w:val="en-GB"/>
        </w:rPr>
        <w:t>إ</w:t>
      </w:r>
      <w:r w:rsidRPr="006571AC">
        <w:rPr>
          <w:rtl/>
          <w:lang w:val="en-GB"/>
        </w:rPr>
        <w:t>نك تقول</w:t>
      </w:r>
      <w:r w:rsidR="004E14B8" w:rsidRPr="006571AC">
        <w:rPr>
          <w:rtl/>
          <w:lang w:val="en-GB"/>
        </w:rPr>
        <w:t>:</w:t>
      </w:r>
      <w:r w:rsidRPr="006571AC">
        <w:rPr>
          <w:rtl/>
          <w:lang w:val="en-GB"/>
        </w:rPr>
        <w:t xml:space="preserve"> عندما يخالف الإنسان ضميره فإنه يشعر بمرارة</w:t>
      </w:r>
      <w:r w:rsidR="004E14B8" w:rsidRPr="006571AC">
        <w:rPr>
          <w:rtl/>
          <w:lang w:val="en-GB"/>
        </w:rPr>
        <w:t>ٍ</w:t>
      </w:r>
      <w:r w:rsidRPr="006571AC">
        <w:rPr>
          <w:rtl/>
          <w:lang w:val="en-GB"/>
        </w:rPr>
        <w:t xml:space="preserve"> شديدة في وجدانه، وهذا صحيح</w:t>
      </w:r>
      <w:r w:rsidR="004E14B8" w:rsidRPr="006571AC">
        <w:rPr>
          <w:rtl/>
          <w:lang w:val="en-GB"/>
        </w:rPr>
        <w:t>ٌ</w:t>
      </w:r>
      <w:r w:rsidRPr="006571AC">
        <w:rPr>
          <w:rtl/>
          <w:lang w:val="en-GB"/>
        </w:rPr>
        <w:t>، لكننا نسألك إذا كان الإنسان يشعر بالمرارة عندما يخالف ضميره فكيف لا يشعر باللذ</w:t>
      </w:r>
      <w:r w:rsidR="004E14B8" w:rsidRPr="006571AC">
        <w:rPr>
          <w:rtl/>
          <w:lang w:val="en-GB"/>
        </w:rPr>
        <w:t>ّ</w:t>
      </w:r>
      <w:r w:rsidRPr="006571AC">
        <w:rPr>
          <w:rtl/>
          <w:lang w:val="en-GB"/>
        </w:rPr>
        <w:t>ة والسعادة عندما يطيعه</w:t>
      </w:r>
      <w:r w:rsidR="004E14B8" w:rsidRPr="006571AC">
        <w:rPr>
          <w:rtl/>
          <w:lang w:val="en-GB"/>
        </w:rPr>
        <w:t>،</w:t>
      </w:r>
      <w:r w:rsidRPr="006571AC">
        <w:rPr>
          <w:rtl/>
          <w:lang w:val="en-GB"/>
        </w:rPr>
        <w:t xml:space="preserve"> غاية الأمر أنها سعادة</w:t>
      </w:r>
      <w:r w:rsidR="004E14B8" w:rsidRPr="006571AC">
        <w:rPr>
          <w:rtl/>
          <w:lang w:val="en-GB"/>
        </w:rPr>
        <w:t>ٌ</w:t>
      </w:r>
      <w:r w:rsidRPr="006571AC">
        <w:rPr>
          <w:rtl/>
          <w:lang w:val="en-GB"/>
        </w:rPr>
        <w:t xml:space="preserve"> ولذ</w:t>
      </w:r>
      <w:r w:rsidR="004E14B8" w:rsidRPr="006571AC">
        <w:rPr>
          <w:rtl/>
          <w:lang w:val="en-GB"/>
        </w:rPr>
        <w:t>ّ</w:t>
      </w:r>
      <w:r w:rsidRPr="006571AC">
        <w:rPr>
          <w:rtl/>
          <w:lang w:val="en-GB"/>
        </w:rPr>
        <w:t>ة</w:t>
      </w:r>
      <w:r w:rsidR="004E14B8" w:rsidRPr="006571AC">
        <w:rPr>
          <w:rtl/>
          <w:lang w:val="en-GB"/>
        </w:rPr>
        <w:t>ٌ</w:t>
      </w:r>
      <w:r w:rsidRPr="006571AC">
        <w:rPr>
          <w:rtl/>
          <w:lang w:val="en-GB"/>
        </w:rPr>
        <w:t xml:space="preserve"> في مستوى أرفع وأعمق وألطف وأبقى؟!</w:t>
      </w:r>
      <w:r w:rsidRPr="006571AC">
        <w:rPr>
          <w:vertAlign w:val="superscript"/>
          <w:rtl/>
          <w:lang w:val="en-GB"/>
        </w:rPr>
        <w:t>(</w:t>
      </w:r>
      <w:r w:rsidRPr="006571AC">
        <w:rPr>
          <w:rStyle w:val="ac"/>
          <w:rFonts w:ascii="Arial" w:hAnsi="Arial"/>
          <w:sz w:val="27"/>
          <w:rtl/>
          <w:lang w:val="en-GB"/>
        </w:rPr>
        <w:endnoteReference w:id="715"/>
      </w:r>
      <w:r w:rsidRPr="006571AC">
        <w:rPr>
          <w:vertAlign w:val="superscript"/>
          <w:rtl/>
          <w:lang w:val="en-GB"/>
        </w:rPr>
        <w:t>)</w:t>
      </w:r>
      <w:r w:rsidR="004E14B8" w:rsidRPr="006571AC">
        <w:rPr>
          <w:rtl/>
          <w:lang w:val="en-GB"/>
        </w:rPr>
        <w:t>.</w:t>
      </w:r>
    </w:p>
    <w:p w:rsidR="0001386F" w:rsidRPr="006571AC" w:rsidRDefault="004E14B8" w:rsidP="006C5D28">
      <w:pPr>
        <w:rPr>
          <w:rtl/>
          <w:lang w:val="en-GB"/>
        </w:rPr>
      </w:pPr>
      <w:r w:rsidRPr="006571AC">
        <w:rPr>
          <w:rtl/>
          <w:lang w:val="en-GB"/>
        </w:rPr>
        <w:t>ويُف</w:t>
      </w:r>
      <w:r w:rsidR="0001386F" w:rsidRPr="006571AC">
        <w:rPr>
          <w:rtl/>
          <w:lang w:val="en-GB"/>
        </w:rPr>
        <w:t>نّ</w:t>
      </w:r>
      <w:r w:rsidRPr="006571AC">
        <w:rPr>
          <w:rtl/>
          <w:lang w:val="en-GB"/>
        </w:rPr>
        <w:t>ِ</w:t>
      </w:r>
      <w:r w:rsidR="0001386F" w:rsidRPr="006571AC">
        <w:rPr>
          <w:rtl/>
          <w:lang w:val="en-GB"/>
        </w:rPr>
        <w:t>د الشهيد مطه</w:t>
      </w:r>
      <w:r w:rsidRPr="006571AC">
        <w:rPr>
          <w:rtl/>
          <w:lang w:val="en-GB"/>
        </w:rPr>
        <w:t>َّ</w:t>
      </w:r>
      <w:r w:rsidR="0001386F" w:rsidRPr="006571AC">
        <w:rPr>
          <w:rtl/>
          <w:lang w:val="en-GB"/>
        </w:rPr>
        <w:t xml:space="preserve">ري رأي </w:t>
      </w:r>
      <w:r w:rsidR="0001386F" w:rsidRPr="006571AC">
        <w:rPr>
          <w:rFonts w:hint="eastAsia"/>
          <w:sz w:val="24"/>
          <w:szCs w:val="24"/>
          <w:rtl/>
        </w:rPr>
        <w:t>«</w:t>
      </w:r>
      <w:r w:rsidR="0001386F" w:rsidRPr="006571AC">
        <w:rPr>
          <w:rtl/>
          <w:lang w:val="en-GB"/>
        </w:rPr>
        <w:t>كان</w:t>
      </w:r>
      <w:r w:rsidR="00CB3B21" w:rsidRPr="006571AC">
        <w:rPr>
          <w:rtl/>
          <w:lang w:val="en-GB"/>
        </w:rPr>
        <w:t>ْ</w:t>
      </w:r>
      <w:r w:rsidR="0001386F" w:rsidRPr="006571AC">
        <w:rPr>
          <w:rtl/>
          <w:lang w:val="en-GB"/>
        </w:rPr>
        <w:t>ت</w:t>
      </w:r>
      <w:r w:rsidR="0001386F" w:rsidRPr="006571AC">
        <w:rPr>
          <w:rFonts w:hint="eastAsia"/>
          <w:sz w:val="24"/>
          <w:szCs w:val="24"/>
          <w:rtl/>
        </w:rPr>
        <w:t>»</w:t>
      </w:r>
      <w:r w:rsidR="0001386F" w:rsidRPr="006571AC">
        <w:rPr>
          <w:rtl/>
          <w:lang w:val="en-GB"/>
        </w:rPr>
        <w:t xml:space="preserve"> قائلا</w:t>
      </w:r>
      <w:r w:rsidRPr="006571AC">
        <w:rPr>
          <w:rtl/>
          <w:lang w:val="en-GB"/>
        </w:rPr>
        <w:t>ً</w:t>
      </w:r>
      <w:r w:rsidR="0001386F" w:rsidRPr="006571AC">
        <w:rPr>
          <w:rtl/>
          <w:lang w:val="en-GB"/>
        </w:rPr>
        <w:t>: ح</w:t>
      </w:r>
      <w:r w:rsidRPr="006571AC">
        <w:rPr>
          <w:rtl/>
          <w:lang w:val="en-GB"/>
        </w:rPr>
        <w:t>َ</w:t>
      </w:r>
      <w:r w:rsidR="0001386F" w:rsidRPr="006571AC">
        <w:rPr>
          <w:rtl/>
          <w:lang w:val="en-GB"/>
        </w:rPr>
        <w:t>س</w:t>
      </w:r>
      <w:r w:rsidRPr="006571AC">
        <w:rPr>
          <w:rtl/>
          <w:lang w:val="en-GB"/>
        </w:rPr>
        <w:t>ْ</w:t>
      </w:r>
      <w:r w:rsidR="0001386F" w:rsidRPr="006571AC">
        <w:rPr>
          <w:rtl/>
          <w:lang w:val="en-GB"/>
        </w:rPr>
        <w:t xml:space="preserve">ب رأي </w:t>
      </w:r>
      <w:r w:rsidR="0001386F" w:rsidRPr="006571AC">
        <w:rPr>
          <w:rFonts w:hint="eastAsia"/>
          <w:sz w:val="24"/>
          <w:szCs w:val="24"/>
          <w:rtl/>
        </w:rPr>
        <w:t>«</w:t>
      </w:r>
      <w:r w:rsidR="0001386F" w:rsidRPr="006571AC">
        <w:rPr>
          <w:rtl/>
          <w:lang w:val="en-GB"/>
        </w:rPr>
        <w:t>كان</w:t>
      </w:r>
      <w:r w:rsidR="00CB3B21" w:rsidRPr="006571AC">
        <w:rPr>
          <w:rtl/>
          <w:lang w:val="en-GB"/>
        </w:rPr>
        <w:t>ْ</w:t>
      </w:r>
      <w:r w:rsidR="0001386F" w:rsidRPr="006571AC">
        <w:rPr>
          <w:rtl/>
          <w:lang w:val="en-GB"/>
        </w:rPr>
        <w:t>ت</w:t>
      </w:r>
      <w:r w:rsidR="0001386F" w:rsidRPr="006571AC">
        <w:rPr>
          <w:rFonts w:hint="eastAsia"/>
          <w:sz w:val="24"/>
          <w:szCs w:val="24"/>
          <w:rtl/>
        </w:rPr>
        <w:t>»</w:t>
      </w:r>
      <w:r w:rsidR="0001386F" w:rsidRPr="006571AC">
        <w:rPr>
          <w:rtl/>
          <w:lang w:val="en-GB"/>
        </w:rPr>
        <w:t xml:space="preserve"> يشعر الإنسان بالمرارة أيضا</w:t>
      </w:r>
      <w:r w:rsidRPr="006571AC">
        <w:rPr>
          <w:rtl/>
          <w:lang w:val="en-GB"/>
        </w:rPr>
        <w:t>ً</w:t>
      </w:r>
      <w:r w:rsidR="0001386F" w:rsidRPr="006571AC">
        <w:rPr>
          <w:rtl/>
          <w:lang w:val="en-GB"/>
        </w:rPr>
        <w:t xml:space="preserve"> عندما يطيع أوامر ضميره</w:t>
      </w:r>
      <w:r w:rsidRPr="006571AC">
        <w:rPr>
          <w:rtl/>
          <w:lang w:val="en-GB"/>
        </w:rPr>
        <w:t>؛</w:t>
      </w:r>
      <w:r w:rsidR="0001386F" w:rsidRPr="006571AC">
        <w:rPr>
          <w:rtl/>
          <w:lang w:val="en-GB"/>
        </w:rPr>
        <w:t xml:space="preserve"> لأنه يقول بالتفكيك بين هذه الطاعة والسعادة</w:t>
      </w:r>
      <w:r w:rsidRPr="006571AC">
        <w:rPr>
          <w:rtl/>
          <w:lang w:val="en-GB"/>
        </w:rPr>
        <w:t>.</w:t>
      </w:r>
      <w:r w:rsidR="0001386F" w:rsidRPr="006571AC">
        <w:rPr>
          <w:rtl/>
          <w:lang w:val="en-GB"/>
        </w:rPr>
        <w:t xml:space="preserve"> وهذا أمر</w:t>
      </w:r>
      <w:r w:rsidRPr="006571AC">
        <w:rPr>
          <w:rtl/>
          <w:lang w:val="en-GB"/>
        </w:rPr>
        <w:t>ٌ</w:t>
      </w:r>
      <w:r w:rsidR="0001386F" w:rsidRPr="006571AC">
        <w:rPr>
          <w:rtl/>
          <w:lang w:val="en-GB"/>
        </w:rPr>
        <w:t xml:space="preserve"> يتعذ</w:t>
      </w:r>
      <w:r w:rsidRPr="006571AC">
        <w:rPr>
          <w:rtl/>
          <w:lang w:val="en-GB"/>
        </w:rPr>
        <w:t>َّ</w:t>
      </w:r>
      <w:r w:rsidR="0001386F" w:rsidRPr="006571AC">
        <w:rPr>
          <w:rtl/>
          <w:lang w:val="en-GB"/>
        </w:rPr>
        <w:t>ر علينا تصديقه</w:t>
      </w:r>
      <w:r w:rsidRPr="006571AC">
        <w:rPr>
          <w:rtl/>
          <w:lang w:val="en-GB"/>
        </w:rPr>
        <w:t>،</w:t>
      </w:r>
      <w:r w:rsidR="0001386F" w:rsidRPr="006571AC">
        <w:rPr>
          <w:rtl/>
          <w:lang w:val="en-GB"/>
        </w:rPr>
        <w:t xml:space="preserve"> فمن المستحيل أن نشعر بالعذاب عندما نطيع أوامره</w:t>
      </w:r>
      <w:r w:rsidRPr="006571AC">
        <w:rPr>
          <w:rtl/>
          <w:lang w:val="en-GB"/>
        </w:rPr>
        <w:t>،</w:t>
      </w:r>
      <w:r w:rsidR="0001386F" w:rsidRPr="006571AC">
        <w:rPr>
          <w:rtl/>
          <w:lang w:val="en-GB"/>
        </w:rPr>
        <w:t xml:space="preserve"> ونشعر بالعذاب عندما نخالفها. </w:t>
      </w:r>
    </w:p>
    <w:p w:rsidR="0001386F" w:rsidRPr="006571AC" w:rsidRDefault="0001386F" w:rsidP="006C5D28">
      <w:pPr>
        <w:rPr>
          <w:rtl/>
          <w:lang w:val="en-GB"/>
        </w:rPr>
      </w:pPr>
      <w:r w:rsidRPr="006571AC">
        <w:rPr>
          <w:rtl/>
          <w:lang w:val="en-GB"/>
        </w:rPr>
        <w:t xml:space="preserve"> إذن لمّا كان الإنسان يشعر بالعذاب عندما يخالف أوامر ضميره فمن المؤك</w:t>
      </w:r>
      <w:r w:rsidR="004E14B8" w:rsidRPr="006571AC">
        <w:rPr>
          <w:rtl/>
          <w:lang w:val="en-GB"/>
        </w:rPr>
        <w:t>َّ</w:t>
      </w:r>
      <w:r w:rsidRPr="006571AC">
        <w:rPr>
          <w:rtl/>
          <w:lang w:val="en-GB"/>
        </w:rPr>
        <w:t xml:space="preserve">د أنه سوف يشعر </w:t>
      </w:r>
      <w:r w:rsidR="004E14B8" w:rsidRPr="006571AC">
        <w:rPr>
          <w:rtl/>
          <w:lang w:val="en-GB"/>
        </w:rPr>
        <w:t>ب</w:t>
      </w:r>
      <w:r w:rsidRPr="006571AC">
        <w:rPr>
          <w:rtl/>
          <w:lang w:val="en-GB"/>
        </w:rPr>
        <w:t>لون</w:t>
      </w:r>
      <w:r w:rsidR="004E14B8" w:rsidRPr="006571AC">
        <w:rPr>
          <w:rtl/>
          <w:lang w:val="en-GB"/>
        </w:rPr>
        <w:t>ٍ</w:t>
      </w:r>
      <w:r w:rsidRPr="006571AC">
        <w:rPr>
          <w:rtl/>
          <w:lang w:val="en-GB"/>
        </w:rPr>
        <w:t xml:space="preserve"> خاص</w:t>
      </w:r>
      <w:r w:rsidR="004E14B8" w:rsidRPr="006571AC">
        <w:rPr>
          <w:rtl/>
          <w:lang w:val="en-GB"/>
        </w:rPr>
        <w:t>ّ</w:t>
      </w:r>
      <w:r w:rsidRPr="006571AC">
        <w:rPr>
          <w:rtl/>
          <w:lang w:val="en-GB"/>
        </w:rPr>
        <w:t xml:space="preserve"> من اللذ</w:t>
      </w:r>
      <w:r w:rsidR="004B6AEE" w:rsidRPr="006571AC">
        <w:rPr>
          <w:rFonts w:hint="cs"/>
          <w:rtl/>
          <w:lang w:val="en-GB"/>
        </w:rPr>
        <w:t>ّ</w:t>
      </w:r>
      <w:r w:rsidRPr="006571AC">
        <w:rPr>
          <w:rtl/>
          <w:lang w:val="en-GB"/>
        </w:rPr>
        <w:t>ة والسرور عندما يطيعها، وهي لذ</w:t>
      </w:r>
      <w:r w:rsidR="004E14B8" w:rsidRPr="006571AC">
        <w:rPr>
          <w:rtl/>
          <w:lang w:val="en-GB"/>
        </w:rPr>
        <w:t>ّة</w:t>
      </w:r>
      <w:r w:rsidR="001E0419" w:rsidRPr="006571AC">
        <w:rPr>
          <w:rtl/>
          <w:lang w:val="en-GB"/>
        </w:rPr>
        <w:t>ٌ</w:t>
      </w:r>
      <w:r w:rsidR="004E14B8" w:rsidRPr="006571AC">
        <w:rPr>
          <w:rtl/>
          <w:lang w:val="en-GB"/>
        </w:rPr>
        <w:t xml:space="preserve"> وسعادة يصعب </w:t>
      </w:r>
      <w:r w:rsidR="004E14B8" w:rsidRPr="006571AC">
        <w:rPr>
          <w:rtl/>
          <w:lang w:val="en-GB"/>
        </w:rPr>
        <w:lastRenderedPageBreak/>
        <w:t>وصفها...</w:t>
      </w:r>
    </w:p>
    <w:p w:rsidR="0001386F" w:rsidRPr="006571AC" w:rsidRDefault="0001386F" w:rsidP="006C5D28">
      <w:pPr>
        <w:rPr>
          <w:rtl/>
          <w:lang w:val="en-GB"/>
        </w:rPr>
      </w:pPr>
      <w:r w:rsidRPr="006571AC">
        <w:rPr>
          <w:rtl/>
          <w:lang w:val="en-GB"/>
        </w:rPr>
        <w:t xml:space="preserve">وقد أشار ابن سينا في كتابه </w:t>
      </w:r>
      <w:r w:rsidRPr="006571AC">
        <w:rPr>
          <w:rFonts w:hint="eastAsia"/>
          <w:sz w:val="24"/>
          <w:szCs w:val="24"/>
          <w:rtl/>
        </w:rPr>
        <w:t>«</w:t>
      </w:r>
      <w:r w:rsidRPr="006571AC">
        <w:rPr>
          <w:rtl/>
          <w:lang w:val="en-GB"/>
        </w:rPr>
        <w:t>الإشارات والتنبيهات</w:t>
      </w:r>
      <w:r w:rsidRPr="006571AC">
        <w:rPr>
          <w:rFonts w:hint="eastAsia"/>
          <w:sz w:val="24"/>
          <w:szCs w:val="24"/>
          <w:rtl/>
        </w:rPr>
        <w:t>»</w:t>
      </w:r>
      <w:r w:rsidRPr="006571AC">
        <w:rPr>
          <w:rtl/>
          <w:lang w:val="en-GB"/>
        </w:rPr>
        <w:t xml:space="preserve"> </w:t>
      </w:r>
      <w:r w:rsidR="004E14B8" w:rsidRPr="006571AC">
        <w:rPr>
          <w:rtl/>
          <w:lang w:val="en-GB"/>
        </w:rPr>
        <w:t xml:space="preserve">إلى </w:t>
      </w:r>
      <w:r w:rsidRPr="006571AC">
        <w:rPr>
          <w:rtl/>
          <w:lang w:val="en-GB"/>
        </w:rPr>
        <w:t>أنه من الخطأ ح</w:t>
      </w:r>
      <w:r w:rsidR="004E14B8" w:rsidRPr="006571AC">
        <w:rPr>
          <w:rtl/>
          <w:lang w:val="en-GB"/>
        </w:rPr>
        <w:t>َ</w:t>
      </w:r>
      <w:r w:rsidRPr="006571AC">
        <w:rPr>
          <w:rtl/>
          <w:lang w:val="en-GB"/>
        </w:rPr>
        <w:t>ص</w:t>
      </w:r>
      <w:r w:rsidR="004E14B8" w:rsidRPr="006571AC">
        <w:rPr>
          <w:rtl/>
          <w:lang w:val="en-GB"/>
        </w:rPr>
        <w:t>ْ</w:t>
      </w:r>
      <w:r w:rsidRPr="006571AC">
        <w:rPr>
          <w:rtl/>
          <w:lang w:val="en-GB"/>
        </w:rPr>
        <w:t>ر اللذ</w:t>
      </w:r>
      <w:r w:rsidR="004E14B8" w:rsidRPr="006571AC">
        <w:rPr>
          <w:rtl/>
          <w:lang w:val="en-GB"/>
        </w:rPr>
        <w:t>ّ</w:t>
      </w:r>
      <w:r w:rsidRPr="006571AC">
        <w:rPr>
          <w:rtl/>
          <w:lang w:val="en-GB"/>
        </w:rPr>
        <w:t>ة في ألوان اللذ</w:t>
      </w:r>
      <w:r w:rsidR="004E14B8" w:rsidRPr="006571AC">
        <w:rPr>
          <w:rtl/>
          <w:lang w:val="en-GB"/>
        </w:rPr>
        <w:t>ّ</w:t>
      </w:r>
      <w:r w:rsidRPr="006571AC">
        <w:rPr>
          <w:rtl/>
          <w:lang w:val="en-GB"/>
        </w:rPr>
        <w:t>ة الحس</w:t>
      </w:r>
      <w:r w:rsidR="004E14B8" w:rsidRPr="006571AC">
        <w:rPr>
          <w:rtl/>
          <w:lang w:val="en-GB"/>
        </w:rPr>
        <w:t>ِّ</w:t>
      </w:r>
      <w:r w:rsidRPr="006571AC">
        <w:rPr>
          <w:rtl/>
          <w:lang w:val="en-GB"/>
        </w:rPr>
        <w:t>ية</w:t>
      </w:r>
      <w:r w:rsidR="004E14B8" w:rsidRPr="006571AC">
        <w:rPr>
          <w:rtl/>
          <w:lang w:val="en-GB"/>
        </w:rPr>
        <w:t>،</w:t>
      </w:r>
      <w:r w:rsidRPr="006571AC">
        <w:rPr>
          <w:rtl/>
          <w:lang w:val="en-GB"/>
        </w:rPr>
        <w:t xml:space="preserve"> واستعرض عددا</w:t>
      </w:r>
      <w:r w:rsidR="004E14B8" w:rsidRPr="006571AC">
        <w:rPr>
          <w:rtl/>
          <w:lang w:val="en-GB"/>
        </w:rPr>
        <w:t>ً</w:t>
      </w:r>
      <w:r w:rsidRPr="006571AC">
        <w:rPr>
          <w:rtl/>
          <w:lang w:val="en-GB"/>
        </w:rPr>
        <w:t xml:space="preserve"> من اللذ</w:t>
      </w:r>
      <w:r w:rsidR="004E14B8" w:rsidRPr="006571AC">
        <w:rPr>
          <w:rtl/>
          <w:lang w:val="en-GB"/>
        </w:rPr>
        <w:t>ّ</w:t>
      </w:r>
      <w:r w:rsidRPr="006571AC">
        <w:rPr>
          <w:rtl/>
          <w:lang w:val="en-GB"/>
        </w:rPr>
        <w:t>ات المعنوية</w:t>
      </w:r>
      <w:r w:rsidR="004E14B8" w:rsidRPr="006571AC">
        <w:rPr>
          <w:rtl/>
          <w:lang w:val="en-GB"/>
        </w:rPr>
        <w:t>.</w:t>
      </w:r>
      <w:r w:rsidRPr="006571AC">
        <w:rPr>
          <w:rtl/>
          <w:lang w:val="en-GB"/>
        </w:rPr>
        <w:t xml:space="preserve"> </w:t>
      </w:r>
      <w:r w:rsidR="004E14B8" w:rsidRPr="006571AC">
        <w:rPr>
          <w:rtl/>
          <w:lang w:val="en-GB"/>
        </w:rPr>
        <w:t xml:space="preserve">واليوم </w:t>
      </w:r>
      <w:r w:rsidRPr="006571AC">
        <w:rPr>
          <w:rtl/>
          <w:lang w:val="en-GB"/>
        </w:rPr>
        <w:t>قد أثبت علم النفس الحديث أن لذ</w:t>
      </w:r>
      <w:r w:rsidR="004E14B8" w:rsidRPr="006571AC">
        <w:rPr>
          <w:rtl/>
          <w:lang w:val="en-GB"/>
        </w:rPr>
        <w:t>ّ</w:t>
      </w:r>
      <w:r w:rsidRPr="006571AC">
        <w:rPr>
          <w:rtl/>
          <w:lang w:val="en-GB"/>
        </w:rPr>
        <w:t>ات الإنسان ليست منحصرة</w:t>
      </w:r>
      <w:r w:rsidR="004E14B8" w:rsidRPr="006571AC">
        <w:rPr>
          <w:rtl/>
          <w:lang w:val="en-GB"/>
        </w:rPr>
        <w:t>ً</w:t>
      </w:r>
      <w:r w:rsidRPr="006571AC">
        <w:rPr>
          <w:rtl/>
          <w:lang w:val="en-GB"/>
        </w:rPr>
        <w:t xml:space="preserve"> في اللذ</w:t>
      </w:r>
      <w:r w:rsidR="004E14B8" w:rsidRPr="006571AC">
        <w:rPr>
          <w:rtl/>
          <w:lang w:val="en-GB"/>
        </w:rPr>
        <w:t>ّ</w:t>
      </w:r>
      <w:r w:rsidRPr="006571AC">
        <w:rPr>
          <w:rtl/>
          <w:lang w:val="en-GB"/>
        </w:rPr>
        <w:t>ة الحس</w:t>
      </w:r>
      <w:r w:rsidR="004E14B8" w:rsidRPr="006571AC">
        <w:rPr>
          <w:rtl/>
          <w:lang w:val="en-GB"/>
        </w:rPr>
        <w:t>ِّ</w:t>
      </w:r>
      <w:r w:rsidRPr="006571AC">
        <w:rPr>
          <w:rtl/>
          <w:lang w:val="en-GB"/>
        </w:rPr>
        <w:t>ية، فاللذ</w:t>
      </w:r>
      <w:r w:rsidR="004B6AEE" w:rsidRPr="006571AC">
        <w:rPr>
          <w:rFonts w:hint="cs"/>
          <w:rtl/>
          <w:lang w:val="en-GB"/>
        </w:rPr>
        <w:t>ّ</w:t>
      </w:r>
      <w:r w:rsidRPr="006571AC">
        <w:rPr>
          <w:rtl/>
          <w:lang w:val="en-GB"/>
        </w:rPr>
        <w:t>ة الحس</w:t>
      </w:r>
      <w:r w:rsidR="004E14B8" w:rsidRPr="006571AC">
        <w:rPr>
          <w:rtl/>
          <w:lang w:val="en-GB"/>
        </w:rPr>
        <w:t>ِّ</w:t>
      </w:r>
      <w:r w:rsidRPr="006571AC">
        <w:rPr>
          <w:rtl/>
          <w:lang w:val="en-GB"/>
        </w:rPr>
        <w:t>ية عضوية ومتعلقة بمحر</w:t>
      </w:r>
      <w:r w:rsidR="004E14B8" w:rsidRPr="006571AC">
        <w:rPr>
          <w:rtl/>
          <w:lang w:val="en-GB"/>
        </w:rPr>
        <w:t>ّ</w:t>
      </w:r>
      <w:r w:rsidRPr="006571AC">
        <w:rPr>
          <w:rtl/>
          <w:lang w:val="en-GB"/>
        </w:rPr>
        <w:t>ك خارجي..</w:t>
      </w:r>
      <w:r w:rsidR="004E14B8" w:rsidRPr="006571AC">
        <w:rPr>
          <w:rtl/>
          <w:lang w:val="en-GB"/>
        </w:rPr>
        <w:t>.،</w:t>
      </w:r>
      <w:r w:rsidRPr="006571AC">
        <w:rPr>
          <w:rtl/>
          <w:lang w:val="en-GB"/>
        </w:rPr>
        <w:t xml:space="preserve"> إلا أن هناك مجموعة</w:t>
      </w:r>
      <w:r w:rsidR="004E14B8" w:rsidRPr="006571AC">
        <w:rPr>
          <w:rtl/>
          <w:lang w:val="en-GB"/>
        </w:rPr>
        <w:t>ً</w:t>
      </w:r>
      <w:r w:rsidRPr="006571AC">
        <w:rPr>
          <w:rtl/>
          <w:lang w:val="en-GB"/>
        </w:rPr>
        <w:t xml:space="preserve"> من اللذ</w:t>
      </w:r>
      <w:r w:rsidR="004E14B8" w:rsidRPr="006571AC">
        <w:rPr>
          <w:rtl/>
          <w:lang w:val="en-GB"/>
        </w:rPr>
        <w:t>ّ</w:t>
      </w:r>
      <w:r w:rsidRPr="006571AC">
        <w:rPr>
          <w:rtl/>
          <w:lang w:val="en-GB"/>
        </w:rPr>
        <w:t>ات التي لا ترتبط بالجسم</w:t>
      </w:r>
      <w:r w:rsidR="004E14B8" w:rsidRPr="006571AC">
        <w:rPr>
          <w:rtl/>
          <w:lang w:val="en-GB"/>
        </w:rPr>
        <w:t>،</w:t>
      </w:r>
      <w:r w:rsidRPr="006571AC">
        <w:rPr>
          <w:rtl/>
          <w:lang w:val="en-GB"/>
        </w:rPr>
        <w:t xml:space="preserve"> كلذ</w:t>
      </w:r>
      <w:r w:rsidR="004E14B8" w:rsidRPr="006571AC">
        <w:rPr>
          <w:rtl/>
          <w:lang w:val="en-GB"/>
        </w:rPr>
        <w:t>ّ</w:t>
      </w:r>
      <w:r w:rsidRPr="006571AC">
        <w:rPr>
          <w:rtl/>
          <w:lang w:val="en-GB"/>
        </w:rPr>
        <w:t>ة الإحساس بالبطولة عند الإنسان البطل، فهو يحس</w:t>
      </w:r>
      <w:r w:rsidR="004E14B8" w:rsidRPr="006571AC">
        <w:rPr>
          <w:rtl/>
          <w:lang w:val="en-GB"/>
        </w:rPr>
        <w:t>ّ</w:t>
      </w:r>
      <w:r w:rsidRPr="006571AC">
        <w:rPr>
          <w:rtl/>
          <w:lang w:val="en-GB"/>
        </w:rPr>
        <w:t xml:space="preserve"> باللذ</w:t>
      </w:r>
      <w:r w:rsidR="004E14B8" w:rsidRPr="006571AC">
        <w:rPr>
          <w:rtl/>
          <w:lang w:val="en-GB"/>
        </w:rPr>
        <w:t>ّ</w:t>
      </w:r>
      <w:r w:rsidRPr="006571AC">
        <w:rPr>
          <w:rtl/>
          <w:lang w:val="en-GB"/>
        </w:rPr>
        <w:t>ة عندما يشعر أن يده أصبحت فوق الأيدي، ويلتذّ الإنسان أيضا</w:t>
      </w:r>
      <w:r w:rsidR="006D0EEF" w:rsidRPr="006571AC">
        <w:rPr>
          <w:rtl/>
          <w:lang w:val="en-GB"/>
        </w:rPr>
        <w:t>ً</w:t>
      </w:r>
      <w:r w:rsidRPr="006571AC">
        <w:rPr>
          <w:rtl/>
          <w:lang w:val="en-GB"/>
        </w:rPr>
        <w:t xml:space="preserve"> بالشعور بأنه قد أمسى محبوبا</w:t>
      </w:r>
      <w:r w:rsidR="006D0EEF" w:rsidRPr="006571AC">
        <w:rPr>
          <w:rtl/>
          <w:lang w:val="en-GB"/>
        </w:rPr>
        <w:t>ً</w:t>
      </w:r>
      <w:r w:rsidRPr="006571AC">
        <w:rPr>
          <w:rtl/>
          <w:lang w:val="en-GB"/>
        </w:rPr>
        <w:t xml:space="preserve"> عند الناس، ويلتذ</w:t>
      </w:r>
      <w:r w:rsidR="006D0EEF" w:rsidRPr="006571AC">
        <w:rPr>
          <w:rtl/>
          <w:lang w:val="en-GB"/>
        </w:rPr>
        <w:t>ّ</w:t>
      </w:r>
      <w:r w:rsidRPr="006571AC">
        <w:rPr>
          <w:rtl/>
          <w:lang w:val="en-GB"/>
        </w:rPr>
        <w:t xml:space="preserve"> العال</w:t>
      </w:r>
      <w:r w:rsidR="006D0EEF" w:rsidRPr="006571AC">
        <w:rPr>
          <w:rtl/>
          <w:lang w:val="en-GB"/>
        </w:rPr>
        <w:t>ِ</w:t>
      </w:r>
      <w:r w:rsidRPr="006571AC">
        <w:rPr>
          <w:rtl/>
          <w:lang w:val="en-GB"/>
        </w:rPr>
        <w:t>م عندما يكتشف حقيقة</w:t>
      </w:r>
      <w:r w:rsidR="006D0EEF" w:rsidRPr="006571AC">
        <w:rPr>
          <w:rtl/>
          <w:lang w:val="en-GB"/>
        </w:rPr>
        <w:t>ً</w:t>
      </w:r>
      <w:r w:rsidRPr="006571AC">
        <w:rPr>
          <w:rtl/>
          <w:lang w:val="en-GB"/>
        </w:rPr>
        <w:t xml:space="preserve"> علمي</w:t>
      </w:r>
      <w:r w:rsidR="006D0EEF" w:rsidRPr="006571AC">
        <w:rPr>
          <w:rtl/>
          <w:lang w:val="en-GB"/>
        </w:rPr>
        <w:t>ّ</w:t>
      </w:r>
      <w:r w:rsidRPr="006571AC">
        <w:rPr>
          <w:rtl/>
          <w:lang w:val="en-GB"/>
        </w:rPr>
        <w:t>ة، وأي</w:t>
      </w:r>
      <w:r w:rsidR="006D0EEF" w:rsidRPr="006571AC">
        <w:rPr>
          <w:rtl/>
          <w:lang w:val="en-GB"/>
        </w:rPr>
        <w:t>ّ</w:t>
      </w:r>
      <w:r w:rsidRPr="006571AC">
        <w:rPr>
          <w:rtl/>
          <w:lang w:val="en-GB"/>
        </w:rPr>
        <w:t xml:space="preserve"> واحدة</w:t>
      </w:r>
      <w:r w:rsidR="006D0EEF" w:rsidRPr="006571AC">
        <w:rPr>
          <w:rtl/>
          <w:lang w:val="en-GB"/>
        </w:rPr>
        <w:t>ٍ</w:t>
      </w:r>
      <w:r w:rsidRPr="006571AC">
        <w:rPr>
          <w:rtl/>
          <w:lang w:val="en-GB"/>
        </w:rPr>
        <w:t xml:space="preserve"> من هذه اللذات ليس لها عامل</w:t>
      </w:r>
      <w:r w:rsidR="006D0EEF" w:rsidRPr="006571AC">
        <w:rPr>
          <w:rtl/>
          <w:lang w:val="en-GB"/>
        </w:rPr>
        <w:t>ٌ</w:t>
      </w:r>
      <w:r w:rsidRPr="006571AC">
        <w:rPr>
          <w:rtl/>
          <w:lang w:val="en-GB"/>
        </w:rPr>
        <w:t xml:space="preserve"> حسّي ومادّي</w:t>
      </w:r>
      <w:r w:rsidRPr="006571AC">
        <w:rPr>
          <w:vertAlign w:val="superscript"/>
          <w:rtl/>
          <w:lang w:val="en-GB"/>
        </w:rPr>
        <w:t>(</w:t>
      </w:r>
      <w:r w:rsidRPr="006571AC">
        <w:rPr>
          <w:rStyle w:val="ac"/>
          <w:rFonts w:ascii="Arial" w:hAnsi="Arial"/>
          <w:sz w:val="27"/>
          <w:rtl/>
          <w:lang w:val="en-GB"/>
        </w:rPr>
        <w:endnoteReference w:id="716"/>
      </w:r>
      <w:r w:rsidRPr="006571AC">
        <w:rPr>
          <w:vertAlign w:val="superscript"/>
          <w:rtl/>
          <w:lang w:val="en-GB"/>
        </w:rPr>
        <w:t>)</w:t>
      </w:r>
      <w:r w:rsidRPr="006571AC">
        <w:rPr>
          <w:rtl/>
          <w:lang w:val="en-GB"/>
        </w:rPr>
        <w:t xml:space="preserve">. </w:t>
      </w:r>
    </w:p>
    <w:p w:rsidR="0001386F" w:rsidRPr="006571AC" w:rsidRDefault="0001386F" w:rsidP="006C5D28">
      <w:pPr>
        <w:rPr>
          <w:rtl/>
          <w:lang w:val="en-GB"/>
        </w:rPr>
      </w:pPr>
      <w:r w:rsidRPr="006571AC">
        <w:rPr>
          <w:rtl/>
          <w:lang w:val="en-GB"/>
        </w:rPr>
        <w:t>ويعتبر الشهيد مرتضى مطه</w:t>
      </w:r>
      <w:r w:rsidR="006D0EEF" w:rsidRPr="006571AC">
        <w:rPr>
          <w:rtl/>
          <w:lang w:val="en-GB"/>
        </w:rPr>
        <w:t>َّ</w:t>
      </w:r>
      <w:r w:rsidRPr="006571AC">
        <w:rPr>
          <w:rtl/>
          <w:lang w:val="en-GB"/>
        </w:rPr>
        <w:t>ري أن اللذ</w:t>
      </w:r>
      <w:r w:rsidR="006D0EEF" w:rsidRPr="006571AC">
        <w:rPr>
          <w:rtl/>
          <w:lang w:val="en-GB"/>
        </w:rPr>
        <w:t>ّ</w:t>
      </w:r>
      <w:r w:rsidRPr="006571AC">
        <w:rPr>
          <w:rtl/>
          <w:lang w:val="en-GB"/>
        </w:rPr>
        <w:t>ة تحصل دائما</w:t>
      </w:r>
      <w:r w:rsidR="006D0EEF" w:rsidRPr="006571AC">
        <w:rPr>
          <w:rtl/>
          <w:lang w:val="en-GB"/>
        </w:rPr>
        <w:t>ً</w:t>
      </w:r>
      <w:r w:rsidRPr="006571AC">
        <w:rPr>
          <w:rtl/>
          <w:lang w:val="en-GB"/>
        </w:rPr>
        <w:t xml:space="preserve"> عند الوصول، والألم يحدث عن عدم الوصول إلى كمال يتعين على الإنسان أن يصل إليه. وبناء</w:t>
      </w:r>
      <w:r w:rsidR="006D0EEF" w:rsidRPr="006571AC">
        <w:rPr>
          <w:rtl/>
          <w:lang w:val="en-GB"/>
        </w:rPr>
        <w:t>ً</w:t>
      </w:r>
      <w:r w:rsidRPr="006571AC">
        <w:rPr>
          <w:rtl/>
          <w:lang w:val="en-GB"/>
        </w:rPr>
        <w:t xml:space="preserve"> على هذا يصبح الفصل بين الكمال واللذ</w:t>
      </w:r>
      <w:r w:rsidR="004B6AEE" w:rsidRPr="006571AC">
        <w:rPr>
          <w:rFonts w:hint="cs"/>
          <w:rtl/>
          <w:lang w:val="en-GB"/>
        </w:rPr>
        <w:t>ّ</w:t>
      </w:r>
      <w:r w:rsidRPr="006571AC">
        <w:rPr>
          <w:rtl/>
          <w:lang w:val="en-GB"/>
        </w:rPr>
        <w:t>ة أمرا</w:t>
      </w:r>
      <w:r w:rsidR="006D0EEF" w:rsidRPr="006571AC">
        <w:rPr>
          <w:rtl/>
          <w:lang w:val="en-GB"/>
        </w:rPr>
        <w:t>ً</w:t>
      </w:r>
      <w:r w:rsidRPr="006571AC">
        <w:rPr>
          <w:rtl/>
          <w:lang w:val="en-GB"/>
        </w:rPr>
        <w:t xml:space="preserve"> غير صحيح</w:t>
      </w:r>
      <w:r w:rsidR="006D0EEF" w:rsidRPr="006571AC">
        <w:rPr>
          <w:rtl/>
          <w:lang w:val="en-GB"/>
        </w:rPr>
        <w:t>؛</w:t>
      </w:r>
      <w:r w:rsidRPr="006571AC">
        <w:rPr>
          <w:rtl/>
          <w:lang w:val="en-GB"/>
        </w:rPr>
        <w:t xml:space="preserve"> فكل</w:t>
      </w:r>
      <w:r w:rsidR="006D0EEF" w:rsidRPr="006571AC">
        <w:rPr>
          <w:rtl/>
          <w:lang w:val="en-GB"/>
        </w:rPr>
        <w:t>ُّ</w:t>
      </w:r>
      <w:r w:rsidRPr="006571AC">
        <w:rPr>
          <w:rtl/>
          <w:lang w:val="en-GB"/>
        </w:rPr>
        <w:t xml:space="preserve"> كمال</w:t>
      </w:r>
      <w:r w:rsidR="006D0EEF" w:rsidRPr="006571AC">
        <w:rPr>
          <w:rtl/>
          <w:lang w:val="en-GB"/>
        </w:rPr>
        <w:t>ٍ</w:t>
      </w:r>
      <w:r w:rsidRPr="006571AC">
        <w:rPr>
          <w:rtl/>
          <w:lang w:val="en-GB"/>
        </w:rPr>
        <w:t xml:space="preserve"> يستتبع لذ</w:t>
      </w:r>
      <w:r w:rsidR="006D0EEF" w:rsidRPr="006571AC">
        <w:rPr>
          <w:rtl/>
          <w:lang w:val="en-GB"/>
        </w:rPr>
        <w:t>ّ</w:t>
      </w:r>
      <w:r w:rsidRPr="006571AC">
        <w:rPr>
          <w:rtl/>
          <w:lang w:val="en-GB"/>
        </w:rPr>
        <w:t>ة</w:t>
      </w:r>
      <w:r w:rsidR="006D0EEF" w:rsidRPr="006571AC">
        <w:rPr>
          <w:rtl/>
          <w:lang w:val="en-GB"/>
        </w:rPr>
        <w:t>ً،</w:t>
      </w:r>
      <w:r w:rsidRPr="006571AC">
        <w:rPr>
          <w:rtl/>
          <w:lang w:val="en-GB"/>
        </w:rPr>
        <w:t xml:space="preserve"> شئنا أم أب</w:t>
      </w:r>
      <w:r w:rsidR="004B6AEE" w:rsidRPr="006571AC">
        <w:rPr>
          <w:rFonts w:hint="cs"/>
          <w:rtl/>
          <w:lang w:val="en-GB"/>
        </w:rPr>
        <w:t>َ</w:t>
      </w:r>
      <w:r w:rsidRPr="006571AC">
        <w:rPr>
          <w:rtl/>
          <w:lang w:val="en-GB"/>
        </w:rPr>
        <w:t>ي</w:t>
      </w:r>
      <w:r w:rsidR="004B6AEE" w:rsidRPr="006571AC">
        <w:rPr>
          <w:rFonts w:hint="cs"/>
          <w:rtl/>
          <w:lang w:val="en-GB"/>
        </w:rPr>
        <w:t>ْ</w:t>
      </w:r>
      <w:r w:rsidRPr="006571AC">
        <w:rPr>
          <w:rtl/>
          <w:lang w:val="en-GB"/>
        </w:rPr>
        <w:t>نا، وإن</w:t>
      </w:r>
      <w:r w:rsidR="006D0EEF" w:rsidRPr="006571AC">
        <w:rPr>
          <w:rtl/>
          <w:lang w:val="en-GB"/>
        </w:rPr>
        <w:t>ْ</w:t>
      </w:r>
      <w:r w:rsidRPr="006571AC">
        <w:rPr>
          <w:rtl/>
          <w:lang w:val="en-GB"/>
        </w:rPr>
        <w:t xml:space="preserve"> كان طالب الكمال حينما يبحث عن الكمال غير</w:t>
      </w:r>
      <w:r w:rsidR="006D0EEF" w:rsidRPr="006571AC">
        <w:rPr>
          <w:rtl/>
          <w:lang w:val="en-GB"/>
        </w:rPr>
        <w:t>َ</w:t>
      </w:r>
      <w:r w:rsidRPr="006571AC">
        <w:rPr>
          <w:rtl/>
          <w:lang w:val="en-GB"/>
        </w:rPr>
        <w:t xml:space="preserve"> مهتم</w:t>
      </w:r>
      <w:r w:rsidR="006D0EEF" w:rsidRPr="006571AC">
        <w:rPr>
          <w:rtl/>
          <w:lang w:val="en-GB"/>
        </w:rPr>
        <w:t>ٍّ</w:t>
      </w:r>
      <w:r w:rsidRPr="006571AC">
        <w:rPr>
          <w:rtl/>
          <w:lang w:val="en-GB"/>
        </w:rPr>
        <w:t xml:space="preserve"> بالبحث عن اللذ</w:t>
      </w:r>
      <w:r w:rsidR="006D0EEF" w:rsidRPr="006571AC">
        <w:rPr>
          <w:rtl/>
          <w:lang w:val="en-GB"/>
        </w:rPr>
        <w:t>ّ</w:t>
      </w:r>
      <w:r w:rsidRPr="006571AC">
        <w:rPr>
          <w:rtl/>
          <w:lang w:val="en-GB"/>
        </w:rPr>
        <w:t>ة، وإنما يطلب الكمال لذاته، إلا</w:t>
      </w:r>
      <w:r w:rsidR="006D0EEF" w:rsidRPr="006571AC">
        <w:rPr>
          <w:rtl/>
          <w:lang w:val="en-GB"/>
        </w:rPr>
        <w:t>ّ</w:t>
      </w:r>
      <w:r w:rsidRPr="006571AC">
        <w:rPr>
          <w:rtl/>
          <w:lang w:val="en-GB"/>
        </w:rPr>
        <w:t xml:space="preserve"> أن الوصول إل</w:t>
      </w:r>
      <w:r w:rsidR="006D0EEF" w:rsidRPr="006571AC">
        <w:rPr>
          <w:rtl/>
          <w:lang w:val="en-GB"/>
        </w:rPr>
        <w:t>ى</w:t>
      </w:r>
      <w:r w:rsidRPr="006571AC">
        <w:rPr>
          <w:rtl/>
          <w:lang w:val="en-GB"/>
        </w:rPr>
        <w:t xml:space="preserve"> الكمال هو بنفسه يحق</w:t>
      </w:r>
      <w:r w:rsidR="006D0EEF" w:rsidRPr="006571AC">
        <w:rPr>
          <w:rtl/>
          <w:lang w:val="en-GB"/>
        </w:rPr>
        <w:t>ِّ</w:t>
      </w:r>
      <w:r w:rsidRPr="006571AC">
        <w:rPr>
          <w:rtl/>
          <w:lang w:val="en-GB"/>
        </w:rPr>
        <w:t>ق اللذة للإنسان</w:t>
      </w:r>
      <w:r w:rsidRPr="006571AC">
        <w:rPr>
          <w:vertAlign w:val="superscript"/>
          <w:rtl/>
          <w:lang w:val="en-GB"/>
        </w:rPr>
        <w:t>(</w:t>
      </w:r>
      <w:r w:rsidRPr="006571AC">
        <w:rPr>
          <w:rStyle w:val="ac"/>
          <w:rFonts w:ascii="Arial" w:hAnsi="Arial"/>
          <w:sz w:val="27"/>
          <w:rtl/>
          <w:lang w:val="en-GB"/>
        </w:rPr>
        <w:endnoteReference w:id="717"/>
      </w:r>
      <w:r w:rsidRPr="006571AC">
        <w:rPr>
          <w:vertAlign w:val="superscript"/>
          <w:rtl/>
          <w:lang w:val="en-GB"/>
        </w:rPr>
        <w:t>)</w:t>
      </w:r>
      <w:r w:rsidRPr="006571AC">
        <w:rPr>
          <w:rtl/>
          <w:lang w:val="en-GB"/>
        </w:rPr>
        <w:t xml:space="preserve">. </w:t>
      </w:r>
    </w:p>
    <w:p w:rsidR="0001386F" w:rsidRPr="006571AC" w:rsidRDefault="0001386F" w:rsidP="006C5D28">
      <w:pPr>
        <w:rPr>
          <w:rtl/>
        </w:rPr>
      </w:pPr>
      <w:r w:rsidRPr="006571AC">
        <w:rPr>
          <w:rtl/>
        </w:rPr>
        <w:t>ولكن</w:t>
      </w:r>
      <w:r w:rsidR="006D0EEF" w:rsidRPr="006571AC">
        <w:rPr>
          <w:rtl/>
        </w:rPr>
        <w:t>ْ</w:t>
      </w:r>
      <w:r w:rsidRPr="006571AC">
        <w:rPr>
          <w:rtl/>
        </w:rPr>
        <w:t xml:space="preserve"> ما هو </w:t>
      </w:r>
      <w:r w:rsidR="00EA38F1" w:rsidRPr="006571AC">
        <w:rPr>
          <w:rtl/>
        </w:rPr>
        <w:t>دَوْر</w:t>
      </w:r>
      <w:r w:rsidRPr="006571AC">
        <w:rPr>
          <w:rtl/>
        </w:rPr>
        <w:t xml:space="preserve"> حب</w:t>
      </w:r>
      <w:r w:rsidR="006D0EEF" w:rsidRPr="006571AC">
        <w:rPr>
          <w:rtl/>
        </w:rPr>
        <w:t>ّ</w:t>
      </w:r>
      <w:r w:rsidRPr="006571AC">
        <w:rPr>
          <w:rtl/>
        </w:rPr>
        <w:t xml:space="preserve"> الذات حينما تتزاحم المصالح والأصلح في المجتمعات، ويتطل</w:t>
      </w:r>
      <w:r w:rsidR="004B6AEE" w:rsidRPr="006571AC">
        <w:rPr>
          <w:rFonts w:hint="cs"/>
          <w:rtl/>
        </w:rPr>
        <w:t>َّ</w:t>
      </w:r>
      <w:r w:rsidRPr="006571AC">
        <w:rPr>
          <w:rtl/>
        </w:rPr>
        <w:t>ب هذا التزاحم ترجيحا</w:t>
      </w:r>
      <w:r w:rsidR="006D0EEF" w:rsidRPr="006571AC">
        <w:rPr>
          <w:rtl/>
        </w:rPr>
        <w:t>ً</w:t>
      </w:r>
      <w:r w:rsidRPr="006571AC">
        <w:rPr>
          <w:rtl/>
        </w:rPr>
        <w:t xml:space="preserve"> للأصلح</w:t>
      </w:r>
      <w:r w:rsidR="006D0EEF" w:rsidRPr="006571AC">
        <w:rPr>
          <w:rtl/>
        </w:rPr>
        <w:t>؟</w:t>
      </w:r>
      <w:r w:rsidRPr="006571AC">
        <w:rPr>
          <w:rtl/>
        </w:rPr>
        <w:t xml:space="preserve"> فكيف يلعب حب</w:t>
      </w:r>
      <w:r w:rsidR="006D0EEF" w:rsidRPr="006571AC">
        <w:rPr>
          <w:rtl/>
        </w:rPr>
        <w:t>ّ</w:t>
      </w:r>
      <w:r w:rsidRPr="006571AC">
        <w:rPr>
          <w:rtl/>
        </w:rPr>
        <w:t xml:space="preserve"> الذات</w:t>
      </w:r>
      <w:r w:rsidR="006D0EEF" w:rsidRPr="006571AC">
        <w:rPr>
          <w:rtl/>
        </w:rPr>
        <w:t>،</w:t>
      </w:r>
      <w:r w:rsidRPr="006571AC">
        <w:rPr>
          <w:rtl/>
        </w:rPr>
        <w:t xml:space="preserve"> الذي يختلف باختلاف بيئات الأفراد وبنيتها الفكرية، </w:t>
      </w:r>
      <w:r w:rsidR="00EA38F1" w:rsidRPr="006571AC">
        <w:rPr>
          <w:rtl/>
        </w:rPr>
        <w:t>دَوْر</w:t>
      </w:r>
      <w:r w:rsidRPr="006571AC">
        <w:rPr>
          <w:rtl/>
        </w:rPr>
        <w:t>ا</w:t>
      </w:r>
      <w:r w:rsidR="006D0EEF" w:rsidRPr="006571AC">
        <w:rPr>
          <w:rtl/>
        </w:rPr>
        <w:t>ً</w:t>
      </w:r>
      <w:r w:rsidRPr="006571AC">
        <w:rPr>
          <w:rtl/>
        </w:rPr>
        <w:t xml:space="preserve"> في ترجيح الأصلح؟ </w:t>
      </w:r>
    </w:p>
    <w:p w:rsidR="001069FB" w:rsidRPr="006571AC" w:rsidRDefault="001069FB" w:rsidP="001069FB">
      <w:pPr>
        <w:spacing w:line="420" w:lineRule="exact"/>
        <w:rPr>
          <w:rFonts w:ascii="Arabic Typesetting" w:hAnsi="Arabic Typesetting"/>
          <w:sz w:val="27"/>
          <w:rtl/>
          <w:lang w:bidi="ar-LB"/>
        </w:rPr>
      </w:pPr>
    </w:p>
    <w:p w:rsidR="0001386F" w:rsidRPr="006571AC" w:rsidRDefault="0001386F" w:rsidP="000B6711">
      <w:pPr>
        <w:pStyle w:val="31"/>
        <w:rPr>
          <w:color w:val="auto"/>
          <w:rtl/>
        </w:rPr>
      </w:pPr>
      <w:bookmarkStart w:id="426" w:name="_Toc114164834"/>
      <w:r w:rsidRPr="006571AC">
        <w:rPr>
          <w:color w:val="auto"/>
          <w:rtl/>
        </w:rPr>
        <w:t>حب</w:t>
      </w:r>
      <w:r w:rsidR="006D0EEF" w:rsidRPr="006571AC">
        <w:rPr>
          <w:rFonts w:hint="cs"/>
          <w:color w:val="auto"/>
          <w:rtl/>
        </w:rPr>
        <w:t>ّ</w:t>
      </w:r>
      <w:r w:rsidRPr="006571AC">
        <w:rPr>
          <w:color w:val="auto"/>
          <w:rtl/>
        </w:rPr>
        <w:t xml:space="preserve"> الذات والتزاحم</w:t>
      </w:r>
      <w:bookmarkEnd w:id="426"/>
      <w:r w:rsidRPr="006571AC">
        <w:rPr>
          <w:color w:val="auto"/>
          <w:rtl/>
        </w:rPr>
        <w:t xml:space="preserve"> </w:t>
      </w:r>
    </w:p>
    <w:p w:rsidR="00004FD2" w:rsidRPr="006571AC" w:rsidRDefault="006D0EEF" w:rsidP="006C5D28">
      <w:pPr>
        <w:rPr>
          <w:rtl/>
        </w:rPr>
      </w:pPr>
      <w:r w:rsidRPr="006571AC">
        <w:rPr>
          <w:rFonts w:hint="eastAsia"/>
          <w:sz w:val="24"/>
          <w:szCs w:val="24"/>
          <w:rtl/>
        </w:rPr>
        <w:t>«</w:t>
      </w:r>
      <w:r w:rsidR="0001386F" w:rsidRPr="006571AC">
        <w:rPr>
          <w:rtl/>
        </w:rPr>
        <w:t>والمقتض</w:t>
      </w:r>
      <w:r w:rsidRPr="006571AC">
        <w:rPr>
          <w:rtl/>
        </w:rPr>
        <w:t>ي</w:t>
      </w:r>
      <w:r w:rsidR="0001386F" w:rsidRPr="006571AC">
        <w:rPr>
          <w:rtl/>
        </w:rPr>
        <w:t xml:space="preserve"> المثير لحب</w:t>
      </w:r>
      <w:r w:rsidRPr="006571AC">
        <w:rPr>
          <w:rtl/>
        </w:rPr>
        <w:t>ّ</w:t>
      </w:r>
      <w:r w:rsidR="0001386F" w:rsidRPr="006571AC">
        <w:rPr>
          <w:rtl/>
        </w:rPr>
        <w:t xml:space="preserve"> الذات على إصدار الأمر للذات بفعل شيء</w:t>
      </w:r>
      <w:r w:rsidRPr="006571AC">
        <w:rPr>
          <w:rtl/>
        </w:rPr>
        <w:t>ٍ</w:t>
      </w:r>
      <w:r w:rsidR="0001386F" w:rsidRPr="006571AC">
        <w:rPr>
          <w:rtl/>
        </w:rPr>
        <w:t xml:space="preserve"> معين قد يكون تكوينيا</w:t>
      </w:r>
      <w:r w:rsidR="00004FD2" w:rsidRPr="006571AC">
        <w:rPr>
          <w:rtl/>
        </w:rPr>
        <w:t>ً</w:t>
      </w:r>
      <w:r w:rsidR="0001386F" w:rsidRPr="006571AC">
        <w:rPr>
          <w:rtl/>
        </w:rPr>
        <w:t>، كما في الخوف والمرض والجوع</w:t>
      </w:r>
      <w:r w:rsidR="00004FD2" w:rsidRPr="006571AC">
        <w:rPr>
          <w:rtl/>
        </w:rPr>
        <w:t>؛</w:t>
      </w:r>
      <w:r w:rsidR="0001386F" w:rsidRPr="006571AC">
        <w:rPr>
          <w:rtl/>
        </w:rPr>
        <w:t xml:space="preserve"> وقد يكون تشريعيا</w:t>
      </w:r>
      <w:r w:rsidR="00004FD2" w:rsidRPr="006571AC">
        <w:rPr>
          <w:rtl/>
        </w:rPr>
        <w:t>ً،</w:t>
      </w:r>
      <w:r w:rsidR="0001386F" w:rsidRPr="006571AC">
        <w:rPr>
          <w:rtl/>
        </w:rPr>
        <w:t xml:space="preserve"> كما في القوانين الوضعية والشرائع السماوية.</w:t>
      </w:r>
      <w:r w:rsidR="00004FD2" w:rsidRPr="006571AC">
        <w:rPr>
          <w:rtl/>
        </w:rPr>
        <w:t>.</w:t>
      </w:r>
      <w:r w:rsidR="0001386F" w:rsidRPr="006571AC">
        <w:rPr>
          <w:rtl/>
        </w:rPr>
        <w:t xml:space="preserve">. </w:t>
      </w:r>
      <w:r w:rsidR="00004FD2" w:rsidRPr="006571AC">
        <w:rPr>
          <w:rtl/>
        </w:rPr>
        <w:t>و</w:t>
      </w:r>
      <w:r w:rsidR="0001386F" w:rsidRPr="006571AC">
        <w:rPr>
          <w:rtl/>
        </w:rPr>
        <w:t>إن التزاحم كما يقع بين المقتضيين التكوينيين</w:t>
      </w:r>
      <w:r w:rsidR="00004FD2" w:rsidRPr="006571AC">
        <w:rPr>
          <w:rtl/>
        </w:rPr>
        <w:t>،</w:t>
      </w:r>
      <w:r w:rsidR="0001386F" w:rsidRPr="006571AC">
        <w:rPr>
          <w:rtl/>
        </w:rPr>
        <w:t xml:space="preserve"> كما في حالة شرب الدواء للمريض، قد يقع أيضا</w:t>
      </w:r>
      <w:r w:rsidR="00004FD2" w:rsidRPr="006571AC">
        <w:rPr>
          <w:rtl/>
        </w:rPr>
        <w:t>ً</w:t>
      </w:r>
      <w:r w:rsidR="0001386F" w:rsidRPr="006571AC">
        <w:rPr>
          <w:rtl/>
        </w:rPr>
        <w:t xml:space="preserve"> بين مقتض</w:t>
      </w:r>
      <w:r w:rsidR="00004FD2" w:rsidRPr="006571AC">
        <w:rPr>
          <w:rtl/>
        </w:rPr>
        <w:t>ٍ</w:t>
      </w:r>
      <w:r w:rsidR="0001386F" w:rsidRPr="006571AC">
        <w:rPr>
          <w:rtl/>
        </w:rPr>
        <w:t xml:space="preserve"> تكويني ومقتض</w:t>
      </w:r>
      <w:r w:rsidR="00004FD2" w:rsidRPr="006571AC">
        <w:rPr>
          <w:rtl/>
        </w:rPr>
        <w:t>ٍ</w:t>
      </w:r>
      <w:r w:rsidR="0001386F" w:rsidRPr="006571AC">
        <w:rPr>
          <w:rtl/>
        </w:rPr>
        <w:t xml:space="preserve"> تشريعي، وذلك موجود</w:t>
      </w:r>
      <w:r w:rsidR="00004FD2" w:rsidRPr="006571AC">
        <w:rPr>
          <w:rtl/>
        </w:rPr>
        <w:t>ٌ</w:t>
      </w:r>
      <w:r w:rsidR="0001386F" w:rsidRPr="006571AC">
        <w:rPr>
          <w:rtl/>
        </w:rPr>
        <w:t xml:space="preserve"> دائما</w:t>
      </w:r>
      <w:r w:rsidR="00004FD2" w:rsidRPr="006571AC">
        <w:rPr>
          <w:rtl/>
        </w:rPr>
        <w:t>ً</w:t>
      </w:r>
      <w:r w:rsidR="0001386F" w:rsidRPr="006571AC">
        <w:rPr>
          <w:rtl/>
        </w:rPr>
        <w:t>، فإن أي</w:t>
      </w:r>
      <w:r w:rsidR="00004FD2" w:rsidRPr="006571AC">
        <w:rPr>
          <w:rtl/>
        </w:rPr>
        <w:t>ّ</w:t>
      </w:r>
      <w:r w:rsidR="0001386F" w:rsidRPr="006571AC">
        <w:rPr>
          <w:rtl/>
        </w:rPr>
        <w:t xml:space="preserve"> ق</w:t>
      </w:r>
      <w:r w:rsidR="004B6AEE" w:rsidRPr="006571AC">
        <w:rPr>
          <w:rFonts w:hint="cs"/>
          <w:rtl/>
        </w:rPr>
        <w:t>َ</w:t>
      </w:r>
      <w:r w:rsidR="0001386F" w:rsidRPr="006571AC">
        <w:rPr>
          <w:rtl/>
        </w:rPr>
        <w:t>ي</w:t>
      </w:r>
      <w:r w:rsidR="004B6AEE" w:rsidRPr="006571AC">
        <w:rPr>
          <w:rFonts w:hint="cs"/>
          <w:rtl/>
        </w:rPr>
        <w:t>ْ</w:t>
      </w:r>
      <w:r w:rsidR="0001386F" w:rsidRPr="006571AC">
        <w:rPr>
          <w:rtl/>
        </w:rPr>
        <w:t>د</w:t>
      </w:r>
      <w:r w:rsidR="00004FD2" w:rsidRPr="006571AC">
        <w:rPr>
          <w:rtl/>
        </w:rPr>
        <w:t>ٍ</w:t>
      </w:r>
      <w:r w:rsidR="0001386F" w:rsidRPr="006571AC">
        <w:rPr>
          <w:rtl/>
        </w:rPr>
        <w:t xml:space="preserve"> ديني أو اجتماعي أو قانوني يكون ضد</w:t>
      </w:r>
      <w:r w:rsidR="004B6AEE" w:rsidRPr="006571AC">
        <w:rPr>
          <w:rFonts w:hint="cs"/>
          <w:rtl/>
        </w:rPr>
        <w:t>ّ</w:t>
      </w:r>
      <w:r w:rsidR="0001386F" w:rsidRPr="006571AC">
        <w:rPr>
          <w:rtl/>
        </w:rPr>
        <w:t xml:space="preserve"> المقتضي الطبيعي التكويني للحر</w:t>
      </w:r>
      <w:r w:rsidR="00004FD2" w:rsidRPr="006571AC">
        <w:rPr>
          <w:rtl/>
        </w:rPr>
        <w:t>ّ</w:t>
      </w:r>
      <w:r w:rsidR="0001386F" w:rsidRPr="006571AC">
        <w:rPr>
          <w:rtl/>
        </w:rPr>
        <w:t>ية، والذي يميل إليه الفرد بط</w:t>
      </w:r>
      <w:r w:rsidR="00004FD2" w:rsidRPr="006571AC">
        <w:rPr>
          <w:rtl/>
        </w:rPr>
        <w:t>َ</w:t>
      </w:r>
      <w:r w:rsidR="0001386F" w:rsidRPr="006571AC">
        <w:rPr>
          <w:rtl/>
        </w:rPr>
        <w:t>ب</w:t>
      </w:r>
      <w:r w:rsidR="00004FD2" w:rsidRPr="006571AC">
        <w:rPr>
          <w:rtl/>
        </w:rPr>
        <w:t>ْ</w:t>
      </w:r>
      <w:r w:rsidR="0001386F" w:rsidRPr="006571AC">
        <w:rPr>
          <w:rtl/>
        </w:rPr>
        <w:t xml:space="preserve">عه. كما قد يقع </w:t>
      </w:r>
      <w:r w:rsidR="0001386F" w:rsidRPr="006571AC">
        <w:rPr>
          <w:rtl/>
        </w:rPr>
        <w:lastRenderedPageBreak/>
        <w:t>التزاحم بين مقتضيي</w:t>
      </w:r>
      <w:r w:rsidR="0001386F" w:rsidRPr="006571AC">
        <w:rPr>
          <w:rFonts w:hint="eastAsia"/>
          <w:rtl/>
        </w:rPr>
        <w:t>ن</w:t>
      </w:r>
      <w:r w:rsidR="0001386F" w:rsidRPr="006571AC">
        <w:rPr>
          <w:rtl/>
        </w:rPr>
        <w:t xml:space="preserve"> تشريعين، وهذا الغالب إذا كان التشريعان من سنخين مختلفين، كما لو وقع التزاحم في حياة الإنسان بين ماد</w:t>
      </w:r>
      <w:r w:rsidR="00004FD2" w:rsidRPr="006571AC">
        <w:rPr>
          <w:rtl/>
        </w:rPr>
        <w:t>ّ</w:t>
      </w:r>
      <w:r w:rsidR="0001386F" w:rsidRPr="006571AC">
        <w:rPr>
          <w:rtl/>
        </w:rPr>
        <w:t>ة</w:t>
      </w:r>
      <w:r w:rsidR="00004FD2" w:rsidRPr="006571AC">
        <w:rPr>
          <w:rtl/>
        </w:rPr>
        <w:t>ٍ</w:t>
      </w:r>
      <w:r w:rsidR="0001386F" w:rsidRPr="006571AC">
        <w:rPr>
          <w:rtl/>
        </w:rPr>
        <w:t xml:space="preserve"> قانونية تقتضي إطاعتها عملا</w:t>
      </w:r>
      <w:r w:rsidR="00004FD2" w:rsidRPr="006571AC">
        <w:rPr>
          <w:rtl/>
        </w:rPr>
        <w:t>ً</w:t>
      </w:r>
      <w:r w:rsidR="0001386F" w:rsidRPr="006571AC">
        <w:rPr>
          <w:rtl/>
        </w:rPr>
        <w:t xml:space="preserve"> من الأعمال وبين تعليم</w:t>
      </w:r>
      <w:r w:rsidR="00004FD2" w:rsidRPr="006571AC">
        <w:rPr>
          <w:rtl/>
        </w:rPr>
        <w:t>ٍ</w:t>
      </w:r>
      <w:r w:rsidR="0001386F" w:rsidRPr="006571AC">
        <w:rPr>
          <w:rtl/>
        </w:rPr>
        <w:t xml:space="preserve"> ديني يخالفه، أو بين قانون</w:t>
      </w:r>
      <w:r w:rsidR="00004FD2" w:rsidRPr="006571AC">
        <w:rPr>
          <w:rtl/>
        </w:rPr>
        <w:t>ٍ</w:t>
      </w:r>
      <w:r w:rsidR="0001386F" w:rsidRPr="006571AC">
        <w:rPr>
          <w:rtl/>
        </w:rPr>
        <w:t xml:space="preserve"> وتقليد</w:t>
      </w:r>
      <w:r w:rsidR="00004FD2" w:rsidRPr="006571AC">
        <w:rPr>
          <w:rtl/>
        </w:rPr>
        <w:t>ٍ</w:t>
      </w:r>
      <w:r w:rsidR="0001386F" w:rsidRPr="006571AC">
        <w:rPr>
          <w:rtl/>
        </w:rPr>
        <w:t xml:space="preserve"> اجتماعي، أو تقليد</w:t>
      </w:r>
      <w:r w:rsidR="00004FD2" w:rsidRPr="006571AC">
        <w:rPr>
          <w:rtl/>
        </w:rPr>
        <w:t>ٍ</w:t>
      </w:r>
      <w:r w:rsidR="0001386F" w:rsidRPr="006571AC">
        <w:rPr>
          <w:rtl/>
        </w:rPr>
        <w:t xml:space="preserve"> اجتماعي وتعليم</w:t>
      </w:r>
      <w:r w:rsidR="00004FD2" w:rsidRPr="006571AC">
        <w:rPr>
          <w:rtl/>
        </w:rPr>
        <w:t>ٍ</w:t>
      </w:r>
      <w:r w:rsidR="0001386F" w:rsidRPr="006571AC">
        <w:rPr>
          <w:rtl/>
        </w:rPr>
        <w:t xml:space="preserve"> ديني</w:t>
      </w:r>
      <w:r w:rsidR="00004FD2" w:rsidRPr="006571AC">
        <w:rPr>
          <w:rtl/>
        </w:rPr>
        <w:t>.</w:t>
      </w:r>
    </w:p>
    <w:p w:rsidR="0001386F" w:rsidRPr="006571AC" w:rsidRDefault="0001386F" w:rsidP="006C5D28">
      <w:pPr>
        <w:rPr>
          <w:rtl/>
        </w:rPr>
      </w:pPr>
      <w:r w:rsidRPr="006571AC">
        <w:rPr>
          <w:rtl/>
        </w:rPr>
        <w:t>وحينئذ</w:t>
      </w:r>
      <w:r w:rsidR="00004FD2" w:rsidRPr="006571AC">
        <w:rPr>
          <w:rtl/>
        </w:rPr>
        <w:t>ٍ</w:t>
      </w:r>
      <w:r w:rsidRPr="006571AC">
        <w:rPr>
          <w:rtl/>
        </w:rPr>
        <w:t xml:space="preserve"> ينظر الفرد إلى مصلحته في ذلك</w:t>
      </w:r>
      <w:r w:rsidR="00004FD2" w:rsidRPr="006571AC">
        <w:rPr>
          <w:rtl/>
        </w:rPr>
        <w:t>؛</w:t>
      </w:r>
      <w:r w:rsidRPr="006571AC">
        <w:rPr>
          <w:rtl/>
        </w:rPr>
        <w:t xml:space="preserve"> فيرج</w:t>
      </w:r>
      <w:r w:rsidR="00004FD2" w:rsidRPr="006571AC">
        <w:rPr>
          <w:rtl/>
        </w:rPr>
        <w:t>ِّ</w:t>
      </w:r>
      <w:r w:rsidRPr="006571AC">
        <w:rPr>
          <w:rtl/>
        </w:rPr>
        <w:t>ح المتدي</w:t>
      </w:r>
      <w:r w:rsidR="00004FD2" w:rsidRPr="006571AC">
        <w:rPr>
          <w:rtl/>
        </w:rPr>
        <w:t>ِّ</w:t>
      </w:r>
      <w:r w:rsidRPr="006571AC">
        <w:rPr>
          <w:rtl/>
        </w:rPr>
        <w:t>ن دينه على كل</w:t>
      </w:r>
      <w:r w:rsidR="00004FD2" w:rsidRPr="006571AC">
        <w:rPr>
          <w:rtl/>
        </w:rPr>
        <w:t>ّ</w:t>
      </w:r>
      <w:r w:rsidRPr="006571AC">
        <w:rPr>
          <w:rtl/>
        </w:rPr>
        <w:t xml:space="preserve"> الاعتبارات، ويرى أن إرغامه على غير ذلك مخالف</w:t>
      </w:r>
      <w:r w:rsidR="00004FD2" w:rsidRPr="006571AC">
        <w:rPr>
          <w:rtl/>
        </w:rPr>
        <w:t>ٌ</w:t>
      </w:r>
      <w:r w:rsidRPr="006571AC">
        <w:rPr>
          <w:rtl/>
        </w:rPr>
        <w:t xml:space="preserve"> لمقتضيات حب</w:t>
      </w:r>
      <w:r w:rsidR="00004FD2" w:rsidRPr="006571AC">
        <w:rPr>
          <w:rtl/>
        </w:rPr>
        <w:t xml:space="preserve">ّ ذاته، فينفر منه ويثور عليه؛ </w:t>
      </w:r>
      <w:r w:rsidRPr="006571AC">
        <w:rPr>
          <w:rtl/>
        </w:rPr>
        <w:t>ويتبع الرجل القانوني مقتضيات القانون</w:t>
      </w:r>
      <w:r w:rsidR="00004FD2" w:rsidRPr="006571AC">
        <w:rPr>
          <w:rtl/>
        </w:rPr>
        <w:t>؛</w:t>
      </w:r>
      <w:r w:rsidRPr="006571AC">
        <w:rPr>
          <w:rtl/>
        </w:rPr>
        <w:t xml:space="preserve"> والاجتماعي مقتضيات التقاليد السائدة، وإن</w:t>
      </w:r>
      <w:r w:rsidR="00004FD2" w:rsidRPr="006571AC">
        <w:rPr>
          <w:rtl/>
        </w:rPr>
        <w:t>ْ</w:t>
      </w:r>
      <w:r w:rsidRPr="006571AC">
        <w:rPr>
          <w:rtl/>
        </w:rPr>
        <w:t xml:space="preserve"> كان اتباعهما لذلك مخالفا</w:t>
      </w:r>
      <w:r w:rsidR="00004FD2" w:rsidRPr="006571AC">
        <w:rPr>
          <w:rtl/>
        </w:rPr>
        <w:t>ً</w:t>
      </w:r>
      <w:r w:rsidRPr="006571AC">
        <w:rPr>
          <w:rtl/>
        </w:rPr>
        <w:t xml:space="preserve"> لتعاليم وقوانين أخرى. </w:t>
      </w:r>
    </w:p>
    <w:p w:rsidR="001C203E" w:rsidRPr="006571AC" w:rsidRDefault="0001386F" w:rsidP="006C5D28">
      <w:pPr>
        <w:rPr>
          <w:rtl/>
        </w:rPr>
      </w:pPr>
      <w:r w:rsidRPr="006571AC">
        <w:rPr>
          <w:rtl/>
        </w:rPr>
        <w:t>أما التزاحم بين تعليمين من قانون</w:t>
      </w:r>
      <w:r w:rsidR="001C203E" w:rsidRPr="006571AC">
        <w:rPr>
          <w:rtl/>
        </w:rPr>
        <w:t>ٍ</w:t>
      </w:r>
      <w:r w:rsidRPr="006571AC">
        <w:rPr>
          <w:rtl/>
        </w:rPr>
        <w:t xml:space="preserve"> واحد فهو يقع نادرا</w:t>
      </w:r>
      <w:r w:rsidR="001C203E" w:rsidRPr="006571AC">
        <w:rPr>
          <w:rtl/>
        </w:rPr>
        <w:t>ً</w:t>
      </w:r>
      <w:r w:rsidRPr="006571AC">
        <w:rPr>
          <w:rtl/>
        </w:rPr>
        <w:t>، إلا</w:t>
      </w:r>
      <w:r w:rsidR="001C203E" w:rsidRPr="006571AC">
        <w:rPr>
          <w:rtl/>
        </w:rPr>
        <w:t>ّ</w:t>
      </w:r>
      <w:r w:rsidRPr="006571AC">
        <w:rPr>
          <w:rtl/>
        </w:rPr>
        <w:t xml:space="preserve"> أنه حينئذ</w:t>
      </w:r>
      <w:r w:rsidR="001C203E" w:rsidRPr="006571AC">
        <w:rPr>
          <w:rtl/>
        </w:rPr>
        <w:t>ٍ</w:t>
      </w:r>
      <w:r w:rsidRPr="006571AC">
        <w:rPr>
          <w:rtl/>
        </w:rPr>
        <w:t xml:space="preserve"> يجب اتباع المتأخ</w:t>
      </w:r>
      <w:r w:rsidR="001C203E" w:rsidRPr="006571AC">
        <w:rPr>
          <w:rtl/>
        </w:rPr>
        <w:t>ِّ</w:t>
      </w:r>
      <w:r w:rsidRPr="006571AC">
        <w:rPr>
          <w:rtl/>
        </w:rPr>
        <w:t>ر منهما</w:t>
      </w:r>
      <w:r w:rsidR="001C203E" w:rsidRPr="006571AC">
        <w:rPr>
          <w:rtl/>
        </w:rPr>
        <w:t>؛</w:t>
      </w:r>
      <w:r w:rsidRPr="006571AC">
        <w:rPr>
          <w:rtl/>
        </w:rPr>
        <w:t xml:space="preserve"> باعتبار ن</w:t>
      </w:r>
      <w:r w:rsidR="004B6AEE" w:rsidRPr="006571AC">
        <w:rPr>
          <w:rFonts w:hint="cs"/>
          <w:rtl/>
        </w:rPr>
        <w:t>َ</w:t>
      </w:r>
      <w:r w:rsidRPr="006571AC">
        <w:rPr>
          <w:rtl/>
        </w:rPr>
        <w:t>س</w:t>
      </w:r>
      <w:r w:rsidR="004B6AEE" w:rsidRPr="006571AC">
        <w:rPr>
          <w:rFonts w:hint="cs"/>
          <w:rtl/>
        </w:rPr>
        <w:t>ْ</w:t>
      </w:r>
      <w:r w:rsidRPr="006571AC">
        <w:rPr>
          <w:rtl/>
        </w:rPr>
        <w:t>خ</w:t>
      </w:r>
      <w:r w:rsidR="004B6AEE" w:rsidRPr="006571AC">
        <w:rPr>
          <w:rFonts w:hint="cs"/>
          <w:rtl/>
        </w:rPr>
        <w:t>َ</w:t>
      </w:r>
      <w:r w:rsidRPr="006571AC">
        <w:rPr>
          <w:rtl/>
        </w:rPr>
        <w:t>ه للأو</w:t>
      </w:r>
      <w:r w:rsidR="004B6AEE" w:rsidRPr="006571AC">
        <w:rPr>
          <w:rFonts w:hint="cs"/>
          <w:rtl/>
        </w:rPr>
        <w:t>ّ</w:t>
      </w:r>
      <w:r w:rsidRPr="006571AC">
        <w:rPr>
          <w:rtl/>
        </w:rPr>
        <w:t>ل، أو الأهم</w:t>
      </w:r>
      <w:r w:rsidR="001C203E" w:rsidRPr="006571AC">
        <w:rPr>
          <w:rtl/>
        </w:rPr>
        <w:t>ّ</w:t>
      </w:r>
      <w:r w:rsidRPr="006571AC">
        <w:rPr>
          <w:rtl/>
        </w:rPr>
        <w:t xml:space="preserve"> منهما في نظر المشر</w:t>
      </w:r>
      <w:r w:rsidR="001C203E" w:rsidRPr="006571AC">
        <w:rPr>
          <w:rtl/>
        </w:rPr>
        <w:t>ِّ</w:t>
      </w:r>
      <w:r w:rsidRPr="006571AC">
        <w:rPr>
          <w:rtl/>
        </w:rPr>
        <w:t>ع...</w:t>
      </w:r>
    </w:p>
    <w:p w:rsidR="0001386F" w:rsidRPr="006571AC" w:rsidRDefault="0001386F" w:rsidP="006C5D28">
      <w:pPr>
        <w:rPr>
          <w:rtl/>
        </w:rPr>
      </w:pPr>
      <w:r w:rsidRPr="006571AC">
        <w:rPr>
          <w:rtl/>
        </w:rPr>
        <w:t>وهذا التزاحم الموجود بين مقتضيات القوانين وبين المقتضيات الطبيعية ملحوظ</w:t>
      </w:r>
      <w:r w:rsidR="001C203E" w:rsidRPr="006571AC">
        <w:rPr>
          <w:rtl/>
        </w:rPr>
        <w:t>ٌ</w:t>
      </w:r>
      <w:r w:rsidRPr="006571AC">
        <w:rPr>
          <w:rtl/>
        </w:rPr>
        <w:t xml:space="preserve"> لكل قانون</w:t>
      </w:r>
      <w:r w:rsidR="001C203E" w:rsidRPr="006571AC">
        <w:rPr>
          <w:rtl/>
        </w:rPr>
        <w:t>ٍ</w:t>
      </w:r>
      <w:r w:rsidRPr="006571AC">
        <w:rPr>
          <w:rtl/>
        </w:rPr>
        <w:t xml:space="preserve"> يوضع، سواء من ق</w:t>
      </w:r>
      <w:r w:rsidR="001C203E" w:rsidRPr="006571AC">
        <w:rPr>
          <w:rtl/>
        </w:rPr>
        <w:t>ِ</w:t>
      </w:r>
      <w:r w:rsidRPr="006571AC">
        <w:rPr>
          <w:rtl/>
        </w:rPr>
        <w:t>ب</w:t>
      </w:r>
      <w:r w:rsidR="001C203E" w:rsidRPr="006571AC">
        <w:rPr>
          <w:rtl/>
        </w:rPr>
        <w:t>َ</w:t>
      </w:r>
      <w:r w:rsidRPr="006571AC">
        <w:rPr>
          <w:rtl/>
        </w:rPr>
        <w:t>ل البشر أو من ق</w:t>
      </w:r>
      <w:r w:rsidR="001C203E" w:rsidRPr="006571AC">
        <w:rPr>
          <w:rtl/>
        </w:rPr>
        <w:t>ِ</w:t>
      </w:r>
      <w:r w:rsidRPr="006571AC">
        <w:rPr>
          <w:rtl/>
        </w:rPr>
        <w:t>ب</w:t>
      </w:r>
      <w:r w:rsidR="001C203E" w:rsidRPr="006571AC">
        <w:rPr>
          <w:rtl/>
        </w:rPr>
        <w:t xml:space="preserve">َل خالقهم؛ </w:t>
      </w:r>
      <w:r w:rsidRPr="006571AC">
        <w:rPr>
          <w:rtl/>
        </w:rPr>
        <w:t>وذلك لأن الطبيعة الأو</w:t>
      </w:r>
      <w:r w:rsidR="001C203E" w:rsidRPr="006571AC">
        <w:rPr>
          <w:rtl/>
        </w:rPr>
        <w:t>ّ</w:t>
      </w:r>
      <w:r w:rsidRPr="006571AC">
        <w:rPr>
          <w:rtl/>
        </w:rPr>
        <w:t>لية العميقة للإنسان</w:t>
      </w:r>
      <w:r w:rsidR="001C203E" w:rsidRPr="006571AC">
        <w:rPr>
          <w:rtl/>
        </w:rPr>
        <w:t>؛</w:t>
      </w:r>
      <w:r w:rsidRPr="006571AC">
        <w:rPr>
          <w:rtl/>
        </w:rPr>
        <w:t xml:space="preserve"> بمقتضى حب</w:t>
      </w:r>
      <w:r w:rsidR="001C203E" w:rsidRPr="006571AC">
        <w:rPr>
          <w:rtl/>
        </w:rPr>
        <w:t>ّ</w:t>
      </w:r>
      <w:r w:rsidRPr="006571AC">
        <w:rPr>
          <w:rtl/>
        </w:rPr>
        <w:t>ه لذاته</w:t>
      </w:r>
      <w:r w:rsidR="001C203E" w:rsidRPr="006571AC">
        <w:rPr>
          <w:rtl/>
        </w:rPr>
        <w:t>،</w:t>
      </w:r>
      <w:r w:rsidRPr="006571AC">
        <w:rPr>
          <w:rtl/>
        </w:rPr>
        <w:t xml:space="preserve"> تقتضي الحر</w:t>
      </w:r>
      <w:r w:rsidR="001C203E" w:rsidRPr="006571AC">
        <w:rPr>
          <w:rtl/>
        </w:rPr>
        <w:t>ّ</w:t>
      </w:r>
      <w:r w:rsidRPr="006571AC">
        <w:rPr>
          <w:rtl/>
        </w:rPr>
        <w:t>ية وحب</w:t>
      </w:r>
      <w:r w:rsidR="001C203E" w:rsidRPr="006571AC">
        <w:rPr>
          <w:rtl/>
        </w:rPr>
        <w:t>ّ</w:t>
      </w:r>
      <w:r w:rsidRPr="006571AC">
        <w:rPr>
          <w:rtl/>
        </w:rPr>
        <w:t xml:space="preserve"> الانطلاق</w:t>
      </w:r>
      <w:r w:rsidR="001C203E" w:rsidRPr="006571AC">
        <w:rPr>
          <w:rtl/>
        </w:rPr>
        <w:t>،</w:t>
      </w:r>
      <w:r w:rsidRPr="006571AC">
        <w:rPr>
          <w:rtl/>
        </w:rPr>
        <w:t xml:space="preserve"> ولا تقتضي التقي</w:t>
      </w:r>
      <w:r w:rsidR="001C203E" w:rsidRPr="006571AC">
        <w:rPr>
          <w:rtl/>
        </w:rPr>
        <w:t>ُّ</w:t>
      </w:r>
      <w:r w:rsidRPr="006571AC">
        <w:rPr>
          <w:rtl/>
        </w:rPr>
        <w:t>د بالقانون، بل تقتضي أن يسعى الإنسان لكماله بالنحو الذي يشاء</w:t>
      </w:r>
      <w:r w:rsidR="001C203E" w:rsidRPr="006571AC">
        <w:rPr>
          <w:rtl/>
        </w:rPr>
        <w:t xml:space="preserve">، </w:t>
      </w:r>
      <w:r w:rsidRPr="006571AC">
        <w:rPr>
          <w:rtl/>
        </w:rPr>
        <w:t>غير مقي</w:t>
      </w:r>
      <w:r w:rsidR="001C203E" w:rsidRPr="006571AC">
        <w:rPr>
          <w:rtl/>
        </w:rPr>
        <w:t>َّ</w:t>
      </w:r>
      <w:r w:rsidRPr="006571AC">
        <w:rPr>
          <w:rtl/>
        </w:rPr>
        <w:t>د بنظام</w:t>
      </w:r>
      <w:r w:rsidR="001C203E" w:rsidRPr="006571AC">
        <w:rPr>
          <w:rtl/>
        </w:rPr>
        <w:t>ٍ</w:t>
      </w:r>
      <w:r w:rsidRPr="006571AC">
        <w:rPr>
          <w:rtl/>
        </w:rPr>
        <w:t xml:space="preserve"> ولا قانون</w:t>
      </w:r>
      <w:r w:rsidR="001C203E" w:rsidRPr="006571AC">
        <w:rPr>
          <w:rtl/>
        </w:rPr>
        <w:t>ٍ</w:t>
      </w:r>
      <w:r w:rsidRPr="006571AC">
        <w:rPr>
          <w:rtl/>
        </w:rPr>
        <w:t xml:space="preserve"> ولا تقليد</w:t>
      </w:r>
      <w:r w:rsidR="001C203E" w:rsidRPr="006571AC">
        <w:rPr>
          <w:rtl/>
        </w:rPr>
        <w:t>ٍ</w:t>
      </w:r>
      <w:r w:rsidRPr="006571AC">
        <w:rPr>
          <w:rtl/>
        </w:rPr>
        <w:t xml:space="preserve"> ولا أخلاق. إلا</w:t>
      </w:r>
      <w:r w:rsidR="001C203E" w:rsidRPr="006571AC">
        <w:rPr>
          <w:rtl/>
        </w:rPr>
        <w:t>ّ</w:t>
      </w:r>
      <w:r w:rsidRPr="006571AC">
        <w:rPr>
          <w:rtl/>
        </w:rPr>
        <w:t xml:space="preserve"> أنه بعد أن تقي</w:t>
      </w:r>
      <w:r w:rsidR="001C203E" w:rsidRPr="006571AC">
        <w:rPr>
          <w:rtl/>
        </w:rPr>
        <w:t>َّ</w:t>
      </w:r>
      <w:r w:rsidRPr="006571AC">
        <w:rPr>
          <w:rtl/>
        </w:rPr>
        <w:t>د، وبعد أن تنظ</w:t>
      </w:r>
      <w:r w:rsidR="001C203E" w:rsidRPr="006571AC">
        <w:rPr>
          <w:rtl/>
        </w:rPr>
        <w:t>َّ</w:t>
      </w:r>
      <w:r w:rsidRPr="006571AC">
        <w:rPr>
          <w:rtl/>
        </w:rPr>
        <w:t>م في المجتمع</w:t>
      </w:r>
      <w:r w:rsidR="001C203E" w:rsidRPr="006571AC">
        <w:rPr>
          <w:rtl/>
        </w:rPr>
        <w:t>؛</w:t>
      </w:r>
      <w:r w:rsidRPr="006571AC">
        <w:rPr>
          <w:rtl/>
        </w:rPr>
        <w:t xml:space="preserve"> حب</w:t>
      </w:r>
      <w:r w:rsidR="001C203E" w:rsidRPr="006571AC">
        <w:rPr>
          <w:rtl/>
        </w:rPr>
        <w:t>ّ</w:t>
      </w:r>
      <w:r w:rsidRPr="006571AC">
        <w:rPr>
          <w:rtl/>
        </w:rPr>
        <w:t>ا</w:t>
      </w:r>
      <w:r w:rsidR="001C203E" w:rsidRPr="006571AC">
        <w:rPr>
          <w:rtl/>
        </w:rPr>
        <w:t>ً</w:t>
      </w:r>
      <w:r w:rsidRPr="006571AC">
        <w:rPr>
          <w:rtl/>
        </w:rPr>
        <w:t xml:space="preserve"> لذاته وتوخ</w:t>
      </w:r>
      <w:r w:rsidR="001C203E" w:rsidRPr="006571AC">
        <w:rPr>
          <w:rtl/>
        </w:rPr>
        <w:t>ِّ</w:t>
      </w:r>
      <w:r w:rsidRPr="006571AC">
        <w:rPr>
          <w:rtl/>
        </w:rPr>
        <w:t>يا</w:t>
      </w:r>
      <w:r w:rsidR="001C203E" w:rsidRPr="006571AC">
        <w:rPr>
          <w:rtl/>
        </w:rPr>
        <w:t>ً</w:t>
      </w:r>
      <w:r w:rsidRPr="006571AC">
        <w:rPr>
          <w:rtl/>
        </w:rPr>
        <w:t xml:space="preserve"> لمصلحته</w:t>
      </w:r>
      <w:r w:rsidR="001C203E" w:rsidRPr="006571AC">
        <w:rPr>
          <w:rtl/>
        </w:rPr>
        <w:t>؛</w:t>
      </w:r>
      <w:r w:rsidRPr="006571AC">
        <w:rPr>
          <w:rtl/>
        </w:rPr>
        <w:t xml:space="preserve"> ولأنه يرى أن هذا التقي</w:t>
      </w:r>
      <w:r w:rsidR="001C203E" w:rsidRPr="006571AC">
        <w:rPr>
          <w:rtl/>
        </w:rPr>
        <w:t>ُّ</w:t>
      </w:r>
      <w:r w:rsidRPr="006571AC">
        <w:rPr>
          <w:rtl/>
        </w:rPr>
        <w:t>د يوصل إلى الكمال أسرع من تلك الحر</w:t>
      </w:r>
      <w:r w:rsidR="001C203E" w:rsidRPr="006571AC">
        <w:rPr>
          <w:rtl/>
        </w:rPr>
        <w:t>ّ</w:t>
      </w:r>
      <w:r w:rsidRPr="006571AC">
        <w:rPr>
          <w:rtl/>
        </w:rPr>
        <w:t>ية السائبة ـ لأنه يرى أن القوانين والن</w:t>
      </w:r>
      <w:r w:rsidR="001C203E" w:rsidRPr="006571AC">
        <w:rPr>
          <w:rtl/>
        </w:rPr>
        <w:t>ُّ</w:t>
      </w:r>
      <w:r w:rsidRPr="006571AC">
        <w:rPr>
          <w:rtl/>
        </w:rPr>
        <w:t>ظ</w:t>
      </w:r>
      <w:r w:rsidR="001C203E" w:rsidRPr="006571AC">
        <w:rPr>
          <w:rtl/>
        </w:rPr>
        <w:t>ُ</w:t>
      </w:r>
      <w:r w:rsidRPr="006571AC">
        <w:rPr>
          <w:rtl/>
        </w:rPr>
        <w:t>م بصرف وجودها شيء</w:t>
      </w:r>
      <w:r w:rsidR="001C203E" w:rsidRPr="006571AC">
        <w:rPr>
          <w:rtl/>
        </w:rPr>
        <w:t>ٌ</w:t>
      </w:r>
      <w:r w:rsidRPr="006571AC">
        <w:rPr>
          <w:rtl/>
        </w:rPr>
        <w:t xml:space="preserve"> ضروري للوصول إلى الكمال، وأن وجودها على كل</w:t>
      </w:r>
      <w:r w:rsidR="001C203E" w:rsidRPr="006571AC">
        <w:rPr>
          <w:rtl/>
        </w:rPr>
        <w:t>ّ</w:t>
      </w:r>
      <w:r w:rsidRPr="006571AC">
        <w:rPr>
          <w:rtl/>
        </w:rPr>
        <w:t xml:space="preserve"> حال</w:t>
      </w:r>
      <w:r w:rsidR="001C203E" w:rsidRPr="006571AC">
        <w:rPr>
          <w:rtl/>
        </w:rPr>
        <w:t>ٍ</w:t>
      </w:r>
      <w:r w:rsidRPr="006571AC">
        <w:rPr>
          <w:rtl/>
        </w:rPr>
        <w:t xml:space="preserve"> موافق</w:t>
      </w:r>
      <w:r w:rsidR="001C203E" w:rsidRPr="006571AC">
        <w:rPr>
          <w:rtl/>
        </w:rPr>
        <w:t>ٌ</w:t>
      </w:r>
      <w:r w:rsidRPr="006571AC">
        <w:rPr>
          <w:rtl/>
        </w:rPr>
        <w:t xml:space="preserve"> لحب</w:t>
      </w:r>
      <w:r w:rsidR="001C203E" w:rsidRPr="006571AC">
        <w:rPr>
          <w:rtl/>
        </w:rPr>
        <w:t>ّ</w:t>
      </w:r>
      <w:r w:rsidRPr="006571AC">
        <w:rPr>
          <w:rtl/>
        </w:rPr>
        <w:t xml:space="preserve"> ذاته ـ</w:t>
      </w:r>
      <w:r w:rsidR="001C203E" w:rsidRPr="006571AC">
        <w:rPr>
          <w:rtl/>
        </w:rPr>
        <w:t>،</w:t>
      </w:r>
      <w:r w:rsidRPr="006571AC">
        <w:rPr>
          <w:rtl/>
        </w:rPr>
        <w:t xml:space="preserve"> إذن فهو عندما يرى قانونا</w:t>
      </w:r>
      <w:r w:rsidR="001C203E" w:rsidRPr="006571AC">
        <w:rPr>
          <w:rtl/>
        </w:rPr>
        <w:t>ً</w:t>
      </w:r>
      <w:r w:rsidRPr="006571AC">
        <w:rPr>
          <w:rtl/>
        </w:rPr>
        <w:t xml:space="preserve"> من القوانين موافقا</w:t>
      </w:r>
      <w:r w:rsidR="001C203E" w:rsidRPr="006571AC">
        <w:rPr>
          <w:rtl/>
        </w:rPr>
        <w:t>ً</w:t>
      </w:r>
      <w:r w:rsidRPr="006571AC">
        <w:rPr>
          <w:rtl/>
        </w:rPr>
        <w:t xml:space="preserve"> لمصلحته</w:t>
      </w:r>
      <w:r w:rsidR="001C203E" w:rsidRPr="006571AC">
        <w:rPr>
          <w:rtl/>
        </w:rPr>
        <w:t>،</w:t>
      </w:r>
      <w:r w:rsidRPr="006571AC">
        <w:rPr>
          <w:rtl/>
        </w:rPr>
        <w:t xml:space="preserve"> وماشيا</w:t>
      </w:r>
      <w:r w:rsidR="001C203E" w:rsidRPr="006571AC">
        <w:rPr>
          <w:rtl/>
        </w:rPr>
        <w:t>ً</w:t>
      </w:r>
      <w:r w:rsidRPr="006571AC">
        <w:rPr>
          <w:rtl/>
        </w:rPr>
        <w:t xml:space="preserve"> بالطريق نحو الكمال، فهو حينئذ</w:t>
      </w:r>
      <w:r w:rsidR="001C203E" w:rsidRPr="006571AC">
        <w:rPr>
          <w:rtl/>
        </w:rPr>
        <w:t>ٍ</w:t>
      </w:r>
      <w:r w:rsidRPr="006571AC">
        <w:rPr>
          <w:rtl/>
        </w:rPr>
        <w:t xml:space="preserve"> يندفع معه اندفاعا</w:t>
      </w:r>
      <w:r w:rsidR="001C203E" w:rsidRPr="006571AC">
        <w:rPr>
          <w:rtl/>
        </w:rPr>
        <w:t>ً</w:t>
      </w:r>
      <w:r w:rsidRPr="006571AC">
        <w:rPr>
          <w:rtl/>
        </w:rPr>
        <w:t xml:space="preserve"> تلقائيا</w:t>
      </w:r>
      <w:r w:rsidR="001C203E" w:rsidRPr="006571AC">
        <w:rPr>
          <w:rtl/>
        </w:rPr>
        <w:t>ً،</w:t>
      </w:r>
      <w:r w:rsidRPr="006571AC">
        <w:rPr>
          <w:rtl/>
        </w:rPr>
        <w:t xml:space="preserve"> ويطيعه إطاعة</w:t>
      </w:r>
      <w:r w:rsidR="001C203E" w:rsidRPr="006571AC">
        <w:rPr>
          <w:rtl/>
        </w:rPr>
        <w:t>ً</w:t>
      </w:r>
      <w:r w:rsidRPr="006571AC">
        <w:rPr>
          <w:rtl/>
        </w:rPr>
        <w:t xml:space="preserve"> عمياء، ويتكي</w:t>
      </w:r>
      <w:r w:rsidR="001C203E" w:rsidRPr="006571AC">
        <w:rPr>
          <w:rtl/>
        </w:rPr>
        <w:t>َّ</w:t>
      </w:r>
      <w:r w:rsidRPr="006571AC">
        <w:rPr>
          <w:rtl/>
        </w:rPr>
        <w:t>ف لمقتضيات أوامره ونواهيه، غير متوق</w:t>
      </w:r>
      <w:r w:rsidR="001C203E" w:rsidRPr="006571AC">
        <w:rPr>
          <w:rtl/>
        </w:rPr>
        <w:t>ِّ</w:t>
      </w:r>
      <w:r w:rsidRPr="006571AC">
        <w:rPr>
          <w:rtl/>
        </w:rPr>
        <w:t>ع</w:t>
      </w:r>
      <w:r w:rsidR="001C203E" w:rsidRPr="006571AC">
        <w:rPr>
          <w:rtl/>
        </w:rPr>
        <w:t>ٍ</w:t>
      </w:r>
      <w:r w:rsidRPr="006571AC">
        <w:rPr>
          <w:rtl/>
        </w:rPr>
        <w:t xml:space="preserve"> ثوابا</w:t>
      </w:r>
      <w:r w:rsidR="001C203E" w:rsidRPr="006571AC">
        <w:rPr>
          <w:rtl/>
        </w:rPr>
        <w:t>ً</w:t>
      </w:r>
      <w:r w:rsidRPr="006571AC">
        <w:rPr>
          <w:rtl/>
        </w:rPr>
        <w:t xml:space="preserve"> أو خائف</w:t>
      </w:r>
      <w:r w:rsidR="001C203E" w:rsidRPr="006571AC">
        <w:rPr>
          <w:rtl/>
        </w:rPr>
        <w:t>ٍ</w:t>
      </w:r>
      <w:r w:rsidRPr="006571AC">
        <w:rPr>
          <w:rtl/>
        </w:rPr>
        <w:t xml:space="preserve"> عقابا</w:t>
      </w:r>
      <w:r w:rsidR="001C203E" w:rsidRPr="006571AC">
        <w:rPr>
          <w:rtl/>
        </w:rPr>
        <w:t>ً</w:t>
      </w:r>
      <w:r w:rsidRPr="006571AC">
        <w:rPr>
          <w:rtl/>
        </w:rPr>
        <w:t xml:space="preserve">، وإنما هو يطيعه لأجل الوصول إلى </w:t>
      </w:r>
      <w:r w:rsidR="00F51EF4" w:rsidRPr="006571AC">
        <w:rPr>
          <w:rtl/>
        </w:rPr>
        <w:t>ال</w:t>
      </w:r>
      <w:r w:rsidRPr="006571AC">
        <w:rPr>
          <w:rtl/>
        </w:rPr>
        <w:t>نتيجة التي يحسبها أو يراها موافقة</w:t>
      </w:r>
      <w:r w:rsidR="00F51EF4" w:rsidRPr="006571AC">
        <w:rPr>
          <w:rtl/>
        </w:rPr>
        <w:t>ً</w:t>
      </w:r>
      <w:r w:rsidRPr="006571AC">
        <w:rPr>
          <w:rtl/>
        </w:rPr>
        <w:t xml:space="preserve"> لكماله</w:t>
      </w:r>
      <w:r w:rsidR="00F51EF4" w:rsidRPr="006571AC">
        <w:rPr>
          <w:rtl/>
        </w:rPr>
        <w:t>،</w:t>
      </w:r>
      <w:r w:rsidRPr="006571AC">
        <w:rPr>
          <w:rtl/>
        </w:rPr>
        <w:t xml:space="preserve"> ولمصلحة نفسه وحب</w:t>
      </w:r>
      <w:r w:rsidR="00F51EF4" w:rsidRPr="006571AC">
        <w:rPr>
          <w:rtl/>
        </w:rPr>
        <w:t>ّ</w:t>
      </w:r>
      <w:r w:rsidRPr="006571AC">
        <w:rPr>
          <w:rtl/>
        </w:rPr>
        <w:t xml:space="preserve"> ذاته. </w:t>
      </w:r>
    </w:p>
    <w:p w:rsidR="0001386F" w:rsidRPr="006571AC" w:rsidRDefault="0001386F" w:rsidP="006C5D28">
      <w:pPr>
        <w:rPr>
          <w:rtl/>
        </w:rPr>
      </w:pPr>
      <w:r w:rsidRPr="006571AC">
        <w:rPr>
          <w:rtl/>
        </w:rPr>
        <w:t>أما إذا لم يتعق</w:t>
      </w:r>
      <w:r w:rsidR="00F51EF4" w:rsidRPr="006571AC">
        <w:rPr>
          <w:rtl/>
        </w:rPr>
        <w:t>َّ</w:t>
      </w:r>
      <w:r w:rsidRPr="006571AC">
        <w:rPr>
          <w:rtl/>
        </w:rPr>
        <w:t>ل الفرد ـ والناس في الغالب لا يتعق</w:t>
      </w:r>
      <w:r w:rsidR="00F51EF4" w:rsidRPr="006571AC">
        <w:rPr>
          <w:rtl/>
        </w:rPr>
        <w:t>َّ</w:t>
      </w:r>
      <w:r w:rsidRPr="006571AC">
        <w:rPr>
          <w:rtl/>
        </w:rPr>
        <w:t>لون ذلك ـ أن النظام المعين الفلاني في مصلحتهم</w:t>
      </w:r>
      <w:r w:rsidR="00F51EF4" w:rsidRPr="006571AC">
        <w:rPr>
          <w:rtl/>
        </w:rPr>
        <w:t>،</w:t>
      </w:r>
      <w:r w:rsidRPr="006571AC">
        <w:rPr>
          <w:rtl/>
        </w:rPr>
        <w:t xml:space="preserve"> وأن اتباعه موافق</w:t>
      </w:r>
      <w:r w:rsidR="00F51EF4" w:rsidRPr="006571AC">
        <w:rPr>
          <w:rtl/>
        </w:rPr>
        <w:t>ٌ</w:t>
      </w:r>
      <w:r w:rsidRPr="006571AC">
        <w:rPr>
          <w:rtl/>
        </w:rPr>
        <w:t xml:space="preserve"> للوصول إلى كمالهم، وأنه أهل</w:t>
      </w:r>
      <w:r w:rsidR="00F51EF4" w:rsidRPr="006571AC">
        <w:rPr>
          <w:rtl/>
        </w:rPr>
        <w:t>ٌ</w:t>
      </w:r>
      <w:r w:rsidRPr="006571AC">
        <w:rPr>
          <w:rtl/>
        </w:rPr>
        <w:t xml:space="preserve"> لتقييد الحر</w:t>
      </w:r>
      <w:r w:rsidR="00F51EF4" w:rsidRPr="006571AC">
        <w:rPr>
          <w:rtl/>
        </w:rPr>
        <w:t>ّ</w:t>
      </w:r>
      <w:r w:rsidRPr="006571AC">
        <w:rPr>
          <w:rtl/>
        </w:rPr>
        <w:t>ية الطبيعية المحبوبة لهم، فإنهم يحتاجون بذلك إلى وضع العقاب والثواب على اتباع هذه القوانين وعلى عصيانها</w:t>
      </w:r>
      <w:r w:rsidR="00F51EF4" w:rsidRPr="006571AC">
        <w:rPr>
          <w:rtl/>
        </w:rPr>
        <w:t>؛</w:t>
      </w:r>
      <w:r w:rsidRPr="006571AC">
        <w:rPr>
          <w:rtl/>
        </w:rPr>
        <w:t xml:space="preserve"> لكي تكون لهم مثيرا</w:t>
      </w:r>
      <w:r w:rsidR="00F51EF4" w:rsidRPr="006571AC">
        <w:rPr>
          <w:rtl/>
        </w:rPr>
        <w:t>ً</w:t>
      </w:r>
      <w:r w:rsidRPr="006571AC">
        <w:rPr>
          <w:rtl/>
        </w:rPr>
        <w:t xml:space="preserve"> تكوينيا</w:t>
      </w:r>
      <w:r w:rsidR="00F51EF4" w:rsidRPr="006571AC">
        <w:rPr>
          <w:rtl/>
        </w:rPr>
        <w:t>ً</w:t>
      </w:r>
      <w:r w:rsidRPr="006571AC">
        <w:rPr>
          <w:rtl/>
        </w:rPr>
        <w:t xml:space="preserve"> وحافزا</w:t>
      </w:r>
      <w:r w:rsidR="00F51EF4" w:rsidRPr="006571AC">
        <w:rPr>
          <w:rtl/>
        </w:rPr>
        <w:t>ً</w:t>
      </w:r>
      <w:r w:rsidRPr="006571AC">
        <w:rPr>
          <w:rtl/>
        </w:rPr>
        <w:t xml:space="preserve"> قويا</w:t>
      </w:r>
      <w:r w:rsidR="00F51EF4" w:rsidRPr="006571AC">
        <w:rPr>
          <w:rtl/>
        </w:rPr>
        <w:t xml:space="preserve">ً إلى </w:t>
      </w:r>
      <w:r w:rsidR="00F51EF4" w:rsidRPr="006571AC">
        <w:rPr>
          <w:rtl/>
        </w:rPr>
        <w:lastRenderedPageBreak/>
        <w:t xml:space="preserve">إطاعتها وعدم عصيانها؛ </w:t>
      </w:r>
      <w:r w:rsidRPr="006571AC">
        <w:rPr>
          <w:rtl/>
        </w:rPr>
        <w:t>وذلك أن كل</w:t>
      </w:r>
      <w:r w:rsidR="00F51EF4" w:rsidRPr="006571AC">
        <w:rPr>
          <w:rtl/>
        </w:rPr>
        <w:t>ّ</w:t>
      </w:r>
      <w:r w:rsidRPr="006571AC">
        <w:rPr>
          <w:rtl/>
        </w:rPr>
        <w:t xml:space="preserve"> فرد</w:t>
      </w:r>
      <w:r w:rsidR="00F51EF4" w:rsidRPr="006571AC">
        <w:rPr>
          <w:rtl/>
        </w:rPr>
        <w:t>ٍ</w:t>
      </w:r>
      <w:r w:rsidRPr="006571AC">
        <w:rPr>
          <w:rtl/>
        </w:rPr>
        <w:t xml:space="preserve"> يواجه التزاحم الموجود بين الشر</w:t>
      </w:r>
      <w:r w:rsidR="00F51EF4" w:rsidRPr="006571AC">
        <w:rPr>
          <w:rtl/>
        </w:rPr>
        <w:t>ّ</w:t>
      </w:r>
      <w:r w:rsidRPr="006571AC">
        <w:rPr>
          <w:rtl/>
        </w:rPr>
        <w:t xml:space="preserve"> الذي سوف يصيبه من اتباع القانون ـ أو خسارة المصلحة التي سوف يقع فيها ـ والذي سوف يصيبه من عدم إطاعته وهو العقاب، فيوازن بينهما في ذهنه، فيرى ح</w:t>
      </w:r>
      <w:r w:rsidR="004B6AEE" w:rsidRPr="006571AC">
        <w:rPr>
          <w:rFonts w:hint="cs"/>
          <w:rtl/>
        </w:rPr>
        <w:t>َ</w:t>
      </w:r>
      <w:r w:rsidRPr="006571AC">
        <w:rPr>
          <w:rtl/>
        </w:rPr>
        <w:t>ت</w:t>
      </w:r>
      <w:r w:rsidR="004B6AEE" w:rsidRPr="006571AC">
        <w:rPr>
          <w:rFonts w:hint="cs"/>
          <w:rtl/>
        </w:rPr>
        <w:t>ْ</w:t>
      </w:r>
      <w:r w:rsidRPr="006571AC">
        <w:rPr>
          <w:rtl/>
        </w:rPr>
        <w:t>ما</w:t>
      </w:r>
      <w:r w:rsidR="00F51EF4" w:rsidRPr="006571AC">
        <w:rPr>
          <w:rtl/>
        </w:rPr>
        <w:t>ً</w:t>
      </w:r>
      <w:r w:rsidRPr="006571AC">
        <w:rPr>
          <w:rtl/>
        </w:rPr>
        <w:t xml:space="preserve"> أن الشر</w:t>
      </w:r>
      <w:r w:rsidR="00F51EF4" w:rsidRPr="006571AC">
        <w:rPr>
          <w:rtl/>
        </w:rPr>
        <w:t>ّ</w:t>
      </w:r>
      <w:r w:rsidRPr="006571AC">
        <w:rPr>
          <w:rtl/>
        </w:rPr>
        <w:t xml:space="preserve"> الذي يصيبه من عدم إطاعة القانون </w:t>
      </w:r>
      <w:r w:rsidR="00F51EF4" w:rsidRPr="006571AC">
        <w:rPr>
          <w:rtl/>
        </w:rPr>
        <w:t xml:space="preserve">أكبر </w:t>
      </w:r>
      <w:r w:rsidRPr="006571AC">
        <w:rPr>
          <w:rtl/>
        </w:rPr>
        <w:t>من الشر</w:t>
      </w:r>
      <w:r w:rsidR="00F51EF4" w:rsidRPr="006571AC">
        <w:rPr>
          <w:rtl/>
        </w:rPr>
        <w:t>ّ</w:t>
      </w:r>
      <w:r w:rsidRPr="006571AC">
        <w:rPr>
          <w:rtl/>
        </w:rPr>
        <w:t xml:space="preserve"> والعقاب الذي يصيبه عند عصيانه، </w:t>
      </w:r>
      <w:r w:rsidR="00A36796" w:rsidRPr="006571AC">
        <w:rPr>
          <w:rtl/>
        </w:rPr>
        <w:t>و</w:t>
      </w:r>
      <w:r w:rsidRPr="006571AC">
        <w:rPr>
          <w:rtl/>
        </w:rPr>
        <w:t>عند ذلك يرى أن من حب</w:t>
      </w:r>
      <w:r w:rsidR="00A36796" w:rsidRPr="006571AC">
        <w:rPr>
          <w:rtl/>
        </w:rPr>
        <w:t>ّ</w:t>
      </w:r>
      <w:r w:rsidRPr="006571AC">
        <w:rPr>
          <w:rtl/>
        </w:rPr>
        <w:t xml:space="preserve"> ذاته أن يمتثل القانون. </w:t>
      </w:r>
    </w:p>
    <w:p w:rsidR="0001386F" w:rsidRPr="006571AC" w:rsidRDefault="0001386F" w:rsidP="006C5D28">
      <w:pPr>
        <w:rPr>
          <w:rtl/>
        </w:rPr>
      </w:pPr>
      <w:r w:rsidRPr="006571AC">
        <w:rPr>
          <w:rtl/>
        </w:rPr>
        <w:t>من هنا نرى أن الشخص الذي يستطيع إخفاء فعله ع</w:t>
      </w:r>
      <w:r w:rsidR="00A36796" w:rsidRPr="006571AC">
        <w:rPr>
          <w:rtl/>
        </w:rPr>
        <w:t>ن</w:t>
      </w:r>
      <w:r w:rsidRPr="006571AC">
        <w:rPr>
          <w:rtl/>
        </w:rPr>
        <w:t xml:space="preserve"> القانون</w:t>
      </w:r>
      <w:r w:rsidR="00A36796" w:rsidRPr="006571AC">
        <w:rPr>
          <w:rtl/>
        </w:rPr>
        <w:t>،</w:t>
      </w:r>
      <w:r w:rsidRPr="006571AC">
        <w:rPr>
          <w:rtl/>
        </w:rPr>
        <w:t xml:space="preserve"> والهرب من العقاب ومن يد القضاء، يقدم نحو الجريمة إقداما</w:t>
      </w:r>
      <w:r w:rsidR="00A36796" w:rsidRPr="006571AC">
        <w:rPr>
          <w:rtl/>
        </w:rPr>
        <w:t>ً؛</w:t>
      </w:r>
      <w:r w:rsidRPr="006571AC">
        <w:rPr>
          <w:rtl/>
        </w:rPr>
        <w:t xml:space="preserve"> لأنه يرى أن عصيان القانون لن يلحق به شر</w:t>
      </w:r>
      <w:r w:rsidR="00A36796" w:rsidRPr="006571AC">
        <w:rPr>
          <w:rtl/>
        </w:rPr>
        <w:t>ّ</w:t>
      </w:r>
      <w:r w:rsidRPr="006571AC">
        <w:rPr>
          <w:rtl/>
        </w:rPr>
        <w:t>ا</w:t>
      </w:r>
      <w:r w:rsidR="00A36796" w:rsidRPr="006571AC">
        <w:rPr>
          <w:rtl/>
        </w:rPr>
        <w:t>ً</w:t>
      </w:r>
      <w:r w:rsidRPr="006571AC">
        <w:rPr>
          <w:rtl/>
        </w:rPr>
        <w:t>، وأن القيام بالجريمة في مصلحته</w:t>
      </w:r>
      <w:r w:rsidR="00A36796" w:rsidRPr="006571AC">
        <w:rPr>
          <w:rtl/>
        </w:rPr>
        <w:t>،</w:t>
      </w:r>
      <w:r w:rsidRPr="006571AC">
        <w:rPr>
          <w:rtl/>
        </w:rPr>
        <w:t xml:space="preserve"> وموافق</w:t>
      </w:r>
      <w:r w:rsidR="00A36796" w:rsidRPr="006571AC">
        <w:rPr>
          <w:rtl/>
        </w:rPr>
        <w:t>ٌ</w:t>
      </w:r>
      <w:r w:rsidRPr="006571AC">
        <w:rPr>
          <w:rtl/>
        </w:rPr>
        <w:t xml:space="preserve"> لحب</w:t>
      </w:r>
      <w:r w:rsidR="00A36796" w:rsidRPr="006571AC">
        <w:rPr>
          <w:rtl/>
        </w:rPr>
        <w:t>ّ</w:t>
      </w:r>
      <w:r w:rsidRPr="006571AC">
        <w:rPr>
          <w:rtl/>
        </w:rPr>
        <w:t xml:space="preserve"> ذاته</w:t>
      </w:r>
      <w:r w:rsidR="00A36796" w:rsidRPr="006571AC">
        <w:rPr>
          <w:rtl/>
        </w:rPr>
        <w:t>،</w:t>
      </w:r>
      <w:r w:rsidRPr="006571AC">
        <w:rPr>
          <w:rtl/>
        </w:rPr>
        <w:t xml:space="preserve"> ح</w:t>
      </w:r>
      <w:r w:rsidR="00A36796" w:rsidRPr="006571AC">
        <w:rPr>
          <w:rtl/>
        </w:rPr>
        <w:t>َ</w:t>
      </w:r>
      <w:r w:rsidRPr="006571AC">
        <w:rPr>
          <w:rtl/>
        </w:rPr>
        <w:t>س</w:t>
      </w:r>
      <w:r w:rsidR="00A36796" w:rsidRPr="006571AC">
        <w:rPr>
          <w:rtl/>
        </w:rPr>
        <w:t>ْ</w:t>
      </w:r>
      <w:r w:rsidRPr="006571AC">
        <w:rPr>
          <w:rtl/>
        </w:rPr>
        <w:t>ب نظره</w:t>
      </w:r>
      <w:r w:rsidR="00A36796" w:rsidRPr="006571AC">
        <w:rPr>
          <w:rtl/>
        </w:rPr>
        <w:t xml:space="preserve"> القاصر</w:t>
      </w:r>
      <w:r w:rsidRPr="006571AC">
        <w:rPr>
          <w:rtl/>
        </w:rPr>
        <w:t xml:space="preserve">. </w:t>
      </w:r>
    </w:p>
    <w:p w:rsidR="0001386F" w:rsidRPr="006571AC" w:rsidRDefault="0001386F" w:rsidP="006C5D28">
      <w:pPr>
        <w:rPr>
          <w:rtl/>
        </w:rPr>
      </w:pPr>
      <w:r w:rsidRPr="006571AC">
        <w:rPr>
          <w:rtl/>
        </w:rPr>
        <w:t>وكذلك بالنسبة إلى وضع الثواب على القوانين</w:t>
      </w:r>
      <w:r w:rsidR="00A36796" w:rsidRPr="006571AC">
        <w:rPr>
          <w:rtl/>
        </w:rPr>
        <w:t>،</w:t>
      </w:r>
      <w:r w:rsidRPr="006571AC">
        <w:rPr>
          <w:rtl/>
        </w:rPr>
        <w:t xml:space="preserve"> فإنها أيضا</w:t>
      </w:r>
      <w:r w:rsidR="00A36796" w:rsidRPr="006571AC">
        <w:rPr>
          <w:rtl/>
        </w:rPr>
        <w:t>ً</w:t>
      </w:r>
      <w:r w:rsidRPr="006571AC">
        <w:rPr>
          <w:rtl/>
        </w:rPr>
        <w:t xml:space="preserve"> مثيرات</w:t>
      </w:r>
      <w:r w:rsidR="004B6AEE" w:rsidRPr="006571AC">
        <w:rPr>
          <w:rFonts w:hint="cs"/>
          <w:rtl/>
        </w:rPr>
        <w:t>ٌ</w:t>
      </w:r>
      <w:r w:rsidRPr="006571AC">
        <w:rPr>
          <w:rtl/>
        </w:rPr>
        <w:t xml:space="preserve"> ومقتضيات</w:t>
      </w:r>
      <w:r w:rsidR="004B6AEE" w:rsidRPr="006571AC">
        <w:rPr>
          <w:rFonts w:hint="cs"/>
          <w:rtl/>
        </w:rPr>
        <w:t>ٌ</w:t>
      </w:r>
      <w:r w:rsidRPr="006571AC">
        <w:rPr>
          <w:rtl/>
        </w:rPr>
        <w:t xml:space="preserve"> ثانوية لطاعتها، فإن الفرد أيضا</w:t>
      </w:r>
      <w:r w:rsidR="00A36796" w:rsidRPr="006571AC">
        <w:rPr>
          <w:rtl/>
        </w:rPr>
        <w:t>ً</w:t>
      </w:r>
      <w:r w:rsidRPr="006571AC">
        <w:rPr>
          <w:rtl/>
        </w:rPr>
        <w:t xml:space="preserve"> يوازن بذهنه بين المصلحة التي سوف تناله عند طاعة القانون ـ وهو الثواب ـ وبين المصالح التي سوف تناله عند عدم طاعته ـ وهي الحر</w:t>
      </w:r>
      <w:r w:rsidR="00A36796" w:rsidRPr="006571AC">
        <w:rPr>
          <w:rtl/>
        </w:rPr>
        <w:t>ّ</w:t>
      </w:r>
      <w:r w:rsidRPr="006571AC">
        <w:rPr>
          <w:rtl/>
        </w:rPr>
        <w:t>ية الطبيعية ـ وعند المشي على ه</w:t>
      </w:r>
      <w:r w:rsidR="004B6AEE" w:rsidRPr="006571AC">
        <w:rPr>
          <w:rFonts w:hint="cs"/>
          <w:rtl/>
        </w:rPr>
        <w:t>ُ</w:t>
      </w:r>
      <w:r w:rsidRPr="006571AC">
        <w:rPr>
          <w:rtl/>
        </w:rPr>
        <w:t>داه واختياره، فهو يرى ح</w:t>
      </w:r>
      <w:r w:rsidR="004B6AEE" w:rsidRPr="006571AC">
        <w:rPr>
          <w:rFonts w:hint="cs"/>
          <w:rtl/>
        </w:rPr>
        <w:t>َ</w:t>
      </w:r>
      <w:r w:rsidRPr="006571AC">
        <w:rPr>
          <w:rtl/>
        </w:rPr>
        <w:t>ت</w:t>
      </w:r>
      <w:r w:rsidR="004B6AEE" w:rsidRPr="006571AC">
        <w:rPr>
          <w:rFonts w:hint="cs"/>
          <w:rtl/>
        </w:rPr>
        <w:t>ْ</w:t>
      </w:r>
      <w:r w:rsidRPr="006571AC">
        <w:rPr>
          <w:rtl/>
        </w:rPr>
        <w:t>ما</w:t>
      </w:r>
      <w:r w:rsidR="00A36796" w:rsidRPr="006571AC">
        <w:rPr>
          <w:rtl/>
        </w:rPr>
        <w:t>ً</w:t>
      </w:r>
      <w:r w:rsidRPr="006571AC">
        <w:rPr>
          <w:rtl/>
        </w:rPr>
        <w:t xml:space="preserve"> أن المصلحة التي ضمنها له القانون أكبر وأكثر، وأن ثوابه أجزل وأعظم، </w:t>
      </w:r>
      <w:r w:rsidR="00A36796" w:rsidRPr="006571AC">
        <w:rPr>
          <w:rtl/>
        </w:rPr>
        <w:t>وعليه</w:t>
      </w:r>
      <w:r w:rsidRPr="006571AC">
        <w:rPr>
          <w:rtl/>
        </w:rPr>
        <w:t xml:space="preserve"> يتوج</w:t>
      </w:r>
      <w:r w:rsidR="00A36796" w:rsidRPr="006571AC">
        <w:rPr>
          <w:rtl/>
        </w:rPr>
        <w:t>َّ</w:t>
      </w:r>
      <w:r w:rsidRPr="006571AC">
        <w:rPr>
          <w:rtl/>
        </w:rPr>
        <w:t>ه إلى هذا الثواب</w:t>
      </w:r>
      <w:r w:rsidR="00A36796" w:rsidRPr="006571AC">
        <w:rPr>
          <w:rtl/>
        </w:rPr>
        <w:t>،</w:t>
      </w:r>
      <w:r w:rsidRPr="006571AC">
        <w:rPr>
          <w:rtl/>
        </w:rPr>
        <w:t xml:space="preserve"> فيطيع القانون على هذا الأساس...</w:t>
      </w:r>
      <w:r w:rsidRPr="006571AC">
        <w:rPr>
          <w:rFonts w:hint="eastAsia"/>
          <w:sz w:val="24"/>
          <w:szCs w:val="24"/>
          <w:rtl/>
        </w:rPr>
        <w:t>»</w:t>
      </w:r>
      <w:r w:rsidRPr="006571AC">
        <w:rPr>
          <w:vertAlign w:val="superscript"/>
          <w:rtl/>
        </w:rPr>
        <w:t>(</w:t>
      </w:r>
      <w:r w:rsidRPr="006571AC">
        <w:rPr>
          <w:rStyle w:val="ac"/>
          <w:rFonts w:ascii="Arial" w:hAnsi="Arial"/>
          <w:sz w:val="27"/>
          <w:rtl/>
        </w:rPr>
        <w:endnoteReference w:id="718"/>
      </w:r>
      <w:r w:rsidRPr="006571AC">
        <w:rPr>
          <w:vertAlign w:val="superscript"/>
          <w:rtl/>
        </w:rPr>
        <w:t>)</w:t>
      </w:r>
      <w:r w:rsidRPr="006571AC">
        <w:rPr>
          <w:rtl/>
        </w:rPr>
        <w:t>.</w:t>
      </w:r>
    </w:p>
    <w:p w:rsidR="0001386F" w:rsidRPr="006571AC" w:rsidRDefault="0001386F" w:rsidP="006C5D28">
      <w:pPr>
        <w:rPr>
          <w:rtl/>
        </w:rPr>
      </w:pPr>
      <w:r w:rsidRPr="006571AC">
        <w:rPr>
          <w:rtl/>
        </w:rPr>
        <w:t>ويناقش الشهيد مطه</w:t>
      </w:r>
      <w:r w:rsidR="00A36796" w:rsidRPr="006571AC">
        <w:rPr>
          <w:rtl/>
        </w:rPr>
        <w:t>َّ</w:t>
      </w:r>
      <w:r w:rsidRPr="006571AC">
        <w:rPr>
          <w:rtl/>
        </w:rPr>
        <w:t>ري موضوع أساس التقي</w:t>
      </w:r>
      <w:r w:rsidR="00A36796" w:rsidRPr="006571AC">
        <w:rPr>
          <w:rtl/>
        </w:rPr>
        <w:t>ُّ</w:t>
      </w:r>
      <w:r w:rsidRPr="006571AC">
        <w:rPr>
          <w:rtl/>
        </w:rPr>
        <w:t>د بالفضائل الأخلاقية عند الإنسان عند مواجهته لمصالحه الشخصية</w:t>
      </w:r>
      <w:r w:rsidR="00A36796" w:rsidRPr="006571AC">
        <w:rPr>
          <w:rtl/>
        </w:rPr>
        <w:t>،</w:t>
      </w:r>
      <w:r w:rsidRPr="006571AC">
        <w:rPr>
          <w:rtl/>
        </w:rPr>
        <w:t xml:space="preserve"> فيغدو مؤمنا</w:t>
      </w:r>
      <w:r w:rsidR="00A36796" w:rsidRPr="006571AC">
        <w:rPr>
          <w:rtl/>
        </w:rPr>
        <w:t>ً</w:t>
      </w:r>
      <w:r w:rsidRPr="006571AC">
        <w:rPr>
          <w:rtl/>
        </w:rPr>
        <w:t xml:space="preserve"> معتقدا</w:t>
      </w:r>
      <w:r w:rsidR="00A36796" w:rsidRPr="006571AC">
        <w:rPr>
          <w:rtl/>
        </w:rPr>
        <w:t>ً،</w:t>
      </w:r>
      <w:r w:rsidRPr="006571AC">
        <w:rPr>
          <w:rtl/>
        </w:rPr>
        <w:t xml:space="preserve"> ويتنازل عن مصالحه الشخصية من أجل الحق</w:t>
      </w:r>
      <w:r w:rsidR="00A36796" w:rsidRPr="006571AC">
        <w:rPr>
          <w:rtl/>
        </w:rPr>
        <w:t>ّ</w:t>
      </w:r>
      <w:r w:rsidRPr="006571AC">
        <w:rPr>
          <w:rtl/>
        </w:rPr>
        <w:t xml:space="preserve"> والصدق والعدالة</w:t>
      </w:r>
      <w:r w:rsidR="00A36796" w:rsidRPr="006571AC">
        <w:rPr>
          <w:rtl/>
        </w:rPr>
        <w:t>.</w:t>
      </w:r>
      <w:r w:rsidRPr="006571AC">
        <w:rPr>
          <w:rtl/>
        </w:rPr>
        <w:t xml:space="preserve"> وعلى أي</w:t>
      </w:r>
      <w:r w:rsidR="00A36796" w:rsidRPr="006571AC">
        <w:rPr>
          <w:rtl/>
        </w:rPr>
        <w:t>ّ</w:t>
      </w:r>
      <w:r w:rsidRPr="006571AC">
        <w:rPr>
          <w:rtl/>
        </w:rPr>
        <w:t xml:space="preserve"> أساس</w:t>
      </w:r>
      <w:r w:rsidR="00A36796" w:rsidRPr="006571AC">
        <w:rPr>
          <w:rtl/>
        </w:rPr>
        <w:t>ٍ</w:t>
      </w:r>
      <w:r w:rsidRPr="006571AC">
        <w:rPr>
          <w:rtl/>
        </w:rPr>
        <w:t xml:space="preserve"> نبني الأخلاق حتى تجاهد الذات</w:t>
      </w:r>
      <w:r w:rsidR="00A36796" w:rsidRPr="006571AC">
        <w:rPr>
          <w:rtl/>
        </w:rPr>
        <w:t>،</w:t>
      </w:r>
      <w:r w:rsidRPr="006571AC">
        <w:rPr>
          <w:rtl/>
        </w:rPr>
        <w:t xml:space="preserve"> وتكون في نفس الوقت منطقي</w:t>
      </w:r>
      <w:r w:rsidR="00A36796" w:rsidRPr="006571AC">
        <w:rPr>
          <w:rtl/>
        </w:rPr>
        <w:t>ّ</w:t>
      </w:r>
      <w:r w:rsidRPr="006571AC">
        <w:rPr>
          <w:rtl/>
        </w:rPr>
        <w:t>ة</w:t>
      </w:r>
      <w:r w:rsidR="00A36796" w:rsidRPr="006571AC">
        <w:rPr>
          <w:rtl/>
        </w:rPr>
        <w:t>ً،</w:t>
      </w:r>
      <w:r w:rsidRPr="006571AC">
        <w:rPr>
          <w:rtl/>
        </w:rPr>
        <w:t xml:space="preserve"> وتدعمها خلفي</w:t>
      </w:r>
      <w:r w:rsidR="00A36796" w:rsidRPr="006571AC">
        <w:rPr>
          <w:rtl/>
        </w:rPr>
        <w:t>ّ</w:t>
      </w:r>
      <w:r w:rsidRPr="006571AC">
        <w:rPr>
          <w:rtl/>
        </w:rPr>
        <w:t>ة</w:t>
      </w:r>
      <w:r w:rsidR="00A36796" w:rsidRPr="006571AC">
        <w:rPr>
          <w:rtl/>
        </w:rPr>
        <w:t>،</w:t>
      </w:r>
      <w:r w:rsidRPr="006571AC">
        <w:rPr>
          <w:rtl/>
        </w:rPr>
        <w:t xml:space="preserve"> ولها رصيد</w:t>
      </w:r>
      <w:r w:rsidR="00A36796" w:rsidRPr="006571AC">
        <w:rPr>
          <w:rtl/>
        </w:rPr>
        <w:t>ٌ،</w:t>
      </w:r>
      <w:r w:rsidRPr="006571AC">
        <w:rPr>
          <w:rtl/>
        </w:rPr>
        <w:t xml:space="preserve"> لا أنها فارغة من غير محتوى؟ </w:t>
      </w:r>
    </w:p>
    <w:p w:rsidR="0001386F" w:rsidRPr="006571AC" w:rsidRDefault="0001386F" w:rsidP="006C5D28">
      <w:pPr>
        <w:rPr>
          <w:rtl/>
        </w:rPr>
      </w:pPr>
      <w:r w:rsidRPr="006571AC">
        <w:rPr>
          <w:rtl/>
        </w:rPr>
        <w:t>وقبل إجابته ع</w:t>
      </w:r>
      <w:r w:rsidR="00A36796" w:rsidRPr="006571AC">
        <w:rPr>
          <w:rtl/>
        </w:rPr>
        <w:t>ن</w:t>
      </w:r>
      <w:r w:rsidRPr="006571AC">
        <w:rPr>
          <w:rtl/>
        </w:rPr>
        <w:t xml:space="preserve"> هذا السؤال، يعرض الشهيد مرتضى مطه</w:t>
      </w:r>
      <w:r w:rsidR="00A36796" w:rsidRPr="006571AC">
        <w:rPr>
          <w:rtl/>
        </w:rPr>
        <w:t>َّ</w:t>
      </w:r>
      <w:r w:rsidRPr="006571AC">
        <w:rPr>
          <w:rtl/>
        </w:rPr>
        <w:t>ري لون</w:t>
      </w:r>
      <w:r w:rsidR="00A36796" w:rsidRPr="006571AC">
        <w:rPr>
          <w:rtl/>
        </w:rPr>
        <w:t>ي</w:t>
      </w:r>
      <w:r w:rsidRPr="006571AC">
        <w:rPr>
          <w:rtl/>
        </w:rPr>
        <w:t>ن من الأخلاق</w:t>
      </w:r>
      <w:r w:rsidR="00A36796" w:rsidRPr="006571AC">
        <w:rPr>
          <w:rtl/>
        </w:rPr>
        <w:t>؛</w:t>
      </w:r>
      <w:r w:rsidRPr="006571AC">
        <w:rPr>
          <w:rtl/>
        </w:rPr>
        <w:t xml:space="preserve"> حيث ينقسم الذين يقترحون الأخلاق إلى طائفتين: </w:t>
      </w:r>
    </w:p>
    <w:p w:rsidR="0001386F" w:rsidRPr="006571AC" w:rsidRDefault="0001386F" w:rsidP="006C5D28">
      <w:pPr>
        <w:rPr>
          <w:rtl/>
        </w:rPr>
      </w:pPr>
      <w:r w:rsidRPr="006571AC">
        <w:rPr>
          <w:b/>
          <w:bCs/>
          <w:rtl/>
        </w:rPr>
        <w:t>الأولى</w:t>
      </w:r>
      <w:r w:rsidRPr="006571AC">
        <w:rPr>
          <w:rtl/>
        </w:rPr>
        <w:t>: تقيم أخلاقها على أساس حب</w:t>
      </w:r>
      <w:r w:rsidR="00722D90" w:rsidRPr="006571AC">
        <w:rPr>
          <w:rtl/>
        </w:rPr>
        <w:t>ّ</w:t>
      </w:r>
      <w:r w:rsidRPr="006571AC">
        <w:rPr>
          <w:rtl/>
        </w:rPr>
        <w:t xml:space="preserve"> الذات وعبادتها وتقويتها، وعلى التنازع في البقاء والدفاع عن الذات. فالذات هي أساس أخلاقهم، ومثالها</w:t>
      </w:r>
      <w:r w:rsidR="00722D90" w:rsidRPr="006571AC">
        <w:rPr>
          <w:rtl/>
        </w:rPr>
        <w:t>:</w:t>
      </w:r>
      <w:r w:rsidRPr="006571AC">
        <w:rPr>
          <w:rtl/>
        </w:rPr>
        <w:t xml:space="preserve"> الأخلاق التي يقترحها </w:t>
      </w:r>
      <w:r w:rsidRPr="006571AC">
        <w:rPr>
          <w:rFonts w:hint="eastAsia"/>
          <w:sz w:val="24"/>
          <w:szCs w:val="24"/>
          <w:rtl/>
        </w:rPr>
        <w:t>«</w:t>
      </w:r>
      <w:r w:rsidRPr="006571AC">
        <w:rPr>
          <w:rtl/>
        </w:rPr>
        <w:t>نيتشه</w:t>
      </w:r>
      <w:r w:rsidRPr="006571AC">
        <w:rPr>
          <w:rFonts w:hint="eastAsia"/>
          <w:sz w:val="24"/>
          <w:szCs w:val="24"/>
          <w:rtl/>
        </w:rPr>
        <w:t>»</w:t>
      </w:r>
      <w:r w:rsidR="00722D90" w:rsidRPr="006571AC">
        <w:rPr>
          <w:rtl/>
        </w:rPr>
        <w:t>؛</w:t>
      </w:r>
      <w:r w:rsidRPr="006571AC">
        <w:rPr>
          <w:rtl/>
        </w:rPr>
        <w:t xml:space="preserve"> وكذا الأخلاق الماركسية، فهي لا تتعد</w:t>
      </w:r>
      <w:r w:rsidR="00722D90" w:rsidRPr="006571AC">
        <w:rPr>
          <w:rtl/>
        </w:rPr>
        <w:t>ّ</w:t>
      </w:r>
      <w:r w:rsidRPr="006571AC">
        <w:rPr>
          <w:rtl/>
        </w:rPr>
        <w:t xml:space="preserve">ى المصالح الشخصية. </w:t>
      </w:r>
    </w:p>
    <w:p w:rsidR="0001386F" w:rsidRPr="006571AC" w:rsidRDefault="0001386F" w:rsidP="006C5D28">
      <w:pPr>
        <w:rPr>
          <w:rtl/>
        </w:rPr>
      </w:pPr>
      <w:r w:rsidRPr="006571AC">
        <w:rPr>
          <w:b/>
          <w:bCs/>
          <w:rtl/>
        </w:rPr>
        <w:t>الثانية</w:t>
      </w:r>
      <w:r w:rsidRPr="006571AC">
        <w:rPr>
          <w:rtl/>
        </w:rPr>
        <w:t>: وهي تشمل غير أولئك، فهم يدعون إلى الفضائل الأخلاقية</w:t>
      </w:r>
      <w:r w:rsidR="00722D90" w:rsidRPr="006571AC">
        <w:rPr>
          <w:rtl/>
        </w:rPr>
        <w:t>،</w:t>
      </w:r>
      <w:r w:rsidRPr="006571AC">
        <w:rPr>
          <w:rtl/>
        </w:rPr>
        <w:t xml:space="preserve"> كالعدالة </w:t>
      </w:r>
      <w:r w:rsidRPr="006571AC">
        <w:rPr>
          <w:rtl/>
        </w:rPr>
        <w:lastRenderedPageBreak/>
        <w:t>والصدق والاستقامة والأمانة، وفي كل</w:t>
      </w:r>
      <w:r w:rsidR="00722D90" w:rsidRPr="006571AC">
        <w:rPr>
          <w:rtl/>
        </w:rPr>
        <w:t>ّ</w:t>
      </w:r>
      <w:r w:rsidRPr="006571AC">
        <w:rPr>
          <w:rtl/>
        </w:rPr>
        <w:t xml:space="preserve"> واحد</w:t>
      </w:r>
      <w:r w:rsidR="00722D90" w:rsidRPr="006571AC">
        <w:rPr>
          <w:rtl/>
        </w:rPr>
        <w:t>ٍ</w:t>
      </w:r>
      <w:r w:rsidRPr="006571AC">
        <w:rPr>
          <w:rtl/>
        </w:rPr>
        <w:t xml:space="preserve"> من هذه الأمور يوجد لون</w:t>
      </w:r>
      <w:r w:rsidR="00722D90" w:rsidRPr="006571AC">
        <w:rPr>
          <w:rtl/>
        </w:rPr>
        <w:t>ٌ</w:t>
      </w:r>
      <w:r w:rsidRPr="006571AC">
        <w:rPr>
          <w:rtl/>
        </w:rPr>
        <w:t xml:space="preserve"> من ألوان الجهاد ضد</w:t>
      </w:r>
      <w:r w:rsidR="00722D90" w:rsidRPr="006571AC">
        <w:rPr>
          <w:rtl/>
        </w:rPr>
        <w:t>ّ</w:t>
      </w:r>
      <w:r w:rsidRPr="006571AC">
        <w:rPr>
          <w:rtl/>
        </w:rPr>
        <w:t xml:space="preserve"> الذات. فهم لا يضح</w:t>
      </w:r>
      <w:r w:rsidR="00722D90" w:rsidRPr="006571AC">
        <w:rPr>
          <w:rtl/>
        </w:rPr>
        <w:t>ّ</w:t>
      </w:r>
      <w:r w:rsidRPr="006571AC">
        <w:rPr>
          <w:rtl/>
        </w:rPr>
        <w:t>ون بالأخلاق حتى لو تضر</w:t>
      </w:r>
      <w:r w:rsidR="00722D90" w:rsidRPr="006571AC">
        <w:rPr>
          <w:rtl/>
        </w:rPr>
        <w:t>َّ</w:t>
      </w:r>
      <w:r w:rsidRPr="006571AC">
        <w:rPr>
          <w:rtl/>
        </w:rPr>
        <w:t>ر</w:t>
      </w:r>
      <w:r w:rsidR="00722D90" w:rsidRPr="006571AC">
        <w:rPr>
          <w:rtl/>
        </w:rPr>
        <w:t>َ</w:t>
      </w:r>
      <w:r w:rsidRPr="006571AC">
        <w:rPr>
          <w:rtl/>
        </w:rPr>
        <w:t>ت</w:t>
      </w:r>
      <w:r w:rsidR="00722D90" w:rsidRPr="006571AC">
        <w:rPr>
          <w:rtl/>
        </w:rPr>
        <w:t>ْ</w:t>
      </w:r>
      <w:r w:rsidRPr="006571AC">
        <w:rPr>
          <w:rtl/>
        </w:rPr>
        <w:t xml:space="preserve"> مصالحهم</w:t>
      </w:r>
      <w:r w:rsidRPr="006571AC">
        <w:rPr>
          <w:vertAlign w:val="superscript"/>
          <w:rtl/>
        </w:rPr>
        <w:t>(</w:t>
      </w:r>
      <w:r w:rsidRPr="006571AC">
        <w:rPr>
          <w:rStyle w:val="ac"/>
          <w:rFonts w:ascii="Arial" w:hAnsi="Arial"/>
          <w:sz w:val="27"/>
          <w:rtl/>
        </w:rPr>
        <w:endnoteReference w:id="719"/>
      </w:r>
      <w:r w:rsidRPr="006571AC">
        <w:rPr>
          <w:vertAlign w:val="superscript"/>
          <w:rtl/>
        </w:rPr>
        <w:t>)</w:t>
      </w:r>
      <w:r w:rsidRPr="006571AC">
        <w:rPr>
          <w:rtl/>
        </w:rPr>
        <w:t xml:space="preserve">. </w:t>
      </w:r>
    </w:p>
    <w:p w:rsidR="0001386F" w:rsidRPr="006571AC" w:rsidRDefault="0001386F" w:rsidP="006C5D28">
      <w:pPr>
        <w:rPr>
          <w:rtl/>
        </w:rPr>
      </w:pPr>
      <w:r w:rsidRPr="006571AC">
        <w:rPr>
          <w:rtl/>
        </w:rPr>
        <w:t>والفعل الأخلاقي عادة</w:t>
      </w:r>
      <w:r w:rsidR="00722D90" w:rsidRPr="006571AC">
        <w:rPr>
          <w:rtl/>
        </w:rPr>
        <w:t>ً</w:t>
      </w:r>
      <w:r w:rsidRPr="006571AC">
        <w:rPr>
          <w:rtl/>
        </w:rPr>
        <w:t xml:space="preserve"> يرتبط بموضوع الذات المتعل</w:t>
      </w:r>
      <w:r w:rsidR="00722D90" w:rsidRPr="006571AC">
        <w:rPr>
          <w:rtl/>
        </w:rPr>
        <w:t>ِّ</w:t>
      </w:r>
      <w:r w:rsidRPr="006571AC">
        <w:rPr>
          <w:rtl/>
        </w:rPr>
        <w:t>قة بالألم والسعادة، حيث يبحث الإنسان د</w:t>
      </w:r>
      <w:r w:rsidR="004B6AEE" w:rsidRPr="006571AC">
        <w:rPr>
          <w:rFonts w:hint="cs"/>
          <w:rtl/>
        </w:rPr>
        <w:t>َ</w:t>
      </w:r>
      <w:r w:rsidRPr="006571AC">
        <w:rPr>
          <w:rtl/>
        </w:rPr>
        <w:t>و</w:t>
      </w:r>
      <w:r w:rsidR="004B6AEE" w:rsidRPr="006571AC">
        <w:rPr>
          <w:rFonts w:hint="cs"/>
          <w:rtl/>
        </w:rPr>
        <w:t>ْ</w:t>
      </w:r>
      <w:r w:rsidRPr="006571AC">
        <w:rPr>
          <w:rtl/>
        </w:rPr>
        <w:t>ما</w:t>
      </w:r>
      <w:r w:rsidR="00722D90" w:rsidRPr="006571AC">
        <w:rPr>
          <w:rtl/>
        </w:rPr>
        <w:t>ً</w:t>
      </w:r>
      <w:r w:rsidRPr="006571AC">
        <w:rPr>
          <w:rtl/>
        </w:rPr>
        <w:t xml:space="preserve"> عن السعادة</w:t>
      </w:r>
      <w:r w:rsidR="00722D90" w:rsidRPr="006571AC">
        <w:rPr>
          <w:rtl/>
        </w:rPr>
        <w:t>،</w:t>
      </w:r>
      <w:r w:rsidRPr="006571AC">
        <w:rPr>
          <w:rtl/>
        </w:rPr>
        <w:t xml:space="preserve"> ويبتعد عن الألم</w:t>
      </w:r>
      <w:r w:rsidR="00722D90" w:rsidRPr="006571AC">
        <w:rPr>
          <w:rtl/>
        </w:rPr>
        <w:t>.</w:t>
      </w:r>
      <w:r w:rsidRPr="006571AC">
        <w:rPr>
          <w:rtl/>
        </w:rPr>
        <w:t xml:space="preserve"> وتبقى الإشكالية تتعل</w:t>
      </w:r>
      <w:r w:rsidR="00722D90" w:rsidRPr="006571AC">
        <w:rPr>
          <w:rtl/>
        </w:rPr>
        <w:t>َّ</w:t>
      </w:r>
      <w:r w:rsidRPr="006571AC">
        <w:rPr>
          <w:rtl/>
        </w:rPr>
        <w:t>ق بأساس التقي</w:t>
      </w:r>
      <w:r w:rsidR="00722D90" w:rsidRPr="006571AC">
        <w:rPr>
          <w:rtl/>
        </w:rPr>
        <w:t>ُّ</w:t>
      </w:r>
      <w:r w:rsidRPr="006571AC">
        <w:rPr>
          <w:rtl/>
        </w:rPr>
        <w:t>د بالفضائل الأخلاقية، أي هي إشكالي</w:t>
      </w:r>
      <w:r w:rsidR="004B6AEE" w:rsidRPr="006571AC">
        <w:rPr>
          <w:rFonts w:hint="cs"/>
          <w:rtl/>
        </w:rPr>
        <w:t>ّ</w:t>
      </w:r>
      <w:r w:rsidRPr="006571AC">
        <w:rPr>
          <w:rtl/>
        </w:rPr>
        <w:t>ة</w:t>
      </w:r>
      <w:r w:rsidR="00722D90" w:rsidRPr="006571AC">
        <w:rPr>
          <w:rtl/>
        </w:rPr>
        <w:t>ٌ</w:t>
      </w:r>
      <w:r w:rsidRPr="006571AC">
        <w:rPr>
          <w:rtl/>
        </w:rPr>
        <w:t xml:space="preserve"> معيارية، وبنيوية. وهنا يبدأ الشهيد مطه</w:t>
      </w:r>
      <w:r w:rsidR="00722D90" w:rsidRPr="006571AC">
        <w:rPr>
          <w:rtl/>
        </w:rPr>
        <w:t>َّ</w:t>
      </w:r>
      <w:r w:rsidRPr="006571AC">
        <w:rPr>
          <w:rtl/>
        </w:rPr>
        <w:t>ري بالإجابة عن سؤاله السابق حول كيفية جعل الإنسان مقي</w:t>
      </w:r>
      <w:r w:rsidR="00722D90" w:rsidRPr="006571AC">
        <w:rPr>
          <w:rtl/>
        </w:rPr>
        <w:t>ّ</w:t>
      </w:r>
      <w:r w:rsidRPr="006571AC">
        <w:rPr>
          <w:rtl/>
        </w:rPr>
        <w:t>دا</w:t>
      </w:r>
      <w:r w:rsidR="00722D90" w:rsidRPr="006571AC">
        <w:rPr>
          <w:rtl/>
        </w:rPr>
        <w:t>ً</w:t>
      </w:r>
      <w:r w:rsidRPr="006571AC">
        <w:rPr>
          <w:rtl/>
        </w:rPr>
        <w:t xml:space="preserve"> بالفضائل الأخلاقية عند مواجهته لمصالحه الشخصية. ولكن</w:t>
      </w:r>
      <w:r w:rsidR="00722D90" w:rsidRPr="006571AC">
        <w:rPr>
          <w:rtl/>
        </w:rPr>
        <w:t>ْ</w:t>
      </w:r>
      <w:r w:rsidRPr="006571AC">
        <w:rPr>
          <w:rtl/>
        </w:rPr>
        <w:t xml:space="preserve"> سنعر</w:t>
      </w:r>
      <w:r w:rsidR="00722D90" w:rsidRPr="006571AC">
        <w:rPr>
          <w:rtl/>
        </w:rPr>
        <w:t>ِّ</w:t>
      </w:r>
      <w:r w:rsidRPr="006571AC">
        <w:rPr>
          <w:rtl/>
        </w:rPr>
        <w:t>ج قليلا</w:t>
      </w:r>
      <w:r w:rsidR="00722D90" w:rsidRPr="006571AC">
        <w:rPr>
          <w:rtl/>
        </w:rPr>
        <w:t>ً</w:t>
      </w:r>
      <w:r w:rsidRPr="006571AC">
        <w:rPr>
          <w:rtl/>
        </w:rPr>
        <w:t xml:space="preserve"> عل</w:t>
      </w:r>
      <w:r w:rsidR="00722D90" w:rsidRPr="006571AC">
        <w:rPr>
          <w:rtl/>
        </w:rPr>
        <w:t>ى</w:t>
      </w:r>
      <w:r w:rsidRPr="006571AC">
        <w:rPr>
          <w:rtl/>
        </w:rPr>
        <w:t xml:space="preserve"> وجهة نظر حول مفهوم السعادة. </w:t>
      </w:r>
    </w:p>
    <w:p w:rsidR="001069FB" w:rsidRPr="006571AC" w:rsidRDefault="001069FB" w:rsidP="001069FB">
      <w:pPr>
        <w:spacing w:line="420" w:lineRule="exact"/>
        <w:rPr>
          <w:rFonts w:ascii="Arabic Typesetting" w:hAnsi="Arabic Typesetting"/>
          <w:sz w:val="27"/>
          <w:rtl/>
          <w:lang w:bidi="ar-LB"/>
        </w:rPr>
      </w:pPr>
    </w:p>
    <w:p w:rsidR="0001386F" w:rsidRPr="006571AC" w:rsidRDefault="0001386F" w:rsidP="000B6711">
      <w:pPr>
        <w:pStyle w:val="31"/>
        <w:rPr>
          <w:color w:val="auto"/>
        </w:rPr>
      </w:pPr>
      <w:bookmarkStart w:id="427" w:name="_Toc114164835"/>
      <w:r w:rsidRPr="006571AC">
        <w:rPr>
          <w:color w:val="auto"/>
          <w:rtl/>
        </w:rPr>
        <w:t>مفهوم السعادة الحقيقي</w:t>
      </w:r>
      <w:r w:rsidR="00124D2B" w:rsidRPr="006571AC">
        <w:rPr>
          <w:rFonts w:hint="cs"/>
          <w:color w:val="auto"/>
          <w:rtl/>
        </w:rPr>
        <w:t>ّ</w:t>
      </w:r>
      <w:bookmarkEnd w:id="427"/>
      <w:r w:rsidRPr="006571AC">
        <w:rPr>
          <w:color w:val="auto"/>
          <w:rtl/>
        </w:rPr>
        <w:t xml:space="preserve"> </w:t>
      </w:r>
    </w:p>
    <w:p w:rsidR="0001386F" w:rsidRPr="006571AC" w:rsidRDefault="004B6AEE" w:rsidP="00D259C9">
      <w:pPr>
        <w:autoSpaceDE w:val="0"/>
        <w:autoSpaceDN w:val="0"/>
        <w:adjustRightInd w:val="0"/>
        <w:rPr>
          <w:rFonts w:ascii="Arial" w:hAnsi="Arial"/>
          <w:sz w:val="27"/>
        </w:rPr>
      </w:pPr>
      <w:r w:rsidRPr="006571AC">
        <w:rPr>
          <w:rFonts w:ascii="Arial" w:hAnsi="Arial"/>
          <w:sz w:val="27"/>
          <w:rtl/>
        </w:rPr>
        <w:t>ي</w:t>
      </w:r>
      <w:r w:rsidR="00722D90" w:rsidRPr="006571AC">
        <w:rPr>
          <w:rFonts w:ascii="Arial" w:hAnsi="Arial" w:hint="cs"/>
          <w:sz w:val="27"/>
          <w:rtl/>
        </w:rPr>
        <w:t>كشف</w:t>
      </w:r>
      <w:r w:rsidR="00722D90" w:rsidRPr="006571AC">
        <w:rPr>
          <w:rFonts w:ascii="Arial" w:hAnsi="Arial"/>
          <w:sz w:val="27"/>
          <w:rtl/>
        </w:rPr>
        <w:t xml:space="preserve"> البروف</w:t>
      </w:r>
      <w:r w:rsidR="00722D90" w:rsidRPr="006571AC">
        <w:rPr>
          <w:rFonts w:ascii="Arial" w:hAnsi="Arial" w:hint="cs"/>
          <w:sz w:val="27"/>
          <w:rtl/>
        </w:rPr>
        <w:t>ِ</w:t>
      </w:r>
      <w:r w:rsidR="00722D90" w:rsidRPr="006571AC">
        <w:rPr>
          <w:rFonts w:ascii="Arial" w:hAnsi="Arial"/>
          <w:sz w:val="27"/>
          <w:rtl/>
        </w:rPr>
        <w:t>سور في علم الن</w:t>
      </w:r>
      <w:r w:rsidR="0001386F" w:rsidRPr="006571AC">
        <w:rPr>
          <w:rFonts w:ascii="Arial" w:hAnsi="Arial"/>
          <w:sz w:val="27"/>
          <w:rtl/>
        </w:rPr>
        <w:t>فس مارتن سليغمان</w:t>
      </w:r>
      <w:r w:rsidR="00722D90" w:rsidRPr="006571AC">
        <w:rPr>
          <w:rFonts w:ascii="Arial" w:hAnsi="Arial"/>
          <w:sz w:val="27"/>
          <w:rtl/>
        </w:rPr>
        <w:t>(</w:t>
      </w:r>
      <w:r w:rsidR="00722D90" w:rsidRPr="006571AC">
        <w:rPr>
          <w:rFonts w:ascii="Arial" w:hAnsi="Arial" w:hint="cs"/>
          <w:sz w:val="27"/>
          <w:rtl/>
        </w:rPr>
        <w:t>19</w:t>
      </w:r>
      <w:r w:rsidR="00722D90" w:rsidRPr="006571AC">
        <w:rPr>
          <w:rFonts w:ascii="Arial" w:hAnsi="Arial"/>
          <w:sz w:val="27"/>
          <w:rtl/>
        </w:rPr>
        <w:t>4</w:t>
      </w:r>
      <w:r w:rsidR="00722D90" w:rsidRPr="006571AC">
        <w:rPr>
          <w:rFonts w:ascii="Arial" w:hAnsi="Arial" w:hint="cs"/>
          <w:sz w:val="27"/>
          <w:rtl/>
        </w:rPr>
        <w:t>2</w:t>
      </w:r>
      <w:r w:rsidR="00722D90" w:rsidRPr="006571AC">
        <w:rPr>
          <w:rFonts w:ascii="Arial" w:hAnsi="Arial"/>
          <w:sz w:val="27"/>
          <w:rtl/>
        </w:rPr>
        <w:t>م)</w:t>
      </w:r>
      <w:r w:rsidR="0001386F" w:rsidRPr="006571AC">
        <w:rPr>
          <w:rFonts w:ascii="Arial" w:hAnsi="Arial"/>
          <w:sz w:val="27"/>
          <w:vertAlign w:val="superscript"/>
          <w:rtl/>
        </w:rPr>
        <w:t>(</w:t>
      </w:r>
      <w:r w:rsidR="0001386F" w:rsidRPr="006571AC">
        <w:rPr>
          <w:rStyle w:val="ac"/>
          <w:rFonts w:ascii="Arial" w:hAnsi="Arial"/>
          <w:sz w:val="27"/>
          <w:rtl/>
        </w:rPr>
        <w:endnoteReference w:id="720"/>
      </w:r>
      <w:r w:rsidR="0001386F" w:rsidRPr="006571AC">
        <w:rPr>
          <w:rFonts w:ascii="Arial" w:hAnsi="Arial"/>
          <w:sz w:val="27"/>
          <w:vertAlign w:val="superscript"/>
          <w:rtl/>
        </w:rPr>
        <w:t>)</w:t>
      </w:r>
      <w:r w:rsidR="0001386F" w:rsidRPr="006571AC">
        <w:rPr>
          <w:rFonts w:ascii="Arial" w:hAnsi="Arial"/>
          <w:sz w:val="27"/>
          <w:rtl/>
        </w:rPr>
        <w:t>، من خلال</w:t>
      </w:r>
      <w:r w:rsidR="00722D90" w:rsidRPr="006571AC">
        <w:rPr>
          <w:rFonts w:ascii="Arial" w:hAnsi="Arial"/>
          <w:sz w:val="27"/>
          <w:rtl/>
        </w:rPr>
        <w:t xml:space="preserve"> نتاجه مع فريقه البحثيّ حول الس</w:t>
      </w:r>
      <w:r w:rsidR="0001386F" w:rsidRPr="006571AC">
        <w:rPr>
          <w:rFonts w:ascii="Arial" w:hAnsi="Arial"/>
          <w:sz w:val="27"/>
          <w:rtl/>
        </w:rPr>
        <w:t>عادة، ع</w:t>
      </w:r>
      <w:r w:rsidR="0001386F" w:rsidRPr="006571AC">
        <w:rPr>
          <w:rFonts w:ascii="Arial" w:hAnsi="Arial" w:hint="cs"/>
          <w:sz w:val="27"/>
          <w:rtl/>
        </w:rPr>
        <w:t>ن 3 أنواع</w:t>
      </w:r>
      <w:r w:rsidR="0001386F" w:rsidRPr="006571AC">
        <w:rPr>
          <w:rFonts w:ascii="Arial" w:hAnsi="Arial"/>
          <w:sz w:val="27"/>
          <w:rtl/>
        </w:rPr>
        <w:t xml:space="preserve"> </w:t>
      </w:r>
      <w:r w:rsidR="0001386F" w:rsidRPr="006571AC">
        <w:rPr>
          <w:rFonts w:ascii="Arial" w:hAnsi="Arial" w:hint="cs"/>
          <w:sz w:val="27"/>
          <w:rtl/>
        </w:rPr>
        <w:t>من</w:t>
      </w:r>
      <w:r w:rsidR="0001386F" w:rsidRPr="006571AC">
        <w:rPr>
          <w:rFonts w:ascii="Arial" w:hAnsi="Arial"/>
          <w:sz w:val="27"/>
          <w:rtl/>
        </w:rPr>
        <w:t xml:space="preserve"> </w:t>
      </w:r>
      <w:r w:rsidR="0001386F" w:rsidRPr="006571AC">
        <w:rPr>
          <w:rFonts w:ascii="Arial" w:hAnsi="Arial" w:hint="cs"/>
          <w:sz w:val="27"/>
          <w:rtl/>
        </w:rPr>
        <w:t>الحي</w:t>
      </w:r>
      <w:r w:rsidR="0001386F" w:rsidRPr="006571AC">
        <w:rPr>
          <w:rFonts w:ascii="Arial" w:hAnsi="Arial"/>
          <w:sz w:val="27"/>
          <w:rtl/>
        </w:rPr>
        <w:t xml:space="preserve">اة </w:t>
      </w:r>
      <w:r w:rsidR="0001386F" w:rsidRPr="006571AC">
        <w:rPr>
          <w:rFonts w:hint="eastAsia"/>
          <w:sz w:val="24"/>
          <w:szCs w:val="24"/>
          <w:rtl/>
        </w:rPr>
        <w:t>«</w:t>
      </w:r>
      <w:r w:rsidR="0001386F" w:rsidRPr="006571AC">
        <w:rPr>
          <w:rFonts w:ascii="Arial" w:hAnsi="Arial"/>
          <w:sz w:val="27"/>
          <w:rtl/>
        </w:rPr>
        <w:t>السعيدة</w:t>
      </w:r>
      <w:r w:rsidR="0001386F" w:rsidRPr="006571AC">
        <w:rPr>
          <w:rFonts w:hint="eastAsia"/>
          <w:sz w:val="24"/>
          <w:szCs w:val="24"/>
          <w:rtl/>
        </w:rPr>
        <w:t>»</w:t>
      </w:r>
      <w:r w:rsidR="0001386F" w:rsidRPr="006571AC">
        <w:rPr>
          <w:rFonts w:ascii="Arial" w:hAnsi="Arial"/>
          <w:sz w:val="27"/>
          <w:rtl/>
        </w:rPr>
        <w:t xml:space="preserve">: </w:t>
      </w:r>
    </w:p>
    <w:p w:rsidR="0001386F" w:rsidRPr="006571AC" w:rsidRDefault="0001386F" w:rsidP="00D259C9">
      <w:pPr>
        <w:autoSpaceDE w:val="0"/>
        <w:autoSpaceDN w:val="0"/>
        <w:adjustRightInd w:val="0"/>
        <w:rPr>
          <w:rFonts w:ascii="Arial" w:hAnsi="Arial"/>
          <w:sz w:val="27"/>
        </w:rPr>
      </w:pPr>
      <w:r w:rsidRPr="006571AC">
        <w:rPr>
          <w:rFonts w:ascii="Arial" w:hAnsi="Arial" w:hint="cs"/>
          <w:b/>
          <w:bCs/>
          <w:sz w:val="27"/>
          <w:rtl/>
        </w:rPr>
        <w:t>1</w:t>
      </w:r>
      <w:r w:rsidRPr="006571AC">
        <w:rPr>
          <w:rFonts w:ascii="Arial" w:hAnsi="Arial"/>
          <w:b/>
          <w:bCs/>
          <w:sz w:val="27"/>
          <w:rtl/>
        </w:rPr>
        <w:t xml:space="preserve">ـ الحياة الممتعة </w:t>
      </w:r>
      <w:r w:rsidRPr="006571AC">
        <w:rPr>
          <w:rFonts w:asciiTheme="majorBidi" w:hAnsiTheme="majorBidi" w:cstheme="majorBidi"/>
          <w:b/>
          <w:bCs/>
          <w:sz w:val="22"/>
          <w:szCs w:val="22"/>
        </w:rPr>
        <w:t>pleasant life</w:t>
      </w:r>
      <w:r w:rsidR="00722D90" w:rsidRPr="006571AC">
        <w:rPr>
          <w:rFonts w:ascii="Arial" w:hAnsi="Arial"/>
          <w:sz w:val="27"/>
          <w:rtl/>
        </w:rPr>
        <w:t>: هذا الن</w:t>
      </w:r>
      <w:r w:rsidRPr="006571AC">
        <w:rPr>
          <w:rFonts w:ascii="Arial" w:hAnsi="Arial"/>
          <w:sz w:val="27"/>
          <w:rtl/>
        </w:rPr>
        <w:t xml:space="preserve">وع هو المليء </w:t>
      </w:r>
      <w:r w:rsidR="00722D90" w:rsidRPr="006571AC">
        <w:rPr>
          <w:rFonts w:ascii="Arial" w:hAnsi="Arial"/>
          <w:sz w:val="27"/>
          <w:rtl/>
        </w:rPr>
        <w:t>بالأحداث والخصائص المُمتعة (الشهرة، المال، الحفلات، السهرات، الن</w:t>
      </w:r>
      <w:r w:rsidR="00722D90" w:rsidRPr="006571AC">
        <w:rPr>
          <w:rFonts w:ascii="Arial" w:hAnsi="Arial" w:hint="cs"/>
          <w:sz w:val="27"/>
          <w:rtl/>
        </w:rPr>
        <w:t>ُّ</w:t>
      </w:r>
      <w:r w:rsidRPr="006571AC">
        <w:rPr>
          <w:rFonts w:ascii="Arial" w:hAnsi="Arial"/>
          <w:sz w:val="27"/>
          <w:rtl/>
        </w:rPr>
        <w:t>ز</w:t>
      </w:r>
      <w:r w:rsidR="00722D90" w:rsidRPr="006571AC">
        <w:rPr>
          <w:rFonts w:ascii="Arial" w:hAnsi="Arial" w:hint="cs"/>
          <w:sz w:val="27"/>
          <w:rtl/>
        </w:rPr>
        <w:t>ُ</w:t>
      </w:r>
      <w:r w:rsidRPr="006571AC">
        <w:rPr>
          <w:rFonts w:ascii="Arial" w:hAnsi="Arial"/>
          <w:sz w:val="27"/>
          <w:rtl/>
        </w:rPr>
        <w:t>هات</w:t>
      </w:r>
      <w:r w:rsidR="00722D90" w:rsidRPr="006571AC">
        <w:rPr>
          <w:rFonts w:ascii="Arial" w:hAnsi="Arial" w:hint="cs"/>
          <w:sz w:val="27"/>
          <w:rtl/>
        </w:rPr>
        <w:t>...،</w:t>
      </w:r>
      <w:r w:rsidR="00A069E4" w:rsidRPr="006571AC">
        <w:rPr>
          <w:rFonts w:ascii="Arial" w:hAnsi="Arial" w:hint="cs"/>
          <w:sz w:val="27"/>
          <w:rtl/>
        </w:rPr>
        <w:t xml:space="preserve"> </w:t>
      </w:r>
      <w:r w:rsidR="000D4602" w:rsidRPr="006571AC">
        <w:rPr>
          <w:rFonts w:ascii="Arial" w:hAnsi="Arial"/>
          <w:sz w:val="27"/>
          <w:rtl/>
        </w:rPr>
        <w:t xml:space="preserve">إلخ). </w:t>
      </w:r>
      <w:r w:rsidR="000D4602" w:rsidRPr="006571AC">
        <w:rPr>
          <w:rFonts w:ascii="Arial" w:hAnsi="Arial" w:hint="cs"/>
          <w:sz w:val="27"/>
          <w:rtl/>
        </w:rPr>
        <w:t>و</w:t>
      </w:r>
      <w:r w:rsidR="000D4602" w:rsidRPr="006571AC">
        <w:rPr>
          <w:rFonts w:ascii="Arial" w:hAnsi="Arial"/>
          <w:sz w:val="27"/>
          <w:rtl/>
        </w:rPr>
        <w:t>مشكلة هذا النوع أنّ الس</w:t>
      </w:r>
      <w:r w:rsidRPr="006571AC">
        <w:rPr>
          <w:rFonts w:ascii="Arial" w:hAnsi="Arial"/>
          <w:sz w:val="27"/>
          <w:rtl/>
        </w:rPr>
        <w:t>عادة فيه ليست مُستدامة</w:t>
      </w:r>
      <w:r w:rsidR="000D4602" w:rsidRPr="006571AC">
        <w:rPr>
          <w:rFonts w:ascii="Arial" w:hAnsi="Arial" w:hint="cs"/>
          <w:sz w:val="27"/>
          <w:rtl/>
        </w:rPr>
        <w:t>ً</w:t>
      </w:r>
      <w:r w:rsidRPr="006571AC">
        <w:rPr>
          <w:rFonts w:ascii="Arial" w:hAnsi="Arial"/>
          <w:sz w:val="27"/>
          <w:rtl/>
        </w:rPr>
        <w:t>،</w:t>
      </w:r>
      <w:r w:rsidR="000D4602" w:rsidRPr="006571AC">
        <w:rPr>
          <w:rFonts w:ascii="Arial" w:hAnsi="Arial"/>
          <w:sz w:val="27"/>
          <w:rtl/>
        </w:rPr>
        <w:t xml:space="preserve"> وأنّ الش</w:t>
      </w:r>
      <w:r w:rsidRPr="006571AC">
        <w:rPr>
          <w:rFonts w:ascii="Arial" w:hAnsi="Arial"/>
          <w:sz w:val="27"/>
          <w:rtl/>
        </w:rPr>
        <w:t>خص يعتاد عليها</w:t>
      </w:r>
      <w:r w:rsidR="000D4602" w:rsidRPr="006571AC">
        <w:rPr>
          <w:rFonts w:ascii="Arial" w:hAnsi="Arial" w:hint="cs"/>
          <w:sz w:val="27"/>
          <w:rtl/>
        </w:rPr>
        <w:t>،</w:t>
      </w:r>
      <w:r w:rsidRPr="006571AC">
        <w:rPr>
          <w:rFonts w:ascii="Arial" w:hAnsi="Arial"/>
          <w:sz w:val="27"/>
          <w:rtl/>
        </w:rPr>
        <w:t xml:space="preserve"> فيحتاج </w:t>
      </w:r>
      <w:r w:rsidR="000D4602" w:rsidRPr="006571AC">
        <w:rPr>
          <w:rFonts w:ascii="Arial" w:hAnsi="Arial" w:hint="cs"/>
          <w:sz w:val="27"/>
          <w:rtl/>
        </w:rPr>
        <w:t xml:space="preserve">إلى </w:t>
      </w:r>
      <w:r w:rsidRPr="006571AC">
        <w:rPr>
          <w:rFonts w:ascii="Arial" w:hAnsi="Arial"/>
          <w:sz w:val="27"/>
          <w:rtl/>
        </w:rPr>
        <w:t>جرعات</w:t>
      </w:r>
      <w:r w:rsidR="000D4602" w:rsidRPr="006571AC">
        <w:rPr>
          <w:rFonts w:ascii="Arial" w:hAnsi="Arial" w:hint="cs"/>
          <w:sz w:val="27"/>
          <w:rtl/>
        </w:rPr>
        <w:t>ٍ</w:t>
      </w:r>
      <w:r w:rsidRPr="006571AC">
        <w:rPr>
          <w:rFonts w:ascii="Arial" w:hAnsi="Arial"/>
          <w:sz w:val="27"/>
          <w:rtl/>
        </w:rPr>
        <w:t xml:space="preserve"> أكبر مع الوقت. </w:t>
      </w:r>
    </w:p>
    <w:p w:rsidR="0001386F" w:rsidRPr="006571AC" w:rsidRDefault="0001386F" w:rsidP="00A069E4">
      <w:pPr>
        <w:autoSpaceDE w:val="0"/>
        <w:autoSpaceDN w:val="0"/>
        <w:adjustRightInd w:val="0"/>
        <w:rPr>
          <w:rFonts w:ascii="Arial" w:hAnsi="Arial"/>
          <w:sz w:val="27"/>
        </w:rPr>
      </w:pPr>
      <w:r w:rsidRPr="006571AC">
        <w:rPr>
          <w:rFonts w:ascii="Arial" w:hAnsi="Arial"/>
          <w:sz w:val="27"/>
          <w:rtl/>
        </w:rPr>
        <w:t>فمثلا</w:t>
      </w:r>
      <w:r w:rsidRPr="006571AC">
        <w:rPr>
          <w:rFonts w:ascii="Arial" w:hAnsi="Arial" w:hint="cs"/>
          <w:sz w:val="27"/>
          <w:rtl/>
        </w:rPr>
        <w:t>ً</w:t>
      </w:r>
      <w:r w:rsidR="000D4602" w:rsidRPr="006571AC">
        <w:rPr>
          <w:rFonts w:ascii="Arial" w:hAnsi="Arial" w:hint="cs"/>
          <w:sz w:val="27"/>
          <w:rtl/>
        </w:rPr>
        <w:t>:</w:t>
      </w:r>
      <w:r w:rsidRPr="006571AC">
        <w:rPr>
          <w:rFonts w:ascii="Arial" w:hAnsi="Arial"/>
          <w:sz w:val="27"/>
          <w:rtl/>
        </w:rPr>
        <w:t xml:space="preserve"> هذا النوع من السعادة</w:t>
      </w:r>
      <w:r w:rsidR="000D4602" w:rsidRPr="006571AC">
        <w:rPr>
          <w:rFonts w:ascii="Arial" w:hAnsi="Arial" w:hint="cs"/>
          <w:sz w:val="27"/>
          <w:rtl/>
        </w:rPr>
        <w:t>،</w:t>
      </w:r>
      <w:r w:rsidRPr="006571AC">
        <w:rPr>
          <w:rFonts w:ascii="Arial" w:hAnsi="Arial"/>
          <w:sz w:val="27"/>
          <w:rtl/>
        </w:rPr>
        <w:t xml:space="preserve"> الذي ترو</w:t>
      </w:r>
      <w:r w:rsidR="000D4602" w:rsidRPr="006571AC">
        <w:rPr>
          <w:rFonts w:ascii="Arial" w:hAnsi="Arial" w:hint="cs"/>
          <w:sz w:val="27"/>
          <w:rtl/>
        </w:rPr>
        <w:t>ِّ</w:t>
      </w:r>
      <w:r w:rsidRPr="006571AC">
        <w:rPr>
          <w:rFonts w:ascii="Arial" w:hAnsi="Arial"/>
          <w:sz w:val="27"/>
          <w:rtl/>
        </w:rPr>
        <w:t>ج له الحكومات من خلال ال</w:t>
      </w:r>
      <w:r w:rsidR="000D4602" w:rsidRPr="006571AC">
        <w:rPr>
          <w:rFonts w:ascii="Arial" w:hAnsi="Arial" w:hint="cs"/>
          <w:sz w:val="27"/>
          <w:rtl/>
        </w:rPr>
        <w:t>إ</w:t>
      </w:r>
      <w:r w:rsidRPr="006571AC">
        <w:rPr>
          <w:rFonts w:ascii="Arial" w:hAnsi="Arial"/>
          <w:sz w:val="27"/>
          <w:rtl/>
        </w:rPr>
        <w:t>علام، يغرق الشعوب في رفاهية</w:t>
      </w:r>
      <w:r w:rsidR="000D4602" w:rsidRPr="006571AC">
        <w:rPr>
          <w:rFonts w:ascii="Arial" w:hAnsi="Arial" w:hint="cs"/>
          <w:sz w:val="27"/>
          <w:rtl/>
        </w:rPr>
        <w:t>ٍ</w:t>
      </w:r>
      <w:r w:rsidRPr="006571AC">
        <w:rPr>
          <w:rFonts w:ascii="Arial" w:hAnsi="Arial"/>
          <w:sz w:val="27"/>
          <w:rtl/>
        </w:rPr>
        <w:t xml:space="preserve"> مصطنعة، تبعده عن مفهوم الرفاهية الحقيقي، لذلك ينشغل الفرد والمجتمع في العمل </w:t>
      </w:r>
      <w:r w:rsidR="000D4602" w:rsidRPr="006571AC">
        <w:rPr>
          <w:rFonts w:ascii="Arial" w:hAnsi="Arial" w:hint="cs"/>
          <w:sz w:val="27"/>
          <w:rtl/>
        </w:rPr>
        <w:t>ب</w:t>
      </w:r>
      <w:r w:rsidRPr="006571AC">
        <w:rPr>
          <w:rFonts w:ascii="Arial" w:hAnsi="Arial"/>
          <w:sz w:val="27"/>
          <w:rtl/>
        </w:rPr>
        <w:t>كاف</w:t>
      </w:r>
      <w:r w:rsidR="000D4602" w:rsidRPr="006571AC">
        <w:rPr>
          <w:rFonts w:ascii="Arial" w:hAnsi="Arial" w:hint="cs"/>
          <w:sz w:val="27"/>
          <w:rtl/>
        </w:rPr>
        <w:t>ّ</w:t>
      </w:r>
      <w:r w:rsidRPr="006571AC">
        <w:rPr>
          <w:rFonts w:ascii="Arial" w:hAnsi="Arial"/>
          <w:sz w:val="27"/>
          <w:rtl/>
        </w:rPr>
        <w:t>ة أشكاله، وجمع المال بكاف</w:t>
      </w:r>
      <w:r w:rsidR="000D4602" w:rsidRPr="006571AC">
        <w:rPr>
          <w:rFonts w:ascii="Arial" w:hAnsi="Arial" w:hint="cs"/>
          <w:sz w:val="27"/>
          <w:rtl/>
        </w:rPr>
        <w:t>ّ</w:t>
      </w:r>
      <w:r w:rsidRPr="006571AC">
        <w:rPr>
          <w:rFonts w:ascii="Arial" w:hAnsi="Arial"/>
          <w:sz w:val="27"/>
          <w:rtl/>
        </w:rPr>
        <w:t>ة الس</w:t>
      </w:r>
      <w:r w:rsidR="00A069E4" w:rsidRPr="006571AC">
        <w:rPr>
          <w:rFonts w:ascii="Arial" w:hAnsi="Arial" w:hint="cs"/>
          <w:sz w:val="27"/>
          <w:rtl/>
        </w:rPr>
        <w:t>ُّ</w:t>
      </w:r>
      <w:r w:rsidRPr="006571AC">
        <w:rPr>
          <w:rFonts w:ascii="Arial" w:hAnsi="Arial"/>
          <w:sz w:val="27"/>
          <w:rtl/>
        </w:rPr>
        <w:t>ب</w:t>
      </w:r>
      <w:r w:rsidR="00A069E4" w:rsidRPr="006571AC">
        <w:rPr>
          <w:rFonts w:ascii="Arial" w:hAnsi="Arial" w:hint="cs"/>
          <w:sz w:val="27"/>
          <w:rtl/>
        </w:rPr>
        <w:t>ُ</w:t>
      </w:r>
      <w:r w:rsidRPr="006571AC">
        <w:rPr>
          <w:rFonts w:ascii="Arial" w:hAnsi="Arial"/>
          <w:sz w:val="27"/>
          <w:rtl/>
        </w:rPr>
        <w:t>ل</w:t>
      </w:r>
      <w:r w:rsidR="000D4602" w:rsidRPr="006571AC">
        <w:rPr>
          <w:rFonts w:ascii="Arial" w:hAnsi="Arial" w:hint="cs"/>
          <w:sz w:val="27"/>
          <w:rtl/>
        </w:rPr>
        <w:t>؛</w:t>
      </w:r>
      <w:r w:rsidRPr="006571AC">
        <w:rPr>
          <w:rFonts w:ascii="Arial" w:hAnsi="Arial"/>
          <w:sz w:val="27"/>
          <w:rtl/>
        </w:rPr>
        <w:t xml:space="preserve"> لتحقيق مفهوم الحياة الممتعة. وهنا لا يسعى الفرد</w:t>
      </w:r>
      <w:r w:rsidR="000D4602" w:rsidRPr="006571AC">
        <w:rPr>
          <w:rFonts w:ascii="Arial" w:hAnsi="Arial" w:hint="cs"/>
          <w:sz w:val="27"/>
          <w:rtl/>
        </w:rPr>
        <w:t>،</w:t>
      </w:r>
      <w:r w:rsidRPr="006571AC">
        <w:rPr>
          <w:rFonts w:ascii="Arial" w:hAnsi="Arial"/>
          <w:sz w:val="27"/>
          <w:rtl/>
        </w:rPr>
        <w:t xml:space="preserve"> ولا الن</w:t>
      </w:r>
      <w:r w:rsidR="00A069E4" w:rsidRPr="006571AC">
        <w:rPr>
          <w:rFonts w:ascii="Arial" w:hAnsi="Arial" w:hint="cs"/>
          <w:sz w:val="27"/>
          <w:rtl/>
        </w:rPr>
        <w:t>ُّ</w:t>
      </w:r>
      <w:r w:rsidRPr="006571AC">
        <w:rPr>
          <w:rFonts w:ascii="Arial" w:hAnsi="Arial"/>
          <w:sz w:val="27"/>
          <w:rtl/>
        </w:rPr>
        <w:t>خ</w:t>
      </w:r>
      <w:r w:rsidR="00A069E4" w:rsidRPr="006571AC">
        <w:rPr>
          <w:rFonts w:ascii="Arial" w:hAnsi="Arial" w:hint="cs"/>
          <w:sz w:val="27"/>
          <w:rtl/>
        </w:rPr>
        <w:t>َ</w:t>
      </w:r>
      <w:r w:rsidRPr="006571AC">
        <w:rPr>
          <w:rFonts w:ascii="Arial" w:hAnsi="Arial"/>
          <w:sz w:val="27"/>
          <w:rtl/>
        </w:rPr>
        <w:t>ب، وفق هذا الفهم للحياة لرفع ظلم</w:t>
      </w:r>
      <w:r w:rsidR="000D4602" w:rsidRPr="006571AC">
        <w:rPr>
          <w:rFonts w:ascii="Arial" w:hAnsi="Arial" w:hint="cs"/>
          <w:sz w:val="27"/>
          <w:rtl/>
        </w:rPr>
        <w:t>ٍ،</w:t>
      </w:r>
      <w:r w:rsidR="00A069E4" w:rsidRPr="006571AC">
        <w:rPr>
          <w:rFonts w:ascii="Arial" w:hAnsi="Arial"/>
          <w:sz w:val="27"/>
          <w:rtl/>
        </w:rPr>
        <w:t xml:space="preserve"> ولا استبدا</w:t>
      </w:r>
      <w:r w:rsidR="00A069E4" w:rsidRPr="006571AC">
        <w:rPr>
          <w:rFonts w:ascii="Arial" w:hAnsi="Arial" w:hint="cs"/>
          <w:sz w:val="27"/>
          <w:rtl/>
        </w:rPr>
        <w:t>دٍ</w:t>
      </w:r>
      <w:r w:rsidRPr="006571AC">
        <w:rPr>
          <w:rFonts w:ascii="Arial" w:hAnsi="Arial"/>
          <w:sz w:val="27"/>
          <w:rtl/>
        </w:rPr>
        <w:t>، ولا تحقيق عدالة</w:t>
      </w:r>
      <w:r w:rsidR="000D4602" w:rsidRPr="006571AC">
        <w:rPr>
          <w:rFonts w:ascii="Arial" w:hAnsi="Arial" w:hint="cs"/>
          <w:sz w:val="27"/>
          <w:rtl/>
        </w:rPr>
        <w:t>ٍ؛</w:t>
      </w:r>
      <w:r w:rsidRPr="006571AC">
        <w:rPr>
          <w:rFonts w:ascii="Arial" w:hAnsi="Arial"/>
          <w:sz w:val="27"/>
          <w:rtl/>
        </w:rPr>
        <w:t xml:space="preserve"> لأن الهدف هنا ذاتي</w:t>
      </w:r>
      <w:r w:rsidR="000D4602" w:rsidRPr="006571AC">
        <w:rPr>
          <w:rFonts w:ascii="Arial" w:hAnsi="Arial" w:hint="cs"/>
          <w:sz w:val="27"/>
          <w:rtl/>
        </w:rPr>
        <w:t>ّ</w:t>
      </w:r>
      <w:r w:rsidRPr="006571AC">
        <w:rPr>
          <w:rFonts w:ascii="Arial" w:hAnsi="Arial"/>
          <w:sz w:val="27"/>
          <w:rtl/>
        </w:rPr>
        <w:t xml:space="preserve"> أنوي ماد</w:t>
      </w:r>
      <w:r w:rsidR="000D4602" w:rsidRPr="006571AC">
        <w:rPr>
          <w:rFonts w:ascii="Arial" w:hAnsi="Arial" w:hint="cs"/>
          <w:sz w:val="27"/>
          <w:rtl/>
        </w:rPr>
        <w:t>ّ</w:t>
      </w:r>
      <w:r w:rsidRPr="006571AC">
        <w:rPr>
          <w:rFonts w:ascii="Arial" w:hAnsi="Arial"/>
          <w:sz w:val="27"/>
          <w:rtl/>
        </w:rPr>
        <w:t>ي</w:t>
      </w:r>
      <w:r w:rsidR="000D4602" w:rsidRPr="006571AC">
        <w:rPr>
          <w:rFonts w:ascii="Arial" w:hAnsi="Arial" w:hint="cs"/>
          <w:sz w:val="27"/>
          <w:rtl/>
        </w:rPr>
        <w:t>،</w:t>
      </w:r>
      <w:r w:rsidRPr="006571AC">
        <w:rPr>
          <w:rFonts w:ascii="Arial" w:hAnsi="Arial"/>
          <w:sz w:val="27"/>
          <w:rtl/>
        </w:rPr>
        <w:t xml:space="preserve"> غير</w:t>
      </w:r>
      <w:r w:rsidR="000D4602" w:rsidRPr="006571AC">
        <w:rPr>
          <w:rFonts w:ascii="Arial" w:hAnsi="Arial" w:hint="cs"/>
          <w:sz w:val="27"/>
          <w:rtl/>
        </w:rPr>
        <w:t>ُ</w:t>
      </w:r>
      <w:r w:rsidRPr="006571AC">
        <w:rPr>
          <w:rFonts w:ascii="Arial" w:hAnsi="Arial"/>
          <w:sz w:val="27"/>
          <w:rtl/>
        </w:rPr>
        <w:t xml:space="preserve"> ناظر</w:t>
      </w:r>
      <w:r w:rsidR="000D4602" w:rsidRPr="006571AC">
        <w:rPr>
          <w:rFonts w:ascii="Arial" w:hAnsi="Arial" w:hint="cs"/>
          <w:sz w:val="27"/>
          <w:rtl/>
        </w:rPr>
        <w:t>ٍ</w:t>
      </w:r>
      <w:r w:rsidRPr="006571AC">
        <w:rPr>
          <w:rFonts w:ascii="Arial" w:hAnsi="Arial"/>
          <w:sz w:val="27"/>
          <w:rtl/>
        </w:rPr>
        <w:t xml:space="preserve"> </w:t>
      </w:r>
      <w:r w:rsidR="00A069E4" w:rsidRPr="006571AC">
        <w:rPr>
          <w:rFonts w:ascii="Arial" w:hAnsi="Arial" w:hint="cs"/>
          <w:sz w:val="27"/>
          <w:rtl/>
        </w:rPr>
        <w:t>إلى ا</w:t>
      </w:r>
      <w:r w:rsidRPr="006571AC">
        <w:rPr>
          <w:rFonts w:ascii="Arial" w:hAnsi="Arial"/>
          <w:sz w:val="27"/>
          <w:rtl/>
        </w:rPr>
        <w:t xml:space="preserve">لأهداف بعيدة المدى، بل </w:t>
      </w:r>
      <w:r w:rsidR="000D4602" w:rsidRPr="006571AC">
        <w:rPr>
          <w:rFonts w:ascii="Arial" w:hAnsi="Arial" w:hint="cs"/>
          <w:sz w:val="27"/>
          <w:rtl/>
        </w:rPr>
        <w:t xml:space="preserve">إلى </w:t>
      </w:r>
      <w:r w:rsidRPr="006571AC">
        <w:rPr>
          <w:rFonts w:ascii="Arial" w:hAnsi="Arial"/>
          <w:sz w:val="27"/>
          <w:rtl/>
        </w:rPr>
        <w:t>أهداف</w:t>
      </w:r>
      <w:r w:rsidR="000D4602" w:rsidRPr="006571AC">
        <w:rPr>
          <w:rFonts w:ascii="Arial" w:hAnsi="Arial" w:hint="cs"/>
          <w:sz w:val="27"/>
          <w:rtl/>
        </w:rPr>
        <w:t>ٍ</w:t>
      </w:r>
      <w:r w:rsidRPr="006571AC">
        <w:rPr>
          <w:rFonts w:ascii="Arial" w:hAnsi="Arial"/>
          <w:sz w:val="27"/>
          <w:rtl/>
        </w:rPr>
        <w:t xml:space="preserve"> قريبة المدى ذاتية ضي</w:t>
      </w:r>
      <w:r w:rsidR="000D4602" w:rsidRPr="006571AC">
        <w:rPr>
          <w:rFonts w:ascii="Arial" w:hAnsi="Arial" w:hint="cs"/>
          <w:sz w:val="27"/>
          <w:rtl/>
        </w:rPr>
        <w:t>ِّ</w:t>
      </w:r>
      <w:r w:rsidRPr="006571AC">
        <w:rPr>
          <w:rFonts w:ascii="Arial" w:hAnsi="Arial"/>
          <w:sz w:val="27"/>
          <w:rtl/>
        </w:rPr>
        <w:t xml:space="preserve">قة الأفق والحدود. </w:t>
      </w:r>
    </w:p>
    <w:p w:rsidR="0001386F" w:rsidRPr="006571AC" w:rsidRDefault="0001386F" w:rsidP="00D259C9">
      <w:pPr>
        <w:autoSpaceDE w:val="0"/>
        <w:autoSpaceDN w:val="0"/>
        <w:adjustRightInd w:val="0"/>
        <w:rPr>
          <w:rFonts w:ascii="Arial" w:hAnsi="Arial"/>
          <w:sz w:val="27"/>
        </w:rPr>
      </w:pPr>
      <w:r w:rsidRPr="006571AC">
        <w:rPr>
          <w:rFonts w:ascii="Arial" w:hAnsi="Arial" w:hint="cs"/>
          <w:b/>
          <w:bCs/>
          <w:sz w:val="27"/>
          <w:rtl/>
        </w:rPr>
        <w:t>2</w:t>
      </w:r>
      <w:r w:rsidRPr="006571AC">
        <w:rPr>
          <w:rFonts w:ascii="Arial" w:hAnsi="Arial"/>
          <w:b/>
          <w:bCs/>
          <w:sz w:val="27"/>
          <w:rtl/>
        </w:rPr>
        <w:t xml:space="preserve">ـ </w:t>
      </w:r>
      <w:r w:rsidRPr="006571AC">
        <w:rPr>
          <w:rFonts w:ascii="Arial" w:hAnsi="Arial" w:hint="cs"/>
          <w:b/>
          <w:bCs/>
          <w:sz w:val="27"/>
          <w:rtl/>
        </w:rPr>
        <w:t>الحياة</w:t>
      </w:r>
      <w:r w:rsidRPr="006571AC">
        <w:rPr>
          <w:rFonts w:ascii="Arial" w:hAnsi="Arial"/>
          <w:b/>
          <w:bCs/>
          <w:sz w:val="27"/>
          <w:rtl/>
        </w:rPr>
        <w:t xml:space="preserve"> </w:t>
      </w:r>
      <w:r w:rsidRPr="006571AC">
        <w:rPr>
          <w:rFonts w:ascii="Arial" w:hAnsi="Arial" w:hint="cs"/>
          <w:b/>
          <w:bCs/>
          <w:sz w:val="27"/>
          <w:rtl/>
        </w:rPr>
        <w:t>الجيّدة</w:t>
      </w:r>
      <w:r w:rsidRPr="006571AC">
        <w:rPr>
          <w:rFonts w:ascii="Arial" w:hAnsi="Arial"/>
          <w:b/>
          <w:bCs/>
          <w:sz w:val="27"/>
          <w:rtl/>
        </w:rPr>
        <w:t xml:space="preserve"> </w:t>
      </w:r>
      <w:r w:rsidRPr="006571AC">
        <w:rPr>
          <w:rFonts w:asciiTheme="majorBidi" w:hAnsiTheme="majorBidi" w:cstheme="majorBidi"/>
          <w:b/>
          <w:bCs/>
          <w:sz w:val="22"/>
          <w:szCs w:val="22"/>
        </w:rPr>
        <w:t>good life</w:t>
      </w:r>
      <w:r w:rsidR="000D4602" w:rsidRPr="006571AC">
        <w:rPr>
          <w:rFonts w:ascii="Arial" w:hAnsi="Arial"/>
          <w:sz w:val="27"/>
          <w:rtl/>
        </w:rPr>
        <w:t>: هذا النوع هو الغنيّ بالأنشطة التي تستحوذ على كامل تركيز الش</w:t>
      </w:r>
      <w:r w:rsidRPr="006571AC">
        <w:rPr>
          <w:rFonts w:ascii="Arial" w:hAnsi="Arial"/>
          <w:sz w:val="27"/>
          <w:rtl/>
        </w:rPr>
        <w:t>خص</w:t>
      </w:r>
      <w:r w:rsidR="000D4602" w:rsidRPr="006571AC">
        <w:rPr>
          <w:rFonts w:ascii="Arial" w:hAnsi="Arial" w:hint="cs"/>
          <w:sz w:val="27"/>
          <w:rtl/>
        </w:rPr>
        <w:t>،</w:t>
      </w:r>
      <w:r w:rsidR="000D4602" w:rsidRPr="006571AC">
        <w:rPr>
          <w:rFonts w:ascii="Arial" w:hAnsi="Arial"/>
          <w:sz w:val="27"/>
          <w:rtl/>
        </w:rPr>
        <w:t xml:space="preserve"> فيتوقّف الز</w:t>
      </w:r>
      <w:r w:rsidRPr="006571AC">
        <w:rPr>
          <w:rFonts w:ascii="Arial" w:hAnsi="Arial"/>
          <w:sz w:val="27"/>
          <w:rtl/>
        </w:rPr>
        <w:t>من لديه عندما يبدأ فيها (كالأشخاص المهووسين بالبرم</w:t>
      </w:r>
      <w:r w:rsidR="000D4602" w:rsidRPr="006571AC">
        <w:rPr>
          <w:rFonts w:ascii="Arial" w:hAnsi="Arial"/>
          <w:sz w:val="27"/>
          <w:rtl/>
        </w:rPr>
        <w:t>جة أو الكتابة أو القراءة أو الر</w:t>
      </w:r>
      <w:r w:rsidRPr="006571AC">
        <w:rPr>
          <w:rFonts w:ascii="Arial" w:hAnsi="Arial"/>
          <w:sz w:val="27"/>
          <w:rtl/>
        </w:rPr>
        <w:t>سم</w:t>
      </w:r>
      <w:r w:rsidR="000D4602" w:rsidRPr="006571AC">
        <w:rPr>
          <w:rFonts w:ascii="Arial" w:hAnsi="Arial" w:hint="cs"/>
          <w:sz w:val="27"/>
          <w:rtl/>
        </w:rPr>
        <w:t>...،</w:t>
      </w:r>
      <w:r w:rsidR="004C7F35" w:rsidRPr="006571AC">
        <w:rPr>
          <w:rFonts w:ascii="Arial" w:hAnsi="Arial" w:hint="cs"/>
          <w:sz w:val="27"/>
          <w:rtl/>
        </w:rPr>
        <w:t xml:space="preserve"> </w:t>
      </w:r>
      <w:r w:rsidRPr="006571AC">
        <w:rPr>
          <w:rFonts w:ascii="Arial" w:hAnsi="Arial"/>
          <w:sz w:val="27"/>
          <w:rtl/>
        </w:rPr>
        <w:t xml:space="preserve">إلخ) </w:t>
      </w:r>
    </w:p>
    <w:p w:rsidR="0001386F" w:rsidRPr="006571AC" w:rsidRDefault="0001386F" w:rsidP="00A069E4">
      <w:pPr>
        <w:autoSpaceDE w:val="0"/>
        <w:autoSpaceDN w:val="0"/>
        <w:adjustRightInd w:val="0"/>
        <w:rPr>
          <w:rFonts w:ascii="Arial" w:hAnsi="Arial"/>
          <w:sz w:val="27"/>
        </w:rPr>
      </w:pPr>
      <w:r w:rsidRPr="006571AC">
        <w:rPr>
          <w:rFonts w:ascii="Arial" w:hAnsi="Arial"/>
          <w:sz w:val="27"/>
          <w:rtl/>
        </w:rPr>
        <w:t>وهنا تكمن فردي</w:t>
      </w:r>
      <w:r w:rsidR="000D4602" w:rsidRPr="006571AC">
        <w:rPr>
          <w:rFonts w:ascii="Arial" w:hAnsi="Arial" w:hint="cs"/>
          <w:sz w:val="27"/>
          <w:rtl/>
        </w:rPr>
        <w:t>ّ</w:t>
      </w:r>
      <w:r w:rsidRPr="006571AC">
        <w:rPr>
          <w:rFonts w:ascii="Arial" w:hAnsi="Arial"/>
          <w:sz w:val="27"/>
          <w:rtl/>
        </w:rPr>
        <w:t>ة في ب</w:t>
      </w:r>
      <w:r w:rsidR="000D4602" w:rsidRPr="006571AC">
        <w:rPr>
          <w:rFonts w:ascii="Arial" w:hAnsi="Arial" w:hint="cs"/>
          <w:sz w:val="27"/>
          <w:rtl/>
        </w:rPr>
        <w:t>ُ</w:t>
      </w:r>
      <w:r w:rsidRPr="006571AC">
        <w:rPr>
          <w:rFonts w:ascii="Arial" w:hAnsi="Arial"/>
          <w:sz w:val="27"/>
          <w:rtl/>
        </w:rPr>
        <w:t>ع</w:t>
      </w:r>
      <w:r w:rsidR="000D4602" w:rsidRPr="006571AC">
        <w:rPr>
          <w:rFonts w:ascii="Arial" w:hAnsi="Arial" w:hint="cs"/>
          <w:sz w:val="27"/>
          <w:rtl/>
        </w:rPr>
        <w:t>ْ</w:t>
      </w:r>
      <w:r w:rsidRPr="006571AC">
        <w:rPr>
          <w:rFonts w:ascii="Arial" w:hAnsi="Arial"/>
          <w:sz w:val="27"/>
          <w:rtl/>
        </w:rPr>
        <w:t>د</w:t>
      </w:r>
      <w:r w:rsidR="000D4602" w:rsidRPr="006571AC">
        <w:rPr>
          <w:rFonts w:ascii="Arial" w:hAnsi="Arial" w:hint="cs"/>
          <w:sz w:val="27"/>
          <w:rtl/>
        </w:rPr>
        <w:t>ٍ</w:t>
      </w:r>
      <w:r w:rsidRPr="006571AC">
        <w:rPr>
          <w:rFonts w:ascii="Arial" w:hAnsi="Arial"/>
          <w:sz w:val="27"/>
          <w:rtl/>
        </w:rPr>
        <w:t xml:space="preserve"> فردي معنوي، يحق</w:t>
      </w:r>
      <w:r w:rsidR="000D4602" w:rsidRPr="006571AC">
        <w:rPr>
          <w:rFonts w:ascii="Arial" w:hAnsi="Arial" w:hint="cs"/>
          <w:sz w:val="27"/>
          <w:rtl/>
        </w:rPr>
        <w:t>ِّ</w:t>
      </w:r>
      <w:r w:rsidRPr="006571AC">
        <w:rPr>
          <w:rFonts w:ascii="Arial" w:hAnsi="Arial"/>
          <w:sz w:val="27"/>
          <w:rtl/>
        </w:rPr>
        <w:t>ق لذ</w:t>
      </w:r>
      <w:r w:rsidR="000D4602" w:rsidRPr="006571AC">
        <w:rPr>
          <w:rFonts w:ascii="Arial" w:hAnsi="Arial" w:hint="cs"/>
          <w:sz w:val="27"/>
          <w:rtl/>
        </w:rPr>
        <w:t>ّ</w:t>
      </w:r>
      <w:r w:rsidRPr="006571AC">
        <w:rPr>
          <w:rFonts w:ascii="Arial" w:hAnsi="Arial"/>
          <w:sz w:val="27"/>
          <w:rtl/>
        </w:rPr>
        <w:t>ة</w:t>
      </w:r>
      <w:r w:rsidR="000D4602" w:rsidRPr="006571AC">
        <w:rPr>
          <w:rFonts w:ascii="Arial" w:hAnsi="Arial" w:hint="cs"/>
          <w:sz w:val="27"/>
          <w:rtl/>
        </w:rPr>
        <w:t>ً</w:t>
      </w:r>
      <w:r w:rsidRPr="006571AC">
        <w:rPr>
          <w:rFonts w:ascii="Arial" w:hAnsi="Arial"/>
          <w:sz w:val="27"/>
          <w:rtl/>
        </w:rPr>
        <w:t xml:space="preserve"> معنوية ذاتية، لكنها </w:t>
      </w:r>
      <w:r w:rsidRPr="006571AC">
        <w:rPr>
          <w:rFonts w:ascii="Arial" w:hAnsi="Arial"/>
          <w:sz w:val="27"/>
          <w:rtl/>
        </w:rPr>
        <w:lastRenderedPageBreak/>
        <w:t>تعطيلية تخديرية، قد توقعه في و</w:t>
      </w:r>
      <w:r w:rsidR="000D4602" w:rsidRPr="006571AC">
        <w:rPr>
          <w:rFonts w:ascii="Arial" w:hAnsi="Arial" w:hint="cs"/>
          <w:sz w:val="27"/>
          <w:rtl/>
        </w:rPr>
        <w:t>َ</w:t>
      </w:r>
      <w:r w:rsidRPr="006571AC">
        <w:rPr>
          <w:rFonts w:ascii="Arial" w:hAnsi="Arial"/>
          <w:sz w:val="27"/>
          <w:rtl/>
        </w:rPr>
        <w:t>ه</w:t>
      </w:r>
      <w:r w:rsidR="000D4602" w:rsidRPr="006571AC">
        <w:rPr>
          <w:rFonts w:ascii="Arial" w:hAnsi="Arial" w:hint="cs"/>
          <w:sz w:val="27"/>
          <w:rtl/>
        </w:rPr>
        <w:t>ْ</w:t>
      </w:r>
      <w:r w:rsidRPr="006571AC">
        <w:rPr>
          <w:rFonts w:ascii="Arial" w:hAnsi="Arial"/>
          <w:sz w:val="27"/>
          <w:rtl/>
        </w:rPr>
        <w:t>م ال</w:t>
      </w:r>
      <w:r w:rsidR="00A069E4" w:rsidRPr="006571AC">
        <w:rPr>
          <w:rFonts w:ascii="Arial" w:hAnsi="Arial" w:hint="cs"/>
          <w:sz w:val="27"/>
          <w:rtl/>
        </w:rPr>
        <w:t>إ</w:t>
      </w:r>
      <w:r w:rsidRPr="006571AC">
        <w:rPr>
          <w:rFonts w:ascii="Arial" w:hAnsi="Arial"/>
          <w:sz w:val="27"/>
          <w:rtl/>
        </w:rPr>
        <w:t>نجاز، وو</w:t>
      </w:r>
      <w:r w:rsidR="000D4602" w:rsidRPr="006571AC">
        <w:rPr>
          <w:rFonts w:ascii="Arial" w:hAnsi="Arial" w:hint="cs"/>
          <w:sz w:val="27"/>
          <w:rtl/>
        </w:rPr>
        <w:t>َ</w:t>
      </w:r>
      <w:r w:rsidRPr="006571AC">
        <w:rPr>
          <w:rFonts w:ascii="Arial" w:hAnsi="Arial"/>
          <w:sz w:val="27"/>
          <w:rtl/>
        </w:rPr>
        <w:t>ه</w:t>
      </w:r>
      <w:r w:rsidR="000D4602" w:rsidRPr="006571AC">
        <w:rPr>
          <w:rFonts w:ascii="Arial" w:hAnsi="Arial" w:hint="cs"/>
          <w:sz w:val="27"/>
          <w:rtl/>
        </w:rPr>
        <w:t>ْ</w:t>
      </w:r>
      <w:r w:rsidRPr="006571AC">
        <w:rPr>
          <w:rFonts w:ascii="Arial" w:hAnsi="Arial"/>
          <w:sz w:val="27"/>
          <w:rtl/>
        </w:rPr>
        <w:t>م الهدفية، وو</w:t>
      </w:r>
      <w:r w:rsidR="000D4602" w:rsidRPr="006571AC">
        <w:rPr>
          <w:rFonts w:ascii="Arial" w:hAnsi="Arial" w:hint="cs"/>
          <w:sz w:val="27"/>
          <w:rtl/>
        </w:rPr>
        <w:t>َ</w:t>
      </w:r>
      <w:r w:rsidRPr="006571AC">
        <w:rPr>
          <w:rFonts w:ascii="Arial" w:hAnsi="Arial"/>
          <w:sz w:val="27"/>
          <w:rtl/>
        </w:rPr>
        <w:t>ه</w:t>
      </w:r>
      <w:r w:rsidR="000D4602" w:rsidRPr="006571AC">
        <w:rPr>
          <w:rFonts w:ascii="Arial" w:hAnsi="Arial" w:hint="cs"/>
          <w:sz w:val="27"/>
          <w:rtl/>
        </w:rPr>
        <w:t>ْ</w:t>
      </w:r>
      <w:r w:rsidRPr="006571AC">
        <w:rPr>
          <w:rFonts w:ascii="Arial" w:hAnsi="Arial"/>
          <w:sz w:val="27"/>
          <w:rtl/>
        </w:rPr>
        <w:t>م تحقيق الذات</w:t>
      </w:r>
      <w:r w:rsidR="000D4602" w:rsidRPr="006571AC">
        <w:rPr>
          <w:rFonts w:ascii="Arial" w:hAnsi="Arial" w:hint="cs"/>
          <w:sz w:val="27"/>
          <w:rtl/>
        </w:rPr>
        <w:t>.</w:t>
      </w:r>
      <w:r w:rsidRPr="006571AC">
        <w:rPr>
          <w:rFonts w:ascii="Arial" w:hAnsi="Arial"/>
          <w:sz w:val="27"/>
          <w:rtl/>
        </w:rPr>
        <w:t xml:space="preserve"> هو و</w:t>
      </w:r>
      <w:r w:rsidR="000D4602" w:rsidRPr="006571AC">
        <w:rPr>
          <w:rFonts w:ascii="Arial" w:hAnsi="Arial" w:hint="cs"/>
          <w:sz w:val="27"/>
          <w:rtl/>
        </w:rPr>
        <w:t>َ</w:t>
      </w:r>
      <w:r w:rsidRPr="006571AC">
        <w:rPr>
          <w:rFonts w:ascii="Arial" w:hAnsi="Arial"/>
          <w:sz w:val="27"/>
          <w:rtl/>
        </w:rPr>
        <w:t>ه</w:t>
      </w:r>
      <w:r w:rsidR="000D4602" w:rsidRPr="006571AC">
        <w:rPr>
          <w:rFonts w:ascii="Arial" w:hAnsi="Arial" w:hint="cs"/>
          <w:sz w:val="27"/>
          <w:rtl/>
        </w:rPr>
        <w:t>ْ</w:t>
      </w:r>
      <w:r w:rsidRPr="006571AC">
        <w:rPr>
          <w:rFonts w:ascii="Arial" w:hAnsi="Arial"/>
          <w:sz w:val="27"/>
          <w:rtl/>
        </w:rPr>
        <w:t>م</w:t>
      </w:r>
      <w:r w:rsidR="000D4602" w:rsidRPr="006571AC">
        <w:rPr>
          <w:rFonts w:ascii="Arial" w:hAnsi="Arial" w:hint="cs"/>
          <w:sz w:val="27"/>
          <w:rtl/>
        </w:rPr>
        <w:t>ٌ</w:t>
      </w:r>
      <w:r w:rsidRPr="006571AC">
        <w:rPr>
          <w:rFonts w:ascii="Arial" w:hAnsi="Arial"/>
          <w:sz w:val="27"/>
          <w:rtl/>
        </w:rPr>
        <w:t xml:space="preserve"> لأنه لا يحق</w:t>
      </w:r>
      <w:r w:rsidR="000D4602" w:rsidRPr="006571AC">
        <w:rPr>
          <w:rFonts w:ascii="Arial" w:hAnsi="Arial" w:hint="cs"/>
          <w:sz w:val="27"/>
          <w:rtl/>
        </w:rPr>
        <w:t>ِّ</w:t>
      </w:r>
      <w:r w:rsidRPr="006571AC">
        <w:rPr>
          <w:rFonts w:ascii="Arial" w:hAnsi="Arial"/>
          <w:sz w:val="27"/>
          <w:rtl/>
        </w:rPr>
        <w:t>ق تغييرا</w:t>
      </w:r>
      <w:r w:rsidR="000D4602" w:rsidRPr="006571AC">
        <w:rPr>
          <w:rFonts w:ascii="Arial" w:hAnsi="Arial" w:hint="cs"/>
          <w:sz w:val="27"/>
          <w:rtl/>
        </w:rPr>
        <w:t>ً</w:t>
      </w:r>
      <w:r w:rsidRPr="006571AC">
        <w:rPr>
          <w:rFonts w:ascii="Arial" w:hAnsi="Arial"/>
          <w:sz w:val="27"/>
          <w:rtl/>
        </w:rPr>
        <w:t xml:space="preserve"> واقعيا</w:t>
      </w:r>
      <w:r w:rsidR="000D4602" w:rsidRPr="006571AC">
        <w:rPr>
          <w:rFonts w:ascii="Arial" w:hAnsi="Arial" w:hint="cs"/>
          <w:sz w:val="27"/>
          <w:rtl/>
        </w:rPr>
        <w:t>ً</w:t>
      </w:r>
      <w:r w:rsidRPr="006571AC">
        <w:rPr>
          <w:rFonts w:ascii="Arial" w:hAnsi="Arial"/>
          <w:sz w:val="27"/>
          <w:rtl/>
        </w:rPr>
        <w:t xml:space="preserve"> للواقع المحيط الاجتماعي والفردي، لا على مستوى الوطن</w:t>
      </w:r>
      <w:r w:rsidR="009E12E4" w:rsidRPr="006571AC">
        <w:rPr>
          <w:rFonts w:ascii="Arial" w:hAnsi="Arial" w:hint="cs"/>
          <w:sz w:val="27"/>
          <w:rtl/>
        </w:rPr>
        <w:t>،</w:t>
      </w:r>
      <w:r w:rsidRPr="006571AC">
        <w:rPr>
          <w:rFonts w:ascii="Arial" w:hAnsi="Arial"/>
          <w:sz w:val="27"/>
          <w:rtl/>
        </w:rPr>
        <w:t xml:space="preserve"> ولا مستوى الشعب. لا يرفع فساد</w:t>
      </w:r>
      <w:r w:rsidR="009E12E4" w:rsidRPr="006571AC">
        <w:rPr>
          <w:rFonts w:ascii="Arial" w:hAnsi="Arial" w:hint="cs"/>
          <w:sz w:val="27"/>
          <w:rtl/>
        </w:rPr>
        <w:t>اً</w:t>
      </w:r>
      <w:r w:rsidRPr="006571AC">
        <w:rPr>
          <w:rFonts w:ascii="Arial" w:hAnsi="Arial"/>
          <w:sz w:val="27"/>
          <w:rtl/>
        </w:rPr>
        <w:t xml:space="preserve"> ولا استبداد</w:t>
      </w:r>
      <w:r w:rsidR="009E12E4" w:rsidRPr="006571AC">
        <w:rPr>
          <w:rFonts w:ascii="Arial" w:hAnsi="Arial" w:hint="cs"/>
          <w:sz w:val="27"/>
          <w:rtl/>
        </w:rPr>
        <w:t>اً</w:t>
      </w:r>
      <w:r w:rsidRPr="006571AC">
        <w:rPr>
          <w:rFonts w:ascii="Arial" w:hAnsi="Arial"/>
          <w:sz w:val="27"/>
          <w:rtl/>
        </w:rPr>
        <w:t xml:space="preserve"> ولا ظلم</w:t>
      </w:r>
      <w:r w:rsidR="009E12E4" w:rsidRPr="006571AC">
        <w:rPr>
          <w:rFonts w:ascii="Arial" w:hAnsi="Arial" w:hint="cs"/>
          <w:sz w:val="27"/>
          <w:rtl/>
        </w:rPr>
        <w:t>اً</w:t>
      </w:r>
      <w:r w:rsidRPr="006571AC">
        <w:rPr>
          <w:rFonts w:ascii="Arial" w:hAnsi="Arial"/>
          <w:sz w:val="27"/>
          <w:rtl/>
        </w:rPr>
        <w:t xml:space="preserve">. </w:t>
      </w:r>
    </w:p>
    <w:p w:rsidR="0001386F" w:rsidRPr="006571AC" w:rsidRDefault="0001386F" w:rsidP="00D259C9">
      <w:pPr>
        <w:autoSpaceDE w:val="0"/>
        <w:autoSpaceDN w:val="0"/>
        <w:adjustRightInd w:val="0"/>
        <w:rPr>
          <w:rFonts w:ascii="Arial" w:hAnsi="Arial"/>
          <w:sz w:val="27"/>
        </w:rPr>
      </w:pPr>
      <w:r w:rsidRPr="006571AC">
        <w:rPr>
          <w:rFonts w:hint="cs"/>
          <w:b/>
          <w:bCs/>
          <w:sz w:val="27"/>
          <w:rtl/>
        </w:rPr>
        <w:t>٣</w:t>
      </w:r>
      <w:r w:rsidRPr="006571AC">
        <w:rPr>
          <w:rFonts w:ascii="Arial" w:hAnsi="Arial"/>
          <w:b/>
          <w:bCs/>
          <w:sz w:val="27"/>
          <w:rtl/>
        </w:rPr>
        <w:t xml:space="preserve">ـ </w:t>
      </w:r>
      <w:r w:rsidRPr="006571AC">
        <w:rPr>
          <w:rFonts w:ascii="Arial" w:hAnsi="Arial" w:hint="cs"/>
          <w:b/>
          <w:bCs/>
          <w:sz w:val="27"/>
          <w:rtl/>
        </w:rPr>
        <w:t>الحياة</w:t>
      </w:r>
      <w:r w:rsidRPr="006571AC">
        <w:rPr>
          <w:rFonts w:ascii="Arial" w:hAnsi="Arial"/>
          <w:b/>
          <w:bCs/>
          <w:sz w:val="27"/>
          <w:rtl/>
        </w:rPr>
        <w:t xml:space="preserve"> </w:t>
      </w:r>
      <w:r w:rsidRPr="006571AC">
        <w:rPr>
          <w:rFonts w:ascii="Arial" w:hAnsi="Arial" w:hint="cs"/>
          <w:b/>
          <w:bCs/>
          <w:sz w:val="27"/>
          <w:rtl/>
        </w:rPr>
        <w:t>الغنيّة</w:t>
      </w:r>
      <w:r w:rsidRPr="006571AC">
        <w:rPr>
          <w:rFonts w:ascii="Arial" w:hAnsi="Arial"/>
          <w:b/>
          <w:bCs/>
          <w:sz w:val="27"/>
          <w:rtl/>
        </w:rPr>
        <w:t xml:space="preserve"> </w:t>
      </w:r>
      <w:r w:rsidRPr="006571AC">
        <w:rPr>
          <w:rFonts w:ascii="Arial" w:hAnsi="Arial" w:hint="cs"/>
          <w:b/>
          <w:bCs/>
          <w:sz w:val="27"/>
          <w:rtl/>
        </w:rPr>
        <w:t>بالمعنى</w:t>
      </w:r>
      <w:r w:rsidRPr="006571AC">
        <w:rPr>
          <w:rFonts w:ascii="Arial" w:hAnsi="Arial"/>
          <w:b/>
          <w:bCs/>
          <w:sz w:val="27"/>
          <w:rtl/>
        </w:rPr>
        <w:t xml:space="preserve"> </w:t>
      </w:r>
      <w:r w:rsidRPr="006571AC">
        <w:rPr>
          <w:rFonts w:asciiTheme="majorBidi" w:hAnsiTheme="majorBidi" w:cstheme="majorBidi"/>
          <w:b/>
          <w:bCs/>
          <w:sz w:val="22"/>
          <w:szCs w:val="22"/>
        </w:rPr>
        <w:t>meaningful life</w:t>
      </w:r>
      <w:r w:rsidR="009E12E4" w:rsidRPr="006571AC">
        <w:rPr>
          <w:rFonts w:ascii="Arial" w:hAnsi="Arial"/>
          <w:sz w:val="27"/>
          <w:rtl/>
        </w:rPr>
        <w:t>: هذا الن</w:t>
      </w:r>
      <w:r w:rsidRPr="006571AC">
        <w:rPr>
          <w:rFonts w:ascii="Arial" w:hAnsi="Arial"/>
          <w:sz w:val="27"/>
          <w:rtl/>
        </w:rPr>
        <w:t>وع يعتمد على أن يُسخّ</w:t>
      </w:r>
      <w:r w:rsidR="009E12E4" w:rsidRPr="006571AC">
        <w:rPr>
          <w:rFonts w:ascii="Arial" w:hAnsi="Arial" w:hint="cs"/>
          <w:sz w:val="27"/>
          <w:rtl/>
        </w:rPr>
        <w:t>ِ</w:t>
      </w:r>
      <w:r w:rsidRPr="006571AC">
        <w:rPr>
          <w:rFonts w:ascii="Arial" w:hAnsi="Arial"/>
          <w:sz w:val="27"/>
          <w:rtl/>
        </w:rPr>
        <w:t>ر نقاط القوّة لديه في سبيل قضيّة</w:t>
      </w:r>
      <w:r w:rsidR="009E12E4" w:rsidRPr="006571AC">
        <w:rPr>
          <w:rFonts w:ascii="Arial" w:hAnsi="Arial" w:hint="cs"/>
          <w:sz w:val="27"/>
          <w:rtl/>
        </w:rPr>
        <w:t>ٍ</w:t>
      </w:r>
      <w:r w:rsidRPr="006571AC">
        <w:rPr>
          <w:rFonts w:ascii="Arial" w:hAnsi="Arial"/>
          <w:sz w:val="27"/>
          <w:rtl/>
        </w:rPr>
        <w:t xml:space="preserve"> أو هدف</w:t>
      </w:r>
      <w:r w:rsidR="009E12E4" w:rsidRPr="006571AC">
        <w:rPr>
          <w:rFonts w:ascii="Arial" w:hAnsi="Arial" w:hint="cs"/>
          <w:sz w:val="27"/>
          <w:rtl/>
        </w:rPr>
        <w:t>ٍ</w:t>
      </w:r>
      <w:r w:rsidRPr="006571AC">
        <w:rPr>
          <w:rFonts w:ascii="Arial" w:hAnsi="Arial"/>
          <w:sz w:val="27"/>
          <w:rtl/>
        </w:rPr>
        <w:t xml:space="preserve"> أكبر منه.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وهنا يستخدم الب</w:t>
      </w:r>
      <w:r w:rsidR="009E12E4" w:rsidRPr="006571AC">
        <w:rPr>
          <w:rFonts w:ascii="Arial" w:hAnsi="Arial" w:hint="cs"/>
          <w:sz w:val="27"/>
          <w:rtl/>
        </w:rPr>
        <w:t>ُ</w:t>
      </w:r>
      <w:r w:rsidRPr="006571AC">
        <w:rPr>
          <w:rFonts w:ascii="Arial" w:hAnsi="Arial"/>
          <w:sz w:val="27"/>
          <w:rtl/>
        </w:rPr>
        <w:t>ع</w:t>
      </w:r>
      <w:r w:rsidR="009E12E4" w:rsidRPr="006571AC">
        <w:rPr>
          <w:rFonts w:ascii="Arial" w:hAnsi="Arial" w:hint="cs"/>
          <w:sz w:val="27"/>
          <w:rtl/>
        </w:rPr>
        <w:t>ْ</w:t>
      </w:r>
      <w:r w:rsidRPr="006571AC">
        <w:rPr>
          <w:rFonts w:ascii="Arial" w:hAnsi="Arial"/>
          <w:sz w:val="27"/>
          <w:rtl/>
        </w:rPr>
        <w:t>د الماد</w:t>
      </w:r>
      <w:r w:rsidR="009E12E4" w:rsidRPr="006571AC">
        <w:rPr>
          <w:rFonts w:ascii="Arial" w:hAnsi="Arial" w:hint="cs"/>
          <w:sz w:val="27"/>
          <w:rtl/>
        </w:rPr>
        <w:t>ّ</w:t>
      </w:r>
      <w:r w:rsidRPr="006571AC">
        <w:rPr>
          <w:rFonts w:ascii="Arial" w:hAnsi="Arial"/>
          <w:sz w:val="27"/>
          <w:rtl/>
        </w:rPr>
        <w:t>ي والمعنوي بات</w:t>
      </w:r>
      <w:r w:rsidR="009E12E4" w:rsidRPr="006571AC">
        <w:rPr>
          <w:rFonts w:ascii="Arial" w:hAnsi="Arial" w:hint="cs"/>
          <w:sz w:val="27"/>
          <w:rtl/>
        </w:rPr>
        <w:t>ِّ</w:t>
      </w:r>
      <w:r w:rsidRPr="006571AC">
        <w:rPr>
          <w:rFonts w:ascii="Arial" w:hAnsi="Arial"/>
          <w:sz w:val="27"/>
          <w:rtl/>
        </w:rPr>
        <w:t>زان</w:t>
      </w:r>
      <w:r w:rsidR="009E12E4" w:rsidRPr="006571AC">
        <w:rPr>
          <w:rFonts w:ascii="Arial" w:hAnsi="Arial" w:hint="cs"/>
          <w:sz w:val="27"/>
          <w:rtl/>
        </w:rPr>
        <w:t>ٍ</w:t>
      </w:r>
      <w:r w:rsidRPr="006571AC">
        <w:rPr>
          <w:rFonts w:ascii="Arial" w:hAnsi="Arial"/>
          <w:sz w:val="27"/>
          <w:rtl/>
        </w:rPr>
        <w:t xml:space="preserve"> في سبيل القضايا الكبرى، كتحقيق العدالة والاستقلال الحقيقي والحر</w:t>
      </w:r>
      <w:r w:rsidR="009E12E4" w:rsidRPr="006571AC">
        <w:rPr>
          <w:rFonts w:ascii="Arial" w:hAnsi="Arial" w:hint="cs"/>
          <w:sz w:val="27"/>
          <w:rtl/>
        </w:rPr>
        <w:t>ّ</w:t>
      </w:r>
      <w:r w:rsidRPr="006571AC">
        <w:rPr>
          <w:rFonts w:ascii="Arial" w:hAnsi="Arial"/>
          <w:sz w:val="27"/>
          <w:rtl/>
        </w:rPr>
        <w:t>ية من كل</w:t>
      </w:r>
      <w:r w:rsidR="009E12E4" w:rsidRPr="006571AC">
        <w:rPr>
          <w:rFonts w:ascii="Arial" w:hAnsi="Arial" w:hint="cs"/>
          <w:sz w:val="27"/>
          <w:rtl/>
        </w:rPr>
        <w:t>ّ</w:t>
      </w:r>
      <w:r w:rsidRPr="006571AC">
        <w:rPr>
          <w:rFonts w:ascii="Arial" w:hAnsi="Arial"/>
          <w:sz w:val="27"/>
          <w:rtl/>
        </w:rPr>
        <w:t xml:space="preserve"> أنواع العبوديات، ورفع الظلم ومحاربة كل</w:t>
      </w:r>
      <w:r w:rsidR="009E12E4" w:rsidRPr="006571AC">
        <w:rPr>
          <w:rFonts w:ascii="Arial" w:hAnsi="Arial" w:hint="cs"/>
          <w:sz w:val="27"/>
          <w:rtl/>
        </w:rPr>
        <w:t>ّ</w:t>
      </w:r>
      <w:r w:rsidRPr="006571AC">
        <w:rPr>
          <w:rFonts w:ascii="Arial" w:hAnsi="Arial"/>
          <w:sz w:val="27"/>
          <w:rtl/>
        </w:rPr>
        <w:t xml:space="preserve"> أنواع الفساد. هذه القضايا التي تتجاوز ذاته ومحيطه إلى محيط</w:t>
      </w:r>
      <w:r w:rsidR="009E12E4" w:rsidRPr="006571AC">
        <w:rPr>
          <w:rFonts w:ascii="Arial" w:hAnsi="Arial" w:hint="cs"/>
          <w:sz w:val="27"/>
          <w:rtl/>
        </w:rPr>
        <w:t>ٍ</w:t>
      </w:r>
      <w:r w:rsidRPr="006571AC">
        <w:rPr>
          <w:rFonts w:ascii="Arial" w:hAnsi="Arial"/>
          <w:sz w:val="27"/>
          <w:rtl/>
        </w:rPr>
        <w:t xml:space="preserve"> أكبر</w:t>
      </w:r>
      <w:r w:rsidR="009E12E4" w:rsidRPr="006571AC">
        <w:rPr>
          <w:rFonts w:ascii="Arial" w:hAnsi="Arial" w:hint="cs"/>
          <w:sz w:val="27"/>
          <w:rtl/>
        </w:rPr>
        <w:t>.</w:t>
      </w:r>
      <w:r w:rsidRPr="006571AC">
        <w:rPr>
          <w:rFonts w:ascii="Arial" w:hAnsi="Arial"/>
          <w:sz w:val="27"/>
          <w:rtl/>
        </w:rPr>
        <w:t xml:space="preserve"> فهو يتحر</w:t>
      </w:r>
      <w:r w:rsidR="009E12E4" w:rsidRPr="006571AC">
        <w:rPr>
          <w:rFonts w:ascii="Arial" w:hAnsi="Arial" w:hint="cs"/>
          <w:sz w:val="27"/>
          <w:rtl/>
        </w:rPr>
        <w:t>َّ</w:t>
      </w:r>
      <w:r w:rsidRPr="006571AC">
        <w:rPr>
          <w:rFonts w:ascii="Arial" w:hAnsi="Arial"/>
          <w:sz w:val="27"/>
          <w:rtl/>
        </w:rPr>
        <w:t>ك حراك</w:t>
      </w:r>
      <w:r w:rsidR="009E12E4" w:rsidRPr="006571AC">
        <w:rPr>
          <w:rFonts w:ascii="Arial" w:hAnsi="Arial" w:hint="cs"/>
          <w:sz w:val="27"/>
          <w:rtl/>
        </w:rPr>
        <w:t>اً</w:t>
      </w:r>
      <w:r w:rsidRPr="006571AC">
        <w:rPr>
          <w:rFonts w:ascii="Arial" w:hAnsi="Arial"/>
          <w:sz w:val="27"/>
          <w:rtl/>
        </w:rPr>
        <w:t xml:space="preserve"> تغييري</w:t>
      </w:r>
      <w:r w:rsidR="009E12E4" w:rsidRPr="006571AC">
        <w:rPr>
          <w:rFonts w:ascii="Arial" w:hAnsi="Arial" w:hint="cs"/>
          <w:sz w:val="27"/>
          <w:rtl/>
        </w:rPr>
        <w:t>اً</w:t>
      </w:r>
      <w:r w:rsidRPr="006571AC">
        <w:rPr>
          <w:rFonts w:ascii="Arial" w:hAnsi="Arial"/>
          <w:sz w:val="27"/>
          <w:rtl/>
        </w:rPr>
        <w:t xml:space="preserve"> ماد</w:t>
      </w:r>
      <w:r w:rsidR="009E12E4" w:rsidRPr="006571AC">
        <w:rPr>
          <w:rFonts w:ascii="Arial" w:hAnsi="Arial" w:hint="cs"/>
          <w:sz w:val="27"/>
          <w:rtl/>
        </w:rPr>
        <w:t>ّ</w:t>
      </w:r>
      <w:r w:rsidRPr="006571AC">
        <w:rPr>
          <w:rFonts w:ascii="Arial" w:hAnsi="Arial"/>
          <w:sz w:val="27"/>
          <w:rtl/>
        </w:rPr>
        <w:t>ي</w:t>
      </w:r>
      <w:r w:rsidR="009E12E4" w:rsidRPr="006571AC">
        <w:rPr>
          <w:rFonts w:ascii="Arial" w:hAnsi="Arial" w:hint="cs"/>
          <w:sz w:val="27"/>
          <w:rtl/>
        </w:rPr>
        <w:t>اً</w:t>
      </w:r>
      <w:r w:rsidRPr="006571AC">
        <w:rPr>
          <w:rFonts w:ascii="Arial" w:hAnsi="Arial"/>
          <w:sz w:val="27"/>
          <w:rtl/>
        </w:rPr>
        <w:t xml:space="preserve"> ومعنوي</w:t>
      </w:r>
      <w:r w:rsidR="009E12E4" w:rsidRPr="006571AC">
        <w:rPr>
          <w:rFonts w:ascii="Arial" w:hAnsi="Arial" w:hint="cs"/>
          <w:sz w:val="27"/>
          <w:rtl/>
        </w:rPr>
        <w:t>اً،</w:t>
      </w:r>
      <w:r w:rsidRPr="006571AC">
        <w:rPr>
          <w:rFonts w:ascii="Arial" w:hAnsi="Arial"/>
          <w:sz w:val="27"/>
          <w:rtl/>
        </w:rPr>
        <w:t xml:space="preserve"> من ذاته إلى محيطه الاجتماعي، ثم</w:t>
      </w:r>
      <w:r w:rsidR="009E12E4" w:rsidRPr="006571AC">
        <w:rPr>
          <w:rFonts w:ascii="Arial" w:hAnsi="Arial" w:hint="cs"/>
          <w:sz w:val="27"/>
          <w:rtl/>
        </w:rPr>
        <w:t>ّ</w:t>
      </w:r>
      <w:r w:rsidRPr="006571AC">
        <w:rPr>
          <w:rFonts w:ascii="Arial" w:hAnsi="Arial"/>
          <w:sz w:val="27"/>
          <w:rtl/>
        </w:rPr>
        <w:t xml:space="preserve"> محيطه العالمي. </w:t>
      </w:r>
    </w:p>
    <w:p w:rsidR="0001386F" w:rsidRPr="006571AC" w:rsidRDefault="0001386F" w:rsidP="00D259C9">
      <w:pPr>
        <w:rPr>
          <w:rFonts w:ascii="Arial" w:hAnsi="Arial"/>
          <w:sz w:val="27"/>
          <w:rtl/>
        </w:rPr>
      </w:pPr>
      <w:r w:rsidRPr="006571AC">
        <w:rPr>
          <w:rFonts w:ascii="Arial" w:hAnsi="Arial"/>
          <w:sz w:val="27"/>
          <w:rtl/>
        </w:rPr>
        <w:t>يُشير د. سليغمان إلى أنّ الحياة قد تكون غنيّة</w:t>
      </w:r>
      <w:r w:rsidR="009E12E4" w:rsidRPr="006571AC">
        <w:rPr>
          <w:rFonts w:ascii="Arial" w:hAnsi="Arial" w:hint="cs"/>
          <w:sz w:val="27"/>
          <w:rtl/>
        </w:rPr>
        <w:t>ً</w:t>
      </w:r>
      <w:r w:rsidR="009E12E4" w:rsidRPr="006571AC">
        <w:rPr>
          <w:rFonts w:ascii="Arial" w:hAnsi="Arial"/>
          <w:sz w:val="27"/>
          <w:rtl/>
        </w:rPr>
        <w:t xml:space="preserve"> بالأنواع الثلاث من الت</w:t>
      </w:r>
      <w:r w:rsidRPr="006571AC">
        <w:rPr>
          <w:rFonts w:ascii="Arial" w:hAnsi="Arial"/>
          <w:sz w:val="27"/>
          <w:rtl/>
        </w:rPr>
        <w:t>جارب</w:t>
      </w:r>
      <w:r w:rsidR="009E12E4" w:rsidRPr="006571AC">
        <w:rPr>
          <w:rFonts w:ascii="Arial" w:hAnsi="Arial" w:hint="cs"/>
          <w:sz w:val="27"/>
          <w:rtl/>
        </w:rPr>
        <w:t>،</w:t>
      </w:r>
      <w:r w:rsidR="009E12E4" w:rsidRPr="006571AC">
        <w:rPr>
          <w:rFonts w:ascii="Arial" w:hAnsi="Arial"/>
          <w:sz w:val="27"/>
          <w:rtl/>
        </w:rPr>
        <w:t xml:space="preserve"> بنسب م</w:t>
      </w:r>
      <w:r w:rsidRPr="006571AC">
        <w:rPr>
          <w:rFonts w:ascii="Arial" w:hAnsi="Arial"/>
          <w:sz w:val="27"/>
          <w:rtl/>
        </w:rPr>
        <w:t>تفاوتة، ولكن</w:t>
      </w:r>
      <w:r w:rsidR="009E12E4" w:rsidRPr="006571AC">
        <w:rPr>
          <w:rFonts w:ascii="Arial" w:hAnsi="Arial" w:hint="cs"/>
          <w:sz w:val="27"/>
          <w:rtl/>
        </w:rPr>
        <w:t>ْ</w:t>
      </w:r>
      <w:r w:rsidR="009E12E4" w:rsidRPr="006571AC">
        <w:rPr>
          <w:rFonts w:ascii="Arial" w:hAnsi="Arial"/>
          <w:sz w:val="27"/>
          <w:rtl/>
        </w:rPr>
        <w:t xml:space="preserve"> كلما ازدادت تجارب النوع الث</w:t>
      </w:r>
      <w:r w:rsidRPr="006571AC">
        <w:rPr>
          <w:rFonts w:ascii="Arial" w:hAnsi="Arial"/>
          <w:sz w:val="27"/>
          <w:rtl/>
        </w:rPr>
        <w:t xml:space="preserve">الث ازداد منسوب </w:t>
      </w:r>
      <w:r w:rsidRPr="006571AC">
        <w:rPr>
          <w:rFonts w:hint="eastAsia"/>
          <w:sz w:val="24"/>
          <w:szCs w:val="24"/>
          <w:rtl/>
        </w:rPr>
        <w:t>«</w:t>
      </w:r>
      <w:r w:rsidR="009E12E4" w:rsidRPr="006571AC">
        <w:rPr>
          <w:rFonts w:ascii="Arial" w:hAnsi="Arial"/>
          <w:sz w:val="27"/>
          <w:rtl/>
        </w:rPr>
        <w:t>الر</w:t>
      </w:r>
      <w:r w:rsidRPr="006571AC">
        <w:rPr>
          <w:rFonts w:ascii="Arial" w:hAnsi="Arial"/>
          <w:sz w:val="27"/>
          <w:rtl/>
        </w:rPr>
        <w:t>ضا عن الحياة</w:t>
      </w:r>
      <w:r w:rsidRPr="006571AC">
        <w:rPr>
          <w:rFonts w:hint="eastAsia"/>
          <w:sz w:val="24"/>
          <w:szCs w:val="24"/>
          <w:rtl/>
        </w:rPr>
        <w:t>»</w:t>
      </w:r>
      <w:r w:rsidRPr="006571AC">
        <w:rPr>
          <w:rFonts w:ascii="Arial" w:hAnsi="Arial"/>
          <w:sz w:val="27"/>
          <w:rtl/>
        </w:rPr>
        <w:t xml:space="preserve"> (</w:t>
      </w:r>
      <w:r w:rsidRPr="006571AC">
        <w:rPr>
          <w:rFonts w:asciiTheme="majorBidi" w:hAnsiTheme="majorBidi" w:cstheme="majorBidi"/>
          <w:sz w:val="22"/>
          <w:szCs w:val="22"/>
        </w:rPr>
        <w:t>life satisfaction</w:t>
      </w:r>
      <w:r w:rsidRPr="006571AC">
        <w:rPr>
          <w:rFonts w:ascii="Arial" w:hAnsi="Arial"/>
          <w:sz w:val="27"/>
          <w:rtl/>
        </w:rPr>
        <w:t xml:space="preserve">). </w:t>
      </w:r>
    </w:p>
    <w:p w:rsidR="0001386F" w:rsidRPr="006571AC" w:rsidRDefault="0001386F" w:rsidP="00D259C9">
      <w:pPr>
        <w:rPr>
          <w:rFonts w:ascii="Arial" w:hAnsi="Arial"/>
          <w:sz w:val="27"/>
          <w:rtl/>
        </w:rPr>
      </w:pPr>
      <w:r w:rsidRPr="006571AC">
        <w:rPr>
          <w:rFonts w:ascii="Arial" w:hAnsi="Arial" w:hint="cs"/>
          <w:sz w:val="27"/>
          <w:rtl/>
        </w:rPr>
        <w:t>ومن هذه النقطة يمكن الانطلاق مع الشهيد مرتضى مطه</w:t>
      </w:r>
      <w:r w:rsidR="009E12E4" w:rsidRPr="006571AC">
        <w:rPr>
          <w:rFonts w:ascii="Arial" w:hAnsi="Arial" w:hint="cs"/>
          <w:sz w:val="27"/>
          <w:rtl/>
        </w:rPr>
        <w:t>َّ</w:t>
      </w:r>
      <w:r w:rsidRPr="006571AC">
        <w:rPr>
          <w:rFonts w:ascii="Arial" w:hAnsi="Arial" w:hint="cs"/>
          <w:sz w:val="27"/>
          <w:rtl/>
        </w:rPr>
        <w:t>ري للإجابة عن سؤال آلي</w:t>
      </w:r>
      <w:r w:rsidR="009E12E4" w:rsidRPr="006571AC">
        <w:rPr>
          <w:rFonts w:ascii="Arial" w:hAnsi="Arial" w:hint="cs"/>
          <w:sz w:val="27"/>
          <w:rtl/>
        </w:rPr>
        <w:t>ّ</w:t>
      </w:r>
      <w:r w:rsidRPr="006571AC">
        <w:rPr>
          <w:rFonts w:ascii="Arial" w:hAnsi="Arial" w:hint="cs"/>
          <w:sz w:val="27"/>
          <w:rtl/>
        </w:rPr>
        <w:t xml:space="preserve">ة ضبط الأخلاق الإنسانية ومواجهة الذات. </w:t>
      </w:r>
    </w:p>
    <w:p w:rsidR="001069FB" w:rsidRPr="006571AC" w:rsidRDefault="001069FB" w:rsidP="001069FB">
      <w:pPr>
        <w:spacing w:line="420" w:lineRule="exact"/>
        <w:rPr>
          <w:rFonts w:ascii="Arabic Typesetting" w:hAnsi="Arabic Typesetting"/>
          <w:sz w:val="27"/>
          <w:rtl/>
          <w:lang w:bidi="ar-LB"/>
        </w:rPr>
      </w:pPr>
    </w:p>
    <w:p w:rsidR="0001386F" w:rsidRPr="006571AC" w:rsidRDefault="0001386F" w:rsidP="00124D2B">
      <w:pPr>
        <w:pStyle w:val="31"/>
        <w:rPr>
          <w:color w:val="auto"/>
          <w:rtl/>
        </w:rPr>
      </w:pPr>
      <w:bookmarkStart w:id="428" w:name="_Toc114164836"/>
      <w:r w:rsidRPr="006571AC">
        <w:rPr>
          <w:rFonts w:hint="cs"/>
          <w:color w:val="auto"/>
          <w:rtl/>
        </w:rPr>
        <w:t>أساس التقي</w:t>
      </w:r>
      <w:r w:rsidR="00124D2B" w:rsidRPr="006571AC">
        <w:rPr>
          <w:rFonts w:hint="cs"/>
          <w:color w:val="auto"/>
          <w:rtl/>
        </w:rPr>
        <w:t>ُّ</w:t>
      </w:r>
      <w:r w:rsidRPr="006571AC">
        <w:rPr>
          <w:rFonts w:hint="cs"/>
          <w:color w:val="auto"/>
          <w:rtl/>
        </w:rPr>
        <w:t>د بالفضائل الأخلاقي</w:t>
      </w:r>
      <w:r w:rsidR="00124D2B" w:rsidRPr="006571AC">
        <w:rPr>
          <w:rFonts w:hint="cs"/>
          <w:color w:val="auto"/>
          <w:rtl/>
        </w:rPr>
        <w:t>ّ</w:t>
      </w:r>
      <w:r w:rsidRPr="006571AC">
        <w:rPr>
          <w:rFonts w:hint="cs"/>
          <w:color w:val="auto"/>
          <w:rtl/>
        </w:rPr>
        <w:t>ة</w:t>
      </w:r>
      <w:bookmarkEnd w:id="428"/>
      <w:r w:rsidRPr="006571AC">
        <w:rPr>
          <w:rFonts w:hint="cs"/>
          <w:color w:val="auto"/>
          <w:rtl/>
        </w:rPr>
        <w:t xml:space="preserve"> </w:t>
      </w:r>
    </w:p>
    <w:p w:rsidR="0001386F" w:rsidRPr="006571AC" w:rsidRDefault="0001386F" w:rsidP="00D259C9">
      <w:pPr>
        <w:rPr>
          <w:rFonts w:ascii="Arial" w:hAnsi="Arial"/>
          <w:sz w:val="27"/>
          <w:rtl/>
        </w:rPr>
      </w:pPr>
      <w:r w:rsidRPr="006571AC">
        <w:rPr>
          <w:rFonts w:ascii="Arial" w:hAnsi="Arial" w:hint="cs"/>
          <w:sz w:val="27"/>
          <w:rtl/>
        </w:rPr>
        <w:t>يعتبر الشهيد مرتضى مطه</w:t>
      </w:r>
      <w:r w:rsidR="009E12E4" w:rsidRPr="006571AC">
        <w:rPr>
          <w:rFonts w:ascii="Arial" w:hAnsi="Arial" w:hint="cs"/>
          <w:sz w:val="27"/>
          <w:rtl/>
        </w:rPr>
        <w:t>َّ</w:t>
      </w:r>
      <w:r w:rsidRPr="006571AC">
        <w:rPr>
          <w:rFonts w:ascii="Arial" w:hAnsi="Arial" w:hint="cs"/>
          <w:sz w:val="27"/>
          <w:rtl/>
        </w:rPr>
        <w:t>ري أن للأخلاق أساسا</w:t>
      </w:r>
      <w:r w:rsidR="009E12E4" w:rsidRPr="006571AC">
        <w:rPr>
          <w:rFonts w:ascii="Arial" w:hAnsi="Arial" w:hint="cs"/>
          <w:sz w:val="27"/>
          <w:rtl/>
        </w:rPr>
        <w:t>ً</w:t>
      </w:r>
      <w:r w:rsidRPr="006571AC">
        <w:rPr>
          <w:rFonts w:ascii="Arial" w:hAnsi="Arial" w:hint="cs"/>
          <w:sz w:val="27"/>
          <w:rtl/>
        </w:rPr>
        <w:t xml:space="preserve"> ومرتكزا</w:t>
      </w:r>
      <w:r w:rsidR="009E12E4" w:rsidRPr="006571AC">
        <w:rPr>
          <w:rFonts w:ascii="Arial" w:hAnsi="Arial" w:hint="cs"/>
          <w:sz w:val="27"/>
          <w:rtl/>
        </w:rPr>
        <w:t>ً</w:t>
      </w:r>
      <w:r w:rsidR="000C44EE" w:rsidRPr="006571AC">
        <w:rPr>
          <w:rFonts w:ascii="Arial" w:hAnsi="Arial" w:hint="cs"/>
          <w:sz w:val="27"/>
          <w:rtl/>
        </w:rPr>
        <w:t>؛</w:t>
      </w:r>
      <w:r w:rsidRPr="006571AC">
        <w:rPr>
          <w:rFonts w:ascii="Arial" w:hAnsi="Arial" w:hint="cs"/>
          <w:sz w:val="27"/>
          <w:rtl/>
        </w:rPr>
        <w:t xml:space="preserve"> حيث تشك</w:t>
      </w:r>
      <w:r w:rsidR="009E12E4" w:rsidRPr="006571AC">
        <w:rPr>
          <w:rFonts w:ascii="Arial" w:hAnsi="Arial" w:hint="cs"/>
          <w:sz w:val="27"/>
          <w:rtl/>
        </w:rPr>
        <w:t>ِّ</w:t>
      </w:r>
      <w:r w:rsidRPr="006571AC">
        <w:rPr>
          <w:rFonts w:ascii="Arial" w:hAnsi="Arial" w:hint="cs"/>
          <w:sz w:val="27"/>
          <w:rtl/>
        </w:rPr>
        <w:t xml:space="preserve">ل معرفة الله الأساس للدين، </w:t>
      </w:r>
      <w:r w:rsidR="000C44EE" w:rsidRPr="006571AC">
        <w:rPr>
          <w:rFonts w:ascii="Arial" w:hAnsi="Arial" w:hint="cs"/>
          <w:sz w:val="27"/>
          <w:rtl/>
        </w:rPr>
        <w:t>و</w:t>
      </w:r>
      <w:r w:rsidRPr="006571AC">
        <w:rPr>
          <w:rFonts w:ascii="Arial" w:hAnsi="Arial" w:hint="cs"/>
          <w:sz w:val="27"/>
          <w:rtl/>
        </w:rPr>
        <w:t>كذا معرفة الله تشك</w:t>
      </w:r>
      <w:r w:rsidR="009E12E4" w:rsidRPr="006571AC">
        <w:rPr>
          <w:rFonts w:ascii="Arial" w:hAnsi="Arial" w:hint="cs"/>
          <w:sz w:val="27"/>
          <w:rtl/>
        </w:rPr>
        <w:t>ِّ</w:t>
      </w:r>
      <w:r w:rsidRPr="006571AC">
        <w:rPr>
          <w:rFonts w:ascii="Arial" w:hAnsi="Arial" w:hint="cs"/>
          <w:sz w:val="27"/>
          <w:rtl/>
        </w:rPr>
        <w:t>ل الحجر الأساس للإنسانية، ويعتبر أنه لا معنى للإنسانية ولا للأخلاق من دون معرفة الله تعالى</w:t>
      </w:r>
      <w:r w:rsidR="000C44EE" w:rsidRPr="006571AC">
        <w:rPr>
          <w:rFonts w:ascii="Arial" w:hAnsi="Arial" w:hint="cs"/>
          <w:sz w:val="27"/>
          <w:rtl/>
        </w:rPr>
        <w:t>،</w:t>
      </w:r>
      <w:r w:rsidRPr="006571AC">
        <w:rPr>
          <w:rFonts w:ascii="Arial" w:hAnsi="Arial" w:hint="cs"/>
          <w:sz w:val="27"/>
          <w:rtl/>
        </w:rPr>
        <w:t xml:space="preserve"> أي لا معنى لأي</w:t>
      </w:r>
      <w:r w:rsidR="000C44EE" w:rsidRPr="006571AC">
        <w:rPr>
          <w:rFonts w:ascii="Arial" w:hAnsi="Arial" w:hint="cs"/>
          <w:sz w:val="27"/>
          <w:rtl/>
        </w:rPr>
        <w:t>ّ</w:t>
      </w:r>
      <w:r w:rsidRPr="006571AC">
        <w:rPr>
          <w:rFonts w:ascii="Arial" w:hAnsi="Arial" w:hint="cs"/>
          <w:sz w:val="27"/>
          <w:rtl/>
        </w:rPr>
        <w:t xml:space="preserve"> شيء</w:t>
      </w:r>
      <w:r w:rsidR="000C44EE" w:rsidRPr="006571AC">
        <w:rPr>
          <w:rFonts w:ascii="Arial" w:hAnsi="Arial" w:hint="cs"/>
          <w:sz w:val="27"/>
          <w:rtl/>
        </w:rPr>
        <w:t>ٍ</w:t>
      </w:r>
      <w:r w:rsidRPr="006571AC">
        <w:rPr>
          <w:rFonts w:ascii="Arial" w:hAnsi="Arial" w:hint="cs"/>
          <w:sz w:val="27"/>
          <w:rtl/>
        </w:rPr>
        <w:t xml:space="preserve"> معنوي</w:t>
      </w:r>
      <w:r w:rsidR="000C44EE" w:rsidRPr="006571AC">
        <w:rPr>
          <w:rFonts w:ascii="Arial" w:hAnsi="Arial" w:hint="cs"/>
          <w:sz w:val="27"/>
          <w:rtl/>
        </w:rPr>
        <w:t>ّ</w:t>
      </w:r>
      <w:r w:rsidRPr="006571AC">
        <w:rPr>
          <w:rFonts w:ascii="Arial" w:hAnsi="Arial" w:hint="cs"/>
          <w:sz w:val="27"/>
          <w:rtl/>
        </w:rPr>
        <w:t xml:space="preserve"> إذا لم يرتبط برأس المعنوي</w:t>
      </w:r>
      <w:r w:rsidR="000C44EE" w:rsidRPr="006571AC">
        <w:rPr>
          <w:rFonts w:ascii="Arial" w:hAnsi="Arial" w:hint="cs"/>
          <w:sz w:val="27"/>
          <w:rtl/>
        </w:rPr>
        <w:t>ّ</w:t>
      </w:r>
      <w:r w:rsidRPr="006571AC">
        <w:rPr>
          <w:rFonts w:ascii="Arial" w:hAnsi="Arial" w:hint="cs"/>
          <w:sz w:val="27"/>
          <w:rtl/>
        </w:rPr>
        <w:t>ات ومنبعها</w:t>
      </w:r>
      <w:r w:rsidRPr="006571AC">
        <w:rPr>
          <w:rFonts w:ascii="Arial" w:hAnsi="Arial"/>
          <w:sz w:val="27"/>
          <w:vertAlign w:val="superscript"/>
          <w:rtl/>
        </w:rPr>
        <w:t>(</w:t>
      </w:r>
      <w:r w:rsidRPr="006571AC">
        <w:rPr>
          <w:rStyle w:val="ac"/>
          <w:rFonts w:ascii="Arial" w:hAnsi="Arial"/>
          <w:sz w:val="27"/>
          <w:rtl/>
        </w:rPr>
        <w:endnoteReference w:id="721"/>
      </w:r>
      <w:r w:rsidRPr="006571AC">
        <w:rPr>
          <w:rFonts w:ascii="Arial" w:hAnsi="Arial"/>
          <w:sz w:val="27"/>
          <w:vertAlign w:val="superscript"/>
          <w:rtl/>
        </w:rPr>
        <w:t>)</w:t>
      </w:r>
      <w:r w:rsidRPr="006571AC">
        <w:rPr>
          <w:rFonts w:ascii="Arial" w:hAnsi="Arial" w:hint="cs"/>
          <w:sz w:val="27"/>
          <w:rtl/>
        </w:rPr>
        <w:t>.</w:t>
      </w:r>
      <w:r w:rsidRPr="006571AC">
        <w:rPr>
          <w:rFonts w:ascii="Arial" w:hAnsi="Arial"/>
          <w:sz w:val="27"/>
          <w:rtl/>
        </w:rPr>
        <w:t xml:space="preserve"> </w:t>
      </w:r>
    </w:p>
    <w:p w:rsidR="0001386F" w:rsidRPr="006571AC" w:rsidRDefault="0001386F" w:rsidP="00D259C9">
      <w:pPr>
        <w:rPr>
          <w:rFonts w:ascii="Arial" w:hAnsi="Arial"/>
          <w:sz w:val="27"/>
          <w:rtl/>
        </w:rPr>
      </w:pPr>
      <w:r w:rsidRPr="006571AC">
        <w:rPr>
          <w:rFonts w:ascii="Arial" w:hAnsi="Arial" w:hint="cs"/>
          <w:sz w:val="27"/>
          <w:rtl/>
        </w:rPr>
        <w:t>ولكن</w:t>
      </w:r>
      <w:r w:rsidR="000C44EE" w:rsidRPr="006571AC">
        <w:rPr>
          <w:rFonts w:ascii="Arial" w:hAnsi="Arial" w:hint="cs"/>
          <w:sz w:val="27"/>
          <w:rtl/>
        </w:rPr>
        <w:t>ّ</w:t>
      </w:r>
      <w:r w:rsidRPr="006571AC">
        <w:rPr>
          <w:rFonts w:ascii="Arial" w:hAnsi="Arial" w:hint="cs"/>
          <w:sz w:val="27"/>
          <w:rtl/>
        </w:rPr>
        <w:t xml:space="preserve"> الإشكالية التي تطرح اليوم</w:t>
      </w:r>
      <w:r w:rsidR="000C44EE" w:rsidRPr="006571AC">
        <w:rPr>
          <w:rFonts w:ascii="Arial" w:hAnsi="Arial" w:hint="cs"/>
          <w:sz w:val="27"/>
          <w:rtl/>
        </w:rPr>
        <w:t>،</w:t>
      </w:r>
      <w:r w:rsidRPr="006571AC">
        <w:rPr>
          <w:rFonts w:ascii="Arial" w:hAnsi="Arial" w:hint="cs"/>
          <w:sz w:val="27"/>
          <w:rtl/>
        </w:rPr>
        <w:t xml:space="preserve"> كما ط</w:t>
      </w:r>
      <w:r w:rsidR="000C44EE" w:rsidRPr="006571AC">
        <w:rPr>
          <w:rFonts w:ascii="Arial" w:hAnsi="Arial" w:hint="cs"/>
          <w:sz w:val="27"/>
          <w:rtl/>
        </w:rPr>
        <w:t>ُ</w:t>
      </w:r>
      <w:r w:rsidRPr="006571AC">
        <w:rPr>
          <w:rFonts w:ascii="Arial" w:hAnsi="Arial" w:hint="cs"/>
          <w:sz w:val="27"/>
          <w:rtl/>
        </w:rPr>
        <w:t>رح</w:t>
      </w:r>
      <w:r w:rsidR="000C44EE" w:rsidRPr="006571AC">
        <w:rPr>
          <w:rFonts w:ascii="Arial" w:hAnsi="Arial" w:hint="cs"/>
          <w:sz w:val="27"/>
          <w:rtl/>
        </w:rPr>
        <w:t>َ</w:t>
      </w:r>
      <w:r w:rsidRPr="006571AC">
        <w:rPr>
          <w:rFonts w:ascii="Arial" w:hAnsi="Arial" w:hint="cs"/>
          <w:sz w:val="27"/>
          <w:rtl/>
        </w:rPr>
        <w:t>ت</w:t>
      </w:r>
      <w:r w:rsidR="000C44EE" w:rsidRPr="006571AC">
        <w:rPr>
          <w:rFonts w:ascii="Arial" w:hAnsi="Arial" w:hint="cs"/>
          <w:sz w:val="27"/>
          <w:rtl/>
        </w:rPr>
        <w:t>ْ</w:t>
      </w:r>
      <w:r w:rsidRPr="006571AC">
        <w:rPr>
          <w:rFonts w:ascii="Arial" w:hAnsi="Arial" w:hint="cs"/>
          <w:sz w:val="27"/>
          <w:rtl/>
        </w:rPr>
        <w:t xml:space="preserve"> سابقا</w:t>
      </w:r>
      <w:r w:rsidR="000C44EE" w:rsidRPr="006571AC">
        <w:rPr>
          <w:rFonts w:ascii="Arial" w:hAnsi="Arial" w:hint="cs"/>
          <w:sz w:val="27"/>
          <w:rtl/>
        </w:rPr>
        <w:t>ً</w:t>
      </w:r>
      <w:r w:rsidRPr="006571AC">
        <w:rPr>
          <w:rFonts w:ascii="Arial" w:hAnsi="Arial" w:hint="cs"/>
          <w:sz w:val="27"/>
          <w:rtl/>
        </w:rPr>
        <w:t xml:space="preserve"> في </w:t>
      </w:r>
      <w:r w:rsidR="000C44EE" w:rsidRPr="006571AC">
        <w:rPr>
          <w:rFonts w:ascii="Arial" w:hAnsi="Arial" w:hint="cs"/>
          <w:sz w:val="27"/>
          <w:rtl/>
        </w:rPr>
        <w:t>عصر</w:t>
      </w:r>
      <w:r w:rsidRPr="006571AC">
        <w:rPr>
          <w:rFonts w:ascii="Arial" w:hAnsi="Arial" w:hint="cs"/>
          <w:sz w:val="27"/>
          <w:rtl/>
        </w:rPr>
        <w:t xml:space="preserve"> الشهيد مرتضى مطه</w:t>
      </w:r>
      <w:r w:rsidR="000C44EE" w:rsidRPr="006571AC">
        <w:rPr>
          <w:rFonts w:ascii="Arial" w:hAnsi="Arial" w:hint="cs"/>
          <w:sz w:val="27"/>
          <w:rtl/>
        </w:rPr>
        <w:t>َّ</w:t>
      </w:r>
      <w:r w:rsidRPr="006571AC">
        <w:rPr>
          <w:rFonts w:ascii="Arial" w:hAnsi="Arial" w:hint="cs"/>
          <w:sz w:val="27"/>
          <w:rtl/>
        </w:rPr>
        <w:t>ري</w:t>
      </w:r>
      <w:r w:rsidR="000C44EE" w:rsidRPr="006571AC">
        <w:rPr>
          <w:rFonts w:ascii="Arial" w:hAnsi="Arial" w:hint="cs"/>
          <w:sz w:val="27"/>
          <w:rtl/>
        </w:rPr>
        <w:t>،</w:t>
      </w:r>
      <w:r w:rsidRPr="006571AC">
        <w:rPr>
          <w:rFonts w:ascii="Arial" w:hAnsi="Arial" w:hint="cs"/>
          <w:sz w:val="27"/>
          <w:rtl/>
        </w:rPr>
        <w:t xml:space="preserve"> هي</w:t>
      </w:r>
      <w:r w:rsidR="000C44EE" w:rsidRPr="006571AC">
        <w:rPr>
          <w:rFonts w:ascii="Arial" w:hAnsi="Arial" w:hint="cs"/>
          <w:sz w:val="27"/>
          <w:rtl/>
        </w:rPr>
        <w:t>:</w:t>
      </w:r>
      <w:r w:rsidRPr="006571AC">
        <w:rPr>
          <w:rFonts w:ascii="Arial" w:hAnsi="Arial" w:hint="cs"/>
          <w:sz w:val="27"/>
          <w:rtl/>
        </w:rPr>
        <w:t xml:space="preserve"> </w:t>
      </w:r>
      <w:r w:rsidR="000C44EE" w:rsidRPr="006571AC">
        <w:rPr>
          <w:rFonts w:ascii="Arial" w:hAnsi="Arial" w:hint="cs"/>
          <w:sz w:val="27"/>
          <w:rtl/>
        </w:rPr>
        <w:t>إ</w:t>
      </w:r>
      <w:r w:rsidRPr="006571AC">
        <w:rPr>
          <w:rFonts w:ascii="Arial" w:hAnsi="Arial" w:hint="cs"/>
          <w:sz w:val="27"/>
          <w:rtl/>
        </w:rPr>
        <w:t>ن أدل</w:t>
      </w:r>
      <w:r w:rsidR="000C44EE" w:rsidRPr="006571AC">
        <w:rPr>
          <w:rFonts w:ascii="Arial" w:hAnsi="Arial" w:hint="cs"/>
          <w:sz w:val="27"/>
          <w:rtl/>
        </w:rPr>
        <w:t>ّ</w:t>
      </w:r>
      <w:r w:rsidRPr="006571AC">
        <w:rPr>
          <w:rFonts w:ascii="Arial" w:hAnsi="Arial" w:hint="cs"/>
          <w:sz w:val="27"/>
          <w:rtl/>
        </w:rPr>
        <w:t xml:space="preserve"> دليل</w:t>
      </w:r>
      <w:r w:rsidR="000C44EE" w:rsidRPr="006571AC">
        <w:rPr>
          <w:rFonts w:ascii="Arial" w:hAnsi="Arial" w:hint="cs"/>
          <w:sz w:val="27"/>
          <w:rtl/>
        </w:rPr>
        <w:t>ٍ</w:t>
      </w:r>
      <w:r w:rsidRPr="006571AC">
        <w:rPr>
          <w:rFonts w:ascii="Arial" w:hAnsi="Arial" w:hint="cs"/>
          <w:sz w:val="27"/>
          <w:rtl/>
        </w:rPr>
        <w:t xml:space="preserve"> على إمكان الشيء وقوعه، فكيف لا يوجد انضباط</w:t>
      </w:r>
      <w:r w:rsidR="000C44EE" w:rsidRPr="006571AC">
        <w:rPr>
          <w:rFonts w:ascii="Arial" w:hAnsi="Arial" w:hint="cs"/>
          <w:sz w:val="27"/>
          <w:rtl/>
        </w:rPr>
        <w:t>ٌ</w:t>
      </w:r>
      <w:r w:rsidRPr="006571AC">
        <w:rPr>
          <w:rFonts w:ascii="Arial" w:hAnsi="Arial" w:hint="cs"/>
          <w:sz w:val="27"/>
          <w:rtl/>
        </w:rPr>
        <w:t xml:space="preserve"> ولا أخلاق</w:t>
      </w:r>
      <w:r w:rsidR="000C44EE" w:rsidRPr="006571AC">
        <w:rPr>
          <w:rFonts w:ascii="Arial" w:hAnsi="Arial" w:hint="cs"/>
          <w:sz w:val="27"/>
          <w:rtl/>
        </w:rPr>
        <w:t>ٌ</w:t>
      </w:r>
      <w:r w:rsidRPr="006571AC">
        <w:rPr>
          <w:rFonts w:ascii="Arial" w:hAnsi="Arial" w:hint="cs"/>
          <w:sz w:val="27"/>
          <w:rtl/>
        </w:rPr>
        <w:t xml:space="preserve"> في المجتمع الذي لا يعرف الله، ولا يتقي</w:t>
      </w:r>
      <w:r w:rsidR="000C44EE" w:rsidRPr="006571AC">
        <w:rPr>
          <w:rFonts w:ascii="Arial" w:hAnsi="Arial" w:hint="cs"/>
          <w:sz w:val="27"/>
          <w:rtl/>
        </w:rPr>
        <w:t>َّ</w:t>
      </w:r>
      <w:r w:rsidRPr="006571AC">
        <w:rPr>
          <w:rFonts w:ascii="Arial" w:hAnsi="Arial" w:hint="cs"/>
          <w:sz w:val="27"/>
          <w:rtl/>
        </w:rPr>
        <w:t>د بالدين، بينما نشهد بأنفسنا أنه في المجتمعات الغربية كثير</w:t>
      </w:r>
      <w:r w:rsidR="000C44EE" w:rsidRPr="006571AC">
        <w:rPr>
          <w:rFonts w:ascii="Arial" w:hAnsi="Arial" w:hint="cs"/>
          <w:sz w:val="27"/>
          <w:rtl/>
        </w:rPr>
        <w:t>ٌ</w:t>
      </w:r>
      <w:r w:rsidRPr="006571AC">
        <w:rPr>
          <w:rFonts w:ascii="Arial" w:hAnsi="Arial" w:hint="cs"/>
          <w:sz w:val="27"/>
          <w:rtl/>
        </w:rPr>
        <w:t xml:space="preserve"> من أفراد هذه المجتمعات</w:t>
      </w:r>
      <w:r w:rsidR="000C44EE" w:rsidRPr="006571AC">
        <w:rPr>
          <w:rFonts w:ascii="Arial" w:hAnsi="Arial" w:hint="cs"/>
          <w:sz w:val="27"/>
          <w:rtl/>
        </w:rPr>
        <w:t>،</w:t>
      </w:r>
      <w:r w:rsidRPr="006571AC">
        <w:rPr>
          <w:rFonts w:ascii="Arial" w:hAnsi="Arial" w:hint="cs"/>
          <w:sz w:val="27"/>
          <w:rtl/>
        </w:rPr>
        <w:t xml:space="preserve"> إن</w:t>
      </w:r>
      <w:r w:rsidR="000C44EE" w:rsidRPr="006571AC">
        <w:rPr>
          <w:rFonts w:ascii="Arial" w:hAnsi="Arial" w:hint="cs"/>
          <w:sz w:val="27"/>
          <w:rtl/>
        </w:rPr>
        <w:t>ْ</w:t>
      </w:r>
      <w:r w:rsidRPr="006571AC">
        <w:rPr>
          <w:rFonts w:ascii="Arial" w:hAnsi="Arial" w:hint="cs"/>
          <w:sz w:val="27"/>
          <w:rtl/>
        </w:rPr>
        <w:t xml:space="preserve"> لم يكن جل</w:t>
      </w:r>
      <w:r w:rsidR="000C44EE" w:rsidRPr="006571AC">
        <w:rPr>
          <w:rFonts w:ascii="Arial" w:hAnsi="Arial" w:hint="cs"/>
          <w:sz w:val="27"/>
          <w:rtl/>
        </w:rPr>
        <w:t>ُّ</w:t>
      </w:r>
      <w:r w:rsidRPr="006571AC">
        <w:rPr>
          <w:rFonts w:ascii="Arial" w:hAnsi="Arial" w:hint="cs"/>
          <w:sz w:val="27"/>
          <w:rtl/>
        </w:rPr>
        <w:t>هم، منضبطون ومنظ</w:t>
      </w:r>
      <w:r w:rsidR="000C44EE" w:rsidRPr="006571AC">
        <w:rPr>
          <w:rFonts w:ascii="Arial" w:hAnsi="Arial" w:hint="cs"/>
          <w:sz w:val="27"/>
          <w:rtl/>
        </w:rPr>
        <w:t>َّ</w:t>
      </w:r>
      <w:r w:rsidRPr="006571AC">
        <w:rPr>
          <w:rFonts w:ascii="Arial" w:hAnsi="Arial" w:hint="cs"/>
          <w:sz w:val="27"/>
          <w:rtl/>
        </w:rPr>
        <w:t>مون، ويتمت</w:t>
      </w:r>
      <w:r w:rsidR="000C44EE" w:rsidRPr="006571AC">
        <w:rPr>
          <w:rFonts w:ascii="Arial" w:hAnsi="Arial" w:hint="cs"/>
          <w:sz w:val="27"/>
          <w:rtl/>
        </w:rPr>
        <w:t>َّ</w:t>
      </w:r>
      <w:r w:rsidRPr="006571AC">
        <w:rPr>
          <w:rFonts w:ascii="Arial" w:hAnsi="Arial" w:hint="cs"/>
          <w:sz w:val="27"/>
          <w:rtl/>
        </w:rPr>
        <w:t>عون بالأخلاق</w:t>
      </w:r>
      <w:r w:rsidR="000C44EE" w:rsidRPr="006571AC">
        <w:rPr>
          <w:rFonts w:ascii="Arial" w:hAnsi="Arial" w:hint="cs"/>
          <w:sz w:val="27"/>
          <w:rtl/>
        </w:rPr>
        <w:t>،</w:t>
      </w:r>
      <w:r w:rsidRPr="006571AC">
        <w:rPr>
          <w:rFonts w:ascii="Arial" w:hAnsi="Arial" w:hint="cs"/>
          <w:sz w:val="27"/>
          <w:rtl/>
        </w:rPr>
        <w:t xml:space="preserve"> ولا يتجاوزون حدودهم</w:t>
      </w:r>
      <w:r w:rsidR="000C44EE" w:rsidRPr="006571AC">
        <w:rPr>
          <w:rFonts w:ascii="Arial" w:hAnsi="Arial" w:hint="cs"/>
          <w:sz w:val="27"/>
          <w:rtl/>
        </w:rPr>
        <w:t>،</w:t>
      </w:r>
      <w:r w:rsidRPr="006571AC">
        <w:rPr>
          <w:rFonts w:ascii="Arial" w:hAnsi="Arial" w:hint="cs"/>
          <w:sz w:val="27"/>
          <w:rtl/>
        </w:rPr>
        <w:t xml:space="preserve"> ولا حقوقهم</w:t>
      </w:r>
      <w:r w:rsidR="000C44EE" w:rsidRPr="006571AC">
        <w:rPr>
          <w:rFonts w:ascii="Arial" w:hAnsi="Arial" w:hint="cs"/>
          <w:sz w:val="27"/>
          <w:rtl/>
        </w:rPr>
        <w:t>،</w:t>
      </w:r>
      <w:r w:rsidRPr="006571AC">
        <w:rPr>
          <w:rFonts w:ascii="Arial" w:hAnsi="Arial" w:hint="cs"/>
          <w:sz w:val="27"/>
          <w:rtl/>
        </w:rPr>
        <w:t xml:space="preserve"> ولا </w:t>
      </w:r>
      <w:r w:rsidRPr="006571AC">
        <w:rPr>
          <w:rFonts w:ascii="Arial" w:hAnsi="Arial" w:hint="cs"/>
          <w:sz w:val="27"/>
          <w:rtl/>
        </w:rPr>
        <w:lastRenderedPageBreak/>
        <w:t>يتعد</w:t>
      </w:r>
      <w:r w:rsidR="000C44EE" w:rsidRPr="006571AC">
        <w:rPr>
          <w:rFonts w:ascii="Arial" w:hAnsi="Arial" w:hint="cs"/>
          <w:sz w:val="27"/>
          <w:rtl/>
        </w:rPr>
        <w:t>ّ</w:t>
      </w:r>
      <w:r w:rsidRPr="006571AC">
        <w:rPr>
          <w:rFonts w:ascii="Arial" w:hAnsi="Arial" w:hint="cs"/>
          <w:sz w:val="27"/>
          <w:rtl/>
        </w:rPr>
        <w:t xml:space="preserve">ون على حقوق الآخرين؟ </w:t>
      </w:r>
    </w:p>
    <w:p w:rsidR="0001386F" w:rsidRPr="006571AC" w:rsidRDefault="0001386F" w:rsidP="00D259C9">
      <w:pPr>
        <w:rPr>
          <w:rFonts w:ascii="Arial" w:hAnsi="Arial"/>
          <w:sz w:val="27"/>
          <w:rtl/>
        </w:rPr>
      </w:pPr>
      <w:r w:rsidRPr="006571AC">
        <w:rPr>
          <w:rFonts w:ascii="Arial" w:hAnsi="Arial" w:hint="cs"/>
          <w:sz w:val="27"/>
          <w:rtl/>
        </w:rPr>
        <w:t>يقس</w:t>
      </w:r>
      <w:r w:rsidR="00810ECF" w:rsidRPr="006571AC">
        <w:rPr>
          <w:rFonts w:ascii="Arial" w:hAnsi="Arial" w:hint="cs"/>
          <w:sz w:val="27"/>
          <w:rtl/>
        </w:rPr>
        <w:t>ِّ</w:t>
      </w:r>
      <w:r w:rsidRPr="006571AC">
        <w:rPr>
          <w:rFonts w:ascii="Arial" w:hAnsi="Arial" w:hint="cs"/>
          <w:sz w:val="27"/>
          <w:rtl/>
        </w:rPr>
        <w:t>م الشهيد مرتضى مطه</w:t>
      </w:r>
      <w:r w:rsidR="00810ECF" w:rsidRPr="006571AC">
        <w:rPr>
          <w:rFonts w:ascii="Arial" w:hAnsi="Arial" w:hint="cs"/>
          <w:sz w:val="27"/>
          <w:rtl/>
        </w:rPr>
        <w:t>َّ</w:t>
      </w:r>
      <w:r w:rsidRPr="006571AC">
        <w:rPr>
          <w:rFonts w:ascii="Arial" w:hAnsi="Arial" w:hint="cs"/>
          <w:sz w:val="27"/>
          <w:rtl/>
        </w:rPr>
        <w:t>ري في معرض إجابته ع</w:t>
      </w:r>
      <w:r w:rsidR="00810ECF" w:rsidRPr="006571AC">
        <w:rPr>
          <w:rFonts w:ascii="Arial" w:hAnsi="Arial" w:hint="cs"/>
          <w:sz w:val="27"/>
          <w:rtl/>
        </w:rPr>
        <w:t>ن</w:t>
      </w:r>
      <w:r w:rsidRPr="006571AC">
        <w:rPr>
          <w:rFonts w:ascii="Arial" w:hAnsi="Arial" w:hint="cs"/>
          <w:sz w:val="27"/>
          <w:rtl/>
        </w:rPr>
        <w:t xml:space="preserve"> هذا التساؤل وهذه الإشكالية الذات وعبادة الذات إلى أقسام: </w:t>
      </w:r>
    </w:p>
    <w:p w:rsidR="0001386F" w:rsidRPr="006571AC" w:rsidRDefault="0001386F" w:rsidP="001069FB">
      <w:pPr>
        <w:spacing w:line="430" w:lineRule="exact"/>
        <w:rPr>
          <w:rFonts w:ascii="Arial" w:hAnsi="Arial"/>
          <w:sz w:val="27"/>
          <w:rtl/>
        </w:rPr>
      </w:pPr>
    </w:p>
    <w:p w:rsidR="0001386F" w:rsidRPr="006571AC" w:rsidRDefault="0001386F" w:rsidP="000B6711">
      <w:pPr>
        <w:pStyle w:val="31"/>
        <w:rPr>
          <w:color w:val="auto"/>
          <w:lang w:val="en-GB"/>
        </w:rPr>
      </w:pPr>
      <w:bookmarkStart w:id="429" w:name="_Toc114164837"/>
      <w:r w:rsidRPr="006571AC">
        <w:rPr>
          <w:rFonts w:hint="cs"/>
          <w:color w:val="auto"/>
          <w:rtl/>
          <w:lang w:val="en-GB"/>
        </w:rPr>
        <w:t>1ـ الذات الشخصي</w:t>
      </w:r>
      <w:r w:rsidR="00810ECF" w:rsidRPr="006571AC">
        <w:rPr>
          <w:rFonts w:hint="cs"/>
          <w:color w:val="auto"/>
          <w:rtl/>
          <w:lang w:val="en-GB"/>
        </w:rPr>
        <w:t>ّ</w:t>
      </w:r>
      <w:r w:rsidRPr="006571AC">
        <w:rPr>
          <w:rFonts w:hint="cs"/>
          <w:color w:val="auto"/>
          <w:rtl/>
          <w:lang w:val="en-GB"/>
        </w:rPr>
        <w:t>ة</w:t>
      </w:r>
      <w:bookmarkEnd w:id="429"/>
      <w:r w:rsidRPr="006571AC">
        <w:rPr>
          <w:rFonts w:hint="cs"/>
          <w:color w:val="auto"/>
          <w:rtl/>
          <w:lang w:val="en-GB"/>
        </w:rPr>
        <w:t xml:space="preserve"> </w:t>
      </w:r>
    </w:p>
    <w:p w:rsidR="0001386F" w:rsidRPr="006571AC" w:rsidRDefault="0001386F" w:rsidP="00D259C9">
      <w:pPr>
        <w:rPr>
          <w:rFonts w:ascii="Arial" w:hAnsi="Arial"/>
          <w:sz w:val="27"/>
          <w:rtl/>
          <w:lang w:val="en-GB"/>
        </w:rPr>
      </w:pPr>
      <w:r w:rsidRPr="006571AC">
        <w:rPr>
          <w:rFonts w:ascii="Arial" w:hAnsi="Arial" w:hint="cs"/>
          <w:sz w:val="27"/>
          <w:rtl/>
          <w:lang w:val="en-GB"/>
        </w:rPr>
        <w:t>الإنسان التابع والعابد لذاته تارة</w:t>
      </w:r>
      <w:r w:rsidR="00810ECF" w:rsidRPr="006571AC">
        <w:rPr>
          <w:rFonts w:ascii="Arial" w:hAnsi="Arial" w:hint="cs"/>
          <w:sz w:val="27"/>
          <w:rtl/>
          <w:lang w:val="en-GB"/>
        </w:rPr>
        <w:t>ً</w:t>
      </w:r>
      <w:r w:rsidRPr="006571AC">
        <w:rPr>
          <w:rFonts w:ascii="Arial" w:hAnsi="Arial" w:hint="cs"/>
          <w:sz w:val="27"/>
          <w:rtl/>
          <w:lang w:val="en-GB"/>
        </w:rPr>
        <w:t xml:space="preserve"> يتبع ذاته الشخصية، فهو لا يرى إلا</w:t>
      </w:r>
      <w:r w:rsidR="00810ECF" w:rsidRPr="006571AC">
        <w:rPr>
          <w:rFonts w:ascii="Arial" w:hAnsi="Arial" w:hint="cs"/>
          <w:sz w:val="27"/>
          <w:rtl/>
          <w:lang w:val="en-GB"/>
        </w:rPr>
        <w:t>ّ</w:t>
      </w:r>
      <w:r w:rsidRPr="006571AC">
        <w:rPr>
          <w:rFonts w:ascii="Arial" w:hAnsi="Arial" w:hint="cs"/>
          <w:sz w:val="27"/>
          <w:rtl/>
          <w:lang w:val="en-GB"/>
        </w:rPr>
        <w:t xml:space="preserve"> ذاته ونفسه، فهو مركز</w:t>
      </w:r>
      <w:r w:rsidR="00810ECF" w:rsidRPr="006571AC">
        <w:rPr>
          <w:rFonts w:ascii="Arial" w:hAnsi="Arial" w:hint="cs"/>
          <w:sz w:val="27"/>
          <w:rtl/>
          <w:lang w:val="en-GB"/>
        </w:rPr>
        <w:t>ُ</w:t>
      </w:r>
      <w:r w:rsidRPr="006571AC">
        <w:rPr>
          <w:rFonts w:ascii="Arial" w:hAnsi="Arial" w:hint="cs"/>
          <w:sz w:val="27"/>
          <w:rtl/>
          <w:lang w:val="en-GB"/>
        </w:rPr>
        <w:t xml:space="preserve"> الدائرة</w:t>
      </w:r>
      <w:r w:rsidR="0039345B" w:rsidRPr="006571AC">
        <w:rPr>
          <w:rFonts w:ascii="Arial" w:hAnsi="Arial" w:hint="cs"/>
          <w:sz w:val="27"/>
          <w:rtl/>
          <w:lang w:val="en-GB"/>
        </w:rPr>
        <w:t>،</w:t>
      </w:r>
      <w:r w:rsidRPr="006571AC">
        <w:rPr>
          <w:rFonts w:ascii="Arial" w:hAnsi="Arial" w:hint="cs"/>
          <w:sz w:val="27"/>
          <w:rtl/>
          <w:lang w:val="en-GB"/>
        </w:rPr>
        <w:t xml:space="preserve"> ومحيط</w:t>
      </w:r>
      <w:r w:rsidR="00810ECF" w:rsidRPr="006571AC">
        <w:rPr>
          <w:rFonts w:ascii="Arial" w:hAnsi="Arial" w:hint="cs"/>
          <w:sz w:val="27"/>
          <w:rtl/>
          <w:lang w:val="en-GB"/>
        </w:rPr>
        <w:t>ُ</w:t>
      </w:r>
      <w:r w:rsidRPr="006571AC">
        <w:rPr>
          <w:rFonts w:ascii="Arial" w:hAnsi="Arial" w:hint="cs"/>
          <w:sz w:val="27"/>
          <w:rtl/>
          <w:lang w:val="en-GB"/>
        </w:rPr>
        <w:t>ها لا يتجاوز م</w:t>
      </w:r>
      <w:r w:rsidR="00810ECF" w:rsidRPr="006571AC">
        <w:rPr>
          <w:rFonts w:ascii="Arial" w:hAnsi="Arial" w:hint="cs"/>
          <w:sz w:val="27"/>
          <w:rtl/>
          <w:lang w:val="en-GB"/>
        </w:rPr>
        <w:t>َ</w:t>
      </w:r>
      <w:r w:rsidRPr="006571AC">
        <w:rPr>
          <w:rFonts w:ascii="Arial" w:hAnsi="Arial" w:hint="cs"/>
          <w:sz w:val="27"/>
          <w:rtl/>
          <w:lang w:val="en-GB"/>
        </w:rPr>
        <w:t>ن</w:t>
      </w:r>
      <w:r w:rsidR="00810ECF" w:rsidRPr="006571AC">
        <w:rPr>
          <w:rFonts w:ascii="Arial" w:hAnsi="Arial" w:hint="cs"/>
          <w:sz w:val="27"/>
          <w:rtl/>
          <w:lang w:val="en-GB"/>
        </w:rPr>
        <w:t>ْ</w:t>
      </w:r>
      <w:r w:rsidRPr="006571AC">
        <w:rPr>
          <w:rFonts w:ascii="Arial" w:hAnsi="Arial" w:hint="cs"/>
          <w:sz w:val="27"/>
          <w:rtl/>
          <w:lang w:val="en-GB"/>
        </w:rPr>
        <w:t xml:space="preserve"> يدور حول وجودهم الشخصي وبيئتهم الخاصة</w:t>
      </w:r>
      <w:r w:rsidR="0039345B" w:rsidRPr="006571AC">
        <w:rPr>
          <w:rFonts w:ascii="Arial" w:hAnsi="Arial" w:hint="cs"/>
          <w:sz w:val="27"/>
          <w:rtl/>
          <w:lang w:val="en-GB"/>
        </w:rPr>
        <w:t>.</w:t>
      </w:r>
      <w:r w:rsidRPr="006571AC">
        <w:rPr>
          <w:rFonts w:ascii="Arial" w:hAnsi="Arial" w:hint="cs"/>
          <w:sz w:val="27"/>
          <w:rtl/>
          <w:lang w:val="en-GB"/>
        </w:rPr>
        <w:t xml:space="preserve"> ف</w:t>
      </w:r>
      <w:r w:rsidR="0039345B" w:rsidRPr="006571AC">
        <w:rPr>
          <w:rFonts w:ascii="Arial" w:hAnsi="Arial" w:hint="cs"/>
          <w:sz w:val="27"/>
          <w:rtl/>
          <w:lang w:val="en-GB"/>
        </w:rPr>
        <w:t xml:space="preserve">قد </w:t>
      </w:r>
      <w:r w:rsidRPr="006571AC">
        <w:rPr>
          <w:rFonts w:ascii="Arial" w:hAnsi="Arial" w:hint="cs"/>
          <w:sz w:val="27"/>
          <w:rtl/>
          <w:lang w:val="en-GB"/>
        </w:rPr>
        <w:t>رسموا دائرة</w:t>
      </w:r>
      <w:r w:rsidR="00810ECF" w:rsidRPr="006571AC">
        <w:rPr>
          <w:rFonts w:ascii="Arial" w:hAnsi="Arial" w:hint="cs"/>
          <w:sz w:val="27"/>
          <w:rtl/>
          <w:lang w:val="en-GB"/>
        </w:rPr>
        <w:t>ً</w:t>
      </w:r>
      <w:r w:rsidRPr="006571AC">
        <w:rPr>
          <w:rFonts w:ascii="Arial" w:hAnsi="Arial" w:hint="cs"/>
          <w:sz w:val="27"/>
          <w:rtl/>
          <w:lang w:val="en-GB"/>
        </w:rPr>
        <w:t xml:space="preserve"> هم في داخلها، وغيرهم يقع خارجها</w:t>
      </w:r>
      <w:r w:rsidR="00810ECF" w:rsidRPr="006571AC">
        <w:rPr>
          <w:rFonts w:ascii="Arial" w:hAnsi="Arial" w:hint="cs"/>
          <w:sz w:val="27"/>
          <w:rtl/>
          <w:lang w:val="en-GB"/>
        </w:rPr>
        <w:t>؛</w:t>
      </w:r>
      <w:r w:rsidRPr="006571AC">
        <w:rPr>
          <w:rFonts w:ascii="Arial" w:hAnsi="Arial" w:hint="cs"/>
          <w:sz w:val="27"/>
          <w:rtl/>
          <w:lang w:val="en-GB"/>
        </w:rPr>
        <w:t xml:space="preserve"> لأنهم يريدون كل</w:t>
      </w:r>
      <w:r w:rsidR="00810ECF" w:rsidRPr="006571AC">
        <w:rPr>
          <w:rFonts w:ascii="Arial" w:hAnsi="Arial" w:hint="cs"/>
          <w:sz w:val="27"/>
          <w:rtl/>
          <w:lang w:val="en-GB"/>
        </w:rPr>
        <w:t>ّ</w:t>
      </w:r>
      <w:r w:rsidRPr="006571AC">
        <w:rPr>
          <w:rFonts w:ascii="Arial" w:hAnsi="Arial" w:hint="cs"/>
          <w:sz w:val="27"/>
          <w:rtl/>
          <w:lang w:val="en-GB"/>
        </w:rPr>
        <w:t xml:space="preserve"> شيء لأنفسهم. وهذا هو النوع الضعيف من عبادة الذات. </w:t>
      </w:r>
    </w:p>
    <w:p w:rsidR="0001386F" w:rsidRPr="006571AC" w:rsidRDefault="0001386F" w:rsidP="001069FB">
      <w:pPr>
        <w:spacing w:line="430" w:lineRule="exact"/>
        <w:rPr>
          <w:rFonts w:ascii="Arial" w:hAnsi="Arial"/>
          <w:sz w:val="27"/>
          <w:rtl/>
          <w:lang w:val="en-GB"/>
        </w:rPr>
      </w:pPr>
    </w:p>
    <w:p w:rsidR="0001386F" w:rsidRPr="006571AC" w:rsidRDefault="0001386F" w:rsidP="000B6711">
      <w:pPr>
        <w:pStyle w:val="31"/>
        <w:rPr>
          <w:color w:val="auto"/>
          <w:lang w:val="en-GB"/>
        </w:rPr>
      </w:pPr>
      <w:bookmarkStart w:id="430" w:name="_Toc114164838"/>
      <w:r w:rsidRPr="006571AC">
        <w:rPr>
          <w:rFonts w:hint="cs"/>
          <w:color w:val="auto"/>
          <w:rtl/>
          <w:lang w:val="en-GB"/>
        </w:rPr>
        <w:t>2ـ الذات العائلي</w:t>
      </w:r>
      <w:r w:rsidR="00124D2B" w:rsidRPr="006571AC">
        <w:rPr>
          <w:rFonts w:hint="cs"/>
          <w:color w:val="auto"/>
          <w:rtl/>
          <w:lang w:val="en-GB"/>
        </w:rPr>
        <w:t>ّ</w:t>
      </w:r>
      <w:r w:rsidRPr="006571AC">
        <w:rPr>
          <w:rFonts w:hint="cs"/>
          <w:color w:val="auto"/>
          <w:rtl/>
          <w:lang w:val="en-GB"/>
        </w:rPr>
        <w:t>ة</w:t>
      </w:r>
      <w:bookmarkEnd w:id="430"/>
      <w:r w:rsidRPr="006571AC">
        <w:rPr>
          <w:rFonts w:hint="cs"/>
          <w:color w:val="auto"/>
          <w:rtl/>
          <w:lang w:val="en-GB"/>
        </w:rPr>
        <w:t xml:space="preserve"> </w:t>
      </w:r>
    </w:p>
    <w:p w:rsidR="0001386F" w:rsidRPr="006571AC" w:rsidRDefault="0001386F" w:rsidP="00D259C9">
      <w:pPr>
        <w:rPr>
          <w:rFonts w:ascii="Arial" w:hAnsi="Arial"/>
          <w:sz w:val="27"/>
          <w:rtl/>
          <w:lang w:val="en-GB"/>
        </w:rPr>
      </w:pPr>
      <w:r w:rsidRPr="006571AC">
        <w:rPr>
          <w:rFonts w:ascii="Arial" w:hAnsi="Arial" w:hint="cs"/>
          <w:sz w:val="27"/>
          <w:rtl/>
          <w:lang w:val="en-GB"/>
        </w:rPr>
        <w:t>ولكن</w:t>
      </w:r>
      <w:r w:rsidR="00810ECF" w:rsidRPr="006571AC">
        <w:rPr>
          <w:rFonts w:ascii="Arial" w:hAnsi="Arial" w:hint="cs"/>
          <w:sz w:val="27"/>
          <w:rtl/>
          <w:lang w:val="en-GB"/>
        </w:rPr>
        <w:t>ْ</w:t>
      </w:r>
      <w:r w:rsidRPr="006571AC">
        <w:rPr>
          <w:rFonts w:ascii="Arial" w:hAnsi="Arial" w:hint="cs"/>
          <w:sz w:val="27"/>
          <w:rtl/>
          <w:lang w:val="en-GB"/>
        </w:rPr>
        <w:t xml:space="preserve"> في بعض الأحيان تت</w:t>
      </w:r>
      <w:r w:rsidR="00810ECF" w:rsidRPr="006571AC">
        <w:rPr>
          <w:rFonts w:ascii="Arial" w:hAnsi="Arial" w:hint="cs"/>
          <w:sz w:val="27"/>
          <w:rtl/>
          <w:lang w:val="en-GB"/>
        </w:rPr>
        <w:t>َّ</w:t>
      </w:r>
      <w:r w:rsidRPr="006571AC">
        <w:rPr>
          <w:rFonts w:ascii="Arial" w:hAnsi="Arial" w:hint="cs"/>
          <w:sz w:val="27"/>
          <w:rtl/>
          <w:lang w:val="en-GB"/>
        </w:rPr>
        <w:t>سع دائرة عبادة الذات قليلا</w:t>
      </w:r>
      <w:r w:rsidR="00810ECF" w:rsidRPr="006571AC">
        <w:rPr>
          <w:rFonts w:ascii="Arial" w:hAnsi="Arial" w:hint="cs"/>
          <w:sz w:val="27"/>
          <w:rtl/>
          <w:lang w:val="en-GB"/>
        </w:rPr>
        <w:t>ً</w:t>
      </w:r>
      <w:r w:rsidRPr="006571AC">
        <w:rPr>
          <w:rFonts w:ascii="Arial" w:hAnsi="Arial" w:hint="cs"/>
          <w:sz w:val="27"/>
          <w:rtl/>
          <w:lang w:val="en-GB"/>
        </w:rPr>
        <w:t>، حيث يشك</w:t>
      </w:r>
      <w:r w:rsidR="00810ECF" w:rsidRPr="006571AC">
        <w:rPr>
          <w:rFonts w:ascii="Arial" w:hAnsi="Arial" w:hint="cs"/>
          <w:sz w:val="27"/>
          <w:rtl/>
          <w:lang w:val="en-GB"/>
        </w:rPr>
        <w:t>ِّ</w:t>
      </w:r>
      <w:r w:rsidRPr="006571AC">
        <w:rPr>
          <w:rFonts w:ascii="Arial" w:hAnsi="Arial" w:hint="cs"/>
          <w:sz w:val="27"/>
          <w:rtl/>
          <w:lang w:val="en-GB"/>
        </w:rPr>
        <w:t xml:space="preserve">ل هذا </w:t>
      </w:r>
      <w:r w:rsidR="00A069E4" w:rsidRPr="006571AC">
        <w:rPr>
          <w:rFonts w:ascii="Arial" w:hAnsi="Arial" w:hint="cs"/>
          <w:sz w:val="27"/>
          <w:rtl/>
          <w:lang w:val="en-GB"/>
        </w:rPr>
        <w:t>ا</w:t>
      </w:r>
      <w:r w:rsidRPr="006571AC">
        <w:rPr>
          <w:rFonts w:ascii="Arial" w:hAnsi="Arial" w:hint="cs"/>
          <w:sz w:val="27"/>
          <w:rtl/>
          <w:lang w:val="en-GB"/>
        </w:rPr>
        <w:t>لفرد العابد لذاته أسرة</w:t>
      </w:r>
      <w:r w:rsidR="00810ECF" w:rsidRPr="006571AC">
        <w:rPr>
          <w:rFonts w:ascii="Arial" w:hAnsi="Arial" w:hint="cs"/>
          <w:sz w:val="27"/>
          <w:rtl/>
          <w:lang w:val="en-GB"/>
        </w:rPr>
        <w:t>ً</w:t>
      </w:r>
      <w:r w:rsidRPr="006571AC">
        <w:rPr>
          <w:rFonts w:ascii="Arial" w:hAnsi="Arial" w:hint="cs"/>
          <w:sz w:val="27"/>
          <w:rtl/>
          <w:lang w:val="en-GB"/>
        </w:rPr>
        <w:t>، فيكون رجلا</w:t>
      </w:r>
      <w:r w:rsidR="00810ECF" w:rsidRPr="006571AC">
        <w:rPr>
          <w:rFonts w:ascii="Arial" w:hAnsi="Arial" w:hint="cs"/>
          <w:sz w:val="27"/>
          <w:rtl/>
          <w:lang w:val="en-GB"/>
        </w:rPr>
        <w:t>ً</w:t>
      </w:r>
      <w:r w:rsidRPr="006571AC">
        <w:rPr>
          <w:rFonts w:ascii="Arial" w:hAnsi="Arial" w:hint="cs"/>
          <w:sz w:val="27"/>
          <w:rtl/>
          <w:lang w:val="en-GB"/>
        </w:rPr>
        <w:t xml:space="preserve"> عادلا</w:t>
      </w:r>
      <w:r w:rsidR="00810ECF" w:rsidRPr="006571AC">
        <w:rPr>
          <w:rFonts w:ascii="Arial" w:hAnsi="Arial" w:hint="cs"/>
          <w:sz w:val="27"/>
          <w:rtl/>
          <w:lang w:val="en-GB"/>
        </w:rPr>
        <w:t>ً</w:t>
      </w:r>
      <w:r w:rsidRPr="006571AC">
        <w:rPr>
          <w:rFonts w:ascii="Arial" w:hAnsi="Arial" w:hint="cs"/>
          <w:sz w:val="27"/>
          <w:rtl/>
          <w:lang w:val="en-GB"/>
        </w:rPr>
        <w:t xml:space="preserve"> في إطار عائلته، ويضح</w:t>
      </w:r>
      <w:r w:rsidR="00810ECF" w:rsidRPr="006571AC">
        <w:rPr>
          <w:rFonts w:ascii="Arial" w:hAnsi="Arial" w:hint="cs"/>
          <w:sz w:val="27"/>
          <w:rtl/>
          <w:lang w:val="en-GB"/>
        </w:rPr>
        <w:t>ّ</w:t>
      </w:r>
      <w:r w:rsidRPr="006571AC">
        <w:rPr>
          <w:rFonts w:ascii="Arial" w:hAnsi="Arial" w:hint="cs"/>
          <w:sz w:val="27"/>
          <w:rtl/>
          <w:lang w:val="en-GB"/>
        </w:rPr>
        <w:t>ي لأجلهم</w:t>
      </w:r>
      <w:r w:rsidR="00810ECF" w:rsidRPr="006571AC">
        <w:rPr>
          <w:rFonts w:ascii="Arial" w:hAnsi="Arial" w:hint="cs"/>
          <w:sz w:val="27"/>
          <w:rtl/>
          <w:lang w:val="en-GB"/>
        </w:rPr>
        <w:t>،</w:t>
      </w:r>
      <w:r w:rsidRPr="006571AC">
        <w:rPr>
          <w:rFonts w:ascii="Arial" w:hAnsi="Arial" w:hint="cs"/>
          <w:sz w:val="27"/>
          <w:rtl/>
          <w:lang w:val="en-GB"/>
        </w:rPr>
        <w:t xml:space="preserve"> ويؤثرهم على نفسه، فهو يعيش بصفاء</w:t>
      </w:r>
      <w:r w:rsidR="00810ECF" w:rsidRPr="006571AC">
        <w:rPr>
          <w:rFonts w:ascii="Arial" w:hAnsi="Arial" w:hint="cs"/>
          <w:sz w:val="27"/>
          <w:rtl/>
          <w:lang w:val="en-GB"/>
        </w:rPr>
        <w:t>ٍ</w:t>
      </w:r>
      <w:r w:rsidRPr="006571AC">
        <w:rPr>
          <w:rFonts w:ascii="Arial" w:hAnsi="Arial" w:hint="cs"/>
          <w:sz w:val="27"/>
          <w:rtl/>
          <w:lang w:val="en-GB"/>
        </w:rPr>
        <w:t xml:space="preserve"> مع أسرته، لكن</w:t>
      </w:r>
      <w:r w:rsidR="00810ECF" w:rsidRPr="006571AC">
        <w:rPr>
          <w:rFonts w:ascii="Arial" w:hAnsi="Arial" w:hint="cs"/>
          <w:sz w:val="27"/>
          <w:rtl/>
          <w:lang w:val="en-GB"/>
        </w:rPr>
        <w:t>ّ</w:t>
      </w:r>
      <w:r w:rsidRPr="006571AC">
        <w:rPr>
          <w:rFonts w:ascii="Arial" w:hAnsi="Arial" w:hint="cs"/>
          <w:sz w:val="27"/>
          <w:rtl/>
          <w:lang w:val="en-GB"/>
        </w:rPr>
        <w:t>ه بمجر</w:t>
      </w:r>
      <w:r w:rsidR="00810ECF" w:rsidRPr="006571AC">
        <w:rPr>
          <w:rFonts w:ascii="Arial" w:hAnsi="Arial" w:hint="cs"/>
          <w:sz w:val="27"/>
          <w:rtl/>
          <w:lang w:val="en-GB"/>
        </w:rPr>
        <w:t>ّ</w:t>
      </w:r>
      <w:r w:rsidRPr="006571AC">
        <w:rPr>
          <w:rFonts w:ascii="Arial" w:hAnsi="Arial" w:hint="cs"/>
          <w:sz w:val="27"/>
          <w:rtl/>
          <w:lang w:val="en-GB"/>
        </w:rPr>
        <w:t>د أن يخرج عن بيئته العائلية فإن كل</w:t>
      </w:r>
      <w:r w:rsidR="00810ECF" w:rsidRPr="006571AC">
        <w:rPr>
          <w:rFonts w:ascii="Arial" w:hAnsi="Arial" w:hint="cs"/>
          <w:sz w:val="27"/>
          <w:rtl/>
          <w:lang w:val="en-GB"/>
        </w:rPr>
        <w:t>ّ</w:t>
      </w:r>
      <w:r w:rsidRPr="006571AC">
        <w:rPr>
          <w:rFonts w:ascii="Arial" w:hAnsi="Arial" w:hint="cs"/>
          <w:sz w:val="27"/>
          <w:rtl/>
          <w:lang w:val="en-GB"/>
        </w:rPr>
        <w:t xml:space="preserve"> شيء يريده لعائلته</w:t>
      </w:r>
      <w:r w:rsidR="00810ECF" w:rsidRPr="006571AC">
        <w:rPr>
          <w:rFonts w:ascii="Arial" w:hAnsi="Arial" w:hint="cs"/>
          <w:sz w:val="27"/>
          <w:rtl/>
          <w:lang w:val="en-GB"/>
        </w:rPr>
        <w:t>.</w:t>
      </w:r>
      <w:r w:rsidRPr="006571AC">
        <w:rPr>
          <w:rFonts w:ascii="Arial" w:hAnsi="Arial" w:hint="cs"/>
          <w:sz w:val="27"/>
          <w:rtl/>
          <w:lang w:val="en-GB"/>
        </w:rPr>
        <w:t xml:space="preserve"> ولأن جميع الصفات الر</w:t>
      </w:r>
      <w:r w:rsidR="00810ECF" w:rsidRPr="006571AC">
        <w:rPr>
          <w:rFonts w:ascii="Arial" w:hAnsi="Arial" w:hint="cs"/>
          <w:sz w:val="27"/>
          <w:rtl/>
          <w:lang w:val="en-GB"/>
        </w:rPr>
        <w:t>ذ</w:t>
      </w:r>
      <w:r w:rsidRPr="006571AC">
        <w:rPr>
          <w:rFonts w:ascii="Arial" w:hAnsi="Arial" w:hint="cs"/>
          <w:sz w:val="27"/>
          <w:rtl/>
          <w:lang w:val="en-GB"/>
        </w:rPr>
        <w:t>يلة ناشئة</w:t>
      </w:r>
      <w:r w:rsidR="00810ECF" w:rsidRPr="006571AC">
        <w:rPr>
          <w:rFonts w:ascii="Arial" w:hAnsi="Arial" w:hint="cs"/>
          <w:sz w:val="27"/>
          <w:rtl/>
          <w:lang w:val="en-GB"/>
        </w:rPr>
        <w:t>ٌ</w:t>
      </w:r>
      <w:r w:rsidRPr="006571AC">
        <w:rPr>
          <w:rFonts w:ascii="Arial" w:hAnsi="Arial" w:hint="cs"/>
          <w:sz w:val="27"/>
          <w:rtl/>
          <w:lang w:val="en-GB"/>
        </w:rPr>
        <w:t xml:space="preserve"> من عبادة الذات فإن م</w:t>
      </w:r>
      <w:r w:rsidR="00810ECF" w:rsidRPr="006571AC">
        <w:rPr>
          <w:rFonts w:ascii="Arial" w:hAnsi="Arial" w:hint="cs"/>
          <w:sz w:val="27"/>
          <w:rtl/>
          <w:lang w:val="en-GB"/>
        </w:rPr>
        <w:t>َ</w:t>
      </w:r>
      <w:r w:rsidRPr="006571AC">
        <w:rPr>
          <w:rFonts w:ascii="Arial" w:hAnsi="Arial" w:hint="cs"/>
          <w:sz w:val="27"/>
          <w:rtl/>
          <w:lang w:val="en-GB"/>
        </w:rPr>
        <w:t>ن</w:t>
      </w:r>
      <w:r w:rsidR="00810ECF" w:rsidRPr="006571AC">
        <w:rPr>
          <w:rFonts w:ascii="Arial" w:hAnsi="Arial" w:hint="cs"/>
          <w:sz w:val="27"/>
          <w:rtl/>
          <w:lang w:val="en-GB"/>
        </w:rPr>
        <w:t>ْ</w:t>
      </w:r>
      <w:r w:rsidRPr="006571AC">
        <w:rPr>
          <w:rFonts w:ascii="Arial" w:hAnsi="Arial" w:hint="cs"/>
          <w:sz w:val="27"/>
          <w:rtl/>
          <w:lang w:val="en-GB"/>
        </w:rPr>
        <w:t xml:space="preserve"> يعبد ذاته عندما يخرج عن إطار عائلته إلى بيئة</w:t>
      </w:r>
      <w:r w:rsidR="00810ECF" w:rsidRPr="006571AC">
        <w:rPr>
          <w:rFonts w:ascii="Arial" w:hAnsi="Arial" w:hint="cs"/>
          <w:sz w:val="27"/>
          <w:rtl/>
          <w:lang w:val="en-GB"/>
        </w:rPr>
        <w:t>ٍ</w:t>
      </w:r>
      <w:r w:rsidRPr="006571AC">
        <w:rPr>
          <w:rFonts w:ascii="Arial" w:hAnsi="Arial" w:hint="cs"/>
          <w:sz w:val="27"/>
          <w:rtl/>
          <w:lang w:val="en-GB"/>
        </w:rPr>
        <w:t xml:space="preserve"> أكبر يشتد</w:t>
      </w:r>
      <w:r w:rsidR="00810ECF" w:rsidRPr="006571AC">
        <w:rPr>
          <w:rFonts w:ascii="Arial" w:hAnsi="Arial" w:hint="cs"/>
          <w:sz w:val="27"/>
          <w:rtl/>
          <w:lang w:val="en-GB"/>
        </w:rPr>
        <w:t>ّ</w:t>
      </w:r>
      <w:r w:rsidRPr="006571AC">
        <w:rPr>
          <w:rFonts w:ascii="Arial" w:hAnsi="Arial" w:hint="cs"/>
          <w:sz w:val="27"/>
          <w:rtl/>
          <w:lang w:val="en-GB"/>
        </w:rPr>
        <w:t xml:space="preserve"> حرصه</w:t>
      </w:r>
      <w:r w:rsidR="00810ECF" w:rsidRPr="006571AC">
        <w:rPr>
          <w:rFonts w:ascii="Arial" w:hAnsi="Arial" w:hint="cs"/>
          <w:sz w:val="27"/>
          <w:rtl/>
          <w:lang w:val="en-GB"/>
        </w:rPr>
        <w:t>،</w:t>
      </w:r>
      <w:r w:rsidRPr="006571AC">
        <w:rPr>
          <w:rFonts w:ascii="Arial" w:hAnsi="Arial" w:hint="cs"/>
          <w:sz w:val="27"/>
          <w:rtl/>
          <w:lang w:val="en-GB"/>
        </w:rPr>
        <w:t xml:space="preserve"> ويكثر نشاطه، فيمارس كثير</w:t>
      </w:r>
      <w:r w:rsidR="00810ECF" w:rsidRPr="006571AC">
        <w:rPr>
          <w:rFonts w:ascii="Arial" w:hAnsi="Arial" w:hint="cs"/>
          <w:sz w:val="27"/>
          <w:rtl/>
          <w:lang w:val="en-GB"/>
        </w:rPr>
        <w:t>اً</w:t>
      </w:r>
      <w:r w:rsidRPr="006571AC">
        <w:rPr>
          <w:rFonts w:ascii="Arial" w:hAnsi="Arial" w:hint="cs"/>
          <w:sz w:val="27"/>
          <w:rtl/>
          <w:lang w:val="en-GB"/>
        </w:rPr>
        <w:t xml:space="preserve"> من الرذائل الأخلاقية</w:t>
      </w:r>
      <w:r w:rsidR="00810ECF" w:rsidRPr="006571AC">
        <w:rPr>
          <w:rFonts w:ascii="Arial" w:hAnsi="Arial" w:hint="cs"/>
          <w:sz w:val="27"/>
          <w:rtl/>
          <w:lang w:val="en-GB"/>
        </w:rPr>
        <w:t>؛</w:t>
      </w:r>
      <w:r w:rsidRPr="006571AC">
        <w:rPr>
          <w:rFonts w:ascii="Arial" w:hAnsi="Arial" w:hint="cs"/>
          <w:sz w:val="27"/>
          <w:rtl/>
          <w:lang w:val="en-GB"/>
        </w:rPr>
        <w:t xml:space="preserve"> لأجل جلب المنفعة لعائلته. وهنا الأصل في ذلك هو عبادة الذات، لكن</w:t>
      </w:r>
      <w:r w:rsidR="0039345B" w:rsidRPr="006571AC">
        <w:rPr>
          <w:rFonts w:ascii="Arial" w:hAnsi="Arial" w:hint="cs"/>
          <w:sz w:val="27"/>
          <w:rtl/>
          <w:lang w:val="en-GB"/>
        </w:rPr>
        <w:t>ْ</w:t>
      </w:r>
      <w:r w:rsidRPr="006571AC">
        <w:rPr>
          <w:rFonts w:ascii="Arial" w:hAnsi="Arial" w:hint="cs"/>
          <w:sz w:val="27"/>
          <w:rtl/>
          <w:lang w:val="en-GB"/>
        </w:rPr>
        <w:t xml:space="preserve"> هنا الذات بات</w:t>
      </w:r>
      <w:r w:rsidR="0039345B" w:rsidRPr="006571AC">
        <w:rPr>
          <w:rFonts w:ascii="Arial" w:hAnsi="Arial" w:hint="cs"/>
          <w:sz w:val="27"/>
          <w:rtl/>
          <w:lang w:val="en-GB"/>
        </w:rPr>
        <w:t>َ</w:t>
      </w:r>
      <w:r w:rsidRPr="006571AC">
        <w:rPr>
          <w:rFonts w:ascii="Arial" w:hAnsi="Arial" w:hint="cs"/>
          <w:sz w:val="27"/>
          <w:rtl/>
          <w:lang w:val="en-GB"/>
        </w:rPr>
        <w:t>ت</w:t>
      </w:r>
      <w:r w:rsidR="0039345B" w:rsidRPr="006571AC">
        <w:rPr>
          <w:rFonts w:ascii="Arial" w:hAnsi="Arial" w:hint="cs"/>
          <w:sz w:val="27"/>
          <w:rtl/>
          <w:lang w:val="en-GB"/>
        </w:rPr>
        <w:t>ْ</w:t>
      </w:r>
      <w:r w:rsidRPr="006571AC">
        <w:rPr>
          <w:rFonts w:ascii="Arial" w:hAnsi="Arial" w:hint="cs"/>
          <w:sz w:val="27"/>
          <w:rtl/>
          <w:lang w:val="en-GB"/>
        </w:rPr>
        <w:t xml:space="preserve"> أكبر، وإن تغي</w:t>
      </w:r>
      <w:r w:rsidR="0039345B" w:rsidRPr="006571AC">
        <w:rPr>
          <w:rFonts w:ascii="Arial" w:hAnsi="Arial" w:hint="cs"/>
          <w:sz w:val="27"/>
          <w:rtl/>
          <w:lang w:val="en-GB"/>
        </w:rPr>
        <w:t>َّ</w:t>
      </w:r>
      <w:r w:rsidRPr="006571AC">
        <w:rPr>
          <w:rFonts w:ascii="Arial" w:hAnsi="Arial" w:hint="cs"/>
          <w:sz w:val="27"/>
          <w:rtl/>
          <w:lang w:val="en-GB"/>
        </w:rPr>
        <w:t>ر المجال</w:t>
      </w:r>
      <w:r w:rsidR="0039345B" w:rsidRPr="006571AC">
        <w:rPr>
          <w:rFonts w:ascii="Arial" w:hAnsi="Arial" w:hint="cs"/>
          <w:sz w:val="27"/>
          <w:rtl/>
          <w:lang w:val="en-GB"/>
        </w:rPr>
        <w:t>،</w:t>
      </w:r>
      <w:r w:rsidRPr="006571AC">
        <w:rPr>
          <w:rFonts w:ascii="Arial" w:hAnsi="Arial" w:hint="cs"/>
          <w:sz w:val="27"/>
          <w:rtl/>
          <w:lang w:val="en-GB"/>
        </w:rPr>
        <w:t xml:space="preserve"> لكن</w:t>
      </w:r>
      <w:r w:rsidR="0039345B" w:rsidRPr="006571AC">
        <w:rPr>
          <w:rFonts w:ascii="Arial" w:hAnsi="Arial" w:hint="cs"/>
          <w:sz w:val="27"/>
          <w:rtl/>
          <w:lang w:val="en-GB"/>
        </w:rPr>
        <w:t>ّ</w:t>
      </w:r>
      <w:r w:rsidRPr="006571AC">
        <w:rPr>
          <w:rFonts w:ascii="Arial" w:hAnsi="Arial" w:hint="cs"/>
          <w:sz w:val="27"/>
          <w:rtl/>
          <w:lang w:val="en-GB"/>
        </w:rPr>
        <w:t xml:space="preserve"> الأصل هو عبادة الذات. </w:t>
      </w:r>
    </w:p>
    <w:p w:rsidR="0001386F" w:rsidRPr="006571AC" w:rsidRDefault="0001386F" w:rsidP="001069FB">
      <w:pPr>
        <w:spacing w:line="420" w:lineRule="exact"/>
        <w:rPr>
          <w:rFonts w:ascii="Arial" w:hAnsi="Arial"/>
          <w:sz w:val="27"/>
          <w:rtl/>
          <w:lang w:val="en-GB"/>
        </w:rPr>
      </w:pPr>
    </w:p>
    <w:p w:rsidR="0001386F" w:rsidRPr="006571AC" w:rsidRDefault="0001386F" w:rsidP="000B6711">
      <w:pPr>
        <w:pStyle w:val="31"/>
        <w:rPr>
          <w:color w:val="auto"/>
          <w:lang w:val="en-GB"/>
        </w:rPr>
      </w:pPr>
      <w:bookmarkStart w:id="431" w:name="_Toc114164839"/>
      <w:r w:rsidRPr="006571AC">
        <w:rPr>
          <w:rFonts w:hint="cs"/>
          <w:color w:val="auto"/>
          <w:rtl/>
          <w:lang w:val="en-GB"/>
        </w:rPr>
        <w:t>3ـ الذات الوطني</w:t>
      </w:r>
      <w:r w:rsidR="0039345B" w:rsidRPr="006571AC">
        <w:rPr>
          <w:rFonts w:hint="cs"/>
          <w:color w:val="auto"/>
          <w:rtl/>
          <w:lang w:val="en-GB"/>
        </w:rPr>
        <w:t>ّ</w:t>
      </w:r>
      <w:r w:rsidRPr="006571AC">
        <w:rPr>
          <w:rFonts w:hint="cs"/>
          <w:color w:val="auto"/>
          <w:rtl/>
          <w:lang w:val="en-GB"/>
        </w:rPr>
        <w:t>ة أو القومي</w:t>
      </w:r>
      <w:r w:rsidR="0039345B" w:rsidRPr="006571AC">
        <w:rPr>
          <w:rFonts w:hint="cs"/>
          <w:color w:val="auto"/>
          <w:rtl/>
          <w:lang w:val="en-GB"/>
        </w:rPr>
        <w:t>ّ</w:t>
      </w:r>
      <w:r w:rsidRPr="006571AC">
        <w:rPr>
          <w:rFonts w:hint="cs"/>
          <w:color w:val="auto"/>
          <w:rtl/>
          <w:lang w:val="en-GB"/>
        </w:rPr>
        <w:t>ة</w:t>
      </w:r>
      <w:bookmarkEnd w:id="431"/>
      <w:r w:rsidRPr="006571AC">
        <w:rPr>
          <w:rFonts w:hint="cs"/>
          <w:color w:val="auto"/>
          <w:rtl/>
          <w:lang w:val="en-GB"/>
        </w:rPr>
        <w:t xml:space="preserve"> </w:t>
      </w:r>
    </w:p>
    <w:p w:rsidR="0001386F" w:rsidRPr="006571AC" w:rsidRDefault="0001386F" w:rsidP="00D259C9">
      <w:pPr>
        <w:rPr>
          <w:rFonts w:ascii="Arial" w:hAnsi="Arial"/>
          <w:sz w:val="27"/>
          <w:rtl/>
          <w:lang w:val="en-GB"/>
        </w:rPr>
      </w:pPr>
      <w:r w:rsidRPr="006571AC">
        <w:rPr>
          <w:rFonts w:ascii="Arial" w:hAnsi="Arial" w:hint="cs"/>
          <w:sz w:val="27"/>
          <w:rtl/>
          <w:lang w:val="en-GB"/>
        </w:rPr>
        <w:t>وتت</w:t>
      </w:r>
      <w:r w:rsidR="0039345B" w:rsidRPr="006571AC">
        <w:rPr>
          <w:rFonts w:ascii="Arial" w:hAnsi="Arial" w:hint="cs"/>
          <w:sz w:val="27"/>
          <w:rtl/>
          <w:lang w:val="en-GB"/>
        </w:rPr>
        <w:t>َّ</w:t>
      </w:r>
      <w:r w:rsidRPr="006571AC">
        <w:rPr>
          <w:rFonts w:ascii="Arial" w:hAnsi="Arial" w:hint="cs"/>
          <w:sz w:val="27"/>
          <w:rtl/>
          <w:lang w:val="en-GB"/>
        </w:rPr>
        <w:t>سع الذات لتشمل ما هو أكبر من العُصْبَة أو العائلة</w:t>
      </w:r>
      <w:r w:rsidR="0039345B" w:rsidRPr="006571AC">
        <w:rPr>
          <w:rFonts w:ascii="Arial" w:hAnsi="Arial" w:hint="cs"/>
          <w:sz w:val="27"/>
          <w:rtl/>
          <w:lang w:val="en-GB"/>
        </w:rPr>
        <w:t>،</w:t>
      </w:r>
      <w:r w:rsidRPr="006571AC">
        <w:rPr>
          <w:rFonts w:ascii="Arial" w:hAnsi="Arial" w:hint="cs"/>
          <w:sz w:val="27"/>
          <w:rtl/>
          <w:lang w:val="en-GB"/>
        </w:rPr>
        <w:t xml:space="preserve"> لتصبح الذات الوطنية أو القومية، فيكون الشخص بالنسبة إلى شعبه وأم</w:t>
      </w:r>
      <w:r w:rsidR="0039345B" w:rsidRPr="006571AC">
        <w:rPr>
          <w:rFonts w:ascii="Arial" w:hAnsi="Arial" w:hint="cs"/>
          <w:sz w:val="27"/>
          <w:rtl/>
          <w:lang w:val="en-GB"/>
        </w:rPr>
        <w:t>ّ</w:t>
      </w:r>
      <w:r w:rsidRPr="006571AC">
        <w:rPr>
          <w:rFonts w:ascii="Arial" w:hAnsi="Arial" w:hint="cs"/>
          <w:sz w:val="27"/>
          <w:rtl/>
          <w:lang w:val="en-GB"/>
        </w:rPr>
        <w:t>ته أمينا</w:t>
      </w:r>
      <w:r w:rsidR="0039345B" w:rsidRPr="006571AC">
        <w:rPr>
          <w:rFonts w:ascii="Arial" w:hAnsi="Arial" w:hint="cs"/>
          <w:sz w:val="27"/>
          <w:rtl/>
          <w:lang w:val="en-GB"/>
        </w:rPr>
        <w:t>ً</w:t>
      </w:r>
      <w:r w:rsidRPr="006571AC">
        <w:rPr>
          <w:rFonts w:ascii="Arial" w:hAnsi="Arial" w:hint="cs"/>
          <w:sz w:val="27"/>
          <w:rtl/>
          <w:lang w:val="en-GB"/>
        </w:rPr>
        <w:t xml:space="preserve"> نزيها</w:t>
      </w:r>
      <w:r w:rsidR="0039345B" w:rsidRPr="006571AC">
        <w:rPr>
          <w:rFonts w:ascii="Arial" w:hAnsi="Arial" w:hint="cs"/>
          <w:sz w:val="27"/>
          <w:rtl/>
          <w:lang w:val="en-GB"/>
        </w:rPr>
        <w:t>ً</w:t>
      </w:r>
      <w:r w:rsidRPr="006571AC">
        <w:rPr>
          <w:rFonts w:ascii="Arial" w:hAnsi="Arial" w:hint="cs"/>
          <w:sz w:val="27"/>
          <w:rtl/>
          <w:lang w:val="en-GB"/>
        </w:rPr>
        <w:t xml:space="preserve"> صادقا</w:t>
      </w:r>
      <w:r w:rsidR="0039345B" w:rsidRPr="006571AC">
        <w:rPr>
          <w:rFonts w:ascii="Arial" w:hAnsi="Arial" w:hint="cs"/>
          <w:sz w:val="27"/>
          <w:rtl/>
          <w:lang w:val="en-GB"/>
        </w:rPr>
        <w:t>ً</w:t>
      </w:r>
      <w:r w:rsidRPr="006571AC">
        <w:rPr>
          <w:rFonts w:ascii="Arial" w:hAnsi="Arial" w:hint="cs"/>
          <w:sz w:val="27"/>
          <w:rtl/>
          <w:lang w:val="en-GB"/>
        </w:rPr>
        <w:t>، فلا يكذب ولا يخون، فهو لا يرتكب السي</w:t>
      </w:r>
      <w:r w:rsidR="0039345B" w:rsidRPr="006571AC">
        <w:rPr>
          <w:rFonts w:ascii="Arial" w:hAnsi="Arial" w:hint="cs"/>
          <w:sz w:val="27"/>
          <w:rtl/>
          <w:lang w:val="en-GB"/>
        </w:rPr>
        <w:t>ِّ</w:t>
      </w:r>
      <w:r w:rsidRPr="006571AC">
        <w:rPr>
          <w:rFonts w:ascii="Arial" w:hAnsi="Arial" w:hint="cs"/>
          <w:sz w:val="27"/>
          <w:rtl/>
          <w:lang w:val="en-GB"/>
        </w:rPr>
        <w:t>ئات الأخلاقية مع ذاته، إلا</w:t>
      </w:r>
      <w:r w:rsidR="0039345B" w:rsidRPr="006571AC">
        <w:rPr>
          <w:rFonts w:ascii="Arial" w:hAnsi="Arial" w:hint="cs"/>
          <w:sz w:val="27"/>
          <w:rtl/>
          <w:lang w:val="en-GB"/>
        </w:rPr>
        <w:t>ّ</w:t>
      </w:r>
      <w:r w:rsidRPr="006571AC">
        <w:rPr>
          <w:rFonts w:ascii="Arial" w:hAnsi="Arial" w:hint="cs"/>
          <w:sz w:val="27"/>
          <w:rtl/>
          <w:lang w:val="en-GB"/>
        </w:rPr>
        <w:t xml:space="preserve"> أن ذاته هنا قد أصبح</w:t>
      </w:r>
      <w:r w:rsidR="0039345B" w:rsidRPr="006571AC">
        <w:rPr>
          <w:rFonts w:ascii="Arial" w:hAnsi="Arial" w:hint="cs"/>
          <w:sz w:val="27"/>
          <w:rtl/>
          <w:lang w:val="en-GB"/>
        </w:rPr>
        <w:t>َ</w:t>
      </w:r>
      <w:r w:rsidRPr="006571AC">
        <w:rPr>
          <w:rFonts w:ascii="Arial" w:hAnsi="Arial" w:hint="cs"/>
          <w:sz w:val="27"/>
          <w:rtl/>
          <w:lang w:val="en-GB"/>
        </w:rPr>
        <w:t>ت</w:t>
      </w:r>
      <w:r w:rsidR="0039345B" w:rsidRPr="006571AC">
        <w:rPr>
          <w:rFonts w:ascii="Arial" w:hAnsi="Arial" w:hint="cs"/>
          <w:sz w:val="27"/>
          <w:rtl/>
          <w:lang w:val="en-GB"/>
        </w:rPr>
        <w:t>ْ</w:t>
      </w:r>
      <w:r w:rsidRPr="006571AC">
        <w:rPr>
          <w:rFonts w:ascii="Arial" w:hAnsi="Arial" w:hint="cs"/>
          <w:sz w:val="27"/>
          <w:rtl/>
          <w:lang w:val="en-GB"/>
        </w:rPr>
        <w:t xml:space="preserve"> أكبر وأوسع، وهو من أجل شعبه وأم</w:t>
      </w:r>
      <w:r w:rsidR="0039345B" w:rsidRPr="006571AC">
        <w:rPr>
          <w:rFonts w:ascii="Arial" w:hAnsi="Arial" w:hint="cs"/>
          <w:sz w:val="27"/>
          <w:rtl/>
          <w:lang w:val="en-GB"/>
        </w:rPr>
        <w:t>ّ</w:t>
      </w:r>
      <w:r w:rsidRPr="006571AC">
        <w:rPr>
          <w:rFonts w:ascii="Arial" w:hAnsi="Arial" w:hint="cs"/>
          <w:sz w:val="27"/>
          <w:rtl/>
          <w:lang w:val="en-GB"/>
        </w:rPr>
        <w:t>ته يرتكب أبشع السي</w:t>
      </w:r>
      <w:r w:rsidR="0039345B" w:rsidRPr="006571AC">
        <w:rPr>
          <w:rFonts w:ascii="Arial" w:hAnsi="Arial" w:hint="cs"/>
          <w:sz w:val="27"/>
          <w:rtl/>
          <w:lang w:val="en-GB"/>
        </w:rPr>
        <w:t>ِّ</w:t>
      </w:r>
      <w:r w:rsidRPr="006571AC">
        <w:rPr>
          <w:rFonts w:ascii="Arial" w:hAnsi="Arial" w:hint="cs"/>
          <w:sz w:val="27"/>
          <w:rtl/>
          <w:lang w:val="en-GB"/>
        </w:rPr>
        <w:t>ئات الأخلاقية مع غيرها</w:t>
      </w:r>
      <w:r w:rsidR="0039345B" w:rsidRPr="006571AC">
        <w:rPr>
          <w:rFonts w:ascii="Arial" w:hAnsi="Arial" w:hint="cs"/>
          <w:sz w:val="27"/>
          <w:rtl/>
          <w:lang w:val="en-GB"/>
        </w:rPr>
        <w:t>،</w:t>
      </w:r>
      <w:r w:rsidRPr="006571AC">
        <w:rPr>
          <w:rFonts w:ascii="Arial" w:hAnsi="Arial" w:hint="cs"/>
          <w:sz w:val="27"/>
          <w:rtl/>
          <w:lang w:val="en-GB"/>
        </w:rPr>
        <w:t xml:space="preserve"> وعلى نطاق</w:t>
      </w:r>
      <w:r w:rsidR="0039345B" w:rsidRPr="006571AC">
        <w:rPr>
          <w:rFonts w:ascii="Arial" w:hAnsi="Arial" w:hint="cs"/>
          <w:sz w:val="27"/>
          <w:rtl/>
          <w:lang w:val="en-GB"/>
        </w:rPr>
        <w:t>ٍ</w:t>
      </w:r>
      <w:r w:rsidRPr="006571AC">
        <w:rPr>
          <w:rFonts w:ascii="Arial" w:hAnsi="Arial" w:hint="cs"/>
          <w:sz w:val="27"/>
          <w:rtl/>
          <w:lang w:val="en-GB"/>
        </w:rPr>
        <w:t xml:space="preserve"> أعم</w:t>
      </w:r>
      <w:r w:rsidR="0039345B" w:rsidRPr="006571AC">
        <w:rPr>
          <w:rFonts w:ascii="Arial" w:hAnsi="Arial" w:hint="cs"/>
          <w:sz w:val="27"/>
          <w:rtl/>
          <w:lang w:val="en-GB"/>
        </w:rPr>
        <w:t>ّ</w:t>
      </w:r>
      <w:r w:rsidRPr="006571AC">
        <w:rPr>
          <w:rFonts w:ascii="Arial" w:hAnsi="Arial" w:hint="cs"/>
          <w:sz w:val="27"/>
          <w:rtl/>
          <w:lang w:val="en-GB"/>
        </w:rPr>
        <w:t xml:space="preserve"> وأشمل، فجميع الفضائل الأخلاقية</w:t>
      </w:r>
      <w:r w:rsidR="0039345B" w:rsidRPr="006571AC">
        <w:rPr>
          <w:rFonts w:ascii="Arial" w:hAnsi="Arial" w:hint="cs"/>
          <w:sz w:val="27"/>
          <w:rtl/>
          <w:lang w:val="en-GB"/>
        </w:rPr>
        <w:t>،</w:t>
      </w:r>
      <w:r w:rsidRPr="006571AC">
        <w:rPr>
          <w:rFonts w:ascii="Arial" w:hAnsi="Arial" w:hint="cs"/>
          <w:sz w:val="27"/>
          <w:rtl/>
          <w:lang w:val="en-GB"/>
        </w:rPr>
        <w:t xml:space="preserve"> من صدق</w:t>
      </w:r>
      <w:r w:rsidR="0039345B" w:rsidRPr="006571AC">
        <w:rPr>
          <w:rFonts w:ascii="Arial" w:hAnsi="Arial" w:hint="cs"/>
          <w:sz w:val="27"/>
          <w:rtl/>
          <w:lang w:val="en-GB"/>
        </w:rPr>
        <w:t>ٍ</w:t>
      </w:r>
      <w:r w:rsidRPr="006571AC">
        <w:rPr>
          <w:rFonts w:ascii="Arial" w:hAnsi="Arial" w:hint="cs"/>
          <w:sz w:val="27"/>
          <w:rtl/>
          <w:lang w:val="en-GB"/>
        </w:rPr>
        <w:t xml:space="preserve"> واستقامة وسلام </w:t>
      </w:r>
      <w:r w:rsidRPr="006571AC">
        <w:rPr>
          <w:rFonts w:ascii="Arial" w:hAnsi="Arial" w:hint="cs"/>
          <w:sz w:val="27"/>
          <w:rtl/>
          <w:lang w:val="en-GB"/>
        </w:rPr>
        <w:lastRenderedPageBreak/>
        <w:t>وعدالة وحب</w:t>
      </w:r>
      <w:r w:rsidR="0039345B" w:rsidRPr="006571AC">
        <w:rPr>
          <w:rFonts w:ascii="Arial" w:hAnsi="Arial" w:hint="cs"/>
          <w:sz w:val="27"/>
          <w:rtl/>
          <w:lang w:val="en-GB"/>
        </w:rPr>
        <w:t>ّ</w:t>
      </w:r>
      <w:r w:rsidRPr="006571AC">
        <w:rPr>
          <w:rFonts w:ascii="Arial" w:hAnsi="Arial" w:hint="cs"/>
          <w:sz w:val="27"/>
          <w:rtl/>
          <w:lang w:val="en-GB"/>
        </w:rPr>
        <w:t xml:space="preserve"> وحماية</w:t>
      </w:r>
      <w:r w:rsidR="0039345B" w:rsidRPr="006571AC">
        <w:rPr>
          <w:rFonts w:ascii="Arial" w:hAnsi="Arial" w:hint="cs"/>
          <w:sz w:val="27"/>
          <w:rtl/>
          <w:lang w:val="en-GB"/>
        </w:rPr>
        <w:t>ٍ</w:t>
      </w:r>
      <w:r w:rsidRPr="006571AC">
        <w:rPr>
          <w:rFonts w:ascii="Arial" w:hAnsi="Arial" w:hint="cs"/>
          <w:sz w:val="27"/>
          <w:rtl/>
          <w:lang w:val="en-GB"/>
        </w:rPr>
        <w:t xml:space="preserve"> للضعيف، إن</w:t>
      </w:r>
      <w:r w:rsidR="0039345B" w:rsidRPr="006571AC">
        <w:rPr>
          <w:rFonts w:ascii="Arial" w:hAnsi="Arial" w:hint="cs"/>
          <w:sz w:val="27"/>
          <w:rtl/>
          <w:lang w:val="en-GB"/>
        </w:rPr>
        <w:t>ْ</w:t>
      </w:r>
      <w:r w:rsidRPr="006571AC">
        <w:rPr>
          <w:rFonts w:ascii="Arial" w:hAnsi="Arial" w:hint="cs"/>
          <w:sz w:val="27"/>
          <w:rtl/>
          <w:lang w:val="en-GB"/>
        </w:rPr>
        <w:t xml:space="preserve"> كانت تنتهي لمصالح شعوبهم فهي صحيحة</w:t>
      </w:r>
      <w:r w:rsidR="0039345B" w:rsidRPr="006571AC">
        <w:rPr>
          <w:rFonts w:ascii="Arial" w:hAnsi="Arial" w:hint="cs"/>
          <w:sz w:val="27"/>
          <w:rtl/>
          <w:lang w:val="en-GB"/>
        </w:rPr>
        <w:t>ٌ</w:t>
      </w:r>
      <w:r w:rsidRPr="006571AC">
        <w:rPr>
          <w:rFonts w:ascii="Arial" w:hAnsi="Arial" w:hint="cs"/>
          <w:sz w:val="27"/>
          <w:rtl/>
          <w:lang w:val="en-GB"/>
        </w:rPr>
        <w:t>، وإلا</w:t>
      </w:r>
      <w:r w:rsidR="0039345B" w:rsidRPr="006571AC">
        <w:rPr>
          <w:rFonts w:ascii="Arial" w:hAnsi="Arial" w:hint="cs"/>
          <w:sz w:val="27"/>
          <w:rtl/>
          <w:lang w:val="en-GB"/>
        </w:rPr>
        <w:t>ّ</w:t>
      </w:r>
      <w:r w:rsidRPr="006571AC">
        <w:rPr>
          <w:rFonts w:ascii="Arial" w:hAnsi="Arial" w:hint="cs"/>
          <w:sz w:val="27"/>
          <w:rtl/>
          <w:lang w:val="en-GB"/>
        </w:rPr>
        <w:t xml:space="preserve"> فهي غير</w:t>
      </w:r>
      <w:r w:rsidR="0039345B" w:rsidRPr="006571AC">
        <w:rPr>
          <w:rFonts w:ascii="Arial" w:hAnsi="Arial" w:hint="cs"/>
          <w:sz w:val="27"/>
          <w:rtl/>
          <w:lang w:val="en-GB"/>
        </w:rPr>
        <w:t>ُ</w:t>
      </w:r>
      <w:r w:rsidRPr="006571AC">
        <w:rPr>
          <w:rFonts w:ascii="Arial" w:hAnsi="Arial" w:hint="cs"/>
          <w:sz w:val="27"/>
          <w:rtl/>
          <w:lang w:val="en-GB"/>
        </w:rPr>
        <w:t xml:space="preserve"> صحيحة</w:t>
      </w:r>
      <w:r w:rsidR="0039345B" w:rsidRPr="006571AC">
        <w:rPr>
          <w:rFonts w:ascii="Arial" w:hAnsi="Arial" w:hint="cs"/>
          <w:sz w:val="27"/>
          <w:rtl/>
          <w:lang w:val="en-GB"/>
        </w:rPr>
        <w:t>ٍ</w:t>
      </w:r>
      <w:r w:rsidRPr="006571AC">
        <w:rPr>
          <w:rFonts w:ascii="Arial" w:hAnsi="Arial"/>
          <w:sz w:val="27"/>
          <w:vertAlign w:val="superscript"/>
          <w:rtl/>
          <w:lang w:val="en-GB"/>
        </w:rPr>
        <w:t>(</w:t>
      </w:r>
      <w:r w:rsidRPr="006571AC">
        <w:rPr>
          <w:rStyle w:val="ac"/>
          <w:rFonts w:ascii="Arial" w:hAnsi="Arial"/>
          <w:sz w:val="27"/>
          <w:rtl/>
          <w:lang w:val="en-GB"/>
        </w:rPr>
        <w:endnoteReference w:id="722"/>
      </w:r>
      <w:r w:rsidRPr="006571AC">
        <w:rPr>
          <w:rFonts w:ascii="Arial" w:hAnsi="Arial"/>
          <w:sz w:val="27"/>
          <w:vertAlign w:val="superscript"/>
          <w:rtl/>
          <w:lang w:val="en-GB"/>
        </w:rPr>
        <w:t>)</w:t>
      </w:r>
      <w:r w:rsidRPr="006571AC">
        <w:rPr>
          <w:rFonts w:ascii="Arial" w:hAnsi="Arial" w:hint="cs"/>
          <w:sz w:val="27"/>
          <w:rtl/>
          <w:lang w:val="en-GB"/>
        </w:rPr>
        <w:t>.</w:t>
      </w:r>
      <w:r w:rsidRPr="006571AC">
        <w:rPr>
          <w:rFonts w:ascii="Arial" w:hAnsi="Arial"/>
          <w:sz w:val="27"/>
          <w:rtl/>
          <w:lang w:val="en-GB"/>
        </w:rPr>
        <w:t xml:space="preserve"> </w:t>
      </w:r>
    </w:p>
    <w:p w:rsidR="0001386F" w:rsidRPr="006571AC" w:rsidRDefault="0001386F" w:rsidP="00D259C9">
      <w:pPr>
        <w:rPr>
          <w:rFonts w:ascii="Arial" w:hAnsi="Arial"/>
          <w:sz w:val="27"/>
          <w:rtl/>
        </w:rPr>
      </w:pPr>
      <w:r w:rsidRPr="006571AC">
        <w:rPr>
          <w:rFonts w:ascii="Arial" w:hAnsi="Arial" w:hint="cs"/>
          <w:sz w:val="27"/>
          <w:rtl/>
        </w:rPr>
        <w:t>يتساءل الشهيد مرتضى مطه</w:t>
      </w:r>
      <w:r w:rsidR="0039345B" w:rsidRPr="006571AC">
        <w:rPr>
          <w:rFonts w:ascii="Arial" w:hAnsi="Arial" w:hint="cs"/>
          <w:sz w:val="27"/>
          <w:rtl/>
        </w:rPr>
        <w:t>َّ</w:t>
      </w:r>
      <w:r w:rsidRPr="006571AC">
        <w:rPr>
          <w:rFonts w:ascii="Arial" w:hAnsi="Arial" w:hint="cs"/>
          <w:sz w:val="27"/>
          <w:rtl/>
        </w:rPr>
        <w:t>ري بعد هذا العرض قائلا</w:t>
      </w:r>
      <w:r w:rsidR="0039345B" w:rsidRPr="006571AC">
        <w:rPr>
          <w:rFonts w:ascii="Arial" w:hAnsi="Arial" w:hint="cs"/>
          <w:sz w:val="27"/>
          <w:rtl/>
        </w:rPr>
        <w:t>ً</w:t>
      </w:r>
      <w:r w:rsidRPr="006571AC">
        <w:rPr>
          <w:rFonts w:ascii="Arial" w:hAnsi="Arial" w:hint="cs"/>
          <w:sz w:val="27"/>
          <w:rtl/>
        </w:rPr>
        <w:t>: إذ</w:t>
      </w:r>
      <w:r w:rsidR="0039345B" w:rsidRPr="006571AC">
        <w:rPr>
          <w:rFonts w:ascii="Arial" w:hAnsi="Arial" w:hint="cs"/>
          <w:sz w:val="27"/>
          <w:rtl/>
        </w:rPr>
        <w:t>ن</w:t>
      </w:r>
      <w:r w:rsidRPr="006571AC">
        <w:rPr>
          <w:rFonts w:ascii="Arial" w:hAnsi="Arial" w:hint="cs"/>
          <w:sz w:val="27"/>
          <w:rtl/>
        </w:rPr>
        <w:t xml:space="preserve"> ماذا نفعل لكي تغدو أخلاق الناس أخلاقا</w:t>
      </w:r>
      <w:r w:rsidR="0039345B" w:rsidRPr="006571AC">
        <w:rPr>
          <w:rFonts w:ascii="Arial" w:hAnsi="Arial" w:hint="cs"/>
          <w:sz w:val="27"/>
          <w:rtl/>
        </w:rPr>
        <w:t>ً</w:t>
      </w:r>
      <w:r w:rsidRPr="006571AC">
        <w:rPr>
          <w:rFonts w:ascii="Arial" w:hAnsi="Arial" w:hint="cs"/>
          <w:sz w:val="27"/>
          <w:rtl/>
        </w:rPr>
        <w:t xml:space="preserve"> إنسانية</w:t>
      </w:r>
      <w:r w:rsidR="0039345B" w:rsidRPr="006571AC">
        <w:rPr>
          <w:rFonts w:ascii="Arial" w:hAnsi="Arial" w:hint="cs"/>
          <w:sz w:val="27"/>
          <w:rtl/>
        </w:rPr>
        <w:t>؟</w:t>
      </w:r>
      <w:r w:rsidRPr="006571AC">
        <w:rPr>
          <w:rFonts w:ascii="Arial" w:hAnsi="Arial" w:hint="cs"/>
          <w:sz w:val="27"/>
          <w:rtl/>
        </w:rPr>
        <w:t xml:space="preserve"> وماذا نفعل لكي نقضي على </w:t>
      </w:r>
      <w:r w:rsidRPr="006571AC">
        <w:rPr>
          <w:rFonts w:hint="eastAsia"/>
          <w:sz w:val="24"/>
          <w:szCs w:val="24"/>
          <w:rtl/>
        </w:rPr>
        <w:t>«</w:t>
      </w:r>
      <w:r w:rsidRPr="006571AC">
        <w:rPr>
          <w:rFonts w:ascii="Arial" w:hAnsi="Arial" w:hint="cs"/>
          <w:sz w:val="27"/>
          <w:rtl/>
        </w:rPr>
        <w:t>الذاتية</w:t>
      </w:r>
      <w:r w:rsidRPr="006571AC">
        <w:rPr>
          <w:rFonts w:hint="eastAsia"/>
          <w:sz w:val="24"/>
          <w:szCs w:val="24"/>
          <w:rtl/>
        </w:rPr>
        <w:t>»</w:t>
      </w:r>
      <w:r w:rsidRPr="006571AC">
        <w:rPr>
          <w:rFonts w:ascii="Arial" w:hAnsi="Arial" w:hint="cs"/>
          <w:sz w:val="27"/>
          <w:rtl/>
        </w:rPr>
        <w:t xml:space="preserve">؟ </w:t>
      </w:r>
    </w:p>
    <w:p w:rsidR="0001386F" w:rsidRPr="006571AC" w:rsidRDefault="0001386F" w:rsidP="00D259C9">
      <w:pPr>
        <w:rPr>
          <w:rFonts w:ascii="Arial" w:hAnsi="Arial"/>
          <w:sz w:val="27"/>
          <w:rtl/>
        </w:rPr>
      </w:pPr>
      <w:r w:rsidRPr="006571AC">
        <w:rPr>
          <w:rFonts w:ascii="Arial" w:hAnsi="Arial" w:hint="cs"/>
          <w:sz w:val="27"/>
          <w:rtl/>
        </w:rPr>
        <w:t xml:space="preserve">يقول: من الجدير بالذكر أن الإسلام لا يهدف إلى القضاء على </w:t>
      </w:r>
      <w:r w:rsidRPr="006571AC">
        <w:rPr>
          <w:rFonts w:hint="eastAsia"/>
          <w:sz w:val="24"/>
          <w:szCs w:val="24"/>
          <w:rtl/>
        </w:rPr>
        <w:t>«</w:t>
      </w:r>
      <w:r w:rsidRPr="006571AC">
        <w:rPr>
          <w:rFonts w:ascii="Arial" w:hAnsi="Arial" w:hint="cs"/>
          <w:sz w:val="27"/>
          <w:rtl/>
        </w:rPr>
        <w:t>الذاتية</w:t>
      </w:r>
      <w:r w:rsidRPr="006571AC">
        <w:rPr>
          <w:rFonts w:hint="eastAsia"/>
          <w:sz w:val="24"/>
          <w:szCs w:val="24"/>
          <w:rtl/>
        </w:rPr>
        <w:t>»</w:t>
      </w:r>
      <w:r w:rsidRPr="006571AC">
        <w:rPr>
          <w:rFonts w:ascii="Arial" w:hAnsi="Arial" w:hint="cs"/>
          <w:sz w:val="27"/>
          <w:rtl/>
        </w:rPr>
        <w:t>، وإنما يريد أن يضفي سعة</w:t>
      </w:r>
      <w:r w:rsidR="00E06AB3" w:rsidRPr="006571AC">
        <w:rPr>
          <w:rFonts w:ascii="Arial" w:hAnsi="Arial" w:hint="cs"/>
          <w:sz w:val="27"/>
          <w:rtl/>
        </w:rPr>
        <w:t>ً</w:t>
      </w:r>
      <w:r w:rsidRPr="006571AC">
        <w:rPr>
          <w:rFonts w:ascii="Arial" w:hAnsi="Arial" w:hint="cs"/>
          <w:sz w:val="27"/>
          <w:rtl/>
        </w:rPr>
        <w:t xml:space="preserve"> على الذات والشخصية</w:t>
      </w:r>
      <w:r w:rsidR="00E06AB3" w:rsidRPr="006571AC">
        <w:rPr>
          <w:rFonts w:ascii="Arial" w:hAnsi="Arial" w:hint="cs"/>
          <w:sz w:val="27"/>
          <w:rtl/>
        </w:rPr>
        <w:t>،</w:t>
      </w:r>
      <w:r w:rsidRPr="006571AC">
        <w:rPr>
          <w:rFonts w:ascii="Arial" w:hAnsi="Arial" w:hint="cs"/>
          <w:sz w:val="27"/>
          <w:rtl/>
        </w:rPr>
        <w:t xml:space="preserve"> بحيث تصبح الشخصية الإنسانية مت</w:t>
      </w:r>
      <w:r w:rsidR="00E06AB3" w:rsidRPr="006571AC">
        <w:rPr>
          <w:rFonts w:ascii="Arial" w:hAnsi="Arial" w:hint="cs"/>
          <w:sz w:val="27"/>
          <w:rtl/>
        </w:rPr>
        <w:t>َّ</w:t>
      </w:r>
      <w:r w:rsidRPr="006571AC">
        <w:rPr>
          <w:rFonts w:ascii="Arial" w:hAnsi="Arial" w:hint="cs"/>
          <w:sz w:val="27"/>
          <w:rtl/>
        </w:rPr>
        <w:t>حدة</w:t>
      </w:r>
      <w:r w:rsidR="00E06AB3" w:rsidRPr="006571AC">
        <w:rPr>
          <w:rFonts w:ascii="Arial" w:hAnsi="Arial" w:hint="cs"/>
          <w:sz w:val="27"/>
          <w:rtl/>
        </w:rPr>
        <w:t>ً</w:t>
      </w:r>
      <w:r w:rsidRPr="006571AC">
        <w:rPr>
          <w:rFonts w:ascii="Arial" w:hAnsi="Arial" w:hint="cs"/>
          <w:sz w:val="27"/>
          <w:rtl/>
        </w:rPr>
        <w:t xml:space="preserve"> مع شخصية كل</w:t>
      </w:r>
      <w:r w:rsidR="00E06AB3" w:rsidRPr="006571AC">
        <w:rPr>
          <w:rFonts w:ascii="Arial" w:hAnsi="Arial" w:hint="cs"/>
          <w:sz w:val="27"/>
          <w:rtl/>
        </w:rPr>
        <w:t>ّ</w:t>
      </w:r>
      <w:r w:rsidRPr="006571AC">
        <w:rPr>
          <w:rFonts w:ascii="Arial" w:hAnsi="Arial" w:hint="cs"/>
          <w:sz w:val="27"/>
          <w:rtl/>
        </w:rPr>
        <w:t xml:space="preserve"> العالم</w:t>
      </w:r>
      <w:r w:rsidR="00E06AB3" w:rsidRPr="006571AC">
        <w:rPr>
          <w:rFonts w:ascii="Arial" w:hAnsi="Arial" w:hint="cs"/>
          <w:sz w:val="27"/>
          <w:rtl/>
        </w:rPr>
        <w:t>.</w:t>
      </w:r>
      <w:r w:rsidRPr="006571AC">
        <w:rPr>
          <w:rFonts w:ascii="Arial" w:hAnsi="Arial" w:hint="cs"/>
          <w:sz w:val="27"/>
          <w:rtl/>
        </w:rPr>
        <w:t xml:space="preserve"> هكذا يرفع الشخصية الإنسانية ويجعلها رقيقة</w:t>
      </w:r>
      <w:r w:rsidR="00A069E4" w:rsidRPr="006571AC">
        <w:rPr>
          <w:rFonts w:ascii="Arial" w:hAnsi="Arial" w:hint="cs"/>
          <w:sz w:val="27"/>
          <w:rtl/>
        </w:rPr>
        <w:t>ً</w:t>
      </w:r>
      <w:r w:rsidRPr="006571AC">
        <w:rPr>
          <w:rFonts w:ascii="Arial" w:hAnsi="Arial" w:hint="cs"/>
          <w:sz w:val="27"/>
          <w:rtl/>
        </w:rPr>
        <w:t>، لطيفة</w:t>
      </w:r>
      <w:r w:rsidR="00A069E4" w:rsidRPr="006571AC">
        <w:rPr>
          <w:rFonts w:ascii="Arial" w:hAnsi="Arial" w:hint="cs"/>
          <w:sz w:val="27"/>
          <w:rtl/>
        </w:rPr>
        <w:t>ً</w:t>
      </w:r>
      <w:r w:rsidRPr="006571AC">
        <w:rPr>
          <w:rFonts w:ascii="Arial" w:hAnsi="Arial" w:hint="cs"/>
          <w:sz w:val="27"/>
          <w:rtl/>
        </w:rPr>
        <w:t xml:space="preserve">... </w:t>
      </w:r>
    </w:p>
    <w:p w:rsidR="0001386F" w:rsidRPr="006571AC" w:rsidRDefault="0001386F" w:rsidP="00D259C9">
      <w:pPr>
        <w:rPr>
          <w:rFonts w:ascii="Arial" w:hAnsi="Arial"/>
          <w:sz w:val="27"/>
          <w:rtl/>
        </w:rPr>
      </w:pPr>
      <w:r w:rsidRPr="006571AC">
        <w:rPr>
          <w:rFonts w:ascii="Arial" w:hAnsi="Arial" w:hint="cs"/>
          <w:sz w:val="27"/>
          <w:rtl/>
        </w:rPr>
        <w:t>ويستطيع الإنسان أن يجاهد ضد</w:t>
      </w:r>
      <w:r w:rsidR="00E06AB3" w:rsidRPr="006571AC">
        <w:rPr>
          <w:rFonts w:ascii="Arial" w:hAnsi="Arial" w:hint="cs"/>
          <w:sz w:val="27"/>
          <w:rtl/>
        </w:rPr>
        <w:t>ّ</w:t>
      </w:r>
      <w:r w:rsidRPr="006571AC">
        <w:rPr>
          <w:rFonts w:ascii="Arial" w:hAnsi="Arial" w:hint="cs"/>
          <w:sz w:val="27"/>
          <w:rtl/>
        </w:rPr>
        <w:t xml:space="preserve"> هذه </w:t>
      </w:r>
      <w:r w:rsidRPr="006571AC">
        <w:rPr>
          <w:rFonts w:hint="eastAsia"/>
          <w:sz w:val="24"/>
          <w:szCs w:val="24"/>
          <w:rtl/>
        </w:rPr>
        <w:t>«</w:t>
      </w:r>
      <w:r w:rsidRPr="006571AC">
        <w:rPr>
          <w:rFonts w:ascii="Arial" w:hAnsi="Arial" w:hint="cs"/>
          <w:sz w:val="27"/>
          <w:rtl/>
        </w:rPr>
        <w:t>الذاتية</w:t>
      </w:r>
      <w:r w:rsidRPr="006571AC">
        <w:rPr>
          <w:rFonts w:hint="eastAsia"/>
          <w:sz w:val="24"/>
          <w:szCs w:val="24"/>
          <w:rtl/>
        </w:rPr>
        <w:t>»</w:t>
      </w:r>
      <w:r w:rsidRPr="006571AC">
        <w:rPr>
          <w:rFonts w:ascii="Arial" w:hAnsi="Arial" w:hint="cs"/>
          <w:sz w:val="27"/>
          <w:rtl/>
        </w:rPr>
        <w:t xml:space="preserve"> بأحد لونين، وفق </w:t>
      </w:r>
      <w:r w:rsidR="00E06AB3" w:rsidRPr="006571AC">
        <w:rPr>
          <w:rFonts w:ascii="Arial" w:hAnsi="Arial" w:hint="cs"/>
          <w:sz w:val="27"/>
          <w:rtl/>
        </w:rPr>
        <w:t>مطهَّري</w:t>
      </w:r>
      <w:r w:rsidRPr="006571AC">
        <w:rPr>
          <w:rFonts w:ascii="Arial" w:hAnsi="Arial" w:hint="cs"/>
          <w:sz w:val="27"/>
          <w:rtl/>
        </w:rPr>
        <w:t xml:space="preserve">: </w:t>
      </w:r>
    </w:p>
    <w:p w:rsidR="0001386F" w:rsidRPr="006571AC" w:rsidRDefault="0001386F" w:rsidP="0099384F">
      <w:pPr>
        <w:rPr>
          <w:rFonts w:ascii="Arial" w:hAnsi="Arial"/>
          <w:sz w:val="27"/>
          <w:rtl/>
        </w:rPr>
      </w:pPr>
      <w:r w:rsidRPr="006571AC">
        <w:rPr>
          <w:rFonts w:ascii="Arial" w:hAnsi="Arial" w:hint="cs"/>
          <w:b/>
          <w:bCs/>
          <w:sz w:val="27"/>
          <w:rtl/>
        </w:rPr>
        <w:t>الأو</w:t>
      </w:r>
      <w:r w:rsidR="00E06AB3" w:rsidRPr="006571AC">
        <w:rPr>
          <w:rFonts w:ascii="Arial" w:hAnsi="Arial" w:hint="cs"/>
          <w:b/>
          <w:bCs/>
          <w:sz w:val="27"/>
          <w:rtl/>
        </w:rPr>
        <w:t>ّ</w:t>
      </w:r>
      <w:r w:rsidRPr="006571AC">
        <w:rPr>
          <w:rFonts w:ascii="Arial" w:hAnsi="Arial" w:hint="cs"/>
          <w:b/>
          <w:bCs/>
          <w:sz w:val="27"/>
          <w:rtl/>
        </w:rPr>
        <w:t>ل</w:t>
      </w:r>
      <w:r w:rsidRPr="006571AC">
        <w:rPr>
          <w:rFonts w:ascii="Arial" w:hAnsi="Arial" w:hint="cs"/>
          <w:sz w:val="27"/>
          <w:rtl/>
        </w:rPr>
        <w:t xml:space="preserve">: أن يقوم بإضعاف هذه </w:t>
      </w:r>
      <w:r w:rsidRPr="006571AC">
        <w:rPr>
          <w:rFonts w:hint="eastAsia"/>
          <w:sz w:val="24"/>
          <w:szCs w:val="24"/>
          <w:rtl/>
        </w:rPr>
        <w:t>«</w:t>
      </w:r>
      <w:r w:rsidRPr="006571AC">
        <w:rPr>
          <w:rFonts w:ascii="Arial" w:hAnsi="Arial" w:hint="cs"/>
          <w:sz w:val="27"/>
          <w:rtl/>
        </w:rPr>
        <w:t>الذاتية</w:t>
      </w:r>
      <w:r w:rsidRPr="006571AC">
        <w:rPr>
          <w:rFonts w:hint="eastAsia"/>
          <w:sz w:val="24"/>
          <w:szCs w:val="24"/>
          <w:rtl/>
        </w:rPr>
        <w:t>»</w:t>
      </w:r>
      <w:r w:rsidRPr="006571AC">
        <w:rPr>
          <w:rFonts w:ascii="Arial" w:hAnsi="Arial" w:hint="cs"/>
          <w:sz w:val="27"/>
          <w:rtl/>
        </w:rPr>
        <w:t xml:space="preserve"> والقضاء عليها</w:t>
      </w:r>
      <w:r w:rsidR="0099384F" w:rsidRPr="006571AC">
        <w:rPr>
          <w:rFonts w:ascii="Arial" w:hAnsi="Arial" w:hint="cs"/>
          <w:sz w:val="27"/>
          <w:rtl/>
        </w:rPr>
        <w:t xml:space="preserve">. </w:t>
      </w:r>
      <w:r w:rsidRPr="006571AC">
        <w:rPr>
          <w:rFonts w:ascii="Arial" w:hAnsi="Arial" w:hint="cs"/>
          <w:sz w:val="27"/>
          <w:rtl/>
        </w:rPr>
        <w:t>وهذا خطأ</w:t>
      </w:r>
      <w:r w:rsidR="00E06AB3" w:rsidRPr="006571AC">
        <w:rPr>
          <w:rFonts w:ascii="Arial" w:hAnsi="Arial" w:hint="cs"/>
          <w:sz w:val="27"/>
          <w:rtl/>
        </w:rPr>
        <w:t>ٌ</w:t>
      </w:r>
      <w:r w:rsidRPr="006571AC">
        <w:rPr>
          <w:rFonts w:ascii="Arial" w:hAnsi="Arial" w:hint="cs"/>
          <w:sz w:val="27"/>
          <w:rtl/>
        </w:rPr>
        <w:t xml:space="preserve"> من وجهة نظر الإسلام. </w:t>
      </w:r>
    </w:p>
    <w:p w:rsidR="0001386F" w:rsidRPr="006571AC" w:rsidRDefault="0001386F" w:rsidP="00D259C9">
      <w:pPr>
        <w:rPr>
          <w:rFonts w:ascii="Arial" w:hAnsi="Arial"/>
          <w:sz w:val="27"/>
          <w:rtl/>
        </w:rPr>
      </w:pPr>
      <w:r w:rsidRPr="006571AC">
        <w:rPr>
          <w:rFonts w:ascii="Arial" w:hAnsi="Arial" w:hint="cs"/>
          <w:b/>
          <w:bCs/>
          <w:sz w:val="27"/>
          <w:rtl/>
        </w:rPr>
        <w:t>الثاني</w:t>
      </w:r>
      <w:r w:rsidRPr="006571AC">
        <w:rPr>
          <w:rFonts w:ascii="Arial" w:hAnsi="Arial" w:hint="cs"/>
          <w:sz w:val="27"/>
          <w:rtl/>
        </w:rPr>
        <w:t xml:space="preserve">: أن يقوم بتوسيع حدود </w:t>
      </w:r>
      <w:r w:rsidRPr="006571AC">
        <w:rPr>
          <w:rFonts w:hint="eastAsia"/>
          <w:sz w:val="24"/>
          <w:szCs w:val="24"/>
          <w:rtl/>
        </w:rPr>
        <w:t>«</w:t>
      </w:r>
      <w:r w:rsidRPr="006571AC">
        <w:rPr>
          <w:rFonts w:ascii="Arial" w:hAnsi="Arial" w:hint="cs"/>
          <w:sz w:val="27"/>
          <w:rtl/>
        </w:rPr>
        <w:t>الذات</w:t>
      </w:r>
      <w:r w:rsidRPr="006571AC">
        <w:rPr>
          <w:rFonts w:hint="eastAsia"/>
          <w:sz w:val="24"/>
          <w:szCs w:val="24"/>
          <w:rtl/>
        </w:rPr>
        <w:t>»</w:t>
      </w:r>
      <w:r w:rsidRPr="006571AC">
        <w:rPr>
          <w:rFonts w:ascii="Arial" w:hAnsi="Arial" w:hint="cs"/>
          <w:sz w:val="27"/>
          <w:rtl/>
        </w:rPr>
        <w:t xml:space="preserve"> لتشمل جميع الناس</w:t>
      </w:r>
      <w:r w:rsidR="00E06AB3" w:rsidRPr="006571AC">
        <w:rPr>
          <w:rFonts w:ascii="Arial" w:hAnsi="Arial" w:hint="cs"/>
          <w:sz w:val="27"/>
          <w:rtl/>
        </w:rPr>
        <w:t>،</w:t>
      </w:r>
      <w:r w:rsidRPr="006571AC">
        <w:rPr>
          <w:rFonts w:ascii="Arial" w:hAnsi="Arial" w:hint="cs"/>
          <w:sz w:val="27"/>
          <w:rtl/>
        </w:rPr>
        <w:t xml:space="preserve"> بل جميع موجودات العالم، بمعنى أن تلك </w:t>
      </w:r>
      <w:r w:rsidRPr="006571AC">
        <w:rPr>
          <w:rFonts w:hint="eastAsia"/>
          <w:sz w:val="24"/>
          <w:szCs w:val="24"/>
          <w:rtl/>
        </w:rPr>
        <w:t>«</w:t>
      </w:r>
      <w:r w:rsidRPr="006571AC">
        <w:rPr>
          <w:rFonts w:ascii="Arial" w:hAnsi="Arial" w:hint="cs"/>
          <w:sz w:val="27"/>
          <w:rtl/>
        </w:rPr>
        <w:t>الذات</w:t>
      </w:r>
      <w:r w:rsidRPr="006571AC">
        <w:rPr>
          <w:rFonts w:hint="eastAsia"/>
          <w:sz w:val="24"/>
          <w:szCs w:val="24"/>
          <w:rtl/>
        </w:rPr>
        <w:t>»</w:t>
      </w:r>
      <w:r w:rsidRPr="006571AC">
        <w:rPr>
          <w:rFonts w:ascii="Arial" w:hAnsi="Arial" w:hint="cs"/>
          <w:sz w:val="27"/>
          <w:rtl/>
        </w:rPr>
        <w:t xml:space="preserve"> تصبح دائرة</w:t>
      </w:r>
      <w:r w:rsidR="00E06AB3" w:rsidRPr="006571AC">
        <w:rPr>
          <w:rFonts w:ascii="Arial" w:hAnsi="Arial" w:hint="cs"/>
          <w:sz w:val="27"/>
          <w:rtl/>
        </w:rPr>
        <w:t>ً</w:t>
      </w:r>
      <w:r w:rsidRPr="006571AC">
        <w:rPr>
          <w:rFonts w:ascii="Arial" w:hAnsi="Arial" w:hint="cs"/>
          <w:sz w:val="27"/>
          <w:rtl/>
        </w:rPr>
        <w:t xml:space="preserve"> تت</w:t>
      </w:r>
      <w:r w:rsidR="00E06AB3" w:rsidRPr="006571AC">
        <w:rPr>
          <w:rFonts w:ascii="Arial" w:hAnsi="Arial" w:hint="cs"/>
          <w:sz w:val="27"/>
          <w:rtl/>
        </w:rPr>
        <w:t>َّ</w:t>
      </w:r>
      <w:r w:rsidRPr="006571AC">
        <w:rPr>
          <w:rFonts w:ascii="Arial" w:hAnsi="Arial" w:hint="cs"/>
          <w:sz w:val="27"/>
          <w:rtl/>
        </w:rPr>
        <w:t>سع وتت</w:t>
      </w:r>
      <w:r w:rsidR="00E06AB3" w:rsidRPr="006571AC">
        <w:rPr>
          <w:rFonts w:ascii="Arial" w:hAnsi="Arial" w:hint="cs"/>
          <w:sz w:val="27"/>
          <w:rtl/>
        </w:rPr>
        <w:t>َّ</w:t>
      </w:r>
      <w:r w:rsidRPr="006571AC">
        <w:rPr>
          <w:rFonts w:ascii="Arial" w:hAnsi="Arial" w:hint="cs"/>
          <w:sz w:val="27"/>
          <w:rtl/>
        </w:rPr>
        <w:t>سع باستمرار</w:t>
      </w:r>
      <w:r w:rsidR="00E06AB3" w:rsidRPr="006571AC">
        <w:rPr>
          <w:rFonts w:ascii="Arial" w:hAnsi="Arial" w:hint="cs"/>
          <w:sz w:val="27"/>
          <w:rtl/>
        </w:rPr>
        <w:t>ٍ</w:t>
      </w:r>
      <w:r w:rsidRPr="006571AC">
        <w:rPr>
          <w:rFonts w:ascii="Arial" w:hAnsi="Arial" w:hint="cs"/>
          <w:sz w:val="27"/>
          <w:rtl/>
        </w:rPr>
        <w:t xml:space="preserve"> لتضم</w:t>
      </w:r>
      <w:r w:rsidR="00E06AB3" w:rsidRPr="006571AC">
        <w:rPr>
          <w:rFonts w:ascii="Arial" w:hAnsi="Arial" w:hint="cs"/>
          <w:sz w:val="27"/>
          <w:rtl/>
        </w:rPr>
        <w:t>ّ</w:t>
      </w:r>
      <w:r w:rsidRPr="006571AC">
        <w:rPr>
          <w:rFonts w:ascii="Arial" w:hAnsi="Arial" w:hint="cs"/>
          <w:sz w:val="27"/>
          <w:rtl/>
        </w:rPr>
        <w:t xml:space="preserve"> داخل حدودها كل</w:t>
      </w:r>
      <w:r w:rsidR="00E06AB3" w:rsidRPr="006571AC">
        <w:rPr>
          <w:rFonts w:ascii="Arial" w:hAnsi="Arial" w:hint="cs"/>
          <w:sz w:val="27"/>
          <w:rtl/>
        </w:rPr>
        <w:t>ّ</w:t>
      </w:r>
      <w:r w:rsidRPr="006571AC">
        <w:rPr>
          <w:rFonts w:ascii="Arial" w:hAnsi="Arial" w:hint="cs"/>
          <w:sz w:val="27"/>
          <w:rtl/>
        </w:rPr>
        <w:t xml:space="preserve"> شيء</w:t>
      </w:r>
      <w:r w:rsidR="00E06AB3" w:rsidRPr="006571AC">
        <w:rPr>
          <w:rFonts w:ascii="Arial" w:hAnsi="Arial" w:hint="cs"/>
          <w:sz w:val="27"/>
          <w:rtl/>
        </w:rPr>
        <w:t>ٍ،</w:t>
      </w:r>
      <w:r w:rsidRPr="006571AC">
        <w:rPr>
          <w:rFonts w:ascii="Arial" w:hAnsi="Arial" w:hint="cs"/>
          <w:sz w:val="27"/>
          <w:rtl/>
        </w:rPr>
        <w:t xml:space="preserve"> ولا يبقى أي</w:t>
      </w:r>
      <w:r w:rsidR="00E06AB3" w:rsidRPr="006571AC">
        <w:rPr>
          <w:rFonts w:ascii="Arial" w:hAnsi="Arial" w:hint="cs"/>
          <w:sz w:val="27"/>
          <w:rtl/>
        </w:rPr>
        <w:t>ُّ</w:t>
      </w:r>
      <w:r w:rsidRPr="006571AC">
        <w:rPr>
          <w:rFonts w:ascii="Arial" w:hAnsi="Arial" w:hint="cs"/>
          <w:sz w:val="27"/>
          <w:rtl/>
        </w:rPr>
        <w:t xml:space="preserve"> شيء</w:t>
      </w:r>
      <w:r w:rsidR="00E06AB3" w:rsidRPr="006571AC">
        <w:rPr>
          <w:rFonts w:ascii="Arial" w:hAnsi="Arial" w:hint="cs"/>
          <w:sz w:val="27"/>
          <w:rtl/>
        </w:rPr>
        <w:t>ٍ</w:t>
      </w:r>
      <w:r w:rsidRPr="006571AC">
        <w:rPr>
          <w:rFonts w:ascii="Arial" w:hAnsi="Arial" w:hint="cs"/>
          <w:sz w:val="27"/>
          <w:rtl/>
        </w:rPr>
        <w:t xml:space="preserve"> خارج حدودها</w:t>
      </w:r>
      <w:r w:rsidR="00E06AB3" w:rsidRPr="006571AC">
        <w:rPr>
          <w:rFonts w:ascii="Arial" w:hAnsi="Arial" w:hint="cs"/>
          <w:sz w:val="27"/>
          <w:rtl/>
        </w:rPr>
        <w:t xml:space="preserve">. </w:t>
      </w:r>
      <w:r w:rsidRPr="006571AC">
        <w:rPr>
          <w:rFonts w:ascii="Arial" w:hAnsi="Arial" w:hint="cs"/>
          <w:sz w:val="27"/>
          <w:rtl/>
        </w:rPr>
        <w:t>وهذا الجهاد ليس سلبي</w:t>
      </w:r>
      <w:r w:rsidR="00E06AB3" w:rsidRPr="006571AC">
        <w:rPr>
          <w:rFonts w:ascii="Arial" w:hAnsi="Arial" w:hint="cs"/>
          <w:sz w:val="27"/>
          <w:rtl/>
        </w:rPr>
        <w:t>ّ</w:t>
      </w:r>
      <w:r w:rsidRPr="006571AC">
        <w:rPr>
          <w:rFonts w:ascii="Arial" w:hAnsi="Arial" w:hint="cs"/>
          <w:sz w:val="27"/>
          <w:rtl/>
        </w:rPr>
        <w:t>ا</w:t>
      </w:r>
      <w:r w:rsidR="00E06AB3" w:rsidRPr="006571AC">
        <w:rPr>
          <w:rFonts w:ascii="Arial" w:hAnsi="Arial" w:hint="cs"/>
          <w:sz w:val="27"/>
          <w:rtl/>
        </w:rPr>
        <w:t>ً</w:t>
      </w:r>
      <w:r w:rsidRPr="006571AC">
        <w:rPr>
          <w:rFonts w:ascii="Arial" w:hAnsi="Arial" w:hint="cs"/>
          <w:sz w:val="27"/>
          <w:rtl/>
        </w:rPr>
        <w:t>، ولهذا يوصي الإسلام بالجهاد ضد</w:t>
      </w:r>
      <w:r w:rsidR="00E06AB3" w:rsidRPr="006571AC">
        <w:rPr>
          <w:rFonts w:ascii="Arial" w:hAnsi="Arial" w:hint="cs"/>
          <w:sz w:val="27"/>
          <w:rtl/>
        </w:rPr>
        <w:t>ّ</w:t>
      </w:r>
      <w:r w:rsidRPr="006571AC">
        <w:rPr>
          <w:rFonts w:ascii="Arial" w:hAnsi="Arial" w:hint="cs"/>
          <w:sz w:val="27"/>
          <w:rtl/>
        </w:rPr>
        <w:t xml:space="preserve"> الذات، وهو في نفس الوقت يوجب المحافظة على حقوق الذات وحدودها</w:t>
      </w:r>
      <w:r w:rsidR="00E06AB3" w:rsidRPr="006571AC">
        <w:rPr>
          <w:rFonts w:ascii="Arial" w:hAnsi="Arial" w:hint="cs"/>
          <w:sz w:val="27"/>
          <w:rtl/>
        </w:rPr>
        <w:t>،</w:t>
      </w:r>
      <w:r w:rsidRPr="006571AC">
        <w:rPr>
          <w:rFonts w:ascii="Arial" w:hAnsi="Arial" w:hint="cs"/>
          <w:sz w:val="27"/>
          <w:rtl/>
        </w:rPr>
        <w:t xml:space="preserve"> ويوجب الدفاع عنها، لكن</w:t>
      </w:r>
      <w:r w:rsidR="00E06AB3" w:rsidRPr="006571AC">
        <w:rPr>
          <w:rFonts w:ascii="Arial" w:hAnsi="Arial" w:hint="cs"/>
          <w:sz w:val="27"/>
          <w:rtl/>
        </w:rPr>
        <w:t>ّ</w:t>
      </w:r>
      <w:r w:rsidRPr="006571AC">
        <w:rPr>
          <w:rFonts w:ascii="Arial" w:hAnsi="Arial" w:hint="cs"/>
          <w:sz w:val="27"/>
          <w:rtl/>
        </w:rPr>
        <w:t xml:space="preserve"> المحافظة على الذات مطلوبة</w:t>
      </w:r>
      <w:r w:rsidR="00E06AB3" w:rsidRPr="006571AC">
        <w:rPr>
          <w:rFonts w:ascii="Arial" w:hAnsi="Arial" w:hint="cs"/>
          <w:sz w:val="27"/>
          <w:rtl/>
        </w:rPr>
        <w:t>ٌ</w:t>
      </w:r>
      <w:r w:rsidRPr="006571AC">
        <w:rPr>
          <w:rFonts w:ascii="Arial" w:hAnsi="Arial" w:hint="cs"/>
          <w:sz w:val="27"/>
          <w:rtl/>
        </w:rPr>
        <w:t xml:space="preserve"> إذا لم تُف</w:t>
      </w:r>
      <w:r w:rsidR="00E06AB3" w:rsidRPr="006571AC">
        <w:rPr>
          <w:rFonts w:ascii="Arial" w:hAnsi="Arial" w:hint="cs"/>
          <w:sz w:val="27"/>
          <w:rtl/>
        </w:rPr>
        <w:t>ْ</w:t>
      </w:r>
      <w:r w:rsidRPr="006571AC">
        <w:rPr>
          <w:rFonts w:ascii="Arial" w:hAnsi="Arial" w:hint="cs"/>
          <w:sz w:val="27"/>
          <w:rtl/>
        </w:rPr>
        <w:t>ضِ إلى الرذائل الأخلاقية. فالإسلام يهدف لتوسعة الذات، وتوسعة البيئة الأخلاقية، بحيث لا تعترف بحدود</w:t>
      </w:r>
      <w:r w:rsidR="00E06AB3" w:rsidRPr="006571AC">
        <w:rPr>
          <w:rFonts w:ascii="Arial" w:hAnsi="Arial" w:hint="cs"/>
          <w:sz w:val="27"/>
          <w:rtl/>
        </w:rPr>
        <w:t>ٍ</w:t>
      </w:r>
      <w:r w:rsidRPr="006571AC">
        <w:rPr>
          <w:rFonts w:ascii="Arial" w:hAnsi="Arial" w:hint="cs"/>
          <w:sz w:val="27"/>
          <w:rtl/>
        </w:rPr>
        <w:t xml:space="preserve"> حت</w:t>
      </w:r>
      <w:r w:rsidR="00E06AB3" w:rsidRPr="006571AC">
        <w:rPr>
          <w:rFonts w:ascii="Arial" w:hAnsi="Arial" w:hint="cs"/>
          <w:sz w:val="27"/>
          <w:rtl/>
        </w:rPr>
        <w:t>ّ</w:t>
      </w:r>
      <w:r w:rsidRPr="006571AC">
        <w:rPr>
          <w:rFonts w:ascii="Arial" w:hAnsi="Arial" w:hint="cs"/>
          <w:sz w:val="27"/>
          <w:rtl/>
        </w:rPr>
        <w:t>ى بين المسلمين وغيرهم</w:t>
      </w:r>
      <w:r w:rsidR="00E06AB3" w:rsidRPr="006571AC">
        <w:rPr>
          <w:rFonts w:ascii="Arial" w:hAnsi="Arial"/>
          <w:sz w:val="27"/>
          <w:vertAlign w:val="superscript"/>
          <w:rtl/>
        </w:rPr>
        <w:t>(</w:t>
      </w:r>
      <w:r w:rsidR="00E06AB3" w:rsidRPr="006571AC">
        <w:rPr>
          <w:rStyle w:val="ac"/>
          <w:rFonts w:ascii="Arial" w:hAnsi="Arial"/>
          <w:sz w:val="27"/>
          <w:rtl/>
        </w:rPr>
        <w:endnoteReference w:id="723"/>
      </w:r>
      <w:r w:rsidR="00E06AB3" w:rsidRPr="006571AC">
        <w:rPr>
          <w:rFonts w:ascii="Arial" w:hAnsi="Arial"/>
          <w:sz w:val="27"/>
          <w:vertAlign w:val="superscript"/>
          <w:rtl/>
        </w:rPr>
        <w:t>)</w:t>
      </w:r>
      <w:r w:rsidRPr="006571AC">
        <w:rPr>
          <w:rFonts w:ascii="Arial" w:hAnsi="Arial" w:hint="cs"/>
          <w:sz w:val="27"/>
          <w:rtl/>
        </w:rPr>
        <w:t>.</w:t>
      </w:r>
      <w:r w:rsidRPr="006571AC">
        <w:rPr>
          <w:rFonts w:ascii="Arial" w:hAnsi="Arial"/>
          <w:sz w:val="27"/>
          <w:rtl/>
        </w:rPr>
        <w:t xml:space="preserve"> </w:t>
      </w:r>
    </w:p>
    <w:p w:rsidR="0001386F" w:rsidRPr="006571AC" w:rsidRDefault="0001386F" w:rsidP="00D259C9">
      <w:pPr>
        <w:rPr>
          <w:rFonts w:ascii="Arial" w:hAnsi="Arial"/>
          <w:sz w:val="27"/>
          <w:rtl/>
        </w:rPr>
      </w:pPr>
      <w:r w:rsidRPr="006571AC">
        <w:rPr>
          <w:rFonts w:ascii="Arial" w:hAnsi="Arial" w:hint="cs"/>
          <w:sz w:val="27"/>
          <w:rtl/>
        </w:rPr>
        <w:t>ويأتي السؤال أيضا</w:t>
      </w:r>
      <w:r w:rsidR="00E06AB3" w:rsidRPr="006571AC">
        <w:rPr>
          <w:rFonts w:ascii="Arial" w:hAnsi="Arial" w:hint="cs"/>
          <w:sz w:val="27"/>
          <w:rtl/>
        </w:rPr>
        <w:t>ً</w:t>
      </w:r>
      <w:r w:rsidRPr="006571AC">
        <w:rPr>
          <w:rFonts w:ascii="Arial" w:hAnsi="Arial" w:hint="cs"/>
          <w:sz w:val="27"/>
          <w:rtl/>
        </w:rPr>
        <w:t xml:space="preserve"> هنا: ما هي ضابطة الالتزام بالأخلاق</w:t>
      </w:r>
      <w:r w:rsidR="00E06AB3" w:rsidRPr="006571AC">
        <w:rPr>
          <w:rFonts w:ascii="Arial" w:hAnsi="Arial" w:hint="cs"/>
          <w:sz w:val="27"/>
          <w:rtl/>
        </w:rPr>
        <w:t>؟</w:t>
      </w:r>
      <w:r w:rsidRPr="006571AC">
        <w:rPr>
          <w:rFonts w:ascii="Arial" w:hAnsi="Arial" w:hint="cs"/>
          <w:sz w:val="27"/>
          <w:rtl/>
        </w:rPr>
        <w:t xml:space="preserve"> وعلى أي</w:t>
      </w:r>
      <w:r w:rsidR="00E06AB3" w:rsidRPr="006571AC">
        <w:rPr>
          <w:rFonts w:ascii="Arial" w:hAnsi="Arial" w:hint="cs"/>
          <w:sz w:val="27"/>
          <w:rtl/>
        </w:rPr>
        <w:t>ّ</w:t>
      </w:r>
      <w:r w:rsidRPr="006571AC">
        <w:rPr>
          <w:rFonts w:ascii="Arial" w:hAnsi="Arial" w:hint="cs"/>
          <w:sz w:val="27"/>
          <w:rtl/>
        </w:rPr>
        <w:t xml:space="preserve"> أساس</w:t>
      </w:r>
      <w:r w:rsidR="00E06AB3" w:rsidRPr="006571AC">
        <w:rPr>
          <w:rFonts w:ascii="Arial" w:hAnsi="Arial" w:hint="cs"/>
          <w:sz w:val="27"/>
          <w:rtl/>
        </w:rPr>
        <w:t>ٍ</w:t>
      </w:r>
      <w:r w:rsidRPr="006571AC">
        <w:rPr>
          <w:rFonts w:ascii="Arial" w:hAnsi="Arial" w:hint="cs"/>
          <w:sz w:val="27"/>
          <w:rtl/>
        </w:rPr>
        <w:t xml:space="preserve"> يتم</w:t>
      </w:r>
      <w:r w:rsidR="00E06AB3" w:rsidRPr="006571AC">
        <w:rPr>
          <w:rFonts w:ascii="Arial" w:hAnsi="Arial" w:hint="cs"/>
          <w:sz w:val="27"/>
          <w:rtl/>
        </w:rPr>
        <w:t>ّ</w:t>
      </w:r>
      <w:r w:rsidRPr="006571AC">
        <w:rPr>
          <w:rFonts w:ascii="Arial" w:hAnsi="Arial" w:hint="cs"/>
          <w:sz w:val="27"/>
          <w:rtl/>
        </w:rPr>
        <w:t xml:space="preserve"> بناء هذه المنظومة الأخلاقية؟</w:t>
      </w:r>
    </w:p>
    <w:p w:rsidR="001069FB" w:rsidRPr="006571AC" w:rsidRDefault="001069FB" w:rsidP="001069FB">
      <w:pPr>
        <w:spacing w:line="420" w:lineRule="exact"/>
        <w:rPr>
          <w:rFonts w:ascii="Arabic Typesetting" w:hAnsi="Arabic Typesetting"/>
          <w:sz w:val="27"/>
          <w:rtl/>
          <w:lang w:bidi="ar-LB"/>
        </w:rPr>
      </w:pPr>
    </w:p>
    <w:p w:rsidR="000B6711" w:rsidRPr="006571AC" w:rsidRDefault="0001386F" w:rsidP="00CC6235">
      <w:pPr>
        <w:pStyle w:val="31"/>
        <w:rPr>
          <w:color w:val="auto"/>
          <w:rtl/>
        </w:rPr>
      </w:pPr>
      <w:bookmarkStart w:id="432" w:name="_Toc114164840"/>
      <w:r w:rsidRPr="006571AC">
        <w:rPr>
          <w:color w:val="auto"/>
          <w:rtl/>
        </w:rPr>
        <w:t>الضبط الاجتماعي</w:t>
      </w:r>
      <w:r w:rsidR="00124D2B" w:rsidRPr="006571AC">
        <w:rPr>
          <w:rFonts w:hint="cs"/>
          <w:color w:val="auto"/>
          <w:rtl/>
        </w:rPr>
        <w:t>ّ</w:t>
      </w:r>
      <w:r w:rsidRPr="006571AC">
        <w:rPr>
          <w:color w:val="auto"/>
          <w:rtl/>
        </w:rPr>
        <w:t xml:space="preserve"> والقانون</w:t>
      </w:r>
      <w:r w:rsidRPr="006571AC">
        <w:rPr>
          <w:rFonts w:hint="cs"/>
          <w:color w:val="auto"/>
          <w:rtl/>
        </w:rPr>
        <w:t xml:space="preserve"> الأخلاقي</w:t>
      </w:r>
      <w:r w:rsidR="00124D2B" w:rsidRPr="006571AC">
        <w:rPr>
          <w:rFonts w:hint="cs"/>
          <w:color w:val="auto"/>
          <w:rtl/>
        </w:rPr>
        <w:t>ّ</w:t>
      </w:r>
      <w:bookmarkEnd w:id="432"/>
    </w:p>
    <w:p w:rsidR="00CC6235" w:rsidRPr="006571AC" w:rsidRDefault="0001386F" w:rsidP="00D259C9">
      <w:pPr>
        <w:rPr>
          <w:rFonts w:ascii="Arial" w:hAnsi="Arial"/>
          <w:sz w:val="27"/>
          <w:rtl/>
        </w:rPr>
      </w:pPr>
      <w:r w:rsidRPr="006571AC">
        <w:rPr>
          <w:rFonts w:ascii="Arial" w:hAnsi="Arial"/>
          <w:sz w:val="27"/>
          <w:rtl/>
        </w:rPr>
        <w:t>ينظر إلى القانون عل</w:t>
      </w:r>
      <w:r w:rsidR="00E7105C" w:rsidRPr="006571AC">
        <w:rPr>
          <w:rFonts w:ascii="Arial" w:hAnsi="Arial" w:hint="cs"/>
          <w:sz w:val="27"/>
          <w:rtl/>
        </w:rPr>
        <w:t>ى</w:t>
      </w:r>
      <w:r w:rsidRPr="006571AC">
        <w:rPr>
          <w:rFonts w:ascii="Arial" w:hAnsi="Arial"/>
          <w:sz w:val="27"/>
          <w:rtl/>
        </w:rPr>
        <w:t xml:space="preserve"> أنه مجموعة قواعد، فيعرف القانون على أنه </w:t>
      </w:r>
      <w:r w:rsidR="0047109D" w:rsidRPr="006571AC">
        <w:rPr>
          <w:rFonts w:hint="eastAsia"/>
          <w:sz w:val="24"/>
          <w:szCs w:val="24"/>
          <w:rtl/>
        </w:rPr>
        <w:t>«</w:t>
      </w:r>
      <w:r w:rsidRPr="006571AC">
        <w:rPr>
          <w:rFonts w:ascii="Arial" w:hAnsi="Arial"/>
          <w:sz w:val="27"/>
          <w:rtl/>
        </w:rPr>
        <w:t>مجموعة قواعد عام</w:t>
      </w:r>
      <w:r w:rsidR="0047109D" w:rsidRPr="006571AC">
        <w:rPr>
          <w:rFonts w:ascii="Arial" w:hAnsi="Arial" w:hint="cs"/>
          <w:sz w:val="27"/>
          <w:rtl/>
        </w:rPr>
        <w:t>ّ</w:t>
      </w:r>
      <w:r w:rsidRPr="006571AC">
        <w:rPr>
          <w:rFonts w:ascii="Arial" w:hAnsi="Arial"/>
          <w:sz w:val="27"/>
          <w:rtl/>
        </w:rPr>
        <w:t>ة مجر</w:t>
      </w:r>
      <w:r w:rsidR="0047109D" w:rsidRPr="006571AC">
        <w:rPr>
          <w:rFonts w:ascii="Arial" w:hAnsi="Arial" w:hint="cs"/>
          <w:sz w:val="27"/>
          <w:rtl/>
        </w:rPr>
        <w:t>ّ</w:t>
      </w:r>
      <w:r w:rsidRPr="006571AC">
        <w:rPr>
          <w:rFonts w:ascii="Arial" w:hAnsi="Arial"/>
          <w:sz w:val="27"/>
          <w:rtl/>
        </w:rPr>
        <w:t>دة ملزمة</w:t>
      </w:r>
      <w:r w:rsidR="0047109D" w:rsidRPr="006571AC">
        <w:rPr>
          <w:rFonts w:ascii="Arial" w:hAnsi="Arial" w:hint="cs"/>
          <w:sz w:val="27"/>
          <w:rtl/>
        </w:rPr>
        <w:t xml:space="preserve">، </w:t>
      </w:r>
      <w:r w:rsidRPr="006571AC">
        <w:rPr>
          <w:rFonts w:ascii="Arial" w:hAnsi="Arial"/>
          <w:sz w:val="27"/>
          <w:rtl/>
        </w:rPr>
        <w:t>تنظ</w:t>
      </w:r>
      <w:r w:rsidR="0047109D" w:rsidRPr="006571AC">
        <w:rPr>
          <w:rFonts w:ascii="Arial" w:hAnsi="Arial" w:hint="cs"/>
          <w:sz w:val="27"/>
          <w:rtl/>
        </w:rPr>
        <w:t>ِّ</w:t>
      </w:r>
      <w:r w:rsidRPr="006571AC">
        <w:rPr>
          <w:rFonts w:ascii="Arial" w:hAnsi="Arial"/>
          <w:sz w:val="27"/>
          <w:rtl/>
        </w:rPr>
        <w:t>م العلاقات بين الأشخاص في المجتمع</w:t>
      </w:r>
      <w:r w:rsidR="0047109D" w:rsidRPr="006571AC">
        <w:rPr>
          <w:rFonts w:hint="eastAsia"/>
          <w:sz w:val="24"/>
          <w:szCs w:val="24"/>
          <w:rtl/>
        </w:rPr>
        <w:t>»</w:t>
      </w:r>
      <w:r w:rsidR="0047109D" w:rsidRPr="006571AC">
        <w:rPr>
          <w:rFonts w:ascii="Arial" w:hAnsi="Arial" w:hint="cs"/>
          <w:sz w:val="27"/>
          <w:rtl/>
        </w:rPr>
        <w:t>.</w:t>
      </w:r>
      <w:r w:rsidRPr="006571AC">
        <w:rPr>
          <w:rFonts w:ascii="Arial" w:hAnsi="Arial"/>
          <w:sz w:val="27"/>
          <w:rtl/>
        </w:rPr>
        <w:t xml:space="preserve"> فالقاعدة القانونية تختص</w:t>
      </w:r>
      <w:r w:rsidR="0047109D" w:rsidRPr="006571AC">
        <w:rPr>
          <w:rFonts w:ascii="Arial" w:hAnsi="Arial" w:hint="cs"/>
          <w:sz w:val="27"/>
          <w:rtl/>
        </w:rPr>
        <w:t>ّ</w:t>
      </w:r>
      <w:r w:rsidRPr="006571AC">
        <w:rPr>
          <w:rFonts w:ascii="Arial" w:hAnsi="Arial"/>
          <w:sz w:val="27"/>
          <w:rtl/>
        </w:rPr>
        <w:t xml:space="preserve"> بأنها عام</w:t>
      </w:r>
      <w:r w:rsidR="0047109D" w:rsidRPr="006571AC">
        <w:rPr>
          <w:rFonts w:ascii="Arial" w:hAnsi="Arial" w:hint="cs"/>
          <w:sz w:val="27"/>
          <w:rtl/>
        </w:rPr>
        <w:t>ّ</w:t>
      </w:r>
      <w:r w:rsidRPr="006571AC">
        <w:rPr>
          <w:rFonts w:ascii="Arial" w:hAnsi="Arial"/>
          <w:sz w:val="27"/>
          <w:rtl/>
        </w:rPr>
        <w:t>ة ومجر</w:t>
      </w:r>
      <w:r w:rsidR="0047109D" w:rsidRPr="006571AC">
        <w:rPr>
          <w:rFonts w:ascii="Arial" w:hAnsi="Arial" w:hint="cs"/>
          <w:sz w:val="27"/>
          <w:rtl/>
        </w:rPr>
        <w:t>ّ</w:t>
      </w:r>
      <w:r w:rsidR="0099384F" w:rsidRPr="006571AC">
        <w:rPr>
          <w:rFonts w:ascii="Arial" w:hAnsi="Arial"/>
          <w:sz w:val="27"/>
          <w:rtl/>
        </w:rPr>
        <w:t>دة (تنطبق على الجميع) وملزمة.</w:t>
      </w:r>
      <w:r w:rsidR="0099384F" w:rsidRPr="006571AC">
        <w:rPr>
          <w:rFonts w:ascii="Arial" w:hAnsi="Arial" w:hint="cs"/>
          <w:sz w:val="27"/>
          <w:rtl/>
        </w:rPr>
        <w:t xml:space="preserve"> </w:t>
      </w:r>
      <w:r w:rsidRPr="006571AC">
        <w:rPr>
          <w:rFonts w:ascii="Arial" w:hAnsi="Arial"/>
          <w:sz w:val="27"/>
          <w:rtl/>
        </w:rPr>
        <w:t>فموضوع القانون هو الإنسان وسلوكه الاجتماعي وأفعاله وردود أفعاله، وهدفه ن</w:t>
      </w:r>
      <w:r w:rsidR="0047109D" w:rsidRPr="006571AC">
        <w:rPr>
          <w:rFonts w:ascii="Arial" w:hAnsi="Arial" w:hint="cs"/>
          <w:sz w:val="27"/>
          <w:rtl/>
        </w:rPr>
        <w:t>َ</w:t>
      </w:r>
      <w:r w:rsidRPr="006571AC">
        <w:rPr>
          <w:rFonts w:ascii="Arial" w:hAnsi="Arial"/>
          <w:sz w:val="27"/>
          <w:rtl/>
        </w:rPr>
        <w:t>ظ</w:t>
      </w:r>
      <w:r w:rsidR="0047109D" w:rsidRPr="006571AC">
        <w:rPr>
          <w:rFonts w:ascii="Arial" w:hAnsi="Arial" w:hint="cs"/>
          <w:sz w:val="27"/>
          <w:rtl/>
        </w:rPr>
        <w:t>ْ</w:t>
      </w:r>
      <w:r w:rsidRPr="006571AC">
        <w:rPr>
          <w:rFonts w:ascii="Arial" w:hAnsi="Arial"/>
          <w:sz w:val="27"/>
          <w:rtl/>
        </w:rPr>
        <w:t>م هذا السلوك بمجموعة</w:t>
      </w:r>
      <w:r w:rsidR="0047109D" w:rsidRPr="006571AC">
        <w:rPr>
          <w:rFonts w:ascii="Arial" w:hAnsi="Arial" w:hint="cs"/>
          <w:sz w:val="27"/>
          <w:rtl/>
        </w:rPr>
        <w:t>ٍ</w:t>
      </w:r>
      <w:r w:rsidRPr="006571AC">
        <w:rPr>
          <w:rFonts w:ascii="Arial" w:hAnsi="Arial"/>
          <w:sz w:val="27"/>
          <w:rtl/>
        </w:rPr>
        <w:t xml:space="preserve"> من القوانين الملزمة</w:t>
      </w:r>
      <w:r w:rsidR="0047109D" w:rsidRPr="006571AC">
        <w:rPr>
          <w:rFonts w:ascii="Arial" w:hAnsi="Arial" w:hint="cs"/>
          <w:sz w:val="27"/>
          <w:rtl/>
        </w:rPr>
        <w:t>؛</w:t>
      </w:r>
      <w:r w:rsidRPr="006571AC">
        <w:rPr>
          <w:rFonts w:ascii="Arial" w:hAnsi="Arial"/>
          <w:sz w:val="27"/>
          <w:rtl/>
        </w:rPr>
        <w:t xml:space="preserve"> لتحقيق الأمن والاستقرار الاجتماعي. </w:t>
      </w:r>
    </w:p>
    <w:p w:rsidR="00CC6235" w:rsidRPr="006571AC" w:rsidRDefault="0001386F" w:rsidP="00D259C9">
      <w:pPr>
        <w:rPr>
          <w:rFonts w:ascii="Arial" w:hAnsi="Arial"/>
          <w:sz w:val="27"/>
          <w:rtl/>
        </w:rPr>
      </w:pPr>
      <w:r w:rsidRPr="006571AC">
        <w:rPr>
          <w:rFonts w:ascii="Arial" w:hAnsi="Arial"/>
          <w:sz w:val="27"/>
          <w:rtl/>
        </w:rPr>
        <w:lastRenderedPageBreak/>
        <w:t>ولا يمكن للقانون أن يحدث الأثر المرجو</w:t>
      </w:r>
      <w:r w:rsidR="0047109D" w:rsidRPr="006571AC">
        <w:rPr>
          <w:rFonts w:ascii="Arial" w:hAnsi="Arial" w:hint="cs"/>
          <w:sz w:val="27"/>
          <w:rtl/>
        </w:rPr>
        <w:t>ّ</w:t>
      </w:r>
      <w:r w:rsidRPr="006571AC">
        <w:rPr>
          <w:rFonts w:ascii="Arial" w:hAnsi="Arial"/>
          <w:sz w:val="27"/>
          <w:rtl/>
        </w:rPr>
        <w:t xml:space="preserve"> منه، ويحق</w:t>
      </w:r>
      <w:r w:rsidR="0047109D" w:rsidRPr="006571AC">
        <w:rPr>
          <w:rFonts w:ascii="Arial" w:hAnsi="Arial" w:hint="cs"/>
          <w:sz w:val="27"/>
          <w:rtl/>
        </w:rPr>
        <w:t>ِّ</w:t>
      </w:r>
      <w:r w:rsidRPr="006571AC">
        <w:rPr>
          <w:rFonts w:ascii="Arial" w:hAnsi="Arial"/>
          <w:sz w:val="27"/>
          <w:rtl/>
        </w:rPr>
        <w:t>ق الهدف المرجو</w:t>
      </w:r>
      <w:r w:rsidR="0047109D" w:rsidRPr="006571AC">
        <w:rPr>
          <w:rFonts w:ascii="Arial" w:hAnsi="Arial" w:hint="cs"/>
          <w:sz w:val="27"/>
          <w:rtl/>
        </w:rPr>
        <w:t>ّ</w:t>
      </w:r>
      <w:r w:rsidRPr="006571AC">
        <w:rPr>
          <w:rFonts w:ascii="Arial" w:hAnsi="Arial"/>
          <w:sz w:val="27"/>
          <w:rtl/>
        </w:rPr>
        <w:t xml:space="preserve"> منه</w:t>
      </w:r>
      <w:r w:rsidR="0047109D" w:rsidRPr="006571AC">
        <w:rPr>
          <w:rFonts w:ascii="Arial" w:hAnsi="Arial" w:hint="cs"/>
          <w:sz w:val="27"/>
          <w:rtl/>
        </w:rPr>
        <w:t>،</w:t>
      </w:r>
      <w:r w:rsidRPr="006571AC">
        <w:rPr>
          <w:rFonts w:ascii="Arial" w:hAnsi="Arial"/>
          <w:sz w:val="27"/>
          <w:rtl/>
        </w:rPr>
        <w:t xml:space="preserve"> إلا في حال جرى تطبيقه وفق مبدأ المساواة على الجميع دون فرق</w:t>
      </w:r>
      <w:r w:rsidR="0047109D" w:rsidRPr="006571AC">
        <w:rPr>
          <w:rFonts w:ascii="Arial" w:hAnsi="Arial" w:hint="cs"/>
          <w:sz w:val="27"/>
          <w:rtl/>
        </w:rPr>
        <w:t>ٍ</w:t>
      </w:r>
      <w:r w:rsidRPr="006571AC">
        <w:rPr>
          <w:rFonts w:ascii="Arial" w:hAnsi="Arial"/>
          <w:sz w:val="27"/>
          <w:rtl/>
        </w:rPr>
        <w:t>، وإلا</w:t>
      </w:r>
      <w:r w:rsidR="0047109D" w:rsidRPr="006571AC">
        <w:rPr>
          <w:rFonts w:ascii="Arial" w:hAnsi="Arial" w:hint="cs"/>
          <w:sz w:val="27"/>
          <w:rtl/>
        </w:rPr>
        <w:t>ّ</w:t>
      </w:r>
      <w:r w:rsidRPr="006571AC">
        <w:rPr>
          <w:rFonts w:ascii="Arial" w:hAnsi="Arial"/>
          <w:sz w:val="27"/>
          <w:rtl/>
        </w:rPr>
        <w:t xml:space="preserve"> بات القانون لا يساوي الحبر الذي ك</w:t>
      </w:r>
      <w:r w:rsidR="0047109D" w:rsidRPr="006571AC">
        <w:rPr>
          <w:rFonts w:ascii="Arial" w:hAnsi="Arial" w:hint="cs"/>
          <w:sz w:val="27"/>
          <w:rtl/>
        </w:rPr>
        <w:t>ُ</w:t>
      </w:r>
      <w:r w:rsidRPr="006571AC">
        <w:rPr>
          <w:rFonts w:ascii="Arial" w:hAnsi="Arial"/>
          <w:sz w:val="27"/>
          <w:rtl/>
        </w:rPr>
        <w:t>تب به. فالقانون يرسم الحدود</w:t>
      </w:r>
      <w:r w:rsidR="0047109D" w:rsidRPr="006571AC">
        <w:rPr>
          <w:rFonts w:ascii="Arial" w:hAnsi="Arial" w:hint="cs"/>
          <w:sz w:val="27"/>
          <w:rtl/>
        </w:rPr>
        <w:t>،</w:t>
      </w:r>
      <w:r w:rsidRPr="006571AC">
        <w:rPr>
          <w:rFonts w:ascii="Arial" w:hAnsi="Arial"/>
          <w:sz w:val="27"/>
          <w:rtl/>
        </w:rPr>
        <w:t xml:space="preserve"> ويضبط السلوك الخارجي، ولكن</w:t>
      </w:r>
      <w:r w:rsidR="0047109D" w:rsidRPr="006571AC">
        <w:rPr>
          <w:rFonts w:ascii="Arial" w:hAnsi="Arial" w:hint="cs"/>
          <w:sz w:val="27"/>
          <w:rtl/>
        </w:rPr>
        <w:t>ّ</w:t>
      </w:r>
      <w:r w:rsidRPr="006571AC">
        <w:rPr>
          <w:rFonts w:ascii="Arial" w:hAnsi="Arial"/>
          <w:sz w:val="27"/>
          <w:rtl/>
        </w:rPr>
        <w:t>ه يحتاج عوامل أخرى</w:t>
      </w:r>
      <w:r w:rsidR="0047109D" w:rsidRPr="006571AC">
        <w:rPr>
          <w:rFonts w:ascii="Arial" w:hAnsi="Arial" w:hint="cs"/>
          <w:sz w:val="27"/>
          <w:rtl/>
        </w:rPr>
        <w:t>؛</w:t>
      </w:r>
      <w:r w:rsidRPr="006571AC">
        <w:rPr>
          <w:rFonts w:ascii="Arial" w:hAnsi="Arial"/>
          <w:sz w:val="27"/>
          <w:rtl/>
        </w:rPr>
        <w:t xml:space="preserve"> كي يحق</w:t>
      </w:r>
      <w:r w:rsidR="0047109D" w:rsidRPr="006571AC">
        <w:rPr>
          <w:rFonts w:ascii="Arial" w:hAnsi="Arial" w:hint="cs"/>
          <w:sz w:val="27"/>
          <w:rtl/>
        </w:rPr>
        <w:t>ِّ</w:t>
      </w:r>
      <w:r w:rsidRPr="006571AC">
        <w:rPr>
          <w:rFonts w:ascii="Arial" w:hAnsi="Arial"/>
          <w:sz w:val="27"/>
          <w:rtl/>
        </w:rPr>
        <w:t>ق هدف الاستقرار الاجتماعي المستديم.</w:t>
      </w:r>
    </w:p>
    <w:p w:rsidR="00CC6235" w:rsidRPr="006571AC" w:rsidRDefault="0001386F" w:rsidP="00D259C9">
      <w:pPr>
        <w:rPr>
          <w:rFonts w:ascii="Arial" w:hAnsi="Arial"/>
          <w:sz w:val="27"/>
          <w:rtl/>
        </w:rPr>
      </w:pPr>
      <w:r w:rsidRPr="006571AC">
        <w:rPr>
          <w:rFonts w:ascii="Arial" w:hAnsi="Arial"/>
          <w:sz w:val="27"/>
          <w:rtl/>
        </w:rPr>
        <w:t>وجوهر هذه الاستدامة في الاستقرار</w:t>
      </w:r>
      <w:r w:rsidRPr="006571AC">
        <w:rPr>
          <w:rFonts w:ascii="Arial" w:hAnsi="Arial" w:hint="cs"/>
          <w:sz w:val="27"/>
          <w:rtl/>
        </w:rPr>
        <w:t xml:space="preserve"> </w:t>
      </w:r>
      <w:r w:rsidRPr="006571AC">
        <w:rPr>
          <w:rFonts w:ascii="Arial" w:hAnsi="Arial"/>
          <w:sz w:val="27"/>
          <w:rtl/>
        </w:rPr>
        <w:t xml:space="preserve">الاجتماعي هو </w:t>
      </w:r>
      <w:r w:rsidR="0047109D" w:rsidRPr="006571AC">
        <w:rPr>
          <w:rFonts w:ascii="Arial" w:hAnsi="Arial" w:hint="cs"/>
          <w:sz w:val="27"/>
          <w:rtl/>
        </w:rPr>
        <w:t>إ</w:t>
      </w:r>
      <w:r w:rsidRPr="006571AC">
        <w:rPr>
          <w:rFonts w:ascii="Arial" w:hAnsi="Arial"/>
          <w:sz w:val="27"/>
          <w:rtl/>
        </w:rPr>
        <w:t>حراز القانون للعدالة الاجتماعية، والعدالة قيمة</w:t>
      </w:r>
      <w:r w:rsidR="0047109D" w:rsidRPr="006571AC">
        <w:rPr>
          <w:rFonts w:ascii="Arial" w:hAnsi="Arial" w:hint="cs"/>
          <w:sz w:val="27"/>
          <w:rtl/>
        </w:rPr>
        <w:t>ٌ</w:t>
      </w:r>
      <w:r w:rsidRPr="006571AC">
        <w:rPr>
          <w:rFonts w:ascii="Arial" w:hAnsi="Arial"/>
          <w:sz w:val="27"/>
          <w:rtl/>
        </w:rPr>
        <w:t xml:space="preserve"> غائية</w:t>
      </w:r>
      <w:r w:rsidR="0047109D" w:rsidRPr="006571AC">
        <w:rPr>
          <w:rFonts w:ascii="Arial" w:hAnsi="Arial" w:hint="cs"/>
          <w:sz w:val="27"/>
          <w:rtl/>
        </w:rPr>
        <w:t>،</w:t>
      </w:r>
      <w:r w:rsidRPr="006571AC">
        <w:rPr>
          <w:rFonts w:ascii="Arial" w:hAnsi="Arial"/>
          <w:sz w:val="27"/>
          <w:rtl/>
        </w:rPr>
        <w:t xml:space="preserve"> لا تعتمد في تحقيقها فقط على القانون والانضباط الاجتماعي، بل تحتاج بشكل</w:t>
      </w:r>
      <w:r w:rsidR="0047109D" w:rsidRPr="006571AC">
        <w:rPr>
          <w:rFonts w:ascii="Arial" w:hAnsi="Arial" w:hint="cs"/>
          <w:sz w:val="27"/>
          <w:rtl/>
        </w:rPr>
        <w:t>ٍ</w:t>
      </w:r>
      <w:r w:rsidRPr="006571AC">
        <w:rPr>
          <w:rFonts w:ascii="Arial" w:hAnsi="Arial"/>
          <w:sz w:val="27"/>
          <w:rtl/>
        </w:rPr>
        <w:t xml:space="preserve"> كبير للانضباط القيمي والمعياري والأخلاقي على مستوى الفرد (الذات)، وهو ما قد يمكن تحقيقه من خلال بو</w:t>
      </w:r>
      <w:r w:rsidR="0047109D" w:rsidRPr="006571AC">
        <w:rPr>
          <w:rFonts w:ascii="Arial" w:hAnsi="Arial" w:hint="cs"/>
          <w:sz w:val="27"/>
          <w:rtl/>
        </w:rPr>
        <w:t>ّ</w:t>
      </w:r>
      <w:r w:rsidRPr="006571AC">
        <w:rPr>
          <w:rFonts w:ascii="Arial" w:hAnsi="Arial"/>
          <w:sz w:val="27"/>
          <w:rtl/>
        </w:rPr>
        <w:t xml:space="preserve">ابة التقوى، والتي تلعب </w:t>
      </w:r>
      <w:r w:rsidR="00EA38F1" w:rsidRPr="006571AC">
        <w:rPr>
          <w:rFonts w:ascii="Arial" w:hAnsi="Arial"/>
          <w:sz w:val="27"/>
          <w:rtl/>
        </w:rPr>
        <w:t>دَوْر</w:t>
      </w:r>
      <w:r w:rsidRPr="006571AC">
        <w:rPr>
          <w:rFonts w:ascii="Arial" w:hAnsi="Arial"/>
          <w:sz w:val="27"/>
          <w:rtl/>
        </w:rPr>
        <w:t>ا</w:t>
      </w:r>
      <w:r w:rsidR="0047109D" w:rsidRPr="006571AC">
        <w:rPr>
          <w:rFonts w:ascii="Arial" w:hAnsi="Arial" w:hint="cs"/>
          <w:sz w:val="27"/>
          <w:rtl/>
        </w:rPr>
        <w:t>ً</w:t>
      </w:r>
      <w:r w:rsidRPr="006571AC">
        <w:rPr>
          <w:rFonts w:ascii="Arial" w:hAnsi="Arial"/>
          <w:sz w:val="27"/>
          <w:rtl/>
        </w:rPr>
        <w:t xml:space="preserve"> هام</w:t>
      </w:r>
      <w:r w:rsidR="0047109D" w:rsidRPr="006571AC">
        <w:rPr>
          <w:rFonts w:ascii="Arial" w:hAnsi="Arial" w:hint="cs"/>
          <w:sz w:val="27"/>
          <w:rtl/>
        </w:rPr>
        <w:t>ّ</w:t>
      </w:r>
      <w:r w:rsidRPr="006571AC">
        <w:rPr>
          <w:rFonts w:ascii="Arial" w:hAnsi="Arial"/>
          <w:sz w:val="27"/>
          <w:rtl/>
        </w:rPr>
        <w:t>ا</w:t>
      </w:r>
      <w:r w:rsidR="0047109D" w:rsidRPr="006571AC">
        <w:rPr>
          <w:rFonts w:ascii="Arial" w:hAnsi="Arial" w:hint="cs"/>
          <w:sz w:val="27"/>
          <w:rtl/>
        </w:rPr>
        <w:t>ً</w:t>
      </w:r>
      <w:r w:rsidRPr="006571AC">
        <w:rPr>
          <w:rFonts w:ascii="Arial" w:hAnsi="Arial"/>
          <w:sz w:val="27"/>
          <w:rtl/>
        </w:rPr>
        <w:t xml:space="preserve"> في الحياة الدنيا، وضبطها وتحقيق العدالة، واستدامة الاستقرار</w:t>
      </w:r>
      <w:r w:rsidRPr="006571AC">
        <w:rPr>
          <w:rFonts w:ascii="Arial" w:hAnsi="Arial" w:hint="cs"/>
          <w:sz w:val="27"/>
          <w:rtl/>
        </w:rPr>
        <w:t xml:space="preserve"> </w:t>
      </w:r>
      <w:r w:rsidRPr="006571AC">
        <w:rPr>
          <w:rFonts w:ascii="Arial" w:hAnsi="Arial"/>
          <w:sz w:val="27"/>
          <w:rtl/>
        </w:rPr>
        <w:t>الاجتماعي.</w:t>
      </w:r>
      <w:r w:rsidR="00CC6235" w:rsidRPr="006571AC">
        <w:rPr>
          <w:rFonts w:ascii="Arial" w:hAnsi="Arial"/>
          <w:sz w:val="27"/>
          <w:rtl/>
        </w:rPr>
        <w:t xml:space="preserve"> </w:t>
      </w:r>
    </w:p>
    <w:p w:rsidR="0001386F" w:rsidRPr="006571AC" w:rsidRDefault="0001386F" w:rsidP="00D259C9">
      <w:pPr>
        <w:rPr>
          <w:rFonts w:ascii="Arial" w:hAnsi="Arial"/>
          <w:sz w:val="27"/>
          <w:rtl/>
        </w:rPr>
      </w:pPr>
      <w:r w:rsidRPr="006571AC">
        <w:rPr>
          <w:rFonts w:ascii="Arial" w:hAnsi="Arial"/>
          <w:sz w:val="27"/>
          <w:rtl/>
        </w:rPr>
        <w:t>وللقانون</w:t>
      </w:r>
      <w:r w:rsidR="0047109D" w:rsidRPr="006571AC">
        <w:rPr>
          <w:rFonts w:ascii="Arial" w:hAnsi="Arial" w:hint="cs"/>
          <w:sz w:val="27"/>
          <w:rtl/>
        </w:rPr>
        <w:t>،</w:t>
      </w:r>
      <w:r w:rsidRPr="006571AC">
        <w:rPr>
          <w:rFonts w:ascii="Arial" w:hAnsi="Arial"/>
          <w:sz w:val="27"/>
          <w:rtl/>
        </w:rPr>
        <w:t xml:space="preserve"> ولتطبيقه على الجميع دون ف</w:t>
      </w:r>
      <w:r w:rsidR="00B87364" w:rsidRPr="006571AC">
        <w:rPr>
          <w:rFonts w:ascii="Arial" w:hAnsi="Arial" w:hint="cs"/>
          <w:sz w:val="27"/>
          <w:rtl/>
        </w:rPr>
        <w:t>َ</w:t>
      </w:r>
      <w:r w:rsidRPr="006571AC">
        <w:rPr>
          <w:rFonts w:ascii="Arial" w:hAnsi="Arial"/>
          <w:sz w:val="27"/>
          <w:rtl/>
        </w:rPr>
        <w:t>ر</w:t>
      </w:r>
      <w:r w:rsidR="00B87364" w:rsidRPr="006571AC">
        <w:rPr>
          <w:rFonts w:ascii="Arial" w:hAnsi="Arial" w:hint="cs"/>
          <w:sz w:val="27"/>
          <w:rtl/>
        </w:rPr>
        <w:t>ْ</w:t>
      </w:r>
      <w:r w:rsidRPr="006571AC">
        <w:rPr>
          <w:rFonts w:ascii="Arial" w:hAnsi="Arial"/>
          <w:sz w:val="27"/>
          <w:rtl/>
        </w:rPr>
        <w:t>ق</w:t>
      </w:r>
      <w:r w:rsidR="0047109D" w:rsidRPr="006571AC">
        <w:rPr>
          <w:rFonts w:ascii="Arial" w:hAnsi="Arial" w:hint="cs"/>
          <w:sz w:val="27"/>
          <w:rtl/>
        </w:rPr>
        <w:t>ٍ،</w:t>
      </w:r>
      <w:r w:rsidRPr="006571AC">
        <w:rPr>
          <w:rFonts w:ascii="Arial" w:hAnsi="Arial"/>
          <w:sz w:val="27"/>
          <w:rtl/>
        </w:rPr>
        <w:t xml:space="preserve"> </w:t>
      </w:r>
      <w:r w:rsidR="00EA38F1" w:rsidRPr="006571AC">
        <w:rPr>
          <w:rFonts w:ascii="Arial" w:hAnsi="Arial"/>
          <w:sz w:val="27"/>
          <w:rtl/>
        </w:rPr>
        <w:t>دَوْر</w:t>
      </w:r>
      <w:r w:rsidR="0047109D" w:rsidRPr="006571AC">
        <w:rPr>
          <w:rFonts w:ascii="Arial" w:hAnsi="Arial" w:hint="cs"/>
          <w:sz w:val="27"/>
          <w:rtl/>
        </w:rPr>
        <w:t>ٌ</w:t>
      </w:r>
      <w:r w:rsidRPr="006571AC">
        <w:rPr>
          <w:rFonts w:ascii="Arial" w:hAnsi="Arial"/>
          <w:sz w:val="27"/>
          <w:rtl/>
        </w:rPr>
        <w:t xml:space="preserve"> كبير</w:t>
      </w:r>
      <w:r w:rsidR="0047109D" w:rsidRPr="006571AC">
        <w:rPr>
          <w:rFonts w:ascii="Arial" w:hAnsi="Arial" w:hint="cs"/>
          <w:sz w:val="27"/>
          <w:rtl/>
        </w:rPr>
        <w:t>ٌ</w:t>
      </w:r>
      <w:r w:rsidRPr="006571AC">
        <w:rPr>
          <w:rFonts w:ascii="Arial" w:hAnsi="Arial"/>
          <w:sz w:val="27"/>
          <w:rtl/>
        </w:rPr>
        <w:t xml:space="preserve"> في تحقيق الضبط الاجتماعي تشريعيا</w:t>
      </w:r>
      <w:r w:rsidR="0047109D" w:rsidRPr="006571AC">
        <w:rPr>
          <w:rFonts w:ascii="Arial" w:hAnsi="Arial" w:hint="cs"/>
          <w:sz w:val="27"/>
          <w:rtl/>
        </w:rPr>
        <w:t>ً</w:t>
      </w:r>
      <w:r w:rsidRPr="006571AC">
        <w:rPr>
          <w:rFonts w:ascii="Arial" w:hAnsi="Arial"/>
          <w:sz w:val="27"/>
          <w:rtl/>
        </w:rPr>
        <w:t>، ولكن</w:t>
      </w:r>
      <w:r w:rsidR="0047109D" w:rsidRPr="006571AC">
        <w:rPr>
          <w:rFonts w:ascii="Arial" w:hAnsi="Arial" w:hint="cs"/>
          <w:sz w:val="27"/>
          <w:rtl/>
        </w:rPr>
        <w:t>ّ</w:t>
      </w:r>
      <w:r w:rsidRPr="006571AC">
        <w:rPr>
          <w:rFonts w:ascii="Arial" w:hAnsi="Arial"/>
          <w:sz w:val="27"/>
          <w:rtl/>
        </w:rPr>
        <w:t xml:space="preserve"> السؤال الذي يطرح نفسه: ما هي مصادر التقنين؟ وهل للقانون </w:t>
      </w:r>
      <w:r w:rsidR="00EA38F1" w:rsidRPr="006571AC">
        <w:rPr>
          <w:rFonts w:ascii="Arial" w:hAnsi="Arial"/>
          <w:sz w:val="27"/>
          <w:rtl/>
        </w:rPr>
        <w:t>دَوْر</w:t>
      </w:r>
      <w:r w:rsidR="0047109D" w:rsidRPr="006571AC">
        <w:rPr>
          <w:rFonts w:ascii="Arial" w:hAnsi="Arial" w:hint="cs"/>
          <w:sz w:val="27"/>
          <w:rtl/>
        </w:rPr>
        <w:t>ٌ</w:t>
      </w:r>
      <w:r w:rsidRPr="006571AC">
        <w:rPr>
          <w:rFonts w:ascii="Arial" w:hAnsi="Arial"/>
          <w:sz w:val="27"/>
          <w:rtl/>
        </w:rPr>
        <w:t xml:space="preserve"> في الضبط الأخلاقي؟ </w:t>
      </w:r>
    </w:p>
    <w:p w:rsidR="001069FB" w:rsidRPr="006571AC" w:rsidRDefault="001069FB" w:rsidP="001069FB">
      <w:pPr>
        <w:spacing w:line="420" w:lineRule="exact"/>
        <w:rPr>
          <w:rFonts w:ascii="Arabic Typesetting" w:hAnsi="Arabic Typesetting"/>
          <w:sz w:val="27"/>
          <w:rtl/>
          <w:lang w:bidi="ar-LB"/>
        </w:rPr>
      </w:pPr>
    </w:p>
    <w:p w:rsidR="00CC6235" w:rsidRPr="006571AC" w:rsidRDefault="0001386F" w:rsidP="00CC6235">
      <w:pPr>
        <w:pStyle w:val="31"/>
        <w:rPr>
          <w:color w:val="auto"/>
          <w:rtl/>
        </w:rPr>
      </w:pPr>
      <w:bookmarkStart w:id="433" w:name="_Toc114164841"/>
      <w:r w:rsidRPr="006571AC">
        <w:rPr>
          <w:color w:val="auto"/>
          <w:rtl/>
        </w:rPr>
        <w:t>مصادر التقنين</w:t>
      </w:r>
      <w:bookmarkEnd w:id="433"/>
    </w:p>
    <w:p w:rsidR="00CC6235" w:rsidRPr="006571AC" w:rsidRDefault="0001386F" w:rsidP="00D259C9">
      <w:pPr>
        <w:rPr>
          <w:rtl/>
        </w:rPr>
      </w:pPr>
      <w:r w:rsidRPr="006571AC">
        <w:rPr>
          <w:rtl/>
        </w:rPr>
        <w:t>كي يحرز</w:t>
      </w:r>
      <w:r w:rsidRPr="006571AC">
        <w:rPr>
          <w:rFonts w:hint="cs"/>
          <w:rtl/>
        </w:rPr>
        <w:t xml:space="preserve"> </w:t>
      </w:r>
      <w:r w:rsidRPr="006571AC">
        <w:rPr>
          <w:rtl/>
        </w:rPr>
        <w:t xml:space="preserve">القانون هدفه في الضبط وتحقيق العدل </w:t>
      </w:r>
      <w:r w:rsidR="00731867" w:rsidRPr="006571AC">
        <w:rPr>
          <w:rtl/>
        </w:rPr>
        <w:t>لا بُدَّ</w:t>
      </w:r>
      <w:r w:rsidRPr="006571AC">
        <w:rPr>
          <w:rtl/>
        </w:rPr>
        <w:t xml:space="preserve"> له من مرجعي</w:t>
      </w:r>
      <w:r w:rsidR="0047109D" w:rsidRPr="006571AC">
        <w:rPr>
          <w:rFonts w:hint="cs"/>
          <w:rtl/>
        </w:rPr>
        <w:t>ّ</w:t>
      </w:r>
      <w:r w:rsidRPr="006571AC">
        <w:rPr>
          <w:rtl/>
        </w:rPr>
        <w:t>ة</w:t>
      </w:r>
      <w:r w:rsidR="0047109D" w:rsidRPr="006571AC">
        <w:rPr>
          <w:rFonts w:hint="cs"/>
          <w:rtl/>
        </w:rPr>
        <w:t>ٍ</w:t>
      </w:r>
      <w:r w:rsidRPr="006571AC">
        <w:rPr>
          <w:rtl/>
        </w:rPr>
        <w:t xml:space="preserve"> خبيرة ومحيطة</w:t>
      </w:r>
      <w:r w:rsidR="0047109D" w:rsidRPr="006571AC">
        <w:rPr>
          <w:rFonts w:hint="cs"/>
          <w:rtl/>
        </w:rPr>
        <w:t>ٍ</w:t>
      </w:r>
      <w:r w:rsidRPr="006571AC">
        <w:rPr>
          <w:rtl/>
        </w:rPr>
        <w:t xml:space="preserve"> بالإنسان وعلاقته بالطبيعة والإنسان الآخر، وكيفية نظم هذه العلاقات بما يدفع باتجاه التطو</w:t>
      </w:r>
      <w:r w:rsidR="000D6058" w:rsidRPr="006571AC">
        <w:rPr>
          <w:rFonts w:hint="cs"/>
          <w:rtl/>
        </w:rPr>
        <w:t>ُّ</w:t>
      </w:r>
      <w:r w:rsidRPr="006571AC">
        <w:rPr>
          <w:rtl/>
        </w:rPr>
        <w:t>ر والتقد</w:t>
      </w:r>
      <w:r w:rsidR="000D6058" w:rsidRPr="006571AC">
        <w:rPr>
          <w:rFonts w:hint="cs"/>
          <w:rtl/>
        </w:rPr>
        <w:t>ُّ</w:t>
      </w:r>
      <w:r w:rsidRPr="006571AC">
        <w:rPr>
          <w:rtl/>
        </w:rPr>
        <w:t>م والتنمية المستديمة، ويزيل كل</w:t>
      </w:r>
      <w:r w:rsidR="000D6058" w:rsidRPr="006571AC">
        <w:rPr>
          <w:rFonts w:hint="cs"/>
          <w:rtl/>
        </w:rPr>
        <w:t>ّ</w:t>
      </w:r>
      <w:r w:rsidRPr="006571AC">
        <w:rPr>
          <w:rtl/>
        </w:rPr>
        <w:t xml:space="preserve"> العوائق النفسية والاجتماعية</w:t>
      </w:r>
      <w:r w:rsidR="00CC6235" w:rsidRPr="006571AC">
        <w:rPr>
          <w:rtl/>
        </w:rPr>
        <w:t>.</w:t>
      </w:r>
    </w:p>
    <w:p w:rsidR="00CC6235" w:rsidRPr="006571AC" w:rsidRDefault="0001386F" w:rsidP="00B87364">
      <w:r w:rsidRPr="006571AC">
        <w:rPr>
          <w:rtl/>
        </w:rPr>
        <w:t>والمصدر في التقنين يجب أن يت</w:t>
      </w:r>
      <w:r w:rsidR="000D6058" w:rsidRPr="006571AC">
        <w:rPr>
          <w:rFonts w:hint="cs"/>
          <w:rtl/>
        </w:rPr>
        <w:t>َّ</w:t>
      </w:r>
      <w:r w:rsidRPr="006571AC">
        <w:rPr>
          <w:rtl/>
        </w:rPr>
        <w:t xml:space="preserve">صف </w:t>
      </w:r>
      <w:r w:rsidRPr="006571AC">
        <w:rPr>
          <w:rFonts w:hint="cs"/>
          <w:rtl/>
        </w:rPr>
        <w:t>بالإحاطة</w:t>
      </w:r>
      <w:r w:rsidRPr="006571AC">
        <w:rPr>
          <w:rtl/>
        </w:rPr>
        <w:t xml:space="preserve"> والشمولية والتجر</w:t>
      </w:r>
      <w:r w:rsidR="000D6058" w:rsidRPr="006571AC">
        <w:rPr>
          <w:rFonts w:hint="cs"/>
          <w:rtl/>
        </w:rPr>
        <w:t>ُّ</w:t>
      </w:r>
      <w:r w:rsidRPr="006571AC">
        <w:rPr>
          <w:rtl/>
        </w:rPr>
        <w:t>د والموضوعية</w:t>
      </w:r>
      <w:r w:rsidR="000D6058" w:rsidRPr="006571AC">
        <w:rPr>
          <w:rFonts w:hint="cs"/>
          <w:rtl/>
        </w:rPr>
        <w:t>؛</w:t>
      </w:r>
      <w:r w:rsidRPr="006571AC">
        <w:rPr>
          <w:rtl/>
        </w:rPr>
        <w:t xml:space="preserve"> حتى يستطيع سن</w:t>
      </w:r>
      <w:r w:rsidR="000D6058" w:rsidRPr="006571AC">
        <w:rPr>
          <w:rFonts w:hint="cs"/>
          <w:rtl/>
        </w:rPr>
        <w:t>ّ</w:t>
      </w:r>
      <w:r w:rsidRPr="006571AC">
        <w:rPr>
          <w:rtl/>
        </w:rPr>
        <w:t xml:space="preserve"> ق</w:t>
      </w:r>
      <w:r w:rsidR="000D6058" w:rsidRPr="006571AC">
        <w:rPr>
          <w:rFonts w:hint="cs"/>
          <w:rtl/>
        </w:rPr>
        <w:t>و</w:t>
      </w:r>
      <w:r w:rsidRPr="006571AC">
        <w:rPr>
          <w:rtl/>
        </w:rPr>
        <w:t>ان</w:t>
      </w:r>
      <w:r w:rsidR="00B87364" w:rsidRPr="006571AC">
        <w:rPr>
          <w:rFonts w:hint="cs"/>
          <w:rtl/>
        </w:rPr>
        <w:t>ي</w:t>
      </w:r>
      <w:r w:rsidRPr="006571AC">
        <w:rPr>
          <w:rtl/>
        </w:rPr>
        <w:t>ن تحق</w:t>
      </w:r>
      <w:r w:rsidR="000D6058" w:rsidRPr="006571AC">
        <w:rPr>
          <w:rFonts w:hint="cs"/>
          <w:rtl/>
        </w:rPr>
        <w:t>ِّ</w:t>
      </w:r>
      <w:r w:rsidRPr="006571AC">
        <w:rPr>
          <w:rtl/>
        </w:rPr>
        <w:t>ق الهدف من التقنين، ويضبط السلوك الفردي والاجتماعي بما يحفظ النوع الإنساني</w:t>
      </w:r>
      <w:r w:rsidR="000D6058" w:rsidRPr="006571AC">
        <w:rPr>
          <w:rFonts w:hint="cs"/>
          <w:rtl/>
        </w:rPr>
        <w:t>،</w:t>
      </w:r>
      <w:r w:rsidRPr="006571AC">
        <w:rPr>
          <w:rtl/>
        </w:rPr>
        <w:t xml:space="preserve"> ويحق</w:t>
      </w:r>
      <w:r w:rsidR="000D6058" w:rsidRPr="006571AC">
        <w:rPr>
          <w:rFonts w:hint="cs"/>
          <w:rtl/>
        </w:rPr>
        <w:t>ِّ</w:t>
      </w:r>
      <w:r w:rsidRPr="006571AC">
        <w:rPr>
          <w:rtl/>
        </w:rPr>
        <w:t>ق العدل.</w:t>
      </w:r>
    </w:p>
    <w:p w:rsidR="00CC6235" w:rsidRPr="006571AC" w:rsidRDefault="0001386F" w:rsidP="00D259C9">
      <w:pPr>
        <w:rPr>
          <w:rtl/>
        </w:rPr>
      </w:pPr>
      <w:r w:rsidRPr="006571AC">
        <w:rPr>
          <w:rtl/>
        </w:rPr>
        <w:t xml:space="preserve">فنحن هنا أمام مرجعيتين: </w:t>
      </w:r>
    </w:p>
    <w:p w:rsidR="00CC6235" w:rsidRPr="006571AC" w:rsidRDefault="0001386F" w:rsidP="005C0F63">
      <w:pPr>
        <w:rPr>
          <w:rtl/>
        </w:rPr>
      </w:pPr>
      <w:r w:rsidRPr="006571AC">
        <w:rPr>
          <w:rFonts w:hint="cs"/>
          <w:b/>
          <w:bCs/>
          <w:rtl/>
        </w:rPr>
        <w:t>1ـ</w:t>
      </w:r>
      <w:r w:rsidRPr="006571AC">
        <w:rPr>
          <w:b/>
          <w:bCs/>
          <w:rtl/>
        </w:rPr>
        <w:t xml:space="preserve"> المرجعية ال</w:t>
      </w:r>
      <w:r w:rsidR="005C0F63">
        <w:rPr>
          <w:rFonts w:hint="cs"/>
          <w:b/>
          <w:bCs/>
          <w:rtl/>
        </w:rPr>
        <w:t>إ</w:t>
      </w:r>
      <w:r w:rsidRPr="006571AC">
        <w:rPr>
          <w:b/>
          <w:bCs/>
          <w:rtl/>
        </w:rPr>
        <w:t>لهي</w:t>
      </w:r>
      <w:r w:rsidR="000D6058" w:rsidRPr="006571AC">
        <w:rPr>
          <w:rFonts w:hint="cs"/>
          <w:b/>
          <w:bCs/>
          <w:rtl/>
        </w:rPr>
        <w:t>ّ</w:t>
      </w:r>
      <w:r w:rsidRPr="006571AC">
        <w:rPr>
          <w:b/>
          <w:bCs/>
          <w:rtl/>
        </w:rPr>
        <w:t>ة</w:t>
      </w:r>
      <w:r w:rsidR="000D6058" w:rsidRPr="006571AC">
        <w:rPr>
          <w:rFonts w:hint="cs"/>
          <w:rtl/>
        </w:rPr>
        <w:t>،</w:t>
      </w:r>
      <w:r w:rsidRPr="006571AC">
        <w:rPr>
          <w:rtl/>
        </w:rPr>
        <w:t xml:space="preserve"> المحيطة الشاملة الخبيرة غير المحدودة، وهنا نعني من حيث الضوابط والقوانين العام</w:t>
      </w:r>
      <w:r w:rsidR="00C014A9" w:rsidRPr="006571AC">
        <w:rPr>
          <w:rFonts w:hint="cs"/>
          <w:rtl/>
        </w:rPr>
        <w:t>ّ</w:t>
      </w:r>
      <w:r w:rsidRPr="006571AC">
        <w:rPr>
          <w:rtl/>
        </w:rPr>
        <w:t>ة</w:t>
      </w:r>
      <w:r w:rsidR="00C014A9" w:rsidRPr="006571AC">
        <w:rPr>
          <w:rFonts w:hint="cs"/>
          <w:rtl/>
        </w:rPr>
        <w:t>،</w:t>
      </w:r>
      <w:r w:rsidRPr="006571AC">
        <w:rPr>
          <w:rtl/>
        </w:rPr>
        <w:t xml:space="preserve"> دون إنكار</w:t>
      </w:r>
      <w:r w:rsidR="00C014A9" w:rsidRPr="006571AC">
        <w:rPr>
          <w:rFonts w:hint="cs"/>
          <w:rtl/>
        </w:rPr>
        <w:t>ٍ</w:t>
      </w:r>
      <w:r w:rsidRPr="006571AC">
        <w:rPr>
          <w:rtl/>
        </w:rPr>
        <w:t xml:space="preserve"> ل</w:t>
      </w:r>
      <w:r w:rsidR="00EA38F1" w:rsidRPr="006571AC">
        <w:rPr>
          <w:rtl/>
        </w:rPr>
        <w:t>دَوْر</w:t>
      </w:r>
      <w:r w:rsidRPr="006571AC">
        <w:rPr>
          <w:rtl/>
        </w:rPr>
        <w:t xml:space="preserve"> العقل الذي منحه الله للإنسان في التفصيل، وتشخيص الأصلح</w:t>
      </w:r>
      <w:r w:rsidR="00C014A9" w:rsidRPr="006571AC">
        <w:rPr>
          <w:rFonts w:hint="cs"/>
          <w:rtl/>
        </w:rPr>
        <w:t>؛</w:t>
      </w:r>
      <w:r w:rsidRPr="006571AC">
        <w:rPr>
          <w:rtl/>
        </w:rPr>
        <w:t xml:space="preserve"> لتحقيق تلك الغايات</w:t>
      </w:r>
      <w:r w:rsidR="00C014A9" w:rsidRPr="006571AC">
        <w:rPr>
          <w:rFonts w:hint="cs"/>
          <w:rtl/>
        </w:rPr>
        <w:t>،</w:t>
      </w:r>
      <w:r w:rsidRPr="006571AC">
        <w:rPr>
          <w:rtl/>
        </w:rPr>
        <w:t xml:space="preserve"> وتطبيق تلك الحدود العامة. </w:t>
      </w:r>
    </w:p>
    <w:p w:rsidR="00CC6235" w:rsidRPr="006571AC" w:rsidRDefault="0001386F" w:rsidP="00D259C9">
      <w:pPr>
        <w:rPr>
          <w:rtl/>
        </w:rPr>
      </w:pPr>
      <w:r w:rsidRPr="006571AC">
        <w:rPr>
          <w:rFonts w:hint="cs"/>
          <w:b/>
          <w:bCs/>
          <w:rtl/>
        </w:rPr>
        <w:t>2ـ</w:t>
      </w:r>
      <w:r w:rsidRPr="006571AC">
        <w:rPr>
          <w:b/>
          <w:bCs/>
          <w:rtl/>
        </w:rPr>
        <w:t xml:space="preserve"> المرجعية البشري</w:t>
      </w:r>
      <w:r w:rsidR="00A86073" w:rsidRPr="006571AC">
        <w:rPr>
          <w:rFonts w:hint="cs"/>
          <w:b/>
          <w:bCs/>
          <w:rtl/>
        </w:rPr>
        <w:t>ّ</w:t>
      </w:r>
      <w:r w:rsidRPr="006571AC">
        <w:rPr>
          <w:b/>
          <w:bCs/>
          <w:rtl/>
        </w:rPr>
        <w:t>ة المحدودة</w:t>
      </w:r>
      <w:r w:rsidRPr="006571AC">
        <w:rPr>
          <w:rtl/>
        </w:rPr>
        <w:t>، والتي يلعب فيها كل</w:t>
      </w:r>
      <w:r w:rsidR="00C014A9" w:rsidRPr="006571AC">
        <w:rPr>
          <w:rFonts w:hint="cs"/>
          <w:rtl/>
        </w:rPr>
        <w:t>ٌّ</w:t>
      </w:r>
      <w:r w:rsidRPr="006571AC">
        <w:rPr>
          <w:rtl/>
        </w:rPr>
        <w:t xml:space="preserve"> من</w:t>
      </w:r>
      <w:r w:rsidR="00C014A9" w:rsidRPr="006571AC">
        <w:rPr>
          <w:rFonts w:hint="cs"/>
          <w:rtl/>
        </w:rPr>
        <w:t>:</w:t>
      </w:r>
      <w:r w:rsidRPr="006571AC">
        <w:rPr>
          <w:rtl/>
        </w:rPr>
        <w:t xml:space="preserve"> العقل البشري </w:t>
      </w:r>
      <w:r w:rsidRPr="006571AC">
        <w:rPr>
          <w:rtl/>
        </w:rPr>
        <w:lastRenderedPageBreak/>
        <w:t>المحدود</w:t>
      </w:r>
      <w:r w:rsidR="00C014A9" w:rsidRPr="006571AC">
        <w:rPr>
          <w:rFonts w:hint="cs"/>
          <w:rtl/>
        </w:rPr>
        <w:t>؛</w:t>
      </w:r>
      <w:r w:rsidRPr="006571AC">
        <w:rPr>
          <w:rtl/>
        </w:rPr>
        <w:t xml:space="preserve"> والذات</w:t>
      </w:r>
      <w:r w:rsidR="00C014A9" w:rsidRPr="006571AC">
        <w:rPr>
          <w:rFonts w:hint="cs"/>
          <w:rtl/>
        </w:rPr>
        <w:t>،</w:t>
      </w:r>
      <w:r w:rsidRPr="006571AC">
        <w:rPr>
          <w:rtl/>
        </w:rPr>
        <w:t xml:space="preserve"> </w:t>
      </w:r>
      <w:r w:rsidR="00EA38F1" w:rsidRPr="006571AC">
        <w:rPr>
          <w:rtl/>
        </w:rPr>
        <w:t>دَوْر</w:t>
      </w:r>
      <w:r w:rsidRPr="006571AC">
        <w:rPr>
          <w:rtl/>
        </w:rPr>
        <w:t>ا</w:t>
      </w:r>
      <w:r w:rsidR="00C014A9" w:rsidRPr="006571AC">
        <w:rPr>
          <w:rFonts w:hint="cs"/>
          <w:rtl/>
        </w:rPr>
        <w:t>ً</w:t>
      </w:r>
      <w:r w:rsidRPr="006571AC">
        <w:rPr>
          <w:rtl/>
        </w:rPr>
        <w:t xml:space="preserve"> كبيرا</w:t>
      </w:r>
      <w:r w:rsidR="00C014A9" w:rsidRPr="006571AC">
        <w:rPr>
          <w:rFonts w:hint="cs"/>
          <w:rtl/>
        </w:rPr>
        <w:t>ً</w:t>
      </w:r>
      <w:r w:rsidRPr="006571AC">
        <w:rPr>
          <w:rtl/>
        </w:rPr>
        <w:t xml:space="preserve"> في تشخيص القانون. </w:t>
      </w:r>
    </w:p>
    <w:p w:rsidR="00C014A9" w:rsidRPr="006571AC" w:rsidRDefault="00C014A9" w:rsidP="00B87364">
      <w:pPr>
        <w:rPr>
          <w:rtl/>
        </w:rPr>
      </w:pPr>
      <w:r w:rsidRPr="006571AC">
        <w:rPr>
          <w:rFonts w:hint="cs"/>
          <w:rtl/>
        </w:rPr>
        <w:t xml:space="preserve">وتتمثَّل </w:t>
      </w:r>
      <w:r w:rsidR="0001386F" w:rsidRPr="006571AC">
        <w:rPr>
          <w:rtl/>
        </w:rPr>
        <w:t>المرجعية ال</w:t>
      </w:r>
      <w:r w:rsidR="00B87364" w:rsidRPr="006571AC">
        <w:rPr>
          <w:rFonts w:hint="cs"/>
          <w:rtl/>
        </w:rPr>
        <w:t>إ</w:t>
      </w:r>
      <w:r w:rsidR="0001386F" w:rsidRPr="006571AC">
        <w:rPr>
          <w:rtl/>
        </w:rPr>
        <w:t>لهي</w:t>
      </w:r>
      <w:r w:rsidRPr="006571AC">
        <w:rPr>
          <w:rFonts w:hint="cs"/>
          <w:rtl/>
        </w:rPr>
        <w:t>ّ</w:t>
      </w:r>
      <w:r w:rsidR="0001386F" w:rsidRPr="006571AC">
        <w:rPr>
          <w:rtl/>
        </w:rPr>
        <w:t xml:space="preserve">ة </w:t>
      </w:r>
      <w:r w:rsidRPr="006571AC">
        <w:rPr>
          <w:rFonts w:hint="cs"/>
          <w:rtl/>
        </w:rPr>
        <w:t>ب</w:t>
      </w:r>
      <w:r w:rsidR="0001386F" w:rsidRPr="006571AC">
        <w:rPr>
          <w:rtl/>
        </w:rPr>
        <w:t>القرآن الكريم والس</w:t>
      </w:r>
      <w:r w:rsidRPr="006571AC">
        <w:rPr>
          <w:rFonts w:hint="cs"/>
          <w:rtl/>
        </w:rPr>
        <w:t>ُّ</w:t>
      </w:r>
      <w:r w:rsidR="0001386F" w:rsidRPr="006571AC">
        <w:rPr>
          <w:rtl/>
        </w:rPr>
        <w:t>ن</w:t>
      </w:r>
      <w:r w:rsidRPr="006571AC">
        <w:rPr>
          <w:rFonts w:hint="cs"/>
          <w:rtl/>
        </w:rPr>
        <w:t>ّ</w:t>
      </w:r>
      <w:r w:rsidRPr="006571AC">
        <w:rPr>
          <w:rtl/>
        </w:rPr>
        <w:t>ة المعتبرة والحديث المُحَقَّق</w:t>
      </w:r>
      <w:r w:rsidR="0001386F" w:rsidRPr="006571AC">
        <w:rPr>
          <w:rtl/>
        </w:rPr>
        <w:t>، بحيث يشك</w:t>
      </w:r>
      <w:r w:rsidRPr="006571AC">
        <w:rPr>
          <w:rFonts w:hint="cs"/>
          <w:rtl/>
        </w:rPr>
        <w:t>ِّ</w:t>
      </w:r>
      <w:r w:rsidR="0001386F" w:rsidRPr="006571AC">
        <w:rPr>
          <w:rtl/>
        </w:rPr>
        <w:t xml:space="preserve">ل القرآن المرجعية المعرفية المعصومة لباقي المصادر، ويلعب العقل </w:t>
      </w:r>
      <w:r w:rsidR="00EA38F1" w:rsidRPr="006571AC">
        <w:rPr>
          <w:rtl/>
        </w:rPr>
        <w:t>دَوْر</w:t>
      </w:r>
      <w:r w:rsidR="0001386F" w:rsidRPr="006571AC">
        <w:rPr>
          <w:rtl/>
        </w:rPr>
        <w:t>ا</w:t>
      </w:r>
      <w:r w:rsidRPr="006571AC">
        <w:rPr>
          <w:rFonts w:hint="cs"/>
          <w:rtl/>
        </w:rPr>
        <w:t>ً</w:t>
      </w:r>
      <w:r w:rsidR="0001386F" w:rsidRPr="006571AC">
        <w:rPr>
          <w:rtl/>
        </w:rPr>
        <w:t xml:space="preserve"> هام</w:t>
      </w:r>
      <w:r w:rsidRPr="006571AC">
        <w:rPr>
          <w:rFonts w:hint="cs"/>
          <w:rtl/>
        </w:rPr>
        <w:t>ّ</w:t>
      </w:r>
      <w:r w:rsidR="0001386F" w:rsidRPr="006571AC">
        <w:rPr>
          <w:rtl/>
        </w:rPr>
        <w:t>ا</w:t>
      </w:r>
      <w:r w:rsidRPr="006571AC">
        <w:rPr>
          <w:rFonts w:hint="cs"/>
          <w:rtl/>
        </w:rPr>
        <w:t>ً</w:t>
      </w:r>
      <w:r w:rsidR="0001386F" w:rsidRPr="006571AC">
        <w:rPr>
          <w:rtl/>
        </w:rPr>
        <w:t xml:space="preserve"> ومحوري</w:t>
      </w:r>
      <w:r w:rsidRPr="006571AC">
        <w:rPr>
          <w:rFonts w:hint="cs"/>
          <w:rtl/>
        </w:rPr>
        <w:t>ّ</w:t>
      </w:r>
      <w:r w:rsidR="0001386F" w:rsidRPr="006571AC">
        <w:rPr>
          <w:rtl/>
        </w:rPr>
        <w:t>ا</w:t>
      </w:r>
      <w:r w:rsidRPr="006571AC">
        <w:rPr>
          <w:rFonts w:hint="cs"/>
          <w:rtl/>
        </w:rPr>
        <w:t>ً</w:t>
      </w:r>
      <w:r w:rsidR="0001386F" w:rsidRPr="006571AC">
        <w:rPr>
          <w:rtl/>
        </w:rPr>
        <w:t xml:space="preserve"> في الوصول </w:t>
      </w:r>
      <w:r w:rsidRPr="006571AC">
        <w:rPr>
          <w:rFonts w:hint="cs"/>
          <w:rtl/>
        </w:rPr>
        <w:t xml:space="preserve">إلى </w:t>
      </w:r>
      <w:r w:rsidR="0001386F" w:rsidRPr="006571AC">
        <w:rPr>
          <w:rtl/>
        </w:rPr>
        <w:t>حكم الله.</w:t>
      </w:r>
    </w:p>
    <w:p w:rsidR="00CC6235" w:rsidRPr="006571AC" w:rsidRDefault="00C014A9" w:rsidP="00D259C9">
      <w:pPr>
        <w:rPr>
          <w:rtl/>
        </w:rPr>
      </w:pPr>
      <w:r w:rsidRPr="006571AC">
        <w:rPr>
          <w:rFonts w:hint="cs"/>
          <w:rtl/>
        </w:rPr>
        <w:t>و</w:t>
      </w:r>
      <w:r w:rsidR="0001386F" w:rsidRPr="006571AC">
        <w:rPr>
          <w:rtl/>
        </w:rPr>
        <w:t>أما المرجعية البشرية فتت</w:t>
      </w:r>
      <w:r w:rsidRPr="006571AC">
        <w:rPr>
          <w:rFonts w:hint="cs"/>
          <w:rtl/>
        </w:rPr>
        <w:t>ّ</w:t>
      </w:r>
      <w:r w:rsidR="0001386F" w:rsidRPr="006571AC">
        <w:rPr>
          <w:rtl/>
        </w:rPr>
        <w:t>كئ على التجربة، منطلقة</w:t>
      </w:r>
      <w:r w:rsidRPr="006571AC">
        <w:rPr>
          <w:rFonts w:hint="cs"/>
          <w:rtl/>
        </w:rPr>
        <w:t>ً</w:t>
      </w:r>
      <w:r w:rsidR="0001386F" w:rsidRPr="006571AC">
        <w:rPr>
          <w:rtl/>
        </w:rPr>
        <w:t xml:space="preserve"> من نجاحها في التجارب الطبيعية، مع عدم التفاتها للاختلاف العميق والواقعي بين التجربة الطبيعية والتجربة الاجتماعية والبشرية، وأهم</w:t>
      </w:r>
      <w:r w:rsidRPr="006571AC">
        <w:rPr>
          <w:rFonts w:hint="cs"/>
          <w:rtl/>
        </w:rPr>
        <w:t>ّ</w:t>
      </w:r>
      <w:r w:rsidR="0001386F" w:rsidRPr="006571AC">
        <w:rPr>
          <w:rtl/>
        </w:rPr>
        <w:t>ها</w:t>
      </w:r>
      <w:r w:rsidRPr="006571AC">
        <w:rPr>
          <w:rFonts w:hint="cs"/>
          <w:rtl/>
        </w:rPr>
        <w:t>:</w:t>
      </w:r>
      <w:r w:rsidR="0001386F" w:rsidRPr="006571AC">
        <w:rPr>
          <w:rtl/>
        </w:rPr>
        <w:t xml:space="preserve"> مجال التطبيق</w:t>
      </w:r>
      <w:r w:rsidRPr="006571AC">
        <w:rPr>
          <w:rFonts w:hint="cs"/>
          <w:rtl/>
        </w:rPr>
        <w:t>،</w:t>
      </w:r>
      <w:r w:rsidR="0001386F" w:rsidRPr="006571AC">
        <w:rPr>
          <w:rtl/>
        </w:rPr>
        <w:t xml:space="preserve"> ومد</w:t>
      </w:r>
      <w:r w:rsidRPr="006571AC">
        <w:rPr>
          <w:rFonts w:hint="cs"/>
          <w:rtl/>
        </w:rPr>
        <w:t>ّ</w:t>
      </w:r>
      <w:r w:rsidR="0001386F" w:rsidRPr="006571AC">
        <w:rPr>
          <w:rtl/>
        </w:rPr>
        <w:t>ة ظهور النتائج وال</w:t>
      </w:r>
      <w:r w:rsidRPr="006571AC">
        <w:rPr>
          <w:rFonts w:hint="cs"/>
          <w:rtl/>
        </w:rPr>
        <w:t>آ</w:t>
      </w:r>
      <w:r w:rsidR="0001386F" w:rsidRPr="006571AC">
        <w:rPr>
          <w:rtl/>
        </w:rPr>
        <w:t>ثار المترت</w:t>
      </w:r>
      <w:r w:rsidRPr="006571AC">
        <w:rPr>
          <w:rFonts w:hint="cs"/>
          <w:rtl/>
        </w:rPr>
        <w:t>ِّ</w:t>
      </w:r>
      <w:r w:rsidR="0001386F" w:rsidRPr="006571AC">
        <w:rPr>
          <w:rtl/>
        </w:rPr>
        <w:t xml:space="preserve">بة على التجربة. </w:t>
      </w:r>
    </w:p>
    <w:p w:rsidR="00CC6235" w:rsidRPr="006571AC" w:rsidRDefault="0001386F" w:rsidP="00D259C9">
      <w:pPr>
        <w:rPr>
          <w:rtl/>
        </w:rPr>
      </w:pPr>
      <w:r w:rsidRPr="006571AC">
        <w:rPr>
          <w:rFonts w:hint="cs"/>
          <w:rtl/>
        </w:rPr>
        <w:t>ويعتبر الشهيد مرتضى مطه</w:t>
      </w:r>
      <w:r w:rsidR="00C014A9" w:rsidRPr="006571AC">
        <w:rPr>
          <w:rFonts w:hint="cs"/>
          <w:rtl/>
        </w:rPr>
        <w:t>َّ</w:t>
      </w:r>
      <w:r w:rsidRPr="006571AC">
        <w:rPr>
          <w:rFonts w:hint="cs"/>
          <w:rtl/>
        </w:rPr>
        <w:t>ري أن ذات الله هي أساس الفضائل الخ</w:t>
      </w:r>
      <w:r w:rsidR="00C014A9" w:rsidRPr="006571AC">
        <w:rPr>
          <w:rFonts w:hint="cs"/>
          <w:rtl/>
        </w:rPr>
        <w:t>ُ</w:t>
      </w:r>
      <w:r w:rsidRPr="006571AC">
        <w:rPr>
          <w:rFonts w:hint="cs"/>
          <w:rtl/>
        </w:rPr>
        <w:t>ل</w:t>
      </w:r>
      <w:r w:rsidR="00C014A9" w:rsidRPr="006571AC">
        <w:rPr>
          <w:rFonts w:hint="cs"/>
          <w:rtl/>
        </w:rPr>
        <w:t>ُ</w:t>
      </w:r>
      <w:r w:rsidRPr="006571AC">
        <w:rPr>
          <w:rFonts w:hint="cs"/>
          <w:rtl/>
        </w:rPr>
        <w:t>قية، ويتساءل</w:t>
      </w:r>
      <w:r w:rsidR="00C014A9" w:rsidRPr="006571AC">
        <w:rPr>
          <w:rFonts w:hint="cs"/>
          <w:rtl/>
        </w:rPr>
        <w:t>:</w:t>
      </w:r>
      <w:r w:rsidRPr="006571AC">
        <w:rPr>
          <w:rFonts w:hint="cs"/>
          <w:rtl/>
        </w:rPr>
        <w:t xml:space="preserve"> أيمكننا أن نجد للأخلاق منطقا</w:t>
      </w:r>
      <w:r w:rsidR="00C014A9" w:rsidRPr="006571AC">
        <w:rPr>
          <w:rFonts w:hint="cs"/>
          <w:rtl/>
        </w:rPr>
        <w:t>ً</w:t>
      </w:r>
      <w:r w:rsidRPr="006571AC">
        <w:rPr>
          <w:rFonts w:hint="cs"/>
          <w:rtl/>
        </w:rPr>
        <w:t xml:space="preserve"> استدلالي</w:t>
      </w:r>
      <w:r w:rsidR="00C014A9" w:rsidRPr="006571AC">
        <w:rPr>
          <w:rFonts w:hint="cs"/>
          <w:rtl/>
        </w:rPr>
        <w:t>ّ</w:t>
      </w:r>
      <w:r w:rsidRPr="006571AC">
        <w:rPr>
          <w:rFonts w:hint="cs"/>
          <w:rtl/>
        </w:rPr>
        <w:t>ا</w:t>
      </w:r>
      <w:r w:rsidR="00C014A9" w:rsidRPr="006571AC">
        <w:rPr>
          <w:rFonts w:hint="cs"/>
          <w:rtl/>
        </w:rPr>
        <w:t>ً</w:t>
      </w:r>
      <w:r w:rsidRPr="006571AC">
        <w:rPr>
          <w:rFonts w:hint="cs"/>
          <w:rtl/>
        </w:rPr>
        <w:t xml:space="preserve"> بعيدا</w:t>
      </w:r>
      <w:r w:rsidR="00C014A9" w:rsidRPr="006571AC">
        <w:rPr>
          <w:rFonts w:hint="cs"/>
          <w:rtl/>
        </w:rPr>
        <w:t>ً</w:t>
      </w:r>
      <w:r w:rsidRPr="006571AC">
        <w:rPr>
          <w:rFonts w:hint="cs"/>
          <w:rtl/>
        </w:rPr>
        <w:t xml:space="preserve"> عن طريق معرفة الله؟ </w:t>
      </w:r>
    </w:p>
    <w:p w:rsidR="00CC6235" w:rsidRPr="006571AC" w:rsidRDefault="00C014A9" w:rsidP="00D259C9">
      <w:pPr>
        <w:rPr>
          <w:rtl/>
        </w:rPr>
      </w:pPr>
      <w:r w:rsidRPr="006571AC">
        <w:rPr>
          <w:rFonts w:hint="cs"/>
          <w:rtl/>
        </w:rPr>
        <w:t>و</w:t>
      </w:r>
      <w:r w:rsidR="0001386F" w:rsidRPr="006571AC">
        <w:rPr>
          <w:rFonts w:hint="cs"/>
          <w:rtl/>
        </w:rPr>
        <w:t>يجيب بالنفي، معتبرا</w:t>
      </w:r>
      <w:r w:rsidRPr="006571AC">
        <w:rPr>
          <w:rFonts w:hint="cs"/>
          <w:rtl/>
        </w:rPr>
        <w:t>ً</w:t>
      </w:r>
      <w:r w:rsidR="0001386F" w:rsidRPr="006571AC">
        <w:rPr>
          <w:rFonts w:hint="cs"/>
          <w:rtl/>
        </w:rPr>
        <w:t xml:space="preserve"> أن الخلفية والرصيد لجميع هذه المفاهيم هي معرفة الله</w:t>
      </w:r>
      <w:r w:rsidRPr="006571AC">
        <w:rPr>
          <w:rFonts w:hint="cs"/>
          <w:rtl/>
        </w:rPr>
        <w:t xml:space="preserve">، </w:t>
      </w:r>
      <w:r w:rsidR="0001386F" w:rsidRPr="006571AC">
        <w:rPr>
          <w:rFonts w:hint="cs"/>
          <w:rtl/>
        </w:rPr>
        <w:t>و</w:t>
      </w:r>
      <w:r w:rsidRPr="006571AC">
        <w:rPr>
          <w:rFonts w:hint="cs"/>
          <w:rtl/>
        </w:rPr>
        <w:t>أ</w:t>
      </w:r>
      <w:r w:rsidR="0001386F" w:rsidRPr="006571AC">
        <w:rPr>
          <w:rFonts w:hint="cs"/>
          <w:rtl/>
        </w:rPr>
        <w:t>ن فقد الإيمان يجعل الأخلاق كقطعة نقود</w:t>
      </w:r>
      <w:r w:rsidR="00B87364" w:rsidRPr="006571AC">
        <w:rPr>
          <w:rFonts w:hint="cs"/>
          <w:rtl/>
        </w:rPr>
        <w:t>ٍ</w:t>
      </w:r>
      <w:r w:rsidR="0001386F" w:rsidRPr="006571AC">
        <w:rPr>
          <w:rFonts w:hint="cs"/>
          <w:rtl/>
        </w:rPr>
        <w:t xml:space="preserve"> لا رصيد لها. ويستدل</w:t>
      </w:r>
      <w:r w:rsidRPr="006571AC">
        <w:rPr>
          <w:rFonts w:hint="cs"/>
          <w:rtl/>
        </w:rPr>
        <w:t>ّ</w:t>
      </w:r>
      <w:r w:rsidR="0001386F" w:rsidRPr="006571AC">
        <w:rPr>
          <w:rFonts w:hint="cs"/>
          <w:rtl/>
        </w:rPr>
        <w:t xml:space="preserve"> على ذلك بالثورة الفرنسية التي أعلن بعدها الفرنسيون الإعلان العالمي</w:t>
      </w:r>
      <w:r w:rsidRPr="006571AC">
        <w:rPr>
          <w:rFonts w:hint="cs"/>
          <w:rtl/>
        </w:rPr>
        <w:t>ّ</w:t>
      </w:r>
      <w:r w:rsidR="0001386F" w:rsidRPr="006571AC">
        <w:rPr>
          <w:rFonts w:hint="cs"/>
          <w:rtl/>
        </w:rPr>
        <w:t xml:space="preserve"> لحقوق الإنسان، إلا</w:t>
      </w:r>
      <w:r w:rsidRPr="006571AC">
        <w:rPr>
          <w:rFonts w:hint="cs"/>
          <w:rtl/>
        </w:rPr>
        <w:t>ّ</w:t>
      </w:r>
      <w:r w:rsidR="0001386F" w:rsidRPr="006571AC">
        <w:rPr>
          <w:rFonts w:hint="cs"/>
          <w:rtl/>
        </w:rPr>
        <w:t xml:space="preserve"> أنهم في الحرب</w:t>
      </w:r>
      <w:r w:rsidR="0015670A" w:rsidRPr="006571AC">
        <w:rPr>
          <w:rFonts w:hint="cs"/>
          <w:rtl/>
        </w:rPr>
        <w:t>ين</w:t>
      </w:r>
      <w:r w:rsidR="0001386F" w:rsidRPr="006571AC">
        <w:rPr>
          <w:rFonts w:hint="cs"/>
          <w:rtl/>
        </w:rPr>
        <w:t xml:space="preserve"> العالمي</w:t>
      </w:r>
      <w:r w:rsidR="0015670A" w:rsidRPr="006571AC">
        <w:rPr>
          <w:rFonts w:hint="cs"/>
          <w:rtl/>
        </w:rPr>
        <w:t>تين</w:t>
      </w:r>
      <w:r w:rsidR="0001386F" w:rsidRPr="006571AC">
        <w:rPr>
          <w:rFonts w:hint="cs"/>
          <w:rtl/>
        </w:rPr>
        <w:t xml:space="preserve"> الأولى والثانية وخلال حرب الاستعمار الفرنسي للشعب المسلم في الجزائر غاب هذا الإعلان</w:t>
      </w:r>
      <w:r w:rsidR="0015670A" w:rsidRPr="006571AC">
        <w:rPr>
          <w:rFonts w:hint="cs"/>
          <w:rtl/>
        </w:rPr>
        <w:t>،</w:t>
      </w:r>
      <w:r w:rsidR="0001386F" w:rsidRPr="006571AC">
        <w:rPr>
          <w:rFonts w:hint="cs"/>
          <w:rtl/>
        </w:rPr>
        <w:t xml:space="preserve"> وغاب</w:t>
      </w:r>
      <w:r w:rsidR="0015670A" w:rsidRPr="006571AC">
        <w:rPr>
          <w:rFonts w:hint="cs"/>
          <w:rtl/>
        </w:rPr>
        <w:t>َ</w:t>
      </w:r>
      <w:r w:rsidR="0001386F" w:rsidRPr="006571AC">
        <w:rPr>
          <w:rFonts w:hint="cs"/>
          <w:rtl/>
        </w:rPr>
        <w:t>ت</w:t>
      </w:r>
      <w:r w:rsidR="0015670A" w:rsidRPr="006571AC">
        <w:rPr>
          <w:rFonts w:hint="cs"/>
          <w:rtl/>
        </w:rPr>
        <w:t>ْ</w:t>
      </w:r>
      <w:r w:rsidR="0001386F" w:rsidRPr="006571AC">
        <w:rPr>
          <w:rFonts w:hint="cs"/>
          <w:rtl/>
        </w:rPr>
        <w:t xml:space="preserve"> حقوق الإنسان. فيقول هنا: </w:t>
      </w:r>
    </w:p>
    <w:p w:rsidR="00373A12" w:rsidRPr="006571AC" w:rsidRDefault="0001386F" w:rsidP="00D259C9">
      <w:pPr>
        <w:rPr>
          <w:rtl/>
        </w:rPr>
      </w:pPr>
      <w:r w:rsidRPr="006571AC">
        <w:rPr>
          <w:rFonts w:hint="cs"/>
          <w:rtl/>
        </w:rPr>
        <w:t xml:space="preserve">إن </w:t>
      </w:r>
      <w:r w:rsidRPr="006571AC">
        <w:rPr>
          <w:rFonts w:hint="eastAsia"/>
          <w:sz w:val="24"/>
          <w:szCs w:val="24"/>
          <w:rtl/>
        </w:rPr>
        <w:t>«</w:t>
      </w:r>
      <w:r w:rsidRPr="006571AC">
        <w:rPr>
          <w:rFonts w:hint="cs"/>
          <w:rtl/>
        </w:rPr>
        <w:t>الذات</w:t>
      </w:r>
      <w:r w:rsidRPr="006571AC">
        <w:rPr>
          <w:rFonts w:hint="eastAsia"/>
          <w:sz w:val="24"/>
          <w:szCs w:val="24"/>
          <w:rtl/>
        </w:rPr>
        <w:t>»</w:t>
      </w:r>
      <w:r w:rsidRPr="006571AC">
        <w:rPr>
          <w:rFonts w:hint="cs"/>
          <w:rtl/>
        </w:rPr>
        <w:t xml:space="preserve"> في الدين لا تعرف الحدود، أي إن الفضائل الأخلاقية لا حدود لها، والأخلاق الدينية الحقيقية لا تفرق بين المتدي</w:t>
      </w:r>
      <w:r w:rsidR="0015670A" w:rsidRPr="006571AC">
        <w:rPr>
          <w:rFonts w:hint="cs"/>
          <w:rtl/>
        </w:rPr>
        <w:t>ِّ</w:t>
      </w:r>
      <w:r w:rsidRPr="006571AC">
        <w:rPr>
          <w:rFonts w:hint="cs"/>
          <w:rtl/>
        </w:rPr>
        <w:t>ن</w:t>
      </w:r>
      <w:r w:rsidRPr="006571AC">
        <w:rPr>
          <w:vertAlign w:val="superscript"/>
          <w:rtl/>
        </w:rPr>
        <w:t>(</w:t>
      </w:r>
      <w:r w:rsidRPr="006571AC">
        <w:rPr>
          <w:rStyle w:val="ac"/>
          <w:rFonts w:ascii="Arial" w:hAnsi="Arial"/>
          <w:sz w:val="27"/>
          <w:rtl/>
        </w:rPr>
        <w:endnoteReference w:id="724"/>
      </w:r>
      <w:r w:rsidRPr="006571AC">
        <w:rPr>
          <w:vertAlign w:val="superscript"/>
          <w:rtl/>
        </w:rPr>
        <w:t>)</w:t>
      </w:r>
      <w:r w:rsidRPr="006571AC">
        <w:rPr>
          <w:rtl/>
        </w:rPr>
        <w:t xml:space="preserve"> </w:t>
      </w:r>
      <w:r w:rsidRPr="006571AC">
        <w:rPr>
          <w:rFonts w:hint="cs"/>
          <w:rtl/>
        </w:rPr>
        <w:t xml:space="preserve">وغيره، يقول الله تعالى: </w:t>
      </w:r>
      <w:r w:rsidRPr="006571AC">
        <w:rPr>
          <w:rFonts w:ascii="Mosawi" w:hAnsi="Mosawi" w:cs="Mosawi"/>
          <w:sz w:val="24"/>
          <w:szCs w:val="24"/>
          <w:rtl/>
        </w:rPr>
        <w:t>﴿</w:t>
      </w:r>
      <w:r w:rsidRPr="006571AC">
        <w:rPr>
          <w:rFonts w:hint="cs"/>
          <w:b/>
          <w:bCs/>
          <w:rtl/>
        </w:rPr>
        <w:t>ي</w:t>
      </w:r>
      <w:r w:rsidR="0015670A" w:rsidRPr="006571AC">
        <w:rPr>
          <w:rFonts w:hint="cs"/>
          <w:b/>
          <w:bCs/>
          <w:rtl/>
        </w:rPr>
        <w:t>َ</w:t>
      </w:r>
      <w:r w:rsidRPr="006571AC">
        <w:rPr>
          <w:rFonts w:hint="cs"/>
          <w:b/>
          <w:bCs/>
          <w:rtl/>
        </w:rPr>
        <w:t>ا أَيّ</w:t>
      </w:r>
      <w:r w:rsidR="0015670A" w:rsidRPr="006571AC">
        <w:rPr>
          <w:rFonts w:hint="cs"/>
          <w:b/>
          <w:bCs/>
          <w:rtl/>
        </w:rPr>
        <w:t>ُ</w:t>
      </w:r>
      <w:r w:rsidRPr="006571AC">
        <w:rPr>
          <w:rFonts w:hint="cs"/>
          <w:b/>
          <w:bCs/>
          <w:rtl/>
        </w:rPr>
        <w:t>ه</w:t>
      </w:r>
      <w:r w:rsidR="0015670A" w:rsidRPr="006571AC">
        <w:rPr>
          <w:rFonts w:hint="cs"/>
          <w:b/>
          <w:bCs/>
          <w:rtl/>
        </w:rPr>
        <w:t>ُ</w:t>
      </w:r>
      <w:r w:rsidRPr="006571AC">
        <w:rPr>
          <w:rFonts w:hint="cs"/>
          <w:b/>
          <w:bCs/>
          <w:rtl/>
        </w:rPr>
        <w:t>ا الّ</w:t>
      </w:r>
      <w:r w:rsidR="0015670A" w:rsidRPr="006571AC">
        <w:rPr>
          <w:rFonts w:hint="cs"/>
          <w:b/>
          <w:bCs/>
          <w:rtl/>
        </w:rPr>
        <w:t>َ</w:t>
      </w:r>
      <w:r w:rsidRPr="006571AC">
        <w:rPr>
          <w:rFonts w:hint="cs"/>
          <w:b/>
          <w:bCs/>
          <w:rtl/>
        </w:rPr>
        <w:t>ذ</w:t>
      </w:r>
      <w:r w:rsidR="0015670A" w:rsidRPr="006571AC">
        <w:rPr>
          <w:rFonts w:hint="cs"/>
          <w:b/>
          <w:bCs/>
          <w:rtl/>
        </w:rPr>
        <w:t>ِ</w:t>
      </w:r>
      <w:r w:rsidRPr="006571AC">
        <w:rPr>
          <w:rFonts w:hint="cs"/>
          <w:b/>
          <w:bCs/>
          <w:rtl/>
        </w:rPr>
        <w:t>ينَ آمَن</w:t>
      </w:r>
      <w:r w:rsidR="0015670A" w:rsidRPr="006571AC">
        <w:rPr>
          <w:rFonts w:hint="cs"/>
          <w:b/>
          <w:bCs/>
          <w:rtl/>
        </w:rPr>
        <w:t>ُوا كُونُوا</w:t>
      </w:r>
      <w:r w:rsidRPr="006571AC">
        <w:rPr>
          <w:rFonts w:hint="cs"/>
          <w:b/>
          <w:bCs/>
          <w:rtl/>
        </w:rPr>
        <w:t xml:space="preserve"> قَوّ</w:t>
      </w:r>
      <w:r w:rsidR="0015670A" w:rsidRPr="006571AC">
        <w:rPr>
          <w:rFonts w:hint="cs"/>
          <w:b/>
          <w:bCs/>
          <w:rtl/>
        </w:rPr>
        <w:t>َا</w:t>
      </w:r>
      <w:r w:rsidRPr="006571AC">
        <w:rPr>
          <w:rFonts w:hint="cs"/>
          <w:b/>
          <w:bCs/>
          <w:rtl/>
        </w:rPr>
        <w:t>مِينَ بِالْقِسْطِ شُهَد</w:t>
      </w:r>
      <w:r w:rsidR="0015670A" w:rsidRPr="006571AC">
        <w:rPr>
          <w:rFonts w:hint="cs"/>
          <w:b/>
          <w:bCs/>
          <w:rtl/>
        </w:rPr>
        <w:t>َاءَ ل</w:t>
      </w:r>
      <w:r w:rsidRPr="006571AC">
        <w:rPr>
          <w:rFonts w:hint="cs"/>
          <w:b/>
          <w:bCs/>
          <w:rtl/>
        </w:rPr>
        <w:t>لهِ وَلَوْ عَل</w:t>
      </w:r>
      <w:r w:rsidR="0015670A" w:rsidRPr="006571AC">
        <w:rPr>
          <w:rFonts w:hint="cs"/>
          <w:b/>
          <w:bCs/>
          <w:rtl/>
        </w:rPr>
        <w:t>َ</w:t>
      </w:r>
      <w:r w:rsidRPr="006571AC">
        <w:rPr>
          <w:rFonts w:hint="cs"/>
          <w:b/>
          <w:bCs/>
          <w:rtl/>
        </w:rPr>
        <w:t>ى أَنْفُسِكُمْ أَوْ الْو</w:t>
      </w:r>
      <w:r w:rsidR="0015670A" w:rsidRPr="006571AC">
        <w:rPr>
          <w:rFonts w:hint="cs"/>
          <w:b/>
          <w:bCs/>
          <w:rtl/>
        </w:rPr>
        <w:t>ا</w:t>
      </w:r>
      <w:r w:rsidRPr="006571AC">
        <w:rPr>
          <w:rFonts w:hint="cs"/>
          <w:b/>
          <w:bCs/>
          <w:rtl/>
        </w:rPr>
        <w:t>لِدَيْنِ و</w:t>
      </w:r>
      <w:r w:rsidR="0015670A" w:rsidRPr="006571AC">
        <w:rPr>
          <w:rFonts w:hint="cs"/>
          <w:b/>
          <w:bCs/>
          <w:rtl/>
        </w:rPr>
        <w:t>َ</w:t>
      </w:r>
      <w:r w:rsidRPr="006571AC">
        <w:rPr>
          <w:rFonts w:hint="cs"/>
          <w:b/>
          <w:bCs/>
          <w:rtl/>
        </w:rPr>
        <w:t>الأَقْرَب</w:t>
      </w:r>
      <w:r w:rsidR="0015670A" w:rsidRPr="006571AC">
        <w:rPr>
          <w:rFonts w:hint="cs"/>
          <w:b/>
          <w:bCs/>
          <w:rtl/>
        </w:rPr>
        <w:t>ِ</w:t>
      </w:r>
      <w:r w:rsidRPr="006571AC">
        <w:rPr>
          <w:rFonts w:hint="cs"/>
          <w:b/>
          <w:bCs/>
          <w:rtl/>
        </w:rPr>
        <w:t>ينَ إِنْ يَكُنْ غَنِيّاً أَوْ فَق</w:t>
      </w:r>
      <w:r w:rsidR="0015670A" w:rsidRPr="006571AC">
        <w:rPr>
          <w:rFonts w:hint="cs"/>
          <w:b/>
          <w:bCs/>
          <w:rtl/>
        </w:rPr>
        <w:t>ِ</w:t>
      </w:r>
      <w:r w:rsidRPr="006571AC">
        <w:rPr>
          <w:rFonts w:hint="cs"/>
          <w:b/>
          <w:bCs/>
          <w:rtl/>
        </w:rPr>
        <w:t>يِراً فَاللهُ أَو</w:t>
      </w:r>
      <w:r w:rsidR="0015670A" w:rsidRPr="006571AC">
        <w:rPr>
          <w:rFonts w:hint="cs"/>
          <w:b/>
          <w:bCs/>
          <w:rtl/>
        </w:rPr>
        <w:t>ْ</w:t>
      </w:r>
      <w:r w:rsidRPr="006571AC">
        <w:rPr>
          <w:rFonts w:hint="cs"/>
          <w:b/>
          <w:bCs/>
          <w:rtl/>
        </w:rPr>
        <w:t>لَى بِهِم</w:t>
      </w:r>
      <w:r w:rsidR="0015670A" w:rsidRPr="006571AC">
        <w:rPr>
          <w:rFonts w:hint="cs"/>
          <w:b/>
          <w:bCs/>
          <w:rtl/>
        </w:rPr>
        <w:t>َا فَل</w:t>
      </w:r>
      <w:r w:rsidRPr="006571AC">
        <w:rPr>
          <w:rFonts w:hint="cs"/>
          <w:b/>
          <w:bCs/>
          <w:rtl/>
        </w:rPr>
        <w:t>ا</w:t>
      </w:r>
      <w:r w:rsidR="0015670A" w:rsidRPr="006571AC">
        <w:rPr>
          <w:rFonts w:hint="cs"/>
          <w:b/>
          <w:bCs/>
          <w:rtl/>
        </w:rPr>
        <w:t>َ</w:t>
      </w:r>
      <w:r w:rsidRPr="006571AC">
        <w:rPr>
          <w:rFonts w:hint="cs"/>
          <w:b/>
          <w:bCs/>
          <w:rtl/>
        </w:rPr>
        <w:t xml:space="preserve"> تَتَّبِع</w:t>
      </w:r>
      <w:r w:rsidR="0015670A" w:rsidRPr="006571AC">
        <w:rPr>
          <w:rFonts w:hint="cs"/>
          <w:b/>
          <w:bCs/>
          <w:rtl/>
        </w:rPr>
        <w:t>ُوا</w:t>
      </w:r>
      <w:r w:rsidRPr="006571AC">
        <w:rPr>
          <w:rFonts w:hint="cs"/>
          <w:b/>
          <w:bCs/>
          <w:rtl/>
        </w:rPr>
        <w:t xml:space="preserve"> الْهَو</w:t>
      </w:r>
      <w:r w:rsidR="0015670A" w:rsidRPr="006571AC">
        <w:rPr>
          <w:rFonts w:hint="cs"/>
          <w:b/>
          <w:bCs/>
          <w:rtl/>
        </w:rPr>
        <w:t>َ</w:t>
      </w:r>
      <w:r w:rsidRPr="006571AC">
        <w:rPr>
          <w:rFonts w:hint="cs"/>
          <w:b/>
          <w:bCs/>
          <w:rtl/>
        </w:rPr>
        <w:t>ى أَنْ تَعْدِل</w:t>
      </w:r>
      <w:r w:rsidR="0015670A" w:rsidRPr="006571AC">
        <w:rPr>
          <w:rFonts w:hint="cs"/>
          <w:b/>
          <w:bCs/>
          <w:rtl/>
        </w:rPr>
        <w:t>ُو</w:t>
      </w:r>
      <w:r w:rsidRPr="006571AC">
        <w:rPr>
          <w:rFonts w:hint="cs"/>
          <w:b/>
          <w:bCs/>
          <w:rtl/>
        </w:rPr>
        <w:t>ا</w:t>
      </w:r>
      <w:r w:rsidRPr="006571AC">
        <w:rPr>
          <w:rFonts w:ascii="Mosawi" w:hAnsi="Mosawi" w:cs="Mosawi"/>
          <w:sz w:val="24"/>
          <w:szCs w:val="24"/>
          <w:rtl/>
        </w:rPr>
        <w:t>﴾</w:t>
      </w:r>
      <w:r w:rsidRPr="006571AC">
        <w:rPr>
          <w:rFonts w:eastAsia="Calibri" w:hint="cs"/>
          <w:rtl/>
        </w:rPr>
        <w:t xml:space="preserve"> (النساء: 135)</w:t>
      </w:r>
      <w:r w:rsidRPr="006571AC">
        <w:rPr>
          <w:rFonts w:hint="cs"/>
          <w:rtl/>
        </w:rPr>
        <w:t>.</w:t>
      </w:r>
    </w:p>
    <w:p w:rsidR="00373A12" w:rsidRPr="006571AC" w:rsidRDefault="0001386F" w:rsidP="00D259C9">
      <w:pPr>
        <w:rPr>
          <w:rtl/>
        </w:rPr>
      </w:pPr>
      <w:r w:rsidRPr="006571AC">
        <w:rPr>
          <w:rFonts w:hint="cs"/>
          <w:rtl/>
        </w:rPr>
        <w:t>فالشهادة يجب أن تؤد</w:t>
      </w:r>
      <w:r w:rsidR="0015670A" w:rsidRPr="006571AC">
        <w:rPr>
          <w:rFonts w:hint="cs"/>
          <w:rtl/>
        </w:rPr>
        <w:t>ّ</w:t>
      </w:r>
      <w:r w:rsidRPr="006571AC">
        <w:rPr>
          <w:rFonts w:hint="cs"/>
          <w:rtl/>
        </w:rPr>
        <w:t>ى لله</w:t>
      </w:r>
      <w:r w:rsidR="0015670A" w:rsidRPr="006571AC">
        <w:rPr>
          <w:rFonts w:hint="cs"/>
          <w:rtl/>
        </w:rPr>
        <w:t>،</w:t>
      </w:r>
      <w:r w:rsidRPr="006571AC">
        <w:rPr>
          <w:rFonts w:hint="cs"/>
          <w:rtl/>
        </w:rPr>
        <w:t xml:space="preserve"> وإن</w:t>
      </w:r>
      <w:r w:rsidR="0015670A" w:rsidRPr="006571AC">
        <w:rPr>
          <w:rFonts w:hint="cs"/>
          <w:rtl/>
        </w:rPr>
        <w:t>ْ</w:t>
      </w:r>
      <w:r w:rsidRPr="006571AC">
        <w:rPr>
          <w:rFonts w:hint="cs"/>
          <w:rtl/>
        </w:rPr>
        <w:t xml:space="preserve"> كانت في ض</w:t>
      </w:r>
      <w:r w:rsidR="0015670A" w:rsidRPr="006571AC">
        <w:rPr>
          <w:rFonts w:hint="cs"/>
          <w:rtl/>
        </w:rPr>
        <w:t>َ</w:t>
      </w:r>
      <w:r w:rsidRPr="006571AC">
        <w:rPr>
          <w:rFonts w:hint="cs"/>
          <w:rtl/>
        </w:rPr>
        <w:t>ر</w:t>
      </w:r>
      <w:r w:rsidR="0015670A" w:rsidRPr="006571AC">
        <w:rPr>
          <w:rFonts w:hint="cs"/>
          <w:rtl/>
        </w:rPr>
        <w:t>َ</w:t>
      </w:r>
      <w:r w:rsidRPr="006571AC">
        <w:rPr>
          <w:rFonts w:hint="cs"/>
          <w:rtl/>
        </w:rPr>
        <w:t>ر الشاهد أو أبو</w:t>
      </w:r>
      <w:r w:rsidR="0015670A" w:rsidRPr="006571AC">
        <w:rPr>
          <w:rFonts w:hint="cs"/>
          <w:rtl/>
        </w:rPr>
        <w:t>َ</w:t>
      </w:r>
      <w:r w:rsidRPr="006571AC">
        <w:rPr>
          <w:rFonts w:hint="cs"/>
          <w:rtl/>
        </w:rPr>
        <w:t>ي</w:t>
      </w:r>
      <w:r w:rsidR="0015670A" w:rsidRPr="006571AC">
        <w:rPr>
          <w:rFonts w:hint="cs"/>
          <w:rtl/>
        </w:rPr>
        <w:t>ْ</w:t>
      </w:r>
      <w:r w:rsidRPr="006571AC">
        <w:rPr>
          <w:rFonts w:hint="cs"/>
          <w:rtl/>
        </w:rPr>
        <w:t>ه أو الأقربين. هذ</w:t>
      </w:r>
      <w:r w:rsidR="0015670A" w:rsidRPr="006571AC">
        <w:rPr>
          <w:rFonts w:hint="cs"/>
          <w:rtl/>
        </w:rPr>
        <w:t>ا</w:t>
      </w:r>
      <w:r w:rsidRPr="006571AC">
        <w:rPr>
          <w:rFonts w:hint="cs"/>
          <w:rtl/>
        </w:rPr>
        <w:t xml:space="preserve"> هو موقف الدين. فأساس الفضائل الأخلاقية هو الله، والتقي</w:t>
      </w:r>
      <w:r w:rsidR="0015670A" w:rsidRPr="006571AC">
        <w:rPr>
          <w:rFonts w:hint="cs"/>
          <w:rtl/>
        </w:rPr>
        <w:t>ُّ</w:t>
      </w:r>
      <w:r w:rsidRPr="006571AC">
        <w:rPr>
          <w:rFonts w:hint="cs"/>
          <w:rtl/>
        </w:rPr>
        <w:t>د بها من أجل الله تعالى. وهنا يطب</w:t>
      </w:r>
      <w:r w:rsidR="0015670A" w:rsidRPr="006571AC">
        <w:rPr>
          <w:rFonts w:hint="cs"/>
          <w:rtl/>
        </w:rPr>
        <w:t>ِّ</w:t>
      </w:r>
      <w:r w:rsidRPr="006571AC">
        <w:rPr>
          <w:rFonts w:hint="cs"/>
          <w:rtl/>
        </w:rPr>
        <w:t>ق تصو</w:t>
      </w:r>
      <w:r w:rsidR="0015670A" w:rsidRPr="006571AC">
        <w:rPr>
          <w:rFonts w:hint="cs"/>
          <w:rtl/>
        </w:rPr>
        <w:t>ُّ</w:t>
      </w:r>
      <w:r w:rsidRPr="006571AC">
        <w:rPr>
          <w:rFonts w:hint="cs"/>
          <w:rtl/>
        </w:rPr>
        <w:t>ره التوحيدي للعالم، في مصداقه الأخلاقي والق</w:t>
      </w:r>
      <w:r w:rsidR="0015670A" w:rsidRPr="006571AC">
        <w:rPr>
          <w:rFonts w:hint="cs"/>
          <w:rtl/>
        </w:rPr>
        <w:t>ِ</w:t>
      </w:r>
      <w:r w:rsidRPr="006571AC">
        <w:rPr>
          <w:rFonts w:hint="cs"/>
          <w:rtl/>
        </w:rPr>
        <w:t>ي</w:t>
      </w:r>
      <w:r w:rsidR="0015670A" w:rsidRPr="006571AC">
        <w:rPr>
          <w:rFonts w:hint="cs"/>
          <w:rtl/>
        </w:rPr>
        <w:t>َ</w:t>
      </w:r>
      <w:r w:rsidRPr="006571AC">
        <w:rPr>
          <w:rFonts w:hint="cs"/>
          <w:rtl/>
        </w:rPr>
        <w:t>مي الرفيع، حينما يعتبر أن ذات الله هي أساس الفضائل الخ</w:t>
      </w:r>
      <w:r w:rsidR="00756DA5" w:rsidRPr="006571AC">
        <w:rPr>
          <w:rFonts w:hint="cs"/>
          <w:rtl/>
        </w:rPr>
        <w:t>ُ</w:t>
      </w:r>
      <w:r w:rsidRPr="006571AC">
        <w:rPr>
          <w:rFonts w:hint="cs"/>
          <w:rtl/>
        </w:rPr>
        <w:t>ل</w:t>
      </w:r>
      <w:r w:rsidR="00756DA5" w:rsidRPr="006571AC">
        <w:rPr>
          <w:rFonts w:hint="cs"/>
          <w:rtl/>
        </w:rPr>
        <w:t>ُ</w:t>
      </w:r>
      <w:r w:rsidRPr="006571AC">
        <w:rPr>
          <w:rFonts w:hint="cs"/>
          <w:rtl/>
        </w:rPr>
        <w:t xml:space="preserve">قية. </w:t>
      </w:r>
    </w:p>
    <w:p w:rsidR="00373A12" w:rsidRPr="006571AC" w:rsidRDefault="0001386F" w:rsidP="00D259C9">
      <w:pPr>
        <w:rPr>
          <w:rtl/>
        </w:rPr>
      </w:pPr>
      <w:r w:rsidRPr="006571AC">
        <w:rPr>
          <w:rtl/>
        </w:rPr>
        <w:t>المرجعية ال</w:t>
      </w:r>
      <w:r w:rsidR="00756DA5" w:rsidRPr="006571AC">
        <w:rPr>
          <w:rFonts w:hint="cs"/>
          <w:rtl/>
        </w:rPr>
        <w:t>إ</w:t>
      </w:r>
      <w:r w:rsidRPr="006571AC">
        <w:rPr>
          <w:rtl/>
        </w:rPr>
        <w:t>لهي</w:t>
      </w:r>
      <w:r w:rsidR="00A86073" w:rsidRPr="006571AC">
        <w:rPr>
          <w:rFonts w:hint="cs"/>
          <w:rtl/>
        </w:rPr>
        <w:t>ّ</w:t>
      </w:r>
      <w:r w:rsidRPr="006571AC">
        <w:rPr>
          <w:rtl/>
        </w:rPr>
        <w:t>ة تنظ</w:t>
      </w:r>
      <w:r w:rsidR="00756DA5" w:rsidRPr="006571AC">
        <w:rPr>
          <w:rFonts w:hint="cs"/>
          <w:rtl/>
        </w:rPr>
        <w:t>ِّ</w:t>
      </w:r>
      <w:r w:rsidRPr="006571AC">
        <w:rPr>
          <w:rtl/>
        </w:rPr>
        <w:t>م القوانين وفق أسس ثابتة</w:t>
      </w:r>
      <w:r w:rsidR="00756DA5" w:rsidRPr="006571AC">
        <w:rPr>
          <w:rFonts w:hint="cs"/>
          <w:rtl/>
        </w:rPr>
        <w:t>؛</w:t>
      </w:r>
      <w:r w:rsidRPr="006571AC">
        <w:rPr>
          <w:rtl/>
        </w:rPr>
        <w:t xml:space="preserve"> وأخرى متغي</w:t>
      </w:r>
      <w:r w:rsidR="00756DA5" w:rsidRPr="006571AC">
        <w:rPr>
          <w:rFonts w:hint="cs"/>
          <w:rtl/>
        </w:rPr>
        <w:t>ِّ</w:t>
      </w:r>
      <w:r w:rsidRPr="006571AC">
        <w:rPr>
          <w:rtl/>
        </w:rPr>
        <w:t>رة وفق الزمان والمكان</w:t>
      </w:r>
      <w:r w:rsidR="00756DA5" w:rsidRPr="006571AC">
        <w:rPr>
          <w:rFonts w:hint="cs"/>
          <w:rtl/>
        </w:rPr>
        <w:t>.</w:t>
      </w:r>
      <w:r w:rsidRPr="006571AC">
        <w:rPr>
          <w:rtl/>
        </w:rPr>
        <w:t xml:space="preserve"> </w:t>
      </w:r>
      <w:r w:rsidR="00756DA5" w:rsidRPr="006571AC">
        <w:rPr>
          <w:rFonts w:hint="cs"/>
          <w:rtl/>
        </w:rPr>
        <w:t>و</w:t>
      </w:r>
      <w:r w:rsidRPr="006571AC">
        <w:rPr>
          <w:rtl/>
        </w:rPr>
        <w:t>تكون فيها الثوابت مرجعي</w:t>
      </w:r>
      <w:r w:rsidR="00756DA5" w:rsidRPr="006571AC">
        <w:rPr>
          <w:rFonts w:hint="cs"/>
          <w:rtl/>
        </w:rPr>
        <w:t>ّ</w:t>
      </w:r>
      <w:r w:rsidRPr="006571AC">
        <w:rPr>
          <w:rtl/>
        </w:rPr>
        <w:t>ة</w:t>
      </w:r>
      <w:r w:rsidR="00756DA5" w:rsidRPr="006571AC">
        <w:rPr>
          <w:rFonts w:hint="cs"/>
          <w:rtl/>
        </w:rPr>
        <w:t>ً</w:t>
      </w:r>
      <w:r w:rsidRPr="006571AC">
        <w:rPr>
          <w:rtl/>
        </w:rPr>
        <w:t xml:space="preserve"> لتلك المتغي</w:t>
      </w:r>
      <w:r w:rsidR="00756DA5" w:rsidRPr="006571AC">
        <w:rPr>
          <w:rFonts w:hint="cs"/>
          <w:rtl/>
        </w:rPr>
        <w:t>ِّ</w:t>
      </w:r>
      <w:r w:rsidRPr="006571AC">
        <w:rPr>
          <w:rtl/>
        </w:rPr>
        <w:t>رات، بحيث تشك</w:t>
      </w:r>
      <w:r w:rsidR="00756DA5" w:rsidRPr="006571AC">
        <w:rPr>
          <w:rFonts w:hint="cs"/>
          <w:rtl/>
        </w:rPr>
        <w:t>ِّ</w:t>
      </w:r>
      <w:r w:rsidRPr="006571AC">
        <w:rPr>
          <w:rtl/>
        </w:rPr>
        <w:t>ل قواعد كل</w:t>
      </w:r>
      <w:r w:rsidR="00756DA5" w:rsidRPr="006571AC">
        <w:rPr>
          <w:rFonts w:hint="cs"/>
          <w:rtl/>
        </w:rPr>
        <w:t>ِّ</w:t>
      </w:r>
      <w:r w:rsidRPr="006571AC">
        <w:rPr>
          <w:rtl/>
        </w:rPr>
        <w:t>ية</w:t>
      </w:r>
      <w:r w:rsidR="00B87364" w:rsidRPr="006571AC">
        <w:rPr>
          <w:rFonts w:hint="cs"/>
          <w:rtl/>
        </w:rPr>
        <w:t>ً</w:t>
      </w:r>
      <w:r w:rsidRPr="006571AC">
        <w:rPr>
          <w:rtl/>
        </w:rPr>
        <w:t xml:space="preserve"> صالحة</w:t>
      </w:r>
      <w:r w:rsidR="00B87364" w:rsidRPr="006571AC">
        <w:rPr>
          <w:rFonts w:hint="cs"/>
          <w:rtl/>
        </w:rPr>
        <w:t>ً</w:t>
      </w:r>
      <w:r w:rsidRPr="006571AC">
        <w:rPr>
          <w:rtl/>
        </w:rPr>
        <w:t xml:space="preserve"> لكل</w:t>
      </w:r>
      <w:r w:rsidR="00756DA5" w:rsidRPr="006571AC">
        <w:rPr>
          <w:rFonts w:hint="cs"/>
          <w:rtl/>
        </w:rPr>
        <w:t>ّ</w:t>
      </w:r>
      <w:r w:rsidRPr="006571AC">
        <w:rPr>
          <w:rtl/>
        </w:rPr>
        <w:t xml:space="preserve"> زمان</w:t>
      </w:r>
      <w:r w:rsidR="00756DA5" w:rsidRPr="006571AC">
        <w:rPr>
          <w:rFonts w:hint="cs"/>
          <w:rtl/>
        </w:rPr>
        <w:t>ٍ</w:t>
      </w:r>
      <w:r w:rsidRPr="006571AC">
        <w:rPr>
          <w:rtl/>
        </w:rPr>
        <w:t xml:space="preserve"> ومكان</w:t>
      </w:r>
      <w:r w:rsidR="00B87364" w:rsidRPr="006571AC">
        <w:rPr>
          <w:rFonts w:hint="cs"/>
          <w:rtl/>
        </w:rPr>
        <w:t>ٍ</w:t>
      </w:r>
      <w:r w:rsidRPr="006571AC">
        <w:rPr>
          <w:rtl/>
        </w:rPr>
        <w:t>، وتكون المتغي</w:t>
      </w:r>
      <w:r w:rsidR="00756DA5" w:rsidRPr="006571AC">
        <w:rPr>
          <w:rFonts w:hint="cs"/>
          <w:rtl/>
        </w:rPr>
        <w:t>ِّ</w:t>
      </w:r>
      <w:r w:rsidRPr="006571AC">
        <w:rPr>
          <w:rtl/>
        </w:rPr>
        <w:t>رات في مصاديق تحقيق تلك الكل</w:t>
      </w:r>
      <w:r w:rsidR="00756DA5" w:rsidRPr="006571AC">
        <w:rPr>
          <w:rFonts w:hint="cs"/>
          <w:rtl/>
        </w:rPr>
        <w:t>ِّ</w:t>
      </w:r>
      <w:r w:rsidRPr="006571AC">
        <w:rPr>
          <w:rtl/>
        </w:rPr>
        <w:t xml:space="preserve">يات </w:t>
      </w:r>
      <w:r w:rsidRPr="006571AC">
        <w:rPr>
          <w:rtl/>
        </w:rPr>
        <w:lastRenderedPageBreak/>
        <w:t>الثابتة</w:t>
      </w:r>
      <w:r w:rsidR="00756DA5" w:rsidRPr="006571AC">
        <w:rPr>
          <w:rFonts w:hint="cs"/>
          <w:rtl/>
        </w:rPr>
        <w:t>؛</w:t>
      </w:r>
      <w:r w:rsidRPr="006571AC">
        <w:rPr>
          <w:rtl/>
        </w:rPr>
        <w:t xml:space="preserve"> أو إن</w:t>
      </w:r>
      <w:r w:rsidR="00756DA5" w:rsidRPr="006571AC">
        <w:rPr>
          <w:rFonts w:hint="cs"/>
          <w:rtl/>
        </w:rPr>
        <w:t>ْ</w:t>
      </w:r>
      <w:r w:rsidRPr="006571AC">
        <w:rPr>
          <w:rtl/>
        </w:rPr>
        <w:t xml:space="preserve"> كانت كل</w:t>
      </w:r>
      <w:r w:rsidR="00756DA5" w:rsidRPr="006571AC">
        <w:rPr>
          <w:rFonts w:hint="cs"/>
          <w:rtl/>
        </w:rPr>
        <w:t>ِّ</w:t>
      </w:r>
      <w:r w:rsidRPr="006571AC">
        <w:rPr>
          <w:rtl/>
        </w:rPr>
        <w:t>يات</w:t>
      </w:r>
      <w:r w:rsidR="00756DA5" w:rsidRPr="006571AC">
        <w:rPr>
          <w:rFonts w:hint="cs"/>
          <w:rtl/>
        </w:rPr>
        <w:t>ٍ</w:t>
      </w:r>
      <w:r w:rsidRPr="006571AC">
        <w:rPr>
          <w:rtl/>
        </w:rPr>
        <w:t xml:space="preserve"> ثابتة</w:t>
      </w:r>
      <w:r w:rsidR="00756DA5" w:rsidRPr="006571AC">
        <w:rPr>
          <w:rFonts w:hint="cs"/>
          <w:rtl/>
        </w:rPr>
        <w:t>ً</w:t>
      </w:r>
      <w:r w:rsidRPr="006571AC">
        <w:rPr>
          <w:rtl/>
        </w:rPr>
        <w:t xml:space="preserve"> مع تفاصيلها فإن المحر</w:t>
      </w:r>
      <w:r w:rsidR="00756DA5" w:rsidRPr="006571AC">
        <w:rPr>
          <w:rFonts w:hint="cs"/>
          <w:rtl/>
        </w:rPr>
        <w:t>ِّ</w:t>
      </w:r>
      <w:r w:rsidRPr="006571AC">
        <w:rPr>
          <w:rtl/>
        </w:rPr>
        <w:t>ك العملي</w:t>
      </w:r>
      <w:r w:rsidR="00756DA5" w:rsidRPr="006571AC">
        <w:rPr>
          <w:rFonts w:hint="cs"/>
          <w:rtl/>
        </w:rPr>
        <w:t>ّ</w:t>
      </w:r>
      <w:r w:rsidRPr="006571AC">
        <w:rPr>
          <w:rtl/>
        </w:rPr>
        <w:t xml:space="preserve"> هنا قواعد</w:t>
      </w:r>
      <w:r w:rsidR="00756DA5" w:rsidRPr="006571AC">
        <w:rPr>
          <w:rFonts w:hint="cs"/>
          <w:rtl/>
        </w:rPr>
        <w:t>ُ</w:t>
      </w:r>
      <w:r w:rsidRPr="006571AC">
        <w:rPr>
          <w:rtl/>
        </w:rPr>
        <w:t xml:space="preserve"> كل</w:t>
      </w:r>
      <w:r w:rsidR="00756DA5" w:rsidRPr="006571AC">
        <w:rPr>
          <w:rFonts w:hint="cs"/>
          <w:rtl/>
        </w:rPr>
        <w:t>ِّ</w:t>
      </w:r>
      <w:r w:rsidRPr="006571AC">
        <w:rPr>
          <w:rtl/>
        </w:rPr>
        <w:t>ية</w:t>
      </w:r>
      <w:r w:rsidR="00756DA5" w:rsidRPr="006571AC">
        <w:rPr>
          <w:rFonts w:hint="cs"/>
          <w:rtl/>
        </w:rPr>
        <w:t>ٌ</w:t>
      </w:r>
      <w:r w:rsidRPr="006571AC">
        <w:rPr>
          <w:rtl/>
        </w:rPr>
        <w:t xml:space="preserve"> م</w:t>
      </w:r>
      <w:r w:rsidR="00756DA5" w:rsidRPr="006571AC">
        <w:rPr>
          <w:rFonts w:hint="cs"/>
          <w:rtl/>
        </w:rPr>
        <w:t>َ</w:t>
      </w:r>
      <w:r w:rsidRPr="006571AC">
        <w:rPr>
          <w:rtl/>
        </w:rPr>
        <w:t>ر</w:t>
      </w:r>
      <w:r w:rsidR="00756DA5" w:rsidRPr="006571AC">
        <w:rPr>
          <w:rFonts w:hint="cs"/>
          <w:rtl/>
        </w:rPr>
        <w:t>ِ</w:t>
      </w:r>
      <w:r w:rsidRPr="006571AC">
        <w:rPr>
          <w:rtl/>
        </w:rPr>
        <w:t>نة</w:t>
      </w:r>
      <w:r w:rsidR="00756DA5" w:rsidRPr="006571AC">
        <w:rPr>
          <w:rFonts w:hint="cs"/>
          <w:rtl/>
        </w:rPr>
        <w:t>ٌ</w:t>
      </w:r>
      <w:r w:rsidRPr="006571AC">
        <w:rPr>
          <w:rtl/>
        </w:rPr>
        <w:t xml:space="preserve"> منت</w:t>
      </w:r>
      <w:r w:rsidR="00756DA5" w:rsidRPr="006571AC">
        <w:rPr>
          <w:rFonts w:hint="cs"/>
          <w:rtl/>
        </w:rPr>
        <w:t>َ</w:t>
      </w:r>
      <w:r w:rsidRPr="006571AC">
        <w:rPr>
          <w:rtl/>
        </w:rPr>
        <w:t>ز</w:t>
      </w:r>
      <w:r w:rsidR="00756DA5" w:rsidRPr="006571AC">
        <w:rPr>
          <w:rFonts w:hint="cs"/>
          <w:rtl/>
        </w:rPr>
        <w:t>َ</w:t>
      </w:r>
      <w:r w:rsidRPr="006571AC">
        <w:rPr>
          <w:rtl/>
        </w:rPr>
        <w:t>عة</w:t>
      </w:r>
      <w:r w:rsidR="00756DA5" w:rsidRPr="006571AC">
        <w:rPr>
          <w:rFonts w:hint="cs"/>
          <w:rtl/>
        </w:rPr>
        <w:t>ٌ</w:t>
      </w:r>
      <w:r w:rsidRPr="006571AC">
        <w:rPr>
          <w:rtl/>
        </w:rPr>
        <w:t xml:space="preserve"> من الشريعة، تعمل كمفصل</w:t>
      </w:r>
      <w:r w:rsidR="00756DA5" w:rsidRPr="006571AC">
        <w:rPr>
          <w:rFonts w:hint="cs"/>
          <w:rtl/>
        </w:rPr>
        <w:t>ٍ</w:t>
      </w:r>
      <w:r w:rsidRPr="006571AC">
        <w:rPr>
          <w:rtl/>
        </w:rPr>
        <w:t xml:space="preserve"> م</w:t>
      </w:r>
      <w:r w:rsidR="00756DA5" w:rsidRPr="006571AC">
        <w:rPr>
          <w:rFonts w:hint="cs"/>
          <w:rtl/>
        </w:rPr>
        <w:t>َ</w:t>
      </w:r>
      <w:r w:rsidRPr="006571AC">
        <w:rPr>
          <w:rtl/>
        </w:rPr>
        <w:t>ر</w:t>
      </w:r>
      <w:r w:rsidR="00756DA5" w:rsidRPr="006571AC">
        <w:rPr>
          <w:rFonts w:hint="cs"/>
          <w:rtl/>
        </w:rPr>
        <w:t>ِ</w:t>
      </w:r>
      <w:r w:rsidRPr="006571AC">
        <w:rPr>
          <w:rtl/>
        </w:rPr>
        <w:t>ن</w:t>
      </w:r>
      <w:r w:rsidR="00756DA5" w:rsidRPr="006571AC">
        <w:rPr>
          <w:rFonts w:hint="cs"/>
          <w:rtl/>
        </w:rPr>
        <w:t>ٍ</w:t>
      </w:r>
      <w:r w:rsidRPr="006571AC">
        <w:rPr>
          <w:rtl/>
        </w:rPr>
        <w:t xml:space="preserve"> يجعل من هذه الثوابت صالحة</w:t>
      </w:r>
      <w:r w:rsidR="00756DA5" w:rsidRPr="006571AC">
        <w:rPr>
          <w:rFonts w:hint="cs"/>
          <w:rtl/>
        </w:rPr>
        <w:t>ً</w:t>
      </w:r>
      <w:r w:rsidRPr="006571AC">
        <w:rPr>
          <w:rtl/>
        </w:rPr>
        <w:t xml:space="preserve"> لكل زمان</w:t>
      </w:r>
      <w:r w:rsidR="00756DA5" w:rsidRPr="006571AC">
        <w:rPr>
          <w:rFonts w:hint="cs"/>
          <w:rtl/>
        </w:rPr>
        <w:t>ٍ</w:t>
      </w:r>
      <w:r w:rsidRPr="006571AC">
        <w:rPr>
          <w:rtl/>
        </w:rPr>
        <w:t xml:space="preserve"> ومكان</w:t>
      </w:r>
      <w:r w:rsidR="00756DA5" w:rsidRPr="006571AC">
        <w:rPr>
          <w:rFonts w:hint="cs"/>
          <w:rtl/>
        </w:rPr>
        <w:t>ٍ</w:t>
      </w:r>
      <w:r w:rsidRPr="006571AC">
        <w:rPr>
          <w:rtl/>
        </w:rPr>
        <w:t xml:space="preserve">، كقاعدة </w:t>
      </w:r>
      <w:r w:rsidRPr="006571AC">
        <w:rPr>
          <w:rFonts w:hint="eastAsia"/>
          <w:sz w:val="24"/>
          <w:szCs w:val="24"/>
          <w:rtl/>
        </w:rPr>
        <w:t>«</w:t>
      </w:r>
      <w:r w:rsidRPr="006571AC">
        <w:rPr>
          <w:rtl/>
        </w:rPr>
        <w:t>لا ض</w:t>
      </w:r>
      <w:r w:rsidR="00B87364" w:rsidRPr="006571AC">
        <w:rPr>
          <w:rFonts w:hint="cs"/>
          <w:rtl/>
        </w:rPr>
        <w:t>َ</w:t>
      </w:r>
      <w:r w:rsidRPr="006571AC">
        <w:rPr>
          <w:rtl/>
        </w:rPr>
        <w:t>ر</w:t>
      </w:r>
      <w:r w:rsidR="00B87364" w:rsidRPr="006571AC">
        <w:rPr>
          <w:rFonts w:hint="cs"/>
          <w:rtl/>
        </w:rPr>
        <w:t>َ</w:t>
      </w:r>
      <w:r w:rsidRPr="006571AC">
        <w:rPr>
          <w:rtl/>
        </w:rPr>
        <w:t>ر ولا ض</w:t>
      </w:r>
      <w:r w:rsidR="00B87364" w:rsidRPr="006571AC">
        <w:rPr>
          <w:rFonts w:hint="cs"/>
          <w:rtl/>
        </w:rPr>
        <w:t>ِ</w:t>
      </w:r>
      <w:r w:rsidRPr="006571AC">
        <w:rPr>
          <w:rtl/>
        </w:rPr>
        <w:t>رار</w:t>
      </w:r>
      <w:r w:rsidRPr="006571AC">
        <w:rPr>
          <w:rFonts w:hint="eastAsia"/>
          <w:sz w:val="24"/>
          <w:szCs w:val="24"/>
          <w:rtl/>
        </w:rPr>
        <w:t>»</w:t>
      </w:r>
      <w:r w:rsidR="00756DA5" w:rsidRPr="006571AC">
        <w:rPr>
          <w:rFonts w:hint="cs"/>
          <w:rtl/>
        </w:rPr>
        <w:t>،</w:t>
      </w:r>
      <w:r w:rsidRPr="006571AC">
        <w:rPr>
          <w:rtl/>
        </w:rPr>
        <w:t xml:space="preserve"> على سبيل المثال لا الح</w:t>
      </w:r>
      <w:r w:rsidR="00B87364" w:rsidRPr="006571AC">
        <w:rPr>
          <w:rFonts w:hint="cs"/>
          <w:rtl/>
        </w:rPr>
        <w:t>َ</w:t>
      </w:r>
      <w:r w:rsidRPr="006571AC">
        <w:rPr>
          <w:rtl/>
        </w:rPr>
        <w:t>ص</w:t>
      </w:r>
      <w:r w:rsidR="00B87364" w:rsidRPr="006571AC">
        <w:rPr>
          <w:rFonts w:hint="cs"/>
          <w:rtl/>
        </w:rPr>
        <w:t>ْ</w:t>
      </w:r>
      <w:r w:rsidRPr="006571AC">
        <w:rPr>
          <w:rtl/>
        </w:rPr>
        <w:t xml:space="preserve">ر. </w:t>
      </w:r>
    </w:p>
    <w:p w:rsidR="00373A12" w:rsidRPr="006571AC" w:rsidRDefault="0001386F" w:rsidP="00D259C9">
      <w:pPr>
        <w:rPr>
          <w:rtl/>
        </w:rPr>
      </w:pPr>
      <w:r w:rsidRPr="006571AC">
        <w:rPr>
          <w:rtl/>
        </w:rPr>
        <w:t xml:space="preserve">وهذا لا يعني إلغاء </w:t>
      </w:r>
      <w:r w:rsidR="00EA38F1" w:rsidRPr="006571AC">
        <w:rPr>
          <w:rtl/>
        </w:rPr>
        <w:t>دَوْر</w:t>
      </w:r>
      <w:r w:rsidRPr="006571AC">
        <w:rPr>
          <w:rFonts w:hint="cs"/>
          <w:rtl/>
        </w:rPr>
        <w:t xml:space="preserve"> </w:t>
      </w:r>
      <w:r w:rsidRPr="006571AC">
        <w:rPr>
          <w:rtl/>
        </w:rPr>
        <w:t>العقل</w:t>
      </w:r>
      <w:r w:rsidR="00756DA5" w:rsidRPr="006571AC">
        <w:rPr>
          <w:rFonts w:hint="cs"/>
          <w:rtl/>
        </w:rPr>
        <w:t>،</w:t>
      </w:r>
      <w:r w:rsidRPr="006571AC">
        <w:rPr>
          <w:rtl/>
        </w:rPr>
        <w:t xml:space="preserve"> ومنع الاستفادة من التجارب البشرية الاجتماعية، فالنبي</w:t>
      </w:r>
      <w:r w:rsidR="00756DA5" w:rsidRPr="006571AC">
        <w:rPr>
          <w:rFonts w:hint="cs"/>
          <w:rtl/>
        </w:rPr>
        <w:t>ّ</w:t>
      </w:r>
      <w:r w:rsidR="00756DA5" w:rsidRPr="006571AC">
        <w:rPr>
          <w:rFonts w:ascii="Mosawi" w:hAnsi="Mosawi" w:cs="Mosawi"/>
          <w:sz w:val="22"/>
          <w:szCs w:val="22"/>
          <w:rtl/>
        </w:rPr>
        <w:t>|</w:t>
      </w:r>
      <w:r w:rsidRPr="006571AC">
        <w:rPr>
          <w:rtl/>
        </w:rPr>
        <w:t xml:space="preserve"> أمضى حلف الفضول</w:t>
      </w:r>
      <w:r w:rsidR="00756DA5" w:rsidRPr="006571AC">
        <w:rPr>
          <w:rFonts w:hint="cs"/>
          <w:rtl/>
        </w:rPr>
        <w:t>،</w:t>
      </w:r>
      <w:r w:rsidRPr="006571AC">
        <w:rPr>
          <w:rtl/>
        </w:rPr>
        <w:t xml:space="preserve"> الذي تأس</w:t>
      </w:r>
      <w:r w:rsidR="00756DA5" w:rsidRPr="006571AC">
        <w:rPr>
          <w:rFonts w:hint="cs"/>
          <w:rtl/>
        </w:rPr>
        <w:t>َّ</w:t>
      </w:r>
      <w:r w:rsidRPr="006571AC">
        <w:rPr>
          <w:rtl/>
        </w:rPr>
        <w:t>س قبل ال</w:t>
      </w:r>
      <w:r w:rsidR="00756DA5" w:rsidRPr="006571AC">
        <w:rPr>
          <w:rFonts w:hint="cs"/>
          <w:rtl/>
        </w:rPr>
        <w:t>إ</w:t>
      </w:r>
      <w:r w:rsidRPr="006571AC">
        <w:rPr>
          <w:rtl/>
        </w:rPr>
        <w:t>سلام</w:t>
      </w:r>
      <w:r w:rsidR="00756DA5" w:rsidRPr="006571AC">
        <w:rPr>
          <w:rFonts w:hint="cs"/>
          <w:rtl/>
        </w:rPr>
        <w:t>؛</w:t>
      </w:r>
      <w:r w:rsidRPr="006571AC">
        <w:rPr>
          <w:rtl/>
        </w:rPr>
        <w:t xml:space="preserve"> </w:t>
      </w:r>
      <w:r w:rsidR="00756DA5" w:rsidRPr="006571AC">
        <w:rPr>
          <w:rFonts w:hint="cs"/>
          <w:rtl/>
        </w:rPr>
        <w:t>ل</w:t>
      </w:r>
      <w:r w:rsidRPr="006571AC">
        <w:rPr>
          <w:rtl/>
        </w:rPr>
        <w:t>كونه يلتقي في مقاصده الاجتماعية وحراكه مع ق</w:t>
      </w:r>
      <w:r w:rsidR="00756DA5" w:rsidRPr="006571AC">
        <w:rPr>
          <w:rFonts w:hint="cs"/>
          <w:rtl/>
        </w:rPr>
        <w:t>ِ</w:t>
      </w:r>
      <w:r w:rsidRPr="006571AC">
        <w:rPr>
          <w:rtl/>
        </w:rPr>
        <w:t>ي</w:t>
      </w:r>
      <w:r w:rsidR="00756DA5" w:rsidRPr="006571AC">
        <w:rPr>
          <w:rFonts w:hint="cs"/>
          <w:rtl/>
        </w:rPr>
        <w:t>َ</w:t>
      </w:r>
      <w:r w:rsidRPr="006571AC">
        <w:rPr>
          <w:rtl/>
        </w:rPr>
        <w:t>م ال</w:t>
      </w:r>
      <w:r w:rsidR="00756DA5" w:rsidRPr="006571AC">
        <w:rPr>
          <w:rFonts w:hint="cs"/>
          <w:rtl/>
        </w:rPr>
        <w:t>إ</w:t>
      </w:r>
      <w:r w:rsidRPr="006571AC">
        <w:rPr>
          <w:rtl/>
        </w:rPr>
        <w:t xml:space="preserve">سلام الرفيعة، </w:t>
      </w:r>
      <w:r w:rsidRPr="006571AC">
        <w:rPr>
          <w:rFonts w:hint="cs"/>
          <w:rtl/>
        </w:rPr>
        <w:t>فالإنسان</w:t>
      </w:r>
      <w:r w:rsidRPr="006571AC">
        <w:rPr>
          <w:rtl/>
        </w:rPr>
        <w:t xml:space="preserve"> مفطور</w:t>
      </w:r>
      <w:r w:rsidR="00756DA5" w:rsidRPr="006571AC">
        <w:rPr>
          <w:rFonts w:hint="cs"/>
          <w:rtl/>
        </w:rPr>
        <w:t>ٌ</w:t>
      </w:r>
      <w:r w:rsidRPr="006571AC">
        <w:rPr>
          <w:rtl/>
        </w:rPr>
        <w:t xml:space="preserve"> على حب</w:t>
      </w:r>
      <w:r w:rsidR="00756DA5" w:rsidRPr="006571AC">
        <w:rPr>
          <w:rFonts w:hint="cs"/>
          <w:rtl/>
        </w:rPr>
        <w:t>ّ</w:t>
      </w:r>
      <w:r w:rsidRPr="006571AC">
        <w:rPr>
          <w:rtl/>
        </w:rPr>
        <w:t xml:space="preserve"> الخير</w:t>
      </w:r>
      <w:r w:rsidRPr="006571AC">
        <w:rPr>
          <w:rFonts w:hint="cs"/>
          <w:rtl/>
        </w:rPr>
        <w:t xml:space="preserve">. </w:t>
      </w:r>
    </w:p>
    <w:p w:rsidR="00373A12" w:rsidRPr="006571AC" w:rsidRDefault="0001386F" w:rsidP="00B87364">
      <w:pPr>
        <w:rPr>
          <w:rtl/>
        </w:rPr>
      </w:pPr>
      <w:r w:rsidRPr="006571AC">
        <w:rPr>
          <w:rtl/>
        </w:rPr>
        <w:t>إذ</w:t>
      </w:r>
      <w:r w:rsidR="00756DA5" w:rsidRPr="006571AC">
        <w:rPr>
          <w:rFonts w:hint="cs"/>
          <w:rtl/>
        </w:rPr>
        <w:t>ن</w:t>
      </w:r>
      <w:r w:rsidRPr="006571AC">
        <w:rPr>
          <w:rtl/>
        </w:rPr>
        <w:t xml:space="preserve"> معيار</w:t>
      </w:r>
      <w:r w:rsidRPr="006571AC">
        <w:rPr>
          <w:rFonts w:hint="cs"/>
          <w:rtl/>
        </w:rPr>
        <w:t xml:space="preserve"> </w:t>
      </w:r>
      <w:r w:rsidRPr="006571AC">
        <w:rPr>
          <w:rtl/>
        </w:rPr>
        <w:t>الاستفادة من تجارب ال</w:t>
      </w:r>
      <w:r w:rsidR="00756DA5" w:rsidRPr="006571AC">
        <w:rPr>
          <w:rFonts w:hint="cs"/>
          <w:rtl/>
        </w:rPr>
        <w:t>آ</w:t>
      </w:r>
      <w:r w:rsidRPr="006571AC">
        <w:rPr>
          <w:rtl/>
        </w:rPr>
        <w:t>خرين البشرية الاجتماعية وما يتعل</w:t>
      </w:r>
      <w:r w:rsidR="00756DA5" w:rsidRPr="006571AC">
        <w:rPr>
          <w:rFonts w:hint="cs"/>
          <w:rtl/>
        </w:rPr>
        <w:t>َّ</w:t>
      </w:r>
      <w:r w:rsidRPr="006571AC">
        <w:rPr>
          <w:rtl/>
        </w:rPr>
        <w:t>ق بالتقنين هو عدم تعارضها مع القواعد الكل</w:t>
      </w:r>
      <w:r w:rsidR="00756DA5" w:rsidRPr="006571AC">
        <w:rPr>
          <w:rFonts w:hint="cs"/>
          <w:rtl/>
        </w:rPr>
        <w:t>ِّ</w:t>
      </w:r>
      <w:r w:rsidRPr="006571AC">
        <w:rPr>
          <w:rtl/>
        </w:rPr>
        <w:t>ية للشريعة</w:t>
      </w:r>
      <w:r w:rsidR="00756DA5" w:rsidRPr="006571AC">
        <w:rPr>
          <w:rFonts w:hint="cs"/>
          <w:rtl/>
        </w:rPr>
        <w:t>،</w:t>
      </w:r>
      <w:r w:rsidRPr="006571AC">
        <w:rPr>
          <w:rtl/>
        </w:rPr>
        <w:t xml:space="preserve"> ومع مقاصد ال</w:t>
      </w:r>
      <w:r w:rsidR="00756DA5" w:rsidRPr="006571AC">
        <w:rPr>
          <w:rFonts w:hint="cs"/>
          <w:rtl/>
        </w:rPr>
        <w:t>إ</w:t>
      </w:r>
      <w:r w:rsidRPr="006571AC">
        <w:rPr>
          <w:rtl/>
        </w:rPr>
        <w:t>سلام العليا، وتحقيقها لجوهرة الق</w:t>
      </w:r>
      <w:r w:rsidR="00756DA5" w:rsidRPr="006571AC">
        <w:rPr>
          <w:rFonts w:hint="cs"/>
          <w:rtl/>
        </w:rPr>
        <w:t>ِ</w:t>
      </w:r>
      <w:r w:rsidRPr="006571AC">
        <w:rPr>
          <w:rtl/>
        </w:rPr>
        <w:t>ي</w:t>
      </w:r>
      <w:r w:rsidR="00756DA5" w:rsidRPr="006571AC">
        <w:rPr>
          <w:rFonts w:hint="cs"/>
          <w:rtl/>
        </w:rPr>
        <w:t>َ</w:t>
      </w:r>
      <w:r w:rsidRPr="006571AC">
        <w:rPr>
          <w:rtl/>
        </w:rPr>
        <w:t xml:space="preserve">م </w:t>
      </w:r>
      <w:r w:rsidRPr="006571AC">
        <w:rPr>
          <w:rFonts w:hint="eastAsia"/>
          <w:sz w:val="24"/>
          <w:szCs w:val="24"/>
          <w:rtl/>
        </w:rPr>
        <w:t>«</w:t>
      </w:r>
      <w:r w:rsidRPr="006571AC">
        <w:rPr>
          <w:rtl/>
        </w:rPr>
        <w:t>العدالة</w:t>
      </w:r>
      <w:r w:rsidR="00756DA5" w:rsidRPr="006571AC">
        <w:rPr>
          <w:rFonts w:hint="eastAsia"/>
          <w:sz w:val="24"/>
          <w:szCs w:val="24"/>
          <w:rtl/>
        </w:rPr>
        <w:t>»</w:t>
      </w:r>
      <w:r w:rsidRPr="006571AC">
        <w:rPr>
          <w:rtl/>
        </w:rPr>
        <w:t>، وعدم امتهانها لكرامة الإنسان و</w:t>
      </w:r>
      <w:r w:rsidR="00EA38F1" w:rsidRPr="006571AC">
        <w:rPr>
          <w:rtl/>
        </w:rPr>
        <w:t>دَوْر</w:t>
      </w:r>
      <w:r w:rsidRPr="006571AC">
        <w:rPr>
          <w:rtl/>
        </w:rPr>
        <w:t>ه ال</w:t>
      </w:r>
      <w:r w:rsidR="00B87364" w:rsidRPr="006571AC">
        <w:rPr>
          <w:rFonts w:hint="cs"/>
          <w:rtl/>
        </w:rPr>
        <w:t>استخلافي</w:t>
      </w:r>
      <w:r w:rsidRPr="006571AC">
        <w:rPr>
          <w:rtl/>
        </w:rPr>
        <w:t xml:space="preserve"> على الأرض. </w:t>
      </w:r>
    </w:p>
    <w:p w:rsidR="00373A12" w:rsidRPr="006571AC" w:rsidRDefault="0001386F" w:rsidP="00D259C9">
      <w:pPr>
        <w:rPr>
          <w:rtl/>
        </w:rPr>
      </w:pPr>
      <w:r w:rsidRPr="006571AC">
        <w:rPr>
          <w:rtl/>
        </w:rPr>
        <w:t>فالعقل أحد مصادر التشريع من جهة</w:t>
      </w:r>
      <w:r w:rsidR="00C61721" w:rsidRPr="006571AC">
        <w:rPr>
          <w:rFonts w:hint="cs"/>
          <w:rtl/>
        </w:rPr>
        <w:t>ٍ</w:t>
      </w:r>
      <w:r w:rsidRPr="006571AC">
        <w:rPr>
          <w:rtl/>
        </w:rPr>
        <w:t>، وأحد مصادر المعرفة من جهة</w:t>
      </w:r>
      <w:r w:rsidR="00C61721" w:rsidRPr="006571AC">
        <w:rPr>
          <w:rFonts w:hint="cs"/>
          <w:rtl/>
        </w:rPr>
        <w:t>ٍ</w:t>
      </w:r>
      <w:r w:rsidRPr="006571AC">
        <w:rPr>
          <w:rtl/>
        </w:rPr>
        <w:t xml:space="preserve"> أخرى، وهو قادر</w:t>
      </w:r>
      <w:r w:rsidR="00C61721" w:rsidRPr="006571AC">
        <w:rPr>
          <w:rFonts w:hint="cs"/>
          <w:rtl/>
        </w:rPr>
        <w:t>ٌ</w:t>
      </w:r>
      <w:r w:rsidRPr="006571AC">
        <w:rPr>
          <w:rtl/>
        </w:rPr>
        <w:t xml:space="preserve"> على كشف الواقع، والانتزاع من جزئيات</w:t>
      </w:r>
      <w:r w:rsidR="00C61721" w:rsidRPr="006571AC">
        <w:rPr>
          <w:rFonts w:hint="cs"/>
          <w:rtl/>
        </w:rPr>
        <w:t>ٍ</w:t>
      </w:r>
      <w:r w:rsidRPr="006571AC">
        <w:rPr>
          <w:rtl/>
        </w:rPr>
        <w:t xml:space="preserve"> مستقر</w:t>
      </w:r>
      <w:r w:rsidR="00C61721" w:rsidRPr="006571AC">
        <w:rPr>
          <w:rFonts w:hint="cs"/>
          <w:rtl/>
        </w:rPr>
        <w:t>أ</w:t>
      </w:r>
      <w:r w:rsidRPr="006571AC">
        <w:rPr>
          <w:rtl/>
        </w:rPr>
        <w:t>ة قوانين كل</w:t>
      </w:r>
      <w:r w:rsidR="00C61721" w:rsidRPr="006571AC">
        <w:rPr>
          <w:rFonts w:hint="cs"/>
          <w:rtl/>
        </w:rPr>
        <w:t>ِّ</w:t>
      </w:r>
      <w:r w:rsidRPr="006571AC">
        <w:rPr>
          <w:rtl/>
        </w:rPr>
        <w:t>ية</w:t>
      </w:r>
      <w:r w:rsidR="00C61721" w:rsidRPr="006571AC">
        <w:rPr>
          <w:rFonts w:hint="cs"/>
          <w:rtl/>
        </w:rPr>
        <w:t>ً</w:t>
      </w:r>
      <w:r w:rsidRPr="006571AC">
        <w:rPr>
          <w:rtl/>
        </w:rPr>
        <w:t xml:space="preserve"> قادرة</w:t>
      </w:r>
      <w:r w:rsidR="00C61721" w:rsidRPr="006571AC">
        <w:rPr>
          <w:rFonts w:hint="cs"/>
          <w:rtl/>
        </w:rPr>
        <w:t>ً</w:t>
      </w:r>
      <w:r w:rsidRPr="006571AC">
        <w:rPr>
          <w:rtl/>
        </w:rPr>
        <w:t xml:space="preserve"> على نظم الواقع الإنساني اجتماعي</w:t>
      </w:r>
      <w:r w:rsidR="00C61721" w:rsidRPr="006571AC">
        <w:rPr>
          <w:rFonts w:hint="cs"/>
          <w:rtl/>
        </w:rPr>
        <w:t>ّ</w:t>
      </w:r>
      <w:r w:rsidRPr="006571AC">
        <w:rPr>
          <w:rtl/>
        </w:rPr>
        <w:t>ا</w:t>
      </w:r>
      <w:r w:rsidR="00C61721" w:rsidRPr="006571AC">
        <w:rPr>
          <w:rFonts w:hint="cs"/>
          <w:rtl/>
        </w:rPr>
        <w:t>ً</w:t>
      </w:r>
      <w:r w:rsidRPr="006571AC">
        <w:rPr>
          <w:rtl/>
        </w:rPr>
        <w:t>، ويكون الو</w:t>
      </w:r>
      <w:r w:rsidR="00C61721" w:rsidRPr="006571AC">
        <w:rPr>
          <w:rFonts w:hint="cs"/>
          <w:rtl/>
        </w:rPr>
        <w:t>َ</w:t>
      </w:r>
      <w:r w:rsidRPr="006571AC">
        <w:rPr>
          <w:rtl/>
        </w:rPr>
        <w:t>ح</w:t>
      </w:r>
      <w:r w:rsidR="00C61721" w:rsidRPr="006571AC">
        <w:rPr>
          <w:rFonts w:hint="cs"/>
          <w:rtl/>
        </w:rPr>
        <w:t>ْ</w:t>
      </w:r>
      <w:r w:rsidRPr="006571AC">
        <w:rPr>
          <w:rtl/>
        </w:rPr>
        <w:t>ي (النص</w:t>
      </w:r>
      <w:r w:rsidR="00C61721" w:rsidRPr="006571AC">
        <w:rPr>
          <w:rFonts w:hint="cs"/>
          <w:rtl/>
        </w:rPr>
        <w:t>ّ</w:t>
      </w:r>
      <w:r w:rsidRPr="006571AC">
        <w:rPr>
          <w:rtl/>
        </w:rPr>
        <w:t>) حارسا</w:t>
      </w:r>
      <w:r w:rsidR="00C61721" w:rsidRPr="006571AC">
        <w:rPr>
          <w:rFonts w:hint="cs"/>
          <w:rtl/>
        </w:rPr>
        <w:t>ً</w:t>
      </w:r>
      <w:r w:rsidRPr="006571AC">
        <w:rPr>
          <w:rtl/>
        </w:rPr>
        <w:t xml:space="preserve"> يمنع خروج العقل عن جاد</w:t>
      </w:r>
      <w:r w:rsidR="00C61721" w:rsidRPr="006571AC">
        <w:rPr>
          <w:rFonts w:hint="cs"/>
          <w:rtl/>
        </w:rPr>
        <w:t>ّ</w:t>
      </w:r>
      <w:r w:rsidRPr="006571AC">
        <w:rPr>
          <w:rtl/>
        </w:rPr>
        <w:t>ة التفكير المنطقي، ويمد</w:t>
      </w:r>
      <w:r w:rsidR="00C61721" w:rsidRPr="006571AC">
        <w:rPr>
          <w:rFonts w:hint="cs"/>
          <w:rtl/>
        </w:rPr>
        <w:t>ّ</w:t>
      </w:r>
      <w:r w:rsidRPr="006571AC">
        <w:rPr>
          <w:rtl/>
        </w:rPr>
        <w:t>ه بالمواد</w:t>
      </w:r>
      <w:r w:rsidR="00C61721" w:rsidRPr="006571AC">
        <w:rPr>
          <w:rFonts w:hint="cs"/>
          <w:rtl/>
        </w:rPr>
        <w:t>ّ</w:t>
      </w:r>
      <w:r w:rsidRPr="006571AC">
        <w:rPr>
          <w:rtl/>
        </w:rPr>
        <w:t xml:space="preserve"> الخام في حال عجز عن الحصول عليها مستقلا</w:t>
      </w:r>
      <w:r w:rsidR="00C61721" w:rsidRPr="006571AC">
        <w:rPr>
          <w:rFonts w:hint="cs"/>
          <w:rtl/>
        </w:rPr>
        <w:t>ًّ؛</w:t>
      </w:r>
      <w:r w:rsidRPr="006571AC">
        <w:rPr>
          <w:rtl/>
        </w:rPr>
        <w:t xml:space="preserve"> لمعرفة واقع الأمر. </w:t>
      </w:r>
    </w:p>
    <w:p w:rsidR="00373A12" w:rsidRPr="006571AC" w:rsidRDefault="0001386F" w:rsidP="00D259C9">
      <w:pPr>
        <w:rPr>
          <w:rtl/>
        </w:rPr>
      </w:pPr>
      <w:r w:rsidRPr="006571AC">
        <w:rPr>
          <w:rtl/>
        </w:rPr>
        <w:t>فما نعيشه اليوم من تجربة</w:t>
      </w:r>
      <w:r w:rsidR="00C61721" w:rsidRPr="006571AC">
        <w:rPr>
          <w:rFonts w:hint="cs"/>
          <w:rtl/>
        </w:rPr>
        <w:t>ٍ</w:t>
      </w:r>
      <w:r w:rsidRPr="006571AC">
        <w:rPr>
          <w:rtl/>
        </w:rPr>
        <w:t xml:space="preserve"> للمرجعيات البشرية في سن</w:t>
      </w:r>
      <w:r w:rsidR="00C61721" w:rsidRPr="006571AC">
        <w:rPr>
          <w:rFonts w:hint="cs"/>
          <w:rtl/>
        </w:rPr>
        <w:t>ّ</w:t>
      </w:r>
      <w:r w:rsidRPr="006571AC">
        <w:rPr>
          <w:rtl/>
        </w:rPr>
        <w:t xml:space="preserve"> القوانين الناظمة والضابطة للحياة الاجتماعية</w:t>
      </w:r>
      <w:r w:rsidRPr="006571AC">
        <w:rPr>
          <w:rFonts w:hint="cs"/>
          <w:rtl/>
        </w:rPr>
        <w:t xml:space="preserve"> والمنظومة الأخلاقية</w:t>
      </w:r>
      <w:r w:rsidRPr="006571AC">
        <w:rPr>
          <w:rtl/>
        </w:rPr>
        <w:t xml:space="preserve"> أكبر دليل</w:t>
      </w:r>
      <w:r w:rsidR="00C61721" w:rsidRPr="006571AC">
        <w:rPr>
          <w:rFonts w:hint="cs"/>
          <w:rtl/>
        </w:rPr>
        <w:t>ٍ</w:t>
      </w:r>
      <w:r w:rsidRPr="006571AC">
        <w:rPr>
          <w:rtl/>
        </w:rPr>
        <w:t xml:space="preserve"> على عدم قدرتها منفردة</w:t>
      </w:r>
      <w:r w:rsidR="00C61721" w:rsidRPr="006571AC">
        <w:rPr>
          <w:rFonts w:hint="cs"/>
          <w:rtl/>
        </w:rPr>
        <w:t>ً</w:t>
      </w:r>
      <w:r w:rsidRPr="006571AC">
        <w:rPr>
          <w:rtl/>
        </w:rPr>
        <w:t xml:space="preserve"> في تشخيص الواقع ومعالجته</w:t>
      </w:r>
      <w:r w:rsidR="00C61721" w:rsidRPr="006571AC">
        <w:rPr>
          <w:rFonts w:hint="cs"/>
          <w:rtl/>
        </w:rPr>
        <w:t>؛</w:t>
      </w:r>
      <w:r w:rsidRPr="006571AC">
        <w:rPr>
          <w:rtl/>
        </w:rPr>
        <w:t xml:space="preserve"> للقصور الذي يظهر في تلك القوانين</w:t>
      </w:r>
      <w:r w:rsidRPr="006571AC">
        <w:rPr>
          <w:rFonts w:hint="cs"/>
          <w:rtl/>
        </w:rPr>
        <w:t xml:space="preserve"> والمنظومة الأخلاقية</w:t>
      </w:r>
      <w:r w:rsidRPr="006571AC">
        <w:rPr>
          <w:rtl/>
        </w:rPr>
        <w:t xml:space="preserve"> بعد مرور زمن</w:t>
      </w:r>
      <w:r w:rsidR="00C61721" w:rsidRPr="006571AC">
        <w:rPr>
          <w:rFonts w:hint="cs"/>
          <w:rtl/>
        </w:rPr>
        <w:t>ٍ</w:t>
      </w:r>
      <w:r w:rsidRPr="006571AC">
        <w:rPr>
          <w:rtl/>
        </w:rPr>
        <w:t xml:space="preserve"> طويل على تطبيقها، وظهور جوانب القصور فيها</w:t>
      </w:r>
      <w:r w:rsidR="00C61721" w:rsidRPr="006571AC">
        <w:rPr>
          <w:rFonts w:hint="cs"/>
          <w:rtl/>
        </w:rPr>
        <w:t>؛</w:t>
      </w:r>
      <w:r w:rsidRPr="006571AC">
        <w:rPr>
          <w:rtl/>
        </w:rPr>
        <w:t xml:space="preserve"> لعدم تحقيقها للانضباط والاستقرار المستديم، وعدم إرسائها للعدالة الاجتماعية</w:t>
      </w:r>
      <w:r w:rsidR="00C61721" w:rsidRPr="006571AC">
        <w:rPr>
          <w:rFonts w:hint="cs"/>
          <w:rtl/>
        </w:rPr>
        <w:t>؛</w:t>
      </w:r>
      <w:r w:rsidRPr="006571AC">
        <w:rPr>
          <w:rtl/>
        </w:rPr>
        <w:t xml:space="preserve"> لخ</w:t>
      </w:r>
      <w:r w:rsidR="00C61721" w:rsidRPr="006571AC">
        <w:rPr>
          <w:rFonts w:hint="cs"/>
          <w:rtl/>
        </w:rPr>
        <w:t>َ</w:t>
      </w:r>
      <w:r w:rsidRPr="006571AC">
        <w:rPr>
          <w:rtl/>
        </w:rPr>
        <w:t>ل</w:t>
      </w:r>
      <w:r w:rsidR="00C61721" w:rsidRPr="006571AC">
        <w:rPr>
          <w:rFonts w:hint="cs"/>
          <w:rtl/>
        </w:rPr>
        <w:t>َ</w:t>
      </w:r>
      <w:r w:rsidRPr="006571AC">
        <w:rPr>
          <w:rtl/>
        </w:rPr>
        <w:t>ل</w:t>
      </w:r>
      <w:r w:rsidR="00C61721" w:rsidRPr="006571AC">
        <w:rPr>
          <w:rFonts w:hint="cs"/>
          <w:rtl/>
        </w:rPr>
        <w:t>ٍ</w:t>
      </w:r>
      <w:r w:rsidRPr="006571AC">
        <w:rPr>
          <w:rFonts w:hint="cs"/>
          <w:rtl/>
        </w:rPr>
        <w:t xml:space="preserve"> </w:t>
      </w:r>
      <w:r w:rsidRPr="006571AC">
        <w:rPr>
          <w:rtl/>
        </w:rPr>
        <w:t>إما في التطبيق على الجميع</w:t>
      </w:r>
      <w:r w:rsidR="00C61721" w:rsidRPr="006571AC">
        <w:rPr>
          <w:rFonts w:hint="cs"/>
          <w:rtl/>
        </w:rPr>
        <w:t>؛</w:t>
      </w:r>
      <w:r w:rsidRPr="006571AC">
        <w:rPr>
          <w:rtl/>
        </w:rPr>
        <w:t xml:space="preserve"> أو</w:t>
      </w:r>
      <w:r w:rsidRPr="006571AC">
        <w:rPr>
          <w:rFonts w:hint="cs"/>
          <w:rtl/>
        </w:rPr>
        <w:t xml:space="preserve"> </w:t>
      </w:r>
      <w:r w:rsidRPr="006571AC">
        <w:rPr>
          <w:rtl/>
        </w:rPr>
        <w:t>لخ</w:t>
      </w:r>
      <w:r w:rsidR="00C61721" w:rsidRPr="006571AC">
        <w:rPr>
          <w:rFonts w:hint="cs"/>
          <w:rtl/>
        </w:rPr>
        <w:t>َ</w:t>
      </w:r>
      <w:r w:rsidRPr="006571AC">
        <w:rPr>
          <w:rtl/>
        </w:rPr>
        <w:t>ل</w:t>
      </w:r>
      <w:r w:rsidR="00C61721" w:rsidRPr="006571AC">
        <w:rPr>
          <w:rFonts w:hint="cs"/>
          <w:rtl/>
        </w:rPr>
        <w:t>َ</w:t>
      </w:r>
      <w:r w:rsidRPr="006571AC">
        <w:rPr>
          <w:rtl/>
        </w:rPr>
        <w:t>ل</w:t>
      </w:r>
      <w:r w:rsidR="00C61721" w:rsidRPr="006571AC">
        <w:rPr>
          <w:rFonts w:hint="cs"/>
          <w:rtl/>
        </w:rPr>
        <w:t>ٍ</w:t>
      </w:r>
      <w:r w:rsidRPr="006571AC">
        <w:rPr>
          <w:rtl/>
        </w:rPr>
        <w:t xml:space="preserve"> في تشخيص الواقع الذي على ضوئه س</w:t>
      </w:r>
      <w:r w:rsidR="00C61721" w:rsidRPr="006571AC">
        <w:rPr>
          <w:rFonts w:hint="cs"/>
          <w:rtl/>
        </w:rPr>
        <w:t>ُ</w:t>
      </w:r>
      <w:r w:rsidRPr="006571AC">
        <w:rPr>
          <w:rtl/>
        </w:rPr>
        <w:t>ن</w:t>
      </w:r>
      <w:r w:rsidR="00C61721" w:rsidRPr="006571AC">
        <w:rPr>
          <w:rFonts w:hint="cs"/>
          <w:rtl/>
        </w:rPr>
        <w:t>ّ</w:t>
      </w:r>
      <w:r w:rsidRPr="006571AC">
        <w:rPr>
          <w:rtl/>
        </w:rPr>
        <w:t xml:space="preserve"> القانون</w:t>
      </w:r>
      <w:r w:rsidRPr="006571AC">
        <w:rPr>
          <w:rFonts w:hint="cs"/>
          <w:rtl/>
        </w:rPr>
        <w:t xml:space="preserve"> والق</w:t>
      </w:r>
      <w:r w:rsidR="00C61721" w:rsidRPr="006571AC">
        <w:rPr>
          <w:rFonts w:hint="cs"/>
          <w:rtl/>
        </w:rPr>
        <w:t>ِ</w:t>
      </w:r>
      <w:r w:rsidRPr="006571AC">
        <w:rPr>
          <w:rFonts w:hint="cs"/>
          <w:rtl/>
        </w:rPr>
        <w:t>ي</w:t>
      </w:r>
      <w:r w:rsidR="00C61721" w:rsidRPr="006571AC">
        <w:rPr>
          <w:rFonts w:hint="cs"/>
          <w:rtl/>
        </w:rPr>
        <w:t>َ</w:t>
      </w:r>
      <w:r w:rsidRPr="006571AC">
        <w:rPr>
          <w:rFonts w:hint="cs"/>
          <w:rtl/>
        </w:rPr>
        <w:t>م الأخلاقية</w:t>
      </w:r>
      <w:r w:rsidRPr="006571AC">
        <w:rPr>
          <w:rtl/>
        </w:rPr>
        <w:t xml:space="preserve">. </w:t>
      </w:r>
    </w:p>
    <w:p w:rsidR="00373A12" w:rsidRPr="006571AC" w:rsidRDefault="0001386F" w:rsidP="00D259C9">
      <w:pPr>
        <w:rPr>
          <w:rtl/>
        </w:rPr>
      </w:pPr>
      <w:r w:rsidRPr="006571AC">
        <w:rPr>
          <w:rtl/>
        </w:rPr>
        <w:t>فقد يلتزم الأغلب بالقانون</w:t>
      </w:r>
      <w:r w:rsidRPr="006571AC">
        <w:rPr>
          <w:rFonts w:hint="cs"/>
          <w:rtl/>
        </w:rPr>
        <w:t xml:space="preserve"> والق</w:t>
      </w:r>
      <w:r w:rsidR="00C61721" w:rsidRPr="006571AC">
        <w:rPr>
          <w:rFonts w:hint="cs"/>
          <w:rtl/>
        </w:rPr>
        <w:t>ِ</w:t>
      </w:r>
      <w:r w:rsidRPr="006571AC">
        <w:rPr>
          <w:rFonts w:hint="cs"/>
          <w:rtl/>
        </w:rPr>
        <w:t>ي</w:t>
      </w:r>
      <w:r w:rsidR="00C61721" w:rsidRPr="006571AC">
        <w:rPr>
          <w:rFonts w:hint="cs"/>
          <w:rtl/>
        </w:rPr>
        <w:t>َ</w:t>
      </w:r>
      <w:r w:rsidRPr="006571AC">
        <w:rPr>
          <w:rFonts w:hint="cs"/>
          <w:rtl/>
        </w:rPr>
        <w:t>م الأخلاقية</w:t>
      </w:r>
      <w:r w:rsidR="00C61721" w:rsidRPr="006571AC">
        <w:rPr>
          <w:rFonts w:hint="cs"/>
          <w:rtl/>
        </w:rPr>
        <w:t>؛</w:t>
      </w:r>
      <w:r w:rsidRPr="006571AC">
        <w:rPr>
          <w:rtl/>
        </w:rPr>
        <w:t xml:space="preserve"> بدافع حماية النفس من العقاب أو التعد</w:t>
      </w:r>
      <w:r w:rsidR="00C61721" w:rsidRPr="006571AC">
        <w:rPr>
          <w:rFonts w:hint="cs"/>
          <w:rtl/>
        </w:rPr>
        <w:t>ّ</w:t>
      </w:r>
      <w:r w:rsidRPr="006571AC">
        <w:rPr>
          <w:rtl/>
        </w:rPr>
        <w:t>ي عليها لانتهاك القانون، أو د</w:t>
      </w:r>
      <w:r w:rsidR="00B87364" w:rsidRPr="006571AC">
        <w:rPr>
          <w:rFonts w:hint="cs"/>
          <w:rtl/>
        </w:rPr>
        <w:t>َ</w:t>
      </w:r>
      <w:r w:rsidRPr="006571AC">
        <w:rPr>
          <w:rtl/>
        </w:rPr>
        <w:t>ف</w:t>
      </w:r>
      <w:r w:rsidR="00B87364" w:rsidRPr="006571AC">
        <w:rPr>
          <w:rFonts w:hint="cs"/>
          <w:rtl/>
        </w:rPr>
        <w:t>ْ</w:t>
      </w:r>
      <w:r w:rsidRPr="006571AC">
        <w:rPr>
          <w:rtl/>
        </w:rPr>
        <w:t>عا</w:t>
      </w:r>
      <w:r w:rsidR="00C61721" w:rsidRPr="006571AC">
        <w:rPr>
          <w:rFonts w:hint="cs"/>
          <w:rtl/>
        </w:rPr>
        <w:t>ً</w:t>
      </w:r>
      <w:r w:rsidRPr="006571AC">
        <w:rPr>
          <w:rtl/>
        </w:rPr>
        <w:t xml:space="preserve"> لاستقرار المجتمع، لكن</w:t>
      </w:r>
      <w:r w:rsidR="00C61721" w:rsidRPr="006571AC">
        <w:rPr>
          <w:rFonts w:hint="cs"/>
          <w:rtl/>
        </w:rPr>
        <w:t>ْ</w:t>
      </w:r>
      <w:r w:rsidRPr="006571AC">
        <w:rPr>
          <w:rtl/>
        </w:rPr>
        <w:t xml:space="preserve"> قد يمتلك بعض الأشخاص من النفوذ المالي والسلطوي ما يمك</w:t>
      </w:r>
      <w:r w:rsidR="00704F76" w:rsidRPr="006571AC">
        <w:rPr>
          <w:rFonts w:hint="cs"/>
          <w:rtl/>
        </w:rPr>
        <w:t>ِّ</w:t>
      </w:r>
      <w:r w:rsidRPr="006571AC">
        <w:rPr>
          <w:rtl/>
        </w:rPr>
        <w:t>نهم من تجاوز القوانين الناظمة</w:t>
      </w:r>
      <w:r w:rsidRPr="006571AC">
        <w:rPr>
          <w:rFonts w:hint="cs"/>
          <w:rtl/>
        </w:rPr>
        <w:t xml:space="preserve"> والق</w:t>
      </w:r>
      <w:r w:rsidR="00704F76" w:rsidRPr="006571AC">
        <w:rPr>
          <w:rFonts w:hint="cs"/>
          <w:rtl/>
        </w:rPr>
        <w:t>ِيَ</w:t>
      </w:r>
      <w:r w:rsidRPr="006571AC">
        <w:rPr>
          <w:rFonts w:hint="cs"/>
          <w:rtl/>
        </w:rPr>
        <w:t xml:space="preserve">م </w:t>
      </w:r>
      <w:r w:rsidRPr="006571AC">
        <w:rPr>
          <w:rFonts w:hint="cs"/>
          <w:rtl/>
        </w:rPr>
        <w:lastRenderedPageBreak/>
        <w:t>الأخلاقي</w:t>
      </w:r>
      <w:r w:rsidR="00704F76" w:rsidRPr="006571AC">
        <w:rPr>
          <w:rFonts w:hint="cs"/>
          <w:rtl/>
        </w:rPr>
        <w:t>ّ</w:t>
      </w:r>
      <w:r w:rsidRPr="006571AC">
        <w:rPr>
          <w:rFonts w:hint="cs"/>
          <w:rtl/>
        </w:rPr>
        <w:t>ة</w:t>
      </w:r>
      <w:r w:rsidRPr="006571AC">
        <w:rPr>
          <w:rtl/>
        </w:rPr>
        <w:t xml:space="preserve"> دون رقيب</w:t>
      </w:r>
      <w:r w:rsidR="00704F76" w:rsidRPr="006571AC">
        <w:rPr>
          <w:rFonts w:hint="cs"/>
          <w:rtl/>
        </w:rPr>
        <w:t>ٍ</w:t>
      </w:r>
      <w:r w:rsidRPr="006571AC">
        <w:rPr>
          <w:rtl/>
        </w:rPr>
        <w:t xml:space="preserve"> أو حسيب</w:t>
      </w:r>
      <w:r w:rsidR="00704F76" w:rsidRPr="006571AC">
        <w:rPr>
          <w:rFonts w:hint="cs"/>
          <w:rtl/>
        </w:rPr>
        <w:t>ٍ</w:t>
      </w:r>
      <w:r w:rsidRPr="006571AC">
        <w:rPr>
          <w:rtl/>
        </w:rPr>
        <w:t xml:space="preserve">، </w:t>
      </w:r>
      <w:r w:rsidR="00704F76" w:rsidRPr="006571AC">
        <w:rPr>
          <w:rFonts w:hint="cs"/>
          <w:rtl/>
        </w:rPr>
        <w:t>و</w:t>
      </w:r>
      <w:r w:rsidR="00704F76" w:rsidRPr="006571AC">
        <w:rPr>
          <w:rtl/>
        </w:rPr>
        <w:t xml:space="preserve">بذلك </w:t>
      </w:r>
      <w:r w:rsidR="00704F76" w:rsidRPr="006571AC">
        <w:rPr>
          <w:rFonts w:hint="cs"/>
          <w:rtl/>
        </w:rPr>
        <w:t>لا يكون</w:t>
      </w:r>
      <w:r w:rsidRPr="006571AC">
        <w:rPr>
          <w:rtl/>
        </w:rPr>
        <w:t xml:space="preserve"> القانون بذاته </w:t>
      </w:r>
      <w:r w:rsidR="00704F76" w:rsidRPr="006571AC">
        <w:rPr>
          <w:rFonts w:hint="cs"/>
          <w:rtl/>
        </w:rPr>
        <w:t xml:space="preserve">مالكاً </w:t>
      </w:r>
      <w:r w:rsidRPr="006571AC">
        <w:rPr>
          <w:rtl/>
        </w:rPr>
        <w:t>صفة ال</w:t>
      </w:r>
      <w:r w:rsidR="00704F76" w:rsidRPr="006571AC">
        <w:rPr>
          <w:rFonts w:hint="cs"/>
          <w:rtl/>
        </w:rPr>
        <w:t>إ</w:t>
      </w:r>
      <w:r w:rsidRPr="006571AC">
        <w:rPr>
          <w:rtl/>
        </w:rPr>
        <w:t>لزام، ول</w:t>
      </w:r>
      <w:r w:rsidR="00704F76" w:rsidRPr="006571AC">
        <w:rPr>
          <w:rFonts w:hint="cs"/>
          <w:rtl/>
        </w:rPr>
        <w:t>ا</w:t>
      </w:r>
      <w:r w:rsidRPr="006571AC">
        <w:rPr>
          <w:rtl/>
        </w:rPr>
        <w:t xml:space="preserve"> يتم</w:t>
      </w:r>
      <w:r w:rsidR="00704F76" w:rsidRPr="006571AC">
        <w:rPr>
          <w:rFonts w:hint="cs"/>
          <w:rtl/>
        </w:rPr>
        <w:t>ّ</w:t>
      </w:r>
      <w:r w:rsidRPr="006571AC">
        <w:rPr>
          <w:rtl/>
        </w:rPr>
        <w:t xml:space="preserve"> تطبيقه على الجميع</w:t>
      </w:r>
      <w:r w:rsidR="00704F76" w:rsidRPr="006571AC">
        <w:rPr>
          <w:rFonts w:hint="cs"/>
          <w:rtl/>
        </w:rPr>
        <w:t>؛</w:t>
      </w:r>
      <w:r w:rsidRPr="006571AC">
        <w:rPr>
          <w:rtl/>
        </w:rPr>
        <w:t xml:space="preserve"> لموانع خارجية، غالبها تأتي من تلك الجهة، إما الواضعة للقانون أو المنف</w:t>
      </w:r>
      <w:r w:rsidR="00704F76" w:rsidRPr="006571AC">
        <w:rPr>
          <w:rFonts w:hint="cs"/>
          <w:rtl/>
        </w:rPr>
        <w:t>ِّ</w:t>
      </w:r>
      <w:r w:rsidRPr="006571AC">
        <w:rPr>
          <w:rtl/>
        </w:rPr>
        <w:t>ذة له</w:t>
      </w:r>
      <w:r w:rsidR="00704F76" w:rsidRPr="006571AC">
        <w:rPr>
          <w:rFonts w:hint="cs"/>
          <w:rtl/>
        </w:rPr>
        <w:t>؛</w:t>
      </w:r>
      <w:r w:rsidRPr="006571AC">
        <w:rPr>
          <w:rtl/>
        </w:rPr>
        <w:t xml:space="preserve"> كون الأساس الأخلاقي الحاكم على مسار التطبيق هو الأساس المنفعي. </w:t>
      </w:r>
    </w:p>
    <w:p w:rsidR="00373A12" w:rsidRPr="006571AC" w:rsidRDefault="0001386F" w:rsidP="00D259C9">
      <w:pPr>
        <w:rPr>
          <w:rtl/>
        </w:rPr>
      </w:pPr>
      <w:r w:rsidRPr="006571AC">
        <w:rPr>
          <w:rtl/>
        </w:rPr>
        <w:t xml:space="preserve">فطالما </w:t>
      </w:r>
      <w:r w:rsidR="00704F76" w:rsidRPr="006571AC">
        <w:rPr>
          <w:rtl/>
        </w:rPr>
        <w:t>تتطل</w:t>
      </w:r>
      <w:r w:rsidR="00704F76" w:rsidRPr="006571AC">
        <w:rPr>
          <w:rFonts w:hint="cs"/>
          <w:rtl/>
        </w:rPr>
        <w:t>َّ</w:t>
      </w:r>
      <w:r w:rsidR="00704F76" w:rsidRPr="006571AC">
        <w:rPr>
          <w:rtl/>
        </w:rPr>
        <w:t xml:space="preserve">ب </w:t>
      </w:r>
      <w:r w:rsidRPr="006571AC">
        <w:rPr>
          <w:rtl/>
        </w:rPr>
        <w:t>المنفعة تجاوز القانون وعدم تطبيقه فلن يطب</w:t>
      </w:r>
      <w:r w:rsidR="00704F76" w:rsidRPr="006571AC">
        <w:rPr>
          <w:rFonts w:hint="cs"/>
          <w:rtl/>
        </w:rPr>
        <w:t>َّ</w:t>
      </w:r>
      <w:r w:rsidRPr="006571AC">
        <w:rPr>
          <w:rtl/>
        </w:rPr>
        <w:t>ق</w:t>
      </w:r>
      <w:r w:rsidR="00704F76" w:rsidRPr="006571AC">
        <w:rPr>
          <w:rFonts w:hint="cs"/>
          <w:rtl/>
        </w:rPr>
        <w:t>؛</w:t>
      </w:r>
      <w:r w:rsidRPr="006571AC">
        <w:rPr>
          <w:rtl/>
        </w:rPr>
        <w:t xml:space="preserve"> لتحقيق هذه المنفعة، </w:t>
      </w:r>
      <w:r w:rsidR="00704F76" w:rsidRPr="006571AC">
        <w:rPr>
          <w:rFonts w:hint="cs"/>
          <w:rtl/>
        </w:rPr>
        <w:t>و</w:t>
      </w:r>
      <w:r w:rsidRPr="006571AC">
        <w:rPr>
          <w:rtl/>
        </w:rPr>
        <w:t>خاص</w:t>
      </w:r>
      <w:r w:rsidR="00704F76" w:rsidRPr="006571AC">
        <w:rPr>
          <w:rFonts w:hint="cs"/>
          <w:rtl/>
        </w:rPr>
        <w:t>ّ</w:t>
      </w:r>
      <w:r w:rsidRPr="006571AC">
        <w:rPr>
          <w:rtl/>
        </w:rPr>
        <w:t>ة</w:t>
      </w:r>
      <w:r w:rsidR="00704F76" w:rsidRPr="006571AC">
        <w:rPr>
          <w:rFonts w:hint="cs"/>
          <w:rtl/>
        </w:rPr>
        <w:t>ً</w:t>
      </w:r>
      <w:r w:rsidRPr="006571AC">
        <w:rPr>
          <w:rtl/>
        </w:rPr>
        <w:t xml:space="preserve"> عند اجتماع السلطة والنفوذ مع المنفعة والمصلحة الشخصية، المنطلقة من حب</w:t>
      </w:r>
      <w:r w:rsidR="00704F76" w:rsidRPr="006571AC">
        <w:rPr>
          <w:rFonts w:hint="cs"/>
          <w:rtl/>
        </w:rPr>
        <w:t>ّ</w:t>
      </w:r>
      <w:r w:rsidRPr="006571AC">
        <w:rPr>
          <w:rtl/>
        </w:rPr>
        <w:t xml:space="preserve"> الذات، فإن ذلك مع توف</w:t>
      </w:r>
      <w:r w:rsidR="00704F76" w:rsidRPr="006571AC">
        <w:rPr>
          <w:rFonts w:hint="cs"/>
          <w:rtl/>
        </w:rPr>
        <w:t>ُّ</w:t>
      </w:r>
      <w:r w:rsidRPr="006571AC">
        <w:rPr>
          <w:rtl/>
        </w:rPr>
        <w:t xml:space="preserve">ره لن يلزم صاحبه بتطبيق القانون. </w:t>
      </w:r>
    </w:p>
    <w:p w:rsidR="00373A12" w:rsidRPr="006571AC" w:rsidRDefault="0001386F" w:rsidP="00D259C9">
      <w:pPr>
        <w:rPr>
          <w:rtl/>
        </w:rPr>
      </w:pPr>
      <w:r w:rsidRPr="006571AC">
        <w:rPr>
          <w:rtl/>
        </w:rPr>
        <w:t>وما يكسب القانون إلزاميته هو الإنسان ذاته، وما يملكه من أبعاد ق</w:t>
      </w:r>
      <w:r w:rsidR="00B37649" w:rsidRPr="006571AC">
        <w:rPr>
          <w:rFonts w:hint="cs"/>
          <w:rtl/>
        </w:rPr>
        <w:t>ِ</w:t>
      </w:r>
      <w:r w:rsidRPr="006571AC">
        <w:rPr>
          <w:rtl/>
        </w:rPr>
        <w:t>ي</w:t>
      </w:r>
      <w:r w:rsidR="00B37649" w:rsidRPr="006571AC">
        <w:rPr>
          <w:rFonts w:hint="cs"/>
          <w:rtl/>
        </w:rPr>
        <w:t>َ</w:t>
      </w:r>
      <w:r w:rsidRPr="006571AC">
        <w:rPr>
          <w:rtl/>
        </w:rPr>
        <w:t>مية ومعايير ضابطة، ترتبط إما بتماهيه مع فطرته وما ج</w:t>
      </w:r>
      <w:r w:rsidR="00B37649" w:rsidRPr="006571AC">
        <w:rPr>
          <w:rFonts w:hint="cs"/>
          <w:rtl/>
        </w:rPr>
        <w:t>ُ</w:t>
      </w:r>
      <w:r w:rsidRPr="006571AC">
        <w:rPr>
          <w:rtl/>
        </w:rPr>
        <w:t>بل عليه من الخير</w:t>
      </w:r>
      <w:r w:rsidR="00B37649" w:rsidRPr="006571AC">
        <w:rPr>
          <w:rFonts w:hint="cs"/>
          <w:rtl/>
        </w:rPr>
        <w:t>؛</w:t>
      </w:r>
      <w:r w:rsidRPr="006571AC">
        <w:rPr>
          <w:rtl/>
        </w:rPr>
        <w:t xml:space="preserve"> أو ما يملكه من ضمير</w:t>
      </w:r>
      <w:r w:rsidR="00B37649" w:rsidRPr="006571AC">
        <w:rPr>
          <w:rFonts w:hint="cs"/>
          <w:rtl/>
        </w:rPr>
        <w:t xml:space="preserve">ٍ </w:t>
      </w:r>
      <w:r w:rsidRPr="006571AC">
        <w:rPr>
          <w:rtl/>
        </w:rPr>
        <w:t>أخلاقي، أو لارتباط هذا العنصر البشري</w:t>
      </w:r>
      <w:r w:rsidR="00B37649" w:rsidRPr="006571AC">
        <w:rPr>
          <w:rFonts w:hint="cs"/>
          <w:rtl/>
        </w:rPr>
        <w:t>ّ</w:t>
      </w:r>
      <w:r w:rsidRPr="006571AC">
        <w:rPr>
          <w:rtl/>
        </w:rPr>
        <w:t xml:space="preserve"> بالسماء وإحرازه لمقو</w:t>
      </w:r>
      <w:r w:rsidR="00B37649" w:rsidRPr="006571AC">
        <w:rPr>
          <w:rFonts w:hint="cs"/>
          <w:rtl/>
        </w:rPr>
        <w:t>ِّ</w:t>
      </w:r>
      <w:r w:rsidRPr="006571AC">
        <w:rPr>
          <w:rtl/>
        </w:rPr>
        <w:t>مات التقوى المرس</w:t>
      </w:r>
      <w:r w:rsidR="00B37649" w:rsidRPr="006571AC">
        <w:rPr>
          <w:rFonts w:hint="cs"/>
          <w:rtl/>
        </w:rPr>
        <w:t>ِّ</w:t>
      </w:r>
      <w:r w:rsidRPr="006571AC">
        <w:rPr>
          <w:rtl/>
        </w:rPr>
        <w:t>خة للانضباط الذاتي. والضمير الأخلاقي حينما يتحو</w:t>
      </w:r>
      <w:r w:rsidR="00B37649" w:rsidRPr="006571AC">
        <w:rPr>
          <w:rFonts w:hint="cs"/>
          <w:rtl/>
        </w:rPr>
        <w:t>َّ</w:t>
      </w:r>
      <w:r w:rsidRPr="006571AC">
        <w:rPr>
          <w:rtl/>
        </w:rPr>
        <w:t>ل إلى ثقافة</w:t>
      </w:r>
      <w:r w:rsidR="00B37649" w:rsidRPr="006571AC">
        <w:rPr>
          <w:rFonts w:hint="cs"/>
          <w:rtl/>
        </w:rPr>
        <w:t>ٍ</w:t>
      </w:r>
      <w:r w:rsidRPr="006571AC">
        <w:rPr>
          <w:rtl/>
        </w:rPr>
        <w:t xml:space="preserve"> اجتماعية، بحيث يصبح ارتكاب القبيح أو المخالفة القانونية أمرا</w:t>
      </w:r>
      <w:r w:rsidR="00B37649" w:rsidRPr="006571AC">
        <w:rPr>
          <w:rFonts w:hint="cs"/>
          <w:rtl/>
        </w:rPr>
        <w:t>ً</w:t>
      </w:r>
      <w:r w:rsidRPr="006571AC">
        <w:rPr>
          <w:rtl/>
        </w:rPr>
        <w:t xml:space="preserve"> مست</w:t>
      </w:r>
      <w:r w:rsidR="00B37649" w:rsidRPr="006571AC">
        <w:rPr>
          <w:rFonts w:hint="cs"/>
          <w:rtl/>
        </w:rPr>
        <w:t>َ</w:t>
      </w:r>
      <w:r w:rsidRPr="006571AC">
        <w:rPr>
          <w:rtl/>
        </w:rPr>
        <w:t>ن</w:t>
      </w:r>
      <w:r w:rsidR="00B37649" w:rsidRPr="006571AC">
        <w:rPr>
          <w:rFonts w:hint="cs"/>
          <w:rtl/>
        </w:rPr>
        <w:t>ْ</w:t>
      </w:r>
      <w:r w:rsidRPr="006571AC">
        <w:rPr>
          <w:rtl/>
        </w:rPr>
        <w:t>ك</w:t>
      </w:r>
      <w:r w:rsidR="00B37649" w:rsidRPr="006571AC">
        <w:rPr>
          <w:rFonts w:hint="cs"/>
          <w:rtl/>
        </w:rPr>
        <w:t>َ</w:t>
      </w:r>
      <w:r w:rsidRPr="006571AC">
        <w:rPr>
          <w:rtl/>
        </w:rPr>
        <w:t>را</w:t>
      </w:r>
      <w:r w:rsidR="00B37649" w:rsidRPr="006571AC">
        <w:rPr>
          <w:rFonts w:hint="cs"/>
          <w:rtl/>
        </w:rPr>
        <w:t>ً</w:t>
      </w:r>
      <w:r w:rsidRPr="006571AC">
        <w:rPr>
          <w:rtl/>
        </w:rPr>
        <w:t xml:space="preserve"> اجتماعي</w:t>
      </w:r>
      <w:r w:rsidR="00B37649" w:rsidRPr="006571AC">
        <w:rPr>
          <w:rFonts w:hint="cs"/>
          <w:rtl/>
        </w:rPr>
        <w:t>ّ</w:t>
      </w:r>
      <w:r w:rsidRPr="006571AC">
        <w:rPr>
          <w:rtl/>
        </w:rPr>
        <w:t>ا</w:t>
      </w:r>
      <w:r w:rsidR="00B37649" w:rsidRPr="006571AC">
        <w:rPr>
          <w:rFonts w:hint="cs"/>
          <w:rtl/>
        </w:rPr>
        <w:t>ً</w:t>
      </w:r>
      <w:r w:rsidRPr="006571AC">
        <w:rPr>
          <w:rtl/>
        </w:rPr>
        <w:t>، فإن هذا الاستنكار الجماعي للقبيح وللمخالفة يشك</w:t>
      </w:r>
      <w:r w:rsidR="00B37649" w:rsidRPr="006571AC">
        <w:rPr>
          <w:rFonts w:hint="cs"/>
          <w:rtl/>
        </w:rPr>
        <w:t>ِّ</w:t>
      </w:r>
      <w:r w:rsidRPr="006571AC">
        <w:rPr>
          <w:rtl/>
        </w:rPr>
        <w:t>ل بذاته ضابطة</w:t>
      </w:r>
      <w:r w:rsidR="00B37649" w:rsidRPr="006571AC">
        <w:rPr>
          <w:rFonts w:hint="cs"/>
          <w:rtl/>
        </w:rPr>
        <w:t>ً</w:t>
      </w:r>
      <w:r w:rsidRPr="006571AC">
        <w:rPr>
          <w:rtl/>
        </w:rPr>
        <w:t xml:space="preserve"> للفرد وللمجتمع، تمنعه </w:t>
      </w:r>
      <w:r w:rsidR="00B37649" w:rsidRPr="006571AC">
        <w:rPr>
          <w:rFonts w:hint="cs"/>
          <w:rtl/>
        </w:rPr>
        <w:t xml:space="preserve">ـ </w:t>
      </w:r>
      <w:r w:rsidRPr="006571AC">
        <w:rPr>
          <w:rtl/>
        </w:rPr>
        <w:t>حت</w:t>
      </w:r>
      <w:r w:rsidR="00B37649" w:rsidRPr="006571AC">
        <w:rPr>
          <w:rFonts w:hint="cs"/>
          <w:rtl/>
        </w:rPr>
        <w:t>ّ</w:t>
      </w:r>
      <w:r w:rsidRPr="006571AC">
        <w:rPr>
          <w:rtl/>
        </w:rPr>
        <w:t>ى مع عدم وجود رقيب</w:t>
      </w:r>
      <w:r w:rsidR="00B37649" w:rsidRPr="006571AC">
        <w:rPr>
          <w:rFonts w:hint="cs"/>
          <w:rtl/>
        </w:rPr>
        <w:t>ٍ ـ</w:t>
      </w:r>
      <w:r w:rsidRPr="006571AC">
        <w:rPr>
          <w:rtl/>
        </w:rPr>
        <w:t xml:space="preserve"> من ارتكاب القبيح أو مخالفة القانون</w:t>
      </w:r>
      <w:r w:rsidR="00B37649" w:rsidRPr="006571AC">
        <w:rPr>
          <w:rFonts w:hint="cs"/>
          <w:rtl/>
        </w:rPr>
        <w:t>؛</w:t>
      </w:r>
      <w:r w:rsidRPr="006571AC">
        <w:rPr>
          <w:rtl/>
        </w:rPr>
        <w:t xml:space="preserve"> تحس</w:t>
      </w:r>
      <w:r w:rsidR="00B37649" w:rsidRPr="006571AC">
        <w:rPr>
          <w:rFonts w:hint="cs"/>
          <w:rtl/>
        </w:rPr>
        <w:t>ُّ</w:t>
      </w:r>
      <w:r w:rsidRPr="006571AC">
        <w:rPr>
          <w:rtl/>
        </w:rPr>
        <w:t>با</w:t>
      </w:r>
      <w:r w:rsidR="00B37649" w:rsidRPr="006571AC">
        <w:rPr>
          <w:rFonts w:hint="cs"/>
          <w:rtl/>
        </w:rPr>
        <w:t>ً</w:t>
      </w:r>
      <w:r w:rsidRPr="006571AC">
        <w:rPr>
          <w:rtl/>
        </w:rPr>
        <w:t xml:space="preserve"> لاستنكار المجتمع</w:t>
      </w:r>
      <w:r w:rsidR="00B37649" w:rsidRPr="006571AC">
        <w:rPr>
          <w:rFonts w:hint="cs"/>
          <w:rtl/>
        </w:rPr>
        <w:t>،</w:t>
      </w:r>
      <w:r w:rsidRPr="006571AC">
        <w:rPr>
          <w:rtl/>
        </w:rPr>
        <w:t xml:space="preserve"> ولع</w:t>
      </w:r>
      <w:r w:rsidR="00B87364" w:rsidRPr="006571AC">
        <w:rPr>
          <w:rFonts w:hint="cs"/>
          <w:rtl/>
        </w:rPr>
        <w:t>َ</w:t>
      </w:r>
      <w:r w:rsidRPr="006571AC">
        <w:rPr>
          <w:rtl/>
        </w:rPr>
        <w:t>ز</w:t>
      </w:r>
      <w:r w:rsidR="00B87364" w:rsidRPr="006571AC">
        <w:rPr>
          <w:rFonts w:hint="cs"/>
          <w:rtl/>
        </w:rPr>
        <w:t>ْ</w:t>
      </w:r>
      <w:r w:rsidRPr="006571AC">
        <w:rPr>
          <w:rtl/>
        </w:rPr>
        <w:t>له اجتماعي</w:t>
      </w:r>
      <w:r w:rsidR="00B37649" w:rsidRPr="006571AC">
        <w:rPr>
          <w:rFonts w:hint="cs"/>
          <w:rtl/>
        </w:rPr>
        <w:t>ّ</w:t>
      </w:r>
      <w:r w:rsidRPr="006571AC">
        <w:rPr>
          <w:rtl/>
        </w:rPr>
        <w:t>ا</w:t>
      </w:r>
      <w:r w:rsidR="00B37649" w:rsidRPr="006571AC">
        <w:rPr>
          <w:rFonts w:hint="cs"/>
          <w:rtl/>
        </w:rPr>
        <w:t>ً</w:t>
      </w:r>
      <w:r w:rsidRPr="006571AC">
        <w:rPr>
          <w:rtl/>
        </w:rPr>
        <w:t>، ولحوق العار الاجتماعي به</w:t>
      </w:r>
      <w:r w:rsidR="00B37649" w:rsidRPr="006571AC">
        <w:rPr>
          <w:rFonts w:hint="cs"/>
          <w:rtl/>
        </w:rPr>
        <w:t>؛</w:t>
      </w:r>
      <w:r w:rsidRPr="006571AC">
        <w:rPr>
          <w:rtl/>
        </w:rPr>
        <w:t xml:space="preserve"> نتيجة هذا الانتهاك المخالف للضمير الأخلاقي الاجتماعي. </w:t>
      </w:r>
    </w:p>
    <w:p w:rsidR="00E83C22" w:rsidRPr="006571AC" w:rsidRDefault="0001386F" w:rsidP="00D259C9">
      <w:pPr>
        <w:rPr>
          <w:rtl/>
        </w:rPr>
      </w:pPr>
      <w:r w:rsidRPr="006571AC">
        <w:rPr>
          <w:rFonts w:hint="cs"/>
          <w:rtl/>
        </w:rPr>
        <w:t>يقد</w:t>
      </w:r>
      <w:r w:rsidR="00B37649" w:rsidRPr="006571AC">
        <w:rPr>
          <w:rFonts w:hint="cs"/>
          <w:rtl/>
        </w:rPr>
        <w:t>ِّ</w:t>
      </w:r>
      <w:r w:rsidRPr="006571AC">
        <w:rPr>
          <w:rFonts w:hint="cs"/>
          <w:rtl/>
        </w:rPr>
        <w:t>م الشهيد مرتضى مطه</w:t>
      </w:r>
      <w:r w:rsidR="00B37649" w:rsidRPr="006571AC">
        <w:rPr>
          <w:rFonts w:hint="cs"/>
          <w:rtl/>
        </w:rPr>
        <w:t>َّ</w:t>
      </w:r>
      <w:r w:rsidRPr="006571AC">
        <w:rPr>
          <w:rFonts w:hint="cs"/>
          <w:rtl/>
        </w:rPr>
        <w:t>ري تصو</w:t>
      </w:r>
      <w:r w:rsidR="00B37649" w:rsidRPr="006571AC">
        <w:rPr>
          <w:rFonts w:hint="cs"/>
          <w:rtl/>
        </w:rPr>
        <w:t>ُّ</w:t>
      </w:r>
      <w:r w:rsidRPr="006571AC">
        <w:rPr>
          <w:rFonts w:hint="cs"/>
          <w:rtl/>
        </w:rPr>
        <w:t>ره عن العالم وفق صورته التوحيدي</w:t>
      </w:r>
      <w:r w:rsidR="00B87364" w:rsidRPr="006571AC">
        <w:rPr>
          <w:rFonts w:hint="cs"/>
          <w:rtl/>
        </w:rPr>
        <w:t>ّ</w:t>
      </w:r>
      <w:r w:rsidRPr="006571AC">
        <w:rPr>
          <w:rFonts w:hint="cs"/>
          <w:rtl/>
        </w:rPr>
        <w:t>ة له</w:t>
      </w:r>
      <w:r w:rsidR="00B37649" w:rsidRPr="006571AC">
        <w:rPr>
          <w:rFonts w:hint="cs"/>
          <w:rtl/>
        </w:rPr>
        <w:t>؛</w:t>
      </w:r>
      <w:r w:rsidRPr="006571AC">
        <w:rPr>
          <w:rFonts w:hint="cs"/>
          <w:rtl/>
        </w:rPr>
        <w:t xml:space="preserve"> إذ يرجع البشر كل</w:t>
      </w:r>
      <w:r w:rsidR="00B37649" w:rsidRPr="006571AC">
        <w:rPr>
          <w:rFonts w:hint="cs"/>
          <w:rtl/>
        </w:rPr>
        <w:t>ّ</w:t>
      </w:r>
      <w:r w:rsidRPr="006571AC">
        <w:rPr>
          <w:rFonts w:hint="cs"/>
          <w:rtl/>
        </w:rPr>
        <w:t>هم إلى قطب</w:t>
      </w:r>
      <w:r w:rsidR="00B37649" w:rsidRPr="006571AC">
        <w:rPr>
          <w:rFonts w:hint="cs"/>
          <w:rtl/>
        </w:rPr>
        <w:t>ٍ</w:t>
      </w:r>
      <w:r w:rsidRPr="006571AC">
        <w:rPr>
          <w:rFonts w:hint="cs"/>
          <w:rtl/>
        </w:rPr>
        <w:t xml:space="preserve"> واحد، هو مصدر</w:t>
      </w:r>
      <w:r w:rsidR="00B37649" w:rsidRPr="006571AC">
        <w:rPr>
          <w:rFonts w:hint="cs"/>
          <w:rtl/>
        </w:rPr>
        <w:t>ٌ</w:t>
      </w:r>
      <w:r w:rsidRPr="006571AC">
        <w:rPr>
          <w:rFonts w:hint="cs"/>
          <w:rtl/>
        </w:rPr>
        <w:t xml:space="preserve"> أصيل للتقنين الأخلاقي من جهة</w:t>
      </w:r>
      <w:r w:rsidR="00B37649" w:rsidRPr="006571AC">
        <w:rPr>
          <w:rFonts w:hint="cs"/>
          <w:rtl/>
        </w:rPr>
        <w:t>ٍ</w:t>
      </w:r>
      <w:r w:rsidRPr="006571AC">
        <w:rPr>
          <w:rFonts w:hint="cs"/>
          <w:rtl/>
        </w:rPr>
        <w:t>، وسبب</w:t>
      </w:r>
      <w:r w:rsidR="00B37649" w:rsidRPr="006571AC">
        <w:rPr>
          <w:rFonts w:hint="cs"/>
          <w:rtl/>
        </w:rPr>
        <w:t>ٌ</w:t>
      </w:r>
      <w:r w:rsidRPr="006571AC">
        <w:rPr>
          <w:rFonts w:hint="cs"/>
          <w:rtl/>
        </w:rPr>
        <w:t xml:space="preserve"> رئيس للانضباط الأخلاقي، بل هو الأصل في قاعدة الإلزام في تطبيق القانون</w:t>
      </w:r>
      <w:r w:rsidR="00B37649" w:rsidRPr="006571AC">
        <w:rPr>
          <w:rFonts w:hint="cs"/>
          <w:rtl/>
        </w:rPr>
        <w:t>،</w:t>
      </w:r>
      <w:r w:rsidRPr="006571AC">
        <w:rPr>
          <w:rFonts w:hint="cs"/>
          <w:rtl/>
        </w:rPr>
        <w:t xml:space="preserve"> وخاص</w:t>
      </w:r>
      <w:r w:rsidR="00B37649" w:rsidRPr="006571AC">
        <w:rPr>
          <w:rFonts w:hint="cs"/>
          <w:rtl/>
        </w:rPr>
        <w:t>ّ</w:t>
      </w:r>
      <w:r w:rsidRPr="006571AC">
        <w:rPr>
          <w:rFonts w:hint="cs"/>
          <w:rtl/>
        </w:rPr>
        <w:t>ة الأخلاقي منه، وهو الله. فهو يقد</w:t>
      </w:r>
      <w:r w:rsidR="00B37649" w:rsidRPr="006571AC">
        <w:rPr>
          <w:rFonts w:hint="cs"/>
          <w:rtl/>
        </w:rPr>
        <w:t>ِّ</w:t>
      </w:r>
      <w:r w:rsidRPr="006571AC">
        <w:rPr>
          <w:rFonts w:hint="cs"/>
          <w:rtl/>
        </w:rPr>
        <w:t>م هذا التصو</w:t>
      </w:r>
      <w:r w:rsidR="00B37649" w:rsidRPr="006571AC">
        <w:rPr>
          <w:rFonts w:hint="cs"/>
          <w:rtl/>
        </w:rPr>
        <w:t>ُّر</w:t>
      </w:r>
      <w:r w:rsidRPr="006571AC">
        <w:rPr>
          <w:rFonts w:hint="cs"/>
          <w:rtl/>
        </w:rPr>
        <w:t xml:space="preserve"> التوحيدي للعالم، ويؤس</w:t>
      </w:r>
      <w:r w:rsidR="00B37649" w:rsidRPr="006571AC">
        <w:rPr>
          <w:rFonts w:hint="cs"/>
          <w:rtl/>
        </w:rPr>
        <w:t>ِّ</w:t>
      </w:r>
      <w:r w:rsidRPr="006571AC">
        <w:rPr>
          <w:rFonts w:hint="cs"/>
          <w:rtl/>
        </w:rPr>
        <w:t>س لهذه الفكرة المهم</w:t>
      </w:r>
      <w:r w:rsidR="00B37649" w:rsidRPr="006571AC">
        <w:rPr>
          <w:rFonts w:hint="cs"/>
          <w:rtl/>
        </w:rPr>
        <w:t>ّ</w:t>
      </w:r>
      <w:r w:rsidRPr="006571AC">
        <w:rPr>
          <w:rFonts w:hint="cs"/>
          <w:rtl/>
        </w:rPr>
        <w:t>ة منهجي</w:t>
      </w:r>
      <w:r w:rsidR="00B37649" w:rsidRPr="006571AC">
        <w:rPr>
          <w:rFonts w:hint="cs"/>
          <w:rtl/>
        </w:rPr>
        <w:t>ّ</w:t>
      </w:r>
      <w:r w:rsidRPr="006571AC">
        <w:rPr>
          <w:rFonts w:hint="cs"/>
          <w:rtl/>
        </w:rPr>
        <w:t>ا</w:t>
      </w:r>
      <w:r w:rsidR="00B37649" w:rsidRPr="006571AC">
        <w:rPr>
          <w:rFonts w:hint="cs"/>
          <w:rtl/>
        </w:rPr>
        <w:t>ً</w:t>
      </w:r>
      <w:r w:rsidRPr="006571AC">
        <w:rPr>
          <w:rFonts w:hint="cs"/>
          <w:rtl/>
        </w:rPr>
        <w:t xml:space="preserve"> في فلسفة الأخلاق، ومصداقا</w:t>
      </w:r>
      <w:r w:rsidR="00B37649" w:rsidRPr="006571AC">
        <w:rPr>
          <w:rFonts w:hint="cs"/>
          <w:rtl/>
        </w:rPr>
        <w:t>ً</w:t>
      </w:r>
      <w:r w:rsidRPr="006571AC">
        <w:rPr>
          <w:rFonts w:hint="cs"/>
          <w:rtl/>
        </w:rPr>
        <w:t xml:space="preserve"> رصينا</w:t>
      </w:r>
      <w:r w:rsidR="00B37649" w:rsidRPr="006571AC">
        <w:rPr>
          <w:rFonts w:hint="cs"/>
          <w:rtl/>
        </w:rPr>
        <w:t>ً</w:t>
      </w:r>
      <w:r w:rsidRPr="006571AC">
        <w:rPr>
          <w:rFonts w:hint="cs"/>
          <w:rtl/>
        </w:rPr>
        <w:t xml:space="preserve"> للتصو</w:t>
      </w:r>
      <w:r w:rsidR="00B37649" w:rsidRPr="006571AC">
        <w:rPr>
          <w:rFonts w:hint="cs"/>
          <w:rtl/>
        </w:rPr>
        <w:t>ُّ</w:t>
      </w:r>
      <w:r w:rsidRPr="006571AC">
        <w:rPr>
          <w:rFonts w:hint="cs"/>
          <w:rtl/>
        </w:rPr>
        <w:t>ر التوحيدي للعالم.</w:t>
      </w:r>
    </w:p>
    <w:p w:rsidR="00E83C22" w:rsidRPr="006571AC" w:rsidRDefault="00E83C22" w:rsidP="00D259C9">
      <w:pPr>
        <w:rPr>
          <w:rtl/>
        </w:rPr>
      </w:pPr>
    </w:p>
    <w:p w:rsidR="00E83C22" w:rsidRPr="006571AC" w:rsidRDefault="00E83C22" w:rsidP="00D259C9">
      <w:pPr>
        <w:rPr>
          <w:rtl/>
        </w:rPr>
      </w:pPr>
    </w:p>
    <w:p w:rsidR="001069FB" w:rsidRPr="006571AC" w:rsidRDefault="001069FB" w:rsidP="00D259C9">
      <w:pPr>
        <w:rPr>
          <w:rtl/>
        </w:rPr>
      </w:pPr>
    </w:p>
    <w:p w:rsidR="001069FB" w:rsidRPr="006571AC" w:rsidRDefault="001069FB" w:rsidP="00D259C9">
      <w:pPr>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lastRenderedPageBreak/>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143"/>
          <w:headerReference w:type="default" r:id="rId144"/>
          <w:footerReference w:type="even" r:id="rId145"/>
          <w:footerReference w:type="default" r:id="rId14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147"/>
          <w:headerReference w:type="default" r:id="rId148"/>
          <w:footerReference w:type="even" r:id="rId149"/>
          <w:footerReference w:type="default" r:id="rId150"/>
          <w:headerReference w:type="first" r:id="rId151"/>
          <w:endnotePr>
            <w:numFmt w:val="decimal"/>
            <w:numRestart w:val="eachSect"/>
          </w:endnotePr>
          <w:type w:val="continuous"/>
          <w:pgSz w:w="11907" w:h="16840" w:code="9"/>
          <w:pgMar w:top="2637" w:right="2438" w:bottom="3686" w:left="2438" w:header="2268" w:footer="3119" w:gutter="0"/>
          <w:cols w:space="720"/>
          <w:titlePg/>
          <w:docGrid w:linePitch="360"/>
        </w:sectPr>
      </w:pPr>
    </w:p>
    <w:p w:rsidR="004C442D" w:rsidRPr="006571AC" w:rsidRDefault="004C442D" w:rsidP="001069FB">
      <w:pPr>
        <w:spacing w:line="510" w:lineRule="exact"/>
        <w:rPr>
          <w:rtl/>
        </w:rPr>
      </w:pPr>
    </w:p>
    <w:p w:rsidR="004C442D" w:rsidRPr="006571AC" w:rsidRDefault="004C442D" w:rsidP="001069FB">
      <w:pPr>
        <w:spacing w:line="500" w:lineRule="exact"/>
        <w:rPr>
          <w:rtl/>
        </w:rPr>
      </w:pPr>
    </w:p>
    <w:p w:rsidR="00E83C22" w:rsidRPr="006571AC" w:rsidRDefault="00877778" w:rsidP="00877778">
      <w:pPr>
        <w:pStyle w:val="10"/>
        <w:spacing w:line="216" w:lineRule="auto"/>
        <w:rPr>
          <w:rtl/>
          <w:lang w:bidi="ar-SY"/>
        </w:rPr>
      </w:pPr>
      <w:bookmarkStart w:id="434" w:name="_Toc114164842"/>
      <w:r w:rsidRPr="006571AC">
        <w:rPr>
          <w:rFonts w:hint="cs"/>
          <w:rtl/>
          <w:lang w:bidi="ar-SY"/>
        </w:rPr>
        <w:t>التربية الاجتماعي</w:t>
      </w:r>
      <w:r w:rsidR="00A86073" w:rsidRPr="006571AC">
        <w:rPr>
          <w:rFonts w:hint="cs"/>
          <w:rtl/>
          <w:lang w:bidi="ar-SY"/>
        </w:rPr>
        <w:t>ّ</w:t>
      </w:r>
      <w:r w:rsidRPr="006571AC">
        <w:rPr>
          <w:rFonts w:hint="cs"/>
          <w:rtl/>
          <w:lang w:bidi="ar-SY"/>
        </w:rPr>
        <w:t>ة والنفسي</w:t>
      </w:r>
      <w:r w:rsidR="00A86073" w:rsidRPr="006571AC">
        <w:rPr>
          <w:rFonts w:hint="cs"/>
          <w:rtl/>
          <w:lang w:bidi="ar-SY"/>
        </w:rPr>
        <w:t>ّ</w:t>
      </w:r>
      <w:r w:rsidRPr="006571AC">
        <w:rPr>
          <w:rFonts w:hint="cs"/>
          <w:rtl/>
          <w:lang w:bidi="ar-SY"/>
        </w:rPr>
        <w:t>ة للفرد المسلم</w:t>
      </w:r>
      <w:bookmarkEnd w:id="434"/>
    </w:p>
    <w:p w:rsidR="00E83C22" w:rsidRPr="006571AC" w:rsidRDefault="00360D88" w:rsidP="004C442D">
      <w:pPr>
        <w:pStyle w:val="10"/>
        <w:rPr>
          <w:sz w:val="42"/>
          <w:szCs w:val="42"/>
          <w:rtl/>
        </w:rPr>
      </w:pPr>
      <w:bookmarkStart w:id="435" w:name="_Toc114164843"/>
      <w:r w:rsidRPr="006571AC">
        <w:rPr>
          <w:rFonts w:hint="cs"/>
          <w:sz w:val="42"/>
          <w:szCs w:val="42"/>
          <w:rtl/>
        </w:rPr>
        <w:t>مطالعةٌ</w:t>
      </w:r>
      <w:r w:rsidR="00877778" w:rsidRPr="006571AC">
        <w:rPr>
          <w:rFonts w:hint="cs"/>
          <w:sz w:val="42"/>
          <w:szCs w:val="42"/>
          <w:rtl/>
        </w:rPr>
        <w:t xml:space="preserve"> في المقوّ</w:t>
      </w:r>
      <w:r w:rsidR="00A86073" w:rsidRPr="006571AC">
        <w:rPr>
          <w:rFonts w:hint="cs"/>
          <w:sz w:val="42"/>
          <w:szCs w:val="42"/>
          <w:rtl/>
        </w:rPr>
        <w:t>ِ</w:t>
      </w:r>
      <w:r w:rsidR="00877778" w:rsidRPr="006571AC">
        <w:rPr>
          <w:rFonts w:hint="cs"/>
          <w:sz w:val="42"/>
          <w:szCs w:val="42"/>
          <w:rtl/>
        </w:rPr>
        <w:t>مات والوظيفة والدَّوْر</w:t>
      </w:r>
      <w:bookmarkEnd w:id="435"/>
    </w:p>
    <w:p w:rsidR="00E83C22" w:rsidRPr="006571AC" w:rsidRDefault="00E83C22" w:rsidP="00E83C22">
      <w:pPr>
        <w:spacing w:line="300" w:lineRule="exact"/>
        <w:rPr>
          <w:rtl/>
        </w:rPr>
      </w:pPr>
    </w:p>
    <w:p w:rsidR="00E83C22" w:rsidRPr="006571AC" w:rsidRDefault="00877778" w:rsidP="00877778">
      <w:pPr>
        <w:pStyle w:val="Author"/>
        <w:rPr>
          <w:rtl/>
        </w:rPr>
      </w:pPr>
      <w:r w:rsidRPr="006571AC">
        <w:rPr>
          <w:rFonts w:hint="cs"/>
          <w:rtl/>
          <w:lang w:bidi="ar-SY"/>
        </w:rPr>
        <w:t>أ. نبيل علي صالح</w:t>
      </w:r>
      <w:r w:rsidR="00527634" w:rsidRPr="006571AC">
        <w:rPr>
          <w:rFonts w:cs="Taher" w:hint="cs"/>
          <w:vertAlign w:val="superscript"/>
          <w:rtl/>
        </w:rPr>
        <w:t>(</w:t>
      </w:r>
      <w:r w:rsidR="00527634" w:rsidRPr="006571AC">
        <w:rPr>
          <w:rFonts w:cs="Taher"/>
          <w:vertAlign w:val="superscript"/>
          <w:rtl/>
        </w:rPr>
        <w:footnoteReference w:customMarkFollows="1" w:id="19"/>
        <w:t>*)</w:t>
      </w:r>
    </w:p>
    <w:p w:rsidR="00E83C22" w:rsidRPr="006571AC" w:rsidRDefault="00E83C22" w:rsidP="00E83C22">
      <w:pPr>
        <w:spacing w:line="300" w:lineRule="exact"/>
        <w:rPr>
          <w:rtl/>
        </w:rPr>
      </w:pPr>
    </w:p>
    <w:p w:rsidR="00373A12" w:rsidRPr="006571AC" w:rsidRDefault="00731867"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لا شَكَّ</w:t>
      </w:r>
      <w:r w:rsidR="00373A12" w:rsidRPr="006571AC">
        <w:rPr>
          <w:rFonts w:ascii="Simplified Arabic" w:hAnsi="Simplified Arabic" w:hint="cs"/>
          <w:sz w:val="27"/>
          <w:rtl/>
          <w:lang w:bidi="ar-SY"/>
        </w:rPr>
        <w:t xml:space="preserve"> بأنّ بناءَ الإنسان، وتأهيلَه التأهيلَ النفسي والفكري والأخلاقي والعملي و </w:t>
      </w:r>
      <w:r w:rsidR="00373A12" w:rsidRPr="006571AC">
        <w:rPr>
          <w:rFonts w:hint="eastAsia"/>
          <w:sz w:val="24"/>
          <w:szCs w:val="24"/>
          <w:rtl/>
          <w:lang w:bidi="ar-SY"/>
        </w:rPr>
        <w:t>«</w:t>
      </w:r>
      <w:r w:rsidR="00373A12" w:rsidRPr="006571AC">
        <w:rPr>
          <w:rFonts w:ascii="Simplified Arabic" w:hAnsi="Simplified Arabic" w:hint="cs"/>
          <w:sz w:val="27"/>
          <w:rtl/>
          <w:lang w:bidi="ar-SY"/>
        </w:rPr>
        <w:t>المهاراتي</w:t>
      </w:r>
      <w:r w:rsidR="00373A12" w:rsidRPr="006571AC">
        <w:rPr>
          <w:rFonts w:hint="eastAsia"/>
          <w:sz w:val="24"/>
          <w:szCs w:val="24"/>
          <w:rtl/>
        </w:rPr>
        <w:t>»</w:t>
      </w:r>
      <w:r w:rsidR="00122A66" w:rsidRPr="006571AC">
        <w:rPr>
          <w:rFonts w:ascii="Simplified Arabic" w:hAnsi="Simplified Arabic" w:hint="cs"/>
          <w:sz w:val="27"/>
          <w:rtl/>
          <w:lang w:bidi="ar-SY"/>
        </w:rPr>
        <w:t xml:space="preserve"> (منذ بداية نشأت</w:t>
      </w:r>
      <w:r w:rsidR="00373A12" w:rsidRPr="006571AC">
        <w:rPr>
          <w:rFonts w:ascii="Simplified Arabic" w:hAnsi="Simplified Arabic" w:hint="cs"/>
          <w:sz w:val="27"/>
          <w:rtl/>
          <w:lang w:bidi="ar-SY"/>
        </w:rPr>
        <w:t>ه الأسرية، وتفتّ</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حه وتعلُّمه، وعَيْشه الجماعي ضمن مجتمع</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قائم</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على منظومة ق</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ي</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م</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اجتماعية أخلاقية ومبادئ سلوك عملية معينة، واستظلاله بدولة</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تحكمها قوانين ومؤس</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سات وأنظمة معنى)</w:t>
      </w:r>
      <w:r w:rsidR="00045343"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أقول: </w:t>
      </w:r>
      <w:r w:rsidRPr="006571AC">
        <w:rPr>
          <w:rFonts w:ascii="Simplified Arabic" w:hAnsi="Simplified Arabic" w:hint="cs"/>
          <w:sz w:val="27"/>
          <w:rtl/>
          <w:lang w:bidi="ar-SY"/>
        </w:rPr>
        <w:t>لا شَكَّ</w:t>
      </w:r>
      <w:r w:rsidR="00373A12" w:rsidRPr="006571AC">
        <w:rPr>
          <w:rFonts w:ascii="Simplified Arabic" w:hAnsi="Simplified Arabic" w:hint="cs"/>
          <w:sz w:val="27"/>
          <w:rtl/>
          <w:lang w:bidi="ar-SY"/>
        </w:rPr>
        <w:t xml:space="preserve"> بأنّ بناء هذا الإنسان على أسس</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صحيحة وسليمة وهادفة من الق</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ي</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م الإنسانية والمبادئ الأخلاقية والمعايير السلوكية هو البداية الأولى المطلوبة لانطلاقته الصحيحة على طريق تكامله الروحي والماد</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ي</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للس</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ي</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ر به على طريق تفعيل وجوده الحي</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الفع</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ال والمنتج، واستثمار مواهبه وطاقاته الذاتية بما يضمن له تحقيق التقد</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م والازدهار الفردي والمجتمعي، وضمان سعادته ورفاهيته وسعادته في الدنيا، كمقد</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مة</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لسعادته في الآخرة. فالفرد الأخلاقي والمتوازن والحاصل على حقوقه هو أكثر ق</w:t>
      </w:r>
      <w:r w:rsidR="00373A12" w:rsidRPr="006571AC">
        <w:rPr>
          <w:rFonts w:ascii="Simplified Arabic" w:hAnsi="Simplified Arabic"/>
          <w:sz w:val="27"/>
          <w:rtl/>
          <w:lang w:bidi="ar-SY"/>
        </w:rPr>
        <w:t xml:space="preserve">درةً وفاعليةً على العطاء والإنتاج والثبات في أرض المواجهات. </w:t>
      </w:r>
    </w:p>
    <w:p w:rsidR="00373A12" w:rsidRPr="006571AC" w:rsidRDefault="00373A12"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من هنا تبدأ أو</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ل مرحلة</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مراحل تطو</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ر الشعوب والحضارات، وس</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ع</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يها لتحقيق ازدهارها وسعادتها الحياتية</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وهذه المرحلة الأولى هي مرحلة </w:t>
      </w:r>
      <w:r w:rsidRPr="006571AC">
        <w:rPr>
          <w:rFonts w:hint="eastAsia"/>
          <w:sz w:val="24"/>
          <w:szCs w:val="24"/>
          <w:rtl/>
          <w:lang w:bidi="ar-SY"/>
        </w:rPr>
        <w:t>«</w:t>
      </w:r>
      <w:r w:rsidRPr="006571AC">
        <w:rPr>
          <w:rFonts w:ascii="Simplified Arabic" w:hAnsi="Simplified Arabic" w:hint="cs"/>
          <w:sz w:val="27"/>
          <w:rtl/>
          <w:lang w:bidi="ar-SY"/>
        </w:rPr>
        <w:t>البناء التربوي</w:t>
      </w:r>
      <w:r w:rsidRPr="006571AC">
        <w:rPr>
          <w:rFonts w:hint="eastAsia"/>
          <w:sz w:val="24"/>
          <w:szCs w:val="24"/>
          <w:rtl/>
        </w:rPr>
        <w:t>»</w:t>
      </w:r>
      <w:r w:rsidRPr="006571AC">
        <w:rPr>
          <w:rFonts w:ascii="Simplified Arabic" w:hAnsi="Simplified Arabic"/>
          <w:sz w:val="27"/>
          <w:vertAlign w:val="superscript"/>
          <w:rtl/>
          <w:lang w:bidi="ar-SY"/>
        </w:rPr>
        <w:t>(</w:t>
      </w:r>
      <w:r w:rsidRPr="006571AC">
        <w:rPr>
          <w:rStyle w:val="ac"/>
          <w:rFonts w:ascii="Simplified Arabic" w:hAnsi="Simplified Arabic"/>
          <w:sz w:val="27"/>
          <w:rtl/>
          <w:lang w:bidi="ar-SY"/>
        </w:rPr>
        <w:endnoteReference w:id="725"/>
      </w:r>
      <w:r w:rsidRPr="006571AC">
        <w:rPr>
          <w:rFonts w:ascii="Simplified Arabic" w:hAnsi="Simplified Arabic"/>
          <w:sz w:val="27"/>
          <w:vertAlign w:val="superscript"/>
          <w:rtl/>
          <w:lang w:bidi="ar-SY"/>
        </w:rPr>
        <w:t>)</w:t>
      </w:r>
      <w:r w:rsidRPr="006571AC">
        <w:rPr>
          <w:rFonts w:ascii="Simplified Arabic" w:hAnsi="Simplified Arabic" w:hint="cs"/>
          <w:sz w:val="27"/>
          <w:rtl/>
          <w:lang w:bidi="ar-SY"/>
        </w:rPr>
        <w:t xml:space="preserve"> للفرد والجماعة البشرية</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 xml:space="preserve"> حيث </w:t>
      </w:r>
      <w:r w:rsidR="00122A66" w:rsidRPr="006571AC">
        <w:rPr>
          <w:rFonts w:ascii="Simplified Arabic" w:hAnsi="Simplified Arabic" w:hint="cs"/>
          <w:sz w:val="27"/>
          <w:rtl/>
          <w:lang w:bidi="ar-SY"/>
        </w:rPr>
        <w:t>إ</w:t>
      </w:r>
      <w:r w:rsidRPr="006571AC">
        <w:rPr>
          <w:rFonts w:ascii="Simplified Arabic" w:hAnsi="Simplified Arabic" w:hint="cs"/>
          <w:sz w:val="27"/>
          <w:rtl/>
          <w:lang w:bidi="ar-SY"/>
        </w:rPr>
        <w:t>ن الفرد هو ج</w:t>
      </w:r>
      <w:r w:rsidR="00045343" w:rsidRPr="006571AC">
        <w:rPr>
          <w:rFonts w:ascii="Simplified Arabic" w:hAnsi="Simplified Arabic" w:hint="cs"/>
          <w:sz w:val="27"/>
          <w:rtl/>
          <w:lang w:bidi="ar-SY"/>
        </w:rPr>
        <w:t>َ</w:t>
      </w:r>
      <w:r w:rsidRPr="006571AC">
        <w:rPr>
          <w:rFonts w:ascii="Simplified Arabic" w:hAnsi="Simplified Arabic" w:hint="cs"/>
          <w:sz w:val="27"/>
          <w:rtl/>
          <w:lang w:bidi="ar-SY"/>
        </w:rPr>
        <w:t>و</w:t>
      </w:r>
      <w:r w:rsidR="00045343" w:rsidRPr="006571AC">
        <w:rPr>
          <w:rFonts w:ascii="Simplified Arabic" w:hAnsi="Simplified Arabic" w:hint="cs"/>
          <w:sz w:val="27"/>
          <w:rtl/>
          <w:lang w:bidi="ar-SY"/>
        </w:rPr>
        <w:t>ْ</w:t>
      </w:r>
      <w:r w:rsidRPr="006571AC">
        <w:rPr>
          <w:rFonts w:ascii="Simplified Arabic" w:hAnsi="Simplified Arabic" w:hint="cs"/>
          <w:sz w:val="27"/>
          <w:rtl/>
          <w:lang w:bidi="ar-SY"/>
        </w:rPr>
        <w:t>هر الوجود وغاية الحياة ومنطلقها، والجماعة هي الكتلة الاجتماعية ـ البشرية الق</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ي</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مية والفكرية والسياسية،</w:t>
      </w:r>
      <w:r w:rsidR="00122A66" w:rsidRPr="006571AC">
        <w:rPr>
          <w:rFonts w:ascii="Simplified Arabic" w:hAnsi="Simplified Arabic" w:hint="cs"/>
          <w:sz w:val="27"/>
          <w:rtl/>
          <w:lang w:bidi="ar-SY"/>
        </w:rPr>
        <w:t xml:space="preserve"> </w:t>
      </w:r>
      <w:r w:rsidRPr="006571AC">
        <w:rPr>
          <w:rFonts w:ascii="Simplified Arabic" w:hAnsi="Simplified Arabic" w:hint="cs"/>
          <w:sz w:val="27"/>
          <w:rtl/>
          <w:lang w:bidi="ar-SY"/>
        </w:rPr>
        <w:t>التي تشك</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 xml:space="preserve">ل </w:t>
      </w:r>
      <w:r w:rsidRPr="006571AC">
        <w:rPr>
          <w:rFonts w:hint="eastAsia"/>
          <w:sz w:val="24"/>
          <w:szCs w:val="24"/>
          <w:rtl/>
          <w:lang w:bidi="ar-SY"/>
        </w:rPr>
        <w:t>«</w:t>
      </w:r>
      <w:r w:rsidRPr="006571AC">
        <w:rPr>
          <w:rFonts w:ascii="Simplified Arabic" w:hAnsi="Simplified Arabic" w:hint="cs"/>
          <w:sz w:val="27"/>
          <w:rtl/>
          <w:lang w:bidi="ar-SY"/>
        </w:rPr>
        <w:t>القو</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ة المحر</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كة</w:t>
      </w:r>
      <w:r w:rsidRPr="006571AC">
        <w:rPr>
          <w:rFonts w:hint="eastAsia"/>
          <w:sz w:val="24"/>
          <w:szCs w:val="24"/>
          <w:rtl/>
        </w:rPr>
        <w:t>»</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لتحقيق رسالة النهوض والبناء الحضاري المنتظر والمنشود. </w:t>
      </w:r>
    </w:p>
    <w:p w:rsidR="00373A12" w:rsidRPr="006571AC" w:rsidRDefault="00731867" w:rsidP="004F6064">
      <w:pPr>
        <w:pStyle w:val="af"/>
        <w:rPr>
          <w:rFonts w:ascii="Simplified Arabic" w:eastAsiaTheme="minorHAnsi" w:hAnsi="Simplified Arabic" w:cs="AL-Mohanad"/>
          <w:sz w:val="27"/>
          <w:szCs w:val="27"/>
          <w:rtl/>
          <w:lang w:bidi="ar-SY"/>
        </w:rPr>
      </w:pPr>
      <w:r w:rsidRPr="006571AC">
        <w:rPr>
          <w:rFonts w:ascii="Simplified Arabic" w:eastAsiaTheme="minorHAnsi" w:hAnsi="Simplified Arabic" w:cs="AL-Mohanad" w:hint="cs"/>
          <w:sz w:val="27"/>
          <w:szCs w:val="27"/>
          <w:rtl/>
          <w:lang w:bidi="ar-SY"/>
        </w:rPr>
        <w:lastRenderedPageBreak/>
        <w:t>إذن</w:t>
      </w:r>
      <w:r w:rsidR="00373A12" w:rsidRPr="006571AC">
        <w:rPr>
          <w:rFonts w:ascii="Simplified Arabic" w:eastAsiaTheme="minorHAnsi" w:hAnsi="Simplified Arabic" w:cs="AL-Mohanad" w:hint="cs"/>
          <w:sz w:val="27"/>
          <w:szCs w:val="27"/>
          <w:rtl/>
          <w:lang w:bidi="ar-SY"/>
        </w:rPr>
        <w:t xml:space="preserve"> لقضية التربي</w:t>
      </w:r>
      <w:r w:rsidR="00373A12" w:rsidRPr="006571AC">
        <w:rPr>
          <w:rFonts w:ascii="Simplified Arabic" w:eastAsiaTheme="minorHAnsi" w:hAnsi="Simplified Arabic" w:cs="AL-Mohanad" w:hint="eastAsia"/>
          <w:sz w:val="27"/>
          <w:szCs w:val="27"/>
          <w:rtl/>
          <w:lang w:bidi="ar-SY"/>
        </w:rPr>
        <w:t>ة</w:t>
      </w:r>
      <w:r w:rsidR="00373A12" w:rsidRPr="006571AC">
        <w:rPr>
          <w:rFonts w:ascii="Simplified Arabic" w:eastAsiaTheme="minorHAnsi" w:hAnsi="Simplified Arabic" w:cs="AL-Mohanad" w:hint="cs"/>
          <w:sz w:val="27"/>
          <w:szCs w:val="27"/>
          <w:rtl/>
          <w:lang w:bidi="ar-SY"/>
        </w:rPr>
        <w:t xml:space="preserve"> أهم</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ية حيوية كبرى في إعداد وتهيئة الفرد والمجتمع ككل</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ولها الأثر الأكبر في تفت</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ح مواهبه وتفت</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ق إبداعاته وإمكاناته الذاتية، والزج</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بقدراته ومهاراته على طريق</w:t>
      </w:r>
      <w:r w:rsidR="00936D90" w:rsidRPr="006571AC">
        <w:rPr>
          <w:rFonts w:ascii="Simplified Arabic" w:eastAsiaTheme="minorHAnsi" w:hAnsi="Simplified Arabic" w:cs="AL-Mohanad" w:hint="cs"/>
          <w:sz w:val="27"/>
          <w:szCs w:val="27"/>
          <w:rtl/>
          <w:lang w:bidi="ar-SY"/>
        </w:rPr>
        <w:t xml:space="preserve"> تقدُّ</w:t>
      </w:r>
      <w:r w:rsidR="00373A12" w:rsidRPr="006571AC">
        <w:rPr>
          <w:rFonts w:ascii="Simplified Arabic" w:eastAsiaTheme="minorHAnsi" w:hAnsi="Simplified Arabic" w:cs="AL-Mohanad" w:hint="cs"/>
          <w:sz w:val="27"/>
          <w:szCs w:val="27"/>
          <w:rtl/>
          <w:lang w:bidi="ar-SY"/>
        </w:rPr>
        <w:t>م الأمم ورفاهية الشعوب وازدهارها وتحقيقها لتكاملها الروحي والماد</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ي... والأمم</w:t>
      </w:r>
      <w:r w:rsidR="00045343"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الأكثر قدرة</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على إثبات ذاتها، من خلال الفعل والإنتاج والمبادرة والحضور في زمانها</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ماد</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ياً ومعنوياً، هي الأمم</w:t>
      </w:r>
      <w:r w:rsidR="00045343"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التي رك</w:t>
      </w:r>
      <w:r w:rsidR="00045343"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ز</w:t>
      </w:r>
      <w:r w:rsidR="00045343"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ت</w:t>
      </w:r>
      <w:r w:rsidR="00045343"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اهتمامها النوعي على موضوعة </w:t>
      </w:r>
      <w:r w:rsidR="00373A12" w:rsidRPr="006571AC">
        <w:rPr>
          <w:rFonts w:cs="AL-Mohanad" w:hint="eastAsia"/>
          <w:rtl/>
          <w:lang w:bidi="ar-SY"/>
        </w:rPr>
        <w:t>«</w:t>
      </w:r>
      <w:r w:rsidR="00373A12" w:rsidRPr="006571AC">
        <w:rPr>
          <w:rFonts w:ascii="Simplified Arabic" w:eastAsiaTheme="minorHAnsi" w:hAnsi="Simplified Arabic" w:cs="AL-Mohanad" w:hint="cs"/>
          <w:sz w:val="27"/>
          <w:szCs w:val="27"/>
          <w:rtl/>
          <w:lang w:bidi="ar-SY"/>
        </w:rPr>
        <w:t>التربية</w:t>
      </w:r>
      <w:r w:rsidR="00373A12" w:rsidRPr="006571AC">
        <w:rPr>
          <w:rFonts w:cs="AL-Mohanad" w:hint="eastAsia"/>
          <w:rtl/>
        </w:rPr>
        <w:t>»</w:t>
      </w:r>
      <w:r w:rsidR="00373A12" w:rsidRPr="006571AC">
        <w:rPr>
          <w:rFonts w:ascii="Simplified Arabic" w:eastAsiaTheme="minorHAnsi" w:hAnsi="Simplified Arabic" w:cs="AL-Mohanad" w:hint="cs"/>
          <w:sz w:val="27"/>
          <w:szCs w:val="27"/>
          <w:rtl/>
          <w:lang w:bidi="ar-SY"/>
        </w:rPr>
        <w:t>، تربية أفرادها ومواطنيها، منذ أن كانوا صغاراً، يتلقون</w:t>
      </w:r>
      <w:r w:rsidR="00936D90" w:rsidRPr="006571AC">
        <w:rPr>
          <w:rFonts w:ascii="Simplified Arabic" w:eastAsiaTheme="minorHAnsi" w:hAnsi="Simplified Arabic" w:cs="AL-Mohanad" w:hint="cs"/>
          <w:sz w:val="27"/>
          <w:szCs w:val="27"/>
          <w:rtl/>
          <w:lang w:bidi="ar-SY"/>
        </w:rPr>
        <w:t xml:space="preserve"> ـ </w:t>
      </w:r>
      <w:r w:rsidR="00373A12" w:rsidRPr="006571AC">
        <w:rPr>
          <w:rFonts w:ascii="Simplified Arabic" w:eastAsiaTheme="minorHAnsi" w:hAnsi="Simplified Arabic" w:cs="AL-Mohanad" w:hint="cs"/>
          <w:sz w:val="27"/>
          <w:szCs w:val="27"/>
          <w:rtl/>
          <w:lang w:bidi="ar-SY"/>
        </w:rPr>
        <w:t>مع الح</w:t>
      </w:r>
      <w:r w:rsidR="00936D90" w:rsidRPr="006571AC">
        <w:rPr>
          <w:rFonts w:ascii="Simplified Arabic" w:eastAsiaTheme="minorHAnsi" w:hAnsi="Simplified Arabic" w:cs="AL-Mohanad" w:hint="cs"/>
          <w:sz w:val="27"/>
          <w:szCs w:val="27"/>
          <w:rtl/>
          <w:lang w:bidi="ar-SY"/>
        </w:rPr>
        <w:t>ل</w:t>
      </w:r>
      <w:r w:rsidR="00373A12" w:rsidRPr="006571AC">
        <w:rPr>
          <w:rFonts w:ascii="Simplified Arabic" w:eastAsiaTheme="minorHAnsi" w:hAnsi="Simplified Arabic" w:cs="AL-Mohanad" w:hint="cs"/>
          <w:sz w:val="27"/>
          <w:szCs w:val="27"/>
          <w:rtl/>
          <w:lang w:bidi="ar-SY"/>
        </w:rPr>
        <w:t>يب ـ أ</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س</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س وشروط ومتطل</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بات وجودهم الحي</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الفع</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ال</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إعداداً وتربيةً للعقل والجسد، للروح والجسم، وتهذيباً للنفس</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وضبطاً معيارياً للسلوك، على ضوء الق</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ي</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م والمبادئ وطرائق التربية السليمة</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وأساليبها الصحيحة</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ومصادرها الأصيلة المنتقاة بعناية</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فائقة، بما يفضي أو</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لاً إلى بناء الفرد الفاعل والقادر والمنتج، الذي لا يفك</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ر سوى بالعقل، </w:t>
      </w:r>
      <w:r w:rsidR="00936D90" w:rsidRPr="006571AC">
        <w:rPr>
          <w:rFonts w:ascii="Simplified Arabic" w:eastAsiaTheme="minorHAnsi" w:hAnsi="Simplified Arabic" w:cs="AL-Mohanad" w:hint="cs"/>
          <w:sz w:val="27"/>
          <w:szCs w:val="27"/>
          <w:rtl/>
          <w:lang w:bidi="ar-SY"/>
        </w:rPr>
        <w:t>و</w:t>
      </w:r>
      <w:r w:rsidR="00373A12" w:rsidRPr="006571AC">
        <w:rPr>
          <w:rFonts w:ascii="Simplified Arabic" w:eastAsiaTheme="minorHAnsi" w:hAnsi="Simplified Arabic" w:cs="AL-Mohanad" w:hint="cs"/>
          <w:sz w:val="27"/>
          <w:szCs w:val="27"/>
          <w:rtl/>
          <w:lang w:bidi="ar-SY"/>
        </w:rPr>
        <w:t>يستهدي بالتجارب الحي</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ة، ويراكم الخبرات والمهارات</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وبما يفضي ثانياً إلى بناء مجتمع</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متطو</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ر وسعيد ومزدهر، يرفل أفراده بظلال الخير والمحب</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ة والتعاون والإنتاجية الحضارية المثمرة. </w:t>
      </w:r>
    </w:p>
    <w:p w:rsidR="00373A12" w:rsidRPr="006571AC" w:rsidRDefault="00936D90" w:rsidP="004F6064">
      <w:pPr>
        <w:pStyle w:val="af"/>
        <w:rPr>
          <w:rFonts w:ascii="Simplified Arabic" w:hAnsi="Simplified Arabic" w:cs="AL-Mohanad"/>
          <w:sz w:val="27"/>
          <w:szCs w:val="27"/>
          <w:rtl/>
        </w:rPr>
      </w:pPr>
      <w:r w:rsidRPr="006571AC">
        <w:rPr>
          <w:rFonts w:ascii="Simplified Arabic" w:hAnsi="Simplified Arabic" w:cs="AL-Mohanad" w:hint="cs"/>
          <w:sz w:val="27"/>
          <w:szCs w:val="27"/>
          <w:rtl/>
        </w:rPr>
        <w:t>والتربيةُ في الإسلام</w:t>
      </w:r>
      <w:r w:rsidR="00373A12" w:rsidRPr="006571AC">
        <w:rPr>
          <w:rFonts w:ascii="Simplified Arabic" w:hAnsi="Simplified Arabic" w:cs="AL-Mohanad" w:hint="cs"/>
          <w:sz w:val="27"/>
          <w:szCs w:val="27"/>
          <w:rtl/>
        </w:rPr>
        <w:t xml:space="preserve"> </w:t>
      </w:r>
      <w:r w:rsidR="00373A12" w:rsidRPr="006571AC">
        <w:rPr>
          <w:rFonts w:ascii="Simplified Arabic" w:hAnsi="Simplified Arabic" w:cs="AL-Mohanad"/>
          <w:sz w:val="27"/>
          <w:szCs w:val="27"/>
          <w:rtl/>
        </w:rPr>
        <w:t>تهذيب</w:t>
      </w:r>
      <w:r w:rsidR="00373A12" w:rsidRPr="006571AC">
        <w:rPr>
          <w:rFonts w:ascii="Simplified Arabic" w:hAnsi="Simplified Arabic" w:cs="AL-Mohanad" w:hint="cs"/>
          <w:sz w:val="27"/>
          <w:szCs w:val="27"/>
          <w:rtl/>
        </w:rPr>
        <w:t>ٌ</w:t>
      </w:r>
      <w:r w:rsidR="00373A12" w:rsidRPr="006571AC">
        <w:rPr>
          <w:rFonts w:ascii="Simplified Arabic" w:hAnsi="Simplified Arabic" w:cs="AL-Mohanad"/>
          <w:sz w:val="27"/>
          <w:szCs w:val="27"/>
          <w:rtl/>
        </w:rPr>
        <w:t xml:space="preserve"> </w:t>
      </w:r>
      <w:r w:rsidRPr="006571AC">
        <w:rPr>
          <w:rFonts w:ascii="Simplified Arabic" w:hAnsi="Simplified Arabic" w:cs="AL-Mohanad" w:hint="cs"/>
          <w:sz w:val="27"/>
          <w:szCs w:val="27"/>
          <w:rtl/>
        </w:rPr>
        <w:t>للنفس</w:t>
      </w:r>
      <w:r w:rsidR="00373A12" w:rsidRPr="006571AC">
        <w:rPr>
          <w:rFonts w:ascii="Simplified Arabic" w:hAnsi="Simplified Arabic" w:cs="AL-Mohanad" w:hint="cs"/>
          <w:sz w:val="27"/>
          <w:szCs w:val="27"/>
          <w:rtl/>
        </w:rPr>
        <w:t xml:space="preserve"> والسلوك بناءً على مقتضيات الق</w:t>
      </w:r>
      <w:r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w:t>
      </w:r>
      <w:r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م المرجعية والمعايير الأخلاقية الإسلامية القائمة على الحق</w:t>
      </w:r>
      <w:r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والعدل والتوازن النفسي والسلوكي، والتي تعتبر الإنسان سيِّداً في حياته وفعاليته الوجودية، بما يحم</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له مسؤولية الس</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ع</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 للتحصيل العلمي والمعرفي</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والتطب</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ع بخصال وسجايا الأخلاق الحميدة، وبما يوج</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بُ عليه أيضاً أن يتفكّ</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ر ويعلم ويعمل وينتج ويتوازن</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عاطفياً وماد</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ياً</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ليصبح قادراً على العطاء الذاتي والموضوعي، لنفسه ولغيره من أفراد مجتمعه. هي </w:t>
      </w:r>
      <w:r w:rsidR="00731867" w:rsidRPr="006571AC">
        <w:rPr>
          <w:rFonts w:ascii="Simplified Arabic" w:hAnsi="Simplified Arabic" w:cs="AL-Mohanad" w:hint="cs"/>
          <w:sz w:val="27"/>
          <w:szCs w:val="27"/>
          <w:rtl/>
        </w:rPr>
        <w:t>إذن</w:t>
      </w:r>
      <w:r w:rsidR="00956670" w:rsidRPr="006571AC">
        <w:rPr>
          <w:rFonts w:ascii="Simplified Arabic" w:hAnsi="Simplified Arabic" w:cs="AL-Mohanad" w:hint="cs"/>
          <w:sz w:val="27"/>
          <w:szCs w:val="27"/>
          <w:rtl/>
        </w:rPr>
        <w:t xml:space="preserve"> تربيةٌ تشتمل</w:t>
      </w:r>
      <w:r w:rsidR="00373A12" w:rsidRPr="006571AC">
        <w:rPr>
          <w:rFonts w:ascii="Simplified Arabic" w:hAnsi="Simplified Arabic" w:cs="AL-Mohanad" w:hint="cs"/>
          <w:sz w:val="27"/>
          <w:szCs w:val="27"/>
          <w:rtl/>
        </w:rPr>
        <w:t xml:space="preserve"> على الناحيتين الروحية والسلوكية للإنسان، </w:t>
      </w:r>
      <w:r w:rsidR="00373A12" w:rsidRPr="006571AC">
        <w:rPr>
          <w:rFonts w:ascii="Simplified Arabic" w:hAnsi="Simplified Arabic" w:cs="AL-Mohanad"/>
          <w:sz w:val="27"/>
          <w:szCs w:val="27"/>
          <w:rtl/>
        </w:rPr>
        <w:t>روحي</w:t>
      </w:r>
      <w:r w:rsidR="00956670" w:rsidRPr="006571AC">
        <w:rPr>
          <w:rFonts w:ascii="Simplified Arabic" w:hAnsi="Simplified Arabic" w:cs="AL-Mohanad" w:hint="cs"/>
          <w:sz w:val="27"/>
          <w:szCs w:val="27"/>
          <w:rtl/>
        </w:rPr>
        <w:t>ّ</w:t>
      </w:r>
      <w:r w:rsidR="00373A12" w:rsidRPr="006571AC">
        <w:rPr>
          <w:rFonts w:ascii="Simplified Arabic" w:hAnsi="Simplified Arabic" w:cs="AL-Mohanad"/>
          <w:sz w:val="27"/>
          <w:szCs w:val="27"/>
          <w:rtl/>
        </w:rPr>
        <w:t>ة هدفها تعميق صلة الإنسان برب</w:t>
      </w:r>
      <w:r w:rsidR="00956670" w:rsidRPr="006571AC">
        <w:rPr>
          <w:rFonts w:ascii="Simplified Arabic" w:hAnsi="Simplified Arabic" w:cs="AL-Mohanad" w:hint="cs"/>
          <w:sz w:val="27"/>
          <w:szCs w:val="27"/>
          <w:rtl/>
        </w:rPr>
        <w:t>ِّ</w:t>
      </w:r>
      <w:r w:rsidR="00373A12" w:rsidRPr="006571AC">
        <w:rPr>
          <w:rFonts w:ascii="Simplified Arabic" w:hAnsi="Simplified Arabic" w:cs="AL-Mohanad"/>
          <w:sz w:val="27"/>
          <w:szCs w:val="27"/>
          <w:rtl/>
        </w:rPr>
        <w:t>ه</w:t>
      </w:r>
      <w:r w:rsidR="00373A12" w:rsidRPr="006571AC">
        <w:rPr>
          <w:rFonts w:ascii="Simplified Arabic" w:hAnsi="Simplified Arabic" w:cs="AL-Mohanad" w:hint="cs"/>
          <w:sz w:val="27"/>
          <w:szCs w:val="27"/>
          <w:rtl/>
        </w:rPr>
        <w:t xml:space="preserve"> وخالقه</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من حيث </w:t>
      </w:r>
      <w:r w:rsidR="00956670" w:rsidRPr="006571AC">
        <w:rPr>
          <w:rFonts w:ascii="Simplified Arabic" w:hAnsi="Simplified Arabic" w:cs="AL-Mohanad" w:hint="cs"/>
          <w:sz w:val="27"/>
          <w:szCs w:val="27"/>
          <w:rtl/>
        </w:rPr>
        <w:t>إ</w:t>
      </w:r>
      <w:r w:rsidR="00373A12" w:rsidRPr="006571AC">
        <w:rPr>
          <w:rFonts w:ascii="Simplified Arabic" w:hAnsi="Simplified Arabic" w:cs="AL-Mohanad" w:hint="cs"/>
          <w:sz w:val="27"/>
          <w:szCs w:val="27"/>
          <w:rtl/>
        </w:rPr>
        <w:t>نه مخلوق</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لخالق</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واجب الوجود</w:t>
      </w:r>
      <w:r w:rsidR="00373A12" w:rsidRPr="006571AC">
        <w:rPr>
          <w:rFonts w:ascii="Simplified Arabic" w:hAnsi="Simplified Arabic" w:cs="AL-Mohanad"/>
          <w:sz w:val="27"/>
          <w:szCs w:val="27"/>
          <w:vertAlign w:val="superscript"/>
          <w:rtl/>
        </w:rPr>
        <w:t>(</w:t>
      </w:r>
      <w:r w:rsidR="00373A12" w:rsidRPr="006571AC">
        <w:rPr>
          <w:rStyle w:val="ac"/>
          <w:rFonts w:ascii="Simplified Arabic" w:hAnsi="Simplified Arabic" w:cs="AL-Mohanad"/>
          <w:sz w:val="27"/>
          <w:szCs w:val="27"/>
          <w:rtl/>
        </w:rPr>
        <w:endnoteReference w:id="726"/>
      </w:r>
      <w:r w:rsidR="00373A12" w:rsidRPr="006571AC">
        <w:rPr>
          <w:rFonts w:ascii="Simplified Arabic" w:hAnsi="Simplified Arabic" w:cs="AL-Mohanad"/>
          <w:sz w:val="27"/>
          <w:szCs w:val="27"/>
          <w:vertAlign w:val="superscript"/>
          <w:rtl/>
        </w:rPr>
        <w:t>)</w:t>
      </w:r>
      <w:r w:rsidR="00373A12" w:rsidRPr="006571AC">
        <w:rPr>
          <w:rFonts w:ascii="Simplified Arabic" w:hAnsi="Simplified Arabic" w:cs="AL-Mohanad" w:hint="cs"/>
          <w:sz w:val="27"/>
          <w:szCs w:val="27"/>
          <w:rtl/>
        </w:rPr>
        <w:t>، كامل</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ومطلق الق</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م، هو المثال الأعلى المرتفع</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بتعبير الشهيد الصدر</w:t>
      </w:r>
      <w:r w:rsidR="002A2C90" w:rsidRPr="006571AC">
        <w:rPr>
          <w:rFonts w:ascii="Mosawi" w:hAnsi="Mosawi" w:cs="Mosawi"/>
          <w:sz w:val="22"/>
          <w:szCs w:val="22"/>
          <w:rtl/>
        </w:rPr>
        <w:t>&amp;</w:t>
      </w:r>
      <w:r w:rsidR="00373A12" w:rsidRPr="006571AC">
        <w:rPr>
          <w:rFonts w:ascii="Simplified Arabic" w:hAnsi="Simplified Arabic" w:cs="AL-Mohanad" w:hint="cs"/>
          <w:sz w:val="27"/>
          <w:szCs w:val="27"/>
          <w:rtl/>
        </w:rPr>
        <w:t>، و</w:t>
      </w:r>
      <w:r w:rsidR="00731867" w:rsidRPr="006571AC">
        <w:rPr>
          <w:rFonts w:ascii="Simplified Arabic" w:hAnsi="Simplified Arabic" w:cs="AL-Mohanad" w:hint="cs"/>
          <w:sz w:val="27"/>
          <w:szCs w:val="27"/>
          <w:rtl/>
        </w:rPr>
        <w:t>لا بُدَّ</w:t>
      </w:r>
      <w:r w:rsidR="00373A12" w:rsidRPr="006571AC">
        <w:rPr>
          <w:rFonts w:ascii="Simplified Arabic" w:hAnsi="Simplified Arabic" w:cs="AL-Mohanad" w:hint="cs"/>
          <w:sz w:val="27"/>
          <w:szCs w:val="27"/>
          <w:rtl/>
        </w:rPr>
        <w:t xml:space="preserve"> د</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و</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ماً من السّ</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ر الارتقائي الك</w:t>
      </w:r>
      <w:r w:rsidR="00045343"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د</w:t>
      </w:r>
      <w:r w:rsidR="00045343"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حي</w:t>
      </w:r>
      <w:r w:rsidR="00373A12" w:rsidRPr="006571AC">
        <w:rPr>
          <w:rFonts w:ascii="Simplified Arabic" w:hAnsi="Simplified Arabic" w:cs="AL-Mohanad"/>
          <w:sz w:val="27"/>
          <w:szCs w:val="27"/>
          <w:vertAlign w:val="superscript"/>
          <w:rtl/>
        </w:rPr>
        <w:t>(</w:t>
      </w:r>
      <w:r w:rsidR="00373A12" w:rsidRPr="006571AC">
        <w:rPr>
          <w:rStyle w:val="ac"/>
          <w:rFonts w:ascii="Simplified Arabic" w:hAnsi="Simplified Arabic" w:cs="AL-Mohanad"/>
          <w:sz w:val="27"/>
          <w:szCs w:val="27"/>
          <w:rtl/>
        </w:rPr>
        <w:endnoteReference w:id="727"/>
      </w:r>
      <w:r w:rsidR="00373A12" w:rsidRPr="006571AC">
        <w:rPr>
          <w:rFonts w:ascii="Simplified Arabic" w:hAnsi="Simplified Arabic" w:cs="AL-Mohanad"/>
          <w:sz w:val="27"/>
          <w:szCs w:val="27"/>
          <w:vertAlign w:val="superscript"/>
          <w:rtl/>
        </w:rPr>
        <w:t>)</w:t>
      </w:r>
      <w:r w:rsidR="00373A12" w:rsidRPr="006571AC">
        <w:rPr>
          <w:rFonts w:ascii="Simplified Arabic" w:hAnsi="Simplified Arabic" w:cs="AL-Mohanad" w:hint="cs"/>
          <w:sz w:val="27"/>
          <w:szCs w:val="27"/>
          <w:rtl/>
        </w:rPr>
        <w:t xml:space="preserve"> نحوه</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كمصدر</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لق</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م </w:t>
      </w:r>
      <w:r w:rsidR="00373A12" w:rsidRPr="006571AC">
        <w:rPr>
          <w:rFonts w:ascii="Simplified Arabic" w:hAnsi="Simplified Arabic" w:cs="AL-Mohanad"/>
          <w:sz w:val="27"/>
          <w:szCs w:val="27"/>
          <w:rtl/>
        </w:rPr>
        <w:t>الحق</w:t>
      </w:r>
      <w:r w:rsidR="00373A12" w:rsidRPr="006571AC">
        <w:rPr>
          <w:rFonts w:ascii="Simplified Arabic" w:hAnsi="Simplified Arabic" w:cs="AL-Mohanad" w:hint="cs"/>
          <w:sz w:val="27"/>
          <w:szCs w:val="27"/>
          <w:rtl/>
        </w:rPr>
        <w:t>ّ</w:t>
      </w:r>
      <w:r w:rsidR="00956670" w:rsidRPr="006571AC">
        <w:rPr>
          <w:rFonts w:ascii="Simplified Arabic" w:hAnsi="Simplified Arabic" w:cs="AL-Mohanad" w:hint="cs"/>
          <w:sz w:val="27"/>
          <w:szCs w:val="27"/>
          <w:rtl/>
        </w:rPr>
        <w:t>،</w:t>
      </w:r>
      <w:r w:rsidR="00373A12" w:rsidRPr="006571AC">
        <w:rPr>
          <w:rFonts w:ascii="Simplified Arabic" w:hAnsi="Simplified Arabic" w:cs="AL-Mohanad"/>
          <w:sz w:val="27"/>
          <w:szCs w:val="27"/>
          <w:rtl/>
        </w:rPr>
        <w:t xml:space="preserve"> و</w:t>
      </w:r>
      <w:r w:rsidR="00373A12" w:rsidRPr="006571AC">
        <w:rPr>
          <w:rFonts w:ascii="Simplified Arabic" w:hAnsi="Simplified Arabic" w:cs="AL-Mohanad" w:hint="cs"/>
          <w:sz w:val="27"/>
          <w:szCs w:val="27"/>
          <w:rtl/>
        </w:rPr>
        <w:t>منبع</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لكمال الصفات</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من العدل و</w:t>
      </w:r>
      <w:r w:rsidR="00373A12" w:rsidRPr="006571AC">
        <w:rPr>
          <w:rFonts w:ascii="Simplified Arabic" w:hAnsi="Simplified Arabic" w:cs="AL-Mohanad"/>
          <w:sz w:val="27"/>
          <w:szCs w:val="27"/>
          <w:rtl/>
        </w:rPr>
        <w:t>الخير والجمال</w:t>
      </w:r>
      <w:r w:rsidR="00956670" w:rsidRPr="006571AC">
        <w:rPr>
          <w:rFonts w:ascii="Simplified Arabic" w:hAnsi="Simplified Arabic" w:cs="AL-Mohanad" w:hint="cs"/>
          <w:sz w:val="27"/>
          <w:szCs w:val="27"/>
          <w:rtl/>
        </w:rPr>
        <w:t>،</w:t>
      </w:r>
      <w:r w:rsidR="00373A12" w:rsidRPr="006571AC">
        <w:rPr>
          <w:rFonts w:ascii="Simplified Arabic" w:hAnsi="Simplified Arabic" w:cs="AL-Mohanad"/>
          <w:sz w:val="27"/>
          <w:szCs w:val="27"/>
          <w:rtl/>
        </w:rPr>
        <w:t xml:space="preserve"> من حيث </w:t>
      </w:r>
      <w:r w:rsidR="00956670" w:rsidRPr="006571AC">
        <w:rPr>
          <w:rFonts w:ascii="Simplified Arabic" w:hAnsi="Simplified Arabic" w:cs="AL-Mohanad" w:hint="cs"/>
          <w:sz w:val="27"/>
          <w:szCs w:val="27"/>
          <w:rtl/>
        </w:rPr>
        <w:t>إ</w:t>
      </w:r>
      <w:r w:rsidR="00373A12" w:rsidRPr="006571AC">
        <w:rPr>
          <w:rFonts w:ascii="Simplified Arabic" w:hAnsi="Simplified Arabic" w:cs="AL-Mohanad" w:hint="cs"/>
          <w:sz w:val="27"/>
          <w:szCs w:val="27"/>
          <w:rtl/>
        </w:rPr>
        <w:t>نّها ق</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w:t>
      </w:r>
      <w:r w:rsidR="00956670" w:rsidRPr="006571AC">
        <w:rPr>
          <w:rFonts w:ascii="Simplified Arabic" w:hAnsi="Simplified Arabic" w:cs="AL-Mohanad" w:hint="cs"/>
          <w:sz w:val="27"/>
          <w:szCs w:val="27"/>
          <w:rtl/>
        </w:rPr>
        <w:t>َمٌ قارّة ووسائل جوهريّة لتحقيق</w:t>
      </w:r>
      <w:r w:rsidR="00373A12" w:rsidRPr="006571AC">
        <w:rPr>
          <w:rFonts w:ascii="Simplified Arabic" w:hAnsi="Simplified Arabic" w:cs="AL-Mohanad"/>
          <w:sz w:val="27"/>
          <w:szCs w:val="27"/>
          <w:rtl/>
        </w:rPr>
        <w:t xml:space="preserve"> غايات</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كبرى </w:t>
      </w:r>
      <w:r w:rsidR="00956670" w:rsidRPr="006571AC">
        <w:rPr>
          <w:rFonts w:ascii="Simplified Arabic" w:hAnsi="Simplified Arabic" w:cs="AL-Mohanad" w:hint="cs"/>
          <w:sz w:val="27"/>
          <w:szCs w:val="27"/>
          <w:rtl/>
        </w:rPr>
        <w:t>(تنموية وروحية وعقلية)، على صعيد</w:t>
      </w:r>
      <w:r w:rsidR="00373A12" w:rsidRPr="006571AC">
        <w:rPr>
          <w:rFonts w:ascii="Simplified Arabic" w:hAnsi="Simplified Arabic" w:cs="AL-Mohanad" w:hint="cs"/>
          <w:sz w:val="27"/>
          <w:szCs w:val="27"/>
          <w:rtl/>
        </w:rPr>
        <w:t xml:space="preserve"> الفرد والمجتمع ككل</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وهي من جانبٍ آخر تربيةٌ سلوكية مهاراتية عملية (ماد</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ية) للجسد والعقل</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تنطلق من خلال تنمية المهارات البنيوية الذاتية والقدرات </w:t>
      </w:r>
      <w:r w:rsidR="00373A12" w:rsidRPr="006571AC">
        <w:rPr>
          <w:rFonts w:ascii="Simplified Arabic" w:hAnsi="Simplified Arabic" w:cs="AL-Mohanad" w:hint="cs"/>
          <w:sz w:val="27"/>
          <w:szCs w:val="27"/>
          <w:rtl/>
        </w:rPr>
        <w:lastRenderedPageBreak/>
        <w:t>الجو</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انية الكامنة</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ل</w:t>
      </w:r>
      <w:r w:rsidR="00373A12" w:rsidRPr="006571AC">
        <w:rPr>
          <w:rFonts w:ascii="Simplified Arabic" w:hAnsi="Simplified Arabic" w:cs="AL-Mohanad"/>
          <w:sz w:val="27"/>
          <w:szCs w:val="27"/>
          <w:rtl/>
        </w:rPr>
        <w:t xml:space="preserve">إعداد </w:t>
      </w:r>
      <w:r w:rsidR="00373A12" w:rsidRPr="006571AC">
        <w:rPr>
          <w:rFonts w:ascii="Simplified Arabic" w:hAnsi="Simplified Arabic" w:cs="AL-Mohanad" w:hint="cs"/>
          <w:sz w:val="27"/>
          <w:szCs w:val="27"/>
          <w:rtl/>
        </w:rPr>
        <w:t>ا</w:t>
      </w:r>
      <w:r w:rsidR="00373A12" w:rsidRPr="006571AC">
        <w:rPr>
          <w:rFonts w:ascii="Simplified Arabic" w:hAnsi="Simplified Arabic" w:cs="AL-Mohanad"/>
          <w:sz w:val="27"/>
          <w:szCs w:val="27"/>
          <w:rtl/>
        </w:rPr>
        <w:t xml:space="preserve">لإنسان للدخول </w:t>
      </w:r>
      <w:r w:rsidR="00373A12" w:rsidRPr="006571AC">
        <w:rPr>
          <w:rFonts w:ascii="Simplified Arabic" w:hAnsi="Simplified Arabic" w:cs="AL-Mohanad" w:hint="cs"/>
          <w:sz w:val="27"/>
          <w:szCs w:val="27"/>
          <w:rtl/>
        </w:rPr>
        <w:t>إلى</w:t>
      </w:r>
      <w:r w:rsidR="00373A12" w:rsidRPr="006571AC">
        <w:rPr>
          <w:rFonts w:ascii="Simplified Arabic" w:hAnsi="Simplified Arabic" w:cs="AL-Mohanad"/>
          <w:sz w:val="27"/>
          <w:szCs w:val="27"/>
          <w:rtl/>
        </w:rPr>
        <w:t xml:space="preserve"> مجتمع</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كبير</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w:t>
      </w:r>
      <w:r w:rsidR="00373A12" w:rsidRPr="006571AC">
        <w:rPr>
          <w:rFonts w:ascii="Simplified Arabic" w:hAnsi="Simplified Arabic" w:cs="AL-Mohanad"/>
          <w:sz w:val="27"/>
          <w:szCs w:val="27"/>
          <w:rtl/>
        </w:rPr>
        <w:t>لكي يواكبه</w:t>
      </w:r>
      <w:r w:rsidR="00373A12" w:rsidRPr="006571AC">
        <w:rPr>
          <w:rFonts w:ascii="Simplified Arabic" w:hAnsi="Simplified Arabic" w:cs="AL-Mohanad" w:hint="cs"/>
          <w:sz w:val="27"/>
          <w:szCs w:val="27"/>
          <w:rtl/>
        </w:rPr>
        <w:t>، (ويواجهه)</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وينخرط ميدانياً في مؤس</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ساته السياسية والاقتصادية والعلمية والاجتماعية وغيرها</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بهدف أن يصبح فرداً فاعلاً ومنتجاً ومؤث</w:t>
      </w:r>
      <w:r w:rsidR="00956670" w:rsidRPr="006571AC">
        <w:rPr>
          <w:rFonts w:ascii="Simplified Arabic" w:hAnsi="Simplified Arabic" w:cs="AL-Mohanad" w:hint="cs"/>
          <w:sz w:val="27"/>
          <w:szCs w:val="27"/>
          <w:rtl/>
        </w:rPr>
        <w:t>ِّر</w:t>
      </w:r>
      <w:r w:rsidR="00373A12" w:rsidRPr="006571AC">
        <w:rPr>
          <w:rFonts w:ascii="Simplified Arabic" w:hAnsi="Simplified Arabic" w:cs="AL-Mohanad" w:hint="cs"/>
          <w:sz w:val="27"/>
          <w:szCs w:val="27"/>
          <w:rtl/>
        </w:rPr>
        <w:t xml:space="preserve">اً وقادراً على الحضور المثمر والتأثير الإيجابي. </w:t>
      </w:r>
    </w:p>
    <w:p w:rsidR="00373A12" w:rsidRPr="006571AC" w:rsidRDefault="00373A12" w:rsidP="004F6064">
      <w:pPr>
        <w:pStyle w:val="af"/>
        <w:rPr>
          <w:rFonts w:ascii="Simplified Arabic" w:hAnsi="Simplified Arabic" w:cs="AL-Mohanad"/>
          <w:sz w:val="27"/>
          <w:szCs w:val="27"/>
          <w:rtl/>
        </w:rPr>
      </w:pPr>
      <w:r w:rsidRPr="006571AC">
        <w:rPr>
          <w:rFonts w:ascii="Simplified Arabic" w:hAnsi="Simplified Arabic" w:cs="AL-Mohanad" w:hint="cs"/>
          <w:sz w:val="27"/>
          <w:szCs w:val="27"/>
          <w:shd w:val="clear" w:color="auto" w:fill="FFFFFF"/>
          <w:rtl/>
        </w:rPr>
        <w:t>وتقوم تنمية المهارات في الإسلام على ضرورة معرفة حقيقة النفس، معرفة</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حقيقية</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لا شكلية. ف</w:t>
      </w:r>
      <w:r w:rsidRPr="006571AC">
        <w:rPr>
          <w:rFonts w:ascii="Simplified Arabic" w:hAnsi="Simplified Arabic" w:cs="AL-Mohanad"/>
          <w:sz w:val="27"/>
          <w:szCs w:val="27"/>
          <w:shd w:val="clear" w:color="auto" w:fill="FFFFFF"/>
          <w:rtl/>
        </w:rPr>
        <w:t>النفس البشرية تخرج إلى هذه الحياة</w:t>
      </w:r>
      <w:r w:rsidRPr="006571AC">
        <w:rPr>
          <w:rFonts w:ascii="Simplified Arabic" w:hAnsi="Simplified Arabic" w:cs="AL-Mohanad" w:hint="cs"/>
          <w:sz w:val="27"/>
          <w:szCs w:val="27"/>
          <w:shd w:val="clear" w:color="auto" w:fill="FFFFFF"/>
          <w:rtl/>
        </w:rPr>
        <w:t xml:space="preserve"> </w:t>
      </w:r>
      <w:r w:rsidRPr="006571AC">
        <w:rPr>
          <w:rFonts w:ascii="Simplified Arabic" w:hAnsi="Simplified Arabic" w:cs="AL-Mohanad"/>
          <w:sz w:val="27"/>
          <w:szCs w:val="27"/>
          <w:shd w:val="clear" w:color="auto" w:fill="FFFFFF"/>
          <w:rtl/>
        </w:rPr>
        <w:t>وليس لديها رصيد</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 له قيمة ت</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ذ</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ك</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ر من العلم أو المعرفة، </w:t>
      </w:r>
      <w:r w:rsidRPr="006571AC">
        <w:rPr>
          <w:rFonts w:ascii="Simplified Arabic" w:hAnsi="Simplified Arabic" w:cs="AL-Mohanad" w:hint="cs"/>
          <w:sz w:val="27"/>
          <w:szCs w:val="27"/>
          <w:shd w:val="clear" w:color="auto" w:fill="FFFFFF"/>
          <w:rtl/>
        </w:rPr>
        <w:t>رغم ما فيها من فطرة</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سليمة كامنة</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لناحية القابلية والاستع</w:t>
      </w:r>
      <w:r w:rsidR="0036723C" w:rsidRPr="006571AC">
        <w:rPr>
          <w:rFonts w:ascii="Simplified Arabic" w:hAnsi="Simplified Arabic" w:cs="AL-Mohanad" w:hint="cs"/>
          <w:sz w:val="27"/>
          <w:szCs w:val="27"/>
          <w:shd w:val="clear" w:color="auto" w:fill="FFFFFF"/>
          <w:rtl/>
        </w:rPr>
        <w:t>د</w:t>
      </w:r>
      <w:r w:rsidRPr="006571AC">
        <w:rPr>
          <w:rFonts w:ascii="Simplified Arabic" w:hAnsi="Simplified Arabic" w:cs="AL-Mohanad" w:hint="cs"/>
          <w:sz w:val="27"/>
          <w:szCs w:val="27"/>
          <w:shd w:val="clear" w:color="auto" w:fill="FFFFFF"/>
          <w:rtl/>
        </w:rPr>
        <w:t>اد لتقب</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ل الفعاليات الخارجية</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والتأث</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ر بها</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والتطب</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ع بخصائها</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س</w:t>
      </w:r>
      <w:r w:rsidR="00045343"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ل</w:t>
      </w:r>
      <w:r w:rsidR="00045343"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باً أ</w:t>
      </w:r>
      <w:r w:rsidR="0036723C" w:rsidRPr="006571AC">
        <w:rPr>
          <w:rFonts w:ascii="Simplified Arabic" w:hAnsi="Simplified Arabic" w:cs="AL-Mohanad" w:hint="cs"/>
          <w:sz w:val="27"/>
          <w:szCs w:val="27"/>
          <w:shd w:val="clear" w:color="auto" w:fill="FFFFFF"/>
          <w:rtl/>
        </w:rPr>
        <w:t>و</w:t>
      </w:r>
      <w:r w:rsidRPr="006571AC">
        <w:rPr>
          <w:rFonts w:ascii="Simplified Arabic" w:hAnsi="Simplified Arabic" w:cs="AL-Mohanad" w:hint="cs"/>
          <w:sz w:val="27"/>
          <w:szCs w:val="27"/>
          <w:shd w:val="clear" w:color="auto" w:fill="FFFFFF"/>
          <w:rtl/>
        </w:rPr>
        <w:t xml:space="preserve"> إيجاباً. </w:t>
      </w:r>
      <w:r w:rsidRPr="006571AC">
        <w:rPr>
          <w:rFonts w:ascii="Simplified Arabic" w:hAnsi="Simplified Arabic" w:cs="AL-Mohanad"/>
          <w:sz w:val="27"/>
          <w:szCs w:val="27"/>
          <w:shd w:val="clear" w:color="auto" w:fill="FFFFFF"/>
          <w:rtl/>
        </w:rPr>
        <w:t>ولكن</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 الله تعالى هي</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أ أمام</w:t>
      </w:r>
      <w:r w:rsidRPr="006571AC">
        <w:rPr>
          <w:rFonts w:ascii="Simplified Arabic" w:hAnsi="Simplified Arabic" w:cs="AL-Mohanad" w:hint="cs"/>
          <w:sz w:val="27"/>
          <w:szCs w:val="27"/>
          <w:shd w:val="clear" w:color="auto" w:fill="FFFFFF"/>
          <w:rtl/>
        </w:rPr>
        <w:t xml:space="preserve"> النفس (والفرد البشري) </w:t>
      </w:r>
      <w:r w:rsidRPr="006571AC">
        <w:rPr>
          <w:rFonts w:ascii="Simplified Arabic" w:hAnsi="Simplified Arabic" w:cs="AL-Mohanad"/>
          <w:sz w:val="27"/>
          <w:szCs w:val="27"/>
          <w:shd w:val="clear" w:color="auto" w:fill="FFFFFF"/>
          <w:rtl/>
        </w:rPr>
        <w:t>وسائل التعل</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م والتثق</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ف والتربية، يقول القرآن الكريم: </w:t>
      </w:r>
      <w:r w:rsidRPr="006571AC">
        <w:rPr>
          <w:rFonts w:ascii="Mosawi" w:hAnsi="Mosawi" w:cs="Mosawi"/>
          <w:rtl/>
        </w:rPr>
        <w:t>﴿</w:t>
      </w:r>
      <w:r w:rsidR="0036723C" w:rsidRPr="006571AC">
        <w:rPr>
          <w:rFonts w:cs="AL-Mohanad"/>
          <w:b/>
          <w:bCs/>
          <w:sz w:val="27"/>
          <w:szCs w:val="27"/>
          <w:rtl/>
        </w:rPr>
        <w:t>وَاللهُ أَخْرَجَكُمْ مِنْ بُطُونِ أُمَّهَاتِكُمْ لاَ تَعْلَمُونَ شَيْئاً وَجَعَلَ لَكُمْ السَّمْعَ وَالأَبْصَارَ وَالأَفْئِدَةَ لَعَلَّكُمْ تَشْكُرُونَ</w:t>
      </w:r>
      <w:r w:rsidRPr="006571AC">
        <w:rPr>
          <w:rFonts w:ascii="Mosawi" w:hAnsi="Mosawi" w:cs="Mosawi"/>
          <w:rtl/>
        </w:rPr>
        <w:t>﴾</w:t>
      </w:r>
      <w:r w:rsidRPr="006571AC">
        <w:rPr>
          <w:rFonts w:ascii="Simplified Arabic" w:hAnsi="Simplified Arabic" w:cs="AL-Mohanad" w:hint="cs"/>
          <w:sz w:val="27"/>
          <w:szCs w:val="27"/>
          <w:shd w:val="clear" w:color="auto" w:fill="FFFFFF"/>
          <w:rtl/>
        </w:rPr>
        <w:t xml:space="preserve"> (النحل: 78)،</w:t>
      </w:r>
      <w:r w:rsidRPr="006571AC">
        <w:rPr>
          <w:rFonts w:ascii="Simplified Arabic" w:hAnsi="Simplified Arabic" w:cs="AL-Mohanad"/>
          <w:sz w:val="27"/>
          <w:szCs w:val="27"/>
          <w:shd w:val="clear" w:color="auto" w:fill="FFFFFF"/>
          <w:rtl/>
        </w:rPr>
        <w:t xml:space="preserve"> ويقول: </w:t>
      </w:r>
      <w:r w:rsidRPr="006571AC">
        <w:rPr>
          <w:rFonts w:ascii="Mosawi" w:hAnsi="Mosawi" w:cs="Mosawi"/>
          <w:rtl/>
        </w:rPr>
        <w:t>﴿</w:t>
      </w:r>
      <w:r w:rsidR="0036723C" w:rsidRPr="006571AC">
        <w:rPr>
          <w:rFonts w:cs="AL-Mohanad"/>
          <w:b/>
          <w:bCs/>
          <w:sz w:val="27"/>
          <w:szCs w:val="27"/>
          <w:rtl/>
        </w:rPr>
        <w:t xml:space="preserve">أَلَمْ نَجْعَلْ لَهُ عَيْنَيْنِ </w:t>
      </w:r>
      <w:r w:rsidR="0036723C" w:rsidRPr="006571AC">
        <w:rPr>
          <w:rFonts w:cs="AL-Mohanad" w:hint="cs"/>
          <w:b/>
          <w:bCs/>
          <w:sz w:val="27"/>
          <w:szCs w:val="27"/>
          <w:rtl/>
        </w:rPr>
        <w:t>*</w:t>
      </w:r>
      <w:r w:rsidR="0036723C" w:rsidRPr="006571AC">
        <w:rPr>
          <w:rFonts w:cs="AL-Mohanad"/>
          <w:b/>
          <w:bCs/>
          <w:sz w:val="27"/>
          <w:szCs w:val="27"/>
          <w:rtl/>
        </w:rPr>
        <w:t xml:space="preserve"> وَلِسَاناً وَشَفَتَيْنِ </w:t>
      </w:r>
      <w:r w:rsidR="0036723C" w:rsidRPr="006571AC">
        <w:rPr>
          <w:rFonts w:cs="AL-Mohanad" w:hint="cs"/>
          <w:b/>
          <w:bCs/>
          <w:sz w:val="27"/>
          <w:szCs w:val="27"/>
          <w:rtl/>
        </w:rPr>
        <w:t>*</w:t>
      </w:r>
      <w:r w:rsidR="0036723C" w:rsidRPr="006571AC">
        <w:rPr>
          <w:rFonts w:cs="AL-Mohanad"/>
          <w:b/>
          <w:bCs/>
          <w:sz w:val="27"/>
          <w:szCs w:val="27"/>
          <w:rtl/>
        </w:rPr>
        <w:t xml:space="preserve"> وَهَدَيْنَاهُ النَّجْدَيْنِ</w:t>
      </w:r>
      <w:r w:rsidRPr="006571AC">
        <w:rPr>
          <w:rFonts w:ascii="Mosawi" w:hAnsi="Mosawi" w:cs="Mosawi"/>
          <w:rtl/>
        </w:rPr>
        <w:t>﴾</w:t>
      </w:r>
      <w:r w:rsidRPr="006571AC">
        <w:rPr>
          <w:rFonts w:ascii="Simplified Arabic" w:hAnsi="Simplified Arabic" w:cs="AL-Mohanad" w:hint="cs"/>
          <w:sz w:val="27"/>
          <w:szCs w:val="27"/>
          <w:shd w:val="clear" w:color="auto" w:fill="FFFFFF"/>
          <w:rtl/>
        </w:rPr>
        <w:t xml:space="preserve"> (البلد: 8 ـ 11)</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w:t>
      </w:r>
      <w:r w:rsidRPr="006571AC">
        <w:rPr>
          <w:rFonts w:ascii="Simplified Arabic" w:hAnsi="Simplified Arabic" w:cs="AL-Mohanad"/>
          <w:sz w:val="27"/>
          <w:szCs w:val="27"/>
          <w:shd w:val="clear" w:color="auto" w:fill="FFFFFF"/>
          <w:rtl/>
        </w:rPr>
        <w:t>وفي هذه الآيات وأمثالها حث</w:t>
      </w:r>
      <w:r w:rsidR="00045343"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 على إثارة المشاعر، وإيقاظ الحواس</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 وتحريكها</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 لتحصيل التربية والتعليم</w:t>
      </w:r>
      <w:r w:rsidRPr="006571AC">
        <w:rPr>
          <w:rFonts w:ascii="Simplified Arabic" w:hAnsi="Simplified Arabic" w:cs="AL-Mohanad"/>
          <w:sz w:val="27"/>
          <w:szCs w:val="27"/>
          <w:shd w:val="clear" w:color="auto" w:fill="FFFFFF"/>
          <w:vertAlign w:val="superscript"/>
          <w:rtl/>
        </w:rPr>
        <w:t>(</w:t>
      </w:r>
      <w:r w:rsidRPr="006571AC">
        <w:rPr>
          <w:rStyle w:val="ac"/>
          <w:rFonts w:ascii="Simplified Arabic" w:hAnsi="Simplified Arabic" w:cs="AL-Mohanad"/>
          <w:sz w:val="27"/>
          <w:szCs w:val="27"/>
          <w:shd w:val="clear" w:color="auto" w:fill="FFFFFF"/>
          <w:rtl/>
        </w:rPr>
        <w:endnoteReference w:id="728"/>
      </w:r>
      <w:r w:rsidRPr="006571AC">
        <w:rPr>
          <w:rFonts w:ascii="Simplified Arabic" w:hAnsi="Simplified Arabic" w:cs="AL-Mohanad"/>
          <w:sz w:val="27"/>
          <w:szCs w:val="27"/>
          <w:shd w:val="clear" w:color="auto" w:fill="FFFFFF"/>
          <w:vertAlign w:val="superscript"/>
          <w:rtl/>
        </w:rPr>
        <w:t>)</w:t>
      </w:r>
      <w:r w:rsidRPr="006571AC">
        <w:rPr>
          <w:rFonts w:ascii="Simplified Arabic" w:hAnsi="Simplified Arabic" w:cs="AL-Mohanad"/>
          <w:sz w:val="27"/>
          <w:szCs w:val="27"/>
          <w:shd w:val="clear" w:color="auto" w:fill="FFFFFF"/>
          <w:rtl/>
        </w:rPr>
        <w:t xml:space="preserve">. </w:t>
      </w:r>
    </w:p>
    <w:p w:rsidR="00373A12" w:rsidRPr="006571AC" w:rsidRDefault="00373A12" w:rsidP="004F6064">
      <w:pPr>
        <w:pStyle w:val="af"/>
        <w:rPr>
          <w:rFonts w:ascii="Simplified Arabic" w:eastAsiaTheme="minorHAnsi" w:hAnsi="Simplified Arabic" w:cs="AL-Mohanad"/>
          <w:sz w:val="27"/>
          <w:szCs w:val="27"/>
          <w:rtl/>
          <w:lang w:bidi="ar-SY"/>
        </w:rPr>
      </w:pPr>
      <w:r w:rsidRPr="006571AC">
        <w:rPr>
          <w:rFonts w:ascii="Simplified Arabic" w:hAnsi="Simplified Arabic" w:cs="AL-Mohanad" w:hint="cs"/>
          <w:sz w:val="27"/>
          <w:szCs w:val="27"/>
          <w:rtl/>
        </w:rPr>
        <w:t>لقد تمكّ</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ن الإنسان</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منذ فجر التاريخ، من معرفة ما للتربية النفسية الق</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ي</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مية والسلوكية العملية من أهم</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ية</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قصوى على</w:t>
      </w:r>
      <w:r w:rsidRPr="006571AC">
        <w:rPr>
          <w:rFonts w:ascii="Simplified Arabic" w:eastAsiaTheme="minorHAnsi" w:hAnsi="Simplified Arabic" w:cs="AL-Mohanad" w:hint="cs"/>
          <w:sz w:val="27"/>
          <w:szCs w:val="27"/>
          <w:rtl/>
          <w:lang w:bidi="ar-SY"/>
        </w:rPr>
        <w:t xml:space="preserve"> المستوى العملي الإنتاجي، بل بدا أنها قد تكون أهم</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من التعليم (المدرسي المهني والمهاراتي) ذاته..</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w:t>
      </w:r>
      <w:r w:rsidR="00906EE7" w:rsidRPr="006571AC">
        <w:rPr>
          <w:rFonts w:ascii="Simplified Arabic" w:eastAsiaTheme="minorHAnsi" w:hAnsi="Simplified Arabic" w:cs="AL-Mohanad" w:hint="cs"/>
          <w:sz w:val="27"/>
          <w:szCs w:val="27"/>
          <w:rtl/>
          <w:lang w:bidi="ar-SY"/>
        </w:rPr>
        <w:t xml:space="preserve">إذ </w:t>
      </w:r>
      <w:r w:rsidRPr="006571AC">
        <w:rPr>
          <w:rFonts w:ascii="Simplified Arabic" w:eastAsiaTheme="minorHAnsi" w:hAnsi="Simplified Arabic" w:cs="AL-Mohanad" w:hint="cs"/>
          <w:sz w:val="27"/>
          <w:szCs w:val="27"/>
          <w:rtl/>
          <w:lang w:bidi="ar-SY"/>
        </w:rPr>
        <w:t>حت</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ى تتمك</w:t>
      </w:r>
      <w:r w:rsidR="0036723C" w:rsidRPr="006571AC">
        <w:rPr>
          <w:rFonts w:ascii="Simplified Arabic" w:eastAsiaTheme="minorHAnsi" w:hAnsi="Simplified Arabic" w:cs="AL-Mohanad" w:hint="cs"/>
          <w:sz w:val="27"/>
          <w:szCs w:val="27"/>
          <w:rtl/>
          <w:lang w:bidi="ar-SY"/>
        </w:rPr>
        <w:t>ّ</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ن من صناعة فرد</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له مستقبل</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مضمون</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يكون فيه واعياً ومسؤولاً وبانياً، عليك أن تعلّ</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مه المفاهيم الأولى، وتدرّ</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سه س</w:t>
      </w:r>
      <w:r w:rsidR="00045343"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ب</w:t>
      </w:r>
      <w:r w:rsidR="00045343"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ل الو</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ع</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ي والتواصل، وتكسبه مهارات</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ذاتية عملية، ولكن</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هذا التعليم لم ينجح</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ولا يمكن له أن ينجح (ويثمر على الصورة الأحسن والأكثر فاعلية)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من دون وجود سلامة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عقلية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وصح</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نفسية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ومصالحة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ذاتية، وحالة انسجام</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داخلية وخارجية للفرد نفسه بين التفكير والسلوك. وهذا يعني أنّ أرضية الفرد الروحية وكماله النفسي (التربية الاجتماعية) هو أمر</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أساس لتلق</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ي (وتقبّل واستيعاب) هذا الفرد لكل</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المعارف التعليمية والمهارات العملية الاكتسابية، وبالتالي نجاحه العملي في اختزانها، ومن ثم</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استثمارها للبناء والإثمار الفردي والمجتمعي والحضاري..</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w:t>
      </w:r>
    </w:p>
    <w:p w:rsidR="00373A12" w:rsidRPr="006571AC" w:rsidRDefault="00731867" w:rsidP="00364320">
      <w:pPr>
        <w:pStyle w:val="af"/>
        <w:rPr>
          <w:rFonts w:ascii="Simplified Arabic" w:eastAsiaTheme="minorHAnsi" w:hAnsi="Simplified Arabic" w:cs="AL-Mohanad"/>
          <w:sz w:val="27"/>
          <w:szCs w:val="27"/>
          <w:rtl/>
          <w:lang w:bidi="ar-SY"/>
        </w:rPr>
      </w:pPr>
      <w:r w:rsidRPr="006571AC">
        <w:rPr>
          <w:rFonts w:ascii="Simplified Arabic" w:eastAsiaTheme="minorHAnsi" w:hAnsi="Simplified Arabic" w:cs="AL-Mohanad" w:hint="cs"/>
          <w:sz w:val="27"/>
          <w:szCs w:val="27"/>
          <w:rtl/>
          <w:lang w:bidi="ar-SY"/>
        </w:rPr>
        <w:t>إذن</w:t>
      </w:r>
      <w:r w:rsidR="00373A12" w:rsidRPr="006571AC">
        <w:rPr>
          <w:rFonts w:ascii="Simplified Arabic" w:eastAsiaTheme="minorHAnsi" w:hAnsi="Simplified Arabic" w:cs="AL-Mohanad" w:hint="cs"/>
          <w:sz w:val="27"/>
          <w:szCs w:val="27"/>
          <w:rtl/>
          <w:lang w:bidi="ar-SY"/>
        </w:rPr>
        <w:t xml:space="preserve">، هذه التربية تعني </w:t>
      </w:r>
      <w:r w:rsidR="00373A12" w:rsidRPr="006571AC">
        <w:rPr>
          <w:rFonts w:ascii="Simplified Arabic" w:eastAsiaTheme="minorHAnsi" w:hAnsi="Simplified Arabic" w:cs="AL-Mohanad"/>
          <w:sz w:val="27"/>
          <w:szCs w:val="27"/>
          <w:rtl/>
          <w:lang w:bidi="ar-SY"/>
        </w:rPr>
        <w:t>صناعة</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 </w:t>
      </w:r>
      <w:r w:rsidR="00373A12" w:rsidRPr="006571AC">
        <w:rPr>
          <w:rFonts w:cs="AL-Mohanad" w:hint="eastAsia"/>
          <w:rtl/>
          <w:lang w:bidi="ar-SY"/>
        </w:rPr>
        <w:t>«</w:t>
      </w:r>
      <w:r w:rsidR="00373A12" w:rsidRPr="006571AC">
        <w:rPr>
          <w:rFonts w:ascii="Simplified Arabic" w:eastAsiaTheme="minorHAnsi" w:hAnsi="Simplified Arabic" w:cs="AL-Mohanad" w:hint="cs"/>
          <w:sz w:val="27"/>
          <w:szCs w:val="27"/>
          <w:rtl/>
          <w:lang w:bidi="ar-SY"/>
        </w:rPr>
        <w:t xml:space="preserve">الفرد ـ </w:t>
      </w:r>
      <w:r w:rsidR="00373A12" w:rsidRPr="006571AC">
        <w:rPr>
          <w:rFonts w:ascii="Simplified Arabic" w:eastAsiaTheme="minorHAnsi" w:hAnsi="Simplified Arabic" w:cs="AL-Mohanad"/>
          <w:sz w:val="27"/>
          <w:szCs w:val="27"/>
          <w:rtl/>
          <w:lang w:bidi="ar-SY"/>
        </w:rPr>
        <w:t>المواطن</w:t>
      </w:r>
      <w:r w:rsidR="00373A12" w:rsidRPr="006571AC">
        <w:rPr>
          <w:rFonts w:cs="AL-Mohanad" w:hint="eastAsia"/>
          <w:rtl/>
        </w:rPr>
        <w:t>»</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وبنا</w:t>
      </w:r>
      <w:r w:rsidR="00906EE7" w:rsidRPr="006571AC">
        <w:rPr>
          <w:rFonts w:ascii="Simplified Arabic" w:eastAsiaTheme="minorHAnsi" w:hAnsi="Simplified Arabic" w:cs="AL-Mohanad" w:hint="cs"/>
          <w:sz w:val="27"/>
          <w:szCs w:val="27"/>
          <w:rtl/>
          <w:lang w:bidi="ar-SY"/>
        </w:rPr>
        <w:t>ءَ</w:t>
      </w:r>
      <w:r w:rsidR="00373A12" w:rsidRPr="006571AC">
        <w:rPr>
          <w:rFonts w:ascii="Simplified Arabic" w:eastAsiaTheme="minorHAnsi" w:hAnsi="Simplified Arabic" w:cs="AL-Mohanad" w:hint="cs"/>
          <w:sz w:val="27"/>
          <w:szCs w:val="27"/>
          <w:rtl/>
          <w:lang w:bidi="ar-SY"/>
        </w:rPr>
        <w:t>ه بناءً ق</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ي</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مياً وعقلانياً </w:t>
      </w:r>
      <w:r w:rsidR="00373A12" w:rsidRPr="006571AC">
        <w:rPr>
          <w:rFonts w:ascii="Simplified Arabic" w:eastAsiaTheme="minorHAnsi" w:hAnsi="Simplified Arabic" w:cs="AL-Mohanad" w:hint="cs"/>
          <w:sz w:val="27"/>
          <w:szCs w:val="27"/>
          <w:rtl/>
          <w:lang w:bidi="ar-SY"/>
        </w:rPr>
        <w:lastRenderedPageBreak/>
        <w:t>وعلمي</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اً هادفاً، والعمل على </w:t>
      </w:r>
      <w:r w:rsidR="00373A12" w:rsidRPr="006571AC">
        <w:rPr>
          <w:rFonts w:ascii="Simplified Arabic" w:eastAsiaTheme="minorHAnsi" w:hAnsi="Simplified Arabic" w:cs="AL-Mohanad"/>
          <w:sz w:val="27"/>
          <w:szCs w:val="27"/>
          <w:rtl/>
          <w:lang w:bidi="ar-SY"/>
        </w:rPr>
        <w:t>إعداد</w:t>
      </w:r>
      <w:r w:rsidR="00373A12" w:rsidRPr="006571AC">
        <w:rPr>
          <w:rFonts w:ascii="Simplified Arabic" w:eastAsiaTheme="minorHAnsi" w:hAnsi="Simplified Arabic" w:cs="AL-Mohanad" w:hint="cs"/>
          <w:sz w:val="27"/>
          <w:szCs w:val="27"/>
          <w:rtl/>
          <w:lang w:bidi="ar-SY"/>
        </w:rPr>
        <w:t>ه وتهيئته ك</w:t>
      </w:r>
      <w:r w:rsidR="00373A12" w:rsidRPr="006571AC">
        <w:rPr>
          <w:rFonts w:ascii="Simplified Arabic" w:eastAsiaTheme="minorHAnsi" w:hAnsi="Simplified Arabic" w:cs="AL-Mohanad"/>
          <w:sz w:val="27"/>
          <w:szCs w:val="27"/>
          <w:rtl/>
          <w:lang w:bidi="ar-SY"/>
        </w:rPr>
        <w:t>إنسان</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موهوب لديه من الاستعدادات والقابليات للاندماج الواثق والصحيح في نهر ا</w:t>
      </w:r>
      <w:r w:rsidR="00373A12" w:rsidRPr="006571AC">
        <w:rPr>
          <w:rFonts w:ascii="Simplified Arabic" w:eastAsiaTheme="minorHAnsi" w:hAnsi="Simplified Arabic" w:cs="AL-Mohanad"/>
          <w:sz w:val="27"/>
          <w:szCs w:val="27"/>
          <w:rtl/>
          <w:lang w:bidi="ar-SY"/>
        </w:rPr>
        <w:t>لحياة بكل</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 جوانبها</w:t>
      </w:r>
      <w:r w:rsidR="0036432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w:t>
      </w:r>
      <w:r w:rsidR="00373A12" w:rsidRPr="006571AC">
        <w:rPr>
          <w:rFonts w:ascii="Simplified Arabic" w:eastAsiaTheme="minorHAnsi" w:hAnsi="Simplified Arabic" w:cs="AL-Mohanad"/>
          <w:sz w:val="27"/>
          <w:szCs w:val="27"/>
          <w:rtl/>
          <w:lang w:bidi="ar-SY"/>
        </w:rPr>
        <w:t>الذاتية</w:t>
      </w:r>
      <w:r w:rsidR="0036432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 والحياتية، والمجتمعية</w:t>
      </w:r>
      <w:r w:rsidR="0036432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 والعالمية.</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w:t>
      </w:r>
      <w:r w:rsidR="00373A12" w:rsidRPr="006571AC">
        <w:rPr>
          <w:rFonts w:ascii="Simplified Arabic" w:eastAsiaTheme="minorHAnsi" w:hAnsi="Simplified Arabic" w:cs="AL-Mohanad" w:hint="cs"/>
          <w:sz w:val="27"/>
          <w:szCs w:val="27"/>
          <w:rtl/>
          <w:lang w:bidi="ar-SY"/>
        </w:rPr>
        <w:t xml:space="preserve"> </w:t>
      </w:r>
      <w:r w:rsidR="00373A12" w:rsidRPr="006571AC">
        <w:rPr>
          <w:rFonts w:ascii="Simplified Arabic" w:eastAsiaTheme="minorHAnsi" w:hAnsi="Simplified Arabic" w:cs="AL-Mohanad"/>
          <w:sz w:val="27"/>
          <w:szCs w:val="27"/>
          <w:rtl/>
          <w:lang w:bidi="ar-SY"/>
        </w:rPr>
        <w:t>وهي عملي</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ة</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 مستمر</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ة </w:t>
      </w:r>
      <w:r w:rsidR="00373A12" w:rsidRPr="006571AC">
        <w:rPr>
          <w:rFonts w:ascii="Simplified Arabic" w:eastAsiaTheme="minorHAnsi" w:hAnsi="Simplified Arabic" w:cs="AL-Mohanad" w:hint="cs"/>
          <w:sz w:val="27"/>
          <w:szCs w:val="27"/>
          <w:rtl/>
          <w:lang w:bidi="ar-SY"/>
        </w:rPr>
        <w:t>طو</w:t>
      </w:r>
      <w:r w:rsidR="00906EE7" w:rsidRPr="006571AC">
        <w:rPr>
          <w:rFonts w:ascii="Simplified Arabic" w:eastAsiaTheme="minorHAnsi" w:hAnsi="Simplified Arabic" w:cs="AL-Mohanad" w:hint="cs"/>
          <w:sz w:val="27"/>
          <w:szCs w:val="27"/>
          <w:rtl/>
          <w:lang w:bidi="ar-SY"/>
        </w:rPr>
        <w:t>ا</w:t>
      </w:r>
      <w:r w:rsidR="00373A12" w:rsidRPr="006571AC">
        <w:rPr>
          <w:rFonts w:ascii="Simplified Arabic" w:eastAsiaTheme="minorHAnsi" w:hAnsi="Simplified Arabic" w:cs="AL-Mohanad" w:hint="cs"/>
          <w:sz w:val="27"/>
          <w:szCs w:val="27"/>
          <w:rtl/>
          <w:lang w:bidi="ar-SY"/>
        </w:rPr>
        <w:t xml:space="preserve">ل </w:t>
      </w:r>
      <w:r w:rsidR="00373A12" w:rsidRPr="006571AC">
        <w:rPr>
          <w:rFonts w:ascii="Simplified Arabic" w:eastAsiaTheme="minorHAnsi" w:hAnsi="Simplified Arabic" w:cs="AL-Mohanad"/>
          <w:sz w:val="27"/>
          <w:szCs w:val="27"/>
          <w:rtl/>
          <w:lang w:bidi="ar-SY"/>
        </w:rPr>
        <w:t>حياة الفرد</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منذ ولادته وسيروة حياته في الأسرة والمجتمع والعمل الميداني</w:t>
      </w:r>
      <w:r w:rsidR="00373A12" w:rsidRPr="006571AC">
        <w:rPr>
          <w:rFonts w:ascii="Simplified Arabic" w:eastAsiaTheme="minorHAnsi" w:hAnsi="Simplified Arabic" w:cs="AL-Mohanad"/>
          <w:sz w:val="27"/>
          <w:szCs w:val="27"/>
          <w:rtl/>
          <w:lang w:bidi="ar-SY"/>
        </w:rPr>
        <w:t xml:space="preserve">. </w:t>
      </w:r>
    </w:p>
    <w:p w:rsidR="00373A12" w:rsidRPr="006571AC" w:rsidRDefault="00373A12"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ونحن في عالمنا العربي</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w:t>
      </w:r>
      <w:r w:rsidR="0064181A" w:rsidRPr="006571AC">
        <w:rPr>
          <w:rFonts w:ascii="Simplified Arabic" w:hAnsi="Simplified Arabic" w:hint="cs"/>
          <w:sz w:val="27"/>
          <w:rtl/>
          <w:lang w:bidi="ar-SY"/>
        </w:rPr>
        <w:t xml:space="preserve">ـ </w:t>
      </w:r>
      <w:r w:rsidRPr="006571AC">
        <w:rPr>
          <w:rFonts w:ascii="Simplified Arabic" w:hAnsi="Simplified Arabic" w:hint="cs"/>
          <w:sz w:val="27"/>
          <w:rtl/>
          <w:lang w:bidi="ar-SY"/>
        </w:rPr>
        <w:t>وحت</w:t>
      </w:r>
      <w:r w:rsidR="00906EE7" w:rsidRPr="006571AC">
        <w:rPr>
          <w:rFonts w:ascii="Simplified Arabic" w:hAnsi="Simplified Arabic" w:hint="cs"/>
          <w:sz w:val="27"/>
          <w:rtl/>
          <w:lang w:bidi="ar-SY"/>
        </w:rPr>
        <w:t>ّ</w:t>
      </w:r>
      <w:r w:rsidRPr="006571AC">
        <w:rPr>
          <w:rFonts w:ascii="Simplified Arabic" w:hAnsi="Simplified Arabic" w:hint="cs"/>
          <w:sz w:val="27"/>
          <w:rtl/>
          <w:lang w:bidi="ar-SY"/>
        </w:rPr>
        <w:t>ى عالمنا الإسلامي الأشمل</w:t>
      </w:r>
      <w:r w:rsidR="0064181A" w:rsidRPr="006571AC">
        <w:rPr>
          <w:rFonts w:ascii="Simplified Arabic" w:hAnsi="Simplified Arabic" w:hint="cs"/>
          <w:sz w:val="27"/>
          <w:rtl/>
          <w:lang w:bidi="ar-SY"/>
        </w:rPr>
        <w:t xml:space="preserve">، </w:t>
      </w:r>
      <w:r w:rsidRPr="006571AC">
        <w:rPr>
          <w:rFonts w:ascii="Simplified Arabic" w:hAnsi="Simplified Arabic" w:hint="cs"/>
          <w:sz w:val="27"/>
          <w:rtl/>
          <w:lang w:bidi="ar-SY"/>
        </w:rPr>
        <w:t>الذي لم يعتنِ ساست</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ه وحك</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امه ونخبه وصُنَّاع قراره ـ بمختلف طبقاتهم وأعمالهم ـ كثيراً وعميقاً بالمسألة التربوية الاجتماعية</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إلا</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قليلاً</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بسبب انشغالاتهم الدائمة بتثبيت سلطانهم</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وترسيخ مقو</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مات بقائهم، </w:t>
      </w:r>
      <w:r w:rsidR="0064181A" w:rsidRPr="006571AC">
        <w:rPr>
          <w:rFonts w:ascii="Simplified Arabic" w:hAnsi="Simplified Arabic" w:hint="cs"/>
          <w:sz w:val="27"/>
          <w:rtl/>
          <w:lang w:bidi="ar-SY"/>
        </w:rPr>
        <w:t>و</w:t>
      </w:r>
      <w:r w:rsidRPr="006571AC">
        <w:rPr>
          <w:rFonts w:ascii="Simplified Arabic" w:hAnsi="Simplified Arabic" w:hint="cs"/>
          <w:sz w:val="27"/>
          <w:rtl/>
          <w:lang w:bidi="ar-SY"/>
        </w:rPr>
        <w:t>اهتمامهم بالجانب السياسي، حيث لم يكترثوا لفشل مجتمعاتهم ودولهم في تحقيق تنمية</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إنسانية واقتصادية حقيقية متوازنة</w:t>
      </w:r>
      <w:r w:rsidR="0064181A" w:rsidRPr="006571AC">
        <w:rPr>
          <w:rFonts w:ascii="Simplified Arabic" w:hAnsi="Simplified Arabic" w:hint="cs"/>
          <w:sz w:val="27"/>
          <w:rtl/>
          <w:lang w:bidi="ar-SY"/>
        </w:rPr>
        <w:t xml:space="preserve"> ـ</w:t>
      </w:r>
      <w:r w:rsidRPr="006571AC">
        <w:rPr>
          <w:rFonts w:ascii="Simplified Arabic" w:hAnsi="Simplified Arabic" w:hint="cs"/>
          <w:sz w:val="27"/>
          <w:rtl/>
          <w:lang w:bidi="ar-SY"/>
        </w:rPr>
        <w:t xml:space="preserve"> أقول: نحن في عالمنا العربي</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ما زلنا م</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رت</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ه</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نين للعادة والع</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ر</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ف، وخاضعين للتقليد، وأسرى لعادات</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قديمة رث</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ة وبالية</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حت</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ى في الموضوع التربوي، تتحك</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م (تلك العادات المألوفة والمتسم</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رة جيلاً بعد آخر) بو</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ع</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ي الفرد العربي والمسلم، وسلوكياته وتصر</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فاته، مكرّ</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سةً أنماطاً خطيرة من التربية النفسية والسلوكية له، بل تزداد خطورتها نتيجة نسبتها ز</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وراً وبهتاناً </w:t>
      </w:r>
      <w:r w:rsidR="00265FEA" w:rsidRPr="006571AC">
        <w:rPr>
          <w:rFonts w:ascii="Simplified Arabic" w:hAnsi="Simplified Arabic" w:hint="cs"/>
          <w:sz w:val="27"/>
          <w:rtl/>
          <w:lang w:bidi="ar-SY"/>
        </w:rPr>
        <w:t>إلى ا</w:t>
      </w:r>
      <w:r w:rsidRPr="006571AC">
        <w:rPr>
          <w:rFonts w:ascii="Simplified Arabic" w:hAnsi="Simplified Arabic" w:hint="cs"/>
          <w:sz w:val="27"/>
          <w:rtl/>
          <w:lang w:bidi="ar-SY"/>
        </w:rPr>
        <w:t>لدين ذاته (للإسلام)، مع أنها عادات</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غير دينية، ولا تم</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ت</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 </w:t>
      </w:r>
      <w:r w:rsidR="00265FEA" w:rsidRPr="006571AC">
        <w:rPr>
          <w:rFonts w:ascii="Simplified Arabic" w:hAnsi="Simplified Arabic" w:hint="cs"/>
          <w:sz w:val="27"/>
          <w:rtl/>
          <w:lang w:bidi="ar-SY"/>
        </w:rPr>
        <w:t>إلى ا</w:t>
      </w:r>
      <w:r w:rsidRPr="006571AC">
        <w:rPr>
          <w:rFonts w:ascii="Simplified Arabic" w:hAnsi="Simplified Arabic" w:hint="cs"/>
          <w:sz w:val="27"/>
          <w:rtl/>
          <w:lang w:bidi="ar-SY"/>
        </w:rPr>
        <w:t>لمعايير الدينية (الإسلامية) الرصينة بشيء</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ولا صلة تربطها بالق</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ي</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م الإنسانية التي جاء الإسلام العظيم معبّ</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راً عنها بقو</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ة</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على مستوى الن</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ظ</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م الحقوقية ومنظومة الاعتقادات الفكرية</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التي تقوم على تربية الروح كمقد</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مة</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لتربية الجسد. </w:t>
      </w:r>
    </w:p>
    <w:p w:rsidR="00373A12" w:rsidRPr="006571AC" w:rsidRDefault="00265FEA"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 xml:space="preserve">إذن </w:t>
      </w:r>
      <w:r w:rsidR="00373A12" w:rsidRPr="006571AC">
        <w:rPr>
          <w:rFonts w:ascii="Simplified Arabic" w:hAnsi="Simplified Arabic" w:hint="cs"/>
          <w:sz w:val="27"/>
          <w:rtl/>
          <w:lang w:bidi="ar-SY"/>
        </w:rPr>
        <w:t>هي أزمة</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فكرية تعيشها القضي</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ة أو مسألة التربية في مجتمعاتنا، كجزء من أزمة بلداننا الرئيسة</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المتمث</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لة في عجز نخبتها الحاكمة عن تحقيق أو</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ليات النهوض السياسي والاقتصادي والتنموي، وبناء مجتمعات</w:t>
      </w:r>
      <w:r w:rsidR="00364320"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قوي</w:t>
      </w:r>
      <w:r w:rsidR="00364320" w:rsidRPr="006571AC">
        <w:rPr>
          <w:rFonts w:ascii="Simplified Arabic" w:hAnsi="Simplified Arabic" w:hint="cs"/>
          <w:sz w:val="27"/>
          <w:rtl/>
          <w:lang w:bidi="ar-SY"/>
        </w:rPr>
        <w:t>ّ</w:t>
      </w:r>
      <w:r w:rsidR="00373A12" w:rsidRPr="006571AC">
        <w:rPr>
          <w:rFonts w:ascii="Simplified Arabic" w:hAnsi="Simplified Arabic" w:hint="cs"/>
          <w:sz w:val="27"/>
          <w:rtl/>
          <w:lang w:bidi="ar-SY"/>
        </w:rPr>
        <w:t>ة منتجة ومزدهرة، مكتفية</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بذاتها</w:t>
      </w:r>
      <w:r w:rsidRPr="006571AC">
        <w:rPr>
          <w:rFonts w:ascii="Simplified Arabic" w:hAnsi="Simplified Arabic" w:hint="cs"/>
          <w:sz w:val="27"/>
          <w:rtl/>
          <w:lang w:bidi="ar-SY"/>
        </w:rPr>
        <w:t xml:space="preserve">، </w:t>
      </w:r>
      <w:r w:rsidR="00373A12" w:rsidRPr="006571AC">
        <w:rPr>
          <w:rFonts w:ascii="Simplified Arabic" w:hAnsi="Simplified Arabic" w:hint="cs"/>
          <w:sz w:val="27"/>
          <w:rtl/>
          <w:lang w:bidi="ar-SY"/>
        </w:rPr>
        <w:t>وقادرة</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على منافسة غيرها، نتيجة فشلها الذاتي في بناء (وبالتالي تربية) الفرد الح</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ر</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السليم والمعافى، الممتلئ بالمهارات النوعية، وعجزها عن تمكينه ليكون قادراً على العطاء والإنتاج والحضور الفاعل.</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وهذه الأزمة التربوية ليست جديدة</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بطبيعة الحال، فقد سبق</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ت</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مناقشتها والتطر</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ق إليها لدى كثير</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من باحثينا ومفك</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رينا الاختصاصيين</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الذين أشار معظمهم إلى أنّ هذه </w:t>
      </w:r>
      <w:r w:rsidR="00373A12" w:rsidRPr="006571AC">
        <w:rPr>
          <w:rFonts w:ascii="Simplified Arabic" w:hAnsi="Simplified Arabic"/>
          <w:sz w:val="27"/>
          <w:rtl/>
          <w:lang w:bidi="ar-SY"/>
        </w:rPr>
        <w:t>الأزمة</w:t>
      </w:r>
      <w:r w:rsidR="00373A12" w:rsidRPr="006571AC">
        <w:rPr>
          <w:rFonts w:ascii="Simplified Arabic" w:hAnsi="Simplified Arabic" w:hint="cs"/>
          <w:sz w:val="27"/>
          <w:rtl/>
          <w:lang w:bidi="ar-SY"/>
        </w:rPr>
        <w:t xml:space="preserve"> التي تقبع في ظل</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ها </w:t>
      </w:r>
      <w:r w:rsidR="00373A12" w:rsidRPr="006571AC">
        <w:rPr>
          <w:rFonts w:ascii="Simplified Arabic" w:hAnsi="Simplified Arabic"/>
          <w:sz w:val="27"/>
          <w:rtl/>
          <w:lang w:bidi="ar-SY"/>
        </w:rPr>
        <w:t>التربية</w:t>
      </w:r>
      <w:r w:rsidR="00373A12" w:rsidRPr="006571AC">
        <w:rPr>
          <w:rFonts w:ascii="Simplified Arabic" w:hAnsi="Simplified Arabic" w:hint="cs"/>
          <w:sz w:val="27"/>
          <w:rtl/>
          <w:lang w:bidi="ar-SY"/>
        </w:rPr>
        <w:t xml:space="preserve"> العربية ت</w:t>
      </w:r>
      <w:r w:rsidR="00373A12" w:rsidRPr="006571AC">
        <w:rPr>
          <w:rFonts w:ascii="Simplified Arabic" w:hAnsi="Simplified Arabic"/>
          <w:sz w:val="27"/>
          <w:rtl/>
          <w:lang w:bidi="ar-SY"/>
        </w:rPr>
        <w:t>تمي</w:t>
      </w:r>
      <w:r w:rsidR="00F237FF" w:rsidRPr="006571AC">
        <w:rPr>
          <w:rFonts w:ascii="Simplified Arabic" w:hAnsi="Simplified Arabic" w:hint="cs"/>
          <w:sz w:val="27"/>
          <w:rtl/>
          <w:lang w:bidi="ar-SY"/>
        </w:rPr>
        <w:t>َّ</w:t>
      </w:r>
      <w:r w:rsidR="00373A12" w:rsidRPr="006571AC">
        <w:rPr>
          <w:rFonts w:ascii="Simplified Arabic" w:hAnsi="Simplified Arabic"/>
          <w:sz w:val="27"/>
          <w:rtl/>
          <w:lang w:bidi="ar-SY"/>
        </w:rPr>
        <w:t>ز</w:t>
      </w:r>
      <w:r w:rsidR="00373A12" w:rsidRPr="006571AC">
        <w:rPr>
          <w:rFonts w:ascii="Simplified Arabic" w:hAnsi="Simplified Arabic" w:hint="cs"/>
          <w:sz w:val="27"/>
          <w:rtl/>
          <w:lang w:bidi="ar-SY"/>
        </w:rPr>
        <w:t xml:space="preserve"> بالعمق والشمول، </w:t>
      </w:r>
      <w:r w:rsidR="00373A12" w:rsidRPr="006571AC">
        <w:rPr>
          <w:rFonts w:ascii="Simplified Arabic" w:hAnsi="Simplified Arabic"/>
          <w:sz w:val="27"/>
          <w:rtl/>
          <w:lang w:bidi="ar-SY"/>
        </w:rPr>
        <w:t>لتأخذ</w:t>
      </w:r>
      <w:r w:rsidR="00373A12" w:rsidRPr="006571AC">
        <w:rPr>
          <w:rFonts w:ascii="Simplified Arabic" w:hAnsi="Simplified Arabic" w:hint="cs"/>
          <w:sz w:val="27"/>
          <w:rtl/>
          <w:lang w:bidi="ar-SY"/>
        </w:rPr>
        <w:t xml:space="preserve"> </w:t>
      </w:r>
      <w:r w:rsidR="00373A12" w:rsidRPr="006571AC">
        <w:rPr>
          <w:rFonts w:ascii="Simplified Arabic" w:hAnsi="Simplified Arabic"/>
          <w:sz w:val="27"/>
          <w:rtl/>
          <w:lang w:bidi="ar-SY"/>
        </w:rPr>
        <w:t>صورة</w:t>
      </w:r>
      <w:r w:rsidR="00373A12" w:rsidRPr="006571AC">
        <w:rPr>
          <w:rFonts w:ascii="Simplified Arabic" w:hAnsi="Simplified Arabic" w:hint="cs"/>
          <w:sz w:val="27"/>
          <w:rtl/>
          <w:lang w:bidi="ar-SY"/>
        </w:rPr>
        <w:t xml:space="preserve"> جمود</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متماسك في المضامين والحيثيات </w:t>
      </w:r>
      <w:r w:rsidR="00373A12" w:rsidRPr="006571AC">
        <w:rPr>
          <w:rFonts w:ascii="Simplified Arabic" w:hAnsi="Simplified Arabic" w:hint="cs"/>
          <w:sz w:val="27"/>
          <w:rtl/>
          <w:lang w:bidi="ar-SY"/>
        </w:rPr>
        <w:lastRenderedPageBreak/>
        <w:t>العملية، وركود</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في المناهج النظرية، وانغلاق</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في </w:t>
      </w:r>
      <w:r w:rsidR="00373A12" w:rsidRPr="006571AC">
        <w:rPr>
          <w:rFonts w:ascii="Simplified Arabic" w:hAnsi="Simplified Arabic"/>
          <w:sz w:val="27"/>
          <w:rtl/>
          <w:lang w:bidi="ar-SY"/>
        </w:rPr>
        <w:t>الرؤى</w:t>
      </w:r>
      <w:r w:rsidR="00373A12" w:rsidRPr="006571AC">
        <w:rPr>
          <w:rFonts w:ascii="Simplified Arabic" w:hAnsi="Simplified Arabic" w:hint="cs"/>
          <w:sz w:val="27"/>
          <w:rtl/>
          <w:lang w:bidi="ar-SY"/>
        </w:rPr>
        <w:t xml:space="preserve"> المفاهيمية، </w:t>
      </w:r>
      <w:r w:rsidR="00373A12" w:rsidRPr="006571AC">
        <w:rPr>
          <w:rFonts w:ascii="Simplified Arabic" w:hAnsi="Simplified Arabic"/>
          <w:sz w:val="27"/>
          <w:rtl/>
          <w:lang w:bidi="ar-SY"/>
        </w:rPr>
        <w:t>وتصل</w:t>
      </w:r>
      <w:r w:rsidR="00373A12" w:rsidRPr="006571AC">
        <w:rPr>
          <w:rFonts w:ascii="Simplified Arabic" w:hAnsi="Simplified Arabic" w:hint="cs"/>
          <w:sz w:val="27"/>
          <w:rtl/>
          <w:lang w:bidi="ar-SY"/>
        </w:rPr>
        <w:t>ُّ</w:t>
      </w:r>
      <w:r w:rsidR="00373A12" w:rsidRPr="006571AC">
        <w:rPr>
          <w:rFonts w:ascii="Simplified Arabic" w:hAnsi="Simplified Arabic"/>
          <w:sz w:val="27"/>
          <w:rtl/>
          <w:lang w:bidi="ar-SY"/>
        </w:rPr>
        <w:t>ب</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في التصو</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رات الفكرية القائمة. </w:t>
      </w:r>
    </w:p>
    <w:p w:rsidR="00373A12" w:rsidRPr="006571AC" w:rsidRDefault="00373A12"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 xml:space="preserve">وبالنظر </w:t>
      </w:r>
      <w:r w:rsidR="00F237FF" w:rsidRPr="006571AC">
        <w:rPr>
          <w:rFonts w:ascii="Simplified Arabic" w:hAnsi="Simplified Arabic" w:hint="cs"/>
          <w:sz w:val="27"/>
          <w:rtl/>
          <w:lang w:bidi="ar-SY"/>
        </w:rPr>
        <w:t xml:space="preserve">إلى </w:t>
      </w:r>
      <w:r w:rsidRPr="006571AC">
        <w:rPr>
          <w:rFonts w:ascii="Simplified Arabic" w:hAnsi="Simplified Arabic" w:hint="cs"/>
          <w:sz w:val="27"/>
          <w:rtl/>
          <w:lang w:bidi="ar-SY"/>
        </w:rPr>
        <w:t>ما تقدّ</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م، وخاص</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ة من خلال معاينة الواقع العملي الذي هو آية النجاح النظري، ومعيار التنفيذ الصحيح، يمكن التأكيد بأن فكرنا التربوي</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العربي</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والإسلامي</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ما زال يغرّ</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د في عالمه الطوباوي الخاص</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حالماً بواقع</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اجتماعي عربي وإسلامي جديد، وما تزال التربية </w:t>
      </w:r>
      <w:r w:rsidRPr="006571AC">
        <w:rPr>
          <w:rFonts w:ascii="Simplified Arabic" w:hAnsi="Simplified Arabic"/>
          <w:sz w:val="27"/>
          <w:rtl/>
          <w:lang w:bidi="ar-SY"/>
        </w:rPr>
        <w:t>العربية</w:t>
      </w:r>
      <w:r w:rsidRPr="006571AC">
        <w:rPr>
          <w:rFonts w:ascii="Simplified Arabic" w:hAnsi="Simplified Arabic" w:hint="cs"/>
          <w:sz w:val="27"/>
          <w:rtl/>
          <w:lang w:bidi="ar-SY"/>
        </w:rPr>
        <w:t xml:space="preserve"> </w:t>
      </w:r>
      <w:r w:rsidRPr="006571AC">
        <w:rPr>
          <w:rFonts w:ascii="Simplified Arabic" w:hAnsi="Simplified Arabic"/>
          <w:sz w:val="27"/>
          <w:rtl/>
          <w:lang w:bidi="ar-SY"/>
        </w:rPr>
        <w:t>تعاني</w:t>
      </w:r>
      <w:r w:rsidRPr="006571AC">
        <w:rPr>
          <w:rFonts w:ascii="Simplified Arabic" w:hAnsi="Simplified Arabic" w:hint="cs"/>
          <w:sz w:val="27"/>
          <w:rtl/>
          <w:lang w:bidi="ar-SY"/>
        </w:rPr>
        <w:t xml:space="preserve"> من المشاكل ذاتها التي تعيشها باقي القطاعات الفكرية</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هيمنة أفكار ومواقع </w:t>
      </w:r>
      <w:r w:rsidRPr="006571AC">
        <w:rPr>
          <w:rFonts w:ascii="Simplified Arabic" w:hAnsi="Simplified Arabic"/>
          <w:sz w:val="27"/>
          <w:rtl/>
          <w:lang w:bidi="ar-SY"/>
        </w:rPr>
        <w:t>الانغلاق</w:t>
      </w:r>
      <w:r w:rsidRPr="006571AC">
        <w:rPr>
          <w:rFonts w:ascii="Simplified Arabic" w:hAnsi="Simplified Arabic" w:hint="cs"/>
          <w:sz w:val="27"/>
          <w:rtl/>
          <w:lang w:bidi="ar-SY"/>
        </w:rPr>
        <w:t xml:space="preserve"> </w:t>
      </w:r>
      <w:r w:rsidRPr="006571AC">
        <w:rPr>
          <w:rFonts w:ascii="Simplified Arabic" w:hAnsi="Simplified Arabic"/>
          <w:sz w:val="27"/>
          <w:rtl/>
          <w:lang w:bidi="ar-SY"/>
        </w:rPr>
        <w:t>والتزم</w:t>
      </w:r>
      <w:r w:rsidR="00F237FF" w:rsidRPr="006571AC">
        <w:rPr>
          <w:rFonts w:ascii="Simplified Arabic" w:hAnsi="Simplified Arabic" w:hint="cs"/>
          <w:sz w:val="27"/>
          <w:rtl/>
          <w:lang w:bidi="ar-SY"/>
        </w:rPr>
        <w:t>ُّ</w:t>
      </w:r>
      <w:r w:rsidRPr="006571AC">
        <w:rPr>
          <w:rFonts w:ascii="Simplified Arabic" w:hAnsi="Simplified Arabic"/>
          <w:sz w:val="27"/>
          <w:rtl/>
          <w:lang w:bidi="ar-SY"/>
        </w:rPr>
        <w:t>ت</w:t>
      </w:r>
      <w:r w:rsidRPr="006571AC">
        <w:rPr>
          <w:rFonts w:ascii="Simplified Arabic" w:hAnsi="Simplified Arabic" w:hint="cs"/>
          <w:sz w:val="27"/>
          <w:rtl/>
          <w:lang w:bidi="ar-SY"/>
        </w:rPr>
        <w:t xml:space="preserve"> </w:t>
      </w:r>
      <w:r w:rsidRPr="006571AC">
        <w:rPr>
          <w:rFonts w:ascii="Simplified Arabic" w:hAnsi="Simplified Arabic"/>
          <w:sz w:val="27"/>
          <w:rtl/>
          <w:lang w:bidi="ar-SY"/>
        </w:rPr>
        <w:t>والانقطاع</w:t>
      </w:r>
      <w:r w:rsidRPr="006571AC">
        <w:rPr>
          <w:rFonts w:ascii="Simplified Arabic" w:hAnsi="Simplified Arabic" w:hint="cs"/>
          <w:sz w:val="27"/>
          <w:rtl/>
          <w:lang w:bidi="ar-SY"/>
        </w:rPr>
        <w:t xml:space="preserve"> </w:t>
      </w:r>
      <w:r w:rsidRPr="006571AC">
        <w:rPr>
          <w:rFonts w:ascii="Simplified Arabic" w:hAnsi="Simplified Arabic"/>
          <w:sz w:val="27"/>
          <w:rtl/>
          <w:lang w:bidi="ar-SY"/>
        </w:rPr>
        <w:t>والجمود</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كما ذك</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ر</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 xml:space="preserve">نا. </w:t>
      </w:r>
    </w:p>
    <w:p w:rsidR="00373A12" w:rsidRPr="006571AC" w:rsidRDefault="00373A12"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وهكذا، فنحن إذا كنا ندعو إلى تقدّ</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م مجتمعاتنا العربية والإسلامية عموماً، ون</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فْضِها لغبار التخل</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ف والتره</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ل والارتهان والاستلاب والبقاء على الحواشي</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أجل انخراطها الفعلي في عالم الحداثة العلمية والعملية الحضارية الكونية، من موقع الفعل لا الانفعال)، فكيف نفعل ذلك</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وما السبيل العملي والآليات التطبيقية المفترض السير عليها</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w:t>
      </w:r>
      <w:r w:rsidR="00F237FF" w:rsidRPr="006571AC">
        <w:rPr>
          <w:rFonts w:ascii="Simplified Arabic" w:hAnsi="Simplified Arabic" w:hint="cs"/>
          <w:sz w:val="27"/>
          <w:rtl/>
          <w:lang w:bidi="ar-SY"/>
        </w:rPr>
        <w:t>و</w:t>
      </w:r>
      <w:r w:rsidRPr="006571AC">
        <w:rPr>
          <w:rFonts w:ascii="Simplified Arabic" w:hAnsi="Simplified Arabic" w:hint="cs"/>
          <w:sz w:val="27"/>
          <w:rtl/>
          <w:lang w:bidi="ar-SY"/>
        </w:rPr>
        <w:t>خاص</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ة أننا نعاين ونعايش أزمة</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تربوي</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ة حاد</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ة في السلوك والفعل والتطبيق، وليس في النظرية فح</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س</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ب</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مع ضرورة التأم</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ل والنظر إلى مسألة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مهمة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وهي: </w:t>
      </w:r>
      <w:r w:rsidR="00C9721B" w:rsidRPr="006571AC">
        <w:rPr>
          <w:rFonts w:ascii="Simplified Arabic" w:hAnsi="Simplified Arabic" w:hint="cs"/>
          <w:sz w:val="27"/>
          <w:rtl/>
          <w:lang w:bidi="ar-SY"/>
        </w:rPr>
        <w:t>إ</w:t>
      </w:r>
      <w:r w:rsidRPr="006571AC">
        <w:rPr>
          <w:rFonts w:ascii="Simplified Arabic" w:hAnsi="Simplified Arabic" w:hint="cs"/>
          <w:sz w:val="27"/>
          <w:rtl/>
          <w:lang w:bidi="ar-SY"/>
        </w:rPr>
        <w:t xml:space="preserve">نّ </w:t>
      </w:r>
      <w:r w:rsidRPr="006571AC">
        <w:rPr>
          <w:rFonts w:ascii="Simplified Arabic" w:hAnsi="Simplified Arabic"/>
          <w:sz w:val="27"/>
          <w:rtl/>
          <w:lang w:bidi="ar-SY"/>
        </w:rPr>
        <w:t>تقد</w:t>
      </w:r>
      <w:r w:rsidRPr="006571AC">
        <w:rPr>
          <w:rFonts w:ascii="Simplified Arabic" w:hAnsi="Simplified Arabic" w:hint="cs"/>
          <w:sz w:val="27"/>
          <w:rtl/>
          <w:lang w:bidi="ar-SY"/>
        </w:rPr>
        <w:t>ّ</w:t>
      </w:r>
      <w:r w:rsidR="00C9721B" w:rsidRPr="006571AC">
        <w:rPr>
          <w:rFonts w:ascii="Simplified Arabic" w:hAnsi="Simplified Arabic" w:hint="cs"/>
          <w:sz w:val="27"/>
          <w:rtl/>
          <w:lang w:bidi="ar-SY"/>
        </w:rPr>
        <w:t>ُ</w:t>
      </w:r>
      <w:r w:rsidRPr="006571AC">
        <w:rPr>
          <w:rFonts w:ascii="Simplified Arabic" w:hAnsi="Simplified Arabic"/>
          <w:sz w:val="27"/>
          <w:rtl/>
          <w:lang w:bidi="ar-SY"/>
        </w:rPr>
        <w:t>م</w:t>
      </w:r>
      <w:r w:rsidRPr="006571AC">
        <w:rPr>
          <w:rFonts w:ascii="Simplified Arabic" w:hAnsi="Simplified Arabic" w:hint="cs"/>
          <w:sz w:val="27"/>
          <w:rtl/>
          <w:lang w:bidi="ar-SY"/>
        </w:rPr>
        <w:t xml:space="preserve"> تلك ا</w:t>
      </w:r>
      <w:r w:rsidRPr="006571AC">
        <w:rPr>
          <w:rFonts w:ascii="Simplified Arabic" w:hAnsi="Simplified Arabic"/>
          <w:sz w:val="27"/>
          <w:rtl/>
          <w:lang w:bidi="ar-SY"/>
        </w:rPr>
        <w:t>لمجتمعات</w:t>
      </w:r>
      <w:r w:rsidRPr="006571AC">
        <w:rPr>
          <w:rFonts w:ascii="Simplified Arabic" w:hAnsi="Simplified Arabic" w:hint="cs"/>
          <w:sz w:val="27"/>
          <w:rtl/>
          <w:lang w:bidi="ar-SY"/>
        </w:rPr>
        <w:t xml:space="preserve"> مرهون</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وخاضع</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بقو</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لتقدّ</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م وضعها النفسي الذاتي وطبيعة حالتها التربوية (أنظمة ومعاني وأسس تفكير وبنيات و</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ع</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 وهذه الأخيرة لا يمكن أن نصل إليها في ظل</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هيمنة روح الطغيان السياسي، واستمرار حالة الت</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ب</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عية والتقليد التاريخي، واستحكام أفكار الماضي الفائت وأجواء الجمود</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ورفض النقد والمساءلة للأفكار والسلوكيات وأنظمة القيم الموروثة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w:t>
      </w:r>
    </w:p>
    <w:p w:rsidR="00373A12" w:rsidRPr="006571AC" w:rsidRDefault="00373A12"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في ظل</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هذا الواقع البائس، المفتقر </w:t>
      </w:r>
      <w:r w:rsidR="00C9721B" w:rsidRPr="006571AC">
        <w:rPr>
          <w:rFonts w:ascii="Simplified Arabic" w:hAnsi="Simplified Arabic" w:hint="cs"/>
          <w:sz w:val="27"/>
          <w:rtl/>
          <w:lang w:bidi="ar-SY"/>
        </w:rPr>
        <w:t>إلى ا</w:t>
      </w:r>
      <w:r w:rsidRPr="006571AC">
        <w:rPr>
          <w:rFonts w:ascii="Simplified Arabic" w:hAnsi="Simplified Arabic" w:hint="cs"/>
          <w:sz w:val="27"/>
          <w:rtl/>
          <w:lang w:bidi="ar-SY"/>
        </w:rPr>
        <w:t>لحد</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الأدن</w:t>
      </w:r>
      <w:r w:rsidR="00C9721B" w:rsidRPr="006571AC">
        <w:rPr>
          <w:rFonts w:ascii="Simplified Arabic" w:hAnsi="Simplified Arabic" w:hint="cs"/>
          <w:sz w:val="27"/>
          <w:rtl/>
          <w:lang w:bidi="ar-SY"/>
        </w:rPr>
        <w:t>ى</w:t>
      </w:r>
      <w:r w:rsidRPr="006571AC">
        <w:rPr>
          <w:rFonts w:ascii="Simplified Arabic" w:hAnsi="Simplified Arabic" w:hint="cs"/>
          <w:sz w:val="27"/>
          <w:rtl/>
          <w:lang w:bidi="ar-SY"/>
        </w:rPr>
        <w:t xml:space="preserve"> من الو</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ع</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 الق</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مي المدروس والعلمي</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لأصول العمل التربوي، وانعدام فرص استثمار مبادئ وق</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م الدين المتسامحة المعروفة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الممكن إعادة ف</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ه</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مها وو</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ع</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يها (من الداخل) مجد</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داً</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للتكي</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ف مع الحياة والعصر، </w:t>
      </w:r>
      <w:r w:rsidR="00731867" w:rsidRPr="006571AC">
        <w:rPr>
          <w:rFonts w:ascii="Simplified Arabic" w:hAnsi="Simplified Arabic" w:hint="cs"/>
          <w:sz w:val="27"/>
          <w:rtl/>
          <w:lang w:bidi="ar-SY"/>
        </w:rPr>
        <w:t>لا بُدَّ</w:t>
      </w:r>
      <w:r w:rsidRPr="006571AC">
        <w:rPr>
          <w:rFonts w:ascii="Simplified Arabic" w:hAnsi="Simplified Arabic" w:hint="cs"/>
          <w:sz w:val="27"/>
          <w:rtl/>
          <w:lang w:bidi="ar-SY"/>
        </w:rPr>
        <w:t xml:space="preserve"> من الوقوف بقو</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أمام مفاصل الاهتراء الاجتماعي التربوي، وتحليل علله الذاتية، وكشف نقائصه وأمراضه، وتقديم وصفات العلاج الناجع، بما يمكن أن يسهم في تطوير واقع التربية العربية والإسلامية المعاصرة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الغافية على أحلام التجريد الق</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مي الحقوقي النظري. </w:t>
      </w:r>
    </w:p>
    <w:p w:rsidR="00373A12" w:rsidRPr="006571AC" w:rsidRDefault="00373A12" w:rsidP="004F6064">
      <w:pPr>
        <w:autoSpaceDE w:val="0"/>
        <w:autoSpaceDN w:val="0"/>
        <w:adjustRightInd w:val="0"/>
        <w:rPr>
          <w:rFonts w:ascii="Simplified Arabic" w:hAnsi="Simplified Arabic"/>
          <w:sz w:val="27"/>
          <w:rtl/>
        </w:rPr>
      </w:pPr>
      <w:r w:rsidRPr="006571AC">
        <w:rPr>
          <w:rFonts w:ascii="Simplified Arabic" w:hAnsi="Simplified Arabic" w:hint="cs"/>
          <w:sz w:val="27"/>
          <w:rtl/>
          <w:lang w:bidi="ar-SY"/>
        </w:rPr>
        <w:lastRenderedPageBreak/>
        <w:t>وهذه التربية المطلوب إعادة ضبط مساراتها هي جزء</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أساس ورئيس في مشروع نهوض العرب ككل</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ك</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ب</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وتهم الحضارية المدنية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التي طال</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ت</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واستطال</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ت</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إلى اليوم</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لأسباب كثيرة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ليس مجال نقاشها متاحاً في هذه القراءة. فالفرد هو الب</w:t>
      </w:r>
      <w:r w:rsidR="00192B30" w:rsidRPr="006571AC">
        <w:rPr>
          <w:rFonts w:ascii="Simplified Arabic" w:hAnsi="Simplified Arabic" w:hint="cs"/>
          <w:sz w:val="27"/>
          <w:rtl/>
          <w:lang w:bidi="ar-SY"/>
        </w:rPr>
        <w:t>ِ</w:t>
      </w:r>
      <w:r w:rsidRPr="006571AC">
        <w:rPr>
          <w:rFonts w:ascii="Simplified Arabic" w:hAnsi="Simplified Arabic" w:hint="cs"/>
          <w:sz w:val="27"/>
          <w:rtl/>
          <w:lang w:bidi="ar-SY"/>
        </w:rPr>
        <w:t>ن</w:t>
      </w:r>
      <w:r w:rsidR="00192B30" w:rsidRPr="006571AC">
        <w:rPr>
          <w:rFonts w:ascii="Simplified Arabic" w:hAnsi="Simplified Arabic" w:hint="cs"/>
          <w:sz w:val="27"/>
          <w:rtl/>
          <w:lang w:bidi="ar-SY"/>
        </w:rPr>
        <w:t>ْ</w:t>
      </w:r>
      <w:r w:rsidRPr="006571AC">
        <w:rPr>
          <w:rFonts w:ascii="Simplified Arabic" w:hAnsi="Simplified Arabic" w:hint="cs"/>
          <w:sz w:val="27"/>
          <w:rtl/>
          <w:lang w:bidi="ar-SY"/>
        </w:rPr>
        <w:t>ية الأولى في البناء التربوي، و</w:t>
      </w:r>
      <w:r w:rsidRPr="006571AC">
        <w:rPr>
          <w:rFonts w:ascii="Simplified Arabic" w:hAnsi="Simplified Arabic"/>
          <w:sz w:val="27"/>
          <w:rtl/>
          <w:lang w:bidi="ar-SY"/>
        </w:rPr>
        <w:t xml:space="preserve">القرآن </w:t>
      </w:r>
      <w:r w:rsidRPr="006571AC">
        <w:rPr>
          <w:rFonts w:ascii="Simplified Arabic" w:hAnsi="Simplified Arabic" w:hint="cs"/>
          <w:sz w:val="27"/>
          <w:rtl/>
          <w:lang w:bidi="ar-SY"/>
        </w:rPr>
        <w:t xml:space="preserve">الكريم </w:t>
      </w:r>
      <w:r w:rsidRPr="006571AC">
        <w:rPr>
          <w:rFonts w:ascii="Simplified Arabic" w:hAnsi="Simplified Arabic"/>
          <w:sz w:val="27"/>
          <w:rtl/>
          <w:lang w:bidi="ar-SY"/>
        </w:rPr>
        <w:t>يت</w:t>
      </w:r>
      <w:r w:rsidR="00192B30" w:rsidRPr="006571AC">
        <w:rPr>
          <w:rFonts w:ascii="Simplified Arabic" w:hAnsi="Simplified Arabic" w:hint="cs"/>
          <w:sz w:val="27"/>
          <w:rtl/>
          <w:lang w:bidi="ar-SY"/>
        </w:rPr>
        <w:t>َّ</w:t>
      </w:r>
      <w:r w:rsidRPr="006571AC">
        <w:rPr>
          <w:rFonts w:ascii="Simplified Arabic" w:hAnsi="Simplified Arabic"/>
          <w:sz w:val="27"/>
          <w:rtl/>
          <w:lang w:bidi="ar-SY"/>
        </w:rPr>
        <w:t>جه إلى الفرد ليرشده ويهديه</w:t>
      </w:r>
      <w:r w:rsidRPr="006571AC">
        <w:rPr>
          <w:rFonts w:ascii="Simplified Arabic" w:hAnsi="Simplified Arabic" w:hint="cs"/>
          <w:sz w:val="27"/>
          <w:rtl/>
          <w:lang w:bidi="ar-SY"/>
        </w:rPr>
        <w:t xml:space="preserve"> ويرب</w:t>
      </w:r>
      <w:r w:rsidR="00192B30" w:rsidRPr="006571AC">
        <w:rPr>
          <w:rFonts w:ascii="Simplified Arabic" w:hAnsi="Simplified Arabic" w:hint="cs"/>
          <w:sz w:val="27"/>
          <w:rtl/>
          <w:lang w:bidi="ar-SY"/>
        </w:rPr>
        <w:t>ِّ</w:t>
      </w:r>
      <w:r w:rsidRPr="006571AC">
        <w:rPr>
          <w:rFonts w:ascii="Simplified Arabic" w:hAnsi="Simplified Arabic" w:hint="cs"/>
          <w:sz w:val="27"/>
          <w:rtl/>
          <w:lang w:bidi="ar-SY"/>
        </w:rPr>
        <w:t>يه وينم</w:t>
      </w:r>
      <w:r w:rsidR="00192B30" w:rsidRPr="006571AC">
        <w:rPr>
          <w:rFonts w:ascii="Simplified Arabic" w:hAnsi="Simplified Arabic" w:hint="cs"/>
          <w:sz w:val="27"/>
          <w:rtl/>
          <w:lang w:bidi="ar-SY"/>
        </w:rPr>
        <w:t>ِّ</w:t>
      </w:r>
      <w:r w:rsidRPr="006571AC">
        <w:rPr>
          <w:rFonts w:ascii="Simplified Arabic" w:hAnsi="Simplified Arabic" w:hint="cs"/>
          <w:sz w:val="27"/>
          <w:rtl/>
          <w:lang w:bidi="ar-SY"/>
        </w:rPr>
        <w:t>يه</w:t>
      </w:r>
      <w:r w:rsidRPr="006571AC">
        <w:rPr>
          <w:rFonts w:ascii="Simplified Arabic" w:hAnsi="Simplified Arabic"/>
          <w:sz w:val="27"/>
          <w:rtl/>
          <w:lang w:bidi="ar-SY"/>
        </w:rPr>
        <w:t>، فيحذ</w:t>
      </w:r>
      <w:r w:rsidR="00192B30" w:rsidRPr="006571AC">
        <w:rPr>
          <w:rFonts w:ascii="Simplified Arabic" w:hAnsi="Simplified Arabic" w:hint="cs"/>
          <w:sz w:val="27"/>
          <w:rtl/>
          <w:lang w:bidi="ar-SY"/>
        </w:rPr>
        <w:t>ِّ</w:t>
      </w:r>
      <w:r w:rsidRPr="006571AC">
        <w:rPr>
          <w:rFonts w:ascii="Simplified Arabic" w:hAnsi="Simplified Arabic"/>
          <w:sz w:val="27"/>
          <w:rtl/>
          <w:lang w:bidi="ar-SY"/>
        </w:rPr>
        <w:t xml:space="preserve">ره عداوة الشيطان: </w:t>
      </w:r>
      <w:r w:rsidRPr="006571AC">
        <w:rPr>
          <w:rFonts w:ascii="Mosawi" w:hAnsi="Mosawi" w:cs="Mosawi"/>
          <w:sz w:val="24"/>
          <w:szCs w:val="24"/>
          <w:rtl/>
        </w:rPr>
        <w:t>﴿</w:t>
      </w:r>
      <w:r w:rsidR="00192B30" w:rsidRPr="006571AC">
        <w:rPr>
          <w:b/>
          <w:bCs/>
          <w:sz w:val="27"/>
          <w:rtl/>
        </w:rPr>
        <w:t>إِنَّ الشَّيْطَانَ لِلإِنسَانِ عَدُوٌّ مُبِينٌ</w:t>
      </w:r>
      <w:r w:rsidRPr="006571AC">
        <w:rPr>
          <w:rFonts w:ascii="Mosawi" w:hAnsi="Mosawi" w:cs="Mosawi"/>
          <w:sz w:val="24"/>
          <w:szCs w:val="24"/>
          <w:rtl/>
        </w:rPr>
        <w:t>﴾</w:t>
      </w:r>
      <w:r w:rsidRPr="006571AC">
        <w:rPr>
          <w:rFonts w:ascii="Simplified Arabic" w:hAnsi="Simplified Arabic" w:hint="cs"/>
          <w:sz w:val="27"/>
          <w:rtl/>
          <w:lang w:bidi="ar-SY"/>
        </w:rPr>
        <w:t xml:space="preserve"> (يوسف: </w:t>
      </w:r>
      <w:r w:rsidR="00192B30" w:rsidRPr="006571AC">
        <w:rPr>
          <w:rFonts w:ascii="Simplified Arabic" w:hAnsi="Simplified Arabic" w:hint="cs"/>
          <w:sz w:val="27"/>
          <w:rtl/>
          <w:lang w:bidi="ar-SY"/>
        </w:rPr>
        <w:t>5</w:t>
      </w:r>
      <w:r w:rsidRPr="006571AC">
        <w:rPr>
          <w:rFonts w:ascii="Simplified Arabic" w:hAnsi="Simplified Arabic" w:hint="cs"/>
          <w:sz w:val="27"/>
          <w:rtl/>
          <w:lang w:bidi="ar-SY"/>
        </w:rPr>
        <w:t xml:space="preserve">)، </w:t>
      </w:r>
      <w:r w:rsidRPr="006571AC">
        <w:rPr>
          <w:rFonts w:ascii="Simplified Arabic" w:hAnsi="Simplified Arabic"/>
          <w:sz w:val="27"/>
          <w:rtl/>
          <w:lang w:bidi="ar-SY"/>
        </w:rPr>
        <w:t>ويحذ</w:t>
      </w:r>
      <w:r w:rsidR="00192B30" w:rsidRPr="006571AC">
        <w:rPr>
          <w:rFonts w:ascii="Simplified Arabic" w:hAnsi="Simplified Arabic" w:hint="cs"/>
          <w:sz w:val="27"/>
          <w:rtl/>
          <w:lang w:bidi="ar-SY"/>
        </w:rPr>
        <w:t>ِّ</w:t>
      </w:r>
      <w:r w:rsidRPr="006571AC">
        <w:rPr>
          <w:rFonts w:ascii="Simplified Arabic" w:hAnsi="Simplified Arabic"/>
          <w:sz w:val="27"/>
          <w:rtl/>
          <w:lang w:bidi="ar-SY"/>
        </w:rPr>
        <w:t xml:space="preserve">ره الغرور: </w:t>
      </w:r>
      <w:r w:rsidRPr="006571AC">
        <w:rPr>
          <w:rFonts w:ascii="Mosawi" w:hAnsi="Mosawi" w:cs="Mosawi"/>
          <w:sz w:val="24"/>
          <w:szCs w:val="24"/>
          <w:rtl/>
        </w:rPr>
        <w:t>﴿</w:t>
      </w:r>
      <w:r w:rsidR="00192B30" w:rsidRPr="006571AC">
        <w:rPr>
          <w:b/>
          <w:bCs/>
          <w:sz w:val="27"/>
          <w:rtl/>
        </w:rPr>
        <w:t xml:space="preserve">يَا أَيُّهَا الإِنسَانُ مَا غَرَّكَ بِرَبِّكَ الْكَرِيمِ </w:t>
      </w:r>
      <w:r w:rsidR="00192B30" w:rsidRPr="006571AC">
        <w:rPr>
          <w:rFonts w:hint="cs"/>
          <w:b/>
          <w:bCs/>
          <w:sz w:val="27"/>
          <w:rtl/>
        </w:rPr>
        <w:t>*</w:t>
      </w:r>
      <w:r w:rsidR="00192B30" w:rsidRPr="006571AC">
        <w:rPr>
          <w:b/>
          <w:bCs/>
          <w:sz w:val="27"/>
          <w:rtl/>
        </w:rPr>
        <w:t xml:space="preserve"> الَّذِي خَلَقَكَ فَسَوَّاكَ فَعَدَلَكَ </w:t>
      </w:r>
      <w:r w:rsidR="00192B30" w:rsidRPr="006571AC">
        <w:rPr>
          <w:rFonts w:hint="cs"/>
          <w:b/>
          <w:bCs/>
          <w:sz w:val="27"/>
          <w:rtl/>
        </w:rPr>
        <w:t>*</w:t>
      </w:r>
      <w:r w:rsidR="00192B30" w:rsidRPr="006571AC">
        <w:rPr>
          <w:b/>
          <w:bCs/>
          <w:sz w:val="27"/>
          <w:rtl/>
        </w:rPr>
        <w:t xml:space="preserve"> فِي أَيِّ صُورَةٍ مَا شَاءَ رَكَّبَكَ</w:t>
      </w:r>
      <w:r w:rsidRPr="006571AC">
        <w:rPr>
          <w:rFonts w:ascii="Mosawi" w:hAnsi="Mosawi" w:cs="Mosawi"/>
          <w:sz w:val="24"/>
          <w:szCs w:val="24"/>
          <w:rtl/>
        </w:rPr>
        <w:t>﴾</w:t>
      </w:r>
      <w:r w:rsidRPr="006571AC">
        <w:rPr>
          <w:rFonts w:ascii="Simplified Arabic" w:hAnsi="Simplified Arabic" w:hint="cs"/>
          <w:sz w:val="27"/>
          <w:rtl/>
          <w:lang w:bidi="ar-SY"/>
        </w:rPr>
        <w:t xml:space="preserve"> (الانفطار: 6 ـ 8)،</w:t>
      </w:r>
      <w:r w:rsidRPr="006571AC">
        <w:rPr>
          <w:rFonts w:ascii="Simplified Arabic" w:hAnsi="Simplified Arabic"/>
          <w:sz w:val="27"/>
          <w:rtl/>
          <w:lang w:bidi="ar-SY"/>
        </w:rPr>
        <w:t xml:space="preserve"> ويحذ</w:t>
      </w:r>
      <w:r w:rsidR="00192B30" w:rsidRPr="006571AC">
        <w:rPr>
          <w:rFonts w:ascii="Simplified Arabic" w:hAnsi="Simplified Arabic" w:hint="cs"/>
          <w:sz w:val="27"/>
          <w:rtl/>
          <w:lang w:bidi="ar-SY"/>
        </w:rPr>
        <w:t>ِّ</w:t>
      </w:r>
      <w:r w:rsidRPr="006571AC">
        <w:rPr>
          <w:rFonts w:ascii="Simplified Arabic" w:hAnsi="Simplified Arabic"/>
          <w:sz w:val="27"/>
          <w:rtl/>
          <w:lang w:bidi="ar-SY"/>
        </w:rPr>
        <w:t xml:space="preserve">ره الطغيان: </w:t>
      </w:r>
      <w:r w:rsidRPr="006571AC">
        <w:rPr>
          <w:rFonts w:ascii="Mosawi" w:hAnsi="Mosawi" w:cs="Mosawi"/>
          <w:sz w:val="24"/>
          <w:szCs w:val="24"/>
          <w:rtl/>
        </w:rPr>
        <w:t>﴿</w:t>
      </w:r>
      <w:r w:rsidR="00192B30" w:rsidRPr="006571AC">
        <w:rPr>
          <w:b/>
          <w:bCs/>
          <w:sz w:val="27"/>
          <w:rtl/>
        </w:rPr>
        <w:t xml:space="preserve">كَلاَّ إِنَّ الإِنسَانَ لَيَطْغَى </w:t>
      </w:r>
      <w:r w:rsidR="00192B30" w:rsidRPr="006571AC">
        <w:rPr>
          <w:rFonts w:hint="cs"/>
          <w:b/>
          <w:bCs/>
          <w:sz w:val="27"/>
          <w:rtl/>
        </w:rPr>
        <w:t>*</w:t>
      </w:r>
      <w:r w:rsidR="00192B30" w:rsidRPr="006571AC">
        <w:rPr>
          <w:b/>
          <w:bCs/>
          <w:sz w:val="27"/>
          <w:rtl/>
        </w:rPr>
        <w:t xml:space="preserve"> أَنْ رَآهُ اسْتَغْنَى </w:t>
      </w:r>
      <w:r w:rsidR="00192B30" w:rsidRPr="006571AC">
        <w:rPr>
          <w:rFonts w:hint="cs"/>
          <w:b/>
          <w:bCs/>
          <w:sz w:val="27"/>
          <w:rtl/>
        </w:rPr>
        <w:t>*</w:t>
      </w:r>
      <w:r w:rsidR="00192B30" w:rsidRPr="006571AC">
        <w:rPr>
          <w:b/>
          <w:bCs/>
          <w:sz w:val="27"/>
          <w:rtl/>
        </w:rPr>
        <w:t xml:space="preserve"> إِنَّ إِلَى رَبِّكَ الرُّجْعَى</w:t>
      </w:r>
      <w:r w:rsidRPr="006571AC">
        <w:rPr>
          <w:rFonts w:ascii="Mosawi" w:hAnsi="Mosawi" w:cs="Mosawi"/>
          <w:sz w:val="24"/>
          <w:szCs w:val="24"/>
          <w:rtl/>
        </w:rPr>
        <w:t>﴾</w:t>
      </w:r>
      <w:r w:rsidRPr="006571AC">
        <w:rPr>
          <w:rFonts w:ascii="Simplified Arabic" w:hAnsi="Simplified Arabic" w:hint="cs"/>
          <w:sz w:val="27"/>
          <w:rtl/>
          <w:lang w:bidi="ar-SY"/>
        </w:rPr>
        <w:t xml:space="preserve"> (العلق: 6 ـ </w:t>
      </w:r>
      <w:r w:rsidR="00192B30" w:rsidRPr="006571AC">
        <w:rPr>
          <w:rFonts w:ascii="Simplified Arabic" w:hAnsi="Simplified Arabic" w:hint="cs"/>
          <w:sz w:val="27"/>
          <w:rtl/>
          <w:lang w:bidi="ar-SY"/>
        </w:rPr>
        <w:t>8</w:t>
      </w:r>
      <w:r w:rsidRPr="006571AC">
        <w:rPr>
          <w:rFonts w:ascii="Simplified Arabic" w:hAnsi="Simplified Arabic" w:hint="cs"/>
          <w:sz w:val="27"/>
          <w:rtl/>
          <w:lang w:bidi="ar-SY"/>
        </w:rPr>
        <w:t>)،</w:t>
      </w:r>
      <w:r w:rsidRPr="006571AC">
        <w:rPr>
          <w:rFonts w:ascii="Simplified Arabic" w:hAnsi="Simplified Arabic"/>
          <w:sz w:val="27"/>
          <w:rtl/>
          <w:lang w:bidi="ar-SY"/>
        </w:rPr>
        <w:t xml:space="preserve"> </w:t>
      </w:r>
      <w:r w:rsidRPr="006571AC">
        <w:rPr>
          <w:rFonts w:ascii="Simplified Arabic" w:hAnsi="Simplified Arabic"/>
          <w:sz w:val="27"/>
          <w:shd w:val="clear" w:color="auto" w:fill="FFFFFF"/>
          <w:rtl/>
        </w:rPr>
        <w:t>ويذك</w:t>
      </w:r>
      <w:r w:rsidR="00192B30"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ره بتحم</w:t>
      </w:r>
      <w:r w:rsidR="00192B30"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ل الت</w:t>
      </w:r>
      <w:r w:rsidR="00192B30"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ب</w:t>
      </w:r>
      <w:r w:rsidR="00192B30"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عة: </w:t>
      </w:r>
      <w:r w:rsidRPr="006571AC">
        <w:rPr>
          <w:rFonts w:ascii="Mosawi" w:hAnsi="Mosawi" w:cs="Mosawi"/>
          <w:sz w:val="24"/>
          <w:szCs w:val="24"/>
          <w:rtl/>
        </w:rPr>
        <w:t>﴿</w:t>
      </w:r>
      <w:r w:rsidR="00192B30" w:rsidRPr="006571AC">
        <w:rPr>
          <w:b/>
          <w:bCs/>
          <w:sz w:val="27"/>
          <w:rtl/>
        </w:rPr>
        <w:t xml:space="preserve">وَكُلَّ إِنسَانٍ أَلْزَمْنَاهُ طَائِرَهُ فِي عُنُقِهِ وَنُخْرِجُ لَهُ يَوْمَ الْقِيَامَةِ كِتَاباً يَلْقَاهُ مَنشُوراً </w:t>
      </w:r>
      <w:r w:rsidR="00C81F9F" w:rsidRPr="006571AC">
        <w:rPr>
          <w:rFonts w:hint="cs"/>
          <w:b/>
          <w:bCs/>
          <w:sz w:val="27"/>
          <w:rtl/>
        </w:rPr>
        <w:t>*</w:t>
      </w:r>
      <w:r w:rsidR="00192B30" w:rsidRPr="006571AC">
        <w:rPr>
          <w:b/>
          <w:bCs/>
          <w:sz w:val="27"/>
          <w:rtl/>
        </w:rPr>
        <w:t xml:space="preserve"> اقْرَأْ كِتَابَكَ كَفَى بِنَفْسِكَ الْيَوْمَ عَلَيْكَ حَسِيباً </w:t>
      </w:r>
      <w:r w:rsidR="00C81F9F" w:rsidRPr="006571AC">
        <w:rPr>
          <w:rFonts w:hint="cs"/>
          <w:b/>
          <w:bCs/>
          <w:sz w:val="27"/>
          <w:rtl/>
        </w:rPr>
        <w:t>*</w:t>
      </w:r>
      <w:r w:rsidR="00192B30" w:rsidRPr="006571AC">
        <w:rPr>
          <w:b/>
          <w:bCs/>
          <w:sz w:val="27"/>
          <w:rtl/>
        </w:rPr>
        <w:t xml:space="preserve"> مَنْ اهْتَدَى فَإِنَّمَا يَهْتَدِي لِنَفْسِهِ وَمَنْ ضَلَّ فَإِنَّمَا يَضِلُّ عَلَيْهَا وَلاَ تَزِرُ وَازِرَةٌ وِزْرَ أُخْرَى وَمَا كُنَّا مُعَذِّبِينَ حَتَّى نَبْعَثَ رَسُولاً</w:t>
      </w:r>
      <w:r w:rsidRPr="006571AC">
        <w:rPr>
          <w:rFonts w:ascii="Mosawi" w:hAnsi="Mosawi" w:cs="Mosawi"/>
          <w:sz w:val="24"/>
          <w:szCs w:val="24"/>
          <w:rtl/>
        </w:rPr>
        <w:t>﴾</w:t>
      </w:r>
      <w:r w:rsidRPr="006571AC">
        <w:rPr>
          <w:rFonts w:ascii="Simplified Arabic" w:hAnsi="Simplified Arabic" w:hint="cs"/>
          <w:sz w:val="27"/>
          <w:shd w:val="clear" w:color="auto" w:fill="FFFFFF"/>
          <w:rtl/>
        </w:rPr>
        <w:t xml:space="preserve"> (الإسراء: 13 ـ 15). </w:t>
      </w:r>
    </w:p>
    <w:p w:rsidR="00373A12" w:rsidRPr="006571AC" w:rsidRDefault="00373A12" w:rsidP="004F6064">
      <w:pPr>
        <w:autoSpaceDE w:val="0"/>
        <w:autoSpaceDN w:val="0"/>
        <w:adjustRightInd w:val="0"/>
        <w:rPr>
          <w:rFonts w:ascii="Simplified Arabic" w:hAnsi="Simplified Arabic"/>
          <w:sz w:val="27"/>
          <w:rtl/>
        </w:rPr>
      </w:pPr>
      <w:r w:rsidRPr="006571AC">
        <w:rPr>
          <w:rFonts w:ascii="Simplified Arabic" w:hAnsi="Simplified Arabic" w:hint="cs"/>
          <w:sz w:val="27"/>
          <w:rtl/>
        </w:rPr>
        <w:t>ونحن عندما نراجع كثيراً من أدبياتنا التربوية المعاصرة</w:t>
      </w:r>
      <w:r w:rsidR="00C81F9F" w:rsidRPr="006571AC">
        <w:rPr>
          <w:rFonts w:ascii="Simplified Arabic" w:hAnsi="Simplified Arabic" w:hint="cs"/>
          <w:sz w:val="27"/>
          <w:rtl/>
        </w:rPr>
        <w:t>،</w:t>
      </w:r>
      <w:r w:rsidRPr="006571AC">
        <w:rPr>
          <w:rFonts w:ascii="Simplified Arabic" w:hAnsi="Simplified Arabic" w:hint="cs"/>
          <w:sz w:val="27"/>
          <w:rtl/>
        </w:rPr>
        <w:t xml:space="preserve"> التي تحد</w:t>
      </w:r>
      <w:r w:rsidR="00C81F9F" w:rsidRPr="006571AC">
        <w:rPr>
          <w:rFonts w:ascii="Simplified Arabic" w:hAnsi="Simplified Arabic" w:hint="cs"/>
          <w:sz w:val="27"/>
          <w:rtl/>
        </w:rPr>
        <w:t>َّ</w:t>
      </w:r>
      <w:r w:rsidRPr="006571AC">
        <w:rPr>
          <w:rFonts w:ascii="Simplified Arabic" w:hAnsi="Simplified Arabic" w:hint="cs"/>
          <w:sz w:val="27"/>
          <w:rtl/>
        </w:rPr>
        <w:t>ثت ـ واستفاض</w:t>
      </w:r>
      <w:r w:rsidR="00C81F9F" w:rsidRPr="006571AC">
        <w:rPr>
          <w:rFonts w:ascii="Simplified Arabic" w:hAnsi="Simplified Arabic" w:hint="cs"/>
          <w:sz w:val="27"/>
          <w:rtl/>
        </w:rPr>
        <w:t>َ</w:t>
      </w:r>
      <w:r w:rsidRPr="006571AC">
        <w:rPr>
          <w:rFonts w:ascii="Simplified Arabic" w:hAnsi="Simplified Arabic" w:hint="cs"/>
          <w:sz w:val="27"/>
          <w:rtl/>
        </w:rPr>
        <w:t>ت</w:t>
      </w:r>
      <w:r w:rsidR="00C81F9F" w:rsidRPr="006571AC">
        <w:rPr>
          <w:rFonts w:ascii="Simplified Arabic" w:hAnsi="Simplified Arabic" w:hint="cs"/>
          <w:sz w:val="27"/>
          <w:rtl/>
        </w:rPr>
        <w:t>ْ</w:t>
      </w:r>
      <w:r w:rsidRPr="006571AC">
        <w:rPr>
          <w:rFonts w:ascii="Simplified Arabic" w:hAnsi="Simplified Arabic" w:hint="cs"/>
          <w:sz w:val="27"/>
          <w:rtl/>
        </w:rPr>
        <w:t xml:space="preserve"> في الحديث ـ عن التربية و</w:t>
      </w:r>
      <w:r w:rsidRPr="006571AC">
        <w:rPr>
          <w:rFonts w:ascii="Simplified Arabic" w:hAnsi="Simplified Arabic"/>
          <w:sz w:val="27"/>
          <w:rtl/>
        </w:rPr>
        <w:t>الأصول الاجتماعية للتربية</w:t>
      </w:r>
      <w:r w:rsidRPr="006571AC">
        <w:rPr>
          <w:rFonts w:ascii="Simplified Arabic" w:hAnsi="Simplified Arabic" w:hint="cs"/>
          <w:sz w:val="27"/>
          <w:rtl/>
        </w:rPr>
        <w:t>، نلاحظ غ</w:t>
      </w:r>
      <w:r w:rsidR="00C81F9F" w:rsidRPr="006571AC">
        <w:rPr>
          <w:rFonts w:ascii="Simplified Arabic" w:hAnsi="Simplified Arabic" w:hint="cs"/>
          <w:sz w:val="27"/>
          <w:rtl/>
        </w:rPr>
        <w:t>َ</w:t>
      </w:r>
      <w:r w:rsidRPr="006571AC">
        <w:rPr>
          <w:rFonts w:ascii="Simplified Arabic" w:hAnsi="Simplified Arabic" w:hint="cs"/>
          <w:sz w:val="27"/>
          <w:rtl/>
        </w:rPr>
        <w:t>ل</w:t>
      </w:r>
      <w:r w:rsidR="00C81F9F" w:rsidRPr="006571AC">
        <w:rPr>
          <w:rFonts w:ascii="Simplified Arabic" w:hAnsi="Simplified Arabic" w:hint="cs"/>
          <w:sz w:val="27"/>
          <w:rtl/>
        </w:rPr>
        <w:t>َ</w:t>
      </w:r>
      <w:r w:rsidRPr="006571AC">
        <w:rPr>
          <w:rFonts w:ascii="Simplified Arabic" w:hAnsi="Simplified Arabic" w:hint="cs"/>
          <w:sz w:val="27"/>
          <w:rtl/>
        </w:rPr>
        <w:t>بة السرد النظري</w:t>
      </w:r>
      <w:r w:rsidR="00C81F9F" w:rsidRPr="006571AC">
        <w:rPr>
          <w:rFonts w:ascii="Simplified Arabic" w:hAnsi="Simplified Arabic" w:hint="cs"/>
          <w:sz w:val="27"/>
          <w:rtl/>
        </w:rPr>
        <w:t>ّ،</w:t>
      </w:r>
      <w:r w:rsidRPr="006571AC">
        <w:rPr>
          <w:rFonts w:ascii="Simplified Arabic" w:hAnsi="Simplified Arabic" w:hint="cs"/>
          <w:sz w:val="27"/>
          <w:rtl/>
        </w:rPr>
        <w:t xml:space="preserve"> بعيداً عن تمث</w:t>
      </w:r>
      <w:r w:rsidR="00C81F9F" w:rsidRPr="006571AC">
        <w:rPr>
          <w:rFonts w:ascii="Simplified Arabic" w:hAnsi="Simplified Arabic" w:hint="cs"/>
          <w:sz w:val="27"/>
          <w:rtl/>
        </w:rPr>
        <w:t>ُّ</w:t>
      </w:r>
      <w:r w:rsidRPr="006571AC">
        <w:rPr>
          <w:rFonts w:ascii="Simplified Arabic" w:hAnsi="Simplified Arabic" w:hint="cs"/>
          <w:sz w:val="27"/>
          <w:rtl/>
        </w:rPr>
        <w:t>ل معنى ا</w:t>
      </w:r>
      <w:r w:rsidRPr="006571AC">
        <w:rPr>
          <w:rFonts w:ascii="Simplified Arabic" w:hAnsi="Simplified Arabic"/>
          <w:sz w:val="27"/>
          <w:rtl/>
        </w:rPr>
        <w:t>لبحث في الجانب العلمي التطبيقي، المتعل</w:t>
      </w:r>
      <w:r w:rsidR="00C81F9F" w:rsidRPr="006571AC">
        <w:rPr>
          <w:rFonts w:ascii="Simplified Arabic" w:hAnsi="Simplified Arabic" w:hint="cs"/>
          <w:sz w:val="27"/>
          <w:rtl/>
        </w:rPr>
        <w:t>ِّ</w:t>
      </w:r>
      <w:r w:rsidRPr="006571AC">
        <w:rPr>
          <w:rFonts w:ascii="Simplified Arabic" w:hAnsi="Simplified Arabic"/>
          <w:sz w:val="27"/>
          <w:rtl/>
        </w:rPr>
        <w:t>ق</w:t>
      </w:r>
      <w:r w:rsidRPr="006571AC">
        <w:rPr>
          <w:rFonts w:ascii="Simplified Arabic" w:hAnsi="Simplified Arabic" w:hint="cs"/>
          <w:sz w:val="27"/>
          <w:rtl/>
        </w:rPr>
        <w:t xml:space="preserve"> </w:t>
      </w:r>
      <w:r w:rsidRPr="006571AC">
        <w:rPr>
          <w:rFonts w:ascii="Simplified Arabic" w:hAnsi="Simplified Arabic"/>
          <w:sz w:val="27"/>
          <w:rtl/>
        </w:rPr>
        <w:t xml:space="preserve">بدراسة </w:t>
      </w:r>
      <w:r w:rsidRPr="006571AC">
        <w:rPr>
          <w:rFonts w:ascii="Simplified Arabic" w:hAnsi="Simplified Arabic" w:hint="cs"/>
          <w:sz w:val="27"/>
          <w:rtl/>
        </w:rPr>
        <w:t>(</w:t>
      </w:r>
      <w:r w:rsidRPr="006571AC">
        <w:rPr>
          <w:rFonts w:ascii="Simplified Arabic" w:hAnsi="Simplified Arabic"/>
          <w:sz w:val="27"/>
          <w:rtl/>
        </w:rPr>
        <w:t>وتحديد</w:t>
      </w:r>
      <w:r w:rsidRPr="006571AC">
        <w:rPr>
          <w:rFonts w:ascii="Simplified Arabic" w:hAnsi="Simplified Arabic" w:hint="cs"/>
          <w:sz w:val="27"/>
          <w:rtl/>
        </w:rPr>
        <w:t xml:space="preserve">) </w:t>
      </w:r>
      <w:r w:rsidRPr="006571AC">
        <w:rPr>
          <w:rFonts w:ascii="Simplified Arabic" w:hAnsi="Simplified Arabic"/>
          <w:sz w:val="27"/>
          <w:rtl/>
        </w:rPr>
        <w:t>الأسباب الاجتماعية والثقافية</w:t>
      </w:r>
      <w:r w:rsidR="00C81F9F" w:rsidRPr="006571AC">
        <w:rPr>
          <w:rFonts w:ascii="Simplified Arabic" w:hAnsi="Simplified Arabic" w:hint="cs"/>
          <w:sz w:val="27"/>
          <w:rtl/>
        </w:rPr>
        <w:t>،</w:t>
      </w:r>
      <w:r w:rsidRPr="006571AC">
        <w:rPr>
          <w:rFonts w:ascii="Simplified Arabic" w:hAnsi="Simplified Arabic"/>
          <w:sz w:val="27"/>
          <w:rtl/>
        </w:rPr>
        <w:t xml:space="preserve"> وحت</w:t>
      </w:r>
      <w:r w:rsidR="00C81F9F" w:rsidRPr="006571AC">
        <w:rPr>
          <w:rFonts w:ascii="Simplified Arabic" w:hAnsi="Simplified Arabic" w:hint="cs"/>
          <w:sz w:val="27"/>
          <w:rtl/>
        </w:rPr>
        <w:t>ّ</w:t>
      </w:r>
      <w:r w:rsidRPr="006571AC">
        <w:rPr>
          <w:rFonts w:ascii="Simplified Arabic" w:hAnsi="Simplified Arabic"/>
          <w:sz w:val="27"/>
          <w:rtl/>
        </w:rPr>
        <w:t>ى السياسية (فكلنا نعيش في عمق السياسة</w:t>
      </w:r>
      <w:r w:rsidRPr="006571AC">
        <w:rPr>
          <w:rFonts w:ascii="Simplified Arabic" w:hAnsi="Simplified Arabic" w:hint="cs"/>
          <w:sz w:val="27"/>
          <w:rtl/>
        </w:rPr>
        <w:t xml:space="preserve">، </w:t>
      </w:r>
      <w:r w:rsidRPr="006571AC">
        <w:rPr>
          <w:rFonts w:ascii="Simplified Arabic" w:hAnsi="Simplified Arabic"/>
          <w:sz w:val="27"/>
          <w:rtl/>
        </w:rPr>
        <w:t>ونتأث</w:t>
      </w:r>
      <w:r w:rsidR="00C81F9F" w:rsidRPr="006571AC">
        <w:rPr>
          <w:rFonts w:ascii="Simplified Arabic" w:hAnsi="Simplified Arabic" w:hint="cs"/>
          <w:sz w:val="27"/>
          <w:rtl/>
        </w:rPr>
        <w:t>َّ</w:t>
      </w:r>
      <w:r w:rsidRPr="006571AC">
        <w:rPr>
          <w:rFonts w:ascii="Simplified Arabic" w:hAnsi="Simplified Arabic"/>
          <w:sz w:val="27"/>
          <w:rtl/>
        </w:rPr>
        <w:t>ر بها سلباً وإيجاباً)</w:t>
      </w:r>
      <w:r w:rsidR="00C81F9F" w:rsidRPr="006571AC">
        <w:rPr>
          <w:rFonts w:ascii="Simplified Arabic" w:hAnsi="Simplified Arabic" w:hint="cs"/>
          <w:sz w:val="27"/>
          <w:rtl/>
        </w:rPr>
        <w:t>،</w:t>
      </w:r>
      <w:r w:rsidRPr="006571AC">
        <w:rPr>
          <w:rFonts w:ascii="Simplified Arabic" w:hAnsi="Simplified Arabic"/>
          <w:sz w:val="27"/>
          <w:rtl/>
        </w:rPr>
        <w:t xml:space="preserve"> لما تعانيه أجيالنا العربي</w:t>
      </w:r>
      <w:r w:rsidR="00C81F9F" w:rsidRPr="006571AC">
        <w:rPr>
          <w:rFonts w:ascii="Simplified Arabic" w:hAnsi="Simplified Arabic" w:hint="cs"/>
          <w:sz w:val="27"/>
          <w:rtl/>
        </w:rPr>
        <w:t>ّ</w:t>
      </w:r>
      <w:r w:rsidRPr="006571AC">
        <w:rPr>
          <w:rFonts w:ascii="Simplified Arabic" w:hAnsi="Simplified Arabic"/>
          <w:sz w:val="27"/>
          <w:rtl/>
        </w:rPr>
        <w:t>ة والمسلمة المعاصرة من أزمات سياسية داهمة ومقيمة</w:t>
      </w:r>
      <w:r w:rsidRPr="006571AC">
        <w:rPr>
          <w:rFonts w:ascii="Simplified Arabic" w:hAnsi="Simplified Arabic" w:hint="cs"/>
          <w:sz w:val="27"/>
          <w:rtl/>
        </w:rPr>
        <w:t xml:space="preserve">، </w:t>
      </w:r>
      <w:r w:rsidRPr="006571AC">
        <w:rPr>
          <w:rFonts w:ascii="Simplified Arabic" w:hAnsi="Simplified Arabic"/>
          <w:sz w:val="27"/>
          <w:rtl/>
        </w:rPr>
        <w:t>ومشكلات تربوية اجتماعية مرك</w:t>
      </w:r>
      <w:r w:rsidRPr="006571AC">
        <w:rPr>
          <w:rFonts w:ascii="Simplified Arabic" w:hAnsi="Simplified Arabic" w:hint="cs"/>
          <w:sz w:val="27"/>
          <w:rtl/>
        </w:rPr>
        <w:t>ّ</w:t>
      </w:r>
      <w:r w:rsidR="00C81F9F" w:rsidRPr="006571AC">
        <w:rPr>
          <w:rFonts w:ascii="Simplified Arabic" w:hAnsi="Simplified Arabic" w:hint="cs"/>
          <w:sz w:val="27"/>
          <w:rtl/>
        </w:rPr>
        <w:t>َ</w:t>
      </w:r>
      <w:r w:rsidRPr="006571AC">
        <w:rPr>
          <w:rFonts w:ascii="Simplified Arabic" w:hAnsi="Simplified Arabic"/>
          <w:sz w:val="27"/>
          <w:rtl/>
        </w:rPr>
        <w:t>بة ومعق</w:t>
      </w:r>
      <w:r w:rsidR="00C81F9F" w:rsidRPr="006571AC">
        <w:rPr>
          <w:rFonts w:ascii="Simplified Arabic" w:hAnsi="Simplified Arabic" w:hint="cs"/>
          <w:sz w:val="27"/>
          <w:rtl/>
        </w:rPr>
        <w:t>َّ</w:t>
      </w:r>
      <w:r w:rsidRPr="006571AC">
        <w:rPr>
          <w:rFonts w:ascii="Simplified Arabic" w:hAnsi="Simplified Arabic"/>
          <w:sz w:val="27"/>
          <w:rtl/>
        </w:rPr>
        <w:t>دة، تتمث</w:t>
      </w:r>
      <w:r w:rsidR="00C81F9F" w:rsidRPr="006571AC">
        <w:rPr>
          <w:rFonts w:ascii="Simplified Arabic" w:hAnsi="Simplified Arabic" w:hint="cs"/>
          <w:sz w:val="27"/>
          <w:rtl/>
        </w:rPr>
        <w:t>َّ</w:t>
      </w:r>
      <w:r w:rsidRPr="006571AC">
        <w:rPr>
          <w:rFonts w:ascii="Simplified Arabic" w:hAnsi="Simplified Arabic"/>
          <w:sz w:val="27"/>
          <w:rtl/>
        </w:rPr>
        <w:t>ل في استنكاف أجيالنا العربية عن الفعل والحضور، وانكفائها عن بناء وتطوير مجتمعاتها، وعدم انخراطها جد</w:t>
      </w:r>
      <w:r w:rsidR="00C81F9F" w:rsidRPr="006571AC">
        <w:rPr>
          <w:rFonts w:ascii="Simplified Arabic" w:hAnsi="Simplified Arabic" w:hint="cs"/>
          <w:sz w:val="27"/>
          <w:rtl/>
        </w:rPr>
        <w:t>ِّ</w:t>
      </w:r>
      <w:r w:rsidRPr="006571AC">
        <w:rPr>
          <w:rFonts w:ascii="Simplified Arabic" w:hAnsi="Simplified Arabic"/>
          <w:sz w:val="27"/>
          <w:rtl/>
        </w:rPr>
        <w:t>ياً في أي</w:t>
      </w:r>
      <w:r w:rsidR="00C81F9F" w:rsidRPr="006571AC">
        <w:rPr>
          <w:rFonts w:ascii="Simplified Arabic" w:hAnsi="Simplified Arabic" w:hint="cs"/>
          <w:sz w:val="27"/>
          <w:rtl/>
        </w:rPr>
        <w:t>ّ</w:t>
      </w:r>
      <w:r w:rsidRPr="006571AC">
        <w:rPr>
          <w:rFonts w:ascii="Simplified Arabic" w:hAnsi="Simplified Arabic"/>
          <w:sz w:val="27"/>
          <w:rtl/>
        </w:rPr>
        <w:t xml:space="preserve"> مشروع</w:t>
      </w:r>
      <w:r w:rsidR="00C81F9F" w:rsidRPr="006571AC">
        <w:rPr>
          <w:rFonts w:ascii="Simplified Arabic" w:hAnsi="Simplified Arabic" w:hint="cs"/>
          <w:sz w:val="27"/>
          <w:rtl/>
        </w:rPr>
        <w:t>ٍ</w:t>
      </w:r>
      <w:r w:rsidRPr="006571AC">
        <w:rPr>
          <w:rFonts w:ascii="Simplified Arabic" w:hAnsi="Simplified Arabic"/>
          <w:sz w:val="27"/>
          <w:rtl/>
        </w:rPr>
        <w:t xml:space="preserve"> نهضوي وتنموي طوعياً وإرادياً حت</w:t>
      </w:r>
      <w:r w:rsidR="00C81F9F" w:rsidRPr="006571AC">
        <w:rPr>
          <w:rFonts w:ascii="Simplified Arabic" w:hAnsi="Simplified Arabic" w:hint="cs"/>
          <w:sz w:val="27"/>
          <w:rtl/>
        </w:rPr>
        <w:t>ّ</w:t>
      </w:r>
      <w:r w:rsidRPr="006571AC">
        <w:rPr>
          <w:rFonts w:ascii="Simplified Arabic" w:hAnsi="Simplified Arabic"/>
          <w:sz w:val="27"/>
          <w:rtl/>
        </w:rPr>
        <w:t>ى اليوم...</w:t>
      </w:r>
      <w:r w:rsidR="00C81F9F" w:rsidRPr="006571AC">
        <w:rPr>
          <w:rFonts w:ascii="Simplified Arabic" w:hAnsi="Simplified Arabic" w:hint="cs"/>
          <w:sz w:val="27"/>
          <w:rtl/>
        </w:rPr>
        <w:t>،</w:t>
      </w:r>
      <w:r w:rsidRPr="006571AC">
        <w:rPr>
          <w:rFonts w:ascii="Simplified Arabic" w:hAnsi="Simplified Arabic"/>
          <w:sz w:val="27"/>
          <w:rtl/>
        </w:rPr>
        <w:t xml:space="preserve"> ومحاولة وصف العلاج المناسب لهذه الأزمة التي بات</w:t>
      </w:r>
      <w:r w:rsidR="00C81F9F" w:rsidRPr="006571AC">
        <w:rPr>
          <w:rFonts w:ascii="Simplified Arabic" w:hAnsi="Simplified Arabic" w:hint="cs"/>
          <w:sz w:val="27"/>
          <w:rtl/>
        </w:rPr>
        <w:t>َ</w:t>
      </w:r>
      <w:r w:rsidRPr="006571AC">
        <w:rPr>
          <w:rFonts w:ascii="Simplified Arabic" w:hAnsi="Simplified Arabic"/>
          <w:sz w:val="27"/>
          <w:rtl/>
        </w:rPr>
        <w:t>ت</w:t>
      </w:r>
      <w:r w:rsidR="00C81F9F" w:rsidRPr="006571AC">
        <w:rPr>
          <w:rFonts w:ascii="Simplified Arabic" w:hAnsi="Simplified Arabic" w:hint="cs"/>
          <w:sz w:val="27"/>
          <w:rtl/>
        </w:rPr>
        <w:t>ْ</w:t>
      </w:r>
      <w:r w:rsidRPr="006571AC">
        <w:rPr>
          <w:rFonts w:ascii="Simplified Arabic" w:hAnsi="Simplified Arabic"/>
          <w:sz w:val="27"/>
          <w:rtl/>
        </w:rPr>
        <w:t xml:space="preserve"> مستعصية على العلاج والحل</w:t>
      </w:r>
      <w:r w:rsidR="00C81F9F" w:rsidRPr="006571AC">
        <w:rPr>
          <w:rFonts w:ascii="Simplified Arabic" w:hAnsi="Simplified Arabic" w:hint="cs"/>
          <w:sz w:val="27"/>
          <w:rtl/>
        </w:rPr>
        <w:t>ّ</w:t>
      </w:r>
      <w:r w:rsidRPr="006571AC">
        <w:rPr>
          <w:rFonts w:ascii="Simplified Arabic" w:hAnsi="Simplified Arabic"/>
          <w:sz w:val="27"/>
          <w:rtl/>
        </w:rPr>
        <w:t xml:space="preserve"> الناجع.</w:t>
      </w:r>
      <w:r w:rsidR="00C81F9F" w:rsidRPr="006571AC">
        <w:rPr>
          <w:rFonts w:ascii="Simplified Arabic" w:hAnsi="Simplified Arabic" w:hint="cs"/>
          <w:sz w:val="27"/>
          <w:rtl/>
        </w:rPr>
        <w:t>.</w:t>
      </w:r>
      <w:r w:rsidRPr="006571AC">
        <w:rPr>
          <w:rFonts w:ascii="Simplified Arabic" w:hAnsi="Simplified Arabic"/>
          <w:sz w:val="27"/>
          <w:rtl/>
        </w:rPr>
        <w:t xml:space="preserve">. </w:t>
      </w:r>
    </w:p>
    <w:p w:rsidR="00373A12" w:rsidRPr="006571AC" w:rsidRDefault="00C81F9F" w:rsidP="004F6064">
      <w:pPr>
        <w:rPr>
          <w:rFonts w:ascii="Simplified Arabic" w:hAnsi="Simplified Arabic"/>
          <w:sz w:val="27"/>
          <w:rtl/>
        </w:rPr>
      </w:pPr>
      <w:r w:rsidRPr="006571AC">
        <w:rPr>
          <w:rFonts w:ascii="Simplified Arabic" w:hAnsi="Simplified Arabic" w:hint="cs"/>
          <w:sz w:val="27"/>
          <w:rtl/>
        </w:rPr>
        <w:t>هذه اللا</w:t>
      </w:r>
      <w:r w:rsidR="00373A12" w:rsidRPr="006571AC">
        <w:rPr>
          <w:rFonts w:ascii="Simplified Arabic" w:hAnsi="Simplified Arabic" w:hint="cs"/>
          <w:sz w:val="27"/>
          <w:rtl/>
        </w:rPr>
        <w:t xml:space="preserve">مبالاة العملية </w:t>
      </w:r>
      <w:r w:rsidRPr="006571AC">
        <w:rPr>
          <w:rFonts w:ascii="Simplified Arabic" w:hAnsi="Simplified Arabic" w:hint="cs"/>
          <w:sz w:val="27"/>
          <w:rtl/>
        </w:rPr>
        <w:t xml:space="preserve">ـ </w:t>
      </w:r>
      <w:r w:rsidR="00373A12" w:rsidRPr="006571AC">
        <w:rPr>
          <w:rFonts w:ascii="Simplified Arabic" w:hAnsi="Simplified Arabic" w:hint="cs"/>
          <w:sz w:val="27"/>
          <w:rtl/>
        </w:rPr>
        <w:t xml:space="preserve">إذا جاز التعبير </w:t>
      </w:r>
      <w:r w:rsidRPr="006571AC">
        <w:rPr>
          <w:rFonts w:ascii="Simplified Arabic" w:hAnsi="Simplified Arabic" w:hint="cs"/>
          <w:sz w:val="27"/>
          <w:rtl/>
        </w:rPr>
        <w:t xml:space="preserve">ـ </w:t>
      </w:r>
      <w:r w:rsidR="00373A12" w:rsidRPr="006571AC">
        <w:rPr>
          <w:rFonts w:ascii="Simplified Arabic" w:hAnsi="Simplified Arabic" w:hint="cs"/>
          <w:sz w:val="27"/>
          <w:rtl/>
        </w:rPr>
        <w:t>لأجيالنا التربوية لا تحل</w:t>
      </w:r>
      <w:r w:rsidRPr="006571AC">
        <w:rPr>
          <w:rFonts w:ascii="Simplified Arabic" w:hAnsi="Simplified Arabic" w:hint="cs"/>
          <w:sz w:val="27"/>
          <w:rtl/>
        </w:rPr>
        <w:t>ّ</w:t>
      </w:r>
      <w:r w:rsidR="00373A12" w:rsidRPr="006571AC">
        <w:rPr>
          <w:rFonts w:ascii="Simplified Arabic" w:hAnsi="Simplified Arabic" w:hint="cs"/>
          <w:sz w:val="27"/>
          <w:rtl/>
        </w:rPr>
        <w:t xml:space="preserve"> بالوصف التحليلي فقط، ف</w:t>
      </w:r>
      <w:r w:rsidR="00373A12" w:rsidRPr="006571AC">
        <w:rPr>
          <w:rFonts w:ascii="Simplified Arabic" w:hAnsi="Simplified Arabic"/>
          <w:sz w:val="27"/>
          <w:rtl/>
        </w:rPr>
        <w:t>نحن لا ينقصنا مزيد</w:t>
      </w:r>
      <w:r w:rsidRPr="006571AC">
        <w:rPr>
          <w:rFonts w:ascii="Simplified Arabic" w:hAnsi="Simplified Arabic" w:hint="cs"/>
          <w:sz w:val="27"/>
          <w:rtl/>
        </w:rPr>
        <w:t>ٌ</w:t>
      </w:r>
      <w:r w:rsidR="00373A12" w:rsidRPr="006571AC">
        <w:rPr>
          <w:rFonts w:ascii="Simplified Arabic" w:hAnsi="Simplified Arabic"/>
          <w:sz w:val="27"/>
          <w:rtl/>
        </w:rPr>
        <w:t xml:space="preserve"> من الرؤى الأكاديمية والنظريات الفكرية (على أهم</w:t>
      </w:r>
      <w:r w:rsidRPr="006571AC">
        <w:rPr>
          <w:rFonts w:ascii="Simplified Arabic" w:hAnsi="Simplified Arabic" w:hint="cs"/>
          <w:sz w:val="27"/>
          <w:rtl/>
        </w:rPr>
        <w:t>ّ</w:t>
      </w:r>
      <w:r w:rsidR="00373A12" w:rsidRPr="006571AC">
        <w:rPr>
          <w:rFonts w:ascii="Simplified Arabic" w:hAnsi="Simplified Arabic"/>
          <w:sz w:val="27"/>
          <w:rtl/>
        </w:rPr>
        <w:t>يتها وتراكمها المفيد)،</w:t>
      </w:r>
      <w:r w:rsidR="00373A12" w:rsidRPr="006571AC">
        <w:rPr>
          <w:rFonts w:ascii="Simplified Arabic" w:hAnsi="Simplified Arabic" w:hint="cs"/>
          <w:sz w:val="27"/>
          <w:rtl/>
        </w:rPr>
        <w:t xml:space="preserve"> بقدر ما </w:t>
      </w:r>
      <w:r w:rsidR="00373A12" w:rsidRPr="006571AC">
        <w:rPr>
          <w:rFonts w:ascii="Simplified Arabic" w:hAnsi="Simplified Arabic"/>
          <w:sz w:val="27"/>
          <w:rtl/>
        </w:rPr>
        <w:t>نحن بحاجة</w:t>
      </w:r>
      <w:r w:rsidRPr="006571AC">
        <w:rPr>
          <w:rFonts w:ascii="Simplified Arabic" w:hAnsi="Simplified Arabic" w:hint="cs"/>
          <w:sz w:val="27"/>
          <w:rtl/>
        </w:rPr>
        <w:t>ٍ</w:t>
      </w:r>
      <w:r w:rsidR="00373A12" w:rsidRPr="006571AC">
        <w:rPr>
          <w:rFonts w:ascii="Simplified Arabic" w:hAnsi="Simplified Arabic"/>
          <w:sz w:val="27"/>
          <w:rtl/>
        </w:rPr>
        <w:t xml:space="preserve"> ماس</w:t>
      </w:r>
      <w:r w:rsidRPr="006571AC">
        <w:rPr>
          <w:rFonts w:ascii="Simplified Arabic" w:hAnsi="Simplified Arabic" w:hint="cs"/>
          <w:sz w:val="27"/>
          <w:rtl/>
        </w:rPr>
        <w:t>ّ</w:t>
      </w:r>
      <w:r w:rsidR="00373A12" w:rsidRPr="006571AC">
        <w:rPr>
          <w:rFonts w:ascii="Simplified Arabic" w:hAnsi="Simplified Arabic"/>
          <w:sz w:val="27"/>
          <w:rtl/>
        </w:rPr>
        <w:t xml:space="preserve">ة </w:t>
      </w:r>
      <w:r w:rsidRPr="006571AC">
        <w:rPr>
          <w:rFonts w:ascii="Simplified Arabic" w:hAnsi="Simplified Arabic" w:hint="cs"/>
          <w:sz w:val="27"/>
          <w:rtl/>
        </w:rPr>
        <w:t xml:space="preserve">إلى </w:t>
      </w:r>
      <w:r w:rsidR="00373A12" w:rsidRPr="006571AC">
        <w:rPr>
          <w:rFonts w:ascii="Simplified Arabic" w:hAnsi="Simplified Arabic"/>
          <w:sz w:val="27"/>
          <w:rtl/>
        </w:rPr>
        <w:t xml:space="preserve">حلول </w:t>
      </w:r>
      <w:r w:rsidR="00373A12" w:rsidRPr="006571AC">
        <w:rPr>
          <w:rFonts w:ascii="Simplified Arabic" w:hAnsi="Simplified Arabic" w:hint="cs"/>
          <w:sz w:val="27"/>
          <w:rtl/>
        </w:rPr>
        <w:t xml:space="preserve">عملية </w:t>
      </w:r>
      <w:r w:rsidR="00373A12" w:rsidRPr="006571AC">
        <w:rPr>
          <w:rFonts w:ascii="Simplified Arabic" w:hAnsi="Simplified Arabic"/>
          <w:sz w:val="27"/>
          <w:rtl/>
        </w:rPr>
        <w:t>حقيقية، واقعية وجد</w:t>
      </w:r>
      <w:r w:rsidRPr="006571AC">
        <w:rPr>
          <w:rFonts w:ascii="Simplified Arabic" w:hAnsi="Simplified Arabic" w:hint="cs"/>
          <w:sz w:val="27"/>
          <w:rtl/>
        </w:rPr>
        <w:t>ّ</w:t>
      </w:r>
      <w:r w:rsidR="00373A12" w:rsidRPr="006571AC">
        <w:rPr>
          <w:rFonts w:ascii="Simplified Arabic" w:hAnsi="Simplified Arabic"/>
          <w:sz w:val="27"/>
          <w:rtl/>
        </w:rPr>
        <w:t>ية، تنف</w:t>
      </w:r>
      <w:r w:rsidRPr="006571AC">
        <w:rPr>
          <w:rFonts w:ascii="Simplified Arabic" w:hAnsi="Simplified Arabic" w:hint="cs"/>
          <w:sz w:val="27"/>
          <w:rtl/>
        </w:rPr>
        <w:t>َّ</w:t>
      </w:r>
      <w:r w:rsidR="00373A12" w:rsidRPr="006571AC">
        <w:rPr>
          <w:rFonts w:ascii="Simplified Arabic" w:hAnsi="Simplified Arabic"/>
          <w:sz w:val="27"/>
          <w:rtl/>
        </w:rPr>
        <w:t>ذ على الأرض</w:t>
      </w:r>
      <w:r w:rsidRPr="006571AC">
        <w:rPr>
          <w:rFonts w:ascii="Simplified Arabic" w:hAnsi="Simplified Arabic" w:hint="cs"/>
          <w:sz w:val="27"/>
          <w:rtl/>
        </w:rPr>
        <w:t>،</w:t>
      </w:r>
      <w:r w:rsidR="00373A12" w:rsidRPr="006571AC">
        <w:rPr>
          <w:rFonts w:ascii="Simplified Arabic" w:hAnsi="Simplified Arabic"/>
          <w:sz w:val="27"/>
          <w:rtl/>
        </w:rPr>
        <w:t xml:space="preserve"> بعيداً عن أحلام التجريد النظري، وتكديس المتون </w:t>
      </w:r>
      <w:r w:rsidR="00373A12" w:rsidRPr="006571AC">
        <w:rPr>
          <w:rFonts w:ascii="Simplified Arabic" w:hAnsi="Simplified Arabic"/>
          <w:sz w:val="27"/>
          <w:rtl/>
        </w:rPr>
        <w:lastRenderedPageBreak/>
        <w:t>والشروحات لموضوع</w:t>
      </w:r>
      <w:r w:rsidRPr="006571AC">
        <w:rPr>
          <w:rFonts w:ascii="Simplified Arabic" w:hAnsi="Simplified Arabic" w:hint="cs"/>
          <w:sz w:val="27"/>
          <w:rtl/>
        </w:rPr>
        <w:t>ٍ</w:t>
      </w:r>
      <w:r w:rsidR="00373A12" w:rsidRPr="006571AC">
        <w:rPr>
          <w:rFonts w:ascii="Simplified Arabic" w:hAnsi="Simplified Arabic"/>
          <w:sz w:val="27"/>
          <w:rtl/>
        </w:rPr>
        <w:t xml:space="preserve"> حيوي وخطير</w:t>
      </w:r>
      <w:r w:rsidRPr="006571AC">
        <w:rPr>
          <w:rFonts w:ascii="Simplified Arabic" w:hAnsi="Simplified Arabic" w:hint="cs"/>
          <w:sz w:val="27"/>
          <w:rtl/>
        </w:rPr>
        <w:t>،</w:t>
      </w:r>
      <w:r w:rsidR="00373A12" w:rsidRPr="006571AC">
        <w:rPr>
          <w:rFonts w:ascii="Simplified Arabic" w:hAnsi="Simplified Arabic"/>
          <w:sz w:val="27"/>
          <w:rtl/>
        </w:rPr>
        <w:t xml:space="preserve"> كالموضوع التربوي</w:t>
      </w:r>
      <w:r w:rsidRPr="006571AC">
        <w:rPr>
          <w:rFonts w:ascii="Simplified Arabic" w:hAnsi="Simplified Arabic" w:hint="cs"/>
          <w:sz w:val="27"/>
          <w:rtl/>
        </w:rPr>
        <w:t>ّ،</w:t>
      </w:r>
      <w:r w:rsidR="00373A12" w:rsidRPr="006571AC">
        <w:rPr>
          <w:rFonts w:ascii="Simplified Arabic" w:hAnsi="Simplified Arabic"/>
          <w:sz w:val="27"/>
          <w:rtl/>
        </w:rPr>
        <w:t xml:space="preserve"> الذي له مكانة</w:t>
      </w:r>
      <w:r w:rsidRPr="006571AC">
        <w:rPr>
          <w:rFonts w:ascii="Simplified Arabic" w:hAnsi="Simplified Arabic" w:hint="cs"/>
          <w:sz w:val="27"/>
          <w:rtl/>
        </w:rPr>
        <w:t>ٌ</w:t>
      </w:r>
      <w:r w:rsidR="00373A12" w:rsidRPr="006571AC">
        <w:rPr>
          <w:rFonts w:ascii="Simplified Arabic" w:hAnsi="Simplified Arabic"/>
          <w:sz w:val="27"/>
          <w:rtl/>
        </w:rPr>
        <w:t xml:space="preserve"> مركزية في حياة المجتمعات البشرية</w:t>
      </w:r>
      <w:r w:rsidRPr="006571AC">
        <w:rPr>
          <w:rFonts w:ascii="Simplified Arabic" w:hAnsi="Simplified Arabic" w:hint="cs"/>
          <w:sz w:val="27"/>
          <w:rtl/>
        </w:rPr>
        <w:t>؛</w:t>
      </w:r>
      <w:r w:rsidR="00373A12" w:rsidRPr="006571AC">
        <w:rPr>
          <w:rFonts w:ascii="Simplified Arabic" w:hAnsi="Simplified Arabic"/>
          <w:sz w:val="27"/>
          <w:rtl/>
        </w:rPr>
        <w:t xml:space="preserve"> باعتباره الوسيلة الأساسية لنقل ق</w:t>
      </w:r>
      <w:r w:rsidRPr="006571AC">
        <w:rPr>
          <w:rFonts w:ascii="Simplified Arabic" w:hAnsi="Simplified Arabic" w:hint="cs"/>
          <w:sz w:val="27"/>
          <w:rtl/>
        </w:rPr>
        <w:t>ِ</w:t>
      </w:r>
      <w:r w:rsidR="00373A12" w:rsidRPr="006571AC">
        <w:rPr>
          <w:rFonts w:ascii="Simplified Arabic" w:hAnsi="Simplified Arabic"/>
          <w:sz w:val="27"/>
          <w:rtl/>
        </w:rPr>
        <w:t>ي</w:t>
      </w:r>
      <w:r w:rsidRPr="006571AC">
        <w:rPr>
          <w:rFonts w:ascii="Simplified Arabic" w:hAnsi="Simplified Arabic" w:hint="cs"/>
          <w:sz w:val="27"/>
          <w:rtl/>
        </w:rPr>
        <w:t>َ</w:t>
      </w:r>
      <w:r w:rsidR="00373A12" w:rsidRPr="006571AC">
        <w:rPr>
          <w:rFonts w:ascii="Simplified Arabic" w:hAnsi="Simplified Arabic"/>
          <w:sz w:val="27"/>
          <w:rtl/>
        </w:rPr>
        <w:t>مها وتراثها</w:t>
      </w:r>
      <w:r w:rsidR="00373A12" w:rsidRPr="006571AC">
        <w:rPr>
          <w:rFonts w:ascii="Simplified Arabic" w:hAnsi="Simplified Arabic" w:hint="cs"/>
          <w:sz w:val="27"/>
          <w:rtl/>
        </w:rPr>
        <w:t xml:space="preserve">، </w:t>
      </w:r>
      <w:r w:rsidR="00373A12" w:rsidRPr="006571AC">
        <w:rPr>
          <w:rFonts w:ascii="Simplified Arabic" w:hAnsi="Simplified Arabic"/>
          <w:sz w:val="27"/>
          <w:rtl/>
        </w:rPr>
        <w:t>ولتكوين نشئها وإعداده إعداداً سليماً</w:t>
      </w:r>
      <w:r w:rsidR="000062C0" w:rsidRPr="006571AC">
        <w:rPr>
          <w:rFonts w:ascii="Simplified Arabic" w:hAnsi="Simplified Arabic" w:hint="cs"/>
          <w:sz w:val="27"/>
          <w:rtl/>
        </w:rPr>
        <w:t>؛</w:t>
      </w:r>
      <w:r w:rsidR="00373A12" w:rsidRPr="006571AC">
        <w:rPr>
          <w:rFonts w:ascii="Simplified Arabic" w:hAnsi="Simplified Arabic"/>
          <w:sz w:val="27"/>
          <w:rtl/>
        </w:rPr>
        <w:t xml:space="preserve"> ليكون قادراً على التكي</w:t>
      </w:r>
      <w:r w:rsidR="000062C0" w:rsidRPr="006571AC">
        <w:rPr>
          <w:rFonts w:ascii="Simplified Arabic" w:hAnsi="Simplified Arabic" w:hint="cs"/>
          <w:sz w:val="27"/>
          <w:rtl/>
        </w:rPr>
        <w:t>ُّ</w:t>
      </w:r>
      <w:r w:rsidR="00373A12" w:rsidRPr="006571AC">
        <w:rPr>
          <w:rFonts w:ascii="Simplified Arabic" w:hAnsi="Simplified Arabic"/>
          <w:sz w:val="27"/>
          <w:rtl/>
        </w:rPr>
        <w:t>ف والتكييف</w:t>
      </w:r>
      <w:r w:rsidR="00373A12" w:rsidRPr="006571AC">
        <w:rPr>
          <w:rFonts w:ascii="Simplified Arabic" w:hAnsi="Simplified Arabic" w:hint="cs"/>
          <w:sz w:val="27"/>
          <w:rtl/>
        </w:rPr>
        <w:t xml:space="preserve">، </w:t>
      </w:r>
      <w:r w:rsidR="00373A12" w:rsidRPr="006571AC">
        <w:rPr>
          <w:rFonts w:ascii="Simplified Arabic" w:hAnsi="Simplified Arabic"/>
          <w:sz w:val="27"/>
          <w:rtl/>
        </w:rPr>
        <w:t>والمساهمة في تنمية المجتمع تنمية</w:t>
      </w:r>
      <w:r w:rsidR="000062C0" w:rsidRPr="006571AC">
        <w:rPr>
          <w:rFonts w:ascii="Simplified Arabic" w:hAnsi="Simplified Arabic" w:hint="cs"/>
          <w:sz w:val="27"/>
          <w:rtl/>
        </w:rPr>
        <w:t>ً</w:t>
      </w:r>
      <w:r w:rsidR="00373A12" w:rsidRPr="006571AC">
        <w:rPr>
          <w:rFonts w:ascii="Simplified Arabic" w:hAnsi="Simplified Arabic"/>
          <w:sz w:val="27"/>
          <w:rtl/>
        </w:rPr>
        <w:t xml:space="preserve"> شاملة كاملة. </w:t>
      </w:r>
    </w:p>
    <w:p w:rsidR="00373A12" w:rsidRPr="006571AC" w:rsidRDefault="00373A12" w:rsidP="004F6064">
      <w:pPr>
        <w:autoSpaceDE w:val="0"/>
        <w:autoSpaceDN w:val="0"/>
        <w:adjustRightInd w:val="0"/>
        <w:rPr>
          <w:rFonts w:ascii="Simplified Arabic" w:hAnsi="Simplified Arabic"/>
          <w:sz w:val="27"/>
          <w:rtl/>
        </w:rPr>
      </w:pPr>
      <w:r w:rsidRPr="006571AC">
        <w:rPr>
          <w:rFonts w:ascii="Simplified Arabic" w:hAnsi="Simplified Arabic"/>
          <w:sz w:val="27"/>
          <w:rtl/>
        </w:rPr>
        <w:t>نعم، نحتاج لأفعال وأعمال تطب</w:t>
      </w:r>
      <w:r w:rsidRPr="006571AC">
        <w:rPr>
          <w:rFonts w:ascii="Simplified Arabic" w:hAnsi="Simplified Arabic" w:hint="cs"/>
          <w:sz w:val="27"/>
          <w:rtl/>
        </w:rPr>
        <w:t>ّ</w:t>
      </w:r>
      <w:r w:rsidR="000062C0" w:rsidRPr="006571AC">
        <w:rPr>
          <w:rFonts w:ascii="Simplified Arabic" w:hAnsi="Simplified Arabic" w:hint="cs"/>
          <w:sz w:val="27"/>
          <w:rtl/>
        </w:rPr>
        <w:t>َ</w:t>
      </w:r>
      <w:r w:rsidRPr="006571AC">
        <w:rPr>
          <w:rFonts w:ascii="Simplified Arabic" w:hAnsi="Simplified Arabic"/>
          <w:sz w:val="27"/>
          <w:rtl/>
        </w:rPr>
        <w:t>ق ضمن استراتيجيات عمل</w:t>
      </w:r>
      <w:r w:rsidR="000062C0" w:rsidRPr="006571AC">
        <w:rPr>
          <w:rFonts w:ascii="Simplified Arabic" w:hAnsi="Simplified Arabic" w:hint="cs"/>
          <w:sz w:val="27"/>
          <w:rtl/>
        </w:rPr>
        <w:t>ٍ</w:t>
      </w:r>
      <w:r w:rsidRPr="006571AC">
        <w:rPr>
          <w:rFonts w:ascii="Simplified Arabic" w:hAnsi="Simplified Arabic"/>
          <w:sz w:val="27"/>
          <w:rtl/>
        </w:rPr>
        <w:t xml:space="preserve"> وخطط</w:t>
      </w:r>
      <w:r w:rsidRPr="006571AC">
        <w:rPr>
          <w:rFonts w:ascii="Simplified Arabic" w:hAnsi="Simplified Arabic" w:hint="cs"/>
          <w:sz w:val="27"/>
          <w:rtl/>
        </w:rPr>
        <w:t xml:space="preserve"> وبرامج</w:t>
      </w:r>
      <w:r w:rsidRPr="006571AC">
        <w:rPr>
          <w:rFonts w:ascii="Simplified Arabic" w:hAnsi="Simplified Arabic"/>
          <w:sz w:val="27"/>
          <w:rtl/>
        </w:rPr>
        <w:t xml:space="preserve"> م</w:t>
      </w:r>
      <w:r w:rsidR="000062C0" w:rsidRPr="006571AC">
        <w:rPr>
          <w:rFonts w:ascii="Simplified Arabic" w:hAnsi="Simplified Arabic" w:hint="cs"/>
          <w:sz w:val="27"/>
          <w:rtl/>
        </w:rPr>
        <w:t>ُ</w:t>
      </w:r>
      <w:r w:rsidRPr="006571AC">
        <w:rPr>
          <w:rFonts w:ascii="Simplified Arabic" w:hAnsi="Simplified Arabic"/>
          <w:sz w:val="27"/>
          <w:rtl/>
        </w:rPr>
        <w:t>ن</w:t>
      </w:r>
      <w:r w:rsidRPr="006571AC">
        <w:rPr>
          <w:rFonts w:ascii="Simplified Arabic" w:hAnsi="Simplified Arabic" w:hint="cs"/>
          <w:sz w:val="27"/>
          <w:rtl/>
        </w:rPr>
        <w:t>ْ</w:t>
      </w:r>
      <w:r w:rsidRPr="006571AC">
        <w:rPr>
          <w:rFonts w:ascii="Simplified Arabic" w:hAnsi="Simplified Arabic"/>
          <w:sz w:val="27"/>
          <w:rtl/>
        </w:rPr>
        <w:t>ج</w:t>
      </w:r>
      <w:r w:rsidR="000062C0" w:rsidRPr="006571AC">
        <w:rPr>
          <w:rFonts w:ascii="Simplified Arabic" w:hAnsi="Simplified Arabic" w:hint="cs"/>
          <w:sz w:val="27"/>
          <w:rtl/>
        </w:rPr>
        <w:t>َزَ</w:t>
      </w:r>
      <w:r w:rsidRPr="006571AC">
        <w:rPr>
          <w:rFonts w:ascii="Simplified Arabic" w:hAnsi="Simplified Arabic"/>
          <w:sz w:val="27"/>
          <w:rtl/>
        </w:rPr>
        <w:t>ة</w:t>
      </w:r>
      <w:r w:rsidR="000062C0" w:rsidRPr="006571AC">
        <w:rPr>
          <w:rFonts w:ascii="Simplified Arabic" w:hAnsi="Simplified Arabic" w:hint="cs"/>
          <w:sz w:val="27"/>
          <w:rtl/>
        </w:rPr>
        <w:t>،</w:t>
      </w:r>
      <w:r w:rsidRPr="006571AC">
        <w:rPr>
          <w:rFonts w:ascii="Simplified Arabic" w:hAnsi="Simplified Arabic"/>
          <w:sz w:val="27"/>
          <w:rtl/>
        </w:rPr>
        <w:t xml:space="preserve"> ضمن حدود ومعايير زمني</w:t>
      </w:r>
      <w:r w:rsidR="000062C0" w:rsidRPr="006571AC">
        <w:rPr>
          <w:rFonts w:ascii="Simplified Arabic" w:hAnsi="Simplified Arabic" w:hint="cs"/>
          <w:sz w:val="27"/>
          <w:rtl/>
        </w:rPr>
        <w:t>ّ</w:t>
      </w:r>
      <w:r w:rsidRPr="006571AC">
        <w:rPr>
          <w:rFonts w:ascii="Simplified Arabic" w:hAnsi="Simplified Arabic"/>
          <w:sz w:val="27"/>
          <w:rtl/>
        </w:rPr>
        <w:t>ة</w:t>
      </w:r>
      <w:r w:rsidR="000062C0" w:rsidRPr="006571AC">
        <w:rPr>
          <w:rFonts w:ascii="Simplified Arabic" w:hAnsi="Simplified Arabic" w:hint="cs"/>
          <w:sz w:val="27"/>
          <w:rtl/>
        </w:rPr>
        <w:t>،</w:t>
      </w:r>
      <w:r w:rsidRPr="006571AC">
        <w:rPr>
          <w:rFonts w:ascii="Simplified Arabic" w:hAnsi="Simplified Arabic"/>
          <w:sz w:val="27"/>
          <w:rtl/>
        </w:rPr>
        <w:t xml:space="preserve"> بلا وعود ولا أمنيات </w:t>
      </w:r>
      <w:r w:rsidRPr="006571AC">
        <w:rPr>
          <w:rFonts w:hint="eastAsia"/>
          <w:sz w:val="24"/>
          <w:szCs w:val="24"/>
          <w:rtl/>
        </w:rPr>
        <w:t>«</w:t>
      </w:r>
      <w:r w:rsidRPr="006571AC">
        <w:rPr>
          <w:rFonts w:ascii="Simplified Arabic" w:hAnsi="Simplified Arabic" w:hint="cs"/>
          <w:sz w:val="27"/>
          <w:rtl/>
        </w:rPr>
        <w:t>رغبوية</w:t>
      </w:r>
      <w:r w:rsidRPr="006571AC">
        <w:rPr>
          <w:rFonts w:hint="eastAsia"/>
          <w:sz w:val="24"/>
          <w:szCs w:val="24"/>
          <w:rtl/>
        </w:rPr>
        <w:t>»</w:t>
      </w:r>
      <w:r w:rsidRPr="006571AC">
        <w:rPr>
          <w:rFonts w:ascii="Simplified Arabic" w:hAnsi="Simplified Arabic" w:hint="cs"/>
          <w:sz w:val="27"/>
          <w:rtl/>
        </w:rPr>
        <w:t xml:space="preserve"> </w:t>
      </w:r>
      <w:r w:rsidRPr="006571AC">
        <w:rPr>
          <w:rFonts w:ascii="Simplified Arabic" w:hAnsi="Simplified Arabic"/>
          <w:sz w:val="27"/>
          <w:rtl/>
        </w:rPr>
        <w:t>مستقبلية</w:t>
      </w:r>
      <w:r w:rsidR="000062C0" w:rsidRPr="006571AC">
        <w:rPr>
          <w:rFonts w:ascii="Simplified Arabic" w:hAnsi="Simplified Arabic" w:hint="cs"/>
          <w:sz w:val="27"/>
          <w:rtl/>
        </w:rPr>
        <w:t>.</w:t>
      </w:r>
      <w:r w:rsidRPr="006571AC">
        <w:rPr>
          <w:rFonts w:ascii="Simplified Arabic" w:hAnsi="Simplified Arabic"/>
          <w:sz w:val="27"/>
          <w:rtl/>
        </w:rPr>
        <w:t xml:space="preserve"> فكل</w:t>
      </w:r>
      <w:r w:rsidR="000062C0" w:rsidRPr="006571AC">
        <w:rPr>
          <w:rFonts w:ascii="Simplified Arabic" w:hAnsi="Simplified Arabic" w:hint="cs"/>
          <w:sz w:val="27"/>
          <w:rtl/>
        </w:rPr>
        <w:t>ُّ</w:t>
      </w:r>
      <w:r w:rsidRPr="006571AC">
        <w:rPr>
          <w:rFonts w:ascii="Simplified Arabic" w:hAnsi="Simplified Arabic"/>
          <w:sz w:val="27"/>
          <w:rtl/>
        </w:rPr>
        <w:t>نا يعلم أن جامعاتنا ح</w:t>
      </w:r>
      <w:r w:rsidR="000062C0" w:rsidRPr="006571AC">
        <w:rPr>
          <w:rFonts w:ascii="Simplified Arabic" w:hAnsi="Simplified Arabic" w:hint="cs"/>
          <w:sz w:val="27"/>
          <w:rtl/>
        </w:rPr>
        <w:t>ُ</w:t>
      </w:r>
      <w:r w:rsidRPr="006571AC">
        <w:rPr>
          <w:rFonts w:ascii="Simplified Arabic" w:hAnsi="Simplified Arabic"/>
          <w:sz w:val="27"/>
          <w:rtl/>
        </w:rPr>
        <w:t>ب</w:t>
      </w:r>
      <w:r w:rsidR="000062C0" w:rsidRPr="006571AC">
        <w:rPr>
          <w:rFonts w:ascii="Simplified Arabic" w:hAnsi="Simplified Arabic" w:hint="cs"/>
          <w:sz w:val="27"/>
          <w:rtl/>
        </w:rPr>
        <w:t>ْ</w:t>
      </w:r>
      <w:r w:rsidRPr="006571AC">
        <w:rPr>
          <w:rFonts w:ascii="Simplified Arabic" w:hAnsi="Simplified Arabic"/>
          <w:sz w:val="27"/>
          <w:rtl/>
        </w:rPr>
        <w:t>لى بأكاديميات وكل</w:t>
      </w:r>
      <w:r w:rsidR="000062C0" w:rsidRPr="006571AC">
        <w:rPr>
          <w:rFonts w:ascii="Simplified Arabic" w:hAnsi="Simplified Arabic" w:hint="cs"/>
          <w:sz w:val="27"/>
          <w:rtl/>
        </w:rPr>
        <w:t>ِّ</w:t>
      </w:r>
      <w:r w:rsidRPr="006571AC">
        <w:rPr>
          <w:rFonts w:ascii="Simplified Arabic" w:hAnsi="Simplified Arabic"/>
          <w:sz w:val="27"/>
          <w:rtl/>
        </w:rPr>
        <w:t>يات علوم الاجتماع النظرية</w:t>
      </w:r>
      <w:r w:rsidRPr="006571AC">
        <w:rPr>
          <w:rFonts w:ascii="Simplified Arabic" w:hAnsi="Simplified Arabic" w:hint="cs"/>
          <w:sz w:val="27"/>
          <w:rtl/>
        </w:rPr>
        <w:t xml:space="preserve"> والآداب الإنسانية</w:t>
      </w:r>
      <w:r w:rsidRPr="006571AC">
        <w:rPr>
          <w:rFonts w:ascii="Simplified Arabic" w:hAnsi="Simplified Arabic"/>
          <w:sz w:val="27"/>
          <w:rtl/>
        </w:rPr>
        <w:t>.</w:t>
      </w:r>
      <w:r w:rsidR="000062C0" w:rsidRPr="006571AC">
        <w:rPr>
          <w:rFonts w:ascii="Simplified Arabic" w:hAnsi="Simplified Arabic" w:hint="cs"/>
          <w:sz w:val="27"/>
          <w:rtl/>
        </w:rPr>
        <w:t>.</w:t>
      </w:r>
      <w:r w:rsidRPr="006571AC">
        <w:rPr>
          <w:rFonts w:ascii="Simplified Arabic" w:hAnsi="Simplified Arabic"/>
          <w:sz w:val="27"/>
          <w:rtl/>
        </w:rPr>
        <w:t>.</w:t>
      </w:r>
      <w:r w:rsidR="000062C0"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ف</w:t>
      </w:r>
      <w:r w:rsidRPr="006571AC">
        <w:rPr>
          <w:rFonts w:ascii="Simplified Arabic" w:hAnsi="Simplified Arabic"/>
          <w:sz w:val="27"/>
          <w:rtl/>
        </w:rPr>
        <w:t>ماذا تفعل؟ وماذا قد</w:t>
      </w:r>
      <w:r w:rsidRPr="006571AC">
        <w:rPr>
          <w:rFonts w:ascii="Simplified Arabic" w:hAnsi="Simplified Arabic" w:hint="cs"/>
          <w:sz w:val="27"/>
          <w:rtl/>
        </w:rPr>
        <w:t>ّ</w:t>
      </w:r>
      <w:r w:rsidR="000062C0" w:rsidRPr="006571AC">
        <w:rPr>
          <w:rFonts w:ascii="Simplified Arabic" w:hAnsi="Simplified Arabic" w:hint="cs"/>
          <w:sz w:val="27"/>
          <w:rtl/>
        </w:rPr>
        <w:t>َ</w:t>
      </w:r>
      <w:r w:rsidRPr="006571AC">
        <w:rPr>
          <w:rFonts w:ascii="Simplified Arabic" w:hAnsi="Simplified Arabic"/>
          <w:sz w:val="27"/>
          <w:rtl/>
        </w:rPr>
        <w:t>م</w:t>
      </w:r>
      <w:r w:rsidR="000062C0" w:rsidRPr="006571AC">
        <w:rPr>
          <w:rFonts w:ascii="Simplified Arabic" w:hAnsi="Simplified Arabic" w:hint="cs"/>
          <w:sz w:val="27"/>
          <w:rtl/>
        </w:rPr>
        <w:t>َ</w:t>
      </w:r>
      <w:r w:rsidRPr="006571AC">
        <w:rPr>
          <w:rFonts w:ascii="Simplified Arabic" w:hAnsi="Simplified Arabic"/>
          <w:sz w:val="27"/>
          <w:rtl/>
        </w:rPr>
        <w:t>ت</w:t>
      </w:r>
      <w:r w:rsidR="000062C0" w:rsidRPr="006571AC">
        <w:rPr>
          <w:rFonts w:ascii="Simplified Arabic" w:hAnsi="Simplified Arabic" w:hint="cs"/>
          <w:sz w:val="27"/>
          <w:rtl/>
        </w:rPr>
        <w:t>ْ</w:t>
      </w:r>
      <w:r w:rsidRPr="006571AC">
        <w:rPr>
          <w:rFonts w:ascii="Simplified Arabic" w:hAnsi="Simplified Arabic"/>
          <w:sz w:val="27"/>
          <w:rtl/>
        </w:rPr>
        <w:t>؟ ما هي حصيلتها</w:t>
      </w:r>
      <w:r w:rsidRPr="006571AC">
        <w:rPr>
          <w:rFonts w:ascii="Simplified Arabic" w:hAnsi="Simplified Arabic" w:hint="cs"/>
          <w:sz w:val="27"/>
          <w:rtl/>
        </w:rPr>
        <w:t xml:space="preserve"> العملية على صعيد التأثير الحي</w:t>
      </w:r>
      <w:r w:rsidR="000062C0" w:rsidRPr="006571AC">
        <w:rPr>
          <w:rFonts w:ascii="Simplified Arabic" w:hAnsi="Simplified Arabic" w:hint="cs"/>
          <w:sz w:val="27"/>
          <w:rtl/>
        </w:rPr>
        <w:t>ّ</w:t>
      </w:r>
      <w:r w:rsidRPr="006571AC">
        <w:rPr>
          <w:rFonts w:ascii="Simplified Arabic" w:hAnsi="Simplified Arabic" w:hint="cs"/>
          <w:sz w:val="27"/>
          <w:rtl/>
        </w:rPr>
        <w:t xml:space="preserve"> المنتظر منها</w:t>
      </w:r>
      <w:r w:rsidRPr="006571AC">
        <w:rPr>
          <w:rFonts w:ascii="Simplified Arabic" w:hAnsi="Simplified Arabic"/>
          <w:sz w:val="27"/>
          <w:rtl/>
        </w:rPr>
        <w:t>؟ ماذا حق</w:t>
      </w:r>
      <w:r w:rsidR="000062C0" w:rsidRPr="006571AC">
        <w:rPr>
          <w:rFonts w:ascii="Simplified Arabic" w:hAnsi="Simplified Arabic" w:hint="cs"/>
          <w:sz w:val="27"/>
          <w:rtl/>
        </w:rPr>
        <w:t>َّ</w:t>
      </w:r>
      <w:r w:rsidRPr="006571AC">
        <w:rPr>
          <w:rFonts w:ascii="Simplified Arabic" w:hAnsi="Simplified Arabic"/>
          <w:sz w:val="27"/>
          <w:rtl/>
        </w:rPr>
        <w:t>ق</w:t>
      </w:r>
      <w:r w:rsidR="000062C0" w:rsidRPr="006571AC">
        <w:rPr>
          <w:rFonts w:ascii="Simplified Arabic" w:hAnsi="Simplified Arabic" w:hint="cs"/>
          <w:sz w:val="27"/>
          <w:rtl/>
        </w:rPr>
        <w:t>َ</w:t>
      </w:r>
      <w:r w:rsidRPr="006571AC">
        <w:rPr>
          <w:rFonts w:ascii="Simplified Arabic" w:hAnsi="Simplified Arabic"/>
          <w:sz w:val="27"/>
          <w:rtl/>
        </w:rPr>
        <w:t>ت</w:t>
      </w:r>
      <w:r w:rsidR="000062C0" w:rsidRPr="006571AC">
        <w:rPr>
          <w:rFonts w:ascii="Simplified Arabic" w:hAnsi="Simplified Arabic" w:hint="cs"/>
          <w:sz w:val="27"/>
          <w:rtl/>
        </w:rPr>
        <w:t>ْ</w:t>
      </w:r>
      <w:r w:rsidR="000062C0" w:rsidRPr="006571AC">
        <w:rPr>
          <w:rFonts w:ascii="Simplified Arabic" w:hAnsi="Simplified Arabic"/>
          <w:sz w:val="27"/>
          <w:rtl/>
        </w:rPr>
        <w:t xml:space="preserve"> ونف</w:t>
      </w:r>
      <w:r w:rsidR="000062C0" w:rsidRPr="006571AC">
        <w:rPr>
          <w:rFonts w:ascii="Simplified Arabic" w:hAnsi="Simplified Arabic" w:hint="cs"/>
          <w:sz w:val="27"/>
          <w:rtl/>
        </w:rPr>
        <w:t>َّ</w:t>
      </w:r>
      <w:r w:rsidR="000062C0" w:rsidRPr="006571AC">
        <w:rPr>
          <w:rFonts w:ascii="Simplified Arabic" w:hAnsi="Simplified Arabic"/>
          <w:sz w:val="27"/>
          <w:rtl/>
        </w:rPr>
        <w:t>ذ</w:t>
      </w:r>
      <w:r w:rsidR="000062C0" w:rsidRPr="006571AC">
        <w:rPr>
          <w:rFonts w:ascii="Simplified Arabic" w:hAnsi="Simplified Arabic" w:hint="cs"/>
          <w:sz w:val="27"/>
          <w:rtl/>
        </w:rPr>
        <w:t>َ</w:t>
      </w:r>
      <w:r w:rsidRPr="006571AC">
        <w:rPr>
          <w:rFonts w:ascii="Simplified Arabic" w:hAnsi="Simplified Arabic"/>
          <w:sz w:val="27"/>
          <w:rtl/>
        </w:rPr>
        <w:t>ت</w:t>
      </w:r>
      <w:r w:rsidR="000062C0" w:rsidRPr="006571AC">
        <w:rPr>
          <w:rFonts w:ascii="Simplified Arabic" w:hAnsi="Simplified Arabic" w:hint="cs"/>
          <w:sz w:val="27"/>
          <w:rtl/>
        </w:rPr>
        <w:t>ْ</w:t>
      </w:r>
      <w:r w:rsidRPr="006571AC">
        <w:rPr>
          <w:rFonts w:ascii="Simplified Arabic" w:hAnsi="Simplified Arabic"/>
          <w:sz w:val="27"/>
          <w:rtl/>
        </w:rPr>
        <w:t xml:space="preserve"> من خططها وبرامجها على مستوى نهضة المجتمعات والأمة ككل</w:t>
      </w:r>
      <w:r w:rsidR="000062C0" w:rsidRPr="006571AC">
        <w:rPr>
          <w:rFonts w:ascii="Simplified Arabic" w:hAnsi="Simplified Arabic" w:hint="cs"/>
          <w:sz w:val="27"/>
          <w:rtl/>
        </w:rPr>
        <w:t>ّ</w:t>
      </w:r>
      <w:r w:rsidRPr="006571AC">
        <w:rPr>
          <w:rFonts w:ascii="Simplified Arabic" w:hAnsi="Simplified Arabic"/>
          <w:sz w:val="27"/>
          <w:rtl/>
        </w:rPr>
        <w:t>؟ وإلى أين وصل</w:t>
      </w:r>
      <w:r w:rsidR="000062C0" w:rsidRPr="006571AC">
        <w:rPr>
          <w:rFonts w:ascii="Simplified Arabic" w:hAnsi="Simplified Arabic" w:hint="cs"/>
          <w:sz w:val="27"/>
          <w:rtl/>
        </w:rPr>
        <w:t>َ</w:t>
      </w:r>
      <w:r w:rsidRPr="006571AC">
        <w:rPr>
          <w:rFonts w:ascii="Simplified Arabic" w:hAnsi="Simplified Arabic"/>
          <w:sz w:val="27"/>
          <w:rtl/>
        </w:rPr>
        <w:t>ت</w:t>
      </w:r>
      <w:r w:rsidR="000062C0" w:rsidRPr="006571AC">
        <w:rPr>
          <w:rFonts w:ascii="Simplified Arabic" w:hAnsi="Simplified Arabic" w:hint="cs"/>
          <w:sz w:val="27"/>
          <w:rtl/>
        </w:rPr>
        <w:t>ْ</w:t>
      </w:r>
      <w:r w:rsidRPr="006571AC">
        <w:rPr>
          <w:rFonts w:ascii="Simplified Arabic" w:hAnsi="Simplified Arabic"/>
          <w:sz w:val="27"/>
          <w:rtl/>
        </w:rPr>
        <w:t>؟ وهل تم</w:t>
      </w:r>
      <w:r w:rsidR="000062C0" w:rsidRPr="006571AC">
        <w:rPr>
          <w:rFonts w:ascii="Simplified Arabic" w:hAnsi="Simplified Arabic" w:hint="cs"/>
          <w:sz w:val="27"/>
          <w:rtl/>
        </w:rPr>
        <w:t>ّ</w:t>
      </w:r>
      <w:r w:rsidRPr="006571AC">
        <w:rPr>
          <w:rFonts w:ascii="Simplified Arabic" w:hAnsi="Simplified Arabic"/>
          <w:sz w:val="27"/>
          <w:rtl/>
        </w:rPr>
        <w:t xml:space="preserve"> تطبيق أفكارها المعيارية الاجتماعية</w:t>
      </w:r>
      <w:r w:rsidR="000062C0" w:rsidRPr="006571AC">
        <w:rPr>
          <w:rFonts w:ascii="Simplified Arabic" w:hAnsi="Simplified Arabic" w:hint="cs"/>
          <w:sz w:val="27"/>
          <w:rtl/>
        </w:rPr>
        <w:t>؛</w:t>
      </w:r>
      <w:r w:rsidRPr="006571AC">
        <w:rPr>
          <w:rFonts w:ascii="Simplified Arabic" w:hAnsi="Simplified Arabic"/>
          <w:sz w:val="27"/>
          <w:rtl/>
        </w:rPr>
        <w:t xml:space="preserve"> لتخرج من حي</w:t>
      </w:r>
      <w:r w:rsidR="000062C0" w:rsidRPr="006571AC">
        <w:rPr>
          <w:rFonts w:ascii="Simplified Arabic" w:hAnsi="Simplified Arabic" w:hint="cs"/>
          <w:sz w:val="27"/>
          <w:rtl/>
        </w:rPr>
        <w:t>ِّ</w:t>
      </w:r>
      <w:r w:rsidRPr="006571AC">
        <w:rPr>
          <w:rFonts w:ascii="Simplified Arabic" w:hAnsi="Simplified Arabic"/>
          <w:sz w:val="27"/>
          <w:rtl/>
        </w:rPr>
        <w:t>زها الدفتري التدريسي إلى الأفق ا</w:t>
      </w:r>
      <w:r w:rsidR="000062C0" w:rsidRPr="006571AC">
        <w:rPr>
          <w:rFonts w:ascii="Simplified Arabic" w:hAnsi="Simplified Arabic"/>
          <w:sz w:val="27"/>
          <w:rtl/>
        </w:rPr>
        <w:t>لاجتماعي العملي الواسع المفتوح؟</w:t>
      </w:r>
      <w:r w:rsidRPr="006571AC">
        <w:rPr>
          <w:rFonts w:ascii="Simplified Arabic" w:hAnsi="Simplified Arabic"/>
          <w:sz w:val="27"/>
          <w:rtl/>
        </w:rPr>
        <w:t xml:space="preserve"> </w:t>
      </w:r>
    </w:p>
    <w:p w:rsidR="00373A12" w:rsidRPr="006571AC" w:rsidRDefault="00373A12" w:rsidP="004F6064">
      <w:pPr>
        <w:pStyle w:val="af"/>
        <w:rPr>
          <w:rFonts w:ascii="Simplified Arabic" w:hAnsi="Simplified Arabic" w:cs="AL-Mohanad"/>
          <w:sz w:val="27"/>
          <w:szCs w:val="27"/>
          <w:rtl/>
        </w:rPr>
      </w:pPr>
      <w:r w:rsidRPr="006571AC">
        <w:rPr>
          <w:rFonts w:ascii="Simplified Arabic" w:eastAsiaTheme="minorHAnsi" w:hAnsi="Simplified Arabic" w:cs="AL-Mohanad"/>
          <w:sz w:val="27"/>
          <w:szCs w:val="27"/>
          <w:rtl/>
        </w:rPr>
        <w:t>كل</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ها أسئلة</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 تحتاج </w:t>
      </w:r>
      <w:r w:rsidR="000062C0" w:rsidRPr="006571AC">
        <w:rPr>
          <w:rFonts w:ascii="Simplified Arabic" w:eastAsiaTheme="minorHAnsi" w:hAnsi="Simplified Arabic" w:cs="AL-Mohanad" w:hint="cs"/>
          <w:sz w:val="27"/>
          <w:szCs w:val="27"/>
          <w:rtl/>
        </w:rPr>
        <w:t xml:space="preserve">إلى </w:t>
      </w:r>
      <w:r w:rsidRPr="006571AC">
        <w:rPr>
          <w:rFonts w:ascii="Simplified Arabic" w:eastAsiaTheme="minorHAnsi" w:hAnsi="Simplified Arabic" w:cs="AL-Mohanad"/>
          <w:sz w:val="27"/>
          <w:szCs w:val="27"/>
          <w:rtl/>
        </w:rPr>
        <w:t>إجابات</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 جد</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ية، وحقيقية</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 ونحن لا نطر</w:t>
      </w:r>
      <w:r w:rsidRPr="006571AC">
        <w:rPr>
          <w:rFonts w:ascii="Simplified Arabic" w:eastAsiaTheme="minorHAnsi" w:hAnsi="Simplified Arabic" w:cs="AL-Mohanad" w:hint="cs"/>
          <w:sz w:val="27"/>
          <w:szCs w:val="27"/>
          <w:rtl/>
        </w:rPr>
        <w:t>ح</w:t>
      </w:r>
      <w:r w:rsidRPr="006571AC">
        <w:rPr>
          <w:rFonts w:ascii="Simplified Arabic" w:eastAsiaTheme="minorHAnsi" w:hAnsi="Simplified Arabic" w:cs="AL-Mohanad"/>
          <w:sz w:val="27"/>
          <w:szCs w:val="27"/>
          <w:rtl/>
        </w:rPr>
        <w:t>ها إلا</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 لأن التربية الصح</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ية والسليمة هي المعيار </w:t>
      </w:r>
      <w:r w:rsidRPr="006571AC">
        <w:rPr>
          <w:rFonts w:ascii="Simplified Arabic" w:eastAsiaTheme="minorHAnsi" w:hAnsi="Simplified Arabic" w:cs="AL-Mohanad" w:hint="cs"/>
          <w:sz w:val="27"/>
          <w:szCs w:val="27"/>
          <w:rtl/>
        </w:rPr>
        <w:t>الحاسم للتطو</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hint="cs"/>
          <w:sz w:val="27"/>
          <w:szCs w:val="27"/>
          <w:rtl/>
        </w:rPr>
        <w:t xml:space="preserve">ر الاجتماعي، وهي </w:t>
      </w:r>
      <w:r w:rsidRPr="006571AC">
        <w:rPr>
          <w:rFonts w:ascii="Simplified Arabic" w:eastAsiaTheme="minorHAnsi" w:hAnsi="Simplified Arabic" w:cs="AL-Mohanad"/>
          <w:sz w:val="27"/>
          <w:szCs w:val="27"/>
          <w:rtl/>
        </w:rPr>
        <w:t>الميزان</w:t>
      </w:r>
      <w:r w:rsidRPr="006571AC">
        <w:rPr>
          <w:rFonts w:ascii="Simplified Arabic" w:eastAsiaTheme="minorHAnsi" w:hAnsi="Simplified Arabic" w:cs="AL-Mohanad" w:hint="cs"/>
          <w:sz w:val="27"/>
          <w:szCs w:val="27"/>
          <w:rtl/>
        </w:rPr>
        <w:t xml:space="preserve"> الفاصل</w:t>
      </w:r>
      <w:r w:rsidRPr="006571AC">
        <w:rPr>
          <w:rFonts w:ascii="Simplified Arabic" w:eastAsiaTheme="minorHAnsi" w:hAnsi="Simplified Arabic" w:cs="AL-Mohanad"/>
          <w:sz w:val="27"/>
          <w:szCs w:val="27"/>
          <w:rtl/>
        </w:rPr>
        <w:t xml:space="preserve"> لبناء الفرد والمجتمع</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hint="cs"/>
          <w:sz w:val="27"/>
          <w:szCs w:val="27"/>
          <w:rtl/>
        </w:rPr>
        <w:t xml:space="preserve"> وتطو</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hint="cs"/>
          <w:sz w:val="27"/>
          <w:szCs w:val="27"/>
          <w:rtl/>
        </w:rPr>
        <w:t>رهما المستقلبي</w:t>
      </w:r>
      <w:r w:rsidRPr="006571AC">
        <w:rPr>
          <w:rFonts w:ascii="Simplified Arabic" w:eastAsiaTheme="minorHAnsi" w:hAnsi="Simplified Arabic" w:cs="AL-Mohanad"/>
          <w:sz w:val="27"/>
          <w:szCs w:val="27"/>
          <w:rtl/>
        </w:rPr>
        <w:t>، على طريق النهوض والتنمية</w:t>
      </w:r>
      <w:r w:rsidR="00C32E3C"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 حت</w:t>
      </w:r>
      <w:r w:rsidR="00C32E3C"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ى يصل هذا الفرد إلى مواقع القدرة على الابتكار والإبداع</w:t>
      </w:r>
      <w:r w:rsidR="00C32E3C"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hint="cs"/>
          <w:sz w:val="27"/>
          <w:szCs w:val="27"/>
          <w:rtl/>
        </w:rPr>
        <w:t xml:space="preserve"> وتحقّ</w:t>
      </w:r>
      <w:r w:rsidR="00C32E3C"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hint="cs"/>
          <w:sz w:val="27"/>
          <w:szCs w:val="27"/>
          <w:rtl/>
        </w:rPr>
        <w:t>ق الغاية من وجوده</w:t>
      </w:r>
      <w:r w:rsidR="00C32E3C"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w:t>
      </w:r>
      <w:r w:rsidRPr="006571AC">
        <w:rPr>
          <w:rFonts w:ascii="Simplified Arabic" w:eastAsiaTheme="minorHAnsi" w:hAnsi="Simplified Arabic" w:cs="AL-Mohanad" w:hint="cs"/>
          <w:sz w:val="27"/>
          <w:szCs w:val="27"/>
          <w:rtl/>
        </w:rPr>
        <w:t xml:space="preserve"> </w:t>
      </w:r>
    </w:p>
    <w:p w:rsidR="00373A12" w:rsidRPr="006571AC" w:rsidRDefault="00373A12" w:rsidP="004F6064">
      <w:pPr>
        <w:pStyle w:val="af"/>
        <w:rPr>
          <w:rFonts w:ascii="Simplified Arabic" w:hAnsi="Simplified Arabic" w:cs="AL-Mohanad"/>
          <w:sz w:val="27"/>
          <w:szCs w:val="27"/>
          <w:rtl/>
        </w:rPr>
      </w:pPr>
      <w:r w:rsidRPr="006571AC">
        <w:rPr>
          <w:rFonts w:ascii="Simplified Arabic" w:hAnsi="Simplified Arabic" w:cs="AL-Mohanad"/>
          <w:sz w:val="27"/>
          <w:szCs w:val="27"/>
          <w:rtl/>
        </w:rPr>
        <w:t>وعندما نقول بأن</w:t>
      </w:r>
      <w:r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التربية هي المعنية والمسؤولة عن </w:t>
      </w:r>
      <w:r w:rsidRPr="006571AC">
        <w:rPr>
          <w:rFonts w:ascii="Simplified Arabic" w:hAnsi="Simplified Arabic" w:cs="AL-Mohanad" w:hint="cs"/>
          <w:sz w:val="27"/>
          <w:szCs w:val="27"/>
          <w:rtl/>
        </w:rPr>
        <w:t>بناء الأجيال و</w:t>
      </w:r>
      <w:r w:rsidRPr="006571AC">
        <w:rPr>
          <w:rFonts w:ascii="Simplified Arabic" w:hAnsi="Simplified Arabic" w:cs="AL-Mohanad"/>
          <w:sz w:val="27"/>
          <w:szCs w:val="27"/>
          <w:rtl/>
        </w:rPr>
        <w:t>نمو</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النشء، </w:t>
      </w:r>
      <w:r w:rsidRPr="006571AC">
        <w:rPr>
          <w:rFonts w:ascii="Simplified Arabic" w:hAnsi="Simplified Arabic" w:cs="AL-Mohanad" w:hint="cs"/>
          <w:sz w:val="27"/>
          <w:szCs w:val="27"/>
          <w:rtl/>
        </w:rPr>
        <w:t>وتنميته ذهنياً وعقلياً</w:t>
      </w:r>
      <w:r w:rsidRPr="006571AC">
        <w:rPr>
          <w:rFonts w:ascii="Simplified Arabic" w:hAnsi="Simplified Arabic" w:cs="AL-Mohanad"/>
          <w:sz w:val="27"/>
          <w:szCs w:val="27"/>
          <w:rtl/>
        </w:rPr>
        <w:t>، فيجب أن تتنقل علوم التربية إلى الجانب العملي، وتتحر</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ك تطبيقياً، وليس نظرياً فقط</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وذلك من أجل تمثُّل مظاهر هذا النمو</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المتوق</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ع للفرد، في إتقان مهارات التواصل والتفاعل الخلا</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ق، وتعلُّم </w:t>
      </w:r>
      <w:r w:rsidRPr="006571AC">
        <w:rPr>
          <w:rFonts w:ascii="Simplified Arabic" w:hAnsi="Simplified Arabic" w:cs="AL-Mohanad" w:hint="cs"/>
          <w:sz w:val="27"/>
          <w:szCs w:val="27"/>
          <w:rtl/>
        </w:rPr>
        <w:t>(وتفعيل) طاقات وقدرات</w:t>
      </w:r>
      <w:r w:rsidRPr="006571AC">
        <w:rPr>
          <w:rFonts w:ascii="Simplified Arabic" w:hAnsi="Simplified Arabic" w:cs="AL-Mohanad"/>
          <w:sz w:val="27"/>
          <w:szCs w:val="27"/>
          <w:rtl/>
        </w:rPr>
        <w:t xml:space="preserve"> الحضور الذاتي، وامتلاك القدرة على التفكير المحل</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ل الناقد</w:t>
      </w:r>
      <w:r w:rsidR="00C32E3C"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وليس الات</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باعي الاستلابي.</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كما تتمث</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ل في </w:t>
      </w:r>
      <w:r w:rsidRPr="006571AC">
        <w:rPr>
          <w:rFonts w:ascii="Simplified Arabic" w:hAnsi="Simplified Arabic" w:cs="AL-Mohanad" w:hint="cs"/>
          <w:sz w:val="27"/>
          <w:szCs w:val="27"/>
          <w:rtl/>
        </w:rPr>
        <w:t>الانخراط الم</w:t>
      </w:r>
      <w:r w:rsidR="00C32E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ت</w:t>
      </w:r>
      <w:r w:rsidR="00C32E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ق</w:t>
      </w:r>
      <w:r w:rsidR="00C32E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ن بعلوم العصر، و</w:t>
      </w:r>
      <w:r w:rsidRPr="006571AC">
        <w:rPr>
          <w:rFonts w:ascii="Simplified Arabic" w:hAnsi="Simplified Arabic" w:cs="AL-Mohanad"/>
          <w:sz w:val="27"/>
          <w:szCs w:val="27"/>
          <w:rtl/>
        </w:rPr>
        <w:t>التمك</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ن من فهم</w:t>
      </w:r>
      <w:r w:rsidRPr="006571AC">
        <w:rPr>
          <w:rFonts w:ascii="Simplified Arabic" w:hAnsi="Simplified Arabic" w:cs="AL-Mohanad" w:hint="cs"/>
          <w:sz w:val="27"/>
          <w:szCs w:val="27"/>
          <w:rtl/>
        </w:rPr>
        <w:t xml:space="preserve">ها والإحاطة بدقائقها وتفاصيلها </w:t>
      </w:r>
      <w:r w:rsidRPr="006571AC">
        <w:rPr>
          <w:rFonts w:ascii="Simplified Arabic" w:hAnsi="Simplified Arabic" w:cs="AL-Mohanad"/>
          <w:sz w:val="27"/>
          <w:szCs w:val="27"/>
          <w:rtl/>
        </w:rPr>
        <w:t>و</w:t>
      </w:r>
      <w:r w:rsidRPr="006571AC">
        <w:rPr>
          <w:rFonts w:ascii="Simplified Arabic" w:hAnsi="Simplified Arabic" w:cs="AL-Mohanad" w:hint="cs"/>
          <w:sz w:val="27"/>
          <w:szCs w:val="27"/>
          <w:rtl/>
        </w:rPr>
        <w:t>كل</w:t>
      </w:r>
      <w:r w:rsidR="00C32E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ما يت</w:t>
      </w:r>
      <w:r w:rsidR="00C32E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صل ب</w:t>
      </w:r>
      <w:r w:rsidRPr="006571AC">
        <w:rPr>
          <w:rFonts w:ascii="Simplified Arabic" w:hAnsi="Simplified Arabic" w:cs="AL-Mohanad"/>
          <w:sz w:val="27"/>
          <w:szCs w:val="27"/>
          <w:rtl/>
        </w:rPr>
        <w:t>تقنياته</w:t>
      </w:r>
      <w:r w:rsidRPr="006571AC">
        <w:rPr>
          <w:rFonts w:ascii="Simplified Arabic" w:hAnsi="Simplified Arabic" w:cs="AL-Mohanad" w:hint="cs"/>
          <w:sz w:val="27"/>
          <w:szCs w:val="27"/>
          <w:rtl/>
        </w:rPr>
        <w:t>ا</w:t>
      </w:r>
      <w:r w:rsidRPr="006571AC">
        <w:rPr>
          <w:rFonts w:ascii="Simplified Arabic" w:hAnsi="Simplified Arabic" w:cs="AL-Mohanad"/>
          <w:sz w:val="27"/>
          <w:szCs w:val="27"/>
          <w:rtl/>
        </w:rPr>
        <w:t xml:space="preserve"> المتطو</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رة، واكتساب مهارات تطبيقها في العمل والإنتاج</w:t>
      </w:r>
      <w:r w:rsidRPr="006571AC">
        <w:rPr>
          <w:rFonts w:ascii="Simplified Arabic" w:hAnsi="Simplified Arabic" w:cs="AL-Mohanad" w:hint="cs"/>
          <w:sz w:val="27"/>
          <w:szCs w:val="27"/>
          <w:rtl/>
        </w:rPr>
        <w:t xml:space="preserve"> الحقيقي</w:t>
      </w:r>
      <w:r w:rsidRPr="006571AC">
        <w:rPr>
          <w:rFonts w:ascii="Simplified Arabic" w:hAnsi="Simplified Arabic" w:cs="AL-Mohanad"/>
          <w:sz w:val="27"/>
          <w:szCs w:val="27"/>
          <w:rtl/>
        </w:rPr>
        <w:t xml:space="preserve">. </w:t>
      </w:r>
    </w:p>
    <w:p w:rsidR="00373A12" w:rsidRPr="006571AC" w:rsidRDefault="00373A12" w:rsidP="004F6064">
      <w:pPr>
        <w:autoSpaceDE w:val="0"/>
        <w:autoSpaceDN w:val="0"/>
        <w:adjustRightInd w:val="0"/>
        <w:rPr>
          <w:rFonts w:ascii="Simplified Arabic" w:hAnsi="Simplified Arabic"/>
          <w:sz w:val="27"/>
          <w:rtl/>
        </w:rPr>
      </w:pPr>
      <w:r w:rsidRPr="006571AC">
        <w:rPr>
          <w:rFonts w:ascii="Simplified Arabic" w:hAnsi="Simplified Arabic"/>
          <w:sz w:val="27"/>
          <w:rtl/>
        </w:rPr>
        <w:t>نعم، يجب أن نعترف ونقر</w:t>
      </w:r>
      <w:r w:rsidRPr="006571AC">
        <w:rPr>
          <w:rFonts w:ascii="Simplified Arabic" w:hAnsi="Simplified Arabic" w:hint="cs"/>
          <w:sz w:val="27"/>
          <w:rtl/>
        </w:rPr>
        <w:t>ّ</w:t>
      </w:r>
      <w:r w:rsidRPr="006571AC">
        <w:rPr>
          <w:rFonts w:ascii="Simplified Arabic" w:hAnsi="Simplified Arabic"/>
          <w:sz w:val="27"/>
          <w:rtl/>
        </w:rPr>
        <w:t xml:space="preserve"> بوجود أزمة</w:t>
      </w:r>
      <w:r w:rsidR="00C32E3C" w:rsidRPr="006571AC">
        <w:rPr>
          <w:rFonts w:ascii="Simplified Arabic" w:hAnsi="Simplified Arabic" w:hint="cs"/>
          <w:sz w:val="27"/>
          <w:rtl/>
        </w:rPr>
        <w:t>ٍ</w:t>
      </w:r>
      <w:r w:rsidRPr="006571AC">
        <w:rPr>
          <w:rFonts w:ascii="Simplified Arabic" w:hAnsi="Simplified Arabic"/>
          <w:sz w:val="27"/>
          <w:rtl/>
        </w:rPr>
        <w:t xml:space="preserve"> في الفكر التربوي العربي</w:t>
      </w:r>
      <w:r w:rsidR="00C32E3C" w:rsidRPr="006571AC">
        <w:rPr>
          <w:rFonts w:ascii="Simplified Arabic" w:hAnsi="Simplified Arabic" w:hint="cs"/>
          <w:sz w:val="27"/>
          <w:rtl/>
        </w:rPr>
        <w:t>.</w:t>
      </w:r>
      <w:r w:rsidRPr="006571AC">
        <w:rPr>
          <w:rFonts w:ascii="Simplified Arabic" w:hAnsi="Simplified Arabic"/>
          <w:sz w:val="27"/>
          <w:rtl/>
        </w:rPr>
        <w:t>..</w:t>
      </w:r>
      <w:r w:rsidR="00C32E3C" w:rsidRPr="006571AC">
        <w:rPr>
          <w:rFonts w:ascii="Simplified Arabic" w:hAnsi="Simplified Arabic" w:hint="cs"/>
          <w:sz w:val="27"/>
          <w:rtl/>
        </w:rPr>
        <w:t>،</w:t>
      </w:r>
      <w:r w:rsidRPr="006571AC">
        <w:rPr>
          <w:rFonts w:ascii="Simplified Arabic" w:hAnsi="Simplified Arabic"/>
          <w:sz w:val="27"/>
          <w:rtl/>
        </w:rPr>
        <w:t xml:space="preserve"> أزمة فعل</w:t>
      </w:r>
      <w:r w:rsidR="00C32E3C" w:rsidRPr="006571AC">
        <w:rPr>
          <w:rFonts w:ascii="Simplified Arabic" w:hAnsi="Simplified Arabic" w:hint="cs"/>
          <w:sz w:val="27"/>
          <w:rtl/>
        </w:rPr>
        <w:t>ٍ</w:t>
      </w:r>
      <w:r w:rsidRPr="006571AC">
        <w:rPr>
          <w:rFonts w:ascii="Simplified Arabic" w:hAnsi="Simplified Arabic"/>
          <w:sz w:val="27"/>
          <w:rtl/>
        </w:rPr>
        <w:t xml:space="preserve"> وحضور</w:t>
      </w:r>
      <w:r w:rsidR="00C32E3C" w:rsidRPr="006571AC">
        <w:rPr>
          <w:rFonts w:ascii="Simplified Arabic" w:hAnsi="Simplified Arabic" w:hint="cs"/>
          <w:sz w:val="27"/>
          <w:rtl/>
        </w:rPr>
        <w:t>ٍ</w:t>
      </w:r>
      <w:r w:rsidRPr="006571AC">
        <w:rPr>
          <w:rFonts w:ascii="Simplified Arabic" w:hAnsi="Simplified Arabic"/>
          <w:sz w:val="27"/>
          <w:rtl/>
        </w:rPr>
        <w:t>، وقدرة</w:t>
      </w:r>
      <w:r w:rsidR="00C32E3C" w:rsidRPr="006571AC">
        <w:rPr>
          <w:rFonts w:ascii="Simplified Arabic" w:hAnsi="Simplified Arabic" w:hint="cs"/>
          <w:sz w:val="27"/>
          <w:rtl/>
        </w:rPr>
        <w:t>ٍ</w:t>
      </w:r>
      <w:r w:rsidRPr="006571AC">
        <w:rPr>
          <w:rFonts w:ascii="Simplified Arabic" w:hAnsi="Simplified Arabic"/>
          <w:sz w:val="27"/>
          <w:rtl/>
        </w:rPr>
        <w:t xml:space="preserve"> على إثبات الوجود، والانتقال من الحي</w:t>
      </w:r>
      <w:r w:rsidRPr="006571AC">
        <w:rPr>
          <w:rFonts w:ascii="Simplified Arabic" w:hAnsi="Simplified Arabic" w:hint="cs"/>
          <w:sz w:val="27"/>
          <w:rtl/>
        </w:rPr>
        <w:t>ّ</w:t>
      </w:r>
      <w:r w:rsidR="00C32E3C" w:rsidRPr="006571AC">
        <w:rPr>
          <w:rFonts w:ascii="Simplified Arabic" w:hAnsi="Simplified Arabic" w:hint="cs"/>
          <w:sz w:val="27"/>
          <w:rtl/>
        </w:rPr>
        <w:t>ِ</w:t>
      </w:r>
      <w:r w:rsidRPr="006571AC">
        <w:rPr>
          <w:rFonts w:ascii="Simplified Arabic" w:hAnsi="Simplified Arabic"/>
          <w:sz w:val="27"/>
          <w:rtl/>
        </w:rPr>
        <w:t xml:space="preserve">ز النظري إلى </w:t>
      </w:r>
      <w:r w:rsidRPr="006571AC">
        <w:rPr>
          <w:rFonts w:ascii="Simplified Arabic" w:hAnsi="Simplified Arabic" w:hint="cs"/>
          <w:sz w:val="27"/>
          <w:rtl/>
        </w:rPr>
        <w:t>الفعل</w:t>
      </w:r>
      <w:r w:rsidRPr="006571AC">
        <w:rPr>
          <w:rFonts w:ascii="Simplified Arabic" w:hAnsi="Simplified Arabic"/>
          <w:sz w:val="27"/>
          <w:rtl/>
        </w:rPr>
        <w:t xml:space="preserve"> ال</w:t>
      </w:r>
      <w:r w:rsidRPr="006571AC">
        <w:rPr>
          <w:rFonts w:ascii="Simplified Arabic" w:hAnsi="Simplified Arabic" w:hint="cs"/>
          <w:sz w:val="27"/>
          <w:rtl/>
        </w:rPr>
        <w:t>تطبيقي</w:t>
      </w:r>
      <w:r w:rsidRPr="006571AC">
        <w:rPr>
          <w:rFonts w:ascii="Simplified Arabic" w:hAnsi="Simplified Arabic"/>
          <w:sz w:val="27"/>
          <w:rtl/>
        </w:rPr>
        <w:t>.</w:t>
      </w:r>
      <w:r w:rsidR="00C32E3C"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sz w:val="27"/>
          <w:rtl/>
        </w:rPr>
        <w:lastRenderedPageBreak/>
        <w:t xml:space="preserve">ويبدو لي أن السبب وراء هذه الأزمة يعود بالدرجة الأساسية إلى كون هذا الفكر جزءاً من مجمل </w:t>
      </w:r>
      <w:r w:rsidRPr="006571AC">
        <w:rPr>
          <w:rFonts w:ascii="Simplified Arabic" w:hAnsi="Simplified Arabic" w:hint="cs"/>
          <w:sz w:val="27"/>
          <w:rtl/>
        </w:rPr>
        <w:t>ال</w:t>
      </w:r>
      <w:r w:rsidRPr="006571AC">
        <w:rPr>
          <w:rFonts w:ascii="Simplified Arabic" w:hAnsi="Simplified Arabic"/>
          <w:sz w:val="27"/>
          <w:rtl/>
        </w:rPr>
        <w:t>أدبيات و</w:t>
      </w:r>
      <w:r w:rsidRPr="006571AC">
        <w:rPr>
          <w:rFonts w:ascii="Simplified Arabic" w:hAnsi="Simplified Arabic" w:hint="cs"/>
          <w:sz w:val="27"/>
          <w:rtl/>
        </w:rPr>
        <w:t>ال</w:t>
      </w:r>
      <w:r w:rsidRPr="006571AC">
        <w:rPr>
          <w:rFonts w:ascii="Simplified Arabic" w:hAnsi="Simplified Arabic"/>
          <w:sz w:val="27"/>
          <w:rtl/>
        </w:rPr>
        <w:t>خطاب</w:t>
      </w:r>
      <w:r w:rsidRPr="006571AC">
        <w:rPr>
          <w:rFonts w:ascii="Simplified Arabic" w:hAnsi="Simplified Arabic" w:hint="cs"/>
          <w:sz w:val="27"/>
          <w:rtl/>
        </w:rPr>
        <w:t>ات ا</w:t>
      </w:r>
      <w:r w:rsidR="00C32E3C" w:rsidRPr="006571AC">
        <w:rPr>
          <w:rFonts w:ascii="Simplified Arabic" w:hAnsi="Simplified Arabic" w:hint="cs"/>
          <w:sz w:val="27"/>
          <w:rtl/>
        </w:rPr>
        <w:t>ل</w:t>
      </w:r>
      <w:r w:rsidRPr="006571AC">
        <w:rPr>
          <w:rFonts w:ascii="Simplified Arabic" w:hAnsi="Simplified Arabic" w:hint="cs"/>
          <w:sz w:val="27"/>
          <w:rtl/>
        </w:rPr>
        <w:t>رسمية النخبوية ل</w:t>
      </w:r>
      <w:r w:rsidRPr="006571AC">
        <w:rPr>
          <w:rFonts w:ascii="Simplified Arabic" w:hAnsi="Simplified Arabic"/>
          <w:sz w:val="27"/>
          <w:rtl/>
        </w:rPr>
        <w:t>لدولة العربية، وهو عموماً خطاب</w:t>
      </w:r>
      <w:r w:rsidR="00C32E3C" w:rsidRPr="006571AC">
        <w:rPr>
          <w:rFonts w:ascii="Simplified Arabic" w:hAnsi="Simplified Arabic" w:hint="cs"/>
          <w:sz w:val="27"/>
          <w:rtl/>
        </w:rPr>
        <w:t>ٌ</w:t>
      </w:r>
      <w:r w:rsidRPr="006571AC">
        <w:rPr>
          <w:rFonts w:ascii="Simplified Arabic" w:hAnsi="Simplified Arabic"/>
          <w:sz w:val="27"/>
          <w:rtl/>
        </w:rPr>
        <w:t xml:space="preserve"> نظري</w:t>
      </w:r>
      <w:r w:rsidR="00C32E3C" w:rsidRPr="006571AC">
        <w:rPr>
          <w:rFonts w:ascii="Simplified Arabic" w:hAnsi="Simplified Arabic" w:hint="cs"/>
          <w:sz w:val="27"/>
          <w:rtl/>
        </w:rPr>
        <w:t>ٌّ</w:t>
      </w:r>
      <w:r w:rsidRPr="006571AC">
        <w:rPr>
          <w:rFonts w:ascii="Simplified Arabic" w:hAnsi="Simplified Arabic"/>
          <w:sz w:val="27"/>
          <w:rtl/>
        </w:rPr>
        <w:t xml:space="preserve"> شعاراتي تمجيدي </w:t>
      </w:r>
      <w:r w:rsidRPr="006571AC">
        <w:rPr>
          <w:rFonts w:ascii="Simplified Arabic" w:hAnsi="Simplified Arabic" w:hint="cs"/>
          <w:sz w:val="27"/>
          <w:rtl/>
        </w:rPr>
        <w:t>و</w:t>
      </w:r>
      <w:r w:rsidR="00C32E3C" w:rsidRPr="006571AC">
        <w:rPr>
          <w:rFonts w:ascii="Simplified Arabic" w:hAnsi="Simplified Arabic" w:hint="cs"/>
          <w:sz w:val="27"/>
          <w:rtl/>
        </w:rPr>
        <w:t>َ</w:t>
      </w:r>
      <w:r w:rsidRPr="006571AC">
        <w:rPr>
          <w:rFonts w:ascii="Simplified Arabic" w:hAnsi="Simplified Arabic" w:hint="cs"/>
          <w:sz w:val="27"/>
          <w:rtl/>
        </w:rPr>
        <w:t>ع</w:t>
      </w:r>
      <w:r w:rsidR="00C32E3C" w:rsidRPr="006571AC">
        <w:rPr>
          <w:rFonts w:ascii="Simplified Arabic" w:hAnsi="Simplified Arabic" w:hint="cs"/>
          <w:sz w:val="27"/>
          <w:rtl/>
        </w:rPr>
        <w:t>ْ</w:t>
      </w:r>
      <w:r w:rsidRPr="006571AC">
        <w:rPr>
          <w:rFonts w:ascii="Simplified Arabic" w:hAnsi="Simplified Arabic" w:hint="cs"/>
          <w:sz w:val="27"/>
          <w:rtl/>
        </w:rPr>
        <w:t xml:space="preserve">ظي إنشائي تقديسي، </w:t>
      </w:r>
      <w:r w:rsidRPr="006571AC">
        <w:rPr>
          <w:rFonts w:ascii="Simplified Arabic" w:hAnsi="Simplified Arabic"/>
          <w:sz w:val="27"/>
          <w:rtl/>
        </w:rPr>
        <w:t>بعيد</w:t>
      </w:r>
      <w:r w:rsidR="00C32E3C" w:rsidRPr="006571AC">
        <w:rPr>
          <w:rFonts w:ascii="Simplified Arabic" w:hAnsi="Simplified Arabic" w:hint="cs"/>
          <w:sz w:val="27"/>
          <w:rtl/>
        </w:rPr>
        <w:t>ٌ</w:t>
      </w:r>
      <w:r w:rsidRPr="006571AC">
        <w:rPr>
          <w:rFonts w:ascii="Simplified Arabic" w:hAnsi="Simplified Arabic"/>
          <w:sz w:val="27"/>
          <w:rtl/>
        </w:rPr>
        <w:t xml:space="preserve"> عن لغة الأرقام</w:t>
      </w:r>
      <w:r w:rsidRPr="006571AC">
        <w:rPr>
          <w:rFonts w:ascii="Simplified Arabic" w:hAnsi="Simplified Arabic" w:hint="cs"/>
          <w:sz w:val="27"/>
          <w:rtl/>
        </w:rPr>
        <w:t xml:space="preserve"> والبيانات</w:t>
      </w:r>
      <w:r w:rsidRPr="006571AC">
        <w:rPr>
          <w:rFonts w:ascii="Simplified Arabic" w:hAnsi="Simplified Arabic"/>
          <w:sz w:val="27"/>
          <w:rtl/>
        </w:rPr>
        <w:t xml:space="preserve"> والاحصائيات الدقيقة، حيث تمك</w:t>
      </w:r>
      <w:r w:rsidR="00C32E3C" w:rsidRPr="006571AC">
        <w:rPr>
          <w:rFonts w:ascii="Simplified Arabic" w:hAnsi="Simplified Arabic" w:hint="cs"/>
          <w:sz w:val="27"/>
          <w:rtl/>
        </w:rPr>
        <w:t>َّ</w:t>
      </w:r>
      <w:r w:rsidRPr="006571AC">
        <w:rPr>
          <w:rFonts w:ascii="Simplified Arabic" w:hAnsi="Simplified Arabic"/>
          <w:sz w:val="27"/>
          <w:rtl/>
        </w:rPr>
        <w:t>نت نخب</w:t>
      </w:r>
      <w:r w:rsidRPr="006571AC">
        <w:rPr>
          <w:rFonts w:ascii="Simplified Arabic" w:hAnsi="Simplified Arabic" w:hint="cs"/>
          <w:sz w:val="27"/>
          <w:rtl/>
        </w:rPr>
        <w:t xml:space="preserve"> الدولة </w:t>
      </w:r>
      <w:r w:rsidRPr="006571AC">
        <w:rPr>
          <w:rFonts w:hint="eastAsia"/>
          <w:sz w:val="24"/>
          <w:szCs w:val="24"/>
          <w:rtl/>
        </w:rPr>
        <w:t>«</w:t>
      </w:r>
      <w:r w:rsidRPr="006571AC">
        <w:rPr>
          <w:rFonts w:ascii="Simplified Arabic" w:hAnsi="Simplified Arabic"/>
          <w:sz w:val="27"/>
          <w:rtl/>
        </w:rPr>
        <w:t>التسل</w:t>
      </w:r>
      <w:r w:rsidR="00C32E3C" w:rsidRPr="006571AC">
        <w:rPr>
          <w:rFonts w:ascii="Simplified Arabic" w:hAnsi="Simplified Arabic" w:hint="cs"/>
          <w:sz w:val="27"/>
          <w:rtl/>
        </w:rPr>
        <w:t>ُّ</w:t>
      </w:r>
      <w:r w:rsidRPr="006571AC">
        <w:rPr>
          <w:rFonts w:ascii="Simplified Arabic" w:hAnsi="Simplified Arabic"/>
          <w:sz w:val="27"/>
          <w:rtl/>
        </w:rPr>
        <w:t>طية العربية</w:t>
      </w:r>
      <w:r w:rsidRPr="006571AC">
        <w:rPr>
          <w:rFonts w:hint="eastAsia"/>
          <w:sz w:val="24"/>
          <w:szCs w:val="24"/>
          <w:rtl/>
        </w:rPr>
        <w:t>»</w:t>
      </w:r>
      <w:r w:rsidRPr="006571AC">
        <w:rPr>
          <w:rFonts w:ascii="Simplified Arabic" w:hAnsi="Simplified Arabic"/>
          <w:sz w:val="27"/>
          <w:rtl/>
        </w:rPr>
        <w:t xml:space="preserve"> من الهيمنة عليه، مثل غيره من مجالات المجتمع</w:t>
      </w:r>
      <w:r w:rsidRPr="006571AC">
        <w:rPr>
          <w:rFonts w:ascii="Simplified Arabic" w:hAnsi="Simplified Arabic" w:hint="cs"/>
          <w:sz w:val="27"/>
          <w:rtl/>
        </w:rPr>
        <w:t xml:space="preserve"> ومواقعه المختلفة</w:t>
      </w:r>
      <w:r w:rsidRPr="006571AC">
        <w:rPr>
          <w:rFonts w:ascii="Simplified Arabic" w:hAnsi="Simplified Arabic"/>
          <w:sz w:val="27"/>
          <w:rtl/>
        </w:rPr>
        <w:t xml:space="preserve">، وتجييره لمصلحة خطابها ونهجها العام. </w:t>
      </w:r>
    </w:p>
    <w:p w:rsidR="00373A12" w:rsidRPr="006571AC" w:rsidRDefault="00373A12" w:rsidP="004F6064">
      <w:pPr>
        <w:rPr>
          <w:rFonts w:ascii="Simplified Arabic" w:hAnsi="Simplified Arabic"/>
          <w:sz w:val="27"/>
          <w:rtl/>
        </w:rPr>
      </w:pPr>
      <w:r w:rsidRPr="006571AC">
        <w:rPr>
          <w:rFonts w:ascii="Simplified Arabic" w:hAnsi="Simplified Arabic" w:hint="cs"/>
          <w:sz w:val="27"/>
          <w:rtl/>
        </w:rPr>
        <w:t xml:space="preserve">إنّ </w:t>
      </w:r>
      <w:r w:rsidRPr="006571AC">
        <w:rPr>
          <w:rFonts w:ascii="Simplified Arabic" w:hAnsi="Simplified Arabic"/>
          <w:sz w:val="27"/>
          <w:rtl/>
        </w:rPr>
        <w:t>هذه الهيمنة الكل</w:t>
      </w:r>
      <w:r w:rsidRPr="006571AC">
        <w:rPr>
          <w:rFonts w:ascii="Simplified Arabic" w:hAnsi="Simplified Arabic" w:hint="cs"/>
          <w:sz w:val="27"/>
          <w:rtl/>
        </w:rPr>
        <w:t>ّ</w:t>
      </w:r>
      <w:r w:rsidR="00C32E3C" w:rsidRPr="006571AC">
        <w:rPr>
          <w:rFonts w:ascii="Simplified Arabic" w:hAnsi="Simplified Arabic" w:hint="cs"/>
          <w:sz w:val="27"/>
          <w:rtl/>
        </w:rPr>
        <w:t>ِ</w:t>
      </w:r>
      <w:r w:rsidRPr="006571AC">
        <w:rPr>
          <w:rFonts w:ascii="Simplified Arabic" w:hAnsi="Simplified Arabic"/>
          <w:sz w:val="27"/>
          <w:rtl/>
        </w:rPr>
        <w:t xml:space="preserve">ية والشاملة </w:t>
      </w:r>
      <w:r w:rsidRPr="006571AC">
        <w:rPr>
          <w:rFonts w:ascii="Simplified Arabic" w:hAnsi="Simplified Arabic" w:hint="cs"/>
          <w:sz w:val="27"/>
          <w:rtl/>
        </w:rPr>
        <w:t>ترك</w:t>
      </w:r>
      <w:r w:rsidR="00C32E3C" w:rsidRPr="006571AC">
        <w:rPr>
          <w:rFonts w:ascii="Simplified Arabic" w:hAnsi="Simplified Arabic" w:hint="cs"/>
          <w:sz w:val="27"/>
          <w:rtl/>
        </w:rPr>
        <w:t>َ</w:t>
      </w:r>
      <w:r w:rsidRPr="006571AC">
        <w:rPr>
          <w:rFonts w:ascii="Simplified Arabic" w:hAnsi="Simplified Arabic" w:hint="cs"/>
          <w:sz w:val="27"/>
          <w:rtl/>
        </w:rPr>
        <w:t>تْ أثره</w:t>
      </w:r>
      <w:r w:rsidR="00C32E3C" w:rsidRPr="006571AC">
        <w:rPr>
          <w:rFonts w:ascii="Simplified Arabic" w:hAnsi="Simplified Arabic" w:hint="cs"/>
          <w:sz w:val="27"/>
          <w:rtl/>
        </w:rPr>
        <w:t>ا الفعلي على أجيالنا الس</w:t>
      </w:r>
      <w:r w:rsidRPr="006571AC">
        <w:rPr>
          <w:rFonts w:ascii="Simplified Arabic" w:hAnsi="Simplified Arabic" w:hint="cs"/>
          <w:sz w:val="27"/>
          <w:rtl/>
        </w:rPr>
        <w:t>ابقة، وما نراه اليوم من حالة حطام</w:t>
      </w:r>
      <w:r w:rsidR="00C32E3C" w:rsidRPr="006571AC">
        <w:rPr>
          <w:rFonts w:ascii="Simplified Arabic" w:hAnsi="Simplified Arabic" w:hint="cs"/>
          <w:sz w:val="27"/>
          <w:rtl/>
        </w:rPr>
        <w:t>ٍ</w:t>
      </w:r>
      <w:r w:rsidRPr="006571AC">
        <w:rPr>
          <w:rFonts w:ascii="Simplified Arabic" w:hAnsi="Simplified Arabic" w:hint="cs"/>
          <w:sz w:val="27"/>
          <w:rtl/>
        </w:rPr>
        <w:t xml:space="preserve"> اجتماعي عربي</w:t>
      </w:r>
      <w:r w:rsidR="00C32E3C" w:rsidRPr="006571AC">
        <w:rPr>
          <w:rFonts w:ascii="Simplified Arabic" w:hAnsi="Simplified Arabic" w:hint="cs"/>
          <w:sz w:val="27"/>
          <w:rtl/>
        </w:rPr>
        <w:t>ّ</w:t>
      </w:r>
      <w:r w:rsidRPr="006571AC">
        <w:rPr>
          <w:rFonts w:ascii="Simplified Arabic" w:hAnsi="Simplified Arabic" w:hint="cs"/>
          <w:sz w:val="27"/>
          <w:rtl/>
        </w:rPr>
        <w:t xml:space="preserve"> عام</w:t>
      </w:r>
      <w:r w:rsidR="00C32E3C" w:rsidRPr="006571AC">
        <w:rPr>
          <w:rFonts w:ascii="Simplified Arabic" w:hAnsi="Simplified Arabic" w:hint="cs"/>
          <w:sz w:val="27"/>
          <w:rtl/>
        </w:rPr>
        <w:t>ّ</w:t>
      </w:r>
      <w:r w:rsidRPr="006571AC">
        <w:rPr>
          <w:rFonts w:ascii="Simplified Arabic" w:hAnsi="Simplified Arabic" w:hint="cs"/>
          <w:sz w:val="27"/>
          <w:rtl/>
        </w:rPr>
        <w:t xml:space="preserve"> هي المآلات الأخيرة لتلك التربية الشمولية، بنتائجها السوداوية الكارثية على بلداننا</w:t>
      </w:r>
      <w:r w:rsidR="006D1E6E" w:rsidRPr="006571AC">
        <w:rPr>
          <w:rFonts w:ascii="Simplified Arabic" w:hAnsi="Simplified Arabic" w:hint="cs"/>
          <w:sz w:val="27"/>
          <w:rtl/>
        </w:rPr>
        <w:t>،</w:t>
      </w:r>
      <w:r w:rsidRPr="006571AC">
        <w:rPr>
          <w:rFonts w:ascii="Simplified Arabic" w:hAnsi="Simplified Arabic" w:hint="cs"/>
          <w:sz w:val="27"/>
          <w:rtl/>
        </w:rPr>
        <w:t xml:space="preserve"> التي بات</w:t>
      </w:r>
      <w:r w:rsidR="006D1E6E" w:rsidRPr="006571AC">
        <w:rPr>
          <w:rFonts w:ascii="Simplified Arabic" w:hAnsi="Simplified Arabic" w:hint="cs"/>
          <w:sz w:val="27"/>
          <w:rtl/>
        </w:rPr>
        <w:t>َ</w:t>
      </w:r>
      <w:r w:rsidRPr="006571AC">
        <w:rPr>
          <w:rFonts w:ascii="Simplified Arabic" w:hAnsi="Simplified Arabic" w:hint="cs"/>
          <w:sz w:val="27"/>
          <w:rtl/>
        </w:rPr>
        <w:t>ت</w:t>
      </w:r>
      <w:r w:rsidR="006D1E6E" w:rsidRPr="006571AC">
        <w:rPr>
          <w:rFonts w:ascii="Simplified Arabic" w:hAnsi="Simplified Arabic" w:hint="cs"/>
          <w:sz w:val="27"/>
          <w:rtl/>
        </w:rPr>
        <w:t>ْ</w:t>
      </w:r>
      <w:r w:rsidRPr="006571AC">
        <w:rPr>
          <w:rFonts w:ascii="Simplified Arabic" w:hAnsi="Simplified Arabic" w:hint="cs"/>
          <w:sz w:val="27"/>
          <w:rtl/>
        </w:rPr>
        <w:t xml:space="preserve"> تفتقر للمهارات والخبرة والتنظيم والتفكير العلمي المنظ</w:t>
      </w:r>
      <w:r w:rsidR="006D1E6E" w:rsidRPr="006571AC">
        <w:rPr>
          <w:rFonts w:ascii="Simplified Arabic" w:hAnsi="Simplified Arabic" w:hint="cs"/>
          <w:sz w:val="27"/>
          <w:rtl/>
        </w:rPr>
        <w:t>َّ</w:t>
      </w:r>
      <w:r w:rsidRPr="006571AC">
        <w:rPr>
          <w:rFonts w:ascii="Simplified Arabic" w:hAnsi="Simplified Arabic" w:hint="cs"/>
          <w:sz w:val="27"/>
          <w:rtl/>
        </w:rPr>
        <w:t>م..</w:t>
      </w:r>
      <w:r w:rsidR="006D1E6E" w:rsidRPr="006571AC">
        <w:rPr>
          <w:rFonts w:ascii="Simplified Arabic" w:hAnsi="Simplified Arabic" w:hint="cs"/>
          <w:sz w:val="27"/>
          <w:rtl/>
        </w:rPr>
        <w:t>.،</w:t>
      </w:r>
      <w:r w:rsidRPr="006571AC">
        <w:rPr>
          <w:rFonts w:ascii="Simplified Arabic" w:hAnsi="Simplified Arabic" w:hint="cs"/>
          <w:sz w:val="27"/>
          <w:rtl/>
        </w:rPr>
        <w:t xml:space="preserve"> و</w:t>
      </w:r>
      <w:r w:rsidR="00731867" w:rsidRPr="006571AC">
        <w:rPr>
          <w:rFonts w:ascii="Simplified Arabic" w:hAnsi="Simplified Arabic" w:hint="cs"/>
          <w:sz w:val="27"/>
          <w:rtl/>
        </w:rPr>
        <w:t>لا بُدَّ</w:t>
      </w:r>
      <w:r w:rsidRPr="006571AC">
        <w:rPr>
          <w:rFonts w:ascii="Simplified Arabic" w:hAnsi="Simplified Arabic" w:hint="cs"/>
          <w:sz w:val="27"/>
          <w:rtl/>
        </w:rPr>
        <w:t xml:space="preserve"> أنْ تترك أثراً أكبر</w:t>
      </w:r>
      <w:r w:rsidRPr="006571AC">
        <w:rPr>
          <w:rFonts w:ascii="Simplified Arabic" w:hAnsi="Simplified Arabic"/>
          <w:sz w:val="27"/>
          <w:rtl/>
        </w:rPr>
        <w:t xml:space="preserve"> على طبيعة التربية</w:t>
      </w:r>
      <w:r w:rsidRPr="006571AC">
        <w:rPr>
          <w:rFonts w:ascii="Simplified Arabic" w:hAnsi="Simplified Arabic" w:hint="cs"/>
          <w:sz w:val="27"/>
          <w:rtl/>
        </w:rPr>
        <w:t xml:space="preserve"> اللاحقة</w:t>
      </w:r>
      <w:r w:rsidRPr="006571AC">
        <w:rPr>
          <w:rFonts w:ascii="Simplified Arabic" w:hAnsi="Simplified Arabic"/>
          <w:sz w:val="27"/>
          <w:rtl/>
        </w:rPr>
        <w:t xml:space="preserve"> (</w:t>
      </w:r>
      <w:r w:rsidRPr="006571AC">
        <w:rPr>
          <w:rFonts w:ascii="Simplified Arabic" w:hAnsi="Simplified Arabic" w:hint="cs"/>
          <w:sz w:val="27"/>
          <w:rtl/>
        </w:rPr>
        <w:t xml:space="preserve">والتي هي </w:t>
      </w:r>
      <w:r w:rsidRPr="006571AC">
        <w:rPr>
          <w:rFonts w:ascii="Simplified Arabic" w:hAnsi="Simplified Arabic"/>
          <w:sz w:val="27"/>
          <w:rtl/>
        </w:rPr>
        <w:t xml:space="preserve">غالباً </w:t>
      </w:r>
      <w:r w:rsidRPr="006571AC">
        <w:rPr>
          <w:rFonts w:ascii="Simplified Arabic" w:hAnsi="Simplified Arabic" w:hint="cs"/>
          <w:sz w:val="27"/>
          <w:rtl/>
        </w:rPr>
        <w:t>تربية</w:t>
      </w:r>
      <w:r w:rsidR="006D1E6E" w:rsidRPr="006571AC">
        <w:rPr>
          <w:rFonts w:ascii="Simplified Arabic" w:hAnsi="Simplified Arabic" w:hint="cs"/>
          <w:sz w:val="27"/>
          <w:rtl/>
        </w:rPr>
        <w:t>ٌ</w:t>
      </w:r>
      <w:r w:rsidRPr="006571AC">
        <w:rPr>
          <w:rFonts w:ascii="Simplified Arabic" w:hAnsi="Simplified Arabic" w:hint="cs"/>
          <w:sz w:val="27"/>
          <w:rtl/>
        </w:rPr>
        <w:t xml:space="preserve"> </w:t>
      </w:r>
      <w:r w:rsidRPr="006571AC">
        <w:rPr>
          <w:rFonts w:ascii="Simplified Arabic" w:hAnsi="Simplified Arabic"/>
          <w:sz w:val="27"/>
          <w:rtl/>
        </w:rPr>
        <w:t>تلقينية تمجيدية وهوياتية</w:t>
      </w:r>
      <w:r w:rsidRPr="006571AC">
        <w:rPr>
          <w:rFonts w:ascii="Simplified Arabic" w:hAnsi="Simplified Arabic" w:hint="cs"/>
          <w:sz w:val="27"/>
          <w:rtl/>
        </w:rPr>
        <w:t xml:space="preserve"> انغلاقية</w:t>
      </w:r>
      <w:r w:rsidRPr="006571AC">
        <w:rPr>
          <w:rFonts w:ascii="Simplified Arabic" w:hAnsi="Simplified Arabic"/>
          <w:sz w:val="27"/>
          <w:rtl/>
        </w:rPr>
        <w:t>)</w:t>
      </w:r>
      <w:r w:rsidR="006D1E6E" w:rsidRPr="006571AC">
        <w:rPr>
          <w:rFonts w:ascii="Simplified Arabic" w:hAnsi="Simplified Arabic" w:hint="cs"/>
          <w:sz w:val="27"/>
          <w:rtl/>
        </w:rPr>
        <w:t>،</w:t>
      </w:r>
      <w:r w:rsidRPr="006571AC">
        <w:rPr>
          <w:rFonts w:ascii="Simplified Arabic" w:hAnsi="Simplified Arabic"/>
          <w:sz w:val="27"/>
          <w:rtl/>
        </w:rPr>
        <w:t xml:space="preserve"> التي تتلق</w:t>
      </w:r>
      <w:r w:rsidR="006D1E6E" w:rsidRPr="006571AC">
        <w:rPr>
          <w:rFonts w:ascii="Simplified Arabic" w:hAnsi="Simplified Arabic" w:hint="cs"/>
          <w:sz w:val="27"/>
          <w:rtl/>
        </w:rPr>
        <w:t>ّ</w:t>
      </w:r>
      <w:r w:rsidRPr="006571AC">
        <w:rPr>
          <w:rFonts w:ascii="Simplified Arabic" w:hAnsi="Simplified Arabic"/>
          <w:sz w:val="27"/>
          <w:rtl/>
        </w:rPr>
        <w:t>اها الأجيال في المدارس</w:t>
      </w:r>
      <w:r w:rsidRPr="006571AC">
        <w:rPr>
          <w:rFonts w:ascii="Simplified Arabic" w:hAnsi="Simplified Arabic" w:hint="cs"/>
          <w:sz w:val="27"/>
          <w:rtl/>
        </w:rPr>
        <w:t xml:space="preserve"> اليوم ولاحقاً في المستقبل</w:t>
      </w:r>
      <w:r w:rsidR="006D1E6E" w:rsidRPr="006571AC">
        <w:rPr>
          <w:rFonts w:ascii="Simplified Arabic" w:hAnsi="Simplified Arabic" w:hint="cs"/>
          <w:sz w:val="27"/>
          <w:rtl/>
        </w:rPr>
        <w:t>،</w:t>
      </w:r>
      <w:r w:rsidRPr="006571AC">
        <w:rPr>
          <w:rFonts w:ascii="Simplified Arabic" w:hAnsi="Simplified Arabic" w:hint="cs"/>
          <w:sz w:val="27"/>
          <w:rtl/>
        </w:rPr>
        <w:t xml:space="preserve"> ما لم يُت</w:t>
      </w:r>
      <w:r w:rsidR="006D1E6E" w:rsidRPr="006571AC">
        <w:rPr>
          <w:rFonts w:ascii="Simplified Arabic" w:hAnsi="Simplified Arabic" w:hint="cs"/>
          <w:sz w:val="27"/>
          <w:rtl/>
        </w:rPr>
        <w:t>َ</w:t>
      </w:r>
      <w:r w:rsidRPr="006571AC">
        <w:rPr>
          <w:rFonts w:ascii="Simplified Arabic" w:hAnsi="Simplified Arabic" w:hint="cs"/>
          <w:sz w:val="27"/>
          <w:rtl/>
        </w:rPr>
        <w:t>د</w:t>
      </w:r>
      <w:r w:rsidR="006D1E6E" w:rsidRPr="006571AC">
        <w:rPr>
          <w:rFonts w:ascii="Simplified Arabic" w:hAnsi="Simplified Arabic" w:hint="cs"/>
          <w:sz w:val="27"/>
          <w:rtl/>
        </w:rPr>
        <w:t>َ</w:t>
      </w:r>
      <w:r w:rsidRPr="006571AC">
        <w:rPr>
          <w:rFonts w:ascii="Simplified Arabic" w:hAnsi="Simplified Arabic" w:hint="cs"/>
          <w:sz w:val="27"/>
          <w:rtl/>
        </w:rPr>
        <w:t>ارك الأمر</w:t>
      </w:r>
      <w:r w:rsidRPr="006571AC">
        <w:rPr>
          <w:rFonts w:ascii="Simplified Arabic" w:hAnsi="Simplified Arabic"/>
          <w:sz w:val="27"/>
          <w:rtl/>
        </w:rPr>
        <w:t>.</w:t>
      </w:r>
      <w:r w:rsidR="006D1E6E" w:rsidRPr="006571AC">
        <w:rPr>
          <w:rFonts w:ascii="Simplified Arabic" w:hAnsi="Simplified Arabic" w:hint="cs"/>
          <w:sz w:val="27"/>
          <w:rtl/>
        </w:rPr>
        <w:t>.</w:t>
      </w:r>
      <w:r w:rsidRPr="006571AC">
        <w:rPr>
          <w:rFonts w:ascii="Simplified Arabic" w:hAnsi="Simplified Arabic"/>
          <w:sz w:val="27"/>
          <w:rtl/>
        </w:rPr>
        <w:t>.</w:t>
      </w:r>
      <w:r w:rsidR="006D1E6E" w:rsidRPr="006571AC">
        <w:rPr>
          <w:rFonts w:ascii="Simplified Arabic" w:hAnsi="Simplified Arabic" w:hint="cs"/>
          <w:sz w:val="27"/>
          <w:rtl/>
        </w:rPr>
        <w:t>،</w:t>
      </w:r>
      <w:r w:rsidRPr="006571AC">
        <w:rPr>
          <w:rFonts w:ascii="Simplified Arabic" w:hAnsi="Simplified Arabic"/>
          <w:sz w:val="27"/>
          <w:rtl/>
        </w:rPr>
        <w:t xml:space="preserve"> بمعنى أن أجيال</w:t>
      </w:r>
      <w:r w:rsidRPr="006571AC">
        <w:rPr>
          <w:rFonts w:ascii="Simplified Arabic" w:hAnsi="Simplified Arabic" w:hint="cs"/>
          <w:sz w:val="27"/>
          <w:rtl/>
        </w:rPr>
        <w:t>نا</w:t>
      </w:r>
      <w:r w:rsidRPr="006571AC">
        <w:rPr>
          <w:rFonts w:ascii="Simplified Arabic" w:hAnsi="Simplified Arabic"/>
          <w:sz w:val="27"/>
          <w:rtl/>
        </w:rPr>
        <w:t xml:space="preserve"> لا تتلق</w:t>
      </w:r>
      <w:r w:rsidR="00364320" w:rsidRPr="006571AC">
        <w:rPr>
          <w:rFonts w:ascii="Simplified Arabic" w:hAnsi="Simplified Arabic" w:hint="cs"/>
          <w:sz w:val="27"/>
          <w:rtl/>
        </w:rPr>
        <w:t>ّ</w:t>
      </w:r>
      <w:r w:rsidRPr="006571AC">
        <w:rPr>
          <w:rFonts w:ascii="Simplified Arabic" w:hAnsi="Simplified Arabic"/>
          <w:sz w:val="27"/>
          <w:rtl/>
        </w:rPr>
        <w:t>ى تربيتها وتعليمها في فراغ</w:t>
      </w:r>
      <w:r w:rsidRPr="006571AC">
        <w:rPr>
          <w:rFonts w:ascii="Simplified Arabic" w:hAnsi="Simplified Arabic" w:hint="cs"/>
          <w:sz w:val="27"/>
          <w:rtl/>
        </w:rPr>
        <w:t xml:space="preserve"> أو بناء من مدارس حديثة ونظيفة ومهي</w:t>
      </w:r>
      <w:r w:rsidR="006D1E6E" w:rsidRPr="006571AC">
        <w:rPr>
          <w:rFonts w:ascii="Simplified Arabic" w:hAnsi="Simplified Arabic" w:hint="cs"/>
          <w:sz w:val="27"/>
          <w:rtl/>
        </w:rPr>
        <w:t>ّأ</w:t>
      </w:r>
      <w:r w:rsidRPr="006571AC">
        <w:rPr>
          <w:rFonts w:ascii="Simplified Arabic" w:hAnsi="Simplified Arabic" w:hint="cs"/>
          <w:sz w:val="27"/>
          <w:rtl/>
        </w:rPr>
        <w:t xml:space="preserve">ة شكلياً للتربية، </w:t>
      </w:r>
      <w:r w:rsidRPr="006571AC">
        <w:rPr>
          <w:rFonts w:ascii="Simplified Arabic" w:hAnsi="Simplified Arabic"/>
          <w:sz w:val="27"/>
          <w:rtl/>
        </w:rPr>
        <w:t xml:space="preserve">بل </w:t>
      </w:r>
      <w:r w:rsidRPr="006571AC">
        <w:rPr>
          <w:rFonts w:ascii="Simplified Arabic" w:hAnsi="Simplified Arabic" w:hint="cs"/>
          <w:sz w:val="27"/>
          <w:rtl/>
        </w:rPr>
        <w:t>ما تتلق</w:t>
      </w:r>
      <w:r w:rsidR="006D1E6E" w:rsidRPr="006571AC">
        <w:rPr>
          <w:rFonts w:ascii="Simplified Arabic" w:hAnsi="Simplified Arabic" w:hint="cs"/>
          <w:sz w:val="27"/>
          <w:rtl/>
        </w:rPr>
        <w:t>ّ</w:t>
      </w:r>
      <w:r w:rsidRPr="006571AC">
        <w:rPr>
          <w:rFonts w:ascii="Simplified Arabic" w:hAnsi="Simplified Arabic" w:hint="cs"/>
          <w:sz w:val="27"/>
          <w:rtl/>
        </w:rPr>
        <w:t>اه من ن</w:t>
      </w:r>
      <w:r w:rsidR="006D1E6E" w:rsidRPr="006571AC">
        <w:rPr>
          <w:rFonts w:ascii="Simplified Arabic" w:hAnsi="Simplified Arabic" w:hint="cs"/>
          <w:sz w:val="27"/>
          <w:rtl/>
        </w:rPr>
        <w:t>ُ</w:t>
      </w:r>
      <w:r w:rsidRPr="006571AC">
        <w:rPr>
          <w:rFonts w:ascii="Simplified Arabic" w:hAnsi="Simplified Arabic" w:hint="cs"/>
          <w:sz w:val="27"/>
          <w:rtl/>
        </w:rPr>
        <w:t>ظ</w:t>
      </w:r>
      <w:r w:rsidR="006D1E6E" w:rsidRPr="006571AC">
        <w:rPr>
          <w:rFonts w:ascii="Simplified Arabic" w:hAnsi="Simplified Arabic" w:hint="cs"/>
          <w:sz w:val="27"/>
          <w:rtl/>
        </w:rPr>
        <w:t>ُ</w:t>
      </w:r>
      <w:r w:rsidRPr="006571AC">
        <w:rPr>
          <w:rFonts w:ascii="Simplified Arabic" w:hAnsi="Simplified Arabic" w:hint="cs"/>
          <w:sz w:val="27"/>
          <w:rtl/>
        </w:rPr>
        <w:t xml:space="preserve">م تربوية يجري </w:t>
      </w:r>
      <w:r w:rsidRPr="006571AC">
        <w:rPr>
          <w:rFonts w:ascii="Simplified Arabic" w:hAnsi="Simplified Arabic"/>
          <w:sz w:val="27"/>
          <w:rtl/>
        </w:rPr>
        <w:t>ضمن مناخات وأجواء مجتمع</w:t>
      </w:r>
      <w:r w:rsidR="006D1E6E" w:rsidRPr="006571AC">
        <w:rPr>
          <w:rFonts w:ascii="Simplified Arabic" w:hAnsi="Simplified Arabic" w:hint="cs"/>
          <w:sz w:val="27"/>
          <w:rtl/>
        </w:rPr>
        <w:t>ٍ</w:t>
      </w:r>
      <w:r w:rsidRPr="006571AC">
        <w:rPr>
          <w:rFonts w:ascii="Simplified Arabic" w:hAnsi="Simplified Arabic"/>
          <w:sz w:val="27"/>
          <w:rtl/>
        </w:rPr>
        <w:t xml:space="preserve"> محكوم بأنظمة</w:t>
      </w:r>
      <w:r w:rsidR="006D1E6E" w:rsidRPr="006571AC">
        <w:rPr>
          <w:rFonts w:ascii="Simplified Arabic" w:hAnsi="Simplified Arabic" w:hint="cs"/>
          <w:sz w:val="27"/>
          <w:rtl/>
        </w:rPr>
        <w:t>ٍ</w:t>
      </w:r>
      <w:r w:rsidRPr="006571AC">
        <w:rPr>
          <w:rFonts w:ascii="Simplified Arabic" w:hAnsi="Simplified Arabic"/>
          <w:sz w:val="27"/>
          <w:rtl/>
        </w:rPr>
        <w:t xml:space="preserve"> سياسية </w:t>
      </w:r>
      <w:r w:rsidRPr="006571AC">
        <w:rPr>
          <w:rFonts w:ascii="Simplified Arabic" w:hAnsi="Simplified Arabic" w:hint="cs"/>
          <w:sz w:val="27"/>
          <w:rtl/>
        </w:rPr>
        <w:t xml:space="preserve">شمولية عدوانية، </w:t>
      </w:r>
      <w:r w:rsidRPr="006571AC">
        <w:rPr>
          <w:rFonts w:ascii="Simplified Arabic" w:hAnsi="Simplified Arabic"/>
          <w:sz w:val="27"/>
          <w:rtl/>
        </w:rPr>
        <w:t>تت</w:t>
      </w:r>
      <w:r w:rsidR="006D1E6E" w:rsidRPr="006571AC">
        <w:rPr>
          <w:rFonts w:ascii="Simplified Arabic" w:hAnsi="Simplified Arabic" w:hint="cs"/>
          <w:sz w:val="27"/>
          <w:rtl/>
        </w:rPr>
        <w:t>َّ</w:t>
      </w:r>
      <w:r w:rsidRPr="006571AC">
        <w:rPr>
          <w:rFonts w:ascii="Simplified Arabic" w:hAnsi="Simplified Arabic"/>
          <w:sz w:val="27"/>
          <w:rtl/>
        </w:rPr>
        <w:t>خذ من الأيديولوجيات الخ</w:t>
      </w:r>
      <w:r w:rsidR="006D1E6E" w:rsidRPr="006571AC">
        <w:rPr>
          <w:rFonts w:ascii="Simplified Arabic" w:hAnsi="Simplified Arabic" w:hint="cs"/>
          <w:sz w:val="27"/>
          <w:rtl/>
        </w:rPr>
        <w:t>َ</w:t>
      </w:r>
      <w:r w:rsidRPr="006571AC">
        <w:rPr>
          <w:rFonts w:ascii="Simplified Arabic" w:hAnsi="Simplified Arabic"/>
          <w:sz w:val="27"/>
          <w:rtl/>
        </w:rPr>
        <w:t>لا</w:t>
      </w:r>
      <w:r w:rsidR="006D1E6E" w:rsidRPr="006571AC">
        <w:rPr>
          <w:rFonts w:ascii="Simplified Arabic" w:hAnsi="Simplified Arabic" w:hint="cs"/>
          <w:sz w:val="27"/>
          <w:rtl/>
        </w:rPr>
        <w:t>َ</w:t>
      </w:r>
      <w:r w:rsidRPr="006571AC">
        <w:rPr>
          <w:rFonts w:ascii="Simplified Arabic" w:hAnsi="Simplified Arabic"/>
          <w:sz w:val="27"/>
          <w:rtl/>
        </w:rPr>
        <w:t xml:space="preserve">صية (دينية أم وضعية) </w:t>
      </w:r>
      <w:r w:rsidRPr="006571AC">
        <w:rPr>
          <w:rFonts w:ascii="Simplified Arabic" w:hAnsi="Simplified Arabic" w:hint="cs"/>
          <w:sz w:val="27"/>
          <w:rtl/>
        </w:rPr>
        <w:t xml:space="preserve">ـ </w:t>
      </w:r>
      <w:r w:rsidRPr="006571AC">
        <w:rPr>
          <w:rFonts w:ascii="Simplified Arabic" w:hAnsi="Simplified Arabic"/>
          <w:sz w:val="27"/>
          <w:rtl/>
        </w:rPr>
        <w:t xml:space="preserve">القائمة على </w:t>
      </w:r>
      <w:r w:rsidRPr="006571AC">
        <w:rPr>
          <w:rFonts w:ascii="Simplified Arabic" w:hAnsi="Simplified Arabic" w:hint="cs"/>
          <w:sz w:val="27"/>
          <w:rtl/>
        </w:rPr>
        <w:t>الطاعة و</w:t>
      </w:r>
      <w:r w:rsidRPr="006571AC">
        <w:rPr>
          <w:rFonts w:ascii="Simplified Arabic" w:hAnsi="Simplified Arabic"/>
          <w:sz w:val="27"/>
          <w:rtl/>
        </w:rPr>
        <w:t>الولاء الأعمى</w:t>
      </w:r>
      <w:r w:rsidRPr="006571AC">
        <w:rPr>
          <w:rFonts w:ascii="Simplified Arabic" w:hAnsi="Simplified Arabic" w:hint="cs"/>
          <w:sz w:val="27"/>
          <w:rtl/>
        </w:rPr>
        <w:t xml:space="preserve"> ـ </w:t>
      </w:r>
      <w:r w:rsidRPr="006571AC">
        <w:rPr>
          <w:rFonts w:ascii="Simplified Arabic" w:hAnsi="Simplified Arabic"/>
          <w:sz w:val="27"/>
          <w:rtl/>
        </w:rPr>
        <w:t>مقياساً لكل</w:t>
      </w:r>
      <w:r w:rsidR="006D1E6E" w:rsidRPr="006571AC">
        <w:rPr>
          <w:rFonts w:ascii="Simplified Arabic" w:hAnsi="Simplified Arabic" w:hint="cs"/>
          <w:sz w:val="27"/>
          <w:rtl/>
        </w:rPr>
        <w:t>ّ</w:t>
      </w:r>
      <w:r w:rsidRPr="006571AC">
        <w:rPr>
          <w:rFonts w:ascii="Simplified Arabic" w:hAnsi="Simplified Arabic"/>
          <w:sz w:val="27"/>
          <w:rtl/>
        </w:rPr>
        <w:t xml:space="preserve"> شيء</w:t>
      </w:r>
      <w:r w:rsidR="006D1E6E" w:rsidRPr="006571AC">
        <w:rPr>
          <w:rFonts w:ascii="Simplified Arabic" w:hAnsi="Simplified Arabic" w:hint="cs"/>
          <w:sz w:val="27"/>
          <w:rtl/>
        </w:rPr>
        <w:t>ٍ</w:t>
      </w:r>
      <w:r w:rsidRPr="006571AC">
        <w:rPr>
          <w:rFonts w:ascii="Simplified Arabic" w:hAnsi="Simplified Arabic" w:hint="cs"/>
          <w:sz w:val="27"/>
          <w:rtl/>
        </w:rPr>
        <w:t xml:space="preserve"> خاص</w:t>
      </w:r>
      <w:r w:rsidR="006D1E6E" w:rsidRPr="006571AC">
        <w:rPr>
          <w:rFonts w:ascii="Simplified Arabic" w:hAnsi="Simplified Arabic" w:hint="cs"/>
          <w:sz w:val="27"/>
          <w:rtl/>
        </w:rPr>
        <w:t>ّ</w:t>
      </w:r>
      <w:r w:rsidRPr="006571AC">
        <w:rPr>
          <w:rFonts w:ascii="Simplified Arabic" w:hAnsi="Simplified Arabic" w:hint="cs"/>
          <w:sz w:val="27"/>
          <w:rtl/>
        </w:rPr>
        <w:t xml:space="preserve"> وعام</w:t>
      </w:r>
      <w:r w:rsidR="006D1E6E"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وتضخ</w:t>
      </w:r>
      <w:r w:rsidR="006D1E6E" w:rsidRPr="006571AC">
        <w:rPr>
          <w:rFonts w:ascii="Simplified Arabic" w:hAnsi="Simplified Arabic" w:hint="cs"/>
          <w:sz w:val="27"/>
          <w:rtl/>
        </w:rPr>
        <w:t>ّ</w:t>
      </w:r>
      <w:r w:rsidRPr="006571AC">
        <w:rPr>
          <w:rFonts w:ascii="Simplified Arabic" w:hAnsi="Simplified Arabic" w:hint="cs"/>
          <w:sz w:val="27"/>
          <w:rtl/>
        </w:rPr>
        <w:t xml:space="preserve"> في أوصال المجتمع كل</w:t>
      </w:r>
      <w:r w:rsidR="006D1E6E" w:rsidRPr="006571AC">
        <w:rPr>
          <w:rFonts w:ascii="Simplified Arabic" w:hAnsi="Simplified Arabic" w:hint="cs"/>
          <w:sz w:val="27"/>
          <w:rtl/>
        </w:rPr>
        <w:t>ّ</w:t>
      </w:r>
      <w:r w:rsidRPr="006571AC">
        <w:rPr>
          <w:rFonts w:ascii="Simplified Arabic" w:hAnsi="Simplified Arabic" w:hint="cs"/>
          <w:sz w:val="27"/>
          <w:rtl/>
        </w:rPr>
        <w:t>ه (ابتداء من المدرسة) ثقافة عصبوية</w:t>
      </w:r>
      <w:r w:rsidR="006D1E6E" w:rsidRPr="006571AC">
        <w:rPr>
          <w:rFonts w:ascii="Simplified Arabic" w:hAnsi="Simplified Arabic" w:hint="cs"/>
          <w:sz w:val="27"/>
          <w:rtl/>
        </w:rPr>
        <w:t>،</w:t>
      </w:r>
      <w:r w:rsidRPr="006571AC">
        <w:rPr>
          <w:rFonts w:ascii="Simplified Arabic" w:hAnsi="Simplified Arabic" w:hint="cs"/>
          <w:sz w:val="27"/>
          <w:rtl/>
        </w:rPr>
        <w:t xml:space="preserve"> تمج</w:t>
      </w:r>
      <w:r w:rsidR="006D1E6E" w:rsidRPr="006571AC">
        <w:rPr>
          <w:rFonts w:ascii="Simplified Arabic" w:hAnsi="Simplified Arabic" w:hint="cs"/>
          <w:sz w:val="27"/>
          <w:rtl/>
        </w:rPr>
        <w:t>ِّ</w:t>
      </w:r>
      <w:r w:rsidRPr="006571AC">
        <w:rPr>
          <w:rFonts w:ascii="Simplified Arabic" w:hAnsi="Simplified Arabic" w:hint="cs"/>
          <w:sz w:val="27"/>
          <w:rtl/>
        </w:rPr>
        <w:t xml:space="preserve">د ذات الحاكم، وتلغي </w:t>
      </w:r>
      <w:r w:rsidR="00EA38F1" w:rsidRPr="006571AC">
        <w:rPr>
          <w:rFonts w:ascii="Simplified Arabic" w:hAnsi="Simplified Arabic" w:hint="cs"/>
          <w:sz w:val="27"/>
          <w:rtl/>
        </w:rPr>
        <w:t>دَوْر</w:t>
      </w:r>
      <w:r w:rsidRPr="006571AC">
        <w:rPr>
          <w:rFonts w:ascii="Simplified Arabic" w:hAnsi="Simplified Arabic" w:hint="cs"/>
          <w:sz w:val="27"/>
          <w:rtl/>
        </w:rPr>
        <w:t xml:space="preserve"> المساءلة، وتغي</w:t>
      </w:r>
      <w:r w:rsidR="006D1E6E" w:rsidRPr="006571AC">
        <w:rPr>
          <w:rFonts w:ascii="Simplified Arabic" w:hAnsi="Simplified Arabic" w:hint="cs"/>
          <w:sz w:val="27"/>
          <w:rtl/>
        </w:rPr>
        <w:t>ِّ</w:t>
      </w:r>
      <w:r w:rsidRPr="006571AC">
        <w:rPr>
          <w:rFonts w:ascii="Simplified Arabic" w:hAnsi="Simplified Arabic" w:hint="cs"/>
          <w:sz w:val="27"/>
          <w:rtl/>
        </w:rPr>
        <w:t>ب الحس</w:t>
      </w:r>
      <w:r w:rsidR="006D1E6E" w:rsidRPr="006571AC">
        <w:rPr>
          <w:rFonts w:ascii="Simplified Arabic" w:hAnsi="Simplified Arabic" w:hint="cs"/>
          <w:sz w:val="27"/>
          <w:rtl/>
        </w:rPr>
        <w:t>ّ</w:t>
      </w:r>
      <w:r w:rsidRPr="006571AC">
        <w:rPr>
          <w:rFonts w:ascii="Simplified Arabic" w:hAnsi="Simplified Arabic" w:hint="cs"/>
          <w:sz w:val="27"/>
          <w:rtl/>
        </w:rPr>
        <w:t xml:space="preserve"> النقدي (باعتباره أحد أهم</w:t>
      </w:r>
      <w:r w:rsidR="006D1E6E" w:rsidRPr="006571AC">
        <w:rPr>
          <w:rFonts w:ascii="Simplified Arabic" w:hAnsi="Simplified Arabic" w:hint="cs"/>
          <w:sz w:val="27"/>
          <w:rtl/>
        </w:rPr>
        <w:t>ّ</w:t>
      </w:r>
      <w:r w:rsidRPr="006571AC">
        <w:rPr>
          <w:rFonts w:ascii="Simplified Arabic" w:hAnsi="Simplified Arabic" w:hint="cs"/>
          <w:sz w:val="27"/>
          <w:rtl/>
        </w:rPr>
        <w:t xml:space="preserve"> مقو</w:t>
      </w:r>
      <w:r w:rsidR="006D1E6E" w:rsidRPr="006571AC">
        <w:rPr>
          <w:rFonts w:ascii="Simplified Arabic" w:hAnsi="Simplified Arabic" w:hint="cs"/>
          <w:sz w:val="27"/>
          <w:rtl/>
        </w:rPr>
        <w:t>ّ</w:t>
      </w:r>
      <w:r w:rsidRPr="006571AC">
        <w:rPr>
          <w:rFonts w:ascii="Simplified Arabic" w:hAnsi="Simplified Arabic" w:hint="cs"/>
          <w:sz w:val="27"/>
          <w:rtl/>
        </w:rPr>
        <w:t>مات التعليم التربوي العلمي)، وليس فيها أي</w:t>
      </w:r>
      <w:r w:rsidR="006D1E6E" w:rsidRPr="006571AC">
        <w:rPr>
          <w:rFonts w:ascii="Simplified Arabic" w:hAnsi="Simplified Arabic" w:hint="cs"/>
          <w:sz w:val="27"/>
          <w:rtl/>
        </w:rPr>
        <w:t>ّ</w:t>
      </w:r>
      <w:r w:rsidRPr="006571AC">
        <w:rPr>
          <w:rFonts w:ascii="Simplified Arabic" w:hAnsi="Simplified Arabic" w:hint="cs"/>
          <w:sz w:val="27"/>
          <w:rtl/>
        </w:rPr>
        <w:t xml:space="preserve"> فسحة</w:t>
      </w:r>
      <w:r w:rsidR="006D1E6E" w:rsidRPr="006571AC">
        <w:rPr>
          <w:rFonts w:ascii="Simplified Arabic" w:hAnsi="Simplified Arabic" w:hint="cs"/>
          <w:sz w:val="27"/>
          <w:rtl/>
        </w:rPr>
        <w:t>ٍ</w:t>
      </w:r>
      <w:r w:rsidRPr="006571AC">
        <w:rPr>
          <w:rFonts w:ascii="Simplified Arabic" w:hAnsi="Simplified Arabic" w:hint="cs"/>
          <w:sz w:val="27"/>
          <w:rtl/>
        </w:rPr>
        <w:t xml:space="preserve"> أو مجال</w:t>
      </w:r>
      <w:r w:rsidR="006D1E6E" w:rsidRPr="006571AC">
        <w:rPr>
          <w:rFonts w:ascii="Simplified Arabic" w:hAnsi="Simplified Arabic" w:hint="cs"/>
          <w:sz w:val="27"/>
          <w:rtl/>
        </w:rPr>
        <w:t>ٍ</w:t>
      </w:r>
      <w:r w:rsidRPr="006571AC">
        <w:rPr>
          <w:rFonts w:ascii="Simplified Arabic" w:hAnsi="Simplified Arabic" w:hint="cs"/>
          <w:sz w:val="27"/>
          <w:rtl/>
        </w:rPr>
        <w:t xml:space="preserve"> للنشاط الفردي الح</w:t>
      </w:r>
      <w:r w:rsidR="006D1E6E" w:rsidRPr="006571AC">
        <w:rPr>
          <w:rFonts w:ascii="Simplified Arabic" w:hAnsi="Simplified Arabic" w:hint="cs"/>
          <w:sz w:val="27"/>
          <w:rtl/>
        </w:rPr>
        <w:t>ُ</w:t>
      </w:r>
      <w:r w:rsidRPr="006571AC">
        <w:rPr>
          <w:rFonts w:ascii="Simplified Arabic" w:hAnsi="Simplified Arabic" w:hint="cs"/>
          <w:sz w:val="27"/>
          <w:rtl/>
        </w:rPr>
        <w:t>ر</w:t>
      </w:r>
      <w:r w:rsidR="006D1E6E" w:rsidRPr="006571AC">
        <w:rPr>
          <w:rFonts w:ascii="Simplified Arabic" w:hAnsi="Simplified Arabic" w:hint="cs"/>
          <w:sz w:val="27"/>
          <w:rtl/>
        </w:rPr>
        <w:t>ّ،</w:t>
      </w:r>
      <w:r w:rsidRPr="006571AC">
        <w:rPr>
          <w:rFonts w:ascii="Simplified Arabic" w:hAnsi="Simplified Arabic" w:hint="cs"/>
          <w:sz w:val="27"/>
          <w:rtl/>
        </w:rPr>
        <w:t xml:space="preserve"> حت</w:t>
      </w:r>
      <w:r w:rsidR="006D1E6E" w:rsidRPr="006571AC">
        <w:rPr>
          <w:rFonts w:ascii="Simplified Arabic" w:hAnsi="Simplified Arabic" w:hint="cs"/>
          <w:sz w:val="27"/>
          <w:rtl/>
        </w:rPr>
        <w:t>ّ</w:t>
      </w:r>
      <w:r w:rsidRPr="006571AC">
        <w:rPr>
          <w:rFonts w:ascii="Simplified Arabic" w:hAnsi="Simplified Arabic" w:hint="cs"/>
          <w:sz w:val="27"/>
          <w:rtl/>
        </w:rPr>
        <w:t>ى لو كان تربوياً وعلمياً</w:t>
      </w:r>
      <w:r w:rsidR="006D1E6E" w:rsidRPr="006571AC">
        <w:rPr>
          <w:rFonts w:ascii="Simplified Arabic" w:hAnsi="Simplified Arabic" w:hint="cs"/>
          <w:sz w:val="27"/>
          <w:rtl/>
        </w:rPr>
        <w:t>،</w:t>
      </w:r>
      <w:r w:rsidRPr="006571AC">
        <w:rPr>
          <w:rFonts w:ascii="Simplified Arabic" w:hAnsi="Simplified Arabic" w:hint="cs"/>
          <w:sz w:val="27"/>
          <w:rtl/>
        </w:rPr>
        <w:t xml:space="preserve"> إلا</w:t>
      </w:r>
      <w:r w:rsidR="006D1E6E" w:rsidRPr="006571AC">
        <w:rPr>
          <w:rFonts w:ascii="Simplified Arabic" w:hAnsi="Simplified Arabic" w:hint="cs"/>
          <w:sz w:val="27"/>
          <w:rtl/>
        </w:rPr>
        <w:t>ّ</w:t>
      </w:r>
      <w:r w:rsidRPr="006571AC">
        <w:rPr>
          <w:rFonts w:ascii="Simplified Arabic" w:hAnsi="Simplified Arabic" w:hint="cs"/>
          <w:sz w:val="27"/>
          <w:rtl/>
        </w:rPr>
        <w:t xml:space="preserve"> ضمن أجندة الشمولية السياسية الحاكمة..</w:t>
      </w:r>
      <w:r w:rsidR="006D1E6E" w:rsidRPr="006571AC">
        <w:rPr>
          <w:rFonts w:ascii="Simplified Arabic" w:hAnsi="Simplified Arabic" w:hint="cs"/>
          <w:sz w:val="27"/>
          <w:rtl/>
        </w:rPr>
        <w:t>.</w:t>
      </w:r>
      <w:r w:rsidRPr="006571AC">
        <w:rPr>
          <w:rFonts w:ascii="Simplified Arabic" w:hAnsi="Simplified Arabic" w:hint="cs"/>
          <w:sz w:val="27"/>
          <w:rtl/>
        </w:rPr>
        <w:t xml:space="preserve"> </w:t>
      </w:r>
      <w:r w:rsidRPr="006571AC">
        <w:rPr>
          <w:rFonts w:ascii="Simplified Arabic" w:hAnsi="Simplified Arabic"/>
          <w:sz w:val="27"/>
          <w:rtl/>
        </w:rPr>
        <w:t>و</w:t>
      </w:r>
      <w:r w:rsidRPr="006571AC">
        <w:rPr>
          <w:rFonts w:ascii="Simplified Arabic" w:hAnsi="Simplified Arabic" w:hint="cs"/>
          <w:sz w:val="27"/>
          <w:rtl/>
        </w:rPr>
        <w:t>تأث</w:t>
      </w:r>
      <w:r w:rsidR="006D1E6E" w:rsidRPr="006571AC">
        <w:rPr>
          <w:rFonts w:ascii="Simplified Arabic" w:hAnsi="Simplified Arabic" w:hint="cs"/>
          <w:sz w:val="27"/>
          <w:rtl/>
        </w:rPr>
        <w:t>ُّ</w:t>
      </w:r>
      <w:r w:rsidRPr="006571AC">
        <w:rPr>
          <w:rFonts w:ascii="Simplified Arabic" w:hAnsi="Simplified Arabic" w:hint="cs"/>
          <w:sz w:val="27"/>
          <w:rtl/>
        </w:rPr>
        <w:t xml:space="preserve">ر </w:t>
      </w:r>
      <w:r w:rsidRPr="006571AC">
        <w:rPr>
          <w:rFonts w:ascii="Simplified Arabic" w:hAnsi="Simplified Arabic"/>
          <w:sz w:val="27"/>
          <w:rtl/>
        </w:rPr>
        <w:t xml:space="preserve">المدرسة </w:t>
      </w:r>
      <w:r w:rsidRPr="006571AC">
        <w:rPr>
          <w:rFonts w:ascii="Simplified Arabic" w:hAnsi="Simplified Arabic" w:hint="cs"/>
          <w:sz w:val="27"/>
          <w:rtl/>
        </w:rPr>
        <w:t>بهذا النهج الشمولي الضاغط</w:t>
      </w:r>
      <w:r w:rsidR="006D1E6E" w:rsidRPr="006571AC">
        <w:rPr>
          <w:rFonts w:ascii="Simplified Arabic" w:hAnsi="Simplified Arabic" w:hint="cs"/>
          <w:sz w:val="27"/>
          <w:rtl/>
        </w:rPr>
        <w:t>،</w:t>
      </w:r>
      <w:r w:rsidRPr="006571AC">
        <w:rPr>
          <w:rFonts w:ascii="Simplified Arabic" w:hAnsi="Simplified Arabic" w:hint="cs"/>
          <w:sz w:val="27"/>
          <w:rtl/>
        </w:rPr>
        <w:t xml:space="preserve"> الذي يفر</w:t>
      </w:r>
      <w:r w:rsidR="006D1E6E" w:rsidRPr="006571AC">
        <w:rPr>
          <w:rFonts w:ascii="Simplified Arabic" w:hAnsi="Simplified Arabic" w:hint="cs"/>
          <w:sz w:val="27"/>
          <w:rtl/>
        </w:rPr>
        <w:t>ِّ</w:t>
      </w:r>
      <w:r w:rsidRPr="006571AC">
        <w:rPr>
          <w:rFonts w:ascii="Simplified Arabic" w:hAnsi="Simplified Arabic" w:hint="cs"/>
          <w:sz w:val="27"/>
          <w:rtl/>
        </w:rPr>
        <w:t>غ الفرد من محتواه الق</w:t>
      </w:r>
      <w:r w:rsidR="006D1E6E" w:rsidRPr="006571AC">
        <w:rPr>
          <w:rFonts w:ascii="Simplified Arabic" w:hAnsi="Simplified Arabic" w:hint="cs"/>
          <w:sz w:val="27"/>
          <w:rtl/>
        </w:rPr>
        <w:t>ِ</w:t>
      </w:r>
      <w:r w:rsidRPr="006571AC">
        <w:rPr>
          <w:rFonts w:ascii="Simplified Arabic" w:hAnsi="Simplified Arabic" w:hint="cs"/>
          <w:sz w:val="27"/>
          <w:rtl/>
        </w:rPr>
        <w:t>ي</w:t>
      </w:r>
      <w:r w:rsidR="006D1E6E" w:rsidRPr="006571AC">
        <w:rPr>
          <w:rFonts w:ascii="Simplified Arabic" w:hAnsi="Simplified Arabic" w:hint="cs"/>
          <w:sz w:val="27"/>
          <w:rtl/>
        </w:rPr>
        <w:t>َ</w:t>
      </w:r>
      <w:r w:rsidRPr="006571AC">
        <w:rPr>
          <w:rFonts w:ascii="Simplified Arabic" w:hAnsi="Simplified Arabic" w:hint="cs"/>
          <w:sz w:val="27"/>
          <w:rtl/>
        </w:rPr>
        <w:t>مي النفسي الإبداعي، ويحو</w:t>
      </w:r>
      <w:r w:rsidR="006D1E6E" w:rsidRPr="006571AC">
        <w:rPr>
          <w:rFonts w:ascii="Simplified Arabic" w:hAnsi="Simplified Arabic" w:hint="cs"/>
          <w:sz w:val="27"/>
          <w:rtl/>
        </w:rPr>
        <w:t>ِّ</w:t>
      </w:r>
      <w:r w:rsidRPr="006571AC">
        <w:rPr>
          <w:rFonts w:ascii="Simplified Arabic" w:hAnsi="Simplified Arabic" w:hint="cs"/>
          <w:sz w:val="27"/>
          <w:rtl/>
        </w:rPr>
        <w:t xml:space="preserve">له </w:t>
      </w:r>
      <w:r w:rsidR="006D1E6E" w:rsidRPr="006571AC">
        <w:rPr>
          <w:rFonts w:ascii="Simplified Arabic" w:hAnsi="Simplified Arabic" w:hint="cs"/>
          <w:sz w:val="27"/>
          <w:rtl/>
        </w:rPr>
        <w:t xml:space="preserve">إلى </w:t>
      </w:r>
      <w:r w:rsidRPr="006571AC">
        <w:rPr>
          <w:rFonts w:ascii="Simplified Arabic" w:hAnsi="Simplified Arabic" w:hint="cs"/>
          <w:sz w:val="27"/>
          <w:rtl/>
        </w:rPr>
        <w:t>مجر</w:t>
      </w:r>
      <w:r w:rsidR="006D1E6E" w:rsidRPr="006571AC">
        <w:rPr>
          <w:rFonts w:ascii="Simplified Arabic" w:hAnsi="Simplified Arabic" w:hint="cs"/>
          <w:sz w:val="27"/>
          <w:rtl/>
        </w:rPr>
        <w:t>ّ</w:t>
      </w:r>
      <w:r w:rsidRPr="006571AC">
        <w:rPr>
          <w:rFonts w:ascii="Simplified Arabic" w:hAnsi="Simplified Arabic" w:hint="cs"/>
          <w:sz w:val="27"/>
          <w:rtl/>
        </w:rPr>
        <w:t>د فرد</w:t>
      </w:r>
      <w:r w:rsidR="006D1E6E" w:rsidRPr="006571AC">
        <w:rPr>
          <w:rFonts w:ascii="Simplified Arabic" w:hAnsi="Simplified Arabic" w:hint="cs"/>
          <w:sz w:val="27"/>
          <w:rtl/>
        </w:rPr>
        <w:t>ٍ</w:t>
      </w:r>
      <w:r w:rsidRPr="006571AC">
        <w:rPr>
          <w:rFonts w:ascii="Simplified Arabic" w:hAnsi="Simplified Arabic" w:hint="cs"/>
          <w:sz w:val="27"/>
          <w:rtl/>
        </w:rPr>
        <w:t xml:space="preserve"> منخور</w:t>
      </w:r>
      <w:r w:rsidR="006D1E6E" w:rsidRPr="006571AC">
        <w:rPr>
          <w:rFonts w:ascii="Simplified Arabic" w:hAnsi="Simplified Arabic" w:hint="cs"/>
          <w:sz w:val="27"/>
          <w:rtl/>
        </w:rPr>
        <w:t>ٍ</w:t>
      </w:r>
      <w:r w:rsidRPr="006571AC">
        <w:rPr>
          <w:rFonts w:ascii="Simplified Arabic" w:hAnsi="Simplified Arabic" w:hint="cs"/>
          <w:sz w:val="27"/>
          <w:rtl/>
        </w:rPr>
        <w:t xml:space="preserve"> غير قابل للفعل، يأتي لأنها </w:t>
      </w:r>
      <w:r w:rsidRPr="006571AC">
        <w:rPr>
          <w:rFonts w:ascii="Simplified Arabic" w:hAnsi="Simplified Arabic"/>
          <w:sz w:val="27"/>
          <w:rtl/>
        </w:rPr>
        <w:t>جزء</w:t>
      </w:r>
      <w:r w:rsidR="006D1E6E" w:rsidRPr="006571AC">
        <w:rPr>
          <w:rFonts w:ascii="Simplified Arabic" w:hAnsi="Simplified Arabic" w:hint="cs"/>
          <w:sz w:val="27"/>
          <w:rtl/>
        </w:rPr>
        <w:t>ٌ</w:t>
      </w:r>
      <w:r w:rsidRPr="006571AC">
        <w:rPr>
          <w:rFonts w:ascii="Simplified Arabic" w:hAnsi="Simplified Arabic"/>
          <w:sz w:val="27"/>
          <w:rtl/>
        </w:rPr>
        <w:t xml:space="preserve"> من نظام</w:t>
      </w:r>
      <w:r w:rsidR="00022176" w:rsidRPr="006571AC">
        <w:rPr>
          <w:rFonts w:ascii="Simplified Arabic" w:hAnsi="Simplified Arabic" w:hint="cs"/>
          <w:sz w:val="27"/>
          <w:rtl/>
        </w:rPr>
        <w:t>ٍ</w:t>
      </w:r>
      <w:r w:rsidRPr="006571AC">
        <w:rPr>
          <w:rFonts w:ascii="Simplified Arabic" w:hAnsi="Simplified Arabic"/>
          <w:sz w:val="27"/>
          <w:rtl/>
        </w:rPr>
        <w:t xml:space="preserve"> مجتمعي وسياسي </w:t>
      </w:r>
      <w:r w:rsidRPr="006571AC">
        <w:rPr>
          <w:rFonts w:ascii="Simplified Arabic" w:hAnsi="Simplified Arabic" w:hint="cs"/>
          <w:sz w:val="27"/>
          <w:rtl/>
        </w:rPr>
        <w:t>مؤط</w:t>
      </w:r>
      <w:r w:rsidR="00022176" w:rsidRPr="006571AC">
        <w:rPr>
          <w:rFonts w:ascii="Simplified Arabic" w:hAnsi="Simplified Arabic" w:hint="cs"/>
          <w:sz w:val="27"/>
          <w:rtl/>
        </w:rPr>
        <w:t>َّ</w:t>
      </w:r>
      <w:r w:rsidRPr="006571AC">
        <w:rPr>
          <w:rFonts w:ascii="Simplified Arabic" w:hAnsi="Simplified Arabic" w:hint="cs"/>
          <w:sz w:val="27"/>
          <w:rtl/>
        </w:rPr>
        <w:t>ر ومسبق الصنع في كواليس السياسة المغلقة</w:t>
      </w:r>
      <w:r w:rsidR="00022176"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ل</w:t>
      </w:r>
      <w:r w:rsidRPr="006571AC">
        <w:rPr>
          <w:rFonts w:ascii="Simplified Arabic" w:hAnsi="Simplified Arabic"/>
          <w:sz w:val="27"/>
          <w:rtl/>
        </w:rPr>
        <w:t>تتحد</w:t>
      </w:r>
      <w:r w:rsidR="00022176" w:rsidRPr="006571AC">
        <w:rPr>
          <w:rFonts w:ascii="Simplified Arabic" w:hAnsi="Simplified Arabic" w:hint="cs"/>
          <w:sz w:val="27"/>
          <w:rtl/>
        </w:rPr>
        <w:t>َّ</w:t>
      </w:r>
      <w:r w:rsidRPr="006571AC">
        <w:rPr>
          <w:rFonts w:ascii="Simplified Arabic" w:hAnsi="Simplified Arabic"/>
          <w:sz w:val="27"/>
          <w:rtl/>
        </w:rPr>
        <w:t>د وظيفتها وآليات عملها وصيرورتها في سياق وإطار هذا النظام الاجتماعي والسياسي العام</w:t>
      </w:r>
      <w:r w:rsidR="00022176" w:rsidRPr="006571AC">
        <w:rPr>
          <w:rFonts w:ascii="Simplified Arabic" w:hAnsi="Simplified Arabic" w:hint="cs"/>
          <w:sz w:val="27"/>
          <w:rtl/>
        </w:rPr>
        <w:t>ّ،</w:t>
      </w:r>
      <w:r w:rsidRPr="006571AC">
        <w:rPr>
          <w:rFonts w:ascii="Simplified Arabic" w:hAnsi="Simplified Arabic"/>
          <w:sz w:val="27"/>
          <w:rtl/>
        </w:rPr>
        <w:t xml:space="preserve"> الشامل</w:t>
      </w:r>
      <w:r w:rsidRPr="006571AC">
        <w:rPr>
          <w:rFonts w:ascii="Simplified Arabic" w:hAnsi="Simplified Arabic" w:hint="cs"/>
          <w:sz w:val="27"/>
          <w:rtl/>
        </w:rPr>
        <w:t xml:space="preserve"> المهيمن على حياة الفرد</w:t>
      </w:r>
      <w:r w:rsidR="00022176" w:rsidRPr="006571AC">
        <w:rPr>
          <w:rFonts w:ascii="Simplified Arabic" w:hAnsi="Simplified Arabic" w:hint="cs"/>
          <w:sz w:val="27"/>
          <w:rtl/>
        </w:rPr>
        <w:t>،</w:t>
      </w:r>
      <w:r w:rsidRPr="006571AC">
        <w:rPr>
          <w:rFonts w:ascii="Simplified Arabic" w:hAnsi="Simplified Arabic" w:hint="cs"/>
          <w:sz w:val="27"/>
          <w:rtl/>
        </w:rPr>
        <w:t xml:space="preserve"> منذ ولادته وإلى يوم مماته</w:t>
      </w:r>
      <w:r w:rsidRPr="006571AC">
        <w:rPr>
          <w:rFonts w:ascii="Simplified Arabic" w:hAnsi="Simplified Arabic"/>
          <w:sz w:val="27"/>
          <w:rtl/>
        </w:rPr>
        <w:t xml:space="preserve">. </w:t>
      </w:r>
    </w:p>
    <w:p w:rsidR="00373A12" w:rsidRPr="006571AC" w:rsidRDefault="00373A12" w:rsidP="004F6064">
      <w:pPr>
        <w:rPr>
          <w:rFonts w:ascii="Simplified Arabic" w:hAnsi="Simplified Arabic"/>
          <w:sz w:val="27"/>
          <w:rtl/>
        </w:rPr>
      </w:pPr>
      <w:r w:rsidRPr="006571AC">
        <w:rPr>
          <w:rFonts w:ascii="Simplified Arabic" w:hAnsi="Simplified Arabic" w:hint="cs"/>
          <w:sz w:val="27"/>
          <w:rtl/>
        </w:rPr>
        <w:t xml:space="preserve">برأيي، </w:t>
      </w:r>
      <w:r w:rsidRPr="006571AC">
        <w:rPr>
          <w:rFonts w:ascii="Simplified Arabic" w:hAnsi="Simplified Arabic"/>
          <w:sz w:val="27"/>
          <w:rtl/>
        </w:rPr>
        <w:t xml:space="preserve">هنا تكمن </w:t>
      </w:r>
      <w:r w:rsidRPr="006571AC">
        <w:rPr>
          <w:rFonts w:ascii="Simplified Arabic" w:hAnsi="Simplified Arabic" w:hint="cs"/>
          <w:sz w:val="27"/>
          <w:rtl/>
        </w:rPr>
        <w:t>عل</w:t>
      </w:r>
      <w:r w:rsidR="00022176" w:rsidRPr="006571AC">
        <w:rPr>
          <w:rFonts w:ascii="Simplified Arabic" w:hAnsi="Simplified Arabic" w:hint="cs"/>
          <w:sz w:val="27"/>
          <w:rtl/>
        </w:rPr>
        <w:t>ّ</w:t>
      </w:r>
      <w:r w:rsidRPr="006571AC">
        <w:rPr>
          <w:rFonts w:ascii="Simplified Arabic" w:hAnsi="Simplified Arabic" w:hint="cs"/>
          <w:sz w:val="27"/>
          <w:rtl/>
        </w:rPr>
        <w:t>ة المرض التربوي، وهنا تتأط</w:t>
      </w:r>
      <w:r w:rsidR="00022176" w:rsidRPr="006571AC">
        <w:rPr>
          <w:rFonts w:ascii="Simplified Arabic" w:hAnsi="Simplified Arabic" w:hint="cs"/>
          <w:sz w:val="27"/>
          <w:rtl/>
        </w:rPr>
        <w:t>َّ</w:t>
      </w:r>
      <w:r w:rsidRPr="006571AC">
        <w:rPr>
          <w:rFonts w:ascii="Simplified Arabic" w:hAnsi="Simplified Arabic" w:hint="cs"/>
          <w:sz w:val="27"/>
          <w:rtl/>
        </w:rPr>
        <w:t>ر و</w:t>
      </w:r>
      <w:r w:rsidRPr="006571AC">
        <w:rPr>
          <w:rFonts w:ascii="Simplified Arabic" w:hAnsi="Simplified Arabic"/>
          <w:sz w:val="27"/>
          <w:rtl/>
        </w:rPr>
        <w:t>تتحد</w:t>
      </w:r>
      <w:r w:rsidR="00022176" w:rsidRPr="006571AC">
        <w:rPr>
          <w:rFonts w:ascii="Simplified Arabic" w:hAnsi="Simplified Arabic" w:hint="cs"/>
          <w:sz w:val="27"/>
          <w:rtl/>
        </w:rPr>
        <w:t>َّ</w:t>
      </w:r>
      <w:r w:rsidRPr="006571AC">
        <w:rPr>
          <w:rFonts w:ascii="Simplified Arabic" w:hAnsi="Simplified Arabic"/>
          <w:sz w:val="27"/>
          <w:rtl/>
        </w:rPr>
        <w:t xml:space="preserve">د </w:t>
      </w:r>
      <w:r w:rsidRPr="006571AC">
        <w:rPr>
          <w:rFonts w:ascii="Simplified Arabic" w:hAnsi="Simplified Arabic" w:hint="cs"/>
          <w:sz w:val="27"/>
          <w:rtl/>
        </w:rPr>
        <w:t xml:space="preserve">بالذات </w:t>
      </w:r>
      <w:r w:rsidRPr="006571AC">
        <w:rPr>
          <w:rFonts w:ascii="Simplified Arabic" w:hAnsi="Simplified Arabic"/>
          <w:sz w:val="27"/>
          <w:rtl/>
        </w:rPr>
        <w:t xml:space="preserve">المشكلة </w:t>
      </w:r>
      <w:r w:rsidRPr="006571AC">
        <w:rPr>
          <w:rFonts w:ascii="Simplified Arabic" w:hAnsi="Simplified Arabic"/>
          <w:sz w:val="27"/>
          <w:rtl/>
        </w:rPr>
        <w:lastRenderedPageBreak/>
        <w:t>الأساسية للتربية الاجتماعية</w:t>
      </w:r>
      <w:r w:rsidRPr="006571AC">
        <w:rPr>
          <w:rFonts w:ascii="Simplified Arabic" w:hAnsi="Simplified Arabic" w:hint="cs"/>
          <w:sz w:val="27"/>
          <w:rtl/>
        </w:rPr>
        <w:t xml:space="preserve">، </w:t>
      </w:r>
      <w:r w:rsidRPr="006571AC">
        <w:rPr>
          <w:rFonts w:ascii="Simplified Arabic" w:hAnsi="Simplified Arabic"/>
          <w:sz w:val="27"/>
          <w:rtl/>
        </w:rPr>
        <w:t>ولعلم الاجتماع العربي</w:t>
      </w:r>
      <w:r w:rsidR="00022176" w:rsidRPr="006571AC">
        <w:rPr>
          <w:rFonts w:ascii="Simplified Arabic" w:hAnsi="Simplified Arabic" w:hint="cs"/>
          <w:sz w:val="27"/>
          <w:rtl/>
        </w:rPr>
        <w:t>...</w:t>
      </w:r>
      <w:r w:rsidRPr="006571AC">
        <w:rPr>
          <w:rFonts w:ascii="Simplified Arabic" w:hAnsi="Simplified Arabic"/>
          <w:sz w:val="27"/>
          <w:rtl/>
        </w:rPr>
        <w:t xml:space="preserve"> وهي مشكلة</w:t>
      </w:r>
      <w:r w:rsidR="00022176" w:rsidRPr="006571AC">
        <w:rPr>
          <w:rFonts w:ascii="Simplified Arabic" w:hAnsi="Simplified Arabic" w:hint="cs"/>
          <w:sz w:val="27"/>
          <w:rtl/>
        </w:rPr>
        <w:t>ٌ</w:t>
      </w:r>
      <w:r w:rsidRPr="006571AC">
        <w:rPr>
          <w:rFonts w:ascii="Simplified Arabic" w:hAnsi="Simplified Arabic"/>
          <w:sz w:val="27"/>
          <w:rtl/>
        </w:rPr>
        <w:t xml:space="preserve"> ذات صلة وثيقة ببحثه عن الأصول الاجتماعية للتربية.</w:t>
      </w:r>
      <w:r w:rsidR="00022176" w:rsidRPr="006571AC">
        <w:rPr>
          <w:rFonts w:ascii="Simplified Arabic" w:hAnsi="Simplified Arabic" w:hint="cs"/>
          <w:sz w:val="27"/>
          <w:rtl/>
        </w:rPr>
        <w:t>.</w:t>
      </w:r>
      <w:r w:rsidRPr="006571AC">
        <w:rPr>
          <w:rFonts w:ascii="Simplified Arabic" w:hAnsi="Simplified Arabic"/>
          <w:sz w:val="27"/>
          <w:rtl/>
        </w:rPr>
        <w:t>. فم</w:t>
      </w:r>
      <w:r w:rsidR="00022176" w:rsidRPr="006571AC">
        <w:rPr>
          <w:rFonts w:ascii="Simplified Arabic" w:hAnsi="Simplified Arabic" w:hint="cs"/>
          <w:sz w:val="27"/>
          <w:rtl/>
        </w:rPr>
        <w:t>َ</w:t>
      </w:r>
      <w:r w:rsidRPr="006571AC">
        <w:rPr>
          <w:rFonts w:ascii="Simplified Arabic" w:hAnsi="Simplified Arabic"/>
          <w:sz w:val="27"/>
          <w:rtl/>
        </w:rPr>
        <w:t>ن</w:t>
      </w:r>
      <w:r w:rsidRPr="006571AC">
        <w:rPr>
          <w:rFonts w:ascii="Simplified Arabic" w:hAnsi="Simplified Arabic" w:hint="cs"/>
          <w:sz w:val="27"/>
          <w:rtl/>
        </w:rPr>
        <w:t>ْ</w:t>
      </w:r>
      <w:r w:rsidRPr="006571AC">
        <w:rPr>
          <w:rFonts w:ascii="Simplified Arabic" w:hAnsi="Simplified Arabic"/>
          <w:sz w:val="27"/>
          <w:rtl/>
        </w:rPr>
        <w:t xml:space="preserve"> يريد</w:t>
      </w:r>
      <w:r w:rsidRPr="006571AC">
        <w:rPr>
          <w:rFonts w:ascii="Simplified Arabic" w:hAnsi="Simplified Arabic" w:hint="cs"/>
          <w:sz w:val="27"/>
          <w:rtl/>
        </w:rPr>
        <w:t>ُ</w:t>
      </w:r>
      <w:r w:rsidRPr="006571AC">
        <w:rPr>
          <w:rFonts w:ascii="Simplified Arabic" w:hAnsi="Simplified Arabic"/>
          <w:sz w:val="27"/>
          <w:rtl/>
        </w:rPr>
        <w:t xml:space="preserve"> أن يبحث في اجتماعيات التربية، ويعرض لمعاييرها وضوابطها، ويستعرض تاريخ علم الاجتماع، ويعالج مختلف الاتجاهات الاجتماعية، ويتحد</w:t>
      </w:r>
      <w:r w:rsidR="00022176" w:rsidRPr="006571AC">
        <w:rPr>
          <w:rFonts w:ascii="Simplified Arabic" w:hAnsi="Simplified Arabic" w:hint="cs"/>
          <w:sz w:val="27"/>
          <w:rtl/>
        </w:rPr>
        <w:t>ّ</w:t>
      </w:r>
      <w:r w:rsidRPr="006571AC">
        <w:rPr>
          <w:rFonts w:ascii="Simplified Arabic" w:hAnsi="Simplified Arabic"/>
          <w:sz w:val="27"/>
          <w:rtl/>
        </w:rPr>
        <w:t>ث عن البيئة المدرسية والضبط الاجتماعي ورأس المال الاجتماعي وغيرها، كان الأ</w:t>
      </w:r>
      <w:r w:rsidR="00022176" w:rsidRPr="006571AC">
        <w:rPr>
          <w:rFonts w:ascii="Simplified Arabic" w:hAnsi="Simplified Arabic" w:hint="cs"/>
          <w:sz w:val="27"/>
          <w:rtl/>
        </w:rPr>
        <w:t>َ</w:t>
      </w:r>
      <w:r w:rsidRPr="006571AC">
        <w:rPr>
          <w:rFonts w:ascii="Simplified Arabic" w:hAnsi="Simplified Arabic"/>
          <w:sz w:val="27"/>
          <w:rtl/>
        </w:rPr>
        <w:t>و</w:t>
      </w:r>
      <w:r w:rsidR="00022176" w:rsidRPr="006571AC">
        <w:rPr>
          <w:rFonts w:ascii="Simplified Arabic" w:hAnsi="Simplified Arabic" w:hint="cs"/>
          <w:sz w:val="27"/>
          <w:rtl/>
        </w:rPr>
        <w:t>ْ</w:t>
      </w:r>
      <w:r w:rsidRPr="006571AC">
        <w:rPr>
          <w:rFonts w:ascii="Simplified Arabic" w:hAnsi="Simplified Arabic"/>
          <w:sz w:val="27"/>
          <w:rtl/>
        </w:rPr>
        <w:t>لى به أن يستكمل الحديث</w:t>
      </w:r>
      <w:r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 xml:space="preserve">ـ </w:t>
      </w:r>
      <w:r w:rsidRPr="006571AC">
        <w:rPr>
          <w:rFonts w:ascii="Simplified Arabic" w:hAnsi="Simplified Arabic"/>
          <w:sz w:val="27"/>
          <w:rtl/>
        </w:rPr>
        <w:t>ولو بالإشارات العام</w:t>
      </w:r>
      <w:r w:rsidR="00022176" w:rsidRPr="006571AC">
        <w:rPr>
          <w:rFonts w:ascii="Simplified Arabic" w:hAnsi="Simplified Arabic" w:hint="cs"/>
          <w:sz w:val="27"/>
          <w:rtl/>
        </w:rPr>
        <w:t>ّ</w:t>
      </w:r>
      <w:r w:rsidRPr="006571AC">
        <w:rPr>
          <w:rFonts w:ascii="Simplified Arabic" w:hAnsi="Simplified Arabic"/>
          <w:sz w:val="27"/>
          <w:rtl/>
        </w:rPr>
        <w:t>ة</w:t>
      </w:r>
      <w:r w:rsidRPr="006571AC">
        <w:rPr>
          <w:rFonts w:ascii="Simplified Arabic" w:hAnsi="Simplified Arabic" w:hint="cs"/>
          <w:sz w:val="27"/>
          <w:rtl/>
        </w:rPr>
        <w:t xml:space="preserve"> ـ </w:t>
      </w:r>
      <w:r w:rsidRPr="006571AC">
        <w:rPr>
          <w:rFonts w:ascii="Simplified Arabic" w:hAnsi="Simplified Arabic"/>
          <w:sz w:val="27"/>
          <w:rtl/>
        </w:rPr>
        <w:t>عن أهم</w:t>
      </w:r>
      <w:r w:rsidR="00022176"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م</w:t>
      </w:r>
      <w:r w:rsidR="00022176" w:rsidRPr="006571AC">
        <w:rPr>
          <w:rFonts w:ascii="Simplified Arabic" w:hAnsi="Simplified Arabic" w:hint="cs"/>
          <w:sz w:val="27"/>
          <w:rtl/>
        </w:rPr>
        <w:t>ُ</w:t>
      </w:r>
      <w:r w:rsidRPr="006571AC">
        <w:rPr>
          <w:rFonts w:ascii="Simplified Arabic" w:hAnsi="Simplified Arabic" w:hint="cs"/>
          <w:sz w:val="27"/>
          <w:rtl/>
        </w:rPr>
        <w:t xml:space="preserve">عيقات </w:t>
      </w:r>
      <w:r w:rsidRPr="006571AC">
        <w:rPr>
          <w:rFonts w:ascii="Simplified Arabic" w:hAnsi="Simplified Arabic"/>
          <w:sz w:val="27"/>
          <w:rtl/>
        </w:rPr>
        <w:t xml:space="preserve">التربية الاجتماعية </w:t>
      </w:r>
      <w:r w:rsidRPr="006571AC">
        <w:rPr>
          <w:rFonts w:ascii="Simplified Arabic" w:hAnsi="Simplified Arabic" w:hint="cs"/>
          <w:sz w:val="27"/>
          <w:rtl/>
        </w:rPr>
        <w:t>و</w:t>
      </w:r>
      <w:r w:rsidRPr="006571AC">
        <w:rPr>
          <w:rFonts w:ascii="Simplified Arabic" w:hAnsi="Simplified Arabic"/>
          <w:sz w:val="27"/>
          <w:rtl/>
        </w:rPr>
        <w:t>عقبات</w:t>
      </w:r>
      <w:r w:rsidRPr="006571AC">
        <w:rPr>
          <w:rFonts w:ascii="Simplified Arabic" w:hAnsi="Simplified Arabic" w:hint="cs"/>
          <w:sz w:val="27"/>
          <w:rtl/>
        </w:rPr>
        <w:t>ها</w:t>
      </w:r>
      <w:r w:rsidRPr="006571AC">
        <w:rPr>
          <w:rFonts w:ascii="Simplified Arabic" w:hAnsi="Simplified Arabic"/>
          <w:sz w:val="27"/>
          <w:rtl/>
        </w:rPr>
        <w:t xml:space="preserve"> ومشكلات</w:t>
      </w:r>
      <w:r w:rsidRPr="006571AC">
        <w:rPr>
          <w:rFonts w:ascii="Simplified Arabic" w:hAnsi="Simplified Arabic" w:hint="cs"/>
          <w:sz w:val="27"/>
          <w:rtl/>
        </w:rPr>
        <w:t>ها وع</w:t>
      </w:r>
      <w:r w:rsidR="00022176" w:rsidRPr="006571AC">
        <w:rPr>
          <w:rFonts w:ascii="Simplified Arabic" w:hAnsi="Simplified Arabic" w:hint="cs"/>
          <w:sz w:val="27"/>
          <w:rtl/>
        </w:rPr>
        <w:t>ِ</w:t>
      </w:r>
      <w:r w:rsidRPr="006571AC">
        <w:rPr>
          <w:rFonts w:ascii="Simplified Arabic" w:hAnsi="Simplified Arabic" w:hint="cs"/>
          <w:sz w:val="27"/>
          <w:rtl/>
        </w:rPr>
        <w:t>ل</w:t>
      </w:r>
      <w:r w:rsidR="00022176" w:rsidRPr="006571AC">
        <w:rPr>
          <w:rFonts w:ascii="Simplified Arabic" w:hAnsi="Simplified Arabic" w:hint="cs"/>
          <w:sz w:val="27"/>
          <w:rtl/>
        </w:rPr>
        <w:t>َ</w:t>
      </w:r>
      <w:r w:rsidRPr="006571AC">
        <w:rPr>
          <w:rFonts w:ascii="Simplified Arabic" w:hAnsi="Simplified Arabic" w:hint="cs"/>
          <w:sz w:val="27"/>
          <w:rtl/>
        </w:rPr>
        <w:t>لها الذاتية البنيوية المؤث</w:t>
      </w:r>
      <w:r w:rsidR="00022176" w:rsidRPr="006571AC">
        <w:rPr>
          <w:rFonts w:ascii="Simplified Arabic" w:hAnsi="Simplified Arabic" w:hint="cs"/>
          <w:sz w:val="27"/>
          <w:rtl/>
        </w:rPr>
        <w:t>ِّ</w:t>
      </w:r>
      <w:r w:rsidRPr="006571AC">
        <w:rPr>
          <w:rFonts w:ascii="Simplified Arabic" w:hAnsi="Simplified Arabic" w:hint="cs"/>
          <w:sz w:val="27"/>
          <w:rtl/>
        </w:rPr>
        <w:t>رة، التي يضج</w:t>
      </w:r>
      <w:r w:rsidR="00022176" w:rsidRPr="006571AC">
        <w:rPr>
          <w:rFonts w:ascii="Simplified Arabic" w:hAnsi="Simplified Arabic" w:hint="cs"/>
          <w:sz w:val="27"/>
          <w:rtl/>
        </w:rPr>
        <w:t>ّ</w:t>
      </w:r>
      <w:r w:rsidRPr="006571AC">
        <w:rPr>
          <w:rFonts w:ascii="Simplified Arabic" w:hAnsi="Simplified Arabic" w:hint="cs"/>
          <w:sz w:val="27"/>
          <w:rtl/>
        </w:rPr>
        <w:t xml:space="preserve"> بها </w:t>
      </w:r>
      <w:r w:rsidRPr="006571AC">
        <w:rPr>
          <w:rFonts w:ascii="Simplified Arabic" w:hAnsi="Simplified Arabic"/>
          <w:sz w:val="27"/>
          <w:rtl/>
        </w:rPr>
        <w:t>عالمنا العربي</w:t>
      </w:r>
      <w:r w:rsidR="00022176" w:rsidRPr="006571AC">
        <w:rPr>
          <w:rFonts w:ascii="Simplified Arabic" w:hAnsi="Simplified Arabic" w:hint="cs"/>
          <w:sz w:val="27"/>
          <w:rtl/>
        </w:rPr>
        <w:t>،</w:t>
      </w:r>
      <w:r w:rsidRPr="006571AC">
        <w:rPr>
          <w:rFonts w:ascii="Simplified Arabic" w:hAnsi="Simplified Arabic"/>
          <w:sz w:val="27"/>
          <w:rtl/>
        </w:rPr>
        <w:t xml:space="preserve"> والتي تتمث</w:t>
      </w:r>
      <w:r w:rsidR="00022176" w:rsidRPr="006571AC">
        <w:rPr>
          <w:rFonts w:ascii="Simplified Arabic" w:hAnsi="Simplified Arabic" w:hint="cs"/>
          <w:sz w:val="27"/>
          <w:rtl/>
        </w:rPr>
        <w:t>َّ</w:t>
      </w:r>
      <w:r w:rsidRPr="006571AC">
        <w:rPr>
          <w:rFonts w:ascii="Simplified Arabic" w:hAnsi="Simplified Arabic"/>
          <w:sz w:val="27"/>
          <w:rtl/>
        </w:rPr>
        <w:t xml:space="preserve">ل </w:t>
      </w:r>
      <w:r w:rsidRPr="006571AC">
        <w:rPr>
          <w:rFonts w:ascii="Simplified Arabic" w:hAnsi="Simplified Arabic" w:hint="cs"/>
          <w:sz w:val="27"/>
          <w:rtl/>
        </w:rPr>
        <w:t>في عقيدتي الفكرية</w:t>
      </w:r>
      <w:r w:rsidRPr="006571AC">
        <w:rPr>
          <w:rFonts w:ascii="Simplified Arabic" w:hAnsi="Simplified Arabic"/>
          <w:sz w:val="27"/>
          <w:rtl/>
        </w:rPr>
        <w:t xml:space="preserve"> </w:t>
      </w:r>
      <w:r w:rsidRPr="006571AC">
        <w:rPr>
          <w:rFonts w:ascii="Simplified Arabic" w:hAnsi="Simplified Arabic" w:hint="cs"/>
          <w:sz w:val="27"/>
          <w:rtl/>
        </w:rPr>
        <w:t xml:space="preserve">ـ </w:t>
      </w:r>
      <w:r w:rsidRPr="006571AC">
        <w:rPr>
          <w:rFonts w:ascii="Simplified Arabic" w:hAnsi="Simplified Arabic"/>
          <w:sz w:val="27"/>
          <w:rtl/>
        </w:rPr>
        <w:t>وكما قلت</w:t>
      </w:r>
      <w:r w:rsidR="00022176" w:rsidRPr="006571AC">
        <w:rPr>
          <w:rFonts w:ascii="Simplified Arabic" w:hAnsi="Simplified Arabic" w:hint="cs"/>
          <w:sz w:val="27"/>
          <w:rtl/>
        </w:rPr>
        <w:t>ُ</w:t>
      </w:r>
      <w:r w:rsidRPr="006571AC">
        <w:rPr>
          <w:rFonts w:ascii="Simplified Arabic" w:hAnsi="Simplified Arabic" w:hint="cs"/>
          <w:sz w:val="27"/>
          <w:rtl/>
        </w:rPr>
        <w:t xml:space="preserve"> ـ </w:t>
      </w:r>
      <w:r w:rsidRPr="006571AC">
        <w:rPr>
          <w:rFonts w:ascii="Simplified Arabic" w:hAnsi="Simplified Arabic"/>
          <w:sz w:val="27"/>
          <w:rtl/>
        </w:rPr>
        <w:t>في الهيمنة والتسل</w:t>
      </w:r>
      <w:r w:rsidR="00022176" w:rsidRPr="006571AC">
        <w:rPr>
          <w:rFonts w:ascii="Simplified Arabic" w:hAnsi="Simplified Arabic" w:hint="cs"/>
          <w:sz w:val="27"/>
          <w:rtl/>
        </w:rPr>
        <w:t>ُّ</w:t>
      </w:r>
      <w:r w:rsidRPr="006571AC">
        <w:rPr>
          <w:rFonts w:ascii="Simplified Arabic" w:hAnsi="Simplified Arabic"/>
          <w:sz w:val="27"/>
          <w:rtl/>
        </w:rPr>
        <w:t>ط والاستلاب</w:t>
      </w:r>
      <w:r w:rsidRPr="006571AC">
        <w:rPr>
          <w:rFonts w:ascii="Simplified Arabic" w:hAnsi="Simplified Arabic" w:hint="cs"/>
          <w:sz w:val="27"/>
          <w:rtl/>
        </w:rPr>
        <w:t xml:space="preserve"> وإلغاء الفرد كذات</w:t>
      </w:r>
      <w:r w:rsidR="00022176" w:rsidRPr="006571AC">
        <w:rPr>
          <w:rFonts w:ascii="Simplified Arabic" w:hAnsi="Simplified Arabic" w:hint="cs"/>
          <w:sz w:val="27"/>
          <w:rtl/>
        </w:rPr>
        <w:t>ٍ</w:t>
      </w:r>
      <w:r w:rsidRPr="006571AC">
        <w:rPr>
          <w:rFonts w:ascii="Simplified Arabic" w:hAnsi="Simplified Arabic" w:hint="cs"/>
          <w:sz w:val="27"/>
          <w:rtl/>
        </w:rPr>
        <w:t xml:space="preserve"> قابلة</w:t>
      </w:r>
      <w:r w:rsidR="00022176" w:rsidRPr="006571AC">
        <w:rPr>
          <w:rFonts w:ascii="Simplified Arabic" w:hAnsi="Simplified Arabic" w:hint="cs"/>
          <w:sz w:val="27"/>
          <w:rtl/>
        </w:rPr>
        <w:t>ٍ</w:t>
      </w:r>
      <w:r w:rsidRPr="006571AC">
        <w:rPr>
          <w:rFonts w:ascii="Simplified Arabic" w:hAnsi="Simplified Arabic" w:hint="cs"/>
          <w:sz w:val="27"/>
          <w:rtl/>
        </w:rPr>
        <w:t xml:space="preserve"> وقائمة</w:t>
      </w:r>
      <w:r w:rsidR="00022176" w:rsidRPr="006571AC">
        <w:rPr>
          <w:rFonts w:ascii="Simplified Arabic" w:hAnsi="Simplified Arabic" w:hint="cs"/>
          <w:sz w:val="27"/>
          <w:rtl/>
        </w:rPr>
        <w:t>ٍ</w:t>
      </w:r>
      <w:r w:rsidRPr="006571AC">
        <w:rPr>
          <w:rFonts w:ascii="Simplified Arabic" w:hAnsi="Simplified Arabic" w:hint="cs"/>
          <w:sz w:val="27"/>
          <w:rtl/>
        </w:rPr>
        <w:t xml:space="preserve"> من قواميس الوجود السياسي الخاص</w:t>
      </w:r>
      <w:r w:rsidR="00022176" w:rsidRPr="006571AC">
        <w:rPr>
          <w:rFonts w:ascii="Simplified Arabic" w:hAnsi="Simplified Arabic" w:hint="cs"/>
          <w:sz w:val="27"/>
          <w:rtl/>
        </w:rPr>
        <w:t>ّ</w:t>
      </w:r>
      <w:r w:rsidRPr="006571AC">
        <w:rPr>
          <w:rFonts w:ascii="Simplified Arabic" w:hAnsi="Simplified Arabic" w:hint="cs"/>
          <w:sz w:val="27"/>
          <w:rtl/>
        </w:rPr>
        <w:t xml:space="preserve"> والعام</w:t>
      </w:r>
      <w:r w:rsidR="00022176" w:rsidRPr="006571AC">
        <w:rPr>
          <w:rFonts w:ascii="Simplified Arabic" w:hAnsi="Simplified Arabic" w:hint="cs"/>
          <w:sz w:val="27"/>
          <w:rtl/>
        </w:rPr>
        <w:t>ّ</w:t>
      </w:r>
      <w:r w:rsidRPr="006571AC">
        <w:rPr>
          <w:rFonts w:ascii="Simplified Arabic" w:hAnsi="Simplified Arabic" w:hint="cs"/>
          <w:sz w:val="27"/>
          <w:rtl/>
        </w:rPr>
        <w:t>، وتكريس ق</w:t>
      </w:r>
      <w:r w:rsidR="00022176" w:rsidRPr="006571AC">
        <w:rPr>
          <w:rFonts w:ascii="Simplified Arabic" w:hAnsi="Simplified Arabic" w:hint="cs"/>
          <w:sz w:val="27"/>
          <w:rtl/>
        </w:rPr>
        <w:t>ِ</w:t>
      </w:r>
      <w:r w:rsidRPr="006571AC">
        <w:rPr>
          <w:rFonts w:ascii="Simplified Arabic" w:hAnsi="Simplified Arabic" w:hint="cs"/>
          <w:sz w:val="27"/>
          <w:rtl/>
        </w:rPr>
        <w:t>ي</w:t>
      </w:r>
      <w:r w:rsidR="00022176" w:rsidRPr="006571AC">
        <w:rPr>
          <w:rFonts w:ascii="Simplified Arabic" w:hAnsi="Simplified Arabic" w:hint="cs"/>
          <w:sz w:val="27"/>
          <w:rtl/>
        </w:rPr>
        <w:t>َ</w:t>
      </w:r>
      <w:r w:rsidRPr="006571AC">
        <w:rPr>
          <w:rFonts w:ascii="Simplified Arabic" w:hAnsi="Simplified Arabic" w:hint="cs"/>
          <w:sz w:val="27"/>
          <w:rtl/>
        </w:rPr>
        <w:t>م السكون والخنوع والاسترخاء والتلقين والاجترار الفردي والمجتمعي، وبالتالي العطالة العقلية والإبداعية</w:t>
      </w:r>
      <w:r w:rsidRPr="006571AC">
        <w:rPr>
          <w:rFonts w:ascii="Simplified Arabic" w:hAnsi="Simplified Arabic"/>
          <w:sz w:val="27"/>
          <w:rtl/>
        </w:rPr>
        <w:t>..</w:t>
      </w:r>
      <w:r w:rsidR="00022176" w:rsidRPr="006571AC">
        <w:rPr>
          <w:rFonts w:ascii="Simplified Arabic" w:hAnsi="Simplified Arabic" w:hint="cs"/>
          <w:sz w:val="27"/>
          <w:rtl/>
        </w:rPr>
        <w:t>.؛</w:t>
      </w:r>
      <w:r w:rsidRPr="006571AC">
        <w:rPr>
          <w:rFonts w:ascii="Simplified Arabic" w:hAnsi="Simplified Arabic"/>
          <w:sz w:val="27"/>
          <w:rtl/>
        </w:rPr>
        <w:t xml:space="preserve"> وأيضاً دراسة</w:t>
      </w:r>
      <w:r w:rsidR="00022176" w:rsidRPr="006571AC">
        <w:rPr>
          <w:rFonts w:ascii="Simplified Arabic" w:hAnsi="Simplified Arabic" w:hint="cs"/>
          <w:sz w:val="27"/>
          <w:rtl/>
        </w:rPr>
        <w:t>َ</w:t>
      </w:r>
      <w:r w:rsidRPr="006571AC">
        <w:rPr>
          <w:rFonts w:ascii="Simplified Arabic" w:hAnsi="Simplified Arabic"/>
          <w:sz w:val="27"/>
          <w:rtl/>
        </w:rPr>
        <w:t xml:space="preserve"> أسباب تفش</w:t>
      </w:r>
      <w:r w:rsidR="00022176" w:rsidRPr="006571AC">
        <w:rPr>
          <w:rFonts w:ascii="Simplified Arabic" w:hAnsi="Simplified Arabic" w:hint="cs"/>
          <w:sz w:val="27"/>
          <w:rtl/>
        </w:rPr>
        <w:t>ّ</w:t>
      </w:r>
      <w:r w:rsidRPr="006571AC">
        <w:rPr>
          <w:rFonts w:ascii="Simplified Arabic" w:hAnsi="Simplified Arabic"/>
          <w:sz w:val="27"/>
          <w:rtl/>
        </w:rPr>
        <w:t xml:space="preserve">ي </w:t>
      </w:r>
      <w:r w:rsidRPr="006571AC">
        <w:rPr>
          <w:rFonts w:ascii="Simplified Arabic" w:hAnsi="Simplified Arabic" w:hint="cs"/>
          <w:sz w:val="27"/>
          <w:rtl/>
        </w:rPr>
        <w:t>ق</w:t>
      </w:r>
      <w:r w:rsidR="00022176" w:rsidRPr="006571AC">
        <w:rPr>
          <w:rFonts w:ascii="Simplified Arabic" w:hAnsi="Simplified Arabic" w:hint="cs"/>
          <w:sz w:val="27"/>
          <w:rtl/>
        </w:rPr>
        <w:t>ِ</w:t>
      </w:r>
      <w:r w:rsidRPr="006571AC">
        <w:rPr>
          <w:rFonts w:ascii="Simplified Arabic" w:hAnsi="Simplified Arabic" w:hint="cs"/>
          <w:sz w:val="27"/>
          <w:rtl/>
        </w:rPr>
        <w:t>ي</w:t>
      </w:r>
      <w:r w:rsidR="00022176" w:rsidRPr="006571AC">
        <w:rPr>
          <w:rFonts w:ascii="Simplified Arabic" w:hAnsi="Simplified Arabic" w:hint="cs"/>
          <w:sz w:val="27"/>
          <w:rtl/>
        </w:rPr>
        <w:t>َ</w:t>
      </w:r>
      <w:r w:rsidRPr="006571AC">
        <w:rPr>
          <w:rFonts w:ascii="Simplified Arabic" w:hAnsi="Simplified Arabic" w:hint="cs"/>
          <w:sz w:val="27"/>
          <w:rtl/>
        </w:rPr>
        <w:t>م العصبية والتزم</w:t>
      </w:r>
      <w:r w:rsidR="00022176" w:rsidRPr="006571AC">
        <w:rPr>
          <w:rFonts w:ascii="Simplified Arabic" w:hAnsi="Simplified Arabic" w:hint="cs"/>
          <w:sz w:val="27"/>
          <w:rtl/>
        </w:rPr>
        <w:t>ُّ</w:t>
      </w:r>
      <w:r w:rsidRPr="006571AC">
        <w:rPr>
          <w:rFonts w:ascii="Simplified Arabic" w:hAnsi="Simplified Arabic" w:hint="cs"/>
          <w:sz w:val="27"/>
          <w:rtl/>
        </w:rPr>
        <w:t>ت والإقصاء، و</w:t>
      </w:r>
      <w:r w:rsidRPr="006571AC">
        <w:rPr>
          <w:rFonts w:ascii="Simplified Arabic" w:hAnsi="Simplified Arabic"/>
          <w:sz w:val="27"/>
          <w:rtl/>
        </w:rPr>
        <w:t xml:space="preserve">ظواهر </w:t>
      </w:r>
      <w:r w:rsidRPr="006571AC">
        <w:rPr>
          <w:rFonts w:ascii="Simplified Arabic" w:hAnsi="Simplified Arabic" w:hint="cs"/>
          <w:sz w:val="27"/>
          <w:rtl/>
        </w:rPr>
        <w:t>العنف و</w:t>
      </w:r>
      <w:r w:rsidRPr="006571AC">
        <w:rPr>
          <w:rFonts w:ascii="Simplified Arabic" w:hAnsi="Simplified Arabic"/>
          <w:sz w:val="27"/>
          <w:rtl/>
        </w:rPr>
        <w:t>الإرهاب المتنق</w:t>
      </w:r>
      <w:r w:rsidR="00022176" w:rsidRPr="006571AC">
        <w:rPr>
          <w:rFonts w:ascii="Simplified Arabic" w:hAnsi="Simplified Arabic" w:hint="cs"/>
          <w:sz w:val="27"/>
          <w:rtl/>
        </w:rPr>
        <w:t>ِّ</w:t>
      </w:r>
      <w:r w:rsidRPr="006571AC">
        <w:rPr>
          <w:rFonts w:ascii="Simplified Arabic" w:hAnsi="Simplified Arabic"/>
          <w:sz w:val="27"/>
          <w:rtl/>
        </w:rPr>
        <w:t>ل والتكفير وإلغاء الآخر</w:t>
      </w:r>
      <w:r w:rsidR="00022176" w:rsidRPr="006571AC">
        <w:rPr>
          <w:rFonts w:ascii="Simplified Arabic" w:hAnsi="Simplified Arabic" w:hint="cs"/>
          <w:sz w:val="27"/>
          <w:rtl/>
        </w:rPr>
        <w:t>،</w:t>
      </w:r>
      <w:r w:rsidRPr="006571AC">
        <w:rPr>
          <w:rFonts w:ascii="Simplified Arabic" w:hAnsi="Simplified Arabic"/>
          <w:sz w:val="27"/>
          <w:rtl/>
        </w:rPr>
        <w:t xml:space="preserve"> التي بات</w:t>
      </w:r>
      <w:r w:rsidR="00B01BAE" w:rsidRPr="006571AC">
        <w:rPr>
          <w:rFonts w:ascii="Simplified Arabic" w:hAnsi="Simplified Arabic" w:hint="cs"/>
          <w:sz w:val="27"/>
          <w:rtl/>
        </w:rPr>
        <w:t>َ</w:t>
      </w:r>
      <w:r w:rsidRPr="006571AC">
        <w:rPr>
          <w:rFonts w:ascii="Simplified Arabic" w:hAnsi="Simplified Arabic"/>
          <w:sz w:val="27"/>
          <w:rtl/>
        </w:rPr>
        <w:t>ت</w:t>
      </w:r>
      <w:r w:rsidR="00B01BAE" w:rsidRPr="006571AC">
        <w:rPr>
          <w:rFonts w:ascii="Simplified Arabic" w:hAnsi="Simplified Arabic" w:hint="cs"/>
          <w:sz w:val="27"/>
          <w:rtl/>
        </w:rPr>
        <w:t>ْ</w:t>
      </w:r>
      <w:r w:rsidRPr="006571AC">
        <w:rPr>
          <w:rFonts w:ascii="Simplified Arabic" w:hAnsi="Simplified Arabic"/>
          <w:sz w:val="27"/>
          <w:rtl/>
        </w:rPr>
        <w:t xml:space="preserve"> مرضاً ع</w:t>
      </w:r>
      <w:r w:rsidR="00B01BAE" w:rsidRPr="006571AC">
        <w:rPr>
          <w:rFonts w:ascii="Simplified Arabic" w:hAnsi="Simplified Arabic" w:hint="cs"/>
          <w:sz w:val="27"/>
          <w:rtl/>
        </w:rPr>
        <w:t>ُ</w:t>
      </w:r>
      <w:r w:rsidRPr="006571AC">
        <w:rPr>
          <w:rFonts w:ascii="Simplified Arabic" w:hAnsi="Simplified Arabic"/>
          <w:sz w:val="27"/>
          <w:rtl/>
        </w:rPr>
        <w:t>ضالاً من الصعب معالجته ج</w:t>
      </w:r>
      <w:r w:rsidR="00B01BAE" w:rsidRPr="006571AC">
        <w:rPr>
          <w:rFonts w:ascii="Simplified Arabic" w:hAnsi="Simplified Arabic" w:hint="cs"/>
          <w:sz w:val="27"/>
          <w:rtl/>
        </w:rPr>
        <w:t>َ</w:t>
      </w:r>
      <w:r w:rsidRPr="006571AC">
        <w:rPr>
          <w:rFonts w:ascii="Simplified Arabic" w:hAnsi="Simplified Arabic"/>
          <w:sz w:val="27"/>
          <w:rtl/>
        </w:rPr>
        <w:t>ذ</w:t>
      </w:r>
      <w:r w:rsidR="00B01BAE" w:rsidRPr="006571AC">
        <w:rPr>
          <w:rFonts w:ascii="Simplified Arabic" w:hAnsi="Simplified Arabic" w:hint="cs"/>
          <w:sz w:val="27"/>
          <w:rtl/>
        </w:rPr>
        <w:t>ْ</w:t>
      </w:r>
      <w:r w:rsidRPr="006571AC">
        <w:rPr>
          <w:rFonts w:ascii="Simplified Arabic" w:hAnsi="Simplified Arabic"/>
          <w:sz w:val="27"/>
          <w:rtl/>
        </w:rPr>
        <w:t>رياً</w:t>
      </w:r>
      <w:r w:rsidR="00B01BAE" w:rsidRPr="006571AC">
        <w:rPr>
          <w:rFonts w:ascii="Simplified Arabic" w:hAnsi="Simplified Arabic" w:hint="cs"/>
          <w:sz w:val="27"/>
          <w:rtl/>
        </w:rPr>
        <w:t>،</w:t>
      </w:r>
      <w:r w:rsidRPr="006571AC">
        <w:rPr>
          <w:rFonts w:ascii="Simplified Arabic" w:hAnsi="Simplified Arabic"/>
          <w:sz w:val="27"/>
          <w:rtl/>
        </w:rPr>
        <w:t xml:space="preserve"> دون تشخ</w:t>
      </w:r>
      <w:r w:rsidRPr="006571AC">
        <w:rPr>
          <w:rFonts w:ascii="Simplified Arabic" w:hAnsi="Simplified Arabic" w:hint="cs"/>
          <w:sz w:val="27"/>
          <w:rtl/>
        </w:rPr>
        <w:t>ي</w:t>
      </w:r>
      <w:r w:rsidRPr="006571AC">
        <w:rPr>
          <w:rFonts w:ascii="Simplified Arabic" w:hAnsi="Simplified Arabic"/>
          <w:sz w:val="27"/>
          <w:rtl/>
        </w:rPr>
        <w:t>صه بشكل</w:t>
      </w:r>
      <w:r w:rsidR="00B01BAE" w:rsidRPr="006571AC">
        <w:rPr>
          <w:rFonts w:ascii="Simplified Arabic" w:hAnsi="Simplified Arabic" w:hint="cs"/>
          <w:sz w:val="27"/>
          <w:rtl/>
        </w:rPr>
        <w:t>ٍ</w:t>
      </w:r>
      <w:r w:rsidRPr="006571AC">
        <w:rPr>
          <w:rFonts w:ascii="Simplified Arabic" w:hAnsi="Simplified Arabic"/>
          <w:sz w:val="27"/>
          <w:rtl/>
        </w:rPr>
        <w:t xml:space="preserve"> صحيح وحقيقي موضوعي</w:t>
      </w:r>
      <w:r w:rsidR="00B01BAE" w:rsidRPr="006571AC">
        <w:rPr>
          <w:rFonts w:ascii="Simplified Arabic" w:hAnsi="Simplified Arabic" w:hint="cs"/>
          <w:sz w:val="27"/>
          <w:rtl/>
        </w:rPr>
        <w:t>،</w:t>
      </w:r>
      <w:r w:rsidRPr="006571AC">
        <w:rPr>
          <w:rFonts w:ascii="Simplified Arabic" w:hAnsi="Simplified Arabic"/>
          <w:sz w:val="27"/>
          <w:rtl/>
        </w:rPr>
        <w:t xml:space="preserve"> بلا تزييف</w:t>
      </w:r>
      <w:r w:rsidR="00B01BAE" w:rsidRPr="006571AC">
        <w:rPr>
          <w:rFonts w:ascii="Simplified Arabic" w:hAnsi="Simplified Arabic" w:hint="cs"/>
          <w:sz w:val="27"/>
          <w:rtl/>
        </w:rPr>
        <w:t>ٍ</w:t>
      </w:r>
      <w:r w:rsidRPr="006571AC">
        <w:rPr>
          <w:rFonts w:ascii="Simplified Arabic" w:hAnsi="Simplified Arabic"/>
          <w:sz w:val="27"/>
          <w:rtl/>
        </w:rPr>
        <w:t xml:space="preserve"> ولا مكابرة</w:t>
      </w:r>
      <w:r w:rsidR="00B01BAE" w:rsidRPr="006571AC">
        <w:rPr>
          <w:rFonts w:ascii="Simplified Arabic" w:hAnsi="Simplified Arabic" w:hint="cs"/>
          <w:sz w:val="27"/>
          <w:rtl/>
        </w:rPr>
        <w:t>ٍ</w:t>
      </w:r>
      <w:r w:rsidRPr="006571AC">
        <w:rPr>
          <w:rFonts w:ascii="Simplified Arabic" w:hAnsi="Simplified Arabic"/>
          <w:sz w:val="27"/>
          <w:rtl/>
        </w:rPr>
        <w:t xml:space="preserve"> ولا إنكار</w:t>
      </w:r>
      <w:r w:rsidR="00B01BAE" w:rsidRPr="006571AC">
        <w:rPr>
          <w:rFonts w:ascii="Simplified Arabic" w:hAnsi="Simplified Arabic" w:hint="cs"/>
          <w:sz w:val="27"/>
          <w:rtl/>
        </w:rPr>
        <w:t>ٍ</w:t>
      </w:r>
      <w:r w:rsidRPr="006571AC">
        <w:rPr>
          <w:rFonts w:ascii="Simplified Arabic" w:hAnsi="Simplified Arabic" w:hint="cs"/>
          <w:sz w:val="27"/>
          <w:rtl/>
        </w:rPr>
        <w:t xml:space="preserve"> ولا عواطف</w:t>
      </w:r>
      <w:r w:rsidRPr="006571AC">
        <w:rPr>
          <w:rFonts w:ascii="Simplified Arabic" w:hAnsi="Simplified Arabic"/>
          <w:sz w:val="27"/>
          <w:rtl/>
        </w:rPr>
        <w:t>، وبعيداً عن التسييس والاستغلال والاستثمار</w:t>
      </w:r>
      <w:r w:rsidRPr="006571AC">
        <w:rPr>
          <w:rFonts w:ascii="Simplified Arabic" w:hAnsi="Simplified Arabic" w:hint="cs"/>
          <w:sz w:val="27"/>
          <w:rtl/>
        </w:rPr>
        <w:t xml:space="preserve"> المتكلّ</w:t>
      </w:r>
      <w:r w:rsidR="00B01BAE" w:rsidRPr="006571AC">
        <w:rPr>
          <w:rFonts w:ascii="Simplified Arabic" w:hAnsi="Simplified Arabic" w:hint="cs"/>
          <w:sz w:val="27"/>
          <w:rtl/>
        </w:rPr>
        <w:t>َ</w:t>
      </w:r>
      <w:r w:rsidRPr="006571AC">
        <w:rPr>
          <w:rFonts w:ascii="Simplified Arabic" w:hAnsi="Simplified Arabic" w:hint="cs"/>
          <w:sz w:val="27"/>
          <w:rtl/>
        </w:rPr>
        <w:t>ف</w:t>
      </w:r>
      <w:r w:rsidRPr="006571AC">
        <w:rPr>
          <w:rFonts w:ascii="Simplified Arabic" w:hAnsi="Simplified Arabic"/>
          <w:sz w:val="27"/>
          <w:rtl/>
        </w:rPr>
        <w:t xml:space="preserve">... </w:t>
      </w:r>
    </w:p>
    <w:p w:rsidR="00373A12" w:rsidRPr="006571AC" w:rsidRDefault="00373A12" w:rsidP="004F6064">
      <w:pPr>
        <w:rPr>
          <w:rFonts w:ascii="Simplified Arabic" w:hAnsi="Simplified Arabic"/>
          <w:sz w:val="27"/>
          <w:rtl/>
        </w:rPr>
      </w:pPr>
      <w:r w:rsidRPr="006571AC">
        <w:rPr>
          <w:rFonts w:ascii="Simplified Arabic" w:hAnsi="Simplified Arabic"/>
          <w:sz w:val="27"/>
          <w:rtl/>
        </w:rPr>
        <w:t>و</w:t>
      </w:r>
      <w:r w:rsidRPr="006571AC">
        <w:rPr>
          <w:rFonts w:ascii="Simplified Arabic" w:hAnsi="Simplified Arabic" w:hint="cs"/>
          <w:sz w:val="27"/>
          <w:rtl/>
        </w:rPr>
        <w:t xml:space="preserve">هنا </w:t>
      </w:r>
      <w:r w:rsidRPr="006571AC">
        <w:rPr>
          <w:rFonts w:ascii="Simplified Arabic" w:hAnsi="Simplified Arabic"/>
          <w:sz w:val="27"/>
          <w:rtl/>
        </w:rPr>
        <w:t>قد يقول قائل</w:t>
      </w:r>
      <w:r w:rsidRPr="006571AC">
        <w:rPr>
          <w:rFonts w:ascii="Simplified Arabic" w:hAnsi="Simplified Arabic" w:hint="cs"/>
          <w:sz w:val="27"/>
          <w:rtl/>
        </w:rPr>
        <w:t>ٌ</w:t>
      </w:r>
      <w:r w:rsidR="00B01BAE" w:rsidRPr="006571AC">
        <w:rPr>
          <w:rFonts w:ascii="Simplified Arabic" w:hAnsi="Simplified Arabic" w:hint="cs"/>
          <w:sz w:val="27"/>
          <w:rtl/>
        </w:rPr>
        <w:t>،</w:t>
      </w:r>
      <w:r w:rsidRPr="006571AC">
        <w:rPr>
          <w:rFonts w:ascii="Simplified Arabic" w:hAnsi="Simplified Arabic"/>
          <w:sz w:val="27"/>
          <w:rtl/>
        </w:rPr>
        <w:t xml:space="preserve"> مدافعاً وسائلاً: وما علاقة بحث</w:t>
      </w:r>
      <w:r w:rsidR="00B01BAE" w:rsidRPr="006571AC">
        <w:rPr>
          <w:rFonts w:ascii="Simplified Arabic" w:hAnsi="Simplified Arabic" w:hint="cs"/>
          <w:sz w:val="27"/>
          <w:rtl/>
        </w:rPr>
        <w:t>ٍ</w:t>
      </w:r>
      <w:r w:rsidRPr="006571AC">
        <w:rPr>
          <w:rFonts w:ascii="Simplified Arabic" w:hAnsi="Simplified Arabic"/>
          <w:sz w:val="27"/>
          <w:rtl/>
        </w:rPr>
        <w:t xml:space="preserve"> اجتماعي</w:t>
      </w:r>
      <w:r w:rsidR="00B01BAE" w:rsidRPr="006571AC">
        <w:rPr>
          <w:rFonts w:ascii="Simplified Arabic" w:hAnsi="Simplified Arabic" w:hint="cs"/>
          <w:sz w:val="27"/>
          <w:rtl/>
        </w:rPr>
        <w:t>ّ</w:t>
      </w:r>
      <w:r w:rsidRPr="006571AC">
        <w:rPr>
          <w:rFonts w:ascii="Simplified Arabic" w:hAnsi="Simplified Arabic"/>
          <w:sz w:val="27"/>
          <w:rtl/>
        </w:rPr>
        <w:t xml:space="preserve"> يتحد</w:t>
      </w:r>
      <w:r w:rsidR="00B01BAE" w:rsidRPr="006571AC">
        <w:rPr>
          <w:rFonts w:ascii="Simplified Arabic" w:hAnsi="Simplified Arabic" w:hint="cs"/>
          <w:sz w:val="27"/>
          <w:rtl/>
        </w:rPr>
        <w:t>ّ</w:t>
      </w:r>
      <w:r w:rsidRPr="006571AC">
        <w:rPr>
          <w:rFonts w:ascii="Simplified Arabic" w:hAnsi="Simplified Arabic"/>
          <w:sz w:val="27"/>
          <w:rtl/>
        </w:rPr>
        <w:t>ث صاحب</w:t>
      </w:r>
      <w:r w:rsidRPr="006571AC">
        <w:rPr>
          <w:rFonts w:ascii="Simplified Arabic" w:hAnsi="Simplified Arabic" w:hint="cs"/>
          <w:sz w:val="27"/>
          <w:rtl/>
        </w:rPr>
        <w:t>ُ</w:t>
      </w:r>
      <w:r w:rsidRPr="006571AC">
        <w:rPr>
          <w:rFonts w:ascii="Simplified Arabic" w:hAnsi="Simplified Arabic"/>
          <w:sz w:val="27"/>
          <w:rtl/>
        </w:rPr>
        <w:t xml:space="preserve">ه عن </w:t>
      </w:r>
      <w:r w:rsidRPr="006571AC">
        <w:rPr>
          <w:rFonts w:hint="eastAsia"/>
          <w:sz w:val="24"/>
          <w:szCs w:val="24"/>
          <w:rtl/>
        </w:rPr>
        <w:t>«</w:t>
      </w:r>
      <w:r w:rsidRPr="006571AC">
        <w:rPr>
          <w:rFonts w:ascii="Simplified Arabic" w:hAnsi="Simplified Arabic"/>
          <w:sz w:val="27"/>
          <w:rtl/>
        </w:rPr>
        <w:t>الأصول الاجتماعية للتربية</w:t>
      </w:r>
      <w:r w:rsidRPr="006571AC">
        <w:rPr>
          <w:rFonts w:hint="eastAsia"/>
          <w:sz w:val="24"/>
          <w:szCs w:val="24"/>
          <w:rtl/>
        </w:rPr>
        <w:t>»</w:t>
      </w:r>
      <w:r w:rsidRPr="006571AC">
        <w:rPr>
          <w:rFonts w:ascii="Simplified Arabic" w:hAnsi="Simplified Arabic"/>
          <w:sz w:val="27"/>
          <w:rtl/>
        </w:rPr>
        <w:t xml:space="preserve"> بمسائل سياسية وفكرية</w:t>
      </w:r>
      <w:r w:rsidR="00B01BAE" w:rsidRPr="006571AC">
        <w:rPr>
          <w:rFonts w:ascii="Simplified Arabic" w:hAnsi="Simplified Arabic" w:hint="cs"/>
          <w:sz w:val="27"/>
          <w:rtl/>
        </w:rPr>
        <w:t>،</w:t>
      </w:r>
      <w:r w:rsidRPr="006571AC">
        <w:rPr>
          <w:rFonts w:ascii="Simplified Arabic" w:hAnsi="Simplified Arabic"/>
          <w:sz w:val="27"/>
          <w:rtl/>
        </w:rPr>
        <w:t xml:space="preserve"> كالتسل</w:t>
      </w:r>
      <w:r w:rsidR="00B01BAE" w:rsidRPr="006571AC">
        <w:rPr>
          <w:rFonts w:ascii="Simplified Arabic" w:hAnsi="Simplified Arabic" w:hint="cs"/>
          <w:sz w:val="27"/>
          <w:rtl/>
        </w:rPr>
        <w:t>ُّ</w:t>
      </w:r>
      <w:r w:rsidRPr="006571AC">
        <w:rPr>
          <w:rFonts w:ascii="Simplified Arabic" w:hAnsi="Simplified Arabic"/>
          <w:sz w:val="27"/>
          <w:rtl/>
        </w:rPr>
        <w:t>ط والاستبداد والتكفير والأصولية وغيرها، حت</w:t>
      </w:r>
      <w:r w:rsidR="00B01BAE" w:rsidRPr="006571AC">
        <w:rPr>
          <w:rFonts w:ascii="Simplified Arabic" w:hAnsi="Simplified Arabic" w:hint="cs"/>
          <w:sz w:val="27"/>
          <w:rtl/>
        </w:rPr>
        <w:t>ّ</w:t>
      </w:r>
      <w:r w:rsidRPr="006571AC">
        <w:rPr>
          <w:rFonts w:ascii="Simplified Arabic" w:hAnsi="Simplified Arabic"/>
          <w:sz w:val="27"/>
          <w:rtl/>
        </w:rPr>
        <w:t>ى تطالبه بالبحث فيها؟</w:t>
      </w:r>
      <w:r w:rsidR="00B01BAE" w:rsidRPr="006571AC">
        <w:rPr>
          <w:rFonts w:ascii="Simplified Arabic" w:hAnsi="Simplified Arabic" w:hint="cs"/>
          <w:sz w:val="27"/>
          <w:rtl/>
        </w:rPr>
        <w:t>!</w:t>
      </w:r>
      <w:r w:rsidRPr="006571AC">
        <w:rPr>
          <w:rFonts w:ascii="Simplified Arabic" w:hAnsi="Simplified Arabic"/>
          <w:sz w:val="27"/>
          <w:rtl/>
        </w:rPr>
        <w:t xml:space="preserve"> </w:t>
      </w:r>
    </w:p>
    <w:p w:rsidR="00373A12" w:rsidRPr="006571AC" w:rsidRDefault="00373A12" w:rsidP="004F6064">
      <w:pPr>
        <w:rPr>
          <w:rFonts w:ascii="Simplified Arabic" w:hAnsi="Simplified Arabic"/>
          <w:sz w:val="27"/>
          <w:rtl/>
        </w:rPr>
      </w:pPr>
      <w:r w:rsidRPr="006571AC">
        <w:rPr>
          <w:rFonts w:ascii="Simplified Arabic" w:hAnsi="Simplified Arabic"/>
          <w:sz w:val="27"/>
          <w:rtl/>
        </w:rPr>
        <w:t>في الواقع، هناك بكل</w:t>
      </w:r>
      <w:r w:rsidRPr="006571AC">
        <w:rPr>
          <w:rFonts w:ascii="Simplified Arabic" w:hAnsi="Simplified Arabic" w:hint="cs"/>
          <w:sz w:val="27"/>
          <w:rtl/>
        </w:rPr>
        <w:t>ّ</w:t>
      </w:r>
      <w:r w:rsidRPr="006571AC">
        <w:rPr>
          <w:rFonts w:ascii="Simplified Arabic" w:hAnsi="Simplified Arabic"/>
          <w:sz w:val="27"/>
          <w:rtl/>
        </w:rPr>
        <w:t xml:space="preserve"> تأكيد</w:t>
      </w:r>
      <w:r w:rsidR="00B01BAE" w:rsidRPr="006571AC">
        <w:rPr>
          <w:rFonts w:ascii="Simplified Arabic" w:hAnsi="Simplified Arabic" w:hint="cs"/>
          <w:sz w:val="27"/>
          <w:rtl/>
        </w:rPr>
        <w:t>ٍ</w:t>
      </w:r>
      <w:r w:rsidRPr="006571AC">
        <w:rPr>
          <w:rFonts w:ascii="Simplified Arabic" w:hAnsi="Simplified Arabic"/>
          <w:sz w:val="27"/>
          <w:rtl/>
        </w:rPr>
        <w:t xml:space="preserve"> علاقة</w:t>
      </w:r>
      <w:r w:rsidR="00B01BAE" w:rsidRPr="006571AC">
        <w:rPr>
          <w:rFonts w:ascii="Simplified Arabic" w:hAnsi="Simplified Arabic" w:hint="cs"/>
          <w:sz w:val="27"/>
          <w:rtl/>
        </w:rPr>
        <w:t>ٌ</w:t>
      </w:r>
      <w:r w:rsidRPr="006571AC">
        <w:rPr>
          <w:rFonts w:ascii="Simplified Arabic" w:hAnsi="Simplified Arabic"/>
          <w:sz w:val="27"/>
          <w:rtl/>
        </w:rPr>
        <w:t xml:space="preserve"> شديدة الص</w:t>
      </w:r>
      <w:r w:rsidRPr="006571AC">
        <w:rPr>
          <w:rFonts w:ascii="Simplified Arabic" w:hAnsi="Simplified Arabic" w:hint="cs"/>
          <w:sz w:val="27"/>
          <w:rtl/>
        </w:rPr>
        <w:t>ّ</w:t>
      </w:r>
      <w:r w:rsidRPr="006571AC">
        <w:rPr>
          <w:rFonts w:ascii="Simplified Arabic" w:hAnsi="Simplified Arabic"/>
          <w:sz w:val="27"/>
          <w:rtl/>
        </w:rPr>
        <w:t>لة بينهما</w:t>
      </w:r>
      <w:r w:rsidR="00B01BAE" w:rsidRPr="006571AC">
        <w:rPr>
          <w:rFonts w:ascii="Simplified Arabic" w:hAnsi="Simplified Arabic" w:hint="cs"/>
          <w:sz w:val="27"/>
          <w:rtl/>
        </w:rPr>
        <w:t>؛</w:t>
      </w:r>
      <w:r w:rsidRPr="006571AC">
        <w:rPr>
          <w:rFonts w:ascii="Simplified Arabic" w:hAnsi="Simplified Arabic"/>
          <w:sz w:val="27"/>
          <w:rtl/>
        </w:rPr>
        <w:t xml:space="preserve"> فمن جهة</w:t>
      </w:r>
      <w:r w:rsidR="00B01BAE" w:rsidRPr="006571AC">
        <w:rPr>
          <w:rFonts w:ascii="Simplified Arabic" w:hAnsi="Simplified Arabic" w:hint="cs"/>
          <w:sz w:val="27"/>
          <w:rtl/>
        </w:rPr>
        <w:t>ٍ</w:t>
      </w:r>
      <w:r w:rsidRPr="006571AC">
        <w:rPr>
          <w:rFonts w:ascii="Simplified Arabic" w:hAnsi="Simplified Arabic"/>
          <w:sz w:val="27"/>
          <w:rtl/>
        </w:rPr>
        <w:t xml:space="preserve"> </w:t>
      </w:r>
      <w:r w:rsidR="00B01BAE" w:rsidRPr="006571AC">
        <w:rPr>
          <w:rFonts w:ascii="Simplified Arabic" w:hAnsi="Simplified Arabic" w:hint="cs"/>
          <w:sz w:val="27"/>
          <w:rtl/>
        </w:rPr>
        <w:t>هناك</w:t>
      </w:r>
      <w:r w:rsidRPr="006571AC">
        <w:rPr>
          <w:rFonts w:ascii="Simplified Arabic" w:hAnsi="Simplified Arabic"/>
          <w:sz w:val="27"/>
          <w:rtl/>
        </w:rPr>
        <w:t xml:space="preserve"> التربية وقضاياها ومعاييرها الاجتماعية، </w:t>
      </w:r>
      <w:r w:rsidRPr="006571AC">
        <w:rPr>
          <w:rFonts w:ascii="Simplified Arabic" w:hAnsi="Simplified Arabic" w:hint="cs"/>
          <w:sz w:val="27"/>
          <w:rtl/>
        </w:rPr>
        <w:t xml:space="preserve">مع </w:t>
      </w:r>
      <w:r w:rsidR="00EA38F1" w:rsidRPr="006571AC">
        <w:rPr>
          <w:rFonts w:ascii="Simplified Arabic" w:hAnsi="Simplified Arabic"/>
          <w:sz w:val="27"/>
          <w:rtl/>
        </w:rPr>
        <w:t>دَوْر</w:t>
      </w:r>
      <w:r w:rsidRPr="006571AC">
        <w:rPr>
          <w:rFonts w:ascii="Simplified Arabic" w:hAnsi="Simplified Arabic"/>
          <w:sz w:val="27"/>
          <w:rtl/>
        </w:rPr>
        <w:t xml:space="preserve"> الأسرة والعائلة والمدرسة في تربية أجيالنا وناشئتنا...</w:t>
      </w:r>
      <w:r w:rsidR="00B01BAE" w:rsidRPr="006571AC">
        <w:rPr>
          <w:rFonts w:ascii="Simplified Arabic" w:hAnsi="Simplified Arabic" w:hint="cs"/>
          <w:sz w:val="27"/>
          <w:rtl/>
        </w:rPr>
        <w:t>؛</w:t>
      </w:r>
      <w:r w:rsidRPr="006571AC">
        <w:rPr>
          <w:rFonts w:ascii="Simplified Arabic" w:hAnsi="Simplified Arabic"/>
          <w:sz w:val="27"/>
          <w:rtl/>
        </w:rPr>
        <w:t xml:space="preserve"> ولكن</w:t>
      </w:r>
      <w:r w:rsidR="00B01BAE" w:rsidRPr="006571AC">
        <w:rPr>
          <w:rFonts w:ascii="Simplified Arabic" w:hAnsi="Simplified Arabic" w:hint="cs"/>
          <w:sz w:val="27"/>
          <w:rtl/>
        </w:rPr>
        <w:t>ْ</w:t>
      </w:r>
      <w:r w:rsidRPr="006571AC">
        <w:rPr>
          <w:rFonts w:ascii="Simplified Arabic" w:hAnsi="Simplified Arabic" w:hint="cs"/>
          <w:sz w:val="27"/>
          <w:rtl/>
        </w:rPr>
        <w:t xml:space="preserve"> هناك أيضاً </w:t>
      </w:r>
      <w:r w:rsidRPr="006571AC">
        <w:rPr>
          <w:rFonts w:ascii="Simplified Arabic" w:hAnsi="Simplified Arabic"/>
          <w:sz w:val="27"/>
          <w:rtl/>
        </w:rPr>
        <w:t>ما أصاب هذه الشخصية العربية من أمراض</w:t>
      </w:r>
      <w:r w:rsidRPr="006571AC">
        <w:rPr>
          <w:rFonts w:ascii="Simplified Arabic" w:hAnsi="Simplified Arabic" w:hint="cs"/>
          <w:sz w:val="27"/>
          <w:rtl/>
        </w:rPr>
        <w:t>ٍ، وما تتعرّ</w:t>
      </w:r>
      <w:r w:rsidR="00B01BAE" w:rsidRPr="006571AC">
        <w:rPr>
          <w:rFonts w:ascii="Simplified Arabic" w:hAnsi="Simplified Arabic" w:hint="cs"/>
          <w:sz w:val="27"/>
          <w:rtl/>
        </w:rPr>
        <w:t>َ</w:t>
      </w:r>
      <w:r w:rsidRPr="006571AC">
        <w:rPr>
          <w:rFonts w:ascii="Simplified Arabic" w:hAnsi="Simplified Arabic" w:hint="cs"/>
          <w:sz w:val="27"/>
          <w:rtl/>
        </w:rPr>
        <w:t>ض له من تشوّ</w:t>
      </w:r>
      <w:r w:rsidR="00B01BAE" w:rsidRPr="006571AC">
        <w:rPr>
          <w:rFonts w:ascii="Simplified Arabic" w:hAnsi="Simplified Arabic" w:hint="cs"/>
          <w:sz w:val="27"/>
          <w:rtl/>
        </w:rPr>
        <w:t>ُ</w:t>
      </w:r>
      <w:r w:rsidRPr="006571AC">
        <w:rPr>
          <w:rFonts w:ascii="Simplified Arabic" w:hAnsi="Simplified Arabic" w:hint="cs"/>
          <w:sz w:val="27"/>
          <w:rtl/>
        </w:rPr>
        <w:t>هات ق</w:t>
      </w:r>
      <w:r w:rsidR="00B01BAE" w:rsidRPr="006571AC">
        <w:rPr>
          <w:rFonts w:ascii="Simplified Arabic" w:hAnsi="Simplified Arabic" w:hint="cs"/>
          <w:sz w:val="27"/>
          <w:rtl/>
        </w:rPr>
        <w:t>ِ</w:t>
      </w:r>
      <w:r w:rsidRPr="006571AC">
        <w:rPr>
          <w:rFonts w:ascii="Simplified Arabic" w:hAnsi="Simplified Arabic" w:hint="cs"/>
          <w:sz w:val="27"/>
          <w:rtl/>
        </w:rPr>
        <w:t>ي</w:t>
      </w:r>
      <w:r w:rsidR="00B01BAE" w:rsidRPr="006571AC">
        <w:rPr>
          <w:rFonts w:ascii="Simplified Arabic" w:hAnsi="Simplified Arabic" w:hint="cs"/>
          <w:sz w:val="27"/>
          <w:rtl/>
        </w:rPr>
        <w:t>َ</w:t>
      </w:r>
      <w:r w:rsidRPr="006571AC">
        <w:rPr>
          <w:rFonts w:ascii="Simplified Arabic" w:hAnsi="Simplified Arabic" w:hint="cs"/>
          <w:sz w:val="27"/>
          <w:rtl/>
        </w:rPr>
        <w:t>مية تربوية</w:t>
      </w:r>
      <w:r w:rsidRPr="006571AC">
        <w:rPr>
          <w:rFonts w:ascii="Simplified Arabic" w:hAnsi="Simplified Arabic"/>
          <w:sz w:val="27"/>
          <w:rtl/>
        </w:rPr>
        <w:t xml:space="preserve"> خطيرة</w:t>
      </w:r>
      <w:r w:rsidR="00B01BAE" w:rsidRPr="006571AC">
        <w:rPr>
          <w:rFonts w:ascii="Simplified Arabic" w:hAnsi="Simplified Arabic" w:hint="cs"/>
          <w:sz w:val="27"/>
          <w:rtl/>
        </w:rPr>
        <w:t>؛</w:t>
      </w:r>
      <w:r w:rsidRPr="006571AC">
        <w:rPr>
          <w:rFonts w:ascii="Simplified Arabic" w:hAnsi="Simplified Arabic"/>
          <w:sz w:val="27"/>
          <w:rtl/>
        </w:rPr>
        <w:t xml:space="preserve"> نتيجة سوء التربية</w:t>
      </w:r>
      <w:r w:rsidRPr="006571AC">
        <w:rPr>
          <w:rFonts w:ascii="Simplified Arabic" w:hAnsi="Simplified Arabic" w:hint="cs"/>
          <w:sz w:val="27"/>
          <w:rtl/>
        </w:rPr>
        <w:t xml:space="preserve">، </w:t>
      </w:r>
      <w:r w:rsidRPr="006571AC">
        <w:rPr>
          <w:rFonts w:ascii="Simplified Arabic" w:hAnsi="Simplified Arabic"/>
          <w:sz w:val="27"/>
          <w:rtl/>
        </w:rPr>
        <w:t>وفشل أساليب</w:t>
      </w:r>
      <w:r w:rsidRPr="006571AC">
        <w:rPr>
          <w:rFonts w:ascii="Simplified Arabic" w:hAnsi="Simplified Arabic" w:hint="cs"/>
          <w:sz w:val="27"/>
          <w:rtl/>
        </w:rPr>
        <w:t>ِ</w:t>
      </w:r>
      <w:r w:rsidRPr="006571AC">
        <w:rPr>
          <w:rFonts w:ascii="Simplified Arabic" w:hAnsi="Simplified Arabic"/>
          <w:sz w:val="27"/>
          <w:rtl/>
        </w:rPr>
        <w:t>ها</w:t>
      </w:r>
      <w:r w:rsidRPr="006571AC">
        <w:rPr>
          <w:rFonts w:ascii="Simplified Arabic" w:hAnsi="Simplified Arabic" w:hint="cs"/>
          <w:sz w:val="27"/>
          <w:rtl/>
        </w:rPr>
        <w:t xml:space="preserve">، </w:t>
      </w:r>
      <w:r w:rsidRPr="006571AC">
        <w:rPr>
          <w:rFonts w:ascii="Simplified Arabic" w:hAnsi="Simplified Arabic"/>
          <w:sz w:val="27"/>
          <w:rtl/>
        </w:rPr>
        <w:t>و</w:t>
      </w:r>
      <w:r w:rsidRPr="006571AC">
        <w:rPr>
          <w:rFonts w:ascii="Simplified Arabic" w:hAnsi="Simplified Arabic" w:hint="cs"/>
          <w:sz w:val="27"/>
          <w:rtl/>
        </w:rPr>
        <w:t xml:space="preserve">عجز </w:t>
      </w:r>
      <w:r w:rsidRPr="006571AC">
        <w:rPr>
          <w:rFonts w:ascii="Simplified Arabic" w:hAnsi="Simplified Arabic"/>
          <w:sz w:val="27"/>
          <w:rtl/>
        </w:rPr>
        <w:t>القائمين بها والمشرفين عليها، وفشل الاجتماع العربي</w:t>
      </w:r>
      <w:r w:rsidRPr="006571AC">
        <w:rPr>
          <w:rFonts w:ascii="Simplified Arabic" w:hAnsi="Simplified Arabic" w:hint="cs"/>
          <w:sz w:val="27"/>
          <w:rtl/>
        </w:rPr>
        <w:t xml:space="preserve"> وحت</w:t>
      </w:r>
      <w:r w:rsidR="00B01BAE" w:rsidRPr="006571AC">
        <w:rPr>
          <w:rFonts w:ascii="Simplified Arabic" w:hAnsi="Simplified Arabic" w:hint="cs"/>
          <w:sz w:val="27"/>
          <w:rtl/>
        </w:rPr>
        <w:t>ّ</w:t>
      </w:r>
      <w:r w:rsidRPr="006571AC">
        <w:rPr>
          <w:rFonts w:ascii="Simplified Arabic" w:hAnsi="Simplified Arabic" w:hint="cs"/>
          <w:sz w:val="27"/>
          <w:rtl/>
        </w:rPr>
        <w:t>ى الإسلامي</w:t>
      </w:r>
      <w:r w:rsidR="00B01BAE" w:rsidRPr="006571AC">
        <w:rPr>
          <w:rFonts w:ascii="Simplified Arabic" w:hAnsi="Simplified Arabic" w:hint="cs"/>
          <w:sz w:val="27"/>
          <w:rtl/>
        </w:rPr>
        <w:t>ّ</w:t>
      </w:r>
      <w:r w:rsidRPr="006571AC">
        <w:rPr>
          <w:rFonts w:ascii="Simplified Arabic" w:hAnsi="Simplified Arabic"/>
          <w:sz w:val="27"/>
          <w:rtl/>
        </w:rPr>
        <w:t xml:space="preserve"> في الحد</w:t>
      </w:r>
      <w:r w:rsidRPr="006571AC">
        <w:rPr>
          <w:rFonts w:ascii="Simplified Arabic" w:hAnsi="Simplified Arabic" w:hint="cs"/>
          <w:sz w:val="27"/>
          <w:rtl/>
        </w:rPr>
        <w:t>ّ</w:t>
      </w:r>
      <w:r w:rsidRPr="006571AC">
        <w:rPr>
          <w:rFonts w:ascii="Simplified Arabic" w:hAnsi="Simplified Arabic"/>
          <w:sz w:val="27"/>
          <w:rtl/>
        </w:rPr>
        <w:t xml:space="preserve"> من خطورة انتشار </w:t>
      </w:r>
      <w:r w:rsidRPr="006571AC">
        <w:rPr>
          <w:rFonts w:ascii="Simplified Arabic" w:hAnsi="Simplified Arabic" w:hint="cs"/>
          <w:sz w:val="27"/>
          <w:rtl/>
        </w:rPr>
        <w:t>(</w:t>
      </w:r>
      <w:r w:rsidRPr="006571AC">
        <w:rPr>
          <w:rFonts w:ascii="Simplified Arabic" w:hAnsi="Simplified Arabic"/>
          <w:sz w:val="27"/>
          <w:rtl/>
        </w:rPr>
        <w:t>وتفش</w:t>
      </w:r>
      <w:r w:rsidR="00B01BAE" w:rsidRPr="006571AC">
        <w:rPr>
          <w:rFonts w:ascii="Simplified Arabic" w:hAnsi="Simplified Arabic" w:hint="cs"/>
          <w:sz w:val="27"/>
          <w:rtl/>
        </w:rPr>
        <w:t>ّ</w:t>
      </w:r>
      <w:r w:rsidRPr="006571AC">
        <w:rPr>
          <w:rFonts w:ascii="Simplified Arabic" w:hAnsi="Simplified Arabic"/>
          <w:sz w:val="27"/>
          <w:rtl/>
        </w:rPr>
        <w:t>ي تلك</w:t>
      </w:r>
      <w:r w:rsidRPr="006571AC">
        <w:rPr>
          <w:rFonts w:ascii="Simplified Arabic" w:hAnsi="Simplified Arabic" w:hint="cs"/>
          <w:sz w:val="27"/>
          <w:rtl/>
        </w:rPr>
        <w:t xml:space="preserve">) </w:t>
      </w:r>
      <w:r w:rsidRPr="006571AC">
        <w:rPr>
          <w:rFonts w:ascii="Simplified Arabic" w:hAnsi="Simplified Arabic"/>
          <w:sz w:val="27"/>
          <w:rtl/>
        </w:rPr>
        <w:t>الأمراض القاتلة، فبات</w:t>
      </w:r>
      <w:r w:rsidR="00B01BAE" w:rsidRPr="006571AC">
        <w:rPr>
          <w:rFonts w:ascii="Simplified Arabic" w:hAnsi="Simplified Arabic" w:hint="cs"/>
          <w:sz w:val="27"/>
          <w:rtl/>
        </w:rPr>
        <w:t>َ</w:t>
      </w:r>
      <w:r w:rsidRPr="006571AC">
        <w:rPr>
          <w:rFonts w:ascii="Simplified Arabic" w:hAnsi="Simplified Arabic"/>
          <w:sz w:val="27"/>
          <w:rtl/>
        </w:rPr>
        <w:t>ت</w:t>
      </w:r>
      <w:r w:rsidR="00B01BAE" w:rsidRPr="006571AC">
        <w:rPr>
          <w:rFonts w:ascii="Simplified Arabic" w:hAnsi="Simplified Arabic" w:hint="cs"/>
          <w:sz w:val="27"/>
          <w:rtl/>
        </w:rPr>
        <w:t>ْ</w:t>
      </w:r>
      <w:r w:rsidRPr="006571AC">
        <w:rPr>
          <w:rFonts w:ascii="Simplified Arabic" w:hAnsi="Simplified Arabic"/>
          <w:sz w:val="27"/>
          <w:rtl/>
        </w:rPr>
        <w:t xml:space="preserve"> شخصيتنا العربية عموماً </w:t>
      </w:r>
      <w:r w:rsidRPr="006571AC">
        <w:rPr>
          <w:rFonts w:ascii="Simplified Arabic" w:hAnsi="Simplified Arabic" w:hint="cs"/>
          <w:sz w:val="27"/>
          <w:rtl/>
        </w:rPr>
        <w:t>هزيلة</w:t>
      </w:r>
      <w:r w:rsidR="00B01BAE" w:rsidRPr="006571AC">
        <w:rPr>
          <w:rFonts w:ascii="Simplified Arabic" w:hAnsi="Simplified Arabic" w:hint="cs"/>
          <w:sz w:val="27"/>
          <w:rtl/>
        </w:rPr>
        <w:t>ً</w:t>
      </w:r>
      <w:r w:rsidRPr="006571AC">
        <w:rPr>
          <w:rFonts w:ascii="Simplified Arabic" w:hAnsi="Simplified Arabic" w:hint="cs"/>
          <w:sz w:val="27"/>
          <w:rtl/>
        </w:rPr>
        <w:t xml:space="preserve"> محط</w:t>
      </w:r>
      <w:r w:rsidR="00364320" w:rsidRPr="006571AC">
        <w:rPr>
          <w:rFonts w:ascii="Simplified Arabic" w:hAnsi="Simplified Arabic" w:hint="cs"/>
          <w:sz w:val="27"/>
          <w:rtl/>
        </w:rPr>
        <w:t>َّ</w:t>
      </w:r>
      <w:r w:rsidRPr="006571AC">
        <w:rPr>
          <w:rFonts w:ascii="Simplified Arabic" w:hAnsi="Simplified Arabic" w:hint="cs"/>
          <w:sz w:val="27"/>
          <w:rtl/>
        </w:rPr>
        <w:t>مة وه</w:t>
      </w:r>
      <w:r w:rsidR="00364320" w:rsidRPr="006571AC">
        <w:rPr>
          <w:rFonts w:ascii="Simplified Arabic" w:hAnsi="Simplified Arabic" w:hint="cs"/>
          <w:sz w:val="27"/>
          <w:rtl/>
        </w:rPr>
        <w:t>َ</w:t>
      </w:r>
      <w:r w:rsidRPr="006571AC">
        <w:rPr>
          <w:rFonts w:ascii="Simplified Arabic" w:hAnsi="Simplified Arabic" w:hint="cs"/>
          <w:sz w:val="27"/>
          <w:rtl/>
        </w:rPr>
        <w:t>ش</w:t>
      </w:r>
      <w:r w:rsidR="00364320" w:rsidRPr="006571AC">
        <w:rPr>
          <w:rFonts w:ascii="Simplified Arabic" w:hAnsi="Simplified Arabic" w:hint="cs"/>
          <w:sz w:val="27"/>
          <w:rtl/>
        </w:rPr>
        <w:t>َّ</w:t>
      </w:r>
      <w:r w:rsidRPr="006571AC">
        <w:rPr>
          <w:rFonts w:ascii="Simplified Arabic" w:hAnsi="Simplified Arabic" w:hint="cs"/>
          <w:sz w:val="27"/>
          <w:rtl/>
        </w:rPr>
        <w:t>ة</w:t>
      </w:r>
      <w:r w:rsidR="00B01BAE" w:rsidRPr="006571AC">
        <w:rPr>
          <w:rFonts w:ascii="Simplified Arabic" w:hAnsi="Simplified Arabic" w:hint="cs"/>
          <w:sz w:val="27"/>
          <w:rtl/>
        </w:rPr>
        <w:t>؛</w:t>
      </w:r>
      <w:r w:rsidRPr="006571AC">
        <w:rPr>
          <w:rFonts w:ascii="Simplified Arabic" w:hAnsi="Simplified Arabic" w:hint="cs"/>
          <w:sz w:val="27"/>
          <w:rtl/>
        </w:rPr>
        <w:t xml:space="preserve"> نتيجة </w:t>
      </w:r>
      <w:r w:rsidRPr="006571AC">
        <w:rPr>
          <w:rFonts w:ascii="Simplified Arabic" w:hAnsi="Simplified Arabic"/>
          <w:sz w:val="27"/>
          <w:rtl/>
        </w:rPr>
        <w:t>وق</w:t>
      </w:r>
      <w:r w:rsidRPr="006571AC">
        <w:rPr>
          <w:rFonts w:ascii="Simplified Arabic" w:hAnsi="Simplified Arabic" w:hint="cs"/>
          <w:sz w:val="27"/>
          <w:rtl/>
        </w:rPr>
        <w:t>وعها المستمر</w:t>
      </w:r>
      <w:r w:rsidR="00B01BAE" w:rsidRPr="006571AC">
        <w:rPr>
          <w:rFonts w:ascii="Simplified Arabic" w:hAnsi="Simplified Arabic" w:hint="cs"/>
          <w:sz w:val="27"/>
          <w:rtl/>
        </w:rPr>
        <w:t>ّ</w:t>
      </w:r>
      <w:r w:rsidRPr="006571AC">
        <w:rPr>
          <w:rFonts w:ascii="Simplified Arabic" w:hAnsi="Simplified Arabic" w:hint="cs"/>
          <w:sz w:val="27"/>
          <w:rtl/>
        </w:rPr>
        <w:t xml:space="preserve"> </w:t>
      </w:r>
      <w:r w:rsidRPr="006571AC">
        <w:rPr>
          <w:rFonts w:ascii="Simplified Arabic" w:hAnsi="Simplified Arabic"/>
          <w:sz w:val="27"/>
          <w:rtl/>
        </w:rPr>
        <w:t>تحت تأثير</w:t>
      </w:r>
      <w:r w:rsidR="00B01BAE" w:rsidRPr="006571AC">
        <w:rPr>
          <w:rFonts w:ascii="Simplified Arabic" w:hAnsi="Simplified Arabic" w:hint="cs"/>
          <w:sz w:val="27"/>
          <w:rtl/>
        </w:rPr>
        <w:t xml:space="preserve"> تلك العوامل المَرَض</w:t>
      </w:r>
      <w:r w:rsidRPr="006571AC">
        <w:rPr>
          <w:rFonts w:ascii="Simplified Arabic" w:hAnsi="Simplified Arabic" w:hint="cs"/>
          <w:sz w:val="27"/>
          <w:rtl/>
        </w:rPr>
        <w:t xml:space="preserve">ية، </w:t>
      </w:r>
      <w:r w:rsidRPr="006571AC">
        <w:rPr>
          <w:rFonts w:ascii="Simplified Arabic" w:hAnsi="Simplified Arabic"/>
          <w:sz w:val="27"/>
          <w:rtl/>
        </w:rPr>
        <w:t>على وجه العموم</w:t>
      </w:r>
      <w:r w:rsidR="00B01BAE" w:rsidRPr="006571AC">
        <w:rPr>
          <w:rFonts w:ascii="Simplified Arabic" w:hAnsi="Simplified Arabic" w:hint="cs"/>
          <w:sz w:val="27"/>
          <w:rtl/>
        </w:rPr>
        <w:t>،</w:t>
      </w:r>
      <w:r w:rsidRPr="006571AC">
        <w:rPr>
          <w:rFonts w:ascii="Simplified Arabic" w:hAnsi="Simplified Arabic"/>
          <w:sz w:val="27"/>
          <w:rtl/>
        </w:rPr>
        <w:t xml:space="preserve"> رغم أن قلّة</w:t>
      </w:r>
      <w:r w:rsidR="00B01BAE" w:rsidRPr="006571AC">
        <w:rPr>
          <w:rFonts w:ascii="Simplified Arabic" w:hAnsi="Simplified Arabic" w:hint="cs"/>
          <w:sz w:val="27"/>
          <w:rtl/>
        </w:rPr>
        <w:t>ً</w:t>
      </w:r>
      <w:r w:rsidRPr="006571AC">
        <w:rPr>
          <w:rFonts w:ascii="Simplified Arabic" w:hAnsi="Simplified Arabic"/>
          <w:sz w:val="27"/>
          <w:rtl/>
        </w:rPr>
        <w:t xml:space="preserve"> من العرب والمسلمين يقومون بها هنا وهناك من عالمنا المعاصر. </w:t>
      </w:r>
    </w:p>
    <w:p w:rsidR="00373A12" w:rsidRPr="006571AC" w:rsidRDefault="00373A12" w:rsidP="004F6064">
      <w:pPr>
        <w:rPr>
          <w:rFonts w:ascii="Simplified Arabic" w:hAnsi="Simplified Arabic"/>
          <w:sz w:val="27"/>
          <w:rtl/>
        </w:rPr>
      </w:pPr>
      <w:r w:rsidRPr="006571AC">
        <w:rPr>
          <w:rFonts w:ascii="Simplified Arabic" w:hAnsi="Simplified Arabic"/>
          <w:sz w:val="27"/>
          <w:rtl/>
        </w:rPr>
        <w:lastRenderedPageBreak/>
        <w:t>نعم يجب أن نقرّ بأن شخصيتنا العربية بات</w:t>
      </w:r>
      <w:r w:rsidR="00B01BAE" w:rsidRPr="006571AC">
        <w:rPr>
          <w:rFonts w:ascii="Simplified Arabic" w:hAnsi="Simplified Arabic" w:hint="cs"/>
          <w:sz w:val="27"/>
          <w:rtl/>
        </w:rPr>
        <w:t>َ</w:t>
      </w:r>
      <w:r w:rsidRPr="006571AC">
        <w:rPr>
          <w:rFonts w:ascii="Simplified Arabic" w:hAnsi="Simplified Arabic"/>
          <w:sz w:val="27"/>
          <w:rtl/>
        </w:rPr>
        <w:t>ت</w:t>
      </w:r>
      <w:r w:rsidR="00B01BAE" w:rsidRPr="006571AC">
        <w:rPr>
          <w:rFonts w:ascii="Simplified Arabic" w:hAnsi="Simplified Arabic" w:hint="cs"/>
          <w:sz w:val="27"/>
          <w:rtl/>
        </w:rPr>
        <w:t>ْ</w:t>
      </w:r>
      <w:r w:rsidRPr="006571AC">
        <w:rPr>
          <w:rFonts w:ascii="Simplified Arabic" w:hAnsi="Simplified Arabic"/>
          <w:sz w:val="27"/>
          <w:rtl/>
        </w:rPr>
        <w:t xml:space="preserve"> تت</w:t>
      </w:r>
      <w:r w:rsidR="00B01BAE" w:rsidRPr="006571AC">
        <w:rPr>
          <w:rFonts w:ascii="Simplified Arabic" w:hAnsi="Simplified Arabic" w:hint="cs"/>
          <w:sz w:val="27"/>
          <w:rtl/>
        </w:rPr>
        <w:t>ّ</w:t>
      </w:r>
      <w:r w:rsidRPr="006571AC">
        <w:rPr>
          <w:rFonts w:ascii="Simplified Arabic" w:hAnsi="Simplified Arabic"/>
          <w:sz w:val="27"/>
          <w:rtl/>
        </w:rPr>
        <w:t>سم اليوم بالعنف والإقصاء والتكفير</w:t>
      </w:r>
      <w:r w:rsidRPr="006571AC">
        <w:rPr>
          <w:rFonts w:ascii="Simplified Arabic" w:hAnsi="Simplified Arabic" w:hint="cs"/>
          <w:sz w:val="27"/>
          <w:rtl/>
        </w:rPr>
        <w:t xml:space="preserve"> والتعصب</w:t>
      </w:r>
      <w:r w:rsidR="00252305" w:rsidRPr="006571AC">
        <w:rPr>
          <w:rFonts w:ascii="Simplified Arabic" w:hAnsi="Simplified Arabic" w:hint="cs"/>
          <w:sz w:val="27"/>
          <w:rtl/>
        </w:rPr>
        <w:t>،</w:t>
      </w:r>
      <w:r w:rsidRPr="006571AC">
        <w:rPr>
          <w:rFonts w:ascii="Simplified Arabic" w:hAnsi="Simplified Arabic" w:hint="cs"/>
          <w:sz w:val="27"/>
          <w:rtl/>
        </w:rPr>
        <w:t xml:space="preserve"> كما </w:t>
      </w:r>
      <w:r w:rsidR="00252305" w:rsidRPr="006571AC">
        <w:rPr>
          <w:rFonts w:ascii="Simplified Arabic" w:hAnsi="Simplified Arabic" w:hint="cs"/>
          <w:sz w:val="27"/>
          <w:rtl/>
        </w:rPr>
        <w:t>تقدَّم</w:t>
      </w:r>
      <w:r w:rsidRPr="006571AC">
        <w:rPr>
          <w:rFonts w:ascii="Simplified Arabic" w:hAnsi="Simplified Arabic"/>
          <w:sz w:val="27"/>
          <w:rtl/>
        </w:rPr>
        <w:t xml:space="preserve">، وهذا </w:t>
      </w:r>
      <w:r w:rsidRPr="006571AC">
        <w:rPr>
          <w:rFonts w:ascii="Simplified Arabic" w:hAnsi="Simplified Arabic" w:hint="cs"/>
          <w:sz w:val="27"/>
          <w:rtl/>
        </w:rPr>
        <w:t>كل</w:t>
      </w:r>
      <w:r w:rsidR="00252305" w:rsidRPr="006571AC">
        <w:rPr>
          <w:rFonts w:ascii="Simplified Arabic" w:hAnsi="Simplified Arabic" w:hint="cs"/>
          <w:sz w:val="27"/>
          <w:rtl/>
        </w:rPr>
        <w:t>ّ</w:t>
      </w:r>
      <w:r w:rsidRPr="006571AC">
        <w:rPr>
          <w:rFonts w:ascii="Simplified Arabic" w:hAnsi="Simplified Arabic" w:hint="cs"/>
          <w:sz w:val="27"/>
          <w:rtl/>
        </w:rPr>
        <w:t>ه جاء على خلفية واقع سياسي اجتماعي تربوي متداخل ومعق</w:t>
      </w:r>
      <w:r w:rsidR="00252305" w:rsidRPr="006571AC">
        <w:rPr>
          <w:rFonts w:ascii="Simplified Arabic" w:hAnsi="Simplified Arabic" w:hint="cs"/>
          <w:sz w:val="27"/>
          <w:rtl/>
        </w:rPr>
        <w:t>َّ</w:t>
      </w:r>
      <w:r w:rsidRPr="006571AC">
        <w:rPr>
          <w:rFonts w:ascii="Simplified Arabic" w:hAnsi="Simplified Arabic" w:hint="cs"/>
          <w:sz w:val="27"/>
          <w:rtl/>
        </w:rPr>
        <w:t xml:space="preserve">د، </w:t>
      </w:r>
      <w:r w:rsidR="00252305" w:rsidRPr="006571AC">
        <w:rPr>
          <w:rFonts w:ascii="Simplified Arabic" w:hAnsi="Simplified Arabic" w:hint="cs"/>
          <w:sz w:val="27"/>
          <w:rtl/>
        </w:rPr>
        <w:t>و</w:t>
      </w:r>
      <w:r w:rsidRPr="006571AC">
        <w:rPr>
          <w:rFonts w:ascii="Simplified Arabic" w:hAnsi="Simplified Arabic" w:hint="cs"/>
          <w:sz w:val="27"/>
          <w:rtl/>
        </w:rPr>
        <w:t>جاء أيضاً ك</w:t>
      </w:r>
      <w:r w:rsidRPr="006571AC">
        <w:rPr>
          <w:rFonts w:ascii="Simplified Arabic" w:hAnsi="Simplified Arabic"/>
          <w:sz w:val="27"/>
          <w:rtl/>
        </w:rPr>
        <w:t>محص</w:t>
      </w:r>
      <w:r w:rsidR="00252305" w:rsidRPr="006571AC">
        <w:rPr>
          <w:rFonts w:ascii="Simplified Arabic" w:hAnsi="Simplified Arabic" w:hint="cs"/>
          <w:sz w:val="27"/>
          <w:rtl/>
        </w:rPr>
        <w:t>ِّ</w:t>
      </w:r>
      <w:r w:rsidRPr="006571AC">
        <w:rPr>
          <w:rFonts w:ascii="Simplified Arabic" w:hAnsi="Simplified Arabic"/>
          <w:sz w:val="27"/>
          <w:rtl/>
        </w:rPr>
        <w:t>لة لواقع الهيمنة والاستبداد والتسل</w:t>
      </w:r>
      <w:r w:rsidR="00252305" w:rsidRPr="006571AC">
        <w:rPr>
          <w:rFonts w:ascii="Simplified Arabic" w:hAnsi="Simplified Arabic" w:hint="cs"/>
          <w:sz w:val="27"/>
          <w:rtl/>
        </w:rPr>
        <w:t>ُّ</w:t>
      </w:r>
      <w:r w:rsidRPr="006571AC">
        <w:rPr>
          <w:rFonts w:ascii="Simplified Arabic" w:hAnsi="Simplified Arabic"/>
          <w:sz w:val="27"/>
          <w:rtl/>
        </w:rPr>
        <w:t xml:space="preserve">ط </w:t>
      </w:r>
      <w:r w:rsidRPr="006571AC">
        <w:rPr>
          <w:rFonts w:ascii="Simplified Arabic" w:hAnsi="Simplified Arabic" w:hint="cs"/>
          <w:sz w:val="27"/>
          <w:rtl/>
        </w:rPr>
        <w:t xml:space="preserve">وليالي القمع </w:t>
      </w:r>
      <w:r w:rsidRPr="006571AC">
        <w:rPr>
          <w:rFonts w:hint="eastAsia"/>
          <w:sz w:val="24"/>
          <w:szCs w:val="24"/>
          <w:rtl/>
        </w:rPr>
        <w:t>«</w:t>
      </w:r>
      <w:r w:rsidRPr="006571AC">
        <w:rPr>
          <w:rFonts w:ascii="Simplified Arabic" w:hAnsi="Simplified Arabic" w:hint="cs"/>
          <w:sz w:val="27"/>
          <w:rtl/>
        </w:rPr>
        <w:t xml:space="preserve">السياسي ـ </w:t>
      </w:r>
      <w:r w:rsidRPr="006571AC">
        <w:rPr>
          <w:rFonts w:ascii="Simplified Arabic" w:hAnsi="Simplified Arabic"/>
          <w:sz w:val="27"/>
          <w:rtl/>
        </w:rPr>
        <w:t>التربوي</w:t>
      </w:r>
      <w:r w:rsidRPr="006571AC">
        <w:rPr>
          <w:rFonts w:hint="eastAsia"/>
          <w:sz w:val="24"/>
          <w:szCs w:val="24"/>
          <w:rtl/>
        </w:rPr>
        <w:t>»</w:t>
      </w:r>
      <w:r w:rsidRPr="006571AC">
        <w:rPr>
          <w:rFonts w:ascii="Simplified Arabic" w:hAnsi="Simplified Arabic"/>
          <w:sz w:val="27"/>
          <w:rtl/>
        </w:rPr>
        <w:t xml:space="preserve">، </w:t>
      </w:r>
      <w:r w:rsidRPr="006571AC">
        <w:rPr>
          <w:rFonts w:ascii="Simplified Arabic" w:hAnsi="Simplified Arabic" w:hint="cs"/>
          <w:sz w:val="27"/>
          <w:rtl/>
        </w:rPr>
        <w:t xml:space="preserve">حيث </w:t>
      </w:r>
      <w:r w:rsidRPr="006571AC">
        <w:rPr>
          <w:rFonts w:ascii="Simplified Arabic" w:hAnsi="Simplified Arabic"/>
          <w:sz w:val="27"/>
          <w:rtl/>
        </w:rPr>
        <w:t>حُك</w:t>
      </w:r>
      <w:r w:rsidR="00252305" w:rsidRPr="006571AC">
        <w:rPr>
          <w:rFonts w:ascii="Simplified Arabic" w:hAnsi="Simplified Arabic" w:hint="cs"/>
          <w:sz w:val="27"/>
          <w:rtl/>
        </w:rPr>
        <w:t>ِ</w:t>
      </w:r>
      <w:r w:rsidRPr="006571AC">
        <w:rPr>
          <w:rFonts w:ascii="Simplified Arabic" w:hAnsi="Simplified Arabic"/>
          <w:sz w:val="27"/>
          <w:rtl/>
        </w:rPr>
        <w:t>م</w:t>
      </w:r>
      <w:r w:rsidR="00252305" w:rsidRPr="006571AC">
        <w:rPr>
          <w:rFonts w:ascii="Simplified Arabic" w:hAnsi="Simplified Arabic" w:hint="cs"/>
          <w:sz w:val="27"/>
          <w:rtl/>
        </w:rPr>
        <w:t>َ</w:t>
      </w:r>
      <w:r w:rsidRPr="006571AC">
        <w:rPr>
          <w:rFonts w:ascii="Simplified Arabic" w:hAnsi="Simplified Arabic"/>
          <w:sz w:val="27"/>
          <w:rtl/>
        </w:rPr>
        <w:t>ت</w:t>
      </w:r>
      <w:r w:rsidR="00252305" w:rsidRPr="006571AC">
        <w:rPr>
          <w:rFonts w:ascii="Simplified Arabic" w:hAnsi="Simplified Arabic" w:hint="cs"/>
          <w:sz w:val="27"/>
          <w:rtl/>
        </w:rPr>
        <w:t>ْ</w:t>
      </w:r>
      <w:r w:rsidRPr="006571AC">
        <w:rPr>
          <w:rFonts w:ascii="Simplified Arabic" w:hAnsi="Simplified Arabic"/>
          <w:sz w:val="27"/>
          <w:rtl/>
        </w:rPr>
        <w:t xml:space="preserve"> الشعوب العربية والإسلامية بالحديد والنار، تحت شعار</w:t>
      </w:r>
      <w:r w:rsidRPr="006571AC">
        <w:rPr>
          <w:rFonts w:ascii="Simplified Arabic" w:hAnsi="Simplified Arabic" w:hint="cs"/>
          <w:sz w:val="27"/>
          <w:rtl/>
        </w:rPr>
        <w:t>ات</w:t>
      </w:r>
      <w:r w:rsidR="00252305" w:rsidRPr="006571AC">
        <w:rPr>
          <w:rFonts w:ascii="Simplified Arabic" w:hAnsi="Simplified Arabic" w:hint="cs"/>
          <w:sz w:val="27"/>
          <w:rtl/>
        </w:rPr>
        <w:t>ٍ</w:t>
      </w:r>
      <w:r w:rsidRPr="006571AC">
        <w:rPr>
          <w:rFonts w:ascii="Simplified Arabic" w:hAnsi="Simplified Arabic" w:hint="cs"/>
          <w:sz w:val="27"/>
          <w:rtl/>
        </w:rPr>
        <w:t xml:space="preserve"> واهية</w:t>
      </w:r>
      <w:r w:rsidR="00252305" w:rsidRPr="006571AC">
        <w:rPr>
          <w:rFonts w:ascii="Simplified Arabic" w:hAnsi="Simplified Arabic" w:hint="cs"/>
          <w:sz w:val="27"/>
          <w:rtl/>
        </w:rPr>
        <w:t>،</w:t>
      </w:r>
      <w:r w:rsidRPr="006571AC">
        <w:rPr>
          <w:rFonts w:ascii="Simplified Arabic" w:hAnsi="Simplified Arabic" w:hint="cs"/>
          <w:sz w:val="27"/>
          <w:rtl/>
        </w:rPr>
        <w:t xml:space="preserve"> مثل</w:t>
      </w:r>
      <w:r w:rsidR="00252305" w:rsidRPr="006571AC">
        <w:rPr>
          <w:rFonts w:ascii="Simplified Arabic" w:hAnsi="Simplified Arabic" w:hint="cs"/>
          <w:sz w:val="27"/>
          <w:rtl/>
        </w:rPr>
        <w:t>:</w:t>
      </w:r>
      <w:r w:rsidRPr="006571AC">
        <w:rPr>
          <w:rFonts w:ascii="Simplified Arabic" w:hAnsi="Simplified Arabic" w:hint="cs"/>
          <w:sz w:val="27"/>
          <w:rtl/>
        </w:rPr>
        <w:t xml:space="preserve"> شعار </w:t>
      </w:r>
      <w:r w:rsidRPr="006571AC">
        <w:rPr>
          <w:rFonts w:ascii="Simplified Arabic" w:hAnsi="Simplified Arabic"/>
          <w:sz w:val="27"/>
          <w:rtl/>
        </w:rPr>
        <w:t>قضية فلسطين</w:t>
      </w:r>
      <w:r w:rsidR="00252305" w:rsidRPr="006571AC">
        <w:rPr>
          <w:rFonts w:ascii="Simplified Arabic" w:hAnsi="Simplified Arabic" w:hint="cs"/>
          <w:sz w:val="27"/>
          <w:rtl/>
        </w:rPr>
        <w:t>،</w:t>
      </w:r>
      <w:r w:rsidRPr="006571AC">
        <w:rPr>
          <w:rFonts w:ascii="Simplified Arabic" w:hAnsi="Simplified Arabic" w:hint="cs"/>
          <w:sz w:val="27"/>
          <w:rtl/>
        </w:rPr>
        <w:t xml:space="preserve"> التي ر</w:t>
      </w:r>
      <w:r w:rsidR="00252305" w:rsidRPr="006571AC">
        <w:rPr>
          <w:rFonts w:ascii="Simplified Arabic" w:hAnsi="Simplified Arabic" w:hint="cs"/>
          <w:sz w:val="27"/>
          <w:rtl/>
        </w:rPr>
        <w:t>ُ</w:t>
      </w:r>
      <w:r w:rsidRPr="006571AC">
        <w:rPr>
          <w:rFonts w:ascii="Simplified Arabic" w:hAnsi="Simplified Arabic" w:hint="cs"/>
          <w:sz w:val="27"/>
          <w:rtl/>
        </w:rPr>
        <w:t>فع</w:t>
      </w:r>
      <w:r w:rsidR="00252305" w:rsidRPr="006571AC">
        <w:rPr>
          <w:rFonts w:ascii="Simplified Arabic" w:hAnsi="Simplified Arabic" w:hint="cs"/>
          <w:sz w:val="27"/>
          <w:rtl/>
        </w:rPr>
        <w:t>َ</w:t>
      </w:r>
      <w:r w:rsidRPr="006571AC">
        <w:rPr>
          <w:rFonts w:ascii="Simplified Arabic" w:hAnsi="Simplified Arabic" w:hint="cs"/>
          <w:sz w:val="27"/>
          <w:rtl/>
        </w:rPr>
        <w:t>ت</w:t>
      </w:r>
      <w:r w:rsidR="00252305" w:rsidRPr="006571AC">
        <w:rPr>
          <w:rFonts w:ascii="Simplified Arabic" w:hAnsi="Simplified Arabic" w:hint="cs"/>
          <w:sz w:val="27"/>
          <w:rtl/>
        </w:rPr>
        <w:t>ْ</w:t>
      </w:r>
      <w:r w:rsidRPr="006571AC">
        <w:rPr>
          <w:rFonts w:ascii="Simplified Arabic" w:hAnsi="Simplified Arabic" w:hint="cs"/>
          <w:sz w:val="27"/>
          <w:rtl/>
        </w:rPr>
        <w:t xml:space="preserve"> لتكون منبعاً ل</w:t>
      </w:r>
      <w:r w:rsidRPr="006571AC">
        <w:rPr>
          <w:rFonts w:ascii="Simplified Arabic" w:hAnsi="Simplified Arabic"/>
          <w:sz w:val="27"/>
          <w:rtl/>
        </w:rPr>
        <w:t>شرعي</w:t>
      </w:r>
      <w:r w:rsidR="00252305" w:rsidRPr="006571AC">
        <w:rPr>
          <w:rFonts w:ascii="Simplified Arabic" w:hAnsi="Simplified Arabic" w:hint="cs"/>
          <w:sz w:val="27"/>
          <w:rtl/>
        </w:rPr>
        <w:t>ّ</w:t>
      </w:r>
      <w:r w:rsidRPr="006571AC">
        <w:rPr>
          <w:rFonts w:ascii="Simplified Arabic" w:hAnsi="Simplified Arabic"/>
          <w:sz w:val="27"/>
          <w:rtl/>
        </w:rPr>
        <w:t>ة بقاء</w:t>
      </w:r>
      <w:r w:rsidR="00252305" w:rsidRPr="006571AC">
        <w:rPr>
          <w:rFonts w:ascii="Simplified Arabic" w:hAnsi="Simplified Arabic" w:hint="cs"/>
          <w:sz w:val="27"/>
          <w:rtl/>
        </w:rPr>
        <w:t>ٍ</w:t>
      </w:r>
      <w:r w:rsidRPr="006571AC">
        <w:rPr>
          <w:rFonts w:ascii="Simplified Arabic" w:hAnsi="Simplified Arabic"/>
          <w:sz w:val="27"/>
          <w:rtl/>
        </w:rPr>
        <w:t xml:space="preserve"> في السلطة</w:t>
      </w:r>
      <w:r w:rsidRPr="006571AC">
        <w:rPr>
          <w:rFonts w:ascii="Simplified Arabic" w:hAnsi="Simplified Arabic" w:hint="cs"/>
          <w:sz w:val="27"/>
          <w:rtl/>
        </w:rPr>
        <w:t>.</w:t>
      </w:r>
      <w:r w:rsidR="00252305" w:rsidRPr="006571AC">
        <w:rPr>
          <w:rFonts w:ascii="Simplified Arabic" w:hAnsi="Simplified Arabic" w:hint="cs"/>
          <w:sz w:val="27"/>
          <w:rtl/>
        </w:rPr>
        <w:t>.</w:t>
      </w:r>
      <w:r w:rsidRPr="006571AC">
        <w:rPr>
          <w:rFonts w:ascii="Simplified Arabic" w:hAnsi="Simplified Arabic" w:hint="cs"/>
          <w:sz w:val="27"/>
          <w:rtl/>
        </w:rPr>
        <w:t>.</w:t>
      </w:r>
      <w:r w:rsidR="00252305" w:rsidRPr="006571AC">
        <w:rPr>
          <w:rFonts w:ascii="Simplified Arabic" w:hAnsi="Simplified Arabic" w:hint="cs"/>
          <w:sz w:val="27"/>
          <w:rtl/>
        </w:rPr>
        <w:t>،</w:t>
      </w:r>
      <w:r w:rsidRPr="006571AC">
        <w:rPr>
          <w:rFonts w:ascii="Simplified Arabic" w:hAnsi="Simplified Arabic" w:hint="cs"/>
          <w:sz w:val="27"/>
          <w:rtl/>
        </w:rPr>
        <w:t xml:space="preserve"> حيث </w:t>
      </w:r>
      <w:r w:rsidRPr="006571AC">
        <w:rPr>
          <w:rFonts w:ascii="Simplified Arabic" w:hAnsi="Simplified Arabic"/>
          <w:sz w:val="27"/>
          <w:rtl/>
        </w:rPr>
        <w:t>استحكم</w:t>
      </w:r>
      <w:r w:rsidR="00252305" w:rsidRPr="006571AC">
        <w:rPr>
          <w:rFonts w:ascii="Simplified Arabic" w:hAnsi="Simplified Arabic" w:hint="cs"/>
          <w:sz w:val="27"/>
          <w:rtl/>
        </w:rPr>
        <w:t>َ</w:t>
      </w:r>
      <w:r w:rsidRPr="006571AC">
        <w:rPr>
          <w:rFonts w:ascii="Simplified Arabic" w:hAnsi="Simplified Arabic" w:hint="cs"/>
          <w:sz w:val="27"/>
          <w:rtl/>
        </w:rPr>
        <w:t>ت</w:t>
      </w:r>
      <w:r w:rsidR="00252305" w:rsidRPr="006571AC">
        <w:rPr>
          <w:rFonts w:ascii="Simplified Arabic" w:hAnsi="Simplified Arabic" w:hint="cs"/>
          <w:sz w:val="27"/>
          <w:rtl/>
        </w:rPr>
        <w:t>ْ</w:t>
      </w:r>
      <w:r w:rsidRPr="006571AC">
        <w:rPr>
          <w:rFonts w:ascii="Simplified Arabic" w:hAnsi="Simplified Arabic" w:hint="cs"/>
          <w:sz w:val="27"/>
          <w:rtl/>
        </w:rPr>
        <w:t xml:space="preserve"> فيها</w:t>
      </w:r>
      <w:r w:rsidRPr="006571AC">
        <w:rPr>
          <w:rFonts w:ascii="Simplified Arabic" w:hAnsi="Simplified Arabic"/>
          <w:sz w:val="27"/>
          <w:rtl/>
        </w:rPr>
        <w:t xml:space="preserve"> أجواء الق</w:t>
      </w:r>
      <w:r w:rsidR="00252305" w:rsidRPr="006571AC">
        <w:rPr>
          <w:rFonts w:ascii="Simplified Arabic" w:hAnsi="Simplified Arabic" w:hint="cs"/>
          <w:sz w:val="27"/>
          <w:rtl/>
        </w:rPr>
        <w:t>َ</w:t>
      </w:r>
      <w:r w:rsidRPr="006571AC">
        <w:rPr>
          <w:rFonts w:ascii="Simplified Arabic" w:hAnsi="Simplified Arabic"/>
          <w:sz w:val="27"/>
          <w:rtl/>
        </w:rPr>
        <w:t>ه</w:t>
      </w:r>
      <w:r w:rsidR="00252305" w:rsidRPr="006571AC">
        <w:rPr>
          <w:rFonts w:ascii="Simplified Arabic" w:hAnsi="Simplified Arabic" w:hint="cs"/>
          <w:sz w:val="27"/>
          <w:rtl/>
        </w:rPr>
        <w:t>ْ</w:t>
      </w:r>
      <w:r w:rsidRPr="006571AC">
        <w:rPr>
          <w:rFonts w:ascii="Simplified Arabic" w:hAnsi="Simplified Arabic"/>
          <w:sz w:val="27"/>
          <w:rtl/>
        </w:rPr>
        <w:t>ر والك</w:t>
      </w:r>
      <w:r w:rsidR="00252305" w:rsidRPr="006571AC">
        <w:rPr>
          <w:rFonts w:ascii="Simplified Arabic" w:hAnsi="Simplified Arabic" w:hint="cs"/>
          <w:sz w:val="27"/>
          <w:rtl/>
        </w:rPr>
        <w:t>َ</w:t>
      </w:r>
      <w:r w:rsidRPr="006571AC">
        <w:rPr>
          <w:rFonts w:ascii="Simplified Arabic" w:hAnsi="Simplified Arabic"/>
          <w:sz w:val="27"/>
          <w:rtl/>
        </w:rPr>
        <w:t>ب</w:t>
      </w:r>
      <w:r w:rsidR="00252305" w:rsidRPr="006571AC">
        <w:rPr>
          <w:rFonts w:ascii="Simplified Arabic" w:hAnsi="Simplified Arabic" w:hint="cs"/>
          <w:sz w:val="27"/>
          <w:rtl/>
        </w:rPr>
        <w:t>ْ</w:t>
      </w:r>
      <w:r w:rsidRPr="006571AC">
        <w:rPr>
          <w:rFonts w:ascii="Simplified Arabic" w:hAnsi="Simplified Arabic"/>
          <w:sz w:val="27"/>
          <w:rtl/>
        </w:rPr>
        <w:t xml:space="preserve">ت </w:t>
      </w:r>
      <w:r w:rsidRPr="006571AC">
        <w:rPr>
          <w:rFonts w:hint="eastAsia"/>
          <w:sz w:val="24"/>
          <w:szCs w:val="24"/>
          <w:rtl/>
        </w:rPr>
        <w:t>«</w:t>
      </w:r>
      <w:r w:rsidRPr="006571AC">
        <w:rPr>
          <w:rFonts w:ascii="Simplified Arabic" w:hAnsi="Simplified Arabic"/>
          <w:sz w:val="27"/>
          <w:rtl/>
        </w:rPr>
        <w:t>البطريريكي</w:t>
      </w:r>
      <w:r w:rsidRPr="006571AC">
        <w:rPr>
          <w:rFonts w:hint="eastAsia"/>
          <w:sz w:val="24"/>
          <w:szCs w:val="24"/>
          <w:rtl/>
        </w:rPr>
        <w:t>»</w:t>
      </w:r>
      <w:r w:rsidRPr="006571AC">
        <w:rPr>
          <w:rFonts w:ascii="Simplified Arabic" w:hAnsi="Simplified Arabic"/>
          <w:sz w:val="27"/>
          <w:rtl/>
        </w:rPr>
        <w:t xml:space="preserve"> </w:t>
      </w:r>
      <w:r w:rsidRPr="006571AC">
        <w:rPr>
          <w:rFonts w:hint="eastAsia"/>
          <w:sz w:val="24"/>
          <w:szCs w:val="24"/>
          <w:rtl/>
        </w:rPr>
        <w:t>«</w:t>
      </w:r>
      <w:r w:rsidRPr="006571AC">
        <w:rPr>
          <w:rFonts w:ascii="Simplified Arabic" w:hAnsi="Simplified Arabic" w:hint="cs"/>
          <w:sz w:val="27"/>
          <w:rtl/>
        </w:rPr>
        <w:t>الأكليروسي</w:t>
      </w:r>
      <w:r w:rsidRPr="006571AC">
        <w:rPr>
          <w:rFonts w:hint="eastAsia"/>
          <w:sz w:val="24"/>
          <w:szCs w:val="24"/>
          <w:rtl/>
        </w:rPr>
        <w:t>»</w:t>
      </w:r>
      <w:r w:rsidRPr="006571AC">
        <w:rPr>
          <w:rFonts w:ascii="Simplified Arabic" w:hAnsi="Simplified Arabic" w:hint="cs"/>
          <w:sz w:val="27"/>
          <w:rtl/>
        </w:rPr>
        <w:t xml:space="preserve"> (إذا صح</w:t>
      </w:r>
      <w:r w:rsidR="00252305" w:rsidRPr="006571AC">
        <w:rPr>
          <w:rFonts w:ascii="Simplified Arabic" w:hAnsi="Simplified Arabic" w:hint="cs"/>
          <w:sz w:val="27"/>
          <w:rtl/>
        </w:rPr>
        <w:t>ّ</w:t>
      </w:r>
      <w:r w:rsidRPr="006571AC">
        <w:rPr>
          <w:rFonts w:ascii="Simplified Arabic" w:hAnsi="Simplified Arabic" w:hint="cs"/>
          <w:sz w:val="27"/>
          <w:rtl/>
        </w:rPr>
        <w:t xml:space="preserve"> التعبير) بالمعنى السياسي والاجتماعي، </w:t>
      </w:r>
      <w:r w:rsidRPr="006571AC">
        <w:rPr>
          <w:rFonts w:ascii="Simplified Arabic" w:hAnsi="Simplified Arabic"/>
          <w:sz w:val="27"/>
          <w:rtl/>
        </w:rPr>
        <w:t>من بداية ولادة وتربية الطفل في الأسرة و</w:t>
      </w:r>
      <w:r w:rsidRPr="006571AC">
        <w:rPr>
          <w:rFonts w:ascii="Simplified Arabic" w:hAnsi="Simplified Arabic" w:hint="cs"/>
          <w:sz w:val="27"/>
          <w:rtl/>
        </w:rPr>
        <w:t>س</w:t>
      </w:r>
      <w:r w:rsidR="00252305" w:rsidRPr="006571AC">
        <w:rPr>
          <w:rFonts w:ascii="Simplified Arabic" w:hAnsi="Simplified Arabic" w:hint="cs"/>
          <w:sz w:val="27"/>
          <w:rtl/>
        </w:rPr>
        <w:t>َ</w:t>
      </w:r>
      <w:r w:rsidRPr="006571AC">
        <w:rPr>
          <w:rFonts w:ascii="Simplified Arabic" w:hAnsi="Simplified Arabic" w:hint="cs"/>
          <w:sz w:val="27"/>
          <w:rtl/>
        </w:rPr>
        <w:t>ي</w:t>
      </w:r>
      <w:r w:rsidR="00252305" w:rsidRPr="006571AC">
        <w:rPr>
          <w:rFonts w:ascii="Simplified Arabic" w:hAnsi="Simplified Arabic" w:hint="cs"/>
          <w:sz w:val="27"/>
          <w:rtl/>
        </w:rPr>
        <w:t>ْ</w:t>
      </w:r>
      <w:r w:rsidRPr="006571AC">
        <w:rPr>
          <w:rFonts w:ascii="Simplified Arabic" w:hAnsi="Simplified Arabic" w:hint="cs"/>
          <w:sz w:val="27"/>
          <w:rtl/>
        </w:rPr>
        <w:t xml:space="preserve">ره </w:t>
      </w:r>
      <w:r w:rsidRPr="006571AC">
        <w:rPr>
          <w:rFonts w:ascii="Simplified Arabic" w:hAnsi="Simplified Arabic"/>
          <w:sz w:val="27"/>
          <w:rtl/>
        </w:rPr>
        <w:t>المدرس</w:t>
      </w:r>
      <w:r w:rsidRPr="006571AC">
        <w:rPr>
          <w:rFonts w:ascii="Simplified Arabic" w:hAnsi="Simplified Arabic" w:hint="cs"/>
          <w:sz w:val="27"/>
          <w:rtl/>
        </w:rPr>
        <w:t>ي</w:t>
      </w:r>
      <w:r w:rsidRPr="006571AC">
        <w:rPr>
          <w:rFonts w:ascii="Simplified Arabic" w:hAnsi="Simplified Arabic"/>
          <w:sz w:val="27"/>
          <w:rtl/>
        </w:rPr>
        <w:t xml:space="preserve"> إلى أعلى مراحل اله</w:t>
      </w:r>
      <w:r w:rsidR="00252305" w:rsidRPr="006571AC">
        <w:rPr>
          <w:rFonts w:ascii="Simplified Arabic" w:hAnsi="Simplified Arabic" w:hint="cs"/>
          <w:sz w:val="27"/>
          <w:rtl/>
        </w:rPr>
        <w:t>َ</w:t>
      </w:r>
      <w:r w:rsidRPr="006571AC">
        <w:rPr>
          <w:rFonts w:ascii="Simplified Arabic" w:hAnsi="Simplified Arabic"/>
          <w:sz w:val="27"/>
          <w:rtl/>
        </w:rPr>
        <w:t>ر</w:t>
      </w:r>
      <w:r w:rsidR="00252305" w:rsidRPr="006571AC">
        <w:rPr>
          <w:rFonts w:ascii="Simplified Arabic" w:hAnsi="Simplified Arabic" w:hint="cs"/>
          <w:sz w:val="27"/>
          <w:rtl/>
        </w:rPr>
        <w:t>َ</w:t>
      </w:r>
      <w:r w:rsidRPr="006571AC">
        <w:rPr>
          <w:rFonts w:ascii="Simplified Arabic" w:hAnsi="Simplified Arabic"/>
          <w:sz w:val="27"/>
          <w:rtl/>
        </w:rPr>
        <w:t>م الاجتماعي والسياسي.</w:t>
      </w:r>
      <w:r w:rsidR="00252305" w:rsidRPr="006571AC">
        <w:rPr>
          <w:rFonts w:ascii="Simplified Arabic" w:hAnsi="Simplified Arabic" w:hint="cs"/>
          <w:sz w:val="27"/>
          <w:rtl/>
        </w:rPr>
        <w:t>.</w:t>
      </w:r>
      <w:r w:rsidR="00252305" w:rsidRPr="006571AC">
        <w:rPr>
          <w:rFonts w:ascii="Simplified Arabic" w:hAnsi="Simplified Arabic"/>
          <w:sz w:val="27"/>
          <w:rtl/>
        </w:rPr>
        <w:t>. أ</w:t>
      </w:r>
      <w:r w:rsidR="00252305" w:rsidRPr="006571AC">
        <w:rPr>
          <w:rFonts w:ascii="Simplified Arabic" w:hAnsi="Simplified Arabic" w:hint="cs"/>
          <w:sz w:val="27"/>
          <w:rtl/>
        </w:rPr>
        <w:t>َ</w:t>
      </w:r>
      <w:r w:rsidR="00252305" w:rsidRPr="006571AC">
        <w:rPr>
          <w:rFonts w:ascii="Simplified Arabic" w:hAnsi="Simplified Arabic"/>
          <w:sz w:val="27"/>
          <w:rtl/>
        </w:rPr>
        <w:t>و</w:t>
      </w:r>
      <w:r w:rsidR="00252305" w:rsidRPr="006571AC">
        <w:rPr>
          <w:rFonts w:ascii="Simplified Arabic" w:hAnsi="Simplified Arabic" w:hint="cs"/>
          <w:sz w:val="27"/>
          <w:rtl/>
        </w:rPr>
        <w:t>َ</w:t>
      </w:r>
      <w:r w:rsidRPr="006571AC">
        <w:rPr>
          <w:rFonts w:ascii="Simplified Arabic" w:hAnsi="Simplified Arabic"/>
          <w:sz w:val="27"/>
          <w:rtl/>
        </w:rPr>
        <w:t>ليس</w:t>
      </w:r>
      <w:r w:rsidR="00252305" w:rsidRPr="006571AC">
        <w:rPr>
          <w:rFonts w:ascii="Simplified Arabic" w:hAnsi="Simplified Arabic" w:hint="cs"/>
          <w:sz w:val="27"/>
          <w:rtl/>
        </w:rPr>
        <w:t>َ</w:t>
      </w:r>
      <w:r w:rsidRPr="006571AC">
        <w:rPr>
          <w:rFonts w:ascii="Simplified Arabic" w:hAnsi="Simplified Arabic"/>
          <w:sz w:val="27"/>
          <w:rtl/>
        </w:rPr>
        <w:t>ت</w:t>
      </w:r>
      <w:r w:rsidR="00252305" w:rsidRPr="006571AC">
        <w:rPr>
          <w:rFonts w:ascii="Simplified Arabic" w:hAnsi="Simplified Arabic" w:hint="cs"/>
          <w:sz w:val="27"/>
          <w:rtl/>
        </w:rPr>
        <w:t>ْ</w:t>
      </w:r>
      <w:r w:rsidRPr="006571AC">
        <w:rPr>
          <w:rFonts w:ascii="Simplified Arabic" w:hAnsi="Simplified Arabic"/>
          <w:sz w:val="27"/>
          <w:rtl/>
        </w:rPr>
        <w:t xml:space="preserve"> التربية معني</w:t>
      </w:r>
      <w:r w:rsidR="00252305" w:rsidRPr="006571AC">
        <w:rPr>
          <w:rFonts w:ascii="Simplified Arabic" w:hAnsi="Simplified Arabic" w:hint="cs"/>
          <w:sz w:val="27"/>
          <w:rtl/>
        </w:rPr>
        <w:t>ّ</w:t>
      </w:r>
      <w:r w:rsidRPr="006571AC">
        <w:rPr>
          <w:rFonts w:ascii="Simplified Arabic" w:hAnsi="Simplified Arabic"/>
          <w:sz w:val="27"/>
          <w:rtl/>
        </w:rPr>
        <w:t>ة</w:t>
      </w:r>
      <w:r w:rsidR="00252305" w:rsidRPr="006571AC">
        <w:rPr>
          <w:rFonts w:ascii="Simplified Arabic" w:hAnsi="Simplified Arabic" w:hint="cs"/>
          <w:sz w:val="27"/>
          <w:rtl/>
        </w:rPr>
        <w:t>ً</w:t>
      </w:r>
      <w:r w:rsidRPr="006571AC">
        <w:rPr>
          <w:rFonts w:ascii="Simplified Arabic" w:hAnsi="Simplified Arabic"/>
          <w:sz w:val="27"/>
          <w:rtl/>
        </w:rPr>
        <w:t xml:space="preserve"> بهذه النتيجة الماسأوية التي يواجهها الاجتماع العربي والتربية العربية، وهي المفترض أن تدفع المعنيين بعلم الاجتماع العربي إلى بحث واستقصاء أسباب تشو</w:t>
      </w:r>
      <w:r w:rsidR="00252305" w:rsidRPr="006571AC">
        <w:rPr>
          <w:rFonts w:ascii="Simplified Arabic" w:hAnsi="Simplified Arabic" w:hint="cs"/>
          <w:sz w:val="27"/>
          <w:rtl/>
        </w:rPr>
        <w:t>ُّ</w:t>
      </w:r>
      <w:r w:rsidRPr="006571AC">
        <w:rPr>
          <w:rFonts w:ascii="Simplified Arabic" w:hAnsi="Simplified Arabic"/>
          <w:sz w:val="27"/>
          <w:rtl/>
        </w:rPr>
        <w:t>ه الشخصية العربية</w:t>
      </w:r>
      <w:r w:rsidR="00252305" w:rsidRPr="006571AC">
        <w:rPr>
          <w:rFonts w:ascii="Simplified Arabic" w:hAnsi="Simplified Arabic" w:hint="cs"/>
          <w:sz w:val="27"/>
          <w:rtl/>
        </w:rPr>
        <w:t>،</w:t>
      </w:r>
      <w:r w:rsidRPr="006571AC">
        <w:rPr>
          <w:rFonts w:ascii="Simplified Arabic" w:hAnsi="Simplified Arabic"/>
          <w:sz w:val="27"/>
          <w:rtl/>
        </w:rPr>
        <w:t xml:space="preserve"> أم أن هذا الموضوع لا علاقة لهم به</w:t>
      </w:r>
      <w:r w:rsidR="00252305" w:rsidRPr="006571AC">
        <w:rPr>
          <w:rFonts w:ascii="Simplified Arabic" w:hAnsi="Simplified Arabic" w:hint="cs"/>
          <w:sz w:val="27"/>
          <w:rtl/>
        </w:rPr>
        <w:t>،</w:t>
      </w:r>
      <w:r w:rsidRPr="006571AC">
        <w:rPr>
          <w:rFonts w:ascii="Simplified Arabic" w:hAnsi="Simplified Arabic"/>
          <w:sz w:val="27"/>
          <w:rtl/>
        </w:rPr>
        <w:t xml:space="preserve"> و</w:t>
      </w:r>
      <w:r w:rsidR="00252305" w:rsidRPr="006571AC">
        <w:rPr>
          <w:rFonts w:ascii="Simplified Arabic" w:hAnsi="Simplified Arabic" w:hint="cs"/>
          <w:sz w:val="27"/>
          <w:rtl/>
        </w:rPr>
        <w:t>إ</w:t>
      </w:r>
      <w:r w:rsidRPr="006571AC">
        <w:rPr>
          <w:rFonts w:ascii="Simplified Arabic" w:hAnsi="Simplified Arabic"/>
          <w:sz w:val="27"/>
          <w:rtl/>
        </w:rPr>
        <w:t xml:space="preserve">ن </w:t>
      </w:r>
      <w:r w:rsidR="00EA38F1" w:rsidRPr="006571AC">
        <w:rPr>
          <w:rFonts w:ascii="Simplified Arabic" w:hAnsi="Simplified Arabic"/>
          <w:sz w:val="27"/>
          <w:rtl/>
        </w:rPr>
        <w:t>دَوْر</w:t>
      </w:r>
      <w:r w:rsidRPr="006571AC">
        <w:rPr>
          <w:rFonts w:ascii="Simplified Arabic" w:hAnsi="Simplified Arabic"/>
          <w:sz w:val="27"/>
          <w:rtl/>
        </w:rPr>
        <w:t xml:space="preserve"> علماء اجتماعنا العربي ينحصر فقط في التنظير الفكري</w:t>
      </w:r>
      <w:r w:rsidRPr="006571AC">
        <w:rPr>
          <w:rFonts w:ascii="Simplified Arabic" w:hAnsi="Simplified Arabic" w:hint="cs"/>
          <w:sz w:val="27"/>
          <w:rtl/>
        </w:rPr>
        <w:t xml:space="preserve">، </w:t>
      </w:r>
      <w:r w:rsidRPr="006571AC">
        <w:rPr>
          <w:rFonts w:ascii="Simplified Arabic" w:hAnsi="Simplified Arabic"/>
          <w:sz w:val="27"/>
          <w:rtl/>
        </w:rPr>
        <w:t>والس</w:t>
      </w:r>
      <w:r w:rsidR="00252305" w:rsidRPr="006571AC">
        <w:rPr>
          <w:rFonts w:ascii="Simplified Arabic" w:hAnsi="Simplified Arabic" w:hint="cs"/>
          <w:sz w:val="27"/>
          <w:rtl/>
        </w:rPr>
        <w:t>َّ</w:t>
      </w:r>
      <w:r w:rsidRPr="006571AC">
        <w:rPr>
          <w:rFonts w:ascii="Simplified Arabic" w:hAnsi="Simplified Arabic"/>
          <w:sz w:val="27"/>
          <w:rtl/>
        </w:rPr>
        <w:t>ر</w:t>
      </w:r>
      <w:r w:rsidR="00252305" w:rsidRPr="006571AC">
        <w:rPr>
          <w:rFonts w:ascii="Simplified Arabic" w:hAnsi="Simplified Arabic" w:hint="cs"/>
          <w:sz w:val="27"/>
          <w:rtl/>
        </w:rPr>
        <w:t>ْ</w:t>
      </w:r>
      <w:r w:rsidRPr="006571AC">
        <w:rPr>
          <w:rFonts w:ascii="Simplified Arabic" w:hAnsi="Simplified Arabic"/>
          <w:sz w:val="27"/>
          <w:rtl/>
        </w:rPr>
        <w:t>د التاريخي</w:t>
      </w:r>
      <w:r w:rsidRPr="006571AC">
        <w:rPr>
          <w:rFonts w:ascii="Simplified Arabic" w:hAnsi="Simplified Arabic" w:hint="cs"/>
          <w:sz w:val="27"/>
          <w:rtl/>
        </w:rPr>
        <w:t xml:space="preserve">، </w:t>
      </w:r>
      <w:r w:rsidRPr="006571AC">
        <w:rPr>
          <w:rFonts w:ascii="Simplified Arabic" w:hAnsi="Simplified Arabic"/>
          <w:sz w:val="27"/>
          <w:rtl/>
        </w:rPr>
        <w:t>وتكديس الكتب والمرا</w:t>
      </w:r>
      <w:r w:rsidR="00252305" w:rsidRPr="006571AC">
        <w:rPr>
          <w:rFonts w:ascii="Simplified Arabic" w:hAnsi="Simplified Arabic" w:hint="cs"/>
          <w:sz w:val="27"/>
          <w:rtl/>
        </w:rPr>
        <w:t>ج</w:t>
      </w:r>
      <w:r w:rsidRPr="006571AC">
        <w:rPr>
          <w:rFonts w:ascii="Simplified Arabic" w:hAnsi="Simplified Arabic"/>
          <w:sz w:val="27"/>
          <w:rtl/>
        </w:rPr>
        <w:t>ع و (الكراريس) الجامعية؟</w:t>
      </w:r>
      <w:r w:rsidR="00252305" w:rsidRPr="006571AC">
        <w:rPr>
          <w:rFonts w:ascii="Simplified Arabic" w:hAnsi="Simplified Arabic" w:hint="cs"/>
          <w:sz w:val="27"/>
          <w:rtl/>
        </w:rPr>
        <w:t>!</w:t>
      </w:r>
      <w:r w:rsidRPr="006571AC">
        <w:rPr>
          <w:rFonts w:ascii="Simplified Arabic" w:hAnsi="Simplified Arabic"/>
          <w:sz w:val="27"/>
          <w:rtl/>
        </w:rPr>
        <w:t xml:space="preserve"> </w:t>
      </w:r>
    </w:p>
    <w:p w:rsidR="00373A12" w:rsidRPr="006571AC" w:rsidRDefault="00373A12" w:rsidP="004F6064">
      <w:pPr>
        <w:rPr>
          <w:rFonts w:ascii="Simplified Arabic" w:hAnsi="Simplified Arabic"/>
          <w:sz w:val="27"/>
          <w:rtl/>
        </w:rPr>
      </w:pPr>
      <w:r w:rsidRPr="006571AC">
        <w:rPr>
          <w:rFonts w:ascii="Simplified Arabic" w:hAnsi="Simplified Arabic" w:hint="cs"/>
          <w:sz w:val="27"/>
          <w:rtl/>
        </w:rPr>
        <w:t xml:space="preserve">من هنا </w:t>
      </w:r>
      <w:r w:rsidRPr="006571AC">
        <w:rPr>
          <w:rFonts w:ascii="Simplified Arabic" w:hAnsi="Simplified Arabic"/>
          <w:sz w:val="27"/>
          <w:rtl/>
        </w:rPr>
        <w:t>ما لم تتفك</w:t>
      </w:r>
      <w:r w:rsidR="00252305" w:rsidRPr="006571AC">
        <w:rPr>
          <w:rFonts w:ascii="Simplified Arabic" w:hAnsi="Simplified Arabic" w:hint="cs"/>
          <w:sz w:val="27"/>
          <w:rtl/>
        </w:rPr>
        <w:t>َّ</w:t>
      </w:r>
      <w:r w:rsidRPr="006571AC">
        <w:rPr>
          <w:rFonts w:ascii="Simplified Arabic" w:hAnsi="Simplified Arabic"/>
          <w:sz w:val="27"/>
          <w:rtl/>
        </w:rPr>
        <w:t xml:space="preserve">ك شرعية بقاء </w:t>
      </w:r>
      <w:r w:rsidRPr="006571AC">
        <w:rPr>
          <w:rFonts w:ascii="Simplified Arabic" w:hAnsi="Simplified Arabic" w:hint="cs"/>
          <w:sz w:val="27"/>
          <w:rtl/>
        </w:rPr>
        <w:t xml:space="preserve">تلك </w:t>
      </w:r>
      <w:r w:rsidRPr="006571AC">
        <w:rPr>
          <w:rFonts w:ascii="Simplified Arabic" w:hAnsi="Simplified Arabic"/>
          <w:sz w:val="27"/>
          <w:rtl/>
        </w:rPr>
        <w:t>الأنظمة الاستبدادية الشمولية</w:t>
      </w:r>
      <w:r w:rsidRPr="006571AC">
        <w:rPr>
          <w:rFonts w:ascii="Simplified Arabic" w:hAnsi="Simplified Arabic" w:hint="cs"/>
          <w:sz w:val="27"/>
          <w:rtl/>
        </w:rPr>
        <w:t xml:space="preserve"> المهيمنة على كل</w:t>
      </w:r>
      <w:r w:rsidR="00252305" w:rsidRPr="006571AC">
        <w:rPr>
          <w:rFonts w:ascii="Simplified Arabic" w:hAnsi="Simplified Arabic" w:hint="cs"/>
          <w:sz w:val="27"/>
          <w:rtl/>
        </w:rPr>
        <w:t>ّ</w:t>
      </w:r>
      <w:r w:rsidRPr="006571AC">
        <w:rPr>
          <w:rFonts w:ascii="Simplified Arabic" w:hAnsi="Simplified Arabic" w:hint="cs"/>
          <w:sz w:val="27"/>
          <w:rtl/>
        </w:rPr>
        <w:t xml:space="preserve"> مفاصل الحياة</w:t>
      </w:r>
      <w:r w:rsidR="00252305" w:rsidRPr="006571AC">
        <w:rPr>
          <w:rFonts w:ascii="Simplified Arabic" w:hAnsi="Simplified Arabic" w:hint="cs"/>
          <w:sz w:val="27"/>
          <w:rtl/>
        </w:rPr>
        <w:t>،</w:t>
      </w:r>
      <w:r w:rsidRPr="006571AC">
        <w:rPr>
          <w:rFonts w:ascii="Simplified Arabic" w:hAnsi="Simplified Arabic" w:hint="cs"/>
          <w:sz w:val="27"/>
          <w:rtl/>
        </w:rPr>
        <w:t xml:space="preserve"> بما فيها التربية</w:t>
      </w:r>
      <w:r w:rsidR="00252305" w:rsidRPr="006571AC">
        <w:rPr>
          <w:rFonts w:ascii="Simplified Arabic" w:hAnsi="Simplified Arabic" w:hint="cs"/>
          <w:sz w:val="27"/>
          <w:rtl/>
        </w:rPr>
        <w:t>؛</w:t>
      </w:r>
      <w:r w:rsidRPr="006571AC">
        <w:rPr>
          <w:rFonts w:ascii="Simplified Arabic" w:hAnsi="Simplified Arabic"/>
          <w:sz w:val="27"/>
          <w:rtl/>
        </w:rPr>
        <w:t xml:space="preserve"> من أجل إطلاق </w:t>
      </w:r>
      <w:r w:rsidRPr="006571AC">
        <w:rPr>
          <w:rFonts w:ascii="Simplified Arabic" w:hAnsi="Simplified Arabic" w:hint="cs"/>
          <w:sz w:val="27"/>
          <w:rtl/>
        </w:rPr>
        <w:t xml:space="preserve">هذا </w:t>
      </w:r>
      <w:r w:rsidRPr="006571AC">
        <w:rPr>
          <w:rFonts w:ascii="Simplified Arabic" w:hAnsi="Simplified Arabic"/>
          <w:sz w:val="27"/>
          <w:rtl/>
        </w:rPr>
        <w:t>الإنسان العربي</w:t>
      </w:r>
      <w:r w:rsidR="00252305" w:rsidRPr="006571AC">
        <w:rPr>
          <w:rFonts w:ascii="Simplified Arabic" w:hAnsi="Simplified Arabic" w:hint="cs"/>
          <w:sz w:val="27"/>
          <w:rtl/>
        </w:rPr>
        <w:t>ّ</w:t>
      </w:r>
      <w:r w:rsidRPr="006571AC">
        <w:rPr>
          <w:rFonts w:ascii="Simplified Arabic" w:hAnsi="Simplified Arabic"/>
          <w:sz w:val="27"/>
          <w:rtl/>
        </w:rPr>
        <w:t xml:space="preserve"> والمسلم من قمقم الك</w:t>
      </w:r>
      <w:r w:rsidR="00252305" w:rsidRPr="006571AC">
        <w:rPr>
          <w:rFonts w:ascii="Simplified Arabic" w:hAnsi="Simplified Arabic" w:hint="cs"/>
          <w:sz w:val="27"/>
          <w:rtl/>
        </w:rPr>
        <w:t>َ</w:t>
      </w:r>
      <w:r w:rsidRPr="006571AC">
        <w:rPr>
          <w:rFonts w:ascii="Simplified Arabic" w:hAnsi="Simplified Arabic"/>
          <w:sz w:val="27"/>
          <w:rtl/>
        </w:rPr>
        <w:t>ب</w:t>
      </w:r>
      <w:r w:rsidR="00252305" w:rsidRPr="006571AC">
        <w:rPr>
          <w:rFonts w:ascii="Simplified Arabic" w:hAnsi="Simplified Arabic" w:hint="cs"/>
          <w:sz w:val="27"/>
          <w:rtl/>
        </w:rPr>
        <w:t>ْ</w:t>
      </w:r>
      <w:r w:rsidRPr="006571AC">
        <w:rPr>
          <w:rFonts w:ascii="Simplified Arabic" w:hAnsi="Simplified Arabic"/>
          <w:sz w:val="27"/>
          <w:rtl/>
        </w:rPr>
        <w:t>ت والإرهاب والاستبداد</w:t>
      </w:r>
      <w:r w:rsidR="00252305" w:rsidRPr="006571AC">
        <w:rPr>
          <w:rFonts w:ascii="Simplified Arabic" w:hAnsi="Simplified Arabic" w:hint="cs"/>
          <w:sz w:val="27"/>
          <w:rtl/>
        </w:rPr>
        <w:t>؛</w:t>
      </w:r>
      <w:r w:rsidRPr="006571AC">
        <w:rPr>
          <w:rFonts w:ascii="Simplified Arabic" w:hAnsi="Simplified Arabic"/>
          <w:sz w:val="27"/>
          <w:rtl/>
        </w:rPr>
        <w:t xml:space="preserve"> ليعيش حياة</w:t>
      </w:r>
      <w:r w:rsidR="00252305" w:rsidRPr="006571AC">
        <w:rPr>
          <w:rFonts w:ascii="Simplified Arabic" w:hAnsi="Simplified Arabic" w:hint="cs"/>
          <w:sz w:val="27"/>
          <w:rtl/>
        </w:rPr>
        <w:t>ً</w:t>
      </w:r>
      <w:r w:rsidRPr="006571AC">
        <w:rPr>
          <w:rFonts w:ascii="Simplified Arabic" w:hAnsi="Simplified Arabic"/>
          <w:sz w:val="27"/>
          <w:rtl/>
        </w:rPr>
        <w:t xml:space="preserve"> ح</w:t>
      </w:r>
      <w:r w:rsidR="00252305" w:rsidRPr="006571AC">
        <w:rPr>
          <w:rFonts w:ascii="Simplified Arabic" w:hAnsi="Simplified Arabic" w:hint="cs"/>
          <w:sz w:val="27"/>
          <w:rtl/>
        </w:rPr>
        <w:t>ُ</w:t>
      </w:r>
      <w:r w:rsidRPr="006571AC">
        <w:rPr>
          <w:rFonts w:ascii="Simplified Arabic" w:hAnsi="Simplified Arabic"/>
          <w:sz w:val="27"/>
          <w:rtl/>
        </w:rPr>
        <w:t>ر</w:t>
      </w:r>
      <w:r w:rsidR="00252305" w:rsidRPr="006571AC">
        <w:rPr>
          <w:rFonts w:ascii="Simplified Arabic" w:hAnsi="Simplified Arabic" w:hint="cs"/>
          <w:sz w:val="27"/>
          <w:rtl/>
        </w:rPr>
        <w:t>ّ</w:t>
      </w:r>
      <w:r w:rsidRPr="006571AC">
        <w:rPr>
          <w:rFonts w:ascii="Simplified Arabic" w:hAnsi="Simplified Arabic"/>
          <w:sz w:val="27"/>
          <w:rtl/>
        </w:rPr>
        <w:t>ة كريمة</w:t>
      </w:r>
      <w:r w:rsidRPr="006571AC">
        <w:rPr>
          <w:rFonts w:ascii="Simplified Arabic" w:hAnsi="Simplified Arabic" w:hint="cs"/>
          <w:sz w:val="27"/>
          <w:rtl/>
        </w:rPr>
        <w:t>، ولتتم</w:t>
      </w:r>
      <w:r w:rsidR="00252305" w:rsidRPr="006571AC">
        <w:rPr>
          <w:rFonts w:ascii="Simplified Arabic" w:hAnsi="Simplified Arabic" w:hint="cs"/>
          <w:sz w:val="27"/>
          <w:rtl/>
        </w:rPr>
        <w:t>ّ</w:t>
      </w:r>
      <w:r w:rsidRPr="006571AC">
        <w:rPr>
          <w:rFonts w:ascii="Simplified Arabic" w:hAnsi="Simplified Arabic" w:hint="cs"/>
          <w:sz w:val="27"/>
          <w:rtl/>
        </w:rPr>
        <w:t xml:space="preserve"> تربيته وفقاً لمعايير الأخلاق والتربية الصحيحة المتوازنة، فلن يتغي</w:t>
      </w:r>
      <w:r w:rsidR="00252305" w:rsidRPr="006571AC">
        <w:rPr>
          <w:rFonts w:ascii="Simplified Arabic" w:hAnsi="Simplified Arabic" w:hint="cs"/>
          <w:sz w:val="27"/>
          <w:rtl/>
        </w:rPr>
        <w:t>َّ</w:t>
      </w:r>
      <w:r w:rsidRPr="006571AC">
        <w:rPr>
          <w:rFonts w:ascii="Simplified Arabic" w:hAnsi="Simplified Arabic" w:hint="cs"/>
          <w:sz w:val="27"/>
          <w:rtl/>
        </w:rPr>
        <w:t>ر أي</w:t>
      </w:r>
      <w:r w:rsidR="00252305" w:rsidRPr="006571AC">
        <w:rPr>
          <w:rFonts w:ascii="Simplified Arabic" w:hAnsi="Simplified Arabic" w:hint="cs"/>
          <w:sz w:val="27"/>
          <w:rtl/>
        </w:rPr>
        <w:t>ّ</w:t>
      </w:r>
      <w:r w:rsidRPr="006571AC">
        <w:rPr>
          <w:rFonts w:ascii="Simplified Arabic" w:hAnsi="Simplified Arabic" w:hint="cs"/>
          <w:sz w:val="27"/>
          <w:rtl/>
        </w:rPr>
        <w:t xml:space="preserve"> شيء</w:t>
      </w:r>
      <w:r w:rsidR="00252305" w:rsidRPr="006571AC">
        <w:rPr>
          <w:rFonts w:ascii="Simplified Arabic" w:hAnsi="Simplified Arabic" w:hint="cs"/>
          <w:sz w:val="27"/>
          <w:rtl/>
        </w:rPr>
        <w:t>ٍ</w:t>
      </w:r>
      <w:r w:rsidRPr="006571AC">
        <w:rPr>
          <w:rFonts w:ascii="Simplified Arabic" w:hAnsi="Simplified Arabic" w:hint="cs"/>
          <w:sz w:val="27"/>
          <w:rtl/>
        </w:rPr>
        <w:t xml:space="preserve"> في معادلة التربية</w:t>
      </w:r>
      <w:r w:rsidR="00252305" w:rsidRPr="006571AC">
        <w:rPr>
          <w:rFonts w:ascii="Simplified Arabic" w:hAnsi="Simplified Arabic" w:hint="cs"/>
          <w:sz w:val="27"/>
          <w:rtl/>
        </w:rPr>
        <w:t>،</w:t>
      </w:r>
      <w:r w:rsidRPr="006571AC">
        <w:rPr>
          <w:rFonts w:ascii="Simplified Arabic" w:hAnsi="Simplified Arabic" w:hint="cs"/>
          <w:sz w:val="27"/>
          <w:rtl/>
        </w:rPr>
        <w:t xml:space="preserve"> وفي غيرها من المعادلات الاجتماعية والاقتصادية والتربوية والسياسية..</w:t>
      </w:r>
      <w:r w:rsidR="00252305" w:rsidRPr="006571AC">
        <w:rPr>
          <w:rFonts w:ascii="Simplified Arabic" w:hAnsi="Simplified Arabic" w:hint="cs"/>
          <w:sz w:val="27"/>
          <w:rtl/>
        </w:rPr>
        <w:t>.؛</w:t>
      </w:r>
      <w:r w:rsidRPr="006571AC">
        <w:rPr>
          <w:rFonts w:ascii="Simplified Arabic" w:hAnsi="Simplified Arabic" w:hint="cs"/>
          <w:sz w:val="27"/>
          <w:rtl/>
        </w:rPr>
        <w:t xml:space="preserve"> فالكل</w:t>
      </w:r>
      <w:r w:rsidR="00252305" w:rsidRPr="006571AC">
        <w:rPr>
          <w:rFonts w:ascii="Simplified Arabic" w:hAnsi="Simplified Arabic" w:hint="cs"/>
          <w:sz w:val="27"/>
          <w:rtl/>
        </w:rPr>
        <w:t>ّ</w:t>
      </w:r>
      <w:r w:rsidRPr="006571AC">
        <w:rPr>
          <w:rFonts w:ascii="Simplified Arabic" w:hAnsi="Simplified Arabic" w:hint="cs"/>
          <w:sz w:val="27"/>
          <w:rtl/>
        </w:rPr>
        <w:t xml:space="preserve"> مت</w:t>
      </w:r>
      <w:r w:rsidR="00252305" w:rsidRPr="006571AC">
        <w:rPr>
          <w:rFonts w:ascii="Simplified Arabic" w:hAnsi="Simplified Arabic" w:hint="cs"/>
          <w:sz w:val="27"/>
          <w:rtl/>
        </w:rPr>
        <w:t>ّ</w:t>
      </w:r>
      <w:r w:rsidRPr="006571AC">
        <w:rPr>
          <w:rFonts w:ascii="Simplified Arabic" w:hAnsi="Simplified Arabic" w:hint="cs"/>
          <w:sz w:val="27"/>
          <w:rtl/>
        </w:rPr>
        <w:t>صل</w:t>
      </w:r>
      <w:r w:rsidR="00252305" w:rsidRPr="006571AC">
        <w:rPr>
          <w:rFonts w:ascii="Simplified Arabic" w:hAnsi="Simplified Arabic" w:hint="cs"/>
          <w:sz w:val="27"/>
          <w:rtl/>
        </w:rPr>
        <w:t>ٌ</w:t>
      </w:r>
      <w:r w:rsidRPr="006571AC">
        <w:rPr>
          <w:rFonts w:ascii="Simplified Arabic" w:hAnsi="Simplified Arabic" w:hint="cs"/>
          <w:sz w:val="27"/>
          <w:rtl/>
        </w:rPr>
        <w:t xml:space="preserve"> بها</w:t>
      </w:r>
      <w:r w:rsidR="00252305" w:rsidRPr="006571AC">
        <w:rPr>
          <w:rFonts w:ascii="Simplified Arabic" w:hAnsi="Simplified Arabic" w:hint="cs"/>
          <w:sz w:val="27"/>
          <w:rtl/>
        </w:rPr>
        <w:t>،</w:t>
      </w:r>
      <w:r w:rsidRPr="006571AC">
        <w:rPr>
          <w:rFonts w:ascii="Simplified Arabic" w:hAnsi="Simplified Arabic" w:hint="cs"/>
          <w:sz w:val="27"/>
          <w:rtl/>
        </w:rPr>
        <w:t xml:space="preserve"> ومرتبط</w:t>
      </w:r>
      <w:r w:rsidR="00252305" w:rsidRPr="006571AC">
        <w:rPr>
          <w:rFonts w:ascii="Simplified Arabic" w:hAnsi="Simplified Arabic" w:hint="cs"/>
          <w:sz w:val="27"/>
          <w:rtl/>
        </w:rPr>
        <w:t>ٌ</w:t>
      </w:r>
      <w:r w:rsidRPr="006571AC">
        <w:rPr>
          <w:rFonts w:ascii="Simplified Arabic" w:hAnsi="Simplified Arabic" w:hint="cs"/>
          <w:sz w:val="27"/>
          <w:rtl/>
        </w:rPr>
        <w:t xml:space="preserve"> عضوياً باشتغالاتها ومآلاتها. </w:t>
      </w:r>
    </w:p>
    <w:p w:rsidR="00373A12" w:rsidRPr="009E4415" w:rsidRDefault="00373A12" w:rsidP="00615ECA">
      <w:pPr>
        <w:rPr>
          <w:rFonts w:ascii="Simplified Arabic" w:hAnsi="Simplified Arabic"/>
          <w:sz w:val="27"/>
          <w:shd w:val="clear" w:color="auto" w:fill="FFFFFF"/>
          <w:rtl/>
        </w:rPr>
      </w:pPr>
      <w:r w:rsidRPr="009E4415">
        <w:rPr>
          <w:rFonts w:ascii="Simplified Arabic" w:hAnsi="Simplified Arabic"/>
          <w:sz w:val="27"/>
          <w:shd w:val="clear" w:color="auto" w:fill="FFFFFF"/>
          <w:rtl/>
        </w:rPr>
        <w:t>إن الغاية من التربية تكمن أساساً في بناء إنسان</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سليم</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عقلاً وروحاً، قوي</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الشخصية، مندمج</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w:t>
      </w:r>
      <w:r w:rsidRPr="009E4415">
        <w:rPr>
          <w:rFonts w:ascii="Simplified Arabic" w:hAnsi="Simplified Arabic" w:hint="cs"/>
          <w:sz w:val="27"/>
          <w:shd w:val="clear" w:color="auto" w:fill="FFFFFF"/>
          <w:rtl/>
        </w:rPr>
        <w:t xml:space="preserve">في بيئته العلمية والاجتماعية، </w:t>
      </w:r>
      <w:r w:rsidRPr="009E4415">
        <w:rPr>
          <w:rFonts w:ascii="Simplified Arabic" w:hAnsi="Simplified Arabic"/>
          <w:sz w:val="27"/>
          <w:shd w:val="clear" w:color="auto" w:fill="FFFFFF"/>
          <w:rtl/>
        </w:rPr>
        <w:t>ومنخرط</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في واقعه ومجتمعه وعصره، منفتح</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على الآخر، فاعل</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الحضور، قادر</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على الإنتاج والبناء والعطاء والإبداع</w:t>
      </w:r>
      <w:r w:rsidRPr="009E4415">
        <w:rPr>
          <w:rFonts w:ascii="Simplified Arabic" w:hAnsi="Simplified Arabic" w:hint="cs"/>
          <w:sz w:val="27"/>
          <w:shd w:val="clear" w:color="auto" w:fill="FFFFFF"/>
          <w:rtl/>
        </w:rPr>
        <w:t xml:space="preserve"> والابتكار وخدمة ذاته ومجتمعه</w:t>
      </w:r>
      <w:r w:rsidRPr="009E4415">
        <w:rPr>
          <w:rFonts w:ascii="Simplified Arabic" w:hAnsi="Simplified Arabic"/>
          <w:sz w:val="27"/>
          <w:shd w:val="clear" w:color="auto" w:fill="FFFFFF"/>
          <w:rtl/>
        </w:rPr>
        <w:t>..</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وحتى تتحر</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ك التربية (العربية) اليوم على هذا الطريق </w:t>
      </w:r>
      <w:r w:rsidR="008D0C31" w:rsidRPr="009E4415">
        <w:rPr>
          <w:rFonts w:ascii="Simplified Arabic" w:hAnsi="Simplified Arabic" w:hint="cs"/>
          <w:sz w:val="27"/>
          <w:shd w:val="clear" w:color="auto" w:fill="FFFFFF"/>
          <w:rtl/>
        </w:rPr>
        <w:t xml:space="preserve">ـ </w:t>
      </w:r>
      <w:r w:rsidRPr="009E4415">
        <w:rPr>
          <w:rFonts w:ascii="Simplified Arabic" w:hAnsi="Simplified Arabic"/>
          <w:sz w:val="27"/>
          <w:shd w:val="clear" w:color="auto" w:fill="FFFFFF"/>
          <w:rtl/>
        </w:rPr>
        <w:t>رغم وعورته وأشواكه</w:t>
      </w:r>
      <w:r w:rsidRPr="009E4415">
        <w:rPr>
          <w:rFonts w:ascii="Simplified Arabic" w:hAnsi="Simplified Arabic" w:hint="cs"/>
          <w:sz w:val="27"/>
          <w:shd w:val="clear" w:color="auto" w:fill="FFFFFF"/>
          <w:rtl/>
        </w:rPr>
        <w:t xml:space="preserve">، </w:t>
      </w:r>
      <w:r w:rsidRPr="009E4415">
        <w:rPr>
          <w:rFonts w:ascii="Simplified Arabic" w:hAnsi="Simplified Arabic"/>
          <w:sz w:val="27"/>
          <w:shd w:val="clear" w:color="auto" w:fill="FFFFFF"/>
          <w:rtl/>
        </w:rPr>
        <w:t>و</w:t>
      </w:r>
      <w:r w:rsidRPr="009E4415">
        <w:rPr>
          <w:rFonts w:ascii="Simplified Arabic" w:hAnsi="Simplified Arabic" w:hint="cs"/>
          <w:sz w:val="27"/>
          <w:shd w:val="clear" w:color="auto" w:fill="FFFFFF"/>
          <w:rtl/>
        </w:rPr>
        <w:t xml:space="preserve">رغم </w:t>
      </w:r>
      <w:r w:rsidRPr="009E4415">
        <w:rPr>
          <w:rFonts w:ascii="Simplified Arabic" w:hAnsi="Simplified Arabic"/>
          <w:sz w:val="27"/>
          <w:shd w:val="clear" w:color="auto" w:fill="FFFFFF"/>
          <w:rtl/>
        </w:rPr>
        <w:t>معاناتنا ومآسينا وأزماتنا الكبرى فيه، ومنها</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أزمات التربية</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كما ذك</w:t>
      </w:r>
      <w:r w:rsidR="00364320"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ر</w:t>
      </w:r>
      <w:r w:rsidR="00364320"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نا آنفاً</w:t>
      </w:r>
      <w:r w:rsidR="008D0C31" w:rsidRPr="009E4415">
        <w:rPr>
          <w:rFonts w:ascii="Simplified Arabic" w:hAnsi="Simplified Arabic" w:hint="cs"/>
          <w:sz w:val="27"/>
          <w:shd w:val="clear" w:color="auto" w:fill="FFFFFF"/>
          <w:rtl/>
        </w:rPr>
        <w:t xml:space="preserve"> ـ</w:t>
      </w:r>
      <w:r w:rsidRPr="009E4415">
        <w:rPr>
          <w:rFonts w:ascii="Simplified Arabic" w:hAnsi="Simplified Arabic"/>
          <w:sz w:val="27"/>
          <w:shd w:val="clear" w:color="auto" w:fill="FFFFFF"/>
          <w:rtl/>
        </w:rPr>
        <w:t xml:space="preserve"> </w:t>
      </w:r>
      <w:r w:rsidR="00731867" w:rsidRPr="009E4415">
        <w:rPr>
          <w:rFonts w:ascii="Simplified Arabic" w:hAnsi="Simplified Arabic"/>
          <w:sz w:val="27"/>
          <w:shd w:val="clear" w:color="auto" w:fill="FFFFFF"/>
          <w:rtl/>
        </w:rPr>
        <w:t>لا بُدَّ</w:t>
      </w:r>
      <w:r w:rsidRPr="009E4415">
        <w:rPr>
          <w:rFonts w:ascii="Simplified Arabic" w:hAnsi="Simplified Arabic"/>
          <w:sz w:val="27"/>
          <w:shd w:val="clear" w:color="auto" w:fill="FFFFFF"/>
          <w:rtl/>
        </w:rPr>
        <w:t xml:space="preserve"> أن ي</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عاد بناء التربية ذاتها</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لتكون تربية</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متجد</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دة</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قادرة على بناء هذا الإنسان</w:t>
      </w:r>
      <w:r w:rsidRPr="009E4415">
        <w:rPr>
          <w:rFonts w:ascii="Simplified Arabic" w:hAnsi="Simplified Arabic" w:hint="cs"/>
          <w:sz w:val="27"/>
          <w:shd w:val="clear" w:color="auto" w:fill="FFFFFF"/>
          <w:rtl/>
        </w:rPr>
        <w:t xml:space="preserve">، </w:t>
      </w:r>
      <w:r w:rsidRPr="009E4415">
        <w:rPr>
          <w:rFonts w:ascii="Simplified Arabic" w:hAnsi="Simplified Arabic"/>
          <w:sz w:val="27"/>
          <w:shd w:val="clear" w:color="auto" w:fill="FFFFFF"/>
          <w:rtl/>
        </w:rPr>
        <w:t>وإنهاء معاناته</w:t>
      </w:r>
      <w:r w:rsidRPr="009E4415">
        <w:rPr>
          <w:rFonts w:ascii="Simplified Arabic" w:hAnsi="Simplified Arabic" w:hint="cs"/>
          <w:sz w:val="27"/>
          <w:shd w:val="clear" w:color="auto" w:fill="FFFFFF"/>
          <w:rtl/>
        </w:rPr>
        <w:t xml:space="preserve">، </w:t>
      </w:r>
      <w:r w:rsidRPr="009E4415">
        <w:rPr>
          <w:rFonts w:ascii="Simplified Arabic" w:hAnsi="Simplified Arabic"/>
          <w:sz w:val="27"/>
          <w:shd w:val="clear" w:color="auto" w:fill="FFFFFF"/>
          <w:rtl/>
        </w:rPr>
        <w:t>والانتقال به ما أمكن إلى عالم</w:t>
      </w:r>
      <w:r w:rsidR="00615ECA" w:rsidRPr="009E4415">
        <w:rPr>
          <w:rFonts w:ascii="Simplified Arabic" w:hAnsi="Simplified Arabic" w:hint="cs"/>
          <w:sz w:val="27"/>
          <w:shd w:val="clear" w:color="auto" w:fill="FFFFFF"/>
          <w:rtl/>
        </w:rPr>
        <w:t xml:space="preserve">ٍ </w:t>
      </w:r>
      <w:r w:rsidRPr="009E4415">
        <w:rPr>
          <w:rFonts w:ascii="Simplified Arabic" w:hAnsi="Simplified Arabic"/>
          <w:sz w:val="27"/>
          <w:shd w:val="clear" w:color="auto" w:fill="FFFFFF"/>
          <w:rtl/>
        </w:rPr>
        <w:lastRenderedPageBreak/>
        <w:t>عربي</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تسوده ق</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ي</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م العدالة والحق</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والمساواة، يحتل</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فيه الفرد رأس الأولوي</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ة والاهتمام. </w:t>
      </w:r>
    </w:p>
    <w:p w:rsidR="00373A12" w:rsidRPr="006571AC" w:rsidRDefault="00373A12" w:rsidP="009E4415">
      <w:pPr>
        <w:rPr>
          <w:rFonts w:ascii="Simplified Arabic" w:hAnsi="Simplified Arabic"/>
          <w:sz w:val="27"/>
          <w:shd w:val="clear" w:color="auto" w:fill="FFFFFF"/>
          <w:rtl/>
        </w:rPr>
      </w:pPr>
      <w:r w:rsidRPr="006571AC">
        <w:rPr>
          <w:rFonts w:ascii="Simplified Arabic" w:hAnsi="Simplified Arabic" w:hint="cs"/>
          <w:sz w:val="27"/>
          <w:shd w:val="clear" w:color="auto" w:fill="FFFFFF"/>
          <w:rtl/>
        </w:rPr>
        <w:t>وأختم بآياتٍ من كتاب الله تعالى، ر</w:t>
      </w:r>
      <w:r w:rsidR="008D0C31"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ب</w:t>
      </w:r>
      <w:r w:rsidR="008D0C31"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 xml:space="preserve">ما تختصر كثيراً من معالم التربية </w:t>
      </w:r>
      <w:r w:rsidRPr="006571AC">
        <w:rPr>
          <w:rFonts w:ascii="Simplified Arabic" w:hAnsi="Simplified Arabic"/>
          <w:sz w:val="27"/>
          <w:shd w:val="clear" w:color="auto" w:fill="FFFFFF"/>
          <w:rtl/>
        </w:rPr>
        <w:t>الروحية والعملية، وفيها دعوة</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واضحة مل</w:t>
      </w:r>
      <w:r w:rsidR="008D0C31" w:rsidRPr="006571AC">
        <w:rPr>
          <w:rFonts w:ascii="Simplified Arabic" w:hAnsi="Simplified Arabic" w:hint="cs"/>
          <w:sz w:val="27"/>
          <w:shd w:val="clear" w:color="auto" w:fill="FFFFFF"/>
          <w:rtl/>
        </w:rPr>
        <w:t>حّ</w:t>
      </w:r>
      <w:r w:rsidRPr="006571AC">
        <w:rPr>
          <w:rFonts w:ascii="Simplified Arabic" w:hAnsi="Simplified Arabic"/>
          <w:sz w:val="27"/>
          <w:shd w:val="clear" w:color="auto" w:fill="FFFFFF"/>
          <w:rtl/>
        </w:rPr>
        <w:t>ة</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لاستخدام الحواس</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كالسمع والبصر</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في النظر والتأم</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ل</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للبناء</w:t>
      </w:r>
      <w:r w:rsidRPr="006571AC">
        <w:rPr>
          <w:rFonts w:ascii="Simplified Arabic" w:hAnsi="Simplified Arabic" w:hint="cs"/>
          <w:sz w:val="27"/>
          <w:shd w:val="clear" w:color="auto" w:fill="FFFFFF"/>
          <w:rtl/>
        </w:rPr>
        <w:t xml:space="preserve"> العلمي والتربوي </w:t>
      </w:r>
      <w:r w:rsidRPr="006571AC">
        <w:rPr>
          <w:rFonts w:ascii="Simplified Arabic" w:hAnsi="Simplified Arabic"/>
          <w:sz w:val="27"/>
          <w:shd w:val="clear" w:color="auto" w:fill="FFFFFF"/>
          <w:rtl/>
        </w:rPr>
        <w:t>الروحي والعملي</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يقول تعالى: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Pr="005C0F63">
        <w:rPr>
          <w:rFonts w:ascii="Simplified Arabic" w:hAnsi="Simplified Arabic"/>
          <w:b/>
          <w:bCs/>
          <w:sz w:val="27"/>
          <w:shd w:val="clear" w:color="auto" w:fill="FFFFFF"/>
          <w:rtl/>
        </w:rPr>
        <w:t>إنَّ</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 xml:space="preserve"> السَّ</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مْع</w:t>
      </w:r>
      <w:r w:rsidR="008D0C31" w:rsidRPr="005C0F63">
        <w:rPr>
          <w:rFonts w:ascii="Simplified Arabic" w:hAnsi="Simplified Arabic"/>
          <w:b/>
          <w:bCs/>
          <w:sz w:val="27"/>
          <w:shd w:val="clear" w:color="auto" w:fill="FFFFFF"/>
          <w:rtl/>
        </w:rPr>
        <w:t>َ وَالْبَصَرَ وَالْفُؤَادَ كُل</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 xml:space="preserve"> أُوْلَئِكَ كَانَ عَنْهُ م</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س</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ؤ</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ولاً</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(الإسراء</w:t>
      </w:r>
      <w:r w:rsidRPr="006571AC">
        <w:rPr>
          <w:rFonts w:ascii="Simplified Arabic" w:hAnsi="Simplified Arabic" w:hint="cs"/>
          <w:sz w:val="27"/>
          <w:shd w:val="clear" w:color="auto" w:fill="FFFFFF"/>
          <w:rtl/>
        </w:rPr>
        <w:t xml:space="preserve">: </w:t>
      </w:r>
      <w:r w:rsidRPr="006571AC">
        <w:rPr>
          <w:rFonts w:ascii="Simplified Arabic" w:hAnsi="Simplified Arabic"/>
          <w:sz w:val="27"/>
          <w:shd w:val="clear" w:color="auto" w:fill="FFFFFF"/>
          <w:rtl/>
        </w:rPr>
        <w:t xml:space="preserve">36).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004C1D23" w:rsidRPr="005C0F63">
        <w:rPr>
          <w:rFonts w:ascii="Simplified Arabic" w:hAnsi="Simplified Arabic"/>
          <w:b/>
          <w:bCs/>
          <w:sz w:val="27"/>
          <w:shd w:val="clear" w:color="auto" w:fill="FFFFFF"/>
          <w:rtl/>
        </w:rPr>
        <w:t>أَتَأْمُرُونَ النَّاسَ بِالْبِرِّ وَتَنسَوْنَ أَنفُسَكُمْ وَأَنْتُمْ تَتْلُونَ الْكِتَابَ أَفَلاَ تَعْقِلُونَ</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w:t>
      </w:r>
      <w:r w:rsidR="004C1D23" w:rsidRPr="006571AC">
        <w:rPr>
          <w:rFonts w:ascii="Simplified Arabic" w:hAnsi="Simplified Arabic" w:hint="cs"/>
          <w:sz w:val="27"/>
          <w:shd w:val="clear" w:color="auto" w:fill="FFFFFF"/>
          <w:rtl/>
        </w:rPr>
        <w:t>البقرة</w:t>
      </w:r>
      <w:r w:rsidRPr="006571AC">
        <w:rPr>
          <w:rFonts w:ascii="Simplified Arabic" w:hAnsi="Simplified Arabic" w:hint="cs"/>
          <w:sz w:val="27"/>
          <w:shd w:val="clear" w:color="auto" w:fill="FFFFFF"/>
          <w:rtl/>
        </w:rPr>
        <w:t xml:space="preserve">: </w:t>
      </w:r>
      <w:r w:rsidRPr="006571AC">
        <w:rPr>
          <w:rFonts w:ascii="Simplified Arabic" w:hAnsi="Simplified Arabic"/>
          <w:sz w:val="27"/>
          <w:shd w:val="clear" w:color="auto" w:fill="FFFFFF"/>
          <w:rtl/>
        </w:rPr>
        <w:t xml:space="preserve">44).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004C1D23" w:rsidRPr="005C0F63">
        <w:rPr>
          <w:rFonts w:ascii="Simplified Arabic" w:hAnsi="Simplified Arabic"/>
          <w:b/>
          <w:bCs/>
          <w:sz w:val="27"/>
          <w:shd w:val="clear" w:color="auto" w:fill="FFFFFF"/>
          <w:rtl/>
        </w:rPr>
        <w:t>يَا أَهْلَ الْكِتَابِ لِمَ تُحَاجُّونَ فِي إِبْرَاهِيمَ وَمَا أُنْزِلَتْ التَّوْرَاةُ وَالإِنجِيلُ إِلاَّ مِنْ بَعْدِهِ أَفَلاَ تَعْقِلُونَ</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(آل عمران</w:t>
      </w:r>
      <w:r w:rsidRPr="006571AC">
        <w:rPr>
          <w:rFonts w:ascii="Simplified Arabic" w:hAnsi="Simplified Arabic" w:hint="cs"/>
          <w:sz w:val="27"/>
          <w:shd w:val="clear" w:color="auto" w:fill="FFFFFF"/>
          <w:rtl/>
        </w:rPr>
        <w:t xml:space="preserve">: </w:t>
      </w:r>
      <w:r w:rsidRPr="006571AC">
        <w:rPr>
          <w:rFonts w:ascii="Simplified Arabic" w:hAnsi="Simplified Arabic"/>
          <w:sz w:val="27"/>
          <w:shd w:val="clear" w:color="auto" w:fill="FFFFFF"/>
          <w:rtl/>
        </w:rPr>
        <w:t xml:space="preserve">65).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Pr="005C0F63">
        <w:rPr>
          <w:rFonts w:ascii="Simplified Arabic" w:hAnsi="Simplified Arabic"/>
          <w:b/>
          <w:bCs/>
          <w:sz w:val="27"/>
          <w:shd w:val="clear" w:color="auto" w:fill="FFFFFF"/>
          <w:rtl/>
        </w:rPr>
        <w:t>كَذَ</w:t>
      </w:r>
      <w:r w:rsidRPr="005C0F63">
        <w:rPr>
          <w:rFonts w:ascii="Simplified Arabic" w:hAnsi="Simplified Arabic" w:hint="cs"/>
          <w:b/>
          <w:bCs/>
          <w:sz w:val="27"/>
          <w:shd w:val="clear" w:color="auto" w:fill="FFFFFF"/>
          <w:rtl/>
        </w:rPr>
        <w:t>لِكَ</w:t>
      </w:r>
      <w:r w:rsidRPr="005C0F63">
        <w:rPr>
          <w:rFonts w:ascii="Simplified Arabic" w:hAnsi="Simplified Arabic"/>
          <w:b/>
          <w:bCs/>
          <w:sz w:val="27"/>
          <w:shd w:val="clear" w:color="auto" w:fill="FFFFFF"/>
          <w:rtl/>
        </w:rPr>
        <w:t xml:space="preserve"> </w:t>
      </w:r>
      <w:r w:rsidR="004C1D23" w:rsidRPr="005C0F63">
        <w:rPr>
          <w:rFonts w:ascii="Simplified Arabic" w:hAnsi="Simplified Arabic" w:hint="cs"/>
          <w:b/>
          <w:bCs/>
          <w:sz w:val="27"/>
          <w:shd w:val="clear" w:color="auto" w:fill="FFFFFF"/>
          <w:rtl/>
        </w:rPr>
        <w:t>نُفَصِّ</w:t>
      </w:r>
      <w:r w:rsidRPr="005C0F63">
        <w:rPr>
          <w:rFonts w:ascii="Simplified Arabic" w:hAnsi="Simplified Arabic" w:hint="cs"/>
          <w:b/>
          <w:bCs/>
          <w:sz w:val="27"/>
          <w:shd w:val="clear" w:color="auto" w:fill="FFFFFF"/>
          <w:rtl/>
        </w:rPr>
        <w:t>لُ</w:t>
      </w:r>
      <w:r w:rsidRPr="005C0F63">
        <w:rPr>
          <w:rFonts w:ascii="Simplified Arabic" w:hAnsi="Simplified Arabic"/>
          <w:b/>
          <w:bCs/>
          <w:sz w:val="27"/>
          <w:shd w:val="clear" w:color="auto" w:fill="FFFFFF"/>
          <w:rtl/>
        </w:rPr>
        <w:t xml:space="preserve"> </w:t>
      </w:r>
      <w:r w:rsidR="004C1D23" w:rsidRPr="005C0F63">
        <w:rPr>
          <w:rFonts w:ascii="Simplified Arabic" w:hAnsi="Simplified Arabic" w:hint="cs"/>
          <w:b/>
          <w:bCs/>
          <w:sz w:val="27"/>
          <w:shd w:val="clear" w:color="auto" w:fill="FFFFFF"/>
          <w:rtl/>
        </w:rPr>
        <w:t>ال</w:t>
      </w:r>
      <w:r w:rsidRPr="005C0F63">
        <w:rPr>
          <w:rFonts w:ascii="Simplified Arabic" w:hAnsi="Simplified Arabic" w:hint="cs"/>
          <w:b/>
          <w:bCs/>
          <w:sz w:val="27"/>
          <w:shd w:val="clear" w:color="auto" w:fill="FFFFFF"/>
          <w:rtl/>
        </w:rPr>
        <w:t>آيَاتِ</w:t>
      </w:r>
      <w:r w:rsidRPr="005C0F63">
        <w:rPr>
          <w:rFonts w:ascii="Simplified Arabic" w:hAnsi="Simplified Arabic"/>
          <w:b/>
          <w:bCs/>
          <w:sz w:val="27"/>
          <w:shd w:val="clear" w:color="auto" w:fill="FFFFFF"/>
          <w:rtl/>
        </w:rPr>
        <w:t xml:space="preserve"> </w:t>
      </w:r>
      <w:r w:rsidRPr="005C0F63">
        <w:rPr>
          <w:rFonts w:ascii="Simplified Arabic" w:hAnsi="Simplified Arabic" w:hint="cs"/>
          <w:b/>
          <w:bCs/>
          <w:sz w:val="27"/>
          <w:shd w:val="clear" w:color="auto" w:fill="FFFFFF"/>
          <w:rtl/>
        </w:rPr>
        <w:t>لِقَوْمٍ</w:t>
      </w:r>
      <w:r w:rsidRPr="005C0F63">
        <w:rPr>
          <w:rFonts w:ascii="Simplified Arabic" w:hAnsi="Simplified Arabic"/>
          <w:b/>
          <w:bCs/>
          <w:sz w:val="27"/>
          <w:shd w:val="clear" w:color="auto" w:fill="FFFFFF"/>
          <w:rtl/>
        </w:rPr>
        <w:t xml:space="preserve"> </w:t>
      </w:r>
      <w:r w:rsidRPr="005C0F63">
        <w:rPr>
          <w:rFonts w:ascii="Simplified Arabic" w:hAnsi="Simplified Arabic" w:hint="cs"/>
          <w:b/>
          <w:bCs/>
          <w:sz w:val="27"/>
          <w:shd w:val="clear" w:color="auto" w:fill="FFFFFF"/>
          <w:rtl/>
        </w:rPr>
        <w:t>يَعْلَمُونَ</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(الأعراف</w:t>
      </w:r>
      <w:r w:rsidRPr="006571AC">
        <w:rPr>
          <w:rFonts w:ascii="Simplified Arabic" w:hAnsi="Simplified Arabic" w:hint="cs"/>
          <w:sz w:val="27"/>
          <w:shd w:val="clear" w:color="auto" w:fill="FFFFFF"/>
          <w:rtl/>
        </w:rPr>
        <w:t xml:space="preserve">: </w:t>
      </w:r>
      <w:r w:rsidRPr="006571AC">
        <w:rPr>
          <w:rFonts w:ascii="Simplified Arabic" w:hAnsi="Simplified Arabic"/>
          <w:sz w:val="27"/>
          <w:shd w:val="clear" w:color="auto" w:fill="FFFFFF"/>
          <w:rtl/>
        </w:rPr>
        <w:t xml:space="preserve">32).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003A7986" w:rsidRPr="005C0F63">
        <w:rPr>
          <w:rFonts w:ascii="Simplified Arabic" w:hAnsi="Simplified Arabic"/>
          <w:b/>
          <w:bCs/>
          <w:sz w:val="27"/>
          <w:shd w:val="clear" w:color="auto" w:fill="FFFFFF"/>
          <w:rtl/>
        </w:rPr>
        <w:t>وَقَالُوا لَوْ كُنَّا نَسْمَعُ أَوْ نَعْقِلُ مَا كُنَّا فِي أَصْحَابِ السَّعِيرِ</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w:t>
      </w:r>
      <w:r w:rsidRPr="006571AC">
        <w:rPr>
          <w:rFonts w:ascii="Simplified Arabic" w:hAnsi="Simplified Arabic" w:hint="cs"/>
          <w:sz w:val="27"/>
          <w:shd w:val="clear" w:color="auto" w:fill="FFFFFF"/>
          <w:rtl/>
        </w:rPr>
        <w:t xml:space="preserve">الملك: </w:t>
      </w:r>
      <w:r w:rsidRPr="006571AC">
        <w:rPr>
          <w:rFonts w:ascii="Simplified Arabic" w:hAnsi="Simplified Arabic"/>
          <w:sz w:val="27"/>
          <w:shd w:val="clear" w:color="auto" w:fill="FFFFFF"/>
          <w:rtl/>
        </w:rPr>
        <w:t xml:space="preserve">10).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003A7986" w:rsidRPr="005C0F63">
        <w:rPr>
          <w:rFonts w:ascii="Simplified Arabic" w:hAnsi="Simplified Arabic"/>
          <w:b/>
          <w:bCs/>
          <w:sz w:val="27"/>
          <w:shd w:val="clear" w:color="auto" w:fill="FFFFFF"/>
          <w:rtl/>
        </w:rPr>
        <w:t>وَاتَّقُوا اللهَ وَيُعَلِّمُكُمْ اللهُ وَاللهُ بِكُلِّ شَيْءٍ عَلِيمٌ</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(البقرة</w:t>
      </w:r>
      <w:r w:rsidRPr="006571AC">
        <w:rPr>
          <w:rFonts w:ascii="Simplified Arabic" w:hAnsi="Simplified Arabic" w:hint="cs"/>
          <w:sz w:val="27"/>
          <w:shd w:val="clear" w:color="auto" w:fill="FFFFFF"/>
          <w:rtl/>
        </w:rPr>
        <w:t xml:space="preserve">: </w:t>
      </w:r>
      <w:r w:rsidRPr="006571AC">
        <w:rPr>
          <w:rFonts w:ascii="Simplified Arabic" w:hAnsi="Simplified Arabic"/>
          <w:sz w:val="27"/>
          <w:shd w:val="clear" w:color="auto" w:fill="FFFFFF"/>
          <w:rtl/>
        </w:rPr>
        <w:t xml:space="preserve">282).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003A7986" w:rsidRPr="005C0F63">
        <w:rPr>
          <w:rFonts w:ascii="Simplified Arabic" w:hAnsi="Simplified Arabic"/>
          <w:b/>
          <w:bCs/>
          <w:sz w:val="27"/>
          <w:shd w:val="clear" w:color="auto" w:fill="FFFFFF"/>
          <w:rtl/>
        </w:rPr>
        <w:t>يَا أَيُّهَا الَّذِينَ آمَنُوا إِنْ تَتَّقُوا اللهَ يَجْعَلْ لَكُمْ فُرْقَاناً</w:t>
      </w:r>
      <w:r w:rsidR="003A7986" w:rsidRPr="005C0F63">
        <w:rPr>
          <w:rFonts w:ascii="Simplified Arabic" w:hAnsi="Simplified Arabic" w:hint="cs"/>
          <w:b/>
          <w:bCs/>
          <w:sz w:val="27"/>
          <w:shd w:val="clear" w:color="auto" w:fill="FFFFFF"/>
          <w:rtl/>
        </w:rPr>
        <w:t>...</w:t>
      </w:r>
      <w:r w:rsidRPr="009E4415">
        <w:rPr>
          <w:rFonts w:ascii="Mosawi" w:hAnsi="Mosawi" w:cs="Mosawi"/>
          <w:sz w:val="24"/>
          <w:szCs w:val="24"/>
          <w:shd w:val="clear" w:color="auto" w:fill="FFFFFF"/>
          <w:rtl/>
        </w:rPr>
        <w:t>﴾</w:t>
      </w:r>
      <w:r w:rsidRPr="006571AC">
        <w:rPr>
          <w:rFonts w:ascii="Simplified Arabic" w:hAnsi="Simplified Arabic" w:hint="cs"/>
          <w:sz w:val="27"/>
          <w:shd w:val="clear" w:color="auto" w:fill="FFFFFF"/>
          <w:rtl/>
        </w:rPr>
        <w:t xml:space="preserve"> (الأنفال: 29).</w:t>
      </w:r>
      <w:r w:rsidRPr="006571AC">
        <w:rPr>
          <w:rFonts w:ascii="Simplified Arabic" w:hAnsi="Simplified Arabic"/>
          <w:sz w:val="27"/>
          <w:shd w:val="clear" w:color="auto" w:fill="FFFFFF"/>
          <w:rtl/>
        </w:rPr>
        <w:t xml:space="preserve"> </w:t>
      </w:r>
    </w:p>
    <w:p w:rsidR="00E83C22" w:rsidRPr="009E4415" w:rsidRDefault="00373A12" w:rsidP="009E4415">
      <w:pPr>
        <w:rPr>
          <w:rFonts w:ascii="Simplified Arabic" w:hAnsi="Simplified Arabic"/>
          <w:sz w:val="27"/>
          <w:shd w:val="clear" w:color="auto" w:fill="FFFFFF"/>
          <w:rtl/>
        </w:rPr>
      </w:pPr>
      <w:r w:rsidRPr="006571AC">
        <w:rPr>
          <w:rFonts w:ascii="Simplified Arabic" w:hAnsi="Simplified Arabic" w:hint="cs"/>
          <w:sz w:val="27"/>
          <w:shd w:val="clear" w:color="auto" w:fill="FFFFFF"/>
          <w:rtl/>
        </w:rPr>
        <w:t>فهي آياتٌ تعكس دعوة</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 xml:space="preserve"> للتربية والتكامل التربوي</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 xml:space="preserve"> الروحي والعقلي..</w:t>
      </w:r>
      <w:r w:rsidR="003A7986" w:rsidRPr="006571AC">
        <w:rPr>
          <w:rFonts w:ascii="Simplified Arabic" w:hAnsi="Simplified Arabic" w:hint="cs"/>
          <w:sz w:val="27"/>
          <w:shd w:val="clear" w:color="auto" w:fill="FFFFFF"/>
          <w:rtl/>
        </w:rPr>
        <w:t>.،</w:t>
      </w:r>
      <w:r w:rsidR="009E4415">
        <w:rPr>
          <w:rFonts w:ascii="Simplified Arabic" w:hAnsi="Simplified Arabic" w:hint="cs"/>
          <w:sz w:val="27"/>
          <w:shd w:val="clear" w:color="auto" w:fill="FFFFFF"/>
          <w:rtl/>
        </w:rPr>
        <w:t xml:space="preserve"> </w:t>
      </w:r>
      <w:r w:rsidRPr="006571AC">
        <w:rPr>
          <w:rFonts w:ascii="Simplified Arabic" w:hAnsi="Simplified Arabic" w:hint="cs"/>
          <w:sz w:val="27"/>
          <w:shd w:val="clear" w:color="auto" w:fill="FFFFFF"/>
          <w:rtl/>
        </w:rPr>
        <w:t>دعوة واقعية</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 xml:space="preserve"> تأخذ بعين الاعتبار ماد</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ة الجسد وروحانيته، لا مثالية روحية فيها، ولا عقلانية ماد</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ية، بل هي تربية</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 xml:space="preserve"> ماد</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ية عقلي</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ة إلهامية روحية واقعية تنهل من الواقع، مثلما تنهل من الروح والعاطفة والوجدان والق</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ي</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م الإسلامية الأصيلة.</w:t>
      </w:r>
    </w:p>
    <w:p w:rsidR="00E83C22" w:rsidRPr="006571AC" w:rsidRDefault="00E83C22" w:rsidP="004F6064">
      <w:pPr>
        <w:rPr>
          <w:rtl/>
        </w:rPr>
      </w:pPr>
    </w:p>
    <w:p w:rsidR="00E83C22" w:rsidRPr="006571AC" w:rsidRDefault="00E83C22" w:rsidP="004F6064">
      <w:pPr>
        <w:rPr>
          <w:rtl/>
        </w:rPr>
      </w:pPr>
    </w:p>
    <w:p w:rsidR="0063361B" w:rsidRPr="006571AC" w:rsidRDefault="0063361B" w:rsidP="004F6064">
      <w:pPr>
        <w:rPr>
          <w:rtl/>
        </w:rPr>
      </w:pPr>
    </w:p>
    <w:p w:rsidR="0063361B" w:rsidRPr="006571AC" w:rsidRDefault="0063361B" w:rsidP="004F6064">
      <w:pPr>
        <w:rPr>
          <w:rtl/>
        </w:rPr>
      </w:pPr>
    </w:p>
    <w:p w:rsidR="0063361B" w:rsidRPr="006571AC" w:rsidRDefault="0063361B" w:rsidP="004F6064">
      <w:pPr>
        <w:rPr>
          <w:rtl/>
        </w:rPr>
      </w:pPr>
    </w:p>
    <w:p w:rsidR="0063361B" w:rsidRPr="006571AC" w:rsidRDefault="0063361B" w:rsidP="004F6064">
      <w:pPr>
        <w:rPr>
          <w:rtl/>
        </w:rPr>
      </w:pPr>
    </w:p>
    <w:p w:rsidR="0063361B" w:rsidRPr="006571AC" w:rsidRDefault="0063361B" w:rsidP="004F6064">
      <w:pPr>
        <w:rPr>
          <w:rtl/>
        </w:rPr>
      </w:pPr>
    </w:p>
    <w:p w:rsidR="0063361B" w:rsidRPr="006571AC" w:rsidRDefault="0063361B" w:rsidP="004F6064">
      <w:pPr>
        <w:rPr>
          <w:rtl/>
        </w:rPr>
      </w:pPr>
    </w:p>
    <w:p w:rsidR="0063361B" w:rsidRPr="006571AC" w:rsidRDefault="0063361B" w:rsidP="004F6064">
      <w:pPr>
        <w:rPr>
          <w:rtl/>
        </w:rPr>
      </w:pPr>
    </w:p>
    <w:p w:rsidR="00E83C22" w:rsidRPr="006571AC" w:rsidRDefault="00E83C22" w:rsidP="00E83C22">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lastRenderedPageBreak/>
        <w:t>الهوامش</w:t>
      </w:r>
    </w:p>
    <w:p w:rsidR="00E83C22" w:rsidRPr="006571AC" w:rsidRDefault="00E83C22" w:rsidP="00E83C22">
      <w:pPr>
        <w:pStyle w:val="34"/>
        <w:autoSpaceDE w:val="0"/>
        <w:autoSpaceDN w:val="0"/>
        <w:adjustRightInd w:val="0"/>
        <w:spacing w:line="418" w:lineRule="exact"/>
        <w:ind w:firstLine="0"/>
        <w:rPr>
          <w:rFonts w:cs="K Sina"/>
          <w:sz w:val="26"/>
          <w:rtl/>
          <w:lang w:eastAsia="ar-SA"/>
        </w:rPr>
        <w:sectPr w:rsidR="00E83C22" w:rsidRPr="006571AC" w:rsidSect="00E85587">
          <w:headerReference w:type="even" r:id="rId152"/>
          <w:headerReference w:type="default" r:id="rId153"/>
          <w:footerReference w:type="even" r:id="rId154"/>
          <w:footerReference w:type="default" r:id="rId15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lastRenderedPageBreak/>
        <w:br w:type="page"/>
      </w:r>
    </w:p>
    <w:p w:rsidR="00E83C22" w:rsidRPr="006571AC" w:rsidRDefault="00E83C22" w:rsidP="00E83C22">
      <w:pPr>
        <w:rPr>
          <w:rtl/>
        </w:rPr>
        <w:sectPr w:rsidR="00E83C22" w:rsidRPr="006571AC" w:rsidSect="00E85587">
          <w:headerReference w:type="even" r:id="rId156"/>
          <w:headerReference w:type="default" r:id="rId157"/>
          <w:footerReference w:type="even" r:id="rId158"/>
          <w:footerReference w:type="default" r:id="rId159"/>
          <w:headerReference w:type="first" r:id="rId160"/>
          <w:endnotePr>
            <w:numFmt w:val="decimal"/>
            <w:numRestart w:val="eachSect"/>
          </w:endnotePr>
          <w:type w:val="continuous"/>
          <w:pgSz w:w="11907" w:h="16840" w:code="9"/>
          <w:pgMar w:top="2637" w:right="2438" w:bottom="3686" w:left="2438" w:header="2268" w:footer="3119" w:gutter="0"/>
          <w:cols w:space="720"/>
          <w:titlePg/>
          <w:docGrid w:linePitch="360"/>
        </w:sectPr>
      </w:pPr>
    </w:p>
    <w:p w:rsidR="00D273DA" w:rsidRPr="006571AC" w:rsidRDefault="00D273DA" w:rsidP="00D273DA">
      <w:pPr>
        <w:rPr>
          <w:rtl/>
        </w:rPr>
      </w:pPr>
    </w:p>
    <w:p w:rsidR="00D273DA" w:rsidRPr="006571AC" w:rsidRDefault="00D273DA" w:rsidP="00D273DA">
      <w:pPr>
        <w:rPr>
          <w:rtl/>
        </w:rPr>
      </w:pPr>
    </w:p>
    <w:p w:rsidR="00D273DA" w:rsidRPr="006571AC" w:rsidRDefault="0043677F" w:rsidP="0043677F">
      <w:pPr>
        <w:pStyle w:val="10"/>
        <w:spacing w:line="216" w:lineRule="auto"/>
        <w:rPr>
          <w:rtl/>
        </w:rPr>
      </w:pPr>
      <w:bookmarkStart w:id="436" w:name="_Toc114164844"/>
      <w:r w:rsidRPr="006571AC">
        <w:rPr>
          <w:rFonts w:hint="cs"/>
          <w:rtl/>
        </w:rPr>
        <w:t>ا</w:t>
      </w:r>
      <w:r w:rsidRPr="006571AC">
        <w:rPr>
          <w:rtl/>
        </w:rPr>
        <w:t>لعلوم الإنساني</w:t>
      </w:r>
      <w:r w:rsidR="000068C7" w:rsidRPr="006571AC">
        <w:rPr>
          <w:rFonts w:hint="cs"/>
          <w:rtl/>
        </w:rPr>
        <w:t>ّ</w:t>
      </w:r>
      <w:r w:rsidRPr="006571AC">
        <w:rPr>
          <w:rtl/>
        </w:rPr>
        <w:t xml:space="preserve">ة في التراث </w:t>
      </w:r>
      <w:r w:rsidRPr="006571AC">
        <w:rPr>
          <w:rFonts w:hint="cs"/>
          <w:rtl/>
        </w:rPr>
        <w:t>العربي</w:t>
      </w:r>
      <w:r w:rsidR="000068C7" w:rsidRPr="006571AC">
        <w:rPr>
          <w:rFonts w:hint="cs"/>
          <w:rtl/>
        </w:rPr>
        <w:t>ّ</w:t>
      </w:r>
      <w:r w:rsidRPr="006571AC">
        <w:rPr>
          <w:rtl/>
        </w:rPr>
        <w:t xml:space="preserve"> الإسلامي</w:t>
      </w:r>
      <w:r w:rsidR="000068C7" w:rsidRPr="006571AC">
        <w:rPr>
          <w:rFonts w:hint="cs"/>
          <w:rtl/>
        </w:rPr>
        <w:t>ّ</w:t>
      </w:r>
      <w:bookmarkEnd w:id="436"/>
    </w:p>
    <w:p w:rsidR="00D273DA" w:rsidRPr="006571AC" w:rsidRDefault="00962F60" w:rsidP="00962F60">
      <w:pPr>
        <w:pStyle w:val="10"/>
        <w:spacing w:line="216" w:lineRule="auto"/>
        <w:rPr>
          <w:sz w:val="26"/>
          <w:szCs w:val="42"/>
          <w:rtl/>
        </w:rPr>
      </w:pPr>
      <w:bookmarkStart w:id="437" w:name="_Toc114164845"/>
      <w:r w:rsidRPr="006571AC">
        <w:rPr>
          <w:sz w:val="26"/>
          <w:szCs w:val="42"/>
          <w:rtl/>
        </w:rPr>
        <w:t>بين دعوى الغياب واعتراف الحضور</w:t>
      </w:r>
      <w:bookmarkEnd w:id="437"/>
    </w:p>
    <w:p w:rsidR="00D273DA" w:rsidRPr="006571AC" w:rsidRDefault="00D273DA" w:rsidP="00D273DA">
      <w:pPr>
        <w:spacing w:line="300" w:lineRule="exact"/>
        <w:rPr>
          <w:rtl/>
        </w:rPr>
      </w:pPr>
    </w:p>
    <w:p w:rsidR="00D273DA" w:rsidRPr="006571AC" w:rsidRDefault="000068C7" w:rsidP="00962F60">
      <w:pPr>
        <w:pStyle w:val="Author"/>
        <w:rPr>
          <w:rtl/>
        </w:rPr>
      </w:pPr>
      <w:r w:rsidRPr="006571AC">
        <w:rPr>
          <w:rFonts w:hint="cs"/>
          <w:rtl/>
          <w:lang w:bidi="ar-AE"/>
        </w:rPr>
        <w:t xml:space="preserve">د. </w:t>
      </w:r>
      <w:r w:rsidR="00962F60" w:rsidRPr="006571AC">
        <w:rPr>
          <w:rFonts w:hint="cs"/>
          <w:rtl/>
          <w:lang w:bidi="ar-AE"/>
        </w:rPr>
        <w:t>محمد بنعمر</w:t>
      </w:r>
      <w:r w:rsidR="00C60B9A" w:rsidRPr="006571AC">
        <w:rPr>
          <w:rFonts w:hint="cs"/>
          <w:sz w:val="6"/>
          <w:szCs w:val="6"/>
          <w:rtl/>
          <w:lang w:bidi="ar-AE"/>
        </w:rPr>
        <w:t xml:space="preserve"> </w:t>
      </w:r>
      <w:r w:rsidR="00D273DA" w:rsidRPr="006571AC">
        <w:rPr>
          <w:rFonts w:cs="Taher" w:hint="cs"/>
          <w:vertAlign w:val="superscript"/>
          <w:rtl/>
        </w:rPr>
        <w:t>(</w:t>
      </w:r>
      <w:r w:rsidR="00D273DA" w:rsidRPr="006571AC">
        <w:rPr>
          <w:rFonts w:cs="Taher"/>
          <w:vertAlign w:val="superscript"/>
          <w:rtl/>
        </w:rPr>
        <w:footnoteReference w:customMarkFollows="1" w:id="20"/>
        <w:t>*)</w:t>
      </w:r>
    </w:p>
    <w:p w:rsidR="00D273DA" w:rsidRPr="006571AC" w:rsidRDefault="00D273DA" w:rsidP="00D273DA">
      <w:pPr>
        <w:spacing w:line="300" w:lineRule="exact"/>
        <w:rPr>
          <w:rtl/>
        </w:rPr>
      </w:pPr>
    </w:p>
    <w:p w:rsidR="0043677F" w:rsidRPr="006571AC" w:rsidRDefault="0043677F" w:rsidP="00962F60">
      <w:pPr>
        <w:pStyle w:val="31"/>
        <w:rPr>
          <w:color w:val="auto"/>
          <w:lang w:bidi="ar-MA"/>
        </w:rPr>
      </w:pPr>
      <w:bookmarkStart w:id="438" w:name="_Toc114164846"/>
      <w:r w:rsidRPr="006571AC">
        <w:rPr>
          <w:rFonts w:ascii="Arial" w:hAnsi="Arial" w:hint="cs"/>
          <w:color w:val="auto"/>
          <w:rtl/>
        </w:rPr>
        <w:t>المفهوم في العلوم الإنساني</w:t>
      </w:r>
      <w:r w:rsidR="00D12571" w:rsidRPr="006571AC">
        <w:rPr>
          <w:rFonts w:ascii="Arial" w:hAnsi="Arial" w:hint="cs"/>
          <w:color w:val="auto"/>
          <w:rtl/>
        </w:rPr>
        <w:t>ّ</w:t>
      </w:r>
      <w:r w:rsidRPr="006571AC">
        <w:rPr>
          <w:rFonts w:ascii="Arial" w:hAnsi="Arial" w:hint="cs"/>
          <w:color w:val="auto"/>
          <w:rtl/>
        </w:rPr>
        <w:t>ة</w:t>
      </w:r>
      <w:bookmarkEnd w:id="438"/>
    </w:p>
    <w:p w:rsidR="0043677F" w:rsidRPr="006571AC" w:rsidRDefault="00FE2553" w:rsidP="004F6064">
      <w:pPr>
        <w:rPr>
          <w:sz w:val="27"/>
          <w:rtl/>
          <w:lang w:bidi="ar-MA"/>
        </w:rPr>
      </w:pPr>
      <w:r w:rsidRPr="006571AC">
        <w:rPr>
          <w:rFonts w:hint="cs"/>
          <w:sz w:val="27"/>
          <w:rtl/>
          <w:lang w:bidi="ar-MA"/>
        </w:rPr>
        <w:t>يُعَدُّ</w:t>
      </w:r>
      <w:r w:rsidR="0043677F" w:rsidRPr="006571AC">
        <w:rPr>
          <w:sz w:val="27"/>
          <w:rtl/>
          <w:lang w:bidi="ar-MA"/>
        </w:rPr>
        <w:t xml:space="preserve"> تحديد المفاهيم وتعيين المصطلحات </w:t>
      </w:r>
      <w:r w:rsidR="0043677F" w:rsidRPr="006571AC">
        <w:rPr>
          <w:rFonts w:hint="cs"/>
          <w:sz w:val="27"/>
          <w:rtl/>
          <w:lang w:bidi="ar-MA"/>
        </w:rPr>
        <w:t>في العلوم بصفة</w:t>
      </w:r>
      <w:r w:rsidRPr="006571AC">
        <w:rPr>
          <w:rFonts w:hint="cs"/>
          <w:sz w:val="27"/>
          <w:rtl/>
          <w:lang w:bidi="ar-MA"/>
        </w:rPr>
        <w:t>ٍ</w:t>
      </w:r>
      <w:r w:rsidR="0043677F" w:rsidRPr="006571AC">
        <w:rPr>
          <w:rFonts w:hint="cs"/>
          <w:sz w:val="27"/>
          <w:rtl/>
          <w:lang w:bidi="ar-MA"/>
        </w:rPr>
        <w:t xml:space="preserve"> عامة</w:t>
      </w:r>
      <w:r w:rsidRPr="006571AC">
        <w:rPr>
          <w:rFonts w:hint="cs"/>
          <w:sz w:val="27"/>
          <w:rtl/>
          <w:lang w:bidi="ar-MA"/>
        </w:rPr>
        <w:t>ٍ</w:t>
      </w:r>
      <w:r w:rsidR="0043677F" w:rsidRPr="006571AC">
        <w:rPr>
          <w:sz w:val="27"/>
          <w:rtl/>
          <w:lang w:bidi="ar-MA"/>
        </w:rPr>
        <w:t xml:space="preserve"> عملا</w:t>
      </w:r>
      <w:r w:rsidRPr="006571AC">
        <w:rPr>
          <w:rFonts w:hint="cs"/>
          <w:sz w:val="27"/>
          <w:rtl/>
          <w:lang w:bidi="ar-MA"/>
        </w:rPr>
        <w:t>ً</w:t>
      </w:r>
      <w:r w:rsidR="0043677F" w:rsidRPr="006571AC">
        <w:rPr>
          <w:sz w:val="27"/>
          <w:rtl/>
          <w:lang w:bidi="ar-MA"/>
        </w:rPr>
        <w:t xml:space="preserve"> م</w:t>
      </w:r>
      <w:r w:rsidR="00D87C5C" w:rsidRPr="006571AC">
        <w:rPr>
          <w:rFonts w:hint="cs"/>
          <w:sz w:val="27"/>
          <w:rtl/>
          <w:lang w:bidi="ar-MA"/>
        </w:rPr>
        <w:t>ُ</w:t>
      </w:r>
      <w:r w:rsidR="0043677F" w:rsidRPr="006571AC">
        <w:rPr>
          <w:sz w:val="27"/>
          <w:rtl/>
          <w:lang w:bidi="ar-MA"/>
        </w:rPr>
        <w:t>ل</w:t>
      </w:r>
      <w:r w:rsidR="00D87C5C" w:rsidRPr="006571AC">
        <w:rPr>
          <w:rFonts w:hint="cs"/>
          <w:sz w:val="27"/>
          <w:rtl/>
          <w:lang w:bidi="ar-MA"/>
        </w:rPr>
        <w:t>ْ</w:t>
      </w:r>
      <w:r w:rsidR="0043677F" w:rsidRPr="006571AC">
        <w:rPr>
          <w:sz w:val="27"/>
          <w:rtl/>
          <w:lang w:bidi="ar-MA"/>
        </w:rPr>
        <w:t>ز</w:t>
      </w:r>
      <w:r w:rsidR="00D87C5C" w:rsidRPr="006571AC">
        <w:rPr>
          <w:rFonts w:hint="cs"/>
          <w:sz w:val="27"/>
          <w:rtl/>
          <w:lang w:bidi="ar-MA"/>
        </w:rPr>
        <w:t>ِ</w:t>
      </w:r>
      <w:r w:rsidR="0043677F" w:rsidRPr="006571AC">
        <w:rPr>
          <w:sz w:val="27"/>
          <w:rtl/>
          <w:lang w:bidi="ar-MA"/>
        </w:rPr>
        <w:t>ما</w:t>
      </w:r>
      <w:r w:rsidRPr="006571AC">
        <w:rPr>
          <w:rFonts w:hint="cs"/>
          <w:sz w:val="27"/>
          <w:rtl/>
          <w:lang w:bidi="ar-MA"/>
        </w:rPr>
        <w:t>ً</w:t>
      </w:r>
      <w:r w:rsidR="0043677F" w:rsidRPr="006571AC">
        <w:rPr>
          <w:sz w:val="27"/>
          <w:rtl/>
          <w:lang w:bidi="ar-MA"/>
        </w:rPr>
        <w:t>، ومسلكا</w:t>
      </w:r>
      <w:r w:rsidRPr="006571AC">
        <w:rPr>
          <w:rFonts w:hint="cs"/>
          <w:sz w:val="27"/>
          <w:rtl/>
          <w:lang w:bidi="ar-MA"/>
        </w:rPr>
        <w:t>ً</w:t>
      </w:r>
      <w:r w:rsidR="0043677F" w:rsidRPr="006571AC">
        <w:rPr>
          <w:sz w:val="27"/>
          <w:rtl/>
          <w:lang w:bidi="ar-MA"/>
        </w:rPr>
        <w:t xml:space="preserve"> ملح</w:t>
      </w:r>
      <w:r w:rsidRPr="006571AC">
        <w:rPr>
          <w:rFonts w:hint="cs"/>
          <w:sz w:val="27"/>
          <w:rtl/>
          <w:lang w:bidi="ar-MA"/>
        </w:rPr>
        <w:t>ّ</w:t>
      </w:r>
      <w:r w:rsidR="0043677F" w:rsidRPr="006571AC">
        <w:rPr>
          <w:sz w:val="27"/>
          <w:rtl/>
          <w:lang w:bidi="ar-MA"/>
        </w:rPr>
        <w:t>ا</w:t>
      </w:r>
      <w:r w:rsidRPr="006571AC">
        <w:rPr>
          <w:rFonts w:hint="cs"/>
          <w:sz w:val="27"/>
          <w:rtl/>
          <w:lang w:bidi="ar-MA"/>
        </w:rPr>
        <w:t>ً</w:t>
      </w:r>
      <w:r w:rsidR="0043677F" w:rsidRPr="006571AC">
        <w:rPr>
          <w:sz w:val="27"/>
          <w:rtl/>
          <w:lang w:bidi="ar-MA"/>
        </w:rPr>
        <w:t xml:space="preserve"> لكل</w:t>
      </w:r>
      <w:r w:rsidRPr="006571AC">
        <w:rPr>
          <w:rFonts w:hint="cs"/>
          <w:sz w:val="27"/>
          <w:rtl/>
          <w:lang w:bidi="ar-MA"/>
        </w:rPr>
        <w:t>ّ</w:t>
      </w:r>
      <w:r w:rsidR="0043677F" w:rsidRPr="006571AC">
        <w:rPr>
          <w:sz w:val="27"/>
          <w:rtl/>
          <w:lang w:bidi="ar-MA"/>
        </w:rPr>
        <w:t xml:space="preserve"> دارس</w:t>
      </w:r>
      <w:r w:rsidRPr="006571AC">
        <w:rPr>
          <w:rFonts w:hint="cs"/>
          <w:sz w:val="27"/>
          <w:rtl/>
          <w:lang w:bidi="ar-MA"/>
        </w:rPr>
        <w:t>ٍ</w:t>
      </w:r>
      <w:r w:rsidR="0043677F" w:rsidRPr="006571AC">
        <w:rPr>
          <w:sz w:val="27"/>
          <w:rtl/>
          <w:lang w:bidi="ar-MA"/>
        </w:rPr>
        <w:t xml:space="preserve"> </w:t>
      </w:r>
      <w:r w:rsidRPr="006571AC">
        <w:rPr>
          <w:rFonts w:hint="cs"/>
          <w:sz w:val="27"/>
          <w:rtl/>
          <w:lang w:bidi="ar-MA"/>
        </w:rPr>
        <w:t>أ</w:t>
      </w:r>
      <w:r w:rsidR="0043677F" w:rsidRPr="006571AC">
        <w:rPr>
          <w:sz w:val="27"/>
          <w:rtl/>
          <w:lang w:bidi="ar-MA"/>
        </w:rPr>
        <w:t>و باحث</w:t>
      </w:r>
      <w:r w:rsidRPr="006571AC">
        <w:rPr>
          <w:rFonts w:hint="cs"/>
          <w:sz w:val="27"/>
          <w:rtl/>
          <w:lang w:bidi="ar-MA"/>
        </w:rPr>
        <w:t>ٍ</w:t>
      </w:r>
      <w:r w:rsidR="0043677F" w:rsidRPr="006571AC">
        <w:rPr>
          <w:sz w:val="27"/>
          <w:rtl/>
          <w:lang w:bidi="ar-MA"/>
        </w:rPr>
        <w:t xml:space="preserve"> يود</w:t>
      </w:r>
      <w:r w:rsidRPr="006571AC">
        <w:rPr>
          <w:rFonts w:hint="cs"/>
          <w:sz w:val="27"/>
          <w:rtl/>
          <w:lang w:bidi="ar-MA"/>
        </w:rPr>
        <w:t>ّ</w:t>
      </w:r>
      <w:r w:rsidR="0043677F" w:rsidRPr="006571AC">
        <w:rPr>
          <w:sz w:val="27"/>
          <w:rtl/>
          <w:lang w:bidi="ar-MA"/>
        </w:rPr>
        <w:t xml:space="preserve"> مقاربة آية ظاهرة</w:t>
      </w:r>
      <w:r w:rsidRPr="006571AC">
        <w:rPr>
          <w:rFonts w:hint="cs"/>
          <w:sz w:val="27"/>
          <w:rtl/>
          <w:lang w:bidi="ar-MA"/>
        </w:rPr>
        <w:t>،</w:t>
      </w:r>
      <w:r w:rsidR="0043677F" w:rsidRPr="006571AC">
        <w:rPr>
          <w:sz w:val="27"/>
          <w:rtl/>
          <w:lang w:bidi="ar-MA"/>
        </w:rPr>
        <w:t xml:space="preserve"> ثقافية أو فكرية أو تربوية</w:t>
      </w:r>
      <w:r w:rsidR="0043677F" w:rsidRPr="006571AC">
        <w:rPr>
          <w:rFonts w:hint="cs"/>
          <w:sz w:val="27"/>
          <w:rtl/>
          <w:lang w:bidi="ar-MA"/>
        </w:rPr>
        <w:t xml:space="preserve"> أو إنسانية أو دينية،</w:t>
      </w:r>
      <w:r w:rsidR="0043677F" w:rsidRPr="006571AC">
        <w:rPr>
          <w:sz w:val="27"/>
          <w:rtl/>
          <w:lang w:bidi="ar-MA"/>
        </w:rPr>
        <w:t xml:space="preserve"> في أي</w:t>
      </w:r>
      <w:r w:rsidRPr="006571AC">
        <w:rPr>
          <w:rFonts w:hint="cs"/>
          <w:sz w:val="27"/>
          <w:rtl/>
          <w:lang w:bidi="ar-MA"/>
        </w:rPr>
        <w:t>ّ</w:t>
      </w:r>
      <w:r w:rsidR="0043677F" w:rsidRPr="006571AC">
        <w:rPr>
          <w:sz w:val="27"/>
          <w:rtl/>
          <w:lang w:bidi="ar-MA"/>
        </w:rPr>
        <w:t xml:space="preserve"> علم</w:t>
      </w:r>
      <w:r w:rsidRPr="006571AC">
        <w:rPr>
          <w:rFonts w:hint="cs"/>
          <w:sz w:val="27"/>
          <w:rtl/>
          <w:lang w:bidi="ar-MA"/>
        </w:rPr>
        <w:t>ٍ</w:t>
      </w:r>
      <w:r w:rsidR="0043677F" w:rsidRPr="006571AC">
        <w:rPr>
          <w:sz w:val="27"/>
          <w:rtl/>
          <w:lang w:bidi="ar-MA"/>
        </w:rPr>
        <w:t xml:space="preserve"> من العلوم</w:t>
      </w:r>
      <w:r w:rsidR="0043677F" w:rsidRPr="006571AC">
        <w:rPr>
          <w:rFonts w:hint="cs"/>
          <w:sz w:val="27"/>
          <w:rtl/>
          <w:lang w:bidi="ar-MA"/>
        </w:rPr>
        <w:t>، وفي أي</w:t>
      </w:r>
      <w:r w:rsidRPr="006571AC">
        <w:rPr>
          <w:rFonts w:hint="cs"/>
          <w:sz w:val="27"/>
          <w:rtl/>
          <w:lang w:bidi="ar-MA"/>
        </w:rPr>
        <w:t>ّ</w:t>
      </w:r>
      <w:r w:rsidR="0043677F" w:rsidRPr="006571AC">
        <w:rPr>
          <w:rFonts w:hint="cs"/>
          <w:sz w:val="27"/>
          <w:rtl/>
          <w:lang w:bidi="ar-MA"/>
        </w:rPr>
        <w:t xml:space="preserve"> تخص</w:t>
      </w:r>
      <w:r w:rsidRPr="006571AC">
        <w:rPr>
          <w:rFonts w:hint="cs"/>
          <w:sz w:val="27"/>
          <w:rtl/>
          <w:lang w:bidi="ar-MA"/>
        </w:rPr>
        <w:t>ُّ</w:t>
      </w:r>
      <w:r w:rsidR="0043677F" w:rsidRPr="006571AC">
        <w:rPr>
          <w:rFonts w:hint="cs"/>
          <w:sz w:val="27"/>
          <w:rtl/>
          <w:lang w:bidi="ar-MA"/>
        </w:rPr>
        <w:t>ص</w:t>
      </w:r>
      <w:r w:rsidRPr="006571AC">
        <w:rPr>
          <w:rFonts w:hint="cs"/>
          <w:sz w:val="27"/>
          <w:rtl/>
          <w:lang w:bidi="ar-MA"/>
        </w:rPr>
        <w:t>ٍ</w:t>
      </w:r>
      <w:r w:rsidR="0043677F" w:rsidRPr="006571AC">
        <w:rPr>
          <w:rFonts w:hint="cs"/>
          <w:sz w:val="27"/>
          <w:rtl/>
          <w:lang w:bidi="ar-MA"/>
        </w:rPr>
        <w:t xml:space="preserve"> من التخص</w:t>
      </w:r>
      <w:r w:rsidRPr="006571AC">
        <w:rPr>
          <w:rFonts w:hint="cs"/>
          <w:sz w:val="27"/>
          <w:rtl/>
          <w:lang w:bidi="ar-MA"/>
        </w:rPr>
        <w:t>ُّ</w:t>
      </w:r>
      <w:r w:rsidR="0043677F" w:rsidRPr="006571AC">
        <w:rPr>
          <w:rFonts w:hint="cs"/>
          <w:sz w:val="27"/>
          <w:rtl/>
          <w:lang w:bidi="ar-MA"/>
        </w:rPr>
        <w:t>صات</w:t>
      </w:r>
      <w:r w:rsidRPr="006571AC">
        <w:rPr>
          <w:rFonts w:hint="cs"/>
          <w:sz w:val="27"/>
          <w:rtl/>
          <w:lang w:bidi="ar-MA"/>
        </w:rPr>
        <w:t>،</w:t>
      </w:r>
      <w:r w:rsidR="0043677F" w:rsidRPr="006571AC">
        <w:rPr>
          <w:rFonts w:hint="cs"/>
          <w:sz w:val="27"/>
          <w:rtl/>
          <w:lang w:bidi="ar-MA"/>
        </w:rPr>
        <w:t xml:space="preserve"> سواء أكانت تلك العلوم علوما</w:t>
      </w:r>
      <w:r w:rsidRPr="006571AC">
        <w:rPr>
          <w:rFonts w:hint="cs"/>
          <w:sz w:val="27"/>
          <w:rtl/>
          <w:lang w:bidi="ar-MA"/>
        </w:rPr>
        <w:t>ً</w:t>
      </w:r>
      <w:r w:rsidR="0043677F" w:rsidRPr="006571AC">
        <w:rPr>
          <w:rFonts w:hint="cs"/>
          <w:sz w:val="27"/>
          <w:rtl/>
          <w:lang w:bidi="ar-MA"/>
        </w:rPr>
        <w:t xml:space="preserve"> حق</w:t>
      </w:r>
      <w:r w:rsidRPr="006571AC">
        <w:rPr>
          <w:rFonts w:hint="cs"/>
          <w:sz w:val="27"/>
          <w:rtl/>
          <w:lang w:bidi="ar-MA"/>
        </w:rPr>
        <w:t>ّ</w:t>
      </w:r>
      <w:r w:rsidR="0043677F" w:rsidRPr="006571AC">
        <w:rPr>
          <w:rFonts w:hint="cs"/>
          <w:sz w:val="27"/>
          <w:rtl/>
          <w:lang w:bidi="ar-MA"/>
        </w:rPr>
        <w:t>ة أم علوما</w:t>
      </w:r>
      <w:r w:rsidRPr="006571AC">
        <w:rPr>
          <w:rFonts w:hint="cs"/>
          <w:sz w:val="27"/>
          <w:rtl/>
          <w:lang w:bidi="ar-MA"/>
        </w:rPr>
        <w:t>ً</w:t>
      </w:r>
      <w:r w:rsidR="0043677F" w:rsidRPr="006571AC">
        <w:rPr>
          <w:rFonts w:hint="cs"/>
          <w:sz w:val="27"/>
          <w:rtl/>
          <w:lang w:bidi="ar-MA"/>
        </w:rPr>
        <w:t xml:space="preserve"> إنسانية أم علوما</w:t>
      </w:r>
      <w:r w:rsidRPr="006571AC">
        <w:rPr>
          <w:rFonts w:hint="cs"/>
          <w:sz w:val="27"/>
          <w:rtl/>
          <w:lang w:bidi="ar-MA"/>
        </w:rPr>
        <w:t>ً</w:t>
      </w:r>
      <w:r w:rsidR="0043677F" w:rsidRPr="006571AC">
        <w:rPr>
          <w:rFonts w:hint="cs"/>
          <w:sz w:val="27"/>
          <w:rtl/>
          <w:lang w:bidi="ar-MA"/>
        </w:rPr>
        <w:t xml:space="preserve"> شرعية</w:t>
      </w:r>
      <w:r w:rsidRPr="006571AC">
        <w:rPr>
          <w:rFonts w:hint="cs"/>
          <w:sz w:val="27"/>
          <w:rtl/>
          <w:lang w:bidi="ar-MA"/>
        </w:rPr>
        <w:t>؛</w:t>
      </w:r>
      <w:r w:rsidR="0043677F" w:rsidRPr="006571AC">
        <w:rPr>
          <w:sz w:val="27"/>
          <w:rtl/>
          <w:lang w:bidi="ar-MA"/>
        </w:rPr>
        <w:t xml:space="preserve"> باعتبار أن لكل</w:t>
      </w:r>
      <w:r w:rsidRPr="006571AC">
        <w:rPr>
          <w:rFonts w:hint="cs"/>
          <w:sz w:val="27"/>
          <w:rtl/>
          <w:lang w:bidi="ar-MA"/>
        </w:rPr>
        <w:t>ّ</w:t>
      </w:r>
      <w:r w:rsidR="0043677F" w:rsidRPr="006571AC">
        <w:rPr>
          <w:sz w:val="27"/>
          <w:rtl/>
          <w:lang w:bidi="ar-MA"/>
        </w:rPr>
        <w:t xml:space="preserve"> </w:t>
      </w:r>
      <w:r w:rsidR="0043677F" w:rsidRPr="006571AC">
        <w:rPr>
          <w:rFonts w:hint="cs"/>
          <w:sz w:val="27"/>
          <w:rtl/>
          <w:lang w:bidi="ar-MA"/>
        </w:rPr>
        <w:t>صناعة</w:t>
      </w:r>
      <w:r w:rsidR="00D87C5C" w:rsidRPr="006571AC">
        <w:rPr>
          <w:rFonts w:hint="cs"/>
          <w:sz w:val="27"/>
          <w:rtl/>
          <w:lang w:bidi="ar-MA"/>
        </w:rPr>
        <w:t>ٍ</w:t>
      </w:r>
      <w:r w:rsidR="0043677F" w:rsidRPr="006571AC">
        <w:rPr>
          <w:rFonts w:hint="cs"/>
          <w:sz w:val="27"/>
          <w:rtl/>
          <w:lang w:bidi="ar-MA"/>
        </w:rPr>
        <w:t xml:space="preserve"> أو </w:t>
      </w:r>
      <w:r w:rsidR="0043677F" w:rsidRPr="006571AC">
        <w:rPr>
          <w:sz w:val="27"/>
          <w:rtl/>
          <w:lang w:bidi="ar-MA"/>
        </w:rPr>
        <w:t>علم</w:t>
      </w:r>
      <w:r w:rsidRPr="006571AC">
        <w:rPr>
          <w:rFonts w:hint="cs"/>
          <w:sz w:val="27"/>
          <w:rtl/>
          <w:lang w:bidi="ar-MA"/>
        </w:rPr>
        <w:t>ٍ</w:t>
      </w:r>
      <w:r w:rsidR="0043677F" w:rsidRPr="006571AC">
        <w:rPr>
          <w:sz w:val="27"/>
          <w:rtl/>
          <w:lang w:bidi="ar-MA"/>
        </w:rPr>
        <w:t xml:space="preserve"> </w:t>
      </w:r>
      <w:r w:rsidR="0043677F" w:rsidRPr="006571AC">
        <w:rPr>
          <w:rFonts w:hint="cs"/>
          <w:sz w:val="27"/>
          <w:rtl/>
          <w:lang w:bidi="ar-MA"/>
        </w:rPr>
        <w:t>مصطلحاته ومفاهيمه ال</w:t>
      </w:r>
      <w:r w:rsidR="0043677F" w:rsidRPr="006571AC">
        <w:rPr>
          <w:sz w:val="27"/>
          <w:rtl/>
          <w:lang w:bidi="ar-MA"/>
        </w:rPr>
        <w:t>خاصة</w:t>
      </w:r>
      <w:r w:rsidR="0043677F" w:rsidRPr="006571AC">
        <w:rPr>
          <w:rFonts w:hint="cs"/>
          <w:sz w:val="27"/>
          <w:rtl/>
          <w:lang w:bidi="ar-MA"/>
        </w:rPr>
        <w:t xml:space="preserve"> </w:t>
      </w:r>
      <w:r w:rsidR="0043677F" w:rsidRPr="006571AC">
        <w:rPr>
          <w:sz w:val="27"/>
          <w:rtl/>
          <w:lang w:bidi="ar-MA"/>
        </w:rPr>
        <w:t>به</w:t>
      </w:r>
      <w:r w:rsidRPr="006571AC">
        <w:rPr>
          <w:rFonts w:hint="cs"/>
          <w:sz w:val="27"/>
          <w:rtl/>
          <w:lang w:bidi="ar-MA"/>
        </w:rPr>
        <w:t>،</w:t>
      </w:r>
      <w:r w:rsidR="0043677F" w:rsidRPr="006571AC">
        <w:rPr>
          <w:rFonts w:hint="cs"/>
          <w:sz w:val="27"/>
          <w:rtl/>
          <w:lang w:bidi="ar-MA"/>
        </w:rPr>
        <w:t xml:space="preserve"> التي عادة</w:t>
      </w:r>
      <w:r w:rsidR="00D87C5C" w:rsidRPr="006571AC">
        <w:rPr>
          <w:rFonts w:hint="cs"/>
          <w:sz w:val="27"/>
          <w:rtl/>
          <w:lang w:bidi="ar-MA"/>
        </w:rPr>
        <w:t>ً</w:t>
      </w:r>
      <w:r w:rsidR="0043677F" w:rsidRPr="006571AC">
        <w:rPr>
          <w:rFonts w:hint="cs"/>
          <w:sz w:val="27"/>
          <w:rtl/>
          <w:lang w:bidi="ar-MA"/>
        </w:rPr>
        <w:t xml:space="preserve"> ما يتمي</w:t>
      </w:r>
      <w:r w:rsidRPr="006571AC">
        <w:rPr>
          <w:rFonts w:hint="cs"/>
          <w:sz w:val="27"/>
          <w:rtl/>
          <w:lang w:bidi="ar-MA"/>
        </w:rPr>
        <w:t>َّ</w:t>
      </w:r>
      <w:r w:rsidR="0043677F" w:rsidRPr="006571AC">
        <w:rPr>
          <w:rFonts w:hint="cs"/>
          <w:sz w:val="27"/>
          <w:rtl/>
          <w:lang w:bidi="ar-MA"/>
        </w:rPr>
        <w:t>ز ويختص</w:t>
      </w:r>
      <w:r w:rsidRPr="006571AC">
        <w:rPr>
          <w:rFonts w:hint="cs"/>
          <w:sz w:val="27"/>
          <w:rtl/>
          <w:lang w:bidi="ar-MA"/>
        </w:rPr>
        <w:t>ّ</w:t>
      </w:r>
      <w:r w:rsidR="0043677F" w:rsidRPr="006571AC">
        <w:rPr>
          <w:rFonts w:hint="cs"/>
          <w:sz w:val="27"/>
          <w:rtl/>
          <w:lang w:bidi="ar-MA"/>
        </w:rPr>
        <w:t xml:space="preserve"> بها ذلك العلم عن غيره من العلوم</w:t>
      </w:r>
      <w:r w:rsidR="0043677F" w:rsidRPr="006571AC">
        <w:rPr>
          <w:sz w:val="27"/>
          <w:rtl/>
          <w:lang w:bidi="ar-MA"/>
        </w:rPr>
        <w:t xml:space="preserve"> </w:t>
      </w:r>
      <w:r w:rsidR="0043677F" w:rsidRPr="006571AC">
        <w:rPr>
          <w:rFonts w:hint="cs"/>
          <w:sz w:val="27"/>
          <w:rtl/>
          <w:lang w:bidi="ar-MA"/>
        </w:rPr>
        <w:t>والمعارف</w:t>
      </w:r>
      <w:r w:rsidRPr="006571AC">
        <w:rPr>
          <w:rFonts w:hint="cs"/>
          <w:sz w:val="27"/>
          <w:rtl/>
          <w:lang w:bidi="ar-MA"/>
        </w:rPr>
        <w:t>،</w:t>
      </w:r>
      <w:r w:rsidR="0043677F" w:rsidRPr="006571AC">
        <w:rPr>
          <w:rFonts w:hint="cs"/>
          <w:sz w:val="27"/>
          <w:rtl/>
          <w:lang w:bidi="ar-MA"/>
        </w:rPr>
        <w:t xml:space="preserve"> بجميع فروعها وتخص</w:t>
      </w:r>
      <w:r w:rsidRPr="006571AC">
        <w:rPr>
          <w:rFonts w:hint="cs"/>
          <w:sz w:val="27"/>
          <w:rtl/>
          <w:lang w:bidi="ar-MA"/>
        </w:rPr>
        <w:t>ُّ</w:t>
      </w:r>
      <w:r w:rsidR="0043677F" w:rsidRPr="006571AC">
        <w:rPr>
          <w:rFonts w:hint="cs"/>
          <w:sz w:val="27"/>
          <w:rtl/>
          <w:lang w:bidi="ar-MA"/>
        </w:rPr>
        <w:t>صاتها</w:t>
      </w:r>
      <w:r w:rsidR="0043677F" w:rsidRPr="006571AC">
        <w:rPr>
          <w:sz w:val="27"/>
          <w:rtl/>
          <w:lang w:bidi="ar-MA"/>
        </w:rPr>
        <w:t xml:space="preserve">. </w:t>
      </w:r>
    </w:p>
    <w:p w:rsidR="0043677F" w:rsidRPr="006571AC" w:rsidRDefault="0043677F" w:rsidP="004F6064">
      <w:pPr>
        <w:rPr>
          <w:sz w:val="27"/>
          <w:rtl/>
          <w:lang w:bidi="ar-MA"/>
        </w:rPr>
      </w:pPr>
      <w:r w:rsidRPr="006571AC">
        <w:rPr>
          <w:rFonts w:ascii="Arial" w:hAnsi="Arial" w:hint="cs"/>
          <w:sz w:val="27"/>
          <w:rtl/>
        </w:rPr>
        <w:t>ول</w:t>
      </w:r>
      <w:r w:rsidR="00FE2553" w:rsidRPr="006571AC">
        <w:rPr>
          <w:rFonts w:ascii="Arial" w:hAnsi="Arial" w:hint="cs"/>
          <w:sz w:val="27"/>
          <w:rtl/>
        </w:rPr>
        <w:t>أ</w:t>
      </w:r>
      <w:r w:rsidRPr="006571AC">
        <w:rPr>
          <w:rFonts w:ascii="Arial" w:hAnsi="Arial" w:hint="cs"/>
          <w:sz w:val="27"/>
          <w:rtl/>
        </w:rPr>
        <w:t>ن المفهوم كان دائما</w:t>
      </w:r>
      <w:r w:rsidR="00FE2553" w:rsidRPr="006571AC">
        <w:rPr>
          <w:rFonts w:ascii="Arial" w:hAnsi="Arial" w:hint="cs"/>
          <w:sz w:val="27"/>
          <w:rtl/>
        </w:rPr>
        <w:t>ً</w:t>
      </w:r>
      <w:r w:rsidRPr="006571AC">
        <w:rPr>
          <w:rFonts w:ascii="Arial" w:hAnsi="Arial" w:hint="cs"/>
          <w:sz w:val="27"/>
          <w:rtl/>
        </w:rPr>
        <w:t xml:space="preserve"> هو النواة الأولى في</w:t>
      </w:r>
      <w:r w:rsidRPr="006571AC">
        <w:rPr>
          <w:rFonts w:ascii="Arial" w:hAnsi="Arial"/>
          <w:sz w:val="27"/>
        </w:rPr>
        <w:t xml:space="preserve"> </w:t>
      </w:r>
      <w:r w:rsidRPr="006571AC">
        <w:rPr>
          <w:rFonts w:ascii="Arial" w:hAnsi="Arial" w:hint="cs"/>
          <w:sz w:val="27"/>
          <w:rtl/>
        </w:rPr>
        <w:t>تركيب وصناعة الأفكار، وبناء وتشكيل النظريات العلمية، ف</w:t>
      </w:r>
      <w:r w:rsidR="00FE2553" w:rsidRPr="006571AC">
        <w:rPr>
          <w:rFonts w:ascii="Arial" w:hAnsi="Arial" w:hint="cs"/>
          <w:sz w:val="27"/>
          <w:rtl/>
        </w:rPr>
        <w:t>إ</w:t>
      </w:r>
      <w:r w:rsidRPr="006571AC">
        <w:rPr>
          <w:rFonts w:ascii="Arial" w:hAnsi="Arial" w:hint="cs"/>
          <w:sz w:val="27"/>
          <w:rtl/>
        </w:rPr>
        <w:t>ن أي</w:t>
      </w:r>
      <w:r w:rsidR="00FE2553" w:rsidRPr="006571AC">
        <w:rPr>
          <w:rFonts w:ascii="Arial" w:hAnsi="Arial" w:hint="cs"/>
          <w:sz w:val="27"/>
          <w:rtl/>
        </w:rPr>
        <w:t>ّ</w:t>
      </w:r>
      <w:r w:rsidRPr="006571AC">
        <w:rPr>
          <w:rFonts w:ascii="Arial" w:hAnsi="Arial" w:hint="cs"/>
          <w:sz w:val="27"/>
          <w:rtl/>
        </w:rPr>
        <w:t xml:space="preserve"> لبس</w:t>
      </w:r>
      <w:r w:rsidR="00FE2553" w:rsidRPr="006571AC">
        <w:rPr>
          <w:rFonts w:ascii="Arial" w:hAnsi="Arial" w:hint="cs"/>
          <w:sz w:val="27"/>
          <w:rtl/>
        </w:rPr>
        <w:t>ٍ</w:t>
      </w:r>
      <w:r w:rsidRPr="006571AC">
        <w:rPr>
          <w:rFonts w:ascii="Arial" w:hAnsi="Arial" w:hint="cs"/>
          <w:sz w:val="27"/>
          <w:rtl/>
        </w:rPr>
        <w:t xml:space="preserve"> </w:t>
      </w:r>
      <w:r w:rsidR="00FE2553" w:rsidRPr="006571AC">
        <w:rPr>
          <w:rFonts w:ascii="Arial" w:hAnsi="Arial" w:hint="cs"/>
          <w:sz w:val="27"/>
          <w:rtl/>
        </w:rPr>
        <w:t>أ</w:t>
      </w:r>
      <w:r w:rsidRPr="006571AC">
        <w:rPr>
          <w:rFonts w:ascii="Arial" w:hAnsi="Arial" w:hint="cs"/>
          <w:sz w:val="27"/>
          <w:rtl/>
        </w:rPr>
        <w:t>و خفاء أو</w:t>
      </w:r>
      <w:r w:rsidRPr="006571AC">
        <w:rPr>
          <w:rFonts w:ascii="Arial" w:hAnsi="Arial"/>
          <w:sz w:val="27"/>
        </w:rPr>
        <w:t xml:space="preserve"> </w:t>
      </w:r>
      <w:r w:rsidRPr="006571AC">
        <w:rPr>
          <w:rFonts w:ascii="Arial" w:hAnsi="Arial" w:hint="cs"/>
          <w:sz w:val="27"/>
          <w:rtl/>
          <w:lang w:bidi="ar-MA"/>
        </w:rPr>
        <w:t>تعميم</w:t>
      </w:r>
      <w:r w:rsidRPr="006571AC">
        <w:rPr>
          <w:rFonts w:ascii="Arial" w:hAnsi="Arial" w:hint="cs"/>
          <w:sz w:val="27"/>
          <w:lang w:bidi="ar-MA"/>
        </w:rPr>
        <w:t xml:space="preserve"> </w:t>
      </w:r>
      <w:r w:rsidRPr="006571AC">
        <w:rPr>
          <w:rFonts w:ascii="Arial" w:hAnsi="Arial" w:hint="cs"/>
          <w:sz w:val="27"/>
          <w:rtl/>
        </w:rPr>
        <w:t>في تحديد وبيان المفهوم سيؤث</w:t>
      </w:r>
      <w:r w:rsidR="00FE2553" w:rsidRPr="006571AC">
        <w:rPr>
          <w:rFonts w:ascii="Arial" w:hAnsi="Arial" w:hint="cs"/>
          <w:sz w:val="27"/>
          <w:rtl/>
        </w:rPr>
        <w:t>ِّ</w:t>
      </w:r>
      <w:r w:rsidRPr="006571AC">
        <w:rPr>
          <w:rFonts w:ascii="Arial" w:hAnsi="Arial" w:hint="cs"/>
          <w:sz w:val="27"/>
          <w:rtl/>
        </w:rPr>
        <w:t>ر لا محالة على تلك الأفكار المرك</w:t>
      </w:r>
      <w:r w:rsidR="00FE2553" w:rsidRPr="006571AC">
        <w:rPr>
          <w:rFonts w:ascii="Arial" w:hAnsi="Arial" w:hint="cs"/>
          <w:sz w:val="27"/>
          <w:rtl/>
        </w:rPr>
        <w:t>ّ</w:t>
      </w:r>
      <w:r w:rsidRPr="006571AC">
        <w:rPr>
          <w:rFonts w:ascii="Arial" w:hAnsi="Arial" w:hint="cs"/>
          <w:sz w:val="27"/>
          <w:rtl/>
        </w:rPr>
        <w:t>ب</w:t>
      </w:r>
      <w:r w:rsidRPr="006571AC">
        <w:rPr>
          <w:rFonts w:ascii="Arial" w:hAnsi="Arial" w:hint="eastAsia"/>
          <w:sz w:val="27"/>
          <w:rtl/>
        </w:rPr>
        <w:t>ة</w:t>
      </w:r>
      <w:r w:rsidRPr="006571AC">
        <w:rPr>
          <w:rFonts w:ascii="Arial" w:hAnsi="Arial" w:hint="cs"/>
          <w:sz w:val="27"/>
          <w:rtl/>
        </w:rPr>
        <w:t xml:space="preserve"> للمعارف والنظريات المحمولة في تلك العلوم</w:t>
      </w:r>
      <w:r w:rsidR="00656431" w:rsidRPr="006571AC">
        <w:rPr>
          <w:rFonts w:hint="cs"/>
          <w:sz w:val="27"/>
          <w:rtl/>
          <w:lang w:bidi="ar-MA"/>
        </w:rPr>
        <w:t xml:space="preserve">، </w:t>
      </w:r>
      <w:r w:rsidRPr="006571AC">
        <w:rPr>
          <w:rFonts w:hint="cs"/>
          <w:sz w:val="27"/>
          <w:rtl/>
          <w:lang w:bidi="ar-MA"/>
        </w:rPr>
        <w:t>وهو ما يعني أن تحديد المصطلحات والمفاهيم أمر</w:t>
      </w:r>
      <w:r w:rsidR="00656431" w:rsidRPr="006571AC">
        <w:rPr>
          <w:rFonts w:hint="cs"/>
          <w:sz w:val="27"/>
          <w:rtl/>
          <w:lang w:bidi="ar-MA"/>
        </w:rPr>
        <w:t>ٌ</w:t>
      </w:r>
      <w:r w:rsidRPr="006571AC">
        <w:rPr>
          <w:rFonts w:hint="cs"/>
          <w:sz w:val="27"/>
          <w:rtl/>
          <w:lang w:bidi="ar-MA"/>
        </w:rPr>
        <w:t xml:space="preserve"> ضروري</w:t>
      </w:r>
      <w:r w:rsidR="00656431" w:rsidRPr="006571AC">
        <w:rPr>
          <w:rFonts w:hint="cs"/>
          <w:sz w:val="27"/>
          <w:rtl/>
          <w:lang w:bidi="ar-MA"/>
        </w:rPr>
        <w:t>ّ</w:t>
      </w:r>
      <w:r w:rsidRPr="006571AC">
        <w:rPr>
          <w:rFonts w:hint="cs"/>
          <w:sz w:val="27"/>
          <w:rtl/>
          <w:lang w:bidi="ar-MA"/>
        </w:rPr>
        <w:t>، وضبطها واختيارها عملية م</w:t>
      </w:r>
      <w:r w:rsidR="00D87C5C" w:rsidRPr="006571AC">
        <w:rPr>
          <w:rFonts w:hint="cs"/>
          <w:sz w:val="27"/>
          <w:rtl/>
          <w:lang w:bidi="ar-MA"/>
        </w:rPr>
        <w:t>ُ</w:t>
      </w:r>
      <w:r w:rsidRPr="006571AC">
        <w:rPr>
          <w:rFonts w:hint="cs"/>
          <w:sz w:val="27"/>
          <w:rtl/>
          <w:lang w:bidi="ar-MA"/>
        </w:rPr>
        <w:t>ل</w:t>
      </w:r>
      <w:r w:rsidR="00D87C5C" w:rsidRPr="006571AC">
        <w:rPr>
          <w:rFonts w:hint="cs"/>
          <w:sz w:val="27"/>
          <w:rtl/>
          <w:lang w:bidi="ar-MA"/>
        </w:rPr>
        <w:t>ْ</w:t>
      </w:r>
      <w:r w:rsidRPr="006571AC">
        <w:rPr>
          <w:rFonts w:hint="cs"/>
          <w:sz w:val="27"/>
          <w:rtl/>
          <w:lang w:bidi="ar-MA"/>
        </w:rPr>
        <w:t>ز</w:t>
      </w:r>
      <w:r w:rsidR="00D87C5C" w:rsidRPr="006571AC">
        <w:rPr>
          <w:rFonts w:hint="cs"/>
          <w:sz w:val="27"/>
          <w:rtl/>
          <w:lang w:bidi="ar-MA"/>
        </w:rPr>
        <w:t>ِ</w:t>
      </w:r>
      <w:r w:rsidRPr="006571AC">
        <w:rPr>
          <w:rFonts w:hint="cs"/>
          <w:sz w:val="27"/>
          <w:rtl/>
          <w:lang w:bidi="ar-MA"/>
        </w:rPr>
        <w:t>مة</w:t>
      </w:r>
      <w:r w:rsidR="00656431" w:rsidRPr="006571AC">
        <w:rPr>
          <w:rFonts w:hint="cs"/>
          <w:sz w:val="27"/>
          <w:rtl/>
          <w:lang w:bidi="ar-MA"/>
        </w:rPr>
        <w:t>؛</w:t>
      </w:r>
      <w:r w:rsidRPr="006571AC">
        <w:rPr>
          <w:rFonts w:hint="cs"/>
          <w:sz w:val="27"/>
          <w:rtl/>
          <w:lang w:bidi="ar-MA"/>
        </w:rPr>
        <w:t xml:space="preserve"> ل</w:t>
      </w:r>
      <w:r w:rsidR="00656431" w:rsidRPr="006571AC">
        <w:rPr>
          <w:rFonts w:hint="cs"/>
          <w:sz w:val="27"/>
          <w:rtl/>
          <w:lang w:bidi="ar-MA"/>
        </w:rPr>
        <w:t>أ</w:t>
      </w:r>
      <w:r w:rsidRPr="006571AC">
        <w:rPr>
          <w:rFonts w:hint="cs"/>
          <w:sz w:val="27"/>
          <w:rtl/>
          <w:lang w:bidi="ar-MA"/>
        </w:rPr>
        <w:t>ن الخ</w:t>
      </w:r>
      <w:r w:rsidR="00656431" w:rsidRPr="006571AC">
        <w:rPr>
          <w:rFonts w:hint="cs"/>
          <w:sz w:val="27"/>
          <w:rtl/>
          <w:lang w:bidi="ar-MA"/>
        </w:rPr>
        <w:t>َ</w:t>
      </w:r>
      <w:r w:rsidRPr="006571AC">
        <w:rPr>
          <w:rFonts w:hint="cs"/>
          <w:sz w:val="27"/>
          <w:rtl/>
          <w:lang w:bidi="ar-MA"/>
        </w:rPr>
        <w:t>ل</w:t>
      </w:r>
      <w:r w:rsidR="00656431" w:rsidRPr="006571AC">
        <w:rPr>
          <w:rFonts w:hint="cs"/>
          <w:sz w:val="27"/>
          <w:rtl/>
          <w:lang w:bidi="ar-MA"/>
        </w:rPr>
        <w:t>َ</w:t>
      </w:r>
      <w:r w:rsidRPr="006571AC">
        <w:rPr>
          <w:rFonts w:hint="cs"/>
          <w:sz w:val="27"/>
          <w:rtl/>
          <w:lang w:bidi="ar-MA"/>
        </w:rPr>
        <w:t>ل الذي عادة</w:t>
      </w:r>
      <w:r w:rsidR="00656431" w:rsidRPr="006571AC">
        <w:rPr>
          <w:rFonts w:hint="cs"/>
          <w:sz w:val="27"/>
          <w:rtl/>
          <w:lang w:bidi="ar-MA"/>
        </w:rPr>
        <w:t>ً</w:t>
      </w:r>
      <w:r w:rsidRPr="006571AC">
        <w:rPr>
          <w:rFonts w:hint="cs"/>
          <w:sz w:val="27"/>
          <w:rtl/>
          <w:lang w:bidi="ar-MA"/>
        </w:rPr>
        <w:t xml:space="preserve"> ما يقع في البحوث العلمية يعود إلى عدم انضباط اللغة المصطلحية والمفاهيمية، وغياب التحق</w:t>
      </w:r>
      <w:r w:rsidR="00656431" w:rsidRPr="006571AC">
        <w:rPr>
          <w:rFonts w:hint="cs"/>
          <w:sz w:val="27"/>
          <w:rtl/>
          <w:lang w:bidi="ar-MA"/>
        </w:rPr>
        <w:t>ُّ</w:t>
      </w:r>
      <w:r w:rsidRPr="006571AC">
        <w:rPr>
          <w:rFonts w:hint="cs"/>
          <w:sz w:val="27"/>
          <w:rtl/>
          <w:lang w:bidi="ar-MA"/>
        </w:rPr>
        <w:t xml:space="preserve">ق العلمي من المفاهيم، </w:t>
      </w:r>
      <w:r w:rsidR="00656431" w:rsidRPr="006571AC">
        <w:rPr>
          <w:rFonts w:hint="cs"/>
          <w:sz w:val="27"/>
          <w:rtl/>
          <w:lang w:bidi="ar-MA"/>
        </w:rPr>
        <w:t>و</w:t>
      </w:r>
      <w:r w:rsidR="00731867" w:rsidRPr="006571AC">
        <w:rPr>
          <w:rFonts w:hint="cs"/>
          <w:sz w:val="27"/>
          <w:rtl/>
          <w:lang w:bidi="ar-MA"/>
        </w:rPr>
        <w:t>لا سيَّما</w:t>
      </w:r>
      <w:r w:rsidRPr="006571AC">
        <w:rPr>
          <w:rFonts w:hint="cs"/>
          <w:sz w:val="27"/>
          <w:rtl/>
          <w:lang w:bidi="ar-MA"/>
        </w:rPr>
        <w:t xml:space="preserve"> ما كان من المفاهيم الشائعة في التداول والذائعة في الاستعمال</w:t>
      </w:r>
      <w:r w:rsidRPr="006571AC">
        <w:rPr>
          <w:sz w:val="27"/>
          <w:rtl/>
          <w:lang w:bidi="ar-MA"/>
        </w:rPr>
        <w:t xml:space="preserve">. </w:t>
      </w:r>
    </w:p>
    <w:p w:rsidR="00872093" w:rsidRPr="006571AC" w:rsidRDefault="0043677F" w:rsidP="00872093">
      <w:pPr>
        <w:rPr>
          <w:sz w:val="27"/>
          <w:rtl/>
          <w:lang w:bidi="ar-MA"/>
        </w:rPr>
      </w:pPr>
      <w:r w:rsidRPr="006571AC">
        <w:rPr>
          <w:rFonts w:hint="cs"/>
          <w:sz w:val="27"/>
          <w:rtl/>
          <w:lang w:bidi="ar-MA"/>
        </w:rPr>
        <w:t>وقديما</w:t>
      </w:r>
      <w:r w:rsidR="00656431" w:rsidRPr="006571AC">
        <w:rPr>
          <w:rFonts w:hint="cs"/>
          <w:sz w:val="27"/>
          <w:rtl/>
          <w:lang w:bidi="ar-MA"/>
        </w:rPr>
        <w:t>ً</w:t>
      </w:r>
      <w:r w:rsidRPr="006571AC">
        <w:rPr>
          <w:rFonts w:hint="cs"/>
          <w:sz w:val="27"/>
          <w:rtl/>
          <w:lang w:bidi="ar-MA"/>
        </w:rPr>
        <w:t xml:space="preserve"> قال ابن حزم</w:t>
      </w:r>
      <w:r w:rsidR="00656431" w:rsidRPr="006571AC">
        <w:rPr>
          <w:rFonts w:hint="cs"/>
          <w:sz w:val="27"/>
          <w:rtl/>
          <w:lang w:bidi="ar-MA"/>
        </w:rPr>
        <w:t>:</w:t>
      </w:r>
      <w:r w:rsidRPr="006571AC">
        <w:rPr>
          <w:rFonts w:hint="cs"/>
          <w:sz w:val="27"/>
          <w:rtl/>
          <w:lang w:bidi="ar-MA"/>
        </w:rPr>
        <w:t xml:space="preserve"> إن </w:t>
      </w:r>
      <w:r w:rsidR="00656431" w:rsidRPr="006571AC">
        <w:rPr>
          <w:rFonts w:hint="cs"/>
          <w:sz w:val="27"/>
          <w:rtl/>
          <w:lang w:bidi="ar-MA"/>
        </w:rPr>
        <w:t>أ</w:t>
      </w:r>
      <w:r w:rsidRPr="006571AC">
        <w:rPr>
          <w:rFonts w:hint="cs"/>
          <w:sz w:val="27"/>
          <w:rtl/>
          <w:lang w:bidi="ar-MA"/>
        </w:rPr>
        <w:t>كبر ما يعترض العلوم هو أن تقع الأسماء على غير مسم</w:t>
      </w:r>
      <w:r w:rsidR="00656431" w:rsidRPr="006571AC">
        <w:rPr>
          <w:rFonts w:hint="cs"/>
          <w:sz w:val="27"/>
          <w:rtl/>
          <w:lang w:bidi="ar-MA"/>
        </w:rPr>
        <w:t>َّ</w:t>
      </w:r>
      <w:r w:rsidRPr="006571AC">
        <w:rPr>
          <w:rFonts w:hint="cs"/>
          <w:sz w:val="27"/>
          <w:rtl/>
          <w:lang w:bidi="ar-MA"/>
        </w:rPr>
        <w:t>ياتها</w:t>
      </w:r>
      <w:r w:rsidRPr="006571AC">
        <w:rPr>
          <w:sz w:val="27"/>
          <w:vertAlign w:val="superscript"/>
          <w:rtl/>
          <w:lang w:bidi="ar-MA"/>
        </w:rPr>
        <w:t xml:space="preserve"> (</w:t>
      </w:r>
      <w:r w:rsidRPr="006571AC">
        <w:rPr>
          <w:rStyle w:val="ac"/>
          <w:sz w:val="27"/>
          <w:rtl/>
          <w:lang w:bidi="ar-MA"/>
        </w:rPr>
        <w:endnoteReference w:id="729"/>
      </w:r>
      <w:r w:rsidRPr="006571AC">
        <w:rPr>
          <w:sz w:val="27"/>
          <w:vertAlign w:val="superscript"/>
          <w:rtl/>
          <w:lang w:bidi="ar-MA"/>
        </w:rPr>
        <w:t>)</w:t>
      </w:r>
      <w:r w:rsidR="00872093" w:rsidRPr="006571AC">
        <w:rPr>
          <w:rFonts w:hint="cs"/>
          <w:sz w:val="27"/>
          <w:rtl/>
          <w:lang w:bidi="ar-MA"/>
        </w:rPr>
        <w:t>.</w:t>
      </w:r>
    </w:p>
    <w:p w:rsidR="0043677F" w:rsidRPr="006571AC" w:rsidRDefault="0043677F" w:rsidP="00872093">
      <w:pPr>
        <w:rPr>
          <w:sz w:val="27"/>
          <w:rtl/>
          <w:lang w:bidi="ar-MA"/>
        </w:rPr>
      </w:pPr>
      <w:r w:rsidRPr="006571AC">
        <w:rPr>
          <w:rFonts w:hint="cs"/>
          <w:sz w:val="27"/>
          <w:rtl/>
          <w:lang w:bidi="ar-MA"/>
        </w:rPr>
        <w:lastRenderedPageBreak/>
        <w:t>والبحث هذا هو تساؤل</w:t>
      </w:r>
      <w:r w:rsidR="00656431" w:rsidRPr="006571AC">
        <w:rPr>
          <w:rFonts w:hint="cs"/>
          <w:sz w:val="27"/>
          <w:rtl/>
          <w:lang w:bidi="ar-MA"/>
        </w:rPr>
        <w:t>ٌ</w:t>
      </w:r>
      <w:r w:rsidRPr="006571AC">
        <w:rPr>
          <w:rFonts w:hint="cs"/>
          <w:sz w:val="27"/>
          <w:rtl/>
          <w:lang w:bidi="ar-MA"/>
        </w:rPr>
        <w:t xml:space="preserve"> عن مدى حضور العلوم الإنسانية في التراث الإسلامي</w:t>
      </w:r>
      <w:r w:rsidR="00656431" w:rsidRPr="006571AC">
        <w:rPr>
          <w:rFonts w:hint="cs"/>
          <w:sz w:val="27"/>
          <w:rtl/>
          <w:lang w:bidi="ar-MA"/>
        </w:rPr>
        <w:t>،</w:t>
      </w:r>
      <w:r w:rsidRPr="006571AC">
        <w:rPr>
          <w:rFonts w:hint="cs"/>
          <w:sz w:val="27"/>
          <w:rtl/>
          <w:lang w:bidi="ar-MA"/>
        </w:rPr>
        <w:t xml:space="preserve"> ممارسة</w:t>
      </w:r>
      <w:r w:rsidR="00656431" w:rsidRPr="006571AC">
        <w:rPr>
          <w:rFonts w:hint="cs"/>
          <w:sz w:val="27"/>
          <w:rtl/>
          <w:lang w:bidi="ar-MA"/>
        </w:rPr>
        <w:t>ً</w:t>
      </w:r>
      <w:r w:rsidRPr="006571AC">
        <w:rPr>
          <w:rFonts w:hint="cs"/>
          <w:sz w:val="27"/>
          <w:rtl/>
          <w:lang w:bidi="ar-MA"/>
        </w:rPr>
        <w:t xml:space="preserve"> وكتابة</w:t>
      </w:r>
      <w:r w:rsidR="00656431" w:rsidRPr="006571AC">
        <w:rPr>
          <w:rFonts w:hint="cs"/>
          <w:sz w:val="27"/>
          <w:rtl/>
          <w:lang w:bidi="ar-MA"/>
        </w:rPr>
        <w:t>ً</w:t>
      </w:r>
      <w:r w:rsidRPr="006571AC">
        <w:rPr>
          <w:rFonts w:hint="cs"/>
          <w:sz w:val="27"/>
          <w:rtl/>
          <w:lang w:bidi="ar-MA"/>
        </w:rPr>
        <w:t xml:space="preserve"> وتنظيرا</w:t>
      </w:r>
      <w:r w:rsidR="00656431" w:rsidRPr="006571AC">
        <w:rPr>
          <w:rFonts w:hint="cs"/>
          <w:sz w:val="27"/>
          <w:rtl/>
          <w:lang w:bidi="ar-MA"/>
        </w:rPr>
        <w:t>ً</w:t>
      </w:r>
      <w:r w:rsidRPr="006571AC">
        <w:rPr>
          <w:rFonts w:hint="cs"/>
          <w:sz w:val="27"/>
          <w:rtl/>
          <w:lang w:bidi="ar-MA"/>
        </w:rPr>
        <w:t xml:space="preserve">، </w:t>
      </w:r>
      <w:r w:rsidRPr="006571AC">
        <w:rPr>
          <w:rFonts w:ascii="Simplified Arabic" w:hAnsi="Simplified Arabic" w:hint="cs"/>
          <w:sz w:val="27"/>
          <w:rtl/>
          <w:lang w:bidi="ar-SY"/>
        </w:rPr>
        <w:t>مع العلم أن العلوم</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بغض</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النظر عن نوعها وجنسها</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عادة</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ما تتطو</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ر ت</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ب</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عا</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للمسار والسياق التاريخي الذي تقطعه </w:t>
      </w:r>
      <w:r w:rsidR="00656431" w:rsidRPr="006571AC">
        <w:rPr>
          <w:rFonts w:ascii="Simplified Arabic" w:hAnsi="Simplified Arabic" w:hint="cs"/>
          <w:sz w:val="27"/>
          <w:rtl/>
          <w:lang w:bidi="ar-SY"/>
        </w:rPr>
        <w:t>أ</w:t>
      </w:r>
      <w:r w:rsidRPr="006571AC">
        <w:rPr>
          <w:rFonts w:ascii="Simplified Arabic" w:hAnsi="Simplified Arabic" w:hint="cs"/>
          <w:sz w:val="27"/>
          <w:rtl/>
          <w:lang w:bidi="ar-SY"/>
        </w:rPr>
        <w:t>غلب العلوم</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بجميع أقسامها وأنواعها ومساراتها</w:t>
      </w:r>
      <w:r w:rsidR="00656431" w:rsidRPr="006571AC">
        <w:rPr>
          <w:rFonts w:ascii="Simplified Arabic" w:hAnsi="Simplified Arabic" w:hint="cs"/>
          <w:sz w:val="27"/>
          <w:rtl/>
          <w:lang w:bidi="ar-SY"/>
        </w:rPr>
        <w:t xml:space="preserve">. </w:t>
      </w:r>
      <w:r w:rsidRPr="006571AC">
        <w:rPr>
          <w:rFonts w:ascii="Simplified Arabic" w:hAnsi="Simplified Arabic" w:hint="cs"/>
          <w:sz w:val="27"/>
          <w:rtl/>
          <w:lang w:bidi="ar-SY"/>
        </w:rPr>
        <w:t>والعلوم الإنسانية لا تخرج عن هذه القاعدة المعرفية والقناعة ال</w:t>
      </w:r>
      <w:r w:rsidR="00656431" w:rsidRPr="006571AC">
        <w:rPr>
          <w:rFonts w:ascii="Simplified Arabic" w:hAnsi="Simplified Arabic" w:hint="cs"/>
          <w:sz w:val="27"/>
          <w:rtl/>
          <w:lang w:bidi="ar-SY"/>
        </w:rPr>
        <w:t>إ</w:t>
      </w:r>
      <w:r w:rsidRPr="006571AC">
        <w:rPr>
          <w:rFonts w:ascii="Simplified Arabic" w:hAnsi="Simplified Arabic" w:hint="cs"/>
          <w:sz w:val="27"/>
          <w:rtl/>
          <w:lang w:bidi="ar-SY"/>
        </w:rPr>
        <w:t xml:space="preserve">بستمولوجية العامة، التي تقطعها </w:t>
      </w:r>
      <w:r w:rsidR="00656431" w:rsidRPr="006571AC">
        <w:rPr>
          <w:rFonts w:ascii="Simplified Arabic" w:hAnsi="Simplified Arabic" w:hint="cs"/>
          <w:sz w:val="27"/>
          <w:rtl/>
          <w:lang w:bidi="ar-SY"/>
        </w:rPr>
        <w:t>أ</w:t>
      </w:r>
      <w:r w:rsidRPr="006571AC">
        <w:rPr>
          <w:rFonts w:ascii="Simplified Arabic" w:hAnsi="Simplified Arabic" w:hint="cs"/>
          <w:sz w:val="27"/>
          <w:rtl/>
          <w:lang w:bidi="ar-SY"/>
        </w:rPr>
        <w:t>غلب العلوم في تطو</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رها أو في انتقالها وتفاعلها مع باقي ومختلف العلوم الأخرى</w:t>
      </w:r>
      <w:r w:rsidR="00656431" w:rsidRPr="006571AC">
        <w:rPr>
          <w:rFonts w:ascii="Simplified Arabic" w:hAnsi="Simplified Arabic" w:hint="cs"/>
          <w:sz w:val="27"/>
          <w:rtl/>
          <w:lang w:bidi="ar-SY"/>
        </w:rPr>
        <w:t>؛ إذ إ</w:t>
      </w:r>
      <w:r w:rsidRPr="006571AC">
        <w:rPr>
          <w:rFonts w:ascii="Simplified Arabic" w:hAnsi="Simplified Arabic" w:hint="cs"/>
          <w:sz w:val="27"/>
          <w:rtl/>
          <w:lang w:bidi="ar-SY"/>
        </w:rPr>
        <w:t>ن أي</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علم</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العلوم يمر</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بعدد</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المراحل</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ويقطع مجموعة</w:t>
      </w:r>
      <w:r w:rsidR="00872093"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الأشواط</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إلى أن يستقل</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بموضوعه الخاص</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به، ويتمي</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ز بمناهجه</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وينفرد بلغته المفاهيمية. </w:t>
      </w:r>
    </w:p>
    <w:p w:rsidR="0043677F" w:rsidRPr="006571AC" w:rsidRDefault="0043677F" w:rsidP="0063361B">
      <w:pPr>
        <w:shd w:val="clear" w:color="auto" w:fill="FFFFFF"/>
        <w:spacing w:line="420" w:lineRule="exact"/>
        <w:rPr>
          <w:rFonts w:ascii="Simplified Arabic" w:hAnsi="Simplified Arabic"/>
          <w:sz w:val="27"/>
          <w:rtl/>
          <w:lang w:bidi="ar-SY"/>
        </w:rPr>
      </w:pPr>
    </w:p>
    <w:p w:rsidR="0043677F" w:rsidRPr="006571AC" w:rsidRDefault="00543879" w:rsidP="00543879">
      <w:pPr>
        <w:pStyle w:val="31"/>
        <w:rPr>
          <w:color w:val="auto"/>
          <w:rtl/>
          <w:lang w:bidi="ar-AE"/>
        </w:rPr>
      </w:pPr>
      <w:bookmarkStart w:id="439" w:name="_Toc114164847"/>
      <w:r w:rsidRPr="006571AC">
        <w:rPr>
          <w:rFonts w:hint="cs"/>
          <w:color w:val="auto"/>
          <w:rtl/>
          <w:lang w:bidi="ar-AE"/>
        </w:rPr>
        <w:t>الدلالة الحقيقيّة ل</w:t>
      </w:r>
      <w:r w:rsidR="0043677F" w:rsidRPr="006571AC">
        <w:rPr>
          <w:rFonts w:hint="cs"/>
          <w:color w:val="auto"/>
          <w:rtl/>
          <w:lang w:bidi="ar-AE"/>
        </w:rPr>
        <w:t>لعلوم الإنساني</w:t>
      </w:r>
      <w:r w:rsidR="00D12571" w:rsidRPr="006571AC">
        <w:rPr>
          <w:rFonts w:hint="cs"/>
          <w:color w:val="auto"/>
          <w:rtl/>
          <w:lang w:bidi="ar-AE"/>
        </w:rPr>
        <w:t>ّ</w:t>
      </w:r>
      <w:r w:rsidR="0043677F" w:rsidRPr="006571AC">
        <w:rPr>
          <w:rFonts w:hint="cs"/>
          <w:color w:val="auto"/>
          <w:rtl/>
          <w:lang w:bidi="ar-AE"/>
        </w:rPr>
        <w:t>ة</w:t>
      </w:r>
      <w:bookmarkEnd w:id="439"/>
      <w:r w:rsidR="0043677F" w:rsidRPr="006571AC">
        <w:rPr>
          <w:rFonts w:hint="cs"/>
          <w:color w:val="auto"/>
          <w:rtl/>
          <w:lang w:bidi="ar-AE"/>
        </w:rPr>
        <w:t xml:space="preserve"> </w:t>
      </w:r>
    </w:p>
    <w:p w:rsidR="0043677F" w:rsidRPr="006571AC" w:rsidRDefault="0043677F" w:rsidP="004F6064">
      <w:pPr>
        <w:tabs>
          <w:tab w:val="left" w:pos="2667"/>
          <w:tab w:val="right" w:pos="5329"/>
        </w:tabs>
        <w:rPr>
          <w:rFonts w:ascii="Simplified Arabic" w:hAnsi="Simplified Arabic"/>
          <w:sz w:val="27"/>
          <w:rtl/>
          <w:lang w:bidi="ar-SY"/>
        </w:rPr>
      </w:pPr>
      <w:r w:rsidRPr="006571AC">
        <w:rPr>
          <w:rFonts w:ascii="Arial" w:hAnsi="Arial" w:hint="cs"/>
          <w:sz w:val="27"/>
          <w:rtl/>
        </w:rPr>
        <w:t>من عادة الباحثين والمشتغلين بالدراسات الإنسانية أن يتم</w:t>
      </w:r>
      <w:r w:rsidR="00656431" w:rsidRPr="006571AC">
        <w:rPr>
          <w:rFonts w:ascii="Arial" w:hAnsi="Arial" w:hint="cs"/>
          <w:sz w:val="27"/>
          <w:rtl/>
        </w:rPr>
        <w:t>ّ</w:t>
      </w:r>
      <w:r w:rsidRPr="006571AC">
        <w:rPr>
          <w:rFonts w:ascii="Arial" w:hAnsi="Arial" w:hint="cs"/>
          <w:sz w:val="27"/>
          <w:rtl/>
        </w:rPr>
        <w:t xml:space="preserve"> تحديد العلوم الإنسانية بأنها تلك العلوم التي تقارب الإنسان في </w:t>
      </w:r>
      <w:r w:rsidR="00AB337C" w:rsidRPr="006571AC">
        <w:rPr>
          <w:rFonts w:ascii="Arial" w:hAnsi="Arial" w:hint="cs"/>
          <w:sz w:val="27"/>
          <w:rtl/>
        </w:rPr>
        <w:t>أ</w:t>
      </w:r>
      <w:r w:rsidRPr="006571AC">
        <w:rPr>
          <w:rFonts w:ascii="Arial" w:hAnsi="Arial" w:hint="cs"/>
          <w:sz w:val="27"/>
          <w:rtl/>
        </w:rPr>
        <w:t>حد أبعاده الأساسية المشك</w:t>
      </w:r>
      <w:r w:rsidR="00AB337C" w:rsidRPr="006571AC">
        <w:rPr>
          <w:rFonts w:ascii="Arial" w:hAnsi="Arial" w:hint="cs"/>
          <w:sz w:val="27"/>
          <w:rtl/>
        </w:rPr>
        <w:t>ِّ</w:t>
      </w:r>
      <w:r w:rsidRPr="006571AC">
        <w:rPr>
          <w:rFonts w:ascii="Arial" w:hAnsi="Arial" w:hint="cs"/>
          <w:sz w:val="27"/>
          <w:rtl/>
        </w:rPr>
        <w:t>لة لشخصي</w:t>
      </w:r>
      <w:r w:rsidR="00AB337C" w:rsidRPr="006571AC">
        <w:rPr>
          <w:rFonts w:ascii="Arial" w:hAnsi="Arial" w:hint="cs"/>
          <w:sz w:val="27"/>
          <w:rtl/>
        </w:rPr>
        <w:t>ّ</w:t>
      </w:r>
      <w:r w:rsidRPr="006571AC">
        <w:rPr>
          <w:rFonts w:ascii="Arial" w:hAnsi="Arial" w:hint="cs"/>
          <w:sz w:val="27"/>
          <w:rtl/>
        </w:rPr>
        <w:t>ته، هادفة</w:t>
      </w:r>
      <w:r w:rsidR="00AB337C" w:rsidRPr="006571AC">
        <w:rPr>
          <w:rFonts w:ascii="Arial" w:hAnsi="Arial" w:hint="cs"/>
          <w:sz w:val="27"/>
          <w:rtl/>
        </w:rPr>
        <w:t>ً</w:t>
      </w:r>
      <w:r w:rsidRPr="006571AC">
        <w:rPr>
          <w:rFonts w:ascii="Arial" w:hAnsi="Arial" w:hint="cs"/>
          <w:sz w:val="27"/>
          <w:rtl/>
        </w:rPr>
        <w:t xml:space="preserve"> من هذا الاشتغال والمدارسة الارتقاء بالإنسان نحو الأفضل</w:t>
      </w:r>
      <w:r w:rsidR="00AB337C"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 xml:space="preserve">ولقد جاء </w:t>
      </w:r>
      <w:r w:rsidRPr="006571AC">
        <w:rPr>
          <w:rFonts w:ascii="Arial" w:hAnsi="Arial"/>
          <w:sz w:val="27"/>
          <w:rtl/>
        </w:rPr>
        <w:t>الاشتغال بهذ</w:t>
      </w:r>
      <w:r w:rsidRPr="006571AC">
        <w:rPr>
          <w:rFonts w:ascii="Arial" w:hAnsi="Arial" w:hint="cs"/>
          <w:sz w:val="27"/>
          <w:rtl/>
        </w:rPr>
        <w:t>ه</w:t>
      </w:r>
      <w:r w:rsidRPr="006571AC">
        <w:rPr>
          <w:rFonts w:ascii="Arial" w:hAnsi="Arial"/>
          <w:sz w:val="27"/>
          <w:rtl/>
        </w:rPr>
        <w:t xml:space="preserve"> العل</w:t>
      </w:r>
      <w:r w:rsidRPr="006571AC">
        <w:rPr>
          <w:rFonts w:ascii="Arial" w:hAnsi="Arial" w:hint="cs"/>
          <w:sz w:val="27"/>
          <w:rtl/>
        </w:rPr>
        <w:t>و</w:t>
      </w:r>
      <w:r w:rsidRPr="006571AC">
        <w:rPr>
          <w:rFonts w:ascii="Arial" w:hAnsi="Arial"/>
          <w:sz w:val="27"/>
          <w:rtl/>
        </w:rPr>
        <w:t>م في الغرب في سياق الو</w:t>
      </w:r>
      <w:r w:rsidR="00AB337C" w:rsidRPr="006571AC">
        <w:rPr>
          <w:rFonts w:ascii="Arial" w:hAnsi="Arial" w:hint="cs"/>
          <w:sz w:val="27"/>
          <w:rtl/>
        </w:rPr>
        <w:t>َ</w:t>
      </w:r>
      <w:r w:rsidRPr="006571AC">
        <w:rPr>
          <w:rFonts w:ascii="Arial" w:hAnsi="Arial"/>
          <w:sz w:val="27"/>
          <w:rtl/>
        </w:rPr>
        <w:t>ع</w:t>
      </w:r>
      <w:r w:rsidR="00AB337C" w:rsidRPr="006571AC">
        <w:rPr>
          <w:rFonts w:ascii="Arial" w:hAnsi="Arial" w:hint="cs"/>
          <w:sz w:val="27"/>
          <w:rtl/>
        </w:rPr>
        <w:t>ْ</w:t>
      </w:r>
      <w:r w:rsidRPr="006571AC">
        <w:rPr>
          <w:rFonts w:ascii="Arial" w:hAnsi="Arial"/>
          <w:sz w:val="27"/>
          <w:rtl/>
        </w:rPr>
        <w:t>ي</w:t>
      </w:r>
      <w:r w:rsidRPr="006571AC">
        <w:rPr>
          <w:rFonts w:ascii="Arial" w:hAnsi="Arial" w:hint="cs"/>
          <w:sz w:val="27"/>
          <w:rtl/>
        </w:rPr>
        <w:t xml:space="preserve"> </w:t>
      </w:r>
      <w:r w:rsidRPr="006571AC">
        <w:rPr>
          <w:rFonts w:ascii="Arial" w:hAnsi="Arial"/>
          <w:sz w:val="27"/>
          <w:rtl/>
        </w:rPr>
        <w:t>الذي أخذ يتنامى ويت</w:t>
      </w:r>
      <w:r w:rsidR="00AB337C" w:rsidRPr="006571AC">
        <w:rPr>
          <w:rFonts w:ascii="Arial" w:hAnsi="Arial" w:hint="cs"/>
          <w:sz w:val="27"/>
          <w:rtl/>
        </w:rPr>
        <w:t>َّ</w:t>
      </w:r>
      <w:r w:rsidRPr="006571AC">
        <w:rPr>
          <w:rFonts w:ascii="Arial" w:hAnsi="Arial"/>
          <w:sz w:val="27"/>
          <w:rtl/>
        </w:rPr>
        <w:t xml:space="preserve">سع </w:t>
      </w:r>
      <w:r w:rsidRPr="006571AC">
        <w:rPr>
          <w:rFonts w:ascii="Arial" w:hAnsi="Arial" w:hint="cs"/>
          <w:sz w:val="27"/>
          <w:rtl/>
        </w:rPr>
        <w:t xml:space="preserve">حول قيمة العلوم التي تشتغل على الإنسان في </w:t>
      </w:r>
      <w:r w:rsidR="00AB337C" w:rsidRPr="006571AC">
        <w:rPr>
          <w:rFonts w:ascii="Arial" w:hAnsi="Arial" w:hint="cs"/>
          <w:sz w:val="27"/>
          <w:rtl/>
        </w:rPr>
        <w:t>أ</w:t>
      </w:r>
      <w:r w:rsidRPr="006571AC">
        <w:rPr>
          <w:rFonts w:ascii="Arial" w:hAnsi="Arial" w:hint="cs"/>
          <w:sz w:val="27"/>
          <w:rtl/>
        </w:rPr>
        <w:t>حد جهاته وأبعاده البارزة المشك</w:t>
      </w:r>
      <w:r w:rsidR="00AB337C" w:rsidRPr="006571AC">
        <w:rPr>
          <w:rFonts w:ascii="Arial" w:hAnsi="Arial" w:hint="cs"/>
          <w:sz w:val="27"/>
          <w:rtl/>
        </w:rPr>
        <w:t>ِّ</w:t>
      </w:r>
      <w:r w:rsidRPr="006571AC">
        <w:rPr>
          <w:rFonts w:ascii="Arial" w:hAnsi="Arial" w:hint="cs"/>
          <w:sz w:val="27"/>
          <w:rtl/>
        </w:rPr>
        <w:t xml:space="preserve">لة لشخصيته، </w:t>
      </w:r>
      <w:r w:rsidR="00AB337C" w:rsidRPr="006571AC">
        <w:rPr>
          <w:rFonts w:ascii="Arial" w:hAnsi="Arial" w:hint="cs"/>
          <w:sz w:val="27"/>
          <w:rtl/>
        </w:rPr>
        <w:t>و</w:t>
      </w:r>
      <w:r w:rsidR="00731867" w:rsidRPr="006571AC">
        <w:rPr>
          <w:rFonts w:ascii="Arial" w:hAnsi="Arial" w:hint="cs"/>
          <w:sz w:val="27"/>
          <w:rtl/>
        </w:rPr>
        <w:t>لا سيَّما</w:t>
      </w:r>
      <w:r w:rsidRPr="006571AC">
        <w:rPr>
          <w:rFonts w:ascii="Arial" w:hAnsi="Arial" w:hint="cs"/>
          <w:sz w:val="27"/>
          <w:rtl/>
        </w:rPr>
        <w:t xml:space="preserve"> ما كان منتميا</w:t>
      </w:r>
      <w:r w:rsidR="00AB337C" w:rsidRPr="006571AC">
        <w:rPr>
          <w:rFonts w:ascii="Arial" w:hAnsi="Arial" w:hint="cs"/>
          <w:sz w:val="27"/>
          <w:rtl/>
        </w:rPr>
        <w:t>ً</w:t>
      </w:r>
      <w:r w:rsidRPr="006571AC">
        <w:rPr>
          <w:rFonts w:ascii="Arial" w:hAnsi="Arial" w:hint="cs"/>
          <w:sz w:val="27"/>
          <w:rtl/>
        </w:rPr>
        <w:t xml:space="preserve"> إلى الجهة </w:t>
      </w:r>
      <w:r w:rsidRPr="006571AC">
        <w:rPr>
          <w:rFonts w:ascii="Arial" w:hAnsi="Arial"/>
          <w:sz w:val="27"/>
          <w:rtl/>
        </w:rPr>
        <w:t xml:space="preserve">النفسية </w:t>
      </w:r>
      <w:r w:rsidRPr="006571AC">
        <w:rPr>
          <w:rFonts w:ascii="Arial" w:hAnsi="Arial" w:hint="cs"/>
          <w:sz w:val="27"/>
          <w:rtl/>
        </w:rPr>
        <w:t>أو التربوية أو الاجتماعية أو الق</w:t>
      </w:r>
      <w:r w:rsidR="00AB337C" w:rsidRPr="006571AC">
        <w:rPr>
          <w:rFonts w:ascii="Arial" w:hAnsi="Arial" w:hint="cs"/>
          <w:sz w:val="27"/>
          <w:rtl/>
        </w:rPr>
        <w:t>ِ</w:t>
      </w:r>
      <w:r w:rsidRPr="006571AC">
        <w:rPr>
          <w:rFonts w:ascii="Arial" w:hAnsi="Arial" w:hint="cs"/>
          <w:sz w:val="27"/>
          <w:rtl/>
        </w:rPr>
        <w:t>ي</w:t>
      </w:r>
      <w:r w:rsidR="00AB337C" w:rsidRPr="006571AC">
        <w:rPr>
          <w:rFonts w:ascii="Arial" w:hAnsi="Arial" w:hint="cs"/>
          <w:sz w:val="27"/>
          <w:rtl/>
        </w:rPr>
        <w:t>َ</w:t>
      </w:r>
      <w:r w:rsidRPr="006571AC">
        <w:rPr>
          <w:rFonts w:ascii="Arial" w:hAnsi="Arial" w:hint="cs"/>
          <w:sz w:val="27"/>
          <w:rtl/>
        </w:rPr>
        <w:t>مية، أو منتميا</w:t>
      </w:r>
      <w:r w:rsidR="00AB337C" w:rsidRPr="006571AC">
        <w:rPr>
          <w:rFonts w:ascii="Arial" w:hAnsi="Arial" w:hint="cs"/>
          <w:sz w:val="27"/>
          <w:rtl/>
        </w:rPr>
        <w:t>ً</w:t>
      </w:r>
      <w:r w:rsidRPr="006571AC">
        <w:rPr>
          <w:rFonts w:ascii="Arial" w:hAnsi="Arial" w:hint="cs"/>
          <w:sz w:val="27"/>
          <w:rtl/>
        </w:rPr>
        <w:t xml:space="preserve"> إلى المؤس</w:t>
      </w:r>
      <w:r w:rsidR="00AB337C" w:rsidRPr="006571AC">
        <w:rPr>
          <w:rFonts w:ascii="Arial" w:hAnsi="Arial" w:hint="cs"/>
          <w:sz w:val="27"/>
          <w:rtl/>
        </w:rPr>
        <w:t>َّ</w:t>
      </w:r>
      <w:r w:rsidRPr="006571AC">
        <w:rPr>
          <w:rFonts w:ascii="Arial" w:hAnsi="Arial" w:hint="cs"/>
          <w:sz w:val="27"/>
          <w:rtl/>
        </w:rPr>
        <w:t>سات والفضاءات المشك</w:t>
      </w:r>
      <w:r w:rsidR="00AB337C" w:rsidRPr="006571AC">
        <w:rPr>
          <w:rFonts w:ascii="Arial" w:hAnsi="Arial" w:hint="cs"/>
          <w:sz w:val="27"/>
          <w:rtl/>
        </w:rPr>
        <w:t>ِّ</w:t>
      </w:r>
      <w:r w:rsidRPr="006571AC">
        <w:rPr>
          <w:rFonts w:ascii="Arial" w:hAnsi="Arial" w:hint="cs"/>
          <w:sz w:val="27"/>
          <w:rtl/>
        </w:rPr>
        <w:t>لة للمجتمع ولمؤس</w:t>
      </w:r>
      <w:r w:rsidR="00AB337C" w:rsidRPr="006571AC">
        <w:rPr>
          <w:rFonts w:ascii="Arial" w:hAnsi="Arial" w:hint="cs"/>
          <w:sz w:val="27"/>
          <w:rtl/>
        </w:rPr>
        <w:t>َّ</w:t>
      </w:r>
      <w:r w:rsidRPr="006571AC">
        <w:rPr>
          <w:rFonts w:ascii="Arial" w:hAnsi="Arial" w:hint="cs"/>
          <w:sz w:val="27"/>
          <w:rtl/>
        </w:rPr>
        <w:t>ساته، والتي يتفاعل معها الإنسان بشكل</w:t>
      </w:r>
      <w:r w:rsidR="00AB337C" w:rsidRPr="006571AC">
        <w:rPr>
          <w:rFonts w:ascii="Arial" w:hAnsi="Arial" w:hint="cs"/>
          <w:sz w:val="27"/>
          <w:rtl/>
        </w:rPr>
        <w:t>ٍ</w:t>
      </w:r>
      <w:r w:rsidRPr="006571AC">
        <w:rPr>
          <w:rFonts w:ascii="Arial" w:hAnsi="Arial" w:hint="cs"/>
          <w:sz w:val="27"/>
          <w:rtl/>
        </w:rPr>
        <w:t xml:space="preserve"> دائم وبصفة</w:t>
      </w:r>
      <w:r w:rsidR="00AB337C" w:rsidRPr="006571AC">
        <w:rPr>
          <w:rFonts w:ascii="Arial" w:hAnsi="Arial" w:hint="cs"/>
          <w:sz w:val="27"/>
          <w:rtl/>
        </w:rPr>
        <w:t>ٍ</w:t>
      </w:r>
      <w:r w:rsidRPr="006571AC">
        <w:rPr>
          <w:rFonts w:ascii="Arial" w:hAnsi="Arial" w:hint="cs"/>
          <w:sz w:val="27"/>
          <w:rtl/>
        </w:rPr>
        <w:t xml:space="preserve"> مستمر</w:t>
      </w:r>
      <w:r w:rsidR="00AB337C" w:rsidRPr="006571AC">
        <w:rPr>
          <w:rFonts w:ascii="Arial" w:hAnsi="Arial" w:hint="cs"/>
          <w:sz w:val="27"/>
          <w:rtl/>
        </w:rPr>
        <w:t>ّ</w:t>
      </w:r>
      <w:r w:rsidRPr="006571AC">
        <w:rPr>
          <w:rFonts w:ascii="Arial" w:hAnsi="Arial" w:hint="cs"/>
          <w:sz w:val="27"/>
          <w:rtl/>
        </w:rPr>
        <w:t>ة، وهذه الخاص</w:t>
      </w:r>
      <w:r w:rsidR="00AB337C" w:rsidRPr="006571AC">
        <w:rPr>
          <w:rFonts w:ascii="Arial" w:hAnsi="Arial" w:hint="cs"/>
          <w:sz w:val="27"/>
          <w:rtl/>
        </w:rPr>
        <w:t>ِّ</w:t>
      </w:r>
      <w:r w:rsidRPr="006571AC">
        <w:rPr>
          <w:rFonts w:ascii="Arial" w:hAnsi="Arial" w:hint="cs"/>
          <w:sz w:val="27"/>
          <w:rtl/>
        </w:rPr>
        <w:t>ية من أهم</w:t>
      </w:r>
      <w:r w:rsidR="00AB337C" w:rsidRPr="006571AC">
        <w:rPr>
          <w:rFonts w:ascii="Arial" w:hAnsi="Arial" w:hint="cs"/>
          <w:sz w:val="27"/>
          <w:rtl/>
        </w:rPr>
        <w:t>ّ</w:t>
      </w:r>
      <w:r w:rsidRPr="006571AC">
        <w:rPr>
          <w:rFonts w:ascii="Arial" w:hAnsi="Arial" w:hint="cs"/>
          <w:sz w:val="27"/>
          <w:rtl/>
        </w:rPr>
        <w:t xml:space="preserve"> الأوصاف التي بها تتمي</w:t>
      </w:r>
      <w:r w:rsidR="00AB337C" w:rsidRPr="006571AC">
        <w:rPr>
          <w:rFonts w:ascii="Arial" w:hAnsi="Arial" w:hint="cs"/>
          <w:sz w:val="27"/>
          <w:rtl/>
        </w:rPr>
        <w:t>َّ</w:t>
      </w:r>
      <w:r w:rsidRPr="006571AC">
        <w:rPr>
          <w:rFonts w:ascii="Arial" w:hAnsi="Arial" w:hint="cs"/>
          <w:sz w:val="27"/>
          <w:rtl/>
        </w:rPr>
        <w:t>ز العلوم الإنسانية.</w:t>
      </w:r>
      <w:r w:rsidRPr="006571AC">
        <w:rPr>
          <w:rFonts w:ascii="Simplified Arabic" w:hAnsi="Simplified Arabic" w:hint="cs"/>
          <w:sz w:val="27"/>
          <w:rtl/>
          <w:lang w:bidi="ar-SY"/>
        </w:rPr>
        <w:t xml:space="preserve"> </w:t>
      </w:r>
    </w:p>
    <w:p w:rsidR="0043677F" w:rsidRPr="006571AC" w:rsidRDefault="0043677F" w:rsidP="004F6064">
      <w:pPr>
        <w:tabs>
          <w:tab w:val="left" w:pos="2667"/>
          <w:tab w:val="right" w:pos="5329"/>
        </w:tabs>
        <w:rPr>
          <w:rFonts w:ascii="Arial" w:hAnsi="Arial"/>
          <w:sz w:val="27"/>
          <w:rtl/>
        </w:rPr>
      </w:pPr>
      <w:r w:rsidRPr="006571AC">
        <w:rPr>
          <w:rFonts w:ascii="Simplified Arabic" w:hAnsi="Simplified Arabic" w:hint="cs"/>
          <w:sz w:val="27"/>
          <w:rtl/>
          <w:lang w:bidi="ar-SY"/>
        </w:rPr>
        <w:t>ولعل</w:t>
      </w:r>
      <w:r w:rsidR="00AB337C"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ما يمي</w:t>
      </w:r>
      <w:r w:rsidR="00AB337C" w:rsidRPr="006571AC">
        <w:rPr>
          <w:rFonts w:ascii="Simplified Arabic" w:hAnsi="Simplified Arabic" w:hint="cs"/>
          <w:sz w:val="27"/>
          <w:rtl/>
          <w:lang w:bidi="ar-SY"/>
        </w:rPr>
        <w:t>ِّ</w:t>
      </w:r>
      <w:r w:rsidRPr="006571AC">
        <w:rPr>
          <w:rFonts w:ascii="Simplified Arabic" w:hAnsi="Simplified Arabic" w:hint="cs"/>
          <w:sz w:val="27"/>
          <w:rtl/>
          <w:lang w:bidi="ar-SY"/>
        </w:rPr>
        <w:t>ز العلوم الإنسانية هو أنها تقارب الإنسان في حدوده الزمانية والمكانية التي يتو</w:t>
      </w:r>
      <w:r w:rsidR="00AB337C" w:rsidRPr="006571AC">
        <w:rPr>
          <w:rFonts w:ascii="Simplified Arabic" w:hAnsi="Simplified Arabic" w:hint="cs"/>
          <w:sz w:val="27"/>
          <w:rtl/>
          <w:lang w:bidi="ar-SY"/>
        </w:rPr>
        <w:t>ا</w:t>
      </w:r>
      <w:r w:rsidRPr="006571AC">
        <w:rPr>
          <w:rFonts w:ascii="Simplified Arabic" w:hAnsi="Simplified Arabic" w:hint="cs"/>
          <w:sz w:val="27"/>
          <w:rtl/>
          <w:lang w:bidi="ar-SY"/>
        </w:rPr>
        <w:t xml:space="preserve">جد ويتفاعل فيها، ولا تدرس الإنسان من حيث </w:t>
      </w:r>
      <w:r w:rsidR="00AB337C" w:rsidRPr="006571AC">
        <w:rPr>
          <w:rFonts w:ascii="Simplified Arabic" w:hAnsi="Simplified Arabic" w:hint="cs"/>
          <w:sz w:val="27"/>
          <w:rtl/>
          <w:lang w:bidi="ar-SY"/>
        </w:rPr>
        <w:t xml:space="preserve">هو </w:t>
      </w:r>
      <w:r w:rsidRPr="006571AC">
        <w:rPr>
          <w:rFonts w:ascii="Simplified Arabic" w:hAnsi="Simplified Arabic" w:hint="cs"/>
          <w:sz w:val="27"/>
          <w:rtl/>
          <w:lang w:bidi="ar-SY"/>
        </w:rPr>
        <w:t>ذات</w:t>
      </w:r>
      <w:r w:rsidR="00AB337C"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مطلقة ومستقل</w:t>
      </w:r>
      <w:r w:rsidR="00AB337C" w:rsidRPr="006571AC">
        <w:rPr>
          <w:rFonts w:ascii="Simplified Arabic" w:hAnsi="Simplified Arabic" w:hint="cs"/>
          <w:sz w:val="27"/>
          <w:rtl/>
          <w:lang w:bidi="ar-SY"/>
        </w:rPr>
        <w:t>ّة</w:t>
      </w:r>
      <w:r w:rsidRPr="006571AC">
        <w:rPr>
          <w:rFonts w:ascii="Simplified Arabic" w:hAnsi="Simplified Arabic" w:hint="cs"/>
          <w:sz w:val="27"/>
          <w:rtl/>
          <w:lang w:bidi="ar-SY"/>
        </w:rPr>
        <w:t xml:space="preserve"> عن هذه الحدود. </w:t>
      </w:r>
    </w:p>
    <w:p w:rsidR="0043677F" w:rsidRPr="006571AC" w:rsidRDefault="0043677F" w:rsidP="0063361B">
      <w:pPr>
        <w:tabs>
          <w:tab w:val="left" w:pos="2667"/>
          <w:tab w:val="right" w:pos="5329"/>
        </w:tabs>
        <w:spacing w:line="430" w:lineRule="exact"/>
        <w:rPr>
          <w:rFonts w:ascii="Arial" w:hAnsi="Arial"/>
          <w:sz w:val="27"/>
          <w:rtl/>
        </w:rPr>
      </w:pPr>
    </w:p>
    <w:p w:rsidR="0043677F" w:rsidRPr="006571AC" w:rsidRDefault="0043677F" w:rsidP="00962F60">
      <w:pPr>
        <w:pStyle w:val="31"/>
        <w:rPr>
          <w:color w:val="auto"/>
          <w:rtl/>
        </w:rPr>
      </w:pPr>
      <w:bookmarkStart w:id="440" w:name="_Toc114164848"/>
      <w:r w:rsidRPr="006571AC">
        <w:rPr>
          <w:rFonts w:hint="cs"/>
          <w:color w:val="auto"/>
          <w:rtl/>
        </w:rPr>
        <w:t>العلوم الإنساني</w:t>
      </w:r>
      <w:r w:rsidR="00D12571" w:rsidRPr="006571AC">
        <w:rPr>
          <w:rFonts w:hint="cs"/>
          <w:color w:val="auto"/>
          <w:rtl/>
        </w:rPr>
        <w:t>ّ</w:t>
      </w:r>
      <w:r w:rsidRPr="006571AC">
        <w:rPr>
          <w:rFonts w:hint="cs"/>
          <w:color w:val="auto"/>
          <w:rtl/>
        </w:rPr>
        <w:t>ة وحاجيات الإنسان</w:t>
      </w:r>
      <w:bookmarkEnd w:id="440"/>
    </w:p>
    <w:p w:rsidR="0043677F" w:rsidRPr="006571AC" w:rsidRDefault="0043677F" w:rsidP="004F6064">
      <w:pPr>
        <w:tabs>
          <w:tab w:val="left" w:pos="2667"/>
          <w:tab w:val="right" w:pos="5329"/>
        </w:tabs>
        <w:rPr>
          <w:rFonts w:ascii="Arial" w:hAnsi="Arial"/>
          <w:sz w:val="27"/>
          <w:rtl/>
        </w:rPr>
      </w:pPr>
      <w:r w:rsidRPr="006571AC">
        <w:rPr>
          <w:rFonts w:ascii="Arial" w:hAnsi="Arial" w:hint="cs"/>
          <w:sz w:val="27"/>
          <w:rtl/>
        </w:rPr>
        <w:t xml:space="preserve">من أهداف العلوم الإنسانية ومراميها البعيدة </w:t>
      </w:r>
      <w:r w:rsidRPr="006571AC">
        <w:rPr>
          <w:rFonts w:ascii="Arial" w:hAnsi="Arial"/>
          <w:sz w:val="27"/>
          <w:rtl/>
        </w:rPr>
        <w:t>الاستجابة</w:t>
      </w:r>
      <w:r w:rsidR="00872093"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لحاجيات الإنسا</w:t>
      </w:r>
      <w:r w:rsidRPr="006571AC">
        <w:rPr>
          <w:rFonts w:ascii="Arial" w:hAnsi="Arial" w:hint="eastAsia"/>
          <w:sz w:val="27"/>
          <w:rtl/>
        </w:rPr>
        <w:t>ن</w:t>
      </w:r>
      <w:r w:rsidR="00AB337C"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و</w:t>
      </w:r>
      <w:r w:rsidRPr="006571AC">
        <w:rPr>
          <w:rFonts w:ascii="Arial" w:hAnsi="Arial" w:hint="cs"/>
          <w:sz w:val="27"/>
          <w:rtl/>
        </w:rPr>
        <w:t xml:space="preserve">العمل على تلبية </w:t>
      </w:r>
      <w:r w:rsidRPr="006571AC">
        <w:rPr>
          <w:rFonts w:ascii="Arial" w:hAnsi="Arial"/>
          <w:sz w:val="27"/>
          <w:rtl/>
        </w:rPr>
        <w:t>متطل</w:t>
      </w:r>
      <w:r w:rsidR="00AB337C" w:rsidRPr="006571AC">
        <w:rPr>
          <w:rFonts w:ascii="Arial" w:hAnsi="Arial" w:hint="cs"/>
          <w:sz w:val="27"/>
          <w:rtl/>
        </w:rPr>
        <w:t>ّ</w:t>
      </w:r>
      <w:r w:rsidRPr="006571AC">
        <w:rPr>
          <w:rFonts w:ascii="Arial" w:hAnsi="Arial"/>
          <w:sz w:val="27"/>
          <w:rtl/>
        </w:rPr>
        <w:t>باته، وحل</w:t>
      </w:r>
      <w:r w:rsidR="00AB337C" w:rsidRPr="006571AC">
        <w:rPr>
          <w:rFonts w:ascii="Arial" w:hAnsi="Arial" w:hint="cs"/>
          <w:sz w:val="27"/>
          <w:rtl/>
        </w:rPr>
        <w:t>ّ م</w:t>
      </w:r>
      <w:r w:rsidRPr="006571AC">
        <w:rPr>
          <w:rFonts w:ascii="Arial" w:hAnsi="Arial"/>
          <w:sz w:val="27"/>
          <w:rtl/>
        </w:rPr>
        <w:t>شاكله</w:t>
      </w:r>
      <w:r w:rsidR="00AB337C"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 xml:space="preserve">والتخفيف </w:t>
      </w:r>
      <w:r w:rsidRPr="006571AC">
        <w:rPr>
          <w:rFonts w:ascii="Arial" w:hAnsi="Arial"/>
          <w:sz w:val="27"/>
          <w:rtl/>
        </w:rPr>
        <w:t>من</w:t>
      </w:r>
      <w:r w:rsidRPr="006571AC">
        <w:rPr>
          <w:rFonts w:ascii="Arial" w:hAnsi="Arial" w:hint="cs"/>
          <w:sz w:val="27"/>
          <w:rtl/>
        </w:rPr>
        <w:t xml:space="preserve"> حد</w:t>
      </w:r>
      <w:r w:rsidR="00AB337C" w:rsidRPr="006571AC">
        <w:rPr>
          <w:rFonts w:ascii="Arial" w:hAnsi="Arial" w:hint="cs"/>
          <w:sz w:val="27"/>
          <w:rtl/>
        </w:rPr>
        <w:t>ّ</w:t>
      </w:r>
      <w:r w:rsidRPr="006571AC">
        <w:rPr>
          <w:rFonts w:ascii="Arial" w:hAnsi="Arial" w:hint="cs"/>
          <w:sz w:val="27"/>
          <w:rtl/>
        </w:rPr>
        <w:t>ة</w:t>
      </w:r>
      <w:r w:rsidRPr="006571AC">
        <w:rPr>
          <w:rFonts w:ascii="Arial" w:hAnsi="Arial"/>
          <w:sz w:val="27"/>
          <w:rtl/>
        </w:rPr>
        <w:t xml:space="preserve"> ال</w:t>
      </w:r>
      <w:r w:rsidR="00AB337C" w:rsidRPr="006571AC">
        <w:rPr>
          <w:rFonts w:ascii="Arial" w:hAnsi="Arial" w:hint="cs"/>
          <w:sz w:val="27"/>
          <w:rtl/>
        </w:rPr>
        <w:t>إ</w:t>
      </w:r>
      <w:r w:rsidRPr="006571AC">
        <w:rPr>
          <w:rFonts w:ascii="Arial" w:hAnsi="Arial"/>
          <w:sz w:val="27"/>
          <w:rtl/>
        </w:rPr>
        <w:t>كراهات</w:t>
      </w:r>
      <w:r w:rsidRPr="006571AC">
        <w:rPr>
          <w:rFonts w:ascii="Arial" w:hAnsi="Arial" w:hint="cs"/>
          <w:sz w:val="27"/>
          <w:rtl/>
        </w:rPr>
        <w:t xml:space="preserve">، ومن </w:t>
      </w:r>
      <w:r w:rsidRPr="006571AC">
        <w:rPr>
          <w:rFonts w:ascii="Arial" w:hAnsi="Arial" w:hint="cs"/>
          <w:sz w:val="27"/>
          <w:rtl/>
        </w:rPr>
        <w:lastRenderedPageBreak/>
        <w:t xml:space="preserve">حجم </w:t>
      </w:r>
      <w:r w:rsidRPr="006571AC">
        <w:rPr>
          <w:rFonts w:ascii="Arial" w:hAnsi="Arial"/>
          <w:sz w:val="27"/>
          <w:rtl/>
        </w:rPr>
        <w:t>الض</w:t>
      </w:r>
      <w:r w:rsidRPr="006571AC">
        <w:rPr>
          <w:rFonts w:ascii="Arial" w:hAnsi="Arial" w:hint="cs"/>
          <w:sz w:val="27"/>
          <w:rtl/>
        </w:rPr>
        <w:t>غ</w:t>
      </w:r>
      <w:r w:rsidRPr="006571AC">
        <w:rPr>
          <w:rFonts w:ascii="Arial" w:hAnsi="Arial"/>
          <w:sz w:val="27"/>
          <w:rtl/>
        </w:rPr>
        <w:t>وطات</w:t>
      </w:r>
      <w:r w:rsidRPr="006571AC">
        <w:rPr>
          <w:rFonts w:ascii="Arial" w:hAnsi="Arial" w:hint="cs"/>
          <w:sz w:val="27"/>
          <w:rtl/>
        </w:rPr>
        <w:t xml:space="preserve"> والصعوبات </w:t>
      </w:r>
      <w:r w:rsidRPr="006571AC">
        <w:rPr>
          <w:rFonts w:ascii="Arial" w:hAnsi="Arial"/>
          <w:sz w:val="27"/>
          <w:rtl/>
        </w:rPr>
        <w:t xml:space="preserve">التي </w:t>
      </w:r>
      <w:r w:rsidRPr="006571AC">
        <w:rPr>
          <w:rFonts w:ascii="Arial" w:hAnsi="Arial" w:hint="cs"/>
          <w:sz w:val="27"/>
          <w:rtl/>
        </w:rPr>
        <w:t>يعيشها الإنسا</w:t>
      </w:r>
      <w:r w:rsidRPr="006571AC">
        <w:rPr>
          <w:rFonts w:ascii="Arial" w:hAnsi="Arial" w:hint="eastAsia"/>
          <w:sz w:val="27"/>
          <w:rtl/>
        </w:rPr>
        <w:t>ن</w:t>
      </w:r>
      <w:r w:rsidRPr="006571AC">
        <w:rPr>
          <w:rFonts w:ascii="Arial" w:hAnsi="Arial" w:hint="cs"/>
          <w:sz w:val="27"/>
          <w:rtl/>
        </w:rPr>
        <w:t xml:space="preserve"> ويتفاعل معها بشكل</w:t>
      </w:r>
      <w:r w:rsidR="00AB337C" w:rsidRPr="006571AC">
        <w:rPr>
          <w:rFonts w:ascii="Arial" w:hAnsi="Arial" w:hint="cs"/>
          <w:sz w:val="27"/>
          <w:rtl/>
        </w:rPr>
        <w:t>ٍ</w:t>
      </w:r>
      <w:r w:rsidRPr="006571AC">
        <w:rPr>
          <w:rFonts w:ascii="Arial" w:hAnsi="Arial" w:hint="cs"/>
          <w:sz w:val="27"/>
          <w:rtl/>
        </w:rPr>
        <w:t xml:space="preserve"> يومي</w:t>
      </w:r>
      <w:r w:rsidR="00AB337C" w:rsidRPr="006571AC">
        <w:rPr>
          <w:rFonts w:ascii="Arial" w:hAnsi="Arial" w:hint="cs"/>
          <w:sz w:val="27"/>
          <w:rtl/>
        </w:rPr>
        <w:t>ّ؛</w:t>
      </w:r>
      <w:r w:rsidRPr="006571AC">
        <w:rPr>
          <w:rFonts w:ascii="Arial" w:hAnsi="Arial" w:hint="cs"/>
          <w:sz w:val="27"/>
          <w:rtl/>
        </w:rPr>
        <w:t xml:space="preserve"> بسب</w:t>
      </w:r>
      <w:r w:rsidRPr="006571AC">
        <w:rPr>
          <w:rFonts w:ascii="Arial" w:hAnsi="Arial" w:hint="eastAsia"/>
          <w:sz w:val="27"/>
          <w:rtl/>
        </w:rPr>
        <w:t>ب</w:t>
      </w:r>
      <w:r w:rsidRPr="006571AC">
        <w:rPr>
          <w:rFonts w:ascii="Arial" w:hAnsi="Arial" w:hint="cs"/>
          <w:sz w:val="27"/>
          <w:rtl/>
        </w:rPr>
        <w:t xml:space="preserve"> التطو</w:t>
      </w:r>
      <w:r w:rsidR="00AB337C" w:rsidRPr="006571AC">
        <w:rPr>
          <w:rFonts w:ascii="Arial" w:hAnsi="Arial" w:hint="cs"/>
          <w:sz w:val="27"/>
          <w:rtl/>
        </w:rPr>
        <w:t>ُّ</w:t>
      </w:r>
      <w:r w:rsidRPr="006571AC">
        <w:rPr>
          <w:rFonts w:ascii="Arial" w:hAnsi="Arial" w:hint="cs"/>
          <w:sz w:val="27"/>
          <w:rtl/>
        </w:rPr>
        <w:t>ر السري</w:t>
      </w:r>
      <w:r w:rsidRPr="006571AC">
        <w:rPr>
          <w:rFonts w:ascii="Arial" w:hAnsi="Arial" w:hint="eastAsia"/>
          <w:sz w:val="27"/>
          <w:rtl/>
        </w:rPr>
        <w:t>ع</w:t>
      </w:r>
      <w:r w:rsidRPr="006571AC">
        <w:rPr>
          <w:rFonts w:ascii="Arial" w:hAnsi="Arial" w:hint="cs"/>
          <w:sz w:val="27"/>
          <w:rtl/>
        </w:rPr>
        <w:t xml:space="preserve"> الذي عرفته المجتمعات المعاصرة</w:t>
      </w:r>
      <w:r w:rsidR="00AB337C" w:rsidRPr="006571AC">
        <w:rPr>
          <w:rFonts w:ascii="Arial" w:hAnsi="Arial" w:hint="cs"/>
          <w:sz w:val="27"/>
          <w:rtl/>
        </w:rPr>
        <w:t>،</w:t>
      </w:r>
      <w:r w:rsidRPr="006571AC">
        <w:rPr>
          <w:rFonts w:ascii="Arial" w:hAnsi="Arial" w:hint="cs"/>
          <w:sz w:val="27"/>
          <w:rtl/>
        </w:rPr>
        <w:t xml:space="preserve"> وهي الصعوبات التي أخذ</w:t>
      </w:r>
      <w:r w:rsidR="00AB337C" w:rsidRPr="006571AC">
        <w:rPr>
          <w:rFonts w:ascii="Arial" w:hAnsi="Arial" w:hint="cs"/>
          <w:sz w:val="27"/>
          <w:rtl/>
        </w:rPr>
        <w:t>َ</w:t>
      </w:r>
      <w:r w:rsidRPr="006571AC">
        <w:rPr>
          <w:rFonts w:ascii="Arial" w:hAnsi="Arial" w:hint="cs"/>
          <w:sz w:val="27"/>
          <w:rtl/>
        </w:rPr>
        <w:t>ت</w:t>
      </w:r>
      <w:r w:rsidR="00AB337C" w:rsidRPr="006571AC">
        <w:rPr>
          <w:rFonts w:ascii="Arial" w:hAnsi="Arial" w:hint="cs"/>
          <w:sz w:val="27"/>
          <w:rtl/>
        </w:rPr>
        <w:t>ْ</w:t>
      </w:r>
      <w:r w:rsidRPr="006571AC">
        <w:rPr>
          <w:rFonts w:ascii="Arial" w:hAnsi="Arial" w:hint="cs"/>
          <w:sz w:val="27"/>
          <w:rtl/>
        </w:rPr>
        <w:t xml:space="preserve"> تواج</w:t>
      </w:r>
      <w:r w:rsidRPr="006571AC">
        <w:rPr>
          <w:rFonts w:ascii="Arial" w:hAnsi="Arial" w:hint="eastAsia"/>
          <w:sz w:val="27"/>
          <w:rtl/>
        </w:rPr>
        <w:t>ه</w:t>
      </w:r>
      <w:r w:rsidRPr="006571AC">
        <w:rPr>
          <w:rFonts w:ascii="Arial" w:hAnsi="Arial" w:hint="cs"/>
          <w:sz w:val="27"/>
          <w:rtl/>
        </w:rPr>
        <w:t xml:space="preserve"> هذا الإنسان وتت</w:t>
      </w:r>
      <w:r w:rsidR="00AB337C" w:rsidRPr="006571AC">
        <w:rPr>
          <w:rFonts w:ascii="Arial" w:hAnsi="Arial" w:hint="cs"/>
          <w:sz w:val="27"/>
          <w:rtl/>
        </w:rPr>
        <w:t>َّ</w:t>
      </w:r>
      <w:r w:rsidRPr="006571AC">
        <w:rPr>
          <w:rFonts w:ascii="Arial" w:hAnsi="Arial" w:hint="cs"/>
          <w:sz w:val="27"/>
          <w:rtl/>
        </w:rPr>
        <w:t xml:space="preserve">سع </w:t>
      </w:r>
      <w:r w:rsidR="00AB337C" w:rsidRPr="006571AC">
        <w:rPr>
          <w:rFonts w:ascii="Arial" w:hAnsi="Arial" w:hint="cs"/>
          <w:sz w:val="27"/>
          <w:rtl/>
        </w:rPr>
        <w:t xml:space="preserve">في حياته، </w:t>
      </w:r>
      <w:r w:rsidRPr="006571AC">
        <w:rPr>
          <w:rFonts w:ascii="Arial" w:hAnsi="Arial" w:hint="cs"/>
          <w:sz w:val="27"/>
          <w:rtl/>
          <w:lang w:bidi="ar-MA"/>
        </w:rPr>
        <w:t>وقد</w:t>
      </w:r>
      <w:r w:rsidRPr="006571AC">
        <w:rPr>
          <w:rFonts w:ascii="Arial" w:hAnsi="Arial" w:hint="cs"/>
          <w:sz w:val="27"/>
          <w:rtl/>
        </w:rPr>
        <w:t xml:space="preserve"> جاءت</w:t>
      </w:r>
      <w:r w:rsidRPr="006571AC">
        <w:rPr>
          <w:rFonts w:ascii="Arial" w:hAnsi="Arial"/>
          <w:sz w:val="27"/>
          <w:rtl/>
        </w:rPr>
        <w:t xml:space="preserve"> </w:t>
      </w:r>
      <w:r w:rsidRPr="006571AC">
        <w:rPr>
          <w:rFonts w:ascii="Arial" w:hAnsi="Arial" w:hint="cs"/>
          <w:sz w:val="27"/>
          <w:rtl/>
        </w:rPr>
        <w:t>نتيجة التغي</w:t>
      </w:r>
      <w:r w:rsidR="00AB337C" w:rsidRPr="006571AC">
        <w:rPr>
          <w:rFonts w:ascii="Arial" w:hAnsi="Arial" w:hint="cs"/>
          <w:sz w:val="27"/>
          <w:rtl/>
        </w:rPr>
        <w:t>ُّ</w:t>
      </w:r>
      <w:r w:rsidRPr="006571AC">
        <w:rPr>
          <w:rFonts w:ascii="Arial" w:hAnsi="Arial" w:hint="cs"/>
          <w:sz w:val="27"/>
          <w:rtl/>
        </w:rPr>
        <w:t>ر السريع والتحو</w:t>
      </w:r>
      <w:r w:rsidR="00AB337C" w:rsidRPr="006571AC">
        <w:rPr>
          <w:rFonts w:ascii="Arial" w:hAnsi="Arial" w:hint="cs"/>
          <w:sz w:val="27"/>
          <w:rtl/>
        </w:rPr>
        <w:t>ُّ</w:t>
      </w:r>
      <w:r w:rsidRPr="006571AC">
        <w:rPr>
          <w:rFonts w:ascii="Arial" w:hAnsi="Arial" w:hint="cs"/>
          <w:sz w:val="27"/>
          <w:rtl/>
        </w:rPr>
        <w:t>ل الطارئ الذي طرأ على مجريات ومسار الحياة المعاصرة، وهذه التغي</w:t>
      </w:r>
      <w:r w:rsidR="002F5BC6" w:rsidRPr="006571AC">
        <w:rPr>
          <w:rFonts w:ascii="Arial" w:hAnsi="Arial" w:hint="cs"/>
          <w:sz w:val="27"/>
          <w:rtl/>
        </w:rPr>
        <w:t>ُّ</w:t>
      </w:r>
      <w:r w:rsidRPr="006571AC">
        <w:rPr>
          <w:rFonts w:ascii="Arial" w:hAnsi="Arial" w:hint="cs"/>
          <w:sz w:val="27"/>
          <w:rtl/>
        </w:rPr>
        <w:t>رات جاءت في معظمها نتيجة</w:t>
      </w:r>
      <w:r w:rsidR="002F5BC6" w:rsidRPr="006571AC">
        <w:rPr>
          <w:rFonts w:ascii="Arial" w:hAnsi="Arial" w:hint="cs"/>
          <w:sz w:val="27"/>
          <w:rtl/>
        </w:rPr>
        <w:t>ً</w:t>
      </w:r>
      <w:r w:rsidRPr="006571AC">
        <w:rPr>
          <w:rFonts w:ascii="Arial" w:hAnsi="Arial" w:hint="cs"/>
          <w:sz w:val="27"/>
          <w:rtl/>
        </w:rPr>
        <w:t xml:space="preserve"> لمجموعة</w:t>
      </w:r>
      <w:r w:rsidR="002F5BC6" w:rsidRPr="006571AC">
        <w:rPr>
          <w:rFonts w:ascii="Arial" w:hAnsi="Arial" w:hint="cs"/>
          <w:sz w:val="27"/>
          <w:rtl/>
        </w:rPr>
        <w:t>ٍ</w:t>
      </w:r>
      <w:r w:rsidRPr="006571AC">
        <w:rPr>
          <w:rFonts w:ascii="Arial" w:hAnsi="Arial" w:hint="cs"/>
          <w:sz w:val="27"/>
          <w:rtl/>
        </w:rPr>
        <w:t xml:space="preserve"> من التحو</w:t>
      </w:r>
      <w:r w:rsidR="002F5BC6" w:rsidRPr="006571AC">
        <w:rPr>
          <w:rFonts w:ascii="Arial" w:hAnsi="Arial" w:hint="cs"/>
          <w:sz w:val="27"/>
          <w:rtl/>
        </w:rPr>
        <w:t>ُّ</w:t>
      </w:r>
      <w:r w:rsidRPr="006571AC">
        <w:rPr>
          <w:rFonts w:ascii="Arial" w:hAnsi="Arial" w:hint="cs"/>
          <w:sz w:val="27"/>
          <w:rtl/>
        </w:rPr>
        <w:t>لات الثقافية والق</w:t>
      </w:r>
      <w:r w:rsidR="002F5BC6" w:rsidRPr="006571AC">
        <w:rPr>
          <w:rFonts w:ascii="Arial" w:hAnsi="Arial" w:hint="cs"/>
          <w:sz w:val="27"/>
          <w:rtl/>
        </w:rPr>
        <w:t>ِ</w:t>
      </w:r>
      <w:r w:rsidRPr="006571AC">
        <w:rPr>
          <w:rFonts w:ascii="Arial" w:hAnsi="Arial" w:hint="cs"/>
          <w:sz w:val="27"/>
          <w:rtl/>
        </w:rPr>
        <w:t>ي</w:t>
      </w:r>
      <w:r w:rsidR="002F5BC6" w:rsidRPr="006571AC">
        <w:rPr>
          <w:rFonts w:ascii="Arial" w:hAnsi="Arial" w:hint="cs"/>
          <w:sz w:val="27"/>
          <w:rtl/>
        </w:rPr>
        <w:t>َ</w:t>
      </w:r>
      <w:r w:rsidRPr="006571AC">
        <w:rPr>
          <w:rFonts w:ascii="Arial" w:hAnsi="Arial" w:hint="cs"/>
          <w:sz w:val="27"/>
          <w:rtl/>
        </w:rPr>
        <w:t>مية والاجتماعية العميقة التي شهدها العالم اليوم</w:t>
      </w:r>
      <w:r w:rsidR="002F5BC6" w:rsidRPr="006571AC">
        <w:rPr>
          <w:rFonts w:ascii="Arial" w:hAnsi="Arial" w:hint="cs"/>
          <w:sz w:val="27"/>
          <w:rtl/>
        </w:rPr>
        <w:t>،</w:t>
      </w:r>
      <w:r w:rsidRPr="006571AC">
        <w:rPr>
          <w:rFonts w:ascii="Arial" w:hAnsi="Arial" w:hint="cs"/>
          <w:sz w:val="27"/>
          <w:rtl/>
        </w:rPr>
        <w:t xml:space="preserve"> وبالأخص</w:t>
      </w:r>
      <w:r w:rsidR="002F5BC6" w:rsidRPr="006571AC">
        <w:rPr>
          <w:rFonts w:ascii="Arial" w:hAnsi="Arial" w:hint="cs"/>
          <w:sz w:val="27"/>
          <w:rtl/>
        </w:rPr>
        <w:t>ّ</w:t>
      </w:r>
      <w:r w:rsidRPr="006571AC">
        <w:rPr>
          <w:rFonts w:ascii="Arial" w:hAnsi="Arial" w:hint="cs"/>
          <w:sz w:val="27"/>
          <w:rtl/>
        </w:rPr>
        <w:t xml:space="preserve"> ما حدث من تحو</w:t>
      </w:r>
      <w:r w:rsidR="002F5BC6" w:rsidRPr="006571AC">
        <w:rPr>
          <w:rFonts w:ascii="Arial" w:hAnsi="Arial" w:hint="cs"/>
          <w:sz w:val="27"/>
          <w:rtl/>
        </w:rPr>
        <w:t>ُّ</w:t>
      </w:r>
      <w:r w:rsidRPr="006571AC">
        <w:rPr>
          <w:rFonts w:ascii="Arial" w:hAnsi="Arial" w:hint="cs"/>
          <w:sz w:val="27"/>
          <w:rtl/>
        </w:rPr>
        <w:t>لات في السنوات الأخيرة، وكان هذا بفضل التأثير الكبي</w:t>
      </w:r>
      <w:r w:rsidRPr="006571AC">
        <w:rPr>
          <w:rFonts w:ascii="Arial" w:hAnsi="Arial" w:hint="eastAsia"/>
          <w:sz w:val="27"/>
          <w:rtl/>
        </w:rPr>
        <w:t>ر</w:t>
      </w:r>
      <w:r w:rsidRPr="006571AC">
        <w:rPr>
          <w:rFonts w:ascii="Arial" w:hAnsi="Arial" w:hint="cs"/>
          <w:sz w:val="27"/>
          <w:rtl/>
        </w:rPr>
        <w:t xml:space="preserve"> الذي </w:t>
      </w:r>
      <w:r w:rsidR="002F5BC6" w:rsidRPr="006571AC">
        <w:rPr>
          <w:rFonts w:ascii="Arial" w:hAnsi="Arial" w:hint="cs"/>
          <w:sz w:val="27"/>
          <w:rtl/>
        </w:rPr>
        <w:t>تركَ</w:t>
      </w:r>
      <w:r w:rsidRPr="006571AC">
        <w:rPr>
          <w:rFonts w:ascii="Arial" w:hAnsi="Arial" w:hint="cs"/>
          <w:sz w:val="27"/>
          <w:rtl/>
        </w:rPr>
        <w:t>ت</w:t>
      </w:r>
      <w:r w:rsidR="002F5BC6" w:rsidRPr="006571AC">
        <w:rPr>
          <w:rFonts w:ascii="Arial" w:hAnsi="Arial" w:hint="cs"/>
          <w:sz w:val="27"/>
          <w:rtl/>
        </w:rPr>
        <w:t>ْ</w:t>
      </w:r>
      <w:r w:rsidRPr="006571AC">
        <w:rPr>
          <w:rFonts w:ascii="Arial" w:hAnsi="Arial" w:hint="cs"/>
          <w:sz w:val="27"/>
          <w:rtl/>
        </w:rPr>
        <w:t>ه الثورة الصناعية والثورات المعرفية التي عرفتها المجتمعات المعاصرة</w:t>
      </w:r>
      <w:r w:rsidR="002F5BC6" w:rsidRPr="006571AC">
        <w:rPr>
          <w:rFonts w:ascii="Arial" w:hAnsi="Arial" w:hint="cs"/>
          <w:sz w:val="27"/>
          <w:rtl/>
        </w:rPr>
        <w:t>،</w:t>
      </w:r>
      <w:r w:rsidRPr="006571AC">
        <w:rPr>
          <w:rFonts w:ascii="Arial" w:hAnsi="Arial" w:hint="cs"/>
          <w:sz w:val="27"/>
          <w:rtl/>
        </w:rPr>
        <w:t xml:space="preserve"> </w:t>
      </w:r>
      <w:r w:rsidR="002F5BC6" w:rsidRPr="006571AC">
        <w:rPr>
          <w:rFonts w:ascii="Arial" w:hAnsi="Arial" w:hint="cs"/>
          <w:sz w:val="27"/>
          <w:rtl/>
        </w:rPr>
        <w:t>و</w:t>
      </w:r>
      <w:r w:rsidR="00731867" w:rsidRPr="006571AC">
        <w:rPr>
          <w:rFonts w:ascii="Arial" w:hAnsi="Arial" w:hint="cs"/>
          <w:sz w:val="27"/>
          <w:rtl/>
        </w:rPr>
        <w:t>لا سيَّما</w:t>
      </w:r>
      <w:r w:rsidRPr="006571AC">
        <w:rPr>
          <w:rFonts w:ascii="Arial" w:hAnsi="Arial" w:hint="cs"/>
          <w:sz w:val="27"/>
          <w:rtl/>
        </w:rPr>
        <w:t xml:space="preserve"> الثورة الرقمية</w:t>
      </w:r>
      <w:r w:rsidR="002F5BC6" w:rsidRPr="006571AC">
        <w:rPr>
          <w:rFonts w:ascii="Arial" w:hAnsi="Arial" w:hint="cs"/>
          <w:sz w:val="27"/>
          <w:rtl/>
        </w:rPr>
        <w:t>،</w:t>
      </w:r>
      <w:r w:rsidRPr="006571AC">
        <w:rPr>
          <w:rFonts w:ascii="Arial" w:hAnsi="Arial" w:hint="cs"/>
          <w:sz w:val="27"/>
          <w:rtl/>
        </w:rPr>
        <w:t xml:space="preserve"> وما حملته من </w:t>
      </w:r>
      <w:r w:rsidR="002F5BC6" w:rsidRPr="006571AC">
        <w:rPr>
          <w:rFonts w:ascii="Arial" w:hAnsi="Arial" w:hint="cs"/>
          <w:sz w:val="27"/>
          <w:rtl/>
        </w:rPr>
        <w:t>آ</w:t>
      </w:r>
      <w:r w:rsidRPr="006571AC">
        <w:rPr>
          <w:rFonts w:ascii="Arial" w:hAnsi="Arial" w:hint="cs"/>
          <w:sz w:val="27"/>
          <w:rtl/>
        </w:rPr>
        <w:t>ثار ومن تداعيات</w:t>
      </w:r>
      <w:r w:rsidR="002F5BC6" w:rsidRPr="006571AC">
        <w:rPr>
          <w:rFonts w:ascii="Arial" w:hAnsi="Arial" w:hint="cs"/>
          <w:sz w:val="27"/>
          <w:rtl/>
        </w:rPr>
        <w:t>ٍ</w:t>
      </w:r>
      <w:r w:rsidRPr="006571AC">
        <w:rPr>
          <w:rFonts w:ascii="Arial" w:hAnsi="Arial" w:hint="cs"/>
          <w:sz w:val="27"/>
          <w:rtl/>
        </w:rPr>
        <w:t xml:space="preserve"> ومن نتائج عميقة</w:t>
      </w:r>
      <w:r w:rsidR="002F5BC6" w:rsidRPr="006571AC">
        <w:rPr>
          <w:rFonts w:ascii="Arial" w:hAnsi="Arial" w:hint="cs"/>
          <w:sz w:val="27"/>
          <w:rtl/>
        </w:rPr>
        <w:t>،</w:t>
      </w:r>
      <w:r w:rsidRPr="006571AC">
        <w:rPr>
          <w:rFonts w:ascii="Arial" w:hAnsi="Arial" w:hint="cs"/>
          <w:sz w:val="27"/>
          <w:rtl/>
        </w:rPr>
        <w:t xml:space="preserve"> أث</w:t>
      </w:r>
      <w:r w:rsidR="002F5BC6" w:rsidRPr="006571AC">
        <w:rPr>
          <w:rFonts w:ascii="Arial" w:hAnsi="Arial" w:hint="cs"/>
          <w:sz w:val="27"/>
          <w:rtl/>
        </w:rPr>
        <w:t>َّ</w:t>
      </w:r>
      <w:r w:rsidRPr="006571AC">
        <w:rPr>
          <w:rFonts w:ascii="Arial" w:hAnsi="Arial" w:hint="cs"/>
          <w:sz w:val="27"/>
          <w:rtl/>
        </w:rPr>
        <w:t>ر</w:t>
      </w:r>
      <w:r w:rsidR="002F5BC6" w:rsidRPr="006571AC">
        <w:rPr>
          <w:rFonts w:ascii="Arial" w:hAnsi="Arial" w:hint="cs"/>
          <w:sz w:val="27"/>
          <w:rtl/>
        </w:rPr>
        <w:t>َ</w:t>
      </w:r>
      <w:r w:rsidRPr="006571AC">
        <w:rPr>
          <w:rFonts w:ascii="Arial" w:hAnsi="Arial" w:hint="cs"/>
          <w:sz w:val="27"/>
          <w:rtl/>
        </w:rPr>
        <w:t>ت</w:t>
      </w:r>
      <w:r w:rsidR="002F5BC6" w:rsidRPr="006571AC">
        <w:rPr>
          <w:rFonts w:ascii="Arial" w:hAnsi="Arial" w:hint="cs"/>
          <w:sz w:val="27"/>
          <w:rtl/>
        </w:rPr>
        <w:t>ْ</w:t>
      </w:r>
      <w:r w:rsidRPr="006571AC">
        <w:rPr>
          <w:rFonts w:ascii="Arial" w:hAnsi="Arial" w:hint="cs"/>
          <w:sz w:val="27"/>
          <w:rtl/>
        </w:rPr>
        <w:t xml:space="preserve"> على الإنسان في حياته العام</w:t>
      </w:r>
      <w:r w:rsidR="002F5BC6" w:rsidRPr="006571AC">
        <w:rPr>
          <w:rFonts w:ascii="Arial" w:hAnsi="Arial" w:hint="cs"/>
          <w:sz w:val="27"/>
          <w:rtl/>
        </w:rPr>
        <w:t>ّ</w:t>
      </w:r>
      <w:r w:rsidRPr="006571AC">
        <w:rPr>
          <w:rFonts w:ascii="Arial" w:hAnsi="Arial" w:hint="cs"/>
          <w:sz w:val="27"/>
          <w:rtl/>
        </w:rPr>
        <w:t>ة والخاص</w:t>
      </w:r>
      <w:r w:rsidR="002F5BC6" w:rsidRPr="006571AC">
        <w:rPr>
          <w:rFonts w:ascii="Arial" w:hAnsi="Arial" w:hint="cs"/>
          <w:sz w:val="27"/>
          <w:rtl/>
        </w:rPr>
        <w:t>ّ</w:t>
      </w:r>
      <w:r w:rsidRPr="006571AC">
        <w:rPr>
          <w:rFonts w:ascii="Arial" w:hAnsi="Arial" w:hint="cs"/>
          <w:sz w:val="27"/>
          <w:rtl/>
        </w:rPr>
        <w:t>ة</w:t>
      </w:r>
      <w:r w:rsidR="002F5BC6" w:rsidRPr="006571AC">
        <w:rPr>
          <w:rFonts w:ascii="Arial" w:hAnsi="Arial" w:hint="cs"/>
          <w:sz w:val="27"/>
          <w:rtl/>
        </w:rPr>
        <w:t>،</w:t>
      </w:r>
      <w:r w:rsidRPr="006571AC">
        <w:rPr>
          <w:rFonts w:ascii="Arial" w:hAnsi="Arial" w:hint="cs"/>
          <w:sz w:val="27"/>
          <w:rtl/>
        </w:rPr>
        <w:t xml:space="preserve"> بل حت</w:t>
      </w:r>
      <w:r w:rsidR="002F5BC6" w:rsidRPr="006571AC">
        <w:rPr>
          <w:rFonts w:ascii="Arial" w:hAnsi="Arial" w:hint="cs"/>
          <w:sz w:val="27"/>
          <w:rtl/>
        </w:rPr>
        <w:t>ّ</w:t>
      </w:r>
      <w:r w:rsidRPr="006571AC">
        <w:rPr>
          <w:rFonts w:ascii="Arial" w:hAnsi="Arial" w:hint="cs"/>
          <w:sz w:val="27"/>
          <w:rtl/>
        </w:rPr>
        <w:t>ى على المؤس</w:t>
      </w:r>
      <w:r w:rsidR="002F5BC6" w:rsidRPr="006571AC">
        <w:rPr>
          <w:rFonts w:ascii="Arial" w:hAnsi="Arial" w:hint="cs"/>
          <w:sz w:val="27"/>
          <w:rtl/>
        </w:rPr>
        <w:t>َّ</w:t>
      </w:r>
      <w:r w:rsidRPr="006571AC">
        <w:rPr>
          <w:rFonts w:ascii="Arial" w:hAnsi="Arial" w:hint="cs"/>
          <w:sz w:val="27"/>
          <w:rtl/>
        </w:rPr>
        <w:t>سات التي يتفاعل معها</w:t>
      </w:r>
      <w:r w:rsidR="002F5BC6" w:rsidRPr="006571AC">
        <w:rPr>
          <w:rFonts w:ascii="Arial" w:hAnsi="Arial" w:hint="cs"/>
          <w:sz w:val="27"/>
          <w:rtl/>
        </w:rPr>
        <w:t>.</w:t>
      </w:r>
      <w:r w:rsidRPr="006571AC">
        <w:rPr>
          <w:rFonts w:ascii="Arial" w:hAnsi="Arial" w:hint="cs"/>
          <w:sz w:val="27"/>
          <w:rtl/>
        </w:rPr>
        <w:t xml:space="preserve"> فكانت وجهة العلوم الإنسانية في القرن التاسع عشر ه</w:t>
      </w:r>
      <w:r w:rsidR="002F5BC6" w:rsidRPr="006571AC">
        <w:rPr>
          <w:rFonts w:ascii="Arial" w:hAnsi="Arial" w:hint="cs"/>
          <w:sz w:val="27"/>
          <w:rtl/>
        </w:rPr>
        <w:t>ي</w:t>
      </w:r>
      <w:r w:rsidRPr="006571AC">
        <w:rPr>
          <w:rFonts w:ascii="Arial" w:hAnsi="Arial" w:hint="cs"/>
          <w:sz w:val="27"/>
          <w:rtl/>
        </w:rPr>
        <w:t xml:space="preserve"> التفاعل مع مجريات الحياة الجديدة </w:t>
      </w:r>
      <w:r w:rsidRPr="006571AC">
        <w:rPr>
          <w:rFonts w:ascii="Lotus Linotype" w:hAnsi="Lotus Linotype" w:hint="cs"/>
          <w:sz w:val="27"/>
          <w:rtl/>
        </w:rPr>
        <w:t xml:space="preserve">باعتماد </w:t>
      </w:r>
      <w:r w:rsidRPr="006571AC">
        <w:rPr>
          <w:rFonts w:ascii="Lotus Linotype" w:hAnsi="Lotus Linotype"/>
          <w:sz w:val="27"/>
          <w:rtl/>
        </w:rPr>
        <w:t>الأسس</w:t>
      </w:r>
      <w:r w:rsidRPr="006571AC">
        <w:rPr>
          <w:rFonts w:ascii="Lotus Linotype" w:hAnsi="Lotus Linotype" w:hint="cs"/>
          <w:sz w:val="27"/>
          <w:rtl/>
        </w:rPr>
        <w:t xml:space="preserve"> المنهجية والاستعانة بالمرجعيات العلمية في مقاربة ما هو إنساني</w:t>
      </w:r>
      <w:r w:rsidR="002F5BC6" w:rsidRPr="006571AC">
        <w:rPr>
          <w:rFonts w:ascii="Lotus Linotype" w:hAnsi="Lotus Linotype" w:hint="cs"/>
          <w:sz w:val="27"/>
          <w:rtl/>
        </w:rPr>
        <w:t>ّ</w:t>
      </w:r>
      <w:r w:rsidRPr="006571AC">
        <w:rPr>
          <w:rFonts w:ascii="Lotus Linotype" w:hAnsi="Lotus Linotype" w:hint="cs"/>
          <w:sz w:val="27"/>
          <w:rtl/>
        </w:rPr>
        <w:t xml:space="preserve">، بالاستعانة والاستفادة من البحوث </w:t>
      </w:r>
      <w:r w:rsidRPr="006571AC">
        <w:rPr>
          <w:rFonts w:ascii="Lotus Linotype" w:hAnsi="Lotus Linotype"/>
          <w:sz w:val="27"/>
          <w:rtl/>
        </w:rPr>
        <w:t>العلمية</w:t>
      </w:r>
      <w:r w:rsidRPr="006571AC">
        <w:rPr>
          <w:rFonts w:ascii="Lotus Linotype" w:hAnsi="Lotus Linotype" w:hint="cs"/>
          <w:sz w:val="27"/>
          <w:rtl/>
        </w:rPr>
        <w:t xml:space="preserve"> ومن الآليات وال</w:t>
      </w:r>
      <w:r w:rsidR="002F5BC6" w:rsidRPr="006571AC">
        <w:rPr>
          <w:rFonts w:ascii="Lotus Linotype" w:hAnsi="Lotus Linotype" w:hint="cs"/>
          <w:sz w:val="27"/>
          <w:rtl/>
        </w:rPr>
        <w:t>م</w:t>
      </w:r>
      <w:r w:rsidRPr="006571AC">
        <w:rPr>
          <w:rFonts w:ascii="Lotus Linotype" w:hAnsi="Lotus Linotype" w:hint="cs"/>
          <w:sz w:val="27"/>
          <w:rtl/>
        </w:rPr>
        <w:t xml:space="preserve">ناهج الإجرائية، واستثمارها </w:t>
      </w:r>
      <w:r w:rsidRPr="006571AC">
        <w:rPr>
          <w:rFonts w:ascii="Lotus Linotype" w:hAnsi="Lotus Linotype"/>
          <w:sz w:val="27"/>
          <w:rtl/>
        </w:rPr>
        <w:t xml:space="preserve">في </w:t>
      </w:r>
      <w:r w:rsidRPr="006571AC">
        <w:rPr>
          <w:rFonts w:ascii="Lotus Linotype" w:hAnsi="Lotus Linotype" w:hint="cs"/>
          <w:sz w:val="27"/>
          <w:rtl/>
        </w:rPr>
        <w:t>دراسة وف</w:t>
      </w:r>
      <w:r w:rsidR="00872093" w:rsidRPr="006571AC">
        <w:rPr>
          <w:rFonts w:ascii="Lotus Linotype" w:hAnsi="Lotus Linotype" w:hint="cs"/>
          <w:sz w:val="27"/>
          <w:rtl/>
        </w:rPr>
        <w:t>َ</w:t>
      </w:r>
      <w:r w:rsidRPr="006571AC">
        <w:rPr>
          <w:rFonts w:ascii="Lotus Linotype" w:hAnsi="Lotus Linotype" w:hint="cs"/>
          <w:sz w:val="27"/>
          <w:rtl/>
        </w:rPr>
        <w:t>ه</w:t>
      </w:r>
      <w:r w:rsidR="00872093" w:rsidRPr="006571AC">
        <w:rPr>
          <w:rFonts w:ascii="Lotus Linotype" w:hAnsi="Lotus Linotype" w:hint="cs"/>
          <w:sz w:val="27"/>
          <w:rtl/>
        </w:rPr>
        <w:t>ْ</w:t>
      </w:r>
      <w:r w:rsidRPr="006571AC">
        <w:rPr>
          <w:rFonts w:ascii="Lotus Linotype" w:hAnsi="Lotus Linotype" w:hint="cs"/>
          <w:sz w:val="27"/>
          <w:rtl/>
        </w:rPr>
        <w:t>م ومعرفة شخصية الإنسان</w:t>
      </w:r>
      <w:r w:rsidR="002F5BC6" w:rsidRPr="006571AC">
        <w:rPr>
          <w:rFonts w:ascii="Lotus Linotype" w:hAnsi="Lotus Linotype" w:hint="cs"/>
          <w:sz w:val="27"/>
          <w:rtl/>
        </w:rPr>
        <w:t>،</w:t>
      </w:r>
      <w:r w:rsidRPr="006571AC">
        <w:rPr>
          <w:rFonts w:ascii="Lotus Linotype" w:hAnsi="Lotus Linotype" w:hint="cs"/>
          <w:sz w:val="27"/>
          <w:rtl/>
        </w:rPr>
        <w:t xml:space="preserve"> بأبعادها المتعد</w:t>
      </w:r>
      <w:r w:rsidR="002F5BC6" w:rsidRPr="006571AC">
        <w:rPr>
          <w:rFonts w:ascii="Lotus Linotype" w:hAnsi="Lotus Linotype" w:hint="cs"/>
          <w:sz w:val="27"/>
          <w:rtl/>
        </w:rPr>
        <w:t>ِّ</w:t>
      </w:r>
      <w:r w:rsidRPr="006571AC">
        <w:rPr>
          <w:rFonts w:ascii="Lotus Linotype" w:hAnsi="Lotus Linotype" w:hint="cs"/>
          <w:sz w:val="27"/>
          <w:rtl/>
        </w:rPr>
        <w:t>دة</w:t>
      </w:r>
      <w:r w:rsidR="002F5BC6" w:rsidRPr="006571AC">
        <w:rPr>
          <w:rFonts w:ascii="Lotus Linotype" w:hAnsi="Lotus Linotype" w:hint="cs"/>
          <w:sz w:val="27"/>
          <w:rtl/>
        </w:rPr>
        <w:t>،</w:t>
      </w:r>
      <w:r w:rsidRPr="006571AC">
        <w:rPr>
          <w:rFonts w:ascii="Lotus Linotype" w:hAnsi="Lotus Linotype" w:hint="cs"/>
          <w:sz w:val="27"/>
          <w:rtl/>
        </w:rPr>
        <w:t xml:space="preserve"> وباتجاهاتها المختلفة</w:t>
      </w:r>
      <w:r w:rsidR="002F5BC6" w:rsidRPr="006571AC">
        <w:rPr>
          <w:rFonts w:ascii="Lotus Linotype" w:hAnsi="Lotus Linotype" w:hint="cs"/>
          <w:sz w:val="27"/>
          <w:rtl/>
        </w:rPr>
        <w:t>؛</w:t>
      </w:r>
      <w:r w:rsidRPr="006571AC">
        <w:rPr>
          <w:rFonts w:ascii="Lotus Linotype" w:hAnsi="Lotus Linotype" w:hint="cs"/>
          <w:sz w:val="27"/>
          <w:rtl/>
        </w:rPr>
        <w:t xml:space="preserve"> لغاية </w:t>
      </w:r>
      <w:r w:rsidRPr="006571AC">
        <w:rPr>
          <w:rFonts w:ascii="Lotus Linotype" w:hAnsi="Lotus Linotype"/>
          <w:sz w:val="27"/>
          <w:rtl/>
        </w:rPr>
        <w:t>تعديل</w:t>
      </w:r>
      <w:r w:rsidRPr="006571AC">
        <w:rPr>
          <w:rFonts w:ascii="Lotus Linotype" w:hAnsi="Lotus Linotype" w:hint="cs"/>
          <w:sz w:val="27"/>
          <w:rtl/>
        </w:rPr>
        <w:t xml:space="preserve"> </w:t>
      </w:r>
      <w:r w:rsidRPr="006571AC">
        <w:rPr>
          <w:rFonts w:ascii="Lotus Linotype" w:hAnsi="Lotus Linotype"/>
          <w:sz w:val="27"/>
          <w:rtl/>
        </w:rPr>
        <w:t>السلوك</w:t>
      </w:r>
      <w:r w:rsidRPr="006571AC">
        <w:rPr>
          <w:rFonts w:ascii="Lotus Linotype" w:hAnsi="Lotus Linotype" w:hint="cs"/>
          <w:sz w:val="27"/>
          <w:rtl/>
        </w:rPr>
        <w:t xml:space="preserve"> الإنساني</w:t>
      </w:r>
      <w:r w:rsidR="002F5BC6" w:rsidRPr="006571AC">
        <w:rPr>
          <w:rFonts w:ascii="Lotus Linotype" w:hAnsi="Lotus Linotype" w:hint="cs"/>
          <w:sz w:val="27"/>
          <w:rtl/>
        </w:rPr>
        <w:t>ّ</w:t>
      </w:r>
      <w:r w:rsidRPr="006571AC">
        <w:rPr>
          <w:rFonts w:ascii="Lotus Linotype" w:hAnsi="Lotus Linotype" w:hint="cs"/>
          <w:sz w:val="27"/>
          <w:rtl/>
        </w:rPr>
        <w:t xml:space="preserve"> و</w:t>
      </w:r>
      <w:r w:rsidRPr="006571AC">
        <w:rPr>
          <w:rFonts w:ascii="Lotus Linotype" w:hAnsi="Lotus Linotype"/>
          <w:sz w:val="27"/>
          <w:rtl/>
        </w:rPr>
        <w:t>البشري</w:t>
      </w:r>
      <w:r w:rsidR="002F5BC6" w:rsidRPr="006571AC">
        <w:rPr>
          <w:rFonts w:ascii="Lotus Linotype" w:hAnsi="Lotus Linotype" w:hint="cs"/>
          <w:sz w:val="27"/>
          <w:rtl/>
        </w:rPr>
        <w:t>ّ</w:t>
      </w:r>
      <w:r w:rsidRPr="006571AC">
        <w:rPr>
          <w:rFonts w:ascii="Lotus Linotype" w:hAnsi="Lotus Linotype" w:hint="cs"/>
          <w:sz w:val="27"/>
          <w:rtl/>
        </w:rPr>
        <w:t xml:space="preserve">، </w:t>
      </w:r>
      <w:r w:rsidRPr="006571AC">
        <w:rPr>
          <w:rFonts w:ascii="Lotus Linotype" w:hAnsi="Lotus Linotype"/>
          <w:sz w:val="27"/>
          <w:rtl/>
        </w:rPr>
        <w:t>وتصويب العادات</w:t>
      </w:r>
      <w:r w:rsidRPr="006571AC">
        <w:rPr>
          <w:rFonts w:ascii="Lotus Linotype" w:hAnsi="Lotus Linotype" w:hint="cs"/>
          <w:sz w:val="27"/>
          <w:rtl/>
        </w:rPr>
        <w:t xml:space="preserve"> والسلوكات والأفعال </w:t>
      </w:r>
      <w:r w:rsidRPr="006571AC">
        <w:rPr>
          <w:rFonts w:ascii="Lotus Linotype" w:hAnsi="Lotus Linotype"/>
          <w:sz w:val="27"/>
          <w:rtl/>
        </w:rPr>
        <w:t>السي</w:t>
      </w:r>
      <w:r w:rsidR="002F5BC6" w:rsidRPr="006571AC">
        <w:rPr>
          <w:rFonts w:ascii="Lotus Linotype" w:hAnsi="Lotus Linotype" w:hint="cs"/>
          <w:sz w:val="27"/>
          <w:rtl/>
        </w:rPr>
        <w:t>ِّ</w:t>
      </w:r>
      <w:r w:rsidRPr="006571AC">
        <w:rPr>
          <w:rFonts w:ascii="Lotus Linotype" w:hAnsi="Lotus Linotype"/>
          <w:sz w:val="27"/>
          <w:rtl/>
        </w:rPr>
        <w:t>ئة</w:t>
      </w:r>
      <w:r w:rsidRPr="006571AC">
        <w:rPr>
          <w:rFonts w:ascii="Lotus Linotype" w:hAnsi="Lotus Linotype" w:hint="cs"/>
          <w:sz w:val="27"/>
          <w:rtl/>
        </w:rPr>
        <w:t>، والاستجابة للمشاكل الحياتية المتراكمة والمعق</w:t>
      </w:r>
      <w:r w:rsidR="002F5BC6" w:rsidRPr="006571AC">
        <w:rPr>
          <w:rFonts w:ascii="Lotus Linotype" w:hAnsi="Lotus Linotype" w:hint="cs"/>
          <w:sz w:val="27"/>
          <w:rtl/>
        </w:rPr>
        <w:t>َّ</w:t>
      </w:r>
      <w:r w:rsidRPr="006571AC">
        <w:rPr>
          <w:rFonts w:ascii="Lotus Linotype" w:hAnsi="Lotus Linotype" w:hint="cs"/>
          <w:sz w:val="27"/>
          <w:rtl/>
        </w:rPr>
        <w:t>دة أحيانا</w:t>
      </w:r>
      <w:r w:rsidR="002F5BC6" w:rsidRPr="006571AC">
        <w:rPr>
          <w:rFonts w:ascii="Lotus Linotype" w:hAnsi="Lotus Linotype" w:hint="cs"/>
          <w:sz w:val="27"/>
          <w:rtl/>
        </w:rPr>
        <w:t>ً</w:t>
      </w:r>
      <w:r w:rsidRPr="006571AC">
        <w:rPr>
          <w:rFonts w:ascii="Lotus Linotype" w:hAnsi="Lotus Linotype" w:hint="cs"/>
          <w:sz w:val="27"/>
          <w:rtl/>
        </w:rPr>
        <w:t>، والتي ساهم فيها التطو</w:t>
      </w:r>
      <w:r w:rsidR="002F5BC6" w:rsidRPr="006571AC">
        <w:rPr>
          <w:rFonts w:ascii="Lotus Linotype" w:hAnsi="Lotus Linotype" w:hint="cs"/>
          <w:sz w:val="27"/>
          <w:rtl/>
        </w:rPr>
        <w:t>ُّ</w:t>
      </w:r>
      <w:r w:rsidRPr="006571AC">
        <w:rPr>
          <w:rFonts w:ascii="Lotus Linotype" w:hAnsi="Lotus Linotype" w:hint="cs"/>
          <w:sz w:val="27"/>
          <w:rtl/>
        </w:rPr>
        <w:t>ر الكبي</w:t>
      </w:r>
      <w:r w:rsidRPr="006571AC">
        <w:rPr>
          <w:rFonts w:ascii="Lotus Linotype" w:hAnsi="Lotus Linotype" w:hint="eastAsia"/>
          <w:sz w:val="27"/>
          <w:rtl/>
        </w:rPr>
        <w:t>ر</w:t>
      </w:r>
      <w:r w:rsidRPr="006571AC">
        <w:rPr>
          <w:rFonts w:ascii="Lotus Linotype" w:hAnsi="Lotus Linotype" w:hint="cs"/>
          <w:sz w:val="27"/>
          <w:rtl/>
        </w:rPr>
        <w:t xml:space="preserve"> الذ</w:t>
      </w:r>
      <w:r w:rsidRPr="006571AC">
        <w:rPr>
          <w:rFonts w:ascii="Lotus Linotype" w:hAnsi="Lotus Linotype" w:hint="eastAsia"/>
          <w:sz w:val="27"/>
          <w:rtl/>
        </w:rPr>
        <w:t>ي</w:t>
      </w:r>
      <w:r w:rsidRPr="006571AC">
        <w:rPr>
          <w:rFonts w:ascii="Lotus Linotype" w:hAnsi="Lotus Linotype" w:hint="cs"/>
          <w:sz w:val="27"/>
          <w:rtl/>
        </w:rPr>
        <w:t xml:space="preserve"> عرف</w:t>
      </w:r>
      <w:r w:rsidR="00BD2EB6" w:rsidRPr="006571AC">
        <w:rPr>
          <w:rFonts w:ascii="Lotus Linotype" w:hAnsi="Lotus Linotype" w:hint="cs"/>
          <w:sz w:val="27"/>
          <w:rtl/>
        </w:rPr>
        <w:t>ت</w:t>
      </w:r>
      <w:r w:rsidRPr="006571AC">
        <w:rPr>
          <w:rFonts w:ascii="Lotus Linotype" w:hAnsi="Lotus Linotype" w:hint="cs"/>
          <w:sz w:val="27"/>
          <w:rtl/>
        </w:rPr>
        <w:t>ه المجتمعات الإنسانية في الفترة المعاصرة</w:t>
      </w:r>
      <w:r w:rsidR="00BD2EB6" w:rsidRPr="006571AC">
        <w:rPr>
          <w:rFonts w:ascii="Lotus Linotype" w:hAnsi="Lotus Linotype" w:hint="cs"/>
          <w:sz w:val="27"/>
          <w:rtl/>
        </w:rPr>
        <w:t xml:space="preserve">، </w:t>
      </w:r>
      <w:r w:rsidRPr="006571AC">
        <w:rPr>
          <w:rFonts w:ascii="Arial" w:hAnsi="Arial" w:hint="cs"/>
          <w:sz w:val="27"/>
          <w:rtl/>
        </w:rPr>
        <w:t>ما يدل</w:t>
      </w:r>
      <w:r w:rsidR="00BD2EB6" w:rsidRPr="006571AC">
        <w:rPr>
          <w:rFonts w:ascii="Arial" w:hAnsi="Arial" w:hint="cs"/>
          <w:sz w:val="27"/>
          <w:rtl/>
        </w:rPr>
        <w:t>ّ</w:t>
      </w:r>
      <w:r w:rsidRPr="006571AC">
        <w:rPr>
          <w:rFonts w:ascii="Arial" w:hAnsi="Arial" w:hint="cs"/>
          <w:sz w:val="27"/>
          <w:rtl/>
        </w:rPr>
        <w:t xml:space="preserve"> أن من </w:t>
      </w:r>
      <w:r w:rsidR="00BD2EB6" w:rsidRPr="006571AC">
        <w:rPr>
          <w:rFonts w:ascii="Arial" w:hAnsi="Arial" w:hint="cs"/>
          <w:sz w:val="27"/>
          <w:rtl/>
        </w:rPr>
        <w:t>أ</w:t>
      </w:r>
      <w:r w:rsidRPr="006571AC">
        <w:rPr>
          <w:rFonts w:ascii="Arial" w:hAnsi="Arial" w:hint="cs"/>
          <w:sz w:val="27"/>
          <w:rtl/>
        </w:rPr>
        <w:t>برز السياقات التي كانت من وراء نشأة هذا النوع من العلوم</w:t>
      </w:r>
      <w:r w:rsidRPr="006571AC">
        <w:rPr>
          <w:rFonts w:ascii="Droid Arabic Naskh" w:hAnsi="Droid Arabic Naskh"/>
          <w:sz w:val="27"/>
          <w:shd w:val="clear" w:color="auto" w:fill="FFFFFF"/>
        </w:rPr>
        <w:t> </w:t>
      </w:r>
      <w:r w:rsidRPr="006571AC">
        <w:rPr>
          <w:rFonts w:ascii="Arial" w:hAnsi="Arial"/>
          <w:sz w:val="27"/>
          <w:shd w:val="clear" w:color="auto" w:fill="FFFFFF"/>
          <w:rtl/>
        </w:rPr>
        <w:t>هو ميلاد المجتمع الصناعي</w:t>
      </w:r>
      <w:r w:rsidR="00BD2EB6" w:rsidRPr="006571AC">
        <w:rPr>
          <w:rFonts w:ascii="Arial" w:hAnsi="Arial" w:hint="cs"/>
          <w:sz w:val="27"/>
          <w:shd w:val="clear" w:color="auto" w:fill="FFFFFF"/>
          <w:rtl/>
        </w:rPr>
        <w:t>ّ</w:t>
      </w:r>
      <w:r w:rsidRPr="006571AC">
        <w:rPr>
          <w:rFonts w:ascii="Arial" w:hAnsi="Arial"/>
          <w:sz w:val="27"/>
          <w:shd w:val="clear" w:color="auto" w:fill="FFFFFF"/>
          <w:rtl/>
        </w:rPr>
        <w:t>، وتطو</w:t>
      </w:r>
      <w:r w:rsidR="00BD2EB6" w:rsidRPr="006571AC">
        <w:rPr>
          <w:rFonts w:ascii="Arial" w:hAnsi="Arial" w:hint="cs"/>
          <w:sz w:val="27"/>
          <w:shd w:val="clear" w:color="auto" w:fill="FFFFFF"/>
          <w:rtl/>
        </w:rPr>
        <w:t>ّ</w:t>
      </w:r>
      <w:r w:rsidRPr="006571AC">
        <w:rPr>
          <w:rFonts w:ascii="Arial" w:hAnsi="Arial"/>
          <w:sz w:val="27"/>
          <w:shd w:val="clear" w:color="auto" w:fill="FFFFFF"/>
          <w:rtl/>
        </w:rPr>
        <w:t xml:space="preserve">ر نمط الإنتاج الرأسمالي، </w:t>
      </w:r>
      <w:r w:rsidRPr="006571AC">
        <w:rPr>
          <w:rFonts w:ascii="Arial" w:hAnsi="Arial" w:hint="cs"/>
          <w:sz w:val="27"/>
          <w:shd w:val="clear" w:color="auto" w:fill="FFFFFF"/>
          <w:rtl/>
        </w:rPr>
        <w:t>وهي</w:t>
      </w:r>
      <w:r w:rsidR="00BD2EB6" w:rsidRPr="006571AC">
        <w:rPr>
          <w:rFonts w:ascii="Arial" w:hAnsi="Arial" w:hint="cs"/>
          <w:sz w:val="27"/>
          <w:shd w:val="clear" w:color="auto" w:fill="FFFFFF"/>
          <w:rtl/>
        </w:rPr>
        <w:t>م</w:t>
      </w:r>
      <w:r w:rsidRPr="006571AC">
        <w:rPr>
          <w:rFonts w:ascii="Arial" w:hAnsi="Arial" w:hint="cs"/>
          <w:sz w:val="27"/>
          <w:shd w:val="clear" w:color="auto" w:fill="FFFFFF"/>
          <w:rtl/>
        </w:rPr>
        <w:t>نة ثقافة الاستهلاك، ما يعني</w:t>
      </w:r>
      <w:r w:rsidRPr="006571AC">
        <w:rPr>
          <w:rFonts w:ascii="Arial" w:hAnsi="Arial"/>
          <w:sz w:val="27"/>
          <w:shd w:val="clear" w:color="auto" w:fill="FFFFFF"/>
          <w:rtl/>
        </w:rPr>
        <w:t xml:space="preserve"> </w:t>
      </w:r>
      <w:r w:rsidRPr="006571AC">
        <w:rPr>
          <w:rFonts w:ascii="Arial" w:hAnsi="Arial" w:hint="cs"/>
          <w:sz w:val="27"/>
          <w:shd w:val="clear" w:color="auto" w:fill="FFFFFF"/>
          <w:rtl/>
        </w:rPr>
        <w:t>أن العلوم الإنسانية جاءت م</w:t>
      </w:r>
      <w:r w:rsidRPr="006571AC">
        <w:rPr>
          <w:rFonts w:ascii="Arial" w:hAnsi="Arial"/>
          <w:sz w:val="27"/>
          <w:shd w:val="clear" w:color="auto" w:fill="FFFFFF"/>
          <w:rtl/>
        </w:rPr>
        <w:t>واكب</w:t>
      </w:r>
      <w:r w:rsidRPr="006571AC">
        <w:rPr>
          <w:rFonts w:ascii="Arial" w:hAnsi="Arial" w:hint="cs"/>
          <w:sz w:val="27"/>
          <w:shd w:val="clear" w:color="auto" w:fill="FFFFFF"/>
          <w:rtl/>
        </w:rPr>
        <w:t>ة</w:t>
      </w:r>
      <w:r w:rsidR="00BD2EB6" w:rsidRPr="006571AC">
        <w:rPr>
          <w:rFonts w:ascii="Arial" w:hAnsi="Arial" w:hint="cs"/>
          <w:sz w:val="27"/>
          <w:shd w:val="clear" w:color="auto" w:fill="FFFFFF"/>
          <w:rtl/>
        </w:rPr>
        <w:t>ً</w:t>
      </w:r>
      <w:r w:rsidRPr="006571AC">
        <w:rPr>
          <w:rFonts w:ascii="Arial" w:hAnsi="Arial"/>
          <w:sz w:val="27"/>
          <w:shd w:val="clear" w:color="auto" w:fill="FFFFFF"/>
          <w:rtl/>
        </w:rPr>
        <w:t xml:space="preserve"> </w:t>
      </w:r>
      <w:r w:rsidRPr="006571AC">
        <w:rPr>
          <w:rFonts w:ascii="Arial" w:hAnsi="Arial" w:hint="cs"/>
          <w:sz w:val="27"/>
          <w:shd w:val="clear" w:color="auto" w:fill="FFFFFF"/>
          <w:rtl/>
        </w:rPr>
        <w:t>ل</w:t>
      </w:r>
      <w:r w:rsidRPr="006571AC">
        <w:rPr>
          <w:rFonts w:ascii="Arial" w:hAnsi="Arial"/>
          <w:sz w:val="27"/>
          <w:shd w:val="clear" w:color="auto" w:fill="FFFFFF"/>
          <w:rtl/>
        </w:rPr>
        <w:t>مجمل التغي</w:t>
      </w:r>
      <w:r w:rsidR="00BD2EB6" w:rsidRPr="006571AC">
        <w:rPr>
          <w:rFonts w:ascii="Arial" w:hAnsi="Arial" w:hint="cs"/>
          <w:sz w:val="27"/>
          <w:shd w:val="clear" w:color="auto" w:fill="FFFFFF"/>
          <w:rtl/>
        </w:rPr>
        <w:t>ُّ</w:t>
      </w:r>
      <w:r w:rsidRPr="006571AC">
        <w:rPr>
          <w:rFonts w:ascii="Arial" w:hAnsi="Arial"/>
          <w:sz w:val="27"/>
          <w:shd w:val="clear" w:color="auto" w:fill="FFFFFF"/>
          <w:rtl/>
        </w:rPr>
        <w:t>رات</w:t>
      </w:r>
      <w:r w:rsidRPr="006571AC">
        <w:rPr>
          <w:rFonts w:ascii="Arial" w:hAnsi="Arial" w:hint="cs"/>
          <w:sz w:val="27"/>
          <w:shd w:val="clear" w:color="auto" w:fill="FFFFFF"/>
          <w:rtl/>
        </w:rPr>
        <w:t xml:space="preserve"> والتحو</w:t>
      </w:r>
      <w:r w:rsidR="00BD2EB6" w:rsidRPr="006571AC">
        <w:rPr>
          <w:rFonts w:ascii="Arial" w:hAnsi="Arial" w:hint="cs"/>
          <w:sz w:val="27"/>
          <w:shd w:val="clear" w:color="auto" w:fill="FFFFFF"/>
          <w:rtl/>
        </w:rPr>
        <w:t>ُّ</w:t>
      </w:r>
      <w:r w:rsidRPr="006571AC">
        <w:rPr>
          <w:rFonts w:ascii="Arial" w:hAnsi="Arial" w:hint="cs"/>
          <w:sz w:val="27"/>
          <w:shd w:val="clear" w:color="auto" w:fill="FFFFFF"/>
          <w:rtl/>
        </w:rPr>
        <w:t>لات</w:t>
      </w:r>
      <w:r w:rsidRPr="006571AC">
        <w:rPr>
          <w:rFonts w:ascii="Arial" w:hAnsi="Arial"/>
          <w:sz w:val="27"/>
          <w:shd w:val="clear" w:color="auto" w:fill="FFFFFF"/>
          <w:rtl/>
        </w:rPr>
        <w:t xml:space="preserve"> التي عرفها الغرب الأوروبي في سياق تطو</w:t>
      </w:r>
      <w:r w:rsidR="00BD2EB6" w:rsidRPr="006571AC">
        <w:rPr>
          <w:rFonts w:ascii="Arial" w:hAnsi="Arial" w:hint="cs"/>
          <w:sz w:val="27"/>
          <w:shd w:val="clear" w:color="auto" w:fill="FFFFFF"/>
          <w:rtl/>
        </w:rPr>
        <w:t>ّ</w:t>
      </w:r>
      <w:r w:rsidRPr="006571AC">
        <w:rPr>
          <w:rFonts w:ascii="Arial" w:hAnsi="Arial"/>
          <w:sz w:val="27"/>
          <w:shd w:val="clear" w:color="auto" w:fill="FFFFFF"/>
          <w:rtl/>
        </w:rPr>
        <w:t>ر المجتمع، وتطو</w:t>
      </w:r>
      <w:r w:rsidR="00BD2EB6" w:rsidRPr="006571AC">
        <w:rPr>
          <w:rFonts w:ascii="Arial" w:hAnsi="Arial" w:hint="cs"/>
          <w:sz w:val="27"/>
          <w:shd w:val="clear" w:color="auto" w:fill="FFFFFF"/>
          <w:rtl/>
        </w:rPr>
        <w:t>ّ</w:t>
      </w:r>
      <w:r w:rsidRPr="006571AC">
        <w:rPr>
          <w:rFonts w:ascii="Arial" w:hAnsi="Arial"/>
          <w:sz w:val="27"/>
          <w:shd w:val="clear" w:color="auto" w:fill="FFFFFF"/>
          <w:rtl/>
        </w:rPr>
        <w:t xml:space="preserve">ر علاقات الإنسان بالطبيعة </w:t>
      </w:r>
      <w:r w:rsidRPr="006571AC">
        <w:rPr>
          <w:rFonts w:ascii="Arial" w:hAnsi="Arial" w:hint="cs"/>
          <w:sz w:val="27"/>
          <w:shd w:val="clear" w:color="auto" w:fill="FFFFFF"/>
          <w:rtl/>
        </w:rPr>
        <w:t xml:space="preserve">والمجتمع </w:t>
      </w:r>
      <w:r w:rsidRPr="006571AC">
        <w:rPr>
          <w:rFonts w:ascii="Arial" w:hAnsi="Arial"/>
          <w:sz w:val="27"/>
          <w:shd w:val="clear" w:color="auto" w:fill="FFFFFF"/>
          <w:rtl/>
        </w:rPr>
        <w:t>وبالتاريخ، وس</w:t>
      </w:r>
      <w:r w:rsidR="00872093" w:rsidRPr="006571AC">
        <w:rPr>
          <w:rFonts w:ascii="Arial" w:hAnsi="Arial" w:hint="cs"/>
          <w:sz w:val="27"/>
          <w:shd w:val="clear" w:color="auto" w:fill="FFFFFF"/>
          <w:rtl/>
        </w:rPr>
        <w:t>َ</w:t>
      </w:r>
      <w:r w:rsidRPr="006571AC">
        <w:rPr>
          <w:rFonts w:ascii="Arial" w:hAnsi="Arial"/>
          <w:sz w:val="27"/>
          <w:shd w:val="clear" w:color="auto" w:fill="FFFFFF"/>
          <w:rtl/>
        </w:rPr>
        <w:t>ع</w:t>
      </w:r>
      <w:r w:rsidR="00872093" w:rsidRPr="006571AC">
        <w:rPr>
          <w:rFonts w:ascii="Arial" w:hAnsi="Arial" w:hint="cs"/>
          <w:sz w:val="27"/>
          <w:shd w:val="clear" w:color="auto" w:fill="FFFFFF"/>
          <w:rtl/>
        </w:rPr>
        <w:t>ْ</w:t>
      </w:r>
      <w:r w:rsidRPr="006571AC">
        <w:rPr>
          <w:rFonts w:ascii="Arial" w:hAnsi="Arial"/>
          <w:sz w:val="27"/>
          <w:shd w:val="clear" w:color="auto" w:fill="FFFFFF"/>
          <w:rtl/>
        </w:rPr>
        <w:t>ي</w:t>
      </w:r>
      <w:r w:rsidRPr="006571AC">
        <w:rPr>
          <w:rFonts w:ascii="Arial" w:hAnsi="Arial" w:hint="cs"/>
          <w:sz w:val="27"/>
          <w:shd w:val="clear" w:color="auto" w:fill="FFFFFF"/>
          <w:rtl/>
        </w:rPr>
        <w:t xml:space="preserve"> هذا الإنسان في سياق هذه التحو</w:t>
      </w:r>
      <w:r w:rsidR="00BD2EB6" w:rsidRPr="006571AC">
        <w:rPr>
          <w:rFonts w:ascii="Arial" w:hAnsi="Arial" w:hint="cs"/>
          <w:sz w:val="27"/>
          <w:shd w:val="clear" w:color="auto" w:fill="FFFFFF"/>
          <w:rtl/>
        </w:rPr>
        <w:t>ّ</w:t>
      </w:r>
      <w:r w:rsidRPr="006571AC">
        <w:rPr>
          <w:rFonts w:ascii="Arial" w:hAnsi="Arial" w:hint="cs"/>
          <w:sz w:val="27"/>
          <w:shd w:val="clear" w:color="auto" w:fill="FFFFFF"/>
          <w:rtl/>
        </w:rPr>
        <w:t>لات</w:t>
      </w:r>
      <w:r w:rsidRPr="006571AC">
        <w:rPr>
          <w:rFonts w:ascii="Arial" w:hAnsi="Arial"/>
          <w:sz w:val="27"/>
          <w:shd w:val="clear" w:color="auto" w:fill="FFFFFF"/>
          <w:rtl/>
        </w:rPr>
        <w:t xml:space="preserve"> </w:t>
      </w:r>
      <w:r w:rsidRPr="006571AC">
        <w:rPr>
          <w:rFonts w:ascii="Arial" w:hAnsi="Arial" w:hint="cs"/>
          <w:sz w:val="27"/>
          <w:shd w:val="clear" w:color="auto" w:fill="FFFFFF"/>
          <w:rtl/>
        </w:rPr>
        <w:t>إلى تفسير و</w:t>
      </w:r>
      <w:r w:rsidRPr="006571AC">
        <w:rPr>
          <w:rFonts w:ascii="Arial" w:hAnsi="Arial"/>
          <w:sz w:val="27"/>
          <w:shd w:val="clear" w:color="auto" w:fill="FFFFFF"/>
          <w:rtl/>
        </w:rPr>
        <w:t>معرفة مظاهر السلوك الإنساني</w:t>
      </w:r>
      <w:r w:rsidR="00BD2EB6" w:rsidRPr="006571AC">
        <w:rPr>
          <w:rFonts w:ascii="Arial" w:hAnsi="Arial" w:hint="cs"/>
          <w:sz w:val="27"/>
          <w:shd w:val="clear" w:color="auto" w:fill="FFFFFF"/>
          <w:rtl/>
        </w:rPr>
        <w:t>ّ</w:t>
      </w:r>
      <w:r w:rsidRPr="006571AC">
        <w:rPr>
          <w:rFonts w:ascii="Arial" w:hAnsi="Arial"/>
          <w:sz w:val="27"/>
          <w:shd w:val="clear" w:color="auto" w:fill="FFFFFF"/>
          <w:rtl/>
        </w:rPr>
        <w:t xml:space="preserve"> في مختلف أبعاده</w:t>
      </w:r>
      <w:r w:rsidRPr="006571AC">
        <w:rPr>
          <w:rFonts w:ascii="Arial" w:hAnsi="Arial" w:hint="cs"/>
          <w:sz w:val="27"/>
          <w:shd w:val="clear" w:color="auto" w:fill="FFFFFF"/>
          <w:rtl/>
        </w:rPr>
        <w:t xml:space="preserve"> ومستوياته</w:t>
      </w:r>
      <w:r w:rsidR="00BD2EB6" w:rsidRPr="006571AC">
        <w:rPr>
          <w:rFonts w:ascii="Arial" w:hAnsi="Arial" w:hint="cs"/>
          <w:sz w:val="27"/>
          <w:shd w:val="clear" w:color="auto" w:fill="FFFFFF"/>
          <w:rtl/>
        </w:rPr>
        <w:t>.</w:t>
      </w:r>
      <w:r w:rsidRPr="006571AC">
        <w:rPr>
          <w:rFonts w:ascii="Arial" w:hAnsi="Arial"/>
          <w:sz w:val="27"/>
          <w:shd w:val="clear" w:color="auto" w:fill="FFFFFF"/>
          <w:rtl/>
        </w:rPr>
        <w:t xml:space="preserve"> </w:t>
      </w:r>
      <w:r w:rsidRPr="006571AC">
        <w:rPr>
          <w:rFonts w:ascii="Arial" w:hAnsi="Arial" w:hint="cs"/>
          <w:sz w:val="27"/>
          <w:shd w:val="clear" w:color="auto" w:fill="FFFFFF"/>
          <w:rtl/>
        </w:rPr>
        <w:t>و</w:t>
      </w:r>
      <w:r w:rsidR="00BD2EB6" w:rsidRPr="006571AC">
        <w:rPr>
          <w:rFonts w:ascii="Arial" w:hAnsi="Arial" w:hint="cs"/>
          <w:sz w:val="27"/>
          <w:shd w:val="clear" w:color="auto" w:fill="FFFFFF"/>
          <w:rtl/>
        </w:rPr>
        <w:t>إ</w:t>
      </w:r>
      <w:r w:rsidRPr="006571AC">
        <w:rPr>
          <w:rFonts w:ascii="Arial" w:hAnsi="Arial" w:hint="cs"/>
          <w:sz w:val="27"/>
          <w:shd w:val="clear" w:color="auto" w:fill="FFFFFF"/>
          <w:rtl/>
        </w:rPr>
        <w:t>ن</w:t>
      </w:r>
      <w:r w:rsidR="00872093" w:rsidRPr="006571AC">
        <w:rPr>
          <w:rFonts w:ascii="Arial" w:hAnsi="Arial" w:hint="cs"/>
          <w:sz w:val="27"/>
          <w:shd w:val="clear" w:color="auto" w:fill="FFFFFF"/>
          <w:rtl/>
        </w:rPr>
        <w:t>ْ</w:t>
      </w:r>
      <w:r w:rsidRPr="006571AC">
        <w:rPr>
          <w:rFonts w:ascii="Arial" w:hAnsi="Arial" w:hint="cs"/>
          <w:sz w:val="27"/>
          <w:shd w:val="clear" w:color="auto" w:fill="FFFFFF"/>
          <w:rtl/>
        </w:rPr>
        <w:t xml:space="preserve"> </w:t>
      </w:r>
      <w:r w:rsidR="00BD2EB6" w:rsidRPr="006571AC">
        <w:rPr>
          <w:rFonts w:ascii="Arial" w:hAnsi="Arial" w:hint="cs"/>
          <w:sz w:val="27"/>
          <w:shd w:val="clear" w:color="auto" w:fill="FFFFFF"/>
          <w:rtl/>
        </w:rPr>
        <w:t xml:space="preserve">كان </w:t>
      </w:r>
      <w:r w:rsidRPr="006571AC">
        <w:rPr>
          <w:rFonts w:ascii="Arial" w:hAnsi="Arial" w:hint="cs"/>
          <w:sz w:val="27"/>
          <w:shd w:val="clear" w:color="auto" w:fill="FFFFFF"/>
          <w:rtl/>
        </w:rPr>
        <w:t>الب</w:t>
      </w:r>
      <w:r w:rsidR="00BD2EB6" w:rsidRPr="006571AC">
        <w:rPr>
          <w:rFonts w:ascii="Arial" w:hAnsi="Arial" w:hint="cs"/>
          <w:sz w:val="27"/>
          <w:shd w:val="clear" w:color="auto" w:fill="FFFFFF"/>
          <w:rtl/>
        </w:rPr>
        <w:t>ُ</w:t>
      </w:r>
      <w:r w:rsidRPr="006571AC">
        <w:rPr>
          <w:rFonts w:ascii="Arial" w:hAnsi="Arial" w:hint="cs"/>
          <w:sz w:val="27"/>
          <w:shd w:val="clear" w:color="auto" w:fill="FFFFFF"/>
          <w:rtl/>
        </w:rPr>
        <w:t>ع</w:t>
      </w:r>
      <w:r w:rsidR="00BD2EB6" w:rsidRPr="006571AC">
        <w:rPr>
          <w:rFonts w:ascii="Arial" w:hAnsi="Arial" w:hint="cs"/>
          <w:sz w:val="27"/>
          <w:shd w:val="clear" w:color="auto" w:fill="FFFFFF"/>
          <w:rtl/>
        </w:rPr>
        <w:t>ْ</w:t>
      </w:r>
      <w:r w:rsidRPr="006571AC">
        <w:rPr>
          <w:rFonts w:ascii="Arial" w:hAnsi="Arial" w:hint="cs"/>
          <w:sz w:val="27"/>
          <w:shd w:val="clear" w:color="auto" w:fill="FFFFFF"/>
          <w:rtl/>
        </w:rPr>
        <w:t>د النفسي والاجتماعي هو الغالب</w:t>
      </w:r>
      <w:r w:rsidRPr="006571AC">
        <w:rPr>
          <w:rFonts w:ascii="Arial" w:hAnsi="Arial"/>
          <w:sz w:val="27"/>
          <w:rtl/>
        </w:rPr>
        <w:t xml:space="preserve">. </w:t>
      </w:r>
    </w:p>
    <w:p w:rsidR="0063361B" w:rsidRPr="006571AC" w:rsidRDefault="0063361B" w:rsidP="0063361B">
      <w:pPr>
        <w:spacing w:line="420" w:lineRule="exact"/>
        <w:rPr>
          <w:rFonts w:ascii="Arabic Typesetting" w:hAnsi="Arabic Typesetting"/>
          <w:sz w:val="27"/>
          <w:rtl/>
          <w:lang w:bidi="ar-LB"/>
        </w:rPr>
      </w:pPr>
    </w:p>
    <w:p w:rsidR="0043677F" w:rsidRPr="006571AC" w:rsidRDefault="0043677F" w:rsidP="00962F60">
      <w:pPr>
        <w:pStyle w:val="31"/>
        <w:rPr>
          <w:color w:val="auto"/>
        </w:rPr>
      </w:pPr>
      <w:bookmarkStart w:id="441" w:name="_Toc114164849"/>
      <w:r w:rsidRPr="006571AC">
        <w:rPr>
          <w:rFonts w:hint="cs"/>
          <w:color w:val="auto"/>
          <w:rtl/>
        </w:rPr>
        <w:t>ماهي</w:t>
      </w:r>
      <w:r w:rsidR="00D12571" w:rsidRPr="006571AC">
        <w:rPr>
          <w:rFonts w:hint="cs"/>
          <w:color w:val="auto"/>
          <w:rtl/>
        </w:rPr>
        <w:t>ّ</w:t>
      </w:r>
      <w:r w:rsidRPr="006571AC">
        <w:rPr>
          <w:rFonts w:hint="cs"/>
          <w:color w:val="auto"/>
          <w:rtl/>
        </w:rPr>
        <w:t>ة العلوم الإنساني</w:t>
      </w:r>
      <w:r w:rsidR="00D12571" w:rsidRPr="006571AC">
        <w:rPr>
          <w:rFonts w:hint="cs"/>
          <w:color w:val="auto"/>
          <w:rtl/>
        </w:rPr>
        <w:t>ّ</w:t>
      </w:r>
      <w:r w:rsidRPr="006571AC">
        <w:rPr>
          <w:rFonts w:hint="cs"/>
          <w:color w:val="auto"/>
          <w:rtl/>
        </w:rPr>
        <w:t>ة</w:t>
      </w:r>
      <w:bookmarkEnd w:id="441"/>
      <w:r w:rsidRPr="006571AC">
        <w:rPr>
          <w:rFonts w:hint="cs"/>
          <w:color w:val="auto"/>
          <w:rtl/>
        </w:rPr>
        <w:t xml:space="preserve"> </w:t>
      </w:r>
    </w:p>
    <w:p w:rsidR="0043677F" w:rsidRPr="006571AC" w:rsidRDefault="0043677F" w:rsidP="004F6064">
      <w:pPr>
        <w:tabs>
          <w:tab w:val="left" w:pos="2667"/>
          <w:tab w:val="right" w:pos="5329"/>
        </w:tabs>
        <w:rPr>
          <w:rFonts w:ascii="Arial" w:hAnsi="Arial"/>
          <w:sz w:val="27"/>
          <w:rtl/>
        </w:rPr>
      </w:pPr>
      <w:r w:rsidRPr="006571AC">
        <w:rPr>
          <w:rFonts w:ascii="Arial" w:hAnsi="Arial" w:hint="cs"/>
          <w:sz w:val="27"/>
          <w:rtl/>
        </w:rPr>
        <w:t>إن العادة السائدة بين الباحثين والدارسين أن يتم</w:t>
      </w:r>
      <w:r w:rsidR="00BD2EB6" w:rsidRPr="006571AC">
        <w:rPr>
          <w:rFonts w:ascii="Arial" w:hAnsi="Arial" w:hint="cs"/>
          <w:sz w:val="27"/>
          <w:rtl/>
        </w:rPr>
        <w:t>ّ</w:t>
      </w:r>
      <w:r w:rsidRPr="006571AC">
        <w:rPr>
          <w:rFonts w:ascii="Arial" w:hAnsi="Arial" w:hint="cs"/>
          <w:sz w:val="27"/>
          <w:rtl/>
        </w:rPr>
        <w:t xml:space="preserve"> اختزال العلوم الإنسانية وتوصيفها بأنها تلك العلوم التي تدرس وتشتغل على الإنسان في أحد أبعاده الأساسية </w:t>
      </w:r>
      <w:r w:rsidRPr="006571AC">
        <w:rPr>
          <w:rFonts w:ascii="Arial" w:hAnsi="Arial" w:hint="cs"/>
          <w:sz w:val="27"/>
          <w:rtl/>
        </w:rPr>
        <w:lastRenderedPageBreak/>
        <w:t>المشك</w:t>
      </w:r>
      <w:r w:rsidR="00BD2EB6" w:rsidRPr="006571AC">
        <w:rPr>
          <w:rFonts w:ascii="Arial" w:hAnsi="Arial" w:hint="cs"/>
          <w:sz w:val="27"/>
          <w:rtl/>
        </w:rPr>
        <w:t>ِّ</w:t>
      </w:r>
      <w:r w:rsidRPr="006571AC">
        <w:rPr>
          <w:rFonts w:ascii="Arial" w:hAnsi="Arial" w:hint="cs"/>
          <w:sz w:val="27"/>
          <w:rtl/>
        </w:rPr>
        <w:t>لة لذاته ولشخصي</w:t>
      </w:r>
      <w:r w:rsidR="00BD2EB6" w:rsidRPr="006571AC">
        <w:rPr>
          <w:rFonts w:ascii="Arial" w:hAnsi="Arial" w:hint="cs"/>
          <w:sz w:val="27"/>
          <w:rtl/>
        </w:rPr>
        <w:t>ِّ</w:t>
      </w:r>
      <w:r w:rsidRPr="006571AC">
        <w:rPr>
          <w:rFonts w:ascii="Arial" w:hAnsi="Arial" w:hint="cs"/>
          <w:sz w:val="27"/>
          <w:rtl/>
        </w:rPr>
        <w:t>ته</w:t>
      </w:r>
      <w:r w:rsidR="00BD2EB6" w:rsidRPr="006571AC">
        <w:rPr>
          <w:rFonts w:ascii="Arial" w:hAnsi="Arial" w:hint="cs"/>
          <w:sz w:val="27"/>
          <w:rtl/>
        </w:rPr>
        <w:t>،</w:t>
      </w:r>
      <w:r w:rsidRPr="006571AC">
        <w:rPr>
          <w:rFonts w:ascii="Arial" w:hAnsi="Arial" w:hint="cs"/>
          <w:sz w:val="27"/>
          <w:rtl/>
        </w:rPr>
        <w:t xml:space="preserve"> في ب</w:t>
      </w:r>
      <w:r w:rsidR="00BD2EB6" w:rsidRPr="006571AC">
        <w:rPr>
          <w:rFonts w:ascii="Arial" w:hAnsi="Arial" w:hint="cs"/>
          <w:sz w:val="27"/>
          <w:rtl/>
        </w:rPr>
        <w:t>ُ</w:t>
      </w:r>
      <w:r w:rsidRPr="006571AC">
        <w:rPr>
          <w:rFonts w:ascii="Arial" w:hAnsi="Arial" w:hint="cs"/>
          <w:sz w:val="27"/>
          <w:rtl/>
        </w:rPr>
        <w:t>ع</w:t>
      </w:r>
      <w:r w:rsidR="00BD2EB6" w:rsidRPr="006571AC">
        <w:rPr>
          <w:rFonts w:ascii="Arial" w:hAnsi="Arial" w:hint="cs"/>
          <w:sz w:val="27"/>
          <w:rtl/>
        </w:rPr>
        <w:t>ْ</w:t>
      </w:r>
      <w:r w:rsidRPr="006571AC">
        <w:rPr>
          <w:rFonts w:ascii="Arial" w:hAnsi="Arial" w:hint="cs"/>
          <w:sz w:val="27"/>
          <w:rtl/>
        </w:rPr>
        <w:t>دها النفسي أو الاجتماعي أو الق</w:t>
      </w:r>
      <w:r w:rsidR="00BD2EB6" w:rsidRPr="006571AC">
        <w:rPr>
          <w:rFonts w:ascii="Arial" w:hAnsi="Arial" w:hint="cs"/>
          <w:sz w:val="27"/>
          <w:rtl/>
        </w:rPr>
        <w:t>ِ</w:t>
      </w:r>
      <w:r w:rsidRPr="006571AC">
        <w:rPr>
          <w:rFonts w:ascii="Arial" w:hAnsi="Arial" w:hint="cs"/>
          <w:sz w:val="27"/>
          <w:rtl/>
        </w:rPr>
        <w:t>ي</w:t>
      </w:r>
      <w:r w:rsidR="00BD2EB6" w:rsidRPr="006571AC">
        <w:rPr>
          <w:rFonts w:ascii="Arial" w:hAnsi="Arial" w:hint="cs"/>
          <w:sz w:val="27"/>
          <w:rtl/>
        </w:rPr>
        <w:t>َ</w:t>
      </w:r>
      <w:r w:rsidRPr="006571AC">
        <w:rPr>
          <w:rFonts w:ascii="Arial" w:hAnsi="Arial" w:hint="cs"/>
          <w:sz w:val="27"/>
          <w:rtl/>
        </w:rPr>
        <w:t>مي،</w:t>
      </w:r>
      <w:r w:rsidRPr="006571AC">
        <w:rPr>
          <w:rFonts w:ascii="Arial" w:hAnsi="Arial"/>
          <w:sz w:val="27"/>
          <w:rtl/>
        </w:rPr>
        <w:t xml:space="preserve"> </w:t>
      </w:r>
      <w:r w:rsidRPr="006571AC">
        <w:rPr>
          <w:rFonts w:ascii="Arial" w:hAnsi="Arial" w:hint="cs"/>
          <w:sz w:val="27"/>
          <w:rtl/>
        </w:rPr>
        <w:t>علما</w:t>
      </w:r>
      <w:r w:rsidR="00BD2EB6" w:rsidRPr="006571AC">
        <w:rPr>
          <w:rFonts w:ascii="Arial" w:hAnsi="Arial" w:hint="cs"/>
          <w:sz w:val="27"/>
          <w:rtl/>
        </w:rPr>
        <w:t>ً</w:t>
      </w:r>
      <w:r w:rsidRPr="006571AC">
        <w:rPr>
          <w:rFonts w:ascii="Arial" w:hAnsi="Arial" w:hint="cs"/>
          <w:sz w:val="27"/>
          <w:rtl/>
        </w:rPr>
        <w:t xml:space="preserve"> أن من السياقات المشج</w:t>
      </w:r>
      <w:r w:rsidR="00BD2EB6" w:rsidRPr="006571AC">
        <w:rPr>
          <w:rFonts w:ascii="Arial" w:hAnsi="Arial" w:hint="cs"/>
          <w:sz w:val="27"/>
          <w:rtl/>
        </w:rPr>
        <w:t>ِّ</w:t>
      </w:r>
      <w:r w:rsidRPr="006571AC">
        <w:rPr>
          <w:rFonts w:ascii="Arial" w:hAnsi="Arial" w:hint="cs"/>
          <w:sz w:val="27"/>
          <w:rtl/>
        </w:rPr>
        <w:t>عة والمحف</w:t>
      </w:r>
      <w:r w:rsidR="00BD2EB6" w:rsidRPr="006571AC">
        <w:rPr>
          <w:rFonts w:ascii="Arial" w:hAnsi="Arial" w:hint="cs"/>
          <w:sz w:val="27"/>
          <w:rtl/>
        </w:rPr>
        <w:t>ِّ</w:t>
      </w:r>
      <w:r w:rsidRPr="006571AC">
        <w:rPr>
          <w:rFonts w:ascii="Arial" w:hAnsi="Arial" w:hint="cs"/>
          <w:sz w:val="27"/>
          <w:rtl/>
        </w:rPr>
        <w:t>زة التي ساهم</w:t>
      </w:r>
      <w:r w:rsidR="00BD2EB6" w:rsidRPr="006571AC">
        <w:rPr>
          <w:rFonts w:ascii="Arial" w:hAnsi="Arial" w:hint="cs"/>
          <w:sz w:val="27"/>
          <w:rtl/>
        </w:rPr>
        <w:t>َ</w:t>
      </w:r>
      <w:r w:rsidRPr="006571AC">
        <w:rPr>
          <w:rFonts w:ascii="Arial" w:hAnsi="Arial" w:hint="cs"/>
          <w:sz w:val="27"/>
          <w:rtl/>
        </w:rPr>
        <w:t>ت</w:t>
      </w:r>
      <w:r w:rsidR="00BD2EB6" w:rsidRPr="006571AC">
        <w:rPr>
          <w:rFonts w:ascii="Arial" w:hAnsi="Arial" w:hint="cs"/>
          <w:sz w:val="27"/>
          <w:rtl/>
        </w:rPr>
        <w:t>ْ</w:t>
      </w:r>
      <w:r w:rsidRPr="006571AC">
        <w:rPr>
          <w:rFonts w:ascii="Arial" w:hAnsi="Arial" w:hint="cs"/>
          <w:sz w:val="27"/>
          <w:rtl/>
        </w:rPr>
        <w:t xml:space="preserve"> في ظهور </w:t>
      </w:r>
      <w:r w:rsidRPr="006571AC">
        <w:rPr>
          <w:rFonts w:ascii="Arial" w:hAnsi="Arial"/>
          <w:sz w:val="27"/>
          <w:rtl/>
        </w:rPr>
        <w:t>هذه العلوم</w:t>
      </w:r>
      <w:r w:rsidRPr="006571AC">
        <w:rPr>
          <w:rFonts w:ascii="Arial" w:hAnsi="Arial" w:hint="cs"/>
          <w:sz w:val="27"/>
          <w:rtl/>
        </w:rPr>
        <w:t xml:space="preserve"> هو سياق ظهور النزع</w:t>
      </w:r>
      <w:r w:rsidRPr="006571AC">
        <w:rPr>
          <w:rFonts w:ascii="Arial" w:hAnsi="Arial" w:hint="eastAsia"/>
          <w:sz w:val="27"/>
          <w:rtl/>
        </w:rPr>
        <w:t>ة</w:t>
      </w:r>
      <w:r w:rsidRPr="006571AC">
        <w:rPr>
          <w:rFonts w:ascii="Arial" w:hAnsi="Arial"/>
          <w:sz w:val="27"/>
          <w:rtl/>
        </w:rPr>
        <w:t xml:space="preserve"> الإنسانية </w:t>
      </w:r>
      <w:r w:rsidRPr="006571AC">
        <w:rPr>
          <w:rFonts w:ascii="Arial" w:hAnsi="Arial" w:hint="cs"/>
          <w:sz w:val="27"/>
          <w:rtl/>
        </w:rPr>
        <w:t>التي</w:t>
      </w:r>
      <w:r w:rsidRPr="006571AC">
        <w:rPr>
          <w:rFonts w:ascii="Arial" w:hAnsi="Arial"/>
          <w:sz w:val="27"/>
          <w:rtl/>
        </w:rPr>
        <w:t xml:space="preserve"> عرفها العالم </w:t>
      </w:r>
      <w:r w:rsidRPr="006571AC">
        <w:rPr>
          <w:rFonts w:ascii="Arial" w:hAnsi="Arial" w:hint="cs"/>
          <w:sz w:val="27"/>
          <w:rtl/>
        </w:rPr>
        <w:t>المعاصر، و</w:t>
      </w:r>
      <w:r w:rsidRPr="006571AC">
        <w:rPr>
          <w:rFonts w:ascii="Arial" w:hAnsi="Arial"/>
          <w:sz w:val="27"/>
          <w:rtl/>
        </w:rPr>
        <w:t>ارتبط</w:t>
      </w:r>
      <w:r w:rsidR="00BD2EB6" w:rsidRPr="006571AC">
        <w:rPr>
          <w:rFonts w:ascii="Arial" w:hAnsi="Arial" w:hint="cs"/>
          <w:sz w:val="27"/>
          <w:rtl/>
        </w:rPr>
        <w:t>َ</w:t>
      </w:r>
      <w:r w:rsidRPr="006571AC">
        <w:rPr>
          <w:rFonts w:ascii="Arial" w:hAnsi="Arial" w:hint="cs"/>
          <w:sz w:val="27"/>
          <w:rtl/>
        </w:rPr>
        <w:t>ت</w:t>
      </w:r>
      <w:r w:rsidR="00BD2EB6" w:rsidRPr="006571AC">
        <w:rPr>
          <w:rFonts w:ascii="Arial" w:hAnsi="Arial" w:hint="cs"/>
          <w:sz w:val="27"/>
          <w:rtl/>
        </w:rPr>
        <w:t>ْ</w:t>
      </w:r>
      <w:r w:rsidRPr="006571AC">
        <w:rPr>
          <w:rFonts w:ascii="Arial" w:hAnsi="Arial" w:hint="cs"/>
          <w:sz w:val="27"/>
          <w:rtl/>
        </w:rPr>
        <w:t xml:space="preserve"> بشكل</w:t>
      </w:r>
      <w:r w:rsidR="00BD2EB6" w:rsidRPr="006571AC">
        <w:rPr>
          <w:rFonts w:ascii="Arial" w:hAnsi="Arial" w:hint="cs"/>
          <w:sz w:val="27"/>
          <w:rtl/>
        </w:rPr>
        <w:t>ٍ</w:t>
      </w:r>
      <w:r w:rsidRPr="006571AC">
        <w:rPr>
          <w:rFonts w:ascii="Arial" w:hAnsi="Arial" w:hint="cs"/>
          <w:sz w:val="27"/>
          <w:rtl/>
        </w:rPr>
        <w:t xml:space="preserve"> خاص</w:t>
      </w:r>
      <w:r w:rsidR="00BD2EB6"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بعصر الأنوار الأوروبية</w:t>
      </w:r>
      <w:r w:rsidR="00BD2EB6" w:rsidRPr="006571AC">
        <w:rPr>
          <w:rFonts w:ascii="Arial" w:hAnsi="Arial" w:hint="cs"/>
          <w:sz w:val="27"/>
          <w:rtl/>
        </w:rPr>
        <w:t>.</w:t>
      </w:r>
      <w:r w:rsidRPr="006571AC">
        <w:rPr>
          <w:rFonts w:ascii="Arial" w:hAnsi="Arial" w:hint="cs"/>
          <w:sz w:val="27"/>
          <w:rtl/>
        </w:rPr>
        <w:t xml:space="preserve"> لكن</w:t>
      </w:r>
      <w:r w:rsidR="00BD2EB6" w:rsidRPr="006571AC">
        <w:rPr>
          <w:rFonts w:ascii="Arial" w:hAnsi="Arial" w:hint="cs"/>
          <w:sz w:val="27"/>
          <w:rtl/>
        </w:rPr>
        <w:t>ّ</w:t>
      </w:r>
      <w:r w:rsidRPr="006571AC">
        <w:rPr>
          <w:rFonts w:ascii="Arial" w:hAnsi="Arial" w:hint="cs"/>
          <w:sz w:val="27"/>
          <w:rtl/>
        </w:rPr>
        <w:t xml:space="preserve"> </w:t>
      </w:r>
      <w:r w:rsidR="00BD2EB6" w:rsidRPr="006571AC">
        <w:rPr>
          <w:rFonts w:ascii="Arial" w:hAnsi="Arial" w:hint="cs"/>
          <w:sz w:val="27"/>
          <w:rtl/>
        </w:rPr>
        <w:t>أ</w:t>
      </w:r>
      <w:r w:rsidRPr="006571AC">
        <w:rPr>
          <w:rFonts w:ascii="Arial" w:hAnsi="Arial" w:hint="cs"/>
          <w:sz w:val="27"/>
          <w:rtl/>
        </w:rPr>
        <w:t>كبر ما تحق</w:t>
      </w:r>
      <w:r w:rsidR="00BD2EB6" w:rsidRPr="006571AC">
        <w:rPr>
          <w:rFonts w:ascii="Arial" w:hAnsi="Arial" w:hint="cs"/>
          <w:sz w:val="27"/>
          <w:rtl/>
        </w:rPr>
        <w:t>َّ</w:t>
      </w:r>
      <w:r w:rsidRPr="006571AC">
        <w:rPr>
          <w:rFonts w:ascii="Arial" w:hAnsi="Arial" w:hint="cs"/>
          <w:sz w:val="27"/>
          <w:rtl/>
        </w:rPr>
        <w:t>ق في العلوم الإنسانية في مسارها وتطو</w:t>
      </w:r>
      <w:r w:rsidR="00BD2EB6" w:rsidRPr="006571AC">
        <w:rPr>
          <w:rFonts w:ascii="Arial" w:hAnsi="Arial" w:hint="cs"/>
          <w:sz w:val="27"/>
          <w:rtl/>
        </w:rPr>
        <w:t>ُّ</w:t>
      </w:r>
      <w:r w:rsidRPr="006571AC">
        <w:rPr>
          <w:rFonts w:ascii="Arial" w:hAnsi="Arial" w:hint="cs"/>
          <w:sz w:val="27"/>
          <w:rtl/>
        </w:rPr>
        <w:t>رها التاريخي البعيد هو</w:t>
      </w:r>
      <w:r w:rsidRPr="006571AC">
        <w:rPr>
          <w:rFonts w:ascii="Arial" w:hAnsi="Arial"/>
          <w:sz w:val="27"/>
          <w:rtl/>
        </w:rPr>
        <w:t xml:space="preserve"> استقلالها وانفصالها </w:t>
      </w:r>
      <w:r w:rsidRPr="006571AC">
        <w:rPr>
          <w:rFonts w:ascii="Arial" w:hAnsi="Arial" w:hint="cs"/>
          <w:sz w:val="27"/>
          <w:rtl/>
        </w:rPr>
        <w:t>بشكل</w:t>
      </w:r>
      <w:r w:rsidR="00BD2EB6" w:rsidRPr="006571AC">
        <w:rPr>
          <w:rFonts w:ascii="Arial" w:hAnsi="Arial" w:hint="cs"/>
          <w:sz w:val="27"/>
          <w:rtl/>
        </w:rPr>
        <w:t>ٍ</w:t>
      </w:r>
      <w:r w:rsidRPr="006571AC">
        <w:rPr>
          <w:rFonts w:ascii="Arial" w:hAnsi="Arial" w:hint="cs"/>
          <w:sz w:val="27"/>
          <w:rtl/>
        </w:rPr>
        <w:t xml:space="preserve"> كل</w:t>
      </w:r>
      <w:r w:rsidR="00BD2EB6" w:rsidRPr="006571AC">
        <w:rPr>
          <w:rFonts w:ascii="Arial" w:hAnsi="Arial" w:hint="cs"/>
          <w:sz w:val="27"/>
          <w:rtl/>
        </w:rPr>
        <w:t>ِّ</w:t>
      </w:r>
      <w:r w:rsidRPr="006571AC">
        <w:rPr>
          <w:rFonts w:ascii="Arial" w:hAnsi="Arial" w:hint="cs"/>
          <w:sz w:val="27"/>
          <w:rtl/>
        </w:rPr>
        <w:t xml:space="preserve">ي ونهائي </w:t>
      </w:r>
      <w:r w:rsidRPr="006571AC">
        <w:rPr>
          <w:rFonts w:ascii="Arial" w:hAnsi="Arial"/>
          <w:sz w:val="27"/>
          <w:rtl/>
        </w:rPr>
        <w:t>عن الفلسفة</w:t>
      </w:r>
      <w:r w:rsidR="00BD2EB6" w:rsidRPr="006571AC">
        <w:rPr>
          <w:rFonts w:ascii="Arial" w:hAnsi="Arial" w:hint="cs"/>
          <w:sz w:val="27"/>
          <w:rtl/>
        </w:rPr>
        <w:t xml:space="preserve">، </w:t>
      </w:r>
      <w:r w:rsidRPr="006571AC">
        <w:rPr>
          <w:rFonts w:ascii="Arial" w:hAnsi="Arial"/>
          <w:sz w:val="27"/>
          <w:rtl/>
        </w:rPr>
        <w:t>التي كانت محتضنة</w:t>
      </w:r>
      <w:r w:rsidR="00BD2EB6" w:rsidRPr="006571AC">
        <w:rPr>
          <w:rFonts w:ascii="Arial" w:hAnsi="Arial" w:hint="cs"/>
          <w:sz w:val="27"/>
          <w:rtl/>
        </w:rPr>
        <w:t>ً</w:t>
      </w:r>
      <w:r w:rsidRPr="006571AC">
        <w:rPr>
          <w:rFonts w:ascii="Arial" w:hAnsi="Arial"/>
          <w:sz w:val="27"/>
          <w:rtl/>
        </w:rPr>
        <w:t xml:space="preserve"> لها</w:t>
      </w:r>
      <w:r w:rsidRPr="006571AC">
        <w:rPr>
          <w:rFonts w:ascii="Arial" w:hAnsi="Arial" w:hint="cs"/>
          <w:sz w:val="27"/>
          <w:rtl/>
        </w:rPr>
        <w:t xml:space="preserve"> ومتعايشة</w:t>
      </w:r>
      <w:r w:rsidR="00BD2EB6" w:rsidRPr="006571AC">
        <w:rPr>
          <w:rFonts w:ascii="Arial" w:hAnsi="Arial" w:hint="cs"/>
          <w:sz w:val="27"/>
          <w:rtl/>
        </w:rPr>
        <w:t>ً</w:t>
      </w:r>
      <w:r w:rsidRPr="006571AC">
        <w:rPr>
          <w:rFonts w:ascii="Arial" w:hAnsi="Arial" w:hint="cs"/>
          <w:sz w:val="27"/>
          <w:rtl/>
        </w:rPr>
        <w:t xml:space="preserve"> معها لفترة</w:t>
      </w:r>
      <w:r w:rsidR="00BD2EB6" w:rsidRPr="006571AC">
        <w:rPr>
          <w:rFonts w:ascii="Arial" w:hAnsi="Arial" w:hint="cs"/>
          <w:sz w:val="27"/>
          <w:rtl/>
        </w:rPr>
        <w:t>ٍ</w:t>
      </w:r>
      <w:r w:rsidRPr="006571AC">
        <w:rPr>
          <w:rFonts w:ascii="Arial" w:hAnsi="Arial" w:hint="cs"/>
          <w:sz w:val="27"/>
          <w:rtl/>
        </w:rPr>
        <w:t xml:space="preserve"> طويلة، وانفرادها وتمي</w:t>
      </w:r>
      <w:r w:rsidR="00BD2EB6" w:rsidRPr="006571AC">
        <w:rPr>
          <w:rFonts w:ascii="Arial" w:hAnsi="Arial" w:hint="cs"/>
          <w:sz w:val="27"/>
          <w:rtl/>
        </w:rPr>
        <w:t>ُّ</w:t>
      </w:r>
      <w:r w:rsidRPr="006571AC">
        <w:rPr>
          <w:rFonts w:ascii="Arial" w:hAnsi="Arial" w:hint="cs"/>
          <w:sz w:val="27"/>
          <w:rtl/>
        </w:rPr>
        <w:t>زها بموضوعها واختصاصها</w:t>
      </w:r>
      <w:r w:rsidR="00BD2EB6" w:rsidRPr="006571AC">
        <w:rPr>
          <w:rFonts w:ascii="Arial" w:hAnsi="Arial" w:hint="cs"/>
          <w:sz w:val="27"/>
          <w:rtl/>
        </w:rPr>
        <w:t>،</w:t>
      </w:r>
      <w:r w:rsidRPr="006571AC">
        <w:rPr>
          <w:rFonts w:ascii="Arial" w:hAnsi="Arial" w:hint="cs"/>
          <w:sz w:val="27"/>
          <w:rtl/>
        </w:rPr>
        <w:t xml:space="preserve"> بمناهجها وبمفاهيمها</w:t>
      </w:r>
      <w:r w:rsidRPr="006571AC">
        <w:rPr>
          <w:rFonts w:ascii="Arial" w:hAnsi="Arial"/>
          <w:sz w:val="27"/>
          <w:rtl/>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 xml:space="preserve">وبالتالي فقد ظهرت العلوم </w:t>
      </w:r>
      <w:r w:rsidRPr="006571AC">
        <w:rPr>
          <w:rFonts w:ascii="Arial" w:hAnsi="Arial" w:hint="cs"/>
          <w:sz w:val="27"/>
          <w:rtl/>
        </w:rPr>
        <w:t>الإنساني</w:t>
      </w:r>
      <w:r w:rsidR="00BD2EB6" w:rsidRPr="006571AC">
        <w:rPr>
          <w:rFonts w:ascii="Arial" w:hAnsi="Arial" w:hint="cs"/>
          <w:sz w:val="27"/>
          <w:rtl/>
        </w:rPr>
        <w:t>ّ</w:t>
      </w:r>
      <w:r w:rsidRPr="006571AC">
        <w:rPr>
          <w:rFonts w:ascii="Arial" w:hAnsi="Arial" w:hint="cs"/>
          <w:sz w:val="27"/>
          <w:rtl/>
        </w:rPr>
        <w:t>ة والاجتماعي</w:t>
      </w:r>
      <w:r w:rsidR="00BD2EB6" w:rsidRPr="006571AC">
        <w:rPr>
          <w:rFonts w:ascii="Arial" w:hAnsi="Arial" w:hint="cs"/>
          <w:sz w:val="27"/>
          <w:rtl/>
        </w:rPr>
        <w:t>ّ</w:t>
      </w:r>
      <w:r w:rsidRPr="006571AC">
        <w:rPr>
          <w:rFonts w:ascii="Arial" w:hAnsi="Arial" w:hint="eastAsia"/>
          <w:sz w:val="27"/>
          <w:rtl/>
        </w:rPr>
        <w:t>ة</w:t>
      </w:r>
      <w:r w:rsidR="000E4FA7" w:rsidRPr="006571AC">
        <w:rPr>
          <w:rFonts w:ascii="Arial" w:hAnsi="Arial" w:hint="cs"/>
          <w:sz w:val="27"/>
          <w:rtl/>
        </w:rPr>
        <w:t>؛</w:t>
      </w:r>
      <w:r w:rsidRPr="006571AC">
        <w:rPr>
          <w:rFonts w:ascii="Arial" w:hAnsi="Arial" w:hint="cs"/>
          <w:sz w:val="27"/>
          <w:rtl/>
        </w:rPr>
        <w:t xml:space="preserve"> ل</w:t>
      </w:r>
      <w:r w:rsidRPr="006571AC">
        <w:rPr>
          <w:rFonts w:ascii="Arial" w:hAnsi="Arial"/>
          <w:sz w:val="27"/>
          <w:rtl/>
        </w:rPr>
        <w:t>تتبوّأ مكانةً علميّة</w:t>
      </w:r>
      <w:r w:rsidR="00BD2EB6" w:rsidRPr="006571AC">
        <w:rPr>
          <w:rFonts w:ascii="Arial" w:hAnsi="Arial" w:hint="cs"/>
          <w:sz w:val="27"/>
          <w:rtl/>
        </w:rPr>
        <w:t>ً</w:t>
      </w:r>
      <w:r w:rsidRPr="006571AC">
        <w:rPr>
          <w:rFonts w:ascii="Arial" w:hAnsi="Arial"/>
          <w:sz w:val="27"/>
          <w:rtl/>
        </w:rPr>
        <w:t xml:space="preserve"> مهمّة</w:t>
      </w:r>
      <w:r w:rsidRPr="006571AC">
        <w:rPr>
          <w:rFonts w:ascii="Arial" w:hAnsi="Arial" w:hint="cs"/>
          <w:sz w:val="27"/>
          <w:rtl/>
        </w:rPr>
        <w:t xml:space="preserve"> وخاص</w:t>
      </w:r>
      <w:r w:rsidR="00BD2EB6" w:rsidRPr="006571AC">
        <w:rPr>
          <w:rFonts w:ascii="Arial" w:hAnsi="Arial" w:hint="cs"/>
          <w:sz w:val="27"/>
          <w:rtl/>
        </w:rPr>
        <w:t>ّ</w:t>
      </w:r>
      <w:r w:rsidRPr="006571AC">
        <w:rPr>
          <w:rFonts w:ascii="Arial" w:hAnsi="Arial" w:hint="cs"/>
          <w:sz w:val="27"/>
          <w:rtl/>
        </w:rPr>
        <w:t xml:space="preserve">ة بين العلوم </w:t>
      </w:r>
      <w:r w:rsidRPr="006571AC">
        <w:rPr>
          <w:rFonts w:ascii="Arial" w:hAnsi="Arial" w:hint="cs"/>
          <w:sz w:val="27"/>
          <w:rtl/>
          <w:lang w:bidi="ar-MA"/>
        </w:rPr>
        <w:t>الحديثة</w:t>
      </w:r>
      <w:r w:rsidR="000E4FA7" w:rsidRPr="006571AC">
        <w:rPr>
          <w:rFonts w:ascii="Arial" w:hAnsi="Arial" w:hint="cs"/>
          <w:sz w:val="27"/>
          <w:rtl/>
          <w:lang w:bidi="ar-MA"/>
        </w:rPr>
        <w:t>؛</w:t>
      </w:r>
      <w:r w:rsidRPr="006571AC">
        <w:rPr>
          <w:rFonts w:ascii="Arial" w:hAnsi="Arial" w:hint="cs"/>
          <w:sz w:val="27"/>
          <w:rtl/>
          <w:lang w:bidi="ar-MA"/>
        </w:rPr>
        <w:t xml:space="preserve"> ولتعبر وتشخ</w:t>
      </w:r>
      <w:r w:rsidRPr="006571AC">
        <w:rPr>
          <w:rFonts w:ascii="Arial" w:hAnsi="Arial" w:hint="eastAsia"/>
          <w:sz w:val="27"/>
          <w:rtl/>
          <w:lang w:bidi="ar-MA"/>
        </w:rPr>
        <w:t>ص</w:t>
      </w:r>
      <w:r w:rsidRPr="006571AC">
        <w:rPr>
          <w:rFonts w:ascii="Arial" w:hAnsi="Arial" w:hint="cs"/>
          <w:sz w:val="27"/>
          <w:rtl/>
          <w:lang w:bidi="ar-MA"/>
        </w:rPr>
        <w:t xml:space="preserve"> للتحو</w:t>
      </w:r>
      <w:r w:rsidR="000E4FA7" w:rsidRPr="006571AC">
        <w:rPr>
          <w:rFonts w:ascii="Arial" w:hAnsi="Arial" w:hint="cs"/>
          <w:sz w:val="27"/>
          <w:rtl/>
          <w:lang w:bidi="ar-MA"/>
        </w:rPr>
        <w:t>ُّ</w:t>
      </w:r>
      <w:r w:rsidRPr="006571AC">
        <w:rPr>
          <w:rFonts w:ascii="Arial" w:hAnsi="Arial" w:hint="cs"/>
          <w:sz w:val="27"/>
          <w:rtl/>
          <w:lang w:bidi="ar-MA"/>
        </w:rPr>
        <w:t>ل الكبير وللنقل</w:t>
      </w:r>
      <w:r w:rsidRPr="006571AC">
        <w:rPr>
          <w:rFonts w:ascii="Arial" w:hAnsi="Arial" w:hint="eastAsia"/>
          <w:sz w:val="27"/>
          <w:rtl/>
          <w:lang w:bidi="ar-MA"/>
        </w:rPr>
        <w:t>ة</w:t>
      </w:r>
      <w:r w:rsidRPr="006571AC">
        <w:rPr>
          <w:rFonts w:ascii="Arial" w:hAnsi="Arial" w:hint="cs"/>
          <w:sz w:val="27"/>
          <w:rtl/>
          <w:lang w:bidi="ar-MA"/>
        </w:rPr>
        <w:t xml:space="preserve"> العلمية وللطفرة العميقة التي طرأ</w:t>
      </w:r>
      <w:r w:rsidR="000E4FA7" w:rsidRPr="006571AC">
        <w:rPr>
          <w:rFonts w:ascii="Arial" w:hAnsi="Arial" w:hint="cs"/>
          <w:sz w:val="27"/>
          <w:rtl/>
          <w:lang w:bidi="ar-MA"/>
        </w:rPr>
        <w:t>َ</w:t>
      </w:r>
      <w:r w:rsidRPr="006571AC">
        <w:rPr>
          <w:rFonts w:ascii="Arial" w:hAnsi="Arial" w:hint="cs"/>
          <w:sz w:val="27"/>
          <w:rtl/>
          <w:lang w:bidi="ar-MA"/>
        </w:rPr>
        <w:t>ت</w:t>
      </w:r>
      <w:r w:rsidR="000E4FA7" w:rsidRPr="006571AC">
        <w:rPr>
          <w:rFonts w:ascii="Arial" w:hAnsi="Arial" w:hint="cs"/>
          <w:sz w:val="27"/>
          <w:rtl/>
          <w:lang w:bidi="ar-MA"/>
        </w:rPr>
        <w:t>ْ</w:t>
      </w:r>
      <w:r w:rsidRPr="006571AC">
        <w:rPr>
          <w:rFonts w:ascii="Arial" w:hAnsi="Arial" w:hint="cs"/>
          <w:sz w:val="27"/>
          <w:rtl/>
          <w:lang w:bidi="ar-MA"/>
        </w:rPr>
        <w:t xml:space="preserve"> وحدث</w:t>
      </w:r>
      <w:r w:rsidR="000E4FA7" w:rsidRPr="006571AC">
        <w:rPr>
          <w:rFonts w:ascii="Arial" w:hAnsi="Arial" w:hint="cs"/>
          <w:sz w:val="27"/>
          <w:rtl/>
          <w:lang w:bidi="ar-MA"/>
        </w:rPr>
        <w:t>َ</w:t>
      </w:r>
      <w:r w:rsidRPr="006571AC">
        <w:rPr>
          <w:rFonts w:ascii="Arial" w:hAnsi="Arial" w:hint="cs"/>
          <w:sz w:val="27"/>
          <w:rtl/>
          <w:lang w:bidi="ar-MA"/>
        </w:rPr>
        <w:t>ت</w:t>
      </w:r>
      <w:r w:rsidR="000E4FA7" w:rsidRPr="006571AC">
        <w:rPr>
          <w:rFonts w:ascii="Arial" w:hAnsi="Arial" w:hint="cs"/>
          <w:sz w:val="27"/>
          <w:rtl/>
          <w:lang w:bidi="ar-MA"/>
        </w:rPr>
        <w:t>ْ</w:t>
      </w:r>
      <w:r w:rsidRPr="006571AC">
        <w:rPr>
          <w:rFonts w:ascii="Arial" w:hAnsi="Arial" w:hint="cs"/>
          <w:sz w:val="27"/>
          <w:rtl/>
          <w:lang w:bidi="ar-MA"/>
        </w:rPr>
        <w:t xml:space="preserve"> في المجتمعات الغربية في المستوى الثقافي والفكري والاجتماعي والمؤس</w:t>
      </w:r>
      <w:r w:rsidR="000E4FA7" w:rsidRPr="006571AC">
        <w:rPr>
          <w:rFonts w:ascii="Arial" w:hAnsi="Arial" w:hint="cs"/>
          <w:sz w:val="27"/>
          <w:rtl/>
          <w:lang w:bidi="ar-MA"/>
        </w:rPr>
        <w:t>َّ</w:t>
      </w:r>
      <w:r w:rsidRPr="006571AC">
        <w:rPr>
          <w:rFonts w:ascii="Arial" w:hAnsi="Arial" w:hint="cs"/>
          <w:sz w:val="27"/>
          <w:rtl/>
          <w:lang w:bidi="ar-MA"/>
        </w:rPr>
        <w:t>ساتي والتربوي والق</w:t>
      </w:r>
      <w:r w:rsidR="000E4FA7" w:rsidRPr="006571AC">
        <w:rPr>
          <w:rFonts w:ascii="Arial" w:hAnsi="Arial" w:hint="cs"/>
          <w:sz w:val="27"/>
          <w:rtl/>
          <w:lang w:bidi="ar-MA"/>
        </w:rPr>
        <w:t>ِ</w:t>
      </w:r>
      <w:r w:rsidRPr="006571AC">
        <w:rPr>
          <w:rFonts w:ascii="Arial" w:hAnsi="Arial" w:hint="cs"/>
          <w:sz w:val="27"/>
          <w:rtl/>
          <w:lang w:bidi="ar-MA"/>
        </w:rPr>
        <w:t>ي</w:t>
      </w:r>
      <w:r w:rsidR="000E4FA7" w:rsidRPr="006571AC">
        <w:rPr>
          <w:rFonts w:ascii="Arial" w:hAnsi="Arial" w:hint="cs"/>
          <w:sz w:val="27"/>
          <w:rtl/>
          <w:lang w:bidi="ar-MA"/>
        </w:rPr>
        <w:t>َ</w:t>
      </w:r>
      <w:r w:rsidRPr="006571AC">
        <w:rPr>
          <w:rFonts w:ascii="Arial" w:hAnsi="Arial" w:hint="cs"/>
          <w:sz w:val="27"/>
          <w:rtl/>
          <w:lang w:bidi="ar-MA"/>
        </w:rPr>
        <w:t>مي من جهة</w:t>
      </w:r>
      <w:r w:rsidR="000E4FA7" w:rsidRPr="006571AC">
        <w:rPr>
          <w:rFonts w:ascii="Arial" w:hAnsi="Arial" w:hint="cs"/>
          <w:sz w:val="27"/>
          <w:rtl/>
          <w:lang w:bidi="ar-MA"/>
        </w:rPr>
        <w:t>ٍ؛</w:t>
      </w:r>
      <w:r w:rsidRPr="006571AC">
        <w:rPr>
          <w:rFonts w:ascii="Arial" w:hAnsi="Arial" w:hint="cs"/>
          <w:sz w:val="27"/>
          <w:rtl/>
          <w:lang w:bidi="ar-MA"/>
        </w:rPr>
        <w:t xml:space="preserve"> ولتجيب على أهم</w:t>
      </w:r>
      <w:r w:rsidR="000E4FA7" w:rsidRPr="006571AC">
        <w:rPr>
          <w:rFonts w:ascii="Arial" w:hAnsi="Arial" w:hint="cs"/>
          <w:sz w:val="27"/>
          <w:rtl/>
          <w:lang w:bidi="ar-MA"/>
        </w:rPr>
        <w:t>ّ</w:t>
      </w:r>
      <w:r w:rsidRPr="006571AC">
        <w:rPr>
          <w:rFonts w:ascii="Arial" w:hAnsi="Arial" w:hint="cs"/>
          <w:sz w:val="27"/>
          <w:rtl/>
          <w:lang w:bidi="ar-MA"/>
        </w:rPr>
        <w:t xml:space="preserve"> المشاكل الحياتية المتراكمة وال</w:t>
      </w:r>
      <w:r w:rsidR="000E4FA7" w:rsidRPr="006571AC">
        <w:rPr>
          <w:rFonts w:ascii="Arial" w:hAnsi="Arial" w:hint="cs"/>
          <w:sz w:val="27"/>
          <w:rtl/>
          <w:lang w:bidi="ar-MA"/>
        </w:rPr>
        <w:t>إ</w:t>
      </w:r>
      <w:r w:rsidRPr="006571AC">
        <w:rPr>
          <w:rFonts w:ascii="Arial" w:hAnsi="Arial" w:hint="cs"/>
          <w:sz w:val="27"/>
          <w:rtl/>
          <w:lang w:bidi="ar-MA"/>
        </w:rPr>
        <w:t>كراهات المتعاقبة</w:t>
      </w:r>
      <w:r w:rsidR="000E4FA7" w:rsidRPr="006571AC">
        <w:rPr>
          <w:rFonts w:ascii="Arial" w:hAnsi="Arial" w:hint="cs"/>
          <w:sz w:val="27"/>
          <w:rtl/>
          <w:lang w:bidi="ar-MA"/>
        </w:rPr>
        <w:t>،</w:t>
      </w:r>
      <w:r w:rsidRPr="006571AC">
        <w:rPr>
          <w:rFonts w:ascii="Arial" w:hAnsi="Arial" w:hint="cs"/>
          <w:sz w:val="27"/>
          <w:rtl/>
          <w:lang w:bidi="ar-MA"/>
        </w:rPr>
        <w:t xml:space="preserve"> التي أعقب</w:t>
      </w:r>
      <w:r w:rsidR="000E4FA7" w:rsidRPr="006571AC">
        <w:rPr>
          <w:rFonts w:ascii="Arial" w:hAnsi="Arial" w:hint="cs"/>
          <w:sz w:val="27"/>
          <w:rtl/>
          <w:lang w:bidi="ar-MA"/>
        </w:rPr>
        <w:t>َ</w:t>
      </w:r>
      <w:r w:rsidRPr="006571AC">
        <w:rPr>
          <w:rFonts w:ascii="Arial" w:hAnsi="Arial" w:hint="cs"/>
          <w:sz w:val="27"/>
          <w:rtl/>
          <w:lang w:bidi="ar-MA"/>
        </w:rPr>
        <w:t>ت</w:t>
      </w:r>
      <w:r w:rsidR="000E4FA7" w:rsidRPr="006571AC">
        <w:rPr>
          <w:rFonts w:ascii="Arial" w:hAnsi="Arial" w:hint="cs"/>
          <w:sz w:val="27"/>
          <w:rtl/>
          <w:lang w:bidi="ar-MA"/>
        </w:rPr>
        <w:t>ْ</w:t>
      </w:r>
      <w:r w:rsidRPr="006571AC">
        <w:rPr>
          <w:rFonts w:ascii="Arial" w:hAnsi="Arial" w:hint="cs"/>
          <w:sz w:val="27"/>
          <w:rtl/>
          <w:lang w:bidi="ar-MA"/>
        </w:rPr>
        <w:t xml:space="preserve"> هذا التحو</w:t>
      </w:r>
      <w:r w:rsidR="000E4FA7" w:rsidRPr="006571AC">
        <w:rPr>
          <w:rFonts w:ascii="Arial" w:hAnsi="Arial" w:hint="cs"/>
          <w:sz w:val="27"/>
          <w:rtl/>
          <w:lang w:bidi="ar-MA"/>
        </w:rPr>
        <w:t>ُّ</w:t>
      </w:r>
      <w:r w:rsidRPr="006571AC">
        <w:rPr>
          <w:rFonts w:ascii="Arial" w:hAnsi="Arial" w:hint="cs"/>
          <w:sz w:val="27"/>
          <w:rtl/>
          <w:lang w:bidi="ar-MA"/>
        </w:rPr>
        <w:t>ل العميق وهذه النقلة الكبيرة الذي وقع</w:t>
      </w:r>
      <w:r w:rsidR="000E4FA7" w:rsidRPr="006571AC">
        <w:rPr>
          <w:rFonts w:ascii="Arial" w:hAnsi="Arial" w:hint="cs"/>
          <w:sz w:val="27"/>
          <w:rtl/>
          <w:lang w:bidi="ar-MA"/>
        </w:rPr>
        <w:t>َ</w:t>
      </w:r>
      <w:r w:rsidRPr="006571AC">
        <w:rPr>
          <w:rFonts w:ascii="Arial" w:hAnsi="Arial" w:hint="cs"/>
          <w:sz w:val="27"/>
          <w:rtl/>
          <w:lang w:bidi="ar-MA"/>
        </w:rPr>
        <w:t>ت</w:t>
      </w:r>
      <w:r w:rsidR="000E4FA7" w:rsidRPr="006571AC">
        <w:rPr>
          <w:rFonts w:ascii="Arial" w:hAnsi="Arial" w:hint="cs"/>
          <w:sz w:val="27"/>
          <w:rtl/>
          <w:lang w:bidi="ar-MA"/>
        </w:rPr>
        <w:t>ْ</w:t>
      </w:r>
      <w:r w:rsidRPr="006571AC">
        <w:rPr>
          <w:rFonts w:ascii="Arial" w:hAnsi="Arial" w:hint="cs"/>
          <w:sz w:val="27"/>
          <w:rtl/>
          <w:lang w:bidi="ar-MA"/>
        </w:rPr>
        <w:t xml:space="preserve"> في مرافق وقطاعات المجتمع المعاصر من جهة</w:t>
      </w:r>
      <w:r w:rsidR="000E4FA7" w:rsidRPr="006571AC">
        <w:rPr>
          <w:rFonts w:ascii="Arial" w:hAnsi="Arial" w:hint="cs"/>
          <w:sz w:val="27"/>
          <w:rtl/>
          <w:lang w:bidi="ar-MA"/>
        </w:rPr>
        <w:t>ٍ</w:t>
      </w:r>
      <w:r w:rsidRPr="006571AC">
        <w:rPr>
          <w:rFonts w:ascii="Arial" w:hAnsi="Arial" w:hint="cs"/>
          <w:sz w:val="27"/>
          <w:rtl/>
          <w:lang w:bidi="ar-MA"/>
        </w:rPr>
        <w:t xml:space="preserve"> أخرى. </w:t>
      </w:r>
    </w:p>
    <w:p w:rsidR="0043677F" w:rsidRPr="006571AC" w:rsidRDefault="0043677F" w:rsidP="004F6064">
      <w:pPr>
        <w:tabs>
          <w:tab w:val="left" w:pos="3417"/>
        </w:tabs>
        <w:rPr>
          <w:rFonts w:asciiTheme="majorHAnsi" w:hAnsiTheme="majorHAnsi"/>
          <w:sz w:val="27"/>
          <w:rtl/>
          <w:lang w:bidi="ar-MA"/>
        </w:rPr>
      </w:pPr>
      <w:r w:rsidRPr="006571AC">
        <w:rPr>
          <w:rFonts w:ascii="Arial" w:hAnsi="Arial" w:hint="cs"/>
          <w:sz w:val="27"/>
          <w:rtl/>
          <w:lang w:bidi="ar-MA"/>
        </w:rPr>
        <w:t>وأمام هذا التحو</w:t>
      </w:r>
      <w:r w:rsidR="000E4FA7" w:rsidRPr="006571AC">
        <w:rPr>
          <w:rFonts w:ascii="Arial" w:hAnsi="Arial" w:hint="cs"/>
          <w:sz w:val="27"/>
          <w:rtl/>
          <w:lang w:bidi="ar-MA"/>
        </w:rPr>
        <w:t>ُّ</w:t>
      </w:r>
      <w:r w:rsidRPr="006571AC">
        <w:rPr>
          <w:rFonts w:ascii="Arial" w:hAnsi="Arial" w:hint="cs"/>
          <w:sz w:val="27"/>
          <w:rtl/>
          <w:lang w:bidi="ar-MA"/>
        </w:rPr>
        <w:t>ل الكبير الذ</w:t>
      </w:r>
      <w:r w:rsidRPr="006571AC">
        <w:rPr>
          <w:rFonts w:ascii="Arial" w:hAnsi="Arial" w:hint="eastAsia"/>
          <w:sz w:val="27"/>
          <w:rtl/>
          <w:lang w:bidi="ar-MA"/>
        </w:rPr>
        <w:t>ي</w:t>
      </w:r>
      <w:r w:rsidRPr="006571AC">
        <w:rPr>
          <w:rFonts w:ascii="Arial" w:hAnsi="Arial" w:hint="cs"/>
          <w:sz w:val="27"/>
          <w:rtl/>
          <w:lang w:bidi="ar-MA"/>
        </w:rPr>
        <w:t xml:space="preserve"> عرفه العالم في مختلف قطاعاته ومرافقه </w:t>
      </w:r>
      <w:r w:rsidRPr="006571AC">
        <w:rPr>
          <w:rFonts w:asciiTheme="majorHAnsi" w:hAnsiTheme="majorHAnsi" w:hint="cs"/>
          <w:sz w:val="27"/>
          <w:rtl/>
          <w:lang w:bidi="ar-MA"/>
        </w:rPr>
        <w:t>فقد ازداد و</w:t>
      </w:r>
      <w:r w:rsidRPr="006571AC">
        <w:rPr>
          <w:rFonts w:asciiTheme="majorHAnsi" w:hAnsiTheme="majorHAnsi"/>
          <w:sz w:val="27"/>
          <w:rtl/>
          <w:lang w:bidi="ar-MA"/>
        </w:rPr>
        <w:t>ات</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سع الطلب </w:t>
      </w:r>
      <w:r w:rsidRPr="006571AC">
        <w:rPr>
          <w:rFonts w:asciiTheme="majorHAnsi" w:hAnsiTheme="majorHAnsi" w:hint="cs"/>
          <w:sz w:val="27"/>
          <w:rtl/>
          <w:lang w:bidi="ar-MA"/>
        </w:rPr>
        <w:t xml:space="preserve">والحاجة </w:t>
      </w:r>
      <w:r w:rsidR="000E4FA7" w:rsidRPr="006571AC">
        <w:rPr>
          <w:rFonts w:asciiTheme="majorHAnsi" w:hAnsiTheme="majorHAnsi" w:hint="cs"/>
          <w:sz w:val="27"/>
          <w:rtl/>
          <w:lang w:bidi="ar-MA"/>
        </w:rPr>
        <w:t>إ</w:t>
      </w:r>
      <w:r w:rsidRPr="006571AC">
        <w:rPr>
          <w:rFonts w:asciiTheme="majorHAnsi" w:hAnsiTheme="majorHAnsi"/>
          <w:sz w:val="27"/>
          <w:rtl/>
          <w:lang w:bidi="ar-MA"/>
        </w:rPr>
        <w:t>لى هذه العلوم</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لتكون علوما</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خادمة للإنسان</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وملب</w:t>
      </w:r>
      <w:r w:rsidR="000E4FA7" w:rsidRPr="006571AC">
        <w:rPr>
          <w:rFonts w:asciiTheme="majorHAnsi" w:hAnsiTheme="majorHAnsi" w:hint="cs"/>
          <w:sz w:val="27"/>
          <w:rtl/>
          <w:lang w:bidi="ar-MA"/>
        </w:rPr>
        <w:t>ِّ</w:t>
      </w:r>
      <w:r w:rsidRPr="006571AC">
        <w:rPr>
          <w:rFonts w:asciiTheme="majorHAnsi" w:hAnsiTheme="majorHAnsi"/>
          <w:sz w:val="27"/>
          <w:rtl/>
          <w:lang w:bidi="ar-MA"/>
        </w:rPr>
        <w:t>ية لحاجياته النفسي</w:t>
      </w:r>
      <w:r w:rsidR="000E4FA7" w:rsidRPr="006571AC">
        <w:rPr>
          <w:rFonts w:asciiTheme="majorHAnsi" w:hAnsiTheme="majorHAnsi" w:hint="cs"/>
          <w:sz w:val="27"/>
          <w:rtl/>
          <w:lang w:bidi="ar-MA"/>
        </w:rPr>
        <w:t>ّ</w:t>
      </w:r>
      <w:r w:rsidRPr="006571AC">
        <w:rPr>
          <w:rFonts w:asciiTheme="majorHAnsi" w:hAnsiTheme="majorHAnsi"/>
          <w:sz w:val="27"/>
          <w:rtl/>
          <w:lang w:bidi="ar-MA"/>
        </w:rPr>
        <w:t>ة والس</w:t>
      </w:r>
      <w:r w:rsidR="000E4FA7" w:rsidRPr="006571AC">
        <w:rPr>
          <w:rFonts w:asciiTheme="majorHAnsi" w:hAnsiTheme="majorHAnsi" w:hint="cs"/>
          <w:sz w:val="27"/>
          <w:rtl/>
          <w:lang w:bidi="ar-MA"/>
        </w:rPr>
        <w:t>ا</w:t>
      </w:r>
      <w:r w:rsidRPr="006571AC">
        <w:rPr>
          <w:rFonts w:asciiTheme="majorHAnsi" w:hAnsiTheme="majorHAnsi"/>
          <w:sz w:val="27"/>
          <w:rtl/>
          <w:lang w:bidi="ar-MA"/>
        </w:rPr>
        <w:t>يك</w:t>
      </w:r>
      <w:r w:rsidR="000E4FA7" w:rsidRPr="006571AC">
        <w:rPr>
          <w:rFonts w:asciiTheme="majorHAnsi" w:hAnsiTheme="majorHAnsi" w:hint="cs"/>
          <w:sz w:val="27"/>
          <w:rtl/>
          <w:lang w:bidi="ar-MA"/>
        </w:rPr>
        <w:t>و</w:t>
      </w:r>
      <w:r w:rsidRPr="006571AC">
        <w:rPr>
          <w:rFonts w:asciiTheme="majorHAnsi" w:hAnsiTheme="majorHAnsi"/>
          <w:sz w:val="27"/>
          <w:rtl/>
          <w:lang w:bidi="ar-MA"/>
        </w:rPr>
        <w:t>لوجية والاجتماعية، ومستجيبة</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ومجيبة</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لأهم</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المشاكل </w:t>
      </w:r>
      <w:r w:rsidRPr="006571AC">
        <w:rPr>
          <w:rFonts w:asciiTheme="majorHAnsi" w:hAnsiTheme="majorHAnsi" w:hint="cs"/>
          <w:sz w:val="27"/>
          <w:rtl/>
          <w:lang w:bidi="ar-MA"/>
        </w:rPr>
        <w:t>وال</w:t>
      </w:r>
      <w:r w:rsidR="000E4FA7" w:rsidRPr="006571AC">
        <w:rPr>
          <w:rFonts w:asciiTheme="majorHAnsi" w:hAnsiTheme="majorHAnsi" w:hint="cs"/>
          <w:sz w:val="27"/>
          <w:rtl/>
          <w:lang w:bidi="ar-MA"/>
        </w:rPr>
        <w:t>إ</w:t>
      </w:r>
      <w:r w:rsidRPr="006571AC">
        <w:rPr>
          <w:rFonts w:asciiTheme="majorHAnsi" w:hAnsiTheme="majorHAnsi" w:hint="cs"/>
          <w:sz w:val="27"/>
          <w:rtl/>
          <w:lang w:bidi="ar-MA"/>
        </w:rPr>
        <w:t xml:space="preserve">كراهات </w:t>
      </w:r>
      <w:r w:rsidRPr="006571AC">
        <w:rPr>
          <w:rFonts w:asciiTheme="majorHAnsi" w:hAnsiTheme="majorHAnsi"/>
          <w:sz w:val="27"/>
          <w:rtl/>
          <w:lang w:bidi="ar-MA"/>
        </w:rPr>
        <w:t>الاجتماعية و</w:t>
      </w:r>
      <w:r w:rsidRPr="006571AC">
        <w:rPr>
          <w:rFonts w:asciiTheme="majorHAnsi" w:hAnsiTheme="majorHAnsi" w:hint="cs"/>
          <w:sz w:val="27"/>
          <w:rtl/>
          <w:lang w:bidi="ar-MA"/>
        </w:rPr>
        <w:t xml:space="preserve">الصعوبات </w:t>
      </w:r>
      <w:r w:rsidRPr="006571AC">
        <w:rPr>
          <w:rFonts w:asciiTheme="majorHAnsi" w:hAnsiTheme="majorHAnsi"/>
          <w:sz w:val="27"/>
          <w:rtl/>
          <w:lang w:bidi="ar-MA"/>
        </w:rPr>
        <w:t xml:space="preserve">الاقتصادية التي أحدثها </w:t>
      </w:r>
      <w:r w:rsidRPr="006571AC">
        <w:rPr>
          <w:rFonts w:asciiTheme="majorHAnsi" w:hAnsiTheme="majorHAnsi" w:hint="cs"/>
          <w:sz w:val="27"/>
          <w:rtl/>
          <w:lang w:bidi="ar-MA"/>
        </w:rPr>
        <w:t>هذا</w:t>
      </w:r>
      <w:r w:rsidRPr="006571AC">
        <w:rPr>
          <w:rFonts w:asciiTheme="majorHAnsi" w:hAnsiTheme="majorHAnsi"/>
          <w:sz w:val="27"/>
          <w:rtl/>
          <w:lang w:bidi="ar-MA"/>
        </w:rPr>
        <w:t xml:space="preserve"> التطو</w:t>
      </w:r>
      <w:r w:rsidR="000E4FA7" w:rsidRPr="006571AC">
        <w:rPr>
          <w:rFonts w:asciiTheme="majorHAnsi" w:hAnsiTheme="majorHAnsi" w:hint="cs"/>
          <w:sz w:val="27"/>
          <w:rtl/>
          <w:lang w:bidi="ar-MA"/>
        </w:rPr>
        <w:t>ُّ</w:t>
      </w:r>
      <w:r w:rsidRPr="006571AC">
        <w:rPr>
          <w:rFonts w:asciiTheme="majorHAnsi" w:hAnsiTheme="majorHAnsi"/>
          <w:sz w:val="27"/>
          <w:rtl/>
          <w:lang w:bidi="ar-MA"/>
        </w:rPr>
        <w:t>ر الكبير و</w:t>
      </w:r>
      <w:r w:rsidRPr="006571AC">
        <w:rPr>
          <w:rFonts w:asciiTheme="majorHAnsi" w:hAnsiTheme="majorHAnsi" w:hint="cs"/>
          <w:sz w:val="27"/>
          <w:rtl/>
          <w:lang w:bidi="ar-MA"/>
        </w:rPr>
        <w:t xml:space="preserve">هذا </w:t>
      </w:r>
      <w:r w:rsidRPr="006571AC">
        <w:rPr>
          <w:rFonts w:asciiTheme="majorHAnsi" w:hAnsiTheme="majorHAnsi"/>
          <w:sz w:val="27"/>
          <w:rtl/>
          <w:lang w:bidi="ar-MA"/>
        </w:rPr>
        <w:t>التقد</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م السريع </w:t>
      </w:r>
      <w:r w:rsidRPr="006571AC">
        <w:rPr>
          <w:rFonts w:asciiTheme="majorHAnsi" w:hAnsiTheme="majorHAnsi" w:hint="cs"/>
          <w:sz w:val="27"/>
          <w:rtl/>
          <w:lang w:bidi="ar-MA"/>
        </w:rPr>
        <w:t>في مرافق ومؤس</w:t>
      </w:r>
      <w:r w:rsidR="000E4FA7" w:rsidRPr="006571AC">
        <w:rPr>
          <w:rFonts w:asciiTheme="majorHAnsi" w:hAnsiTheme="majorHAnsi" w:hint="cs"/>
          <w:sz w:val="27"/>
          <w:rtl/>
          <w:lang w:bidi="ar-MA"/>
        </w:rPr>
        <w:t>َّ</w:t>
      </w:r>
      <w:r w:rsidRPr="006571AC">
        <w:rPr>
          <w:rFonts w:asciiTheme="majorHAnsi" w:hAnsiTheme="majorHAnsi" w:hint="cs"/>
          <w:sz w:val="27"/>
          <w:rtl/>
          <w:lang w:bidi="ar-MA"/>
        </w:rPr>
        <w:t>سات المجتمعات المعاصرة</w:t>
      </w:r>
      <w:r w:rsidRPr="006571AC">
        <w:rPr>
          <w:rFonts w:asciiTheme="majorHAnsi" w:hAnsiTheme="majorHAnsi"/>
          <w:sz w:val="27"/>
          <w:rtl/>
          <w:lang w:bidi="ar-MA"/>
        </w:rPr>
        <w:t xml:space="preserve">. </w:t>
      </w:r>
    </w:p>
    <w:p w:rsidR="0043677F" w:rsidRPr="006571AC" w:rsidRDefault="0043677F" w:rsidP="004F6064">
      <w:pPr>
        <w:tabs>
          <w:tab w:val="left" w:pos="3417"/>
        </w:tabs>
        <w:rPr>
          <w:rFonts w:asciiTheme="majorHAnsi" w:hAnsiTheme="majorHAnsi"/>
          <w:sz w:val="27"/>
          <w:rtl/>
          <w:lang w:bidi="ar-MA"/>
        </w:rPr>
      </w:pPr>
      <w:r w:rsidRPr="006571AC">
        <w:rPr>
          <w:rFonts w:asciiTheme="majorHAnsi" w:hAnsiTheme="majorHAnsi" w:hint="cs"/>
          <w:sz w:val="27"/>
          <w:rtl/>
          <w:lang w:bidi="ar-MA"/>
        </w:rPr>
        <w:t>فق</w:t>
      </w:r>
      <w:r w:rsidR="000E4FA7" w:rsidRPr="006571AC">
        <w:rPr>
          <w:rFonts w:asciiTheme="majorHAnsi" w:hAnsiTheme="majorHAnsi" w:hint="cs"/>
          <w:sz w:val="27"/>
          <w:rtl/>
          <w:lang w:bidi="ar-MA"/>
        </w:rPr>
        <w:t>ِ</w:t>
      </w:r>
      <w:r w:rsidRPr="006571AC">
        <w:rPr>
          <w:rFonts w:asciiTheme="majorHAnsi" w:hAnsiTheme="majorHAnsi" w:hint="cs"/>
          <w:sz w:val="27"/>
          <w:rtl/>
          <w:lang w:bidi="ar-MA"/>
        </w:rPr>
        <w:t>ي</w:t>
      </w:r>
      <w:r w:rsidR="000E4FA7" w:rsidRPr="006571AC">
        <w:rPr>
          <w:rFonts w:asciiTheme="majorHAnsi" w:hAnsiTheme="majorHAnsi" w:hint="cs"/>
          <w:sz w:val="27"/>
          <w:rtl/>
          <w:lang w:bidi="ar-MA"/>
        </w:rPr>
        <w:t>َ</w:t>
      </w:r>
      <w:r w:rsidRPr="006571AC">
        <w:rPr>
          <w:rFonts w:asciiTheme="majorHAnsi" w:hAnsiTheme="majorHAnsi" w:hint="cs"/>
          <w:sz w:val="27"/>
          <w:rtl/>
          <w:lang w:bidi="ar-MA"/>
        </w:rPr>
        <w:t>م التصنيع والتقنية والعقلانية والثورة الرقمي</w:t>
      </w:r>
      <w:r w:rsidR="000E4FA7" w:rsidRPr="006571AC">
        <w:rPr>
          <w:rFonts w:asciiTheme="majorHAnsi" w:hAnsiTheme="majorHAnsi" w:hint="cs"/>
          <w:sz w:val="27"/>
          <w:rtl/>
          <w:lang w:bidi="ar-MA"/>
        </w:rPr>
        <w:t>ّ</w:t>
      </w:r>
      <w:r w:rsidRPr="006571AC">
        <w:rPr>
          <w:rFonts w:asciiTheme="majorHAnsi" w:hAnsiTheme="majorHAnsi" w:hint="cs"/>
          <w:sz w:val="27"/>
          <w:rtl/>
          <w:lang w:bidi="ar-MA"/>
        </w:rPr>
        <w:t>ة في التواصل و</w:t>
      </w:r>
      <w:r w:rsidR="000E4FA7" w:rsidRPr="006571AC">
        <w:rPr>
          <w:rFonts w:asciiTheme="majorHAnsi" w:hAnsiTheme="majorHAnsi" w:hint="cs"/>
          <w:sz w:val="27"/>
          <w:rtl/>
          <w:lang w:bidi="ar-MA"/>
        </w:rPr>
        <w:t>آ</w:t>
      </w:r>
      <w:r w:rsidRPr="006571AC">
        <w:rPr>
          <w:rFonts w:asciiTheme="majorHAnsi" w:hAnsiTheme="majorHAnsi" w:hint="cs"/>
          <w:sz w:val="27"/>
          <w:rtl/>
          <w:lang w:bidi="ar-MA"/>
        </w:rPr>
        <w:t>ثار ومخل</w:t>
      </w:r>
      <w:r w:rsidR="000E4FA7" w:rsidRPr="006571AC">
        <w:rPr>
          <w:rFonts w:asciiTheme="majorHAnsi" w:hAnsiTheme="majorHAnsi" w:hint="cs"/>
          <w:sz w:val="27"/>
          <w:rtl/>
          <w:lang w:bidi="ar-MA"/>
        </w:rPr>
        <w:t>َّ</w:t>
      </w:r>
      <w:r w:rsidRPr="006571AC">
        <w:rPr>
          <w:rFonts w:asciiTheme="majorHAnsi" w:hAnsiTheme="majorHAnsi" w:hint="cs"/>
          <w:sz w:val="27"/>
          <w:rtl/>
          <w:lang w:bidi="ar-MA"/>
        </w:rPr>
        <w:t>فات العولمة جلب</w:t>
      </w:r>
      <w:r w:rsidR="000E4FA7" w:rsidRPr="006571AC">
        <w:rPr>
          <w:rFonts w:asciiTheme="majorHAnsi" w:hAnsiTheme="majorHAnsi" w:hint="cs"/>
          <w:sz w:val="27"/>
          <w:rtl/>
          <w:lang w:bidi="ar-MA"/>
        </w:rPr>
        <w:t>َ</w:t>
      </w:r>
      <w:r w:rsidRPr="006571AC">
        <w:rPr>
          <w:rFonts w:asciiTheme="majorHAnsi" w:hAnsiTheme="majorHAnsi" w:hint="cs"/>
          <w:sz w:val="27"/>
          <w:rtl/>
          <w:lang w:bidi="ar-MA"/>
        </w:rPr>
        <w:t>ت</w:t>
      </w:r>
      <w:r w:rsidR="000E4FA7" w:rsidRPr="006571AC">
        <w:rPr>
          <w:rFonts w:asciiTheme="majorHAnsi" w:hAnsiTheme="majorHAnsi" w:hint="cs"/>
          <w:sz w:val="27"/>
          <w:rtl/>
          <w:lang w:bidi="ar-MA"/>
        </w:rPr>
        <w:t>ْ</w:t>
      </w:r>
      <w:r w:rsidRPr="006571AC">
        <w:rPr>
          <w:rFonts w:asciiTheme="majorHAnsi" w:hAnsiTheme="majorHAnsi" w:hint="cs"/>
          <w:sz w:val="27"/>
          <w:rtl/>
          <w:lang w:bidi="ar-MA"/>
        </w:rPr>
        <w:t xml:space="preserve"> للإنسان كثيرا</w:t>
      </w:r>
      <w:r w:rsidR="000E4FA7" w:rsidRPr="006571AC">
        <w:rPr>
          <w:rFonts w:asciiTheme="majorHAnsi" w:hAnsiTheme="majorHAnsi" w:hint="cs"/>
          <w:sz w:val="27"/>
          <w:rtl/>
          <w:lang w:bidi="ar-MA"/>
        </w:rPr>
        <w:t>ً</w:t>
      </w:r>
      <w:r w:rsidRPr="006571AC">
        <w:rPr>
          <w:rFonts w:asciiTheme="majorHAnsi" w:hAnsiTheme="majorHAnsi" w:hint="cs"/>
          <w:sz w:val="27"/>
          <w:rtl/>
          <w:lang w:bidi="ar-MA"/>
        </w:rPr>
        <w:t xml:space="preserve"> من التحد</w:t>
      </w:r>
      <w:r w:rsidR="000E4FA7" w:rsidRPr="006571AC">
        <w:rPr>
          <w:rFonts w:asciiTheme="majorHAnsi" w:hAnsiTheme="majorHAnsi" w:hint="cs"/>
          <w:sz w:val="27"/>
          <w:rtl/>
          <w:lang w:bidi="ar-MA"/>
        </w:rPr>
        <w:t>ِّ</w:t>
      </w:r>
      <w:r w:rsidRPr="006571AC">
        <w:rPr>
          <w:rFonts w:asciiTheme="majorHAnsi" w:hAnsiTheme="majorHAnsi" w:hint="cs"/>
          <w:sz w:val="27"/>
          <w:rtl/>
          <w:lang w:bidi="ar-MA"/>
        </w:rPr>
        <w:t>يات، وأحدث</w:t>
      </w:r>
      <w:r w:rsidR="000E4FA7" w:rsidRPr="006571AC">
        <w:rPr>
          <w:rFonts w:asciiTheme="majorHAnsi" w:hAnsiTheme="majorHAnsi" w:hint="cs"/>
          <w:sz w:val="27"/>
          <w:rtl/>
          <w:lang w:bidi="ar-MA"/>
        </w:rPr>
        <w:t>َ</w:t>
      </w:r>
      <w:r w:rsidRPr="006571AC">
        <w:rPr>
          <w:rFonts w:asciiTheme="majorHAnsi" w:hAnsiTheme="majorHAnsi" w:hint="cs"/>
          <w:sz w:val="27"/>
          <w:rtl/>
          <w:lang w:bidi="ar-MA"/>
        </w:rPr>
        <w:t>ت</w:t>
      </w:r>
      <w:r w:rsidR="000E4FA7" w:rsidRPr="006571AC">
        <w:rPr>
          <w:rFonts w:asciiTheme="majorHAnsi" w:hAnsiTheme="majorHAnsi" w:hint="cs"/>
          <w:sz w:val="27"/>
          <w:rtl/>
          <w:lang w:bidi="ar-MA"/>
        </w:rPr>
        <w:t>ْ</w:t>
      </w:r>
      <w:r w:rsidRPr="006571AC">
        <w:rPr>
          <w:rFonts w:asciiTheme="majorHAnsi" w:hAnsiTheme="majorHAnsi" w:hint="cs"/>
          <w:sz w:val="27"/>
          <w:rtl/>
          <w:lang w:bidi="ar-MA"/>
        </w:rPr>
        <w:t xml:space="preserve"> كثيرا</w:t>
      </w:r>
      <w:r w:rsidR="000E4FA7" w:rsidRPr="006571AC">
        <w:rPr>
          <w:rFonts w:asciiTheme="majorHAnsi" w:hAnsiTheme="majorHAnsi" w:hint="cs"/>
          <w:sz w:val="27"/>
          <w:rtl/>
          <w:lang w:bidi="ar-MA"/>
        </w:rPr>
        <w:t>ً</w:t>
      </w:r>
      <w:r w:rsidRPr="006571AC">
        <w:rPr>
          <w:rFonts w:asciiTheme="majorHAnsi" w:hAnsiTheme="majorHAnsi" w:hint="cs"/>
          <w:sz w:val="27"/>
          <w:rtl/>
          <w:lang w:bidi="ar-MA"/>
        </w:rPr>
        <w:t xml:space="preserve"> من السلوكات التي لم يعهدها ال</w:t>
      </w:r>
      <w:r w:rsidR="000E4FA7" w:rsidRPr="006571AC">
        <w:rPr>
          <w:rFonts w:asciiTheme="majorHAnsi" w:hAnsiTheme="majorHAnsi" w:hint="cs"/>
          <w:sz w:val="27"/>
          <w:rtl/>
          <w:lang w:bidi="ar-MA"/>
        </w:rPr>
        <w:t>إ</w:t>
      </w:r>
      <w:r w:rsidRPr="006571AC">
        <w:rPr>
          <w:rFonts w:asciiTheme="majorHAnsi" w:hAnsiTheme="majorHAnsi" w:hint="cs"/>
          <w:sz w:val="27"/>
          <w:rtl/>
          <w:lang w:bidi="ar-MA"/>
        </w:rPr>
        <w:t>نسان من ق</w:t>
      </w:r>
      <w:r w:rsidR="000E4FA7" w:rsidRPr="006571AC">
        <w:rPr>
          <w:rFonts w:asciiTheme="majorHAnsi" w:hAnsiTheme="majorHAnsi" w:hint="cs"/>
          <w:sz w:val="27"/>
          <w:rtl/>
          <w:lang w:bidi="ar-MA"/>
        </w:rPr>
        <w:t>َ</w:t>
      </w:r>
      <w:r w:rsidRPr="006571AC">
        <w:rPr>
          <w:rFonts w:asciiTheme="majorHAnsi" w:hAnsiTheme="majorHAnsi" w:hint="cs"/>
          <w:sz w:val="27"/>
          <w:rtl/>
          <w:lang w:bidi="ar-MA"/>
        </w:rPr>
        <w:t>ب</w:t>
      </w:r>
      <w:r w:rsidR="000E4FA7" w:rsidRPr="006571AC">
        <w:rPr>
          <w:rFonts w:asciiTheme="majorHAnsi" w:hAnsiTheme="majorHAnsi" w:hint="cs"/>
          <w:sz w:val="27"/>
          <w:rtl/>
          <w:lang w:bidi="ar-MA"/>
        </w:rPr>
        <w:t>ْ</w:t>
      </w:r>
      <w:r w:rsidRPr="006571AC">
        <w:rPr>
          <w:rFonts w:asciiTheme="majorHAnsi" w:hAnsiTheme="majorHAnsi" w:hint="cs"/>
          <w:sz w:val="27"/>
          <w:rtl/>
          <w:lang w:bidi="ar-MA"/>
        </w:rPr>
        <w:t>ل</w:t>
      </w:r>
      <w:r w:rsidR="000E4FA7" w:rsidRPr="006571AC">
        <w:rPr>
          <w:rFonts w:asciiTheme="majorHAnsi" w:hAnsiTheme="majorHAnsi" w:hint="cs"/>
          <w:sz w:val="27"/>
          <w:rtl/>
          <w:lang w:bidi="ar-MA"/>
        </w:rPr>
        <w:t>ُ</w:t>
      </w:r>
      <w:r w:rsidRPr="006571AC">
        <w:rPr>
          <w:rFonts w:asciiTheme="majorHAnsi" w:hAnsiTheme="majorHAnsi" w:hint="cs"/>
          <w:sz w:val="27"/>
          <w:rtl/>
          <w:lang w:bidi="ar-MA"/>
        </w:rPr>
        <w:t>، ما جعل هذا النوع من العلوم ينخرط في الإجابة ع</w:t>
      </w:r>
      <w:r w:rsidR="000E4FA7" w:rsidRPr="006571AC">
        <w:rPr>
          <w:rFonts w:asciiTheme="majorHAnsi" w:hAnsiTheme="majorHAnsi" w:hint="cs"/>
          <w:sz w:val="27"/>
          <w:rtl/>
          <w:lang w:bidi="ar-MA"/>
        </w:rPr>
        <w:t>ن</w:t>
      </w:r>
      <w:r w:rsidRPr="006571AC">
        <w:rPr>
          <w:rFonts w:asciiTheme="majorHAnsi" w:hAnsiTheme="majorHAnsi" w:hint="cs"/>
          <w:sz w:val="27"/>
          <w:rtl/>
          <w:lang w:bidi="ar-MA"/>
        </w:rPr>
        <w:t xml:space="preserve"> هذا النوع من الأسئلة القلقة</w:t>
      </w:r>
      <w:r w:rsidR="00C72362" w:rsidRPr="006571AC">
        <w:rPr>
          <w:rFonts w:asciiTheme="majorHAnsi" w:hAnsiTheme="majorHAnsi" w:hint="cs"/>
          <w:sz w:val="27"/>
          <w:rtl/>
          <w:lang w:bidi="ar-MA"/>
        </w:rPr>
        <w:t>،</w:t>
      </w:r>
      <w:r w:rsidRPr="006571AC">
        <w:rPr>
          <w:rFonts w:asciiTheme="majorHAnsi" w:hAnsiTheme="majorHAnsi" w:hint="cs"/>
          <w:sz w:val="27"/>
          <w:rtl/>
          <w:lang w:bidi="ar-MA"/>
        </w:rPr>
        <w:t xml:space="preserve"> التي تت</w:t>
      </w:r>
      <w:r w:rsidR="00C72362" w:rsidRPr="006571AC">
        <w:rPr>
          <w:rFonts w:asciiTheme="majorHAnsi" w:hAnsiTheme="majorHAnsi" w:hint="cs"/>
          <w:sz w:val="27"/>
          <w:rtl/>
          <w:lang w:bidi="ar-MA"/>
        </w:rPr>
        <w:t>َّ</w:t>
      </w:r>
      <w:r w:rsidRPr="006571AC">
        <w:rPr>
          <w:rFonts w:asciiTheme="majorHAnsi" w:hAnsiTheme="majorHAnsi" w:hint="cs"/>
          <w:sz w:val="27"/>
          <w:rtl/>
          <w:lang w:bidi="ar-MA"/>
        </w:rPr>
        <w:t>صل بواقع الإنسان وبحياته وبمستقبله</w:t>
      </w:r>
      <w:r w:rsidRPr="006571AC">
        <w:rPr>
          <w:rFonts w:asciiTheme="majorHAnsi" w:hAnsiTheme="majorHAnsi"/>
          <w:sz w:val="27"/>
          <w:rtl/>
          <w:lang w:bidi="ar-MA"/>
        </w:rPr>
        <w:t xml:space="preserve">. </w:t>
      </w:r>
    </w:p>
    <w:p w:rsidR="0063361B" w:rsidRPr="006571AC" w:rsidRDefault="0063361B" w:rsidP="0063361B">
      <w:pPr>
        <w:spacing w:line="420" w:lineRule="exact"/>
        <w:rPr>
          <w:rFonts w:ascii="Arabic Typesetting" w:hAnsi="Arabic Typesetting"/>
          <w:sz w:val="27"/>
          <w:rtl/>
          <w:lang w:bidi="ar-LB"/>
        </w:rPr>
      </w:pPr>
    </w:p>
    <w:p w:rsidR="0043677F" w:rsidRPr="006571AC" w:rsidRDefault="0043677F" w:rsidP="00962F60">
      <w:pPr>
        <w:pStyle w:val="31"/>
        <w:rPr>
          <w:color w:val="auto"/>
          <w:rtl/>
          <w:lang w:bidi="ar-MA"/>
        </w:rPr>
      </w:pPr>
      <w:bookmarkStart w:id="442" w:name="_Toc114164850"/>
      <w:r w:rsidRPr="006571AC">
        <w:rPr>
          <w:rFonts w:hint="cs"/>
          <w:color w:val="auto"/>
          <w:rtl/>
        </w:rPr>
        <w:t>أساسي</w:t>
      </w:r>
      <w:r w:rsidR="00D12571" w:rsidRPr="006571AC">
        <w:rPr>
          <w:rFonts w:hint="cs"/>
          <w:color w:val="auto"/>
          <w:rtl/>
        </w:rPr>
        <w:t>ّ</w:t>
      </w:r>
      <w:r w:rsidRPr="006571AC">
        <w:rPr>
          <w:rFonts w:hint="cs"/>
          <w:color w:val="auto"/>
          <w:rtl/>
        </w:rPr>
        <w:t>ات وأو</w:t>
      </w:r>
      <w:r w:rsidR="00C72362" w:rsidRPr="006571AC">
        <w:rPr>
          <w:rFonts w:hint="cs"/>
          <w:color w:val="auto"/>
          <w:rtl/>
        </w:rPr>
        <w:t>ّ</w:t>
      </w:r>
      <w:r w:rsidR="00D12571" w:rsidRPr="006571AC">
        <w:rPr>
          <w:rFonts w:hint="cs"/>
          <w:color w:val="auto"/>
          <w:rtl/>
        </w:rPr>
        <w:t>َ</w:t>
      </w:r>
      <w:r w:rsidRPr="006571AC">
        <w:rPr>
          <w:rFonts w:hint="cs"/>
          <w:color w:val="auto"/>
          <w:rtl/>
        </w:rPr>
        <w:t xml:space="preserve">ليات </w:t>
      </w:r>
      <w:r w:rsidRPr="006571AC">
        <w:rPr>
          <w:color w:val="auto"/>
          <w:rtl/>
        </w:rPr>
        <w:t>العلوم</w:t>
      </w:r>
      <w:r w:rsidRPr="006571AC">
        <w:rPr>
          <w:rFonts w:hint="cs"/>
          <w:color w:val="auto"/>
          <w:rtl/>
        </w:rPr>
        <w:t xml:space="preserve"> الإنساني</w:t>
      </w:r>
      <w:r w:rsidR="00D12571" w:rsidRPr="006571AC">
        <w:rPr>
          <w:rFonts w:hint="cs"/>
          <w:color w:val="auto"/>
          <w:rtl/>
        </w:rPr>
        <w:t>ّ</w:t>
      </w:r>
      <w:r w:rsidRPr="006571AC">
        <w:rPr>
          <w:rFonts w:hint="cs"/>
          <w:color w:val="auto"/>
          <w:rtl/>
        </w:rPr>
        <w:t>ة</w:t>
      </w:r>
      <w:bookmarkEnd w:id="442"/>
    </w:p>
    <w:p w:rsidR="0043677F" w:rsidRPr="006571AC" w:rsidRDefault="0043677F" w:rsidP="004F6064">
      <w:pPr>
        <w:tabs>
          <w:tab w:val="left" w:pos="2667"/>
          <w:tab w:val="right" w:pos="5329"/>
        </w:tabs>
        <w:rPr>
          <w:rFonts w:ascii="Arial" w:hAnsi="Arial"/>
          <w:sz w:val="27"/>
          <w:rtl/>
        </w:rPr>
      </w:pPr>
      <w:r w:rsidRPr="006571AC">
        <w:rPr>
          <w:rFonts w:ascii="Arial" w:hAnsi="Arial"/>
          <w:sz w:val="27"/>
          <w:rtl/>
        </w:rPr>
        <w:t xml:space="preserve">من </w:t>
      </w:r>
      <w:r w:rsidRPr="006571AC">
        <w:rPr>
          <w:rFonts w:ascii="Arial" w:hAnsi="Arial" w:hint="cs"/>
          <w:sz w:val="27"/>
          <w:rtl/>
        </w:rPr>
        <w:t>أساسيات وأو</w:t>
      </w:r>
      <w:r w:rsidR="00C72362" w:rsidRPr="006571AC">
        <w:rPr>
          <w:rFonts w:ascii="Arial" w:hAnsi="Arial" w:hint="cs"/>
          <w:sz w:val="27"/>
          <w:rtl/>
        </w:rPr>
        <w:t>ّ</w:t>
      </w:r>
      <w:r w:rsidRPr="006571AC">
        <w:rPr>
          <w:rFonts w:ascii="Arial" w:hAnsi="Arial" w:hint="cs"/>
          <w:sz w:val="27"/>
          <w:rtl/>
        </w:rPr>
        <w:t xml:space="preserve">ليات </w:t>
      </w:r>
      <w:r w:rsidRPr="006571AC">
        <w:rPr>
          <w:rFonts w:ascii="Arial" w:hAnsi="Arial"/>
          <w:sz w:val="27"/>
          <w:rtl/>
        </w:rPr>
        <w:t>العلوم</w:t>
      </w:r>
      <w:r w:rsidRPr="006571AC">
        <w:rPr>
          <w:rFonts w:ascii="Arial" w:hAnsi="Arial" w:hint="cs"/>
          <w:sz w:val="27"/>
          <w:rtl/>
        </w:rPr>
        <w:t xml:space="preserve"> الإنسانية إقرارها واعترافها بأ</w:t>
      </w:r>
      <w:r w:rsidRPr="006571AC">
        <w:rPr>
          <w:rFonts w:ascii="Arial" w:hAnsi="Arial" w:hint="eastAsia"/>
          <w:sz w:val="27"/>
          <w:rtl/>
        </w:rPr>
        <w:t>ن</w:t>
      </w:r>
      <w:r w:rsidR="00C72362" w:rsidRPr="006571AC">
        <w:rPr>
          <w:rFonts w:ascii="Arial" w:hAnsi="Arial" w:hint="cs"/>
          <w:sz w:val="27"/>
          <w:rtl/>
        </w:rPr>
        <w:t>ه</w:t>
      </w:r>
      <w:r w:rsidRPr="006571AC">
        <w:rPr>
          <w:rFonts w:ascii="Arial" w:hAnsi="Arial" w:hint="cs"/>
          <w:sz w:val="27"/>
          <w:rtl/>
        </w:rPr>
        <w:t xml:space="preserve"> </w:t>
      </w:r>
      <w:r w:rsidR="00C72362" w:rsidRPr="006571AC">
        <w:rPr>
          <w:rFonts w:ascii="Arial" w:hAnsi="Arial" w:hint="cs"/>
          <w:sz w:val="27"/>
          <w:rtl/>
        </w:rPr>
        <w:t xml:space="preserve">يمكن أن يكون </w:t>
      </w:r>
      <w:r w:rsidRPr="006571AC">
        <w:rPr>
          <w:rFonts w:ascii="Arial" w:hAnsi="Arial" w:hint="cs"/>
          <w:sz w:val="27"/>
          <w:rtl/>
        </w:rPr>
        <w:t>الإنسان موضوعا</w:t>
      </w:r>
      <w:r w:rsidR="00C72362" w:rsidRPr="006571AC">
        <w:rPr>
          <w:rFonts w:ascii="Arial" w:hAnsi="Arial" w:hint="cs"/>
          <w:sz w:val="27"/>
          <w:rtl/>
        </w:rPr>
        <w:t>ً</w:t>
      </w:r>
      <w:r w:rsidRPr="006571AC">
        <w:rPr>
          <w:rFonts w:ascii="Arial" w:hAnsi="Arial" w:hint="cs"/>
          <w:sz w:val="27"/>
          <w:rtl/>
        </w:rPr>
        <w:t xml:space="preserve"> و</w:t>
      </w:r>
      <w:r w:rsidRPr="006571AC">
        <w:rPr>
          <w:rFonts w:ascii="Arial" w:hAnsi="Arial"/>
          <w:sz w:val="27"/>
          <w:rtl/>
        </w:rPr>
        <w:t>ذات</w:t>
      </w:r>
      <w:r w:rsidRPr="006571AC">
        <w:rPr>
          <w:rFonts w:ascii="Arial" w:hAnsi="Arial" w:hint="cs"/>
          <w:sz w:val="27"/>
          <w:rtl/>
        </w:rPr>
        <w:t>ا</w:t>
      </w:r>
      <w:r w:rsidR="00C72362" w:rsidRPr="006571AC">
        <w:rPr>
          <w:rFonts w:ascii="Arial" w:hAnsi="Arial" w:hint="cs"/>
          <w:sz w:val="27"/>
          <w:rtl/>
        </w:rPr>
        <w:t>ً</w:t>
      </w:r>
      <w:r w:rsidRPr="006571AC">
        <w:rPr>
          <w:rFonts w:ascii="Arial" w:hAnsi="Arial"/>
          <w:sz w:val="27"/>
          <w:rtl/>
        </w:rPr>
        <w:t xml:space="preserve"> قابلة</w:t>
      </w:r>
      <w:r w:rsidR="00C72362" w:rsidRPr="006571AC">
        <w:rPr>
          <w:rFonts w:ascii="Arial" w:hAnsi="Arial" w:hint="cs"/>
          <w:sz w:val="27"/>
          <w:rtl/>
        </w:rPr>
        <w:t>ً</w:t>
      </w:r>
      <w:r w:rsidRPr="006571AC">
        <w:rPr>
          <w:rFonts w:ascii="Arial" w:hAnsi="Arial"/>
          <w:sz w:val="27"/>
          <w:rtl/>
        </w:rPr>
        <w:t xml:space="preserve"> للدراسة</w:t>
      </w:r>
      <w:r w:rsidRPr="006571AC">
        <w:rPr>
          <w:rFonts w:ascii="Arial" w:hAnsi="Arial" w:hint="cs"/>
          <w:sz w:val="27"/>
          <w:rtl/>
        </w:rPr>
        <w:t xml:space="preserve"> والمقاربة الإجرائية، رغم ما يمي</w:t>
      </w:r>
      <w:r w:rsidR="00C72362" w:rsidRPr="006571AC">
        <w:rPr>
          <w:rFonts w:ascii="Arial" w:hAnsi="Arial" w:hint="cs"/>
          <w:sz w:val="27"/>
          <w:rtl/>
        </w:rPr>
        <w:t>ِّ</w:t>
      </w:r>
      <w:r w:rsidRPr="006571AC">
        <w:rPr>
          <w:rFonts w:ascii="Arial" w:hAnsi="Arial" w:hint="cs"/>
          <w:sz w:val="27"/>
          <w:rtl/>
        </w:rPr>
        <w:t xml:space="preserve">ز شخصية </w:t>
      </w:r>
      <w:r w:rsidRPr="006571AC">
        <w:rPr>
          <w:rFonts w:ascii="Arial" w:hAnsi="Arial" w:hint="cs"/>
          <w:sz w:val="27"/>
          <w:rtl/>
        </w:rPr>
        <w:lastRenderedPageBreak/>
        <w:t xml:space="preserve">الإنسان </w:t>
      </w:r>
      <w:r w:rsidR="00C72362" w:rsidRPr="006571AC">
        <w:rPr>
          <w:rFonts w:ascii="Arial" w:hAnsi="Arial" w:hint="cs"/>
          <w:sz w:val="27"/>
          <w:rtl/>
        </w:rPr>
        <w:t xml:space="preserve">من </w:t>
      </w:r>
      <w:r w:rsidRPr="006571AC">
        <w:rPr>
          <w:rFonts w:ascii="Arial" w:hAnsi="Arial" w:hint="cs"/>
          <w:sz w:val="27"/>
          <w:rtl/>
        </w:rPr>
        <w:t>خاص</w:t>
      </w:r>
      <w:r w:rsidR="00C72362" w:rsidRPr="006571AC">
        <w:rPr>
          <w:rFonts w:ascii="Arial" w:hAnsi="Arial" w:hint="cs"/>
          <w:sz w:val="27"/>
          <w:rtl/>
        </w:rPr>
        <w:t>ّ</w:t>
      </w:r>
      <w:r w:rsidRPr="006571AC">
        <w:rPr>
          <w:rFonts w:ascii="Arial" w:hAnsi="Arial" w:hint="cs"/>
          <w:sz w:val="27"/>
          <w:rtl/>
        </w:rPr>
        <w:t>ية التحو</w:t>
      </w:r>
      <w:r w:rsidR="00C72362" w:rsidRPr="006571AC">
        <w:rPr>
          <w:rFonts w:ascii="Arial" w:hAnsi="Arial" w:hint="cs"/>
          <w:sz w:val="27"/>
          <w:rtl/>
        </w:rPr>
        <w:t>ُّ</w:t>
      </w:r>
      <w:r w:rsidRPr="006571AC">
        <w:rPr>
          <w:rFonts w:ascii="Arial" w:hAnsi="Arial" w:hint="cs"/>
          <w:sz w:val="27"/>
          <w:rtl/>
        </w:rPr>
        <w:t>ل والتغي</w:t>
      </w:r>
      <w:r w:rsidR="00C72362" w:rsidRPr="006571AC">
        <w:rPr>
          <w:rFonts w:ascii="Arial" w:hAnsi="Arial" w:hint="cs"/>
          <w:sz w:val="27"/>
          <w:rtl/>
        </w:rPr>
        <w:t>ُّ</w:t>
      </w:r>
      <w:r w:rsidRPr="006571AC">
        <w:rPr>
          <w:rFonts w:ascii="Arial" w:hAnsi="Arial" w:hint="cs"/>
          <w:sz w:val="27"/>
          <w:rtl/>
        </w:rPr>
        <w:t>ر السريع في شخصي</w:t>
      </w:r>
      <w:r w:rsidR="00C72362" w:rsidRPr="006571AC">
        <w:rPr>
          <w:rFonts w:ascii="Arial" w:hAnsi="Arial" w:hint="cs"/>
          <w:sz w:val="27"/>
          <w:rtl/>
        </w:rPr>
        <w:t>ّ</w:t>
      </w:r>
      <w:r w:rsidRPr="006571AC">
        <w:rPr>
          <w:rFonts w:ascii="Arial" w:hAnsi="Arial" w:hint="cs"/>
          <w:sz w:val="27"/>
          <w:rtl/>
        </w:rPr>
        <w:t xml:space="preserve">ته، </w:t>
      </w:r>
      <w:r w:rsidRPr="006571AC">
        <w:rPr>
          <w:rFonts w:ascii="Arial" w:hAnsi="Arial" w:hint="cs"/>
          <w:sz w:val="27"/>
          <w:shd w:val="clear" w:color="auto" w:fill="FFFFFF"/>
          <w:rtl/>
        </w:rPr>
        <w:t>وعليه نقول</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إن العلوم الإنسانية</w:t>
      </w:r>
      <w:r w:rsidR="00C72362" w:rsidRPr="006571AC">
        <w:rPr>
          <w:rFonts w:ascii="Arial" w:hAnsi="Arial" w:hint="cs"/>
          <w:sz w:val="27"/>
          <w:shd w:val="clear" w:color="auto" w:fill="FFFFFF"/>
          <w:rtl/>
        </w:rPr>
        <w:t xml:space="preserve">، </w:t>
      </w:r>
      <w:r w:rsidRPr="006571AC">
        <w:rPr>
          <w:rFonts w:ascii="Arial" w:hAnsi="Arial" w:hint="cs"/>
          <w:sz w:val="27"/>
          <w:shd w:val="clear" w:color="auto" w:fill="FFFFFF"/>
          <w:rtl/>
        </w:rPr>
        <w:t>رغم حداثتها</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هي علوم</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حاملة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ل</w:t>
      </w:r>
      <w:r w:rsidRPr="006571AC">
        <w:rPr>
          <w:rFonts w:ascii="Arial" w:hAnsi="Arial"/>
          <w:sz w:val="27"/>
          <w:shd w:val="clear" w:color="auto" w:fill="FFFFFF"/>
          <w:rtl/>
        </w:rPr>
        <w:t>خطاب</w:t>
      </w:r>
      <w:r w:rsidR="00C72362" w:rsidRPr="006571AC">
        <w:rPr>
          <w:rFonts w:ascii="Arial" w:hAnsi="Arial" w:hint="cs"/>
          <w:sz w:val="27"/>
          <w:shd w:val="clear" w:color="auto" w:fill="FFFFFF"/>
          <w:rtl/>
        </w:rPr>
        <w:t>ٍ</w:t>
      </w:r>
      <w:r w:rsidRPr="006571AC">
        <w:rPr>
          <w:rFonts w:ascii="Arial" w:hAnsi="Arial"/>
          <w:sz w:val="27"/>
          <w:shd w:val="clear" w:color="auto" w:fill="FFFFFF"/>
          <w:rtl/>
        </w:rPr>
        <w:t xml:space="preserve"> </w:t>
      </w:r>
      <w:r w:rsidRPr="006571AC">
        <w:rPr>
          <w:rFonts w:ascii="Arial" w:hAnsi="Arial" w:hint="cs"/>
          <w:sz w:val="27"/>
          <w:shd w:val="clear" w:color="auto" w:fill="FFFFFF"/>
          <w:rtl/>
        </w:rPr>
        <w:t>مؤس</w:t>
      </w:r>
      <w:r w:rsidR="00C72362" w:rsidRPr="006571AC">
        <w:rPr>
          <w:rFonts w:ascii="Arial" w:hAnsi="Arial" w:hint="cs"/>
          <w:sz w:val="27"/>
          <w:shd w:val="clear" w:color="auto" w:fill="FFFFFF"/>
          <w:rtl/>
        </w:rPr>
        <w:t>ّ</w:t>
      </w:r>
      <w:r w:rsidR="00CF3B72" w:rsidRPr="006571AC">
        <w:rPr>
          <w:rFonts w:ascii="Arial" w:hAnsi="Arial" w:hint="cs"/>
          <w:sz w:val="27"/>
          <w:shd w:val="clear" w:color="auto" w:fill="FFFFFF"/>
          <w:rtl/>
        </w:rPr>
        <w:t>َ</w:t>
      </w:r>
      <w:r w:rsidRPr="006571AC">
        <w:rPr>
          <w:rFonts w:ascii="Arial" w:hAnsi="Arial" w:hint="cs"/>
          <w:sz w:val="27"/>
          <w:shd w:val="clear" w:color="auto" w:fill="FFFFFF"/>
          <w:rtl/>
        </w:rPr>
        <w:t>س</w:t>
      </w:r>
      <w:r w:rsidR="00CF3B72" w:rsidRPr="006571AC">
        <w:rPr>
          <w:rFonts w:ascii="Arial" w:hAnsi="Arial" w:hint="cs"/>
          <w:sz w:val="27"/>
          <w:shd w:val="clear" w:color="auto" w:fill="FFFFFF"/>
          <w:rtl/>
        </w:rPr>
        <w:t>ٍ</w:t>
      </w:r>
      <w:r w:rsidRPr="006571AC">
        <w:rPr>
          <w:rFonts w:ascii="Arial" w:hAnsi="Arial" w:hint="cs"/>
          <w:sz w:val="27"/>
          <w:shd w:val="clear" w:color="auto" w:fill="FFFFFF"/>
          <w:rtl/>
        </w:rPr>
        <w:t xml:space="preserve"> على إمكانيات علمية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وعلى قدرات </w:t>
      </w:r>
      <w:r w:rsidRPr="006571AC">
        <w:rPr>
          <w:rFonts w:ascii="Arial" w:hAnsi="Arial"/>
          <w:sz w:val="27"/>
          <w:shd w:val="clear" w:color="auto" w:fill="FFFFFF"/>
          <w:rtl/>
        </w:rPr>
        <w:t>معرف</w:t>
      </w:r>
      <w:r w:rsidRPr="006571AC">
        <w:rPr>
          <w:rFonts w:ascii="Arial" w:hAnsi="Arial" w:hint="cs"/>
          <w:sz w:val="27"/>
          <w:shd w:val="clear" w:color="auto" w:fill="FFFFFF"/>
          <w:rtl/>
        </w:rPr>
        <w:t>ي</w:t>
      </w:r>
      <w:r w:rsidRPr="006571AC">
        <w:rPr>
          <w:rFonts w:ascii="Arial" w:hAnsi="Arial"/>
          <w:sz w:val="27"/>
          <w:shd w:val="clear" w:color="auto" w:fill="FFFFFF"/>
          <w:rtl/>
        </w:rPr>
        <w:t>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تتيح وتقد</w:t>
      </w:r>
      <w:r w:rsidR="00C72362" w:rsidRPr="006571AC">
        <w:rPr>
          <w:rFonts w:ascii="Arial" w:hAnsi="Arial" w:hint="cs"/>
          <w:sz w:val="27"/>
          <w:shd w:val="clear" w:color="auto" w:fill="FFFFFF"/>
          <w:rtl/>
        </w:rPr>
        <w:t>ِّ</w:t>
      </w:r>
      <w:r w:rsidRPr="006571AC">
        <w:rPr>
          <w:rFonts w:ascii="Arial" w:hAnsi="Arial" w:hint="cs"/>
          <w:sz w:val="27"/>
          <w:shd w:val="clear" w:color="auto" w:fill="FFFFFF"/>
          <w:rtl/>
        </w:rPr>
        <w:t>م مساهمات علمية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تساعد على مقاربة وملاحظة وف</w:t>
      </w:r>
      <w:r w:rsidR="00CF3B72" w:rsidRPr="006571AC">
        <w:rPr>
          <w:rFonts w:ascii="Arial" w:hAnsi="Arial" w:hint="cs"/>
          <w:sz w:val="27"/>
          <w:shd w:val="clear" w:color="auto" w:fill="FFFFFF"/>
          <w:rtl/>
        </w:rPr>
        <w:t>َ</w:t>
      </w:r>
      <w:r w:rsidRPr="006571AC">
        <w:rPr>
          <w:rFonts w:ascii="Arial" w:hAnsi="Arial" w:hint="cs"/>
          <w:sz w:val="27"/>
          <w:shd w:val="clear" w:color="auto" w:fill="FFFFFF"/>
          <w:rtl/>
        </w:rPr>
        <w:t>ه</w:t>
      </w:r>
      <w:r w:rsidR="00CF3B72" w:rsidRPr="006571AC">
        <w:rPr>
          <w:rFonts w:ascii="Arial" w:hAnsi="Arial" w:hint="cs"/>
          <w:sz w:val="27"/>
          <w:shd w:val="clear" w:color="auto" w:fill="FFFFFF"/>
          <w:rtl/>
        </w:rPr>
        <w:t>ْ</w:t>
      </w:r>
      <w:r w:rsidRPr="006571AC">
        <w:rPr>
          <w:rFonts w:ascii="Arial" w:hAnsi="Arial" w:hint="cs"/>
          <w:sz w:val="27"/>
          <w:shd w:val="clear" w:color="auto" w:fill="FFFFFF"/>
          <w:rtl/>
        </w:rPr>
        <w:t>م شخصية وسلوك الإنسان</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w:t>
      </w:r>
      <w:r w:rsidR="00C72362" w:rsidRPr="006571AC">
        <w:rPr>
          <w:rFonts w:ascii="Arial" w:hAnsi="Arial" w:hint="cs"/>
          <w:sz w:val="27"/>
          <w:shd w:val="clear" w:color="auto" w:fill="FFFFFF"/>
          <w:rtl/>
        </w:rPr>
        <w:t>ف</w:t>
      </w:r>
      <w:r w:rsidRPr="006571AC">
        <w:rPr>
          <w:rFonts w:ascii="Arial" w:hAnsi="Arial" w:hint="cs"/>
          <w:sz w:val="27"/>
          <w:shd w:val="clear" w:color="auto" w:fill="FFFFFF"/>
          <w:rtl/>
        </w:rPr>
        <w:t>لها مكانة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متمي</w:t>
      </w:r>
      <w:r w:rsidR="00C72362" w:rsidRPr="006571AC">
        <w:rPr>
          <w:rFonts w:ascii="Arial" w:hAnsi="Arial" w:hint="cs"/>
          <w:sz w:val="27"/>
          <w:shd w:val="clear" w:color="auto" w:fill="FFFFFF"/>
          <w:rtl/>
        </w:rPr>
        <w:t>ِّ</w:t>
      </w:r>
      <w:r w:rsidRPr="006571AC">
        <w:rPr>
          <w:rFonts w:ascii="Arial" w:hAnsi="Arial" w:hint="cs"/>
          <w:sz w:val="27"/>
          <w:shd w:val="clear" w:color="auto" w:fill="FFFFFF"/>
          <w:rtl/>
        </w:rPr>
        <w:t>زة وقدرات خاصة وحضور</w:t>
      </w:r>
      <w:r w:rsidR="00C72362" w:rsidRPr="006571AC">
        <w:rPr>
          <w:rFonts w:ascii="Arial" w:hAnsi="Arial" w:hint="cs"/>
          <w:sz w:val="27"/>
          <w:shd w:val="clear" w:color="auto" w:fill="FFFFFF"/>
          <w:rtl/>
        </w:rPr>
        <w:t xml:space="preserve"> </w:t>
      </w:r>
      <w:r w:rsidRPr="006571AC">
        <w:rPr>
          <w:rFonts w:ascii="Arial" w:hAnsi="Arial" w:hint="cs"/>
          <w:sz w:val="27"/>
          <w:shd w:val="clear" w:color="auto" w:fill="FFFFFF"/>
          <w:rtl/>
        </w:rPr>
        <w:t>متمي</w:t>
      </w:r>
      <w:r w:rsidR="00C72362" w:rsidRPr="006571AC">
        <w:rPr>
          <w:rFonts w:ascii="Arial" w:hAnsi="Arial" w:hint="cs"/>
          <w:sz w:val="27"/>
          <w:shd w:val="clear" w:color="auto" w:fill="FFFFFF"/>
          <w:rtl/>
        </w:rPr>
        <w:t>ِّ</w:t>
      </w:r>
      <w:r w:rsidRPr="006571AC">
        <w:rPr>
          <w:rFonts w:ascii="Arial" w:hAnsi="Arial" w:hint="cs"/>
          <w:sz w:val="27"/>
          <w:shd w:val="clear" w:color="auto" w:fill="FFFFFF"/>
          <w:rtl/>
        </w:rPr>
        <w:t>ز في البحث الإجرائي، م</w:t>
      </w:r>
      <w:r w:rsidRPr="006571AC">
        <w:rPr>
          <w:rFonts w:ascii="Arial" w:hAnsi="Arial"/>
          <w:sz w:val="27"/>
          <w:shd w:val="clear" w:color="auto" w:fill="FFFFFF"/>
          <w:rtl/>
        </w:rPr>
        <w:t xml:space="preserve">ما </w:t>
      </w:r>
      <w:r w:rsidRPr="006571AC">
        <w:rPr>
          <w:rFonts w:ascii="Arial" w:hAnsi="Arial" w:hint="cs"/>
          <w:sz w:val="27"/>
          <w:shd w:val="clear" w:color="auto" w:fill="FFFFFF"/>
          <w:rtl/>
        </w:rPr>
        <w:t>يجعلها تت</w:t>
      </w:r>
      <w:r w:rsidRPr="006571AC">
        <w:rPr>
          <w:rFonts w:ascii="Arial" w:hAnsi="Arial"/>
          <w:sz w:val="27"/>
          <w:shd w:val="clear" w:color="auto" w:fill="FFFFFF"/>
          <w:rtl/>
        </w:rPr>
        <w:t>مي</w:t>
      </w:r>
      <w:r w:rsidR="00C72362" w:rsidRPr="006571AC">
        <w:rPr>
          <w:rFonts w:ascii="Arial" w:hAnsi="Arial" w:hint="cs"/>
          <w:sz w:val="27"/>
          <w:shd w:val="clear" w:color="auto" w:fill="FFFFFF"/>
          <w:rtl/>
        </w:rPr>
        <w:t>َّ</w:t>
      </w:r>
      <w:r w:rsidRPr="006571AC">
        <w:rPr>
          <w:rFonts w:ascii="Arial" w:hAnsi="Arial"/>
          <w:sz w:val="27"/>
          <w:shd w:val="clear" w:color="auto" w:fill="FFFFFF"/>
          <w:rtl/>
        </w:rPr>
        <w:t>ز</w:t>
      </w:r>
      <w:r w:rsidRPr="006571AC">
        <w:rPr>
          <w:rFonts w:ascii="Arial" w:hAnsi="Arial" w:hint="cs"/>
          <w:sz w:val="27"/>
          <w:shd w:val="clear" w:color="auto" w:fill="FFFFFF"/>
          <w:rtl/>
        </w:rPr>
        <w:t xml:space="preserve"> بمجموعة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من الخصوصيات والمواصفات </w:t>
      </w:r>
      <w:r w:rsidRPr="006571AC">
        <w:rPr>
          <w:rFonts w:ascii="Arial" w:hAnsi="Arial"/>
          <w:sz w:val="27"/>
          <w:shd w:val="clear" w:color="auto" w:fill="FFFFFF"/>
          <w:rtl/>
        </w:rPr>
        <w:t xml:space="preserve">داخل </w:t>
      </w:r>
      <w:r w:rsidR="003C2639" w:rsidRPr="006571AC">
        <w:rPr>
          <w:rFonts w:ascii="Arial" w:hAnsi="Arial"/>
          <w:sz w:val="27"/>
          <w:shd w:val="clear" w:color="auto" w:fill="FFFFFF"/>
          <w:rtl/>
        </w:rPr>
        <w:t>مجال</w:t>
      </w:r>
      <w:r w:rsidRPr="006571AC">
        <w:rPr>
          <w:rFonts w:ascii="Arial" w:hAnsi="Arial"/>
          <w:sz w:val="27"/>
          <w:shd w:val="clear" w:color="auto" w:fill="FFFFFF"/>
          <w:rtl/>
        </w:rPr>
        <w:t xml:space="preserve"> العلوم والمعارف</w:t>
      </w:r>
      <w:r w:rsidRPr="006571AC">
        <w:rPr>
          <w:rFonts w:ascii="Arial" w:hAnsi="Arial" w:hint="cs"/>
          <w:sz w:val="27"/>
          <w:shd w:val="clear" w:color="auto" w:fill="FFFFFF"/>
          <w:rtl/>
        </w:rPr>
        <w:t xml:space="preserve"> بشكل</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عام</w:t>
      </w:r>
      <w:r w:rsidR="00C72362" w:rsidRPr="006571AC">
        <w:rPr>
          <w:rFonts w:ascii="Arial" w:hAnsi="Arial" w:hint="cs"/>
          <w:sz w:val="27"/>
          <w:shd w:val="clear" w:color="auto" w:fill="FFFFFF"/>
          <w:rtl/>
        </w:rPr>
        <w:t>ّ</w:t>
      </w:r>
      <w:r w:rsidRPr="006571AC">
        <w:rPr>
          <w:rFonts w:ascii="Arial" w:hAnsi="Arial" w:hint="cs"/>
          <w:sz w:val="27"/>
          <w:shd w:val="clear" w:color="auto" w:fill="FFFFFF"/>
          <w:rtl/>
        </w:rPr>
        <w:t>،</w:t>
      </w:r>
      <w:r w:rsidRPr="006571AC">
        <w:rPr>
          <w:rFonts w:ascii="Arial" w:hAnsi="Arial"/>
          <w:sz w:val="27"/>
          <w:shd w:val="clear" w:color="auto" w:fill="FFFFFF"/>
          <w:rtl/>
        </w:rPr>
        <w:t xml:space="preserve"> </w:t>
      </w:r>
      <w:r w:rsidRPr="006571AC">
        <w:rPr>
          <w:rFonts w:ascii="Arial" w:hAnsi="Arial" w:hint="cs"/>
          <w:sz w:val="27"/>
          <w:shd w:val="clear" w:color="auto" w:fill="FFFFFF"/>
          <w:rtl/>
        </w:rPr>
        <w:t>بل حت</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ى </w:t>
      </w:r>
      <w:r w:rsidRPr="006571AC">
        <w:rPr>
          <w:rFonts w:ascii="Arial" w:hAnsi="Arial"/>
          <w:sz w:val="27"/>
          <w:shd w:val="clear" w:color="auto" w:fill="FFFFFF"/>
          <w:rtl/>
        </w:rPr>
        <w:t xml:space="preserve">داخل المجتمع والوجود الاجتماعي </w:t>
      </w:r>
      <w:r w:rsidRPr="006571AC">
        <w:rPr>
          <w:rFonts w:ascii="Arial" w:hAnsi="Arial" w:hint="cs"/>
          <w:sz w:val="27"/>
          <w:shd w:val="clear" w:color="auto" w:fill="FFFFFF"/>
          <w:rtl/>
        </w:rPr>
        <w:t>والإنساني</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w:t>
      </w:r>
      <w:r w:rsidR="00C72362" w:rsidRPr="006571AC">
        <w:rPr>
          <w:rFonts w:ascii="Arial" w:hAnsi="Arial" w:hint="cs"/>
          <w:sz w:val="27"/>
          <w:shd w:val="clear" w:color="auto" w:fill="FFFFFF"/>
          <w:rtl/>
        </w:rPr>
        <w:t>ف</w:t>
      </w:r>
      <w:r w:rsidRPr="006571AC">
        <w:rPr>
          <w:rFonts w:ascii="Arial" w:hAnsi="Arial" w:hint="cs"/>
          <w:sz w:val="27"/>
          <w:shd w:val="clear" w:color="auto" w:fill="FFFFFF"/>
          <w:rtl/>
        </w:rPr>
        <w:t>من عادتها أنها تت</w:t>
      </w:r>
      <w:r w:rsidR="00C72362" w:rsidRPr="006571AC">
        <w:rPr>
          <w:rFonts w:ascii="Arial" w:hAnsi="Arial" w:hint="cs"/>
          <w:sz w:val="27"/>
          <w:shd w:val="clear" w:color="auto" w:fill="FFFFFF"/>
          <w:rtl/>
        </w:rPr>
        <w:t>ّ</w:t>
      </w:r>
      <w:r w:rsidRPr="006571AC">
        <w:rPr>
          <w:rFonts w:ascii="Arial" w:hAnsi="Arial" w:hint="cs"/>
          <w:sz w:val="27"/>
          <w:shd w:val="clear" w:color="auto" w:fill="FFFFFF"/>
          <w:rtl/>
        </w:rPr>
        <w:t>ص</w:t>
      </w:r>
      <w:r w:rsidRPr="006571AC">
        <w:rPr>
          <w:rFonts w:ascii="Arial" w:hAnsi="Arial" w:hint="eastAsia"/>
          <w:sz w:val="27"/>
          <w:shd w:val="clear" w:color="auto" w:fill="FFFFFF"/>
          <w:rtl/>
        </w:rPr>
        <w:t>ف</w:t>
      </w:r>
      <w:r w:rsidRPr="006571AC">
        <w:rPr>
          <w:rFonts w:ascii="Arial" w:hAnsi="Arial"/>
          <w:sz w:val="27"/>
          <w:shd w:val="clear" w:color="auto" w:fill="FFFFFF"/>
          <w:rtl/>
        </w:rPr>
        <w:t xml:space="preserve"> باستقلالي</w:t>
      </w:r>
      <w:r w:rsidR="00CF3B72" w:rsidRPr="006571AC">
        <w:rPr>
          <w:rFonts w:ascii="Arial" w:hAnsi="Arial" w:hint="cs"/>
          <w:sz w:val="27"/>
          <w:shd w:val="clear" w:color="auto" w:fill="FFFFFF"/>
          <w:rtl/>
        </w:rPr>
        <w:t>ّ</w:t>
      </w:r>
      <w:r w:rsidRPr="006571AC">
        <w:rPr>
          <w:rFonts w:ascii="Arial" w:hAnsi="Arial"/>
          <w:sz w:val="27"/>
          <w:shd w:val="clear" w:color="auto" w:fill="FFFFFF"/>
          <w:rtl/>
        </w:rPr>
        <w:t>ة</w:t>
      </w:r>
      <w:r w:rsidR="00CF3B72" w:rsidRPr="006571AC">
        <w:rPr>
          <w:rFonts w:ascii="Arial" w:hAnsi="Arial" w:hint="cs"/>
          <w:sz w:val="27"/>
          <w:shd w:val="clear" w:color="auto" w:fill="FFFFFF"/>
          <w:rtl/>
        </w:rPr>
        <w:t>ٍ</w:t>
      </w:r>
      <w:r w:rsidRPr="006571AC">
        <w:rPr>
          <w:rFonts w:ascii="Arial" w:hAnsi="Arial"/>
          <w:sz w:val="27"/>
          <w:shd w:val="clear" w:color="auto" w:fill="FFFFFF"/>
          <w:rtl/>
        </w:rPr>
        <w:t xml:space="preserve"> علمية في موضوعه</w:t>
      </w:r>
      <w:r w:rsidRPr="006571AC">
        <w:rPr>
          <w:rFonts w:ascii="Arial" w:hAnsi="Arial" w:hint="cs"/>
          <w:sz w:val="27"/>
          <w:shd w:val="clear" w:color="auto" w:fill="FFFFFF"/>
          <w:rtl/>
        </w:rPr>
        <w:t xml:space="preserve">ا، </w:t>
      </w:r>
      <w:r w:rsidRPr="006571AC">
        <w:rPr>
          <w:rFonts w:ascii="Arial" w:hAnsi="Arial"/>
          <w:sz w:val="27"/>
          <w:shd w:val="clear" w:color="auto" w:fill="FFFFFF"/>
          <w:rtl/>
        </w:rPr>
        <w:t>و</w:t>
      </w:r>
      <w:r w:rsidRPr="006571AC">
        <w:rPr>
          <w:rFonts w:ascii="Arial" w:hAnsi="Arial" w:hint="cs"/>
          <w:sz w:val="27"/>
          <w:shd w:val="clear" w:color="auto" w:fill="FFFFFF"/>
          <w:rtl/>
        </w:rPr>
        <w:t>بتمي</w:t>
      </w:r>
      <w:r w:rsidR="00C72362" w:rsidRPr="006571AC">
        <w:rPr>
          <w:rFonts w:ascii="Arial" w:hAnsi="Arial" w:hint="cs"/>
          <w:sz w:val="27"/>
          <w:shd w:val="clear" w:color="auto" w:fill="FFFFFF"/>
          <w:rtl/>
        </w:rPr>
        <w:t>ُّ</w:t>
      </w:r>
      <w:r w:rsidRPr="006571AC">
        <w:rPr>
          <w:rFonts w:ascii="Arial" w:hAnsi="Arial" w:hint="cs"/>
          <w:sz w:val="27"/>
          <w:shd w:val="clear" w:color="auto" w:fill="FFFFFF"/>
          <w:rtl/>
        </w:rPr>
        <w:t>ز</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وخصوصية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w:t>
      </w:r>
      <w:r w:rsidRPr="006571AC">
        <w:rPr>
          <w:rFonts w:ascii="Arial" w:hAnsi="Arial"/>
          <w:sz w:val="27"/>
          <w:shd w:val="clear" w:color="auto" w:fill="FFFFFF"/>
          <w:rtl/>
        </w:rPr>
        <w:t>في مناهجه</w:t>
      </w:r>
      <w:r w:rsidRPr="006571AC">
        <w:rPr>
          <w:rFonts w:ascii="Arial" w:hAnsi="Arial" w:hint="cs"/>
          <w:sz w:val="27"/>
          <w:shd w:val="clear" w:color="auto" w:fill="FFFFFF"/>
          <w:rtl/>
        </w:rPr>
        <w:t>ا، وبلغة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خاص</w:t>
      </w:r>
      <w:r w:rsidR="00C72362" w:rsidRPr="006571AC">
        <w:rPr>
          <w:rFonts w:ascii="Arial" w:hAnsi="Arial" w:hint="cs"/>
          <w:sz w:val="27"/>
          <w:shd w:val="clear" w:color="auto" w:fill="FFFFFF"/>
          <w:rtl/>
        </w:rPr>
        <w:t>ّ</w:t>
      </w:r>
      <w:r w:rsidRPr="006571AC">
        <w:rPr>
          <w:rFonts w:ascii="Arial" w:hAnsi="Arial" w:hint="cs"/>
          <w:sz w:val="27"/>
          <w:shd w:val="clear" w:color="auto" w:fill="FFFFFF"/>
          <w:rtl/>
        </w:rPr>
        <w:t>ة في مفاهيمها ومصطلحاتها المشك</w:t>
      </w:r>
      <w:r w:rsidR="00C72362" w:rsidRPr="006571AC">
        <w:rPr>
          <w:rFonts w:ascii="Arial" w:hAnsi="Arial" w:hint="cs"/>
          <w:sz w:val="27"/>
          <w:shd w:val="clear" w:color="auto" w:fill="FFFFFF"/>
          <w:rtl/>
        </w:rPr>
        <w:t>ِّ</w:t>
      </w:r>
      <w:r w:rsidRPr="006571AC">
        <w:rPr>
          <w:rFonts w:ascii="Arial" w:hAnsi="Arial" w:hint="cs"/>
          <w:sz w:val="27"/>
          <w:shd w:val="clear" w:color="auto" w:fill="FFFFFF"/>
          <w:rtl/>
        </w:rPr>
        <w:t>لة لبنائها</w:t>
      </w:r>
      <w:r w:rsidRPr="006571AC">
        <w:rPr>
          <w:rFonts w:ascii="Arial" w:hAnsi="Arial"/>
          <w:sz w:val="27"/>
          <w:rtl/>
        </w:rPr>
        <w:t xml:space="preserve">. </w:t>
      </w:r>
    </w:p>
    <w:p w:rsidR="0043677F" w:rsidRPr="006571AC" w:rsidRDefault="0043677F" w:rsidP="00CF3B72">
      <w:pPr>
        <w:tabs>
          <w:tab w:val="left" w:pos="2667"/>
          <w:tab w:val="right" w:pos="5329"/>
        </w:tabs>
        <w:rPr>
          <w:rFonts w:ascii="Arial" w:hAnsi="Arial"/>
          <w:sz w:val="27"/>
          <w:rtl/>
          <w:lang w:bidi="ar-MA"/>
        </w:rPr>
      </w:pPr>
      <w:r w:rsidRPr="006571AC">
        <w:rPr>
          <w:rFonts w:asciiTheme="minorBidi" w:hAnsiTheme="minorBidi" w:hint="cs"/>
          <w:sz w:val="27"/>
          <w:rtl/>
        </w:rPr>
        <w:t xml:space="preserve">هذه الاعتبارات والأوصاف المشار إليها </w:t>
      </w:r>
      <w:r w:rsidRPr="006571AC">
        <w:rPr>
          <w:rFonts w:asciiTheme="minorBidi" w:hAnsiTheme="minorBidi"/>
          <w:sz w:val="27"/>
          <w:rtl/>
        </w:rPr>
        <w:t>جعل</w:t>
      </w:r>
      <w:r w:rsidR="00C72362" w:rsidRPr="006571AC">
        <w:rPr>
          <w:rFonts w:asciiTheme="minorBidi" w:hAnsiTheme="minorBidi" w:hint="cs"/>
          <w:sz w:val="27"/>
          <w:rtl/>
        </w:rPr>
        <w:t>َ</w:t>
      </w:r>
      <w:r w:rsidRPr="006571AC">
        <w:rPr>
          <w:rFonts w:asciiTheme="minorBidi" w:hAnsiTheme="minorBidi" w:hint="cs"/>
          <w:sz w:val="27"/>
          <w:rtl/>
        </w:rPr>
        <w:t>ت</w:t>
      </w:r>
      <w:r w:rsidR="00C72362" w:rsidRPr="006571AC">
        <w:rPr>
          <w:rFonts w:asciiTheme="minorBidi" w:hAnsiTheme="minorBidi" w:hint="cs"/>
          <w:sz w:val="27"/>
          <w:rtl/>
        </w:rPr>
        <w:t>ْ</w:t>
      </w:r>
      <w:r w:rsidRPr="006571AC">
        <w:rPr>
          <w:rFonts w:asciiTheme="minorBidi" w:hAnsiTheme="minorBidi"/>
          <w:sz w:val="27"/>
          <w:rtl/>
        </w:rPr>
        <w:t xml:space="preserve"> العلوم </w:t>
      </w:r>
      <w:r w:rsidRPr="006571AC">
        <w:rPr>
          <w:rFonts w:asciiTheme="minorBidi" w:hAnsiTheme="minorBidi" w:hint="cs"/>
          <w:sz w:val="27"/>
          <w:rtl/>
        </w:rPr>
        <w:t>الإنسانية</w:t>
      </w:r>
      <w:r w:rsidRPr="006571AC">
        <w:rPr>
          <w:rFonts w:asciiTheme="minorBidi" w:hAnsiTheme="minorBidi"/>
          <w:sz w:val="27"/>
          <w:rtl/>
        </w:rPr>
        <w:t xml:space="preserve"> ت</w:t>
      </w:r>
      <w:r w:rsidR="00CF3B72" w:rsidRPr="006571AC">
        <w:rPr>
          <w:rFonts w:asciiTheme="minorBidi" w:hAnsiTheme="minorBidi" w:hint="cs"/>
          <w:sz w:val="27"/>
          <w:rtl/>
        </w:rPr>
        <w:t>ُ</w:t>
      </w:r>
      <w:r w:rsidRPr="006571AC">
        <w:rPr>
          <w:rFonts w:asciiTheme="minorBidi" w:hAnsiTheme="minorBidi"/>
          <w:sz w:val="27"/>
          <w:rtl/>
        </w:rPr>
        <w:t>حد</w:t>
      </w:r>
      <w:r w:rsidR="00C72362" w:rsidRPr="006571AC">
        <w:rPr>
          <w:rFonts w:asciiTheme="minorBidi" w:hAnsiTheme="minorBidi" w:hint="cs"/>
          <w:sz w:val="27"/>
          <w:rtl/>
        </w:rPr>
        <w:t>ّ</w:t>
      </w:r>
      <w:r w:rsidR="00CF3B72" w:rsidRPr="006571AC">
        <w:rPr>
          <w:rFonts w:asciiTheme="minorBidi" w:hAnsiTheme="minorBidi" w:hint="cs"/>
          <w:sz w:val="27"/>
          <w:rtl/>
        </w:rPr>
        <w:t>َ</w:t>
      </w:r>
      <w:r w:rsidRPr="006571AC">
        <w:rPr>
          <w:rFonts w:asciiTheme="minorBidi" w:hAnsiTheme="minorBidi"/>
          <w:sz w:val="27"/>
          <w:rtl/>
        </w:rPr>
        <w:t>د</w:t>
      </w:r>
      <w:r w:rsidRPr="006571AC">
        <w:rPr>
          <w:rFonts w:asciiTheme="minorBidi" w:hAnsiTheme="minorBidi" w:hint="cs"/>
          <w:sz w:val="27"/>
          <w:rtl/>
        </w:rPr>
        <w:t xml:space="preserve"> </w:t>
      </w:r>
      <w:r w:rsidR="00CF3B72" w:rsidRPr="006571AC">
        <w:rPr>
          <w:rFonts w:asciiTheme="minorBidi" w:hAnsiTheme="minorBidi" w:hint="cs"/>
          <w:sz w:val="27"/>
          <w:rtl/>
        </w:rPr>
        <w:t>ب</w:t>
      </w:r>
      <w:r w:rsidRPr="006571AC">
        <w:rPr>
          <w:rFonts w:asciiTheme="minorBidi" w:hAnsiTheme="minorBidi"/>
          <w:sz w:val="27"/>
          <w:rtl/>
        </w:rPr>
        <w:t xml:space="preserve">كونها </w:t>
      </w:r>
      <w:r w:rsidRPr="006571AC">
        <w:rPr>
          <w:rFonts w:asciiTheme="minorBidi" w:hAnsiTheme="minorBidi" w:hint="cs"/>
          <w:sz w:val="27"/>
          <w:rtl/>
        </w:rPr>
        <w:t>ت</w:t>
      </w:r>
      <w:r w:rsidRPr="006571AC">
        <w:rPr>
          <w:rFonts w:asciiTheme="minorBidi" w:hAnsiTheme="minorBidi"/>
          <w:sz w:val="27"/>
          <w:rtl/>
        </w:rPr>
        <w:t>لك العل</w:t>
      </w:r>
      <w:r w:rsidRPr="006571AC">
        <w:rPr>
          <w:rFonts w:asciiTheme="minorBidi" w:hAnsiTheme="minorBidi" w:hint="cs"/>
          <w:sz w:val="27"/>
          <w:rtl/>
        </w:rPr>
        <w:t>و</w:t>
      </w:r>
      <w:r w:rsidRPr="006571AC">
        <w:rPr>
          <w:rFonts w:asciiTheme="minorBidi" w:hAnsiTheme="minorBidi"/>
          <w:sz w:val="27"/>
          <w:rtl/>
        </w:rPr>
        <w:t>م</w:t>
      </w:r>
      <w:r w:rsidRPr="006571AC">
        <w:rPr>
          <w:rFonts w:asciiTheme="minorBidi" w:hAnsiTheme="minorBidi" w:hint="cs"/>
          <w:sz w:val="27"/>
          <w:rtl/>
        </w:rPr>
        <w:t xml:space="preserve"> التي حملت مجالاتها وأقطابها وعناصرها قضايا علمية موج</w:t>
      </w:r>
      <w:r w:rsidR="00667882" w:rsidRPr="006571AC">
        <w:rPr>
          <w:rFonts w:asciiTheme="minorBidi" w:hAnsiTheme="minorBidi" w:hint="cs"/>
          <w:sz w:val="27"/>
          <w:rtl/>
        </w:rPr>
        <w:t>ّ</w:t>
      </w:r>
      <w:r w:rsidRPr="006571AC">
        <w:rPr>
          <w:rFonts w:asciiTheme="minorBidi" w:hAnsiTheme="minorBidi" w:hint="cs"/>
          <w:sz w:val="27"/>
          <w:rtl/>
        </w:rPr>
        <w:t xml:space="preserve">هة </w:t>
      </w:r>
      <w:r w:rsidRPr="006571AC">
        <w:rPr>
          <w:rFonts w:asciiTheme="minorBidi" w:hAnsiTheme="minorBidi"/>
          <w:sz w:val="27"/>
          <w:rtl/>
        </w:rPr>
        <w:t>بشكل</w:t>
      </w:r>
      <w:r w:rsidR="00667882" w:rsidRPr="006571AC">
        <w:rPr>
          <w:rFonts w:asciiTheme="minorBidi" w:hAnsiTheme="minorBidi" w:hint="cs"/>
          <w:sz w:val="27"/>
          <w:rtl/>
        </w:rPr>
        <w:t>ٍ</w:t>
      </w:r>
      <w:r w:rsidRPr="006571AC">
        <w:rPr>
          <w:rFonts w:asciiTheme="minorBidi" w:hAnsiTheme="minorBidi"/>
          <w:sz w:val="27"/>
          <w:rtl/>
        </w:rPr>
        <w:t xml:space="preserve"> أساس </w:t>
      </w:r>
      <w:r w:rsidRPr="006571AC">
        <w:rPr>
          <w:rFonts w:asciiTheme="minorBidi" w:hAnsiTheme="minorBidi" w:hint="cs"/>
          <w:sz w:val="27"/>
          <w:rtl/>
        </w:rPr>
        <w:t>إلى الاشتغال على شخصي</w:t>
      </w:r>
      <w:r w:rsidR="00667882" w:rsidRPr="006571AC">
        <w:rPr>
          <w:rFonts w:asciiTheme="minorBidi" w:hAnsiTheme="minorBidi" w:hint="cs"/>
          <w:sz w:val="27"/>
          <w:rtl/>
        </w:rPr>
        <w:t>ّ</w:t>
      </w:r>
      <w:r w:rsidRPr="006571AC">
        <w:rPr>
          <w:rFonts w:asciiTheme="minorBidi" w:hAnsiTheme="minorBidi" w:hint="cs"/>
          <w:sz w:val="27"/>
          <w:rtl/>
        </w:rPr>
        <w:t>ة الإنسان، فهي تعمل بشكل</w:t>
      </w:r>
      <w:r w:rsidR="00667882" w:rsidRPr="006571AC">
        <w:rPr>
          <w:rFonts w:asciiTheme="minorBidi" w:hAnsiTheme="minorBidi" w:hint="cs"/>
          <w:sz w:val="27"/>
          <w:rtl/>
        </w:rPr>
        <w:t>ٍ</w:t>
      </w:r>
      <w:r w:rsidRPr="006571AC">
        <w:rPr>
          <w:rFonts w:asciiTheme="minorBidi" w:hAnsiTheme="minorBidi" w:hint="cs"/>
          <w:sz w:val="27"/>
          <w:rtl/>
        </w:rPr>
        <w:t xml:space="preserve"> دائم وبصفة</w:t>
      </w:r>
      <w:r w:rsidR="00667882" w:rsidRPr="006571AC">
        <w:rPr>
          <w:rFonts w:asciiTheme="minorBidi" w:hAnsiTheme="minorBidi" w:hint="cs"/>
          <w:sz w:val="27"/>
          <w:rtl/>
        </w:rPr>
        <w:t>ٍ</w:t>
      </w:r>
      <w:r w:rsidRPr="006571AC">
        <w:rPr>
          <w:rFonts w:asciiTheme="minorBidi" w:hAnsiTheme="minorBidi" w:hint="cs"/>
          <w:sz w:val="27"/>
          <w:rtl/>
        </w:rPr>
        <w:t xml:space="preserve"> مستمر</w:t>
      </w:r>
      <w:r w:rsidR="00667882" w:rsidRPr="006571AC">
        <w:rPr>
          <w:rFonts w:asciiTheme="minorBidi" w:hAnsiTheme="minorBidi" w:hint="cs"/>
          <w:sz w:val="27"/>
          <w:rtl/>
        </w:rPr>
        <w:t>ّ</w:t>
      </w:r>
      <w:r w:rsidRPr="006571AC">
        <w:rPr>
          <w:rFonts w:asciiTheme="minorBidi" w:hAnsiTheme="minorBidi" w:hint="cs"/>
          <w:sz w:val="27"/>
          <w:rtl/>
        </w:rPr>
        <w:t>ة على</w:t>
      </w:r>
      <w:r w:rsidRPr="006571AC">
        <w:rPr>
          <w:rFonts w:asciiTheme="minorBidi" w:hAnsiTheme="minorBidi"/>
          <w:sz w:val="27"/>
          <w:rtl/>
        </w:rPr>
        <w:t xml:space="preserve"> ر</w:t>
      </w:r>
      <w:r w:rsidR="00CF3B72" w:rsidRPr="006571AC">
        <w:rPr>
          <w:rFonts w:asciiTheme="minorBidi" w:hAnsiTheme="minorBidi" w:hint="cs"/>
          <w:sz w:val="27"/>
          <w:rtl/>
        </w:rPr>
        <w:t>َ</w:t>
      </w:r>
      <w:r w:rsidRPr="006571AC">
        <w:rPr>
          <w:rFonts w:asciiTheme="minorBidi" w:hAnsiTheme="minorBidi"/>
          <w:sz w:val="27"/>
          <w:rtl/>
        </w:rPr>
        <w:t>ص</w:t>
      </w:r>
      <w:r w:rsidR="00CF3B72" w:rsidRPr="006571AC">
        <w:rPr>
          <w:rFonts w:asciiTheme="minorBidi" w:hAnsiTheme="minorBidi" w:hint="cs"/>
          <w:sz w:val="27"/>
          <w:rtl/>
        </w:rPr>
        <w:t>ْ</w:t>
      </w:r>
      <w:r w:rsidRPr="006571AC">
        <w:rPr>
          <w:rFonts w:asciiTheme="minorBidi" w:hAnsiTheme="minorBidi"/>
          <w:sz w:val="27"/>
          <w:rtl/>
        </w:rPr>
        <w:t xml:space="preserve">د </w:t>
      </w:r>
      <w:r w:rsidRPr="006571AC">
        <w:rPr>
          <w:rFonts w:asciiTheme="minorBidi" w:hAnsiTheme="minorBidi" w:hint="cs"/>
          <w:sz w:val="27"/>
          <w:rtl/>
        </w:rPr>
        <w:t>وتتب</w:t>
      </w:r>
      <w:r w:rsidR="00667882" w:rsidRPr="006571AC">
        <w:rPr>
          <w:rFonts w:asciiTheme="minorBidi" w:hAnsiTheme="minorBidi" w:hint="cs"/>
          <w:sz w:val="27"/>
          <w:rtl/>
        </w:rPr>
        <w:t>ُّ</w:t>
      </w:r>
      <w:r w:rsidRPr="006571AC">
        <w:rPr>
          <w:rFonts w:asciiTheme="minorBidi" w:hAnsiTheme="minorBidi" w:hint="cs"/>
          <w:sz w:val="27"/>
          <w:rtl/>
        </w:rPr>
        <w:t xml:space="preserve">ع </w:t>
      </w:r>
      <w:r w:rsidRPr="006571AC">
        <w:rPr>
          <w:rFonts w:asciiTheme="minorBidi" w:hAnsiTheme="minorBidi"/>
          <w:sz w:val="27"/>
          <w:rtl/>
        </w:rPr>
        <w:t>مختلف السيرورات</w:t>
      </w:r>
      <w:r w:rsidRPr="006571AC">
        <w:rPr>
          <w:rFonts w:asciiTheme="minorBidi" w:hAnsiTheme="minorBidi" w:hint="cs"/>
          <w:sz w:val="27"/>
          <w:rtl/>
        </w:rPr>
        <w:t xml:space="preserve"> والتحو</w:t>
      </w:r>
      <w:r w:rsidR="00667882" w:rsidRPr="006571AC">
        <w:rPr>
          <w:rFonts w:asciiTheme="minorBidi" w:hAnsiTheme="minorBidi" w:hint="cs"/>
          <w:sz w:val="27"/>
          <w:rtl/>
        </w:rPr>
        <w:t>ُّ</w:t>
      </w:r>
      <w:r w:rsidRPr="006571AC">
        <w:rPr>
          <w:rFonts w:asciiTheme="minorBidi" w:hAnsiTheme="minorBidi" w:hint="cs"/>
          <w:sz w:val="27"/>
          <w:rtl/>
        </w:rPr>
        <w:t xml:space="preserve">لات والتفاعلات </w:t>
      </w:r>
      <w:r w:rsidRPr="006571AC">
        <w:rPr>
          <w:rFonts w:asciiTheme="minorBidi" w:hAnsiTheme="minorBidi"/>
          <w:sz w:val="27"/>
          <w:rtl/>
        </w:rPr>
        <w:t xml:space="preserve">النفسية والعقلية </w:t>
      </w:r>
      <w:r w:rsidRPr="006571AC">
        <w:rPr>
          <w:rFonts w:asciiTheme="minorBidi" w:hAnsiTheme="minorBidi" w:hint="cs"/>
          <w:sz w:val="27"/>
          <w:rtl/>
        </w:rPr>
        <w:t>والاجتماعية والق</w:t>
      </w:r>
      <w:r w:rsidR="00667882" w:rsidRPr="006571AC">
        <w:rPr>
          <w:rFonts w:asciiTheme="minorBidi" w:hAnsiTheme="minorBidi" w:hint="cs"/>
          <w:sz w:val="27"/>
          <w:rtl/>
        </w:rPr>
        <w:t>ِ</w:t>
      </w:r>
      <w:r w:rsidRPr="006571AC">
        <w:rPr>
          <w:rFonts w:asciiTheme="minorBidi" w:hAnsiTheme="minorBidi" w:hint="cs"/>
          <w:sz w:val="27"/>
          <w:rtl/>
        </w:rPr>
        <w:t>ي</w:t>
      </w:r>
      <w:r w:rsidR="00667882" w:rsidRPr="006571AC">
        <w:rPr>
          <w:rFonts w:asciiTheme="minorBidi" w:hAnsiTheme="minorBidi" w:hint="cs"/>
          <w:sz w:val="27"/>
          <w:rtl/>
        </w:rPr>
        <w:t>َ</w:t>
      </w:r>
      <w:r w:rsidRPr="006571AC">
        <w:rPr>
          <w:rFonts w:asciiTheme="minorBidi" w:hAnsiTheme="minorBidi" w:hint="cs"/>
          <w:sz w:val="27"/>
          <w:rtl/>
        </w:rPr>
        <w:t>مية للإنسان</w:t>
      </w:r>
      <w:r w:rsidRPr="006571AC">
        <w:rPr>
          <w:rFonts w:ascii="Arial" w:hAnsi="Arial" w:hint="cs"/>
          <w:sz w:val="27"/>
          <w:rtl/>
          <w:lang w:bidi="ar-MA"/>
        </w:rPr>
        <w:t xml:space="preserve">. </w:t>
      </w:r>
    </w:p>
    <w:p w:rsidR="0043677F" w:rsidRPr="006571AC" w:rsidRDefault="0043677F" w:rsidP="004F6064">
      <w:pPr>
        <w:tabs>
          <w:tab w:val="left" w:pos="2667"/>
          <w:tab w:val="right" w:pos="5329"/>
        </w:tabs>
        <w:rPr>
          <w:rFonts w:ascii="Arial" w:hAnsi="Arial"/>
          <w:sz w:val="27"/>
          <w:rtl/>
          <w:lang w:bidi="ar-MA"/>
        </w:rPr>
      </w:pPr>
      <w:r w:rsidRPr="006571AC">
        <w:rPr>
          <w:rFonts w:ascii="Arial" w:hAnsi="Arial" w:hint="cs"/>
          <w:sz w:val="27"/>
          <w:rtl/>
          <w:lang w:bidi="ar-MA"/>
        </w:rPr>
        <w:t>وبعبارة</w:t>
      </w:r>
      <w:r w:rsidR="00667882" w:rsidRPr="006571AC">
        <w:rPr>
          <w:rFonts w:ascii="Arial" w:hAnsi="Arial" w:hint="cs"/>
          <w:sz w:val="27"/>
          <w:rtl/>
          <w:lang w:bidi="ar-MA"/>
        </w:rPr>
        <w:t>ٍ</w:t>
      </w:r>
      <w:r w:rsidRPr="006571AC">
        <w:rPr>
          <w:rFonts w:ascii="Arial" w:hAnsi="Arial" w:hint="cs"/>
          <w:sz w:val="27"/>
          <w:rtl/>
          <w:lang w:bidi="ar-MA"/>
        </w:rPr>
        <w:t xml:space="preserve"> أخرى</w:t>
      </w:r>
      <w:r w:rsidR="00667882" w:rsidRPr="006571AC">
        <w:rPr>
          <w:rFonts w:ascii="Arial" w:hAnsi="Arial" w:hint="cs"/>
          <w:sz w:val="27"/>
          <w:rtl/>
          <w:lang w:bidi="ar-MA"/>
        </w:rPr>
        <w:t>،</w:t>
      </w:r>
      <w:r w:rsidRPr="006571AC">
        <w:rPr>
          <w:rFonts w:ascii="Arial" w:hAnsi="Arial" w:hint="cs"/>
          <w:sz w:val="27"/>
          <w:rtl/>
          <w:lang w:bidi="ar-MA"/>
        </w:rPr>
        <w:t xml:space="preserve"> أكثر إيجازا</w:t>
      </w:r>
      <w:r w:rsidR="00667882" w:rsidRPr="006571AC">
        <w:rPr>
          <w:rFonts w:ascii="Arial" w:hAnsi="Arial" w:hint="cs"/>
          <w:sz w:val="27"/>
          <w:rtl/>
          <w:lang w:bidi="ar-MA"/>
        </w:rPr>
        <w:t>ً</w:t>
      </w:r>
      <w:r w:rsidRPr="006571AC">
        <w:rPr>
          <w:rFonts w:ascii="Arial" w:hAnsi="Arial" w:hint="cs"/>
          <w:sz w:val="27"/>
          <w:rtl/>
          <w:lang w:bidi="ar-MA"/>
        </w:rPr>
        <w:t xml:space="preserve"> وتعبيرا</w:t>
      </w:r>
      <w:r w:rsidR="00667882" w:rsidRPr="006571AC">
        <w:rPr>
          <w:rFonts w:ascii="Arial" w:hAnsi="Arial" w:hint="cs"/>
          <w:sz w:val="27"/>
          <w:rtl/>
          <w:lang w:bidi="ar-MA"/>
        </w:rPr>
        <w:t>ً</w:t>
      </w:r>
      <w:r w:rsidRPr="006571AC">
        <w:rPr>
          <w:rFonts w:ascii="Arial" w:hAnsi="Arial" w:hint="cs"/>
          <w:sz w:val="27"/>
          <w:rtl/>
          <w:lang w:bidi="ar-MA"/>
        </w:rPr>
        <w:t xml:space="preserve"> ودق</w:t>
      </w:r>
      <w:r w:rsidR="00667882" w:rsidRPr="006571AC">
        <w:rPr>
          <w:rFonts w:ascii="Arial" w:hAnsi="Arial" w:hint="cs"/>
          <w:sz w:val="27"/>
          <w:rtl/>
          <w:lang w:bidi="ar-MA"/>
        </w:rPr>
        <w:t>ّ</w:t>
      </w:r>
      <w:r w:rsidRPr="006571AC">
        <w:rPr>
          <w:rFonts w:ascii="Arial" w:hAnsi="Arial" w:hint="cs"/>
          <w:sz w:val="27"/>
          <w:rtl/>
          <w:lang w:bidi="ar-MA"/>
        </w:rPr>
        <w:t>ة</w:t>
      </w:r>
      <w:r w:rsidR="00667882" w:rsidRPr="006571AC">
        <w:rPr>
          <w:rFonts w:ascii="Arial" w:hAnsi="Arial" w:hint="cs"/>
          <w:sz w:val="27"/>
          <w:rtl/>
          <w:lang w:bidi="ar-MA"/>
        </w:rPr>
        <w:t>ً:</w:t>
      </w:r>
      <w:r w:rsidRPr="006571AC">
        <w:rPr>
          <w:rFonts w:ascii="Arial" w:hAnsi="Arial" w:hint="cs"/>
          <w:sz w:val="27"/>
          <w:rtl/>
          <w:lang w:bidi="ar-MA"/>
        </w:rPr>
        <w:t xml:space="preserve"> </w:t>
      </w:r>
      <w:r w:rsidRPr="006571AC">
        <w:rPr>
          <w:rFonts w:ascii="Arial" w:hAnsi="Arial" w:hint="cs"/>
          <w:sz w:val="27"/>
          <w:shd w:val="clear" w:color="auto" w:fill="FFFFFF"/>
          <w:rtl/>
        </w:rPr>
        <w:t>إن</w:t>
      </w:r>
      <w:r w:rsidRPr="006571AC">
        <w:rPr>
          <w:rFonts w:ascii="Arial" w:hAnsi="Arial"/>
          <w:sz w:val="27"/>
          <w:shd w:val="clear" w:color="auto" w:fill="FFFFFF"/>
          <w:rtl/>
        </w:rPr>
        <w:t xml:space="preserve"> العلوم </w:t>
      </w:r>
      <w:r w:rsidRPr="006571AC">
        <w:rPr>
          <w:rFonts w:ascii="Arial" w:hAnsi="Arial" w:hint="cs"/>
          <w:sz w:val="27"/>
          <w:shd w:val="clear" w:color="auto" w:fill="FFFFFF"/>
          <w:rtl/>
        </w:rPr>
        <w:t>الإنسانية</w:t>
      </w:r>
      <w:r w:rsidRPr="006571AC">
        <w:rPr>
          <w:rFonts w:ascii="Arial" w:hAnsi="Arial"/>
          <w:sz w:val="27"/>
          <w:shd w:val="clear" w:color="auto" w:fill="FFFFFF"/>
        </w:rPr>
        <w:t> </w:t>
      </w:r>
      <w:r w:rsidRPr="006571AC">
        <w:rPr>
          <w:rFonts w:ascii="Arial" w:hAnsi="Arial"/>
          <w:sz w:val="27"/>
          <w:shd w:val="clear" w:color="auto" w:fill="FFFFFF"/>
          <w:rtl/>
        </w:rPr>
        <w:t>ه</w:t>
      </w:r>
      <w:r w:rsidRPr="006571AC">
        <w:rPr>
          <w:rFonts w:ascii="Arial" w:hAnsi="Arial" w:hint="cs"/>
          <w:sz w:val="27"/>
          <w:shd w:val="clear" w:color="auto" w:fill="FFFFFF"/>
          <w:rtl/>
        </w:rPr>
        <w:t>ي</w:t>
      </w:r>
      <w:r w:rsidRPr="006571AC">
        <w:rPr>
          <w:rFonts w:ascii="Arial" w:hAnsi="Arial"/>
          <w:sz w:val="27"/>
          <w:shd w:val="clear" w:color="auto" w:fill="FFFFFF"/>
          <w:rtl/>
        </w:rPr>
        <w:t xml:space="preserve"> تلك العلوم </w:t>
      </w:r>
      <w:r w:rsidRPr="006571AC">
        <w:rPr>
          <w:rFonts w:ascii="Arial" w:hAnsi="Arial" w:hint="cs"/>
          <w:sz w:val="27"/>
          <w:shd w:val="clear" w:color="auto" w:fill="FFFFFF"/>
          <w:rtl/>
        </w:rPr>
        <w:t>التي</w:t>
      </w:r>
      <w:r w:rsidRPr="006571AC">
        <w:rPr>
          <w:rFonts w:ascii="Arial" w:hAnsi="Arial"/>
          <w:sz w:val="27"/>
          <w:shd w:val="clear" w:color="auto" w:fill="FFFFFF"/>
          <w:rtl/>
        </w:rPr>
        <w:t xml:space="preserve"> تتناول بالدراسة</w:t>
      </w:r>
      <w:r w:rsidRPr="006571AC">
        <w:rPr>
          <w:rFonts w:ascii="Arial" w:hAnsi="Arial" w:hint="cs"/>
          <w:sz w:val="27"/>
          <w:shd w:val="clear" w:color="auto" w:fill="FFFFFF"/>
          <w:rtl/>
        </w:rPr>
        <w:t xml:space="preserve"> النقدية والمتعد</w:t>
      </w:r>
      <w:r w:rsidR="00667882" w:rsidRPr="006571AC">
        <w:rPr>
          <w:rFonts w:ascii="Arial" w:hAnsi="Arial" w:hint="cs"/>
          <w:sz w:val="27"/>
          <w:shd w:val="clear" w:color="auto" w:fill="FFFFFF"/>
          <w:rtl/>
        </w:rPr>
        <w:t>ِّ</w:t>
      </w:r>
      <w:r w:rsidRPr="006571AC">
        <w:rPr>
          <w:rFonts w:ascii="Arial" w:hAnsi="Arial" w:hint="cs"/>
          <w:sz w:val="27"/>
          <w:shd w:val="clear" w:color="auto" w:fill="FFFFFF"/>
          <w:rtl/>
        </w:rPr>
        <w:t xml:space="preserve">دة </w:t>
      </w:r>
      <w:r w:rsidR="00667882" w:rsidRPr="006571AC">
        <w:rPr>
          <w:rFonts w:ascii="Arial" w:hAnsi="Arial" w:hint="cs"/>
          <w:sz w:val="27"/>
          <w:shd w:val="clear" w:color="auto" w:fill="FFFFFF"/>
          <w:rtl/>
        </w:rPr>
        <w:t>ا</w:t>
      </w:r>
      <w:r w:rsidRPr="006571AC">
        <w:rPr>
          <w:rFonts w:ascii="Arial" w:hAnsi="Arial" w:hint="cs"/>
          <w:sz w:val="27"/>
          <w:shd w:val="clear" w:color="auto" w:fill="FFFFFF"/>
          <w:rtl/>
        </w:rPr>
        <w:t>لنشا</w:t>
      </w:r>
      <w:r w:rsidRPr="006571AC">
        <w:rPr>
          <w:rFonts w:ascii="Arial" w:hAnsi="Arial" w:hint="eastAsia"/>
          <w:sz w:val="27"/>
          <w:shd w:val="clear" w:color="auto" w:fill="FFFFFF"/>
          <w:rtl/>
        </w:rPr>
        <w:t>ط</w:t>
      </w:r>
      <w:r w:rsidRPr="006571AC">
        <w:rPr>
          <w:rFonts w:ascii="Arial" w:hAnsi="Arial" w:hint="cs"/>
          <w:sz w:val="27"/>
          <w:shd w:val="clear" w:color="auto" w:fill="FFFFFF"/>
          <w:rtl/>
        </w:rPr>
        <w:t xml:space="preserve"> الإنساني والسلوك </w:t>
      </w:r>
      <w:r w:rsidRPr="006571AC">
        <w:rPr>
          <w:rFonts w:ascii="Arial" w:hAnsi="Arial"/>
          <w:sz w:val="27"/>
          <w:shd w:val="clear" w:color="auto" w:fill="FFFFFF"/>
          <w:rtl/>
        </w:rPr>
        <w:t>البشر</w:t>
      </w:r>
      <w:r w:rsidRPr="006571AC">
        <w:rPr>
          <w:rFonts w:ascii="Arial" w:hAnsi="Arial" w:hint="cs"/>
          <w:sz w:val="27"/>
          <w:shd w:val="clear" w:color="auto" w:fill="FFFFFF"/>
          <w:rtl/>
        </w:rPr>
        <w:t>ي في عدد</w:t>
      </w:r>
      <w:r w:rsidR="00667882" w:rsidRPr="006571AC">
        <w:rPr>
          <w:rFonts w:ascii="Arial" w:hAnsi="Arial" w:hint="cs"/>
          <w:sz w:val="27"/>
          <w:shd w:val="clear" w:color="auto" w:fill="FFFFFF"/>
          <w:rtl/>
        </w:rPr>
        <w:t>ٍ</w:t>
      </w:r>
      <w:r w:rsidRPr="006571AC">
        <w:rPr>
          <w:rFonts w:ascii="Arial" w:hAnsi="Arial" w:hint="cs"/>
          <w:sz w:val="27"/>
          <w:shd w:val="clear" w:color="auto" w:fill="FFFFFF"/>
          <w:rtl/>
        </w:rPr>
        <w:t xml:space="preserve"> من أبعاده</w:t>
      </w:r>
      <w:r w:rsidRPr="006571AC">
        <w:rPr>
          <w:rFonts w:ascii="Arial" w:hAnsi="Arial"/>
          <w:sz w:val="27"/>
          <w:shd w:val="clear" w:color="auto" w:fill="FFFFFF"/>
          <w:rtl/>
        </w:rPr>
        <w:t xml:space="preserve">، ودوافع تلك الأنشطة </w:t>
      </w:r>
      <w:r w:rsidRPr="006571AC">
        <w:rPr>
          <w:rFonts w:ascii="Arial" w:hAnsi="Arial" w:hint="cs"/>
          <w:sz w:val="27"/>
          <w:shd w:val="clear" w:color="auto" w:fill="FFFFFF"/>
          <w:rtl/>
        </w:rPr>
        <w:t>وخصائصها</w:t>
      </w:r>
      <w:r w:rsidR="00667882" w:rsidRPr="006571AC">
        <w:rPr>
          <w:rFonts w:ascii="Arial" w:hAnsi="Arial" w:hint="cs"/>
          <w:sz w:val="27"/>
          <w:shd w:val="clear" w:color="auto" w:fill="FFFFFF"/>
          <w:rtl/>
        </w:rPr>
        <w:t>،</w:t>
      </w:r>
      <w:r w:rsidRPr="006571AC">
        <w:rPr>
          <w:rFonts w:ascii="Arial" w:hAnsi="Arial"/>
          <w:sz w:val="27"/>
          <w:shd w:val="clear" w:color="auto" w:fill="FFFFFF"/>
          <w:rtl/>
        </w:rPr>
        <w:t xml:space="preserve"> وكيفية</w:t>
      </w:r>
      <w:r w:rsidRPr="006571AC">
        <w:rPr>
          <w:rFonts w:ascii="Arial" w:hAnsi="Arial" w:hint="cs"/>
          <w:sz w:val="27"/>
          <w:shd w:val="clear" w:color="auto" w:fill="FFFFFF"/>
          <w:rtl/>
        </w:rPr>
        <w:t xml:space="preserve"> تطو</w:t>
      </w:r>
      <w:r w:rsidR="00667882" w:rsidRPr="006571AC">
        <w:rPr>
          <w:rFonts w:ascii="Arial" w:hAnsi="Arial" w:hint="cs"/>
          <w:sz w:val="27"/>
          <w:shd w:val="clear" w:color="auto" w:fill="FFFFFF"/>
          <w:rtl/>
        </w:rPr>
        <w:t>ُّ</w:t>
      </w:r>
      <w:r w:rsidRPr="006571AC">
        <w:rPr>
          <w:rFonts w:ascii="Arial" w:hAnsi="Arial" w:hint="cs"/>
          <w:sz w:val="27"/>
          <w:shd w:val="clear" w:color="auto" w:fill="FFFFFF"/>
          <w:rtl/>
        </w:rPr>
        <w:t>رها والارتقاء بها، والرفع من و</w:t>
      </w:r>
      <w:r w:rsidR="00667882" w:rsidRPr="006571AC">
        <w:rPr>
          <w:rFonts w:ascii="Arial" w:hAnsi="Arial" w:hint="cs"/>
          <w:sz w:val="27"/>
          <w:shd w:val="clear" w:color="auto" w:fill="FFFFFF"/>
          <w:rtl/>
        </w:rPr>
        <w:t>ت</w:t>
      </w:r>
      <w:r w:rsidRPr="006571AC">
        <w:rPr>
          <w:rFonts w:ascii="Arial" w:hAnsi="Arial" w:hint="cs"/>
          <w:sz w:val="27"/>
          <w:shd w:val="clear" w:color="auto" w:fill="FFFFFF"/>
          <w:rtl/>
        </w:rPr>
        <w:t xml:space="preserve">يرة تلك </w:t>
      </w:r>
      <w:r w:rsidRPr="006571AC">
        <w:rPr>
          <w:rFonts w:ascii="Arial" w:hAnsi="Arial"/>
          <w:sz w:val="27"/>
          <w:shd w:val="clear" w:color="auto" w:fill="FFFFFF"/>
          <w:rtl/>
        </w:rPr>
        <w:t xml:space="preserve">الأنشطة </w:t>
      </w:r>
      <w:r w:rsidRPr="006571AC">
        <w:rPr>
          <w:rFonts w:ascii="Arial" w:hAnsi="Arial" w:hint="cs"/>
          <w:sz w:val="27"/>
          <w:shd w:val="clear" w:color="auto" w:fill="FFFFFF"/>
          <w:rtl/>
        </w:rPr>
        <w:t>الإنسانية نح</w:t>
      </w:r>
      <w:r w:rsidRPr="006571AC">
        <w:rPr>
          <w:rFonts w:ascii="Arial" w:hAnsi="Arial" w:hint="eastAsia"/>
          <w:sz w:val="27"/>
          <w:shd w:val="clear" w:color="auto" w:fill="FFFFFF"/>
          <w:rtl/>
        </w:rPr>
        <w:t>و</w:t>
      </w:r>
      <w:r w:rsidRPr="006571AC">
        <w:rPr>
          <w:rFonts w:ascii="Arial" w:hAnsi="Arial" w:hint="cs"/>
          <w:sz w:val="27"/>
          <w:shd w:val="clear" w:color="auto" w:fill="FFFFFF"/>
          <w:rtl/>
        </w:rPr>
        <w:t xml:space="preserve"> التمي</w:t>
      </w:r>
      <w:r w:rsidR="00667882" w:rsidRPr="006571AC">
        <w:rPr>
          <w:rFonts w:ascii="Arial" w:hAnsi="Arial" w:hint="cs"/>
          <w:sz w:val="27"/>
          <w:shd w:val="clear" w:color="auto" w:fill="FFFFFF"/>
          <w:rtl/>
        </w:rPr>
        <w:t>ُّ</w:t>
      </w:r>
      <w:r w:rsidRPr="006571AC">
        <w:rPr>
          <w:rFonts w:ascii="Arial" w:hAnsi="Arial" w:hint="cs"/>
          <w:sz w:val="27"/>
          <w:shd w:val="clear" w:color="auto" w:fill="FFFFFF"/>
          <w:rtl/>
        </w:rPr>
        <w:t>ز والأفضل</w:t>
      </w:r>
      <w:r w:rsidRPr="006571AC">
        <w:rPr>
          <w:rFonts w:ascii="Arial" w:hAnsi="Arial" w:hint="cs"/>
          <w:sz w:val="27"/>
          <w:rtl/>
          <w:lang w:bidi="ar-MA"/>
        </w:rPr>
        <w:t xml:space="preserve">. </w:t>
      </w:r>
    </w:p>
    <w:p w:rsidR="0043677F" w:rsidRPr="006571AC" w:rsidRDefault="00667882" w:rsidP="00862F4E">
      <w:pPr>
        <w:tabs>
          <w:tab w:val="left" w:pos="2667"/>
          <w:tab w:val="right" w:pos="5329"/>
        </w:tabs>
        <w:rPr>
          <w:rFonts w:ascii="Arial" w:hAnsi="Arial"/>
          <w:sz w:val="27"/>
          <w:rtl/>
        </w:rPr>
      </w:pPr>
      <w:r w:rsidRPr="006571AC">
        <w:rPr>
          <w:rFonts w:ascii="Arial" w:hAnsi="Arial" w:hint="cs"/>
          <w:sz w:val="27"/>
          <w:rtl/>
        </w:rPr>
        <w:t xml:space="preserve">وفي </w:t>
      </w:r>
      <w:r w:rsidR="0043677F" w:rsidRPr="006571AC">
        <w:rPr>
          <w:rFonts w:ascii="Arial" w:hAnsi="Arial" w:hint="cs"/>
          <w:sz w:val="27"/>
          <w:rtl/>
        </w:rPr>
        <w:t>المقابل فان أكبر ما تحق</w:t>
      </w:r>
      <w:r w:rsidRPr="006571AC">
        <w:rPr>
          <w:rFonts w:ascii="Arial" w:hAnsi="Arial" w:hint="cs"/>
          <w:sz w:val="27"/>
          <w:rtl/>
        </w:rPr>
        <w:t>ّ</w:t>
      </w:r>
      <w:r w:rsidR="0043677F" w:rsidRPr="006571AC">
        <w:rPr>
          <w:rFonts w:ascii="Arial" w:hAnsi="Arial" w:hint="cs"/>
          <w:sz w:val="27"/>
          <w:rtl/>
        </w:rPr>
        <w:t>ق للعلوم الإنسانية في مسارها التاريخي</w:t>
      </w:r>
      <w:r w:rsidRPr="006571AC">
        <w:rPr>
          <w:rFonts w:ascii="Arial" w:hAnsi="Arial" w:hint="cs"/>
          <w:sz w:val="27"/>
          <w:rtl/>
        </w:rPr>
        <w:t>،</w:t>
      </w:r>
      <w:r w:rsidR="0043677F" w:rsidRPr="006571AC">
        <w:rPr>
          <w:rFonts w:ascii="Arial" w:hAnsi="Arial" w:hint="cs"/>
          <w:sz w:val="27"/>
          <w:rtl/>
        </w:rPr>
        <w:t xml:space="preserve"> </w:t>
      </w:r>
      <w:r w:rsidRPr="006571AC">
        <w:rPr>
          <w:rFonts w:ascii="Arial" w:hAnsi="Arial" w:hint="cs"/>
          <w:sz w:val="27"/>
          <w:rtl/>
        </w:rPr>
        <w:t>و</w:t>
      </w:r>
      <w:r w:rsidR="00731867" w:rsidRPr="006571AC">
        <w:rPr>
          <w:rFonts w:ascii="Arial" w:hAnsi="Arial" w:hint="cs"/>
          <w:sz w:val="27"/>
          <w:rtl/>
        </w:rPr>
        <w:t>لا سيَّما</w:t>
      </w:r>
      <w:r w:rsidR="0043677F" w:rsidRPr="006571AC">
        <w:rPr>
          <w:rFonts w:ascii="Arial" w:hAnsi="Arial" w:hint="cs"/>
          <w:sz w:val="27"/>
          <w:rtl/>
        </w:rPr>
        <w:t xml:space="preserve"> في السنين الأخيرة</w:t>
      </w:r>
      <w:r w:rsidRPr="006571AC">
        <w:rPr>
          <w:rFonts w:ascii="Arial" w:hAnsi="Arial" w:hint="cs"/>
          <w:sz w:val="27"/>
          <w:rtl/>
        </w:rPr>
        <w:t>،</w:t>
      </w:r>
      <w:r w:rsidR="0043677F" w:rsidRPr="006571AC">
        <w:rPr>
          <w:rFonts w:ascii="Arial" w:hAnsi="Arial" w:hint="cs"/>
          <w:sz w:val="27"/>
          <w:rtl/>
        </w:rPr>
        <w:t xml:space="preserve"> هو طلاقها وانفصالها بشكل</w:t>
      </w:r>
      <w:r w:rsidRPr="006571AC">
        <w:rPr>
          <w:rFonts w:ascii="Arial" w:hAnsi="Arial" w:hint="cs"/>
          <w:sz w:val="27"/>
          <w:rtl/>
        </w:rPr>
        <w:t>ٍ</w:t>
      </w:r>
      <w:r w:rsidR="0043677F" w:rsidRPr="006571AC">
        <w:rPr>
          <w:rFonts w:ascii="Arial" w:hAnsi="Arial" w:hint="cs"/>
          <w:sz w:val="27"/>
          <w:rtl/>
        </w:rPr>
        <w:t xml:space="preserve"> نهائي</w:t>
      </w:r>
      <w:r w:rsidRPr="006571AC">
        <w:rPr>
          <w:rFonts w:ascii="Arial" w:hAnsi="Arial" w:hint="cs"/>
          <w:sz w:val="27"/>
          <w:rtl/>
        </w:rPr>
        <w:t>ّ</w:t>
      </w:r>
      <w:r w:rsidR="0043677F" w:rsidRPr="006571AC">
        <w:rPr>
          <w:rFonts w:ascii="Arial" w:hAnsi="Arial" w:hint="cs"/>
          <w:sz w:val="27"/>
          <w:rtl/>
        </w:rPr>
        <w:t xml:space="preserve"> عن الفلسفة، واختيارها وجهة الاختصاص والتفر</w:t>
      </w:r>
      <w:r w:rsidRPr="006571AC">
        <w:rPr>
          <w:rFonts w:ascii="Arial" w:hAnsi="Arial" w:hint="cs"/>
          <w:sz w:val="27"/>
          <w:rtl/>
        </w:rPr>
        <w:t>ُّ</w:t>
      </w:r>
      <w:r w:rsidR="0043677F" w:rsidRPr="006571AC">
        <w:rPr>
          <w:rFonts w:ascii="Arial" w:hAnsi="Arial" w:hint="cs"/>
          <w:sz w:val="27"/>
          <w:rtl/>
        </w:rPr>
        <w:t>د والتمي</w:t>
      </w:r>
      <w:r w:rsidRPr="006571AC">
        <w:rPr>
          <w:rFonts w:ascii="Arial" w:hAnsi="Arial" w:hint="cs"/>
          <w:sz w:val="27"/>
          <w:rtl/>
        </w:rPr>
        <w:t>ُّ</w:t>
      </w:r>
      <w:r w:rsidR="0043677F" w:rsidRPr="006571AC">
        <w:rPr>
          <w:rFonts w:ascii="Arial" w:hAnsi="Arial" w:hint="cs"/>
          <w:sz w:val="27"/>
          <w:rtl/>
        </w:rPr>
        <w:t>ز بموضوعها الخاص</w:t>
      </w:r>
      <w:r w:rsidRPr="006571AC">
        <w:rPr>
          <w:rFonts w:ascii="Arial" w:hAnsi="Arial" w:hint="cs"/>
          <w:sz w:val="27"/>
          <w:rtl/>
        </w:rPr>
        <w:t>ّ</w:t>
      </w:r>
      <w:r w:rsidR="00D770F6" w:rsidRPr="006571AC">
        <w:rPr>
          <w:rFonts w:ascii="Arial" w:hAnsi="Arial" w:hint="cs"/>
          <w:sz w:val="27"/>
          <w:rtl/>
        </w:rPr>
        <w:t>،</w:t>
      </w:r>
      <w:r w:rsidR="0043677F" w:rsidRPr="006571AC">
        <w:rPr>
          <w:rFonts w:ascii="Arial" w:hAnsi="Arial" w:hint="cs"/>
          <w:sz w:val="27"/>
          <w:rtl/>
        </w:rPr>
        <w:t xml:space="preserve"> بمجالها الخاص</w:t>
      </w:r>
      <w:r w:rsidRPr="006571AC">
        <w:rPr>
          <w:rFonts w:ascii="Arial" w:hAnsi="Arial" w:hint="cs"/>
          <w:sz w:val="27"/>
          <w:rtl/>
        </w:rPr>
        <w:t>ّ</w:t>
      </w:r>
      <w:r w:rsidR="0043677F" w:rsidRPr="006571AC">
        <w:rPr>
          <w:rFonts w:ascii="Arial" w:hAnsi="Arial" w:hint="cs"/>
          <w:sz w:val="27"/>
          <w:rtl/>
        </w:rPr>
        <w:t xml:space="preserve"> ونطاقها العلمي، وحت</w:t>
      </w:r>
      <w:r w:rsidRPr="006571AC">
        <w:rPr>
          <w:rFonts w:ascii="Arial" w:hAnsi="Arial" w:hint="cs"/>
          <w:sz w:val="27"/>
          <w:rtl/>
        </w:rPr>
        <w:t>ّ</w:t>
      </w:r>
      <w:r w:rsidR="0043677F" w:rsidRPr="006571AC">
        <w:rPr>
          <w:rFonts w:ascii="Arial" w:hAnsi="Arial" w:hint="cs"/>
          <w:sz w:val="27"/>
          <w:rtl/>
        </w:rPr>
        <w:t>ى بلغتها المفاهيمية</w:t>
      </w:r>
      <w:r w:rsidR="00862F4E" w:rsidRPr="006571AC">
        <w:rPr>
          <w:rFonts w:ascii="Arial" w:hAnsi="Arial"/>
          <w:sz w:val="27"/>
          <w:vertAlign w:val="superscript"/>
          <w:rtl/>
          <w:lang w:bidi="ar-MA"/>
        </w:rPr>
        <w:t>(</w:t>
      </w:r>
      <w:r w:rsidR="00862F4E" w:rsidRPr="006571AC">
        <w:rPr>
          <w:rStyle w:val="ac"/>
          <w:sz w:val="27"/>
          <w:rtl/>
          <w:lang w:bidi="ar-MA"/>
        </w:rPr>
        <w:endnoteReference w:id="730"/>
      </w:r>
      <w:r w:rsidR="00862F4E" w:rsidRPr="006571AC">
        <w:rPr>
          <w:rFonts w:ascii="Arial" w:hAnsi="Arial"/>
          <w:sz w:val="27"/>
          <w:vertAlign w:val="superscript"/>
          <w:rtl/>
          <w:lang w:bidi="ar-MA"/>
        </w:rPr>
        <w:t>)</w:t>
      </w:r>
      <w:r w:rsidR="0043677F" w:rsidRPr="006571AC">
        <w:rPr>
          <w:rFonts w:ascii="Arial" w:hAnsi="Arial"/>
          <w:sz w:val="27"/>
          <w:rtl/>
        </w:rPr>
        <w:t xml:space="preserve">. </w:t>
      </w:r>
    </w:p>
    <w:p w:rsidR="0043677F" w:rsidRPr="006571AC" w:rsidRDefault="0043677F" w:rsidP="004F6064">
      <w:pPr>
        <w:tabs>
          <w:tab w:val="left" w:pos="2667"/>
          <w:tab w:val="right" w:pos="5329"/>
        </w:tabs>
        <w:rPr>
          <w:rFonts w:ascii="Arial" w:hAnsi="Arial"/>
          <w:sz w:val="27"/>
          <w:rtl/>
          <w:lang w:bidi="ar-MA"/>
        </w:rPr>
      </w:pPr>
      <w:r w:rsidRPr="006571AC">
        <w:rPr>
          <w:rFonts w:ascii="Arabic Transparent" w:hAnsi="Arabic Transparent" w:hint="cs"/>
          <w:sz w:val="27"/>
          <w:shd w:val="clear" w:color="auto" w:fill="FFFFFF"/>
          <w:rtl/>
        </w:rPr>
        <w:t>إن الخطاب الفلسفي في مساره التاريخي احتض</w:t>
      </w:r>
      <w:r w:rsidRPr="006571AC">
        <w:rPr>
          <w:rFonts w:ascii="Arabic Transparent" w:hAnsi="Arabic Transparent" w:hint="eastAsia"/>
          <w:sz w:val="27"/>
          <w:shd w:val="clear" w:color="auto" w:fill="FFFFFF"/>
          <w:rtl/>
        </w:rPr>
        <w:t>ن</w:t>
      </w:r>
      <w:r w:rsidRPr="006571AC">
        <w:rPr>
          <w:rFonts w:ascii="Arabic Transparent" w:hAnsi="Arabic Transparent" w:hint="cs"/>
          <w:sz w:val="27"/>
          <w:shd w:val="clear" w:color="auto" w:fill="FFFFFF"/>
          <w:rtl/>
        </w:rPr>
        <w:t xml:space="preserve"> كثيرا</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 xml:space="preserve"> من الاجتهادات في قضايا الإنسان</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 xml:space="preserve"> في واقعه ومستقبله</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 xml:space="preserve"> ف</w:t>
      </w:r>
      <w:r w:rsidRPr="006571AC">
        <w:rPr>
          <w:rFonts w:ascii="Arabic Transparent" w:hAnsi="Arabic Transparent"/>
          <w:sz w:val="27"/>
          <w:shd w:val="clear" w:color="auto" w:fill="FFFFFF"/>
          <w:rtl/>
        </w:rPr>
        <w:t>القول</w:t>
      </w:r>
      <w:r w:rsidRPr="006571AC">
        <w:rPr>
          <w:rFonts w:ascii="Arabic Transparent" w:hAnsi="Arabic Transparent" w:hint="cs"/>
          <w:sz w:val="27"/>
          <w:shd w:val="clear" w:color="auto" w:fill="FFFFFF"/>
          <w:rtl/>
        </w:rPr>
        <w:t xml:space="preserve"> والخطاب </w:t>
      </w:r>
      <w:r w:rsidRPr="006571AC">
        <w:rPr>
          <w:rFonts w:ascii="Arabic Transparent" w:hAnsi="Arabic Transparent"/>
          <w:sz w:val="27"/>
          <w:shd w:val="clear" w:color="auto" w:fill="FFFFFF"/>
          <w:rtl/>
        </w:rPr>
        <w:t xml:space="preserve">الفلسفي </w:t>
      </w:r>
      <w:r w:rsidRPr="006571AC">
        <w:rPr>
          <w:rFonts w:ascii="Arabic Transparent" w:hAnsi="Arabic Transparent" w:hint="cs"/>
          <w:sz w:val="27"/>
          <w:shd w:val="clear" w:color="auto" w:fill="FFFFFF"/>
          <w:rtl/>
        </w:rPr>
        <w:t>حول الإنسان يعتبر</w:t>
      </w:r>
      <w:r w:rsidRPr="006571AC">
        <w:rPr>
          <w:rFonts w:ascii="Arabic Transparent" w:hAnsi="Arabic Transparent"/>
          <w:sz w:val="27"/>
          <w:shd w:val="clear" w:color="auto" w:fill="FFFFFF"/>
          <w:rtl/>
        </w:rPr>
        <w:t xml:space="preserve"> قديم</w:t>
      </w:r>
      <w:r w:rsidRPr="006571AC">
        <w:rPr>
          <w:rFonts w:ascii="Arabic Transparent" w:hAnsi="Arabic Transparent" w:hint="cs"/>
          <w:sz w:val="27"/>
          <w:shd w:val="clear" w:color="auto" w:fill="FFFFFF"/>
          <w:rtl/>
        </w:rPr>
        <w:t>ا</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 xml:space="preserve"> ق</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د</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م التفلسف نفسه، حيث لم ت</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خ</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ل</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 xml:space="preserve"> كتابات الفلاسفة من آراء وتأم</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لات</w:t>
      </w:r>
      <w:r w:rsidRPr="006571AC">
        <w:rPr>
          <w:rFonts w:ascii="Arabic Transparent" w:hAnsi="Arabic Transparent" w:hint="cs"/>
          <w:sz w:val="27"/>
          <w:shd w:val="clear" w:color="auto" w:fill="FFFFFF"/>
          <w:rtl/>
        </w:rPr>
        <w:t xml:space="preserve"> وقضايا </w:t>
      </w:r>
      <w:r w:rsidRPr="006571AC">
        <w:rPr>
          <w:rFonts w:ascii="Arabic Transparent" w:hAnsi="Arabic Transparent"/>
          <w:sz w:val="27"/>
          <w:shd w:val="clear" w:color="auto" w:fill="FFFFFF"/>
          <w:rtl/>
        </w:rPr>
        <w:t>وخواطر تصب</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 xml:space="preserve"> كل</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 xml:space="preserve">ها في </w:t>
      </w:r>
      <w:r w:rsidRPr="006571AC">
        <w:rPr>
          <w:rFonts w:ascii="Arabic Transparent" w:hAnsi="Arabic Transparent" w:hint="cs"/>
          <w:sz w:val="27"/>
          <w:shd w:val="clear" w:color="auto" w:fill="FFFFFF"/>
          <w:rtl/>
        </w:rPr>
        <w:t>ال</w:t>
      </w:r>
      <w:r w:rsidRPr="006571AC">
        <w:rPr>
          <w:rFonts w:ascii="Arabic Transparent" w:hAnsi="Arabic Transparent"/>
          <w:sz w:val="27"/>
          <w:shd w:val="clear" w:color="auto" w:fill="FFFFFF"/>
          <w:rtl/>
        </w:rPr>
        <w:t>مجال</w:t>
      </w:r>
      <w:r w:rsidRPr="006571AC">
        <w:rPr>
          <w:rFonts w:ascii="Arabic Transparent" w:hAnsi="Arabic Transparent" w:hint="cs"/>
          <w:sz w:val="27"/>
          <w:shd w:val="clear" w:color="auto" w:fill="FFFFFF"/>
          <w:rtl/>
        </w:rPr>
        <w:t>ات التي لها قرابة</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 xml:space="preserve"> مباشرة وصلة</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 xml:space="preserve"> قريبة بشخصي</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ة الإنسان.</w:t>
      </w:r>
      <w:r w:rsidRPr="006571AC">
        <w:rPr>
          <w:rFonts w:ascii="Arial" w:hAnsi="Arial" w:hint="cs"/>
          <w:sz w:val="27"/>
          <w:rtl/>
          <w:lang w:bidi="ar-MA"/>
        </w:rPr>
        <w:t xml:space="preserve"> </w:t>
      </w:r>
    </w:p>
    <w:p w:rsidR="0043677F" w:rsidRPr="006571AC" w:rsidRDefault="0043677F" w:rsidP="004F6064">
      <w:pPr>
        <w:tabs>
          <w:tab w:val="left" w:pos="2667"/>
          <w:tab w:val="right" w:pos="5329"/>
        </w:tabs>
        <w:rPr>
          <w:rFonts w:ascii="Arial" w:hAnsi="Arial"/>
          <w:sz w:val="27"/>
          <w:rtl/>
          <w:lang w:bidi="ar-MA"/>
        </w:rPr>
      </w:pPr>
      <w:r w:rsidRPr="006571AC">
        <w:rPr>
          <w:rFonts w:ascii="Arial" w:hAnsi="Arial" w:hint="cs"/>
          <w:sz w:val="27"/>
          <w:rtl/>
          <w:lang w:bidi="ar-MA"/>
        </w:rPr>
        <w:t>فالفلسف</w:t>
      </w:r>
      <w:r w:rsidRPr="006571AC">
        <w:rPr>
          <w:rFonts w:ascii="Arial" w:hAnsi="Arial" w:hint="eastAsia"/>
          <w:sz w:val="27"/>
          <w:rtl/>
          <w:lang w:bidi="ar-MA"/>
        </w:rPr>
        <w:t>ة</w:t>
      </w:r>
      <w:r w:rsidRPr="006571AC">
        <w:rPr>
          <w:rFonts w:ascii="Arial" w:hAnsi="Arial" w:hint="cs"/>
          <w:sz w:val="27"/>
          <w:rtl/>
          <w:lang w:bidi="ar-MA"/>
        </w:rPr>
        <w:t xml:space="preserve"> اليونانية حملت أفكارا</w:t>
      </w:r>
      <w:r w:rsidR="00D770F6" w:rsidRPr="006571AC">
        <w:rPr>
          <w:rFonts w:ascii="Arial" w:hAnsi="Arial" w:hint="cs"/>
          <w:sz w:val="27"/>
          <w:rtl/>
          <w:lang w:bidi="ar-MA"/>
        </w:rPr>
        <w:t>ً</w:t>
      </w:r>
      <w:r w:rsidRPr="006571AC">
        <w:rPr>
          <w:rFonts w:ascii="Arial" w:hAnsi="Arial" w:hint="cs"/>
          <w:sz w:val="27"/>
          <w:rtl/>
          <w:lang w:bidi="ar-MA"/>
        </w:rPr>
        <w:t xml:space="preserve"> و</w:t>
      </w:r>
      <w:r w:rsidR="00D770F6" w:rsidRPr="006571AC">
        <w:rPr>
          <w:rFonts w:ascii="Arial" w:hAnsi="Arial" w:hint="cs"/>
          <w:sz w:val="27"/>
          <w:rtl/>
          <w:lang w:bidi="ar-MA"/>
        </w:rPr>
        <w:t>آ</w:t>
      </w:r>
      <w:r w:rsidRPr="006571AC">
        <w:rPr>
          <w:rFonts w:ascii="Arial" w:hAnsi="Arial" w:hint="cs"/>
          <w:sz w:val="27"/>
          <w:rtl/>
          <w:lang w:bidi="ar-MA"/>
        </w:rPr>
        <w:t>راء وخواطر حول الإنسان</w:t>
      </w:r>
      <w:r w:rsidR="00D770F6" w:rsidRPr="006571AC">
        <w:rPr>
          <w:rFonts w:ascii="Arial" w:hAnsi="Arial" w:hint="cs"/>
          <w:sz w:val="27"/>
          <w:rtl/>
          <w:lang w:bidi="ar-MA"/>
        </w:rPr>
        <w:t>،</w:t>
      </w:r>
      <w:r w:rsidRPr="006571AC">
        <w:rPr>
          <w:rFonts w:ascii="Arial" w:hAnsi="Arial" w:hint="cs"/>
          <w:sz w:val="27"/>
          <w:rtl/>
          <w:lang w:bidi="ar-MA"/>
        </w:rPr>
        <w:t xml:space="preserve"> وحول شخصي</w:t>
      </w:r>
      <w:r w:rsidR="00D770F6" w:rsidRPr="006571AC">
        <w:rPr>
          <w:rFonts w:ascii="Arial" w:hAnsi="Arial" w:hint="cs"/>
          <w:sz w:val="27"/>
          <w:rtl/>
          <w:lang w:bidi="ar-MA"/>
        </w:rPr>
        <w:t>ّ</w:t>
      </w:r>
      <w:r w:rsidRPr="006571AC">
        <w:rPr>
          <w:rFonts w:ascii="Arial" w:hAnsi="Arial" w:hint="cs"/>
          <w:sz w:val="27"/>
          <w:rtl/>
          <w:lang w:bidi="ar-MA"/>
        </w:rPr>
        <w:t xml:space="preserve">ته </w:t>
      </w:r>
      <w:r w:rsidRPr="006571AC">
        <w:rPr>
          <w:rFonts w:ascii="Arial" w:hAnsi="Arial" w:hint="cs"/>
          <w:sz w:val="27"/>
          <w:rtl/>
          <w:lang w:bidi="ar-MA"/>
        </w:rPr>
        <w:lastRenderedPageBreak/>
        <w:t>ومصيره، ما يدل</w:t>
      </w:r>
      <w:r w:rsidR="00D770F6" w:rsidRPr="006571AC">
        <w:rPr>
          <w:rFonts w:ascii="Arial" w:hAnsi="Arial" w:hint="cs"/>
          <w:sz w:val="27"/>
          <w:rtl/>
          <w:lang w:bidi="ar-MA"/>
        </w:rPr>
        <w:t>ّ</w:t>
      </w:r>
      <w:r w:rsidRPr="006571AC">
        <w:rPr>
          <w:rFonts w:ascii="Arial" w:hAnsi="Arial" w:hint="cs"/>
          <w:sz w:val="27"/>
          <w:rtl/>
          <w:lang w:bidi="ar-MA"/>
        </w:rPr>
        <w:t xml:space="preserve"> </w:t>
      </w:r>
      <w:r w:rsidR="00CF3B72" w:rsidRPr="006571AC">
        <w:rPr>
          <w:rFonts w:ascii="Arial" w:hAnsi="Arial" w:hint="cs"/>
          <w:sz w:val="27"/>
          <w:rtl/>
          <w:lang w:bidi="ar-MA"/>
        </w:rPr>
        <w:t xml:space="preserve">على </w:t>
      </w:r>
      <w:r w:rsidRPr="006571AC">
        <w:rPr>
          <w:rFonts w:ascii="Arial" w:hAnsi="Arial" w:hint="cs"/>
          <w:sz w:val="27"/>
          <w:rtl/>
          <w:lang w:bidi="ar-MA"/>
        </w:rPr>
        <w:t>أن الإنسان من حيث هو ذات</w:t>
      </w:r>
      <w:r w:rsidR="00D770F6" w:rsidRPr="006571AC">
        <w:rPr>
          <w:rFonts w:ascii="Arial" w:hAnsi="Arial" w:hint="cs"/>
          <w:sz w:val="27"/>
          <w:rtl/>
          <w:lang w:bidi="ar-MA"/>
        </w:rPr>
        <w:t>ٌ</w:t>
      </w:r>
      <w:r w:rsidRPr="006571AC">
        <w:rPr>
          <w:rFonts w:ascii="Arial" w:hAnsi="Arial" w:hint="cs"/>
          <w:sz w:val="27"/>
          <w:rtl/>
          <w:lang w:bidi="ar-MA"/>
        </w:rPr>
        <w:t xml:space="preserve"> وهوي</w:t>
      </w:r>
      <w:r w:rsidR="00D770F6" w:rsidRPr="006571AC">
        <w:rPr>
          <w:rFonts w:ascii="Arial" w:hAnsi="Arial" w:hint="cs"/>
          <w:sz w:val="27"/>
          <w:rtl/>
          <w:lang w:bidi="ar-MA"/>
        </w:rPr>
        <w:t>ّ</w:t>
      </w:r>
      <w:r w:rsidRPr="006571AC">
        <w:rPr>
          <w:rFonts w:ascii="Arial" w:hAnsi="Arial" w:hint="cs"/>
          <w:sz w:val="27"/>
          <w:rtl/>
          <w:lang w:bidi="ar-MA"/>
        </w:rPr>
        <w:t>ة</w:t>
      </w:r>
      <w:r w:rsidR="00D770F6" w:rsidRPr="006571AC">
        <w:rPr>
          <w:rFonts w:ascii="Arial" w:hAnsi="Arial" w:hint="cs"/>
          <w:sz w:val="27"/>
          <w:rtl/>
          <w:lang w:bidi="ar-MA"/>
        </w:rPr>
        <w:t>ٌ</w:t>
      </w:r>
      <w:r w:rsidRPr="006571AC">
        <w:rPr>
          <w:rFonts w:ascii="Arial" w:hAnsi="Arial" w:hint="cs"/>
          <w:sz w:val="27"/>
          <w:rtl/>
          <w:lang w:bidi="ar-MA"/>
        </w:rPr>
        <w:t xml:space="preserve"> وكينونة</w:t>
      </w:r>
      <w:r w:rsidR="00D770F6" w:rsidRPr="006571AC">
        <w:rPr>
          <w:rFonts w:ascii="Arial" w:hAnsi="Arial" w:hint="cs"/>
          <w:sz w:val="27"/>
          <w:rtl/>
          <w:lang w:bidi="ar-MA"/>
        </w:rPr>
        <w:t>ٌ</w:t>
      </w:r>
      <w:r w:rsidRPr="006571AC">
        <w:rPr>
          <w:rFonts w:ascii="Arial" w:hAnsi="Arial" w:hint="cs"/>
          <w:sz w:val="27"/>
          <w:rtl/>
          <w:lang w:bidi="ar-MA"/>
        </w:rPr>
        <w:t xml:space="preserve"> يحضر بشكل</w:t>
      </w:r>
      <w:r w:rsidR="00D770F6" w:rsidRPr="006571AC">
        <w:rPr>
          <w:rFonts w:ascii="Arial" w:hAnsi="Arial" w:hint="cs"/>
          <w:sz w:val="27"/>
          <w:rtl/>
          <w:lang w:bidi="ar-MA"/>
        </w:rPr>
        <w:t>ٍ</w:t>
      </w:r>
      <w:r w:rsidRPr="006571AC">
        <w:rPr>
          <w:rFonts w:ascii="Arial" w:hAnsi="Arial" w:hint="cs"/>
          <w:sz w:val="27"/>
          <w:rtl/>
          <w:lang w:bidi="ar-MA"/>
        </w:rPr>
        <w:t xml:space="preserve"> كبير في الفلسفة اليونانية</w:t>
      </w:r>
      <w:r w:rsidR="00D770F6" w:rsidRPr="006571AC">
        <w:rPr>
          <w:rFonts w:ascii="Arial" w:hAnsi="Arial" w:hint="cs"/>
          <w:sz w:val="27"/>
          <w:rtl/>
          <w:lang w:bidi="ar-MA"/>
        </w:rPr>
        <w:t>،</w:t>
      </w:r>
      <w:r w:rsidRPr="006571AC">
        <w:rPr>
          <w:rFonts w:ascii="Arial" w:hAnsi="Arial" w:hint="cs"/>
          <w:sz w:val="27"/>
          <w:rtl/>
          <w:lang w:bidi="ar-MA"/>
        </w:rPr>
        <w:t xml:space="preserve"> </w:t>
      </w:r>
      <w:r w:rsidR="00D770F6" w:rsidRPr="006571AC">
        <w:rPr>
          <w:rFonts w:ascii="Arial" w:hAnsi="Arial" w:hint="cs"/>
          <w:sz w:val="27"/>
          <w:rtl/>
          <w:lang w:bidi="ar-MA"/>
        </w:rPr>
        <w:t>و</w:t>
      </w:r>
      <w:r w:rsidR="00731867" w:rsidRPr="006571AC">
        <w:rPr>
          <w:rFonts w:ascii="Arial" w:hAnsi="Arial" w:hint="cs"/>
          <w:sz w:val="27"/>
          <w:rtl/>
          <w:lang w:bidi="ar-MA"/>
        </w:rPr>
        <w:t>لا سيَّما</w:t>
      </w:r>
      <w:r w:rsidRPr="006571AC">
        <w:rPr>
          <w:rFonts w:ascii="Arial" w:hAnsi="Arial" w:hint="cs"/>
          <w:sz w:val="27"/>
          <w:rtl/>
          <w:lang w:bidi="ar-MA"/>
        </w:rPr>
        <w:t xml:space="preserve"> في فلسفة </w:t>
      </w:r>
      <w:r w:rsidR="00D770F6" w:rsidRPr="006571AC">
        <w:rPr>
          <w:rFonts w:ascii="Arial" w:hAnsi="Arial" w:hint="cs"/>
          <w:sz w:val="27"/>
          <w:rtl/>
          <w:lang w:bidi="ar-MA"/>
        </w:rPr>
        <w:t>أ</w:t>
      </w:r>
      <w:r w:rsidRPr="006571AC">
        <w:rPr>
          <w:rFonts w:ascii="Arial" w:hAnsi="Arial" w:hint="cs"/>
          <w:sz w:val="27"/>
          <w:rtl/>
          <w:lang w:bidi="ar-MA"/>
        </w:rPr>
        <w:t xml:space="preserve">فلاطون وفي جمهوريته. </w:t>
      </w:r>
    </w:p>
    <w:p w:rsidR="0043677F" w:rsidRPr="006571AC" w:rsidRDefault="0043677F" w:rsidP="004F6064">
      <w:pPr>
        <w:tabs>
          <w:tab w:val="left" w:pos="2667"/>
          <w:tab w:val="right" w:pos="5329"/>
        </w:tabs>
        <w:rPr>
          <w:rFonts w:ascii="Arial" w:hAnsi="Arial"/>
          <w:sz w:val="27"/>
          <w:rtl/>
          <w:lang w:bidi="ar-MA"/>
        </w:rPr>
      </w:pPr>
      <w:r w:rsidRPr="006571AC">
        <w:rPr>
          <w:rFonts w:ascii="Arial" w:hAnsi="Arial" w:hint="cs"/>
          <w:sz w:val="27"/>
          <w:rtl/>
          <w:lang w:bidi="ar-MA"/>
        </w:rPr>
        <w:t>فرغم أن خطاب الإنسان يت</w:t>
      </w:r>
      <w:r w:rsidR="00D770F6" w:rsidRPr="006571AC">
        <w:rPr>
          <w:rFonts w:ascii="Arial" w:hAnsi="Arial" w:hint="cs"/>
          <w:sz w:val="27"/>
          <w:rtl/>
          <w:lang w:bidi="ar-MA"/>
        </w:rPr>
        <w:t>َّ</w:t>
      </w:r>
      <w:r w:rsidRPr="006571AC">
        <w:rPr>
          <w:rFonts w:ascii="Arial" w:hAnsi="Arial" w:hint="cs"/>
          <w:sz w:val="27"/>
          <w:rtl/>
          <w:lang w:bidi="ar-MA"/>
        </w:rPr>
        <w:t>سع في جمهورية أفلاطون، إلا</w:t>
      </w:r>
      <w:r w:rsidR="00D770F6" w:rsidRPr="006571AC">
        <w:rPr>
          <w:rFonts w:ascii="Arial" w:hAnsi="Arial" w:hint="cs"/>
          <w:sz w:val="27"/>
          <w:rtl/>
          <w:lang w:bidi="ar-MA"/>
        </w:rPr>
        <w:t>ّ</w:t>
      </w:r>
      <w:r w:rsidRPr="006571AC">
        <w:rPr>
          <w:rFonts w:ascii="Arial" w:hAnsi="Arial" w:hint="cs"/>
          <w:sz w:val="27"/>
          <w:rtl/>
          <w:lang w:bidi="ar-MA"/>
        </w:rPr>
        <w:t xml:space="preserve"> أن المنحى الفلسفي والخطاب التأم</w:t>
      </w:r>
      <w:r w:rsidR="00D770F6" w:rsidRPr="006571AC">
        <w:rPr>
          <w:rFonts w:ascii="Arial" w:hAnsi="Arial" w:hint="cs"/>
          <w:sz w:val="27"/>
          <w:rtl/>
          <w:lang w:bidi="ar-MA"/>
        </w:rPr>
        <w:t>ُّ</w:t>
      </w:r>
      <w:r w:rsidRPr="006571AC">
        <w:rPr>
          <w:rFonts w:ascii="Arial" w:hAnsi="Arial" w:hint="cs"/>
          <w:sz w:val="27"/>
          <w:rtl/>
          <w:lang w:bidi="ar-MA"/>
        </w:rPr>
        <w:t>لي يظل</w:t>
      </w:r>
      <w:r w:rsidR="00D770F6" w:rsidRPr="006571AC">
        <w:rPr>
          <w:rFonts w:ascii="Arial" w:hAnsi="Arial" w:hint="cs"/>
          <w:sz w:val="27"/>
          <w:rtl/>
          <w:lang w:bidi="ar-MA"/>
        </w:rPr>
        <w:t>ّ</w:t>
      </w:r>
      <w:r w:rsidRPr="006571AC">
        <w:rPr>
          <w:rFonts w:ascii="Arial" w:hAnsi="Arial" w:hint="cs"/>
          <w:sz w:val="27"/>
          <w:rtl/>
          <w:lang w:bidi="ar-MA"/>
        </w:rPr>
        <w:t xml:space="preserve"> هو المنحى المهيمن والخطاب الغالب في هذا الحديث</w:t>
      </w:r>
      <w:r w:rsidRPr="006571AC">
        <w:rPr>
          <w:rFonts w:ascii="Arial" w:hAnsi="Arial"/>
          <w:sz w:val="27"/>
          <w:vertAlign w:val="superscript"/>
          <w:rtl/>
          <w:lang w:bidi="ar-MA"/>
        </w:rPr>
        <w:t>(</w:t>
      </w:r>
      <w:r w:rsidRPr="006571AC">
        <w:rPr>
          <w:rStyle w:val="ac"/>
          <w:sz w:val="27"/>
          <w:rtl/>
          <w:lang w:bidi="ar-MA"/>
        </w:rPr>
        <w:endnoteReference w:id="731"/>
      </w:r>
      <w:r w:rsidRPr="006571AC">
        <w:rPr>
          <w:rFonts w:ascii="Arial" w:hAnsi="Arial"/>
          <w:sz w:val="27"/>
          <w:vertAlign w:val="superscript"/>
          <w:rtl/>
          <w:lang w:bidi="ar-MA"/>
        </w:rPr>
        <w:t>)</w:t>
      </w:r>
      <w:r w:rsidRPr="006571AC">
        <w:rPr>
          <w:rFonts w:ascii="Arial" w:hAnsi="Arial"/>
          <w:sz w:val="27"/>
          <w:rtl/>
          <w:lang w:bidi="ar-MA"/>
        </w:rPr>
        <w:t>.</w:t>
      </w:r>
      <w:r w:rsidRPr="006571AC">
        <w:rPr>
          <w:rFonts w:ascii="Arial" w:hAnsi="Arial" w:hint="cs"/>
          <w:sz w:val="27"/>
          <w:rtl/>
          <w:lang w:bidi="ar-MA"/>
        </w:rPr>
        <w:t xml:space="preserve"> </w:t>
      </w:r>
    </w:p>
    <w:p w:rsidR="0043677F" w:rsidRPr="006571AC" w:rsidRDefault="0043677F" w:rsidP="00421692">
      <w:pPr>
        <w:tabs>
          <w:tab w:val="left" w:pos="2667"/>
          <w:tab w:val="right" w:pos="5329"/>
        </w:tabs>
        <w:spacing w:line="420" w:lineRule="exact"/>
        <w:rPr>
          <w:rFonts w:ascii="Arial" w:hAnsi="Arial"/>
          <w:sz w:val="27"/>
          <w:rtl/>
          <w:lang w:bidi="ar-MA"/>
        </w:rPr>
      </w:pPr>
    </w:p>
    <w:p w:rsidR="0043677F" w:rsidRPr="006571AC" w:rsidRDefault="0043677F" w:rsidP="00962F60">
      <w:pPr>
        <w:pStyle w:val="31"/>
        <w:rPr>
          <w:color w:val="auto"/>
          <w:rtl/>
          <w:lang w:bidi="ar-MA"/>
        </w:rPr>
      </w:pPr>
      <w:bookmarkStart w:id="443" w:name="_Toc114164851"/>
      <w:r w:rsidRPr="006571AC">
        <w:rPr>
          <w:rFonts w:hint="cs"/>
          <w:color w:val="auto"/>
          <w:rtl/>
        </w:rPr>
        <w:t>إشكالي</w:t>
      </w:r>
      <w:r w:rsidR="00D12571" w:rsidRPr="006571AC">
        <w:rPr>
          <w:rFonts w:hint="cs"/>
          <w:color w:val="auto"/>
          <w:rtl/>
        </w:rPr>
        <w:t>ّ</w:t>
      </w:r>
      <w:r w:rsidRPr="006571AC">
        <w:rPr>
          <w:rFonts w:hint="cs"/>
          <w:color w:val="auto"/>
          <w:rtl/>
        </w:rPr>
        <w:t>ة المعرفة</w:t>
      </w:r>
      <w:r w:rsidRPr="006571AC">
        <w:rPr>
          <w:rFonts w:hint="cs"/>
          <w:color w:val="auto"/>
          <w:rtl/>
          <w:lang w:bidi="ar-MA"/>
        </w:rPr>
        <w:t xml:space="preserve"> في العلوم</w:t>
      </w:r>
      <w:r w:rsidRPr="006571AC">
        <w:rPr>
          <w:rFonts w:hint="cs"/>
          <w:color w:val="auto"/>
          <w:rtl/>
        </w:rPr>
        <w:t xml:space="preserve"> الإنساني</w:t>
      </w:r>
      <w:r w:rsidR="00D12571" w:rsidRPr="006571AC">
        <w:rPr>
          <w:rFonts w:hint="cs"/>
          <w:color w:val="auto"/>
          <w:rtl/>
        </w:rPr>
        <w:t>ّ</w:t>
      </w:r>
      <w:r w:rsidRPr="006571AC">
        <w:rPr>
          <w:rFonts w:hint="cs"/>
          <w:color w:val="auto"/>
          <w:rtl/>
        </w:rPr>
        <w:t>ة</w:t>
      </w:r>
      <w:bookmarkEnd w:id="443"/>
      <w:r w:rsidRPr="006571AC">
        <w:rPr>
          <w:rFonts w:hint="cs"/>
          <w:color w:val="auto"/>
          <w:rtl/>
        </w:rPr>
        <w:t xml:space="preserve"> </w:t>
      </w:r>
    </w:p>
    <w:p w:rsidR="0043677F" w:rsidRPr="006571AC" w:rsidRDefault="0043677F" w:rsidP="00421692">
      <w:pPr>
        <w:tabs>
          <w:tab w:val="left" w:pos="2667"/>
          <w:tab w:val="right" w:pos="5329"/>
        </w:tabs>
        <w:spacing w:line="380" w:lineRule="exact"/>
        <w:rPr>
          <w:rFonts w:ascii="Arial" w:hAnsi="Arial"/>
          <w:sz w:val="27"/>
          <w:rtl/>
          <w:lang w:bidi="ar-MA"/>
        </w:rPr>
      </w:pPr>
      <w:r w:rsidRPr="006571AC">
        <w:rPr>
          <w:rFonts w:ascii="Arial" w:hAnsi="Arial" w:hint="cs"/>
          <w:sz w:val="27"/>
          <w:rtl/>
        </w:rPr>
        <w:t>إضافة</w:t>
      </w:r>
      <w:r w:rsidR="00D770F6" w:rsidRPr="006571AC">
        <w:rPr>
          <w:rFonts w:ascii="Arial" w:hAnsi="Arial" w:hint="cs"/>
          <w:sz w:val="27"/>
          <w:rtl/>
        </w:rPr>
        <w:t>ً</w:t>
      </w:r>
      <w:r w:rsidRPr="006571AC">
        <w:rPr>
          <w:rFonts w:ascii="Arial" w:hAnsi="Arial" w:hint="cs"/>
          <w:sz w:val="27"/>
          <w:rtl/>
        </w:rPr>
        <w:t xml:space="preserve"> إلى جميع هذه الاعتبارات المذكورة والمشار إليها، ف</w:t>
      </w:r>
      <w:r w:rsidR="00D770F6" w:rsidRPr="006571AC">
        <w:rPr>
          <w:rFonts w:ascii="Arial" w:hAnsi="Arial" w:hint="cs"/>
          <w:sz w:val="27"/>
          <w:rtl/>
        </w:rPr>
        <w:t>إ</w:t>
      </w:r>
      <w:r w:rsidRPr="006571AC">
        <w:rPr>
          <w:rFonts w:ascii="Arial" w:hAnsi="Arial" w:hint="cs"/>
          <w:sz w:val="27"/>
          <w:rtl/>
        </w:rPr>
        <w:t>ن العلوم الإنسانية في ب</w:t>
      </w:r>
      <w:r w:rsidR="00D770F6" w:rsidRPr="006571AC">
        <w:rPr>
          <w:rFonts w:ascii="Arial" w:hAnsi="Arial" w:hint="cs"/>
          <w:sz w:val="27"/>
          <w:rtl/>
        </w:rPr>
        <w:t>ُ</w:t>
      </w:r>
      <w:r w:rsidRPr="006571AC">
        <w:rPr>
          <w:rFonts w:ascii="Arial" w:hAnsi="Arial" w:hint="cs"/>
          <w:sz w:val="27"/>
          <w:rtl/>
        </w:rPr>
        <w:t>ع</w:t>
      </w:r>
      <w:r w:rsidR="00D770F6" w:rsidRPr="006571AC">
        <w:rPr>
          <w:rFonts w:ascii="Arial" w:hAnsi="Arial" w:hint="cs"/>
          <w:sz w:val="27"/>
          <w:rtl/>
        </w:rPr>
        <w:t>ْ</w:t>
      </w:r>
      <w:r w:rsidRPr="006571AC">
        <w:rPr>
          <w:rFonts w:ascii="Arial" w:hAnsi="Arial" w:hint="cs"/>
          <w:sz w:val="27"/>
          <w:rtl/>
        </w:rPr>
        <w:t>دها ال</w:t>
      </w:r>
      <w:r w:rsidR="00D770F6" w:rsidRPr="006571AC">
        <w:rPr>
          <w:rFonts w:ascii="Arial" w:hAnsi="Arial" w:hint="cs"/>
          <w:sz w:val="27"/>
          <w:rtl/>
        </w:rPr>
        <w:t>إ</w:t>
      </w:r>
      <w:r w:rsidRPr="006571AC">
        <w:rPr>
          <w:rFonts w:ascii="Arial" w:hAnsi="Arial" w:hint="cs"/>
          <w:sz w:val="27"/>
          <w:rtl/>
        </w:rPr>
        <w:t xml:space="preserve">بستمولوجي والمعرفي </w:t>
      </w:r>
      <w:r w:rsidRPr="006571AC">
        <w:rPr>
          <w:rFonts w:ascii="Arial" w:hAnsi="Arial"/>
          <w:sz w:val="27"/>
          <w:rtl/>
        </w:rPr>
        <w:t>لا تد</w:t>
      </w:r>
      <w:r w:rsidR="00D770F6" w:rsidRPr="006571AC">
        <w:rPr>
          <w:rFonts w:ascii="Arial" w:hAnsi="Arial" w:hint="cs"/>
          <w:sz w:val="27"/>
          <w:rtl/>
        </w:rPr>
        <w:t>ّ</w:t>
      </w:r>
      <w:r w:rsidRPr="006571AC">
        <w:rPr>
          <w:rFonts w:ascii="Arial" w:hAnsi="Arial"/>
          <w:sz w:val="27"/>
          <w:rtl/>
        </w:rPr>
        <w:t>عي</w:t>
      </w:r>
      <w:r w:rsidRPr="006571AC">
        <w:rPr>
          <w:rFonts w:ascii="Arial" w:hAnsi="Arial" w:hint="cs"/>
          <w:sz w:val="27"/>
          <w:rtl/>
        </w:rPr>
        <w:t xml:space="preserve"> لنفسها الوصول إلى </w:t>
      </w:r>
      <w:r w:rsidRPr="006571AC">
        <w:rPr>
          <w:rFonts w:ascii="Arial" w:hAnsi="Arial"/>
          <w:sz w:val="27"/>
          <w:rtl/>
        </w:rPr>
        <w:t>المعرفة بشكل</w:t>
      </w:r>
      <w:r w:rsidR="00D770F6" w:rsidRPr="006571AC">
        <w:rPr>
          <w:rFonts w:ascii="Arial" w:hAnsi="Arial" w:hint="cs"/>
          <w:sz w:val="27"/>
          <w:rtl/>
        </w:rPr>
        <w:t>ٍ</w:t>
      </w:r>
      <w:r w:rsidRPr="006571AC">
        <w:rPr>
          <w:rFonts w:ascii="Arial" w:hAnsi="Arial"/>
          <w:sz w:val="27"/>
          <w:rtl/>
        </w:rPr>
        <w:t xml:space="preserve"> مطلق</w:t>
      </w:r>
      <w:r w:rsidRPr="006571AC">
        <w:rPr>
          <w:rFonts w:ascii="Arial" w:hAnsi="Arial" w:hint="cs"/>
          <w:sz w:val="27"/>
          <w:rtl/>
        </w:rPr>
        <w:t xml:space="preserve"> ونهائي ويقيني، وإنما كانت دائما</w:t>
      </w:r>
      <w:r w:rsidR="00D770F6" w:rsidRPr="006571AC">
        <w:rPr>
          <w:rFonts w:ascii="Arial" w:hAnsi="Arial" w:hint="cs"/>
          <w:sz w:val="27"/>
          <w:rtl/>
        </w:rPr>
        <w:t>ً</w:t>
      </w:r>
      <w:r w:rsidRPr="006571AC">
        <w:rPr>
          <w:rFonts w:ascii="Arial" w:hAnsi="Arial" w:hint="cs"/>
          <w:sz w:val="27"/>
          <w:rtl/>
        </w:rPr>
        <w:t xml:space="preserve"> تأخذ بما هو نسبي</w:t>
      </w:r>
      <w:r w:rsidR="00D770F6" w:rsidRPr="006571AC">
        <w:rPr>
          <w:rFonts w:ascii="Arial" w:hAnsi="Arial" w:hint="cs"/>
          <w:sz w:val="27"/>
          <w:rtl/>
        </w:rPr>
        <w:t>ّ</w:t>
      </w:r>
      <w:r w:rsidRPr="006571AC">
        <w:rPr>
          <w:rFonts w:ascii="Arial" w:hAnsi="Arial" w:hint="cs"/>
          <w:sz w:val="27"/>
          <w:rtl/>
        </w:rPr>
        <w:t xml:space="preserve"> في تحصيلها واكتسابها للمعارف</w:t>
      </w:r>
      <w:r w:rsidR="009F0296" w:rsidRPr="006571AC">
        <w:rPr>
          <w:rFonts w:ascii="Arial" w:hAnsi="Arial" w:hint="cs"/>
          <w:sz w:val="27"/>
          <w:rtl/>
        </w:rPr>
        <w:t>.</w:t>
      </w:r>
      <w:r w:rsidRPr="006571AC">
        <w:rPr>
          <w:rFonts w:ascii="Arial" w:hAnsi="Arial" w:hint="cs"/>
          <w:sz w:val="27"/>
          <w:rtl/>
        </w:rPr>
        <w:t xml:space="preserve"> منطلق</w:t>
      </w:r>
      <w:r w:rsidR="009F0296" w:rsidRPr="006571AC">
        <w:rPr>
          <w:rFonts w:ascii="Arial" w:hAnsi="Arial" w:hint="cs"/>
          <w:sz w:val="27"/>
          <w:rtl/>
        </w:rPr>
        <w:t>ُ</w:t>
      </w:r>
      <w:r w:rsidRPr="006571AC">
        <w:rPr>
          <w:rFonts w:ascii="Arial" w:hAnsi="Arial" w:hint="cs"/>
          <w:sz w:val="27"/>
          <w:rtl/>
        </w:rPr>
        <w:t>ها وشعار</w:t>
      </w:r>
      <w:r w:rsidR="009F0296" w:rsidRPr="006571AC">
        <w:rPr>
          <w:rFonts w:ascii="Arial" w:hAnsi="Arial" w:hint="cs"/>
          <w:sz w:val="27"/>
          <w:rtl/>
        </w:rPr>
        <w:t>ُ</w:t>
      </w:r>
      <w:r w:rsidRPr="006571AC">
        <w:rPr>
          <w:rFonts w:ascii="Arial" w:hAnsi="Arial" w:hint="cs"/>
          <w:sz w:val="27"/>
          <w:rtl/>
        </w:rPr>
        <w:t>ها المبدئي</w:t>
      </w:r>
      <w:r w:rsidR="009F0296" w:rsidRPr="006571AC">
        <w:rPr>
          <w:rFonts w:ascii="Arial" w:hAnsi="Arial" w:hint="cs"/>
          <w:sz w:val="27"/>
          <w:rtl/>
        </w:rPr>
        <w:t>ّ</w:t>
      </w:r>
      <w:r w:rsidRPr="006571AC">
        <w:rPr>
          <w:rFonts w:ascii="Arial" w:hAnsi="Arial" w:hint="cs"/>
          <w:sz w:val="27"/>
          <w:rtl/>
        </w:rPr>
        <w:t xml:space="preserve"> هو الاعتراف والإقرار بالب</w:t>
      </w:r>
      <w:r w:rsidR="009F0296" w:rsidRPr="006571AC">
        <w:rPr>
          <w:rFonts w:ascii="Arial" w:hAnsi="Arial" w:hint="cs"/>
          <w:sz w:val="27"/>
          <w:rtl/>
        </w:rPr>
        <w:t>ُ</w:t>
      </w:r>
      <w:r w:rsidRPr="006571AC">
        <w:rPr>
          <w:rFonts w:ascii="Arial" w:hAnsi="Arial" w:hint="cs"/>
          <w:sz w:val="27"/>
          <w:rtl/>
        </w:rPr>
        <w:t>ع</w:t>
      </w:r>
      <w:r w:rsidR="009F0296" w:rsidRPr="006571AC">
        <w:rPr>
          <w:rFonts w:ascii="Arial" w:hAnsi="Arial" w:hint="cs"/>
          <w:sz w:val="27"/>
          <w:rtl/>
        </w:rPr>
        <w:t>ْ</w:t>
      </w:r>
      <w:r w:rsidRPr="006571AC">
        <w:rPr>
          <w:rFonts w:ascii="Arial" w:hAnsi="Arial" w:hint="cs"/>
          <w:sz w:val="27"/>
          <w:rtl/>
        </w:rPr>
        <w:t>د النسبي</w:t>
      </w:r>
      <w:r w:rsidR="009F0296" w:rsidRPr="006571AC">
        <w:rPr>
          <w:rFonts w:ascii="Arial" w:hAnsi="Arial" w:hint="cs"/>
          <w:sz w:val="27"/>
          <w:rtl/>
        </w:rPr>
        <w:t>ّ</w:t>
      </w:r>
      <w:r w:rsidRPr="006571AC">
        <w:rPr>
          <w:rFonts w:ascii="Arial" w:hAnsi="Arial" w:hint="cs"/>
          <w:sz w:val="27"/>
          <w:rtl/>
        </w:rPr>
        <w:t xml:space="preserve"> في النتائج</w:t>
      </w:r>
      <w:r w:rsidR="009F0296" w:rsidRPr="006571AC">
        <w:rPr>
          <w:rFonts w:ascii="Arial" w:hAnsi="Arial" w:hint="cs"/>
          <w:sz w:val="27"/>
          <w:rtl/>
        </w:rPr>
        <w:t>.</w:t>
      </w:r>
      <w:r w:rsidRPr="006571AC">
        <w:rPr>
          <w:rFonts w:ascii="Arial" w:hAnsi="Arial" w:hint="cs"/>
          <w:sz w:val="27"/>
          <w:rtl/>
        </w:rPr>
        <w:t xml:space="preserve"> وهذا من أسرار قو</w:t>
      </w:r>
      <w:r w:rsidR="009F0296" w:rsidRPr="006571AC">
        <w:rPr>
          <w:rFonts w:ascii="Arial" w:hAnsi="Arial" w:hint="cs"/>
          <w:sz w:val="27"/>
          <w:rtl/>
        </w:rPr>
        <w:t>ّ</w:t>
      </w:r>
      <w:r w:rsidRPr="006571AC">
        <w:rPr>
          <w:rFonts w:ascii="Arial" w:hAnsi="Arial" w:hint="cs"/>
          <w:sz w:val="27"/>
          <w:rtl/>
        </w:rPr>
        <w:t>ته</w:t>
      </w:r>
      <w:r w:rsidRPr="006571AC">
        <w:rPr>
          <w:rFonts w:ascii="Arial" w:hAnsi="Arial" w:hint="eastAsia"/>
          <w:sz w:val="27"/>
          <w:rtl/>
        </w:rPr>
        <w:t>ا</w:t>
      </w:r>
      <w:r w:rsidRPr="006571AC">
        <w:rPr>
          <w:rFonts w:ascii="Arial" w:hAnsi="Arial" w:hint="cs"/>
          <w:sz w:val="27"/>
          <w:rtl/>
        </w:rPr>
        <w:t xml:space="preserve"> وتفو</w:t>
      </w:r>
      <w:r w:rsidR="009F0296" w:rsidRPr="006571AC">
        <w:rPr>
          <w:rFonts w:ascii="Arial" w:hAnsi="Arial" w:hint="cs"/>
          <w:sz w:val="27"/>
          <w:rtl/>
        </w:rPr>
        <w:t>ُّ</w:t>
      </w:r>
      <w:r w:rsidRPr="006571AC">
        <w:rPr>
          <w:rFonts w:ascii="Arial" w:hAnsi="Arial" w:hint="cs"/>
          <w:sz w:val="27"/>
          <w:rtl/>
        </w:rPr>
        <w:t>قها، ومن تجل</w:t>
      </w:r>
      <w:r w:rsidR="009F0296" w:rsidRPr="006571AC">
        <w:rPr>
          <w:rFonts w:ascii="Arial" w:hAnsi="Arial" w:hint="cs"/>
          <w:sz w:val="27"/>
          <w:rtl/>
        </w:rPr>
        <w:t>ِّ</w:t>
      </w:r>
      <w:r w:rsidRPr="006571AC">
        <w:rPr>
          <w:rFonts w:ascii="Arial" w:hAnsi="Arial" w:hint="cs"/>
          <w:sz w:val="27"/>
          <w:rtl/>
        </w:rPr>
        <w:t>يات استمراري</w:t>
      </w:r>
      <w:r w:rsidR="009F0296" w:rsidRPr="006571AC">
        <w:rPr>
          <w:rFonts w:ascii="Arial" w:hAnsi="Arial" w:hint="cs"/>
          <w:sz w:val="27"/>
          <w:rtl/>
        </w:rPr>
        <w:t>ّ</w:t>
      </w:r>
      <w:r w:rsidRPr="006571AC">
        <w:rPr>
          <w:rFonts w:ascii="Arial" w:hAnsi="Arial" w:hint="cs"/>
          <w:sz w:val="27"/>
          <w:rtl/>
        </w:rPr>
        <w:t>تها</w:t>
      </w:r>
      <w:r w:rsidR="009F0296" w:rsidRPr="006571AC">
        <w:rPr>
          <w:rFonts w:ascii="Arial" w:hAnsi="Arial" w:hint="cs"/>
          <w:sz w:val="27"/>
          <w:rtl/>
        </w:rPr>
        <w:t>،</w:t>
      </w:r>
      <w:r w:rsidRPr="006571AC">
        <w:rPr>
          <w:rFonts w:ascii="Arial" w:hAnsi="Arial" w:hint="cs"/>
          <w:sz w:val="27"/>
          <w:rtl/>
        </w:rPr>
        <w:t xml:space="preserve"> ومن أوصاف ديمومتها، بل أيضا</w:t>
      </w:r>
      <w:r w:rsidR="009F0296" w:rsidRPr="006571AC">
        <w:rPr>
          <w:rFonts w:ascii="Arial" w:hAnsi="Arial" w:hint="cs"/>
          <w:sz w:val="27"/>
          <w:rtl/>
        </w:rPr>
        <w:t>ً</w:t>
      </w:r>
      <w:r w:rsidRPr="006571AC">
        <w:rPr>
          <w:rFonts w:ascii="Arial" w:hAnsi="Arial" w:hint="cs"/>
          <w:sz w:val="27"/>
          <w:rtl/>
        </w:rPr>
        <w:t xml:space="preserve"> هذا </w:t>
      </w:r>
      <w:r w:rsidR="009F0296" w:rsidRPr="006571AC">
        <w:rPr>
          <w:rFonts w:ascii="Arial" w:hAnsi="Arial" w:hint="cs"/>
          <w:sz w:val="27"/>
          <w:rtl/>
        </w:rPr>
        <w:t>أ</w:t>
      </w:r>
      <w:r w:rsidRPr="006571AC">
        <w:rPr>
          <w:rFonts w:ascii="Arial" w:hAnsi="Arial" w:hint="cs"/>
          <w:sz w:val="27"/>
          <w:rtl/>
        </w:rPr>
        <w:t>حد تجل</w:t>
      </w:r>
      <w:r w:rsidR="009F0296" w:rsidRPr="006571AC">
        <w:rPr>
          <w:rFonts w:ascii="Arial" w:hAnsi="Arial" w:hint="cs"/>
          <w:sz w:val="27"/>
          <w:rtl/>
        </w:rPr>
        <w:t>ِّ</w:t>
      </w:r>
      <w:r w:rsidRPr="006571AC">
        <w:rPr>
          <w:rFonts w:ascii="Arial" w:hAnsi="Arial" w:hint="cs"/>
          <w:sz w:val="27"/>
          <w:rtl/>
        </w:rPr>
        <w:t>يات تمي</w:t>
      </w:r>
      <w:r w:rsidR="009F0296" w:rsidRPr="006571AC">
        <w:rPr>
          <w:rFonts w:ascii="Arial" w:hAnsi="Arial" w:hint="cs"/>
          <w:sz w:val="27"/>
          <w:rtl/>
        </w:rPr>
        <w:t>ُّ</w:t>
      </w:r>
      <w:r w:rsidRPr="006571AC">
        <w:rPr>
          <w:rFonts w:ascii="Arial" w:hAnsi="Arial" w:hint="cs"/>
          <w:sz w:val="27"/>
          <w:rtl/>
        </w:rPr>
        <w:t>زها عن العلوم الحق</w:t>
      </w:r>
      <w:r w:rsidR="009F0296" w:rsidRPr="006571AC">
        <w:rPr>
          <w:rFonts w:ascii="Arial" w:hAnsi="Arial" w:hint="cs"/>
          <w:sz w:val="27"/>
          <w:rtl/>
        </w:rPr>
        <w:t>ّ</w:t>
      </w:r>
      <w:r w:rsidRPr="006571AC">
        <w:rPr>
          <w:rFonts w:ascii="Arial" w:hAnsi="Arial" w:hint="cs"/>
          <w:sz w:val="27"/>
          <w:rtl/>
        </w:rPr>
        <w:t>ة</w:t>
      </w:r>
      <w:r w:rsidR="009F0296" w:rsidRPr="006571AC">
        <w:rPr>
          <w:rFonts w:ascii="Arial" w:hAnsi="Arial" w:hint="cs"/>
          <w:sz w:val="27"/>
          <w:rtl/>
        </w:rPr>
        <w:t>،</w:t>
      </w:r>
      <w:r w:rsidRPr="006571AC">
        <w:rPr>
          <w:rFonts w:ascii="Arial" w:hAnsi="Arial" w:hint="cs"/>
          <w:sz w:val="27"/>
          <w:rtl/>
        </w:rPr>
        <w:t xml:space="preserve"> مثل</w:t>
      </w:r>
      <w:r w:rsidR="009F0296" w:rsidRPr="006571AC">
        <w:rPr>
          <w:rFonts w:ascii="Arial" w:hAnsi="Arial" w:hint="cs"/>
          <w:sz w:val="27"/>
          <w:rtl/>
        </w:rPr>
        <w:t>:</w:t>
      </w:r>
      <w:r w:rsidRPr="006571AC">
        <w:rPr>
          <w:rFonts w:ascii="Arial" w:hAnsi="Arial" w:hint="cs"/>
          <w:sz w:val="27"/>
          <w:rtl/>
        </w:rPr>
        <w:t xml:space="preserve"> الرياضيات</w:t>
      </w:r>
      <w:r w:rsidR="009F0296" w:rsidRPr="006571AC">
        <w:rPr>
          <w:rFonts w:ascii="Arial" w:hAnsi="Arial" w:hint="cs"/>
          <w:sz w:val="27"/>
          <w:rtl/>
        </w:rPr>
        <w:t>؛</w:t>
      </w:r>
      <w:r w:rsidRPr="006571AC">
        <w:rPr>
          <w:rFonts w:ascii="Arial" w:hAnsi="Arial" w:hint="cs"/>
          <w:sz w:val="27"/>
          <w:rtl/>
        </w:rPr>
        <w:t xml:space="preserve"> والعلوم الفزيائية</w:t>
      </w:r>
      <w:r w:rsidRPr="006571AC">
        <w:rPr>
          <w:rFonts w:ascii="Arial" w:hAnsi="Arial" w:hint="cs"/>
          <w:sz w:val="27"/>
          <w:rtl/>
          <w:lang w:bidi="ar-MA"/>
        </w:rPr>
        <w:t xml:space="preserve">. </w:t>
      </w:r>
    </w:p>
    <w:p w:rsidR="0043677F" w:rsidRPr="006571AC" w:rsidRDefault="0043677F" w:rsidP="00421692">
      <w:pPr>
        <w:tabs>
          <w:tab w:val="left" w:pos="2667"/>
          <w:tab w:val="right" w:pos="5329"/>
        </w:tabs>
        <w:spacing w:line="380" w:lineRule="exact"/>
        <w:rPr>
          <w:rFonts w:ascii="Droid Arabic Naskh" w:hAnsi="Droid Arabic Naskh"/>
          <w:sz w:val="27"/>
          <w:shd w:val="clear" w:color="auto" w:fill="FFFFFF"/>
          <w:rtl/>
        </w:rPr>
      </w:pPr>
      <w:r w:rsidRPr="006571AC">
        <w:rPr>
          <w:rFonts w:ascii="Arial" w:hAnsi="Arial" w:hint="cs"/>
          <w:sz w:val="27"/>
          <w:rtl/>
          <w:lang w:bidi="ar-MA"/>
        </w:rPr>
        <w:t>فرغم هذا الإشكال ال</w:t>
      </w:r>
      <w:r w:rsidR="009F0296" w:rsidRPr="006571AC">
        <w:rPr>
          <w:rFonts w:ascii="Arial" w:hAnsi="Arial" w:hint="cs"/>
          <w:sz w:val="27"/>
          <w:rtl/>
          <w:lang w:bidi="ar-MA"/>
        </w:rPr>
        <w:t>إ</w:t>
      </w:r>
      <w:r w:rsidRPr="006571AC">
        <w:rPr>
          <w:rFonts w:ascii="Arial" w:hAnsi="Arial" w:hint="cs"/>
          <w:sz w:val="27"/>
          <w:rtl/>
          <w:lang w:bidi="ar-MA"/>
        </w:rPr>
        <w:t>بستمولوجي</w:t>
      </w:r>
      <w:r w:rsidR="009F0296" w:rsidRPr="006571AC">
        <w:rPr>
          <w:rFonts w:ascii="Arial" w:hAnsi="Arial" w:hint="cs"/>
          <w:sz w:val="27"/>
          <w:rtl/>
          <w:lang w:bidi="ar-MA"/>
        </w:rPr>
        <w:t>،</w:t>
      </w:r>
      <w:r w:rsidRPr="006571AC">
        <w:rPr>
          <w:rFonts w:ascii="Arial" w:hAnsi="Arial" w:hint="cs"/>
          <w:sz w:val="27"/>
          <w:rtl/>
          <w:lang w:bidi="ar-MA"/>
        </w:rPr>
        <w:t xml:space="preserve"> الذي يحضر في العلوم الإنسانية</w:t>
      </w:r>
      <w:r w:rsidR="009F0296" w:rsidRPr="006571AC">
        <w:rPr>
          <w:rFonts w:ascii="Arial" w:hAnsi="Arial" w:hint="cs"/>
          <w:sz w:val="27"/>
          <w:rtl/>
          <w:lang w:bidi="ar-MA"/>
        </w:rPr>
        <w:t>،</w:t>
      </w:r>
      <w:r w:rsidRPr="006571AC">
        <w:rPr>
          <w:rFonts w:ascii="Arial" w:hAnsi="Arial" w:hint="cs"/>
          <w:sz w:val="27"/>
          <w:rtl/>
          <w:lang w:bidi="ar-MA"/>
        </w:rPr>
        <w:t xml:space="preserve"> تيس</w:t>
      </w:r>
      <w:r w:rsidR="009F0296" w:rsidRPr="006571AC">
        <w:rPr>
          <w:rFonts w:ascii="Arial" w:hAnsi="Arial" w:hint="cs"/>
          <w:sz w:val="27"/>
          <w:rtl/>
          <w:lang w:bidi="ar-MA"/>
        </w:rPr>
        <w:t>َّ</w:t>
      </w:r>
      <w:r w:rsidRPr="006571AC">
        <w:rPr>
          <w:rFonts w:ascii="Arial" w:hAnsi="Arial" w:hint="cs"/>
          <w:sz w:val="27"/>
          <w:rtl/>
          <w:lang w:bidi="ar-MA"/>
        </w:rPr>
        <w:t>ر وت</w:t>
      </w:r>
      <w:r w:rsidR="009F0296" w:rsidRPr="006571AC">
        <w:rPr>
          <w:rFonts w:ascii="Arial" w:hAnsi="Arial" w:hint="cs"/>
          <w:sz w:val="27"/>
          <w:rtl/>
          <w:lang w:bidi="ar-MA"/>
        </w:rPr>
        <w:t>سنّى</w:t>
      </w:r>
      <w:r w:rsidRPr="006571AC">
        <w:rPr>
          <w:rFonts w:ascii="Arial" w:hAnsi="Arial" w:hint="cs"/>
          <w:sz w:val="27"/>
          <w:rtl/>
          <w:lang w:bidi="ar-MA"/>
        </w:rPr>
        <w:t xml:space="preserve"> لهذه العلوم أن تحق</w:t>
      </w:r>
      <w:r w:rsidR="009F0296" w:rsidRPr="006571AC">
        <w:rPr>
          <w:rFonts w:ascii="Arial" w:hAnsi="Arial" w:hint="cs"/>
          <w:sz w:val="27"/>
          <w:rtl/>
          <w:lang w:bidi="ar-MA"/>
        </w:rPr>
        <w:t>ِّ</w:t>
      </w:r>
      <w:r w:rsidRPr="006571AC">
        <w:rPr>
          <w:rFonts w:ascii="Arial" w:hAnsi="Arial" w:hint="cs"/>
          <w:sz w:val="27"/>
          <w:rtl/>
          <w:lang w:bidi="ar-MA"/>
        </w:rPr>
        <w:t xml:space="preserve">ق نتائج </w:t>
      </w:r>
      <w:r w:rsidR="009F0296" w:rsidRPr="006571AC">
        <w:rPr>
          <w:rFonts w:ascii="Arial" w:hAnsi="Arial" w:hint="cs"/>
          <w:sz w:val="27"/>
          <w:rtl/>
          <w:lang w:bidi="ar-MA"/>
        </w:rPr>
        <w:t>إ</w:t>
      </w:r>
      <w:r w:rsidRPr="006571AC">
        <w:rPr>
          <w:rFonts w:ascii="Arial" w:hAnsi="Arial" w:hint="cs"/>
          <w:sz w:val="27"/>
          <w:rtl/>
          <w:lang w:bidi="ar-MA"/>
        </w:rPr>
        <w:t>يجابية وكبيرة</w:t>
      </w:r>
      <w:r w:rsidR="009F0296" w:rsidRPr="006571AC">
        <w:rPr>
          <w:rFonts w:ascii="Arial" w:hAnsi="Arial" w:hint="cs"/>
          <w:sz w:val="27"/>
          <w:rtl/>
          <w:lang w:bidi="ar-MA"/>
        </w:rPr>
        <w:t>،</w:t>
      </w:r>
      <w:r w:rsidRPr="006571AC">
        <w:rPr>
          <w:rFonts w:ascii="Arial" w:hAnsi="Arial" w:hint="cs"/>
          <w:sz w:val="27"/>
          <w:rtl/>
          <w:lang w:bidi="ar-MA"/>
        </w:rPr>
        <w:t xml:space="preserve"> وتحمل فائدة</w:t>
      </w:r>
      <w:r w:rsidR="009F0296" w:rsidRPr="006571AC">
        <w:rPr>
          <w:rFonts w:ascii="Arial" w:hAnsi="Arial" w:hint="cs"/>
          <w:sz w:val="27"/>
          <w:rtl/>
          <w:lang w:bidi="ar-MA"/>
        </w:rPr>
        <w:t>ً</w:t>
      </w:r>
      <w:r w:rsidRPr="006571AC">
        <w:rPr>
          <w:rFonts w:ascii="Arial" w:hAnsi="Arial" w:hint="cs"/>
          <w:sz w:val="27"/>
          <w:rtl/>
          <w:lang w:bidi="ar-MA"/>
        </w:rPr>
        <w:t xml:space="preserve"> تخص</w:t>
      </w:r>
      <w:r w:rsidR="009F0296" w:rsidRPr="006571AC">
        <w:rPr>
          <w:rFonts w:ascii="Arial" w:hAnsi="Arial" w:hint="cs"/>
          <w:sz w:val="27"/>
          <w:rtl/>
          <w:lang w:bidi="ar-MA"/>
        </w:rPr>
        <w:t>ّ</w:t>
      </w:r>
      <w:r w:rsidRPr="006571AC">
        <w:rPr>
          <w:rFonts w:ascii="Arial" w:hAnsi="Arial" w:hint="cs"/>
          <w:sz w:val="27"/>
          <w:rtl/>
          <w:lang w:bidi="ar-MA"/>
        </w:rPr>
        <w:t xml:space="preserve"> حياة الإنسان في حاضره ومستقبله</w:t>
      </w:r>
      <w:r w:rsidR="009F0296" w:rsidRPr="006571AC">
        <w:rPr>
          <w:rFonts w:ascii="Arial" w:hAnsi="Arial" w:hint="cs"/>
          <w:sz w:val="27"/>
          <w:rtl/>
          <w:lang w:bidi="ar-MA"/>
        </w:rPr>
        <w:t>،</w:t>
      </w:r>
      <w:r w:rsidRPr="006571AC">
        <w:rPr>
          <w:rFonts w:ascii="Arial" w:hAnsi="Arial" w:hint="cs"/>
          <w:sz w:val="27"/>
          <w:rtl/>
          <w:lang w:bidi="ar-MA"/>
        </w:rPr>
        <w:t xml:space="preserve"> </w:t>
      </w:r>
      <w:r w:rsidRPr="006571AC">
        <w:rPr>
          <w:rFonts w:ascii="Arial" w:hAnsi="Arial" w:hint="cs"/>
          <w:sz w:val="27"/>
          <w:rtl/>
        </w:rPr>
        <w:t xml:space="preserve">رغم </w:t>
      </w:r>
      <w:r w:rsidRPr="006571AC">
        <w:rPr>
          <w:rFonts w:ascii="Arial" w:hAnsi="Arial" w:hint="cs"/>
          <w:sz w:val="27"/>
          <w:rtl/>
          <w:lang w:bidi="ar-MA"/>
        </w:rPr>
        <w:t>جميع هذه ال</w:t>
      </w:r>
      <w:r w:rsidR="009F0296" w:rsidRPr="006571AC">
        <w:rPr>
          <w:rFonts w:ascii="Arial" w:hAnsi="Arial" w:hint="cs"/>
          <w:sz w:val="27"/>
          <w:rtl/>
          <w:lang w:bidi="ar-MA"/>
        </w:rPr>
        <w:t>إ</w:t>
      </w:r>
      <w:r w:rsidRPr="006571AC">
        <w:rPr>
          <w:rFonts w:ascii="Arial" w:hAnsi="Arial" w:hint="cs"/>
          <w:sz w:val="27"/>
          <w:rtl/>
          <w:lang w:bidi="ar-MA"/>
        </w:rPr>
        <w:t>كراهات والصعوبات التي اعترض</w:t>
      </w:r>
      <w:r w:rsidR="009F0296" w:rsidRPr="006571AC">
        <w:rPr>
          <w:rFonts w:ascii="Arial" w:hAnsi="Arial" w:hint="cs"/>
          <w:sz w:val="27"/>
          <w:rtl/>
          <w:lang w:bidi="ar-MA"/>
        </w:rPr>
        <w:t>َ</w:t>
      </w:r>
      <w:r w:rsidRPr="006571AC">
        <w:rPr>
          <w:rFonts w:ascii="Arial" w:hAnsi="Arial" w:hint="cs"/>
          <w:sz w:val="27"/>
          <w:rtl/>
          <w:lang w:bidi="ar-MA"/>
        </w:rPr>
        <w:t>ت</w:t>
      </w:r>
      <w:r w:rsidR="009F0296" w:rsidRPr="006571AC">
        <w:rPr>
          <w:rFonts w:ascii="Arial" w:hAnsi="Arial" w:hint="cs"/>
          <w:sz w:val="27"/>
          <w:rtl/>
          <w:lang w:bidi="ar-MA"/>
        </w:rPr>
        <w:t>ْ</w:t>
      </w:r>
      <w:r w:rsidRPr="006571AC">
        <w:rPr>
          <w:rFonts w:ascii="Arial" w:hAnsi="Arial" w:hint="cs"/>
          <w:sz w:val="27"/>
          <w:rtl/>
          <w:lang w:bidi="ar-MA"/>
        </w:rPr>
        <w:t xml:space="preserve"> الظاهرة الإنسانية</w:t>
      </w:r>
      <w:r w:rsidR="009F0296" w:rsidRPr="006571AC">
        <w:rPr>
          <w:rFonts w:ascii="Arial" w:hAnsi="Arial" w:hint="cs"/>
          <w:sz w:val="27"/>
          <w:rtl/>
          <w:lang w:bidi="ar-MA"/>
        </w:rPr>
        <w:t>،</w:t>
      </w:r>
      <w:r w:rsidRPr="006571AC">
        <w:rPr>
          <w:rFonts w:ascii="Arial" w:hAnsi="Arial" w:hint="cs"/>
          <w:sz w:val="27"/>
          <w:rtl/>
          <w:lang w:bidi="ar-MA"/>
        </w:rPr>
        <w:t xml:space="preserve"> </w:t>
      </w:r>
      <w:r w:rsidR="009F0296" w:rsidRPr="006571AC">
        <w:rPr>
          <w:rFonts w:ascii="Arial" w:hAnsi="Arial" w:hint="cs"/>
          <w:sz w:val="27"/>
          <w:rtl/>
          <w:lang w:bidi="ar-MA"/>
        </w:rPr>
        <w:t>و</w:t>
      </w:r>
      <w:r w:rsidR="00731867" w:rsidRPr="006571AC">
        <w:rPr>
          <w:rFonts w:ascii="Arial" w:hAnsi="Arial" w:hint="cs"/>
          <w:sz w:val="27"/>
          <w:rtl/>
          <w:lang w:bidi="ar-MA"/>
        </w:rPr>
        <w:t>لا سيَّما</w:t>
      </w:r>
      <w:r w:rsidRPr="006571AC">
        <w:rPr>
          <w:rFonts w:ascii="Arial" w:hAnsi="Arial" w:hint="cs"/>
          <w:sz w:val="27"/>
          <w:rtl/>
          <w:lang w:bidi="ar-MA"/>
        </w:rPr>
        <w:t xml:space="preserve"> ما كان متعل</w:t>
      </w:r>
      <w:r w:rsidR="009F0296" w:rsidRPr="006571AC">
        <w:rPr>
          <w:rFonts w:ascii="Arial" w:hAnsi="Arial" w:hint="cs"/>
          <w:sz w:val="27"/>
          <w:rtl/>
          <w:lang w:bidi="ar-MA"/>
        </w:rPr>
        <w:t>ِّ</w:t>
      </w:r>
      <w:r w:rsidRPr="006571AC">
        <w:rPr>
          <w:rFonts w:ascii="Arial" w:hAnsi="Arial" w:hint="cs"/>
          <w:sz w:val="27"/>
          <w:rtl/>
          <w:lang w:bidi="ar-MA"/>
        </w:rPr>
        <w:t>قا</w:t>
      </w:r>
      <w:r w:rsidR="009F0296" w:rsidRPr="006571AC">
        <w:rPr>
          <w:rFonts w:ascii="Arial" w:hAnsi="Arial" w:hint="cs"/>
          <w:sz w:val="27"/>
          <w:rtl/>
          <w:lang w:bidi="ar-MA"/>
        </w:rPr>
        <w:t>ً</w:t>
      </w:r>
      <w:r w:rsidRPr="006571AC">
        <w:rPr>
          <w:rFonts w:ascii="Arial" w:hAnsi="Arial" w:hint="cs"/>
          <w:sz w:val="27"/>
          <w:rtl/>
          <w:lang w:bidi="ar-MA"/>
        </w:rPr>
        <w:t xml:space="preserve"> وخاص</w:t>
      </w:r>
      <w:r w:rsidR="009F0296" w:rsidRPr="006571AC">
        <w:rPr>
          <w:rFonts w:ascii="Arial" w:hAnsi="Arial" w:hint="cs"/>
          <w:sz w:val="27"/>
          <w:rtl/>
          <w:lang w:bidi="ar-MA"/>
        </w:rPr>
        <w:t>ّ</w:t>
      </w:r>
      <w:r w:rsidRPr="006571AC">
        <w:rPr>
          <w:rFonts w:ascii="Arial" w:hAnsi="Arial" w:hint="cs"/>
          <w:sz w:val="27"/>
          <w:rtl/>
          <w:lang w:bidi="ar-MA"/>
        </w:rPr>
        <w:t>ا</w:t>
      </w:r>
      <w:r w:rsidR="009F0296" w:rsidRPr="006571AC">
        <w:rPr>
          <w:rFonts w:ascii="Arial" w:hAnsi="Arial" w:hint="cs"/>
          <w:sz w:val="27"/>
          <w:rtl/>
          <w:lang w:bidi="ar-MA"/>
        </w:rPr>
        <w:t>ً</w:t>
      </w:r>
      <w:r w:rsidRPr="006571AC">
        <w:rPr>
          <w:rFonts w:ascii="Arial" w:hAnsi="Arial" w:hint="cs"/>
          <w:sz w:val="27"/>
          <w:rtl/>
          <w:lang w:bidi="ar-MA"/>
        </w:rPr>
        <w:t xml:space="preserve"> بجهة المناهج والآليات التي تستخدمها هذه العلوم</w:t>
      </w:r>
      <w:r w:rsidR="009F0296" w:rsidRPr="006571AC">
        <w:rPr>
          <w:rFonts w:ascii="Arial" w:hAnsi="Arial" w:hint="cs"/>
          <w:sz w:val="27"/>
          <w:rtl/>
          <w:lang w:bidi="ar-MA"/>
        </w:rPr>
        <w:t>،</w:t>
      </w:r>
      <w:r w:rsidRPr="006571AC">
        <w:rPr>
          <w:rFonts w:ascii="Arial" w:hAnsi="Arial" w:hint="cs"/>
          <w:sz w:val="27"/>
          <w:rtl/>
          <w:lang w:bidi="ar-MA"/>
        </w:rPr>
        <w:t xml:space="preserve"> وتتوس</w:t>
      </w:r>
      <w:r w:rsidR="009F0296" w:rsidRPr="006571AC">
        <w:rPr>
          <w:rFonts w:ascii="Arial" w:hAnsi="Arial" w:hint="cs"/>
          <w:sz w:val="27"/>
          <w:rtl/>
          <w:lang w:bidi="ar-MA"/>
        </w:rPr>
        <w:t>َّ</w:t>
      </w:r>
      <w:r w:rsidRPr="006571AC">
        <w:rPr>
          <w:rFonts w:ascii="Arial" w:hAnsi="Arial" w:hint="cs"/>
          <w:sz w:val="27"/>
          <w:rtl/>
          <w:lang w:bidi="ar-MA"/>
        </w:rPr>
        <w:t>ل بها</w:t>
      </w:r>
      <w:r w:rsidR="009F0296" w:rsidRPr="006571AC">
        <w:rPr>
          <w:rFonts w:ascii="Arial" w:hAnsi="Arial" w:hint="cs"/>
          <w:sz w:val="27"/>
          <w:rtl/>
          <w:lang w:bidi="ar-MA"/>
        </w:rPr>
        <w:t>؛</w:t>
      </w:r>
      <w:r w:rsidRPr="006571AC">
        <w:rPr>
          <w:rFonts w:ascii="Arial" w:hAnsi="Arial" w:hint="cs"/>
          <w:sz w:val="27"/>
          <w:rtl/>
          <w:lang w:bidi="ar-MA"/>
        </w:rPr>
        <w:t xml:space="preserve"> للوصول والت</w:t>
      </w:r>
      <w:r w:rsidR="009F0296" w:rsidRPr="006571AC">
        <w:rPr>
          <w:rFonts w:ascii="Arial" w:hAnsi="Arial" w:hint="cs"/>
          <w:sz w:val="27"/>
          <w:rtl/>
          <w:lang w:bidi="ar-MA"/>
        </w:rPr>
        <w:t>أ</w:t>
      </w:r>
      <w:r w:rsidRPr="006571AC">
        <w:rPr>
          <w:rFonts w:ascii="Arial" w:hAnsi="Arial" w:hint="cs"/>
          <w:sz w:val="27"/>
          <w:rtl/>
          <w:lang w:bidi="ar-MA"/>
        </w:rPr>
        <w:t>كيد والبرهنة على مقد</w:t>
      </w:r>
      <w:r w:rsidR="009F0296" w:rsidRPr="006571AC">
        <w:rPr>
          <w:rFonts w:ascii="Arial" w:hAnsi="Arial" w:hint="cs"/>
          <w:sz w:val="27"/>
          <w:rtl/>
          <w:lang w:bidi="ar-MA"/>
        </w:rPr>
        <w:t>ّ</w:t>
      </w:r>
      <w:r w:rsidRPr="006571AC">
        <w:rPr>
          <w:rFonts w:ascii="Arial" w:hAnsi="Arial" w:hint="cs"/>
          <w:sz w:val="27"/>
          <w:rtl/>
          <w:lang w:bidi="ar-MA"/>
        </w:rPr>
        <w:t>ماتها</w:t>
      </w:r>
      <w:r w:rsidR="009F0296" w:rsidRPr="006571AC">
        <w:rPr>
          <w:rFonts w:ascii="Arial" w:hAnsi="Arial" w:hint="cs"/>
          <w:sz w:val="27"/>
          <w:rtl/>
          <w:lang w:bidi="ar-MA"/>
        </w:rPr>
        <w:t>،</w:t>
      </w:r>
      <w:r w:rsidRPr="006571AC">
        <w:rPr>
          <w:rFonts w:ascii="Arial" w:hAnsi="Arial" w:hint="cs"/>
          <w:sz w:val="27"/>
          <w:rtl/>
          <w:lang w:bidi="ar-MA"/>
        </w:rPr>
        <w:t xml:space="preserve"> وفق الخصوصية المرك</w:t>
      </w:r>
      <w:r w:rsidR="009F0296" w:rsidRPr="006571AC">
        <w:rPr>
          <w:rFonts w:ascii="Arial" w:hAnsi="Arial" w:hint="cs"/>
          <w:sz w:val="27"/>
          <w:rtl/>
          <w:lang w:bidi="ar-MA"/>
        </w:rPr>
        <w:t>ّ</w:t>
      </w:r>
      <w:r w:rsidRPr="006571AC">
        <w:rPr>
          <w:rFonts w:ascii="Arial" w:hAnsi="Arial" w:hint="cs"/>
          <w:sz w:val="27"/>
          <w:rtl/>
          <w:lang w:bidi="ar-MA"/>
        </w:rPr>
        <w:t xml:space="preserve">بة </w:t>
      </w:r>
      <w:r w:rsidRPr="006571AC">
        <w:rPr>
          <w:rFonts w:ascii="Droid Arabic Naskh" w:hAnsi="Droid Arabic Naskh" w:hint="cs"/>
          <w:sz w:val="27"/>
          <w:shd w:val="clear" w:color="auto" w:fill="FFFFFF"/>
          <w:rtl/>
        </w:rPr>
        <w:t>ل</w:t>
      </w:r>
      <w:r w:rsidRPr="006571AC">
        <w:rPr>
          <w:rFonts w:ascii="Droid Arabic Naskh" w:hAnsi="Droid Arabic Naskh"/>
          <w:sz w:val="27"/>
          <w:shd w:val="clear" w:color="auto" w:fill="FFFFFF"/>
          <w:rtl/>
        </w:rPr>
        <w:t>لظاهرة الإنسانية المتمي</w:t>
      </w:r>
      <w:r w:rsidR="009F0296" w:rsidRPr="006571AC">
        <w:rPr>
          <w:rFonts w:ascii="Droid Arabic Naskh" w:hAnsi="Droid Arabic Naskh" w:hint="cs"/>
          <w:sz w:val="27"/>
          <w:shd w:val="clear" w:color="auto" w:fill="FFFFFF"/>
          <w:rtl/>
        </w:rPr>
        <w:t>ِّ</w:t>
      </w:r>
      <w:r w:rsidRPr="006571AC">
        <w:rPr>
          <w:rFonts w:ascii="Droid Arabic Naskh" w:hAnsi="Droid Arabic Naskh"/>
          <w:sz w:val="27"/>
          <w:shd w:val="clear" w:color="auto" w:fill="FFFFFF"/>
          <w:rtl/>
        </w:rPr>
        <w:t xml:space="preserve">زة </w:t>
      </w:r>
      <w:r w:rsidRPr="006571AC">
        <w:rPr>
          <w:rFonts w:ascii="Droid Arabic Naskh" w:hAnsi="Droid Arabic Naskh" w:hint="cs"/>
          <w:sz w:val="27"/>
          <w:shd w:val="clear" w:color="auto" w:fill="FFFFFF"/>
          <w:rtl/>
        </w:rPr>
        <w:t>بمجموعة</w:t>
      </w:r>
      <w:r w:rsidR="009F0296" w:rsidRPr="006571AC">
        <w:rPr>
          <w:rFonts w:ascii="Droid Arabic Naskh" w:hAnsi="Droid Arabic Naskh" w:hint="cs"/>
          <w:sz w:val="27"/>
          <w:shd w:val="clear" w:color="auto" w:fill="FFFFFF"/>
          <w:rtl/>
        </w:rPr>
        <w:t>ٍ</w:t>
      </w:r>
      <w:r w:rsidRPr="006571AC">
        <w:rPr>
          <w:rFonts w:ascii="Droid Arabic Naskh" w:hAnsi="Droid Arabic Naskh" w:hint="cs"/>
          <w:sz w:val="27"/>
          <w:shd w:val="clear" w:color="auto" w:fill="FFFFFF"/>
          <w:rtl/>
        </w:rPr>
        <w:t xml:space="preserve"> من الخصائص</w:t>
      </w:r>
      <w:r w:rsidRPr="006571AC">
        <w:rPr>
          <w:rFonts w:ascii="Arial" w:hAnsi="Arial" w:hint="cs"/>
          <w:sz w:val="27"/>
          <w:rtl/>
          <w:lang w:bidi="ar-MA"/>
        </w:rPr>
        <w:t xml:space="preserve">. </w:t>
      </w:r>
    </w:p>
    <w:p w:rsidR="0043677F" w:rsidRPr="006571AC" w:rsidRDefault="004B77DA" w:rsidP="00421692">
      <w:pPr>
        <w:tabs>
          <w:tab w:val="left" w:pos="2667"/>
          <w:tab w:val="right" w:pos="5329"/>
        </w:tabs>
        <w:spacing w:line="380" w:lineRule="exact"/>
        <w:rPr>
          <w:rFonts w:ascii="Arial" w:hAnsi="Arial"/>
          <w:sz w:val="27"/>
        </w:rPr>
      </w:pPr>
      <w:r w:rsidRPr="006571AC">
        <w:rPr>
          <w:rFonts w:ascii="Arial" w:hAnsi="Arial" w:hint="cs"/>
          <w:sz w:val="27"/>
          <w:rtl/>
        </w:rPr>
        <w:t>و</w:t>
      </w:r>
      <w:r w:rsidR="0043677F" w:rsidRPr="006571AC">
        <w:rPr>
          <w:rFonts w:ascii="Arial" w:hAnsi="Arial" w:hint="cs"/>
          <w:sz w:val="27"/>
          <w:rtl/>
        </w:rPr>
        <w:t>رغم هذا الاعتراف بهذا الإشكال ف</w:t>
      </w:r>
      <w:r w:rsidR="009F0296" w:rsidRPr="006571AC">
        <w:rPr>
          <w:rFonts w:ascii="Arial" w:hAnsi="Arial" w:hint="cs"/>
          <w:sz w:val="27"/>
          <w:rtl/>
        </w:rPr>
        <w:t>إ</w:t>
      </w:r>
      <w:r w:rsidR="0043677F" w:rsidRPr="006571AC">
        <w:rPr>
          <w:rFonts w:ascii="Arial" w:hAnsi="Arial" w:hint="cs"/>
          <w:sz w:val="27"/>
          <w:rtl/>
        </w:rPr>
        <w:t xml:space="preserve">نه لا يعني </w:t>
      </w:r>
      <w:r w:rsidR="00C97A37" w:rsidRPr="006571AC">
        <w:rPr>
          <w:rFonts w:ascii="Arial" w:hAnsi="Arial" w:hint="cs"/>
          <w:sz w:val="27"/>
          <w:rtl/>
        </w:rPr>
        <w:t xml:space="preserve">في </w:t>
      </w:r>
      <w:r w:rsidR="0043677F" w:rsidRPr="006571AC">
        <w:rPr>
          <w:rFonts w:ascii="Arial" w:hAnsi="Arial" w:hint="cs"/>
          <w:sz w:val="27"/>
          <w:rtl/>
        </w:rPr>
        <w:t>كلامنا هذا التنقيص من المكانة العلمي</w:t>
      </w:r>
      <w:r w:rsidR="00C97A37" w:rsidRPr="006571AC">
        <w:rPr>
          <w:rFonts w:ascii="Arial" w:hAnsi="Arial" w:hint="cs"/>
          <w:sz w:val="27"/>
          <w:rtl/>
        </w:rPr>
        <w:t>ّ</w:t>
      </w:r>
      <w:r w:rsidR="0043677F" w:rsidRPr="006571AC">
        <w:rPr>
          <w:rFonts w:ascii="Arial" w:hAnsi="Arial" w:hint="cs"/>
          <w:sz w:val="27"/>
          <w:rtl/>
        </w:rPr>
        <w:t>ة للعلوم الإنساني</w:t>
      </w:r>
      <w:r w:rsidRPr="006571AC">
        <w:rPr>
          <w:rFonts w:ascii="Arial" w:hAnsi="Arial" w:hint="cs"/>
          <w:sz w:val="27"/>
          <w:rtl/>
        </w:rPr>
        <w:t>ّ</w:t>
      </w:r>
      <w:r w:rsidR="0043677F" w:rsidRPr="006571AC">
        <w:rPr>
          <w:rFonts w:ascii="Arial" w:hAnsi="Arial" w:hint="cs"/>
          <w:sz w:val="27"/>
          <w:rtl/>
        </w:rPr>
        <w:t xml:space="preserve">ة، ولا يعني </w:t>
      </w:r>
      <w:r w:rsidR="00C97A37" w:rsidRPr="006571AC">
        <w:rPr>
          <w:rFonts w:ascii="Arial" w:hAnsi="Arial" w:hint="cs"/>
          <w:sz w:val="27"/>
          <w:rtl/>
        </w:rPr>
        <w:t xml:space="preserve">أن </w:t>
      </w:r>
      <w:r w:rsidR="0043677F" w:rsidRPr="006571AC">
        <w:rPr>
          <w:rFonts w:ascii="Arial" w:hAnsi="Arial" w:hint="cs"/>
          <w:sz w:val="27"/>
          <w:rtl/>
        </w:rPr>
        <w:t>حضورها من حيث الممارس</w:t>
      </w:r>
      <w:r w:rsidR="0043677F" w:rsidRPr="006571AC">
        <w:rPr>
          <w:rFonts w:ascii="Arial" w:hAnsi="Arial" w:hint="eastAsia"/>
          <w:sz w:val="27"/>
          <w:rtl/>
        </w:rPr>
        <w:t>ة</w:t>
      </w:r>
      <w:r w:rsidR="0043677F" w:rsidRPr="006571AC">
        <w:rPr>
          <w:rFonts w:ascii="Arial" w:hAnsi="Arial" w:hint="cs"/>
          <w:sz w:val="27"/>
          <w:rtl/>
        </w:rPr>
        <w:t xml:space="preserve"> متوق</w:t>
      </w:r>
      <w:r w:rsidR="00C97A37" w:rsidRPr="006571AC">
        <w:rPr>
          <w:rFonts w:ascii="Arial" w:hAnsi="Arial" w:hint="cs"/>
          <w:sz w:val="27"/>
          <w:rtl/>
        </w:rPr>
        <w:t>ِّ</w:t>
      </w:r>
      <w:r w:rsidR="0043677F" w:rsidRPr="006571AC">
        <w:rPr>
          <w:rFonts w:ascii="Arial" w:hAnsi="Arial" w:hint="cs"/>
          <w:sz w:val="27"/>
          <w:rtl/>
        </w:rPr>
        <w:t>ف</w:t>
      </w:r>
      <w:r w:rsidR="00C97A37" w:rsidRPr="006571AC">
        <w:rPr>
          <w:rFonts w:ascii="Arial" w:hAnsi="Arial" w:hint="cs"/>
          <w:sz w:val="27"/>
          <w:rtl/>
        </w:rPr>
        <w:t>ٌ</w:t>
      </w:r>
      <w:r w:rsidR="0043677F" w:rsidRPr="006571AC">
        <w:rPr>
          <w:rFonts w:ascii="Arial" w:hAnsi="Arial" w:hint="cs"/>
          <w:sz w:val="27"/>
          <w:rtl/>
        </w:rPr>
        <w:t xml:space="preserve"> على القضاء على هذه المشاكل ال</w:t>
      </w:r>
      <w:r w:rsidR="00C97A37" w:rsidRPr="006571AC">
        <w:rPr>
          <w:rFonts w:ascii="Arial" w:hAnsi="Arial" w:hint="cs"/>
          <w:sz w:val="27"/>
          <w:rtl/>
        </w:rPr>
        <w:t>إ</w:t>
      </w:r>
      <w:r w:rsidR="0043677F" w:rsidRPr="006571AC">
        <w:rPr>
          <w:rFonts w:ascii="Arial" w:hAnsi="Arial" w:hint="cs"/>
          <w:sz w:val="27"/>
          <w:rtl/>
        </w:rPr>
        <w:t>بستمولوجية المرتبطة ببنائها وبموضوعها وبمرجعياتها</w:t>
      </w:r>
      <w:r w:rsidR="0043677F" w:rsidRPr="006571AC">
        <w:rPr>
          <w:rFonts w:ascii="Arial" w:hAnsi="Arial" w:hint="cs"/>
          <w:sz w:val="27"/>
          <w:rtl/>
          <w:lang w:bidi="ar-MA"/>
        </w:rPr>
        <w:t xml:space="preserve">. </w:t>
      </w:r>
    </w:p>
    <w:p w:rsidR="0043677F" w:rsidRPr="006571AC" w:rsidRDefault="0043677F" w:rsidP="00421692">
      <w:pPr>
        <w:tabs>
          <w:tab w:val="left" w:pos="2667"/>
          <w:tab w:val="right" w:pos="5329"/>
        </w:tabs>
        <w:spacing w:line="380" w:lineRule="exact"/>
        <w:rPr>
          <w:rFonts w:ascii="Arial" w:hAnsi="Arial"/>
          <w:sz w:val="27"/>
          <w:rtl/>
          <w:lang w:bidi="ar-MA"/>
        </w:rPr>
      </w:pPr>
      <w:r w:rsidRPr="006571AC">
        <w:rPr>
          <w:rFonts w:ascii="Arial" w:hAnsi="Arial" w:hint="cs"/>
          <w:sz w:val="27"/>
          <w:rtl/>
        </w:rPr>
        <w:t>فهذا الكلام المتعل</w:t>
      </w:r>
      <w:r w:rsidR="00C97A37" w:rsidRPr="006571AC">
        <w:rPr>
          <w:rFonts w:ascii="Arial" w:hAnsi="Arial" w:hint="cs"/>
          <w:sz w:val="27"/>
          <w:rtl/>
        </w:rPr>
        <w:t>ِّ</w:t>
      </w:r>
      <w:r w:rsidRPr="006571AC">
        <w:rPr>
          <w:rFonts w:ascii="Arial" w:hAnsi="Arial" w:hint="cs"/>
          <w:sz w:val="27"/>
          <w:rtl/>
        </w:rPr>
        <w:t>ق بالإشكال المنجي لا يقف عائقا</w:t>
      </w:r>
      <w:r w:rsidR="00C97A37" w:rsidRPr="006571AC">
        <w:rPr>
          <w:rFonts w:ascii="Arial" w:hAnsi="Arial" w:hint="cs"/>
          <w:sz w:val="27"/>
          <w:rtl/>
        </w:rPr>
        <w:t>ً</w:t>
      </w:r>
      <w:r w:rsidRPr="006571AC">
        <w:rPr>
          <w:rFonts w:ascii="Arial" w:hAnsi="Arial" w:hint="cs"/>
          <w:sz w:val="27"/>
          <w:rtl/>
        </w:rPr>
        <w:t xml:space="preserve"> في قيام العلوم الإنسانية، ولا يشك</w:t>
      </w:r>
      <w:r w:rsidR="00C97A37" w:rsidRPr="006571AC">
        <w:rPr>
          <w:rFonts w:ascii="Arial" w:hAnsi="Arial" w:hint="cs"/>
          <w:sz w:val="27"/>
          <w:rtl/>
        </w:rPr>
        <w:t>ِّ</w:t>
      </w:r>
      <w:r w:rsidRPr="006571AC">
        <w:rPr>
          <w:rFonts w:ascii="Arial" w:hAnsi="Arial" w:hint="cs"/>
          <w:sz w:val="27"/>
          <w:rtl/>
        </w:rPr>
        <w:t>ل تحد</w:t>
      </w:r>
      <w:r w:rsidR="00C97A37" w:rsidRPr="006571AC">
        <w:rPr>
          <w:rFonts w:ascii="Arial" w:hAnsi="Arial" w:hint="cs"/>
          <w:sz w:val="27"/>
          <w:rtl/>
        </w:rPr>
        <w:t>ّ</w:t>
      </w:r>
      <w:r w:rsidRPr="006571AC">
        <w:rPr>
          <w:rFonts w:ascii="Arial" w:hAnsi="Arial" w:hint="cs"/>
          <w:sz w:val="27"/>
          <w:rtl/>
        </w:rPr>
        <w:t>يا</w:t>
      </w:r>
      <w:r w:rsidR="00C97A37" w:rsidRPr="006571AC">
        <w:rPr>
          <w:rFonts w:ascii="Arial" w:hAnsi="Arial" w:hint="cs"/>
          <w:sz w:val="27"/>
          <w:rtl/>
        </w:rPr>
        <w:t>ً</w:t>
      </w:r>
      <w:r w:rsidRPr="006571AC">
        <w:rPr>
          <w:rFonts w:ascii="Arial" w:hAnsi="Arial" w:hint="cs"/>
          <w:sz w:val="27"/>
          <w:rtl/>
        </w:rPr>
        <w:t xml:space="preserve"> لمستقبل هذه العلوم.</w:t>
      </w:r>
      <w:r w:rsidRPr="006571AC">
        <w:rPr>
          <w:rFonts w:ascii="Droid Arabic Naskh" w:hAnsi="Droid Arabic Naskh"/>
          <w:sz w:val="27"/>
          <w:shd w:val="clear" w:color="auto" w:fill="FFFFFF"/>
          <w:rtl/>
        </w:rPr>
        <w:t xml:space="preserve"> </w:t>
      </w:r>
    </w:p>
    <w:p w:rsidR="0043677F" w:rsidRPr="006571AC" w:rsidRDefault="0043677F" w:rsidP="00421692">
      <w:pPr>
        <w:tabs>
          <w:tab w:val="left" w:pos="2667"/>
          <w:tab w:val="right" w:pos="5329"/>
        </w:tabs>
        <w:spacing w:line="410" w:lineRule="exact"/>
        <w:rPr>
          <w:rFonts w:ascii="Arial" w:hAnsi="Arial"/>
          <w:sz w:val="27"/>
          <w:rtl/>
          <w:lang w:bidi="ar-MA"/>
        </w:rPr>
      </w:pPr>
    </w:p>
    <w:p w:rsidR="0043677F" w:rsidRPr="006571AC" w:rsidRDefault="0043677F" w:rsidP="00962F60">
      <w:pPr>
        <w:pStyle w:val="31"/>
        <w:rPr>
          <w:color w:val="auto"/>
          <w:rtl/>
        </w:rPr>
      </w:pPr>
      <w:bookmarkStart w:id="444" w:name="_Toc114164852"/>
      <w:r w:rsidRPr="006571AC">
        <w:rPr>
          <w:rFonts w:hint="cs"/>
          <w:color w:val="auto"/>
          <w:rtl/>
        </w:rPr>
        <w:t>أقطاب</w:t>
      </w:r>
      <w:r w:rsidRPr="006571AC">
        <w:rPr>
          <w:color w:val="auto"/>
          <w:rtl/>
        </w:rPr>
        <w:t xml:space="preserve"> العلوم</w:t>
      </w:r>
      <w:r w:rsidRPr="006571AC">
        <w:rPr>
          <w:rFonts w:hint="cs"/>
          <w:color w:val="auto"/>
          <w:rtl/>
        </w:rPr>
        <w:t xml:space="preserve"> الإنساني</w:t>
      </w:r>
      <w:r w:rsidR="00D12571" w:rsidRPr="006571AC">
        <w:rPr>
          <w:rFonts w:hint="cs"/>
          <w:color w:val="auto"/>
          <w:rtl/>
        </w:rPr>
        <w:t>ّ</w:t>
      </w:r>
      <w:r w:rsidRPr="006571AC">
        <w:rPr>
          <w:rFonts w:hint="cs"/>
          <w:color w:val="auto"/>
          <w:rtl/>
        </w:rPr>
        <w:t>ة</w:t>
      </w:r>
      <w:bookmarkEnd w:id="444"/>
    </w:p>
    <w:p w:rsidR="0043677F" w:rsidRPr="00F62BCF" w:rsidRDefault="0043677F" w:rsidP="00F62BCF">
      <w:pPr>
        <w:tabs>
          <w:tab w:val="left" w:pos="2667"/>
          <w:tab w:val="right" w:pos="5329"/>
        </w:tabs>
        <w:spacing w:line="380" w:lineRule="exact"/>
        <w:rPr>
          <w:rFonts w:ascii="Arial" w:hAnsi="Arial"/>
          <w:sz w:val="27"/>
        </w:rPr>
      </w:pPr>
      <w:r w:rsidRPr="006571AC">
        <w:rPr>
          <w:rFonts w:ascii="Arial" w:hAnsi="Arial" w:hint="cs"/>
          <w:sz w:val="27"/>
          <w:rtl/>
        </w:rPr>
        <w:t xml:space="preserve">من </w:t>
      </w:r>
      <w:r w:rsidRPr="006571AC">
        <w:rPr>
          <w:rFonts w:ascii="Arial" w:hAnsi="Arial"/>
          <w:sz w:val="27"/>
          <w:rtl/>
        </w:rPr>
        <w:t>العادة المترس</w:t>
      </w:r>
      <w:r w:rsidR="00C97A37" w:rsidRPr="006571AC">
        <w:rPr>
          <w:rFonts w:ascii="Arial" w:hAnsi="Arial" w:hint="cs"/>
          <w:sz w:val="27"/>
          <w:rtl/>
        </w:rPr>
        <w:t>ِّ</w:t>
      </w:r>
      <w:r w:rsidRPr="006571AC">
        <w:rPr>
          <w:rFonts w:ascii="Arial" w:hAnsi="Arial"/>
          <w:sz w:val="27"/>
          <w:rtl/>
        </w:rPr>
        <w:t xml:space="preserve">خة </w:t>
      </w:r>
      <w:r w:rsidRPr="006571AC">
        <w:rPr>
          <w:rFonts w:ascii="Arial" w:hAnsi="Arial" w:hint="cs"/>
          <w:sz w:val="27"/>
          <w:rtl/>
        </w:rPr>
        <w:t xml:space="preserve">والحاضرة بين الباحثين والمشتغلين على </w:t>
      </w:r>
      <w:r w:rsidRPr="006571AC">
        <w:rPr>
          <w:rFonts w:ascii="Arial" w:hAnsi="Arial"/>
          <w:sz w:val="27"/>
          <w:rtl/>
        </w:rPr>
        <w:t xml:space="preserve">البحوث </w:t>
      </w:r>
      <w:r w:rsidRPr="006571AC">
        <w:rPr>
          <w:rFonts w:ascii="Arial" w:hAnsi="Arial" w:hint="cs"/>
          <w:sz w:val="27"/>
          <w:rtl/>
        </w:rPr>
        <w:t xml:space="preserve">والدراسات </w:t>
      </w:r>
      <w:r w:rsidRPr="006571AC">
        <w:rPr>
          <w:rFonts w:ascii="Arial" w:hAnsi="Arial"/>
          <w:sz w:val="27"/>
          <w:rtl/>
        </w:rPr>
        <w:t xml:space="preserve">الإنسانية </w:t>
      </w:r>
      <w:r w:rsidRPr="006571AC">
        <w:rPr>
          <w:rFonts w:ascii="Arial" w:hAnsi="Arial" w:hint="cs"/>
          <w:sz w:val="27"/>
          <w:rtl/>
        </w:rPr>
        <w:t>أن يتم</w:t>
      </w:r>
      <w:r w:rsidR="00C97A37"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تقسيم</w:t>
      </w:r>
      <w:r w:rsidRPr="006571AC">
        <w:rPr>
          <w:rFonts w:ascii="Arial" w:hAnsi="Arial" w:hint="cs"/>
          <w:sz w:val="27"/>
          <w:rtl/>
        </w:rPr>
        <w:t xml:space="preserve"> </w:t>
      </w:r>
      <w:r w:rsidRPr="006571AC">
        <w:rPr>
          <w:rFonts w:ascii="Arial" w:hAnsi="Arial"/>
          <w:sz w:val="27"/>
          <w:rtl/>
        </w:rPr>
        <w:t>ه</w:t>
      </w:r>
      <w:r w:rsidRPr="006571AC">
        <w:rPr>
          <w:rFonts w:ascii="Arial" w:hAnsi="Arial" w:hint="cs"/>
          <w:sz w:val="27"/>
          <w:rtl/>
        </w:rPr>
        <w:t xml:space="preserve">ذه العلوم وتفريعها إلى فروع وأقطاب </w:t>
      </w:r>
      <w:r w:rsidRPr="00F62BCF">
        <w:rPr>
          <w:rFonts w:ascii="Arial" w:hAnsi="Arial" w:hint="cs"/>
          <w:sz w:val="27"/>
          <w:rtl/>
        </w:rPr>
        <w:t>عديدة</w:t>
      </w:r>
      <w:r w:rsidR="00C97A37" w:rsidRPr="00F62BCF">
        <w:rPr>
          <w:rFonts w:ascii="Arial" w:hAnsi="Arial" w:hint="cs"/>
          <w:sz w:val="27"/>
          <w:rtl/>
        </w:rPr>
        <w:t>،</w:t>
      </w:r>
      <w:r w:rsidRPr="00F62BCF">
        <w:rPr>
          <w:rFonts w:ascii="Arial" w:hAnsi="Arial" w:hint="cs"/>
          <w:sz w:val="27"/>
          <w:rtl/>
        </w:rPr>
        <w:t xml:space="preserve"> منها</w:t>
      </w:r>
      <w:r w:rsidR="00C97A37" w:rsidRPr="00F62BCF">
        <w:rPr>
          <w:rFonts w:ascii="Arial" w:hAnsi="Arial" w:hint="cs"/>
          <w:sz w:val="27"/>
          <w:rtl/>
        </w:rPr>
        <w:t>:</w:t>
      </w:r>
      <w:r w:rsidRPr="00F62BCF">
        <w:rPr>
          <w:rFonts w:ascii="Arial" w:hAnsi="Arial"/>
          <w:sz w:val="27"/>
          <w:rtl/>
        </w:rPr>
        <w:t xml:space="preserve"> علم </w:t>
      </w:r>
      <w:r w:rsidRPr="00F62BCF">
        <w:rPr>
          <w:rFonts w:ascii="Arial" w:hAnsi="Arial"/>
          <w:sz w:val="27"/>
          <w:rtl/>
        </w:rPr>
        <w:lastRenderedPageBreak/>
        <w:t>النفس</w:t>
      </w:r>
      <w:r w:rsidR="00C97A37" w:rsidRPr="00F62BCF">
        <w:rPr>
          <w:rFonts w:ascii="Arial" w:hAnsi="Arial" w:hint="cs"/>
          <w:sz w:val="27"/>
          <w:rtl/>
        </w:rPr>
        <w:t>،</w:t>
      </w:r>
      <w:r w:rsidRPr="00F62BCF">
        <w:rPr>
          <w:rFonts w:ascii="Arial" w:hAnsi="Arial"/>
          <w:sz w:val="27"/>
          <w:rtl/>
        </w:rPr>
        <w:t xml:space="preserve"> الذي يهتم</w:t>
      </w:r>
      <w:r w:rsidR="004B77DA" w:rsidRPr="00F62BCF">
        <w:rPr>
          <w:rFonts w:ascii="Arial" w:hAnsi="Arial" w:hint="cs"/>
          <w:sz w:val="27"/>
          <w:rtl/>
        </w:rPr>
        <w:t>ّ</w:t>
      </w:r>
      <w:r w:rsidRPr="00F62BCF">
        <w:rPr>
          <w:rFonts w:ascii="Arial" w:hAnsi="Arial"/>
          <w:sz w:val="27"/>
          <w:rtl/>
        </w:rPr>
        <w:t xml:space="preserve"> بدراسة السلوك</w:t>
      </w:r>
      <w:r w:rsidRPr="00F62BCF">
        <w:rPr>
          <w:rFonts w:ascii="Arial" w:hAnsi="Arial" w:hint="cs"/>
          <w:sz w:val="27"/>
          <w:rtl/>
        </w:rPr>
        <w:t xml:space="preserve"> </w:t>
      </w:r>
      <w:r w:rsidRPr="00F62BCF">
        <w:rPr>
          <w:rFonts w:ascii="Arial" w:hAnsi="Arial"/>
          <w:sz w:val="27"/>
          <w:rtl/>
        </w:rPr>
        <w:t>والأنشطة العقلية والوجدانية للنفس البشرية</w:t>
      </w:r>
      <w:r w:rsidR="00C97A37" w:rsidRPr="00F62BCF">
        <w:rPr>
          <w:rFonts w:ascii="Arial" w:hAnsi="Arial" w:hint="cs"/>
          <w:sz w:val="27"/>
          <w:rtl/>
        </w:rPr>
        <w:t>؛</w:t>
      </w:r>
      <w:r w:rsidRPr="00F62BCF">
        <w:rPr>
          <w:rFonts w:ascii="Arial" w:hAnsi="Arial"/>
          <w:sz w:val="27"/>
          <w:rtl/>
        </w:rPr>
        <w:t xml:space="preserve"> لفهمها وتفسيرها،</w:t>
      </w:r>
      <w:r w:rsidRPr="00F62BCF">
        <w:rPr>
          <w:rFonts w:ascii="Arial" w:hAnsi="Arial" w:hint="cs"/>
          <w:sz w:val="27"/>
          <w:rtl/>
        </w:rPr>
        <w:t xml:space="preserve"> </w:t>
      </w:r>
      <w:r w:rsidRPr="00F62BCF">
        <w:rPr>
          <w:rFonts w:ascii="Arial" w:hAnsi="Arial"/>
          <w:sz w:val="27"/>
          <w:rtl/>
        </w:rPr>
        <w:t>والبحث عن علاجات</w:t>
      </w:r>
      <w:r w:rsidR="00C97A37" w:rsidRPr="00F62BCF">
        <w:rPr>
          <w:rFonts w:ascii="Arial" w:hAnsi="Arial" w:hint="cs"/>
          <w:sz w:val="27"/>
          <w:rtl/>
        </w:rPr>
        <w:t>ٍ</w:t>
      </w:r>
      <w:r w:rsidRPr="00F62BCF">
        <w:rPr>
          <w:rFonts w:ascii="Arial" w:hAnsi="Arial" w:hint="cs"/>
          <w:sz w:val="27"/>
          <w:rtl/>
        </w:rPr>
        <w:t xml:space="preserve"> لأمراضها، واقتراح </w:t>
      </w:r>
      <w:r w:rsidRPr="00F62BCF">
        <w:rPr>
          <w:rFonts w:ascii="Arial" w:hAnsi="Arial"/>
          <w:sz w:val="27"/>
          <w:rtl/>
        </w:rPr>
        <w:t>تقويمات لمشاكلها</w:t>
      </w:r>
      <w:r w:rsidR="00C97A37" w:rsidRPr="00F62BCF">
        <w:rPr>
          <w:rFonts w:ascii="Arial" w:hAnsi="Arial" w:hint="cs"/>
          <w:sz w:val="27"/>
          <w:rtl/>
        </w:rPr>
        <w:t xml:space="preserve">، </w:t>
      </w:r>
      <w:r w:rsidRPr="00F62BCF">
        <w:rPr>
          <w:rFonts w:ascii="Arial" w:hAnsi="Arial" w:hint="cs"/>
          <w:sz w:val="27"/>
          <w:rtl/>
        </w:rPr>
        <w:t>ما يدل</w:t>
      </w:r>
      <w:r w:rsidR="00C97A37" w:rsidRPr="00F62BCF">
        <w:rPr>
          <w:rFonts w:ascii="Arial" w:hAnsi="Arial" w:hint="cs"/>
          <w:sz w:val="27"/>
          <w:rtl/>
        </w:rPr>
        <w:t>ّ</w:t>
      </w:r>
      <w:r w:rsidRPr="00F62BCF">
        <w:rPr>
          <w:rFonts w:ascii="Arial" w:hAnsi="Arial" w:hint="cs"/>
          <w:sz w:val="27"/>
          <w:rtl/>
        </w:rPr>
        <w:t xml:space="preserve"> </w:t>
      </w:r>
      <w:r w:rsidR="00C97A37" w:rsidRPr="00F62BCF">
        <w:rPr>
          <w:rFonts w:ascii="Arial" w:hAnsi="Arial" w:hint="cs"/>
          <w:sz w:val="27"/>
          <w:rtl/>
        </w:rPr>
        <w:t xml:space="preserve">على </w:t>
      </w:r>
      <w:r w:rsidRPr="00F62BCF">
        <w:rPr>
          <w:rFonts w:ascii="Arial" w:hAnsi="Arial" w:hint="cs"/>
          <w:sz w:val="27"/>
          <w:rtl/>
        </w:rPr>
        <w:t>أن علم النفس بشكل</w:t>
      </w:r>
      <w:r w:rsidR="00C97A37" w:rsidRPr="00F62BCF">
        <w:rPr>
          <w:rFonts w:ascii="Arial" w:hAnsi="Arial" w:hint="cs"/>
          <w:sz w:val="27"/>
          <w:rtl/>
        </w:rPr>
        <w:t>ٍ</w:t>
      </w:r>
      <w:r w:rsidR="004B77DA" w:rsidRPr="00F62BCF">
        <w:rPr>
          <w:rFonts w:ascii="Arial" w:hAnsi="Arial" w:hint="cs"/>
          <w:sz w:val="27"/>
          <w:rtl/>
        </w:rPr>
        <w:t>ٍ</w:t>
      </w:r>
      <w:r w:rsidRPr="00F62BCF">
        <w:rPr>
          <w:rFonts w:ascii="Arial" w:hAnsi="Arial" w:hint="cs"/>
          <w:sz w:val="27"/>
          <w:rtl/>
        </w:rPr>
        <w:t xml:space="preserve"> عام</w:t>
      </w:r>
      <w:r w:rsidR="00C97A37" w:rsidRPr="00F62BCF">
        <w:rPr>
          <w:rFonts w:ascii="Arial" w:hAnsi="Arial" w:hint="cs"/>
          <w:sz w:val="27"/>
          <w:rtl/>
        </w:rPr>
        <w:t>ّ</w:t>
      </w:r>
      <w:r w:rsidRPr="00F62BCF">
        <w:rPr>
          <w:rFonts w:ascii="Arial" w:hAnsi="Arial" w:hint="cs"/>
          <w:sz w:val="27"/>
          <w:rtl/>
        </w:rPr>
        <w:t xml:space="preserve"> يشتغل على المجال النفسي</w:t>
      </w:r>
      <w:r w:rsidR="00C97A37" w:rsidRPr="00F62BCF">
        <w:rPr>
          <w:rFonts w:ascii="Arial" w:hAnsi="Arial" w:hint="cs"/>
          <w:sz w:val="27"/>
          <w:rtl/>
        </w:rPr>
        <w:t>ّ</w:t>
      </w:r>
      <w:r w:rsidRPr="00F62BCF">
        <w:rPr>
          <w:rFonts w:ascii="Arial" w:hAnsi="Arial" w:hint="cs"/>
          <w:sz w:val="27"/>
          <w:rtl/>
        </w:rPr>
        <w:t xml:space="preserve"> والسلوكي</w:t>
      </w:r>
      <w:r w:rsidR="00C97A37" w:rsidRPr="00F62BCF">
        <w:rPr>
          <w:rFonts w:ascii="Arial" w:hAnsi="Arial" w:hint="cs"/>
          <w:sz w:val="27"/>
          <w:rtl/>
        </w:rPr>
        <w:t>ّ</w:t>
      </w:r>
      <w:r w:rsidRPr="00F62BCF">
        <w:rPr>
          <w:rFonts w:ascii="Arial" w:hAnsi="Arial" w:hint="cs"/>
          <w:sz w:val="27"/>
          <w:rtl/>
        </w:rPr>
        <w:t xml:space="preserve"> والشعوري، وعلى الكيفية التي بها يكتسب الإنسان المعارف</w:t>
      </w:r>
      <w:r w:rsidR="00C97A37" w:rsidRPr="00F62BCF">
        <w:rPr>
          <w:rFonts w:ascii="Arial" w:hAnsi="Arial" w:hint="cs"/>
          <w:sz w:val="27"/>
          <w:rtl/>
        </w:rPr>
        <w:t>،</w:t>
      </w:r>
      <w:r w:rsidRPr="00F62BCF">
        <w:rPr>
          <w:rFonts w:ascii="Arial" w:hAnsi="Arial" w:hint="cs"/>
          <w:sz w:val="27"/>
          <w:rtl/>
        </w:rPr>
        <w:t xml:space="preserve"> والطريقة التي بها يتلق</w:t>
      </w:r>
      <w:r w:rsidR="00C97A37" w:rsidRPr="00F62BCF">
        <w:rPr>
          <w:rFonts w:ascii="Arial" w:hAnsi="Arial" w:hint="cs"/>
          <w:sz w:val="27"/>
          <w:rtl/>
        </w:rPr>
        <w:t>ّ</w:t>
      </w:r>
      <w:r w:rsidRPr="00F62BCF">
        <w:rPr>
          <w:rFonts w:ascii="Arial" w:hAnsi="Arial" w:hint="cs"/>
          <w:sz w:val="27"/>
          <w:rtl/>
        </w:rPr>
        <w:t>ى التعل</w:t>
      </w:r>
      <w:r w:rsidR="00C97A37" w:rsidRPr="00F62BCF">
        <w:rPr>
          <w:rFonts w:ascii="Arial" w:hAnsi="Arial" w:hint="cs"/>
          <w:sz w:val="27"/>
          <w:rtl/>
        </w:rPr>
        <w:t>ي</w:t>
      </w:r>
      <w:r w:rsidRPr="00F62BCF">
        <w:rPr>
          <w:rFonts w:ascii="Arial" w:hAnsi="Arial" w:hint="cs"/>
          <w:sz w:val="27"/>
          <w:rtl/>
        </w:rPr>
        <w:t>مات</w:t>
      </w:r>
      <w:r w:rsidRPr="00F62BCF">
        <w:rPr>
          <w:rFonts w:ascii="Arial" w:hAnsi="Arial"/>
          <w:sz w:val="27"/>
          <w:rtl/>
        </w:rPr>
        <w:t xml:space="preserve">. </w:t>
      </w:r>
    </w:p>
    <w:p w:rsidR="0043677F" w:rsidRPr="00F62BCF" w:rsidRDefault="0043677F" w:rsidP="00F62BCF">
      <w:pPr>
        <w:tabs>
          <w:tab w:val="left" w:pos="2667"/>
          <w:tab w:val="right" w:pos="5329"/>
        </w:tabs>
        <w:spacing w:line="380" w:lineRule="exact"/>
        <w:rPr>
          <w:rFonts w:ascii="Arial" w:hAnsi="Arial"/>
          <w:sz w:val="27"/>
          <w:rtl/>
        </w:rPr>
      </w:pPr>
      <w:r w:rsidRPr="00F62BCF">
        <w:rPr>
          <w:rFonts w:ascii="Arial" w:hAnsi="Arial"/>
          <w:sz w:val="27"/>
          <w:rtl/>
        </w:rPr>
        <w:t>أما علم الاجتماع فهو</w:t>
      </w:r>
      <w:r w:rsidRPr="00F62BCF">
        <w:rPr>
          <w:rFonts w:ascii="Arial" w:hAnsi="Arial" w:hint="cs"/>
          <w:sz w:val="27"/>
          <w:rtl/>
        </w:rPr>
        <w:t xml:space="preserve"> يختص</w:t>
      </w:r>
      <w:r w:rsidR="00C97A37" w:rsidRPr="00F62BCF">
        <w:rPr>
          <w:rFonts w:ascii="Arial" w:hAnsi="Arial" w:hint="cs"/>
          <w:sz w:val="27"/>
          <w:rtl/>
        </w:rPr>
        <w:t>ّ</w:t>
      </w:r>
      <w:r w:rsidRPr="00F62BCF">
        <w:rPr>
          <w:rFonts w:ascii="Arial" w:hAnsi="Arial" w:hint="cs"/>
          <w:sz w:val="27"/>
          <w:rtl/>
        </w:rPr>
        <w:t xml:space="preserve"> ب</w:t>
      </w:r>
      <w:r w:rsidRPr="00F62BCF">
        <w:rPr>
          <w:rFonts w:ascii="Arial" w:hAnsi="Arial"/>
          <w:sz w:val="27"/>
          <w:rtl/>
        </w:rPr>
        <w:t>دراسة</w:t>
      </w:r>
      <w:r w:rsidRPr="00F62BCF">
        <w:rPr>
          <w:rFonts w:ascii="Arial" w:hAnsi="Arial" w:hint="cs"/>
          <w:sz w:val="27"/>
          <w:rtl/>
        </w:rPr>
        <w:t xml:space="preserve"> المجال الاجتماعي ل</w:t>
      </w:r>
      <w:r w:rsidRPr="00F62BCF">
        <w:rPr>
          <w:rFonts w:ascii="Arial" w:hAnsi="Arial"/>
          <w:sz w:val="27"/>
          <w:rtl/>
        </w:rPr>
        <w:t>لإنسان</w:t>
      </w:r>
      <w:r w:rsidRPr="00F62BCF">
        <w:rPr>
          <w:rFonts w:ascii="Arial" w:hAnsi="Arial" w:hint="cs"/>
          <w:sz w:val="27"/>
          <w:rtl/>
        </w:rPr>
        <w:t xml:space="preserve"> </w:t>
      </w:r>
      <w:r w:rsidRPr="00F62BCF">
        <w:rPr>
          <w:rFonts w:ascii="Arial" w:hAnsi="Arial"/>
          <w:sz w:val="27"/>
          <w:rtl/>
        </w:rPr>
        <w:t>وسلوك</w:t>
      </w:r>
      <w:r w:rsidRPr="00F62BCF">
        <w:rPr>
          <w:rFonts w:ascii="Arial" w:hAnsi="Arial" w:hint="cs"/>
          <w:sz w:val="27"/>
          <w:rtl/>
        </w:rPr>
        <w:t xml:space="preserve">ه </w:t>
      </w:r>
      <w:r w:rsidRPr="00F62BCF">
        <w:rPr>
          <w:rFonts w:ascii="Arial" w:hAnsi="Arial"/>
          <w:sz w:val="27"/>
          <w:rtl/>
        </w:rPr>
        <w:t>في المجتمع</w:t>
      </w:r>
      <w:r w:rsidRPr="00F62BCF">
        <w:rPr>
          <w:rFonts w:ascii="Arial" w:hAnsi="Arial" w:hint="cs"/>
          <w:sz w:val="27"/>
          <w:rtl/>
        </w:rPr>
        <w:t xml:space="preserve"> الذي يتواجد ويعيش فيه، إضافة</w:t>
      </w:r>
      <w:r w:rsidR="00C97A37" w:rsidRPr="00F62BCF">
        <w:rPr>
          <w:rFonts w:ascii="Arial" w:hAnsi="Arial" w:hint="cs"/>
          <w:sz w:val="27"/>
          <w:rtl/>
        </w:rPr>
        <w:t>ً</w:t>
      </w:r>
      <w:r w:rsidRPr="00F62BCF">
        <w:rPr>
          <w:rFonts w:ascii="Arial" w:hAnsi="Arial" w:hint="cs"/>
          <w:sz w:val="27"/>
          <w:rtl/>
        </w:rPr>
        <w:t xml:space="preserve"> إلى تفاعله مع محيطه</w:t>
      </w:r>
      <w:r w:rsidR="00C97A37" w:rsidRPr="00F62BCF">
        <w:rPr>
          <w:rFonts w:ascii="Arial" w:hAnsi="Arial" w:hint="cs"/>
          <w:sz w:val="27"/>
          <w:rtl/>
        </w:rPr>
        <w:t>.</w:t>
      </w:r>
      <w:r w:rsidRPr="00F62BCF">
        <w:rPr>
          <w:rFonts w:ascii="Arial" w:hAnsi="Arial"/>
          <w:sz w:val="27"/>
          <w:rtl/>
        </w:rPr>
        <w:t xml:space="preserve"> فهو</w:t>
      </w:r>
      <w:r w:rsidRPr="00F62BCF">
        <w:rPr>
          <w:rFonts w:ascii="Arial" w:hAnsi="Arial" w:hint="cs"/>
          <w:sz w:val="27"/>
          <w:rtl/>
        </w:rPr>
        <w:t xml:space="preserve"> بهذا الوصف ي</w:t>
      </w:r>
      <w:r w:rsidR="00C97A37" w:rsidRPr="00F62BCF">
        <w:rPr>
          <w:rFonts w:ascii="Arial" w:hAnsi="Arial" w:hint="cs"/>
          <w:sz w:val="27"/>
          <w:rtl/>
        </w:rPr>
        <w:t>ُ</w:t>
      </w:r>
      <w:r w:rsidRPr="00F62BCF">
        <w:rPr>
          <w:rFonts w:ascii="Arial" w:hAnsi="Arial" w:hint="cs"/>
          <w:sz w:val="27"/>
          <w:rtl/>
        </w:rPr>
        <w:t>ع</w:t>
      </w:r>
      <w:r w:rsidR="00C97A37" w:rsidRPr="00F62BCF">
        <w:rPr>
          <w:rFonts w:ascii="Arial" w:hAnsi="Arial" w:hint="cs"/>
          <w:sz w:val="27"/>
          <w:rtl/>
        </w:rPr>
        <w:t>َ</w:t>
      </w:r>
      <w:r w:rsidRPr="00F62BCF">
        <w:rPr>
          <w:rFonts w:ascii="Arial" w:hAnsi="Arial" w:hint="cs"/>
          <w:sz w:val="27"/>
          <w:rtl/>
        </w:rPr>
        <w:t>د</w:t>
      </w:r>
      <w:r w:rsidR="00C97A37" w:rsidRPr="00F62BCF">
        <w:rPr>
          <w:rFonts w:ascii="Arial" w:hAnsi="Arial" w:hint="cs"/>
          <w:sz w:val="27"/>
          <w:rtl/>
        </w:rPr>
        <w:t>ّ</w:t>
      </w:r>
      <w:r w:rsidRPr="00F62BCF">
        <w:rPr>
          <w:rFonts w:ascii="Arial" w:hAnsi="Arial"/>
          <w:sz w:val="27"/>
          <w:rtl/>
        </w:rPr>
        <w:t xml:space="preserve"> العلم الذي يهتم</w:t>
      </w:r>
      <w:r w:rsidR="00C97A37" w:rsidRPr="00F62BCF">
        <w:rPr>
          <w:rFonts w:ascii="Arial" w:hAnsi="Arial" w:hint="cs"/>
          <w:sz w:val="27"/>
          <w:rtl/>
        </w:rPr>
        <w:t>ّ</w:t>
      </w:r>
      <w:r w:rsidRPr="00F62BCF">
        <w:rPr>
          <w:rFonts w:ascii="Arial" w:hAnsi="Arial" w:hint="cs"/>
          <w:sz w:val="27"/>
          <w:rtl/>
        </w:rPr>
        <w:t xml:space="preserve"> </w:t>
      </w:r>
      <w:r w:rsidRPr="00F62BCF">
        <w:rPr>
          <w:rFonts w:ascii="Arial" w:hAnsi="Arial"/>
          <w:sz w:val="27"/>
          <w:rtl/>
        </w:rPr>
        <w:t xml:space="preserve">بدراسة </w:t>
      </w:r>
      <w:r w:rsidRPr="00F62BCF">
        <w:rPr>
          <w:rFonts w:ascii="Arial" w:hAnsi="Arial" w:hint="cs"/>
          <w:sz w:val="27"/>
          <w:rtl/>
        </w:rPr>
        <w:t>ا</w:t>
      </w:r>
      <w:r w:rsidRPr="00F62BCF">
        <w:rPr>
          <w:rFonts w:ascii="Arial" w:hAnsi="Arial"/>
          <w:sz w:val="27"/>
          <w:rtl/>
        </w:rPr>
        <w:t>لعلاقات الرابطة</w:t>
      </w:r>
      <w:r w:rsidRPr="00F62BCF">
        <w:rPr>
          <w:rFonts w:ascii="Arial" w:hAnsi="Arial" w:hint="cs"/>
          <w:sz w:val="27"/>
          <w:rtl/>
        </w:rPr>
        <w:t xml:space="preserve"> والمتبادلة </w:t>
      </w:r>
      <w:r w:rsidRPr="00F62BCF">
        <w:rPr>
          <w:rFonts w:ascii="Arial" w:hAnsi="Arial"/>
          <w:sz w:val="27"/>
          <w:rtl/>
        </w:rPr>
        <w:t>بين الأفراد</w:t>
      </w:r>
      <w:r w:rsidRPr="00F62BCF">
        <w:rPr>
          <w:rFonts w:ascii="Arial" w:hAnsi="Arial" w:hint="cs"/>
          <w:sz w:val="27"/>
          <w:rtl/>
        </w:rPr>
        <w:t xml:space="preserve"> والجماعات، </w:t>
      </w:r>
      <w:r w:rsidRPr="00F62BCF">
        <w:rPr>
          <w:rFonts w:ascii="Arial" w:hAnsi="Arial"/>
          <w:sz w:val="27"/>
          <w:rtl/>
        </w:rPr>
        <w:t xml:space="preserve">وعلاقتهم وتواصلهم </w:t>
      </w:r>
      <w:r w:rsidR="00C97A37" w:rsidRPr="00F62BCF">
        <w:rPr>
          <w:rFonts w:ascii="Arial" w:hAnsi="Arial" w:hint="cs"/>
          <w:sz w:val="27"/>
          <w:rtl/>
        </w:rPr>
        <w:t>مع بعضهم</w:t>
      </w:r>
      <w:r w:rsidRPr="00F62BCF">
        <w:rPr>
          <w:rFonts w:ascii="Arial" w:hAnsi="Arial"/>
          <w:sz w:val="27"/>
          <w:rtl/>
        </w:rPr>
        <w:t>، و</w:t>
      </w:r>
      <w:r w:rsidRPr="00F62BCF">
        <w:rPr>
          <w:rFonts w:ascii="Arial" w:hAnsi="Arial" w:hint="cs"/>
          <w:sz w:val="27"/>
          <w:rtl/>
        </w:rPr>
        <w:t>تفاعلهم المباشر والمستمر</w:t>
      </w:r>
      <w:r w:rsidR="00C97A37" w:rsidRPr="00F62BCF">
        <w:rPr>
          <w:rFonts w:ascii="Arial" w:hAnsi="Arial" w:hint="cs"/>
          <w:sz w:val="27"/>
          <w:rtl/>
        </w:rPr>
        <w:t>ّ</w:t>
      </w:r>
      <w:r w:rsidRPr="00F62BCF">
        <w:rPr>
          <w:rFonts w:ascii="Arial" w:hAnsi="Arial"/>
          <w:sz w:val="27"/>
          <w:rtl/>
        </w:rPr>
        <w:t xml:space="preserve"> </w:t>
      </w:r>
      <w:r w:rsidRPr="00F62BCF">
        <w:rPr>
          <w:rFonts w:ascii="Arial" w:hAnsi="Arial" w:hint="cs"/>
          <w:sz w:val="27"/>
          <w:rtl/>
        </w:rPr>
        <w:t xml:space="preserve">مع </w:t>
      </w:r>
      <w:r w:rsidRPr="00F62BCF">
        <w:rPr>
          <w:rFonts w:ascii="Arial" w:hAnsi="Arial"/>
          <w:sz w:val="27"/>
          <w:rtl/>
        </w:rPr>
        <w:t>المؤس</w:t>
      </w:r>
      <w:r w:rsidR="00C97A37" w:rsidRPr="00F62BCF">
        <w:rPr>
          <w:rFonts w:ascii="Arial" w:hAnsi="Arial" w:hint="cs"/>
          <w:sz w:val="27"/>
          <w:rtl/>
        </w:rPr>
        <w:t>َّ</w:t>
      </w:r>
      <w:r w:rsidRPr="00F62BCF">
        <w:rPr>
          <w:rFonts w:ascii="Arial" w:hAnsi="Arial"/>
          <w:sz w:val="27"/>
          <w:rtl/>
        </w:rPr>
        <w:t xml:space="preserve">سات التي </w:t>
      </w:r>
      <w:r w:rsidRPr="00F62BCF">
        <w:rPr>
          <w:rFonts w:ascii="Arial" w:hAnsi="Arial" w:hint="cs"/>
          <w:sz w:val="27"/>
          <w:rtl/>
        </w:rPr>
        <w:t xml:space="preserve">يتواجدون فيها، </w:t>
      </w:r>
      <w:r w:rsidRPr="00F62BCF">
        <w:rPr>
          <w:rFonts w:ascii="Arial" w:hAnsi="Arial"/>
          <w:sz w:val="27"/>
          <w:rtl/>
        </w:rPr>
        <w:t>و</w:t>
      </w:r>
      <w:r w:rsidRPr="00F62BCF">
        <w:rPr>
          <w:rFonts w:ascii="Arial" w:hAnsi="Arial" w:hint="cs"/>
          <w:sz w:val="27"/>
          <w:rtl/>
        </w:rPr>
        <w:t xml:space="preserve">السعي نحو </w:t>
      </w:r>
      <w:r w:rsidRPr="00F62BCF">
        <w:rPr>
          <w:rFonts w:ascii="Arial" w:hAnsi="Arial"/>
          <w:sz w:val="27"/>
          <w:rtl/>
        </w:rPr>
        <w:t>تفسير</w:t>
      </w:r>
      <w:r w:rsidR="00C97A37" w:rsidRPr="00F62BCF">
        <w:rPr>
          <w:rFonts w:ascii="Arial" w:hAnsi="Arial" w:hint="cs"/>
          <w:sz w:val="27"/>
          <w:rtl/>
        </w:rPr>
        <w:t xml:space="preserve"> و</w:t>
      </w:r>
      <w:r w:rsidRPr="00F62BCF">
        <w:rPr>
          <w:rFonts w:ascii="Arial" w:hAnsi="Arial" w:hint="cs"/>
          <w:sz w:val="27"/>
          <w:rtl/>
        </w:rPr>
        <w:t>فهم</w:t>
      </w:r>
      <w:r w:rsidRPr="00F62BCF">
        <w:rPr>
          <w:rFonts w:ascii="Arial" w:hAnsi="Arial"/>
          <w:sz w:val="27"/>
          <w:rtl/>
        </w:rPr>
        <w:t xml:space="preserve"> </w:t>
      </w:r>
      <w:r w:rsidRPr="00F62BCF">
        <w:rPr>
          <w:rFonts w:ascii="Arial" w:hAnsi="Arial" w:hint="cs"/>
          <w:sz w:val="27"/>
          <w:rtl/>
        </w:rPr>
        <w:t xml:space="preserve">تلك التفاعلات </w:t>
      </w:r>
      <w:r w:rsidRPr="00F62BCF">
        <w:rPr>
          <w:rFonts w:ascii="Arial" w:hAnsi="Arial"/>
          <w:sz w:val="27"/>
          <w:rtl/>
        </w:rPr>
        <w:t>علمي</w:t>
      </w:r>
      <w:r w:rsidR="00C97A37" w:rsidRPr="00F62BCF">
        <w:rPr>
          <w:rFonts w:ascii="Arial" w:hAnsi="Arial" w:hint="cs"/>
          <w:sz w:val="27"/>
          <w:rtl/>
        </w:rPr>
        <w:t>ّ</w:t>
      </w:r>
      <w:r w:rsidRPr="00F62BCF">
        <w:rPr>
          <w:rFonts w:ascii="Arial" w:hAnsi="Arial"/>
          <w:sz w:val="27"/>
          <w:rtl/>
        </w:rPr>
        <w:t xml:space="preserve">اً </w:t>
      </w:r>
      <w:r w:rsidRPr="00F62BCF">
        <w:rPr>
          <w:rFonts w:ascii="Arial" w:hAnsi="Arial" w:hint="cs"/>
          <w:sz w:val="27"/>
          <w:rtl/>
        </w:rPr>
        <w:t>وإجرائي</w:t>
      </w:r>
      <w:r w:rsidR="00C97A37" w:rsidRPr="00F62BCF">
        <w:rPr>
          <w:rFonts w:ascii="Arial" w:hAnsi="Arial" w:hint="cs"/>
          <w:sz w:val="27"/>
          <w:rtl/>
        </w:rPr>
        <w:t>ّ</w:t>
      </w:r>
      <w:r w:rsidRPr="00F62BCF">
        <w:rPr>
          <w:rFonts w:ascii="Arial" w:hAnsi="Arial" w:hint="cs"/>
          <w:sz w:val="27"/>
          <w:rtl/>
        </w:rPr>
        <w:t>ا</w:t>
      </w:r>
      <w:r w:rsidR="00C97A37" w:rsidRPr="00F62BCF">
        <w:rPr>
          <w:rFonts w:ascii="Arial" w:hAnsi="Arial" w:hint="cs"/>
          <w:sz w:val="27"/>
          <w:rtl/>
        </w:rPr>
        <w:t>ً؛</w:t>
      </w:r>
      <w:r w:rsidRPr="00F62BCF">
        <w:rPr>
          <w:rFonts w:ascii="Arial" w:hAnsi="Arial" w:hint="cs"/>
          <w:sz w:val="27"/>
          <w:rtl/>
        </w:rPr>
        <w:t xml:space="preserve"> من </w:t>
      </w:r>
      <w:r w:rsidR="00C97A37" w:rsidRPr="00F62BCF">
        <w:rPr>
          <w:rFonts w:ascii="Arial" w:hAnsi="Arial" w:hint="cs"/>
          <w:sz w:val="27"/>
          <w:rtl/>
        </w:rPr>
        <w:t>أ</w:t>
      </w:r>
      <w:r w:rsidRPr="00F62BCF">
        <w:rPr>
          <w:rFonts w:ascii="Arial" w:hAnsi="Arial" w:hint="cs"/>
          <w:sz w:val="27"/>
          <w:rtl/>
        </w:rPr>
        <w:t>جل الارتقاء</w:t>
      </w:r>
      <w:r w:rsidRPr="00F62BCF">
        <w:rPr>
          <w:rFonts w:ascii="Arial" w:hAnsi="Arial"/>
          <w:sz w:val="27"/>
          <w:rtl/>
        </w:rPr>
        <w:t xml:space="preserve"> بها نحو </w:t>
      </w:r>
      <w:r w:rsidRPr="00F62BCF">
        <w:rPr>
          <w:rFonts w:ascii="Arial" w:hAnsi="Arial" w:hint="cs"/>
          <w:sz w:val="27"/>
          <w:rtl/>
        </w:rPr>
        <w:t>الأفضل</w:t>
      </w:r>
      <w:r w:rsidRPr="00F62BCF">
        <w:rPr>
          <w:rFonts w:ascii="Arial" w:hAnsi="Arial"/>
          <w:sz w:val="27"/>
          <w:vertAlign w:val="superscript"/>
          <w:rtl/>
        </w:rPr>
        <w:t>(</w:t>
      </w:r>
      <w:r w:rsidRPr="00F62BCF">
        <w:rPr>
          <w:rFonts w:ascii="Arial" w:hAnsi="Arial"/>
          <w:sz w:val="27"/>
          <w:vertAlign w:val="superscript"/>
          <w:rtl/>
        </w:rPr>
        <w:endnoteReference w:id="732"/>
      </w:r>
      <w:r w:rsidRPr="00F62BCF">
        <w:rPr>
          <w:rFonts w:ascii="Arial" w:hAnsi="Arial"/>
          <w:sz w:val="27"/>
          <w:vertAlign w:val="superscript"/>
          <w:rtl/>
        </w:rPr>
        <w:t>)</w:t>
      </w:r>
      <w:r w:rsidRPr="00F62BCF">
        <w:rPr>
          <w:rFonts w:ascii="Arial" w:hAnsi="Arial"/>
          <w:sz w:val="27"/>
          <w:rtl/>
        </w:rPr>
        <w:t xml:space="preserve">. </w:t>
      </w:r>
    </w:p>
    <w:p w:rsidR="0043677F" w:rsidRPr="0044519F" w:rsidRDefault="00C97A37" w:rsidP="00421692">
      <w:pPr>
        <w:tabs>
          <w:tab w:val="left" w:pos="2667"/>
          <w:tab w:val="right" w:pos="5329"/>
        </w:tabs>
        <w:spacing w:line="380" w:lineRule="exact"/>
        <w:rPr>
          <w:rFonts w:ascii="Arial" w:hAnsi="Arial"/>
          <w:sz w:val="27"/>
          <w:rtl/>
        </w:rPr>
      </w:pPr>
      <w:r w:rsidRPr="006571AC">
        <w:rPr>
          <w:rFonts w:ascii="Arial" w:hAnsi="Arial" w:hint="cs"/>
          <w:sz w:val="27"/>
          <w:rtl/>
        </w:rPr>
        <w:t xml:space="preserve">وتُعَدّ </w:t>
      </w:r>
      <w:r w:rsidR="0043677F" w:rsidRPr="006571AC">
        <w:rPr>
          <w:rFonts w:ascii="Arial" w:hAnsi="Arial" w:hint="cs"/>
          <w:sz w:val="27"/>
          <w:rtl/>
        </w:rPr>
        <w:t>الجهة الاجتماعية أهم</w:t>
      </w:r>
      <w:r w:rsidRPr="006571AC">
        <w:rPr>
          <w:rFonts w:ascii="Arial" w:hAnsi="Arial" w:hint="cs"/>
          <w:sz w:val="27"/>
          <w:rtl/>
        </w:rPr>
        <w:t>ّ</w:t>
      </w:r>
      <w:r w:rsidR="0043677F" w:rsidRPr="006571AC">
        <w:rPr>
          <w:rFonts w:ascii="Arial" w:hAnsi="Arial" w:hint="cs"/>
          <w:sz w:val="27"/>
          <w:rtl/>
        </w:rPr>
        <w:t xml:space="preserve"> جهة</w:t>
      </w:r>
      <w:r w:rsidRPr="006571AC">
        <w:rPr>
          <w:rFonts w:ascii="Arial" w:hAnsi="Arial" w:hint="cs"/>
          <w:sz w:val="27"/>
          <w:rtl/>
        </w:rPr>
        <w:t>ٍ</w:t>
      </w:r>
      <w:r w:rsidR="0043677F" w:rsidRPr="006571AC">
        <w:rPr>
          <w:rFonts w:ascii="Arial" w:hAnsi="Arial" w:hint="cs"/>
          <w:sz w:val="27"/>
          <w:rtl/>
        </w:rPr>
        <w:t xml:space="preserve"> من فروع العلوم الإنسانية</w:t>
      </w:r>
      <w:r w:rsidRPr="006571AC">
        <w:rPr>
          <w:rFonts w:ascii="Arial" w:hAnsi="Arial" w:hint="cs"/>
          <w:sz w:val="27"/>
          <w:rtl/>
        </w:rPr>
        <w:t>،</w:t>
      </w:r>
      <w:r w:rsidR="0043677F" w:rsidRPr="006571AC">
        <w:rPr>
          <w:rFonts w:ascii="Arial" w:hAnsi="Arial" w:hint="cs"/>
          <w:sz w:val="27"/>
          <w:rtl/>
        </w:rPr>
        <w:t xml:space="preserve"> وهي جهة</w:t>
      </w:r>
      <w:r w:rsidRPr="006571AC">
        <w:rPr>
          <w:rFonts w:ascii="Arial" w:hAnsi="Arial" w:hint="cs"/>
          <w:sz w:val="27"/>
          <w:rtl/>
        </w:rPr>
        <w:t>ٌ</w:t>
      </w:r>
      <w:r w:rsidR="0043677F" w:rsidRPr="006571AC">
        <w:rPr>
          <w:rFonts w:ascii="Arial" w:hAnsi="Arial" w:hint="cs"/>
          <w:sz w:val="27"/>
          <w:rtl/>
        </w:rPr>
        <w:t xml:space="preserve"> تت</w:t>
      </w:r>
      <w:r w:rsidRPr="006571AC">
        <w:rPr>
          <w:rFonts w:ascii="Arial" w:hAnsi="Arial" w:hint="cs"/>
          <w:sz w:val="27"/>
          <w:rtl/>
        </w:rPr>
        <w:t>َّ</w:t>
      </w:r>
      <w:r w:rsidR="0043677F" w:rsidRPr="006571AC">
        <w:rPr>
          <w:rFonts w:ascii="Arial" w:hAnsi="Arial" w:hint="cs"/>
          <w:sz w:val="27"/>
          <w:rtl/>
        </w:rPr>
        <w:t>جه إلى دراسة المجتمع و</w:t>
      </w:r>
      <w:r w:rsidR="0043677F" w:rsidRPr="0044519F">
        <w:rPr>
          <w:rFonts w:ascii="Arial" w:hAnsi="Arial"/>
          <w:sz w:val="27"/>
          <w:rtl/>
        </w:rPr>
        <w:t xml:space="preserve">رصد الظواهر والتغييرات الاجتماعية، </w:t>
      </w:r>
      <w:r w:rsidR="0043677F" w:rsidRPr="006571AC">
        <w:rPr>
          <w:rFonts w:ascii="Arial" w:hAnsi="Arial" w:hint="cs"/>
          <w:sz w:val="27"/>
          <w:rtl/>
        </w:rPr>
        <w:t>ومدى تأثيرها على الإنسان.</w:t>
      </w:r>
      <w:r w:rsidR="0043677F" w:rsidRPr="0044519F">
        <w:rPr>
          <w:rFonts w:ascii="Arial" w:hAnsi="Arial"/>
          <w:sz w:val="27"/>
          <w:rtl/>
        </w:rPr>
        <w:t xml:space="preserve"> </w:t>
      </w:r>
    </w:p>
    <w:p w:rsidR="0043677F" w:rsidRPr="006571AC" w:rsidRDefault="0043677F" w:rsidP="00421692">
      <w:pPr>
        <w:tabs>
          <w:tab w:val="left" w:pos="2667"/>
          <w:tab w:val="right" w:pos="5329"/>
        </w:tabs>
        <w:spacing w:line="380" w:lineRule="exact"/>
        <w:rPr>
          <w:rFonts w:ascii="Arial" w:hAnsi="Arial"/>
          <w:sz w:val="27"/>
          <w:rtl/>
        </w:rPr>
      </w:pPr>
      <w:r w:rsidRPr="006571AC">
        <w:rPr>
          <w:rFonts w:ascii="Arial" w:hAnsi="Arial" w:hint="cs"/>
          <w:sz w:val="27"/>
          <w:rtl/>
        </w:rPr>
        <w:t>ومن ال</w:t>
      </w:r>
      <w:r w:rsidRPr="006571AC">
        <w:rPr>
          <w:rFonts w:ascii="Arial" w:hAnsi="Arial"/>
          <w:sz w:val="27"/>
          <w:rtl/>
        </w:rPr>
        <w:t xml:space="preserve">عادة </w:t>
      </w:r>
      <w:r w:rsidR="006E7F25" w:rsidRPr="006571AC">
        <w:rPr>
          <w:rFonts w:ascii="Arial" w:hAnsi="Arial" w:hint="cs"/>
          <w:sz w:val="27"/>
          <w:rtl/>
        </w:rPr>
        <w:t>أ</w:t>
      </w:r>
      <w:r w:rsidRPr="006571AC">
        <w:rPr>
          <w:rFonts w:ascii="Arial" w:hAnsi="Arial" w:hint="cs"/>
          <w:sz w:val="27"/>
          <w:rtl/>
        </w:rPr>
        <w:t xml:space="preserve">ن </w:t>
      </w:r>
      <w:r w:rsidRPr="006571AC">
        <w:rPr>
          <w:rFonts w:ascii="Arial" w:hAnsi="Arial"/>
          <w:sz w:val="27"/>
          <w:rtl/>
        </w:rPr>
        <w:t>تعر</w:t>
      </w:r>
      <w:r w:rsidR="006E7F25" w:rsidRPr="006571AC">
        <w:rPr>
          <w:rFonts w:ascii="Arial" w:hAnsi="Arial" w:hint="cs"/>
          <w:sz w:val="27"/>
          <w:rtl/>
        </w:rPr>
        <w:t>َّ</w:t>
      </w:r>
      <w:r w:rsidRPr="006571AC">
        <w:rPr>
          <w:rFonts w:ascii="Arial" w:hAnsi="Arial"/>
          <w:sz w:val="27"/>
          <w:rtl/>
        </w:rPr>
        <w:t xml:space="preserve">ف </w:t>
      </w:r>
      <w:r w:rsidRPr="006571AC">
        <w:rPr>
          <w:rFonts w:ascii="Arial" w:hAnsi="Arial" w:hint="cs"/>
          <w:sz w:val="27"/>
          <w:rtl/>
        </w:rPr>
        <w:t>العلوم الاجتماعية وتحد</w:t>
      </w:r>
      <w:r w:rsidR="006E7F25" w:rsidRPr="006571AC">
        <w:rPr>
          <w:rFonts w:ascii="Arial" w:hAnsi="Arial" w:hint="cs"/>
          <w:sz w:val="27"/>
          <w:rtl/>
        </w:rPr>
        <w:t>َّ</w:t>
      </w:r>
      <w:r w:rsidRPr="006571AC">
        <w:rPr>
          <w:rFonts w:ascii="Arial" w:hAnsi="Arial" w:hint="cs"/>
          <w:sz w:val="27"/>
          <w:rtl/>
        </w:rPr>
        <w:t xml:space="preserve">د </w:t>
      </w:r>
      <w:r w:rsidRPr="006571AC">
        <w:rPr>
          <w:rFonts w:ascii="Arial" w:hAnsi="Arial"/>
          <w:sz w:val="27"/>
          <w:rtl/>
        </w:rPr>
        <w:t>بأنها</w:t>
      </w:r>
      <w:r w:rsidRPr="006571AC">
        <w:rPr>
          <w:rFonts w:ascii="Arial" w:hAnsi="Arial" w:hint="cs"/>
          <w:sz w:val="27"/>
          <w:rtl/>
        </w:rPr>
        <w:t xml:space="preserve"> مجموعة</w:t>
      </w:r>
      <w:r w:rsidR="006E7F25" w:rsidRPr="006571AC">
        <w:rPr>
          <w:rFonts w:ascii="Arial" w:hAnsi="Arial" w:hint="cs"/>
          <w:sz w:val="27"/>
          <w:rtl/>
        </w:rPr>
        <w:t>ٌ</w:t>
      </w:r>
      <w:r w:rsidRPr="006571AC">
        <w:rPr>
          <w:rFonts w:ascii="Arial" w:hAnsi="Arial" w:hint="cs"/>
          <w:sz w:val="27"/>
          <w:rtl/>
        </w:rPr>
        <w:t xml:space="preserve"> من </w:t>
      </w:r>
      <w:r w:rsidR="006E7F25" w:rsidRPr="0044519F">
        <w:rPr>
          <w:rFonts w:ascii="Arial" w:hAnsi="Arial" w:hint="eastAsia"/>
          <w:sz w:val="24"/>
          <w:szCs w:val="24"/>
          <w:rtl/>
        </w:rPr>
        <w:t>«</w:t>
      </w:r>
      <w:r w:rsidRPr="006571AC">
        <w:rPr>
          <w:rFonts w:ascii="Arial" w:hAnsi="Arial"/>
          <w:sz w:val="27"/>
          <w:rtl/>
        </w:rPr>
        <w:t>المعارف المتعل</w:t>
      </w:r>
      <w:r w:rsidR="006E7F25" w:rsidRPr="006571AC">
        <w:rPr>
          <w:rFonts w:ascii="Arial" w:hAnsi="Arial" w:hint="cs"/>
          <w:sz w:val="27"/>
          <w:rtl/>
        </w:rPr>
        <w:t>ِّ</w:t>
      </w:r>
      <w:r w:rsidRPr="006571AC">
        <w:rPr>
          <w:rFonts w:ascii="Arial" w:hAnsi="Arial"/>
          <w:sz w:val="27"/>
          <w:rtl/>
        </w:rPr>
        <w:t>قة بدراسة الفرد والمجتمع، وعلاقة الفرد بالمجتمع ومؤس</w:t>
      </w:r>
      <w:r w:rsidR="006E7F25" w:rsidRPr="006571AC">
        <w:rPr>
          <w:rFonts w:ascii="Arial" w:hAnsi="Arial" w:hint="cs"/>
          <w:sz w:val="27"/>
          <w:rtl/>
        </w:rPr>
        <w:t>َّ</w:t>
      </w:r>
      <w:r w:rsidRPr="006571AC">
        <w:rPr>
          <w:rFonts w:ascii="Arial" w:hAnsi="Arial"/>
          <w:sz w:val="27"/>
          <w:rtl/>
        </w:rPr>
        <w:t>سات</w:t>
      </w:r>
      <w:r w:rsidRPr="006571AC">
        <w:rPr>
          <w:rFonts w:ascii="Arial" w:hAnsi="Arial" w:hint="cs"/>
          <w:sz w:val="27"/>
          <w:rtl/>
        </w:rPr>
        <w:t>ه</w:t>
      </w:r>
      <w:r w:rsidR="006E7F25" w:rsidRPr="006571AC">
        <w:rPr>
          <w:rFonts w:ascii="Arial" w:hAnsi="Arial" w:hint="cs"/>
          <w:sz w:val="27"/>
          <w:rtl/>
        </w:rPr>
        <w:t>،</w:t>
      </w:r>
      <w:r w:rsidRPr="006571AC">
        <w:rPr>
          <w:rFonts w:ascii="Arial" w:hAnsi="Arial"/>
          <w:sz w:val="27"/>
          <w:rtl/>
        </w:rPr>
        <w:t xml:space="preserve"> وعلاقات الأفراد بعضهم مع بعض</w:t>
      </w:r>
      <w:r w:rsidR="006E7F25"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 xml:space="preserve">في تفاعلهم </w:t>
      </w:r>
      <w:r w:rsidR="006E7F25" w:rsidRPr="006571AC">
        <w:rPr>
          <w:rFonts w:ascii="Arial" w:hAnsi="Arial" w:hint="cs"/>
          <w:sz w:val="27"/>
          <w:rtl/>
        </w:rPr>
        <w:t>و</w:t>
      </w:r>
      <w:r w:rsidRPr="006571AC">
        <w:rPr>
          <w:rFonts w:ascii="Arial" w:hAnsi="Arial" w:hint="cs"/>
          <w:sz w:val="27"/>
          <w:rtl/>
        </w:rPr>
        <w:t>تواصلهم</w:t>
      </w:r>
      <w:r w:rsidR="006E7F25"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ومن أ</w:t>
      </w:r>
      <w:r w:rsidRPr="006571AC">
        <w:rPr>
          <w:rFonts w:ascii="Arial" w:hAnsi="Arial" w:hint="cs"/>
          <w:sz w:val="27"/>
          <w:rtl/>
        </w:rPr>
        <w:t>ه</w:t>
      </w:r>
      <w:r w:rsidRPr="006571AC">
        <w:rPr>
          <w:rFonts w:ascii="Arial" w:hAnsi="Arial"/>
          <w:sz w:val="27"/>
          <w:rtl/>
        </w:rPr>
        <w:t>م</w:t>
      </w:r>
      <w:r w:rsidR="004B77DA"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هذ</w:t>
      </w:r>
      <w:r w:rsidRPr="006571AC">
        <w:rPr>
          <w:rFonts w:ascii="Arial" w:hAnsi="Arial" w:hint="eastAsia"/>
          <w:sz w:val="27"/>
          <w:rtl/>
        </w:rPr>
        <w:t>ه</w:t>
      </w:r>
      <w:r w:rsidRPr="006571AC">
        <w:rPr>
          <w:rFonts w:ascii="Arial" w:hAnsi="Arial" w:hint="cs"/>
          <w:sz w:val="27"/>
          <w:rtl/>
        </w:rPr>
        <w:t xml:space="preserve"> </w:t>
      </w:r>
      <w:r w:rsidRPr="006571AC">
        <w:rPr>
          <w:rFonts w:ascii="Arial" w:hAnsi="Arial"/>
          <w:sz w:val="27"/>
          <w:rtl/>
        </w:rPr>
        <w:t>العلوم</w:t>
      </w:r>
      <w:r w:rsidR="006E7F25" w:rsidRPr="006571AC">
        <w:rPr>
          <w:rFonts w:ascii="Arial" w:hAnsi="Arial" w:hint="cs"/>
          <w:sz w:val="27"/>
          <w:rtl/>
        </w:rPr>
        <w:t>:</w:t>
      </w:r>
      <w:r w:rsidRPr="006571AC">
        <w:rPr>
          <w:rFonts w:ascii="Arial" w:hAnsi="Arial"/>
          <w:sz w:val="27"/>
          <w:rtl/>
        </w:rPr>
        <w:t xml:space="preserve"> علم الاجتماع</w:t>
      </w:r>
      <w:r w:rsidR="006E7F25" w:rsidRPr="006571AC">
        <w:rPr>
          <w:rFonts w:ascii="Arial" w:hAnsi="Arial" w:hint="cs"/>
          <w:sz w:val="27"/>
          <w:rtl/>
        </w:rPr>
        <w:t xml:space="preserve">؛ </w:t>
      </w:r>
      <w:r w:rsidRPr="006571AC">
        <w:rPr>
          <w:rFonts w:ascii="Arial" w:hAnsi="Arial"/>
          <w:sz w:val="27"/>
          <w:rtl/>
        </w:rPr>
        <w:t>وعلم النفس</w:t>
      </w:r>
      <w:r w:rsidR="006E7F25" w:rsidRPr="006571AC">
        <w:rPr>
          <w:rFonts w:ascii="Arial" w:hAnsi="Arial" w:hint="cs"/>
          <w:sz w:val="27"/>
          <w:rtl/>
        </w:rPr>
        <w:t>؛</w:t>
      </w:r>
      <w:r w:rsidRPr="006571AC">
        <w:rPr>
          <w:rFonts w:ascii="Arial" w:hAnsi="Arial"/>
          <w:sz w:val="27"/>
          <w:rtl/>
        </w:rPr>
        <w:t xml:space="preserve"> و</w:t>
      </w:r>
      <w:r w:rsidR="006E7F25" w:rsidRPr="006571AC">
        <w:rPr>
          <w:rFonts w:ascii="Arial" w:hAnsi="Arial" w:hint="cs"/>
          <w:sz w:val="27"/>
          <w:rtl/>
        </w:rPr>
        <w:t xml:space="preserve">علم </w:t>
      </w:r>
      <w:r w:rsidRPr="006571AC">
        <w:rPr>
          <w:rFonts w:ascii="Arial" w:hAnsi="Arial"/>
          <w:sz w:val="27"/>
          <w:rtl/>
        </w:rPr>
        <w:t>الاقتصاد</w:t>
      </w:r>
      <w:r w:rsidR="006E7F25" w:rsidRPr="006571AC">
        <w:rPr>
          <w:rFonts w:ascii="Arial" w:hAnsi="Arial" w:hint="cs"/>
          <w:sz w:val="27"/>
          <w:rtl/>
        </w:rPr>
        <w:t>؛</w:t>
      </w:r>
      <w:r w:rsidRPr="006571AC">
        <w:rPr>
          <w:rFonts w:ascii="Arial" w:hAnsi="Arial"/>
          <w:sz w:val="27"/>
          <w:rtl/>
        </w:rPr>
        <w:t xml:space="preserve"> و</w:t>
      </w:r>
      <w:r w:rsidRPr="006571AC">
        <w:rPr>
          <w:rFonts w:ascii="Arial" w:hAnsi="Arial" w:hint="cs"/>
          <w:sz w:val="27"/>
          <w:rtl/>
        </w:rPr>
        <w:t xml:space="preserve">علم </w:t>
      </w:r>
      <w:r w:rsidRPr="006571AC">
        <w:rPr>
          <w:rFonts w:ascii="Arial" w:hAnsi="Arial"/>
          <w:sz w:val="27"/>
          <w:rtl/>
        </w:rPr>
        <w:t>التار</w:t>
      </w:r>
      <w:r w:rsidRPr="0044519F">
        <w:rPr>
          <w:rFonts w:ascii="Arial" w:hAnsi="Arial" w:hint="cs"/>
          <w:sz w:val="27"/>
          <w:rtl/>
        </w:rPr>
        <w:t>ي</w:t>
      </w:r>
      <w:r w:rsidRPr="006571AC">
        <w:rPr>
          <w:rFonts w:ascii="Arial" w:hAnsi="Arial" w:hint="cs"/>
          <w:sz w:val="27"/>
          <w:rtl/>
        </w:rPr>
        <w:t>خ</w:t>
      </w:r>
      <w:r w:rsidR="006E7F25" w:rsidRPr="0044519F">
        <w:rPr>
          <w:rFonts w:ascii="Arial" w:hAnsi="Arial" w:hint="eastAsia"/>
          <w:sz w:val="24"/>
          <w:szCs w:val="24"/>
          <w:rtl/>
        </w:rPr>
        <w:t>»</w:t>
      </w:r>
      <w:r w:rsidR="006E7F25" w:rsidRPr="0044519F">
        <w:rPr>
          <w:rFonts w:ascii="Arial" w:hAnsi="Arial"/>
          <w:sz w:val="27"/>
          <w:vertAlign w:val="superscript"/>
          <w:rtl/>
        </w:rPr>
        <w:t>(</w:t>
      </w:r>
      <w:r w:rsidR="006E7F25" w:rsidRPr="0044519F">
        <w:rPr>
          <w:rFonts w:ascii="Arial" w:hAnsi="Arial"/>
          <w:sz w:val="27"/>
          <w:vertAlign w:val="superscript"/>
          <w:rtl/>
        </w:rPr>
        <w:endnoteReference w:id="733"/>
      </w:r>
      <w:r w:rsidR="006E7F25" w:rsidRPr="0044519F">
        <w:rPr>
          <w:rFonts w:ascii="Arial" w:hAnsi="Arial"/>
          <w:sz w:val="27"/>
          <w:vertAlign w:val="superscript"/>
          <w:rtl/>
        </w:rPr>
        <w:t>)</w:t>
      </w:r>
      <w:r w:rsidRPr="006571AC">
        <w:rPr>
          <w:rFonts w:ascii="Arial" w:hAnsi="Arial" w:hint="cs"/>
          <w:sz w:val="27"/>
          <w:rtl/>
        </w:rPr>
        <w:t>.</w:t>
      </w:r>
    </w:p>
    <w:p w:rsidR="0043677F" w:rsidRPr="0044519F" w:rsidRDefault="0043677F" w:rsidP="0044519F">
      <w:pPr>
        <w:tabs>
          <w:tab w:val="left" w:pos="2667"/>
          <w:tab w:val="right" w:pos="5329"/>
        </w:tabs>
        <w:spacing w:line="380" w:lineRule="exact"/>
        <w:rPr>
          <w:rFonts w:ascii="Arial" w:hAnsi="Arial"/>
          <w:sz w:val="27"/>
          <w:rtl/>
        </w:rPr>
      </w:pPr>
      <w:r w:rsidRPr="0044519F">
        <w:rPr>
          <w:rFonts w:ascii="Arial" w:hAnsi="Arial" w:hint="cs"/>
          <w:sz w:val="27"/>
          <w:rtl/>
        </w:rPr>
        <w:t>أما علم التاريخ فهو العلم</w:t>
      </w:r>
      <w:r w:rsidRPr="0044519F">
        <w:rPr>
          <w:rFonts w:ascii="Arial" w:hAnsi="Arial"/>
          <w:sz w:val="27"/>
          <w:rtl/>
        </w:rPr>
        <w:t> </w:t>
      </w:r>
      <w:r w:rsidRPr="0044519F">
        <w:rPr>
          <w:rFonts w:ascii="Arial" w:hAnsi="Arial" w:hint="cs"/>
          <w:sz w:val="27"/>
          <w:rtl/>
        </w:rPr>
        <w:t>الذي</w:t>
      </w:r>
      <w:r w:rsidRPr="0044519F">
        <w:rPr>
          <w:rFonts w:ascii="Arial" w:hAnsi="Arial"/>
          <w:sz w:val="27"/>
          <w:rtl/>
        </w:rPr>
        <w:t xml:space="preserve"> يتناول دراسات </w:t>
      </w:r>
      <w:r w:rsidRPr="0044519F">
        <w:rPr>
          <w:rFonts w:ascii="Arial" w:hAnsi="Arial" w:hint="cs"/>
          <w:sz w:val="27"/>
          <w:rtl/>
        </w:rPr>
        <w:t>الماضي الإنسان</w:t>
      </w:r>
      <w:r w:rsidRPr="0044519F">
        <w:rPr>
          <w:rFonts w:ascii="Arial" w:hAnsi="Arial" w:hint="eastAsia"/>
          <w:sz w:val="27"/>
          <w:rtl/>
        </w:rPr>
        <w:t>ي</w:t>
      </w:r>
      <w:r w:rsidRPr="0044519F">
        <w:rPr>
          <w:rFonts w:ascii="Arial" w:hAnsi="Arial" w:hint="cs"/>
          <w:sz w:val="27"/>
          <w:rtl/>
        </w:rPr>
        <w:t xml:space="preserve"> في</w:t>
      </w:r>
      <w:r w:rsidRPr="0044519F">
        <w:rPr>
          <w:rFonts w:ascii="Arial" w:hAnsi="Arial"/>
          <w:sz w:val="27"/>
          <w:rtl/>
        </w:rPr>
        <w:t xml:space="preserve"> كاف</w:t>
      </w:r>
      <w:r w:rsidR="006E7F25" w:rsidRPr="0044519F">
        <w:rPr>
          <w:rFonts w:ascii="Arial" w:hAnsi="Arial" w:hint="cs"/>
          <w:sz w:val="27"/>
          <w:rtl/>
        </w:rPr>
        <w:t>ّ</w:t>
      </w:r>
      <w:r w:rsidRPr="0044519F">
        <w:rPr>
          <w:rFonts w:ascii="Arial" w:hAnsi="Arial"/>
          <w:sz w:val="27"/>
          <w:rtl/>
        </w:rPr>
        <w:t>ة مجالاته</w:t>
      </w:r>
      <w:r w:rsidRPr="0044519F">
        <w:rPr>
          <w:rFonts w:ascii="Arial" w:hAnsi="Arial" w:hint="cs"/>
          <w:sz w:val="27"/>
          <w:rtl/>
        </w:rPr>
        <w:t xml:space="preserve">، </w:t>
      </w:r>
      <w:r w:rsidRPr="0044519F">
        <w:rPr>
          <w:rFonts w:ascii="Arial" w:hAnsi="Arial"/>
          <w:sz w:val="27"/>
          <w:rtl/>
        </w:rPr>
        <w:t>و</w:t>
      </w:r>
      <w:r w:rsidRPr="0044519F">
        <w:rPr>
          <w:rFonts w:ascii="Arial" w:hAnsi="Arial" w:hint="cs"/>
          <w:sz w:val="27"/>
          <w:rtl/>
        </w:rPr>
        <w:t xml:space="preserve">مدى </w:t>
      </w:r>
      <w:r w:rsidRPr="0044519F">
        <w:rPr>
          <w:rFonts w:ascii="Arial" w:hAnsi="Arial"/>
          <w:sz w:val="27"/>
          <w:rtl/>
        </w:rPr>
        <w:t xml:space="preserve">تأثير </w:t>
      </w:r>
      <w:r w:rsidRPr="0044519F">
        <w:rPr>
          <w:rFonts w:ascii="Arial" w:hAnsi="Arial" w:hint="cs"/>
          <w:sz w:val="27"/>
          <w:rtl/>
        </w:rPr>
        <w:t>ذلك الماضي</w:t>
      </w:r>
      <w:r w:rsidRPr="0044519F">
        <w:rPr>
          <w:rFonts w:ascii="Arial" w:hAnsi="Arial"/>
          <w:sz w:val="27"/>
        </w:rPr>
        <w:t xml:space="preserve"> </w:t>
      </w:r>
      <w:r w:rsidRPr="0044519F">
        <w:rPr>
          <w:rFonts w:ascii="Arial" w:hAnsi="Arial" w:hint="cs"/>
          <w:sz w:val="27"/>
          <w:rtl/>
        </w:rPr>
        <w:t>على حاضر الإنسا</w:t>
      </w:r>
      <w:r w:rsidRPr="0044519F">
        <w:rPr>
          <w:rFonts w:ascii="Arial" w:hAnsi="Arial" w:hint="eastAsia"/>
          <w:sz w:val="27"/>
          <w:rtl/>
        </w:rPr>
        <w:t>ن</w:t>
      </w:r>
      <w:r w:rsidRPr="0044519F">
        <w:rPr>
          <w:rFonts w:ascii="Arial" w:hAnsi="Arial" w:hint="cs"/>
          <w:sz w:val="27"/>
          <w:rtl/>
        </w:rPr>
        <w:t xml:space="preserve"> ومستقبله، </w:t>
      </w:r>
      <w:r w:rsidRPr="0044519F">
        <w:rPr>
          <w:rFonts w:ascii="Arial" w:hAnsi="Arial"/>
          <w:sz w:val="27"/>
          <w:rtl/>
        </w:rPr>
        <w:t>وكيفي</w:t>
      </w:r>
      <w:r w:rsidR="006E7F25" w:rsidRPr="0044519F">
        <w:rPr>
          <w:rFonts w:ascii="Arial" w:hAnsi="Arial" w:hint="cs"/>
          <w:sz w:val="27"/>
          <w:rtl/>
        </w:rPr>
        <w:t>ّ</w:t>
      </w:r>
      <w:r w:rsidRPr="0044519F">
        <w:rPr>
          <w:rFonts w:ascii="Arial" w:hAnsi="Arial"/>
          <w:sz w:val="27"/>
          <w:rtl/>
        </w:rPr>
        <w:t xml:space="preserve">ة </w:t>
      </w:r>
      <w:r w:rsidRPr="0044519F">
        <w:rPr>
          <w:rFonts w:ascii="Arial" w:hAnsi="Arial" w:hint="cs"/>
          <w:sz w:val="27"/>
          <w:rtl/>
        </w:rPr>
        <w:t>الاستفادة</w:t>
      </w:r>
      <w:r w:rsidRPr="0044519F">
        <w:rPr>
          <w:rFonts w:ascii="Arial" w:hAnsi="Arial"/>
          <w:sz w:val="27"/>
          <w:rtl/>
        </w:rPr>
        <w:t xml:space="preserve"> من دروس</w:t>
      </w:r>
      <w:r w:rsidRPr="0044519F">
        <w:rPr>
          <w:rFonts w:ascii="Arial" w:hAnsi="Arial" w:hint="cs"/>
          <w:sz w:val="27"/>
          <w:rtl/>
        </w:rPr>
        <w:t xml:space="preserve"> وأحداث هذا</w:t>
      </w:r>
      <w:r w:rsidRPr="0044519F">
        <w:rPr>
          <w:rFonts w:ascii="Arial" w:hAnsi="Arial"/>
          <w:sz w:val="27"/>
        </w:rPr>
        <w:t xml:space="preserve"> </w:t>
      </w:r>
      <w:r w:rsidRPr="0044519F">
        <w:rPr>
          <w:rFonts w:ascii="Arial" w:hAnsi="Arial" w:hint="cs"/>
          <w:sz w:val="27"/>
          <w:rtl/>
        </w:rPr>
        <w:t>الماضي</w:t>
      </w:r>
      <w:r w:rsidRPr="0044519F">
        <w:rPr>
          <w:rFonts w:ascii="Arial" w:hAnsi="Arial"/>
          <w:sz w:val="27"/>
          <w:rtl/>
        </w:rPr>
        <w:t xml:space="preserve"> </w:t>
      </w:r>
      <w:r w:rsidRPr="0044519F">
        <w:rPr>
          <w:rFonts w:ascii="Arial" w:hAnsi="Arial" w:hint="cs"/>
          <w:sz w:val="27"/>
          <w:rtl/>
        </w:rPr>
        <w:t>في</w:t>
      </w:r>
      <w:r w:rsidRPr="0044519F">
        <w:rPr>
          <w:rFonts w:ascii="Arial" w:hAnsi="Arial"/>
          <w:sz w:val="27"/>
        </w:rPr>
        <w:t xml:space="preserve"> </w:t>
      </w:r>
      <w:r w:rsidRPr="0044519F">
        <w:rPr>
          <w:rFonts w:ascii="Arial" w:hAnsi="Arial" w:hint="cs"/>
          <w:sz w:val="27"/>
          <w:rtl/>
        </w:rPr>
        <w:t xml:space="preserve">بناء </w:t>
      </w:r>
      <w:r w:rsidRPr="0044519F">
        <w:rPr>
          <w:rFonts w:ascii="Arial" w:hAnsi="Arial"/>
          <w:sz w:val="27"/>
          <w:rtl/>
        </w:rPr>
        <w:t>الحاضر و</w:t>
      </w:r>
      <w:r w:rsidRPr="0044519F">
        <w:rPr>
          <w:rFonts w:ascii="Arial" w:hAnsi="Arial" w:hint="cs"/>
          <w:sz w:val="27"/>
          <w:rtl/>
        </w:rPr>
        <w:t>ال</w:t>
      </w:r>
      <w:r w:rsidRPr="0044519F">
        <w:rPr>
          <w:rFonts w:ascii="Arial" w:hAnsi="Arial"/>
          <w:sz w:val="27"/>
          <w:rtl/>
        </w:rPr>
        <w:t>مستقبل</w:t>
      </w:r>
      <w:r w:rsidRPr="0044519F">
        <w:rPr>
          <w:rFonts w:ascii="Arial" w:hAnsi="Arial"/>
          <w:sz w:val="27"/>
          <w:vertAlign w:val="superscript"/>
          <w:rtl/>
        </w:rPr>
        <w:t>(</w:t>
      </w:r>
      <w:r w:rsidRPr="0044519F">
        <w:rPr>
          <w:rFonts w:ascii="Arial" w:hAnsi="Arial"/>
          <w:sz w:val="27"/>
          <w:vertAlign w:val="superscript"/>
          <w:rtl/>
        </w:rPr>
        <w:endnoteReference w:id="734"/>
      </w:r>
      <w:r w:rsidRPr="0044519F">
        <w:rPr>
          <w:rFonts w:ascii="Arial" w:hAnsi="Arial"/>
          <w:sz w:val="27"/>
          <w:vertAlign w:val="superscript"/>
          <w:rtl/>
        </w:rPr>
        <w:t>)</w:t>
      </w:r>
      <w:r w:rsidRPr="0044519F">
        <w:rPr>
          <w:rFonts w:ascii="Arial" w:hAnsi="Arial"/>
          <w:sz w:val="27"/>
          <w:rtl/>
        </w:rPr>
        <w:t xml:space="preserve">. </w:t>
      </w:r>
    </w:p>
    <w:p w:rsidR="0043677F" w:rsidRPr="0044519F" w:rsidRDefault="0043677F" w:rsidP="0044519F">
      <w:pPr>
        <w:tabs>
          <w:tab w:val="left" w:pos="2667"/>
          <w:tab w:val="right" w:pos="5329"/>
        </w:tabs>
        <w:rPr>
          <w:rFonts w:ascii="Arial" w:hAnsi="Arial"/>
          <w:sz w:val="27"/>
          <w:rtl/>
        </w:rPr>
      </w:pPr>
      <w:r w:rsidRPr="0044519F">
        <w:rPr>
          <w:rFonts w:ascii="Arial" w:hAnsi="Arial" w:hint="cs"/>
          <w:sz w:val="27"/>
          <w:rtl/>
        </w:rPr>
        <w:t>وهذا مؤش</w:t>
      </w:r>
      <w:r w:rsidR="006E7F25" w:rsidRPr="0044519F">
        <w:rPr>
          <w:rFonts w:ascii="Arial" w:hAnsi="Arial" w:hint="cs"/>
          <w:sz w:val="27"/>
          <w:rtl/>
        </w:rPr>
        <w:t>ِّ</w:t>
      </w:r>
      <w:r w:rsidRPr="0044519F">
        <w:rPr>
          <w:rFonts w:ascii="Arial" w:hAnsi="Arial" w:hint="cs"/>
          <w:sz w:val="27"/>
          <w:rtl/>
        </w:rPr>
        <w:t>ر</w:t>
      </w:r>
      <w:r w:rsidR="006E7F25" w:rsidRPr="0044519F">
        <w:rPr>
          <w:rFonts w:ascii="Arial" w:hAnsi="Arial" w:hint="cs"/>
          <w:sz w:val="27"/>
          <w:rtl/>
        </w:rPr>
        <w:t>ٌ</w:t>
      </w:r>
      <w:r w:rsidRPr="0044519F">
        <w:rPr>
          <w:rFonts w:ascii="Arial" w:hAnsi="Arial" w:hint="cs"/>
          <w:sz w:val="27"/>
          <w:rtl/>
        </w:rPr>
        <w:t xml:space="preserve"> واضح وبي</w:t>
      </w:r>
      <w:r w:rsidR="006E7F25" w:rsidRPr="0044519F">
        <w:rPr>
          <w:rFonts w:ascii="Arial" w:hAnsi="Arial" w:hint="cs"/>
          <w:sz w:val="27"/>
          <w:rtl/>
        </w:rPr>
        <w:t>ِّ</w:t>
      </w:r>
      <w:r w:rsidRPr="0044519F">
        <w:rPr>
          <w:rFonts w:ascii="Arial" w:hAnsi="Arial" w:hint="cs"/>
          <w:sz w:val="27"/>
          <w:rtl/>
        </w:rPr>
        <w:t>ن</w:t>
      </w:r>
      <w:r w:rsidR="006E7F25" w:rsidRPr="0044519F">
        <w:rPr>
          <w:rFonts w:ascii="Arial" w:hAnsi="Arial" w:hint="cs"/>
          <w:sz w:val="27"/>
          <w:rtl/>
        </w:rPr>
        <w:t>ٌ</w:t>
      </w:r>
      <w:r w:rsidRPr="0044519F">
        <w:rPr>
          <w:rFonts w:ascii="Arial" w:hAnsi="Arial" w:hint="cs"/>
          <w:sz w:val="27"/>
          <w:rtl/>
        </w:rPr>
        <w:t xml:space="preserve"> </w:t>
      </w:r>
      <w:r w:rsidR="006E7F25" w:rsidRPr="0044519F">
        <w:rPr>
          <w:rFonts w:ascii="Arial" w:hAnsi="Arial" w:hint="cs"/>
          <w:sz w:val="27"/>
          <w:rtl/>
        </w:rPr>
        <w:t xml:space="preserve">على </w:t>
      </w:r>
      <w:r w:rsidRPr="0044519F">
        <w:rPr>
          <w:rFonts w:ascii="Arial" w:hAnsi="Arial" w:hint="cs"/>
          <w:sz w:val="27"/>
          <w:rtl/>
        </w:rPr>
        <w:t xml:space="preserve">أن </w:t>
      </w:r>
      <w:r w:rsidRPr="0044519F">
        <w:rPr>
          <w:rFonts w:ascii="Arial" w:hAnsi="Arial"/>
          <w:sz w:val="27"/>
          <w:rtl/>
        </w:rPr>
        <w:t xml:space="preserve">العلوم </w:t>
      </w:r>
      <w:r w:rsidRPr="0044519F">
        <w:rPr>
          <w:rFonts w:ascii="Arial" w:hAnsi="Arial" w:hint="cs"/>
          <w:sz w:val="27"/>
          <w:rtl/>
        </w:rPr>
        <w:t>الانسانية</w:t>
      </w:r>
      <w:r w:rsidRPr="0044519F">
        <w:rPr>
          <w:rFonts w:ascii="Arial" w:hAnsi="Arial"/>
          <w:sz w:val="27"/>
          <w:rtl/>
        </w:rPr>
        <w:t xml:space="preserve"> ذات</w:t>
      </w:r>
      <w:r w:rsidRPr="0044519F">
        <w:rPr>
          <w:rFonts w:ascii="Arial" w:hAnsi="Arial" w:hint="cs"/>
          <w:sz w:val="27"/>
          <w:rtl/>
        </w:rPr>
        <w:t xml:space="preserve"> </w:t>
      </w:r>
      <w:r w:rsidRPr="0044519F">
        <w:rPr>
          <w:rFonts w:ascii="Arial" w:hAnsi="Arial"/>
          <w:sz w:val="27"/>
          <w:rtl/>
        </w:rPr>
        <w:t>وحدة</w:t>
      </w:r>
      <w:r w:rsidR="006E7F25" w:rsidRPr="0044519F">
        <w:rPr>
          <w:rFonts w:ascii="Arial" w:hAnsi="Arial" w:hint="cs"/>
          <w:sz w:val="27"/>
          <w:rtl/>
        </w:rPr>
        <w:t>ٍ</w:t>
      </w:r>
      <w:r w:rsidRPr="0044519F">
        <w:rPr>
          <w:rFonts w:ascii="Arial" w:hAnsi="Arial"/>
          <w:sz w:val="27"/>
          <w:rtl/>
        </w:rPr>
        <w:t xml:space="preserve"> معرفي</w:t>
      </w:r>
      <w:r w:rsidR="006E7F25" w:rsidRPr="0044519F">
        <w:rPr>
          <w:rFonts w:ascii="Arial" w:hAnsi="Arial" w:hint="cs"/>
          <w:sz w:val="27"/>
          <w:rtl/>
        </w:rPr>
        <w:t>ّ</w:t>
      </w:r>
      <w:r w:rsidRPr="0044519F">
        <w:rPr>
          <w:rFonts w:ascii="Arial" w:hAnsi="Arial"/>
          <w:sz w:val="27"/>
          <w:rtl/>
        </w:rPr>
        <w:t>ة متكاملة</w:t>
      </w:r>
      <w:r w:rsidR="006E7F25" w:rsidRPr="0044519F">
        <w:rPr>
          <w:rFonts w:ascii="Arial" w:hAnsi="Arial" w:hint="cs"/>
          <w:sz w:val="27"/>
          <w:rtl/>
        </w:rPr>
        <w:t>،</w:t>
      </w:r>
      <w:r w:rsidRPr="0044519F">
        <w:rPr>
          <w:rFonts w:ascii="Arial" w:hAnsi="Arial"/>
          <w:sz w:val="27"/>
          <w:rtl/>
        </w:rPr>
        <w:t xml:space="preserve"> و</w:t>
      </w:r>
      <w:r w:rsidRPr="0044519F">
        <w:rPr>
          <w:rFonts w:ascii="Arial" w:hAnsi="Arial" w:hint="cs"/>
          <w:sz w:val="27"/>
          <w:rtl/>
        </w:rPr>
        <w:t xml:space="preserve">مواضيع </w:t>
      </w:r>
      <w:r w:rsidRPr="0044519F">
        <w:rPr>
          <w:rFonts w:ascii="Arial" w:hAnsi="Arial"/>
          <w:sz w:val="27"/>
          <w:rtl/>
        </w:rPr>
        <w:t>منسجمة</w:t>
      </w:r>
      <w:r w:rsidRPr="0044519F">
        <w:rPr>
          <w:rFonts w:ascii="Arial" w:hAnsi="Arial" w:hint="cs"/>
          <w:sz w:val="27"/>
          <w:rtl/>
        </w:rPr>
        <w:t xml:space="preserve"> متوافقة،</w:t>
      </w:r>
      <w:r w:rsidRPr="0044519F">
        <w:rPr>
          <w:rFonts w:ascii="Arial" w:hAnsi="Arial"/>
          <w:sz w:val="27"/>
          <w:rtl/>
        </w:rPr>
        <w:t xml:space="preserve"> </w:t>
      </w:r>
      <w:r w:rsidRPr="0044519F">
        <w:rPr>
          <w:rFonts w:ascii="Arial" w:hAnsi="Arial" w:hint="cs"/>
          <w:sz w:val="27"/>
          <w:rtl/>
        </w:rPr>
        <w:t xml:space="preserve">وأقطاب </w:t>
      </w:r>
      <w:r w:rsidRPr="0044519F">
        <w:rPr>
          <w:rFonts w:ascii="Arial" w:hAnsi="Arial"/>
          <w:sz w:val="27"/>
          <w:rtl/>
        </w:rPr>
        <w:t>متجانسة</w:t>
      </w:r>
      <w:r w:rsidRPr="0044519F">
        <w:rPr>
          <w:rFonts w:ascii="Arial" w:hAnsi="Arial" w:hint="cs"/>
          <w:sz w:val="27"/>
          <w:rtl/>
        </w:rPr>
        <w:t xml:space="preserve"> متناسقة</w:t>
      </w:r>
      <w:r w:rsidR="006E7F25" w:rsidRPr="0044519F">
        <w:rPr>
          <w:rFonts w:ascii="Arial" w:hAnsi="Arial" w:hint="cs"/>
          <w:sz w:val="27"/>
          <w:rtl/>
        </w:rPr>
        <w:t>،</w:t>
      </w:r>
      <w:r w:rsidRPr="0044519F">
        <w:rPr>
          <w:rFonts w:ascii="Arial" w:hAnsi="Arial" w:hint="cs"/>
          <w:sz w:val="27"/>
          <w:rtl/>
        </w:rPr>
        <w:t xml:space="preserve"> </w:t>
      </w:r>
      <w:r w:rsidRPr="0044519F">
        <w:rPr>
          <w:rFonts w:ascii="Arial" w:hAnsi="Arial"/>
          <w:sz w:val="27"/>
          <w:rtl/>
        </w:rPr>
        <w:t>لا تقبل التفرقة</w:t>
      </w:r>
      <w:r w:rsidR="006E7F25" w:rsidRPr="0044519F">
        <w:rPr>
          <w:rFonts w:ascii="Arial" w:hAnsi="Arial" w:hint="cs"/>
          <w:sz w:val="27"/>
          <w:rtl/>
        </w:rPr>
        <w:t>،</w:t>
      </w:r>
      <w:r w:rsidRPr="0044519F">
        <w:rPr>
          <w:rFonts w:ascii="Arial" w:hAnsi="Arial" w:hint="cs"/>
          <w:sz w:val="27"/>
          <w:rtl/>
        </w:rPr>
        <w:t xml:space="preserve"> ولا الانفصال أو التقاطع </w:t>
      </w:r>
      <w:r w:rsidRPr="0044519F">
        <w:rPr>
          <w:rFonts w:ascii="Arial" w:hAnsi="Arial"/>
          <w:sz w:val="27"/>
          <w:rtl/>
        </w:rPr>
        <w:t>بين</w:t>
      </w:r>
      <w:r w:rsidRPr="0044519F">
        <w:rPr>
          <w:rFonts w:ascii="Arial" w:hAnsi="Arial" w:hint="cs"/>
          <w:sz w:val="27"/>
          <w:rtl/>
        </w:rPr>
        <w:t xml:space="preserve"> </w:t>
      </w:r>
      <w:r w:rsidRPr="0044519F">
        <w:rPr>
          <w:rFonts w:ascii="Arial" w:hAnsi="Arial"/>
          <w:sz w:val="27"/>
          <w:rtl/>
        </w:rPr>
        <w:t xml:space="preserve">أجزائها، </w:t>
      </w:r>
      <w:r w:rsidRPr="0044519F">
        <w:rPr>
          <w:rFonts w:ascii="Arial" w:hAnsi="Arial" w:hint="cs"/>
          <w:sz w:val="27"/>
          <w:rtl/>
        </w:rPr>
        <w:t>و</w:t>
      </w:r>
      <w:r w:rsidRPr="0044519F">
        <w:rPr>
          <w:rFonts w:ascii="Arial" w:hAnsi="Arial"/>
          <w:sz w:val="27"/>
          <w:rtl/>
        </w:rPr>
        <w:t>لا تقبل الت</w:t>
      </w:r>
      <w:r w:rsidR="006E7F25" w:rsidRPr="0044519F">
        <w:rPr>
          <w:rFonts w:ascii="Arial" w:hAnsi="Arial" w:hint="cs"/>
          <w:sz w:val="27"/>
          <w:rtl/>
        </w:rPr>
        <w:t>َّ</w:t>
      </w:r>
      <w:r w:rsidRPr="0044519F">
        <w:rPr>
          <w:rFonts w:ascii="Arial" w:hAnsi="Arial"/>
          <w:sz w:val="27"/>
          <w:rtl/>
        </w:rPr>
        <w:t>ب</w:t>
      </w:r>
      <w:r w:rsidR="006E7F25" w:rsidRPr="0044519F">
        <w:rPr>
          <w:rFonts w:ascii="Arial" w:hAnsi="Arial" w:hint="cs"/>
          <w:sz w:val="27"/>
          <w:rtl/>
        </w:rPr>
        <w:t>َ</w:t>
      </w:r>
      <w:r w:rsidRPr="0044519F">
        <w:rPr>
          <w:rFonts w:ascii="Arial" w:hAnsi="Arial"/>
          <w:sz w:val="27"/>
          <w:rtl/>
        </w:rPr>
        <w:t>عي</w:t>
      </w:r>
      <w:r w:rsidR="006E7F25" w:rsidRPr="0044519F">
        <w:rPr>
          <w:rFonts w:ascii="Arial" w:hAnsi="Arial" w:hint="cs"/>
          <w:sz w:val="27"/>
          <w:rtl/>
        </w:rPr>
        <w:t>ّ</w:t>
      </w:r>
      <w:r w:rsidRPr="0044519F">
        <w:rPr>
          <w:rFonts w:ascii="Arial" w:hAnsi="Arial"/>
          <w:sz w:val="27"/>
          <w:rtl/>
        </w:rPr>
        <w:t>ة لغيرها</w:t>
      </w:r>
      <w:r w:rsidRPr="0044519F">
        <w:rPr>
          <w:rFonts w:ascii="Arial" w:hAnsi="Arial" w:hint="cs"/>
          <w:sz w:val="27"/>
          <w:rtl/>
        </w:rPr>
        <w:t xml:space="preserve"> من العلوم</w:t>
      </w:r>
      <w:r w:rsidR="006E7F25" w:rsidRPr="0044519F">
        <w:rPr>
          <w:rFonts w:ascii="Arial" w:hAnsi="Arial" w:hint="cs"/>
          <w:sz w:val="27"/>
          <w:rtl/>
        </w:rPr>
        <w:t>،</w:t>
      </w:r>
      <w:r w:rsidRPr="0044519F">
        <w:rPr>
          <w:rFonts w:ascii="Arial" w:hAnsi="Arial" w:hint="cs"/>
          <w:sz w:val="27"/>
          <w:rtl/>
        </w:rPr>
        <w:t xml:space="preserve"> بل لها استقلالية خاص</w:t>
      </w:r>
      <w:r w:rsidR="006E7F25" w:rsidRPr="0044519F">
        <w:rPr>
          <w:rFonts w:ascii="Arial" w:hAnsi="Arial" w:hint="cs"/>
          <w:sz w:val="27"/>
          <w:rtl/>
        </w:rPr>
        <w:t>ّ</w:t>
      </w:r>
      <w:r w:rsidRPr="0044519F">
        <w:rPr>
          <w:rFonts w:ascii="Arial" w:hAnsi="Arial" w:hint="cs"/>
          <w:sz w:val="27"/>
          <w:rtl/>
        </w:rPr>
        <w:t>ة</w:t>
      </w:r>
      <w:r w:rsidRPr="0044519F">
        <w:rPr>
          <w:rFonts w:ascii="Arial" w:hAnsi="Arial"/>
          <w:sz w:val="27"/>
          <w:vertAlign w:val="superscript"/>
          <w:rtl/>
        </w:rPr>
        <w:t>(</w:t>
      </w:r>
      <w:r w:rsidRPr="0044519F">
        <w:rPr>
          <w:rFonts w:ascii="Arial" w:hAnsi="Arial"/>
          <w:vertAlign w:val="superscript"/>
          <w:rtl/>
        </w:rPr>
        <w:endnoteReference w:id="735"/>
      </w:r>
      <w:r w:rsidRPr="0044519F">
        <w:rPr>
          <w:rFonts w:ascii="Arial" w:hAnsi="Arial"/>
          <w:sz w:val="27"/>
          <w:vertAlign w:val="superscript"/>
          <w:rtl/>
        </w:rPr>
        <w:t>)</w:t>
      </w:r>
      <w:r w:rsidRPr="0044519F">
        <w:rPr>
          <w:rFonts w:ascii="Arial" w:hAnsi="Arial"/>
          <w:sz w:val="27"/>
          <w:rtl/>
        </w:rPr>
        <w:t xml:space="preserve">. </w:t>
      </w:r>
    </w:p>
    <w:p w:rsidR="00421692" w:rsidRPr="006571AC" w:rsidRDefault="00421692" w:rsidP="007C217D">
      <w:pPr>
        <w:spacing w:line="420" w:lineRule="exact"/>
        <w:rPr>
          <w:sz w:val="27"/>
          <w:rtl/>
          <w:lang w:bidi="ar-MA"/>
        </w:rPr>
      </w:pPr>
    </w:p>
    <w:p w:rsidR="0043677F" w:rsidRPr="006571AC" w:rsidRDefault="0043677F" w:rsidP="00962F60">
      <w:pPr>
        <w:pStyle w:val="31"/>
        <w:rPr>
          <w:color w:val="auto"/>
          <w:bdr w:val="none" w:sz="0" w:space="0" w:color="auto" w:frame="1"/>
          <w:rtl/>
          <w:lang w:bidi="ar-MA"/>
        </w:rPr>
      </w:pPr>
      <w:bookmarkStart w:id="445" w:name="_Toc114164853"/>
      <w:r w:rsidRPr="006571AC">
        <w:rPr>
          <w:rFonts w:hint="cs"/>
          <w:color w:val="auto"/>
          <w:bdr w:val="none" w:sz="0" w:space="0" w:color="auto" w:frame="1"/>
          <w:rtl/>
          <w:lang w:bidi="ar-MA"/>
        </w:rPr>
        <w:t>حداثة</w:t>
      </w:r>
      <w:r w:rsidRPr="006571AC">
        <w:rPr>
          <w:color w:val="auto"/>
          <w:bdr w:val="none" w:sz="0" w:space="0" w:color="auto" w:frame="1"/>
          <w:rtl/>
        </w:rPr>
        <w:t xml:space="preserve"> العلوم</w:t>
      </w:r>
      <w:r w:rsidRPr="006571AC">
        <w:rPr>
          <w:rFonts w:hint="cs"/>
          <w:color w:val="auto"/>
          <w:bdr w:val="none" w:sz="0" w:space="0" w:color="auto" w:frame="1"/>
          <w:rtl/>
        </w:rPr>
        <w:t xml:space="preserve"> الإنساني</w:t>
      </w:r>
      <w:r w:rsidR="00D12571" w:rsidRPr="006571AC">
        <w:rPr>
          <w:rFonts w:hint="cs"/>
          <w:color w:val="auto"/>
          <w:bdr w:val="none" w:sz="0" w:space="0" w:color="auto" w:frame="1"/>
          <w:rtl/>
        </w:rPr>
        <w:t>ّ</w:t>
      </w:r>
      <w:r w:rsidRPr="006571AC">
        <w:rPr>
          <w:rFonts w:hint="cs"/>
          <w:color w:val="auto"/>
          <w:bdr w:val="none" w:sz="0" w:space="0" w:color="auto" w:frame="1"/>
          <w:rtl/>
        </w:rPr>
        <w:t>ة</w:t>
      </w:r>
      <w:bookmarkEnd w:id="445"/>
    </w:p>
    <w:p w:rsidR="0043677F" w:rsidRPr="006571AC" w:rsidRDefault="0043677F" w:rsidP="007C217D">
      <w:pPr>
        <w:spacing w:line="390" w:lineRule="exact"/>
        <w:rPr>
          <w:bdr w:val="none" w:sz="0" w:space="0" w:color="auto" w:frame="1"/>
          <w:rtl/>
        </w:rPr>
      </w:pPr>
      <w:r w:rsidRPr="006571AC">
        <w:rPr>
          <w:rFonts w:hint="cs"/>
          <w:bdr w:val="none" w:sz="0" w:space="0" w:color="auto" w:frame="1"/>
          <w:rtl/>
        </w:rPr>
        <w:t xml:space="preserve">إن </w:t>
      </w:r>
      <w:r w:rsidRPr="006571AC">
        <w:rPr>
          <w:bdr w:val="none" w:sz="0" w:space="0" w:color="auto" w:frame="1"/>
          <w:rtl/>
        </w:rPr>
        <w:t>ه</w:t>
      </w:r>
      <w:r w:rsidRPr="006571AC">
        <w:rPr>
          <w:rFonts w:hint="cs"/>
          <w:bdr w:val="none" w:sz="0" w:space="0" w:color="auto" w:frame="1"/>
          <w:rtl/>
        </w:rPr>
        <w:t>ذ</w:t>
      </w:r>
      <w:r w:rsidRPr="006571AC">
        <w:rPr>
          <w:bdr w:val="none" w:sz="0" w:space="0" w:color="auto" w:frame="1"/>
          <w:rtl/>
        </w:rPr>
        <w:t>ه العلوم</w:t>
      </w:r>
      <w:r w:rsidRPr="006571AC">
        <w:rPr>
          <w:rFonts w:hint="cs"/>
          <w:bdr w:val="none" w:sz="0" w:space="0" w:color="auto" w:frame="1"/>
          <w:rtl/>
        </w:rPr>
        <w:t xml:space="preserve"> المسم</w:t>
      </w:r>
      <w:r w:rsidR="006E7F25" w:rsidRPr="006571AC">
        <w:rPr>
          <w:rFonts w:hint="cs"/>
          <w:bdr w:val="none" w:sz="0" w:space="0" w:color="auto" w:frame="1"/>
          <w:rtl/>
        </w:rPr>
        <w:t>ّ</w:t>
      </w:r>
      <w:r w:rsidRPr="006571AC">
        <w:rPr>
          <w:rFonts w:hint="cs"/>
          <w:bdr w:val="none" w:sz="0" w:space="0" w:color="auto" w:frame="1"/>
          <w:rtl/>
        </w:rPr>
        <w:t xml:space="preserve">اة بالإنسانية </w:t>
      </w:r>
      <w:r w:rsidRPr="006571AC">
        <w:rPr>
          <w:bdr w:val="none" w:sz="0" w:space="0" w:color="auto" w:frame="1"/>
          <w:rtl/>
        </w:rPr>
        <w:t xml:space="preserve">حديثة العهد </w:t>
      </w:r>
      <w:r w:rsidRPr="006571AC">
        <w:rPr>
          <w:rFonts w:hint="cs"/>
          <w:bdr w:val="none" w:sz="0" w:space="0" w:color="auto" w:frame="1"/>
          <w:rtl/>
        </w:rPr>
        <w:t>في نشأتها وتطو</w:t>
      </w:r>
      <w:r w:rsidR="006E7F25" w:rsidRPr="006571AC">
        <w:rPr>
          <w:rFonts w:hint="cs"/>
          <w:bdr w:val="none" w:sz="0" w:space="0" w:color="auto" w:frame="1"/>
          <w:rtl/>
        </w:rPr>
        <w:t>ُّ</w:t>
      </w:r>
      <w:r w:rsidRPr="006571AC">
        <w:rPr>
          <w:rFonts w:hint="cs"/>
          <w:bdr w:val="none" w:sz="0" w:space="0" w:color="auto" w:frame="1"/>
          <w:rtl/>
        </w:rPr>
        <w:t>رها</w:t>
      </w:r>
      <w:r w:rsidR="006E7F25" w:rsidRPr="006571AC">
        <w:rPr>
          <w:rFonts w:hint="cs"/>
          <w:bdr w:val="none" w:sz="0" w:space="0" w:color="auto" w:frame="1"/>
          <w:rtl/>
        </w:rPr>
        <w:t>،</w:t>
      </w:r>
      <w:r w:rsidRPr="006571AC">
        <w:rPr>
          <w:rFonts w:hint="cs"/>
          <w:bdr w:val="none" w:sz="0" w:space="0" w:color="auto" w:frame="1"/>
          <w:rtl/>
        </w:rPr>
        <w:t xml:space="preserve"> </w:t>
      </w:r>
      <w:r w:rsidRPr="006571AC">
        <w:rPr>
          <w:bdr w:val="none" w:sz="0" w:space="0" w:color="auto" w:frame="1"/>
          <w:rtl/>
        </w:rPr>
        <w:t>مقارنة</w:t>
      </w:r>
      <w:r w:rsidR="006E7F25" w:rsidRPr="006571AC">
        <w:rPr>
          <w:rFonts w:hint="cs"/>
          <w:bdr w:val="none" w:sz="0" w:space="0" w:color="auto" w:frame="1"/>
          <w:rtl/>
        </w:rPr>
        <w:t>ً</w:t>
      </w:r>
      <w:r w:rsidRPr="006571AC">
        <w:rPr>
          <w:bdr w:val="none" w:sz="0" w:space="0" w:color="auto" w:frame="1"/>
          <w:rtl/>
        </w:rPr>
        <w:t xml:space="preserve"> مع </w:t>
      </w:r>
      <w:r w:rsidRPr="006571AC">
        <w:rPr>
          <w:bdr w:val="none" w:sz="0" w:space="0" w:color="auto" w:frame="1"/>
          <w:rtl/>
        </w:rPr>
        <w:lastRenderedPageBreak/>
        <w:t xml:space="preserve">العلوم </w:t>
      </w:r>
      <w:r w:rsidRPr="006571AC">
        <w:rPr>
          <w:rFonts w:hint="cs"/>
          <w:bdr w:val="none" w:sz="0" w:space="0" w:color="auto" w:frame="1"/>
          <w:rtl/>
        </w:rPr>
        <w:t>الأخرى</w:t>
      </w:r>
      <w:r w:rsidR="006E7F25" w:rsidRPr="006571AC">
        <w:rPr>
          <w:rFonts w:hint="cs"/>
          <w:bdr w:val="none" w:sz="0" w:space="0" w:color="auto" w:frame="1"/>
          <w:rtl/>
        </w:rPr>
        <w:t>.</w:t>
      </w:r>
      <w:r w:rsidRPr="006571AC">
        <w:rPr>
          <w:rFonts w:hint="cs"/>
          <w:bdr w:val="none" w:sz="0" w:space="0" w:color="auto" w:frame="1"/>
          <w:rtl/>
        </w:rPr>
        <w:t xml:space="preserve"> وهذا التأخ</w:t>
      </w:r>
      <w:r w:rsidR="006E7F25" w:rsidRPr="006571AC">
        <w:rPr>
          <w:rFonts w:hint="cs"/>
          <w:bdr w:val="none" w:sz="0" w:space="0" w:color="auto" w:frame="1"/>
          <w:rtl/>
        </w:rPr>
        <w:t>ُّ</w:t>
      </w:r>
      <w:r w:rsidRPr="006571AC">
        <w:rPr>
          <w:rFonts w:hint="cs"/>
          <w:bdr w:val="none" w:sz="0" w:space="0" w:color="auto" w:frame="1"/>
          <w:rtl/>
        </w:rPr>
        <w:t>ر ف</w:t>
      </w:r>
      <w:r w:rsidRPr="006571AC">
        <w:rPr>
          <w:rFonts w:hint="eastAsia"/>
          <w:bdr w:val="none" w:sz="0" w:space="0" w:color="auto" w:frame="1"/>
          <w:rtl/>
        </w:rPr>
        <w:t>ي</w:t>
      </w:r>
      <w:r w:rsidRPr="006571AC">
        <w:rPr>
          <w:rFonts w:hint="cs"/>
          <w:bdr w:val="none" w:sz="0" w:space="0" w:color="auto" w:frame="1"/>
          <w:rtl/>
        </w:rPr>
        <w:t xml:space="preserve"> النشأة والتطو</w:t>
      </w:r>
      <w:r w:rsidR="006E7F25" w:rsidRPr="006571AC">
        <w:rPr>
          <w:rFonts w:hint="cs"/>
          <w:bdr w:val="none" w:sz="0" w:space="0" w:color="auto" w:frame="1"/>
          <w:rtl/>
        </w:rPr>
        <w:t>ُّ</w:t>
      </w:r>
      <w:r w:rsidRPr="006571AC">
        <w:rPr>
          <w:rFonts w:hint="cs"/>
          <w:bdr w:val="none" w:sz="0" w:space="0" w:color="auto" w:frame="1"/>
          <w:rtl/>
        </w:rPr>
        <w:t>ر والمسار له ما يبر</w:t>
      </w:r>
      <w:r w:rsidR="006E7F25" w:rsidRPr="006571AC">
        <w:rPr>
          <w:rFonts w:hint="cs"/>
          <w:bdr w:val="none" w:sz="0" w:space="0" w:color="auto" w:frame="1"/>
          <w:rtl/>
        </w:rPr>
        <w:t>ِّ</w:t>
      </w:r>
      <w:r w:rsidRPr="006571AC">
        <w:rPr>
          <w:rFonts w:hint="cs"/>
          <w:bdr w:val="none" w:sz="0" w:space="0" w:color="auto" w:frame="1"/>
          <w:rtl/>
        </w:rPr>
        <w:t>ره في أكثر من مستوى</w:t>
      </w:r>
      <w:r w:rsidR="006E7F25" w:rsidRPr="006571AC">
        <w:rPr>
          <w:rFonts w:hint="cs"/>
          <w:bdr w:val="none" w:sz="0" w:space="0" w:color="auto" w:frame="1"/>
          <w:rtl/>
        </w:rPr>
        <w:t>ً؛</w:t>
      </w:r>
      <w:r w:rsidRPr="006571AC">
        <w:rPr>
          <w:rFonts w:hint="cs"/>
          <w:bdr w:val="none" w:sz="0" w:space="0" w:color="auto" w:frame="1"/>
          <w:rtl/>
        </w:rPr>
        <w:t xml:space="preserve"> فهو </w:t>
      </w:r>
      <w:r w:rsidRPr="006571AC">
        <w:rPr>
          <w:bdr w:val="none" w:sz="0" w:space="0" w:color="auto" w:frame="1"/>
          <w:rtl/>
        </w:rPr>
        <w:t xml:space="preserve">يرجع </w:t>
      </w:r>
      <w:r w:rsidRPr="006571AC">
        <w:rPr>
          <w:rFonts w:hint="cs"/>
          <w:bdr w:val="none" w:sz="0" w:space="0" w:color="auto" w:frame="1"/>
          <w:rtl/>
        </w:rPr>
        <w:t>بالدرجة الأولى إلى الطبيع</w:t>
      </w:r>
      <w:r w:rsidRPr="006571AC">
        <w:rPr>
          <w:rFonts w:hint="eastAsia"/>
          <w:bdr w:val="none" w:sz="0" w:space="0" w:color="auto" w:frame="1"/>
          <w:rtl/>
        </w:rPr>
        <w:t>ة</w:t>
      </w:r>
      <w:r w:rsidRPr="006571AC">
        <w:rPr>
          <w:rFonts w:hint="cs"/>
          <w:bdr w:val="none" w:sz="0" w:space="0" w:color="auto" w:frame="1"/>
          <w:rtl/>
        </w:rPr>
        <w:t xml:space="preserve"> المعرفية المرك</w:t>
      </w:r>
      <w:r w:rsidR="006E7F25" w:rsidRPr="006571AC">
        <w:rPr>
          <w:rFonts w:hint="cs"/>
          <w:bdr w:val="none" w:sz="0" w:space="0" w:color="auto" w:frame="1"/>
          <w:rtl/>
        </w:rPr>
        <w:t>ّ</w:t>
      </w:r>
      <w:r w:rsidRPr="006571AC">
        <w:rPr>
          <w:rFonts w:hint="cs"/>
          <w:bdr w:val="none" w:sz="0" w:space="0" w:color="auto" w:frame="1"/>
          <w:rtl/>
        </w:rPr>
        <w:t>بة لم</w:t>
      </w:r>
      <w:r w:rsidRPr="006571AC">
        <w:rPr>
          <w:bdr w:val="none" w:sz="0" w:space="0" w:color="auto" w:frame="1"/>
          <w:rtl/>
        </w:rPr>
        <w:t>وضوع</w:t>
      </w:r>
      <w:r w:rsidRPr="006571AC">
        <w:rPr>
          <w:rFonts w:hint="cs"/>
          <w:bdr w:val="none" w:sz="0" w:space="0" w:color="auto" w:frame="1"/>
          <w:rtl/>
        </w:rPr>
        <w:t xml:space="preserve"> </w:t>
      </w:r>
      <w:r w:rsidRPr="006571AC">
        <w:rPr>
          <w:bdr w:val="none" w:sz="0" w:space="0" w:color="auto" w:frame="1"/>
          <w:rtl/>
        </w:rPr>
        <w:t>ه</w:t>
      </w:r>
      <w:r w:rsidRPr="006571AC">
        <w:rPr>
          <w:rFonts w:hint="cs"/>
          <w:bdr w:val="none" w:sz="0" w:space="0" w:color="auto" w:frame="1"/>
          <w:rtl/>
        </w:rPr>
        <w:t>ذه العلوم في ارتباطها مباشرة</w:t>
      </w:r>
      <w:r w:rsidR="006E7F25" w:rsidRPr="006571AC">
        <w:rPr>
          <w:rFonts w:hint="cs"/>
          <w:bdr w:val="none" w:sz="0" w:space="0" w:color="auto" w:frame="1"/>
          <w:rtl/>
        </w:rPr>
        <w:t>ً</w:t>
      </w:r>
      <w:r w:rsidRPr="006571AC">
        <w:rPr>
          <w:rFonts w:hint="cs"/>
          <w:bdr w:val="none" w:sz="0" w:space="0" w:color="auto" w:frame="1"/>
          <w:rtl/>
        </w:rPr>
        <w:t xml:space="preserve"> </w:t>
      </w:r>
      <w:r w:rsidRPr="006571AC">
        <w:rPr>
          <w:bdr w:val="none" w:sz="0" w:space="0" w:color="auto" w:frame="1"/>
          <w:rtl/>
        </w:rPr>
        <w:t>بشخصي</w:t>
      </w:r>
      <w:r w:rsidR="006E7F25" w:rsidRPr="006571AC">
        <w:rPr>
          <w:rFonts w:hint="cs"/>
          <w:bdr w:val="none" w:sz="0" w:space="0" w:color="auto" w:frame="1"/>
          <w:rtl/>
        </w:rPr>
        <w:t>ّ</w:t>
      </w:r>
      <w:r w:rsidRPr="006571AC">
        <w:rPr>
          <w:bdr w:val="none" w:sz="0" w:space="0" w:color="auto" w:frame="1"/>
          <w:rtl/>
        </w:rPr>
        <w:t xml:space="preserve">ة </w:t>
      </w:r>
      <w:r w:rsidRPr="006571AC">
        <w:rPr>
          <w:rFonts w:hint="cs"/>
          <w:bdr w:val="none" w:sz="0" w:space="0" w:color="auto" w:frame="1"/>
          <w:rtl/>
        </w:rPr>
        <w:t xml:space="preserve">الإنسان، وهي الشخصية التي </w:t>
      </w:r>
      <w:r w:rsidRPr="006571AC">
        <w:rPr>
          <w:bdr w:val="none" w:sz="0" w:space="0" w:color="auto" w:frame="1"/>
          <w:rtl/>
        </w:rPr>
        <w:t>عادة</w:t>
      </w:r>
      <w:r w:rsidR="006E7F25" w:rsidRPr="006571AC">
        <w:rPr>
          <w:rFonts w:hint="cs"/>
          <w:bdr w:val="none" w:sz="0" w:space="0" w:color="auto" w:frame="1"/>
          <w:rtl/>
        </w:rPr>
        <w:t>ً</w:t>
      </w:r>
      <w:r w:rsidRPr="006571AC">
        <w:rPr>
          <w:bdr w:val="none" w:sz="0" w:space="0" w:color="auto" w:frame="1"/>
          <w:rtl/>
        </w:rPr>
        <w:t xml:space="preserve"> ما تت</w:t>
      </w:r>
      <w:r w:rsidR="006E7F25" w:rsidRPr="006571AC">
        <w:rPr>
          <w:rFonts w:hint="cs"/>
          <w:bdr w:val="none" w:sz="0" w:space="0" w:color="auto" w:frame="1"/>
          <w:rtl/>
        </w:rPr>
        <w:t>ّ</w:t>
      </w:r>
      <w:r w:rsidRPr="006571AC">
        <w:rPr>
          <w:bdr w:val="none" w:sz="0" w:space="0" w:color="auto" w:frame="1"/>
          <w:rtl/>
        </w:rPr>
        <w:t>صف</w:t>
      </w:r>
      <w:r w:rsidRPr="006571AC">
        <w:rPr>
          <w:rFonts w:hint="cs"/>
          <w:bdr w:val="none" w:sz="0" w:space="0" w:color="auto" w:frame="1"/>
          <w:rtl/>
        </w:rPr>
        <w:t xml:space="preserve"> </w:t>
      </w:r>
      <w:r w:rsidRPr="006571AC">
        <w:rPr>
          <w:bdr w:val="none" w:sz="0" w:space="0" w:color="auto" w:frame="1"/>
          <w:rtl/>
        </w:rPr>
        <w:t xml:space="preserve">بالتركيب </w:t>
      </w:r>
      <w:r w:rsidRPr="006571AC">
        <w:rPr>
          <w:rFonts w:hint="cs"/>
          <w:bdr w:val="none" w:sz="0" w:space="0" w:color="auto" w:frame="1"/>
          <w:rtl/>
        </w:rPr>
        <w:t>المتعد</w:t>
      </w:r>
      <w:r w:rsidR="006E7F25" w:rsidRPr="006571AC">
        <w:rPr>
          <w:rFonts w:hint="cs"/>
          <w:bdr w:val="none" w:sz="0" w:space="0" w:color="auto" w:frame="1"/>
          <w:rtl/>
        </w:rPr>
        <w:t>ِّ</w:t>
      </w:r>
      <w:r w:rsidRPr="006571AC">
        <w:rPr>
          <w:rFonts w:hint="cs"/>
          <w:bdr w:val="none" w:sz="0" w:space="0" w:color="auto" w:frame="1"/>
          <w:rtl/>
        </w:rPr>
        <w:t>د</w:t>
      </w:r>
      <w:r w:rsidR="006E7F25" w:rsidRPr="006571AC">
        <w:rPr>
          <w:rFonts w:hint="cs"/>
          <w:bdr w:val="none" w:sz="0" w:space="0" w:color="auto" w:frame="1"/>
          <w:rtl/>
        </w:rPr>
        <w:t>،</w:t>
      </w:r>
      <w:r w:rsidRPr="006571AC">
        <w:rPr>
          <w:rFonts w:hint="cs"/>
          <w:bdr w:val="none" w:sz="0" w:space="0" w:color="auto" w:frame="1"/>
          <w:rtl/>
        </w:rPr>
        <w:t xml:space="preserve"> وبالتغي</w:t>
      </w:r>
      <w:r w:rsidR="006E7F25" w:rsidRPr="006571AC">
        <w:rPr>
          <w:rFonts w:hint="cs"/>
          <w:bdr w:val="none" w:sz="0" w:space="0" w:color="auto" w:frame="1"/>
          <w:rtl/>
        </w:rPr>
        <w:t>ُّ</w:t>
      </w:r>
      <w:r w:rsidRPr="006571AC">
        <w:rPr>
          <w:rFonts w:hint="cs"/>
          <w:bdr w:val="none" w:sz="0" w:space="0" w:color="auto" w:frame="1"/>
          <w:rtl/>
        </w:rPr>
        <w:t>ر المستمر</w:t>
      </w:r>
      <w:r w:rsidR="006E7F25" w:rsidRPr="006571AC">
        <w:rPr>
          <w:rFonts w:hint="cs"/>
          <w:bdr w:val="none" w:sz="0" w:space="0" w:color="auto" w:frame="1"/>
          <w:rtl/>
        </w:rPr>
        <w:t>ّ</w:t>
      </w:r>
      <w:r w:rsidRPr="006571AC">
        <w:rPr>
          <w:rFonts w:hint="cs"/>
          <w:bdr w:val="none" w:sz="0" w:space="0" w:color="auto" w:frame="1"/>
          <w:rtl/>
        </w:rPr>
        <w:t xml:space="preserve"> وبالتحو</w:t>
      </w:r>
      <w:r w:rsidR="006E7F25" w:rsidRPr="006571AC">
        <w:rPr>
          <w:rFonts w:hint="cs"/>
          <w:bdr w:val="none" w:sz="0" w:space="0" w:color="auto" w:frame="1"/>
          <w:rtl/>
        </w:rPr>
        <w:t>ُّ</w:t>
      </w:r>
      <w:r w:rsidRPr="006571AC">
        <w:rPr>
          <w:rFonts w:hint="eastAsia"/>
          <w:bdr w:val="none" w:sz="0" w:space="0" w:color="auto" w:frame="1"/>
          <w:rtl/>
        </w:rPr>
        <w:t>ل</w:t>
      </w:r>
      <w:r w:rsidRPr="006571AC">
        <w:rPr>
          <w:rFonts w:hint="cs"/>
          <w:bdr w:val="none" w:sz="0" w:space="0" w:color="auto" w:frame="1"/>
          <w:rtl/>
        </w:rPr>
        <w:t xml:space="preserve"> المفاجئ، وهو ما يلزم عنه تحيين هذه العلوم وتجديدها حت</w:t>
      </w:r>
      <w:r w:rsidR="0007592C" w:rsidRPr="006571AC">
        <w:rPr>
          <w:rFonts w:hint="cs"/>
          <w:bdr w:val="none" w:sz="0" w:space="0" w:color="auto" w:frame="1"/>
          <w:rtl/>
        </w:rPr>
        <w:t>ّ</w:t>
      </w:r>
      <w:r w:rsidRPr="006571AC">
        <w:rPr>
          <w:rFonts w:hint="cs"/>
          <w:bdr w:val="none" w:sz="0" w:space="0" w:color="auto" w:frame="1"/>
          <w:rtl/>
        </w:rPr>
        <w:t>ى تستجيب للمتغي</w:t>
      </w:r>
      <w:r w:rsidR="0007592C" w:rsidRPr="006571AC">
        <w:rPr>
          <w:rFonts w:hint="cs"/>
          <w:bdr w:val="none" w:sz="0" w:space="0" w:color="auto" w:frame="1"/>
          <w:rtl/>
        </w:rPr>
        <w:t>ِّ</w:t>
      </w:r>
      <w:r w:rsidRPr="006571AC">
        <w:rPr>
          <w:rFonts w:hint="cs"/>
          <w:bdr w:val="none" w:sz="0" w:space="0" w:color="auto" w:frame="1"/>
          <w:rtl/>
        </w:rPr>
        <w:t>رات المتلاحقة والسريعة التي تعرفها العلوم، فهي تعرف ت</w:t>
      </w:r>
      <w:r w:rsidRPr="006571AC">
        <w:rPr>
          <w:bdr w:val="none" w:sz="0" w:space="0" w:color="auto" w:frame="1"/>
          <w:rtl/>
        </w:rPr>
        <w:t>حو</w:t>
      </w:r>
      <w:r w:rsidR="0007592C" w:rsidRPr="006571AC">
        <w:rPr>
          <w:rFonts w:hint="cs"/>
          <w:bdr w:val="none" w:sz="0" w:space="0" w:color="auto" w:frame="1"/>
          <w:rtl/>
        </w:rPr>
        <w:t>ّ</w:t>
      </w:r>
      <w:r w:rsidRPr="006571AC">
        <w:rPr>
          <w:bdr w:val="none" w:sz="0" w:space="0" w:color="auto" w:frame="1"/>
          <w:rtl/>
        </w:rPr>
        <w:t>ل</w:t>
      </w:r>
      <w:r w:rsidRPr="006571AC">
        <w:rPr>
          <w:rFonts w:hint="cs"/>
          <w:bdr w:val="none" w:sz="0" w:space="0" w:color="auto" w:frame="1"/>
          <w:rtl/>
        </w:rPr>
        <w:t>ا</w:t>
      </w:r>
      <w:r w:rsidR="0007592C" w:rsidRPr="006571AC">
        <w:rPr>
          <w:rFonts w:hint="cs"/>
          <w:bdr w:val="none" w:sz="0" w:space="0" w:color="auto" w:frame="1"/>
          <w:rtl/>
        </w:rPr>
        <w:t>ً</w:t>
      </w:r>
      <w:r w:rsidRPr="006571AC">
        <w:rPr>
          <w:bdr w:val="none" w:sz="0" w:space="0" w:color="auto" w:frame="1"/>
          <w:rtl/>
        </w:rPr>
        <w:t xml:space="preserve"> و</w:t>
      </w:r>
      <w:r w:rsidRPr="006571AC">
        <w:rPr>
          <w:rFonts w:hint="cs"/>
          <w:bdr w:val="none" w:sz="0" w:space="0" w:color="auto" w:frame="1"/>
          <w:rtl/>
        </w:rPr>
        <w:t>تغي</w:t>
      </w:r>
      <w:r w:rsidR="0007592C" w:rsidRPr="006571AC">
        <w:rPr>
          <w:rFonts w:hint="cs"/>
          <w:bdr w:val="none" w:sz="0" w:space="0" w:color="auto" w:frame="1"/>
          <w:rtl/>
        </w:rPr>
        <w:t>ّ</w:t>
      </w:r>
      <w:r w:rsidRPr="006571AC">
        <w:rPr>
          <w:rFonts w:hint="cs"/>
          <w:bdr w:val="none" w:sz="0" w:space="0" w:color="auto" w:frame="1"/>
          <w:rtl/>
        </w:rPr>
        <w:t>را</w:t>
      </w:r>
      <w:r w:rsidR="0007592C" w:rsidRPr="006571AC">
        <w:rPr>
          <w:rFonts w:hint="cs"/>
          <w:bdr w:val="none" w:sz="0" w:space="0" w:color="auto" w:frame="1"/>
          <w:rtl/>
        </w:rPr>
        <w:t>ً</w:t>
      </w:r>
      <w:r w:rsidRPr="006571AC">
        <w:rPr>
          <w:rFonts w:hint="cs"/>
          <w:bdr w:val="none" w:sz="0" w:space="0" w:color="auto" w:frame="1"/>
          <w:rtl/>
        </w:rPr>
        <w:t xml:space="preserve"> سريعا</w:t>
      </w:r>
      <w:r w:rsidR="0007592C" w:rsidRPr="006571AC">
        <w:rPr>
          <w:rFonts w:hint="cs"/>
          <w:bdr w:val="none" w:sz="0" w:space="0" w:color="auto" w:frame="1"/>
          <w:rtl/>
        </w:rPr>
        <w:t>ً</w:t>
      </w:r>
      <w:r w:rsidRPr="006571AC">
        <w:rPr>
          <w:rFonts w:hint="cs"/>
          <w:bdr w:val="none" w:sz="0" w:space="0" w:color="auto" w:frame="1"/>
          <w:rtl/>
        </w:rPr>
        <w:t>، وفي بعض الأحيان يكون هذا التغيير بشكل</w:t>
      </w:r>
      <w:r w:rsidR="0007592C" w:rsidRPr="006571AC">
        <w:rPr>
          <w:rFonts w:hint="cs"/>
          <w:bdr w:val="none" w:sz="0" w:space="0" w:color="auto" w:frame="1"/>
          <w:rtl/>
        </w:rPr>
        <w:t>ٍ</w:t>
      </w:r>
      <w:r w:rsidRPr="006571AC">
        <w:rPr>
          <w:rFonts w:hint="cs"/>
          <w:bdr w:val="none" w:sz="0" w:space="0" w:color="auto" w:frame="1"/>
          <w:rtl/>
        </w:rPr>
        <w:t xml:space="preserve"> </w:t>
      </w:r>
      <w:r w:rsidR="00991858" w:rsidRPr="006571AC">
        <w:rPr>
          <w:rFonts w:hint="cs"/>
          <w:bdr w:val="none" w:sz="0" w:space="0" w:color="auto" w:frame="1"/>
          <w:rtl/>
        </w:rPr>
        <w:t>مفاجئ</w:t>
      </w:r>
      <w:r w:rsidR="00991858" w:rsidRPr="006571AC">
        <w:rPr>
          <w:vertAlign w:val="superscript"/>
          <w:rtl/>
          <w:lang w:bidi="ar-MA"/>
        </w:rPr>
        <w:t>(</w:t>
      </w:r>
      <w:r w:rsidR="00991858" w:rsidRPr="006571AC">
        <w:rPr>
          <w:rStyle w:val="ac"/>
          <w:sz w:val="27"/>
          <w:rtl/>
          <w:lang w:bidi="ar-MA"/>
        </w:rPr>
        <w:endnoteReference w:id="736"/>
      </w:r>
      <w:r w:rsidR="00991858" w:rsidRPr="006571AC">
        <w:rPr>
          <w:vertAlign w:val="superscript"/>
          <w:rtl/>
          <w:lang w:bidi="ar-MA"/>
        </w:rPr>
        <w:t>)</w:t>
      </w:r>
      <w:r w:rsidR="0007592C" w:rsidRPr="006571AC">
        <w:rPr>
          <w:bdr w:val="none" w:sz="0" w:space="0" w:color="auto" w:frame="1"/>
          <w:rtl/>
        </w:rPr>
        <w:t>.</w:t>
      </w:r>
    </w:p>
    <w:p w:rsidR="0043677F" w:rsidRPr="006571AC" w:rsidRDefault="0043677F" w:rsidP="007C217D">
      <w:pPr>
        <w:spacing w:line="390" w:lineRule="exact"/>
        <w:rPr>
          <w:rtl/>
          <w:lang w:bidi="ar-MA"/>
        </w:rPr>
      </w:pPr>
      <w:r w:rsidRPr="006571AC">
        <w:rPr>
          <w:rFonts w:hint="cs"/>
          <w:bdr w:val="none" w:sz="0" w:space="0" w:color="auto" w:frame="1"/>
          <w:rtl/>
        </w:rPr>
        <w:t>هذا التأخ</w:t>
      </w:r>
      <w:r w:rsidR="0007592C" w:rsidRPr="006571AC">
        <w:rPr>
          <w:rFonts w:hint="cs"/>
          <w:bdr w:val="none" w:sz="0" w:space="0" w:color="auto" w:frame="1"/>
          <w:rtl/>
        </w:rPr>
        <w:t>ُّ</w:t>
      </w:r>
      <w:r w:rsidRPr="006571AC">
        <w:rPr>
          <w:rFonts w:hint="cs"/>
          <w:bdr w:val="none" w:sz="0" w:space="0" w:color="auto" w:frame="1"/>
          <w:rtl/>
        </w:rPr>
        <w:t>ر في نشأة هذا النوع من العلوم</w:t>
      </w:r>
      <w:r w:rsidR="0007592C" w:rsidRPr="006571AC">
        <w:rPr>
          <w:rFonts w:hint="cs"/>
          <w:bdr w:val="none" w:sz="0" w:space="0" w:color="auto" w:frame="1"/>
          <w:rtl/>
        </w:rPr>
        <w:t>،</w:t>
      </w:r>
      <w:r w:rsidRPr="006571AC">
        <w:rPr>
          <w:rFonts w:hint="cs"/>
          <w:bdr w:val="none" w:sz="0" w:space="0" w:color="auto" w:frame="1"/>
          <w:rtl/>
        </w:rPr>
        <w:t xml:space="preserve"> </w:t>
      </w:r>
      <w:r w:rsidR="0007592C" w:rsidRPr="006571AC">
        <w:rPr>
          <w:rFonts w:hint="cs"/>
          <w:bdr w:val="none" w:sz="0" w:space="0" w:color="auto" w:frame="1"/>
          <w:rtl/>
        </w:rPr>
        <w:t>أ</w:t>
      </w:r>
      <w:r w:rsidRPr="006571AC">
        <w:rPr>
          <w:rFonts w:hint="cs"/>
          <w:bdr w:val="none" w:sz="0" w:space="0" w:color="auto" w:frame="1"/>
          <w:rtl/>
        </w:rPr>
        <w:t>عني العلوم الإنسانية</w:t>
      </w:r>
      <w:r w:rsidR="0007592C" w:rsidRPr="006571AC">
        <w:rPr>
          <w:rFonts w:hint="cs"/>
          <w:bdr w:val="none" w:sz="0" w:space="0" w:color="auto" w:frame="1"/>
          <w:rtl/>
        </w:rPr>
        <w:t>،</w:t>
      </w:r>
      <w:r w:rsidRPr="006571AC">
        <w:rPr>
          <w:rFonts w:hint="cs"/>
          <w:bdr w:val="none" w:sz="0" w:space="0" w:color="auto" w:frame="1"/>
          <w:rtl/>
        </w:rPr>
        <w:t xml:space="preserve"> يعود </w:t>
      </w:r>
      <w:r w:rsidR="0007592C" w:rsidRPr="006571AC">
        <w:rPr>
          <w:rFonts w:hint="cs"/>
          <w:bdr w:val="none" w:sz="0" w:space="0" w:color="auto" w:frame="1"/>
          <w:rtl/>
        </w:rPr>
        <w:t xml:space="preserve">إلى </w:t>
      </w:r>
      <w:r w:rsidRPr="006571AC">
        <w:rPr>
          <w:rFonts w:hint="cs"/>
          <w:rtl/>
          <w:lang w:bidi="ar-MA"/>
        </w:rPr>
        <w:t>أن الإنسان عبر التاريخ راكم معارف كثيرة تخص</w:t>
      </w:r>
      <w:r w:rsidR="0007592C" w:rsidRPr="006571AC">
        <w:rPr>
          <w:rFonts w:hint="cs"/>
          <w:rtl/>
          <w:lang w:bidi="ar-MA"/>
        </w:rPr>
        <w:t>ّ</w:t>
      </w:r>
      <w:r w:rsidRPr="006571AC">
        <w:rPr>
          <w:rFonts w:hint="cs"/>
          <w:rtl/>
          <w:lang w:bidi="ar-MA"/>
        </w:rPr>
        <w:t xml:space="preserve"> معرفة العالم الماد</w:t>
      </w:r>
      <w:r w:rsidR="0007592C" w:rsidRPr="006571AC">
        <w:rPr>
          <w:rFonts w:hint="cs"/>
          <w:rtl/>
          <w:lang w:bidi="ar-MA"/>
        </w:rPr>
        <w:t>ّ</w:t>
      </w:r>
      <w:r w:rsidRPr="006571AC">
        <w:rPr>
          <w:rFonts w:hint="cs"/>
          <w:rtl/>
          <w:lang w:bidi="ar-MA"/>
        </w:rPr>
        <w:t>ي والطبيعي لهذا الك</w:t>
      </w:r>
      <w:r w:rsidR="0007592C" w:rsidRPr="006571AC">
        <w:rPr>
          <w:rFonts w:hint="cs"/>
          <w:rtl/>
          <w:lang w:bidi="ar-MA"/>
        </w:rPr>
        <w:t>َ</w:t>
      </w:r>
      <w:r w:rsidRPr="006571AC">
        <w:rPr>
          <w:rFonts w:hint="cs"/>
          <w:rtl/>
          <w:lang w:bidi="ar-MA"/>
        </w:rPr>
        <w:t>و</w:t>
      </w:r>
      <w:r w:rsidR="0007592C" w:rsidRPr="006571AC">
        <w:rPr>
          <w:rFonts w:hint="cs"/>
          <w:rtl/>
          <w:lang w:bidi="ar-MA"/>
        </w:rPr>
        <w:t>ْ</w:t>
      </w:r>
      <w:r w:rsidRPr="006571AC">
        <w:rPr>
          <w:rFonts w:hint="cs"/>
          <w:rtl/>
          <w:lang w:bidi="ar-MA"/>
        </w:rPr>
        <w:t>ن بتنو</w:t>
      </w:r>
      <w:r w:rsidR="0007592C" w:rsidRPr="006571AC">
        <w:rPr>
          <w:rFonts w:hint="cs"/>
          <w:rtl/>
          <w:lang w:bidi="ar-MA"/>
        </w:rPr>
        <w:t>ُّ</w:t>
      </w:r>
      <w:r w:rsidRPr="006571AC">
        <w:rPr>
          <w:rFonts w:hint="cs"/>
          <w:rtl/>
          <w:lang w:bidi="ar-MA"/>
        </w:rPr>
        <w:t>عاته وبتعقيداته، ونجح وتفو</w:t>
      </w:r>
      <w:r w:rsidR="0007592C" w:rsidRPr="006571AC">
        <w:rPr>
          <w:rFonts w:hint="cs"/>
          <w:rtl/>
          <w:lang w:bidi="ar-MA"/>
        </w:rPr>
        <w:t>ّ</w:t>
      </w:r>
      <w:r w:rsidRPr="006571AC">
        <w:rPr>
          <w:rFonts w:hint="cs"/>
          <w:rtl/>
          <w:lang w:bidi="ar-MA"/>
        </w:rPr>
        <w:t>ق بشكل</w:t>
      </w:r>
      <w:r w:rsidR="0007592C" w:rsidRPr="006571AC">
        <w:rPr>
          <w:rFonts w:hint="cs"/>
          <w:rtl/>
          <w:lang w:bidi="ar-MA"/>
        </w:rPr>
        <w:t>ٍ</w:t>
      </w:r>
      <w:r w:rsidRPr="006571AC">
        <w:rPr>
          <w:rFonts w:hint="cs"/>
          <w:rtl/>
          <w:lang w:bidi="ar-MA"/>
        </w:rPr>
        <w:t xml:space="preserve"> كبير في فهم وتفسير الظواهر الطبيعية</w:t>
      </w:r>
      <w:r w:rsidR="0007592C" w:rsidRPr="006571AC">
        <w:rPr>
          <w:rFonts w:hint="cs"/>
          <w:rtl/>
          <w:lang w:bidi="ar-MA"/>
        </w:rPr>
        <w:t>،</w:t>
      </w:r>
      <w:r w:rsidRPr="006571AC">
        <w:rPr>
          <w:rFonts w:hint="cs"/>
          <w:rtl/>
          <w:lang w:bidi="ar-MA"/>
        </w:rPr>
        <w:t xml:space="preserve"> ووقف على قوانينها وس</w:t>
      </w:r>
      <w:r w:rsidR="0007592C" w:rsidRPr="006571AC">
        <w:rPr>
          <w:rFonts w:hint="cs"/>
          <w:rtl/>
          <w:lang w:bidi="ar-MA"/>
        </w:rPr>
        <w:t>ُ</w:t>
      </w:r>
      <w:r w:rsidRPr="006571AC">
        <w:rPr>
          <w:rFonts w:hint="cs"/>
          <w:rtl/>
          <w:lang w:bidi="ar-MA"/>
        </w:rPr>
        <w:t>ن</w:t>
      </w:r>
      <w:r w:rsidR="0007592C" w:rsidRPr="006571AC">
        <w:rPr>
          <w:rFonts w:hint="cs"/>
          <w:rtl/>
          <w:lang w:bidi="ar-MA"/>
        </w:rPr>
        <w:t>َ</w:t>
      </w:r>
      <w:r w:rsidRPr="006571AC">
        <w:rPr>
          <w:rFonts w:hint="cs"/>
          <w:rtl/>
          <w:lang w:bidi="ar-MA"/>
        </w:rPr>
        <w:t>نها ونواميسها المسي</w:t>
      </w:r>
      <w:r w:rsidR="0007592C" w:rsidRPr="006571AC">
        <w:rPr>
          <w:rFonts w:hint="cs"/>
          <w:rtl/>
          <w:lang w:bidi="ar-MA"/>
        </w:rPr>
        <w:t>ِّ</w:t>
      </w:r>
      <w:r w:rsidRPr="006571AC">
        <w:rPr>
          <w:rFonts w:hint="cs"/>
          <w:rtl/>
          <w:lang w:bidi="ar-MA"/>
        </w:rPr>
        <w:t>رة لهذه الظواهر، وحل</w:t>
      </w:r>
      <w:r w:rsidR="0007592C" w:rsidRPr="006571AC">
        <w:rPr>
          <w:rFonts w:hint="cs"/>
          <w:rtl/>
          <w:lang w:bidi="ar-MA"/>
        </w:rPr>
        <w:t>ّ</w:t>
      </w:r>
      <w:r w:rsidRPr="006571AC">
        <w:rPr>
          <w:rFonts w:hint="cs"/>
          <w:rtl/>
          <w:lang w:bidi="ar-MA"/>
        </w:rPr>
        <w:t xml:space="preserve"> كثيرا</w:t>
      </w:r>
      <w:r w:rsidR="0007592C" w:rsidRPr="006571AC">
        <w:rPr>
          <w:rFonts w:hint="cs"/>
          <w:rtl/>
          <w:lang w:bidi="ar-MA"/>
        </w:rPr>
        <w:t>ً</w:t>
      </w:r>
      <w:r w:rsidRPr="006571AC">
        <w:rPr>
          <w:rFonts w:hint="cs"/>
          <w:rtl/>
          <w:lang w:bidi="ar-MA"/>
        </w:rPr>
        <w:t xml:space="preserve"> من المعضلات والمشاكل التي ترتبط بالعالم الماد</w:t>
      </w:r>
      <w:r w:rsidR="0007592C" w:rsidRPr="006571AC">
        <w:rPr>
          <w:rFonts w:hint="cs"/>
          <w:rtl/>
          <w:lang w:bidi="ar-MA"/>
        </w:rPr>
        <w:t>ّ</w:t>
      </w:r>
      <w:r w:rsidRPr="006571AC">
        <w:rPr>
          <w:rFonts w:hint="cs"/>
          <w:rtl/>
          <w:lang w:bidi="ar-MA"/>
        </w:rPr>
        <w:t xml:space="preserve">ي للإنسان، وانتهى </w:t>
      </w:r>
      <w:r w:rsidR="0007592C" w:rsidRPr="006571AC">
        <w:rPr>
          <w:rFonts w:hint="cs"/>
          <w:rtl/>
          <w:lang w:bidi="ar-MA"/>
        </w:rPr>
        <w:t xml:space="preserve">المطاف </w:t>
      </w:r>
      <w:r w:rsidRPr="006571AC">
        <w:rPr>
          <w:rFonts w:hint="cs"/>
          <w:rtl/>
          <w:lang w:bidi="ar-MA"/>
        </w:rPr>
        <w:t>بهذا الإنسان إلى النجاح في امتلاك كثير</w:t>
      </w:r>
      <w:r w:rsidR="0007592C" w:rsidRPr="006571AC">
        <w:rPr>
          <w:rFonts w:hint="cs"/>
          <w:rtl/>
          <w:lang w:bidi="ar-MA"/>
        </w:rPr>
        <w:t>ٍ</w:t>
      </w:r>
      <w:r w:rsidRPr="006571AC">
        <w:rPr>
          <w:rFonts w:hint="cs"/>
          <w:rtl/>
          <w:lang w:bidi="ar-MA"/>
        </w:rPr>
        <w:t xml:space="preserve"> من النظريات العديدة حول أصل الك</w:t>
      </w:r>
      <w:r w:rsidR="0007592C" w:rsidRPr="006571AC">
        <w:rPr>
          <w:rFonts w:hint="cs"/>
          <w:rtl/>
          <w:lang w:bidi="ar-MA"/>
        </w:rPr>
        <w:t>َ</w:t>
      </w:r>
      <w:r w:rsidRPr="006571AC">
        <w:rPr>
          <w:rFonts w:hint="cs"/>
          <w:rtl/>
          <w:lang w:bidi="ar-MA"/>
        </w:rPr>
        <w:t>و</w:t>
      </w:r>
      <w:r w:rsidR="0007592C" w:rsidRPr="006571AC">
        <w:rPr>
          <w:rFonts w:hint="cs"/>
          <w:rtl/>
          <w:lang w:bidi="ar-MA"/>
        </w:rPr>
        <w:t>ْ</w:t>
      </w:r>
      <w:r w:rsidRPr="006571AC">
        <w:rPr>
          <w:rFonts w:hint="cs"/>
          <w:rtl/>
          <w:lang w:bidi="ar-MA"/>
        </w:rPr>
        <w:t>ن و</w:t>
      </w:r>
      <w:r w:rsidR="0007592C" w:rsidRPr="006571AC">
        <w:rPr>
          <w:rFonts w:hint="cs"/>
          <w:rtl/>
          <w:lang w:bidi="ar-MA"/>
        </w:rPr>
        <w:t>أ</w:t>
      </w:r>
      <w:r w:rsidRPr="006571AC">
        <w:rPr>
          <w:rFonts w:hint="cs"/>
          <w:rtl/>
          <w:lang w:bidi="ar-MA"/>
        </w:rPr>
        <w:t>صل الحياة وعالم الطبيعة...</w:t>
      </w:r>
      <w:r w:rsidRPr="006571AC">
        <w:rPr>
          <w:vertAlign w:val="superscript"/>
          <w:rtl/>
          <w:lang w:bidi="ar-MA"/>
        </w:rPr>
        <w:t>(</w:t>
      </w:r>
      <w:r w:rsidRPr="006571AC">
        <w:rPr>
          <w:rStyle w:val="ac"/>
          <w:sz w:val="27"/>
          <w:rtl/>
          <w:lang w:bidi="ar-MA"/>
        </w:rPr>
        <w:endnoteReference w:id="737"/>
      </w:r>
      <w:r w:rsidRPr="006571AC">
        <w:rPr>
          <w:vertAlign w:val="superscript"/>
          <w:rtl/>
          <w:lang w:bidi="ar-MA"/>
        </w:rPr>
        <w:t>)</w:t>
      </w:r>
      <w:r w:rsidRPr="006571AC">
        <w:rPr>
          <w:rFonts w:hint="cs"/>
          <w:rtl/>
          <w:lang w:bidi="ar-MA"/>
        </w:rPr>
        <w:t>.</w:t>
      </w:r>
    </w:p>
    <w:p w:rsidR="0043677F" w:rsidRPr="006571AC" w:rsidRDefault="0043677F" w:rsidP="007C217D">
      <w:pPr>
        <w:spacing w:line="380" w:lineRule="exact"/>
        <w:rPr>
          <w:rtl/>
          <w:lang w:bidi="ar-MA"/>
        </w:rPr>
      </w:pPr>
      <w:r w:rsidRPr="006571AC">
        <w:rPr>
          <w:rFonts w:hint="cs"/>
          <w:rtl/>
          <w:lang w:bidi="ar-MA"/>
        </w:rPr>
        <w:t>لكن</w:t>
      </w:r>
      <w:r w:rsidR="0007592C" w:rsidRPr="006571AC">
        <w:rPr>
          <w:rFonts w:hint="cs"/>
          <w:rtl/>
          <w:lang w:bidi="ar-MA"/>
        </w:rPr>
        <w:t>ْ</w:t>
      </w:r>
      <w:r w:rsidRPr="006571AC">
        <w:rPr>
          <w:rFonts w:hint="cs"/>
          <w:rtl/>
          <w:lang w:bidi="ar-MA"/>
        </w:rPr>
        <w:t xml:space="preserve"> </w:t>
      </w:r>
      <w:r w:rsidR="0007592C" w:rsidRPr="006571AC">
        <w:rPr>
          <w:rFonts w:hint="cs"/>
          <w:rtl/>
          <w:lang w:bidi="ar-MA"/>
        </w:rPr>
        <w:t xml:space="preserve">في </w:t>
      </w:r>
      <w:r w:rsidRPr="006571AC">
        <w:rPr>
          <w:rFonts w:hint="cs"/>
          <w:rtl/>
          <w:lang w:bidi="ar-MA"/>
        </w:rPr>
        <w:t>المقابل ف</w:t>
      </w:r>
      <w:r w:rsidR="0007592C" w:rsidRPr="006571AC">
        <w:rPr>
          <w:rFonts w:hint="cs"/>
          <w:rtl/>
          <w:lang w:bidi="ar-MA"/>
        </w:rPr>
        <w:t>إ</w:t>
      </w:r>
      <w:r w:rsidRPr="006571AC">
        <w:rPr>
          <w:rFonts w:hint="cs"/>
          <w:rtl/>
          <w:lang w:bidi="ar-MA"/>
        </w:rPr>
        <w:t>ن العالم النفسي والعقلي والوجداني للإنسان لا يزال في بداية الاستكشاف والمعرفة، وقد حان الوقت أكثر من أي</w:t>
      </w:r>
      <w:r w:rsidR="0007592C" w:rsidRPr="006571AC">
        <w:rPr>
          <w:rFonts w:hint="cs"/>
          <w:rtl/>
          <w:lang w:bidi="ar-MA"/>
        </w:rPr>
        <w:t>ّ</w:t>
      </w:r>
      <w:r w:rsidRPr="006571AC">
        <w:rPr>
          <w:rFonts w:hint="cs"/>
          <w:rtl/>
          <w:lang w:bidi="ar-MA"/>
        </w:rPr>
        <w:t xml:space="preserve"> وقت</w:t>
      </w:r>
      <w:r w:rsidR="0007592C" w:rsidRPr="006571AC">
        <w:rPr>
          <w:rFonts w:hint="cs"/>
          <w:rtl/>
          <w:lang w:bidi="ar-MA"/>
        </w:rPr>
        <w:t>ٍ</w:t>
      </w:r>
      <w:r w:rsidRPr="006571AC">
        <w:rPr>
          <w:rFonts w:hint="cs"/>
          <w:rtl/>
          <w:lang w:bidi="ar-MA"/>
        </w:rPr>
        <w:t xml:space="preserve"> مضى للتوج</w:t>
      </w:r>
      <w:r w:rsidR="0007592C" w:rsidRPr="006571AC">
        <w:rPr>
          <w:rFonts w:hint="cs"/>
          <w:rtl/>
          <w:lang w:bidi="ar-MA"/>
        </w:rPr>
        <w:t>ُّ</w:t>
      </w:r>
      <w:r w:rsidRPr="006571AC">
        <w:rPr>
          <w:rFonts w:hint="cs"/>
          <w:rtl/>
          <w:lang w:bidi="ar-MA"/>
        </w:rPr>
        <w:t>ه نحو هذه الجهة</w:t>
      </w:r>
      <w:r w:rsidR="0007592C" w:rsidRPr="006571AC">
        <w:rPr>
          <w:rFonts w:hint="cs"/>
          <w:rtl/>
          <w:lang w:bidi="ar-MA"/>
        </w:rPr>
        <w:t>،</w:t>
      </w:r>
      <w:r w:rsidRPr="006571AC">
        <w:rPr>
          <w:rFonts w:hint="cs"/>
          <w:rtl/>
          <w:lang w:bidi="ar-MA"/>
        </w:rPr>
        <w:t xml:space="preserve"> والعناية بالمعرفة العلمية الدقيقة أو الإجرائية التي تخص</w:t>
      </w:r>
      <w:r w:rsidR="0007592C" w:rsidRPr="006571AC">
        <w:rPr>
          <w:rFonts w:hint="cs"/>
          <w:rtl/>
          <w:lang w:bidi="ar-MA"/>
        </w:rPr>
        <w:t>ّ</w:t>
      </w:r>
      <w:r w:rsidRPr="006571AC">
        <w:rPr>
          <w:rFonts w:hint="cs"/>
          <w:rtl/>
          <w:lang w:bidi="ar-MA"/>
        </w:rPr>
        <w:t xml:space="preserve"> العالم النفسي والاجتماعي لهذا الإنسان، مع الابتعاد ق</w:t>
      </w:r>
      <w:r w:rsidR="0007592C" w:rsidRPr="006571AC">
        <w:rPr>
          <w:rFonts w:hint="cs"/>
          <w:rtl/>
          <w:lang w:bidi="ar-MA"/>
        </w:rPr>
        <w:t>َ</w:t>
      </w:r>
      <w:r w:rsidRPr="006571AC">
        <w:rPr>
          <w:rFonts w:hint="cs"/>
          <w:rtl/>
          <w:lang w:bidi="ar-MA"/>
        </w:rPr>
        <w:t>د</w:t>
      </w:r>
      <w:r w:rsidR="0007592C" w:rsidRPr="006571AC">
        <w:rPr>
          <w:rFonts w:hint="cs"/>
          <w:rtl/>
          <w:lang w:bidi="ar-MA"/>
        </w:rPr>
        <w:t>ْ</w:t>
      </w:r>
      <w:r w:rsidRPr="006571AC">
        <w:rPr>
          <w:rFonts w:hint="cs"/>
          <w:rtl/>
          <w:lang w:bidi="ar-MA"/>
        </w:rPr>
        <w:t>ر الإمكان عن الخطابات والبحوث غير الم</w:t>
      </w:r>
      <w:r w:rsidR="0007592C" w:rsidRPr="006571AC">
        <w:rPr>
          <w:rFonts w:hint="cs"/>
          <w:rtl/>
          <w:lang w:bidi="ar-MA"/>
        </w:rPr>
        <w:t>ُ</w:t>
      </w:r>
      <w:r w:rsidRPr="006571AC">
        <w:rPr>
          <w:rFonts w:hint="cs"/>
          <w:rtl/>
          <w:lang w:bidi="ar-MA"/>
        </w:rPr>
        <w:t>ج</w:t>
      </w:r>
      <w:r w:rsidR="0007592C" w:rsidRPr="006571AC">
        <w:rPr>
          <w:rFonts w:hint="cs"/>
          <w:rtl/>
          <w:lang w:bidi="ar-MA"/>
        </w:rPr>
        <w:t>ْ</w:t>
      </w:r>
      <w:r w:rsidRPr="006571AC">
        <w:rPr>
          <w:rFonts w:hint="cs"/>
          <w:rtl/>
          <w:lang w:bidi="ar-MA"/>
        </w:rPr>
        <w:t>د</w:t>
      </w:r>
      <w:r w:rsidR="0007592C" w:rsidRPr="006571AC">
        <w:rPr>
          <w:rFonts w:hint="cs"/>
          <w:rtl/>
          <w:lang w:bidi="ar-MA"/>
        </w:rPr>
        <w:t>ِ</w:t>
      </w:r>
      <w:r w:rsidRPr="006571AC">
        <w:rPr>
          <w:rFonts w:hint="cs"/>
          <w:rtl/>
          <w:lang w:bidi="ar-MA"/>
        </w:rPr>
        <w:t>ية وغير النافعة للإنسان...</w:t>
      </w:r>
      <w:r w:rsidRPr="006571AC">
        <w:rPr>
          <w:vertAlign w:val="superscript"/>
          <w:rtl/>
          <w:lang w:bidi="ar-MA"/>
        </w:rPr>
        <w:t>(</w:t>
      </w:r>
      <w:r w:rsidRPr="006571AC">
        <w:rPr>
          <w:rStyle w:val="ac"/>
          <w:sz w:val="27"/>
          <w:rtl/>
          <w:lang w:bidi="ar-MA"/>
        </w:rPr>
        <w:endnoteReference w:id="738"/>
      </w:r>
      <w:r w:rsidRPr="006571AC">
        <w:rPr>
          <w:vertAlign w:val="superscript"/>
          <w:rtl/>
          <w:lang w:bidi="ar-MA"/>
        </w:rPr>
        <w:t>)</w:t>
      </w:r>
      <w:r w:rsidRPr="006571AC">
        <w:rPr>
          <w:rtl/>
          <w:lang w:bidi="ar-MA"/>
        </w:rPr>
        <w:t>.</w:t>
      </w:r>
      <w:r w:rsidRPr="006571AC">
        <w:rPr>
          <w:rFonts w:hint="cs"/>
          <w:rtl/>
          <w:lang w:bidi="ar-MA"/>
        </w:rPr>
        <w:t xml:space="preserve"> </w:t>
      </w:r>
    </w:p>
    <w:p w:rsidR="0043677F" w:rsidRPr="006571AC" w:rsidRDefault="0043677F" w:rsidP="007C217D">
      <w:pPr>
        <w:spacing w:line="380" w:lineRule="exact"/>
        <w:rPr>
          <w:rtl/>
          <w:lang w:bidi="ar-MA"/>
        </w:rPr>
      </w:pPr>
      <w:r w:rsidRPr="006571AC">
        <w:rPr>
          <w:rFonts w:hint="cs"/>
          <w:rtl/>
          <w:lang w:bidi="ar-MA"/>
        </w:rPr>
        <w:t>وهذا التأخ</w:t>
      </w:r>
      <w:r w:rsidR="0007592C" w:rsidRPr="006571AC">
        <w:rPr>
          <w:rFonts w:hint="cs"/>
          <w:rtl/>
          <w:lang w:bidi="ar-MA"/>
        </w:rPr>
        <w:t>ُّ</w:t>
      </w:r>
      <w:r w:rsidRPr="006571AC">
        <w:rPr>
          <w:rFonts w:hint="cs"/>
          <w:rtl/>
          <w:lang w:bidi="ar-MA"/>
        </w:rPr>
        <w:t>ر في النشأة لا ي</w:t>
      </w:r>
      <w:r w:rsidR="0007592C" w:rsidRPr="006571AC">
        <w:rPr>
          <w:rFonts w:hint="cs"/>
          <w:rtl/>
          <w:lang w:bidi="ar-MA"/>
        </w:rPr>
        <w:t>ؤ</w:t>
      </w:r>
      <w:r w:rsidRPr="006571AC">
        <w:rPr>
          <w:rFonts w:hint="cs"/>
          <w:rtl/>
          <w:lang w:bidi="ar-MA"/>
        </w:rPr>
        <w:t>ث</w:t>
      </w:r>
      <w:r w:rsidR="0007592C" w:rsidRPr="006571AC">
        <w:rPr>
          <w:rFonts w:hint="cs"/>
          <w:rtl/>
          <w:lang w:bidi="ar-MA"/>
        </w:rPr>
        <w:t>ِّ</w:t>
      </w:r>
      <w:r w:rsidRPr="006571AC">
        <w:rPr>
          <w:rFonts w:hint="cs"/>
          <w:rtl/>
          <w:lang w:bidi="ar-MA"/>
        </w:rPr>
        <w:t>ر على هذه العلوم، ولا على مسارها</w:t>
      </w:r>
      <w:r w:rsidR="0007592C" w:rsidRPr="006571AC">
        <w:rPr>
          <w:rFonts w:hint="cs"/>
          <w:rtl/>
          <w:lang w:bidi="ar-MA"/>
        </w:rPr>
        <w:t>؛</w:t>
      </w:r>
      <w:r w:rsidRPr="006571AC">
        <w:rPr>
          <w:rFonts w:hint="cs"/>
          <w:rtl/>
          <w:lang w:bidi="ar-MA"/>
        </w:rPr>
        <w:t xml:space="preserve"> ل</w:t>
      </w:r>
      <w:r w:rsidR="0007592C" w:rsidRPr="006571AC">
        <w:rPr>
          <w:rFonts w:hint="cs"/>
          <w:rtl/>
          <w:lang w:bidi="ar-MA"/>
        </w:rPr>
        <w:t>أ</w:t>
      </w:r>
      <w:r w:rsidRPr="006571AC">
        <w:rPr>
          <w:rFonts w:hint="cs"/>
          <w:rtl/>
          <w:lang w:bidi="ar-MA"/>
        </w:rPr>
        <w:t>ن</w:t>
      </w:r>
      <w:r w:rsidR="0007592C" w:rsidRPr="006571AC">
        <w:rPr>
          <w:rFonts w:hint="cs"/>
          <w:rtl/>
          <w:lang w:bidi="ar-MA"/>
        </w:rPr>
        <w:t>ه</w:t>
      </w:r>
      <w:r w:rsidRPr="006571AC">
        <w:rPr>
          <w:rFonts w:hint="cs"/>
          <w:rtl/>
          <w:lang w:bidi="ar-MA"/>
        </w:rPr>
        <w:t xml:space="preserve"> قبل أن ينتقل الإنسان إلى معرفة ذاته، ورغم أن هذه المعرفة لم تكن متيس</w:t>
      </w:r>
      <w:r w:rsidR="0007592C" w:rsidRPr="006571AC">
        <w:rPr>
          <w:rFonts w:hint="cs"/>
          <w:rtl/>
          <w:lang w:bidi="ar-MA"/>
        </w:rPr>
        <w:t>ِّ</w:t>
      </w:r>
      <w:r w:rsidRPr="006571AC">
        <w:rPr>
          <w:rFonts w:hint="cs"/>
          <w:rtl/>
          <w:lang w:bidi="ar-MA"/>
        </w:rPr>
        <w:t>رة</w:t>
      </w:r>
      <w:r w:rsidR="00F079E8" w:rsidRPr="006571AC">
        <w:rPr>
          <w:rFonts w:hint="cs"/>
          <w:rtl/>
          <w:lang w:bidi="ar-MA"/>
        </w:rPr>
        <w:t>ً</w:t>
      </w:r>
      <w:r w:rsidRPr="006571AC">
        <w:rPr>
          <w:rFonts w:hint="cs"/>
          <w:rtl/>
          <w:lang w:bidi="ar-MA"/>
        </w:rPr>
        <w:t xml:space="preserve"> إلا</w:t>
      </w:r>
      <w:r w:rsidR="0007592C" w:rsidRPr="006571AC">
        <w:rPr>
          <w:rFonts w:hint="cs"/>
          <w:rtl/>
          <w:lang w:bidi="ar-MA"/>
        </w:rPr>
        <w:t>ّ</w:t>
      </w:r>
      <w:r w:rsidRPr="006571AC">
        <w:rPr>
          <w:rFonts w:hint="cs"/>
          <w:rtl/>
          <w:lang w:bidi="ar-MA"/>
        </w:rPr>
        <w:t xml:space="preserve"> في وقت</w:t>
      </w:r>
      <w:r w:rsidR="00F079E8" w:rsidRPr="006571AC">
        <w:rPr>
          <w:rFonts w:hint="cs"/>
          <w:rtl/>
          <w:lang w:bidi="ar-MA"/>
        </w:rPr>
        <w:t>ٍ</w:t>
      </w:r>
      <w:r w:rsidRPr="006571AC">
        <w:rPr>
          <w:rFonts w:hint="cs"/>
          <w:rtl/>
          <w:lang w:bidi="ar-MA"/>
        </w:rPr>
        <w:t xml:space="preserve"> متأخ</w:t>
      </w:r>
      <w:r w:rsidR="0007592C" w:rsidRPr="006571AC">
        <w:rPr>
          <w:rFonts w:hint="cs"/>
          <w:rtl/>
          <w:lang w:bidi="ar-MA"/>
        </w:rPr>
        <w:t>ِّ</w:t>
      </w:r>
      <w:r w:rsidRPr="006571AC">
        <w:rPr>
          <w:rFonts w:hint="cs"/>
          <w:rtl/>
          <w:lang w:bidi="ar-MA"/>
        </w:rPr>
        <w:t>ر، ف</w:t>
      </w:r>
      <w:r w:rsidR="0007592C" w:rsidRPr="006571AC">
        <w:rPr>
          <w:rFonts w:hint="cs"/>
          <w:rtl/>
          <w:lang w:bidi="ar-MA"/>
        </w:rPr>
        <w:t>إ</w:t>
      </w:r>
      <w:r w:rsidRPr="006571AC">
        <w:rPr>
          <w:rFonts w:hint="cs"/>
          <w:rtl/>
          <w:lang w:bidi="ar-MA"/>
        </w:rPr>
        <w:t>ن الجهة التي نال</w:t>
      </w:r>
      <w:r w:rsidR="00F079E8" w:rsidRPr="006571AC">
        <w:rPr>
          <w:rFonts w:hint="cs"/>
          <w:rtl/>
          <w:lang w:bidi="ar-MA"/>
        </w:rPr>
        <w:t>َ</w:t>
      </w:r>
      <w:r w:rsidRPr="006571AC">
        <w:rPr>
          <w:rFonts w:hint="cs"/>
          <w:rtl/>
          <w:lang w:bidi="ar-MA"/>
        </w:rPr>
        <w:t>ت</w:t>
      </w:r>
      <w:r w:rsidR="00F079E8" w:rsidRPr="006571AC">
        <w:rPr>
          <w:rFonts w:hint="cs"/>
          <w:rtl/>
          <w:lang w:bidi="ar-MA"/>
        </w:rPr>
        <w:t>ْ</w:t>
      </w:r>
      <w:r w:rsidRPr="006571AC">
        <w:rPr>
          <w:rFonts w:hint="cs"/>
          <w:rtl/>
          <w:lang w:bidi="ar-MA"/>
        </w:rPr>
        <w:t xml:space="preserve"> ال</w:t>
      </w:r>
      <w:r w:rsidR="007C217D" w:rsidRPr="006571AC">
        <w:rPr>
          <w:rFonts w:hint="cs"/>
          <w:rtl/>
          <w:lang w:bidi="ar-MA"/>
        </w:rPr>
        <w:t>أ</w:t>
      </w:r>
      <w:r w:rsidRPr="006571AC">
        <w:rPr>
          <w:rFonts w:hint="cs"/>
          <w:rtl/>
          <w:lang w:bidi="ar-MA"/>
        </w:rPr>
        <w:t>ولوية هي جهة الك</w:t>
      </w:r>
      <w:r w:rsidR="00F079E8" w:rsidRPr="006571AC">
        <w:rPr>
          <w:rFonts w:hint="cs"/>
          <w:rtl/>
          <w:lang w:bidi="ar-MA"/>
        </w:rPr>
        <w:t>َ</w:t>
      </w:r>
      <w:r w:rsidRPr="006571AC">
        <w:rPr>
          <w:rFonts w:hint="cs"/>
          <w:rtl/>
          <w:lang w:bidi="ar-MA"/>
        </w:rPr>
        <w:t>و</w:t>
      </w:r>
      <w:r w:rsidR="00F079E8" w:rsidRPr="006571AC">
        <w:rPr>
          <w:rFonts w:hint="cs"/>
          <w:rtl/>
          <w:lang w:bidi="ar-MA"/>
        </w:rPr>
        <w:t>ْ</w:t>
      </w:r>
      <w:r w:rsidRPr="006571AC">
        <w:rPr>
          <w:rFonts w:hint="cs"/>
          <w:rtl/>
          <w:lang w:bidi="ar-MA"/>
        </w:rPr>
        <w:t>ن المحيط بالإنسان، وهو ما يفس</w:t>
      </w:r>
      <w:r w:rsidR="00F079E8" w:rsidRPr="006571AC">
        <w:rPr>
          <w:rFonts w:hint="cs"/>
          <w:rtl/>
          <w:lang w:bidi="ar-MA"/>
        </w:rPr>
        <w:t>ِّ</w:t>
      </w:r>
      <w:r w:rsidRPr="006571AC">
        <w:rPr>
          <w:rFonts w:hint="cs"/>
          <w:rtl/>
          <w:lang w:bidi="ar-MA"/>
        </w:rPr>
        <w:t>ر ويبر</w:t>
      </w:r>
      <w:r w:rsidR="00F079E8" w:rsidRPr="006571AC">
        <w:rPr>
          <w:rFonts w:hint="cs"/>
          <w:rtl/>
          <w:lang w:bidi="ar-MA"/>
        </w:rPr>
        <w:t>ِّ</w:t>
      </w:r>
      <w:r w:rsidRPr="006571AC">
        <w:rPr>
          <w:rFonts w:hint="cs"/>
          <w:rtl/>
          <w:lang w:bidi="ar-MA"/>
        </w:rPr>
        <w:t>ر لنا مدى التأخ</w:t>
      </w:r>
      <w:r w:rsidR="00F079E8" w:rsidRPr="006571AC">
        <w:rPr>
          <w:rFonts w:hint="cs"/>
          <w:rtl/>
          <w:lang w:bidi="ar-MA"/>
        </w:rPr>
        <w:t>ُّ</w:t>
      </w:r>
      <w:r w:rsidRPr="006571AC">
        <w:rPr>
          <w:rFonts w:hint="cs"/>
          <w:rtl/>
          <w:lang w:bidi="ar-MA"/>
        </w:rPr>
        <w:t>ر الذي عاش</w:t>
      </w:r>
      <w:r w:rsidR="007C217D" w:rsidRPr="006571AC">
        <w:rPr>
          <w:rFonts w:hint="cs"/>
          <w:rtl/>
          <w:lang w:bidi="ar-MA"/>
        </w:rPr>
        <w:t>َ</w:t>
      </w:r>
      <w:r w:rsidRPr="006571AC">
        <w:rPr>
          <w:rFonts w:hint="cs"/>
          <w:rtl/>
          <w:lang w:bidi="ar-MA"/>
        </w:rPr>
        <w:t>ت</w:t>
      </w:r>
      <w:r w:rsidR="007C217D" w:rsidRPr="006571AC">
        <w:rPr>
          <w:rFonts w:hint="cs"/>
          <w:rtl/>
          <w:lang w:bidi="ar-MA"/>
        </w:rPr>
        <w:t>ْ</w:t>
      </w:r>
      <w:r w:rsidRPr="006571AC">
        <w:rPr>
          <w:rFonts w:hint="cs"/>
          <w:rtl/>
          <w:lang w:bidi="ar-MA"/>
        </w:rPr>
        <w:t>ه ومر</w:t>
      </w:r>
      <w:r w:rsidR="00F079E8" w:rsidRPr="006571AC">
        <w:rPr>
          <w:rFonts w:hint="cs"/>
          <w:rtl/>
          <w:lang w:bidi="ar-MA"/>
        </w:rPr>
        <w:t>َّ</w:t>
      </w:r>
      <w:r w:rsidRPr="006571AC">
        <w:rPr>
          <w:rFonts w:hint="cs"/>
          <w:rtl/>
          <w:lang w:bidi="ar-MA"/>
        </w:rPr>
        <w:t>ت</w:t>
      </w:r>
      <w:r w:rsidR="00F079E8" w:rsidRPr="006571AC">
        <w:rPr>
          <w:rFonts w:hint="cs"/>
          <w:rtl/>
          <w:lang w:bidi="ar-MA"/>
        </w:rPr>
        <w:t>ْ</w:t>
      </w:r>
      <w:r w:rsidRPr="006571AC">
        <w:rPr>
          <w:rFonts w:hint="cs"/>
          <w:rtl/>
          <w:lang w:bidi="ar-MA"/>
        </w:rPr>
        <w:t xml:space="preserve"> منه العلوم الإنسانية في نشأتها وتطو</w:t>
      </w:r>
      <w:r w:rsidR="00F079E8" w:rsidRPr="006571AC">
        <w:rPr>
          <w:rFonts w:hint="cs"/>
          <w:rtl/>
          <w:lang w:bidi="ar-MA"/>
        </w:rPr>
        <w:t>ُّ</w:t>
      </w:r>
      <w:r w:rsidRPr="006571AC">
        <w:rPr>
          <w:rFonts w:hint="cs"/>
          <w:rtl/>
          <w:lang w:bidi="ar-MA"/>
        </w:rPr>
        <w:t>رها، وانتقالها بين الحضارات والثقافات، و</w:t>
      </w:r>
      <w:r w:rsidR="00F079E8" w:rsidRPr="006571AC">
        <w:rPr>
          <w:rFonts w:hint="cs"/>
          <w:rtl/>
          <w:lang w:bidi="ar-MA"/>
        </w:rPr>
        <w:t>إ</w:t>
      </w:r>
      <w:r w:rsidRPr="006571AC">
        <w:rPr>
          <w:rFonts w:hint="cs"/>
          <w:rtl/>
          <w:lang w:bidi="ar-MA"/>
        </w:rPr>
        <w:t>ن</w:t>
      </w:r>
      <w:r w:rsidR="00F079E8" w:rsidRPr="006571AC">
        <w:rPr>
          <w:rFonts w:hint="cs"/>
          <w:rtl/>
          <w:lang w:bidi="ar-MA"/>
        </w:rPr>
        <w:t>ْ</w:t>
      </w:r>
      <w:r w:rsidRPr="006571AC">
        <w:rPr>
          <w:rFonts w:hint="cs"/>
          <w:rtl/>
          <w:lang w:bidi="ar-MA"/>
        </w:rPr>
        <w:t xml:space="preserve"> كانت الحاجة تزداد إلى هذه العلوم بشكل</w:t>
      </w:r>
      <w:r w:rsidR="00F079E8" w:rsidRPr="006571AC">
        <w:rPr>
          <w:rFonts w:hint="cs"/>
          <w:rtl/>
          <w:lang w:bidi="ar-MA"/>
        </w:rPr>
        <w:t>ٍ</w:t>
      </w:r>
      <w:r w:rsidRPr="006571AC">
        <w:rPr>
          <w:rFonts w:hint="cs"/>
          <w:rtl/>
          <w:lang w:bidi="ar-MA"/>
        </w:rPr>
        <w:t xml:space="preserve"> أك</w:t>
      </w:r>
      <w:r w:rsidR="00F079E8" w:rsidRPr="006571AC">
        <w:rPr>
          <w:rFonts w:hint="cs"/>
          <w:rtl/>
          <w:lang w:bidi="ar-MA"/>
        </w:rPr>
        <w:t>ب</w:t>
      </w:r>
      <w:r w:rsidRPr="006571AC">
        <w:rPr>
          <w:rFonts w:hint="cs"/>
          <w:rtl/>
          <w:lang w:bidi="ar-MA"/>
        </w:rPr>
        <w:t>ر في السنوات الأخيرة</w:t>
      </w:r>
      <w:r w:rsidR="00F079E8" w:rsidRPr="006571AC">
        <w:rPr>
          <w:rFonts w:hint="cs"/>
          <w:rtl/>
          <w:lang w:bidi="ar-MA"/>
        </w:rPr>
        <w:t>؛</w:t>
      </w:r>
      <w:r w:rsidRPr="006571AC">
        <w:rPr>
          <w:rFonts w:hint="cs"/>
          <w:rtl/>
          <w:lang w:bidi="ar-MA"/>
        </w:rPr>
        <w:t xml:space="preserve"> بسبب تطو</w:t>
      </w:r>
      <w:r w:rsidR="00F079E8" w:rsidRPr="006571AC">
        <w:rPr>
          <w:rFonts w:hint="cs"/>
          <w:rtl/>
          <w:lang w:bidi="ar-MA"/>
        </w:rPr>
        <w:t>ُّ</w:t>
      </w:r>
      <w:r w:rsidRPr="006571AC">
        <w:rPr>
          <w:rFonts w:hint="cs"/>
          <w:rtl/>
          <w:lang w:bidi="ar-MA"/>
        </w:rPr>
        <w:t>ر وتعق</w:t>
      </w:r>
      <w:r w:rsidR="00F079E8" w:rsidRPr="006571AC">
        <w:rPr>
          <w:rFonts w:hint="cs"/>
          <w:rtl/>
          <w:lang w:bidi="ar-MA"/>
        </w:rPr>
        <w:t>ُّ</w:t>
      </w:r>
      <w:r w:rsidRPr="006571AC">
        <w:rPr>
          <w:rFonts w:hint="cs"/>
          <w:rtl/>
          <w:lang w:bidi="ar-MA"/>
        </w:rPr>
        <w:t>د الحياة</w:t>
      </w:r>
      <w:r w:rsidRPr="006571AC">
        <w:rPr>
          <w:vertAlign w:val="superscript"/>
          <w:rtl/>
          <w:lang w:bidi="ar-MA"/>
        </w:rPr>
        <w:t>(</w:t>
      </w:r>
      <w:r w:rsidRPr="006571AC">
        <w:rPr>
          <w:rStyle w:val="ac"/>
          <w:sz w:val="27"/>
          <w:rtl/>
          <w:lang w:bidi="ar-MA"/>
        </w:rPr>
        <w:endnoteReference w:id="739"/>
      </w:r>
      <w:r w:rsidRPr="006571AC">
        <w:rPr>
          <w:vertAlign w:val="superscript"/>
          <w:rtl/>
          <w:lang w:bidi="ar-MA"/>
        </w:rPr>
        <w:t>)</w:t>
      </w:r>
      <w:r w:rsidRPr="006571AC">
        <w:rPr>
          <w:rtl/>
          <w:lang w:bidi="ar-MA"/>
        </w:rPr>
        <w:t xml:space="preserve">. </w:t>
      </w:r>
    </w:p>
    <w:p w:rsidR="007C217D" w:rsidRPr="006571AC" w:rsidRDefault="007C217D" w:rsidP="007C217D">
      <w:pPr>
        <w:spacing w:line="380" w:lineRule="exact"/>
        <w:rPr>
          <w:rtl/>
          <w:lang w:bidi="ar-MA"/>
        </w:rPr>
      </w:pPr>
    </w:p>
    <w:p w:rsidR="0043677F" w:rsidRPr="006571AC" w:rsidRDefault="0043677F" w:rsidP="00543879">
      <w:pPr>
        <w:pStyle w:val="31"/>
        <w:rPr>
          <w:color w:val="auto"/>
          <w:rtl/>
          <w:lang w:bidi="ar-MA"/>
        </w:rPr>
      </w:pPr>
      <w:bookmarkStart w:id="446" w:name="_Toc114164854"/>
      <w:r w:rsidRPr="006571AC">
        <w:rPr>
          <w:rFonts w:hint="cs"/>
          <w:color w:val="auto"/>
          <w:rtl/>
          <w:lang w:bidi="ar-MA"/>
        </w:rPr>
        <w:t>العلوم الإنساني</w:t>
      </w:r>
      <w:r w:rsidR="00D12571" w:rsidRPr="006571AC">
        <w:rPr>
          <w:rFonts w:hint="cs"/>
          <w:color w:val="auto"/>
          <w:rtl/>
          <w:lang w:bidi="ar-MA"/>
        </w:rPr>
        <w:t>ّ</w:t>
      </w:r>
      <w:r w:rsidRPr="006571AC">
        <w:rPr>
          <w:rFonts w:hint="cs"/>
          <w:color w:val="auto"/>
          <w:rtl/>
          <w:lang w:bidi="ar-MA"/>
        </w:rPr>
        <w:t xml:space="preserve">ة </w:t>
      </w:r>
      <w:r w:rsidR="00543879" w:rsidRPr="006571AC">
        <w:rPr>
          <w:rFonts w:hint="cs"/>
          <w:color w:val="auto"/>
          <w:rtl/>
          <w:lang w:bidi="ar-MA"/>
        </w:rPr>
        <w:t>و</w:t>
      </w:r>
      <w:r w:rsidRPr="006571AC">
        <w:rPr>
          <w:rFonts w:hint="cs"/>
          <w:color w:val="auto"/>
          <w:rtl/>
          <w:lang w:bidi="ar-MA"/>
        </w:rPr>
        <w:t>الامتدادات الفلسفي</w:t>
      </w:r>
      <w:r w:rsidR="00543879" w:rsidRPr="006571AC">
        <w:rPr>
          <w:rFonts w:hint="cs"/>
          <w:color w:val="auto"/>
          <w:rtl/>
          <w:lang w:bidi="ar-MA"/>
        </w:rPr>
        <w:t>ّ</w:t>
      </w:r>
      <w:r w:rsidRPr="006571AC">
        <w:rPr>
          <w:rFonts w:hint="cs"/>
          <w:color w:val="auto"/>
          <w:rtl/>
          <w:lang w:bidi="ar-MA"/>
        </w:rPr>
        <w:t>ة</w:t>
      </w:r>
      <w:bookmarkEnd w:id="446"/>
    </w:p>
    <w:p w:rsidR="0043677F" w:rsidRPr="006571AC" w:rsidRDefault="0043677F" w:rsidP="004F6064">
      <w:pPr>
        <w:rPr>
          <w:rFonts w:ascii="Algerian" w:hAnsi="Algerian"/>
          <w:sz w:val="27"/>
          <w:rtl/>
          <w:lang w:bidi="ar-MA"/>
        </w:rPr>
      </w:pPr>
      <w:r w:rsidRPr="006571AC">
        <w:rPr>
          <w:rFonts w:ascii="Arial" w:hAnsi="Arial" w:hint="cs"/>
          <w:sz w:val="27"/>
          <w:rtl/>
          <w:lang w:bidi="ar-MA"/>
        </w:rPr>
        <w:t>ت</w:t>
      </w:r>
      <w:r w:rsidR="00F079E8" w:rsidRPr="006571AC">
        <w:rPr>
          <w:rFonts w:ascii="Arial" w:hAnsi="Arial" w:hint="cs"/>
          <w:sz w:val="27"/>
          <w:rtl/>
          <w:lang w:bidi="ar-MA"/>
        </w:rPr>
        <w:t>ُ</w:t>
      </w:r>
      <w:r w:rsidRPr="006571AC">
        <w:rPr>
          <w:rFonts w:ascii="Arial" w:hAnsi="Arial" w:hint="cs"/>
          <w:sz w:val="27"/>
          <w:rtl/>
          <w:lang w:bidi="ar-MA"/>
        </w:rPr>
        <w:t>ع</w:t>
      </w:r>
      <w:r w:rsidR="00F079E8" w:rsidRPr="006571AC">
        <w:rPr>
          <w:rFonts w:ascii="Arial" w:hAnsi="Arial" w:hint="cs"/>
          <w:sz w:val="27"/>
          <w:rtl/>
          <w:lang w:bidi="ar-MA"/>
        </w:rPr>
        <w:t>َ</w:t>
      </w:r>
      <w:r w:rsidRPr="006571AC">
        <w:rPr>
          <w:rFonts w:ascii="Arial" w:hAnsi="Arial" w:hint="cs"/>
          <w:sz w:val="27"/>
          <w:rtl/>
          <w:lang w:bidi="ar-MA"/>
        </w:rPr>
        <w:t>د</w:t>
      </w:r>
      <w:r w:rsidR="00F079E8" w:rsidRPr="006571AC">
        <w:rPr>
          <w:rFonts w:ascii="Arial" w:hAnsi="Arial" w:hint="cs"/>
          <w:sz w:val="27"/>
          <w:rtl/>
          <w:lang w:bidi="ar-MA"/>
        </w:rPr>
        <w:t>ّ</w:t>
      </w:r>
      <w:r w:rsidRPr="006571AC">
        <w:rPr>
          <w:rFonts w:ascii="Arial" w:hAnsi="Arial" w:hint="cs"/>
          <w:sz w:val="27"/>
          <w:rtl/>
          <w:lang w:bidi="ar-MA"/>
        </w:rPr>
        <w:t xml:space="preserve"> المرحلة الفلسفية من أهم</w:t>
      </w:r>
      <w:r w:rsidR="00F079E8" w:rsidRPr="006571AC">
        <w:rPr>
          <w:rFonts w:ascii="Arial" w:hAnsi="Arial" w:hint="cs"/>
          <w:sz w:val="27"/>
          <w:rtl/>
          <w:lang w:bidi="ar-MA"/>
        </w:rPr>
        <w:t>ّ</w:t>
      </w:r>
      <w:r w:rsidRPr="006571AC">
        <w:rPr>
          <w:rFonts w:ascii="Arial" w:hAnsi="Arial" w:hint="cs"/>
          <w:sz w:val="27"/>
          <w:rtl/>
          <w:lang w:bidi="ar-MA"/>
        </w:rPr>
        <w:t xml:space="preserve"> المراحل التي قطع</w:t>
      </w:r>
      <w:r w:rsidR="00F079E8" w:rsidRPr="006571AC">
        <w:rPr>
          <w:rFonts w:ascii="Arial" w:hAnsi="Arial" w:hint="cs"/>
          <w:sz w:val="27"/>
          <w:rtl/>
          <w:lang w:bidi="ar-MA"/>
        </w:rPr>
        <w:t>َ</w:t>
      </w:r>
      <w:r w:rsidRPr="006571AC">
        <w:rPr>
          <w:rFonts w:ascii="Arial" w:hAnsi="Arial" w:hint="cs"/>
          <w:sz w:val="27"/>
          <w:rtl/>
          <w:lang w:bidi="ar-MA"/>
        </w:rPr>
        <w:t>ت</w:t>
      </w:r>
      <w:r w:rsidR="00F079E8" w:rsidRPr="006571AC">
        <w:rPr>
          <w:rFonts w:ascii="Arial" w:hAnsi="Arial" w:hint="cs"/>
          <w:sz w:val="27"/>
          <w:rtl/>
          <w:lang w:bidi="ar-MA"/>
        </w:rPr>
        <w:t>ْ</w:t>
      </w:r>
      <w:r w:rsidRPr="006571AC">
        <w:rPr>
          <w:rFonts w:ascii="Arial" w:hAnsi="Arial" w:hint="cs"/>
          <w:sz w:val="27"/>
          <w:rtl/>
          <w:lang w:bidi="ar-MA"/>
        </w:rPr>
        <w:t>ها ومر</w:t>
      </w:r>
      <w:r w:rsidR="00F079E8" w:rsidRPr="006571AC">
        <w:rPr>
          <w:rFonts w:ascii="Arial" w:hAnsi="Arial" w:hint="cs"/>
          <w:sz w:val="27"/>
          <w:rtl/>
          <w:lang w:bidi="ar-MA"/>
        </w:rPr>
        <w:t>َّ</w:t>
      </w:r>
      <w:r w:rsidRPr="006571AC">
        <w:rPr>
          <w:rFonts w:ascii="Arial" w:hAnsi="Arial" w:hint="cs"/>
          <w:sz w:val="27"/>
          <w:rtl/>
          <w:lang w:bidi="ar-MA"/>
        </w:rPr>
        <w:t>ت</w:t>
      </w:r>
      <w:r w:rsidR="00F079E8" w:rsidRPr="006571AC">
        <w:rPr>
          <w:rFonts w:ascii="Arial" w:hAnsi="Arial" w:hint="cs"/>
          <w:sz w:val="27"/>
          <w:rtl/>
          <w:lang w:bidi="ar-MA"/>
        </w:rPr>
        <w:t>ْ</w:t>
      </w:r>
      <w:r w:rsidRPr="006571AC">
        <w:rPr>
          <w:rFonts w:ascii="Arial" w:hAnsi="Arial" w:hint="cs"/>
          <w:sz w:val="27"/>
          <w:rtl/>
          <w:lang w:bidi="ar-MA"/>
        </w:rPr>
        <w:t xml:space="preserve"> منها العلوم الإنسانية</w:t>
      </w:r>
      <w:r w:rsidR="00F079E8" w:rsidRPr="006571AC">
        <w:rPr>
          <w:rFonts w:ascii="Arial" w:hAnsi="Arial" w:hint="cs"/>
          <w:sz w:val="27"/>
          <w:rtl/>
          <w:lang w:bidi="ar-MA"/>
        </w:rPr>
        <w:t>.</w:t>
      </w:r>
      <w:r w:rsidRPr="006571AC">
        <w:rPr>
          <w:rFonts w:ascii="Arial" w:hAnsi="Arial" w:hint="cs"/>
          <w:sz w:val="27"/>
          <w:rtl/>
          <w:lang w:bidi="ar-MA"/>
        </w:rPr>
        <w:t xml:space="preserve"> </w:t>
      </w:r>
      <w:r w:rsidRPr="006571AC">
        <w:rPr>
          <w:rFonts w:ascii="Arial" w:hAnsi="Arial" w:hint="cs"/>
          <w:sz w:val="27"/>
          <w:rtl/>
          <w:lang w:bidi="ar-MA"/>
        </w:rPr>
        <w:lastRenderedPageBreak/>
        <w:t>وقبل هذه المرحلة كانت الممارسات والبحوث في الإنسانيات وفي كل</w:t>
      </w:r>
      <w:r w:rsidR="00F079E8" w:rsidRPr="006571AC">
        <w:rPr>
          <w:rFonts w:ascii="Arial" w:hAnsi="Arial" w:hint="cs"/>
          <w:sz w:val="27"/>
          <w:rtl/>
          <w:lang w:bidi="ar-MA"/>
        </w:rPr>
        <w:t>ّ</w:t>
      </w:r>
      <w:r w:rsidRPr="006571AC">
        <w:rPr>
          <w:rFonts w:ascii="Arial" w:hAnsi="Arial" w:hint="cs"/>
          <w:sz w:val="27"/>
          <w:rtl/>
          <w:lang w:bidi="ar-MA"/>
        </w:rPr>
        <w:t xml:space="preserve"> ما يت</w:t>
      </w:r>
      <w:r w:rsidR="00F079E8" w:rsidRPr="006571AC">
        <w:rPr>
          <w:rFonts w:ascii="Arial" w:hAnsi="Arial" w:hint="cs"/>
          <w:sz w:val="27"/>
          <w:rtl/>
          <w:lang w:bidi="ar-MA"/>
        </w:rPr>
        <w:t>ّ</w:t>
      </w:r>
      <w:r w:rsidRPr="006571AC">
        <w:rPr>
          <w:rFonts w:ascii="Arial" w:hAnsi="Arial" w:hint="cs"/>
          <w:sz w:val="27"/>
          <w:rtl/>
          <w:lang w:bidi="ar-MA"/>
        </w:rPr>
        <w:t>صل بالب</w:t>
      </w:r>
      <w:r w:rsidR="00F079E8" w:rsidRPr="006571AC">
        <w:rPr>
          <w:rFonts w:ascii="Arial" w:hAnsi="Arial" w:hint="cs"/>
          <w:sz w:val="27"/>
          <w:rtl/>
          <w:lang w:bidi="ar-MA"/>
        </w:rPr>
        <w:t>ُ</w:t>
      </w:r>
      <w:r w:rsidRPr="006571AC">
        <w:rPr>
          <w:rFonts w:ascii="Arial" w:hAnsi="Arial" w:hint="cs"/>
          <w:sz w:val="27"/>
          <w:rtl/>
          <w:lang w:bidi="ar-MA"/>
        </w:rPr>
        <w:t>ع</w:t>
      </w:r>
      <w:r w:rsidR="00F079E8" w:rsidRPr="006571AC">
        <w:rPr>
          <w:rFonts w:ascii="Arial" w:hAnsi="Arial" w:hint="cs"/>
          <w:sz w:val="27"/>
          <w:rtl/>
          <w:lang w:bidi="ar-MA"/>
        </w:rPr>
        <w:t>ْ</w:t>
      </w:r>
      <w:r w:rsidRPr="006571AC">
        <w:rPr>
          <w:rFonts w:ascii="Arial" w:hAnsi="Arial" w:hint="cs"/>
          <w:sz w:val="27"/>
          <w:rtl/>
          <w:lang w:bidi="ar-MA"/>
        </w:rPr>
        <w:t>د النفسي والاجتماعي والق</w:t>
      </w:r>
      <w:r w:rsidR="00F079E8" w:rsidRPr="006571AC">
        <w:rPr>
          <w:rFonts w:ascii="Arial" w:hAnsi="Arial" w:hint="cs"/>
          <w:sz w:val="27"/>
          <w:rtl/>
          <w:lang w:bidi="ar-MA"/>
        </w:rPr>
        <w:t>ِ</w:t>
      </w:r>
      <w:r w:rsidRPr="006571AC">
        <w:rPr>
          <w:rFonts w:ascii="Arial" w:hAnsi="Arial" w:hint="cs"/>
          <w:sz w:val="27"/>
          <w:rtl/>
          <w:lang w:bidi="ar-MA"/>
        </w:rPr>
        <w:t>ي</w:t>
      </w:r>
      <w:r w:rsidR="00F079E8" w:rsidRPr="006571AC">
        <w:rPr>
          <w:rFonts w:ascii="Arial" w:hAnsi="Arial" w:hint="cs"/>
          <w:sz w:val="27"/>
          <w:rtl/>
          <w:lang w:bidi="ar-MA"/>
        </w:rPr>
        <w:t>َ</w:t>
      </w:r>
      <w:r w:rsidRPr="006571AC">
        <w:rPr>
          <w:rFonts w:ascii="Arial" w:hAnsi="Arial" w:hint="cs"/>
          <w:sz w:val="27"/>
          <w:rtl/>
          <w:lang w:bidi="ar-MA"/>
        </w:rPr>
        <w:t>مي للإنسان يمار</w:t>
      </w:r>
      <w:r w:rsidR="00F079E8" w:rsidRPr="006571AC">
        <w:rPr>
          <w:rFonts w:ascii="Arial" w:hAnsi="Arial" w:hint="cs"/>
          <w:sz w:val="27"/>
          <w:rtl/>
          <w:lang w:bidi="ar-MA"/>
        </w:rPr>
        <w:t>َ</w:t>
      </w:r>
      <w:r w:rsidRPr="006571AC">
        <w:rPr>
          <w:rFonts w:ascii="Arial" w:hAnsi="Arial" w:hint="cs"/>
          <w:sz w:val="27"/>
          <w:rtl/>
          <w:lang w:bidi="ar-MA"/>
        </w:rPr>
        <w:t>س بشكل</w:t>
      </w:r>
      <w:r w:rsidR="00F079E8" w:rsidRPr="006571AC">
        <w:rPr>
          <w:rFonts w:ascii="Arial" w:hAnsi="Arial" w:hint="cs"/>
          <w:sz w:val="27"/>
          <w:rtl/>
          <w:lang w:bidi="ar-MA"/>
        </w:rPr>
        <w:t>ٍ</w:t>
      </w:r>
      <w:r w:rsidRPr="006571AC">
        <w:rPr>
          <w:rFonts w:ascii="Arial" w:hAnsi="Arial" w:hint="cs"/>
          <w:sz w:val="27"/>
          <w:rtl/>
          <w:lang w:bidi="ar-MA"/>
        </w:rPr>
        <w:t xml:space="preserve"> تلقائي</w:t>
      </w:r>
      <w:r w:rsidR="00F079E8" w:rsidRPr="006571AC">
        <w:rPr>
          <w:rFonts w:ascii="Arial" w:hAnsi="Arial" w:hint="cs"/>
          <w:sz w:val="27"/>
          <w:rtl/>
          <w:lang w:bidi="ar-MA"/>
        </w:rPr>
        <w:t>ّ،</w:t>
      </w:r>
      <w:r w:rsidRPr="006571AC">
        <w:rPr>
          <w:rFonts w:ascii="Arial" w:hAnsi="Arial" w:hint="cs"/>
          <w:sz w:val="27"/>
          <w:rtl/>
          <w:lang w:bidi="ar-MA"/>
        </w:rPr>
        <w:t xml:space="preserve"> وأحيانا</w:t>
      </w:r>
      <w:r w:rsidR="00F079E8" w:rsidRPr="006571AC">
        <w:rPr>
          <w:rFonts w:ascii="Arial" w:hAnsi="Arial" w:hint="cs"/>
          <w:sz w:val="27"/>
          <w:rtl/>
          <w:lang w:bidi="ar-MA"/>
        </w:rPr>
        <w:t>ً</w:t>
      </w:r>
      <w:r w:rsidRPr="006571AC">
        <w:rPr>
          <w:rFonts w:ascii="Arial" w:hAnsi="Arial" w:hint="cs"/>
          <w:sz w:val="27"/>
          <w:rtl/>
          <w:lang w:bidi="ar-MA"/>
        </w:rPr>
        <w:t xml:space="preserve"> بشكل</w:t>
      </w:r>
      <w:r w:rsidR="00F079E8" w:rsidRPr="006571AC">
        <w:rPr>
          <w:rFonts w:ascii="Arial" w:hAnsi="Arial" w:hint="cs"/>
          <w:sz w:val="27"/>
          <w:rtl/>
          <w:lang w:bidi="ar-MA"/>
        </w:rPr>
        <w:t>ٍ</w:t>
      </w:r>
      <w:r w:rsidRPr="006571AC">
        <w:rPr>
          <w:rFonts w:ascii="Arial" w:hAnsi="Arial" w:hint="cs"/>
          <w:sz w:val="27"/>
          <w:rtl/>
          <w:lang w:bidi="ar-MA"/>
        </w:rPr>
        <w:t xml:space="preserve"> عفوي من حيث الممارسة والفعل والحضور والمقارب</w:t>
      </w:r>
      <w:r w:rsidRPr="006571AC">
        <w:rPr>
          <w:rFonts w:ascii="Arial" w:hAnsi="Arial" w:hint="eastAsia"/>
          <w:sz w:val="27"/>
          <w:rtl/>
          <w:lang w:bidi="ar-MA"/>
        </w:rPr>
        <w:t>ة</w:t>
      </w:r>
      <w:r w:rsidR="00F079E8" w:rsidRPr="006571AC">
        <w:rPr>
          <w:rFonts w:ascii="Arial" w:hAnsi="Arial" w:hint="cs"/>
          <w:sz w:val="27"/>
          <w:rtl/>
          <w:lang w:bidi="ar-MA"/>
        </w:rPr>
        <w:t>؛</w:t>
      </w:r>
      <w:r w:rsidRPr="006571AC">
        <w:rPr>
          <w:rFonts w:ascii="Arial" w:hAnsi="Arial" w:hint="cs"/>
          <w:sz w:val="27"/>
          <w:rtl/>
          <w:lang w:bidi="ar-MA"/>
        </w:rPr>
        <w:t xml:space="preserve"> </w:t>
      </w:r>
      <w:r w:rsidRPr="006571AC">
        <w:rPr>
          <w:rFonts w:ascii="Algerian" w:hAnsi="Algerian" w:hint="cs"/>
          <w:sz w:val="27"/>
          <w:rtl/>
          <w:lang w:bidi="ar-MA"/>
        </w:rPr>
        <w:t>ل</w:t>
      </w:r>
      <w:r w:rsidR="00F079E8" w:rsidRPr="006571AC">
        <w:rPr>
          <w:rFonts w:ascii="Algerian" w:hAnsi="Algerian" w:hint="cs"/>
          <w:sz w:val="27"/>
          <w:rtl/>
          <w:lang w:bidi="ar-MA"/>
        </w:rPr>
        <w:t>أ</w:t>
      </w:r>
      <w:r w:rsidRPr="006571AC">
        <w:rPr>
          <w:rFonts w:ascii="Algerian" w:hAnsi="Algerian" w:hint="cs"/>
          <w:sz w:val="27"/>
          <w:rtl/>
          <w:lang w:bidi="ar-MA"/>
        </w:rPr>
        <w:t xml:space="preserve">ن </w:t>
      </w:r>
      <w:r w:rsidRPr="006571AC">
        <w:rPr>
          <w:rFonts w:ascii="Algerian" w:hAnsi="Algerian"/>
          <w:sz w:val="27"/>
          <w:rtl/>
          <w:lang w:bidi="ar-MA"/>
        </w:rPr>
        <w:t xml:space="preserve">المعارف التي </w:t>
      </w:r>
      <w:r w:rsidRPr="006571AC">
        <w:rPr>
          <w:rFonts w:ascii="Algerian" w:hAnsi="Algerian" w:hint="cs"/>
          <w:sz w:val="27"/>
          <w:rtl/>
          <w:lang w:bidi="ar-MA"/>
        </w:rPr>
        <w:t>يتلق</w:t>
      </w:r>
      <w:r w:rsidR="00F079E8" w:rsidRPr="006571AC">
        <w:rPr>
          <w:rFonts w:ascii="Algerian" w:hAnsi="Algerian" w:hint="cs"/>
          <w:sz w:val="27"/>
          <w:rtl/>
          <w:lang w:bidi="ar-MA"/>
        </w:rPr>
        <w:t>ّ</w:t>
      </w:r>
      <w:r w:rsidRPr="006571AC">
        <w:rPr>
          <w:rFonts w:ascii="Algerian" w:hAnsi="Algerian" w:hint="cs"/>
          <w:sz w:val="27"/>
          <w:rtl/>
          <w:lang w:bidi="ar-MA"/>
        </w:rPr>
        <w:t>اها أو ي</w:t>
      </w:r>
      <w:r w:rsidRPr="006571AC">
        <w:rPr>
          <w:rFonts w:ascii="Algerian" w:hAnsi="Algerian"/>
          <w:sz w:val="27"/>
          <w:rtl/>
          <w:lang w:bidi="ar-MA"/>
        </w:rPr>
        <w:t>حصل عليها الإنسان</w:t>
      </w:r>
      <w:r w:rsidRPr="006571AC">
        <w:rPr>
          <w:rFonts w:ascii="Algerian" w:hAnsi="Algerian" w:hint="cs"/>
          <w:sz w:val="27"/>
          <w:rtl/>
          <w:lang w:bidi="ar-MA"/>
        </w:rPr>
        <w:t xml:space="preserve"> </w:t>
      </w:r>
      <w:r w:rsidRPr="006571AC">
        <w:rPr>
          <w:rFonts w:ascii="Algerian" w:hAnsi="Algerian"/>
          <w:sz w:val="27"/>
          <w:rtl/>
          <w:lang w:bidi="ar-MA"/>
        </w:rPr>
        <w:t>تجاه</w:t>
      </w:r>
      <w:r w:rsidRPr="006571AC">
        <w:rPr>
          <w:rFonts w:ascii="Algerian" w:hAnsi="Algerian" w:hint="cs"/>
          <w:sz w:val="27"/>
          <w:rtl/>
          <w:lang w:bidi="ar-MA"/>
        </w:rPr>
        <w:t xml:space="preserve"> ذاته و</w:t>
      </w:r>
      <w:r w:rsidRPr="006571AC">
        <w:rPr>
          <w:rFonts w:ascii="Algerian" w:hAnsi="Algerian"/>
          <w:sz w:val="27"/>
          <w:rtl/>
          <w:lang w:bidi="ar-MA"/>
        </w:rPr>
        <w:t>نفسه</w:t>
      </w:r>
      <w:r w:rsidRPr="006571AC">
        <w:rPr>
          <w:rFonts w:ascii="Algerian" w:hAnsi="Algerian" w:hint="cs"/>
          <w:sz w:val="27"/>
          <w:rtl/>
          <w:lang w:bidi="ar-MA"/>
        </w:rPr>
        <w:t>، أو حت</w:t>
      </w:r>
      <w:r w:rsidR="00F079E8" w:rsidRPr="006571AC">
        <w:rPr>
          <w:rFonts w:ascii="Algerian" w:hAnsi="Algerian" w:hint="cs"/>
          <w:sz w:val="27"/>
          <w:rtl/>
          <w:lang w:bidi="ar-MA"/>
        </w:rPr>
        <w:t>ّ</w:t>
      </w:r>
      <w:r w:rsidRPr="006571AC">
        <w:rPr>
          <w:rFonts w:ascii="Algerian" w:hAnsi="Algerian" w:hint="cs"/>
          <w:sz w:val="27"/>
          <w:rtl/>
          <w:lang w:bidi="ar-MA"/>
        </w:rPr>
        <w:t>ى في احتكاكه وتواصله مع الغير</w:t>
      </w:r>
      <w:r w:rsidRPr="006571AC">
        <w:rPr>
          <w:rFonts w:ascii="Algerian" w:hAnsi="Algerian"/>
          <w:sz w:val="27"/>
          <w:rtl/>
          <w:lang w:bidi="ar-MA"/>
        </w:rPr>
        <w:t xml:space="preserve">، </w:t>
      </w:r>
      <w:r w:rsidRPr="006571AC">
        <w:rPr>
          <w:rFonts w:ascii="Algerian" w:hAnsi="Algerian" w:hint="cs"/>
          <w:sz w:val="27"/>
          <w:rtl/>
          <w:lang w:bidi="ar-MA"/>
        </w:rPr>
        <w:t xml:space="preserve">أوفي </w:t>
      </w:r>
      <w:r w:rsidRPr="006571AC">
        <w:rPr>
          <w:rFonts w:ascii="Algerian" w:hAnsi="Algerian"/>
          <w:sz w:val="27"/>
          <w:rtl/>
          <w:lang w:bidi="ar-MA"/>
        </w:rPr>
        <w:t>اتجاه</w:t>
      </w:r>
      <w:r w:rsidRPr="006571AC">
        <w:rPr>
          <w:rFonts w:ascii="Algerian" w:hAnsi="Algerian" w:hint="cs"/>
          <w:sz w:val="27"/>
          <w:rtl/>
          <w:lang w:bidi="ar-MA"/>
        </w:rPr>
        <w:t xml:space="preserve"> تفاعله مع المحيط والمجال الذي يعيش فيه</w:t>
      </w:r>
      <w:r w:rsidR="00F079E8" w:rsidRPr="006571AC">
        <w:rPr>
          <w:rFonts w:ascii="Algerian" w:hAnsi="Algerian" w:hint="cs"/>
          <w:sz w:val="27"/>
          <w:rtl/>
          <w:lang w:bidi="ar-MA"/>
        </w:rPr>
        <w:t xml:space="preserve">، </w:t>
      </w:r>
      <w:r w:rsidRPr="006571AC">
        <w:rPr>
          <w:rFonts w:ascii="Algerian" w:hAnsi="Algerian" w:hint="cs"/>
          <w:sz w:val="27"/>
          <w:rtl/>
          <w:lang w:bidi="ar-MA"/>
        </w:rPr>
        <w:t>عادة</w:t>
      </w:r>
      <w:r w:rsidR="00F079E8" w:rsidRPr="006571AC">
        <w:rPr>
          <w:rFonts w:ascii="Algerian" w:hAnsi="Algerian" w:hint="cs"/>
          <w:sz w:val="27"/>
          <w:rtl/>
          <w:lang w:bidi="ar-MA"/>
        </w:rPr>
        <w:t>ً</w:t>
      </w:r>
      <w:r w:rsidRPr="006571AC">
        <w:rPr>
          <w:rFonts w:ascii="Algerian" w:hAnsi="Algerian" w:hint="cs"/>
          <w:sz w:val="27"/>
          <w:rtl/>
          <w:lang w:bidi="ar-MA"/>
        </w:rPr>
        <w:t xml:space="preserve"> ما تكون</w:t>
      </w:r>
      <w:r w:rsidRPr="006571AC">
        <w:rPr>
          <w:rFonts w:ascii="Algerian" w:hAnsi="Algerian"/>
          <w:sz w:val="27"/>
          <w:rtl/>
          <w:lang w:bidi="ar-MA"/>
        </w:rPr>
        <w:t xml:space="preserve"> </w:t>
      </w:r>
      <w:r w:rsidRPr="006571AC">
        <w:rPr>
          <w:rFonts w:ascii="Algerian" w:hAnsi="Algerian" w:hint="cs"/>
          <w:sz w:val="27"/>
          <w:rtl/>
          <w:lang w:bidi="ar-MA"/>
        </w:rPr>
        <w:t xml:space="preserve">تلك </w:t>
      </w:r>
      <w:r w:rsidRPr="006571AC">
        <w:rPr>
          <w:rFonts w:ascii="Algerian" w:hAnsi="Algerian"/>
          <w:sz w:val="27"/>
          <w:rtl/>
          <w:lang w:bidi="ar-MA"/>
        </w:rPr>
        <w:t>معارف تلقائية</w:t>
      </w:r>
      <w:r w:rsidRPr="006571AC">
        <w:rPr>
          <w:rFonts w:ascii="Algerian" w:hAnsi="Algerian" w:hint="cs"/>
          <w:sz w:val="27"/>
          <w:rtl/>
          <w:lang w:bidi="ar-MA"/>
        </w:rPr>
        <w:t xml:space="preserve"> و</w:t>
      </w:r>
      <w:r w:rsidRPr="006571AC">
        <w:rPr>
          <w:rFonts w:ascii="Algerian" w:hAnsi="Algerian"/>
          <w:sz w:val="27"/>
          <w:rtl/>
          <w:lang w:bidi="ar-MA"/>
        </w:rPr>
        <w:t>بسيطة</w:t>
      </w:r>
      <w:r w:rsidR="00F079E8" w:rsidRPr="006571AC">
        <w:rPr>
          <w:rFonts w:ascii="Algerian" w:hAnsi="Algerian" w:hint="cs"/>
          <w:sz w:val="27"/>
          <w:rtl/>
          <w:lang w:bidi="ar-MA"/>
        </w:rPr>
        <w:t>،</w:t>
      </w:r>
      <w:r w:rsidRPr="006571AC">
        <w:rPr>
          <w:rFonts w:ascii="Algerian" w:hAnsi="Algerian" w:hint="cs"/>
          <w:sz w:val="27"/>
          <w:rtl/>
          <w:lang w:bidi="ar-MA"/>
        </w:rPr>
        <w:t xml:space="preserve"> وأحيانا</w:t>
      </w:r>
      <w:r w:rsidR="00F079E8" w:rsidRPr="006571AC">
        <w:rPr>
          <w:rFonts w:ascii="Algerian" w:hAnsi="Algerian" w:hint="cs"/>
          <w:sz w:val="27"/>
          <w:rtl/>
          <w:lang w:bidi="ar-MA"/>
        </w:rPr>
        <w:t>ً</w:t>
      </w:r>
      <w:r w:rsidRPr="006571AC">
        <w:rPr>
          <w:rFonts w:ascii="Algerian" w:hAnsi="Algerian" w:hint="cs"/>
          <w:sz w:val="27"/>
          <w:rtl/>
          <w:lang w:bidi="ar-MA"/>
        </w:rPr>
        <w:t xml:space="preserve"> عفوية</w:t>
      </w:r>
      <w:r w:rsidRPr="006571AC">
        <w:rPr>
          <w:rFonts w:ascii="Algerian" w:hAnsi="Algerian"/>
          <w:sz w:val="27"/>
          <w:rtl/>
          <w:lang w:bidi="ar-MA"/>
        </w:rPr>
        <w:t>، يحصل</w:t>
      </w:r>
      <w:r w:rsidRPr="006571AC">
        <w:rPr>
          <w:rFonts w:ascii="Algerian" w:hAnsi="Algerian" w:hint="cs"/>
          <w:sz w:val="27"/>
          <w:rtl/>
          <w:lang w:bidi="ar-MA"/>
        </w:rPr>
        <w:t xml:space="preserve"> </w:t>
      </w:r>
      <w:r w:rsidRPr="006571AC">
        <w:rPr>
          <w:rFonts w:ascii="Algerian" w:hAnsi="Algerian"/>
          <w:sz w:val="27"/>
          <w:rtl/>
          <w:lang w:bidi="ar-MA"/>
        </w:rPr>
        <w:t xml:space="preserve">عليها </w:t>
      </w:r>
      <w:r w:rsidRPr="006571AC">
        <w:rPr>
          <w:rFonts w:ascii="Algerian" w:hAnsi="Algerian" w:hint="cs"/>
          <w:sz w:val="27"/>
          <w:rtl/>
          <w:lang w:bidi="ar-MA"/>
        </w:rPr>
        <w:t xml:space="preserve">الإنسان </w:t>
      </w:r>
      <w:r w:rsidRPr="006571AC">
        <w:rPr>
          <w:rFonts w:ascii="Algerian" w:hAnsi="Algerian"/>
          <w:sz w:val="27"/>
          <w:rtl/>
          <w:lang w:bidi="ar-MA"/>
        </w:rPr>
        <w:t>تلقائيا</w:t>
      </w:r>
      <w:r w:rsidR="00F079E8" w:rsidRPr="006571AC">
        <w:rPr>
          <w:rFonts w:ascii="Algerian" w:hAnsi="Algerian" w:hint="cs"/>
          <w:sz w:val="27"/>
          <w:rtl/>
          <w:lang w:bidi="ar-MA"/>
        </w:rPr>
        <w:t>ً</w:t>
      </w:r>
      <w:r w:rsidRPr="006571AC">
        <w:rPr>
          <w:rFonts w:ascii="Algerian" w:hAnsi="Algerian"/>
          <w:sz w:val="27"/>
          <w:rtl/>
          <w:lang w:bidi="ar-MA"/>
        </w:rPr>
        <w:t xml:space="preserve"> عن طريق</w:t>
      </w:r>
      <w:r w:rsidRPr="006571AC">
        <w:rPr>
          <w:rFonts w:ascii="Algerian" w:hAnsi="Algerian" w:hint="cs"/>
          <w:sz w:val="27"/>
          <w:rtl/>
          <w:lang w:bidi="ar-MA"/>
        </w:rPr>
        <w:t xml:space="preserve"> الاحتكاك والممارسة اليومي</w:t>
      </w:r>
      <w:r w:rsidR="00F079E8" w:rsidRPr="006571AC">
        <w:rPr>
          <w:rFonts w:ascii="Algerian" w:hAnsi="Algerian" w:hint="cs"/>
          <w:sz w:val="27"/>
          <w:rtl/>
          <w:lang w:bidi="ar-MA"/>
        </w:rPr>
        <w:t>ة</w:t>
      </w:r>
      <w:r w:rsidRPr="006571AC">
        <w:rPr>
          <w:rFonts w:ascii="Algerian" w:hAnsi="Algerian" w:hint="cs"/>
          <w:sz w:val="27"/>
          <w:rtl/>
          <w:lang w:bidi="ar-MA"/>
        </w:rPr>
        <w:t>، أو عبر العمل والتواصل والممارسة التلقائية التي يكتسبها من معيشت</w:t>
      </w:r>
      <w:r w:rsidRPr="006571AC">
        <w:rPr>
          <w:rFonts w:ascii="Algerian" w:hAnsi="Algerian" w:hint="eastAsia"/>
          <w:sz w:val="27"/>
          <w:rtl/>
          <w:lang w:bidi="ar-MA"/>
        </w:rPr>
        <w:t>ه</w:t>
      </w:r>
      <w:r w:rsidRPr="006571AC">
        <w:rPr>
          <w:rFonts w:ascii="Algerian" w:hAnsi="Algerian" w:hint="cs"/>
          <w:sz w:val="27"/>
          <w:rtl/>
          <w:lang w:bidi="ar-MA"/>
        </w:rPr>
        <w:t xml:space="preserve"> اليومية</w:t>
      </w:r>
      <w:r w:rsidRPr="006571AC">
        <w:rPr>
          <w:rFonts w:ascii="Algerian" w:hAnsi="Algerian"/>
          <w:sz w:val="27"/>
          <w:vertAlign w:val="superscript"/>
          <w:rtl/>
          <w:lang w:bidi="ar-MA"/>
        </w:rPr>
        <w:t>(</w:t>
      </w:r>
      <w:r w:rsidRPr="006571AC">
        <w:rPr>
          <w:rStyle w:val="ac"/>
          <w:sz w:val="27"/>
          <w:rtl/>
          <w:lang w:bidi="ar-MA"/>
        </w:rPr>
        <w:endnoteReference w:id="740"/>
      </w:r>
      <w:r w:rsidRPr="006571AC">
        <w:rPr>
          <w:rFonts w:ascii="Algerian" w:hAnsi="Algerian"/>
          <w:sz w:val="27"/>
          <w:vertAlign w:val="superscript"/>
          <w:rtl/>
          <w:lang w:bidi="ar-MA"/>
        </w:rPr>
        <w:t>)</w:t>
      </w:r>
      <w:r w:rsidRPr="006571AC">
        <w:rPr>
          <w:rFonts w:ascii="Algerian" w:hAnsi="Algerian" w:hint="cs"/>
          <w:sz w:val="27"/>
          <w:rtl/>
          <w:lang w:bidi="ar-MA"/>
        </w:rPr>
        <w:t xml:space="preserve">. </w:t>
      </w:r>
    </w:p>
    <w:p w:rsidR="0043677F" w:rsidRPr="006571AC" w:rsidRDefault="00E02D20" w:rsidP="007C217D">
      <w:pPr>
        <w:rPr>
          <w:rFonts w:ascii="Arial" w:hAnsi="Arial"/>
          <w:sz w:val="27"/>
          <w:rtl/>
          <w:lang w:bidi="ar-MA"/>
        </w:rPr>
      </w:pPr>
      <w:r w:rsidRPr="006571AC">
        <w:rPr>
          <w:rFonts w:ascii="Algerian" w:hAnsi="Algerian" w:hint="cs"/>
          <w:sz w:val="27"/>
          <w:rtl/>
          <w:lang w:bidi="ar-MA"/>
        </w:rPr>
        <w:t>و</w:t>
      </w:r>
      <w:r w:rsidR="0043677F" w:rsidRPr="006571AC">
        <w:rPr>
          <w:rFonts w:ascii="Algerian" w:hAnsi="Algerian" w:hint="cs"/>
          <w:sz w:val="27"/>
          <w:rtl/>
          <w:lang w:bidi="ar-MA"/>
        </w:rPr>
        <w:t>ه</w:t>
      </w:r>
      <w:r w:rsidR="007C217D" w:rsidRPr="006571AC">
        <w:rPr>
          <w:rFonts w:ascii="Algerian" w:hAnsi="Algerian" w:hint="cs"/>
          <w:sz w:val="27"/>
          <w:rtl/>
          <w:lang w:bidi="ar-MA"/>
        </w:rPr>
        <w:t>ذا</w:t>
      </w:r>
      <w:r w:rsidR="0043677F" w:rsidRPr="006571AC">
        <w:rPr>
          <w:rFonts w:ascii="Algerian" w:hAnsi="Algerian" w:hint="cs"/>
          <w:sz w:val="27"/>
          <w:rtl/>
          <w:lang w:bidi="ar-MA"/>
        </w:rPr>
        <w:t xml:space="preserve"> ما يدل</w:t>
      </w:r>
      <w:r w:rsidRPr="006571AC">
        <w:rPr>
          <w:rFonts w:ascii="Algerian" w:hAnsi="Algerian" w:hint="cs"/>
          <w:sz w:val="27"/>
          <w:rtl/>
          <w:lang w:bidi="ar-MA"/>
        </w:rPr>
        <w:t>ّ</w:t>
      </w:r>
      <w:r w:rsidR="0043677F" w:rsidRPr="006571AC">
        <w:rPr>
          <w:rFonts w:ascii="Algerian" w:hAnsi="Algerian" w:hint="cs"/>
          <w:sz w:val="27"/>
          <w:rtl/>
          <w:lang w:bidi="ar-MA"/>
        </w:rPr>
        <w:t xml:space="preserve"> </w:t>
      </w:r>
      <w:r w:rsidRPr="006571AC">
        <w:rPr>
          <w:rFonts w:ascii="Algerian" w:hAnsi="Algerian" w:hint="cs"/>
          <w:sz w:val="27"/>
          <w:rtl/>
          <w:lang w:bidi="ar-MA"/>
        </w:rPr>
        <w:t xml:space="preserve">على </w:t>
      </w:r>
      <w:r w:rsidRPr="006571AC">
        <w:rPr>
          <w:rFonts w:ascii="Arial" w:hAnsi="Arial" w:hint="cs"/>
          <w:sz w:val="27"/>
          <w:rtl/>
          <w:lang w:bidi="ar-MA"/>
        </w:rPr>
        <w:t>أ</w:t>
      </w:r>
      <w:r w:rsidR="0043677F" w:rsidRPr="006571AC">
        <w:rPr>
          <w:rFonts w:ascii="Arial" w:hAnsi="Arial" w:hint="cs"/>
          <w:sz w:val="27"/>
          <w:rtl/>
          <w:lang w:bidi="ar-MA"/>
        </w:rPr>
        <w:t>ن البدايات الأو</w:t>
      </w:r>
      <w:r w:rsidRPr="006571AC">
        <w:rPr>
          <w:rFonts w:ascii="Arial" w:hAnsi="Arial" w:hint="cs"/>
          <w:sz w:val="27"/>
          <w:rtl/>
          <w:lang w:bidi="ar-MA"/>
        </w:rPr>
        <w:t>ّ</w:t>
      </w:r>
      <w:r w:rsidR="0043677F" w:rsidRPr="006571AC">
        <w:rPr>
          <w:rFonts w:ascii="Arial" w:hAnsi="Arial" w:hint="cs"/>
          <w:sz w:val="27"/>
          <w:rtl/>
          <w:lang w:bidi="ar-MA"/>
        </w:rPr>
        <w:t>لية للممارسات البحثية في العلوم الإنسانية كان هو الاشتغال على الإنسان من زوايا فلسفي</w:t>
      </w:r>
      <w:r w:rsidRPr="006571AC">
        <w:rPr>
          <w:rFonts w:ascii="Arial" w:hAnsi="Arial" w:hint="cs"/>
          <w:sz w:val="27"/>
          <w:rtl/>
          <w:lang w:bidi="ar-MA"/>
        </w:rPr>
        <w:t>ّ</w:t>
      </w:r>
      <w:r w:rsidR="0043677F" w:rsidRPr="006571AC">
        <w:rPr>
          <w:rFonts w:ascii="Arial" w:hAnsi="Arial" w:hint="cs"/>
          <w:sz w:val="27"/>
          <w:rtl/>
          <w:lang w:bidi="ar-MA"/>
        </w:rPr>
        <w:t>ة متعد</w:t>
      </w:r>
      <w:r w:rsidRPr="006571AC">
        <w:rPr>
          <w:rFonts w:ascii="Arial" w:hAnsi="Arial" w:hint="cs"/>
          <w:sz w:val="27"/>
          <w:rtl/>
          <w:lang w:bidi="ar-MA"/>
        </w:rPr>
        <w:t>ِّ</w:t>
      </w:r>
      <w:r w:rsidR="0043677F" w:rsidRPr="006571AC">
        <w:rPr>
          <w:rFonts w:ascii="Arial" w:hAnsi="Arial" w:hint="cs"/>
          <w:sz w:val="27"/>
          <w:rtl/>
          <w:lang w:bidi="ar-MA"/>
        </w:rPr>
        <w:t>دة، وكانت بداياته ومقد</w:t>
      </w:r>
      <w:r w:rsidRPr="006571AC">
        <w:rPr>
          <w:rFonts w:ascii="Arial" w:hAnsi="Arial" w:hint="cs"/>
          <w:sz w:val="27"/>
          <w:rtl/>
          <w:lang w:bidi="ar-MA"/>
        </w:rPr>
        <w:t>ّ</w:t>
      </w:r>
      <w:r w:rsidR="0043677F" w:rsidRPr="006571AC">
        <w:rPr>
          <w:rFonts w:ascii="Arial" w:hAnsi="Arial" w:hint="cs"/>
          <w:sz w:val="27"/>
          <w:rtl/>
          <w:lang w:bidi="ar-MA"/>
        </w:rPr>
        <w:t>ماته هو الاحتضان والمعايشة مع الفلسفة</w:t>
      </w:r>
      <w:r w:rsidRPr="006571AC">
        <w:rPr>
          <w:rFonts w:ascii="Arial" w:hAnsi="Arial" w:hint="cs"/>
          <w:sz w:val="27"/>
          <w:rtl/>
          <w:lang w:bidi="ar-MA"/>
        </w:rPr>
        <w:t>.</w:t>
      </w:r>
      <w:r w:rsidR="0043677F" w:rsidRPr="006571AC">
        <w:rPr>
          <w:rFonts w:ascii="Arial" w:hAnsi="Arial" w:hint="cs"/>
          <w:sz w:val="27"/>
          <w:rtl/>
          <w:lang w:bidi="ar-MA"/>
        </w:rPr>
        <w:t xml:space="preserve"> ففي البحوث الفلسفية اليونانية الأولى استحضر فلاسفة اليونان المسائل الثقافية والتربوية والنفسية والاجتماعية، فكثير</w:t>
      </w:r>
      <w:r w:rsidRPr="006571AC">
        <w:rPr>
          <w:rFonts w:ascii="Arial" w:hAnsi="Arial" w:hint="cs"/>
          <w:sz w:val="27"/>
          <w:rtl/>
          <w:lang w:bidi="ar-MA"/>
        </w:rPr>
        <w:t>ٌ</w:t>
      </w:r>
      <w:r w:rsidR="0043677F" w:rsidRPr="006571AC">
        <w:rPr>
          <w:rFonts w:ascii="Arial" w:hAnsi="Arial" w:hint="cs"/>
          <w:sz w:val="27"/>
          <w:rtl/>
          <w:lang w:bidi="ar-MA"/>
        </w:rPr>
        <w:t xml:space="preserve"> منهم اشتغل على مهام</w:t>
      </w:r>
      <w:r w:rsidRPr="006571AC">
        <w:rPr>
          <w:rFonts w:ascii="Arial" w:hAnsi="Arial" w:hint="cs"/>
          <w:sz w:val="27"/>
          <w:rtl/>
          <w:lang w:bidi="ar-MA"/>
        </w:rPr>
        <w:t>ّ</w:t>
      </w:r>
      <w:r w:rsidR="0043677F" w:rsidRPr="006571AC">
        <w:rPr>
          <w:rFonts w:ascii="Arial" w:hAnsi="Arial" w:hint="cs"/>
          <w:sz w:val="27"/>
          <w:rtl/>
          <w:lang w:bidi="ar-MA"/>
        </w:rPr>
        <w:t xml:space="preserve"> التربية</w:t>
      </w:r>
      <w:r w:rsidRPr="006571AC">
        <w:rPr>
          <w:rFonts w:ascii="Arial" w:hAnsi="Arial" w:hint="cs"/>
          <w:sz w:val="27"/>
          <w:rtl/>
          <w:lang w:bidi="ar-MA"/>
        </w:rPr>
        <w:t>،</w:t>
      </w:r>
      <w:r w:rsidR="0043677F" w:rsidRPr="006571AC">
        <w:rPr>
          <w:rFonts w:ascii="Arial" w:hAnsi="Arial" w:hint="cs"/>
          <w:sz w:val="27"/>
          <w:rtl/>
          <w:lang w:bidi="ar-MA"/>
        </w:rPr>
        <w:t xml:space="preserve"> وعلى وظائفها وأدوارها في المجتمع، وهو الاتجاه الغالب على معظم فلاسفة اليونان</w:t>
      </w:r>
      <w:r w:rsidRPr="006571AC">
        <w:rPr>
          <w:rFonts w:ascii="Arial" w:hAnsi="Arial" w:hint="cs"/>
          <w:sz w:val="27"/>
          <w:rtl/>
          <w:lang w:bidi="ar-MA"/>
        </w:rPr>
        <w:t>،</w:t>
      </w:r>
      <w:r w:rsidR="0043677F" w:rsidRPr="006571AC">
        <w:rPr>
          <w:rFonts w:ascii="Arial" w:hAnsi="Arial" w:hint="cs"/>
          <w:sz w:val="27"/>
          <w:rtl/>
          <w:lang w:bidi="ar-MA"/>
        </w:rPr>
        <w:t xml:space="preserve"> الذين ات</w:t>
      </w:r>
      <w:r w:rsidRPr="006571AC">
        <w:rPr>
          <w:rFonts w:ascii="Arial" w:hAnsi="Arial" w:hint="cs"/>
          <w:sz w:val="27"/>
          <w:rtl/>
          <w:lang w:bidi="ar-MA"/>
        </w:rPr>
        <w:t>َّ</w:t>
      </w:r>
      <w:r w:rsidR="0043677F" w:rsidRPr="006571AC">
        <w:rPr>
          <w:rFonts w:ascii="Arial" w:hAnsi="Arial" w:hint="cs"/>
          <w:sz w:val="27"/>
          <w:rtl/>
          <w:lang w:bidi="ar-MA"/>
        </w:rPr>
        <w:t>جهوا بشكل</w:t>
      </w:r>
      <w:r w:rsidRPr="006571AC">
        <w:rPr>
          <w:rFonts w:ascii="Arial" w:hAnsi="Arial" w:hint="cs"/>
          <w:sz w:val="27"/>
          <w:rtl/>
          <w:lang w:bidi="ar-MA"/>
        </w:rPr>
        <w:t>ٍ</w:t>
      </w:r>
      <w:r w:rsidR="0043677F" w:rsidRPr="006571AC">
        <w:rPr>
          <w:rFonts w:ascii="Arial" w:hAnsi="Arial" w:hint="cs"/>
          <w:sz w:val="27"/>
          <w:rtl/>
          <w:lang w:bidi="ar-MA"/>
        </w:rPr>
        <w:t xml:space="preserve"> خاص</w:t>
      </w:r>
      <w:r w:rsidRPr="006571AC">
        <w:rPr>
          <w:rFonts w:ascii="Arial" w:hAnsi="Arial" w:hint="cs"/>
          <w:sz w:val="27"/>
          <w:rtl/>
          <w:lang w:bidi="ar-MA"/>
        </w:rPr>
        <w:t>ّ</w:t>
      </w:r>
      <w:r w:rsidR="0043677F" w:rsidRPr="006571AC">
        <w:rPr>
          <w:rFonts w:ascii="Arial" w:hAnsi="Arial" w:hint="cs"/>
          <w:sz w:val="27"/>
          <w:rtl/>
          <w:lang w:bidi="ar-MA"/>
        </w:rPr>
        <w:t xml:space="preserve"> إلى </w:t>
      </w:r>
      <w:r w:rsidR="00EA38F1" w:rsidRPr="006571AC">
        <w:rPr>
          <w:rFonts w:ascii="Arial" w:hAnsi="Arial" w:hint="cs"/>
          <w:sz w:val="27"/>
          <w:rtl/>
          <w:lang w:bidi="ar-MA"/>
        </w:rPr>
        <w:t>دَوْر</w:t>
      </w:r>
      <w:r w:rsidR="0043677F" w:rsidRPr="006571AC">
        <w:rPr>
          <w:rFonts w:ascii="Arial" w:hAnsi="Arial" w:hint="cs"/>
          <w:sz w:val="27"/>
          <w:rtl/>
          <w:lang w:bidi="ar-MA"/>
        </w:rPr>
        <w:t xml:space="preserve"> التربية والتنشئة في صناعة وإعداد الإنسان المثالي</w:t>
      </w:r>
      <w:r w:rsidRPr="006571AC">
        <w:rPr>
          <w:rFonts w:ascii="Arial" w:hAnsi="Arial" w:hint="cs"/>
          <w:sz w:val="27"/>
          <w:rtl/>
          <w:lang w:bidi="ar-MA"/>
        </w:rPr>
        <w:t>ّ</w:t>
      </w:r>
      <w:r w:rsidR="0043677F" w:rsidRPr="006571AC">
        <w:rPr>
          <w:rFonts w:ascii="Arial" w:hAnsi="Arial" w:hint="cs"/>
          <w:sz w:val="27"/>
          <w:rtl/>
          <w:lang w:bidi="ar-MA"/>
        </w:rPr>
        <w:t xml:space="preserve"> الحامل للق</w:t>
      </w:r>
      <w:r w:rsidRPr="006571AC">
        <w:rPr>
          <w:rFonts w:ascii="Arial" w:hAnsi="Arial" w:hint="cs"/>
          <w:sz w:val="27"/>
          <w:rtl/>
          <w:lang w:bidi="ar-MA"/>
        </w:rPr>
        <w:t>ِ</w:t>
      </w:r>
      <w:r w:rsidR="0043677F" w:rsidRPr="006571AC">
        <w:rPr>
          <w:rFonts w:ascii="Arial" w:hAnsi="Arial" w:hint="cs"/>
          <w:sz w:val="27"/>
          <w:rtl/>
          <w:lang w:bidi="ar-MA"/>
        </w:rPr>
        <w:t>ي</w:t>
      </w:r>
      <w:r w:rsidRPr="006571AC">
        <w:rPr>
          <w:rFonts w:ascii="Arial" w:hAnsi="Arial" w:hint="cs"/>
          <w:sz w:val="27"/>
          <w:rtl/>
          <w:lang w:bidi="ar-MA"/>
        </w:rPr>
        <w:t>َ</w:t>
      </w:r>
      <w:r w:rsidR="0043677F" w:rsidRPr="006571AC">
        <w:rPr>
          <w:rFonts w:ascii="Arial" w:hAnsi="Arial" w:hint="cs"/>
          <w:sz w:val="27"/>
          <w:rtl/>
          <w:lang w:bidi="ar-MA"/>
        </w:rPr>
        <w:t>م العليا</w:t>
      </w:r>
      <w:r w:rsidRPr="006571AC">
        <w:rPr>
          <w:rFonts w:ascii="Arial" w:hAnsi="Arial" w:hint="cs"/>
          <w:sz w:val="27"/>
          <w:rtl/>
          <w:lang w:bidi="ar-MA"/>
        </w:rPr>
        <w:t>،</w:t>
      </w:r>
      <w:r w:rsidR="0043677F" w:rsidRPr="006571AC">
        <w:rPr>
          <w:rFonts w:ascii="Arial" w:hAnsi="Arial" w:hint="cs"/>
          <w:sz w:val="27"/>
          <w:rtl/>
          <w:lang w:bidi="ar-MA"/>
        </w:rPr>
        <w:t xml:space="preserve"> التي ترضي الآلهة</w:t>
      </w:r>
      <w:r w:rsidRPr="006571AC">
        <w:rPr>
          <w:rFonts w:ascii="Arial" w:hAnsi="Arial" w:hint="cs"/>
          <w:sz w:val="27"/>
          <w:rtl/>
          <w:lang w:bidi="ar-MA"/>
        </w:rPr>
        <w:t>،</w:t>
      </w:r>
      <w:r w:rsidR="0043677F" w:rsidRPr="006571AC">
        <w:rPr>
          <w:rFonts w:ascii="Arial" w:hAnsi="Arial" w:hint="cs"/>
          <w:sz w:val="27"/>
          <w:rtl/>
          <w:lang w:bidi="ar-MA"/>
        </w:rPr>
        <w:t xml:space="preserve"> وتصنع المجتمع المثالي</w:t>
      </w:r>
      <w:r w:rsidR="0043677F" w:rsidRPr="006571AC">
        <w:rPr>
          <w:rFonts w:ascii="Arial" w:hAnsi="Arial"/>
          <w:sz w:val="27"/>
          <w:vertAlign w:val="superscript"/>
          <w:rtl/>
          <w:lang w:bidi="ar-MA"/>
        </w:rPr>
        <w:t>(</w:t>
      </w:r>
      <w:r w:rsidR="0043677F" w:rsidRPr="006571AC">
        <w:rPr>
          <w:rStyle w:val="ac"/>
          <w:rFonts w:ascii="Arial" w:hAnsi="Arial"/>
          <w:sz w:val="27"/>
          <w:rtl/>
          <w:lang w:bidi="ar-MA"/>
        </w:rPr>
        <w:endnoteReference w:id="741"/>
      </w:r>
      <w:r w:rsidR="0043677F" w:rsidRPr="006571AC">
        <w:rPr>
          <w:rFonts w:ascii="Arial" w:hAnsi="Arial"/>
          <w:sz w:val="27"/>
          <w:vertAlign w:val="superscript"/>
          <w:rtl/>
          <w:lang w:bidi="ar-MA"/>
        </w:rPr>
        <w:t>)</w:t>
      </w:r>
      <w:r w:rsidR="0043677F" w:rsidRPr="006571AC">
        <w:rPr>
          <w:rFonts w:ascii="Arial" w:hAnsi="Arial"/>
          <w:sz w:val="27"/>
          <w:rtl/>
          <w:lang w:bidi="ar-MA"/>
        </w:rPr>
        <w:t>.</w:t>
      </w:r>
      <w:r w:rsidR="0043677F" w:rsidRPr="006571AC">
        <w:rPr>
          <w:rFonts w:ascii="Arial" w:hAnsi="Arial" w:hint="cs"/>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كما أن فلاسفة اليونان</w:t>
      </w:r>
      <w:r w:rsidR="00E02D20" w:rsidRPr="006571AC">
        <w:rPr>
          <w:rFonts w:ascii="Arial" w:hAnsi="Arial" w:hint="cs"/>
          <w:sz w:val="27"/>
          <w:rtl/>
          <w:lang w:bidi="ar-MA"/>
        </w:rPr>
        <w:t>،</w:t>
      </w:r>
      <w:r w:rsidRPr="006571AC">
        <w:rPr>
          <w:rFonts w:ascii="Arial" w:hAnsi="Arial" w:hint="cs"/>
          <w:sz w:val="27"/>
          <w:rtl/>
          <w:lang w:bidi="ar-MA"/>
        </w:rPr>
        <w:t xml:space="preserve"> ومنهم</w:t>
      </w:r>
      <w:r w:rsidR="00E02D20" w:rsidRPr="006571AC">
        <w:rPr>
          <w:rFonts w:ascii="Arial" w:hAnsi="Arial" w:hint="cs"/>
          <w:sz w:val="27"/>
          <w:rtl/>
          <w:lang w:bidi="ar-MA"/>
        </w:rPr>
        <w:t>:</w:t>
      </w:r>
      <w:r w:rsidRPr="006571AC">
        <w:rPr>
          <w:rFonts w:ascii="Arial" w:hAnsi="Arial" w:hint="cs"/>
          <w:sz w:val="27"/>
          <w:rtl/>
          <w:lang w:bidi="ar-MA"/>
        </w:rPr>
        <w:t xml:space="preserve"> </w:t>
      </w:r>
      <w:r w:rsidR="00E02D20" w:rsidRPr="006571AC">
        <w:rPr>
          <w:rFonts w:ascii="Arial" w:hAnsi="Arial" w:hint="cs"/>
          <w:sz w:val="27"/>
          <w:rtl/>
          <w:lang w:bidi="ar-MA"/>
        </w:rPr>
        <w:t>أ</w:t>
      </w:r>
      <w:r w:rsidRPr="006571AC">
        <w:rPr>
          <w:rFonts w:ascii="Arial" w:hAnsi="Arial" w:hint="cs"/>
          <w:sz w:val="27"/>
          <w:rtl/>
          <w:lang w:bidi="ar-MA"/>
        </w:rPr>
        <w:t>فلاطون</w:t>
      </w:r>
      <w:r w:rsidR="00E02D20" w:rsidRPr="006571AC">
        <w:rPr>
          <w:rFonts w:ascii="Arial" w:hAnsi="Arial" w:hint="cs"/>
          <w:sz w:val="27"/>
          <w:rtl/>
          <w:lang w:bidi="ar-MA"/>
        </w:rPr>
        <w:t>،</w:t>
      </w:r>
      <w:r w:rsidRPr="006571AC">
        <w:rPr>
          <w:rFonts w:ascii="Arial" w:hAnsi="Arial" w:hint="cs"/>
          <w:sz w:val="27"/>
          <w:rtl/>
          <w:lang w:bidi="ar-MA"/>
        </w:rPr>
        <w:t xml:space="preserve"> قد تحد</w:t>
      </w:r>
      <w:r w:rsidR="00E02D20" w:rsidRPr="006571AC">
        <w:rPr>
          <w:rFonts w:ascii="Arial" w:hAnsi="Arial" w:hint="cs"/>
          <w:sz w:val="27"/>
          <w:rtl/>
          <w:lang w:bidi="ar-MA"/>
        </w:rPr>
        <w:t>َّ</w:t>
      </w:r>
      <w:r w:rsidRPr="006571AC">
        <w:rPr>
          <w:rFonts w:ascii="Arial" w:hAnsi="Arial" w:hint="cs"/>
          <w:sz w:val="27"/>
          <w:rtl/>
          <w:lang w:bidi="ar-MA"/>
        </w:rPr>
        <w:t>ثوا عن الذكاء، وقي</w:t>
      </w:r>
      <w:r w:rsidR="00E02D20" w:rsidRPr="006571AC">
        <w:rPr>
          <w:rFonts w:ascii="Arial" w:hAnsi="Arial" w:hint="cs"/>
          <w:sz w:val="27"/>
          <w:rtl/>
          <w:lang w:bidi="ar-MA"/>
        </w:rPr>
        <w:t>َّ</w:t>
      </w:r>
      <w:r w:rsidRPr="006571AC">
        <w:rPr>
          <w:rFonts w:ascii="Arial" w:hAnsi="Arial" w:hint="cs"/>
          <w:sz w:val="27"/>
          <w:rtl/>
          <w:lang w:bidi="ar-MA"/>
        </w:rPr>
        <w:t>دوا الذكاء في علم الرياضيات</w:t>
      </w:r>
      <w:r w:rsidR="00E02D20" w:rsidRPr="006571AC">
        <w:rPr>
          <w:rFonts w:ascii="Arial" w:hAnsi="Arial" w:hint="cs"/>
          <w:sz w:val="27"/>
          <w:rtl/>
          <w:lang w:bidi="ar-MA"/>
        </w:rPr>
        <w:t>؛</w:t>
      </w:r>
      <w:r w:rsidRPr="006571AC">
        <w:rPr>
          <w:rFonts w:ascii="Arial" w:hAnsi="Arial" w:hint="cs"/>
          <w:sz w:val="27"/>
          <w:rtl/>
          <w:lang w:bidi="ar-MA"/>
        </w:rPr>
        <w:t xml:space="preserve"> فالإنسان الذكي</w:t>
      </w:r>
      <w:r w:rsidR="00E02D20" w:rsidRPr="006571AC">
        <w:rPr>
          <w:rFonts w:ascii="Arial" w:hAnsi="Arial" w:hint="cs"/>
          <w:sz w:val="27"/>
          <w:rtl/>
          <w:lang w:bidi="ar-MA"/>
        </w:rPr>
        <w:t>ّ</w:t>
      </w:r>
      <w:r w:rsidRPr="006571AC">
        <w:rPr>
          <w:rFonts w:ascii="Arial" w:hAnsi="Arial" w:hint="cs"/>
          <w:sz w:val="27"/>
          <w:rtl/>
          <w:lang w:bidi="ar-MA"/>
        </w:rPr>
        <w:t xml:space="preserve"> هو العارف بالمعادلات الرياضية وبخبايا علم الهندسة. </w:t>
      </w:r>
    </w:p>
    <w:p w:rsidR="0043677F" w:rsidRPr="006571AC" w:rsidRDefault="0043677F" w:rsidP="00932866">
      <w:pPr>
        <w:spacing w:line="404" w:lineRule="exact"/>
        <w:rPr>
          <w:rFonts w:ascii="Arial" w:hAnsi="Arial"/>
          <w:sz w:val="27"/>
          <w:rtl/>
          <w:lang w:bidi="ar-MA"/>
        </w:rPr>
      </w:pPr>
      <w:r w:rsidRPr="006571AC">
        <w:rPr>
          <w:rFonts w:ascii="Arial" w:hAnsi="Arial" w:hint="cs"/>
          <w:sz w:val="27"/>
          <w:rtl/>
          <w:lang w:bidi="ar-MA"/>
        </w:rPr>
        <w:t>هذا الحضور الواس</w:t>
      </w:r>
      <w:r w:rsidRPr="006571AC">
        <w:rPr>
          <w:rFonts w:ascii="Arial" w:hAnsi="Arial" w:hint="eastAsia"/>
          <w:sz w:val="27"/>
          <w:rtl/>
          <w:lang w:bidi="ar-MA"/>
        </w:rPr>
        <w:t>ع</w:t>
      </w:r>
      <w:r w:rsidRPr="006571AC">
        <w:rPr>
          <w:rFonts w:ascii="Arial" w:hAnsi="Arial" w:hint="cs"/>
          <w:sz w:val="27"/>
          <w:rtl/>
          <w:lang w:bidi="ar-MA"/>
        </w:rPr>
        <w:t xml:space="preserve"> للمباحث النفسية والاجتماعية في الممارسات والأنشطة الفلسفية حضر وترس</w:t>
      </w:r>
      <w:r w:rsidR="00E02D20" w:rsidRPr="006571AC">
        <w:rPr>
          <w:rFonts w:ascii="Arial" w:hAnsi="Arial" w:hint="cs"/>
          <w:sz w:val="27"/>
          <w:rtl/>
          <w:lang w:bidi="ar-MA"/>
        </w:rPr>
        <w:t>َّ</w:t>
      </w:r>
      <w:r w:rsidRPr="006571AC">
        <w:rPr>
          <w:rFonts w:ascii="Arial" w:hAnsi="Arial" w:hint="cs"/>
          <w:sz w:val="27"/>
          <w:rtl/>
          <w:lang w:bidi="ar-MA"/>
        </w:rPr>
        <w:t>خ بشكل</w:t>
      </w:r>
      <w:r w:rsidR="00E02D20" w:rsidRPr="006571AC">
        <w:rPr>
          <w:rFonts w:ascii="Arial" w:hAnsi="Arial" w:hint="cs"/>
          <w:sz w:val="27"/>
          <w:rtl/>
          <w:lang w:bidi="ar-MA"/>
        </w:rPr>
        <w:t>ٍ</w:t>
      </w:r>
      <w:r w:rsidRPr="006571AC">
        <w:rPr>
          <w:rFonts w:ascii="Arial" w:hAnsi="Arial" w:hint="cs"/>
          <w:sz w:val="27"/>
          <w:rtl/>
          <w:lang w:bidi="ar-MA"/>
        </w:rPr>
        <w:t xml:space="preserve"> قوي</w:t>
      </w:r>
      <w:r w:rsidR="00E02D20" w:rsidRPr="006571AC">
        <w:rPr>
          <w:rFonts w:ascii="Arial" w:hAnsi="Arial" w:hint="cs"/>
          <w:sz w:val="27"/>
          <w:rtl/>
          <w:lang w:bidi="ar-MA"/>
        </w:rPr>
        <w:t>ّ</w:t>
      </w:r>
      <w:r w:rsidRPr="006571AC">
        <w:rPr>
          <w:rFonts w:ascii="Arial" w:hAnsi="Arial" w:hint="cs"/>
          <w:sz w:val="27"/>
          <w:rtl/>
          <w:lang w:bidi="ar-MA"/>
        </w:rPr>
        <w:t xml:space="preserve"> وفعلي</w:t>
      </w:r>
      <w:r w:rsidR="00E02D20" w:rsidRPr="006571AC">
        <w:rPr>
          <w:rFonts w:ascii="Arial" w:hAnsi="Arial" w:hint="cs"/>
          <w:sz w:val="27"/>
          <w:rtl/>
          <w:lang w:bidi="ar-MA"/>
        </w:rPr>
        <w:t>ّ</w:t>
      </w:r>
      <w:r w:rsidRPr="006571AC">
        <w:rPr>
          <w:rFonts w:ascii="Arial" w:hAnsi="Arial" w:hint="cs"/>
          <w:sz w:val="27"/>
          <w:rtl/>
          <w:lang w:bidi="ar-MA"/>
        </w:rPr>
        <w:t xml:space="preserve"> وواضح بين </w:t>
      </w:r>
      <w:r w:rsidR="00E02D20" w:rsidRPr="006571AC">
        <w:rPr>
          <w:rFonts w:ascii="Arial" w:hAnsi="Arial" w:hint="cs"/>
          <w:sz w:val="27"/>
          <w:rtl/>
          <w:lang w:bidi="ar-MA"/>
        </w:rPr>
        <w:t>أ</w:t>
      </w:r>
      <w:r w:rsidRPr="006571AC">
        <w:rPr>
          <w:rFonts w:ascii="Arial" w:hAnsi="Arial" w:hint="cs"/>
          <w:sz w:val="27"/>
          <w:rtl/>
          <w:lang w:bidi="ar-MA"/>
        </w:rPr>
        <w:t>غلب فلاسفة اليونان</w:t>
      </w:r>
      <w:r w:rsidR="00E02D20" w:rsidRPr="006571AC">
        <w:rPr>
          <w:rFonts w:ascii="Arial" w:hAnsi="Arial" w:hint="cs"/>
          <w:sz w:val="27"/>
          <w:rtl/>
          <w:lang w:bidi="ar-MA"/>
        </w:rPr>
        <w:t>،</w:t>
      </w:r>
      <w:r w:rsidRPr="006571AC">
        <w:rPr>
          <w:rFonts w:ascii="Arial" w:hAnsi="Arial" w:hint="cs"/>
          <w:sz w:val="27"/>
          <w:rtl/>
          <w:lang w:bidi="ar-MA"/>
        </w:rPr>
        <w:t xml:space="preserve"> بما في ذلك الفلاسفة الرو</w:t>
      </w:r>
      <w:r w:rsidR="00E02D20" w:rsidRPr="006571AC">
        <w:rPr>
          <w:rFonts w:ascii="Arial" w:hAnsi="Arial" w:hint="cs"/>
          <w:sz w:val="27"/>
          <w:rtl/>
          <w:lang w:bidi="ar-MA"/>
        </w:rPr>
        <w:t>ّ</w:t>
      </w:r>
      <w:r w:rsidRPr="006571AC">
        <w:rPr>
          <w:rFonts w:ascii="Arial" w:hAnsi="Arial" w:hint="cs"/>
          <w:sz w:val="27"/>
          <w:rtl/>
          <w:lang w:bidi="ar-MA"/>
        </w:rPr>
        <w:t>اد</w:t>
      </w:r>
      <w:r w:rsidR="00E02D20" w:rsidRPr="006571AC">
        <w:rPr>
          <w:rFonts w:ascii="Arial" w:hAnsi="Arial" w:hint="cs"/>
          <w:sz w:val="27"/>
          <w:rtl/>
          <w:lang w:bidi="ar-MA"/>
        </w:rPr>
        <w:t>،</w:t>
      </w:r>
      <w:r w:rsidRPr="006571AC">
        <w:rPr>
          <w:rFonts w:ascii="Arial" w:hAnsi="Arial" w:hint="cs"/>
          <w:sz w:val="27"/>
          <w:rtl/>
          <w:lang w:bidi="ar-MA"/>
        </w:rPr>
        <w:t xml:space="preserve"> الذين اختزلوا البحث النفسي والتربوي في الق</w:t>
      </w:r>
      <w:r w:rsidR="00E02D20" w:rsidRPr="006571AC">
        <w:rPr>
          <w:rFonts w:ascii="Arial" w:hAnsi="Arial" w:hint="cs"/>
          <w:sz w:val="27"/>
          <w:rtl/>
          <w:lang w:bidi="ar-MA"/>
        </w:rPr>
        <w:t>ِ</w:t>
      </w:r>
      <w:r w:rsidRPr="006571AC">
        <w:rPr>
          <w:rFonts w:ascii="Arial" w:hAnsi="Arial" w:hint="cs"/>
          <w:sz w:val="27"/>
          <w:rtl/>
          <w:lang w:bidi="ar-MA"/>
        </w:rPr>
        <w:t>ي</w:t>
      </w:r>
      <w:r w:rsidR="00E02D20" w:rsidRPr="006571AC">
        <w:rPr>
          <w:rFonts w:ascii="Arial" w:hAnsi="Arial" w:hint="cs"/>
          <w:sz w:val="27"/>
          <w:rtl/>
          <w:lang w:bidi="ar-MA"/>
        </w:rPr>
        <w:t>َ</w:t>
      </w:r>
      <w:r w:rsidRPr="006571AC">
        <w:rPr>
          <w:rFonts w:ascii="Arial" w:hAnsi="Arial" w:hint="cs"/>
          <w:sz w:val="27"/>
          <w:rtl/>
          <w:lang w:bidi="ar-MA"/>
        </w:rPr>
        <w:t>م العليا</w:t>
      </w:r>
      <w:r w:rsidR="00E02D20" w:rsidRPr="006571AC">
        <w:rPr>
          <w:rFonts w:ascii="Arial" w:hAnsi="Arial" w:hint="cs"/>
          <w:sz w:val="27"/>
          <w:rtl/>
          <w:lang w:bidi="ar-MA"/>
        </w:rPr>
        <w:t>،</w:t>
      </w:r>
      <w:r w:rsidRPr="006571AC">
        <w:rPr>
          <w:rFonts w:ascii="Arial" w:hAnsi="Arial" w:hint="cs"/>
          <w:sz w:val="27"/>
          <w:rtl/>
          <w:lang w:bidi="ar-MA"/>
        </w:rPr>
        <w:t xml:space="preserve"> التي ينبغي أن يتحل</w:t>
      </w:r>
      <w:r w:rsidR="00E02D20" w:rsidRPr="006571AC">
        <w:rPr>
          <w:rFonts w:ascii="Arial" w:hAnsi="Arial" w:hint="cs"/>
          <w:sz w:val="27"/>
          <w:rtl/>
          <w:lang w:bidi="ar-MA"/>
        </w:rPr>
        <w:t>ّ</w:t>
      </w:r>
      <w:r w:rsidRPr="006571AC">
        <w:rPr>
          <w:rFonts w:ascii="Arial" w:hAnsi="Arial" w:hint="cs"/>
          <w:sz w:val="27"/>
          <w:rtl/>
          <w:lang w:bidi="ar-MA"/>
        </w:rPr>
        <w:t>ى بها الإنسان المثالي</w:t>
      </w:r>
      <w:r w:rsidR="00E02D20" w:rsidRPr="006571AC">
        <w:rPr>
          <w:rFonts w:ascii="Arial" w:hAnsi="Arial" w:hint="cs"/>
          <w:sz w:val="27"/>
          <w:rtl/>
          <w:lang w:bidi="ar-MA"/>
        </w:rPr>
        <w:t>،</w:t>
      </w:r>
      <w:r w:rsidRPr="006571AC">
        <w:rPr>
          <w:rFonts w:ascii="Arial" w:hAnsi="Arial" w:hint="cs"/>
          <w:sz w:val="27"/>
          <w:rtl/>
          <w:lang w:bidi="ar-MA"/>
        </w:rPr>
        <w:t xml:space="preserve"> والتي ينبغي أن يحملها الإنسان في سلوكه اليومي</w:t>
      </w:r>
      <w:r w:rsidR="00E02D20" w:rsidRPr="006571AC">
        <w:rPr>
          <w:rFonts w:ascii="Arial" w:hAnsi="Arial" w:hint="cs"/>
          <w:sz w:val="27"/>
          <w:rtl/>
          <w:lang w:bidi="ar-MA"/>
        </w:rPr>
        <w:t>ّ</w:t>
      </w:r>
      <w:r w:rsidRPr="006571AC">
        <w:rPr>
          <w:rFonts w:ascii="Arial" w:hAnsi="Arial" w:hint="cs"/>
          <w:sz w:val="27"/>
          <w:rtl/>
          <w:lang w:bidi="ar-MA"/>
        </w:rPr>
        <w:t>، وينقلها إلى غيره من أفراد المجتمع الذي يعيشون معه</w:t>
      </w:r>
      <w:r w:rsidR="00E02D20" w:rsidRPr="006571AC">
        <w:rPr>
          <w:rFonts w:ascii="Arial" w:hAnsi="Arial" w:hint="cs"/>
          <w:sz w:val="27"/>
          <w:rtl/>
          <w:lang w:bidi="ar-MA"/>
        </w:rPr>
        <w:t>؛</w:t>
      </w:r>
      <w:r w:rsidRPr="006571AC">
        <w:rPr>
          <w:rFonts w:ascii="Arial" w:hAnsi="Arial" w:hint="cs"/>
          <w:sz w:val="27"/>
          <w:rtl/>
          <w:lang w:bidi="ar-MA"/>
        </w:rPr>
        <w:t xml:space="preserve"> لن</w:t>
      </w:r>
      <w:r w:rsidR="00E02D20" w:rsidRPr="006571AC">
        <w:rPr>
          <w:rFonts w:ascii="Arial" w:hAnsi="Arial" w:hint="cs"/>
          <w:sz w:val="27"/>
          <w:rtl/>
          <w:lang w:bidi="ar-MA"/>
        </w:rPr>
        <w:t>َ</w:t>
      </w:r>
      <w:r w:rsidRPr="006571AC">
        <w:rPr>
          <w:rFonts w:ascii="Arial" w:hAnsi="Arial" w:hint="cs"/>
          <w:sz w:val="27"/>
          <w:rtl/>
          <w:lang w:bidi="ar-MA"/>
        </w:rPr>
        <w:t>ي</w:t>
      </w:r>
      <w:r w:rsidR="00E02D20" w:rsidRPr="006571AC">
        <w:rPr>
          <w:rFonts w:ascii="Arial" w:hAnsi="Arial" w:hint="cs"/>
          <w:sz w:val="27"/>
          <w:rtl/>
          <w:lang w:bidi="ar-MA"/>
        </w:rPr>
        <w:t>ْ</w:t>
      </w:r>
      <w:r w:rsidRPr="006571AC">
        <w:rPr>
          <w:rFonts w:ascii="Arial" w:hAnsi="Arial" w:hint="cs"/>
          <w:sz w:val="27"/>
          <w:rtl/>
          <w:lang w:bidi="ar-MA"/>
        </w:rPr>
        <w:t xml:space="preserve">ل رضا الآلهة. </w:t>
      </w:r>
    </w:p>
    <w:p w:rsidR="0043677F" w:rsidRPr="006571AC" w:rsidRDefault="0043677F" w:rsidP="004045B2">
      <w:pPr>
        <w:rPr>
          <w:rFonts w:ascii="Arial" w:hAnsi="Arial"/>
          <w:sz w:val="27"/>
          <w:rtl/>
          <w:lang w:bidi="ar-MA"/>
        </w:rPr>
      </w:pPr>
      <w:r w:rsidRPr="006571AC">
        <w:rPr>
          <w:rFonts w:ascii="Arial" w:hAnsi="Arial" w:hint="cs"/>
          <w:sz w:val="27"/>
          <w:rtl/>
          <w:lang w:bidi="ar-MA"/>
        </w:rPr>
        <w:t>ومن الإشارات والأفكار التربوية والنفسية في الفلسفة اليونانية إشارة</w:t>
      </w:r>
      <w:r w:rsidR="00E02D20" w:rsidRPr="006571AC">
        <w:rPr>
          <w:rFonts w:ascii="Arial" w:hAnsi="Arial" w:hint="cs"/>
          <w:sz w:val="27"/>
          <w:rtl/>
          <w:lang w:bidi="ar-MA"/>
        </w:rPr>
        <w:t>ُ</w:t>
      </w:r>
      <w:r w:rsidRPr="006571AC">
        <w:rPr>
          <w:rFonts w:ascii="Arial" w:hAnsi="Arial" w:hint="cs"/>
          <w:sz w:val="27"/>
          <w:rtl/>
          <w:lang w:bidi="ar-MA"/>
        </w:rPr>
        <w:t xml:space="preserve"> الفيلسوف اليوناني أفلاطون</w:t>
      </w:r>
      <w:r w:rsidR="00265112" w:rsidRPr="006571AC">
        <w:rPr>
          <w:rFonts w:ascii="Arial" w:hAnsi="Arial" w:hint="cs"/>
          <w:sz w:val="27"/>
          <w:rtl/>
          <w:lang w:bidi="ar-MA"/>
        </w:rPr>
        <w:t>،</w:t>
      </w:r>
      <w:r w:rsidRPr="006571AC">
        <w:rPr>
          <w:rFonts w:ascii="Arial" w:hAnsi="Arial" w:hint="cs"/>
          <w:sz w:val="27"/>
          <w:rtl/>
          <w:lang w:bidi="ar-MA"/>
        </w:rPr>
        <w:t xml:space="preserve"> الذي ذكر أن التربية سلوك</w:t>
      </w:r>
      <w:r w:rsidR="00265112" w:rsidRPr="006571AC">
        <w:rPr>
          <w:rFonts w:ascii="Arial" w:hAnsi="Arial" w:hint="cs"/>
          <w:sz w:val="27"/>
          <w:rtl/>
          <w:lang w:bidi="ar-MA"/>
        </w:rPr>
        <w:t>ٌ</w:t>
      </w:r>
      <w:r w:rsidRPr="006571AC">
        <w:rPr>
          <w:rFonts w:ascii="Arial" w:hAnsi="Arial" w:hint="cs"/>
          <w:sz w:val="27"/>
          <w:rtl/>
          <w:lang w:bidi="ar-MA"/>
        </w:rPr>
        <w:t xml:space="preserve"> ملازم</w:t>
      </w:r>
      <w:r w:rsidR="00265112" w:rsidRPr="006571AC">
        <w:rPr>
          <w:rFonts w:ascii="Arial" w:hAnsi="Arial" w:hint="cs"/>
          <w:sz w:val="27"/>
          <w:rtl/>
          <w:lang w:bidi="ar-MA"/>
        </w:rPr>
        <w:t>ٌ</w:t>
      </w:r>
      <w:r w:rsidRPr="006571AC">
        <w:rPr>
          <w:rFonts w:ascii="Arial" w:hAnsi="Arial" w:hint="cs"/>
          <w:sz w:val="27"/>
          <w:rtl/>
          <w:lang w:bidi="ar-MA"/>
        </w:rPr>
        <w:t xml:space="preserve"> ومرافق</w:t>
      </w:r>
      <w:r w:rsidR="00265112" w:rsidRPr="006571AC">
        <w:rPr>
          <w:rFonts w:ascii="Arial" w:hAnsi="Arial" w:hint="cs"/>
          <w:sz w:val="27"/>
          <w:rtl/>
          <w:lang w:bidi="ar-MA"/>
        </w:rPr>
        <w:t>ٌ</w:t>
      </w:r>
      <w:r w:rsidRPr="006571AC">
        <w:rPr>
          <w:rFonts w:ascii="Arial" w:hAnsi="Arial" w:hint="cs"/>
          <w:sz w:val="27"/>
          <w:rtl/>
          <w:lang w:bidi="ar-MA"/>
        </w:rPr>
        <w:t xml:space="preserve"> </w:t>
      </w:r>
      <w:r w:rsidR="00265112" w:rsidRPr="006571AC">
        <w:rPr>
          <w:rFonts w:ascii="Arial" w:hAnsi="Arial" w:hint="cs"/>
          <w:sz w:val="27"/>
          <w:rtl/>
          <w:lang w:bidi="ar-MA"/>
        </w:rPr>
        <w:t>ل</w:t>
      </w:r>
      <w:r w:rsidRPr="006571AC">
        <w:rPr>
          <w:rFonts w:ascii="Arial" w:hAnsi="Arial" w:hint="cs"/>
          <w:sz w:val="27"/>
          <w:rtl/>
          <w:lang w:bidi="ar-MA"/>
        </w:rPr>
        <w:t>لإنسان منذ ولادته، بل هي ممتد</w:t>
      </w:r>
      <w:r w:rsidR="00265112" w:rsidRPr="006571AC">
        <w:rPr>
          <w:rFonts w:ascii="Arial" w:hAnsi="Arial" w:hint="cs"/>
          <w:sz w:val="27"/>
          <w:rtl/>
          <w:lang w:bidi="ar-MA"/>
        </w:rPr>
        <w:t>ّ</w:t>
      </w:r>
      <w:r w:rsidRPr="006571AC">
        <w:rPr>
          <w:rFonts w:ascii="Arial" w:hAnsi="Arial" w:hint="cs"/>
          <w:sz w:val="27"/>
          <w:rtl/>
          <w:lang w:bidi="ar-MA"/>
        </w:rPr>
        <w:t>ة</w:t>
      </w:r>
      <w:r w:rsidR="00265112" w:rsidRPr="006571AC">
        <w:rPr>
          <w:rFonts w:ascii="Arial" w:hAnsi="Arial" w:hint="cs"/>
          <w:sz w:val="27"/>
          <w:rtl/>
          <w:lang w:bidi="ar-MA"/>
        </w:rPr>
        <w:t>ٌ</w:t>
      </w:r>
      <w:r w:rsidRPr="006571AC">
        <w:rPr>
          <w:rFonts w:ascii="Arial" w:hAnsi="Arial" w:hint="cs"/>
          <w:sz w:val="27"/>
          <w:rtl/>
          <w:lang w:bidi="ar-MA"/>
        </w:rPr>
        <w:t xml:space="preserve"> ومتعايشة ومستمر</w:t>
      </w:r>
      <w:r w:rsidR="00265112" w:rsidRPr="006571AC">
        <w:rPr>
          <w:rFonts w:ascii="Arial" w:hAnsi="Arial" w:hint="cs"/>
          <w:sz w:val="27"/>
          <w:rtl/>
          <w:lang w:bidi="ar-MA"/>
        </w:rPr>
        <w:t>ّ</w:t>
      </w:r>
      <w:r w:rsidRPr="006571AC">
        <w:rPr>
          <w:rFonts w:ascii="Arial" w:hAnsi="Arial" w:hint="cs"/>
          <w:sz w:val="27"/>
          <w:rtl/>
          <w:lang w:bidi="ar-MA"/>
        </w:rPr>
        <w:t>ة معه إلى مماته، بحيث تكاد تغط</w:t>
      </w:r>
      <w:r w:rsidR="00265112" w:rsidRPr="006571AC">
        <w:rPr>
          <w:rFonts w:ascii="Arial" w:hAnsi="Arial" w:hint="cs"/>
          <w:sz w:val="27"/>
          <w:rtl/>
          <w:lang w:bidi="ar-MA"/>
        </w:rPr>
        <w:t>ّ</w:t>
      </w:r>
      <w:r w:rsidRPr="006571AC">
        <w:rPr>
          <w:rFonts w:ascii="Arial" w:hAnsi="Arial" w:hint="cs"/>
          <w:sz w:val="27"/>
          <w:rtl/>
          <w:lang w:bidi="ar-MA"/>
        </w:rPr>
        <w:t xml:space="preserve">ي التربية </w:t>
      </w:r>
      <w:r w:rsidRPr="006571AC">
        <w:rPr>
          <w:rFonts w:ascii="Arial" w:hAnsi="Arial" w:hint="cs"/>
          <w:sz w:val="27"/>
          <w:rtl/>
          <w:lang w:bidi="ar-MA"/>
        </w:rPr>
        <w:lastRenderedPageBreak/>
        <w:t>جميع حياة ومراحل الإنسان</w:t>
      </w:r>
      <w:r w:rsidR="00265112" w:rsidRPr="006571AC">
        <w:rPr>
          <w:rFonts w:ascii="Arial" w:hAnsi="Arial" w:hint="cs"/>
          <w:sz w:val="27"/>
          <w:rtl/>
          <w:lang w:bidi="ar-MA"/>
        </w:rPr>
        <w:t>.</w:t>
      </w:r>
      <w:r w:rsidRPr="006571AC">
        <w:rPr>
          <w:rFonts w:ascii="Arial" w:hAnsi="Arial" w:hint="cs"/>
          <w:sz w:val="27"/>
          <w:rtl/>
          <w:lang w:bidi="ar-MA"/>
        </w:rPr>
        <w:t xml:space="preserve"> ومم</w:t>
      </w:r>
      <w:r w:rsidR="00265112" w:rsidRPr="006571AC">
        <w:rPr>
          <w:rFonts w:ascii="Arial" w:hAnsi="Arial" w:hint="cs"/>
          <w:sz w:val="27"/>
          <w:rtl/>
          <w:lang w:bidi="ar-MA"/>
        </w:rPr>
        <w:t>ّ</w:t>
      </w:r>
      <w:r w:rsidRPr="006571AC">
        <w:rPr>
          <w:rFonts w:ascii="Arial" w:hAnsi="Arial" w:hint="cs"/>
          <w:sz w:val="27"/>
          <w:rtl/>
          <w:lang w:bidi="ar-MA"/>
        </w:rPr>
        <w:t xml:space="preserve">ا قاله </w:t>
      </w:r>
      <w:r w:rsidR="004045B2" w:rsidRPr="006571AC">
        <w:rPr>
          <w:rFonts w:ascii="Arial" w:hAnsi="Arial" w:hint="cs"/>
          <w:sz w:val="27"/>
          <w:rtl/>
          <w:lang w:bidi="ar-MA"/>
        </w:rPr>
        <w:t>أ</w:t>
      </w:r>
      <w:r w:rsidRPr="006571AC">
        <w:rPr>
          <w:rFonts w:ascii="Arial" w:hAnsi="Arial" w:hint="cs"/>
          <w:sz w:val="27"/>
          <w:rtl/>
          <w:lang w:bidi="ar-MA"/>
        </w:rPr>
        <w:t>فلاطون في هذا الموضوع: إننا نحتاج</w:t>
      </w:r>
      <w:r w:rsidRPr="006571AC">
        <w:rPr>
          <w:rFonts w:ascii="Arial" w:hAnsi="Arial" w:hint="cs"/>
          <w:sz w:val="27"/>
          <w:rtl/>
        </w:rPr>
        <w:t xml:space="preserve"> لصناعة رجلٍ خمسين عاماً</w:t>
      </w:r>
      <w:r w:rsidRPr="006571AC">
        <w:rPr>
          <w:rFonts w:ascii="Arial" w:hAnsi="Arial"/>
          <w:sz w:val="27"/>
          <w:vertAlign w:val="superscript"/>
          <w:rtl/>
          <w:lang w:bidi="ar-MA"/>
        </w:rPr>
        <w:t>(</w:t>
      </w:r>
      <w:r w:rsidRPr="006571AC">
        <w:rPr>
          <w:rStyle w:val="ac"/>
          <w:rFonts w:ascii="Arial" w:hAnsi="Arial"/>
          <w:sz w:val="27"/>
          <w:rtl/>
          <w:lang w:bidi="ar-MA"/>
        </w:rPr>
        <w:endnoteReference w:id="742"/>
      </w:r>
      <w:r w:rsidRPr="006571AC">
        <w:rPr>
          <w:rFonts w:ascii="Arial" w:hAnsi="Arial"/>
          <w:sz w:val="27"/>
          <w:vertAlign w:val="superscript"/>
          <w:rtl/>
          <w:lang w:bidi="ar-MA"/>
        </w:rPr>
        <w:t>)</w:t>
      </w:r>
      <w:r w:rsidRPr="006571AC">
        <w:rPr>
          <w:rFonts w:ascii="Arial" w:hAnsi="Arial" w:hint="cs"/>
          <w:sz w:val="27"/>
          <w:rtl/>
        </w:rPr>
        <w:t>.</w:t>
      </w:r>
    </w:p>
    <w:p w:rsidR="0043677F" w:rsidRPr="006571AC" w:rsidRDefault="0043677F" w:rsidP="004045B2">
      <w:pPr>
        <w:rPr>
          <w:rFonts w:ascii="Arial" w:hAnsi="Arial"/>
          <w:sz w:val="27"/>
          <w:rtl/>
          <w:lang w:bidi="ar-MA"/>
        </w:rPr>
      </w:pPr>
      <w:r w:rsidRPr="006571AC">
        <w:rPr>
          <w:rFonts w:ascii="Arial" w:hAnsi="Arial" w:hint="cs"/>
          <w:sz w:val="27"/>
          <w:rtl/>
          <w:lang w:bidi="ar-MA"/>
        </w:rPr>
        <w:t xml:space="preserve">ومن أعمال أفلاطون في المجال الاجتماعي التربوي تأسيسه </w:t>
      </w:r>
      <w:r w:rsidR="00265112" w:rsidRPr="006571AC">
        <w:rPr>
          <w:rFonts w:hint="eastAsia"/>
          <w:sz w:val="24"/>
          <w:szCs w:val="24"/>
          <w:rtl/>
        </w:rPr>
        <w:t>«</w:t>
      </w:r>
      <w:r w:rsidRPr="006571AC">
        <w:rPr>
          <w:rFonts w:ascii="Arial" w:hAnsi="Arial" w:hint="cs"/>
          <w:sz w:val="27"/>
          <w:rtl/>
          <w:lang w:bidi="ar-MA"/>
        </w:rPr>
        <w:t>الأكاديمية</w:t>
      </w:r>
      <w:r w:rsidR="00265112" w:rsidRPr="006571AC">
        <w:rPr>
          <w:rFonts w:hint="eastAsia"/>
          <w:sz w:val="24"/>
          <w:szCs w:val="24"/>
          <w:rtl/>
        </w:rPr>
        <w:t>»</w:t>
      </w:r>
      <w:r w:rsidR="00265112" w:rsidRPr="006571AC">
        <w:rPr>
          <w:rFonts w:ascii="Arial" w:hAnsi="Arial" w:hint="cs"/>
          <w:sz w:val="27"/>
          <w:rtl/>
          <w:lang w:bidi="ar-MA"/>
        </w:rPr>
        <w:t>،</w:t>
      </w:r>
      <w:r w:rsidRPr="006571AC">
        <w:rPr>
          <w:rFonts w:ascii="Arial" w:hAnsi="Arial" w:hint="cs"/>
          <w:sz w:val="27"/>
          <w:rtl/>
          <w:lang w:bidi="ar-MA"/>
        </w:rPr>
        <w:t xml:space="preserve"> وهي مؤس</w:t>
      </w:r>
      <w:r w:rsidR="00265112" w:rsidRPr="006571AC">
        <w:rPr>
          <w:rFonts w:ascii="Arial" w:hAnsi="Arial" w:hint="cs"/>
          <w:sz w:val="27"/>
          <w:rtl/>
          <w:lang w:bidi="ar-MA"/>
        </w:rPr>
        <w:t>ّ</w:t>
      </w:r>
      <w:r w:rsidRPr="006571AC">
        <w:rPr>
          <w:rFonts w:ascii="Arial" w:hAnsi="Arial" w:hint="cs"/>
          <w:sz w:val="27"/>
          <w:rtl/>
          <w:lang w:bidi="ar-MA"/>
        </w:rPr>
        <w:t>سة</w:t>
      </w:r>
      <w:r w:rsidR="00265112" w:rsidRPr="006571AC">
        <w:rPr>
          <w:rFonts w:ascii="Arial" w:hAnsi="Arial" w:hint="cs"/>
          <w:sz w:val="27"/>
          <w:rtl/>
          <w:lang w:bidi="ar-MA"/>
        </w:rPr>
        <w:t>ٌ</w:t>
      </w:r>
      <w:r w:rsidRPr="006571AC">
        <w:rPr>
          <w:rFonts w:ascii="Arial" w:hAnsi="Arial" w:hint="cs"/>
          <w:sz w:val="27"/>
          <w:rtl/>
          <w:lang w:bidi="ar-MA"/>
        </w:rPr>
        <w:t xml:space="preserve"> تعليمية</w:t>
      </w:r>
      <w:r w:rsidR="00265112" w:rsidRPr="006571AC">
        <w:rPr>
          <w:rFonts w:ascii="Arial" w:hAnsi="Arial" w:hint="cs"/>
          <w:sz w:val="27"/>
          <w:rtl/>
          <w:lang w:bidi="ar-MA"/>
        </w:rPr>
        <w:t>،</w:t>
      </w:r>
      <w:r w:rsidRPr="006571AC">
        <w:rPr>
          <w:rFonts w:ascii="Arial" w:hAnsi="Arial" w:hint="cs"/>
          <w:sz w:val="27"/>
          <w:rtl/>
          <w:lang w:bidi="ar-MA"/>
        </w:rPr>
        <w:t xml:space="preserve"> أنشاها أفلاطون للتدريس وللتعليم، وأطلق عليها هذا </w:t>
      </w:r>
      <w:r w:rsidR="00265112" w:rsidRPr="006571AC">
        <w:rPr>
          <w:rFonts w:ascii="Arial" w:hAnsi="Arial" w:hint="cs"/>
          <w:sz w:val="27"/>
          <w:rtl/>
          <w:lang w:bidi="ar-MA"/>
        </w:rPr>
        <w:t>ال</w:t>
      </w:r>
      <w:r w:rsidRPr="006571AC">
        <w:rPr>
          <w:rFonts w:ascii="Arial" w:hAnsi="Arial" w:hint="cs"/>
          <w:sz w:val="27"/>
          <w:rtl/>
          <w:lang w:bidi="ar-MA"/>
        </w:rPr>
        <w:t>اسم، وكان علم الرياضيات هو العلم المهيمن والغالب على مناهجها وعلى برامجها التعليمية</w:t>
      </w:r>
      <w:r w:rsidR="00265112" w:rsidRPr="006571AC">
        <w:rPr>
          <w:rFonts w:ascii="Arial" w:hAnsi="Arial" w:hint="cs"/>
          <w:sz w:val="27"/>
          <w:rtl/>
          <w:lang w:bidi="ar-MA"/>
        </w:rPr>
        <w:t>.</w:t>
      </w:r>
      <w:r w:rsidRPr="006571AC">
        <w:rPr>
          <w:rFonts w:ascii="Arial" w:hAnsi="Arial" w:hint="cs"/>
          <w:sz w:val="27"/>
          <w:rtl/>
          <w:lang w:bidi="ar-MA"/>
        </w:rPr>
        <w:t xml:space="preserve"> وهو أمر</w:t>
      </w:r>
      <w:r w:rsidR="00265112" w:rsidRPr="006571AC">
        <w:rPr>
          <w:rFonts w:ascii="Arial" w:hAnsi="Arial" w:hint="cs"/>
          <w:sz w:val="27"/>
          <w:rtl/>
          <w:lang w:bidi="ar-MA"/>
        </w:rPr>
        <w:t>ٌ</w:t>
      </w:r>
      <w:r w:rsidRPr="006571AC">
        <w:rPr>
          <w:rFonts w:ascii="Arial" w:hAnsi="Arial" w:hint="cs"/>
          <w:sz w:val="27"/>
          <w:rtl/>
          <w:lang w:bidi="ar-MA"/>
        </w:rPr>
        <w:t xml:space="preserve"> غير مست</w:t>
      </w:r>
      <w:r w:rsidR="00265112" w:rsidRPr="006571AC">
        <w:rPr>
          <w:rFonts w:ascii="Arial" w:hAnsi="Arial" w:hint="cs"/>
          <w:sz w:val="27"/>
          <w:rtl/>
          <w:lang w:bidi="ar-MA"/>
        </w:rPr>
        <w:t>َ</w:t>
      </w:r>
      <w:r w:rsidRPr="006571AC">
        <w:rPr>
          <w:rFonts w:ascii="Arial" w:hAnsi="Arial" w:hint="cs"/>
          <w:sz w:val="27"/>
          <w:rtl/>
          <w:lang w:bidi="ar-MA"/>
        </w:rPr>
        <w:t>غ</w:t>
      </w:r>
      <w:r w:rsidR="00265112" w:rsidRPr="006571AC">
        <w:rPr>
          <w:rFonts w:ascii="Arial" w:hAnsi="Arial" w:hint="cs"/>
          <w:sz w:val="27"/>
          <w:rtl/>
          <w:lang w:bidi="ar-MA"/>
        </w:rPr>
        <w:t>ْ</w:t>
      </w:r>
      <w:r w:rsidRPr="006571AC">
        <w:rPr>
          <w:rFonts w:ascii="Arial" w:hAnsi="Arial" w:hint="cs"/>
          <w:sz w:val="27"/>
          <w:rtl/>
          <w:lang w:bidi="ar-MA"/>
        </w:rPr>
        <w:t>ر</w:t>
      </w:r>
      <w:r w:rsidR="00265112" w:rsidRPr="006571AC">
        <w:rPr>
          <w:rFonts w:ascii="Arial" w:hAnsi="Arial" w:hint="cs"/>
          <w:sz w:val="27"/>
          <w:rtl/>
          <w:lang w:bidi="ar-MA"/>
        </w:rPr>
        <w:t>َ</w:t>
      </w:r>
      <w:r w:rsidRPr="006571AC">
        <w:rPr>
          <w:rFonts w:ascii="Arial" w:hAnsi="Arial" w:hint="cs"/>
          <w:sz w:val="27"/>
          <w:rtl/>
          <w:lang w:bidi="ar-MA"/>
        </w:rPr>
        <w:t>ب ما دام مدخل الأكاديمية يحمل شعارا</w:t>
      </w:r>
      <w:r w:rsidR="00265112" w:rsidRPr="006571AC">
        <w:rPr>
          <w:rFonts w:ascii="Arial" w:hAnsi="Arial" w:hint="cs"/>
          <w:sz w:val="27"/>
          <w:rtl/>
          <w:lang w:bidi="ar-MA"/>
        </w:rPr>
        <w:t>ً</w:t>
      </w:r>
      <w:r w:rsidRPr="006571AC">
        <w:rPr>
          <w:rFonts w:ascii="Arial" w:hAnsi="Arial" w:hint="cs"/>
          <w:sz w:val="27"/>
          <w:rtl/>
          <w:lang w:bidi="ar-MA"/>
        </w:rPr>
        <w:t xml:space="preserve"> و</w:t>
      </w:r>
      <w:r w:rsidR="00265112" w:rsidRPr="006571AC">
        <w:rPr>
          <w:rFonts w:ascii="Arial" w:hAnsi="Arial" w:hint="cs"/>
          <w:sz w:val="27"/>
          <w:rtl/>
          <w:lang w:bidi="ar-MA"/>
        </w:rPr>
        <w:t>لا</w:t>
      </w:r>
      <w:r w:rsidRPr="006571AC">
        <w:rPr>
          <w:rFonts w:ascii="Arial" w:hAnsi="Arial" w:hint="cs"/>
          <w:sz w:val="27"/>
          <w:rtl/>
          <w:lang w:bidi="ar-MA"/>
        </w:rPr>
        <w:t>فتة</w:t>
      </w:r>
      <w:r w:rsidR="00265112" w:rsidRPr="006571AC">
        <w:rPr>
          <w:rFonts w:ascii="Arial" w:hAnsi="Arial" w:hint="cs"/>
          <w:sz w:val="27"/>
          <w:rtl/>
          <w:lang w:bidi="ar-MA"/>
        </w:rPr>
        <w:t>ً</w:t>
      </w:r>
      <w:r w:rsidRPr="006571AC">
        <w:rPr>
          <w:rFonts w:ascii="Arial" w:hAnsi="Arial" w:hint="cs"/>
          <w:sz w:val="27"/>
          <w:rtl/>
          <w:lang w:bidi="ar-MA"/>
        </w:rPr>
        <w:t xml:space="preserve"> كبيرة ك</w:t>
      </w:r>
      <w:r w:rsidR="00265112" w:rsidRPr="006571AC">
        <w:rPr>
          <w:rFonts w:ascii="Arial" w:hAnsi="Arial" w:hint="cs"/>
          <w:sz w:val="27"/>
          <w:rtl/>
          <w:lang w:bidi="ar-MA"/>
        </w:rPr>
        <w:t>ُ</w:t>
      </w:r>
      <w:r w:rsidRPr="006571AC">
        <w:rPr>
          <w:rFonts w:ascii="Arial" w:hAnsi="Arial" w:hint="cs"/>
          <w:sz w:val="27"/>
          <w:rtl/>
          <w:lang w:bidi="ar-MA"/>
        </w:rPr>
        <w:t>تب ون</w:t>
      </w:r>
      <w:r w:rsidR="00265112" w:rsidRPr="006571AC">
        <w:rPr>
          <w:rFonts w:ascii="Arial" w:hAnsi="Arial" w:hint="cs"/>
          <w:sz w:val="27"/>
          <w:rtl/>
          <w:lang w:bidi="ar-MA"/>
        </w:rPr>
        <w:t>ُ</w:t>
      </w:r>
      <w:r w:rsidRPr="006571AC">
        <w:rPr>
          <w:rFonts w:ascii="Arial" w:hAnsi="Arial" w:hint="cs"/>
          <w:sz w:val="27"/>
          <w:rtl/>
          <w:lang w:bidi="ar-MA"/>
        </w:rPr>
        <w:t>حت عليها</w:t>
      </w:r>
      <w:r w:rsidR="00265112" w:rsidRPr="006571AC">
        <w:rPr>
          <w:rFonts w:ascii="Arial" w:hAnsi="Arial" w:hint="cs"/>
          <w:sz w:val="27"/>
          <w:rtl/>
          <w:lang w:bidi="ar-MA"/>
        </w:rPr>
        <w:t>:</w:t>
      </w:r>
      <w:r w:rsidRPr="006571AC">
        <w:rPr>
          <w:rFonts w:ascii="Arial" w:hAnsi="Arial" w:hint="cs"/>
          <w:sz w:val="27"/>
          <w:rtl/>
          <w:lang w:bidi="ar-MA"/>
        </w:rPr>
        <w:t xml:space="preserve"> </w:t>
      </w:r>
      <w:r w:rsidR="00265112" w:rsidRPr="006571AC">
        <w:rPr>
          <w:rFonts w:hint="eastAsia"/>
          <w:sz w:val="24"/>
          <w:szCs w:val="24"/>
          <w:rtl/>
        </w:rPr>
        <w:t>«</w:t>
      </w:r>
      <w:r w:rsidR="002C7AF8" w:rsidRPr="006571AC">
        <w:rPr>
          <w:rFonts w:ascii="Arial" w:hAnsi="Arial" w:hint="cs"/>
          <w:sz w:val="27"/>
          <w:rtl/>
          <w:lang w:bidi="ar-MA"/>
        </w:rPr>
        <w:t>...</w:t>
      </w:r>
      <w:r w:rsidRPr="006571AC">
        <w:rPr>
          <w:rFonts w:ascii="Arial" w:hAnsi="Arial" w:hint="cs"/>
          <w:sz w:val="27"/>
          <w:rtl/>
          <w:lang w:bidi="ar-MA"/>
        </w:rPr>
        <w:t xml:space="preserve">يمنع ولوج </w:t>
      </w:r>
      <w:r w:rsidR="004045B2" w:rsidRPr="006571AC">
        <w:rPr>
          <w:rFonts w:ascii="Arial" w:hAnsi="Arial" w:hint="cs"/>
          <w:sz w:val="27"/>
          <w:rtl/>
          <w:lang w:bidi="ar-MA"/>
        </w:rPr>
        <w:t xml:space="preserve">مَنْ لا يحسن الرياضيات </w:t>
      </w:r>
      <w:r w:rsidRPr="006571AC">
        <w:rPr>
          <w:rFonts w:ascii="Arial" w:hAnsi="Arial" w:hint="cs"/>
          <w:sz w:val="27"/>
          <w:rtl/>
          <w:lang w:bidi="ar-MA"/>
        </w:rPr>
        <w:t xml:space="preserve">إلى </w:t>
      </w:r>
      <w:r w:rsidR="00265112" w:rsidRPr="006571AC">
        <w:rPr>
          <w:rFonts w:hint="eastAsia"/>
          <w:sz w:val="24"/>
          <w:szCs w:val="24"/>
          <w:rtl/>
        </w:rPr>
        <w:t>«</w:t>
      </w:r>
      <w:r w:rsidRPr="006571AC">
        <w:rPr>
          <w:rFonts w:ascii="Arial" w:hAnsi="Arial" w:hint="cs"/>
          <w:sz w:val="27"/>
          <w:rtl/>
          <w:lang w:bidi="ar-MA"/>
        </w:rPr>
        <w:t>الأكاديمية</w:t>
      </w:r>
      <w:r w:rsidR="00265112" w:rsidRPr="006571AC">
        <w:rPr>
          <w:rFonts w:hint="eastAsia"/>
          <w:sz w:val="24"/>
          <w:szCs w:val="24"/>
          <w:rtl/>
        </w:rPr>
        <w:t>»</w:t>
      </w:r>
      <w:r w:rsidR="002C7AF8" w:rsidRPr="006571AC">
        <w:rPr>
          <w:rFonts w:hint="eastAsia"/>
          <w:sz w:val="24"/>
          <w:szCs w:val="24"/>
          <w:rtl/>
        </w:rPr>
        <w:t>»</w:t>
      </w:r>
      <w:r w:rsidR="002C7AF8" w:rsidRPr="006571AC">
        <w:rPr>
          <w:rFonts w:ascii="Arial" w:hAnsi="Arial" w:hint="cs"/>
          <w:sz w:val="27"/>
          <w:rtl/>
          <w:lang w:bidi="ar-MA"/>
        </w:rPr>
        <w:t>.</w:t>
      </w:r>
      <w:r w:rsidRPr="006571AC">
        <w:rPr>
          <w:rFonts w:ascii="Arial" w:hAnsi="Arial" w:hint="cs"/>
          <w:sz w:val="27"/>
          <w:rtl/>
          <w:lang w:bidi="ar-MA"/>
        </w:rPr>
        <w:t xml:space="preserve"> وكانت الفترة التي يستغرقها التعليم في هذه المؤس</w:t>
      </w:r>
      <w:r w:rsidR="002C7AF8" w:rsidRPr="006571AC">
        <w:rPr>
          <w:rFonts w:ascii="Arial" w:hAnsi="Arial" w:hint="cs"/>
          <w:sz w:val="27"/>
          <w:rtl/>
          <w:lang w:bidi="ar-MA"/>
        </w:rPr>
        <w:t>َّ</w:t>
      </w:r>
      <w:r w:rsidRPr="006571AC">
        <w:rPr>
          <w:rFonts w:ascii="Arial" w:hAnsi="Arial" w:hint="cs"/>
          <w:sz w:val="27"/>
          <w:rtl/>
          <w:lang w:bidi="ar-MA"/>
        </w:rPr>
        <w:t>سة تمتد</w:t>
      </w:r>
      <w:r w:rsidR="002C7AF8" w:rsidRPr="006571AC">
        <w:rPr>
          <w:rFonts w:ascii="Arial" w:hAnsi="Arial" w:hint="cs"/>
          <w:sz w:val="27"/>
          <w:rtl/>
          <w:lang w:bidi="ar-MA"/>
        </w:rPr>
        <w:t>ّ</w:t>
      </w:r>
      <w:r w:rsidRPr="006571AC">
        <w:rPr>
          <w:rFonts w:ascii="Arial" w:hAnsi="Arial" w:hint="cs"/>
          <w:sz w:val="27"/>
          <w:rtl/>
          <w:lang w:bidi="ar-MA"/>
        </w:rPr>
        <w:t xml:space="preserve"> إلى عشر سنوات، يتلق</w:t>
      </w:r>
      <w:r w:rsidR="002C7AF8" w:rsidRPr="006571AC">
        <w:rPr>
          <w:rFonts w:ascii="Arial" w:hAnsi="Arial" w:hint="cs"/>
          <w:sz w:val="27"/>
          <w:rtl/>
          <w:lang w:bidi="ar-MA"/>
        </w:rPr>
        <w:t>ّ</w:t>
      </w:r>
      <w:r w:rsidRPr="006571AC">
        <w:rPr>
          <w:rFonts w:ascii="Arial" w:hAnsi="Arial" w:hint="cs"/>
          <w:sz w:val="27"/>
          <w:rtl/>
          <w:lang w:bidi="ar-MA"/>
        </w:rPr>
        <w:t xml:space="preserve">ى الطالب </w:t>
      </w:r>
      <w:r w:rsidR="002C7AF8" w:rsidRPr="006571AC">
        <w:rPr>
          <w:rFonts w:ascii="Arial" w:hAnsi="Arial" w:hint="cs"/>
          <w:sz w:val="27"/>
          <w:rtl/>
          <w:lang w:bidi="ar-MA"/>
        </w:rPr>
        <w:t xml:space="preserve">فيها </w:t>
      </w:r>
      <w:r w:rsidRPr="006571AC">
        <w:rPr>
          <w:rFonts w:ascii="Arial" w:hAnsi="Arial" w:hint="cs"/>
          <w:sz w:val="27"/>
          <w:rtl/>
          <w:lang w:bidi="ar-MA"/>
        </w:rPr>
        <w:t>الحساب والهندسة الرياضيات...</w:t>
      </w:r>
      <w:r w:rsidRPr="006571AC">
        <w:rPr>
          <w:rFonts w:ascii="Arial" w:hAnsi="Arial"/>
          <w:sz w:val="27"/>
          <w:vertAlign w:val="superscript"/>
          <w:rtl/>
          <w:lang w:bidi="ar-MA"/>
        </w:rPr>
        <w:t>(</w:t>
      </w:r>
      <w:r w:rsidRPr="006571AC">
        <w:rPr>
          <w:rStyle w:val="ac"/>
          <w:rFonts w:ascii="Arial" w:hAnsi="Arial"/>
          <w:sz w:val="27"/>
          <w:rtl/>
          <w:lang w:bidi="ar-MA"/>
        </w:rPr>
        <w:endnoteReference w:id="743"/>
      </w:r>
      <w:r w:rsidRPr="006571AC">
        <w:rPr>
          <w:rFonts w:ascii="Arial" w:hAnsi="Arial"/>
          <w:sz w:val="27"/>
          <w:vertAlign w:val="superscript"/>
          <w:rtl/>
          <w:lang w:bidi="ar-MA"/>
        </w:rPr>
        <w:t>)</w:t>
      </w:r>
      <w:r w:rsidRPr="006571AC">
        <w:rPr>
          <w:rFonts w:ascii="Arial" w:hAnsi="Arial"/>
          <w:sz w:val="27"/>
          <w:rtl/>
          <w:lang w:bidi="ar-MA"/>
        </w:rPr>
        <w:t>.</w:t>
      </w:r>
      <w:r w:rsidRPr="006571AC">
        <w:rPr>
          <w:rFonts w:ascii="Arial" w:hAnsi="Arial" w:hint="cs"/>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و</w:t>
      </w:r>
      <w:r w:rsidR="002C7AF8" w:rsidRPr="006571AC">
        <w:rPr>
          <w:rFonts w:ascii="Arial" w:hAnsi="Arial" w:hint="cs"/>
          <w:sz w:val="27"/>
          <w:rtl/>
          <w:lang w:bidi="ar-MA"/>
        </w:rPr>
        <w:t>ب</w:t>
      </w:r>
      <w:r w:rsidRPr="006571AC">
        <w:rPr>
          <w:rFonts w:ascii="Arial" w:hAnsi="Arial" w:hint="cs"/>
          <w:sz w:val="27"/>
          <w:rtl/>
          <w:lang w:bidi="ar-MA"/>
        </w:rPr>
        <w:t>العودة إلى تاريخ الفلسفة بشكل</w:t>
      </w:r>
      <w:r w:rsidR="002C7AF8" w:rsidRPr="006571AC">
        <w:rPr>
          <w:rFonts w:ascii="Arial" w:hAnsi="Arial" w:hint="cs"/>
          <w:sz w:val="27"/>
          <w:rtl/>
          <w:lang w:bidi="ar-MA"/>
        </w:rPr>
        <w:t>ٍ</w:t>
      </w:r>
      <w:r w:rsidRPr="006571AC">
        <w:rPr>
          <w:rFonts w:ascii="Arial" w:hAnsi="Arial" w:hint="cs"/>
          <w:sz w:val="27"/>
          <w:rtl/>
          <w:lang w:bidi="ar-MA"/>
        </w:rPr>
        <w:t xml:space="preserve"> عام</w:t>
      </w:r>
      <w:r w:rsidR="002C7AF8" w:rsidRPr="006571AC">
        <w:rPr>
          <w:rFonts w:ascii="Arial" w:hAnsi="Arial" w:hint="cs"/>
          <w:sz w:val="27"/>
          <w:rtl/>
          <w:lang w:bidi="ar-MA"/>
        </w:rPr>
        <w:t>ّ</w:t>
      </w:r>
      <w:r w:rsidRPr="006571AC">
        <w:rPr>
          <w:rFonts w:ascii="Arial" w:hAnsi="Arial" w:hint="cs"/>
          <w:sz w:val="27"/>
          <w:rtl/>
          <w:lang w:bidi="ar-MA"/>
        </w:rPr>
        <w:t xml:space="preserve"> نجد أفلاطون قد جعل من النشاط العلمي والرياضي النشاط الوحيد المشخ</w:t>
      </w:r>
      <w:r w:rsidR="002C7AF8" w:rsidRPr="006571AC">
        <w:rPr>
          <w:rFonts w:ascii="Arial" w:hAnsi="Arial" w:hint="cs"/>
          <w:sz w:val="27"/>
          <w:rtl/>
          <w:lang w:bidi="ar-MA"/>
        </w:rPr>
        <w:t>ِّ</w:t>
      </w:r>
      <w:r w:rsidRPr="006571AC">
        <w:rPr>
          <w:rFonts w:ascii="Arial" w:hAnsi="Arial" w:hint="cs"/>
          <w:sz w:val="27"/>
          <w:rtl/>
          <w:lang w:bidi="ar-MA"/>
        </w:rPr>
        <w:t>ص والم</w:t>
      </w:r>
      <w:r w:rsidR="002C7AF8" w:rsidRPr="006571AC">
        <w:rPr>
          <w:rFonts w:ascii="Arial" w:hAnsi="Arial" w:hint="cs"/>
          <w:sz w:val="27"/>
          <w:rtl/>
          <w:lang w:bidi="ar-MA"/>
        </w:rPr>
        <w:t>ُ</w:t>
      </w:r>
      <w:r w:rsidRPr="006571AC">
        <w:rPr>
          <w:rFonts w:ascii="Arial" w:hAnsi="Arial" w:hint="cs"/>
          <w:sz w:val="27"/>
          <w:rtl/>
          <w:lang w:bidi="ar-MA"/>
        </w:rPr>
        <w:t>ب</w:t>
      </w:r>
      <w:r w:rsidR="002C7AF8" w:rsidRPr="006571AC">
        <w:rPr>
          <w:rFonts w:ascii="Arial" w:hAnsi="Arial" w:hint="cs"/>
          <w:sz w:val="27"/>
          <w:rtl/>
          <w:lang w:bidi="ar-MA"/>
        </w:rPr>
        <w:t>ْ</w:t>
      </w:r>
      <w:r w:rsidRPr="006571AC">
        <w:rPr>
          <w:rFonts w:ascii="Arial" w:hAnsi="Arial" w:hint="cs"/>
          <w:sz w:val="27"/>
          <w:rtl/>
          <w:lang w:bidi="ar-MA"/>
        </w:rPr>
        <w:t>ر</w:t>
      </w:r>
      <w:r w:rsidR="002C7AF8" w:rsidRPr="006571AC">
        <w:rPr>
          <w:rFonts w:ascii="Arial" w:hAnsi="Arial" w:hint="cs"/>
          <w:sz w:val="27"/>
          <w:rtl/>
          <w:lang w:bidi="ar-MA"/>
        </w:rPr>
        <w:t>ِ</w:t>
      </w:r>
      <w:r w:rsidRPr="006571AC">
        <w:rPr>
          <w:rFonts w:ascii="Arial" w:hAnsi="Arial" w:hint="cs"/>
          <w:sz w:val="27"/>
          <w:rtl/>
          <w:lang w:bidi="ar-MA"/>
        </w:rPr>
        <w:t>ز والم</w:t>
      </w:r>
      <w:r w:rsidR="002C7AF8" w:rsidRPr="006571AC">
        <w:rPr>
          <w:rFonts w:ascii="Arial" w:hAnsi="Arial" w:hint="cs"/>
          <w:sz w:val="27"/>
          <w:rtl/>
          <w:lang w:bidi="ar-MA"/>
        </w:rPr>
        <w:t>ُ</w:t>
      </w:r>
      <w:r w:rsidRPr="006571AC">
        <w:rPr>
          <w:rFonts w:ascii="Arial" w:hAnsi="Arial" w:hint="cs"/>
          <w:sz w:val="27"/>
          <w:rtl/>
          <w:lang w:bidi="ar-MA"/>
        </w:rPr>
        <w:t>ج</w:t>
      </w:r>
      <w:r w:rsidR="002C7AF8" w:rsidRPr="006571AC">
        <w:rPr>
          <w:rFonts w:ascii="Arial" w:hAnsi="Arial" w:hint="cs"/>
          <w:sz w:val="27"/>
          <w:rtl/>
          <w:lang w:bidi="ar-MA"/>
        </w:rPr>
        <w:t>ْ</w:t>
      </w:r>
      <w:r w:rsidRPr="006571AC">
        <w:rPr>
          <w:rFonts w:ascii="Arial" w:hAnsi="Arial" w:hint="cs"/>
          <w:sz w:val="27"/>
          <w:rtl/>
          <w:lang w:bidi="ar-MA"/>
        </w:rPr>
        <w:t>ل</w:t>
      </w:r>
      <w:r w:rsidR="002C7AF8" w:rsidRPr="006571AC">
        <w:rPr>
          <w:rFonts w:ascii="Arial" w:hAnsi="Arial" w:hint="cs"/>
          <w:sz w:val="27"/>
          <w:rtl/>
          <w:lang w:bidi="ar-MA"/>
        </w:rPr>
        <w:t>ِ</w:t>
      </w:r>
      <w:r w:rsidRPr="006571AC">
        <w:rPr>
          <w:rFonts w:ascii="Arial" w:hAnsi="Arial" w:hint="cs"/>
          <w:sz w:val="27"/>
          <w:rtl/>
          <w:lang w:bidi="ar-MA"/>
        </w:rPr>
        <w:t>ي للذكاء الإنساني وقو</w:t>
      </w:r>
      <w:r w:rsidR="002C7AF8" w:rsidRPr="006571AC">
        <w:rPr>
          <w:rFonts w:ascii="Arial" w:hAnsi="Arial" w:hint="cs"/>
          <w:sz w:val="27"/>
          <w:rtl/>
          <w:lang w:bidi="ar-MA"/>
        </w:rPr>
        <w:t>ّ</w:t>
      </w:r>
      <w:r w:rsidRPr="006571AC">
        <w:rPr>
          <w:rFonts w:ascii="Arial" w:hAnsi="Arial" w:hint="cs"/>
          <w:sz w:val="27"/>
          <w:rtl/>
          <w:lang w:bidi="ar-MA"/>
        </w:rPr>
        <w:t>ته، فالإنسان الذكي</w:t>
      </w:r>
      <w:r w:rsidR="002C7AF8" w:rsidRPr="006571AC">
        <w:rPr>
          <w:rFonts w:ascii="Arial" w:hAnsi="Arial" w:hint="cs"/>
          <w:sz w:val="27"/>
          <w:rtl/>
          <w:lang w:bidi="ar-MA"/>
        </w:rPr>
        <w:t>ّ</w:t>
      </w:r>
      <w:r w:rsidRPr="006571AC">
        <w:rPr>
          <w:rFonts w:ascii="Arial" w:hAnsi="Arial" w:hint="cs"/>
          <w:sz w:val="27"/>
          <w:rtl/>
          <w:lang w:bidi="ar-MA"/>
        </w:rPr>
        <w:t xml:space="preserve"> والمتفو</w:t>
      </w:r>
      <w:r w:rsidR="002C7AF8" w:rsidRPr="006571AC">
        <w:rPr>
          <w:rFonts w:ascii="Arial" w:hAnsi="Arial" w:hint="cs"/>
          <w:sz w:val="27"/>
          <w:rtl/>
          <w:lang w:bidi="ar-MA"/>
        </w:rPr>
        <w:t>ّ</w:t>
      </w:r>
      <w:r w:rsidRPr="006571AC">
        <w:rPr>
          <w:rFonts w:ascii="Arial" w:hAnsi="Arial" w:hint="cs"/>
          <w:sz w:val="27"/>
          <w:rtl/>
          <w:lang w:bidi="ar-MA"/>
        </w:rPr>
        <w:t>ق عند أفلاطون هو العارف والمتمك</w:t>
      </w:r>
      <w:r w:rsidR="002C7AF8" w:rsidRPr="006571AC">
        <w:rPr>
          <w:rFonts w:ascii="Arial" w:hAnsi="Arial" w:hint="cs"/>
          <w:sz w:val="27"/>
          <w:rtl/>
          <w:lang w:bidi="ar-MA"/>
        </w:rPr>
        <w:t>ّ</w:t>
      </w:r>
      <w:r w:rsidRPr="006571AC">
        <w:rPr>
          <w:rFonts w:ascii="Arial" w:hAnsi="Arial" w:hint="cs"/>
          <w:sz w:val="27"/>
          <w:rtl/>
          <w:lang w:bidi="ar-MA"/>
        </w:rPr>
        <w:t>ن من علم الرياضيات</w:t>
      </w:r>
      <w:r w:rsidR="002C7AF8" w:rsidRPr="006571AC">
        <w:rPr>
          <w:rFonts w:ascii="Arial" w:hAnsi="Arial" w:hint="cs"/>
          <w:sz w:val="27"/>
          <w:rtl/>
          <w:lang w:bidi="ar-MA"/>
        </w:rPr>
        <w:t>،</w:t>
      </w:r>
      <w:r w:rsidRPr="006571AC">
        <w:rPr>
          <w:rFonts w:ascii="Arial" w:hAnsi="Arial" w:hint="cs"/>
          <w:sz w:val="27"/>
          <w:rtl/>
          <w:lang w:bidi="ar-MA"/>
        </w:rPr>
        <w:t xml:space="preserve"> والمتمر</w:t>
      </w:r>
      <w:r w:rsidR="002C7AF8" w:rsidRPr="006571AC">
        <w:rPr>
          <w:rFonts w:ascii="Arial" w:hAnsi="Arial" w:hint="cs"/>
          <w:sz w:val="27"/>
          <w:rtl/>
          <w:lang w:bidi="ar-MA"/>
        </w:rPr>
        <w:t>ِّ</w:t>
      </w:r>
      <w:r w:rsidRPr="006571AC">
        <w:rPr>
          <w:rFonts w:ascii="Arial" w:hAnsi="Arial" w:hint="cs"/>
          <w:sz w:val="27"/>
          <w:rtl/>
          <w:lang w:bidi="ar-MA"/>
        </w:rPr>
        <w:t>س بمبادئ هذا العلم، وبغياب الذكاء الرياضي والتقصير أو الجهل في حل</w:t>
      </w:r>
      <w:r w:rsidR="002C7AF8" w:rsidRPr="006571AC">
        <w:rPr>
          <w:rFonts w:ascii="Arial" w:hAnsi="Arial" w:hint="cs"/>
          <w:sz w:val="27"/>
          <w:rtl/>
          <w:lang w:bidi="ar-MA"/>
        </w:rPr>
        <w:t>ّ</w:t>
      </w:r>
      <w:r w:rsidRPr="006571AC">
        <w:rPr>
          <w:rFonts w:ascii="Arial" w:hAnsi="Arial" w:hint="cs"/>
          <w:sz w:val="27"/>
          <w:rtl/>
          <w:lang w:bidi="ar-MA"/>
        </w:rPr>
        <w:t xml:space="preserve"> المعادلات الرياضية يغيب نشاط الذكاء عند الإنسان بشكل</w:t>
      </w:r>
      <w:r w:rsidR="002C7AF8" w:rsidRPr="006571AC">
        <w:rPr>
          <w:rFonts w:ascii="Arial" w:hAnsi="Arial" w:hint="cs"/>
          <w:sz w:val="27"/>
          <w:rtl/>
          <w:lang w:bidi="ar-MA"/>
        </w:rPr>
        <w:t>ٍ</w:t>
      </w:r>
      <w:r w:rsidRPr="006571AC">
        <w:rPr>
          <w:rFonts w:ascii="Arial" w:hAnsi="Arial" w:hint="cs"/>
          <w:sz w:val="27"/>
          <w:rtl/>
          <w:lang w:bidi="ar-MA"/>
        </w:rPr>
        <w:t xml:space="preserve"> عام</w:t>
      </w:r>
      <w:r w:rsidR="002C7AF8" w:rsidRPr="006571AC">
        <w:rPr>
          <w:rFonts w:ascii="Arial" w:hAnsi="Arial" w:hint="cs"/>
          <w:sz w:val="27"/>
          <w:rtl/>
          <w:lang w:bidi="ar-MA"/>
        </w:rPr>
        <w:t>ّ،</w:t>
      </w:r>
      <w:r w:rsidRPr="006571AC">
        <w:rPr>
          <w:rFonts w:ascii="Arial" w:hAnsi="Arial" w:hint="cs"/>
          <w:sz w:val="27"/>
          <w:rtl/>
          <w:lang w:bidi="ar-MA"/>
        </w:rPr>
        <w:t xml:space="preserve"> وفق الرؤية الأفلاطونية</w:t>
      </w:r>
      <w:r w:rsidRPr="006571AC">
        <w:rPr>
          <w:rFonts w:ascii="Arial" w:hAnsi="Arial"/>
          <w:sz w:val="27"/>
          <w:vertAlign w:val="superscript"/>
          <w:rtl/>
          <w:lang w:bidi="ar-MA"/>
        </w:rPr>
        <w:t>(</w:t>
      </w:r>
      <w:r w:rsidRPr="006571AC">
        <w:rPr>
          <w:rStyle w:val="ac"/>
          <w:rFonts w:ascii="Arial" w:hAnsi="Arial"/>
          <w:sz w:val="27"/>
          <w:rtl/>
          <w:lang w:bidi="ar-MA"/>
        </w:rPr>
        <w:endnoteReference w:id="744"/>
      </w:r>
      <w:r w:rsidRPr="006571AC">
        <w:rPr>
          <w:rFonts w:ascii="Arial" w:hAnsi="Arial"/>
          <w:sz w:val="27"/>
          <w:vertAlign w:val="superscript"/>
          <w:rtl/>
          <w:lang w:bidi="ar-MA"/>
        </w:rPr>
        <w:t>)</w:t>
      </w:r>
      <w:r w:rsidRPr="006571AC">
        <w:rPr>
          <w:rFonts w:ascii="Arial" w:hAnsi="Arial" w:hint="cs"/>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وفي هذا السياق قد</w:t>
      </w:r>
      <w:r w:rsidR="002C7AF8" w:rsidRPr="006571AC">
        <w:rPr>
          <w:rFonts w:ascii="Arial" w:hAnsi="Arial" w:hint="cs"/>
          <w:sz w:val="27"/>
          <w:rtl/>
          <w:lang w:bidi="ar-MA"/>
        </w:rPr>
        <w:t>ّ</w:t>
      </w:r>
      <w:r w:rsidRPr="006571AC">
        <w:rPr>
          <w:rFonts w:ascii="Arial" w:hAnsi="Arial" w:hint="cs"/>
          <w:sz w:val="27"/>
          <w:rtl/>
          <w:lang w:bidi="ar-MA"/>
        </w:rPr>
        <w:t xml:space="preserve">م أفلاطون </w:t>
      </w:r>
      <w:r w:rsidR="002C7AF8" w:rsidRPr="006571AC">
        <w:rPr>
          <w:rFonts w:ascii="Arial" w:hAnsi="Arial" w:hint="cs"/>
          <w:sz w:val="27"/>
          <w:rtl/>
          <w:lang w:bidi="ar-MA"/>
        </w:rPr>
        <w:t>إ</w:t>
      </w:r>
      <w:r w:rsidRPr="006571AC">
        <w:rPr>
          <w:rFonts w:ascii="Arial" w:hAnsi="Arial" w:hint="cs"/>
          <w:sz w:val="27"/>
          <w:rtl/>
          <w:lang w:bidi="ar-MA"/>
        </w:rPr>
        <w:t>لى أستاذه سقراط في محاورة الجمهورية نظري</w:t>
      </w:r>
      <w:r w:rsidR="002C7AF8" w:rsidRPr="006571AC">
        <w:rPr>
          <w:rFonts w:ascii="Arial" w:hAnsi="Arial" w:hint="cs"/>
          <w:sz w:val="27"/>
          <w:rtl/>
          <w:lang w:bidi="ar-MA"/>
        </w:rPr>
        <w:t>ّ</w:t>
      </w:r>
      <w:r w:rsidRPr="006571AC">
        <w:rPr>
          <w:rFonts w:ascii="Arial" w:hAnsi="Arial" w:hint="cs"/>
          <w:sz w:val="27"/>
          <w:rtl/>
          <w:lang w:bidi="ar-MA"/>
        </w:rPr>
        <w:t>ته حول القدرات العقلية للإنسان</w:t>
      </w:r>
      <w:r w:rsidR="002C7AF8" w:rsidRPr="006571AC">
        <w:rPr>
          <w:rFonts w:ascii="Arial" w:hAnsi="Arial" w:hint="cs"/>
          <w:sz w:val="27"/>
          <w:rtl/>
          <w:lang w:bidi="ar-MA"/>
        </w:rPr>
        <w:t xml:space="preserve">. </w:t>
      </w:r>
      <w:r w:rsidRPr="006571AC">
        <w:rPr>
          <w:rFonts w:ascii="Arial" w:hAnsi="Arial" w:hint="cs"/>
          <w:sz w:val="27"/>
          <w:rtl/>
          <w:lang w:bidi="ar-MA"/>
        </w:rPr>
        <w:t xml:space="preserve">وتقوم هذه النظرية </w:t>
      </w:r>
      <w:r w:rsidR="002C7AF8" w:rsidRPr="006571AC">
        <w:rPr>
          <w:rFonts w:ascii="Arial" w:hAnsi="Arial" w:hint="cs"/>
          <w:sz w:val="27"/>
          <w:rtl/>
          <w:lang w:bidi="ar-MA"/>
        </w:rPr>
        <w:t>على أ</w:t>
      </w:r>
      <w:r w:rsidRPr="006571AC">
        <w:rPr>
          <w:rFonts w:ascii="Arial" w:hAnsi="Arial" w:hint="cs"/>
          <w:sz w:val="27"/>
          <w:rtl/>
          <w:lang w:bidi="ar-MA"/>
        </w:rPr>
        <w:t>نه يمكن تقسيم البشر إلى ثلاثة أقسام: القسم الأو</w:t>
      </w:r>
      <w:r w:rsidR="002C7AF8" w:rsidRPr="006571AC">
        <w:rPr>
          <w:rFonts w:ascii="Arial" w:hAnsi="Arial" w:hint="cs"/>
          <w:sz w:val="27"/>
          <w:rtl/>
          <w:lang w:bidi="ar-MA"/>
        </w:rPr>
        <w:t>ّ</w:t>
      </w:r>
      <w:r w:rsidRPr="006571AC">
        <w:rPr>
          <w:rFonts w:ascii="Arial" w:hAnsi="Arial" w:hint="cs"/>
          <w:sz w:val="27"/>
          <w:rtl/>
          <w:lang w:bidi="ar-MA"/>
        </w:rPr>
        <w:t>ل</w:t>
      </w:r>
      <w:r w:rsidR="002C7AF8" w:rsidRPr="006571AC">
        <w:rPr>
          <w:rFonts w:ascii="Arial" w:hAnsi="Arial" w:hint="cs"/>
          <w:sz w:val="27"/>
          <w:rtl/>
          <w:lang w:bidi="ar-MA"/>
        </w:rPr>
        <w:t>:</w:t>
      </w:r>
      <w:r w:rsidRPr="006571AC">
        <w:rPr>
          <w:rFonts w:ascii="Arial" w:hAnsi="Arial" w:hint="cs"/>
          <w:sz w:val="27"/>
          <w:rtl/>
          <w:lang w:bidi="ar-MA"/>
        </w:rPr>
        <w:t xml:space="preserve"> هم الفلاسفة، وهو أعلى سل</w:t>
      </w:r>
      <w:r w:rsidR="002C7AF8" w:rsidRPr="006571AC">
        <w:rPr>
          <w:rFonts w:ascii="Arial" w:hAnsi="Arial" w:hint="cs"/>
          <w:sz w:val="27"/>
          <w:rtl/>
          <w:lang w:bidi="ar-MA"/>
        </w:rPr>
        <w:t>ّ</w:t>
      </w:r>
      <w:r w:rsidRPr="006571AC">
        <w:rPr>
          <w:rFonts w:ascii="Arial" w:hAnsi="Arial" w:hint="cs"/>
          <w:sz w:val="27"/>
          <w:rtl/>
          <w:lang w:bidi="ar-MA"/>
        </w:rPr>
        <w:t>م القدرات العقلية</w:t>
      </w:r>
      <w:r w:rsidR="001C0676" w:rsidRPr="006571AC">
        <w:rPr>
          <w:rFonts w:ascii="Arial" w:hAnsi="Arial" w:hint="cs"/>
          <w:sz w:val="27"/>
          <w:rtl/>
          <w:lang w:bidi="ar-MA"/>
        </w:rPr>
        <w:t>؛</w:t>
      </w:r>
      <w:r w:rsidRPr="006571AC">
        <w:rPr>
          <w:rFonts w:ascii="Arial" w:hAnsi="Arial" w:hint="cs"/>
          <w:sz w:val="27"/>
          <w:rtl/>
          <w:lang w:bidi="ar-MA"/>
        </w:rPr>
        <w:t xml:space="preserve"> يليه القادة العسكريون</w:t>
      </w:r>
      <w:r w:rsidR="001C0676" w:rsidRPr="006571AC">
        <w:rPr>
          <w:rFonts w:ascii="Arial" w:hAnsi="Arial" w:hint="cs"/>
          <w:sz w:val="27"/>
          <w:rtl/>
          <w:lang w:bidi="ar-MA"/>
        </w:rPr>
        <w:t>،</w:t>
      </w:r>
      <w:r w:rsidRPr="006571AC">
        <w:rPr>
          <w:rFonts w:ascii="Arial" w:hAnsi="Arial" w:hint="cs"/>
          <w:sz w:val="27"/>
          <w:rtl/>
          <w:lang w:bidi="ar-MA"/>
        </w:rPr>
        <w:t xml:space="preserve"> و</w:t>
      </w:r>
      <w:r w:rsidR="001C0676" w:rsidRPr="006571AC">
        <w:rPr>
          <w:rFonts w:ascii="Arial" w:hAnsi="Arial" w:hint="cs"/>
          <w:sz w:val="27"/>
          <w:rtl/>
          <w:lang w:bidi="ar-MA"/>
        </w:rPr>
        <w:t>يليهم</w:t>
      </w:r>
      <w:r w:rsidRPr="006571AC">
        <w:rPr>
          <w:rFonts w:ascii="Arial" w:hAnsi="Arial" w:hint="cs"/>
          <w:sz w:val="27"/>
          <w:rtl/>
          <w:lang w:bidi="ar-MA"/>
        </w:rPr>
        <w:t xml:space="preserve"> العم</w:t>
      </w:r>
      <w:r w:rsidR="002C7AF8" w:rsidRPr="006571AC">
        <w:rPr>
          <w:rFonts w:ascii="Arial" w:hAnsi="Arial" w:hint="cs"/>
          <w:sz w:val="27"/>
          <w:rtl/>
          <w:lang w:bidi="ar-MA"/>
        </w:rPr>
        <w:t>ّ</w:t>
      </w:r>
      <w:r w:rsidRPr="006571AC">
        <w:rPr>
          <w:rFonts w:ascii="Arial" w:hAnsi="Arial" w:hint="cs"/>
          <w:sz w:val="27"/>
          <w:rtl/>
          <w:lang w:bidi="ar-MA"/>
        </w:rPr>
        <w:t>ال والفلاحون</w:t>
      </w:r>
      <w:r w:rsidR="001C0676" w:rsidRPr="006571AC">
        <w:rPr>
          <w:rFonts w:ascii="Arial" w:hAnsi="Arial" w:hint="cs"/>
          <w:sz w:val="27"/>
          <w:rtl/>
          <w:lang w:bidi="ar-MA"/>
        </w:rPr>
        <w:t>؛</w:t>
      </w:r>
      <w:r w:rsidRPr="006571AC">
        <w:rPr>
          <w:rFonts w:ascii="Arial" w:hAnsi="Arial" w:hint="cs"/>
          <w:sz w:val="27"/>
          <w:rtl/>
          <w:lang w:bidi="ar-MA"/>
        </w:rPr>
        <w:t xml:space="preserve"> أما العوام</w:t>
      </w:r>
      <w:r w:rsidR="001C0676" w:rsidRPr="006571AC">
        <w:rPr>
          <w:rFonts w:ascii="Arial" w:hAnsi="Arial" w:hint="cs"/>
          <w:sz w:val="27"/>
          <w:rtl/>
          <w:lang w:bidi="ar-MA"/>
        </w:rPr>
        <w:t>ّ</w:t>
      </w:r>
      <w:r w:rsidRPr="006571AC">
        <w:rPr>
          <w:rFonts w:ascii="Arial" w:hAnsi="Arial" w:hint="cs"/>
          <w:sz w:val="27"/>
          <w:rtl/>
          <w:lang w:bidi="ar-MA"/>
        </w:rPr>
        <w:t xml:space="preserve"> فهم في الرتبة الثالثة، وهم في </w:t>
      </w:r>
      <w:r w:rsidR="001C0676" w:rsidRPr="006571AC">
        <w:rPr>
          <w:rFonts w:ascii="Arial" w:hAnsi="Arial" w:hint="cs"/>
          <w:sz w:val="27"/>
          <w:rtl/>
          <w:lang w:bidi="ar-MA"/>
        </w:rPr>
        <w:t>أ</w:t>
      </w:r>
      <w:r w:rsidRPr="006571AC">
        <w:rPr>
          <w:rFonts w:ascii="Arial" w:hAnsi="Arial" w:hint="cs"/>
          <w:sz w:val="27"/>
          <w:rtl/>
          <w:lang w:bidi="ar-MA"/>
        </w:rPr>
        <w:t>دن</w:t>
      </w:r>
      <w:r w:rsidR="001C0676" w:rsidRPr="006571AC">
        <w:rPr>
          <w:rFonts w:ascii="Arial" w:hAnsi="Arial" w:hint="cs"/>
          <w:sz w:val="27"/>
          <w:rtl/>
          <w:lang w:bidi="ar-MA"/>
        </w:rPr>
        <w:t>ى</w:t>
      </w:r>
      <w:r w:rsidRPr="006571AC">
        <w:rPr>
          <w:rFonts w:ascii="Arial" w:hAnsi="Arial" w:hint="cs"/>
          <w:sz w:val="27"/>
          <w:rtl/>
          <w:lang w:bidi="ar-MA"/>
        </w:rPr>
        <w:t xml:space="preserve"> السل</w:t>
      </w:r>
      <w:r w:rsidR="001C0676" w:rsidRPr="006571AC">
        <w:rPr>
          <w:rFonts w:ascii="Arial" w:hAnsi="Arial" w:hint="cs"/>
          <w:sz w:val="27"/>
          <w:rtl/>
          <w:lang w:bidi="ar-MA"/>
        </w:rPr>
        <w:t>ّ</w:t>
      </w:r>
      <w:r w:rsidRPr="006571AC">
        <w:rPr>
          <w:rFonts w:ascii="Arial" w:hAnsi="Arial" w:hint="cs"/>
          <w:sz w:val="27"/>
          <w:rtl/>
          <w:lang w:bidi="ar-MA"/>
        </w:rPr>
        <w:t>م</w:t>
      </w:r>
      <w:r w:rsidRPr="006571AC">
        <w:rPr>
          <w:rFonts w:ascii="Arial" w:hAnsi="Arial"/>
          <w:sz w:val="27"/>
          <w:vertAlign w:val="superscript"/>
          <w:rtl/>
          <w:lang w:bidi="ar-MA"/>
        </w:rPr>
        <w:t>(</w:t>
      </w:r>
      <w:r w:rsidRPr="006571AC">
        <w:rPr>
          <w:rStyle w:val="ac"/>
          <w:rFonts w:ascii="Arial" w:hAnsi="Arial"/>
          <w:sz w:val="27"/>
          <w:rtl/>
          <w:lang w:bidi="ar-MA"/>
        </w:rPr>
        <w:endnoteReference w:id="745"/>
      </w:r>
      <w:r w:rsidRPr="006571AC">
        <w:rPr>
          <w:rFonts w:ascii="Arial" w:hAnsi="Arial"/>
          <w:sz w:val="27"/>
          <w:vertAlign w:val="superscript"/>
          <w:rtl/>
          <w:lang w:bidi="ar-MA"/>
        </w:rPr>
        <w:t>)</w:t>
      </w:r>
      <w:r w:rsidRPr="006571AC">
        <w:rPr>
          <w:rFonts w:ascii="Arial" w:hAnsi="Arial" w:hint="cs"/>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فالذكاء بهذا الف</w:t>
      </w:r>
      <w:r w:rsidR="004045B2" w:rsidRPr="006571AC">
        <w:rPr>
          <w:rFonts w:ascii="Arial" w:hAnsi="Arial" w:hint="cs"/>
          <w:sz w:val="27"/>
          <w:rtl/>
          <w:lang w:bidi="ar-MA"/>
        </w:rPr>
        <w:t>َ</w:t>
      </w:r>
      <w:r w:rsidRPr="006571AC">
        <w:rPr>
          <w:rFonts w:ascii="Arial" w:hAnsi="Arial" w:hint="cs"/>
          <w:sz w:val="27"/>
          <w:rtl/>
          <w:lang w:bidi="ar-MA"/>
        </w:rPr>
        <w:t>ه</w:t>
      </w:r>
      <w:r w:rsidR="004045B2" w:rsidRPr="006571AC">
        <w:rPr>
          <w:rFonts w:ascii="Arial" w:hAnsi="Arial" w:hint="cs"/>
          <w:sz w:val="27"/>
          <w:rtl/>
          <w:lang w:bidi="ar-MA"/>
        </w:rPr>
        <w:t>ْ</w:t>
      </w:r>
      <w:r w:rsidRPr="006571AC">
        <w:rPr>
          <w:rFonts w:ascii="Arial" w:hAnsi="Arial" w:hint="cs"/>
          <w:sz w:val="27"/>
          <w:rtl/>
          <w:lang w:bidi="ar-MA"/>
        </w:rPr>
        <w:t>م الفلسفي والتفسير الأفلاطوني يرجع أحيانا</w:t>
      </w:r>
      <w:r w:rsidR="001C0676" w:rsidRPr="006571AC">
        <w:rPr>
          <w:rFonts w:ascii="Arial" w:hAnsi="Arial" w:hint="cs"/>
          <w:sz w:val="27"/>
          <w:rtl/>
          <w:lang w:bidi="ar-MA"/>
        </w:rPr>
        <w:t>ً</w:t>
      </w:r>
      <w:r w:rsidRPr="006571AC">
        <w:rPr>
          <w:rFonts w:ascii="Arial" w:hAnsi="Arial" w:hint="cs"/>
          <w:sz w:val="27"/>
          <w:rtl/>
          <w:lang w:bidi="ar-MA"/>
        </w:rPr>
        <w:t xml:space="preserve"> إلى ما هو وراثي</w:t>
      </w:r>
      <w:r w:rsidR="001C0676" w:rsidRPr="006571AC">
        <w:rPr>
          <w:rFonts w:ascii="Arial" w:hAnsi="Arial" w:hint="cs"/>
          <w:sz w:val="27"/>
          <w:rtl/>
          <w:lang w:bidi="ar-MA"/>
        </w:rPr>
        <w:t>ّ</w:t>
      </w:r>
      <w:r w:rsidRPr="006571AC">
        <w:rPr>
          <w:rFonts w:ascii="Arial" w:hAnsi="Arial" w:hint="cs"/>
          <w:sz w:val="27"/>
          <w:rtl/>
          <w:lang w:bidi="ar-MA"/>
        </w:rPr>
        <w:t xml:space="preserve"> و</w:t>
      </w:r>
      <w:r w:rsidR="001C0676" w:rsidRPr="006571AC">
        <w:rPr>
          <w:rFonts w:ascii="Arial" w:hAnsi="Arial" w:hint="cs"/>
          <w:sz w:val="27"/>
          <w:rtl/>
          <w:lang w:bidi="ar-MA"/>
        </w:rPr>
        <w:t>أ</w:t>
      </w:r>
      <w:r w:rsidRPr="006571AC">
        <w:rPr>
          <w:rFonts w:ascii="Arial" w:hAnsi="Arial" w:hint="cs"/>
          <w:sz w:val="27"/>
          <w:rtl/>
          <w:lang w:bidi="ar-MA"/>
        </w:rPr>
        <w:t>بدي</w:t>
      </w:r>
      <w:r w:rsidR="001C0676" w:rsidRPr="006571AC">
        <w:rPr>
          <w:rFonts w:ascii="Arial" w:hAnsi="Arial" w:hint="cs"/>
          <w:sz w:val="27"/>
          <w:rtl/>
          <w:lang w:bidi="ar-MA"/>
        </w:rPr>
        <w:t>ّ</w:t>
      </w:r>
      <w:r w:rsidRPr="006571AC">
        <w:rPr>
          <w:rFonts w:ascii="Arial" w:hAnsi="Arial" w:hint="cs"/>
          <w:sz w:val="27"/>
          <w:rtl/>
          <w:lang w:bidi="ar-MA"/>
        </w:rPr>
        <w:t xml:space="preserve"> أكثر </w:t>
      </w:r>
      <w:r w:rsidR="001C0676" w:rsidRPr="006571AC">
        <w:rPr>
          <w:rFonts w:ascii="Arial" w:hAnsi="Arial" w:hint="cs"/>
          <w:sz w:val="27"/>
          <w:rtl/>
          <w:lang w:bidi="ar-MA"/>
        </w:rPr>
        <w:t>م</w:t>
      </w:r>
      <w:r w:rsidRPr="006571AC">
        <w:rPr>
          <w:rFonts w:ascii="Arial" w:hAnsi="Arial" w:hint="cs"/>
          <w:sz w:val="27"/>
          <w:rtl/>
          <w:lang w:bidi="ar-MA"/>
        </w:rPr>
        <w:t>ما يرجع إلى الاستعدادات والمؤه</w:t>
      </w:r>
      <w:r w:rsidR="001C0676" w:rsidRPr="006571AC">
        <w:rPr>
          <w:rFonts w:ascii="Arial" w:hAnsi="Arial" w:hint="cs"/>
          <w:sz w:val="27"/>
          <w:rtl/>
          <w:lang w:bidi="ar-MA"/>
        </w:rPr>
        <w:t>ّ</w:t>
      </w:r>
      <w:r w:rsidRPr="006571AC">
        <w:rPr>
          <w:rFonts w:ascii="Arial" w:hAnsi="Arial" w:hint="cs"/>
          <w:sz w:val="27"/>
          <w:rtl/>
          <w:lang w:bidi="ar-MA"/>
        </w:rPr>
        <w:t xml:space="preserve">لات </w:t>
      </w:r>
      <w:r w:rsidR="001C0676" w:rsidRPr="006571AC">
        <w:rPr>
          <w:rFonts w:ascii="Arial" w:hAnsi="Arial" w:hint="cs"/>
          <w:sz w:val="27"/>
          <w:rtl/>
          <w:lang w:bidi="ar-MA"/>
        </w:rPr>
        <w:t>القبلية التي يكتسبها الفر</w:t>
      </w:r>
      <w:r w:rsidR="001C0676" w:rsidRPr="006571AC">
        <w:rPr>
          <w:rFonts w:ascii="Arial" w:hAnsi="Arial" w:hint="cs"/>
          <w:sz w:val="27"/>
          <w:rtl/>
        </w:rPr>
        <w:t xml:space="preserve">د </w:t>
      </w:r>
      <w:r w:rsidRPr="006571AC">
        <w:rPr>
          <w:rFonts w:ascii="Arial" w:hAnsi="Arial" w:hint="cs"/>
          <w:sz w:val="27"/>
          <w:rtl/>
          <w:lang w:bidi="ar-MA"/>
        </w:rPr>
        <w:t>في سياق تفاعله واحتكاكه مع مجتمعه وبيئته</w:t>
      </w:r>
      <w:r w:rsidR="001C0676" w:rsidRPr="006571AC">
        <w:rPr>
          <w:rFonts w:ascii="Arial" w:hAnsi="Arial" w:hint="cs"/>
          <w:sz w:val="27"/>
          <w:rtl/>
          <w:lang w:bidi="ar-MA"/>
        </w:rPr>
        <w:t xml:space="preserve">؛ </w:t>
      </w:r>
      <w:r w:rsidRPr="006571AC">
        <w:rPr>
          <w:rFonts w:ascii="Arial" w:hAnsi="Arial" w:hint="cs"/>
          <w:sz w:val="27"/>
          <w:rtl/>
          <w:lang w:bidi="ar-MA"/>
        </w:rPr>
        <w:t>إذ يتحد</w:t>
      </w:r>
      <w:r w:rsidR="001C0676" w:rsidRPr="006571AC">
        <w:rPr>
          <w:rFonts w:ascii="Arial" w:hAnsi="Arial" w:hint="cs"/>
          <w:sz w:val="27"/>
          <w:rtl/>
          <w:lang w:bidi="ar-MA"/>
        </w:rPr>
        <w:t>َّ</w:t>
      </w:r>
      <w:r w:rsidRPr="006571AC">
        <w:rPr>
          <w:rFonts w:ascii="Arial" w:hAnsi="Arial" w:hint="cs"/>
          <w:sz w:val="27"/>
          <w:rtl/>
          <w:lang w:bidi="ar-MA"/>
        </w:rPr>
        <w:t>د الذكاء بشكل</w:t>
      </w:r>
      <w:r w:rsidR="001C0676" w:rsidRPr="006571AC">
        <w:rPr>
          <w:rFonts w:ascii="Arial" w:hAnsi="Arial" w:hint="cs"/>
          <w:sz w:val="27"/>
          <w:rtl/>
          <w:lang w:bidi="ar-MA"/>
        </w:rPr>
        <w:t>ٍ</w:t>
      </w:r>
      <w:r w:rsidRPr="006571AC">
        <w:rPr>
          <w:rFonts w:ascii="Arial" w:hAnsi="Arial" w:hint="cs"/>
          <w:sz w:val="27"/>
          <w:rtl/>
          <w:lang w:bidi="ar-MA"/>
        </w:rPr>
        <w:t xml:space="preserve"> ح</w:t>
      </w:r>
      <w:r w:rsidR="001C0676" w:rsidRPr="006571AC">
        <w:rPr>
          <w:rFonts w:ascii="Arial" w:hAnsi="Arial" w:hint="cs"/>
          <w:sz w:val="27"/>
          <w:rtl/>
          <w:lang w:bidi="ar-MA"/>
        </w:rPr>
        <w:t>َ</w:t>
      </w:r>
      <w:r w:rsidRPr="006571AC">
        <w:rPr>
          <w:rFonts w:ascii="Arial" w:hAnsi="Arial" w:hint="cs"/>
          <w:sz w:val="27"/>
          <w:rtl/>
          <w:lang w:bidi="ar-MA"/>
        </w:rPr>
        <w:t>ت</w:t>
      </w:r>
      <w:r w:rsidR="001C0676" w:rsidRPr="006571AC">
        <w:rPr>
          <w:rFonts w:ascii="Arial" w:hAnsi="Arial" w:hint="cs"/>
          <w:sz w:val="27"/>
          <w:rtl/>
          <w:lang w:bidi="ar-MA"/>
        </w:rPr>
        <w:t>ْ</w:t>
      </w:r>
      <w:r w:rsidRPr="006571AC">
        <w:rPr>
          <w:rFonts w:ascii="Arial" w:hAnsi="Arial" w:hint="cs"/>
          <w:sz w:val="27"/>
          <w:rtl/>
          <w:lang w:bidi="ar-MA"/>
        </w:rPr>
        <w:t>مي</w:t>
      </w:r>
      <w:r w:rsidR="001C0676" w:rsidRPr="006571AC">
        <w:rPr>
          <w:rFonts w:ascii="Arial" w:hAnsi="Arial" w:hint="cs"/>
          <w:sz w:val="27"/>
          <w:rtl/>
          <w:lang w:bidi="ar-MA"/>
        </w:rPr>
        <w:t>ّ</w:t>
      </w:r>
      <w:r w:rsidRPr="006571AC">
        <w:rPr>
          <w:rFonts w:ascii="Arial" w:hAnsi="Arial" w:hint="cs"/>
          <w:sz w:val="27"/>
          <w:rtl/>
          <w:lang w:bidi="ar-MA"/>
        </w:rPr>
        <w:t xml:space="preserve"> ومسبق مع ميلاد الإنسان، وهو غير قابل</w:t>
      </w:r>
      <w:r w:rsidR="001C0676" w:rsidRPr="006571AC">
        <w:rPr>
          <w:rFonts w:ascii="Arial" w:hAnsi="Arial" w:hint="cs"/>
          <w:sz w:val="27"/>
          <w:rtl/>
          <w:lang w:bidi="ar-MA"/>
        </w:rPr>
        <w:t>ٍ</w:t>
      </w:r>
      <w:r w:rsidRPr="006571AC">
        <w:rPr>
          <w:rFonts w:ascii="Arial" w:hAnsi="Arial" w:hint="cs"/>
          <w:sz w:val="27"/>
          <w:rtl/>
          <w:lang w:bidi="ar-MA"/>
        </w:rPr>
        <w:t xml:space="preserve"> للتحويل أو للتغيير</w:t>
      </w:r>
      <w:r w:rsidR="001C0676" w:rsidRPr="006571AC">
        <w:rPr>
          <w:rFonts w:ascii="Arial" w:hAnsi="Arial" w:hint="cs"/>
          <w:sz w:val="27"/>
          <w:rtl/>
          <w:lang w:bidi="ar-MA"/>
        </w:rPr>
        <w:t>،</w:t>
      </w:r>
      <w:r w:rsidRPr="006571AC">
        <w:rPr>
          <w:rFonts w:ascii="Arial" w:hAnsi="Arial" w:hint="cs"/>
          <w:sz w:val="27"/>
          <w:rtl/>
          <w:lang w:bidi="ar-MA"/>
        </w:rPr>
        <w:t xml:space="preserve"> رغ</w:t>
      </w:r>
      <w:r w:rsidRPr="006571AC">
        <w:rPr>
          <w:rFonts w:ascii="Arial" w:hAnsi="Arial" w:hint="eastAsia"/>
          <w:sz w:val="27"/>
          <w:rtl/>
          <w:lang w:bidi="ar-MA"/>
        </w:rPr>
        <w:t>م</w:t>
      </w:r>
      <w:r w:rsidRPr="006571AC">
        <w:rPr>
          <w:rFonts w:ascii="Arial" w:hAnsi="Arial" w:hint="cs"/>
          <w:sz w:val="27"/>
          <w:rtl/>
          <w:lang w:bidi="ar-MA"/>
        </w:rPr>
        <w:t xml:space="preserve"> المراحل العمرية التي يمر</w:t>
      </w:r>
      <w:r w:rsidR="001C0676" w:rsidRPr="006571AC">
        <w:rPr>
          <w:rFonts w:ascii="Arial" w:hAnsi="Arial" w:hint="cs"/>
          <w:sz w:val="27"/>
          <w:rtl/>
          <w:lang w:bidi="ar-MA"/>
        </w:rPr>
        <w:t>ّ</w:t>
      </w:r>
      <w:r w:rsidRPr="006571AC">
        <w:rPr>
          <w:rFonts w:ascii="Arial" w:hAnsi="Arial" w:hint="cs"/>
          <w:sz w:val="27"/>
          <w:rtl/>
          <w:lang w:bidi="ar-MA"/>
        </w:rPr>
        <w:t xml:space="preserve"> </w:t>
      </w:r>
      <w:r w:rsidR="001C0676" w:rsidRPr="006571AC">
        <w:rPr>
          <w:rFonts w:ascii="Arial" w:hAnsi="Arial" w:hint="cs"/>
          <w:sz w:val="27"/>
          <w:rtl/>
          <w:lang w:bidi="ar-MA"/>
        </w:rPr>
        <w:t>ب</w:t>
      </w:r>
      <w:r w:rsidRPr="006571AC">
        <w:rPr>
          <w:rFonts w:ascii="Arial" w:hAnsi="Arial" w:hint="cs"/>
          <w:sz w:val="27"/>
          <w:rtl/>
          <w:lang w:bidi="ar-MA"/>
        </w:rPr>
        <w:t>ها ويقطعها الإنسان</w:t>
      </w:r>
      <w:r w:rsidR="001C0676" w:rsidRPr="006571AC">
        <w:rPr>
          <w:rFonts w:ascii="Arial" w:hAnsi="Arial" w:hint="cs"/>
          <w:sz w:val="27"/>
          <w:rtl/>
          <w:lang w:bidi="ar-MA"/>
        </w:rPr>
        <w:t>.</w:t>
      </w:r>
      <w:r w:rsidRPr="006571AC">
        <w:rPr>
          <w:rFonts w:ascii="Arial" w:hAnsi="Arial" w:hint="cs"/>
          <w:sz w:val="27"/>
          <w:rtl/>
          <w:lang w:bidi="ar-MA"/>
        </w:rPr>
        <w:t xml:space="preserve"> فطبيع</w:t>
      </w:r>
      <w:r w:rsidR="001C0676" w:rsidRPr="006571AC">
        <w:rPr>
          <w:rFonts w:ascii="Arial" w:hAnsi="Arial" w:hint="cs"/>
          <w:sz w:val="27"/>
          <w:rtl/>
          <w:lang w:bidi="ar-MA"/>
        </w:rPr>
        <w:t>ة</w:t>
      </w:r>
      <w:r w:rsidRPr="006571AC">
        <w:rPr>
          <w:rFonts w:ascii="Arial" w:hAnsi="Arial" w:hint="cs"/>
          <w:sz w:val="27"/>
          <w:rtl/>
          <w:lang w:bidi="ar-MA"/>
        </w:rPr>
        <w:t xml:space="preserve"> الذكاء لا تتغي</w:t>
      </w:r>
      <w:r w:rsidR="001C0676" w:rsidRPr="006571AC">
        <w:rPr>
          <w:rFonts w:ascii="Arial" w:hAnsi="Arial" w:hint="cs"/>
          <w:sz w:val="27"/>
          <w:rtl/>
          <w:lang w:bidi="ar-MA"/>
        </w:rPr>
        <w:t>َّ</w:t>
      </w:r>
      <w:r w:rsidRPr="006571AC">
        <w:rPr>
          <w:rFonts w:ascii="Arial" w:hAnsi="Arial" w:hint="cs"/>
          <w:sz w:val="27"/>
          <w:rtl/>
          <w:lang w:bidi="ar-MA"/>
        </w:rPr>
        <w:t>ر</w:t>
      </w:r>
      <w:r w:rsidR="001C0676" w:rsidRPr="006571AC">
        <w:rPr>
          <w:rFonts w:ascii="Arial" w:hAnsi="Arial" w:hint="cs"/>
          <w:sz w:val="27"/>
          <w:rtl/>
          <w:lang w:bidi="ar-MA"/>
        </w:rPr>
        <w:t>،</w:t>
      </w:r>
      <w:r w:rsidRPr="006571AC">
        <w:rPr>
          <w:rFonts w:ascii="Arial" w:hAnsi="Arial" w:hint="cs"/>
          <w:sz w:val="27"/>
          <w:rtl/>
          <w:lang w:bidi="ar-MA"/>
        </w:rPr>
        <w:t xml:space="preserve"> فهي كطبيعة المعادن</w:t>
      </w:r>
      <w:r w:rsidR="001C0676" w:rsidRPr="006571AC">
        <w:rPr>
          <w:rFonts w:ascii="Arial" w:hAnsi="Arial" w:hint="cs"/>
          <w:sz w:val="27"/>
          <w:rtl/>
          <w:lang w:bidi="ar-MA"/>
        </w:rPr>
        <w:t>،</w:t>
      </w:r>
      <w:r w:rsidRPr="006571AC">
        <w:rPr>
          <w:rFonts w:ascii="Arial" w:hAnsi="Arial" w:hint="cs"/>
          <w:sz w:val="27"/>
          <w:rtl/>
          <w:lang w:bidi="ar-MA"/>
        </w:rPr>
        <w:t xml:space="preserve"> كما قال </w:t>
      </w:r>
      <w:r w:rsidR="001C0676" w:rsidRPr="006571AC">
        <w:rPr>
          <w:rFonts w:ascii="Arial" w:hAnsi="Arial" w:hint="cs"/>
          <w:sz w:val="27"/>
          <w:rtl/>
          <w:lang w:bidi="ar-MA"/>
        </w:rPr>
        <w:t>أ</w:t>
      </w:r>
      <w:r w:rsidRPr="006571AC">
        <w:rPr>
          <w:rFonts w:ascii="Arial" w:hAnsi="Arial" w:hint="cs"/>
          <w:sz w:val="27"/>
          <w:rtl/>
          <w:lang w:bidi="ar-MA"/>
        </w:rPr>
        <w:t>فلاطون</w:t>
      </w:r>
      <w:r w:rsidRPr="006571AC">
        <w:rPr>
          <w:rFonts w:ascii="Arial" w:hAnsi="Arial"/>
          <w:sz w:val="27"/>
          <w:vertAlign w:val="superscript"/>
          <w:rtl/>
          <w:lang w:bidi="ar-MA"/>
        </w:rPr>
        <w:t>(</w:t>
      </w:r>
      <w:r w:rsidRPr="006571AC">
        <w:rPr>
          <w:rStyle w:val="ac"/>
          <w:sz w:val="27"/>
          <w:rtl/>
          <w:lang w:bidi="ar-MA"/>
        </w:rPr>
        <w:endnoteReference w:id="746"/>
      </w:r>
      <w:r w:rsidRPr="006571AC">
        <w:rPr>
          <w:rFonts w:ascii="Arial" w:hAnsi="Arial"/>
          <w:sz w:val="27"/>
          <w:vertAlign w:val="superscript"/>
          <w:rtl/>
          <w:lang w:bidi="ar-MA"/>
        </w:rPr>
        <w:t>)</w:t>
      </w:r>
      <w:r w:rsidRPr="006571AC">
        <w:rPr>
          <w:rFonts w:ascii="Arial" w:hAnsi="Arial"/>
          <w:sz w:val="27"/>
          <w:rtl/>
          <w:lang w:bidi="ar-MA"/>
        </w:rPr>
        <w:t>.</w:t>
      </w:r>
      <w:r w:rsidRPr="006571AC">
        <w:rPr>
          <w:rFonts w:ascii="Arial" w:hAnsi="Arial" w:hint="cs"/>
          <w:sz w:val="27"/>
          <w:rtl/>
          <w:lang w:bidi="ar-MA"/>
        </w:rPr>
        <w:t xml:space="preserve"> </w:t>
      </w:r>
    </w:p>
    <w:p w:rsidR="0043677F" w:rsidRPr="006571AC" w:rsidRDefault="0043677F" w:rsidP="001C0676">
      <w:pPr>
        <w:pStyle w:val="31"/>
        <w:rPr>
          <w:color w:val="auto"/>
          <w:lang w:bidi="ar-MA"/>
        </w:rPr>
      </w:pPr>
      <w:bookmarkStart w:id="447" w:name="_Toc114164855"/>
      <w:r w:rsidRPr="006571AC">
        <w:rPr>
          <w:color w:val="auto"/>
          <w:rtl/>
          <w:lang w:bidi="ar-MA"/>
        </w:rPr>
        <w:lastRenderedPageBreak/>
        <w:t>العلوم الإنساني</w:t>
      </w:r>
      <w:r w:rsidR="00D12571" w:rsidRPr="006571AC">
        <w:rPr>
          <w:rFonts w:hint="cs"/>
          <w:color w:val="auto"/>
          <w:rtl/>
          <w:lang w:bidi="ar-MA"/>
        </w:rPr>
        <w:t>ّ</w:t>
      </w:r>
      <w:r w:rsidRPr="006571AC">
        <w:rPr>
          <w:color w:val="auto"/>
          <w:rtl/>
          <w:lang w:bidi="ar-MA"/>
        </w:rPr>
        <w:t>ة</w:t>
      </w:r>
      <w:r w:rsidRPr="006571AC">
        <w:rPr>
          <w:rFonts w:hint="cs"/>
          <w:color w:val="auto"/>
          <w:rtl/>
          <w:lang w:bidi="ar-MA"/>
        </w:rPr>
        <w:t xml:space="preserve"> في التراث ال</w:t>
      </w:r>
      <w:r w:rsidR="001C0676" w:rsidRPr="006571AC">
        <w:rPr>
          <w:rFonts w:hint="cs"/>
          <w:color w:val="auto"/>
          <w:rtl/>
          <w:lang w:bidi="ar-MA"/>
        </w:rPr>
        <w:t>إ</w:t>
      </w:r>
      <w:r w:rsidRPr="006571AC">
        <w:rPr>
          <w:rFonts w:hint="cs"/>
          <w:color w:val="auto"/>
          <w:rtl/>
          <w:lang w:bidi="ar-MA"/>
        </w:rPr>
        <w:t>سلامي</w:t>
      </w:r>
      <w:r w:rsidR="00D12571" w:rsidRPr="006571AC">
        <w:rPr>
          <w:rFonts w:hint="cs"/>
          <w:color w:val="auto"/>
          <w:rtl/>
          <w:lang w:bidi="ar-MA"/>
        </w:rPr>
        <w:t>ّ</w:t>
      </w:r>
      <w:bookmarkEnd w:id="447"/>
    </w:p>
    <w:p w:rsidR="0043677F" w:rsidRPr="006571AC" w:rsidRDefault="0043677F" w:rsidP="004F6064">
      <w:pPr>
        <w:tabs>
          <w:tab w:val="left" w:pos="3417"/>
        </w:tabs>
        <w:rPr>
          <w:rFonts w:ascii="Arial" w:hAnsi="Arial"/>
          <w:sz w:val="27"/>
          <w:rtl/>
          <w:lang w:bidi="ar-MA"/>
        </w:rPr>
      </w:pPr>
      <w:r w:rsidRPr="006571AC">
        <w:rPr>
          <w:rFonts w:ascii="Arial" w:hAnsi="Arial"/>
          <w:sz w:val="27"/>
          <w:rtl/>
          <w:lang w:bidi="ar-MA"/>
        </w:rPr>
        <w:t>يزعم بعض</w:t>
      </w:r>
      <w:r w:rsidR="001C0676" w:rsidRPr="006571AC">
        <w:rPr>
          <w:rFonts w:ascii="Arial" w:hAnsi="Arial" w:hint="cs"/>
          <w:sz w:val="27"/>
          <w:rtl/>
          <w:lang w:bidi="ar-MA"/>
        </w:rPr>
        <w:t>ٌ</w:t>
      </w:r>
      <w:r w:rsidRPr="006571AC">
        <w:rPr>
          <w:rFonts w:ascii="Arial" w:hAnsi="Arial"/>
          <w:sz w:val="27"/>
          <w:rtl/>
          <w:lang w:bidi="ar-MA"/>
        </w:rPr>
        <w:t xml:space="preserve"> ويد</w:t>
      </w:r>
      <w:r w:rsidR="001C0676" w:rsidRPr="006571AC">
        <w:rPr>
          <w:rFonts w:ascii="Arial" w:hAnsi="Arial" w:hint="cs"/>
          <w:sz w:val="27"/>
          <w:rtl/>
          <w:lang w:bidi="ar-MA"/>
        </w:rPr>
        <w:t>ّ</w:t>
      </w:r>
      <w:r w:rsidRPr="006571AC">
        <w:rPr>
          <w:rFonts w:ascii="Arial" w:hAnsi="Arial"/>
          <w:sz w:val="27"/>
          <w:rtl/>
          <w:lang w:bidi="ar-MA"/>
        </w:rPr>
        <w:t>عي</w:t>
      </w:r>
      <w:r w:rsidR="001C0676" w:rsidRPr="006571AC">
        <w:rPr>
          <w:rFonts w:ascii="Arial" w:hAnsi="Arial" w:hint="cs"/>
          <w:sz w:val="27"/>
          <w:rtl/>
          <w:lang w:bidi="ar-MA"/>
        </w:rPr>
        <w:t>،</w:t>
      </w:r>
      <w:r w:rsidRPr="006571AC">
        <w:rPr>
          <w:rFonts w:ascii="Arial" w:hAnsi="Arial"/>
          <w:sz w:val="27"/>
          <w:rtl/>
          <w:lang w:bidi="ar-MA"/>
        </w:rPr>
        <w:t xml:space="preserve"> بدون سند</w:t>
      </w:r>
      <w:r w:rsidR="001C0676" w:rsidRPr="006571AC">
        <w:rPr>
          <w:rFonts w:ascii="Arial" w:hAnsi="Arial" w:hint="cs"/>
          <w:sz w:val="27"/>
          <w:rtl/>
          <w:lang w:bidi="ar-MA"/>
        </w:rPr>
        <w:t>ٍ</w:t>
      </w:r>
      <w:r w:rsidRPr="006571AC">
        <w:rPr>
          <w:rFonts w:ascii="Arial" w:hAnsi="Arial"/>
          <w:sz w:val="27"/>
          <w:rtl/>
          <w:lang w:bidi="ar-MA"/>
        </w:rPr>
        <w:t xml:space="preserve"> علمي أو مرجع</w:t>
      </w:r>
      <w:r w:rsidR="001C0676" w:rsidRPr="006571AC">
        <w:rPr>
          <w:rFonts w:ascii="Arial" w:hAnsi="Arial" w:hint="cs"/>
          <w:sz w:val="27"/>
          <w:rtl/>
          <w:lang w:bidi="ar-MA"/>
        </w:rPr>
        <w:t>ٍ</w:t>
      </w:r>
      <w:r w:rsidRPr="006571AC">
        <w:rPr>
          <w:rFonts w:ascii="Arial" w:hAnsi="Arial"/>
          <w:sz w:val="27"/>
          <w:rtl/>
          <w:lang w:bidi="ar-MA"/>
        </w:rPr>
        <w:t xml:space="preserve"> معرفي</w:t>
      </w:r>
      <w:r w:rsidR="001C0676" w:rsidRPr="006571AC">
        <w:rPr>
          <w:rFonts w:ascii="Arial" w:hAnsi="Arial" w:hint="cs"/>
          <w:sz w:val="27"/>
          <w:rtl/>
          <w:lang w:bidi="ar-MA"/>
        </w:rPr>
        <w:t>،</w:t>
      </w:r>
      <w:r w:rsidRPr="006571AC">
        <w:rPr>
          <w:rFonts w:ascii="Arial" w:hAnsi="Arial"/>
          <w:sz w:val="27"/>
          <w:rtl/>
          <w:lang w:bidi="ar-MA"/>
        </w:rPr>
        <w:t xml:space="preserve"> أن العلوم الإنسانية التي تشتغل على الإنسان </w:t>
      </w:r>
      <w:r w:rsidRPr="006571AC">
        <w:rPr>
          <w:rFonts w:ascii="Arial" w:hAnsi="Arial" w:hint="cs"/>
          <w:sz w:val="27"/>
          <w:rtl/>
          <w:lang w:bidi="ar-MA"/>
        </w:rPr>
        <w:t>وعلى شخصي</w:t>
      </w:r>
      <w:r w:rsidR="001C0676" w:rsidRPr="006571AC">
        <w:rPr>
          <w:rFonts w:ascii="Arial" w:hAnsi="Arial" w:hint="cs"/>
          <w:sz w:val="27"/>
          <w:rtl/>
          <w:lang w:bidi="ar-MA"/>
        </w:rPr>
        <w:t>ّ</w:t>
      </w:r>
      <w:r w:rsidRPr="006571AC">
        <w:rPr>
          <w:rFonts w:ascii="Arial" w:hAnsi="Arial" w:hint="cs"/>
          <w:sz w:val="27"/>
          <w:rtl/>
          <w:lang w:bidi="ar-MA"/>
        </w:rPr>
        <w:t>ته</w:t>
      </w:r>
      <w:r w:rsidR="001C0676" w:rsidRPr="006571AC">
        <w:rPr>
          <w:rFonts w:ascii="Arial" w:hAnsi="Arial" w:hint="cs"/>
          <w:sz w:val="27"/>
          <w:rtl/>
          <w:lang w:bidi="ar-MA"/>
        </w:rPr>
        <w:t>،</w:t>
      </w:r>
      <w:r w:rsidRPr="006571AC">
        <w:rPr>
          <w:rFonts w:ascii="Arial" w:hAnsi="Arial"/>
          <w:sz w:val="27"/>
          <w:rtl/>
          <w:lang w:bidi="ar-MA"/>
        </w:rPr>
        <w:t xml:space="preserve"> في عدد</w:t>
      </w:r>
      <w:r w:rsidR="001C0676" w:rsidRPr="006571AC">
        <w:rPr>
          <w:rFonts w:ascii="Arial" w:hAnsi="Arial" w:hint="cs"/>
          <w:sz w:val="27"/>
          <w:rtl/>
          <w:lang w:bidi="ar-MA"/>
        </w:rPr>
        <w:t>ٍ</w:t>
      </w:r>
      <w:r w:rsidRPr="006571AC">
        <w:rPr>
          <w:rFonts w:ascii="Arial" w:hAnsi="Arial"/>
          <w:sz w:val="27"/>
          <w:rtl/>
          <w:lang w:bidi="ar-MA"/>
        </w:rPr>
        <w:t xml:space="preserve"> من أبعاده</w:t>
      </w:r>
      <w:r w:rsidRPr="006571AC">
        <w:rPr>
          <w:rFonts w:ascii="Arial" w:hAnsi="Arial" w:hint="cs"/>
          <w:sz w:val="27"/>
          <w:rtl/>
          <w:lang w:bidi="ar-MA"/>
        </w:rPr>
        <w:t>ا</w:t>
      </w:r>
      <w:r w:rsidRPr="006571AC">
        <w:rPr>
          <w:rFonts w:ascii="Arial" w:hAnsi="Arial"/>
          <w:sz w:val="27"/>
          <w:rtl/>
          <w:lang w:bidi="ar-MA"/>
        </w:rPr>
        <w:t xml:space="preserve"> ومستوياته</w:t>
      </w:r>
      <w:r w:rsidRPr="006571AC">
        <w:rPr>
          <w:rFonts w:ascii="Arial" w:hAnsi="Arial" w:hint="cs"/>
          <w:sz w:val="27"/>
          <w:rtl/>
          <w:lang w:bidi="ar-MA"/>
        </w:rPr>
        <w:t>ا</w:t>
      </w:r>
      <w:r w:rsidRPr="006571AC">
        <w:rPr>
          <w:rFonts w:ascii="Arial" w:hAnsi="Arial"/>
          <w:sz w:val="27"/>
          <w:rtl/>
          <w:lang w:bidi="ar-MA"/>
        </w:rPr>
        <w:t xml:space="preserve"> </w:t>
      </w:r>
      <w:r w:rsidRPr="006571AC">
        <w:rPr>
          <w:rFonts w:ascii="Arial" w:hAnsi="Arial" w:hint="cs"/>
          <w:sz w:val="27"/>
          <w:rtl/>
          <w:lang w:bidi="ar-MA"/>
        </w:rPr>
        <w:t>ومكو</w:t>
      </w:r>
      <w:r w:rsidR="001C0676" w:rsidRPr="006571AC">
        <w:rPr>
          <w:rFonts w:ascii="Arial" w:hAnsi="Arial" w:hint="cs"/>
          <w:sz w:val="27"/>
          <w:rtl/>
          <w:lang w:bidi="ar-MA"/>
        </w:rPr>
        <w:t>ّ</w:t>
      </w:r>
      <w:r w:rsidRPr="006571AC">
        <w:rPr>
          <w:rFonts w:ascii="Arial" w:hAnsi="Arial" w:hint="cs"/>
          <w:sz w:val="27"/>
          <w:rtl/>
          <w:lang w:bidi="ar-MA"/>
        </w:rPr>
        <w:t>ناتها</w:t>
      </w:r>
      <w:r w:rsidR="001C0676" w:rsidRPr="006571AC">
        <w:rPr>
          <w:rFonts w:ascii="Arial" w:hAnsi="Arial" w:hint="cs"/>
          <w:sz w:val="27"/>
          <w:rtl/>
          <w:lang w:bidi="ar-MA"/>
        </w:rPr>
        <w:t>،</w:t>
      </w:r>
      <w:r w:rsidRPr="006571AC">
        <w:rPr>
          <w:rFonts w:ascii="Arial" w:hAnsi="Arial" w:hint="cs"/>
          <w:sz w:val="27"/>
          <w:rtl/>
          <w:lang w:bidi="ar-MA"/>
        </w:rPr>
        <w:t xml:space="preserve"> </w:t>
      </w:r>
      <w:r w:rsidRPr="006571AC">
        <w:rPr>
          <w:rFonts w:ascii="Arial" w:hAnsi="Arial"/>
          <w:sz w:val="27"/>
          <w:rtl/>
          <w:lang w:bidi="ar-MA"/>
        </w:rPr>
        <w:t>ظل</w:t>
      </w:r>
      <w:r w:rsidR="001C0676" w:rsidRPr="006571AC">
        <w:rPr>
          <w:rFonts w:ascii="Arial" w:hAnsi="Arial" w:hint="cs"/>
          <w:sz w:val="27"/>
          <w:rtl/>
          <w:lang w:bidi="ar-MA"/>
        </w:rPr>
        <w:t>َّ</w:t>
      </w:r>
      <w:r w:rsidRPr="006571AC">
        <w:rPr>
          <w:rFonts w:ascii="Arial" w:hAnsi="Arial"/>
          <w:sz w:val="27"/>
          <w:rtl/>
          <w:lang w:bidi="ar-MA"/>
        </w:rPr>
        <w:t>ت</w:t>
      </w:r>
      <w:r w:rsidR="001C0676" w:rsidRPr="006571AC">
        <w:rPr>
          <w:rFonts w:ascii="Arial" w:hAnsi="Arial" w:hint="cs"/>
          <w:sz w:val="27"/>
          <w:rtl/>
          <w:lang w:bidi="ar-MA"/>
        </w:rPr>
        <w:t>ْ</w:t>
      </w:r>
      <w:r w:rsidRPr="006571AC">
        <w:rPr>
          <w:rFonts w:ascii="Arial" w:hAnsi="Arial"/>
          <w:sz w:val="27"/>
          <w:rtl/>
          <w:lang w:bidi="ar-MA"/>
        </w:rPr>
        <w:t xml:space="preserve"> غائبة</w:t>
      </w:r>
      <w:r w:rsidR="001C0676" w:rsidRPr="006571AC">
        <w:rPr>
          <w:rFonts w:ascii="Arial" w:hAnsi="Arial" w:hint="cs"/>
          <w:sz w:val="27"/>
          <w:rtl/>
          <w:lang w:bidi="ar-MA"/>
        </w:rPr>
        <w:t>ً</w:t>
      </w:r>
      <w:r w:rsidRPr="006571AC">
        <w:rPr>
          <w:rFonts w:ascii="Arial" w:hAnsi="Arial"/>
          <w:sz w:val="27"/>
          <w:rtl/>
          <w:lang w:bidi="ar-MA"/>
        </w:rPr>
        <w:t xml:space="preserve"> في التراث العربي الإسلامي،</w:t>
      </w:r>
      <w:r w:rsidRPr="006571AC">
        <w:rPr>
          <w:rFonts w:ascii="Arial" w:hAnsi="Arial" w:hint="cs"/>
          <w:sz w:val="27"/>
          <w:rtl/>
          <w:lang w:bidi="ar-MA"/>
        </w:rPr>
        <w:t xml:space="preserve"> وفي كتابات ومدو</w:t>
      </w:r>
      <w:r w:rsidR="001C0676" w:rsidRPr="006571AC">
        <w:rPr>
          <w:rFonts w:ascii="Arial" w:hAnsi="Arial" w:hint="cs"/>
          <w:sz w:val="27"/>
          <w:rtl/>
          <w:lang w:bidi="ar-MA"/>
        </w:rPr>
        <w:t>ّ</w:t>
      </w:r>
      <w:r w:rsidRPr="006571AC">
        <w:rPr>
          <w:rFonts w:ascii="Arial" w:hAnsi="Arial" w:hint="cs"/>
          <w:sz w:val="27"/>
          <w:rtl/>
          <w:lang w:bidi="ar-MA"/>
        </w:rPr>
        <w:t>نات علماء الإسلام</w:t>
      </w:r>
      <w:r w:rsidR="00BE5793" w:rsidRPr="006571AC">
        <w:rPr>
          <w:rFonts w:ascii="Arial" w:hAnsi="Arial" w:hint="cs"/>
          <w:sz w:val="27"/>
          <w:rtl/>
          <w:lang w:bidi="ar-MA"/>
        </w:rPr>
        <w:t>،</w:t>
      </w:r>
      <w:r w:rsidRPr="006571AC">
        <w:rPr>
          <w:rFonts w:ascii="Arial" w:hAnsi="Arial"/>
          <w:sz w:val="27"/>
          <w:rtl/>
          <w:lang w:bidi="ar-MA"/>
        </w:rPr>
        <w:t xml:space="preserve"> وطال غيابها ليغط</w:t>
      </w:r>
      <w:r w:rsidR="00BE5793" w:rsidRPr="006571AC">
        <w:rPr>
          <w:rFonts w:ascii="Arial" w:hAnsi="Arial" w:hint="cs"/>
          <w:sz w:val="27"/>
          <w:rtl/>
          <w:lang w:bidi="ar-MA"/>
        </w:rPr>
        <w:t>ّ</w:t>
      </w:r>
      <w:r w:rsidRPr="006571AC">
        <w:rPr>
          <w:rFonts w:ascii="Arial" w:hAnsi="Arial"/>
          <w:sz w:val="27"/>
          <w:rtl/>
          <w:lang w:bidi="ar-MA"/>
        </w:rPr>
        <w:t>ي هذا الغياب أمدا</w:t>
      </w:r>
      <w:r w:rsidR="00BE5793" w:rsidRPr="006571AC">
        <w:rPr>
          <w:rFonts w:ascii="Arial" w:hAnsi="Arial" w:hint="cs"/>
          <w:sz w:val="27"/>
          <w:rtl/>
          <w:lang w:bidi="ar-MA"/>
        </w:rPr>
        <w:t>ً</w:t>
      </w:r>
      <w:r w:rsidRPr="006571AC">
        <w:rPr>
          <w:rFonts w:ascii="Arial" w:hAnsi="Arial"/>
          <w:sz w:val="27"/>
          <w:rtl/>
          <w:lang w:bidi="ar-MA"/>
        </w:rPr>
        <w:t xml:space="preserve"> بعيدا</w:t>
      </w:r>
      <w:r w:rsidR="00BE5793" w:rsidRPr="006571AC">
        <w:rPr>
          <w:rFonts w:ascii="Arial" w:hAnsi="Arial" w:hint="cs"/>
          <w:sz w:val="27"/>
          <w:rtl/>
          <w:lang w:bidi="ar-MA"/>
        </w:rPr>
        <w:t>ً،</w:t>
      </w:r>
      <w:r w:rsidRPr="006571AC">
        <w:rPr>
          <w:rFonts w:ascii="Arial" w:hAnsi="Arial"/>
          <w:sz w:val="27"/>
          <w:rtl/>
          <w:lang w:bidi="ar-MA"/>
        </w:rPr>
        <w:t xml:space="preserve"> </w:t>
      </w:r>
      <w:r w:rsidRPr="006571AC">
        <w:rPr>
          <w:rFonts w:ascii="Arial" w:hAnsi="Arial" w:hint="cs"/>
          <w:sz w:val="27"/>
          <w:rtl/>
          <w:lang w:bidi="ar-MA"/>
        </w:rPr>
        <w:t>و</w:t>
      </w:r>
      <w:r w:rsidRPr="006571AC">
        <w:rPr>
          <w:rFonts w:ascii="Arial" w:hAnsi="Arial"/>
          <w:sz w:val="27"/>
          <w:rtl/>
          <w:lang w:bidi="ar-MA"/>
        </w:rPr>
        <w:t>يستغرق مد</w:t>
      </w:r>
      <w:r w:rsidR="00BE5793" w:rsidRPr="006571AC">
        <w:rPr>
          <w:rFonts w:ascii="Arial" w:hAnsi="Arial" w:hint="cs"/>
          <w:sz w:val="27"/>
          <w:rtl/>
          <w:lang w:bidi="ar-MA"/>
        </w:rPr>
        <w:t>ّ</w:t>
      </w:r>
      <w:r w:rsidRPr="006571AC">
        <w:rPr>
          <w:rFonts w:ascii="Arial" w:hAnsi="Arial"/>
          <w:sz w:val="27"/>
          <w:rtl/>
          <w:lang w:bidi="ar-MA"/>
        </w:rPr>
        <w:t>ة</w:t>
      </w:r>
      <w:r w:rsidR="00BE5793" w:rsidRPr="006571AC">
        <w:rPr>
          <w:rFonts w:ascii="Arial" w:hAnsi="Arial" w:hint="cs"/>
          <w:sz w:val="27"/>
          <w:rtl/>
          <w:lang w:bidi="ar-MA"/>
        </w:rPr>
        <w:t>ً</w:t>
      </w:r>
      <w:r w:rsidRPr="006571AC">
        <w:rPr>
          <w:rFonts w:ascii="Arial" w:hAnsi="Arial"/>
          <w:sz w:val="27"/>
          <w:rtl/>
          <w:lang w:bidi="ar-MA"/>
        </w:rPr>
        <w:t xml:space="preserve"> زمنية طوي</w:t>
      </w:r>
      <w:r w:rsidR="00BE5793" w:rsidRPr="006571AC">
        <w:rPr>
          <w:rFonts w:ascii="Arial" w:hAnsi="Arial" w:hint="cs"/>
          <w:sz w:val="27"/>
          <w:rtl/>
          <w:lang w:bidi="ar-MA"/>
        </w:rPr>
        <w:t>ل</w:t>
      </w:r>
      <w:r w:rsidRPr="006571AC">
        <w:rPr>
          <w:rFonts w:ascii="Arial" w:hAnsi="Arial"/>
          <w:sz w:val="27"/>
          <w:rtl/>
          <w:lang w:bidi="ar-MA"/>
        </w:rPr>
        <w:t>ة</w:t>
      </w:r>
      <w:r w:rsidR="00BE5793" w:rsidRPr="006571AC">
        <w:rPr>
          <w:rFonts w:ascii="Arial" w:hAnsi="Arial" w:hint="cs"/>
          <w:sz w:val="27"/>
          <w:rtl/>
          <w:lang w:bidi="ar-MA"/>
        </w:rPr>
        <w:t>،</w:t>
      </w:r>
      <w:r w:rsidRPr="006571AC">
        <w:rPr>
          <w:rFonts w:ascii="Arial" w:hAnsi="Arial"/>
          <w:sz w:val="27"/>
          <w:rtl/>
          <w:lang w:bidi="ar-MA"/>
        </w:rPr>
        <w:t xml:space="preserve"> تحت دعوى أن الاستحواذ والقو</w:t>
      </w:r>
      <w:r w:rsidR="00BE5793" w:rsidRPr="006571AC">
        <w:rPr>
          <w:rFonts w:ascii="Arial" w:hAnsi="Arial" w:hint="cs"/>
          <w:sz w:val="27"/>
          <w:rtl/>
          <w:lang w:bidi="ar-MA"/>
        </w:rPr>
        <w:t>ّ</w:t>
      </w:r>
      <w:r w:rsidRPr="006571AC">
        <w:rPr>
          <w:rFonts w:ascii="Arial" w:hAnsi="Arial"/>
          <w:sz w:val="27"/>
          <w:rtl/>
          <w:lang w:bidi="ar-MA"/>
        </w:rPr>
        <w:t>ة والهيمنة والغ</w:t>
      </w:r>
      <w:r w:rsidR="00BE5793" w:rsidRPr="006571AC">
        <w:rPr>
          <w:rFonts w:ascii="Arial" w:hAnsi="Arial" w:hint="cs"/>
          <w:sz w:val="27"/>
          <w:rtl/>
          <w:lang w:bidi="ar-MA"/>
        </w:rPr>
        <w:t>َ</w:t>
      </w:r>
      <w:r w:rsidRPr="006571AC">
        <w:rPr>
          <w:rFonts w:ascii="Arial" w:hAnsi="Arial"/>
          <w:sz w:val="27"/>
          <w:rtl/>
          <w:lang w:bidi="ar-MA"/>
        </w:rPr>
        <w:t>ل</w:t>
      </w:r>
      <w:r w:rsidR="00BE5793" w:rsidRPr="006571AC">
        <w:rPr>
          <w:rFonts w:ascii="Arial" w:hAnsi="Arial" w:hint="cs"/>
          <w:sz w:val="27"/>
          <w:rtl/>
          <w:lang w:bidi="ar-MA"/>
        </w:rPr>
        <w:t>َ</w:t>
      </w:r>
      <w:r w:rsidRPr="006571AC">
        <w:rPr>
          <w:rFonts w:ascii="Arial" w:hAnsi="Arial"/>
          <w:sz w:val="27"/>
          <w:rtl/>
          <w:lang w:bidi="ar-MA"/>
        </w:rPr>
        <w:t xml:space="preserve">بة في علوم التراث العربي الإسلامي كانت </w:t>
      </w:r>
      <w:r w:rsidRPr="006571AC">
        <w:rPr>
          <w:rFonts w:ascii="Arial" w:hAnsi="Arial" w:hint="cs"/>
          <w:sz w:val="27"/>
          <w:rtl/>
          <w:lang w:bidi="ar-MA"/>
        </w:rPr>
        <w:t>ل</w:t>
      </w:r>
      <w:r w:rsidRPr="006571AC">
        <w:rPr>
          <w:rFonts w:ascii="Arial" w:hAnsi="Arial"/>
          <w:sz w:val="27"/>
          <w:rtl/>
          <w:lang w:bidi="ar-MA"/>
        </w:rPr>
        <w:t>لعلوم الدينية</w:t>
      </w:r>
      <w:r w:rsidRPr="006571AC">
        <w:rPr>
          <w:rFonts w:ascii="Arial" w:hAnsi="Arial" w:hint="cs"/>
          <w:sz w:val="27"/>
          <w:rtl/>
          <w:lang w:bidi="ar-MA"/>
        </w:rPr>
        <w:t xml:space="preserve"> والفقهية والبيانية والمعجمية</w:t>
      </w:r>
      <w:r w:rsidR="00BE5793" w:rsidRPr="006571AC">
        <w:rPr>
          <w:rFonts w:ascii="Arial" w:hAnsi="Arial" w:hint="cs"/>
          <w:sz w:val="27"/>
          <w:rtl/>
          <w:lang w:bidi="ar-MA"/>
        </w:rPr>
        <w:t>،</w:t>
      </w:r>
      <w:r w:rsidRPr="006571AC">
        <w:rPr>
          <w:rFonts w:ascii="Arial" w:hAnsi="Arial" w:hint="cs"/>
          <w:sz w:val="27"/>
          <w:rtl/>
          <w:lang w:bidi="ar-MA"/>
        </w:rPr>
        <w:t xml:space="preserve"> التي تنزع نحو البيان، وتنحو نحو التفسير، وتأخذ بالتأويل</w:t>
      </w:r>
      <w:r w:rsidR="00BE5793" w:rsidRPr="006571AC">
        <w:rPr>
          <w:rFonts w:ascii="Arial" w:hAnsi="Arial" w:hint="cs"/>
          <w:sz w:val="27"/>
          <w:rtl/>
          <w:lang w:bidi="ar-MA"/>
        </w:rPr>
        <w:t>،</w:t>
      </w:r>
      <w:r w:rsidRPr="006571AC">
        <w:rPr>
          <w:rFonts w:ascii="Arial" w:hAnsi="Arial" w:hint="cs"/>
          <w:sz w:val="27"/>
          <w:rtl/>
          <w:lang w:bidi="ar-MA"/>
        </w:rPr>
        <w:t xml:space="preserve"> أكث</w:t>
      </w:r>
      <w:r w:rsidRPr="006571AC">
        <w:rPr>
          <w:rFonts w:ascii="Arial" w:hAnsi="Arial" w:hint="eastAsia"/>
          <w:sz w:val="27"/>
          <w:rtl/>
          <w:lang w:bidi="ar-MA"/>
        </w:rPr>
        <w:t>ر</w:t>
      </w:r>
      <w:r w:rsidRPr="006571AC">
        <w:rPr>
          <w:rFonts w:ascii="Arial" w:hAnsi="Arial" w:hint="cs"/>
          <w:sz w:val="27"/>
          <w:rtl/>
          <w:lang w:bidi="ar-MA"/>
        </w:rPr>
        <w:t xml:space="preserve"> من نزوعها نحو الاشتغال على شخصي</w:t>
      </w:r>
      <w:r w:rsidR="00BE5793" w:rsidRPr="006571AC">
        <w:rPr>
          <w:rFonts w:ascii="Arial" w:hAnsi="Arial" w:hint="cs"/>
          <w:sz w:val="27"/>
          <w:rtl/>
          <w:lang w:bidi="ar-MA"/>
        </w:rPr>
        <w:t>ّ</w:t>
      </w:r>
      <w:r w:rsidRPr="006571AC">
        <w:rPr>
          <w:rFonts w:ascii="Arial" w:hAnsi="Arial" w:hint="cs"/>
          <w:sz w:val="27"/>
          <w:rtl/>
          <w:lang w:bidi="ar-MA"/>
        </w:rPr>
        <w:t>ة الإنسان</w:t>
      </w:r>
      <w:r w:rsidR="00BE5793" w:rsidRPr="006571AC">
        <w:rPr>
          <w:rFonts w:ascii="Arial" w:hAnsi="Arial" w:hint="cs"/>
          <w:sz w:val="27"/>
          <w:rtl/>
          <w:lang w:bidi="ar-MA"/>
        </w:rPr>
        <w:t>،</w:t>
      </w:r>
      <w:r w:rsidRPr="006571AC">
        <w:rPr>
          <w:rFonts w:ascii="Arial" w:hAnsi="Arial" w:hint="cs"/>
          <w:sz w:val="27"/>
          <w:rtl/>
          <w:lang w:bidi="ar-MA"/>
        </w:rPr>
        <w:t xml:space="preserve"> بأبعادها المتعد</w:t>
      </w:r>
      <w:r w:rsidR="00BE5793" w:rsidRPr="006571AC">
        <w:rPr>
          <w:rFonts w:ascii="Arial" w:hAnsi="Arial" w:hint="cs"/>
          <w:sz w:val="27"/>
          <w:rtl/>
          <w:lang w:bidi="ar-MA"/>
        </w:rPr>
        <w:t>ِّ</w:t>
      </w:r>
      <w:r w:rsidRPr="006571AC">
        <w:rPr>
          <w:rFonts w:ascii="Arial" w:hAnsi="Arial" w:hint="cs"/>
          <w:sz w:val="27"/>
          <w:rtl/>
          <w:lang w:bidi="ar-MA"/>
        </w:rPr>
        <w:t>دة، وبمجالاتها المختلفة</w:t>
      </w:r>
      <w:r w:rsidR="00BE5793" w:rsidRPr="006571AC">
        <w:rPr>
          <w:rFonts w:ascii="Arial" w:hAnsi="Arial" w:hint="cs"/>
          <w:sz w:val="27"/>
          <w:rtl/>
          <w:lang w:bidi="ar-MA"/>
        </w:rPr>
        <w:t>،</w:t>
      </w:r>
      <w:r w:rsidRPr="006571AC">
        <w:rPr>
          <w:rFonts w:ascii="Arial" w:hAnsi="Arial" w:hint="cs"/>
          <w:sz w:val="27"/>
          <w:rtl/>
          <w:lang w:bidi="ar-MA"/>
        </w:rPr>
        <w:t xml:space="preserve"> وعلى </w:t>
      </w:r>
      <w:r w:rsidR="00BE5793" w:rsidRPr="006571AC">
        <w:rPr>
          <w:rFonts w:ascii="Arial" w:hAnsi="Arial" w:hint="cs"/>
          <w:sz w:val="27"/>
          <w:rtl/>
          <w:lang w:bidi="ar-MA"/>
        </w:rPr>
        <w:t>إ</w:t>
      </w:r>
      <w:r w:rsidRPr="006571AC">
        <w:rPr>
          <w:rFonts w:ascii="Arial" w:hAnsi="Arial" w:hint="cs"/>
          <w:sz w:val="27"/>
          <w:rtl/>
          <w:lang w:bidi="ar-MA"/>
        </w:rPr>
        <w:t>كراهاته في المجتمع الذي يعيش ويحي</w:t>
      </w:r>
      <w:r w:rsidR="00BE5793" w:rsidRPr="006571AC">
        <w:rPr>
          <w:rFonts w:ascii="Arial" w:hAnsi="Arial" w:hint="cs"/>
          <w:sz w:val="27"/>
          <w:rtl/>
          <w:lang w:bidi="ar-MA"/>
        </w:rPr>
        <w:t>ا</w:t>
      </w:r>
      <w:r w:rsidRPr="006571AC">
        <w:rPr>
          <w:rFonts w:ascii="Arial" w:hAnsi="Arial" w:hint="cs"/>
          <w:sz w:val="27"/>
          <w:rtl/>
          <w:lang w:bidi="ar-MA"/>
        </w:rPr>
        <w:t xml:space="preserve"> فيه. </w:t>
      </w:r>
    </w:p>
    <w:p w:rsidR="0043677F" w:rsidRPr="006571AC" w:rsidRDefault="0043677F" w:rsidP="004F6064">
      <w:pPr>
        <w:tabs>
          <w:tab w:val="left" w:pos="3417"/>
        </w:tabs>
        <w:rPr>
          <w:rFonts w:ascii="Arial" w:hAnsi="Arial"/>
          <w:sz w:val="27"/>
          <w:rtl/>
          <w:lang w:bidi="ar-MA"/>
        </w:rPr>
      </w:pPr>
      <w:r w:rsidRPr="006571AC">
        <w:rPr>
          <w:rFonts w:ascii="Arial" w:hAnsi="Arial" w:hint="cs"/>
          <w:sz w:val="27"/>
          <w:rtl/>
          <w:lang w:bidi="ar-MA"/>
        </w:rPr>
        <w:t>والمستند في هذا الاد</w:t>
      </w:r>
      <w:r w:rsidR="00BE5793" w:rsidRPr="006571AC">
        <w:rPr>
          <w:rFonts w:ascii="Arial" w:hAnsi="Arial" w:hint="cs"/>
          <w:sz w:val="27"/>
          <w:rtl/>
          <w:lang w:bidi="ar-MA"/>
        </w:rPr>
        <w:t>ّ</w:t>
      </w:r>
      <w:r w:rsidRPr="006571AC">
        <w:rPr>
          <w:rFonts w:ascii="Arial" w:hAnsi="Arial" w:hint="cs"/>
          <w:sz w:val="27"/>
          <w:rtl/>
          <w:lang w:bidi="ar-MA"/>
        </w:rPr>
        <w:t>عاء أن ما يجمع ا</w:t>
      </w:r>
      <w:r w:rsidRPr="006571AC">
        <w:rPr>
          <w:rFonts w:ascii="Arial" w:hAnsi="Arial"/>
          <w:sz w:val="27"/>
          <w:rtl/>
          <w:lang w:bidi="ar-MA"/>
        </w:rPr>
        <w:t>لعلوم</w:t>
      </w:r>
      <w:r w:rsidRPr="006571AC">
        <w:rPr>
          <w:rFonts w:ascii="Arial" w:hAnsi="Arial" w:hint="cs"/>
          <w:sz w:val="27"/>
          <w:rtl/>
          <w:lang w:bidi="ar-MA"/>
        </w:rPr>
        <w:t xml:space="preserve"> في التراث العربي الإسلامي هو تغليبها</w:t>
      </w:r>
      <w:r w:rsidRPr="006571AC">
        <w:rPr>
          <w:rFonts w:ascii="Arial" w:hAnsi="Arial"/>
          <w:sz w:val="27"/>
          <w:rtl/>
          <w:lang w:bidi="ar-MA"/>
        </w:rPr>
        <w:t xml:space="preserve"> المنزع</w:t>
      </w:r>
      <w:r w:rsidRPr="006571AC">
        <w:rPr>
          <w:rFonts w:ascii="Arial" w:hAnsi="Arial" w:hint="cs"/>
          <w:sz w:val="27"/>
          <w:rtl/>
          <w:lang w:bidi="ar-MA"/>
        </w:rPr>
        <w:t xml:space="preserve"> اللغوي و</w:t>
      </w:r>
      <w:r w:rsidRPr="006571AC">
        <w:rPr>
          <w:rFonts w:ascii="Arial" w:hAnsi="Arial"/>
          <w:sz w:val="27"/>
          <w:rtl/>
          <w:lang w:bidi="ar-MA"/>
        </w:rPr>
        <w:t xml:space="preserve">البياني </w:t>
      </w:r>
      <w:r w:rsidRPr="006571AC">
        <w:rPr>
          <w:rFonts w:ascii="Arial" w:hAnsi="Arial" w:hint="cs"/>
          <w:sz w:val="27"/>
          <w:rtl/>
          <w:lang w:bidi="ar-MA"/>
        </w:rPr>
        <w:t>والتأويلي في هذا الاشتغال، دون أي</w:t>
      </w:r>
      <w:r w:rsidR="00BE5793" w:rsidRPr="006571AC">
        <w:rPr>
          <w:rFonts w:ascii="Arial" w:hAnsi="Arial" w:hint="cs"/>
          <w:sz w:val="27"/>
          <w:rtl/>
          <w:lang w:bidi="ar-MA"/>
        </w:rPr>
        <w:t>ّ</w:t>
      </w:r>
      <w:r w:rsidRPr="006571AC">
        <w:rPr>
          <w:rFonts w:ascii="Arial" w:hAnsi="Arial" w:hint="cs"/>
          <w:sz w:val="27"/>
          <w:rtl/>
          <w:lang w:bidi="ar-MA"/>
        </w:rPr>
        <w:t xml:space="preserve"> اهتمام</w:t>
      </w:r>
      <w:r w:rsidR="00BE5793" w:rsidRPr="006571AC">
        <w:rPr>
          <w:rFonts w:ascii="Arial" w:hAnsi="Arial" w:hint="cs"/>
          <w:sz w:val="27"/>
          <w:rtl/>
          <w:lang w:bidi="ar-MA"/>
        </w:rPr>
        <w:t>ٍ</w:t>
      </w:r>
      <w:r w:rsidRPr="006571AC">
        <w:rPr>
          <w:rFonts w:ascii="Arial" w:hAnsi="Arial" w:hint="cs"/>
          <w:sz w:val="27"/>
          <w:rtl/>
          <w:lang w:bidi="ar-MA"/>
        </w:rPr>
        <w:t xml:space="preserve"> </w:t>
      </w:r>
      <w:r w:rsidR="00BE5793" w:rsidRPr="006571AC">
        <w:rPr>
          <w:rFonts w:ascii="Arial" w:hAnsi="Arial" w:hint="cs"/>
          <w:sz w:val="27"/>
          <w:rtl/>
          <w:lang w:bidi="ar-MA"/>
        </w:rPr>
        <w:t>أ</w:t>
      </w:r>
      <w:r w:rsidRPr="006571AC">
        <w:rPr>
          <w:rFonts w:ascii="Arial" w:hAnsi="Arial" w:hint="cs"/>
          <w:sz w:val="27"/>
          <w:rtl/>
          <w:lang w:bidi="ar-MA"/>
        </w:rPr>
        <w:t>و عناية</w:t>
      </w:r>
      <w:r w:rsidR="00BE5793" w:rsidRPr="006571AC">
        <w:rPr>
          <w:rFonts w:ascii="Arial" w:hAnsi="Arial" w:hint="cs"/>
          <w:sz w:val="27"/>
          <w:rtl/>
          <w:lang w:bidi="ar-MA"/>
        </w:rPr>
        <w:t>ٍ</w:t>
      </w:r>
      <w:r w:rsidRPr="006571AC">
        <w:rPr>
          <w:rFonts w:ascii="Arial" w:hAnsi="Arial" w:hint="cs"/>
          <w:sz w:val="27"/>
          <w:rtl/>
          <w:lang w:bidi="ar-MA"/>
        </w:rPr>
        <w:t xml:space="preserve"> بما يرجع إلى البحث في الإنسان. </w:t>
      </w:r>
    </w:p>
    <w:p w:rsidR="0043677F" w:rsidRPr="006571AC" w:rsidRDefault="0043677F" w:rsidP="004045B2">
      <w:pPr>
        <w:tabs>
          <w:tab w:val="left" w:pos="3417"/>
        </w:tabs>
        <w:spacing w:line="410" w:lineRule="exact"/>
        <w:rPr>
          <w:rFonts w:ascii="Arial" w:hAnsi="Arial"/>
          <w:sz w:val="27"/>
          <w:lang w:bidi="ar-MA"/>
        </w:rPr>
      </w:pPr>
      <w:r w:rsidRPr="006571AC">
        <w:rPr>
          <w:rFonts w:ascii="Arial" w:hAnsi="Arial" w:hint="cs"/>
          <w:sz w:val="27"/>
          <w:rtl/>
          <w:lang w:bidi="ar-MA"/>
        </w:rPr>
        <w:t>وتغليب هذا المنزع البياني جعل بعض</w:t>
      </w:r>
      <w:r w:rsidR="00BE5793" w:rsidRPr="006571AC">
        <w:rPr>
          <w:rFonts w:ascii="Arial" w:hAnsi="Arial" w:hint="cs"/>
          <w:sz w:val="27"/>
          <w:rtl/>
          <w:lang w:bidi="ar-MA"/>
        </w:rPr>
        <w:t>هم</w:t>
      </w:r>
      <w:r w:rsidRPr="006571AC">
        <w:rPr>
          <w:rFonts w:ascii="Arial" w:hAnsi="Arial" w:hint="cs"/>
          <w:sz w:val="27"/>
          <w:rtl/>
          <w:lang w:bidi="ar-MA"/>
        </w:rPr>
        <w:t xml:space="preserve"> يسم</w:t>
      </w:r>
      <w:r w:rsidR="00BE5793" w:rsidRPr="006571AC">
        <w:rPr>
          <w:rFonts w:ascii="Arial" w:hAnsi="Arial" w:hint="cs"/>
          <w:sz w:val="27"/>
          <w:rtl/>
          <w:lang w:bidi="ar-MA"/>
        </w:rPr>
        <w:t>ّ</w:t>
      </w:r>
      <w:r w:rsidRPr="006571AC">
        <w:rPr>
          <w:rFonts w:ascii="Arial" w:hAnsi="Arial" w:hint="cs"/>
          <w:sz w:val="27"/>
          <w:rtl/>
          <w:lang w:bidi="ar-MA"/>
        </w:rPr>
        <w:t>ي هذه الحضارة بحضارة النص</w:t>
      </w:r>
      <w:r w:rsidR="00BE5793" w:rsidRPr="006571AC">
        <w:rPr>
          <w:rFonts w:ascii="Arial" w:hAnsi="Arial" w:hint="cs"/>
          <w:sz w:val="27"/>
          <w:rtl/>
          <w:lang w:bidi="ar-MA"/>
        </w:rPr>
        <w:t>ّ؛</w:t>
      </w:r>
      <w:r w:rsidRPr="006571AC">
        <w:rPr>
          <w:rFonts w:ascii="Arial" w:hAnsi="Arial" w:hint="cs"/>
          <w:sz w:val="27"/>
          <w:rtl/>
          <w:lang w:bidi="ar-MA"/>
        </w:rPr>
        <w:t xml:space="preserve"> ل</w:t>
      </w:r>
      <w:r w:rsidR="00BE5793" w:rsidRPr="006571AC">
        <w:rPr>
          <w:rFonts w:ascii="Arial" w:hAnsi="Arial" w:hint="cs"/>
          <w:sz w:val="27"/>
          <w:rtl/>
          <w:lang w:bidi="ar-MA"/>
        </w:rPr>
        <w:t>أ</w:t>
      </w:r>
      <w:r w:rsidRPr="006571AC">
        <w:rPr>
          <w:rFonts w:ascii="Arial" w:hAnsi="Arial" w:hint="cs"/>
          <w:sz w:val="27"/>
          <w:rtl/>
          <w:lang w:bidi="ar-MA"/>
        </w:rPr>
        <w:t>ن المدار والمرك</w:t>
      </w:r>
      <w:r w:rsidRPr="006571AC">
        <w:rPr>
          <w:rFonts w:ascii="Arial" w:hAnsi="Arial" w:hint="eastAsia"/>
          <w:sz w:val="27"/>
          <w:rtl/>
          <w:lang w:bidi="ar-MA"/>
        </w:rPr>
        <w:t>ز</w:t>
      </w:r>
      <w:r w:rsidRPr="006571AC">
        <w:rPr>
          <w:rFonts w:ascii="Arial" w:hAnsi="Arial" w:hint="cs"/>
          <w:sz w:val="27"/>
          <w:rtl/>
          <w:lang w:bidi="ar-MA"/>
        </w:rPr>
        <w:t xml:space="preserve"> الذي تعود إليه هذه الحضارة هو النص</w:t>
      </w:r>
      <w:r w:rsidR="00BE5793" w:rsidRPr="006571AC">
        <w:rPr>
          <w:rFonts w:ascii="Arial" w:hAnsi="Arial" w:hint="cs"/>
          <w:sz w:val="27"/>
          <w:rtl/>
          <w:lang w:bidi="ar-MA"/>
        </w:rPr>
        <w:t>ّ</w:t>
      </w:r>
      <w:r w:rsidRPr="006571AC">
        <w:rPr>
          <w:rFonts w:ascii="Arial" w:hAnsi="Arial" w:hint="cs"/>
          <w:sz w:val="27"/>
          <w:rtl/>
          <w:lang w:bidi="ar-MA"/>
        </w:rPr>
        <w:t xml:space="preserve">. </w:t>
      </w:r>
    </w:p>
    <w:p w:rsidR="0043677F" w:rsidRPr="006571AC" w:rsidRDefault="0043677F" w:rsidP="004F6064">
      <w:pPr>
        <w:tabs>
          <w:tab w:val="left" w:pos="3417"/>
        </w:tabs>
        <w:rPr>
          <w:rFonts w:ascii="Arial" w:hAnsi="Arial"/>
          <w:sz w:val="27"/>
          <w:rtl/>
          <w:lang w:bidi="ar-MA"/>
        </w:rPr>
      </w:pPr>
      <w:r w:rsidRPr="006571AC">
        <w:rPr>
          <w:rFonts w:ascii="Arial" w:hAnsi="Arial" w:hint="cs"/>
          <w:sz w:val="27"/>
          <w:rtl/>
          <w:lang w:bidi="ar-MA"/>
        </w:rPr>
        <w:t>فأغلب العلوم التراثية اختار</w:t>
      </w:r>
      <w:r w:rsidR="00BE5793" w:rsidRPr="006571AC">
        <w:rPr>
          <w:rFonts w:ascii="Arial" w:hAnsi="Arial" w:hint="cs"/>
          <w:sz w:val="27"/>
          <w:rtl/>
          <w:lang w:bidi="ar-MA"/>
        </w:rPr>
        <w:t>َ</w:t>
      </w:r>
      <w:r w:rsidRPr="006571AC">
        <w:rPr>
          <w:rFonts w:ascii="Arial" w:hAnsi="Arial" w:hint="cs"/>
          <w:sz w:val="27"/>
          <w:rtl/>
          <w:lang w:bidi="ar-MA"/>
        </w:rPr>
        <w:t>ت</w:t>
      </w:r>
      <w:r w:rsidR="00BE5793" w:rsidRPr="006571AC">
        <w:rPr>
          <w:rFonts w:ascii="Arial" w:hAnsi="Arial" w:hint="cs"/>
          <w:sz w:val="27"/>
          <w:rtl/>
          <w:lang w:bidi="ar-MA"/>
        </w:rPr>
        <w:t>ْ</w:t>
      </w:r>
      <w:r w:rsidRPr="006571AC">
        <w:rPr>
          <w:rFonts w:ascii="Arial" w:hAnsi="Arial" w:hint="cs"/>
          <w:sz w:val="27"/>
          <w:rtl/>
          <w:lang w:bidi="ar-MA"/>
        </w:rPr>
        <w:t xml:space="preserve"> لنفسها وجهة العناية بتفه</w:t>
      </w:r>
      <w:r w:rsidR="00BE5793" w:rsidRPr="006571AC">
        <w:rPr>
          <w:rFonts w:ascii="Arial" w:hAnsi="Arial" w:hint="cs"/>
          <w:sz w:val="27"/>
          <w:rtl/>
          <w:lang w:bidi="ar-MA"/>
        </w:rPr>
        <w:t>ُّ</w:t>
      </w:r>
      <w:r w:rsidRPr="006571AC">
        <w:rPr>
          <w:rFonts w:ascii="Arial" w:hAnsi="Arial" w:hint="cs"/>
          <w:sz w:val="27"/>
          <w:rtl/>
          <w:lang w:bidi="ar-MA"/>
        </w:rPr>
        <w:t>م وفقه النصوص الشرعية</w:t>
      </w:r>
      <w:r w:rsidR="00BE5793" w:rsidRPr="006571AC">
        <w:rPr>
          <w:rFonts w:ascii="Arial" w:hAnsi="Arial" w:hint="cs"/>
          <w:sz w:val="27"/>
          <w:rtl/>
          <w:lang w:bidi="ar-MA"/>
        </w:rPr>
        <w:t>؛</w:t>
      </w:r>
      <w:r w:rsidRPr="006571AC">
        <w:rPr>
          <w:rFonts w:ascii="Arial" w:hAnsi="Arial" w:hint="cs"/>
          <w:sz w:val="27"/>
          <w:rtl/>
          <w:lang w:bidi="ar-MA"/>
        </w:rPr>
        <w:t xml:space="preserve"> لضبط معناها</w:t>
      </w:r>
      <w:r w:rsidR="00BE5793" w:rsidRPr="006571AC">
        <w:rPr>
          <w:rFonts w:ascii="Arial" w:hAnsi="Arial" w:hint="cs"/>
          <w:sz w:val="27"/>
          <w:rtl/>
          <w:lang w:bidi="ar-MA"/>
        </w:rPr>
        <w:t xml:space="preserve">، </w:t>
      </w:r>
      <w:r w:rsidRPr="006571AC">
        <w:rPr>
          <w:rFonts w:ascii="Arial" w:hAnsi="Arial" w:hint="cs"/>
          <w:sz w:val="27"/>
          <w:rtl/>
          <w:lang w:bidi="ar-MA"/>
        </w:rPr>
        <w:t>وتلق</w:t>
      </w:r>
      <w:r w:rsidR="00BE5793" w:rsidRPr="006571AC">
        <w:rPr>
          <w:rFonts w:ascii="Arial" w:hAnsi="Arial" w:hint="cs"/>
          <w:sz w:val="27"/>
          <w:rtl/>
          <w:lang w:bidi="ar-MA"/>
        </w:rPr>
        <w:t>ّ</w:t>
      </w:r>
      <w:r w:rsidRPr="006571AC">
        <w:rPr>
          <w:rFonts w:ascii="Arial" w:hAnsi="Arial" w:hint="cs"/>
          <w:sz w:val="27"/>
          <w:rtl/>
          <w:lang w:bidi="ar-MA"/>
        </w:rPr>
        <w:t>ي دلالاتها</w:t>
      </w:r>
      <w:r w:rsidR="00BE5793" w:rsidRPr="006571AC">
        <w:rPr>
          <w:rFonts w:ascii="Arial" w:hAnsi="Arial" w:hint="cs"/>
          <w:sz w:val="27"/>
          <w:rtl/>
          <w:lang w:bidi="ar-MA"/>
        </w:rPr>
        <w:t>،</w:t>
      </w:r>
      <w:r w:rsidRPr="006571AC">
        <w:rPr>
          <w:rFonts w:ascii="Arial" w:hAnsi="Arial" w:hint="cs"/>
          <w:sz w:val="27"/>
          <w:rtl/>
          <w:lang w:bidi="ar-MA"/>
        </w:rPr>
        <w:t xml:space="preserve"> وتحصيل مقاصدها، </w:t>
      </w:r>
      <w:r w:rsidR="00BE5793" w:rsidRPr="006571AC">
        <w:rPr>
          <w:rFonts w:ascii="Arial" w:hAnsi="Arial" w:hint="cs"/>
          <w:sz w:val="27"/>
          <w:rtl/>
          <w:lang w:bidi="ar-MA"/>
        </w:rPr>
        <w:t>أ</w:t>
      </w:r>
      <w:r w:rsidRPr="006571AC">
        <w:rPr>
          <w:rFonts w:ascii="Arial" w:hAnsi="Arial"/>
          <w:sz w:val="27"/>
          <w:rtl/>
          <w:lang w:bidi="ar-MA"/>
        </w:rPr>
        <w:t>عني تعل</w:t>
      </w:r>
      <w:r w:rsidR="00BE5793" w:rsidRPr="006571AC">
        <w:rPr>
          <w:rFonts w:ascii="Arial" w:hAnsi="Arial" w:hint="cs"/>
          <w:sz w:val="27"/>
          <w:rtl/>
          <w:lang w:bidi="ar-MA"/>
        </w:rPr>
        <w:t>ّ</w:t>
      </w:r>
      <w:r w:rsidRPr="006571AC">
        <w:rPr>
          <w:rFonts w:ascii="Arial" w:hAnsi="Arial"/>
          <w:sz w:val="27"/>
          <w:rtl/>
          <w:lang w:bidi="ar-MA"/>
        </w:rPr>
        <w:t>ق</w:t>
      </w:r>
      <w:r w:rsidRPr="006571AC">
        <w:rPr>
          <w:rFonts w:ascii="Arial" w:hAnsi="Arial" w:hint="cs"/>
          <w:sz w:val="27"/>
          <w:rtl/>
          <w:lang w:bidi="ar-MA"/>
        </w:rPr>
        <w:t xml:space="preserve">ها </w:t>
      </w:r>
      <w:r w:rsidRPr="006571AC">
        <w:rPr>
          <w:rFonts w:ascii="Arial" w:hAnsi="Arial"/>
          <w:sz w:val="27"/>
          <w:rtl/>
          <w:lang w:bidi="ar-MA"/>
        </w:rPr>
        <w:t>بف</w:t>
      </w:r>
      <w:r w:rsidR="004045B2" w:rsidRPr="006571AC">
        <w:rPr>
          <w:rFonts w:ascii="Arial" w:hAnsi="Arial" w:hint="cs"/>
          <w:sz w:val="27"/>
          <w:rtl/>
          <w:lang w:bidi="ar-MA"/>
        </w:rPr>
        <w:t>َ</w:t>
      </w:r>
      <w:r w:rsidRPr="006571AC">
        <w:rPr>
          <w:rFonts w:ascii="Arial" w:hAnsi="Arial"/>
          <w:sz w:val="27"/>
          <w:rtl/>
          <w:lang w:bidi="ar-MA"/>
        </w:rPr>
        <w:t>ه</w:t>
      </w:r>
      <w:r w:rsidR="004045B2" w:rsidRPr="006571AC">
        <w:rPr>
          <w:rFonts w:ascii="Arial" w:hAnsi="Arial" w:hint="cs"/>
          <w:sz w:val="27"/>
          <w:rtl/>
          <w:lang w:bidi="ar-MA"/>
        </w:rPr>
        <w:t>ْ</w:t>
      </w:r>
      <w:r w:rsidRPr="006571AC">
        <w:rPr>
          <w:rFonts w:ascii="Arial" w:hAnsi="Arial"/>
          <w:sz w:val="27"/>
          <w:rtl/>
          <w:lang w:bidi="ar-MA"/>
        </w:rPr>
        <w:t xml:space="preserve">م وفقه </w:t>
      </w:r>
      <w:r w:rsidRPr="006571AC">
        <w:rPr>
          <w:rFonts w:ascii="Arial" w:hAnsi="Arial" w:hint="cs"/>
          <w:sz w:val="27"/>
          <w:rtl/>
          <w:lang w:bidi="ar-MA"/>
        </w:rPr>
        <w:t xml:space="preserve">وتلقي </w:t>
      </w:r>
      <w:r w:rsidRPr="006571AC">
        <w:rPr>
          <w:rFonts w:ascii="Arial" w:hAnsi="Arial"/>
          <w:sz w:val="27"/>
          <w:rtl/>
          <w:lang w:bidi="ar-MA"/>
        </w:rPr>
        <w:t>النص</w:t>
      </w:r>
      <w:r w:rsidR="00BE5793" w:rsidRPr="006571AC">
        <w:rPr>
          <w:rFonts w:ascii="Arial" w:hAnsi="Arial" w:hint="cs"/>
          <w:sz w:val="27"/>
          <w:rtl/>
          <w:lang w:bidi="ar-MA"/>
        </w:rPr>
        <w:t>ّ</w:t>
      </w:r>
      <w:r w:rsidRPr="006571AC">
        <w:rPr>
          <w:rFonts w:ascii="Arial" w:hAnsi="Arial"/>
          <w:sz w:val="27"/>
          <w:rtl/>
          <w:lang w:bidi="ar-MA"/>
        </w:rPr>
        <w:t xml:space="preserve"> الشرعي</w:t>
      </w:r>
      <w:r w:rsidR="00BE5793" w:rsidRPr="006571AC">
        <w:rPr>
          <w:rFonts w:ascii="Arial" w:hAnsi="Arial" w:hint="cs"/>
          <w:sz w:val="27"/>
          <w:rtl/>
          <w:lang w:bidi="ar-MA"/>
        </w:rPr>
        <w:t>،</w:t>
      </w:r>
      <w:r w:rsidRPr="006571AC">
        <w:rPr>
          <w:rFonts w:ascii="Arial" w:hAnsi="Arial"/>
          <w:sz w:val="27"/>
          <w:rtl/>
          <w:lang w:bidi="ar-MA"/>
        </w:rPr>
        <w:t xml:space="preserve"> على حساب </w:t>
      </w:r>
      <w:r w:rsidRPr="006571AC">
        <w:rPr>
          <w:rFonts w:ascii="Arial" w:hAnsi="Arial" w:hint="cs"/>
          <w:sz w:val="27"/>
          <w:rtl/>
          <w:lang w:bidi="ar-MA"/>
        </w:rPr>
        <w:t>الا</w:t>
      </w:r>
      <w:r w:rsidRPr="006571AC">
        <w:rPr>
          <w:rFonts w:ascii="Arial" w:hAnsi="Arial"/>
          <w:sz w:val="27"/>
          <w:rtl/>
          <w:lang w:bidi="ar-MA"/>
        </w:rPr>
        <w:t>شتغ</w:t>
      </w:r>
      <w:r w:rsidRPr="006571AC">
        <w:rPr>
          <w:rFonts w:ascii="Arial" w:hAnsi="Arial" w:hint="cs"/>
          <w:sz w:val="27"/>
          <w:rtl/>
          <w:lang w:bidi="ar-MA"/>
        </w:rPr>
        <w:t>ا</w:t>
      </w:r>
      <w:r w:rsidRPr="006571AC">
        <w:rPr>
          <w:rFonts w:ascii="Arial" w:hAnsi="Arial"/>
          <w:sz w:val="27"/>
          <w:rtl/>
          <w:lang w:bidi="ar-MA"/>
        </w:rPr>
        <w:t xml:space="preserve">ل على </w:t>
      </w:r>
      <w:r w:rsidRPr="006571AC">
        <w:rPr>
          <w:rFonts w:ascii="Arial" w:hAnsi="Arial" w:hint="cs"/>
          <w:sz w:val="27"/>
          <w:rtl/>
          <w:lang w:bidi="ar-MA"/>
        </w:rPr>
        <w:t>ال</w:t>
      </w:r>
      <w:r w:rsidRPr="006571AC">
        <w:rPr>
          <w:rFonts w:ascii="Arial" w:hAnsi="Arial"/>
          <w:sz w:val="27"/>
          <w:rtl/>
          <w:lang w:bidi="ar-MA"/>
        </w:rPr>
        <w:t xml:space="preserve">قضايا </w:t>
      </w:r>
      <w:r w:rsidRPr="006571AC">
        <w:rPr>
          <w:rFonts w:ascii="Arial" w:hAnsi="Arial" w:hint="cs"/>
          <w:sz w:val="27"/>
          <w:rtl/>
          <w:lang w:bidi="ar-MA"/>
        </w:rPr>
        <w:t>المرتبطة ب</w:t>
      </w:r>
      <w:r w:rsidRPr="006571AC">
        <w:rPr>
          <w:rFonts w:ascii="Arial" w:hAnsi="Arial"/>
          <w:sz w:val="27"/>
          <w:rtl/>
          <w:lang w:bidi="ar-MA"/>
        </w:rPr>
        <w:t>مشاكل الإنسان</w:t>
      </w:r>
      <w:r w:rsidRPr="006571AC">
        <w:rPr>
          <w:rFonts w:ascii="Arial" w:hAnsi="Arial" w:hint="cs"/>
          <w:sz w:val="27"/>
          <w:rtl/>
          <w:lang w:bidi="ar-MA"/>
        </w:rPr>
        <w:t xml:space="preserve"> بأبعادها المتعد</w:t>
      </w:r>
      <w:r w:rsidR="00BE5793" w:rsidRPr="006571AC">
        <w:rPr>
          <w:rFonts w:ascii="Arial" w:hAnsi="Arial" w:hint="cs"/>
          <w:sz w:val="27"/>
          <w:rtl/>
          <w:lang w:bidi="ar-MA"/>
        </w:rPr>
        <w:t>ّ</w:t>
      </w:r>
      <w:r w:rsidRPr="006571AC">
        <w:rPr>
          <w:rFonts w:ascii="Arial" w:hAnsi="Arial" w:hint="cs"/>
          <w:sz w:val="27"/>
          <w:rtl/>
          <w:lang w:bidi="ar-MA"/>
        </w:rPr>
        <w:t>دة و</w:t>
      </w:r>
      <w:r w:rsidR="00BE5793" w:rsidRPr="006571AC">
        <w:rPr>
          <w:rFonts w:ascii="Arial" w:hAnsi="Arial" w:hint="cs"/>
          <w:sz w:val="27"/>
          <w:rtl/>
          <w:lang w:bidi="ar-MA"/>
        </w:rPr>
        <w:t>ب</w:t>
      </w:r>
      <w:r w:rsidRPr="006571AC">
        <w:rPr>
          <w:rFonts w:ascii="Arial" w:hAnsi="Arial" w:hint="cs"/>
          <w:sz w:val="27"/>
          <w:rtl/>
          <w:lang w:bidi="ar-MA"/>
        </w:rPr>
        <w:t>قضاياه</w:t>
      </w:r>
      <w:r w:rsidR="00BE5793" w:rsidRPr="006571AC">
        <w:rPr>
          <w:rFonts w:ascii="Arial" w:hAnsi="Arial" w:hint="cs"/>
          <w:sz w:val="27"/>
          <w:rtl/>
          <w:lang w:bidi="ar-MA"/>
        </w:rPr>
        <w:t>ا</w:t>
      </w:r>
      <w:r w:rsidRPr="006571AC">
        <w:rPr>
          <w:rFonts w:ascii="Arial" w:hAnsi="Arial" w:hint="cs"/>
          <w:sz w:val="27"/>
          <w:rtl/>
          <w:lang w:bidi="ar-MA"/>
        </w:rPr>
        <w:t xml:space="preserve"> المختلفة، وبالأخص</w:t>
      </w:r>
      <w:r w:rsidR="00BE5793" w:rsidRPr="006571AC">
        <w:rPr>
          <w:rFonts w:ascii="Arial" w:hAnsi="Arial" w:hint="cs"/>
          <w:sz w:val="27"/>
          <w:rtl/>
          <w:lang w:bidi="ar-MA"/>
        </w:rPr>
        <w:t>ّ</w:t>
      </w:r>
      <w:r w:rsidRPr="006571AC">
        <w:rPr>
          <w:rFonts w:ascii="Arial" w:hAnsi="Arial" w:hint="cs"/>
          <w:sz w:val="27"/>
          <w:rtl/>
          <w:lang w:bidi="ar-MA"/>
        </w:rPr>
        <w:t xml:space="preserve"> ما ات</w:t>
      </w:r>
      <w:r w:rsidR="00BE5793" w:rsidRPr="006571AC">
        <w:rPr>
          <w:rFonts w:ascii="Arial" w:hAnsi="Arial" w:hint="cs"/>
          <w:sz w:val="27"/>
          <w:rtl/>
          <w:lang w:bidi="ar-MA"/>
        </w:rPr>
        <w:t>َّ</w:t>
      </w:r>
      <w:r w:rsidRPr="006571AC">
        <w:rPr>
          <w:rFonts w:ascii="Arial" w:hAnsi="Arial" w:hint="cs"/>
          <w:sz w:val="27"/>
          <w:rtl/>
          <w:lang w:bidi="ar-MA"/>
        </w:rPr>
        <w:t>صل بالب</w:t>
      </w:r>
      <w:r w:rsidR="00BE5793" w:rsidRPr="006571AC">
        <w:rPr>
          <w:rFonts w:ascii="Arial" w:hAnsi="Arial" w:hint="cs"/>
          <w:sz w:val="27"/>
          <w:rtl/>
          <w:lang w:bidi="ar-MA"/>
        </w:rPr>
        <w:t>ُ</w:t>
      </w:r>
      <w:r w:rsidRPr="006571AC">
        <w:rPr>
          <w:rFonts w:ascii="Arial" w:hAnsi="Arial" w:hint="cs"/>
          <w:sz w:val="27"/>
          <w:rtl/>
          <w:lang w:bidi="ar-MA"/>
        </w:rPr>
        <w:t>ع</w:t>
      </w:r>
      <w:r w:rsidR="00BE5793" w:rsidRPr="006571AC">
        <w:rPr>
          <w:rFonts w:ascii="Arial" w:hAnsi="Arial" w:hint="cs"/>
          <w:sz w:val="27"/>
          <w:rtl/>
          <w:lang w:bidi="ar-MA"/>
        </w:rPr>
        <w:t>ْ</w:t>
      </w:r>
      <w:r w:rsidRPr="006571AC">
        <w:rPr>
          <w:rFonts w:ascii="Arial" w:hAnsi="Arial" w:hint="cs"/>
          <w:sz w:val="27"/>
          <w:rtl/>
          <w:lang w:bidi="ar-MA"/>
        </w:rPr>
        <w:t>د النفسي والاجتماعي، وصلة هذا الب</w:t>
      </w:r>
      <w:r w:rsidR="00BE5793" w:rsidRPr="006571AC">
        <w:rPr>
          <w:rFonts w:ascii="Arial" w:hAnsi="Arial" w:hint="cs"/>
          <w:sz w:val="27"/>
          <w:rtl/>
          <w:lang w:bidi="ar-MA"/>
        </w:rPr>
        <w:t>ُ</w:t>
      </w:r>
      <w:r w:rsidRPr="006571AC">
        <w:rPr>
          <w:rFonts w:ascii="Arial" w:hAnsi="Arial" w:hint="cs"/>
          <w:sz w:val="27"/>
          <w:rtl/>
          <w:lang w:bidi="ar-MA"/>
        </w:rPr>
        <w:t>ع</w:t>
      </w:r>
      <w:r w:rsidR="00BE5793" w:rsidRPr="006571AC">
        <w:rPr>
          <w:rFonts w:ascii="Arial" w:hAnsi="Arial" w:hint="cs"/>
          <w:sz w:val="27"/>
          <w:rtl/>
          <w:lang w:bidi="ar-MA"/>
        </w:rPr>
        <w:t>ْ</w:t>
      </w:r>
      <w:r w:rsidRPr="006571AC">
        <w:rPr>
          <w:rFonts w:ascii="Arial" w:hAnsi="Arial" w:hint="cs"/>
          <w:sz w:val="27"/>
          <w:rtl/>
          <w:lang w:bidi="ar-MA"/>
        </w:rPr>
        <w:t>د بحاضر هذا الإنسان وبشخصي</w:t>
      </w:r>
      <w:r w:rsidR="00BE5793" w:rsidRPr="006571AC">
        <w:rPr>
          <w:rFonts w:ascii="Arial" w:hAnsi="Arial" w:hint="cs"/>
          <w:sz w:val="27"/>
          <w:rtl/>
          <w:lang w:bidi="ar-MA"/>
        </w:rPr>
        <w:t>ّ</w:t>
      </w:r>
      <w:r w:rsidRPr="006571AC">
        <w:rPr>
          <w:rFonts w:ascii="Arial" w:hAnsi="Arial" w:hint="cs"/>
          <w:sz w:val="27"/>
          <w:rtl/>
          <w:lang w:bidi="ar-MA"/>
        </w:rPr>
        <w:t>ته وبمستقبله</w:t>
      </w:r>
      <w:r w:rsidRPr="006571AC">
        <w:rPr>
          <w:rFonts w:ascii="Arial" w:hAnsi="Arial"/>
          <w:sz w:val="27"/>
          <w:rtl/>
          <w:lang w:bidi="ar-MA"/>
        </w:rPr>
        <w:t xml:space="preserve">. </w:t>
      </w:r>
    </w:p>
    <w:p w:rsidR="0043677F" w:rsidRPr="006571AC" w:rsidRDefault="0043677F" w:rsidP="004F6064">
      <w:pPr>
        <w:rPr>
          <w:rFonts w:ascii="Arial" w:hAnsi="Arial"/>
          <w:sz w:val="27"/>
          <w:rtl/>
          <w:lang w:bidi="ar-MA"/>
        </w:rPr>
      </w:pPr>
      <w:r w:rsidRPr="006571AC">
        <w:rPr>
          <w:rFonts w:hint="cs"/>
          <w:sz w:val="27"/>
          <w:rtl/>
          <w:lang w:bidi="ar-MA"/>
        </w:rPr>
        <w:t>وهذا الخطاب الصريح يدل</w:t>
      </w:r>
      <w:r w:rsidR="00BE5793" w:rsidRPr="006571AC">
        <w:rPr>
          <w:rFonts w:hint="cs"/>
          <w:sz w:val="27"/>
          <w:rtl/>
          <w:lang w:bidi="ar-MA"/>
        </w:rPr>
        <w:t>ّ</w:t>
      </w:r>
      <w:r w:rsidRPr="006571AC">
        <w:rPr>
          <w:rFonts w:hint="cs"/>
          <w:sz w:val="27"/>
          <w:rtl/>
          <w:lang w:bidi="ar-MA"/>
        </w:rPr>
        <w:t xml:space="preserve"> </w:t>
      </w:r>
      <w:r w:rsidR="002243DF" w:rsidRPr="006571AC">
        <w:rPr>
          <w:rFonts w:hint="cs"/>
          <w:sz w:val="27"/>
          <w:rtl/>
          <w:lang w:bidi="ar-MA"/>
        </w:rPr>
        <w:t xml:space="preserve">على </w:t>
      </w:r>
      <w:r w:rsidRPr="006571AC">
        <w:rPr>
          <w:rFonts w:hint="cs"/>
          <w:sz w:val="27"/>
          <w:rtl/>
          <w:lang w:bidi="ar-MA"/>
        </w:rPr>
        <w:t xml:space="preserve">أن </w:t>
      </w:r>
      <w:r w:rsidRPr="006571AC">
        <w:rPr>
          <w:sz w:val="27"/>
          <w:rtl/>
          <w:lang w:bidi="ar-MA"/>
        </w:rPr>
        <w:t>العلوم التي نشأ</w:t>
      </w:r>
      <w:r w:rsidR="002243DF" w:rsidRPr="006571AC">
        <w:rPr>
          <w:rFonts w:hint="cs"/>
          <w:sz w:val="27"/>
          <w:rtl/>
          <w:lang w:bidi="ar-MA"/>
        </w:rPr>
        <w:t>َ</w:t>
      </w:r>
      <w:r w:rsidRPr="006571AC">
        <w:rPr>
          <w:sz w:val="27"/>
          <w:rtl/>
          <w:lang w:bidi="ar-MA"/>
        </w:rPr>
        <w:t>ت</w:t>
      </w:r>
      <w:r w:rsidR="002243DF" w:rsidRPr="006571AC">
        <w:rPr>
          <w:rFonts w:hint="cs"/>
          <w:sz w:val="27"/>
          <w:rtl/>
          <w:lang w:bidi="ar-MA"/>
        </w:rPr>
        <w:t>ْ</w:t>
      </w:r>
      <w:r w:rsidRPr="006571AC">
        <w:rPr>
          <w:sz w:val="27"/>
          <w:rtl/>
          <w:lang w:bidi="ar-MA"/>
        </w:rPr>
        <w:t xml:space="preserve"> في أحضان التراث العربي الإسلامي،</w:t>
      </w:r>
      <w:r w:rsidRPr="006571AC">
        <w:rPr>
          <w:rFonts w:hint="cs"/>
          <w:sz w:val="27"/>
          <w:rtl/>
          <w:lang w:bidi="ar-MA"/>
        </w:rPr>
        <w:t xml:space="preserve"> </w:t>
      </w:r>
      <w:r w:rsidRPr="006571AC">
        <w:rPr>
          <w:sz w:val="27"/>
          <w:rtl/>
          <w:lang w:bidi="ar-MA"/>
        </w:rPr>
        <w:t>ورغم ما تتمي</w:t>
      </w:r>
      <w:r w:rsidR="002243DF" w:rsidRPr="006571AC">
        <w:rPr>
          <w:rFonts w:hint="cs"/>
          <w:sz w:val="27"/>
          <w:rtl/>
          <w:lang w:bidi="ar-MA"/>
        </w:rPr>
        <w:t>َّ</w:t>
      </w:r>
      <w:r w:rsidRPr="006571AC">
        <w:rPr>
          <w:sz w:val="27"/>
          <w:rtl/>
          <w:lang w:bidi="ar-MA"/>
        </w:rPr>
        <w:t>ز به من التعد</w:t>
      </w:r>
      <w:r w:rsidR="002243DF" w:rsidRPr="006571AC">
        <w:rPr>
          <w:rFonts w:hint="cs"/>
          <w:sz w:val="27"/>
          <w:rtl/>
          <w:lang w:bidi="ar-MA"/>
        </w:rPr>
        <w:t>ُّ</w:t>
      </w:r>
      <w:r w:rsidRPr="006571AC">
        <w:rPr>
          <w:sz w:val="27"/>
          <w:rtl/>
          <w:lang w:bidi="ar-MA"/>
        </w:rPr>
        <w:t>د، وما تحظى به من التنو</w:t>
      </w:r>
      <w:r w:rsidR="002243DF" w:rsidRPr="006571AC">
        <w:rPr>
          <w:rFonts w:hint="cs"/>
          <w:sz w:val="27"/>
          <w:rtl/>
          <w:lang w:bidi="ar-MA"/>
        </w:rPr>
        <w:t>ُّ</w:t>
      </w:r>
      <w:r w:rsidRPr="006571AC">
        <w:rPr>
          <w:sz w:val="27"/>
          <w:rtl/>
          <w:lang w:bidi="ar-MA"/>
        </w:rPr>
        <w:t>ع</w:t>
      </w:r>
      <w:r w:rsidR="002243DF" w:rsidRPr="006571AC">
        <w:rPr>
          <w:rFonts w:hint="cs"/>
          <w:sz w:val="27"/>
          <w:rtl/>
          <w:lang w:bidi="ar-MA"/>
        </w:rPr>
        <w:t>،</w:t>
      </w:r>
      <w:r w:rsidRPr="006571AC">
        <w:rPr>
          <w:rFonts w:hint="cs"/>
          <w:sz w:val="27"/>
          <w:rtl/>
          <w:lang w:bidi="ar-MA"/>
        </w:rPr>
        <w:t xml:space="preserve"> وما تأخذه قضاياها من الاختلاف في البناء،</w:t>
      </w:r>
      <w:r w:rsidRPr="006571AC">
        <w:rPr>
          <w:sz w:val="27"/>
          <w:rtl/>
          <w:lang w:bidi="ar-MA"/>
        </w:rPr>
        <w:t xml:space="preserve"> قد نشأ</w:t>
      </w:r>
      <w:r w:rsidR="002243DF" w:rsidRPr="006571AC">
        <w:rPr>
          <w:rFonts w:hint="cs"/>
          <w:sz w:val="27"/>
          <w:rtl/>
          <w:lang w:bidi="ar-MA"/>
        </w:rPr>
        <w:t>َ</w:t>
      </w:r>
      <w:r w:rsidRPr="006571AC">
        <w:rPr>
          <w:sz w:val="27"/>
          <w:rtl/>
          <w:lang w:bidi="ar-MA"/>
        </w:rPr>
        <w:t>ت</w:t>
      </w:r>
      <w:r w:rsidR="002243DF" w:rsidRPr="006571AC">
        <w:rPr>
          <w:rFonts w:hint="cs"/>
          <w:sz w:val="27"/>
          <w:rtl/>
          <w:lang w:bidi="ar-MA"/>
        </w:rPr>
        <w:t>ْ</w:t>
      </w:r>
      <w:r w:rsidRPr="006571AC">
        <w:rPr>
          <w:sz w:val="27"/>
          <w:rtl/>
          <w:lang w:bidi="ar-MA"/>
        </w:rPr>
        <w:t xml:space="preserve"> انطلاقا</w:t>
      </w:r>
      <w:r w:rsidR="002243DF" w:rsidRPr="006571AC">
        <w:rPr>
          <w:rFonts w:hint="cs"/>
          <w:sz w:val="27"/>
          <w:rtl/>
          <w:lang w:bidi="ar-MA"/>
        </w:rPr>
        <w:t>ً</w:t>
      </w:r>
      <w:r w:rsidRPr="006571AC">
        <w:rPr>
          <w:rFonts w:hint="cs"/>
          <w:sz w:val="27"/>
          <w:rtl/>
          <w:lang w:bidi="ar-MA"/>
        </w:rPr>
        <w:t xml:space="preserve"> واعتبارا</w:t>
      </w:r>
      <w:r w:rsidR="002243DF" w:rsidRPr="006571AC">
        <w:rPr>
          <w:rFonts w:hint="cs"/>
          <w:sz w:val="27"/>
          <w:rtl/>
          <w:lang w:bidi="ar-MA"/>
        </w:rPr>
        <w:t>ً</w:t>
      </w:r>
      <w:r w:rsidRPr="006571AC">
        <w:rPr>
          <w:sz w:val="27"/>
          <w:rtl/>
          <w:lang w:bidi="ar-MA"/>
        </w:rPr>
        <w:t xml:space="preserve"> من التعامل المباشر مع الو</w:t>
      </w:r>
      <w:r w:rsidR="002243DF" w:rsidRPr="006571AC">
        <w:rPr>
          <w:rFonts w:hint="cs"/>
          <w:sz w:val="27"/>
          <w:rtl/>
          <w:lang w:bidi="ar-MA"/>
        </w:rPr>
        <w:t>َ</w:t>
      </w:r>
      <w:r w:rsidRPr="006571AC">
        <w:rPr>
          <w:sz w:val="27"/>
          <w:rtl/>
          <w:lang w:bidi="ar-MA"/>
        </w:rPr>
        <w:t>ح</w:t>
      </w:r>
      <w:r w:rsidR="002243DF" w:rsidRPr="006571AC">
        <w:rPr>
          <w:rFonts w:hint="cs"/>
          <w:sz w:val="27"/>
          <w:rtl/>
          <w:lang w:bidi="ar-MA"/>
        </w:rPr>
        <w:t>ْ</w:t>
      </w:r>
      <w:r w:rsidRPr="006571AC">
        <w:rPr>
          <w:sz w:val="27"/>
          <w:rtl/>
          <w:lang w:bidi="ar-MA"/>
        </w:rPr>
        <w:t>ي</w:t>
      </w:r>
      <w:r w:rsidR="002243DF" w:rsidRPr="006571AC">
        <w:rPr>
          <w:rFonts w:hint="cs"/>
          <w:sz w:val="27"/>
          <w:rtl/>
          <w:lang w:bidi="ar-MA"/>
        </w:rPr>
        <w:t>،</w:t>
      </w:r>
      <w:r w:rsidRPr="006571AC">
        <w:rPr>
          <w:sz w:val="27"/>
          <w:rtl/>
          <w:lang w:bidi="ar-MA"/>
        </w:rPr>
        <w:t xml:space="preserve"> </w:t>
      </w:r>
      <w:r w:rsidRPr="006571AC">
        <w:rPr>
          <w:rFonts w:hint="cs"/>
          <w:sz w:val="27"/>
          <w:rtl/>
          <w:lang w:bidi="ar-MA"/>
        </w:rPr>
        <w:t xml:space="preserve">الذي </w:t>
      </w:r>
      <w:r w:rsidRPr="006571AC">
        <w:rPr>
          <w:sz w:val="27"/>
          <w:rtl/>
          <w:lang w:bidi="ar-MA"/>
        </w:rPr>
        <w:t>هو النص</w:t>
      </w:r>
      <w:r w:rsidR="002243DF" w:rsidRPr="006571AC">
        <w:rPr>
          <w:rFonts w:hint="cs"/>
          <w:sz w:val="27"/>
          <w:rtl/>
          <w:lang w:bidi="ar-MA"/>
        </w:rPr>
        <w:t>ّ</w:t>
      </w:r>
      <w:r w:rsidRPr="006571AC">
        <w:rPr>
          <w:rFonts w:ascii="Arial" w:hAnsi="Arial" w:hint="cs"/>
          <w:sz w:val="27"/>
          <w:rtl/>
          <w:lang w:bidi="ar-MA"/>
        </w:rPr>
        <w:t xml:space="preserve">. </w:t>
      </w:r>
    </w:p>
    <w:p w:rsidR="002243DF" w:rsidRPr="006571AC" w:rsidRDefault="0043677F" w:rsidP="004F6064">
      <w:pPr>
        <w:rPr>
          <w:rFonts w:ascii="Arial" w:hAnsi="Arial"/>
          <w:sz w:val="27"/>
          <w:rtl/>
          <w:lang w:bidi="ar-MA"/>
        </w:rPr>
      </w:pPr>
      <w:r w:rsidRPr="006571AC">
        <w:rPr>
          <w:rFonts w:ascii="Arial" w:hAnsi="Arial" w:hint="cs"/>
          <w:sz w:val="27"/>
          <w:rtl/>
          <w:lang w:bidi="ar-MA"/>
        </w:rPr>
        <w:t>فالب</w:t>
      </w:r>
      <w:r w:rsidR="002243DF" w:rsidRPr="006571AC">
        <w:rPr>
          <w:rFonts w:ascii="Arial" w:hAnsi="Arial" w:hint="cs"/>
          <w:sz w:val="27"/>
          <w:rtl/>
          <w:lang w:bidi="ar-MA"/>
        </w:rPr>
        <w:t>ُ</w:t>
      </w:r>
      <w:r w:rsidRPr="006571AC">
        <w:rPr>
          <w:rFonts w:ascii="Arial" w:hAnsi="Arial" w:hint="cs"/>
          <w:sz w:val="27"/>
          <w:rtl/>
          <w:lang w:bidi="ar-MA"/>
        </w:rPr>
        <w:t>ع</w:t>
      </w:r>
      <w:r w:rsidR="002243DF" w:rsidRPr="006571AC">
        <w:rPr>
          <w:rFonts w:ascii="Arial" w:hAnsi="Arial" w:hint="cs"/>
          <w:sz w:val="27"/>
          <w:rtl/>
          <w:lang w:bidi="ar-MA"/>
        </w:rPr>
        <w:t>ْ</w:t>
      </w:r>
      <w:r w:rsidRPr="006571AC">
        <w:rPr>
          <w:rFonts w:ascii="Arial" w:hAnsi="Arial" w:hint="cs"/>
          <w:sz w:val="27"/>
          <w:rtl/>
          <w:lang w:bidi="ar-MA"/>
        </w:rPr>
        <w:t xml:space="preserve">د الحاكم في </w:t>
      </w:r>
      <w:r w:rsidRPr="006571AC">
        <w:rPr>
          <w:rFonts w:ascii="Arial" w:hAnsi="Arial"/>
          <w:sz w:val="27"/>
          <w:rtl/>
          <w:lang w:bidi="ar-MA"/>
        </w:rPr>
        <w:t xml:space="preserve">الثقافة العربية الإسلامية في بداية نشأتها </w:t>
      </w:r>
      <w:r w:rsidRPr="006571AC">
        <w:rPr>
          <w:rFonts w:ascii="Arial" w:hAnsi="Arial" w:hint="cs"/>
          <w:sz w:val="27"/>
          <w:rtl/>
          <w:lang w:bidi="ar-MA"/>
        </w:rPr>
        <w:t>هو اعترافها ب</w:t>
      </w:r>
      <w:r w:rsidRPr="006571AC">
        <w:rPr>
          <w:rFonts w:ascii="Arial" w:hAnsi="Arial"/>
          <w:sz w:val="27"/>
          <w:rtl/>
          <w:lang w:bidi="ar-MA"/>
        </w:rPr>
        <w:t>أن الحاجة ماس</w:t>
      </w:r>
      <w:r w:rsidR="002243DF" w:rsidRPr="006571AC">
        <w:rPr>
          <w:rFonts w:ascii="Arial" w:hAnsi="Arial" w:hint="cs"/>
          <w:sz w:val="27"/>
          <w:rtl/>
          <w:lang w:bidi="ar-MA"/>
        </w:rPr>
        <w:t>ّ</w:t>
      </w:r>
      <w:r w:rsidRPr="006571AC">
        <w:rPr>
          <w:rFonts w:ascii="Arial" w:hAnsi="Arial"/>
          <w:sz w:val="27"/>
          <w:rtl/>
          <w:lang w:bidi="ar-MA"/>
        </w:rPr>
        <w:t>ة</w:t>
      </w:r>
      <w:r w:rsidR="002243DF" w:rsidRPr="006571AC">
        <w:rPr>
          <w:rFonts w:ascii="Arial" w:hAnsi="Arial" w:hint="cs"/>
          <w:sz w:val="27"/>
          <w:rtl/>
          <w:lang w:bidi="ar-MA"/>
        </w:rPr>
        <w:t>ٌ</w:t>
      </w:r>
      <w:r w:rsidRPr="006571AC">
        <w:rPr>
          <w:rFonts w:ascii="Arial" w:hAnsi="Arial"/>
          <w:sz w:val="27"/>
          <w:rtl/>
          <w:lang w:bidi="ar-MA"/>
        </w:rPr>
        <w:t xml:space="preserve"> وضرورية</w:t>
      </w:r>
      <w:r w:rsidR="002243DF" w:rsidRPr="006571AC">
        <w:rPr>
          <w:rFonts w:ascii="Arial" w:hAnsi="Arial" w:hint="cs"/>
          <w:sz w:val="27"/>
          <w:rtl/>
          <w:lang w:bidi="ar-MA"/>
        </w:rPr>
        <w:t>ٌ</w:t>
      </w:r>
      <w:r w:rsidRPr="006571AC">
        <w:rPr>
          <w:rFonts w:ascii="Arial" w:hAnsi="Arial"/>
          <w:sz w:val="27"/>
          <w:rtl/>
          <w:lang w:bidi="ar-MA"/>
        </w:rPr>
        <w:t xml:space="preserve"> إلى تأسيس منهج</w:t>
      </w:r>
      <w:r w:rsidR="002243DF" w:rsidRPr="006571AC">
        <w:rPr>
          <w:rFonts w:ascii="Arial" w:hAnsi="Arial" w:hint="cs"/>
          <w:sz w:val="27"/>
          <w:rtl/>
          <w:lang w:bidi="ar-MA"/>
        </w:rPr>
        <w:t>ٍ</w:t>
      </w:r>
      <w:r w:rsidRPr="006571AC">
        <w:rPr>
          <w:rFonts w:ascii="Arial" w:hAnsi="Arial"/>
          <w:sz w:val="27"/>
          <w:rtl/>
          <w:lang w:bidi="ar-MA"/>
        </w:rPr>
        <w:t xml:space="preserve"> يضبط عملية الفهم، ويسد</w:t>
      </w:r>
      <w:r w:rsidR="002243DF" w:rsidRPr="006571AC">
        <w:rPr>
          <w:rFonts w:ascii="Arial" w:hAnsi="Arial" w:hint="cs"/>
          <w:sz w:val="27"/>
          <w:rtl/>
          <w:lang w:bidi="ar-MA"/>
        </w:rPr>
        <w:t>ِّ</w:t>
      </w:r>
      <w:r w:rsidRPr="006571AC">
        <w:rPr>
          <w:rFonts w:ascii="Arial" w:hAnsi="Arial"/>
          <w:sz w:val="27"/>
          <w:rtl/>
          <w:lang w:bidi="ar-MA"/>
        </w:rPr>
        <w:t>د عملية البيان، وينظ</w:t>
      </w:r>
      <w:r w:rsidR="002243DF" w:rsidRPr="006571AC">
        <w:rPr>
          <w:rFonts w:ascii="Arial" w:hAnsi="Arial" w:hint="cs"/>
          <w:sz w:val="27"/>
          <w:rtl/>
          <w:lang w:bidi="ar-MA"/>
        </w:rPr>
        <w:t>ِّ</w:t>
      </w:r>
      <w:r w:rsidRPr="006571AC">
        <w:rPr>
          <w:rFonts w:ascii="Arial" w:hAnsi="Arial"/>
          <w:sz w:val="27"/>
          <w:rtl/>
          <w:lang w:bidi="ar-MA"/>
        </w:rPr>
        <w:t>م عملية التأويل</w:t>
      </w:r>
      <w:r w:rsidR="002243DF" w:rsidRPr="006571AC">
        <w:rPr>
          <w:rFonts w:ascii="Arial" w:hAnsi="Arial" w:hint="cs"/>
          <w:sz w:val="27"/>
          <w:rtl/>
          <w:lang w:bidi="ar-MA"/>
        </w:rPr>
        <w:t>،</w:t>
      </w:r>
      <w:r w:rsidRPr="006571AC">
        <w:rPr>
          <w:rFonts w:ascii="Arial" w:hAnsi="Arial"/>
          <w:sz w:val="27"/>
          <w:rtl/>
          <w:lang w:bidi="ar-MA"/>
        </w:rPr>
        <w:t xml:space="preserve"> </w:t>
      </w:r>
      <w:r w:rsidRPr="006571AC">
        <w:rPr>
          <w:rFonts w:ascii="Arial" w:hAnsi="Arial" w:hint="cs"/>
          <w:sz w:val="27"/>
          <w:rtl/>
          <w:lang w:bidi="ar-MA"/>
        </w:rPr>
        <w:t>من خلال إظهار الأصول المعتمدة</w:t>
      </w:r>
      <w:r w:rsidR="002243DF" w:rsidRPr="006571AC">
        <w:rPr>
          <w:rFonts w:ascii="Arial" w:hAnsi="Arial" w:hint="cs"/>
          <w:sz w:val="27"/>
          <w:rtl/>
          <w:lang w:bidi="ar-MA"/>
        </w:rPr>
        <w:t>،</w:t>
      </w:r>
      <w:r w:rsidRPr="006571AC">
        <w:rPr>
          <w:rFonts w:ascii="Arial" w:hAnsi="Arial" w:hint="cs"/>
          <w:sz w:val="27"/>
          <w:rtl/>
          <w:lang w:bidi="ar-MA"/>
        </w:rPr>
        <w:t xml:space="preserve"> ووضع الشروط والضوابط </w:t>
      </w:r>
      <w:r w:rsidRPr="006571AC">
        <w:rPr>
          <w:rFonts w:ascii="Arial" w:hAnsi="Arial" w:hint="cs"/>
          <w:sz w:val="27"/>
          <w:rtl/>
          <w:lang w:bidi="ar-MA"/>
        </w:rPr>
        <w:lastRenderedPageBreak/>
        <w:t xml:space="preserve">المعينة </w:t>
      </w:r>
      <w:r w:rsidR="002243DF" w:rsidRPr="006571AC">
        <w:rPr>
          <w:rFonts w:ascii="Arial" w:hAnsi="Arial" w:hint="cs"/>
          <w:sz w:val="27"/>
          <w:rtl/>
          <w:lang w:bidi="ar-MA"/>
        </w:rPr>
        <w:t>والمساعد</w:t>
      </w:r>
      <w:r w:rsidRPr="006571AC">
        <w:rPr>
          <w:rFonts w:ascii="Arial" w:hAnsi="Arial" w:hint="cs"/>
          <w:sz w:val="27"/>
          <w:rtl/>
          <w:lang w:bidi="ar-MA"/>
        </w:rPr>
        <w:t>ة على التفسير</w:t>
      </w:r>
      <w:r w:rsidR="002243DF" w:rsidRPr="006571AC">
        <w:rPr>
          <w:rFonts w:ascii="Arial" w:hAnsi="Arial" w:hint="cs"/>
          <w:sz w:val="27"/>
          <w:rtl/>
          <w:lang w:bidi="ar-MA"/>
        </w:rPr>
        <w:t>.</w:t>
      </w:r>
    </w:p>
    <w:p w:rsidR="0043677F" w:rsidRPr="006571AC" w:rsidRDefault="0043677F" w:rsidP="004F6064">
      <w:pPr>
        <w:rPr>
          <w:rFonts w:ascii="Arial" w:hAnsi="Arial"/>
          <w:sz w:val="27"/>
          <w:rtl/>
          <w:lang w:bidi="ar-MA"/>
        </w:rPr>
      </w:pPr>
      <w:r w:rsidRPr="006571AC">
        <w:rPr>
          <w:rFonts w:ascii="Arial" w:hAnsi="Arial" w:hint="cs"/>
          <w:sz w:val="27"/>
          <w:rtl/>
          <w:lang w:bidi="ar-MA"/>
        </w:rPr>
        <w:t>وهو ما دفع بعلماء التفسير إلى الاعتناء والاهتمام بمنهج الفهم</w:t>
      </w:r>
      <w:r w:rsidR="002243DF" w:rsidRPr="006571AC">
        <w:rPr>
          <w:rFonts w:ascii="Arial" w:hAnsi="Arial" w:hint="cs"/>
          <w:sz w:val="27"/>
          <w:rtl/>
          <w:lang w:bidi="ar-MA"/>
        </w:rPr>
        <w:t>،</w:t>
      </w:r>
      <w:r w:rsidRPr="006571AC">
        <w:rPr>
          <w:rFonts w:ascii="Arial" w:hAnsi="Arial" w:hint="cs"/>
          <w:sz w:val="27"/>
          <w:rtl/>
          <w:lang w:bidi="ar-MA"/>
        </w:rPr>
        <w:t xml:space="preserve"> وبمسالك البيان والاستمداد</w:t>
      </w:r>
      <w:r w:rsidR="002243DF" w:rsidRPr="006571AC">
        <w:rPr>
          <w:rFonts w:ascii="Arial" w:hAnsi="Arial" w:hint="cs"/>
          <w:sz w:val="27"/>
          <w:rtl/>
          <w:lang w:bidi="ar-MA"/>
        </w:rPr>
        <w:t xml:space="preserve">، </w:t>
      </w:r>
      <w:r w:rsidRPr="006571AC">
        <w:rPr>
          <w:rFonts w:ascii="Arial" w:hAnsi="Arial" w:hint="cs"/>
          <w:sz w:val="27"/>
          <w:rtl/>
          <w:lang w:bidi="ar-MA"/>
        </w:rPr>
        <w:t>بحيث نتج عن هذا التعامل المباشر مع النص</w:t>
      </w:r>
      <w:r w:rsidR="002243DF" w:rsidRPr="006571AC">
        <w:rPr>
          <w:rFonts w:ascii="Arial" w:hAnsi="Arial" w:hint="cs"/>
          <w:sz w:val="27"/>
          <w:rtl/>
          <w:lang w:bidi="ar-MA"/>
        </w:rPr>
        <w:t>ّ</w:t>
      </w:r>
      <w:r w:rsidRPr="006571AC">
        <w:rPr>
          <w:rFonts w:ascii="Arial" w:hAnsi="Arial" w:hint="cs"/>
          <w:sz w:val="27"/>
          <w:rtl/>
          <w:lang w:bidi="ar-MA"/>
        </w:rPr>
        <w:t xml:space="preserve"> الشرعي أن قام</w:t>
      </w:r>
      <w:r w:rsidR="002243DF" w:rsidRPr="006571AC">
        <w:rPr>
          <w:rFonts w:ascii="Arial" w:hAnsi="Arial" w:hint="cs"/>
          <w:sz w:val="27"/>
          <w:rtl/>
          <w:lang w:bidi="ar-MA"/>
        </w:rPr>
        <w:t>َ</w:t>
      </w:r>
      <w:r w:rsidRPr="006571AC">
        <w:rPr>
          <w:rFonts w:ascii="Arial" w:hAnsi="Arial" w:hint="cs"/>
          <w:sz w:val="27"/>
          <w:rtl/>
          <w:lang w:bidi="ar-MA"/>
        </w:rPr>
        <w:t>ت</w:t>
      </w:r>
      <w:r w:rsidR="002243DF" w:rsidRPr="006571AC">
        <w:rPr>
          <w:rFonts w:ascii="Arial" w:hAnsi="Arial" w:hint="cs"/>
          <w:sz w:val="27"/>
          <w:rtl/>
          <w:lang w:bidi="ar-MA"/>
        </w:rPr>
        <w:t>ْ</w:t>
      </w:r>
      <w:r w:rsidRPr="006571AC">
        <w:rPr>
          <w:rFonts w:ascii="Arial" w:hAnsi="Arial" w:hint="cs"/>
          <w:sz w:val="27"/>
          <w:rtl/>
          <w:lang w:bidi="ar-MA"/>
        </w:rPr>
        <w:t xml:space="preserve"> شبكة متكاملة ومتداخلة من العلوم</w:t>
      </w:r>
      <w:r w:rsidR="002243DF" w:rsidRPr="006571AC">
        <w:rPr>
          <w:rFonts w:ascii="Arial" w:hAnsi="Arial" w:hint="cs"/>
          <w:sz w:val="27"/>
          <w:rtl/>
          <w:lang w:bidi="ar-MA"/>
        </w:rPr>
        <w:t>،</w:t>
      </w:r>
      <w:r w:rsidRPr="006571AC">
        <w:rPr>
          <w:rFonts w:ascii="Arial" w:hAnsi="Arial" w:hint="cs"/>
          <w:sz w:val="27"/>
          <w:rtl/>
          <w:lang w:bidi="ar-MA"/>
        </w:rPr>
        <w:t xml:space="preserve"> تتداخل فيه</w:t>
      </w:r>
      <w:r w:rsidR="002243DF" w:rsidRPr="006571AC">
        <w:rPr>
          <w:rFonts w:ascii="Arial" w:hAnsi="Arial" w:hint="cs"/>
          <w:sz w:val="27"/>
          <w:rtl/>
          <w:lang w:bidi="ar-MA"/>
        </w:rPr>
        <w:t>ا</w:t>
      </w:r>
      <w:r w:rsidRPr="006571AC">
        <w:rPr>
          <w:rFonts w:ascii="Arial" w:hAnsi="Arial" w:hint="cs"/>
          <w:sz w:val="27"/>
          <w:rtl/>
          <w:lang w:bidi="ar-MA"/>
        </w:rPr>
        <w:t xml:space="preserve"> العلوم اللغوية البيانية مع العلوم الشرعي</w:t>
      </w:r>
      <w:r w:rsidR="002243DF" w:rsidRPr="006571AC">
        <w:rPr>
          <w:rFonts w:ascii="Arial" w:hAnsi="Arial" w:hint="cs"/>
          <w:sz w:val="27"/>
          <w:rtl/>
          <w:lang w:bidi="ar-MA"/>
        </w:rPr>
        <w:t>ّ</w:t>
      </w:r>
      <w:r w:rsidRPr="006571AC">
        <w:rPr>
          <w:rFonts w:ascii="Arial" w:hAnsi="Arial" w:hint="cs"/>
          <w:sz w:val="27"/>
          <w:rtl/>
          <w:lang w:bidi="ar-MA"/>
        </w:rPr>
        <w:t>ة، والتي من أبرزها</w:t>
      </w:r>
      <w:r w:rsidR="002243DF" w:rsidRPr="006571AC">
        <w:rPr>
          <w:rFonts w:ascii="Arial" w:hAnsi="Arial" w:hint="cs"/>
          <w:sz w:val="27"/>
          <w:rtl/>
          <w:lang w:bidi="ar-MA"/>
        </w:rPr>
        <w:t>:</w:t>
      </w:r>
      <w:r w:rsidRPr="006571AC">
        <w:rPr>
          <w:rFonts w:ascii="Arial" w:hAnsi="Arial" w:hint="cs"/>
          <w:sz w:val="27"/>
          <w:rtl/>
          <w:lang w:bidi="ar-MA"/>
        </w:rPr>
        <w:t xml:space="preserve"> علم اللغة والمعجم</w:t>
      </w:r>
      <w:r w:rsidR="002243DF" w:rsidRPr="006571AC">
        <w:rPr>
          <w:rFonts w:ascii="Arial" w:hAnsi="Arial" w:hint="cs"/>
          <w:sz w:val="27"/>
          <w:rtl/>
          <w:lang w:bidi="ar-MA"/>
        </w:rPr>
        <w:t>،</w:t>
      </w:r>
      <w:r w:rsidRPr="006571AC">
        <w:rPr>
          <w:rFonts w:ascii="Arial" w:hAnsi="Arial" w:hint="cs"/>
          <w:sz w:val="27"/>
          <w:rtl/>
          <w:lang w:bidi="ar-MA"/>
        </w:rPr>
        <w:t xml:space="preserve"> وعلم الدلالة والتصريف، وعلم أصول الفقه</w:t>
      </w:r>
      <w:r w:rsidR="002243DF" w:rsidRPr="006571AC">
        <w:rPr>
          <w:rFonts w:ascii="Arial" w:hAnsi="Arial" w:hint="cs"/>
          <w:sz w:val="27"/>
          <w:rtl/>
          <w:lang w:bidi="ar-MA"/>
        </w:rPr>
        <w:t>،</w:t>
      </w:r>
      <w:r w:rsidRPr="006571AC">
        <w:rPr>
          <w:rFonts w:ascii="Arial" w:hAnsi="Arial" w:hint="cs"/>
          <w:sz w:val="27"/>
          <w:rtl/>
          <w:lang w:bidi="ar-MA"/>
        </w:rPr>
        <w:t xml:space="preserve"> وعلم أصول التفسير، وعلم القراءات</w:t>
      </w:r>
      <w:r w:rsidR="002243DF" w:rsidRPr="006571AC">
        <w:rPr>
          <w:rFonts w:ascii="Arial" w:hAnsi="Arial" w:hint="cs"/>
          <w:sz w:val="27"/>
          <w:rtl/>
          <w:lang w:bidi="ar-MA"/>
        </w:rPr>
        <w:t>؛</w:t>
      </w:r>
      <w:r w:rsidRPr="006571AC">
        <w:rPr>
          <w:rFonts w:ascii="Arial" w:hAnsi="Arial" w:hint="cs"/>
          <w:sz w:val="27"/>
          <w:rtl/>
          <w:lang w:bidi="ar-MA"/>
        </w:rPr>
        <w:t xml:space="preserve"> لتشرك هذه العلوم جميعا</w:t>
      </w:r>
      <w:r w:rsidR="002243DF" w:rsidRPr="006571AC">
        <w:rPr>
          <w:rFonts w:ascii="Arial" w:hAnsi="Arial" w:hint="cs"/>
          <w:sz w:val="27"/>
          <w:rtl/>
          <w:lang w:bidi="ar-MA"/>
        </w:rPr>
        <w:t>ً</w:t>
      </w:r>
      <w:r w:rsidRPr="006571AC">
        <w:rPr>
          <w:rFonts w:ascii="Arial" w:hAnsi="Arial" w:hint="cs"/>
          <w:sz w:val="27"/>
          <w:rtl/>
          <w:lang w:bidi="ar-MA"/>
        </w:rPr>
        <w:t xml:space="preserve"> في هدف</w:t>
      </w:r>
      <w:r w:rsidR="002243DF" w:rsidRPr="006571AC">
        <w:rPr>
          <w:rFonts w:ascii="Arial" w:hAnsi="Arial" w:hint="cs"/>
          <w:sz w:val="27"/>
          <w:rtl/>
          <w:lang w:bidi="ar-MA"/>
        </w:rPr>
        <w:t>ٍ</w:t>
      </w:r>
      <w:r w:rsidRPr="006571AC">
        <w:rPr>
          <w:rFonts w:ascii="Arial" w:hAnsi="Arial" w:hint="cs"/>
          <w:sz w:val="27"/>
          <w:rtl/>
          <w:lang w:bidi="ar-MA"/>
        </w:rPr>
        <w:t xml:space="preserve"> واحد جامع ومشترك، وهو استمداد وتلق</w:t>
      </w:r>
      <w:r w:rsidR="002243DF" w:rsidRPr="006571AC">
        <w:rPr>
          <w:rFonts w:ascii="Arial" w:hAnsi="Arial" w:hint="cs"/>
          <w:sz w:val="27"/>
          <w:rtl/>
          <w:lang w:bidi="ar-MA"/>
        </w:rPr>
        <w:t>ّ</w:t>
      </w:r>
      <w:r w:rsidRPr="006571AC">
        <w:rPr>
          <w:rFonts w:ascii="Arial" w:hAnsi="Arial" w:hint="cs"/>
          <w:sz w:val="27"/>
          <w:rtl/>
          <w:lang w:bidi="ar-MA"/>
        </w:rPr>
        <w:t>ي المعنى من النص</w:t>
      </w:r>
      <w:r w:rsidR="002243DF" w:rsidRPr="006571AC">
        <w:rPr>
          <w:rFonts w:ascii="Arial" w:hAnsi="Arial" w:hint="cs"/>
          <w:sz w:val="27"/>
          <w:rtl/>
          <w:lang w:bidi="ar-MA"/>
        </w:rPr>
        <w:t>ّ،</w:t>
      </w:r>
      <w:r w:rsidRPr="006571AC">
        <w:rPr>
          <w:rFonts w:ascii="Arial" w:hAnsi="Arial" w:hint="cs"/>
          <w:sz w:val="27"/>
          <w:rtl/>
          <w:lang w:bidi="ar-MA"/>
        </w:rPr>
        <w:t xml:space="preserve"> وتحصيل القصد المحمول في هذا النص</w:t>
      </w:r>
      <w:r w:rsidR="002243DF" w:rsidRPr="006571AC">
        <w:rPr>
          <w:rFonts w:ascii="Arial" w:hAnsi="Arial" w:hint="cs"/>
          <w:sz w:val="27"/>
          <w:rtl/>
          <w:lang w:bidi="ar-MA"/>
        </w:rPr>
        <w:t>ّ</w:t>
      </w:r>
      <w:r w:rsidRPr="006571AC">
        <w:rPr>
          <w:rFonts w:ascii="Arial" w:hAnsi="Arial"/>
          <w:sz w:val="27"/>
          <w:vertAlign w:val="superscript"/>
          <w:rtl/>
          <w:lang w:bidi="ar-MA"/>
        </w:rPr>
        <w:t>(</w:t>
      </w:r>
      <w:r w:rsidRPr="006571AC">
        <w:rPr>
          <w:rStyle w:val="ac"/>
          <w:sz w:val="27"/>
          <w:rtl/>
          <w:lang w:bidi="ar-MA"/>
        </w:rPr>
        <w:endnoteReference w:id="747"/>
      </w:r>
      <w:r w:rsidRPr="006571AC">
        <w:rPr>
          <w:rFonts w:ascii="Arial" w:hAnsi="Arial"/>
          <w:sz w:val="27"/>
          <w:vertAlign w:val="superscript"/>
          <w:rtl/>
          <w:lang w:bidi="ar-MA"/>
        </w:rPr>
        <w:t>)</w:t>
      </w:r>
      <w:r w:rsidR="002243DF" w:rsidRPr="006571AC">
        <w:rPr>
          <w:rFonts w:ascii="Arial" w:hAnsi="Arial" w:hint="cs"/>
          <w:sz w:val="27"/>
          <w:rtl/>
          <w:lang w:bidi="ar-MA"/>
        </w:rPr>
        <w:t xml:space="preserve">؛ </w:t>
      </w:r>
      <w:r w:rsidRPr="006571AC">
        <w:rPr>
          <w:rFonts w:ascii="Arial" w:hAnsi="Arial" w:hint="cs"/>
          <w:sz w:val="27"/>
          <w:rtl/>
          <w:lang w:bidi="ar-MA"/>
        </w:rPr>
        <w:t xml:space="preserve">إذ </w:t>
      </w:r>
      <w:r w:rsidR="002243DF" w:rsidRPr="006571AC">
        <w:rPr>
          <w:rFonts w:ascii="Arial" w:hAnsi="Arial" w:hint="cs"/>
          <w:sz w:val="27"/>
          <w:rtl/>
          <w:lang w:bidi="ar-MA"/>
        </w:rPr>
        <w:t>اق</w:t>
      </w:r>
      <w:r w:rsidRPr="006571AC">
        <w:rPr>
          <w:rFonts w:ascii="Arial" w:hAnsi="Arial" w:hint="cs"/>
          <w:sz w:val="27"/>
          <w:rtl/>
          <w:lang w:bidi="ar-MA"/>
        </w:rPr>
        <w:t xml:space="preserve">ترن بهذا العلم </w:t>
      </w:r>
      <w:r w:rsidR="002243DF" w:rsidRPr="006571AC">
        <w:rPr>
          <w:rFonts w:hint="eastAsia"/>
          <w:sz w:val="24"/>
          <w:szCs w:val="24"/>
          <w:rtl/>
        </w:rPr>
        <w:t>«</w:t>
      </w:r>
      <w:r w:rsidRPr="006571AC">
        <w:rPr>
          <w:rFonts w:ascii="Arial" w:hAnsi="Arial" w:hint="cs"/>
          <w:sz w:val="27"/>
          <w:rtl/>
          <w:lang w:bidi="ar-MA"/>
        </w:rPr>
        <w:t>علم الفقه</w:t>
      </w:r>
      <w:r w:rsidR="002243DF" w:rsidRPr="006571AC">
        <w:rPr>
          <w:rFonts w:hint="eastAsia"/>
          <w:sz w:val="24"/>
          <w:szCs w:val="24"/>
          <w:rtl/>
        </w:rPr>
        <w:t>»</w:t>
      </w:r>
      <w:r w:rsidRPr="006571AC">
        <w:rPr>
          <w:rFonts w:ascii="Arial" w:hAnsi="Arial" w:hint="cs"/>
          <w:sz w:val="27"/>
          <w:rtl/>
          <w:lang w:bidi="ar-MA"/>
        </w:rPr>
        <w:t xml:space="preserve"> علم</w:t>
      </w:r>
      <w:r w:rsidR="002243DF" w:rsidRPr="006571AC">
        <w:rPr>
          <w:rFonts w:ascii="Arial" w:hAnsi="Arial" w:hint="cs"/>
          <w:sz w:val="27"/>
          <w:rtl/>
          <w:lang w:bidi="ar-MA"/>
        </w:rPr>
        <w:t>ٌ</w:t>
      </w:r>
      <w:r w:rsidRPr="006571AC">
        <w:rPr>
          <w:rFonts w:ascii="Arial" w:hAnsi="Arial" w:hint="cs"/>
          <w:sz w:val="27"/>
          <w:rtl/>
          <w:lang w:bidi="ar-MA"/>
        </w:rPr>
        <w:t xml:space="preserve"> منهجي</w:t>
      </w:r>
      <w:r w:rsidR="002243DF" w:rsidRPr="006571AC">
        <w:rPr>
          <w:rFonts w:ascii="Arial" w:hAnsi="Arial" w:hint="cs"/>
          <w:sz w:val="27"/>
          <w:rtl/>
          <w:lang w:bidi="ar-MA"/>
        </w:rPr>
        <w:t>ّ</w:t>
      </w:r>
      <w:r w:rsidRPr="006571AC">
        <w:rPr>
          <w:rFonts w:ascii="Arial" w:hAnsi="Arial" w:hint="cs"/>
          <w:sz w:val="27"/>
          <w:rtl/>
          <w:lang w:bidi="ar-MA"/>
        </w:rPr>
        <w:t xml:space="preserve"> وهو </w:t>
      </w:r>
      <w:r w:rsidR="00F53AE9" w:rsidRPr="006571AC">
        <w:rPr>
          <w:rFonts w:hint="eastAsia"/>
          <w:sz w:val="24"/>
          <w:szCs w:val="24"/>
          <w:rtl/>
        </w:rPr>
        <w:t>«</w:t>
      </w:r>
      <w:r w:rsidRPr="006571AC">
        <w:rPr>
          <w:rFonts w:ascii="Arial" w:hAnsi="Arial" w:hint="cs"/>
          <w:sz w:val="27"/>
          <w:rtl/>
          <w:lang w:bidi="ar-MA"/>
        </w:rPr>
        <w:t>علم أصول الفقه</w:t>
      </w:r>
      <w:r w:rsidR="00F53AE9" w:rsidRPr="006571AC">
        <w:rPr>
          <w:rFonts w:hint="eastAsia"/>
          <w:sz w:val="24"/>
          <w:szCs w:val="24"/>
          <w:rtl/>
        </w:rPr>
        <w:t>»</w:t>
      </w:r>
      <w:r w:rsidR="00F53AE9" w:rsidRPr="006571AC">
        <w:rPr>
          <w:rFonts w:ascii="Arial" w:hAnsi="Arial" w:hint="cs"/>
          <w:sz w:val="27"/>
          <w:rtl/>
          <w:lang w:bidi="ar-MA"/>
        </w:rPr>
        <w:t>.</w:t>
      </w:r>
      <w:r w:rsidRPr="006571AC">
        <w:rPr>
          <w:rFonts w:ascii="Arial" w:hAnsi="Arial" w:hint="cs"/>
          <w:sz w:val="27"/>
          <w:rtl/>
          <w:lang w:bidi="ar-MA"/>
        </w:rPr>
        <w:t xml:space="preserve"> والحق</w:t>
      </w:r>
      <w:r w:rsidR="00F53AE9" w:rsidRPr="006571AC">
        <w:rPr>
          <w:rFonts w:ascii="Arial" w:hAnsi="Arial" w:hint="cs"/>
          <w:sz w:val="27"/>
          <w:rtl/>
          <w:lang w:bidi="ar-MA"/>
        </w:rPr>
        <w:t>ّ</w:t>
      </w:r>
      <w:r w:rsidRPr="006571AC">
        <w:rPr>
          <w:rFonts w:ascii="Arial" w:hAnsi="Arial" w:hint="cs"/>
          <w:sz w:val="27"/>
          <w:rtl/>
          <w:lang w:bidi="ar-MA"/>
        </w:rPr>
        <w:t xml:space="preserve"> أن أصالة الفقه الإسلامي</w:t>
      </w:r>
      <w:r w:rsidR="00F53AE9" w:rsidRPr="006571AC">
        <w:rPr>
          <w:rFonts w:ascii="Arial" w:hAnsi="Arial" w:hint="cs"/>
          <w:sz w:val="27"/>
          <w:rtl/>
          <w:lang w:bidi="ar-MA"/>
        </w:rPr>
        <w:t>،</w:t>
      </w:r>
      <w:r w:rsidRPr="006571AC">
        <w:rPr>
          <w:rFonts w:ascii="Arial" w:hAnsi="Arial" w:hint="cs"/>
          <w:sz w:val="27"/>
          <w:rtl/>
          <w:lang w:bidi="ar-MA"/>
        </w:rPr>
        <w:t xml:space="preserve"> وخصوصية العقل العربي</w:t>
      </w:r>
      <w:r w:rsidR="00F53AE9" w:rsidRPr="006571AC">
        <w:rPr>
          <w:rFonts w:ascii="Arial" w:hAnsi="Arial" w:hint="cs"/>
          <w:sz w:val="27"/>
          <w:rtl/>
          <w:lang w:bidi="ar-MA"/>
        </w:rPr>
        <w:t>،</w:t>
      </w:r>
      <w:r w:rsidRPr="006571AC">
        <w:rPr>
          <w:rFonts w:ascii="Arial" w:hAnsi="Arial" w:hint="cs"/>
          <w:sz w:val="27"/>
          <w:rtl/>
          <w:lang w:bidi="ar-MA"/>
        </w:rPr>
        <w:t xml:space="preserve"> إنما ترجع إلى هذا العلم المنهجي الذي لا نجد له نظيرا</w:t>
      </w:r>
      <w:r w:rsidR="00F53AE9" w:rsidRPr="006571AC">
        <w:rPr>
          <w:rFonts w:ascii="Arial" w:hAnsi="Arial" w:hint="cs"/>
          <w:sz w:val="27"/>
          <w:rtl/>
          <w:lang w:bidi="ar-MA"/>
        </w:rPr>
        <w:t>ً</w:t>
      </w:r>
      <w:r w:rsidRPr="006571AC">
        <w:rPr>
          <w:rFonts w:ascii="Arial" w:hAnsi="Arial" w:hint="cs"/>
          <w:sz w:val="27"/>
          <w:rtl/>
          <w:lang w:bidi="ar-MA"/>
        </w:rPr>
        <w:t xml:space="preserve"> ولا مثيلا</w:t>
      </w:r>
      <w:r w:rsidR="00F53AE9" w:rsidRPr="006571AC">
        <w:rPr>
          <w:rFonts w:ascii="Arial" w:hAnsi="Arial" w:hint="cs"/>
          <w:sz w:val="27"/>
          <w:rtl/>
          <w:lang w:bidi="ar-MA"/>
        </w:rPr>
        <w:t>ً</w:t>
      </w:r>
      <w:r w:rsidRPr="006571AC">
        <w:rPr>
          <w:rFonts w:ascii="Arial" w:hAnsi="Arial" w:hint="cs"/>
          <w:sz w:val="27"/>
          <w:rtl/>
          <w:lang w:bidi="ar-MA"/>
        </w:rPr>
        <w:t xml:space="preserve"> ولا شبيها</w:t>
      </w:r>
      <w:r w:rsidR="00F53AE9" w:rsidRPr="006571AC">
        <w:rPr>
          <w:rFonts w:ascii="Arial" w:hAnsi="Arial" w:hint="cs"/>
          <w:sz w:val="27"/>
          <w:rtl/>
          <w:lang w:bidi="ar-MA"/>
        </w:rPr>
        <w:t>ً</w:t>
      </w:r>
      <w:r w:rsidRPr="006571AC">
        <w:rPr>
          <w:rFonts w:ascii="Arial" w:hAnsi="Arial" w:hint="cs"/>
          <w:sz w:val="27"/>
          <w:rtl/>
          <w:lang w:bidi="ar-MA"/>
        </w:rPr>
        <w:t xml:space="preserve"> في الثقافات والحضارات الأخرى، وهو الاعتبار الذي جعل الدكتور محمد حميد الله يقول</w:t>
      </w:r>
      <w:r w:rsidR="00F53AE9" w:rsidRPr="006571AC">
        <w:rPr>
          <w:rFonts w:ascii="Arial" w:hAnsi="Arial" w:hint="cs"/>
          <w:sz w:val="27"/>
          <w:rtl/>
          <w:lang w:bidi="ar-MA"/>
        </w:rPr>
        <w:t>:</w:t>
      </w:r>
      <w:r w:rsidRPr="006571AC">
        <w:rPr>
          <w:rFonts w:ascii="Arial" w:hAnsi="Arial" w:hint="cs"/>
          <w:sz w:val="27"/>
          <w:rtl/>
          <w:lang w:bidi="ar-MA"/>
        </w:rPr>
        <w:t xml:space="preserve"> إن </w:t>
      </w:r>
      <w:r w:rsidR="00F53AE9" w:rsidRPr="006571AC">
        <w:rPr>
          <w:rFonts w:hint="eastAsia"/>
          <w:sz w:val="24"/>
          <w:szCs w:val="24"/>
          <w:rtl/>
        </w:rPr>
        <w:t>«</w:t>
      </w:r>
      <w:r w:rsidRPr="006571AC">
        <w:rPr>
          <w:rFonts w:ascii="Arial" w:hAnsi="Arial" w:hint="cs"/>
          <w:sz w:val="27"/>
          <w:rtl/>
          <w:lang w:bidi="ar-MA"/>
        </w:rPr>
        <w:t>علم أصول الفقه هو أول محاولة</w:t>
      </w:r>
      <w:r w:rsidR="00F53AE9" w:rsidRPr="006571AC">
        <w:rPr>
          <w:rFonts w:ascii="Arial" w:hAnsi="Arial" w:hint="cs"/>
          <w:sz w:val="27"/>
          <w:rtl/>
          <w:lang w:bidi="ar-MA"/>
        </w:rPr>
        <w:t>ٍ</w:t>
      </w:r>
      <w:r w:rsidRPr="006571AC">
        <w:rPr>
          <w:rFonts w:ascii="Arial" w:hAnsi="Arial" w:hint="cs"/>
          <w:sz w:val="27"/>
          <w:rtl/>
          <w:lang w:bidi="ar-MA"/>
        </w:rPr>
        <w:t xml:space="preserve"> في العالم استهدف</w:t>
      </w:r>
      <w:r w:rsidR="00F53AE9" w:rsidRPr="006571AC">
        <w:rPr>
          <w:rFonts w:ascii="Arial" w:hAnsi="Arial" w:hint="cs"/>
          <w:sz w:val="27"/>
          <w:rtl/>
          <w:lang w:bidi="ar-MA"/>
        </w:rPr>
        <w:t>َ</w:t>
      </w:r>
      <w:r w:rsidRPr="006571AC">
        <w:rPr>
          <w:rFonts w:ascii="Arial" w:hAnsi="Arial" w:hint="cs"/>
          <w:sz w:val="27"/>
          <w:rtl/>
          <w:lang w:bidi="ar-MA"/>
        </w:rPr>
        <w:t>ت</w:t>
      </w:r>
      <w:r w:rsidR="00F53AE9" w:rsidRPr="006571AC">
        <w:rPr>
          <w:rFonts w:ascii="Arial" w:hAnsi="Arial" w:hint="cs"/>
          <w:sz w:val="27"/>
          <w:rtl/>
          <w:lang w:bidi="ar-MA"/>
        </w:rPr>
        <w:t>ْ</w:t>
      </w:r>
      <w:r w:rsidRPr="006571AC">
        <w:rPr>
          <w:rFonts w:ascii="Arial" w:hAnsi="Arial" w:hint="cs"/>
          <w:sz w:val="27"/>
          <w:rtl/>
          <w:lang w:bidi="ar-MA"/>
        </w:rPr>
        <w:t xml:space="preserve"> إنشاء علم</w:t>
      </w:r>
      <w:r w:rsidR="00F53AE9" w:rsidRPr="006571AC">
        <w:rPr>
          <w:rFonts w:ascii="Arial" w:hAnsi="Arial" w:hint="cs"/>
          <w:sz w:val="27"/>
          <w:rtl/>
          <w:lang w:bidi="ar-MA"/>
        </w:rPr>
        <w:t>ٍ</w:t>
      </w:r>
      <w:r w:rsidRPr="006571AC">
        <w:rPr>
          <w:rFonts w:ascii="Arial" w:hAnsi="Arial" w:hint="cs"/>
          <w:sz w:val="27"/>
          <w:rtl/>
          <w:lang w:bidi="ar-MA"/>
        </w:rPr>
        <w:t xml:space="preserve"> يفس</w:t>
      </w:r>
      <w:r w:rsidR="00F53AE9" w:rsidRPr="006571AC">
        <w:rPr>
          <w:rFonts w:ascii="Arial" w:hAnsi="Arial" w:hint="cs"/>
          <w:sz w:val="27"/>
          <w:rtl/>
          <w:lang w:bidi="ar-MA"/>
        </w:rPr>
        <w:t>ِّ</w:t>
      </w:r>
      <w:r w:rsidRPr="006571AC">
        <w:rPr>
          <w:rFonts w:ascii="Arial" w:hAnsi="Arial" w:hint="cs"/>
          <w:sz w:val="27"/>
          <w:rtl/>
          <w:lang w:bidi="ar-MA"/>
        </w:rPr>
        <w:t>ر القانون ونصوص القوانين التفصيلية، وهو علم</w:t>
      </w:r>
      <w:r w:rsidR="00F53AE9" w:rsidRPr="006571AC">
        <w:rPr>
          <w:rFonts w:ascii="Arial" w:hAnsi="Arial" w:hint="cs"/>
          <w:sz w:val="27"/>
          <w:rtl/>
          <w:lang w:bidi="ar-MA"/>
        </w:rPr>
        <w:t>ٌ</w:t>
      </w:r>
      <w:r w:rsidRPr="006571AC">
        <w:rPr>
          <w:rFonts w:ascii="Arial" w:hAnsi="Arial" w:hint="cs"/>
          <w:sz w:val="27"/>
          <w:rtl/>
          <w:lang w:bidi="ar-MA"/>
        </w:rPr>
        <w:t xml:space="preserve"> ات</w:t>
      </w:r>
      <w:r w:rsidR="00F53AE9" w:rsidRPr="006571AC">
        <w:rPr>
          <w:rFonts w:ascii="Arial" w:hAnsi="Arial" w:hint="cs"/>
          <w:sz w:val="27"/>
          <w:rtl/>
          <w:lang w:bidi="ar-MA"/>
        </w:rPr>
        <w:t>َّ</w:t>
      </w:r>
      <w:r w:rsidRPr="006571AC">
        <w:rPr>
          <w:rFonts w:ascii="Arial" w:hAnsi="Arial" w:hint="cs"/>
          <w:sz w:val="27"/>
          <w:rtl/>
          <w:lang w:bidi="ar-MA"/>
        </w:rPr>
        <w:t>جه إلى تفه</w:t>
      </w:r>
      <w:r w:rsidR="00F53AE9" w:rsidRPr="006571AC">
        <w:rPr>
          <w:rFonts w:ascii="Arial" w:hAnsi="Arial" w:hint="cs"/>
          <w:sz w:val="27"/>
          <w:rtl/>
          <w:lang w:bidi="ar-MA"/>
        </w:rPr>
        <w:t>ُّ</w:t>
      </w:r>
      <w:r w:rsidRPr="006571AC">
        <w:rPr>
          <w:rFonts w:ascii="Arial" w:hAnsi="Arial" w:hint="cs"/>
          <w:sz w:val="27"/>
          <w:rtl/>
          <w:lang w:bidi="ar-MA"/>
        </w:rPr>
        <w:t>م وبيان الحمولة التشريعية في النصوص القانونية الشرعية</w:t>
      </w:r>
      <w:r w:rsidR="00F53AE9" w:rsidRPr="006571AC">
        <w:rPr>
          <w:rFonts w:hint="eastAsia"/>
          <w:sz w:val="24"/>
          <w:szCs w:val="24"/>
          <w:rtl/>
        </w:rPr>
        <w:t>»</w:t>
      </w:r>
      <w:r w:rsidRPr="006571AC">
        <w:rPr>
          <w:rFonts w:ascii="Arial" w:hAnsi="Arial"/>
          <w:sz w:val="27"/>
          <w:vertAlign w:val="superscript"/>
          <w:rtl/>
          <w:lang w:bidi="ar-MA"/>
        </w:rPr>
        <w:t>(</w:t>
      </w:r>
      <w:r w:rsidRPr="006571AC">
        <w:rPr>
          <w:rStyle w:val="ac"/>
          <w:sz w:val="27"/>
          <w:rtl/>
          <w:lang w:bidi="ar-MA"/>
        </w:rPr>
        <w:endnoteReference w:id="748"/>
      </w:r>
      <w:r w:rsidRPr="006571AC">
        <w:rPr>
          <w:rFonts w:ascii="Arial" w:hAnsi="Arial"/>
          <w:sz w:val="27"/>
          <w:vertAlign w:val="superscript"/>
          <w:rtl/>
          <w:lang w:bidi="ar-MA"/>
        </w:rPr>
        <w:t>)</w:t>
      </w:r>
      <w:r w:rsidRPr="006571AC">
        <w:rPr>
          <w:rFonts w:ascii="Arial" w:hAnsi="Arial" w:hint="cs"/>
          <w:sz w:val="27"/>
          <w:rtl/>
          <w:lang w:bidi="ar-MA"/>
        </w:rPr>
        <w:t xml:space="preserve">. </w:t>
      </w:r>
    </w:p>
    <w:p w:rsidR="0043677F" w:rsidRPr="006571AC" w:rsidRDefault="0043677F" w:rsidP="004F6064">
      <w:pPr>
        <w:rPr>
          <w:rFonts w:ascii="Lotus Linotype" w:hAnsi="Lotus Linotype"/>
          <w:sz w:val="27"/>
          <w:rtl/>
          <w:lang w:bidi="ar-MA"/>
        </w:rPr>
      </w:pPr>
      <w:r w:rsidRPr="006571AC">
        <w:rPr>
          <w:rFonts w:ascii="Arial" w:hAnsi="Arial" w:hint="cs"/>
          <w:sz w:val="27"/>
          <w:rtl/>
          <w:lang w:bidi="ar-MA"/>
        </w:rPr>
        <w:t xml:space="preserve">وبلغة الدكتور طه عبد الرحمان </w:t>
      </w:r>
      <w:r w:rsidRPr="006571AC">
        <w:rPr>
          <w:rFonts w:ascii="Lotus Linotype" w:hAnsi="Lotus Linotype"/>
          <w:sz w:val="27"/>
          <w:rtl/>
          <w:lang w:bidi="ar-MA"/>
        </w:rPr>
        <w:t xml:space="preserve">عندما قال: </w:t>
      </w:r>
      <w:r w:rsidR="00F53AE9" w:rsidRPr="006571AC">
        <w:rPr>
          <w:rFonts w:hint="eastAsia"/>
          <w:sz w:val="24"/>
          <w:szCs w:val="24"/>
          <w:rtl/>
        </w:rPr>
        <w:t>«</w:t>
      </w:r>
      <w:r w:rsidRPr="006571AC">
        <w:rPr>
          <w:rFonts w:ascii="Lotus Linotype" w:hAnsi="Lotus Linotype"/>
          <w:sz w:val="27"/>
          <w:rtl/>
          <w:lang w:bidi="ar-MA"/>
        </w:rPr>
        <w:t>إن علم أصول الفقه ي</w:t>
      </w:r>
      <w:r w:rsidR="00F53AE9" w:rsidRPr="006571AC">
        <w:rPr>
          <w:rFonts w:ascii="Lotus Linotype" w:hAnsi="Lotus Linotype" w:hint="cs"/>
          <w:sz w:val="27"/>
          <w:rtl/>
          <w:lang w:bidi="ar-MA"/>
        </w:rPr>
        <w:t>ُ</w:t>
      </w:r>
      <w:r w:rsidRPr="006571AC">
        <w:rPr>
          <w:rFonts w:ascii="Lotus Linotype" w:hAnsi="Lotus Linotype"/>
          <w:sz w:val="27"/>
          <w:rtl/>
          <w:lang w:bidi="ar-MA"/>
        </w:rPr>
        <w:t>ع</w:t>
      </w:r>
      <w:r w:rsidR="00F53AE9" w:rsidRPr="006571AC">
        <w:rPr>
          <w:rFonts w:ascii="Lotus Linotype" w:hAnsi="Lotus Linotype" w:hint="cs"/>
          <w:sz w:val="27"/>
          <w:rtl/>
          <w:lang w:bidi="ar-MA"/>
        </w:rPr>
        <w:t>َ</w:t>
      </w:r>
      <w:r w:rsidRPr="006571AC">
        <w:rPr>
          <w:rFonts w:ascii="Lotus Linotype" w:hAnsi="Lotus Linotype"/>
          <w:sz w:val="27"/>
          <w:rtl/>
          <w:lang w:bidi="ar-MA"/>
        </w:rPr>
        <w:t>د</w:t>
      </w:r>
      <w:r w:rsidR="00F53AE9" w:rsidRPr="006571AC">
        <w:rPr>
          <w:rFonts w:ascii="Lotus Linotype" w:hAnsi="Lotus Linotype" w:hint="cs"/>
          <w:sz w:val="27"/>
          <w:rtl/>
          <w:lang w:bidi="ar-MA"/>
        </w:rPr>
        <w:t>ّ</w:t>
      </w:r>
      <w:r w:rsidRPr="006571AC">
        <w:rPr>
          <w:rFonts w:ascii="Lotus Linotype" w:hAnsi="Lotus Linotype"/>
          <w:sz w:val="27"/>
          <w:rtl/>
          <w:lang w:bidi="ar-MA"/>
        </w:rPr>
        <w:t xml:space="preserve"> بحق</w:t>
      </w:r>
      <w:r w:rsidR="00F53AE9" w:rsidRPr="006571AC">
        <w:rPr>
          <w:rFonts w:ascii="Lotus Linotype" w:hAnsi="Lotus Linotype" w:hint="cs"/>
          <w:sz w:val="27"/>
          <w:rtl/>
          <w:lang w:bidi="ar-MA"/>
        </w:rPr>
        <w:t>ٍّ</w:t>
      </w:r>
      <w:r w:rsidRPr="006571AC">
        <w:rPr>
          <w:rFonts w:ascii="Lotus Linotype" w:hAnsi="Lotus Linotype"/>
          <w:sz w:val="27"/>
          <w:rtl/>
          <w:lang w:bidi="ar-MA"/>
        </w:rPr>
        <w:t xml:space="preserve"> أعظم علم</w:t>
      </w:r>
      <w:r w:rsidR="00F53AE9" w:rsidRPr="006571AC">
        <w:rPr>
          <w:rFonts w:ascii="Lotus Linotype" w:hAnsi="Lotus Linotype" w:hint="cs"/>
          <w:sz w:val="27"/>
          <w:rtl/>
          <w:lang w:bidi="ar-MA"/>
        </w:rPr>
        <w:t>ٍ</w:t>
      </w:r>
      <w:r w:rsidRPr="006571AC">
        <w:rPr>
          <w:rFonts w:ascii="Lotus Linotype" w:hAnsi="Lotus Linotype"/>
          <w:sz w:val="27"/>
          <w:rtl/>
          <w:lang w:bidi="ar-MA"/>
        </w:rPr>
        <w:t xml:space="preserve"> أنشأته الحضارة الإسلامية إنشاء</w:t>
      </w:r>
      <w:r w:rsidR="00F53AE9" w:rsidRPr="006571AC">
        <w:rPr>
          <w:rFonts w:ascii="Lotus Linotype" w:hAnsi="Lotus Linotype" w:hint="cs"/>
          <w:sz w:val="27"/>
          <w:rtl/>
          <w:lang w:bidi="ar-MA"/>
        </w:rPr>
        <w:t>ً</w:t>
      </w:r>
      <w:r w:rsidRPr="006571AC">
        <w:rPr>
          <w:rFonts w:ascii="Lotus Linotype" w:hAnsi="Lotus Linotype"/>
          <w:sz w:val="27"/>
          <w:rtl/>
          <w:lang w:bidi="ar-MA"/>
        </w:rPr>
        <w:t>...</w:t>
      </w:r>
      <w:r w:rsidR="00F53AE9" w:rsidRPr="006571AC">
        <w:rPr>
          <w:rFonts w:hint="eastAsia"/>
          <w:sz w:val="24"/>
          <w:szCs w:val="24"/>
          <w:rtl/>
        </w:rPr>
        <w:t>»</w:t>
      </w:r>
      <w:r w:rsidRPr="006571AC">
        <w:rPr>
          <w:rFonts w:ascii="Lotus Linotype" w:hAnsi="Lotus Linotype"/>
          <w:sz w:val="27"/>
          <w:vertAlign w:val="superscript"/>
          <w:rtl/>
          <w:lang w:bidi="ar-MA"/>
        </w:rPr>
        <w:t>(</w:t>
      </w:r>
      <w:r w:rsidRPr="006571AC">
        <w:rPr>
          <w:rStyle w:val="ac"/>
          <w:rFonts w:ascii="Lotus Linotype" w:hAnsi="Lotus Linotype"/>
          <w:sz w:val="27"/>
          <w:rtl/>
          <w:lang w:bidi="ar-MA"/>
        </w:rPr>
        <w:endnoteReference w:id="749"/>
      </w:r>
      <w:r w:rsidRPr="006571AC">
        <w:rPr>
          <w:rFonts w:ascii="Lotus Linotype" w:hAnsi="Lotus Linotype"/>
          <w:sz w:val="27"/>
          <w:vertAlign w:val="superscript"/>
          <w:rtl/>
          <w:lang w:bidi="ar-MA"/>
        </w:rPr>
        <w:t>)</w:t>
      </w:r>
      <w:r w:rsidRPr="006571AC">
        <w:rPr>
          <w:rFonts w:ascii="Lotus Linotype" w:hAnsi="Lotus Linotype"/>
          <w:sz w:val="27"/>
          <w:rtl/>
          <w:lang w:bidi="ar-MA"/>
        </w:rPr>
        <w:t xml:space="preserve">. </w:t>
      </w:r>
    </w:p>
    <w:p w:rsidR="0043677F" w:rsidRPr="006571AC" w:rsidRDefault="00F53AE9" w:rsidP="004F6064">
      <w:pPr>
        <w:rPr>
          <w:sz w:val="27"/>
          <w:rtl/>
          <w:lang w:bidi="ar-MA"/>
        </w:rPr>
      </w:pPr>
      <w:r w:rsidRPr="006571AC">
        <w:rPr>
          <w:rFonts w:ascii="Arial" w:hAnsi="Arial" w:hint="cs"/>
          <w:sz w:val="27"/>
          <w:rtl/>
          <w:lang w:bidi="ar-MA"/>
        </w:rPr>
        <w:t>و</w:t>
      </w:r>
      <w:r w:rsidR="0043677F" w:rsidRPr="006571AC">
        <w:rPr>
          <w:rFonts w:ascii="Arial" w:hAnsi="Arial" w:hint="cs"/>
          <w:sz w:val="27"/>
          <w:rtl/>
          <w:lang w:bidi="ar-MA"/>
        </w:rPr>
        <w:t>ب</w:t>
      </w:r>
      <w:r w:rsidRPr="006571AC">
        <w:rPr>
          <w:rFonts w:ascii="Arial" w:hAnsi="Arial" w:hint="cs"/>
          <w:sz w:val="27"/>
          <w:rtl/>
          <w:lang w:bidi="ar-MA"/>
        </w:rPr>
        <w:t>التوازي</w:t>
      </w:r>
      <w:r w:rsidR="0043677F" w:rsidRPr="006571AC">
        <w:rPr>
          <w:rFonts w:ascii="Arial" w:hAnsi="Arial" w:hint="cs"/>
          <w:sz w:val="27"/>
          <w:rtl/>
          <w:lang w:bidi="ar-MA"/>
        </w:rPr>
        <w:t xml:space="preserve"> مع هذا الاعتراف والإقرار بقو</w:t>
      </w:r>
      <w:r w:rsidRPr="006571AC">
        <w:rPr>
          <w:rFonts w:ascii="Arial" w:hAnsi="Arial" w:hint="cs"/>
          <w:sz w:val="27"/>
          <w:rtl/>
          <w:lang w:bidi="ar-MA"/>
        </w:rPr>
        <w:t>ّ</w:t>
      </w:r>
      <w:r w:rsidR="0043677F" w:rsidRPr="006571AC">
        <w:rPr>
          <w:rFonts w:ascii="Arial" w:hAnsi="Arial" w:hint="cs"/>
          <w:sz w:val="27"/>
          <w:rtl/>
          <w:lang w:bidi="ar-MA"/>
        </w:rPr>
        <w:t>ة علم الفقه ومركزي</w:t>
      </w:r>
      <w:r w:rsidRPr="006571AC">
        <w:rPr>
          <w:rFonts w:ascii="Arial" w:hAnsi="Arial" w:hint="cs"/>
          <w:sz w:val="27"/>
          <w:rtl/>
          <w:lang w:bidi="ar-MA"/>
        </w:rPr>
        <w:t>ّ</w:t>
      </w:r>
      <w:r w:rsidR="0043677F" w:rsidRPr="006571AC">
        <w:rPr>
          <w:rFonts w:ascii="Arial" w:hAnsi="Arial" w:hint="cs"/>
          <w:sz w:val="27"/>
          <w:rtl/>
          <w:lang w:bidi="ar-MA"/>
        </w:rPr>
        <w:t>ته في التراث العربي الإسلامي</w:t>
      </w:r>
      <w:r w:rsidR="0043677F" w:rsidRPr="006571AC">
        <w:rPr>
          <w:rFonts w:ascii="Lotus Linotype" w:hAnsi="Lotus Linotype"/>
          <w:sz w:val="27"/>
          <w:rtl/>
          <w:lang w:bidi="ar-MA"/>
        </w:rPr>
        <w:t>، ف</w:t>
      </w:r>
      <w:r w:rsidRPr="006571AC">
        <w:rPr>
          <w:rFonts w:ascii="Lotus Linotype" w:hAnsi="Lotus Linotype" w:hint="cs"/>
          <w:sz w:val="27"/>
          <w:rtl/>
          <w:lang w:bidi="ar-MA"/>
        </w:rPr>
        <w:t>إ</w:t>
      </w:r>
      <w:r w:rsidR="0043677F" w:rsidRPr="006571AC">
        <w:rPr>
          <w:rFonts w:ascii="Lotus Linotype" w:hAnsi="Lotus Linotype"/>
          <w:sz w:val="27"/>
          <w:rtl/>
          <w:lang w:bidi="ar-MA"/>
        </w:rPr>
        <w:t>ن المفك</w:t>
      </w:r>
      <w:r w:rsidRPr="006571AC">
        <w:rPr>
          <w:rFonts w:ascii="Lotus Linotype" w:hAnsi="Lotus Linotype" w:hint="cs"/>
          <w:sz w:val="27"/>
          <w:rtl/>
          <w:lang w:bidi="ar-MA"/>
        </w:rPr>
        <w:t>ِّ</w:t>
      </w:r>
      <w:r w:rsidR="0043677F" w:rsidRPr="006571AC">
        <w:rPr>
          <w:rFonts w:ascii="Lotus Linotype" w:hAnsi="Lotus Linotype"/>
          <w:sz w:val="27"/>
          <w:rtl/>
          <w:lang w:bidi="ar-MA"/>
        </w:rPr>
        <w:t xml:space="preserve">ر طه عبد الرحمان </w:t>
      </w:r>
      <w:r w:rsidR="0043677F" w:rsidRPr="006571AC">
        <w:rPr>
          <w:rFonts w:ascii="Lotus Linotype" w:hAnsi="Lotus Linotype" w:hint="cs"/>
          <w:sz w:val="27"/>
          <w:rtl/>
          <w:lang w:bidi="ar-MA"/>
        </w:rPr>
        <w:t>اختار أن يرد</w:t>
      </w:r>
      <w:r w:rsidRPr="006571AC">
        <w:rPr>
          <w:rFonts w:ascii="Lotus Linotype" w:hAnsi="Lotus Linotype" w:hint="cs"/>
          <w:sz w:val="27"/>
          <w:rtl/>
          <w:lang w:bidi="ar-MA"/>
        </w:rPr>
        <w:t>ّ</w:t>
      </w:r>
      <w:r w:rsidR="0043677F" w:rsidRPr="006571AC">
        <w:rPr>
          <w:sz w:val="27"/>
          <w:shd w:val="clear" w:color="auto" w:fill="FFFFFF"/>
          <w:rtl/>
        </w:rPr>
        <w:t xml:space="preserve"> بقو</w:t>
      </w:r>
      <w:r w:rsidRPr="006571AC">
        <w:rPr>
          <w:rFonts w:hint="cs"/>
          <w:sz w:val="27"/>
          <w:shd w:val="clear" w:color="auto" w:fill="FFFFFF"/>
          <w:rtl/>
        </w:rPr>
        <w:t>ّ</w:t>
      </w:r>
      <w:r w:rsidR="0043677F" w:rsidRPr="006571AC">
        <w:rPr>
          <w:sz w:val="27"/>
          <w:shd w:val="clear" w:color="auto" w:fill="FFFFFF"/>
          <w:rtl/>
        </w:rPr>
        <w:t>ة</w:t>
      </w:r>
      <w:r w:rsidRPr="006571AC">
        <w:rPr>
          <w:rFonts w:hint="cs"/>
          <w:sz w:val="27"/>
          <w:shd w:val="clear" w:color="auto" w:fill="FFFFFF"/>
          <w:rtl/>
        </w:rPr>
        <w:t>ٍ</w:t>
      </w:r>
      <w:r w:rsidR="0043677F" w:rsidRPr="006571AC">
        <w:rPr>
          <w:sz w:val="27"/>
          <w:shd w:val="clear" w:color="auto" w:fill="FFFFFF"/>
          <w:rtl/>
        </w:rPr>
        <w:t xml:space="preserve"> على م</w:t>
      </w:r>
      <w:r w:rsidRPr="006571AC">
        <w:rPr>
          <w:rFonts w:hint="cs"/>
          <w:sz w:val="27"/>
          <w:shd w:val="clear" w:color="auto" w:fill="FFFFFF"/>
          <w:rtl/>
        </w:rPr>
        <w:t>َ</w:t>
      </w:r>
      <w:r w:rsidR="0043677F" w:rsidRPr="006571AC">
        <w:rPr>
          <w:sz w:val="27"/>
          <w:shd w:val="clear" w:color="auto" w:fill="FFFFFF"/>
          <w:rtl/>
        </w:rPr>
        <w:t>ن</w:t>
      </w:r>
      <w:r w:rsidRPr="006571AC">
        <w:rPr>
          <w:rFonts w:hint="cs"/>
          <w:sz w:val="27"/>
          <w:shd w:val="clear" w:color="auto" w:fill="FFFFFF"/>
          <w:rtl/>
        </w:rPr>
        <w:t>ْ</w:t>
      </w:r>
      <w:r w:rsidR="0043677F" w:rsidRPr="006571AC">
        <w:rPr>
          <w:sz w:val="27"/>
          <w:shd w:val="clear" w:color="auto" w:fill="FFFFFF"/>
          <w:rtl/>
        </w:rPr>
        <w:t xml:space="preserve"> استصغر هذا العلم، أو قل</w:t>
      </w:r>
      <w:r w:rsidR="00C30262" w:rsidRPr="006571AC">
        <w:rPr>
          <w:rFonts w:hint="cs"/>
          <w:sz w:val="27"/>
          <w:shd w:val="clear" w:color="auto" w:fill="FFFFFF"/>
          <w:rtl/>
        </w:rPr>
        <w:t>َّ</w:t>
      </w:r>
      <w:r w:rsidR="0043677F" w:rsidRPr="006571AC">
        <w:rPr>
          <w:sz w:val="27"/>
          <w:shd w:val="clear" w:color="auto" w:fill="FFFFFF"/>
          <w:rtl/>
        </w:rPr>
        <w:t>ل من ش</w:t>
      </w:r>
      <w:r w:rsidR="00C30262" w:rsidRPr="006571AC">
        <w:rPr>
          <w:rFonts w:hint="cs"/>
          <w:sz w:val="27"/>
          <w:shd w:val="clear" w:color="auto" w:fill="FFFFFF"/>
          <w:rtl/>
        </w:rPr>
        <w:t>أ</w:t>
      </w:r>
      <w:r w:rsidR="0043677F" w:rsidRPr="006571AC">
        <w:rPr>
          <w:sz w:val="27"/>
          <w:shd w:val="clear" w:color="auto" w:fill="FFFFFF"/>
          <w:rtl/>
        </w:rPr>
        <w:t xml:space="preserve">نه أو من قيمته العلمية </w:t>
      </w:r>
      <w:r w:rsidR="0043677F" w:rsidRPr="006571AC">
        <w:rPr>
          <w:rFonts w:hint="cs"/>
          <w:sz w:val="27"/>
          <w:shd w:val="clear" w:color="auto" w:fill="FFFFFF"/>
          <w:rtl/>
        </w:rPr>
        <w:t>والمنهجية والتشريعية</w:t>
      </w:r>
      <w:r w:rsidR="00C30262" w:rsidRPr="006571AC">
        <w:rPr>
          <w:rFonts w:hint="cs"/>
          <w:sz w:val="27"/>
          <w:shd w:val="clear" w:color="auto" w:fill="FFFFFF"/>
          <w:rtl/>
        </w:rPr>
        <w:t>؛</w:t>
      </w:r>
      <w:r w:rsidR="0043677F" w:rsidRPr="006571AC">
        <w:rPr>
          <w:sz w:val="27"/>
          <w:shd w:val="clear" w:color="auto" w:fill="FFFFFF"/>
          <w:rtl/>
        </w:rPr>
        <w:t xml:space="preserve"> ل</w:t>
      </w:r>
      <w:r w:rsidR="00C30262" w:rsidRPr="006571AC">
        <w:rPr>
          <w:rFonts w:hint="cs"/>
          <w:sz w:val="27"/>
          <w:shd w:val="clear" w:color="auto" w:fill="FFFFFF"/>
          <w:rtl/>
        </w:rPr>
        <w:t>أ</w:t>
      </w:r>
      <w:r w:rsidR="0043677F" w:rsidRPr="006571AC">
        <w:rPr>
          <w:sz w:val="27"/>
          <w:shd w:val="clear" w:color="auto" w:fill="FFFFFF"/>
          <w:rtl/>
        </w:rPr>
        <w:t>ن القضايا والمباحث والإشكاليات الكبرى التي جاءت في هذا العلم يتعذ</w:t>
      </w:r>
      <w:r w:rsidR="00C30262" w:rsidRPr="006571AC">
        <w:rPr>
          <w:rFonts w:hint="cs"/>
          <w:sz w:val="27"/>
          <w:shd w:val="clear" w:color="auto" w:fill="FFFFFF"/>
          <w:rtl/>
        </w:rPr>
        <w:t>َّ</w:t>
      </w:r>
      <w:r w:rsidR="0043677F" w:rsidRPr="006571AC">
        <w:rPr>
          <w:sz w:val="27"/>
          <w:shd w:val="clear" w:color="auto" w:fill="FFFFFF"/>
          <w:rtl/>
        </w:rPr>
        <w:t>ر على الباحثين المعاصرين</w:t>
      </w:r>
      <w:r w:rsidR="0043677F" w:rsidRPr="006571AC">
        <w:rPr>
          <w:rFonts w:hint="cs"/>
          <w:sz w:val="27"/>
          <w:shd w:val="clear" w:color="auto" w:fill="FFFFFF"/>
          <w:rtl/>
        </w:rPr>
        <w:t xml:space="preserve"> </w:t>
      </w:r>
      <w:r w:rsidR="0043677F" w:rsidRPr="006571AC">
        <w:rPr>
          <w:sz w:val="27"/>
          <w:shd w:val="clear" w:color="auto" w:fill="FFFFFF"/>
          <w:rtl/>
        </w:rPr>
        <w:t>استحضارها</w:t>
      </w:r>
      <w:r w:rsidR="0043677F" w:rsidRPr="006571AC">
        <w:rPr>
          <w:rFonts w:hint="cs"/>
          <w:sz w:val="27"/>
          <w:shd w:val="clear" w:color="auto" w:fill="FFFFFF"/>
          <w:rtl/>
        </w:rPr>
        <w:t xml:space="preserve"> </w:t>
      </w:r>
      <w:r w:rsidR="0043677F" w:rsidRPr="006571AC">
        <w:rPr>
          <w:sz w:val="27"/>
          <w:shd w:val="clear" w:color="auto" w:fill="FFFFFF"/>
          <w:rtl/>
        </w:rPr>
        <w:t>اليوم</w:t>
      </w:r>
      <w:r w:rsidR="0043677F" w:rsidRPr="006571AC">
        <w:rPr>
          <w:rFonts w:hint="cs"/>
          <w:sz w:val="27"/>
          <w:shd w:val="clear" w:color="auto" w:fill="FFFFFF"/>
          <w:rtl/>
        </w:rPr>
        <w:t>.</w:t>
      </w:r>
      <w:r w:rsidR="0043677F" w:rsidRPr="006571AC">
        <w:rPr>
          <w:sz w:val="27"/>
          <w:rtl/>
          <w:lang w:bidi="ar-MA"/>
        </w:rPr>
        <w:t>..</w:t>
      </w:r>
      <w:r w:rsidR="0043677F" w:rsidRPr="006571AC">
        <w:rPr>
          <w:sz w:val="27"/>
          <w:vertAlign w:val="superscript"/>
          <w:rtl/>
          <w:lang w:bidi="ar-MA"/>
        </w:rPr>
        <w:t>(</w:t>
      </w:r>
      <w:r w:rsidR="0043677F" w:rsidRPr="006571AC">
        <w:rPr>
          <w:rStyle w:val="ac"/>
          <w:sz w:val="27"/>
          <w:rtl/>
          <w:lang w:bidi="ar-MA"/>
        </w:rPr>
        <w:endnoteReference w:id="750"/>
      </w:r>
      <w:r w:rsidR="0043677F" w:rsidRPr="006571AC">
        <w:rPr>
          <w:sz w:val="27"/>
          <w:vertAlign w:val="superscript"/>
          <w:rtl/>
          <w:lang w:bidi="ar-MA"/>
        </w:rPr>
        <w:t>)</w:t>
      </w:r>
      <w:r w:rsidR="00705B9D" w:rsidRPr="006571AC">
        <w:rPr>
          <w:rFonts w:hint="cs"/>
          <w:sz w:val="27"/>
          <w:rtl/>
          <w:lang w:bidi="ar-MA"/>
        </w:rPr>
        <w:t xml:space="preserve">، </w:t>
      </w:r>
      <w:r w:rsidR="0043677F" w:rsidRPr="006571AC">
        <w:rPr>
          <w:rFonts w:ascii="Arial" w:hAnsi="Arial" w:hint="cs"/>
          <w:sz w:val="27"/>
          <w:rtl/>
          <w:lang w:bidi="ar-MA"/>
        </w:rPr>
        <w:t xml:space="preserve">ما يعني </w:t>
      </w:r>
      <w:r w:rsidR="00C30262" w:rsidRPr="006571AC">
        <w:rPr>
          <w:rFonts w:ascii="Arial" w:hAnsi="Arial" w:hint="cs"/>
          <w:sz w:val="27"/>
          <w:rtl/>
          <w:lang w:bidi="ar-MA"/>
        </w:rPr>
        <w:t>أ</w:t>
      </w:r>
      <w:r w:rsidR="0043677F" w:rsidRPr="006571AC">
        <w:rPr>
          <w:rFonts w:ascii="Arial" w:hAnsi="Arial" w:hint="cs"/>
          <w:sz w:val="27"/>
          <w:rtl/>
          <w:lang w:bidi="ar-MA"/>
        </w:rPr>
        <w:t xml:space="preserve">ن قصد علوم الفهم والتلقي والبيان في التراث العربي الإسلامي هو ضبط عملية الفهم والتأويل </w:t>
      </w:r>
      <w:r w:rsidR="00C30262" w:rsidRPr="006571AC">
        <w:rPr>
          <w:rFonts w:ascii="Arial" w:hAnsi="Arial" w:hint="cs"/>
          <w:sz w:val="27"/>
          <w:rtl/>
          <w:lang w:bidi="ar-MA"/>
        </w:rPr>
        <w:t>ل</w:t>
      </w:r>
      <w:r w:rsidR="0043677F" w:rsidRPr="006571AC">
        <w:rPr>
          <w:rFonts w:ascii="Arial" w:hAnsi="Arial" w:hint="cs"/>
          <w:sz w:val="27"/>
          <w:rtl/>
          <w:lang w:bidi="ar-MA"/>
        </w:rPr>
        <w:t>لنصوص الدينية، حماية</w:t>
      </w:r>
      <w:r w:rsidR="00C30262" w:rsidRPr="006571AC">
        <w:rPr>
          <w:rFonts w:ascii="Arial" w:hAnsi="Arial" w:hint="cs"/>
          <w:sz w:val="27"/>
          <w:rtl/>
          <w:lang w:bidi="ar-MA"/>
        </w:rPr>
        <w:t>ً</w:t>
      </w:r>
      <w:r w:rsidR="0043677F" w:rsidRPr="006571AC">
        <w:rPr>
          <w:rFonts w:ascii="Arial" w:hAnsi="Arial" w:hint="cs"/>
          <w:sz w:val="27"/>
          <w:rtl/>
          <w:lang w:bidi="ar-MA"/>
        </w:rPr>
        <w:t xml:space="preserve"> لهذه النصوص من التفسيرات والتأويلات الفاسدة</w:t>
      </w:r>
      <w:r w:rsidR="00C30262" w:rsidRPr="006571AC">
        <w:rPr>
          <w:rFonts w:ascii="Arial" w:hAnsi="Arial" w:hint="cs"/>
          <w:sz w:val="27"/>
          <w:rtl/>
          <w:lang w:bidi="ar-MA"/>
        </w:rPr>
        <w:t>،</w:t>
      </w:r>
      <w:r w:rsidR="0043677F" w:rsidRPr="006571AC">
        <w:rPr>
          <w:rFonts w:ascii="Arial" w:hAnsi="Arial" w:hint="cs"/>
          <w:sz w:val="27"/>
          <w:rtl/>
          <w:lang w:bidi="ar-MA"/>
        </w:rPr>
        <w:t xml:space="preserve"> ومن اختراق المذاهب</w:t>
      </w:r>
      <w:r w:rsidR="00C30262" w:rsidRPr="006571AC">
        <w:rPr>
          <w:rFonts w:ascii="Arial" w:hAnsi="Arial" w:hint="cs"/>
          <w:sz w:val="27"/>
          <w:rtl/>
          <w:lang w:bidi="ar-MA"/>
        </w:rPr>
        <w:t>؛</w:t>
      </w:r>
      <w:r w:rsidR="0043677F" w:rsidRPr="006571AC">
        <w:rPr>
          <w:rFonts w:ascii="Arial" w:hAnsi="Arial" w:hint="cs"/>
          <w:sz w:val="27"/>
          <w:rtl/>
          <w:lang w:bidi="ar-MA"/>
        </w:rPr>
        <w:t xml:space="preserve"> نتيجة الصراع المذهبي الشديد والقوي</w:t>
      </w:r>
      <w:r w:rsidR="00C30262" w:rsidRPr="006571AC">
        <w:rPr>
          <w:rFonts w:ascii="Arial" w:hAnsi="Arial" w:hint="cs"/>
          <w:sz w:val="27"/>
          <w:rtl/>
          <w:lang w:bidi="ar-MA"/>
        </w:rPr>
        <w:t>ّ</w:t>
      </w:r>
      <w:r w:rsidR="0043677F" w:rsidRPr="006571AC">
        <w:rPr>
          <w:rFonts w:ascii="Arial" w:hAnsi="Arial" w:hint="cs"/>
          <w:sz w:val="27"/>
          <w:rtl/>
          <w:lang w:bidi="ar-MA"/>
        </w:rPr>
        <w:t xml:space="preserve"> الذي كان بين الف</w:t>
      </w:r>
      <w:r w:rsidR="00C30262" w:rsidRPr="006571AC">
        <w:rPr>
          <w:rFonts w:ascii="Arial" w:hAnsi="Arial" w:hint="cs"/>
          <w:sz w:val="27"/>
          <w:rtl/>
          <w:lang w:bidi="ar-MA"/>
        </w:rPr>
        <w:t>ِ</w:t>
      </w:r>
      <w:r w:rsidR="0043677F" w:rsidRPr="006571AC">
        <w:rPr>
          <w:rFonts w:ascii="Arial" w:hAnsi="Arial" w:hint="cs"/>
          <w:sz w:val="27"/>
          <w:rtl/>
          <w:lang w:bidi="ar-MA"/>
        </w:rPr>
        <w:t>ر</w:t>
      </w:r>
      <w:r w:rsidR="00C30262" w:rsidRPr="006571AC">
        <w:rPr>
          <w:rFonts w:ascii="Arial" w:hAnsi="Arial" w:hint="cs"/>
          <w:sz w:val="27"/>
          <w:rtl/>
          <w:lang w:bidi="ar-MA"/>
        </w:rPr>
        <w:t>َ</w:t>
      </w:r>
      <w:r w:rsidR="0043677F" w:rsidRPr="006571AC">
        <w:rPr>
          <w:rFonts w:ascii="Arial" w:hAnsi="Arial" w:hint="cs"/>
          <w:sz w:val="27"/>
          <w:rtl/>
          <w:lang w:bidi="ar-MA"/>
        </w:rPr>
        <w:t>ق الكلامية والع</w:t>
      </w:r>
      <w:r w:rsidR="00C30262" w:rsidRPr="006571AC">
        <w:rPr>
          <w:rFonts w:ascii="Arial" w:hAnsi="Arial" w:hint="cs"/>
          <w:sz w:val="27"/>
          <w:rtl/>
          <w:lang w:bidi="ar-MA"/>
        </w:rPr>
        <w:t>َ</w:t>
      </w:r>
      <w:r w:rsidR="0043677F" w:rsidRPr="006571AC">
        <w:rPr>
          <w:rFonts w:ascii="Arial" w:hAnsi="Arial" w:hint="cs"/>
          <w:sz w:val="27"/>
          <w:rtl/>
          <w:lang w:bidi="ar-MA"/>
        </w:rPr>
        <w:t>ق</w:t>
      </w:r>
      <w:r w:rsidR="00C30262" w:rsidRPr="006571AC">
        <w:rPr>
          <w:rFonts w:ascii="Arial" w:hAnsi="Arial" w:hint="cs"/>
          <w:sz w:val="27"/>
          <w:rtl/>
          <w:lang w:bidi="ar-MA"/>
        </w:rPr>
        <w:t>ْ</w:t>
      </w:r>
      <w:r w:rsidR="0043677F" w:rsidRPr="006571AC">
        <w:rPr>
          <w:rFonts w:ascii="Arial" w:hAnsi="Arial" w:hint="cs"/>
          <w:sz w:val="27"/>
          <w:rtl/>
          <w:lang w:bidi="ar-MA"/>
        </w:rPr>
        <w:t>دية، وهو الصراع الذي أضاع من الزمن الكثير على المسلمين ليشتغلوا بقضايا استنف</w:t>
      </w:r>
      <w:r w:rsidR="00251ACD" w:rsidRPr="006571AC">
        <w:rPr>
          <w:rFonts w:ascii="Arial" w:hAnsi="Arial" w:hint="cs"/>
          <w:sz w:val="27"/>
          <w:rtl/>
          <w:lang w:bidi="ar-MA"/>
        </w:rPr>
        <w:t>َ</w:t>
      </w:r>
      <w:r w:rsidR="00C30262" w:rsidRPr="006571AC">
        <w:rPr>
          <w:rFonts w:ascii="Arial" w:hAnsi="Arial" w:hint="cs"/>
          <w:sz w:val="27"/>
          <w:rtl/>
          <w:lang w:bidi="ar-MA"/>
        </w:rPr>
        <w:t>د</w:t>
      </w:r>
      <w:r w:rsidR="00251ACD" w:rsidRPr="006571AC">
        <w:rPr>
          <w:rFonts w:ascii="Arial" w:hAnsi="Arial" w:hint="cs"/>
          <w:sz w:val="27"/>
          <w:rtl/>
          <w:lang w:bidi="ar-MA"/>
        </w:rPr>
        <w:t>َ</w:t>
      </w:r>
      <w:r w:rsidR="0043677F" w:rsidRPr="006571AC">
        <w:rPr>
          <w:rFonts w:ascii="Arial" w:hAnsi="Arial" w:hint="cs"/>
          <w:sz w:val="27"/>
          <w:rtl/>
          <w:lang w:bidi="ar-MA"/>
        </w:rPr>
        <w:t>ت</w:t>
      </w:r>
      <w:r w:rsidR="00251ACD" w:rsidRPr="006571AC">
        <w:rPr>
          <w:rFonts w:ascii="Arial" w:hAnsi="Arial" w:hint="cs"/>
          <w:sz w:val="27"/>
          <w:rtl/>
          <w:lang w:bidi="ar-MA"/>
        </w:rPr>
        <w:t>ْ</w:t>
      </w:r>
      <w:r w:rsidR="0043677F" w:rsidRPr="006571AC">
        <w:rPr>
          <w:rFonts w:ascii="Arial" w:hAnsi="Arial" w:hint="cs"/>
          <w:sz w:val="27"/>
          <w:rtl/>
          <w:lang w:bidi="ar-MA"/>
        </w:rPr>
        <w:t xml:space="preserve"> منهم زمنا</w:t>
      </w:r>
      <w:r w:rsidR="00C30262" w:rsidRPr="006571AC">
        <w:rPr>
          <w:rFonts w:ascii="Arial" w:hAnsi="Arial" w:hint="cs"/>
          <w:sz w:val="27"/>
          <w:rtl/>
          <w:lang w:bidi="ar-MA"/>
        </w:rPr>
        <w:t>ً</w:t>
      </w:r>
      <w:r w:rsidR="0043677F" w:rsidRPr="006571AC">
        <w:rPr>
          <w:rFonts w:ascii="Arial" w:hAnsi="Arial" w:hint="cs"/>
          <w:sz w:val="27"/>
          <w:rtl/>
          <w:lang w:bidi="ar-MA"/>
        </w:rPr>
        <w:t xml:space="preserve"> كبيرا</w:t>
      </w:r>
      <w:r w:rsidR="00C30262" w:rsidRPr="006571AC">
        <w:rPr>
          <w:rFonts w:ascii="Arial" w:hAnsi="Arial" w:hint="cs"/>
          <w:sz w:val="27"/>
          <w:rtl/>
          <w:lang w:bidi="ar-MA"/>
        </w:rPr>
        <w:t>ً</w:t>
      </w:r>
      <w:r w:rsidR="0043677F" w:rsidRPr="006571AC">
        <w:rPr>
          <w:rFonts w:ascii="Arial" w:hAnsi="Arial" w:hint="cs"/>
          <w:sz w:val="27"/>
          <w:rtl/>
          <w:lang w:bidi="ar-MA"/>
        </w:rPr>
        <w:t>، ف</w:t>
      </w:r>
      <w:r w:rsidR="00C30262" w:rsidRPr="006571AC">
        <w:rPr>
          <w:rFonts w:ascii="Arial" w:hAnsi="Arial" w:hint="cs"/>
          <w:sz w:val="27"/>
          <w:rtl/>
          <w:lang w:bidi="ar-MA"/>
        </w:rPr>
        <w:t>ب</w:t>
      </w:r>
      <w:r w:rsidR="00251ACD" w:rsidRPr="006571AC">
        <w:rPr>
          <w:rFonts w:ascii="Arial" w:hAnsi="Arial" w:hint="cs"/>
          <w:sz w:val="27"/>
          <w:rtl/>
          <w:lang w:bidi="ar-MA"/>
        </w:rPr>
        <w:t>َ</w:t>
      </w:r>
      <w:r w:rsidR="00C30262" w:rsidRPr="006571AC">
        <w:rPr>
          <w:rFonts w:ascii="Arial" w:hAnsi="Arial" w:hint="cs"/>
          <w:sz w:val="27"/>
          <w:rtl/>
          <w:lang w:bidi="ar-MA"/>
        </w:rPr>
        <w:t>د</w:t>
      </w:r>
      <w:r w:rsidR="00251ACD" w:rsidRPr="006571AC">
        <w:rPr>
          <w:rFonts w:ascii="Arial" w:hAnsi="Arial" w:hint="cs"/>
          <w:sz w:val="27"/>
          <w:rtl/>
          <w:lang w:bidi="ar-MA"/>
        </w:rPr>
        <w:t>َ</w:t>
      </w:r>
      <w:r w:rsidR="00C30262" w:rsidRPr="006571AC">
        <w:rPr>
          <w:rFonts w:ascii="Arial" w:hAnsi="Arial" w:hint="cs"/>
          <w:sz w:val="27"/>
          <w:rtl/>
          <w:lang w:bidi="ar-MA"/>
        </w:rPr>
        <w:t>ل</w:t>
      </w:r>
      <w:r w:rsidR="0043677F" w:rsidRPr="006571AC">
        <w:rPr>
          <w:rFonts w:ascii="Arial" w:hAnsi="Arial" w:hint="cs"/>
          <w:sz w:val="27"/>
          <w:rtl/>
          <w:lang w:bidi="ar-MA"/>
        </w:rPr>
        <w:t xml:space="preserve"> أن يت</w:t>
      </w:r>
      <w:r w:rsidR="00C30262" w:rsidRPr="006571AC">
        <w:rPr>
          <w:rFonts w:ascii="Arial" w:hAnsi="Arial" w:hint="cs"/>
          <w:sz w:val="27"/>
          <w:rtl/>
          <w:lang w:bidi="ar-MA"/>
        </w:rPr>
        <w:t>ّ</w:t>
      </w:r>
      <w:r w:rsidR="0043677F" w:rsidRPr="006571AC">
        <w:rPr>
          <w:rFonts w:ascii="Arial" w:hAnsi="Arial" w:hint="cs"/>
          <w:sz w:val="27"/>
          <w:rtl/>
          <w:lang w:bidi="ar-MA"/>
        </w:rPr>
        <w:t>جه البحث إلى العناية بالإنسان وبشخصي</w:t>
      </w:r>
      <w:r w:rsidR="00C30262" w:rsidRPr="006571AC">
        <w:rPr>
          <w:rFonts w:ascii="Arial" w:hAnsi="Arial" w:hint="cs"/>
          <w:sz w:val="27"/>
          <w:rtl/>
          <w:lang w:bidi="ar-MA"/>
        </w:rPr>
        <w:t>ّ</w:t>
      </w:r>
      <w:r w:rsidR="0043677F" w:rsidRPr="006571AC">
        <w:rPr>
          <w:rFonts w:ascii="Arial" w:hAnsi="Arial" w:hint="cs"/>
          <w:sz w:val="27"/>
          <w:rtl/>
          <w:lang w:bidi="ar-MA"/>
        </w:rPr>
        <w:t xml:space="preserve">ة هذا الإنسان وبمشاكله، </w:t>
      </w:r>
      <w:r w:rsidR="00C30262" w:rsidRPr="006571AC">
        <w:rPr>
          <w:rFonts w:ascii="Arial" w:hAnsi="Arial" w:hint="cs"/>
          <w:sz w:val="27"/>
          <w:rtl/>
          <w:lang w:bidi="ar-MA"/>
        </w:rPr>
        <w:t>أقحمَتْ</w:t>
      </w:r>
      <w:r w:rsidR="0043677F" w:rsidRPr="006571AC">
        <w:rPr>
          <w:rFonts w:ascii="Arial" w:hAnsi="Arial" w:hint="cs"/>
          <w:sz w:val="27"/>
          <w:rtl/>
          <w:lang w:bidi="ar-MA"/>
        </w:rPr>
        <w:t xml:space="preserve"> كثير</w:t>
      </w:r>
      <w:r w:rsidR="00C30262" w:rsidRPr="006571AC">
        <w:rPr>
          <w:rFonts w:ascii="Arial" w:hAnsi="Arial" w:hint="cs"/>
          <w:sz w:val="27"/>
          <w:rtl/>
          <w:lang w:bidi="ar-MA"/>
        </w:rPr>
        <w:t>ٌ</w:t>
      </w:r>
      <w:r w:rsidR="0043677F" w:rsidRPr="006571AC">
        <w:rPr>
          <w:rFonts w:ascii="Arial" w:hAnsi="Arial" w:hint="cs"/>
          <w:sz w:val="27"/>
          <w:rtl/>
          <w:lang w:bidi="ar-MA"/>
        </w:rPr>
        <w:t xml:space="preserve"> من العلوم نفسها في صراعات</w:t>
      </w:r>
      <w:r w:rsidR="00C30262" w:rsidRPr="006571AC">
        <w:rPr>
          <w:rFonts w:ascii="Arial" w:hAnsi="Arial" w:hint="cs"/>
          <w:sz w:val="27"/>
          <w:rtl/>
          <w:lang w:bidi="ar-MA"/>
        </w:rPr>
        <w:t>ٍ</w:t>
      </w:r>
      <w:r w:rsidR="0043677F" w:rsidRPr="006571AC">
        <w:rPr>
          <w:rFonts w:ascii="Arial" w:hAnsi="Arial" w:hint="cs"/>
          <w:sz w:val="27"/>
          <w:rtl/>
          <w:lang w:bidi="ar-MA"/>
        </w:rPr>
        <w:t xml:space="preserve"> مذهبية</w:t>
      </w:r>
      <w:r w:rsidR="00C30262" w:rsidRPr="006571AC">
        <w:rPr>
          <w:rFonts w:ascii="Arial" w:hAnsi="Arial" w:hint="cs"/>
          <w:sz w:val="27"/>
          <w:rtl/>
          <w:lang w:bidi="ar-MA"/>
        </w:rPr>
        <w:t>،</w:t>
      </w:r>
      <w:r w:rsidR="0043677F" w:rsidRPr="006571AC">
        <w:rPr>
          <w:rFonts w:ascii="Arial" w:hAnsi="Arial" w:hint="cs"/>
          <w:sz w:val="27"/>
          <w:rtl/>
          <w:lang w:bidi="ar-MA"/>
        </w:rPr>
        <w:t xml:space="preserve"> لا ي</w:t>
      </w:r>
      <w:r w:rsidR="00251ACD" w:rsidRPr="006571AC">
        <w:rPr>
          <w:rFonts w:ascii="Arial" w:hAnsi="Arial" w:hint="cs"/>
          <w:sz w:val="27"/>
          <w:rtl/>
          <w:lang w:bidi="ar-MA"/>
        </w:rPr>
        <w:t>ُ</w:t>
      </w:r>
      <w:r w:rsidR="0043677F" w:rsidRPr="006571AC">
        <w:rPr>
          <w:rFonts w:ascii="Arial" w:hAnsi="Arial" w:hint="cs"/>
          <w:sz w:val="27"/>
          <w:rtl/>
          <w:lang w:bidi="ar-MA"/>
        </w:rPr>
        <w:t>ج</w:t>
      </w:r>
      <w:r w:rsidR="00251ACD" w:rsidRPr="006571AC">
        <w:rPr>
          <w:rFonts w:ascii="Arial" w:hAnsi="Arial" w:hint="cs"/>
          <w:sz w:val="27"/>
          <w:rtl/>
          <w:lang w:bidi="ar-MA"/>
        </w:rPr>
        <w:t>ْ</w:t>
      </w:r>
      <w:r w:rsidR="0043677F" w:rsidRPr="006571AC">
        <w:rPr>
          <w:rFonts w:ascii="Arial" w:hAnsi="Arial" w:hint="cs"/>
          <w:sz w:val="27"/>
          <w:rtl/>
          <w:lang w:bidi="ar-MA"/>
        </w:rPr>
        <w:t>ن</w:t>
      </w:r>
      <w:r w:rsidR="00251ACD" w:rsidRPr="006571AC">
        <w:rPr>
          <w:rFonts w:ascii="Arial" w:hAnsi="Arial" w:hint="cs"/>
          <w:sz w:val="27"/>
          <w:rtl/>
          <w:lang w:bidi="ar-MA"/>
        </w:rPr>
        <w:t>َ</w:t>
      </w:r>
      <w:r w:rsidR="00C30262" w:rsidRPr="006571AC">
        <w:rPr>
          <w:rFonts w:ascii="Arial" w:hAnsi="Arial" w:hint="cs"/>
          <w:sz w:val="27"/>
          <w:rtl/>
          <w:lang w:bidi="ar-MA"/>
        </w:rPr>
        <w:t>ى</w:t>
      </w:r>
      <w:r w:rsidR="0043677F" w:rsidRPr="006571AC">
        <w:rPr>
          <w:rFonts w:ascii="Arial" w:hAnsi="Arial" w:hint="cs"/>
          <w:sz w:val="27"/>
          <w:rtl/>
          <w:lang w:bidi="ar-MA"/>
        </w:rPr>
        <w:t xml:space="preserve"> منها نفع</w:t>
      </w:r>
      <w:r w:rsidR="00C30262" w:rsidRPr="006571AC">
        <w:rPr>
          <w:rFonts w:ascii="Arial" w:hAnsi="Arial" w:hint="cs"/>
          <w:sz w:val="27"/>
          <w:rtl/>
          <w:lang w:bidi="ar-MA"/>
        </w:rPr>
        <w:t>ٌ؛</w:t>
      </w:r>
      <w:r w:rsidR="0043677F" w:rsidRPr="006571AC">
        <w:rPr>
          <w:rFonts w:ascii="Arial" w:hAnsi="Arial" w:hint="cs"/>
          <w:sz w:val="27"/>
          <w:rtl/>
          <w:lang w:bidi="ar-MA"/>
        </w:rPr>
        <w:t xml:space="preserve"> </w:t>
      </w:r>
      <w:r w:rsidR="00C30262" w:rsidRPr="006571AC">
        <w:rPr>
          <w:rFonts w:ascii="Arial" w:hAnsi="Arial" w:hint="cs"/>
          <w:sz w:val="27"/>
          <w:rtl/>
          <w:lang w:bidi="ar-MA"/>
        </w:rPr>
        <w:t xml:space="preserve">إذ </w:t>
      </w:r>
      <w:r w:rsidR="0043677F" w:rsidRPr="006571AC">
        <w:rPr>
          <w:rFonts w:ascii="Arial" w:hAnsi="Arial" w:hint="cs"/>
          <w:sz w:val="27"/>
          <w:rtl/>
          <w:lang w:bidi="ar-MA"/>
        </w:rPr>
        <w:t xml:space="preserve">هي من </w:t>
      </w:r>
      <w:r w:rsidR="0043677F" w:rsidRPr="006571AC">
        <w:rPr>
          <w:rFonts w:ascii="Arial" w:hAnsi="Arial" w:hint="cs"/>
          <w:sz w:val="27"/>
          <w:rtl/>
          <w:lang w:bidi="ar-MA"/>
        </w:rPr>
        <w:lastRenderedPageBreak/>
        <w:t>الصراعات الفارغة</w:t>
      </w:r>
      <w:r w:rsidR="0043677F" w:rsidRPr="006571AC">
        <w:rPr>
          <w:sz w:val="27"/>
          <w:rtl/>
          <w:lang w:bidi="ar-MA"/>
        </w:rPr>
        <w:t xml:space="preserve">. </w:t>
      </w:r>
    </w:p>
    <w:p w:rsidR="0043677F" w:rsidRPr="006571AC" w:rsidRDefault="0043677F" w:rsidP="00251ACD">
      <w:pPr>
        <w:rPr>
          <w:rFonts w:ascii="Arial" w:hAnsi="Arial"/>
          <w:sz w:val="27"/>
          <w:rtl/>
          <w:lang w:bidi="ar-MA"/>
        </w:rPr>
      </w:pPr>
      <w:r w:rsidRPr="006571AC">
        <w:rPr>
          <w:rFonts w:ascii="Arial" w:hAnsi="Arial"/>
          <w:sz w:val="27"/>
          <w:rtl/>
          <w:lang w:bidi="ar-MA"/>
        </w:rPr>
        <w:t>ومم</w:t>
      </w:r>
      <w:r w:rsidR="00C30262" w:rsidRPr="006571AC">
        <w:rPr>
          <w:rFonts w:ascii="Arial" w:hAnsi="Arial" w:hint="cs"/>
          <w:sz w:val="27"/>
          <w:rtl/>
          <w:lang w:bidi="ar-MA"/>
        </w:rPr>
        <w:t>ّ</w:t>
      </w:r>
      <w:r w:rsidRPr="006571AC">
        <w:rPr>
          <w:rFonts w:ascii="Arial" w:hAnsi="Arial"/>
          <w:sz w:val="27"/>
          <w:rtl/>
          <w:lang w:bidi="ar-MA"/>
        </w:rPr>
        <w:t xml:space="preserve">ا </w:t>
      </w:r>
      <w:r w:rsidRPr="006571AC">
        <w:rPr>
          <w:rFonts w:ascii="Arial" w:hAnsi="Arial" w:hint="cs"/>
          <w:sz w:val="27"/>
          <w:rtl/>
          <w:lang w:bidi="ar-MA"/>
        </w:rPr>
        <w:t>لاحظه كثير</w:t>
      </w:r>
      <w:r w:rsidR="00C30262" w:rsidRPr="006571AC">
        <w:rPr>
          <w:rFonts w:ascii="Arial" w:hAnsi="Arial" w:hint="cs"/>
          <w:sz w:val="27"/>
          <w:rtl/>
          <w:lang w:bidi="ar-MA"/>
        </w:rPr>
        <w:t>ٌ</w:t>
      </w:r>
      <w:r w:rsidRPr="006571AC">
        <w:rPr>
          <w:rFonts w:ascii="Arial" w:hAnsi="Arial"/>
          <w:sz w:val="27"/>
          <w:rtl/>
          <w:lang w:bidi="ar-MA"/>
        </w:rPr>
        <w:t xml:space="preserve"> من الدارسين والباحثين في التراث العربي الإسلامي أن عددا</w:t>
      </w:r>
      <w:r w:rsidR="00C30262" w:rsidRPr="006571AC">
        <w:rPr>
          <w:rFonts w:ascii="Arial" w:hAnsi="Arial" w:hint="cs"/>
          <w:sz w:val="27"/>
          <w:rtl/>
          <w:lang w:bidi="ar-MA"/>
        </w:rPr>
        <w:t>ً</w:t>
      </w:r>
      <w:r w:rsidRPr="006571AC">
        <w:rPr>
          <w:rFonts w:ascii="Arial" w:hAnsi="Arial"/>
          <w:sz w:val="27"/>
          <w:rtl/>
          <w:lang w:bidi="ar-MA"/>
        </w:rPr>
        <w:t xml:space="preserve"> من العلوم </w:t>
      </w:r>
      <w:r w:rsidRPr="006571AC">
        <w:rPr>
          <w:rFonts w:ascii="Arial" w:hAnsi="Arial" w:hint="cs"/>
          <w:sz w:val="27"/>
          <w:rtl/>
          <w:lang w:bidi="ar-MA"/>
        </w:rPr>
        <w:t>قد</w:t>
      </w:r>
      <w:r w:rsidRPr="006571AC">
        <w:rPr>
          <w:rFonts w:ascii="Arial" w:hAnsi="Arial"/>
          <w:sz w:val="27"/>
          <w:rtl/>
          <w:lang w:bidi="ar-MA"/>
        </w:rPr>
        <w:t xml:space="preserve"> ص</w:t>
      </w:r>
      <w:r w:rsidR="00251ACD" w:rsidRPr="006571AC">
        <w:rPr>
          <w:rFonts w:ascii="Arial" w:hAnsi="Arial" w:hint="cs"/>
          <w:sz w:val="27"/>
          <w:rtl/>
          <w:lang w:bidi="ar-MA"/>
        </w:rPr>
        <w:t>ُ</w:t>
      </w:r>
      <w:r w:rsidRPr="006571AC">
        <w:rPr>
          <w:rFonts w:ascii="Arial" w:hAnsi="Arial"/>
          <w:sz w:val="27"/>
          <w:rtl/>
          <w:lang w:bidi="ar-MA"/>
        </w:rPr>
        <w:t>رف فيها زمن</w:t>
      </w:r>
      <w:r w:rsidR="00C30262" w:rsidRPr="006571AC">
        <w:rPr>
          <w:rFonts w:ascii="Arial" w:hAnsi="Arial" w:hint="cs"/>
          <w:sz w:val="27"/>
          <w:rtl/>
          <w:lang w:bidi="ar-MA"/>
        </w:rPr>
        <w:t>ٌ</w:t>
      </w:r>
      <w:r w:rsidRPr="006571AC">
        <w:rPr>
          <w:rFonts w:ascii="Arial" w:hAnsi="Arial"/>
          <w:sz w:val="27"/>
          <w:rtl/>
          <w:lang w:bidi="ar-MA"/>
        </w:rPr>
        <w:t xml:space="preserve"> طويل</w:t>
      </w:r>
      <w:r w:rsidR="00C30262" w:rsidRPr="006571AC">
        <w:rPr>
          <w:rFonts w:ascii="Arial" w:hAnsi="Arial" w:hint="cs"/>
          <w:sz w:val="27"/>
          <w:rtl/>
          <w:lang w:bidi="ar-MA"/>
        </w:rPr>
        <w:t>،</w:t>
      </w:r>
      <w:r w:rsidRPr="006571AC">
        <w:rPr>
          <w:rFonts w:ascii="Arial" w:hAnsi="Arial"/>
          <w:sz w:val="27"/>
          <w:rtl/>
          <w:lang w:bidi="ar-MA"/>
        </w:rPr>
        <w:t xml:space="preserve"> لكنها لا تحمل معنى</w:t>
      </w:r>
      <w:r w:rsidR="00C30262" w:rsidRPr="006571AC">
        <w:rPr>
          <w:rFonts w:ascii="Arial" w:hAnsi="Arial" w:hint="cs"/>
          <w:sz w:val="27"/>
          <w:rtl/>
          <w:lang w:bidi="ar-MA"/>
        </w:rPr>
        <w:t>ً</w:t>
      </w:r>
      <w:r w:rsidRPr="006571AC">
        <w:rPr>
          <w:rFonts w:ascii="Arial" w:hAnsi="Arial"/>
          <w:sz w:val="27"/>
          <w:rtl/>
          <w:lang w:bidi="ar-MA"/>
        </w:rPr>
        <w:t xml:space="preserve"> ولا غاية</w:t>
      </w:r>
      <w:r w:rsidR="00C30262" w:rsidRPr="006571AC">
        <w:rPr>
          <w:rFonts w:ascii="Arial" w:hAnsi="Arial" w:hint="cs"/>
          <w:sz w:val="27"/>
          <w:rtl/>
          <w:lang w:bidi="ar-MA"/>
        </w:rPr>
        <w:t>ً</w:t>
      </w:r>
      <w:r w:rsidRPr="006571AC">
        <w:rPr>
          <w:rFonts w:ascii="Arial" w:hAnsi="Arial"/>
          <w:sz w:val="27"/>
          <w:rtl/>
          <w:lang w:bidi="ar-MA"/>
        </w:rPr>
        <w:t xml:space="preserve"> ولا ن</w:t>
      </w:r>
      <w:r w:rsidR="00251ACD" w:rsidRPr="006571AC">
        <w:rPr>
          <w:rFonts w:ascii="Arial" w:hAnsi="Arial" w:hint="cs"/>
          <w:sz w:val="27"/>
          <w:rtl/>
          <w:lang w:bidi="ar-MA"/>
        </w:rPr>
        <w:t>َ</w:t>
      </w:r>
      <w:r w:rsidRPr="006571AC">
        <w:rPr>
          <w:rFonts w:ascii="Arial" w:hAnsi="Arial"/>
          <w:sz w:val="27"/>
          <w:rtl/>
          <w:lang w:bidi="ar-MA"/>
        </w:rPr>
        <w:t>ف</w:t>
      </w:r>
      <w:r w:rsidR="00251ACD" w:rsidRPr="006571AC">
        <w:rPr>
          <w:rFonts w:ascii="Arial" w:hAnsi="Arial" w:hint="cs"/>
          <w:sz w:val="27"/>
          <w:rtl/>
          <w:lang w:bidi="ar-MA"/>
        </w:rPr>
        <w:t>ْ</w:t>
      </w:r>
      <w:r w:rsidRPr="006571AC">
        <w:rPr>
          <w:rFonts w:ascii="Arial" w:hAnsi="Arial"/>
          <w:sz w:val="27"/>
          <w:rtl/>
          <w:lang w:bidi="ar-MA"/>
        </w:rPr>
        <w:t>عا</w:t>
      </w:r>
      <w:r w:rsidR="00C30262" w:rsidRPr="006571AC">
        <w:rPr>
          <w:rFonts w:ascii="Arial" w:hAnsi="Arial" w:hint="cs"/>
          <w:sz w:val="27"/>
          <w:rtl/>
          <w:lang w:bidi="ar-MA"/>
        </w:rPr>
        <w:t>ً</w:t>
      </w:r>
      <w:r w:rsidRPr="006571AC">
        <w:rPr>
          <w:rFonts w:ascii="Arial" w:hAnsi="Arial"/>
          <w:sz w:val="27"/>
          <w:rtl/>
          <w:lang w:bidi="ar-MA"/>
        </w:rPr>
        <w:t xml:space="preserve"> للإنسان</w:t>
      </w:r>
      <w:r w:rsidR="00C30262" w:rsidRPr="006571AC">
        <w:rPr>
          <w:rFonts w:ascii="Arial" w:hAnsi="Arial" w:hint="cs"/>
          <w:sz w:val="27"/>
          <w:rtl/>
          <w:lang w:bidi="ar-MA"/>
        </w:rPr>
        <w:t>،</w:t>
      </w:r>
      <w:r w:rsidRPr="006571AC">
        <w:rPr>
          <w:rFonts w:ascii="Arial" w:hAnsi="Arial"/>
          <w:sz w:val="27"/>
          <w:rtl/>
          <w:lang w:bidi="ar-MA"/>
        </w:rPr>
        <w:t xml:space="preserve"> في عاجلته </w:t>
      </w:r>
      <w:r w:rsidR="00C30262" w:rsidRPr="006571AC">
        <w:rPr>
          <w:rFonts w:ascii="Arial" w:hAnsi="Arial" w:hint="cs"/>
          <w:sz w:val="27"/>
          <w:rtl/>
          <w:lang w:bidi="ar-MA"/>
        </w:rPr>
        <w:t xml:space="preserve">أو </w:t>
      </w:r>
      <w:r w:rsidRPr="006571AC">
        <w:rPr>
          <w:rFonts w:ascii="Arial" w:hAnsi="Arial"/>
          <w:sz w:val="27"/>
          <w:rtl/>
          <w:lang w:bidi="ar-MA"/>
        </w:rPr>
        <w:t xml:space="preserve">في </w:t>
      </w:r>
      <w:r w:rsidR="00C30262" w:rsidRPr="006571AC">
        <w:rPr>
          <w:rFonts w:ascii="Arial" w:hAnsi="Arial" w:hint="cs"/>
          <w:sz w:val="27"/>
          <w:rtl/>
          <w:lang w:bidi="ar-MA"/>
        </w:rPr>
        <w:t>آ</w:t>
      </w:r>
      <w:r w:rsidRPr="006571AC">
        <w:rPr>
          <w:rFonts w:ascii="Arial" w:hAnsi="Arial"/>
          <w:sz w:val="27"/>
          <w:rtl/>
          <w:lang w:bidi="ar-MA"/>
        </w:rPr>
        <w:t>جلته</w:t>
      </w:r>
      <w:r w:rsidRPr="006571AC">
        <w:rPr>
          <w:rFonts w:ascii="Arial" w:hAnsi="Arial"/>
          <w:sz w:val="27"/>
          <w:vertAlign w:val="superscript"/>
          <w:rtl/>
          <w:lang w:bidi="ar-MA"/>
        </w:rPr>
        <w:t>(</w:t>
      </w:r>
      <w:r w:rsidRPr="006571AC">
        <w:rPr>
          <w:rStyle w:val="ac"/>
          <w:rFonts w:ascii="Arial" w:hAnsi="Arial"/>
          <w:sz w:val="27"/>
          <w:rtl/>
          <w:lang w:bidi="ar-MA"/>
        </w:rPr>
        <w:endnoteReference w:id="751"/>
      </w:r>
      <w:r w:rsidRPr="006571AC">
        <w:rPr>
          <w:rFonts w:ascii="Arial" w:hAnsi="Arial"/>
          <w:sz w:val="27"/>
          <w:vertAlign w:val="superscript"/>
          <w:rtl/>
          <w:lang w:bidi="ar-MA"/>
        </w:rPr>
        <w:t>)</w:t>
      </w:r>
      <w:r w:rsidR="00C30262" w:rsidRPr="006571AC">
        <w:rPr>
          <w:rFonts w:ascii="Arial" w:hAnsi="Arial" w:hint="cs"/>
          <w:sz w:val="27"/>
          <w:rtl/>
          <w:lang w:bidi="ar-MA"/>
        </w:rPr>
        <w:t xml:space="preserve">، </w:t>
      </w:r>
      <w:r w:rsidRPr="006571AC">
        <w:rPr>
          <w:rFonts w:ascii="Arial" w:hAnsi="Arial" w:hint="cs"/>
          <w:sz w:val="27"/>
          <w:rtl/>
          <w:lang w:bidi="ar-MA"/>
        </w:rPr>
        <w:t>مثل</w:t>
      </w:r>
      <w:r w:rsidR="00C30262" w:rsidRPr="006571AC">
        <w:rPr>
          <w:rFonts w:ascii="Arial" w:hAnsi="Arial" w:hint="cs"/>
          <w:sz w:val="27"/>
          <w:rtl/>
          <w:lang w:bidi="ar-MA"/>
        </w:rPr>
        <w:t>:</w:t>
      </w:r>
      <w:r w:rsidRPr="006571AC">
        <w:rPr>
          <w:rFonts w:ascii="Arial" w:hAnsi="Arial" w:hint="cs"/>
          <w:sz w:val="27"/>
          <w:rtl/>
          <w:lang w:bidi="ar-MA"/>
        </w:rPr>
        <w:t xml:space="preserve"> القضايا والمسائل التي تنتمي إلى علم الكلام، </w:t>
      </w:r>
      <w:r w:rsidR="00705B9D" w:rsidRPr="006571AC">
        <w:rPr>
          <w:rFonts w:ascii="Arial" w:hAnsi="Arial" w:hint="cs"/>
          <w:sz w:val="27"/>
          <w:rtl/>
          <w:lang w:bidi="ar-MA"/>
        </w:rPr>
        <w:t>ف</w:t>
      </w:r>
      <w:r w:rsidRPr="006571AC">
        <w:rPr>
          <w:rFonts w:ascii="Arial" w:hAnsi="Arial" w:hint="cs"/>
          <w:sz w:val="27"/>
          <w:rtl/>
          <w:lang w:bidi="ar-MA"/>
        </w:rPr>
        <w:t>رغم أنها استنف</w:t>
      </w:r>
      <w:r w:rsidR="00251ACD" w:rsidRPr="006571AC">
        <w:rPr>
          <w:rFonts w:ascii="Arial" w:hAnsi="Arial" w:hint="cs"/>
          <w:sz w:val="27"/>
          <w:rtl/>
          <w:lang w:bidi="ar-MA"/>
        </w:rPr>
        <w:t>د</w:t>
      </w:r>
      <w:r w:rsidRPr="006571AC">
        <w:rPr>
          <w:rFonts w:ascii="Arial" w:hAnsi="Arial" w:hint="cs"/>
          <w:sz w:val="27"/>
          <w:rtl/>
          <w:lang w:bidi="ar-MA"/>
        </w:rPr>
        <w:t>ت زمنها، وقض</w:t>
      </w:r>
      <w:r w:rsidR="00705B9D" w:rsidRPr="006571AC">
        <w:rPr>
          <w:rFonts w:ascii="Arial" w:hAnsi="Arial" w:hint="cs"/>
          <w:sz w:val="27"/>
          <w:rtl/>
          <w:lang w:bidi="ar-MA"/>
        </w:rPr>
        <w:t>َ</w:t>
      </w:r>
      <w:r w:rsidRPr="006571AC">
        <w:rPr>
          <w:rFonts w:ascii="Arial" w:hAnsi="Arial" w:hint="cs"/>
          <w:sz w:val="27"/>
          <w:rtl/>
          <w:lang w:bidi="ar-MA"/>
        </w:rPr>
        <w:t>ت</w:t>
      </w:r>
      <w:r w:rsidR="00705B9D" w:rsidRPr="006571AC">
        <w:rPr>
          <w:rFonts w:ascii="Arial" w:hAnsi="Arial" w:hint="cs"/>
          <w:sz w:val="27"/>
          <w:rtl/>
          <w:lang w:bidi="ar-MA"/>
        </w:rPr>
        <w:t>ْ</w:t>
      </w:r>
      <w:r w:rsidRPr="006571AC">
        <w:rPr>
          <w:rFonts w:ascii="Arial" w:hAnsi="Arial" w:hint="cs"/>
          <w:sz w:val="27"/>
          <w:rtl/>
          <w:lang w:bidi="ar-MA"/>
        </w:rPr>
        <w:t xml:space="preserve"> أغراضها، ووصل</w:t>
      </w:r>
      <w:r w:rsidR="00705B9D" w:rsidRPr="006571AC">
        <w:rPr>
          <w:rFonts w:ascii="Arial" w:hAnsi="Arial" w:hint="cs"/>
          <w:sz w:val="27"/>
          <w:rtl/>
          <w:lang w:bidi="ar-MA"/>
        </w:rPr>
        <w:t>َ</w:t>
      </w:r>
      <w:r w:rsidRPr="006571AC">
        <w:rPr>
          <w:rFonts w:ascii="Arial" w:hAnsi="Arial" w:hint="cs"/>
          <w:sz w:val="27"/>
          <w:rtl/>
          <w:lang w:bidi="ar-MA"/>
        </w:rPr>
        <w:t>ت</w:t>
      </w:r>
      <w:r w:rsidR="00705B9D" w:rsidRPr="006571AC">
        <w:rPr>
          <w:rFonts w:ascii="Arial" w:hAnsi="Arial" w:hint="cs"/>
          <w:sz w:val="27"/>
          <w:rtl/>
          <w:lang w:bidi="ar-MA"/>
        </w:rPr>
        <w:t>ْ</w:t>
      </w:r>
      <w:r w:rsidRPr="006571AC">
        <w:rPr>
          <w:rFonts w:ascii="Arial" w:hAnsi="Arial" w:hint="cs"/>
          <w:sz w:val="27"/>
          <w:rtl/>
          <w:lang w:bidi="ar-MA"/>
        </w:rPr>
        <w:t xml:space="preserve"> إلى أهدافها</w:t>
      </w:r>
      <w:r w:rsidR="00705B9D" w:rsidRPr="006571AC">
        <w:rPr>
          <w:rFonts w:ascii="Arial" w:hAnsi="Arial" w:hint="cs"/>
          <w:sz w:val="27"/>
          <w:rtl/>
          <w:lang w:bidi="ar-MA"/>
        </w:rPr>
        <w:t>،</w:t>
      </w:r>
      <w:r w:rsidRPr="006571AC">
        <w:rPr>
          <w:rFonts w:ascii="Arial" w:hAnsi="Arial" w:hint="cs"/>
          <w:sz w:val="27"/>
          <w:rtl/>
          <w:lang w:bidi="ar-MA"/>
        </w:rPr>
        <w:t xml:space="preserve"> إلا</w:t>
      </w:r>
      <w:r w:rsidR="00705B9D" w:rsidRPr="006571AC">
        <w:rPr>
          <w:rFonts w:ascii="Arial" w:hAnsi="Arial" w:hint="cs"/>
          <w:sz w:val="27"/>
          <w:rtl/>
          <w:lang w:bidi="ar-MA"/>
        </w:rPr>
        <w:t>ّ</w:t>
      </w:r>
      <w:r w:rsidRPr="006571AC">
        <w:rPr>
          <w:rFonts w:ascii="Arial" w:hAnsi="Arial" w:hint="cs"/>
          <w:sz w:val="27"/>
          <w:rtl/>
          <w:lang w:bidi="ar-MA"/>
        </w:rPr>
        <w:t xml:space="preserve"> أن كثيراً من العلماء أعادوا الاشتغال عليها</w:t>
      </w:r>
      <w:r w:rsidR="00705B9D" w:rsidRPr="006571AC">
        <w:rPr>
          <w:rFonts w:ascii="Arial" w:hAnsi="Arial" w:hint="cs"/>
          <w:sz w:val="27"/>
          <w:rtl/>
          <w:lang w:bidi="ar-MA"/>
        </w:rPr>
        <w:t>،</w:t>
      </w:r>
      <w:r w:rsidRPr="006571AC">
        <w:rPr>
          <w:rFonts w:ascii="Arial" w:hAnsi="Arial" w:hint="cs"/>
          <w:sz w:val="27"/>
          <w:rtl/>
          <w:lang w:bidi="ar-MA"/>
        </w:rPr>
        <w:t xml:space="preserve"> دون اعتبار للسياق</w:t>
      </w:r>
      <w:r w:rsidR="00705B9D" w:rsidRPr="006571AC">
        <w:rPr>
          <w:rFonts w:ascii="Arial" w:hAnsi="Arial" w:hint="cs"/>
          <w:sz w:val="27"/>
          <w:rtl/>
          <w:lang w:bidi="ar-MA"/>
        </w:rPr>
        <w:t xml:space="preserve">، </w:t>
      </w:r>
      <w:r w:rsidRPr="006571AC">
        <w:rPr>
          <w:rFonts w:ascii="Arial" w:hAnsi="Arial" w:hint="cs"/>
          <w:sz w:val="27"/>
          <w:rtl/>
          <w:lang w:bidi="ar-MA"/>
        </w:rPr>
        <w:t>ولا للظروف</w:t>
      </w:r>
      <w:r w:rsidRPr="006571AC">
        <w:rPr>
          <w:sz w:val="27"/>
          <w:rtl/>
          <w:lang w:bidi="ar-MA"/>
        </w:rPr>
        <w:t xml:space="preserve">. </w:t>
      </w:r>
      <w:r w:rsidRPr="006571AC">
        <w:rPr>
          <w:rFonts w:hint="cs"/>
          <w:sz w:val="27"/>
          <w:rtl/>
          <w:lang w:bidi="ar-MA"/>
        </w:rPr>
        <w:t>فابن خلدون يرى</w:t>
      </w:r>
      <w:r w:rsidRPr="006571AC">
        <w:rPr>
          <w:rFonts w:ascii="Arabic Transparent" w:hAnsi="Arabic Transparent" w:hint="cs"/>
          <w:sz w:val="27"/>
          <w:shd w:val="clear" w:color="auto" w:fill="FFFFFF"/>
          <w:rtl/>
        </w:rPr>
        <w:t xml:space="preserve"> أن</w:t>
      </w:r>
      <w:r w:rsidRPr="006571AC">
        <w:rPr>
          <w:rFonts w:ascii="Arabic Transparent" w:hAnsi="Arabic Transparent"/>
          <w:sz w:val="27"/>
          <w:shd w:val="clear" w:color="auto" w:fill="FFFFFF"/>
          <w:rtl/>
        </w:rPr>
        <w:t xml:space="preserve"> </w:t>
      </w:r>
      <w:r w:rsidR="00705B9D" w:rsidRPr="006571AC">
        <w:rPr>
          <w:rFonts w:hint="cs"/>
          <w:sz w:val="27"/>
          <w:rtl/>
          <w:lang w:bidi="ar-MA"/>
        </w:rPr>
        <w:t>الحاجة</w:t>
      </w:r>
      <w:r w:rsidRPr="006571AC">
        <w:rPr>
          <w:rFonts w:hint="cs"/>
          <w:sz w:val="27"/>
          <w:rtl/>
          <w:lang w:bidi="ar-MA"/>
        </w:rPr>
        <w:t xml:space="preserve"> </w:t>
      </w:r>
      <w:r w:rsidR="00705B9D" w:rsidRPr="006571AC">
        <w:rPr>
          <w:rFonts w:ascii="Arial" w:hAnsi="Arial" w:hint="cs"/>
          <w:sz w:val="27"/>
          <w:shd w:val="clear" w:color="auto" w:fill="FFFFFF"/>
          <w:rtl/>
        </w:rPr>
        <w:t>إلى</w:t>
      </w:r>
      <w:r w:rsidR="00705B9D" w:rsidRPr="006571AC">
        <w:rPr>
          <w:rFonts w:ascii="Arial" w:hAnsi="Arial"/>
          <w:sz w:val="27"/>
          <w:shd w:val="clear" w:color="auto" w:fill="FFFFFF"/>
          <w:rtl/>
        </w:rPr>
        <w:t xml:space="preserve"> علم الكلام </w:t>
      </w:r>
      <w:r w:rsidRPr="006571AC">
        <w:rPr>
          <w:rFonts w:hint="cs"/>
          <w:sz w:val="27"/>
          <w:rtl/>
          <w:lang w:bidi="ar-MA"/>
        </w:rPr>
        <w:t>لم ت</w:t>
      </w:r>
      <w:r w:rsidR="00705B9D" w:rsidRPr="006571AC">
        <w:rPr>
          <w:rFonts w:hint="cs"/>
          <w:sz w:val="27"/>
          <w:rtl/>
          <w:lang w:bidi="ar-MA"/>
        </w:rPr>
        <w:t>َ</w:t>
      </w:r>
      <w:r w:rsidRPr="006571AC">
        <w:rPr>
          <w:rFonts w:hint="cs"/>
          <w:sz w:val="27"/>
          <w:rtl/>
          <w:lang w:bidi="ar-MA"/>
        </w:rPr>
        <w:t>ع</w:t>
      </w:r>
      <w:r w:rsidR="00705B9D" w:rsidRPr="006571AC">
        <w:rPr>
          <w:rFonts w:hint="cs"/>
          <w:sz w:val="27"/>
          <w:rtl/>
          <w:lang w:bidi="ar-MA"/>
        </w:rPr>
        <w:t>ُ</w:t>
      </w:r>
      <w:r w:rsidRPr="006571AC">
        <w:rPr>
          <w:rFonts w:hint="cs"/>
          <w:sz w:val="27"/>
          <w:rtl/>
          <w:lang w:bidi="ar-MA"/>
        </w:rPr>
        <w:t>د</w:t>
      </w:r>
      <w:r w:rsidR="00705B9D" w:rsidRPr="006571AC">
        <w:rPr>
          <w:rFonts w:hint="cs"/>
          <w:sz w:val="27"/>
          <w:rtl/>
          <w:lang w:bidi="ar-MA"/>
        </w:rPr>
        <w:t>ْ</w:t>
      </w:r>
      <w:r w:rsidRPr="006571AC">
        <w:rPr>
          <w:rFonts w:hint="cs"/>
          <w:sz w:val="27"/>
          <w:rtl/>
          <w:lang w:bidi="ar-MA"/>
        </w:rPr>
        <w:t xml:space="preserve"> </w:t>
      </w:r>
      <w:r w:rsidR="00705B9D" w:rsidRPr="006571AC">
        <w:rPr>
          <w:rFonts w:hint="cs"/>
          <w:sz w:val="27"/>
          <w:rtl/>
          <w:lang w:bidi="ar-MA"/>
        </w:rPr>
        <w:t>ضروريةً</w:t>
      </w:r>
      <w:r w:rsidRPr="006571AC">
        <w:rPr>
          <w:rFonts w:ascii="Arabic Transparent" w:hAnsi="Arabic Transparent" w:hint="cs"/>
          <w:sz w:val="27"/>
          <w:shd w:val="clear" w:color="auto" w:fill="FFFFFF"/>
          <w:rtl/>
        </w:rPr>
        <w:t xml:space="preserve"> </w:t>
      </w:r>
      <w:r w:rsidRPr="006571AC">
        <w:rPr>
          <w:rFonts w:ascii="Arial" w:hAnsi="Arial"/>
          <w:sz w:val="27"/>
          <w:shd w:val="clear" w:color="auto" w:fill="FFFFFF"/>
          <w:rtl/>
        </w:rPr>
        <w:t>في عصره و</w:t>
      </w:r>
      <w:r w:rsidRPr="006571AC">
        <w:rPr>
          <w:rFonts w:hint="cs"/>
          <w:sz w:val="27"/>
          <w:rtl/>
          <w:lang w:bidi="ar-MA"/>
        </w:rPr>
        <w:t>زمنه</w:t>
      </w:r>
      <w:r w:rsidR="00705B9D" w:rsidRPr="006571AC">
        <w:rPr>
          <w:rFonts w:hint="cs"/>
          <w:sz w:val="27"/>
          <w:rtl/>
          <w:lang w:bidi="ar-MA"/>
        </w:rPr>
        <w:t>؛</w:t>
      </w:r>
      <w:r w:rsidRPr="006571AC">
        <w:rPr>
          <w:rFonts w:hint="cs"/>
          <w:sz w:val="27"/>
          <w:rtl/>
          <w:lang w:bidi="ar-MA"/>
        </w:rPr>
        <w:t xml:space="preserve"> </w:t>
      </w:r>
      <w:r w:rsidRPr="006571AC">
        <w:rPr>
          <w:rFonts w:ascii="Arial" w:hAnsi="Arial"/>
          <w:sz w:val="27"/>
          <w:shd w:val="clear" w:color="auto" w:fill="FFFFFF"/>
          <w:rtl/>
        </w:rPr>
        <w:t>إذ</w:t>
      </w:r>
      <w:r w:rsidR="00705B9D" w:rsidRPr="006571AC">
        <w:rPr>
          <w:rFonts w:ascii="Arial" w:hAnsi="Arial" w:hint="cs"/>
          <w:sz w:val="27"/>
          <w:shd w:val="clear" w:color="auto" w:fill="FFFFFF"/>
          <w:rtl/>
        </w:rPr>
        <w:t xml:space="preserve"> </w:t>
      </w:r>
      <w:r w:rsidRPr="006571AC">
        <w:rPr>
          <w:rFonts w:ascii="Arial" w:hAnsi="Arial"/>
          <w:sz w:val="27"/>
          <w:shd w:val="clear" w:color="auto" w:fill="FFFFFF"/>
          <w:rtl/>
        </w:rPr>
        <w:t xml:space="preserve">انقرضت المبتدعة </w:t>
      </w:r>
      <w:r w:rsidRPr="006571AC">
        <w:rPr>
          <w:rFonts w:ascii="Arial" w:hAnsi="Arial" w:hint="cs"/>
          <w:sz w:val="27"/>
          <w:shd w:val="clear" w:color="auto" w:fill="FFFFFF"/>
          <w:rtl/>
        </w:rPr>
        <w:t>والملحدة</w:t>
      </w:r>
      <w:r w:rsidR="00705B9D" w:rsidRPr="006571AC">
        <w:rPr>
          <w:rFonts w:ascii="Arial" w:hAnsi="Arial" w:hint="cs"/>
          <w:sz w:val="27"/>
          <w:shd w:val="clear" w:color="auto" w:fill="FFFFFF"/>
          <w:rtl/>
        </w:rPr>
        <w:t>،</w:t>
      </w:r>
      <w:r w:rsidRPr="006571AC">
        <w:rPr>
          <w:rFonts w:ascii="Arial" w:hAnsi="Arial" w:hint="cs"/>
          <w:sz w:val="27"/>
          <w:shd w:val="clear" w:color="auto" w:fill="FFFFFF"/>
          <w:rtl/>
        </w:rPr>
        <w:t xml:space="preserve"> </w:t>
      </w:r>
      <w:r w:rsidRPr="006571AC">
        <w:rPr>
          <w:rFonts w:ascii="Arial" w:hAnsi="Arial" w:hint="cs"/>
          <w:sz w:val="27"/>
          <w:rtl/>
          <w:lang w:bidi="ar-MA"/>
        </w:rPr>
        <w:t>ولم يع</w:t>
      </w:r>
      <w:r w:rsidR="00705B9D" w:rsidRPr="006571AC">
        <w:rPr>
          <w:rFonts w:ascii="Arial" w:hAnsi="Arial" w:hint="cs"/>
          <w:sz w:val="27"/>
          <w:rtl/>
          <w:lang w:bidi="ar-MA"/>
        </w:rPr>
        <w:t>ُ</w:t>
      </w:r>
      <w:r w:rsidRPr="006571AC">
        <w:rPr>
          <w:rFonts w:ascii="Arial" w:hAnsi="Arial" w:hint="cs"/>
          <w:sz w:val="27"/>
          <w:rtl/>
          <w:lang w:bidi="ar-MA"/>
        </w:rPr>
        <w:t>د</w:t>
      </w:r>
      <w:r w:rsidR="00705B9D" w:rsidRPr="006571AC">
        <w:rPr>
          <w:rFonts w:ascii="Arial" w:hAnsi="Arial" w:hint="cs"/>
          <w:sz w:val="27"/>
          <w:rtl/>
          <w:lang w:bidi="ar-MA"/>
        </w:rPr>
        <w:t>ْ</w:t>
      </w:r>
      <w:r w:rsidRPr="006571AC">
        <w:rPr>
          <w:rFonts w:ascii="Arial" w:hAnsi="Arial" w:hint="cs"/>
          <w:sz w:val="27"/>
          <w:rtl/>
          <w:lang w:bidi="ar-MA"/>
        </w:rPr>
        <w:t xml:space="preserve"> لهم تواجد</w:t>
      </w:r>
      <w:r w:rsidR="00251ACD" w:rsidRPr="006571AC">
        <w:rPr>
          <w:rFonts w:ascii="Arial" w:hAnsi="Arial" w:hint="cs"/>
          <w:sz w:val="27"/>
          <w:rtl/>
          <w:lang w:bidi="ar-MA"/>
        </w:rPr>
        <w:t>ٌ</w:t>
      </w:r>
      <w:r w:rsidRPr="006571AC">
        <w:rPr>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لكن</w:t>
      </w:r>
      <w:r w:rsidR="00705B9D" w:rsidRPr="006571AC">
        <w:rPr>
          <w:rFonts w:ascii="Arial" w:hAnsi="Arial" w:hint="cs"/>
          <w:sz w:val="27"/>
          <w:rtl/>
          <w:lang w:bidi="ar-MA"/>
        </w:rPr>
        <w:t>ّ</w:t>
      </w:r>
      <w:r w:rsidRPr="006571AC">
        <w:rPr>
          <w:rFonts w:ascii="Arial" w:hAnsi="Arial" w:hint="cs"/>
          <w:sz w:val="27"/>
          <w:rtl/>
          <w:lang w:bidi="ar-MA"/>
        </w:rPr>
        <w:t xml:space="preserve"> من الباحثين م</w:t>
      </w:r>
      <w:r w:rsidR="00705B9D" w:rsidRPr="006571AC">
        <w:rPr>
          <w:rFonts w:ascii="Arial" w:hAnsi="Arial" w:hint="cs"/>
          <w:sz w:val="27"/>
          <w:rtl/>
          <w:lang w:bidi="ar-MA"/>
        </w:rPr>
        <w:t>َ</w:t>
      </w:r>
      <w:r w:rsidRPr="006571AC">
        <w:rPr>
          <w:rFonts w:ascii="Arial" w:hAnsi="Arial" w:hint="cs"/>
          <w:sz w:val="27"/>
          <w:rtl/>
          <w:lang w:bidi="ar-MA"/>
        </w:rPr>
        <w:t>ن</w:t>
      </w:r>
      <w:r w:rsidR="00705B9D" w:rsidRPr="006571AC">
        <w:rPr>
          <w:rFonts w:ascii="Arial" w:hAnsi="Arial" w:hint="cs"/>
          <w:sz w:val="27"/>
          <w:rtl/>
          <w:lang w:bidi="ar-MA"/>
        </w:rPr>
        <w:t>ْ</w:t>
      </w:r>
      <w:r w:rsidRPr="006571AC">
        <w:rPr>
          <w:rFonts w:ascii="Arial" w:hAnsi="Arial" w:hint="cs"/>
          <w:sz w:val="27"/>
          <w:rtl/>
          <w:lang w:bidi="ar-MA"/>
        </w:rPr>
        <w:t xml:space="preserve"> يرى أن المعيار الحاكم للعلوم، والذي كانت ترجع إليه العلوم في التراث العربي الإسلامي</w:t>
      </w:r>
      <w:r w:rsidR="00705B9D" w:rsidRPr="006571AC">
        <w:rPr>
          <w:rFonts w:ascii="Arial" w:hAnsi="Arial" w:hint="cs"/>
          <w:sz w:val="27"/>
          <w:rtl/>
          <w:lang w:bidi="ar-MA"/>
        </w:rPr>
        <w:t>،</w:t>
      </w:r>
      <w:r w:rsidRPr="006571AC">
        <w:rPr>
          <w:rFonts w:ascii="Arial" w:hAnsi="Arial" w:hint="cs"/>
          <w:sz w:val="27"/>
          <w:rtl/>
          <w:lang w:bidi="ar-MA"/>
        </w:rPr>
        <w:t xml:space="preserve"> هو معيار الجدوى والمنفعة</w:t>
      </w:r>
      <w:r w:rsidR="00705B9D" w:rsidRPr="006571AC">
        <w:rPr>
          <w:rFonts w:ascii="Arial" w:hAnsi="Arial" w:hint="cs"/>
          <w:sz w:val="27"/>
          <w:rtl/>
          <w:lang w:bidi="ar-MA"/>
        </w:rPr>
        <w:t>؛</w:t>
      </w:r>
      <w:r w:rsidRPr="006571AC">
        <w:rPr>
          <w:rFonts w:ascii="Arial" w:hAnsi="Arial" w:hint="cs"/>
          <w:sz w:val="27"/>
          <w:rtl/>
          <w:lang w:bidi="ar-MA"/>
        </w:rPr>
        <w:t xml:space="preserve"> فقيمة العلم في الإسلام ما أد</w:t>
      </w:r>
      <w:r w:rsidR="00705B9D" w:rsidRPr="006571AC">
        <w:rPr>
          <w:rFonts w:ascii="Arial" w:hAnsi="Arial" w:hint="cs"/>
          <w:sz w:val="27"/>
          <w:rtl/>
          <w:lang w:bidi="ar-MA"/>
        </w:rPr>
        <w:t>ّ</w:t>
      </w:r>
      <w:r w:rsidRPr="006571AC">
        <w:rPr>
          <w:rFonts w:ascii="Arial" w:hAnsi="Arial" w:hint="cs"/>
          <w:sz w:val="27"/>
          <w:rtl/>
          <w:lang w:bidi="ar-MA"/>
        </w:rPr>
        <w:t>ى إلى الخلاص في الدنيا والآخرة</w:t>
      </w:r>
      <w:r w:rsidR="00705B9D" w:rsidRPr="006571AC">
        <w:rPr>
          <w:rFonts w:ascii="Arial" w:hAnsi="Arial" w:hint="cs"/>
          <w:sz w:val="27"/>
          <w:rtl/>
          <w:lang w:bidi="ar-MA"/>
        </w:rPr>
        <w:t>،</w:t>
      </w:r>
      <w:r w:rsidRPr="006571AC">
        <w:rPr>
          <w:rFonts w:ascii="Arial" w:hAnsi="Arial" w:hint="cs"/>
          <w:sz w:val="27"/>
          <w:rtl/>
          <w:lang w:bidi="ar-MA"/>
        </w:rPr>
        <w:t xml:space="preserve"> فلا أفضلية لأي</w:t>
      </w:r>
      <w:r w:rsidR="00705B9D" w:rsidRPr="006571AC">
        <w:rPr>
          <w:rFonts w:ascii="Arial" w:hAnsi="Arial" w:hint="cs"/>
          <w:sz w:val="27"/>
          <w:rtl/>
          <w:lang w:bidi="ar-MA"/>
        </w:rPr>
        <w:t>ٍّ</w:t>
      </w:r>
      <w:r w:rsidRPr="006571AC">
        <w:rPr>
          <w:rFonts w:ascii="Arial" w:hAnsi="Arial" w:hint="cs"/>
          <w:sz w:val="27"/>
          <w:rtl/>
          <w:lang w:bidi="ar-MA"/>
        </w:rPr>
        <w:t xml:space="preserve"> على ال</w:t>
      </w:r>
      <w:r w:rsidR="00705B9D" w:rsidRPr="006571AC">
        <w:rPr>
          <w:rFonts w:ascii="Arial" w:hAnsi="Arial" w:hint="cs"/>
          <w:sz w:val="27"/>
          <w:rtl/>
          <w:lang w:bidi="ar-MA"/>
        </w:rPr>
        <w:t>آ</w:t>
      </w:r>
      <w:r w:rsidRPr="006571AC">
        <w:rPr>
          <w:rFonts w:ascii="Arial" w:hAnsi="Arial" w:hint="cs"/>
          <w:sz w:val="27"/>
          <w:rtl/>
          <w:lang w:bidi="ar-MA"/>
        </w:rPr>
        <w:t>خر، وإنما الأفضلية تكون بما يحمله العلم من منفعة</w:t>
      </w:r>
      <w:r w:rsidR="00705B9D" w:rsidRPr="006571AC">
        <w:rPr>
          <w:rFonts w:ascii="Arial" w:hAnsi="Arial" w:hint="cs"/>
          <w:sz w:val="27"/>
          <w:rtl/>
          <w:lang w:bidi="ar-MA"/>
        </w:rPr>
        <w:t>ٍ</w:t>
      </w:r>
      <w:r w:rsidRPr="006571AC">
        <w:rPr>
          <w:rFonts w:ascii="Arial" w:hAnsi="Arial" w:hint="cs"/>
          <w:sz w:val="27"/>
          <w:rtl/>
          <w:lang w:bidi="ar-MA"/>
        </w:rPr>
        <w:t xml:space="preserve"> وفائدة للإنسان</w:t>
      </w:r>
      <w:r w:rsidRPr="006571AC">
        <w:rPr>
          <w:rFonts w:ascii="Arial" w:hAnsi="Arial"/>
          <w:sz w:val="27"/>
          <w:vertAlign w:val="superscript"/>
          <w:rtl/>
          <w:lang w:bidi="ar-MA"/>
        </w:rPr>
        <w:t>(</w:t>
      </w:r>
      <w:r w:rsidRPr="006571AC">
        <w:rPr>
          <w:rStyle w:val="ac"/>
          <w:sz w:val="27"/>
          <w:rtl/>
          <w:lang w:bidi="ar-MA"/>
        </w:rPr>
        <w:endnoteReference w:id="752"/>
      </w:r>
      <w:r w:rsidRPr="006571AC">
        <w:rPr>
          <w:rFonts w:ascii="Arial" w:hAnsi="Arial"/>
          <w:sz w:val="27"/>
          <w:vertAlign w:val="superscript"/>
          <w:rtl/>
          <w:lang w:bidi="ar-MA"/>
        </w:rPr>
        <w:t>)</w:t>
      </w:r>
      <w:r w:rsidRPr="006571AC">
        <w:rPr>
          <w:rFonts w:ascii="Arial" w:hAnsi="Arial"/>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فأفضل العلوم</w:t>
      </w:r>
      <w:r w:rsidR="00705B9D" w:rsidRPr="006571AC">
        <w:rPr>
          <w:rFonts w:ascii="Arial" w:hAnsi="Arial" w:hint="cs"/>
          <w:sz w:val="27"/>
          <w:rtl/>
          <w:lang w:bidi="ar-MA"/>
        </w:rPr>
        <w:t>،</w:t>
      </w:r>
      <w:r w:rsidRPr="006571AC">
        <w:rPr>
          <w:rFonts w:ascii="Arial" w:hAnsi="Arial" w:hint="cs"/>
          <w:sz w:val="27"/>
          <w:rtl/>
          <w:lang w:bidi="ar-MA"/>
        </w:rPr>
        <w:t xml:space="preserve"> </w:t>
      </w:r>
      <w:r w:rsidR="00705B9D" w:rsidRPr="006571AC">
        <w:rPr>
          <w:rFonts w:ascii="Arial" w:hAnsi="Arial" w:hint="cs"/>
          <w:sz w:val="27"/>
          <w:rtl/>
          <w:lang w:bidi="ar-MA"/>
        </w:rPr>
        <w:t>ك</w:t>
      </w:r>
      <w:r w:rsidRPr="006571AC">
        <w:rPr>
          <w:rFonts w:ascii="Arial" w:hAnsi="Arial" w:hint="cs"/>
          <w:sz w:val="27"/>
          <w:rtl/>
          <w:lang w:bidi="ar-MA"/>
        </w:rPr>
        <w:t>ما قال ابن حزم</w:t>
      </w:r>
      <w:r w:rsidR="00705B9D" w:rsidRPr="006571AC">
        <w:rPr>
          <w:rFonts w:ascii="Arial" w:hAnsi="Arial" w:hint="cs"/>
          <w:sz w:val="27"/>
          <w:rtl/>
          <w:lang w:bidi="ar-MA"/>
        </w:rPr>
        <w:t xml:space="preserve">، </w:t>
      </w:r>
      <w:r w:rsidR="00705B9D" w:rsidRPr="006571AC">
        <w:rPr>
          <w:rFonts w:hint="eastAsia"/>
          <w:sz w:val="24"/>
          <w:szCs w:val="24"/>
          <w:rtl/>
        </w:rPr>
        <w:t>«</w:t>
      </w:r>
      <w:r w:rsidRPr="006571AC">
        <w:rPr>
          <w:rFonts w:ascii="Arial" w:hAnsi="Arial" w:hint="cs"/>
          <w:sz w:val="27"/>
          <w:rtl/>
          <w:lang w:bidi="ar-MA"/>
        </w:rPr>
        <w:t>ما أد</w:t>
      </w:r>
      <w:r w:rsidR="00705B9D" w:rsidRPr="006571AC">
        <w:rPr>
          <w:rFonts w:ascii="Arial" w:hAnsi="Arial" w:hint="cs"/>
          <w:sz w:val="27"/>
          <w:rtl/>
          <w:lang w:bidi="ar-MA"/>
        </w:rPr>
        <w:t>ّ</w:t>
      </w:r>
      <w:r w:rsidRPr="006571AC">
        <w:rPr>
          <w:rFonts w:ascii="Arial" w:hAnsi="Arial" w:hint="cs"/>
          <w:sz w:val="27"/>
          <w:rtl/>
          <w:lang w:bidi="ar-MA"/>
        </w:rPr>
        <w:t>ى إلى الخلاص في دار الخلود، ووصل إلى الفوز في دار البقاء</w:t>
      </w:r>
      <w:r w:rsidR="00705B9D" w:rsidRPr="006571AC">
        <w:rPr>
          <w:rFonts w:hint="eastAsia"/>
          <w:sz w:val="24"/>
          <w:szCs w:val="24"/>
          <w:rtl/>
        </w:rPr>
        <w:t>»</w:t>
      </w:r>
      <w:r w:rsidRPr="006571AC">
        <w:rPr>
          <w:rFonts w:ascii="Arial" w:hAnsi="Arial"/>
          <w:sz w:val="27"/>
          <w:vertAlign w:val="superscript"/>
          <w:rtl/>
          <w:lang w:bidi="ar-MA"/>
        </w:rPr>
        <w:t>(</w:t>
      </w:r>
      <w:r w:rsidRPr="006571AC">
        <w:rPr>
          <w:rStyle w:val="ac"/>
          <w:sz w:val="27"/>
          <w:rtl/>
          <w:lang w:bidi="ar-MA"/>
        </w:rPr>
        <w:endnoteReference w:id="753"/>
      </w:r>
      <w:r w:rsidRPr="006571AC">
        <w:rPr>
          <w:rFonts w:ascii="Arial" w:hAnsi="Arial"/>
          <w:sz w:val="27"/>
          <w:vertAlign w:val="superscript"/>
          <w:rtl/>
          <w:lang w:bidi="ar-MA"/>
        </w:rPr>
        <w:t>)</w:t>
      </w:r>
      <w:r w:rsidRPr="006571AC">
        <w:rPr>
          <w:rFonts w:ascii="Arial" w:hAnsi="Arial"/>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فحت</w:t>
      </w:r>
      <w:r w:rsidR="0016589D" w:rsidRPr="006571AC">
        <w:rPr>
          <w:rFonts w:ascii="Arial" w:hAnsi="Arial" w:hint="cs"/>
          <w:sz w:val="27"/>
          <w:rtl/>
          <w:lang w:bidi="ar-MA"/>
        </w:rPr>
        <w:t>ّ</w:t>
      </w:r>
      <w:r w:rsidRPr="006571AC">
        <w:rPr>
          <w:rFonts w:ascii="Arial" w:hAnsi="Arial" w:hint="cs"/>
          <w:sz w:val="27"/>
          <w:rtl/>
          <w:lang w:bidi="ar-MA"/>
        </w:rPr>
        <w:t>ى العلوم التي دخلت إلى دار الإسلام في العصر العباسي إنما نشأ</w:t>
      </w:r>
      <w:r w:rsidR="0016589D" w:rsidRPr="006571AC">
        <w:rPr>
          <w:rFonts w:ascii="Arial" w:hAnsi="Arial" w:hint="cs"/>
          <w:sz w:val="27"/>
          <w:rtl/>
          <w:lang w:bidi="ar-MA"/>
        </w:rPr>
        <w:t>َ</w:t>
      </w:r>
      <w:r w:rsidRPr="006571AC">
        <w:rPr>
          <w:rFonts w:ascii="Arial" w:hAnsi="Arial" w:hint="cs"/>
          <w:sz w:val="27"/>
          <w:rtl/>
          <w:lang w:bidi="ar-MA"/>
        </w:rPr>
        <w:t>ت</w:t>
      </w:r>
      <w:r w:rsidR="0016589D" w:rsidRPr="006571AC">
        <w:rPr>
          <w:rFonts w:ascii="Arial" w:hAnsi="Arial" w:hint="cs"/>
          <w:sz w:val="27"/>
          <w:rtl/>
          <w:lang w:bidi="ar-MA"/>
        </w:rPr>
        <w:t>ْ</w:t>
      </w:r>
      <w:r w:rsidRPr="006571AC">
        <w:rPr>
          <w:rFonts w:ascii="Arial" w:hAnsi="Arial" w:hint="cs"/>
          <w:sz w:val="27"/>
          <w:rtl/>
          <w:lang w:bidi="ar-MA"/>
        </w:rPr>
        <w:t xml:space="preserve"> لدواع</w:t>
      </w:r>
      <w:r w:rsidR="0016589D" w:rsidRPr="006571AC">
        <w:rPr>
          <w:rFonts w:ascii="Arial" w:hAnsi="Arial" w:hint="cs"/>
          <w:sz w:val="27"/>
          <w:rtl/>
          <w:lang w:bidi="ar-MA"/>
        </w:rPr>
        <w:t>ٍ</w:t>
      </w:r>
      <w:r w:rsidRPr="006571AC">
        <w:rPr>
          <w:rFonts w:ascii="Arial" w:hAnsi="Arial" w:hint="cs"/>
          <w:sz w:val="27"/>
          <w:rtl/>
          <w:lang w:bidi="ar-MA"/>
        </w:rPr>
        <w:t xml:space="preserve"> حضارية وبواعث ثقافية</w:t>
      </w:r>
      <w:r w:rsidR="0016589D" w:rsidRPr="006571AC">
        <w:rPr>
          <w:rFonts w:ascii="Arial" w:hAnsi="Arial" w:hint="cs"/>
          <w:sz w:val="27"/>
          <w:rtl/>
          <w:lang w:bidi="ar-MA"/>
        </w:rPr>
        <w:t>،</w:t>
      </w:r>
      <w:r w:rsidRPr="006571AC">
        <w:rPr>
          <w:rFonts w:ascii="Arial" w:hAnsi="Arial" w:hint="cs"/>
          <w:sz w:val="27"/>
          <w:rtl/>
          <w:lang w:bidi="ar-MA"/>
        </w:rPr>
        <w:t xml:space="preserve"> </w:t>
      </w:r>
      <w:r w:rsidR="0016589D" w:rsidRPr="006571AC">
        <w:rPr>
          <w:rFonts w:ascii="Arial" w:hAnsi="Arial" w:hint="cs"/>
          <w:sz w:val="27"/>
          <w:rtl/>
          <w:lang w:bidi="ar-MA"/>
        </w:rPr>
        <w:t>و</w:t>
      </w:r>
      <w:r w:rsidRPr="006571AC">
        <w:rPr>
          <w:rFonts w:ascii="Arial" w:hAnsi="Arial" w:hint="cs"/>
          <w:sz w:val="27"/>
          <w:rtl/>
          <w:lang w:bidi="ar-MA"/>
        </w:rPr>
        <w:t xml:space="preserve">من </w:t>
      </w:r>
      <w:r w:rsidR="0016589D" w:rsidRPr="006571AC">
        <w:rPr>
          <w:rFonts w:ascii="Arial" w:hAnsi="Arial" w:hint="cs"/>
          <w:sz w:val="27"/>
          <w:rtl/>
          <w:lang w:bidi="ar-MA"/>
        </w:rPr>
        <w:t>أ</w:t>
      </w:r>
      <w:r w:rsidRPr="006571AC">
        <w:rPr>
          <w:rFonts w:ascii="Arial" w:hAnsi="Arial" w:hint="cs"/>
          <w:sz w:val="27"/>
          <w:rtl/>
          <w:lang w:bidi="ar-MA"/>
        </w:rPr>
        <w:t>برز هذه الدوافع الحاجة إل</w:t>
      </w:r>
      <w:r w:rsidR="0016589D" w:rsidRPr="006571AC">
        <w:rPr>
          <w:rFonts w:ascii="Arial" w:hAnsi="Arial" w:hint="cs"/>
          <w:sz w:val="27"/>
          <w:rtl/>
          <w:lang w:bidi="ar-MA"/>
        </w:rPr>
        <w:t>ى</w:t>
      </w:r>
      <w:r w:rsidRPr="006571AC">
        <w:rPr>
          <w:rFonts w:ascii="Arial" w:hAnsi="Arial" w:hint="cs"/>
          <w:sz w:val="27"/>
          <w:rtl/>
          <w:lang w:bidi="ar-MA"/>
        </w:rPr>
        <w:t xml:space="preserve"> هذه العلوم</w:t>
      </w:r>
      <w:r w:rsidR="0016589D" w:rsidRPr="006571AC">
        <w:rPr>
          <w:rFonts w:ascii="Arial" w:hAnsi="Arial" w:hint="cs"/>
          <w:sz w:val="27"/>
          <w:rtl/>
          <w:lang w:bidi="ar-MA"/>
        </w:rPr>
        <w:t>؛</w:t>
      </w:r>
      <w:r w:rsidRPr="006571AC">
        <w:rPr>
          <w:rFonts w:ascii="Arial" w:hAnsi="Arial" w:hint="cs"/>
          <w:sz w:val="27"/>
          <w:rtl/>
          <w:lang w:bidi="ar-MA"/>
        </w:rPr>
        <w:t xml:space="preserve"> إذ لم تكن هذه النشأة مجر</w:t>
      </w:r>
      <w:r w:rsidR="0016589D" w:rsidRPr="006571AC">
        <w:rPr>
          <w:rFonts w:ascii="Arial" w:hAnsi="Arial" w:hint="cs"/>
          <w:sz w:val="27"/>
          <w:rtl/>
          <w:lang w:bidi="ar-MA"/>
        </w:rPr>
        <w:t>ّ</w:t>
      </w:r>
      <w:r w:rsidRPr="006571AC">
        <w:rPr>
          <w:rFonts w:ascii="Arial" w:hAnsi="Arial" w:hint="cs"/>
          <w:sz w:val="27"/>
          <w:rtl/>
          <w:lang w:bidi="ar-MA"/>
        </w:rPr>
        <w:t>د ت</w:t>
      </w:r>
      <w:r w:rsidR="0016589D" w:rsidRPr="006571AC">
        <w:rPr>
          <w:rFonts w:ascii="Arial" w:hAnsi="Arial" w:hint="cs"/>
          <w:sz w:val="27"/>
          <w:rtl/>
          <w:lang w:bidi="ar-MA"/>
        </w:rPr>
        <w:t>َ</w:t>
      </w:r>
      <w:r w:rsidRPr="006571AC">
        <w:rPr>
          <w:rFonts w:ascii="Arial" w:hAnsi="Arial" w:hint="cs"/>
          <w:sz w:val="27"/>
          <w:rtl/>
          <w:lang w:bidi="ar-MA"/>
        </w:rPr>
        <w:t>ر</w:t>
      </w:r>
      <w:r w:rsidR="0016589D" w:rsidRPr="006571AC">
        <w:rPr>
          <w:rFonts w:ascii="Arial" w:hAnsi="Arial" w:hint="cs"/>
          <w:sz w:val="27"/>
          <w:rtl/>
          <w:lang w:bidi="ar-MA"/>
        </w:rPr>
        <w:t>َ</w:t>
      </w:r>
      <w:r w:rsidRPr="006571AC">
        <w:rPr>
          <w:rFonts w:ascii="Arial" w:hAnsi="Arial" w:hint="cs"/>
          <w:sz w:val="27"/>
          <w:rtl/>
          <w:lang w:bidi="ar-MA"/>
        </w:rPr>
        <w:t>ف</w:t>
      </w:r>
      <w:r w:rsidR="0016589D" w:rsidRPr="006571AC">
        <w:rPr>
          <w:rFonts w:ascii="Arial" w:hAnsi="Arial" w:hint="cs"/>
          <w:sz w:val="27"/>
          <w:rtl/>
          <w:lang w:bidi="ar-MA"/>
        </w:rPr>
        <w:t>ٍ</w:t>
      </w:r>
      <w:r w:rsidRPr="006571AC">
        <w:rPr>
          <w:rFonts w:ascii="Arial" w:hAnsi="Arial" w:hint="cs"/>
          <w:sz w:val="27"/>
          <w:rtl/>
          <w:lang w:bidi="ar-MA"/>
        </w:rPr>
        <w:t xml:space="preserve"> فكري</w:t>
      </w:r>
      <w:r w:rsidR="0016589D" w:rsidRPr="006571AC">
        <w:rPr>
          <w:rFonts w:ascii="Arial" w:hAnsi="Arial" w:hint="cs"/>
          <w:sz w:val="27"/>
          <w:rtl/>
          <w:lang w:bidi="ar-MA"/>
        </w:rPr>
        <w:t>،</w:t>
      </w:r>
      <w:r w:rsidRPr="006571AC">
        <w:rPr>
          <w:rFonts w:ascii="Arial" w:hAnsi="Arial" w:hint="cs"/>
          <w:sz w:val="27"/>
          <w:rtl/>
          <w:lang w:bidi="ar-MA"/>
        </w:rPr>
        <w:t xml:space="preserve"> أو نشأت دون حاجة</w:t>
      </w:r>
      <w:r w:rsidR="0016589D" w:rsidRPr="006571AC">
        <w:rPr>
          <w:rFonts w:ascii="Arial" w:hAnsi="Arial" w:hint="cs"/>
          <w:sz w:val="27"/>
          <w:rtl/>
          <w:lang w:bidi="ar-MA"/>
        </w:rPr>
        <w:t>ٍ</w:t>
      </w:r>
      <w:r w:rsidRPr="006571AC">
        <w:rPr>
          <w:rFonts w:ascii="Arial" w:hAnsi="Arial" w:hint="cs"/>
          <w:sz w:val="27"/>
          <w:rtl/>
          <w:lang w:bidi="ar-MA"/>
        </w:rPr>
        <w:t>، وإنما نش</w:t>
      </w:r>
      <w:r w:rsidR="0016589D" w:rsidRPr="006571AC">
        <w:rPr>
          <w:rFonts w:ascii="Arial" w:hAnsi="Arial" w:hint="cs"/>
          <w:sz w:val="27"/>
          <w:rtl/>
          <w:lang w:bidi="ar-MA"/>
        </w:rPr>
        <w:t>أ</w:t>
      </w:r>
      <w:r w:rsidRPr="006571AC">
        <w:rPr>
          <w:rFonts w:ascii="Arial" w:hAnsi="Arial" w:hint="cs"/>
          <w:sz w:val="27"/>
          <w:rtl/>
          <w:lang w:bidi="ar-MA"/>
        </w:rPr>
        <w:t xml:space="preserve"> العلم في الإسلام لدواع</w:t>
      </w:r>
      <w:r w:rsidR="0016589D" w:rsidRPr="006571AC">
        <w:rPr>
          <w:rFonts w:ascii="Arial" w:hAnsi="Arial" w:hint="cs"/>
          <w:sz w:val="27"/>
          <w:rtl/>
          <w:lang w:bidi="ar-MA"/>
        </w:rPr>
        <w:t>ٍ</w:t>
      </w:r>
      <w:r w:rsidRPr="006571AC">
        <w:rPr>
          <w:rFonts w:ascii="Arial" w:hAnsi="Arial" w:hint="cs"/>
          <w:sz w:val="27"/>
          <w:rtl/>
          <w:lang w:bidi="ar-MA"/>
        </w:rPr>
        <w:t xml:space="preserve"> اقتض</w:t>
      </w:r>
      <w:r w:rsidR="00251ACD" w:rsidRPr="006571AC">
        <w:rPr>
          <w:rFonts w:ascii="Arial" w:hAnsi="Arial" w:hint="cs"/>
          <w:sz w:val="27"/>
          <w:rtl/>
          <w:lang w:bidi="ar-MA"/>
        </w:rPr>
        <w:t>َ</w:t>
      </w:r>
      <w:r w:rsidR="0016589D" w:rsidRPr="006571AC">
        <w:rPr>
          <w:rFonts w:ascii="Arial" w:hAnsi="Arial" w:hint="cs"/>
          <w:sz w:val="27"/>
          <w:rtl/>
          <w:lang w:bidi="ar-MA"/>
        </w:rPr>
        <w:t>ت</w:t>
      </w:r>
      <w:r w:rsidR="00251ACD" w:rsidRPr="006571AC">
        <w:rPr>
          <w:rFonts w:ascii="Arial" w:hAnsi="Arial" w:hint="cs"/>
          <w:sz w:val="27"/>
          <w:rtl/>
          <w:lang w:bidi="ar-MA"/>
        </w:rPr>
        <w:t>ْ</w:t>
      </w:r>
      <w:r w:rsidRPr="006571AC">
        <w:rPr>
          <w:rFonts w:ascii="Arial" w:hAnsi="Arial" w:hint="cs"/>
          <w:sz w:val="27"/>
          <w:rtl/>
          <w:lang w:bidi="ar-MA"/>
        </w:rPr>
        <w:t xml:space="preserve">ها الحاجة الحضارية </w:t>
      </w:r>
      <w:r w:rsidR="0016589D" w:rsidRPr="006571AC">
        <w:rPr>
          <w:rFonts w:ascii="Arial" w:hAnsi="Arial" w:hint="cs"/>
          <w:sz w:val="27"/>
          <w:rtl/>
          <w:lang w:bidi="ar-MA"/>
        </w:rPr>
        <w:t xml:space="preserve">إلى </w:t>
      </w:r>
      <w:r w:rsidRPr="006571AC">
        <w:rPr>
          <w:rFonts w:ascii="Arial" w:hAnsi="Arial" w:hint="cs"/>
          <w:sz w:val="27"/>
          <w:rtl/>
          <w:lang w:bidi="ar-MA"/>
        </w:rPr>
        <w:t>ذلك العلم</w:t>
      </w:r>
      <w:r w:rsidR="0016589D" w:rsidRPr="006571AC">
        <w:rPr>
          <w:rFonts w:ascii="Arial" w:hAnsi="Arial" w:hint="cs"/>
          <w:sz w:val="27"/>
          <w:rtl/>
          <w:lang w:bidi="ar-MA"/>
        </w:rPr>
        <w:t>؛</w:t>
      </w:r>
      <w:r w:rsidRPr="006571AC">
        <w:rPr>
          <w:rFonts w:ascii="Arial" w:hAnsi="Arial" w:hint="cs"/>
          <w:sz w:val="27"/>
          <w:rtl/>
          <w:lang w:bidi="ar-MA"/>
        </w:rPr>
        <w:t xml:space="preserve"> للإجابة ع</w:t>
      </w:r>
      <w:r w:rsidR="0016589D" w:rsidRPr="006571AC">
        <w:rPr>
          <w:rFonts w:ascii="Arial" w:hAnsi="Arial" w:hint="cs"/>
          <w:sz w:val="27"/>
          <w:rtl/>
          <w:lang w:bidi="ar-MA"/>
        </w:rPr>
        <w:t>ن</w:t>
      </w:r>
      <w:r w:rsidRPr="006571AC">
        <w:rPr>
          <w:rFonts w:ascii="Arial" w:hAnsi="Arial" w:hint="cs"/>
          <w:sz w:val="27"/>
          <w:rtl/>
          <w:lang w:bidi="ar-MA"/>
        </w:rPr>
        <w:t xml:space="preserve"> المشاغل والمشاكل التي مر</w:t>
      </w:r>
      <w:r w:rsidR="0016589D" w:rsidRPr="006571AC">
        <w:rPr>
          <w:rFonts w:ascii="Arial" w:hAnsi="Arial" w:hint="cs"/>
          <w:sz w:val="27"/>
          <w:rtl/>
          <w:lang w:bidi="ar-MA"/>
        </w:rPr>
        <w:t>َّ</w:t>
      </w:r>
      <w:r w:rsidRPr="006571AC">
        <w:rPr>
          <w:rFonts w:ascii="Arial" w:hAnsi="Arial" w:hint="cs"/>
          <w:sz w:val="27"/>
          <w:rtl/>
          <w:lang w:bidi="ar-MA"/>
        </w:rPr>
        <w:t xml:space="preserve">ت </w:t>
      </w:r>
      <w:r w:rsidR="0016589D" w:rsidRPr="006571AC">
        <w:rPr>
          <w:rFonts w:ascii="Arial" w:hAnsi="Arial" w:hint="cs"/>
          <w:sz w:val="27"/>
          <w:rtl/>
          <w:lang w:bidi="ar-MA"/>
        </w:rPr>
        <w:t>ب</w:t>
      </w:r>
      <w:r w:rsidRPr="006571AC">
        <w:rPr>
          <w:rFonts w:ascii="Arial" w:hAnsi="Arial" w:hint="cs"/>
          <w:sz w:val="27"/>
          <w:rtl/>
          <w:lang w:bidi="ar-MA"/>
        </w:rPr>
        <w:t>ها وعاش</w:t>
      </w:r>
      <w:r w:rsidR="0016589D" w:rsidRPr="006571AC">
        <w:rPr>
          <w:rFonts w:ascii="Arial" w:hAnsi="Arial" w:hint="cs"/>
          <w:sz w:val="27"/>
          <w:rtl/>
          <w:lang w:bidi="ar-MA"/>
        </w:rPr>
        <w:t>َ</w:t>
      </w:r>
      <w:r w:rsidRPr="006571AC">
        <w:rPr>
          <w:rFonts w:ascii="Arial" w:hAnsi="Arial" w:hint="cs"/>
          <w:sz w:val="27"/>
          <w:rtl/>
          <w:lang w:bidi="ar-MA"/>
        </w:rPr>
        <w:t>ت</w:t>
      </w:r>
      <w:r w:rsidR="0016589D" w:rsidRPr="006571AC">
        <w:rPr>
          <w:rFonts w:ascii="Arial" w:hAnsi="Arial" w:hint="cs"/>
          <w:sz w:val="27"/>
          <w:rtl/>
          <w:lang w:bidi="ar-MA"/>
        </w:rPr>
        <w:t>ْ</w:t>
      </w:r>
      <w:r w:rsidRPr="006571AC">
        <w:rPr>
          <w:rFonts w:ascii="Arial" w:hAnsi="Arial" w:hint="cs"/>
          <w:sz w:val="27"/>
          <w:rtl/>
          <w:lang w:bidi="ar-MA"/>
        </w:rPr>
        <w:t>ها الحضارة العربية الإسلامية</w:t>
      </w:r>
      <w:r w:rsidRPr="006571AC">
        <w:rPr>
          <w:rFonts w:ascii="Arial" w:hAnsi="Arial"/>
          <w:sz w:val="27"/>
          <w:vertAlign w:val="superscript"/>
          <w:rtl/>
          <w:lang w:bidi="ar-MA"/>
        </w:rPr>
        <w:t>(</w:t>
      </w:r>
      <w:r w:rsidRPr="006571AC">
        <w:rPr>
          <w:rStyle w:val="ac"/>
          <w:sz w:val="27"/>
          <w:rtl/>
          <w:lang w:bidi="ar-MA"/>
        </w:rPr>
        <w:endnoteReference w:id="754"/>
      </w:r>
      <w:r w:rsidRPr="006571AC">
        <w:rPr>
          <w:rFonts w:ascii="Arial" w:hAnsi="Arial"/>
          <w:sz w:val="27"/>
          <w:vertAlign w:val="superscript"/>
          <w:rtl/>
          <w:lang w:bidi="ar-MA"/>
        </w:rPr>
        <w:t>)</w:t>
      </w:r>
      <w:r w:rsidRPr="006571AC">
        <w:rPr>
          <w:rFonts w:ascii="Arial" w:hAnsi="Arial"/>
          <w:sz w:val="27"/>
          <w:rtl/>
          <w:lang w:bidi="ar-MA"/>
        </w:rPr>
        <w:t xml:space="preserve">. </w:t>
      </w:r>
    </w:p>
    <w:p w:rsidR="00932866" w:rsidRPr="006571AC" w:rsidRDefault="00932866" w:rsidP="00932866">
      <w:pPr>
        <w:spacing w:line="420" w:lineRule="exact"/>
        <w:rPr>
          <w:rFonts w:ascii="Arabic Typesetting" w:hAnsi="Arabic Typesetting"/>
          <w:sz w:val="27"/>
          <w:rtl/>
          <w:lang w:bidi="ar-LB"/>
        </w:rPr>
      </w:pPr>
    </w:p>
    <w:p w:rsidR="0043677F" w:rsidRPr="006571AC" w:rsidRDefault="0043677F" w:rsidP="00962F60">
      <w:pPr>
        <w:pStyle w:val="31"/>
        <w:rPr>
          <w:color w:val="auto"/>
          <w:rtl/>
          <w:lang w:bidi="ar-MA"/>
        </w:rPr>
      </w:pPr>
      <w:bookmarkStart w:id="448" w:name="_Toc114164856"/>
      <w:r w:rsidRPr="006571AC">
        <w:rPr>
          <w:rFonts w:hint="cs"/>
          <w:color w:val="auto"/>
          <w:rtl/>
          <w:lang w:bidi="ar-MA"/>
        </w:rPr>
        <w:t>مرجعي</w:t>
      </w:r>
      <w:r w:rsidR="00A54823" w:rsidRPr="006571AC">
        <w:rPr>
          <w:rFonts w:hint="cs"/>
          <w:color w:val="auto"/>
          <w:rtl/>
          <w:lang w:bidi="ar-MA"/>
        </w:rPr>
        <w:t>ّ</w:t>
      </w:r>
      <w:r w:rsidRPr="006571AC">
        <w:rPr>
          <w:rFonts w:hint="cs"/>
          <w:color w:val="auto"/>
          <w:rtl/>
          <w:lang w:bidi="ar-MA"/>
        </w:rPr>
        <w:t>ات الدعوى</w:t>
      </w:r>
      <w:bookmarkEnd w:id="448"/>
    </w:p>
    <w:p w:rsidR="0043677F" w:rsidRPr="006571AC" w:rsidRDefault="0043677F" w:rsidP="004F6064">
      <w:pPr>
        <w:rPr>
          <w:rFonts w:ascii="Arial" w:hAnsi="Arial"/>
          <w:sz w:val="27"/>
          <w:rtl/>
          <w:lang w:bidi="ar-MA"/>
        </w:rPr>
      </w:pPr>
      <w:r w:rsidRPr="006571AC">
        <w:rPr>
          <w:rFonts w:ascii="Arial" w:hAnsi="Arial" w:hint="cs"/>
          <w:sz w:val="27"/>
          <w:rtl/>
          <w:lang w:bidi="ar-MA"/>
        </w:rPr>
        <w:t>من المستندات المحد</w:t>
      </w:r>
      <w:r w:rsidR="00A54823" w:rsidRPr="006571AC">
        <w:rPr>
          <w:rFonts w:ascii="Arial" w:hAnsi="Arial" w:hint="cs"/>
          <w:sz w:val="27"/>
          <w:rtl/>
          <w:lang w:bidi="ar-MA"/>
        </w:rPr>
        <w:t>ّ</w:t>
      </w:r>
      <w:r w:rsidRPr="006571AC">
        <w:rPr>
          <w:rFonts w:ascii="Arial" w:hAnsi="Arial" w:hint="cs"/>
          <w:sz w:val="27"/>
          <w:rtl/>
          <w:lang w:bidi="ar-MA"/>
        </w:rPr>
        <w:t>دة في غياب العلوم الإنسانية عند بعض الدارسين المشتغلين بتراث الحضارة العربية الإسلامية هو أن الحضارة العربية الإسلامية عادة</w:t>
      </w:r>
      <w:r w:rsidR="00A54823" w:rsidRPr="006571AC">
        <w:rPr>
          <w:rFonts w:ascii="Arial" w:hAnsi="Arial" w:hint="cs"/>
          <w:sz w:val="27"/>
          <w:rtl/>
          <w:lang w:bidi="ar-MA"/>
        </w:rPr>
        <w:t>ً</w:t>
      </w:r>
      <w:r w:rsidRPr="006571AC">
        <w:rPr>
          <w:rFonts w:ascii="Arial" w:hAnsi="Arial" w:hint="cs"/>
          <w:sz w:val="27"/>
          <w:rtl/>
          <w:lang w:bidi="ar-MA"/>
        </w:rPr>
        <w:t xml:space="preserve"> ما تسم</w:t>
      </w:r>
      <w:r w:rsidR="00A54823" w:rsidRPr="006571AC">
        <w:rPr>
          <w:rFonts w:ascii="Arial" w:hAnsi="Arial" w:hint="cs"/>
          <w:sz w:val="27"/>
          <w:rtl/>
          <w:lang w:bidi="ar-MA"/>
        </w:rPr>
        <w:t>ّ</w:t>
      </w:r>
      <w:r w:rsidRPr="006571AC">
        <w:rPr>
          <w:rFonts w:ascii="Arial" w:hAnsi="Arial" w:hint="cs"/>
          <w:sz w:val="27"/>
          <w:rtl/>
          <w:lang w:bidi="ar-MA"/>
        </w:rPr>
        <w:t>ى ب</w:t>
      </w:r>
      <w:r w:rsidR="00007BDB" w:rsidRPr="006571AC">
        <w:rPr>
          <w:rFonts w:ascii="Arial" w:hAnsi="Arial" w:hint="cs"/>
          <w:sz w:val="27"/>
          <w:rtl/>
          <w:lang w:bidi="ar-MA"/>
        </w:rPr>
        <w:t xml:space="preserve">ـ </w:t>
      </w:r>
      <w:r w:rsidR="00007BDB" w:rsidRPr="006571AC">
        <w:rPr>
          <w:rFonts w:hint="eastAsia"/>
          <w:sz w:val="24"/>
          <w:szCs w:val="24"/>
          <w:rtl/>
        </w:rPr>
        <w:t>«</w:t>
      </w:r>
      <w:r w:rsidRPr="006571AC">
        <w:rPr>
          <w:rFonts w:ascii="Arial" w:hAnsi="Arial" w:hint="cs"/>
          <w:sz w:val="27"/>
          <w:rtl/>
          <w:lang w:bidi="ar-MA"/>
        </w:rPr>
        <w:t>حضارة الفقه</w:t>
      </w:r>
      <w:r w:rsidR="00007BDB" w:rsidRPr="006571AC">
        <w:rPr>
          <w:rFonts w:hint="eastAsia"/>
          <w:sz w:val="24"/>
          <w:szCs w:val="24"/>
          <w:rtl/>
        </w:rPr>
        <w:t>»</w:t>
      </w:r>
      <w:r w:rsidRPr="006571AC">
        <w:rPr>
          <w:rFonts w:ascii="Arial" w:hAnsi="Arial" w:hint="cs"/>
          <w:sz w:val="27"/>
          <w:rtl/>
          <w:lang w:bidi="ar-MA"/>
        </w:rPr>
        <w:t>، وهذه التسمية ليست ع</w:t>
      </w:r>
      <w:r w:rsidR="00251ACD" w:rsidRPr="006571AC">
        <w:rPr>
          <w:rFonts w:ascii="Arial" w:hAnsi="Arial" w:hint="cs"/>
          <w:sz w:val="27"/>
          <w:rtl/>
          <w:lang w:bidi="ar-MA"/>
        </w:rPr>
        <w:t>َ</w:t>
      </w:r>
      <w:r w:rsidRPr="006571AC">
        <w:rPr>
          <w:rFonts w:ascii="Arial" w:hAnsi="Arial" w:hint="cs"/>
          <w:sz w:val="27"/>
          <w:rtl/>
          <w:lang w:bidi="ar-MA"/>
        </w:rPr>
        <w:t>ي</w:t>
      </w:r>
      <w:r w:rsidR="00251ACD" w:rsidRPr="006571AC">
        <w:rPr>
          <w:rFonts w:ascii="Arial" w:hAnsi="Arial" w:hint="cs"/>
          <w:sz w:val="27"/>
          <w:rtl/>
          <w:lang w:bidi="ar-MA"/>
        </w:rPr>
        <w:t>ْ</w:t>
      </w:r>
      <w:r w:rsidRPr="006571AC">
        <w:rPr>
          <w:rFonts w:ascii="Arial" w:hAnsi="Arial" w:hint="cs"/>
          <w:sz w:val="27"/>
          <w:rtl/>
          <w:lang w:bidi="ar-MA"/>
        </w:rPr>
        <w:t>با</w:t>
      </w:r>
      <w:r w:rsidR="00A54823" w:rsidRPr="006571AC">
        <w:rPr>
          <w:rFonts w:ascii="Arial" w:hAnsi="Arial" w:hint="cs"/>
          <w:sz w:val="27"/>
          <w:rtl/>
          <w:lang w:bidi="ar-MA"/>
        </w:rPr>
        <w:t>ً</w:t>
      </w:r>
      <w:r w:rsidRPr="006571AC">
        <w:rPr>
          <w:rFonts w:ascii="Arial" w:hAnsi="Arial" w:hint="cs"/>
          <w:sz w:val="27"/>
          <w:rtl/>
          <w:lang w:bidi="ar-MA"/>
        </w:rPr>
        <w:t xml:space="preserve"> أو ن</w:t>
      </w:r>
      <w:r w:rsidR="00251ACD" w:rsidRPr="006571AC">
        <w:rPr>
          <w:rFonts w:ascii="Arial" w:hAnsi="Arial" w:hint="cs"/>
          <w:sz w:val="27"/>
          <w:rtl/>
          <w:lang w:bidi="ar-MA"/>
        </w:rPr>
        <w:t>َ</w:t>
      </w:r>
      <w:r w:rsidRPr="006571AC">
        <w:rPr>
          <w:rFonts w:ascii="Arial" w:hAnsi="Arial" w:hint="cs"/>
          <w:sz w:val="27"/>
          <w:rtl/>
          <w:lang w:bidi="ar-MA"/>
        </w:rPr>
        <w:t>ق</w:t>
      </w:r>
      <w:r w:rsidR="00251ACD" w:rsidRPr="006571AC">
        <w:rPr>
          <w:rFonts w:ascii="Arial" w:hAnsi="Arial" w:hint="cs"/>
          <w:sz w:val="27"/>
          <w:rtl/>
          <w:lang w:bidi="ar-MA"/>
        </w:rPr>
        <w:t>ْ</w:t>
      </w:r>
      <w:r w:rsidRPr="006571AC">
        <w:rPr>
          <w:rFonts w:ascii="Arial" w:hAnsi="Arial" w:hint="cs"/>
          <w:sz w:val="27"/>
          <w:rtl/>
          <w:lang w:bidi="ar-MA"/>
        </w:rPr>
        <w:t>صا</w:t>
      </w:r>
      <w:r w:rsidR="00A54823" w:rsidRPr="006571AC">
        <w:rPr>
          <w:rFonts w:ascii="Arial" w:hAnsi="Arial" w:hint="cs"/>
          <w:sz w:val="27"/>
          <w:rtl/>
          <w:lang w:bidi="ar-MA"/>
        </w:rPr>
        <w:t>ً</w:t>
      </w:r>
      <w:r w:rsidRPr="006571AC">
        <w:rPr>
          <w:rFonts w:ascii="Arial" w:hAnsi="Arial" w:hint="cs"/>
          <w:sz w:val="27"/>
          <w:rtl/>
          <w:lang w:bidi="ar-MA"/>
        </w:rPr>
        <w:t xml:space="preserve"> في حق</w:t>
      </w:r>
      <w:r w:rsidR="00251ACD" w:rsidRPr="006571AC">
        <w:rPr>
          <w:rFonts w:ascii="Arial" w:hAnsi="Arial" w:hint="cs"/>
          <w:sz w:val="27"/>
          <w:rtl/>
          <w:lang w:bidi="ar-MA"/>
        </w:rPr>
        <w:t>ّ</w:t>
      </w:r>
      <w:r w:rsidRPr="006571AC">
        <w:rPr>
          <w:rFonts w:ascii="Arial" w:hAnsi="Arial" w:hint="cs"/>
          <w:sz w:val="27"/>
          <w:rtl/>
          <w:lang w:bidi="ar-MA"/>
        </w:rPr>
        <w:t xml:space="preserve"> الحضارة العربية الإسلامية</w:t>
      </w:r>
      <w:r w:rsidR="00A54823" w:rsidRPr="006571AC">
        <w:rPr>
          <w:rFonts w:ascii="Arial" w:hAnsi="Arial" w:hint="cs"/>
          <w:sz w:val="27"/>
          <w:rtl/>
          <w:lang w:bidi="ar-MA"/>
        </w:rPr>
        <w:t>،</w:t>
      </w:r>
      <w:r w:rsidRPr="006571AC">
        <w:rPr>
          <w:rFonts w:ascii="Arial" w:hAnsi="Arial" w:hint="cs"/>
          <w:sz w:val="27"/>
          <w:rtl/>
          <w:lang w:bidi="ar-MA"/>
        </w:rPr>
        <w:t xml:space="preserve"> بقدر ما تختزل هذه التسمية المجال المحوري الذي كان الموضوع الغالب والمهيمن في اشتغال علماء الإسلام</w:t>
      </w:r>
      <w:r w:rsidR="00A54823" w:rsidRPr="006571AC">
        <w:rPr>
          <w:rFonts w:ascii="Arial" w:hAnsi="Arial" w:hint="cs"/>
          <w:sz w:val="27"/>
          <w:rtl/>
          <w:lang w:bidi="ar-MA"/>
        </w:rPr>
        <w:t>؛</w:t>
      </w:r>
      <w:r w:rsidRPr="006571AC">
        <w:rPr>
          <w:rFonts w:ascii="Arial" w:hAnsi="Arial" w:hint="cs"/>
          <w:sz w:val="27"/>
          <w:rtl/>
          <w:lang w:bidi="ar-MA"/>
        </w:rPr>
        <w:t xml:space="preserve"> فالفقه كان حاضراً بقو</w:t>
      </w:r>
      <w:r w:rsidR="00A54823" w:rsidRPr="006571AC">
        <w:rPr>
          <w:rFonts w:ascii="Arial" w:hAnsi="Arial" w:hint="cs"/>
          <w:sz w:val="27"/>
          <w:rtl/>
          <w:lang w:bidi="ar-MA"/>
        </w:rPr>
        <w:t>ّةٍ</w:t>
      </w:r>
      <w:r w:rsidRPr="006571AC">
        <w:rPr>
          <w:rFonts w:ascii="Arial" w:hAnsi="Arial" w:hint="cs"/>
          <w:sz w:val="27"/>
          <w:rtl/>
          <w:lang w:bidi="ar-MA"/>
        </w:rPr>
        <w:t xml:space="preserve"> في تراث المسلمين، ولا </w:t>
      </w:r>
      <w:r w:rsidRPr="006571AC">
        <w:rPr>
          <w:rFonts w:ascii="Arial" w:hAnsi="Arial" w:hint="cs"/>
          <w:sz w:val="27"/>
          <w:rtl/>
          <w:lang w:bidi="ar-MA"/>
        </w:rPr>
        <w:lastRenderedPageBreak/>
        <w:t>أدل</w:t>
      </w:r>
      <w:r w:rsidR="00A54823" w:rsidRPr="006571AC">
        <w:rPr>
          <w:rFonts w:ascii="Arial" w:hAnsi="Arial" w:hint="cs"/>
          <w:sz w:val="27"/>
          <w:rtl/>
          <w:lang w:bidi="ar-MA"/>
        </w:rPr>
        <w:t>ّ</w:t>
      </w:r>
      <w:r w:rsidRPr="006571AC">
        <w:rPr>
          <w:rFonts w:ascii="Arial" w:hAnsi="Arial" w:hint="cs"/>
          <w:sz w:val="27"/>
          <w:rtl/>
          <w:lang w:bidi="ar-MA"/>
        </w:rPr>
        <w:t xml:space="preserve"> على ذلك </w:t>
      </w:r>
      <w:r w:rsidR="00A54823" w:rsidRPr="006571AC">
        <w:rPr>
          <w:rFonts w:ascii="Arial" w:hAnsi="Arial" w:hint="cs"/>
          <w:sz w:val="27"/>
          <w:rtl/>
          <w:lang w:bidi="ar-MA"/>
        </w:rPr>
        <w:t xml:space="preserve">من </w:t>
      </w:r>
      <w:r w:rsidRPr="006571AC">
        <w:rPr>
          <w:rFonts w:ascii="Arial" w:hAnsi="Arial" w:hint="cs"/>
          <w:sz w:val="27"/>
          <w:rtl/>
          <w:lang w:bidi="ar-MA"/>
        </w:rPr>
        <w:t>تلك المختصرات والمطو</w:t>
      </w:r>
      <w:r w:rsidR="00A54823" w:rsidRPr="006571AC">
        <w:rPr>
          <w:rFonts w:ascii="Arial" w:hAnsi="Arial" w:hint="cs"/>
          <w:sz w:val="27"/>
          <w:rtl/>
          <w:lang w:bidi="ar-MA"/>
        </w:rPr>
        <w:t>ّ</w:t>
      </w:r>
      <w:r w:rsidRPr="006571AC">
        <w:rPr>
          <w:rFonts w:ascii="Arial" w:hAnsi="Arial" w:hint="cs"/>
          <w:sz w:val="27"/>
          <w:rtl/>
          <w:lang w:bidi="ar-MA"/>
        </w:rPr>
        <w:t>لات والحواشي التي ازده</w:t>
      </w:r>
      <w:r w:rsidR="00A54823" w:rsidRPr="006571AC">
        <w:rPr>
          <w:rFonts w:ascii="Arial" w:hAnsi="Arial" w:hint="cs"/>
          <w:sz w:val="27"/>
          <w:rtl/>
          <w:lang w:bidi="ar-MA"/>
        </w:rPr>
        <w:t>َ</w:t>
      </w:r>
      <w:r w:rsidRPr="006571AC">
        <w:rPr>
          <w:rFonts w:ascii="Arial" w:hAnsi="Arial" w:hint="cs"/>
          <w:sz w:val="27"/>
          <w:rtl/>
          <w:lang w:bidi="ar-MA"/>
        </w:rPr>
        <w:t>ر</w:t>
      </w:r>
      <w:r w:rsidR="00A54823" w:rsidRPr="006571AC">
        <w:rPr>
          <w:rFonts w:ascii="Arial" w:hAnsi="Arial" w:hint="cs"/>
          <w:sz w:val="27"/>
          <w:rtl/>
          <w:lang w:bidi="ar-MA"/>
        </w:rPr>
        <w:t>َ</w:t>
      </w:r>
      <w:r w:rsidRPr="006571AC">
        <w:rPr>
          <w:rFonts w:ascii="Arial" w:hAnsi="Arial" w:hint="cs"/>
          <w:sz w:val="27"/>
          <w:rtl/>
          <w:lang w:bidi="ar-MA"/>
        </w:rPr>
        <w:t>ت</w:t>
      </w:r>
      <w:r w:rsidR="00A54823" w:rsidRPr="006571AC">
        <w:rPr>
          <w:rFonts w:ascii="Arial" w:hAnsi="Arial" w:hint="cs"/>
          <w:sz w:val="27"/>
          <w:rtl/>
          <w:lang w:bidi="ar-MA"/>
        </w:rPr>
        <w:t>ْ</w:t>
      </w:r>
      <w:r w:rsidRPr="006571AC">
        <w:rPr>
          <w:rFonts w:ascii="Arial" w:hAnsi="Arial" w:hint="cs"/>
          <w:sz w:val="27"/>
          <w:rtl/>
          <w:lang w:bidi="ar-MA"/>
        </w:rPr>
        <w:t xml:space="preserve"> في الفقه الإسلامي، وهي الوجه الخاص</w:t>
      </w:r>
      <w:r w:rsidR="00A54823" w:rsidRPr="006571AC">
        <w:rPr>
          <w:rFonts w:ascii="Arial" w:hAnsi="Arial" w:hint="cs"/>
          <w:sz w:val="27"/>
          <w:rtl/>
          <w:lang w:bidi="ar-MA"/>
        </w:rPr>
        <w:t>ّ</w:t>
      </w:r>
      <w:r w:rsidRPr="006571AC">
        <w:rPr>
          <w:rFonts w:ascii="Arial" w:hAnsi="Arial" w:hint="cs"/>
          <w:sz w:val="27"/>
          <w:rtl/>
          <w:lang w:bidi="ar-MA"/>
        </w:rPr>
        <w:t xml:space="preserve"> الغالب في الثقافة العربية الإسلامية</w:t>
      </w:r>
      <w:r w:rsidR="00A54823" w:rsidRPr="006571AC">
        <w:rPr>
          <w:rFonts w:ascii="Arial" w:hAnsi="Arial" w:hint="cs"/>
          <w:sz w:val="27"/>
          <w:rtl/>
          <w:lang w:bidi="ar-MA"/>
        </w:rPr>
        <w:t>؛</w:t>
      </w:r>
      <w:r w:rsidRPr="006571AC">
        <w:rPr>
          <w:rFonts w:ascii="Arial" w:hAnsi="Arial" w:hint="cs"/>
          <w:sz w:val="27"/>
          <w:rtl/>
          <w:lang w:bidi="ar-MA"/>
        </w:rPr>
        <w:t xml:space="preserve"> فالفقه هو </w:t>
      </w:r>
      <w:r w:rsidR="00A54823" w:rsidRPr="006571AC">
        <w:rPr>
          <w:rFonts w:ascii="Arial" w:hAnsi="Arial" w:hint="cs"/>
          <w:sz w:val="27"/>
          <w:rtl/>
          <w:lang w:bidi="ar-MA"/>
        </w:rPr>
        <w:t>أ</w:t>
      </w:r>
      <w:r w:rsidRPr="006571AC">
        <w:rPr>
          <w:rFonts w:ascii="Arial" w:hAnsi="Arial" w:hint="cs"/>
          <w:sz w:val="27"/>
          <w:rtl/>
          <w:lang w:bidi="ar-MA"/>
        </w:rPr>
        <w:t xml:space="preserve">قرب المنتجات </w:t>
      </w:r>
      <w:r w:rsidR="00A54823" w:rsidRPr="006571AC">
        <w:rPr>
          <w:rFonts w:ascii="Arial" w:hAnsi="Arial" w:hint="cs"/>
          <w:sz w:val="27"/>
          <w:rtl/>
          <w:lang w:bidi="ar-MA"/>
        </w:rPr>
        <w:t>إلى ا</w:t>
      </w:r>
      <w:r w:rsidRPr="006571AC">
        <w:rPr>
          <w:rFonts w:ascii="Arial" w:hAnsi="Arial" w:hint="cs"/>
          <w:sz w:val="27"/>
          <w:rtl/>
          <w:lang w:bidi="ar-MA"/>
        </w:rPr>
        <w:t>لعقل العربي</w:t>
      </w:r>
      <w:r w:rsidR="00A54823" w:rsidRPr="006571AC">
        <w:rPr>
          <w:rFonts w:ascii="Arial" w:hAnsi="Arial" w:hint="cs"/>
          <w:sz w:val="27"/>
          <w:rtl/>
          <w:lang w:bidi="ar-MA"/>
        </w:rPr>
        <w:t>ّ،</w:t>
      </w:r>
      <w:r w:rsidRPr="006571AC">
        <w:rPr>
          <w:rFonts w:ascii="Arial" w:hAnsi="Arial" w:hint="cs"/>
          <w:sz w:val="27"/>
          <w:rtl/>
          <w:lang w:bidi="ar-MA"/>
        </w:rPr>
        <w:t xml:space="preserve"> وهو الوجه المعب</w:t>
      </w:r>
      <w:r w:rsidR="00A54823" w:rsidRPr="006571AC">
        <w:rPr>
          <w:rFonts w:ascii="Arial" w:hAnsi="Arial" w:hint="cs"/>
          <w:sz w:val="27"/>
          <w:rtl/>
          <w:lang w:bidi="ar-MA"/>
        </w:rPr>
        <w:t>ِّ</w:t>
      </w:r>
      <w:r w:rsidRPr="006571AC">
        <w:rPr>
          <w:rFonts w:ascii="Arial" w:hAnsi="Arial" w:hint="cs"/>
          <w:sz w:val="27"/>
          <w:rtl/>
          <w:lang w:bidi="ar-MA"/>
        </w:rPr>
        <w:t>ر والمجس</w:t>
      </w:r>
      <w:r w:rsidR="00A54823" w:rsidRPr="006571AC">
        <w:rPr>
          <w:rFonts w:ascii="Arial" w:hAnsi="Arial" w:hint="cs"/>
          <w:sz w:val="27"/>
          <w:rtl/>
          <w:lang w:bidi="ar-MA"/>
        </w:rPr>
        <w:t>ِّ</w:t>
      </w:r>
      <w:r w:rsidRPr="006571AC">
        <w:rPr>
          <w:rFonts w:ascii="Arial" w:hAnsi="Arial" w:hint="cs"/>
          <w:sz w:val="27"/>
          <w:rtl/>
          <w:lang w:bidi="ar-MA"/>
        </w:rPr>
        <w:t>د لخصوصية الحضارة العربية الإسلامية</w:t>
      </w:r>
      <w:r w:rsidRPr="006571AC">
        <w:rPr>
          <w:rFonts w:ascii="Arial" w:hAnsi="Arial"/>
          <w:sz w:val="27"/>
          <w:vertAlign w:val="superscript"/>
          <w:rtl/>
          <w:lang w:bidi="ar-MA"/>
        </w:rPr>
        <w:t xml:space="preserve"> (</w:t>
      </w:r>
      <w:r w:rsidRPr="006571AC">
        <w:rPr>
          <w:rStyle w:val="ac"/>
          <w:sz w:val="27"/>
          <w:rtl/>
          <w:lang w:bidi="ar-MA"/>
        </w:rPr>
        <w:endnoteReference w:id="755"/>
      </w:r>
      <w:r w:rsidRPr="006571AC">
        <w:rPr>
          <w:rFonts w:ascii="Arial" w:hAnsi="Arial"/>
          <w:sz w:val="27"/>
          <w:vertAlign w:val="superscript"/>
          <w:rtl/>
          <w:lang w:bidi="ar-MA"/>
        </w:rPr>
        <w:t>)</w:t>
      </w:r>
      <w:r w:rsidR="00A54823" w:rsidRPr="006571AC">
        <w:rPr>
          <w:rFonts w:ascii="Arial" w:hAnsi="Arial" w:hint="cs"/>
          <w:sz w:val="27"/>
          <w:rtl/>
          <w:lang w:bidi="ar-MA"/>
        </w:rPr>
        <w:t xml:space="preserve">، </w:t>
      </w:r>
      <w:r w:rsidRPr="006571AC">
        <w:rPr>
          <w:rFonts w:ascii="Arial" w:hAnsi="Arial" w:hint="cs"/>
          <w:sz w:val="27"/>
          <w:rtl/>
          <w:lang w:bidi="ar-MA"/>
        </w:rPr>
        <w:t>بل من الدارسين والمفك</w:t>
      </w:r>
      <w:r w:rsidR="00A54823" w:rsidRPr="006571AC">
        <w:rPr>
          <w:rFonts w:ascii="Arial" w:hAnsi="Arial" w:hint="cs"/>
          <w:sz w:val="27"/>
          <w:rtl/>
          <w:lang w:bidi="ar-MA"/>
        </w:rPr>
        <w:t>ِّ</w:t>
      </w:r>
      <w:r w:rsidRPr="006571AC">
        <w:rPr>
          <w:rFonts w:ascii="Arial" w:hAnsi="Arial" w:hint="cs"/>
          <w:sz w:val="27"/>
          <w:rtl/>
          <w:lang w:bidi="ar-MA"/>
        </w:rPr>
        <w:t>رين من قي</w:t>
      </w:r>
      <w:r w:rsidR="00A54823" w:rsidRPr="006571AC">
        <w:rPr>
          <w:rFonts w:ascii="Arial" w:hAnsi="Arial" w:hint="cs"/>
          <w:sz w:val="27"/>
          <w:rtl/>
          <w:lang w:bidi="ar-MA"/>
        </w:rPr>
        <w:t>َّ</w:t>
      </w:r>
      <w:r w:rsidRPr="006571AC">
        <w:rPr>
          <w:rFonts w:ascii="Arial" w:hAnsi="Arial" w:hint="cs"/>
          <w:sz w:val="27"/>
          <w:rtl/>
          <w:lang w:bidi="ar-MA"/>
        </w:rPr>
        <w:t>د عبقرية الحضارة العربية الإسلامية وخص</w:t>
      </w:r>
      <w:r w:rsidR="00A54823" w:rsidRPr="006571AC">
        <w:rPr>
          <w:rFonts w:ascii="Arial" w:hAnsi="Arial" w:hint="cs"/>
          <w:sz w:val="27"/>
          <w:rtl/>
          <w:lang w:bidi="ar-MA"/>
        </w:rPr>
        <w:t>َّ</w:t>
      </w:r>
      <w:r w:rsidRPr="006571AC">
        <w:rPr>
          <w:rFonts w:ascii="Arial" w:hAnsi="Arial" w:hint="cs"/>
          <w:sz w:val="27"/>
          <w:rtl/>
          <w:lang w:bidi="ar-MA"/>
        </w:rPr>
        <w:t>ها في الدراسات الفقهية والأصولية والتشريعية، وهو الاختيار الذي دافع عنه مصطفى عبد الرز</w:t>
      </w:r>
      <w:r w:rsidR="00A54823" w:rsidRPr="006571AC">
        <w:rPr>
          <w:rFonts w:ascii="Arial" w:hAnsi="Arial" w:hint="cs"/>
          <w:sz w:val="27"/>
          <w:rtl/>
          <w:lang w:bidi="ar-MA"/>
        </w:rPr>
        <w:t>ّ</w:t>
      </w:r>
      <w:r w:rsidRPr="006571AC">
        <w:rPr>
          <w:rFonts w:ascii="Arial" w:hAnsi="Arial" w:hint="cs"/>
          <w:sz w:val="27"/>
          <w:rtl/>
          <w:lang w:bidi="ar-MA"/>
        </w:rPr>
        <w:t>اق في أطروحته الجامعية</w:t>
      </w:r>
      <w:r w:rsidR="00A54823" w:rsidRPr="006571AC">
        <w:rPr>
          <w:rFonts w:ascii="Arial" w:hAnsi="Arial" w:hint="cs"/>
          <w:sz w:val="27"/>
          <w:rtl/>
          <w:lang w:bidi="ar-MA"/>
        </w:rPr>
        <w:t>،</w:t>
      </w:r>
      <w:r w:rsidRPr="006571AC">
        <w:rPr>
          <w:rFonts w:ascii="Arial" w:hAnsi="Arial" w:hint="cs"/>
          <w:sz w:val="27"/>
          <w:rtl/>
          <w:lang w:bidi="ar-MA"/>
        </w:rPr>
        <w:t xml:space="preserve"> التي قد</w:t>
      </w:r>
      <w:r w:rsidR="00A54823" w:rsidRPr="006571AC">
        <w:rPr>
          <w:rFonts w:ascii="Arial" w:hAnsi="Arial" w:hint="cs"/>
          <w:sz w:val="27"/>
          <w:rtl/>
          <w:lang w:bidi="ar-MA"/>
        </w:rPr>
        <w:t>َّ</w:t>
      </w:r>
      <w:r w:rsidRPr="006571AC">
        <w:rPr>
          <w:rFonts w:ascii="Arial" w:hAnsi="Arial" w:hint="cs"/>
          <w:sz w:val="27"/>
          <w:rtl/>
          <w:lang w:bidi="ar-MA"/>
        </w:rPr>
        <w:t>مها بالفرنسية إلى جامعة الس</w:t>
      </w:r>
      <w:r w:rsidR="00251ACD" w:rsidRPr="006571AC">
        <w:rPr>
          <w:rFonts w:ascii="Arial" w:hAnsi="Arial" w:hint="cs"/>
          <w:sz w:val="27"/>
          <w:rtl/>
          <w:lang w:bidi="ar-MA"/>
        </w:rPr>
        <w:t>و</w:t>
      </w:r>
      <w:r w:rsidRPr="006571AC">
        <w:rPr>
          <w:rFonts w:ascii="Arial" w:hAnsi="Arial" w:hint="cs"/>
          <w:sz w:val="27"/>
          <w:rtl/>
          <w:lang w:bidi="ar-MA"/>
        </w:rPr>
        <w:t xml:space="preserve">ربون </w:t>
      </w:r>
      <w:r w:rsidR="00A54823" w:rsidRPr="006571AC">
        <w:rPr>
          <w:rFonts w:ascii="Arial" w:hAnsi="Arial" w:hint="cs"/>
          <w:sz w:val="27"/>
          <w:rtl/>
          <w:lang w:bidi="ar-MA"/>
        </w:rPr>
        <w:t xml:space="preserve">في </w:t>
      </w:r>
      <w:r w:rsidRPr="006571AC">
        <w:rPr>
          <w:rFonts w:ascii="Arial" w:hAnsi="Arial" w:hint="cs"/>
          <w:sz w:val="27"/>
          <w:rtl/>
          <w:lang w:bidi="ar-MA"/>
        </w:rPr>
        <w:t>فرنسا</w:t>
      </w:r>
      <w:r w:rsidR="00A54823" w:rsidRPr="006571AC">
        <w:rPr>
          <w:rFonts w:ascii="Arial" w:hAnsi="Arial" w:hint="cs"/>
          <w:sz w:val="27"/>
          <w:rtl/>
          <w:lang w:bidi="ar-MA"/>
        </w:rPr>
        <w:t>،</w:t>
      </w:r>
      <w:r w:rsidRPr="006571AC">
        <w:rPr>
          <w:rFonts w:ascii="Arial" w:hAnsi="Arial" w:hint="cs"/>
          <w:sz w:val="27"/>
          <w:rtl/>
          <w:lang w:bidi="ar-MA"/>
        </w:rPr>
        <w:t xml:space="preserve"> وكانت بعنوان</w:t>
      </w:r>
      <w:r w:rsidR="00A54823" w:rsidRPr="006571AC">
        <w:rPr>
          <w:rFonts w:ascii="Arial" w:hAnsi="Arial" w:hint="cs"/>
          <w:sz w:val="27"/>
          <w:rtl/>
          <w:lang w:bidi="ar-MA"/>
        </w:rPr>
        <w:t xml:space="preserve">: </w:t>
      </w:r>
      <w:r w:rsidR="00A54823" w:rsidRPr="006571AC">
        <w:rPr>
          <w:rFonts w:hint="eastAsia"/>
          <w:sz w:val="24"/>
          <w:szCs w:val="24"/>
          <w:rtl/>
        </w:rPr>
        <w:t>«</w:t>
      </w:r>
      <w:r w:rsidRPr="006571AC">
        <w:rPr>
          <w:rFonts w:ascii="Arial" w:hAnsi="Arial" w:hint="cs"/>
          <w:sz w:val="27"/>
          <w:rtl/>
          <w:lang w:bidi="ar-MA"/>
        </w:rPr>
        <w:t>تمهيد في تاريخ الفلسفة الإسلامية</w:t>
      </w:r>
      <w:r w:rsidR="00A54823" w:rsidRPr="006571AC">
        <w:rPr>
          <w:rFonts w:hint="eastAsia"/>
          <w:sz w:val="24"/>
          <w:szCs w:val="24"/>
          <w:rtl/>
        </w:rPr>
        <w:t>»</w:t>
      </w:r>
      <w:r w:rsidRPr="006571AC">
        <w:rPr>
          <w:rFonts w:ascii="Arial" w:hAnsi="Arial"/>
          <w:sz w:val="27"/>
          <w:vertAlign w:val="superscript"/>
          <w:rtl/>
          <w:lang w:bidi="ar-MA"/>
        </w:rPr>
        <w:t>(</w:t>
      </w:r>
      <w:r w:rsidRPr="006571AC">
        <w:rPr>
          <w:rStyle w:val="ac"/>
          <w:sz w:val="27"/>
          <w:rtl/>
          <w:lang w:bidi="ar-MA"/>
        </w:rPr>
        <w:endnoteReference w:id="756"/>
      </w:r>
      <w:r w:rsidRPr="006571AC">
        <w:rPr>
          <w:rFonts w:ascii="Arial" w:hAnsi="Arial"/>
          <w:sz w:val="27"/>
          <w:vertAlign w:val="superscript"/>
          <w:rtl/>
          <w:lang w:bidi="ar-MA"/>
        </w:rPr>
        <w:t>)</w:t>
      </w:r>
      <w:r w:rsidRPr="006571AC">
        <w:rPr>
          <w:rFonts w:ascii="Arial" w:hAnsi="Arial" w:hint="cs"/>
          <w:sz w:val="27"/>
          <w:rtl/>
          <w:lang w:bidi="ar-MA"/>
        </w:rPr>
        <w:t>.</w:t>
      </w:r>
    </w:p>
    <w:p w:rsidR="00932866" w:rsidRPr="006571AC" w:rsidRDefault="00932866" w:rsidP="00932866">
      <w:pPr>
        <w:spacing w:line="420" w:lineRule="exact"/>
        <w:rPr>
          <w:rFonts w:ascii="Arabic Typesetting" w:hAnsi="Arabic Typesetting"/>
          <w:sz w:val="27"/>
          <w:rtl/>
          <w:lang w:bidi="ar-LB"/>
        </w:rPr>
      </w:pPr>
    </w:p>
    <w:p w:rsidR="0043677F" w:rsidRPr="006571AC" w:rsidRDefault="0043677F" w:rsidP="00962F60">
      <w:pPr>
        <w:pStyle w:val="31"/>
        <w:rPr>
          <w:color w:val="auto"/>
          <w:rtl/>
          <w:lang w:bidi="ar-MA"/>
        </w:rPr>
      </w:pPr>
      <w:bookmarkStart w:id="449" w:name="_Toc114164857"/>
      <w:r w:rsidRPr="006571AC">
        <w:rPr>
          <w:rFonts w:hint="cs"/>
          <w:color w:val="auto"/>
          <w:rtl/>
          <w:lang w:bidi="ar-MA"/>
        </w:rPr>
        <w:t>العلوم الإنساني</w:t>
      </w:r>
      <w:r w:rsidR="00D12571" w:rsidRPr="006571AC">
        <w:rPr>
          <w:rFonts w:hint="cs"/>
          <w:color w:val="auto"/>
          <w:rtl/>
          <w:lang w:bidi="ar-MA"/>
        </w:rPr>
        <w:t>ّ</w:t>
      </w:r>
      <w:r w:rsidRPr="006571AC">
        <w:rPr>
          <w:rFonts w:hint="cs"/>
          <w:color w:val="auto"/>
          <w:rtl/>
          <w:lang w:bidi="ar-MA"/>
        </w:rPr>
        <w:t>ة والتحف</w:t>
      </w:r>
      <w:r w:rsidR="00D12571" w:rsidRPr="006571AC">
        <w:rPr>
          <w:rFonts w:hint="cs"/>
          <w:color w:val="auto"/>
          <w:rtl/>
          <w:lang w:bidi="ar-MA"/>
        </w:rPr>
        <w:t>ُّ</w:t>
      </w:r>
      <w:r w:rsidRPr="006571AC">
        <w:rPr>
          <w:rFonts w:hint="cs"/>
          <w:color w:val="auto"/>
          <w:rtl/>
          <w:lang w:bidi="ar-MA"/>
        </w:rPr>
        <w:t>ظ من الغياب</w:t>
      </w:r>
      <w:bookmarkEnd w:id="449"/>
    </w:p>
    <w:p w:rsidR="0043677F" w:rsidRPr="006571AC" w:rsidRDefault="00A54823" w:rsidP="00251ACD">
      <w:pPr>
        <w:rPr>
          <w:rFonts w:ascii="Arial" w:hAnsi="Arial"/>
          <w:sz w:val="27"/>
          <w:shd w:val="clear" w:color="auto" w:fill="FFFFFF"/>
          <w:rtl/>
        </w:rPr>
      </w:pPr>
      <w:r w:rsidRPr="006571AC">
        <w:rPr>
          <w:rFonts w:ascii="Arial" w:hAnsi="Arial" w:hint="cs"/>
          <w:sz w:val="27"/>
          <w:rtl/>
          <w:lang w:bidi="ar-MA"/>
        </w:rPr>
        <w:t xml:space="preserve">في </w:t>
      </w:r>
      <w:r w:rsidR="0043677F" w:rsidRPr="006571AC">
        <w:rPr>
          <w:rFonts w:ascii="Arial" w:hAnsi="Arial" w:hint="cs"/>
          <w:sz w:val="27"/>
          <w:rtl/>
          <w:lang w:bidi="ar-MA"/>
        </w:rPr>
        <w:t>المقابل يذهب كثير</w:t>
      </w:r>
      <w:r w:rsidRPr="006571AC">
        <w:rPr>
          <w:rFonts w:ascii="Arial" w:hAnsi="Arial" w:hint="cs"/>
          <w:sz w:val="27"/>
          <w:rtl/>
          <w:lang w:bidi="ar-MA"/>
        </w:rPr>
        <w:t>ٌ</w:t>
      </w:r>
      <w:r w:rsidR="0043677F" w:rsidRPr="006571AC">
        <w:rPr>
          <w:rFonts w:ascii="Arial" w:hAnsi="Arial" w:hint="cs"/>
          <w:sz w:val="27"/>
          <w:rtl/>
          <w:lang w:bidi="ar-MA"/>
        </w:rPr>
        <w:t xml:space="preserve"> من الباحثين إلى التحف</w:t>
      </w:r>
      <w:r w:rsidRPr="006571AC">
        <w:rPr>
          <w:rFonts w:ascii="Arial" w:hAnsi="Arial" w:hint="cs"/>
          <w:sz w:val="27"/>
          <w:rtl/>
          <w:lang w:bidi="ar-MA"/>
        </w:rPr>
        <w:t>ُّ</w:t>
      </w:r>
      <w:r w:rsidR="0043677F" w:rsidRPr="006571AC">
        <w:rPr>
          <w:rFonts w:ascii="Arial" w:hAnsi="Arial" w:hint="cs"/>
          <w:sz w:val="27"/>
          <w:rtl/>
          <w:lang w:bidi="ar-MA"/>
        </w:rPr>
        <w:t>ظ من هذا القول، ويعد</w:t>
      </w:r>
      <w:r w:rsidRPr="006571AC">
        <w:rPr>
          <w:rFonts w:ascii="Arial" w:hAnsi="Arial" w:hint="cs"/>
          <w:sz w:val="27"/>
          <w:rtl/>
          <w:lang w:bidi="ar-MA"/>
        </w:rPr>
        <w:t>ّ</w:t>
      </w:r>
      <w:r w:rsidR="0043677F" w:rsidRPr="006571AC">
        <w:rPr>
          <w:rFonts w:ascii="Arial" w:hAnsi="Arial" w:hint="cs"/>
          <w:sz w:val="27"/>
          <w:rtl/>
          <w:lang w:bidi="ar-MA"/>
        </w:rPr>
        <w:t>ونه قولا</w:t>
      </w:r>
      <w:r w:rsidRPr="006571AC">
        <w:rPr>
          <w:rFonts w:ascii="Arial" w:hAnsi="Arial" w:hint="cs"/>
          <w:sz w:val="27"/>
          <w:rtl/>
          <w:lang w:bidi="ar-MA"/>
        </w:rPr>
        <w:t>ً</w:t>
      </w:r>
      <w:r w:rsidR="0043677F" w:rsidRPr="006571AC">
        <w:rPr>
          <w:rFonts w:ascii="Arial" w:hAnsi="Arial" w:hint="cs"/>
          <w:sz w:val="27"/>
          <w:rtl/>
          <w:lang w:bidi="ar-MA"/>
        </w:rPr>
        <w:t xml:space="preserve"> بعيدا</w:t>
      </w:r>
      <w:r w:rsidRPr="006571AC">
        <w:rPr>
          <w:rFonts w:ascii="Arial" w:hAnsi="Arial" w:hint="cs"/>
          <w:sz w:val="27"/>
          <w:rtl/>
          <w:lang w:bidi="ar-MA"/>
        </w:rPr>
        <w:t>ً</w:t>
      </w:r>
      <w:r w:rsidR="0043677F" w:rsidRPr="006571AC">
        <w:rPr>
          <w:rFonts w:ascii="Arial" w:hAnsi="Arial" w:hint="cs"/>
          <w:sz w:val="27"/>
          <w:rtl/>
          <w:lang w:bidi="ar-MA"/>
        </w:rPr>
        <w:t xml:space="preserve"> عن الموضوعية</w:t>
      </w:r>
      <w:r w:rsidRPr="006571AC">
        <w:rPr>
          <w:rFonts w:ascii="Arial" w:hAnsi="Arial" w:hint="cs"/>
          <w:sz w:val="27"/>
          <w:rtl/>
          <w:lang w:bidi="ar-MA"/>
        </w:rPr>
        <w:t>؛</w:t>
      </w:r>
      <w:r w:rsidR="0043677F" w:rsidRPr="006571AC">
        <w:rPr>
          <w:rFonts w:ascii="Arial" w:hAnsi="Arial" w:hint="cs"/>
          <w:sz w:val="27"/>
          <w:rtl/>
          <w:lang w:bidi="ar-MA"/>
        </w:rPr>
        <w:t xml:space="preserve"> ف</w:t>
      </w:r>
      <w:r w:rsidR="0043677F" w:rsidRPr="006571AC">
        <w:rPr>
          <w:rFonts w:hint="cs"/>
          <w:sz w:val="27"/>
          <w:rtl/>
        </w:rPr>
        <w:t>الاعتراف قائم</w:t>
      </w:r>
      <w:r w:rsidRPr="006571AC">
        <w:rPr>
          <w:rFonts w:hint="cs"/>
          <w:sz w:val="27"/>
          <w:rtl/>
        </w:rPr>
        <w:t>ٌ</w:t>
      </w:r>
      <w:r w:rsidR="0043677F" w:rsidRPr="006571AC">
        <w:rPr>
          <w:rFonts w:hint="cs"/>
          <w:sz w:val="27"/>
          <w:rtl/>
        </w:rPr>
        <w:t xml:space="preserve"> بحضور الدراسات والبحوث والممارسات ذات المنزع النفسي والإنساني والاجتماعي في التراث العربي الإسلامي</w:t>
      </w:r>
      <w:r w:rsidRPr="006571AC">
        <w:rPr>
          <w:rFonts w:hint="cs"/>
          <w:sz w:val="27"/>
          <w:rtl/>
        </w:rPr>
        <w:t>؛</w:t>
      </w:r>
      <w:r w:rsidR="0043677F" w:rsidRPr="006571AC">
        <w:rPr>
          <w:rFonts w:hint="cs"/>
          <w:sz w:val="27"/>
          <w:rtl/>
        </w:rPr>
        <w:t xml:space="preserve"> إذ تبدو البحوث النفسية والاجتماعية والإنسانية بشكل</w:t>
      </w:r>
      <w:r w:rsidRPr="006571AC">
        <w:rPr>
          <w:rFonts w:hint="cs"/>
          <w:sz w:val="27"/>
          <w:rtl/>
        </w:rPr>
        <w:t>ٍ</w:t>
      </w:r>
      <w:r w:rsidR="0043677F" w:rsidRPr="006571AC">
        <w:rPr>
          <w:rFonts w:hint="cs"/>
          <w:sz w:val="27"/>
          <w:rtl/>
        </w:rPr>
        <w:t xml:space="preserve"> عام</w:t>
      </w:r>
      <w:r w:rsidRPr="006571AC">
        <w:rPr>
          <w:rFonts w:hint="cs"/>
          <w:sz w:val="27"/>
          <w:rtl/>
        </w:rPr>
        <w:t>ّ</w:t>
      </w:r>
      <w:r w:rsidR="0043677F" w:rsidRPr="006571AC">
        <w:rPr>
          <w:rFonts w:hint="cs"/>
          <w:sz w:val="27"/>
          <w:rtl/>
        </w:rPr>
        <w:t xml:space="preserve"> حاضرة</w:t>
      </w:r>
      <w:r w:rsidRPr="006571AC">
        <w:rPr>
          <w:rFonts w:hint="cs"/>
          <w:sz w:val="27"/>
          <w:rtl/>
        </w:rPr>
        <w:t>ً</w:t>
      </w:r>
      <w:r w:rsidR="0043677F" w:rsidRPr="006571AC">
        <w:rPr>
          <w:rFonts w:hint="cs"/>
          <w:sz w:val="27"/>
          <w:rtl/>
        </w:rPr>
        <w:t xml:space="preserve"> </w:t>
      </w:r>
      <w:r w:rsidR="0043677F" w:rsidRPr="006571AC">
        <w:rPr>
          <w:rFonts w:hint="cs"/>
          <w:sz w:val="27"/>
          <w:rtl/>
          <w:lang w:bidi="ar-MA"/>
        </w:rPr>
        <w:t xml:space="preserve">في هذا التراث، </w:t>
      </w:r>
      <w:r w:rsidR="0043677F" w:rsidRPr="006571AC">
        <w:rPr>
          <w:rFonts w:hint="cs"/>
          <w:sz w:val="27"/>
          <w:rtl/>
        </w:rPr>
        <w:t>وهو ما يتجس</w:t>
      </w:r>
      <w:r w:rsidRPr="006571AC">
        <w:rPr>
          <w:rFonts w:hint="cs"/>
          <w:sz w:val="27"/>
          <w:rtl/>
        </w:rPr>
        <w:t>َّ</w:t>
      </w:r>
      <w:r w:rsidR="0043677F" w:rsidRPr="006571AC">
        <w:rPr>
          <w:rFonts w:hint="cs"/>
          <w:sz w:val="27"/>
          <w:rtl/>
        </w:rPr>
        <w:t>د بشكل</w:t>
      </w:r>
      <w:r w:rsidRPr="006571AC">
        <w:rPr>
          <w:rFonts w:hint="cs"/>
          <w:sz w:val="27"/>
          <w:rtl/>
        </w:rPr>
        <w:t>ٍ</w:t>
      </w:r>
      <w:r w:rsidR="0043677F" w:rsidRPr="006571AC">
        <w:rPr>
          <w:rFonts w:hint="cs"/>
          <w:sz w:val="27"/>
          <w:rtl/>
        </w:rPr>
        <w:t xml:space="preserve"> واضح، وبحضور</w:t>
      </w:r>
      <w:r w:rsidRPr="006571AC">
        <w:rPr>
          <w:rFonts w:hint="cs"/>
          <w:sz w:val="27"/>
          <w:rtl/>
        </w:rPr>
        <w:t>ٍ</w:t>
      </w:r>
      <w:r w:rsidR="0043677F" w:rsidRPr="006571AC">
        <w:rPr>
          <w:rFonts w:hint="cs"/>
          <w:sz w:val="27"/>
          <w:rtl/>
        </w:rPr>
        <w:t xml:space="preserve"> متمي</w:t>
      </w:r>
      <w:r w:rsidRPr="006571AC">
        <w:rPr>
          <w:rFonts w:hint="cs"/>
          <w:sz w:val="27"/>
          <w:rtl/>
        </w:rPr>
        <w:t>ِّ</w:t>
      </w:r>
      <w:r w:rsidR="0043677F" w:rsidRPr="006571AC">
        <w:rPr>
          <w:rFonts w:hint="cs"/>
          <w:sz w:val="27"/>
          <w:rtl/>
        </w:rPr>
        <w:t>ز</w:t>
      </w:r>
      <w:r w:rsidRPr="006571AC">
        <w:rPr>
          <w:rFonts w:hint="cs"/>
          <w:sz w:val="27"/>
          <w:rtl/>
        </w:rPr>
        <w:t>،</w:t>
      </w:r>
      <w:r w:rsidR="0043677F" w:rsidRPr="006571AC">
        <w:rPr>
          <w:rFonts w:hint="cs"/>
          <w:sz w:val="27"/>
          <w:rtl/>
        </w:rPr>
        <w:t xml:space="preserve"> وبموقع</w:t>
      </w:r>
      <w:r w:rsidRPr="006571AC">
        <w:rPr>
          <w:rFonts w:hint="cs"/>
          <w:sz w:val="27"/>
          <w:rtl/>
        </w:rPr>
        <w:t>ٍ</w:t>
      </w:r>
      <w:r w:rsidR="0043677F" w:rsidRPr="006571AC">
        <w:rPr>
          <w:rFonts w:hint="cs"/>
          <w:sz w:val="27"/>
          <w:rtl/>
        </w:rPr>
        <w:t xml:space="preserve"> واس</w:t>
      </w:r>
      <w:r w:rsidR="0043677F" w:rsidRPr="006571AC">
        <w:rPr>
          <w:rFonts w:hint="eastAsia"/>
          <w:sz w:val="27"/>
          <w:rtl/>
        </w:rPr>
        <w:t>ع</w:t>
      </w:r>
      <w:r w:rsidRPr="006571AC">
        <w:rPr>
          <w:rFonts w:hint="cs"/>
          <w:sz w:val="27"/>
          <w:rtl/>
        </w:rPr>
        <w:t>ٍ</w:t>
      </w:r>
      <w:r w:rsidR="00CC705A" w:rsidRPr="006571AC">
        <w:rPr>
          <w:rFonts w:hint="cs"/>
          <w:sz w:val="27"/>
          <w:rtl/>
        </w:rPr>
        <w:t>،</w:t>
      </w:r>
      <w:r w:rsidR="0043677F" w:rsidRPr="006571AC">
        <w:rPr>
          <w:rFonts w:hint="cs"/>
          <w:sz w:val="27"/>
          <w:rtl/>
        </w:rPr>
        <w:t xml:space="preserve"> بين علماء الإسلام وفلاسفته ومفك</w:t>
      </w:r>
      <w:r w:rsidR="00CC705A" w:rsidRPr="006571AC">
        <w:rPr>
          <w:rFonts w:hint="cs"/>
          <w:sz w:val="27"/>
          <w:rtl/>
        </w:rPr>
        <w:t>ِّ</w:t>
      </w:r>
      <w:r w:rsidR="0043677F" w:rsidRPr="006571AC">
        <w:rPr>
          <w:rFonts w:hint="cs"/>
          <w:sz w:val="27"/>
          <w:rtl/>
        </w:rPr>
        <w:t>ريه</w:t>
      </w:r>
      <w:r w:rsidR="00CC705A" w:rsidRPr="006571AC">
        <w:rPr>
          <w:rFonts w:hint="cs"/>
          <w:sz w:val="27"/>
          <w:rtl/>
        </w:rPr>
        <w:t>،</w:t>
      </w:r>
      <w:r w:rsidR="00251ACD" w:rsidRPr="006571AC">
        <w:rPr>
          <w:rFonts w:hint="cs"/>
          <w:sz w:val="27"/>
          <w:rtl/>
        </w:rPr>
        <w:t xml:space="preserve"> الذين قاربوا الإنسان في كثيرٍ</w:t>
      </w:r>
      <w:r w:rsidR="0043677F" w:rsidRPr="006571AC">
        <w:rPr>
          <w:rFonts w:hint="cs"/>
          <w:sz w:val="27"/>
          <w:rtl/>
        </w:rPr>
        <w:t xml:space="preserve"> من أبعاده المشك</w:t>
      </w:r>
      <w:r w:rsidR="00CC705A" w:rsidRPr="006571AC">
        <w:rPr>
          <w:rFonts w:hint="cs"/>
          <w:sz w:val="27"/>
          <w:rtl/>
        </w:rPr>
        <w:t>ِّ</w:t>
      </w:r>
      <w:r w:rsidR="0043677F" w:rsidRPr="006571AC">
        <w:rPr>
          <w:rFonts w:hint="cs"/>
          <w:sz w:val="27"/>
          <w:rtl/>
        </w:rPr>
        <w:t>لة لشخصيته، وهو ما ت</w:t>
      </w:r>
      <w:r w:rsidR="00CC705A" w:rsidRPr="006571AC">
        <w:rPr>
          <w:rFonts w:hint="cs"/>
          <w:sz w:val="27"/>
          <w:rtl/>
        </w:rPr>
        <w:t>ُ</w:t>
      </w:r>
      <w:r w:rsidR="0043677F" w:rsidRPr="006571AC">
        <w:rPr>
          <w:rFonts w:hint="cs"/>
          <w:sz w:val="27"/>
          <w:rtl/>
        </w:rPr>
        <w:t>ب</w:t>
      </w:r>
      <w:r w:rsidR="00CC705A" w:rsidRPr="006571AC">
        <w:rPr>
          <w:rFonts w:hint="cs"/>
          <w:sz w:val="27"/>
          <w:rtl/>
        </w:rPr>
        <w:t>ْ</w:t>
      </w:r>
      <w:r w:rsidR="0043677F" w:rsidRPr="006571AC">
        <w:rPr>
          <w:rFonts w:hint="cs"/>
          <w:sz w:val="27"/>
          <w:rtl/>
        </w:rPr>
        <w:t>د</w:t>
      </w:r>
      <w:r w:rsidR="00CC705A" w:rsidRPr="006571AC">
        <w:rPr>
          <w:rFonts w:hint="cs"/>
          <w:sz w:val="27"/>
          <w:rtl/>
        </w:rPr>
        <w:t>ِ</w:t>
      </w:r>
      <w:r w:rsidR="0043677F" w:rsidRPr="006571AC">
        <w:rPr>
          <w:rFonts w:hint="cs"/>
          <w:sz w:val="27"/>
          <w:rtl/>
        </w:rPr>
        <w:t>يه الدراسات والبحوث والكتب الم</w:t>
      </w:r>
      <w:r w:rsidR="00CC705A" w:rsidRPr="006571AC">
        <w:rPr>
          <w:rFonts w:hint="cs"/>
          <w:sz w:val="27"/>
          <w:rtl/>
        </w:rPr>
        <w:t>ت</w:t>
      </w:r>
      <w:r w:rsidR="0043677F" w:rsidRPr="006571AC">
        <w:rPr>
          <w:rFonts w:hint="cs"/>
          <w:sz w:val="27"/>
          <w:rtl/>
        </w:rPr>
        <w:t>خص</w:t>
      </w:r>
      <w:r w:rsidR="00CC705A" w:rsidRPr="006571AC">
        <w:rPr>
          <w:rFonts w:hint="cs"/>
          <w:sz w:val="27"/>
          <w:rtl/>
        </w:rPr>
        <w:t>ّ</w:t>
      </w:r>
      <w:r w:rsidR="0043677F" w:rsidRPr="006571AC">
        <w:rPr>
          <w:rFonts w:hint="cs"/>
          <w:sz w:val="27"/>
          <w:rtl/>
        </w:rPr>
        <w:t>صة والمصن</w:t>
      </w:r>
      <w:r w:rsidR="00CC705A" w:rsidRPr="006571AC">
        <w:rPr>
          <w:rFonts w:hint="cs"/>
          <w:sz w:val="27"/>
          <w:rtl/>
        </w:rPr>
        <w:t>ّ</w:t>
      </w:r>
      <w:r w:rsidR="0043677F" w:rsidRPr="006571AC">
        <w:rPr>
          <w:rFonts w:hint="cs"/>
          <w:sz w:val="27"/>
          <w:rtl/>
        </w:rPr>
        <w:t>فات المصن</w:t>
      </w:r>
      <w:r w:rsidR="00CC705A" w:rsidRPr="006571AC">
        <w:rPr>
          <w:rFonts w:hint="cs"/>
          <w:sz w:val="27"/>
          <w:rtl/>
        </w:rPr>
        <w:t>ّ</w:t>
      </w:r>
      <w:r w:rsidR="0043677F" w:rsidRPr="006571AC">
        <w:rPr>
          <w:rFonts w:hint="cs"/>
          <w:sz w:val="27"/>
          <w:rtl/>
        </w:rPr>
        <w:t>فة في هذا الموضوع</w:t>
      </w:r>
      <w:r w:rsidR="00CC705A" w:rsidRPr="006571AC">
        <w:rPr>
          <w:rFonts w:ascii="Arial" w:hAnsi="Arial" w:hint="cs"/>
          <w:sz w:val="27"/>
          <w:rtl/>
        </w:rPr>
        <w:t xml:space="preserve">؛ </w:t>
      </w:r>
      <w:r w:rsidR="0043677F" w:rsidRPr="006571AC">
        <w:rPr>
          <w:rFonts w:ascii="Arial" w:hAnsi="Arial" w:hint="cs"/>
          <w:sz w:val="27"/>
          <w:shd w:val="clear" w:color="auto" w:fill="FFFFFF"/>
          <w:rtl/>
        </w:rPr>
        <w:t>إذ قارب الفلاسفة المسلمون شخصي</w:t>
      </w:r>
      <w:r w:rsidR="00CC705A" w:rsidRPr="006571AC">
        <w:rPr>
          <w:rFonts w:ascii="Arial" w:hAnsi="Arial" w:hint="cs"/>
          <w:sz w:val="27"/>
          <w:shd w:val="clear" w:color="auto" w:fill="FFFFFF"/>
          <w:rtl/>
        </w:rPr>
        <w:t>ّ</w:t>
      </w:r>
      <w:r w:rsidR="0043677F" w:rsidRPr="006571AC">
        <w:rPr>
          <w:rFonts w:ascii="Arial" w:hAnsi="Arial" w:hint="cs"/>
          <w:sz w:val="27"/>
          <w:shd w:val="clear" w:color="auto" w:fill="FFFFFF"/>
          <w:rtl/>
        </w:rPr>
        <w:t>ة الإنسان</w:t>
      </w:r>
      <w:r w:rsidR="00CC705A" w:rsidRPr="006571AC">
        <w:rPr>
          <w:rFonts w:ascii="Arial" w:hAnsi="Arial" w:hint="cs"/>
          <w:sz w:val="27"/>
          <w:shd w:val="clear" w:color="auto" w:fill="FFFFFF"/>
          <w:rtl/>
        </w:rPr>
        <w:t>،</w:t>
      </w:r>
      <w:r w:rsidR="0043677F" w:rsidRPr="006571AC">
        <w:rPr>
          <w:rFonts w:ascii="Arial" w:hAnsi="Arial" w:hint="cs"/>
          <w:sz w:val="27"/>
          <w:shd w:val="clear" w:color="auto" w:fill="FFFFFF"/>
          <w:rtl/>
        </w:rPr>
        <w:t xml:space="preserve"> ومن أبرزهم:</w:t>
      </w:r>
      <w:r w:rsidR="0043677F" w:rsidRPr="006571AC">
        <w:rPr>
          <w:rFonts w:ascii="Simplified Arabic" w:hAnsi="Simplified Arabic" w:hint="cs"/>
          <w:sz w:val="27"/>
          <w:rtl/>
          <w:lang w:bidi="ar-SY"/>
        </w:rPr>
        <w:t xml:space="preserve"> أبو بكر بن زكريا الرازي والفارابي وابن سينا وإخوان الصفا والغزالي وابن مسكو</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ي</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ه وابن رشد وابن حزم وابن باجة</w:t>
      </w:r>
      <w:r w:rsidR="00251ACD" w:rsidRPr="006571AC">
        <w:rPr>
          <w:rFonts w:ascii="Simplified Arabic" w:hAnsi="Simplified Arabic" w:hint="cs"/>
          <w:sz w:val="27"/>
          <w:rtl/>
          <w:lang w:bidi="ar-SY"/>
        </w:rPr>
        <w:t>.</w:t>
      </w:r>
      <w:r w:rsidR="0043677F" w:rsidRPr="006571AC">
        <w:rPr>
          <w:rFonts w:ascii="Simplified Arabic" w:hAnsi="Simplified Arabic" w:hint="cs"/>
          <w:sz w:val="27"/>
          <w:rtl/>
          <w:lang w:bidi="ar-SY"/>
        </w:rPr>
        <w:t xml:space="preserve"> </w:t>
      </w:r>
      <w:r w:rsidR="00CC705A" w:rsidRPr="006571AC">
        <w:rPr>
          <w:rFonts w:ascii="Simplified Arabic" w:hAnsi="Simplified Arabic" w:hint="cs"/>
          <w:sz w:val="27"/>
          <w:rtl/>
          <w:lang w:bidi="ar-SY"/>
        </w:rPr>
        <w:t>و</w:t>
      </w:r>
      <w:r w:rsidR="0043677F" w:rsidRPr="006571AC">
        <w:rPr>
          <w:rFonts w:ascii="Simplified Arabic" w:hAnsi="Simplified Arabic" w:hint="cs"/>
          <w:sz w:val="27"/>
          <w:rtl/>
          <w:lang w:bidi="ar-SY"/>
        </w:rPr>
        <w:t>هذه الأسماء تمث</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ل المرحلة الفلسفية في الدراسات التي لها صلة</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 xml:space="preserve"> مباشرة بشخصي</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ة الإنسان، فهم يجس</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دون المرحلة الفلسفية في دراستهم للنفس البشرية، ولشخصية الإنسان في ب</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ع</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دها الاجتماعي بشكل</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 xml:space="preserve"> عام</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 ما يدل</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 xml:space="preserve"> </w:t>
      </w:r>
      <w:r w:rsidR="00CC705A" w:rsidRPr="006571AC">
        <w:rPr>
          <w:rFonts w:ascii="Simplified Arabic" w:hAnsi="Simplified Arabic" w:hint="cs"/>
          <w:sz w:val="27"/>
          <w:rtl/>
          <w:lang w:bidi="ar-SY"/>
        </w:rPr>
        <w:t xml:space="preserve">على </w:t>
      </w:r>
      <w:r w:rsidR="0043677F" w:rsidRPr="006571AC">
        <w:rPr>
          <w:rFonts w:ascii="Simplified Arabic" w:hAnsi="Simplified Arabic" w:hint="cs"/>
          <w:sz w:val="27"/>
          <w:rtl/>
          <w:lang w:bidi="ar-SY"/>
        </w:rPr>
        <w:t>أن المعرفة بالإنسان كانت من العلوم الرائجة في الحضارة العربية الإسلامية</w:t>
      </w:r>
      <w:r w:rsidR="0043677F" w:rsidRPr="006571AC">
        <w:rPr>
          <w:rFonts w:ascii="Simplified Arabic" w:hAnsi="Simplified Arabic"/>
          <w:sz w:val="27"/>
          <w:vertAlign w:val="superscript"/>
          <w:rtl/>
          <w:lang w:bidi="ar-SY"/>
        </w:rPr>
        <w:t xml:space="preserve"> (</w:t>
      </w:r>
      <w:r w:rsidR="0043677F" w:rsidRPr="006571AC">
        <w:rPr>
          <w:rStyle w:val="ac"/>
          <w:sz w:val="27"/>
          <w:rtl/>
          <w:lang w:bidi="ar-SY"/>
        </w:rPr>
        <w:endnoteReference w:id="757"/>
      </w:r>
      <w:r w:rsidR="0043677F" w:rsidRPr="006571AC">
        <w:rPr>
          <w:rFonts w:ascii="Simplified Arabic" w:hAnsi="Simplified Arabic"/>
          <w:sz w:val="27"/>
          <w:vertAlign w:val="superscript"/>
          <w:rtl/>
          <w:lang w:bidi="ar-SY"/>
        </w:rPr>
        <w:t>)</w:t>
      </w:r>
      <w:r w:rsidR="00CC705A" w:rsidRPr="006571AC">
        <w:rPr>
          <w:rFonts w:ascii="Simplified Arabic" w:hAnsi="Simplified Arabic" w:hint="cs"/>
          <w:sz w:val="27"/>
          <w:rtl/>
          <w:lang w:bidi="ar-SY"/>
        </w:rPr>
        <w:t xml:space="preserve">، </w:t>
      </w:r>
      <w:r w:rsidR="0043677F" w:rsidRPr="006571AC">
        <w:rPr>
          <w:rFonts w:ascii="Arial" w:hAnsi="Arial" w:hint="cs"/>
          <w:sz w:val="27"/>
          <w:rtl/>
          <w:lang w:bidi="ar-AE"/>
        </w:rPr>
        <w:t>بحيث لا</w:t>
      </w:r>
      <w:r w:rsidR="0043677F" w:rsidRPr="006571AC">
        <w:rPr>
          <w:rFonts w:ascii="Simplified Arabic" w:hAnsi="Simplified Arabic" w:hint="cs"/>
          <w:sz w:val="27"/>
          <w:rtl/>
          <w:lang w:eastAsia="fr-FR" w:bidi="ar-SY"/>
        </w:rPr>
        <w:t xml:space="preserve"> نش</w:t>
      </w:r>
      <w:r w:rsidR="00251ACD" w:rsidRPr="006571AC">
        <w:rPr>
          <w:rFonts w:ascii="Simplified Arabic" w:hAnsi="Simplified Arabic" w:hint="cs"/>
          <w:sz w:val="27"/>
          <w:rtl/>
          <w:lang w:eastAsia="fr-FR" w:bidi="ar-SY"/>
        </w:rPr>
        <w:t>طّ</w:t>
      </w:r>
      <w:r w:rsidR="0043677F" w:rsidRPr="006571AC">
        <w:rPr>
          <w:rFonts w:ascii="Simplified Arabic" w:hAnsi="Simplified Arabic" w:hint="cs"/>
          <w:sz w:val="27"/>
          <w:rtl/>
          <w:lang w:eastAsia="fr-FR" w:bidi="ar-SY"/>
        </w:rPr>
        <w:t xml:space="preserve"> </w:t>
      </w:r>
      <w:r w:rsidR="00CC705A" w:rsidRPr="006571AC">
        <w:rPr>
          <w:rFonts w:ascii="Simplified Arabic" w:hAnsi="Simplified Arabic" w:hint="cs"/>
          <w:sz w:val="27"/>
          <w:rtl/>
          <w:lang w:eastAsia="fr-FR" w:bidi="ar-SY"/>
        </w:rPr>
        <w:t>إ</w:t>
      </w:r>
      <w:r w:rsidR="0043677F" w:rsidRPr="006571AC">
        <w:rPr>
          <w:rFonts w:ascii="Simplified Arabic" w:hAnsi="Simplified Arabic" w:hint="cs"/>
          <w:sz w:val="27"/>
          <w:rtl/>
          <w:lang w:eastAsia="fr-FR" w:bidi="ar-SY"/>
        </w:rPr>
        <w:t>ذا قلنا</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إن </w:t>
      </w:r>
      <w:r w:rsidR="00CC705A" w:rsidRPr="006571AC">
        <w:rPr>
          <w:rFonts w:ascii="Simplified Arabic" w:hAnsi="Simplified Arabic"/>
          <w:sz w:val="27"/>
          <w:rtl/>
          <w:lang w:eastAsia="fr-FR" w:bidi="ar-SY"/>
        </w:rPr>
        <w:t>علماء</w:t>
      </w:r>
      <w:r w:rsidR="0043677F" w:rsidRPr="006571AC">
        <w:rPr>
          <w:rFonts w:ascii="Simplified Arabic" w:hAnsi="Simplified Arabic"/>
          <w:sz w:val="27"/>
          <w:rtl/>
          <w:lang w:eastAsia="fr-FR" w:bidi="ar-SY"/>
        </w:rPr>
        <w:t xml:space="preserve"> العرب والمسلمين</w:t>
      </w:r>
      <w:r w:rsidR="0043677F" w:rsidRPr="006571AC">
        <w:rPr>
          <w:rFonts w:ascii="Simplified Arabic" w:hAnsi="Simplified Arabic" w:hint="cs"/>
          <w:sz w:val="27"/>
          <w:rtl/>
          <w:lang w:eastAsia="fr-FR" w:bidi="ar-SY"/>
        </w:rPr>
        <w:t xml:space="preserve"> قد</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موا </w:t>
      </w:r>
      <w:r w:rsidR="00CC705A" w:rsidRPr="006571AC">
        <w:rPr>
          <w:rFonts w:ascii="Simplified Arabic" w:hAnsi="Simplified Arabic"/>
          <w:sz w:val="27"/>
          <w:rtl/>
          <w:lang w:eastAsia="fr-FR" w:bidi="ar-SY"/>
        </w:rPr>
        <w:t>إسهامات</w:t>
      </w:r>
      <w:r w:rsidR="00CC705A" w:rsidRPr="006571AC">
        <w:rPr>
          <w:rFonts w:ascii="Simplified Arabic" w:hAnsi="Simplified Arabic" w:hint="cs"/>
          <w:sz w:val="27"/>
          <w:rtl/>
          <w:lang w:eastAsia="fr-FR" w:bidi="ar-SY"/>
        </w:rPr>
        <w:t>ٍ</w:t>
      </w:r>
      <w:r w:rsidR="0043677F" w:rsidRPr="006571AC">
        <w:rPr>
          <w:rFonts w:ascii="Simplified Arabic" w:hAnsi="Simplified Arabic"/>
          <w:sz w:val="27"/>
          <w:rtl/>
          <w:lang w:eastAsia="fr-FR" w:bidi="ar-SY"/>
        </w:rPr>
        <w:t xml:space="preserve"> جليلةً</w:t>
      </w:r>
      <w:r w:rsidR="0043677F" w:rsidRPr="006571AC">
        <w:rPr>
          <w:rFonts w:ascii="Simplified Arabic" w:hAnsi="Simplified Arabic" w:hint="cs"/>
          <w:sz w:val="27"/>
          <w:rtl/>
          <w:lang w:eastAsia="fr-FR" w:bidi="ar-SY"/>
        </w:rPr>
        <w:t xml:space="preserve"> ومشاركات</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رائدة</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ومتمي</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زة </w:t>
      </w:r>
      <w:r w:rsidR="0043677F" w:rsidRPr="006571AC">
        <w:rPr>
          <w:rFonts w:ascii="Simplified Arabic" w:hAnsi="Simplified Arabic"/>
          <w:sz w:val="27"/>
          <w:rtl/>
          <w:lang w:eastAsia="fr-FR" w:bidi="ar-SY"/>
        </w:rPr>
        <w:t xml:space="preserve">في مجال </w:t>
      </w:r>
      <w:r w:rsidR="0043677F" w:rsidRPr="006571AC">
        <w:rPr>
          <w:rFonts w:ascii="Simplified Arabic" w:hAnsi="Simplified Arabic" w:hint="cs"/>
          <w:sz w:val="27"/>
          <w:rtl/>
          <w:lang w:eastAsia="fr-FR" w:bidi="ar-SY"/>
        </w:rPr>
        <w:t>ال</w:t>
      </w:r>
      <w:r w:rsidR="0043677F" w:rsidRPr="006571AC">
        <w:rPr>
          <w:rFonts w:ascii="Simplified Arabic" w:hAnsi="Simplified Arabic"/>
          <w:sz w:val="27"/>
          <w:rtl/>
          <w:lang w:eastAsia="fr-FR" w:bidi="ar-SY"/>
        </w:rPr>
        <w:t>عل</w:t>
      </w:r>
      <w:r w:rsidR="0043677F" w:rsidRPr="006571AC">
        <w:rPr>
          <w:rFonts w:ascii="Simplified Arabic" w:hAnsi="Simplified Arabic" w:hint="cs"/>
          <w:sz w:val="27"/>
          <w:rtl/>
          <w:lang w:eastAsia="fr-FR" w:bidi="ar-SY"/>
        </w:rPr>
        <w:t>و</w:t>
      </w:r>
      <w:r w:rsidR="0043677F" w:rsidRPr="006571AC">
        <w:rPr>
          <w:rFonts w:ascii="Simplified Arabic" w:hAnsi="Simplified Arabic"/>
          <w:sz w:val="27"/>
          <w:rtl/>
          <w:lang w:eastAsia="fr-FR" w:bidi="ar-SY"/>
        </w:rPr>
        <w:t xml:space="preserve">م </w:t>
      </w:r>
      <w:r w:rsidR="0043677F" w:rsidRPr="006571AC">
        <w:rPr>
          <w:rFonts w:ascii="Simplified Arabic" w:hAnsi="Simplified Arabic" w:hint="cs"/>
          <w:sz w:val="27"/>
          <w:rtl/>
          <w:lang w:eastAsia="fr-FR" w:bidi="ar-SY"/>
        </w:rPr>
        <w:t>الإنسانية</w:t>
      </w:r>
      <w:r w:rsidR="0043677F" w:rsidRPr="006571AC">
        <w:rPr>
          <w:rFonts w:ascii="Simplified Arabic" w:hAnsi="Simplified Arabic"/>
          <w:sz w:val="27"/>
          <w:rtl/>
          <w:lang w:eastAsia="fr-FR" w:bidi="ar-SY"/>
        </w:rPr>
        <w:t>،</w:t>
      </w:r>
      <w:r w:rsidR="0043677F" w:rsidRPr="006571AC">
        <w:rPr>
          <w:rFonts w:ascii="Simplified Arabic" w:hAnsi="Simplified Arabic" w:hint="cs"/>
          <w:sz w:val="27"/>
          <w:rtl/>
          <w:lang w:eastAsia="fr-FR" w:bidi="ar-SY"/>
        </w:rPr>
        <w:t xml:space="preserve"> و</w:t>
      </w:r>
      <w:r w:rsidR="00CC705A" w:rsidRPr="006571AC">
        <w:rPr>
          <w:rFonts w:ascii="Simplified Arabic" w:hAnsi="Simplified Arabic" w:hint="cs"/>
          <w:sz w:val="27"/>
          <w:rtl/>
          <w:lang w:eastAsia="fr-FR" w:bidi="ar-SY"/>
        </w:rPr>
        <w:t>إ</w:t>
      </w:r>
      <w:r w:rsidR="0043677F" w:rsidRPr="006571AC">
        <w:rPr>
          <w:rFonts w:ascii="Simplified Arabic" w:hAnsi="Simplified Arabic" w:hint="cs"/>
          <w:sz w:val="27"/>
          <w:rtl/>
          <w:lang w:eastAsia="fr-FR" w:bidi="ar-SY"/>
        </w:rPr>
        <w:t>ن</w:t>
      </w:r>
      <w:r w:rsidR="00251ACD"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كانت هذه المشاركة تعب</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ر عن العصر والثقافة التي عاشها ومر</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بها علماء الإسلام</w:t>
      </w:r>
      <w:r w:rsidR="00CC705A" w:rsidRPr="006571AC">
        <w:rPr>
          <w:rFonts w:ascii="Simplified Arabic" w:hAnsi="Simplified Arabic" w:hint="cs"/>
          <w:sz w:val="27"/>
          <w:rtl/>
          <w:lang w:eastAsia="fr-FR" w:bidi="ar-SY"/>
        </w:rPr>
        <w:t>،</w:t>
      </w:r>
      <w:r w:rsidR="0043677F" w:rsidRPr="006571AC">
        <w:rPr>
          <w:rFonts w:ascii="Simplified Arabic" w:hAnsi="Simplified Arabic"/>
          <w:sz w:val="27"/>
          <w:rtl/>
          <w:lang w:eastAsia="fr-FR" w:bidi="ar-SY"/>
        </w:rPr>
        <w:t xml:space="preserve"> </w:t>
      </w:r>
      <w:r w:rsidR="0043677F" w:rsidRPr="006571AC">
        <w:rPr>
          <w:rFonts w:ascii="Simplified Arabic" w:hAnsi="Simplified Arabic" w:hint="cs"/>
          <w:sz w:val="27"/>
          <w:rtl/>
          <w:lang w:eastAsia="fr-FR" w:bidi="ar-SY"/>
        </w:rPr>
        <w:t>وهذا ش</w:t>
      </w:r>
      <w:r w:rsidR="00CC705A" w:rsidRPr="006571AC">
        <w:rPr>
          <w:rFonts w:ascii="Simplified Arabic" w:hAnsi="Simplified Arabic" w:hint="cs"/>
          <w:sz w:val="27"/>
          <w:rtl/>
          <w:lang w:eastAsia="fr-FR" w:bidi="ar-SY"/>
        </w:rPr>
        <w:t>أ</w:t>
      </w:r>
      <w:r w:rsidR="0043677F" w:rsidRPr="006571AC">
        <w:rPr>
          <w:rFonts w:ascii="Simplified Arabic" w:hAnsi="Simplified Arabic" w:hint="cs"/>
          <w:sz w:val="27"/>
          <w:rtl/>
          <w:lang w:eastAsia="fr-FR" w:bidi="ar-SY"/>
        </w:rPr>
        <w:t>ن</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يعم</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جميع العلوم</w:t>
      </w:r>
      <w:r w:rsidR="00CC705A" w:rsidRPr="006571AC">
        <w:rPr>
          <w:rFonts w:ascii="Simplified Arabic" w:hAnsi="Simplified Arabic" w:hint="cs"/>
          <w:sz w:val="27"/>
          <w:rtl/>
          <w:lang w:eastAsia="fr-FR" w:bidi="ar-SY"/>
        </w:rPr>
        <w:t xml:space="preserve">؛ </w:t>
      </w:r>
      <w:r w:rsidR="0043677F" w:rsidRPr="006571AC">
        <w:rPr>
          <w:rFonts w:ascii="Simplified Arabic" w:hAnsi="Simplified Arabic" w:hint="cs"/>
          <w:sz w:val="27"/>
          <w:rtl/>
          <w:lang w:eastAsia="fr-FR" w:bidi="ar-SY"/>
        </w:rPr>
        <w:t>ل</w:t>
      </w:r>
      <w:r w:rsidR="00CC705A" w:rsidRPr="006571AC">
        <w:rPr>
          <w:rFonts w:ascii="Simplified Arabic" w:hAnsi="Simplified Arabic" w:hint="cs"/>
          <w:sz w:val="27"/>
          <w:rtl/>
          <w:lang w:eastAsia="fr-FR" w:bidi="ar-SY"/>
        </w:rPr>
        <w:t>أ</w:t>
      </w:r>
      <w:r w:rsidR="0043677F" w:rsidRPr="006571AC">
        <w:rPr>
          <w:rFonts w:ascii="Simplified Arabic" w:hAnsi="Simplified Arabic" w:hint="cs"/>
          <w:sz w:val="27"/>
          <w:rtl/>
          <w:lang w:eastAsia="fr-FR" w:bidi="ar-SY"/>
        </w:rPr>
        <w:t>ن أي</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علم</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كغيره من العلوم</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يتطو</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ر ت</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ب</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عا</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للمسار التاريخي الذي تقطعه </w:t>
      </w:r>
      <w:r w:rsidR="00CC705A" w:rsidRPr="006571AC">
        <w:rPr>
          <w:rFonts w:ascii="Simplified Arabic" w:hAnsi="Simplified Arabic" w:hint="cs"/>
          <w:sz w:val="27"/>
          <w:rtl/>
          <w:lang w:eastAsia="fr-FR" w:bidi="ar-SY"/>
        </w:rPr>
        <w:t>أ</w:t>
      </w:r>
      <w:r w:rsidR="0043677F" w:rsidRPr="006571AC">
        <w:rPr>
          <w:rFonts w:ascii="Simplified Arabic" w:hAnsi="Simplified Arabic" w:hint="cs"/>
          <w:sz w:val="27"/>
          <w:rtl/>
          <w:lang w:eastAsia="fr-FR" w:bidi="ar-SY"/>
        </w:rPr>
        <w:t xml:space="preserve">غلب العلوم الإنسانية، وعلم النفس لا يحيد ولا </w:t>
      </w:r>
      <w:r w:rsidR="0043677F" w:rsidRPr="006571AC">
        <w:rPr>
          <w:rFonts w:ascii="Simplified Arabic" w:hAnsi="Simplified Arabic" w:hint="cs"/>
          <w:sz w:val="27"/>
          <w:rtl/>
          <w:lang w:eastAsia="fr-FR" w:bidi="ar-SY"/>
        </w:rPr>
        <w:lastRenderedPageBreak/>
        <w:t>يخرج عن هذه القاعدة المعرفية وال</w:t>
      </w:r>
      <w:r w:rsidR="00125A2E" w:rsidRPr="006571AC">
        <w:rPr>
          <w:rFonts w:ascii="Simplified Arabic" w:hAnsi="Simplified Arabic" w:hint="cs"/>
          <w:sz w:val="27"/>
          <w:rtl/>
          <w:lang w:eastAsia="fr-FR" w:bidi="ar-SY"/>
        </w:rPr>
        <w:t>إ</w:t>
      </w:r>
      <w:r w:rsidR="0043677F" w:rsidRPr="006571AC">
        <w:rPr>
          <w:rFonts w:ascii="Simplified Arabic" w:hAnsi="Simplified Arabic" w:hint="cs"/>
          <w:sz w:val="27"/>
          <w:rtl/>
          <w:lang w:eastAsia="fr-FR" w:bidi="ar-SY"/>
        </w:rPr>
        <w:t>بستمولوجية</w:t>
      </w:r>
      <w:r w:rsidR="00125A2E"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التي ت</w:t>
      </w:r>
      <w:r w:rsidR="00125A2E" w:rsidRPr="006571AC">
        <w:rPr>
          <w:rFonts w:ascii="Simplified Arabic" w:hAnsi="Simplified Arabic" w:hint="cs"/>
          <w:sz w:val="27"/>
          <w:rtl/>
          <w:lang w:eastAsia="fr-FR" w:bidi="ar-SY"/>
        </w:rPr>
        <w:t>م</w:t>
      </w:r>
      <w:r w:rsidR="0043677F" w:rsidRPr="006571AC">
        <w:rPr>
          <w:rFonts w:ascii="Simplified Arabic" w:hAnsi="Simplified Arabic" w:hint="cs"/>
          <w:sz w:val="27"/>
          <w:rtl/>
          <w:lang w:eastAsia="fr-FR" w:bidi="ar-SY"/>
        </w:rPr>
        <w:t>ر</w:t>
      </w:r>
      <w:r w:rsidR="00125A2E"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w:t>
      </w:r>
      <w:r w:rsidR="00125A2E" w:rsidRPr="006571AC">
        <w:rPr>
          <w:rFonts w:ascii="Simplified Arabic" w:hAnsi="Simplified Arabic" w:hint="cs"/>
          <w:sz w:val="27"/>
          <w:rtl/>
          <w:lang w:eastAsia="fr-FR" w:bidi="ar-SY"/>
        </w:rPr>
        <w:t>ب</w:t>
      </w:r>
      <w:r w:rsidR="0043677F" w:rsidRPr="006571AC">
        <w:rPr>
          <w:rFonts w:ascii="Simplified Arabic" w:hAnsi="Simplified Arabic" w:hint="cs"/>
          <w:sz w:val="27"/>
          <w:rtl/>
          <w:lang w:eastAsia="fr-FR" w:bidi="ar-SY"/>
        </w:rPr>
        <w:t xml:space="preserve">ها </w:t>
      </w:r>
      <w:r w:rsidR="00125A2E" w:rsidRPr="006571AC">
        <w:rPr>
          <w:rFonts w:ascii="Simplified Arabic" w:hAnsi="Simplified Arabic" w:hint="cs"/>
          <w:sz w:val="27"/>
          <w:rtl/>
          <w:lang w:eastAsia="fr-FR" w:bidi="ar-SY"/>
        </w:rPr>
        <w:t>أ</w:t>
      </w:r>
      <w:r w:rsidR="0043677F" w:rsidRPr="006571AC">
        <w:rPr>
          <w:rFonts w:ascii="Simplified Arabic" w:hAnsi="Simplified Arabic" w:hint="cs"/>
          <w:sz w:val="27"/>
          <w:rtl/>
          <w:lang w:eastAsia="fr-FR" w:bidi="ar-SY"/>
        </w:rPr>
        <w:t>غلب العلوم في نشأتها وتطو</w:t>
      </w:r>
      <w:r w:rsidR="00125A2E" w:rsidRPr="006571AC">
        <w:rPr>
          <w:rFonts w:ascii="Simplified Arabic" w:hAnsi="Simplified Arabic" w:hint="cs"/>
          <w:sz w:val="27"/>
          <w:rtl/>
          <w:lang w:eastAsia="fr-FR" w:bidi="ar-SY"/>
        </w:rPr>
        <w:t>ّ</w:t>
      </w:r>
      <w:r w:rsidR="00251ACD"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رها. </w:t>
      </w:r>
    </w:p>
    <w:p w:rsidR="0043677F" w:rsidRPr="0039174B" w:rsidRDefault="0043677F" w:rsidP="0039174B">
      <w:pPr>
        <w:rPr>
          <w:rFonts w:ascii="Arial" w:hAnsi="Arial"/>
          <w:sz w:val="27"/>
          <w:rtl/>
          <w:lang w:bidi="ar-AE"/>
        </w:rPr>
      </w:pPr>
      <w:r w:rsidRPr="0039174B">
        <w:rPr>
          <w:rFonts w:ascii="Arial" w:hAnsi="Arial"/>
          <w:sz w:val="27"/>
          <w:rtl/>
          <w:lang w:bidi="ar-AE"/>
        </w:rPr>
        <w:t xml:space="preserve"> </w:t>
      </w:r>
      <w:r w:rsidRPr="0039174B">
        <w:rPr>
          <w:rFonts w:ascii="Arial" w:hAnsi="Arial" w:hint="cs"/>
          <w:sz w:val="27"/>
          <w:rtl/>
          <w:lang w:bidi="ar-AE"/>
        </w:rPr>
        <w:t>ومم</w:t>
      </w:r>
      <w:r w:rsidR="00125A2E" w:rsidRPr="0039174B">
        <w:rPr>
          <w:rFonts w:ascii="Arial" w:hAnsi="Arial" w:hint="cs"/>
          <w:sz w:val="27"/>
          <w:rtl/>
          <w:lang w:bidi="ar-AE"/>
        </w:rPr>
        <w:t>ّ</w:t>
      </w:r>
      <w:r w:rsidRPr="0039174B">
        <w:rPr>
          <w:rFonts w:ascii="Arial" w:hAnsi="Arial" w:hint="cs"/>
          <w:sz w:val="27"/>
          <w:rtl/>
          <w:lang w:bidi="ar-AE"/>
        </w:rPr>
        <w:t xml:space="preserve">ا ينبغي الإشارة إليه </w:t>
      </w:r>
      <w:r w:rsidRPr="0039174B">
        <w:rPr>
          <w:rFonts w:ascii="Arial" w:hAnsi="Arial"/>
          <w:sz w:val="27"/>
          <w:rtl/>
          <w:lang w:bidi="ar-AE"/>
        </w:rPr>
        <w:t xml:space="preserve">أن علم النفس في التراث الإسلامي لم يكن </w:t>
      </w:r>
      <w:r w:rsidR="00125A2E" w:rsidRPr="0039174B">
        <w:rPr>
          <w:rFonts w:ascii="Arial" w:hAnsi="Arial" w:hint="eastAsia"/>
          <w:sz w:val="24"/>
          <w:szCs w:val="24"/>
          <w:rtl/>
          <w:lang w:bidi="ar-AE"/>
        </w:rPr>
        <w:t>«</w:t>
      </w:r>
      <w:r w:rsidRPr="0039174B">
        <w:rPr>
          <w:rFonts w:ascii="Arial" w:hAnsi="Arial"/>
          <w:sz w:val="27"/>
          <w:rtl/>
          <w:lang w:bidi="ar-AE"/>
        </w:rPr>
        <w:t>صنعة</w:t>
      </w:r>
      <w:r w:rsidR="003425D1" w:rsidRPr="0039174B">
        <w:rPr>
          <w:rFonts w:ascii="Arial" w:hAnsi="Arial" w:hint="cs"/>
          <w:sz w:val="27"/>
          <w:rtl/>
          <w:lang w:bidi="ar-AE"/>
        </w:rPr>
        <w:t>ً</w:t>
      </w:r>
      <w:r w:rsidR="00125A2E" w:rsidRPr="0039174B">
        <w:rPr>
          <w:rFonts w:ascii="Arial" w:hAnsi="Arial" w:hint="eastAsia"/>
          <w:sz w:val="24"/>
          <w:szCs w:val="24"/>
          <w:rtl/>
          <w:lang w:bidi="ar-AE"/>
        </w:rPr>
        <w:t>»</w:t>
      </w:r>
      <w:r w:rsidRPr="0039174B">
        <w:rPr>
          <w:rFonts w:ascii="Arial" w:hAnsi="Arial"/>
          <w:sz w:val="27"/>
          <w:rtl/>
          <w:lang w:bidi="ar-AE"/>
        </w:rPr>
        <w:t xml:space="preserve"> تجتمع عليها فئةٌ من الدارسين</w:t>
      </w:r>
      <w:r w:rsidRPr="0039174B">
        <w:rPr>
          <w:rFonts w:ascii="Arial" w:hAnsi="Arial" w:hint="cs"/>
          <w:sz w:val="27"/>
          <w:rtl/>
          <w:lang w:bidi="ar-AE"/>
        </w:rPr>
        <w:t xml:space="preserve"> والب</w:t>
      </w:r>
      <w:r w:rsidR="00125A2E" w:rsidRPr="0039174B">
        <w:rPr>
          <w:rFonts w:ascii="Arial" w:hAnsi="Arial" w:hint="cs"/>
          <w:sz w:val="27"/>
          <w:rtl/>
          <w:lang w:bidi="ar-AE"/>
        </w:rPr>
        <w:t>ا</w:t>
      </w:r>
      <w:r w:rsidRPr="0039174B">
        <w:rPr>
          <w:rFonts w:ascii="Arial" w:hAnsi="Arial" w:hint="cs"/>
          <w:sz w:val="27"/>
          <w:rtl/>
          <w:lang w:bidi="ar-AE"/>
        </w:rPr>
        <w:t xml:space="preserve">حثين، </w:t>
      </w:r>
      <w:r w:rsidRPr="0039174B">
        <w:rPr>
          <w:rFonts w:ascii="Arial" w:hAnsi="Arial"/>
          <w:sz w:val="27"/>
          <w:rtl/>
          <w:lang w:bidi="ar-AE"/>
        </w:rPr>
        <w:t xml:space="preserve">كما كان </w:t>
      </w:r>
      <w:r w:rsidRPr="0039174B">
        <w:rPr>
          <w:rFonts w:ascii="Arial" w:hAnsi="Arial" w:hint="cs"/>
          <w:sz w:val="27"/>
          <w:rtl/>
          <w:lang w:bidi="ar-AE"/>
        </w:rPr>
        <w:t xml:space="preserve">الشأن في علم </w:t>
      </w:r>
      <w:r w:rsidR="00125A2E" w:rsidRPr="0039174B">
        <w:rPr>
          <w:rFonts w:ascii="Arial" w:hAnsi="Arial"/>
          <w:sz w:val="27"/>
          <w:rtl/>
          <w:lang w:bidi="ar-AE"/>
        </w:rPr>
        <w:t>النحو</w:t>
      </w:r>
      <w:r w:rsidR="00125A2E" w:rsidRPr="0039174B">
        <w:rPr>
          <w:rFonts w:ascii="Arial" w:hAnsi="Arial" w:hint="cs"/>
          <w:sz w:val="27"/>
          <w:rtl/>
          <w:lang w:bidi="ar-AE"/>
        </w:rPr>
        <w:t>،</w:t>
      </w:r>
      <w:r w:rsidRPr="0039174B">
        <w:rPr>
          <w:rFonts w:ascii="Arial" w:hAnsi="Arial"/>
          <w:sz w:val="27"/>
          <w:rtl/>
          <w:lang w:bidi="ar-AE"/>
        </w:rPr>
        <w:t xml:space="preserve"> </w:t>
      </w:r>
      <w:r w:rsidRPr="0039174B">
        <w:rPr>
          <w:rFonts w:ascii="Arial" w:hAnsi="Arial" w:hint="cs"/>
          <w:sz w:val="27"/>
          <w:rtl/>
          <w:lang w:bidi="ar-AE"/>
        </w:rPr>
        <w:t>الذي تحو</w:t>
      </w:r>
      <w:r w:rsidR="00125A2E" w:rsidRPr="0039174B">
        <w:rPr>
          <w:rFonts w:ascii="Arial" w:hAnsi="Arial" w:hint="cs"/>
          <w:sz w:val="27"/>
          <w:rtl/>
          <w:lang w:bidi="ar-AE"/>
        </w:rPr>
        <w:t>ّ</w:t>
      </w:r>
      <w:r w:rsidRPr="0039174B">
        <w:rPr>
          <w:rFonts w:ascii="Arial" w:hAnsi="Arial" w:hint="cs"/>
          <w:sz w:val="27"/>
          <w:rtl/>
          <w:lang w:bidi="ar-AE"/>
        </w:rPr>
        <w:t xml:space="preserve">ل إلى </w:t>
      </w:r>
      <w:r w:rsidR="00125A2E" w:rsidRPr="0039174B">
        <w:rPr>
          <w:rFonts w:ascii="Arial" w:hAnsi="Arial"/>
          <w:sz w:val="27"/>
          <w:rtl/>
          <w:lang w:bidi="ar-AE"/>
        </w:rPr>
        <w:t>صنعة</w:t>
      </w:r>
      <w:r w:rsidR="00125A2E" w:rsidRPr="0039174B">
        <w:rPr>
          <w:rFonts w:ascii="Arial" w:hAnsi="Arial" w:hint="cs"/>
          <w:sz w:val="27"/>
          <w:rtl/>
          <w:lang w:bidi="ar-AE"/>
        </w:rPr>
        <w:t>ٍ</w:t>
      </w:r>
      <w:r w:rsidRPr="0039174B">
        <w:rPr>
          <w:rFonts w:ascii="Arial" w:hAnsi="Arial"/>
          <w:sz w:val="27"/>
          <w:rtl/>
          <w:lang w:bidi="ar-AE"/>
        </w:rPr>
        <w:t xml:space="preserve"> تجمع النحوي</w:t>
      </w:r>
      <w:r w:rsidR="00125A2E" w:rsidRPr="0039174B">
        <w:rPr>
          <w:rFonts w:ascii="Arial" w:hAnsi="Arial" w:hint="cs"/>
          <w:sz w:val="27"/>
          <w:rtl/>
          <w:lang w:bidi="ar-AE"/>
        </w:rPr>
        <w:t>ّ</w:t>
      </w:r>
      <w:r w:rsidRPr="0039174B">
        <w:rPr>
          <w:rFonts w:ascii="Arial" w:hAnsi="Arial"/>
          <w:sz w:val="27"/>
          <w:rtl/>
          <w:lang w:bidi="ar-AE"/>
        </w:rPr>
        <w:t>ين</w:t>
      </w:r>
      <w:r w:rsidR="00125A2E" w:rsidRPr="0039174B">
        <w:rPr>
          <w:rFonts w:ascii="Arial" w:hAnsi="Arial" w:hint="cs"/>
          <w:sz w:val="27"/>
          <w:rtl/>
          <w:lang w:bidi="ar-AE"/>
        </w:rPr>
        <w:t>؛</w:t>
      </w:r>
      <w:r w:rsidRPr="0039174B">
        <w:rPr>
          <w:rFonts w:ascii="Arial" w:hAnsi="Arial"/>
          <w:sz w:val="27"/>
          <w:rtl/>
          <w:lang w:bidi="ar-AE"/>
        </w:rPr>
        <w:t xml:space="preserve"> </w:t>
      </w:r>
      <w:r w:rsidRPr="0039174B">
        <w:rPr>
          <w:rFonts w:ascii="Arial" w:hAnsi="Arial" w:hint="cs"/>
          <w:sz w:val="27"/>
          <w:rtl/>
          <w:lang w:bidi="ar-AE"/>
        </w:rPr>
        <w:t xml:space="preserve">إذ </w:t>
      </w:r>
      <w:r w:rsidRPr="0039174B">
        <w:rPr>
          <w:rFonts w:ascii="Arial" w:hAnsi="Arial"/>
          <w:sz w:val="27"/>
          <w:rtl/>
          <w:lang w:bidi="ar-AE"/>
        </w:rPr>
        <w:t>كان للمسلمين فضل</w:t>
      </w:r>
      <w:r w:rsidR="00125A2E" w:rsidRPr="0039174B">
        <w:rPr>
          <w:rFonts w:ascii="Arial" w:hAnsi="Arial" w:hint="cs"/>
          <w:sz w:val="27"/>
          <w:rtl/>
          <w:lang w:bidi="ar-AE"/>
        </w:rPr>
        <w:t>ُ</w:t>
      </w:r>
      <w:r w:rsidRPr="0039174B">
        <w:rPr>
          <w:rFonts w:ascii="Arial" w:hAnsi="Arial"/>
          <w:sz w:val="27"/>
          <w:rtl/>
          <w:lang w:bidi="ar-AE"/>
        </w:rPr>
        <w:t xml:space="preserve"> الس</w:t>
      </w:r>
      <w:r w:rsidR="00125A2E" w:rsidRPr="0039174B">
        <w:rPr>
          <w:rFonts w:ascii="Arial" w:hAnsi="Arial" w:hint="cs"/>
          <w:sz w:val="27"/>
          <w:rtl/>
          <w:lang w:bidi="ar-AE"/>
        </w:rPr>
        <w:t>َّ</w:t>
      </w:r>
      <w:r w:rsidRPr="0039174B">
        <w:rPr>
          <w:rFonts w:ascii="Arial" w:hAnsi="Arial"/>
          <w:sz w:val="27"/>
          <w:rtl/>
          <w:lang w:bidi="ar-AE"/>
        </w:rPr>
        <w:t>ب</w:t>
      </w:r>
      <w:r w:rsidR="00125A2E" w:rsidRPr="0039174B">
        <w:rPr>
          <w:rFonts w:ascii="Arial" w:hAnsi="Arial" w:hint="cs"/>
          <w:sz w:val="27"/>
          <w:rtl/>
          <w:lang w:bidi="ar-AE"/>
        </w:rPr>
        <w:t>ْ</w:t>
      </w:r>
      <w:r w:rsidRPr="0039174B">
        <w:rPr>
          <w:rFonts w:ascii="Arial" w:hAnsi="Arial"/>
          <w:sz w:val="27"/>
          <w:rtl/>
          <w:lang w:bidi="ar-AE"/>
        </w:rPr>
        <w:t>ق والإضافة في كثير</w:t>
      </w:r>
      <w:r w:rsidR="00125A2E" w:rsidRPr="0039174B">
        <w:rPr>
          <w:rFonts w:ascii="Arial" w:hAnsi="Arial" w:hint="cs"/>
          <w:sz w:val="27"/>
          <w:rtl/>
          <w:lang w:bidi="ar-AE"/>
        </w:rPr>
        <w:t>ٍ</w:t>
      </w:r>
      <w:r w:rsidRPr="0039174B">
        <w:rPr>
          <w:rFonts w:ascii="Arial" w:hAnsi="Arial"/>
          <w:sz w:val="27"/>
          <w:rtl/>
          <w:lang w:bidi="ar-AE"/>
        </w:rPr>
        <w:t xml:space="preserve"> من مجالات </w:t>
      </w:r>
      <w:r w:rsidRPr="0039174B">
        <w:rPr>
          <w:rFonts w:ascii="Arial" w:hAnsi="Arial" w:hint="cs"/>
          <w:sz w:val="27"/>
          <w:rtl/>
          <w:lang w:bidi="ar-AE"/>
        </w:rPr>
        <w:t xml:space="preserve">الدراسات </w:t>
      </w:r>
      <w:r w:rsidRPr="0039174B">
        <w:rPr>
          <w:rFonts w:ascii="Arial" w:hAnsi="Arial"/>
          <w:sz w:val="27"/>
          <w:rtl/>
          <w:lang w:bidi="ar-AE"/>
        </w:rPr>
        <w:t>النفس</w:t>
      </w:r>
      <w:r w:rsidRPr="0039174B">
        <w:rPr>
          <w:rFonts w:ascii="Arial" w:hAnsi="Arial" w:hint="cs"/>
          <w:sz w:val="27"/>
          <w:rtl/>
          <w:lang w:bidi="ar-AE"/>
        </w:rPr>
        <w:t>ية</w:t>
      </w:r>
      <w:r w:rsidRPr="0039174B">
        <w:rPr>
          <w:rFonts w:ascii="Arial" w:hAnsi="Arial"/>
          <w:sz w:val="27"/>
          <w:rtl/>
          <w:lang w:bidi="ar-AE"/>
        </w:rPr>
        <w:t xml:space="preserve">. </w:t>
      </w:r>
    </w:p>
    <w:p w:rsidR="00932866" w:rsidRPr="006571AC" w:rsidRDefault="00932866" w:rsidP="00932866">
      <w:pPr>
        <w:spacing w:line="420" w:lineRule="exact"/>
        <w:rPr>
          <w:rFonts w:ascii="Arabic Typesetting" w:hAnsi="Arabic Typesetting"/>
          <w:sz w:val="27"/>
          <w:rtl/>
          <w:lang w:bidi="ar-LB"/>
        </w:rPr>
      </w:pPr>
    </w:p>
    <w:p w:rsidR="0043677F" w:rsidRPr="006571AC" w:rsidRDefault="0043677F" w:rsidP="00962F60">
      <w:pPr>
        <w:pStyle w:val="31"/>
        <w:rPr>
          <w:color w:val="auto"/>
          <w:rtl/>
        </w:rPr>
      </w:pPr>
      <w:bookmarkStart w:id="450" w:name="_Toc114164858"/>
      <w:r w:rsidRPr="006571AC">
        <w:rPr>
          <w:rFonts w:hint="cs"/>
          <w:color w:val="auto"/>
          <w:rtl/>
        </w:rPr>
        <w:t>دلائل وشواهد</w:t>
      </w:r>
      <w:bookmarkEnd w:id="450"/>
    </w:p>
    <w:p w:rsidR="0043677F" w:rsidRPr="006571AC" w:rsidRDefault="0043677F" w:rsidP="004F6064">
      <w:pPr>
        <w:rPr>
          <w:rFonts w:ascii="Arial" w:hAnsi="Arial"/>
          <w:sz w:val="27"/>
          <w:rtl/>
          <w:lang w:bidi="ar-AE"/>
        </w:rPr>
      </w:pPr>
      <w:r w:rsidRPr="006571AC">
        <w:rPr>
          <w:rFonts w:ascii="Arial" w:hAnsi="Arial" w:hint="cs"/>
          <w:sz w:val="27"/>
          <w:rtl/>
          <w:lang w:bidi="ar-AE"/>
        </w:rPr>
        <w:t>إن</w:t>
      </w:r>
      <w:r w:rsidRPr="006571AC">
        <w:rPr>
          <w:rFonts w:ascii="Arial" w:hAnsi="Arial"/>
          <w:sz w:val="27"/>
          <w:rtl/>
          <w:lang w:bidi="ar-AE"/>
        </w:rPr>
        <w:t xml:space="preserve"> </w:t>
      </w:r>
      <w:r w:rsidRPr="006571AC">
        <w:rPr>
          <w:rFonts w:ascii="Arial" w:hAnsi="Arial" w:hint="cs"/>
          <w:sz w:val="27"/>
          <w:rtl/>
          <w:lang w:bidi="ar-AE"/>
        </w:rPr>
        <w:t>أ</w:t>
      </w:r>
      <w:r w:rsidRPr="006571AC">
        <w:rPr>
          <w:rFonts w:ascii="Arial" w:hAnsi="Arial"/>
          <w:sz w:val="27"/>
          <w:rtl/>
          <w:lang w:bidi="ar-AE"/>
        </w:rPr>
        <w:t>كبر الدلائل الدال</w:t>
      </w:r>
      <w:r w:rsidR="00125A2E" w:rsidRPr="006571AC">
        <w:rPr>
          <w:rFonts w:ascii="Arial" w:hAnsi="Arial" w:hint="cs"/>
          <w:sz w:val="27"/>
          <w:rtl/>
          <w:lang w:bidi="ar-AE"/>
        </w:rPr>
        <w:t>ّ</w:t>
      </w:r>
      <w:r w:rsidRPr="006571AC">
        <w:rPr>
          <w:rFonts w:ascii="Arial" w:hAnsi="Arial"/>
          <w:sz w:val="27"/>
          <w:rtl/>
          <w:lang w:bidi="ar-AE"/>
        </w:rPr>
        <w:t>ة و</w:t>
      </w:r>
      <w:r w:rsidRPr="006571AC">
        <w:rPr>
          <w:rFonts w:ascii="Arial" w:hAnsi="Arial" w:hint="cs"/>
          <w:sz w:val="27"/>
          <w:rtl/>
          <w:lang w:bidi="ar-AE"/>
        </w:rPr>
        <w:t xml:space="preserve">الشاهدة والكاشفة </w:t>
      </w:r>
      <w:r w:rsidRPr="006571AC">
        <w:rPr>
          <w:rFonts w:ascii="Arial" w:hAnsi="Arial"/>
          <w:sz w:val="27"/>
          <w:rtl/>
          <w:lang w:bidi="ar-AE"/>
        </w:rPr>
        <w:t>على مدى اهتمام علماء الإسلام ب</w:t>
      </w:r>
      <w:r w:rsidRPr="006571AC">
        <w:rPr>
          <w:rFonts w:ascii="Arial" w:hAnsi="Arial" w:hint="cs"/>
          <w:sz w:val="27"/>
          <w:rtl/>
          <w:lang w:bidi="ar-AE"/>
        </w:rPr>
        <w:t>الدراسات النفسية و</w:t>
      </w:r>
      <w:r w:rsidRPr="006571AC">
        <w:rPr>
          <w:rFonts w:ascii="Arial" w:hAnsi="Arial"/>
          <w:sz w:val="27"/>
          <w:rtl/>
          <w:lang w:bidi="ar-AE"/>
        </w:rPr>
        <w:t>الترب</w:t>
      </w:r>
      <w:r w:rsidRPr="006571AC">
        <w:rPr>
          <w:rFonts w:ascii="Arial" w:hAnsi="Arial" w:hint="cs"/>
          <w:sz w:val="27"/>
          <w:rtl/>
          <w:lang w:bidi="ar-AE"/>
        </w:rPr>
        <w:t>و</w:t>
      </w:r>
      <w:r w:rsidRPr="006571AC">
        <w:rPr>
          <w:rFonts w:ascii="Arial" w:hAnsi="Arial"/>
          <w:sz w:val="27"/>
          <w:rtl/>
          <w:lang w:bidi="ar-AE"/>
        </w:rPr>
        <w:t>ية</w:t>
      </w:r>
      <w:r w:rsidRPr="006571AC">
        <w:rPr>
          <w:rFonts w:ascii="Arial" w:hAnsi="Arial" w:hint="cs"/>
          <w:sz w:val="27"/>
          <w:rtl/>
          <w:lang w:bidi="ar-AE"/>
        </w:rPr>
        <w:t xml:space="preserve"> والاجتماعية </w:t>
      </w:r>
      <w:r w:rsidRPr="006571AC">
        <w:rPr>
          <w:rFonts w:ascii="Arial" w:hAnsi="Arial"/>
          <w:sz w:val="27"/>
          <w:rtl/>
          <w:lang w:bidi="ar-AE"/>
        </w:rPr>
        <w:t xml:space="preserve">هو </w:t>
      </w:r>
      <w:r w:rsidRPr="006571AC">
        <w:rPr>
          <w:rFonts w:ascii="Arial" w:hAnsi="Arial" w:hint="cs"/>
          <w:sz w:val="27"/>
          <w:rtl/>
          <w:lang w:bidi="ar-AE"/>
        </w:rPr>
        <w:t>حضور التصنيف والتأليف في هذا النوع من التخص</w:t>
      </w:r>
      <w:r w:rsidR="00125A2E" w:rsidRPr="006571AC">
        <w:rPr>
          <w:rFonts w:ascii="Arial" w:hAnsi="Arial" w:hint="cs"/>
          <w:sz w:val="27"/>
          <w:rtl/>
          <w:lang w:bidi="ar-AE"/>
        </w:rPr>
        <w:t>ُّ</w:t>
      </w:r>
      <w:r w:rsidRPr="006571AC">
        <w:rPr>
          <w:rFonts w:ascii="Arial" w:hAnsi="Arial" w:hint="cs"/>
          <w:sz w:val="27"/>
          <w:rtl/>
          <w:lang w:bidi="ar-AE"/>
        </w:rPr>
        <w:t>ص المتعل</w:t>
      </w:r>
      <w:r w:rsidR="00125A2E" w:rsidRPr="006571AC">
        <w:rPr>
          <w:rFonts w:ascii="Arial" w:hAnsi="Arial" w:hint="cs"/>
          <w:sz w:val="27"/>
          <w:rtl/>
          <w:lang w:bidi="ar-AE"/>
        </w:rPr>
        <w:t>ِّ</w:t>
      </w:r>
      <w:r w:rsidRPr="006571AC">
        <w:rPr>
          <w:rFonts w:ascii="Arial" w:hAnsi="Arial" w:hint="cs"/>
          <w:sz w:val="27"/>
          <w:rtl/>
          <w:lang w:bidi="ar-AE"/>
        </w:rPr>
        <w:t>ق ب</w:t>
      </w:r>
      <w:r w:rsidRPr="006571AC">
        <w:rPr>
          <w:rFonts w:ascii="Arial" w:hAnsi="Arial"/>
          <w:sz w:val="27"/>
          <w:rtl/>
          <w:lang w:bidi="ar-AE"/>
        </w:rPr>
        <w:t>التراث</w:t>
      </w:r>
      <w:r w:rsidRPr="006571AC">
        <w:rPr>
          <w:rFonts w:ascii="Arial" w:hAnsi="Arial" w:hint="cs"/>
          <w:sz w:val="27"/>
          <w:rtl/>
          <w:lang w:bidi="ar-AE"/>
        </w:rPr>
        <w:t xml:space="preserve"> التربوي الإسلامي</w:t>
      </w:r>
      <w:r w:rsidR="00125A2E" w:rsidRPr="006571AC">
        <w:rPr>
          <w:rFonts w:ascii="Arial" w:hAnsi="Arial" w:hint="cs"/>
          <w:sz w:val="27"/>
          <w:rtl/>
          <w:lang w:bidi="ar-AE"/>
        </w:rPr>
        <w:t>ّ</w:t>
      </w:r>
      <w:r w:rsidRPr="006571AC">
        <w:rPr>
          <w:rFonts w:ascii="Arial" w:hAnsi="Arial" w:hint="cs"/>
          <w:sz w:val="27"/>
          <w:rtl/>
          <w:lang w:bidi="ar-AE"/>
        </w:rPr>
        <w:t xml:space="preserve"> بشكل</w:t>
      </w:r>
      <w:r w:rsidR="00125A2E" w:rsidRPr="006571AC">
        <w:rPr>
          <w:rFonts w:ascii="Arial" w:hAnsi="Arial" w:hint="cs"/>
          <w:sz w:val="27"/>
          <w:rtl/>
          <w:lang w:bidi="ar-AE"/>
        </w:rPr>
        <w:t>ٍ</w:t>
      </w:r>
      <w:r w:rsidRPr="006571AC">
        <w:rPr>
          <w:rFonts w:ascii="Arial" w:hAnsi="Arial" w:hint="cs"/>
          <w:sz w:val="27"/>
          <w:rtl/>
          <w:lang w:bidi="ar-AE"/>
        </w:rPr>
        <w:t xml:space="preserve"> كبير، والذي كان موضع اشتغال علماء الإسلام</w:t>
      </w:r>
      <w:r w:rsidRPr="006571AC">
        <w:rPr>
          <w:rFonts w:ascii="Arial" w:hAnsi="Arial"/>
          <w:sz w:val="27"/>
          <w:rtl/>
          <w:lang w:bidi="ar-AE"/>
        </w:rPr>
        <w:t xml:space="preserve">. </w:t>
      </w:r>
    </w:p>
    <w:p w:rsidR="0043677F" w:rsidRPr="006571AC" w:rsidRDefault="0043677F" w:rsidP="004F6064">
      <w:pPr>
        <w:rPr>
          <w:rFonts w:ascii="Arial" w:hAnsi="Arial"/>
          <w:sz w:val="27"/>
          <w:rtl/>
          <w:lang w:bidi="ar-AE"/>
        </w:rPr>
      </w:pPr>
      <w:r w:rsidRPr="006571AC">
        <w:rPr>
          <w:rFonts w:ascii="Arial" w:hAnsi="Arial" w:hint="cs"/>
          <w:sz w:val="27"/>
          <w:rtl/>
          <w:lang w:bidi="ar-AE"/>
        </w:rPr>
        <w:t xml:space="preserve">والذي </w:t>
      </w:r>
      <w:r w:rsidRPr="006571AC">
        <w:rPr>
          <w:rFonts w:ascii="Arial" w:hAnsi="Arial"/>
          <w:sz w:val="27"/>
          <w:rtl/>
          <w:lang w:bidi="ar-AE"/>
        </w:rPr>
        <w:t>يعكس</w:t>
      </w:r>
      <w:r w:rsidRPr="006571AC">
        <w:rPr>
          <w:rFonts w:ascii="Arial" w:hAnsi="Arial" w:hint="cs"/>
          <w:sz w:val="27"/>
          <w:rtl/>
          <w:lang w:bidi="ar-AE"/>
        </w:rPr>
        <w:t xml:space="preserve"> هذا الحضور هذا </w:t>
      </w:r>
      <w:r w:rsidRPr="006571AC">
        <w:rPr>
          <w:rFonts w:ascii="Arial" w:hAnsi="Arial"/>
          <w:sz w:val="27"/>
          <w:rtl/>
          <w:lang w:bidi="ar-AE"/>
        </w:rPr>
        <w:t>الكم</w:t>
      </w:r>
      <w:r w:rsidR="00125A2E" w:rsidRPr="006571AC">
        <w:rPr>
          <w:rFonts w:ascii="Arial" w:hAnsi="Arial" w:hint="cs"/>
          <w:sz w:val="27"/>
          <w:rtl/>
          <w:lang w:bidi="ar-AE"/>
        </w:rPr>
        <w:t>ّ</w:t>
      </w:r>
      <w:r w:rsidRPr="006571AC">
        <w:rPr>
          <w:rFonts w:ascii="Arial" w:hAnsi="Arial"/>
          <w:sz w:val="27"/>
          <w:rtl/>
          <w:lang w:bidi="ar-AE"/>
        </w:rPr>
        <w:t xml:space="preserve"> الهائل من المؤل</w:t>
      </w:r>
      <w:r w:rsidR="00125A2E" w:rsidRPr="006571AC">
        <w:rPr>
          <w:rFonts w:ascii="Arial" w:hAnsi="Arial" w:hint="cs"/>
          <w:sz w:val="27"/>
          <w:rtl/>
          <w:lang w:bidi="ar-AE"/>
        </w:rPr>
        <w:t>َّ</w:t>
      </w:r>
      <w:r w:rsidRPr="006571AC">
        <w:rPr>
          <w:rFonts w:ascii="Arial" w:hAnsi="Arial"/>
          <w:sz w:val="27"/>
          <w:rtl/>
          <w:lang w:bidi="ar-AE"/>
        </w:rPr>
        <w:t>فات والدراسات والمصن</w:t>
      </w:r>
      <w:r w:rsidR="00125A2E" w:rsidRPr="006571AC">
        <w:rPr>
          <w:rFonts w:ascii="Arial" w:hAnsi="Arial" w:hint="cs"/>
          <w:sz w:val="27"/>
          <w:rtl/>
          <w:lang w:bidi="ar-AE"/>
        </w:rPr>
        <w:t>َّ</w:t>
      </w:r>
      <w:r w:rsidRPr="006571AC">
        <w:rPr>
          <w:rFonts w:ascii="Arial" w:hAnsi="Arial"/>
          <w:sz w:val="27"/>
          <w:rtl/>
          <w:lang w:bidi="ar-AE"/>
        </w:rPr>
        <w:t>فات التي اشتغل</w:t>
      </w:r>
      <w:r w:rsidR="00125A2E" w:rsidRPr="006571AC">
        <w:rPr>
          <w:rFonts w:ascii="Arial" w:hAnsi="Arial" w:hint="cs"/>
          <w:sz w:val="27"/>
          <w:rtl/>
          <w:lang w:bidi="ar-AE"/>
        </w:rPr>
        <w:t>َ</w:t>
      </w:r>
      <w:r w:rsidRPr="006571AC">
        <w:rPr>
          <w:rFonts w:ascii="Arial" w:hAnsi="Arial"/>
          <w:sz w:val="27"/>
          <w:rtl/>
          <w:lang w:bidi="ar-AE"/>
        </w:rPr>
        <w:t>ت</w:t>
      </w:r>
      <w:r w:rsidR="00125A2E" w:rsidRPr="006571AC">
        <w:rPr>
          <w:rFonts w:ascii="Arial" w:hAnsi="Arial" w:hint="cs"/>
          <w:sz w:val="27"/>
          <w:rtl/>
          <w:lang w:bidi="ar-AE"/>
        </w:rPr>
        <w:t>ْ</w:t>
      </w:r>
      <w:r w:rsidRPr="006571AC">
        <w:rPr>
          <w:rFonts w:ascii="Arial" w:hAnsi="Arial"/>
          <w:sz w:val="27"/>
          <w:rtl/>
          <w:lang w:bidi="ar-AE"/>
        </w:rPr>
        <w:t xml:space="preserve"> على التربية</w:t>
      </w:r>
      <w:r w:rsidR="00125A2E" w:rsidRPr="006571AC">
        <w:rPr>
          <w:rFonts w:ascii="Arial" w:hAnsi="Arial" w:hint="cs"/>
          <w:sz w:val="27"/>
          <w:rtl/>
          <w:lang w:bidi="ar-AE"/>
        </w:rPr>
        <w:t>،</w:t>
      </w:r>
      <w:r w:rsidRPr="006571AC">
        <w:rPr>
          <w:rFonts w:ascii="Arial" w:hAnsi="Arial" w:hint="cs"/>
          <w:sz w:val="27"/>
          <w:rtl/>
          <w:lang w:bidi="ar-AE"/>
        </w:rPr>
        <w:t xml:space="preserve"> وعلى طرق التعليم والتدريس</w:t>
      </w:r>
      <w:r w:rsidR="00125A2E" w:rsidRPr="006571AC">
        <w:rPr>
          <w:rFonts w:ascii="Arial" w:hAnsi="Arial" w:hint="cs"/>
          <w:sz w:val="27"/>
          <w:rtl/>
          <w:lang w:bidi="ar-AE"/>
        </w:rPr>
        <w:t>،</w:t>
      </w:r>
      <w:r w:rsidRPr="006571AC">
        <w:rPr>
          <w:rFonts w:ascii="Arial" w:hAnsi="Arial" w:hint="cs"/>
          <w:sz w:val="27"/>
          <w:rtl/>
          <w:lang w:bidi="ar-AE"/>
        </w:rPr>
        <w:t xml:space="preserve"> </w:t>
      </w:r>
      <w:r w:rsidRPr="006571AC">
        <w:rPr>
          <w:rFonts w:ascii="Arial" w:hAnsi="Arial"/>
          <w:sz w:val="27"/>
          <w:rtl/>
          <w:lang w:bidi="ar-AE"/>
        </w:rPr>
        <w:t>في الإسلام</w:t>
      </w:r>
      <w:r w:rsidR="00125A2E" w:rsidRPr="006571AC">
        <w:rPr>
          <w:rFonts w:ascii="Arial" w:hAnsi="Arial" w:hint="cs"/>
          <w:sz w:val="27"/>
          <w:rtl/>
          <w:lang w:bidi="ar-AE"/>
        </w:rPr>
        <w:t>،</w:t>
      </w:r>
      <w:r w:rsidRPr="006571AC">
        <w:rPr>
          <w:rFonts w:ascii="Arial" w:hAnsi="Arial"/>
          <w:sz w:val="27"/>
          <w:rtl/>
          <w:lang w:bidi="ar-AE"/>
        </w:rPr>
        <w:t xml:space="preserve"> ومنها:</w:t>
      </w:r>
      <w:r w:rsidRPr="006571AC">
        <w:rPr>
          <w:rFonts w:ascii="Arial" w:hAnsi="Arial" w:hint="cs"/>
          <w:sz w:val="27"/>
          <w:rtl/>
          <w:lang w:bidi="ar-AE"/>
        </w:rPr>
        <w:t xml:space="preserve"> </w:t>
      </w:r>
    </w:p>
    <w:p w:rsidR="0043677F" w:rsidRPr="006571AC" w:rsidRDefault="0043677F" w:rsidP="004F6064">
      <w:pPr>
        <w:rPr>
          <w:rFonts w:ascii="Arial" w:hAnsi="Arial"/>
          <w:sz w:val="27"/>
          <w:rtl/>
          <w:lang w:bidi="ar-AE"/>
        </w:rPr>
      </w:pPr>
      <w:r w:rsidRPr="006571AC">
        <w:rPr>
          <w:rFonts w:ascii="Arial" w:hAnsi="Arial" w:hint="cs"/>
          <w:sz w:val="27"/>
          <w:rtl/>
          <w:lang w:bidi="ar-AE"/>
        </w:rPr>
        <w:t>ـ أدب الدنيا والدين</w:t>
      </w:r>
      <w:r w:rsidR="00125A2E" w:rsidRPr="006571AC">
        <w:rPr>
          <w:rFonts w:ascii="Arial" w:hAnsi="Arial" w:hint="cs"/>
          <w:sz w:val="27"/>
          <w:rtl/>
          <w:lang w:bidi="ar-AE"/>
        </w:rPr>
        <w:t>،</w:t>
      </w:r>
      <w:r w:rsidRPr="006571AC">
        <w:rPr>
          <w:rFonts w:ascii="Arial" w:hAnsi="Arial" w:hint="cs"/>
          <w:sz w:val="27"/>
          <w:rtl/>
          <w:lang w:bidi="ar-AE"/>
        </w:rPr>
        <w:t xml:space="preserve"> للماوردي(450هـ)</w:t>
      </w:r>
      <w:r w:rsidRPr="006571AC">
        <w:rPr>
          <w:rFonts w:ascii="Arial" w:hAnsi="Arial"/>
          <w:sz w:val="27"/>
          <w:vertAlign w:val="superscript"/>
          <w:rtl/>
          <w:lang w:bidi="ar-AE"/>
        </w:rPr>
        <w:t>(</w:t>
      </w:r>
      <w:r w:rsidRPr="006571AC">
        <w:rPr>
          <w:rStyle w:val="ac"/>
          <w:rFonts w:ascii="Arial" w:hAnsi="Arial"/>
          <w:sz w:val="27"/>
          <w:rtl/>
          <w:lang w:bidi="ar-AE"/>
        </w:rPr>
        <w:endnoteReference w:id="758"/>
      </w:r>
      <w:r w:rsidRPr="006571AC">
        <w:rPr>
          <w:rFonts w:ascii="Arial" w:hAnsi="Arial"/>
          <w:sz w:val="27"/>
          <w:vertAlign w:val="superscript"/>
          <w:rtl/>
          <w:lang w:bidi="ar-AE"/>
        </w:rPr>
        <w:t>)</w:t>
      </w:r>
      <w:r w:rsidRPr="006571AC">
        <w:rPr>
          <w:rFonts w:ascii="Arial" w:hAnsi="Arial" w:hint="cs"/>
          <w:sz w:val="27"/>
          <w:rtl/>
          <w:lang w:bidi="ar-AE"/>
        </w:rPr>
        <w:t xml:space="preserve">. </w:t>
      </w:r>
    </w:p>
    <w:p w:rsidR="0043677F" w:rsidRPr="006571AC" w:rsidRDefault="0043677F" w:rsidP="004F6064">
      <w:pPr>
        <w:rPr>
          <w:rFonts w:ascii="Arial" w:hAnsi="Arial"/>
          <w:sz w:val="27"/>
          <w:rtl/>
          <w:lang w:bidi="ar-AE"/>
        </w:rPr>
      </w:pPr>
      <w:r w:rsidRPr="006571AC">
        <w:rPr>
          <w:rFonts w:ascii="Arial" w:hAnsi="Arial" w:hint="cs"/>
          <w:sz w:val="27"/>
          <w:rtl/>
          <w:lang w:bidi="ar-AE"/>
        </w:rPr>
        <w:t>ـ سياسة الصبيان</w:t>
      </w:r>
      <w:r w:rsidR="00125A2E" w:rsidRPr="006571AC">
        <w:rPr>
          <w:rFonts w:ascii="Arial" w:hAnsi="Arial" w:hint="cs"/>
          <w:sz w:val="27"/>
          <w:rtl/>
          <w:lang w:bidi="ar-AE"/>
        </w:rPr>
        <w:t>،</w:t>
      </w:r>
      <w:r w:rsidRPr="006571AC">
        <w:rPr>
          <w:rFonts w:ascii="Arial" w:hAnsi="Arial" w:hint="cs"/>
          <w:sz w:val="27"/>
          <w:rtl/>
          <w:lang w:bidi="ar-AE"/>
        </w:rPr>
        <w:t xml:space="preserve"> لابن سينا.</w:t>
      </w:r>
    </w:p>
    <w:p w:rsidR="0043677F" w:rsidRPr="006571AC" w:rsidRDefault="0043677F" w:rsidP="004F6064">
      <w:pPr>
        <w:rPr>
          <w:rFonts w:ascii="Arial" w:hAnsi="Arial"/>
          <w:sz w:val="27"/>
          <w:rtl/>
          <w:lang w:bidi="ar-AE"/>
        </w:rPr>
      </w:pPr>
      <w:r w:rsidRPr="006571AC">
        <w:rPr>
          <w:rFonts w:ascii="Arial" w:hAnsi="Arial"/>
          <w:sz w:val="27"/>
          <w:rtl/>
          <w:lang w:bidi="ar-AE"/>
        </w:rPr>
        <w:t>ـ كتاب العلم</w:t>
      </w:r>
      <w:r w:rsidR="00125A2E" w:rsidRPr="006571AC">
        <w:rPr>
          <w:rFonts w:ascii="Arial" w:hAnsi="Arial" w:hint="cs"/>
          <w:sz w:val="27"/>
          <w:rtl/>
          <w:lang w:bidi="ar-AE"/>
        </w:rPr>
        <w:t>،</w:t>
      </w:r>
      <w:r w:rsidRPr="006571AC">
        <w:rPr>
          <w:rFonts w:ascii="Arial" w:hAnsi="Arial"/>
          <w:sz w:val="27"/>
          <w:rtl/>
          <w:lang w:bidi="ar-AE"/>
        </w:rPr>
        <w:t xml:space="preserve"> للحارث المحاسبي</w:t>
      </w:r>
      <w:r w:rsidRPr="006571AC">
        <w:rPr>
          <w:rFonts w:ascii="Arial" w:hAnsi="Arial" w:hint="cs"/>
          <w:sz w:val="27"/>
          <w:rtl/>
          <w:lang w:bidi="ar-AE"/>
        </w:rPr>
        <w:t>(</w:t>
      </w:r>
      <w:r w:rsidRPr="006571AC">
        <w:rPr>
          <w:rFonts w:ascii="Arial" w:hAnsi="Arial"/>
          <w:sz w:val="27"/>
          <w:rtl/>
          <w:lang w:bidi="ar-AE"/>
        </w:rPr>
        <w:t>243ه</w:t>
      </w:r>
      <w:r w:rsidRPr="006571AC">
        <w:rPr>
          <w:rFonts w:ascii="Arial" w:hAnsi="Arial" w:hint="cs"/>
          <w:sz w:val="27"/>
          <w:rtl/>
          <w:lang w:bidi="ar-AE"/>
        </w:rPr>
        <w:t>ـ)</w:t>
      </w:r>
      <w:r w:rsidRPr="006571AC">
        <w:rPr>
          <w:rFonts w:ascii="Arial" w:hAnsi="Arial"/>
          <w:sz w:val="27"/>
          <w:vertAlign w:val="superscript"/>
          <w:rtl/>
          <w:lang w:bidi="ar-AE"/>
        </w:rPr>
        <w:t>(</w:t>
      </w:r>
      <w:r w:rsidRPr="006571AC">
        <w:rPr>
          <w:rStyle w:val="ac"/>
          <w:rFonts w:ascii="Arial" w:hAnsi="Arial"/>
          <w:sz w:val="27"/>
          <w:rtl/>
          <w:lang w:bidi="ar-AE"/>
        </w:rPr>
        <w:endnoteReference w:id="759"/>
      </w:r>
      <w:r w:rsidRPr="006571AC">
        <w:rPr>
          <w:rFonts w:ascii="Arial" w:hAnsi="Arial"/>
          <w:sz w:val="27"/>
          <w:vertAlign w:val="superscript"/>
          <w:rtl/>
          <w:lang w:bidi="ar-AE"/>
        </w:rPr>
        <w:t>)</w:t>
      </w:r>
      <w:r w:rsidRPr="006571AC">
        <w:rPr>
          <w:rFonts w:ascii="Arial" w:hAnsi="Arial"/>
          <w:sz w:val="27"/>
          <w:rtl/>
          <w:lang w:bidi="ar-AE"/>
        </w:rPr>
        <w:t xml:space="preserve">. </w:t>
      </w:r>
    </w:p>
    <w:p w:rsidR="0043677F" w:rsidRPr="006571AC" w:rsidRDefault="0043677F" w:rsidP="004F6064">
      <w:pPr>
        <w:rPr>
          <w:rFonts w:ascii="Arial" w:hAnsi="Arial"/>
          <w:sz w:val="27"/>
          <w:rtl/>
          <w:lang w:bidi="ar-AE"/>
        </w:rPr>
      </w:pPr>
      <w:r w:rsidRPr="006571AC">
        <w:rPr>
          <w:rFonts w:ascii="Arial" w:hAnsi="Arial" w:hint="cs"/>
          <w:sz w:val="27"/>
          <w:rtl/>
          <w:lang w:bidi="ar-AE"/>
        </w:rPr>
        <w:t>ـ رسالة المعل</w:t>
      </w:r>
      <w:r w:rsidR="00125A2E" w:rsidRPr="006571AC">
        <w:rPr>
          <w:rFonts w:ascii="Arial" w:hAnsi="Arial" w:hint="cs"/>
          <w:sz w:val="27"/>
          <w:rtl/>
          <w:lang w:bidi="ar-AE"/>
        </w:rPr>
        <w:t>ِّ</w:t>
      </w:r>
      <w:r w:rsidRPr="006571AC">
        <w:rPr>
          <w:rFonts w:ascii="Arial" w:hAnsi="Arial" w:hint="cs"/>
          <w:sz w:val="27"/>
          <w:rtl/>
          <w:lang w:bidi="ar-AE"/>
        </w:rPr>
        <w:t>مين</w:t>
      </w:r>
      <w:r w:rsidR="00125A2E" w:rsidRPr="006571AC">
        <w:rPr>
          <w:rFonts w:ascii="Arial" w:hAnsi="Arial" w:hint="cs"/>
          <w:sz w:val="27"/>
          <w:rtl/>
          <w:lang w:bidi="ar-AE"/>
        </w:rPr>
        <w:t>؛</w:t>
      </w:r>
      <w:r w:rsidRPr="006571AC">
        <w:rPr>
          <w:rFonts w:ascii="Arial" w:hAnsi="Arial" w:hint="cs"/>
          <w:sz w:val="27"/>
          <w:rtl/>
          <w:lang w:bidi="ar-AE"/>
        </w:rPr>
        <w:t xml:space="preserve"> ورسالة تهذيب الأخلاق</w:t>
      </w:r>
      <w:r w:rsidR="00125A2E" w:rsidRPr="006571AC">
        <w:rPr>
          <w:rFonts w:ascii="Arial" w:hAnsi="Arial" w:hint="cs"/>
          <w:sz w:val="27"/>
          <w:rtl/>
          <w:lang w:bidi="ar-AE"/>
        </w:rPr>
        <w:t>،</w:t>
      </w:r>
      <w:r w:rsidRPr="006571AC">
        <w:rPr>
          <w:rFonts w:ascii="Arial" w:hAnsi="Arial" w:hint="cs"/>
          <w:sz w:val="27"/>
          <w:rtl/>
          <w:lang w:bidi="ar-AE"/>
        </w:rPr>
        <w:t xml:space="preserve"> للجاحظ(299هـ). </w:t>
      </w:r>
    </w:p>
    <w:p w:rsidR="0043677F" w:rsidRPr="006571AC" w:rsidRDefault="0043677F" w:rsidP="004F6064">
      <w:pPr>
        <w:rPr>
          <w:rFonts w:ascii="Arial" w:hAnsi="Arial"/>
          <w:sz w:val="27"/>
          <w:rtl/>
          <w:lang w:bidi="ar-AE"/>
        </w:rPr>
      </w:pPr>
      <w:r w:rsidRPr="006571AC">
        <w:rPr>
          <w:rFonts w:ascii="Arial" w:hAnsi="Arial"/>
          <w:sz w:val="27"/>
          <w:rtl/>
          <w:lang w:bidi="ar-AE"/>
        </w:rPr>
        <w:t>ـ تهذيب الأخلاق</w:t>
      </w:r>
      <w:r w:rsidR="00125A2E" w:rsidRPr="006571AC">
        <w:rPr>
          <w:rFonts w:ascii="Arial" w:hAnsi="Arial" w:hint="cs"/>
          <w:sz w:val="27"/>
          <w:rtl/>
          <w:lang w:bidi="ar-AE"/>
        </w:rPr>
        <w:t>،</w:t>
      </w:r>
      <w:r w:rsidRPr="006571AC">
        <w:rPr>
          <w:rFonts w:ascii="Arial" w:hAnsi="Arial"/>
          <w:sz w:val="27"/>
          <w:rtl/>
          <w:lang w:bidi="ar-AE"/>
        </w:rPr>
        <w:t xml:space="preserve"> لابن مسكو</w:t>
      </w:r>
      <w:r w:rsidR="00125A2E" w:rsidRPr="006571AC">
        <w:rPr>
          <w:rFonts w:ascii="Arial" w:hAnsi="Arial" w:hint="cs"/>
          <w:sz w:val="27"/>
          <w:rtl/>
          <w:lang w:bidi="ar-AE"/>
        </w:rPr>
        <w:t>َ</w:t>
      </w:r>
      <w:r w:rsidRPr="006571AC">
        <w:rPr>
          <w:rFonts w:ascii="Arial" w:hAnsi="Arial"/>
          <w:sz w:val="27"/>
          <w:rtl/>
          <w:lang w:bidi="ar-AE"/>
        </w:rPr>
        <w:t>ي</w:t>
      </w:r>
      <w:r w:rsidR="00125A2E" w:rsidRPr="006571AC">
        <w:rPr>
          <w:rFonts w:ascii="Arial" w:hAnsi="Arial" w:hint="cs"/>
          <w:sz w:val="27"/>
          <w:rtl/>
          <w:lang w:bidi="ar-AE"/>
        </w:rPr>
        <w:t>ْ</w:t>
      </w:r>
      <w:r w:rsidRPr="006571AC">
        <w:rPr>
          <w:rFonts w:ascii="Arial" w:hAnsi="Arial"/>
          <w:sz w:val="27"/>
          <w:rtl/>
          <w:lang w:bidi="ar-AE"/>
        </w:rPr>
        <w:t>ه</w:t>
      </w:r>
      <w:r w:rsidRPr="006571AC">
        <w:rPr>
          <w:rFonts w:ascii="Arial" w:hAnsi="Arial" w:hint="cs"/>
          <w:sz w:val="27"/>
          <w:rtl/>
          <w:lang w:bidi="ar-AE"/>
        </w:rPr>
        <w:t>(421</w:t>
      </w:r>
      <w:r w:rsidRPr="006571AC">
        <w:rPr>
          <w:rFonts w:ascii="Arial" w:hAnsi="Arial" w:hint="cs"/>
          <w:sz w:val="27"/>
          <w:shd w:val="clear" w:color="auto" w:fill="FFFFFF"/>
          <w:rtl/>
        </w:rPr>
        <w:t xml:space="preserve">هـ). </w:t>
      </w:r>
    </w:p>
    <w:p w:rsidR="0043677F" w:rsidRPr="006571AC" w:rsidRDefault="0043677F" w:rsidP="004F6064">
      <w:pPr>
        <w:rPr>
          <w:rFonts w:ascii="Arial" w:hAnsi="Arial"/>
          <w:sz w:val="27"/>
          <w:rtl/>
          <w:lang w:bidi="ar-AE"/>
        </w:rPr>
      </w:pPr>
      <w:r w:rsidRPr="006571AC">
        <w:rPr>
          <w:rFonts w:ascii="Arial" w:hAnsi="Arial"/>
          <w:sz w:val="27"/>
          <w:rtl/>
          <w:lang w:bidi="ar-AE"/>
        </w:rPr>
        <w:t>ـ الأخلاق والسير</w:t>
      </w:r>
      <w:r w:rsidR="00125A2E" w:rsidRPr="006571AC">
        <w:rPr>
          <w:rFonts w:ascii="Arial" w:hAnsi="Arial" w:hint="cs"/>
          <w:sz w:val="27"/>
          <w:rtl/>
          <w:lang w:bidi="ar-AE"/>
        </w:rPr>
        <w:t>،</w:t>
      </w:r>
      <w:r w:rsidRPr="006571AC">
        <w:rPr>
          <w:rFonts w:ascii="Arial" w:hAnsi="Arial"/>
          <w:sz w:val="27"/>
          <w:rtl/>
          <w:lang w:bidi="ar-AE"/>
        </w:rPr>
        <w:t xml:space="preserve"> لابن حزم</w:t>
      </w:r>
      <w:r w:rsidRPr="006571AC">
        <w:rPr>
          <w:rFonts w:ascii="Arial" w:hAnsi="Arial" w:hint="cs"/>
          <w:sz w:val="27"/>
          <w:rtl/>
          <w:lang w:bidi="ar-AE"/>
        </w:rPr>
        <w:t>(</w:t>
      </w:r>
      <w:r w:rsidRPr="006571AC">
        <w:rPr>
          <w:rFonts w:ascii="Arial" w:hAnsi="Arial"/>
          <w:sz w:val="27"/>
          <w:rtl/>
          <w:lang w:bidi="ar-AE"/>
        </w:rPr>
        <w:t>456ه</w:t>
      </w:r>
      <w:r w:rsidRPr="006571AC">
        <w:rPr>
          <w:rFonts w:ascii="Arial" w:hAnsi="Arial" w:hint="cs"/>
          <w:sz w:val="27"/>
          <w:rtl/>
          <w:lang w:bidi="ar-AE"/>
        </w:rPr>
        <w:t xml:space="preserve">ـ). </w:t>
      </w:r>
    </w:p>
    <w:p w:rsidR="0039174B" w:rsidRDefault="0043677F" w:rsidP="0039174B">
      <w:pPr>
        <w:rPr>
          <w:rFonts w:ascii="Arial" w:hAnsi="Arial"/>
          <w:sz w:val="27"/>
          <w:rtl/>
          <w:lang w:bidi="ar-AE"/>
        </w:rPr>
      </w:pPr>
      <w:r w:rsidRPr="006571AC">
        <w:rPr>
          <w:rFonts w:ascii="Arial" w:hAnsi="Arial" w:hint="cs"/>
          <w:sz w:val="27"/>
          <w:rtl/>
          <w:lang w:bidi="ar-AE"/>
        </w:rPr>
        <w:t>ـ جامع بيان العلم وفضله</w:t>
      </w:r>
      <w:r w:rsidR="00125A2E" w:rsidRPr="006571AC">
        <w:rPr>
          <w:rFonts w:ascii="Arial" w:hAnsi="Arial" w:hint="cs"/>
          <w:sz w:val="27"/>
          <w:rtl/>
          <w:lang w:bidi="ar-AE"/>
        </w:rPr>
        <w:t>،</w:t>
      </w:r>
      <w:r w:rsidRPr="006571AC">
        <w:rPr>
          <w:rFonts w:ascii="Arial" w:hAnsi="Arial" w:hint="cs"/>
          <w:sz w:val="27"/>
          <w:rtl/>
          <w:lang w:bidi="ar-AE"/>
        </w:rPr>
        <w:t xml:space="preserve"> لابن عبد البر</w:t>
      </w:r>
      <w:r w:rsidR="00125A2E" w:rsidRPr="006571AC">
        <w:rPr>
          <w:rFonts w:ascii="Arial" w:hAnsi="Arial" w:hint="cs"/>
          <w:sz w:val="27"/>
          <w:rtl/>
          <w:lang w:bidi="ar-AE"/>
        </w:rPr>
        <w:t>ّ</w:t>
      </w:r>
      <w:r w:rsidRPr="006571AC">
        <w:rPr>
          <w:rFonts w:ascii="Arial" w:hAnsi="Arial" w:hint="cs"/>
          <w:sz w:val="27"/>
          <w:rtl/>
          <w:lang w:bidi="ar-AE"/>
        </w:rPr>
        <w:t xml:space="preserve"> النمري القرطبي</w:t>
      </w:r>
      <w:r w:rsidRPr="006571AC">
        <w:rPr>
          <w:rFonts w:ascii="Arial" w:hAnsi="Arial"/>
          <w:sz w:val="27"/>
          <w:vertAlign w:val="superscript"/>
          <w:rtl/>
          <w:lang w:bidi="ar-AE"/>
        </w:rPr>
        <w:t xml:space="preserve"> (</w:t>
      </w:r>
      <w:r w:rsidRPr="006571AC">
        <w:rPr>
          <w:rStyle w:val="ac"/>
          <w:rFonts w:ascii="Arial" w:hAnsi="Arial"/>
          <w:sz w:val="27"/>
          <w:rtl/>
          <w:lang w:bidi="ar-AE"/>
        </w:rPr>
        <w:endnoteReference w:id="760"/>
      </w:r>
      <w:r w:rsidRPr="006571AC">
        <w:rPr>
          <w:rFonts w:ascii="Arial" w:hAnsi="Arial"/>
          <w:sz w:val="27"/>
          <w:vertAlign w:val="superscript"/>
          <w:rtl/>
          <w:lang w:bidi="ar-AE"/>
        </w:rPr>
        <w:t>)</w:t>
      </w:r>
      <w:r w:rsidRPr="006571AC">
        <w:rPr>
          <w:rFonts w:ascii="Arial" w:hAnsi="Arial" w:hint="cs"/>
          <w:sz w:val="27"/>
          <w:rtl/>
          <w:lang w:bidi="ar-AE"/>
        </w:rPr>
        <w:t>.</w:t>
      </w:r>
    </w:p>
    <w:p w:rsidR="0043677F" w:rsidRPr="006571AC" w:rsidRDefault="003425D1" w:rsidP="0039174B">
      <w:pPr>
        <w:rPr>
          <w:rFonts w:ascii="Arial" w:hAnsi="Arial"/>
          <w:sz w:val="27"/>
          <w:rtl/>
          <w:lang w:bidi="ar-AE"/>
        </w:rPr>
      </w:pPr>
      <w:r w:rsidRPr="006571AC">
        <w:rPr>
          <w:rFonts w:ascii="Arial" w:hAnsi="Arial" w:hint="cs"/>
          <w:sz w:val="27"/>
          <w:shd w:val="clear" w:color="auto" w:fill="FFFFFF"/>
          <w:rtl/>
        </w:rPr>
        <w:t xml:space="preserve">ـ </w:t>
      </w:r>
      <w:r w:rsidR="0043677F" w:rsidRPr="006571AC">
        <w:rPr>
          <w:rFonts w:ascii="Arial" w:hAnsi="Arial"/>
          <w:sz w:val="27"/>
          <w:shd w:val="clear" w:color="auto" w:fill="FFFFFF"/>
          <w:rtl/>
        </w:rPr>
        <w:t>الرسالة المفصّ</w:t>
      </w:r>
      <w:r w:rsidR="00DE1D4A" w:rsidRPr="006571AC">
        <w:rPr>
          <w:rFonts w:ascii="Arial" w:hAnsi="Arial" w:hint="cs"/>
          <w:sz w:val="27"/>
          <w:shd w:val="clear" w:color="auto" w:fill="FFFFFF"/>
          <w:rtl/>
        </w:rPr>
        <w:t>َ</w:t>
      </w:r>
      <w:r w:rsidR="0043677F" w:rsidRPr="006571AC">
        <w:rPr>
          <w:rFonts w:ascii="Arial" w:hAnsi="Arial"/>
          <w:sz w:val="27"/>
          <w:shd w:val="clear" w:color="auto" w:fill="FFFFFF"/>
          <w:rtl/>
        </w:rPr>
        <w:t>لة لأحوال المتعل</w:t>
      </w:r>
      <w:r w:rsidR="00DE1D4A" w:rsidRPr="006571AC">
        <w:rPr>
          <w:rFonts w:ascii="Arial" w:hAnsi="Arial" w:hint="cs"/>
          <w:sz w:val="27"/>
          <w:shd w:val="clear" w:color="auto" w:fill="FFFFFF"/>
          <w:rtl/>
        </w:rPr>
        <w:t>ِّ</w:t>
      </w:r>
      <w:r w:rsidR="0043677F" w:rsidRPr="006571AC">
        <w:rPr>
          <w:rFonts w:ascii="Arial" w:hAnsi="Arial"/>
          <w:sz w:val="27"/>
          <w:shd w:val="clear" w:color="auto" w:fill="FFFFFF"/>
          <w:rtl/>
        </w:rPr>
        <w:t>مين وأحكام المعلّ</w:t>
      </w:r>
      <w:r w:rsidR="00DE1D4A" w:rsidRPr="006571AC">
        <w:rPr>
          <w:rFonts w:ascii="Arial" w:hAnsi="Arial" w:hint="cs"/>
          <w:sz w:val="27"/>
          <w:shd w:val="clear" w:color="auto" w:fill="FFFFFF"/>
          <w:rtl/>
        </w:rPr>
        <w:t>ِ</w:t>
      </w:r>
      <w:r w:rsidR="0043677F" w:rsidRPr="006571AC">
        <w:rPr>
          <w:rFonts w:ascii="Arial" w:hAnsi="Arial"/>
          <w:sz w:val="27"/>
          <w:shd w:val="clear" w:color="auto" w:fill="FFFFFF"/>
          <w:rtl/>
        </w:rPr>
        <w:t>مين والمتعلّ</w:t>
      </w:r>
      <w:r w:rsidR="00DE1D4A" w:rsidRPr="006571AC">
        <w:rPr>
          <w:rFonts w:ascii="Arial" w:hAnsi="Arial" w:hint="cs"/>
          <w:sz w:val="27"/>
          <w:shd w:val="clear" w:color="auto" w:fill="FFFFFF"/>
          <w:rtl/>
        </w:rPr>
        <w:t>ِ</w:t>
      </w:r>
      <w:r w:rsidR="0043677F" w:rsidRPr="006571AC">
        <w:rPr>
          <w:rFonts w:ascii="Arial" w:hAnsi="Arial"/>
          <w:sz w:val="27"/>
          <w:shd w:val="clear" w:color="auto" w:fill="FFFFFF"/>
          <w:rtl/>
        </w:rPr>
        <w:t>مين</w:t>
      </w:r>
      <w:r w:rsidRPr="006571AC">
        <w:rPr>
          <w:rFonts w:ascii="Arial" w:hAnsi="Arial" w:hint="cs"/>
          <w:sz w:val="27"/>
          <w:shd w:val="clear" w:color="auto" w:fill="FFFFFF"/>
          <w:rtl/>
        </w:rPr>
        <w:t xml:space="preserve">، </w:t>
      </w:r>
      <w:r w:rsidR="0043677F" w:rsidRPr="006571AC">
        <w:rPr>
          <w:rFonts w:hint="cs"/>
          <w:sz w:val="27"/>
          <w:rtl/>
        </w:rPr>
        <w:t>للقابس</w:t>
      </w:r>
      <w:r w:rsidRPr="006571AC">
        <w:rPr>
          <w:rFonts w:hint="cs"/>
          <w:sz w:val="27"/>
          <w:rtl/>
        </w:rPr>
        <w:t>ي</w:t>
      </w:r>
      <w:r w:rsidR="0043677F" w:rsidRPr="006571AC">
        <w:rPr>
          <w:rFonts w:ascii="Arial" w:hAnsi="Arial" w:hint="cs"/>
          <w:sz w:val="27"/>
          <w:rtl/>
          <w:lang w:bidi="ar-AE"/>
        </w:rPr>
        <w:t>(</w:t>
      </w:r>
      <w:r w:rsidR="0043677F" w:rsidRPr="006571AC">
        <w:rPr>
          <w:rFonts w:ascii="Arial" w:hAnsi="Arial"/>
          <w:sz w:val="27"/>
          <w:rtl/>
          <w:lang w:bidi="ar-AE"/>
        </w:rPr>
        <w:t>349ه</w:t>
      </w:r>
      <w:r w:rsidR="0043677F" w:rsidRPr="006571AC">
        <w:rPr>
          <w:rFonts w:ascii="Arial" w:hAnsi="Arial" w:hint="cs"/>
          <w:sz w:val="27"/>
          <w:rtl/>
          <w:lang w:bidi="ar-AE"/>
        </w:rPr>
        <w:t xml:space="preserve">ـ). </w:t>
      </w:r>
    </w:p>
    <w:p w:rsidR="0043677F" w:rsidRPr="006571AC" w:rsidRDefault="0043677F" w:rsidP="003425D1">
      <w:pPr>
        <w:rPr>
          <w:rFonts w:ascii="Arial" w:hAnsi="Arial"/>
          <w:sz w:val="27"/>
          <w:rtl/>
          <w:lang w:bidi="ar-AE"/>
        </w:rPr>
      </w:pPr>
      <w:r w:rsidRPr="006571AC">
        <w:rPr>
          <w:rFonts w:ascii="Arial" w:hAnsi="Arial" w:hint="cs"/>
          <w:sz w:val="27"/>
          <w:rtl/>
          <w:lang w:bidi="ar-AE"/>
        </w:rPr>
        <w:t>ـ المقد</w:t>
      </w:r>
      <w:r w:rsidR="00DE1D4A" w:rsidRPr="006571AC">
        <w:rPr>
          <w:rFonts w:ascii="Arial" w:hAnsi="Arial" w:hint="cs"/>
          <w:sz w:val="27"/>
          <w:rtl/>
          <w:lang w:bidi="ar-AE"/>
        </w:rPr>
        <w:t>ّ</w:t>
      </w:r>
      <w:r w:rsidRPr="006571AC">
        <w:rPr>
          <w:rFonts w:ascii="Arial" w:hAnsi="Arial" w:hint="cs"/>
          <w:sz w:val="27"/>
          <w:rtl/>
          <w:lang w:bidi="ar-AE"/>
        </w:rPr>
        <w:t>مة</w:t>
      </w:r>
      <w:r w:rsidR="00DE1D4A" w:rsidRPr="006571AC">
        <w:rPr>
          <w:rFonts w:ascii="Arial" w:hAnsi="Arial" w:hint="cs"/>
          <w:sz w:val="27"/>
          <w:rtl/>
          <w:lang w:bidi="ar-AE"/>
        </w:rPr>
        <w:t>،</w:t>
      </w:r>
      <w:r w:rsidRPr="006571AC">
        <w:rPr>
          <w:rFonts w:ascii="Arial" w:hAnsi="Arial" w:hint="cs"/>
          <w:sz w:val="27"/>
          <w:rtl/>
          <w:lang w:bidi="ar-AE"/>
        </w:rPr>
        <w:t xml:space="preserve"> لابن خلدون(808هـ)</w:t>
      </w:r>
      <w:r w:rsidRPr="006571AC">
        <w:rPr>
          <w:rFonts w:ascii="Arial" w:hAnsi="Arial"/>
          <w:sz w:val="27"/>
          <w:vertAlign w:val="superscript"/>
          <w:rtl/>
          <w:lang w:bidi="ar-AE"/>
        </w:rPr>
        <w:t>(</w:t>
      </w:r>
      <w:r w:rsidRPr="006571AC">
        <w:rPr>
          <w:rStyle w:val="ac"/>
          <w:sz w:val="27"/>
          <w:rtl/>
          <w:lang w:bidi="ar-AE"/>
        </w:rPr>
        <w:endnoteReference w:id="761"/>
      </w:r>
      <w:r w:rsidRPr="006571AC">
        <w:rPr>
          <w:rFonts w:ascii="Arial" w:hAnsi="Arial"/>
          <w:sz w:val="27"/>
          <w:vertAlign w:val="superscript"/>
          <w:rtl/>
          <w:lang w:bidi="ar-AE"/>
        </w:rPr>
        <w:t>)</w:t>
      </w:r>
      <w:r w:rsidRPr="006571AC">
        <w:rPr>
          <w:rFonts w:ascii="Arial" w:hAnsi="Arial"/>
          <w:sz w:val="27"/>
          <w:rtl/>
          <w:lang w:bidi="ar-AE"/>
        </w:rPr>
        <w:t>.</w:t>
      </w:r>
      <w:r w:rsidRPr="006571AC">
        <w:rPr>
          <w:rFonts w:ascii="Arial" w:hAnsi="Arial" w:hint="cs"/>
          <w:sz w:val="27"/>
          <w:rtl/>
          <w:lang w:bidi="ar-AE"/>
        </w:rPr>
        <w:t xml:space="preserve"> </w:t>
      </w:r>
    </w:p>
    <w:p w:rsidR="0043677F" w:rsidRPr="006571AC" w:rsidRDefault="0043677F" w:rsidP="003425D1">
      <w:pPr>
        <w:rPr>
          <w:rFonts w:ascii="Arial" w:hAnsi="Arial"/>
          <w:sz w:val="27"/>
          <w:rtl/>
          <w:lang w:bidi="ar-AE"/>
        </w:rPr>
      </w:pPr>
      <w:r w:rsidRPr="006571AC">
        <w:rPr>
          <w:rFonts w:ascii="Arial" w:hAnsi="Arial" w:hint="cs"/>
          <w:sz w:val="27"/>
          <w:rtl/>
          <w:lang w:bidi="ar-AE"/>
        </w:rPr>
        <w:t>ـ القانون في أحكام العلم وأحكام المعل</w:t>
      </w:r>
      <w:r w:rsidR="00DE1D4A" w:rsidRPr="006571AC">
        <w:rPr>
          <w:rFonts w:ascii="Arial" w:hAnsi="Arial" w:hint="cs"/>
          <w:sz w:val="27"/>
          <w:rtl/>
          <w:lang w:bidi="ar-AE"/>
        </w:rPr>
        <w:t>ِّ</w:t>
      </w:r>
      <w:r w:rsidRPr="006571AC">
        <w:rPr>
          <w:rFonts w:ascii="Arial" w:hAnsi="Arial" w:hint="cs"/>
          <w:sz w:val="27"/>
          <w:rtl/>
          <w:lang w:bidi="ar-AE"/>
        </w:rPr>
        <w:t>م وأحكام المتعل</w:t>
      </w:r>
      <w:r w:rsidR="00DE1D4A" w:rsidRPr="006571AC">
        <w:rPr>
          <w:rFonts w:ascii="Arial" w:hAnsi="Arial" w:hint="cs"/>
          <w:sz w:val="27"/>
          <w:rtl/>
          <w:lang w:bidi="ar-AE"/>
        </w:rPr>
        <w:t>ِّ</w:t>
      </w:r>
      <w:r w:rsidRPr="006571AC">
        <w:rPr>
          <w:rFonts w:ascii="Arial" w:hAnsi="Arial" w:hint="cs"/>
          <w:sz w:val="27"/>
          <w:rtl/>
          <w:lang w:bidi="ar-AE"/>
        </w:rPr>
        <w:t>م</w:t>
      </w:r>
      <w:r w:rsidR="00DE1D4A" w:rsidRPr="006571AC">
        <w:rPr>
          <w:rFonts w:ascii="Arial" w:hAnsi="Arial" w:hint="cs"/>
          <w:sz w:val="27"/>
          <w:rtl/>
          <w:lang w:bidi="ar-AE"/>
        </w:rPr>
        <w:t>،</w:t>
      </w:r>
      <w:r w:rsidRPr="006571AC">
        <w:rPr>
          <w:rFonts w:ascii="Arial" w:hAnsi="Arial" w:hint="cs"/>
          <w:sz w:val="27"/>
          <w:rtl/>
          <w:lang w:bidi="ar-AE"/>
        </w:rPr>
        <w:t xml:space="preserve"> للشيخ العلا</w:t>
      </w:r>
      <w:r w:rsidR="00DE1D4A" w:rsidRPr="006571AC">
        <w:rPr>
          <w:rFonts w:ascii="Arial" w:hAnsi="Arial" w:hint="cs"/>
          <w:sz w:val="27"/>
          <w:rtl/>
          <w:lang w:bidi="ar-AE"/>
        </w:rPr>
        <w:t>ّ</w:t>
      </w:r>
      <w:r w:rsidRPr="006571AC">
        <w:rPr>
          <w:rFonts w:ascii="Arial" w:hAnsi="Arial" w:hint="cs"/>
          <w:sz w:val="27"/>
          <w:rtl/>
          <w:lang w:bidi="ar-AE"/>
        </w:rPr>
        <w:t xml:space="preserve">مة </w:t>
      </w:r>
      <w:r w:rsidRPr="006571AC">
        <w:rPr>
          <w:rFonts w:ascii="Arial" w:hAnsi="Arial" w:hint="cs"/>
          <w:sz w:val="27"/>
          <w:rtl/>
          <w:lang w:bidi="ar-AE"/>
        </w:rPr>
        <w:lastRenderedPageBreak/>
        <w:t>الحسن اليوسي المغربي</w:t>
      </w:r>
      <w:r w:rsidR="00DE1D4A" w:rsidRPr="006571AC">
        <w:rPr>
          <w:rFonts w:ascii="Arial" w:hAnsi="Arial" w:hint="cs"/>
          <w:sz w:val="27"/>
          <w:rtl/>
          <w:lang w:bidi="ar-AE"/>
        </w:rPr>
        <w:t>،</w:t>
      </w:r>
      <w:r w:rsidRPr="006571AC">
        <w:rPr>
          <w:rFonts w:ascii="Arial" w:hAnsi="Arial" w:hint="cs"/>
          <w:sz w:val="27"/>
          <w:rtl/>
          <w:lang w:bidi="ar-AE"/>
        </w:rPr>
        <w:t xml:space="preserve"> تحقيق</w:t>
      </w:r>
      <w:r w:rsidR="00DE1D4A" w:rsidRPr="006571AC">
        <w:rPr>
          <w:rFonts w:ascii="Arial" w:hAnsi="Arial" w:hint="cs"/>
          <w:sz w:val="27"/>
          <w:rtl/>
          <w:lang w:bidi="ar-AE"/>
        </w:rPr>
        <w:t xml:space="preserve">: </w:t>
      </w:r>
      <w:r w:rsidRPr="006571AC">
        <w:rPr>
          <w:rFonts w:ascii="Arial" w:hAnsi="Arial" w:hint="cs"/>
          <w:sz w:val="27"/>
          <w:rtl/>
          <w:lang w:bidi="ar-AE"/>
        </w:rPr>
        <w:t>حميد حماني</w:t>
      </w:r>
      <w:r w:rsidR="00DE1D4A" w:rsidRPr="006571AC">
        <w:rPr>
          <w:rFonts w:ascii="Arial" w:hAnsi="Arial" w:hint="cs"/>
          <w:sz w:val="27"/>
          <w:rtl/>
          <w:lang w:bidi="ar-AE"/>
        </w:rPr>
        <w:t>،</w:t>
      </w:r>
      <w:r w:rsidRPr="006571AC">
        <w:rPr>
          <w:rFonts w:ascii="Arial" w:hAnsi="Arial" w:hint="cs"/>
          <w:sz w:val="27"/>
          <w:rtl/>
          <w:lang w:bidi="ar-AE"/>
        </w:rPr>
        <w:t xml:space="preserve"> مطبعة فضالة</w:t>
      </w:r>
      <w:r w:rsidR="00DE1D4A" w:rsidRPr="006571AC">
        <w:rPr>
          <w:rFonts w:ascii="Arial" w:hAnsi="Arial" w:hint="cs"/>
          <w:sz w:val="27"/>
          <w:rtl/>
          <w:lang w:bidi="ar-AE"/>
        </w:rPr>
        <w:t>،</w:t>
      </w:r>
      <w:r w:rsidRPr="006571AC">
        <w:rPr>
          <w:rFonts w:ascii="Arial" w:hAnsi="Arial" w:hint="cs"/>
          <w:sz w:val="27"/>
          <w:rtl/>
          <w:lang w:bidi="ar-AE"/>
        </w:rPr>
        <w:t xml:space="preserve"> المغرب</w:t>
      </w:r>
      <w:r w:rsidR="00DE1D4A" w:rsidRPr="006571AC">
        <w:rPr>
          <w:rFonts w:ascii="Arial" w:hAnsi="Arial" w:hint="cs"/>
          <w:sz w:val="27"/>
          <w:rtl/>
          <w:lang w:bidi="ar-AE"/>
        </w:rPr>
        <w:t>،</w:t>
      </w:r>
      <w:r w:rsidRPr="006571AC">
        <w:rPr>
          <w:rFonts w:ascii="Arial" w:hAnsi="Arial" w:hint="cs"/>
          <w:sz w:val="27"/>
          <w:rtl/>
          <w:lang w:bidi="ar-AE"/>
        </w:rPr>
        <w:t xml:space="preserve"> 2013</w:t>
      </w:r>
      <w:r w:rsidR="00DE1D4A" w:rsidRPr="006571AC">
        <w:rPr>
          <w:rFonts w:ascii="Arial" w:hAnsi="Arial" w:hint="cs"/>
          <w:sz w:val="27"/>
          <w:rtl/>
          <w:lang w:bidi="ar-AE"/>
        </w:rPr>
        <w:t>م</w:t>
      </w:r>
      <w:r w:rsidRPr="0039174B">
        <w:rPr>
          <w:rFonts w:ascii="Arial" w:hAnsi="Arial"/>
          <w:sz w:val="27"/>
          <w:vertAlign w:val="superscript"/>
          <w:rtl/>
          <w:lang w:bidi="ar-AE"/>
        </w:rPr>
        <w:t>(</w:t>
      </w:r>
      <w:r w:rsidRPr="0039174B">
        <w:rPr>
          <w:rFonts w:ascii="Arial" w:hAnsi="Arial"/>
          <w:sz w:val="27"/>
          <w:vertAlign w:val="superscript"/>
          <w:rtl/>
          <w:lang w:bidi="ar-AE"/>
        </w:rPr>
        <w:endnoteReference w:id="762"/>
      </w:r>
      <w:r w:rsidRPr="0039174B">
        <w:rPr>
          <w:rFonts w:ascii="Arial" w:hAnsi="Arial"/>
          <w:sz w:val="27"/>
          <w:vertAlign w:val="superscript"/>
          <w:rtl/>
          <w:lang w:bidi="ar-AE"/>
        </w:rPr>
        <w:t>)</w:t>
      </w:r>
      <w:r w:rsidRPr="006571AC">
        <w:rPr>
          <w:rFonts w:ascii="Arial" w:hAnsi="Arial" w:hint="cs"/>
          <w:sz w:val="27"/>
          <w:rtl/>
          <w:lang w:bidi="ar-AE"/>
        </w:rPr>
        <w:t>.</w:t>
      </w:r>
    </w:p>
    <w:p w:rsidR="0043677F" w:rsidRPr="0039174B" w:rsidRDefault="0043677F" w:rsidP="0039174B">
      <w:pPr>
        <w:rPr>
          <w:rFonts w:ascii="Arial" w:hAnsi="Arial"/>
          <w:sz w:val="27"/>
          <w:rtl/>
          <w:lang w:bidi="ar-AE"/>
        </w:rPr>
      </w:pPr>
      <w:r w:rsidRPr="0039174B">
        <w:rPr>
          <w:rFonts w:ascii="Arial" w:hAnsi="Arial" w:hint="cs"/>
          <w:sz w:val="27"/>
          <w:rtl/>
          <w:lang w:bidi="ar-AE"/>
        </w:rPr>
        <w:t>فهذه الكتب اعتراف</w:t>
      </w:r>
      <w:r w:rsidR="00DE1D4A" w:rsidRPr="0039174B">
        <w:rPr>
          <w:rFonts w:ascii="Arial" w:hAnsi="Arial" w:hint="cs"/>
          <w:sz w:val="27"/>
          <w:rtl/>
          <w:lang w:bidi="ar-AE"/>
        </w:rPr>
        <w:t>ٌ</w:t>
      </w:r>
      <w:r w:rsidRPr="0039174B">
        <w:rPr>
          <w:rFonts w:ascii="Arial" w:hAnsi="Arial" w:hint="cs"/>
          <w:sz w:val="27"/>
          <w:rtl/>
          <w:lang w:bidi="ar-AE"/>
        </w:rPr>
        <w:t xml:space="preserve"> جلي</w:t>
      </w:r>
      <w:r w:rsidR="00DE1D4A" w:rsidRPr="0039174B">
        <w:rPr>
          <w:rFonts w:ascii="Arial" w:hAnsi="Arial" w:hint="cs"/>
          <w:sz w:val="27"/>
          <w:rtl/>
          <w:lang w:bidi="ar-AE"/>
        </w:rPr>
        <w:t>ّ</w:t>
      </w:r>
      <w:r w:rsidRPr="0039174B">
        <w:rPr>
          <w:rFonts w:ascii="Arial" w:hAnsi="Arial" w:hint="cs"/>
          <w:sz w:val="27"/>
          <w:rtl/>
          <w:lang w:bidi="ar-AE"/>
        </w:rPr>
        <w:t xml:space="preserve"> بين الباحثين والدارسين بحضور البحث في القضايا الإنساني</w:t>
      </w:r>
      <w:r w:rsidR="00DE1D4A" w:rsidRPr="0039174B">
        <w:rPr>
          <w:rFonts w:ascii="Arial" w:hAnsi="Arial" w:hint="cs"/>
          <w:sz w:val="27"/>
          <w:rtl/>
          <w:lang w:bidi="ar-AE"/>
        </w:rPr>
        <w:t>ّ</w:t>
      </w:r>
      <w:r w:rsidRPr="0039174B">
        <w:rPr>
          <w:rFonts w:ascii="Arial" w:hAnsi="Arial" w:hint="cs"/>
          <w:sz w:val="27"/>
          <w:rtl/>
          <w:lang w:bidi="ar-AE"/>
        </w:rPr>
        <w:t>ة، ف</w:t>
      </w:r>
      <w:r w:rsidRPr="0039174B">
        <w:rPr>
          <w:rFonts w:ascii="Arial" w:hAnsi="Arial"/>
          <w:sz w:val="27"/>
          <w:rtl/>
          <w:lang w:bidi="ar-AE"/>
        </w:rPr>
        <w:t>العرب والمسلم</w:t>
      </w:r>
      <w:r w:rsidRPr="0039174B">
        <w:rPr>
          <w:rFonts w:ascii="Arial" w:hAnsi="Arial" w:hint="cs"/>
          <w:sz w:val="27"/>
          <w:rtl/>
          <w:lang w:bidi="ar-AE"/>
        </w:rPr>
        <w:t>و</w:t>
      </w:r>
      <w:r w:rsidRPr="0039174B">
        <w:rPr>
          <w:rFonts w:ascii="Arial" w:hAnsi="Arial"/>
          <w:sz w:val="27"/>
          <w:rtl/>
          <w:lang w:bidi="ar-AE"/>
        </w:rPr>
        <w:t>ن</w:t>
      </w:r>
      <w:r w:rsidRPr="0039174B">
        <w:rPr>
          <w:rFonts w:ascii="Arial" w:hAnsi="Arial" w:hint="cs"/>
          <w:sz w:val="27"/>
          <w:rtl/>
          <w:lang w:bidi="ar-AE"/>
        </w:rPr>
        <w:t xml:space="preserve"> قد</w:t>
      </w:r>
      <w:r w:rsidR="00DE1D4A" w:rsidRPr="0039174B">
        <w:rPr>
          <w:rFonts w:ascii="Arial" w:hAnsi="Arial" w:hint="cs"/>
          <w:sz w:val="27"/>
          <w:rtl/>
          <w:lang w:bidi="ar-AE"/>
        </w:rPr>
        <w:t>َّ</w:t>
      </w:r>
      <w:r w:rsidRPr="0039174B">
        <w:rPr>
          <w:rFonts w:ascii="Arial" w:hAnsi="Arial" w:hint="cs"/>
          <w:sz w:val="27"/>
          <w:rtl/>
          <w:lang w:bidi="ar-AE"/>
        </w:rPr>
        <w:t xml:space="preserve">موا </w:t>
      </w:r>
      <w:r w:rsidRPr="0039174B">
        <w:rPr>
          <w:rFonts w:ascii="Arial" w:hAnsi="Arial"/>
          <w:sz w:val="27"/>
          <w:rtl/>
          <w:lang w:bidi="ar-AE"/>
        </w:rPr>
        <w:t>إسهاماتٍ جليلةً</w:t>
      </w:r>
      <w:r w:rsidRPr="0039174B">
        <w:rPr>
          <w:rFonts w:ascii="Arial" w:hAnsi="Arial" w:hint="cs"/>
          <w:sz w:val="27"/>
          <w:rtl/>
          <w:lang w:bidi="ar-AE"/>
        </w:rPr>
        <w:t xml:space="preserve"> ومشاركات</w:t>
      </w:r>
      <w:r w:rsidR="00DE1D4A" w:rsidRPr="0039174B">
        <w:rPr>
          <w:rFonts w:ascii="Arial" w:hAnsi="Arial" w:hint="cs"/>
          <w:sz w:val="27"/>
          <w:rtl/>
          <w:lang w:bidi="ar-AE"/>
        </w:rPr>
        <w:t>ٍ</w:t>
      </w:r>
      <w:r w:rsidRPr="0039174B">
        <w:rPr>
          <w:rFonts w:ascii="Arial" w:hAnsi="Arial" w:hint="cs"/>
          <w:sz w:val="27"/>
          <w:rtl/>
          <w:lang w:bidi="ar-AE"/>
        </w:rPr>
        <w:t xml:space="preserve"> رائدة</w:t>
      </w:r>
      <w:r w:rsidR="00DE1D4A" w:rsidRPr="0039174B">
        <w:rPr>
          <w:rFonts w:ascii="Arial" w:hAnsi="Arial" w:hint="cs"/>
          <w:sz w:val="27"/>
          <w:rtl/>
          <w:lang w:bidi="ar-AE"/>
        </w:rPr>
        <w:t>ً</w:t>
      </w:r>
      <w:r w:rsidRPr="0039174B">
        <w:rPr>
          <w:rFonts w:ascii="Arial" w:hAnsi="Arial" w:hint="cs"/>
          <w:sz w:val="27"/>
          <w:rtl/>
          <w:lang w:bidi="ar-AE"/>
        </w:rPr>
        <w:t xml:space="preserve"> وكتب</w:t>
      </w:r>
      <w:r w:rsidR="00DE1D4A" w:rsidRPr="0039174B">
        <w:rPr>
          <w:rFonts w:ascii="Arial" w:hAnsi="Arial" w:hint="cs"/>
          <w:sz w:val="27"/>
          <w:rtl/>
          <w:lang w:bidi="ar-AE"/>
        </w:rPr>
        <w:t>اً</w:t>
      </w:r>
      <w:r w:rsidRPr="0039174B">
        <w:rPr>
          <w:rFonts w:ascii="Arial" w:hAnsi="Arial" w:hint="cs"/>
          <w:sz w:val="27"/>
          <w:rtl/>
          <w:lang w:bidi="ar-AE"/>
        </w:rPr>
        <w:t xml:space="preserve"> متمي</w:t>
      </w:r>
      <w:r w:rsidR="00DE1D4A" w:rsidRPr="0039174B">
        <w:rPr>
          <w:rFonts w:ascii="Arial" w:hAnsi="Arial" w:hint="cs"/>
          <w:sz w:val="27"/>
          <w:rtl/>
          <w:lang w:bidi="ar-AE"/>
        </w:rPr>
        <w:t>ِّ</w:t>
      </w:r>
      <w:r w:rsidRPr="0039174B">
        <w:rPr>
          <w:rFonts w:ascii="Arial" w:hAnsi="Arial" w:hint="cs"/>
          <w:sz w:val="27"/>
          <w:rtl/>
          <w:lang w:bidi="ar-AE"/>
        </w:rPr>
        <w:t xml:space="preserve">زة </w:t>
      </w:r>
      <w:r w:rsidRPr="0039174B">
        <w:rPr>
          <w:rFonts w:ascii="Arial" w:hAnsi="Arial"/>
          <w:sz w:val="27"/>
          <w:rtl/>
          <w:lang w:bidi="ar-AE"/>
        </w:rPr>
        <w:t>في مجال</w:t>
      </w:r>
      <w:r w:rsidRPr="0039174B">
        <w:rPr>
          <w:rFonts w:ascii="Arial" w:hAnsi="Arial" w:hint="cs"/>
          <w:sz w:val="27"/>
          <w:rtl/>
          <w:lang w:bidi="ar-AE"/>
        </w:rPr>
        <w:t xml:space="preserve"> العلوم الإنسانية، و</w:t>
      </w:r>
      <w:r w:rsidR="00DE1D4A" w:rsidRPr="0039174B">
        <w:rPr>
          <w:rFonts w:ascii="Arial" w:hAnsi="Arial" w:hint="cs"/>
          <w:sz w:val="27"/>
          <w:rtl/>
          <w:lang w:bidi="ar-AE"/>
        </w:rPr>
        <w:t>إ</w:t>
      </w:r>
      <w:r w:rsidRPr="0039174B">
        <w:rPr>
          <w:rFonts w:ascii="Arial" w:hAnsi="Arial" w:hint="cs"/>
          <w:sz w:val="27"/>
          <w:rtl/>
          <w:lang w:bidi="ar-AE"/>
        </w:rPr>
        <w:t>ن</w:t>
      </w:r>
      <w:r w:rsidR="00DE1D4A" w:rsidRPr="0039174B">
        <w:rPr>
          <w:rFonts w:ascii="Arial" w:hAnsi="Arial" w:hint="cs"/>
          <w:sz w:val="27"/>
          <w:rtl/>
          <w:lang w:bidi="ar-AE"/>
        </w:rPr>
        <w:t>ْ</w:t>
      </w:r>
      <w:r w:rsidRPr="0039174B">
        <w:rPr>
          <w:rFonts w:ascii="Arial" w:hAnsi="Arial" w:hint="cs"/>
          <w:sz w:val="27"/>
          <w:rtl/>
          <w:lang w:bidi="ar-AE"/>
        </w:rPr>
        <w:t xml:space="preserve"> كانت هذه المشاركات تعب</w:t>
      </w:r>
      <w:r w:rsidR="00DE1D4A" w:rsidRPr="0039174B">
        <w:rPr>
          <w:rFonts w:ascii="Arial" w:hAnsi="Arial" w:hint="cs"/>
          <w:sz w:val="27"/>
          <w:rtl/>
          <w:lang w:bidi="ar-AE"/>
        </w:rPr>
        <w:t>ِّ</w:t>
      </w:r>
      <w:r w:rsidRPr="0039174B">
        <w:rPr>
          <w:rFonts w:ascii="Arial" w:hAnsi="Arial" w:hint="cs"/>
          <w:sz w:val="27"/>
          <w:rtl/>
          <w:lang w:bidi="ar-AE"/>
        </w:rPr>
        <w:t>ر عن أحوال العصر، وعن الثقافة العامة التي ساد</w:t>
      </w:r>
      <w:r w:rsidR="00DE1D4A" w:rsidRPr="0039174B">
        <w:rPr>
          <w:rFonts w:ascii="Arial" w:hAnsi="Arial" w:hint="cs"/>
          <w:sz w:val="27"/>
          <w:rtl/>
          <w:lang w:bidi="ar-AE"/>
        </w:rPr>
        <w:t>َ</w:t>
      </w:r>
      <w:r w:rsidRPr="0039174B">
        <w:rPr>
          <w:rFonts w:ascii="Arial" w:hAnsi="Arial" w:hint="cs"/>
          <w:sz w:val="27"/>
          <w:rtl/>
          <w:lang w:bidi="ar-AE"/>
        </w:rPr>
        <w:t>ت</w:t>
      </w:r>
      <w:r w:rsidR="00DE1D4A" w:rsidRPr="0039174B">
        <w:rPr>
          <w:rFonts w:ascii="Arial" w:hAnsi="Arial" w:hint="cs"/>
          <w:sz w:val="27"/>
          <w:rtl/>
          <w:lang w:bidi="ar-AE"/>
        </w:rPr>
        <w:t>ْ</w:t>
      </w:r>
      <w:r w:rsidRPr="0039174B">
        <w:rPr>
          <w:rFonts w:ascii="Arial" w:hAnsi="Arial" w:hint="cs"/>
          <w:sz w:val="27"/>
          <w:rtl/>
          <w:lang w:bidi="ar-AE"/>
        </w:rPr>
        <w:t xml:space="preserve"> </w:t>
      </w:r>
      <w:r w:rsidR="00DE1D4A" w:rsidRPr="0039174B">
        <w:rPr>
          <w:rFonts w:ascii="Arial" w:hAnsi="Arial" w:hint="cs"/>
          <w:sz w:val="27"/>
          <w:rtl/>
          <w:lang w:bidi="ar-AE"/>
        </w:rPr>
        <w:t xml:space="preserve">في </w:t>
      </w:r>
      <w:r w:rsidRPr="0039174B">
        <w:rPr>
          <w:rFonts w:ascii="Arial" w:hAnsi="Arial" w:hint="cs"/>
          <w:sz w:val="27"/>
          <w:rtl/>
          <w:lang w:bidi="ar-AE"/>
        </w:rPr>
        <w:t>زمنهم وعصرهم، وهذا ش</w:t>
      </w:r>
      <w:r w:rsidR="00DE1D4A" w:rsidRPr="0039174B">
        <w:rPr>
          <w:rFonts w:ascii="Arial" w:hAnsi="Arial" w:hint="cs"/>
          <w:sz w:val="27"/>
          <w:rtl/>
          <w:lang w:bidi="ar-AE"/>
        </w:rPr>
        <w:t>أ</w:t>
      </w:r>
      <w:r w:rsidRPr="0039174B">
        <w:rPr>
          <w:rFonts w:ascii="Arial" w:hAnsi="Arial" w:hint="cs"/>
          <w:sz w:val="27"/>
          <w:rtl/>
          <w:lang w:bidi="ar-AE"/>
        </w:rPr>
        <w:t>ن</w:t>
      </w:r>
      <w:r w:rsidR="00DE1D4A" w:rsidRPr="0039174B">
        <w:rPr>
          <w:rFonts w:ascii="Arial" w:hAnsi="Arial" w:hint="cs"/>
          <w:sz w:val="27"/>
          <w:rtl/>
          <w:lang w:bidi="ar-AE"/>
        </w:rPr>
        <w:t>ٌ</w:t>
      </w:r>
      <w:r w:rsidRPr="0039174B">
        <w:rPr>
          <w:rFonts w:ascii="Arial" w:hAnsi="Arial" w:hint="cs"/>
          <w:sz w:val="27"/>
          <w:rtl/>
          <w:lang w:bidi="ar-AE"/>
        </w:rPr>
        <w:t xml:space="preserve"> عام</w:t>
      </w:r>
      <w:r w:rsidR="00DE1D4A" w:rsidRPr="0039174B">
        <w:rPr>
          <w:rFonts w:ascii="Arial" w:hAnsi="Arial" w:hint="cs"/>
          <w:sz w:val="27"/>
          <w:rtl/>
          <w:lang w:bidi="ar-AE"/>
        </w:rPr>
        <w:t>ّ</w:t>
      </w:r>
      <w:r w:rsidRPr="0039174B">
        <w:rPr>
          <w:rFonts w:ascii="Arial" w:hAnsi="Arial" w:hint="cs"/>
          <w:sz w:val="27"/>
          <w:rtl/>
          <w:lang w:bidi="ar-AE"/>
        </w:rPr>
        <w:t xml:space="preserve"> ومشترك</w:t>
      </w:r>
      <w:r w:rsidR="00DE1D4A" w:rsidRPr="0039174B">
        <w:rPr>
          <w:rFonts w:ascii="Arial" w:hAnsi="Arial" w:hint="cs"/>
          <w:sz w:val="27"/>
          <w:rtl/>
          <w:lang w:bidi="ar-AE"/>
        </w:rPr>
        <w:t>ٌ،</w:t>
      </w:r>
      <w:r w:rsidRPr="0039174B">
        <w:rPr>
          <w:rFonts w:ascii="Arial" w:hAnsi="Arial" w:hint="cs"/>
          <w:sz w:val="27"/>
          <w:rtl/>
          <w:lang w:bidi="ar-AE"/>
        </w:rPr>
        <w:t xml:space="preserve"> يعم</w:t>
      </w:r>
      <w:r w:rsidR="00DE1D4A" w:rsidRPr="0039174B">
        <w:rPr>
          <w:rFonts w:ascii="Arial" w:hAnsi="Arial" w:hint="cs"/>
          <w:sz w:val="27"/>
          <w:rtl/>
          <w:lang w:bidi="ar-AE"/>
        </w:rPr>
        <w:t>ّ</w:t>
      </w:r>
      <w:r w:rsidRPr="0039174B">
        <w:rPr>
          <w:rFonts w:ascii="Arial" w:hAnsi="Arial" w:hint="cs"/>
          <w:sz w:val="27"/>
          <w:rtl/>
          <w:lang w:bidi="ar-AE"/>
        </w:rPr>
        <w:t xml:space="preserve"> جميع أصناف المعرفة الإنسانية والعلوم في نشأتها، وفي تطو</w:t>
      </w:r>
      <w:r w:rsidR="00DE1D4A" w:rsidRPr="0039174B">
        <w:rPr>
          <w:rFonts w:ascii="Arial" w:hAnsi="Arial" w:hint="cs"/>
          <w:sz w:val="27"/>
          <w:rtl/>
          <w:lang w:bidi="ar-AE"/>
        </w:rPr>
        <w:t>ُّ</w:t>
      </w:r>
      <w:r w:rsidRPr="0039174B">
        <w:rPr>
          <w:rFonts w:ascii="Arial" w:hAnsi="Arial" w:hint="cs"/>
          <w:sz w:val="27"/>
          <w:rtl/>
          <w:lang w:bidi="ar-AE"/>
        </w:rPr>
        <w:t>رها</w:t>
      </w:r>
      <w:r w:rsidR="00DE1D4A" w:rsidRPr="0039174B">
        <w:rPr>
          <w:rFonts w:ascii="Arial" w:hAnsi="Arial" w:hint="cs"/>
          <w:sz w:val="27"/>
          <w:rtl/>
          <w:lang w:bidi="ar-AE"/>
        </w:rPr>
        <w:t>،</w:t>
      </w:r>
      <w:r w:rsidRPr="0039174B">
        <w:rPr>
          <w:rFonts w:ascii="Arial" w:hAnsi="Arial" w:hint="cs"/>
          <w:sz w:val="27"/>
          <w:rtl/>
          <w:lang w:bidi="ar-AE"/>
        </w:rPr>
        <w:t xml:space="preserve"> وفي المسار الذ</w:t>
      </w:r>
      <w:r w:rsidRPr="0039174B">
        <w:rPr>
          <w:rFonts w:ascii="Arial" w:hAnsi="Arial" w:hint="eastAsia"/>
          <w:sz w:val="27"/>
          <w:rtl/>
          <w:lang w:bidi="ar-AE"/>
        </w:rPr>
        <w:t>ي</w:t>
      </w:r>
      <w:r w:rsidRPr="0039174B">
        <w:rPr>
          <w:rFonts w:ascii="Arial" w:hAnsi="Arial" w:hint="cs"/>
          <w:sz w:val="27"/>
          <w:rtl/>
          <w:lang w:bidi="ar-AE"/>
        </w:rPr>
        <w:t xml:space="preserve"> تمر</w:t>
      </w:r>
      <w:r w:rsidR="00DE1D4A" w:rsidRPr="0039174B">
        <w:rPr>
          <w:rFonts w:ascii="Arial" w:hAnsi="Arial" w:hint="cs"/>
          <w:sz w:val="27"/>
          <w:rtl/>
          <w:lang w:bidi="ar-AE"/>
        </w:rPr>
        <w:t>ّ</w:t>
      </w:r>
      <w:r w:rsidRPr="0039174B">
        <w:rPr>
          <w:rFonts w:ascii="Arial" w:hAnsi="Arial" w:hint="cs"/>
          <w:sz w:val="27"/>
          <w:rtl/>
          <w:lang w:bidi="ar-AE"/>
        </w:rPr>
        <w:t xml:space="preserve"> </w:t>
      </w:r>
      <w:r w:rsidR="00DE1D4A" w:rsidRPr="0039174B">
        <w:rPr>
          <w:rFonts w:ascii="Arial" w:hAnsi="Arial" w:hint="cs"/>
          <w:sz w:val="27"/>
          <w:rtl/>
          <w:lang w:bidi="ar-AE"/>
        </w:rPr>
        <w:t>ب</w:t>
      </w:r>
      <w:r w:rsidRPr="0039174B">
        <w:rPr>
          <w:rFonts w:ascii="Arial" w:hAnsi="Arial" w:hint="cs"/>
          <w:sz w:val="27"/>
          <w:rtl/>
          <w:lang w:bidi="ar-AE"/>
        </w:rPr>
        <w:t>ه وتقطعه</w:t>
      </w:r>
      <w:r w:rsidRPr="00AE5BAE">
        <w:rPr>
          <w:rFonts w:ascii="Arial" w:hAnsi="Arial"/>
          <w:sz w:val="27"/>
          <w:vertAlign w:val="superscript"/>
          <w:rtl/>
          <w:lang w:bidi="ar-AE"/>
        </w:rPr>
        <w:t>(</w:t>
      </w:r>
      <w:r w:rsidRPr="00AE5BAE">
        <w:rPr>
          <w:rFonts w:ascii="Arial" w:hAnsi="Arial"/>
          <w:sz w:val="27"/>
          <w:vertAlign w:val="superscript"/>
          <w:rtl/>
          <w:lang w:bidi="ar-AE"/>
        </w:rPr>
        <w:endnoteReference w:id="763"/>
      </w:r>
      <w:r w:rsidRPr="00AE5BAE">
        <w:rPr>
          <w:rFonts w:ascii="Arial" w:hAnsi="Arial"/>
          <w:sz w:val="27"/>
          <w:vertAlign w:val="superscript"/>
          <w:rtl/>
          <w:lang w:bidi="ar-AE"/>
        </w:rPr>
        <w:t>)</w:t>
      </w:r>
      <w:r w:rsidRPr="0039174B">
        <w:rPr>
          <w:rFonts w:ascii="Arial" w:hAnsi="Arial" w:hint="cs"/>
          <w:sz w:val="27"/>
          <w:rtl/>
          <w:lang w:bidi="ar-AE"/>
        </w:rPr>
        <w:t xml:space="preserve">. </w:t>
      </w:r>
    </w:p>
    <w:p w:rsidR="0043677F" w:rsidRPr="006571AC" w:rsidRDefault="0043677F" w:rsidP="004F6064">
      <w:pPr>
        <w:shd w:val="clear" w:color="auto" w:fill="FFFFFF"/>
        <w:rPr>
          <w:rFonts w:ascii="Simplified Arabic" w:hAnsi="Simplified Arabic"/>
          <w:sz w:val="27"/>
          <w:rtl/>
          <w:lang w:bidi="ar-SY"/>
        </w:rPr>
      </w:pPr>
    </w:p>
    <w:p w:rsidR="0043677F" w:rsidRPr="006571AC" w:rsidRDefault="0043677F" w:rsidP="00962F60">
      <w:pPr>
        <w:pStyle w:val="31"/>
        <w:rPr>
          <w:color w:val="auto"/>
          <w:rtl/>
          <w:lang w:bidi="ar-SY"/>
        </w:rPr>
      </w:pPr>
      <w:bookmarkStart w:id="451" w:name="_Toc114164859"/>
      <w:r w:rsidRPr="006571AC">
        <w:rPr>
          <w:color w:val="auto"/>
          <w:rtl/>
          <w:lang w:bidi="ar-SY"/>
        </w:rPr>
        <w:t>خاتمة</w:t>
      </w:r>
      <w:r w:rsidRPr="006571AC">
        <w:rPr>
          <w:rFonts w:hint="cs"/>
          <w:color w:val="auto"/>
          <w:rtl/>
          <w:lang w:bidi="ar-SY"/>
        </w:rPr>
        <w:t>ٌ</w:t>
      </w:r>
      <w:bookmarkEnd w:id="451"/>
    </w:p>
    <w:p w:rsidR="0043677F" w:rsidRPr="006571AC" w:rsidRDefault="0043677F" w:rsidP="004F6064">
      <w:pPr>
        <w:tabs>
          <w:tab w:val="left" w:pos="3417"/>
        </w:tabs>
        <w:rPr>
          <w:rFonts w:ascii="inherit" w:hAnsi="inherit"/>
          <w:sz w:val="27"/>
          <w:rtl/>
          <w:lang w:bidi="ar-MA"/>
        </w:rPr>
      </w:pPr>
      <w:r w:rsidRPr="006571AC">
        <w:rPr>
          <w:rFonts w:ascii="inherit" w:hAnsi="inherit" w:hint="cs"/>
          <w:sz w:val="27"/>
          <w:rtl/>
          <w:lang w:bidi="ar-MA"/>
        </w:rPr>
        <w:t>لا تتأس</w:t>
      </w:r>
      <w:r w:rsidR="00DE1D4A" w:rsidRPr="006571AC">
        <w:rPr>
          <w:rFonts w:ascii="inherit" w:hAnsi="inherit" w:hint="cs"/>
          <w:sz w:val="27"/>
          <w:rtl/>
          <w:lang w:bidi="ar-MA"/>
        </w:rPr>
        <w:t>َّ</w:t>
      </w:r>
      <w:r w:rsidRPr="006571AC">
        <w:rPr>
          <w:rFonts w:ascii="inherit" w:hAnsi="inherit" w:hint="cs"/>
          <w:sz w:val="27"/>
          <w:rtl/>
          <w:lang w:bidi="ar-MA"/>
        </w:rPr>
        <w:t>س العلوم الإنسانية من فراغ</w:t>
      </w:r>
      <w:r w:rsidR="00DE1D4A" w:rsidRPr="006571AC">
        <w:rPr>
          <w:rFonts w:ascii="inherit" w:hAnsi="inherit" w:hint="cs"/>
          <w:sz w:val="27"/>
          <w:rtl/>
          <w:lang w:bidi="ar-MA"/>
        </w:rPr>
        <w:t>ٍ،</w:t>
      </w:r>
      <w:r w:rsidRPr="006571AC">
        <w:rPr>
          <w:rFonts w:ascii="inherit" w:hAnsi="inherit" w:hint="cs"/>
          <w:sz w:val="27"/>
          <w:rtl/>
          <w:lang w:bidi="ar-MA"/>
        </w:rPr>
        <w:t xml:space="preserve"> ولا تتأس</w:t>
      </w:r>
      <w:r w:rsidR="00DE1D4A" w:rsidRPr="006571AC">
        <w:rPr>
          <w:rFonts w:ascii="inherit" w:hAnsi="inherit" w:hint="cs"/>
          <w:sz w:val="27"/>
          <w:rtl/>
          <w:lang w:bidi="ar-MA"/>
        </w:rPr>
        <w:t>َّ</w:t>
      </w:r>
      <w:r w:rsidRPr="006571AC">
        <w:rPr>
          <w:rFonts w:ascii="inherit" w:hAnsi="inherit" w:hint="cs"/>
          <w:sz w:val="27"/>
          <w:rtl/>
          <w:lang w:bidi="ar-MA"/>
        </w:rPr>
        <w:t>س اعتباطا</w:t>
      </w:r>
      <w:r w:rsidR="00DE1D4A" w:rsidRPr="006571AC">
        <w:rPr>
          <w:rFonts w:ascii="inherit" w:hAnsi="inherit" w:hint="cs"/>
          <w:sz w:val="27"/>
          <w:rtl/>
          <w:lang w:bidi="ar-MA"/>
        </w:rPr>
        <w:t>ً</w:t>
      </w:r>
      <w:r w:rsidRPr="006571AC">
        <w:rPr>
          <w:rFonts w:ascii="inherit" w:hAnsi="inherit" w:hint="cs"/>
          <w:sz w:val="27"/>
          <w:rtl/>
          <w:lang w:bidi="ar-MA"/>
        </w:rPr>
        <w:t>، وإنما تنش</w:t>
      </w:r>
      <w:r w:rsidR="00DE1D4A" w:rsidRPr="006571AC">
        <w:rPr>
          <w:rFonts w:ascii="inherit" w:hAnsi="inherit" w:hint="cs"/>
          <w:sz w:val="27"/>
          <w:rtl/>
          <w:lang w:bidi="ar-MA"/>
        </w:rPr>
        <w:t>أ</w:t>
      </w:r>
      <w:r w:rsidRPr="006571AC">
        <w:rPr>
          <w:rFonts w:ascii="inherit" w:hAnsi="inherit" w:hint="cs"/>
          <w:sz w:val="27"/>
          <w:rtl/>
          <w:lang w:bidi="ar-MA"/>
        </w:rPr>
        <w:t xml:space="preserve"> وت</w:t>
      </w:r>
      <w:r w:rsidR="00DE1D4A" w:rsidRPr="006571AC">
        <w:rPr>
          <w:rFonts w:ascii="inherit" w:hAnsi="inherit" w:hint="cs"/>
          <w:sz w:val="27"/>
          <w:rtl/>
          <w:lang w:bidi="ar-MA"/>
        </w:rPr>
        <w:t>ت</w:t>
      </w:r>
      <w:r w:rsidRPr="006571AC">
        <w:rPr>
          <w:rFonts w:ascii="inherit" w:hAnsi="inherit" w:hint="cs"/>
          <w:sz w:val="27"/>
          <w:rtl/>
          <w:lang w:bidi="ar-MA"/>
        </w:rPr>
        <w:t>أس</w:t>
      </w:r>
      <w:r w:rsidR="00DE1D4A" w:rsidRPr="006571AC">
        <w:rPr>
          <w:rFonts w:ascii="inherit" w:hAnsi="inherit" w:hint="cs"/>
          <w:sz w:val="27"/>
          <w:rtl/>
          <w:lang w:bidi="ar-MA"/>
        </w:rPr>
        <w:t>َّ</w:t>
      </w:r>
      <w:r w:rsidRPr="006571AC">
        <w:rPr>
          <w:rFonts w:ascii="inherit" w:hAnsi="inherit" w:hint="cs"/>
          <w:sz w:val="27"/>
          <w:rtl/>
          <w:lang w:bidi="ar-MA"/>
        </w:rPr>
        <w:t>س نتيجة</w:t>
      </w:r>
      <w:r w:rsidR="00DE1D4A" w:rsidRPr="006571AC">
        <w:rPr>
          <w:rFonts w:ascii="inherit" w:hAnsi="inherit" w:hint="cs"/>
          <w:sz w:val="27"/>
          <w:rtl/>
          <w:lang w:bidi="ar-MA"/>
        </w:rPr>
        <w:t>ً</w:t>
      </w:r>
      <w:r w:rsidRPr="006571AC">
        <w:rPr>
          <w:rFonts w:ascii="inherit" w:hAnsi="inherit" w:hint="cs"/>
          <w:sz w:val="27"/>
          <w:rtl/>
          <w:lang w:bidi="ar-MA"/>
        </w:rPr>
        <w:t xml:space="preserve"> لسياقات</w:t>
      </w:r>
      <w:r w:rsidR="004C1A0E" w:rsidRPr="006571AC">
        <w:rPr>
          <w:rFonts w:ascii="inherit" w:hAnsi="inherit" w:hint="cs"/>
          <w:sz w:val="27"/>
          <w:rtl/>
          <w:lang w:bidi="ar-MA"/>
        </w:rPr>
        <w:t>ٍ</w:t>
      </w:r>
      <w:r w:rsidRPr="006571AC">
        <w:rPr>
          <w:rFonts w:ascii="inherit" w:hAnsi="inherit" w:hint="cs"/>
          <w:sz w:val="27"/>
          <w:rtl/>
          <w:lang w:bidi="ar-MA"/>
        </w:rPr>
        <w:t xml:space="preserve"> تتحد</w:t>
      </w:r>
      <w:r w:rsidR="00DE1D4A" w:rsidRPr="006571AC">
        <w:rPr>
          <w:rFonts w:ascii="inherit" w:hAnsi="inherit" w:hint="cs"/>
          <w:sz w:val="27"/>
          <w:rtl/>
          <w:lang w:bidi="ar-MA"/>
        </w:rPr>
        <w:t>َّ</w:t>
      </w:r>
      <w:r w:rsidRPr="006571AC">
        <w:rPr>
          <w:rFonts w:ascii="inherit" w:hAnsi="inherit" w:hint="cs"/>
          <w:sz w:val="27"/>
          <w:rtl/>
          <w:lang w:bidi="ar-MA"/>
        </w:rPr>
        <w:t>د في الحاجة إلى ذلك العلم</w:t>
      </w:r>
      <w:r w:rsidR="004C1A0E" w:rsidRPr="006571AC">
        <w:rPr>
          <w:rFonts w:ascii="inherit" w:hAnsi="inherit" w:hint="cs"/>
          <w:sz w:val="27"/>
          <w:rtl/>
          <w:lang w:bidi="ar-MA"/>
        </w:rPr>
        <w:t>،</w:t>
      </w:r>
      <w:r w:rsidRPr="006571AC">
        <w:rPr>
          <w:rFonts w:ascii="inherit" w:hAnsi="inherit" w:hint="cs"/>
          <w:sz w:val="27"/>
          <w:rtl/>
          <w:lang w:bidi="ar-MA"/>
        </w:rPr>
        <w:t xml:space="preserve"> تفرض مجموعة</w:t>
      </w:r>
      <w:r w:rsidR="004C1A0E" w:rsidRPr="006571AC">
        <w:rPr>
          <w:rFonts w:ascii="inherit" w:hAnsi="inherit" w:hint="cs"/>
          <w:sz w:val="27"/>
          <w:rtl/>
          <w:lang w:bidi="ar-MA"/>
        </w:rPr>
        <w:t>ً</w:t>
      </w:r>
      <w:r w:rsidRPr="006571AC">
        <w:rPr>
          <w:rFonts w:ascii="inherit" w:hAnsi="inherit" w:hint="cs"/>
          <w:sz w:val="27"/>
          <w:rtl/>
          <w:lang w:bidi="ar-MA"/>
        </w:rPr>
        <w:t xml:space="preserve"> من المعطيات، كما </w:t>
      </w:r>
      <w:r w:rsidR="004C1A0E" w:rsidRPr="006571AC">
        <w:rPr>
          <w:rFonts w:ascii="inherit" w:hAnsi="inherit" w:hint="cs"/>
          <w:sz w:val="27"/>
          <w:rtl/>
          <w:lang w:bidi="ar-MA"/>
        </w:rPr>
        <w:t>أ</w:t>
      </w:r>
      <w:r w:rsidRPr="006571AC">
        <w:rPr>
          <w:rFonts w:ascii="inherit" w:hAnsi="inherit" w:hint="cs"/>
          <w:sz w:val="27"/>
          <w:rtl/>
          <w:lang w:bidi="ar-MA"/>
        </w:rPr>
        <w:t>ن خطاب الريادة والأسبقية</w:t>
      </w:r>
      <w:r w:rsidR="004C1A0E" w:rsidRPr="006571AC">
        <w:rPr>
          <w:rFonts w:ascii="inherit" w:hAnsi="inherit" w:hint="cs"/>
          <w:sz w:val="27"/>
          <w:rtl/>
          <w:lang w:bidi="ar-MA"/>
        </w:rPr>
        <w:t>،</w:t>
      </w:r>
      <w:r w:rsidRPr="006571AC">
        <w:rPr>
          <w:rFonts w:ascii="inherit" w:hAnsi="inherit" w:hint="cs"/>
          <w:sz w:val="27"/>
          <w:rtl/>
          <w:lang w:bidi="ar-MA"/>
        </w:rPr>
        <w:t xml:space="preserve"> ونحن الأسبق والسب</w:t>
      </w:r>
      <w:r w:rsidR="004C1A0E" w:rsidRPr="006571AC">
        <w:rPr>
          <w:rFonts w:ascii="inherit" w:hAnsi="inherit" w:hint="cs"/>
          <w:sz w:val="27"/>
          <w:rtl/>
          <w:lang w:bidi="ar-MA"/>
        </w:rPr>
        <w:t>ّ</w:t>
      </w:r>
      <w:r w:rsidRPr="006571AC">
        <w:rPr>
          <w:rFonts w:ascii="inherit" w:hAnsi="inherit" w:hint="cs"/>
          <w:sz w:val="27"/>
          <w:rtl/>
          <w:lang w:bidi="ar-MA"/>
        </w:rPr>
        <w:t>اقون</w:t>
      </w:r>
      <w:r w:rsidR="004C1A0E" w:rsidRPr="006571AC">
        <w:rPr>
          <w:rFonts w:ascii="inherit" w:hAnsi="inherit" w:hint="cs"/>
          <w:sz w:val="27"/>
          <w:rtl/>
          <w:lang w:bidi="ar-MA"/>
        </w:rPr>
        <w:t>،</w:t>
      </w:r>
      <w:r w:rsidRPr="006571AC">
        <w:rPr>
          <w:rFonts w:ascii="inherit" w:hAnsi="inherit" w:hint="cs"/>
          <w:sz w:val="27"/>
          <w:rtl/>
          <w:lang w:bidi="ar-MA"/>
        </w:rPr>
        <w:t xml:space="preserve"> لا يساهم ولا يفضي إلى تأسيس خطابات</w:t>
      </w:r>
      <w:r w:rsidR="004C1A0E" w:rsidRPr="006571AC">
        <w:rPr>
          <w:rFonts w:ascii="inherit" w:hAnsi="inherit" w:hint="cs"/>
          <w:sz w:val="27"/>
          <w:rtl/>
          <w:lang w:bidi="ar-MA"/>
        </w:rPr>
        <w:t>ٍ</w:t>
      </w:r>
      <w:r w:rsidRPr="006571AC">
        <w:rPr>
          <w:rFonts w:ascii="inherit" w:hAnsi="inherit" w:hint="cs"/>
          <w:sz w:val="27"/>
          <w:rtl/>
          <w:lang w:bidi="ar-MA"/>
        </w:rPr>
        <w:t xml:space="preserve"> علمية</w:t>
      </w:r>
      <w:r w:rsidR="004C1A0E" w:rsidRPr="006571AC">
        <w:rPr>
          <w:rFonts w:ascii="inherit" w:hAnsi="inherit" w:hint="cs"/>
          <w:sz w:val="27"/>
          <w:rtl/>
          <w:lang w:bidi="ar-MA"/>
        </w:rPr>
        <w:t>،</w:t>
      </w:r>
      <w:r w:rsidRPr="006571AC">
        <w:rPr>
          <w:rFonts w:ascii="inherit" w:hAnsi="inherit" w:hint="cs"/>
          <w:sz w:val="27"/>
          <w:rtl/>
          <w:lang w:bidi="ar-MA"/>
        </w:rPr>
        <w:t xml:space="preserve"> إنسانية أو غيرها من العلوم باختلاف </w:t>
      </w:r>
      <w:r w:rsidR="004C1A0E" w:rsidRPr="006571AC">
        <w:rPr>
          <w:rFonts w:ascii="inherit" w:hAnsi="inherit" w:hint="cs"/>
          <w:sz w:val="27"/>
          <w:rtl/>
          <w:lang w:bidi="ar-MA"/>
        </w:rPr>
        <w:t>أ</w:t>
      </w:r>
      <w:r w:rsidRPr="006571AC">
        <w:rPr>
          <w:rFonts w:ascii="inherit" w:hAnsi="inherit" w:hint="cs"/>
          <w:sz w:val="27"/>
          <w:rtl/>
          <w:lang w:bidi="ar-MA"/>
        </w:rPr>
        <w:t>جناسها</w:t>
      </w:r>
      <w:r w:rsidR="004C1A0E" w:rsidRPr="006571AC">
        <w:rPr>
          <w:rFonts w:ascii="inherit" w:hAnsi="inherit" w:hint="cs"/>
          <w:sz w:val="27"/>
          <w:rtl/>
          <w:lang w:bidi="ar-MA"/>
        </w:rPr>
        <w:t>،</w:t>
      </w:r>
      <w:r w:rsidRPr="006571AC">
        <w:rPr>
          <w:rFonts w:ascii="inherit" w:hAnsi="inherit" w:hint="cs"/>
          <w:sz w:val="27"/>
          <w:rtl/>
          <w:lang w:bidi="ar-MA"/>
        </w:rPr>
        <w:t xml:space="preserve"> التي بإمكانها </w:t>
      </w:r>
      <w:r w:rsidR="004C1A0E" w:rsidRPr="006571AC">
        <w:rPr>
          <w:rFonts w:ascii="inherit" w:hAnsi="inherit" w:hint="cs"/>
          <w:sz w:val="27"/>
          <w:rtl/>
          <w:lang w:bidi="ar-MA"/>
        </w:rPr>
        <w:t>أ</w:t>
      </w:r>
      <w:r w:rsidRPr="006571AC">
        <w:rPr>
          <w:rFonts w:ascii="inherit" w:hAnsi="inherit" w:hint="cs"/>
          <w:sz w:val="27"/>
          <w:rtl/>
          <w:lang w:bidi="ar-MA"/>
        </w:rPr>
        <w:t>ن تجيب وتستجيب للمش</w:t>
      </w:r>
      <w:r w:rsidR="004C1A0E" w:rsidRPr="006571AC">
        <w:rPr>
          <w:rFonts w:ascii="inherit" w:hAnsi="inherit" w:hint="cs"/>
          <w:sz w:val="27"/>
          <w:rtl/>
          <w:lang w:bidi="ar-MA"/>
        </w:rPr>
        <w:t>ا</w:t>
      </w:r>
      <w:r w:rsidRPr="006571AC">
        <w:rPr>
          <w:rFonts w:ascii="inherit" w:hAnsi="inherit" w:hint="cs"/>
          <w:sz w:val="27"/>
          <w:rtl/>
          <w:lang w:bidi="ar-MA"/>
        </w:rPr>
        <w:t>كل التي يعيشها الإنسان في حاضره ومستقبله</w:t>
      </w:r>
      <w:r w:rsidRPr="006571AC">
        <w:rPr>
          <w:rFonts w:ascii="Simplified Arabic" w:hAnsi="Simplified Arabic" w:hint="cs"/>
          <w:sz w:val="27"/>
          <w:rtl/>
          <w:lang w:bidi="ar-SY"/>
        </w:rPr>
        <w:t xml:space="preserve">. </w:t>
      </w:r>
    </w:p>
    <w:p w:rsidR="00D273DA" w:rsidRPr="006571AC" w:rsidRDefault="0043677F" w:rsidP="004F6064">
      <w:pPr>
        <w:rPr>
          <w:rtl/>
        </w:rPr>
      </w:pPr>
      <w:r w:rsidRPr="006571AC">
        <w:rPr>
          <w:rFonts w:ascii="inherit" w:hAnsi="inherit" w:hint="cs"/>
          <w:sz w:val="27"/>
          <w:rtl/>
          <w:lang w:bidi="ar-MA"/>
        </w:rPr>
        <w:t>ما ننهيه من هذه الورقة البحثية حول العلوم الإنسانية وحضورها في التراث العربي الإسلامي أن الاعتراف أو الإنكار لحضور البحث في العلوم الإنسانية لا أهم</w:t>
      </w:r>
      <w:r w:rsidR="004C1A0E" w:rsidRPr="006571AC">
        <w:rPr>
          <w:rFonts w:ascii="inherit" w:hAnsi="inherit" w:hint="cs"/>
          <w:sz w:val="27"/>
          <w:rtl/>
          <w:lang w:bidi="ar-MA"/>
        </w:rPr>
        <w:t>ِّ</w:t>
      </w:r>
      <w:r w:rsidRPr="006571AC">
        <w:rPr>
          <w:rFonts w:ascii="inherit" w:hAnsi="inherit" w:hint="cs"/>
          <w:sz w:val="27"/>
          <w:rtl/>
          <w:lang w:bidi="ar-MA"/>
        </w:rPr>
        <w:t xml:space="preserve">ية له، إذا نحن أدركنا المحدودية </w:t>
      </w:r>
      <w:r w:rsidRPr="006571AC">
        <w:rPr>
          <w:rFonts w:ascii="inherit" w:hAnsi="inherit" w:hint="cs"/>
          <w:sz w:val="27"/>
          <w:rtl/>
        </w:rPr>
        <w:t>للقيمة العلمي</w:t>
      </w:r>
      <w:r w:rsidRPr="006571AC">
        <w:rPr>
          <w:rFonts w:ascii="inherit" w:hAnsi="inherit" w:hint="eastAsia"/>
          <w:sz w:val="27"/>
          <w:rtl/>
        </w:rPr>
        <w:t>ة</w:t>
      </w:r>
      <w:r w:rsidRPr="006571AC">
        <w:rPr>
          <w:rFonts w:ascii="inherit" w:hAnsi="inherit" w:hint="cs"/>
          <w:sz w:val="27"/>
          <w:rtl/>
        </w:rPr>
        <w:t xml:space="preserve"> والمعرفية لهذه </w:t>
      </w:r>
      <w:r w:rsidRPr="006571AC">
        <w:rPr>
          <w:rFonts w:hint="cs"/>
          <w:sz w:val="27"/>
          <w:rtl/>
        </w:rPr>
        <w:t xml:space="preserve">البحوث التربوية والنفسية والاجتماعية المنجزة في التراث، </w:t>
      </w:r>
      <w:r w:rsidR="004C1A0E" w:rsidRPr="006571AC">
        <w:rPr>
          <w:rFonts w:ascii="inherit" w:hAnsi="inherit" w:hint="cs"/>
          <w:sz w:val="27"/>
          <w:rtl/>
        </w:rPr>
        <w:t>و</w:t>
      </w:r>
      <w:r w:rsidR="00731867" w:rsidRPr="006571AC">
        <w:rPr>
          <w:rFonts w:ascii="inherit" w:hAnsi="inherit" w:hint="cs"/>
          <w:sz w:val="27"/>
          <w:rtl/>
        </w:rPr>
        <w:t>لا سيَّما</w:t>
      </w:r>
      <w:r w:rsidRPr="006571AC">
        <w:rPr>
          <w:rFonts w:ascii="inherit" w:hAnsi="inherit" w:hint="cs"/>
          <w:sz w:val="27"/>
          <w:rtl/>
        </w:rPr>
        <w:t xml:space="preserve"> ما تعل</w:t>
      </w:r>
      <w:r w:rsidR="004C1A0E" w:rsidRPr="006571AC">
        <w:rPr>
          <w:rFonts w:ascii="inherit" w:hAnsi="inherit" w:hint="cs"/>
          <w:sz w:val="27"/>
          <w:rtl/>
        </w:rPr>
        <w:t>َّ</w:t>
      </w:r>
      <w:r w:rsidRPr="006571AC">
        <w:rPr>
          <w:rFonts w:ascii="inherit" w:hAnsi="inherit" w:hint="cs"/>
          <w:sz w:val="27"/>
          <w:rtl/>
        </w:rPr>
        <w:t>ق بقدرات هذا المنتوج العلمي التراثي على المستوى المعرفي والعلمي</w:t>
      </w:r>
      <w:r w:rsidRPr="006571AC">
        <w:rPr>
          <w:rFonts w:hint="cs"/>
          <w:rtl/>
        </w:rPr>
        <w:t>.</w:t>
      </w:r>
    </w:p>
    <w:p w:rsidR="00A94070" w:rsidRPr="006571AC" w:rsidRDefault="00A94070" w:rsidP="00297354">
      <w:pPr>
        <w:spacing w:line="390" w:lineRule="exact"/>
        <w:rPr>
          <w:rtl/>
        </w:rPr>
      </w:pPr>
    </w:p>
    <w:p w:rsidR="00A94070" w:rsidRPr="006571AC" w:rsidRDefault="00A94070" w:rsidP="00297354">
      <w:pPr>
        <w:spacing w:line="390" w:lineRule="exact"/>
        <w:rPr>
          <w:rtl/>
        </w:rPr>
      </w:pPr>
    </w:p>
    <w:p w:rsidR="00D273DA" w:rsidRPr="006571AC" w:rsidRDefault="00D273DA" w:rsidP="00D273DA">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D273DA" w:rsidRPr="006571AC" w:rsidRDefault="00D273DA" w:rsidP="00D273DA">
      <w:pPr>
        <w:pStyle w:val="34"/>
        <w:autoSpaceDE w:val="0"/>
        <w:autoSpaceDN w:val="0"/>
        <w:adjustRightInd w:val="0"/>
        <w:spacing w:line="418" w:lineRule="exact"/>
        <w:ind w:firstLine="0"/>
        <w:rPr>
          <w:rFonts w:cs="K Sina"/>
          <w:sz w:val="26"/>
          <w:rtl/>
          <w:lang w:eastAsia="ar-SA"/>
        </w:rPr>
        <w:sectPr w:rsidR="00D273DA" w:rsidRPr="006571AC" w:rsidSect="00E85587">
          <w:headerReference w:type="even" r:id="rId161"/>
          <w:headerReference w:type="default" r:id="rId162"/>
          <w:footerReference w:type="even" r:id="rId163"/>
          <w:footerReference w:type="default" r:id="rId164"/>
          <w:endnotePr>
            <w:numFmt w:val="decimal"/>
            <w:numRestart w:val="eachSect"/>
          </w:endnotePr>
          <w:type w:val="continuous"/>
          <w:pgSz w:w="11907" w:h="16840" w:code="9"/>
          <w:pgMar w:top="2637" w:right="2438" w:bottom="3686" w:left="2438" w:header="2268" w:footer="3119" w:gutter="0"/>
          <w:cols w:space="720"/>
          <w:titlePg/>
          <w:docGrid w:linePitch="360"/>
        </w:sectPr>
      </w:pPr>
    </w:p>
    <w:p w:rsidR="00D273DA" w:rsidRPr="006571AC" w:rsidRDefault="00D273DA" w:rsidP="00D273DA">
      <w:r w:rsidRPr="006571AC">
        <w:rPr>
          <w:rtl/>
        </w:rPr>
        <w:lastRenderedPageBreak/>
        <w:br w:type="page"/>
      </w:r>
    </w:p>
    <w:p w:rsidR="00D273DA" w:rsidRPr="006571AC" w:rsidRDefault="00D273DA" w:rsidP="00D273DA">
      <w:pPr>
        <w:rPr>
          <w:rtl/>
        </w:rPr>
        <w:sectPr w:rsidR="00D273DA" w:rsidRPr="006571AC" w:rsidSect="00E85587">
          <w:headerReference w:type="even" r:id="rId165"/>
          <w:headerReference w:type="default" r:id="rId166"/>
          <w:footerReference w:type="even" r:id="rId167"/>
          <w:footerReference w:type="default" r:id="rId168"/>
          <w:headerReference w:type="first" r:id="rId169"/>
          <w:endnotePr>
            <w:numFmt w:val="decimal"/>
            <w:numRestart w:val="eachSect"/>
          </w:endnotePr>
          <w:type w:val="continuous"/>
          <w:pgSz w:w="11907" w:h="16840" w:code="9"/>
          <w:pgMar w:top="2637" w:right="2438" w:bottom="3686" w:left="2438" w:header="2268" w:footer="3119" w:gutter="0"/>
          <w:cols w:space="720"/>
          <w:titlePg/>
          <w:docGrid w:linePitch="360"/>
        </w:sectPr>
      </w:pPr>
    </w:p>
    <w:p w:rsidR="00D273DA" w:rsidRPr="006571AC" w:rsidRDefault="00D273DA" w:rsidP="00A94070">
      <w:pPr>
        <w:spacing w:line="380" w:lineRule="exact"/>
        <w:rPr>
          <w:rtl/>
        </w:rPr>
      </w:pPr>
    </w:p>
    <w:p w:rsidR="008A3F20" w:rsidRPr="006571AC" w:rsidRDefault="008A3F20" w:rsidP="00A94070">
      <w:pPr>
        <w:spacing w:line="380" w:lineRule="exact"/>
        <w:rPr>
          <w:rtl/>
        </w:rPr>
      </w:pPr>
    </w:p>
    <w:p w:rsidR="008A3F20" w:rsidRPr="006571AC" w:rsidRDefault="00DC127A" w:rsidP="00DC127A">
      <w:pPr>
        <w:pStyle w:val="10"/>
        <w:spacing w:line="216" w:lineRule="auto"/>
        <w:rPr>
          <w:rtl/>
        </w:rPr>
      </w:pPr>
      <w:bookmarkStart w:id="452" w:name="_Toc114164860"/>
      <w:r w:rsidRPr="006571AC">
        <w:rPr>
          <w:rFonts w:hint="cs"/>
          <w:rtl/>
        </w:rPr>
        <w:t>أحاديث «وسائل الشيعة»</w:t>
      </w:r>
      <w:bookmarkEnd w:id="452"/>
    </w:p>
    <w:p w:rsidR="008A3F20" w:rsidRPr="006571AC" w:rsidRDefault="00DC127A" w:rsidP="00DC127A">
      <w:pPr>
        <w:pStyle w:val="10"/>
        <w:spacing w:line="216" w:lineRule="auto"/>
        <w:rPr>
          <w:sz w:val="26"/>
          <w:szCs w:val="42"/>
          <w:rtl/>
        </w:rPr>
      </w:pPr>
      <w:bookmarkStart w:id="453" w:name="_Toc114164861"/>
      <w:r w:rsidRPr="006571AC">
        <w:rPr>
          <w:rFonts w:hint="cs"/>
          <w:sz w:val="26"/>
          <w:szCs w:val="42"/>
          <w:rtl/>
        </w:rPr>
        <w:t>تأمُّلاتٌ في خصائص الأسانيد والمتون</w:t>
      </w:r>
      <w:bookmarkEnd w:id="453"/>
    </w:p>
    <w:p w:rsidR="008A3F20" w:rsidRPr="006571AC" w:rsidRDefault="008A3F20" w:rsidP="008A3F20">
      <w:pPr>
        <w:spacing w:line="300" w:lineRule="exact"/>
        <w:rPr>
          <w:rtl/>
        </w:rPr>
      </w:pPr>
    </w:p>
    <w:p w:rsidR="00DC127A" w:rsidRPr="006571AC" w:rsidRDefault="00DC127A" w:rsidP="00DC127A">
      <w:pPr>
        <w:pStyle w:val="Author"/>
        <w:rPr>
          <w:rtl/>
        </w:rPr>
      </w:pPr>
      <w:r w:rsidRPr="006571AC">
        <w:rPr>
          <w:rFonts w:hint="cs"/>
          <w:rtl/>
        </w:rPr>
        <w:t>الشيخ محمد عباس دهيني</w:t>
      </w:r>
      <w:r w:rsidRPr="006571AC">
        <w:rPr>
          <w:rFonts w:cs="Taher" w:hint="cs"/>
          <w:vertAlign w:val="superscript"/>
          <w:rtl/>
        </w:rPr>
        <w:t>(</w:t>
      </w:r>
      <w:r w:rsidRPr="006571AC">
        <w:rPr>
          <w:rFonts w:cs="Taher"/>
          <w:vertAlign w:val="superscript"/>
          <w:rtl/>
        </w:rPr>
        <w:footnoteReference w:customMarkFollows="1" w:id="21"/>
        <w:t>*)</w:t>
      </w:r>
    </w:p>
    <w:p w:rsidR="008A3F20" w:rsidRPr="006571AC" w:rsidRDefault="008A3F20" w:rsidP="008A3F20">
      <w:pPr>
        <w:spacing w:line="300" w:lineRule="exact"/>
        <w:rPr>
          <w:rtl/>
        </w:rPr>
      </w:pPr>
    </w:p>
    <w:p w:rsidR="008A3F20" w:rsidRPr="006571AC" w:rsidRDefault="008A3F20" w:rsidP="000C6F2A">
      <w:pPr>
        <w:rPr>
          <w:sz w:val="27"/>
          <w:rtl/>
        </w:rPr>
      </w:pPr>
      <w:r w:rsidRPr="006571AC">
        <w:rPr>
          <w:rFonts w:hint="cs"/>
          <w:sz w:val="27"/>
          <w:rtl/>
        </w:rPr>
        <w:t xml:space="preserve">يُعتبر كتاب </w:t>
      </w:r>
      <w:r w:rsidRPr="006571AC">
        <w:rPr>
          <w:rFonts w:hint="cs"/>
          <w:sz w:val="24"/>
          <w:szCs w:val="24"/>
          <w:rtl/>
        </w:rPr>
        <w:t>«</w:t>
      </w:r>
      <w:r w:rsidRPr="006571AC">
        <w:rPr>
          <w:rFonts w:hint="cs"/>
          <w:sz w:val="27"/>
          <w:rtl/>
        </w:rPr>
        <w:t>وسائل الشيعة إلى تحصيل مسائل الشريعة</w:t>
      </w:r>
      <w:r w:rsidRPr="006571AC">
        <w:rPr>
          <w:rFonts w:hint="cs"/>
          <w:sz w:val="24"/>
          <w:szCs w:val="24"/>
          <w:rtl/>
        </w:rPr>
        <w:t>»</w:t>
      </w:r>
      <w:r w:rsidRPr="006571AC">
        <w:rPr>
          <w:rFonts w:hint="cs"/>
          <w:sz w:val="27"/>
          <w:rtl/>
        </w:rPr>
        <w:t>، لمؤلِّفه الشيخ محمد بن الحسن الحُرّ العاملي، من أهمّ الموسوعات الحديثيّة المتخصِّصة عند الإماميّة، التي أُلِّفت في القرن الحادي عشر الهجريّ. وقد ذكر فيه مؤلِّفُه الأحاديثَ الفقهيّة موضع الحاجة، بسندها ومتنها معاً. وقد تميَّزت هذه الأسانيد والمتون ببعض الخصائص، وهذا ما سوف نستعرضه في هذه المقالة في مبحثين:</w:t>
      </w:r>
    </w:p>
    <w:p w:rsidR="008A3F20" w:rsidRPr="006571AC" w:rsidRDefault="008A3F20" w:rsidP="000C6F2A">
      <w:pPr>
        <w:rPr>
          <w:b/>
          <w:sz w:val="27"/>
          <w:rtl/>
        </w:rPr>
      </w:pPr>
    </w:p>
    <w:p w:rsidR="008A3F20" w:rsidRPr="006571AC" w:rsidRDefault="008A3F20" w:rsidP="00237DFE">
      <w:pPr>
        <w:pStyle w:val="31"/>
        <w:rPr>
          <w:color w:val="auto"/>
          <w:sz w:val="26"/>
          <w:rtl/>
        </w:rPr>
      </w:pPr>
      <w:bookmarkStart w:id="454" w:name="_Toc114164862"/>
      <w:r w:rsidRPr="006571AC">
        <w:rPr>
          <w:rFonts w:hint="cs"/>
          <w:color w:val="auto"/>
          <w:sz w:val="26"/>
          <w:rtl/>
        </w:rPr>
        <w:t>المبحث الأوّل: خصائص الأسانيد</w:t>
      </w:r>
      <w:bookmarkEnd w:id="454"/>
    </w:p>
    <w:p w:rsidR="008A3F20" w:rsidRPr="006571AC" w:rsidRDefault="008A3F20" w:rsidP="000C6F2A">
      <w:pPr>
        <w:rPr>
          <w:rtl/>
        </w:rPr>
      </w:pPr>
      <w:bookmarkStart w:id="455" w:name="_Toc171512697"/>
      <w:r w:rsidRPr="006571AC">
        <w:rPr>
          <w:rFonts w:hint="cs"/>
          <w:rtl/>
        </w:rPr>
        <w:t xml:space="preserve">يمتاز كتاب </w:t>
      </w:r>
      <w:r w:rsidRPr="006571AC">
        <w:rPr>
          <w:rFonts w:hint="cs"/>
          <w:sz w:val="24"/>
          <w:szCs w:val="24"/>
          <w:rtl/>
        </w:rPr>
        <w:t>«</w:t>
      </w:r>
      <w:r w:rsidRPr="006571AC">
        <w:rPr>
          <w:rFonts w:hint="cs"/>
          <w:rtl/>
        </w:rPr>
        <w:t>وسائل الشيعة</w:t>
      </w:r>
      <w:r w:rsidRPr="006571AC">
        <w:rPr>
          <w:rFonts w:hint="cs"/>
          <w:sz w:val="24"/>
          <w:szCs w:val="24"/>
          <w:rtl/>
        </w:rPr>
        <w:t>»</w:t>
      </w:r>
      <w:r w:rsidRPr="006571AC">
        <w:rPr>
          <w:rFonts w:hint="cs"/>
          <w:rtl/>
        </w:rPr>
        <w:t xml:space="preserve"> عن بعض الكتب والمجاميع الحديثيّة بعدّة أمور، ومنها:</w:t>
      </w:r>
      <w:bookmarkEnd w:id="455"/>
    </w:p>
    <w:p w:rsidR="008A3F20" w:rsidRPr="006571AC" w:rsidRDefault="008A3F20" w:rsidP="000C6F2A">
      <w:pPr>
        <w:rPr>
          <w:rtl/>
        </w:rPr>
      </w:pPr>
    </w:p>
    <w:p w:rsidR="008A3F20" w:rsidRPr="006571AC" w:rsidRDefault="005277A5" w:rsidP="00237DFE">
      <w:pPr>
        <w:pStyle w:val="31"/>
        <w:rPr>
          <w:color w:val="auto"/>
          <w:sz w:val="26"/>
          <w:rtl/>
        </w:rPr>
      </w:pPr>
      <w:bookmarkStart w:id="456" w:name="_Toc171512698"/>
      <w:bookmarkStart w:id="457" w:name="_Toc114164863"/>
      <w:r w:rsidRPr="006571AC">
        <w:rPr>
          <w:rFonts w:hint="cs"/>
          <w:color w:val="auto"/>
          <w:sz w:val="26"/>
          <w:rtl/>
        </w:rPr>
        <w:t>أ</w:t>
      </w:r>
      <w:r w:rsidR="008A3F20" w:rsidRPr="006571AC">
        <w:rPr>
          <w:rFonts w:hint="cs"/>
          <w:color w:val="auto"/>
          <w:sz w:val="26"/>
          <w:rtl/>
        </w:rPr>
        <w:t>ـ ذكر أسناد الأحاديث</w:t>
      </w:r>
      <w:bookmarkEnd w:id="456"/>
      <w:bookmarkEnd w:id="457"/>
      <w:r w:rsidR="008A3F20" w:rsidRPr="006571AC">
        <w:rPr>
          <w:rFonts w:hint="cs"/>
          <w:color w:val="auto"/>
          <w:sz w:val="26"/>
          <w:rtl/>
        </w:rPr>
        <w:t xml:space="preserve"> </w:t>
      </w:r>
    </w:p>
    <w:p w:rsidR="008A3F20" w:rsidRPr="006571AC" w:rsidRDefault="008A3F20" w:rsidP="000C6F2A">
      <w:pPr>
        <w:rPr>
          <w:sz w:val="27"/>
          <w:rtl/>
        </w:rPr>
      </w:pPr>
      <w:r w:rsidRPr="006571AC">
        <w:rPr>
          <w:rFonts w:hint="cs"/>
          <w:sz w:val="27"/>
          <w:rtl/>
        </w:rPr>
        <w:t xml:space="preserve">فقد </w:t>
      </w:r>
      <w:r w:rsidRPr="006571AC">
        <w:rPr>
          <w:rFonts w:hint="cs"/>
          <w:b/>
          <w:bCs/>
          <w:sz w:val="27"/>
          <w:rtl/>
        </w:rPr>
        <w:t>أثبت الشيخ الحُرّ</w:t>
      </w:r>
      <w:r w:rsidRPr="006571AC">
        <w:rPr>
          <w:rFonts w:ascii="Mosawi" w:hAnsi="Mosawi" w:cs="Mosawi"/>
          <w:b/>
          <w:bCs/>
          <w:sz w:val="22"/>
          <w:szCs w:val="22"/>
          <w:rtl/>
        </w:rPr>
        <w:t>&amp;</w:t>
      </w:r>
      <w:r w:rsidRPr="006571AC">
        <w:rPr>
          <w:rFonts w:hint="cs"/>
          <w:b/>
          <w:bCs/>
          <w:sz w:val="27"/>
          <w:rtl/>
        </w:rPr>
        <w:t xml:space="preserve"> في كتاب </w:t>
      </w:r>
      <w:r w:rsidRPr="006571AC">
        <w:rPr>
          <w:rFonts w:hint="cs"/>
          <w:b/>
          <w:bCs/>
          <w:sz w:val="24"/>
          <w:szCs w:val="24"/>
          <w:rtl/>
        </w:rPr>
        <w:t>«</w:t>
      </w:r>
      <w:r w:rsidRPr="006571AC">
        <w:rPr>
          <w:rFonts w:hint="cs"/>
          <w:b/>
          <w:bCs/>
          <w:sz w:val="27"/>
          <w:rtl/>
        </w:rPr>
        <w:t>وسائل الشيعة</w:t>
      </w:r>
      <w:r w:rsidRPr="006571AC">
        <w:rPr>
          <w:rFonts w:hint="cs"/>
          <w:b/>
          <w:bCs/>
          <w:sz w:val="24"/>
          <w:szCs w:val="24"/>
          <w:rtl/>
        </w:rPr>
        <w:t>»</w:t>
      </w:r>
      <w:r w:rsidRPr="006571AC">
        <w:rPr>
          <w:rFonts w:hint="cs"/>
          <w:b/>
          <w:bCs/>
          <w:sz w:val="27"/>
          <w:rtl/>
        </w:rPr>
        <w:t xml:space="preserve"> الأحاديثَ بأسنادها</w:t>
      </w:r>
      <w:r w:rsidRPr="006571AC">
        <w:rPr>
          <w:rFonts w:hint="cs"/>
          <w:sz w:val="27"/>
          <w:rtl/>
        </w:rPr>
        <w:t>، بحيث يكون بإمكان الباحث الاطّلاع على سند الحديث ومحاكمته، فيميِّز بين الصحيح والحَسَن والموثَّق والضعيف</w:t>
      </w:r>
      <w:r w:rsidRPr="006571AC">
        <w:rPr>
          <w:sz w:val="27"/>
          <w:vertAlign w:val="superscript"/>
          <w:rtl/>
        </w:rPr>
        <w:t>(</w:t>
      </w:r>
      <w:r w:rsidRPr="006571AC">
        <w:rPr>
          <w:rStyle w:val="ac"/>
          <w:sz w:val="27"/>
          <w:rtl/>
        </w:rPr>
        <w:endnoteReference w:id="764"/>
      </w:r>
      <w:r w:rsidRPr="006571AC">
        <w:rPr>
          <w:sz w:val="27"/>
          <w:vertAlign w:val="superscript"/>
          <w:rtl/>
        </w:rPr>
        <w:t>)</w:t>
      </w:r>
      <w:r w:rsidRPr="006571AC">
        <w:rPr>
          <w:rFonts w:hint="cs"/>
          <w:sz w:val="27"/>
          <w:rtl/>
        </w:rPr>
        <w:t>.</w:t>
      </w:r>
    </w:p>
    <w:p w:rsidR="008A3F20" w:rsidRPr="006571AC" w:rsidRDefault="008A3F20" w:rsidP="000C6F2A">
      <w:pPr>
        <w:rPr>
          <w:sz w:val="27"/>
          <w:rtl/>
        </w:rPr>
      </w:pPr>
    </w:p>
    <w:p w:rsidR="008A3F20" w:rsidRPr="006571AC" w:rsidRDefault="005277A5" w:rsidP="00237DFE">
      <w:pPr>
        <w:pStyle w:val="31"/>
        <w:rPr>
          <w:color w:val="auto"/>
          <w:sz w:val="26"/>
          <w:rtl/>
        </w:rPr>
      </w:pPr>
      <w:bookmarkStart w:id="458" w:name="_Toc171512699"/>
      <w:bookmarkStart w:id="459" w:name="_Toc114164864"/>
      <w:r w:rsidRPr="006571AC">
        <w:rPr>
          <w:rFonts w:hint="cs"/>
          <w:color w:val="auto"/>
          <w:sz w:val="26"/>
          <w:rtl/>
        </w:rPr>
        <w:t xml:space="preserve">ب </w:t>
      </w:r>
      <w:r w:rsidR="008A3F20" w:rsidRPr="006571AC">
        <w:rPr>
          <w:rFonts w:hint="cs"/>
          <w:color w:val="auto"/>
          <w:sz w:val="26"/>
          <w:rtl/>
        </w:rPr>
        <w:t>ـ ذكر الطرق السنديّة الأخرى للحديث</w:t>
      </w:r>
      <w:bookmarkEnd w:id="458"/>
      <w:r w:rsidR="008A3F20" w:rsidRPr="006571AC">
        <w:rPr>
          <w:rFonts w:hint="cs"/>
          <w:color w:val="auto"/>
          <w:sz w:val="26"/>
          <w:rtl/>
        </w:rPr>
        <w:t xml:space="preserve"> في ذيله</w:t>
      </w:r>
      <w:bookmarkEnd w:id="459"/>
    </w:p>
    <w:p w:rsidR="008A3F20" w:rsidRPr="006571AC" w:rsidRDefault="008A3F20" w:rsidP="000C6F2A">
      <w:pPr>
        <w:rPr>
          <w:sz w:val="27"/>
          <w:rtl/>
        </w:rPr>
      </w:pPr>
      <w:r w:rsidRPr="006571AC">
        <w:rPr>
          <w:rFonts w:hint="cs"/>
          <w:b/>
          <w:bCs/>
          <w:sz w:val="27"/>
          <w:rtl/>
        </w:rPr>
        <w:t>ويذكر الشيخ الحُرّ</w:t>
      </w:r>
      <w:r w:rsidRPr="006571AC">
        <w:rPr>
          <w:rFonts w:ascii="Mosawi" w:hAnsi="Mosawi" w:cs="Mosawi"/>
          <w:b/>
          <w:bCs/>
          <w:sz w:val="22"/>
          <w:szCs w:val="22"/>
          <w:rtl/>
        </w:rPr>
        <w:t>&amp;</w:t>
      </w:r>
      <w:r w:rsidRPr="006571AC">
        <w:rPr>
          <w:rFonts w:hint="cs"/>
          <w:b/>
          <w:bCs/>
          <w:sz w:val="27"/>
          <w:rtl/>
        </w:rPr>
        <w:t xml:space="preserve"> ـ عادةً ـ الطرق السنديّة الأخرى للحديث</w:t>
      </w:r>
      <w:r w:rsidRPr="006571AC">
        <w:rPr>
          <w:sz w:val="27"/>
          <w:vertAlign w:val="superscript"/>
          <w:rtl/>
        </w:rPr>
        <w:t>(</w:t>
      </w:r>
      <w:r w:rsidRPr="006571AC">
        <w:rPr>
          <w:rStyle w:val="ac"/>
          <w:sz w:val="27"/>
          <w:rtl/>
        </w:rPr>
        <w:endnoteReference w:id="765"/>
      </w:r>
      <w:r w:rsidRPr="006571AC">
        <w:rPr>
          <w:sz w:val="27"/>
          <w:vertAlign w:val="superscript"/>
          <w:rtl/>
        </w:rPr>
        <w:t>)</w:t>
      </w:r>
      <w:r w:rsidRPr="006571AC">
        <w:rPr>
          <w:rFonts w:hint="cs"/>
          <w:b/>
          <w:bCs/>
          <w:sz w:val="27"/>
          <w:vertAlign w:val="superscript"/>
          <w:rtl/>
        </w:rPr>
        <w:t xml:space="preserve"> </w:t>
      </w:r>
      <w:r w:rsidRPr="006571AC">
        <w:rPr>
          <w:rFonts w:hint="cs"/>
          <w:b/>
          <w:bCs/>
          <w:sz w:val="27"/>
          <w:rtl/>
        </w:rPr>
        <w:t>في ذيله</w:t>
      </w:r>
      <w:r w:rsidRPr="006571AC">
        <w:rPr>
          <w:rFonts w:hint="cs"/>
          <w:sz w:val="27"/>
          <w:rtl/>
        </w:rPr>
        <w:t xml:space="preserve">، </w:t>
      </w:r>
      <w:r w:rsidRPr="006571AC">
        <w:rPr>
          <w:rFonts w:hint="cs"/>
          <w:sz w:val="27"/>
          <w:rtl/>
        </w:rPr>
        <w:lastRenderedPageBreak/>
        <w:t xml:space="preserve">ونعني بها مصادر الحديث وأسناده الأخرى، ومن ذلك: </w:t>
      </w:r>
    </w:p>
    <w:p w:rsidR="008A3F20" w:rsidRPr="006571AC" w:rsidRDefault="008A3F20" w:rsidP="000C6F2A">
      <w:pPr>
        <w:rPr>
          <w:sz w:val="27"/>
          <w:rtl/>
        </w:rPr>
      </w:pPr>
      <w:r w:rsidRPr="006571AC">
        <w:rPr>
          <w:rFonts w:hint="cs"/>
          <w:sz w:val="27"/>
          <w:rtl/>
        </w:rPr>
        <w:t xml:space="preserve">* ما في الباب 1 من أبواب مقدّمة العبادات، ح 3، حيث قال: </w:t>
      </w:r>
      <w:r w:rsidRPr="006571AC">
        <w:rPr>
          <w:rFonts w:hint="cs"/>
          <w:sz w:val="24"/>
          <w:szCs w:val="24"/>
          <w:rtl/>
        </w:rPr>
        <w:t>«</w:t>
      </w:r>
      <w:r w:rsidRPr="006571AC">
        <w:rPr>
          <w:sz w:val="27"/>
          <w:rtl/>
        </w:rPr>
        <w:t>و</w:t>
      </w:r>
      <w:r w:rsidRPr="006571AC">
        <w:rPr>
          <w:rFonts w:hint="cs"/>
          <w:sz w:val="27"/>
          <w:rtl/>
        </w:rPr>
        <w:t xml:space="preserve">[محمّد بن يعقوب] </w:t>
      </w:r>
      <w:r w:rsidRPr="006571AC">
        <w:rPr>
          <w:sz w:val="27"/>
          <w:rtl/>
        </w:rPr>
        <w:t>عن 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عن علي</w:t>
      </w:r>
      <w:r w:rsidRPr="006571AC">
        <w:rPr>
          <w:rFonts w:hint="cs"/>
          <w:sz w:val="27"/>
          <w:rtl/>
        </w:rPr>
        <w:t>ّ</w:t>
      </w:r>
      <w:r w:rsidRPr="006571AC">
        <w:rPr>
          <w:sz w:val="27"/>
          <w:rtl/>
        </w:rPr>
        <w:t xml:space="preserve"> بن النعمان، عن </w:t>
      </w:r>
      <w:r w:rsidRPr="006571AC">
        <w:rPr>
          <w:rFonts w:hint="cs"/>
          <w:sz w:val="27"/>
          <w:rtl/>
        </w:rPr>
        <w:t>ا</w:t>
      </w:r>
      <w:r w:rsidRPr="006571AC">
        <w:rPr>
          <w:sz w:val="27"/>
          <w:rtl/>
        </w:rPr>
        <w:t>بن مسكان، عن سليمان بن خالد</w:t>
      </w:r>
      <w:r w:rsidRPr="006571AC">
        <w:rPr>
          <w:rFonts w:hint="cs"/>
          <w:sz w:val="27"/>
          <w:rtl/>
        </w:rPr>
        <w:t>،</w:t>
      </w:r>
      <w:r w:rsidRPr="006571AC">
        <w:rPr>
          <w:sz w:val="27"/>
          <w:rtl/>
        </w:rPr>
        <w:t xml:space="preserve"> عن أبي جعفر</w:t>
      </w:r>
      <w:r w:rsidRPr="006571AC">
        <w:rPr>
          <w:rFonts w:ascii="Mosawi" w:hAnsi="Mosawi" w:cs="Mosawi"/>
          <w:sz w:val="22"/>
          <w:szCs w:val="22"/>
          <w:rtl/>
        </w:rPr>
        <w:t>×</w:t>
      </w:r>
      <w:r w:rsidRPr="006571AC">
        <w:rPr>
          <w:sz w:val="27"/>
          <w:rtl/>
        </w:rPr>
        <w:t xml:space="preserve"> قال:</w:t>
      </w:r>
      <w:r w:rsidRPr="006571AC">
        <w:rPr>
          <w:rFonts w:hint="cs"/>
          <w:sz w:val="27"/>
          <w:rtl/>
        </w:rPr>
        <w:t>....</w:t>
      </w:r>
    </w:p>
    <w:p w:rsidR="008A3F20" w:rsidRPr="006571AC" w:rsidRDefault="008A3F20" w:rsidP="000C6F2A">
      <w:pPr>
        <w:rPr>
          <w:b/>
          <w:bCs/>
          <w:sz w:val="27"/>
          <w:rtl/>
        </w:rPr>
      </w:pPr>
      <w:r w:rsidRPr="006571AC">
        <w:rPr>
          <w:b/>
          <w:bCs/>
          <w:sz w:val="27"/>
          <w:rtl/>
        </w:rPr>
        <w:t>ورواه البرقي</w:t>
      </w:r>
      <w:r w:rsidRPr="006571AC">
        <w:rPr>
          <w:rFonts w:hint="cs"/>
          <w:b/>
          <w:bCs/>
          <w:sz w:val="27"/>
          <w:rtl/>
        </w:rPr>
        <w:t>ّ</w:t>
      </w:r>
      <w:r w:rsidRPr="006571AC">
        <w:rPr>
          <w:b/>
          <w:bCs/>
          <w:sz w:val="27"/>
          <w:rtl/>
        </w:rPr>
        <w:t xml:space="preserve"> في </w:t>
      </w:r>
      <w:r w:rsidRPr="006571AC">
        <w:rPr>
          <w:rFonts w:hint="cs"/>
          <w:b/>
          <w:bCs/>
          <w:sz w:val="24"/>
          <w:szCs w:val="24"/>
          <w:rtl/>
        </w:rPr>
        <w:t>«</w:t>
      </w:r>
      <w:r w:rsidRPr="006571AC">
        <w:rPr>
          <w:b/>
          <w:bCs/>
          <w:sz w:val="27"/>
          <w:rtl/>
        </w:rPr>
        <w:t>المحاسن</w:t>
      </w:r>
      <w:r w:rsidRPr="006571AC">
        <w:rPr>
          <w:rFonts w:hint="cs"/>
          <w:b/>
          <w:bCs/>
          <w:sz w:val="24"/>
          <w:szCs w:val="24"/>
          <w:rtl/>
        </w:rPr>
        <w:t>»</w:t>
      </w:r>
      <w:r w:rsidRPr="006571AC">
        <w:rPr>
          <w:rFonts w:hint="cs"/>
          <w:b/>
          <w:bCs/>
          <w:sz w:val="27"/>
          <w:rtl/>
        </w:rPr>
        <w:t xml:space="preserve">، </w:t>
      </w:r>
      <w:r w:rsidRPr="006571AC">
        <w:rPr>
          <w:b/>
          <w:bCs/>
          <w:sz w:val="27"/>
          <w:rtl/>
        </w:rPr>
        <w:t>عن أبيه</w:t>
      </w:r>
      <w:r w:rsidRPr="006571AC">
        <w:rPr>
          <w:rFonts w:hint="cs"/>
          <w:b/>
          <w:bCs/>
          <w:sz w:val="27"/>
          <w:rtl/>
        </w:rPr>
        <w:t>،</w:t>
      </w:r>
      <w:r w:rsidRPr="006571AC">
        <w:rPr>
          <w:b/>
          <w:bCs/>
          <w:sz w:val="27"/>
          <w:rtl/>
        </w:rPr>
        <w:t xml:space="preserve"> عن علي</w:t>
      </w:r>
      <w:r w:rsidRPr="006571AC">
        <w:rPr>
          <w:rFonts w:hint="cs"/>
          <w:b/>
          <w:bCs/>
          <w:sz w:val="27"/>
          <w:rtl/>
        </w:rPr>
        <w:t>ّ</w:t>
      </w:r>
      <w:r w:rsidRPr="006571AC">
        <w:rPr>
          <w:b/>
          <w:bCs/>
          <w:sz w:val="27"/>
          <w:rtl/>
        </w:rPr>
        <w:t xml:space="preserve"> بن النعمان. </w:t>
      </w:r>
    </w:p>
    <w:p w:rsidR="008A3F20" w:rsidRPr="006571AC" w:rsidRDefault="008A3F20" w:rsidP="000C6F2A">
      <w:pPr>
        <w:rPr>
          <w:b/>
          <w:bCs/>
          <w:sz w:val="27"/>
          <w:rtl/>
        </w:rPr>
      </w:pPr>
      <w:r w:rsidRPr="006571AC">
        <w:rPr>
          <w:b/>
          <w:bCs/>
          <w:sz w:val="27"/>
          <w:rtl/>
        </w:rPr>
        <w:t>ورواه الشيخ ب</w:t>
      </w:r>
      <w:r w:rsidRPr="006571AC">
        <w:rPr>
          <w:rFonts w:hint="cs"/>
          <w:b/>
          <w:bCs/>
          <w:sz w:val="27"/>
          <w:rtl/>
        </w:rPr>
        <w:t>إ</w:t>
      </w:r>
      <w:r w:rsidRPr="006571AC">
        <w:rPr>
          <w:b/>
          <w:bCs/>
          <w:sz w:val="27"/>
          <w:rtl/>
        </w:rPr>
        <w:t>سناده عن الحسن بن محم</w:t>
      </w:r>
      <w:r w:rsidRPr="006571AC">
        <w:rPr>
          <w:rFonts w:hint="cs"/>
          <w:b/>
          <w:bCs/>
          <w:sz w:val="27"/>
          <w:rtl/>
        </w:rPr>
        <w:t>ّ</w:t>
      </w:r>
      <w:r w:rsidRPr="006571AC">
        <w:rPr>
          <w:b/>
          <w:bCs/>
          <w:sz w:val="27"/>
          <w:rtl/>
        </w:rPr>
        <w:t>د بن سماعة</w:t>
      </w:r>
      <w:r w:rsidRPr="006571AC">
        <w:rPr>
          <w:rFonts w:hint="cs"/>
          <w:b/>
          <w:bCs/>
          <w:sz w:val="27"/>
          <w:rtl/>
        </w:rPr>
        <w:t>،</w:t>
      </w:r>
      <w:r w:rsidRPr="006571AC">
        <w:rPr>
          <w:b/>
          <w:bCs/>
          <w:sz w:val="27"/>
          <w:rtl/>
        </w:rPr>
        <w:t xml:space="preserve"> عن </w:t>
      </w:r>
      <w:r w:rsidRPr="006571AC">
        <w:rPr>
          <w:rFonts w:hint="cs"/>
          <w:b/>
          <w:bCs/>
          <w:sz w:val="27"/>
          <w:rtl/>
        </w:rPr>
        <w:t>ا</w:t>
      </w:r>
      <w:r w:rsidRPr="006571AC">
        <w:rPr>
          <w:b/>
          <w:bCs/>
          <w:sz w:val="27"/>
          <w:rtl/>
        </w:rPr>
        <w:t xml:space="preserve">بن رباط، عن </w:t>
      </w:r>
      <w:r w:rsidRPr="006571AC">
        <w:rPr>
          <w:rFonts w:hint="cs"/>
          <w:b/>
          <w:bCs/>
          <w:sz w:val="27"/>
          <w:rtl/>
        </w:rPr>
        <w:t>ا</w:t>
      </w:r>
      <w:r w:rsidRPr="006571AC">
        <w:rPr>
          <w:b/>
          <w:bCs/>
          <w:sz w:val="27"/>
          <w:rtl/>
        </w:rPr>
        <w:t>بن مسكان</w:t>
      </w:r>
      <w:r w:rsidRPr="006571AC">
        <w:rPr>
          <w:rFonts w:hint="cs"/>
          <w:b/>
          <w:bCs/>
          <w:sz w:val="27"/>
          <w:rtl/>
        </w:rPr>
        <w:t>،</w:t>
      </w:r>
      <w:r w:rsidRPr="006571AC">
        <w:rPr>
          <w:b/>
          <w:bCs/>
          <w:sz w:val="27"/>
          <w:rtl/>
        </w:rPr>
        <w:t xml:space="preserve"> عن سليمان بن خالد، عن أبي عبد الله</w:t>
      </w:r>
      <w:r w:rsidRPr="006571AC">
        <w:rPr>
          <w:rFonts w:ascii="Mosawi" w:hAnsi="Mosawi" w:cs="Mosawi"/>
          <w:b/>
          <w:bCs/>
          <w:sz w:val="22"/>
          <w:szCs w:val="22"/>
          <w:rtl/>
        </w:rPr>
        <w:t>×</w:t>
      </w:r>
      <w:r w:rsidRPr="006571AC">
        <w:rPr>
          <w:rFonts w:hint="cs"/>
          <w:b/>
          <w:bCs/>
          <w:sz w:val="27"/>
          <w:rtl/>
        </w:rPr>
        <w:t>،</w:t>
      </w:r>
      <w:r w:rsidRPr="006571AC">
        <w:rPr>
          <w:b/>
          <w:bCs/>
          <w:sz w:val="27"/>
          <w:rtl/>
        </w:rPr>
        <w:t xml:space="preserve"> عن رسول الله</w:t>
      </w:r>
      <w:r w:rsidRPr="006571AC">
        <w:rPr>
          <w:rFonts w:ascii="Mosawi" w:hAnsi="Mosawi" w:cs="Mosawi"/>
          <w:b/>
          <w:bCs/>
          <w:sz w:val="22"/>
          <w:szCs w:val="22"/>
          <w:rtl/>
        </w:rPr>
        <w:t>|</w:t>
      </w:r>
      <w:r w:rsidRPr="006571AC">
        <w:rPr>
          <w:rFonts w:hint="cs"/>
          <w:b/>
          <w:bCs/>
          <w:sz w:val="27"/>
          <w:rtl/>
        </w:rPr>
        <w:t>،</w:t>
      </w:r>
      <w:r w:rsidRPr="006571AC">
        <w:rPr>
          <w:b/>
          <w:bCs/>
          <w:sz w:val="27"/>
          <w:rtl/>
        </w:rPr>
        <w:t xml:space="preserve"> نحوه. </w:t>
      </w:r>
    </w:p>
    <w:p w:rsidR="008A3F20" w:rsidRPr="006571AC" w:rsidRDefault="008A3F20" w:rsidP="000C6F2A">
      <w:pPr>
        <w:rPr>
          <w:b/>
          <w:bCs/>
          <w:sz w:val="27"/>
          <w:rtl/>
        </w:rPr>
      </w:pPr>
      <w:r w:rsidRPr="006571AC">
        <w:rPr>
          <w:b/>
          <w:bCs/>
          <w:sz w:val="27"/>
          <w:rtl/>
        </w:rPr>
        <w:t xml:space="preserve">ورواه الحسين بن سعيد في كتاب </w:t>
      </w:r>
      <w:r w:rsidRPr="006571AC">
        <w:rPr>
          <w:rFonts w:hint="cs"/>
          <w:b/>
          <w:bCs/>
          <w:sz w:val="24"/>
          <w:szCs w:val="24"/>
          <w:rtl/>
        </w:rPr>
        <w:t>«</w:t>
      </w:r>
      <w:r w:rsidRPr="006571AC">
        <w:rPr>
          <w:b/>
          <w:bCs/>
          <w:sz w:val="27"/>
          <w:rtl/>
        </w:rPr>
        <w:t>الزهد</w:t>
      </w:r>
      <w:r w:rsidRPr="006571AC">
        <w:rPr>
          <w:rFonts w:hint="cs"/>
          <w:b/>
          <w:bCs/>
          <w:sz w:val="24"/>
          <w:szCs w:val="24"/>
          <w:rtl/>
        </w:rPr>
        <w:t>»</w:t>
      </w:r>
      <w:r w:rsidRPr="006571AC">
        <w:rPr>
          <w:rFonts w:hint="cs"/>
          <w:b/>
          <w:bCs/>
          <w:sz w:val="27"/>
          <w:rtl/>
        </w:rPr>
        <w:t xml:space="preserve">، </w:t>
      </w:r>
      <w:r w:rsidRPr="006571AC">
        <w:rPr>
          <w:b/>
          <w:bCs/>
          <w:sz w:val="27"/>
          <w:rtl/>
        </w:rPr>
        <w:t>عن علي</w:t>
      </w:r>
      <w:r w:rsidRPr="006571AC">
        <w:rPr>
          <w:rFonts w:hint="cs"/>
          <w:b/>
          <w:bCs/>
          <w:sz w:val="27"/>
          <w:rtl/>
        </w:rPr>
        <w:t>ّ</w:t>
      </w:r>
      <w:r w:rsidRPr="006571AC">
        <w:rPr>
          <w:b/>
          <w:bCs/>
          <w:sz w:val="27"/>
          <w:rtl/>
        </w:rPr>
        <w:t xml:space="preserve"> بن النعمان</w:t>
      </w:r>
      <w:r w:rsidRPr="006571AC">
        <w:rPr>
          <w:rFonts w:hint="cs"/>
          <w:b/>
          <w:bCs/>
          <w:sz w:val="27"/>
          <w:rtl/>
        </w:rPr>
        <w:t>،</w:t>
      </w:r>
      <w:r w:rsidRPr="006571AC">
        <w:rPr>
          <w:b/>
          <w:bCs/>
          <w:sz w:val="27"/>
          <w:rtl/>
        </w:rPr>
        <w:t xml:space="preserve"> مثله، إلى قوله الجهاد. </w:t>
      </w:r>
    </w:p>
    <w:p w:rsidR="008A3F20" w:rsidRPr="006571AC" w:rsidRDefault="008A3F20" w:rsidP="000C6F2A">
      <w:pPr>
        <w:rPr>
          <w:b/>
          <w:bCs/>
          <w:sz w:val="27"/>
          <w:rtl/>
        </w:rPr>
      </w:pPr>
      <w:r w:rsidRPr="006571AC">
        <w:rPr>
          <w:b/>
          <w:bCs/>
          <w:sz w:val="27"/>
          <w:rtl/>
        </w:rPr>
        <w:t>و</w:t>
      </w:r>
      <w:r w:rsidRPr="006571AC">
        <w:rPr>
          <w:rFonts w:hint="cs"/>
          <w:b/>
          <w:bCs/>
          <w:sz w:val="27"/>
          <w:rtl/>
        </w:rPr>
        <w:t xml:space="preserve">[محمّد بن يعقوب] </w:t>
      </w:r>
      <w:r w:rsidRPr="006571AC">
        <w:rPr>
          <w:b/>
          <w:bCs/>
          <w:sz w:val="27"/>
          <w:rtl/>
        </w:rPr>
        <w:t>عن محم</w:t>
      </w:r>
      <w:r w:rsidRPr="006571AC">
        <w:rPr>
          <w:rFonts w:hint="cs"/>
          <w:b/>
          <w:bCs/>
          <w:sz w:val="27"/>
          <w:rtl/>
        </w:rPr>
        <w:t>ّ</w:t>
      </w:r>
      <w:r w:rsidRPr="006571AC">
        <w:rPr>
          <w:b/>
          <w:bCs/>
          <w:sz w:val="27"/>
          <w:rtl/>
        </w:rPr>
        <w:t>د بن يحيى</w:t>
      </w:r>
      <w:r w:rsidRPr="006571AC">
        <w:rPr>
          <w:rFonts w:hint="cs"/>
          <w:b/>
          <w:bCs/>
          <w:sz w:val="27"/>
          <w:rtl/>
        </w:rPr>
        <w:t>،</w:t>
      </w:r>
      <w:r w:rsidRPr="006571AC">
        <w:rPr>
          <w:b/>
          <w:bCs/>
          <w:sz w:val="27"/>
          <w:rtl/>
        </w:rPr>
        <w:t xml:space="preserve"> عن أحمد بن محم</w:t>
      </w:r>
      <w:r w:rsidRPr="006571AC">
        <w:rPr>
          <w:rFonts w:hint="cs"/>
          <w:b/>
          <w:bCs/>
          <w:sz w:val="27"/>
          <w:rtl/>
        </w:rPr>
        <w:t>ّ</w:t>
      </w:r>
      <w:r w:rsidRPr="006571AC">
        <w:rPr>
          <w:b/>
          <w:bCs/>
          <w:sz w:val="27"/>
          <w:rtl/>
        </w:rPr>
        <w:t>د بن عيسى</w:t>
      </w:r>
      <w:r w:rsidRPr="006571AC">
        <w:rPr>
          <w:rFonts w:hint="cs"/>
          <w:b/>
          <w:bCs/>
          <w:sz w:val="27"/>
          <w:rtl/>
        </w:rPr>
        <w:t>،</w:t>
      </w:r>
      <w:r w:rsidRPr="006571AC">
        <w:rPr>
          <w:b/>
          <w:bCs/>
          <w:sz w:val="27"/>
          <w:rtl/>
        </w:rPr>
        <w:t xml:space="preserve"> عن ابن فض</w:t>
      </w:r>
      <w:r w:rsidRPr="006571AC">
        <w:rPr>
          <w:rFonts w:hint="cs"/>
          <w:b/>
          <w:bCs/>
          <w:sz w:val="27"/>
          <w:rtl/>
        </w:rPr>
        <w:t>ّ</w:t>
      </w:r>
      <w:r w:rsidRPr="006571AC">
        <w:rPr>
          <w:b/>
          <w:bCs/>
          <w:sz w:val="27"/>
          <w:rtl/>
        </w:rPr>
        <w:t>ال، عن ثعلبة، عن علي</w:t>
      </w:r>
      <w:r w:rsidRPr="006571AC">
        <w:rPr>
          <w:rFonts w:hint="cs"/>
          <w:b/>
          <w:bCs/>
          <w:sz w:val="27"/>
          <w:rtl/>
        </w:rPr>
        <w:t>ّ</w:t>
      </w:r>
      <w:r w:rsidRPr="006571AC">
        <w:rPr>
          <w:b/>
          <w:bCs/>
          <w:sz w:val="27"/>
          <w:rtl/>
        </w:rPr>
        <w:t xml:space="preserve"> بن عبد العزيز، عن أبي عبد الله</w:t>
      </w:r>
      <w:r w:rsidRPr="006571AC">
        <w:rPr>
          <w:rFonts w:ascii="Mosawi" w:hAnsi="Mosawi" w:cs="Mosawi"/>
          <w:b/>
          <w:bCs/>
          <w:sz w:val="22"/>
          <w:szCs w:val="22"/>
          <w:rtl/>
        </w:rPr>
        <w:t>×</w:t>
      </w:r>
      <w:r w:rsidRPr="006571AC">
        <w:rPr>
          <w:b/>
          <w:bCs/>
          <w:sz w:val="27"/>
          <w:rtl/>
        </w:rPr>
        <w:t>، نحوه</w:t>
      </w:r>
      <w:r w:rsidRPr="006571AC">
        <w:rPr>
          <w:rFonts w:hint="cs"/>
          <w:b/>
          <w:bCs/>
          <w:sz w:val="27"/>
          <w:rtl/>
        </w:rPr>
        <w:t>.</w:t>
      </w:r>
      <w:r w:rsidRPr="006571AC">
        <w:rPr>
          <w:b/>
          <w:bCs/>
          <w:sz w:val="27"/>
          <w:rtl/>
        </w:rPr>
        <w:t xml:space="preserve"> </w:t>
      </w:r>
    </w:p>
    <w:p w:rsidR="008A3F20" w:rsidRPr="006571AC" w:rsidRDefault="008A3F20" w:rsidP="000C6F2A">
      <w:pPr>
        <w:rPr>
          <w:b/>
          <w:bCs/>
          <w:sz w:val="27"/>
          <w:rtl/>
        </w:rPr>
      </w:pPr>
      <w:r w:rsidRPr="006571AC">
        <w:rPr>
          <w:b/>
          <w:bCs/>
          <w:sz w:val="27"/>
          <w:rtl/>
        </w:rPr>
        <w:t>ورواه الشيخ بإسناده عن محم</w:t>
      </w:r>
      <w:r w:rsidRPr="006571AC">
        <w:rPr>
          <w:rFonts w:hint="cs"/>
          <w:b/>
          <w:bCs/>
          <w:sz w:val="27"/>
          <w:rtl/>
        </w:rPr>
        <w:t>ّ</w:t>
      </w:r>
      <w:r w:rsidRPr="006571AC">
        <w:rPr>
          <w:b/>
          <w:bCs/>
          <w:sz w:val="27"/>
          <w:rtl/>
        </w:rPr>
        <w:t>د بن يعقوب، عن محم</w:t>
      </w:r>
      <w:r w:rsidRPr="006571AC">
        <w:rPr>
          <w:rFonts w:hint="cs"/>
          <w:b/>
          <w:bCs/>
          <w:sz w:val="27"/>
          <w:rtl/>
        </w:rPr>
        <w:t>ّ</w:t>
      </w:r>
      <w:r w:rsidRPr="006571AC">
        <w:rPr>
          <w:b/>
          <w:bCs/>
          <w:sz w:val="27"/>
          <w:rtl/>
        </w:rPr>
        <w:t xml:space="preserve">د بن يحيى. </w:t>
      </w:r>
    </w:p>
    <w:p w:rsidR="008A3F20" w:rsidRPr="006571AC" w:rsidRDefault="008A3F20" w:rsidP="000C6F2A">
      <w:pPr>
        <w:rPr>
          <w:b/>
          <w:bCs/>
          <w:sz w:val="27"/>
          <w:rtl/>
        </w:rPr>
      </w:pPr>
      <w:r w:rsidRPr="006571AC">
        <w:rPr>
          <w:b/>
          <w:bCs/>
          <w:sz w:val="27"/>
          <w:rtl/>
        </w:rPr>
        <w:t>ورواه الصدوق بإسناده عن علي</w:t>
      </w:r>
      <w:r w:rsidRPr="006571AC">
        <w:rPr>
          <w:rFonts w:hint="cs"/>
          <w:b/>
          <w:bCs/>
          <w:sz w:val="27"/>
          <w:rtl/>
        </w:rPr>
        <w:t>ّ</w:t>
      </w:r>
      <w:r w:rsidRPr="006571AC">
        <w:rPr>
          <w:b/>
          <w:bCs/>
          <w:sz w:val="27"/>
          <w:rtl/>
        </w:rPr>
        <w:t xml:space="preserve"> بن عبد العزيز. </w:t>
      </w:r>
    </w:p>
    <w:p w:rsidR="008A3F20" w:rsidRPr="006571AC" w:rsidRDefault="008A3F20" w:rsidP="000C6F2A">
      <w:pPr>
        <w:rPr>
          <w:sz w:val="27"/>
          <w:rtl/>
        </w:rPr>
      </w:pPr>
      <w:r w:rsidRPr="006571AC">
        <w:rPr>
          <w:b/>
          <w:bCs/>
          <w:sz w:val="27"/>
          <w:rtl/>
        </w:rPr>
        <w:t>وروا</w:t>
      </w:r>
      <w:r w:rsidRPr="006571AC">
        <w:rPr>
          <w:rFonts w:hint="cs"/>
          <w:b/>
          <w:bCs/>
          <w:sz w:val="27"/>
          <w:rtl/>
        </w:rPr>
        <w:t>ه</w:t>
      </w:r>
      <w:r w:rsidRPr="006571AC">
        <w:rPr>
          <w:b/>
          <w:bCs/>
          <w:sz w:val="27"/>
          <w:rtl/>
        </w:rPr>
        <w:t xml:space="preserve"> البرقي</w:t>
      </w:r>
      <w:r w:rsidRPr="006571AC">
        <w:rPr>
          <w:rFonts w:hint="cs"/>
          <w:b/>
          <w:bCs/>
          <w:sz w:val="27"/>
          <w:rtl/>
        </w:rPr>
        <w:t>ّ</w:t>
      </w:r>
      <w:r w:rsidRPr="006571AC">
        <w:rPr>
          <w:b/>
          <w:bCs/>
          <w:sz w:val="27"/>
          <w:rtl/>
        </w:rPr>
        <w:t xml:space="preserve"> في </w:t>
      </w:r>
      <w:r w:rsidRPr="006571AC">
        <w:rPr>
          <w:rFonts w:hint="cs"/>
          <w:b/>
          <w:bCs/>
          <w:sz w:val="24"/>
          <w:szCs w:val="24"/>
          <w:rtl/>
        </w:rPr>
        <w:t>«</w:t>
      </w:r>
      <w:r w:rsidRPr="006571AC">
        <w:rPr>
          <w:b/>
          <w:bCs/>
          <w:sz w:val="27"/>
          <w:rtl/>
        </w:rPr>
        <w:t>المحاسن</w:t>
      </w:r>
      <w:r w:rsidRPr="006571AC">
        <w:rPr>
          <w:rFonts w:hint="cs"/>
          <w:b/>
          <w:bCs/>
          <w:sz w:val="24"/>
          <w:szCs w:val="24"/>
          <w:rtl/>
        </w:rPr>
        <w:t>»</w:t>
      </w:r>
      <w:r w:rsidRPr="006571AC">
        <w:rPr>
          <w:rFonts w:hint="cs"/>
          <w:b/>
          <w:bCs/>
          <w:sz w:val="27"/>
          <w:rtl/>
        </w:rPr>
        <w:t xml:space="preserve">، </w:t>
      </w:r>
      <w:r w:rsidRPr="006571AC">
        <w:rPr>
          <w:b/>
          <w:bCs/>
          <w:sz w:val="27"/>
          <w:rtl/>
        </w:rPr>
        <w:t>عن الحسن بن علي</w:t>
      </w:r>
      <w:r w:rsidRPr="006571AC">
        <w:rPr>
          <w:rFonts w:hint="cs"/>
          <w:b/>
          <w:bCs/>
          <w:sz w:val="27"/>
          <w:rtl/>
        </w:rPr>
        <w:t>ّ</w:t>
      </w:r>
      <w:r w:rsidRPr="006571AC">
        <w:rPr>
          <w:b/>
          <w:bCs/>
          <w:sz w:val="27"/>
          <w:rtl/>
        </w:rPr>
        <w:t xml:space="preserve"> بن فض</w:t>
      </w:r>
      <w:r w:rsidRPr="006571AC">
        <w:rPr>
          <w:rFonts w:hint="cs"/>
          <w:b/>
          <w:bCs/>
          <w:sz w:val="27"/>
          <w:rtl/>
        </w:rPr>
        <w:t>ّ</w:t>
      </w:r>
      <w:r w:rsidRPr="006571AC">
        <w:rPr>
          <w:b/>
          <w:bCs/>
          <w:sz w:val="27"/>
          <w:rtl/>
        </w:rPr>
        <w:t>ال، مثله</w:t>
      </w:r>
      <w:r w:rsidRPr="006571AC">
        <w:rPr>
          <w:rFonts w:hint="cs"/>
          <w:sz w:val="24"/>
          <w:szCs w:val="24"/>
          <w:rtl/>
        </w:rPr>
        <w:t>»</w:t>
      </w:r>
      <w:r w:rsidRPr="006571AC">
        <w:rPr>
          <w:sz w:val="27"/>
          <w:vertAlign w:val="superscript"/>
          <w:rtl/>
        </w:rPr>
        <w:t>(</w:t>
      </w:r>
      <w:r w:rsidRPr="006571AC">
        <w:rPr>
          <w:rStyle w:val="ac"/>
          <w:sz w:val="27"/>
          <w:rtl/>
        </w:rPr>
        <w:endnoteReference w:id="766"/>
      </w:r>
      <w:r w:rsidRPr="006571AC">
        <w:rPr>
          <w:sz w:val="27"/>
          <w:vertAlign w:val="superscript"/>
          <w:rtl/>
        </w:rPr>
        <w:t>)</w:t>
      </w:r>
      <w:r w:rsidRPr="006571AC">
        <w:rPr>
          <w:sz w:val="27"/>
          <w:rtl/>
        </w:rPr>
        <w:t>.</w:t>
      </w:r>
    </w:p>
    <w:p w:rsidR="00A94070" w:rsidRPr="006571AC" w:rsidRDefault="00A94070" w:rsidP="00A94070">
      <w:pPr>
        <w:spacing w:line="420" w:lineRule="exact"/>
        <w:rPr>
          <w:rFonts w:ascii="Arabic Typesetting" w:hAnsi="Arabic Typesetting"/>
          <w:sz w:val="27"/>
          <w:rtl/>
          <w:lang w:bidi="ar-LB"/>
        </w:rPr>
      </w:pPr>
      <w:bookmarkStart w:id="460" w:name="_Toc171512700"/>
    </w:p>
    <w:p w:rsidR="008A3F20" w:rsidRPr="006571AC" w:rsidRDefault="008A3F20" w:rsidP="00237DFE">
      <w:pPr>
        <w:pStyle w:val="31"/>
        <w:rPr>
          <w:color w:val="auto"/>
          <w:sz w:val="26"/>
          <w:rtl/>
        </w:rPr>
      </w:pPr>
      <w:bookmarkStart w:id="461" w:name="_Toc114164865"/>
      <w:r w:rsidRPr="006571AC">
        <w:rPr>
          <w:rFonts w:hint="cs"/>
          <w:color w:val="auto"/>
          <w:sz w:val="26"/>
          <w:rtl/>
        </w:rPr>
        <w:t>الخطأ في ذلك</w:t>
      </w:r>
      <w:bookmarkEnd w:id="460"/>
      <w:bookmarkEnd w:id="461"/>
    </w:p>
    <w:p w:rsidR="008A3F20" w:rsidRPr="006571AC" w:rsidRDefault="008A3F20" w:rsidP="000C6F2A">
      <w:pPr>
        <w:rPr>
          <w:sz w:val="27"/>
          <w:rtl/>
        </w:rPr>
      </w:pPr>
      <w:r w:rsidRPr="006571AC">
        <w:rPr>
          <w:rFonts w:hint="cs"/>
          <w:b/>
          <w:bCs/>
          <w:sz w:val="27"/>
          <w:rtl/>
        </w:rPr>
        <w:t>وقد يخطئ الشيخ الحُرّ</w:t>
      </w:r>
      <w:r w:rsidRPr="006571AC">
        <w:rPr>
          <w:rFonts w:ascii="Mosawi" w:hAnsi="Mosawi" w:cs="Mosawi"/>
          <w:b/>
          <w:bCs/>
          <w:sz w:val="22"/>
          <w:szCs w:val="22"/>
          <w:rtl/>
        </w:rPr>
        <w:t>&amp;</w:t>
      </w:r>
      <w:r w:rsidRPr="006571AC">
        <w:rPr>
          <w:rFonts w:hint="cs"/>
          <w:b/>
          <w:bCs/>
          <w:sz w:val="27"/>
          <w:rtl/>
        </w:rPr>
        <w:t xml:space="preserve"> في ذلك</w:t>
      </w:r>
      <w:r w:rsidRPr="006571AC">
        <w:rPr>
          <w:rFonts w:hint="cs"/>
          <w:sz w:val="27"/>
          <w:rtl/>
        </w:rPr>
        <w:t>، فيذكر مصدراً آخر لحديث، وهو في الواقع مصدرٌ لحديثٍ آخر قريبٍ منه، ومن ذلك:</w:t>
      </w:r>
    </w:p>
    <w:p w:rsidR="008A3F20" w:rsidRPr="006571AC" w:rsidRDefault="008A3F20" w:rsidP="000C6F2A">
      <w:pPr>
        <w:rPr>
          <w:sz w:val="27"/>
          <w:rtl/>
        </w:rPr>
      </w:pPr>
      <w:r w:rsidRPr="006571AC">
        <w:rPr>
          <w:rFonts w:hint="cs"/>
          <w:sz w:val="27"/>
          <w:rtl/>
        </w:rPr>
        <w:t xml:space="preserve">* ما في الباب 1 من أبواب القصاص في النفس، ح 4 و5، حيث قال: </w:t>
      </w:r>
      <w:r w:rsidRPr="006571AC">
        <w:rPr>
          <w:rFonts w:hint="cs"/>
          <w:sz w:val="24"/>
          <w:szCs w:val="24"/>
          <w:rtl/>
        </w:rPr>
        <w:t>«</w:t>
      </w:r>
      <w:r w:rsidRPr="006571AC">
        <w:rPr>
          <w:sz w:val="27"/>
          <w:rtl/>
        </w:rPr>
        <w:t>4ـ وعنه</w:t>
      </w:r>
      <w:r w:rsidRPr="006571AC">
        <w:rPr>
          <w:rFonts w:hint="cs"/>
          <w:sz w:val="27"/>
          <w:rtl/>
        </w:rPr>
        <w:t xml:space="preserve"> [محمّد بن يعقوب، عن عليّ بن إبراهيم]</w:t>
      </w:r>
      <w:r w:rsidRPr="006571AC">
        <w:rPr>
          <w:sz w:val="27"/>
          <w:rtl/>
        </w:rPr>
        <w:t>، عن أبيه، عن ابن أبي عمير، عن منصور بن يونس، عن أبي حمزة الثمالي</w:t>
      </w:r>
      <w:r w:rsidRPr="006571AC">
        <w:rPr>
          <w:rFonts w:hint="cs"/>
          <w:sz w:val="27"/>
          <w:rtl/>
        </w:rPr>
        <w:t>ّ</w:t>
      </w:r>
      <w:r w:rsidRPr="006571AC">
        <w:rPr>
          <w:sz w:val="27"/>
          <w:rtl/>
        </w:rPr>
        <w:t>، عن علي</w:t>
      </w:r>
      <w:r w:rsidRPr="006571AC">
        <w:rPr>
          <w:rFonts w:hint="cs"/>
          <w:sz w:val="27"/>
          <w:rtl/>
        </w:rPr>
        <w:t>ّ</w:t>
      </w:r>
      <w:r w:rsidRPr="006571AC">
        <w:rPr>
          <w:sz w:val="27"/>
          <w:rtl/>
        </w:rPr>
        <w:t xml:space="preserve"> بن الحسين</w:t>
      </w:r>
      <w:r w:rsidRPr="006571AC">
        <w:rPr>
          <w:rFonts w:ascii="Mosawi" w:hAnsi="Mosawi" w:cs="Mosawi"/>
          <w:sz w:val="22"/>
          <w:szCs w:val="22"/>
          <w:rtl/>
        </w:rPr>
        <w:t>’</w:t>
      </w:r>
      <w:r w:rsidRPr="006571AC">
        <w:rPr>
          <w:sz w:val="27"/>
          <w:rtl/>
        </w:rPr>
        <w:t xml:space="preserve"> قال: قال رسول الله</w:t>
      </w:r>
      <w:r w:rsidRPr="006571AC">
        <w:rPr>
          <w:rFonts w:ascii="Mosawi" w:hAnsi="Mosawi" w:cs="Mosawi"/>
          <w:sz w:val="22"/>
          <w:szCs w:val="22"/>
          <w:rtl/>
        </w:rPr>
        <w:t>|</w:t>
      </w:r>
      <w:r w:rsidRPr="006571AC">
        <w:rPr>
          <w:sz w:val="27"/>
          <w:rtl/>
        </w:rPr>
        <w:t>: لا يغر</w:t>
      </w:r>
      <w:r w:rsidRPr="006571AC">
        <w:rPr>
          <w:rFonts w:hint="cs"/>
          <w:sz w:val="27"/>
          <w:rtl/>
        </w:rPr>
        <w:t>ّ</w:t>
      </w:r>
      <w:r w:rsidR="009E024E" w:rsidRPr="006571AC">
        <w:rPr>
          <w:rFonts w:hint="cs"/>
          <w:sz w:val="27"/>
          <w:rtl/>
        </w:rPr>
        <w:t>َ</w:t>
      </w:r>
      <w:r w:rsidRPr="006571AC">
        <w:rPr>
          <w:sz w:val="27"/>
          <w:rtl/>
        </w:rPr>
        <w:t>ن</w:t>
      </w:r>
      <w:r w:rsidR="009E024E" w:rsidRPr="006571AC">
        <w:rPr>
          <w:rFonts w:hint="cs"/>
          <w:sz w:val="27"/>
          <w:rtl/>
        </w:rPr>
        <w:t>َّ</w:t>
      </w:r>
      <w:r w:rsidRPr="006571AC">
        <w:rPr>
          <w:sz w:val="27"/>
          <w:rtl/>
        </w:rPr>
        <w:t>كم ر</w:t>
      </w:r>
      <w:r w:rsidR="009E024E" w:rsidRPr="006571AC">
        <w:rPr>
          <w:rFonts w:hint="cs"/>
          <w:sz w:val="27"/>
          <w:rtl/>
        </w:rPr>
        <w:t>َ</w:t>
      </w:r>
      <w:r w:rsidRPr="006571AC">
        <w:rPr>
          <w:sz w:val="27"/>
          <w:rtl/>
        </w:rPr>
        <w:t>ح</w:t>
      </w:r>
      <w:r w:rsidR="009E024E" w:rsidRPr="006571AC">
        <w:rPr>
          <w:rFonts w:hint="cs"/>
          <w:sz w:val="27"/>
          <w:rtl/>
        </w:rPr>
        <w:t>ْ</w:t>
      </w:r>
      <w:r w:rsidRPr="006571AC">
        <w:rPr>
          <w:sz w:val="27"/>
          <w:rtl/>
        </w:rPr>
        <w:t>ب الذراعين بالدم</w:t>
      </w:r>
      <w:r w:rsidRPr="006571AC">
        <w:rPr>
          <w:rFonts w:hint="cs"/>
          <w:sz w:val="27"/>
          <w:rtl/>
        </w:rPr>
        <w:t>؛</w:t>
      </w:r>
      <w:r w:rsidRPr="006571AC">
        <w:rPr>
          <w:sz w:val="27"/>
          <w:rtl/>
        </w:rPr>
        <w:t xml:space="preserve"> ف</w:t>
      </w:r>
      <w:r w:rsidRPr="006571AC">
        <w:rPr>
          <w:rFonts w:hint="cs"/>
          <w:sz w:val="27"/>
          <w:rtl/>
        </w:rPr>
        <w:t>إ</w:t>
      </w:r>
      <w:r w:rsidRPr="006571AC">
        <w:rPr>
          <w:sz w:val="27"/>
          <w:rtl/>
        </w:rPr>
        <w:t>ن</w:t>
      </w:r>
      <w:r w:rsidRPr="006571AC">
        <w:rPr>
          <w:rFonts w:hint="cs"/>
          <w:sz w:val="27"/>
          <w:rtl/>
        </w:rPr>
        <w:t>ّ</w:t>
      </w:r>
      <w:r w:rsidRPr="006571AC">
        <w:rPr>
          <w:sz w:val="27"/>
          <w:rtl/>
        </w:rPr>
        <w:t xml:space="preserve"> له عند الله قاتلا</w:t>
      </w:r>
      <w:r w:rsidRPr="006571AC">
        <w:rPr>
          <w:rFonts w:hint="cs"/>
          <w:sz w:val="27"/>
          <w:rtl/>
        </w:rPr>
        <w:t>ً</w:t>
      </w:r>
      <w:r w:rsidRPr="006571AC">
        <w:rPr>
          <w:sz w:val="27"/>
          <w:rtl/>
        </w:rPr>
        <w:t xml:space="preserve"> لا يموت، قالوا: يا</w:t>
      </w:r>
      <w:r w:rsidRPr="006571AC">
        <w:rPr>
          <w:rFonts w:hint="cs"/>
          <w:sz w:val="27"/>
          <w:rtl/>
        </w:rPr>
        <w:t xml:space="preserve"> </w:t>
      </w:r>
      <w:r w:rsidRPr="006571AC">
        <w:rPr>
          <w:sz w:val="27"/>
          <w:rtl/>
        </w:rPr>
        <w:t>رسول الله</w:t>
      </w:r>
      <w:r w:rsidRPr="006571AC">
        <w:rPr>
          <w:rFonts w:hint="cs"/>
          <w:sz w:val="27"/>
          <w:rtl/>
        </w:rPr>
        <w:t>،</w:t>
      </w:r>
      <w:r w:rsidRPr="006571AC">
        <w:rPr>
          <w:sz w:val="27"/>
          <w:rtl/>
        </w:rPr>
        <w:t xml:space="preserve"> وما قاتل</w:t>
      </w:r>
      <w:r w:rsidR="009E024E" w:rsidRPr="006571AC">
        <w:rPr>
          <w:rFonts w:hint="cs"/>
          <w:sz w:val="27"/>
          <w:rtl/>
        </w:rPr>
        <w:t>ٌ</w:t>
      </w:r>
      <w:r w:rsidRPr="006571AC">
        <w:rPr>
          <w:sz w:val="27"/>
          <w:rtl/>
        </w:rPr>
        <w:t xml:space="preserve"> لا يموت؟ فقال: النار.</w:t>
      </w:r>
    </w:p>
    <w:p w:rsidR="008A3F20" w:rsidRPr="006571AC" w:rsidRDefault="008A3F20" w:rsidP="000C6F2A">
      <w:pPr>
        <w:rPr>
          <w:sz w:val="27"/>
          <w:rtl/>
        </w:rPr>
      </w:pPr>
      <w:r w:rsidRPr="006571AC">
        <w:rPr>
          <w:sz w:val="27"/>
          <w:rtl/>
        </w:rPr>
        <w:t>ورواه الصدوق ب</w:t>
      </w:r>
      <w:r w:rsidRPr="006571AC">
        <w:rPr>
          <w:rFonts w:hint="cs"/>
          <w:sz w:val="27"/>
          <w:rtl/>
        </w:rPr>
        <w:t>إ</w:t>
      </w:r>
      <w:r w:rsidRPr="006571AC">
        <w:rPr>
          <w:sz w:val="27"/>
          <w:rtl/>
        </w:rPr>
        <w:t>سناده عن محم</w:t>
      </w:r>
      <w:r w:rsidRPr="006571AC">
        <w:rPr>
          <w:rFonts w:hint="cs"/>
          <w:sz w:val="27"/>
          <w:rtl/>
        </w:rPr>
        <w:t>ّ</w:t>
      </w:r>
      <w:r w:rsidRPr="006571AC">
        <w:rPr>
          <w:sz w:val="27"/>
          <w:rtl/>
        </w:rPr>
        <w:t xml:space="preserve">د بن أبي عمير. </w:t>
      </w:r>
    </w:p>
    <w:p w:rsidR="008A3F20" w:rsidRPr="006571AC" w:rsidRDefault="008A3F20" w:rsidP="000C6F2A">
      <w:pPr>
        <w:rPr>
          <w:sz w:val="27"/>
          <w:rtl/>
        </w:rPr>
      </w:pPr>
      <w:r w:rsidRPr="006571AC">
        <w:rPr>
          <w:sz w:val="27"/>
          <w:rtl/>
        </w:rPr>
        <w:t xml:space="preserve">ورواه في </w:t>
      </w:r>
      <w:r w:rsidRPr="006571AC">
        <w:rPr>
          <w:rFonts w:hint="cs"/>
          <w:sz w:val="24"/>
          <w:szCs w:val="24"/>
          <w:rtl/>
        </w:rPr>
        <w:t>«</w:t>
      </w:r>
      <w:r w:rsidRPr="006571AC">
        <w:rPr>
          <w:sz w:val="27"/>
          <w:rtl/>
        </w:rPr>
        <w:t>معاني ال</w:t>
      </w:r>
      <w:r w:rsidRPr="006571AC">
        <w:rPr>
          <w:rFonts w:hint="cs"/>
          <w:sz w:val="27"/>
          <w:rtl/>
        </w:rPr>
        <w:t>أ</w:t>
      </w:r>
      <w:r w:rsidRPr="006571AC">
        <w:rPr>
          <w:sz w:val="27"/>
          <w:rtl/>
        </w:rPr>
        <w:t>خبار</w:t>
      </w:r>
      <w:r w:rsidRPr="006571AC">
        <w:rPr>
          <w:rFonts w:hint="cs"/>
          <w:sz w:val="24"/>
          <w:szCs w:val="24"/>
          <w:rtl/>
        </w:rPr>
        <w:t>»</w:t>
      </w:r>
      <w:r w:rsidRPr="006571AC">
        <w:rPr>
          <w:rFonts w:hint="cs"/>
          <w:sz w:val="27"/>
          <w:rtl/>
        </w:rPr>
        <w:t xml:space="preserve">، </w:t>
      </w:r>
      <w:r w:rsidRPr="006571AC">
        <w:rPr>
          <w:sz w:val="27"/>
          <w:rtl/>
        </w:rPr>
        <w:t>عن أبيه، عن سعد بن عبد الله، عن أحمد بن محم</w:t>
      </w:r>
      <w:r w:rsidRPr="006571AC">
        <w:rPr>
          <w:rFonts w:hint="cs"/>
          <w:sz w:val="27"/>
          <w:rtl/>
        </w:rPr>
        <w:t>ّ</w:t>
      </w:r>
      <w:r w:rsidRPr="006571AC">
        <w:rPr>
          <w:sz w:val="27"/>
          <w:rtl/>
        </w:rPr>
        <w:t xml:space="preserve">د، عن الحسين بن سعيد، عن ابن أبي عمير. </w:t>
      </w:r>
    </w:p>
    <w:p w:rsidR="008A3F20" w:rsidRPr="006571AC" w:rsidRDefault="008A3F20" w:rsidP="000C6F2A">
      <w:pPr>
        <w:rPr>
          <w:b/>
          <w:bCs/>
          <w:sz w:val="27"/>
          <w:rtl/>
        </w:rPr>
      </w:pPr>
      <w:r w:rsidRPr="006571AC">
        <w:rPr>
          <w:b/>
          <w:bCs/>
          <w:sz w:val="27"/>
          <w:rtl/>
        </w:rPr>
        <w:lastRenderedPageBreak/>
        <w:t>ورواه البرقي</w:t>
      </w:r>
      <w:r w:rsidRPr="006571AC">
        <w:rPr>
          <w:rFonts w:hint="cs"/>
          <w:b/>
          <w:bCs/>
          <w:sz w:val="27"/>
          <w:rtl/>
        </w:rPr>
        <w:t>ّ</w:t>
      </w:r>
      <w:r w:rsidRPr="006571AC">
        <w:rPr>
          <w:b/>
          <w:bCs/>
          <w:sz w:val="27"/>
          <w:rtl/>
        </w:rPr>
        <w:t xml:space="preserve"> في </w:t>
      </w:r>
      <w:r w:rsidRPr="006571AC">
        <w:rPr>
          <w:rFonts w:hint="cs"/>
          <w:b/>
          <w:bCs/>
          <w:sz w:val="24"/>
          <w:szCs w:val="24"/>
          <w:rtl/>
        </w:rPr>
        <w:t>«</w:t>
      </w:r>
      <w:r w:rsidRPr="006571AC">
        <w:rPr>
          <w:b/>
          <w:bCs/>
          <w:sz w:val="27"/>
          <w:rtl/>
        </w:rPr>
        <w:t>المحاسن</w:t>
      </w:r>
      <w:r w:rsidRPr="006571AC">
        <w:rPr>
          <w:rFonts w:hint="cs"/>
          <w:b/>
          <w:bCs/>
          <w:sz w:val="24"/>
          <w:szCs w:val="24"/>
          <w:rtl/>
        </w:rPr>
        <w:t>»</w:t>
      </w:r>
      <w:r w:rsidRPr="006571AC">
        <w:rPr>
          <w:rFonts w:hint="cs"/>
          <w:b/>
          <w:bCs/>
          <w:sz w:val="27"/>
          <w:rtl/>
        </w:rPr>
        <w:t xml:space="preserve">، </w:t>
      </w:r>
      <w:r w:rsidRPr="006571AC">
        <w:rPr>
          <w:b/>
          <w:bCs/>
          <w:sz w:val="27"/>
          <w:rtl/>
        </w:rPr>
        <w:t>عن محم</w:t>
      </w:r>
      <w:r w:rsidRPr="006571AC">
        <w:rPr>
          <w:rFonts w:hint="cs"/>
          <w:b/>
          <w:bCs/>
          <w:sz w:val="27"/>
          <w:rtl/>
        </w:rPr>
        <w:t>ّ</w:t>
      </w:r>
      <w:r w:rsidRPr="006571AC">
        <w:rPr>
          <w:b/>
          <w:bCs/>
          <w:sz w:val="27"/>
          <w:rtl/>
        </w:rPr>
        <w:t>د بن علي</w:t>
      </w:r>
      <w:r w:rsidRPr="006571AC">
        <w:rPr>
          <w:rFonts w:hint="cs"/>
          <w:b/>
          <w:bCs/>
          <w:sz w:val="27"/>
          <w:rtl/>
        </w:rPr>
        <w:t>ّ</w:t>
      </w:r>
      <w:r w:rsidRPr="006571AC">
        <w:rPr>
          <w:b/>
          <w:bCs/>
          <w:sz w:val="27"/>
          <w:rtl/>
        </w:rPr>
        <w:t>، عن صفوان بن يحيى، عن عاصم بن حميد</w:t>
      </w:r>
      <w:r w:rsidRPr="006571AC">
        <w:rPr>
          <w:rFonts w:hint="cs"/>
          <w:b/>
          <w:bCs/>
          <w:sz w:val="27"/>
          <w:rtl/>
        </w:rPr>
        <w:t>،</w:t>
      </w:r>
      <w:r w:rsidRPr="006571AC">
        <w:rPr>
          <w:b/>
          <w:bCs/>
          <w:sz w:val="27"/>
          <w:rtl/>
        </w:rPr>
        <w:t xml:space="preserve"> نحوه. </w:t>
      </w:r>
    </w:p>
    <w:p w:rsidR="008A3F20" w:rsidRPr="006571AC" w:rsidRDefault="008A3F20" w:rsidP="000C6F2A">
      <w:pPr>
        <w:rPr>
          <w:sz w:val="27"/>
          <w:rtl/>
        </w:rPr>
      </w:pPr>
      <w:r w:rsidRPr="006571AC">
        <w:rPr>
          <w:sz w:val="27"/>
          <w:rtl/>
        </w:rPr>
        <w:t>5ـ و</w:t>
      </w:r>
      <w:r w:rsidRPr="006571AC">
        <w:rPr>
          <w:rFonts w:hint="cs"/>
          <w:sz w:val="27"/>
          <w:rtl/>
        </w:rPr>
        <w:t xml:space="preserve">[محمّد بن يعقوب] </w:t>
      </w:r>
      <w:r w:rsidRPr="006571AC">
        <w:rPr>
          <w:sz w:val="27"/>
          <w:rtl/>
        </w:rPr>
        <w:t>عن عد</w:t>
      </w:r>
      <w:r w:rsidRPr="006571AC">
        <w:rPr>
          <w:rFonts w:hint="cs"/>
          <w:sz w:val="27"/>
          <w:rtl/>
        </w:rPr>
        <w:t>ّ</w:t>
      </w:r>
      <w:r w:rsidRPr="006571AC">
        <w:rPr>
          <w:sz w:val="27"/>
          <w:rtl/>
        </w:rPr>
        <w:t>ة من أصحابنا، عن سهل بن زياد، عن عبد الرحمن بن أبي نجران، عن عاصم بن حميد، عن أبي عبيدة، عن أبي جعفر</w:t>
      </w:r>
      <w:r w:rsidRPr="006571AC">
        <w:rPr>
          <w:rFonts w:ascii="Mosawi" w:hAnsi="Mosawi" w:cs="Mosawi"/>
          <w:sz w:val="22"/>
          <w:szCs w:val="22"/>
          <w:rtl/>
        </w:rPr>
        <w:t>×</w:t>
      </w:r>
      <w:r w:rsidRPr="006571AC">
        <w:rPr>
          <w:sz w:val="27"/>
          <w:rtl/>
        </w:rPr>
        <w:t xml:space="preserve"> قال: قال رسول الله</w:t>
      </w:r>
      <w:r w:rsidRPr="006571AC">
        <w:rPr>
          <w:rFonts w:ascii="Mosawi" w:hAnsi="Mosawi" w:cs="Mosawi"/>
          <w:sz w:val="22"/>
          <w:szCs w:val="22"/>
          <w:rtl/>
        </w:rPr>
        <w:t>|</w:t>
      </w:r>
      <w:r w:rsidRPr="006571AC">
        <w:rPr>
          <w:sz w:val="27"/>
          <w:rtl/>
        </w:rPr>
        <w:t>: لا يعجبك ر</w:t>
      </w:r>
      <w:r w:rsidR="009E024E" w:rsidRPr="006571AC">
        <w:rPr>
          <w:rFonts w:hint="cs"/>
          <w:sz w:val="27"/>
          <w:rtl/>
        </w:rPr>
        <w:t>َ</w:t>
      </w:r>
      <w:r w:rsidRPr="006571AC">
        <w:rPr>
          <w:sz w:val="27"/>
          <w:rtl/>
        </w:rPr>
        <w:t>ح</w:t>
      </w:r>
      <w:r w:rsidR="009E024E" w:rsidRPr="006571AC">
        <w:rPr>
          <w:rFonts w:hint="cs"/>
          <w:sz w:val="27"/>
          <w:rtl/>
        </w:rPr>
        <w:t>ْ</w:t>
      </w:r>
      <w:r w:rsidRPr="006571AC">
        <w:rPr>
          <w:sz w:val="27"/>
          <w:rtl/>
        </w:rPr>
        <w:t>ب الذراعين بالدم</w:t>
      </w:r>
      <w:r w:rsidR="009E024E" w:rsidRPr="006571AC">
        <w:rPr>
          <w:rFonts w:hint="cs"/>
          <w:sz w:val="27"/>
          <w:rtl/>
        </w:rPr>
        <w:t>؛</w:t>
      </w:r>
      <w:r w:rsidRPr="006571AC">
        <w:rPr>
          <w:sz w:val="27"/>
          <w:rtl/>
        </w:rPr>
        <w:t xml:space="preserve"> ف</w:t>
      </w:r>
      <w:r w:rsidRPr="006571AC">
        <w:rPr>
          <w:rFonts w:hint="cs"/>
          <w:sz w:val="27"/>
          <w:rtl/>
        </w:rPr>
        <w:t>إ</w:t>
      </w:r>
      <w:r w:rsidRPr="006571AC">
        <w:rPr>
          <w:sz w:val="27"/>
          <w:rtl/>
        </w:rPr>
        <w:t>ن</w:t>
      </w:r>
      <w:r w:rsidRPr="006571AC">
        <w:rPr>
          <w:rFonts w:hint="cs"/>
          <w:sz w:val="27"/>
          <w:rtl/>
        </w:rPr>
        <w:t>ّ</w:t>
      </w:r>
      <w:r w:rsidRPr="006571AC">
        <w:rPr>
          <w:sz w:val="27"/>
          <w:rtl/>
        </w:rPr>
        <w:t xml:space="preserve"> له عند الله قاتلا</w:t>
      </w:r>
      <w:r w:rsidRPr="006571AC">
        <w:rPr>
          <w:rFonts w:hint="cs"/>
          <w:sz w:val="27"/>
          <w:rtl/>
        </w:rPr>
        <w:t>ً</w:t>
      </w:r>
      <w:r w:rsidRPr="006571AC">
        <w:rPr>
          <w:sz w:val="27"/>
          <w:rtl/>
        </w:rPr>
        <w:t xml:space="preserve"> لا يموت. </w:t>
      </w:r>
    </w:p>
    <w:p w:rsidR="008A3F20" w:rsidRPr="006571AC" w:rsidRDefault="008A3F20" w:rsidP="000C6F2A">
      <w:pPr>
        <w:rPr>
          <w:sz w:val="27"/>
          <w:rtl/>
        </w:rPr>
      </w:pPr>
      <w:r w:rsidRPr="006571AC">
        <w:rPr>
          <w:sz w:val="27"/>
          <w:rtl/>
        </w:rPr>
        <w:t xml:space="preserve">ورواه الصدوق في </w:t>
      </w:r>
      <w:r w:rsidRPr="006571AC">
        <w:rPr>
          <w:rFonts w:hint="cs"/>
          <w:sz w:val="24"/>
          <w:szCs w:val="24"/>
          <w:rtl/>
        </w:rPr>
        <w:t>«</w:t>
      </w:r>
      <w:r w:rsidRPr="006571AC">
        <w:rPr>
          <w:sz w:val="27"/>
          <w:rtl/>
        </w:rPr>
        <w:t>عقاب ال</w:t>
      </w:r>
      <w:r w:rsidRPr="006571AC">
        <w:rPr>
          <w:rFonts w:hint="cs"/>
          <w:sz w:val="27"/>
          <w:rtl/>
        </w:rPr>
        <w:t>أ</w:t>
      </w:r>
      <w:r w:rsidRPr="006571AC">
        <w:rPr>
          <w:sz w:val="27"/>
          <w:rtl/>
        </w:rPr>
        <w:t>عمال</w:t>
      </w:r>
      <w:r w:rsidRPr="006571AC">
        <w:rPr>
          <w:rFonts w:hint="cs"/>
          <w:sz w:val="24"/>
          <w:szCs w:val="24"/>
          <w:rtl/>
        </w:rPr>
        <w:t>»</w:t>
      </w:r>
      <w:r w:rsidRPr="006571AC">
        <w:rPr>
          <w:rFonts w:hint="cs"/>
          <w:sz w:val="27"/>
          <w:rtl/>
        </w:rPr>
        <w:t xml:space="preserve">، </w:t>
      </w:r>
      <w:r w:rsidRPr="006571AC">
        <w:rPr>
          <w:sz w:val="27"/>
          <w:rtl/>
        </w:rPr>
        <w:t>عن أبيه، عن سعد، عن محم</w:t>
      </w:r>
      <w:r w:rsidRPr="006571AC">
        <w:rPr>
          <w:rFonts w:hint="cs"/>
          <w:sz w:val="27"/>
          <w:rtl/>
        </w:rPr>
        <w:t>ّ</w:t>
      </w:r>
      <w:r w:rsidRPr="006571AC">
        <w:rPr>
          <w:sz w:val="27"/>
          <w:rtl/>
        </w:rPr>
        <w:t>د بن الحسين، عن صفوان بن يحيى، عن عاصم بن حميد</w:t>
      </w:r>
      <w:r w:rsidRPr="006571AC">
        <w:rPr>
          <w:rFonts w:hint="cs"/>
          <w:sz w:val="27"/>
          <w:rtl/>
        </w:rPr>
        <w:t>،</w:t>
      </w:r>
      <w:r w:rsidRPr="006571AC">
        <w:rPr>
          <w:sz w:val="27"/>
          <w:rtl/>
        </w:rPr>
        <w:t xml:space="preserve"> مثله</w:t>
      </w:r>
      <w:r w:rsidRPr="006571AC">
        <w:rPr>
          <w:rFonts w:hint="cs"/>
          <w:sz w:val="24"/>
          <w:szCs w:val="24"/>
          <w:rtl/>
        </w:rPr>
        <w:t>»</w:t>
      </w:r>
      <w:r w:rsidRPr="006571AC">
        <w:rPr>
          <w:sz w:val="27"/>
          <w:vertAlign w:val="superscript"/>
          <w:rtl/>
        </w:rPr>
        <w:t>(</w:t>
      </w:r>
      <w:r w:rsidRPr="006571AC">
        <w:rPr>
          <w:rStyle w:val="ac"/>
          <w:sz w:val="27"/>
          <w:rtl/>
        </w:rPr>
        <w:endnoteReference w:id="767"/>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وعلَّق المحقِّقون في مؤسَّسة آل البيت</w:t>
      </w:r>
      <w:r w:rsidRPr="006571AC">
        <w:rPr>
          <w:rFonts w:ascii="Mosawi" w:hAnsi="Mosawi" w:cs="Mosawi"/>
          <w:sz w:val="22"/>
          <w:szCs w:val="22"/>
          <w:rtl/>
        </w:rPr>
        <w:t>^</w:t>
      </w:r>
      <w:r w:rsidRPr="006571AC">
        <w:rPr>
          <w:rFonts w:hint="cs"/>
          <w:sz w:val="27"/>
          <w:rtl/>
        </w:rPr>
        <w:t xml:space="preserve"> لإحياء التراث، على قوله: </w:t>
      </w:r>
      <w:r w:rsidRPr="006571AC">
        <w:rPr>
          <w:rFonts w:hint="cs"/>
          <w:sz w:val="24"/>
          <w:szCs w:val="24"/>
          <w:rtl/>
        </w:rPr>
        <w:t>«</w:t>
      </w:r>
      <w:r w:rsidRPr="006571AC">
        <w:rPr>
          <w:sz w:val="27"/>
          <w:rtl/>
        </w:rPr>
        <w:t>ورواه البرقي</w:t>
      </w:r>
      <w:r w:rsidRPr="006571AC">
        <w:rPr>
          <w:rFonts w:hint="cs"/>
          <w:sz w:val="27"/>
          <w:rtl/>
        </w:rPr>
        <w:t>ّ</w:t>
      </w:r>
      <w:r w:rsidRPr="006571AC">
        <w:rPr>
          <w:sz w:val="27"/>
          <w:rtl/>
        </w:rPr>
        <w:t xml:space="preserve"> في </w:t>
      </w:r>
      <w:r w:rsidRPr="006571AC">
        <w:rPr>
          <w:rFonts w:hint="cs"/>
          <w:sz w:val="24"/>
          <w:szCs w:val="24"/>
          <w:rtl/>
        </w:rPr>
        <w:t>«</w:t>
      </w:r>
      <w:r w:rsidRPr="006571AC">
        <w:rPr>
          <w:sz w:val="27"/>
          <w:rtl/>
        </w:rPr>
        <w:t>المحاسن</w:t>
      </w:r>
      <w:r w:rsidRPr="006571AC">
        <w:rPr>
          <w:rFonts w:hint="cs"/>
          <w:sz w:val="24"/>
          <w:szCs w:val="24"/>
          <w:rtl/>
        </w:rPr>
        <w:t>»</w:t>
      </w:r>
      <w:r w:rsidRPr="006571AC">
        <w:rPr>
          <w:rFonts w:hint="cs"/>
          <w:sz w:val="27"/>
          <w:rtl/>
        </w:rPr>
        <w:t xml:space="preserve">، </w:t>
      </w:r>
      <w:r w:rsidRPr="006571AC">
        <w:rPr>
          <w:sz w:val="27"/>
          <w:rtl/>
        </w:rPr>
        <w:t>عن محم</w:t>
      </w:r>
      <w:r w:rsidRPr="006571AC">
        <w:rPr>
          <w:rFonts w:hint="cs"/>
          <w:sz w:val="27"/>
          <w:rtl/>
        </w:rPr>
        <w:t>ّ</w:t>
      </w:r>
      <w:r w:rsidRPr="006571AC">
        <w:rPr>
          <w:sz w:val="27"/>
          <w:rtl/>
        </w:rPr>
        <w:t>د بن علي</w:t>
      </w:r>
      <w:r w:rsidRPr="006571AC">
        <w:rPr>
          <w:rFonts w:hint="cs"/>
          <w:sz w:val="27"/>
          <w:rtl/>
        </w:rPr>
        <w:t>ّ</w:t>
      </w:r>
      <w:r w:rsidRPr="006571AC">
        <w:rPr>
          <w:sz w:val="27"/>
          <w:rtl/>
        </w:rPr>
        <w:t>، عن صفوان بن يحيى، عن عاصم بن حميد</w:t>
      </w:r>
      <w:r w:rsidRPr="006571AC">
        <w:rPr>
          <w:rFonts w:hint="cs"/>
          <w:sz w:val="27"/>
          <w:rtl/>
        </w:rPr>
        <w:t>،</w:t>
      </w:r>
      <w:r w:rsidRPr="006571AC">
        <w:rPr>
          <w:sz w:val="27"/>
          <w:rtl/>
        </w:rPr>
        <w:t xml:space="preserve"> نحوه</w:t>
      </w:r>
      <w:r w:rsidRPr="006571AC">
        <w:rPr>
          <w:rFonts w:hint="cs"/>
          <w:sz w:val="24"/>
          <w:szCs w:val="24"/>
          <w:rtl/>
        </w:rPr>
        <w:t>»</w:t>
      </w:r>
      <w:r w:rsidRPr="006571AC">
        <w:rPr>
          <w:rFonts w:hint="cs"/>
          <w:sz w:val="27"/>
          <w:rtl/>
        </w:rPr>
        <w:t xml:space="preserve">، بقولهم: </w:t>
      </w:r>
      <w:r w:rsidRPr="006571AC">
        <w:rPr>
          <w:rFonts w:hint="cs"/>
          <w:sz w:val="24"/>
          <w:szCs w:val="24"/>
          <w:rtl/>
        </w:rPr>
        <w:t>«</w:t>
      </w:r>
      <w:r w:rsidRPr="006571AC">
        <w:rPr>
          <w:rFonts w:hint="cs"/>
          <w:sz w:val="27"/>
          <w:rtl/>
        </w:rPr>
        <w:t>وهو يعود للحديث 5 الآتي؛ لأنّه يتطابق معه سنداً ومتناً</w:t>
      </w:r>
      <w:r w:rsidRPr="006571AC">
        <w:rPr>
          <w:rFonts w:hint="cs"/>
          <w:sz w:val="24"/>
          <w:szCs w:val="24"/>
          <w:rtl/>
        </w:rPr>
        <w:t>»</w:t>
      </w:r>
      <w:r w:rsidRPr="006571AC">
        <w:rPr>
          <w:sz w:val="27"/>
          <w:vertAlign w:val="superscript"/>
          <w:rtl/>
        </w:rPr>
        <w:t>(</w:t>
      </w:r>
      <w:r w:rsidRPr="006571AC">
        <w:rPr>
          <w:rStyle w:val="ac"/>
          <w:sz w:val="27"/>
          <w:rtl/>
        </w:rPr>
        <w:endnoteReference w:id="768"/>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وبمراجعة كتاب </w:t>
      </w:r>
      <w:r w:rsidRPr="006571AC">
        <w:rPr>
          <w:rFonts w:hint="cs"/>
          <w:sz w:val="24"/>
          <w:szCs w:val="24"/>
          <w:rtl/>
        </w:rPr>
        <w:t>«</w:t>
      </w:r>
      <w:r w:rsidRPr="006571AC">
        <w:rPr>
          <w:rFonts w:hint="cs"/>
          <w:sz w:val="27"/>
          <w:rtl/>
        </w:rPr>
        <w:t>المحاسن</w:t>
      </w:r>
      <w:r w:rsidRPr="006571AC">
        <w:rPr>
          <w:rFonts w:hint="cs"/>
          <w:sz w:val="24"/>
          <w:szCs w:val="24"/>
          <w:rtl/>
        </w:rPr>
        <w:t>»</w:t>
      </w:r>
      <w:r w:rsidRPr="006571AC">
        <w:rPr>
          <w:rFonts w:hint="cs"/>
          <w:sz w:val="27"/>
          <w:rtl/>
        </w:rPr>
        <w:t xml:space="preserve">، لأحمد بن محمّد بن خالد البرقيّ، تبيّن بالفعل أنّه يروي الحديث الخامس </w:t>
      </w:r>
      <w:r w:rsidRPr="006571AC">
        <w:rPr>
          <w:rFonts w:hint="cs"/>
          <w:sz w:val="24"/>
          <w:szCs w:val="24"/>
          <w:rtl/>
        </w:rPr>
        <w:t>«</w:t>
      </w:r>
      <w:r w:rsidRPr="006571AC">
        <w:rPr>
          <w:rFonts w:hint="cs"/>
          <w:sz w:val="27"/>
          <w:rtl/>
        </w:rPr>
        <w:t xml:space="preserve">عن </w:t>
      </w:r>
      <w:r w:rsidRPr="006571AC">
        <w:rPr>
          <w:sz w:val="27"/>
          <w:rtl/>
        </w:rPr>
        <w:t>محم</w:t>
      </w:r>
      <w:r w:rsidRPr="006571AC">
        <w:rPr>
          <w:rFonts w:hint="cs"/>
          <w:sz w:val="27"/>
          <w:rtl/>
        </w:rPr>
        <w:t>ّ</w:t>
      </w:r>
      <w:r w:rsidRPr="006571AC">
        <w:rPr>
          <w:sz w:val="27"/>
          <w:rtl/>
        </w:rPr>
        <w:t>د بن علي</w:t>
      </w:r>
      <w:r w:rsidRPr="006571AC">
        <w:rPr>
          <w:rFonts w:hint="cs"/>
          <w:sz w:val="27"/>
          <w:rtl/>
        </w:rPr>
        <w:t>ّ</w:t>
      </w:r>
      <w:r w:rsidRPr="006571AC">
        <w:rPr>
          <w:sz w:val="27"/>
          <w:rtl/>
        </w:rPr>
        <w:t>، عن صفوان بن يحيى، عن عاصم بن حميد</w:t>
      </w:r>
      <w:r w:rsidRPr="006571AC">
        <w:rPr>
          <w:rFonts w:hint="cs"/>
          <w:sz w:val="27"/>
          <w:rtl/>
        </w:rPr>
        <w:t>، عن أبي عبيدة، عن أبي جعفر</w:t>
      </w:r>
      <w:r w:rsidRPr="006571AC">
        <w:rPr>
          <w:rFonts w:ascii="Mosawi" w:hAnsi="Mosawi" w:cs="Mosawi"/>
          <w:sz w:val="22"/>
          <w:szCs w:val="22"/>
          <w:rtl/>
        </w:rPr>
        <w:t>×</w:t>
      </w:r>
      <w:r w:rsidRPr="006571AC">
        <w:rPr>
          <w:rFonts w:hint="cs"/>
          <w:sz w:val="27"/>
          <w:rtl/>
        </w:rPr>
        <w:t xml:space="preserve"> قال:...</w:t>
      </w:r>
      <w:r w:rsidRPr="006571AC">
        <w:rPr>
          <w:rFonts w:hint="cs"/>
          <w:sz w:val="24"/>
          <w:szCs w:val="24"/>
          <w:rtl/>
        </w:rPr>
        <w:t>»</w:t>
      </w:r>
      <w:r w:rsidRPr="006571AC">
        <w:rPr>
          <w:sz w:val="27"/>
          <w:vertAlign w:val="superscript"/>
          <w:rtl/>
        </w:rPr>
        <w:t>(</w:t>
      </w:r>
      <w:r w:rsidRPr="006571AC">
        <w:rPr>
          <w:rStyle w:val="ac"/>
          <w:sz w:val="27"/>
          <w:rtl/>
        </w:rPr>
        <w:endnoteReference w:id="76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ولا يروي الحديث الرابع أصلاً.</w:t>
      </w:r>
    </w:p>
    <w:p w:rsidR="008A3F20" w:rsidRPr="006571AC" w:rsidRDefault="008A3F20" w:rsidP="000C6F2A">
      <w:pPr>
        <w:rPr>
          <w:sz w:val="27"/>
          <w:rtl/>
        </w:rPr>
      </w:pPr>
      <w:r w:rsidRPr="006571AC">
        <w:rPr>
          <w:rFonts w:hint="cs"/>
          <w:sz w:val="27"/>
          <w:rtl/>
        </w:rPr>
        <w:t>إذن فما ذكره الشيخ الحُرّ</w:t>
      </w:r>
      <w:r w:rsidRPr="006571AC">
        <w:rPr>
          <w:rFonts w:ascii="Mosawi" w:hAnsi="Mosawi" w:cs="Mosawi"/>
          <w:sz w:val="22"/>
          <w:szCs w:val="22"/>
          <w:rtl/>
        </w:rPr>
        <w:t>&amp;</w:t>
      </w:r>
      <w:r w:rsidRPr="006571AC">
        <w:rPr>
          <w:rFonts w:hint="cs"/>
          <w:sz w:val="27"/>
          <w:rtl/>
        </w:rPr>
        <w:t xml:space="preserve"> في ذيل الحديث الرابع يعود للحديث الخامس.</w:t>
      </w:r>
    </w:p>
    <w:p w:rsidR="00A94070" w:rsidRPr="006571AC" w:rsidRDefault="00A94070" w:rsidP="00A94070">
      <w:pPr>
        <w:spacing w:line="420" w:lineRule="exact"/>
        <w:rPr>
          <w:rFonts w:ascii="Arabic Typesetting" w:hAnsi="Arabic Typesetting"/>
          <w:sz w:val="27"/>
          <w:rtl/>
          <w:lang w:bidi="ar-LB"/>
        </w:rPr>
      </w:pPr>
    </w:p>
    <w:p w:rsidR="008A3F20" w:rsidRPr="006571AC" w:rsidRDefault="005277A5" w:rsidP="00A94070">
      <w:pPr>
        <w:pStyle w:val="31"/>
        <w:rPr>
          <w:color w:val="auto"/>
          <w:sz w:val="26"/>
          <w:rtl/>
        </w:rPr>
      </w:pPr>
      <w:bookmarkStart w:id="462" w:name="_Toc114164866"/>
      <w:r w:rsidRPr="006571AC">
        <w:rPr>
          <w:rFonts w:hint="cs"/>
          <w:color w:val="auto"/>
          <w:sz w:val="26"/>
          <w:rtl/>
        </w:rPr>
        <w:t xml:space="preserve">ج </w:t>
      </w:r>
      <w:r w:rsidR="008A3F20" w:rsidRPr="006571AC">
        <w:rPr>
          <w:rFonts w:hint="cs"/>
          <w:color w:val="auto"/>
          <w:sz w:val="26"/>
          <w:rtl/>
        </w:rPr>
        <w:t>ـ اختصار الأسناد</w:t>
      </w:r>
      <w:bookmarkEnd w:id="462"/>
    </w:p>
    <w:p w:rsidR="008A3F20" w:rsidRPr="006571AC" w:rsidRDefault="008A3F20" w:rsidP="000C6F2A">
      <w:pPr>
        <w:rPr>
          <w:b/>
          <w:bCs/>
          <w:sz w:val="27"/>
          <w:rtl/>
        </w:rPr>
      </w:pPr>
      <w:r w:rsidRPr="006571AC">
        <w:rPr>
          <w:rFonts w:hint="cs"/>
          <w:b/>
          <w:bCs/>
          <w:sz w:val="27"/>
          <w:rtl/>
        </w:rPr>
        <w:t>للمساهمة في اختصار الكتاب وتحجيمه عمد الشيخ الحُرّ</w:t>
      </w:r>
      <w:r w:rsidRPr="006571AC">
        <w:rPr>
          <w:rFonts w:ascii="Mosawi" w:hAnsi="Mosawi" w:cs="Mosawi"/>
          <w:b/>
          <w:bCs/>
          <w:sz w:val="22"/>
          <w:szCs w:val="22"/>
          <w:rtl/>
        </w:rPr>
        <w:t>&amp;</w:t>
      </w:r>
      <w:r w:rsidRPr="006571AC">
        <w:rPr>
          <w:rFonts w:hint="cs"/>
          <w:b/>
          <w:bCs/>
          <w:sz w:val="27"/>
          <w:rtl/>
        </w:rPr>
        <w:t xml:space="preserve"> إلى اختصار أسناد الأحاديث، واعتمد</w:t>
      </w:r>
      <w:r w:rsidRPr="006571AC">
        <w:rPr>
          <w:rFonts w:ascii="Mosawi" w:hAnsi="Mosawi" w:cs="Mosawi"/>
          <w:b/>
          <w:bCs/>
          <w:sz w:val="22"/>
          <w:szCs w:val="22"/>
          <w:rtl/>
        </w:rPr>
        <w:t>&amp;</w:t>
      </w:r>
      <w:r w:rsidRPr="006571AC">
        <w:rPr>
          <w:rFonts w:hint="cs"/>
          <w:b/>
          <w:bCs/>
          <w:sz w:val="27"/>
          <w:rtl/>
        </w:rPr>
        <w:t xml:space="preserve"> في ذلك جملةً من الطرق</w:t>
      </w:r>
      <w:r w:rsidRPr="006571AC">
        <w:rPr>
          <w:rFonts w:hint="cs"/>
          <w:sz w:val="27"/>
          <w:rtl/>
        </w:rPr>
        <w:t>.</w:t>
      </w:r>
      <w:r w:rsidRPr="006571AC">
        <w:rPr>
          <w:rFonts w:hint="cs"/>
          <w:b/>
          <w:bCs/>
          <w:sz w:val="27"/>
          <w:rtl/>
        </w:rPr>
        <w:t xml:space="preserve"> </w:t>
      </w:r>
    </w:p>
    <w:p w:rsidR="008A3F20" w:rsidRPr="006571AC" w:rsidRDefault="008A3F20" w:rsidP="000C6F2A">
      <w:pPr>
        <w:rPr>
          <w:sz w:val="27"/>
          <w:rtl/>
        </w:rPr>
      </w:pPr>
      <w:r w:rsidRPr="006571AC">
        <w:rPr>
          <w:rFonts w:hint="cs"/>
          <w:sz w:val="27"/>
          <w:rtl/>
        </w:rPr>
        <w:t>ومن تلك الطرق:</w:t>
      </w:r>
    </w:p>
    <w:p w:rsidR="00A94070" w:rsidRPr="006571AC" w:rsidRDefault="00A94070" w:rsidP="00A94070">
      <w:pPr>
        <w:spacing w:line="420" w:lineRule="exact"/>
        <w:rPr>
          <w:rFonts w:ascii="Arabic Typesetting" w:hAnsi="Arabic Typesetting"/>
          <w:sz w:val="27"/>
          <w:rtl/>
          <w:lang w:bidi="ar-LB"/>
        </w:rPr>
      </w:pPr>
      <w:bookmarkStart w:id="463" w:name="_Toc171512701"/>
    </w:p>
    <w:p w:rsidR="008A3F20" w:rsidRPr="006571AC" w:rsidRDefault="008A3F20" w:rsidP="00A94070">
      <w:pPr>
        <w:pStyle w:val="31"/>
        <w:rPr>
          <w:color w:val="auto"/>
          <w:sz w:val="26"/>
          <w:rtl/>
        </w:rPr>
      </w:pPr>
      <w:bookmarkStart w:id="464" w:name="_Toc114164867"/>
      <w:r w:rsidRPr="006571AC">
        <w:rPr>
          <w:rFonts w:hint="cs"/>
          <w:color w:val="auto"/>
          <w:sz w:val="26"/>
          <w:rtl/>
        </w:rPr>
        <w:t>1ـ حذف بعض العبارات من أسناد الشيخ الصدوق</w:t>
      </w:r>
      <w:r w:rsidR="00F35A65" w:rsidRPr="006571AC">
        <w:rPr>
          <w:rFonts w:ascii="Mosawi" w:hAnsi="Mosawi" w:cs="Mosawi"/>
          <w:color w:val="auto"/>
          <w:sz w:val="22"/>
          <w:szCs w:val="22"/>
          <w:rtl/>
        </w:rPr>
        <w:t>&amp;</w:t>
      </w:r>
      <w:r w:rsidRPr="006571AC">
        <w:rPr>
          <w:rFonts w:hint="cs"/>
          <w:color w:val="auto"/>
          <w:sz w:val="26"/>
          <w:rtl/>
        </w:rPr>
        <w:t xml:space="preserve"> وغيره من المحدِّثين</w:t>
      </w:r>
      <w:bookmarkEnd w:id="463"/>
      <w:bookmarkEnd w:id="464"/>
    </w:p>
    <w:p w:rsidR="008A3F20" w:rsidRPr="006571AC" w:rsidRDefault="008A3F20" w:rsidP="000C6F2A">
      <w:pPr>
        <w:rPr>
          <w:sz w:val="27"/>
          <w:rtl/>
        </w:rPr>
      </w:pPr>
      <w:r w:rsidRPr="006571AC">
        <w:rPr>
          <w:rFonts w:hint="cs"/>
          <w:sz w:val="27"/>
          <w:rtl/>
        </w:rPr>
        <w:t xml:space="preserve"> عمد الشيخ الحُرّ</w:t>
      </w:r>
      <w:r w:rsidRPr="006571AC">
        <w:rPr>
          <w:rFonts w:ascii="Mosawi" w:hAnsi="Mosawi" w:cs="Mosawi"/>
          <w:sz w:val="22"/>
          <w:szCs w:val="22"/>
          <w:rtl/>
        </w:rPr>
        <w:t>&amp;</w:t>
      </w:r>
      <w:r w:rsidRPr="006571AC">
        <w:rPr>
          <w:rFonts w:hint="cs"/>
          <w:sz w:val="27"/>
          <w:rtl/>
        </w:rPr>
        <w:t xml:space="preserve"> ـ وللاختصار ـ إلى حذف بعض العبارات من أسناد الشيخ الصدوق</w:t>
      </w:r>
      <w:r w:rsidRPr="006571AC">
        <w:rPr>
          <w:rFonts w:ascii="Mosawi" w:hAnsi="Mosawi" w:cs="Mosawi"/>
          <w:sz w:val="22"/>
          <w:szCs w:val="22"/>
          <w:rtl/>
        </w:rPr>
        <w:t>&amp;</w:t>
      </w:r>
      <w:r w:rsidRPr="006571AC">
        <w:rPr>
          <w:rFonts w:hint="cs"/>
          <w:sz w:val="27"/>
          <w:rtl/>
        </w:rPr>
        <w:t xml:space="preserve"> وغيره من المحدِّثين، من قبيل: </w:t>
      </w:r>
      <w:r w:rsidRPr="006571AC">
        <w:rPr>
          <w:rFonts w:hint="cs"/>
          <w:sz w:val="24"/>
          <w:szCs w:val="24"/>
          <w:rtl/>
        </w:rPr>
        <w:t>«</w:t>
      </w:r>
      <w:r w:rsidRPr="006571AC">
        <w:rPr>
          <w:rFonts w:hint="cs"/>
          <w:sz w:val="27"/>
          <w:rtl/>
        </w:rPr>
        <w:t>حدَّثَنا</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حدَّثَني</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قال: حدَّثَنا</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قال: حدَّثَني</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أخبَرَنا</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أخبَرَني</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قال: أخبَرَنا</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قال: أخبَرَني</w:t>
      </w:r>
      <w:r w:rsidRPr="006571AC">
        <w:rPr>
          <w:rFonts w:hint="cs"/>
          <w:sz w:val="24"/>
          <w:szCs w:val="24"/>
          <w:rtl/>
        </w:rPr>
        <w:t>»</w:t>
      </w:r>
      <w:r w:rsidRPr="006571AC">
        <w:rPr>
          <w:rFonts w:hint="cs"/>
          <w:sz w:val="27"/>
          <w:rtl/>
        </w:rPr>
        <w:t xml:space="preserve">، وأتى محلّها بلفظ </w:t>
      </w:r>
      <w:r w:rsidRPr="006571AC">
        <w:rPr>
          <w:rFonts w:hint="cs"/>
          <w:sz w:val="24"/>
          <w:szCs w:val="24"/>
          <w:rtl/>
        </w:rPr>
        <w:t>«</w:t>
      </w:r>
      <w:r w:rsidRPr="006571AC">
        <w:rPr>
          <w:rFonts w:hint="cs"/>
          <w:sz w:val="27"/>
          <w:rtl/>
        </w:rPr>
        <w:t>عن</w:t>
      </w:r>
      <w:r w:rsidRPr="006571AC">
        <w:rPr>
          <w:rFonts w:hint="cs"/>
          <w:sz w:val="24"/>
          <w:szCs w:val="24"/>
          <w:rtl/>
        </w:rPr>
        <w:t>»</w:t>
      </w:r>
      <w:r w:rsidRPr="006571AC">
        <w:rPr>
          <w:rFonts w:hint="cs"/>
          <w:sz w:val="27"/>
          <w:rtl/>
        </w:rPr>
        <w:t xml:space="preserve">. </w:t>
      </w:r>
    </w:p>
    <w:p w:rsidR="008A3F20" w:rsidRPr="006571AC" w:rsidRDefault="008A3F20" w:rsidP="00A94070">
      <w:pPr>
        <w:spacing w:line="420" w:lineRule="exact"/>
        <w:rPr>
          <w:sz w:val="27"/>
          <w:rtl/>
        </w:rPr>
      </w:pPr>
      <w:r w:rsidRPr="006571AC">
        <w:rPr>
          <w:rFonts w:hint="cs"/>
          <w:sz w:val="27"/>
          <w:rtl/>
        </w:rPr>
        <w:lastRenderedPageBreak/>
        <w:t>وقد أشار</w:t>
      </w:r>
      <w:r w:rsidRPr="006571AC">
        <w:rPr>
          <w:rFonts w:ascii="Mosawi" w:hAnsi="Mosawi" w:cs="Mosawi"/>
          <w:sz w:val="22"/>
          <w:szCs w:val="22"/>
          <w:rtl/>
        </w:rPr>
        <w:t>&amp;</w:t>
      </w:r>
      <w:r w:rsidRPr="006571AC">
        <w:rPr>
          <w:rFonts w:hint="cs"/>
          <w:sz w:val="27"/>
          <w:rtl/>
        </w:rPr>
        <w:t xml:space="preserve"> إلى ذلك بقوله: </w:t>
      </w:r>
      <w:r w:rsidRPr="006571AC">
        <w:rPr>
          <w:rFonts w:hint="cs"/>
          <w:sz w:val="24"/>
          <w:szCs w:val="24"/>
          <w:rtl/>
        </w:rPr>
        <w:t>«</w:t>
      </w:r>
      <w:r w:rsidRPr="006571AC">
        <w:rPr>
          <w:sz w:val="27"/>
          <w:rtl/>
        </w:rPr>
        <w:t>وأم</w:t>
      </w:r>
      <w:r w:rsidRPr="006571AC">
        <w:rPr>
          <w:rFonts w:hint="cs"/>
          <w:sz w:val="27"/>
          <w:rtl/>
        </w:rPr>
        <w:t>ّ</w:t>
      </w:r>
      <w:r w:rsidRPr="006571AC">
        <w:rPr>
          <w:sz w:val="27"/>
          <w:rtl/>
        </w:rPr>
        <w:t xml:space="preserve">ا </w:t>
      </w:r>
      <w:r w:rsidRPr="006571AC">
        <w:rPr>
          <w:b/>
          <w:bCs/>
          <w:sz w:val="27"/>
          <w:rtl/>
        </w:rPr>
        <w:t xml:space="preserve">أسانيده في غير كتاب </w:t>
      </w:r>
      <w:r w:rsidRPr="006571AC">
        <w:rPr>
          <w:rFonts w:hint="cs"/>
          <w:b/>
          <w:bCs/>
          <w:sz w:val="24"/>
          <w:szCs w:val="24"/>
          <w:rtl/>
        </w:rPr>
        <w:t>«</w:t>
      </w:r>
      <w:r w:rsidRPr="006571AC">
        <w:rPr>
          <w:b/>
          <w:bCs/>
          <w:sz w:val="27"/>
          <w:rtl/>
        </w:rPr>
        <w:t>م</w:t>
      </w:r>
      <w:r w:rsidR="00F35A65" w:rsidRPr="006571AC">
        <w:rPr>
          <w:rFonts w:hint="cs"/>
          <w:b/>
          <w:bCs/>
          <w:sz w:val="27"/>
          <w:rtl/>
        </w:rPr>
        <w:t>َ</w:t>
      </w:r>
      <w:r w:rsidRPr="006571AC">
        <w:rPr>
          <w:b/>
          <w:bCs/>
          <w:sz w:val="27"/>
          <w:rtl/>
        </w:rPr>
        <w:t>ن</w:t>
      </w:r>
      <w:r w:rsidR="00F35A65" w:rsidRPr="006571AC">
        <w:rPr>
          <w:rFonts w:hint="cs"/>
          <w:b/>
          <w:bCs/>
          <w:sz w:val="27"/>
          <w:rtl/>
        </w:rPr>
        <w:t>ْ</w:t>
      </w:r>
      <w:r w:rsidRPr="006571AC">
        <w:rPr>
          <w:b/>
          <w:bCs/>
          <w:sz w:val="27"/>
          <w:rtl/>
        </w:rPr>
        <w:t xml:space="preserve"> لا يحضره الفقيه</w:t>
      </w:r>
      <w:r w:rsidRPr="006571AC">
        <w:rPr>
          <w:rFonts w:hint="cs"/>
          <w:b/>
          <w:bCs/>
          <w:sz w:val="24"/>
          <w:szCs w:val="24"/>
          <w:rtl/>
        </w:rPr>
        <w:t>»</w:t>
      </w:r>
      <w:r w:rsidRPr="006571AC">
        <w:rPr>
          <w:sz w:val="27"/>
          <w:rtl/>
        </w:rPr>
        <w:t xml:space="preserve"> فقد أوردت</w:t>
      </w:r>
      <w:r w:rsidRPr="006571AC">
        <w:rPr>
          <w:rFonts w:hint="cs"/>
          <w:sz w:val="27"/>
          <w:rtl/>
        </w:rPr>
        <w:t>ُ</w:t>
      </w:r>
      <w:r w:rsidRPr="006571AC">
        <w:rPr>
          <w:sz w:val="27"/>
          <w:rtl/>
        </w:rPr>
        <w:t>ها كما أوردها هو، إلا</w:t>
      </w:r>
      <w:r w:rsidRPr="006571AC">
        <w:rPr>
          <w:rFonts w:hint="cs"/>
          <w:sz w:val="27"/>
          <w:rtl/>
        </w:rPr>
        <w:t>ّ</w:t>
      </w:r>
      <w:r w:rsidRPr="006571AC">
        <w:rPr>
          <w:sz w:val="27"/>
          <w:rtl/>
        </w:rPr>
        <w:t xml:space="preserve"> أن</w:t>
      </w:r>
      <w:r w:rsidRPr="006571AC">
        <w:rPr>
          <w:rFonts w:hint="cs"/>
          <w:sz w:val="27"/>
          <w:rtl/>
        </w:rPr>
        <w:t>ّ</w:t>
      </w:r>
      <w:r w:rsidRPr="006571AC">
        <w:rPr>
          <w:sz w:val="27"/>
          <w:rtl/>
        </w:rPr>
        <w:t xml:space="preserve">ي </w:t>
      </w:r>
      <w:r w:rsidRPr="006571AC">
        <w:rPr>
          <w:b/>
          <w:bCs/>
          <w:sz w:val="27"/>
          <w:rtl/>
        </w:rPr>
        <w:t>حذفت</w:t>
      </w:r>
      <w:r w:rsidRPr="006571AC">
        <w:rPr>
          <w:rFonts w:hint="cs"/>
          <w:b/>
          <w:bCs/>
          <w:sz w:val="27"/>
          <w:rtl/>
        </w:rPr>
        <w:t>ُ</w:t>
      </w:r>
      <w:r w:rsidRPr="006571AC">
        <w:rPr>
          <w:b/>
          <w:bCs/>
          <w:sz w:val="27"/>
          <w:rtl/>
        </w:rPr>
        <w:t xml:space="preserve"> من كثير</w:t>
      </w:r>
      <w:r w:rsidRPr="006571AC">
        <w:rPr>
          <w:rFonts w:hint="cs"/>
          <w:b/>
          <w:bCs/>
          <w:sz w:val="27"/>
          <w:rtl/>
        </w:rPr>
        <w:t>ٍ</w:t>
      </w:r>
      <w:r w:rsidRPr="006571AC">
        <w:rPr>
          <w:b/>
          <w:bCs/>
          <w:sz w:val="27"/>
          <w:rtl/>
        </w:rPr>
        <w:t xml:space="preserve"> منها لفظ </w:t>
      </w:r>
      <w:r w:rsidRPr="006571AC">
        <w:rPr>
          <w:rFonts w:hint="cs"/>
          <w:b/>
          <w:bCs/>
          <w:sz w:val="24"/>
          <w:szCs w:val="24"/>
          <w:rtl/>
        </w:rPr>
        <w:t>«</w:t>
      </w:r>
      <w:r w:rsidRPr="006571AC">
        <w:rPr>
          <w:b/>
          <w:bCs/>
          <w:sz w:val="27"/>
          <w:rtl/>
        </w:rPr>
        <w:t>قال</w:t>
      </w:r>
      <w:r w:rsidR="00F35A65" w:rsidRPr="006571AC">
        <w:rPr>
          <w:rFonts w:hint="cs"/>
          <w:b/>
          <w:bCs/>
          <w:sz w:val="27"/>
          <w:rtl/>
        </w:rPr>
        <w:t>:</w:t>
      </w:r>
      <w:r w:rsidRPr="006571AC">
        <w:rPr>
          <w:b/>
          <w:bCs/>
          <w:sz w:val="27"/>
          <w:rtl/>
        </w:rPr>
        <w:t xml:space="preserve"> حد</w:t>
      </w:r>
      <w:r w:rsidRPr="006571AC">
        <w:rPr>
          <w:rFonts w:hint="cs"/>
          <w:b/>
          <w:bCs/>
          <w:sz w:val="27"/>
          <w:rtl/>
        </w:rPr>
        <w:t>َّ</w:t>
      </w:r>
      <w:r w:rsidRPr="006571AC">
        <w:rPr>
          <w:b/>
          <w:bCs/>
          <w:sz w:val="27"/>
          <w:rtl/>
        </w:rPr>
        <w:t>ث</w:t>
      </w:r>
      <w:r w:rsidRPr="006571AC">
        <w:rPr>
          <w:rFonts w:hint="cs"/>
          <w:b/>
          <w:bCs/>
          <w:sz w:val="27"/>
          <w:rtl/>
        </w:rPr>
        <w:t>َ</w:t>
      </w:r>
      <w:r w:rsidRPr="006571AC">
        <w:rPr>
          <w:b/>
          <w:bCs/>
          <w:sz w:val="27"/>
          <w:rtl/>
        </w:rPr>
        <w:t>نا</w:t>
      </w:r>
      <w:r w:rsidRPr="006571AC">
        <w:rPr>
          <w:rFonts w:hint="cs"/>
          <w:b/>
          <w:bCs/>
          <w:sz w:val="24"/>
          <w:szCs w:val="24"/>
          <w:rtl/>
        </w:rPr>
        <w:t>»</w:t>
      </w:r>
      <w:r w:rsidRPr="006571AC">
        <w:rPr>
          <w:rFonts w:hint="cs"/>
          <w:b/>
          <w:bCs/>
          <w:sz w:val="27"/>
          <w:rtl/>
        </w:rPr>
        <w:t xml:space="preserve">، </w:t>
      </w:r>
      <w:r w:rsidRPr="006571AC">
        <w:rPr>
          <w:b/>
          <w:bCs/>
          <w:sz w:val="27"/>
          <w:rtl/>
        </w:rPr>
        <w:t>و</w:t>
      </w:r>
      <w:r w:rsidRPr="006571AC">
        <w:rPr>
          <w:rFonts w:hint="cs"/>
          <w:b/>
          <w:bCs/>
          <w:sz w:val="24"/>
          <w:szCs w:val="24"/>
          <w:rtl/>
        </w:rPr>
        <w:t>«</w:t>
      </w:r>
      <w:r w:rsidRPr="006571AC">
        <w:rPr>
          <w:b/>
          <w:bCs/>
          <w:sz w:val="27"/>
          <w:rtl/>
        </w:rPr>
        <w:t>قال</w:t>
      </w:r>
      <w:r w:rsidR="00F35A65" w:rsidRPr="006571AC">
        <w:rPr>
          <w:rFonts w:hint="cs"/>
          <w:b/>
          <w:bCs/>
          <w:sz w:val="27"/>
          <w:rtl/>
        </w:rPr>
        <w:t>:</w:t>
      </w:r>
      <w:r w:rsidRPr="006571AC">
        <w:rPr>
          <w:b/>
          <w:bCs/>
          <w:sz w:val="27"/>
          <w:rtl/>
        </w:rPr>
        <w:t xml:space="preserve"> أخب</w:t>
      </w:r>
      <w:r w:rsidRPr="006571AC">
        <w:rPr>
          <w:rFonts w:hint="cs"/>
          <w:b/>
          <w:bCs/>
          <w:sz w:val="27"/>
          <w:rtl/>
        </w:rPr>
        <w:t>َ</w:t>
      </w:r>
      <w:r w:rsidRPr="006571AC">
        <w:rPr>
          <w:b/>
          <w:bCs/>
          <w:sz w:val="27"/>
          <w:rtl/>
        </w:rPr>
        <w:t>ر</w:t>
      </w:r>
      <w:r w:rsidRPr="006571AC">
        <w:rPr>
          <w:rFonts w:hint="cs"/>
          <w:b/>
          <w:bCs/>
          <w:sz w:val="27"/>
          <w:rtl/>
        </w:rPr>
        <w:t>َ</w:t>
      </w:r>
      <w:r w:rsidRPr="006571AC">
        <w:rPr>
          <w:b/>
          <w:bCs/>
          <w:sz w:val="27"/>
          <w:rtl/>
        </w:rPr>
        <w:t>نا</w:t>
      </w:r>
      <w:r w:rsidRPr="006571AC">
        <w:rPr>
          <w:rFonts w:hint="cs"/>
          <w:b/>
          <w:bCs/>
          <w:sz w:val="24"/>
          <w:szCs w:val="24"/>
          <w:rtl/>
        </w:rPr>
        <w:t>»</w:t>
      </w:r>
      <w:r w:rsidRPr="006571AC">
        <w:rPr>
          <w:b/>
          <w:bCs/>
          <w:sz w:val="27"/>
          <w:rtl/>
        </w:rPr>
        <w:t>، وأتيت</w:t>
      </w:r>
      <w:r w:rsidRPr="006571AC">
        <w:rPr>
          <w:rFonts w:hint="cs"/>
          <w:b/>
          <w:bCs/>
          <w:sz w:val="27"/>
          <w:rtl/>
        </w:rPr>
        <w:t>ُ</w:t>
      </w:r>
      <w:r w:rsidRPr="006571AC">
        <w:rPr>
          <w:b/>
          <w:bCs/>
          <w:sz w:val="27"/>
          <w:rtl/>
        </w:rPr>
        <w:t xml:space="preserve"> مكانها بلفظ </w:t>
      </w:r>
      <w:r w:rsidRPr="006571AC">
        <w:rPr>
          <w:rFonts w:hint="cs"/>
          <w:b/>
          <w:bCs/>
          <w:sz w:val="24"/>
          <w:szCs w:val="24"/>
          <w:rtl/>
        </w:rPr>
        <w:t>«</w:t>
      </w:r>
      <w:r w:rsidRPr="006571AC">
        <w:rPr>
          <w:b/>
          <w:bCs/>
          <w:sz w:val="27"/>
          <w:rtl/>
        </w:rPr>
        <w:t>عن</w:t>
      </w:r>
      <w:r w:rsidRPr="006571AC">
        <w:rPr>
          <w:rFonts w:hint="cs"/>
          <w:b/>
          <w:bCs/>
          <w:sz w:val="24"/>
          <w:szCs w:val="24"/>
          <w:rtl/>
        </w:rPr>
        <w:t>»</w:t>
      </w:r>
      <w:r w:rsidR="006F67D2" w:rsidRPr="006571AC">
        <w:rPr>
          <w:rFonts w:hint="cs"/>
          <w:b/>
          <w:bCs/>
          <w:sz w:val="27"/>
          <w:rtl/>
        </w:rPr>
        <w:t>؛</w:t>
      </w:r>
      <w:r w:rsidRPr="006571AC">
        <w:rPr>
          <w:rFonts w:hint="cs"/>
          <w:b/>
          <w:bCs/>
          <w:sz w:val="27"/>
          <w:rtl/>
        </w:rPr>
        <w:t xml:space="preserve"> </w:t>
      </w:r>
      <w:r w:rsidRPr="006571AC">
        <w:rPr>
          <w:b/>
          <w:bCs/>
          <w:sz w:val="27"/>
          <w:rtl/>
        </w:rPr>
        <w:t>للاختصار</w:t>
      </w:r>
      <w:r w:rsidRPr="006571AC">
        <w:rPr>
          <w:rFonts w:hint="cs"/>
          <w:b/>
          <w:bCs/>
          <w:sz w:val="27"/>
          <w:rtl/>
        </w:rPr>
        <w:t>،</w:t>
      </w:r>
      <w:r w:rsidRPr="006571AC">
        <w:rPr>
          <w:b/>
          <w:bCs/>
          <w:sz w:val="27"/>
          <w:rtl/>
        </w:rPr>
        <w:t xml:space="preserve"> وكذلك أسانيد</w:t>
      </w:r>
      <w:r w:rsidRPr="006571AC">
        <w:rPr>
          <w:rFonts w:hint="cs"/>
          <w:b/>
          <w:bCs/>
          <w:sz w:val="27"/>
          <w:rtl/>
        </w:rPr>
        <w:t>ُ</w:t>
      </w:r>
      <w:r w:rsidRPr="006571AC">
        <w:rPr>
          <w:b/>
          <w:bCs/>
          <w:sz w:val="27"/>
          <w:rtl/>
        </w:rPr>
        <w:t xml:space="preserve"> غيره من محد</w:t>
      </w:r>
      <w:r w:rsidRPr="006571AC">
        <w:rPr>
          <w:rFonts w:hint="cs"/>
          <w:b/>
          <w:bCs/>
          <w:sz w:val="27"/>
          <w:rtl/>
        </w:rPr>
        <w:t>ِّ</w:t>
      </w:r>
      <w:r w:rsidRPr="006571AC">
        <w:rPr>
          <w:b/>
          <w:bCs/>
          <w:sz w:val="27"/>
          <w:rtl/>
        </w:rPr>
        <w:t>ثينا</w:t>
      </w:r>
      <w:r w:rsidRPr="006571AC">
        <w:rPr>
          <w:rFonts w:hint="cs"/>
          <w:sz w:val="24"/>
          <w:szCs w:val="24"/>
          <w:rtl/>
        </w:rPr>
        <w:t>»</w:t>
      </w:r>
      <w:r w:rsidRPr="006571AC">
        <w:rPr>
          <w:sz w:val="27"/>
          <w:vertAlign w:val="superscript"/>
          <w:rtl/>
        </w:rPr>
        <w:t>(</w:t>
      </w:r>
      <w:r w:rsidRPr="006571AC">
        <w:rPr>
          <w:rStyle w:val="ac"/>
          <w:sz w:val="27"/>
          <w:rtl/>
        </w:rPr>
        <w:endnoteReference w:id="770"/>
      </w:r>
      <w:r w:rsidRPr="006571AC">
        <w:rPr>
          <w:sz w:val="27"/>
          <w:vertAlign w:val="superscript"/>
          <w:rtl/>
        </w:rPr>
        <w:t>)</w:t>
      </w:r>
      <w:r w:rsidRPr="006571AC">
        <w:rPr>
          <w:sz w:val="27"/>
          <w:rtl/>
        </w:rPr>
        <w:t>.</w:t>
      </w:r>
    </w:p>
    <w:p w:rsidR="008A3F20" w:rsidRPr="006571AC" w:rsidRDefault="008A3F20" w:rsidP="00A94070">
      <w:pPr>
        <w:spacing w:line="420" w:lineRule="exact"/>
        <w:rPr>
          <w:sz w:val="27"/>
          <w:rtl/>
        </w:rPr>
      </w:pPr>
      <w:r w:rsidRPr="006571AC">
        <w:rPr>
          <w:rFonts w:hint="cs"/>
          <w:sz w:val="27"/>
          <w:rtl/>
        </w:rPr>
        <w:t xml:space="preserve">وقد عُبِّر عن هذه الطريقة بـ </w:t>
      </w:r>
      <w:r w:rsidRPr="006571AC">
        <w:rPr>
          <w:rFonts w:hint="cs"/>
          <w:sz w:val="24"/>
          <w:szCs w:val="24"/>
          <w:rtl/>
        </w:rPr>
        <w:t>«</w:t>
      </w:r>
      <w:r w:rsidRPr="006571AC">
        <w:rPr>
          <w:rFonts w:hint="cs"/>
          <w:sz w:val="27"/>
          <w:rtl/>
        </w:rPr>
        <w:t xml:space="preserve">حذف ألفاظ الأداء والتحمُّل، وتبديلها كلّها بحرف </w:t>
      </w:r>
      <w:r w:rsidRPr="006571AC">
        <w:rPr>
          <w:rFonts w:hint="cs"/>
          <w:sz w:val="24"/>
          <w:szCs w:val="24"/>
          <w:rtl/>
        </w:rPr>
        <w:t>«</w:t>
      </w:r>
      <w:r w:rsidRPr="006571AC">
        <w:rPr>
          <w:rFonts w:hint="cs"/>
          <w:sz w:val="27"/>
          <w:rtl/>
        </w:rPr>
        <w:t>عن</w:t>
      </w:r>
      <w:r w:rsidRPr="006571AC">
        <w:rPr>
          <w:rFonts w:hint="cs"/>
          <w:sz w:val="24"/>
          <w:szCs w:val="24"/>
          <w:rtl/>
        </w:rPr>
        <w:t>»»</w:t>
      </w:r>
      <w:r w:rsidRPr="006571AC">
        <w:rPr>
          <w:sz w:val="27"/>
          <w:vertAlign w:val="superscript"/>
          <w:rtl/>
        </w:rPr>
        <w:t>(</w:t>
      </w:r>
      <w:r w:rsidRPr="006571AC">
        <w:rPr>
          <w:rStyle w:val="ac"/>
          <w:sz w:val="27"/>
          <w:rtl/>
        </w:rPr>
        <w:endnoteReference w:id="771"/>
      </w:r>
      <w:r w:rsidRPr="006571AC">
        <w:rPr>
          <w:sz w:val="27"/>
          <w:vertAlign w:val="superscript"/>
          <w:rtl/>
        </w:rPr>
        <w:t>)</w:t>
      </w:r>
      <w:r w:rsidRPr="006571AC">
        <w:rPr>
          <w:rFonts w:hint="cs"/>
          <w:sz w:val="27"/>
          <w:rtl/>
        </w:rPr>
        <w:t>.</w:t>
      </w:r>
    </w:p>
    <w:p w:rsidR="008A3F20" w:rsidRPr="006571AC" w:rsidRDefault="008A3F20" w:rsidP="00867550">
      <w:pPr>
        <w:spacing w:line="410" w:lineRule="exact"/>
        <w:rPr>
          <w:sz w:val="27"/>
          <w:rtl/>
        </w:rPr>
      </w:pPr>
    </w:p>
    <w:p w:rsidR="008A3F20" w:rsidRPr="006571AC" w:rsidRDefault="008A3F20" w:rsidP="00237DFE">
      <w:pPr>
        <w:pStyle w:val="31"/>
        <w:rPr>
          <w:color w:val="auto"/>
          <w:sz w:val="26"/>
          <w:rtl/>
        </w:rPr>
      </w:pPr>
      <w:bookmarkStart w:id="465" w:name="_Toc171512702"/>
      <w:bookmarkStart w:id="466" w:name="_Toc114164868"/>
      <w:r w:rsidRPr="006571AC">
        <w:rPr>
          <w:rFonts w:hint="cs"/>
          <w:color w:val="auto"/>
          <w:sz w:val="26"/>
          <w:rtl/>
        </w:rPr>
        <w:t>مخالفة تلك الطريقة أحياناً</w:t>
      </w:r>
      <w:bookmarkEnd w:id="465"/>
      <w:bookmarkEnd w:id="466"/>
      <w:r w:rsidRPr="006571AC">
        <w:rPr>
          <w:rFonts w:hint="cs"/>
          <w:color w:val="auto"/>
          <w:sz w:val="26"/>
          <w:rtl/>
        </w:rPr>
        <w:t xml:space="preserve"> </w:t>
      </w:r>
    </w:p>
    <w:p w:rsidR="008A3F20" w:rsidRPr="006571AC" w:rsidRDefault="008A3F20" w:rsidP="00A94070">
      <w:pPr>
        <w:spacing w:line="420" w:lineRule="exact"/>
        <w:rPr>
          <w:sz w:val="27"/>
          <w:rtl/>
        </w:rPr>
      </w:pPr>
      <w:r w:rsidRPr="006571AC">
        <w:rPr>
          <w:rFonts w:hint="cs"/>
          <w:b/>
          <w:bCs/>
          <w:sz w:val="27"/>
          <w:rtl/>
        </w:rPr>
        <w:t>ولكنّه</w:t>
      </w:r>
      <w:r w:rsidRPr="006571AC">
        <w:rPr>
          <w:rFonts w:ascii="Mosawi" w:hAnsi="Mosawi" w:cs="Mosawi"/>
          <w:b/>
          <w:bCs/>
          <w:sz w:val="22"/>
          <w:szCs w:val="22"/>
          <w:rtl/>
        </w:rPr>
        <w:t>&amp;</w:t>
      </w:r>
      <w:r w:rsidRPr="006571AC">
        <w:rPr>
          <w:rFonts w:hint="cs"/>
          <w:b/>
          <w:bCs/>
          <w:sz w:val="27"/>
          <w:rtl/>
        </w:rPr>
        <w:t xml:space="preserve"> يُبقي ـ أحياناً ـ على مثل تلك العبارات، مع إمكان حذفها</w:t>
      </w:r>
      <w:r w:rsidRPr="006571AC">
        <w:rPr>
          <w:rFonts w:hint="cs"/>
          <w:sz w:val="27"/>
          <w:rtl/>
        </w:rPr>
        <w:t xml:space="preserve">، ومن ذلك: </w:t>
      </w:r>
    </w:p>
    <w:p w:rsidR="008A3F20" w:rsidRPr="006571AC" w:rsidRDefault="008A3F20" w:rsidP="006F67D2">
      <w:pPr>
        <w:spacing w:line="420" w:lineRule="exact"/>
        <w:rPr>
          <w:sz w:val="27"/>
          <w:rtl/>
        </w:rPr>
      </w:pPr>
      <w:r w:rsidRPr="006571AC">
        <w:rPr>
          <w:rFonts w:hint="cs"/>
          <w:sz w:val="27"/>
          <w:rtl/>
        </w:rPr>
        <w:t xml:space="preserve">* ما في الباب 3 من أبواب مقدّمة العبادات، ح 1، حيث قال: </w:t>
      </w:r>
      <w:r w:rsidRPr="006571AC">
        <w:rPr>
          <w:rFonts w:hint="cs"/>
          <w:sz w:val="24"/>
          <w:szCs w:val="24"/>
          <w:rtl/>
        </w:rPr>
        <w:t>«</w:t>
      </w:r>
      <w:r w:rsidRPr="006571AC">
        <w:rPr>
          <w:sz w:val="27"/>
          <w:rtl/>
        </w:rPr>
        <w:t>محم</w:t>
      </w:r>
      <w:r w:rsidRPr="006571AC">
        <w:rPr>
          <w:rFonts w:hint="cs"/>
          <w:sz w:val="27"/>
          <w:rtl/>
        </w:rPr>
        <w:t>ّ</w:t>
      </w:r>
      <w:r w:rsidRPr="006571AC">
        <w:rPr>
          <w:sz w:val="27"/>
          <w:rtl/>
        </w:rPr>
        <w:t xml:space="preserve">د بن يعقوب </w:t>
      </w:r>
      <w:r w:rsidRPr="006571AC">
        <w:rPr>
          <w:b/>
          <w:bCs/>
          <w:sz w:val="27"/>
          <w:rtl/>
        </w:rPr>
        <w:t>قال</w:t>
      </w:r>
      <w:r w:rsidRPr="006571AC">
        <w:rPr>
          <w:rFonts w:hint="cs"/>
          <w:b/>
          <w:bCs/>
          <w:sz w:val="27"/>
          <w:rtl/>
        </w:rPr>
        <w:t>:</w:t>
      </w:r>
      <w:r w:rsidRPr="006571AC">
        <w:rPr>
          <w:b/>
          <w:bCs/>
          <w:sz w:val="27"/>
          <w:rtl/>
        </w:rPr>
        <w:t xml:space="preserve"> حد</w:t>
      </w:r>
      <w:r w:rsidRPr="006571AC">
        <w:rPr>
          <w:rFonts w:hint="cs"/>
          <w:b/>
          <w:bCs/>
          <w:sz w:val="27"/>
          <w:rtl/>
        </w:rPr>
        <w:t>َّ</w:t>
      </w:r>
      <w:r w:rsidRPr="006571AC">
        <w:rPr>
          <w:b/>
          <w:bCs/>
          <w:sz w:val="27"/>
          <w:rtl/>
        </w:rPr>
        <w:t>ث</w:t>
      </w:r>
      <w:r w:rsidRPr="006571AC">
        <w:rPr>
          <w:rFonts w:hint="cs"/>
          <w:b/>
          <w:bCs/>
          <w:sz w:val="27"/>
          <w:rtl/>
        </w:rPr>
        <w:t>َ</w:t>
      </w:r>
      <w:r w:rsidRPr="006571AC">
        <w:rPr>
          <w:b/>
          <w:bCs/>
          <w:sz w:val="27"/>
          <w:rtl/>
        </w:rPr>
        <w:t>ن</w:t>
      </w:r>
      <w:r w:rsidRPr="006571AC">
        <w:rPr>
          <w:rFonts w:hint="cs"/>
          <w:b/>
          <w:bCs/>
          <w:sz w:val="27"/>
          <w:rtl/>
        </w:rPr>
        <w:t>ي</w:t>
      </w:r>
      <w:r w:rsidRPr="006571AC">
        <w:rPr>
          <w:sz w:val="27"/>
          <w:rtl/>
        </w:rPr>
        <w:t xml:space="preserve"> عد</w:t>
      </w:r>
      <w:r w:rsidRPr="006571AC">
        <w:rPr>
          <w:rFonts w:hint="cs"/>
          <w:sz w:val="27"/>
          <w:rtl/>
        </w:rPr>
        <w:t>ّ</w:t>
      </w:r>
      <w:r w:rsidRPr="006571AC">
        <w:rPr>
          <w:sz w:val="27"/>
          <w:rtl/>
        </w:rPr>
        <w:t>ة</w:t>
      </w:r>
      <w:r w:rsidR="006F67D2" w:rsidRPr="006571AC">
        <w:rPr>
          <w:rFonts w:hint="cs"/>
          <w:sz w:val="27"/>
          <w:rtl/>
        </w:rPr>
        <w:t>ٌ</w:t>
      </w:r>
      <w:r w:rsidRPr="006571AC">
        <w:rPr>
          <w:sz w:val="27"/>
          <w:rtl/>
        </w:rPr>
        <w:t xml:space="preserve"> من أصحابنا</w:t>
      </w:r>
      <w:r w:rsidRPr="006571AC">
        <w:rPr>
          <w:rFonts w:hint="cs"/>
          <w:sz w:val="27"/>
          <w:rtl/>
        </w:rPr>
        <w:t>،</w:t>
      </w:r>
      <w:r w:rsidRPr="006571AC">
        <w:rPr>
          <w:sz w:val="27"/>
          <w:rtl/>
        </w:rPr>
        <w:t xml:space="preserve"> منهم</w:t>
      </w:r>
      <w:r w:rsidRPr="006571AC">
        <w:rPr>
          <w:rFonts w:hint="cs"/>
          <w:sz w:val="27"/>
          <w:rtl/>
        </w:rPr>
        <w:t>:</w:t>
      </w:r>
      <w:r w:rsidRPr="006571AC">
        <w:rPr>
          <w:sz w:val="27"/>
          <w:rtl/>
        </w:rPr>
        <w:t xml:space="preserve"> محم</w:t>
      </w:r>
      <w:r w:rsidRPr="006571AC">
        <w:rPr>
          <w:rFonts w:hint="cs"/>
          <w:sz w:val="27"/>
          <w:rtl/>
        </w:rPr>
        <w:t>ّ</w:t>
      </w:r>
      <w:r w:rsidRPr="006571AC">
        <w:rPr>
          <w:sz w:val="27"/>
          <w:rtl/>
        </w:rPr>
        <w:t>د بن يحيى العطار، عن أحمد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الحسن بن محبوب</w:t>
      </w:r>
      <w:r w:rsidRPr="006571AC">
        <w:rPr>
          <w:rFonts w:hint="cs"/>
          <w:sz w:val="27"/>
          <w:rtl/>
        </w:rPr>
        <w:t>،</w:t>
      </w:r>
      <w:r w:rsidRPr="006571AC">
        <w:rPr>
          <w:sz w:val="27"/>
          <w:rtl/>
        </w:rPr>
        <w:t xml:space="preserve"> عن العلاء بن رزين</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مسلم، عن أبي جعفر</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772"/>
      </w:r>
      <w:r w:rsidRPr="006571AC">
        <w:rPr>
          <w:sz w:val="27"/>
          <w:vertAlign w:val="superscript"/>
          <w:rtl/>
        </w:rPr>
        <w:t>)</w:t>
      </w:r>
      <w:r w:rsidRPr="006571AC">
        <w:rPr>
          <w:rFonts w:hint="cs"/>
          <w:sz w:val="27"/>
          <w:rtl/>
        </w:rPr>
        <w:t>.</w:t>
      </w:r>
    </w:p>
    <w:p w:rsidR="008A3F20" w:rsidRPr="006571AC" w:rsidRDefault="008A3F20" w:rsidP="00A94070">
      <w:pPr>
        <w:spacing w:line="420" w:lineRule="exact"/>
        <w:rPr>
          <w:sz w:val="27"/>
          <w:rtl/>
        </w:rPr>
      </w:pPr>
      <w:r w:rsidRPr="006571AC">
        <w:rPr>
          <w:rFonts w:hint="cs"/>
          <w:sz w:val="27"/>
          <w:rtl/>
        </w:rPr>
        <w:t>ولعلّه</w:t>
      </w:r>
      <w:r w:rsidRPr="006571AC">
        <w:rPr>
          <w:rFonts w:ascii="Mosawi" w:hAnsi="Mosawi" w:cs="Mosawi"/>
          <w:sz w:val="22"/>
          <w:szCs w:val="22"/>
          <w:rtl/>
        </w:rPr>
        <w:t>&amp;</w:t>
      </w:r>
      <w:r w:rsidRPr="006571AC">
        <w:rPr>
          <w:rFonts w:hint="cs"/>
          <w:sz w:val="27"/>
          <w:rtl/>
        </w:rPr>
        <w:t xml:space="preserve"> قد أبقى على تلك العبارة للإشارة إلى أنّ هذا الحديث هو الحديث الأوّل من </w:t>
      </w:r>
      <w:r w:rsidRPr="006571AC">
        <w:rPr>
          <w:rFonts w:hint="cs"/>
          <w:sz w:val="24"/>
          <w:szCs w:val="24"/>
          <w:rtl/>
        </w:rPr>
        <w:t>«</w:t>
      </w:r>
      <w:r w:rsidRPr="006571AC">
        <w:rPr>
          <w:rFonts w:hint="cs"/>
          <w:sz w:val="27"/>
          <w:rtl/>
        </w:rPr>
        <w:t>أصول الكافي</w:t>
      </w:r>
      <w:r w:rsidRPr="006571AC">
        <w:rPr>
          <w:rFonts w:hint="cs"/>
          <w:sz w:val="24"/>
          <w:szCs w:val="24"/>
          <w:rtl/>
        </w:rPr>
        <w:t>»</w:t>
      </w:r>
      <w:r w:rsidRPr="006571AC">
        <w:rPr>
          <w:rFonts w:hint="cs"/>
          <w:sz w:val="27"/>
          <w:rtl/>
        </w:rPr>
        <w:t>؛ إذ فيه استعمل الشيخ الكلينيّ</w:t>
      </w:r>
      <w:r w:rsidRPr="006571AC">
        <w:rPr>
          <w:rFonts w:ascii="Mosawi" w:hAnsi="Mosawi" w:cs="Mosawi"/>
          <w:sz w:val="22"/>
          <w:szCs w:val="22"/>
          <w:rtl/>
        </w:rPr>
        <w:t>&amp;</w:t>
      </w:r>
      <w:r w:rsidRPr="006571AC">
        <w:rPr>
          <w:rFonts w:hint="cs"/>
          <w:sz w:val="27"/>
          <w:rtl/>
        </w:rPr>
        <w:t xml:space="preserve"> مثل تلك العبارة</w:t>
      </w:r>
      <w:r w:rsidRPr="006571AC">
        <w:rPr>
          <w:sz w:val="27"/>
          <w:vertAlign w:val="superscript"/>
          <w:rtl/>
        </w:rPr>
        <w:t>(</w:t>
      </w:r>
      <w:r w:rsidRPr="006571AC">
        <w:rPr>
          <w:rStyle w:val="ac"/>
          <w:sz w:val="27"/>
          <w:rtl/>
        </w:rPr>
        <w:endnoteReference w:id="773"/>
      </w:r>
      <w:r w:rsidRPr="006571AC">
        <w:rPr>
          <w:sz w:val="27"/>
          <w:vertAlign w:val="superscript"/>
          <w:rtl/>
        </w:rPr>
        <w:t>)</w:t>
      </w:r>
      <w:r w:rsidRPr="006571AC">
        <w:rPr>
          <w:rFonts w:hint="cs"/>
          <w:sz w:val="27"/>
          <w:rtl/>
        </w:rPr>
        <w:t xml:space="preserve">، واستعملها كذلك في الحديث الأوّل من </w:t>
      </w:r>
      <w:r w:rsidRPr="006571AC">
        <w:rPr>
          <w:rFonts w:hint="cs"/>
          <w:sz w:val="24"/>
          <w:szCs w:val="24"/>
          <w:rtl/>
        </w:rPr>
        <w:t>«</w:t>
      </w:r>
      <w:r w:rsidRPr="006571AC">
        <w:rPr>
          <w:rFonts w:hint="cs"/>
          <w:sz w:val="27"/>
          <w:rtl/>
        </w:rPr>
        <w:t>فروع الكافي</w:t>
      </w:r>
      <w:r w:rsidRPr="006571AC">
        <w:rPr>
          <w:rFonts w:hint="cs"/>
          <w:sz w:val="24"/>
          <w:szCs w:val="24"/>
          <w:rtl/>
        </w:rPr>
        <w:t>»</w:t>
      </w:r>
      <w:r w:rsidRPr="006571AC">
        <w:rPr>
          <w:sz w:val="27"/>
          <w:vertAlign w:val="superscript"/>
          <w:rtl/>
        </w:rPr>
        <w:t>(</w:t>
      </w:r>
      <w:r w:rsidRPr="006571AC">
        <w:rPr>
          <w:rStyle w:val="ac"/>
          <w:sz w:val="27"/>
          <w:rtl/>
        </w:rPr>
        <w:endnoteReference w:id="774"/>
      </w:r>
      <w:r w:rsidRPr="006571AC">
        <w:rPr>
          <w:sz w:val="27"/>
          <w:vertAlign w:val="superscript"/>
          <w:rtl/>
        </w:rPr>
        <w:t>)</w:t>
      </w:r>
      <w:r w:rsidRPr="006571AC">
        <w:rPr>
          <w:rFonts w:hint="cs"/>
          <w:sz w:val="27"/>
          <w:rtl/>
        </w:rPr>
        <w:t>، بل وفي أوّل بعض الكتب من</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ككتاب الصلاة</w:t>
      </w:r>
      <w:r w:rsidRPr="006571AC">
        <w:rPr>
          <w:sz w:val="27"/>
          <w:vertAlign w:val="superscript"/>
          <w:rtl/>
        </w:rPr>
        <w:t>(</w:t>
      </w:r>
      <w:r w:rsidRPr="006571AC">
        <w:rPr>
          <w:rStyle w:val="ac"/>
          <w:sz w:val="27"/>
          <w:rtl/>
        </w:rPr>
        <w:endnoteReference w:id="775"/>
      </w:r>
      <w:r w:rsidRPr="006571AC">
        <w:rPr>
          <w:sz w:val="27"/>
          <w:vertAlign w:val="superscript"/>
          <w:rtl/>
        </w:rPr>
        <w:t>)</w:t>
      </w:r>
      <w:r w:rsidRPr="006571AC">
        <w:rPr>
          <w:rFonts w:hint="cs"/>
          <w:sz w:val="27"/>
          <w:rtl/>
        </w:rPr>
        <w:t>.</w:t>
      </w:r>
    </w:p>
    <w:p w:rsidR="008A3F20" w:rsidRPr="006571AC" w:rsidRDefault="008A3F20" w:rsidP="00A94070">
      <w:pPr>
        <w:spacing w:line="420" w:lineRule="exact"/>
        <w:rPr>
          <w:sz w:val="27"/>
          <w:rtl/>
        </w:rPr>
      </w:pPr>
    </w:p>
    <w:p w:rsidR="008A3F20" w:rsidRPr="006571AC" w:rsidRDefault="008A3F20" w:rsidP="00237DFE">
      <w:pPr>
        <w:pStyle w:val="31"/>
        <w:rPr>
          <w:color w:val="auto"/>
          <w:sz w:val="26"/>
          <w:rtl/>
        </w:rPr>
      </w:pPr>
      <w:bookmarkStart w:id="467" w:name="_Toc171512703"/>
      <w:bookmarkStart w:id="468" w:name="_Toc114164869"/>
      <w:r w:rsidRPr="006571AC">
        <w:rPr>
          <w:rFonts w:hint="cs"/>
          <w:color w:val="auto"/>
          <w:sz w:val="26"/>
          <w:rtl/>
        </w:rPr>
        <w:t>2ـ حذف الألقاب، والكُنى، ونحوها</w:t>
      </w:r>
      <w:bookmarkEnd w:id="467"/>
      <w:bookmarkEnd w:id="468"/>
    </w:p>
    <w:p w:rsidR="008A3F20" w:rsidRPr="006571AC" w:rsidRDefault="008A3F20" w:rsidP="00A94070">
      <w:pPr>
        <w:spacing w:line="420" w:lineRule="exact"/>
        <w:rPr>
          <w:sz w:val="27"/>
          <w:rtl/>
        </w:rPr>
      </w:pPr>
      <w:r w:rsidRPr="006571AC">
        <w:rPr>
          <w:rFonts w:hint="cs"/>
          <w:sz w:val="24"/>
          <w:szCs w:val="24"/>
          <w:rtl/>
        </w:rPr>
        <w:t>«</w:t>
      </w:r>
      <w:r w:rsidRPr="006571AC">
        <w:rPr>
          <w:sz w:val="27"/>
          <w:rtl/>
        </w:rPr>
        <w:t>حذف</w:t>
      </w:r>
      <w:r w:rsidRPr="006571AC">
        <w:rPr>
          <w:rFonts w:hint="cs"/>
          <w:sz w:val="27"/>
          <w:rtl/>
        </w:rPr>
        <w:t xml:space="preserve"> الشيخ الحُرّ</w:t>
      </w:r>
      <w:r w:rsidRPr="006571AC">
        <w:rPr>
          <w:rFonts w:ascii="Mosawi" w:hAnsi="Mosawi" w:cs="Mosawi"/>
          <w:sz w:val="22"/>
          <w:szCs w:val="22"/>
          <w:rtl/>
        </w:rPr>
        <w:t>&amp;</w:t>
      </w:r>
      <w:r w:rsidRPr="006571AC">
        <w:rPr>
          <w:rFonts w:hint="cs"/>
          <w:sz w:val="27"/>
          <w:rtl/>
        </w:rPr>
        <w:t xml:space="preserve"> من أسناد أحاديث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sz w:val="27"/>
          <w:rtl/>
        </w:rPr>
        <w:t xml:space="preserve"> الألقاب</w:t>
      </w:r>
      <w:r w:rsidRPr="006571AC">
        <w:rPr>
          <w:rFonts w:hint="cs"/>
          <w:sz w:val="27"/>
          <w:rtl/>
        </w:rPr>
        <w:t>َ،</w:t>
      </w:r>
      <w:r w:rsidRPr="006571AC">
        <w:rPr>
          <w:sz w:val="27"/>
          <w:rtl/>
        </w:rPr>
        <w:t xml:space="preserve"> والك</w:t>
      </w:r>
      <w:r w:rsidRPr="006571AC">
        <w:rPr>
          <w:rFonts w:hint="cs"/>
          <w:sz w:val="27"/>
          <w:rtl/>
        </w:rPr>
        <w:t>ُ</w:t>
      </w:r>
      <w:r w:rsidRPr="006571AC">
        <w:rPr>
          <w:sz w:val="27"/>
          <w:rtl/>
        </w:rPr>
        <w:t>نى</w:t>
      </w:r>
      <w:r w:rsidRPr="006571AC">
        <w:rPr>
          <w:rFonts w:hint="cs"/>
          <w:sz w:val="27"/>
          <w:rtl/>
        </w:rPr>
        <w:t>،</w:t>
      </w:r>
      <w:r w:rsidRPr="006571AC">
        <w:rPr>
          <w:sz w:val="27"/>
          <w:rtl/>
        </w:rPr>
        <w:t xml:space="preserve"> وأعمدة</w:t>
      </w:r>
      <w:r w:rsidRPr="006571AC">
        <w:rPr>
          <w:rFonts w:hint="cs"/>
          <w:sz w:val="27"/>
          <w:rtl/>
        </w:rPr>
        <w:t>َ</w:t>
      </w:r>
      <w:r w:rsidRPr="006571AC">
        <w:rPr>
          <w:sz w:val="27"/>
          <w:rtl/>
        </w:rPr>
        <w:t xml:space="preserve"> الن</w:t>
      </w:r>
      <w:r w:rsidR="006F67D2" w:rsidRPr="006571AC">
        <w:rPr>
          <w:rFonts w:hint="cs"/>
          <w:sz w:val="27"/>
          <w:rtl/>
        </w:rPr>
        <w:t>َّ</w:t>
      </w:r>
      <w:r w:rsidRPr="006571AC">
        <w:rPr>
          <w:sz w:val="27"/>
          <w:rtl/>
        </w:rPr>
        <w:t>س</w:t>
      </w:r>
      <w:r w:rsidRPr="006571AC">
        <w:rPr>
          <w:rFonts w:hint="cs"/>
          <w:sz w:val="27"/>
          <w:rtl/>
        </w:rPr>
        <w:t>َ</w:t>
      </w:r>
      <w:r w:rsidRPr="006571AC">
        <w:rPr>
          <w:sz w:val="27"/>
          <w:rtl/>
        </w:rPr>
        <w:t>ب،</w:t>
      </w:r>
      <w:r w:rsidRPr="006571AC">
        <w:rPr>
          <w:rFonts w:hint="cs"/>
          <w:sz w:val="27"/>
          <w:rtl/>
        </w:rPr>
        <w:t xml:space="preserve"> والتواريخ، والأمكنة</w:t>
      </w:r>
      <w:r w:rsidRPr="006571AC">
        <w:rPr>
          <w:sz w:val="27"/>
          <w:rtl/>
        </w:rPr>
        <w:t xml:space="preserve">، </w:t>
      </w:r>
      <w:r w:rsidRPr="006571AC">
        <w:rPr>
          <w:rFonts w:hint="cs"/>
          <w:sz w:val="27"/>
          <w:rtl/>
        </w:rPr>
        <w:t xml:space="preserve">وما أشبه، وذلك في أكثر الموارد، وخاصّة في الأسانيد المتكرِّرة، والأسماء المعروفة المتداولة. </w:t>
      </w:r>
    </w:p>
    <w:p w:rsidR="008A3F20" w:rsidRPr="006571AC" w:rsidRDefault="008A3F20" w:rsidP="00A94070">
      <w:pPr>
        <w:spacing w:line="420" w:lineRule="exact"/>
        <w:rPr>
          <w:sz w:val="27"/>
          <w:rtl/>
        </w:rPr>
      </w:pPr>
      <w:r w:rsidRPr="006571AC">
        <w:rPr>
          <w:sz w:val="27"/>
          <w:rtl/>
        </w:rPr>
        <w:t>و</w:t>
      </w:r>
      <w:r w:rsidRPr="006571AC">
        <w:rPr>
          <w:rFonts w:hint="cs"/>
          <w:sz w:val="27"/>
          <w:rtl/>
        </w:rPr>
        <w:t>اقتصر</w:t>
      </w:r>
      <w:r w:rsidRPr="006571AC">
        <w:rPr>
          <w:rFonts w:ascii="Mosawi" w:hAnsi="Mosawi" w:cs="Mosawi"/>
          <w:sz w:val="22"/>
          <w:szCs w:val="22"/>
          <w:rtl/>
        </w:rPr>
        <w:t>&amp;</w:t>
      </w:r>
      <w:r w:rsidRPr="006571AC">
        <w:rPr>
          <w:sz w:val="27"/>
          <w:rtl/>
        </w:rPr>
        <w:t xml:space="preserve"> على الأسماء، أو الألقاب المعروفة، مثلا</w:t>
      </w:r>
      <w:r w:rsidRPr="006571AC">
        <w:rPr>
          <w:rFonts w:hint="cs"/>
          <w:sz w:val="27"/>
          <w:rtl/>
        </w:rPr>
        <w:t>ً:</w:t>
      </w:r>
      <w:r w:rsidRPr="006571AC">
        <w:rPr>
          <w:sz w:val="27"/>
          <w:rtl/>
        </w:rPr>
        <w:t xml:space="preserve"> يكتفي بكلمة (الح</w:t>
      </w:r>
      <w:r w:rsidRPr="006571AC">
        <w:rPr>
          <w:rFonts w:hint="cs"/>
          <w:sz w:val="27"/>
          <w:rtl/>
        </w:rPr>
        <w:t>ِ</w:t>
      </w:r>
      <w:r w:rsidRPr="006571AC">
        <w:rPr>
          <w:sz w:val="27"/>
          <w:rtl/>
        </w:rPr>
        <w:t>م</w:t>
      </w:r>
      <w:r w:rsidRPr="006571AC">
        <w:rPr>
          <w:rFonts w:hint="cs"/>
          <w:sz w:val="27"/>
          <w:rtl/>
        </w:rPr>
        <w:t>ْ</w:t>
      </w:r>
      <w:r w:rsidRPr="006571AC">
        <w:rPr>
          <w:sz w:val="27"/>
          <w:rtl/>
        </w:rPr>
        <w:t>ي</w:t>
      </w:r>
      <w:r w:rsidRPr="006571AC">
        <w:rPr>
          <w:rFonts w:hint="cs"/>
          <w:sz w:val="27"/>
          <w:rtl/>
        </w:rPr>
        <w:t>َ</w:t>
      </w:r>
      <w:r w:rsidRPr="006571AC">
        <w:rPr>
          <w:sz w:val="27"/>
          <w:rtl/>
        </w:rPr>
        <w:t>ري</w:t>
      </w:r>
      <w:r w:rsidRPr="006571AC">
        <w:rPr>
          <w:rFonts w:hint="cs"/>
          <w:sz w:val="27"/>
          <w:rtl/>
        </w:rPr>
        <w:t>ّ</w:t>
      </w:r>
      <w:r w:rsidRPr="006571AC">
        <w:rPr>
          <w:sz w:val="27"/>
          <w:rtl/>
        </w:rPr>
        <w:t>) عن ذكر (عبد الله بن جعفر الح</w:t>
      </w:r>
      <w:r w:rsidRPr="006571AC">
        <w:rPr>
          <w:rFonts w:hint="cs"/>
          <w:sz w:val="27"/>
          <w:rtl/>
        </w:rPr>
        <w:t>ِ</w:t>
      </w:r>
      <w:r w:rsidRPr="006571AC">
        <w:rPr>
          <w:sz w:val="27"/>
          <w:rtl/>
        </w:rPr>
        <w:t>م</w:t>
      </w:r>
      <w:r w:rsidRPr="006571AC">
        <w:rPr>
          <w:rFonts w:hint="cs"/>
          <w:sz w:val="27"/>
          <w:rtl/>
        </w:rPr>
        <w:t>ْ</w:t>
      </w:r>
      <w:r w:rsidRPr="006571AC">
        <w:rPr>
          <w:sz w:val="27"/>
          <w:rtl/>
        </w:rPr>
        <w:t>ي</w:t>
      </w:r>
      <w:r w:rsidRPr="006571AC">
        <w:rPr>
          <w:rFonts w:hint="cs"/>
          <w:sz w:val="27"/>
          <w:rtl/>
        </w:rPr>
        <w:t>َ</w:t>
      </w:r>
      <w:r w:rsidRPr="006571AC">
        <w:rPr>
          <w:sz w:val="27"/>
          <w:rtl/>
        </w:rPr>
        <w:t>ري</w:t>
      </w:r>
      <w:r w:rsidRPr="006571AC">
        <w:rPr>
          <w:rFonts w:hint="cs"/>
          <w:sz w:val="27"/>
          <w:rtl/>
        </w:rPr>
        <w:t>ّ</w:t>
      </w:r>
      <w:r w:rsidRPr="006571AC">
        <w:rPr>
          <w:sz w:val="27"/>
          <w:rtl/>
        </w:rPr>
        <w:t>)</w:t>
      </w:r>
      <w:r w:rsidRPr="006571AC">
        <w:rPr>
          <w:rFonts w:hint="cs"/>
          <w:sz w:val="24"/>
          <w:szCs w:val="24"/>
          <w:rtl/>
        </w:rPr>
        <w:t>»</w:t>
      </w:r>
      <w:r w:rsidRPr="006571AC">
        <w:rPr>
          <w:sz w:val="27"/>
          <w:vertAlign w:val="superscript"/>
          <w:rtl/>
        </w:rPr>
        <w:t>(</w:t>
      </w:r>
      <w:r w:rsidRPr="006571AC">
        <w:rPr>
          <w:rStyle w:val="ac"/>
          <w:sz w:val="27"/>
          <w:rtl/>
        </w:rPr>
        <w:endnoteReference w:id="776"/>
      </w:r>
      <w:r w:rsidRPr="006571AC">
        <w:rPr>
          <w:sz w:val="27"/>
          <w:vertAlign w:val="superscript"/>
          <w:rtl/>
        </w:rPr>
        <w:t>)</w:t>
      </w:r>
      <w:r w:rsidRPr="006571AC">
        <w:rPr>
          <w:rFonts w:hint="cs"/>
          <w:sz w:val="27"/>
          <w:rtl/>
        </w:rPr>
        <w:t xml:space="preserve">. </w:t>
      </w:r>
    </w:p>
    <w:p w:rsidR="008A3F20" w:rsidRPr="006571AC" w:rsidRDefault="008A3F20" w:rsidP="00237DFE">
      <w:pPr>
        <w:pStyle w:val="31"/>
        <w:rPr>
          <w:color w:val="auto"/>
          <w:sz w:val="26"/>
          <w:rtl/>
        </w:rPr>
      </w:pPr>
      <w:bookmarkStart w:id="469" w:name="_Toc171512704"/>
      <w:bookmarkStart w:id="470" w:name="_Toc114164870"/>
      <w:r w:rsidRPr="006571AC">
        <w:rPr>
          <w:rFonts w:hint="cs"/>
          <w:color w:val="auto"/>
          <w:sz w:val="26"/>
          <w:rtl/>
        </w:rPr>
        <w:lastRenderedPageBreak/>
        <w:t>3</w:t>
      </w:r>
      <w:r w:rsidR="00F35A65" w:rsidRPr="006571AC">
        <w:rPr>
          <w:rFonts w:hint="cs"/>
          <w:color w:val="auto"/>
          <w:sz w:val="26"/>
          <w:rtl/>
        </w:rPr>
        <w:t>ـ استبدال بعض كلمات السند بضميرٍ دالٍّ</w:t>
      </w:r>
      <w:r w:rsidRPr="006571AC">
        <w:rPr>
          <w:rFonts w:hint="cs"/>
          <w:color w:val="auto"/>
          <w:sz w:val="26"/>
          <w:rtl/>
        </w:rPr>
        <w:t xml:space="preserve"> عليها</w:t>
      </w:r>
      <w:bookmarkEnd w:id="469"/>
      <w:bookmarkEnd w:id="470"/>
      <w:r w:rsidRPr="006571AC">
        <w:rPr>
          <w:rFonts w:hint="cs"/>
          <w:color w:val="auto"/>
          <w:sz w:val="26"/>
          <w:rtl/>
        </w:rPr>
        <w:t xml:space="preserve"> </w:t>
      </w:r>
    </w:p>
    <w:p w:rsidR="008A3F20" w:rsidRPr="006571AC" w:rsidRDefault="008A3F20" w:rsidP="00867550">
      <w:pPr>
        <w:spacing w:line="386" w:lineRule="exact"/>
        <w:rPr>
          <w:sz w:val="27"/>
          <w:rtl/>
        </w:rPr>
      </w:pPr>
      <w:r w:rsidRPr="006571AC">
        <w:rPr>
          <w:rFonts w:hint="cs"/>
          <w:sz w:val="27"/>
          <w:rtl/>
        </w:rPr>
        <w:t xml:space="preserve"> في نقله لأحاديث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xml:space="preserve"> تصرّف الشيخ الحُرّ</w:t>
      </w:r>
      <w:r w:rsidRPr="006571AC">
        <w:rPr>
          <w:rFonts w:ascii="Mosawi" w:hAnsi="Mosawi" w:cs="Mosawi"/>
          <w:sz w:val="22"/>
          <w:szCs w:val="22"/>
          <w:rtl/>
        </w:rPr>
        <w:t>&amp;</w:t>
      </w:r>
      <w:r w:rsidRPr="006571AC">
        <w:rPr>
          <w:rFonts w:hint="cs"/>
          <w:sz w:val="27"/>
          <w:rtl/>
        </w:rPr>
        <w:t xml:space="preserve"> في أسناد بعض تلك الأحاديث، وذلك للاختصار قدر الإمكان. </w:t>
      </w:r>
    </w:p>
    <w:p w:rsidR="008A3F20" w:rsidRPr="006571AC" w:rsidRDefault="008A3F20" w:rsidP="00867550">
      <w:pPr>
        <w:spacing w:line="386" w:lineRule="exact"/>
        <w:rPr>
          <w:sz w:val="27"/>
          <w:rtl/>
        </w:rPr>
      </w:pPr>
      <w:r w:rsidRPr="006571AC">
        <w:rPr>
          <w:rFonts w:hint="cs"/>
          <w:sz w:val="27"/>
          <w:rtl/>
        </w:rPr>
        <w:t>وتنحصر تلك التصرُّفات ـ بح</w:t>
      </w:r>
      <w:r w:rsidR="00F35A65" w:rsidRPr="006571AC">
        <w:rPr>
          <w:rFonts w:hint="cs"/>
          <w:sz w:val="27"/>
          <w:rtl/>
        </w:rPr>
        <w:t>َ</w:t>
      </w:r>
      <w:r w:rsidRPr="006571AC">
        <w:rPr>
          <w:rFonts w:hint="cs"/>
          <w:sz w:val="27"/>
          <w:rtl/>
        </w:rPr>
        <w:t>س</w:t>
      </w:r>
      <w:r w:rsidR="00F35A65" w:rsidRPr="006571AC">
        <w:rPr>
          <w:rFonts w:hint="cs"/>
          <w:sz w:val="27"/>
          <w:rtl/>
        </w:rPr>
        <w:t>َ</w:t>
      </w:r>
      <w:r w:rsidRPr="006571AC">
        <w:rPr>
          <w:rFonts w:hint="cs"/>
          <w:sz w:val="27"/>
          <w:rtl/>
        </w:rPr>
        <w:t xml:space="preserve">ب تتبُّعنا ـ في أمرَيْن، وهما: </w:t>
      </w:r>
    </w:p>
    <w:p w:rsidR="008A3F20" w:rsidRPr="006571AC" w:rsidRDefault="008A3F20" w:rsidP="00867550">
      <w:pPr>
        <w:spacing w:line="386" w:lineRule="exact"/>
        <w:rPr>
          <w:sz w:val="27"/>
          <w:rtl/>
        </w:rPr>
      </w:pPr>
    </w:p>
    <w:p w:rsidR="008A3F20" w:rsidRPr="006571AC" w:rsidRDefault="008A3F20" w:rsidP="00F35A65">
      <w:pPr>
        <w:pStyle w:val="31"/>
        <w:rPr>
          <w:color w:val="auto"/>
          <w:sz w:val="26"/>
          <w:rtl/>
        </w:rPr>
      </w:pPr>
      <w:bookmarkStart w:id="471" w:name="_Toc171512705"/>
      <w:bookmarkStart w:id="472" w:name="_Toc114164871"/>
      <w:r w:rsidRPr="006571AC">
        <w:rPr>
          <w:rFonts w:hint="cs"/>
          <w:color w:val="auto"/>
          <w:sz w:val="26"/>
          <w:rtl/>
        </w:rPr>
        <w:t>أـ استبدال قول الشيخ الكلينيّ</w:t>
      </w:r>
      <w:r w:rsidR="00F35A65" w:rsidRPr="006571AC">
        <w:rPr>
          <w:rFonts w:ascii="Mosawi" w:hAnsi="Mosawi" w:cs="Mosawi"/>
          <w:color w:val="auto"/>
          <w:sz w:val="22"/>
          <w:szCs w:val="22"/>
          <w:rtl/>
        </w:rPr>
        <w:t>&amp;</w:t>
      </w:r>
      <w:r w:rsidRPr="006571AC">
        <w:rPr>
          <w:rFonts w:hint="cs"/>
          <w:color w:val="auto"/>
          <w:sz w:val="26"/>
          <w:rtl/>
        </w:rPr>
        <w:t>: «عدّة من أصحابنا» بلفظ «عنهم» أحياناً</w:t>
      </w:r>
      <w:bookmarkEnd w:id="471"/>
      <w:bookmarkEnd w:id="472"/>
    </w:p>
    <w:p w:rsidR="008A3F20" w:rsidRPr="006571AC" w:rsidRDefault="008A3F20" w:rsidP="006F67D2">
      <w:pPr>
        <w:spacing w:line="386" w:lineRule="exact"/>
        <w:rPr>
          <w:sz w:val="27"/>
          <w:rtl/>
        </w:rPr>
      </w:pPr>
      <w:r w:rsidRPr="006571AC">
        <w:rPr>
          <w:rFonts w:hint="cs"/>
          <w:sz w:val="27"/>
          <w:rtl/>
        </w:rPr>
        <w:t>وقد أشار الشيخ الحُرّ</w:t>
      </w:r>
      <w:r w:rsidRPr="006571AC">
        <w:rPr>
          <w:rFonts w:ascii="Mosawi" w:hAnsi="Mosawi" w:cs="Mosawi"/>
          <w:sz w:val="22"/>
          <w:szCs w:val="22"/>
          <w:rtl/>
        </w:rPr>
        <w:t>&amp;</w:t>
      </w:r>
      <w:r w:rsidRPr="006571AC">
        <w:rPr>
          <w:rFonts w:hint="cs"/>
          <w:sz w:val="27"/>
          <w:rtl/>
        </w:rPr>
        <w:t xml:space="preserve"> لهذا الأمر حيث قال: </w:t>
      </w:r>
      <w:r w:rsidRPr="006571AC">
        <w:rPr>
          <w:rFonts w:hint="cs"/>
          <w:sz w:val="24"/>
          <w:szCs w:val="24"/>
          <w:rtl/>
        </w:rPr>
        <w:t>«</w:t>
      </w:r>
      <w:r w:rsidRPr="006571AC">
        <w:rPr>
          <w:sz w:val="27"/>
          <w:rtl/>
        </w:rPr>
        <w:t>وقد أور</w:t>
      </w:r>
      <w:r w:rsidR="002F4EAF" w:rsidRPr="006571AC">
        <w:rPr>
          <w:rFonts w:hint="cs"/>
          <w:sz w:val="27"/>
          <w:rtl/>
        </w:rPr>
        <w:t>َ</w:t>
      </w:r>
      <w:r w:rsidRPr="006571AC">
        <w:rPr>
          <w:sz w:val="27"/>
          <w:rtl/>
        </w:rPr>
        <w:t>د</w:t>
      </w:r>
      <w:r w:rsidR="002F4EAF" w:rsidRPr="006571AC">
        <w:rPr>
          <w:rFonts w:hint="cs"/>
          <w:sz w:val="27"/>
          <w:rtl/>
        </w:rPr>
        <w:t>ْ</w:t>
      </w:r>
      <w:r w:rsidRPr="006571AC">
        <w:rPr>
          <w:sz w:val="27"/>
          <w:rtl/>
        </w:rPr>
        <w:t>ت</w:t>
      </w:r>
      <w:r w:rsidRPr="006571AC">
        <w:rPr>
          <w:rFonts w:hint="cs"/>
          <w:sz w:val="27"/>
          <w:rtl/>
        </w:rPr>
        <w:t>ُ</w:t>
      </w:r>
      <w:r w:rsidRPr="006571AC">
        <w:rPr>
          <w:sz w:val="27"/>
          <w:rtl/>
        </w:rPr>
        <w:t xml:space="preserve"> عبارته </w:t>
      </w:r>
      <w:r w:rsidRPr="006571AC">
        <w:rPr>
          <w:rFonts w:hint="cs"/>
          <w:sz w:val="27"/>
          <w:rtl/>
        </w:rPr>
        <w:t>ـ</w:t>
      </w:r>
      <w:r w:rsidRPr="006571AC">
        <w:rPr>
          <w:sz w:val="27"/>
          <w:rtl/>
        </w:rPr>
        <w:t xml:space="preserve"> في الأسانيد </w:t>
      </w:r>
      <w:r w:rsidRPr="006571AC">
        <w:rPr>
          <w:rFonts w:hint="cs"/>
          <w:sz w:val="27"/>
          <w:rtl/>
        </w:rPr>
        <w:t>ـ</w:t>
      </w:r>
      <w:r w:rsidRPr="006571AC">
        <w:rPr>
          <w:sz w:val="27"/>
          <w:rtl/>
        </w:rPr>
        <w:t xml:space="preserve"> بعينها</w:t>
      </w:r>
      <w:r w:rsidRPr="006571AC">
        <w:rPr>
          <w:rFonts w:hint="cs"/>
          <w:sz w:val="27"/>
          <w:rtl/>
        </w:rPr>
        <w:t>،</w:t>
      </w:r>
      <w:r w:rsidRPr="006571AC">
        <w:rPr>
          <w:sz w:val="27"/>
          <w:rtl/>
        </w:rPr>
        <w:t xml:space="preserve"> إلا</w:t>
      </w:r>
      <w:r w:rsidRPr="006571AC">
        <w:rPr>
          <w:rFonts w:hint="cs"/>
          <w:sz w:val="27"/>
          <w:rtl/>
        </w:rPr>
        <w:t>ّ</w:t>
      </w:r>
      <w:r w:rsidRPr="006571AC">
        <w:rPr>
          <w:sz w:val="27"/>
          <w:rtl/>
        </w:rPr>
        <w:t xml:space="preserve"> أن</w:t>
      </w:r>
      <w:r w:rsidRPr="006571AC">
        <w:rPr>
          <w:rFonts w:hint="cs"/>
          <w:sz w:val="27"/>
          <w:rtl/>
        </w:rPr>
        <w:t>ّ</w:t>
      </w:r>
      <w:r w:rsidRPr="006571AC">
        <w:rPr>
          <w:sz w:val="27"/>
          <w:rtl/>
        </w:rPr>
        <w:t xml:space="preserve">ه </w:t>
      </w:r>
      <w:r w:rsidRPr="006571AC">
        <w:rPr>
          <w:b/>
          <w:bCs/>
          <w:sz w:val="27"/>
          <w:rtl/>
        </w:rPr>
        <w:t>إذا تكر</w:t>
      </w:r>
      <w:r w:rsidRPr="006571AC">
        <w:rPr>
          <w:rFonts w:hint="cs"/>
          <w:b/>
          <w:bCs/>
          <w:sz w:val="27"/>
          <w:rtl/>
        </w:rPr>
        <w:t>ّ</w:t>
      </w:r>
      <w:r w:rsidR="002F4EAF" w:rsidRPr="006571AC">
        <w:rPr>
          <w:rFonts w:hint="cs"/>
          <w:b/>
          <w:bCs/>
          <w:sz w:val="27"/>
          <w:rtl/>
        </w:rPr>
        <w:t>َ</w:t>
      </w:r>
      <w:r w:rsidRPr="006571AC">
        <w:rPr>
          <w:b/>
          <w:bCs/>
          <w:sz w:val="27"/>
          <w:rtl/>
        </w:rPr>
        <w:t xml:space="preserve">ر قوله: </w:t>
      </w:r>
      <w:r w:rsidRPr="006571AC">
        <w:rPr>
          <w:rFonts w:hint="cs"/>
          <w:b/>
          <w:bCs/>
          <w:sz w:val="24"/>
          <w:szCs w:val="24"/>
          <w:rtl/>
        </w:rPr>
        <w:t>«</w:t>
      </w:r>
      <w:r w:rsidRPr="006571AC">
        <w:rPr>
          <w:b/>
          <w:bCs/>
          <w:sz w:val="27"/>
          <w:rtl/>
        </w:rPr>
        <w:t>عد</w:t>
      </w:r>
      <w:r w:rsidRPr="006571AC">
        <w:rPr>
          <w:rFonts w:hint="cs"/>
          <w:b/>
          <w:bCs/>
          <w:sz w:val="27"/>
          <w:rtl/>
        </w:rPr>
        <w:t>ّ</w:t>
      </w:r>
      <w:r w:rsidRPr="006571AC">
        <w:rPr>
          <w:b/>
          <w:bCs/>
          <w:sz w:val="27"/>
          <w:rtl/>
        </w:rPr>
        <w:t>ة من أصحابنا</w:t>
      </w:r>
      <w:r w:rsidRPr="006571AC">
        <w:rPr>
          <w:rFonts w:hint="cs"/>
          <w:b/>
          <w:bCs/>
          <w:sz w:val="24"/>
          <w:szCs w:val="24"/>
          <w:rtl/>
        </w:rPr>
        <w:t>»</w:t>
      </w:r>
      <w:r w:rsidRPr="006571AC">
        <w:rPr>
          <w:rFonts w:hint="cs"/>
          <w:b/>
          <w:bCs/>
          <w:sz w:val="27"/>
          <w:rtl/>
        </w:rPr>
        <w:t xml:space="preserve"> </w:t>
      </w:r>
      <w:r w:rsidRPr="006571AC">
        <w:rPr>
          <w:b/>
          <w:bCs/>
          <w:sz w:val="27"/>
          <w:rtl/>
        </w:rPr>
        <w:t>في سند حديث</w:t>
      </w:r>
      <w:r w:rsidRPr="006571AC">
        <w:rPr>
          <w:rFonts w:hint="cs"/>
          <w:b/>
          <w:bCs/>
          <w:sz w:val="27"/>
          <w:rtl/>
        </w:rPr>
        <w:t>َ</w:t>
      </w:r>
      <w:r w:rsidRPr="006571AC">
        <w:rPr>
          <w:b/>
          <w:bCs/>
          <w:sz w:val="27"/>
          <w:rtl/>
        </w:rPr>
        <w:t>ي</w:t>
      </w:r>
      <w:r w:rsidRPr="006571AC">
        <w:rPr>
          <w:rFonts w:hint="cs"/>
          <w:b/>
          <w:bCs/>
          <w:sz w:val="27"/>
          <w:rtl/>
        </w:rPr>
        <w:t>ْ</w:t>
      </w:r>
      <w:r w:rsidRPr="006571AC">
        <w:rPr>
          <w:b/>
          <w:bCs/>
          <w:sz w:val="27"/>
          <w:rtl/>
        </w:rPr>
        <w:t>ن قلت</w:t>
      </w:r>
      <w:r w:rsidRPr="006571AC">
        <w:rPr>
          <w:rFonts w:hint="cs"/>
          <w:b/>
          <w:bCs/>
          <w:sz w:val="27"/>
          <w:rtl/>
        </w:rPr>
        <w:t>ُ</w:t>
      </w:r>
      <w:r w:rsidRPr="006571AC">
        <w:rPr>
          <w:b/>
          <w:bCs/>
          <w:sz w:val="27"/>
          <w:rtl/>
        </w:rPr>
        <w:t xml:space="preserve"> </w:t>
      </w:r>
      <w:r w:rsidRPr="006571AC">
        <w:rPr>
          <w:rFonts w:hint="cs"/>
          <w:b/>
          <w:bCs/>
          <w:sz w:val="27"/>
          <w:rtl/>
        </w:rPr>
        <w:t>ـ</w:t>
      </w:r>
      <w:r w:rsidRPr="006571AC">
        <w:rPr>
          <w:b/>
          <w:bCs/>
          <w:sz w:val="27"/>
          <w:rtl/>
        </w:rPr>
        <w:t xml:space="preserve"> في الثاني </w:t>
      </w:r>
      <w:r w:rsidRPr="006571AC">
        <w:rPr>
          <w:rFonts w:hint="cs"/>
          <w:b/>
          <w:bCs/>
          <w:sz w:val="27"/>
          <w:rtl/>
        </w:rPr>
        <w:t>ـ</w:t>
      </w:r>
      <w:r w:rsidRPr="006571AC">
        <w:rPr>
          <w:b/>
          <w:bCs/>
          <w:sz w:val="27"/>
          <w:rtl/>
        </w:rPr>
        <w:t xml:space="preserve">: </w:t>
      </w:r>
      <w:r w:rsidRPr="006571AC">
        <w:rPr>
          <w:rFonts w:hint="cs"/>
          <w:b/>
          <w:bCs/>
          <w:sz w:val="24"/>
          <w:szCs w:val="24"/>
          <w:rtl/>
        </w:rPr>
        <w:t>«</w:t>
      </w:r>
      <w:r w:rsidRPr="006571AC">
        <w:rPr>
          <w:b/>
          <w:bCs/>
          <w:sz w:val="27"/>
          <w:rtl/>
        </w:rPr>
        <w:t>وعنهم، عن فلان</w:t>
      </w:r>
      <w:r w:rsidRPr="006571AC">
        <w:rPr>
          <w:rFonts w:hint="cs"/>
          <w:b/>
          <w:bCs/>
          <w:sz w:val="24"/>
          <w:szCs w:val="24"/>
          <w:rtl/>
        </w:rPr>
        <w:t>»</w:t>
      </w:r>
      <w:r w:rsidRPr="006571AC">
        <w:rPr>
          <w:rFonts w:hint="cs"/>
          <w:b/>
          <w:bCs/>
          <w:sz w:val="27"/>
          <w:rtl/>
        </w:rPr>
        <w:t xml:space="preserve">؛ </w:t>
      </w:r>
      <w:r w:rsidRPr="006571AC">
        <w:rPr>
          <w:b/>
          <w:bCs/>
          <w:sz w:val="27"/>
          <w:rtl/>
        </w:rPr>
        <w:t>للاختصار</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777"/>
      </w:r>
      <w:r w:rsidRPr="006571AC">
        <w:rPr>
          <w:sz w:val="27"/>
          <w:vertAlign w:val="superscript"/>
          <w:rtl/>
        </w:rPr>
        <w:t>)</w:t>
      </w:r>
      <w:r w:rsidRPr="006571AC">
        <w:rPr>
          <w:rFonts w:hint="cs"/>
          <w:sz w:val="27"/>
          <w:rtl/>
        </w:rPr>
        <w:t>.</w:t>
      </w:r>
      <w:r w:rsidRPr="006571AC">
        <w:rPr>
          <w:sz w:val="27"/>
          <w:rtl/>
        </w:rPr>
        <w:t xml:space="preserve"> </w:t>
      </w:r>
    </w:p>
    <w:p w:rsidR="008A3F20" w:rsidRPr="006571AC" w:rsidRDefault="008A3F20" w:rsidP="00867550">
      <w:pPr>
        <w:spacing w:line="386" w:lineRule="exact"/>
        <w:rPr>
          <w:sz w:val="27"/>
          <w:rtl/>
        </w:rPr>
      </w:pPr>
      <w:r w:rsidRPr="006571AC">
        <w:rPr>
          <w:rFonts w:hint="cs"/>
          <w:sz w:val="27"/>
          <w:rtl/>
        </w:rPr>
        <w:t>ومن موارد هذا التصرُّف:</w:t>
      </w:r>
    </w:p>
    <w:p w:rsidR="008A3F20" w:rsidRPr="006571AC" w:rsidRDefault="008A3F20" w:rsidP="00867550">
      <w:pPr>
        <w:spacing w:line="386" w:lineRule="exact"/>
        <w:rPr>
          <w:sz w:val="27"/>
          <w:rtl/>
        </w:rPr>
      </w:pPr>
      <w:r w:rsidRPr="006571AC">
        <w:rPr>
          <w:rFonts w:hint="cs"/>
          <w:sz w:val="27"/>
          <w:rtl/>
        </w:rPr>
        <w:t xml:space="preserve">* ما في الباب 6 من أبواب مقدّمة العبادات، ح 1 و2، حيث قال: </w:t>
      </w:r>
      <w:r w:rsidRPr="006571AC">
        <w:rPr>
          <w:rFonts w:hint="cs"/>
          <w:sz w:val="24"/>
          <w:szCs w:val="24"/>
          <w:rtl/>
        </w:rPr>
        <w:t>«</w:t>
      </w:r>
      <w:r w:rsidRPr="006571AC">
        <w:rPr>
          <w:sz w:val="27"/>
          <w:rtl/>
        </w:rPr>
        <w:t>1ـ محم</w:t>
      </w:r>
      <w:r w:rsidRPr="006571AC">
        <w:rPr>
          <w:rFonts w:hint="cs"/>
          <w:sz w:val="27"/>
          <w:rtl/>
        </w:rPr>
        <w:t>ّ</w:t>
      </w:r>
      <w:r w:rsidRPr="006571AC">
        <w:rPr>
          <w:sz w:val="27"/>
          <w:rtl/>
        </w:rPr>
        <w:t>د بن يعقوب، عن عد</w:t>
      </w:r>
      <w:r w:rsidRPr="006571AC">
        <w:rPr>
          <w:rFonts w:hint="cs"/>
          <w:sz w:val="27"/>
          <w:rtl/>
        </w:rPr>
        <w:t>ّ</w:t>
      </w:r>
      <w:r w:rsidRPr="006571AC">
        <w:rPr>
          <w:sz w:val="27"/>
          <w:rtl/>
        </w:rPr>
        <w:t>ة</w:t>
      </w:r>
      <w:r w:rsidR="006F67D2" w:rsidRPr="006571AC">
        <w:rPr>
          <w:rFonts w:hint="cs"/>
          <w:sz w:val="27"/>
          <w:rtl/>
        </w:rPr>
        <w:t>ٍ</w:t>
      </w:r>
      <w:r w:rsidRPr="006571AC">
        <w:rPr>
          <w:sz w:val="27"/>
          <w:rtl/>
        </w:rPr>
        <w:t xml:space="preserve"> من أصحابنا، عن أحمد بن محم</w:t>
      </w:r>
      <w:r w:rsidRPr="006571AC">
        <w:rPr>
          <w:rFonts w:hint="cs"/>
          <w:sz w:val="27"/>
          <w:rtl/>
        </w:rPr>
        <w:t>ّ</w:t>
      </w:r>
      <w:r w:rsidRPr="006571AC">
        <w:rPr>
          <w:sz w:val="27"/>
          <w:rtl/>
        </w:rPr>
        <w:t>د، عن ابن محبوب، عن هشام بن سالم، عن أبي بصير</w:t>
      </w:r>
      <w:r w:rsidRPr="006571AC">
        <w:rPr>
          <w:rFonts w:hint="cs"/>
          <w:sz w:val="27"/>
          <w:rtl/>
        </w:rPr>
        <w:t>،</w:t>
      </w:r>
      <w:r w:rsidRPr="006571AC">
        <w:rPr>
          <w:sz w:val="27"/>
          <w:rtl/>
        </w:rPr>
        <w:t xml:space="preserve"> عن أبي عبد الله</w:t>
      </w:r>
      <w:r w:rsidRPr="006571AC">
        <w:rPr>
          <w:rFonts w:ascii="Mosawi" w:hAnsi="Mosawi" w:cs="Mosawi"/>
          <w:sz w:val="22"/>
          <w:szCs w:val="22"/>
          <w:rtl/>
        </w:rPr>
        <w:t>×</w:t>
      </w:r>
      <w:r w:rsidRPr="006571AC">
        <w:rPr>
          <w:sz w:val="27"/>
          <w:rtl/>
        </w:rPr>
        <w:t xml:space="preserve"> قال:</w:t>
      </w:r>
      <w:r w:rsidRPr="006571AC">
        <w:rPr>
          <w:rFonts w:hint="cs"/>
          <w:sz w:val="27"/>
          <w:rtl/>
        </w:rPr>
        <w:t>...</w:t>
      </w:r>
      <w:r w:rsidRPr="006571AC">
        <w:rPr>
          <w:sz w:val="27"/>
          <w:rtl/>
        </w:rPr>
        <w:t xml:space="preserve">. </w:t>
      </w:r>
    </w:p>
    <w:p w:rsidR="008A3F20" w:rsidRPr="006571AC" w:rsidRDefault="008A3F20" w:rsidP="00867550">
      <w:pPr>
        <w:spacing w:line="386" w:lineRule="exact"/>
        <w:rPr>
          <w:sz w:val="27"/>
          <w:rtl/>
        </w:rPr>
      </w:pPr>
      <w:r w:rsidRPr="006571AC">
        <w:rPr>
          <w:sz w:val="27"/>
          <w:rtl/>
        </w:rPr>
        <w:t>ورواه البرقي</w:t>
      </w:r>
      <w:r w:rsidRPr="006571AC">
        <w:rPr>
          <w:rFonts w:hint="cs"/>
          <w:sz w:val="27"/>
          <w:rtl/>
        </w:rPr>
        <w:t>ّ</w:t>
      </w:r>
      <w:r w:rsidRPr="006571AC">
        <w:rPr>
          <w:sz w:val="27"/>
          <w:rtl/>
        </w:rPr>
        <w:t xml:space="preserve"> في </w:t>
      </w:r>
      <w:r w:rsidRPr="006571AC">
        <w:rPr>
          <w:rFonts w:hint="cs"/>
          <w:sz w:val="24"/>
          <w:szCs w:val="24"/>
          <w:rtl/>
        </w:rPr>
        <w:t>«</w:t>
      </w:r>
      <w:r w:rsidRPr="006571AC">
        <w:rPr>
          <w:sz w:val="27"/>
          <w:rtl/>
        </w:rPr>
        <w:t>المحاسن</w:t>
      </w:r>
      <w:r w:rsidRPr="006571AC">
        <w:rPr>
          <w:rFonts w:hint="cs"/>
          <w:sz w:val="24"/>
          <w:szCs w:val="24"/>
          <w:rtl/>
        </w:rPr>
        <w:t>»</w:t>
      </w:r>
      <w:r w:rsidRPr="006571AC">
        <w:rPr>
          <w:rFonts w:hint="cs"/>
          <w:sz w:val="27"/>
          <w:rtl/>
        </w:rPr>
        <w:t xml:space="preserve">، </w:t>
      </w:r>
      <w:r w:rsidRPr="006571AC">
        <w:rPr>
          <w:sz w:val="27"/>
          <w:rtl/>
        </w:rPr>
        <w:t xml:space="preserve">عن ابن محبوب، مثله. </w:t>
      </w:r>
    </w:p>
    <w:p w:rsidR="008A3F20" w:rsidRPr="006571AC" w:rsidRDefault="008A3F20" w:rsidP="006F67D2">
      <w:pPr>
        <w:spacing w:line="386" w:lineRule="exact"/>
        <w:rPr>
          <w:sz w:val="27"/>
          <w:rtl/>
        </w:rPr>
      </w:pPr>
      <w:r w:rsidRPr="006571AC">
        <w:rPr>
          <w:sz w:val="27"/>
          <w:rtl/>
        </w:rPr>
        <w:t xml:space="preserve">2ـ </w:t>
      </w:r>
      <w:r w:rsidRPr="006571AC">
        <w:rPr>
          <w:b/>
          <w:bCs/>
          <w:sz w:val="27"/>
          <w:rtl/>
        </w:rPr>
        <w:t>وعنهم</w:t>
      </w:r>
      <w:r w:rsidRPr="006571AC">
        <w:rPr>
          <w:sz w:val="27"/>
          <w:rtl/>
        </w:rPr>
        <w:t>، عن أحمد بن محم</w:t>
      </w:r>
      <w:r w:rsidRPr="006571AC">
        <w:rPr>
          <w:rFonts w:hint="cs"/>
          <w:sz w:val="27"/>
          <w:rtl/>
        </w:rPr>
        <w:t>ّ</w:t>
      </w:r>
      <w:r w:rsidRPr="006571AC">
        <w:rPr>
          <w:sz w:val="27"/>
          <w:rtl/>
        </w:rPr>
        <w:t>د بن خالد، عن علي</w:t>
      </w:r>
      <w:r w:rsidRPr="006571AC">
        <w:rPr>
          <w:rFonts w:hint="cs"/>
          <w:sz w:val="27"/>
          <w:rtl/>
        </w:rPr>
        <w:t>ّ</w:t>
      </w:r>
      <w:r w:rsidRPr="006571AC">
        <w:rPr>
          <w:sz w:val="27"/>
          <w:rtl/>
        </w:rPr>
        <w:t xml:space="preserve"> بن أسباط، عن محم</w:t>
      </w:r>
      <w:r w:rsidRPr="006571AC">
        <w:rPr>
          <w:rFonts w:hint="cs"/>
          <w:sz w:val="27"/>
          <w:rtl/>
        </w:rPr>
        <w:t>ّ</w:t>
      </w:r>
      <w:r w:rsidRPr="006571AC">
        <w:rPr>
          <w:sz w:val="27"/>
          <w:rtl/>
        </w:rPr>
        <w:t>د بن</w:t>
      </w:r>
      <w:r w:rsidRPr="006571AC">
        <w:rPr>
          <w:rFonts w:hint="cs"/>
          <w:sz w:val="27"/>
          <w:rtl/>
        </w:rPr>
        <w:t xml:space="preserve"> </w:t>
      </w:r>
      <w:r w:rsidRPr="006571AC">
        <w:rPr>
          <w:sz w:val="27"/>
          <w:rtl/>
        </w:rPr>
        <w:t>إسحاق بن الحسين بن عمرو، عن حسن بن أبان، عن أبي بصير قال: سألت</w:t>
      </w:r>
      <w:r w:rsidR="002F4EAF"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rFonts w:hint="cs"/>
          <w:sz w:val="27"/>
          <w:rtl/>
        </w:rPr>
        <w:t>...</w:t>
      </w:r>
      <w:r w:rsidRPr="006571AC">
        <w:rPr>
          <w:sz w:val="27"/>
          <w:rtl/>
        </w:rPr>
        <w:t xml:space="preserve">. </w:t>
      </w:r>
    </w:p>
    <w:p w:rsidR="008A3F20" w:rsidRPr="006571AC" w:rsidRDefault="008A3F20" w:rsidP="00867550">
      <w:pPr>
        <w:spacing w:line="386" w:lineRule="exact"/>
        <w:rPr>
          <w:sz w:val="27"/>
          <w:rtl/>
        </w:rPr>
      </w:pPr>
      <w:r w:rsidRPr="006571AC">
        <w:rPr>
          <w:sz w:val="27"/>
          <w:rtl/>
        </w:rPr>
        <w:t>ورواه البرقي</w:t>
      </w:r>
      <w:r w:rsidRPr="006571AC">
        <w:rPr>
          <w:rFonts w:hint="cs"/>
          <w:sz w:val="27"/>
          <w:rtl/>
        </w:rPr>
        <w:t>ّ</w:t>
      </w:r>
      <w:r w:rsidRPr="006571AC">
        <w:rPr>
          <w:sz w:val="27"/>
          <w:rtl/>
        </w:rPr>
        <w:t xml:space="preserve"> في </w:t>
      </w:r>
      <w:r w:rsidRPr="006571AC">
        <w:rPr>
          <w:rFonts w:hint="cs"/>
          <w:sz w:val="24"/>
          <w:szCs w:val="24"/>
          <w:rtl/>
        </w:rPr>
        <w:t>«</w:t>
      </w:r>
      <w:r w:rsidRPr="006571AC">
        <w:rPr>
          <w:sz w:val="27"/>
          <w:rtl/>
        </w:rPr>
        <w:t>المحاسن</w:t>
      </w:r>
      <w:r w:rsidRPr="006571AC">
        <w:rPr>
          <w:rFonts w:hint="cs"/>
          <w:sz w:val="24"/>
          <w:szCs w:val="24"/>
          <w:rtl/>
        </w:rPr>
        <w:t>»</w:t>
      </w:r>
      <w:r w:rsidRPr="006571AC">
        <w:rPr>
          <w:rFonts w:hint="cs"/>
          <w:sz w:val="27"/>
          <w:rtl/>
        </w:rPr>
        <w:t xml:space="preserve">، </w:t>
      </w:r>
      <w:r w:rsidRPr="006571AC">
        <w:rPr>
          <w:sz w:val="27"/>
          <w:rtl/>
        </w:rPr>
        <w:t>عن علي</w:t>
      </w:r>
      <w:r w:rsidRPr="006571AC">
        <w:rPr>
          <w:rFonts w:hint="cs"/>
          <w:sz w:val="27"/>
          <w:rtl/>
        </w:rPr>
        <w:t>ّ</w:t>
      </w:r>
      <w:r w:rsidRPr="006571AC">
        <w:rPr>
          <w:sz w:val="27"/>
          <w:rtl/>
        </w:rPr>
        <w:t xml:space="preserve"> بن أسباط، مثله</w:t>
      </w:r>
      <w:r w:rsidRPr="006571AC">
        <w:rPr>
          <w:rFonts w:hint="cs"/>
          <w:sz w:val="24"/>
          <w:szCs w:val="24"/>
          <w:rtl/>
        </w:rPr>
        <w:t>»</w:t>
      </w:r>
      <w:r w:rsidRPr="006571AC">
        <w:rPr>
          <w:sz w:val="27"/>
          <w:vertAlign w:val="superscript"/>
          <w:rtl/>
        </w:rPr>
        <w:t>(</w:t>
      </w:r>
      <w:r w:rsidRPr="006571AC">
        <w:rPr>
          <w:rStyle w:val="ac"/>
          <w:sz w:val="27"/>
          <w:rtl/>
        </w:rPr>
        <w:endnoteReference w:id="778"/>
      </w:r>
      <w:r w:rsidRPr="006571AC">
        <w:rPr>
          <w:sz w:val="27"/>
          <w:vertAlign w:val="superscript"/>
          <w:rtl/>
        </w:rPr>
        <w:t>)</w:t>
      </w:r>
      <w:r w:rsidRPr="006571AC">
        <w:rPr>
          <w:sz w:val="27"/>
          <w:rtl/>
        </w:rPr>
        <w:t>.</w:t>
      </w:r>
    </w:p>
    <w:p w:rsidR="008A3F20" w:rsidRPr="006571AC" w:rsidRDefault="008A3F20" w:rsidP="00867550">
      <w:pPr>
        <w:spacing w:line="386" w:lineRule="exact"/>
        <w:rPr>
          <w:sz w:val="27"/>
          <w:rtl/>
        </w:rPr>
      </w:pPr>
      <w:r w:rsidRPr="006571AC">
        <w:rPr>
          <w:rFonts w:hint="cs"/>
          <w:sz w:val="27"/>
          <w:rtl/>
        </w:rPr>
        <w:t xml:space="preserve">وبمراجعة </w:t>
      </w:r>
      <w:r w:rsidRPr="006571AC">
        <w:rPr>
          <w:rFonts w:hint="cs"/>
          <w:sz w:val="24"/>
          <w:szCs w:val="24"/>
          <w:rtl/>
        </w:rPr>
        <w:t>«</w:t>
      </w:r>
      <w:r w:rsidRPr="006571AC">
        <w:rPr>
          <w:rFonts w:hint="cs"/>
          <w:sz w:val="27"/>
          <w:rtl/>
        </w:rPr>
        <w:t>أصول الكافي</w:t>
      </w:r>
      <w:r w:rsidRPr="006571AC">
        <w:rPr>
          <w:rFonts w:hint="cs"/>
          <w:sz w:val="24"/>
          <w:szCs w:val="24"/>
          <w:rtl/>
        </w:rPr>
        <w:t>»</w:t>
      </w:r>
      <w:r w:rsidRPr="006571AC">
        <w:rPr>
          <w:rFonts w:hint="cs"/>
          <w:sz w:val="27"/>
          <w:rtl/>
        </w:rPr>
        <w:t xml:space="preserve"> تبيّن أنّ الحديثَيْن على هذا النحو: </w:t>
      </w:r>
    </w:p>
    <w:p w:rsidR="008A3F20" w:rsidRPr="006571AC" w:rsidRDefault="008A3F20" w:rsidP="00867550">
      <w:pPr>
        <w:spacing w:line="386" w:lineRule="exact"/>
        <w:rPr>
          <w:sz w:val="27"/>
          <w:rtl/>
        </w:rPr>
      </w:pPr>
      <w:r w:rsidRPr="006571AC">
        <w:rPr>
          <w:rFonts w:hint="cs"/>
          <w:sz w:val="24"/>
          <w:szCs w:val="24"/>
          <w:rtl/>
        </w:rPr>
        <w:t>«</w:t>
      </w:r>
      <w:r w:rsidRPr="006571AC">
        <w:rPr>
          <w:sz w:val="27"/>
          <w:rtl/>
        </w:rPr>
        <w:t>3ـ عد</w:t>
      </w:r>
      <w:r w:rsidRPr="006571AC">
        <w:rPr>
          <w:rFonts w:hint="cs"/>
          <w:sz w:val="27"/>
          <w:rtl/>
        </w:rPr>
        <w:t>ّ</w:t>
      </w:r>
      <w:r w:rsidRPr="006571AC">
        <w:rPr>
          <w:sz w:val="27"/>
          <w:rtl/>
        </w:rPr>
        <w:t>ة من أصحابنا، عن أحمد بن محم</w:t>
      </w:r>
      <w:r w:rsidRPr="006571AC">
        <w:rPr>
          <w:rFonts w:hint="cs"/>
          <w:sz w:val="27"/>
          <w:rtl/>
        </w:rPr>
        <w:t>ّ</w:t>
      </w:r>
      <w:r w:rsidRPr="006571AC">
        <w:rPr>
          <w:sz w:val="27"/>
          <w:rtl/>
        </w:rPr>
        <w:t>د، عن ابن محبوب، عن هشام بن سالم</w:t>
      </w:r>
      <w:r w:rsidRPr="006571AC">
        <w:rPr>
          <w:rFonts w:hint="cs"/>
          <w:sz w:val="27"/>
          <w:rtl/>
        </w:rPr>
        <w:t>،</w:t>
      </w:r>
      <w:r w:rsidRPr="006571AC">
        <w:rPr>
          <w:sz w:val="27"/>
          <w:rtl/>
        </w:rPr>
        <w:t xml:space="preserve"> عن أبي بصير، عن أبي عبد الله</w:t>
      </w:r>
      <w:r w:rsidRPr="006571AC">
        <w:rPr>
          <w:rFonts w:ascii="Mosawi" w:hAnsi="Mosawi" w:cs="Mosawi"/>
          <w:sz w:val="22"/>
          <w:szCs w:val="22"/>
          <w:rtl/>
        </w:rPr>
        <w:t>×</w:t>
      </w:r>
      <w:r w:rsidRPr="006571AC">
        <w:rPr>
          <w:sz w:val="27"/>
          <w:rtl/>
        </w:rPr>
        <w:t xml:space="preserve"> قال:</w:t>
      </w:r>
      <w:r w:rsidRPr="006571AC">
        <w:rPr>
          <w:rFonts w:hint="cs"/>
          <w:sz w:val="27"/>
          <w:rtl/>
        </w:rPr>
        <w:t>...</w:t>
      </w:r>
      <w:r w:rsidRPr="006571AC">
        <w:rPr>
          <w:sz w:val="27"/>
          <w:rtl/>
        </w:rPr>
        <w:t xml:space="preserve">. </w:t>
      </w:r>
    </w:p>
    <w:p w:rsidR="008A3F20" w:rsidRPr="006571AC" w:rsidRDefault="008A3F20" w:rsidP="00867550">
      <w:pPr>
        <w:spacing w:line="386" w:lineRule="exact"/>
        <w:rPr>
          <w:sz w:val="27"/>
          <w:rtl/>
        </w:rPr>
      </w:pPr>
      <w:r w:rsidRPr="006571AC">
        <w:rPr>
          <w:rFonts w:hint="cs"/>
          <w:sz w:val="27"/>
          <w:rtl/>
        </w:rPr>
        <w:t>4</w:t>
      </w:r>
      <w:r w:rsidRPr="006571AC">
        <w:rPr>
          <w:sz w:val="27"/>
          <w:rtl/>
        </w:rPr>
        <w:t xml:space="preserve">ـ </w:t>
      </w:r>
      <w:r w:rsidRPr="006571AC">
        <w:rPr>
          <w:b/>
          <w:bCs/>
          <w:sz w:val="27"/>
          <w:rtl/>
        </w:rPr>
        <w:t>عد</w:t>
      </w:r>
      <w:r w:rsidRPr="006571AC">
        <w:rPr>
          <w:rFonts w:hint="cs"/>
          <w:b/>
          <w:bCs/>
          <w:sz w:val="27"/>
          <w:rtl/>
        </w:rPr>
        <w:t>ّ</w:t>
      </w:r>
      <w:r w:rsidRPr="006571AC">
        <w:rPr>
          <w:b/>
          <w:bCs/>
          <w:sz w:val="27"/>
          <w:rtl/>
        </w:rPr>
        <w:t>ة من أصحابنا</w:t>
      </w:r>
      <w:r w:rsidRPr="006571AC">
        <w:rPr>
          <w:sz w:val="27"/>
          <w:rtl/>
        </w:rPr>
        <w:t>، عن أحمد بن محم</w:t>
      </w:r>
      <w:r w:rsidRPr="006571AC">
        <w:rPr>
          <w:rFonts w:hint="cs"/>
          <w:sz w:val="27"/>
          <w:rtl/>
        </w:rPr>
        <w:t>ّ</w:t>
      </w:r>
      <w:r w:rsidRPr="006571AC">
        <w:rPr>
          <w:sz w:val="27"/>
          <w:rtl/>
        </w:rPr>
        <w:t>د بن خالد، عن علي</w:t>
      </w:r>
      <w:r w:rsidRPr="006571AC">
        <w:rPr>
          <w:rFonts w:hint="cs"/>
          <w:sz w:val="27"/>
          <w:rtl/>
        </w:rPr>
        <w:t>ّ</w:t>
      </w:r>
      <w:r w:rsidRPr="006571AC">
        <w:rPr>
          <w:sz w:val="27"/>
          <w:rtl/>
        </w:rPr>
        <w:t xml:space="preserve"> بن أسباط، عن محم</w:t>
      </w:r>
      <w:r w:rsidRPr="006571AC">
        <w:rPr>
          <w:rFonts w:hint="cs"/>
          <w:sz w:val="27"/>
          <w:rtl/>
        </w:rPr>
        <w:t>ّ</w:t>
      </w:r>
      <w:r w:rsidRPr="006571AC">
        <w:rPr>
          <w:sz w:val="27"/>
          <w:rtl/>
        </w:rPr>
        <w:t>د بن إسحاق بن الحسين، عن عمرو</w:t>
      </w:r>
      <w:r w:rsidRPr="006571AC">
        <w:rPr>
          <w:rFonts w:hint="cs"/>
          <w:sz w:val="27"/>
          <w:rtl/>
        </w:rPr>
        <w:t>،</w:t>
      </w:r>
      <w:r w:rsidRPr="006571AC">
        <w:rPr>
          <w:sz w:val="27"/>
          <w:rtl/>
        </w:rPr>
        <w:t xml:space="preserve"> عن حسن بن أبان، عن أبي بصير قال: سألت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779"/>
      </w:r>
      <w:r w:rsidRPr="006571AC">
        <w:rPr>
          <w:sz w:val="27"/>
          <w:vertAlign w:val="superscript"/>
          <w:rtl/>
        </w:rPr>
        <w:t>)</w:t>
      </w:r>
      <w:r w:rsidRPr="006571AC">
        <w:rPr>
          <w:rFonts w:hint="cs"/>
          <w:sz w:val="27"/>
          <w:rtl/>
        </w:rPr>
        <w:t>.</w:t>
      </w:r>
    </w:p>
    <w:p w:rsidR="008A3F20" w:rsidRPr="006571AC" w:rsidRDefault="008A3F20" w:rsidP="00867550">
      <w:pPr>
        <w:spacing w:line="380" w:lineRule="exact"/>
        <w:rPr>
          <w:sz w:val="27"/>
          <w:rtl/>
        </w:rPr>
      </w:pPr>
    </w:p>
    <w:p w:rsidR="008A3F20" w:rsidRPr="006571AC" w:rsidRDefault="008A3F20" w:rsidP="00237DFE">
      <w:pPr>
        <w:pStyle w:val="31"/>
        <w:rPr>
          <w:color w:val="auto"/>
          <w:sz w:val="26"/>
          <w:rtl/>
        </w:rPr>
      </w:pPr>
      <w:bookmarkStart w:id="473" w:name="_Toc171512706"/>
      <w:bookmarkStart w:id="474" w:name="_Toc114164872"/>
      <w:r w:rsidRPr="006571AC">
        <w:rPr>
          <w:rStyle w:val="4Char"/>
          <w:rFonts w:cs="Abz-3 (Yagut)" w:hint="cs"/>
          <w:color w:val="auto"/>
          <w:sz w:val="26"/>
          <w:szCs w:val="26"/>
          <w:rtl/>
        </w:rPr>
        <w:t>ب ـ استبدال بعض أسماء الرواة الصريحة في المصدر بضميرٍ راجعٍ إليها</w:t>
      </w:r>
      <w:bookmarkEnd w:id="473"/>
      <w:bookmarkEnd w:id="474"/>
      <w:r w:rsidRPr="006571AC">
        <w:rPr>
          <w:rFonts w:hint="cs"/>
          <w:color w:val="auto"/>
          <w:sz w:val="26"/>
          <w:rtl/>
        </w:rPr>
        <w:t xml:space="preserve"> </w:t>
      </w:r>
    </w:p>
    <w:p w:rsidR="008A3F20" w:rsidRPr="006571AC" w:rsidRDefault="008A3F20" w:rsidP="000C6F2A">
      <w:pPr>
        <w:rPr>
          <w:sz w:val="27"/>
          <w:rtl/>
        </w:rPr>
      </w:pPr>
      <w:r w:rsidRPr="006571AC">
        <w:rPr>
          <w:rFonts w:hint="cs"/>
          <w:sz w:val="27"/>
          <w:rtl/>
        </w:rPr>
        <w:t>فالشيخ الحُرّ</w:t>
      </w:r>
      <w:r w:rsidRPr="006571AC">
        <w:rPr>
          <w:rFonts w:ascii="Mosawi" w:hAnsi="Mosawi" w:cs="Mosawi"/>
          <w:sz w:val="22"/>
          <w:szCs w:val="22"/>
          <w:rtl/>
        </w:rPr>
        <w:t>&amp;</w:t>
      </w:r>
      <w:r w:rsidRPr="006571AC">
        <w:rPr>
          <w:rFonts w:hint="cs"/>
          <w:sz w:val="27"/>
          <w:rtl/>
        </w:rPr>
        <w:t xml:space="preserve"> إذا نقل حديثَيْن متتاليَيْن من مصدرٍ واحدٍ عن راوٍ واحدٍ، ذكر </w:t>
      </w:r>
      <w:r w:rsidRPr="006571AC">
        <w:rPr>
          <w:rFonts w:hint="cs"/>
          <w:sz w:val="27"/>
          <w:rtl/>
        </w:rPr>
        <w:lastRenderedPageBreak/>
        <w:t xml:space="preserve">السند في الحديث الأوّل كما هو في المصدر، وأمّا في السند الثاني فيستبدل الاسم الصريح للراوي الذي يروي عنه صاحب المصدر بضميرٍ يعود إليه في السند الأوّل، ويُعبِّر عن ذلك عادةً بلفظ </w:t>
      </w:r>
      <w:r w:rsidRPr="006571AC">
        <w:rPr>
          <w:rFonts w:hint="cs"/>
          <w:sz w:val="24"/>
          <w:szCs w:val="24"/>
          <w:rtl/>
        </w:rPr>
        <w:t>«</w:t>
      </w:r>
      <w:r w:rsidRPr="006571AC">
        <w:rPr>
          <w:rFonts w:hint="cs"/>
          <w:sz w:val="27"/>
          <w:rtl/>
        </w:rPr>
        <w:t>وعنه</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ومن موارد هذا التصرُّف: </w:t>
      </w:r>
    </w:p>
    <w:p w:rsidR="008A3F20" w:rsidRPr="006571AC" w:rsidRDefault="008A3F20" w:rsidP="000C6F2A">
      <w:pPr>
        <w:rPr>
          <w:sz w:val="27"/>
          <w:rtl/>
        </w:rPr>
      </w:pPr>
      <w:r w:rsidRPr="006571AC">
        <w:rPr>
          <w:rFonts w:hint="cs"/>
          <w:sz w:val="27"/>
          <w:rtl/>
        </w:rPr>
        <w:t xml:space="preserve">* ما في الباب 6 من أبواب أعداد الفرائض، ح 3 و4، حيث قال: </w:t>
      </w:r>
      <w:r w:rsidRPr="006571AC">
        <w:rPr>
          <w:rFonts w:hint="cs"/>
          <w:sz w:val="24"/>
          <w:szCs w:val="24"/>
          <w:rtl/>
        </w:rPr>
        <w:t>«</w:t>
      </w:r>
      <w:r w:rsidRPr="006571AC">
        <w:rPr>
          <w:sz w:val="27"/>
          <w:rtl/>
        </w:rPr>
        <w:t xml:space="preserve">3ـ </w:t>
      </w:r>
      <w:r w:rsidRPr="006571AC">
        <w:rPr>
          <w:b/>
          <w:bCs/>
          <w:sz w:val="27"/>
          <w:rtl/>
        </w:rPr>
        <w:t>وعنه</w:t>
      </w:r>
      <w:r w:rsidRPr="006571AC">
        <w:rPr>
          <w:sz w:val="27"/>
          <w:rtl/>
        </w:rPr>
        <w:t xml:space="preserve"> </w:t>
      </w:r>
      <w:r w:rsidRPr="006571AC">
        <w:rPr>
          <w:rFonts w:hint="cs"/>
          <w:sz w:val="27"/>
          <w:rtl/>
        </w:rPr>
        <w:t>[يعني محمّد بن يعقوب، عن محمّد بن يحيى]</w:t>
      </w:r>
      <w:r w:rsidRPr="006571AC">
        <w:rPr>
          <w:sz w:val="27"/>
          <w:rtl/>
        </w:rPr>
        <w:t>، عن أحمد بن محم</w:t>
      </w:r>
      <w:r w:rsidRPr="006571AC">
        <w:rPr>
          <w:rFonts w:hint="cs"/>
          <w:sz w:val="27"/>
          <w:rtl/>
        </w:rPr>
        <w:t>ّ</w:t>
      </w:r>
      <w:r w:rsidRPr="006571AC">
        <w:rPr>
          <w:sz w:val="27"/>
          <w:rtl/>
        </w:rPr>
        <w:t>د، عن محم</w:t>
      </w:r>
      <w:r w:rsidRPr="006571AC">
        <w:rPr>
          <w:rFonts w:hint="cs"/>
          <w:sz w:val="27"/>
          <w:rtl/>
        </w:rPr>
        <w:t>ّ</w:t>
      </w:r>
      <w:r w:rsidRPr="006571AC">
        <w:rPr>
          <w:sz w:val="27"/>
          <w:rtl/>
        </w:rPr>
        <w:t>د بن إسماعيل، عن أبي إسماعيل السر</w:t>
      </w:r>
      <w:r w:rsidRPr="006571AC">
        <w:rPr>
          <w:rFonts w:hint="cs"/>
          <w:sz w:val="27"/>
          <w:rtl/>
        </w:rPr>
        <w:t>ّ</w:t>
      </w:r>
      <w:r w:rsidRPr="006571AC">
        <w:rPr>
          <w:sz w:val="27"/>
          <w:rtl/>
        </w:rPr>
        <w:t>اج، عن ابن مسكان، عن أبي بصير قال: قال أبو الحسن ال</w:t>
      </w:r>
      <w:r w:rsidRPr="006571AC">
        <w:rPr>
          <w:rFonts w:hint="cs"/>
          <w:sz w:val="27"/>
          <w:rtl/>
        </w:rPr>
        <w:t>أ</w:t>
      </w:r>
      <w:r w:rsidRPr="006571AC">
        <w:rPr>
          <w:sz w:val="27"/>
          <w:rtl/>
        </w:rPr>
        <w:t>و</w:t>
      </w:r>
      <w:r w:rsidRPr="006571AC">
        <w:rPr>
          <w:rFonts w:hint="cs"/>
          <w:sz w:val="27"/>
          <w:rtl/>
        </w:rPr>
        <w:t>ّ</w:t>
      </w:r>
      <w:r w:rsidRPr="006571AC">
        <w:rPr>
          <w:sz w:val="27"/>
          <w:rtl/>
        </w:rPr>
        <w:t>ل</w:t>
      </w:r>
      <w:r w:rsidRPr="006571AC">
        <w:rPr>
          <w:rFonts w:ascii="Mosawi" w:hAnsi="Mosawi" w:cs="Mosawi"/>
          <w:sz w:val="22"/>
          <w:szCs w:val="22"/>
          <w:rtl/>
        </w:rPr>
        <w:t>×</w:t>
      </w:r>
      <w:r w:rsidRPr="006571AC">
        <w:rPr>
          <w:sz w:val="27"/>
          <w:rtl/>
        </w:rPr>
        <w:t>:</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 xml:space="preserve">4ـ </w:t>
      </w:r>
      <w:r w:rsidRPr="006571AC">
        <w:rPr>
          <w:b/>
          <w:bCs/>
          <w:sz w:val="27"/>
          <w:rtl/>
        </w:rPr>
        <w:t>وعنه</w:t>
      </w:r>
      <w:r w:rsidRPr="006571AC">
        <w:rPr>
          <w:sz w:val="27"/>
          <w:rtl/>
        </w:rPr>
        <w:t xml:space="preserve"> </w:t>
      </w:r>
      <w:r w:rsidRPr="006571AC">
        <w:rPr>
          <w:rFonts w:hint="cs"/>
          <w:sz w:val="27"/>
          <w:rtl/>
        </w:rPr>
        <w:t>[يعني محمّد بن يعقوب، عن محمّد بن يحيى]</w:t>
      </w:r>
      <w:r w:rsidRPr="006571AC">
        <w:rPr>
          <w:sz w:val="27"/>
          <w:rtl/>
        </w:rPr>
        <w:t>، عن سهل بن زياد، عن النوفلي</w:t>
      </w:r>
      <w:r w:rsidRPr="006571AC">
        <w:rPr>
          <w:rFonts w:hint="cs"/>
          <w:sz w:val="27"/>
          <w:rtl/>
        </w:rPr>
        <w:t>ّ</w:t>
      </w:r>
      <w:r w:rsidRPr="006571AC">
        <w:rPr>
          <w:sz w:val="27"/>
          <w:rtl/>
        </w:rPr>
        <w:t>، عن السكوني</w:t>
      </w:r>
      <w:r w:rsidRPr="006571AC">
        <w:rPr>
          <w:rFonts w:hint="cs"/>
          <w:sz w:val="27"/>
          <w:rtl/>
        </w:rPr>
        <w:t>ّ</w:t>
      </w:r>
      <w:r w:rsidRPr="006571AC">
        <w:rPr>
          <w:sz w:val="27"/>
          <w:rtl/>
        </w:rPr>
        <w:t>، عن جعفر، عن أبيه قال: قال رسول الله</w:t>
      </w:r>
      <w:r w:rsidRPr="006571AC">
        <w:rPr>
          <w:rFonts w:ascii="Mosawi" w:hAnsi="Mosawi" w:cs="Mosawi"/>
          <w:sz w:val="22"/>
          <w:szCs w:val="22"/>
          <w:rtl/>
        </w:rPr>
        <w:t>|</w:t>
      </w:r>
      <w:r w:rsidRPr="006571AC">
        <w:rPr>
          <w:sz w:val="27"/>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780"/>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تبيّن أنّ هذَيْن الحديثَيْن على هذا النحو:</w:t>
      </w:r>
    </w:p>
    <w:p w:rsidR="008A3F20" w:rsidRPr="006571AC" w:rsidRDefault="008A3F20" w:rsidP="000C6F2A">
      <w:pPr>
        <w:rPr>
          <w:sz w:val="27"/>
          <w:rtl/>
        </w:rPr>
      </w:pPr>
      <w:r w:rsidRPr="006571AC">
        <w:rPr>
          <w:rFonts w:hint="cs"/>
          <w:sz w:val="24"/>
          <w:szCs w:val="24"/>
          <w:rtl/>
        </w:rPr>
        <w:t>«</w:t>
      </w:r>
      <w:r w:rsidRPr="006571AC">
        <w:rPr>
          <w:sz w:val="27"/>
          <w:rtl/>
        </w:rPr>
        <w:t xml:space="preserve">15ـ </w:t>
      </w:r>
      <w:r w:rsidRPr="006571AC">
        <w:rPr>
          <w:b/>
          <w:bCs/>
          <w:sz w:val="27"/>
          <w:rtl/>
        </w:rPr>
        <w:t>محم</w:t>
      </w:r>
      <w:r w:rsidRPr="006571AC">
        <w:rPr>
          <w:rFonts w:hint="cs"/>
          <w:b/>
          <w:bCs/>
          <w:sz w:val="27"/>
          <w:rtl/>
        </w:rPr>
        <w:t>ّ</w:t>
      </w:r>
      <w:r w:rsidRPr="006571AC">
        <w:rPr>
          <w:b/>
          <w:bCs/>
          <w:sz w:val="27"/>
          <w:rtl/>
        </w:rPr>
        <w:t>د بن يحيى</w:t>
      </w:r>
      <w:r w:rsidRPr="006571AC">
        <w:rPr>
          <w:sz w:val="27"/>
          <w:rtl/>
        </w:rPr>
        <w:t>، عن أحمد بن محم</w:t>
      </w:r>
      <w:r w:rsidRPr="006571AC">
        <w:rPr>
          <w:rFonts w:hint="cs"/>
          <w:sz w:val="27"/>
          <w:rtl/>
        </w:rPr>
        <w:t>ّ</w:t>
      </w:r>
      <w:r w:rsidRPr="006571AC">
        <w:rPr>
          <w:sz w:val="27"/>
          <w:rtl/>
        </w:rPr>
        <w:t>د، عن محم</w:t>
      </w:r>
      <w:r w:rsidRPr="006571AC">
        <w:rPr>
          <w:rFonts w:hint="cs"/>
          <w:sz w:val="27"/>
          <w:rtl/>
        </w:rPr>
        <w:t>ّ</w:t>
      </w:r>
      <w:r w:rsidRPr="006571AC">
        <w:rPr>
          <w:sz w:val="27"/>
          <w:rtl/>
        </w:rPr>
        <w:t>د بن إسماعيل، عن أبي إسماعيل السر</w:t>
      </w:r>
      <w:r w:rsidRPr="006571AC">
        <w:rPr>
          <w:rFonts w:hint="cs"/>
          <w:sz w:val="27"/>
          <w:rtl/>
        </w:rPr>
        <w:t>ّ</w:t>
      </w:r>
      <w:r w:rsidRPr="006571AC">
        <w:rPr>
          <w:sz w:val="27"/>
          <w:rtl/>
        </w:rPr>
        <w:t>اج</w:t>
      </w:r>
      <w:r w:rsidRPr="006571AC">
        <w:rPr>
          <w:rFonts w:hint="cs"/>
          <w:sz w:val="27"/>
          <w:rtl/>
        </w:rPr>
        <w:t>،</w:t>
      </w:r>
      <w:r w:rsidRPr="006571AC">
        <w:rPr>
          <w:sz w:val="27"/>
          <w:rtl/>
        </w:rPr>
        <w:t xml:space="preserve"> عن ابن مسكان، عن أبي بصير قال: قال أبو الحسن ال</w:t>
      </w:r>
      <w:r w:rsidRPr="006571AC">
        <w:rPr>
          <w:rFonts w:hint="cs"/>
          <w:sz w:val="27"/>
          <w:rtl/>
        </w:rPr>
        <w:t>أ</w:t>
      </w:r>
      <w:r w:rsidRPr="006571AC">
        <w:rPr>
          <w:sz w:val="27"/>
          <w:rtl/>
        </w:rPr>
        <w:t>و</w:t>
      </w:r>
      <w:r w:rsidRPr="006571AC">
        <w:rPr>
          <w:rFonts w:hint="cs"/>
          <w:sz w:val="27"/>
          <w:rtl/>
        </w:rPr>
        <w:t>ّ</w:t>
      </w:r>
      <w:r w:rsidRPr="006571AC">
        <w:rPr>
          <w:sz w:val="27"/>
          <w:rtl/>
        </w:rPr>
        <w:t>ل</w:t>
      </w:r>
      <w:r w:rsidRPr="006571AC">
        <w:rPr>
          <w:rFonts w:ascii="Mosawi" w:hAnsi="Mosawi" w:cs="Mosawi"/>
          <w:sz w:val="22"/>
          <w:szCs w:val="22"/>
          <w:rtl/>
        </w:rPr>
        <w:t>×</w:t>
      </w:r>
      <w:r w:rsidRPr="006571AC">
        <w:rPr>
          <w:sz w:val="27"/>
          <w:rtl/>
        </w:rPr>
        <w:t>:</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 xml:space="preserve">16ـ </w:t>
      </w:r>
      <w:r w:rsidRPr="006571AC">
        <w:rPr>
          <w:b/>
          <w:bCs/>
          <w:sz w:val="27"/>
          <w:rtl/>
        </w:rPr>
        <w:t>محم</w:t>
      </w:r>
      <w:r w:rsidRPr="006571AC">
        <w:rPr>
          <w:rFonts w:hint="cs"/>
          <w:b/>
          <w:bCs/>
          <w:sz w:val="27"/>
          <w:rtl/>
        </w:rPr>
        <w:t>ّ</w:t>
      </w:r>
      <w:r w:rsidRPr="006571AC">
        <w:rPr>
          <w:b/>
          <w:bCs/>
          <w:sz w:val="27"/>
          <w:rtl/>
        </w:rPr>
        <w:t>د</w:t>
      </w:r>
      <w:r w:rsidRPr="006571AC">
        <w:rPr>
          <w:sz w:val="27"/>
          <w:rtl/>
        </w:rPr>
        <w:t>، عن سهل بن زياد، عن النوفلي</w:t>
      </w:r>
      <w:r w:rsidRPr="006571AC">
        <w:rPr>
          <w:rFonts w:hint="cs"/>
          <w:sz w:val="27"/>
          <w:rtl/>
        </w:rPr>
        <w:t>ّ</w:t>
      </w:r>
      <w:r w:rsidRPr="006571AC">
        <w:rPr>
          <w:sz w:val="27"/>
          <w:rtl/>
        </w:rPr>
        <w:t>، عن السكوني</w:t>
      </w:r>
      <w:r w:rsidRPr="006571AC">
        <w:rPr>
          <w:rFonts w:hint="cs"/>
          <w:sz w:val="27"/>
          <w:rtl/>
        </w:rPr>
        <w:t>ّ</w:t>
      </w:r>
      <w:r w:rsidRPr="006571AC">
        <w:rPr>
          <w:sz w:val="27"/>
          <w:rtl/>
        </w:rPr>
        <w:t>، عن جعفر، عن أبيه</w:t>
      </w:r>
      <w:r w:rsidRPr="006571AC">
        <w:rPr>
          <w:rFonts w:ascii="Mosawi" w:hAnsi="Mosawi" w:cs="Mosawi"/>
          <w:sz w:val="22"/>
          <w:szCs w:val="22"/>
          <w:rtl/>
        </w:rPr>
        <w:t>’</w:t>
      </w:r>
      <w:r w:rsidRPr="006571AC">
        <w:rPr>
          <w:sz w:val="27"/>
          <w:rtl/>
        </w:rPr>
        <w:t xml:space="preserve"> قال: قال رسول الله </w:t>
      </w:r>
      <w:r w:rsidRPr="006571AC">
        <w:rPr>
          <w:rFonts w:ascii="Mosawi" w:hAnsi="Mosawi" w:cs="Mosawi"/>
          <w:sz w:val="22"/>
          <w:szCs w:val="22"/>
          <w:rtl/>
        </w:rPr>
        <w:t>|</w:t>
      </w:r>
      <w:r w:rsidRPr="006571AC">
        <w:rPr>
          <w:sz w:val="27"/>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781"/>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فلاحِظْ كيف أنّ الشيخ الحُرّ</w:t>
      </w:r>
      <w:r w:rsidRPr="006571AC">
        <w:rPr>
          <w:rFonts w:ascii="Mosawi" w:hAnsi="Mosawi" w:cs="Mosawi"/>
          <w:sz w:val="22"/>
          <w:szCs w:val="22"/>
          <w:rtl/>
        </w:rPr>
        <w:t>&amp;</w:t>
      </w:r>
      <w:r w:rsidRPr="006571AC">
        <w:rPr>
          <w:rFonts w:hint="cs"/>
          <w:sz w:val="27"/>
          <w:rtl/>
        </w:rPr>
        <w:t xml:space="preserve"> قد استبدل تعبيرَيْ الشيخ الكلينيّ</w:t>
      </w:r>
      <w:r w:rsidRPr="006571AC">
        <w:rPr>
          <w:rFonts w:ascii="Mosawi" w:hAnsi="Mosawi" w:cs="Mosawi"/>
          <w:sz w:val="22"/>
          <w:szCs w:val="22"/>
          <w:rtl/>
        </w:rPr>
        <w:t>&amp;</w:t>
      </w:r>
      <w:r w:rsidRPr="006571AC">
        <w:rPr>
          <w:rFonts w:hint="cs"/>
          <w:sz w:val="27"/>
          <w:rtl/>
        </w:rPr>
        <w:t xml:space="preserve">: </w:t>
      </w:r>
      <w:r w:rsidRPr="006571AC">
        <w:rPr>
          <w:rFonts w:hint="cs"/>
          <w:sz w:val="24"/>
          <w:szCs w:val="24"/>
          <w:rtl/>
        </w:rPr>
        <w:t>«</w:t>
      </w:r>
      <w:r w:rsidRPr="006571AC">
        <w:rPr>
          <w:rFonts w:hint="cs"/>
          <w:sz w:val="27"/>
          <w:rtl/>
        </w:rPr>
        <w:t>محمّد بن يحيى</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محمّد</w:t>
      </w:r>
      <w:r w:rsidRPr="006571AC">
        <w:rPr>
          <w:rFonts w:hint="cs"/>
          <w:sz w:val="24"/>
          <w:szCs w:val="24"/>
          <w:rtl/>
        </w:rPr>
        <w:t>»</w:t>
      </w:r>
      <w:r w:rsidRPr="006571AC">
        <w:rPr>
          <w:rFonts w:hint="cs"/>
          <w:sz w:val="27"/>
          <w:rtl/>
        </w:rPr>
        <w:t xml:space="preserve">، بضمير </w:t>
      </w:r>
      <w:r w:rsidRPr="006571AC">
        <w:rPr>
          <w:rFonts w:hint="cs"/>
          <w:sz w:val="24"/>
          <w:szCs w:val="24"/>
          <w:rtl/>
        </w:rPr>
        <w:t>«</w:t>
      </w:r>
      <w:r w:rsidRPr="006571AC">
        <w:rPr>
          <w:rFonts w:hint="cs"/>
          <w:sz w:val="27"/>
          <w:rtl/>
        </w:rPr>
        <w:t>الهاء</w:t>
      </w:r>
      <w:r w:rsidRPr="006571AC">
        <w:rPr>
          <w:rFonts w:hint="cs"/>
          <w:sz w:val="24"/>
          <w:szCs w:val="24"/>
          <w:rtl/>
        </w:rPr>
        <w:t>»</w:t>
      </w:r>
      <w:r w:rsidRPr="006571AC">
        <w:rPr>
          <w:rFonts w:hint="cs"/>
          <w:sz w:val="27"/>
          <w:rtl/>
        </w:rPr>
        <w:t xml:space="preserve"> في قوله: </w:t>
      </w:r>
      <w:r w:rsidRPr="006571AC">
        <w:rPr>
          <w:rFonts w:hint="cs"/>
          <w:sz w:val="24"/>
          <w:szCs w:val="24"/>
          <w:rtl/>
        </w:rPr>
        <w:t>«</w:t>
      </w:r>
      <w:r w:rsidRPr="006571AC">
        <w:rPr>
          <w:rFonts w:hint="cs"/>
          <w:sz w:val="27"/>
          <w:rtl/>
        </w:rPr>
        <w:t>وعنه</w:t>
      </w:r>
      <w:r w:rsidRPr="006571AC">
        <w:rPr>
          <w:rFonts w:hint="cs"/>
          <w:sz w:val="24"/>
          <w:szCs w:val="24"/>
          <w:rtl/>
        </w:rPr>
        <w:t>»</w:t>
      </w:r>
      <w:r w:rsidRPr="006571AC">
        <w:rPr>
          <w:sz w:val="27"/>
          <w:vertAlign w:val="superscript"/>
          <w:rtl/>
        </w:rPr>
        <w:t>(</w:t>
      </w:r>
      <w:r w:rsidRPr="006571AC">
        <w:rPr>
          <w:rStyle w:val="ac"/>
          <w:sz w:val="27"/>
          <w:rtl/>
        </w:rPr>
        <w:endnoteReference w:id="782"/>
      </w:r>
      <w:r w:rsidRPr="006571AC">
        <w:rPr>
          <w:sz w:val="27"/>
          <w:vertAlign w:val="superscript"/>
          <w:rtl/>
        </w:rPr>
        <w:t>)</w:t>
      </w:r>
      <w:r w:rsidRPr="006571AC">
        <w:rPr>
          <w:rFonts w:hint="cs"/>
          <w:sz w:val="27"/>
          <w:rtl/>
        </w:rPr>
        <w:t>.</w:t>
      </w:r>
    </w:p>
    <w:p w:rsidR="00867550" w:rsidRPr="006571AC" w:rsidRDefault="00867550" w:rsidP="00867550">
      <w:pPr>
        <w:spacing w:line="450" w:lineRule="exact"/>
        <w:rPr>
          <w:rFonts w:ascii="Arabic Typesetting" w:hAnsi="Arabic Typesetting"/>
          <w:sz w:val="27"/>
          <w:rtl/>
          <w:lang w:bidi="ar-LB"/>
        </w:rPr>
      </w:pPr>
      <w:bookmarkStart w:id="475" w:name="_Toc171512707"/>
    </w:p>
    <w:p w:rsidR="008A3F20" w:rsidRPr="006571AC" w:rsidRDefault="008A3F20" w:rsidP="00237DFE">
      <w:pPr>
        <w:pStyle w:val="31"/>
        <w:rPr>
          <w:color w:val="auto"/>
          <w:sz w:val="26"/>
          <w:rtl/>
        </w:rPr>
      </w:pPr>
      <w:bookmarkStart w:id="476" w:name="_Toc114164873"/>
      <w:r w:rsidRPr="006571AC">
        <w:rPr>
          <w:rFonts w:hint="cs"/>
          <w:color w:val="auto"/>
          <w:sz w:val="26"/>
          <w:rtl/>
        </w:rPr>
        <w:t xml:space="preserve">4ـ </w:t>
      </w:r>
      <w:r w:rsidRPr="006571AC">
        <w:rPr>
          <w:color w:val="auto"/>
          <w:sz w:val="26"/>
          <w:rtl/>
        </w:rPr>
        <w:t>الجمع بين الأس</w:t>
      </w:r>
      <w:r w:rsidRPr="006571AC">
        <w:rPr>
          <w:rFonts w:hint="cs"/>
          <w:color w:val="auto"/>
          <w:sz w:val="26"/>
          <w:rtl/>
        </w:rPr>
        <w:t>ناد</w:t>
      </w:r>
      <w:bookmarkEnd w:id="475"/>
      <w:bookmarkEnd w:id="476"/>
    </w:p>
    <w:p w:rsidR="008A3F20" w:rsidRPr="006571AC" w:rsidRDefault="008A3F20" w:rsidP="00237DFE">
      <w:pPr>
        <w:pStyle w:val="31"/>
        <w:rPr>
          <w:color w:val="auto"/>
          <w:sz w:val="26"/>
          <w:rtl/>
        </w:rPr>
      </w:pPr>
      <w:bookmarkStart w:id="477" w:name="_Toc171512708"/>
      <w:bookmarkStart w:id="478" w:name="_Toc114164874"/>
      <w:r w:rsidRPr="006571AC">
        <w:rPr>
          <w:rFonts w:hint="cs"/>
          <w:color w:val="auto"/>
          <w:sz w:val="26"/>
          <w:rtl/>
        </w:rPr>
        <w:t>نسبةٌ خاطئةٌ</w:t>
      </w:r>
      <w:bookmarkEnd w:id="477"/>
      <w:bookmarkEnd w:id="478"/>
    </w:p>
    <w:p w:rsidR="008A3F20" w:rsidRPr="006571AC" w:rsidRDefault="008A3F20" w:rsidP="000C6F2A">
      <w:pPr>
        <w:rPr>
          <w:sz w:val="27"/>
          <w:rtl/>
        </w:rPr>
      </w:pPr>
      <w:r w:rsidRPr="006571AC">
        <w:rPr>
          <w:rFonts w:hint="cs"/>
          <w:b/>
          <w:bCs/>
          <w:sz w:val="27"/>
          <w:rtl/>
        </w:rPr>
        <w:t>نُسب إلى الشيخ الحُرّ</w:t>
      </w:r>
      <w:r w:rsidRPr="006571AC">
        <w:rPr>
          <w:rFonts w:ascii="Mosawi" w:hAnsi="Mosawi" w:cs="Mosawi"/>
          <w:b/>
          <w:bCs/>
          <w:sz w:val="22"/>
          <w:szCs w:val="22"/>
          <w:rtl/>
        </w:rPr>
        <w:t>&amp;</w:t>
      </w:r>
      <w:r w:rsidRPr="006571AC">
        <w:rPr>
          <w:rFonts w:hint="cs"/>
          <w:b/>
          <w:bCs/>
          <w:sz w:val="27"/>
          <w:rtl/>
        </w:rPr>
        <w:t xml:space="preserve"> أنّه </w:t>
      </w:r>
      <w:r w:rsidRPr="006571AC">
        <w:rPr>
          <w:rFonts w:hint="cs"/>
          <w:sz w:val="27"/>
          <w:rtl/>
        </w:rPr>
        <w:t xml:space="preserve">ـ ولاختصار كتابه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ـ</w:t>
      </w:r>
      <w:r w:rsidRPr="006571AC">
        <w:rPr>
          <w:rFonts w:hint="cs"/>
          <w:b/>
          <w:bCs/>
          <w:sz w:val="27"/>
          <w:rtl/>
        </w:rPr>
        <w:t xml:space="preserve"> </w:t>
      </w:r>
      <w:r w:rsidRPr="006571AC">
        <w:rPr>
          <w:rFonts w:hint="cs"/>
          <w:b/>
          <w:bCs/>
          <w:sz w:val="24"/>
          <w:szCs w:val="24"/>
          <w:rtl/>
        </w:rPr>
        <w:t>«</w:t>
      </w:r>
      <w:r w:rsidRPr="006571AC">
        <w:rPr>
          <w:b/>
          <w:bCs/>
          <w:sz w:val="27"/>
          <w:rtl/>
        </w:rPr>
        <w:t>جمع بين الأسانيد</w:t>
      </w:r>
      <w:r w:rsidRPr="006571AC">
        <w:rPr>
          <w:sz w:val="27"/>
          <w:rtl/>
        </w:rPr>
        <w:t>، إذا و</w:t>
      </w:r>
      <w:r w:rsidRPr="006571AC">
        <w:rPr>
          <w:rFonts w:hint="cs"/>
          <w:sz w:val="27"/>
          <w:rtl/>
        </w:rPr>
        <w:t>َ</w:t>
      </w:r>
      <w:r w:rsidRPr="006571AC">
        <w:rPr>
          <w:sz w:val="27"/>
          <w:rtl/>
        </w:rPr>
        <w:t>ر</w:t>
      </w:r>
      <w:r w:rsidRPr="006571AC">
        <w:rPr>
          <w:rFonts w:hint="cs"/>
          <w:sz w:val="27"/>
          <w:rtl/>
        </w:rPr>
        <w:t>َ</w:t>
      </w:r>
      <w:r w:rsidRPr="006571AC">
        <w:rPr>
          <w:sz w:val="27"/>
          <w:rtl/>
        </w:rPr>
        <w:t>د</w:t>
      </w:r>
      <w:r w:rsidRPr="006571AC">
        <w:rPr>
          <w:rFonts w:hint="cs"/>
          <w:sz w:val="27"/>
          <w:rtl/>
        </w:rPr>
        <w:t>َ</w:t>
      </w:r>
      <w:r w:rsidRPr="006571AC">
        <w:rPr>
          <w:sz w:val="27"/>
          <w:rtl/>
        </w:rPr>
        <w:t>ت</w:t>
      </w:r>
      <w:r w:rsidRPr="006571AC">
        <w:rPr>
          <w:rFonts w:hint="cs"/>
          <w:sz w:val="27"/>
          <w:rtl/>
        </w:rPr>
        <w:t>ْ</w:t>
      </w:r>
      <w:r w:rsidRPr="006571AC">
        <w:rPr>
          <w:sz w:val="27"/>
          <w:rtl/>
        </w:rPr>
        <w:t xml:space="preserve"> بنص</w:t>
      </w:r>
      <w:r w:rsidRPr="006571AC">
        <w:rPr>
          <w:rFonts w:hint="cs"/>
          <w:sz w:val="27"/>
          <w:rtl/>
        </w:rPr>
        <w:t>ٍّ</w:t>
      </w:r>
      <w:r w:rsidRPr="006571AC">
        <w:rPr>
          <w:sz w:val="27"/>
          <w:rtl/>
        </w:rPr>
        <w:t xml:space="preserve"> واحد</w:t>
      </w:r>
      <w:r w:rsidRPr="006571AC">
        <w:rPr>
          <w:rFonts w:hint="cs"/>
          <w:sz w:val="27"/>
          <w:rtl/>
        </w:rPr>
        <w:t>ٍ</w:t>
      </w:r>
      <w:r w:rsidRPr="006571AC">
        <w:rPr>
          <w:sz w:val="27"/>
          <w:rtl/>
        </w:rPr>
        <w:t xml:space="preserve"> عن مصدر</w:t>
      </w:r>
      <w:r w:rsidRPr="006571AC">
        <w:rPr>
          <w:rFonts w:hint="cs"/>
          <w:sz w:val="27"/>
          <w:rtl/>
        </w:rPr>
        <w:t>ٍ</w:t>
      </w:r>
      <w:r w:rsidRPr="006571AC">
        <w:rPr>
          <w:sz w:val="27"/>
          <w:rtl/>
        </w:rPr>
        <w:t xml:space="preserve"> واحد</w:t>
      </w:r>
      <w:r w:rsidRPr="006571AC">
        <w:rPr>
          <w:rFonts w:hint="cs"/>
          <w:sz w:val="27"/>
          <w:rtl/>
        </w:rPr>
        <w:t>ٍ</w:t>
      </w:r>
      <w:r w:rsidRPr="006571AC">
        <w:rPr>
          <w:sz w:val="27"/>
          <w:rtl/>
        </w:rPr>
        <w:t xml:space="preserve">، فيما إذا </w:t>
      </w:r>
      <w:r w:rsidRPr="006571AC">
        <w:rPr>
          <w:rFonts w:hint="cs"/>
          <w:sz w:val="27"/>
          <w:rtl/>
        </w:rPr>
        <w:t>ا</w:t>
      </w:r>
      <w:r w:rsidRPr="006571AC">
        <w:rPr>
          <w:sz w:val="27"/>
          <w:rtl/>
        </w:rPr>
        <w:t>ختلفت مواضع</w:t>
      </w:r>
      <w:r w:rsidRPr="006571AC">
        <w:rPr>
          <w:rFonts w:hint="cs"/>
          <w:sz w:val="27"/>
          <w:rtl/>
        </w:rPr>
        <w:t>ُ</w:t>
      </w:r>
      <w:r w:rsidRPr="006571AC">
        <w:rPr>
          <w:sz w:val="27"/>
          <w:rtl/>
        </w:rPr>
        <w:t>ها</w:t>
      </w:r>
      <w:r w:rsidRPr="006571AC">
        <w:rPr>
          <w:rFonts w:hint="cs"/>
          <w:sz w:val="27"/>
          <w:rtl/>
        </w:rPr>
        <w:t>؛</w:t>
      </w:r>
      <w:r w:rsidRPr="006571AC">
        <w:rPr>
          <w:sz w:val="27"/>
          <w:rtl/>
        </w:rPr>
        <w:t xml:space="preserve"> أو عن أكثر من مصدر</w:t>
      </w:r>
      <w:r w:rsidRPr="006571AC">
        <w:rPr>
          <w:rFonts w:hint="cs"/>
          <w:sz w:val="27"/>
          <w:rtl/>
        </w:rPr>
        <w:t>ٍ</w:t>
      </w:r>
      <w:r w:rsidRPr="006571AC">
        <w:rPr>
          <w:sz w:val="27"/>
          <w:rtl/>
        </w:rPr>
        <w:t>، بالد</w:t>
      </w:r>
      <w:r w:rsidR="006F67D2" w:rsidRPr="006571AC">
        <w:rPr>
          <w:rFonts w:hint="cs"/>
          <w:sz w:val="27"/>
          <w:rtl/>
        </w:rPr>
        <w:t>َّ</w:t>
      </w:r>
      <w:r w:rsidRPr="006571AC">
        <w:rPr>
          <w:sz w:val="27"/>
          <w:rtl/>
        </w:rPr>
        <w:t>م</w:t>
      </w:r>
      <w:r w:rsidRPr="006571AC">
        <w:rPr>
          <w:rFonts w:hint="cs"/>
          <w:sz w:val="27"/>
          <w:rtl/>
        </w:rPr>
        <w:t>ْ</w:t>
      </w:r>
      <w:r w:rsidRPr="006571AC">
        <w:rPr>
          <w:sz w:val="27"/>
          <w:rtl/>
        </w:rPr>
        <w:t>ج والتلفيق</w:t>
      </w:r>
      <w:r w:rsidRPr="006571AC">
        <w:rPr>
          <w:rFonts w:hint="cs"/>
          <w:sz w:val="27"/>
          <w:rtl/>
        </w:rPr>
        <w:t>،</w:t>
      </w:r>
      <w:r w:rsidRPr="006571AC">
        <w:rPr>
          <w:sz w:val="27"/>
          <w:rtl/>
        </w:rPr>
        <w:t xml:space="preserve"> فيظن</w:t>
      </w:r>
      <w:r w:rsidRPr="006571AC">
        <w:rPr>
          <w:rFonts w:hint="cs"/>
          <w:sz w:val="27"/>
          <w:rtl/>
        </w:rPr>
        <w:t>ّ</w:t>
      </w:r>
      <w:r w:rsidRPr="006571AC">
        <w:rPr>
          <w:sz w:val="27"/>
          <w:rtl/>
        </w:rPr>
        <w:t xml:space="preserve"> م</w:t>
      </w:r>
      <w:r w:rsidRPr="006571AC">
        <w:rPr>
          <w:rFonts w:hint="cs"/>
          <w:sz w:val="27"/>
          <w:rtl/>
        </w:rPr>
        <w:t>َ</w:t>
      </w:r>
      <w:r w:rsidRPr="006571AC">
        <w:rPr>
          <w:sz w:val="27"/>
          <w:rtl/>
        </w:rPr>
        <w:t>ن</w:t>
      </w:r>
      <w:r w:rsidRPr="006571AC">
        <w:rPr>
          <w:rFonts w:hint="cs"/>
          <w:sz w:val="27"/>
          <w:rtl/>
        </w:rPr>
        <w:t>ْ</w:t>
      </w:r>
      <w:r w:rsidRPr="006571AC">
        <w:rPr>
          <w:sz w:val="27"/>
          <w:rtl/>
        </w:rPr>
        <w:t xml:space="preserve"> لا</w:t>
      </w:r>
      <w:r w:rsidRPr="006571AC">
        <w:rPr>
          <w:rFonts w:hint="cs"/>
          <w:sz w:val="27"/>
          <w:rtl/>
        </w:rPr>
        <w:t xml:space="preserve"> </w:t>
      </w:r>
      <w:r w:rsidRPr="006571AC">
        <w:rPr>
          <w:sz w:val="27"/>
          <w:rtl/>
        </w:rPr>
        <w:t>خبرة له بالفن</w:t>
      </w:r>
      <w:r w:rsidRPr="006571AC">
        <w:rPr>
          <w:rFonts w:hint="cs"/>
          <w:sz w:val="27"/>
          <w:rtl/>
        </w:rPr>
        <w:t>ّ</w:t>
      </w:r>
      <w:r w:rsidRPr="006571AC">
        <w:rPr>
          <w:sz w:val="27"/>
          <w:rtl/>
        </w:rPr>
        <w:t xml:space="preserve"> وقوع</w:t>
      </w:r>
      <w:r w:rsidRPr="006571AC">
        <w:rPr>
          <w:rFonts w:hint="cs"/>
          <w:sz w:val="27"/>
          <w:rtl/>
        </w:rPr>
        <w:t>َ</w:t>
      </w:r>
      <w:r w:rsidRPr="006571AC">
        <w:rPr>
          <w:sz w:val="27"/>
          <w:rtl/>
        </w:rPr>
        <w:t xml:space="preserve"> س</w:t>
      </w:r>
      <w:r w:rsidR="006F67D2" w:rsidRPr="006571AC">
        <w:rPr>
          <w:rFonts w:hint="cs"/>
          <w:sz w:val="27"/>
          <w:rtl/>
        </w:rPr>
        <w:t>َ</w:t>
      </w:r>
      <w:r w:rsidRPr="006571AC">
        <w:rPr>
          <w:sz w:val="27"/>
          <w:rtl/>
        </w:rPr>
        <w:t>ه</w:t>
      </w:r>
      <w:r w:rsidR="006F67D2" w:rsidRPr="006571AC">
        <w:rPr>
          <w:rFonts w:hint="cs"/>
          <w:sz w:val="27"/>
          <w:rtl/>
        </w:rPr>
        <w:t>ْ</w:t>
      </w:r>
      <w:r w:rsidRPr="006571AC">
        <w:rPr>
          <w:sz w:val="27"/>
          <w:rtl/>
        </w:rPr>
        <w:t>و</w:t>
      </w:r>
      <w:r w:rsidRPr="006571AC">
        <w:rPr>
          <w:rFonts w:hint="cs"/>
          <w:sz w:val="27"/>
          <w:rtl/>
        </w:rPr>
        <w:t>ٍ</w:t>
      </w:r>
      <w:r w:rsidRPr="006571AC">
        <w:rPr>
          <w:sz w:val="27"/>
          <w:rtl/>
        </w:rPr>
        <w:t xml:space="preserve"> منه</w:t>
      </w:r>
      <w:r w:rsidRPr="006571AC">
        <w:rPr>
          <w:rFonts w:hint="cs"/>
          <w:sz w:val="27"/>
          <w:rtl/>
        </w:rPr>
        <w:t>؛</w:t>
      </w:r>
      <w:r w:rsidRPr="006571AC">
        <w:rPr>
          <w:sz w:val="27"/>
          <w:rtl/>
        </w:rPr>
        <w:t xml:space="preserve"> لما يراه من زيادة في السند</w:t>
      </w:r>
      <w:r w:rsidRPr="006571AC">
        <w:rPr>
          <w:rFonts w:hint="cs"/>
          <w:sz w:val="24"/>
          <w:szCs w:val="24"/>
          <w:rtl/>
        </w:rPr>
        <w:t>»</w:t>
      </w:r>
      <w:r w:rsidRPr="006571AC">
        <w:rPr>
          <w:sz w:val="27"/>
          <w:vertAlign w:val="superscript"/>
          <w:rtl/>
        </w:rPr>
        <w:t>(</w:t>
      </w:r>
      <w:r w:rsidRPr="006571AC">
        <w:rPr>
          <w:rStyle w:val="ac"/>
          <w:sz w:val="27"/>
          <w:rtl/>
        </w:rPr>
        <w:endnoteReference w:id="783"/>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b/>
          <w:bCs/>
          <w:sz w:val="27"/>
          <w:rtl/>
        </w:rPr>
        <w:t>ولكنّ الحقّ أنّه</w:t>
      </w:r>
      <w:r w:rsidRPr="006571AC">
        <w:rPr>
          <w:rFonts w:ascii="Mosawi" w:hAnsi="Mosawi" w:cs="Mosawi"/>
          <w:b/>
          <w:bCs/>
          <w:sz w:val="22"/>
          <w:szCs w:val="22"/>
          <w:rtl/>
        </w:rPr>
        <w:t>&amp;</w:t>
      </w:r>
      <w:r w:rsidRPr="006571AC">
        <w:rPr>
          <w:rFonts w:hint="cs"/>
          <w:b/>
          <w:bCs/>
          <w:sz w:val="27"/>
          <w:rtl/>
        </w:rPr>
        <w:t xml:space="preserve"> يتبع المصدر الذي ينقل الحديث منه</w:t>
      </w:r>
      <w:r w:rsidRPr="006571AC">
        <w:rPr>
          <w:rFonts w:hint="cs"/>
          <w:sz w:val="27"/>
          <w:rtl/>
        </w:rPr>
        <w:t xml:space="preserve">؛ فإنْ جُمع بين أسناد الحديث في المصدر نقله كما هو؛ وإنْ لم يُجمع بين أسناد الحديث في المصدر لم </w:t>
      </w:r>
      <w:r w:rsidRPr="006571AC">
        <w:rPr>
          <w:rFonts w:hint="cs"/>
          <w:sz w:val="27"/>
          <w:rtl/>
        </w:rPr>
        <w:lastRenderedPageBreak/>
        <w:t>يجمع</w:t>
      </w:r>
      <w:r w:rsidRPr="006571AC">
        <w:rPr>
          <w:rFonts w:ascii="Mosawi" w:hAnsi="Mosawi" w:cs="Mosawi"/>
          <w:sz w:val="22"/>
          <w:szCs w:val="22"/>
          <w:rtl/>
        </w:rPr>
        <w:t>&amp;</w:t>
      </w:r>
      <w:r w:rsidRPr="006571AC">
        <w:rPr>
          <w:rFonts w:hint="cs"/>
          <w:sz w:val="27"/>
          <w:rtl/>
        </w:rPr>
        <w:t xml:space="preserve"> بينها، بل نقل الحديث بسنده الأوّل، ثمّ ذكر السند الثاني له، ومن ذلك:</w:t>
      </w:r>
    </w:p>
    <w:p w:rsidR="008A3F20" w:rsidRPr="006571AC" w:rsidRDefault="008A3F20" w:rsidP="000C6F2A">
      <w:pPr>
        <w:rPr>
          <w:sz w:val="27"/>
          <w:rtl/>
        </w:rPr>
      </w:pPr>
      <w:r w:rsidRPr="006571AC">
        <w:rPr>
          <w:rFonts w:hint="cs"/>
          <w:sz w:val="27"/>
          <w:rtl/>
        </w:rPr>
        <w:t xml:space="preserve">* ما ذكره في الباب 26 من أبواب الدفن، ح 1، حيث قال: </w:t>
      </w:r>
      <w:r w:rsidRPr="006571AC">
        <w:rPr>
          <w:rFonts w:hint="cs"/>
          <w:sz w:val="24"/>
          <w:szCs w:val="24"/>
          <w:rtl/>
        </w:rPr>
        <w:t>«</w:t>
      </w:r>
      <w:r w:rsidRPr="006571AC">
        <w:rPr>
          <w:rFonts w:hint="cs"/>
          <w:b/>
          <w:bCs/>
          <w:sz w:val="27"/>
          <w:rtl/>
        </w:rPr>
        <w:t>محمّد بن يعقوب، عن عدّة من أصحابنا، عن سهل بن زياد، وعن عليّ بن إبراهيم، عن أبيه جميعاً</w:t>
      </w:r>
      <w:r w:rsidRPr="006571AC">
        <w:rPr>
          <w:rFonts w:hint="cs"/>
          <w:sz w:val="27"/>
          <w:rtl/>
        </w:rPr>
        <w:t>، عن النوفليّ،</w:t>
      </w:r>
      <w:r w:rsidRPr="006571AC">
        <w:rPr>
          <w:sz w:val="27"/>
          <w:rtl/>
        </w:rPr>
        <w:t xml:space="preserve">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sz w:val="27"/>
          <w:rtl/>
        </w:rPr>
        <w:t xml:space="preserve"> قال:</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784"/>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وهذا السندُ ينحلّ إلى سندَيْن، وهما:</w:t>
      </w:r>
    </w:p>
    <w:p w:rsidR="008A3F20" w:rsidRPr="006571AC" w:rsidRDefault="008A3F20" w:rsidP="000C6F2A">
      <w:pPr>
        <w:rPr>
          <w:sz w:val="27"/>
          <w:rtl/>
        </w:rPr>
      </w:pPr>
      <w:r w:rsidRPr="006571AC">
        <w:rPr>
          <w:rFonts w:hint="cs"/>
          <w:b/>
          <w:bCs/>
          <w:sz w:val="27"/>
          <w:rtl/>
        </w:rPr>
        <w:t>السند الأوّل</w:t>
      </w:r>
      <w:r w:rsidRPr="006571AC">
        <w:rPr>
          <w:rFonts w:hint="cs"/>
          <w:sz w:val="27"/>
          <w:rtl/>
        </w:rPr>
        <w:t>: محمّد بن يعقوب، عن عدّة من أصحابنا، عن سهل بن زياد، عن النوفليّ....</w:t>
      </w:r>
    </w:p>
    <w:p w:rsidR="008A3F20" w:rsidRPr="006571AC" w:rsidRDefault="008A3F20" w:rsidP="000C6F2A">
      <w:pPr>
        <w:rPr>
          <w:sz w:val="27"/>
          <w:rtl/>
        </w:rPr>
      </w:pPr>
      <w:r w:rsidRPr="006571AC">
        <w:rPr>
          <w:rFonts w:hint="cs"/>
          <w:b/>
          <w:bCs/>
          <w:sz w:val="27"/>
          <w:rtl/>
        </w:rPr>
        <w:t>السند الثاني</w:t>
      </w:r>
      <w:r w:rsidRPr="006571AC">
        <w:rPr>
          <w:rFonts w:hint="cs"/>
          <w:sz w:val="27"/>
          <w:rtl/>
        </w:rPr>
        <w:t>: محمّد بن يعقوب، عن عليّ بن إبراهيم، عن أبيه، عن النوفليّ....</w:t>
      </w:r>
    </w:p>
    <w:p w:rsidR="008A3F20" w:rsidRPr="006571AC" w:rsidRDefault="008A3F20" w:rsidP="000C6F2A">
      <w:pPr>
        <w:rPr>
          <w:sz w:val="27"/>
          <w:rtl/>
        </w:rPr>
      </w:pPr>
      <w:r w:rsidRPr="006571AC">
        <w:rPr>
          <w:rFonts w:hint="cs"/>
          <w:sz w:val="27"/>
          <w:rtl/>
        </w:rPr>
        <w:t>والواقع أنّه</w:t>
      </w:r>
      <w:r w:rsidRPr="006571AC">
        <w:rPr>
          <w:rFonts w:ascii="Mosawi" w:hAnsi="Mosawi" w:cs="Mosawi"/>
          <w:sz w:val="22"/>
          <w:szCs w:val="22"/>
          <w:rtl/>
        </w:rPr>
        <w:t>&amp;</w:t>
      </w:r>
      <w:r w:rsidRPr="006571AC">
        <w:rPr>
          <w:rFonts w:hint="cs"/>
          <w:sz w:val="27"/>
          <w:rtl/>
        </w:rPr>
        <w:t xml:space="preserve"> قد نقل الحديث كما هو من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وفيه:</w:t>
      </w:r>
      <w:r w:rsidRPr="006571AC">
        <w:rPr>
          <w:sz w:val="27"/>
          <w:rtl/>
        </w:rPr>
        <w:t xml:space="preserve"> </w:t>
      </w:r>
      <w:r w:rsidRPr="006571AC">
        <w:rPr>
          <w:rFonts w:hint="cs"/>
          <w:sz w:val="24"/>
          <w:szCs w:val="24"/>
          <w:rtl/>
        </w:rPr>
        <w:t>«</w:t>
      </w:r>
      <w:r w:rsidRPr="006571AC">
        <w:rPr>
          <w:b/>
          <w:bCs/>
          <w:sz w:val="27"/>
          <w:rtl/>
        </w:rPr>
        <w:t>عد</w:t>
      </w:r>
      <w:r w:rsidRPr="006571AC">
        <w:rPr>
          <w:rFonts w:hint="cs"/>
          <w:b/>
          <w:bCs/>
          <w:sz w:val="27"/>
          <w:rtl/>
        </w:rPr>
        <w:t>ّ</w:t>
      </w:r>
      <w:r w:rsidRPr="006571AC">
        <w:rPr>
          <w:b/>
          <w:bCs/>
          <w:sz w:val="27"/>
          <w:rtl/>
        </w:rPr>
        <w:t>ة</w:t>
      </w:r>
      <w:r w:rsidR="006F67D2" w:rsidRPr="006571AC">
        <w:rPr>
          <w:rFonts w:hint="cs"/>
          <w:b/>
          <w:bCs/>
          <w:sz w:val="27"/>
          <w:rtl/>
        </w:rPr>
        <w:t>ٌ</w:t>
      </w:r>
      <w:r w:rsidRPr="006571AC">
        <w:rPr>
          <w:b/>
          <w:bCs/>
          <w:sz w:val="27"/>
          <w:rtl/>
        </w:rPr>
        <w:t xml:space="preserve"> من أصحابنا، عن سهل بن زياد، وعلي</w:t>
      </w:r>
      <w:r w:rsidRPr="006571AC">
        <w:rPr>
          <w:rFonts w:hint="cs"/>
          <w:b/>
          <w:bCs/>
          <w:sz w:val="27"/>
          <w:rtl/>
        </w:rPr>
        <w:t>ّ</w:t>
      </w:r>
      <w:r w:rsidRPr="006571AC">
        <w:rPr>
          <w:b/>
          <w:bCs/>
          <w:sz w:val="27"/>
          <w:rtl/>
        </w:rPr>
        <w:t xml:space="preserve"> بن إبراهيم، عن أبيه جميعا</w:t>
      </w:r>
      <w:r w:rsidRPr="006571AC">
        <w:rPr>
          <w:rFonts w:hint="cs"/>
          <w:b/>
          <w:bCs/>
          <w:sz w:val="27"/>
          <w:rtl/>
        </w:rPr>
        <w:t>ً</w:t>
      </w:r>
      <w:r w:rsidRPr="006571AC">
        <w:rPr>
          <w:sz w:val="27"/>
          <w:rtl/>
        </w:rPr>
        <w:t>، عن النوفلي</w:t>
      </w:r>
      <w:r w:rsidRPr="006571AC">
        <w:rPr>
          <w:rFonts w:hint="cs"/>
          <w:sz w:val="27"/>
          <w:rtl/>
        </w:rPr>
        <w:t>ّ</w:t>
      </w:r>
      <w:r w:rsidRPr="006571AC">
        <w:rPr>
          <w:sz w:val="27"/>
          <w:rtl/>
        </w:rPr>
        <w:t>،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sz w:val="27"/>
          <w:rtl/>
        </w:rPr>
        <w:t xml:space="preserve"> قال:</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785"/>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 وما في الباب 27 من أبواب التكفين، ح 1، حيث قال: </w:t>
      </w:r>
      <w:r w:rsidRPr="006571AC">
        <w:rPr>
          <w:rFonts w:hint="cs"/>
          <w:sz w:val="24"/>
          <w:szCs w:val="24"/>
          <w:rtl/>
        </w:rPr>
        <w:t>«</w:t>
      </w:r>
      <w:r w:rsidRPr="006571AC">
        <w:rPr>
          <w:b/>
          <w:bCs/>
          <w:sz w:val="27"/>
          <w:rtl/>
        </w:rPr>
        <w:t>محم</w:t>
      </w:r>
      <w:r w:rsidRPr="006571AC">
        <w:rPr>
          <w:rFonts w:hint="cs"/>
          <w:b/>
          <w:bCs/>
          <w:sz w:val="27"/>
          <w:rtl/>
        </w:rPr>
        <w:t>ّ</w:t>
      </w:r>
      <w:r w:rsidRPr="006571AC">
        <w:rPr>
          <w:b/>
          <w:bCs/>
          <w:sz w:val="27"/>
          <w:rtl/>
        </w:rPr>
        <w:t>د بن يعقوب، عن علي</w:t>
      </w:r>
      <w:r w:rsidRPr="006571AC">
        <w:rPr>
          <w:rFonts w:hint="cs"/>
          <w:b/>
          <w:bCs/>
          <w:sz w:val="27"/>
          <w:rtl/>
        </w:rPr>
        <w:t>ّ</w:t>
      </w:r>
      <w:r w:rsidRPr="006571AC">
        <w:rPr>
          <w:b/>
          <w:bCs/>
          <w:sz w:val="27"/>
          <w:rtl/>
        </w:rPr>
        <w:t xml:space="preserve"> </w:t>
      </w:r>
      <w:r w:rsidRPr="006571AC">
        <w:rPr>
          <w:rFonts w:hint="cs"/>
          <w:b/>
          <w:bCs/>
          <w:sz w:val="27"/>
          <w:rtl/>
        </w:rPr>
        <w:t>ا</w:t>
      </w:r>
      <w:r w:rsidRPr="006571AC">
        <w:rPr>
          <w:b/>
          <w:bCs/>
          <w:sz w:val="27"/>
          <w:rtl/>
        </w:rPr>
        <w:t>بن إبراهيم، عن أبيه، عن النوفلي</w:t>
      </w:r>
      <w:r w:rsidRPr="006571AC">
        <w:rPr>
          <w:rFonts w:hint="cs"/>
          <w:b/>
          <w:bCs/>
          <w:sz w:val="27"/>
          <w:rtl/>
        </w:rPr>
        <w:t>ّ</w:t>
      </w:r>
      <w:r w:rsidRPr="006571AC">
        <w:rPr>
          <w:sz w:val="27"/>
          <w:rtl/>
        </w:rPr>
        <w:t>،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sz w:val="27"/>
          <w:rtl/>
        </w:rPr>
        <w:t xml:space="preserve"> قال: إذا أعد</w:t>
      </w:r>
      <w:r w:rsidRPr="006571AC">
        <w:rPr>
          <w:rFonts w:hint="cs"/>
          <w:sz w:val="27"/>
          <w:rtl/>
        </w:rPr>
        <w:t>ّ</w:t>
      </w:r>
      <w:r w:rsidRPr="006571AC">
        <w:rPr>
          <w:sz w:val="27"/>
          <w:rtl/>
        </w:rPr>
        <w:t xml:space="preserve"> الرجل ك</w:t>
      </w:r>
      <w:r w:rsidR="007C5444" w:rsidRPr="006571AC">
        <w:rPr>
          <w:rFonts w:hint="cs"/>
          <w:sz w:val="27"/>
          <w:rtl/>
        </w:rPr>
        <w:t>َ</w:t>
      </w:r>
      <w:r w:rsidRPr="006571AC">
        <w:rPr>
          <w:sz w:val="27"/>
          <w:rtl/>
        </w:rPr>
        <w:t>ف</w:t>
      </w:r>
      <w:r w:rsidR="007C5444" w:rsidRPr="006571AC">
        <w:rPr>
          <w:rFonts w:hint="cs"/>
          <w:sz w:val="27"/>
          <w:rtl/>
        </w:rPr>
        <w:t>َ</w:t>
      </w:r>
      <w:r w:rsidRPr="006571AC">
        <w:rPr>
          <w:sz w:val="27"/>
          <w:rtl/>
        </w:rPr>
        <w:t>ن</w:t>
      </w:r>
      <w:r w:rsidR="007C5444" w:rsidRPr="006571AC">
        <w:rPr>
          <w:rFonts w:hint="cs"/>
          <w:sz w:val="27"/>
          <w:rtl/>
        </w:rPr>
        <w:t>َ</w:t>
      </w:r>
      <w:r w:rsidRPr="006571AC">
        <w:rPr>
          <w:sz w:val="27"/>
          <w:rtl/>
        </w:rPr>
        <w:t>ه فهو مأجور</w:t>
      </w:r>
      <w:r w:rsidRPr="006571AC">
        <w:rPr>
          <w:rFonts w:hint="cs"/>
          <w:sz w:val="27"/>
          <w:rtl/>
        </w:rPr>
        <w:t>ٌ</w:t>
      </w:r>
      <w:r w:rsidRPr="006571AC">
        <w:rPr>
          <w:sz w:val="27"/>
          <w:rtl/>
        </w:rPr>
        <w:t xml:space="preserve"> كل</w:t>
      </w:r>
      <w:r w:rsidRPr="006571AC">
        <w:rPr>
          <w:rFonts w:hint="cs"/>
          <w:sz w:val="27"/>
          <w:rtl/>
        </w:rPr>
        <w:t>ّ</w:t>
      </w:r>
      <w:r w:rsidRPr="006571AC">
        <w:rPr>
          <w:sz w:val="27"/>
          <w:rtl/>
        </w:rPr>
        <w:t xml:space="preserve">ما نظر إليه. </w:t>
      </w:r>
    </w:p>
    <w:p w:rsidR="008A3F20" w:rsidRPr="006571AC" w:rsidRDefault="008A3F20" w:rsidP="000C6F2A">
      <w:pPr>
        <w:rPr>
          <w:sz w:val="27"/>
          <w:rtl/>
        </w:rPr>
      </w:pPr>
      <w:r w:rsidRPr="006571AC">
        <w:rPr>
          <w:b/>
          <w:bCs/>
          <w:sz w:val="27"/>
          <w:rtl/>
        </w:rPr>
        <w:t>وعن عد</w:t>
      </w:r>
      <w:r w:rsidRPr="006571AC">
        <w:rPr>
          <w:rFonts w:hint="cs"/>
          <w:b/>
          <w:bCs/>
          <w:sz w:val="27"/>
          <w:rtl/>
        </w:rPr>
        <w:t>ّ</w:t>
      </w:r>
      <w:r w:rsidRPr="006571AC">
        <w:rPr>
          <w:b/>
          <w:bCs/>
          <w:sz w:val="27"/>
          <w:rtl/>
        </w:rPr>
        <w:t>ة</w:t>
      </w:r>
      <w:r w:rsidR="006F67D2" w:rsidRPr="006571AC">
        <w:rPr>
          <w:rFonts w:hint="cs"/>
          <w:b/>
          <w:bCs/>
          <w:sz w:val="27"/>
          <w:rtl/>
        </w:rPr>
        <w:t>ٍ</w:t>
      </w:r>
      <w:r w:rsidRPr="006571AC">
        <w:rPr>
          <w:b/>
          <w:bCs/>
          <w:sz w:val="27"/>
          <w:rtl/>
        </w:rPr>
        <w:t xml:space="preserve"> من أصحابنا، عن سهل بن زياد، عن النوفلي</w:t>
      </w:r>
      <w:r w:rsidRPr="006571AC">
        <w:rPr>
          <w:rFonts w:hint="cs"/>
          <w:b/>
          <w:bCs/>
          <w:sz w:val="27"/>
          <w:rtl/>
        </w:rPr>
        <w:t>ّ</w:t>
      </w:r>
      <w:r w:rsidRPr="006571AC">
        <w:rPr>
          <w:sz w:val="27"/>
          <w:rtl/>
        </w:rPr>
        <w:t>، مثله</w:t>
      </w:r>
      <w:r w:rsidRPr="006571AC">
        <w:rPr>
          <w:rFonts w:hint="cs"/>
          <w:sz w:val="24"/>
          <w:szCs w:val="24"/>
          <w:rtl/>
        </w:rPr>
        <w:t>»</w:t>
      </w:r>
      <w:r w:rsidRPr="006571AC">
        <w:rPr>
          <w:sz w:val="27"/>
          <w:vertAlign w:val="superscript"/>
          <w:rtl/>
        </w:rPr>
        <w:t>(</w:t>
      </w:r>
      <w:r w:rsidRPr="006571AC">
        <w:rPr>
          <w:rStyle w:val="ac"/>
          <w:sz w:val="27"/>
          <w:rtl/>
        </w:rPr>
        <w:endnoteReference w:id="786"/>
      </w:r>
      <w:r w:rsidRPr="006571AC">
        <w:rPr>
          <w:sz w:val="27"/>
          <w:vertAlign w:val="superscript"/>
          <w:rtl/>
        </w:rPr>
        <w:t>)</w:t>
      </w:r>
      <w:r w:rsidRPr="006571AC">
        <w:rPr>
          <w:sz w:val="27"/>
          <w:rtl/>
        </w:rPr>
        <w:t xml:space="preserve">. </w:t>
      </w:r>
    </w:p>
    <w:p w:rsidR="008A3F20" w:rsidRPr="006571AC" w:rsidRDefault="008A3F20" w:rsidP="000C6F2A">
      <w:pPr>
        <w:rPr>
          <w:sz w:val="27"/>
          <w:rtl/>
        </w:rPr>
      </w:pPr>
      <w:r w:rsidRPr="006571AC">
        <w:rPr>
          <w:rFonts w:hint="cs"/>
          <w:sz w:val="27"/>
          <w:rtl/>
        </w:rPr>
        <w:t xml:space="preserve">وبالرجوع إلى المصدر،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تبيّن أنّ الشيخ الكلينيّ</w:t>
      </w:r>
      <w:r w:rsidRPr="006571AC">
        <w:rPr>
          <w:rFonts w:ascii="Mosawi" w:hAnsi="Mosawi" w:cs="Mosawi"/>
          <w:sz w:val="22"/>
          <w:szCs w:val="22"/>
          <w:rtl/>
        </w:rPr>
        <w:t>&amp;</w:t>
      </w:r>
      <w:r w:rsidRPr="006571AC">
        <w:rPr>
          <w:rFonts w:hint="cs"/>
          <w:sz w:val="27"/>
          <w:rtl/>
        </w:rPr>
        <w:t xml:space="preserve"> قد ذكر لهذا الحديث سندَيْن مختلفَيْن، ولم يجمع بينهما في حديث</w:t>
      </w:r>
      <w:r w:rsidR="006F67D2" w:rsidRPr="006571AC">
        <w:rPr>
          <w:rFonts w:hint="cs"/>
          <w:sz w:val="27"/>
          <w:rtl/>
        </w:rPr>
        <w:t>ٍ</w:t>
      </w:r>
      <w:r w:rsidRPr="006571AC">
        <w:rPr>
          <w:rFonts w:hint="cs"/>
          <w:sz w:val="27"/>
          <w:rtl/>
        </w:rPr>
        <w:t xml:space="preserve"> واحد. </w:t>
      </w:r>
    </w:p>
    <w:p w:rsidR="008A3F20" w:rsidRPr="006571AC" w:rsidRDefault="008A3F20" w:rsidP="000C6F2A">
      <w:pPr>
        <w:rPr>
          <w:sz w:val="27"/>
          <w:rtl/>
        </w:rPr>
      </w:pPr>
      <w:r w:rsidRPr="006571AC">
        <w:rPr>
          <w:rFonts w:hint="cs"/>
          <w:sz w:val="27"/>
          <w:rtl/>
        </w:rPr>
        <w:t xml:space="preserve">ففي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xml:space="preserve">: </w:t>
      </w:r>
      <w:r w:rsidRPr="006571AC">
        <w:rPr>
          <w:rFonts w:hint="cs"/>
          <w:sz w:val="24"/>
          <w:szCs w:val="24"/>
          <w:rtl/>
        </w:rPr>
        <w:t>«</w:t>
      </w:r>
      <w:r w:rsidRPr="006571AC">
        <w:rPr>
          <w:sz w:val="27"/>
          <w:rtl/>
        </w:rPr>
        <w:t xml:space="preserve">9ـ </w:t>
      </w:r>
      <w:r w:rsidRPr="006571AC">
        <w:rPr>
          <w:b/>
          <w:bCs/>
          <w:sz w:val="27"/>
          <w:rtl/>
        </w:rPr>
        <w:t>علي</w:t>
      </w:r>
      <w:r w:rsidRPr="006571AC">
        <w:rPr>
          <w:rFonts w:hint="cs"/>
          <w:b/>
          <w:bCs/>
          <w:sz w:val="27"/>
          <w:rtl/>
        </w:rPr>
        <w:t>ّ</w:t>
      </w:r>
      <w:r w:rsidRPr="006571AC">
        <w:rPr>
          <w:b/>
          <w:bCs/>
          <w:sz w:val="27"/>
          <w:rtl/>
        </w:rPr>
        <w:t xml:space="preserve"> بن إبراهيم، عن أبيه، عن النوفلي</w:t>
      </w:r>
      <w:r w:rsidRPr="006571AC">
        <w:rPr>
          <w:rFonts w:hint="cs"/>
          <w:b/>
          <w:bCs/>
          <w:sz w:val="27"/>
          <w:rtl/>
        </w:rPr>
        <w:t>ّ</w:t>
      </w:r>
      <w:r w:rsidRPr="006571AC">
        <w:rPr>
          <w:sz w:val="27"/>
          <w:rtl/>
        </w:rPr>
        <w:t>،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قال: إذا أعد</w:t>
      </w:r>
      <w:r w:rsidRPr="006571AC">
        <w:rPr>
          <w:rFonts w:hint="cs"/>
          <w:sz w:val="27"/>
          <w:rtl/>
        </w:rPr>
        <w:t>ّ</w:t>
      </w:r>
      <w:r w:rsidRPr="006571AC">
        <w:rPr>
          <w:sz w:val="27"/>
          <w:rtl/>
        </w:rPr>
        <w:t xml:space="preserve"> الرجل ك</w:t>
      </w:r>
      <w:r w:rsidR="007C5444" w:rsidRPr="006571AC">
        <w:rPr>
          <w:rFonts w:hint="cs"/>
          <w:sz w:val="27"/>
          <w:rtl/>
        </w:rPr>
        <w:t>َ</w:t>
      </w:r>
      <w:r w:rsidRPr="006571AC">
        <w:rPr>
          <w:sz w:val="27"/>
          <w:rtl/>
        </w:rPr>
        <w:t>ف</w:t>
      </w:r>
      <w:r w:rsidR="007C5444" w:rsidRPr="006571AC">
        <w:rPr>
          <w:rFonts w:hint="cs"/>
          <w:sz w:val="27"/>
          <w:rtl/>
        </w:rPr>
        <w:t>َ</w:t>
      </w:r>
      <w:r w:rsidRPr="006571AC">
        <w:rPr>
          <w:sz w:val="27"/>
          <w:rtl/>
        </w:rPr>
        <w:t>ن</w:t>
      </w:r>
      <w:r w:rsidR="007C5444" w:rsidRPr="006571AC">
        <w:rPr>
          <w:rFonts w:hint="cs"/>
          <w:sz w:val="27"/>
          <w:rtl/>
        </w:rPr>
        <w:t>َ</w:t>
      </w:r>
      <w:r w:rsidRPr="006571AC">
        <w:rPr>
          <w:sz w:val="27"/>
          <w:rtl/>
        </w:rPr>
        <w:t>ه فهو مأجور</w:t>
      </w:r>
      <w:r w:rsidRPr="006571AC">
        <w:rPr>
          <w:rFonts w:hint="cs"/>
          <w:sz w:val="27"/>
          <w:rtl/>
        </w:rPr>
        <w:t>ٌ</w:t>
      </w:r>
      <w:r w:rsidRPr="006571AC">
        <w:rPr>
          <w:sz w:val="27"/>
          <w:rtl/>
        </w:rPr>
        <w:t xml:space="preserve"> كل</w:t>
      </w:r>
      <w:r w:rsidRPr="006571AC">
        <w:rPr>
          <w:rFonts w:hint="cs"/>
          <w:sz w:val="27"/>
          <w:rtl/>
        </w:rPr>
        <w:t>ّ</w:t>
      </w:r>
      <w:r w:rsidRPr="006571AC">
        <w:rPr>
          <w:sz w:val="27"/>
          <w:rtl/>
        </w:rPr>
        <w:t xml:space="preserve">ما نظر إليه. </w:t>
      </w:r>
    </w:p>
    <w:p w:rsidR="008A3F20" w:rsidRPr="006571AC" w:rsidRDefault="008A3F20" w:rsidP="000C6F2A">
      <w:pPr>
        <w:rPr>
          <w:sz w:val="27"/>
          <w:rtl/>
        </w:rPr>
      </w:pPr>
      <w:r w:rsidRPr="006571AC">
        <w:rPr>
          <w:sz w:val="27"/>
          <w:rtl/>
        </w:rPr>
        <w:t xml:space="preserve">12ـ </w:t>
      </w:r>
      <w:r w:rsidRPr="006571AC">
        <w:rPr>
          <w:b/>
          <w:bCs/>
          <w:sz w:val="27"/>
          <w:rtl/>
        </w:rPr>
        <w:t>عد</w:t>
      </w:r>
      <w:r w:rsidRPr="006571AC">
        <w:rPr>
          <w:rFonts w:hint="cs"/>
          <w:b/>
          <w:bCs/>
          <w:sz w:val="27"/>
          <w:rtl/>
        </w:rPr>
        <w:t>ّ</w:t>
      </w:r>
      <w:r w:rsidRPr="006571AC">
        <w:rPr>
          <w:b/>
          <w:bCs/>
          <w:sz w:val="27"/>
          <w:rtl/>
        </w:rPr>
        <w:t>ة</w:t>
      </w:r>
      <w:r w:rsidR="006F67D2" w:rsidRPr="006571AC">
        <w:rPr>
          <w:rFonts w:hint="cs"/>
          <w:b/>
          <w:bCs/>
          <w:sz w:val="27"/>
          <w:rtl/>
        </w:rPr>
        <w:t>ٌ</w:t>
      </w:r>
      <w:r w:rsidRPr="006571AC">
        <w:rPr>
          <w:b/>
          <w:bCs/>
          <w:sz w:val="27"/>
          <w:rtl/>
        </w:rPr>
        <w:t xml:space="preserve"> من أصحابنا، عن سهل بن زياد، عن النوفلي</w:t>
      </w:r>
      <w:r w:rsidRPr="006571AC">
        <w:rPr>
          <w:rFonts w:hint="cs"/>
          <w:b/>
          <w:bCs/>
          <w:sz w:val="27"/>
          <w:rtl/>
        </w:rPr>
        <w:t>ّ</w:t>
      </w:r>
      <w:r w:rsidRPr="006571AC">
        <w:rPr>
          <w:sz w:val="27"/>
          <w:rtl/>
        </w:rPr>
        <w:t>،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قال: إذا أعد</w:t>
      </w:r>
      <w:r w:rsidRPr="006571AC">
        <w:rPr>
          <w:rFonts w:hint="cs"/>
          <w:sz w:val="27"/>
          <w:rtl/>
        </w:rPr>
        <w:t>ّ</w:t>
      </w:r>
      <w:r w:rsidRPr="006571AC">
        <w:rPr>
          <w:sz w:val="27"/>
          <w:rtl/>
        </w:rPr>
        <w:t xml:space="preserve"> الرجل ك</w:t>
      </w:r>
      <w:r w:rsidR="007C5444" w:rsidRPr="006571AC">
        <w:rPr>
          <w:rFonts w:hint="cs"/>
          <w:sz w:val="27"/>
          <w:rtl/>
        </w:rPr>
        <w:t>َ</w:t>
      </w:r>
      <w:r w:rsidRPr="006571AC">
        <w:rPr>
          <w:sz w:val="27"/>
          <w:rtl/>
        </w:rPr>
        <w:t>ف</w:t>
      </w:r>
      <w:r w:rsidR="007C5444" w:rsidRPr="006571AC">
        <w:rPr>
          <w:rFonts w:hint="cs"/>
          <w:sz w:val="27"/>
          <w:rtl/>
        </w:rPr>
        <w:t>َ</w:t>
      </w:r>
      <w:r w:rsidRPr="006571AC">
        <w:rPr>
          <w:sz w:val="27"/>
          <w:rtl/>
        </w:rPr>
        <w:t>ن</w:t>
      </w:r>
      <w:r w:rsidR="007C5444" w:rsidRPr="006571AC">
        <w:rPr>
          <w:rFonts w:hint="cs"/>
          <w:sz w:val="27"/>
          <w:rtl/>
        </w:rPr>
        <w:t>َ</w:t>
      </w:r>
      <w:r w:rsidRPr="006571AC">
        <w:rPr>
          <w:sz w:val="27"/>
          <w:rtl/>
        </w:rPr>
        <w:t>ه فهو مأجور</w:t>
      </w:r>
      <w:r w:rsidRPr="006571AC">
        <w:rPr>
          <w:rFonts w:hint="cs"/>
          <w:sz w:val="27"/>
          <w:rtl/>
        </w:rPr>
        <w:t>ٌ</w:t>
      </w:r>
      <w:r w:rsidRPr="006571AC">
        <w:rPr>
          <w:sz w:val="27"/>
          <w:rtl/>
        </w:rPr>
        <w:t xml:space="preserve"> كل</w:t>
      </w:r>
      <w:r w:rsidRPr="006571AC">
        <w:rPr>
          <w:rFonts w:hint="cs"/>
          <w:sz w:val="27"/>
          <w:rtl/>
        </w:rPr>
        <w:t>ّ</w:t>
      </w:r>
      <w:r w:rsidRPr="006571AC">
        <w:rPr>
          <w:sz w:val="27"/>
          <w:rtl/>
        </w:rPr>
        <w:t>ما نظر إليه</w:t>
      </w:r>
      <w:r w:rsidRPr="006571AC">
        <w:rPr>
          <w:rFonts w:hint="cs"/>
          <w:sz w:val="24"/>
          <w:szCs w:val="24"/>
          <w:rtl/>
        </w:rPr>
        <w:t>»</w:t>
      </w:r>
      <w:r w:rsidRPr="006571AC">
        <w:rPr>
          <w:sz w:val="27"/>
          <w:vertAlign w:val="superscript"/>
          <w:rtl/>
        </w:rPr>
        <w:t>(</w:t>
      </w:r>
      <w:r w:rsidRPr="006571AC">
        <w:rPr>
          <w:rStyle w:val="ac"/>
          <w:sz w:val="27"/>
          <w:rtl/>
        </w:rPr>
        <w:endnoteReference w:id="787"/>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وقد تبعه الشيخ الحُرّ</w:t>
      </w:r>
      <w:r w:rsidRPr="006571AC">
        <w:rPr>
          <w:rFonts w:ascii="Mosawi" w:hAnsi="Mosawi" w:cs="Mosawi"/>
          <w:sz w:val="22"/>
          <w:szCs w:val="22"/>
          <w:rtl/>
        </w:rPr>
        <w:t>&amp;</w:t>
      </w:r>
      <w:r w:rsidRPr="006571AC">
        <w:rPr>
          <w:rFonts w:hint="cs"/>
          <w:sz w:val="27"/>
          <w:rtl/>
        </w:rPr>
        <w:t xml:space="preserve">، فذكر الحديث بسنده الأوّل فقط، ثمّ ذكر سنده الثاني، مشيراً إلى تطابق الحديثَيْن في المتن بقوله: </w:t>
      </w:r>
      <w:r w:rsidRPr="006571AC">
        <w:rPr>
          <w:rFonts w:hint="cs"/>
          <w:sz w:val="24"/>
          <w:szCs w:val="24"/>
          <w:rtl/>
        </w:rPr>
        <w:t>«</w:t>
      </w:r>
      <w:r w:rsidRPr="006571AC">
        <w:rPr>
          <w:rFonts w:hint="cs"/>
          <w:sz w:val="27"/>
          <w:rtl/>
        </w:rPr>
        <w:t>مثله</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وقد كان بإمكان الشيخ الحُرّ</w:t>
      </w:r>
      <w:r w:rsidRPr="006571AC">
        <w:rPr>
          <w:rFonts w:ascii="Mosawi" w:hAnsi="Mosawi" w:cs="Mosawi"/>
          <w:sz w:val="22"/>
          <w:szCs w:val="22"/>
          <w:rtl/>
        </w:rPr>
        <w:t>&amp;</w:t>
      </w:r>
      <w:r w:rsidRPr="006571AC">
        <w:rPr>
          <w:rFonts w:hint="cs"/>
          <w:sz w:val="27"/>
          <w:rtl/>
        </w:rPr>
        <w:t xml:space="preserve"> لو أراد اعتماد طريقة الجمع بين الأسناد للاختصار ـ كما نُسب إليه ـ أن يذكر الحديث بهذا النحو: محمّد بن يعقوب، عن </w:t>
      </w:r>
      <w:r w:rsidRPr="006571AC">
        <w:rPr>
          <w:sz w:val="27"/>
          <w:rtl/>
        </w:rPr>
        <w:t>علي</w:t>
      </w:r>
      <w:r w:rsidRPr="006571AC">
        <w:rPr>
          <w:rFonts w:hint="cs"/>
          <w:sz w:val="27"/>
          <w:rtl/>
        </w:rPr>
        <w:t>ّ</w:t>
      </w:r>
      <w:r w:rsidRPr="006571AC">
        <w:rPr>
          <w:sz w:val="27"/>
          <w:rtl/>
        </w:rPr>
        <w:t xml:space="preserve"> بن إبراهيم، عن أبيه، </w:t>
      </w:r>
      <w:r w:rsidRPr="006571AC">
        <w:rPr>
          <w:rFonts w:hint="cs"/>
          <w:sz w:val="27"/>
          <w:rtl/>
        </w:rPr>
        <w:t>وعن</w:t>
      </w:r>
      <w:r w:rsidRPr="006571AC">
        <w:rPr>
          <w:sz w:val="27"/>
          <w:rtl/>
        </w:rPr>
        <w:t xml:space="preserve"> عد</w:t>
      </w:r>
      <w:r w:rsidRPr="006571AC">
        <w:rPr>
          <w:rFonts w:hint="cs"/>
          <w:sz w:val="27"/>
          <w:rtl/>
        </w:rPr>
        <w:t>ّ</w:t>
      </w:r>
      <w:r w:rsidRPr="006571AC">
        <w:rPr>
          <w:sz w:val="27"/>
          <w:rtl/>
        </w:rPr>
        <w:t>ة</w:t>
      </w:r>
      <w:r w:rsidR="006F67D2" w:rsidRPr="006571AC">
        <w:rPr>
          <w:rFonts w:hint="cs"/>
          <w:sz w:val="27"/>
          <w:rtl/>
        </w:rPr>
        <w:t>ٍ</w:t>
      </w:r>
      <w:r w:rsidRPr="006571AC">
        <w:rPr>
          <w:sz w:val="27"/>
          <w:rtl/>
        </w:rPr>
        <w:t xml:space="preserve"> من أصحابنا، عن سهل بن زياد</w:t>
      </w:r>
      <w:r w:rsidR="006F67D2" w:rsidRPr="006571AC">
        <w:rPr>
          <w:rFonts w:hint="cs"/>
          <w:sz w:val="27"/>
          <w:rtl/>
        </w:rPr>
        <w:t>،</w:t>
      </w:r>
      <w:r w:rsidRPr="006571AC">
        <w:rPr>
          <w:rFonts w:hint="cs"/>
          <w:sz w:val="27"/>
          <w:rtl/>
        </w:rPr>
        <w:t xml:space="preserve"> جميعاً، </w:t>
      </w:r>
      <w:r w:rsidRPr="006571AC">
        <w:rPr>
          <w:sz w:val="27"/>
          <w:rtl/>
        </w:rPr>
        <w:t xml:space="preserve">عن </w:t>
      </w:r>
      <w:r w:rsidRPr="006571AC">
        <w:rPr>
          <w:sz w:val="27"/>
          <w:rtl/>
        </w:rPr>
        <w:lastRenderedPageBreak/>
        <w:t>النوفلي</w:t>
      </w:r>
      <w:r w:rsidRPr="006571AC">
        <w:rPr>
          <w:rFonts w:hint="cs"/>
          <w:sz w:val="27"/>
          <w:rtl/>
        </w:rPr>
        <w:t>ّ</w:t>
      </w:r>
      <w:r w:rsidRPr="006571AC">
        <w:rPr>
          <w:sz w:val="27"/>
          <w:rtl/>
        </w:rPr>
        <w:t>،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قال: إذا أعد</w:t>
      </w:r>
      <w:r w:rsidRPr="006571AC">
        <w:rPr>
          <w:rFonts w:hint="cs"/>
          <w:sz w:val="27"/>
          <w:rtl/>
        </w:rPr>
        <w:t>ّ</w:t>
      </w:r>
      <w:r w:rsidRPr="006571AC">
        <w:rPr>
          <w:sz w:val="27"/>
          <w:rtl/>
        </w:rPr>
        <w:t xml:space="preserve"> الرجل كفنه فهو مأجور</w:t>
      </w:r>
      <w:r w:rsidRPr="006571AC">
        <w:rPr>
          <w:rFonts w:hint="cs"/>
          <w:sz w:val="27"/>
          <w:rtl/>
        </w:rPr>
        <w:t>ٌ</w:t>
      </w:r>
      <w:r w:rsidRPr="006571AC">
        <w:rPr>
          <w:sz w:val="27"/>
          <w:rtl/>
        </w:rPr>
        <w:t xml:space="preserve"> كل</w:t>
      </w:r>
      <w:r w:rsidRPr="006571AC">
        <w:rPr>
          <w:rFonts w:hint="cs"/>
          <w:sz w:val="27"/>
          <w:rtl/>
        </w:rPr>
        <w:t>ّ</w:t>
      </w:r>
      <w:r w:rsidRPr="006571AC">
        <w:rPr>
          <w:sz w:val="27"/>
          <w:rtl/>
        </w:rPr>
        <w:t>ما نظر إليه.</w:t>
      </w:r>
    </w:p>
    <w:p w:rsidR="008A3F20" w:rsidRPr="006571AC" w:rsidRDefault="008A3F20" w:rsidP="000C6F2A">
      <w:pPr>
        <w:rPr>
          <w:sz w:val="27"/>
          <w:rtl/>
        </w:rPr>
      </w:pPr>
      <w:r w:rsidRPr="006571AC">
        <w:rPr>
          <w:rFonts w:hint="cs"/>
          <w:sz w:val="27"/>
          <w:rtl/>
        </w:rPr>
        <w:t>ولكنّه لم يفعل ذلك، الأمر الذي يدفعنا للقول بأنّه</w:t>
      </w:r>
      <w:r w:rsidRPr="006571AC">
        <w:rPr>
          <w:rFonts w:ascii="Mosawi" w:hAnsi="Mosawi" w:cs="Mosawi"/>
          <w:sz w:val="22"/>
          <w:szCs w:val="22"/>
          <w:rtl/>
        </w:rPr>
        <w:t>&amp;</w:t>
      </w:r>
      <w:r w:rsidRPr="006571AC">
        <w:rPr>
          <w:rFonts w:hint="cs"/>
          <w:sz w:val="27"/>
          <w:rtl/>
        </w:rPr>
        <w:t xml:space="preserve"> لم يعتمد طريقة الجمع بين الأسناد، وإنّما تبع المصدر الذي ينقل منه؛ فإنْ كان قد جمع بين الأسناد نقله كما هو، ولم يُفكِّك بين تلك الأسناد؛ وإنْ كان لم يجمع بين الأسناد نقله كما هو أيضاً، ولم يجمع بينها من تلقاء نفسه</w:t>
      </w:r>
      <w:r w:rsidRPr="006571AC">
        <w:rPr>
          <w:sz w:val="27"/>
          <w:vertAlign w:val="superscript"/>
          <w:rtl/>
        </w:rPr>
        <w:t>(</w:t>
      </w:r>
      <w:r w:rsidRPr="006571AC">
        <w:rPr>
          <w:rStyle w:val="ac"/>
          <w:sz w:val="27"/>
          <w:rtl/>
        </w:rPr>
        <w:endnoteReference w:id="788"/>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 وما في الباب 64 من كتاب العتق، ح 1 و2، حيث قال: </w:t>
      </w:r>
      <w:r w:rsidRPr="006571AC">
        <w:rPr>
          <w:rFonts w:hint="cs"/>
          <w:sz w:val="24"/>
          <w:szCs w:val="24"/>
          <w:rtl/>
        </w:rPr>
        <w:t>«</w:t>
      </w:r>
      <w:r w:rsidRPr="006571AC">
        <w:rPr>
          <w:rFonts w:hint="cs"/>
          <w:sz w:val="27"/>
          <w:rtl/>
        </w:rPr>
        <w:t xml:space="preserve">1ـ </w:t>
      </w:r>
      <w:r w:rsidRPr="006571AC">
        <w:rPr>
          <w:b/>
          <w:bCs/>
          <w:sz w:val="27"/>
          <w:rtl/>
        </w:rPr>
        <w:t>محم</w:t>
      </w:r>
      <w:r w:rsidRPr="006571AC">
        <w:rPr>
          <w:rFonts w:hint="cs"/>
          <w:b/>
          <w:bCs/>
          <w:sz w:val="27"/>
          <w:rtl/>
        </w:rPr>
        <w:t>ّ</w:t>
      </w:r>
      <w:r w:rsidRPr="006571AC">
        <w:rPr>
          <w:b/>
          <w:bCs/>
          <w:sz w:val="27"/>
          <w:rtl/>
        </w:rPr>
        <w:t>د بن الحسن ب</w:t>
      </w:r>
      <w:r w:rsidRPr="006571AC">
        <w:rPr>
          <w:rFonts w:hint="cs"/>
          <w:b/>
          <w:bCs/>
          <w:sz w:val="27"/>
          <w:rtl/>
        </w:rPr>
        <w:t>إ</w:t>
      </w:r>
      <w:r w:rsidRPr="006571AC">
        <w:rPr>
          <w:b/>
          <w:bCs/>
          <w:sz w:val="27"/>
          <w:rtl/>
        </w:rPr>
        <w:t>سناده عن محم</w:t>
      </w:r>
      <w:r w:rsidRPr="006571AC">
        <w:rPr>
          <w:rFonts w:hint="cs"/>
          <w:b/>
          <w:bCs/>
          <w:sz w:val="27"/>
          <w:rtl/>
        </w:rPr>
        <w:t>ّ</w:t>
      </w:r>
      <w:r w:rsidRPr="006571AC">
        <w:rPr>
          <w:b/>
          <w:bCs/>
          <w:sz w:val="27"/>
          <w:rtl/>
        </w:rPr>
        <w:t>د بن عل</w:t>
      </w:r>
      <w:r w:rsidRPr="006571AC">
        <w:rPr>
          <w:rFonts w:hint="cs"/>
          <w:b/>
          <w:bCs/>
          <w:sz w:val="27"/>
          <w:rtl/>
        </w:rPr>
        <w:t>يّ</w:t>
      </w:r>
      <w:r w:rsidRPr="006571AC">
        <w:rPr>
          <w:b/>
          <w:bCs/>
          <w:sz w:val="27"/>
          <w:rtl/>
        </w:rPr>
        <w:t xml:space="preserve"> بن محبوب</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الحسين</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يحيى الخز</w:t>
      </w:r>
      <w:r w:rsidRPr="006571AC">
        <w:rPr>
          <w:rFonts w:hint="cs"/>
          <w:b/>
          <w:bCs/>
          <w:sz w:val="27"/>
          <w:rtl/>
        </w:rPr>
        <w:t>ّ</w:t>
      </w:r>
      <w:r w:rsidRPr="006571AC">
        <w:rPr>
          <w:b/>
          <w:bCs/>
          <w:sz w:val="27"/>
          <w:rtl/>
        </w:rPr>
        <w:t>از</w:t>
      </w:r>
      <w:r w:rsidRPr="006571AC">
        <w:rPr>
          <w:rFonts w:hint="cs"/>
          <w:b/>
          <w:bCs/>
          <w:sz w:val="27"/>
          <w:rtl/>
        </w:rPr>
        <w:t>،</w:t>
      </w:r>
      <w:r w:rsidRPr="006571AC">
        <w:rPr>
          <w:b/>
          <w:bCs/>
          <w:sz w:val="27"/>
          <w:rtl/>
        </w:rPr>
        <w:t xml:space="preserve"> عن غياث </w:t>
      </w:r>
      <w:r w:rsidRPr="006571AC">
        <w:rPr>
          <w:rFonts w:hint="cs"/>
          <w:b/>
          <w:bCs/>
          <w:sz w:val="27"/>
          <w:rtl/>
        </w:rPr>
        <w:t>ا</w:t>
      </w:r>
      <w:r w:rsidRPr="006571AC">
        <w:rPr>
          <w:b/>
          <w:bCs/>
          <w:sz w:val="27"/>
          <w:rtl/>
        </w:rPr>
        <w:t xml:space="preserve">بن </w:t>
      </w:r>
      <w:r w:rsidRPr="006571AC">
        <w:rPr>
          <w:rFonts w:hint="cs"/>
          <w:b/>
          <w:bCs/>
          <w:sz w:val="27"/>
          <w:rtl/>
        </w:rPr>
        <w:t>إ</w:t>
      </w:r>
      <w:r w:rsidRPr="006571AC">
        <w:rPr>
          <w:b/>
          <w:bCs/>
          <w:sz w:val="27"/>
          <w:rtl/>
        </w:rPr>
        <w:t>براهيم الرازي</w:t>
      </w:r>
      <w:r w:rsidRPr="006571AC">
        <w:rPr>
          <w:rFonts w:hint="cs"/>
          <w:b/>
          <w:bCs/>
          <w:sz w:val="27"/>
          <w:rtl/>
        </w:rPr>
        <w:t>ّ،</w:t>
      </w:r>
      <w:r w:rsidRPr="006571AC">
        <w:rPr>
          <w:b/>
          <w:bCs/>
          <w:sz w:val="27"/>
          <w:rtl/>
        </w:rPr>
        <w:t xml:space="preserve"> عن جعفر</w:t>
      </w:r>
      <w:r w:rsidRPr="006571AC">
        <w:rPr>
          <w:rFonts w:hint="cs"/>
          <w:b/>
          <w:bCs/>
          <w:sz w:val="27"/>
          <w:rtl/>
        </w:rPr>
        <w:t>،</w:t>
      </w:r>
      <w:r w:rsidRPr="006571AC">
        <w:rPr>
          <w:b/>
          <w:bCs/>
          <w:sz w:val="27"/>
          <w:rtl/>
        </w:rPr>
        <w:t xml:space="preserve"> عن أبيه</w:t>
      </w:r>
      <w:r w:rsidRPr="006571AC">
        <w:rPr>
          <w:rFonts w:ascii="Mosawi" w:hAnsi="Mosawi" w:cs="Mosawi"/>
          <w:b/>
          <w:bCs/>
          <w:sz w:val="22"/>
          <w:szCs w:val="22"/>
          <w:rtl/>
        </w:rPr>
        <w:t>’</w:t>
      </w:r>
      <w:r w:rsidRPr="006571AC">
        <w:rPr>
          <w:sz w:val="27"/>
          <w:rtl/>
        </w:rPr>
        <w:t xml:space="preserve">: </w:t>
      </w:r>
      <w:r w:rsidRPr="006571AC">
        <w:rPr>
          <w:rFonts w:hint="cs"/>
          <w:sz w:val="27"/>
          <w:rtl/>
        </w:rPr>
        <w:t>إ</w:t>
      </w:r>
      <w:r w:rsidRPr="006571AC">
        <w:rPr>
          <w:sz w:val="27"/>
          <w:rtl/>
        </w:rPr>
        <w:t>ن</w:t>
      </w:r>
      <w:r w:rsidRPr="006571AC">
        <w:rPr>
          <w:rFonts w:hint="cs"/>
          <w:sz w:val="27"/>
          <w:rtl/>
        </w:rPr>
        <w:t>ّ</w:t>
      </w:r>
      <w:r w:rsidRPr="006571AC">
        <w:rPr>
          <w:sz w:val="27"/>
          <w:rtl/>
        </w:rPr>
        <w:t xml:space="preserve"> رجلا</w:t>
      </w:r>
      <w:r w:rsidRPr="006571AC">
        <w:rPr>
          <w:rFonts w:hint="cs"/>
          <w:sz w:val="27"/>
          <w:rtl/>
        </w:rPr>
        <w:t>ً</w:t>
      </w:r>
      <w:r w:rsidRPr="006571AC">
        <w:rPr>
          <w:sz w:val="27"/>
          <w:rtl/>
        </w:rPr>
        <w:t xml:space="preserve"> </w:t>
      </w:r>
      <w:r w:rsidRPr="006571AC">
        <w:rPr>
          <w:rFonts w:hint="cs"/>
          <w:sz w:val="27"/>
          <w:rtl/>
        </w:rPr>
        <w:t>أ</w:t>
      </w:r>
      <w:r w:rsidRPr="006571AC">
        <w:rPr>
          <w:sz w:val="27"/>
          <w:rtl/>
        </w:rPr>
        <w:t>عتق بعض غلامه</w:t>
      </w:r>
      <w:r w:rsidRPr="006571AC">
        <w:rPr>
          <w:rFonts w:hint="cs"/>
          <w:sz w:val="27"/>
          <w:rtl/>
        </w:rPr>
        <w:t>،</w:t>
      </w:r>
      <w:r w:rsidRPr="006571AC">
        <w:rPr>
          <w:sz w:val="27"/>
          <w:rtl/>
        </w:rPr>
        <w:t xml:space="preserve"> فقال عل</w:t>
      </w:r>
      <w:r w:rsidRPr="006571AC">
        <w:rPr>
          <w:rFonts w:hint="cs"/>
          <w:sz w:val="27"/>
          <w:rtl/>
        </w:rPr>
        <w:t>يّ</w:t>
      </w:r>
      <w:r w:rsidRPr="006571AC">
        <w:rPr>
          <w:rFonts w:ascii="Mosawi" w:hAnsi="Mosawi" w:cs="Mosawi"/>
          <w:sz w:val="22"/>
          <w:szCs w:val="22"/>
          <w:rtl/>
        </w:rPr>
        <w:t>×</w:t>
      </w:r>
      <w:r w:rsidRPr="006571AC">
        <w:rPr>
          <w:sz w:val="27"/>
          <w:rtl/>
        </w:rPr>
        <w:t>: هو ح</w:t>
      </w:r>
      <w:r w:rsidRPr="006571AC">
        <w:rPr>
          <w:rFonts w:hint="cs"/>
          <w:sz w:val="27"/>
          <w:rtl/>
        </w:rPr>
        <w:t>ُ</w:t>
      </w:r>
      <w:r w:rsidRPr="006571AC">
        <w:rPr>
          <w:sz w:val="27"/>
          <w:rtl/>
        </w:rPr>
        <w:t>ر</w:t>
      </w:r>
      <w:r w:rsidRPr="006571AC">
        <w:rPr>
          <w:rFonts w:hint="cs"/>
          <w:sz w:val="27"/>
          <w:rtl/>
        </w:rPr>
        <w:t>ٌّ</w:t>
      </w:r>
      <w:r w:rsidRPr="006571AC">
        <w:rPr>
          <w:sz w:val="27"/>
          <w:rtl/>
        </w:rPr>
        <w:t xml:space="preserve"> كل</w:t>
      </w:r>
      <w:r w:rsidRPr="006571AC">
        <w:rPr>
          <w:rFonts w:hint="cs"/>
          <w:sz w:val="27"/>
          <w:rtl/>
        </w:rPr>
        <w:t>ّ</w:t>
      </w:r>
      <w:r w:rsidRPr="006571AC">
        <w:rPr>
          <w:sz w:val="27"/>
          <w:rtl/>
        </w:rPr>
        <w:t>ه</w:t>
      </w:r>
      <w:r w:rsidRPr="006571AC">
        <w:rPr>
          <w:rFonts w:hint="cs"/>
          <w:sz w:val="27"/>
          <w:rtl/>
        </w:rPr>
        <w:t>،</w:t>
      </w:r>
      <w:r w:rsidRPr="006571AC">
        <w:rPr>
          <w:sz w:val="27"/>
          <w:rtl/>
        </w:rPr>
        <w:t xml:space="preserve"> ليس لله شريك. </w:t>
      </w:r>
    </w:p>
    <w:p w:rsidR="008A3F20" w:rsidRPr="006571AC" w:rsidRDefault="008A3F20" w:rsidP="000C6F2A">
      <w:pPr>
        <w:rPr>
          <w:sz w:val="27"/>
          <w:rtl/>
        </w:rPr>
      </w:pPr>
      <w:r w:rsidRPr="006571AC">
        <w:rPr>
          <w:sz w:val="27"/>
          <w:rtl/>
        </w:rPr>
        <w:t xml:space="preserve">2ـ </w:t>
      </w:r>
      <w:r w:rsidRPr="006571AC">
        <w:rPr>
          <w:b/>
          <w:bCs/>
          <w:sz w:val="27"/>
          <w:rtl/>
        </w:rPr>
        <w:t>وب</w:t>
      </w:r>
      <w:r w:rsidRPr="006571AC">
        <w:rPr>
          <w:rFonts w:hint="cs"/>
          <w:b/>
          <w:bCs/>
          <w:sz w:val="27"/>
          <w:rtl/>
        </w:rPr>
        <w:t>إ</w:t>
      </w:r>
      <w:r w:rsidRPr="006571AC">
        <w:rPr>
          <w:b/>
          <w:bCs/>
          <w:sz w:val="27"/>
          <w:rtl/>
        </w:rPr>
        <w:t>سناده عن محم</w:t>
      </w:r>
      <w:r w:rsidRPr="006571AC">
        <w:rPr>
          <w:rFonts w:hint="cs"/>
          <w:b/>
          <w:bCs/>
          <w:sz w:val="27"/>
          <w:rtl/>
        </w:rPr>
        <w:t>ّ</w:t>
      </w:r>
      <w:r w:rsidRPr="006571AC">
        <w:rPr>
          <w:b/>
          <w:bCs/>
          <w:sz w:val="27"/>
          <w:rtl/>
        </w:rPr>
        <w:t>د بن أحمد بن يحيى</w:t>
      </w:r>
      <w:r w:rsidRPr="006571AC">
        <w:rPr>
          <w:rFonts w:hint="cs"/>
          <w:b/>
          <w:bCs/>
          <w:sz w:val="27"/>
          <w:rtl/>
        </w:rPr>
        <w:t>،</w:t>
      </w:r>
      <w:r w:rsidRPr="006571AC">
        <w:rPr>
          <w:b/>
          <w:bCs/>
          <w:sz w:val="27"/>
          <w:rtl/>
        </w:rPr>
        <w:t xml:space="preserve"> عن أحمد بن محم</w:t>
      </w:r>
      <w:r w:rsidRPr="006571AC">
        <w:rPr>
          <w:rFonts w:hint="cs"/>
          <w:b/>
          <w:bCs/>
          <w:sz w:val="27"/>
          <w:rtl/>
        </w:rPr>
        <w:t>ّ</w:t>
      </w:r>
      <w:r w:rsidRPr="006571AC">
        <w:rPr>
          <w:b/>
          <w:bCs/>
          <w:sz w:val="27"/>
          <w:rtl/>
        </w:rPr>
        <w:t>د</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يحيى</w:t>
      </w:r>
      <w:r w:rsidRPr="006571AC">
        <w:rPr>
          <w:rFonts w:hint="cs"/>
          <w:b/>
          <w:bCs/>
          <w:sz w:val="27"/>
          <w:rtl/>
        </w:rPr>
        <w:t>،</w:t>
      </w:r>
      <w:r w:rsidRPr="006571AC">
        <w:rPr>
          <w:b/>
          <w:bCs/>
          <w:sz w:val="27"/>
          <w:rtl/>
        </w:rPr>
        <w:t xml:space="preserve"> عن طلحة بن زيد</w:t>
      </w:r>
      <w:r w:rsidRPr="006571AC">
        <w:rPr>
          <w:rFonts w:hint="cs"/>
          <w:b/>
          <w:bCs/>
          <w:sz w:val="27"/>
          <w:rtl/>
        </w:rPr>
        <w:t>،</w:t>
      </w:r>
      <w:r w:rsidRPr="006571AC">
        <w:rPr>
          <w:b/>
          <w:bCs/>
          <w:sz w:val="27"/>
          <w:rtl/>
        </w:rPr>
        <w:t xml:space="preserve"> عن جعفر</w:t>
      </w:r>
      <w:r w:rsidRPr="006571AC">
        <w:rPr>
          <w:rFonts w:hint="cs"/>
          <w:b/>
          <w:bCs/>
          <w:sz w:val="27"/>
          <w:rtl/>
        </w:rPr>
        <w:t>،</w:t>
      </w:r>
      <w:r w:rsidRPr="006571AC">
        <w:rPr>
          <w:b/>
          <w:bCs/>
          <w:sz w:val="27"/>
          <w:rtl/>
        </w:rPr>
        <w:t xml:space="preserve"> عن أبيه</w:t>
      </w:r>
      <w:r w:rsidRPr="006571AC">
        <w:rPr>
          <w:rFonts w:ascii="Mosawi" w:hAnsi="Mosawi" w:cs="Mosawi"/>
          <w:b/>
          <w:bCs/>
          <w:sz w:val="22"/>
          <w:szCs w:val="22"/>
          <w:rtl/>
        </w:rPr>
        <w:t>’</w:t>
      </w:r>
      <w:r w:rsidRPr="006571AC">
        <w:rPr>
          <w:sz w:val="27"/>
          <w:rtl/>
        </w:rPr>
        <w:t xml:space="preserve">: </w:t>
      </w:r>
      <w:r w:rsidRPr="006571AC">
        <w:rPr>
          <w:rFonts w:hint="cs"/>
          <w:sz w:val="27"/>
          <w:rtl/>
        </w:rPr>
        <w:t>إ</w:t>
      </w:r>
      <w:r w:rsidRPr="006571AC">
        <w:rPr>
          <w:sz w:val="27"/>
          <w:rtl/>
        </w:rPr>
        <w:t>ن</w:t>
      </w:r>
      <w:r w:rsidRPr="006571AC">
        <w:rPr>
          <w:rFonts w:hint="cs"/>
          <w:sz w:val="27"/>
          <w:rtl/>
        </w:rPr>
        <w:t>ّ</w:t>
      </w:r>
      <w:r w:rsidRPr="006571AC">
        <w:rPr>
          <w:sz w:val="27"/>
          <w:rtl/>
        </w:rPr>
        <w:t xml:space="preserve"> رجلا</w:t>
      </w:r>
      <w:r w:rsidRPr="006571AC">
        <w:rPr>
          <w:rFonts w:hint="cs"/>
          <w:sz w:val="27"/>
          <w:rtl/>
        </w:rPr>
        <w:t>ً</w:t>
      </w:r>
      <w:r w:rsidRPr="006571AC">
        <w:rPr>
          <w:sz w:val="27"/>
          <w:rtl/>
        </w:rPr>
        <w:t xml:space="preserve"> </w:t>
      </w:r>
      <w:r w:rsidRPr="006571AC">
        <w:rPr>
          <w:rFonts w:hint="cs"/>
          <w:sz w:val="27"/>
          <w:rtl/>
        </w:rPr>
        <w:t>أ</w:t>
      </w:r>
      <w:r w:rsidRPr="006571AC">
        <w:rPr>
          <w:sz w:val="27"/>
          <w:rtl/>
        </w:rPr>
        <w:t>عتق بعض غلامه، فقال: هو ح</w:t>
      </w:r>
      <w:r w:rsidRPr="006571AC">
        <w:rPr>
          <w:rFonts w:hint="cs"/>
          <w:sz w:val="27"/>
          <w:rtl/>
        </w:rPr>
        <w:t>ُ</w:t>
      </w:r>
      <w:r w:rsidRPr="006571AC">
        <w:rPr>
          <w:sz w:val="27"/>
          <w:rtl/>
        </w:rPr>
        <w:t>ر</w:t>
      </w:r>
      <w:r w:rsidRPr="006571AC">
        <w:rPr>
          <w:rFonts w:hint="cs"/>
          <w:sz w:val="27"/>
          <w:rtl/>
        </w:rPr>
        <w:t>ٌّ</w:t>
      </w:r>
      <w:r w:rsidRPr="006571AC">
        <w:rPr>
          <w:sz w:val="27"/>
          <w:rtl/>
        </w:rPr>
        <w:t xml:space="preserve"> كل</w:t>
      </w:r>
      <w:r w:rsidRPr="006571AC">
        <w:rPr>
          <w:rFonts w:hint="cs"/>
          <w:sz w:val="27"/>
          <w:rtl/>
        </w:rPr>
        <w:t>ّ</w:t>
      </w:r>
      <w:r w:rsidRPr="006571AC">
        <w:rPr>
          <w:sz w:val="27"/>
          <w:rtl/>
        </w:rPr>
        <w:t>ه</w:t>
      </w:r>
      <w:r w:rsidRPr="006571AC">
        <w:rPr>
          <w:rFonts w:hint="cs"/>
          <w:sz w:val="27"/>
          <w:rtl/>
        </w:rPr>
        <w:t>،</w:t>
      </w:r>
      <w:r w:rsidRPr="006571AC">
        <w:rPr>
          <w:sz w:val="27"/>
          <w:rtl/>
        </w:rPr>
        <w:t xml:space="preserve"> ليس لله شريك</w:t>
      </w:r>
      <w:r w:rsidRPr="006571AC">
        <w:rPr>
          <w:rFonts w:hint="cs"/>
          <w:sz w:val="24"/>
          <w:szCs w:val="24"/>
          <w:rtl/>
        </w:rPr>
        <w:t>»</w:t>
      </w:r>
      <w:r w:rsidRPr="006571AC">
        <w:rPr>
          <w:sz w:val="27"/>
          <w:vertAlign w:val="superscript"/>
          <w:rtl/>
        </w:rPr>
        <w:t>(</w:t>
      </w:r>
      <w:r w:rsidRPr="006571AC">
        <w:rPr>
          <w:rStyle w:val="ac"/>
          <w:sz w:val="27"/>
          <w:rtl/>
        </w:rPr>
        <w:endnoteReference w:id="789"/>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وبالرجوع إلى المصدر، وهو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تبيّن أنّ الشيخ الطوسيّ</w:t>
      </w:r>
      <w:r w:rsidRPr="006571AC">
        <w:rPr>
          <w:rFonts w:ascii="Mosawi" w:hAnsi="Mosawi" w:cs="Mosawi"/>
          <w:sz w:val="22"/>
          <w:szCs w:val="22"/>
          <w:rtl/>
        </w:rPr>
        <w:t>&amp;</w:t>
      </w:r>
      <w:r w:rsidRPr="006571AC">
        <w:rPr>
          <w:rFonts w:hint="cs"/>
          <w:sz w:val="27"/>
          <w:rtl/>
        </w:rPr>
        <w:t xml:space="preserve"> قد ذكر لهذا الحديث سندَيْن مخ</w:t>
      </w:r>
      <w:r w:rsidR="00B155A8" w:rsidRPr="006571AC">
        <w:rPr>
          <w:rFonts w:hint="cs"/>
          <w:sz w:val="27"/>
          <w:rtl/>
        </w:rPr>
        <w:t>تلفَيْن، ولم يجمع بينهما في حديثٍ</w:t>
      </w:r>
      <w:r w:rsidRPr="006571AC">
        <w:rPr>
          <w:rFonts w:hint="cs"/>
          <w:sz w:val="27"/>
          <w:rtl/>
        </w:rPr>
        <w:t xml:space="preserve"> واحد. </w:t>
      </w:r>
    </w:p>
    <w:p w:rsidR="008A3F20" w:rsidRPr="006571AC" w:rsidRDefault="008A3F20" w:rsidP="000C6F2A">
      <w:pPr>
        <w:rPr>
          <w:sz w:val="27"/>
          <w:rtl/>
        </w:rPr>
      </w:pPr>
      <w:r w:rsidRPr="006571AC">
        <w:rPr>
          <w:rFonts w:hint="cs"/>
          <w:sz w:val="27"/>
          <w:rtl/>
        </w:rPr>
        <w:t xml:space="preserve">ففي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xml:space="preserve">: </w:t>
      </w:r>
      <w:r w:rsidRPr="006571AC">
        <w:rPr>
          <w:rFonts w:hint="cs"/>
          <w:sz w:val="24"/>
          <w:szCs w:val="24"/>
          <w:rtl/>
        </w:rPr>
        <w:t>«</w:t>
      </w:r>
      <w:r w:rsidRPr="006571AC">
        <w:rPr>
          <w:rFonts w:hint="cs"/>
          <w:sz w:val="27"/>
          <w:rtl/>
        </w:rPr>
        <w:t xml:space="preserve">57ـ </w:t>
      </w:r>
      <w:r w:rsidRPr="006571AC">
        <w:rPr>
          <w:b/>
          <w:bCs/>
          <w:sz w:val="27"/>
          <w:rtl/>
        </w:rPr>
        <w:t>عنه</w:t>
      </w:r>
      <w:r w:rsidRPr="006571AC">
        <w:rPr>
          <w:rFonts w:hint="cs"/>
          <w:b/>
          <w:bCs/>
          <w:sz w:val="27"/>
          <w:rtl/>
        </w:rPr>
        <w:t xml:space="preserve"> [عن محمّد بن عليّ بن محبوب]،</w:t>
      </w:r>
      <w:r w:rsidRPr="006571AC">
        <w:rPr>
          <w:b/>
          <w:bCs/>
          <w:sz w:val="27"/>
          <w:rtl/>
        </w:rPr>
        <w:t xml:space="preserve"> عن محم</w:t>
      </w:r>
      <w:r w:rsidRPr="006571AC">
        <w:rPr>
          <w:rFonts w:hint="cs"/>
          <w:b/>
          <w:bCs/>
          <w:sz w:val="27"/>
          <w:rtl/>
        </w:rPr>
        <w:t>ّ</w:t>
      </w:r>
      <w:r w:rsidRPr="006571AC">
        <w:rPr>
          <w:b/>
          <w:bCs/>
          <w:sz w:val="27"/>
          <w:rtl/>
        </w:rPr>
        <w:t>د بن الحسين</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يحيى الخز</w:t>
      </w:r>
      <w:r w:rsidRPr="006571AC">
        <w:rPr>
          <w:rFonts w:hint="cs"/>
          <w:b/>
          <w:bCs/>
          <w:sz w:val="27"/>
          <w:rtl/>
        </w:rPr>
        <w:t>ّ</w:t>
      </w:r>
      <w:r w:rsidRPr="006571AC">
        <w:rPr>
          <w:b/>
          <w:bCs/>
          <w:sz w:val="27"/>
          <w:rtl/>
        </w:rPr>
        <w:t>از</w:t>
      </w:r>
      <w:r w:rsidRPr="006571AC">
        <w:rPr>
          <w:rFonts w:hint="cs"/>
          <w:b/>
          <w:bCs/>
          <w:sz w:val="27"/>
          <w:rtl/>
        </w:rPr>
        <w:t>،</w:t>
      </w:r>
      <w:r w:rsidRPr="006571AC">
        <w:rPr>
          <w:b/>
          <w:bCs/>
          <w:sz w:val="27"/>
          <w:rtl/>
        </w:rPr>
        <w:t xml:space="preserve"> عن غياث بن </w:t>
      </w:r>
      <w:r w:rsidRPr="006571AC">
        <w:rPr>
          <w:rFonts w:hint="cs"/>
          <w:b/>
          <w:bCs/>
          <w:sz w:val="27"/>
          <w:rtl/>
        </w:rPr>
        <w:t>إ</w:t>
      </w:r>
      <w:r w:rsidRPr="006571AC">
        <w:rPr>
          <w:b/>
          <w:bCs/>
          <w:sz w:val="27"/>
          <w:rtl/>
        </w:rPr>
        <w:t>براهيم الدار</w:t>
      </w:r>
      <w:r w:rsidRPr="006571AC">
        <w:rPr>
          <w:rFonts w:hint="cs"/>
          <w:b/>
          <w:bCs/>
          <w:sz w:val="27"/>
          <w:rtl/>
        </w:rPr>
        <w:t>يّ،</w:t>
      </w:r>
      <w:r w:rsidRPr="006571AC">
        <w:rPr>
          <w:b/>
          <w:bCs/>
          <w:sz w:val="27"/>
          <w:rtl/>
        </w:rPr>
        <w:t xml:space="preserve"> عن جعفر</w:t>
      </w:r>
      <w:r w:rsidRPr="006571AC">
        <w:rPr>
          <w:rFonts w:hint="cs"/>
          <w:b/>
          <w:bCs/>
          <w:sz w:val="27"/>
          <w:rtl/>
        </w:rPr>
        <w:t>،</w:t>
      </w:r>
      <w:r w:rsidRPr="006571AC">
        <w:rPr>
          <w:b/>
          <w:bCs/>
          <w:sz w:val="27"/>
          <w:rtl/>
        </w:rPr>
        <w:t xml:space="preserve"> عن </w:t>
      </w:r>
      <w:r w:rsidRPr="006571AC">
        <w:rPr>
          <w:rFonts w:hint="cs"/>
          <w:b/>
          <w:bCs/>
          <w:sz w:val="27"/>
          <w:rtl/>
        </w:rPr>
        <w:t>أ</w:t>
      </w:r>
      <w:r w:rsidRPr="006571AC">
        <w:rPr>
          <w:b/>
          <w:bCs/>
          <w:sz w:val="27"/>
          <w:rtl/>
        </w:rPr>
        <w:t>بيه</w:t>
      </w:r>
      <w:r w:rsidRPr="006571AC">
        <w:rPr>
          <w:rFonts w:ascii="Mosawi" w:hAnsi="Mosawi" w:cs="Mosawi"/>
          <w:b/>
          <w:bCs/>
          <w:sz w:val="22"/>
          <w:szCs w:val="22"/>
          <w:rtl/>
        </w:rPr>
        <w:t>×</w:t>
      </w:r>
      <w:r w:rsidRPr="006571AC">
        <w:rPr>
          <w:rFonts w:hint="cs"/>
          <w:sz w:val="27"/>
          <w:rtl/>
        </w:rPr>
        <w:t>:</w:t>
      </w:r>
      <w:r w:rsidRPr="006571AC">
        <w:rPr>
          <w:sz w:val="27"/>
          <w:rtl/>
        </w:rPr>
        <w:t xml:space="preserve"> </w:t>
      </w:r>
      <w:r w:rsidRPr="006571AC">
        <w:rPr>
          <w:rFonts w:hint="cs"/>
          <w:sz w:val="27"/>
          <w:rtl/>
        </w:rPr>
        <w:t>إ</w:t>
      </w:r>
      <w:r w:rsidRPr="006571AC">
        <w:rPr>
          <w:sz w:val="27"/>
          <w:rtl/>
        </w:rPr>
        <w:t>ن</w:t>
      </w:r>
      <w:r w:rsidRPr="006571AC">
        <w:rPr>
          <w:rFonts w:hint="cs"/>
          <w:sz w:val="27"/>
          <w:rtl/>
        </w:rPr>
        <w:t>ّ</w:t>
      </w:r>
      <w:r w:rsidRPr="006571AC">
        <w:rPr>
          <w:sz w:val="27"/>
          <w:rtl/>
        </w:rPr>
        <w:t xml:space="preserve"> رجلا</w:t>
      </w:r>
      <w:r w:rsidRPr="006571AC">
        <w:rPr>
          <w:rFonts w:hint="cs"/>
          <w:sz w:val="27"/>
          <w:rtl/>
        </w:rPr>
        <w:t>ً</w:t>
      </w:r>
      <w:r w:rsidRPr="006571AC">
        <w:rPr>
          <w:sz w:val="27"/>
          <w:rtl/>
        </w:rPr>
        <w:t xml:space="preserve"> أعتق بعض غلامه</w:t>
      </w:r>
      <w:r w:rsidRPr="006571AC">
        <w:rPr>
          <w:rFonts w:hint="cs"/>
          <w:sz w:val="27"/>
          <w:rtl/>
        </w:rPr>
        <w:t>،</w:t>
      </w:r>
      <w:r w:rsidRPr="006571AC">
        <w:rPr>
          <w:sz w:val="27"/>
          <w:rtl/>
        </w:rPr>
        <w:t xml:space="preserve"> فقال</w:t>
      </w:r>
      <w:r w:rsidRPr="006571AC">
        <w:rPr>
          <w:rFonts w:ascii="Mosawi" w:hAnsi="Mosawi" w:cs="Mosawi"/>
          <w:sz w:val="22"/>
          <w:szCs w:val="22"/>
          <w:rtl/>
        </w:rPr>
        <w:t>×</w:t>
      </w:r>
      <w:r w:rsidRPr="006571AC">
        <w:rPr>
          <w:sz w:val="27"/>
          <w:rtl/>
        </w:rPr>
        <w:t>: هو ح</w:t>
      </w:r>
      <w:r w:rsidRPr="006571AC">
        <w:rPr>
          <w:rFonts w:hint="cs"/>
          <w:sz w:val="27"/>
          <w:rtl/>
        </w:rPr>
        <w:t>ُ</w:t>
      </w:r>
      <w:r w:rsidRPr="006571AC">
        <w:rPr>
          <w:sz w:val="27"/>
          <w:rtl/>
        </w:rPr>
        <w:t>ر</w:t>
      </w:r>
      <w:r w:rsidRPr="006571AC">
        <w:rPr>
          <w:rFonts w:hint="cs"/>
          <w:sz w:val="27"/>
          <w:rtl/>
        </w:rPr>
        <w:t>ٌّ،</w:t>
      </w:r>
      <w:r w:rsidRPr="006571AC">
        <w:rPr>
          <w:sz w:val="27"/>
          <w:rtl/>
        </w:rPr>
        <w:t xml:space="preserve"> ليس لله شريك. </w:t>
      </w:r>
    </w:p>
    <w:p w:rsidR="008A3F20" w:rsidRPr="006571AC" w:rsidRDefault="008A3F20" w:rsidP="000C6F2A">
      <w:pPr>
        <w:rPr>
          <w:sz w:val="27"/>
          <w:rtl/>
        </w:rPr>
      </w:pPr>
      <w:r w:rsidRPr="006571AC">
        <w:rPr>
          <w:sz w:val="27"/>
          <w:rtl/>
        </w:rPr>
        <w:t>58ـ</w:t>
      </w:r>
      <w:r w:rsidRPr="006571AC">
        <w:rPr>
          <w:rFonts w:hint="cs"/>
          <w:sz w:val="27"/>
          <w:rtl/>
        </w:rPr>
        <w:t xml:space="preserve"> </w:t>
      </w:r>
      <w:r w:rsidRPr="006571AC">
        <w:rPr>
          <w:b/>
          <w:bCs/>
          <w:sz w:val="27"/>
          <w:rtl/>
        </w:rPr>
        <w:t>محم</w:t>
      </w:r>
      <w:r w:rsidRPr="006571AC">
        <w:rPr>
          <w:rFonts w:hint="cs"/>
          <w:b/>
          <w:bCs/>
          <w:sz w:val="27"/>
          <w:rtl/>
        </w:rPr>
        <w:t>ّ</w:t>
      </w:r>
      <w:r w:rsidRPr="006571AC">
        <w:rPr>
          <w:b/>
          <w:bCs/>
          <w:sz w:val="27"/>
          <w:rtl/>
        </w:rPr>
        <w:t>د بن أحمد بن يحيى</w:t>
      </w:r>
      <w:r w:rsidRPr="006571AC">
        <w:rPr>
          <w:rFonts w:hint="cs"/>
          <w:b/>
          <w:bCs/>
          <w:sz w:val="27"/>
          <w:rtl/>
        </w:rPr>
        <w:t>،</w:t>
      </w:r>
      <w:r w:rsidRPr="006571AC">
        <w:rPr>
          <w:b/>
          <w:bCs/>
          <w:sz w:val="27"/>
          <w:rtl/>
        </w:rPr>
        <w:t xml:space="preserve"> عن </w:t>
      </w:r>
      <w:r w:rsidRPr="006571AC">
        <w:rPr>
          <w:rFonts w:hint="cs"/>
          <w:b/>
          <w:bCs/>
          <w:sz w:val="27"/>
          <w:rtl/>
        </w:rPr>
        <w:t>أ</w:t>
      </w:r>
      <w:r w:rsidRPr="006571AC">
        <w:rPr>
          <w:b/>
          <w:bCs/>
          <w:sz w:val="27"/>
          <w:rtl/>
        </w:rPr>
        <w:t>حمد بن محم</w:t>
      </w:r>
      <w:r w:rsidRPr="006571AC">
        <w:rPr>
          <w:rFonts w:hint="cs"/>
          <w:b/>
          <w:bCs/>
          <w:sz w:val="27"/>
          <w:rtl/>
        </w:rPr>
        <w:t>ّ</w:t>
      </w:r>
      <w:r w:rsidRPr="006571AC">
        <w:rPr>
          <w:b/>
          <w:bCs/>
          <w:sz w:val="27"/>
          <w:rtl/>
        </w:rPr>
        <w:t>د</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يحيى</w:t>
      </w:r>
      <w:r w:rsidRPr="006571AC">
        <w:rPr>
          <w:rFonts w:hint="cs"/>
          <w:b/>
          <w:bCs/>
          <w:sz w:val="27"/>
          <w:rtl/>
        </w:rPr>
        <w:t>،</w:t>
      </w:r>
      <w:r w:rsidRPr="006571AC">
        <w:rPr>
          <w:b/>
          <w:bCs/>
          <w:sz w:val="27"/>
          <w:rtl/>
        </w:rPr>
        <w:t xml:space="preserve"> عن طلحة بن زيد</w:t>
      </w:r>
      <w:r w:rsidRPr="006571AC">
        <w:rPr>
          <w:rFonts w:hint="cs"/>
          <w:b/>
          <w:bCs/>
          <w:sz w:val="27"/>
          <w:rtl/>
        </w:rPr>
        <w:t>،</w:t>
      </w:r>
      <w:r w:rsidRPr="006571AC">
        <w:rPr>
          <w:b/>
          <w:bCs/>
          <w:sz w:val="27"/>
          <w:rtl/>
        </w:rPr>
        <w:t xml:space="preserve"> عن جعفر</w:t>
      </w:r>
      <w:r w:rsidRPr="006571AC">
        <w:rPr>
          <w:rFonts w:hint="cs"/>
          <w:b/>
          <w:bCs/>
          <w:sz w:val="27"/>
          <w:rtl/>
        </w:rPr>
        <w:t>،</w:t>
      </w:r>
      <w:r w:rsidRPr="006571AC">
        <w:rPr>
          <w:b/>
          <w:bCs/>
          <w:sz w:val="27"/>
          <w:rtl/>
        </w:rPr>
        <w:t xml:space="preserve"> عن </w:t>
      </w:r>
      <w:r w:rsidRPr="006571AC">
        <w:rPr>
          <w:rFonts w:hint="cs"/>
          <w:b/>
          <w:bCs/>
          <w:sz w:val="27"/>
          <w:rtl/>
        </w:rPr>
        <w:t>أ</w:t>
      </w:r>
      <w:r w:rsidRPr="006571AC">
        <w:rPr>
          <w:b/>
          <w:bCs/>
          <w:sz w:val="27"/>
          <w:rtl/>
        </w:rPr>
        <w:t>بيه</w:t>
      </w:r>
      <w:r w:rsidRPr="006571AC">
        <w:rPr>
          <w:rFonts w:ascii="Mosawi" w:hAnsi="Mosawi" w:cs="Mosawi"/>
          <w:b/>
          <w:bCs/>
          <w:sz w:val="22"/>
          <w:szCs w:val="22"/>
          <w:rtl/>
        </w:rPr>
        <w:t>×</w:t>
      </w:r>
      <w:r w:rsidRPr="006571AC">
        <w:rPr>
          <w:rFonts w:hint="cs"/>
          <w:sz w:val="27"/>
          <w:rtl/>
        </w:rPr>
        <w:t>:</w:t>
      </w:r>
      <w:r w:rsidRPr="006571AC">
        <w:rPr>
          <w:sz w:val="27"/>
          <w:rtl/>
        </w:rPr>
        <w:t xml:space="preserve"> </w:t>
      </w:r>
      <w:r w:rsidRPr="006571AC">
        <w:rPr>
          <w:rFonts w:hint="cs"/>
          <w:sz w:val="27"/>
          <w:rtl/>
        </w:rPr>
        <w:t>إ</w:t>
      </w:r>
      <w:r w:rsidRPr="006571AC">
        <w:rPr>
          <w:sz w:val="27"/>
          <w:rtl/>
        </w:rPr>
        <w:t>ن</w:t>
      </w:r>
      <w:r w:rsidRPr="006571AC">
        <w:rPr>
          <w:rFonts w:hint="cs"/>
          <w:sz w:val="27"/>
          <w:rtl/>
        </w:rPr>
        <w:t>ّ</w:t>
      </w:r>
      <w:r w:rsidRPr="006571AC">
        <w:rPr>
          <w:sz w:val="27"/>
          <w:rtl/>
        </w:rPr>
        <w:t xml:space="preserve"> رجلا</w:t>
      </w:r>
      <w:r w:rsidRPr="006571AC">
        <w:rPr>
          <w:rFonts w:hint="cs"/>
          <w:sz w:val="27"/>
          <w:rtl/>
        </w:rPr>
        <w:t>ً</w:t>
      </w:r>
      <w:r w:rsidRPr="006571AC">
        <w:rPr>
          <w:sz w:val="27"/>
          <w:rtl/>
        </w:rPr>
        <w:t xml:space="preserve"> </w:t>
      </w:r>
      <w:r w:rsidRPr="006571AC">
        <w:rPr>
          <w:rFonts w:hint="cs"/>
          <w:sz w:val="27"/>
          <w:rtl/>
        </w:rPr>
        <w:t>أ</w:t>
      </w:r>
      <w:r w:rsidRPr="006571AC">
        <w:rPr>
          <w:sz w:val="27"/>
          <w:rtl/>
        </w:rPr>
        <w:t>عتق بعض غلامه</w:t>
      </w:r>
      <w:r w:rsidRPr="006571AC">
        <w:rPr>
          <w:rFonts w:hint="cs"/>
          <w:sz w:val="27"/>
          <w:rtl/>
        </w:rPr>
        <w:t>،</w:t>
      </w:r>
      <w:r w:rsidRPr="006571AC">
        <w:rPr>
          <w:sz w:val="27"/>
          <w:rtl/>
        </w:rPr>
        <w:t xml:space="preserve"> فقال: هو ح</w:t>
      </w:r>
      <w:r w:rsidRPr="006571AC">
        <w:rPr>
          <w:rFonts w:hint="cs"/>
          <w:sz w:val="27"/>
          <w:rtl/>
        </w:rPr>
        <w:t>ُ</w:t>
      </w:r>
      <w:r w:rsidRPr="006571AC">
        <w:rPr>
          <w:sz w:val="27"/>
          <w:rtl/>
        </w:rPr>
        <w:t>ر</w:t>
      </w:r>
      <w:r w:rsidRPr="006571AC">
        <w:rPr>
          <w:rFonts w:hint="cs"/>
          <w:sz w:val="27"/>
          <w:rtl/>
        </w:rPr>
        <w:t>ٌّ</w:t>
      </w:r>
      <w:r w:rsidRPr="006571AC">
        <w:rPr>
          <w:sz w:val="27"/>
          <w:rtl/>
        </w:rPr>
        <w:t xml:space="preserve"> كل</w:t>
      </w:r>
      <w:r w:rsidRPr="006571AC">
        <w:rPr>
          <w:rFonts w:hint="cs"/>
          <w:sz w:val="27"/>
          <w:rtl/>
        </w:rPr>
        <w:t>ّ</w:t>
      </w:r>
      <w:r w:rsidRPr="006571AC">
        <w:rPr>
          <w:sz w:val="27"/>
          <w:rtl/>
        </w:rPr>
        <w:t>ه</w:t>
      </w:r>
      <w:r w:rsidRPr="006571AC">
        <w:rPr>
          <w:rFonts w:hint="cs"/>
          <w:sz w:val="27"/>
          <w:rtl/>
        </w:rPr>
        <w:t>،</w:t>
      </w:r>
      <w:r w:rsidRPr="006571AC">
        <w:rPr>
          <w:sz w:val="27"/>
          <w:rtl/>
        </w:rPr>
        <w:t xml:space="preserve"> ليس لله شريك</w:t>
      </w:r>
      <w:r w:rsidRPr="006571AC">
        <w:rPr>
          <w:rFonts w:hint="cs"/>
          <w:sz w:val="24"/>
          <w:szCs w:val="24"/>
          <w:rtl/>
        </w:rPr>
        <w:t>»</w:t>
      </w:r>
      <w:r w:rsidRPr="006571AC">
        <w:rPr>
          <w:sz w:val="27"/>
          <w:vertAlign w:val="superscript"/>
          <w:rtl/>
        </w:rPr>
        <w:t>(</w:t>
      </w:r>
      <w:r w:rsidRPr="006571AC">
        <w:rPr>
          <w:rStyle w:val="ac"/>
          <w:sz w:val="27"/>
          <w:rtl/>
        </w:rPr>
        <w:endnoteReference w:id="790"/>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وقد تبعه الشيخ الحُرّ</w:t>
      </w:r>
      <w:r w:rsidRPr="006571AC">
        <w:rPr>
          <w:rFonts w:ascii="Mosawi" w:hAnsi="Mosawi" w:cs="Mosawi"/>
          <w:sz w:val="22"/>
          <w:szCs w:val="22"/>
          <w:rtl/>
        </w:rPr>
        <w:t>&amp;</w:t>
      </w:r>
      <w:r w:rsidRPr="006571AC">
        <w:rPr>
          <w:rFonts w:hint="cs"/>
          <w:sz w:val="27"/>
          <w:rtl/>
        </w:rPr>
        <w:t>، فذكر الحديث مرّتَيْن.</w:t>
      </w:r>
    </w:p>
    <w:p w:rsidR="008A3F20" w:rsidRPr="006571AC" w:rsidRDefault="008A3F20" w:rsidP="006F67D2">
      <w:pPr>
        <w:rPr>
          <w:sz w:val="27"/>
          <w:rtl/>
        </w:rPr>
      </w:pPr>
      <w:r w:rsidRPr="006571AC">
        <w:rPr>
          <w:rFonts w:hint="cs"/>
          <w:sz w:val="27"/>
          <w:rtl/>
        </w:rPr>
        <w:t>وقد كان بإمكان الشيخ الحُرّ</w:t>
      </w:r>
      <w:r w:rsidRPr="006571AC">
        <w:rPr>
          <w:rFonts w:ascii="Mosawi" w:hAnsi="Mosawi" w:cs="Mosawi"/>
          <w:sz w:val="22"/>
          <w:szCs w:val="22"/>
          <w:rtl/>
        </w:rPr>
        <w:t>&amp;</w:t>
      </w:r>
      <w:r w:rsidRPr="006571AC">
        <w:rPr>
          <w:rFonts w:hint="cs"/>
          <w:sz w:val="27"/>
          <w:rtl/>
        </w:rPr>
        <w:t xml:space="preserve"> لو أراد اعتماد طريقة الجمع بين الأسناد للاختصار ـ كما نُسب إليه ـ أن يذكر الحديث بهذا النحو: </w:t>
      </w:r>
      <w:r w:rsidRPr="006571AC">
        <w:rPr>
          <w:sz w:val="27"/>
          <w:rtl/>
        </w:rPr>
        <w:t>محم</w:t>
      </w:r>
      <w:r w:rsidRPr="006571AC">
        <w:rPr>
          <w:rFonts w:hint="cs"/>
          <w:sz w:val="27"/>
          <w:rtl/>
        </w:rPr>
        <w:t>ّ</w:t>
      </w:r>
      <w:r w:rsidRPr="006571AC">
        <w:rPr>
          <w:sz w:val="27"/>
          <w:rtl/>
        </w:rPr>
        <w:t>د بن الحسن ب</w:t>
      </w:r>
      <w:r w:rsidRPr="006571AC">
        <w:rPr>
          <w:rFonts w:hint="cs"/>
          <w:sz w:val="27"/>
          <w:rtl/>
        </w:rPr>
        <w:t>إ</w:t>
      </w:r>
      <w:r w:rsidRPr="006571AC">
        <w:rPr>
          <w:sz w:val="27"/>
          <w:rtl/>
        </w:rPr>
        <w:t>سناده عن محم</w:t>
      </w:r>
      <w:r w:rsidRPr="006571AC">
        <w:rPr>
          <w:rFonts w:hint="cs"/>
          <w:sz w:val="27"/>
          <w:rtl/>
        </w:rPr>
        <w:t>ّ</w:t>
      </w:r>
      <w:r w:rsidRPr="006571AC">
        <w:rPr>
          <w:sz w:val="27"/>
          <w:rtl/>
        </w:rPr>
        <w:t>د بن عل</w:t>
      </w:r>
      <w:r w:rsidRPr="006571AC">
        <w:rPr>
          <w:rFonts w:hint="cs"/>
          <w:sz w:val="27"/>
          <w:rtl/>
        </w:rPr>
        <w:t>يّ</w:t>
      </w:r>
      <w:r w:rsidRPr="006571AC">
        <w:rPr>
          <w:sz w:val="27"/>
          <w:rtl/>
        </w:rPr>
        <w:t xml:space="preserve"> بن محبوب</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الحسين</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يحيى الخز</w:t>
      </w:r>
      <w:r w:rsidRPr="006571AC">
        <w:rPr>
          <w:rFonts w:hint="cs"/>
          <w:sz w:val="27"/>
          <w:rtl/>
        </w:rPr>
        <w:t>ّ</w:t>
      </w:r>
      <w:r w:rsidRPr="006571AC">
        <w:rPr>
          <w:sz w:val="27"/>
          <w:rtl/>
        </w:rPr>
        <w:t>از</w:t>
      </w:r>
      <w:r w:rsidRPr="006571AC">
        <w:rPr>
          <w:rFonts w:hint="cs"/>
          <w:sz w:val="27"/>
          <w:rtl/>
        </w:rPr>
        <w:t>،</w:t>
      </w:r>
      <w:r w:rsidRPr="006571AC">
        <w:rPr>
          <w:sz w:val="27"/>
          <w:rtl/>
        </w:rPr>
        <w:t xml:space="preserve"> عن غياث </w:t>
      </w:r>
      <w:r w:rsidRPr="006571AC">
        <w:rPr>
          <w:rFonts w:hint="cs"/>
          <w:sz w:val="27"/>
          <w:rtl/>
        </w:rPr>
        <w:t>ا</w:t>
      </w:r>
      <w:r w:rsidRPr="006571AC">
        <w:rPr>
          <w:sz w:val="27"/>
          <w:rtl/>
        </w:rPr>
        <w:t xml:space="preserve">بن </w:t>
      </w:r>
      <w:r w:rsidRPr="006571AC">
        <w:rPr>
          <w:rFonts w:hint="cs"/>
          <w:sz w:val="27"/>
          <w:rtl/>
        </w:rPr>
        <w:t>إ</w:t>
      </w:r>
      <w:r w:rsidRPr="006571AC">
        <w:rPr>
          <w:sz w:val="27"/>
          <w:rtl/>
        </w:rPr>
        <w:t>براهيم الرازي</w:t>
      </w:r>
      <w:r w:rsidRPr="006571AC">
        <w:rPr>
          <w:rFonts w:hint="cs"/>
          <w:sz w:val="27"/>
          <w:rtl/>
        </w:rPr>
        <w:t>ّ،</w:t>
      </w:r>
      <w:r w:rsidRPr="006571AC">
        <w:rPr>
          <w:sz w:val="27"/>
          <w:rtl/>
        </w:rPr>
        <w:t xml:space="preserve"> وب</w:t>
      </w:r>
      <w:r w:rsidRPr="006571AC">
        <w:rPr>
          <w:rFonts w:hint="cs"/>
          <w:sz w:val="27"/>
          <w:rtl/>
        </w:rPr>
        <w:t>إ</w:t>
      </w:r>
      <w:r w:rsidRPr="006571AC">
        <w:rPr>
          <w:sz w:val="27"/>
          <w:rtl/>
        </w:rPr>
        <w:t>سناده عن محم</w:t>
      </w:r>
      <w:r w:rsidRPr="006571AC">
        <w:rPr>
          <w:rFonts w:hint="cs"/>
          <w:sz w:val="27"/>
          <w:rtl/>
        </w:rPr>
        <w:t>ّ</w:t>
      </w:r>
      <w:r w:rsidRPr="006571AC">
        <w:rPr>
          <w:sz w:val="27"/>
          <w:rtl/>
        </w:rPr>
        <w:t>د بن أحمد بن يحيى</w:t>
      </w:r>
      <w:r w:rsidRPr="006571AC">
        <w:rPr>
          <w:rFonts w:hint="cs"/>
          <w:sz w:val="27"/>
          <w:rtl/>
        </w:rPr>
        <w:t>،</w:t>
      </w:r>
      <w:r w:rsidRPr="006571AC">
        <w:rPr>
          <w:sz w:val="27"/>
          <w:rtl/>
        </w:rPr>
        <w:t xml:space="preserve"> عن أحمد بن </w:t>
      </w:r>
      <w:r w:rsidRPr="006571AC">
        <w:rPr>
          <w:sz w:val="27"/>
          <w:rtl/>
        </w:rPr>
        <w:lastRenderedPageBreak/>
        <w:t>محم</w:t>
      </w:r>
      <w:r w:rsidRPr="006571AC">
        <w:rPr>
          <w:rFonts w:hint="cs"/>
          <w:sz w:val="27"/>
          <w:rtl/>
        </w:rPr>
        <w:t>ّ</w:t>
      </w:r>
      <w:r w:rsidRPr="006571AC">
        <w:rPr>
          <w:sz w:val="27"/>
          <w:rtl/>
        </w:rPr>
        <w:t>د</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يحيى</w:t>
      </w:r>
      <w:r w:rsidRPr="006571AC">
        <w:rPr>
          <w:rFonts w:hint="cs"/>
          <w:sz w:val="27"/>
          <w:rtl/>
        </w:rPr>
        <w:t>،</w:t>
      </w:r>
      <w:r w:rsidRPr="006571AC">
        <w:rPr>
          <w:sz w:val="27"/>
          <w:rtl/>
        </w:rPr>
        <w:t xml:space="preserve"> عن طلحة بن زيد</w:t>
      </w:r>
      <w:r w:rsidR="002058BF" w:rsidRPr="006571AC">
        <w:rPr>
          <w:rFonts w:hint="cs"/>
          <w:sz w:val="27"/>
          <w:rtl/>
        </w:rPr>
        <w:t>،</w:t>
      </w:r>
      <w:r w:rsidRPr="006571AC">
        <w:rPr>
          <w:rFonts w:hint="cs"/>
          <w:sz w:val="27"/>
          <w:rtl/>
        </w:rPr>
        <w:t xml:space="preserve"> جميعاً،</w:t>
      </w:r>
      <w:r w:rsidRPr="006571AC">
        <w:rPr>
          <w:sz w:val="27"/>
          <w:rtl/>
        </w:rPr>
        <w:t xml:space="preserve"> عن جعفر</w:t>
      </w:r>
      <w:r w:rsidRPr="006571AC">
        <w:rPr>
          <w:rFonts w:hint="cs"/>
          <w:sz w:val="27"/>
          <w:rtl/>
        </w:rPr>
        <w:t>،</w:t>
      </w:r>
      <w:r w:rsidRPr="006571AC">
        <w:rPr>
          <w:sz w:val="27"/>
          <w:rtl/>
        </w:rPr>
        <w:t xml:space="preserve"> عن أبيه</w:t>
      </w:r>
      <w:r w:rsidRPr="006571AC">
        <w:rPr>
          <w:rFonts w:ascii="Mosawi" w:hAnsi="Mosawi" w:cs="Mosawi"/>
          <w:sz w:val="22"/>
          <w:szCs w:val="22"/>
          <w:rtl/>
        </w:rPr>
        <w:t>’</w:t>
      </w:r>
      <w:r w:rsidRPr="006571AC">
        <w:rPr>
          <w:sz w:val="27"/>
          <w:rtl/>
        </w:rPr>
        <w:t xml:space="preserve">: </w:t>
      </w:r>
      <w:r w:rsidRPr="006571AC">
        <w:rPr>
          <w:rFonts w:hint="cs"/>
          <w:sz w:val="27"/>
          <w:rtl/>
        </w:rPr>
        <w:t>إ</w:t>
      </w:r>
      <w:r w:rsidRPr="006571AC">
        <w:rPr>
          <w:sz w:val="27"/>
          <w:rtl/>
        </w:rPr>
        <w:t>ن</w:t>
      </w:r>
      <w:r w:rsidRPr="006571AC">
        <w:rPr>
          <w:rFonts w:hint="cs"/>
          <w:sz w:val="27"/>
          <w:rtl/>
        </w:rPr>
        <w:t>ّ</w:t>
      </w:r>
      <w:r w:rsidRPr="006571AC">
        <w:rPr>
          <w:sz w:val="27"/>
          <w:rtl/>
        </w:rPr>
        <w:t xml:space="preserve"> رجلا</w:t>
      </w:r>
      <w:r w:rsidRPr="006571AC">
        <w:rPr>
          <w:rFonts w:hint="cs"/>
          <w:sz w:val="27"/>
          <w:rtl/>
        </w:rPr>
        <w:t>ً</w:t>
      </w:r>
      <w:r w:rsidRPr="006571AC">
        <w:rPr>
          <w:sz w:val="27"/>
          <w:rtl/>
        </w:rPr>
        <w:t xml:space="preserve"> </w:t>
      </w:r>
      <w:r w:rsidRPr="006571AC">
        <w:rPr>
          <w:rFonts w:hint="cs"/>
          <w:sz w:val="27"/>
          <w:rtl/>
        </w:rPr>
        <w:t>أ</w:t>
      </w:r>
      <w:r w:rsidRPr="006571AC">
        <w:rPr>
          <w:sz w:val="27"/>
          <w:rtl/>
        </w:rPr>
        <w:t>عتق بعض غلامه</w:t>
      </w:r>
      <w:r w:rsidRPr="006571AC">
        <w:rPr>
          <w:rFonts w:hint="cs"/>
          <w:sz w:val="27"/>
          <w:rtl/>
        </w:rPr>
        <w:t>،</w:t>
      </w:r>
      <w:r w:rsidRPr="006571AC">
        <w:rPr>
          <w:sz w:val="27"/>
          <w:rtl/>
        </w:rPr>
        <w:t xml:space="preserve"> فقال</w:t>
      </w:r>
      <w:r w:rsidRPr="006571AC">
        <w:rPr>
          <w:rFonts w:ascii="Mosawi" w:hAnsi="Mosawi" w:cs="Mosawi"/>
          <w:sz w:val="22"/>
          <w:szCs w:val="22"/>
          <w:rtl/>
        </w:rPr>
        <w:t>×</w:t>
      </w:r>
      <w:r w:rsidRPr="006571AC">
        <w:rPr>
          <w:sz w:val="27"/>
          <w:rtl/>
        </w:rPr>
        <w:t>: هو ح</w:t>
      </w:r>
      <w:r w:rsidRPr="006571AC">
        <w:rPr>
          <w:rFonts w:hint="cs"/>
          <w:sz w:val="27"/>
          <w:rtl/>
        </w:rPr>
        <w:t>ُ</w:t>
      </w:r>
      <w:r w:rsidRPr="006571AC">
        <w:rPr>
          <w:sz w:val="27"/>
          <w:rtl/>
        </w:rPr>
        <w:t>ر</w:t>
      </w:r>
      <w:r w:rsidRPr="006571AC">
        <w:rPr>
          <w:rFonts w:hint="cs"/>
          <w:sz w:val="27"/>
          <w:rtl/>
        </w:rPr>
        <w:t>ٌّ</w:t>
      </w:r>
      <w:r w:rsidRPr="006571AC">
        <w:rPr>
          <w:sz w:val="27"/>
          <w:rtl/>
        </w:rPr>
        <w:t xml:space="preserve"> كل</w:t>
      </w:r>
      <w:r w:rsidRPr="006571AC">
        <w:rPr>
          <w:rFonts w:hint="cs"/>
          <w:sz w:val="27"/>
          <w:rtl/>
        </w:rPr>
        <w:t>ّ</w:t>
      </w:r>
      <w:r w:rsidRPr="006571AC">
        <w:rPr>
          <w:sz w:val="27"/>
          <w:rtl/>
        </w:rPr>
        <w:t>ه</w:t>
      </w:r>
      <w:r w:rsidRPr="006571AC">
        <w:rPr>
          <w:rFonts w:hint="cs"/>
          <w:sz w:val="27"/>
          <w:rtl/>
        </w:rPr>
        <w:t>،</w:t>
      </w:r>
      <w:r w:rsidRPr="006571AC">
        <w:rPr>
          <w:sz w:val="27"/>
          <w:rtl/>
        </w:rPr>
        <w:t xml:space="preserve"> ليس لله شريك. </w:t>
      </w:r>
    </w:p>
    <w:p w:rsidR="008A3F20" w:rsidRPr="006571AC" w:rsidRDefault="008A3F20" w:rsidP="000C6F2A">
      <w:pPr>
        <w:rPr>
          <w:sz w:val="27"/>
          <w:rtl/>
        </w:rPr>
      </w:pPr>
      <w:r w:rsidRPr="006571AC">
        <w:rPr>
          <w:rFonts w:hint="cs"/>
          <w:sz w:val="27"/>
          <w:rtl/>
        </w:rPr>
        <w:t>ولكنّه لم يفعل ذلك، الأمر الذي يدفعنا للقول بأنّه</w:t>
      </w:r>
      <w:r w:rsidRPr="006571AC">
        <w:rPr>
          <w:rFonts w:ascii="Mosawi" w:hAnsi="Mosawi" w:cs="Mosawi"/>
          <w:sz w:val="22"/>
          <w:szCs w:val="22"/>
          <w:rtl/>
        </w:rPr>
        <w:t>&amp;</w:t>
      </w:r>
      <w:r w:rsidRPr="006571AC">
        <w:rPr>
          <w:rFonts w:hint="cs"/>
          <w:sz w:val="27"/>
          <w:rtl/>
        </w:rPr>
        <w:t xml:space="preserve"> لم يعتمد طريقة الجمع بين الأسناد، وإنّما تبع في ذلك المصدر الذي ينقل منه</w:t>
      </w:r>
      <w:r w:rsidRPr="006571AC">
        <w:rPr>
          <w:sz w:val="27"/>
          <w:vertAlign w:val="superscript"/>
          <w:rtl/>
        </w:rPr>
        <w:t>(</w:t>
      </w:r>
      <w:r w:rsidRPr="006571AC">
        <w:rPr>
          <w:rStyle w:val="ac"/>
          <w:sz w:val="27"/>
          <w:rtl/>
        </w:rPr>
        <w:endnoteReference w:id="791"/>
      </w:r>
      <w:r w:rsidRPr="006571AC">
        <w:rPr>
          <w:sz w:val="27"/>
          <w:vertAlign w:val="superscript"/>
          <w:rtl/>
        </w:rPr>
        <w:t>)</w:t>
      </w:r>
      <w:r w:rsidRPr="006571AC">
        <w:rPr>
          <w:rFonts w:hint="cs"/>
          <w:sz w:val="27"/>
          <w:rtl/>
        </w:rPr>
        <w:t>.</w:t>
      </w:r>
    </w:p>
    <w:p w:rsidR="00867550" w:rsidRPr="006571AC" w:rsidRDefault="00867550" w:rsidP="00867550">
      <w:pPr>
        <w:spacing w:line="420" w:lineRule="exact"/>
        <w:rPr>
          <w:rFonts w:ascii="Arabic Typesetting" w:hAnsi="Arabic Typesetting"/>
          <w:sz w:val="27"/>
          <w:rtl/>
          <w:lang w:bidi="ar-LB"/>
        </w:rPr>
      </w:pPr>
      <w:bookmarkStart w:id="479" w:name="_Toc171512709"/>
    </w:p>
    <w:p w:rsidR="008A3F20" w:rsidRPr="006571AC" w:rsidRDefault="008A3F20" w:rsidP="00237DFE">
      <w:pPr>
        <w:pStyle w:val="31"/>
        <w:rPr>
          <w:color w:val="auto"/>
          <w:sz w:val="26"/>
          <w:rtl/>
        </w:rPr>
      </w:pPr>
      <w:bookmarkStart w:id="480" w:name="_Toc114164875"/>
      <w:r w:rsidRPr="006571AC">
        <w:rPr>
          <w:rFonts w:hint="cs"/>
          <w:color w:val="auto"/>
          <w:sz w:val="26"/>
          <w:rtl/>
        </w:rPr>
        <w:t>الالتزام بما في المصدر</w:t>
      </w:r>
      <w:bookmarkEnd w:id="479"/>
      <w:bookmarkEnd w:id="480"/>
    </w:p>
    <w:p w:rsidR="008A3F20" w:rsidRPr="006571AC" w:rsidRDefault="008A3F20" w:rsidP="000C6F2A">
      <w:pPr>
        <w:rPr>
          <w:sz w:val="27"/>
          <w:rtl/>
        </w:rPr>
      </w:pPr>
      <w:r w:rsidRPr="006571AC">
        <w:rPr>
          <w:rFonts w:hint="cs"/>
          <w:sz w:val="27"/>
          <w:rtl/>
        </w:rPr>
        <w:t xml:space="preserve">إذن </w:t>
      </w:r>
      <w:r w:rsidRPr="006571AC">
        <w:rPr>
          <w:rFonts w:hint="cs"/>
          <w:b/>
          <w:bCs/>
          <w:sz w:val="27"/>
          <w:rtl/>
        </w:rPr>
        <w:t>تبع الشيخ الحُرّ</w:t>
      </w:r>
      <w:r w:rsidRPr="006571AC">
        <w:rPr>
          <w:rFonts w:ascii="Mosawi" w:hAnsi="Mosawi" w:cs="Mosawi"/>
          <w:b/>
          <w:bCs/>
          <w:sz w:val="22"/>
          <w:szCs w:val="22"/>
          <w:rtl/>
        </w:rPr>
        <w:t>&amp;</w:t>
      </w:r>
      <w:r w:rsidRPr="006571AC">
        <w:rPr>
          <w:rFonts w:hint="cs"/>
          <w:b/>
          <w:bCs/>
          <w:sz w:val="27"/>
          <w:rtl/>
        </w:rPr>
        <w:t>، في مسألة الجمع بين الأسناد وعدمها، المصادرَ التي ينقل الحديث منها</w:t>
      </w:r>
      <w:r w:rsidRPr="006571AC">
        <w:rPr>
          <w:rFonts w:hint="cs"/>
          <w:sz w:val="27"/>
          <w:rtl/>
        </w:rPr>
        <w:t xml:space="preserve">. </w:t>
      </w:r>
    </w:p>
    <w:p w:rsidR="008A3F20" w:rsidRPr="006571AC" w:rsidRDefault="008A3F20" w:rsidP="000C6F2A">
      <w:pPr>
        <w:rPr>
          <w:sz w:val="27"/>
          <w:rtl/>
        </w:rPr>
      </w:pPr>
      <w:r w:rsidRPr="006571AC">
        <w:rPr>
          <w:rFonts w:hint="cs"/>
          <w:b/>
          <w:bCs/>
          <w:sz w:val="27"/>
          <w:rtl/>
        </w:rPr>
        <w:t>والتزم</w:t>
      </w:r>
      <w:r w:rsidRPr="006571AC">
        <w:rPr>
          <w:rFonts w:ascii="Mosawi" w:hAnsi="Mosawi" w:cs="Mosawi"/>
          <w:b/>
          <w:bCs/>
          <w:sz w:val="22"/>
          <w:szCs w:val="22"/>
          <w:rtl/>
        </w:rPr>
        <w:t>&amp;</w:t>
      </w:r>
      <w:r w:rsidRPr="006571AC">
        <w:rPr>
          <w:rFonts w:hint="cs"/>
          <w:b/>
          <w:bCs/>
          <w:sz w:val="27"/>
          <w:rtl/>
        </w:rPr>
        <w:t xml:space="preserve"> بما جاء في تلك المصادر تماماً، رغم كون الجمع في بعض الموارد م</w:t>
      </w:r>
      <w:r w:rsidR="00B155A8" w:rsidRPr="006571AC">
        <w:rPr>
          <w:rFonts w:hint="cs"/>
          <w:b/>
          <w:bCs/>
          <w:sz w:val="27"/>
          <w:rtl/>
        </w:rPr>
        <w:t>ُوهِماً جدّاً، ويحتاج إلى توضيحٍ</w:t>
      </w:r>
      <w:r w:rsidRPr="006571AC">
        <w:rPr>
          <w:rFonts w:hint="cs"/>
          <w:sz w:val="27"/>
          <w:rtl/>
        </w:rPr>
        <w:t xml:space="preserve">، ومن ذلك: </w:t>
      </w:r>
    </w:p>
    <w:p w:rsidR="008A3F20" w:rsidRPr="006571AC" w:rsidRDefault="008A3F20" w:rsidP="002058BF">
      <w:pPr>
        <w:rPr>
          <w:sz w:val="27"/>
          <w:rtl/>
        </w:rPr>
      </w:pPr>
      <w:r w:rsidRPr="006571AC">
        <w:rPr>
          <w:rFonts w:hint="cs"/>
          <w:sz w:val="27"/>
          <w:rtl/>
        </w:rPr>
        <w:t xml:space="preserve">* ما ذكره في الباب 60 من أبواب القصاص في النفس، ح 1، حيث قال: </w:t>
      </w:r>
      <w:r w:rsidRPr="006571AC">
        <w:rPr>
          <w:rFonts w:hint="cs"/>
          <w:sz w:val="24"/>
          <w:szCs w:val="24"/>
          <w:rtl/>
        </w:rPr>
        <w:t>«</w:t>
      </w:r>
      <w:r w:rsidRPr="006571AC">
        <w:rPr>
          <w:rFonts w:hint="cs"/>
          <w:b/>
          <w:bCs/>
          <w:sz w:val="27"/>
          <w:rtl/>
        </w:rPr>
        <w:t>محمّد بن يعقوب، عن محمّد بن يحيى، عن أحمد بن محمّد، وعن عليّ بن إبراهيم، عن أبيه، عن ابن محبوب، عن أبي ولاّد الحنّاط</w:t>
      </w:r>
      <w:r w:rsidRPr="006571AC">
        <w:rPr>
          <w:rFonts w:hint="cs"/>
          <w:sz w:val="27"/>
          <w:rtl/>
        </w:rPr>
        <w:t xml:space="preserve"> قال: سألتُ أبا عبد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792"/>
      </w:r>
      <w:r w:rsidRPr="006571AC">
        <w:rPr>
          <w:sz w:val="27"/>
          <w:vertAlign w:val="superscript"/>
          <w:rtl/>
        </w:rPr>
        <w:t>)</w:t>
      </w:r>
      <w:r w:rsidRPr="006571AC">
        <w:rPr>
          <w:rFonts w:hint="cs"/>
          <w:sz w:val="27"/>
          <w:rtl/>
        </w:rPr>
        <w:t>.</w:t>
      </w:r>
    </w:p>
    <w:p w:rsidR="008A3F20" w:rsidRPr="006571AC" w:rsidRDefault="00B155A8" w:rsidP="000C6F2A">
      <w:pPr>
        <w:rPr>
          <w:sz w:val="27"/>
          <w:rtl/>
        </w:rPr>
      </w:pPr>
      <w:r w:rsidRPr="006571AC">
        <w:rPr>
          <w:rFonts w:hint="cs"/>
          <w:sz w:val="27"/>
          <w:rtl/>
        </w:rPr>
        <w:t>فكيف نفكّك هذا الس</w:t>
      </w:r>
      <w:r w:rsidR="008A3F20" w:rsidRPr="006571AC">
        <w:rPr>
          <w:rFonts w:hint="cs"/>
          <w:sz w:val="27"/>
          <w:rtl/>
        </w:rPr>
        <w:t>ند؟</w:t>
      </w:r>
    </w:p>
    <w:p w:rsidR="008A3F20" w:rsidRPr="006571AC" w:rsidRDefault="008A3F20" w:rsidP="000C6F2A">
      <w:pPr>
        <w:rPr>
          <w:sz w:val="27"/>
          <w:rtl/>
        </w:rPr>
      </w:pPr>
      <w:r w:rsidRPr="006571AC">
        <w:rPr>
          <w:rFonts w:hint="cs"/>
          <w:sz w:val="27"/>
          <w:rtl/>
        </w:rPr>
        <w:t xml:space="preserve">الصحيحُ أنّ السندَيْن هما: </w:t>
      </w:r>
    </w:p>
    <w:p w:rsidR="008A3F20" w:rsidRPr="006571AC" w:rsidRDefault="008A3F20" w:rsidP="000C6F2A">
      <w:pPr>
        <w:rPr>
          <w:sz w:val="27"/>
          <w:rtl/>
        </w:rPr>
      </w:pPr>
      <w:r w:rsidRPr="006571AC">
        <w:rPr>
          <w:rFonts w:hint="cs"/>
          <w:b/>
          <w:bCs/>
          <w:sz w:val="27"/>
          <w:rtl/>
        </w:rPr>
        <w:t>السند الأوّل</w:t>
      </w:r>
      <w:r w:rsidRPr="006571AC">
        <w:rPr>
          <w:rFonts w:hint="cs"/>
          <w:sz w:val="27"/>
          <w:rtl/>
        </w:rPr>
        <w:t>: محمّد بن يعقوب، عن محمّد بن يحيى، عن أحمد بن محمّد، عن ابن محبوب، عن أبي ولاّد الحنّاط....</w:t>
      </w:r>
    </w:p>
    <w:p w:rsidR="008A3F20" w:rsidRPr="006571AC" w:rsidRDefault="008A3F20" w:rsidP="000C6F2A">
      <w:pPr>
        <w:rPr>
          <w:sz w:val="27"/>
          <w:rtl/>
        </w:rPr>
      </w:pPr>
      <w:r w:rsidRPr="006571AC">
        <w:rPr>
          <w:rFonts w:hint="cs"/>
          <w:b/>
          <w:bCs/>
          <w:sz w:val="27"/>
          <w:rtl/>
        </w:rPr>
        <w:t>السند الثاني</w:t>
      </w:r>
      <w:r w:rsidRPr="006571AC">
        <w:rPr>
          <w:rFonts w:hint="cs"/>
          <w:sz w:val="27"/>
          <w:rtl/>
        </w:rPr>
        <w:t>: محمّد بن يعقوب، عن عليّ بن إبراهيم، عن أبيه، عن ابن محبوب، عن أبي ولاّد الحنّاط....</w:t>
      </w:r>
    </w:p>
    <w:p w:rsidR="008A3F20" w:rsidRPr="006571AC" w:rsidRDefault="008A3F20" w:rsidP="000C6F2A">
      <w:pPr>
        <w:rPr>
          <w:sz w:val="27"/>
          <w:rtl/>
        </w:rPr>
      </w:pPr>
      <w:r w:rsidRPr="006571AC">
        <w:rPr>
          <w:rFonts w:hint="cs"/>
          <w:sz w:val="27"/>
          <w:rtl/>
        </w:rPr>
        <w:t xml:space="preserve">ولكنْ قد يشتبه أحدُ الباحثين، ممَّنْ لا خبرة له في علم الرجال، فيعتقد أنّ السندَيْن بهذا الشكل: </w:t>
      </w:r>
    </w:p>
    <w:p w:rsidR="008A3F20" w:rsidRPr="006571AC" w:rsidRDefault="008A3F20" w:rsidP="000C6F2A">
      <w:pPr>
        <w:rPr>
          <w:sz w:val="27"/>
          <w:rtl/>
        </w:rPr>
      </w:pPr>
      <w:r w:rsidRPr="006571AC">
        <w:rPr>
          <w:rFonts w:hint="cs"/>
          <w:b/>
          <w:bCs/>
          <w:sz w:val="27"/>
          <w:rtl/>
        </w:rPr>
        <w:t>السند الأوّل</w:t>
      </w:r>
      <w:r w:rsidRPr="006571AC">
        <w:rPr>
          <w:rFonts w:hint="cs"/>
          <w:sz w:val="27"/>
          <w:rtl/>
        </w:rPr>
        <w:t>: محمّد بن يعقوب، عن محمّد بن يحيى، عن أحمد بن محمّد، عن أبي ولاّد الحنّاط....</w:t>
      </w:r>
    </w:p>
    <w:p w:rsidR="008A3F20" w:rsidRPr="006571AC" w:rsidRDefault="008A3F20" w:rsidP="000C6F2A">
      <w:pPr>
        <w:rPr>
          <w:sz w:val="27"/>
          <w:rtl/>
        </w:rPr>
      </w:pPr>
      <w:r w:rsidRPr="006571AC">
        <w:rPr>
          <w:rFonts w:hint="cs"/>
          <w:b/>
          <w:bCs/>
          <w:sz w:val="27"/>
          <w:rtl/>
        </w:rPr>
        <w:t>السند الثاني</w:t>
      </w:r>
      <w:r w:rsidRPr="006571AC">
        <w:rPr>
          <w:rFonts w:hint="cs"/>
          <w:sz w:val="27"/>
          <w:rtl/>
        </w:rPr>
        <w:t>: محمّد بن يعقوب، عن عليّ بن إبراهيم، عن أبيه، عن ابن محبوب، عن أبي ولاّد الحنّاط....</w:t>
      </w:r>
    </w:p>
    <w:p w:rsidR="008A3F20" w:rsidRPr="006571AC" w:rsidRDefault="008A3F20" w:rsidP="000C6F2A">
      <w:pPr>
        <w:rPr>
          <w:sz w:val="27"/>
          <w:rtl/>
        </w:rPr>
      </w:pPr>
      <w:r w:rsidRPr="006571AC">
        <w:rPr>
          <w:rFonts w:hint="cs"/>
          <w:sz w:val="27"/>
          <w:rtl/>
        </w:rPr>
        <w:t>فلاحِظْ الإيهام في هذا الاختصار.</w:t>
      </w:r>
    </w:p>
    <w:p w:rsidR="008A3F20" w:rsidRPr="006571AC" w:rsidRDefault="008A3F20" w:rsidP="00237DFE">
      <w:pPr>
        <w:pStyle w:val="31"/>
        <w:rPr>
          <w:color w:val="auto"/>
          <w:sz w:val="26"/>
          <w:rtl/>
        </w:rPr>
      </w:pPr>
      <w:bookmarkStart w:id="481" w:name="_Toc171512710"/>
      <w:bookmarkStart w:id="482" w:name="_Toc114164876"/>
      <w:r w:rsidRPr="006571AC">
        <w:rPr>
          <w:rFonts w:hint="cs"/>
          <w:color w:val="auto"/>
          <w:sz w:val="26"/>
          <w:rtl/>
        </w:rPr>
        <w:lastRenderedPageBreak/>
        <w:t>كيفيّة دفعهم للإيهام</w:t>
      </w:r>
      <w:bookmarkEnd w:id="481"/>
      <w:r w:rsidRPr="006571AC">
        <w:rPr>
          <w:rFonts w:hint="cs"/>
          <w:color w:val="auto"/>
          <w:sz w:val="26"/>
          <w:rtl/>
        </w:rPr>
        <w:t xml:space="preserve"> الناشئ عن الجمع بين الأسناد</w:t>
      </w:r>
      <w:bookmarkEnd w:id="482"/>
      <w:r w:rsidRPr="006571AC">
        <w:rPr>
          <w:rFonts w:hint="cs"/>
          <w:color w:val="auto"/>
          <w:sz w:val="26"/>
          <w:rtl/>
        </w:rPr>
        <w:t xml:space="preserve"> </w:t>
      </w:r>
    </w:p>
    <w:p w:rsidR="008A3F20" w:rsidRPr="006571AC" w:rsidRDefault="008A3F20" w:rsidP="000C6F2A">
      <w:pPr>
        <w:pStyle w:val="affffffff6"/>
        <w:spacing w:line="400" w:lineRule="exact"/>
        <w:rPr>
          <w:rFonts w:cs="AL-Mohanad"/>
          <w:b/>
          <w:bCs w:val="0"/>
          <w:sz w:val="27"/>
          <w:szCs w:val="27"/>
          <w:rtl/>
        </w:rPr>
      </w:pPr>
      <w:r w:rsidRPr="006571AC">
        <w:rPr>
          <w:rFonts w:cs="AL-Mohanad" w:hint="cs"/>
          <w:sz w:val="27"/>
          <w:szCs w:val="27"/>
          <w:rtl/>
        </w:rPr>
        <w:t>وقد تخلّ</w:t>
      </w:r>
      <w:r w:rsidR="00B155A8" w:rsidRPr="006571AC">
        <w:rPr>
          <w:rFonts w:cs="AL-Mohanad" w:hint="cs"/>
          <w:sz w:val="27"/>
          <w:szCs w:val="27"/>
          <w:rtl/>
        </w:rPr>
        <w:t>َ</w:t>
      </w:r>
      <w:r w:rsidRPr="006571AC">
        <w:rPr>
          <w:rFonts w:cs="AL-Mohanad" w:hint="cs"/>
          <w:sz w:val="27"/>
          <w:szCs w:val="27"/>
          <w:rtl/>
        </w:rPr>
        <w:t xml:space="preserve">صوا من ذلك الإيهام في بعض الموارد بذكر كلمة </w:t>
      </w:r>
      <w:r w:rsidRPr="006571AC">
        <w:rPr>
          <w:rFonts w:cs="AL-Mohanad" w:hint="cs"/>
          <w:szCs w:val="24"/>
          <w:rtl/>
        </w:rPr>
        <w:t>«</w:t>
      </w:r>
      <w:r w:rsidRPr="006571AC">
        <w:rPr>
          <w:rFonts w:cs="AL-Mohanad" w:hint="cs"/>
          <w:sz w:val="27"/>
          <w:szCs w:val="27"/>
          <w:rtl/>
        </w:rPr>
        <w:t>جميعاً</w:t>
      </w:r>
      <w:r w:rsidRPr="006571AC">
        <w:rPr>
          <w:rFonts w:cs="AL-Mohanad" w:hint="cs"/>
          <w:szCs w:val="24"/>
          <w:rtl/>
        </w:rPr>
        <w:t>»</w:t>
      </w:r>
      <w:r w:rsidRPr="006571AC">
        <w:rPr>
          <w:rFonts w:cs="AL-Mohanad" w:hint="cs"/>
          <w:sz w:val="27"/>
          <w:szCs w:val="27"/>
          <w:rtl/>
        </w:rPr>
        <w:t xml:space="preserve"> في آخر الجزء المعطوف من السند الثاني</w:t>
      </w:r>
      <w:r w:rsidRPr="006571AC">
        <w:rPr>
          <w:rFonts w:cs="AL-Mohanad" w:hint="cs"/>
          <w:b/>
          <w:bCs w:val="0"/>
          <w:sz w:val="27"/>
          <w:szCs w:val="27"/>
          <w:rtl/>
        </w:rPr>
        <w:t xml:space="preserve">، ومن ذلك: </w:t>
      </w:r>
    </w:p>
    <w:p w:rsidR="008A3F20" w:rsidRPr="006571AC" w:rsidRDefault="008A3F20" w:rsidP="000C6F2A">
      <w:pPr>
        <w:rPr>
          <w:sz w:val="27"/>
          <w:rtl/>
        </w:rPr>
      </w:pPr>
      <w:r w:rsidRPr="006571AC">
        <w:rPr>
          <w:rFonts w:hint="cs"/>
          <w:sz w:val="27"/>
          <w:rtl/>
        </w:rPr>
        <w:t xml:space="preserve">* ما في الباب 51 من أبواب جهاد العدوّ وما يناسبه، ح 1، حيث قال: </w:t>
      </w:r>
      <w:r w:rsidRPr="006571AC">
        <w:rPr>
          <w:rFonts w:hint="cs"/>
          <w:sz w:val="24"/>
          <w:szCs w:val="24"/>
          <w:rtl/>
        </w:rPr>
        <w:t>«</w:t>
      </w:r>
      <w:r w:rsidRPr="006571AC">
        <w:rPr>
          <w:rFonts w:hint="cs"/>
          <w:sz w:val="27"/>
          <w:rtl/>
        </w:rPr>
        <w:t xml:space="preserve">محمّد بن يعقوب، عن </w:t>
      </w:r>
      <w:r w:rsidRPr="006571AC">
        <w:rPr>
          <w:sz w:val="27"/>
          <w:rtl/>
        </w:rPr>
        <w:t>علي</w:t>
      </w:r>
      <w:r w:rsidRPr="006571AC">
        <w:rPr>
          <w:rFonts w:hint="cs"/>
          <w:sz w:val="27"/>
          <w:rtl/>
        </w:rPr>
        <w:t>ّ</w:t>
      </w:r>
      <w:r w:rsidRPr="006571AC">
        <w:rPr>
          <w:sz w:val="27"/>
          <w:rtl/>
        </w:rPr>
        <w:t xml:space="preserve"> بن إبراهيم، عن أبيه، ومحم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عن محم</w:t>
      </w:r>
      <w:r w:rsidRPr="006571AC">
        <w:rPr>
          <w:rFonts w:hint="cs"/>
          <w:sz w:val="27"/>
          <w:rtl/>
        </w:rPr>
        <w:t>ّ</w:t>
      </w:r>
      <w:r w:rsidRPr="006571AC">
        <w:rPr>
          <w:sz w:val="27"/>
          <w:rtl/>
        </w:rPr>
        <w:t>د بن يحيى</w:t>
      </w:r>
      <w:r w:rsidR="002058BF" w:rsidRPr="006571AC">
        <w:rPr>
          <w:rFonts w:hint="cs"/>
          <w:sz w:val="27"/>
          <w:rtl/>
        </w:rPr>
        <w:t>،</w:t>
      </w:r>
      <w:r w:rsidRPr="006571AC">
        <w:rPr>
          <w:sz w:val="27"/>
          <w:rtl/>
        </w:rPr>
        <w:t xml:space="preserve"> </w:t>
      </w:r>
      <w:r w:rsidRPr="006571AC">
        <w:rPr>
          <w:b/>
          <w:bCs/>
          <w:sz w:val="27"/>
          <w:rtl/>
        </w:rPr>
        <w:t>جميعا</w:t>
      </w:r>
      <w:r w:rsidRPr="006571AC">
        <w:rPr>
          <w:rFonts w:hint="cs"/>
          <w:b/>
          <w:bCs/>
          <w:sz w:val="27"/>
          <w:rtl/>
        </w:rPr>
        <w:t>ً</w:t>
      </w:r>
      <w:r w:rsidRPr="006571AC">
        <w:rPr>
          <w:sz w:val="27"/>
          <w:rtl/>
        </w:rPr>
        <w:t>، عن عبد الله بن المغيرة، عن طلحة بن زيد، عن أبي عبد الله</w:t>
      </w:r>
      <w:r w:rsidRPr="006571AC">
        <w:rPr>
          <w:rFonts w:ascii="Mosawi" w:hAnsi="Mosawi" w:cs="Mosawi"/>
          <w:sz w:val="22"/>
          <w:szCs w:val="22"/>
          <w:rtl/>
        </w:rPr>
        <w:t>×</w:t>
      </w:r>
      <w:r w:rsidRPr="006571AC">
        <w:rPr>
          <w:rFonts w:hint="cs"/>
          <w:sz w:val="27"/>
          <w:rtl/>
        </w:rPr>
        <w:t xml:space="preserve"> </w:t>
      </w:r>
      <w:r w:rsidRPr="006571AC">
        <w:rPr>
          <w:sz w:val="27"/>
          <w:rtl/>
        </w:rPr>
        <w:t>قال: جر</w:t>
      </w:r>
      <w:r w:rsidR="00B155A8" w:rsidRPr="006571AC">
        <w:rPr>
          <w:rFonts w:hint="cs"/>
          <w:sz w:val="27"/>
          <w:rtl/>
        </w:rPr>
        <w:t>َ</w:t>
      </w:r>
      <w:r w:rsidRPr="006571AC">
        <w:rPr>
          <w:sz w:val="27"/>
          <w:rtl/>
        </w:rPr>
        <w:t>ت</w:t>
      </w:r>
      <w:r w:rsidR="00B155A8" w:rsidRPr="006571AC">
        <w:rPr>
          <w:rFonts w:hint="cs"/>
          <w:sz w:val="27"/>
          <w:rtl/>
        </w:rPr>
        <w:t>ْ</w:t>
      </w:r>
      <w:r w:rsidRPr="006571AC">
        <w:rPr>
          <w:sz w:val="27"/>
          <w:rtl/>
        </w:rPr>
        <w:t xml:space="preserve"> الس</w:t>
      </w:r>
      <w:r w:rsidR="00B155A8" w:rsidRPr="006571AC">
        <w:rPr>
          <w:rFonts w:hint="cs"/>
          <w:sz w:val="27"/>
          <w:rtl/>
        </w:rPr>
        <w:t>ُّ</w:t>
      </w:r>
      <w:r w:rsidRPr="006571AC">
        <w:rPr>
          <w:sz w:val="27"/>
          <w:rtl/>
        </w:rPr>
        <w:t>ن</w:t>
      </w:r>
      <w:r w:rsidRPr="006571AC">
        <w:rPr>
          <w:rFonts w:hint="cs"/>
          <w:sz w:val="27"/>
          <w:rtl/>
        </w:rPr>
        <w:t>ّ</w:t>
      </w:r>
      <w:r w:rsidRPr="006571AC">
        <w:rPr>
          <w:sz w:val="27"/>
          <w:rtl/>
        </w:rPr>
        <w:t>ة أن لا تؤخذ الج</w:t>
      </w:r>
      <w:r w:rsidR="00B155A8" w:rsidRPr="006571AC">
        <w:rPr>
          <w:rFonts w:hint="cs"/>
          <w:sz w:val="27"/>
          <w:rtl/>
        </w:rPr>
        <w:t>ِ</w:t>
      </w:r>
      <w:r w:rsidRPr="006571AC">
        <w:rPr>
          <w:sz w:val="27"/>
          <w:rtl/>
        </w:rPr>
        <w:t>ز</w:t>
      </w:r>
      <w:r w:rsidR="00B155A8" w:rsidRPr="006571AC">
        <w:rPr>
          <w:rFonts w:hint="cs"/>
          <w:sz w:val="27"/>
          <w:rtl/>
        </w:rPr>
        <w:t>ْ</w:t>
      </w:r>
      <w:r w:rsidRPr="006571AC">
        <w:rPr>
          <w:sz w:val="27"/>
          <w:rtl/>
        </w:rPr>
        <w:t>ية من المعتوه</w:t>
      </w:r>
      <w:r w:rsidRPr="006571AC">
        <w:rPr>
          <w:rFonts w:hint="cs"/>
          <w:sz w:val="27"/>
          <w:rtl/>
        </w:rPr>
        <w:t>،</w:t>
      </w:r>
      <w:r w:rsidRPr="006571AC">
        <w:rPr>
          <w:sz w:val="27"/>
          <w:rtl/>
        </w:rPr>
        <w:t xml:space="preserve"> ولا من المغلوب على عقله</w:t>
      </w:r>
      <w:r w:rsidRPr="006571AC">
        <w:rPr>
          <w:rFonts w:hint="cs"/>
          <w:sz w:val="24"/>
          <w:szCs w:val="24"/>
          <w:rtl/>
        </w:rPr>
        <w:t>»</w:t>
      </w:r>
      <w:r w:rsidRPr="006571AC">
        <w:rPr>
          <w:sz w:val="27"/>
          <w:vertAlign w:val="superscript"/>
          <w:rtl/>
        </w:rPr>
        <w:t>(</w:t>
      </w:r>
      <w:r w:rsidRPr="006571AC">
        <w:rPr>
          <w:rStyle w:val="ac"/>
          <w:sz w:val="27"/>
          <w:rtl/>
        </w:rPr>
        <w:endnoteReference w:id="793"/>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وسندا الحديث هما: </w:t>
      </w:r>
    </w:p>
    <w:p w:rsidR="008A3F20" w:rsidRPr="006571AC" w:rsidRDefault="008A3F20" w:rsidP="000C6F2A">
      <w:pPr>
        <w:rPr>
          <w:sz w:val="27"/>
          <w:rtl/>
        </w:rPr>
      </w:pPr>
      <w:r w:rsidRPr="006571AC">
        <w:rPr>
          <w:rFonts w:hint="cs"/>
          <w:b/>
          <w:bCs/>
          <w:sz w:val="27"/>
          <w:rtl/>
        </w:rPr>
        <w:t>السند الأوّل</w:t>
      </w:r>
      <w:r w:rsidRPr="006571AC">
        <w:rPr>
          <w:rFonts w:hint="cs"/>
          <w:sz w:val="27"/>
          <w:rtl/>
        </w:rPr>
        <w:t xml:space="preserve">: محمّد بن يعقوب، عن </w:t>
      </w:r>
      <w:r w:rsidRPr="006571AC">
        <w:rPr>
          <w:sz w:val="27"/>
          <w:rtl/>
        </w:rPr>
        <w:t>علي</w:t>
      </w:r>
      <w:r w:rsidRPr="006571AC">
        <w:rPr>
          <w:rFonts w:hint="cs"/>
          <w:sz w:val="27"/>
          <w:rtl/>
        </w:rPr>
        <w:t>ّ</w:t>
      </w:r>
      <w:r w:rsidRPr="006571AC">
        <w:rPr>
          <w:sz w:val="27"/>
          <w:rtl/>
        </w:rPr>
        <w:t xml:space="preserve"> بن إبراهيم، عن أبيه،</w:t>
      </w:r>
      <w:r w:rsidRPr="006571AC">
        <w:rPr>
          <w:rFonts w:hint="cs"/>
          <w:sz w:val="27"/>
          <w:rtl/>
        </w:rPr>
        <w:t xml:space="preserve"> </w:t>
      </w:r>
      <w:r w:rsidRPr="006571AC">
        <w:rPr>
          <w:sz w:val="27"/>
          <w:rtl/>
        </w:rPr>
        <w:t>عن عبد الله بن المغيرة، عن طلحة بن زيد، عن أبي عبد الله</w:t>
      </w:r>
      <w:r w:rsidRPr="006571AC">
        <w:rPr>
          <w:rFonts w:ascii="Mosawi" w:hAnsi="Mosawi" w:cs="Mosawi"/>
          <w:sz w:val="22"/>
          <w:szCs w:val="22"/>
          <w:rtl/>
        </w:rPr>
        <w:t>×</w:t>
      </w:r>
      <w:r w:rsidRPr="006571AC">
        <w:rPr>
          <w:rFonts w:hint="cs"/>
          <w:sz w:val="27"/>
          <w:rtl/>
        </w:rPr>
        <w:t>....</w:t>
      </w:r>
    </w:p>
    <w:p w:rsidR="008A3F20" w:rsidRPr="006571AC" w:rsidRDefault="008A3F20" w:rsidP="000C6F2A">
      <w:pPr>
        <w:rPr>
          <w:sz w:val="27"/>
        </w:rPr>
      </w:pPr>
      <w:r w:rsidRPr="006571AC">
        <w:rPr>
          <w:rFonts w:hint="cs"/>
          <w:b/>
          <w:bCs/>
          <w:sz w:val="27"/>
          <w:rtl/>
        </w:rPr>
        <w:t>السند الثاني</w:t>
      </w:r>
      <w:r w:rsidRPr="006571AC">
        <w:rPr>
          <w:rFonts w:hint="cs"/>
          <w:sz w:val="27"/>
          <w:rtl/>
        </w:rPr>
        <w:t xml:space="preserve">: محمّد بن يعقوب، عن </w:t>
      </w:r>
      <w:r w:rsidRPr="006571AC">
        <w:rPr>
          <w:sz w:val="27"/>
          <w:rtl/>
        </w:rPr>
        <w:t>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عن محم</w:t>
      </w:r>
      <w:r w:rsidRPr="006571AC">
        <w:rPr>
          <w:rFonts w:hint="cs"/>
          <w:sz w:val="27"/>
          <w:rtl/>
        </w:rPr>
        <w:t>ّ</w:t>
      </w:r>
      <w:r w:rsidRPr="006571AC">
        <w:rPr>
          <w:sz w:val="27"/>
          <w:rtl/>
        </w:rPr>
        <w:t>د بن يحيى، عن عبد الله بن المغيرة، عن طلحة بن زيد، عن أبي عبد الله</w:t>
      </w:r>
      <w:r w:rsidRPr="006571AC">
        <w:rPr>
          <w:rFonts w:ascii="Mosawi" w:hAnsi="Mosawi" w:cs="Mosawi"/>
          <w:sz w:val="22"/>
          <w:szCs w:val="22"/>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ولولا كلمة </w:t>
      </w:r>
      <w:r w:rsidRPr="006571AC">
        <w:rPr>
          <w:rFonts w:hint="cs"/>
          <w:sz w:val="24"/>
          <w:szCs w:val="24"/>
          <w:rtl/>
        </w:rPr>
        <w:t>«</w:t>
      </w:r>
      <w:r w:rsidRPr="006571AC">
        <w:rPr>
          <w:rFonts w:hint="cs"/>
          <w:sz w:val="27"/>
          <w:rtl/>
        </w:rPr>
        <w:t>جميعاً</w:t>
      </w:r>
      <w:r w:rsidRPr="006571AC">
        <w:rPr>
          <w:rFonts w:hint="cs"/>
          <w:sz w:val="24"/>
          <w:szCs w:val="24"/>
          <w:rtl/>
        </w:rPr>
        <w:t>»</w:t>
      </w:r>
      <w:r w:rsidRPr="006571AC">
        <w:rPr>
          <w:rFonts w:hint="cs"/>
          <w:sz w:val="27"/>
          <w:rtl/>
        </w:rPr>
        <w:t xml:space="preserve"> لتوهّ</w:t>
      </w:r>
      <w:r w:rsidR="00B155A8" w:rsidRPr="006571AC">
        <w:rPr>
          <w:rFonts w:hint="cs"/>
          <w:sz w:val="27"/>
          <w:rtl/>
        </w:rPr>
        <w:t>َ</w:t>
      </w:r>
      <w:r w:rsidRPr="006571AC">
        <w:rPr>
          <w:rFonts w:hint="cs"/>
          <w:sz w:val="27"/>
          <w:rtl/>
        </w:rPr>
        <w:t>م كثيرون أنّ سندَي</w:t>
      </w:r>
      <w:r w:rsidR="00B155A8" w:rsidRPr="006571AC">
        <w:rPr>
          <w:rFonts w:hint="cs"/>
          <w:sz w:val="27"/>
          <w:rtl/>
        </w:rPr>
        <w:t>ْ</w:t>
      </w:r>
      <w:r w:rsidRPr="006571AC">
        <w:rPr>
          <w:rFonts w:hint="cs"/>
          <w:sz w:val="27"/>
          <w:rtl/>
        </w:rPr>
        <w:t xml:space="preserve"> الحديث هما: </w:t>
      </w:r>
    </w:p>
    <w:p w:rsidR="008A3F20" w:rsidRPr="006571AC" w:rsidRDefault="008A3F20" w:rsidP="000C6F2A">
      <w:pPr>
        <w:rPr>
          <w:sz w:val="27"/>
          <w:rtl/>
        </w:rPr>
      </w:pPr>
      <w:r w:rsidRPr="006571AC">
        <w:rPr>
          <w:rFonts w:hint="cs"/>
          <w:b/>
          <w:bCs/>
          <w:sz w:val="27"/>
          <w:rtl/>
        </w:rPr>
        <w:t>السند الأوّل</w:t>
      </w:r>
      <w:r w:rsidRPr="006571AC">
        <w:rPr>
          <w:rFonts w:hint="cs"/>
          <w:sz w:val="27"/>
          <w:rtl/>
        </w:rPr>
        <w:t xml:space="preserve">: محمّد بن يعقوب، عن </w:t>
      </w:r>
      <w:r w:rsidRPr="006571AC">
        <w:rPr>
          <w:sz w:val="27"/>
          <w:rtl/>
        </w:rPr>
        <w:t>علي</w:t>
      </w:r>
      <w:r w:rsidRPr="006571AC">
        <w:rPr>
          <w:rFonts w:hint="cs"/>
          <w:sz w:val="27"/>
          <w:rtl/>
        </w:rPr>
        <w:t>ّ</w:t>
      </w:r>
      <w:r w:rsidRPr="006571AC">
        <w:rPr>
          <w:sz w:val="27"/>
          <w:rtl/>
        </w:rPr>
        <w:t xml:space="preserve"> بن إبراهيم، عن أبيه</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يحيى، عن عبد الله بن المغيرة</w:t>
      </w:r>
      <w:r w:rsidRPr="006571AC">
        <w:rPr>
          <w:rFonts w:hint="cs"/>
          <w:sz w:val="27"/>
          <w:rtl/>
        </w:rPr>
        <w:t>....</w:t>
      </w:r>
    </w:p>
    <w:p w:rsidR="008A3F20" w:rsidRPr="006571AC" w:rsidRDefault="008A3F20" w:rsidP="000C6F2A">
      <w:pPr>
        <w:rPr>
          <w:sz w:val="27"/>
          <w:rtl/>
        </w:rPr>
      </w:pPr>
      <w:r w:rsidRPr="006571AC">
        <w:rPr>
          <w:rFonts w:hint="cs"/>
          <w:b/>
          <w:bCs/>
          <w:sz w:val="27"/>
          <w:rtl/>
        </w:rPr>
        <w:t>السند الثاني</w:t>
      </w:r>
      <w:r w:rsidRPr="006571AC">
        <w:rPr>
          <w:rFonts w:hint="cs"/>
          <w:sz w:val="27"/>
          <w:rtl/>
        </w:rPr>
        <w:t xml:space="preserve">: محمّد بن يعقوب، عن </w:t>
      </w:r>
      <w:r w:rsidRPr="006571AC">
        <w:rPr>
          <w:sz w:val="27"/>
          <w:rtl/>
        </w:rPr>
        <w:t>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عن محم</w:t>
      </w:r>
      <w:r w:rsidRPr="006571AC">
        <w:rPr>
          <w:rFonts w:hint="cs"/>
          <w:sz w:val="27"/>
          <w:rtl/>
        </w:rPr>
        <w:t>ّ</w:t>
      </w:r>
      <w:r w:rsidRPr="006571AC">
        <w:rPr>
          <w:sz w:val="27"/>
          <w:rtl/>
        </w:rPr>
        <w:t>د بن يحيى، عن عبد الله بن المغيرة</w:t>
      </w:r>
      <w:r w:rsidRPr="006571AC">
        <w:rPr>
          <w:rFonts w:hint="cs"/>
          <w:sz w:val="27"/>
          <w:rtl/>
        </w:rPr>
        <w:t>....</w:t>
      </w:r>
    </w:p>
    <w:p w:rsidR="008A3F20" w:rsidRPr="006571AC" w:rsidRDefault="008A3F20" w:rsidP="00867550">
      <w:pPr>
        <w:spacing w:line="450" w:lineRule="exact"/>
        <w:rPr>
          <w:sz w:val="27"/>
          <w:rtl/>
        </w:rPr>
      </w:pPr>
    </w:p>
    <w:p w:rsidR="008A3F20" w:rsidRPr="006571AC" w:rsidRDefault="008A3F20" w:rsidP="00237DFE">
      <w:pPr>
        <w:pStyle w:val="31"/>
        <w:rPr>
          <w:color w:val="auto"/>
          <w:sz w:val="26"/>
          <w:rtl/>
        </w:rPr>
      </w:pPr>
      <w:bookmarkStart w:id="483" w:name="_Toc171512711"/>
      <w:bookmarkStart w:id="484" w:name="_Toc114164877"/>
      <w:r w:rsidRPr="006571AC">
        <w:rPr>
          <w:rFonts w:hint="cs"/>
          <w:color w:val="auto"/>
          <w:sz w:val="26"/>
          <w:rtl/>
        </w:rPr>
        <w:t>أنواع العطف في السند</w:t>
      </w:r>
      <w:bookmarkEnd w:id="483"/>
      <w:bookmarkEnd w:id="484"/>
    </w:p>
    <w:p w:rsidR="008A3F20" w:rsidRPr="006571AC" w:rsidRDefault="008A3F20" w:rsidP="000C6F2A">
      <w:pPr>
        <w:rPr>
          <w:b/>
          <w:bCs/>
          <w:sz w:val="27"/>
          <w:rtl/>
        </w:rPr>
      </w:pPr>
      <w:r w:rsidRPr="006571AC">
        <w:rPr>
          <w:rFonts w:hint="cs"/>
          <w:b/>
          <w:bCs/>
          <w:sz w:val="27"/>
          <w:rtl/>
        </w:rPr>
        <w:t>وتجدر الإشارة هنا إلى أنّ العطف في الأسناد تارةً يكون عاديّاً؛ وأخرى يكون غير عاديّ</w:t>
      </w:r>
      <w:r w:rsidR="00C0406B" w:rsidRPr="006571AC">
        <w:rPr>
          <w:rFonts w:hint="cs"/>
          <w:b/>
          <w:bCs/>
          <w:sz w:val="27"/>
          <w:rtl/>
        </w:rPr>
        <w:t>ٍ</w:t>
      </w:r>
      <w:r w:rsidRPr="006571AC">
        <w:rPr>
          <w:rFonts w:hint="cs"/>
          <w:b/>
          <w:bCs/>
          <w:sz w:val="27"/>
          <w:rtl/>
        </w:rPr>
        <w:t>.</w:t>
      </w:r>
    </w:p>
    <w:p w:rsidR="008A3F20" w:rsidRPr="006571AC" w:rsidRDefault="008A3F20" w:rsidP="000C6F2A">
      <w:pPr>
        <w:rPr>
          <w:sz w:val="27"/>
          <w:rtl/>
        </w:rPr>
      </w:pPr>
      <w:r w:rsidRPr="006571AC">
        <w:rPr>
          <w:rFonts w:hint="cs"/>
          <w:sz w:val="27"/>
          <w:rtl/>
        </w:rPr>
        <w:t>فالعطف العاديّ هو ما كان عطفاً لطبقةٍ على طبقة، أي لراوٍ واحدٍ على راوٍ واحد</w:t>
      </w:r>
      <w:r w:rsidR="002058BF" w:rsidRPr="006571AC">
        <w:rPr>
          <w:rFonts w:hint="cs"/>
          <w:sz w:val="27"/>
          <w:rtl/>
        </w:rPr>
        <w:t>ٍ</w:t>
      </w:r>
      <w:r w:rsidRPr="006571AC">
        <w:rPr>
          <w:rFonts w:hint="cs"/>
          <w:sz w:val="27"/>
          <w:rtl/>
        </w:rPr>
        <w:t xml:space="preserve"> آخر، ومن ذلك: </w:t>
      </w:r>
    </w:p>
    <w:p w:rsidR="008A3F20" w:rsidRPr="006571AC" w:rsidRDefault="008A3F20" w:rsidP="000C6F2A">
      <w:pPr>
        <w:rPr>
          <w:sz w:val="27"/>
          <w:rtl/>
        </w:rPr>
      </w:pPr>
      <w:r w:rsidRPr="006571AC">
        <w:rPr>
          <w:rFonts w:hint="cs"/>
          <w:sz w:val="27"/>
          <w:rtl/>
        </w:rPr>
        <w:t xml:space="preserve">* ما في الباب 1 من أبواب مَنْ يصحّ منه الصوم، ح 1، حيث قال: </w:t>
      </w:r>
      <w:r w:rsidRPr="006571AC">
        <w:rPr>
          <w:rFonts w:hint="cs"/>
          <w:sz w:val="24"/>
          <w:szCs w:val="24"/>
          <w:rtl/>
        </w:rPr>
        <w:t>«</w:t>
      </w:r>
      <w:r w:rsidRPr="006571AC">
        <w:rPr>
          <w:sz w:val="27"/>
          <w:rtl/>
        </w:rPr>
        <w:t>محم</w:t>
      </w:r>
      <w:r w:rsidRPr="006571AC">
        <w:rPr>
          <w:rFonts w:hint="cs"/>
          <w:sz w:val="27"/>
          <w:rtl/>
        </w:rPr>
        <w:t>ّ</w:t>
      </w:r>
      <w:r w:rsidRPr="006571AC">
        <w:rPr>
          <w:sz w:val="27"/>
          <w:rtl/>
        </w:rPr>
        <w:t>د بن يعقوب، عن علي</w:t>
      </w:r>
      <w:r w:rsidRPr="006571AC">
        <w:rPr>
          <w:rFonts w:hint="cs"/>
          <w:sz w:val="27"/>
          <w:rtl/>
        </w:rPr>
        <w:t>ّ</w:t>
      </w:r>
      <w:r w:rsidRPr="006571AC">
        <w:rPr>
          <w:sz w:val="27"/>
          <w:rtl/>
        </w:rPr>
        <w:t xml:space="preserve"> بن إبراهيم، عن </w:t>
      </w:r>
      <w:r w:rsidRPr="006571AC">
        <w:rPr>
          <w:b/>
          <w:bCs/>
          <w:sz w:val="27"/>
          <w:rtl/>
        </w:rPr>
        <w:t>أبيه وعبد</w:t>
      </w:r>
      <w:r w:rsidRPr="006571AC">
        <w:rPr>
          <w:rFonts w:hint="cs"/>
          <w:b/>
          <w:bCs/>
          <w:sz w:val="27"/>
          <w:rtl/>
        </w:rPr>
        <w:t xml:space="preserve"> </w:t>
      </w:r>
      <w:r w:rsidRPr="006571AC">
        <w:rPr>
          <w:b/>
          <w:bCs/>
          <w:sz w:val="27"/>
          <w:rtl/>
        </w:rPr>
        <w:t>الله بن الصلت جميعا</w:t>
      </w:r>
      <w:r w:rsidRPr="006571AC">
        <w:rPr>
          <w:rFonts w:hint="cs"/>
          <w:b/>
          <w:bCs/>
          <w:sz w:val="27"/>
          <w:rtl/>
        </w:rPr>
        <w:t>ً</w:t>
      </w:r>
      <w:r w:rsidRPr="006571AC">
        <w:rPr>
          <w:rFonts w:hint="cs"/>
          <w:sz w:val="27"/>
          <w:rtl/>
        </w:rPr>
        <w:t>،</w:t>
      </w:r>
      <w:r w:rsidRPr="006571AC">
        <w:rPr>
          <w:sz w:val="27"/>
          <w:rtl/>
        </w:rPr>
        <w:t xml:space="preserve"> عن حم</w:t>
      </w:r>
      <w:r w:rsidRPr="006571AC">
        <w:rPr>
          <w:rFonts w:hint="cs"/>
          <w:sz w:val="27"/>
          <w:rtl/>
        </w:rPr>
        <w:t>ّ</w:t>
      </w:r>
      <w:r w:rsidRPr="006571AC">
        <w:rPr>
          <w:sz w:val="27"/>
          <w:rtl/>
        </w:rPr>
        <w:t>اد بن عيسى، عن حريز، عن زرارة، عن أبي جعفر</w:t>
      </w:r>
      <w:r w:rsidRPr="006571AC">
        <w:rPr>
          <w:rFonts w:ascii="Mosawi" w:hAnsi="Mosawi" w:cs="Mosawi"/>
          <w:sz w:val="22"/>
          <w:szCs w:val="22"/>
          <w:rtl/>
        </w:rPr>
        <w:t>×</w:t>
      </w:r>
      <w:r w:rsidRPr="006571AC">
        <w:rPr>
          <w:rFonts w:hint="cs"/>
          <w:sz w:val="27"/>
          <w:rtl/>
        </w:rPr>
        <w:t xml:space="preserve"> ـ</w:t>
      </w:r>
      <w:r w:rsidRPr="006571AC">
        <w:rPr>
          <w:sz w:val="27"/>
          <w:rtl/>
        </w:rPr>
        <w:t xml:space="preserve"> في حديث</w:t>
      </w:r>
      <w:r w:rsidR="00C0406B" w:rsidRPr="006571AC">
        <w:rPr>
          <w:rFonts w:hint="cs"/>
          <w:sz w:val="27"/>
          <w:rtl/>
        </w:rPr>
        <w:t>ٍ</w:t>
      </w:r>
      <w:r w:rsidRPr="006571AC">
        <w:rPr>
          <w:sz w:val="27"/>
          <w:rtl/>
        </w:rPr>
        <w:t xml:space="preserve"> </w:t>
      </w:r>
      <w:r w:rsidRPr="006571AC">
        <w:rPr>
          <w:rFonts w:hint="cs"/>
          <w:sz w:val="27"/>
          <w:rtl/>
        </w:rPr>
        <w:t>ـ</w:t>
      </w:r>
      <w:r w:rsidRPr="006571AC">
        <w:rPr>
          <w:sz w:val="27"/>
          <w:rtl/>
        </w:rPr>
        <w:t xml:space="preserve"> قال:</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794"/>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lastRenderedPageBreak/>
        <w:t xml:space="preserve">وأمّا العطف غير العاديّ فهو ما كان عطفاً لطبقتَيْن أو أكثر على طبقتَيْن أو أكثر، ويُسمّى </w:t>
      </w:r>
      <w:r w:rsidRPr="006571AC">
        <w:rPr>
          <w:rFonts w:hint="cs"/>
          <w:sz w:val="24"/>
          <w:szCs w:val="24"/>
          <w:rtl/>
        </w:rPr>
        <w:t>«</w:t>
      </w:r>
      <w:r w:rsidRPr="006571AC">
        <w:rPr>
          <w:rFonts w:hint="cs"/>
          <w:sz w:val="27"/>
          <w:rtl/>
        </w:rPr>
        <w:t>التحويل في السند</w:t>
      </w:r>
      <w:r w:rsidRPr="006571AC">
        <w:rPr>
          <w:rFonts w:hint="cs"/>
          <w:sz w:val="24"/>
          <w:szCs w:val="24"/>
          <w:rtl/>
        </w:rPr>
        <w:t>»</w:t>
      </w:r>
      <w:r w:rsidRPr="006571AC">
        <w:rPr>
          <w:rFonts w:hint="cs"/>
          <w:sz w:val="27"/>
          <w:rtl/>
        </w:rPr>
        <w:t>، وقد تقدّم فيما مرّ ذكر بعض الأمثلة له.</w:t>
      </w:r>
    </w:p>
    <w:p w:rsidR="008A3F20" w:rsidRPr="006571AC" w:rsidRDefault="008A3F20" w:rsidP="000C6F2A">
      <w:pPr>
        <w:rPr>
          <w:sz w:val="27"/>
          <w:rtl/>
        </w:rPr>
      </w:pPr>
      <w:r w:rsidRPr="006571AC">
        <w:rPr>
          <w:rFonts w:hint="cs"/>
          <w:sz w:val="27"/>
          <w:rtl/>
        </w:rPr>
        <w:t>ولعلّ هذا العطف هو ما ذكره السيّد البروجرديّ</w:t>
      </w:r>
      <w:r w:rsidRPr="006571AC">
        <w:rPr>
          <w:rFonts w:ascii="Mosawi" w:hAnsi="Mosawi" w:cs="Mosawi"/>
          <w:sz w:val="22"/>
          <w:szCs w:val="22"/>
          <w:rtl/>
        </w:rPr>
        <w:t>&amp;</w:t>
      </w:r>
      <w:r w:rsidRPr="006571AC">
        <w:rPr>
          <w:rFonts w:hint="cs"/>
          <w:sz w:val="27"/>
          <w:rtl/>
        </w:rPr>
        <w:t xml:space="preserve"> بعنوان </w:t>
      </w:r>
      <w:r w:rsidRPr="006571AC">
        <w:rPr>
          <w:rFonts w:hint="cs"/>
          <w:sz w:val="24"/>
          <w:szCs w:val="24"/>
          <w:rtl/>
        </w:rPr>
        <w:t>«</w:t>
      </w:r>
      <w:r w:rsidRPr="006571AC">
        <w:rPr>
          <w:rFonts w:hint="cs"/>
          <w:sz w:val="27"/>
          <w:rtl/>
        </w:rPr>
        <w:t>تقطيع الأسانيد</w:t>
      </w:r>
      <w:r w:rsidRPr="006571AC">
        <w:rPr>
          <w:rFonts w:hint="cs"/>
          <w:sz w:val="24"/>
          <w:szCs w:val="24"/>
          <w:rtl/>
        </w:rPr>
        <w:t>»</w:t>
      </w:r>
      <w:r w:rsidRPr="006571AC">
        <w:rPr>
          <w:rFonts w:hint="cs"/>
          <w:sz w:val="27"/>
          <w:rtl/>
        </w:rPr>
        <w:t xml:space="preserve">، فقال: </w:t>
      </w:r>
      <w:r w:rsidRPr="006571AC">
        <w:rPr>
          <w:rFonts w:hint="cs"/>
          <w:sz w:val="24"/>
          <w:szCs w:val="24"/>
          <w:rtl/>
        </w:rPr>
        <w:t>«</w:t>
      </w:r>
      <w:r w:rsidRPr="006571AC">
        <w:rPr>
          <w:rFonts w:hint="cs"/>
          <w:sz w:val="27"/>
          <w:rtl/>
        </w:rPr>
        <w:t>ومع ذلك كلّه لا يخلو عن تكرار الأبواب، والأحاديث، وتقطيع الأخبار، والأسانيد</w:t>
      </w:r>
      <w:r w:rsidRPr="006571AC">
        <w:rPr>
          <w:rFonts w:hint="cs"/>
          <w:sz w:val="24"/>
          <w:szCs w:val="24"/>
          <w:rtl/>
        </w:rPr>
        <w:t>»</w:t>
      </w:r>
      <w:r w:rsidRPr="006571AC">
        <w:rPr>
          <w:sz w:val="27"/>
          <w:vertAlign w:val="superscript"/>
          <w:rtl/>
        </w:rPr>
        <w:t>(</w:t>
      </w:r>
      <w:r w:rsidRPr="006571AC">
        <w:rPr>
          <w:rStyle w:val="ac"/>
          <w:sz w:val="27"/>
          <w:rtl/>
        </w:rPr>
        <w:endnoteReference w:id="795"/>
      </w:r>
      <w:r w:rsidRPr="006571AC">
        <w:rPr>
          <w:sz w:val="27"/>
          <w:vertAlign w:val="superscript"/>
          <w:rtl/>
        </w:rPr>
        <w:t>)</w:t>
      </w:r>
      <w:r w:rsidRPr="006571AC">
        <w:rPr>
          <w:rFonts w:hint="cs"/>
          <w:sz w:val="27"/>
          <w:rtl/>
        </w:rPr>
        <w:t xml:space="preserve">. </w:t>
      </w:r>
    </w:p>
    <w:p w:rsidR="008A3F20" w:rsidRPr="006571AC" w:rsidRDefault="008A3F20" w:rsidP="001C0188">
      <w:pPr>
        <w:spacing w:line="440" w:lineRule="exact"/>
        <w:rPr>
          <w:sz w:val="27"/>
          <w:rtl/>
        </w:rPr>
      </w:pPr>
    </w:p>
    <w:p w:rsidR="008A3F20" w:rsidRPr="006571AC" w:rsidRDefault="008A3F20" w:rsidP="00237DFE">
      <w:pPr>
        <w:pStyle w:val="31"/>
        <w:rPr>
          <w:color w:val="auto"/>
          <w:sz w:val="26"/>
          <w:rtl/>
        </w:rPr>
      </w:pPr>
      <w:bookmarkStart w:id="485" w:name="_Toc171512712"/>
      <w:bookmarkStart w:id="486" w:name="_Toc114164878"/>
      <w:r w:rsidRPr="006571AC">
        <w:rPr>
          <w:rFonts w:hint="cs"/>
          <w:color w:val="auto"/>
          <w:sz w:val="26"/>
          <w:rtl/>
        </w:rPr>
        <w:t>5ـ الاكتفاء بذكر بعض السند</w:t>
      </w:r>
      <w:bookmarkEnd w:id="485"/>
      <w:bookmarkEnd w:id="486"/>
      <w:r w:rsidRPr="006571AC">
        <w:rPr>
          <w:rFonts w:hint="cs"/>
          <w:color w:val="auto"/>
          <w:sz w:val="26"/>
          <w:rtl/>
        </w:rPr>
        <w:t xml:space="preserve"> </w:t>
      </w:r>
    </w:p>
    <w:p w:rsidR="008A3F20" w:rsidRPr="006571AC" w:rsidRDefault="008A3F20" w:rsidP="00237DFE">
      <w:pPr>
        <w:pStyle w:val="31"/>
        <w:rPr>
          <w:color w:val="auto"/>
          <w:sz w:val="26"/>
          <w:rtl/>
        </w:rPr>
      </w:pPr>
      <w:bookmarkStart w:id="487" w:name="_Toc171512713"/>
      <w:bookmarkStart w:id="488" w:name="_Toc114164879"/>
      <w:r w:rsidRPr="006571AC">
        <w:rPr>
          <w:rFonts w:hint="cs"/>
          <w:color w:val="auto"/>
          <w:sz w:val="26"/>
          <w:rtl/>
        </w:rPr>
        <w:t>حذف آخر السند بدون أيّ إشار</w:t>
      </w:r>
      <w:bookmarkEnd w:id="487"/>
      <w:r w:rsidR="00C0406B" w:rsidRPr="006571AC">
        <w:rPr>
          <w:rFonts w:hint="cs"/>
          <w:color w:val="auto"/>
          <w:sz w:val="26"/>
          <w:rtl/>
        </w:rPr>
        <w:t>ةٍ</w:t>
      </w:r>
      <w:bookmarkEnd w:id="488"/>
    </w:p>
    <w:p w:rsidR="008A3F20" w:rsidRPr="006571AC" w:rsidRDefault="008A3F20" w:rsidP="000C6F2A">
      <w:pPr>
        <w:rPr>
          <w:sz w:val="27"/>
          <w:rtl/>
        </w:rPr>
      </w:pPr>
      <w:r w:rsidRPr="006571AC">
        <w:rPr>
          <w:rFonts w:hint="cs"/>
          <w:sz w:val="27"/>
          <w:rtl/>
        </w:rPr>
        <w:t>في نقله للحديث من مصدره يعمد الشيخ الحُرّ</w:t>
      </w:r>
      <w:r w:rsidRPr="006571AC">
        <w:rPr>
          <w:rFonts w:ascii="Mosawi" w:hAnsi="Mosawi" w:cs="Mosawi"/>
          <w:sz w:val="22"/>
          <w:szCs w:val="22"/>
          <w:rtl/>
        </w:rPr>
        <w:t>&amp;</w:t>
      </w:r>
      <w:r w:rsidRPr="006571AC">
        <w:rPr>
          <w:rFonts w:hint="cs"/>
          <w:sz w:val="27"/>
          <w:rtl/>
        </w:rPr>
        <w:t xml:space="preserve"> إلى ذكر سنده أوّلاً، ثمّ ينقل متن الحديث، </w:t>
      </w:r>
      <w:r w:rsidRPr="006571AC">
        <w:rPr>
          <w:rFonts w:hint="cs"/>
          <w:b/>
          <w:bCs/>
          <w:sz w:val="27"/>
          <w:rtl/>
        </w:rPr>
        <w:t>فإذا أراد أن ينقل الحديث من مصدر</w:t>
      </w:r>
      <w:r w:rsidR="00C0406B" w:rsidRPr="006571AC">
        <w:rPr>
          <w:rFonts w:hint="cs"/>
          <w:b/>
          <w:bCs/>
          <w:sz w:val="27"/>
          <w:rtl/>
        </w:rPr>
        <w:t>ٍ</w:t>
      </w:r>
      <w:r w:rsidRPr="006571AC">
        <w:rPr>
          <w:rFonts w:hint="cs"/>
          <w:b/>
          <w:bCs/>
          <w:sz w:val="27"/>
          <w:rtl/>
        </w:rPr>
        <w:t xml:space="preserve"> آخر غير المصدر الأوّل اكتفى بذكر السند إلى حيث يشترك مع سنده في المصدر الأوّل</w:t>
      </w:r>
      <w:r w:rsidRPr="006571AC">
        <w:rPr>
          <w:rFonts w:hint="cs"/>
          <w:sz w:val="27"/>
          <w:rtl/>
        </w:rPr>
        <w:t xml:space="preserve">، فيفهم القارئ أنّ ما بعد المذكور من السند الثاني هو نفس المذكور في السند الأوّل، ومن ذلك: </w:t>
      </w:r>
    </w:p>
    <w:p w:rsidR="008A3F20" w:rsidRPr="006571AC" w:rsidRDefault="008A3F20" w:rsidP="000C6F2A">
      <w:pPr>
        <w:rPr>
          <w:sz w:val="27"/>
        </w:rPr>
      </w:pPr>
      <w:r w:rsidRPr="006571AC">
        <w:rPr>
          <w:rFonts w:hint="cs"/>
          <w:sz w:val="27"/>
          <w:rtl/>
        </w:rPr>
        <w:t xml:space="preserve">* ما في الباب 11 من أبواب التيمّم، ح 3، حيث قال: </w:t>
      </w:r>
      <w:r w:rsidRPr="006571AC">
        <w:rPr>
          <w:rFonts w:hint="cs"/>
          <w:sz w:val="24"/>
          <w:szCs w:val="24"/>
          <w:rtl/>
        </w:rPr>
        <w:t>«</w:t>
      </w:r>
      <w:r w:rsidRPr="006571AC">
        <w:rPr>
          <w:sz w:val="27"/>
          <w:rtl/>
        </w:rPr>
        <w:t>وعنه</w:t>
      </w:r>
      <w:r w:rsidRPr="006571AC">
        <w:rPr>
          <w:rFonts w:hint="cs"/>
          <w:sz w:val="27"/>
          <w:rtl/>
        </w:rPr>
        <w:t xml:space="preserve"> [محمّد بن يعقوب، عن عليّ بن إبراهيم]</w:t>
      </w:r>
      <w:r w:rsidRPr="006571AC">
        <w:rPr>
          <w:sz w:val="27"/>
          <w:rtl/>
        </w:rPr>
        <w:t>، عن أبيه، وعن علي</w:t>
      </w:r>
      <w:r w:rsidRPr="006571AC">
        <w:rPr>
          <w:rFonts w:hint="cs"/>
          <w:sz w:val="27"/>
          <w:rtl/>
        </w:rPr>
        <w:t>ّ</w:t>
      </w:r>
      <w:r w:rsidRPr="006571AC">
        <w:rPr>
          <w:sz w:val="27"/>
          <w:rtl/>
        </w:rPr>
        <w:t xml:space="preserve"> بن محم</w:t>
      </w:r>
      <w:r w:rsidRPr="006571AC">
        <w:rPr>
          <w:rFonts w:hint="cs"/>
          <w:sz w:val="27"/>
          <w:rtl/>
        </w:rPr>
        <w:t>ّ</w:t>
      </w:r>
      <w:r w:rsidRPr="006571AC">
        <w:rPr>
          <w:sz w:val="27"/>
          <w:rtl/>
        </w:rPr>
        <w:t>د، عن سهل بن زياد</w:t>
      </w:r>
      <w:r w:rsidR="002058BF" w:rsidRPr="006571AC">
        <w:rPr>
          <w:rFonts w:hint="cs"/>
          <w:sz w:val="27"/>
          <w:rtl/>
        </w:rPr>
        <w:t>،</w:t>
      </w:r>
      <w:r w:rsidRPr="006571AC">
        <w:rPr>
          <w:sz w:val="27"/>
          <w:rtl/>
        </w:rPr>
        <w:t xml:space="preserve"> جميعا</w:t>
      </w:r>
      <w:r w:rsidRPr="006571AC">
        <w:rPr>
          <w:rFonts w:hint="cs"/>
          <w:sz w:val="27"/>
          <w:rtl/>
        </w:rPr>
        <w:t>ً</w:t>
      </w:r>
      <w:r w:rsidRPr="006571AC">
        <w:rPr>
          <w:sz w:val="27"/>
          <w:rtl/>
        </w:rPr>
        <w:t>، عن أحمد بن محم</w:t>
      </w:r>
      <w:r w:rsidRPr="006571AC">
        <w:rPr>
          <w:rFonts w:hint="cs"/>
          <w:sz w:val="27"/>
          <w:rtl/>
        </w:rPr>
        <w:t>ّ</w:t>
      </w:r>
      <w:r w:rsidRPr="006571AC">
        <w:rPr>
          <w:sz w:val="27"/>
          <w:rtl/>
        </w:rPr>
        <w:t>د بن أبي نصر، عن ابن بكير، عن زرارة قال:</w:t>
      </w:r>
      <w:r w:rsidRPr="006571AC">
        <w:rPr>
          <w:rFonts w:hint="cs"/>
          <w:sz w:val="27"/>
          <w:rtl/>
        </w:rPr>
        <w:t xml:space="preserve"> سألتُ أبا جعفر</w:t>
      </w:r>
      <w:r w:rsidRPr="006571AC">
        <w:rPr>
          <w:rFonts w:ascii="Mosawi" w:hAnsi="Mosawi" w:cs="Mosawi"/>
          <w:sz w:val="22"/>
          <w:szCs w:val="22"/>
          <w:rtl/>
        </w:rPr>
        <w:t>×</w:t>
      </w:r>
      <w:r w:rsidRPr="006571AC">
        <w:rPr>
          <w:rFonts w:hint="cs"/>
          <w:sz w:val="27"/>
          <w:rtl/>
        </w:rPr>
        <w:t xml:space="preserve"> عن التيمّ</w:t>
      </w:r>
      <w:r w:rsidR="00C0406B" w:rsidRPr="006571AC">
        <w:rPr>
          <w:rFonts w:hint="cs"/>
          <w:sz w:val="27"/>
          <w:rtl/>
        </w:rPr>
        <w:t>ُ</w:t>
      </w:r>
      <w:r w:rsidRPr="006571AC">
        <w:rPr>
          <w:rFonts w:hint="cs"/>
          <w:sz w:val="27"/>
          <w:rtl/>
        </w:rPr>
        <w:t>م....</w:t>
      </w:r>
    </w:p>
    <w:p w:rsidR="008A3F20" w:rsidRPr="006571AC" w:rsidRDefault="008A3F20" w:rsidP="000C6F2A">
      <w:pPr>
        <w:rPr>
          <w:sz w:val="27"/>
          <w:rtl/>
        </w:rPr>
      </w:pPr>
      <w:r w:rsidRPr="006571AC">
        <w:rPr>
          <w:b/>
          <w:bCs/>
          <w:sz w:val="27"/>
          <w:rtl/>
        </w:rPr>
        <w:t>ورواه الشيخ بإسناده عن محم</w:t>
      </w:r>
      <w:r w:rsidRPr="006571AC">
        <w:rPr>
          <w:rFonts w:hint="cs"/>
          <w:b/>
          <w:bCs/>
          <w:sz w:val="27"/>
          <w:rtl/>
        </w:rPr>
        <w:t>ّ</w:t>
      </w:r>
      <w:r w:rsidRPr="006571AC">
        <w:rPr>
          <w:b/>
          <w:bCs/>
          <w:sz w:val="27"/>
          <w:rtl/>
        </w:rPr>
        <w:t>د بن يعقوب</w:t>
      </w:r>
      <w:r w:rsidRPr="006571AC">
        <w:rPr>
          <w:rFonts w:hint="cs"/>
          <w:sz w:val="24"/>
          <w:szCs w:val="24"/>
          <w:rtl/>
        </w:rPr>
        <w:t>»</w:t>
      </w:r>
      <w:r w:rsidRPr="006571AC">
        <w:rPr>
          <w:sz w:val="27"/>
          <w:vertAlign w:val="superscript"/>
          <w:rtl/>
        </w:rPr>
        <w:t>(</w:t>
      </w:r>
      <w:r w:rsidRPr="006571AC">
        <w:rPr>
          <w:rStyle w:val="ac"/>
          <w:sz w:val="27"/>
          <w:rtl/>
        </w:rPr>
        <w:endnoteReference w:id="796"/>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وهُنا يُدرك القارئ أنّ الشيخ رواه بإسناده عن محمّد بن يعقوب، عن عليّ بن إبراهيم، عن أبيه...إلى آخر الحديث الذي ذ</w:t>
      </w:r>
      <w:r w:rsidR="00C0406B" w:rsidRPr="006571AC">
        <w:rPr>
          <w:rFonts w:hint="cs"/>
          <w:sz w:val="27"/>
          <w:rtl/>
        </w:rPr>
        <w:t>َ</w:t>
      </w:r>
      <w:r w:rsidRPr="006571AC">
        <w:rPr>
          <w:rFonts w:hint="cs"/>
          <w:sz w:val="27"/>
          <w:rtl/>
        </w:rPr>
        <w:t>ك</w:t>
      </w:r>
      <w:r w:rsidR="00C0406B" w:rsidRPr="006571AC">
        <w:rPr>
          <w:rFonts w:hint="cs"/>
          <w:sz w:val="27"/>
          <w:rtl/>
        </w:rPr>
        <w:t>َ</w:t>
      </w:r>
      <w:r w:rsidRPr="006571AC">
        <w:rPr>
          <w:rFonts w:hint="cs"/>
          <w:sz w:val="27"/>
          <w:rtl/>
        </w:rPr>
        <w:t>ره أوّلاً.</w:t>
      </w:r>
    </w:p>
    <w:p w:rsidR="008A3F20" w:rsidRPr="006571AC" w:rsidRDefault="008A3F20" w:rsidP="001C0188">
      <w:pPr>
        <w:spacing w:line="440" w:lineRule="exact"/>
        <w:rPr>
          <w:sz w:val="27"/>
          <w:rtl/>
        </w:rPr>
      </w:pPr>
    </w:p>
    <w:p w:rsidR="008A3F20" w:rsidRPr="006571AC" w:rsidRDefault="008A3F20" w:rsidP="00237DFE">
      <w:pPr>
        <w:pStyle w:val="31"/>
        <w:rPr>
          <w:color w:val="auto"/>
          <w:sz w:val="26"/>
          <w:rtl/>
        </w:rPr>
      </w:pPr>
      <w:bookmarkStart w:id="489" w:name="_Toc171512714"/>
      <w:bookmarkStart w:id="490" w:name="_Toc114164880"/>
      <w:r w:rsidRPr="006571AC">
        <w:rPr>
          <w:rFonts w:hint="cs"/>
          <w:color w:val="auto"/>
          <w:sz w:val="26"/>
          <w:rtl/>
        </w:rPr>
        <w:t>حذف آخر السند مع الإشارة</w:t>
      </w:r>
      <w:bookmarkEnd w:id="489"/>
      <w:bookmarkEnd w:id="490"/>
      <w:r w:rsidRPr="006571AC">
        <w:rPr>
          <w:rFonts w:hint="cs"/>
          <w:color w:val="auto"/>
          <w:sz w:val="26"/>
          <w:rtl/>
        </w:rPr>
        <w:t xml:space="preserve"> </w:t>
      </w:r>
    </w:p>
    <w:p w:rsidR="008A3F20" w:rsidRPr="006571AC" w:rsidRDefault="008A3F20" w:rsidP="000C6F2A">
      <w:pPr>
        <w:rPr>
          <w:sz w:val="27"/>
          <w:rtl/>
        </w:rPr>
      </w:pPr>
      <w:r w:rsidRPr="006571AC">
        <w:rPr>
          <w:rFonts w:hint="cs"/>
          <w:b/>
          <w:bCs/>
          <w:sz w:val="27"/>
          <w:rtl/>
        </w:rPr>
        <w:t xml:space="preserve">ويشير ـ أحياناً ـ إلى أنّه ترك ذكر باقي السند بقوله في آخر كلامه: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sz w:val="27"/>
          <w:rtl/>
        </w:rPr>
        <w:t xml:space="preserve">، ومن ذلك: </w:t>
      </w:r>
    </w:p>
    <w:p w:rsidR="008A3F20" w:rsidRPr="006571AC" w:rsidRDefault="008A3F20" w:rsidP="000C6F2A">
      <w:pPr>
        <w:rPr>
          <w:sz w:val="27"/>
          <w:rtl/>
        </w:rPr>
      </w:pPr>
      <w:r w:rsidRPr="006571AC">
        <w:rPr>
          <w:rFonts w:hint="cs"/>
          <w:sz w:val="27"/>
          <w:rtl/>
        </w:rPr>
        <w:t xml:space="preserve">* ما في الباب 1 من أبواب مقدّمة العبادات، ح 3، حيث قال: </w:t>
      </w:r>
      <w:r w:rsidRPr="006571AC">
        <w:rPr>
          <w:rFonts w:hint="cs"/>
          <w:sz w:val="24"/>
          <w:szCs w:val="24"/>
          <w:rtl/>
        </w:rPr>
        <w:t>«</w:t>
      </w:r>
      <w:r w:rsidRPr="006571AC">
        <w:rPr>
          <w:sz w:val="27"/>
          <w:rtl/>
        </w:rPr>
        <w:t>و</w:t>
      </w:r>
      <w:r w:rsidRPr="006571AC">
        <w:rPr>
          <w:rFonts w:hint="cs"/>
          <w:sz w:val="27"/>
          <w:rtl/>
        </w:rPr>
        <w:t xml:space="preserve">[محمّد بن يعقوب] </w:t>
      </w:r>
      <w:r w:rsidRPr="006571AC">
        <w:rPr>
          <w:sz w:val="27"/>
          <w:rtl/>
        </w:rPr>
        <w:t>عن 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عن علي</w:t>
      </w:r>
      <w:r w:rsidRPr="006571AC">
        <w:rPr>
          <w:rFonts w:hint="cs"/>
          <w:sz w:val="27"/>
          <w:rtl/>
        </w:rPr>
        <w:t>ّ</w:t>
      </w:r>
      <w:r w:rsidRPr="006571AC">
        <w:rPr>
          <w:sz w:val="27"/>
          <w:rtl/>
        </w:rPr>
        <w:t xml:space="preserve"> بن النعمان، عن </w:t>
      </w:r>
      <w:r w:rsidRPr="006571AC">
        <w:rPr>
          <w:rFonts w:hint="cs"/>
          <w:sz w:val="27"/>
          <w:rtl/>
        </w:rPr>
        <w:t>ا</w:t>
      </w:r>
      <w:r w:rsidRPr="006571AC">
        <w:rPr>
          <w:sz w:val="27"/>
          <w:rtl/>
        </w:rPr>
        <w:t>بن مسكان، عن سليمان بن خالد</w:t>
      </w:r>
      <w:r w:rsidRPr="006571AC">
        <w:rPr>
          <w:rFonts w:hint="cs"/>
          <w:sz w:val="27"/>
          <w:rtl/>
        </w:rPr>
        <w:t>،</w:t>
      </w:r>
      <w:r w:rsidRPr="006571AC">
        <w:rPr>
          <w:sz w:val="27"/>
          <w:rtl/>
        </w:rPr>
        <w:t xml:space="preserve"> عن أبي جعفر</w:t>
      </w:r>
      <w:r w:rsidRPr="006571AC">
        <w:rPr>
          <w:rFonts w:ascii="Mosawi" w:hAnsi="Mosawi" w:cs="Mosawi"/>
          <w:sz w:val="22"/>
          <w:szCs w:val="22"/>
          <w:rtl/>
        </w:rPr>
        <w:t>×</w:t>
      </w:r>
      <w:r w:rsidRPr="006571AC">
        <w:rPr>
          <w:sz w:val="27"/>
          <w:rtl/>
        </w:rPr>
        <w:t xml:space="preserve"> قال:</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lastRenderedPageBreak/>
        <w:t xml:space="preserve">ورواه الحسين بن سعيد في كتاب </w:t>
      </w:r>
      <w:r w:rsidRPr="006571AC">
        <w:rPr>
          <w:rFonts w:hint="cs"/>
          <w:sz w:val="24"/>
          <w:szCs w:val="24"/>
          <w:rtl/>
        </w:rPr>
        <w:t>«</w:t>
      </w:r>
      <w:r w:rsidRPr="006571AC">
        <w:rPr>
          <w:sz w:val="27"/>
          <w:rtl/>
        </w:rPr>
        <w:t>الزهد</w:t>
      </w:r>
      <w:r w:rsidRPr="006571AC">
        <w:rPr>
          <w:rFonts w:hint="cs"/>
          <w:sz w:val="24"/>
          <w:szCs w:val="24"/>
          <w:rtl/>
        </w:rPr>
        <w:t>»</w:t>
      </w:r>
      <w:r w:rsidRPr="006571AC">
        <w:rPr>
          <w:rFonts w:hint="cs"/>
          <w:sz w:val="27"/>
          <w:rtl/>
        </w:rPr>
        <w:t xml:space="preserve">، </w:t>
      </w:r>
      <w:r w:rsidRPr="006571AC">
        <w:rPr>
          <w:sz w:val="27"/>
          <w:rtl/>
        </w:rPr>
        <w:t>عن علي</w:t>
      </w:r>
      <w:r w:rsidRPr="006571AC">
        <w:rPr>
          <w:rFonts w:hint="cs"/>
          <w:sz w:val="27"/>
          <w:rtl/>
        </w:rPr>
        <w:t>ّ</w:t>
      </w:r>
      <w:r w:rsidRPr="006571AC">
        <w:rPr>
          <w:sz w:val="27"/>
          <w:rtl/>
        </w:rPr>
        <w:t xml:space="preserve"> بن النعمان</w:t>
      </w:r>
      <w:r w:rsidRPr="006571AC">
        <w:rPr>
          <w:rFonts w:hint="cs"/>
          <w:sz w:val="27"/>
          <w:rtl/>
        </w:rPr>
        <w:t>،</w:t>
      </w:r>
      <w:r w:rsidRPr="006571AC">
        <w:rPr>
          <w:sz w:val="27"/>
          <w:rtl/>
        </w:rPr>
        <w:t xml:space="preserve"> </w:t>
      </w:r>
      <w:r w:rsidRPr="006571AC">
        <w:rPr>
          <w:b/>
          <w:bCs/>
          <w:sz w:val="27"/>
          <w:rtl/>
        </w:rPr>
        <w:t>مثله</w:t>
      </w:r>
      <w:r w:rsidRPr="006571AC">
        <w:rPr>
          <w:sz w:val="27"/>
          <w:rtl/>
        </w:rPr>
        <w:t>، إلى قوله الجهاد</w:t>
      </w:r>
      <w:r w:rsidRPr="006571AC">
        <w:rPr>
          <w:rFonts w:hint="cs"/>
          <w:sz w:val="24"/>
          <w:szCs w:val="24"/>
          <w:rtl/>
        </w:rPr>
        <w:t>»</w:t>
      </w:r>
      <w:r w:rsidRPr="006571AC">
        <w:rPr>
          <w:sz w:val="27"/>
          <w:vertAlign w:val="superscript"/>
          <w:rtl/>
        </w:rPr>
        <w:t>(</w:t>
      </w:r>
      <w:r w:rsidRPr="006571AC">
        <w:rPr>
          <w:rStyle w:val="ac"/>
          <w:sz w:val="27"/>
          <w:rtl/>
        </w:rPr>
        <w:endnoteReference w:id="797"/>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وقد أشار لهذا الأمر السيّد البروجرديّ</w:t>
      </w:r>
      <w:r w:rsidRPr="006571AC">
        <w:rPr>
          <w:rFonts w:ascii="Mosawi" w:hAnsi="Mosawi" w:cs="Mosawi"/>
          <w:sz w:val="22"/>
          <w:szCs w:val="22"/>
          <w:rtl/>
        </w:rPr>
        <w:t>&amp;</w:t>
      </w:r>
      <w:r w:rsidRPr="006571AC">
        <w:rPr>
          <w:rFonts w:hint="cs"/>
          <w:sz w:val="27"/>
          <w:rtl/>
        </w:rPr>
        <w:t xml:space="preserve"> بقوله: </w:t>
      </w:r>
      <w:r w:rsidRPr="006571AC">
        <w:rPr>
          <w:rFonts w:hint="cs"/>
          <w:sz w:val="24"/>
          <w:szCs w:val="24"/>
          <w:rtl/>
        </w:rPr>
        <w:t>«</w:t>
      </w:r>
      <w:r w:rsidRPr="006571AC">
        <w:rPr>
          <w:rFonts w:hint="cs"/>
          <w:sz w:val="27"/>
          <w:rtl/>
        </w:rPr>
        <w:t>ومع ذلك كلّه لا يخلو عن تكرار الأبواب، والأحاديث، وتقطيع الأخبار، والأسانيد</w:t>
      </w:r>
      <w:r w:rsidRPr="006571AC">
        <w:rPr>
          <w:rFonts w:hint="cs"/>
          <w:sz w:val="24"/>
          <w:szCs w:val="24"/>
          <w:rtl/>
        </w:rPr>
        <w:t>»</w:t>
      </w:r>
      <w:r w:rsidRPr="006571AC">
        <w:rPr>
          <w:sz w:val="27"/>
          <w:vertAlign w:val="superscript"/>
          <w:rtl/>
        </w:rPr>
        <w:t>(</w:t>
      </w:r>
      <w:r w:rsidRPr="006571AC">
        <w:rPr>
          <w:rStyle w:val="ac"/>
          <w:sz w:val="27"/>
          <w:rtl/>
        </w:rPr>
        <w:endnoteReference w:id="798"/>
      </w:r>
      <w:r w:rsidRPr="006571AC">
        <w:rPr>
          <w:sz w:val="27"/>
          <w:vertAlign w:val="superscript"/>
          <w:rtl/>
        </w:rPr>
        <w:t>)</w:t>
      </w:r>
      <w:r w:rsidRPr="006571AC">
        <w:rPr>
          <w:rFonts w:hint="cs"/>
          <w:sz w:val="27"/>
          <w:rtl/>
        </w:rPr>
        <w:t>.</w:t>
      </w:r>
    </w:p>
    <w:p w:rsidR="008A3F20" w:rsidRPr="006571AC" w:rsidRDefault="008A3F20" w:rsidP="001C0188">
      <w:pPr>
        <w:spacing w:line="420" w:lineRule="exact"/>
        <w:rPr>
          <w:sz w:val="27"/>
          <w:rtl/>
        </w:rPr>
      </w:pPr>
    </w:p>
    <w:p w:rsidR="008A3F20" w:rsidRPr="006571AC" w:rsidRDefault="008A3F20" w:rsidP="00237DFE">
      <w:pPr>
        <w:pStyle w:val="31"/>
        <w:rPr>
          <w:color w:val="auto"/>
          <w:sz w:val="26"/>
          <w:rtl/>
        </w:rPr>
      </w:pPr>
      <w:bookmarkStart w:id="491" w:name="_Toc171512715"/>
      <w:bookmarkStart w:id="492" w:name="_Toc114164881"/>
      <w:r w:rsidRPr="006571AC">
        <w:rPr>
          <w:rFonts w:hint="cs"/>
          <w:color w:val="auto"/>
          <w:sz w:val="26"/>
          <w:rtl/>
        </w:rPr>
        <w:t>حذف أوّل السند مع الإشارة</w:t>
      </w:r>
      <w:bookmarkEnd w:id="491"/>
      <w:bookmarkEnd w:id="492"/>
    </w:p>
    <w:p w:rsidR="008A3F20" w:rsidRPr="006571AC" w:rsidRDefault="008A3F20" w:rsidP="000C6F2A">
      <w:pPr>
        <w:rPr>
          <w:sz w:val="27"/>
          <w:rtl/>
        </w:rPr>
      </w:pPr>
      <w:r w:rsidRPr="006571AC">
        <w:rPr>
          <w:rFonts w:hint="cs"/>
          <w:b/>
          <w:bCs/>
          <w:sz w:val="27"/>
          <w:rtl/>
        </w:rPr>
        <w:t>وقد يحذف الشيخ الحُرّ</w:t>
      </w:r>
      <w:r w:rsidRPr="006571AC">
        <w:rPr>
          <w:rFonts w:ascii="Mosawi" w:hAnsi="Mosawi" w:cs="Mosawi"/>
          <w:b/>
          <w:bCs/>
          <w:sz w:val="22"/>
          <w:szCs w:val="22"/>
          <w:rtl/>
        </w:rPr>
        <w:t>&amp;</w:t>
      </w:r>
      <w:r w:rsidRPr="006571AC">
        <w:rPr>
          <w:rFonts w:hint="cs"/>
          <w:b/>
          <w:bCs/>
          <w:sz w:val="27"/>
          <w:rtl/>
        </w:rPr>
        <w:t xml:space="preserve"> أوّل السند، مشيراً لذلك بقوله: </w:t>
      </w:r>
      <w:r w:rsidRPr="006571AC">
        <w:rPr>
          <w:rFonts w:hint="cs"/>
          <w:b/>
          <w:bCs/>
          <w:sz w:val="24"/>
          <w:szCs w:val="24"/>
          <w:rtl/>
        </w:rPr>
        <w:t>«</w:t>
      </w:r>
      <w:r w:rsidRPr="006571AC">
        <w:rPr>
          <w:rFonts w:hint="cs"/>
          <w:b/>
          <w:bCs/>
          <w:sz w:val="27"/>
          <w:rtl/>
        </w:rPr>
        <w:t>بإسناده</w:t>
      </w:r>
      <w:r w:rsidRPr="006571AC">
        <w:rPr>
          <w:rFonts w:hint="cs"/>
          <w:b/>
          <w:bCs/>
          <w:sz w:val="24"/>
          <w:szCs w:val="24"/>
          <w:rtl/>
        </w:rPr>
        <w:t>»</w:t>
      </w:r>
      <w:r w:rsidRPr="006571AC">
        <w:rPr>
          <w:rFonts w:hint="cs"/>
          <w:sz w:val="27"/>
          <w:rtl/>
        </w:rPr>
        <w:t xml:space="preserve">، ومن ذلك: </w:t>
      </w:r>
    </w:p>
    <w:p w:rsidR="008A3F20" w:rsidRPr="006571AC" w:rsidRDefault="008A3F20" w:rsidP="002058BF">
      <w:pPr>
        <w:rPr>
          <w:sz w:val="27"/>
          <w:rtl/>
        </w:rPr>
      </w:pPr>
      <w:r w:rsidRPr="006571AC">
        <w:rPr>
          <w:rFonts w:hint="cs"/>
          <w:sz w:val="27"/>
          <w:rtl/>
        </w:rPr>
        <w:t xml:space="preserve">* ما في الباب 15 من أبواب الوضوء، ح 3، حيث قال: </w:t>
      </w:r>
      <w:r w:rsidRPr="006571AC">
        <w:rPr>
          <w:rFonts w:hint="cs"/>
          <w:sz w:val="24"/>
          <w:szCs w:val="24"/>
          <w:rtl/>
        </w:rPr>
        <w:t>«</w:t>
      </w:r>
      <w:r w:rsidRPr="006571AC">
        <w:rPr>
          <w:sz w:val="27"/>
          <w:rtl/>
        </w:rPr>
        <w:t>و</w:t>
      </w:r>
      <w:r w:rsidRPr="006571AC">
        <w:rPr>
          <w:rFonts w:hint="cs"/>
          <w:sz w:val="27"/>
          <w:rtl/>
        </w:rPr>
        <w:t xml:space="preserve">[محمّد بن يعقوب] </w:t>
      </w:r>
      <w:r w:rsidRPr="006571AC">
        <w:rPr>
          <w:sz w:val="27"/>
          <w:rtl/>
        </w:rPr>
        <w:t>عن علي</w:t>
      </w:r>
      <w:r w:rsidRPr="006571AC">
        <w:rPr>
          <w:rFonts w:hint="cs"/>
          <w:sz w:val="27"/>
          <w:rtl/>
        </w:rPr>
        <w:t>ّ</w:t>
      </w:r>
      <w:r w:rsidRPr="006571AC">
        <w:rPr>
          <w:sz w:val="27"/>
          <w:rtl/>
        </w:rPr>
        <w:t xml:space="preserve"> بن إبراهيم، عن أبيه، عن ابن أبي عمير، عن عمر بن </w:t>
      </w:r>
      <w:r w:rsidRPr="006571AC">
        <w:rPr>
          <w:rFonts w:hint="cs"/>
          <w:sz w:val="27"/>
          <w:rtl/>
        </w:rPr>
        <w:t>أ</w:t>
      </w:r>
      <w:r w:rsidRPr="006571AC">
        <w:rPr>
          <w:sz w:val="27"/>
          <w:rtl/>
        </w:rPr>
        <w:t>ذينة، عن زرارة وبكير</w:t>
      </w:r>
      <w:r w:rsidR="002058BF" w:rsidRPr="006571AC">
        <w:rPr>
          <w:rFonts w:hint="cs"/>
          <w:sz w:val="27"/>
          <w:rtl/>
        </w:rPr>
        <w:t>،</w:t>
      </w:r>
      <w:r w:rsidRPr="006571AC">
        <w:rPr>
          <w:sz w:val="27"/>
          <w:rtl/>
        </w:rPr>
        <w:t xml:space="preserve"> أن</w:t>
      </w:r>
      <w:r w:rsidRPr="006571AC">
        <w:rPr>
          <w:rFonts w:hint="cs"/>
          <w:sz w:val="27"/>
          <w:rtl/>
        </w:rPr>
        <w:t>ّ</w:t>
      </w:r>
      <w:r w:rsidRPr="006571AC">
        <w:rPr>
          <w:sz w:val="27"/>
          <w:rtl/>
        </w:rPr>
        <w:t>هما سألا أبا جعفر</w:t>
      </w:r>
      <w:r w:rsidRPr="006571AC">
        <w:rPr>
          <w:rFonts w:ascii="Mosawi" w:hAnsi="Mosawi" w:cs="Mosawi"/>
          <w:sz w:val="22"/>
          <w:szCs w:val="22"/>
          <w:rtl/>
        </w:rPr>
        <w:t>×</w:t>
      </w:r>
      <w:r w:rsidRPr="006571AC">
        <w:rPr>
          <w:sz w:val="27"/>
          <w:rtl/>
        </w:rPr>
        <w:t xml:space="preserve"> عن وضوء رسول الله</w:t>
      </w:r>
      <w:r w:rsidRPr="006571AC">
        <w:rPr>
          <w:rFonts w:ascii="Mosawi" w:hAnsi="Mosawi" w:cs="Mosawi"/>
          <w:sz w:val="22"/>
          <w:szCs w:val="22"/>
          <w:rtl/>
        </w:rPr>
        <w:t>|</w:t>
      </w:r>
      <w:r w:rsidRPr="006571AC">
        <w:rPr>
          <w:rFonts w:hint="cs"/>
          <w:sz w:val="27"/>
          <w:rtl/>
        </w:rPr>
        <w:t>....</w:t>
      </w:r>
    </w:p>
    <w:p w:rsidR="008A3F20" w:rsidRPr="006571AC" w:rsidRDefault="008A3F20" w:rsidP="000C6F2A">
      <w:pPr>
        <w:rPr>
          <w:sz w:val="27"/>
          <w:rtl/>
        </w:rPr>
      </w:pPr>
      <w:r w:rsidRPr="006571AC">
        <w:rPr>
          <w:b/>
          <w:bCs/>
          <w:sz w:val="27"/>
          <w:rtl/>
        </w:rPr>
        <w:t>ورواه الشيخ بإسناده عن الحسين بن سعيد</w:t>
      </w:r>
      <w:r w:rsidRPr="006571AC">
        <w:rPr>
          <w:sz w:val="27"/>
          <w:rtl/>
        </w:rPr>
        <w:t>، عن ابن أبي عمير</w:t>
      </w:r>
      <w:r w:rsidRPr="006571AC">
        <w:rPr>
          <w:rFonts w:hint="cs"/>
          <w:sz w:val="27"/>
          <w:rtl/>
        </w:rPr>
        <w:t>،</w:t>
      </w:r>
      <w:r w:rsidRPr="006571AC">
        <w:rPr>
          <w:sz w:val="27"/>
          <w:rtl/>
        </w:rPr>
        <w:t xml:space="preserve"> نحوه</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b/>
          <w:bCs/>
          <w:sz w:val="27"/>
          <w:rtl/>
        </w:rPr>
        <w:t>ورواه أيضا</w:t>
      </w:r>
      <w:r w:rsidRPr="006571AC">
        <w:rPr>
          <w:rFonts w:hint="cs"/>
          <w:b/>
          <w:bCs/>
          <w:sz w:val="27"/>
          <w:rtl/>
        </w:rPr>
        <w:t>ً</w:t>
      </w:r>
      <w:r w:rsidRPr="006571AC">
        <w:rPr>
          <w:b/>
          <w:bCs/>
          <w:sz w:val="27"/>
          <w:rtl/>
        </w:rPr>
        <w:t xml:space="preserve"> بإسناده عن محم</w:t>
      </w:r>
      <w:r w:rsidRPr="006571AC">
        <w:rPr>
          <w:rFonts w:hint="cs"/>
          <w:b/>
          <w:bCs/>
          <w:sz w:val="27"/>
          <w:rtl/>
        </w:rPr>
        <w:t>ّ</w:t>
      </w:r>
      <w:r w:rsidRPr="006571AC">
        <w:rPr>
          <w:b/>
          <w:bCs/>
          <w:sz w:val="27"/>
          <w:rtl/>
        </w:rPr>
        <w:t>د بن يعقوب</w:t>
      </w:r>
      <w:r w:rsidRPr="006571AC">
        <w:rPr>
          <w:rFonts w:hint="cs"/>
          <w:sz w:val="24"/>
          <w:szCs w:val="24"/>
          <w:rtl/>
        </w:rPr>
        <w:t>»</w:t>
      </w:r>
      <w:r w:rsidRPr="006571AC">
        <w:rPr>
          <w:sz w:val="27"/>
          <w:vertAlign w:val="superscript"/>
          <w:rtl/>
        </w:rPr>
        <w:t>(</w:t>
      </w:r>
      <w:r w:rsidRPr="006571AC">
        <w:rPr>
          <w:rStyle w:val="ac"/>
          <w:sz w:val="27"/>
          <w:rtl/>
        </w:rPr>
        <w:endnoteReference w:id="799"/>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وعلَّق الشيخ الربّانيّ في تحقيقه لكتاب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على هذا الحديث، بالقول: </w:t>
      </w:r>
      <w:r w:rsidRPr="006571AC">
        <w:rPr>
          <w:rFonts w:hint="cs"/>
          <w:sz w:val="24"/>
          <w:szCs w:val="24"/>
          <w:rtl/>
        </w:rPr>
        <w:t>«</w:t>
      </w:r>
      <w:r w:rsidRPr="006571AC">
        <w:rPr>
          <w:sz w:val="27"/>
          <w:rtl/>
        </w:rPr>
        <w:t>و</w:t>
      </w:r>
      <w:r w:rsidRPr="006571AC">
        <w:rPr>
          <w:rFonts w:hint="cs"/>
          <w:sz w:val="27"/>
          <w:rtl/>
        </w:rPr>
        <w:t>أ</w:t>
      </w:r>
      <w:r w:rsidRPr="006571AC">
        <w:rPr>
          <w:sz w:val="27"/>
          <w:rtl/>
        </w:rPr>
        <w:t xml:space="preserve">سقط صاحب </w:t>
      </w:r>
      <w:r w:rsidRPr="006571AC">
        <w:rPr>
          <w:rFonts w:hint="cs"/>
          <w:sz w:val="24"/>
          <w:szCs w:val="24"/>
          <w:rtl/>
        </w:rPr>
        <w:t>«</w:t>
      </w:r>
      <w:r w:rsidRPr="006571AC">
        <w:rPr>
          <w:sz w:val="27"/>
          <w:rtl/>
        </w:rPr>
        <w:t>الوسائل</w:t>
      </w:r>
      <w:r w:rsidRPr="006571AC">
        <w:rPr>
          <w:rFonts w:hint="cs"/>
          <w:sz w:val="24"/>
          <w:szCs w:val="24"/>
          <w:rtl/>
        </w:rPr>
        <w:t>»</w:t>
      </w:r>
      <w:r w:rsidRPr="006571AC">
        <w:rPr>
          <w:sz w:val="27"/>
          <w:rtl/>
        </w:rPr>
        <w:t xml:space="preserve"> من مبتد</w:t>
      </w:r>
      <w:r w:rsidRPr="006571AC">
        <w:rPr>
          <w:rFonts w:hint="cs"/>
          <w:sz w:val="27"/>
          <w:rtl/>
        </w:rPr>
        <w:t>أ</w:t>
      </w:r>
      <w:r w:rsidRPr="006571AC">
        <w:rPr>
          <w:sz w:val="27"/>
          <w:rtl/>
        </w:rPr>
        <w:t xml:space="preserve"> السند الثاني </w:t>
      </w:r>
      <w:r w:rsidRPr="006571AC">
        <w:rPr>
          <w:rFonts w:hint="cs"/>
          <w:sz w:val="27"/>
          <w:rtl/>
        </w:rPr>
        <w:t>[سند الشيخ الطوسيّ</w:t>
      </w:r>
      <w:r w:rsidRPr="006571AC">
        <w:rPr>
          <w:rFonts w:ascii="Mosawi" w:hAnsi="Mosawi" w:cs="Mosawi"/>
          <w:sz w:val="22"/>
          <w:szCs w:val="22"/>
          <w:rtl/>
        </w:rPr>
        <w:t>&amp;</w:t>
      </w:r>
      <w:r w:rsidRPr="006571AC">
        <w:rPr>
          <w:rFonts w:hint="cs"/>
          <w:sz w:val="27"/>
          <w:rtl/>
        </w:rPr>
        <w:t xml:space="preserve"> إلى الشيخ الكلينيّ</w:t>
      </w:r>
      <w:r w:rsidRPr="006571AC">
        <w:rPr>
          <w:rFonts w:ascii="Mosawi" w:hAnsi="Mosawi" w:cs="Mosawi"/>
          <w:sz w:val="22"/>
          <w:szCs w:val="22"/>
          <w:rtl/>
        </w:rPr>
        <w:t>&amp;</w:t>
      </w:r>
      <w:r w:rsidRPr="006571AC">
        <w:rPr>
          <w:rFonts w:hint="cs"/>
          <w:sz w:val="27"/>
          <w:rtl/>
        </w:rPr>
        <w:t xml:space="preserve">] </w:t>
      </w:r>
      <w:r w:rsidRPr="006571AC">
        <w:rPr>
          <w:sz w:val="27"/>
          <w:rtl/>
        </w:rPr>
        <w:t>الوسائط بين الشيخ ومحم</w:t>
      </w:r>
      <w:r w:rsidRPr="006571AC">
        <w:rPr>
          <w:rFonts w:hint="cs"/>
          <w:sz w:val="27"/>
          <w:rtl/>
        </w:rPr>
        <w:t>ّ</w:t>
      </w:r>
      <w:r w:rsidRPr="006571AC">
        <w:rPr>
          <w:sz w:val="27"/>
          <w:rtl/>
        </w:rPr>
        <w:t>د بن يعقوب</w:t>
      </w:r>
      <w:r w:rsidRPr="006571AC">
        <w:rPr>
          <w:rFonts w:hint="cs"/>
          <w:sz w:val="27"/>
          <w:rtl/>
        </w:rPr>
        <w:t>،</w:t>
      </w:r>
      <w:r w:rsidRPr="006571AC">
        <w:rPr>
          <w:sz w:val="27"/>
          <w:rtl/>
        </w:rPr>
        <w:t xml:space="preserve"> وهم</w:t>
      </w:r>
      <w:r w:rsidRPr="006571AC">
        <w:rPr>
          <w:rFonts w:hint="cs"/>
          <w:sz w:val="27"/>
          <w:rtl/>
        </w:rPr>
        <w:t>:</w:t>
      </w:r>
      <w:r w:rsidRPr="006571AC">
        <w:rPr>
          <w:sz w:val="27"/>
          <w:rtl/>
        </w:rPr>
        <w:t xml:space="preserve"> المفيد</w:t>
      </w:r>
      <w:r w:rsidRPr="006571AC">
        <w:rPr>
          <w:rFonts w:hint="cs"/>
          <w:sz w:val="27"/>
          <w:rtl/>
        </w:rPr>
        <w:t>،</w:t>
      </w:r>
      <w:r w:rsidRPr="006571AC">
        <w:rPr>
          <w:sz w:val="27"/>
          <w:rtl/>
        </w:rPr>
        <w:t xml:space="preserve"> عن جعفر بن محم</w:t>
      </w:r>
      <w:r w:rsidRPr="006571AC">
        <w:rPr>
          <w:rFonts w:hint="cs"/>
          <w:sz w:val="27"/>
          <w:rtl/>
        </w:rPr>
        <w:t>ّ</w:t>
      </w:r>
      <w:r w:rsidRPr="006571AC">
        <w:rPr>
          <w:sz w:val="27"/>
          <w:rtl/>
        </w:rPr>
        <w:t xml:space="preserve">د </w:t>
      </w:r>
      <w:r w:rsidRPr="006571AC">
        <w:rPr>
          <w:rFonts w:hint="cs"/>
          <w:sz w:val="27"/>
          <w:rtl/>
        </w:rPr>
        <w:t>ا</w:t>
      </w:r>
      <w:r w:rsidRPr="006571AC">
        <w:rPr>
          <w:sz w:val="27"/>
          <w:rtl/>
        </w:rPr>
        <w:t>بن قولويه</w:t>
      </w:r>
      <w:r w:rsidRPr="006571AC">
        <w:rPr>
          <w:sz w:val="27"/>
          <w:vertAlign w:val="superscript"/>
          <w:rtl/>
        </w:rPr>
        <w:t>(</w:t>
      </w:r>
      <w:r w:rsidRPr="006571AC">
        <w:rPr>
          <w:rStyle w:val="ac"/>
          <w:sz w:val="27"/>
          <w:rtl/>
        </w:rPr>
        <w:endnoteReference w:id="800"/>
      </w:r>
      <w:r w:rsidRPr="006571AC">
        <w:rPr>
          <w:sz w:val="27"/>
          <w:vertAlign w:val="superscript"/>
          <w:rtl/>
        </w:rPr>
        <w:t>)</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ومن مبتد</w:t>
      </w:r>
      <w:r w:rsidRPr="006571AC">
        <w:rPr>
          <w:rFonts w:hint="cs"/>
          <w:sz w:val="27"/>
          <w:rtl/>
        </w:rPr>
        <w:t>أ</w:t>
      </w:r>
      <w:r w:rsidRPr="006571AC">
        <w:rPr>
          <w:sz w:val="27"/>
          <w:rtl/>
        </w:rPr>
        <w:t xml:space="preserve"> السند ال</w:t>
      </w:r>
      <w:r w:rsidRPr="006571AC">
        <w:rPr>
          <w:rFonts w:hint="cs"/>
          <w:sz w:val="27"/>
          <w:rtl/>
        </w:rPr>
        <w:t>أ</w:t>
      </w:r>
      <w:r w:rsidRPr="006571AC">
        <w:rPr>
          <w:sz w:val="27"/>
          <w:rtl/>
        </w:rPr>
        <w:t>و</w:t>
      </w:r>
      <w:r w:rsidRPr="006571AC">
        <w:rPr>
          <w:rFonts w:hint="cs"/>
          <w:sz w:val="27"/>
          <w:rtl/>
        </w:rPr>
        <w:t>ّ</w:t>
      </w:r>
      <w:r w:rsidRPr="006571AC">
        <w:rPr>
          <w:sz w:val="27"/>
          <w:rtl/>
        </w:rPr>
        <w:t>ل</w:t>
      </w:r>
      <w:r w:rsidRPr="006571AC">
        <w:rPr>
          <w:rFonts w:hint="cs"/>
          <w:sz w:val="27"/>
          <w:rtl/>
        </w:rPr>
        <w:t xml:space="preserve"> [سند الشيخ إلى الحسين بن سعيد]:</w:t>
      </w:r>
      <w:r w:rsidRPr="006571AC">
        <w:rPr>
          <w:sz w:val="27"/>
          <w:rtl/>
        </w:rPr>
        <w:t xml:space="preserve"> المفيد</w:t>
      </w:r>
      <w:r w:rsidRPr="006571AC">
        <w:rPr>
          <w:rFonts w:hint="cs"/>
          <w:sz w:val="27"/>
          <w:rtl/>
        </w:rPr>
        <w:t>،</w:t>
      </w:r>
      <w:r w:rsidRPr="006571AC">
        <w:rPr>
          <w:sz w:val="27"/>
          <w:rtl/>
        </w:rPr>
        <w:t xml:space="preserve"> عن </w:t>
      </w:r>
      <w:r w:rsidRPr="006571AC">
        <w:rPr>
          <w:rFonts w:hint="cs"/>
          <w:sz w:val="27"/>
          <w:rtl/>
        </w:rPr>
        <w:t>أ</w:t>
      </w:r>
      <w:r w:rsidRPr="006571AC">
        <w:rPr>
          <w:sz w:val="27"/>
          <w:rtl/>
        </w:rPr>
        <w:t>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w:t>
      </w:r>
      <w:r w:rsidRPr="006571AC">
        <w:rPr>
          <w:rFonts w:hint="cs"/>
          <w:sz w:val="27"/>
          <w:rtl/>
        </w:rPr>
        <w:t>أ</w:t>
      </w:r>
      <w:r w:rsidRPr="006571AC">
        <w:rPr>
          <w:sz w:val="27"/>
          <w:rtl/>
        </w:rPr>
        <w:t>بيه</w:t>
      </w:r>
      <w:r w:rsidRPr="006571AC">
        <w:rPr>
          <w:rFonts w:hint="cs"/>
          <w:sz w:val="27"/>
          <w:rtl/>
        </w:rPr>
        <w:t>،</w:t>
      </w:r>
      <w:r w:rsidRPr="006571AC">
        <w:rPr>
          <w:sz w:val="27"/>
          <w:rtl/>
        </w:rPr>
        <w:t xml:space="preserve"> عن الحسين بن الحسن بن </w:t>
      </w:r>
      <w:r w:rsidRPr="006571AC">
        <w:rPr>
          <w:rFonts w:hint="cs"/>
          <w:sz w:val="27"/>
          <w:rtl/>
        </w:rPr>
        <w:t>أ</w:t>
      </w:r>
      <w:r w:rsidRPr="006571AC">
        <w:rPr>
          <w:sz w:val="27"/>
          <w:rtl/>
        </w:rPr>
        <w:t>بان</w:t>
      </w:r>
      <w:r w:rsidRPr="006571AC">
        <w:rPr>
          <w:sz w:val="27"/>
          <w:vertAlign w:val="superscript"/>
          <w:rtl/>
        </w:rPr>
        <w:t>(</w:t>
      </w:r>
      <w:r w:rsidRPr="006571AC">
        <w:rPr>
          <w:rStyle w:val="ac"/>
          <w:sz w:val="27"/>
          <w:rtl/>
        </w:rPr>
        <w:endnoteReference w:id="801"/>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sz w:val="27"/>
          <w:rtl/>
        </w:rPr>
        <w:t xml:space="preserve">وكذلك </w:t>
      </w:r>
      <w:r w:rsidRPr="006571AC">
        <w:rPr>
          <w:rFonts w:hint="cs"/>
          <w:sz w:val="27"/>
          <w:rtl/>
        </w:rPr>
        <w:t>أ</w:t>
      </w:r>
      <w:r w:rsidRPr="006571AC">
        <w:rPr>
          <w:sz w:val="27"/>
          <w:rtl/>
        </w:rPr>
        <w:t>سقط هؤلاء من ابتداء سند الحديث التاسع</w:t>
      </w:r>
      <w:r w:rsidRPr="006571AC">
        <w:rPr>
          <w:rFonts w:hint="cs"/>
          <w:sz w:val="27"/>
          <w:rtl/>
        </w:rPr>
        <w:t xml:space="preserve"> [وهو: </w:t>
      </w:r>
      <w:r w:rsidRPr="006571AC">
        <w:rPr>
          <w:rFonts w:hint="cs"/>
          <w:sz w:val="24"/>
          <w:szCs w:val="24"/>
          <w:rtl/>
        </w:rPr>
        <w:t>«</w:t>
      </w:r>
      <w:r w:rsidRPr="006571AC">
        <w:rPr>
          <w:sz w:val="27"/>
          <w:rtl/>
        </w:rPr>
        <w:t xml:space="preserve">وعنه </w:t>
      </w:r>
      <w:r w:rsidRPr="006571AC">
        <w:rPr>
          <w:rFonts w:hint="cs"/>
          <w:sz w:val="27"/>
          <w:rtl/>
        </w:rPr>
        <w:t>[الطوسيّ عن الحسين بن سعيد]</w:t>
      </w:r>
      <w:r w:rsidRPr="006571AC">
        <w:rPr>
          <w:sz w:val="27"/>
          <w:rtl/>
        </w:rPr>
        <w:t>، عن أحمد بن حمزة، والقاسم بن محم</w:t>
      </w:r>
      <w:r w:rsidRPr="006571AC">
        <w:rPr>
          <w:rFonts w:hint="cs"/>
          <w:sz w:val="27"/>
          <w:rtl/>
        </w:rPr>
        <w:t>ّ</w:t>
      </w:r>
      <w:r w:rsidRPr="006571AC">
        <w:rPr>
          <w:sz w:val="27"/>
          <w:rtl/>
        </w:rPr>
        <w:t>د، عن أبان بن عثمان، عن ميسر</w:t>
      </w:r>
      <w:r w:rsidRPr="006571AC">
        <w:rPr>
          <w:rFonts w:hint="cs"/>
          <w:sz w:val="27"/>
          <w:rtl/>
        </w:rPr>
        <w:t>،</w:t>
      </w:r>
      <w:r w:rsidRPr="006571AC">
        <w:rPr>
          <w:sz w:val="27"/>
          <w:rtl/>
        </w:rPr>
        <w:t xml:space="preserve"> عن أبي جعفر</w:t>
      </w:r>
      <w:r w:rsidRPr="006571AC">
        <w:rPr>
          <w:rFonts w:ascii="Mosawi" w:hAnsi="Mosawi" w:cs="Mosawi"/>
          <w:sz w:val="22"/>
          <w:szCs w:val="22"/>
          <w:rtl/>
        </w:rPr>
        <w:t>×</w:t>
      </w:r>
      <w:r w:rsidRPr="006571AC">
        <w:rPr>
          <w:rFonts w:hint="cs"/>
          <w:sz w:val="27"/>
          <w:rtl/>
        </w:rPr>
        <w:t>،</w:t>
      </w:r>
      <w:r w:rsidRPr="006571AC">
        <w:rPr>
          <w:sz w:val="27"/>
          <w:rtl/>
        </w:rPr>
        <w:t xml:space="preserve"> قال: ألا أحكي لكم وضوء رسول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02"/>
      </w:r>
      <w:r w:rsidRPr="006571AC">
        <w:rPr>
          <w:sz w:val="27"/>
          <w:vertAlign w:val="superscript"/>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03"/>
      </w:r>
      <w:r w:rsidRPr="006571AC">
        <w:rPr>
          <w:sz w:val="27"/>
          <w:vertAlign w:val="superscript"/>
          <w:rtl/>
        </w:rPr>
        <w:t>)</w:t>
      </w:r>
      <w:r w:rsidRPr="006571AC">
        <w:rPr>
          <w:sz w:val="27"/>
          <w:rtl/>
        </w:rPr>
        <w:t>.</w:t>
      </w:r>
    </w:p>
    <w:p w:rsidR="008A3F20" w:rsidRPr="006571AC" w:rsidRDefault="008A3F20" w:rsidP="001C0188">
      <w:pPr>
        <w:spacing w:line="430" w:lineRule="exact"/>
        <w:rPr>
          <w:sz w:val="27"/>
          <w:rtl/>
        </w:rPr>
      </w:pPr>
    </w:p>
    <w:p w:rsidR="008A3F20" w:rsidRPr="006571AC" w:rsidRDefault="008A3F20" w:rsidP="00237DFE">
      <w:pPr>
        <w:pStyle w:val="31"/>
        <w:rPr>
          <w:color w:val="auto"/>
          <w:sz w:val="26"/>
          <w:rtl/>
        </w:rPr>
      </w:pPr>
      <w:bookmarkStart w:id="493" w:name="_Toc171512716"/>
      <w:bookmarkStart w:id="494" w:name="_Toc114164882"/>
      <w:r w:rsidRPr="006571AC">
        <w:rPr>
          <w:rFonts w:hint="cs"/>
          <w:color w:val="auto"/>
          <w:sz w:val="26"/>
          <w:rtl/>
        </w:rPr>
        <w:t>تبريرٌ محتَمَلٌ</w:t>
      </w:r>
      <w:bookmarkEnd w:id="493"/>
      <w:bookmarkEnd w:id="494"/>
    </w:p>
    <w:p w:rsidR="008A3F20" w:rsidRPr="006571AC" w:rsidRDefault="008A3F20" w:rsidP="000C6F2A">
      <w:pPr>
        <w:rPr>
          <w:sz w:val="27"/>
          <w:rtl/>
        </w:rPr>
      </w:pPr>
      <w:r w:rsidRPr="006571AC">
        <w:rPr>
          <w:rFonts w:hint="cs"/>
          <w:b/>
          <w:bCs/>
          <w:sz w:val="27"/>
          <w:rtl/>
        </w:rPr>
        <w:t>ولعلّه</w:t>
      </w:r>
      <w:r w:rsidRPr="006571AC">
        <w:rPr>
          <w:rFonts w:ascii="Mosawi" w:hAnsi="Mosawi" w:cs="Mosawi"/>
          <w:b/>
          <w:bCs/>
          <w:sz w:val="22"/>
          <w:szCs w:val="22"/>
          <w:rtl/>
        </w:rPr>
        <w:t>&amp;</w:t>
      </w:r>
      <w:r w:rsidRPr="006571AC">
        <w:rPr>
          <w:rFonts w:hint="cs"/>
          <w:b/>
          <w:bCs/>
          <w:sz w:val="27"/>
          <w:rtl/>
        </w:rPr>
        <w:t xml:space="preserve"> قد أوكل الباحث</w:t>
      </w:r>
      <w:r w:rsidRPr="006571AC">
        <w:rPr>
          <w:rFonts w:hint="cs"/>
          <w:sz w:val="27"/>
          <w:rtl/>
        </w:rPr>
        <w:t xml:space="preserve"> ـ في معرفة السقط ـ </w:t>
      </w:r>
      <w:r w:rsidRPr="006571AC">
        <w:rPr>
          <w:rFonts w:hint="cs"/>
          <w:b/>
          <w:bCs/>
          <w:sz w:val="27"/>
          <w:rtl/>
        </w:rPr>
        <w:t>إلى ما ذكره الشيخ الطوسيّ</w:t>
      </w:r>
      <w:r w:rsidRPr="006571AC">
        <w:rPr>
          <w:rFonts w:ascii="Mosawi" w:hAnsi="Mosawi" w:cs="Mosawi"/>
          <w:sz w:val="22"/>
          <w:szCs w:val="22"/>
          <w:rtl/>
        </w:rPr>
        <w:t>&amp;</w:t>
      </w:r>
      <w:r w:rsidRPr="006571AC">
        <w:rPr>
          <w:rFonts w:hint="cs"/>
          <w:b/>
          <w:bCs/>
          <w:sz w:val="27"/>
          <w:rtl/>
        </w:rPr>
        <w:t xml:space="preserve"> في مشيخة </w:t>
      </w:r>
      <w:r w:rsidRPr="006571AC">
        <w:rPr>
          <w:rFonts w:hint="cs"/>
          <w:b/>
          <w:bCs/>
          <w:sz w:val="24"/>
          <w:szCs w:val="24"/>
          <w:rtl/>
        </w:rPr>
        <w:t>«</w:t>
      </w:r>
      <w:r w:rsidRPr="006571AC">
        <w:rPr>
          <w:rFonts w:hint="cs"/>
          <w:b/>
          <w:bCs/>
          <w:sz w:val="27"/>
          <w:rtl/>
        </w:rPr>
        <w:t>تهذيب الأحكام</w:t>
      </w:r>
      <w:r w:rsidRPr="006571AC">
        <w:rPr>
          <w:rFonts w:hint="cs"/>
          <w:b/>
          <w:bCs/>
          <w:sz w:val="24"/>
          <w:szCs w:val="24"/>
          <w:rtl/>
        </w:rPr>
        <w:t>»</w:t>
      </w:r>
      <w:r w:rsidRPr="006571AC">
        <w:rPr>
          <w:rFonts w:hint="cs"/>
          <w:b/>
          <w:bCs/>
          <w:sz w:val="27"/>
          <w:rtl/>
        </w:rPr>
        <w:t xml:space="preserve"> و</w:t>
      </w:r>
      <w:r w:rsidRPr="006571AC">
        <w:rPr>
          <w:rFonts w:hint="cs"/>
          <w:b/>
          <w:bCs/>
          <w:sz w:val="24"/>
          <w:szCs w:val="24"/>
          <w:rtl/>
        </w:rPr>
        <w:t>«</w:t>
      </w:r>
      <w:r w:rsidRPr="006571AC">
        <w:rPr>
          <w:rFonts w:hint="cs"/>
          <w:b/>
          <w:bCs/>
          <w:sz w:val="27"/>
          <w:rtl/>
        </w:rPr>
        <w:t>الاستبصار</w:t>
      </w:r>
      <w:r w:rsidRPr="006571AC">
        <w:rPr>
          <w:rFonts w:hint="cs"/>
          <w:b/>
          <w:bCs/>
          <w:sz w:val="24"/>
          <w:szCs w:val="24"/>
          <w:rtl/>
        </w:rPr>
        <w:t>»</w:t>
      </w:r>
      <w:r w:rsidRPr="006571AC">
        <w:rPr>
          <w:rFonts w:hint="cs"/>
          <w:b/>
          <w:bCs/>
          <w:sz w:val="27"/>
          <w:rtl/>
        </w:rPr>
        <w:t xml:space="preserve"> من طرقٍ إلى بعض الرواة</w:t>
      </w:r>
      <w:r w:rsidRPr="006571AC">
        <w:rPr>
          <w:rFonts w:hint="cs"/>
          <w:sz w:val="27"/>
          <w:rtl/>
        </w:rPr>
        <w:t xml:space="preserve">، </w:t>
      </w:r>
      <w:r w:rsidRPr="006571AC">
        <w:rPr>
          <w:rFonts w:hint="cs"/>
          <w:sz w:val="27"/>
          <w:rtl/>
        </w:rPr>
        <w:lastRenderedPageBreak/>
        <w:t>حيث يتطابق ما أسقطه</w:t>
      </w:r>
      <w:r w:rsidRPr="006571AC">
        <w:rPr>
          <w:rFonts w:ascii="Mosawi" w:hAnsi="Mosawi" w:cs="Mosawi"/>
          <w:sz w:val="22"/>
          <w:szCs w:val="22"/>
          <w:rtl/>
        </w:rPr>
        <w:t>&amp;</w:t>
      </w:r>
      <w:r w:rsidRPr="006571AC">
        <w:rPr>
          <w:rFonts w:hint="cs"/>
          <w:sz w:val="27"/>
          <w:rtl/>
        </w:rPr>
        <w:t xml:space="preserve"> مع بعض طرق الشيخ الطوسيّ</w:t>
      </w:r>
      <w:r w:rsidRPr="006571AC">
        <w:rPr>
          <w:rFonts w:ascii="Mosawi" w:hAnsi="Mosawi" w:cs="Mosawi"/>
          <w:sz w:val="22"/>
          <w:szCs w:val="22"/>
          <w:rtl/>
        </w:rPr>
        <w:t>&amp;</w:t>
      </w:r>
      <w:r w:rsidRPr="006571AC">
        <w:rPr>
          <w:rFonts w:hint="cs"/>
          <w:sz w:val="27"/>
          <w:rtl/>
        </w:rPr>
        <w:t xml:space="preserve"> إليهم، ومن هؤلاء الرواة:</w:t>
      </w:r>
    </w:p>
    <w:p w:rsidR="008A3F20" w:rsidRPr="006571AC" w:rsidRDefault="008A3F20" w:rsidP="000C6F2A">
      <w:pPr>
        <w:rPr>
          <w:sz w:val="27"/>
          <w:rtl/>
        </w:rPr>
      </w:pPr>
      <w:r w:rsidRPr="006571AC">
        <w:rPr>
          <w:rFonts w:hint="cs"/>
          <w:sz w:val="27"/>
          <w:rtl/>
        </w:rPr>
        <w:t>1ـ الحسين بن سعيد</w:t>
      </w:r>
      <w:r w:rsidRPr="006571AC">
        <w:rPr>
          <w:sz w:val="27"/>
          <w:vertAlign w:val="superscript"/>
          <w:rtl/>
        </w:rPr>
        <w:t>(</w:t>
      </w:r>
      <w:r w:rsidRPr="006571AC">
        <w:rPr>
          <w:rStyle w:val="ac"/>
          <w:sz w:val="27"/>
          <w:rtl/>
        </w:rPr>
        <w:endnoteReference w:id="804"/>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2ـ محمّد بن يعقوب الكلينيّ</w:t>
      </w:r>
      <w:r w:rsidRPr="006571AC">
        <w:rPr>
          <w:sz w:val="27"/>
          <w:vertAlign w:val="superscript"/>
          <w:rtl/>
        </w:rPr>
        <w:t>(</w:t>
      </w:r>
      <w:r w:rsidRPr="006571AC">
        <w:rPr>
          <w:rStyle w:val="ac"/>
          <w:sz w:val="27"/>
          <w:rtl/>
        </w:rPr>
        <w:endnoteReference w:id="805"/>
      </w:r>
      <w:r w:rsidRPr="006571AC">
        <w:rPr>
          <w:sz w:val="27"/>
          <w:vertAlign w:val="superscript"/>
          <w:rtl/>
        </w:rPr>
        <w:t>)</w:t>
      </w:r>
      <w:r w:rsidRPr="006571AC">
        <w:rPr>
          <w:rFonts w:hint="cs"/>
          <w:sz w:val="27"/>
          <w:rtl/>
        </w:rPr>
        <w:t xml:space="preserve">. </w:t>
      </w:r>
    </w:p>
    <w:p w:rsidR="008A3F20" w:rsidRPr="006571AC" w:rsidRDefault="008A3F20" w:rsidP="001C0188">
      <w:pPr>
        <w:spacing w:line="430" w:lineRule="exact"/>
        <w:rPr>
          <w:sz w:val="27"/>
          <w:rtl/>
        </w:rPr>
      </w:pPr>
    </w:p>
    <w:p w:rsidR="008A3F20" w:rsidRPr="006571AC" w:rsidRDefault="008A3F20" w:rsidP="00237DFE">
      <w:pPr>
        <w:pStyle w:val="31"/>
        <w:rPr>
          <w:color w:val="auto"/>
          <w:sz w:val="26"/>
          <w:rtl/>
        </w:rPr>
      </w:pPr>
      <w:bookmarkStart w:id="495" w:name="_Toc171512717"/>
      <w:bookmarkStart w:id="496" w:name="_Toc114164883"/>
      <w:r w:rsidRPr="006571AC">
        <w:rPr>
          <w:rFonts w:hint="cs"/>
          <w:color w:val="auto"/>
          <w:sz w:val="26"/>
          <w:rtl/>
        </w:rPr>
        <w:t>مؤيِّدٌ لهذا التبرير</w:t>
      </w:r>
      <w:bookmarkEnd w:id="495"/>
      <w:bookmarkEnd w:id="496"/>
    </w:p>
    <w:p w:rsidR="008A3F20" w:rsidRPr="006571AC" w:rsidRDefault="008A3F20" w:rsidP="000C6F2A">
      <w:pPr>
        <w:rPr>
          <w:sz w:val="27"/>
          <w:rtl/>
        </w:rPr>
      </w:pPr>
      <w:r w:rsidRPr="006571AC">
        <w:rPr>
          <w:rFonts w:hint="cs"/>
          <w:b/>
          <w:bCs/>
          <w:sz w:val="27"/>
          <w:rtl/>
        </w:rPr>
        <w:t>ويؤيِّد ذلك أنّه</w:t>
      </w:r>
      <w:r w:rsidRPr="006571AC">
        <w:rPr>
          <w:rFonts w:ascii="Mosawi" w:hAnsi="Mosawi" w:cs="Mosawi"/>
          <w:b/>
          <w:bCs/>
          <w:sz w:val="22"/>
          <w:szCs w:val="22"/>
          <w:rtl/>
        </w:rPr>
        <w:t>&amp;</w:t>
      </w:r>
      <w:r w:rsidRPr="006571AC">
        <w:rPr>
          <w:rFonts w:hint="cs"/>
          <w:b/>
          <w:bCs/>
          <w:sz w:val="27"/>
          <w:rtl/>
        </w:rPr>
        <w:t xml:space="preserve"> ترك بعض الأسناد على حالها في المصدر</w:t>
      </w:r>
      <w:r w:rsidRPr="006571AC">
        <w:rPr>
          <w:rFonts w:hint="cs"/>
          <w:sz w:val="27"/>
          <w:rtl/>
        </w:rPr>
        <w:t xml:space="preserve">، ولم يحذف منها شيئاً، </w:t>
      </w:r>
      <w:r w:rsidRPr="006571AC">
        <w:rPr>
          <w:rFonts w:hint="cs"/>
          <w:b/>
          <w:bCs/>
          <w:sz w:val="27"/>
          <w:rtl/>
        </w:rPr>
        <w:t xml:space="preserve">مع أنّه قد يبدو </w:t>
      </w:r>
      <w:r w:rsidRPr="006571AC">
        <w:rPr>
          <w:rFonts w:hint="cs"/>
          <w:sz w:val="27"/>
          <w:rtl/>
        </w:rPr>
        <w:t>ـ للو</w:t>
      </w:r>
      <w:r w:rsidR="00787C93" w:rsidRPr="006571AC">
        <w:rPr>
          <w:rFonts w:hint="cs"/>
          <w:sz w:val="27"/>
          <w:rtl/>
        </w:rPr>
        <w:t>َ</w:t>
      </w:r>
      <w:r w:rsidRPr="006571AC">
        <w:rPr>
          <w:rFonts w:hint="cs"/>
          <w:sz w:val="27"/>
          <w:rtl/>
        </w:rPr>
        <w:t>ه</w:t>
      </w:r>
      <w:r w:rsidR="00787C93" w:rsidRPr="006571AC">
        <w:rPr>
          <w:rFonts w:hint="cs"/>
          <w:sz w:val="27"/>
          <w:rtl/>
        </w:rPr>
        <w:t>ْ</w:t>
      </w:r>
      <w:r w:rsidRPr="006571AC">
        <w:rPr>
          <w:rFonts w:hint="cs"/>
          <w:sz w:val="27"/>
          <w:rtl/>
        </w:rPr>
        <w:t xml:space="preserve">لة الأولى ـ </w:t>
      </w:r>
      <w:r w:rsidRPr="006571AC">
        <w:rPr>
          <w:rFonts w:hint="cs"/>
          <w:b/>
          <w:bCs/>
          <w:sz w:val="27"/>
          <w:rtl/>
        </w:rPr>
        <w:t xml:space="preserve">إمكان حذف أوّل السند، واستبداله بلفظ: </w:t>
      </w:r>
      <w:r w:rsidRPr="006571AC">
        <w:rPr>
          <w:rFonts w:hint="cs"/>
          <w:b/>
          <w:bCs/>
          <w:sz w:val="24"/>
          <w:szCs w:val="24"/>
          <w:rtl/>
        </w:rPr>
        <w:t>«</w:t>
      </w:r>
      <w:r w:rsidRPr="006571AC">
        <w:rPr>
          <w:rFonts w:hint="cs"/>
          <w:b/>
          <w:bCs/>
          <w:sz w:val="27"/>
          <w:rtl/>
        </w:rPr>
        <w:t>بإسناده</w:t>
      </w:r>
      <w:r w:rsidRPr="006571AC">
        <w:rPr>
          <w:rFonts w:hint="cs"/>
          <w:b/>
          <w:bCs/>
          <w:sz w:val="24"/>
          <w:szCs w:val="24"/>
          <w:rtl/>
        </w:rPr>
        <w:t>»</w:t>
      </w:r>
      <w:r w:rsidRPr="006571AC">
        <w:rPr>
          <w:rFonts w:hint="cs"/>
          <w:sz w:val="27"/>
          <w:rtl/>
        </w:rPr>
        <w:t xml:space="preserve">، ومن ذلك: </w:t>
      </w:r>
    </w:p>
    <w:p w:rsidR="008A3F20" w:rsidRPr="006571AC" w:rsidRDefault="008A3F20" w:rsidP="002058BF">
      <w:pPr>
        <w:rPr>
          <w:sz w:val="27"/>
          <w:rtl/>
        </w:rPr>
      </w:pPr>
      <w:r w:rsidRPr="006571AC">
        <w:rPr>
          <w:rFonts w:hint="cs"/>
          <w:sz w:val="27"/>
          <w:rtl/>
        </w:rPr>
        <w:t xml:space="preserve">* ما في الباب 15 من أبواب الوضوء، ح 11، حيث قال: </w:t>
      </w:r>
      <w:r w:rsidRPr="006571AC">
        <w:rPr>
          <w:rFonts w:hint="cs"/>
          <w:sz w:val="24"/>
          <w:szCs w:val="24"/>
          <w:rtl/>
        </w:rPr>
        <w:t>«</w:t>
      </w:r>
      <w:r w:rsidRPr="006571AC">
        <w:rPr>
          <w:b/>
          <w:bCs/>
          <w:sz w:val="27"/>
          <w:rtl/>
        </w:rPr>
        <w:t>و</w:t>
      </w:r>
      <w:r w:rsidRPr="006571AC">
        <w:rPr>
          <w:rFonts w:hint="cs"/>
          <w:b/>
          <w:bCs/>
          <w:sz w:val="27"/>
          <w:rtl/>
        </w:rPr>
        <w:t xml:space="preserve">[الطوسيّ] </w:t>
      </w:r>
      <w:r w:rsidRPr="006571AC">
        <w:rPr>
          <w:b/>
          <w:bCs/>
          <w:sz w:val="27"/>
          <w:rtl/>
        </w:rPr>
        <w:t>عن المفيد، عن أحمد بن محم</w:t>
      </w:r>
      <w:r w:rsidRPr="006571AC">
        <w:rPr>
          <w:rFonts w:hint="cs"/>
          <w:b/>
          <w:bCs/>
          <w:sz w:val="27"/>
          <w:rtl/>
        </w:rPr>
        <w:t>ّ</w:t>
      </w:r>
      <w:r w:rsidRPr="006571AC">
        <w:rPr>
          <w:b/>
          <w:bCs/>
          <w:sz w:val="27"/>
          <w:rtl/>
        </w:rPr>
        <w:t>د، عن أبيه</w:t>
      </w:r>
      <w:r w:rsidRPr="006571AC">
        <w:rPr>
          <w:sz w:val="27"/>
          <w:rtl/>
        </w:rPr>
        <w:t>، عن سعد بن عبد الله، عن أحمد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عثمان بن عيسى، عن ابن </w:t>
      </w:r>
      <w:r w:rsidRPr="006571AC">
        <w:rPr>
          <w:rFonts w:hint="cs"/>
          <w:sz w:val="27"/>
          <w:rtl/>
        </w:rPr>
        <w:t>أ</w:t>
      </w:r>
      <w:r w:rsidRPr="006571AC">
        <w:rPr>
          <w:sz w:val="27"/>
          <w:rtl/>
        </w:rPr>
        <w:t>ذينة، عن بكير وزرارة ابن</w:t>
      </w:r>
      <w:r w:rsidRPr="006571AC">
        <w:rPr>
          <w:rFonts w:hint="cs"/>
          <w:sz w:val="27"/>
          <w:rtl/>
        </w:rPr>
        <w:t>َ</w:t>
      </w:r>
      <w:r w:rsidRPr="006571AC">
        <w:rPr>
          <w:sz w:val="27"/>
          <w:rtl/>
        </w:rPr>
        <w:t>ي</w:t>
      </w:r>
      <w:r w:rsidRPr="006571AC">
        <w:rPr>
          <w:rFonts w:hint="cs"/>
          <w:sz w:val="27"/>
          <w:rtl/>
        </w:rPr>
        <w:t>ْ</w:t>
      </w:r>
      <w:r w:rsidRPr="006571AC">
        <w:rPr>
          <w:sz w:val="27"/>
          <w:rtl/>
        </w:rPr>
        <w:t xml:space="preserve"> أعين</w:t>
      </w:r>
      <w:r w:rsidRPr="006571AC">
        <w:rPr>
          <w:rFonts w:hint="cs"/>
          <w:sz w:val="27"/>
          <w:rtl/>
        </w:rPr>
        <w:t>،</w:t>
      </w:r>
      <w:r w:rsidRPr="006571AC">
        <w:rPr>
          <w:sz w:val="27"/>
          <w:rtl/>
        </w:rPr>
        <w:t xml:space="preserve"> </w:t>
      </w:r>
      <w:r w:rsidRPr="006571AC">
        <w:rPr>
          <w:rFonts w:hint="cs"/>
          <w:sz w:val="27"/>
          <w:rtl/>
        </w:rPr>
        <w:t>أ</w:t>
      </w:r>
      <w:r w:rsidRPr="006571AC">
        <w:rPr>
          <w:sz w:val="27"/>
          <w:rtl/>
        </w:rPr>
        <w:t>ن</w:t>
      </w:r>
      <w:r w:rsidRPr="006571AC">
        <w:rPr>
          <w:rFonts w:hint="cs"/>
          <w:sz w:val="27"/>
          <w:rtl/>
        </w:rPr>
        <w:t>ّ</w:t>
      </w:r>
      <w:r w:rsidRPr="006571AC">
        <w:rPr>
          <w:sz w:val="27"/>
          <w:rtl/>
        </w:rPr>
        <w:t>هما سألا أبا جعفر</w:t>
      </w:r>
      <w:r w:rsidRPr="006571AC">
        <w:rPr>
          <w:rFonts w:ascii="Mosawi" w:hAnsi="Mosawi" w:cs="Mosawi"/>
          <w:sz w:val="22"/>
          <w:szCs w:val="22"/>
          <w:rtl/>
        </w:rPr>
        <w:t>×</w:t>
      </w:r>
      <w:r w:rsidRPr="006571AC">
        <w:rPr>
          <w:sz w:val="27"/>
          <w:rtl/>
        </w:rPr>
        <w:t xml:space="preserve"> عن وضوء رسول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06"/>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تبيّن أنّ الشيخ الطوسيّ</w:t>
      </w:r>
      <w:r w:rsidRPr="006571AC">
        <w:rPr>
          <w:rFonts w:ascii="Mosawi" w:hAnsi="Mosawi" w:cs="Mosawi"/>
          <w:sz w:val="22"/>
          <w:szCs w:val="22"/>
          <w:rtl/>
        </w:rPr>
        <w:t>&amp;</w:t>
      </w:r>
      <w:r w:rsidRPr="006571AC">
        <w:rPr>
          <w:rFonts w:hint="cs"/>
          <w:sz w:val="27"/>
          <w:rtl/>
        </w:rPr>
        <w:t xml:space="preserve"> ذكر الحديث بهذا الشكل: </w:t>
      </w:r>
      <w:r w:rsidRPr="006571AC">
        <w:rPr>
          <w:rFonts w:hint="cs"/>
          <w:sz w:val="24"/>
          <w:szCs w:val="24"/>
          <w:rtl/>
        </w:rPr>
        <w:t>«</w:t>
      </w:r>
      <w:r w:rsidRPr="006571AC">
        <w:rPr>
          <w:sz w:val="27"/>
          <w:rtl/>
        </w:rPr>
        <w:t>ما أخبرني به الشيخ أي</w:t>
      </w:r>
      <w:r w:rsidRPr="006571AC">
        <w:rPr>
          <w:rFonts w:hint="cs"/>
          <w:sz w:val="27"/>
          <w:rtl/>
        </w:rPr>
        <w:t>ّ</w:t>
      </w:r>
      <w:r w:rsidR="00787C93" w:rsidRPr="006571AC">
        <w:rPr>
          <w:rFonts w:hint="cs"/>
          <w:sz w:val="27"/>
          <w:rtl/>
        </w:rPr>
        <w:t>َ</w:t>
      </w:r>
      <w:r w:rsidRPr="006571AC">
        <w:rPr>
          <w:sz w:val="27"/>
          <w:rtl/>
        </w:rPr>
        <w:t>ده الله تعالى</w:t>
      </w:r>
      <w:r w:rsidRPr="006571AC">
        <w:rPr>
          <w:rFonts w:hint="cs"/>
          <w:sz w:val="27"/>
          <w:rtl/>
        </w:rPr>
        <w:t>،</w:t>
      </w:r>
      <w:r w:rsidRPr="006571AC">
        <w:rPr>
          <w:sz w:val="27"/>
          <w:rtl/>
        </w:rPr>
        <w:t xml:space="preserve"> عن أحمد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w:t>
      </w:r>
      <w:r w:rsidRPr="006571AC">
        <w:rPr>
          <w:rFonts w:hint="cs"/>
          <w:sz w:val="27"/>
          <w:rtl/>
        </w:rPr>
        <w:t>أ</w:t>
      </w:r>
      <w:r w:rsidRPr="006571AC">
        <w:rPr>
          <w:sz w:val="27"/>
          <w:rtl/>
        </w:rPr>
        <w:t>بيه</w:t>
      </w:r>
      <w:r w:rsidRPr="006571AC">
        <w:rPr>
          <w:rFonts w:hint="cs"/>
          <w:sz w:val="27"/>
          <w:rtl/>
        </w:rPr>
        <w:t>،</w:t>
      </w:r>
      <w:r w:rsidRPr="006571AC">
        <w:rPr>
          <w:sz w:val="27"/>
          <w:rtl/>
        </w:rPr>
        <w:t xml:space="preserve"> عن سعد</w:t>
      </w:r>
      <w:r w:rsidRPr="006571AC">
        <w:rPr>
          <w:rFonts w:hint="cs"/>
          <w:sz w:val="27"/>
          <w:rtl/>
        </w:rPr>
        <w:t xml:space="preserve"> بن عبد الله،</w:t>
      </w:r>
      <w:r w:rsidRPr="006571AC">
        <w:rPr>
          <w:sz w:val="27"/>
          <w:rtl/>
        </w:rPr>
        <w:t xml:space="preserve"> </w:t>
      </w:r>
      <w:r w:rsidRPr="006571AC">
        <w:rPr>
          <w:rFonts w:hint="cs"/>
          <w:sz w:val="27"/>
          <w:rtl/>
        </w:rPr>
        <w:t>ع</w:t>
      </w:r>
      <w:r w:rsidRPr="006571AC">
        <w:rPr>
          <w:sz w:val="27"/>
          <w:rtl/>
        </w:rPr>
        <w:t xml:space="preserve">ن </w:t>
      </w:r>
      <w:r w:rsidRPr="006571AC">
        <w:rPr>
          <w:rFonts w:hint="cs"/>
          <w:sz w:val="27"/>
          <w:rtl/>
        </w:rPr>
        <w:t>أ</w:t>
      </w:r>
      <w:r w:rsidRPr="006571AC">
        <w:rPr>
          <w:sz w:val="27"/>
          <w:rtl/>
        </w:rPr>
        <w:t>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عثمان بن عيسى</w:t>
      </w:r>
      <w:r w:rsidRPr="006571AC">
        <w:rPr>
          <w:rFonts w:hint="cs"/>
          <w:sz w:val="27"/>
          <w:rtl/>
        </w:rPr>
        <w:t>،</w:t>
      </w:r>
      <w:r w:rsidRPr="006571AC">
        <w:rPr>
          <w:sz w:val="27"/>
          <w:rtl/>
        </w:rPr>
        <w:t xml:space="preserve"> عن ابن أذينة</w:t>
      </w:r>
      <w:r w:rsidRPr="006571AC">
        <w:rPr>
          <w:rFonts w:hint="cs"/>
          <w:sz w:val="27"/>
          <w:rtl/>
        </w:rPr>
        <w:t>،</w:t>
      </w:r>
      <w:r w:rsidRPr="006571AC">
        <w:rPr>
          <w:sz w:val="27"/>
          <w:rtl/>
        </w:rPr>
        <w:t xml:space="preserve"> عن بكير وزرارة ابن</w:t>
      </w:r>
      <w:r w:rsidRPr="006571AC">
        <w:rPr>
          <w:rFonts w:hint="cs"/>
          <w:sz w:val="27"/>
          <w:rtl/>
        </w:rPr>
        <w:t>َ</w:t>
      </w:r>
      <w:r w:rsidRPr="006571AC">
        <w:rPr>
          <w:sz w:val="27"/>
          <w:rtl/>
        </w:rPr>
        <w:t>ي</w:t>
      </w:r>
      <w:r w:rsidRPr="006571AC">
        <w:rPr>
          <w:rFonts w:hint="cs"/>
          <w:sz w:val="27"/>
          <w:rtl/>
        </w:rPr>
        <w:t>ْ</w:t>
      </w:r>
      <w:r w:rsidRPr="006571AC">
        <w:rPr>
          <w:sz w:val="27"/>
          <w:rtl/>
        </w:rPr>
        <w:t xml:space="preserve"> أعين</w:t>
      </w:r>
      <w:r w:rsidRPr="006571AC">
        <w:rPr>
          <w:rFonts w:hint="cs"/>
          <w:sz w:val="27"/>
          <w:rtl/>
        </w:rPr>
        <w:t>،</w:t>
      </w:r>
      <w:r w:rsidRPr="006571AC">
        <w:rPr>
          <w:sz w:val="27"/>
          <w:rtl/>
        </w:rPr>
        <w:t xml:space="preserve"> </w:t>
      </w:r>
      <w:r w:rsidRPr="006571AC">
        <w:rPr>
          <w:rFonts w:hint="cs"/>
          <w:sz w:val="27"/>
          <w:rtl/>
        </w:rPr>
        <w:t>أ</w:t>
      </w:r>
      <w:r w:rsidRPr="006571AC">
        <w:rPr>
          <w:sz w:val="27"/>
          <w:rtl/>
        </w:rPr>
        <w:t>ن</w:t>
      </w:r>
      <w:r w:rsidRPr="006571AC">
        <w:rPr>
          <w:rFonts w:hint="cs"/>
          <w:sz w:val="27"/>
          <w:rtl/>
        </w:rPr>
        <w:t>ّ</w:t>
      </w:r>
      <w:r w:rsidRPr="006571AC">
        <w:rPr>
          <w:sz w:val="27"/>
          <w:rtl/>
        </w:rPr>
        <w:t>هما سألا أبا جعفر</w:t>
      </w:r>
      <w:r w:rsidRPr="006571AC">
        <w:rPr>
          <w:rFonts w:ascii="Mosawi" w:hAnsi="Mosawi" w:cs="Mosawi"/>
          <w:sz w:val="22"/>
          <w:szCs w:val="22"/>
          <w:rtl/>
        </w:rPr>
        <w:t>×</w:t>
      </w:r>
      <w:r w:rsidRPr="006571AC">
        <w:rPr>
          <w:sz w:val="27"/>
          <w:rtl/>
        </w:rPr>
        <w:t xml:space="preserve"> عن وضوء رسول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07"/>
      </w:r>
      <w:r w:rsidRPr="006571AC">
        <w:rPr>
          <w:sz w:val="27"/>
          <w:vertAlign w:val="superscript"/>
          <w:rtl/>
        </w:rPr>
        <w:t>)</w:t>
      </w:r>
      <w:r w:rsidRPr="006571AC">
        <w:rPr>
          <w:rFonts w:hint="cs"/>
          <w:sz w:val="27"/>
          <w:rtl/>
        </w:rPr>
        <w:t>.</w:t>
      </w:r>
    </w:p>
    <w:p w:rsidR="008A3F20" w:rsidRPr="006571AC" w:rsidRDefault="008A3F20" w:rsidP="001C0188">
      <w:pPr>
        <w:spacing w:line="420" w:lineRule="exact"/>
        <w:rPr>
          <w:sz w:val="27"/>
          <w:rtl/>
        </w:rPr>
      </w:pPr>
    </w:p>
    <w:p w:rsidR="008A3F20" w:rsidRPr="006571AC" w:rsidRDefault="008A3F20" w:rsidP="00237DFE">
      <w:pPr>
        <w:pStyle w:val="31"/>
        <w:rPr>
          <w:color w:val="auto"/>
          <w:sz w:val="26"/>
          <w:rtl/>
        </w:rPr>
      </w:pPr>
      <w:bookmarkStart w:id="497" w:name="_Toc171512718"/>
      <w:bookmarkStart w:id="498" w:name="_Toc114164884"/>
      <w:r w:rsidRPr="006571AC">
        <w:rPr>
          <w:rFonts w:hint="cs"/>
          <w:color w:val="auto"/>
          <w:sz w:val="26"/>
          <w:rtl/>
        </w:rPr>
        <w:t>وَهْمٌ مردود</w:t>
      </w:r>
      <w:bookmarkEnd w:id="497"/>
      <w:bookmarkEnd w:id="498"/>
    </w:p>
    <w:p w:rsidR="008A3F20" w:rsidRPr="006571AC" w:rsidRDefault="008A3F20" w:rsidP="002058BF">
      <w:pPr>
        <w:rPr>
          <w:sz w:val="27"/>
          <w:rtl/>
        </w:rPr>
      </w:pPr>
      <w:r w:rsidRPr="006571AC">
        <w:rPr>
          <w:rFonts w:hint="cs"/>
          <w:sz w:val="27"/>
          <w:rtl/>
        </w:rPr>
        <w:t>وهنا قد يتوهَّم بعض الباحثين أنّه كان بإمكان الشيخ الحُرّ</w:t>
      </w:r>
      <w:r w:rsidRPr="006571AC">
        <w:rPr>
          <w:rFonts w:ascii="Mosawi" w:hAnsi="Mosawi" w:cs="Mosawi"/>
          <w:sz w:val="22"/>
          <w:szCs w:val="22"/>
          <w:rtl/>
        </w:rPr>
        <w:t>&amp;</w:t>
      </w:r>
      <w:r w:rsidRPr="006571AC">
        <w:rPr>
          <w:rFonts w:hint="cs"/>
          <w:sz w:val="27"/>
          <w:rtl/>
        </w:rPr>
        <w:t xml:space="preserve"> ـ وللاختصار ـ أن يحذف أوّل السند، ويقول: وبإسناده عن سعد بن عبد الله....</w:t>
      </w:r>
    </w:p>
    <w:p w:rsidR="008A3F20" w:rsidRPr="006571AC" w:rsidRDefault="008A3F20" w:rsidP="000C6F2A">
      <w:pPr>
        <w:rPr>
          <w:sz w:val="27"/>
          <w:rtl/>
        </w:rPr>
      </w:pPr>
      <w:r w:rsidRPr="006571AC">
        <w:rPr>
          <w:rFonts w:hint="cs"/>
          <w:sz w:val="27"/>
          <w:rtl/>
        </w:rPr>
        <w:t>ولكنّ ذلك غيرُ صحيح؛ إذ لو فعل الشيخ الحُرّ</w:t>
      </w:r>
      <w:r w:rsidRPr="006571AC">
        <w:rPr>
          <w:rFonts w:ascii="Mosawi" w:hAnsi="Mosawi" w:cs="Mosawi"/>
          <w:sz w:val="22"/>
          <w:szCs w:val="22"/>
          <w:rtl/>
        </w:rPr>
        <w:t>&amp;</w:t>
      </w:r>
      <w:r w:rsidRPr="006571AC">
        <w:rPr>
          <w:rFonts w:hint="cs"/>
          <w:sz w:val="27"/>
          <w:rtl/>
        </w:rPr>
        <w:t xml:space="preserve"> ذلك لأوقع الباحثَ في اشتباهٍ كبيرٍ، وهو أنّ الباحث سيعتمد في معرفة طريق الشيخ الطوسيّ</w:t>
      </w:r>
      <w:r w:rsidRPr="006571AC">
        <w:rPr>
          <w:rFonts w:ascii="Mosawi" w:hAnsi="Mosawi" w:cs="Mosawi"/>
          <w:sz w:val="22"/>
          <w:szCs w:val="22"/>
          <w:rtl/>
        </w:rPr>
        <w:t>&amp;</w:t>
      </w:r>
      <w:r w:rsidRPr="006571AC">
        <w:rPr>
          <w:rFonts w:hint="cs"/>
          <w:sz w:val="27"/>
          <w:rtl/>
        </w:rPr>
        <w:t xml:space="preserve"> إلى سعد على ما ذكره الشيخ الطوسيّ</w:t>
      </w:r>
      <w:r w:rsidRPr="006571AC">
        <w:rPr>
          <w:rFonts w:ascii="Mosawi" w:hAnsi="Mosawi" w:cs="Mosawi"/>
          <w:sz w:val="22"/>
          <w:szCs w:val="22"/>
          <w:rtl/>
        </w:rPr>
        <w:t>&amp;</w:t>
      </w:r>
      <w:r w:rsidRPr="006571AC">
        <w:rPr>
          <w:rFonts w:hint="cs"/>
          <w:sz w:val="27"/>
          <w:rtl/>
        </w:rPr>
        <w:t xml:space="preserve"> من طريقٍ إليه في مشيخة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xml:space="preserve"> و</w:t>
      </w:r>
      <w:r w:rsidRPr="006571AC">
        <w:rPr>
          <w:rFonts w:hint="cs"/>
          <w:sz w:val="24"/>
          <w:szCs w:val="24"/>
          <w:rtl/>
        </w:rPr>
        <w:t>«</w:t>
      </w:r>
      <w:r w:rsidRPr="006571AC">
        <w:rPr>
          <w:rFonts w:hint="cs"/>
          <w:sz w:val="27"/>
          <w:rtl/>
        </w:rPr>
        <w:t>الاستبصار في ما اختلف من الأخبار</w:t>
      </w:r>
      <w:r w:rsidRPr="006571AC">
        <w:rPr>
          <w:rFonts w:hint="cs"/>
          <w:sz w:val="24"/>
          <w:szCs w:val="24"/>
          <w:rtl/>
        </w:rPr>
        <w:t>»</w:t>
      </w:r>
      <w:r w:rsidRPr="006571AC">
        <w:rPr>
          <w:rFonts w:hint="cs"/>
          <w:sz w:val="27"/>
          <w:rtl/>
        </w:rPr>
        <w:t xml:space="preserve">، وهو: </w:t>
      </w:r>
      <w:r w:rsidRPr="006571AC">
        <w:rPr>
          <w:rFonts w:hint="cs"/>
          <w:sz w:val="24"/>
          <w:szCs w:val="24"/>
          <w:rtl/>
        </w:rPr>
        <w:t>«</w:t>
      </w:r>
      <w:r w:rsidRPr="006571AC">
        <w:rPr>
          <w:sz w:val="27"/>
          <w:rtl/>
        </w:rPr>
        <w:t>وما ذك</w:t>
      </w:r>
      <w:r w:rsidR="00787C93" w:rsidRPr="006571AC">
        <w:rPr>
          <w:rFonts w:hint="cs"/>
          <w:sz w:val="27"/>
          <w:rtl/>
        </w:rPr>
        <w:t>َ</w:t>
      </w:r>
      <w:r w:rsidRPr="006571AC">
        <w:rPr>
          <w:sz w:val="27"/>
          <w:rtl/>
        </w:rPr>
        <w:t>ر</w:t>
      </w:r>
      <w:r w:rsidR="00787C93" w:rsidRPr="006571AC">
        <w:rPr>
          <w:rFonts w:hint="cs"/>
          <w:sz w:val="27"/>
          <w:rtl/>
        </w:rPr>
        <w:t>ْ</w:t>
      </w:r>
      <w:r w:rsidRPr="006571AC">
        <w:rPr>
          <w:sz w:val="27"/>
          <w:rtl/>
        </w:rPr>
        <w:t>ت</w:t>
      </w:r>
      <w:r w:rsidR="00787C93" w:rsidRPr="006571AC">
        <w:rPr>
          <w:rFonts w:hint="cs"/>
          <w:sz w:val="27"/>
          <w:rtl/>
        </w:rPr>
        <w:t>ُ</w:t>
      </w:r>
      <w:r w:rsidRPr="006571AC">
        <w:rPr>
          <w:sz w:val="27"/>
          <w:rtl/>
        </w:rPr>
        <w:t xml:space="preserve">ه في هذا الكتاب عن سعد بن عبد الله فقد </w:t>
      </w:r>
      <w:r w:rsidRPr="006571AC">
        <w:rPr>
          <w:rFonts w:hint="cs"/>
          <w:sz w:val="27"/>
          <w:rtl/>
        </w:rPr>
        <w:t>أ</w:t>
      </w:r>
      <w:r w:rsidRPr="006571AC">
        <w:rPr>
          <w:sz w:val="27"/>
          <w:rtl/>
        </w:rPr>
        <w:t xml:space="preserve">خبرني به الشيخ أبو عبد الله </w:t>
      </w:r>
      <w:r w:rsidRPr="006571AC">
        <w:rPr>
          <w:rFonts w:hint="cs"/>
          <w:sz w:val="27"/>
          <w:rtl/>
        </w:rPr>
        <w:t xml:space="preserve">[المفيد]، </w:t>
      </w:r>
      <w:r w:rsidRPr="006571AC">
        <w:rPr>
          <w:sz w:val="27"/>
          <w:rtl/>
        </w:rPr>
        <w:t xml:space="preserve">عن </w:t>
      </w:r>
      <w:r w:rsidRPr="006571AC">
        <w:rPr>
          <w:rFonts w:hint="cs"/>
          <w:sz w:val="27"/>
          <w:rtl/>
        </w:rPr>
        <w:t>أ</w:t>
      </w:r>
      <w:r w:rsidRPr="006571AC">
        <w:rPr>
          <w:sz w:val="27"/>
          <w:rtl/>
        </w:rPr>
        <w:t>بي القاسم جعفر بن محم</w:t>
      </w:r>
      <w:r w:rsidRPr="006571AC">
        <w:rPr>
          <w:rFonts w:hint="cs"/>
          <w:sz w:val="27"/>
          <w:rtl/>
        </w:rPr>
        <w:t>ّ</w:t>
      </w:r>
      <w:r w:rsidRPr="006571AC">
        <w:rPr>
          <w:sz w:val="27"/>
          <w:rtl/>
        </w:rPr>
        <w:t>د بن قولويه</w:t>
      </w:r>
      <w:r w:rsidRPr="006571AC">
        <w:rPr>
          <w:rFonts w:hint="cs"/>
          <w:sz w:val="27"/>
          <w:rtl/>
        </w:rPr>
        <w:t>،</w:t>
      </w:r>
      <w:r w:rsidRPr="006571AC">
        <w:rPr>
          <w:sz w:val="27"/>
          <w:rtl/>
        </w:rPr>
        <w:t xml:space="preserve"> عن </w:t>
      </w:r>
      <w:r w:rsidRPr="006571AC">
        <w:rPr>
          <w:rFonts w:hint="cs"/>
          <w:sz w:val="27"/>
          <w:rtl/>
        </w:rPr>
        <w:lastRenderedPageBreak/>
        <w:t>أ</w:t>
      </w:r>
      <w:r w:rsidRPr="006571AC">
        <w:rPr>
          <w:sz w:val="27"/>
          <w:rtl/>
        </w:rPr>
        <w:t>بيه</w:t>
      </w:r>
      <w:r w:rsidRPr="006571AC">
        <w:rPr>
          <w:rFonts w:hint="cs"/>
          <w:sz w:val="27"/>
          <w:rtl/>
        </w:rPr>
        <w:t>،</w:t>
      </w:r>
      <w:r w:rsidRPr="006571AC">
        <w:rPr>
          <w:sz w:val="27"/>
          <w:rtl/>
        </w:rPr>
        <w:t xml:space="preserve"> عن سعد بن عبد الله</w:t>
      </w:r>
      <w:r w:rsidRPr="006571AC">
        <w:rPr>
          <w:rFonts w:hint="cs"/>
          <w:sz w:val="27"/>
          <w:rtl/>
        </w:rPr>
        <w:t>؛</w:t>
      </w:r>
      <w:r w:rsidRPr="006571AC">
        <w:rPr>
          <w:sz w:val="27"/>
          <w:rtl/>
        </w:rPr>
        <w:t xml:space="preserve"> و</w:t>
      </w:r>
      <w:r w:rsidRPr="006571AC">
        <w:rPr>
          <w:rFonts w:hint="cs"/>
          <w:sz w:val="27"/>
          <w:rtl/>
        </w:rPr>
        <w:t>أ</w:t>
      </w:r>
      <w:r w:rsidRPr="006571AC">
        <w:rPr>
          <w:sz w:val="27"/>
          <w:rtl/>
        </w:rPr>
        <w:t xml:space="preserve">خبرني به </w:t>
      </w:r>
      <w:r w:rsidRPr="006571AC">
        <w:rPr>
          <w:rFonts w:hint="cs"/>
          <w:sz w:val="27"/>
          <w:rtl/>
        </w:rPr>
        <w:t>أ</w:t>
      </w:r>
      <w:r w:rsidRPr="006571AC">
        <w:rPr>
          <w:sz w:val="27"/>
          <w:rtl/>
        </w:rPr>
        <w:t>يضا</w:t>
      </w:r>
      <w:r w:rsidRPr="006571AC">
        <w:rPr>
          <w:rFonts w:hint="cs"/>
          <w:sz w:val="27"/>
          <w:rtl/>
        </w:rPr>
        <w:t>ً</w:t>
      </w:r>
      <w:r w:rsidRPr="006571AC">
        <w:rPr>
          <w:sz w:val="27"/>
          <w:rtl/>
        </w:rPr>
        <w:t xml:space="preserve"> الشيخ </w:t>
      </w:r>
      <w:r w:rsidRPr="006571AC">
        <w:rPr>
          <w:rFonts w:hint="cs"/>
          <w:sz w:val="27"/>
          <w:rtl/>
        </w:rPr>
        <w:t xml:space="preserve">[المفيد]، </w:t>
      </w:r>
      <w:r w:rsidRPr="006571AC">
        <w:rPr>
          <w:sz w:val="27"/>
          <w:rtl/>
        </w:rPr>
        <w:t xml:space="preserve">عن </w:t>
      </w:r>
      <w:r w:rsidRPr="006571AC">
        <w:rPr>
          <w:rFonts w:hint="cs"/>
          <w:sz w:val="27"/>
          <w:rtl/>
        </w:rPr>
        <w:t>أ</w:t>
      </w:r>
      <w:r w:rsidRPr="006571AC">
        <w:rPr>
          <w:sz w:val="27"/>
          <w:rtl/>
        </w:rPr>
        <w:t>ب</w:t>
      </w:r>
      <w:r w:rsidRPr="006571AC">
        <w:rPr>
          <w:rFonts w:hint="cs"/>
          <w:sz w:val="27"/>
          <w:rtl/>
        </w:rPr>
        <w:t>ي</w:t>
      </w:r>
      <w:r w:rsidRPr="006571AC">
        <w:rPr>
          <w:sz w:val="27"/>
          <w:rtl/>
        </w:rPr>
        <w:t xml:space="preserve"> جعفر محم</w:t>
      </w:r>
      <w:r w:rsidRPr="006571AC">
        <w:rPr>
          <w:rFonts w:hint="cs"/>
          <w:sz w:val="27"/>
          <w:rtl/>
        </w:rPr>
        <w:t>ّ</w:t>
      </w:r>
      <w:r w:rsidRPr="006571AC">
        <w:rPr>
          <w:sz w:val="27"/>
          <w:rtl/>
        </w:rPr>
        <w:t>د بن علي</w:t>
      </w:r>
      <w:r w:rsidRPr="006571AC">
        <w:rPr>
          <w:rFonts w:hint="cs"/>
          <w:sz w:val="27"/>
          <w:rtl/>
        </w:rPr>
        <w:t>ّ</w:t>
      </w:r>
      <w:r w:rsidRPr="006571AC">
        <w:rPr>
          <w:sz w:val="27"/>
          <w:rtl/>
        </w:rPr>
        <w:t xml:space="preserve"> بن الحسين</w:t>
      </w:r>
      <w:r w:rsidRPr="006571AC">
        <w:rPr>
          <w:rFonts w:hint="cs"/>
          <w:sz w:val="27"/>
          <w:rtl/>
        </w:rPr>
        <w:t xml:space="preserve"> [الصدوق الابن]،</w:t>
      </w:r>
      <w:r w:rsidRPr="006571AC">
        <w:rPr>
          <w:sz w:val="27"/>
          <w:rtl/>
        </w:rPr>
        <w:t xml:space="preserve"> عن </w:t>
      </w:r>
      <w:r w:rsidRPr="006571AC">
        <w:rPr>
          <w:rFonts w:hint="cs"/>
          <w:sz w:val="27"/>
          <w:rtl/>
        </w:rPr>
        <w:t>أ</w:t>
      </w:r>
      <w:r w:rsidRPr="006571AC">
        <w:rPr>
          <w:sz w:val="27"/>
          <w:rtl/>
        </w:rPr>
        <w:t>بيه</w:t>
      </w:r>
      <w:r w:rsidRPr="006571AC">
        <w:rPr>
          <w:rFonts w:hint="cs"/>
          <w:sz w:val="27"/>
          <w:rtl/>
        </w:rPr>
        <w:t>،</w:t>
      </w:r>
      <w:r w:rsidRPr="006571AC">
        <w:rPr>
          <w:sz w:val="27"/>
          <w:rtl/>
        </w:rPr>
        <w:t xml:space="preserve"> عن سعد بن عبد الله</w:t>
      </w:r>
      <w:r w:rsidRPr="006571AC">
        <w:rPr>
          <w:rFonts w:hint="cs"/>
          <w:sz w:val="24"/>
          <w:szCs w:val="24"/>
          <w:rtl/>
        </w:rPr>
        <w:t>»</w:t>
      </w:r>
      <w:r w:rsidRPr="006571AC">
        <w:rPr>
          <w:sz w:val="27"/>
          <w:vertAlign w:val="superscript"/>
          <w:rtl/>
        </w:rPr>
        <w:t>(</w:t>
      </w:r>
      <w:r w:rsidRPr="006571AC">
        <w:rPr>
          <w:rStyle w:val="ac"/>
          <w:sz w:val="27"/>
          <w:rtl/>
        </w:rPr>
        <w:endnoteReference w:id="808"/>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وكلا الطريق</w:t>
      </w:r>
      <w:r w:rsidR="00787C93" w:rsidRPr="006571AC">
        <w:rPr>
          <w:rFonts w:hint="cs"/>
          <w:sz w:val="27"/>
          <w:rtl/>
        </w:rPr>
        <w:t>َيْن مختلفٌ عمّا كان سيُسقطه ها</w:t>
      </w:r>
      <w:r w:rsidR="00F37D63" w:rsidRPr="006571AC">
        <w:rPr>
          <w:rFonts w:ascii="Mosawi" w:hAnsi="Mosawi" w:cs="Mosawi"/>
          <w:sz w:val="27"/>
          <w:rtl/>
        </w:rPr>
        <w:t xml:space="preserve"> </w:t>
      </w:r>
      <w:r w:rsidRPr="006571AC">
        <w:rPr>
          <w:rFonts w:hint="cs"/>
          <w:sz w:val="27"/>
          <w:rtl/>
        </w:rPr>
        <w:t>هنا، فلو حذف الشيخ الحُرّ</w:t>
      </w:r>
      <w:r w:rsidRPr="006571AC">
        <w:rPr>
          <w:rFonts w:ascii="Mosawi" w:hAnsi="Mosawi" w:cs="Mosawi"/>
          <w:sz w:val="22"/>
          <w:szCs w:val="22"/>
          <w:rtl/>
        </w:rPr>
        <w:t>&amp;</w:t>
      </w:r>
      <w:r w:rsidRPr="006571AC">
        <w:rPr>
          <w:rFonts w:hint="cs"/>
          <w:sz w:val="27"/>
          <w:rtl/>
        </w:rPr>
        <w:t xml:space="preserve"> أوّل سند هذا الحديث واعتمد الباحث على أحد الطريقَيْن المذكورَيْن لوقع في الاشتباه والخطأ، وهذا ما لا يريده ولا يرضاه الشيخ الحُرّ</w:t>
      </w:r>
      <w:r w:rsidRPr="006571AC">
        <w:rPr>
          <w:rFonts w:ascii="Mosawi" w:hAnsi="Mosawi" w:cs="Mosawi"/>
          <w:sz w:val="22"/>
          <w:szCs w:val="22"/>
          <w:rtl/>
        </w:rPr>
        <w:t>&amp;</w:t>
      </w:r>
      <w:r w:rsidRPr="006571AC">
        <w:rPr>
          <w:rFonts w:hint="cs"/>
          <w:sz w:val="27"/>
          <w:rtl/>
        </w:rPr>
        <w:t>.</w:t>
      </w:r>
    </w:p>
    <w:p w:rsidR="001C0188" w:rsidRPr="006571AC" w:rsidRDefault="001C0188" w:rsidP="001C0188">
      <w:pPr>
        <w:spacing w:line="420" w:lineRule="exact"/>
        <w:rPr>
          <w:rFonts w:ascii="Arabic Typesetting" w:hAnsi="Arabic Typesetting"/>
          <w:sz w:val="27"/>
          <w:rtl/>
          <w:lang w:bidi="ar-LB"/>
        </w:rPr>
      </w:pPr>
      <w:bookmarkStart w:id="499" w:name="_Toc171512719"/>
    </w:p>
    <w:p w:rsidR="008A3F20" w:rsidRPr="006571AC" w:rsidRDefault="008A3F20" w:rsidP="00237DFE">
      <w:pPr>
        <w:pStyle w:val="31"/>
        <w:rPr>
          <w:color w:val="auto"/>
          <w:sz w:val="26"/>
          <w:rtl/>
        </w:rPr>
      </w:pPr>
      <w:bookmarkStart w:id="500" w:name="_Toc114164885"/>
      <w:r w:rsidRPr="006571AC">
        <w:rPr>
          <w:rFonts w:hint="cs"/>
          <w:color w:val="auto"/>
          <w:sz w:val="26"/>
          <w:rtl/>
        </w:rPr>
        <w:t>6ـ حذف أسناد بعض الأحاديث</w:t>
      </w:r>
      <w:bookmarkEnd w:id="499"/>
      <w:bookmarkEnd w:id="500"/>
    </w:p>
    <w:p w:rsidR="008A3F20" w:rsidRPr="006571AC" w:rsidRDefault="008A3F20" w:rsidP="000C6F2A">
      <w:pPr>
        <w:rPr>
          <w:sz w:val="27"/>
          <w:rtl/>
        </w:rPr>
      </w:pPr>
      <w:r w:rsidRPr="006571AC">
        <w:rPr>
          <w:rFonts w:hint="cs"/>
          <w:sz w:val="27"/>
          <w:rtl/>
        </w:rPr>
        <w:t>تقدّم الكلام في ما فعله الشيخ الحُرّ</w:t>
      </w:r>
      <w:r w:rsidRPr="006571AC">
        <w:rPr>
          <w:rFonts w:ascii="Mosawi" w:hAnsi="Mosawi" w:cs="Mosawi"/>
          <w:sz w:val="22"/>
          <w:szCs w:val="22"/>
          <w:rtl/>
        </w:rPr>
        <w:t>&amp;</w:t>
      </w:r>
      <w:r w:rsidRPr="006571AC">
        <w:rPr>
          <w:rFonts w:hint="cs"/>
          <w:sz w:val="27"/>
          <w:rtl/>
        </w:rPr>
        <w:t xml:space="preserve"> من </w:t>
      </w:r>
      <w:r w:rsidRPr="006571AC">
        <w:rPr>
          <w:rFonts w:hint="cs"/>
          <w:b/>
          <w:bCs/>
          <w:sz w:val="27"/>
          <w:rtl/>
        </w:rPr>
        <w:t>تأخير ذكر أسناد الشيخ الصدوق والشيخ الطوسيّ رحمهما الله إلى آخر الكتاب</w:t>
      </w:r>
      <w:r w:rsidRPr="006571AC">
        <w:rPr>
          <w:rFonts w:hint="cs"/>
          <w:sz w:val="27"/>
          <w:rtl/>
        </w:rPr>
        <w:t xml:space="preserve">، حيث عقد لبيانها فائدتين: </w:t>
      </w:r>
    </w:p>
    <w:p w:rsidR="008A3F20" w:rsidRPr="006571AC" w:rsidRDefault="008A3F20" w:rsidP="000C6F2A">
      <w:pPr>
        <w:rPr>
          <w:sz w:val="27"/>
          <w:rtl/>
        </w:rPr>
      </w:pPr>
      <w:r w:rsidRPr="006571AC">
        <w:rPr>
          <w:rFonts w:hint="cs"/>
          <w:b/>
          <w:bCs/>
          <w:sz w:val="27"/>
          <w:rtl/>
        </w:rPr>
        <w:t>الأولى</w:t>
      </w:r>
      <w:r w:rsidRPr="006571AC">
        <w:rPr>
          <w:rFonts w:hint="cs"/>
          <w:sz w:val="27"/>
          <w:rtl/>
        </w:rPr>
        <w:t>: لبيان أسانيد الشيخ الصدوق</w:t>
      </w:r>
      <w:r w:rsidRPr="006571AC">
        <w:rPr>
          <w:rFonts w:ascii="Mosawi" w:hAnsi="Mosawi" w:cs="Mosawi"/>
          <w:sz w:val="22"/>
          <w:szCs w:val="22"/>
          <w:rtl/>
        </w:rPr>
        <w:t>&amp;</w:t>
      </w:r>
      <w:r w:rsidRPr="006571AC">
        <w:rPr>
          <w:rFonts w:hint="cs"/>
          <w:sz w:val="27"/>
          <w:rtl/>
        </w:rPr>
        <w:t xml:space="preserve">؛ </w:t>
      </w:r>
      <w:r w:rsidRPr="006571AC">
        <w:rPr>
          <w:rFonts w:hint="cs"/>
          <w:b/>
          <w:bCs/>
          <w:sz w:val="27"/>
          <w:rtl/>
        </w:rPr>
        <w:t>والثانية</w:t>
      </w:r>
      <w:r w:rsidRPr="006571AC">
        <w:rPr>
          <w:rFonts w:hint="cs"/>
          <w:sz w:val="27"/>
          <w:rtl/>
        </w:rPr>
        <w:t>: لبيان أسانيد الشيخ الطوسيّ</w:t>
      </w:r>
      <w:r w:rsidRPr="006571AC">
        <w:rPr>
          <w:rFonts w:ascii="Mosawi" w:hAnsi="Mosawi" w:cs="Mosawi"/>
          <w:sz w:val="22"/>
          <w:szCs w:val="22"/>
          <w:rtl/>
        </w:rPr>
        <w:t>&amp;</w:t>
      </w:r>
      <w:r w:rsidRPr="006571AC">
        <w:rPr>
          <w:rFonts w:hint="cs"/>
          <w:sz w:val="27"/>
          <w:rtl/>
        </w:rPr>
        <w:t>.</w:t>
      </w:r>
    </w:p>
    <w:p w:rsidR="008A3F20" w:rsidRPr="006571AC" w:rsidRDefault="008A3F20" w:rsidP="002058BF">
      <w:pPr>
        <w:rPr>
          <w:sz w:val="27"/>
          <w:rtl/>
        </w:rPr>
      </w:pPr>
      <w:r w:rsidRPr="006571AC">
        <w:rPr>
          <w:rFonts w:hint="cs"/>
          <w:sz w:val="27"/>
          <w:rtl/>
        </w:rPr>
        <w:t>وقد أشار</w:t>
      </w:r>
      <w:r w:rsidRPr="006571AC">
        <w:rPr>
          <w:rFonts w:ascii="Mosawi" w:hAnsi="Mosawi" w:cs="Mosawi"/>
          <w:sz w:val="22"/>
          <w:szCs w:val="22"/>
          <w:rtl/>
        </w:rPr>
        <w:t>&amp;</w:t>
      </w:r>
      <w:r w:rsidRPr="006571AC">
        <w:rPr>
          <w:rFonts w:hint="cs"/>
          <w:sz w:val="27"/>
          <w:rtl/>
        </w:rPr>
        <w:t xml:space="preserve"> إلى ذلك بقوله: </w:t>
      </w:r>
      <w:r w:rsidRPr="006571AC">
        <w:rPr>
          <w:rFonts w:hint="cs"/>
          <w:sz w:val="24"/>
          <w:szCs w:val="24"/>
          <w:rtl/>
        </w:rPr>
        <w:t>«</w:t>
      </w:r>
      <w:r w:rsidRPr="006571AC">
        <w:rPr>
          <w:b/>
          <w:bCs/>
          <w:sz w:val="27"/>
          <w:rtl/>
        </w:rPr>
        <w:t>وأخ</w:t>
      </w:r>
      <w:r w:rsidRPr="006571AC">
        <w:rPr>
          <w:rFonts w:hint="cs"/>
          <w:b/>
          <w:bCs/>
          <w:sz w:val="27"/>
          <w:rtl/>
        </w:rPr>
        <w:t>ّ</w:t>
      </w:r>
      <w:r w:rsidRPr="006571AC">
        <w:rPr>
          <w:b/>
          <w:bCs/>
          <w:sz w:val="27"/>
          <w:rtl/>
        </w:rPr>
        <w:t>ر</w:t>
      </w:r>
      <w:r w:rsidR="00F37D63" w:rsidRPr="006571AC">
        <w:rPr>
          <w:rFonts w:hint="cs"/>
          <w:b/>
          <w:bCs/>
          <w:sz w:val="27"/>
          <w:rtl/>
        </w:rPr>
        <w:t>ْ</w:t>
      </w:r>
      <w:r w:rsidRPr="006571AC">
        <w:rPr>
          <w:b/>
          <w:bCs/>
          <w:sz w:val="27"/>
          <w:rtl/>
        </w:rPr>
        <w:t>ت</w:t>
      </w:r>
      <w:r w:rsidRPr="006571AC">
        <w:rPr>
          <w:rFonts w:hint="cs"/>
          <w:b/>
          <w:bCs/>
          <w:sz w:val="27"/>
          <w:rtl/>
        </w:rPr>
        <w:t>ُ</w:t>
      </w:r>
      <w:r w:rsidRPr="006571AC">
        <w:rPr>
          <w:b/>
          <w:bCs/>
          <w:sz w:val="27"/>
          <w:rtl/>
        </w:rPr>
        <w:t xml:space="preserve"> أسانيدهما</w:t>
      </w:r>
      <w:r w:rsidRPr="006571AC">
        <w:rPr>
          <w:rFonts w:hint="cs"/>
          <w:sz w:val="27"/>
          <w:rtl/>
        </w:rPr>
        <w:t xml:space="preserve"> [أي أسانيد الشيخ الصدوق والشيخ الطوسيّ رحمهما الله]</w:t>
      </w:r>
      <w:r w:rsidRPr="006571AC">
        <w:rPr>
          <w:sz w:val="27"/>
          <w:rtl/>
        </w:rPr>
        <w:t xml:space="preserve"> </w:t>
      </w:r>
      <w:r w:rsidRPr="006571AC">
        <w:rPr>
          <w:b/>
          <w:bCs/>
          <w:sz w:val="27"/>
          <w:rtl/>
        </w:rPr>
        <w:t>أيضا</w:t>
      </w:r>
      <w:r w:rsidRPr="006571AC">
        <w:rPr>
          <w:rFonts w:hint="cs"/>
          <w:b/>
          <w:bCs/>
          <w:sz w:val="27"/>
          <w:rtl/>
        </w:rPr>
        <w:t>ً</w:t>
      </w:r>
      <w:r w:rsidRPr="006571AC">
        <w:rPr>
          <w:b/>
          <w:bCs/>
          <w:sz w:val="27"/>
          <w:rtl/>
        </w:rPr>
        <w:t xml:space="preserve"> إلى آخر الكتاب</w:t>
      </w:r>
      <w:r w:rsidR="002058BF" w:rsidRPr="006571AC">
        <w:rPr>
          <w:rFonts w:hint="cs"/>
          <w:sz w:val="27"/>
          <w:rtl/>
        </w:rPr>
        <w:t>؛</w:t>
      </w:r>
      <w:r w:rsidRPr="006571AC">
        <w:rPr>
          <w:sz w:val="27"/>
          <w:rtl/>
        </w:rPr>
        <w:t xml:space="preserve"> لما ذكرناه في هذا الباب</w:t>
      </w:r>
      <w:r w:rsidRPr="006571AC">
        <w:rPr>
          <w:rFonts w:hint="cs"/>
          <w:sz w:val="27"/>
          <w:rtl/>
        </w:rPr>
        <w:t xml:space="preserve"> [أي للاختصار وحذراً من الإطناب]</w:t>
      </w:r>
      <w:r w:rsidRPr="006571AC">
        <w:rPr>
          <w:rFonts w:hint="cs"/>
          <w:sz w:val="24"/>
          <w:szCs w:val="24"/>
          <w:rtl/>
        </w:rPr>
        <w:t>»</w:t>
      </w:r>
      <w:r w:rsidRPr="006571AC">
        <w:rPr>
          <w:sz w:val="27"/>
          <w:vertAlign w:val="superscript"/>
          <w:rtl/>
        </w:rPr>
        <w:t>(</w:t>
      </w:r>
      <w:r w:rsidRPr="006571AC">
        <w:rPr>
          <w:rStyle w:val="ac"/>
          <w:sz w:val="27"/>
          <w:rtl/>
        </w:rPr>
        <w:endnoteReference w:id="80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وقد </w:t>
      </w:r>
      <w:r w:rsidRPr="006571AC">
        <w:rPr>
          <w:rFonts w:hint="cs"/>
          <w:b/>
          <w:bCs/>
          <w:sz w:val="27"/>
          <w:rtl/>
        </w:rPr>
        <w:t>عمد الشيخ الحُرّ</w:t>
      </w:r>
      <w:r w:rsidRPr="006571AC">
        <w:rPr>
          <w:rFonts w:ascii="Mosawi" w:hAnsi="Mosawi" w:cs="Mosawi"/>
          <w:b/>
          <w:bCs/>
          <w:sz w:val="22"/>
          <w:szCs w:val="22"/>
          <w:rtl/>
        </w:rPr>
        <w:t>&amp;</w:t>
      </w:r>
      <w:r w:rsidRPr="006571AC">
        <w:rPr>
          <w:rFonts w:hint="cs"/>
          <w:b/>
          <w:bCs/>
          <w:sz w:val="27"/>
          <w:rtl/>
        </w:rPr>
        <w:t xml:space="preserve"> أيضاً</w:t>
      </w:r>
      <w:r w:rsidRPr="006571AC">
        <w:rPr>
          <w:rFonts w:hint="cs"/>
          <w:sz w:val="27"/>
          <w:rtl/>
        </w:rPr>
        <w:t xml:space="preserve"> ـ وللاختصار ـ </w:t>
      </w:r>
      <w:r w:rsidRPr="006571AC">
        <w:rPr>
          <w:rFonts w:hint="cs"/>
          <w:b/>
          <w:bCs/>
          <w:sz w:val="27"/>
          <w:rtl/>
        </w:rPr>
        <w:t>إلى حذف أسناد بعض الأحاديث</w:t>
      </w:r>
      <w:r w:rsidRPr="006571AC">
        <w:rPr>
          <w:rFonts w:hint="cs"/>
          <w:sz w:val="27"/>
          <w:rtl/>
        </w:rPr>
        <w:t>.</w:t>
      </w:r>
    </w:p>
    <w:p w:rsidR="008A3F20" w:rsidRPr="006571AC" w:rsidRDefault="008A3F20" w:rsidP="002058BF">
      <w:pPr>
        <w:rPr>
          <w:sz w:val="27"/>
          <w:rtl/>
        </w:rPr>
      </w:pPr>
      <w:r w:rsidRPr="006571AC">
        <w:rPr>
          <w:rFonts w:hint="cs"/>
          <w:sz w:val="27"/>
          <w:rtl/>
        </w:rPr>
        <w:t>وقد أشار</w:t>
      </w:r>
      <w:r w:rsidRPr="006571AC">
        <w:rPr>
          <w:rFonts w:ascii="Mosawi" w:hAnsi="Mosawi" w:cs="Mosawi"/>
          <w:sz w:val="22"/>
          <w:szCs w:val="22"/>
          <w:rtl/>
        </w:rPr>
        <w:t>&amp;</w:t>
      </w:r>
      <w:r w:rsidRPr="006571AC">
        <w:rPr>
          <w:rFonts w:hint="cs"/>
          <w:sz w:val="27"/>
          <w:rtl/>
        </w:rPr>
        <w:t xml:space="preserve"> إلى هذا الأمر في خاتمة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ففي الفائدة الثانية قال: </w:t>
      </w:r>
      <w:r w:rsidRPr="006571AC">
        <w:rPr>
          <w:rFonts w:hint="cs"/>
          <w:sz w:val="24"/>
          <w:szCs w:val="24"/>
          <w:rtl/>
        </w:rPr>
        <w:t>«</w:t>
      </w:r>
      <w:r w:rsidRPr="006571AC">
        <w:rPr>
          <w:sz w:val="27"/>
          <w:rtl/>
        </w:rPr>
        <w:t xml:space="preserve">وروى الشيخ في كتاب </w:t>
      </w:r>
      <w:r w:rsidRPr="006571AC">
        <w:rPr>
          <w:rFonts w:hint="cs"/>
          <w:sz w:val="24"/>
          <w:szCs w:val="24"/>
          <w:rtl/>
        </w:rPr>
        <w:t>«</w:t>
      </w:r>
      <w:r w:rsidRPr="006571AC">
        <w:rPr>
          <w:sz w:val="27"/>
          <w:rtl/>
        </w:rPr>
        <w:t>المجالس والأخبار</w:t>
      </w:r>
      <w:r w:rsidRPr="006571AC">
        <w:rPr>
          <w:rFonts w:hint="cs"/>
          <w:sz w:val="24"/>
          <w:szCs w:val="24"/>
          <w:rtl/>
        </w:rPr>
        <w:t>»</w:t>
      </w:r>
      <w:r w:rsidRPr="006571AC">
        <w:rPr>
          <w:rFonts w:hint="cs"/>
          <w:sz w:val="27"/>
          <w:rtl/>
        </w:rPr>
        <w:t xml:space="preserve"> </w:t>
      </w:r>
      <w:r w:rsidRPr="006571AC">
        <w:rPr>
          <w:sz w:val="27"/>
          <w:rtl/>
        </w:rPr>
        <w:t>وصي</w:t>
      </w:r>
      <w:r w:rsidRPr="006571AC">
        <w:rPr>
          <w:rFonts w:hint="cs"/>
          <w:sz w:val="27"/>
          <w:rtl/>
        </w:rPr>
        <w:t>ّ</w:t>
      </w:r>
      <w:r w:rsidRPr="006571AC">
        <w:rPr>
          <w:sz w:val="27"/>
          <w:rtl/>
        </w:rPr>
        <w:t>ة</w:t>
      </w:r>
      <w:r w:rsidRPr="006571AC">
        <w:rPr>
          <w:rFonts w:hint="cs"/>
          <w:sz w:val="27"/>
          <w:rtl/>
        </w:rPr>
        <w:t>ً</w:t>
      </w:r>
      <w:r w:rsidRPr="006571AC">
        <w:rPr>
          <w:sz w:val="27"/>
          <w:rtl/>
        </w:rPr>
        <w:t xml:space="preserve"> لأبي ذر</w:t>
      </w:r>
      <w:r w:rsidRPr="006571AC">
        <w:rPr>
          <w:rFonts w:hint="cs"/>
          <w:sz w:val="27"/>
          <w:rtl/>
        </w:rPr>
        <w:t>ّ،</w:t>
      </w:r>
      <w:r w:rsidRPr="006571AC">
        <w:rPr>
          <w:sz w:val="27"/>
          <w:rtl/>
        </w:rPr>
        <w:t xml:space="preserve"> عن جماعة</w:t>
      </w:r>
      <w:r w:rsidRPr="006571AC">
        <w:rPr>
          <w:rFonts w:hint="cs"/>
          <w:sz w:val="27"/>
          <w:rtl/>
        </w:rPr>
        <w:t>،</w:t>
      </w:r>
      <w:r w:rsidRPr="006571AC">
        <w:rPr>
          <w:sz w:val="27"/>
          <w:rtl/>
        </w:rPr>
        <w:t xml:space="preserve"> عن أبي المفض</w:t>
      </w:r>
      <w:r w:rsidRPr="006571AC">
        <w:rPr>
          <w:rFonts w:hint="cs"/>
          <w:sz w:val="27"/>
          <w:rtl/>
        </w:rPr>
        <w:t>ّ</w:t>
      </w:r>
      <w:r w:rsidR="00F37D63" w:rsidRPr="006571AC">
        <w:rPr>
          <w:rFonts w:hint="cs"/>
          <w:sz w:val="27"/>
          <w:rtl/>
        </w:rPr>
        <w:t>َ</w:t>
      </w:r>
      <w:r w:rsidRPr="006571AC">
        <w:rPr>
          <w:sz w:val="27"/>
          <w:rtl/>
        </w:rPr>
        <w:t>ل، عن رجاء بن يحيى العبرتائي</w:t>
      </w:r>
      <w:r w:rsidRPr="006571AC">
        <w:rPr>
          <w:rFonts w:hint="cs"/>
          <w:sz w:val="27"/>
          <w:rtl/>
        </w:rPr>
        <w:t>ّ</w:t>
      </w:r>
      <w:r w:rsidRPr="006571AC">
        <w:rPr>
          <w:sz w:val="27"/>
          <w:rtl/>
        </w:rPr>
        <w:t>، عن محم</w:t>
      </w:r>
      <w:r w:rsidRPr="006571AC">
        <w:rPr>
          <w:rFonts w:hint="cs"/>
          <w:sz w:val="27"/>
          <w:rtl/>
        </w:rPr>
        <w:t>ّ</w:t>
      </w:r>
      <w:r w:rsidRPr="006571AC">
        <w:rPr>
          <w:sz w:val="27"/>
          <w:rtl/>
        </w:rPr>
        <w:t>د بن الحسن بن شمون، عن عبد الله بن عبد الرحمن الأصم</w:t>
      </w:r>
      <w:r w:rsidRPr="006571AC">
        <w:rPr>
          <w:rFonts w:hint="cs"/>
          <w:sz w:val="27"/>
          <w:rtl/>
        </w:rPr>
        <w:t>ّ</w:t>
      </w:r>
      <w:r w:rsidRPr="006571AC">
        <w:rPr>
          <w:sz w:val="27"/>
          <w:rtl/>
        </w:rPr>
        <w:t>، عن الفضيل بن يسار، عن وهب بن عبد الله الهمداني</w:t>
      </w:r>
      <w:r w:rsidRPr="006571AC">
        <w:rPr>
          <w:rFonts w:hint="cs"/>
          <w:sz w:val="27"/>
          <w:rtl/>
        </w:rPr>
        <w:t>ّ</w:t>
      </w:r>
      <w:r w:rsidRPr="006571AC">
        <w:rPr>
          <w:sz w:val="27"/>
          <w:rtl/>
        </w:rPr>
        <w:t>، عن أبي حرب بن أبي الأسود الد</w:t>
      </w:r>
      <w:r w:rsidRPr="006571AC">
        <w:rPr>
          <w:rFonts w:hint="cs"/>
          <w:sz w:val="27"/>
          <w:rtl/>
        </w:rPr>
        <w:t>ؤ</w:t>
      </w:r>
      <w:r w:rsidRPr="006571AC">
        <w:rPr>
          <w:sz w:val="27"/>
          <w:rtl/>
        </w:rPr>
        <w:t>لي</w:t>
      </w:r>
      <w:r w:rsidRPr="006571AC">
        <w:rPr>
          <w:rFonts w:hint="cs"/>
          <w:sz w:val="27"/>
          <w:rtl/>
        </w:rPr>
        <w:t>ّ</w:t>
      </w:r>
      <w:r w:rsidRPr="006571AC">
        <w:rPr>
          <w:sz w:val="27"/>
          <w:rtl/>
        </w:rPr>
        <w:t>، عن أبيه، عن أبي ذر</w:t>
      </w:r>
      <w:r w:rsidRPr="006571AC">
        <w:rPr>
          <w:rFonts w:hint="cs"/>
          <w:sz w:val="27"/>
          <w:rtl/>
        </w:rPr>
        <w:t>ّ</w:t>
      </w:r>
      <w:r w:rsidRPr="006571AC">
        <w:rPr>
          <w:sz w:val="27"/>
          <w:rtl/>
        </w:rPr>
        <w:t>، عن رسول الله</w:t>
      </w:r>
      <w:r w:rsidRPr="006571AC">
        <w:rPr>
          <w:rFonts w:ascii="Mosawi" w:hAnsi="Mosawi" w:cs="Mosawi"/>
          <w:sz w:val="22"/>
          <w:szCs w:val="22"/>
          <w:rtl/>
        </w:rPr>
        <w:t>|</w:t>
      </w:r>
      <w:r w:rsidRPr="006571AC">
        <w:rPr>
          <w:rFonts w:hint="cs"/>
          <w:sz w:val="27"/>
          <w:rtl/>
        </w:rPr>
        <w:t>...</w:t>
      </w:r>
      <w:r w:rsidR="00F37D63" w:rsidRPr="006571AC">
        <w:rPr>
          <w:rFonts w:hint="cs"/>
          <w:sz w:val="27"/>
          <w:rtl/>
        </w:rPr>
        <w:t xml:space="preserve">، </w:t>
      </w:r>
      <w:r w:rsidRPr="006571AC">
        <w:rPr>
          <w:sz w:val="27"/>
          <w:rtl/>
        </w:rPr>
        <w:t>وذكر الوصي</w:t>
      </w:r>
      <w:r w:rsidRPr="006571AC">
        <w:rPr>
          <w:rFonts w:hint="cs"/>
          <w:sz w:val="27"/>
          <w:rtl/>
        </w:rPr>
        <w:t>ّ</w:t>
      </w:r>
      <w:r w:rsidRPr="006571AC">
        <w:rPr>
          <w:sz w:val="27"/>
          <w:rtl/>
        </w:rPr>
        <w:t xml:space="preserve">ة بطولها. </w:t>
      </w:r>
    </w:p>
    <w:p w:rsidR="008A3F20" w:rsidRPr="006571AC" w:rsidRDefault="008A3F20" w:rsidP="000C6F2A">
      <w:pPr>
        <w:rPr>
          <w:sz w:val="27"/>
          <w:rtl/>
        </w:rPr>
      </w:pPr>
      <w:r w:rsidRPr="006571AC">
        <w:rPr>
          <w:sz w:val="27"/>
          <w:rtl/>
        </w:rPr>
        <w:t>وقد أور</w:t>
      </w:r>
      <w:r w:rsidR="00F37D63" w:rsidRPr="006571AC">
        <w:rPr>
          <w:rFonts w:hint="cs"/>
          <w:sz w:val="27"/>
          <w:rtl/>
        </w:rPr>
        <w:t>َ</w:t>
      </w:r>
      <w:r w:rsidRPr="006571AC">
        <w:rPr>
          <w:sz w:val="27"/>
          <w:rtl/>
        </w:rPr>
        <w:t>د</w:t>
      </w:r>
      <w:r w:rsidR="00F37D63" w:rsidRPr="006571AC">
        <w:rPr>
          <w:rFonts w:hint="cs"/>
          <w:sz w:val="27"/>
          <w:rtl/>
        </w:rPr>
        <w:t>ْ</w:t>
      </w:r>
      <w:r w:rsidRPr="006571AC">
        <w:rPr>
          <w:sz w:val="27"/>
          <w:rtl/>
        </w:rPr>
        <w:t>ت</w:t>
      </w:r>
      <w:r w:rsidRPr="006571AC">
        <w:rPr>
          <w:rFonts w:hint="cs"/>
          <w:sz w:val="27"/>
          <w:rtl/>
        </w:rPr>
        <w:t>ُ</w:t>
      </w:r>
      <w:r w:rsidRPr="006571AC">
        <w:rPr>
          <w:sz w:val="27"/>
          <w:rtl/>
        </w:rPr>
        <w:t xml:space="preserve"> منها فصولا</w:t>
      </w:r>
      <w:r w:rsidRPr="006571AC">
        <w:rPr>
          <w:rFonts w:hint="cs"/>
          <w:sz w:val="27"/>
          <w:rtl/>
        </w:rPr>
        <w:t>ً</w:t>
      </w:r>
      <w:r w:rsidRPr="006571AC">
        <w:rPr>
          <w:sz w:val="27"/>
          <w:rtl/>
        </w:rPr>
        <w:t xml:space="preserve"> في مواضع كثيرة، </w:t>
      </w:r>
      <w:r w:rsidRPr="006571AC">
        <w:rPr>
          <w:b/>
          <w:bCs/>
          <w:sz w:val="27"/>
          <w:rtl/>
        </w:rPr>
        <w:t>وترك</w:t>
      </w:r>
      <w:r w:rsidR="00F37D63" w:rsidRPr="006571AC">
        <w:rPr>
          <w:rFonts w:hint="cs"/>
          <w:b/>
          <w:bCs/>
          <w:sz w:val="27"/>
          <w:rtl/>
        </w:rPr>
        <w:t>ْ</w:t>
      </w:r>
      <w:r w:rsidRPr="006571AC">
        <w:rPr>
          <w:b/>
          <w:bCs/>
          <w:sz w:val="27"/>
          <w:rtl/>
        </w:rPr>
        <w:t>ت</w:t>
      </w:r>
      <w:r w:rsidRPr="006571AC">
        <w:rPr>
          <w:rFonts w:hint="cs"/>
          <w:b/>
          <w:bCs/>
          <w:sz w:val="27"/>
          <w:rtl/>
        </w:rPr>
        <w:t>ُ</w:t>
      </w:r>
      <w:r w:rsidRPr="006571AC">
        <w:rPr>
          <w:b/>
          <w:bCs/>
          <w:sz w:val="27"/>
          <w:rtl/>
        </w:rPr>
        <w:t xml:space="preserve"> السند اختصارا</w:t>
      </w:r>
      <w:r w:rsidRPr="006571AC">
        <w:rPr>
          <w:rFonts w:hint="cs"/>
          <w:b/>
          <w:bCs/>
          <w:sz w:val="27"/>
          <w:rtl/>
        </w:rPr>
        <w:t>ً</w:t>
      </w:r>
      <w:r w:rsidRPr="006571AC">
        <w:rPr>
          <w:rFonts w:hint="cs"/>
          <w:sz w:val="24"/>
          <w:szCs w:val="24"/>
          <w:rtl/>
        </w:rPr>
        <w:t>»</w:t>
      </w:r>
      <w:r w:rsidRPr="006571AC">
        <w:rPr>
          <w:sz w:val="27"/>
          <w:vertAlign w:val="superscript"/>
          <w:rtl/>
        </w:rPr>
        <w:t>(</w:t>
      </w:r>
      <w:r w:rsidRPr="006571AC">
        <w:rPr>
          <w:rStyle w:val="ac"/>
          <w:sz w:val="27"/>
          <w:rtl/>
        </w:rPr>
        <w:endnoteReference w:id="810"/>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وقد عث</w:t>
      </w:r>
      <w:r w:rsidR="00F37D63" w:rsidRPr="006571AC">
        <w:rPr>
          <w:rFonts w:hint="cs"/>
          <w:sz w:val="27"/>
          <w:rtl/>
        </w:rPr>
        <w:t>َ</w:t>
      </w:r>
      <w:r w:rsidRPr="006571AC">
        <w:rPr>
          <w:rFonts w:hint="cs"/>
          <w:sz w:val="27"/>
          <w:rtl/>
        </w:rPr>
        <w:t>ر</w:t>
      </w:r>
      <w:r w:rsidR="00F37D63" w:rsidRPr="006571AC">
        <w:rPr>
          <w:rFonts w:hint="cs"/>
          <w:sz w:val="27"/>
          <w:rtl/>
        </w:rPr>
        <w:t>ْ</w:t>
      </w:r>
      <w:r w:rsidRPr="006571AC">
        <w:rPr>
          <w:rFonts w:hint="cs"/>
          <w:sz w:val="27"/>
          <w:rtl/>
        </w:rPr>
        <w:t>نا على بعض هذه المواضع، فوج</w:t>
      </w:r>
      <w:r w:rsidR="00F37D63" w:rsidRPr="006571AC">
        <w:rPr>
          <w:rFonts w:hint="cs"/>
          <w:sz w:val="27"/>
          <w:rtl/>
        </w:rPr>
        <w:t>َ</w:t>
      </w:r>
      <w:r w:rsidRPr="006571AC">
        <w:rPr>
          <w:rFonts w:hint="cs"/>
          <w:sz w:val="27"/>
          <w:rtl/>
        </w:rPr>
        <w:t>د</w:t>
      </w:r>
      <w:r w:rsidR="00F37D63" w:rsidRPr="006571AC">
        <w:rPr>
          <w:rFonts w:hint="cs"/>
          <w:sz w:val="27"/>
          <w:rtl/>
        </w:rPr>
        <w:t>ْ</w:t>
      </w:r>
      <w:r w:rsidRPr="006571AC">
        <w:rPr>
          <w:rFonts w:hint="cs"/>
          <w:sz w:val="27"/>
          <w:rtl/>
        </w:rPr>
        <w:t xml:space="preserve">نا الأمر كما قال، ومن ذلك: </w:t>
      </w:r>
    </w:p>
    <w:p w:rsidR="008A3F20" w:rsidRPr="006571AC" w:rsidRDefault="008A3F20" w:rsidP="000C6F2A">
      <w:pPr>
        <w:rPr>
          <w:sz w:val="27"/>
          <w:rtl/>
        </w:rPr>
      </w:pPr>
      <w:r w:rsidRPr="006571AC">
        <w:rPr>
          <w:rFonts w:hint="cs"/>
          <w:sz w:val="27"/>
          <w:rtl/>
        </w:rPr>
        <w:t xml:space="preserve">* ما في الباب 5 من أبواب مقدّمة العبادات، ح 8، حيث قال: </w:t>
      </w:r>
      <w:r w:rsidRPr="006571AC">
        <w:rPr>
          <w:rFonts w:hint="cs"/>
          <w:sz w:val="24"/>
          <w:szCs w:val="24"/>
          <w:rtl/>
        </w:rPr>
        <w:t>«</w:t>
      </w:r>
      <w:r w:rsidRPr="006571AC">
        <w:rPr>
          <w:b/>
          <w:bCs/>
          <w:sz w:val="27"/>
          <w:rtl/>
        </w:rPr>
        <w:t xml:space="preserve">وفي </w:t>
      </w:r>
      <w:r w:rsidRPr="006571AC">
        <w:rPr>
          <w:rFonts w:hint="cs"/>
          <w:b/>
          <w:bCs/>
          <w:sz w:val="24"/>
          <w:szCs w:val="24"/>
          <w:rtl/>
        </w:rPr>
        <w:t>«</w:t>
      </w:r>
      <w:r w:rsidRPr="006571AC">
        <w:rPr>
          <w:b/>
          <w:bCs/>
          <w:sz w:val="27"/>
          <w:rtl/>
        </w:rPr>
        <w:t>المجالس وال</w:t>
      </w:r>
      <w:r w:rsidRPr="006571AC">
        <w:rPr>
          <w:rFonts w:hint="cs"/>
          <w:b/>
          <w:bCs/>
          <w:sz w:val="27"/>
          <w:rtl/>
        </w:rPr>
        <w:t>أ</w:t>
      </w:r>
      <w:r w:rsidRPr="006571AC">
        <w:rPr>
          <w:b/>
          <w:bCs/>
          <w:sz w:val="27"/>
          <w:rtl/>
        </w:rPr>
        <w:t>خبار</w:t>
      </w:r>
      <w:r w:rsidRPr="006571AC">
        <w:rPr>
          <w:rFonts w:hint="cs"/>
          <w:b/>
          <w:bCs/>
          <w:sz w:val="24"/>
          <w:szCs w:val="24"/>
          <w:rtl/>
        </w:rPr>
        <w:t>»</w:t>
      </w:r>
      <w:r w:rsidRPr="006571AC">
        <w:rPr>
          <w:b/>
          <w:bCs/>
          <w:sz w:val="27"/>
          <w:rtl/>
        </w:rPr>
        <w:t xml:space="preserve"> بإسناده الآتي</w:t>
      </w:r>
      <w:r w:rsidRPr="006571AC">
        <w:rPr>
          <w:rFonts w:hint="cs"/>
          <w:b/>
          <w:bCs/>
          <w:sz w:val="27"/>
          <w:rtl/>
        </w:rPr>
        <w:t xml:space="preserve"> </w:t>
      </w:r>
      <w:r w:rsidRPr="006571AC">
        <w:rPr>
          <w:b/>
          <w:bCs/>
          <w:sz w:val="27"/>
          <w:rtl/>
        </w:rPr>
        <w:t>عن أبي ذر</w:t>
      </w:r>
      <w:r w:rsidRPr="006571AC">
        <w:rPr>
          <w:rFonts w:hint="cs"/>
          <w:b/>
          <w:bCs/>
          <w:sz w:val="27"/>
          <w:rtl/>
        </w:rPr>
        <w:t>ّ</w:t>
      </w:r>
      <w:r w:rsidRPr="006571AC">
        <w:rPr>
          <w:sz w:val="27"/>
          <w:rtl/>
        </w:rPr>
        <w:t>، عن رسول الله</w:t>
      </w:r>
      <w:r w:rsidRPr="006571AC">
        <w:rPr>
          <w:rFonts w:ascii="Mosawi" w:hAnsi="Mosawi" w:cs="Mosawi"/>
          <w:sz w:val="22"/>
          <w:szCs w:val="22"/>
          <w:rtl/>
        </w:rPr>
        <w:t>|</w:t>
      </w:r>
      <w:r w:rsidR="00F37D63" w:rsidRPr="006571AC">
        <w:rPr>
          <w:rFonts w:hint="cs"/>
          <w:sz w:val="27"/>
          <w:rtl/>
        </w:rPr>
        <w:t>،</w:t>
      </w:r>
      <w:r w:rsidRPr="006571AC">
        <w:rPr>
          <w:sz w:val="27"/>
          <w:rtl/>
        </w:rPr>
        <w:t xml:space="preserve"> في وصي</w:t>
      </w:r>
      <w:r w:rsidRPr="006571AC">
        <w:rPr>
          <w:rFonts w:hint="cs"/>
          <w:sz w:val="27"/>
          <w:rtl/>
        </w:rPr>
        <w:t>ّ</w:t>
      </w:r>
      <w:r w:rsidRPr="006571AC">
        <w:rPr>
          <w:sz w:val="27"/>
          <w:rtl/>
        </w:rPr>
        <w:t>ت</w:t>
      </w:r>
      <w:r w:rsidRPr="006571AC">
        <w:rPr>
          <w:rFonts w:hint="cs"/>
          <w:sz w:val="27"/>
          <w:rtl/>
        </w:rPr>
        <w:t>ه</w:t>
      </w:r>
      <w:r w:rsidRPr="006571AC">
        <w:rPr>
          <w:sz w:val="27"/>
          <w:rtl/>
        </w:rPr>
        <w:t xml:space="preserve"> له، قال: يا أبا ذر</w:t>
      </w:r>
      <w:r w:rsidRPr="006571AC">
        <w:rPr>
          <w:rFonts w:hint="cs"/>
          <w:sz w:val="27"/>
          <w:rtl/>
        </w:rPr>
        <w:t>ّ،</w:t>
      </w:r>
      <w:r w:rsidRPr="006571AC">
        <w:rPr>
          <w:sz w:val="27"/>
          <w:rtl/>
        </w:rPr>
        <w:t xml:space="preserve"> ليكن لك في كل</w:t>
      </w:r>
      <w:r w:rsidRPr="006571AC">
        <w:rPr>
          <w:rFonts w:hint="cs"/>
          <w:sz w:val="27"/>
          <w:rtl/>
        </w:rPr>
        <w:t>ّ</w:t>
      </w:r>
      <w:r w:rsidRPr="006571AC">
        <w:rPr>
          <w:sz w:val="27"/>
          <w:rtl/>
        </w:rPr>
        <w:t xml:space="preserve"> ش</w:t>
      </w:r>
      <w:r w:rsidRPr="006571AC">
        <w:rPr>
          <w:rFonts w:hint="cs"/>
          <w:sz w:val="27"/>
          <w:rtl/>
        </w:rPr>
        <w:t>يء</w:t>
      </w:r>
      <w:r w:rsidR="00F37D63" w:rsidRPr="006571AC">
        <w:rPr>
          <w:rFonts w:hint="cs"/>
          <w:sz w:val="27"/>
          <w:rtl/>
        </w:rPr>
        <w:t>ٍ</w:t>
      </w:r>
      <w:r w:rsidRPr="006571AC">
        <w:rPr>
          <w:sz w:val="27"/>
          <w:rtl/>
        </w:rPr>
        <w:t xml:space="preserve"> ني</w:t>
      </w:r>
      <w:r w:rsidRPr="006571AC">
        <w:rPr>
          <w:rFonts w:hint="cs"/>
          <w:sz w:val="27"/>
          <w:rtl/>
        </w:rPr>
        <w:t>ّ</w:t>
      </w:r>
      <w:r w:rsidRPr="006571AC">
        <w:rPr>
          <w:sz w:val="27"/>
          <w:rtl/>
        </w:rPr>
        <w:t>ة</w:t>
      </w:r>
      <w:r w:rsidR="00F37D63" w:rsidRPr="006571AC">
        <w:rPr>
          <w:rFonts w:hint="cs"/>
          <w:sz w:val="27"/>
          <w:rtl/>
        </w:rPr>
        <w:t>ٌ</w:t>
      </w:r>
      <w:r w:rsidRPr="006571AC">
        <w:rPr>
          <w:sz w:val="27"/>
          <w:rtl/>
        </w:rPr>
        <w:t>، حت</w:t>
      </w:r>
      <w:r w:rsidRPr="006571AC">
        <w:rPr>
          <w:rFonts w:hint="cs"/>
          <w:sz w:val="27"/>
          <w:rtl/>
        </w:rPr>
        <w:t>ّ</w:t>
      </w:r>
      <w:r w:rsidRPr="006571AC">
        <w:rPr>
          <w:sz w:val="27"/>
          <w:rtl/>
        </w:rPr>
        <w:t>ى في النوم وال</w:t>
      </w:r>
      <w:r w:rsidRPr="006571AC">
        <w:rPr>
          <w:rFonts w:hint="cs"/>
          <w:sz w:val="27"/>
          <w:rtl/>
        </w:rPr>
        <w:t>أ</w:t>
      </w:r>
      <w:r w:rsidRPr="006571AC">
        <w:rPr>
          <w:sz w:val="27"/>
          <w:rtl/>
        </w:rPr>
        <w:t>كل</w:t>
      </w:r>
      <w:r w:rsidRPr="006571AC">
        <w:rPr>
          <w:rFonts w:hint="cs"/>
          <w:sz w:val="24"/>
          <w:szCs w:val="24"/>
          <w:rtl/>
        </w:rPr>
        <w:t>»</w:t>
      </w:r>
      <w:r w:rsidRPr="006571AC">
        <w:rPr>
          <w:sz w:val="27"/>
          <w:vertAlign w:val="superscript"/>
          <w:rtl/>
        </w:rPr>
        <w:t>(</w:t>
      </w:r>
      <w:r w:rsidRPr="006571AC">
        <w:rPr>
          <w:rStyle w:val="ac"/>
          <w:sz w:val="27"/>
          <w:rtl/>
        </w:rPr>
        <w:endnoteReference w:id="811"/>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lastRenderedPageBreak/>
        <w:t xml:space="preserve">وفي الفائدة الثالثة قال: </w:t>
      </w:r>
      <w:r w:rsidRPr="006571AC">
        <w:rPr>
          <w:rFonts w:hint="cs"/>
          <w:sz w:val="24"/>
          <w:szCs w:val="24"/>
          <w:rtl/>
        </w:rPr>
        <w:t>«</w:t>
      </w:r>
      <w:r w:rsidRPr="006571AC">
        <w:rPr>
          <w:sz w:val="27"/>
          <w:rtl/>
        </w:rPr>
        <w:t xml:space="preserve">وقد روى </w:t>
      </w:r>
      <w:r w:rsidRPr="006571AC">
        <w:rPr>
          <w:rFonts w:hint="cs"/>
          <w:sz w:val="27"/>
          <w:rtl/>
        </w:rPr>
        <w:t>[أي الشيخ الكلينيّ</w:t>
      </w:r>
      <w:r w:rsidRPr="006571AC">
        <w:rPr>
          <w:rFonts w:ascii="Mosawi" w:hAnsi="Mosawi" w:cs="Mosawi"/>
          <w:sz w:val="22"/>
          <w:szCs w:val="22"/>
          <w:rtl/>
        </w:rPr>
        <w:t>&amp;</w:t>
      </w:r>
      <w:r w:rsidRPr="006571AC">
        <w:rPr>
          <w:rFonts w:hint="cs"/>
          <w:sz w:val="27"/>
          <w:rtl/>
        </w:rPr>
        <w:t xml:space="preserve">] </w:t>
      </w:r>
      <w:r w:rsidRPr="006571AC">
        <w:rPr>
          <w:sz w:val="27"/>
          <w:rtl/>
        </w:rPr>
        <w:t>رسالة</w:t>
      </w:r>
      <w:r w:rsidR="002058BF" w:rsidRPr="006571AC">
        <w:rPr>
          <w:rFonts w:hint="cs"/>
          <w:sz w:val="27"/>
          <w:rtl/>
        </w:rPr>
        <w:t>ً</w:t>
      </w:r>
      <w:r w:rsidRPr="006571AC">
        <w:rPr>
          <w:sz w:val="27"/>
          <w:rtl/>
        </w:rPr>
        <w:t xml:space="preserve"> طويلة لأبي عبد الله</w:t>
      </w:r>
      <w:r w:rsidRPr="006571AC">
        <w:rPr>
          <w:rFonts w:ascii="Mosawi" w:hAnsi="Mosawi" w:cs="Mosawi"/>
          <w:sz w:val="22"/>
          <w:szCs w:val="22"/>
          <w:rtl/>
        </w:rPr>
        <w:t>×</w:t>
      </w:r>
      <w:r w:rsidRPr="006571AC">
        <w:rPr>
          <w:sz w:val="27"/>
          <w:rtl/>
        </w:rPr>
        <w:t xml:space="preserve"> </w:t>
      </w:r>
      <w:r w:rsidRPr="006571AC">
        <w:rPr>
          <w:rFonts w:hint="cs"/>
          <w:sz w:val="27"/>
          <w:rtl/>
        </w:rPr>
        <w:t>ـ</w:t>
      </w:r>
      <w:r w:rsidRPr="006571AC">
        <w:rPr>
          <w:sz w:val="27"/>
          <w:rtl/>
        </w:rPr>
        <w:t xml:space="preserve"> في أو</w:t>
      </w:r>
      <w:r w:rsidRPr="006571AC">
        <w:rPr>
          <w:rFonts w:hint="cs"/>
          <w:sz w:val="27"/>
          <w:rtl/>
        </w:rPr>
        <w:t>ّ</w:t>
      </w:r>
      <w:r w:rsidRPr="006571AC">
        <w:rPr>
          <w:sz w:val="27"/>
          <w:rtl/>
        </w:rPr>
        <w:t xml:space="preserve">ل كتاب الروضة من </w:t>
      </w:r>
      <w:r w:rsidRPr="006571AC">
        <w:rPr>
          <w:rFonts w:hint="cs"/>
          <w:sz w:val="24"/>
          <w:szCs w:val="24"/>
          <w:rtl/>
        </w:rPr>
        <w:t>«</w:t>
      </w:r>
      <w:r w:rsidRPr="006571AC">
        <w:rPr>
          <w:sz w:val="27"/>
          <w:rtl/>
        </w:rPr>
        <w:t>الكافي</w:t>
      </w:r>
      <w:r w:rsidRPr="006571AC">
        <w:rPr>
          <w:rFonts w:hint="cs"/>
          <w:sz w:val="24"/>
          <w:szCs w:val="24"/>
          <w:rtl/>
        </w:rPr>
        <w:t>»</w:t>
      </w:r>
      <w:r w:rsidRPr="006571AC">
        <w:rPr>
          <w:sz w:val="27"/>
          <w:rtl/>
        </w:rPr>
        <w:t xml:space="preserve"> </w:t>
      </w:r>
      <w:r w:rsidRPr="006571AC">
        <w:rPr>
          <w:rFonts w:hint="cs"/>
          <w:sz w:val="27"/>
          <w:rtl/>
        </w:rPr>
        <w:t xml:space="preserve">ـ </w:t>
      </w:r>
      <w:r w:rsidRPr="006571AC">
        <w:rPr>
          <w:b/>
          <w:bCs/>
          <w:sz w:val="27"/>
          <w:rtl/>
        </w:rPr>
        <w:t>وقد حذف</w:t>
      </w:r>
      <w:r w:rsidR="00F37D63" w:rsidRPr="006571AC">
        <w:rPr>
          <w:rFonts w:hint="cs"/>
          <w:b/>
          <w:bCs/>
          <w:sz w:val="27"/>
          <w:rtl/>
        </w:rPr>
        <w:t>ْ</w:t>
      </w:r>
      <w:r w:rsidRPr="006571AC">
        <w:rPr>
          <w:b/>
          <w:bCs/>
          <w:sz w:val="27"/>
          <w:rtl/>
        </w:rPr>
        <w:t>ت</w:t>
      </w:r>
      <w:r w:rsidRPr="006571AC">
        <w:rPr>
          <w:rFonts w:hint="cs"/>
          <w:b/>
          <w:bCs/>
          <w:sz w:val="27"/>
          <w:rtl/>
        </w:rPr>
        <w:t>ُ</w:t>
      </w:r>
      <w:r w:rsidRPr="006571AC">
        <w:rPr>
          <w:b/>
          <w:bCs/>
          <w:sz w:val="27"/>
          <w:rtl/>
        </w:rPr>
        <w:t xml:space="preserve"> سندها في مواضع اختصارا</w:t>
      </w:r>
      <w:r w:rsidRPr="006571AC">
        <w:rPr>
          <w:rFonts w:hint="cs"/>
          <w:b/>
          <w:bCs/>
          <w:sz w:val="27"/>
          <w:rtl/>
        </w:rPr>
        <w:t>ً</w:t>
      </w:r>
      <w:r w:rsidRPr="006571AC">
        <w:rPr>
          <w:rFonts w:hint="cs"/>
          <w:sz w:val="27"/>
          <w:rtl/>
        </w:rPr>
        <w:t>،</w:t>
      </w:r>
      <w:r w:rsidRPr="006571AC">
        <w:rPr>
          <w:sz w:val="27"/>
          <w:rtl/>
        </w:rPr>
        <w:t xml:space="preserve"> وصورته: محم</w:t>
      </w:r>
      <w:r w:rsidRPr="006571AC">
        <w:rPr>
          <w:rFonts w:hint="cs"/>
          <w:sz w:val="27"/>
          <w:rtl/>
        </w:rPr>
        <w:t>ّ</w:t>
      </w:r>
      <w:r w:rsidRPr="006571AC">
        <w:rPr>
          <w:sz w:val="27"/>
          <w:rtl/>
        </w:rPr>
        <w:t>د بن يعقوب الكليني</w:t>
      </w:r>
      <w:r w:rsidRPr="006571AC">
        <w:rPr>
          <w:rFonts w:hint="cs"/>
          <w:sz w:val="27"/>
          <w:rtl/>
        </w:rPr>
        <w:t>ّ</w:t>
      </w:r>
      <w:r w:rsidRPr="006571AC">
        <w:rPr>
          <w:sz w:val="27"/>
          <w:rtl/>
        </w:rPr>
        <w:t xml:space="preserve"> قال: حد</w:t>
      </w:r>
      <w:r w:rsidRPr="006571AC">
        <w:rPr>
          <w:rFonts w:hint="cs"/>
          <w:sz w:val="27"/>
          <w:rtl/>
        </w:rPr>
        <w:t>ّ</w:t>
      </w:r>
      <w:r w:rsidRPr="006571AC">
        <w:rPr>
          <w:sz w:val="27"/>
          <w:rtl/>
        </w:rPr>
        <w:t>ثني علي</w:t>
      </w:r>
      <w:r w:rsidRPr="006571AC">
        <w:rPr>
          <w:rFonts w:hint="cs"/>
          <w:sz w:val="27"/>
          <w:rtl/>
        </w:rPr>
        <w:t>ّ</w:t>
      </w:r>
      <w:r w:rsidRPr="006571AC">
        <w:rPr>
          <w:sz w:val="27"/>
          <w:rtl/>
        </w:rPr>
        <w:t xml:space="preserve"> بن إبراهيم، عن أبيه، عن ابن فض</w:t>
      </w:r>
      <w:r w:rsidRPr="006571AC">
        <w:rPr>
          <w:rFonts w:hint="cs"/>
          <w:sz w:val="27"/>
          <w:rtl/>
        </w:rPr>
        <w:t>ّ</w:t>
      </w:r>
      <w:r w:rsidRPr="006571AC">
        <w:rPr>
          <w:sz w:val="27"/>
          <w:rtl/>
        </w:rPr>
        <w:t>ال، عن حفص المؤذ</w:t>
      </w:r>
      <w:r w:rsidRPr="006571AC">
        <w:rPr>
          <w:rFonts w:hint="cs"/>
          <w:sz w:val="27"/>
          <w:rtl/>
        </w:rPr>
        <w:t>ّ</w:t>
      </w:r>
      <w:r w:rsidRPr="006571AC">
        <w:rPr>
          <w:sz w:val="27"/>
          <w:rtl/>
        </w:rPr>
        <w:t>ن</w:t>
      </w:r>
      <w:r w:rsidRPr="006571AC">
        <w:rPr>
          <w:rFonts w:hint="cs"/>
          <w:sz w:val="27"/>
          <w:rtl/>
        </w:rPr>
        <w:t>،</w:t>
      </w:r>
      <w:r w:rsidRPr="006571AC">
        <w:rPr>
          <w:sz w:val="27"/>
          <w:rtl/>
        </w:rPr>
        <w:t xml:space="preserve"> عن أب</w:t>
      </w:r>
      <w:r w:rsidRPr="006571AC">
        <w:rPr>
          <w:rFonts w:hint="cs"/>
          <w:sz w:val="27"/>
          <w:rtl/>
        </w:rPr>
        <w:t>ي</w:t>
      </w:r>
      <w:r w:rsidRPr="006571AC">
        <w:rPr>
          <w:sz w:val="27"/>
          <w:rtl/>
        </w:rPr>
        <w:t xml:space="preserve"> عبد الله</w:t>
      </w:r>
      <w:r w:rsidRPr="006571AC">
        <w:rPr>
          <w:rFonts w:ascii="Mosawi" w:hAnsi="Mosawi" w:cs="Mosawi"/>
          <w:sz w:val="22"/>
          <w:szCs w:val="22"/>
          <w:rtl/>
        </w:rPr>
        <w:t>×</w:t>
      </w:r>
      <w:r w:rsidRPr="006571AC">
        <w:rPr>
          <w:sz w:val="27"/>
          <w:rtl/>
        </w:rPr>
        <w:t xml:space="preserve">. </w:t>
      </w:r>
    </w:p>
    <w:p w:rsidR="008A3F20" w:rsidRPr="006571AC" w:rsidRDefault="008A3F20" w:rsidP="000C6F2A">
      <w:pPr>
        <w:rPr>
          <w:sz w:val="27"/>
          <w:rtl/>
        </w:rPr>
      </w:pPr>
      <w:r w:rsidRPr="006571AC">
        <w:rPr>
          <w:sz w:val="27"/>
          <w:rtl/>
        </w:rPr>
        <w:t>وعن محم</w:t>
      </w:r>
      <w:r w:rsidRPr="006571AC">
        <w:rPr>
          <w:rFonts w:hint="cs"/>
          <w:sz w:val="27"/>
          <w:rtl/>
        </w:rPr>
        <w:t>ّ</w:t>
      </w:r>
      <w:r w:rsidRPr="006571AC">
        <w:rPr>
          <w:sz w:val="27"/>
          <w:rtl/>
        </w:rPr>
        <w:t xml:space="preserve">د بن </w:t>
      </w:r>
      <w:r w:rsidRPr="006571AC">
        <w:rPr>
          <w:rFonts w:hint="cs"/>
          <w:sz w:val="27"/>
          <w:rtl/>
        </w:rPr>
        <w:t>إ</w:t>
      </w:r>
      <w:r w:rsidRPr="006571AC">
        <w:rPr>
          <w:sz w:val="27"/>
          <w:rtl/>
        </w:rPr>
        <w:t>سماعيل بن بزيع، عن محم</w:t>
      </w:r>
      <w:r w:rsidRPr="006571AC">
        <w:rPr>
          <w:rFonts w:hint="cs"/>
          <w:sz w:val="27"/>
          <w:rtl/>
        </w:rPr>
        <w:t>ّ</w:t>
      </w:r>
      <w:r w:rsidRPr="006571AC">
        <w:rPr>
          <w:sz w:val="27"/>
          <w:rtl/>
        </w:rPr>
        <w:t>د بن سنان، عن إسماعيل بن جابر،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أن</w:t>
      </w:r>
      <w:r w:rsidRPr="006571AC">
        <w:rPr>
          <w:rFonts w:hint="cs"/>
          <w:sz w:val="27"/>
          <w:rtl/>
        </w:rPr>
        <w:t>ّ</w:t>
      </w:r>
      <w:r w:rsidRPr="006571AC">
        <w:rPr>
          <w:sz w:val="27"/>
          <w:rtl/>
        </w:rPr>
        <w:t>ه كتب بهذه الرسالة إلى أصحابه</w:t>
      </w:r>
      <w:r w:rsidRPr="006571AC">
        <w:rPr>
          <w:rFonts w:hint="cs"/>
          <w:sz w:val="27"/>
          <w:rtl/>
        </w:rPr>
        <w:t>،</w:t>
      </w:r>
      <w:r w:rsidRPr="006571AC">
        <w:rPr>
          <w:sz w:val="27"/>
          <w:rtl/>
        </w:rPr>
        <w:t xml:space="preserve"> وأمرهم بمدارستها والنظر فيها وتعاهدها والعمل بها</w:t>
      </w:r>
      <w:r w:rsidRPr="006571AC">
        <w:rPr>
          <w:rFonts w:hint="cs"/>
          <w:sz w:val="27"/>
          <w:rtl/>
        </w:rPr>
        <w:t>،</w:t>
      </w:r>
      <w:r w:rsidRPr="006571AC">
        <w:rPr>
          <w:sz w:val="27"/>
          <w:rtl/>
        </w:rPr>
        <w:t xml:space="preserve"> فكانوا يضعونها في مساجد بيوتهم، فإذا فرغوا من الصلاة نظروا فيها. </w:t>
      </w:r>
    </w:p>
    <w:p w:rsidR="008A3F20" w:rsidRPr="006571AC" w:rsidRDefault="008A3F20" w:rsidP="000C6F2A">
      <w:pPr>
        <w:rPr>
          <w:sz w:val="27"/>
          <w:rtl/>
        </w:rPr>
      </w:pPr>
      <w:r w:rsidRPr="006571AC">
        <w:rPr>
          <w:sz w:val="27"/>
          <w:rtl/>
        </w:rPr>
        <w:t>قال: وحد</w:t>
      </w:r>
      <w:r w:rsidRPr="006571AC">
        <w:rPr>
          <w:rFonts w:hint="cs"/>
          <w:sz w:val="27"/>
          <w:rtl/>
        </w:rPr>
        <w:t>ّ</w:t>
      </w:r>
      <w:r w:rsidRPr="006571AC">
        <w:rPr>
          <w:sz w:val="27"/>
          <w:rtl/>
        </w:rPr>
        <w:t>ثني الحسن بن محم</w:t>
      </w:r>
      <w:r w:rsidRPr="006571AC">
        <w:rPr>
          <w:rFonts w:hint="cs"/>
          <w:sz w:val="27"/>
          <w:rtl/>
        </w:rPr>
        <w:t>ّ</w:t>
      </w:r>
      <w:r w:rsidRPr="006571AC">
        <w:rPr>
          <w:sz w:val="27"/>
          <w:rtl/>
        </w:rPr>
        <w:t>د، عن جعفر بن محم</w:t>
      </w:r>
      <w:r w:rsidRPr="006571AC">
        <w:rPr>
          <w:rFonts w:hint="cs"/>
          <w:sz w:val="27"/>
          <w:rtl/>
        </w:rPr>
        <w:t>ّ</w:t>
      </w:r>
      <w:r w:rsidRPr="006571AC">
        <w:rPr>
          <w:sz w:val="27"/>
          <w:rtl/>
        </w:rPr>
        <w:t>د بن مالك الكوفي، عن القاسم بن الربيع</w:t>
      </w:r>
      <w:r w:rsidRPr="006571AC">
        <w:rPr>
          <w:rFonts w:hint="cs"/>
          <w:sz w:val="27"/>
          <w:rtl/>
        </w:rPr>
        <w:t xml:space="preserve"> </w:t>
      </w:r>
      <w:r w:rsidRPr="006571AC">
        <w:rPr>
          <w:sz w:val="27"/>
          <w:rtl/>
        </w:rPr>
        <w:t>الصح</w:t>
      </w:r>
      <w:r w:rsidRPr="006571AC">
        <w:rPr>
          <w:rFonts w:hint="cs"/>
          <w:sz w:val="27"/>
          <w:rtl/>
        </w:rPr>
        <w:t>ّ</w:t>
      </w:r>
      <w:r w:rsidRPr="006571AC">
        <w:rPr>
          <w:sz w:val="27"/>
          <w:rtl/>
        </w:rPr>
        <w:t xml:space="preserve">اف، عن </w:t>
      </w:r>
      <w:r w:rsidRPr="006571AC">
        <w:rPr>
          <w:rFonts w:hint="cs"/>
          <w:sz w:val="27"/>
          <w:rtl/>
        </w:rPr>
        <w:t>إ</w:t>
      </w:r>
      <w:r w:rsidRPr="006571AC">
        <w:rPr>
          <w:sz w:val="27"/>
          <w:rtl/>
        </w:rPr>
        <w:t>سماعيل بن مخلد</w:t>
      </w:r>
      <w:r w:rsidRPr="006571AC">
        <w:rPr>
          <w:rFonts w:hint="cs"/>
          <w:sz w:val="27"/>
          <w:rtl/>
        </w:rPr>
        <w:t xml:space="preserve"> </w:t>
      </w:r>
      <w:r w:rsidRPr="006571AC">
        <w:rPr>
          <w:sz w:val="27"/>
          <w:rtl/>
        </w:rPr>
        <w:t>السر</w:t>
      </w:r>
      <w:r w:rsidRPr="006571AC">
        <w:rPr>
          <w:rFonts w:hint="cs"/>
          <w:sz w:val="27"/>
          <w:rtl/>
        </w:rPr>
        <w:t>ّ</w:t>
      </w:r>
      <w:r w:rsidRPr="006571AC">
        <w:rPr>
          <w:sz w:val="27"/>
          <w:rtl/>
        </w:rPr>
        <w:t>اج،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قال: خرج</w:t>
      </w:r>
      <w:r w:rsidRPr="006571AC">
        <w:rPr>
          <w:rFonts w:hint="cs"/>
          <w:sz w:val="27"/>
          <w:rtl/>
        </w:rPr>
        <w:t>َ</w:t>
      </w:r>
      <w:r w:rsidRPr="006571AC">
        <w:rPr>
          <w:sz w:val="27"/>
          <w:rtl/>
        </w:rPr>
        <w:t>ت</w:t>
      </w:r>
      <w:r w:rsidRPr="006571AC">
        <w:rPr>
          <w:rFonts w:hint="cs"/>
          <w:sz w:val="27"/>
          <w:rtl/>
        </w:rPr>
        <w:t>ْ</w:t>
      </w:r>
      <w:r w:rsidRPr="006571AC">
        <w:rPr>
          <w:sz w:val="27"/>
          <w:rtl/>
        </w:rPr>
        <w:t xml:space="preserve"> هذه الرسالة من أبي عبد الله</w:t>
      </w:r>
      <w:r w:rsidRPr="006571AC">
        <w:rPr>
          <w:rFonts w:ascii="Mosawi" w:hAnsi="Mosawi" w:cs="Mosawi"/>
          <w:sz w:val="22"/>
          <w:szCs w:val="22"/>
          <w:rtl/>
        </w:rPr>
        <w:t>×</w:t>
      </w:r>
      <w:r w:rsidRPr="006571AC">
        <w:rPr>
          <w:sz w:val="27"/>
          <w:rtl/>
        </w:rPr>
        <w:t xml:space="preserve"> إلى أصحابه</w:t>
      </w:r>
      <w:r w:rsidRPr="006571AC">
        <w:rPr>
          <w:rFonts w:hint="cs"/>
          <w:sz w:val="27"/>
          <w:rtl/>
        </w:rPr>
        <w:t>،</w:t>
      </w:r>
      <w:r w:rsidRPr="006571AC">
        <w:rPr>
          <w:sz w:val="27"/>
          <w:rtl/>
        </w:rPr>
        <w:t xml:space="preserve"> وذكر الرسالة بطولها</w:t>
      </w:r>
      <w:r w:rsidRPr="006571AC">
        <w:rPr>
          <w:rFonts w:hint="cs"/>
          <w:sz w:val="24"/>
          <w:szCs w:val="24"/>
          <w:rtl/>
        </w:rPr>
        <w:t>»</w:t>
      </w:r>
      <w:r w:rsidRPr="006571AC">
        <w:rPr>
          <w:sz w:val="27"/>
          <w:vertAlign w:val="superscript"/>
          <w:rtl/>
        </w:rPr>
        <w:t>(</w:t>
      </w:r>
      <w:r w:rsidRPr="006571AC">
        <w:rPr>
          <w:rStyle w:val="ac"/>
          <w:sz w:val="27"/>
          <w:rtl/>
        </w:rPr>
        <w:endnoteReference w:id="812"/>
      </w:r>
      <w:r w:rsidRPr="006571AC">
        <w:rPr>
          <w:sz w:val="27"/>
          <w:vertAlign w:val="superscript"/>
          <w:rtl/>
        </w:rPr>
        <w:t>)</w:t>
      </w:r>
      <w:r w:rsidRPr="006571AC">
        <w:rPr>
          <w:sz w:val="27"/>
          <w:rtl/>
        </w:rPr>
        <w:t xml:space="preserve">. </w:t>
      </w:r>
    </w:p>
    <w:p w:rsidR="008A3F20" w:rsidRPr="006571AC" w:rsidRDefault="008A3F20" w:rsidP="000C6F2A">
      <w:pPr>
        <w:rPr>
          <w:sz w:val="27"/>
          <w:rtl/>
        </w:rPr>
      </w:pPr>
      <w:r w:rsidRPr="006571AC">
        <w:rPr>
          <w:rFonts w:hint="cs"/>
          <w:sz w:val="27"/>
          <w:rtl/>
        </w:rPr>
        <w:t>وقد عث</w:t>
      </w:r>
      <w:r w:rsidR="00F37D63" w:rsidRPr="006571AC">
        <w:rPr>
          <w:rFonts w:hint="cs"/>
          <w:sz w:val="27"/>
          <w:rtl/>
        </w:rPr>
        <w:t>َ</w:t>
      </w:r>
      <w:r w:rsidRPr="006571AC">
        <w:rPr>
          <w:rFonts w:hint="cs"/>
          <w:sz w:val="27"/>
          <w:rtl/>
        </w:rPr>
        <w:t>ر</w:t>
      </w:r>
      <w:r w:rsidR="00F37D63" w:rsidRPr="006571AC">
        <w:rPr>
          <w:rFonts w:hint="cs"/>
          <w:sz w:val="27"/>
          <w:rtl/>
        </w:rPr>
        <w:t>ْ</w:t>
      </w:r>
      <w:r w:rsidRPr="006571AC">
        <w:rPr>
          <w:rFonts w:hint="cs"/>
          <w:sz w:val="27"/>
          <w:rtl/>
        </w:rPr>
        <w:t>نا على بعض هذه المواضع، فوج</w:t>
      </w:r>
      <w:r w:rsidR="00F37D63" w:rsidRPr="006571AC">
        <w:rPr>
          <w:rFonts w:hint="cs"/>
          <w:sz w:val="27"/>
          <w:rtl/>
        </w:rPr>
        <w:t>َ</w:t>
      </w:r>
      <w:r w:rsidRPr="006571AC">
        <w:rPr>
          <w:rFonts w:hint="cs"/>
          <w:sz w:val="27"/>
          <w:rtl/>
        </w:rPr>
        <w:t>د</w:t>
      </w:r>
      <w:r w:rsidR="00F37D63" w:rsidRPr="006571AC">
        <w:rPr>
          <w:rFonts w:hint="cs"/>
          <w:sz w:val="27"/>
          <w:rtl/>
        </w:rPr>
        <w:t>ْ</w:t>
      </w:r>
      <w:r w:rsidRPr="006571AC">
        <w:rPr>
          <w:rFonts w:hint="cs"/>
          <w:sz w:val="27"/>
          <w:rtl/>
        </w:rPr>
        <w:t xml:space="preserve">نا الأمر كما قال، ومن ذلك: </w:t>
      </w:r>
    </w:p>
    <w:p w:rsidR="008A3F20" w:rsidRPr="006571AC" w:rsidRDefault="008A3F20" w:rsidP="000C6F2A">
      <w:pPr>
        <w:rPr>
          <w:sz w:val="27"/>
          <w:rtl/>
        </w:rPr>
      </w:pPr>
      <w:r w:rsidRPr="006571AC">
        <w:rPr>
          <w:rFonts w:hint="cs"/>
          <w:sz w:val="27"/>
          <w:rtl/>
        </w:rPr>
        <w:t xml:space="preserve">* ما في الباب 6 من أبواب صفات القاضي وما يجوز أن يقضي به، ح 2، حيث قال: </w:t>
      </w:r>
      <w:r w:rsidRPr="006571AC">
        <w:rPr>
          <w:rFonts w:hint="cs"/>
          <w:sz w:val="24"/>
          <w:szCs w:val="24"/>
          <w:rtl/>
        </w:rPr>
        <w:t>«</w:t>
      </w:r>
      <w:r w:rsidRPr="006571AC">
        <w:rPr>
          <w:b/>
          <w:bCs/>
          <w:sz w:val="27"/>
          <w:rtl/>
        </w:rPr>
        <w:t>وب</w:t>
      </w:r>
      <w:r w:rsidRPr="006571AC">
        <w:rPr>
          <w:rFonts w:hint="cs"/>
          <w:b/>
          <w:bCs/>
          <w:sz w:val="27"/>
          <w:rtl/>
        </w:rPr>
        <w:t>إ</w:t>
      </w:r>
      <w:r w:rsidRPr="006571AC">
        <w:rPr>
          <w:b/>
          <w:bCs/>
          <w:sz w:val="27"/>
          <w:rtl/>
        </w:rPr>
        <w:t>سناده</w:t>
      </w:r>
      <w:r w:rsidRPr="006571AC">
        <w:rPr>
          <w:rFonts w:hint="cs"/>
          <w:b/>
          <w:bCs/>
          <w:sz w:val="27"/>
          <w:rtl/>
        </w:rPr>
        <w:t xml:space="preserve"> [الكلينيّ]</w:t>
      </w:r>
      <w:r w:rsidRPr="006571AC">
        <w:rPr>
          <w:b/>
          <w:bCs/>
          <w:sz w:val="27"/>
          <w:rtl/>
        </w:rPr>
        <w:t xml:space="preserve"> ال</w:t>
      </w:r>
      <w:r w:rsidRPr="006571AC">
        <w:rPr>
          <w:rFonts w:hint="cs"/>
          <w:b/>
          <w:bCs/>
          <w:sz w:val="27"/>
          <w:rtl/>
        </w:rPr>
        <w:t>آ</w:t>
      </w:r>
      <w:r w:rsidRPr="006571AC">
        <w:rPr>
          <w:b/>
          <w:bCs/>
          <w:sz w:val="27"/>
          <w:rtl/>
        </w:rPr>
        <w:t>تي عن أبي عبد الله</w:t>
      </w:r>
      <w:r w:rsidRPr="006571AC">
        <w:rPr>
          <w:rFonts w:ascii="Mosawi" w:hAnsi="Mosawi" w:cs="Mosawi"/>
          <w:b/>
          <w:bCs/>
          <w:sz w:val="22"/>
          <w:szCs w:val="22"/>
          <w:rtl/>
        </w:rPr>
        <w:t>×</w:t>
      </w:r>
      <w:r w:rsidR="00F37D63" w:rsidRPr="006571AC">
        <w:rPr>
          <w:rFonts w:hint="cs"/>
          <w:b/>
          <w:bCs/>
          <w:sz w:val="27"/>
          <w:rtl/>
        </w:rPr>
        <w:t>،</w:t>
      </w:r>
      <w:r w:rsidRPr="006571AC">
        <w:rPr>
          <w:b/>
          <w:bCs/>
          <w:sz w:val="27"/>
          <w:rtl/>
        </w:rPr>
        <w:t xml:space="preserve"> في رسالة</w:t>
      </w:r>
      <w:r w:rsidR="00F37D63" w:rsidRPr="006571AC">
        <w:rPr>
          <w:rFonts w:hint="cs"/>
          <w:b/>
          <w:bCs/>
          <w:sz w:val="27"/>
          <w:rtl/>
        </w:rPr>
        <w:t>ٍ</w:t>
      </w:r>
      <w:r w:rsidRPr="006571AC">
        <w:rPr>
          <w:b/>
          <w:bCs/>
          <w:sz w:val="27"/>
          <w:rtl/>
        </w:rPr>
        <w:t xml:space="preserve"> طويلة</w:t>
      </w:r>
      <w:r w:rsidRPr="006571AC">
        <w:rPr>
          <w:sz w:val="27"/>
          <w:rtl/>
        </w:rPr>
        <w:t xml:space="preserve"> له إلى أصحابه أمرهم بالنظر فيها وتعاهدها والعمل بها</w:t>
      </w:r>
      <w:r w:rsidRPr="006571AC">
        <w:rPr>
          <w:rFonts w:hint="cs"/>
          <w:sz w:val="27"/>
          <w:rtl/>
        </w:rPr>
        <w:t>،</w:t>
      </w:r>
      <w:r w:rsidRPr="006571AC">
        <w:rPr>
          <w:sz w:val="27"/>
          <w:rtl/>
        </w:rPr>
        <w:t xml:space="preserve"> من جملتها: أي</w:t>
      </w:r>
      <w:r w:rsidRPr="006571AC">
        <w:rPr>
          <w:rFonts w:hint="cs"/>
          <w:sz w:val="27"/>
          <w:rtl/>
        </w:rPr>
        <w:t>ّ</w:t>
      </w:r>
      <w:r w:rsidRPr="006571AC">
        <w:rPr>
          <w:sz w:val="27"/>
          <w:rtl/>
        </w:rPr>
        <w:t>تها العصابة المرحومة المفلحة</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13"/>
      </w:r>
      <w:r w:rsidRPr="006571AC">
        <w:rPr>
          <w:sz w:val="27"/>
          <w:vertAlign w:val="superscript"/>
          <w:rtl/>
        </w:rPr>
        <w:t>)</w:t>
      </w:r>
      <w:r w:rsidRPr="006571AC">
        <w:rPr>
          <w:rFonts w:hint="cs"/>
          <w:sz w:val="27"/>
          <w:rtl/>
        </w:rPr>
        <w:t>.</w:t>
      </w:r>
    </w:p>
    <w:p w:rsidR="001C0188" w:rsidRPr="006571AC" w:rsidRDefault="001C0188" w:rsidP="001C0188">
      <w:pPr>
        <w:spacing w:line="420" w:lineRule="exact"/>
        <w:rPr>
          <w:rFonts w:ascii="Arabic Typesetting" w:hAnsi="Arabic Typesetting"/>
          <w:sz w:val="27"/>
          <w:rtl/>
          <w:lang w:bidi="ar-LB"/>
        </w:rPr>
      </w:pPr>
      <w:bookmarkStart w:id="501" w:name="_Toc171512720"/>
    </w:p>
    <w:p w:rsidR="008A3F20" w:rsidRPr="006571AC" w:rsidRDefault="008A3F20" w:rsidP="00237DFE">
      <w:pPr>
        <w:pStyle w:val="31"/>
        <w:rPr>
          <w:color w:val="auto"/>
          <w:sz w:val="26"/>
          <w:rtl/>
        </w:rPr>
      </w:pPr>
      <w:bookmarkStart w:id="502" w:name="_Toc114164886"/>
      <w:r w:rsidRPr="006571AC">
        <w:rPr>
          <w:rFonts w:hint="cs"/>
          <w:color w:val="auto"/>
          <w:sz w:val="26"/>
          <w:rtl/>
        </w:rPr>
        <w:t>الإشارة إلى حذف السند، وبشكلٍ مُوهِم إلى موضع السند المحذوف</w:t>
      </w:r>
      <w:bookmarkEnd w:id="501"/>
      <w:bookmarkEnd w:id="502"/>
      <w:r w:rsidRPr="006571AC">
        <w:rPr>
          <w:rFonts w:hint="cs"/>
          <w:color w:val="auto"/>
          <w:sz w:val="26"/>
          <w:rtl/>
        </w:rPr>
        <w:t xml:space="preserve"> </w:t>
      </w:r>
    </w:p>
    <w:p w:rsidR="008A3F20" w:rsidRPr="006571AC" w:rsidRDefault="008A3F20" w:rsidP="000C6F2A">
      <w:pPr>
        <w:rPr>
          <w:sz w:val="27"/>
          <w:rtl/>
        </w:rPr>
      </w:pPr>
      <w:r w:rsidRPr="006571AC">
        <w:rPr>
          <w:rFonts w:hint="cs"/>
          <w:sz w:val="27"/>
          <w:rtl/>
        </w:rPr>
        <w:t xml:space="preserve">وكما يُلاحِظ القارئ </w:t>
      </w:r>
      <w:r w:rsidRPr="006571AC">
        <w:rPr>
          <w:rFonts w:hint="cs"/>
          <w:b/>
          <w:bCs/>
          <w:sz w:val="27"/>
          <w:rtl/>
        </w:rPr>
        <w:t>فإنّه</w:t>
      </w:r>
      <w:r w:rsidRPr="006571AC">
        <w:rPr>
          <w:rFonts w:ascii="Mosawi" w:hAnsi="Mosawi" w:cs="Mosawi"/>
          <w:b/>
          <w:bCs/>
          <w:sz w:val="22"/>
          <w:szCs w:val="22"/>
          <w:rtl/>
        </w:rPr>
        <w:t>&amp;</w:t>
      </w:r>
      <w:r w:rsidRPr="006571AC">
        <w:rPr>
          <w:rFonts w:hint="cs"/>
          <w:b/>
          <w:bCs/>
          <w:sz w:val="27"/>
          <w:rtl/>
        </w:rPr>
        <w:t xml:space="preserve"> يشير إلى حذف السند بقوله: </w:t>
      </w:r>
      <w:r w:rsidRPr="006571AC">
        <w:rPr>
          <w:rFonts w:hint="cs"/>
          <w:b/>
          <w:bCs/>
          <w:sz w:val="24"/>
          <w:szCs w:val="24"/>
          <w:rtl/>
        </w:rPr>
        <w:t>«</w:t>
      </w:r>
      <w:r w:rsidRPr="006571AC">
        <w:rPr>
          <w:rFonts w:hint="cs"/>
          <w:b/>
          <w:bCs/>
          <w:sz w:val="27"/>
          <w:rtl/>
        </w:rPr>
        <w:t>بإسناده</w:t>
      </w:r>
      <w:r w:rsidRPr="006571AC">
        <w:rPr>
          <w:rFonts w:hint="cs"/>
          <w:b/>
          <w:bCs/>
          <w:sz w:val="24"/>
          <w:szCs w:val="24"/>
          <w:rtl/>
        </w:rPr>
        <w:t>»</w:t>
      </w:r>
      <w:r w:rsidRPr="006571AC">
        <w:rPr>
          <w:rFonts w:hint="cs"/>
          <w:sz w:val="27"/>
          <w:rtl/>
        </w:rPr>
        <w:t>، فيعرف الباحث أنّ لهذا الحديث سنداً، لم يُذ</w:t>
      </w:r>
      <w:r w:rsidR="002058BF" w:rsidRPr="006571AC">
        <w:rPr>
          <w:rFonts w:hint="cs"/>
          <w:sz w:val="27"/>
          <w:rtl/>
        </w:rPr>
        <w:t>ْ</w:t>
      </w:r>
      <w:r w:rsidRPr="006571AC">
        <w:rPr>
          <w:rFonts w:hint="cs"/>
          <w:sz w:val="27"/>
          <w:rtl/>
        </w:rPr>
        <w:t>ك</w:t>
      </w:r>
      <w:r w:rsidR="002058BF" w:rsidRPr="006571AC">
        <w:rPr>
          <w:rFonts w:hint="cs"/>
          <w:sz w:val="27"/>
          <w:rtl/>
        </w:rPr>
        <w:t>َر ها</w:t>
      </w:r>
      <w:r w:rsidRPr="006571AC">
        <w:rPr>
          <w:rFonts w:hint="cs"/>
          <w:sz w:val="27"/>
          <w:rtl/>
        </w:rPr>
        <w:t xml:space="preserve">هُنا، ولكنّه مذكورٌ في مكانٍ ما من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أو على الأقلّ يمكن معرفته من المصدر.</w:t>
      </w:r>
    </w:p>
    <w:p w:rsidR="008A3F20" w:rsidRPr="006571AC" w:rsidRDefault="008A3F20" w:rsidP="000C6F2A">
      <w:pPr>
        <w:rPr>
          <w:sz w:val="27"/>
          <w:rtl/>
        </w:rPr>
      </w:pPr>
      <w:r w:rsidRPr="006571AC">
        <w:rPr>
          <w:rFonts w:hint="cs"/>
          <w:b/>
          <w:bCs/>
          <w:sz w:val="27"/>
          <w:rtl/>
        </w:rPr>
        <w:t>ويشير</w:t>
      </w:r>
      <w:r w:rsidRPr="006571AC">
        <w:rPr>
          <w:rFonts w:ascii="Mosawi" w:hAnsi="Mosawi" w:cs="Mosawi"/>
          <w:b/>
          <w:bCs/>
          <w:sz w:val="22"/>
          <w:szCs w:val="22"/>
          <w:rtl/>
        </w:rPr>
        <w:t>&amp;</w:t>
      </w:r>
      <w:r w:rsidRPr="006571AC">
        <w:rPr>
          <w:rFonts w:hint="cs"/>
          <w:b/>
          <w:bCs/>
          <w:sz w:val="27"/>
          <w:rtl/>
        </w:rPr>
        <w:t xml:space="preserve"> إلى وجود السند في الخاتمة بقوله: </w:t>
      </w:r>
      <w:r w:rsidRPr="006571AC">
        <w:rPr>
          <w:rFonts w:hint="cs"/>
          <w:b/>
          <w:bCs/>
          <w:sz w:val="24"/>
          <w:szCs w:val="24"/>
          <w:rtl/>
        </w:rPr>
        <w:t>«</w:t>
      </w:r>
      <w:r w:rsidRPr="006571AC">
        <w:rPr>
          <w:rFonts w:hint="cs"/>
          <w:b/>
          <w:bCs/>
          <w:sz w:val="27"/>
          <w:rtl/>
        </w:rPr>
        <w:t>الآتي</w:t>
      </w:r>
      <w:r w:rsidRPr="006571AC">
        <w:rPr>
          <w:rFonts w:hint="cs"/>
          <w:b/>
          <w:bCs/>
          <w:sz w:val="24"/>
          <w:szCs w:val="24"/>
          <w:rtl/>
        </w:rPr>
        <w:t>»</w:t>
      </w:r>
      <w:r w:rsidRPr="006571AC">
        <w:rPr>
          <w:rFonts w:hint="cs"/>
          <w:b/>
          <w:bCs/>
          <w:sz w:val="27"/>
          <w:rtl/>
        </w:rPr>
        <w:t>، ولكنّه لا يحدّد موضعه بدقّة</w:t>
      </w:r>
      <w:r w:rsidR="00F44418" w:rsidRPr="006571AC">
        <w:rPr>
          <w:rFonts w:hint="cs"/>
          <w:sz w:val="27"/>
          <w:rtl/>
        </w:rPr>
        <w:t>ٍ</w:t>
      </w:r>
      <w:r w:rsidRPr="006571AC">
        <w:rPr>
          <w:rFonts w:hint="cs"/>
          <w:sz w:val="27"/>
          <w:rtl/>
        </w:rPr>
        <w:t>، فيصير البحث عنه أمراً صعباً نوعاً ما.</w:t>
      </w:r>
    </w:p>
    <w:p w:rsidR="008A3F20" w:rsidRPr="006571AC" w:rsidRDefault="008A3F20" w:rsidP="000C6F2A">
      <w:pPr>
        <w:rPr>
          <w:sz w:val="27"/>
          <w:rtl/>
        </w:rPr>
      </w:pPr>
      <w:r w:rsidRPr="006571AC">
        <w:rPr>
          <w:rFonts w:hint="cs"/>
          <w:sz w:val="27"/>
          <w:rtl/>
        </w:rPr>
        <w:t>وقد وفَّر المحقِّقون في مؤسَّسة آل البيت</w:t>
      </w:r>
      <w:r w:rsidRPr="006571AC">
        <w:rPr>
          <w:rFonts w:ascii="Mosawi" w:hAnsi="Mosawi" w:cs="Mosawi"/>
          <w:sz w:val="22"/>
          <w:szCs w:val="22"/>
          <w:rtl/>
        </w:rPr>
        <w:t>^</w:t>
      </w:r>
      <w:r w:rsidRPr="006571AC">
        <w:rPr>
          <w:rFonts w:hint="cs"/>
          <w:sz w:val="27"/>
          <w:rtl/>
        </w:rPr>
        <w:t xml:space="preserve"> لإحياء التراث على الباحث مشقّة البحث عن هذا السند؛ إذ حدّدوا موضعه في الخاتمة بدقّة</w:t>
      </w:r>
      <w:r w:rsidR="002058BF" w:rsidRPr="006571AC">
        <w:rPr>
          <w:rFonts w:hint="cs"/>
          <w:sz w:val="27"/>
          <w:rtl/>
        </w:rPr>
        <w:t>ٍ</w:t>
      </w:r>
      <w:r w:rsidRPr="006571AC">
        <w:rPr>
          <w:rFonts w:hint="cs"/>
          <w:sz w:val="27"/>
          <w:rtl/>
        </w:rPr>
        <w:t>، ومن ذلك:</w:t>
      </w:r>
    </w:p>
    <w:p w:rsidR="008A3F20" w:rsidRPr="006571AC" w:rsidRDefault="008A3F20" w:rsidP="000C6F2A">
      <w:pPr>
        <w:rPr>
          <w:sz w:val="27"/>
          <w:rtl/>
        </w:rPr>
      </w:pPr>
      <w:r w:rsidRPr="006571AC">
        <w:rPr>
          <w:rFonts w:hint="cs"/>
          <w:sz w:val="27"/>
          <w:rtl/>
        </w:rPr>
        <w:lastRenderedPageBreak/>
        <w:t xml:space="preserve">* ما في الباب 16 من أبواب آداب الحمّام، ح 6، حيث قال في ذيله: </w:t>
      </w:r>
      <w:r w:rsidRPr="006571AC">
        <w:rPr>
          <w:rFonts w:hint="cs"/>
          <w:sz w:val="24"/>
          <w:szCs w:val="24"/>
          <w:rtl/>
        </w:rPr>
        <w:t>«</w:t>
      </w:r>
      <w:r w:rsidRPr="006571AC">
        <w:rPr>
          <w:rFonts w:hint="cs"/>
          <w:sz w:val="27"/>
          <w:rtl/>
        </w:rPr>
        <w:t xml:space="preserve">ورواه في </w:t>
      </w:r>
      <w:r w:rsidRPr="006571AC">
        <w:rPr>
          <w:rFonts w:hint="cs"/>
          <w:sz w:val="24"/>
          <w:szCs w:val="24"/>
          <w:rtl/>
        </w:rPr>
        <w:t>«</w:t>
      </w:r>
      <w:r w:rsidRPr="006571AC">
        <w:rPr>
          <w:rFonts w:hint="cs"/>
          <w:sz w:val="27"/>
          <w:rtl/>
        </w:rPr>
        <w:t>الخصال</w:t>
      </w:r>
      <w:r w:rsidRPr="006571AC">
        <w:rPr>
          <w:rFonts w:hint="cs"/>
          <w:sz w:val="24"/>
          <w:szCs w:val="24"/>
          <w:rtl/>
        </w:rPr>
        <w:t>»</w:t>
      </w:r>
      <w:r w:rsidRPr="006571AC">
        <w:rPr>
          <w:rFonts w:hint="cs"/>
          <w:sz w:val="27"/>
          <w:rtl/>
        </w:rPr>
        <w:t xml:space="preserve"> </w:t>
      </w:r>
      <w:r w:rsidRPr="006571AC">
        <w:rPr>
          <w:rFonts w:hint="cs"/>
          <w:b/>
          <w:bCs/>
          <w:sz w:val="27"/>
          <w:rtl/>
        </w:rPr>
        <w:t>بالسند الآتي</w:t>
      </w:r>
      <w:r w:rsidRPr="006571AC">
        <w:rPr>
          <w:rFonts w:hint="cs"/>
          <w:sz w:val="27"/>
          <w:rtl/>
        </w:rPr>
        <w:t xml:space="preserve"> عن أنس بن محمّد، مثله</w:t>
      </w:r>
      <w:r w:rsidRPr="006571AC">
        <w:rPr>
          <w:rFonts w:hint="cs"/>
          <w:sz w:val="24"/>
          <w:szCs w:val="24"/>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 xml:space="preserve">وعلَّق المحقِّقون بقولهم: </w:t>
      </w:r>
      <w:r w:rsidRPr="006571AC">
        <w:rPr>
          <w:rFonts w:hint="cs"/>
          <w:sz w:val="24"/>
          <w:szCs w:val="24"/>
          <w:rtl/>
        </w:rPr>
        <w:t>«</w:t>
      </w:r>
      <w:r w:rsidRPr="006571AC">
        <w:rPr>
          <w:rFonts w:hint="cs"/>
          <w:b/>
          <w:bCs/>
          <w:sz w:val="27"/>
          <w:rtl/>
        </w:rPr>
        <w:t>يأتي في الفائدة الأولى من الخاتمة برمز (خ)</w:t>
      </w:r>
      <w:r w:rsidRPr="006571AC">
        <w:rPr>
          <w:rFonts w:hint="cs"/>
          <w:sz w:val="24"/>
          <w:szCs w:val="24"/>
          <w:rtl/>
        </w:rPr>
        <w:t>»</w:t>
      </w:r>
      <w:r w:rsidRPr="006571AC">
        <w:rPr>
          <w:sz w:val="27"/>
          <w:vertAlign w:val="superscript"/>
          <w:rtl/>
        </w:rPr>
        <w:t>(</w:t>
      </w:r>
      <w:r w:rsidRPr="006571AC">
        <w:rPr>
          <w:rStyle w:val="ac"/>
          <w:sz w:val="27"/>
          <w:rtl/>
        </w:rPr>
        <w:endnoteReference w:id="814"/>
      </w:r>
      <w:r w:rsidRPr="006571AC">
        <w:rPr>
          <w:sz w:val="27"/>
          <w:vertAlign w:val="superscript"/>
          <w:rtl/>
        </w:rPr>
        <w:t>)</w:t>
      </w:r>
      <w:r w:rsidRPr="006571AC">
        <w:rPr>
          <w:rFonts w:hint="cs"/>
          <w:sz w:val="27"/>
          <w:rtl/>
        </w:rPr>
        <w:t>.</w:t>
      </w:r>
    </w:p>
    <w:p w:rsidR="008A3F20" w:rsidRPr="006571AC" w:rsidRDefault="008A3F20" w:rsidP="000C6F2A">
      <w:pPr>
        <w:rPr>
          <w:b/>
          <w:bCs/>
          <w:sz w:val="27"/>
          <w:rtl/>
        </w:rPr>
      </w:pPr>
      <w:r w:rsidRPr="006571AC">
        <w:rPr>
          <w:rFonts w:hint="cs"/>
          <w:b/>
          <w:bCs/>
          <w:sz w:val="27"/>
          <w:rtl/>
        </w:rPr>
        <w:t>ولا يخفى على القارئ ما في تعبير الشيخ الحُرّ</w:t>
      </w:r>
      <w:r w:rsidRPr="006571AC">
        <w:rPr>
          <w:rFonts w:ascii="Mosawi" w:hAnsi="Mosawi" w:cs="Mosawi"/>
          <w:b/>
          <w:bCs/>
          <w:sz w:val="22"/>
          <w:szCs w:val="22"/>
          <w:rtl/>
        </w:rPr>
        <w:t>&amp;</w:t>
      </w:r>
      <w:r w:rsidRPr="006571AC">
        <w:rPr>
          <w:rFonts w:hint="cs"/>
          <w:b/>
          <w:bCs/>
          <w:sz w:val="27"/>
          <w:rtl/>
        </w:rPr>
        <w:t xml:space="preserve"> من الإبهام</w:t>
      </w:r>
      <w:r w:rsidRPr="006571AC">
        <w:rPr>
          <w:rFonts w:hint="cs"/>
          <w:sz w:val="27"/>
          <w:rtl/>
        </w:rPr>
        <w:t xml:space="preserve">، فحين يقول: </w:t>
      </w:r>
      <w:r w:rsidRPr="006571AC">
        <w:rPr>
          <w:rFonts w:hint="cs"/>
          <w:sz w:val="24"/>
          <w:szCs w:val="24"/>
          <w:rtl/>
        </w:rPr>
        <w:t>«</w:t>
      </w:r>
      <w:r w:rsidRPr="006571AC">
        <w:rPr>
          <w:rFonts w:hint="cs"/>
          <w:sz w:val="27"/>
          <w:rtl/>
        </w:rPr>
        <w:t>بالسند الآتي، أو بالأسانيد الآتية</w:t>
      </w:r>
      <w:r w:rsidRPr="006571AC">
        <w:rPr>
          <w:rFonts w:hint="cs"/>
          <w:sz w:val="24"/>
          <w:szCs w:val="24"/>
          <w:rtl/>
        </w:rPr>
        <w:t>»</w:t>
      </w:r>
      <w:r w:rsidRPr="006571AC">
        <w:rPr>
          <w:rFonts w:hint="cs"/>
          <w:sz w:val="27"/>
          <w:rtl/>
        </w:rPr>
        <w:t xml:space="preserve"> يختلط الأمر على الباحث، </w:t>
      </w:r>
      <w:r w:rsidRPr="006571AC">
        <w:rPr>
          <w:rFonts w:hint="cs"/>
          <w:b/>
          <w:bCs/>
          <w:sz w:val="27"/>
          <w:rtl/>
        </w:rPr>
        <w:t>ولا يدري هل أنّ هذا السند سيُذكر في أحد الأحاديث اللاحقة، أو أنّه سيُذكر في الخاتمة؟</w:t>
      </w:r>
    </w:p>
    <w:p w:rsidR="008A3F20" w:rsidRPr="006571AC" w:rsidRDefault="008A3F20" w:rsidP="000C6F2A">
      <w:pPr>
        <w:rPr>
          <w:sz w:val="27"/>
          <w:rtl/>
        </w:rPr>
      </w:pPr>
      <w:r w:rsidRPr="006571AC">
        <w:rPr>
          <w:rFonts w:hint="cs"/>
          <w:b/>
          <w:bCs/>
          <w:sz w:val="27"/>
          <w:rtl/>
        </w:rPr>
        <w:t>ويزيد من هذا الإبهام ما فعله</w:t>
      </w:r>
      <w:r w:rsidRPr="006571AC">
        <w:rPr>
          <w:rFonts w:ascii="Mosawi" w:hAnsi="Mosawi" w:cs="Mosawi"/>
          <w:b/>
          <w:bCs/>
          <w:sz w:val="22"/>
          <w:szCs w:val="22"/>
          <w:rtl/>
        </w:rPr>
        <w:t>&amp;</w:t>
      </w:r>
      <w:r w:rsidRPr="006571AC">
        <w:rPr>
          <w:rFonts w:hint="cs"/>
          <w:b/>
          <w:bCs/>
          <w:sz w:val="27"/>
          <w:rtl/>
        </w:rPr>
        <w:t xml:space="preserve"> من استخدام مثل التعبير المذكور للإشارة إلى أنّ السند سيُذكر في أحد الأحاديث اللاحقة، لا في الخاتمة</w:t>
      </w:r>
      <w:r w:rsidRPr="006571AC">
        <w:rPr>
          <w:rFonts w:hint="cs"/>
          <w:sz w:val="27"/>
          <w:rtl/>
        </w:rPr>
        <w:t>، ومن ذلك:</w:t>
      </w:r>
    </w:p>
    <w:p w:rsidR="008A3F20" w:rsidRPr="006571AC" w:rsidRDefault="008A3F20" w:rsidP="000C6F2A">
      <w:pPr>
        <w:rPr>
          <w:sz w:val="27"/>
          <w:rtl/>
        </w:rPr>
      </w:pPr>
      <w:r w:rsidRPr="006571AC">
        <w:rPr>
          <w:rFonts w:hint="cs"/>
          <w:sz w:val="27"/>
          <w:rtl/>
        </w:rPr>
        <w:t xml:space="preserve">* ما في الباب 1 من أبواب ديات الأعضاء، ح 3، حيث قال: </w:t>
      </w:r>
      <w:r w:rsidRPr="006571AC">
        <w:rPr>
          <w:rFonts w:hint="cs"/>
          <w:sz w:val="24"/>
          <w:szCs w:val="24"/>
          <w:rtl/>
        </w:rPr>
        <w:t>«</w:t>
      </w:r>
      <w:r w:rsidRPr="006571AC">
        <w:rPr>
          <w:b/>
          <w:bCs/>
          <w:sz w:val="27"/>
          <w:rtl/>
        </w:rPr>
        <w:t xml:space="preserve">ورواه </w:t>
      </w:r>
      <w:r w:rsidRPr="006571AC">
        <w:rPr>
          <w:rFonts w:hint="cs"/>
          <w:b/>
          <w:bCs/>
          <w:sz w:val="27"/>
          <w:rtl/>
        </w:rPr>
        <w:t xml:space="preserve">[الطوسيّ] </w:t>
      </w:r>
      <w:r w:rsidRPr="006571AC">
        <w:rPr>
          <w:b/>
          <w:bCs/>
          <w:sz w:val="27"/>
          <w:rtl/>
        </w:rPr>
        <w:t>أيضا</w:t>
      </w:r>
      <w:r w:rsidRPr="006571AC">
        <w:rPr>
          <w:rFonts w:hint="cs"/>
          <w:b/>
          <w:bCs/>
          <w:sz w:val="27"/>
          <w:rtl/>
        </w:rPr>
        <w:t>ً</w:t>
      </w:r>
      <w:r w:rsidRPr="006571AC">
        <w:rPr>
          <w:b/>
          <w:bCs/>
          <w:sz w:val="27"/>
          <w:rtl/>
        </w:rPr>
        <w:t xml:space="preserve"> بأسانيده الآتية إلى كتاب ظريف</w:t>
      </w:r>
      <w:r w:rsidRPr="006571AC">
        <w:rPr>
          <w:rFonts w:hint="cs"/>
          <w:sz w:val="27"/>
          <w:rtl/>
        </w:rPr>
        <w:t>،</w:t>
      </w:r>
      <w:r w:rsidRPr="006571AC">
        <w:rPr>
          <w:sz w:val="27"/>
          <w:rtl/>
        </w:rPr>
        <w:t xml:space="preserve"> </w:t>
      </w:r>
      <w:r w:rsidRPr="006571AC">
        <w:rPr>
          <w:b/>
          <w:bCs/>
          <w:sz w:val="27"/>
          <w:rtl/>
        </w:rPr>
        <w:t>وكذا الصدوق</w:t>
      </w:r>
      <w:r w:rsidRPr="006571AC">
        <w:rPr>
          <w:rFonts w:hint="cs"/>
          <w:sz w:val="27"/>
          <w:rtl/>
        </w:rPr>
        <w:t>،</w:t>
      </w:r>
      <w:r w:rsidRPr="006571AC">
        <w:rPr>
          <w:sz w:val="27"/>
          <w:rtl/>
        </w:rPr>
        <w:t xml:space="preserve"> إلا</w:t>
      </w:r>
      <w:r w:rsidRPr="006571AC">
        <w:rPr>
          <w:rFonts w:hint="cs"/>
          <w:sz w:val="27"/>
          <w:rtl/>
        </w:rPr>
        <w:t>ّ</w:t>
      </w:r>
      <w:r w:rsidRPr="006571AC">
        <w:rPr>
          <w:sz w:val="27"/>
          <w:rtl/>
        </w:rPr>
        <w:t xml:space="preserve"> أن</w:t>
      </w:r>
      <w:r w:rsidRPr="006571AC">
        <w:rPr>
          <w:rFonts w:hint="cs"/>
          <w:sz w:val="27"/>
          <w:rtl/>
        </w:rPr>
        <w:t>ّ</w:t>
      </w:r>
      <w:r w:rsidRPr="006571AC">
        <w:rPr>
          <w:sz w:val="27"/>
          <w:rtl/>
        </w:rPr>
        <w:t xml:space="preserve"> في روايتهما:</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15"/>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وليس في الفائدة الأولى والثانية من الخاتمة، وهما المخصَّصتان لذكر طرق الشيخ الصدوق والشيخ الطوسيّ رحمهما الله، أيّ ذكر لسند الشيخ الصدوق والشيخ الطوسيّ رحمهما الله إلى كتاب ظريف، فأين ذُكر</w:t>
      </w:r>
      <w:r w:rsidR="00C97641" w:rsidRPr="006571AC">
        <w:rPr>
          <w:rFonts w:hint="cs"/>
          <w:sz w:val="27"/>
          <w:rtl/>
        </w:rPr>
        <w:t>َ</w:t>
      </w:r>
      <w:r w:rsidRPr="006571AC">
        <w:rPr>
          <w:rFonts w:hint="cs"/>
          <w:sz w:val="27"/>
          <w:rtl/>
        </w:rPr>
        <w:t>ت</w:t>
      </w:r>
      <w:r w:rsidR="00C97641" w:rsidRPr="006571AC">
        <w:rPr>
          <w:rFonts w:hint="cs"/>
          <w:sz w:val="27"/>
          <w:rtl/>
        </w:rPr>
        <w:t>ْ</w:t>
      </w:r>
      <w:r w:rsidRPr="006571AC">
        <w:rPr>
          <w:rFonts w:hint="cs"/>
          <w:sz w:val="27"/>
          <w:rtl/>
        </w:rPr>
        <w:t xml:space="preserve"> هذه الأسانيد؟</w:t>
      </w:r>
    </w:p>
    <w:p w:rsidR="008A3F20" w:rsidRPr="006571AC" w:rsidRDefault="008A3F20" w:rsidP="000C6F2A">
      <w:pPr>
        <w:rPr>
          <w:b/>
          <w:bCs/>
          <w:sz w:val="27"/>
          <w:rtl/>
        </w:rPr>
      </w:pPr>
      <w:r w:rsidRPr="006571AC">
        <w:rPr>
          <w:rFonts w:hint="cs"/>
          <w:sz w:val="27"/>
          <w:rtl/>
        </w:rPr>
        <w:t xml:space="preserve">الصحيحُ أنّها ذُكرت في الباب 2 من أبواب ديات الأعضاء، ح 4، حيث قال: </w:t>
      </w:r>
      <w:r w:rsidRPr="006571AC">
        <w:rPr>
          <w:rFonts w:hint="cs"/>
          <w:sz w:val="24"/>
          <w:szCs w:val="24"/>
          <w:rtl/>
        </w:rPr>
        <w:t>«</w:t>
      </w:r>
      <w:r w:rsidRPr="006571AC">
        <w:rPr>
          <w:b/>
          <w:bCs/>
          <w:sz w:val="27"/>
          <w:rtl/>
        </w:rPr>
        <w:t>ورواه الصدوق ب</w:t>
      </w:r>
      <w:r w:rsidRPr="006571AC">
        <w:rPr>
          <w:rFonts w:hint="cs"/>
          <w:b/>
          <w:bCs/>
          <w:sz w:val="27"/>
          <w:rtl/>
        </w:rPr>
        <w:t>إ</w:t>
      </w:r>
      <w:r w:rsidRPr="006571AC">
        <w:rPr>
          <w:b/>
          <w:bCs/>
          <w:sz w:val="27"/>
          <w:rtl/>
        </w:rPr>
        <w:t>سناده عن الحسن بن علي</w:t>
      </w:r>
      <w:r w:rsidRPr="006571AC">
        <w:rPr>
          <w:rFonts w:hint="cs"/>
          <w:b/>
          <w:bCs/>
          <w:sz w:val="27"/>
          <w:rtl/>
        </w:rPr>
        <w:t>ّ</w:t>
      </w:r>
      <w:r w:rsidRPr="006571AC">
        <w:rPr>
          <w:b/>
          <w:bCs/>
          <w:sz w:val="27"/>
          <w:rtl/>
        </w:rPr>
        <w:t xml:space="preserve"> بن فض</w:t>
      </w:r>
      <w:r w:rsidRPr="006571AC">
        <w:rPr>
          <w:rFonts w:hint="cs"/>
          <w:b/>
          <w:bCs/>
          <w:sz w:val="27"/>
          <w:rtl/>
        </w:rPr>
        <w:t>ّ</w:t>
      </w:r>
      <w:r w:rsidRPr="006571AC">
        <w:rPr>
          <w:b/>
          <w:bCs/>
          <w:sz w:val="27"/>
          <w:rtl/>
        </w:rPr>
        <w:t>ال، عن ظريف بن ناصح، عن عبد الله بن أي</w:t>
      </w:r>
      <w:r w:rsidRPr="006571AC">
        <w:rPr>
          <w:rFonts w:hint="cs"/>
          <w:b/>
          <w:bCs/>
          <w:sz w:val="27"/>
          <w:rtl/>
        </w:rPr>
        <w:t>ّ</w:t>
      </w:r>
      <w:r w:rsidRPr="006571AC">
        <w:rPr>
          <w:b/>
          <w:bCs/>
          <w:sz w:val="27"/>
          <w:rtl/>
        </w:rPr>
        <w:t>وب، عن الحسين الرواسي</w:t>
      </w:r>
      <w:r w:rsidRPr="006571AC">
        <w:rPr>
          <w:rFonts w:hint="cs"/>
          <w:b/>
          <w:bCs/>
          <w:sz w:val="27"/>
          <w:rtl/>
        </w:rPr>
        <w:t>ّ</w:t>
      </w:r>
      <w:r w:rsidRPr="006571AC">
        <w:rPr>
          <w:b/>
          <w:bCs/>
          <w:sz w:val="27"/>
          <w:rtl/>
        </w:rPr>
        <w:t>، عن أبي عمرو المتطب</w:t>
      </w:r>
      <w:r w:rsidRPr="006571AC">
        <w:rPr>
          <w:rFonts w:hint="cs"/>
          <w:b/>
          <w:bCs/>
          <w:sz w:val="27"/>
          <w:rtl/>
        </w:rPr>
        <w:t>ّ</w:t>
      </w:r>
      <w:r w:rsidR="00F44418" w:rsidRPr="006571AC">
        <w:rPr>
          <w:rFonts w:hint="cs"/>
          <w:b/>
          <w:bCs/>
          <w:sz w:val="27"/>
          <w:rtl/>
        </w:rPr>
        <w:t>ِ</w:t>
      </w:r>
      <w:r w:rsidRPr="006571AC">
        <w:rPr>
          <w:b/>
          <w:bCs/>
          <w:sz w:val="27"/>
          <w:rtl/>
        </w:rPr>
        <w:t>ب قال: عرضت</w:t>
      </w:r>
      <w:r w:rsidRPr="006571AC">
        <w:rPr>
          <w:rFonts w:hint="cs"/>
          <w:b/>
          <w:bCs/>
          <w:sz w:val="27"/>
          <w:rtl/>
        </w:rPr>
        <w:t>ُ</w:t>
      </w:r>
      <w:r w:rsidRPr="006571AC">
        <w:rPr>
          <w:b/>
          <w:bCs/>
          <w:sz w:val="27"/>
          <w:rtl/>
        </w:rPr>
        <w:t xml:space="preserve"> هذه الرواية على أبي عبد الله</w:t>
      </w:r>
      <w:r w:rsidRPr="006571AC">
        <w:rPr>
          <w:rFonts w:ascii="Mosawi" w:hAnsi="Mosawi" w:cs="Mosawi"/>
          <w:b/>
          <w:bCs/>
          <w:sz w:val="22"/>
          <w:szCs w:val="22"/>
          <w:rtl/>
        </w:rPr>
        <w:t>×</w:t>
      </w:r>
      <w:r w:rsidRPr="006571AC">
        <w:rPr>
          <w:rFonts w:hint="cs"/>
          <w:b/>
          <w:bCs/>
          <w:sz w:val="27"/>
          <w:rtl/>
        </w:rPr>
        <w:t>،</w:t>
      </w:r>
      <w:r w:rsidRPr="006571AC">
        <w:rPr>
          <w:b/>
          <w:bCs/>
          <w:sz w:val="27"/>
          <w:rtl/>
        </w:rPr>
        <w:t xml:space="preserve"> فقال: نعم</w:t>
      </w:r>
      <w:r w:rsidRPr="006571AC">
        <w:rPr>
          <w:rFonts w:hint="cs"/>
          <w:b/>
          <w:bCs/>
          <w:sz w:val="27"/>
          <w:rtl/>
        </w:rPr>
        <w:t>،</w:t>
      </w:r>
      <w:r w:rsidRPr="006571AC">
        <w:rPr>
          <w:b/>
          <w:bCs/>
          <w:sz w:val="27"/>
          <w:rtl/>
        </w:rPr>
        <w:t xml:space="preserve"> هي حق</w:t>
      </w:r>
      <w:r w:rsidRPr="006571AC">
        <w:rPr>
          <w:rFonts w:hint="cs"/>
          <w:b/>
          <w:bCs/>
          <w:sz w:val="27"/>
          <w:rtl/>
        </w:rPr>
        <w:t>ّ،</w:t>
      </w:r>
      <w:r w:rsidRPr="006571AC">
        <w:rPr>
          <w:b/>
          <w:bCs/>
          <w:sz w:val="27"/>
          <w:rtl/>
        </w:rPr>
        <w:t xml:space="preserve"> وقد كان أمير المؤمنين</w:t>
      </w:r>
      <w:r w:rsidRPr="006571AC">
        <w:rPr>
          <w:rFonts w:ascii="Mosawi" w:hAnsi="Mosawi" w:cs="Mosawi"/>
          <w:b/>
          <w:bCs/>
          <w:sz w:val="22"/>
          <w:szCs w:val="22"/>
          <w:rtl/>
        </w:rPr>
        <w:t>×</w:t>
      </w:r>
      <w:r w:rsidRPr="006571AC">
        <w:rPr>
          <w:b/>
          <w:bCs/>
          <w:sz w:val="27"/>
          <w:rtl/>
        </w:rPr>
        <w:t xml:space="preserve"> يأمر عم</w:t>
      </w:r>
      <w:r w:rsidRPr="006571AC">
        <w:rPr>
          <w:rFonts w:hint="cs"/>
          <w:b/>
          <w:bCs/>
          <w:sz w:val="27"/>
          <w:rtl/>
        </w:rPr>
        <w:t>ّ</w:t>
      </w:r>
      <w:r w:rsidRPr="006571AC">
        <w:rPr>
          <w:b/>
          <w:bCs/>
          <w:sz w:val="27"/>
          <w:rtl/>
        </w:rPr>
        <w:t>اله بذلك، ثم</w:t>
      </w:r>
      <w:r w:rsidRPr="006571AC">
        <w:rPr>
          <w:rFonts w:hint="cs"/>
          <w:b/>
          <w:bCs/>
          <w:sz w:val="27"/>
          <w:rtl/>
        </w:rPr>
        <w:t>ّ</w:t>
      </w:r>
      <w:r w:rsidRPr="006571AC">
        <w:rPr>
          <w:b/>
          <w:bCs/>
          <w:sz w:val="27"/>
          <w:rtl/>
        </w:rPr>
        <w:t xml:space="preserve"> ذكر الحديث بطوله. </w:t>
      </w:r>
    </w:p>
    <w:p w:rsidR="008A3F20" w:rsidRPr="006571AC" w:rsidRDefault="008A3F20" w:rsidP="000C6F2A">
      <w:pPr>
        <w:rPr>
          <w:b/>
          <w:bCs/>
          <w:sz w:val="27"/>
          <w:rtl/>
        </w:rPr>
      </w:pPr>
      <w:r w:rsidRPr="006571AC">
        <w:rPr>
          <w:b/>
          <w:bCs/>
          <w:sz w:val="27"/>
          <w:rtl/>
        </w:rPr>
        <w:t>ورواه الشيخ ب</w:t>
      </w:r>
      <w:r w:rsidRPr="006571AC">
        <w:rPr>
          <w:rFonts w:hint="cs"/>
          <w:b/>
          <w:bCs/>
          <w:sz w:val="27"/>
          <w:rtl/>
        </w:rPr>
        <w:t>إ</w:t>
      </w:r>
      <w:r w:rsidRPr="006571AC">
        <w:rPr>
          <w:b/>
          <w:bCs/>
          <w:sz w:val="27"/>
          <w:rtl/>
        </w:rPr>
        <w:t xml:space="preserve">سناده عن سهل بن زياد. </w:t>
      </w:r>
    </w:p>
    <w:p w:rsidR="008A3F20" w:rsidRPr="006571AC" w:rsidRDefault="008A3F20" w:rsidP="00C97641">
      <w:pPr>
        <w:rPr>
          <w:b/>
          <w:bCs/>
          <w:sz w:val="27"/>
          <w:rtl/>
        </w:rPr>
      </w:pPr>
      <w:r w:rsidRPr="006571AC">
        <w:rPr>
          <w:b/>
          <w:bCs/>
          <w:sz w:val="27"/>
          <w:rtl/>
        </w:rPr>
        <w:t>وب</w:t>
      </w:r>
      <w:r w:rsidRPr="006571AC">
        <w:rPr>
          <w:rFonts w:hint="cs"/>
          <w:b/>
          <w:bCs/>
          <w:sz w:val="27"/>
          <w:rtl/>
        </w:rPr>
        <w:t>إ</w:t>
      </w:r>
      <w:r w:rsidRPr="006571AC">
        <w:rPr>
          <w:b/>
          <w:bCs/>
          <w:sz w:val="27"/>
          <w:rtl/>
        </w:rPr>
        <w:t>سناده عن محم</w:t>
      </w:r>
      <w:r w:rsidRPr="006571AC">
        <w:rPr>
          <w:rFonts w:hint="cs"/>
          <w:b/>
          <w:bCs/>
          <w:sz w:val="27"/>
          <w:rtl/>
        </w:rPr>
        <w:t>ّ</w:t>
      </w:r>
      <w:r w:rsidRPr="006571AC">
        <w:rPr>
          <w:b/>
          <w:bCs/>
          <w:sz w:val="27"/>
          <w:rtl/>
        </w:rPr>
        <w:t>د بن الحسن بن الوليد، عن محم</w:t>
      </w:r>
      <w:r w:rsidRPr="006571AC">
        <w:rPr>
          <w:rFonts w:hint="cs"/>
          <w:b/>
          <w:bCs/>
          <w:sz w:val="27"/>
          <w:rtl/>
        </w:rPr>
        <w:t>ّ</w:t>
      </w:r>
      <w:r w:rsidRPr="006571AC">
        <w:rPr>
          <w:b/>
          <w:bCs/>
          <w:sz w:val="27"/>
          <w:rtl/>
        </w:rPr>
        <w:t>د بن الحسن الصف</w:t>
      </w:r>
      <w:r w:rsidRPr="006571AC">
        <w:rPr>
          <w:rFonts w:hint="cs"/>
          <w:b/>
          <w:bCs/>
          <w:sz w:val="27"/>
          <w:rtl/>
        </w:rPr>
        <w:t>ّ</w:t>
      </w:r>
      <w:r w:rsidRPr="006571AC">
        <w:rPr>
          <w:b/>
          <w:bCs/>
          <w:sz w:val="27"/>
          <w:rtl/>
        </w:rPr>
        <w:t>ار، عن أحمد بن محم</w:t>
      </w:r>
      <w:r w:rsidRPr="006571AC">
        <w:rPr>
          <w:rFonts w:hint="cs"/>
          <w:b/>
          <w:bCs/>
          <w:sz w:val="27"/>
          <w:rtl/>
        </w:rPr>
        <w:t>ّ</w:t>
      </w:r>
      <w:r w:rsidRPr="006571AC">
        <w:rPr>
          <w:b/>
          <w:bCs/>
          <w:sz w:val="27"/>
          <w:rtl/>
        </w:rPr>
        <w:t>د بن عيسى، عن الحسن بن علي</w:t>
      </w:r>
      <w:r w:rsidRPr="006571AC">
        <w:rPr>
          <w:rFonts w:hint="cs"/>
          <w:b/>
          <w:bCs/>
          <w:sz w:val="27"/>
          <w:rtl/>
        </w:rPr>
        <w:t>ّ</w:t>
      </w:r>
      <w:r w:rsidRPr="006571AC">
        <w:rPr>
          <w:b/>
          <w:bCs/>
          <w:sz w:val="27"/>
          <w:rtl/>
        </w:rPr>
        <w:t xml:space="preserve"> بن فض</w:t>
      </w:r>
      <w:r w:rsidRPr="006571AC">
        <w:rPr>
          <w:rFonts w:hint="cs"/>
          <w:b/>
          <w:bCs/>
          <w:sz w:val="27"/>
          <w:rtl/>
        </w:rPr>
        <w:t>ّا</w:t>
      </w:r>
      <w:r w:rsidRPr="006571AC">
        <w:rPr>
          <w:b/>
          <w:bCs/>
          <w:sz w:val="27"/>
          <w:rtl/>
        </w:rPr>
        <w:t xml:space="preserve">ل، عن ظريف بن ناصح. </w:t>
      </w:r>
    </w:p>
    <w:p w:rsidR="008A3F20" w:rsidRPr="006571AC" w:rsidRDefault="008A3F20" w:rsidP="000C6F2A">
      <w:pPr>
        <w:rPr>
          <w:b/>
          <w:bCs/>
          <w:sz w:val="27"/>
          <w:rtl/>
        </w:rPr>
      </w:pPr>
      <w:r w:rsidRPr="006571AC">
        <w:rPr>
          <w:b/>
          <w:bCs/>
          <w:sz w:val="27"/>
          <w:rtl/>
        </w:rPr>
        <w:t>وعنه، عن أحمد بن إدريس، عن محم</w:t>
      </w:r>
      <w:r w:rsidRPr="006571AC">
        <w:rPr>
          <w:rFonts w:hint="cs"/>
          <w:b/>
          <w:bCs/>
          <w:sz w:val="27"/>
          <w:rtl/>
        </w:rPr>
        <w:t>ّ</w:t>
      </w:r>
      <w:r w:rsidRPr="006571AC">
        <w:rPr>
          <w:b/>
          <w:bCs/>
          <w:sz w:val="27"/>
          <w:rtl/>
        </w:rPr>
        <w:t>د بن حسان الرازي</w:t>
      </w:r>
      <w:r w:rsidRPr="006571AC">
        <w:rPr>
          <w:rFonts w:hint="cs"/>
          <w:b/>
          <w:bCs/>
          <w:sz w:val="27"/>
          <w:rtl/>
        </w:rPr>
        <w:t>ّ</w:t>
      </w:r>
      <w:r w:rsidRPr="006571AC">
        <w:rPr>
          <w:b/>
          <w:bCs/>
          <w:sz w:val="27"/>
          <w:rtl/>
        </w:rPr>
        <w:t>، عن إسماعيل بن جعفر الكندي</w:t>
      </w:r>
      <w:r w:rsidRPr="006571AC">
        <w:rPr>
          <w:rFonts w:hint="cs"/>
          <w:b/>
          <w:bCs/>
          <w:sz w:val="27"/>
          <w:rtl/>
        </w:rPr>
        <w:t>ّ</w:t>
      </w:r>
      <w:r w:rsidRPr="006571AC">
        <w:rPr>
          <w:b/>
          <w:bCs/>
          <w:sz w:val="27"/>
          <w:rtl/>
        </w:rPr>
        <w:t xml:space="preserve">، عن ظريف بن ناصح. </w:t>
      </w:r>
    </w:p>
    <w:p w:rsidR="008A3F20" w:rsidRPr="006571AC" w:rsidRDefault="008A3F20" w:rsidP="000C6F2A">
      <w:pPr>
        <w:rPr>
          <w:b/>
          <w:bCs/>
          <w:sz w:val="27"/>
          <w:rtl/>
        </w:rPr>
      </w:pPr>
      <w:r w:rsidRPr="006571AC">
        <w:rPr>
          <w:b/>
          <w:bCs/>
          <w:sz w:val="27"/>
          <w:rtl/>
        </w:rPr>
        <w:t>وب</w:t>
      </w:r>
      <w:r w:rsidRPr="006571AC">
        <w:rPr>
          <w:rFonts w:hint="cs"/>
          <w:b/>
          <w:bCs/>
          <w:sz w:val="27"/>
          <w:rtl/>
        </w:rPr>
        <w:t>إ</w:t>
      </w:r>
      <w:r w:rsidRPr="006571AC">
        <w:rPr>
          <w:b/>
          <w:bCs/>
          <w:sz w:val="27"/>
          <w:rtl/>
        </w:rPr>
        <w:t>سناده عن أحمد بن محم</w:t>
      </w:r>
      <w:r w:rsidRPr="006571AC">
        <w:rPr>
          <w:rFonts w:hint="cs"/>
          <w:b/>
          <w:bCs/>
          <w:sz w:val="27"/>
          <w:rtl/>
        </w:rPr>
        <w:t>ّ</w:t>
      </w:r>
      <w:r w:rsidRPr="006571AC">
        <w:rPr>
          <w:b/>
          <w:bCs/>
          <w:sz w:val="27"/>
          <w:rtl/>
        </w:rPr>
        <w:t>د بن يحيى، عن العب</w:t>
      </w:r>
      <w:r w:rsidRPr="006571AC">
        <w:rPr>
          <w:rFonts w:hint="cs"/>
          <w:b/>
          <w:bCs/>
          <w:sz w:val="27"/>
          <w:rtl/>
        </w:rPr>
        <w:t>ّ</w:t>
      </w:r>
      <w:r w:rsidRPr="006571AC">
        <w:rPr>
          <w:b/>
          <w:bCs/>
          <w:sz w:val="27"/>
          <w:rtl/>
        </w:rPr>
        <w:t>اس بن معروف، عن الحسن بن علي</w:t>
      </w:r>
      <w:r w:rsidRPr="006571AC">
        <w:rPr>
          <w:rFonts w:hint="cs"/>
          <w:b/>
          <w:bCs/>
          <w:sz w:val="27"/>
          <w:rtl/>
        </w:rPr>
        <w:t>ّ</w:t>
      </w:r>
      <w:r w:rsidRPr="006571AC">
        <w:rPr>
          <w:b/>
          <w:bCs/>
          <w:sz w:val="27"/>
          <w:rtl/>
        </w:rPr>
        <w:t xml:space="preserve"> بن فض</w:t>
      </w:r>
      <w:r w:rsidRPr="006571AC">
        <w:rPr>
          <w:rFonts w:hint="cs"/>
          <w:b/>
          <w:bCs/>
          <w:sz w:val="27"/>
          <w:rtl/>
        </w:rPr>
        <w:t>ّ</w:t>
      </w:r>
      <w:r w:rsidRPr="006571AC">
        <w:rPr>
          <w:b/>
          <w:bCs/>
          <w:sz w:val="27"/>
          <w:rtl/>
        </w:rPr>
        <w:t xml:space="preserve">ال، عن ظريف بن ناصح. </w:t>
      </w:r>
    </w:p>
    <w:p w:rsidR="008A3F20" w:rsidRPr="006571AC" w:rsidRDefault="008A3F20" w:rsidP="000C6F2A">
      <w:pPr>
        <w:rPr>
          <w:b/>
          <w:bCs/>
          <w:sz w:val="27"/>
          <w:rtl/>
        </w:rPr>
      </w:pPr>
      <w:r w:rsidRPr="006571AC">
        <w:rPr>
          <w:b/>
          <w:bCs/>
          <w:sz w:val="27"/>
          <w:rtl/>
        </w:rPr>
        <w:t>وب</w:t>
      </w:r>
      <w:r w:rsidRPr="006571AC">
        <w:rPr>
          <w:rFonts w:hint="cs"/>
          <w:b/>
          <w:bCs/>
          <w:sz w:val="27"/>
          <w:rtl/>
        </w:rPr>
        <w:t>إ</w:t>
      </w:r>
      <w:r w:rsidRPr="006571AC">
        <w:rPr>
          <w:b/>
          <w:bCs/>
          <w:sz w:val="27"/>
          <w:rtl/>
        </w:rPr>
        <w:t>سناده عن علي</w:t>
      </w:r>
      <w:r w:rsidRPr="006571AC">
        <w:rPr>
          <w:rFonts w:hint="cs"/>
          <w:b/>
          <w:bCs/>
          <w:sz w:val="27"/>
          <w:rtl/>
        </w:rPr>
        <w:t>ّ</w:t>
      </w:r>
      <w:r w:rsidRPr="006571AC">
        <w:rPr>
          <w:b/>
          <w:bCs/>
          <w:sz w:val="27"/>
          <w:rtl/>
        </w:rPr>
        <w:t xml:space="preserve"> بن إبراهيم، عن أبيه، عن ابن فض</w:t>
      </w:r>
      <w:r w:rsidRPr="006571AC">
        <w:rPr>
          <w:rFonts w:hint="cs"/>
          <w:b/>
          <w:bCs/>
          <w:sz w:val="27"/>
          <w:rtl/>
        </w:rPr>
        <w:t>ّ</w:t>
      </w:r>
      <w:r w:rsidRPr="006571AC">
        <w:rPr>
          <w:b/>
          <w:bCs/>
          <w:sz w:val="27"/>
          <w:rtl/>
        </w:rPr>
        <w:t>ال، عن ظريف بن ناصح.</w:t>
      </w:r>
    </w:p>
    <w:p w:rsidR="008A3F20" w:rsidRPr="006571AC" w:rsidRDefault="008A3F20" w:rsidP="000C6F2A">
      <w:pPr>
        <w:rPr>
          <w:sz w:val="27"/>
          <w:rtl/>
        </w:rPr>
      </w:pPr>
      <w:r w:rsidRPr="006571AC">
        <w:rPr>
          <w:b/>
          <w:bCs/>
          <w:sz w:val="27"/>
          <w:rtl/>
        </w:rPr>
        <w:lastRenderedPageBreak/>
        <w:t>وب</w:t>
      </w:r>
      <w:r w:rsidRPr="006571AC">
        <w:rPr>
          <w:rFonts w:hint="cs"/>
          <w:b/>
          <w:bCs/>
          <w:sz w:val="27"/>
          <w:rtl/>
        </w:rPr>
        <w:t>إ</w:t>
      </w:r>
      <w:r w:rsidRPr="006571AC">
        <w:rPr>
          <w:b/>
          <w:bCs/>
          <w:sz w:val="27"/>
          <w:rtl/>
        </w:rPr>
        <w:t>سناده عن سهل بن زياد، عن الحسن بن ظريف، عن أبيه ظريف بن ناصح</w:t>
      </w:r>
      <w:r w:rsidRPr="006571AC">
        <w:rPr>
          <w:rFonts w:hint="cs"/>
          <w:b/>
          <w:bCs/>
          <w:sz w:val="27"/>
          <w:rtl/>
        </w:rPr>
        <w:t>،</w:t>
      </w:r>
      <w:r w:rsidRPr="006571AC">
        <w:rPr>
          <w:b/>
          <w:bCs/>
          <w:sz w:val="27"/>
          <w:rtl/>
        </w:rPr>
        <w:t xml:space="preserve"> قال: عرضت</w:t>
      </w:r>
      <w:r w:rsidRPr="006571AC">
        <w:rPr>
          <w:rFonts w:hint="cs"/>
          <w:b/>
          <w:bCs/>
          <w:sz w:val="27"/>
          <w:rtl/>
        </w:rPr>
        <w:t>ُ</w:t>
      </w:r>
      <w:r w:rsidRPr="006571AC">
        <w:rPr>
          <w:rFonts w:hint="cs"/>
          <w:sz w:val="27"/>
          <w:rtl/>
        </w:rPr>
        <w:t xml:space="preserve"> </w:t>
      </w:r>
      <w:r w:rsidRPr="006571AC">
        <w:rPr>
          <w:b/>
          <w:bCs/>
          <w:sz w:val="27"/>
          <w:rtl/>
        </w:rPr>
        <w:t>هذه الرواية على أبي عبد الله</w:t>
      </w:r>
      <w:r w:rsidRPr="006571AC">
        <w:rPr>
          <w:rFonts w:ascii="Mosawi" w:hAnsi="Mosawi" w:cs="Mosawi"/>
          <w:b/>
          <w:bCs/>
          <w:sz w:val="22"/>
          <w:szCs w:val="22"/>
          <w:rtl/>
        </w:rPr>
        <w:t>×</w:t>
      </w:r>
      <w:r w:rsidRPr="006571AC">
        <w:rPr>
          <w:rFonts w:hint="cs"/>
          <w:sz w:val="24"/>
          <w:szCs w:val="24"/>
          <w:rtl/>
        </w:rPr>
        <w:t>»</w:t>
      </w:r>
      <w:r w:rsidRPr="006571AC">
        <w:rPr>
          <w:sz w:val="27"/>
          <w:vertAlign w:val="superscript"/>
          <w:rtl/>
        </w:rPr>
        <w:t>(</w:t>
      </w:r>
      <w:r w:rsidRPr="006571AC">
        <w:rPr>
          <w:rStyle w:val="ac"/>
          <w:sz w:val="27"/>
          <w:rtl/>
        </w:rPr>
        <w:endnoteReference w:id="816"/>
      </w:r>
      <w:r w:rsidRPr="006571AC">
        <w:rPr>
          <w:sz w:val="27"/>
          <w:vertAlign w:val="superscript"/>
          <w:rtl/>
        </w:rPr>
        <w:t>)</w:t>
      </w:r>
      <w:r w:rsidRPr="006571AC">
        <w:rPr>
          <w:sz w:val="27"/>
          <w:rtl/>
        </w:rPr>
        <w:t>.</w:t>
      </w:r>
    </w:p>
    <w:p w:rsidR="008A3F20" w:rsidRPr="006571AC" w:rsidRDefault="008A3F20" w:rsidP="001C0188">
      <w:pPr>
        <w:spacing w:line="420" w:lineRule="exact"/>
        <w:rPr>
          <w:sz w:val="27"/>
          <w:rtl/>
        </w:rPr>
      </w:pPr>
    </w:p>
    <w:p w:rsidR="008A3F20" w:rsidRPr="006571AC" w:rsidRDefault="008A3F20" w:rsidP="00237DFE">
      <w:pPr>
        <w:pStyle w:val="31"/>
        <w:rPr>
          <w:color w:val="auto"/>
          <w:sz w:val="26"/>
          <w:rtl/>
        </w:rPr>
      </w:pPr>
      <w:bookmarkStart w:id="503" w:name="_Toc171512721"/>
      <w:bookmarkStart w:id="504" w:name="_Toc114164887"/>
      <w:r w:rsidRPr="006571AC">
        <w:rPr>
          <w:rFonts w:hint="cs"/>
          <w:color w:val="auto"/>
          <w:sz w:val="26"/>
          <w:rtl/>
        </w:rPr>
        <w:t>التحديد العامّ لموضع السند المحذوف</w:t>
      </w:r>
      <w:bookmarkEnd w:id="503"/>
      <w:bookmarkEnd w:id="504"/>
    </w:p>
    <w:p w:rsidR="008A3F20" w:rsidRPr="006571AC" w:rsidRDefault="008A3F20" w:rsidP="000C6F2A">
      <w:pPr>
        <w:rPr>
          <w:sz w:val="27"/>
          <w:rtl/>
        </w:rPr>
      </w:pPr>
      <w:r w:rsidRPr="006571AC">
        <w:rPr>
          <w:rFonts w:hint="cs"/>
          <w:sz w:val="27"/>
          <w:rtl/>
        </w:rPr>
        <w:t xml:space="preserve">وعليه فما أحسن ما </w:t>
      </w:r>
      <w:r w:rsidRPr="006571AC">
        <w:rPr>
          <w:rFonts w:hint="cs"/>
          <w:b/>
          <w:bCs/>
          <w:sz w:val="27"/>
          <w:rtl/>
        </w:rPr>
        <w:t>فعله</w:t>
      </w:r>
      <w:r w:rsidRPr="006571AC">
        <w:rPr>
          <w:rFonts w:ascii="Mosawi" w:hAnsi="Mosawi" w:cs="Mosawi"/>
          <w:b/>
          <w:bCs/>
          <w:sz w:val="22"/>
          <w:szCs w:val="22"/>
          <w:rtl/>
        </w:rPr>
        <w:t>&amp;</w:t>
      </w:r>
      <w:r w:rsidRPr="006571AC">
        <w:rPr>
          <w:rFonts w:hint="cs"/>
          <w:b/>
          <w:bCs/>
          <w:sz w:val="27"/>
          <w:rtl/>
        </w:rPr>
        <w:t xml:space="preserve"> في بعض الموارد من التحديد العامّ لموضع ذكر السند</w:t>
      </w:r>
      <w:r w:rsidR="00F44418" w:rsidRPr="006571AC">
        <w:rPr>
          <w:rFonts w:hint="cs"/>
          <w:sz w:val="27"/>
          <w:rtl/>
        </w:rPr>
        <w:t>!</w:t>
      </w:r>
      <w:r w:rsidRPr="006571AC">
        <w:rPr>
          <w:rFonts w:hint="cs"/>
          <w:sz w:val="27"/>
          <w:rtl/>
        </w:rPr>
        <w:t xml:space="preserve"> ومن ذلك: </w:t>
      </w:r>
    </w:p>
    <w:p w:rsidR="008A3F20" w:rsidRPr="006571AC" w:rsidRDefault="008A3F20" w:rsidP="000C6F2A">
      <w:pPr>
        <w:rPr>
          <w:sz w:val="27"/>
          <w:rtl/>
        </w:rPr>
      </w:pPr>
      <w:r w:rsidRPr="006571AC">
        <w:rPr>
          <w:rFonts w:hint="cs"/>
          <w:sz w:val="27"/>
          <w:rtl/>
        </w:rPr>
        <w:t xml:space="preserve">* ما في الباب 55 من أبواب الأطعمة المحرَّمة، ح 2، حيث قال: </w:t>
      </w:r>
      <w:r w:rsidRPr="006571AC">
        <w:rPr>
          <w:rFonts w:hint="cs"/>
          <w:sz w:val="24"/>
          <w:szCs w:val="24"/>
          <w:rtl/>
        </w:rPr>
        <w:t>«</w:t>
      </w:r>
      <w:r w:rsidRPr="006571AC">
        <w:rPr>
          <w:rFonts w:hint="cs"/>
          <w:sz w:val="27"/>
          <w:rtl/>
        </w:rPr>
        <w:t xml:space="preserve">وفي </w:t>
      </w:r>
      <w:r w:rsidRPr="006571AC">
        <w:rPr>
          <w:rFonts w:hint="cs"/>
          <w:sz w:val="24"/>
          <w:szCs w:val="24"/>
          <w:rtl/>
        </w:rPr>
        <w:t>«</w:t>
      </w:r>
      <w:r w:rsidRPr="006571AC">
        <w:rPr>
          <w:rFonts w:hint="cs"/>
          <w:sz w:val="27"/>
          <w:rtl/>
        </w:rPr>
        <w:t>عيون الأخبار</w:t>
      </w:r>
      <w:r w:rsidRPr="006571AC">
        <w:rPr>
          <w:rFonts w:hint="cs"/>
          <w:sz w:val="24"/>
          <w:szCs w:val="24"/>
          <w:rtl/>
        </w:rPr>
        <w:t>»</w:t>
      </w:r>
      <w:r w:rsidRPr="006571AC">
        <w:rPr>
          <w:rFonts w:hint="cs"/>
          <w:sz w:val="27"/>
          <w:rtl/>
        </w:rPr>
        <w:t xml:space="preserve">، وفي </w:t>
      </w:r>
      <w:r w:rsidRPr="006571AC">
        <w:rPr>
          <w:rFonts w:hint="cs"/>
          <w:sz w:val="24"/>
          <w:szCs w:val="24"/>
          <w:rtl/>
        </w:rPr>
        <w:t>«</w:t>
      </w:r>
      <w:r w:rsidRPr="006571AC">
        <w:rPr>
          <w:rFonts w:hint="cs"/>
          <w:sz w:val="27"/>
          <w:rtl/>
        </w:rPr>
        <w:t>العلل</w:t>
      </w:r>
      <w:r w:rsidRPr="006571AC">
        <w:rPr>
          <w:rFonts w:hint="cs"/>
          <w:sz w:val="24"/>
          <w:szCs w:val="24"/>
          <w:rtl/>
        </w:rPr>
        <w:t>»</w:t>
      </w:r>
      <w:r w:rsidRPr="006571AC">
        <w:rPr>
          <w:rFonts w:hint="cs"/>
          <w:sz w:val="27"/>
          <w:rtl/>
        </w:rPr>
        <w:t xml:space="preserve">، </w:t>
      </w:r>
      <w:r w:rsidRPr="006571AC">
        <w:rPr>
          <w:rFonts w:hint="cs"/>
          <w:b/>
          <w:bCs/>
          <w:sz w:val="27"/>
          <w:rtl/>
        </w:rPr>
        <w:t>بالأسانيد الآتية في آخر الكتاب</w:t>
      </w:r>
      <w:r w:rsidRPr="006571AC">
        <w:rPr>
          <w:rFonts w:hint="cs"/>
          <w:sz w:val="27"/>
          <w:rtl/>
        </w:rPr>
        <w:t>، عن محمّد بن سنان، عن الرضا</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17"/>
      </w:r>
      <w:r w:rsidRPr="006571AC">
        <w:rPr>
          <w:sz w:val="27"/>
          <w:vertAlign w:val="superscript"/>
          <w:rtl/>
        </w:rPr>
        <w:t>)</w:t>
      </w:r>
      <w:r w:rsidRPr="006571AC">
        <w:rPr>
          <w:rFonts w:hint="cs"/>
          <w:sz w:val="27"/>
          <w:rtl/>
        </w:rPr>
        <w:t xml:space="preserve">. </w:t>
      </w:r>
    </w:p>
    <w:p w:rsidR="008A3F20" w:rsidRPr="006571AC" w:rsidRDefault="008A3F20" w:rsidP="001C0188">
      <w:pPr>
        <w:spacing w:line="420" w:lineRule="exact"/>
        <w:rPr>
          <w:sz w:val="27"/>
          <w:rtl/>
        </w:rPr>
      </w:pPr>
    </w:p>
    <w:p w:rsidR="008A3F20" w:rsidRPr="006571AC" w:rsidRDefault="008A3F20" w:rsidP="00237DFE">
      <w:pPr>
        <w:pStyle w:val="31"/>
        <w:rPr>
          <w:color w:val="auto"/>
          <w:sz w:val="26"/>
          <w:rtl/>
        </w:rPr>
      </w:pPr>
      <w:bookmarkStart w:id="505" w:name="_Toc171512722"/>
      <w:bookmarkStart w:id="506" w:name="_Toc114164888"/>
      <w:r w:rsidRPr="006571AC">
        <w:rPr>
          <w:rFonts w:hint="cs"/>
          <w:color w:val="auto"/>
          <w:sz w:val="26"/>
          <w:rtl/>
        </w:rPr>
        <w:t>خلاصة القول</w:t>
      </w:r>
      <w:bookmarkEnd w:id="505"/>
      <w:bookmarkEnd w:id="506"/>
    </w:p>
    <w:p w:rsidR="008A3F20" w:rsidRPr="006571AC" w:rsidRDefault="008A3F20" w:rsidP="000C6F2A">
      <w:pPr>
        <w:rPr>
          <w:sz w:val="27"/>
          <w:rtl/>
        </w:rPr>
      </w:pPr>
      <w:r w:rsidRPr="006571AC">
        <w:rPr>
          <w:rFonts w:hint="cs"/>
          <w:sz w:val="27"/>
          <w:rtl/>
        </w:rPr>
        <w:t>وممّا تقدّ</w:t>
      </w:r>
      <w:r w:rsidR="00F44418" w:rsidRPr="006571AC">
        <w:rPr>
          <w:rFonts w:hint="cs"/>
          <w:sz w:val="27"/>
          <w:rtl/>
        </w:rPr>
        <w:t>َ</w:t>
      </w:r>
      <w:r w:rsidRPr="006571AC">
        <w:rPr>
          <w:rFonts w:hint="cs"/>
          <w:sz w:val="27"/>
          <w:rtl/>
        </w:rPr>
        <w:t xml:space="preserve">م نعرف أنّ </w:t>
      </w:r>
      <w:r w:rsidRPr="006571AC">
        <w:rPr>
          <w:rFonts w:hint="cs"/>
          <w:b/>
          <w:bCs/>
          <w:sz w:val="27"/>
          <w:rtl/>
        </w:rPr>
        <w:t>الشيخ الحُرّ</w:t>
      </w:r>
      <w:r w:rsidRPr="006571AC">
        <w:rPr>
          <w:rFonts w:ascii="Mosawi" w:hAnsi="Mosawi" w:cs="Mosawi"/>
          <w:b/>
          <w:bCs/>
          <w:sz w:val="22"/>
          <w:szCs w:val="22"/>
          <w:rtl/>
        </w:rPr>
        <w:t>&amp;</w:t>
      </w:r>
      <w:r w:rsidRPr="006571AC">
        <w:rPr>
          <w:rFonts w:hint="cs"/>
          <w:b/>
          <w:bCs/>
          <w:sz w:val="27"/>
          <w:rtl/>
        </w:rPr>
        <w:t xml:space="preserve"> قد يترك ذكر بعض الأسناد اعتماداً على ذكرها في أبواب أو أحاديث أو مواضع أخرى من </w:t>
      </w:r>
      <w:r w:rsidRPr="006571AC">
        <w:rPr>
          <w:rFonts w:hint="cs"/>
          <w:b/>
          <w:bCs/>
          <w:sz w:val="24"/>
          <w:szCs w:val="24"/>
          <w:rtl/>
        </w:rPr>
        <w:t>«</w:t>
      </w:r>
      <w:r w:rsidRPr="006571AC">
        <w:rPr>
          <w:rFonts w:hint="cs"/>
          <w:b/>
          <w:bCs/>
          <w:sz w:val="27"/>
          <w:rtl/>
        </w:rPr>
        <w:t>الوسائل</w:t>
      </w:r>
      <w:r w:rsidRPr="006571AC">
        <w:rPr>
          <w:rFonts w:hint="cs"/>
          <w:b/>
          <w:b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وهو في ذلك </w:t>
      </w:r>
      <w:r w:rsidRPr="006571AC">
        <w:rPr>
          <w:rStyle w:val="6Char"/>
          <w:rFonts w:hint="cs"/>
          <w:color w:val="auto"/>
          <w:sz w:val="27"/>
          <w:szCs w:val="27"/>
          <w:rtl/>
        </w:rPr>
        <w:t>قد يترك الإشارة إلى تقدُّم الأسناد أو تأخُّرها؛ وقد يشير إلى ذلك على نحو العموم؛ وقد يحدّ</w:t>
      </w:r>
      <w:r w:rsidR="00F44418" w:rsidRPr="006571AC">
        <w:rPr>
          <w:rStyle w:val="6Char"/>
          <w:rFonts w:hint="cs"/>
          <w:color w:val="auto"/>
          <w:sz w:val="27"/>
          <w:szCs w:val="27"/>
          <w:rtl/>
        </w:rPr>
        <w:t>ِ</w:t>
      </w:r>
      <w:r w:rsidRPr="006571AC">
        <w:rPr>
          <w:rStyle w:val="6Char"/>
          <w:rFonts w:hint="cs"/>
          <w:color w:val="auto"/>
          <w:sz w:val="27"/>
          <w:szCs w:val="27"/>
          <w:rtl/>
        </w:rPr>
        <w:t>د موضع ذكر تلك الأسناد على نحو العموم أو الخصوص</w:t>
      </w:r>
      <w:r w:rsidRPr="006571AC">
        <w:rPr>
          <w:rFonts w:hint="cs"/>
          <w:sz w:val="27"/>
          <w:rtl/>
        </w:rPr>
        <w:t>.</w:t>
      </w:r>
    </w:p>
    <w:p w:rsidR="008A3F20" w:rsidRPr="006571AC" w:rsidRDefault="008A3F20" w:rsidP="001C0188">
      <w:pPr>
        <w:spacing w:line="430" w:lineRule="exact"/>
        <w:rPr>
          <w:sz w:val="27"/>
          <w:rtl/>
        </w:rPr>
      </w:pPr>
    </w:p>
    <w:p w:rsidR="008A3F20" w:rsidRPr="006571AC" w:rsidRDefault="008A3F20" w:rsidP="00237DFE">
      <w:pPr>
        <w:pStyle w:val="31"/>
        <w:rPr>
          <w:color w:val="auto"/>
          <w:sz w:val="26"/>
          <w:rtl/>
        </w:rPr>
      </w:pPr>
      <w:bookmarkStart w:id="507" w:name="_Toc171512723"/>
      <w:bookmarkStart w:id="508" w:name="_Toc114164889"/>
      <w:r w:rsidRPr="006571AC">
        <w:rPr>
          <w:rFonts w:hint="cs"/>
          <w:color w:val="auto"/>
          <w:sz w:val="26"/>
          <w:rtl/>
        </w:rPr>
        <w:t>ترك الإشارة إلى تقدُّم الأسناد أو تأخُّرها</w:t>
      </w:r>
      <w:bookmarkEnd w:id="507"/>
      <w:bookmarkEnd w:id="508"/>
      <w:r w:rsidRPr="006571AC">
        <w:rPr>
          <w:rFonts w:hint="cs"/>
          <w:color w:val="auto"/>
          <w:sz w:val="26"/>
          <w:rtl/>
        </w:rPr>
        <w:t xml:space="preserve"> </w:t>
      </w:r>
    </w:p>
    <w:p w:rsidR="008A3F20" w:rsidRPr="006571AC" w:rsidRDefault="008A3F20" w:rsidP="000C6F2A">
      <w:pPr>
        <w:rPr>
          <w:sz w:val="27"/>
          <w:rtl/>
        </w:rPr>
      </w:pPr>
      <w:r w:rsidRPr="006571AC">
        <w:rPr>
          <w:rFonts w:hint="cs"/>
          <w:sz w:val="27"/>
          <w:rtl/>
        </w:rPr>
        <w:t xml:space="preserve">من الموارد التي ترك فيها الإشارة إلى تقدُّم الأسناد أو تأخُّرها ما في الباب 4 من أبواب ديات الأعضاء، ح 1، حيث قال: </w:t>
      </w:r>
      <w:r w:rsidRPr="006571AC">
        <w:rPr>
          <w:rFonts w:hint="cs"/>
          <w:sz w:val="24"/>
          <w:szCs w:val="24"/>
          <w:rtl/>
        </w:rPr>
        <w:t>«</w:t>
      </w:r>
      <w:r w:rsidRPr="006571AC">
        <w:rPr>
          <w:sz w:val="27"/>
          <w:rtl/>
        </w:rPr>
        <w:t>محم</w:t>
      </w:r>
      <w:r w:rsidRPr="006571AC">
        <w:rPr>
          <w:rFonts w:hint="cs"/>
          <w:sz w:val="27"/>
          <w:rtl/>
        </w:rPr>
        <w:t>ّ</w:t>
      </w:r>
      <w:r w:rsidRPr="006571AC">
        <w:rPr>
          <w:sz w:val="27"/>
          <w:rtl/>
        </w:rPr>
        <w:t xml:space="preserve">د بن يعقوب </w:t>
      </w:r>
      <w:r w:rsidRPr="006571AC">
        <w:rPr>
          <w:b/>
          <w:bCs/>
          <w:sz w:val="27"/>
          <w:rtl/>
        </w:rPr>
        <w:t>بأسانيده</w:t>
      </w:r>
      <w:r w:rsidRPr="006571AC">
        <w:rPr>
          <w:sz w:val="27"/>
          <w:rtl/>
        </w:rPr>
        <w:t xml:space="preserve"> إلى كتاب ظريف عن أمير المؤمنين</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18"/>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وهذه الأسانيد تقدّ</w:t>
      </w:r>
      <w:r w:rsidR="00F44418" w:rsidRPr="006571AC">
        <w:rPr>
          <w:rFonts w:hint="cs"/>
          <w:sz w:val="27"/>
          <w:rtl/>
        </w:rPr>
        <w:t>َ</w:t>
      </w:r>
      <w:r w:rsidRPr="006571AC">
        <w:rPr>
          <w:rFonts w:hint="cs"/>
          <w:sz w:val="27"/>
          <w:rtl/>
        </w:rPr>
        <w:t>م ذكرها في الباب 2 من أبواب ديات الأعضاء، ح 1 و2 و3.</w:t>
      </w:r>
    </w:p>
    <w:p w:rsidR="008A3F20" w:rsidRPr="006571AC" w:rsidRDefault="008A3F20" w:rsidP="001C0188">
      <w:pPr>
        <w:spacing w:line="430" w:lineRule="exact"/>
        <w:rPr>
          <w:sz w:val="27"/>
          <w:rtl/>
        </w:rPr>
      </w:pPr>
    </w:p>
    <w:p w:rsidR="008A3F20" w:rsidRPr="006571AC" w:rsidRDefault="008A3F20" w:rsidP="00237DFE">
      <w:pPr>
        <w:pStyle w:val="31"/>
        <w:rPr>
          <w:color w:val="auto"/>
          <w:sz w:val="26"/>
          <w:rtl/>
        </w:rPr>
      </w:pPr>
      <w:bookmarkStart w:id="509" w:name="_Toc171512724"/>
      <w:bookmarkStart w:id="510" w:name="_Toc114164890"/>
      <w:r w:rsidRPr="006571AC">
        <w:rPr>
          <w:rFonts w:hint="cs"/>
          <w:color w:val="auto"/>
          <w:sz w:val="26"/>
          <w:rtl/>
        </w:rPr>
        <w:t>الإشارة إلى تقدُّم الأسناد أو تأخُّرها على نحو العموم</w:t>
      </w:r>
      <w:bookmarkEnd w:id="509"/>
      <w:bookmarkEnd w:id="510"/>
    </w:p>
    <w:p w:rsidR="008A3F20" w:rsidRPr="006571AC" w:rsidRDefault="008A3F20" w:rsidP="000C6F2A">
      <w:pPr>
        <w:rPr>
          <w:sz w:val="27"/>
          <w:rtl/>
        </w:rPr>
      </w:pPr>
      <w:r w:rsidRPr="006571AC">
        <w:rPr>
          <w:rFonts w:hint="cs"/>
          <w:sz w:val="27"/>
          <w:rtl/>
        </w:rPr>
        <w:t xml:space="preserve">من الموارد التي أشار فيها إلى تقدُّم الأسناد أو تأخُّرها على نحو العموم ما يلي: </w:t>
      </w:r>
    </w:p>
    <w:p w:rsidR="008A3F20" w:rsidRPr="006571AC" w:rsidRDefault="008A3F20" w:rsidP="00C97641">
      <w:pPr>
        <w:rPr>
          <w:sz w:val="27"/>
          <w:rtl/>
        </w:rPr>
      </w:pPr>
      <w:r w:rsidRPr="006571AC">
        <w:rPr>
          <w:rFonts w:hint="cs"/>
          <w:sz w:val="27"/>
          <w:rtl/>
        </w:rPr>
        <w:t xml:space="preserve">* ما في الباب 90 من أبواب أحكام العشرة، ح 4، حيث قال: </w:t>
      </w:r>
      <w:r w:rsidRPr="006571AC">
        <w:rPr>
          <w:rFonts w:hint="cs"/>
          <w:sz w:val="24"/>
          <w:szCs w:val="24"/>
          <w:rtl/>
        </w:rPr>
        <w:t>«</w:t>
      </w:r>
      <w:r w:rsidRPr="006571AC">
        <w:rPr>
          <w:b/>
          <w:bCs/>
          <w:sz w:val="27"/>
          <w:rtl/>
        </w:rPr>
        <w:t>وقد تقد</w:t>
      </w:r>
      <w:r w:rsidRPr="006571AC">
        <w:rPr>
          <w:rFonts w:hint="cs"/>
          <w:b/>
          <w:bCs/>
          <w:sz w:val="27"/>
          <w:rtl/>
        </w:rPr>
        <w:t>ّ</w:t>
      </w:r>
      <w:r w:rsidRPr="006571AC">
        <w:rPr>
          <w:b/>
          <w:bCs/>
          <w:sz w:val="27"/>
          <w:rtl/>
        </w:rPr>
        <w:t>م حديث عقبة بن خالد</w:t>
      </w:r>
      <w:r w:rsidR="008E0635" w:rsidRPr="006571AC">
        <w:rPr>
          <w:rFonts w:hint="cs"/>
          <w:sz w:val="27"/>
          <w:rtl/>
        </w:rPr>
        <w:t>،</w:t>
      </w:r>
      <w:r w:rsidRPr="006571AC">
        <w:rPr>
          <w:sz w:val="27"/>
          <w:rtl/>
        </w:rPr>
        <w:t xml:space="preserve"> عن أبي عبد الله</w:t>
      </w:r>
      <w:r w:rsidRPr="006571AC">
        <w:rPr>
          <w:rFonts w:hint="cs"/>
          <w:sz w:val="27"/>
          <w:rtl/>
        </w:rPr>
        <w:t>،</w:t>
      </w:r>
      <w:r w:rsidRPr="006571AC">
        <w:rPr>
          <w:sz w:val="27"/>
          <w:rtl/>
        </w:rPr>
        <w:t xml:space="preserve"> عن آبائ</w:t>
      </w:r>
      <w:r w:rsidRPr="006571AC">
        <w:rPr>
          <w:rFonts w:hint="cs"/>
          <w:sz w:val="27"/>
          <w:rtl/>
        </w:rPr>
        <w:t>ه</w:t>
      </w:r>
      <w:r w:rsidRPr="006571AC">
        <w:rPr>
          <w:rFonts w:ascii="Mosawi" w:hAnsi="Mosawi" w:cs="Mosawi"/>
          <w:sz w:val="22"/>
          <w:szCs w:val="22"/>
          <w:rtl/>
        </w:rPr>
        <w:t>^</w:t>
      </w:r>
      <w:r w:rsidRPr="006571AC">
        <w:rPr>
          <w:rFonts w:hint="cs"/>
          <w:sz w:val="27"/>
          <w:rtl/>
        </w:rPr>
        <w:t>،</w:t>
      </w:r>
      <w:r w:rsidRPr="006571AC">
        <w:rPr>
          <w:sz w:val="27"/>
          <w:rtl/>
        </w:rPr>
        <w:t xml:space="preserve"> قال: قال أمير المؤمنين</w:t>
      </w:r>
      <w:r w:rsidRPr="006571AC">
        <w:rPr>
          <w:rFonts w:ascii="Mosawi" w:hAnsi="Mosawi" w:cs="Mosawi"/>
          <w:sz w:val="22"/>
          <w:szCs w:val="22"/>
          <w:rtl/>
        </w:rPr>
        <w:t>×</w:t>
      </w:r>
      <w:r w:rsidRPr="006571AC">
        <w:rPr>
          <w:sz w:val="27"/>
          <w:rtl/>
        </w:rPr>
        <w:t xml:space="preserve">: </w:t>
      </w:r>
      <w:r w:rsidRPr="006571AC">
        <w:rPr>
          <w:sz w:val="27"/>
          <w:rtl/>
        </w:rPr>
        <w:lastRenderedPageBreak/>
        <w:t>حريم المسجد أربعون ذراعا</w:t>
      </w:r>
      <w:r w:rsidRPr="006571AC">
        <w:rPr>
          <w:rFonts w:hint="cs"/>
          <w:sz w:val="27"/>
          <w:rtl/>
        </w:rPr>
        <w:t>ً...</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وذكر المحقِّقون في مؤسَّسة آل البيت</w:t>
      </w:r>
      <w:r w:rsidRPr="006571AC">
        <w:rPr>
          <w:rFonts w:ascii="Mosawi" w:hAnsi="Mosawi" w:cs="Mosawi"/>
          <w:sz w:val="22"/>
          <w:szCs w:val="22"/>
          <w:rtl/>
        </w:rPr>
        <w:t>^</w:t>
      </w:r>
      <w:r w:rsidRPr="006571AC">
        <w:rPr>
          <w:rFonts w:hint="cs"/>
          <w:sz w:val="27"/>
          <w:rtl/>
        </w:rPr>
        <w:t xml:space="preserve"> لإحياء التراث أنّه </w:t>
      </w:r>
      <w:r w:rsidRPr="006571AC">
        <w:rPr>
          <w:rFonts w:hint="cs"/>
          <w:sz w:val="24"/>
          <w:szCs w:val="24"/>
          <w:rtl/>
        </w:rPr>
        <w:t>«</w:t>
      </w:r>
      <w:r w:rsidRPr="006571AC">
        <w:rPr>
          <w:rFonts w:hint="cs"/>
          <w:sz w:val="27"/>
          <w:rtl/>
        </w:rPr>
        <w:t>تقدّ</w:t>
      </w:r>
      <w:r w:rsidR="008E0635" w:rsidRPr="006571AC">
        <w:rPr>
          <w:rFonts w:hint="cs"/>
          <w:sz w:val="27"/>
          <w:rtl/>
        </w:rPr>
        <w:t>َ</w:t>
      </w:r>
      <w:r w:rsidRPr="006571AC">
        <w:rPr>
          <w:rFonts w:hint="cs"/>
          <w:sz w:val="27"/>
          <w:rtl/>
        </w:rPr>
        <w:t>م في الحديث 1 من الباب 6 من أبواب أحكام المساجد</w:t>
      </w:r>
      <w:r w:rsidRPr="006571AC">
        <w:rPr>
          <w:rFonts w:hint="cs"/>
          <w:sz w:val="24"/>
          <w:szCs w:val="24"/>
          <w:rtl/>
        </w:rPr>
        <w:t>»</w:t>
      </w:r>
      <w:r w:rsidRPr="006571AC">
        <w:rPr>
          <w:sz w:val="27"/>
          <w:vertAlign w:val="superscript"/>
          <w:rtl/>
        </w:rPr>
        <w:t>(</w:t>
      </w:r>
      <w:r w:rsidRPr="006571AC">
        <w:rPr>
          <w:rStyle w:val="ac"/>
          <w:sz w:val="27"/>
          <w:rtl/>
        </w:rPr>
        <w:endnoteReference w:id="819"/>
      </w:r>
      <w:r w:rsidRPr="006571AC">
        <w:rPr>
          <w:sz w:val="27"/>
          <w:vertAlign w:val="superscript"/>
          <w:rtl/>
        </w:rPr>
        <w:t>)</w:t>
      </w:r>
      <w:r w:rsidRPr="006571AC">
        <w:rPr>
          <w:rFonts w:hint="cs"/>
          <w:sz w:val="27"/>
          <w:rtl/>
        </w:rPr>
        <w:t>.</w:t>
      </w:r>
    </w:p>
    <w:p w:rsidR="008A3F20" w:rsidRPr="006571AC" w:rsidRDefault="008A3F20" w:rsidP="00C97641">
      <w:pPr>
        <w:rPr>
          <w:sz w:val="27"/>
          <w:rtl/>
        </w:rPr>
      </w:pPr>
      <w:r w:rsidRPr="006571AC">
        <w:rPr>
          <w:rFonts w:hint="cs"/>
          <w:sz w:val="27"/>
          <w:rtl/>
        </w:rPr>
        <w:t xml:space="preserve">وبالرجوع إلى الموضع المشار إليه تبيّن أنّ السند بهذا الشكل: </w:t>
      </w:r>
      <w:r w:rsidRPr="006571AC">
        <w:rPr>
          <w:rFonts w:hint="cs"/>
          <w:sz w:val="24"/>
          <w:szCs w:val="24"/>
          <w:rtl/>
        </w:rPr>
        <w:t>«</w:t>
      </w:r>
      <w:r w:rsidRPr="006571AC">
        <w:rPr>
          <w:b/>
          <w:bCs/>
          <w:sz w:val="27"/>
          <w:rtl/>
        </w:rPr>
        <w:t>محم</w:t>
      </w:r>
      <w:r w:rsidRPr="006571AC">
        <w:rPr>
          <w:rFonts w:hint="cs"/>
          <w:b/>
          <w:bCs/>
          <w:sz w:val="27"/>
          <w:rtl/>
        </w:rPr>
        <w:t>ّ</w:t>
      </w:r>
      <w:r w:rsidRPr="006571AC">
        <w:rPr>
          <w:b/>
          <w:bCs/>
          <w:sz w:val="27"/>
          <w:rtl/>
        </w:rPr>
        <w:t>د بن علي</w:t>
      </w:r>
      <w:r w:rsidRPr="006571AC">
        <w:rPr>
          <w:rFonts w:hint="cs"/>
          <w:b/>
          <w:bCs/>
          <w:sz w:val="27"/>
          <w:rtl/>
        </w:rPr>
        <w:t>ّ</w:t>
      </w:r>
      <w:r w:rsidRPr="006571AC">
        <w:rPr>
          <w:b/>
          <w:bCs/>
          <w:sz w:val="27"/>
          <w:rtl/>
        </w:rPr>
        <w:t xml:space="preserve"> بن الحسين في </w:t>
      </w:r>
      <w:r w:rsidRPr="006571AC">
        <w:rPr>
          <w:rFonts w:hint="cs"/>
          <w:b/>
          <w:bCs/>
          <w:sz w:val="24"/>
          <w:szCs w:val="24"/>
          <w:rtl/>
        </w:rPr>
        <w:t>«</w:t>
      </w:r>
      <w:r w:rsidRPr="006571AC">
        <w:rPr>
          <w:b/>
          <w:bCs/>
          <w:sz w:val="27"/>
          <w:rtl/>
        </w:rPr>
        <w:t>الخصال</w:t>
      </w:r>
      <w:r w:rsidRPr="006571AC">
        <w:rPr>
          <w:rFonts w:hint="cs"/>
          <w:b/>
          <w:bCs/>
          <w:sz w:val="24"/>
          <w:szCs w:val="24"/>
          <w:rtl/>
        </w:rPr>
        <w:t>»</w:t>
      </w:r>
      <w:r w:rsidRPr="006571AC">
        <w:rPr>
          <w:rFonts w:hint="cs"/>
          <w:b/>
          <w:bCs/>
          <w:sz w:val="27"/>
          <w:rtl/>
        </w:rPr>
        <w:t xml:space="preserve">، </w:t>
      </w:r>
      <w:r w:rsidRPr="006571AC">
        <w:rPr>
          <w:b/>
          <w:bCs/>
          <w:sz w:val="27"/>
          <w:rtl/>
        </w:rPr>
        <w:t>عن الحسين بن أحمد بن إدريس، عن أبيه، عن محم</w:t>
      </w:r>
      <w:r w:rsidRPr="006571AC">
        <w:rPr>
          <w:rFonts w:hint="cs"/>
          <w:b/>
          <w:bCs/>
          <w:sz w:val="27"/>
          <w:rtl/>
        </w:rPr>
        <w:t>ّ</w:t>
      </w:r>
      <w:r w:rsidRPr="006571AC">
        <w:rPr>
          <w:b/>
          <w:bCs/>
          <w:sz w:val="27"/>
          <w:rtl/>
        </w:rPr>
        <w:t>د بن علي</w:t>
      </w:r>
      <w:r w:rsidRPr="006571AC">
        <w:rPr>
          <w:rFonts w:hint="cs"/>
          <w:b/>
          <w:bCs/>
          <w:sz w:val="27"/>
          <w:rtl/>
        </w:rPr>
        <w:t>ّ</w:t>
      </w:r>
      <w:r w:rsidRPr="006571AC">
        <w:rPr>
          <w:b/>
          <w:bCs/>
          <w:sz w:val="27"/>
          <w:rtl/>
        </w:rPr>
        <w:t xml:space="preserve"> بن محبوب، عن محم</w:t>
      </w:r>
      <w:r w:rsidRPr="006571AC">
        <w:rPr>
          <w:rFonts w:hint="cs"/>
          <w:b/>
          <w:bCs/>
          <w:sz w:val="27"/>
          <w:rtl/>
        </w:rPr>
        <w:t>ّ</w:t>
      </w:r>
      <w:r w:rsidRPr="006571AC">
        <w:rPr>
          <w:b/>
          <w:bCs/>
          <w:sz w:val="27"/>
          <w:rtl/>
        </w:rPr>
        <w:t>د بن الحسين، عن الحسن بن علي</w:t>
      </w:r>
      <w:r w:rsidRPr="006571AC">
        <w:rPr>
          <w:rFonts w:hint="cs"/>
          <w:b/>
          <w:bCs/>
          <w:sz w:val="27"/>
          <w:rtl/>
        </w:rPr>
        <w:t>ّ</w:t>
      </w:r>
      <w:r w:rsidRPr="006571AC">
        <w:rPr>
          <w:b/>
          <w:bCs/>
          <w:sz w:val="27"/>
          <w:rtl/>
        </w:rPr>
        <w:t xml:space="preserve"> بن فض</w:t>
      </w:r>
      <w:r w:rsidRPr="006571AC">
        <w:rPr>
          <w:rFonts w:hint="cs"/>
          <w:b/>
          <w:bCs/>
          <w:sz w:val="27"/>
          <w:rtl/>
        </w:rPr>
        <w:t>ّ</w:t>
      </w:r>
      <w:r w:rsidRPr="006571AC">
        <w:rPr>
          <w:b/>
          <w:bCs/>
          <w:sz w:val="27"/>
          <w:rtl/>
        </w:rPr>
        <w:t>ال، عن علي</w:t>
      </w:r>
      <w:r w:rsidRPr="006571AC">
        <w:rPr>
          <w:rFonts w:hint="cs"/>
          <w:b/>
          <w:bCs/>
          <w:sz w:val="27"/>
          <w:rtl/>
        </w:rPr>
        <w:t>ّ</w:t>
      </w:r>
      <w:r w:rsidRPr="006571AC">
        <w:rPr>
          <w:b/>
          <w:bCs/>
          <w:sz w:val="27"/>
          <w:rtl/>
        </w:rPr>
        <w:t xml:space="preserve"> بن عقبة، عن أبيه عقبة بن خالد</w:t>
      </w:r>
      <w:r w:rsidRPr="006571AC">
        <w:rPr>
          <w:sz w:val="27"/>
          <w:rtl/>
        </w:rPr>
        <w:t>،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عن أبيه</w:t>
      </w:r>
      <w:r w:rsidRPr="006571AC">
        <w:rPr>
          <w:rFonts w:hint="cs"/>
          <w:sz w:val="27"/>
          <w:rtl/>
        </w:rPr>
        <w:t>،</w:t>
      </w:r>
      <w:r w:rsidRPr="006571AC">
        <w:rPr>
          <w:sz w:val="27"/>
          <w:rtl/>
        </w:rPr>
        <w:t xml:space="preserve"> عن آبائه</w:t>
      </w:r>
      <w:r w:rsidRPr="006571AC">
        <w:rPr>
          <w:rFonts w:ascii="Mosawi" w:hAnsi="Mosawi" w:cs="Mosawi"/>
          <w:sz w:val="22"/>
          <w:szCs w:val="22"/>
          <w:rtl/>
        </w:rPr>
        <w:t>^</w:t>
      </w:r>
      <w:r w:rsidRPr="006571AC">
        <w:rPr>
          <w:rFonts w:hint="cs"/>
          <w:sz w:val="27"/>
          <w:rtl/>
        </w:rPr>
        <w:t>،</w:t>
      </w:r>
      <w:r w:rsidRPr="006571AC">
        <w:rPr>
          <w:sz w:val="27"/>
          <w:rtl/>
        </w:rPr>
        <w:t xml:space="preserve"> قال: قال أمير المؤمنين</w:t>
      </w:r>
      <w:r w:rsidRPr="006571AC">
        <w:rPr>
          <w:rFonts w:ascii="Mosawi" w:hAnsi="Mosawi" w:cs="Mosawi"/>
          <w:sz w:val="22"/>
          <w:szCs w:val="22"/>
          <w:rtl/>
        </w:rPr>
        <w:t>×</w:t>
      </w:r>
      <w:r w:rsidRPr="006571AC">
        <w:rPr>
          <w:rFonts w:hint="cs"/>
          <w:sz w:val="27"/>
          <w:rtl/>
        </w:rPr>
        <w:t>:</w:t>
      </w:r>
      <w:r w:rsidRPr="006571AC">
        <w:rPr>
          <w:sz w:val="27"/>
          <w:rtl/>
        </w:rPr>
        <w:t xml:space="preserve"> حريم المسجد أربعون ذراعا</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20"/>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 وما في الباب 31 من أبواب المزار وما يناسبه، ح 1، حيث قال: </w:t>
      </w:r>
      <w:r w:rsidRPr="006571AC">
        <w:rPr>
          <w:rFonts w:hint="cs"/>
          <w:sz w:val="24"/>
          <w:szCs w:val="24"/>
          <w:rtl/>
        </w:rPr>
        <w:t>«</w:t>
      </w:r>
      <w:r w:rsidRPr="006571AC">
        <w:rPr>
          <w:sz w:val="27"/>
          <w:rtl/>
        </w:rPr>
        <w:t>محم</w:t>
      </w:r>
      <w:r w:rsidRPr="006571AC">
        <w:rPr>
          <w:rFonts w:hint="cs"/>
          <w:sz w:val="27"/>
          <w:rtl/>
        </w:rPr>
        <w:t>ّ</w:t>
      </w:r>
      <w:r w:rsidRPr="006571AC">
        <w:rPr>
          <w:sz w:val="27"/>
          <w:rtl/>
        </w:rPr>
        <w:t>د بن الحسن بإسناده عن محم</w:t>
      </w:r>
      <w:r w:rsidRPr="006571AC">
        <w:rPr>
          <w:rFonts w:hint="cs"/>
          <w:sz w:val="27"/>
          <w:rtl/>
        </w:rPr>
        <w:t>ّ</w:t>
      </w:r>
      <w:r w:rsidRPr="006571AC">
        <w:rPr>
          <w:sz w:val="27"/>
          <w:rtl/>
        </w:rPr>
        <w:t xml:space="preserve">د بن أحمد بن داود </w:t>
      </w:r>
      <w:r w:rsidRPr="006571AC">
        <w:rPr>
          <w:rFonts w:hint="cs"/>
          <w:sz w:val="27"/>
          <w:rtl/>
        </w:rPr>
        <w:t>[الصحيح: داوود]</w:t>
      </w:r>
      <w:r w:rsidRPr="006571AC">
        <w:rPr>
          <w:sz w:val="27"/>
          <w:rtl/>
        </w:rPr>
        <w:t>، عن محم</w:t>
      </w:r>
      <w:r w:rsidRPr="006571AC">
        <w:rPr>
          <w:rFonts w:hint="cs"/>
          <w:sz w:val="27"/>
          <w:rtl/>
        </w:rPr>
        <w:t>ّ</w:t>
      </w:r>
      <w:r w:rsidRPr="006571AC">
        <w:rPr>
          <w:sz w:val="27"/>
          <w:rtl/>
        </w:rPr>
        <w:t>د بن بك</w:t>
      </w:r>
      <w:r w:rsidRPr="006571AC">
        <w:rPr>
          <w:rFonts w:hint="cs"/>
          <w:sz w:val="27"/>
          <w:rtl/>
        </w:rPr>
        <w:t>ّ</w:t>
      </w:r>
      <w:r w:rsidRPr="006571AC">
        <w:rPr>
          <w:sz w:val="27"/>
          <w:rtl/>
        </w:rPr>
        <w:t>ار النق</w:t>
      </w:r>
      <w:r w:rsidRPr="006571AC">
        <w:rPr>
          <w:rFonts w:hint="cs"/>
          <w:sz w:val="27"/>
          <w:rtl/>
        </w:rPr>
        <w:t>ّ</w:t>
      </w:r>
      <w:r w:rsidRPr="006571AC">
        <w:rPr>
          <w:sz w:val="27"/>
          <w:rtl/>
        </w:rPr>
        <w:t>اش، عن الحسين بن محم</w:t>
      </w:r>
      <w:r w:rsidRPr="006571AC">
        <w:rPr>
          <w:rFonts w:hint="cs"/>
          <w:sz w:val="27"/>
          <w:rtl/>
        </w:rPr>
        <w:t>ّ</w:t>
      </w:r>
      <w:r w:rsidRPr="006571AC">
        <w:rPr>
          <w:sz w:val="27"/>
          <w:rtl/>
        </w:rPr>
        <w:t>د الفزاري</w:t>
      </w:r>
      <w:r w:rsidRPr="006571AC">
        <w:rPr>
          <w:rFonts w:hint="cs"/>
          <w:sz w:val="27"/>
          <w:rtl/>
        </w:rPr>
        <w:t>ّ</w:t>
      </w:r>
      <w:r w:rsidRPr="006571AC">
        <w:rPr>
          <w:sz w:val="27"/>
          <w:rtl/>
        </w:rPr>
        <w:t>، عن الحسن بن علي</w:t>
      </w:r>
      <w:r w:rsidRPr="006571AC">
        <w:rPr>
          <w:rFonts w:hint="cs"/>
          <w:sz w:val="27"/>
          <w:rtl/>
        </w:rPr>
        <w:t>ّ</w:t>
      </w:r>
      <w:r w:rsidRPr="006571AC">
        <w:rPr>
          <w:sz w:val="27"/>
          <w:rtl/>
        </w:rPr>
        <w:t xml:space="preserve"> النخ</w:t>
      </w:r>
      <w:r w:rsidRPr="006571AC">
        <w:rPr>
          <w:rFonts w:hint="cs"/>
          <w:sz w:val="27"/>
          <w:rtl/>
        </w:rPr>
        <w:t>ّ</w:t>
      </w:r>
      <w:r w:rsidRPr="006571AC">
        <w:rPr>
          <w:sz w:val="27"/>
          <w:rtl/>
        </w:rPr>
        <w:t>اس، عن جعفر بن محم</w:t>
      </w:r>
      <w:r w:rsidRPr="006571AC">
        <w:rPr>
          <w:rFonts w:hint="cs"/>
          <w:sz w:val="27"/>
          <w:rtl/>
        </w:rPr>
        <w:t>ّ</w:t>
      </w:r>
      <w:r w:rsidRPr="006571AC">
        <w:rPr>
          <w:sz w:val="27"/>
          <w:rtl/>
        </w:rPr>
        <w:t>د الرماني</w:t>
      </w:r>
      <w:r w:rsidRPr="006571AC">
        <w:rPr>
          <w:rFonts w:hint="cs"/>
          <w:sz w:val="27"/>
          <w:rtl/>
        </w:rPr>
        <w:t>ّ</w:t>
      </w:r>
      <w:r w:rsidRPr="006571AC">
        <w:rPr>
          <w:sz w:val="27"/>
          <w:rtl/>
        </w:rPr>
        <w:t>، عن يحيى الحماني</w:t>
      </w:r>
      <w:r w:rsidRPr="006571AC">
        <w:rPr>
          <w:rFonts w:hint="cs"/>
          <w:sz w:val="27"/>
          <w:rtl/>
        </w:rPr>
        <w:t>ّ</w:t>
      </w:r>
      <w:r w:rsidRPr="006571AC">
        <w:rPr>
          <w:sz w:val="27"/>
          <w:rtl/>
        </w:rPr>
        <w:t>، عن محم</w:t>
      </w:r>
      <w:r w:rsidRPr="006571AC">
        <w:rPr>
          <w:rFonts w:hint="cs"/>
          <w:sz w:val="27"/>
          <w:rtl/>
        </w:rPr>
        <w:t>ّ</w:t>
      </w:r>
      <w:r w:rsidRPr="006571AC">
        <w:rPr>
          <w:sz w:val="27"/>
          <w:rtl/>
        </w:rPr>
        <w:t>د بن عبيد الطيالسي</w:t>
      </w:r>
      <w:r w:rsidRPr="006571AC">
        <w:rPr>
          <w:rFonts w:hint="cs"/>
          <w:sz w:val="27"/>
          <w:rtl/>
        </w:rPr>
        <w:t>ّ</w:t>
      </w:r>
      <w:r w:rsidRPr="006571AC">
        <w:rPr>
          <w:sz w:val="27"/>
          <w:rtl/>
        </w:rPr>
        <w:t>، عن مختار التم</w:t>
      </w:r>
      <w:r w:rsidRPr="006571AC">
        <w:rPr>
          <w:rFonts w:hint="cs"/>
          <w:sz w:val="27"/>
          <w:rtl/>
        </w:rPr>
        <w:t>ّ</w:t>
      </w:r>
      <w:r w:rsidRPr="006571AC">
        <w:rPr>
          <w:sz w:val="27"/>
          <w:rtl/>
        </w:rPr>
        <w:t>ار، عن أبي مطر</w:t>
      </w:r>
      <w:r w:rsidRPr="006571AC">
        <w:rPr>
          <w:rFonts w:hint="cs"/>
          <w:sz w:val="27"/>
          <w:rtl/>
        </w:rPr>
        <w:t>،</w:t>
      </w:r>
      <w:r w:rsidRPr="006571AC">
        <w:rPr>
          <w:sz w:val="27"/>
          <w:rtl/>
        </w:rPr>
        <w:t xml:space="preserve"> قال: لم</w:t>
      </w:r>
      <w:r w:rsidRPr="006571AC">
        <w:rPr>
          <w:rFonts w:hint="cs"/>
          <w:sz w:val="27"/>
          <w:rtl/>
        </w:rPr>
        <w:t>ّ</w:t>
      </w:r>
      <w:r w:rsidRPr="006571AC">
        <w:rPr>
          <w:sz w:val="27"/>
          <w:rtl/>
        </w:rPr>
        <w:t>ا ضرب ابن ملجم الفاسق لعنه الله أمير المؤمنين</w:t>
      </w:r>
      <w:r w:rsidRPr="006571AC">
        <w:rPr>
          <w:rFonts w:ascii="Mosawi" w:hAnsi="Mosawi" w:cs="Mosawi"/>
          <w:sz w:val="22"/>
          <w:szCs w:val="22"/>
          <w:rtl/>
        </w:rPr>
        <w:t>×</w:t>
      </w:r>
      <w:r w:rsidRPr="006571AC">
        <w:rPr>
          <w:rFonts w:hint="cs"/>
          <w:sz w:val="27"/>
          <w:rtl/>
        </w:rPr>
        <w:t>....</w:t>
      </w:r>
    </w:p>
    <w:p w:rsidR="008A3F20" w:rsidRPr="006571AC" w:rsidRDefault="008A3F20" w:rsidP="00C97641">
      <w:pPr>
        <w:rPr>
          <w:sz w:val="27"/>
          <w:rtl/>
        </w:rPr>
      </w:pPr>
      <w:r w:rsidRPr="006571AC">
        <w:rPr>
          <w:sz w:val="27"/>
          <w:rtl/>
        </w:rPr>
        <w:t>ورواه عبد الكريم بن طاوس</w:t>
      </w:r>
      <w:r w:rsidRPr="006571AC">
        <w:rPr>
          <w:rFonts w:hint="cs"/>
          <w:sz w:val="27"/>
          <w:rtl/>
        </w:rPr>
        <w:t xml:space="preserve"> [الصحيح: طاووس]</w:t>
      </w:r>
      <w:r w:rsidRPr="006571AC">
        <w:rPr>
          <w:sz w:val="27"/>
          <w:rtl/>
        </w:rPr>
        <w:t xml:space="preserve"> في </w:t>
      </w:r>
      <w:r w:rsidRPr="006571AC">
        <w:rPr>
          <w:rFonts w:hint="cs"/>
          <w:sz w:val="24"/>
          <w:szCs w:val="24"/>
          <w:rtl/>
        </w:rPr>
        <w:t>«</w:t>
      </w:r>
      <w:r w:rsidRPr="006571AC">
        <w:rPr>
          <w:sz w:val="27"/>
          <w:rtl/>
        </w:rPr>
        <w:t>فرحة الغري</w:t>
      </w:r>
      <w:r w:rsidRPr="006571AC">
        <w:rPr>
          <w:rFonts w:hint="cs"/>
          <w:sz w:val="27"/>
          <w:rtl/>
        </w:rPr>
        <w:t>ّ</w:t>
      </w:r>
      <w:r w:rsidRPr="006571AC">
        <w:rPr>
          <w:rFonts w:hint="cs"/>
          <w:sz w:val="24"/>
          <w:szCs w:val="24"/>
          <w:rtl/>
        </w:rPr>
        <w:t>»</w:t>
      </w:r>
      <w:r w:rsidRPr="006571AC">
        <w:rPr>
          <w:rFonts w:hint="cs"/>
          <w:sz w:val="27"/>
          <w:rtl/>
        </w:rPr>
        <w:t xml:space="preserve"> </w:t>
      </w:r>
      <w:r w:rsidRPr="006571AC">
        <w:rPr>
          <w:b/>
          <w:bCs/>
          <w:sz w:val="27"/>
          <w:rtl/>
        </w:rPr>
        <w:t>بال</w:t>
      </w:r>
      <w:r w:rsidRPr="006571AC">
        <w:rPr>
          <w:rFonts w:hint="cs"/>
          <w:b/>
          <w:bCs/>
          <w:sz w:val="27"/>
          <w:rtl/>
        </w:rPr>
        <w:t>إ</w:t>
      </w:r>
      <w:r w:rsidRPr="006571AC">
        <w:rPr>
          <w:b/>
          <w:bCs/>
          <w:sz w:val="27"/>
          <w:rtl/>
        </w:rPr>
        <w:t>سناد السابق</w:t>
      </w:r>
      <w:r w:rsidRPr="006571AC">
        <w:rPr>
          <w:sz w:val="27"/>
          <w:rtl/>
        </w:rPr>
        <w:t xml:space="preserve"> عن محم</w:t>
      </w:r>
      <w:r w:rsidRPr="006571AC">
        <w:rPr>
          <w:rFonts w:hint="cs"/>
          <w:sz w:val="27"/>
          <w:rtl/>
        </w:rPr>
        <w:t>ّ</w:t>
      </w:r>
      <w:r w:rsidRPr="006571AC">
        <w:rPr>
          <w:sz w:val="27"/>
          <w:rtl/>
        </w:rPr>
        <w:t>د بن أحمد بن دا</w:t>
      </w:r>
      <w:r w:rsidR="008E0635" w:rsidRPr="006571AC">
        <w:rPr>
          <w:rFonts w:hint="cs"/>
          <w:sz w:val="27"/>
          <w:rtl/>
        </w:rPr>
        <w:t>و</w:t>
      </w:r>
      <w:r w:rsidRPr="006571AC">
        <w:rPr>
          <w:sz w:val="27"/>
          <w:rtl/>
        </w:rPr>
        <w:t>د</w:t>
      </w:r>
      <w:r w:rsidRPr="006571AC">
        <w:rPr>
          <w:rFonts w:hint="cs"/>
          <w:sz w:val="27"/>
          <w:rtl/>
        </w:rPr>
        <w:t xml:space="preserve">، </w:t>
      </w:r>
      <w:r w:rsidRPr="006571AC">
        <w:rPr>
          <w:sz w:val="27"/>
          <w:rtl/>
        </w:rPr>
        <w:t>مثله</w:t>
      </w:r>
      <w:r w:rsidRPr="006571AC">
        <w:rPr>
          <w:rFonts w:hint="cs"/>
          <w:sz w:val="24"/>
          <w:szCs w:val="24"/>
          <w:rtl/>
        </w:rPr>
        <w:t>»</w:t>
      </w:r>
      <w:r w:rsidRPr="006571AC">
        <w:rPr>
          <w:rFonts w:hint="cs"/>
          <w:sz w:val="27"/>
          <w:rtl/>
        </w:rPr>
        <w:t>.</w:t>
      </w:r>
    </w:p>
    <w:p w:rsidR="008A3F20" w:rsidRPr="006571AC" w:rsidRDefault="008A3F20" w:rsidP="00C97641">
      <w:pPr>
        <w:rPr>
          <w:sz w:val="27"/>
          <w:rtl/>
        </w:rPr>
      </w:pPr>
      <w:r w:rsidRPr="006571AC">
        <w:rPr>
          <w:rFonts w:hint="cs"/>
          <w:sz w:val="27"/>
          <w:rtl/>
        </w:rPr>
        <w:t xml:space="preserve">وعلَّق المحقِّقون، على قوله: </w:t>
      </w:r>
      <w:r w:rsidRPr="006571AC">
        <w:rPr>
          <w:rFonts w:hint="cs"/>
          <w:sz w:val="24"/>
          <w:szCs w:val="24"/>
          <w:rtl/>
        </w:rPr>
        <w:t>«</w:t>
      </w:r>
      <w:r w:rsidRPr="006571AC">
        <w:rPr>
          <w:rFonts w:hint="cs"/>
          <w:sz w:val="27"/>
          <w:rtl/>
        </w:rPr>
        <w:t>بالإسناد السابق عن محمّد بن أحمد بن دا</w:t>
      </w:r>
      <w:r w:rsidR="008E0635" w:rsidRPr="006571AC">
        <w:rPr>
          <w:rFonts w:hint="cs"/>
          <w:sz w:val="27"/>
          <w:rtl/>
        </w:rPr>
        <w:t>و</w:t>
      </w:r>
      <w:r w:rsidRPr="006571AC">
        <w:rPr>
          <w:rFonts w:hint="cs"/>
          <w:sz w:val="27"/>
          <w:rtl/>
        </w:rPr>
        <w:t>د</w:t>
      </w:r>
      <w:r w:rsidRPr="006571AC">
        <w:rPr>
          <w:rFonts w:hint="cs"/>
          <w:sz w:val="24"/>
          <w:szCs w:val="24"/>
          <w:rtl/>
        </w:rPr>
        <w:t>»</w:t>
      </w:r>
      <w:r w:rsidRPr="006571AC">
        <w:rPr>
          <w:rFonts w:hint="cs"/>
          <w:sz w:val="27"/>
          <w:rtl/>
        </w:rPr>
        <w:t xml:space="preserve">، بقولهم: </w:t>
      </w:r>
      <w:r w:rsidRPr="006571AC">
        <w:rPr>
          <w:rFonts w:hint="cs"/>
          <w:sz w:val="24"/>
          <w:szCs w:val="24"/>
          <w:rtl/>
        </w:rPr>
        <w:t>«</w:t>
      </w:r>
      <w:r w:rsidRPr="006571AC">
        <w:rPr>
          <w:rFonts w:hint="cs"/>
          <w:sz w:val="27"/>
          <w:rtl/>
        </w:rPr>
        <w:t>سبق في الحديث 2 من الباب 30 من هذه الأبواب</w:t>
      </w:r>
      <w:r w:rsidRPr="006571AC">
        <w:rPr>
          <w:rFonts w:hint="cs"/>
          <w:sz w:val="24"/>
          <w:szCs w:val="24"/>
          <w:rtl/>
        </w:rPr>
        <w:t>»</w:t>
      </w:r>
      <w:r w:rsidRPr="006571AC">
        <w:rPr>
          <w:sz w:val="27"/>
          <w:vertAlign w:val="superscript"/>
          <w:rtl/>
        </w:rPr>
        <w:t>(</w:t>
      </w:r>
      <w:r w:rsidRPr="006571AC">
        <w:rPr>
          <w:rStyle w:val="ac"/>
          <w:sz w:val="27"/>
          <w:rtl/>
        </w:rPr>
        <w:endnoteReference w:id="821"/>
      </w:r>
      <w:r w:rsidRPr="006571AC">
        <w:rPr>
          <w:sz w:val="27"/>
          <w:vertAlign w:val="superscript"/>
          <w:rtl/>
        </w:rPr>
        <w:t>)</w:t>
      </w:r>
      <w:r w:rsidRPr="006571AC">
        <w:rPr>
          <w:rFonts w:hint="cs"/>
          <w:sz w:val="27"/>
          <w:rtl/>
        </w:rPr>
        <w:t>.</w:t>
      </w:r>
    </w:p>
    <w:p w:rsidR="008A3F20" w:rsidRPr="006571AC" w:rsidRDefault="008A3F20" w:rsidP="00C97641">
      <w:pPr>
        <w:rPr>
          <w:sz w:val="27"/>
          <w:rtl/>
        </w:rPr>
      </w:pPr>
      <w:r w:rsidRPr="006571AC">
        <w:rPr>
          <w:rFonts w:hint="cs"/>
          <w:sz w:val="27"/>
          <w:rtl/>
        </w:rPr>
        <w:t>وبالرجوع إلى الموضع المشار إليه تبيّن أنّ الشيخ الحُرّ</w:t>
      </w:r>
      <w:r w:rsidRPr="006571AC">
        <w:rPr>
          <w:rFonts w:ascii="Mosawi" w:hAnsi="Mosawi" w:cs="Mosawi"/>
          <w:sz w:val="22"/>
          <w:szCs w:val="22"/>
          <w:rtl/>
        </w:rPr>
        <w:t>&amp;</w:t>
      </w:r>
      <w:r w:rsidRPr="006571AC">
        <w:rPr>
          <w:rFonts w:hint="cs"/>
          <w:sz w:val="27"/>
          <w:rtl/>
        </w:rPr>
        <w:t xml:space="preserve"> قال في ذيل الحديث 2 من الباب 30: </w:t>
      </w:r>
      <w:r w:rsidRPr="006571AC">
        <w:rPr>
          <w:rFonts w:hint="cs"/>
          <w:sz w:val="24"/>
          <w:szCs w:val="24"/>
          <w:rtl/>
        </w:rPr>
        <w:t>«</w:t>
      </w:r>
      <w:r w:rsidRPr="006571AC">
        <w:rPr>
          <w:b/>
          <w:bCs/>
          <w:sz w:val="27"/>
          <w:rtl/>
        </w:rPr>
        <w:t>ورواه السي</w:t>
      </w:r>
      <w:r w:rsidRPr="006571AC">
        <w:rPr>
          <w:rFonts w:hint="cs"/>
          <w:b/>
          <w:bCs/>
          <w:sz w:val="27"/>
          <w:rtl/>
        </w:rPr>
        <w:t>ّ</w:t>
      </w:r>
      <w:r w:rsidRPr="006571AC">
        <w:rPr>
          <w:b/>
          <w:bCs/>
          <w:sz w:val="27"/>
          <w:rtl/>
        </w:rPr>
        <w:t xml:space="preserve">د عبد الكريم بن أحمد بن طاوس في </w:t>
      </w:r>
      <w:r w:rsidRPr="006571AC">
        <w:rPr>
          <w:rFonts w:hint="cs"/>
          <w:b/>
          <w:bCs/>
          <w:sz w:val="24"/>
          <w:szCs w:val="24"/>
          <w:rtl/>
        </w:rPr>
        <w:t>«</w:t>
      </w:r>
      <w:r w:rsidRPr="006571AC">
        <w:rPr>
          <w:b/>
          <w:bCs/>
          <w:sz w:val="27"/>
          <w:rtl/>
        </w:rPr>
        <w:t>فرحة الغري</w:t>
      </w:r>
      <w:r w:rsidRPr="006571AC">
        <w:rPr>
          <w:rFonts w:hint="cs"/>
          <w:b/>
          <w:bCs/>
          <w:sz w:val="27"/>
          <w:rtl/>
        </w:rPr>
        <w:t>ّ</w:t>
      </w:r>
      <w:r w:rsidRPr="006571AC">
        <w:rPr>
          <w:rFonts w:hint="cs"/>
          <w:b/>
          <w:bCs/>
          <w:sz w:val="24"/>
          <w:szCs w:val="24"/>
          <w:rtl/>
        </w:rPr>
        <w:t>»</w:t>
      </w:r>
      <w:r w:rsidRPr="006571AC">
        <w:rPr>
          <w:rFonts w:hint="cs"/>
          <w:b/>
          <w:bCs/>
          <w:sz w:val="27"/>
          <w:rtl/>
        </w:rPr>
        <w:t xml:space="preserve">، </w:t>
      </w:r>
      <w:r w:rsidRPr="006571AC">
        <w:rPr>
          <w:b/>
          <w:bCs/>
          <w:sz w:val="27"/>
          <w:rtl/>
        </w:rPr>
        <w:t>عن نصير الدين محم</w:t>
      </w:r>
      <w:r w:rsidRPr="006571AC">
        <w:rPr>
          <w:rFonts w:hint="cs"/>
          <w:b/>
          <w:bCs/>
          <w:sz w:val="27"/>
          <w:rtl/>
        </w:rPr>
        <w:t>ّ</w:t>
      </w:r>
      <w:r w:rsidRPr="006571AC">
        <w:rPr>
          <w:b/>
          <w:bCs/>
          <w:sz w:val="27"/>
          <w:rtl/>
        </w:rPr>
        <w:t>د بن محم</w:t>
      </w:r>
      <w:r w:rsidRPr="006571AC">
        <w:rPr>
          <w:rFonts w:hint="cs"/>
          <w:b/>
          <w:bCs/>
          <w:sz w:val="27"/>
          <w:rtl/>
        </w:rPr>
        <w:t>ّ</w:t>
      </w:r>
      <w:r w:rsidRPr="006571AC">
        <w:rPr>
          <w:b/>
          <w:bCs/>
          <w:sz w:val="27"/>
          <w:rtl/>
        </w:rPr>
        <w:t>د بن الحسن الطوسي</w:t>
      </w:r>
      <w:r w:rsidRPr="006571AC">
        <w:rPr>
          <w:rFonts w:hint="cs"/>
          <w:b/>
          <w:bCs/>
          <w:sz w:val="27"/>
          <w:rtl/>
        </w:rPr>
        <w:t>ّ</w:t>
      </w:r>
      <w:r w:rsidRPr="006571AC">
        <w:rPr>
          <w:b/>
          <w:bCs/>
          <w:sz w:val="27"/>
          <w:rtl/>
        </w:rPr>
        <w:t xml:space="preserve"> الوزير، عن أبيه، عن السي</w:t>
      </w:r>
      <w:r w:rsidRPr="006571AC">
        <w:rPr>
          <w:rFonts w:hint="cs"/>
          <w:b/>
          <w:bCs/>
          <w:sz w:val="27"/>
          <w:rtl/>
        </w:rPr>
        <w:t>ّ</w:t>
      </w:r>
      <w:r w:rsidRPr="006571AC">
        <w:rPr>
          <w:b/>
          <w:bCs/>
          <w:sz w:val="27"/>
          <w:rtl/>
        </w:rPr>
        <w:t>د فضل الله الحسني</w:t>
      </w:r>
      <w:r w:rsidRPr="006571AC">
        <w:rPr>
          <w:rFonts w:hint="cs"/>
          <w:b/>
          <w:bCs/>
          <w:sz w:val="27"/>
          <w:rtl/>
        </w:rPr>
        <w:t>ّ</w:t>
      </w:r>
      <w:r w:rsidRPr="006571AC">
        <w:rPr>
          <w:b/>
          <w:bCs/>
          <w:sz w:val="27"/>
          <w:rtl/>
        </w:rPr>
        <w:t>، عن ذي الفقار بن معبد، عن الشيخ الطوسي</w:t>
      </w:r>
      <w:r w:rsidRPr="006571AC">
        <w:rPr>
          <w:rFonts w:hint="cs"/>
          <w:b/>
          <w:bCs/>
          <w:sz w:val="27"/>
          <w:rtl/>
        </w:rPr>
        <w:t>ّ</w:t>
      </w:r>
      <w:r w:rsidRPr="006571AC">
        <w:rPr>
          <w:b/>
          <w:bCs/>
          <w:sz w:val="27"/>
          <w:rtl/>
        </w:rPr>
        <w:t>، عن المفيد</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أحمد بن داود</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22"/>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إذن فالسندُ الثاني للحديث 1 من الباب 31 هو: </w:t>
      </w:r>
      <w:r w:rsidRPr="006571AC">
        <w:rPr>
          <w:sz w:val="27"/>
          <w:rtl/>
        </w:rPr>
        <w:t>السي</w:t>
      </w:r>
      <w:r w:rsidRPr="006571AC">
        <w:rPr>
          <w:rFonts w:hint="cs"/>
          <w:sz w:val="27"/>
          <w:rtl/>
        </w:rPr>
        <w:t>ّ</w:t>
      </w:r>
      <w:r w:rsidRPr="006571AC">
        <w:rPr>
          <w:sz w:val="27"/>
          <w:rtl/>
        </w:rPr>
        <w:t>د عبد الكريم بن أحمد بن طاو</w:t>
      </w:r>
      <w:r w:rsidRPr="006571AC">
        <w:rPr>
          <w:rFonts w:hint="cs"/>
          <w:sz w:val="27"/>
          <w:rtl/>
        </w:rPr>
        <w:t>و</w:t>
      </w:r>
      <w:r w:rsidRPr="006571AC">
        <w:rPr>
          <w:sz w:val="27"/>
          <w:rtl/>
        </w:rPr>
        <w:t xml:space="preserve">س في </w:t>
      </w:r>
      <w:r w:rsidRPr="006571AC">
        <w:rPr>
          <w:rFonts w:hint="cs"/>
          <w:sz w:val="24"/>
          <w:szCs w:val="24"/>
          <w:rtl/>
        </w:rPr>
        <w:t>«</w:t>
      </w:r>
      <w:r w:rsidRPr="006571AC">
        <w:rPr>
          <w:sz w:val="27"/>
          <w:rtl/>
        </w:rPr>
        <w:t>فرحة الغري</w:t>
      </w:r>
      <w:r w:rsidRPr="006571AC">
        <w:rPr>
          <w:rFonts w:hint="cs"/>
          <w:sz w:val="27"/>
          <w:rtl/>
        </w:rPr>
        <w:t>ّ</w:t>
      </w:r>
      <w:r w:rsidRPr="006571AC">
        <w:rPr>
          <w:rFonts w:hint="cs"/>
          <w:sz w:val="24"/>
          <w:szCs w:val="24"/>
          <w:rtl/>
        </w:rPr>
        <w:t>»</w:t>
      </w:r>
      <w:r w:rsidRPr="006571AC">
        <w:rPr>
          <w:rFonts w:hint="cs"/>
          <w:sz w:val="27"/>
          <w:rtl/>
        </w:rPr>
        <w:t xml:space="preserve">، </w:t>
      </w:r>
      <w:r w:rsidRPr="006571AC">
        <w:rPr>
          <w:sz w:val="27"/>
          <w:rtl/>
        </w:rPr>
        <w:t>عن نصير الدين محم</w:t>
      </w:r>
      <w:r w:rsidRPr="006571AC">
        <w:rPr>
          <w:rFonts w:hint="cs"/>
          <w:sz w:val="27"/>
          <w:rtl/>
        </w:rPr>
        <w:t>ّ</w:t>
      </w:r>
      <w:r w:rsidRPr="006571AC">
        <w:rPr>
          <w:sz w:val="27"/>
          <w:rtl/>
        </w:rPr>
        <w:t>د بن محم</w:t>
      </w:r>
      <w:r w:rsidRPr="006571AC">
        <w:rPr>
          <w:rFonts w:hint="cs"/>
          <w:sz w:val="27"/>
          <w:rtl/>
        </w:rPr>
        <w:t>ّ</w:t>
      </w:r>
      <w:r w:rsidRPr="006571AC">
        <w:rPr>
          <w:sz w:val="27"/>
          <w:rtl/>
        </w:rPr>
        <w:t>د بن الحسن الطوسي</w:t>
      </w:r>
      <w:r w:rsidRPr="006571AC">
        <w:rPr>
          <w:rFonts w:hint="cs"/>
          <w:sz w:val="27"/>
          <w:rtl/>
        </w:rPr>
        <w:t>ّ</w:t>
      </w:r>
      <w:r w:rsidRPr="006571AC">
        <w:rPr>
          <w:sz w:val="27"/>
          <w:rtl/>
        </w:rPr>
        <w:t xml:space="preserve"> الوزير، عن أبيه، عن السي</w:t>
      </w:r>
      <w:r w:rsidRPr="006571AC">
        <w:rPr>
          <w:rFonts w:hint="cs"/>
          <w:sz w:val="27"/>
          <w:rtl/>
        </w:rPr>
        <w:t>ّ</w:t>
      </w:r>
      <w:r w:rsidRPr="006571AC">
        <w:rPr>
          <w:sz w:val="27"/>
          <w:rtl/>
        </w:rPr>
        <w:t>د فضل الله الحسني</w:t>
      </w:r>
      <w:r w:rsidRPr="006571AC">
        <w:rPr>
          <w:rFonts w:hint="cs"/>
          <w:sz w:val="27"/>
          <w:rtl/>
        </w:rPr>
        <w:t>ّ</w:t>
      </w:r>
      <w:r w:rsidRPr="006571AC">
        <w:rPr>
          <w:sz w:val="27"/>
          <w:rtl/>
        </w:rPr>
        <w:t>، عن ذي الفقار بن معبد، عن الشيخ الطوسي</w:t>
      </w:r>
      <w:r w:rsidRPr="006571AC">
        <w:rPr>
          <w:rFonts w:hint="cs"/>
          <w:sz w:val="27"/>
          <w:rtl/>
        </w:rPr>
        <w:t>ّ</w:t>
      </w:r>
      <w:r w:rsidRPr="006571AC">
        <w:rPr>
          <w:sz w:val="27"/>
          <w:rtl/>
        </w:rPr>
        <w:t>، عن المفيد</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أحمد بن داو</w:t>
      </w:r>
      <w:r w:rsidR="008E0635" w:rsidRPr="006571AC">
        <w:rPr>
          <w:rFonts w:hint="cs"/>
          <w:sz w:val="27"/>
          <w:rtl/>
        </w:rPr>
        <w:t>و</w:t>
      </w:r>
      <w:r w:rsidRPr="006571AC">
        <w:rPr>
          <w:sz w:val="27"/>
          <w:rtl/>
        </w:rPr>
        <w:t>د</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بك</w:t>
      </w:r>
      <w:r w:rsidRPr="006571AC">
        <w:rPr>
          <w:rFonts w:hint="cs"/>
          <w:sz w:val="27"/>
          <w:rtl/>
        </w:rPr>
        <w:t>ّ</w:t>
      </w:r>
      <w:r w:rsidRPr="006571AC">
        <w:rPr>
          <w:sz w:val="27"/>
          <w:rtl/>
        </w:rPr>
        <w:t>ار النق</w:t>
      </w:r>
      <w:r w:rsidRPr="006571AC">
        <w:rPr>
          <w:rFonts w:hint="cs"/>
          <w:sz w:val="27"/>
          <w:rtl/>
        </w:rPr>
        <w:t>ّ</w:t>
      </w:r>
      <w:r w:rsidRPr="006571AC">
        <w:rPr>
          <w:sz w:val="27"/>
          <w:rtl/>
        </w:rPr>
        <w:t xml:space="preserve">اش، عن </w:t>
      </w:r>
      <w:r w:rsidRPr="006571AC">
        <w:rPr>
          <w:sz w:val="27"/>
          <w:rtl/>
        </w:rPr>
        <w:lastRenderedPageBreak/>
        <w:t>الحسين بن محم</w:t>
      </w:r>
      <w:r w:rsidRPr="006571AC">
        <w:rPr>
          <w:rFonts w:hint="cs"/>
          <w:sz w:val="27"/>
          <w:rtl/>
        </w:rPr>
        <w:t>ّ</w:t>
      </w:r>
      <w:r w:rsidRPr="006571AC">
        <w:rPr>
          <w:sz w:val="27"/>
          <w:rtl/>
        </w:rPr>
        <w:t>د الفزاري</w:t>
      </w:r>
      <w:r w:rsidRPr="006571AC">
        <w:rPr>
          <w:rFonts w:hint="cs"/>
          <w:sz w:val="27"/>
          <w:rtl/>
        </w:rPr>
        <w:t>ّ</w:t>
      </w:r>
      <w:r w:rsidRPr="006571AC">
        <w:rPr>
          <w:sz w:val="27"/>
          <w:rtl/>
        </w:rPr>
        <w:t>، عن الحسن بن علي</w:t>
      </w:r>
      <w:r w:rsidRPr="006571AC">
        <w:rPr>
          <w:rFonts w:hint="cs"/>
          <w:sz w:val="27"/>
          <w:rtl/>
        </w:rPr>
        <w:t>ّ</w:t>
      </w:r>
      <w:r w:rsidRPr="006571AC">
        <w:rPr>
          <w:sz w:val="27"/>
          <w:rtl/>
        </w:rPr>
        <w:t xml:space="preserve"> النخ</w:t>
      </w:r>
      <w:r w:rsidRPr="006571AC">
        <w:rPr>
          <w:rFonts w:hint="cs"/>
          <w:sz w:val="27"/>
          <w:rtl/>
        </w:rPr>
        <w:t>ّ</w:t>
      </w:r>
      <w:r w:rsidRPr="006571AC">
        <w:rPr>
          <w:sz w:val="27"/>
          <w:rtl/>
        </w:rPr>
        <w:t>اس، عن جعفر بن محم</w:t>
      </w:r>
      <w:r w:rsidRPr="006571AC">
        <w:rPr>
          <w:rFonts w:hint="cs"/>
          <w:sz w:val="27"/>
          <w:rtl/>
        </w:rPr>
        <w:t>ّ</w:t>
      </w:r>
      <w:r w:rsidRPr="006571AC">
        <w:rPr>
          <w:sz w:val="27"/>
          <w:rtl/>
        </w:rPr>
        <w:t>د الرماني</w:t>
      </w:r>
      <w:r w:rsidRPr="006571AC">
        <w:rPr>
          <w:rFonts w:hint="cs"/>
          <w:sz w:val="27"/>
          <w:rtl/>
        </w:rPr>
        <w:t>ّ</w:t>
      </w:r>
      <w:r w:rsidRPr="006571AC">
        <w:rPr>
          <w:sz w:val="27"/>
          <w:rtl/>
        </w:rPr>
        <w:t>، عن يحيى الحماني</w:t>
      </w:r>
      <w:r w:rsidRPr="006571AC">
        <w:rPr>
          <w:rFonts w:hint="cs"/>
          <w:sz w:val="27"/>
          <w:rtl/>
        </w:rPr>
        <w:t>ّ</w:t>
      </w:r>
      <w:r w:rsidRPr="006571AC">
        <w:rPr>
          <w:sz w:val="27"/>
          <w:rtl/>
        </w:rPr>
        <w:t>، عن محم</w:t>
      </w:r>
      <w:r w:rsidRPr="006571AC">
        <w:rPr>
          <w:rFonts w:hint="cs"/>
          <w:sz w:val="27"/>
          <w:rtl/>
        </w:rPr>
        <w:t>ّ</w:t>
      </w:r>
      <w:r w:rsidRPr="006571AC">
        <w:rPr>
          <w:sz w:val="27"/>
          <w:rtl/>
        </w:rPr>
        <w:t>د بن عبيد الطيالسي</w:t>
      </w:r>
      <w:r w:rsidRPr="006571AC">
        <w:rPr>
          <w:rFonts w:hint="cs"/>
          <w:sz w:val="27"/>
          <w:rtl/>
        </w:rPr>
        <w:t>ّ</w:t>
      </w:r>
      <w:r w:rsidRPr="006571AC">
        <w:rPr>
          <w:sz w:val="27"/>
          <w:rtl/>
        </w:rPr>
        <w:t>، عن مختار التم</w:t>
      </w:r>
      <w:r w:rsidRPr="006571AC">
        <w:rPr>
          <w:rFonts w:hint="cs"/>
          <w:sz w:val="27"/>
          <w:rtl/>
        </w:rPr>
        <w:t>ّ</w:t>
      </w:r>
      <w:r w:rsidRPr="006571AC">
        <w:rPr>
          <w:sz w:val="27"/>
          <w:rtl/>
        </w:rPr>
        <w:t>ار، عن أبي مطر قال: لم</w:t>
      </w:r>
      <w:r w:rsidRPr="006571AC">
        <w:rPr>
          <w:rFonts w:hint="cs"/>
          <w:sz w:val="27"/>
          <w:rtl/>
        </w:rPr>
        <w:t>ّ</w:t>
      </w:r>
      <w:r w:rsidRPr="006571AC">
        <w:rPr>
          <w:sz w:val="27"/>
          <w:rtl/>
        </w:rPr>
        <w:t>ا ضرب ابن ملجم</w:t>
      </w:r>
      <w:r w:rsidRPr="006571AC">
        <w:rPr>
          <w:rFonts w:hint="cs"/>
          <w:sz w:val="27"/>
          <w:rtl/>
        </w:rPr>
        <w:t>....</w:t>
      </w:r>
    </w:p>
    <w:p w:rsidR="008A3F20" w:rsidRPr="006571AC" w:rsidRDefault="008A3F20" w:rsidP="000C6F2A">
      <w:pPr>
        <w:rPr>
          <w:sz w:val="27"/>
          <w:rtl/>
        </w:rPr>
      </w:pPr>
      <w:r w:rsidRPr="006571AC">
        <w:rPr>
          <w:rFonts w:hint="cs"/>
          <w:sz w:val="27"/>
          <w:rtl/>
        </w:rPr>
        <w:t xml:space="preserve">* وما في الباب 8 من أبواب آداب القاضي، ح 2، حيث قال في ذيله: </w:t>
      </w:r>
      <w:r w:rsidRPr="006571AC">
        <w:rPr>
          <w:rFonts w:hint="cs"/>
          <w:sz w:val="24"/>
          <w:szCs w:val="24"/>
          <w:rtl/>
        </w:rPr>
        <w:t>«</w:t>
      </w:r>
      <w:r w:rsidRPr="006571AC">
        <w:rPr>
          <w:sz w:val="27"/>
          <w:rtl/>
        </w:rPr>
        <w:t xml:space="preserve">ورواه الشيخ </w:t>
      </w:r>
      <w:r w:rsidRPr="006571AC">
        <w:rPr>
          <w:b/>
          <w:bCs/>
          <w:sz w:val="27"/>
          <w:rtl/>
        </w:rPr>
        <w:t>كما مر</w:t>
      </w:r>
      <w:r w:rsidRPr="006571AC">
        <w:rPr>
          <w:rFonts w:hint="cs"/>
          <w:b/>
          <w:bCs/>
          <w:sz w:val="27"/>
          <w:rtl/>
        </w:rPr>
        <w:t>ّ</w:t>
      </w:r>
      <w:r w:rsidRPr="006571AC">
        <w:rPr>
          <w:b/>
          <w:bCs/>
          <w:sz w:val="27"/>
          <w:rtl/>
        </w:rPr>
        <w:t xml:space="preserve"> في محل</w:t>
      </w:r>
      <w:r w:rsidRPr="006571AC">
        <w:rPr>
          <w:rFonts w:hint="cs"/>
          <w:b/>
          <w:bCs/>
          <w:sz w:val="27"/>
          <w:rtl/>
        </w:rPr>
        <w:t>ّ</w:t>
      </w:r>
      <w:r w:rsidRPr="006571AC">
        <w:rPr>
          <w:b/>
          <w:bCs/>
          <w:sz w:val="27"/>
          <w:rtl/>
        </w:rPr>
        <w:t>ه</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وعلَّق المحقِّقون بقولهم: </w:t>
      </w:r>
      <w:r w:rsidRPr="006571AC">
        <w:rPr>
          <w:rFonts w:hint="cs"/>
          <w:sz w:val="24"/>
          <w:szCs w:val="24"/>
          <w:rtl/>
        </w:rPr>
        <w:t>«</w:t>
      </w:r>
      <w:r w:rsidRPr="006571AC">
        <w:rPr>
          <w:sz w:val="27"/>
          <w:rtl/>
        </w:rPr>
        <w:t xml:space="preserve">في الحديث 8 من الباب 1 من </w:t>
      </w:r>
      <w:r w:rsidRPr="006571AC">
        <w:rPr>
          <w:rFonts w:hint="cs"/>
          <w:sz w:val="27"/>
          <w:rtl/>
        </w:rPr>
        <w:t>أ</w:t>
      </w:r>
      <w:r w:rsidRPr="006571AC">
        <w:rPr>
          <w:sz w:val="27"/>
          <w:rtl/>
        </w:rPr>
        <w:t>بواب قسمة الخمس</w:t>
      </w:r>
      <w:r w:rsidRPr="006571AC">
        <w:rPr>
          <w:rFonts w:hint="cs"/>
          <w:sz w:val="27"/>
          <w:rtl/>
        </w:rPr>
        <w:t>؛</w:t>
      </w:r>
      <w:r w:rsidRPr="006571AC">
        <w:rPr>
          <w:sz w:val="27"/>
          <w:rtl/>
        </w:rPr>
        <w:t xml:space="preserve"> والحديث 4 من الباب 1 من </w:t>
      </w:r>
      <w:r w:rsidRPr="006571AC">
        <w:rPr>
          <w:rFonts w:hint="cs"/>
          <w:sz w:val="27"/>
          <w:rtl/>
        </w:rPr>
        <w:t>أ</w:t>
      </w:r>
      <w:r w:rsidRPr="006571AC">
        <w:rPr>
          <w:sz w:val="27"/>
          <w:rtl/>
        </w:rPr>
        <w:t>بواب ال</w:t>
      </w:r>
      <w:r w:rsidRPr="006571AC">
        <w:rPr>
          <w:rFonts w:hint="cs"/>
          <w:sz w:val="27"/>
          <w:rtl/>
        </w:rPr>
        <w:t>أ</w:t>
      </w:r>
      <w:r w:rsidRPr="006571AC">
        <w:rPr>
          <w:sz w:val="27"/>
          <w:rtl/>
        </w:rPr>
        <w:t>نفال</w:t>
      </w:r>
      <w:r w:rsidRPr="006571AC">
        <w:rPr>
          <w:rFonts w:hint="cs"/>
          <w:sz w:val="27"/>
          <w:rtl/>
        </w:rPr>
        <w:t>؛</w:t>
      </w:r>
      <w:r w:rsidRPr="006571AC">
        <w:rPr>
          <w:sz w:val="27"/>
          <w:rtl/>
        </w:rPr>
        <w:t xml:space="preserve"> والحديث 2 من الباب 41 من </w:t>
      </w:r>
      <w:r w:rsidRPr="006571AC">
        <w:rPr>
          <w:rFonts w:hint="cs"/>
          <w:sz w:val="27"/>
          <w:rtl/>
        </w:rPr>
        <w:t>أ</w:t>
      </w:r>
      <w:r w:rsidRPr="006571AC">
        <w:rPr>
          <w:sz w:val="27"/>
          <w:rtl/>
        </w:rPr>
        <w:t>بواب جهاد العدو</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23"/>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وبالرجوع إلى الباب 41 من أبواب جهاد العدوّ وما يناسبه، ح 2، وج</w:t>
      </w:r>
      <w:r w:rsidR="008E0635" w:rsidRPr="006571AC">
        <w:rPr>
          <w:rFonts w:hint="cs"/>
          <w:sz w:val="27"/>
          <w:rtl/>
        </w:rPr>
        <w:t>َ</w:t>
      </w:r>
      <w:r w:rsidRPr="006571AC">
        <w:rPr>
          <w:rFonts w:hint="cs"/>
          <w:sz w:val="27"/>
          <w:rtl/>
        </w:rPr>
        <w:t>د</w:t>
      </w:r>
      <w:r w:rsidR="008E0635" w:rsidRPr="006571AC">
        <w:rPr>
          <w:rFonts w:hint="cs"/>
          <w:sz w:val="27"/>
          <w:rtl/>
        </w:rPr>
        <w:t>ْ</w:t>
      </w:r>
      <w:r w:rsidRPr="006571AC">
        <w:rPr>
          <w:rFonts w:hint="cs"/>
          <w:sz w:val="27"/>
          <w:rtl/>
        </w:rPr>
        <w:t>نا أنّ الشيخ الحُرّ</w:t>
      </w:r>
      <w:r w:rsidRPr="006571AC">
        <w:rPr>
          <w:rFonts w:ascii="Mosawi" w:hAnsi="Mosawi" w:cs="Mosawi"/>
          <w:sz w:val="22"/>
          <w:szCs w:val="22"/>
          <w:rtl/>
        </w:rPr>
        <w:t>&amp;</w:t>
      </w:r>
      <w:r w:rsidRPr="006571AC">
        <w:rPr>
          <w:rFonts w:hint="cs"/>
          <w:sz w:val="27"/>
          <w:rtl/>
        </w:rPr>
        <w:t xml:space="preserve"> يقول في ذيله: </w:t>
      </w:r>
      <w:r w:rsidRPr="006571AC">
        <w:rPr>
          <w:rFonts w:hint="cs"/>
          <w:sz w:val="24"/>
          <w:szCs w:val="24"/>
          <w:rtl/>
        </w:rPr>
        <w:t>«</w:t>
      </w:r>
      <w:r w:rsidRPr="006571AC">
        <w:rPr>
          <w:sz w:val="27"/>
          <w:rtl/>
        </w:rPr>
        <w:t xml:space="preserve">ورواه الشيخ </w:t>
      </w:r>
      <w:r w:rsidRPr="006571AC">
        <w:rPr>
          <w:b/>
          <w:bCs/>
          <w:sz w:val="27"/>
          <w:rtl/>
        </w:rPr>
        <w:t>كما تقد</w:t>
      </w:r>
      <w:r w:rsidRPr="006571AC">
        <w:rPr>
          <w:rFonts w:hint="cs"/>
          <w:b/>
          <w:bCs/>
          <w:sz w:val="27"/>
          <w:rtl/>
        </w:rPr>
        <w:t>ّ</w:t>
      </w:r>
      <w:r w:rsidR="008E0635" w:rsidRPr="006571AC">
        <w:rPr>
          <w:rFonts w:hint="cs"/>
          <w:b/>
          <w:bCs/>
          <w:sz w:val="27"/>
          <w:rtl/>
        </w:rPr>
        <w:t>َ</w:t>
      </w:r>
      <w:r w:rsidRPr="006571AC">
        <w:rPr>
          <w:b/>
          <w:bCs/>
          <w:sz w:val="27"/>
          <w:rtl/>
        </w:rPr>
        <w:t>م في الخمس</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وعلَّق المحقِّقون بقولهم: </w:t>
      </w:r>
      <w:r w:rsidRPr="006571AC">
        <w:rPr>
          <w:rFonts w:hint="cs"/>
          <w:sz w:val="24"/>
          <w:szCs w:val="24"/>
          <w:rtl/>
        </w:rPr>
        <w:t>«</w:t>
      </w:r>
      <w:r w:rsidRPr="006571AC">
        <w:rPr>
          <w:sz w:val="27"/>
          <w:rtl/>
        </w:rPr>
        <w:t>تقد</w:t>
      </w:r>
      <w:r w:rsidRPr="006571AC">
        <w:rPr>
          <w:rFonts w:hint="cs"/>
          <w:sz w:val="27"/>
          <w:rtl/>
        </w:rPr>
        <w:t>ّ</w:t>
      </w:r>
      <w:r w:rsidRPr="006571AC">
        <w:rPr>
          <w:sz w:val="27"/>
          <w:rtl/>
        </w:rPr>
        <w:t xml:space="preserve">م في الحديث 9 من الباب 2 من </w:t>
      </w:r>
      <w:r w:rsidRPr="006571AC">
        <w:rPr>
          <w:rFonts w:hint="cs"/>
          <w:sz w:val="27"/>
          <w:rtl/>
        </w:rPr>
        <w:t>أ</w:t>
      </w:r>
      <w:r w:rsidRPr="006571AC">
        <w:rPr>
          <w:sz w:val="27"/>
          <w:rtl/>
        </w:rPr>
        <w:t>بواب ما يجب فيه الخمس</w:t>
      </w:r>
      <w:r w:rsidRPr="006571AC">
        <w:rPr>
          <w:rFonts w:hint="cs"/>
          <w:sz w:val="27"/>
          <w:rtl/>
        </w:rPr>
        <w:t>؛</w:t>
      </w:r>
      <w:r w:rsidRPr="006571AC">
        <w:rPr>
          <w:sz w:val="27"/>
          <w:rtl/>
        </w:rPr>
        <w:t xml:space="preserve"> وفي الحديث 8 من الباب 1 من </w:t>
      </w:r>
      <w:r w:rsidRPr="006571AC">
        <w:rPr>
          <w:rFonts w:hint="cs"/>
          <w:sz w:val="27"/>
          <w:rtl/>
        </w:rPr>
        <w:t>أ</w:t>
      </w:r>
      <w:r w:rsidRPr="006571AC">
        <w:rPr>
          <w:sz w:val="27"/>
          <w:rtl/>
        </w:rPr>
        <w:t>بواب قسمة الخمس</w:t>
      </w:r>
      <w:r w:rsidRPr="006571AC">
        <w:rPr>
          <w:rFonts w:hint="cs"/>
          <w:sz w:val="24"/>
          <w:szCs w:val="24"/>
          <w:rtl/>
        </w:rPr>
        <w:t>»</w:t>
      </w:r>
      <w:r w:rsidRPr="006571AC">
        <w:rPr>
          <w:sz w:val="27"/>
          <w:vertAlign w:val="superscript"/>
          <w:rtl/>
        </w:rPr>
        <w:t>(</w:t>
      </w:r>
      <w:r w:rsidRPr="006571AC">
        <w:rPr>
          <w:rStyle w:val="ac"/>
          <w:sz w:val="27"/>
          <w:rtl/>
        </w:rPr>
        <w:endnoteReference w:id="824"/>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ورج</w:t>
      </w:r>
      <w:r w:rsidR="008E0635" w:rsidRPr="006571AC">
        <w:rPr>
          <w:rFonts w:hint="cs"/>
          <w:sz w:val="27"/>
          <w:rtl/>
        </w:rPr>
        <w:t>َ</w:t>
      </w:r>
      <w:r w:rsidRPr="006571AC">
        <w:rPr>
          <w:rFonts w:hint="cs"/>
          <w:sz w:val="27"/>
          <w:rtl/>
        </w:rPr>
        <w:t>ع</w:t>
      </w:r>
      <w:r w:rsidR="008E0635" w:rsidRPr="006571AC">
        <w:rPr>
          <w:rFonts w:hint="cs"/>
          <w:sz w:val="27"/>
          <w:rtl/>
        </w:rPr>
        <w:t>ْ</w:t>
      </w:r>
      <w:r w:rsidRPr="006571AC">
        <w:rPr>
          <w:rFonts w:hint="cs"/>
          <w:sz w:val="27"/>
          <w:rtl/>
        </w:rPr>
        <w:t>نا من جديد إلى الباب 1 من أبواب الأنفال، ح 4، فوجدناه</w:t>
      </w:r>
      <w:r w:rsidRPr="006571AC">
        <w:rPr>
          <w:rFonts w:ascii="Mosawi" w:hAnsi="Mosawi" w:cs="Mosawi"/>
          <w:sz w:val="22"/>
          <w:szCs w:val="22"/>
          <w:rtl/>
        </w:rPr>
        <w:t>&amp;</w:t>
      </w:r>
      <w:r w:rsidRPr="006571AC">
        <w:rPr>
          <w:rFonts w:hint="cs"/>
          <w:sz w:val="27"/>
          <w:rtl/>
        </w:rPr>
        <w:t xml:space="preserve"> يقول في ذيله: </w:t>
      </w:r>
      <w:r w:rsidRPr="006571AC">
        <w:rPr>
          <w:rFonts w:hint="cs"/>
          <w:sz w:val="24"/>
          <w:szCs w:val="24"/>
          <w:rtl/>
        </w:rPr>
        <w:t>«</w:t>
      </w:r>
      <w:r w:rsidRPr="006571AC">
        <w:rPr>
          <w:sz w:val="27"/>
          <w:rtl/>
        </w:rPr>
        <w:t xml:space="preserve">ورواه الشيخ </w:t>
      </w:r>
      <w:r w:rsidRPr="006571AC">
        <w:rPr>
          <w:b/>
          <w:bCs/>
          <w:sz w:val="27"/>
          <w:rtl/>
        </w:rPr>
        <w:t>كما مر</w:t>
      </w:r>
      <w:r w:rsidRPr="006571AC">
        <w:rPr>
          <w:rFonts w:hint="cs"/>
          <w:b/>
          <w:bCs/>
          <w:sz w:val="27"/>
          <w:rtl/>
        </w:rPr>
        <w:t>ّ</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وعلَّق المحقِّقون بقولهم: </w:t>
      </w:r>
      <w:r w:rsidRPr="006571AC">
        <w:rPr>
          <w:rFonts w:hint="cs"/>
          <w:sz w:val="24"/>
          <w:szCs w:val="24"/>
          <w:rtl/>
        </w:rPr>
        <w:t>«</w:t>
      </w:r>
      <w:r w:rsidRPr="006571AC">
        <w:rPr>
          <w:sz w:val="27"/>
          <w:rtl/>
        </w:rPr>
        <w:t>مر</w:t>
      </w:r>
      <w:r w:rsidRPr="006571AC">
        <w:rPr>
          <w:rFonts w:hint="cs"/>
          <w:sz w:val="27"/>
          <w:rtl/>
        </w:rPr>
        <w:t>ّ</w:t>
      </w:r>
      <w:r w:rsidRPr="006571AC">
        <w:rPr>
          <w:sz w:val="27"/>
          <w:rtl/>
        </w:rPr>
        <w:t xml:space="preserve"> في ذيل الحديث 8 من الباب 1 من </w:t>
      </w:r>
      <w:r w:rsidRPr="006571AC">
        <w:rPr>
          <w:rFonts w:hint="cs"/>
          <w:sz w:val="27"/>
          <w:rtl/>
        </w:rPr>
        <w:t>أ</w:t>
      </w:r>
      <w:r w:rsidRPr="006571AC">
        <w:rPr>
          <w:sz w:val="27"/>
          <w:rtl/>
        </w:rPr>
        <w:t>بواب قسمة الخمس</w:t>
      </w:r>
      <w:r w:rsidRPr="006571AC">
        <w:rPr>
          <w:rFonts w:hint="cs"/>
          <w:sz w:val="24"/>
          <w:szCs w:val="24"/>
          <w:rtl/>
        </w:rPr>
        <w:t>»</w:t>
      </w:r>
      <w:r w:rsidRPr="006571AC">
        <w:rPr>
          <w:sz w:val="27"/>
          <w:vertAlign w:val="superscript"/>
          <w:rtl/>
        </w:rPr>
        <w:t>(</w:t>
      </w:r>
      <w:r w:rsidRPr="006571AC">
        <w:rPr>
          <w:rStyle w:val="ac"/>
          <w:sz w:val="27"/>
          <w:rtl/>
        </w:rPr>
        <w:endnoteReference w:id="825"/>
      </w:r>
      <w:r w:rsidRPr="006571AC">
        <w:rPr>
          <w:sz w:val="27"/>
          <w:vertAlign w:val="superscript"/>
          <w:rtl/>
        </w:rPr>
        <w:t>)</w:t>
      </w:r>
      <w:r w:rsidRPr="006571AC">
        <w:rPr>
          <w:rFonts w:hint="cs"/>
          <w:sz w:val="27"/>
          <w:rtl/>
        </w:rPr>
        <w:t>.</w:t>
      </w:r>
    </w:p>
    <w:p w:rsidR="008A3F20" w:rsidRPr="006571AC" w:rsidRDefault="008A3F20" w:rsidP="00C97641">
      <w:pPr>
        <w:rPr>
          <w:sz w:val="27"/>
        </w:rPr>
      </w:pPr>
      <w:r w:rsidRPr="006571AC">
        <w:rPr>
          <w:rFonts w:hint="cs"/>
          <w:sz w:val="27"/>
          <w:rtl/>
        </w:rPr>
        <w:t>ورج</w:t>
      </w:r>
      <w:r w:rsidR="00C97641" w:rsidRPr="006571AC">
        <w:rPr>
          <w:rFonts w:hint="cs"/>
          <w:sz w:val="27"/>
          <w:rtl/>
        </w:rPr>
        <w:t>َ</w:t>
      </w:r>
      <w:r w:rsidRPr="006571AC">
        <w:rPr>
          <w:rFonts w:hint="cs"/>
          <w:sz w:val="27"/>
          <w:rtl/>
        </w:rPr>
        <w:t>ع</w:t>
      </w:r>
      <w:r w:rsidR="00C97641" w:rsidRPr="006571AC">
        <w:rPr>
          <w:rFonts w:hint="cs"/>
          <w:sz w:val="27"/>
          <w:rtl/>
        </w:rPr>
        <w:t>ْ</w:t>
      </w:r>
      <w:r w:rsidRPr="006571AC">
        <w:rPr>
          <w:rFonts w:hint="cs"/>
          <w:sz w:val="27"/>
          <w:rtl/>
        </w:rPr>
        <w:t>نا من جديد أيضاً إلى الباب 1 من أبواب قسمة الخمس، ح 8، فوج</w:t>
      </w:r>
      <w:r w:rsidR="008E0635" w:rsidRPr="006571AC">
        <w:rPr>
          <w:rFonts w:hint="cs"/>
          <w:sz w:val="27"/>
          <w:rtl/>
        </w:rPr>
        <w:t>َ</w:t>
      </w:r>
      <w:r w:rsidRPr="006571AC">
        <w:rPr>
          <w:rFonts w:hint="cs"/>
          <w:sz w:val="27"/>
          <w:rtl/>
        </w:rPr>
        <w:t>د</w:t>
      </w:r>
      <w:r w:rsidR="008E0635" w:rsidRPr="006571AC">
        <w:rPr>
          <w:rFonts w:hint="cs"/>
          <w:sz w:val="27"/>
          <w:rtl/>
        </w:rPr>
        <w:t>ْ</w:t>
      </w:r>
      <w:r w:rsidRPr="006571AC">
        <w:rPr>
          <w:rFonts w:hint="cs"/>
          <w:sz w:val="27"/>
          <w:rtl/>
        </w:rPr>
        <w:t>ناه</w:t>
      </w:r>
      <w:r w:rsidRPr="006571AC">
        <w:rPr>
          <w:rFonts w:ascii="Mosawi" w:hAnsi="Mosawi" w:cs="Mosawi"/>
          <w:sz w:val="22"/>
          <w:szCs w:val="22"/>
          <w:rtl/>
        </w:rPr>
        <w:t>&amp;</w:t>
      </w:r>
      <w:r w:rsidRPr="006571AC">
        <w:rPr>
          <w:rFonts w:hint="cs"/>
          <w:sz w:val="27"/>
          <w:rtl/>
        </w:rPr>
        <w:t xml:space="preserve"> يقول: </w:t>
      </w:r>
      <w:r w:rsidRPr="006571AC">
        <w:rPr>
          <w:rFonts w:hint="cs"/>
          <w:sz w:val="24"/>
          <w:szCs w:val="24"/>
          <w:rtl/>
        </w:rPr>
        <w:t>«</w:t>
      </w:r>
      <w:r w:rsidRPr="006571AC">
        <w:rPr>
          <w:sz w:val="27"/>
          <w:rtl/>
        </w:rPr>
        <w:t xml:space="preserve">8ـ وعنه </w:t>
      </w:r>
      <w:r w:rsidRPr="006571AC">
        <w:rPr>
          <w:rFonts w:hint="cs"/>
          <w:sz w:val="27"/>
          <w:rtl/>
        </w:rPr>
        <w:t>[محمّد بن يعقوب، عن عليّ بن إبراهيم]</w:t>
      </w:r>
      <w:r w:rsidRPr="006571AC">
        <w:rPr>
          <w:sz w:val="27"/>
          <w:rtl/>
        </w:rPr>
        <w:t>، عن أبيه، عن حم</w:t>
      </w:r>
      <w:r w:rsidRPr="006571AC">
        <w:rPr>
          <w:rFonts w:hint="cs"/>
          <w:sz w:val="27"/>
          <w:rtl/>
        </w:rPr>
        <w:t>ّ</w:t>
      </w:r>
      <w:r w:rsidRPr="006571AC">
        <w:rPr>
          <w:sz w:val="27"/>
          <w:rtl/>
        </w:rPr>
        <w:t>اد بن عيسى، عن بعض أصحابنا، عن العبد الصالح</w:t>
      </w:r>
      <w:r w:rsidRPr="006571AC">
        <w:rPr>
          <w:rFonts w:ascii="Mosawi" w:hAnsi="Mosawi" w:cs="Mosawi"/>
          <w:sz w:val="22"/>
          <w:szCs w:val="22"/>
          <w:rtl/>
        </w:rPr>
        <w:t>×</w:t>
      </w:r>
      <w:r w:rsidRPr="006571AC">
        <w:rPr>
          <w:sz w:val="27"/>
          <w:rtl/>
        </w:rPr>
        <w:t xml:space="preserve"> قال: الخ</w:t>
      </w:r>
      <w:r w:rsidR="00C97641" w:rsidRPr="006571AC">
        <w:rPr>
          <w:rFonts w:hint="cs"/>
          <w:sz w:val="27"/>
          <w:rtl/>
        </w:rPr>
        <w:t>ُ</w:t>
      </w:r>
      <w:r w:rsidRPr="006571AC">
        <w:rPr>
          <w:sz w:val="27"/>
          <w:rtl/>
        </w:rPr>
        <w:t>م</w:t>
      </w:r>
      <w:r w:rsidR="00C97641" w:rsidRPr="006571AC">
        <w:rPr>
          <w:rFonts w:hint="cs"/>
          <w:sz w:val="27"/>
          <w:rtl/>
        </w:rPr>
        <w:t>ْ</w:t>
      </w:r>
      <w:r w:rsidRPr="006571AC">
        <w:rPr>
          <w:sz w:val="27"/>
          <w:rtl/>
        </w:rPr>
        <w:t>س من خمسة أشياء: من الغنائم</w:t>
      </w:r>
      <w:r w:rsidRPr="006571AC">
        <w:rPr>
          <w:rFonts w:hint="cs"/>
          <w:sz w:val="27"/>
          <w:rtl/>
        </w:rPr>
        <w:t>؛</w:t>
      </w:r>
      <w:r w:rsidRPr="006571AC">
        <w:rPr>
          <w:sz w:val="27"/>
          <w:rtl/>
        </w:rPr>
        <w:t xml:space="preserve"> والغ</w:t>
      </w:r>
      <w:r w:rsidR="00C97641" w:rsidRPr="006571AC">
        <w:rPr>
          <w:rFonts w:hint="cs"/>
          <w:sz w:val="27"/>
          <w:rtl/>
        </w:rPr>
        <w:t>َ</w:t>
      </w:r>
      <w:r w:rsidRPr="006571AC">
        <w:rPr>
          <w:sz w:val="27"/>
          <w:rtl/>
        </w:rPr>
        <w:t>و</w:t>
      </w:r>
      <w:r w:rsidR="00C97641" w:rsidRPr="006571AC">
        <w:rPr>
          <w:rFonts w:hint="cs"/>
          <w:sz w:val="27"/>
          <w:rtl/>
        </w:rPr>
        <w:t>ْ</w:t>
      </w:r>
      <w:r w:rsidRPr="006571AC">
        <w:rPr>
          <w:sz w:val="27"/>
          <w:rtl/>
        </w:rPr>
        <w:t>ص</w:t>
      </w:r>
      <w:r w:rsidRPr="006571AC">
        <w:rPr>
          <w:rFonts w:hint="cs"/>
          <w:sz w:val="27"/>
          <w:rtl/>
        </w:rPr>
        <w:t>؛</w:t>
      </w:r>
      <w:r w:rsidRPr="006571AC">
        <w:rPr>
          <w:sz w:val="27"/>
          <w:rtl/>
        </w:rPr>
        <w:t xml:space="preserve"> ومن الكنوز</w:t>
      </w:r>
      <w:r w:rsidRPr="006571AC">
        <w:rPr>
          <w:rFonts w:hint="cs"/>
          <w:sz w:val="27"/>
          <w:rtl/>
        </w:rPr>
        <w:t>؛</w:t>
      </w:r>
      <w:r w:rsidRPr="006571AC">
        <w:rPr>
          <w:sz w:val="27"/>
          <w:rtl/>
        </w:rPr>
        <w:t xml:space="preserve"> ومن المعادن</w:t>
      </w:r>
      <w:r w:rsidRPr="006571AC">
        <w:rPr>
          <w:rFonts w:hint="cs"/>
          <w:sz w:val="27"/>
          <w:rtl/>
        </w:rPr>
        <w:t>؛</w:t>
      </w:r>
      <w:r w:rsidRPr="006571AC">
        <w:rPr>
          <w:sz w:val="27"/>
          <w:rtl/>
        </w:rPr>
        <w:t xml:space="preserve"> والملاحة</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b/>
          <w:bCs/>
          <w:sz w:val="27"/>
          <w:rtl/>
        </w:rPr>
        <w:t>محم</w:t>
      </w:r>
      <w:r w:rsidRPr="006571AC">
        <w:rPr>
          <w:rFonts w:hint="cs"/>
          <w:b/>
          <w:bCs/>
          <w:sz w:val="27"/>
          <w:rtl/>
        </w:rPr>
        <w:t>ّ</w:t>
      </w:r>
      <w:r w:rsidRPr="006571AC">
        <w:rPr>
          <w:b/>
          <w:bCs/>
          <w:sz w:val="27"/>
          <w:rtl/>
        </w:rPr>
        <w:t>د بن الحسن ب</w:t>
      </w:r>
      <w:r w:rsidRPr="006571AC">
        <w:rPr>
          <w:rFonts w:hint="cs"/>
          <w:b/>
          <w:bCs/>
          <w:sz w:val="27"/>
          <w:rtl/>
        </w:rPr>
        <w:t>إ</w:t>
      </w:r>
      <w:r w:rsidRPr="006571AC">
        <w:rPr>
          <w:b/>
          <w:bCs/>
          <w:sz w:val="27"/>
          <w:rtl/>
        </w:rPr>
        <w:t>سناده عن علي</w:t>
      </w:r>
      <w:r w:rsidRPr="006571AC">
        <w:rPr>
          <w:rFonts w:hint="cs"/>
          <w:b/>
          <w:bCs/>
          <w:sz w:val="27"/>
          <w:rtl/>
        </w:rPr>
        <w:t>ّ</w:t>
      </w:r>
      <w:r w:rsidRPr="006571AC">
        <w:rPr>
          <w:b/>
          <w:bCs/>
          <w:sz w:val="27"/>
          <w:rtl/>
        </w:rPr>
        <w:t xml:space="preserve"> بن الحسن بن فض</w:t>
      </w:r>
      <w:r w:rsidRPr="006571AC">
        <w:rPr>
          <w:rFonts w:hint="cs"/>
          <w:b/>
          <w:bCs/>
          <w:sz w:val="27"/>
          <w:rtl/>
        </w:rPr>
        <w:t>ّ</w:t>
      </w:r>
      <w:r w:rsidRPr="006571AC">
        <w:rPr>
          <w:b/>
          <w:bCs/>
          <w:sz w:val="27"/>
          <w:rtl/>
        </w:rPr>
        <w:t>ال، عن علي</w:t>
      </w:r>
      <w:r w:rsidRPr="006571AC">
        <w:rPr>
          <w:rFonts w:hint="cs"/>
          <w:b/>
          <w:bCs/>
          <w:sz w:val="27"/>
          <w:rtl/>
        </w:rPr>
        <w:t>ّ</w:t>
      </w:r>
      <w:r w:rsidRPr="006571AC">
        <w:rPr>
          <w:b/>
          <w:bCs/>
          <w:sz w:val="27"/>
          <w:rtl/>
        </w:rPr>
        <w:t xml:space="preserve"> بن يعقوب، عن أبي الحسن البغدادي</w:t>
      </w:r>
      <w:r w:rsidRPr="006571AC">
        <w:rPr>
          <w:rFonts w:hint="cs"/>
          <w:b/>
          <w:bCs/>
          <w:sz w:val="27"/>
          <w:rtl/>
        </w:rPr>
        <w:t>ّ،</w:t>
      </w:r>
      <w:r w:rsidRPr="006571AC">
        <w:rPr>
          <w:b/>
          <w:bCs/>
          <w:sz w:val="27"/>
          <w:rtl/>
        </w:rPr>
        <w:t xml:space="preserve"> عن الحسن بن إسماعيل بن صالح الصيمري</w:t>
      </w:r>
      <w:r w:rsidRPr="006571AC">
        <w:rPr>
          <w:rFonts w:hint="cs"/>
          <w:b/>
          <w:bCs/>
          <w:sz w:val="27"/>
          <w:rtl/>
        </w:rPr>
        <w:t>ّ</w:t>
      </w:r>
      <w:r w:rsidRPr="006571AC">
        <w:rPr>
          <w:b/>
          <w:bCs/>
          <w:sz w:val="27"/>
          <w:rtl/>
        </w:rPr>
        <w:t>، عن الحسن بن راشد، عن حم</w:t>
      </w:r>
      <w:r w:rsidRPr="006571AC">
        <w:rPr>
          <w:rFonts w:hint="cs"/>
          <w:b/>
          <w:bCs/>
          <w:sz w:val="27"/>
          <w:rtl/>
        </w:rPr>
        <w:t>ّ</w:t>
      </w:r>
      <w:r w:rsidRPr="006571AC">
        <w:rPr>
          <w:b/>
          <w:bCs/>
          <w:sz w:val="27"/>
          <w:rtl/>
        </w:rPr>
        <w:t>اد بن عيسى</w:t>
      </w:r>
      <w:r w:rsidRPr="006571AC">
        <w:rPr>
          <w:rFonts w:hint="cs"/>
          <w:b/>
          <w:bCs/>
          <w:sz w:val="27"/>
          <w:rtl/>
        </w:rPr>
        <w:t>،</w:t>
      </w:r>
      <w:r w:rsidRPr="006571AC">
        <w:rPr>
          <w:b/>
          <w:bCs/>
          <w:sz w:val="27"/>
          <w:rtl/>
        </w:rPr>
        <w:t xml:space="preserve"> نحوه</w:t>
      </w:r>
      <w:r w:rsidRPr="006571AC">
        <w:rPr>
          <w:rFonts w:hint="cs"/>
          <w:sz w:val="24"/>
          <w:szCs w:val="24"/>
          <w:rtl/>
        </w:rPr>
        <w:t>»</w:t>
      </w:r>
      <w:r w:rsidRPr="006571AC">
        <w:rPr>
          <w:sz w:val="27"/>
          <w:vertAlign w:val="superscript"/>
          <w:rtl/>
        </w:rPr>
        <w:t>(</w:t>
      </w:r>
      <w:r w:rsidRPr="006571AC">
        <w:rPr>
          <w:rStyle w:val="ac"/>
          <w:sz w:val="27"/>
          <w:rtl/>
        </w:rPr>
        <w:endnoteReference w:id="826"/>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فلاحِظْ مدى العناء الذي يتكبّده الباحث لمعرفة سند بعض الأحاديث نتيجة هذه الطريقة، وقد كان بإمكانه أن يقول في كلّ تلك الموارد: ورواه الشيخ كما مرّ في قسمة الخمس، ولو فعل ذلك لوفّر على الباحث الكثير من التعب والعناء</w:t>
      </w:r>
      <w:r w:rsidRPr="006571AC">
        <w:rPr>
          <w:sz w:val="27"/>
          <w:vertAlign w:val="superscript"/>
          <w:rtl/>
        </w:rPr>
        <w:t>(</w:t>
      </w:r>
      <w:r w:rsidRPr="006571AC">
        <w:rPr>
          <w:rStyle w:val="ac"/>
          <w:sz w:val="27"/>
          <w:rtl/>
        </w:rPr>
        <w:endnoteReference w:id="827"/>
      </w:r>
      <w:r w:rsidRPr="006571AC">
        <w:rPr>
          <w:sz w:val="27"/>
          <w:vertAlign w:val="superscript"/>
          <w:rtl/>
        </w:rPr>
        <w:t>)</w:t>
      </w:r>
      <w:r w:rsidRPr="006571AC">
        <w:rPr>
          <w:rFonts w:hint="cs"/>
          <w:sz w:val="27"/>
          <w:rtl/>
        </w:rPr>
        <w:t>.</w:t>
      </w:r>
    </w:p>
    <w:p w:rsidR="008A3F20" w:rsidRPr="006571AC" w:rsidRDefault="008A3F20" w:rsidP="00237DFE">
      <w:pPr>
        <w:pStyle w:val="31"/>
        <w:rPr>
          <w:color w:val="auto"/>
          <w:rtl/>
        </w:rPr>
      </w:pPr>
      <w:bookmarkStart w:id="511" w:name="_Toc171512725"/>
      <w:bookmarkStart w:id="512" w:name="_Toc114164891"/>
      <w:r w:rsidRPr="006571AC">
        <w:rPr>
          <w:rFonts w:hint="cs"/>
          <w:color w:val="auto"/>
          <w:rtl/>
        </w:rPr>
        <w:lastRenderedPageBreak/>
        <w:t>تحديد موضع ذكر الأسناد المحذوفة</w:t>
      </w:r>
      <w:bookmarkEnd w:id="511"/>
      <w:bookmarkEnd w:id="512"/>
      <w:r w:rsidRPr="006571AC">
        <w:rPr>
          <w:rFonts w:hint="cs"/>
          <w:color w:val="auto"/>
          <w:rtl/>
        </w:rPr>
        <w:t xml:space="preserve"> </w:t>
      </w:r>
    </w:p>
    <w:p w:rsidR="008A3F20" w:rsidRPr="006571AC" w:rsidRDefault="008A3F20" w:rsidP="000C6F2A">
      <w:pPr>
        <w:rPr>
          <w:sz w:val="27"/>
          <w:rtl/>
        </w:rPr>
      </w:pPr>
      <w:r w:rsidRPr="006571AC">
        <w:rPr>
          <w:rFonts w:hint="cs"/>
          <w:b/>
          <w:bCs/>
          <w:sz w:val="27"/>
          <w:rtl/>
        </w:rPr>
        <w:t>حدّد الشيخ الحُرّ</w:t>
      </w:r>
      <w:r w:rsidRPr="006571AC">
        <w:rPr>
          <w:rFonts w:ascii="Mosawi" w:hAnsi="Mosawi" w:cs="Mosawi"/>
          <w:b/>
          <w:bCs/>
          <w:sz w:val="22"/>
          <w:szCs w:val="22"/>
          <w:rtl/>
        </w:rPr>
        <w:t>&amp;</w:t>
      </w:r>
      <w:r w:rsidRPr="006571AC">
        <w:rPr>
          <w:rFonts w:hint="cs"/>
          <w:b/>
          <w:bCs/>
          <w:sz w:val="27"/>
          <w:rtl/>
        </w:rPr>
        <w:t xml:space="preserve"> في بعض الأحيان موضع ذكر الأسناد المحذوفة؛ ولكنّه يحدّد موضع ذكر تلك الأسناد على نحو العموم تارةً؛ وعلى نحو الخصوص تارةً أخرى</w:t>
      </w:r>
      <w:r w:rsidRPr="006571AC">
        <w:rPr>
          <w:rFonts w:hint="cs"/>
          <w:sz w:val="27"/>
          <w:rtl/>
        </w:rPr>
        <w:t>.</w:t>
      </w:r>
    </w:p>
    <w:p w:rsidR="008A3F20" w:rsidRPr="006571AC" w:rsidRDefault="008A3F20" w:rsidP="00B23B9B">
      <w:pPr>
        <w:spacing w:line="440" w:lineRule="exact"/>
        <w:rPr>
          <w:sz w:val="27"/>
          <w:rtl/>
        </w:rPr>
      </w:pPr>
    </w:p>
    <w:p w:rsidR="008A3F20" w:rsidRPr="006571AC" w:rsidRDefault="008A3F20" w:rsidP="00237DFE">
      <w:pPr>
        <w:pStyle w:val="31"/>
        <w:rPr>
          <w:color w:val="auto"/>
          <w:rtl/>
        </w:rPr>
      </w:pPr>
      <w:bookmarkStart w:id="513" w:name="_Toc171512726"/>
      <w:bookmarkStart w:id="514" w:name="_Toc114164892"/>
      <w:r w:rsidRPr="006571AC">
        <w:rPr>
          <w:rFonts w:hint="cs"/>
          <w:color w:val="auto"/>
          <w:rtl/>
        </w:rPr>
        <w:t>تحديدها على نحو العموم</w:t>
      </w:r>
      <w:bookmarkEnd w:id="513"/>
      <w:bookmarkEnd w:id="514"/>
      <w:r w:rsidRPr="006571AC">
        <w:rPr>
          <w:rFonts w:hint="cs"/>
          <w:color w:val="auto"/>
          <w:rtl/>
        </w:rPr>
        <w:t xml:space="preserve"> </w:t>
      </w:r>
    </w:p>
    <w:p w:rsidR="008A3F20" w:rsidRPr="006571AC" w:rsidRDefault="008A3F20" w:rsidP="000C6F2A">
      <w:pPr>
        <w:rPr>
          <w:sz w:val="27"/>
          <w:rtl/>
        </w:rPr>
      </w:pPr>
      <w:r w:rsidRPr="006571AC">
        <w:rPr>
          <w:rFonts w:hint="cs"/>
          <w:sz w:val="27"/>
          <w:rtl/>
        </w:rPr>
        <w:t>من الموارد التي حدّد</w:t>
      </w:r>
      <w:r w:rsidRPr="006571AC">
        <w:rPr>
          <w:rFonts w:ascii="Mosawi" w:hAnsi="Mosawi" w:cs="Mosawi"/>
          <w:sz w:val="22"/>
          <w:szCs w:val="22"/>
          <w:rtl/>
        </w:rPr>
        <w:t>&amp;</w:t>
      </w:r>
      <w:r w:rsidRPr="006571AC">
        <w:rPr>
          <w:rFonts w:hint="cs"/>
          <w:sz w:val="27"/>
          <w:rtl/>
        </w:rPr>
        <w:t xml:space="preserve"> فيها موضع ذكر الأسناد المحذوفة على نحو العموم ما في الباب 8 من أبواب صفات القاضي وما يجوز أن يقضي به، ح 19، حيث قال: </w:t>
      </w:r>
      <w:r w:rsidRPr="006571AC">
        <w:rPr>
          <w:rFonts w:hint="cs"/>
          <w:sz w:val="24"/>
          <w:szCs w:val="24"/>
          <w:rtl/>
        </w:rPr>
        <w:t>«</w:t>
      </w:r>
      <w:r w:rsidRPr="006571AC">
        <w:rPr>
          <w:b/>
          <w:bCs/>
          <w:sz w:val="27"/>
          <w:rtl/>
        </w:rPr>
        <w:t>وقد تقد</w:t>
      </w:r>
      <w:r w:rsidRPr="006571AC">
        <w:rPr>
          <w:rFonts w:hint="cs"/>
          <w:b/>
          <w:bCs/>
          <w:sz w:val="27"/>
          <w:rtl/>
        </w:rPr>
        <w:t>ّ</w:t>
      </w:r>
      <w:r w:rsidR="008E0635" w:rsidRPr="006571AC">
        <w:rPr>
          <w:rFonts w:hint="cs"/>
          <w:b/>
          <w:bCs/>
          <w:sz w:val="27"/>
          <w:rtl/>
        </w:rPr>
        <w:t>َ</w:t>
      </w:r>
      <w:r w:rsidRPr="006571AC">
        <w:rPr>
          <w:b/>
          <w:bCs/>
          <w:sz w:val="27"/>
          <w:rtl/>
        </w:rPr>
        <w:t xml:space="preserve">م في الزيارات </w:t>
      </w:r>
      <w:r w:rsidRPr="006571AC">
        <w:rPr>
          <w:sz w:val="27"/>
          <w:rtl/>
        </w:rPr>
        <w:t>حديث محم</w:t>
      </w:r>
      <w:r w:rsidRPr="006571AC">
        <w:rPr>
          <w:rFonts w:hint="cs"/>
          <w:sz w:val="27"/>
          <w:rtl/>
        </w:rPr>
        <w:t>ّ</w:t>
      </w:r>
      <w:r w:rsidRPr="006571AC">
        <w:rPr>
          <w:sz w:val="27"/>
          <w:rtl/>
        </w:rPr>
        <w:t>د بن مارد، عن أبي عبد الله</w:t>
      </w:r>
      <w:r w:rsidRPr="006571AC">
        <w:rPr>
          <w:rFonts w:ascii="Mosawi" w:hAnsi="Mosawi" w:cs="Mosawi"/>
          <w:sz w:val="22"/>
          <w:szCs w:val="22"/>
          <w:rtl/>
        </w:rPr>
        <w:t>×</w:t>
      </w:r>
      <w:r w:rsidRPr="006571AC">
        <w:rPr>
          <w:sz w:val="27"/>
          <w:rtl/>
        </w:rPr>
        <w:t xml:space="preserve"> في فضل زيارة أمير المؤمنين</w:t>
      </w:r>
      <w:r w:rsidRPr="006571AC">
        <w:rPr>
          <w:rFonts w:ascii="Mosawi" w:hAnsi="Mosawi" w:cs="Mosawi"/>
          <w:sz w:val="22"/>
          <w:szCs w:val="22"/>
          <w:rtl/>
        </w:rPr>
        <w:t>×</w:t>
      </w:r>
      <w:r w:rsidRPr="006571AC">
        <w:rPr>
          <w:sz w:val="27"/>
          <w:rtl/>
        </w:rPr>
        <w:t xml:space="preserve"> </w:t>
      </w:r>
      <w:r w:rsidRPr="006571AC">
        <w:rPr>
          <w:rFonts w:hint="cs"/>
          <w:sz w:val="27"/>
          <w:rtl/>
        </w:rPr>
        <w:t>ـ</w:t>
      </w:r>
      <w:r w:rsidRPr="006571AC">
        <w:rPr>
          <w:sz w:val="27"/>
          <w:rtl/>
        </w:rPr>
        <w:t xml:space="preserve"> إلى أن قال: </w:t>
      </w:r>
      <w:r w:rsidRPr="006571AC">
        <w:rPr>
          <w:rFonts w:hint="cs"/>
          <w:sz w:val="27"/>
          <w:rtl/>
        </w:rPr>
        <w:t>ـ</w:t>
      </w:r>
      <w:r w:rsidRPr="006571AC">
        <w:rPr>
          <w:sz w:val="27"/>
          <w:rtl/>
        </w:rPr>
        <w:t xml:space="preserve"> ثم</w:t>
      </w:r>
      <w:r w:rsidRPr="006571AC">
        <w:rPr>
          <w:rFonts w:hint="cs"/>
          <w:sz w:val="27"/>
          <w:rtl/>
        </w:rPr>
        <w:t>ّ</w:t>
      </w:r>
      <w:r w:rsidRPr="006571AC">
        <w:rPr>
          <w:sz w:val="27"/>
          <w:rtl/>
        </w:rPr>
        <w:t xml:space="preserve"> قال: يا ابن مارد</w:t>
      </w:r>
      <w:r w:rsidRPr="006571AC">
        <w:rPr>
          <w:rFonts w:hint="cs"/>
          <w:sz w:val="27"/>
          <w:rtl/>
        </w:rPr>
        <w:t xml:space="preserve"> [الصحيح: يا بن مارد]</w:t>
      </w:r>
      <w:r w:rsidR="009B3948" w:rsidRPr="006571AC">
        <w:rPr>
          <w:rFonts w:hint="cs"/>
          <w:sz w:val="27"/>
          <w:rtl/>
        </w:rPr>
        <w:t>،</w:t>
      </w:r>
      <w:r w:rsidRPr="006571AC">
        <w:rPr>
          <w:sz w:val="27"/>
          <w:rtl/>
        </w:rPr>
        <w:t xml:space="preserve"> اكتب هذا الحديث بماء الذهب</w:t>
      </w:r>
      <w:r w:rsidRPr="006571AC">
        <w:rPr>
          <w:rFonts w:hint="cs"/>
          <w:sz w:val="24"/>
          <w:szCs w:val="24"/>
          <w:rtl/>
        </w:rPr>
        <w:t>»</w:t>
      </w:r>
      <w:r w:rsidRPr="006571AC">
        <w:rPr>
          <w:sz w:val="27"/>
          <w:vertAlign w:val="superscript"/>
          <w:rtl/>
        </w:rPr>
        <w:t>(</w:t>
      </w:r>
      <w:r w:rsidRPr="006571AC">
        <w:rPr>
          <w:rStyle w:val="ac"/>
          <w:sz w:val="27"/>
          <w:rtl/>
        </w:rPr>
        <w:endnoteReference w:id="828"/>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ولم يحدّ</w:t>
      </w:r>
      <w:r w:rsidR="009B3948" w:rsidRPr="006571AC">
        <w:rPr>
          <w:rFonts w:hint="cs"/>
          <w:sz w:val="27"/>
          <w:rtl/>
        </w:rPr>
        <w:t>ِ</w:t>
      </w:r>
      <w:r w:rsidRPr="006571AC">
        <w:rPr>
          <w:rFonts w:hint="cs"/>
          <w:sz w:val="27"/>
          <w:rtl/>
        </w:rPr>
        <w:t xml:space="preserve">د في أيّ باب من أبواب الزيارات قد ذكر هذا الحديث، وبالمراجعة المتعِبة تبيّن أنّه في الباب 23 من أبواب المزار وما يناسبه، وهو بعنوان: </w:t>
      </w:r>
      <w:r w:rsidRPr="006571AC">
        <w:rPr>
          <w:rFonts w:hint="cs"/>
          <w:sz w:val="24"/>
          <w:szCs w:val="24"/>
          <w:rtl/>
        </w:rPr>
        <w:t>«</w:t>
      </w:r>
      <w:r w:rsidRPr="006571AC">
        <w:rPr>
          <w:rFonts w:hint="cs"/>
          <w:sz w:val="27"/>
          <w:rtl/>
        </w:rPr>
        <w:t>باب استحباب زيارة أمير المؤمنين عليّ بن أبي طالب</w:t>
      </w:r>
      <w:r w:rsidRPr="006571AC">
        <w:rPr>
          <w:rFonts w:ascii="Mosawi" w:hAnsi="Mosawi" w:cs="Mosawi"/>
          <w:sz w:val="22"/>
          <w:szCs w:val="22"/>
          <w:rtl/>
        </w:rPr>
        <w:t>×</w:t>
      </w:r>
      <w:r w:rsidRPr="006571AC">
        <w:rPr>
          <w:rFonts w:hint="cs"/>
          <w:sz w:val="27"/>
          <w:rtl/>
        </w:rPr>
        <w:t>، وكراهة تركها</w:t>
      </w:r>
      <w:r w:rsidRPr="006571AC">
        <w:rPr>
          <w:rFonts w:hint="cs"/>
          <w:sz w:val="24"/>
          <w:szCs w:val="24"/>
          <w:rtl/>
        </w:rPr>
        <w:t>»</w:t>
      </w:r>
      <w:r w:rsidRPr="006571AC">
        <w:rPr>
          <w:sz w:val="27"/>
          <w:vertAlign w:val="superscript"/>
          <w:rtl/>
        </w:rPr>
        <w:t>(</w:t>
      </w:r>
      <w:r w:rsidRPr="006571AC">
        <w:rPr>
          <w:rStyle w:val="ac"/>
          <w:sz w:val="27"/>
          <w:rtl/>
        </w:rPr>
        <w:endnoteReference w:id="829"/>
      </w:r>
      <w:r w:rsidRPr="006571AC">
        <w:rPr>
          <w:sz w:val="27"/>
          <w:vertAlign w:val="superscript"/>
          <w:rtl/>
        </w:rPr>
        <w:t>)</w:t>
      </w:r>
      <w:r w:rsidRPr="006571AC">
        <w:rPr>
          <w:rFonts w:hint="cs"/>
          <w:sz w:val="27"/>
          <w:rtl/>
        </w:rPr>
        <w:t>، وهو الحديث 3 في الباب.</w:t>
      </w:r>
    </w:p>
    <w:p w:rsidR="008A3F20" w:rsidRPr="006571AC" w:rsidRDefault="008A3F20" w:rsidP="000C6F2A">
      <w:pPr>
        <w:rPr>
          <w:sz w:val="27"/>
          <w:rtl/>
        </w:rPr>
      </w:pPr>
      <w:r w:rsidRPr="006571AC">
        <w:rPr>
          <w:rFonts w:hint="cs"/>
          <w:sz w:val="27"/>
          <w:rtl/>
        </w:rPr>
        <w:t>وقد كان بإمكان الشيخ الحُرّ</w:t>
      </w:r>
      <w:r w:rsidRPr="006571AC">
        <w:rPr>
          <w:rFonts w:ascii="Mosawi" w:hAnsi="Mosawi" w:cs="Mosawi"/>
          <w:sz w:val="22"/>
          <w:szCs w:val="22"/>
          <w:rtl/>
        </w:rPr>
        <w:t>&amp;</w:t>
      </w:r>
      <w:r w:rsidRPr="006571AC">
        <w:rPr>
          <w:rFonts w:hint="cs"/>
          <w:sz w:val="27"/>
          <w:rtl/>
        </w:rPr>
        <w:t xml:space="preserve"> أن يحدّ</w:t>
      </w:r>
      <w:r w:rsidR="009B3948" w:rsidRPr="006571AC">
        <w:rPr>
          <w:rFonts w:hint="cs"/>
          <w:sz w:val="27"/>
          <w:rtl/>
        </w:rPr>
        <w:t>ِ</w:t>
      </w:r>
      <w:r w:rsidRPr="006571AC">
        <w:rPr>
          <w:rFonts w:hint="cs"/>
          <w:sz w:val="27"/>
          <w:rtl/>
        </w:rPr>
        <w:t>د الباب الذي ذكر فيه هذا الحديث، فيقول: وقد تقدّ</w:t>
      </w:r>
      <w:r w:rsidR="009B3948" w:rsidRPr="006571AC">
        <w:rPr>
          <w:rFonts w:hint="cs"/>
          <w:sz w:val="27"/>
          <w:rtl/>
        </w:rPr>
        <w:t>َ</w:t>
      </w:r>
      <w:r w:rsidRPr="006571AC">
        <w:rPr>
          <w:rFonts w:hint="cs"/>
          <w:sz w:val="27"/>
          <w:rtl/>
        </w:rPr>
        <w:t>م في الزيارات</w:t>
      </w:r>
      <w:r w:rsidR="009B3948" w:rsidRPr="006571AC">
        <w:rPr>
          <w:rFonts w:hint="cs"/>
          <w:sz w:val="27"/>
          <w:rtl/>
        </w:rPr>
        <w:t>،</w:t>
      </w:r>
      <w:r w:rsidRPr="006571AC">
        <w:rPr>
          <w:rFonts w:hint="cs"/>
          <w:sz w:val="27"/>
          <w:rtl/>
        </w:rPr>
        <w:t xml:space="preserve"> في باب استحباب زيارة أمير المؤمنين</w:t>
      </w:r>
      <w:r w:rsidRPr="006571AC">
        <w:rPr>
          <w:rFonts w:ascii="Mosawi" w:hAnsi="Mosawi" w:cs="Mosawi"/>
          <w:sz w:val="22"/>
          <w:szCs w:val="22"/>
          <w:rtl/>
        </w:rPr>
        <w:t>×</w:t>
      </w:r>
      <w:r w:rsidR="009B3948" w:rsidRPr="006571AC">
        <w:rPr>
          <w:rFonts w:hint="cs"/>
          <w:sz w:val="27"/>
          <w:rtl/>
        </w:rPr>
        <w:t>،</w:t>
      </w:r>
      <w:r w:rsidRPr="006571AC">
        <w:rPr>
          <w:rFonts w:hint="cs"/>
          <w:sz w:val="27"/>
          <w:rtl/>
        </w:rPr>
        <w:t xml:space="preserve"> حديث محمّد بن مارد....</w:t>
      </w:r>
    </w:p>
    <w:p w:rsidR="008A3F20" w:rsidRPr="006571AC" w:rsidRDefault="008A3F20" w:rsidP="00B23B9B">
      <w:pPr>
        <w:spacing w:line="430" w:lineRule="exact"/>
        <w:rPr>
          <w:sz w:val="27"/>
          <w:rtl/>
        </w:rPr>
      </w:pPr>
    </w:p>
    <w:p w:rsidR="008A3F20" w:rsidRPr="006571AC" w:rsidRDefault="008A3F20" w:rsidP="00237DFE">
      <w:pPr>
        <w:pStyle w:val="31"/>
        <w:rPr>
          <w:color w:val="auto"/>
          <w:rtl/>
        </w:rPr>
      </w:pPr>
      <w:bookmarkStart w:id="515" w:name="_Toc171512727"/>
      <w:bookmarkStart w:id="516" w:name="_Toc114164893"/>
      <w:r w:rsidRPr="006571AC">
        <w:rPr>
          <w:rFonts w:hint="cs"/>
          <w:color w:val="auto"/>
          <w:rtl/>
        </w:rPr>
        <w:t>تحديدها على نحو الخصوص</w:t>
      </w:r>
      <w:bookmarkEnd w:id="515"/>
      <w:bookmarkEnd w:id="516"/>
    </w:p>
    <w:p w:rsidR="008A3F20" w:rsidRPr="006571AC" w:rsidRDefault="008A3F20" w:rsidP="000C6F2A">
      <w:pPr>
        <w:rPr>
          <w:sz w:val="27"/>
          <w:rtl/>
        </w:rPr>
      </w:pPr>
      <w:r w:rsidRPr="006571AC">
        <w:rPr>
          <w:rFonts w:hint="cs"/>
          <w:sz w:val="27"/>
          <w:rtl/>
        </w:rPr>
        <w:t>من الموارد التي حدّد</w:t>
      </w:r>
      <w:r w:rsidRPr="006571AC">
        <w:rPr>
          <w:rFonts w:ascii="Mosawi" w:hAnsi="Mosawi" w:cs="Mosawi"/>
          <w:sz w:val="22"/>
          <w:szCs w:val="22"/>
          <w:rtl/>
        </w:rPr>
        <w:t>&amp;</w:t>
      </w:r>
      <w:r w:rsidRPr="006571AC">
        <w:rPr>
          <w:rFonts w:hint="cs"/>
          <w:sz w:val="27"/>
          <w:rtl/>
        </w:rPr>
        <w:t xml:space="preserve"> فيها موضع ذكر الأسناد المحذوفة على نحو الخصوص ما في الباب 146 من أبواب أحكام العشرة، ح 6، حيث قال: </w:t>
      </w:r>
      <w:r w:rsidRPr="006571AC">
        <w:rPr>
          <w:rFonts w:hint="cs"/>
          <w:sz w:val="24"/>
          <w:szCs w:val="24"/>
          <w:rtl/>
        </w:rPr>
        <w:t>«</w:t>
      </w:r>
      <w:r w:rsidRPr="006571AC">
        <w:rPr>
          <w:sz w:val="27"/>
          <w:rtl/>
        </w:rPr>
        <w:t xml:space="preserve">وفي </w:t>
      </w:r>
      <w:r w:rsidRPr="006571AC">
        <w:rPr>
          <w:rFonts w:hint="cs"/>
          <w:sz w:val="24"/>
          <w:szCs w:val="24"/>
          <w:rtl/>
        </w:rPr>
        <w:t>«</w:t>
      </w:r>
      <w:r w:rsidRPr="006571AC">
        <w:rPr>
          <w:sz w:val="27"/>
          <w:rtl/>
        </w:rPr>
        <w:t>عيون الأخبار</w:t>
      </w:r>
      <w:r w:rsidRPr="006571AC">
        <w:rPr>
          <w:rFonts w:hint="cs"/>
          <w:sz w:val="24"/>
          <w:szCs w:val="24"/>
          <w:rtl/>
        </w:rPr>
        <w:t>»</w:t>
      </w:r>
      <w:r w:rsidRPr="006571AC">
        <w:rPr>
          <w:sz w:val="27"/>
          <w:rtl/>
        </w:rPr>
        <w:t xml:space="preserve"> </w:t>
      </w:r>
      <w:r w:rsidRPr="006571AC">
        <w:rPr>
          <w:b/>
          <w:bCs/>
          <w:sz w:val="27"/>
          <w:rtl/>
        </w:rPr>
        <w:t>بأسانيد تقد</w:t>
      </w:r>
      <w:r w:rsidRPr="006571AC">
        <w:rPr>
          <w:rFonts w:hint="cs"/>
          <w:b/>
          <w:bCs/>
          <w:sz w:val="27"/>
          <w:rtl/>
        </w:rPr>
        <w:t>ّ</w:t>
      </w:r>
      <w:r w:rsidR="00C97641" w:rsidRPr="006571AC">
        <w:rPr>
          <w:rFonts w:hint="cs"/>
          <w:b/>
          <w:bCs/>
          <w:sz w:val="27"/>
          <w:rtl/>
        </w:rPr>
        <w:t>َ</w:t>
      </w:r>
      <w:r w:rsidRPr="006571AC">
        <w:rPr>
          <w:b/>
          <w:bCs/>
          <w:sz w:val="27"/>
          <w:rtl/>
        </w:rPr>
        <w:t>م</w:t>
      </w:r>
      <w:r w:rsidR="00C97641" w:rsidRPr="006571AC">
        <w:rPr>
          <w:rFonts w:hint="cs"/>
          <w:b/>
          <w:bCs/>
          <w:sz w:val="27"/>
          <w:rtl/>
        </w:rPr>
        <w:t>َ</w:t>
      </w:r>
      <w:r w:rsidRPr="006571AC">
        <w:rPr>
          <w:b/>
          <w:bCs/>
          <w:sz w:val="27"/>
          <w:rtl/>
        </w:rPr>
        <w:t>ت</w:t>
      </w:r>
      <w:r w:rsidR="00C97641" w:rsidRPr="006571AC">
        <w:rPr>
          <w:rFonts w:hint="cs"/>
          <w:b/>
          <w:bCs/>
          <w:sz w:val="27"/>
          <w:rtl/>
        </w:rPr>
        <w:t>ْ</w:t>
      </w:r>
      <w:r w:rsidRPr="006571AC">
        <w:rPr>
          <w:b/>
          <w:bCs/>
          <w:sz w:val="27"/>
          <w:rtl/>
        </w:rPr>
        <w:t xml:space="preserve"> في إسباغ الوضوء</w:t>
      </w:r>
      <w:r w:rsidRPr="006571AC">
        <w:rPr>
          <w:rFonts w:hint="cs"/>
          <w:sz w:val="27"/>
          <w:rtl/>
        </w:rPr>
        <w:t>،</w:t>
      </w:r>
      <w:r w:rsidRPr="006571AC">
        <w:rPr>
          <w:sz w:val="27"/>
          <w:rtl/>
        </w:rPr>
        <w:t xml:space="preserve"> عن الرضا</w:t>
      </w:r>
      <w:r w:rsidRPr="006571AC">
        <w:rPr>
          <w:rFonts w:hint="cs"/>
          <w:sz w:val="27"/>
          <w:rtl/>
        </w:rPr>
        <w:t>،</w:t>
      </w:r>
      <w:r w:rsidRPr="006571AC">
        <w:rPr>
          <w:sz w:val="27"/>
          <w:rtl/>
        </w:rPr>
        <w:t xml:space="preserve"> عن آبائه</w:t>
      </w:r>
      <w:r w:rsidRPr="006571AC">
        <w:rPr>
          <w:rFonts w:ascii="Mosawi" w:hAnsi="Mosawi" w:cs="Mosawi"/>
          <w:sz w:val="22"/>
          <w:szCs w:val="22"/>
          <w:rtl/>
        </w:rPr>
        <w:t>^</w:t>
      </w:r>
      <w:r w:rsidRPr="006571AC">
        <w:rPr>
          <w:rFonts w:hint="cs"/>
          <w:sz w:val="27"/>
          <w:rtl/>
        </w:rPr>
        <w:t>،</w:t>
      </w:r>
      <w:r w:rsidRPr="006571AC">
        <w:rPr>
          <w:sz w:val="27"/>
          <w:rtl/>
        </w:rPr>
        <w:t xml:space="preserve"> قال: قال رسول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30"/>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وباب إسباغ الوضوء هو الباب 54 من أبواب الوضوء. </w:t>
      </w:r>
    </w:p>
    <w:p w:rsidR="008A3F20" w:rsidRPr="006571AC" w:rsidRDefault="008A3F20" w:rsidP="000C6F2A">
      <w:pPr>
        <w:rPr>
          <w:sz w:val="27"/>
          <w:rtl/>
        </w:rPr>
      </w:pPr>
      <w:r w:rsidRPr="006571AC">
        <w:rPr>
          <w:rFonts w:hint="cs"/>
          <w:sz w:val="27"/>
          <w:rtl/>
        </w:rPr>
        <w:t>فلاحِظْ كم أنّه ـ مع هذا التحديد من الشيخ الحُرّ</w:t>
      </w:r>
      <w:r w:rsidRPr="006571AC">
        <w:rPr>
          <w:rFonts w:ascii="Mosawi" w:hAnsi="Mosawi" w:cs="Mosawi"/>
          <w:sz w:val="22"/>
          <w:szCs w:val="22"/>
          <w:rtl/>
        </w:rPr>
        <w:t>&amp;</w:t>
      </w:r>
      <w:r w:rsidRPr="006571AC">
        <w:rPr>
          <w:rFonts w:hint="cs"/>
          <w:sz w:val="27"/>
          <w:rtl/>
        </w:rPr>
        <w:t xml:space="preserve"> ـ أصبح من السهل على الباحث أن يصل للحديث المراد، ومعرفة السند من خلال ذلك</w:t>
      </w:r>
      <w:r w:rsidRPr="006571AC">
        <w:rPr>
          <w:sz w:val="27"/>
          <w:vertAlign w:val="superscript"/>
          <w:rtl/>
        </w:rPr>
        <w:t>(</w:t>
      </w:r>
      <w:r w:rsidRPr="006571AC">
        <w:rPr>
          <w:rStyle w:val="ac"/>
          <w:sz w:val="27"/>
          <w:rtl/>
        </w:rPr>
        <w:endnoteReference w:id="831"/>
      </w:r>
      <w:r w:rsidRPr="006571AC">
        <w:rPr>
          <w:sz w:val="27"/>
          <w:vertAlign w:val="superscript"/>
          <w:rtl/>
        </w:rPr>
        <w:t>)</w:t>
      </w:r>
      <w:r w:rsidRPr="006571AC">
        <w:rPr>
          <w:rFonts w:hint="cs"/>
          <w:sz w:val="27"/>
          <w:rtl/>
        </w:rPr>
        <w:t>.</w:t>
      </w:r>
    </w:p>
    <w:p w:rsidR="008A3F20" w:rsidRPr="006571AC" w:rsidRDefault="008A3F20" w:rsidP="00237DFE">
      <w:pPr>
        <w:pStyle w:val="31"/>
        <w:rPr>
          <w:color w:val="auto"/>
          <w:rtl/>
        </w:rPr>
      </w:pPr>
      <w:bookmarkStart w:id="517" w:name="_Toc171512728"/>
      <w:bookmarkStart w:id="518" w:name="_Toc114164894"/>
      <w:r w:rsidRPr="006571AC">
        <w:rPr>
          <w:rFonts w:hint="cs"/>
          <w:color w:val="auto"/>
          <w:rtl/>
        </w:rPr>
        <w:lastRenderedPageBreak/>
        <w:t>حذف أصل السند دون الإشارة لهذا الحذف</w:t>
      </w:r>
      <w:bookmarkEnd w:id="517"/>
      <w:bookmarkEnd w:id="518"/>
    </w:p>
    <w:p w:rsidR="008A3F20" w:rsidRPr="006571AC" w:rsidRDefault="008A3F20" w:rsidP="000C6F2A">
      <w:pPr>
        <w:rPr>
          <w:sz w:val="27"/>
          <w:rtl/>
        </w:rPr>
      </w:pPr>
      <w:r w:rsidRPr="006571AC">
        <w:rPr>
          <w:rFonts w:hint="cs"/>
          <w:b/>
          <w:bCs/>
          <w:sz w:val="27"/>
          <w:rtl/>
        </w:rPr>
        <w:t>وقد يحذف الشيخ الحُرّ</w:t>
      </w:r>
      <w:r w:rsidRPr="006571AC">
        <w:rPr>
          <w:rFonts w:ascii="Mosawi" w:hAnsi="Mosawi" w:cs="Mosawi"/>
          <w:b/>
          <w:bCs/>
          <w:sz w:val="22"/>
          <w:szCs w:val="22"/>
          <w:rtl/>
        </w:rPr>
        <w:t>&amp;</w:t>
      </w:r>
      <w:r w:rsidRPr="006571AC">
        <w:rPr>
          <w:rFonts w:hint="cs"/>
          <w:b/>
          <w:bCs/>
          <w:sz w:val="27"/>
          <w:rtl/>
        </w:rPr>
        <w:t xml:space="preserve"> سند بعض الأحاديث دون أيّ إشارةٍ لهذا الحذف</w:t>
      </w:r>
      <w:r w:rsidRPr="006571AC">
        <w:rPr>
          <w:rFonts w:hint="cs"/>
          <w:sz w:val="27"/>
          <w:rtl/>
        </w:rPr>
        <w:t>، فيذكر الحديث في صورة الحديث الم</w:t>
      </w:r>
      <w:r w:rsidR="00C97641" w:rsidRPr="006571AC">
        <w:rPr>
          <w:rFonts w:hint="cs"/>
          <w:sz w:val="27"/>
          <w:rtl/>
        </w:rPr>
        <w:t>ُ</w:t>
      </w:r>
      <w:r w:rsidRPr="006571AC">
        <w:rPr>
          <w:rFonts w:hint="cs"/>
          <w:sz w:val="27"/>
          <w:rtl/>
        </w:rPr>
        <w:t>ر</w:t>
      </w:r>
      <w:r w:rsidR="00C97641" w:rsidRPr="006571AC">
        <w:rPr>
          <w:rFonts w:hint="cs"/>
          <w:sz w:val="27"/>
          <w:rtl/>
        </w:rPr>
        <w:t>ْ</w:t>
      </w:r>
      <w:r w:rsidRPr="006571AC">
        <w:rPr>
          <w:rFonts w:hint="cs"/>
          <w:sz w:val="27"/>
          <w:rtl/>
        </w:rPr>
        <w:t>سَل الذي لا س</w:t>
      </w:r>
      <w:r w:rsidR="00C97641" w:rsidRPr="006571AC">
        <w:rPr>
          <w:rFonts w:hint="cs"/>
          <w:sz w:val="27"/>
          <w:rtl/>
        </w:rPr>
        <w:t>َ</w:t>
      </w:r>
      <w:r w:rsidRPr="006571AC">
        <w:rPr>
          <w:rFonts w:hint="cs"/>
          <w:sz w:val="27"/>
          <w:rtl/>
        </w:rPr>
        <w:t>ن</w:t>
      </w:r>
      <w:r w:rsidR="00C97641" w:rsidRPr="006571AC">
        <w:rPr>
          <w:rFonts w:hint="cs"/>
          <w:sz w:val="27"/>
          <w:rtl/>
        </w:rPr>
        <w:t>َ</w:t>
      </w:r>
      <w:r w:rsidRPr="006571AC">
        <w:rPr>
          <w:rFonts w:hint="cs"/>
          <w:sz w:val="27"/>
          <w:rtl/>
        </w:rPr>
        <w:t xml:space="preserve">د له، بينما هو في المصدر حديثٌ مسنَدٌ، ومن ذلك: </w:t>
      </w:r>
    </w:p>
    <w:p w:rsidR="008A3F20" w:rsidRPr="006571AC" w:rsidRDefault="008A3F20" w:rsidP="000C6F2A">
      <w:pPr>
        <w:rPr>
          <w:sz w:val="27"/>
          <w:rtl/>
        </w:rPr>
      </w:pPr>
      <w:r w:rsidRPr="006571AC">
        <w:rPr>
          <w:rFonts w:hint="cs"/>
          <w:sz w:val="27"/>
          <w:rtl/>
        </w:rPr>
        <w:t xml:space="preserve">* ما في الباب 94 من أبواب الأطعمة المباحة، ح 2، حيث قال: </w:t>
      </w:r>
      <w:r w:rsidRPr="006571AC">
        <w:rPr>
          <w:rFonts w:hint="cs"/>
          <w:sz w:val="24"/>
          <w:szCs w:val="24"/>
          <w:rtl/>
        </w:rPr>
        <w:t>«</w:t>
      </w:r>
      <w:r w:rsidRPr="006571AC">
        <w:rPr>
          <w:b/>
          <w:bCs/>
          <w:sz w:val="27"/>
          <w:rtl/>
        </w:rPr>
        <w:t>قال</w:t>
      </w:r>
      <w:r w:rsidRPr="006571AC">
        <w:rPr>
          <w:sz w:val="27"/>
          <w:rtl/>
        </w:rPr>
        <w:t>: وقال لي: يا علي</w:t>
      </w:r>
      <w:r w:rsidRPr="006571AC">
        <w:rPr>
          <w:rFonts w:hint="cs"/>
          <w:sz w:val="27"/>
          <w:rtl/>
        </w:rPr>
        <w:t>ّ،</w:t>
      </w:r>
      <w:r w:rsidRPr="006571AC">
        <w:rPr>
          <w:sz w:val="27"/>
          <w:rtl/>
        </w:rPr>
        <w:t xml:space="preserve"> إذا طبخ</w:t>
      </w:r>
      <w:r w:rsidR="009B3948" w:rsidRPr="006571AC">
        <w:rPr>
          <w:rFonts w:hint="cs"/>
          <w:sz w:val="27"/>
          <w:rtl/>
        </w:rPr>
        <w:t>ْ</w:t>
      </w:r>
      <w:r w:rsidRPr="006571AC">
        <w:rPr>
          <w:sz w:val="27"/>
          <w:rtl/>
        </w:rPr>
        <w:t>ت</w:t>
      </w:r>
      <w:r w:rsidRPr="006571AC">
        <w:rPr>
          <w:rFonts w:hint="cs"/>
          <w:sz w:val="27"/>
          <w:rtl/>
        </w:rPr>
        <w:t>َ</w:t>
      </w:r>
      <w:r w:rsidRPr="006571AC">
        <w:rPr>
          <w:sz w:val="27"/>
          <w:rtl/>
        </w:rPr>
        <w:t xml:space="preserve"> شيئا</w:t>
      </w:r>
      <w:r w:rsidRPr="006571AC">
        <w:rPr>
          <w:rFonts w:hint="cs"/>
          <w:sz w:val="27"/>
          <w:rtl/>
        </w:rPr>
        <w:t>ً</w:t>
      </w:r>
      <w:r w:rsidRPr="006571AC">
        <w:rPr>
          <w:sz w:val="27"/>
          <w:rtl/>
        </w:rPr>
        <w:t xml:space="preserve"> فأكثر المرقة</w:t>
      </w:r>
      <w:r w:rsidRPr="006571AC">
        <w:rPr>
          <w:rFonts w:hint="cs"/>
          <w:sz w:val="27"/>
          <w:rtl/>
        </w:rPr>
        <w:t>؛</w:t>
      </w:r>
      <w:r w:rsidRPr="006571AC">
        <w:rPr>
          <w:sz w:val="27"/>
          <w:rtl/>
        </w:rPr>
        <w:t xml:space="preserve"> فإن</w:t>
      </w:r>
      <w:r w:rsidRPr="006571AC">
        <w:rPr>
          <w:rFonts w:hint="cs"/>
          <w:sz w:val="27"/>
          <w:rtl/>
        </w:rPr>
        <w:t>ّ</w:t>
      </w:r>
      <w:r w:rsidRPr="006571AC">
        <w:rPr>
          <w:sz w:val="27"/>
          <w:rtl/>
        </w:rPr>
        <w:t>ها أحد اللحمين</w:t>
      </w:r>
      <w:r w:rsidRPr="006571AC">
        <w:rPr>
          <w:rFonts w:hint="cs"/>
          <w:sz w:val="27"/>
          <w:rtl/>
        </w:rPr>
        <w:t xml:space="preserve">، </w:t>
      </w:r>
      <w:r w:rsidRPr="006571AC">
        <w:rPr>
          <w:sz w:val="27"/>
          <w:rtl/>
        </w:rPr>
        <w:t>فإن</w:t>
      </w:r>
      <w:r w:rsidR="00C97641" w:rsidRPr="006571AC">
        <w:rPr>
          <w:rFonts w:hint="cs"/>
          <w:sz w:val="27"/>
          <w:rtl/>
        </w:rPr>
        <w:t>ْ</w:t>
      </w:r>
      <w:r w:rsidRPr="006571AC">
        <w:rPr>
          <w:sz w:val="27"/>
          <w:rtl/>
        </w:rPr>
        <w:t xml:space="preserve"> لم يصيبوا من اللحم يصيبوا م</w:t>
      </w:r>
      <w:r w:rsidRPr="006571AC">
        <w:rPr>
          <w:rFonts w:hint="cs"/>
          <w:sz w:val="27"/>
          <w:rtl/>
        </w:rPr>
        <w:t xml:space="preserve">ن </w:t>
      </w:r>
      <w:r w:rsidRPr="006571AC">
        <w:rPr>
          <w:sz w:val="27"/>
          <w:rtl/>
        </w:rPr>
        <w:t>المرقة</w:t>
      </w:r>
      <w:r w:rsidRPr="006571AC">
        <w:rPr>
          <w:rFonts w:hint="cs"/>
          <w:sz w:val="24"/>
          <w:szCs w:val="24"/>
          <w:rtl/>
        </w:rPr>
        <w:t>»</w:t>
      </w:r>
      <w:r w:rsidRPr="006571AC">
        <w:rPr>
          <w:sz w:val="27"/>
          <w:vertAlign w:val="superscript"/>
          <w:rtl/>
        </w:rPr>
        <w:t>(</w:t>
      </w:r>
      <w:r w:rsidRPr="006571AC">
        <w:rPr>
          <w:rStyle w:val="ac"/>
          <w:sz w:val="27"/>
          <w:rtl/>
        </w:rPr>
        <w:endnoteReference w:id="832"/>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عيون أخبار الرضا</w:t>
      </w:r>
      <w:r w:rsidRPr="006571AC">
        <w:rPr>
          <w:rFonts w:ascii="Mosawi" w:hAnsi="Mosawi" w:cs="Mosawi"/>
          <w:sz w:val="22"/>
          <w:szCs w:val="22"/>
          <w:rtl/>
        </w:rPr>
        <w:t>×</w:t>
      </w:r>
      <w:r w:rsidRPr="006571AC">
        <w:rPr>
          <w:rFonts w:hint="cs"/>
          <w:sz w:val="24"/>
          <w:szCs w:val="24"/>
          <w:rtl/>
        </w:rPr>
        <w:t>»</w:t>
      </w:r>
      <w:r w:rsidRPr="006571AC">
        <w:rPr>
          <w:rFonts w:hint="cs"/>
          <w:sz w:val="27"/>
          <w:rtl/>
        </w:rPr>
        <w:t xml:space="preserve">، وجدنا الحديث بهذا الشكل: </w:t>
      </w:r>
      <w:r w:rsidRPr="006571AC">
        <w:rPr>
          <w:rFonts w:hint="cs"/>
          <w:sz w:val="24"/>
          <w:szCs w:val="24"/>
          <w:rtl/>
        </w:rPr>
        <w:t>«</w:t>
      </w:r>
      <w:r w:rsidRPr="006571AC">
        <w:rPr>
          <w:rFonts w:hint="cs"/>
          <w:sz w:val="27"/>
          <w:rtl/>
        </w:rPr>
        <w:t xml:space="preserve">339ـ </w:t>
      </w:r>
      <w:r w:rsidRPr="006571AC">
        <w:rPr>
          <w:b/>
          <w:bCs/>
          <w:sz w:val="27"/>
          <w:rtl/>
        </w:rPr>
        <w:t>وبهذا ال</w:t>
      </w:r>
      <w:r w:rsidRPr="006571AC">
        <w:rPr>
          <w:rFonts w:hint="cs"/>
          <w:b/>
          <w:bCs/>
          <w:sz w:val="27"/>
          <w:rtl/>
        </w:rPr>
        <w:t>إ</w:t>
      </w:r>
      <w:r w:rsidRPr="006571AC">
        <w:rPr>
          <w:b/>
          <w:bCs/>
          <w:sz w:val="27"/>
          <w:rtl/>
        </w:rPr>
        <w:t>سناد</w:t>
      </w:r>
      <w:r w:rsidRPr="006571AC">
        <w:rPr>
          <w:sz w:val="27"/>
          <w:rtl/>
        </w:rPr>
        <w:t>، عن علي</w:t>
      </w:r>
      <w:r w:rsidRPr="006571AC">
        <w:rPr>
          <w:rFonts w:hint="cs"/>
          <w:sz w:val="27"/>
          <w:rtl/>
        </w:rPr>
        <w:t>ّ</w:t>
      </w:r>
      <w:r w:rsidRPr="006571AC">
        <w:rPr>
          <w:sz w:val="27"/>
          <w:rtl/>
        </w:rPr>
        <w:t xml:space="preserve"> بن أبي طالب</w:t>
      </w:r>
      <w:r w:rsidRPr="006571AC">
        <w:rPr>
          <w:rFonts w:ascii="Mosawi" w:hAnsi="Mosawi" w:cs="Mosawi"/>
          <w:sz w:val="22"/>
          <w:szCs w:val="22"/>
          <w:rtl/>
        </w:rPr>
        <w:t>×</w:t>
      </w:r>
      <w:r w:rsidRPr="006571AC">
        <w:rPr>
          <w:sz w:val="27"/>
          <w:rtl/>
        </w:rPr>
        <w:t xml:space="preserve"> قال: قال النبي</w:t>
      </w:r>
      <w:r w:rsidRPr="006571AC">
        <w:rPr>
          <w:rFonts w:hint="cs"/>
          <w:sz w:val="27"/>
          <w:rtl/>
        </w:rPr>
        <w:t>ّ</w:t>
      </w:r>
      <w:r w:rsidRPr="006571AC">
        <w:rPr>
          <w:rFonts w:ascii="Mosawi" w:hAnsi="Mosawi" w:cs="Mosawi"/>
          <w:sz w:val="22"/>
          <w:szCs w:val="22"/>
          <w:rtl/>
        </w:rPr>
        <w:t>|</w:t>
      </w:r>
      <w:r w:rsidRPr="006571AC">
        <w:rPr>
          <w:sz w:val="27"/>
          <w:rtl/>
        </w:rPr>
        <w:t>: يا علي</w:t>
      </w:r>
      <w:r w:rsidRPr="006571AC">
        <w:rPr>
          <w:rFonts w:hint="cs"/>
          <w:sz w:val="27"/>
          <w:rtl/>
        </w:rPr>
        <w:t>ّ،</w:t>
      </w:r>
      <w:r w:rsidRPr="006571AC">
        <w:rPr>
          <w:sz w:val="27"/>
          <w:rtl/>
        </w:rPr>
        <w:t xml:space="preserve"> إذا طبخت</w:t>
      </w:r>
      <w:r w:rsidRPr="006571AC">
        <w:rPr>
          <w:rFonts w:hint="cs"/>
          <w:sz w:val="27"/>
          <w:rtl/>
        </w:rPr>
        <w:t>َ</w:t>
      </w:r>
      <w:r w:rsidRPr="006571AC">
        <w:rPr>
          <w:sz w:val="27"/>
          <w:rtl/>
        </w:rPr>
        <w:t xml:space="preserve"> شيئا</w:t>
      </w:r>
      <w:r w:rsidRPr="006571AC">
        <w:rPr>
          <w:rFonts w:hint="cs"/>
          <w:sz w:val="27"/>
          <w:rtl/>
        </w:rPr>
        <w:t>ً</w:t>
      </w:r>
      <w:r w:rsidRPr="006571AC">
        <w:rPr>
          <w:sz w:val="27"/>
          <w:rtl/>
        </w:rPr>
        <w:t xml:space="preserve"> ف</w:t>
      </w:r>
      <w:r w:rsidRPr="006571AC">
        <w:rPr>
          <w:rFonts w:hint="cs"/>
          <w:sz w:val="27"/>
          <w:rtl/>
        </w:rPr>
        <w:t>أ</w:t>
      </w:r>
      <w:r w:rsidRPr="006571AC">
        <w:rPr>
          <w:sz w:val="27"/>
          <w:rtl/>
        </w:rPr>
        <w:t>كثر المرقة</w:t>
      </w:r>
      <w:r w:rsidRPr="006571AC">
        <w:rPr>
          <w:rFonts w:hint="cs"/>
          <w:sz w:val="27"/>
          <w:rtl/>
        </w:rPr>
        <w:t>؛</w:t>
      </w:r>
      <w:r w:rsidRPr="006571AC">
        <w:rPr>
          <w:sz w:val="27"/>
          <w:rtl/>
        </w:rPr>
        <w:t xml:space="preserve"> ف</w:t>
      </w:r>
      <w:r w:rsidRPr="006571AC">
        <w:rPr>
          <w:rFonts w:hint="cs"/>
          <w:sz w:val="27"/>
          <w:rtl/>
        </w:rPr>
        <w:t>إ</w:t>
      </w:r>
      <w:r w:rsidRPr="006571AC">
        <w:rPr>
          <w:sz w:val="27"/>
          <w:rtl/>
        </w:rPr>
        <w:t>ن</w:t>
      </w:r>
      <w:r w:rsidRPr="006571AC">
        <w:rPr>
          <w:rFonts w:hint="cs"/>
          <w:sz w:val="27"/>
          <w:rtl/>
        </w:rPr>
        <w:t>ّ</w:t>
      </w:r>
      <w:r w:rsidRPr="006571AC">
        <w:rPr>
          <w:sz w:val="27"/>
          <w:rtl/>
        </w:rPr>
        <w:t>ها أحد اللحمين</w:t>
      </w:r>
      <w:r w:rsidRPr="006571AC">
        <w:rPr>
          <w:rFonts w:hint="cs"/>
          <w:sz w:val="27"/>
          <w:rtl/>
        </w:rPr>
        <w:t>،</w:t>
      </w:r>
      <w:r w:rsidRPr="006571AC">
        <w:rPr>
          <w:sz w:val="27"/>
          <w:rtl/>
        </w:rPr>
        <w:t xml:space="preserve"> واغرف للجيران، فإن</w:t>
      </w:r>
      <w:r w:rsidR="009B3948" w:rsidRPr="006571AC">
        <w:rPr>
          <w:rFonts w:hint="cs"/>
          <w:sz w:val="27"/>
          <w:rtl/>
        </w:rPr>
        <w:t>ْ</w:t>
      </w:r>
      <w:r w:rsidRPr="006571AC">
        <w:rPr>
          <w:sz w:val="27"/>
          <w:rtl/>
        </w:rPr>
        <w:t xml:space="preserve"> لم يصيبوا من اللحم يصيبوا من المرق</w:t>
      </w:r>
      <w:r w:rsidRPr="006571AC">
        <w:rPr>
          <w:rFonts w:hint="cs"/>
          <w:sz w:val="24"/>
          <w:szCs w:val="24"/>
          <w:rtl/>
        </w:rPr>
        <w:t>»</w:t>
      </w:r>
      <w:r w:rsidRPr="006571AC">
        <w:rPr>
          <w:sz w:val="27"/>
          <w:vertAlign w:val="superscript"/>
          <w:rtl/>
        </w:rPr>
        <w:t>(</w:t>
      </w:r>
      <w:r w:rsidRPr="006571AC">
        <w:rPr>
          <w:rStyle w:val="ac"/>
          <w:sz w:val="27"/>
          <w:rtl/>
        </w:rPr>
        <w:endnoteReference w:id="833"/>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ومرادُ الشيخ الصدوق</w:t>
      </w:r>
      <w:r w:rsidRPr="006571AC">
        <w:rPr>
          <w:rFonts w:ascii="Mosawi" w:hAnsi="Mosawi" w:cs="Mosawi"/>
          <w:sz w:val="22"/>
          <w:szCs w:val="22"/>
          <w:rtl/>
        </w:rPr>
        <w:t>&amp;</w:t>
      </w:r>
      <w:r w:rsidRPr="006571AC">
        <w:rPr>
          <w:rFonts w:hint="cs"/>
          <w:sz w:val="27"/>
          <w:rtl/>
        </w:rPr>
        <w:t xml:space="preserve"> بقوله: </w:t>
      </w:r>
      <w:r w:rsidRPr="006571AC">
        <w:rPr>
          <w:rFonts w:hint="cs"/>
          <w:sz w:val="24"/>
          <w:szCs w:val="24"/>
          <w:rtl/>
        </w:rPr>
        <w:t>«</w:t>
      </w:r>
      <w:r w:rsidRPr="006571AC">
        <w:rPr>
          <w:rFonts w:hint="cs"/>
          <w:sz w:val="27"/>
          <w:rtl/>
        </w:rPr>
        <w:t>وبهذا الإسناد</w:t>
      </w:r>
      <w:r w:rsidRPr="006571AC">
        <w:rPr>
          <w:rFonts w:hint="cs"/>
          <w:sz w:val="24"/>
          <w:szCs w:val="24"/>
          <w:rtl/>
        </w:rPr>
        <w:t>»</w:t>
      </w:r>
      <w:r w:rsidRPr="006571AC">
        <w:rPr>
          <w:rFonts w:hint="cs"/>
          <w:sz w:val="27"/>
          <w:rtl/>
        </w:rPr>
        <w:t xml:space="preserve"> ما ذكره في الحديث 338، حيث قال: </w:t>
      </w:r>
      <w:r w:rsidRPr="006571AC">
        <w:rPr>
          <w:rFonts w:hint="cs"/>
          <w:sz w:val="24"/>
          <w:szCs w:val="24"/>
          <w:rtl/>
        </w:rPr>
        <w:t>«</w:t>
      </w:r>
      <w:r w:rsidRPr="006571AC">
        <w:rPr>
          <w:rFonts w:hint="cs"/>
          <w:sz w:val="27"/>
          <w:rtl/>
        </w:rPr>
        <w:t xml:space="preserve">338ـ </w:t>
      </w:r>
      <w:r w:rsidRPr="006571AC">
        <w:rPr>
          <w:b/>
          <w:bCs/>
          <w:sz w:val="27"/>
          <w:rtl/>
        </w:rPr>
        <w:t>حد</w:t>
      </w:r>
      <w:r w:rsidRPr="006571AC">
        <w:rPr>
          <w:rFonts w:hint="cs"/>
          <w:b/>
          <w:bCs/>
          <w:sz w:val="27"/>
          <w:rtl/>
        </w:rPr>
        <w:t>ّ</w:t>
      </w:r>
      <w:r w:rsidRPr="006571AC">
        <w:rPr>
          <w:b/>
          <w:bCs/>
          <w:sz w:val="27"/>
          <w:rtl/>
        </w:rPr>
        <w:t>ثنا محم</w:t>
      </w:r>
      <w:r w:rsidRPr="006571AC">
        <w:rPr>
          <w:rFonts w:hint="cs"/>
          <w:b/>
          <w:bCs/>
          <w:sz w:val="27"/>
          <w:rtl/>
        </w:rPr>
        <w:t>ّ</w:t>
      </w:r>
      <w:r w:rsidRPr="006571AC">
        <w:rPr>
          <w:b/>
          <w:bCs/>
          <w:sz w:val="27"/>
          <w:rtl/>
        </w:rPr>
        <w:t>د بن أحمد بن الحسين بن يوسف البغدادي</w:t>
      </w:r>
      <w:r w:rsidRPr="006571AC">
        <w:rPr>
          <w:rFonts w:hint="cs"/>
          <w:b/>
          <w:bCs/>
          <w:sz w:val="27"/>
          <w:rtl/>
        </w:rPr>
        <w:t>ّ</w:t>
      </w:r>
      <w:r w:rsidRPr="006571AC">
        <w:rPr>
          <w:b/>
          <w:bCs/>
          <w:sz w:val="27"/>
          <w:rtl/>
        </w:rPr>
        <w:t>، قال: حد</w:t>
      </w:r>
      <w:r w:rsidRPr="006571AC">
        <w:rPr>
          <w:rFonts w:hint="cs"/>
          <w:b/>
          <w:bCs/>
          <w:sz w:val="27"/>
          <w:rtl/>
        </w:rPr>
        <w:t>ّ</w:t>
      </w:r>
      <w:r w:rsidRPr="006571AC">
        <w:rPr>
          <w:b/>
          <w:bCs/>
          <w:sz w:val="27"/>
          <w:rtl/>
        </w:rPr>
        <w:t>ثنا علي</w:t>
      </w:r>
      <w:r w:rsidRPr="006571AC">
        <w:rPr>
          <w:rFonts w:hint="cs"/>
          <w:b/>
          <w:bCs/>
          <w:sz w:val="27"/>
          <w:rtl/>
        </w:rPr>
        <w:t>ّ</w:t>
      </w:r>
      <w:r w:rsidRPr="006571AC">
        <w:rPr>
          <w:b/>
          <w:bCs/>
          <w:sz w:val="27"/>
          <w:rtl/>
        </w:rPr>
        <w:t xml:space="preserve"> </w:t>
      </w:r>
      <w:r w:rsidRPr="006571AC">
        <w:rPr>
          <w:rFonts w:hint="cs"/>
          <w:b/>
          <w:bCs/>
          <w:sz w:val="27"/>
          <w:rtl/>
        </w:rPr>
        <w:t xml:space="preserve">بن </w:t>
      </w:r>
      <w:r w:rsidRPr="006571AC">
        <w:rPr>
          <w:b/>
          <w:bCs/>
          <w:sz w:val="27"/>
          <w:rtl/>
        </w:rPr>
        <w:t>محم</w:t>
      </w:r>
      <w:r w:rsidRPr="006571AC">
        <w:rPr>
          <w:rFonts w:hint="cs"/>
          <w:b/>
          <w:bCs/>
          <w:sz w:val="27"/>
          <w:rtl/>
        </w:rPr>
        <w:t>ّ</w:t>
      </w:r>
      <w:r w:rsidRPr="006571AC">
        <w:rPr>
          <w:b/>
          <w:bCs/>
          <w:sz w:val="27"/>
          <w:rtl/>
        </w:rPr>
        <w:t>د بن عيينة</w:t>
      </w:r>
      <w:r w:rsidRPr="006571AC">
        <w:rPr>
          <w:rFonts w:hint="cs"/>
          <w:b/>
          <w:bCs/>
          <w:sz w:val="27"/>
          <w:rtl/>
        </w:rPr>
        <w:t>،</w:t>
      </w:r>
      <w:r w:rsidRPr="006571AC">
        <w:rPr>
          <w:b/>
          <w:bCs/>
          <w:sz w:val="27"/>
          <w:rtl/>
        </w:rPr>
        <w:t xml:space="preserve"> قال: حد</w:t>
      </w:r>
      <w:r w:rsidRPr="006571AC">
        <w:rPr>
          <w:rFonts w:hint="cs"/>
          <w:b/>
          <w:bCs/>
          <w:sz w:val="27"/>
          <w:rtl/>
        </w:rPr>
        <w:t>ّ</w:t>
      </w:r>
      <w:r w:rsidRPr="006571AC">
        <w:rPr>
          <w:b/>
          <w:bCs/>
          <w:sz w:val="27"/>
          <w:rtl/>
        </w:rPr>
        <w:t>ثنا دارم بن قبيصة</w:t>
      </w:r>
      <w:r w:rsidRPr="006571AC">
        <w:rPr>
          <w:rFonts w:hint="cs"/>
          <w:b/>
          <w:bCs/>
          <w:sz w:val="27"/>
          <w:rtl/>
        </w:rPr>
        <w:t>،</w:t>
      </w:r>
      <w:r w:rsidRPr="006571AC">
        <w:rPr>
          <w:b/>
          <w:bCs/>
          <w:sz w:val="27"/>
          <w:rtl/>
        </w:rPr>
        <w:t xml:space="preserve"> قال: حد</w:t>
      </w:r>
      <w:r w:rsidRPr="006571AC">
        <w:rPr>
          <w:rFonts w:hint="cs"/>
          <w:b/>
          <w:bCs/>
          <w:sz w:val="27"/>
          <w:rtl/>
        </w:rPr>
        <w:t>ّ</w:t>
      </w:r>
      <w:r w:rsidRPr="006571AC">
        <w:rPr>
          <w:b/>
          <w:bCs/>
          <w:sz w:val="27"/>
          <w:rtl/>
        </w:rPr>
        <w:t>ثني علي</w:t>
      </w:r>
      <w:r w:rsidRPr="006571AC">
        <w:rPr>
          <w:rFonts w:hint="cs"/>
          <w:b/>
          <w:bCs/>
          <w:sz w:val="27"/>
          <w:rtl/>
        </w:rPr>
        <w:t>ّ</w:t>
      </w:r>
      <w:r w:rsidRPr="006571AC">
        <w:rPr>
          <w:b/>
          <w:bCs/>
          <w:sz w:val="27"/>
          <w:rtl/>
        </w:rPr>
        <w:t xml:space="preserve"> بن موسى الرضا</w:t>
      </w:r>
      <w:r w:rsidRPr="006571AC">
        <w:rPr>
          <w:rFonts w:ascii="Mosawi" w:hAnsi="Mosawi" w:cs="Mosawi"/>
          <w:sz w:val="22"/>
          <w:szCs w:val="22"/>
          <w:rtl/>
        </w:rPr>
        <w:t>×</w:t>
      </w:r>
      <w:r w:rsidRPr="006571AC">
        <w:rPr>
          <w:b/>
          <w:bCs/>
          <w:sz w:val="27"/>
          <w:rtl/>
        </w:rPr>
        <w:t>، عن أبيه موسى، عن أبيه جعفر</w:t>
      </w:r>
      <w:r w:rsidRPr="006571AC">
        <w:rPr>
          <w:rFonts w:hint="cs"/>
          <w:b/>
          <w:bCs/>
          <w:sz w:val="27"/>
          <w:rtl/>
        </w:rPr>
        <w:t>،</w:t>
      </w:r>
      <w:r w:rsidRPr="006571AC">
        <w:rPr>
          <w:b/>
          <w:bCs/>
          <w:sz w:val="27"/>
          <w:rtl/>
        </w:rPr>
        <w:t xml:space="preserve"> عن أبيه علي</w:t>
      </w:r>
      <w:r w:rsidRPr="006571AC">
        <w:rPr>
          <w:rFonts w:hint="cs"/>
          <w:b/>
          <w:bCs/>
          <w:sz w:val="27"/>
          <w:rtl/>
        </w:rPr>
        <w:t>ّ،</w:t>
      </w:r>
      <w:r w:rsidRPr="006571AC">
        <w:rPr>
          <w:b/>
          <w:bCs/>
          <w:sz w:val="27"/>
          <w:rtl/>
        </w:rPr>
        <w:t xml:space="preserve"> عن أبيه الحسين</w:t>
      </w:r>
      <w:r w:rsidRPr="006571AC">
        <w:rPr>
          <w:sz w:val="27"/>
          <w:rtl/>
        </w:rPr>
        <w:t>، عن أبيه علي</w:t>
      </w:r>
      <w:r w:rsidRPr="006571AC">
        <w:rPr>
          <w:rFonts w:hint="cs"/>
          <w:sz w:val="27"/>
          <w:rtl/>
        </w:rPr>
        <w:t>ّ</w:t>
      </w:r>
      <w:r w:rsidR="009B3948" w:rsidRPr="006571AC">
        <w:rPr>
          <w:rFonts w:hint="cs"/>
          <w:sz w:val="27"/>
          <w:rtl/>
        </w:rPr>
        <w:t>ٍ</w:t>
      </w:r>
      <w:r w:rsidRPr="006571AC">
        <w:rPr>
          <w:rFonts w:ascii="Mosawi" w:hAnsi="Mosawi" w:cs="Mosawi"/>
          <w:sz w:val="22"/>
          <w:szCs w:val="22"/>
          <w:rtl/>
        </w:rPr>
        <w:t>×</w:t>
      </w:r>
      <w:r w:rsidRPr="006571AC">
        <w:rPr>
          <w:sz w:val="27"/>
          <w:rtl/>
        </w:rPr>
        <w:t xml:space="preserve"> قال: دخلت</w:t>
      </w:r>
      <w:r w:rsidRPr="006571AC">
        <w:rPr>
          <w:rFonts w:hint="cs"/>
          <w:sz w:val="27"/>
          <w:rtl/>
        </w:rPr>
        <w:t>ُ</w:t>
      </w:r>
      <w:r w:rsidRPr="006571AC">
        <w:rPr>
          <w:sz w:val="27"/>
          <w:rtl/>
        </w:rPr>
        <w:t xml:space="preserve"> على رسول</w:t>
      </w:r>
      <w:r w:rsidRPr="006571AC">
        <w:rPr>
          <w:rFonts w:ascii="Mosawi" w:hAnsi="Mosawi" w:cs="Mosawi"/>
          <w:sz w:val="22"/>
          <w:szCs w:val="22"/>
          <w:rtl/>
        </w:rPr>
        <w:t>|</w:t>
      </w:r>
      <w:r w:rsidRPr="006571AC">
        <w:rPr>
          <w:sz w:val="27"/>
          <w:rtl/>
        </w:rPr>
        <w:t xml:space="preserve"> يوما</w:t>
      </w:r>
      <w:r w:rsidRPr="006571AC">
        <w:rPr>
          <w:rFonts w:hint="cs"/>
          <w:sz w:val="27"/>
          <w:rtl/>
        </w:rPr>
        <w:t>ً</w:t>
      </w:r>
      <w:r w:rsidRPr="006571AC">
        <w:rPr>
          <w:sz w:val="27"/>
          <w:rtl/>
        </w:rPr>
        <w:t xml:space="preserve"> وفي يده سفرجلة</w:t>
      </w:r>
      <w:r w:rsidRPr="006571AC">
        <w:rPr>
          <w:rFonts w:hint="cs"/>
          <w:sz w:val="27"/>
          <w:rtl/>
        </w:rPr>
        <w:t>،</w:t>
      </w:r>
      <w:r w:rsidRPr="006571AC">
        <w:rPr>
          <w:sz w:val="27"/>
          <w:rtl/>
        </w:rPr>
        <w:t xml:space="preserve"> فجعل يأكل ويطعمني</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34"/>
      </w:r>
      <w:r w:rsidRPr="006571AC">
        <w:rPr>
          <w:sz w:val="27"/>
          <w:vertAlign w:val="superscript"/>
          <w:rtl/>
        </w:rPr>
        <w:t>)</w:t>
      </w:r>
      <w:r w:rsidRPr="006571AC">
        <w:rPr>
          <w:rFonts w:hint="cs"/>
          <w:sz w:val="27"/>
          <w:rtl/>
        </w:rPr>
        <w:t xml:space="preserve">. </w:t>
      </w:r>
    </w:p>
    <w:p w:rsidR="008A3F20" w:rsidRPr="006571AC" w:rsidRDefault="008A3F20" w:rsidP="00B23B9B">
      <w:pPr>
        <w:spacing w:line="420" w:lineRule="exact"/>
        <w:rPr>
          <w:sz w:val="27"/>
          <w:rtl/>
        </w:rPr>
      </w:pPr>
      <w:r w:rsidRPr="006571AC">
        <w:rPr>
          <w:rFonts w:hint="cs"/>
          <w:sz w:val="27"/>
          <w:rtl/>
        </w:rPr>
        <w:t>وقد ذكر الشيخ الحُرّ</w:t>
      </w:r>
      <w:r w:rsidRPr="006571AC">
        <w:rPr>
          <w:rFonts w:ascii="Mosawi" w:hAnsi="Mosawi" w:cs="Mosawi"/>
          <w:sz w:val="22"/>
          <w:szCs w:val="22"/>
          <w:rtl/>
        </w:rPr>
        <w:t>&amp;</w:t>
      </w:r>
      <w:r w:rsidRPr="006571AC">
        <w:rPr>
          <w:rFonts w:hint="cs"/>
          <w:sz w:val="27"/>
          <w:rtl/>
        </w:rPr>
        <w:t xml:space="preserve"> هذا السند في نفس الباب، ح 1</w:t>
      </w:r>
      <w:r w:rsidRPr="006571AC">
        <w:rPr>
          <w:sz w:val="27"/>
          <w:vertAlign w:val="superscript"/>
          <w:rtl/>
        </w:rPr>
        <w:t>(</w:t>
      </w:r>
      <w:r w:rsidRPr="006571AC">
        <w:rPr>
          <w:rStyle w:val="ac"/>
          <w:sz w:val="27"/>
          <w:rtl/>
        </w:rPr>
        <w:endnoteReference w:id="835"/>
      </w:r>
      <w:r w:rsidRPr="006571AC">
        <w:rPr>
          <w:sz w:val="27"/>
          <w:vertAlign w:val="superscript"/>
          <w:rtl/>
        </w:rPr>
        <w:t>)</w:t>
      </w:r>
      <w:r w:rsidRPr="006571AC">
        <w:rPr>
          <w:rFonts w:hint="cs"/>
          <w:sz w:val="27"/>
          <w:rtl/>
        </w:rPr>
        <w:t>، ولكنّه لم يُشِرْ إلى أنّ سند الحديث الثاني هو نفس سند الحديث الأوّل، بل ذكر الحديث الثاني في صورة الحديث الم</w:t>
      </w:r>
      <w:r w:rsidR="009B3948" w:rsidRPr="006571AC">
        <w:rPr>
          <w:rFonts w:hint="cs"/>
          <w:sz w:val="27"/>
          <w:rtl/>
        </w:rPr>
        <w:t>ُ</w:t>
      </w:r>
      <w:r w:rsidRPr="006571AC">
        <w:rPr>
          <w:rFonts w:hint="cs"/>
          <w:sz w:val="27"/>
          <w:rtl/>
        </w:rPr>
        <w:t>ر</w:t>
      </w:r>
      <w:r w:rsidR="009B3948" w:rsidRPr="006571AC">
        <w:rPr>
          <w:rFonts w:hint="cs"/>
          <w:sz w:val="27"/>
          <w:rtl/>
        </w:rPr>
        <w:t>ْ</w:t>
      </w:r>
      <w:r w:rsidRPr="006571AC">
        <w:rPr>
          <w:rFonts w:hint="cs"/>
          <w:sz w:val="27"/>
          <w:rtl/>
        </w:rPr>
        <w:t>سَل الذي لا س</w:t>
      </w:r>
      <w:r w:rsidR="00C97641" w:rsidRPr="006571AC">
        <w:rPr>
          <w:rFonts w:hint="cs"/>
          <w:sz w:val="27"/>
          <w:rtl/>
        </w:rPr>
        <w:t>َ</w:t>
      </w:r>
      <w:r w:rsidRPr="006571AC">
        <w:rPr>
          <w:rFonts w:hint="cs"/>
          <w:sz w:val="27"/>
          <w:rtl/>
        </w:rPr>
        <w:t>ن</w:t>
      </w:r>
      <w:r w:rsidR="00C97641" w:rsidRPr="006571AC">
        <w:rPr>
          <w:rFonts w:hint="cs"/>
          <w:sz w:val="27"/>
          <w:rtl/>
        </w:rPr>
        <w:t>َ</w:t>
      </w:r>
      <w:r w:rsidRPr="006571AC">
        <w:rPr>
          <w:rFonts w:hint="cs"/>
          <w:sz w:val="27"/>
          <w:rtl/>
        </w:rPr>
        <w:t xml:space="preserve">د له. </w:t>
      </w:r>
    </w:p>
    <w:p w:rsidR="008A3F20" w:rsidRPr="006571AC" w:rsidRDefault="008A3F20" w:rsidP="00B23B9B">
      <w:pPr>
        <w:spacing w:line="420" w:lineRule="exact"/>
        <w:rPr>
          <w:sz w:val="27"/>
          <w:rtl/>
        </w:rPr>
      </w:pPr>
    </w:p>
    <w:p w:rsidR="008A3F20" w:rsidRPr="006571AC" w:rsidRDefault="008A3F20" w:rsidP="00FB4D6C">
      <w:pPr>
        <w:pStyle w:val="31"/>
        <w:rPr>
          <w:color w:val="auto"/>
          <w:rtl/>
        </w:rPr>
      </w:pPr>
      <w:bookmarkStart w:id="519" w:name="_Toc171512729"/>
      <w:bookmarkStart w:id="520" w:name="_Toc114164895"/>
      <w:r w:rsidRPr="006571AC">
        <w:rPr>
          <w:rFonts w:hint="cs"/>
          <w:color w:val="auto"/>
          <w:rtl/>
        </w:rPr>
        <w:t>7ـ عدم ذكر أسناد أخرى للحديث في ذيله</w:t>
      </w:r>
      <w:bookmarkEnd w:id="519"/>
      <w:bookmarkEnd w:id="520"/>
    </w:p>
    <w:p w:rsidR="008A3F20" w:rsidRPr="006571AC" w:rsidRDefault="008A3F20" w:rsidP="00FB4D6C">
      <w:pPr>
        <w:pStyle w:val="31"/>
        <w:rPr>
          <w:color w:val="auto"/>
          <w:rtl/>
        </w:rPr>
      </w:pPr>
      <w:bookmarkStart w:id="521" w:name="_Toc171512730"/>
      <w:bookmarkStart w:id="522" w:name="_Toc114164896"/>
      <w:r w:rsidRPr="006571AC">
        <w:rPr>
          <w:rFonts w:hint="cs"/>
          <w:color w:val="auto"/>
          <w:rtl/>
        </w:rPr>
        <w:t>من دون أيّ إشارة</w:t>
      </w:r>
      <w:r w:rsidR="00EA33AF" w:rsidRPr="006571AC">
        <w:rPr>
          <w:rFonts w:hint="cs"/>
          <w:color w:val="auto"/>
          <w:rtl/>
        </w:rPr>
        <w:t>ٍ</w:t>
      </w:r>
      <w:r w:rsidRPr="006571AC">
        <w:rPr>
          <w:rFonts w:hint="cs"/>
          <w:color w:val="auto"/>
          <w:rtl/>
        </w:rPr>
        <w:t xml:space="preserve"> لوجود تلك الأسناد</w:t>
      </w:r>
      <w:bookmarkEnd w:id="521"/>
      <w:bookmarkEnd w:id="522"/>
    </w:p>
    <w:p w:rsidR="008A3F20" w:rsidRPr="006571AC" w:rsidRDefault="008A3F20" w:rsidP="000C6F2A">
      <w:pPr>
        <w:rPr>
          <w:sz w:val="27"/>
          <w:rtl/>
        </w:rPr>
      </w:pPr>
      <w:r w:rsidRPr="006571AC">
        <w:rPr>
          <w:rFonts w:hint="cs"/>
          <w:sz w:val="27"/>
          <w:rtl/>
        </w:rPr>
        <w:t>تقدّ</w:t>
      </w:r>
      <w:r w:rsidR="00EA33AF" w:rsidRPr="006571AC">
        <w:rPr>
          <w:rFonts w:hint="cs"/>
          <w:sz w:val="27"/>
          <w:rtl/>
        </w:rPr>
        <w:t>َ</w:t>
      </w:r>
      <w:r w:rsidRPr="006571AC">
        <w:rPr>
          <w:rFonts w:hint="cs"/>
          <w:sz w:val="27"/>
          <w:rtl/>
        </w:rPr>
        <w:t xml:space="preserve">م فيما مضى أنّ </w:t>
      </w:r>
      <w:r w:rsidRPr="006571AC">
        <w:rPr>
          <w:rFonts w:hint="cs"/>
          <w:b/>
          <w:bCs/>
          <w:sz w:val="27"/>
          <w:rtl/>
        </w:rPr>
        <w:t>من عادة الشيخ الحُرّ</w:t>
      </w:r>
      <w:r w:rsidRPr="006571AC">
        <w:rPr>
          <w:rFonts w:ascii="Mosawi" w:hAnsi="Mosawi" w:cs="Mosawi"/>
          <w:b/>
          <w:bCs/>
          <w:sz w:val="22"/>
          <w:szCs w:val="22"/>
          <w:rtl/>
        </w:rPr>
        <w:t>&amp;</w:t>
      </w:r>
      <w:r w:rsidRPr="006571AC">
        <w:rPr>
          <w:rFonts w:hint="cs"/>
          <w:b/>
          <w:bCs/>
          <w:sz w:val="27"/>
          <w:rtl/>
        </w:rPr>
        <w:t xml:space="preserve"> أن يذكر في ذيل الحديث أسناده الأخرى إن</w:t>
      </w:r>
      <w:r w:rsidR="00C97641" w:rsidRPr="006571AC">
        <w:rPr>
          <w:rFonts w:hint="cs"/>
          <w:b/>
          <w:bCs/>
          <w:sz w:val="27"/>
          <w:rtl/>
        </w:rPr>
        <w:t>ْ</w:t>
      </w:r>
      <w:r w:rsidRPr="006571AC">
        <w:rPr>
          <w:rFonts w:hint="cs"/>
          <w:b/>
          <w:bCs/>
          <w:sz w:val="27"/>
          <w:rtl/>
        </w:rPr>
        <w:t xml:space="preserve"> كانت، ولكنّه</w:t>
      </w:r>
      <w:r w:rsidRPr="006571AC">
        <w:rPr>
          <w:rFonts w:ascii="Mosawi" w:hAnsi="Mosawi" w:cs="Mosawi"/>
          <w:b/>
          <w:bCs/>
          <w:sz w:val="22"/>
          <w:szCs w:val="22"/>
          <w:rtl/>
        </w:rPr>
        <w:t>&amp;</w:t>
      </w:r>
      <w:r w:rsidRPr="006571AC">
        <w:rPr>
          <w:rFonts w:hint="cs"/>
          <w:b/>
          <w:bCs/>
          <w:sz w:val="27"/>
          <w:rtl/>
        </w:rPr>
        <w:t xml:space="preserve"> أهمل ذلك في بعض الموارد</w:t>
      </w:r>
      <w:r w:rsidRPr="006571AC">
        <w:rPr>
          <w:rFonts w:hint="cs"/>
          <w:sz w:val="27"/>
          <w:rtl/>
        </w:rPr>
        <w:t xml:space="preserve">، فذكر الحديث بسندٍ واحدٍ، ولم يذكر أسناده الأخرى في ذيله، ولمّا نقل الحديث في موضعٍ آخر ذكره </w:t>
      </w:r>
      <w:r w:rsidRPr="006571AC">
        <w:rPr>
          <w:rFonts w:hint="cs"/>
          <w:sz w:val="27"/>
          <w:rtl/>
        </w:rPr>
        <w:lastRenderedPageBreak/>
        <w:t>بسندٍ مختلِفٍ عمّا ذكره من قبل، فعر</w:t>
      </w:r>
      <w:r w:rsidR="00C97641" w:rsidRPr="006571AC">
        <w:rPr>
          <w:rFonts w:hint="cs"/>
          <w:sz w:val="27"/>
          <w:rtl/>
        </w:rPr>
        <w:t>َ</w:t>
      </w:r>
      <w:r w:rsidRPr="006571AC">
        <w:rPr>
          <w:rFonts w:hint="cs"/>
          <w:sz w:val="27"/>
          <w:rtl/>
        </w:rPr>
        <w:t>ف</w:t>
      </w:r>
      <w:r w:rsidR="00C97641" w:rsidRPr="006571AC">
        <w:rPr>
          <w:rFonts w:hint="cs"/>
          <w:sz w:val="27"/>
          <w:rtl/>
        </w:rPr>
        <w:t>ْ</w:t>
      </w:r>
      <w:r w:rsidRPr="006571AC">
        <w:rPr>
          <w:rFonts w:hint="cs"/>
          <w:sz w:val="27"/>
          <w:rtl/>
        </w:rPr>
        <w:t>نا أنّ للحديث أكثر من س</w:t>
      </w:r>
      <w:r w:rsidR="00C97641" w:rsidRPr="006571AC">
        <w:rPr>
          <w:rFonts w:hint="cs"/>
          <w:sz w:val="27"/>
          <w:rtl/>
        </w:rPr>
        <w:t>َ</w:t>
      </w:r>
      <w:r w:rsidRPr="006571AC">
        <w:rPr>
          <w:rFonts w:hint="cs"/>
          <w:sz w:val="27"/>
          <w:rtl/>
        </w:rPr>
        <w:t>ن</w:t>
      </w:r>
      <w:r w:rsidR="00C97641" w:rsidRPr="006571AC">
        <w:rPr>
          <w:rFonts w:hint="cs"/>
          <w:sz w:val="27"/>
          <w:rtl/>
        </w:rPr>
        <w:t>َ</w:t>
      </w:r>
      <w:r w:rsidRPr="006571AC">
        <w:rPr>
          <w:rFonts w:hint="cs"/>
          <w:sz w:val="27"/>
          <w:rtl/>
        </w:rPr>
        <w:t>د</w:t>
      </w:r>
      <w:r w:rsidR="00C97641" w:rsidRPr="006571AC">
        <w:rPr>
          <w:rFonts w:hint="cs"/>
          <w:sz w:val="27"/>
          <w:rtl/>
        </w:rPr>
        <w:t>ٍ</w:t>
      </w:r>
      <w:r w:rsidRPr="006571AC">
        <w:rPr>
          <w:rFonts w:hint="cs"/>
          <w:sz w:val="27"/>
          <w:rtl/>
        </w:rPr>
        <w:t xml:space="preserve">، ومن ذلك: </w:t>
      </w:r>
    </w:p>
    <w:p w:rsidR="008A3F20" w:rsidRPr="006571AC" w:rsidRDefault="008A3F20" w:rsidP="00B23B9B">
      <w:pPr>
        <w:spacing w:line="386" w:lineRule="exact"/>
        <w:rPr>
          <w:sz w:val="27"/>
          <w:rtl/>
        </w:rPr>
      </w:pPr>
      <w:r w:rsidRPr="006571AC">
        <w:rPr>
          <w:rFonts w:hint="cs"/>
          <w:sz w:val="27"/>
          <w:rtl/>
        </w:rPr>
        <w:t xml:space="preserve">* ما في الباب 74 من أبواب نكاح العبيد والإماء، ح 1، حيث قال: </w:t>
      </w:r>
      <w:r w:rsidRPr="006571AC">
        <w:rPr>
          <w:rFonts w:hint="cs"/>
          <w:sz w:val="24"/>
          <w:szCs w:val="24"/>
          <w:rtl/>
        </w:rPr>
        <w:t>«</w:t>
      </w:r>
      <w:r w:rsidRPr="006571AC">
        <w:rPr>
          <w:b/>
          <w:bCs/>
          <w:sz w:val="27"/>
          <w:rtl/>
        </w:rPr>
        <w:t>محم</w:t>
      </w:r>
      <w:r w:rsidRPr="006571AC">
        <w:rPr>
          <w:rFonts w:hint="cs"/>
          <w:b/>
          <w:bCs/>
          <w:sz w:val="27"/>
          <w:rtl/>
        </w:rPr>
        <w:t>ّ</w:t>
      </w:r>
      <w:r w:rsidRPr="006571AC">
        <w:rPr>
          <w:b/>
          <w:bCs/>
          <w:sz w:val="27"/>
          <w:rtl/>
        </w:rPr>
        <w:t>د بن الحسن بإسناده عن البزوفري</w:t>
      </w:r>
      <w:r w:rsidRPr="006571AC">
        <w:rPr>
          <w:rFonts w:hint="cs"/>
          <w:b/>
          <w:bCs/>
          <w:sz w:val="27"/>
          <w:rtl/>
        </w:rPr>
        <w:t>ّ</w:t>
      </w:r>
      <w:r w:rsidRPr="006571AC">
        <w:rPr>
          <w:b/>
          <w:bCs/>
          <w:sz w:val="27"/>
          <w:rtl/>
        </w:rPr>
        <w:t>، عن أحمد بن إدريس، عن أحمد بن محم</w:t>
      </w:r>
      <w:r w:rsidRPr="006571AC">
        <w:rPr>
          <w:rFonts w:hint="cs"/>
          <w:b/>
          <w:bCs/>
          <w:sz w:val="27"/>
          <w:rtl/>
        </w:rPr>
        <w:t>ّ</w:t>
      </w:r>
      <w:r w:rsidRPr="006571AC">
        <w:rPr>
          <w:b/>
          <w:bCs/>
          <w:sz w:val="27"/>
          <w:rtl/>
        </w:rPr>
        <w:t>د، عن ابن أبي عمير، عن حم</w:t>
      </w:r>
      <w:r w:rsidRPr="006571AC">
        <w:rPr>
          <w:rFonts w:hint="cs"/>
          <w:b/>
          <w:bCs/>
          <w:sz w:val="27"/>
          <w:rtl/>
        </w:rPr>
        <w:t>ّ</w:t>
      </w:r>
      <w:r w:rsidRPr="006571AC">
        <w:rPr>
          <w:b/>
          <w:bCs/>
          <w:sz w:val="27"/>
          <w:rtl/>
        </w:rPr>
        <w:t>اد، عن الحلبي</w:t>
      </w:r>
      <w:r w:rsidRPr="006571AC">
        <w:rPr>
          <w:rFonts w:hint="cs"/>
          <w:b/>
          <w:bCs/>
          <w:sz w:val="27"/>
          <w:rtl/>
        </w:rPr>
        <w:t>ّ</w:t>
      </w:r>
      <w:r w:rsidRPr="006571AC">
        <w:rPr>
          <w:b/>
          <w:bCs/>
          <w:sz w:val="27"/>
          <w:rtl/>
        </w:rPr>
        <w:t>، عن أبي عبد الله</w:t>
      </w:r>
      <w:r w:rsidRPr="006571AC">
        <w:rPr>
          <w:rFonts w:ascii="Mosawi" w:hAnsi="Mosawi" w:cs="Mosawi"/>
          <w:b/>
          <w:bCs/>
          <w:sz w:val="22"/>
          <w:szCs w:val="22"/>
          <w:rtl/>
        </w:rPr>
        <w:t>×</w:t>
      </w:r>
      <w:r w:rsidRPr="006571AC">
        <w:rPr>
          <w:sz w:val="27"/>
          <w:rtl/>
        </w:rPr>
        <w:t xml:space="preserve"> قال: أي</w:t>
      </w:r>
      <w:r w:rsidRPr="006571AC">
        <w:rPr>
          <w:rFonts w:hint="cs"/>
          <w:sz w:val="27"/>
          <w:rtl/>
        </w:rPr>
        <w:t>ّ</w:t>
      </w:r>
      <w:r w:rsidRPr="006571AC">
        <w:rPr>
          <w:sz w:val="27"/>
          <w:rtl/>
        </w:rPr>
        <w:t>ما رجل</w:t>
      </w:r>
      <w:r w:rsidR="00C97641" w:rsidRPr="006571AC">
        <w:rPr>
          <w:rFonts w:hint="cs"/>
          <w:sz w:val="27"/>
          <w:rtl/>
        </w:rPr>
        <w:t>ٍ</w:t>
      </w:r>
      <w:r w:rsidRPr="006571AC">
        <w:rPr>
          <w:sz w:val="27"/>
          <w:rtl/>
        </w:rPr>
        <w:t xml:space="preserve"> وقع على وليدة قوم</w:t>
      </w:r>
      <w:r w:rsidR="00EA33AF" w:rsidRPr="006571AC">
        <w:rPr>
          <w:rFonts w:hint="cs"/>
          <w:sz w:val="27"/>
          <w:rtl/>
        </w:rPr>
        <w:t>ٍ</w:t>
      </w:r>
      <w:r w:rsidRPr="006571AC">
        <w:rPr>
          <w:sz w:val="27"/>
          <w:rtl/>
        </w:rPr>
        <w:t xml:space="preserve"> حراما</w:t>
      </w:r>
      <w:r w:rsidRPr="006571AC">
        <w:rPr>
          <w:rFonts w:hint="cs"/>
          <w:sz w:val="27"/>
          <w:rtl/>
        </w:rPr>
        <w:t>ً...</w:t>
      </w:r>
      <w:r w:rsidRPr="006571AC">
        <w:rPr>
          <w:rFonts w:hint="cs"/>
          <w:sz w:val="24"/>
          <w:szCs w:val="24"/>
          <w:rtl/>
        </w:rPr>
        <w:t>»</w:t>
      </w:r>
      <w:r w:rsidRPr="006571AC">
        <w:rPr>
          <w:rFonts w:hint="cs"/>
          <w:sz w:val="27"/>
          <w:rtl/>
        </w:rPr>
        <w:t>.</w:t>
      </w:r>
    </w:p>
    <w:p w:rsidR="008A3F20" w:rsidRPr="006571AC" w:rsidRDefault="008A3F20" w:rsidP="00B23B9B">
      <w:pPr>
        <w:spacing w:line="386" w:lineRule="exact"/>
        <w:rPr>
          <w:sz w:val="27"/>
          <w:rtl/>
        </w:rPr>
      </w:pPr>
      <w:r w:rsidRPr="006571AC">
        <w:rPr>
          <w:rFonts w:hint="cs"/>
          <w:sz w:val="27"/>
          <w:rtl/>
        </w:rPr>
        <w:t>وعلَّق المحقِّقون في مؤسَّسة آل البيت</w:t>
      </w:r>
      <w:r w:rsidRPr="006571AC">
        <w:rPr>
          <w:rFonts w:ascii="Mosawi" w:hAnsi="Mosawi" w:cs="Mosawi"/>
          <w:sz w:val="22"/>
          <w:szCs w:val="22"/>
          <w:rtl/>
        </w:rPr>
        <w:t>^</w:t>
      </w:r>
      <w:r w:rsidRPr="006571AC">
        <w:rPr>
          <w:rFonts w:hint="cs"/>
          <w:sz w:val="27"/>
          <w:rtl/>
        </w:rPr>
        <w:t xml:space="preserve"> لإحياء التراث على هذا الحديث بقولهم: </w:t>
      </w:r>
      <w:r w:rsidRPr="006571AC">
        <w:rPr>
          <w:rFonts w:hint="cs"/>
          <w:sz w:val="24"/>
          <w:szCs w:val="24"/>
          <w:rtl/>
        </w:rPr>
        <w:t>«</w:t>
      </w:r>
      <w:r w:rsidRPr="006571AC">
        <w:rPr>
          <w:b/>
          <w:bCs/>
          <w:sz w:val="27"/>
          <w:rtl/>
        </w:rPr>
        <w:t>وأخرجه ب</w:t>
      </w:r>
      <w:r w:rsidRPr="006571AC">
        <w:rPr>
          <w:rFonts w:hint="cs"/>
          <w:b/>
          <w:bCs/>
          <w:sz w:val="27"/>
          <w:rtl/>
        </w:rPr>
        <w:t>إ</w:t>
      </w:r>
      <w:r w:rsidRPr="006571AC">
        <w:rPr>
          <w:b/>
          <w:bCs/>
          <w:sz w:val="27"/>
          <w:rtl/>
        </w:rPr>
        <w:t>سناد آخر عنه</w:t>
      </w:r>
      <w:r w:rsidRPr="006571AC">
        <w:rPr>
          <w:rFonts w:hint="cs"/>
          <w:b/>
          <w:bCs/>
          <w:sz w:val="27"/>
          <w:rtl/>
        </w:rPr>
        <w:t>،</w:t>
      </w:r>
      <w:r w:rsidRPr="006571AC">
        <w:rPr>
          <w:b/>
          <w:bCs/>
          <w:sz w:val="27"/>
          <w:rtl/>
        </w:rPr>
        <w:t xml:space="preserve"> وعن </w:t>
      </w:r>
      <w:r w:rsidRPr="006571AC">
        <w:rPr>
          <w:rFonts w:hint="cs"/>
          <w:b/>
          <w:bCs/>
          <w:sz w:val="24"/>
          <w:szCs w:val="24"/>
          <w:rtl/>
        </w:rPr>
        <w:t>«</w:t>
      </w:r>
      <w:r w:rsidRPr="006571AC">
        <w:rPr>
          <w:b/>
          <w:bCs/>
          <w:sz w:val="27"/>
          <w:rtl/>
        </w:rPr>
        <w:t>الكافي</w:t>
      </w:r>
      <w:r w:rsidRPr="006571AC">
        <w:rPr>
          <w:rFonts w:hint="cs"/>
          <w:b/>
          <w:bCs/>
          <w:sz w:val="24"/>
          <w:szCs w:val="24"/>
          <w:rtl/>
        </w:rPr>
        <w:t>»</w:t>
      </w:r>
      <w:r w:rsidRPr="006571AC">
        <w:rPr>
          <w:rFonts w:hint="cs"/>
          <w:sz w:val="27"/>
          <w:rtl/>
        </w:rPr>
        <w:t>،</w:t>
      </w:r>
      <w:r w:rsidRPr="006571AC">
        <w:rPr>
          <w:sz w:val="27"/>
          <w:rtl/>
        </w:rPr>
        <w:t xml:space="preserve"> في الحديث 1 من الباب 8 من أبواب ميراث ولد الملاع</w:t>
      </w:r>
      <w:r w:rsidRPr="006571AC">
        <w:rPr>
          <w:rFonts w:hint="cs"/>
          <w:sz w:val="27"/>
          <w:rtl/>
        </w:rPr>
        <w:t>َ</w:t>
      </w:r>
      <w:r w:rsidRPr="006571AC">
        <w:rPr>
          <w:sz w:val="27"/>
          <w:rtl/>
        </w:rPr>
        <w:t>نة</w:t>
      </w:r>
      <w:r w:rsidRPr="006571AC">
        <w:rPr>
          <w:rFonts w:hint="cs"/>
          <w:sz w:val="24"/>
          <w:szCs w:val="24"/>
          <w:rtl/>
        </w:rPr>
        <w:t>»</w:t>
      </w:r>
      <w:r w:rsidRPr="006571AC">
        <w:rPr>
          <w:sz w:val="27"/>
          <w:vertAlign w:val="superscript"/>
          <w:rtl/>
        </w:rPr>
        <w:t>(</w:t>
      </w:r>
      <w:r w:rsidRPr="006571AC">
        <w:rPr>
          <w:rStyle w:val="ac"/>
          <w:sz w:val="27"/>
          <w:rtl/>
        </w:rPr>
        <w:endnoteReference w:id="836"/>
      </w:r>
      <w:r w:rsidRPr="006571AC">
        <w:rPr>
          <w:sz w:val="27"/>
          <w:vertAlign w:val="superscript"/>
          <w:rtl/>
        </w:rPr>
        <w:t>)</w:t>
      </w:r>
      <w:r w:rsidRPr="006571AC">
        <w:rPr>
          <w:rFonts w:hint="cs"/>
          <w:sz w:val="27"/>
          <w:rtl/>
        </w:rPr>
        <w:t xml:space="preserve">. </w:t>
      </w:r>
    </w:p>
    <w:p w:rsidR="008A3F20" w:rsidRPr="006571AC" w:rsidRDefault="008A3F20" w:rsidP="00B23B9B">
      <w:pPr>
        <w:spacing w:line="386" w:lineRule="exact"/>
        <w:rPr>
          <w:sz w:val="27"/>
          <w:rtl/>
        </w:rPr>
      </w:pPr>
      <w:r w:rsidRPr="006571AC">
        <w:rPr>
          <w:rFonts w:hint="cs"/>
          <w:sz w:val="27"/>
          <w:rtl/>
        </w:rPr>
        <w:t xml:space="preserve">وبمراجعة الموضع المشار إليه تبيَّن أنّه قال: </w:t>
      </w:r>
      <w:r w:rsidRPr="006571AC">
        <w:rPr>
          <w:rFonts w:hint="cs"/>
          <w:sz w:val="24"/>
          <w:szCs w:val="24"/>
          <w:rtl/>
        </w:rPr>
        <w:t>«</w:t>
      </w:r>
      <w:r w:rsidRPr="006571AC">
        <w:rPr>
          <w:b/>
          <w:bCs/>
          <w:sz w:val="27"/>
          <w:rtl/>
        </w:rPr>
        <w:t>محم</w:t>
      </w:r>
      <w:r w:rsidRPr="006571AC">
        <w:rPr>
          <w:rFonts w:hint="cs"/>
          <w:b/>
          <w:bCs/>
          <w:sz w:val="27"/>
          <w:rtl/>
        </w:rPr>
        <w:t>ّ</w:t>
      </w:r>
      <w:r w:rsidRPr="006571AC">
        <w:rPr>
          <w:b/>
          <w:bCs/>
          <w:sz w:val="27"/>
          <w:rtl/>
        </w:rPr>
        <w:t>د بن الحسن ب</w:t>
      </w:r>
      <w:r w:rsidRPr="006571AC">
        <w:rPr>
          <w:rFonts w:hint="cs"/>
          <w:b/>
          <w:bCs/>
          <w:sz w:val="27"/>
          <w:rtl/>
        </w:rPr>
        <w:t>إ</w:t>
      </w:r>
      <w:r w:rsidRPr="006571AC">
        <w:rPr>
          <w:b/>
          <w:bCs/>
          <w:sz w:val="27"/>
          <w:rtl/>
        </w:rPr>
        <w:t>سناده عن الحسين بن سعيد، عن ابن أبي عمير، عن حم</w:t>
      </w:r>
      <w:r w:rsidRPr="006571AC">
        <w:rPr>
          <w:rFonts w:hint="cs"/>
          <w:b/>
          <w:bCs/>
          <w:sz w:val="27"/>
          <w:rtl/>
        </w:rPr>
        <w:t>ّ</w:t>
      </w:r>
      <w:r w:rsidRPr="006571AC">
        <w:rPr>
          <w:b/>
          <w:bCs/>
          <w:sz w:val="27"/>
          <w:rtl/>
        </w:rPr>
        <w:t>اد، عن الحلبي</w:t>
      </w:r>
      <w:r w:rsidRPr="006571AC">
        <w:rPr>
          <w:rFonts w:hint="cs"/>
          <w:b/>
          <w:bCs/>
          <w:sz w:val="27"/>
          <w:rtl/>
        </w:rPr>
        <w:t>ّ</w:t>
      </w:r>
      <w:r w:rsidRPr="006571AC">
        <w:rPr>
          <w:b/>
          <w:bCs/>
          <w:sz w:val="27"/>
          <w:rtl/>
        </w:rPr>
        <w:t>، عن أبي عبد الله</w:t>
      </w:r>
      <w:r w:rsidRPr="006571AC">
        <w:rPr>
          <w:rFonts w:ascii="Mosawi" w:hAnsi="Mosawi" w:cs="Mosawi"/>
          <w:b/>
          <w:bCs/>
          <w:sz w:val="22"/>
          <w:szCs w:val="22"/>
          <w:rtl/>
        </w:rPr>
        <w:t>×</w:t>
      </w:r>
      <w:r w:rsidRPr="006571AC">
        <w:rPr>
          <w:rFonts w:hint="cs"/>
          <w:sz w:val="27"/>
          <w:rtl/>
        </w:rPr>
        <w:t>،</w:t>
      </w:r>
      <w:r w:rsidRPr="006571AC">
        <w:rPr>
          <w:sz w:val="27"/>
          <w:rtl/>
        </w:rPr>
        <w:t xml:space="preserve"> قال: أي</w:t>
      </w:r>
      <w:r w:rsidRPr="006571AC">
        <w:rPr>
          <w:rFonts w:hint="cs"/>
          <w:sz w:val="27"/>
          <w:rtl/>
        </w:rPr>
        <w:t>ّ</w:t>
      </w:r>
      <w:r w:rsidRPr="006571AC">
        <w:rPr>
          <w:sz w:val="27"/>
          <w:rtl/>
        </w:rPr>
        <w:t>ما رجل</w:t>
      </w:r>
      <w:r w:rsidR="001A0C0A" w:rsidRPr="006571AC">
        <w:rPr>
          <w:rFonts w:hint="cs"/>
          <w:sz w:val="27"/>
          <w:rtl/>
        </w:rPr>
        <w:t>ٍ</w:t>
      </w:r>
      <w:r w:rsidRPr="006571AC">
        <w:rPr>
          <w:sz w:val="27"/>
          <w:rtl/>
        </w:rPr>
        <w:t xml:space="preserve"> وقع على وليدة قوم</w:t>
      </w:r>
      <w:r w:rsidR="00EA33AF" w:rsidRPr="006571AC">
        <w:rPr>
          <w:rFonts w:hint="cs"/>
          <w:sz w:val="27"/>
          <w:rtl/>
        </w:rPr>
        <w:t>ٍ</w:t>
      </w:r>
      <w:r w:rsidRPr="006571AC">
        <w:rPr>
          <w:sz w:val="27"/>
          <w:rtl/>
        </w:rPr>
        <w:t xml:space="preserve"> حراما</w:t>
      </w:r>
      <w:r w:rsidRPr="006571AC">
        <w:rPr>
          <w:rFonts w:hint="cs"/>
          <w:sz w:val="27"/>
          <w:rtl/>
        </w:rPr>
        <w:t>ً....</w:t>
      </w:r>
      <w:r w:rsidRPr="006571AC">
        <w:rPr>
          <w:sz w:val="27"/>
          <w:rtl/>
        </w:rPr>
        <w:t xml:space="preserve"> </w:t>
      </w:r>
    </w:p>
    <w:p w:rsidR="008A3F20" w:rsidRPr="006571AC" w:rsidRDefault="008A3F20" w:rsidP="00B23B9B">
      <w:pPr>
        <w:spacing w:line="380" w:lineRule="exact"/>
        <w:rPr>
          <w:sz w:val="27"/>
          <w:rtl/>
        </w:rPr>
      </w:pPr>
      <w:r w:rsidRPr="006571AC">
        <w:rPr>
          <w:b/>
          <w:bCs/>
          <w:sz w:val="27"/>
          <w:rtl/>
        </w:rPr>
        <w:t>ورواه الكليني</w:t>
      </w:r>
      <w:r w:rsidRPr="006571AC">
        <w:rPr>
          <w:rFonts w:hint="cs"/>
          <w:b/>
          <w:bCs/>
          <w:sz w:val="27"/>
          <w:rtl/>
        </w:rPr>
        <w:t>ّ</w:t>
      </w:r>
      <w:r w:rsidRPr="006571AC">
        <w:rPr>
          <w:b/>
          <w:bCs/>
          <w:sz w:val="27"/>
          <w:rtl/>
        </w:rPr>
        <w:t xml:space="preserve"> عن علي</w:t>
      </w:r>
      <w:r w:rsidRPr="006571AC">
        <w:rPr>
          <w:rFonts w:hint="cs"/>
          <w:b/>
          <w:bCs/>
          <w:sz w:val="27"/>
          <w:rtl/>
        </w:rPr>
        <w:t>ّ</w:t>
      </w:r>
      <w:r w:rsidRPr="006571AC">
        <w:rPr>
          <w:b/>
          <w:bCs/>
          <w:sz w:val="27"/>
          <w:rtl/>
        </w:rPr>
        <w:t xml:space="preserve"> بن إبراهيم، عن أبيه، عن ابن أبي عمير</w:t>
      </w:r>
      <w:r w:rsidRPr="006571AC">
        <w:rPr>
          <w:rFonts w:hint="cs"/>
          <w:b/>
          <w:bCs/>
          <w:sz w:val="27"/>
          <w:rtl/>
        </w:rPr>
        <w:t>،</w:t>
      </w:r>
      <w:r w:rsidRPr="006571AC">
        <w:rPr>
          <w:b/>
          <w:bCs/>
          <w:sz w:val="27"/>
          <w:rtl/>
        </w:rPr>
        <w:t xml:space="preserve"> مثله</w:t>
      </w:r>
      <w:r w:rsidRPr="006571AC">
        <w:rPr>
          <w:sz w:val="27"/>
          <w:rtl/>
        </w:rPr>
        <w:t xml:space="preserve">. </w:t>
      </w:r>
    </w:p>
    <w:p w:rsidR="008A3F20" w:rsidRPr="006571AC" w:rsidRDefault="008A3F20" w:rsidP="00B23B9B">
      <w:pPr>
        <w:spacing w:line="386" w:lineRule="exact"/>
        <w:rPr>
          <w:sz w:val="27"/>
          <w:rtl/>
        </w:rPr>
      </w:pPr>
      <w:r w:rsidRPr="006571AC">
        <w:rPr>
          <w:b/>
          <w:bCs/>
          <w:sz w:val="27"/>
          <w:rtl/>
        </w:rPr>
        <w:t>وعنه</w:t>
      </w:r>
      <w:r w:rsidRPr="006571AC">
        <w:rPr>
          <w:rFonts w:hint="cs"/>
          <w:b/>
          <w:bCs/>
          <w:sz w:val="27"/>
          <w:rtl/>
        </w:rPr>
        <w:t xml:space="preserve"> [الطوسيّ بإسناده عن الحسين بن سعيد]،</w:t>
      </w:r>
      <w:r w:rsidRPr="006571AC">
        <w:rPr>
          <w:b/>
          <w:bCs/>
          <w:sz w:val="27"/>
          <w:rtl/>
        </w:rPr>
        <w:t xml:space="preserve"> عن القاسم بن محم</w:t>
      </w:r>
      <w:r w:rsidRPr="006571AC">
        <w:rPr>
          <w:rFonts w:hint="cs"/>
          <w:b/>
          <w:bCs/>
          <w:sz w:val="27"/>
          <w:rtl/>
        </w:rPr>
        <w:t>ّ</w:t>
      </w:r>
      <w:r w:rsidRPr="006571AC">
        <w:rPr>
          <w:b/>
          <w:bCs/>
          <w:sz w:val="27"/>
          <w:rtl/>
        </w:rPr>
        <w:t>د، عن عل</w:t>
      </w:r>
      <w:r w:rsidRPr="006571AC">
        <w:rPr>
          <w:rFonts w:hint="cs"/>
          <w:b/>
          <w:bCs/>
          <w:sz w:val="27"/>
          <w:rtl/>
        </w:rPr>
        <w:t>يّ</w:t>
      </w:r>
      <w:r w:rsidRPr="006571AC">
        <w:rPr>
          <w:b/>
          <w:bCs/>
          <w:sz w:val="27"/>
          <w:rtl/>
        </w:rPr>
        <w:t xml:space="preserve"> بن أبي حمزة، عن أبي عبد الله</w:t>
      </w:r>
      <w:r w:rsidRPr="006571AC">
        <w:rPr>
          <w:rFonts w:ascii="Mosawi" w:hAnsi="Mosawi" w:cs="Mosawi"/>
          <w:b/>
          <w:bCs/>
          <w:sz w:val="22"/>
          <w:szCs w:val="22"/>
          <w:rtl/>
        </w:rPr>
        <w:t>×</w:t>
      </w:r>
      <w:r w:rsidRPr="006571AC">
        <w:rPr>
          <w:rFonts w:hint="cs"/>
          <w:sz w:val="27"/>
          <w:rtl/>
        </w:rPr>
        <w:t>،</w:t>
      </w:r>
      <w:r w:rsidRPr="006571AC">
        <w:rPr>
          <w:sz w:val="27"/>
          <w:rtl/>
        </w:rPr>
        <w:t xml:space="preserve"> مثله</w:t>
      </w:r>
      <w:r w:rsidRPr="006571AC">
        <w:rPr>
          <w:rFonts w:hint="cs"/>
          <w:sz w:val="24"/>
          <w:szCs w:val="24"/>
          <w:rtl/>
        </w:rPr>
        <w:t>»</w:t>
      </w:r>
      <w:r w:rsidRPr="006571AC">
        <w:rPr>
          <w:sz w:val="27"/>
          <w:vertAlign w:val="superscript"/>
          <w:rtl/>
        </w:rPr>
        <w:t>(</w:t>
      </w:r>
      <w:r w:rsidRPr="006571AC">
        <w:rPr>
          <w:rStyle w:val="ac"/>
          <w:sz w:val="27"/>
          <w:rtl/>
        </w:rPr>
        <w:endnoteReference w:id="837"/>
      </w:r>
      <w:r w:rsidRPr="006571AC">
        <w:rPr>
          <w:sz w:val="27"/>
          <w:vertAlign w:val="superscript"/>
          <w:rtl/>
        </w:rPr>
        <w:t>)</w:t>
      </w:r>
      <w:r w:rsidRPr="006571AC">
        <w:rPr>
          <w:rFonts w:hint="cs"/>
          <w:sz w:val="27"/>
          <w:rtl/>
        </w:rPr>
        <w:t>.</w:t>
      </w:r>
    </w:p>
    <w:p w:rsidR="008A3F20" w:rsidRPr="006571AC" w:rsidRDefault="008A3F20" w:rsidP="00B23B9B">
      <w:pPr>
        <w:spacing w:line="380" w:lineRule="exact"/>
        <w:rPr>
          <w:sz w:val="27"/>
          <w:rtl/>
        </w:rPr>
      </w:pPr>
    </w:p>
    <w:p w:rsidR="008A3F20" w:rsidRPr="006571AC" w:rsidRDefault="008A3F20" w:rsidP="00FB4D6C">
      <w:pPr>
        <w:pStyle w:val="31"/>
        <w:rPr>
          <w:color w:val="auto"/>
          <w:rtl/>
        </w:rPr>
      </w:pPr>
      <w:bookmarkStart w:id="523" w:name="_Toc171512731"/>
      <w:bookmarkStart w:id="524" w:name="_Toc114164897"/>
      <w:r w:rsidRPr="006571AC">
        <w:rPr>
          <w:rFonts w:hint="cs"/>
          <w:color w:val="auto"/>
          <w:rtl/>
        </w:rPr>
        <w:t>مع الإشارة لوجودها</w:t>
      </w:r>
      <w:bookmarkEnd w:id="523"/>
      <w:bookmarkEnd w:id="524"/>
    </w:p>
    <w:p w:rsidR="008A3F20" w:rsidRPr="006571AC" w:rsidRDefault="008A3F20" w:rsidP="00B23B9B">
      <w:pPr>
        <w:spacing w:line="386" w:lineRule="exact"/>
        <w:rPr>
          <w:sz w:val="27"/>
          <w:rtl/>
        </w:rPr>
      </w:pPr>
      <w:r w:rsidRPr="006571AC">
        <w:rPr>
          <w:rFonts w:hint="cs"/>
          <w:b/>
          <w:bCs/>
          <w:sz w:val="27"/>
          <w:rtl/>
        </w:rPr>
        <w:t>وفي بعض الموارد يكتفي الشيخ الحُرّ</w:t>
      </w:r>
      <w:r w:rsidRPr="006571AC">
        <w:rPr>
          <w:rFonts w:ascii="Mosawi" w:hAnsi="Mosawi" w:cs="Mosawi"/>
          <w:b/>
          <w:bCs/>
          <w:sz w:val="22"/>
          <w:szCs w:val="22"/>
          <w:rtl/>
        </w:rPr>
        <w:t>&amp;</w:t>
      </w:r>
      <w:r w:rsidRPr="006571AC">
        <w:rPr>
          <w:rFonts w:hint="cs"/>
          <w:b/>
          <w:bCs/>
          <w:sz w:val="27"/>
          <w:rtl/>
        </w:rPr>
        <w:t xml:space="preserve"> بالإشارة إلى أنّ للحديث المنقول أسناداً أخرى، ولا ينقلها لطولها</w:t>
      </w:r>
      <w:r w:rsidRPr="006571AC">
        <w:rPr>
          <w:rFonts w:hint="cs"/>
          <w:sz w:val="27"/>
          <w:rtl/>
        </w:rPr>
        <w:t xml:space="preserve">، ومن ذلك: </w:t>
      </w:r>
    </w:p>
    <w:p w:rsidR="008A3F20" w:rsidRPr="006571AC" w:rsidRDefault="008A3F20" w:rsidP="001A0C0A">
      <w:pPr>
        <w:spacing w:line="386" w:lineRule="exact"/>
        <w:rPr>
          <w:sz w:val="27"/>
          <w:rtl/>
        </w:rPr>
      </w:pPr>
      <w:r w:rsidRPr="006571AC">
        <w:rPr>
          <w:rFonts w:hint="cs"/>
          <w:sz w:val="27"/>
          <w:rtl/>
        </w:rPr>
        <w:t xml:space="preserve">* ما في الباب 1 من أبواب مقدّمة العبادات، ح 22، حيث قال: </w:t>
      </w:r>
      <w:r w:rsidRPr="006571AC">
        <w:rPr>
          <w:rFonts w:hint="cs"/>
          <w:sz w:val="24"/>
          <w:szCs w:val="24"/>
          <w:rtl/>
        </w:rPr>
        <w:t>«</w:t>
      </w:r>
      <w:r w:rsidRPr="006571AC">
        <w:rPr>
          <w:sz w:val="27"/>
          <w:rtl/>
        </w:rPr>
        <w:t>و</w:t>
      </w:r>
      <w:r w:rsidRPr="006571AC">
        <w:rPr>
          <w:rFonts w:hint="cs"/>
          <w:sz w:val="27"/>
          <w:rtl/>
        </w:rPr>
        <w:t xml:space="preserve">[الصدوق في </w:t>
      </w:r>
      <w:r w:rsidRPr="006571AC">
        <w:rPr>
          <w:rFonts w:hint="cs"/>
          <w:sz w:val="24"/>
          <w:szCs w:val="24"/>
          <w:rtl/>
        </w:rPr>
        <w:t>«</w:t>
      </w:r>
      <w:r w:rsidRPr="006571AC">
        <w:rPr>
          <w:rFonts w:hint="cs"/>
          <w:sz w:val="27"/>
          <w:rtl/>
        </w:rPr>
        <w:t>العلل</w:t>
      </w:r>
      <w:r w:rsidRPr="006571AC">
        <w:rPr>
          <w:rFonts w:hint="cs"/>
          <w:sz w:val="24"/>
          <w:szCs w:val="24"/>
          <w:rtl/>
        </w:rPr>
        <w:t>»</w:t>
      </w:r>
      <w:r w:rsidRPr="006571AC">
        <w:rPr>
          <w:rFonts w:hint="cs"/>
          <w:sz w:val="27"/>
          <w:rtl/>
        </w:rPr>
        <w:t xml:space="preserve">] </w:t>
      </w:r>
      <w:r w:rsidRPr="006571AC">
        <w:rPr>
          <w:sz w:val="27"/>
          <w:rtl/>
        </w:rPr>
        <w:t>عن محم</w:t>
      </w:r>
      <w:r w:rsidRPr="006571AC">
        <w:rPr>
          <w:rFonts w:hint="cs"/>
          <w:sz w:val="27"/>
          <w:rtl/>
        </w:rPr>
        <w:t>ّ</w:t>
      </w:r>
      <w:r w:rsidRPr="006571AC">
        <w:rPr>
          <w:sz w:val="27"/>
          <w:rtl/>
        </w:rPr>
        <w:t>د بن موسى بن المتوك</w:t>
      </w:r>
      <w:r w:rsidR="001A0C0A" w:rsidRPr="006571AC">
        <w:rPr>
          <w:rFonts w:hint="cs"/>
          <w:sz w:val="27"/>
          <w:rtl/>
        </w:rPr>
        <w:t>ِّ</w:t>
      </w:r>
      <w:r w:rsidRPr="006571AC">
        <w:rPr>
          <w:sz w:val="27"/>
          <w:rtl/>
        </w:rPr>
        <w:t>ل، عن علي</w:t>
      </w:r>
      <w:r w:rsidRPr="006571AC">
        <w:rPr>
          <w:rFonts w:hint="cs"/>
          <w:sz w:val="27"/>
          <w:rtl/>
        </w:rPr>
        <w:t>ّ</w:t>
      </w:r>
      <w:r w:rsidRPr="006571AC">
        <w:rPr>
          <w:sz w:val="27"/>
          <w:rtl/>
        </w:rPr>
        <w:t xml:space="preserve"> بن الحسين السعدآبادي</w:t>
      </w:r>
      <w:r w:rsidRPr="006571AC">
        <w:rPr>
          <w:rFonts w:hint="cs"/>
          <w:sz w:val="27"/>
          <w:rtl/>
        </w:rPr>
        <w:t>ّ</w:t>
      </w:r>
      <w:r w:rsidRPr="006571AC">
        <w:rPr>
          <w:sz w:val="27"/>
          <w:rtl/>
        </w:rPr>
        <w:t>، عن أحم</w:t>
      </w:r>
      <w:r w:rsidRPr="006571AC">
        <w:rPr>
          <w:rFonts w:hint="cs"/>
          <w:sz w:val="27"/>
          <w:rtl/>
        </w:rPr>
        <w:t>د</w:t>
      </w:r>
      <w:r w:rsidRPr="006571AC">
        <w:rPr>
          <w:sz w:val="27"/>
          <w:rtl/>
        </w:rPr>
        <w:t xml:space="preserve"> بن </w:t>
      </w:r>
      <w:r w:rsidRPr="006571AC">
        <w:rPr>
          <w:rFonts w:hint="cs"/>
          <w:sz w:val="27"/>
          <w:rtl/>
        </w:rPr>
        <w:t>أ</w:t>
      </w:r>
      <w:r w:rsidRPr="006571AC">
        <w:rPr>
          <w:sz w:val="27"/>
          <w:rtl/>
        </w:rPr>
        <w:t>بي عبد الله البرقي</w:t>
      </w:r>
      <w:r w:rsidRPr="006571AC">
        <w:rPr>
          <w:rFonts w:hint="cs"/>
          <w:sz w:val="27"/>
          <w:rtl/>
        </w:rPr>
        <w:t>ّ</w:t>
      </w:r>
      <w:r w:rsidRPr="006571AC">
        <w:rPr>
          <w:sz w:val="27"/>
          <w:rtl/>
        </w:rPr>
        <w:t>، عن إسماعيل بن مهران، عن أحمد بن محم</w:t>
      </w:r>
      <w:r w:rsidRPr="006571AC">
        <w:rPr>
          <w:rFonts w:hint="cs"/>
          <w:sz w:val="27"/>
          <w:rtl/>
        </w:rPr>
        <w:t>ّ</w:t>
      </w:r>
      <w:r w:rsidR="00EA33AF" w:rsidRPr="006571AC">
        <w:rPr>
          <w:sz w:val="27"/>
          <w:rtl/>
        </w:rPr>
        <w:t>د بن جابر، عن زينب بنت عل</w:t>
      </w:r>
      <w:r w:rsidR="00EA33AF" w:rsidRPr="006571AC">
        <w:rPr>
          <w:rFonts w:hint="cs"/>
          <w:sz w:val="27"/>
          <w:rtl/>
        </w:rPr>
        <w:t>يٍّ</w:t>
      </w:r>
      <w:r w:rsidRPr="006571AC">
        <w:rPr>
          <w:rFonts w:ascii="Mosawi" w:hAnsi="Mosawi" w:cs="Mosawi"/>
          <w:sz w:val="22"/>
          <w:szCs w:val="22"/>
          <w:rtl/>
        </w:rPr>
        <w:t>×</w:t>
      </w:r>
      <w:r w:rsidRPr="006571AC">
        <w:rPr>
          <w:rFonts w:hint="cs"/>
          <w:sz w:val="27"/>
          <w:rtl/>
        </w:rPr>
        <w:t xml:space="preserve"> </w:t>
      </w:r>
      <w:r w:rsidRPr="006571AC">
        <w:rPr>
          <w:sz w:val="27"/>
          <w:rtl/>
        </w:rPr>
        <w:t>قالت: قالت فاطم</w:t>
      </w:r>
      <w:r w:rsidRPr="006571AC">
        <w:rPr>
          <w:rFonts w:hint="cs"/>
          <w:sz w:val="27"/>
          <w:rtl/>
        </w:rPr>
        <w:t>ة</w:t>
      </w:r>
      <w:r w:rsidRPr="006571AC">
        <w:rPr>
          <w:rFonts w:ascii="Mosawi" w:hAnsi="Mosawi" w:cs="Mosawi"/>
          <w:sz w:val="22"/>
          <w:szCs w:val="22"/>
          <w:rtl/>
        </w:rPr>
        <w:t>÷</w:t>
      </w:r>
      <w:r w:rsidRPr="006571AC">
        <w:rPr>
          <w:sz w:val="27"/>
          <w:rtl/>
        </w:rPr>
        <w:t xml:space="preserve"> في خطبتها: فرض الله ال</w:t>
      </w:r>
      <w:r w:rsidRPr="006571AC">
        <w:rPr>
          <w:rFonts w:hint="cs"/>
          <w:sz w:val="27"/>
          <w:rtl/>
        </w:rPr>
        <w:t>إ</w:t>
      </w:r>
      <w:r w:rsidRPr="006571AC">
        <w:rPr>
          <w:sz w:val="27"/>
          <w:rtl/>
        </w:rPr>
        <w:t>يمان تطهيرا</w:t>
      </w:r>
      <w:r w:rsidRPr="006571AC">
        <w:rPr>
          <w:rFonts w:hint="cs"/>
          <w:sz w:val="27"/>
          <w:rtl/>
        </w:rPr>
        <w:t>ً</w:t>
      </w:r>
      <w:r w:rsidRPr="006571AC">
        <w:rPr>
          <w:sz w:val="27"/>
          <w:rtl/>
        </w:rPr>
        <w:t xml:space="preserve"> من الشرك</w:t>
      </w:r>
      <w:r w:rsidRPr="006571AC">
        <w:rPr>
          <w:rFonts w:hint="cs"/>
          <w:sz w:val="27"/>
          <w:rtl/>
        </w:rPr>
        <w:t>....</w:t>
      </w:r>
    </w:p>
    <w:p w:rsidR="008A3F20" w:rsidRPr="006571AC" w:rsidRDefault="008A3F20" w:rsidP="00B23B9B">
      <w:pPr>
        <w:spacing w:line="380" w:lineRule="exact"/>
        <w:rPr>
          <w:sz w:val="27"/>
          <w:rtl/>
        </w:rPr>
      </w:pPr>
      <w:r w:rsidRPr="006571AC">
        <w:rPr>
          <w:b/>
          <w:bCs/>
          <w:sz w:val="27"/>
          <w:rtl/>
        </w:rPr>
        <w:t xml:space="preserve">ورواه </w:t>
      </w:r>
      <w:r w:rsidRPr="006571AC">
        <w:rPr>
          <w:rFonts w:hint="cs"/>
          <w:b/>
          <w:bCs/>
          <w:sz w:val="27"/>
          <w:rtl/>
        </w:rPr>
        <w:t>أ</w:t>
      </w:r>
      <w:r w:rsidRPr="006571AC">
        <w:rPr>
          <w:b/>
          <w:bCs/>
          <w:sz w:val="27"/>
          <w:rtl/>
        </w:rPr>
        <w:t>يضا</w:t>
      </w:r>
      <w:r w:rsidRPr="006571AC">
        <w:rPr>
          <w:rFonts w:hint="cs"/>
          <w:b/>
          <w:bCs/>
          <w:sz w:val="27"/>
          <w:rtl/>
        </w:rPr>
        <w:t>ً</w:t>
      </w:r>
      <w:r w:rsidRPr="006571AC">
        <w:rPr>
          <w:b/>
          <w:bCs/>
          <w:sz w:val="27"/>
          <w:rtl/>
        </w:rPr>
        <w:t xml:space="preserve"> بعد</w:t>
      </w:r>
      <w:r w:rsidRPr="006571AC">
        <w:rPr>
          <w:rFonts w:hint="cs"/>
          <w:b/>
          <w:bCs/>
          <w:sz w:val="27"/>
          <w:rtl/>
        </w:rPr>
        <w:t>ّ</w:t>
      </w:r>
      <w:r w:rsidRPr="006571AC">
        <w:rPr>
          <w:b/>
          <w:bCs/>
          <w:sz w:val="27"/>
          <w:rtl/>
        </w:rPr>
        <w:t>ة أسانيد طويلة</w:t>
      </w:r>
      <w:r w:rsidRPr="006571AC">
        <w:rPr>
          <w:rFonts w:hint="cs"/>
          <w:sz w:val="24"/>
          <w:szCs w:val="24"/>
          <w:rtl/>
        </w:rPr>
        <w:t>»</w:t>
      </w:r>
      <w:r w:rsidRPr="006571AC">
        <w:rPr>
          <w:sz w:val="27"/>
          <w:vertAlign w:val="superscript"/>
          <w:rtl/>
        </w:rPr>
        <w:t>(</w:t>
      </w:r>
      <w:r w:rsidRPr="006571AC">
        <w:rPr>
          <w:rStyle w:val="ac"/>
          <w:sz w:val="27"/>
          <w:rtl/>
        </w:rPr>
        <w:endnoteReference w:id="838"/>
      </w:r>
      <w:r w:rsidRPr="006571AC">
        <w:rPr>
          <w:sz w:val="27"/>
          <w:vertAlign w:val="superscript"/>
          <w:rtl/>
        </w:rPr>
        <w:t>)</w:t>
      </w:r>
      <w:r w:rsidRPr="006571AC">
        <w:rPr>
          <w:rFonts w:hint="cs"/>
          <w:sz w:val="27"/>
          <w:rtl/>
        </w:rPr>
        <w:t>.</w:t>
      </w:r>
    </w:p>
    <w:p w:rsidR="008A3F20" w:rsidRPr="006571AC" w:rsidRDefault="008A3F20" w:rsidP="00B23B9B">
      <w:pPr>
        <w:spacing w:line="380" w:lineRule="exact"/>
        <w:rPr>
          <w:sz w:val="27"/>
          <w:rtl/>
        </w:rPr>
      </w:pPr>
    </w:p>
    <w:p w:rsidR="008A3F20" w:rsidRPr="006571AC" w:rsidRDefault="008A3F20" w:rsidP="00FB4D6C">
      <w:pPr>
        <w:pStyle w:val="31"/>
        <w:rPr>
          <w:color w:val="auto"/>
          <w:rtl/>
        </w:rPr>
      </w:pPr>
      <w:bookmarkStart w:id="525" w:name="_Toc171512732"/>
      <w:bookmarkStart w:id="526" w:name="_Toc114164898"/>
      <w:r w:rsidRPr="006571AC">
        <w:rPr>
          <w:rFonts w:hint="cs"/>
          <w:color w:val="auto"/>
          <w:rtl/>
        </w:rPr>
        <w:t>8ـ الإشارة لبعض الأسناد المتقدِّمة دون ذكرها تفصيلاً</w:t>
      </w:r>
      <w:bookmarkEnd w:id="525"/>
      <w:bookmarkEnd w:id="526"/>
    </w:p>
    <w:p w:rsidR="008A3F20" w:rsidRPr="006571AC" w:rsidRDefault="008A3F20" w:rsidP="000C6F2A">
      <w:pPr>
        <w:rPr>
          <w:sz w:val="27"/>
          <w:rtl/>
        </w:rPr>
      </w:pPr>
      <w:r w:rsidRPr="006571AC">
        <w:rPr>
          <w:rFonts w:hint="cs"/>
          <w:sz w:val="27"/>
          <w:rtl/>
        </w:rPr>
        <w:t>يعمد الشيخ الحُرّ</w:t>
      </w:r>
      <w:r w:rsidRPr="006571AC">
        <w:rPr>
          <w:rFonts w:ascii="Mosawi" w:hAnsi="Mosawi" w:cs="Mosawi"/>
          <w:sz w:val="22"/>
          <w:szCs w:val="22"/>
          <w:rtl/>
        </w:rPr>
        <w:t>&amp;</w:t>
      </w:r>
      <w:r w:rsidRPr="006571AC">
        <w:rPr>
          <w:rFonts w:hint="cs"/>
          <w:sz w:val="27"/>
          <w:rtl/>
        </w:rPr>
        <w:t xml:space="preserve"> في ذكر بعض الأسناد إلى الاكتفاء بالإشارة إليها دون </w:t>
      </w:r>
      <w:r w:rsidRPr="006571AC">
        <w:rPr>
          <w:rFonts w:hint="cs"/>
          <w:sz w:val="27"/>
          <w:rtl/>
        </w:rPr>
        <w:lastRenderedPageBreak/>
        <w:t>ذكرها تفصيلاً، فتُعرف ممّا تقدّ</w:t>
      </w:r>
      <w:r w:rsidR="00EA33AF" w:rsidRPr="006571AC">
        <w:rPr>
          <w:rFonts w:hint="cs"/>
          <w:sz w:val="27"/>
          <w:rtl/>
        </w:rPr>
        <w:t>َ</w:t>
      </w:r>
      <w:r w:rsidRPr="006571AC">
        <w:rPr>
          <w:rFonts w:hint="cs"/>
          <w:sz w:val="27"/>
          <w:rtl/>
        </w:rPr>
        <w:t>م، ومن ذلك:</w:t>
      </w:r>
    </w:p>
    <w:p w:rsidR="008A3F20" w:rsidRPr="006571AC" w:rsidRDefault="008A3F20" w:rsidP="001A0C0A">
      <w:pPr>
        <w:rPr>
          <w:sz w:val="27"/>
          <w:rtl/>
        </w:rPr>
      </w:pPr>
      <w:r w:rsidRPr="006571AC">
        <w:rPr>
          <w:rFonts w:hint="cs"/>
          <w:sz w:val="27"/>
          <w:rtl/>
        </w:rPr>
        <w:t xml:space="preserve">* ما في الباب 31 من أبواب أحكام الدوابّ، ح 9، حيث قال: </w:t>
      </w:r>
      <w:r w:rsidRPr="006571AC">
        <w:rPr>
          <w:rFonts w:hint="cs"/>
          <w:sz w:val="24"/>
          <w:szCs w:val="24"/>
          <w:rtl/>
        </w:rPr>
        <w:t>«</w:t>
      </w:r>
      <w:r w:rsidRPr="006571AC">
        <w:rPr>
          <w:b/>
          <w:bCs/>
          <w:sz w:val="27"/>
          <w:rtl/>
        </w:rPr>
        <w:t>وبال</w:t>
      </w:r>
      <w:r w:rsidRPr="006571AC">
        <w:rPr>
          <w:rFonts w:hint="cs"/>
          <w:b/>
          <w:bCs/>
          <w:sz w:val="27"/>
          <w:rtl/>
        </w:rPr>
        <w:t>إ</w:t>
      </w:r>
      <w:r w:rsidRPr="006571AC">
        <w:rPr>
          <w:b/>
          <w:bCs/>
          <w:sz w:val="27"/>
          <w:rtl/>
        </w:rPr>
        <w:t>سناد الثاني</w:t>
      </w:r>
      <w:r w:rsidRPr="006571AC">
        <w:rPr>
          <w:sz w:val="27"/>
          <w:rtl/>
        </w:rPr>
        <w:t xml:space="preserve"> عن أبي خديجة قال: سمعت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sz w:val="27"/>
          <w:rtl/>
        </w:rPr>
        <w:t xml:space="preserve"> يقول: هذه الح</w:t>
      </w:r>
      <w:r w:rsidRPr="006571AC">
        <w:rPr>
          <w:rFonts w:hint="cs"/>
          <w:sz w:val="27"/>
          <w:rtl/>
        </w:rPr>
        <w:t>َ</w:t>
      </w:r>
      <w:r w:rsidRPr="006571AC">
        <w:rPr>
          <w:sz w:val="27"/>
          <w:rtl/>
        </w:rPr>
        <w:t>م</w:t>
      </w:r>
      <w:r w:rsidRPr="006571AC">
        <w:rPr>
          <w:rFonts w:hint="cs"/>
          <w:sz w:val="27"/>
          <w:rtl/>
        </w:rPr>
        <w:t>َ</w:t>
      </w:r>
      <w:r w:rsidRPr="006571AC">
        <w:rPr>
          <w:sz w:val="27"/>
          <w:rtl/>
        </w:rPr>
        <w:t xml:space="preserve">ام </w:t>
      </w:r>
      <w:r w:rsidRPr="006571AC">
        <w:rPr>
          <w:rFonts w:hint="cs"/>
          <w:sz w:val="27"/>
          <w:rtl/>
        </w:rPr>
        <w:t xml:space="preserve">ـ </w:t>
      </w:r>
      <w:r w:rsidRPr="006571AC">
        <w:rPr>
          <w:sz w:val="27"/>
          <w:rtl/>
        </w:rPr>
        <w:t xml:space="preserve">حمام الحرم </w:t>
      </w:r>
      <w:r w:rsidRPr="006571AC">
        <w:rPr>
          <w:rFonts w:hint="cs"/>
          <w:sz w:val="27"/>
          <w:rtl/>
        </w:rPr>
        <w:t xml:space="preserve">ـ </w:t>
      </w:r>
      <w:r w:rsidRPr="006571AC">
        <w:rPr>
          <w:sz w:val="27"/>
          <w:rtl/>
        </w:rPr>
        <w:t>من نسل حمام إسماعيل بن إبراهيم التي كانت له</w:t>
      </w:r>
      <w:r w:rsidRPr="006571AC">
        <w:rPr>
          <w:rFonts w:hint="cs"/>
          <w:sz w:val="24"/>
          <w:szCs w:val="24"/>
          <w:rtl/>
        </w:rPr>
        <w:t>»</w:t>
      </w:r>
      <w:r w:rsidRPr="006571AC">
        <w:rPr>
          <w:sz w:val="27"/>
          <w:vertAlign w:val="superscript"/>
          <w:rtl/>
        </w:rPr>
        <w:t>(</w:t>
      </w:r>
      <w:r w:rsidRPr="006571AC">
        <w:rPr>
          <w:rStyle w:val="ac"/>
          <w:sz w:val="27"/>
          <w:rtl/>
        </w:rPr>
        <w:endnoteReference w:id="83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ومرادُه</w:t>
      </w:r>
      <w:r w:rsidRPr="006571AC">
        <w:rPr>
          <w:rFonts w:ascii="Mosawi" w:hAnsi="Mosawi" w:cs="Mosawi"/>
          <w:sz w:val="22"/>
          <w:szCs w:val="22"/>
          <w:rtl/>
        </w:rPr>
        <w:t>&amp;</w:t>
      </w:r>
      <w:r w:rsidRPr="006571AC">
        <w:rPr>
          <w:rFonts w:hint="cs"/>
          <w:sz w:val="27"/>
          <w:rtl/>
        </w:rPr>
        <w:t xml:space="preserve"> من قوله </w:t>
      </w:r>
      <w:r w:rsidRPr="006571AC">
        <w:rPr>
          <w:rFonts w:hint="cs"/>
          <w:sz w:val="24"/>
          <w:szCs w:val="24"/>
          <w:rtl/>
        </w:rPr>
        <w:t>«</w:t>
      </w:r>
      <w:r w:rsidRPr="006571AC">
        <w:rPr>
          <w:rFonts w:hint="cs"/>
          <w:sz w:val="27"/>
          <w:rtl/>
        </w:rPr>
        <w:t>الإسناد الثاني</w:t>
      </w:r>
      <w:r w:rsidRPr="006571AC">
        <w:rPr>
          <w:rFonts w:hint="cs"/>
          <w:sz w:val="24"/>
          <w:szCs w:val="24"/>
          <w:rtl/>
        </w:rPr>
        <w:t>»</w:t>
      </w:r>
      <w:r w:rsidRPr="006571AC">
        <w:rPr>
          <w:rFonts w:hint="cs"/>
          <w:sz w:val="27"/>
          <w:rtl/>
        </w:rPr>
        <w:t xml:space="preserve"> ما ذكره في الحديث 8 من نفس الباب، حيث قال: </w:t>
      </w:r>
      <w:r w:rsidRPr="006571AC">
        <w:rPr>
          <w:rFonts w:hint="cs"/>
          <w:sz w:val="24"/>
          <w:szCs w:val="24"/>
          <w:rtl/>
        </w:rPr>
        <w:t>«</w:t>
      </w:r>
      <w:r w:rsidRPr="006571AC">
        <w:rPr>
          <w:sz w:val="27"/>
          <w:rtl/>
        </w:rPr>
        <w:t>وبال</w:t>
      </w:r>
      <w:r w:rsidRPr="006571AC">
        <w:rPr>
          <w:rFonts w:hint="cs"/>
          <w:sz w:val="27"/>
          <w:rtl/>
        </w:rPr>
        <w:t>إ</w:t>
      </w:r>
      <w:r w:rsidRPr="006571AC">
        <w:rPr>
          <w:sz w:val="27"/>
          <w:rtl/>
        </w:rPr>
        <w:t>سناد عن الوش</w:t>
      </w:r>
      <w:r w:rsidRPr="006571AC">
        <w:rPr>
          <w:rFonts w:hint="cs"/>
          <w:sz w:val="27"/>
          <w:rtl/>
        </w:rPr>
        <w:t>ّ</w:t>
      </w:r>
      <w:r w:rsidRPr="006571AC">
        <w:rPr>
          <w:sz w:val="27"/>
          <w:rtl/>
        </w:rPr>
        <w:t xml:space="preserve">اء، </w:t>
      </w:r>
      <w:r w:rsidRPr="006571AC">
        <w:rPr>
          <w:rFonts w:hint="cs"/>
          <w:b/>
          <w:bCs/>
          <w:sz w:val="27"/>
          <w:rtl/>
        </w:rPr>
        <w:t>و</w:t>
      </w:r>
      <w:r w:rsidRPr="006571AC">
        <w:rPr>
          <w:b/>
          <w:bCs/>
          <w:sz w:val="27"/>
          <w:rtl/>
        </w:rPr>
        <w:t>عن علي</w:t>
      </w:r>
      <w:r w:rsidRPr="006571AC">
        <w:rPr>
          <w:rFonts w:hint="cs"/>
          <w:b/>
          <w:bCs/>
          <w:sz w:val="27"/>
          <w:rtl/>
        </w:rPr>
        <w:t>ّ</w:t>
      </w:r>
      <w:r w:rsidRPr="006571AC">
        <w:rPr>
          <w:b/>
          <w:bCs/>
          <w:sz w:val="27"/>
          <w:rtl/>
        </w:rPr>
        <w:t xml:space="preserve"> بن محم</w:t>
      </w:r>
      <w:r w:rsidRPr="006571AC">
        <w:rPr>
          <w:rFonts w:hint="cs"/>
          <w:b/>
          <w:bCs/>
          <w:sz w:val="27"/>
          <w:rtl/>
        </w:rPr>
        <w:t>ّ</w:t>
      </w:r>
      <w:r w:rsidRPr="006571AC">
        <w:rPr>
          <w:b/>
          <w:bCs/>
          <w:sz w:val="27"/>
          <w:rtl/>
        </w:rPr>
        <w:t>د، عن صالح بن أبي حم</w:t>
      </w:r>
      <w:r w:rsidRPr="006571AC">
        <w:rPr>
          <w:rFonts w:hint="cs"/>
          <w:b/>
          <w:bCs/>
          <w:sz w:val="27"/>
          <w:rtl/>
        </w:rPr>
        <w:t>ّ</w:t>
      </w:r>
      <w:r w:rsidRPr="006571AC">
        <w:rPr>
          <w:b/>
          <w:bCs/>
          <w:sz w:val="27"/>
          <w:rtl/>
        </w:rPr>
        <w:t>اد جميعا</w:t>
      </w:r>
      <w:r w:rsidRPr="006571AC">
        <w:rPr>
          <w:rFonts w:hint="cs"/>
          <w:b/>
          <w:bCs/>
          <w:sz w:val="27"/>
          <w:rtl/>
        </w:rPr>
        <w:t>ً،</w:t>
      </w:r>
      <w:r w:rsidRPr="006571AC">
        <w:rPr>
          <w:b/>
          <w:bCs/>
          <w:sz w:val="27"/>
          <w:rtl/>
        </w:rPr>
        <w:t xml:space="preserve"> عن الوش</w:t>
      </w:r>
      <w:r w:rsidRPr="006571AC">
        <w:rPr>
          <w:rFonts w:hint="cs"/>
          <w:b/>
          <w:bCs/>
          <w:sz w:val="27"/>
          <w:rtl/>
        </w:rPr>
        <w:t>ّ</w:t>
      </w:r>
      <w:r w:rsidRPr="006571AC">
        <w:rPr>
          <w:b/>
          <w:bCs/>
          <w:sz w:val="27"/>
          <w:rtl/>
        </w:rPr>
        <w:t>اء، عن أحمد بن عائذ، عن أبي خديجة</w:t>
      </w:r>
      <w:r w:rsidRPr="006571AC">
        <w:rPr>
          <w:sz w:val="27"/>
          <w:rtl/>
        </w:rPr>
        <w:t>، عن أب</w:t>
      </w:r>
      <w:r w:rsidRPr="006571AC">
        <w:rPr>
          <w:rFonts w:hint="cs"/>
          <w:sz w:val="27"/>
          <w:rtl/>
        </w:rPr>
        <w:t>ي</w:t>
      </w:r>
      <w:r w:rsidRPr="006571AC">
        <w:rPr>
          <w:sz w:val="27"/>
          <w:rtl/>
        </w:rPr>
        <w:t xml:space="preserve"> عبد الله</w:t>
      </w:r>
      <w:r w:rsidRPr="006571AC">
        <w:rPr>
          <w:rFonts w:ascii="Mosawi" w:hAnsi="Mosawi" w:cs="Mosawi"/>
          <w:sz w:val="22"/>
          <w:szCs w:val="22"/>
          <w:rtl/>
        </w:rPr>
        <w:t>×</w:t>
      </w:r>
      <w:r w:rsidRPr="006571AC">
        <w:rPr>
          <w:sz w:val="27"/>
          <w:rtl/>
        </w:rPr>
        <w:t xml:space="preserve"> قال: ليس من بيت فيه حمام</w:t>
      </w:r>
      <w:r w:rsidR="001A0C0A" w:rsidRPr="006571AC">
        <w:rPr>
          <w:rFonts w:hint="cs"/>
          <w:sz w:val="27"/>
          <w:rtl/>
        </w:rPr>
        <w:t>ٌ</w:t>
      </w:r>
      <w:r w:rsidRPr="006571AC">
        <w:rPr>
          <w:sz w:val="27"/>
          <w:rtl/>
        </w:rPr>
        <w:t xml:space="preserve"> إلا</w:t>
      </w:r>
      <w:r w:rsidRPr="006571AC">
        <w:rPr>
          <w:rFonts w:hint="cs"/>
          <w:sz w:val="27"/>
          <w:rtl/>
        </w:rPr>
        <w:t>ّ</w:t>
      </w:r>
      <w:r w:rsidRPr="006571AC">
        <w:rPr>
          <w:sz w:val="27"/>
          <w:rtl/>
        </w:rPr>
        <w:t xml:space="preserve"> لم ي</w:t>
      </w:r>
      <w:r w:rsidRPr="006571AC">
        <w:rPr>
          <w:rFonts w:hint="cs"/>
          <w:sz w:val="27"/>
          <w:rtl/>
        </w:rPr>
        <w:t>ُ</w:t>
      </w:r>
      <w:r w:rsidRPr="006571AC">
        <w:rPr>
          <w:sz w:val="27"/>
          <w:rtl/>
        </w:rPr>
        <w:t>ص</w:t>
      </w:r>
      <w:r w:rsidR="001A0C0A" w:rsidRPr="006571AC">
        <w:rPr>
          <w:rFonts w:hint="cs"/>
          <w:sz w:val="27"/>
          <w:rtl/>
        </w:rPr>
        <w:t>ِ</w:t>
      </w:r>
      <w:r w:rsidRPr="006571AC">
        <w:rPr>
          <w:sz w:val="27"/>
          <w:rtl/>
        </w:rPr>
        <w:t>ب</w:t>
      </w:r>
      <w:r w:rsidR="001A0C0A" w:rsidRPr="006571AC">
        <w:rPr>
          <w:rFonts w:hint="cs"/>
          <w:sz w:val="27"/>
          <w:rtl/>
        </w:rPr>
        <w:t>ْ</w:t>
      </w:r>
      <w:r w:rsidRPr="006571AC">
        <w:rPr>
          <w:sz w:val="27"/>
          <w:rtl/>
        </w:rPr>
        <w:t xml:space="preserve"> أهل ذلك البيت آفة</w:t>
      </w:r>
      <w:r w:rsidRPr="006571AC">
        <w:rPr>
          <w:rFonts w:hint="cs"/>
          <w:sz w:val="27"/>
          <w:rtl/>
        </w:rPr>
        <w:t>ٌ</w:t>
      </w:r>
      <w:r w:rsidRPr="006571AC">
        <w:rPr>
          <w:sz w:val="27"/>
          <w:rtl/>
        </w:rPr>
        <w:t xml:space="preserve"> من الجن</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40"/>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ومرادُه</w:t>
      </w:r>
      <w:r w:rsidRPr="006571AC">
        <w:rPr>
          <w:rFonts w:ascii="Mosawi" w:hAnsi="Mosawi" w:cs="Mosawi"/>
          <w:sz w:val="22"/>
          <w:szCs w:val="22"/>
          <w:rtl/>
        </w:rPr>
        <w:t>&amp;</w:t>
      </w:r>
      <w:r w:rsidRPr="006571AC">
        <w:rPr>
          <w:rFonts w:hint="cs"/>
          <w:sz w:val="27"/>
          <w:rtl/>
        </w:rPr>
        <w:t xml:space="preserve"> من قوله </w:t>
      </w:r>
      <w:r w:rsidRPr="006571AC">
        <w:rPr>
          <w:rFonts w:hint="cs"/>
          <w:sz w:val="24"/>
          <w:szCs w:val="24"/>
          <w:rtl/>
        </w:rPr>
        <w:t>«</w:t>
      </w:r>
      <w:r w:rsidRPr="006571AC">
        <w:rPr>
          <w:rFonts w:hint="cs"/>
          <w:sz w:val="27"/>
          <w:rtl/>
        </w:rPr>
        <w:t>وبالإسناد عن الوشّاء</w:t>
      </w:r>
      <w:r w:rsidRPr="006571AC">
        <w:rPr>
          <w:rFonts w:hint="cs"/>
          <w:sz w:val="24"/>
          <w:szCs w:val="24"/>
          <w:rtl/>
        </w:rPr>
        <w:t>»</w:t>
      </w:r>
      <w:r w:rsidRPr="006571AC">
        <w:rPr>
          <w:rFonts w:hint="cs"/>
          <w:sz w:val="27"/>
          <w:rtl/>
        </w:rPr>
        <w:t xml:space="preserve"> ما ذكره في الحديث 6 من نفس الباب، حيث قال: </w:t>
      </w:r>
      <w:r w:rsidRPr="006571AC">
        <w:rPr>
          <w:rFonts w:hint="cs"/>
          <w:sz w:val="24"/>
          <w:szCs w:val="24"/>
          <w:rtl/>
        </w:rPr>
        <w:t>«</w:t>
      </w:r>
      <w:r w:rsidRPr="006571AC">
        <w:rPr>
          <w:b/>
          <w:bCs/>
          <w:sz w:val="27"/>
          <w:rtl/>
        </w:rPr>
        <w:t>و</w:t>
      </w:r>
      <w:r w:rsidRPr="006571AC">
        <w:rPr>
          <w:rFonts w:hint="cs"/>
          <w:b/>
          <w:bCs/>
          <w:sz w:val="27"/>
          <w:rtl/>
        </w:rPr>
        <w:t xml:space="preserve">[محمّد بن يعقوب] </w:t>
      </w:r>
      <w:r w:rsidRPr="006571AC">
        <w:rPr>
          <w:b/>
          <w:bCs/>
          <w:sz w:val="27"/>
          <w:rtl/>
        </w:rPr>
        <w:t>عن الحسين بن محم</w:t>
      </w:r>
      <w:r w:rsidRPr="006571AC">
        <w:rPr>
          <w:rFonts w:hint="cs"/>
          <w:b/>
          <w:bCs/>
          <w:sz w:val="27"/>
          <w:rtl/>
        </w:rPr>
        <w:t>ّ</w:t>
      </w:r>
      <w:r w:rsidRPr="006571AC">
        <w:rPr>
          <w:b/>
          <w:bCs/>
          <w:sz w:val="27"/>
          <w:rtl/>
        </w:rPr>
        <w:t>د، عن معل</w:t>
      </w:r>
      <w:r w:rsidRPr="006571AC">
        <w:rPr>
          <w:rFonts w:hint="cs"/>
          <w:b/>
          <w:bCs/>
          <w:sz w:val="27"/>
          <w:rtl/>
        </w:rPr>
        <w:t>ّ</w:t>
      </w:r>
      <w:r w:rsidRPr="006571AC">
        <w:rPr>
          <w:b/>
          <w:bCs/>
          <w:sz w:val="27"/>
          <w:rtl/>
        </w:rPr>
        <w:t>ى بن محم</w:t>
      </w:r>
      <w:r w:rsidRPr="006571AC">
        <w:rPr>
          <w:rFonts w:hint="cs"/>
          <w:b/>
          <w:bCs/>
          <w:sz w:val="27"/>
          <w:rtl/>
        </w:rPr>
        <w:t>ّ</w:t>
      </w:r>
      <w:r w:rsidRPr="006571AC">
        <w:rPr>
          <w:b/>
          <w:bCs/>
          <w:sz w:val="27"/>
          <w:rtl/>
        </w:rPr>
        <w:t>د، عن الوش</w:t>
      </w:r>
      <w:r w:rsidRPr="006571AC">
        <w:rPr>
          <w:rFonts w:hint="cs"/>
          <w:b/>
          <w:bCs/>
          <w:sz w:val="27"/>
          <w:rtl/>
        </w:rPr>
        <w:t>ّ</w:t>
      </w:r>
      <w:r w:rsidRPr="006571AC">
        <w:rPr>
          <w:b/>
          <w:bCs/>
          <w:sz w:val="27"/>
          <w:rtl/>
        </w:rPr>
        <w:t>ا</w:t>
      </w:r>
      <w:r w:rsidRPr="006571AC">
        <w:rPr>
          <w:rFonts w:hint="cs"/>
          <w:b/>
          <w:bCs/>
          <w:sz w:val="27"/>
          <w:rtl/>
        </w:rPr>
        <w:t>ء</w:t>
      </w:r>
      <w:r w:rsidRPr="006571AC">
        <w:rPr>
          <w:sz w:val="27"/>
          <w:rtl/>
        </w:rPr>
        <w:t>، عن حم</w:t>
      </w:r>
      <w:r w:rsidRPr="006571AC">
        <w:rPr>
          <w:rFonts w:hint="cs"/>
          <w:sz w:val="27"/>
          <w:rtl/>
        </w:rPr>
        <w:t>ّ</w:t>
      </w:r>
      <w:r w:rsidRPr="006571AC">
        <w:rPr>
          <w:sz w:val="27"/>
          <w:rtl/>
        </w:rPr>
        <w:t>اد بن عثمان، عن عبد ال</w:t>
      </w:r>
      <w:r w:rsidRPr="006571AC">
        <w:rPr>
          <w:rFonts w:hint="cs"/>
          <w:sz w:val="27"/>
          <w:rtl/>
        </w:rPr>
        <w:t>أ</w:t>
      </w:r>
      <w:r w:rsidRPr="006571AC">
        <w:rPr>
          <w:sz w:val="27"/>
          <w:rtl/>
        </w:rPr>
        <w:t>على مولى آل سام قال: سمعت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rFonts w:hint="cs"/>
          <w:sz w:val="27"/>
          <w:rtl/>
        </w:rPr>
        <w:t xml:space="preserve"> </w:t>
      </w:r>
      <w:r w:rsidRPr="006571AC">
        <w:rPr>
          <w:sz w:val="27"/>
          <w:rtl/>
        </w:rPr>
        <w:t>يقول: إن</w:t>
      </w:r>
      <w:r w:rsidRPr="006571AC">
        <w:rPr>
          <w:rFonts w:hint="cs"/>
          <w:sz w:val="27"/>
          <w:rtl/>
        </w:rPr>
        <w:t>ّ</w:t>
      </w:r>
      <w:r w:rsidRPr="006571AC">
        <w:rPr>
          <w:sz w:val="27"/>
          <w:rtl/>
        </w:rPr>
        <w:t xml:space="preserve"> أو</w:t>
      </w:r>
      <w:r w:rsidRPr="006571AC">
        <w:rPr>
          <w:rFonts w:hint="cs"/>
          <w:sz w:val="27"/>
          <w:rtl/>
        </w:rPr>
        <w:t>ّ</w:t>
      </w:r>
      <w:r w:rsidRPr="006571AC">
        <w:rPr>
          <w:sz w:val="27"/>
          <w:rtl/>
        </w:rPr>
        <w:t>ل</w:t>
      </w:r>
      <w:r w:rsidR="001A0C0A" w:rsidRPr="006571AC">
        <w:rPr>
          <w:rFonts w:hint="cs"/>
          <w:sz w:val="27"/>
          <w:rtl/>
        </w:rPr>
        <w:t>َ</w:t>
      </w:r>
      <w:r w:rsidRPr="006571AC">
        <w:rPr>
          <w:sz w:val="27"/>
          <w:rtl/>
        </w:rPr>
        <w:t xml:space="preserve"> حمام</w:t>
      </w:r>
      <w:r w:rsidR="001A0C0A" w:rsidRPr="006571AC">
        <w:rPr>
          <w:rFonts w:hint="cs"/>
          <w:sz w:val="27"/>
          <w:rtl/>
        </w:rPr>
        <w:t>ٍ</w:t>
      </w:r>
      <w:r w:rsidRPr="006571AC">
        <w:rPr>
          <w:sz w:val="27"/>
          <w:rtl/>
        </w:rPr>
        <w:t xml:space="preserve"> كان بمك</w:t>
      </w:r>
      <w:r w:rsidRPr="006571AC">
        <w:rPr>
          <w:rFonts w:hint="cs"/>
          <w:sz w:val="27"/>
          <w:rtl/>
        </w:rPr>
        <w:t>ّ</w:t>
      </w:r>
      <w:r w:rsidRPr="006571AC">
        <w:rPr>
          <w:sz w:val="27"/>
          <w:rtl/>
        </w:rPr>
        <w:t>ة حمام</w:t>
      </w:r>
      <w:r w:rsidR="001A0C0A" w:rsidRPr="006571AC">
        <w:rPr>
          <w:rFonts w:hint="cs"/>
          <w:sz w:val="27"/>
          <w:rtl/>
        </w:rPr>
        <w:t>ٌ</w:t>
      </w:r>
      <w:r w:rsidRPr="006571AC">
        <w:rPr>
          <w:sz w:val="27"/>
          <w:rtl/>
        </w:rPr>
        <w:t xml:space="preserve"> كان ل</w:t>
      </w:r>
      <w:r w:rsidRPr="006571AC">
        <w:rPr>
          <w:rFonts w:hint="cs"/>
          <w:sz w:val="27"/>
          <w:rtl/>
        </w:rPr>
        <w:t>إ</w:t>
      </w:r>
      <w:r w:rsidRPr="006571AC">
        <w:rPr>
          <w:sz w:val="27"/>
          <w:rtl/>
        </w:rPr>
        <w:t>سماعيل</w:t>
      </w:r>
      <w:r w:rsidRPr="006571AC">
        <w:rPr>
          <w:rFonts w:hint="cs"/>
          <w:sz w:val="27"/>
          <w:rtl/>
        </w:rPr>
        <w:t>(صلّى الله عليه)</w:t>
      </w:r>
      <w:r w:rsidRPr="006571AC">
        <w:rPr>
          <w:rFonts w:hint="cs"/>
          <w:sz w:val="24"/>
          <w:szCs w:val="24"/>
          <w:rtl/>
        </w:rPr>
        <w:t>»</w:t>
      </w:r>
      <w:r w:rsidRPr="006571AC">
        <w:rPr>
          <w:sz w:val="27"/>
          <w:vertAlign w:val="superscript"/>
          <w:rtl/>
        </w:rPr>
        <w:t>(</w:t>
      </w:r>
      <w:r w:rsidRPr="006571AC">
        <w:rPr>
          <w:rStyle w:val="ac"/>
          <w:sz w:val="27"/>
          <w:rtl/>
        </w:rPr>
        <w:endnoteReference w:id="841"/>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إذن فالسندُ المشار إليه بقوله: </w:t>
      </w:r>
      <w:r w:rsidRPr="006571AC">
        <w:rPr>
          <w:rFonts w:hint="cs"/>
          <w:sz w:val="24"/>
          <w:szCs w:val="24"/>
          <w:rtl/>
        </w:rPr>
        <w:t>«</w:t>
      </w:r>
      <w:r w:rsidRPr="006571AC">
        <w:rPr>
          <w:rFonts w:hint="cs"/>
          <w:sz w:val="27"/>
          <w:rtl/>
        </w:rPr>
        <w:t>وبالإسناد الثاني</w:t>
      </w:r>
      <w:r w:rsidRPr="006571AC">
        <w:rPr>
          <w:rFonts w:hint="cs"/>
          <w:sz w:val="24"/>
          <w:szCs w:val="24"/>
          <w:rtl/>
        </w:rPr>
        <w:t>»</w:t>
      </w:r>
      <w:r w:rsidRPr="006571AC">
        <w:rPr>
          <w:rFonts w:hint="cs"/>
          <w:sz w:val="27"/>
          <w:rtl/>
        </w:rPr>
        <w:t xml:space="preserve"> هو: محمّد بن يعقوب، </w:t>
      </w:r>
      <w:r w:rsidRPr="006571AC">
        <w:rPr>
          <w:sz w:val="27"/>
          <w:rtl/>
        </w:rPr>
        <w:t>عن علي</w:t>
      </w:r>
      <w:r w:rsidRPr="006571AC">
        <w:rPr>
          <w:rFonts w:hint="cs"/>
          <w:sz w:val="27"/>
          <w:rtl/>
        </w:rPr>
        <w:t>ّ</w:t>
      </w:r>
      <w:r w:rsidRPr="006571AC">
        <w:rPr>
          <w:sz w:val="27"/>
          <w:rtl/>
        </w:rPr>
        <w:t xml:space="preserve"> بن محم</w:t>
      </w:r>
      <w:r w:rsidRPr="006571AC">
        <w:rPr>
          <w:rFonts w:hint="cs"/>
          <w:sz w:val="27"/>
          <w:rtl/>
        </w:rPr>
        <w:t>ّ</w:t>
      </w:r>
      <w:r w:rsidRPr="006571AC">
        <w:rPr>
          <w:sz w:val="27"/>
          <w:rtl/>
        </w:rPr>
        <w:t>د، عن صالح بن أبي حم</w:t>
      </w:r>
      <w:r w:rsidRPr="006571AC">
        <w:rPr>
          <w:rFonts w:hint="cs"/>
          <w:sz w:val="27"/>
          <w:rtl/>
        </w:rPr>
        <w:t>ّ</w:t>
      </w:r>
      <w:r w:rsidRPr="006571AC">
        <w:rPr>
          <w:sz w:val="27"/>
          <w:rtl/>
        </w:rPr>
        <w:t>ا</w:t>
      </w:r>
      <w:r w:rsidRPr="006571AC">
        <w:rPr>
          <w:rFonts w:hint="cs"/>
          <w:sz w:val="27"/>
          <w:rtl/>
        </w:rPr>
        <w:t xml:space="preserve">د، عن الوشّاء، </w:t>
      </w:r>
      <w:r w:rsidRPr="006571AC">
        <w:rPr>
          <w:sz w:val="27"/>
          <w:rtl/>
        </w:rPr>
        <w:t>عن أحمد بن عائذ، عن أبي خديجة</w:t>
      </w:r>
      <w:r w:rsidRPr="006571AC">
        <w:rPr>
          <w:rFonts w:hint="cs"/>
          <w:sz w:val="27"/>
          <w:rtl/>
        </w:rPr>
        <w:t xml:space="preserve"> </w:t>
      </w:r>
      <w:r w:rsidRPr="006571AC">
        <w:rPr>
          <w:sz w:val="27"/>
          <w:rtl/>
        </w:rPr>
        <w:t>قال: سمعت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sz w:val="27"/>
          <w:rtl/>
        </w:rPr>
        <w:t xml:space="preserve"> يقول: هذه الح</w:t>
      </w:r>
      <w:r w:rsidRPr="006571AC">
        <w:rPr>
          <w:rFonts w:hint="cs"/>
          <w:sz w:val="27"/>
          <w:rtl/>
        </w:rPr>
        <w:t>َ</w:t>
      </w:r>
      <w:r w:rsidRPr="006571AC">
        <w:rPr>
          <w:sz w:val="27"/>
          <w:rtl/>
        </w:rPr>
        <w:t>م</w:t>
      </w:r>
      <w:r w:rsidRPr="006571AC">
        <w:rPr>
          <w:rFonts w:hint="cs"/>
          <w:sz w:val="27"/>
          <w:rtl/>
        </w:rPr>
        <w:t>َ</w:t>
      </w:r>
      <w:r w:rsidRPr="006571AC">
        <w:rPr>
          <w:sz w:val="27"/>
          <w:rtl/>
        </w:rPr>
        <w:t>ام</w:t>
      </w:r>
      <w:r w:rsidRPr="006571AC">
        <w:rPr>
          <w:rFonts w:hint="cs"/>
          <w:sz w:val="27"/>
          <w:rtl/>
        </w:rPr>
        <w:t>...</w:t>
      </w:r>
      <w:r w:rsidRPr="006571AC">
        <w:rPr>
          <w:sz w:val="27"/>
          <w:vertAlign w:val="superscript"/>
          <w:rtl/>
        </w:rPr>
        <w:t>(</w:t>
      </w:r>
      <w:r w:rsidRPr="006571AC">
        <w:rPr>
          <w:rStyle w:val="ac"/>
          <w:sz w:val="27"/>
          <w:rtl/>
        </w:rPr>
        <w:endnoteReference w:id="842"/>
      </w:r>
      <w:r w:rsidRPr="006571AC">
        <w:rPr>
          <w:sz w:val="27"/>
          <w:vertAlign w:val="superscript"/>
          <w:rtl/>
        </w:rPr>
        <w:t>)</w:t>
      </w:r>
      <w:r w:rsidRPr="006571AC">
        <w:rPr>
          <w:rFonts w:hint="cs"/>
          <w:sz w:val="27"/>
          <w:rtl/>
        </w:rPr>
        <w:t xml:space="preserve">. </w:t>
      </w:r>
    </w:p>
    <w:p w:rsidR="008A3F20" w:rsidRPr="006571AC" w:rsidRDefault="008A3F20" w:rsidP="00B23B9B">
      <w:pPr>
        <w:spacing w:line="440" w:lineRule="exact"/>
        <w:rPr>
          <w:sz w:val="27"/>
          <w:rtl/>
        </w:rPr>
      </w:pPr>
    </w:p>
    <w:p w:rsidR="008A3F20" w:rsidRPr="006571AC" w:rsidRDefault="008A3F20" w:rsidP="00FB4D6C">
      <w:pPr>
        <w:pStyle w:val="31"/>
        <w:rPr>
          <w:color w:val="auto"/>
          <w:rtl/>
        </w:rPr>
      </w:pPr>
      <w:bookmarkStart w:id="527" w:name="_Toc171512733"/>
      <w:bookmarkStart w:id="528" w:name="_Toc114164899"/>
      <w:r w:rsidRPr="006571AC">
        <w:rPr>
          <w:rFonts w:hint="cs"/>
          <w:color w:val="auto"/>
          <w:rtl/>
        </w:rPr>
        <w:t>9ـ حذف أو اختصار أسماء بعض الأئمّ</w:t>
      </w:r>
      <w:bookmarkEnd w:id="527"/>
      <w:r w:rsidR="00EB5E38" w:rsidRPr="006571AC">
        <w:rPr>
          <w:rFonts w:hint="cs"/>
          <w:color w:val="auto"/>
          <w:rtl/>
        </w:rPr>
        <w:t>ة</w:t>
      </w:r>
      <w:r w:rsidR="00FB4D6C" w:rsidRPr="006571AC">
        <w:rPr>
          <w:rFonts w:ascii="Mosawi" w:hAnsi="Mosawi" w:cs="Mosawi"/>
          <w:color w:val="auto"/>
          <w:sz w:val="22"/>
          <w:szCs w:val="22"/>
          <w:rtl/>
        </w:rPr>
        <w:t>^</w:t>
      </w:r>
      <w:bookmarkEnd w:id="528"/>
      <w:r w:rsidRPr="006571AC">
        <w:rPr>
          <w:rFonts w:hint="cs"/>
          <w:color w:val="auto"/>
          <w:rtl/>
        </w:rPr>
        <w:t xml:space="preserve"> </w:t>
      </w:r>
    </w:p>
    <w:p w:rsidR="008A3F20" w:rsidRPr="006571AC" w:rsidRDefault="008A3F20" w:rsidP="00FB4D6C">
      <w:pPr>
        <w:pStyle w:val="31"/>
        <w:rPr>
          <w:color w:val="auto"/>
          <w:rtl/>
        </w:rPr>
      </w:pPr>
      <w:bookmarkStart w:id="529" w:name="_Toc171512734"/>
      <w:bookmarkStart w:id="530" w:name="_Toc114164900"/>
      <w:r w:rsidRPr="006571AC">
        <w:rPr>
          <w:rFonts w:hint="cs"/>
          <w:color w:val="auto"/>
          <w:rtl/>
        </w:rPr>
        <w:t>حذف أسماء بعض الأئمّة</w:t>
      </w:r>
      <w:bookmarkEnd w:id="529"/>
      <w:r w:rsidR="00FB4D6C" w:rsidRPr="006571AC">
        <w:rPr>
          <w:rFonts w:ascii="Mosawi" w:hAnsi="Mosawi" w:cs="Mosawi"/>
          <w:color w:val="auto"/>
          <w:sz w:val="22"/>
          <w:szCs w:val="22"/>
          <w:rtl/>
        </w:rPr>
        <w:t>^</w:t>
      </w:r>
      <w:bookmarkEnd w:id="530"/>
    </w:p>
    <w:p w:rsidR="008A3F20" w:rsidRPr="006571AC" w:rsidRDefault="008A3F20" w:rsidP="000C6F2A">
      <w:pPr>
        <w:rPr>
          <w:sz w:val="27"/>
          <w:rtl/>
        </w:rPr>
      </w:pPr>
      <w:r w:rsidRPr="006571AC">
        <w:rPr>
          <w:rFonts w:hint="cs"/>
          <w:b/>
          <w:bCs/>
          <w:sz w:val="27"/>
          <w:rtl/>
        </w:rPr>
        <w:t>يعمد الشيخ الحُرّ</w:t>
      </w:r>
      <w:r w:rsidRPr="006571AC">
        <w:rPr>
          <w:rFonts w:ascii="Mosawi" w:hAnsi="Mosawi" w:cs="Mosawi"/>
          <w:b/>
          <w:bCs/>
          <w:sz w:val="22"/>
          <w:szCs w:val="22"/>
          <w:rtl/>
        </w:rPr>
        <w:t>&amp;</w:t>
      </w:r>
      <w:r w:rsidRPr="006571AC">
        <w:rPr>
          <w:rFonts w:hint="cs"/>
          <w:b/>
          <w:bCs/>
          <w:sz w:val="27"/>
          <w:rtl/>
        </w:rPr>
        <w:t xml:space="preserve"> في بعض الأحاديث إلى حذف أسماء بعض الأئمّة</w:t>
      </w:r>
      <w:r w:rsidRPr="006571AC">
        <w:rPr>
          <w:rFonts w:ascii="Mosawi" w:hAnsi="Mosawi" w:cs="Mosawi"/>
          <w:b/>
          <w:bCs/>
          <w:sz w:val="22"/>
          <w:szCs w:val="22"/>
          <w:rtl/>
        </w:rPr>
        <w:t>^</w:t>
      </w:r>
      <w:r w:rsidRPr="006571AC">
        <w:rPr>
          <w:rFonts w:hint="cs"/>
          <w:b/>
          <w:bCs/>
          <w:sz w:val="27"/>
          <w:rtl/>
        </w:rPr>
        <w:t xml:space="preserve"> من السند</w:t>
      </w:r>
      <w:r w:rsidRPr="006571AC">
        <w:rPr>
          <w:rFonts w:hint="cs"/>
          <w:sz w:val="27"/>
          <w:rtl/>
        </w:rPr>
        <w:t xml:space="preserve">، ومن ذلك: </w:t>
      </w:r>
    </w:p>
    <w:p w:rsidR="008A3F20" w:rsidRPr="006571AC" w:rsidRDefault="008A3F20" w:rsidP="000C6F2A">
      <w:pPr>
        <w:rPr>
          <w:sz w:val="27"/>
          <w:rtl/>
        </w:rPr>
      </w:pPr>
      <w:r w:rsidRPr="006571AC">
        <w:rPr>
          <w:rFonts w:hint="cs"/>
          <w:sz w:val="27"/>
          <w:rtl/>
        </w:rPr>
        <w:t xml:space="preserve">* ما في الباب 26 من أبواب جهاد النفس وما يناسبه، ح 12، حيث قال: </w:t>
      </w:r>
      <w:r w:rsidRPr="006571AC">
        <w:rPr>
          <w:rFonts w:hint="cs"/>
          <w:sz w:val="24"/>
          <w:szCs w:val="24"/>
          <w:rtl/>
        </w:rPr>
        <w:t>«</w:t>
      </w:r>
      <w:r w:rsidRPr="006571AC">
        <w:rPr>
          <w:sz w:val="27"/>
          <w:rtl/>
        </w:rPr>
        <w:t>و</w:t>
      </w:r>
      <w:r w:rsidRPr="006571AC">
        <w:rPr>
          <w:rFonts w:hint="cs"/>
          <w:sz w:val="27"/>
          <w:rtl/>
        </w:rPr>
        <w:t xml:space="preserve">[الصدوق في </w:t>
      </w:r>
      <w:r w:rsidRPr="006571AC">
        <w:rPr>
          <w:rFonts w:hint="cs"/>
          <w:sz w:val="24"/>
          <w:szCs w:val="24"/>
          <w:rtl/>
        </w:rPr>
        <w:t>«</w:t>
      </w:r>
      <w:r w:rsidRPr="006571AC">
        <w:rPr>
          <w:rFonts w:hint="cs"/>
          <w:sz w:val="27"/>
          <w:rtl/>
        </w:rPr>
        <w:t>الخصال</w:t>
      </w:r>
      <w:r w:rsidRPr="006571AC">
        <w:rPr>
          <w:rFonts w:hint="cs"/>
          <w:sz w:val="24"/>
          <w:szCs w:val="24"/>
          <w:rtl/>
        </w:rPr>
        <w:t>»</w:t>
      </w:r>
      <w:r w:rsidRPr="006571AC">
        <w:rPr>
          <w:rFonts w:hint="cs"/>
          <w:sz w:val="27"/>
          <w:rtl/>
        </w:rPr>
        <w:t xml:space="preserve">] </w:t>
      </w:r>
      <w:r w:rsidRPr="006571AC">
        <w:rPr>
          <w:sz w:val="27"/>
          <w:rtl/>
        </w:rPr>
        <w:t>عن سليمان بن أحمد بن أي</w:t>
      </w:r>
      <w:r w:rsidRPr="006571AC">
        <w:rPr>
          <w:rFonts w:hint="cs"/>
          <w:sz w:val="27"/>
          <w:rtl/>
        </w:rPr>
        <w:t>ّ</w:t>
      </w:r>
      <w:r w:rsidRPr="006571AC">
        <w:rPr>
          <w:sz w:val="27"/>
          <w:rtl/>
        </w:rPr>
        <w:t>وب، عن عبد الوه</w:t>
      </w:r>
      <w:r w:rsidRPr="006571AC">
        <w:rPr>
          <w:rFonts w:hint="cs"/>
          <w:sz w:val="27"/>
          <w:rtl/>
        </w:rPr>
        <w:t>ّ</w:t>
      </w:r>
      <w:r w:rsidRPr="006571AC">
        <w:rPr>
          <w:sz w:val="27"/>
          <w:rtl/>
        </w:rPr>
        <w:t>اب بن خراجة، عن أبي كريب، عن علي</w:t>
      </w:r>
      <w:r w:rsidRPr="006571AC">
        <w:rPr>
          <w:rFonts w:hint="cs"/>
          <w:sz w:val="27"/>
          <w:rtl/>
        </w:rPr>
        <w:t>ّ</w:t>
      </w:r>
      <w:r w:rsidRPr="006571AC">
        <w:rPr>
          <w:sz w:val="27"/>
          <w:rtl/>
        </w:rPr>
        <w:t xml:space="preserve"> بن حفص العبسي</w:t>
      </w:r>
      <w:r w:rsidRPr="006571AC">
        <w:rPr>
          <w:rFonts w:hint="cs"/>
          <w:sz w:val="27"/>
          <w:rtl/>
        </w:rPr>
        <w:t>ّ</w:t>
      </w:r>
      <w:r w:rsidRPr="006571AC">
        <w:rPr>
          <w:sz w:val="27"/>
          <w:rtl/>
        </w:rPr>
        <w:t>، عن الحسن بن الحسين العلوي</w:t>
      </w:r>
      <w:r w:rsidRPr="006571AC">
        <w:rPr>
          <w:rFonts w:hint="cs"/>
          <w:sz w:val="27"/>
          <w:rtl/>
        </w:rPr>
        <w:t>ّ</w:t>
      </w:r>
      <w:r w:rsidRPr="006571AC">
        <w:rPr>
          <w:sz w:val="27"/>
          <w:rtl/>
        </w:rPr>
        <w:t xml:space="preserve">، عن أبيه الحسين بن يزيد، </w:t>
      </w:r>
      <w:r w:rsidRPr="006571AC">
        <w:rPr>
          <w:b/>
          <w:bCs/>
          <w:sz w:val="27"/>
          <w:rtl/>
        </w:rPr>
        <w:t>عن جعفر بن محم</w:t>
      </w:r>
      <w:r w:rsidRPr="006571AC">
        <w:rPr>
          <w:rFonts w:hint="cs"/>
          <w:b/>
          <w:bCs/>
          <w:sz w:val="27"/>
          <w:rtl/>
        </w:rPr>
        <w:t>ّ</w:t>
      </w:r>
      <w:r w:rsidRPr="006571AC">
        <w:rPr>
          <w:b/>
          <w:bCs/>
          <w:sz w:val="27"/>
          <w:rtl/>
        </w:rPr>
        <w:t>د، عن آبائه، عن علي</w:t>
      </w:r>
      <w:r w:rsidRPr="006571AC">
        <w:rPr>
          <w:rFonts w:hint="cs"/>
          <w:b/>
          <w:bCs/>
          <w:sz w:val="27"/>
          <w:rtl/>
        </w:rPr>
        <w:t>ّ</w:t>
      </w:r>
      <w:r w:rsidR="009D1E28" w:rsidRPr="006571AC">
        <w:rPr>
          <w:rFonts w:hint="cs"/>
          <w:b/>
          <w:bCs/>
          <w:sz w:val="27"/>
          <w:rtl/>
        </w:rPr>
        <w:t>ٍ</w:t>
      </w:r>
      <w:r w:rsidRPr="006571AC">
        <w:rPr>
          <w:rFonts w:ascii="Mosawi" w:hAnsi="Mosawi" w:cs="Mosawi"/>
          <w:b/>
          <w:bCs/>
          <w:sz w:val="22"/>
          <w:szCs w:val="22"/>
          <w:rtl/>
        </w:rPr>
        <w:t>^</w:t>
      </w:r>
      <w:r w:rsidRPr="006571AC">
        <w:rPr>
          <w:sz w:val="27"/>
          <w:rtl/>
        </w:rPr>
        <w:t xml:space="preserve"> قال: قال رسول الله</w:t>
      </w:r>
      <w:r w:rsidRPr="006571AC">
        <w:rPr>
          <w:rFonts w:ascii="Mosawi" w:hAnsi="Mosawi" w:cs="Mosawi"/>
          <w:sz w:val="22"/>
          <w:szCs w:val="22"/>
          <w:rtl/>
        </w:rPr>
        <w:t>|</w:t>
      </w:r>
      <w:r w:rsidRPr="006571AC">
        <w:rPr>
          <w:sz w:val="27"/>
          <w:rtl/>
        </w:rPr>
        <w:t>: والذي نفسي بيده ما ج</w:t>
      </w:r>
      <w:r w:rsidR="009D1E28" w:rsidRPr="006571AC">
        <w:rPr>
          <w:rFonts w:hint="cs"/>
          <w:sz w:val="27"/>
          <w:rtl/>
        </w:rPr>
        <w:t>ُ</w:t>
      </w:r>
      <w:r w:rsidRPr="006571AC">
        <w:rPr>
          <w:sz w:val="27"/>
          <w:rtl/>
        </w:rPr>
        <w:t>م</w:t>
      </w:r>
      <w:r w:rsidR="009D1E28" w:rsidRPr="006571AC">
        <w:rPr>
          <w:rFonts w:hint="cs"/>
          <w:sz w:val="27"/>
          <w:rtl/>
        </w:rPr>
        <w:t>ِ</w:t>
      </w:r>
      <w:r w:rsidRPr="006571AC">
        <w:rPr>
          <w:sz w:val="27"/>
          <w:rtl/>
        </w:rPr>
        <w:t>ع</w:t>
      </w:r>
      <w:r w:rsidR="009D1E28" w:rsidRPr="006571AC">
        <w:rPr>
          <w:rFonts w:hint="cs"/>
          <w:sz w:val="27"/>
          <w:rtl/>
        </w:rPr>
        <w:t>َ</w:t>
      </w:r>
      <w:r w:rsidRPr="006571AC">
        <w:rPr>
          <w:sz w:val="27"/>
          <w:rtl/>
        </w:rPr>
        <w:t xml:space="preserve"> ش</w:t>
      </w:r>
      <w:r w:rsidRPr="006571AC">
        <w:rPr>
          <w:rFonts w:hint="cs"/>
          <w:sz w:val="27"/>
          <w:rtl/>
        </w:rPr>
        <w:t>يء</w:t>
      </w:r>
      <w:r w:rsidR="009D1E28" w:rsidRPr="006571AC">
        <w:rPr>
          <w:rFonts w:hint="cs"/>
          <w:sz w:val="27"/>
          <w:rtl/>
        </w:rPr>
        <w:t>ٌ</w:t>
      </w:r>
      <w:r w:rsidRPr="006571AC">
        <w:rPr>
          <w:sz w:val="27"/>
          <w:rtl/>
        </w:rPr>
        <w:t xml:space="preserve"> إلى ش</w:t>
      </w:r>
      <w:r w:rsidRPr="006571AC">
        <w:rPr>
          <w:rFonts w:hint="cs"/>
          <w:sz w:val="27"/>
          <w:rtl/>
        </w:rPr>
        <w:t>يء</w:t>
      </w:r>
      <w:r w:rsidR="009D1E28" w:rsidRPr="006571AC">
        <w:rPr>
          <w:rFonts w:hint="cs"/>
          <w:sz w:val="27"/>
          <w:rtl/>
        </w:rPr>
        <w:t>ٍ</w:t>
      </w:r>
      <w:r w:rsidRPr="006571AC">
        <w:rPr>
          <w:sz w:val="27"/>
          <w:rtl/>
        </w:rPr>
        <w:t xml:space="preserve"> أفضل من حلم</w:t>
      </w:r>
      <w:r w:rsidR="009D1E28" w:rsidRPr="006571AC">
        <w:rPr>
          <w:rFonts w:hint="cs"/>
          <w:sz w:val="27"/>
          <w:rtl/>
        </w:rPr>
        <w:t>ٍ</w:t>
      </w:r>
      <w:r w:rsidRPr="006571AC">
        <w:rPr>
          <w:sz w:val="27"/>
          <w:rtl/>
        </w:rPr>
        <w:t xml:space="preserve"> إلى علم</w:t>
      </w:r>
      <w:r w:rsidR="009D1E28"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43"/>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وبالرجوع إلى </w:t>
      </w:r>
      <w:r w:rsidRPr="006571AC">
        <w:rPr>
          <w:rFonts w:hint="cs"/>
          <w:sz w:val="24"/>
          <w:szCs w:val="24"/>
          <w:rtl/>
        </w:rPr>
        <w:t>«</w:t>
      </w:r>
      <w:r w:rsidRPr="006571AC">
        <w:rPr>
          <w:rFonts w:hint="cs"/>
          <w:sz w:val="27"/>
          <w:rtl/>
        </w:rPr>
        <w:t>الخصال</w:t>
      </w:r>
      <w:r w:rsidRPr="006571AC">
        <w:rPr>
          <w:rFonts w:hint="cs"/>
          <w:sz w:val="24"/>
          <w:szCs w:val="24"/>
          <w:rtl/>
        </w:rPr>
        <w:t>»</w:t>
      </w:r>
      <w:r w:rsidRPr="006571AC">
        <w:rPr>
          <w:rFonts w:hint="cs"/>
          <w:sz w:val="27"/>
          <w:rtl/>
        </w:rPr>
        <w:t xml:space="preserve"> وج</w:t>
      </w:r>
      <w:r w:rsidR="001A0C0A" w:rsidRPr="006571AC">
        <w:rPr>
          <w:rFonts w:hint="cs"/>
          <w:sz w:val="27"/>
          <w:rtl/>
        </w:rPr>
        <w:t>َ</w:t>
      </w:r>
      <w:r w:rsidRPr="006571AC">
        <w:rPr>
          <w:rFonts w:hint="cs"/>
          <w:sz w:val="27"/>
          <w:rtl/>
        </w:rPr>
        <w:t>د</w:t>
      </w:r>
      <w:r w:rsidR="001A0C0A" w:rsidRPr="006571AC">
        <w:rPr>
          <w:rFonts w:hint="cs"/>
          <w:sz w:val="27"/>
          <w:rtl/>
        </w:rPr>
        <w:t>ْ</w:t>
      </w:r>
      <w:r w:rsidRPr="006571AC">
        <w:rPr>
          <w:rFonts w:hint="cs"/>
          <w:sz w:val="27"/>
          <w:rtl/>
        </w:rPr>
        <w:t xml:space="preserve">نا العبارة كما يلي: </w:t>
      </w:r>
      <w:r w:rsidRPr="006571AC">
        <w:rPr>
          <w:rFonts w:hint="cs"/>
          <w:sz w:val="24"/>
          <w:szCs w:val="24"/>
          <w:rtl/>
        </w:rPr>
        <w:t>«</w:t>
      </w:r>
      <w:r w:rsidRPr="006571AC">
        <w:rPr>
          <w:b/>
          <w:bCs/>
          <w:sz w:val="27"/>
          <w:rtl/>
        </w:rPr>
        <w:t>.</w:t>
      </w:r>
      <w:r w:rsidRPr="006571AC">
        <w:rPr>
          <w:rFonts w:hint="cs"/>
          <w:b/>
          <w:bCs/>
          <w:sz w:val="27"/>
          <w:rtl/>
        </w:rPr>
        <w:t>..</w:t>
      </w:r>
      <w:r w:rsidRPr="006571AC">
        <w:rPr>
          <w:b/>
          <w:bCs/>
          <w:sz w:val="27"/>
          <w:rtl/>
        </w:rPr>
        <w:t>عن جعفر بن محم</w:t>
      </w:r>
      <w:r w:rsidRPr="006571AC">
        <w:rPr>
          <w:rFonts w:hint="cs"/>
          <w:b/>
          <w:bCs/>
          <w:sz w:val="27"/>
          <w:rtl/>
        </w:rPr>
        <w:t>ّ</w:t>
      </w:r>
      <w:r w:rsidRPr="006571AC">
        <w:rPr>
          <w:b/>
          <w:bCs/>
          <w:sz w:val="27"/>
          <w:rtl/>
        </w:rPr>
        <w:t xml:space="preserve">د، عن </w:t>
      </w:r>
      <w:r w:rsidRPr="006571AC">
        <w:rPr>
          <w:b/>
          <w:bCs/>
          <w:sz w:val="27"/>
          <w:rtl/>
        </w:rPr>
        <w:lastRenderedPageBreak/>
        <w:t>أبيه محم</w:t>
      </w:r>
      <w:r w:rsidRPr="006571AC">
        <w:rPr>
          <w:rFonts w:hint="cs"/>
          <w:b/>
          <w:bCs/>
          <w:sz w:val="27"/>
          <w:rtl/>
        </w:rPr>
        <w:t>ّ</w:t>
      </w:r>
      <w:r w:rsidRPr="006571AC">
        <w:rPr>
          <w:b/>
          <w:bCs/>
          <w:sz w:val="27"/>
          <w:rtl/>
        </w:rPr>
        <w:t>د بن علي</w:t>
      </w:r>
      <w:r w:rsidRPr="006571AC">
        <w:rPr>
          <w:rFonts w:hint="cs"/>
          <w:b/>
          <w:bCs/>
          <w:sz w:val="27"/>
          <w:rtl/>
        </w:rPr>
        <w:t>ّ</w:t>
      </w:r>
      <w:r w:rsidRPr="006571AC">
        <w:rPr>
          <w:b/>
          <w:bCs/>
          <w:sz w:val="27"/>
          <w:rtl/>
        </w:rPr>
        <w:t>، عن أبيه علي</w:t>
      </w:r>
      <w:r w:rsidRPr="006571AC">
        <w:rPr>
          <w:rFonts w:hint="cs"/>
          <w:b/>
          <w:bCs/>
          <w:sz w:val="27"/>
          <w:rtl/>
        </w:rPr>
        <w:t>ّ</w:t>
      </w:r>
      <w:r w:rsidRPr="006571AC">
        <w:rPr>
          <w:b/>
          <w:bCs/>
          <w:sz w:val="27"/>
          <w:rtl/>
        </w:rPr>
        <w:t xml:space="preserve"> بن الحسين، عن الحسين بن علي</w:t>
      </w:r>
      <w:r w:rsidRPr="006571AC">
        <w:rPr>
          <w:rFonts w:hint="cs"/>
          <w:b/>
          <w:bCs/>
          <w:sz w:val="27"/>
          <w:rtl/>
        </w:rPr>
        <w:t>ّ</w:t>
      </w:r>
      <w:r w:rsidRPr="006571AC">
        <w:rPr>
          <w:b/>
          <w:bCs/>
          <w:sz w:val="27"/>
          <w:rtl/>
        </w:rPr>
        <w:t>، عن علي</w:t>
      </w:r>
      <w:r w:rsidRPr="006571AC">
        <w:rPr>
          <w:rFonts w:hint="cs"/>
          <w:b/>
          <w:bCs/>
          <w:sz w:val="27"/>
          <w:rtl/>
        </w:rPr>
        <w:t>ّ</w:t>
      </w:r>
      <w:r w:rsidRPr="006571AC">
        <w:rPr>
          <w:b/>
          <w:bCs/>
          <w:sz w:val="27"/>
          <w:rtl/>
        </w:rPr>
        <w:t xml:space="preserve"> بن أبي طالب</w:t>
      </w:r>
      <w:r w:rsidRPr="006571AC">
        <w:rPr>
          <w:rFonts w:ascii="Mosawi" w:hAnsi="Mosawi" w:cs="Mosawi"/>
          <w:b/>
          <w:bCs/>
          <w:sz w:val="22"/>
          <w:szCs w:val="22"/>
          <w:rtl/>
        </w:rPr>
        <w:t>^</w:t>
      </w:r>
      <w:r w:rsidRPr="006571AC">
        <w:rPr>
          <w:rFonts w:hint="cs"/>
          <w:b/>
          <w:bCs/>
          <w:sz w:val="27"/>
          <w:rtl/>
        </w:rPr>
        <w:t>...</w:t>
      </w:r>
      <w:r w:rsidRPr="006571AC">
        <w:rPr>
          <w:rFonts w:hint="cs"/>
          <w:sz w:val="24"/>
          <w:szCs w:val="24"/>
          <w:rtl/>
        </w:rPr>
        <w:t>»</w:t>
      </w:r>
      <w:r w:rsidRPr="006571AC">
        <w:rPr>
          <w:sz w:val="27"/>
          <w:vertAlign w:val="superscript"/>
          <w:rtl/>
        </w:rPr>
        <w:t>(</w:t>
      </w:r>
      <w:r w:rsidRPr="006571AC">
        <w:rPr>
          <w:rStyle w:val="ac"/>
          <w:sz w:val="27"/>
          <w:rtl/>
        </w:rPr>
        <w:endnoteReference w:id="844"/>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فلاحِظْ كيف أنّه</w:t>
      </w:r>
      <w:r w:rsidRPr="006571AC">
        <w:rPr>
          <w:rFonts w:ascii="Mosawi" w:hAnsi="Mosawi" w:cs="Mosawi"/>
          <w:sz w:val="22"/>
          <w:szCs w:val="22"/>
          <w:rtl/>
        </w:rPr>
        <w:t>&amp;</w:t>
      </w:r>
      <w:r w:rsidRPr="006571AC">
        <w:rPr>
          <w:rFonts w:hint="cs"/>
          <w:sz w:val="27"/>
          <w:rtl/>
        </w:rPr>
        <w:t xml:space="preserve"> قد استبدل سلسلة أسماء الأئمّة</w:t>
      </w:r>
      <w:r w:rsidRPr="006571AC">
        <w:rPr>
          <w:rFonts w:ascii="Mosawi" w:hAnsi="Mosawi" w:cs="Mosawi"/>
          <w:sz w:val="22"/>
          <w:szCs w:val="22"/>
          <w:rtl/>
        </w:rPr>
        <w:t>^</w:t>
      </w:r>
      <w:r w:rsidRPr="006571AC">
        <w:rPr>
          <w:rFonts w:hint="cs"/>
          <w:sz w:val="27"/>
          <w:rtl/>
        </w:rPr>
        <w:t xml:space="preserve"> بقوله: </w:t>
      </w:r>
      <w:r w:rsidRPr="006571AC">
        <w:rPr>
          <w:rFonts w:hint="cs"/>
          <w:sz w:val="24"/>
          <w:szCs w:val="24"/>
          <w:rtl/>
        </w:rPr>
        <w:t>«</w:t>
      </w:r>
      <w:r w:rsidRPr="006571AC">
        <w:rPr>
          <w:rFonts w:hint="cs"/>
          <w:sz w:val="27"/>
          <w:rtl/>
        </w:rPr>
        <w:t>عن آبائه</w:t>
      </w:r>
      <w:r w:rsidRPr="006571AC">
        <w:rPr>
          <w:rFonts w:hint="cs"/>
          <w:sz w:val="24"/>
          <w:szCs w:val="24"/>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وقد صرّح الشيخ الحُرّ</w:t>
      </w:r>
      <w:r w:rsidRPr="006571AC">
        <w:rPr>
          <w:rFonts w:ascii="Mosawi" w:hAnsi="Mosawi" w:cs="Mosawi"/>
          <w:sz w:val="22"/>
          <w:szCs w:val="22"/>
          <w:rtl/>
        </w:rPr>
        <w:t>&amp;</w:t>
      </w:r>
      <w:r w:rsidRPr="006571AC">
        <w:rPr>
          <w:rFonts w:hint="cs"/>
          <w:sz w:val="27"/>
          <w:rtl/>
        </w:rPr>
        <w:t xml:space="preserve"> بذلك، فقال: </w:t>
      </w:r>
      <w:r w:rsidRPr="006571AC">
        <w:rPr>
          <w:rFonts w:hint="cs"/>
          <w:sz w:val="24"/>
          <w:szCs w:val="24"/>
          <w:rtl/>
        </w:rPr>
        <w:t>«</w:t>
      </w:r>
      <w:r w:rsidRPr="006571AC">
        <w:rPr>
          <w:rFonts w:hint="cs"/>
          <w:sz w:val="27"/>
          <w:rtl/>
        </w:rPr>
        <w:t>إنّي اختصرتُ روايات الرضا</w:t>
      </w:r>
      <w:r w:rsidRPr="006571AC">
        <w:rPr>
          <w:rFonts w:ascii="Mosawi" w:hAnsi="Mosawi" w:cs="Mosawi"/>
          <w:sz w:val="22"/>
          <w:szCs w:val="22"/>
          <w:rtl/>
        </w:rPr>
        <w:t>×</w:t>
      </w:r>
      <w:r w:rsidRPr="006571AC">
        <w:rPr>
          <w:rFonts w:hint="cs"/>
          <w:sz w:val="27"/>
          <w:rtl/>
        </w:rPr>
        <w:t>، وغيره من الأئمّة</w:t>
      </w:r>
      <w:r w:rsidRPr="006571AC">
        <w:rPr>
          <w:rFonts w:ascii="Mosawi" w:hAnsi="Mosawi" w:cs="Mosawi"/>
          <w:sz w:val="22"/>
          <w:szCs w:val="22"/>
          <w:rtl/>
        </w:rPr>
        <w:t>^</w:t>
      </w:r>
      <w:r w:rsidRPr="006571AC">
        <w:rPr>
          <w:rFonts w:hint="cs"/>
          <w:sz w:val="27"/>
          <w:rtl/>
        </w:rPr>
        <w:t>، عن آبائه</w:t>
      </w:r>
      <w:r w:rsidRPr="006571AC">
        <w:rPr>
          <w:rFonts w:ascii="Mosawi" w:hAnsi="Mosawi" w:cs="Mosawi"/>
          <w:sz w:val="22"/>
          <w:szCs w:val="22"/>
          <w:rtl/>
        </w:rPr>
        <w:t>^</w:t>
      </w:r>
      <w:r w:rsidRPr="006571AC">
        <w:rPr>
          <w:rFonts w:hint="cs"/>
          <w:sz w:val="27"/>
          <w:rtl/>
        </w:rPr>
        <w:t xml:space="preserve">، بالتفصيل، </w:t>
      </w:r>
      <w:r w:rsidRPr="006571AC">
        <w:rPr>
          <w:rFonts w:hint="cs"/>
          <w:b/>
          <w:bCs/>
          <w:sz w:val="27"/>
          <w:rtl/>
        </w:rPr>
        <w:t xml:space="preserve">وأتَيْتُ بلفظ: </w:t>
      </w:r>
      <w:r w:rsidRPr="006571AC">
        <w:rPr>
          <w:rFonts w:hint="cs"/>
          <w:b/>
          <w:bCs/>
          <w:sz w:val="24"/>
          <w:szCs w:val="24"/>
          <w:rtl/>
        </w:rPr>
        <w:t>«</w:t>
      </w:r>
      <w:r w:rsidRPr="006571AC">
        <w:rPr>
          <w:rFonts w:hint="cs"/>
          <w:b/>
          <w:bCs/>
          <w:sz w:val="27"/>
          <w:rtl/>
        </w:rPr>
        <w:t>عن آبائه</w:t>
      </w:r>
      <w:r w:rsidRPr="006571AC">
        <w:rPr>
          <w:rFonts w:hint="cs"/>
          <w:b/>
          <w:bCs/>
          <w:sz w:val="24"/>
          <w:szCs w:val="24"/>
          <w:rtl/>
        </w:rPr>
        <w:t>»</w:t>
      </w:r>
      <w:r w:rsidRPr="006571AC">
        <w:rPr>
          <w:rFonts w:hint="cs"/>
          <w:sz w:val="24"/>
          <w:szCs w:val="24"/>
          <w:rtl/>
        </w:rPr>
        <w:t>»</w:t>
      </w:r>
      <w:r w:rsidRPr="006571AC">
        <w:rPr>
          <w:sz w:val="27"/>
          <w:vertAlign w:val="superscript"/>
          <w:rtl/>
        </w:rPr>
        <w:t>(</w:t>
      </w:r>
      <w:r w:rsidRPr="006571AC">
        <w:rPr>
          <w:rStyle w:val="ac"/>
          <w:sz w:val="27"/>
          <w:rtl/>
        </w:rPr>
        <w:endnoteReference w:id="845"/>
      </w:r>
      <w:r w:rsidRPr="006571AC">
        <w:rPr>
          <w:sz w:val="27"/>
          <w:vertAlign w:val="superscript"/>
          <w:rtl/>
        </w:rPr>
        <w:t>)</w:t>
      </w:r>
      <w:r w:rsidRPr="006571AC">
        <w:rPr>
          <w:rFonts w:hint="cs"/>
          <w:sz w:val="27"/>
          <w:rtl/>
        </w:rPr>
        <w:t>.</w:t>
      </w:r>
    </w:p>
    <w:p w:rsidR="008A3F20" w:rsidRPr="006571AC" w:rsidRDefault="008A3F20" w:rsidP="00B23B9B">
      <w:pPr>
        <w:spacing w:line="420" w:lineRule="exact"/>
        <w:rPr>
          <w:sz w:val="27"/>
          <w:rtl/>
        </w:rPr>
      </w:pPr>
    </w:p>
    <w:p w:rsidR="008A3F20" w:rsidRPr="006571AC" w:rsidRDefault="008A3F20" w:rsidP="00EB5E38">
      <w:pPr>
        <w:pStyle w:val="31"/>
        <w:rPr>
          <w:color w:val="auto"/>
          <w:rtl/>
        </w:rPr>
      </w:pPr>
      <w:bookmarkStart w:id="531" w:name="_Toc171512735"/>
      <w:bookmarkStart w:id="532" w:name="_Toc114164901"/>
      <w:r w:rsidRPr="006571AC">
        <w:rPr>
          <w:rFonts w:hint="cs"/>
          <w:color w:val="auto"/>
          <w:rtl/>
        </w:rPr>
        <w:t>اختصار أسماء بعض الأئمّة</w:t>
      </w:r>
      <w:bookmarkEnd w:id="531"/>
      <w:r w:rsidR="00EB5E38" w:rsidRPr="006571AC">
        <w:rPr>
          <w:rFonts w:ascii="Mosawi" w:hAnsi="Mosawi" w:cs="Mosawi"/>
          <w:color w:val="auto"/>
          <w:sz w:val="22"/>
          <w:szCs w:val="22"/>
          <w:rtl/>
        </w:rPr>
        <w:t>^</w:t>
      </w:r>
      <w:bookmarkEnd w:id="532"/>
    </w:p>
    <w:p w:rsidR="008A3F20" w:rsidRPr="006571AC" w:rsidRDefault="008A3F20" w:rsidP="000C6F2A">
      <w:pPr>
        <w:rPr>
          <w:sz w:val="27"/>
          <w:rtl/>
        </w:rPr>
      </w:pPr>
      <w:r w:rsidRPr="006571AC">
        <w:rPr>
          <w:rFonts w:hint="cs"/>
          <w:b/>
          <w:bCs/>
          <w:sz w:val="27"/>
          <w:rtl/>
        </w:rPr>
        <w:t>ويعمد الشيخ الحُرّ</w:t>
      </w:r>
      <w:r w:rsidRPr="006571AC">
        <w:rPr>
          <w:rFonts w:ascii="Mosawi" w:hAnsi="Mosawi" w:cs="Mosawi"/>
          <w:b/>
          <w:bCs/>
          <w:sz w:val="22"/>
          <w:szCs w:val="22"/>
          <w:rtl/>
        </w:rPr>
        <w:t>&amp;</w:t>
      </w:r>
      <w:r w:rsidRPr="006571AC">
        <w:rPr>
          <w:rFonts w:hint="cs"/>
          <w:b/>
          <w:bCs/>
          <w:sz w:val="27"/>
          <w:rtl/>
        </w:rPr>
        <w:t xml:space="preserve"> في بعض الأحاديث إلى اختصار أسماء بعض الأئمّة</w:t>
      </w:r>
      <w:r w:rsidRPr="006571AC">
        <w:rPr>
          <w:rFonts w:ascii="Mosawi" w:hAnsi="Mosawi" w:cs="Mosawi"/>
          <w:b/>
          <w:bCs/>
          <w:sz w:val="22"/>
          <w:szCs w:val="22"/>
          <w:rtl/>
        </w:rPr>
        <w:t>^</w:t>
      </w:r>
      <w:r w:rsidRPr="006571AC">
        <w:rPr>
          <w:rFonts w:hint="cs"/>
          <w:sz w:val="27"/>
          <w:rtl/>
        </w:rPr>
        <w:t xml:space="preserve">، ومن ذلك: </w:t>
      </w:r>
    </w:p>
    <w:p w:rsidR="008A3F20" w:rsidRPr="006571AC" w:rsidRDefault="008A3F20" w:rsidP="001A0C0A">
      <w:pPr>
        <w:rPr>
          <w:sz w:val="27"/>
          <w:rtl/>
        </w:rPr>
      </w:pPr>
      <w:r w:rsidRPr="006571AC">
        <w:rPr>
          <w:rFonts w:hint="cs"/>
          <w:sz w:val="27"/>
          <w:rtl/>
        </w:rPr>
        <w:t xml:space="preserve">* ما في الباب 53 من أبواب أحكام العشرة، ح 1، حيث قال: </w:t>
      </w:r>
      <w:r w:rsidRPr="006571AC">
        <w:rPr>
          <w:rFonts w:hint="cs"/>
          <w:sz w:val="24"/>
          <w:szCs w:val="24"/>
          <w:rtl/>
        </w:rPr>
        <w:t>«</w:t>
      </w:r>
      <w:r w:rsidRPr="006571AC">
        <w:rPr>
          <w:sz w:val="27"/>
          <w:rtl/>
        </w:rPr>
        <w:t>محم</w:t>
      </w:r>
      <w:r w:rsidRPr="006571AC">
        <w:rPr>
          <w:rFonts w:hint="cs"/>
          <w:sz w:val="27"/>
          <w:rtl/>
        </w:rPr>
        <w:t>ّ</w:t>
      </w:r>
      <w:r w:rsidRPr="006571AC">
        <w:rPr>
          <w:sz w:val="27"/>
          <w:rtl/>
        </w:rPr>
        <w:t>د بن يعقوب، عن 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بن عيسى، عن ابن محبوب، عن عبد الرحمن بن الحج</w:t>
      </w:r>
      <w:r w:rsidRPr="006571AC">
        <w:rPr>
          <w:rFonts w:hint="cs"/>
          <w:sz w:val="27"/>
          <w:rtl/>
        </w:rPr>
        <w:t>ّ</w:t>
      </w:r>
      <w:r w:rsidRPr="006571AC">
        <w:rPr>
          <w:sz w:val="27"/>
          <w:rtl/>
        </w:rPr>
        <w:t>اج قال: قلت</w:t>
      </w:r>
      <w:r w:rsidRPr="006571AC">
        <w:rPr>
          <w:rFonts w:hint="cs"/>
          <w:sz w:val="27"/>
          <w:rtl/>
        </w:rPr>
        <w:t>ُ</w:t>
      </w:r>
      <w:r w:rsidRPr="006571AC">
        <w:rPr>
          <w:sz w:val="27"/>
          <w:rtl/>
        </w:rPr>
        <w:t xml:space="preserve"> </w:t>
      </w:r>
      <w:r w:rsidRPr="006571AC">
        <w:rPr>
          <w:b/>
          <w:bCs/>
          <w:sz w:val="27"/>
          <w:rtl/>
        </w:rPr>
        <w:t>لأبي الحسن</w:t>
      </w:r>
      <w:r w:rsidRPr="006571AC">
        <w:rPr>
          <w:rFonts w:ascii="Mosawi" w:hAnsi="Mosawi" w:cs="Mosawi"/>
          <w:b/>
          <w:bCs/>
          <w:sz w:val="22"/>
          <w:szCs w:val="22"/>
          <w:rtl/>
        </w:rPr>
        <w:t>×</w:t>
      </w:r>
      <w:r w:rsidRPr="006571AC">
        <w:rPr>
          <w:sz w:val="27"/>
          <w:rtl/>
        </w:rPr>
        <w:t>: أرأيت</w:t>
      </w:r>
      <w:r w:rsidRPr="006571AC">
        <w:rPr>
          <w:rFonts w:hint="cs"/>
          <w:sz w:val="27"/>
          <w:rtl/>
        </w:rPr>
        <w:t>َ</w:t>
      </w:r>
      <w:r w:rsidRPr="006571AC">
        <w:rPr>
          <w:sz w:val="27"/>
          <w:rtl/>
        </w:rPr>
        <w:t xml:space="preserve"> إن احتج</w:t>
      </w:r>
      <w:r w:rsidR="009D1E28" w:rsidRPr="006571AC">
        <w:rPr>
          <w:rFonts w:hint="cs"/>
          <w:sz w:val="27"/>
          <w:rtl/>
        </w:rPr>
        <w:t>ْ</w:t>
      </w:r>
      <w:r w:rsidRPr="006571AC">
        <w:rPr>
          <w:sz w:val="27"/>
          <w:rtl/>
        </w:rPr>
        <w:t>ت</w:t>
      </w:r>
      <w:r w:rsidRPr="006571AC">
        <w:rPr>
          <w:rFonts w:hint="cs"/>
          <w:sz w:val="27"/>
          <w:rtl/>
        </w:rPr>
        <w:t>ُ</w:t>
      </w:r>
      <w:r w:rsidRPr="006571AC">
        <w:rPr>
          <w:sz w:val="27"/>
          <w:rtl/>
        </w:rPr>
        <w:t xml:space="preserve"> إلى طبيب</w:t>
      </w:r>
      <w:r w:rsidR="009D1E28" w:rsidRPr="006571AC">
        <w:rPr>
          <w:rFonts w:hint="cs"/>
          <w:sz w:val="27"/>
          <w:rtl/>
        </w:rPr>
        <w:t>ٍ</w:t>
      </w:r>
      <w:r w:rsidRPr="006571AC">
        <w:rPr>
          <w:rFonts w:hint="cs"/>
          <w:sz w:val="27"/>
          <w:rtl/>
        </w:rPr>
        <w:t>،</w:t>
      </w:r>
      <w:r w:rsidRPr="006571AC">
        <w:rPr>
          <w:sz w:val="27"/>
          <w:rtl/>
        </w:rPr>
        <w:t xml:space="preserve"> وهو نصراني</w:t>
      </w:r>
      <w:r w:rsidRPr="006571AC">
        <w:rPr>
          <w:rFonts w:hint="cs"/>
          <w:sz w:val="27"/>
          <w:rtl/>
        </w:rPr>
        <w:t>ّ...</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وعلَّق المحقِّقون في مؤسَّسة آل البيت</w:t>
      </w:r>
      <w:r w:rsidRPr="006571AC">
        <w:rPr>
          <w:rFonts w:ascii="Mosawi" w:hAnsi="Mosawi" w:cs="Mosawi"/>
          <w:sz w:val="22"/>
          <w:szCs w:val="22"/>
          <w:rtl/>
        </w:rPr>
        <w:t>^</w:t>
      </w:r>
      <w:r w:rsidRPr="006571AC">
        <w:rPr>
          <w:rFonts w:hint="cs"/>
          <w:sz w:val="27"/>
          <w:rtl/>
        </w:rPr>
        <w:t xml:space="preserve"> لإحياء التراث، على قوله: </w:t>
      </w:r>
      <w:r w:rsidRPr="006571AC">
        <w:rPr>
          <w:rFonts w:hint="cs"/>
          <w:sz w:val="24"/>
          <w:szCs w:val="24"/>
          <w:rtl/>
        </w:rPr>
        <w:t>«</w:t>
      </w:r>
      <w:r w:rsidRPr="006571AC">
        <w:rPr>
          <w:rFonts w:hint="cs"/>
          <w:sz w:val="27"/>
          <w:rtl/>
        </w:rPr>
        <w:t>لأبي الحسن</w:t>
      </w:r>
      <w:r w:rsidRPr="006571AC">
        <w:rPr>
          <w:rFonts w:ascii="Mosawi" w:hAnsi="Mosawi" w:cs="Mosawi"/>
          <w:sz w:val="22"/>
          <w:szCs w:val="22"/>
          <w:rtl/>
        </w:rPr>
        <w:t>×</w:t>
      </w:r>
      <w:r w:rsidRPr="006571AC">
        <w:rPr>
          <w:rFonts w:hint="cs"/>
          <w:sz w:val="24"/>
          <w:szCs w:val="24"/>
          <w:rtl/>
        </w:rPr>
        <w:t>»</w:t>
      </w:r>
      <w:r w:rsidRPr="006571AC">
        <w:rPr>
          <w:rFonts w:hint="cs"/>
          <w:sz w:val="27"/>
          <w:rtl/>
        </w:rPr>
        <w:t xml:space="preserve">، بقولهم: </w:t>
      </w:r>
      <w:r w:rsidRPr="006571AC">
        <w:rPr>
          <w:rFonts w:hint="cs"/>
          <w:sz w:val="24"/>
          <w:szCs w:val="24"/>
          <w:rtl/>
        </w:rPr>
        <w:t>«</w:t>
      </w:r>
      <w:r w:rsidRPr="006571AC">
        <w:rPr>
          <w:sz w:val="27"/>
          <w:rtl/>
        </w:rPr>
        <w:t>في المصدر: أبي الحسن موسى</w:t>
      </w:r>
      <w:r w:rsidRPr="006571AC">
        <w:rPr>
          <w:rFonts w:ascii="Mosawi" w:hAnsi="Mosawi" w:cs="Mosawi"/>
          <w:sz w:val="22"/>
          <w:szCs w:val="22"/>
          <w:rtl/>
        </w:rPr>
        <w:t>×</w:t>
      </w:r>
      <w:r w:rsidRPr="006571AC">
        <w:rPr>
          <w:rFonts w:hint="cs"/>
          <w:sz w:val="24"/>
          <w:szCs w:val="24"/>
          <w:rtl/>
        </w:rPr>
        <w:t>»</w:t>
      </w:r>
      <w:r w:rsidRPr="006571AC">
        <w:rPr>
          <w:sz w:val="27"/>
          <w:vertAlign w:val="superscript"/>
          <w:rtl/>
        </w:rPr>
        <w:t>(</w:t>
      </w:r>
      <w:r w:rsidRPr="006571AC">
        <w:rPr>
          <w:rStyle w:val="ac"/>
          <w:sz w:val="27"/>
          <w:rtl/>
        </w:rPr>
        <w:endnoteReference w:id="846"/>
      </w:r>
      <w:r w:rsidRPr="006571AC">
        <w:rPr>
          <w:sz w:val="27"/>
          <w:vertAlign w:val="superscript"/>
          <w:rtl/>
        </w:rPr>
        <w:t>)</w:t>
      </w:r>
      <w:r w:rsidRPr="006571AC">
        <w:rPr>
          <w:rFonts w:hint="cs"/>
          <w:sz w:val="27"/>
          <w:rtl/>
        </w:rPr>
        <w:t>.</w:t>
      </w:r>
    </w:p>
    <w:p w:rsidR="008A3F20" w:rsidRPr="006571AC" w:rsidRDefault="008A3F20" w:rsidP="001A0C0A">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وج</w:t>
      </w:r>
      <w:r w:rsidR="001A0C0A" w:rsidRPr="006571AC">
        <w:rPr>
          <w:rFonts w:hint="cs"/>
          <w:sz w:val="27"/>
          <w:rtl/>
        </w:rPr>
        <w:t>َ</w:t>
      </w:r>
      <w:r w:rsidRPr="006571AC">
        <w:rPr>
          <w:rFonts w:hint="cs"/>
          <w:sz w:val="27"/>
          <w:rtl/>
        </w:rPr>
        <w:t>د</w:t>
      </w:r>
      <w:r w:rsidR="001A0C0A"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sz w:val="27"/>
          <w:rtl/>
        </w:rPr>
        <w:t>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بن عيسى، عن ابن محبوب، عن عبد الرحمن بن الحج</w:t>
      </w:r>
      <w:r w:rsidRPr="006571AC">
        <w:rPr>
          <w:rFonts w:hint="cs"/>
          <w:sz w:val="27"/>
          <w:rtl/>
        </w:rPr>
        <w:t>ّ</w:t>
      </w:r>
      <w:r w:rsidRPr="006571AC">
        <w:rPr>
          <w:sz w:val="27"/>
          <w:rtl/>
        </w:rPr>
        <w:t>اج قال: قلت</w:t>
      </w:r>
      <w:r w:rsidRPr="006571AC">
        <w:rPr>
          <w:rFonts w:hint="cs"/>
          <w:sz w:val="27"/>
          <w:rtl/>
        </w:rPr>
        <w:t>ُ</w:t>
      </w:r>
      <w:r w:rsidRPr="006571AC">
        <w:rPr>
          <w:sz w:val="27"/>
          <w:rtl/>
        </w:rPr>
        <w:t xml:space="preserve"> </w:t>
      </w:r>
      <w:r w:rsidRPr="006571AC">
        <w:rPr>
          <w:b/>
          <w:bCs/>
          <w:sz w:val="27"/>
          <w:rtl/>
        </w:rPr>
        <w:t>ل</w:t>
      </w:r>
      <w:r w:rsidRPr="006571AC">
        <w:rPr>
          <w:rFonts w:hint="cs"/>
          <w:b/>
          <w:bCs/>
          <w:sz w:val="27"/>
          <w:rtl/>
        </w:rPr>
        <w:t>أ</w:t>
      </w:r>
      <w:r w:rsidRPr="006571AC">
        <w:rPr>
          <w:b/>
          <w:bCs/>
          <w:sz w:val="27"/>
          <w:rtl/>
        </w:rPr>
        <w:t>بي الحسن موسى</w:t>
      </w:r>
      <w:r w:rsidRPr="006571AC">
        <w:rPr>
          <w:rFonts w:ascii="Mosawi" w:hAnsi="Mosawi" w:cs="Mosawi"/>
          <w:b/>
          <w:bCs/>
          <w:sz w:val="22"/>
          <w:szCs w:val="22"/>
          <w:rtl/>
        </w:rPr>
        <w:t>×</w:t>
      </w:r>
      <w:r w:rsidRPr="006571AC">
        <w:rPr>
          <w:sz w:val="27"/>
          <w:rtl/>
        </w:rPr>
        <w:t>: أرأيت</w:t>
      </w:r>
      <w:r w:rsidRPr="006571AC">
        <w:rPr>
          <w:rFonts w:hint="cs"/>
          <w:sz w:val="27"/>
          <w:rtl/>
        </w:rPr>
        <w:t>َ</w:t>
      </w:r>
      <w:r w:rsidRPr="006571AC">
        <w:rPr>
          <w:sz w:val="27"/>
          <w:rtl/>
        </w:rPr>
        <w:t xml:space="preserve"> إن</w:t>
      </w:r>
      <w:r w:rsidR="001A0C0A" w:rsidRPr="006571AC">
        <w:rPr>
          <w:rFonts w:hint="cs"/>
          <w:sz w:val="27"/>
          <w:rtl/>
        </w:rPr>
        <w:t>ْ</w:t>
      </w:r>
      <w:r w:rsidRPr="006571AC">
        <w:rPr>
          <w:sz w:val="27"/>
          <w:rtl/>
        </w:rPr>
        <w:t xml:space="preserve"> احتج</w:t>
      </w:r>
      <w:r w:rsidR="001A0C0A" w:rsidRPr="006571AC">
        <w:rPr>
          <w:rFonts w:hint="cs"/>
          <w:sz w:val="27"/>
          <w:rtl/>
        </w:rPr>
        <w:t>ْ</w:t>
      </w:r>
      <w:r w:rsidRPr="006571AC">
        <w:rPr>
          <w:sz w:val="27"/>
          <w:rtl/>
        </w:rPr>
        <w:t>ت</w:t>
      </w:r>
      <w:r w:rsidRPr="006571AC">
        <w:rPr>
          <w:rFonts w:hint="cs"/>
          <w:sz w:val="27"/>
          <w:rtl/>
        </w:rPr>
        <w:t>ُ</w:t>
      </w:r>
      <w:r w:rsidRPr="006571AC">
        <w:rPr>
          <w:sz w:val="27"/>
          <w:rtl/>
        </w:rPr>
        <w:t xml:space="preserve"> إلى الطبيب</w:t>
      </w:r>
      <w:r w:rsidRPr="006571AC">
        <w:rPr>
          <w:rFonts w:hint="cs"/>
          <w:sz w:val="27"/>
          <w:rtl/>
        </w:rPr>
        <w:t>،</w:t>
      </w:r>
      <w:r w:rsidRPr="006571AC">
        <w:rPr>
          <w:sz w:val="27"/>
          <w:rtl/>
        </w:rPr>
        <w:t xml:space="preserve"> وهو نصراني</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47"/>
      </w:r>
      <w:r w:rsidRPr="006571AC">
        <w:rPr>
          <w:sz w:val="27"/>
          <w:vertAlign w:val="superscript"/>
          <w:rtl/>
        </w:rPr>
        <w:t>)</w:t>
      </w:r>
      <w:r w:rsidRPr="006571AC">
        <w:rPr>
          <w:rFonts w:hint="cs"/>
          <w:sz w:val="27"/>
          <w:rtl/>
        </w:rPr>
        <w:t>.</w:t>
      </w:r>
    </w:p>
    <w:p w:rsidR="008A3F20" w:rsidRPr="006571AC" w:rsidRDefault="008A3F20" w:rsidP="00B23B9B">
      <w:pPr>
        <w:spacing w:line="420" w:lineRule="exact"/>
        <w:rPr>
          <w:sz w:val="27"/>
          <w:rtl/>
        </w:rPr>
      </w:pPr>
    </w:p>
    <w:p w:rsidR="008A3F20" w:rsidRPr="006571AC" w:rsidRDefault="008A3F20" w:rsidP="00FB4D6C">
      <w:pPr>
        <w:pStyle w:val="31"/>
        <w:rPr>
          <w:color w:val="auto"/>
          <w:rtl/>
        </w:rPr>
      </w:pPr>
      <w:bookmarkStart w:id="533" w:name="_Toc171512736"/>
      <w:bookmarkStart w:id="534" w:name="_Toc114164902"/>
      <w:r w:rsidRPr="006571AC">
        <w:rPr>
          <w:rFonts w:hint="cs"/>
          <w:color w:val="auto"/>
          <w:rtl/>
        </w:rPr>
        <w:t>10ـ حذف مشخِّصات بعض الرواة المذكورة في المصدر من السند</w:t>
      </w:r>
      <w:bookmarkEnd w:id="533"/>
      <w:bookmarkEnd w:id="534"/>
    </w:p>
    <w:p w:rsidR="008A3F20" w:rsidRPr="006571AC" w:rsidRDefault="008A3F20" w:rsidP="000C6F2A">
      <w:pPr>
        <w:rPr>
          <w:sz w:val="27"/>
          <w:rtl/>
        </w:rPr>
      </w:pPr>
      <w:r w:rsidRPr="006571AC">
        <w:rPr>
          <w:rFonts w:hint="cs"/>
          <w:sz w:val="27"/>
          <w:rtl/>
        </w:rPr>
        <w:t>يعمد الشيخ الحُرّ</w:t>
      </w:r>
      <w:r w:rsidRPr="006571AC">
        <w:rPr>
          <w:rFonts w:ascii="Mosawi" w:hAnsi="Mosawi" w:cs="Mosawi"/>
          <w:sz w:val="22"/>
          <w:szCs w:val="22"/>
          <w:rtl/>
        </w:rPr>
        <w:t>&amp;</w:t>
      </w:r>
      <w:r w:rsidRPr="006571AC">
        <w:rPr>
          <w:rFonts w:hint="cs"/>
          <w:sz w:val="27"/>
          <w:rtl/>
        </w:rPr>
        <w:t xml:space="preserve"> في بعض الأحاديث إلى حذف مشخِّصات بعض الرواة المذكورة في المصدر من السند، وهذا ما قد يجعل من بعض العناوين في السند عنواناً مشترَكاً بين الثقة وغيره، أو ي</w:t>
      </w:r>
      <w:r w:rsidR="001A0C0A" w:rsidRPr="006571AC">
        <w:rPr>
          <w:rFonts w:hint="cs"/>
          <w:sz w:val="27"/>
          <w:rtl/>
        </w:rPr>
        <w:t>ُ</w:t>
      </w:r>
      <w:r w:rsidRPr="006571AC">
        <w:rPr>
          <w:rFonts w:hint="cs"/>
          <w:sz w:val="27"/>
          <w:rtl/>
        </w:rPr>
        <w:t>وهِم م</w:t>
      </w:r>
      <w:r w:rsidR="001A0C0A" w:rsidRPr="006571AC">
        <w:rPr>
          <w:rFonts w:hint="cs"/>
          <w:sz w:val="27"/>
          <w:rtl/>
        </w:rPr>
        <w:t>َ</w:t>
      </w:r>
      <w:r w:rsidRPr="006571AC">
        <w:rPr>
          <w:rFonts w:hint="cs"/>
          <w:sz w:val="27"/>
          <w:rtl/>
        </w:rPr>
        <w:t>ن</w:t>
      </w:r>
      <w:r w:rsidR="001A0C0A" w:rsidRPr="006571AC">
        <w:rPr>
          <w:rFonts w:hint="cs"/>
          <w:sz w:val="27"/>
          <w:rtl/>
        </w:rPr>
        <w:t>ْ</w:t>
      </w:r>
      <w:r w:rsidRPr="006571AC">
        <w:rPr>
          <w:rFonts w:hint="cs"/>
          <w:sz w:val="27"/>
          <w:rtl/>
        </w:rPr>
        <w:t xml:space="preserve"> لا خبرة له في علم الرجال بأنّ هذا الراوي من الطبقة الفلانيّة، والحال أنّه ليس كذلك، بل إنّ راوياً آخر، مشترِكاً معه في الاسم، هو من تلك الطبقة.</w:t>
      </w:r>
    </w:p>
    <w:p w:rsidR="008A3F20" w:rsidRPr="006571AC" w:rsidRDefault="008A3F20" w:rsidP="000C6F2A">
      <w:pPr>
        <w:rPr>
          <w:sz w:val="27"/>
          <w:rtl/>
        </w:rPr>
      </w:pPr>
      <w:r w:rsidRPr="006571AC">
        <w:rPr>
          <w:rFonts w:hint="cs"/>
          <w:sz w:val="27"/>
          <w:rtl/>
        </w:rPr>
        <w:t xml:space="preserve">ومن ذلك: </w:t>
      </w:r>
    </w:p>
    <w:p w:rsidR="008A3F20" w:rsidRPr="006571AC" w:rsidRDefault="008A3F20" w:rsidP="000C6F2A">
      <w:pPr>
        <w:rPr>
          <w:sz w:val="27"/>
          <w:rtl/>
        </w:rPr>
      </w:pPr>
      <w:r w:rsidRPr="006571AC">
        <w:rPr>
          <w:rFonts w:hint="cs"/>
          <w:sz w:val="27"/>
          <w:rtl/>
        </w:rPr>
        <w:lastRenderedPageBreak/>
        <w:t xml:space="preserve">* ما في الباب 69 من أبواب أحكام العشرة، ح 3، حيث قال: </w:t>
      </w:r>
      <w:r w:rsidRPr="006571AC">
        <w:rPr>
          <w:rFonts w:hint="cs"/>
          <w:sz w:val="24"/>
          <w:szCs w:val="24"/>
          <w:rtl/>
        </w:rPr>
        <w:t>«</w:t>
      </w:r>
      <w:r w:rsidRPr="006571AC">
        <w:rPr>
          <w:sz w:val="27"/>
          <w:rtl/>
        </w:rPr>
        <w:t>و</w:t>
      </w:r>
      <w:r w:rsidRPr="006571AC">
        <w:rPr>
          <w:rFonts w:hint="cs"/>
          <w:sz w:val="27"/>
          <w:rtl/>
        </w:rPr>
        <w:t xml:space="preserve">[الصدوق في </w:t>
      </w:r>
      <w:r w:rsidRPr="006571AC">
        <w:rPr>
          <w:rFonts w:hint="cs"/>
          <w:sz w:val="24"/>
          <w:szCs w:val="24"/>
          <w:rtl/>
        </w:rPr>
        <w:t>«</w:t>
      </w:r>
      <w:r w:rsidRPr="006571AC">
        <w:rPr>
          <w:rFonts w:hint="cs"/>
          <w:sz w:val="27"/>
          <w:rtl/>
        </w:rPr>
        <w:t>معاني الأخبار</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عيون أخبار الرضا</w:t>
      </w:r>
      <w:r w:rsidRPr="006571AC">
        <w:rPr>
          <w:rFonts w:ascii="Mosawi" w:hAnsi="Mosawi" w:cs="Mosawi"/>
          <w:sz w:val="22"/>
          <w:szCs w:val="22"/>
          <w:rtl/>
        </w:rPr>
        <w:t>×</w:t>
      </w:r>
      <w:r w:rsidRPr="006571AC">
        <w:rPr>
          <w:rFonts w:hint="cs"/>
          <w:sz w:val="24"/>
          <w:szCs w:val="24"/>
          <w:rtl/>
        </w:rPr>
        <w:t>»</w:t>
      </w:r>
      <w:r w:rsidRPr="006571AC">
        <w:rPr>
          <w:rFonts w:hint="cs"/>
          <w:sz w:val="27"/>
          <w:rtl/>
        </w:rPr>
        <w:t xml:space="preserve">] </w:t>
      </w:r>
      <w:r w:rsidRPr="006571AC">
        <w:rPr>
          <w:b/>
          <w:bCs/>
          <w:sz w:val="27"/>
          <w:rtl/>
        </w:rPr>
        <w:t>عن محم</w:t>
      </w:r>
      <w:r w:rsidRPr="006571AC">
        <w:rPr>
          <w:rFonts w:hint="cs"/>
          <w:b/>
          <w:bCs/>
          <w:sz w:val="27"/>
          <w:rtl/>
        </w:rPr>
        <w:t>ّ</w:t>
      </w:r>
      <w:r w:rsidRPr="006571AC">
        <w:rPr>
          <w:b/>
          <w:bCs/>
          <w:sz w:val="27"/>
          <w:rtl/>
        </w:rPr>
        <w:t>د بن الحسن، عن الصف</w:t>
      </w:r>
      <w:r w:rsidRPr="006571AC">
        <w:rPr>
          <w:rFonts w:hint="cs"/>
          <w:b/>
          <w:bCs/>
          <w:sz w:val="27"/>
          <w:rtl/>
        </w:rPr>
        <w:t>ّ</w:t>
      </w:r>
      <w:r w:rsidRPr="006571AC">
        <w:rPr>
          <w:b/>
          <w:bCs/>
          <w:sz w:val="27"/>
          <w:rtl/>
        </w:rPr>
        <w:t>ار، عن أحمد بن محم</w:t>
      </w:r>
      <w:r w:rsidRPr="006571AC">
        <w:rPr>
          <w:rFonts w:hint="cs"/>
          <w:b/>
          <w:bCs/>
          <w:sz w:val="27"/>
          <w:rtl/>
        </w:rPr>
        <w:t>ّ</w:t>
      </w:r>
      <w:r w:rsidRPr="006571AC">
        <w:rPr>
          <w:b/>
          <w:bCs/>
          <w:sz w:val="27"/>
          <w:rtl/>
        </w:rPr>
        <w:t>د</w:t>
      </w:r>
      <w:r w:rsidRPr="006571AC">
        <w:rPr>
          <w:sz w:val="27"/>
          <w:rtl/>
        </w:rPr>
        <w:t>، عن الحسن بن علي</w:t>
      </w:r>
      <w:r w:rsidRPr="006571AC">
        <w:rPr>
          <w:rFonts w:hint="cs"/>
          <w:sz w:val="27"/>
          <w:rtl/>
        </w:rPr>
        <w:t>ّ</w:t>
      </w:r>
      <w:r w:rsidRPr="006571AC">
        <w:rPr>
          <w:sz w:val="27"/>
          <w:rtl/>
        </w:rPr>
        <w:t xml:space="preserve"> بن فض</w:t>
      </w:r>
      <w:r w:rsidRPr="006571AC">
        <w:rPr>
          <w:rFonts w:hint="cs"/>
          <w:sz w:val="27"/>
          <w:rtl/>
        </w:rPr>
        <w:t>ّ</w:t>
      </w:r>
      <w:r w:rsidRPr="006571AC">
        <w:rPr>
          <w:sz w:val="27"/>
          <w:rtl/>
        </w:rPr>
        <w:t>ال، عن علي</w:t>
      </w:r>
      <w:r w:rsidRPr="006571AC">
        <w:rPr>
          <w:rFonts w:hint="cs"/>
          <w:sz w:val="27"/>
          <w:rtl/>
        </w:rPr>
        <w:t>ّ</w:t>
      </w:r>
      <w:r w:rsidRPr="006571AC">
        <w:rPr>
          <w:sz w:val="27"/>
          <w:rtl/>
        </w:rPr>
        <w:t xml:space="preserve"> بن الجهم قال: سمعت</w:t>
      </w:r>
      <w:r w:rsidRPr="006571AC">
        <w:rPr>
          <w:rFonts w:hint="cs"/>
          <w:sz w:val="27"/>
          <w:rtl/>
        </w:rPr>
        <w:t>ُ</w:t>
      </w:r>
      <w:r w:rsidRPr="006571AC">
        <w:rPr>
          <w:sz w:val="27"/>
          <w:rtl/>
        </w:rPr>
        <w:t xml:space="preserve"> أبا الحسن</w:t>
      </w:r>
      <w:r w:rsidRPr="006571AC">
        <w:rPr>
          <w:rFonts w:ascii="Mosawi" w:hAnsi="Mosawi" w:cs="Mosawi"/>
          <w:sz w:val="22"/>
          <w:szCs w:val="22"/>
          <w:rtl/>
        </w:rPr>
        <w:t>×</w:t>
      </w:r>
      <w:r w:rsidRPr="006571AC">
        <w:rPr>
          <w:sz w:val="27"/>
          <w:rtl/>
        </w:rPr>
        <w:t xml:space="preserve"> يقول: لا يأبى الكرامة إلا</w:t>
      </w:r>
      <w:r w:rsidRPr="006571AC">
        <w:rPr>
          <w:rFonts w:hint="cs"/>
          <w:sz w:val="27"/>
          <w:rtl/>
        </w:rPr>
        <w:t>ّ</w:t>
      </w:r>
      <w:r w:rsidRPr="006571AC">
        <w:rPr>
          <w:sz w:val="27"/>
          <w:rtl/>
        </w:rPr>
        <w:t xml:space="preserve"> حمار</w:t>
      </w:r>
      <w:r w:rsidR="001A0C0A" w:rsidRPr="006571AC">
        <w:rPr>
          <w:rFonts w:hint="cs"/>
          <w:sz w:val="27"/>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48"/>
      </w:r>
      <w:r w:rsidRPr="006571AC">
        <w:rPr>
          <w:sz w:val="27"/>
          <w:vertAlign w:val="superscript"/>
          <w:rtl/>
        </w:rPr>
        <w:t>)</w:t>
      </w:r>
      <w:r w:rsidRPr="006571AC">
        <w:rPr>
          <w:rFonts w:hint="cs"/>
          <w:sz w:val="27"/>
          <w:rtl/>
        </w:rPr>
        <w:t>.</w:t>
      </w:r>
    </w:p>
    <w:p w:rsidR="008A3F20" w:rsidRPr="006571AC" w:rsidRDefault="008A3F20" w:rsidP="001A0C0A">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معاني الأخبار</w:t>
      </w:r>
      <w:r w:rsidRPr="006571AC">
        <w:rPr>
          <w:rFonts w:hint="cs"/>
          <w:sz w:val="24"/>
          <w:szCs w:val="24"/>
          <w:rtl/>
        </w:rPr>
        <w:t>»</w:t>
      </w:r>
      <w:r w:rsidRPr="006571AC">
        <w:rPr>
          <w:rFonts w:hint="cs"/>
          <w:sz w:val="27"/>
          <w:rtl/>
        </w:rPr>
        <w:t xml:space="preserve">، وجدنا الحديث بهذا الشكل: </w:t>
      </w:r>
      <w:r w:rsidRPr="006571AC">
        <w:rPr>
          <w:rFonts w:hint="cs"/>
          <w:sz w:val="24"/>
          <w:szCs w:val="24"/>
          <w:rtl/>
        </w:rPr>
        <w:t>«</w:t>
      </w:r>
      <w:r w:rsidRPr="006571AC">
        <w:rPr>
          <w:rFonts w:hint="cs"/>
          <w:sz w:val="27"/>
          <w:rtl/>
        </w:rPr>
        <w:t xml:space="preserve">2ـ </w:t>
      </w:r>
      <w:r w:rsidRPr="006571AC">
        <w:rPr>
          <w:b/>
          <w:bCs/>
          <w:sz w:val="27"/>
          <w:rtl/>
        </w:rPr>
        <w:t>حد</w:t>
      </w:r>
      <w:r w:rsidRPr="006571AC">
        <w:rPr>
          <w:rFonts w:hint="cs"/>
          <w:b/>
          <w:bCs/>
          <w:sz w:val="27"/>
          <w:rtl/>
        </w:rPr>
        <w:t>ّ</w:t>
      </w:r>
      <w:r w:rsidRPr="006571AC">
        <w:rPr>
          <w:b/>
          <w:bCs/>
          <w:sz w:val="27"/>
          <w:rtl/>
        </w:rPr>
        <w:t>ثنا محم</w:t>
      </w:r>
      <w:r w:rsidRPr="006571AC">
        <w:rPr>
          <w:rFonts w:hint="cs"/>
          <w:b/>
          <w:bCs/>
          <w:sz w:val="27"/>
          <w:rtl/>
        </w:rPr>
        <w:t>ّ</w:t>
      </w:r>
      <w:r w:rsidRPr="006571AC">
        <w:rPr>
          <w:b/>
          <w:bCs/>
          <w:sz w:val="27"/>
          <w:rtl/>
        </w:rPr>
        <w:t xml:space="preserve">د بن الحسن بن أحمد بن الوليد </w:t>
      </w:r>
      <w:r w:rsidRPr="006571AC">
        <w:rPr>
          <w:rFonts w:hint="cs"/>
          <w:b/>
          <w:bCs/>
          <w:sz w:val="27"/>
          <w:rtl/>
        </w:rPr>
        <w:t>ـ رض</w:t>
      </w:r>
      <w:r w:rsidRPr="006571AC">
        <w:rPr>
          <w:b/>
          <w:bCs/>
          <w:sz w:val="27"/>
          <w:rtl/>
        </w:rPr>
        <w:t xml:space="preserve">ي الله عنه </w:t>
      </w:r>
      <w:r w:rsidRPr="006571AC">
        <w:rPr>
          <w:rFonts w:hint="cs"/>
          <w:b/>
          <w:bCs/>
          <w:sz w:val="27"/>
          <w:rtl/>
        </w:rPr>
        <w:t>ـ،</w:t>
      </w:r>
      <w:r w:rsidRPr="006571AC">
        <w:rPr>
          <w:b/>
          <w:bCs/>
          <w:sz w:val="27"/>
          <w:rtl/>
        </w:rPr>
        <w:t xml:space="preserve"> قال: حد</w:t>
      </w:r>
      <w:r w:rsidRPr="006571AC">
        <w:rPr>
          <w:rFonts w:hint="cs"/>
          <w:b/>
          <w:bCs/>
          <w:sz w:val="27"/>
          <w:rtl/>
        </w:rPr>
        <w:t>ّ</w:t>
      </w:r>
      <w:r w:rsidRPr="006571AC">
        <w:rPr>
          <w:b/>
          <w:bCs/>
          <w:sz w:val="27"/>
          <w:rtl/>
        </w:rPr>
        <w:t>ثنا محم</w:t>
      </w:r>
      <w:r w:rsidRPr="006571AC">
        <w:rPr>
          <w:rFonts w:hint="cs"/>
          <w:b/>
          <w:bCs/>
          <w:sz w:val="27"/>
          <w:rtl/>
        </w:rPr>
        <w:t>ّ</w:t>
      </w:r>
      <w:r w:rsidRPr="006571AC">
        <w:rPr>
          <w:b/>
          <w:bCs/>
          <w:sz w:val="27"/>
          <w:rtl/>
        </w:rPr>
        <w:t>د بن الحسن الصف</w:t>
      </w:r>
      <w:r w:rsidRPr="006571AC">
        <w:rPr>
          <w:rFonts w:hint="cs"/>
          <w:b/>
          <w:bCs/>
          <w:sz w:val="27"/>
          <w:rtl/>
        </w:rPr>
        <w:t>ّ</w:t>
      </w:r>
      <w:r w:rsidRPr="006571AC">
        <w:rPr>
          <w:b/>
          <w:bCs/>
          <w:sz w:val="27"/>
          <w:rtl/>
        </w:rPr>
        <w:t>ار</w:t>
      </w:r>
      <w:r w:rsidRPr="006571AC">
        <w:rPr>
          <w:sz w:val="27"/>
          <w:rtl/>
        </w:rPr>
        <w:t>، عن أحمد بن محم</w:t>
      </w:r>
      <w:r w:rsidRPr="006571AC">
        <w:rPr>
          <w:rFonts w:hint="cs"/>
          <w:sz w:val="27"/>
          <w:rtl/>
        </w:rPr>
        <w:t>ّ</w:t>
      </w:r>
      <w:r w:rsidRPr="006571AC">
        <w:rPr>
          <w:sz w:val="27"/>
          <w:rtl/>
        </w:rPr>
        <w:t>د، عن ابن فض</w:t>
      </w:r>
      <w:r w:rsidRPr="006571AC">
        <w:rPr>
          <w:rFonts w:hint="cs"/>
          <w:sz w:val="27"/>
          <w:rtl/>
        </w:rPr>
        <w:t>ّ</w:t>
      </w:r>
      <w:r w:rsidRPr="006571AC">
        <w:rPr>
          <w:sz w:val="27"/>
          <w:rtl/>
        </w:rPr>
        <w:t>ال، عن علي</w:t>
      </w:r>
      <w:r w:rsidRPr="006571AC">
        <w:rPr>
          <w:rFonts w:hint="cs"/>
          <w:sz w:val="27"/>
          <w:rtl/>
        </w:rPr>
        <w:t>ّ</w:t>
      </w:r>
      <w:r w:rsidRPr="006571AC">
        <w:rPr>
          <w:sz w:val="27"/>
          <w:rtl/>
        </w:rPr>
        <w:t xml:space="preserve"> بن الجهم قال: سمعت</w:t>
      </w:r>
      <w:r w:rsidRPr="006571AC">
        <w:rPr>
          <w:rFonts w:hint="cs"/>
          <w:sz w:val="27"/>
          <w:rtl/>
        </w:rPr>
        <w:t>ُ</w:t>
      </w:r>
      <w:r w:rsidRPr="006571AC">
        <w:rPr>
          <w:sz w:val="27"/>
          <w:rtl/>
        </w:rPr>
        <w:t xml:space="preserve"> أبا الحسن موسى</w:t>
      </w:r>
      <w:r w:rsidRPr="006571AC">
        <w:rPr>
          <w:rFonts w:ascii="Mosawi" w:hAnsi="Mosawi" w:cs="Mosawi"/>
          <w:sz w:val="22"/>
          <w:szCs w:val="22"/>
          <w:rtl/>
        </w:rPr>
        <w:t>×</w:t>
      </w:r>
      <w:r w:rsidRPr="006571AC">
        <w:rPr>
          <w:sz w:val="27"/>
          <w:rtl/>
        </w:rPr>
        <w:t xml:space="preserve"> يقول: لا يأبى الكرامة إلا</w:t>
      </w:r>
      <w:r w:rsidRPr="006571AC">
        <w:rPr>
          <w:rFonts w:hint="cs"/>
          <w:sz w:val="27"/>
          <w:rtl/>
        </w:rPr>
        <w:t>ّ</w:t>
      </w:r>
      <w:r w:rsidRPr="006571AC">
        <w:rPr>
          <w:sz w:val="27"/>
          <w:rtl/>
        </w:rPr>
        <w:t xml:space="preserve"> حمار</w:t>
      </w:r>
      <w:r w:rsidR="001A0C0A" w:rsidRPr="006571AC">
        <w:rPr>
          <w:rFonts w:hint="cs"/>
          <w:sz w:val="27"/>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49"/>
      </w:r>
      <w:r w:rsidRPr="006571AC">
        <w:rPr>
          <w:sz w:val="27"/>
          <w:vertAlign w:val="superscript"/>
          <w:rtl/>
        </w:rPr>
        <w:t>)</w:t>
      </w:r>
      <w:r w:rsidRPr="006571AC">
        <w:rPr>
          <w:rFonts w:hint="cs"/>
          <w:sz w:val="27"/>
          <w:rtl/>
        </w:rPr>
        <w:t>.</w:t>
      </w:r>
    </w:p>
    <w:p w:rsidR="008A3F20" w:rsidRPr="006571AC" w:rsidRDefault="008A3F20" w:rsidP="001A0C0A">
      <w:pPr>
        <w:rPr>
          <w:sz w:val="27"/>
          <w:rtl/>
        </w:rPr>
      </w:pPr>
      <w:r w:rsidRPr="006571AC">
        <w:rPr>
          <w:rFonts w:hint="cs"/>
          <w:sz w:val="27"/>
          <w:rtl/>
        </w:rPr>
        <w:t xml:space="preserve">وبمراجعة المصدر الثاني، وهو </w:t>
      </w:r>
      <w:r w:rsidRPr="006571AC">
        <w:rPr>
          <w:rFonts w:hint="cs"/>
          <w:sz w:val="24"/>
          <w:szCs w:val="24"/>
          <w:rtl/>
        </w:rPr>
        <w:t>«</w:t>
      </w:r>
      <w:r w:rsidRPr="006571AC">
        <w:rPr>
          <w:rFonts w:hint="cs"/>
          <w:sz w:val="27"/>
          <w:rtl/>
        </w:rPr>
        <w:t>عيون أخبار الرضا</w:t>
      </w:r>
      <w:r w:rsidRPr="006571AC">
        <w:rPr>
          <w:rFonts w:ascii="Mosawi" w:hAnsi="Mosawi" w:cs="Mosawi"/>
          <w:sz w:val="22"/>
          <w:szCs w:val="22"/>
          <w:rtl/>
        </w:rPr>
        <w:t>×</w:t>
      </w:r>
      <w:r w:rsidRPr="006571AC">
        <w:rPr>
          <w:rFonts w:hint="cs"/>
          <w:sz w:val="24"/>
          <w:szCs w:val="24"/>
          <w:rtl/>
        </w:rPr>
        <w:t>»</w:t>
      </w:r>
      <w:r w:rsidRPr="006571AC">
        <w:rPr>
          <w:rFonts w:hint="cs"/>
          <w:sz w:val="27"/>
          <w:rtl/>
        </w:rPr>
        <w:t>، وج</w:t>
      </w:r>
      <w:r w:rsidR="001A0C0A" w:rsidRPr="006571AC">
        <w:rPr>
          <w:rFonts w:hint="cs"/>
          <w:sz w:val="27"/>
          <w:rtl/>
        </w:rPr>
        <w:t>َ</w:t>
      </w:r>
      <w:r w:rsidRPr="006571AC">
        <w:rPr>
          <w:rFonts w:hint="cs"/>
          <w:sz w:val="27"/>
          <w:rtl/>
        </w:rPr>
        <w:t>د</w:t>
      </w:r>
      <w:r w:rsidR="001A0C0A"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b/>
          <w:bCs/>
          <w:sz w:val="27"/>
          <w:rtl/>
        </w:rPr>
        <w:t>حد</w:t>
      </w:r>
      <w:r w:rsidRPr="006571AC">
        <w:rPr>
          <w:rFonts w:hint="cs"/>
          <w:b/>
          <w:bCs/>
          <w:sz w:val="27"/>
          <w:rtl/>
        </w:rPr>
        <w:t>ّ</w:t>
      </w:r>
      <w:r w:rsidRPr="006571AC">
        <w:rPr>
          <w:b/>
          <w:bCs/>
          <w:sz w:val="27"/>
          <w:rtl/>
        </w:rPr>
        <w:t>ثنا محم</w:t>
      </w:r>
      <w:r w:rsidRPr="006571AC">
        <w:rPr>
          <w:rFonts w:hint="cs"/>
          <w:b/>
          <w:bCs/>
          <w:sz w:val="27"/>
          <w:rtl/>
        </w:rPr>
        <w:t>ّ</w:t>
      </w:r>
      <w:r w:rsidRPr="006571AC">
        <w:rPr>
          <w:b/>
          <w:bCs/>
          <w:sz w:val="27"/>
          <w:rtl/>
        </w:rPr>
        <w:t>د بن الحسن بن أحمد بن الوليد رض</w:t>
      </w:r>
      <w:r w:rsidRPr="006571AC">
        <w:rPr>
          <w:rFonts w:hint="cs"/>
          <w:b/>
          <w:bCs/>
          <w:sz w:val="27"/>
          <w:rtl/>
        </w:rPr>
        <w:t>ي</w:t>
      </w:r>
      <w:r w:rsidRPr="006571AC">
        <w:rPr>
          <w:b/>
          <w:bCs/>
          <w:sz w:val="27"/>
          <w:rtl/>
        </w:rPr>
        <w:t xml:space="preserve"> الله عنه قال: حد</w:t>
      </w:r>
      <w:r w:rsidRPr="006571AC">
        <w:rPr>
          <w:rFonts w:hint="cs"/>
          <w:b/>
          <w:bCs/>
          <w:sz w:val="27"/>
          <w:rtl/>
        </w:rPr>
        <w:t>ّ</w:t>
      </w:r>
      <w:r w:rsidRPr="006571AC">
        <w:rPr>
          <w:b/>
          <w:bCs/>
          <w:sz w:val="27"/>
          <w:rtl/>
        </w:rPr>
        <w:t>ثنا محم</w:t>
      </w:r>
      <w:r w:rsidRPr="006571AC">
        <w:rPr>
          <w:rFonts w:hint="cs"/>
          <w:b/>
          <w:bCs/>
          <w:sz w:val="27"/>
          <w:rtl/>
        </w:rPr>
        <w:t>ّ</w:t>
      </w:r>
      <w:r w:rsidRPr="006571AC">
        <w:rPr>
          <w:b/>
          <w:bCs/>
          <w:sz w:val="27"/>
          <w:rtl/>
        </w:rPr>
        <w:t>د بن الحسن الصف</w:t>
      </w:r>
      <w:r w:rsidRPr="006571AC">
        <w:rPr>
          <w:rFonts w:hint="cs"/>
          <w:b/>
          <w:bCs/>
          <w:sz w:val="27"/>
          <w:rtl/>
        </w:rPr>
        <w:t>ّ</w:t>
      </w:r>
      <w:r w:rsidRPr="006571AC">
        <w:rPr>
          <w:b/>
          <w:bCs/>
          <w:sz w:val="27"/>
          <w:rtl/>
        </w:rPr>
        <w:t>ار</w:t>
      </w:r>
      <w:r w:rsidRPr="006571AC">
        <w:rPr>
          <w:rFonts w:hint="cs"/>
          <w:b/>
          <w:bCs/>
          <w:sz w:val="27"/>
          <w:rtl/>
        </w:rPr>
        <w:t>،</w:t>
      </w:r>
      <w:r w:rsidRPr="006571AC">
        <w:rPr>
          <w:b/>
          <w:bCs/>
          <w:sz w:val="27"/>
          <w:rtl/>
        </w:rPr>
        <w:t xml:space="preserve"> عن أحمد بن محم</w:t>
      </w:r>
      <w:r w:rsidRPr="006571AC">
        <w:rPr>
          <w:rFonts w:hint="cs"/>
          <w:b/>
          <w:bCs/>
          <w:sz w:val="27"/>
          <w:rtl/>
        </w:rPr>
        <w:t>ّ</w:t>
      </w:r>
      <w:r w:rsidRPr="006571AC">
        <w:rPr>
          <w:b/>
          <w:bCs/>
          <w:sz w:val="27"/>
          <w:rtl/>
        </w:rPr>
        <w:t>د بن عيسى</w:t>
      </w:r>
      <w:r w:rsidRPr="006571AC">
        <w:rPr>
          <w:rFonts w:hint="cs"/>
          <w:sz w:val="27"/>
          <w:rtl/>
        </w:rPr>
        <w:t>،</w:t>
      </w:r>
      <w:r w:rsidRPr="006571AC">
        <w:rPr>
          <w:sz w:val="27"/>
          <w:rtl/>
        </w:rPr>
        <w:t xml:space="preserve"> عن الحسن بن علي</w:t>
      </w:r>
      <w:r w:rsidRPr="006571AC">
        <w:rPr>
          <w:rFonts w:hint="cs"/>
          <w:sz w:val="27"/>
          <w:rtl/>
        </w:rPr>
        <w:t>ّ</w:t>
      </w:r>
      <w:r w:rsidRPr="006571AC">
        <w:rPr>
          <w:sz w:val="27"/>
          <w:rtl/>
        </w:rPr>
        <w:t xml:space="preserve"> بن فض</w:t>
      </w:r>
      <w:r w:rsidRPr="006571AC">
        <w:rPr>
          <w:rFonts w:hint="cs"/>
          <w:sz w:val="27"/>
          <w:rtl/>
        </w:rPr>
        <w:t>ّ</w:t>
      </w:r>
      <w:r w:rsidRPr="006571AC">
        <w:rPr>
          <w:sz w:val="27"/>
          <w:rtl/>
        </w:rPr>
        <w:t>ال</w:t>
      </w:r>
      <w:r w:rsidRPr="006571AC">
        <w:rPr>
          <w:rFonts w:hint="cs"/>
          <w:sz w:val="27"/>
          <w:rtl/>
        </w:rPr>
        <w:t>،</w:t>
      </w:r>
      <w:r w:rsidRPr="006571AC">
        <w:rPr>
          <w:sz w:val="27"/>
          <w:rtl/>
        </w:rPr>
        <w:t xml:space="preserve"> عن عل</w:t>
      </w:r>
      <w:r w:rsidRPr="006571AC">
        <w:rPr>
          <w:rFonts w:hint="cs"/>
          <w:sz w:val="27"/>
          <w:rtl/>
        </w:rPr>
        <w:t>يّ</w:t>
      </w:r>
      <w:r w:rsidRPr="006571AC">
        <w:rPr>
          <w:sz w:val="27"/>
          <w:rtl/>
        </w:rPr>
        <w:t xml:space="preserve"> بن الجهم قال: سمعت</w:t>
      </w:r>
      <w:r w:rsidRPr="006571AC">
        <w:rPr>
          <w:rFonts w:hint="cs"/>
          <w:sz w:val="27"/>
          <w:rtl/>
        </w:rPr>
        <w:t>ُ</w:t>
      </w:r>
      <w:r w:rsidRPr="006571AC">
        <w:rPr>
          <w:sz w:val="27"/>
          <w:rtl/>
        </w:rPr>
        <w:t xml:space="preserve"> أبا الحسن</w:t>
      </w:r>
      <w:r w:rsidRPr="006571AC">
        <w:rPr>
          <w:rFonts w:ascii="Mosawi" w:hAnsi="Mosawi" w:cs="Mosawi"/>
          <w:sz w:val="22"/>
          <w:szCs w:val="22"/>
          <w:rtl/>
        </w:rPr>
        <w:t>×</w:t>
      </w:r>
      <w:r w:rsidRPr="006571AC">
        <w:rPr>
          <w:sz w:val="27"/>
          <w:rtl/>
        </w:rPr>
        <w:t xml:space="preserve"> يقول: لا يأبى الكرامة إلا</w:t>
      </w:r>
      <w:r w:rsidRPr="006571AC">
        <w:rPr>
          <w:rFonts w:hint="cs"/>
          <w:sz w:val="27"/>
          <w:rtl/>
        </w:rPr>
        <w:t>ّ</w:t>
      </w:r>
      <w:r w:rsidRPr="006571AC">
        <w:rPr>
          <w:sz w:val="27"/>
          <w:rtl/>
        </w:rPr>
        <w:t xml:space="preserve"> حمار</w:t>
      </w:r>
      <w:r w:rsidR="001A0C0A" w:rsidRPr="006571AC">
        <w:rPr>
          <w:rFonts w:hint="cs"/>
          <w:sz w:val="27"/>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50"/>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فلاحِظْ كيف أنّ الشيخ الحُرّ</w:t>
      </w:r>
      <w:r w:rsidRPr="006571AC">
        <w:rPr>
          <w:rFonts w:ascii="Mosawi" w:hAnsi="Mosawi" w:cs="Mosawi"/>
          <w:sz w:val="22"/>
          <w:szCs w:val="22"/>
          <w:rtl/>
        </w:rPr>
        <w:t>&amp;</w:t>
      </w:r>
      <w:r w:rsidRPr="006571AC">
        <w:rPr>
          <w:rFonts w:hint="cs"/>
          <w:sz w:val="27"/>
          <w:rtl/>
        </w:rPr>
        <w:t xml:space="preserve"> قد حذف مشخِّصات ثلاثة من الرواة.</w:t>
      </w:r>
    </w:p>
    <w:p w:rsidR="008A3F20" w:rsidRPr="006571AC" w:rsidRDefault="008A3F20" w:rsidP="000C6F2A">
      <w:pPr>
        <w:rPr>
          <w:sz w:val="27"/>
          <w:rtl/>
        </w:rPr>
      </w:pPr>
      <w:r w:rsidRPr="006571AC">
        <w:rPr>
          <w:rFonts w:hint="cs"/>
          <w:sz w:val="27"/>
          <w:rtl/>
        </w:rPr>
        <w:t>ولعلّ ذلك منه</w:t>
      </w:r>
      <w:r w:rsidRPr="006571AC">
        <w:rPr>
          <w:rFonts w:ascii="Mosawi" w:hAnsi="Mosawi" w:cs="Mosawi"/>
          <w:sz w:val="22"/>
          <w:szCs w:val="22"/>
          <w:rtl/>
        </w:rPr>
        <w:t>&amp;</w:t>
      </w:r>
      <w:r w:rsidRPr="006571AC">
        <w:rPr>
          <w:rFonts w:hint="cs"/>
          <w:sz w:val="27"/>
          <w:rtl/>
        </w:rPr>
        <w:t xml:space="preserve"> اعتماداً على شهرتهم ومعروفيّتهم عند العلماء</w:t>
      </w:r>
      <w:r w:rsidRPr="006571AC">
        <w:rPr>
          <w:sz w:val="27"/>
          <w:vertAlign w:val="superscript"/>
          <w:rtl/>
        </w:rPr>
        <w:t>(</w:t>
      </w:r>
      <w:r w:rsidRPr="006571AC">
        <w:rPr>
          <w:rStyle w:val="ac"/>
          <w:sz w:val="27"/>
          <w:rtl/>
        </w:rPr>
        <w:endnoteReference w:id="851"/>
      </w:r>
      <w:r w:rsidRPr="006571AC">
        <w:rPr>
          <w:sz w:val="27"/>
          <w:vertAlign w:val="superscript"/>
          <w:rtl/>
        </w:rPr>
        <w:t>)</w:t>
      </w:r>
      <w:r w:rsidRPr="006571AC">
        <w:rPr>
          <w:rFonts w:hint="cs"/>
          <w:sz w:val="27"/>
          <w:rtl/>
        </w:rPr>
        <w:t>.</w:t>
      </w:r>
    </w:p>
    <w:p w:rsidR="008A3F20" w:rsidRPr="006571AC" w:rsidRDefault="008A3F20" w:rsidP="001A0C0A">
      <w:pPr>
        <w:rPr>
          <w:sz w:val="27"/>
          <w:rtl/>
        </w:rPr>
      </w:pPr>
      <w:r w:rsidRPr="006571AC">
        <w:rPr>
          <w:rFonts w:hint="cs"/>
          <w:sz w:val="27"/>
          <w:rtl/>
        </w:rPr>
        <w:t xml:space="preserve">* وما في الباب 1 من أبواب جهاد العدوّ وما يناسبه، ح 10، حيث قال: </w:t>
      </w:r>
      <w:r w:rsidRPr="006571AC">
        <w:rPr>
          <w:rFonts w:hint="cs"/>
          <w:sz w:val="24"/>
          <w:szCs w:val="24"/>
          <w:rtl/>
        </w:rPr>
        <w:t>«</w:t>
      </w:r>
      <w:r w:rsidRPr="006571AC">
        <w:rPr>
          <w:sz w:val="27"/>
          <w:rtl/>
        </w:rPr>
        <w:t>و</w:t>
      </w:r>
      <w:r w:rsidRPr="006571AC">
        <w:rPr>
          <w:rFonts w:hint="cs"/>
          <w:sz w:val="27"/>
          <w:rtl/>
        </w:rPr>
        <w:t xml:space="preserve">[محمّد بن يعقوب] </w:t>
      </w:r>
      <w:r w:rsidRPr="006571AC">
        <w:rPr>
          <w:sz w:val="27"/>
          <w:rtl/>
        </w:rPr>
        <w:t xml:space="preserve">عنهم، </w:t>
      </w:r>
      <w:r w:rsidRPr="006571AC">
        <w:rPr>
          <w:b/>
          <w:bCs/>
          <w:sz w:val="27"/>
          <w:rtl/>
        </w:rPr>
        <w:t>عن ابن خالد</w:t>
      </w:r>
      <w:r w:rsidRPr="006571AC">
        <w:rPr>
          <w:sz w:val="27"/>
          <w:rtl/>
        </w:rPr>
        <w:t>، عن أبيه، عن أبي البختري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sz w:val="27"/>
          <w:rtl/>
        </w:rPr>
        <w:t xml:space="preserve"> قال: قال رسول الله</w:t>
      </w:r>
      <w:r w:rsidRPr="006571AC">
        <w:rPr>
          <w:rFonts w:ascii="Mosawi" w:hAnsi="Mosawi" w:cs="Mosawi"/>
          <w:sz w:val="22"/>
          <w:szCs w:val="22"/>
          <w:rtl/>
        </w:rPr>
        <w:t>|</w:t>
      </w:r>
      <w:r w:rsidRPr="006571AC">
        <w:rPr>
          <w:sz w:val="27"/>
          <w:rtl/>
        </w:rPr>
        <w:t>: إن</w:t>
      </w:r>
      <w:r w:rsidRPr="006571AC">
        <w:rPr>
          <w:rFonts w:hint="cs"/>
          <w:sz w:val="27"/>
          <w:rtl/>
        </w:rPr>
        <w:t>ّ</w:t>
      </w:r>
      <w:r w:rsidRPr="006571AC">
        <w:rPr>
          <w:sz w:val="27"/>
          <w:rtl/>
        </w:rPr>
        <w:t xml:space="preserve"> جبرئيل</w:t>
      </w:r>
      <w:r w:rsidRPr="006571AC">
        <w:rPr>
          <w:rFonts w:ascii="Mosawi" w:hAnsi="Mosawi" w:cs="Mosawi"/>
          <w:sz w:val="22"/>
          <w:szCs w:val="22"/>
          <w:rtl/>
        </w:rPr>
        <w:t>×</w:t>
      </w:r>
      <w:r w:rsidRPr="006571AC">
        <w:rPr>
          <w:sz w:val="27"/>
          <w:rtl/>
        </w:rPr>
        <w:t xml:space="preserve"> أخبرني بأمر</w:t>
      </w:r>
      <w:r w:rsidR="001A0C0A" w:rsidRPr="006571AC">
        <w:rPr>
          <w:rFonts w:hint="cs"/>
          <w:sz w:val="27"/>
          <w:rtl/>
        </w:rPr>
        <w:t>ٍ</w:t>
      </w:r>
      <w:r w:rsidRPr="006571AC">
        <w:rPr>
          <w:sz w:val="27"/>
          <w:rtl/>
        </w:rPr>
        <w:t xml:space="preserve"> قر</w:t>
      </w:r>
      <w:r w:rsidRPr="006571AC">
        <w:rPr>
          <w:rFonts w:hint="cs"/>
          <w:sz w:val="27"/>
          <w:rtl/>
        </w:rPr>
        <w:t>ّ</w:t>
      </w:r>
      <w:r w:rsidR="001A0C0A" w:rsidRPr="006571AC">
        <w:rPr>
          <w:rFonts w:hint="cs"/>
          <w:sz w:val="27"/>
          <w:rtl/>
        </w:rPr>
        <w:t>َ</w:t>
      </w:r>
      <w:r w:rsidRPr="006571AC">
        <w:rPr>
          <w:sz w:val="27"/>
          <w:rtl/>
        </w:rPr>
        <w:t>ت</w:t>
      </w:r>
      <w:r w:rsidR="001A0C0A" w:rsidRPr="006571AC">
        <w:rPr>
          <w:rFonts w:hint="cs"/>
          <w:sz w:val="27"/>
          <w:rtl/>
        </w:rPr>
        <w:t>ْ</w:t>
      </w:r>
      <w:r w:rsidRPr="006571AC">
        <w:rPr>
          <w:sz w:val="27"/>
          <w:rtl/>
        </w:rPr>
        <w:t xml:space="preserve"> به عيني</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52"/>
      </w:r>
      <w:r w:rsidRPr="006571AC">
        <w:rPr>
          <w:sz w:val="27"/>
          <w:vertAlign w:val="superscript"/>
          <w:rtl/>
        </w:rPr>
        <w:t>)</w:t>
      </w:r>
      <w:r w:rsidRPr="006571AC">
        <w:rPr>
          <w:rFonts w:hint="cs"/>
          <w:sz w:val="27"/>
          <w:rtl/>
        </w:rPr>
        <w:t>.</w:t>
      </w:r>
    </w:p>
    <w:p w:rsidR="008A3F20" w:rsidRPr="006571AC" w:rsidRDefault="008A3F20" w:rsidP="008F30D3">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وج</w:t>
      </w:r>
      <w:r w:rsidR="001A0C0A" w:rsidRPr="006571AC">
        <w:rPr>
          <w:rFonts w:hint="cs"/>
          <w:sz w:val="27"/>
          <w:rtl/>
        </w:rPr>
        <w:t>َ</w:t>
      </w:r>
      <w:r w:rsidRPr="006571AC">
        <w:rPr>
          <w:rFonts w:hint="cs"/>
          <w:sz w:val="27"/>
          <w:rtl/>
        </w:rPr>
        <w:t>د</w:t>
      </w:r>
      <w:r w:rsidR="001A0C0A"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sz w:val="27"/>
          <w:rtl/>
        </w:rPr>
        <w:t>عد</w:t>
      </w:r>
      <w:r w:rsidRPr="006571AC">
        <w:rPr>
          <w:rFonts w:hint="cs"/>
          <w:sz w:val="27"/>
          <w:rtl/>
        </w:rPr>
        <w:t>ّ</w:t>
      </w:r>
      <w:r w:rsidRPr="006571AC">
        <w:rPr>
          <w:sz w:val="27"/>
          <w:rtl/>
        </w:rPr>
        <w:t>ة</w:t>
      </w:r>
      <w:r w:rsidR="001A0C0A" w:rsidRPr="006571AC">
        <w:rPr>
          <w:rFonts w:hint="cs"/>
          <w:sz w:val="27"/>
          <w:rtl/>
        </w:rPr>
        <w:t>ٌ</w:t>
      </w:r>
      <w:r w:rsidRPr="006571AC">
        <w:rPr>
          <w:sz w:val="27"/>
          <w:rtl/>
        </w:rPr>
        <w:t xml:space="preserve"> من أصحابنا، </w:t>
      </w:r>
      <w:r w:rsidRPr="006571AC">
        <w:rPr>
          <w:b/>
          <w:bCs/>
          <w:sz w:val="27"/>
          <w:rtl/>
        </w:rPr>
        <w:t>عن أحمد بن محم</w:t>
      </w:r>
      <w:r w:rsidRPr="006571AC">
        <w:rPr>
          <w:rFonts w:hint="cs"/>
          <w:b/>
          <w:bCs/>
          <w:sz w:val="27"/>
          <w:rtl/>
        </w:rPr>
        <w:t>ّ</w:t>
      </w:r>
      <w:r w:rsidRPr="006571AC">
        <w:rPr>
          <w:b/>
          <w:bCs/>
          <w:sz w:val="27"/>
          <w:rtl/>
        </w:rPr>
        <w:t>د بن خالد</w:t>
      </w:r>
      <w:r w:rsidRPr="006571AC">
        <w:rPr>
          <w:sz w:val="27"/>
          <w:rtl/>
        </w:rPr>
        <w:t>، عن أبي البختري</w:t>
      </w:r>
      <w:r w:rsidRPr="006571AC">
        <w:rPr>
          <w:rFonts w:hint="cs"/>
          <w:sz w:val="27"/>
          <w:rtl/>
        </w:rPr>
        <w:t>ّ</w:t>
      </w:r>
      <w:r w:rsidRPr="006571AC">
        <w:rPr>
          <w:sz w:val="27"/>
          <w:rtl/>
        </w:rPr>
        <w:t>، عن أبي عبد الل</w:t>
      </w:r>
      <w:r w:rsidRPr="006571AC">
        <w:rPr>
          <w:rFonts w:hint="cs"/>
          <w:sz w:val="27"/>
          <w:rtl/>
        </w:rPr>
        <w:t>ه</w:t>
      </w:r>
      <w:r w:rsidRPr="006571AC">
        <w:rPr>
          <w:rFonts w:ascii="Mosawi" w:hAnsi="Mosawi" w:cs="Mosawi"/>
          <w:sz w:val="22"/>
          <w:szCs w:val="22"/>
          <w:rtl/>
        </w:rPr>
        <w:t>×</w:t>
      </w:r>
      <w:r w:rsidRPr="006571AC">
        <w:rPr>
          <w:sz w:val="27"/>
          <w:rtl/>
        </w:rPr>
        <w:t xml:space="preserve"> قال: قال رسول الله</w:t>
      </w:r>
      <w:r w:rsidRPr="006571AC">
        <w:rPr>
          <w:rFonts w:ascii="Mosawi" w:hAnsi="Mosawi" w:cs="Mosawi"/>
          <w:sz w:val="22"/>
          <w:szCs w:val="22"/>
          <w:rtl/>
        </w:rPr>
        <w:t>|</w:t>
      </w:r>
      <w:r w:rsidRPr="006571AC">
        <w:rPr>
          <w:rFonts w:hint="cs"/>
          <w:sz w:val="27"/>
          <w:rtl/>
        </w:rPr>
        <w:t>:</w:t>
      </w:r>
      <w:r w:rsidRPr="006571AC">
        <w:rPr>
          <w:sz w:val="27"/>
          <w:rtl/>
        </w:rPr>
        <w:t xml:space="preserve"> إن</w:t>
      </w:r>
      <w:r w:rsidRPr="006571AC">
        <w:rPr>
          <w:rFonts w:hint="cs"/>
          <w:sz w:val="27"/>
          <w:rtl/>
        </w:rPr>
        <w:t>ّ</w:t>
      </w:r>
      <w:r w:rsidR="00300B60" w:rsidRPr="006571AC">
        <w:rPr>
          <w:sz w:val="27"/>
          <w:rtl/>
        </w:rPr>
        <w:t xml:space="preserve"> جبرئيل أخبرني بأ</w:t>
      </w:r>
      <w:r w:rsidR="00300B60" w:rsidRPr="006571AC">
        <w:rPr>
          <w:rFonts w:hint="cs"/>
          <w:sz w:val="27"/>
          <w:rtl/>
        </w:rPr>
        <w:t>مرٍ قَ</w:t>
      </w:r>
      <w:r w:rsidRPr="006571AC">
        <w:rPr>
          <w:sz w:val="27"/>
          <w:rtl/>
        </w:rPr>
        <w:t>ر</w:t>
      </w:r>
      <w:r w:rsidR="00300B60" w:rsidRPr="006571AC">
        <w:rPr>
          <w:rFonts w:hint="cs"/>
          <w:sz w:val="27"/>
          <w:rtl/>
        </w:rPr>
        <w:t>َ</w:t>
      </w:r>
      <w:r w:rsidRPr="006571AC">
        <w:rPr>
          <w:rFonts w:hint="cs"/>
          <w:sz w:val="27"/>
          <w:rtl/>
        </w:rPr>
        <w:t>ّ</w:t>
      </w:r>
      <w:r w:rsidR="00300B60" w:rsidRPr="006571AC">
        <w:rPr>
          <w:rFonts w:hint="cs"/>
          <w:sz w:val="27"/>
          <w:rtl/>
        </w:rPr>
        <w:t>َ</w:t>
      </w:r>
      <w:r w:rsidRPr="006571AC">
        <w:rPr>
          <w:sz w:val="27"/>
          <w:rtl/>
        </w:rPr>
        <w:t>ت</w:t>
      </w:r>
      <w:r w:rsidR="00300B60" w:rsidRPr="006571AC">
        <w:rPr>
          <w:rFonts w:hint="cs"/>
          <w:sz w:val="27"/>
          <w:rtl/>
        </w:rPr>
        <w:t>ْ</w:t>
      </w:r>
      <w:r w:rsidRPr="006571AC">
        <w:rPr>
          <w:sz w:val="27"/>
          <w:rtl/>
        </w:rPr>
        <w:t xml:space="preserve"> به عيني</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53"/>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فلاحِظْ كيف أنّه اكتفى من قول الشيخ الكلينيّ</w:t>
      </w:r>
      <w:r w:rsidRPr="006571AC">
        <w:rPr>
          <w:rFonts w:ascii="Mosawi" w:hAnsi="Mosawi" w:cs="Mosawi"/>
          <w:sz w:val="22"/>
          <w:szCs w:val="22"/>
          <w:rtl/>
        </w:rPr>
        <w:t>&amp;</w:t>
      </w:r>
      <w:r w:rsidRPr="006571AC">
        <w:rPr>
          <w:rFonts w:hint="cs"/>
          <w:sz w:val="27"/>
          <w:rtl/>
        </w:rPr>
        <w:t xml:space="preserve">: </w:t>
      </w:r>
      <w:r w:rsidRPr="006571AC">
        <w:rPr>
          <w:rFonts w:hint="cs"/>
          <w:sz w:val="24"/>
          <w:szCs w:val="24"/>
          <w:rtl/>
        </w:rPr>
        <w:t>«</w:t>
      </w:r>
      <w:r w:rsidRPr="006571AC">
        <w:rPr>
          <w:rFonts w:hint="cs"/>
          <w:sz w:val="27"/>
          <w:rtl/>
        </w:rPr>
        <w:t>عن أحمد بن محمّد بن خالد</w:t>
      </w:r>
      <w:r w:rsidRPr="006571AC">
        <w:rPr>
          <w:rFonts w:hint="cs"/>
          <w:sz w:val="24"/>
          <w:szCs w:val="24"/>
          <w:rtl/>
        </w:rPr>
        <w:t>»</w:t>
      </w:r>
      <w:r w:rsidRPr="006571AC">
        <w:rPr>
          <w:rFonts w:hint="cs"/>
          <w:sz w:val="27"/>
          <w:rtl/>
        </w:rPr>
        <w:t xml:space="preserve"> بقوله: </w:t>
      </w:r>
      <w:r w:rsidRPr="006571AC">
        <w:rPr>
          <w:rFonts w:hint="cs"/>
          <w:sz w:val="24"/>
          <w:szCs w:val="24"/>
          <w:rtl/>
        </w:rPr>
        <w:t>«</w:t>
      </w:r>
      <w:r w:rsidRPr="006571AC">
        <w:rPr>
          <w:rFonts w:hint="cs"/>
          <w:sz w:val="27"/>
          <w:rtl/>
        </w:rPr>
        <w:t>عن ابن خالد</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ولعلّ ذلك منه</w:t>
      </w:r>
      <w:r w:rsidRPr="006571AC">
        <w:rPr>
          <w:rFonts w:ascii="Mosawi" w:hAnsi="Mosawi" w:cs="Mosawi"/>
          <w:sz w:val="22"/>
          <w:szCs w:val="22"/>
          <w:rtl/>
        </w:rPr>
        <w:t>&amp;</w:t>
      </w:r>
      <w:r w:rsidRPr="006571AC">
        <w:rPr>
          <w:rFonts w:hint="cs"/>
          <w:sz w:val="27"/>
          <w:rtl/>
        </w:rPr>
        <w:t xml:space="preserve"> اعتماداً على ما ذكره في الحديث 9 من نفس الباب وهو: </w:t>
      </w:r>
      <w:r w:rsidRPr="006571AC">
        <w:rPr>
          <w:rFonts w:hint="cs"/>
          <w:sz w:val="24"/>
          <w:szCs w:val="24"/>
          <w:rtl/>
        </w:rPr>
        <w:t>«</w:t>
      </w:r>
      <w:r w:rsidRPr="006571AC">
        <w:rPr>
          <w:b/>
          <w:bCs/>
          <w:sz w:val="27"/>
          <w:rtl/>
        </w:rPr>
        <w:t>و</w:t>
      </w:r>
      <w:r w:rsidRPr="006571AC">
        <w:rPr>
          <w:rFonts w:hint="cs"/>
          <w:b/>
          <w:bCs/>
          <w:sz w:val="27"/>
          <w:rtl/>
        </w:rPr>
        <w:t xml:space="preserve">[محمّد بن يعقوب] </w:t>
      </w:r>
      <w:r w:rsidRPr="006571AC">
        <w:rPr>
          <w:b/>
          <w:bCs/>
          <w:sz w:val="27"/>
          <w:rtl/>
        </w:rPr>
        <w:t>عن عد</w:t>
      </w:r>
      <w:r w:rsidRPr="006571AC">
        <w:rPr>
          <w:rFonts w:hint="cs"/>
          <w:b/>
          <w:bCs/>
          <w:sz w:val="27"/>
          <w:rtl/>
        </w:rPr>
        <w:t>ّ</w:t>
      </w:r>
      <w:r w:rsidRPr="006571AC">
        <w:rPr>
          <w:b/>
          <w:bCs/>
          <w:sz w:val="27"/>
          <w:rtl/>
        </w:rPr>
        <w:t>ة</w:t>
      </w:r>
      <w:r w:rsidR="008F30D3" w:rsidRPr="006571AC">
        <w:rPr>
          <w:rFonts w:hint="cs"/>
          <w:b/>
          <w:bCs/>
          <w:sz w:val="27"/>
          <w:rtl/>
        </w:rPr>
        <w:t>ٍ</w:t>
      </w:r>
      <w:r w:rsidRPr="006571AC">
        <w:rPr>
          <w:b/>
          <w:bCs/>
          <w:sz w:val="27"/>
          <w:rtl/>
        </w:rPr>
        <w:t xml:space="preserve"> من أصحابنا، عن أحمد بن محم</w:t>
      </w:r>
      <w:r w:rsidRPr="006571AC">
        <w:rPr>
          <w:rFonts w:hint="cs"/>
          <w:b/>
          <w:bCs/>
          <w:sz w:val="27"/>
          <w:rtl/>
        </w:rPr>
        <w:t>ّ</w:t>
      </w:r>
      <w:r w:rsidRPr="006571AC">
        <w:rPr>
          <w:b/>
          <w:bCs/>
          <w:sz w:val="27"/>
          <w:rtl/>
        </w:rPr>
        <w:t>د بن خالد</w:t>
      </w:r>
      <w:r w:rsidRPr="006571AC">
        <w:rPr>
          <w:sz w:val="27"/>
          <w:rtl/>
        </w:rPr>
        <w:t>، عن بعض أصحابه</w:t>
      </w:r>
      <w:r w:rsidRPr="006571AC">
        <w:rPr>
          <w:rFonts w:hint="cs"/>
          <w:sz w:val="27"/>
          <w:rtl/>
        </w:rPr>
        <w:t>،</w:t>
      </w:r>
      <w:r w:rsidRPr="006571AC">
        <w:rPr>
          <w:sz w:val="27"/>
          <w:rtl/>
        </w:rPr>
        <w:t xml:space="preserve"> عن عبد الله بن عبد الرحمن ال</w:t>
      </w:r>
      <w:r w:rsidRPr="006571AC">
        <w:rPr>
          <w:rFonts w:hint="cs"/>
          <w:sz w:val="27"/>
          <w:rtl/>
        </w:rPr>
        <w:t>أ</w:t>
      </w:r>
      <w:r w:rsidRPr="006571AC">
        <w:rPr>
          <w:sz w:val="27"/>
          <w:rtl/>
        </w:rPr>
        <w:t>صم</w:t>
      </w:r>
      <w:r w:rsidRPr="006571AC">
        <w:rPr>
          <w:rFonts w:hint="cs"/>
          <w:sz w:val="27"/>
          <w:rtl/>
        </w:rPr>
        <w:t>ّ</w:t>
      </w:r>
      <w:r w:rsidRPr="006571AC">
        <w:rPr>
          <w:sz w:val="27"/>
          <w:rtl/>
        </w:rPr>
        <w:t>، عن حيدرة،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w:t>
      </w:r>
      <w:r w:rsidRPr="006571AC">
        <w:rPr>
          <w:sz w:val="27"/>
          <w:rtl/>
        </w:rPr>
        <w:lastRenderedPageBreak/>
        <w:t>قال: الجهاد أفضل ال</w:t>
      </w:r>
      <w:r w:rsidRPr="006571AC">
        <w:rPr>
          <w:rFonts w:hint="cs"/>
          <w:sz w:val="27"/>
          <w:rtl/>
        </w:rPr>
        <w:t>أ</w:t>
      </w:r>
      <w:r w:rsidRPr="006571AC">
        <w:rPr>
          <w:sz w:val="27"/>
          <w:rtl/>
        </w:rPr>
        <w:t>شياء بعد الفرائض</w:t>
      </w:r>
      <w:r w:rsidRPr="006571AC">
        <w:rPr>
          <w:rFonts w:hint="cs"/>
          <w:sz w:val="24"/>
          <w:szCs w:val="24"/>
          <w:rtl/>
        </w:rPr>
        <w:t>»</w:t>
      </w:r>
      <w:r w:rsidRPr="006571AC">
        <w:rPr>
          <w:sz w:val="27"/>
          <w:vertAlign w:val="superscript"/>
          <w:rtl/>
        </w:rPr>
        <w:t>(</w:t>
      </w:r>
      <w:r w:rsidRPr="006571AC">
        <w:rPr>
          <w:rStyle w:val="ac"/>
          <w:sz w:val="27"/>
          <w:rtl/>
        </w:rPr>
        <w:endnoteReference w:id="854"/>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bookmarkStart w:id="535" w:name="_Toc171512737"/>
      <w:r w:rsidRPr="006571AC">
        <w:rPr>
          <w:rStyle w:val="6Char"/>
          <w:rFonts w:hint="cs"/>
          <w:color w:val="auto"/>
          <w:sz w:val="27"/>
          <w:szCs w:val="27"/>
          <w:rtl/>
        </w:rPr>
        <w:t>فيكون الشيخ الحُرّ</w:t>
      </w:r>
      <w:r w:rsidRPr="006571AC">
        <w:rPr>
          <w:rFonts w:ascii="Mosawi" w:hAnsi="Mosawi" w:cs="Mosawi"/>
          <w:sz w:val="22"/>
          <w:szCs w:val="22"/>
          <w:rtl/>
        </w:rPr>
        <w:t>&amp;</w:t>
      </w:r>
      <w:r w:rsidRPr="006571AC">
        <w:rPr>
          <w:rStyle w:val="6Char"/>
          <w:rFonts w:hint="cs"/>
          <w:color w:val="auto"/>
          <w:sz w:val="27"/>
          <w:szCs w:val="27"/>
          <w:rtl/>
        </w:rPr>
        <w:t xml:space="preserve"> قد مارس التعليق الوصفيّ في سند بعض الأحاديث</w:t>
      </w:r>
      <w:bookmarkEnd w:id="535"/>
      <w:r w:rsidRPr="006571AC">
        <w:rPr>
          <w:rFonts w:hint="cs"/>
          <w:sz w:val="27"/>
          <w:rtl/>
        </w:rPr>
        <w:t>.</w:t>
      </w:r>
    </w:p>
    <w:p w:rsidR="008A3F20" w:rsidRPr="006571AC" w:rsidRDefault="008A3F20" w:rsidP="00B03706">
      <w:pPr>
        <w:spacing w:line="430" w:lineRule="exact"/>
        <w:rPr>
          <w:sz w:val="27"/>
          <w:rtl/>
        </w:rPr>
      </w:pPr>
    </w:p>
    <w:p w:rsidR="008A3F20" w:rsidRPr="006571AC" w:rsidRDefault="008A3F20" w:rsidP="00EB5E38">
      <w:pPr>
        <w:pStyle w:val="31"/>
        <w:rPr>
          <w:color w:val="auto"/>
          <w:rtl/>
        </w:rPr>
      </w:pPr>
      <w:bookmarkStart w:id="536" w:name="_Toc171512738"/>
      <w:bookmarkStart w:id="537" w:name="_Toc114164903"/>
      <w:r w:rsidRPr="006571AC">
        <w:rPr>
          <w:rFonts w:hint="cs"/>
          <w:color w:val="auto"/>
          <w:rtl/>
        </w:rPr>
        <w:t>11ـ إنشاء سند للرواية من خلال مضمونها</w:t>
      </w:r>
      <w:bookmarkEnd w:id="536"/>
      <w:bookmarkEnd w:id="537"/>
      <w:r w:rsidRPr="006571AC">
        <w:rPr>
          <w:rFonts w:hint="cs"/>
          <w:color w:val="auto"/>
          <w:rtl/>
        </w:rPr>
        <w:t xml:space="preserve"> </w:t>
      </w:r>
    </w:p>
    <w:p w:rsidR="008A3F20" w:rsidRPr="006571AC" w:rsidRDefault="008A3F20" w:rsidP="000C6F2A">
      <w:pPr>
        <w:rPr>
          <w:sz w:val="27"/>
          <w:rtl/>
        </w:rPr>
      </w:pPr>
      <w:r w:rsidRPr="006571AC">
        <w:rPr>
          <w:rFonts w:hint="cs"/>
          <w:sz w:val="27"/>
          <w:rtl/>
        </w:rPr>
        <w:t>يعمد الشيخ الحُرّ</w:t>
      </w:r>
      <w:r w:rsidRPr="006571AC">
        <w:rPr>
          <w:rFonts w:ascii="Mosawi" w:hAnsi="Mosawi" w:cs="Mosawi"/>
          <w:sz w:val="22"/>
          <w:szCs w:val="22"/>
          <w:rtl/>
        </w:rPr>
        <w:t>&amp;</w:t>
      </w:r>
      <w:r w:rsidRPr="006571AC">
        <w:rPr>
          <w:rFonts w:hint="cs"/>
          <w:sz w:val="27"/>
          <w:rtl/>
        </w:rPr>
        <w:t xml:space="preserve"> في بعض الأحاديث الطويلة إلى نقل فقرة</w:t>
      </w:r>
      <w:r w:rsidR="008F30D3" w:rsidRPr="006571AC">
        <w:rPr>
          <w:rFonts w:hint="cs"/>
          <w:sz w:val="27"/>
          <w:rtl/>
        </w:rPr>
        <w:t>ٍ</w:t>
      </w:r>
      <w:r w:rsidRPr="006571AC">
        <w:rPr>
          <w:rFonts w:hint="cs"/>
          <w:sz w:val="27"/>
          <w:rtl/>
        </w:rPr>
        <w:t xml:space="preserve"> واحدة منها فقط، ولكي يكون المنقول واضحاً يُضطرّ</w:t>
      </w:r>
      <w:r w:rsidRPr="006571AC">
        <w:rPr>
          <w:rFonts w:ascii="Mosawi" w:hAnsi="Mosawi" w:cs="Mosawi"/>
          <w:sz w:val="22"/>
          <w:szCs w:val="22"/>
          <w:rtl/>
        </w:rPr>
        <w:t>&amp;</w:t>
      </w:r>
      <w:r w:rsidRPr="006571AC">
        <w:rPr>
          <w:rFonts w:hint="cs"/>
          <w:sz w:val="27"/>
          <w:rtl/>
        </w:rPr>
        <w:t xml:space="preserve"> إلى إضافة بعض الرواة إلى سند الحديث، وذلك اعتماداً على ما جاء في مضمونه، ومن ذلك: </w:t>
      </w:r>
    </w:p>
    <w:p w:rsidR="008A3F20" w:rsidRPr="006571AC" w:rsidRDefault="008A3F20" w:rsidP="008F30D3">
      <w:pPr>
        <w:rPr>
          <w:sz w:val="27"/>
          <w:rtl/>
        </w:rPr>
      </w:pPr>
      <w:r w:rsidRPr="006571AC">
        <w:rPr>
          <w:rFonts w:hint="cs"/>
          <w:sz w:val="27"/>
          <w:rtl/>
        </w:rPr>
        <w:t xml:space="preserve">* ما في الباب 4 من أبواب الأنفال، ح 12، حيث قال: </w:t>
      </w:r>
      <w:r w:rsidRPr="006571AC">
        <w:rPr>
          <w:rFonts w:hint="cs"/>
          <w:sz w:val="24"/>
          <w:szCs w:val="24"/>
          <w:rtl/>
        </w:rPr>
        <w:t>«</w:t>
      </w:r>
      <w:r w:rsidRPr="006571AC">
        <w:rPr>
          <w:sz w:val="27"/>
          <w:rtl/>
        </w:rPr>
        <w:t>و</w:t>
      </w:r>
      <w:r w:rsidRPr="006571AC">
        <w:rPr>
          <w:rFonts w:hint="cs"/>
          <w:sz w:val="27"/>
          <w:rtl/>
        </w:rPr>
        <w:t xml:space="preserve">[الطوسيّ] </w:t>
      </w:r>
      <w:r w:rsidRPr="006571AC">
        <w:rPr>
          <w:sz w:val="27"/>
          <w:rtl/>
        </w:rPr>
        <w:t>ب</w:t>
      </w:r>
      <w:r w:rsidRPr="006571AC">
        <w:rPr>
          <w:rFonts w:hint="cs"/>
          <w:sz w:val="27"/>
          <w:rtl/>
        </w:rPr>
        <w:t>إ</w:t>
      </w:r>
      <w:r w:rsidRPr="006571AC">
        <w:rPr>
          <w:sz w:val="27"/>
          <w:rtl/>
        </w:rPr>
        <w:t xml:space="preserve">سناده عن سعد بن عبد الله، عن أبي جعفر، عن الحسن بن محبوب، </w:t>
      </w:r>
      <w:r w:rsidRPr="006571AC">
        <w:rPr>
          <w:b/>
          <w:bCs/>
          <w:sz w:val="27"/>
          <w:rtl/>
        </w:rPr>
        <w:t>عن عمر بن يزيد، عن أبي سي</w:t>
      </w:r>
      <w:r w:rsidRPr="006571AC">
        <w:rPr>
          <w:rFonts w:hint="cs"/>
          <w:b/>
          <w:bCs/>
          <w:sz w:val="27"/>
          <w:rtl/>
        </w:rPr>
        <w:t>ّ</w:t>
      </w:r>
      <w:r w:rsidRPr="006571AC">
        <w:rPr>
          <w:b/>
          <w:bCs/>
          <w:sz w:val="27"/>
          <w:rtl/>
        </w:rPr>
        <w:t>ار مسمع بن عبد الملك</w:t>
      </w:r>
      <w:r w:rsidRPr="006571AC">
        <w:rPr>
          <w:sz w:val="27"/>
          <w:rtl/>
        </w:rPr>
        <w:t xml:space="preserve"> </w:t>
      </w:r>
      <w:r w:rsidRPr="006571AC">
        <w:rPr>
          <w:rFonts w:hint="cs"/>
          <w:sz w:val="27"/>
          <w:rtl/>
        </w:rPr>
        <w:t>ـ</w:t>
      </w:r>
      <w:r w:rsidRPr="006571AC">
        <w:rPr>
          <w:sz w:val="27"/>
          <w:rtl/>
        </w:rPr>
        <w:t xml:space="preserve"> في حديث</w:t>
      </w:r>
      <w:r w:rsidR="00300B60" w:rsidRPr="006571AC">
        <w:rPr>
          <w:rFonts w:hint="cs"/>
          <w:sz w:val="27"/>
          <w:rtl/>
        </w:rPr>
        <w:t>ٍ</w:t>
      </w:r>
      <w:r w:rsidRPr="006571AC">
        <w:rPr>
          <w:sz w:val="27"/>
          <w:rtl/>
        </w:rPr>
        <w:t xml:space="preserve"> </w:t>
      </w:r>
      <w:r w:rsidRPr="006571AC">
        <w:rPr>
          <w:rFonts w:hint="cs"/>
          <w:sz w:val="27"/>
          <w:rtl/>
        </w:rPr>
        <w:t>ـ</w:t>
      </w:r>
      <w:r w:rsidRPr="006571AC">
        <w:rPr>
          <w:sz w:val="27"/>
          <w:rtl/>
        </w:rPr>
        <w:t xml:space="preserve"> قال: قلت</w:t>
      </w:r>
      <w:r w:rsidRPr="006571AC">
        <w:rPr>
          <w:rFonts w:hint="cs"/>
          <w:sz w:val="27"/>
          <w:rtl/>
        </w:rPr>
        <w:t>ُ</w:t>
      </w:r>
      <w:r w:rsidRPr="006571AC">
        <w:rPr>
          <w:sz w:val="27"/>
          <w:rtl/>
        </w:rPr>
        <w:t xml:space="preserve"> لأبي عبد الله</w:t>
      </w:r>
      <w:r w:rsidRPr="006571AC">
        <w:rPr>
          <w:rFonts w:ascii="Mosawi" w:hAnsi="Mosawi" w:cs="Mosawi"/>
          <w:sz w:val="22"/>
          <w:szCs w:val="22"/>
          <w:rtl/>
        </w:rPr>
        <w:t>×</w:t>
      </w:r>
      <w:r w:rsidRPr="006571AC">
        <w:rPr>
          <w:sz w:val="27"/>
          <w:rtl/>
        </w:rPr>
        <w:t>: إن</w:t>
      </w:r>
      <w:r w:rsidRPr="006571AC">
        <w:rPr>
          <w:rFonts w:hint="cs"/>
          <w:sz w:val="27"/>
          <w:rtl/>
        </w:rPr>
        <w:t>ّ</w:t>
      </w:r>
      <w:r w:rsidRPr="006571AC">
        <w:rPr>
          <w:sz w:val="27"/>
          <w:rtl/>
        </w:rPr>
        <w:t>ي كنت</w:t>
      </w:r>
      <w:r w:rsidRPr="006571AC">
        <w:rPr>
          <w:rFonts w:hint="cs"/>
          <w:sz w:val="27"/>
          <w:rtl/>
        </w:rPr>
        <w:t>ُ</w:t>
      </w:r>
      <w:r w:rsidRPr="006571AC">
        <w:rPr>
          <w:sz w:val="27"/>
          <w:rtl/>
        </w:rPr>
        <w:t xml:space="preserve"> وليت</w:t>
      </w:r>
      <w:r w:rsidRPr="006571AC">
        <w:rPr>
          <w:rFonts w:hint="cs"/>
          <w:sz w:val="27"/>
          <w:rtl/>
        </w:rPr>
        <w:t>ُ</w:t>
      </w:r>
      <w:r w:rsidRPr="006571AC">
        <w:rPr>
          <w:sz w:val="27"/>
          <w:rtl/>
        </w:rPr>
        <w:t xml:space="preserve"> الغوص فأصب</w:t>
      </w:r>
      <w:r w:rsidR="00300B60" w:rsidRPr="006571AC">
        <w:rPr>
          <w:rFonts w:hint="cs"/>
          <w:sz w:val="27"/>
          <w:rtl/>
        </w:rPr>
        <w:t>ْ</w:t>
      </w:r>
      <w:r w:rsidRPr="006571AC">
        <w:rPr>
          <w:sz w:val="27"/>
          <w:rtl/>
        </w:rPr>
        <w:t>ت</w:t>
      </w:r>
      <w:r w:rsidRPr="006571AC">
        <w:rPr>
          <w:rFonts w:hint="cs"/>
          <w:sz w:val="27"/>
          <w:rtl/>
        </w:rPr>
        <w:t>ُ</w:t>
      </w:r>
      <w:r w:rsidRPr="006571AC">
        <w:rPr>
          <w:sz w:val="27"/>
          <w:rtl/>
        </w:rPr>
        <w:t xml:space="preserve"> أربعمائة ألف درهم</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55"/>
      </w:r>
      <w:r w:rsidRPr="006571AC">
        <w:rPr>
          <w:sz w:val="27"/>
          <w:vertAlign w:val="superscript"/>
          <w:rtl/>
        </w:rPr>
        <w:t>)</w:t>
      </w:r>
      <w:r w:rsidRPr="006571AC">
        <w:rPr>
          <w:rFonts w:hint="cs"/>
          <w:sz w:val="27"/>
          <w:rtl/>
        </w:rPr>
        <w:t xml:space="preserve">. </w:t>
      </w:r>
    </w:p>
    <w:p w:rsidR="008A3F20" w:rsidRPr="006571AC" w:rsidRDefault="008A3F20" w:rsidP="008F30D3">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وج</w:t>
      </w:r>
      <w:r w:rsidR="008F30D3" w:rsidRPr="006571AC">
        <w:rPr>
          <w:rFonts w:hint="cs"/>
          <w:sz w:val="27"/>
          <w:rtl/>
        </w:rPr>
        <w:t>َ</w:t>
      </w:r>
      <w:r w:rsidRPr="006571AC">
        <w:rPr>
          <w:rFonts w:hint="cs"/>
          <w:sz w:val="27"/>
          <w:rtl/>
        </w:rPr>
        <w:t>د</w:t>
      </w:r>
      <w:r w:rsidR="008F30D3"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sz w:val="27"/>
          <w:rtl/>
        </w:rPr>
        <w:t>سعد بن عبد الله</w:t>
      </w:r>
      <w:r w:rsidRPr="006571AC">
        <w:rPr>
          <w:rFonts w:hint="cs"/>
          <w:sz w:val="27"/>
          <w:rtl/>
        </w:rPr>
        <w:t>،</w:t>
      </w:r>
      <w:r w:rsidRPr="006571AC">
        <w:rPr>
          <w:sz w:val="27"/>
          <w:rtl/>
        </w:rPr>
        <w:t xml:space="preserve"> عن </w:t>
      </w:r>
      <w:r w:rsidRPr="006571AC">
        <w:rPr>
          <w:rFonts w:hint="cs"/>
          <w:sz w:val="27"/>
          <w:rtl/>
        </w:rPr>
        <w:t>أ</w:t>
      </w:r>
      <w:r w:rsidRPr="006571AC">
        <w:rPr>
          <w:sz w:val="27"/>
          <w:rtl/>
        </w:rPr>
        <w:t>بي جعفر</w:t>
      </w:r>
      <w:r w:rsidRPr="006571AC">
        <w:rPr>
          <w:rFonts w:hint="cs"/>
          <w:sz w:val="27"/>
          <w:rtl/>
        </w:rPr>
        <w:t>،</w:t>
      </w:r>
      <w:r w:rsidRPr="006571AC">
        <w:rPr>
          <w:sz w:val="27"/>
          <w:rtl/>
        </w:rPr>
        <w:t xml:space="preserve"> عن الحسن بن محبوب</w:t>
      </w:r>
      <w:r w:rsidRPr="006571AC">
        <w:rPr>
          <w:rFonts w:hint="cs"/>
          <w:sz w:val="27"/>
          <w:rtl/>
        </w:rPr>
        <w:t>،</w:t>
      </w:r>
      <w:r w:rsidRPr="006571AC">
        <w:rPr>
          <w:sz w:val="27"/>
          <w:rtl/>
        </w:rPr>
        <w:t xml:space="preserve"> </w:t>
      </w:r>
      <w:r w:rsidRPr="006571AC">
        <w:rPr>
          <w:b/>
          <w:bCs/>
          <w:sz w:val="27"/>
          <w:rtl/>
        </w:rPr>
        <w:t>عن عمر بن يزيد قال: رأيت</w:t>
      </w:r>
      <w:r w:rsidRPr="006571AC">
        <w:rPr>
          <w:rFonts w:hint="cs"/>
          <w:b/>
          <w:bCs/>
          <w:sz w:val="27"/>
          <w:rtl/>
        </w:rPr>
        <w:t>ُ</w:t>
      </w:r>
      <w:r w:rsidRPr="006571AC">
        <w:rPr>
          <w:b/>
          <w:bCs/>
          <w:sz w:val="27"/>
          <w:rtl/>
        </w:rPr>
        <w:t xml:space="preserve"> </w:t>
      </w:r>
      <w:r w:rsidRPr="006571AC">
        <w:rPr>
          <w:rFonts w:hint="cs"/>
          <w:b/>
          <w:bCs/>
          <w:sz w:val="27"/>
          <w:rtl/>
        </w:rPr>
        <w:t>أ</w:t>
      </w:r>
      <w:r w:rsidRPr="006571AC">
        <w:rPr>
          <w:b/>
          <w:bCs/>
          <w:sz w:val="27"/>
          <w:rtl/>
        </w:rPr>
        <w:t>با سي</w:t>
      </w:r>
      <w:r w:rsidRPr="006571AC">
        <w:rPr>
          <w:rFonts w:hint="cs"/>
          <w:b/>
          <w:bCs/>
          <w:sz w:val="27"/>
          <w:rtl/>
        </w:rPr>
        <w:t>ّ</w:t>
      </w:r>
      <w:r w:rsidRPr="006571AC">
        <w:rPr>
          <w:b/>
          <w:bCs/>
          <w:sz w:val="27"/>
          <w:rtl/>
        </w:rPr>
        <w:t xml:space="preserve">ار مسمع بن عبد الملك بالمدينة، وقد كان حمل </w:t>
      </w:r>
      <w:r w:rsidRPr="006571AC">
        <w:rPr>
          <w:rFonts w:hint="cs"/>
          <w:b/>
          <w:bCs/>
          <w:sz w:val="27"/>
          <w:rtl/>
        </w:rPr>
        <w:t>إ</w:t>
      </w:r>
      <w:r w:rsidRPr="006571AC">
        <w:rPr>
          <w:b/>
          <w:bCs/>
          <w:sz w:val="27"/>
          <w:rtl/>
        </w:rPr>
        <w:t xml:space="preserve">لى </w:t>
      </w:r>
      <w:r w:rsidRPr="006571AC">
        <w:rPr>
          <w:rFonts w:hint="cs"/>
          <w:b/>
          <w:bCs/>
          <w:sz w:val="27"/>
          <w:rtl/>
        </w:rPr>
        <w:t>أ</w:t>
      </w:r>
      <w:r w:rsidRPr="006571AC">
        <w:rPr>
          <w:b/>
          <w:bCs/>
          <w:sz w:val="27"/>
          <w:rtl/>
        </w:rPr>
        <w:t>بي عبد الله</w:t>
      </w:r>
      <w:r w:rsidRPr="006571AC">
        <w:rPr>
          <w:rFonts w:ascii="Mosawi" w:hAnsi="Mosawi" w:cs="Mosawi"/>
          <w:sz w:val="22"/>
          <w:szCs w:val="22"/>
          <w:rtl/>
        </w:rPr>
        <w:t>×</w:t>
      </w:r>
      <w:r w:rsidRPr="006571AC">
        <w:rPr>
          <w:b/>
          <w:bCs/>
          <w:sz w:val="27"/>
          <w:rtl/>
        </w:rPr>
        <w:t xml:space="preserve"> مالا</w:t>
      </w:r>
      <w:r w:rsidRPr="006571AC">
        <w:rPr>
          <w:rFonts w:hint="cs"/>
          <w:b/>
          <w:bCs/>
          <w:sz w:val="27"/>
          <w:rtl/>
        </w:rPr>
        <w:t>ً</w:t>
      </w:r>
      <w:r w:rsidRPr="006571AC">
        <w:rPr>
          <w:b/>
          <w:bCs/>
          <w:sz w:val="27"/>
          <w:rtl/>
        </w:rPr>
        <w:t xml:space="preserve"> في تلك السنة فرد</w:t>
      </w:r>
      <w:r w:rsidRPr="006571AC">
        <w:rPr>
          <w:rFonts w:hint="cs"/>
          <w:b/>
          <w:bCs/>
          <w:sz w:val="27"/>
          <w:rtl/>
        </w:rPr>
        <w:t>ّ</w:t>
      </w:r>
      <w:r w:rsidRPr="006571AC">
        <w:rPr>
          <w:b/>
          <w:bCs/>
          <w:sz w:val="27"/>
          <w:rtl/>
        </w:rPr>
        <w:t>ه عليه</w:t>
      </w:r>
      <w:r w:rsidRPr="006571AC">
        <w:rPr>
          <w:rFonts w:hint="cs"/>
          <w:b/>
          <w:bCs/>
          <w:sz w:val="27"/>
          <w:rtl/>
        </w:rPr>
        <w:t>،</w:t>
      </w:r>
      <w:r w:rsidRPr="006571AC">
        <w:rPr>
          <w:b/>
          <w:bCs/>
          <w:sz w:val="27"/>
          <w:rtl/>
        </w:rPr>
        <w:t xml:space="preserve"> فقلت</w:t>
      </w:r>
      <w:r w:rsidRPr="006571AC">
        <w:rPr>
          <w:rFonts w:hint="cs"/>
          <w:b/>
          <w:bCs/>
          <w:sz w:val="27"/>
          <w:rtl/>
        </w:rPr>
        <w:t>ُ</w:t>
      </w:r>
      <w:r w:rsidRPr="006571AC">
        <w:rPr>
          <w:b/>
          <w:bCs/>
          <w:sz w:val="27"/>
          <w:rtl/>
        </w:rPr>
        <w:t xml:space="preserve"> له: ل</w:t>
      </w:r>
      <w:r w:rsidR="00300B60" w:rsidRPr="006571AC">
        <w:rPr>
          <w:rFonts w:hint="cs"/>
          <w:b/>
          <w:bCs/>
          <w:sz w:val="27"/>
          <w:rtl/>
        </w:rPr>
        <w:t>ِ</w:t>
      </w:r>
      <w:r w:rsidRPr="006571AC">
        <w:rPr>
          <w:b/>
          <w:bCs/>
          <w:sz w:val="27"/>
          <w:rtl/>
        </w:rPr>
        <w:t>م</w:t>
      </w:r>
      <w:r w:rsidRPr="006571AC">
        <w:rPr>
          <w:rFonts w:hint="cs"/>
          <w:b/>
          <w:bCs/>
          <w:sz w:val="27"/>
          <w:rtl/>
        </w:rPr>
        <w:t>َ</w:t>
      </w:r>
      <w:r w:rsidRPr="006571AC">
        <w:rPr>
          <w:b/>
          <w:bCs/>
          <w:sz w:val="27"/>
          <w:rtl/>
        </w:rPr>
        <w:t xml:space="preserve"> ر</w:t>
      </w:r>
      <w:r w:rsidR="00300B60" w:rsidRPr="006571AC">
        <w:rPr>
          <w:rFonts w:hint="cs"/>
          <w:b/>
          <w:bCs/>
          <w:sz w:val="27"/>
          <w:rtl/>
        </w:rPr>
        <w:t>َ</w:t>
      </w:r>
      <w:r w:rsidRPr="006571AC">
        <w:rPr>
          <w:b/>
          <w:bCs/>
          <w:sz w:val="27"/>
          <w:rtl/>
        </w:rPr>
        <w:t>د</w:t>
      </w:r>
      <w:r w:rsidRPr="006571AC">
        <w:rPr>
          <w:rFonts w:hint="cs"/>
          <w:b/>
          <w:bCs/>
          <w:sz w:val="27"/>
          <w:rtl/>
        </w:rPr>
        <w:t>ّ</w:t>
      </w:r>
      <w:r w:rsidR="00300B60" w:rsidRPr="006571AC">
        <w:rPr>
          <w:rFonts w:hint="cs"/>
          <w:b/>
          <w:bCs/>
          <w:sz w:val="27"/>
          <w:rtl/>
        </w:rPr>
        <w:t>َ</w:t>
      </w:r>
      <w:r w:rsidRPr="006571AC">
        <w:rPr>
          <w:b/>
          <w:bCs/>
          <w:sz w:val="27"/>
          <w:rtl/>
        </w:rPr>
        <w:t xml:space="preserve"> عليك أبو عبد الله</w:t>
      </w:r>
      <w:r w:rsidRPr="006571AC">
        <w:rPr>
          <w:rFonts w:ascii="Mosawi" w:hAnsi="Mosawi" w:cs="Mosawi"/>
          <w:b/>
          <w:bCs/>
          <w:sz w:val="22"/>
          <w:szCs w:val="22"/>
          <w:rtl/>
        </w:rPr>
        <w:t>×</w:t>
      </w:r>
      <w:r w:rsidRPr="006571AC">
        <w:rPr>
          <w:b/>
          <w:bCs/>
          <w:sz w:val="27"/>
          <w:rtl/>
        </w:rPr>
        <w:t xml:space="preserve"> المال الذ</w:t>
      </w:r>
      <w:r w:rsidRPr="006571AC">
        <w:rPr>
          <w:rFonts w:hint="cs"/>
          <w:b/>
          <w:bCs/>
          <w:sz w:val="27"/>
          <w:rtl/>
        </w:rPr>
        <w:t>ي</w:t>
      </w:r>
      <w:r w:rsidRPr="006571AC">
        <w:rPr>
          <w:b/>
          <w:bCs/>
          <w:sz w:val="27"/>
          <w:rtl/>
        </w:rPr>
        <w:t xml:space="preserve"> حم</w:t>
      </w:r>
      <w:r w:rsidR="00300B60" w:rsidRPr="006571AC">
        <w:rPr>
          <w:rFonts w:hint="cs"/>
          <w:b/>
          <w:bCs/>
          <w:sz w:val="27"/>
          <w:rtl/>
        </w:rPr>
        <w:t>َ</w:t>
      </w:r>
      <w:r w:rsidRPr="006571AC">
        <w:rPr>
          <w:b/>
          <w:bCs/>
          <w:sz w:val="27"/>
          <w:rtl/>
        </w:rPr>
        <w:t>ل</w:t>
      </w:r>
      <w:r w:rsidR="00300B60" w:rsidRPr="006571AC">
        <w:rPr>
          <w:rFonts w:hint="cs"/>
          <w:b/>
          <w:bCs/>
          <w:sz w:val="27"/>
          <w:rtl/>
        </w:rPr>
        <w:t>ْ</w:t>
      </w:r>
      <w:r w:rsidRPr="006571AC">
        <w:rPr>
          <w:b/>
          <w:bCs/>
          <w:sz w:val="27"/>
          <w:rtl/>
        </w:rPr>
        <w:t>ت</w:t>
      </w:r>
      <w:r w:rsidRPr="006571AC">
        <w:rPr>
          <w:rFonts w:hint="cs"/>
          <w:b/>
          <w:bCs/>
          <w:sz w:val="27"/>
          <w:rtl/>
        </w:rPr>
        <w:t>َ</w:t>
      </w:r>
      <w:r w:rsidRPr="006571AC">
        <w:rPr>
          <w:b/>
          <w:bCs/>
          <w:sz w:val="27"/>
          <w:rtl/>
        </w:rPr>
        <w:t>ه إليه؟</w:t>
      </w:r>
      <w:r w:rsidRPr="006571AC">
        <w:rPr>
          <w:sz w:val="27"/>
          <w:rtl/>
        </w:rPr>
        <w:t xml:space="preserve"> فقال: </w:t>
      </w:r>
      <w:r w:rsidRPr="006571AC">
        <w:rPr>
          <w:rFonts w:hint="cs"/>
          <w:sz w:val="27"/>
          <w:rtl/>
        </w:rPr>
        <w:t>إ</w:t>
      </w:r>
      <w:r w:rsidRPr="006571AC">
        <w:rPr>
          <w:sz w:val="27"/>
          <w:rtl/>
        </w:rPr>
        <w:t>ن</w:t>
      </w:r>
      <w:r w:rsidRPr="006571AC">
        <w:rPr>
          <w:rFonts w:hint="cs"/>
          <w:sz w:val="27"/>
          <w:rtl/>
        </w:rPr>
        <w:t>ّ</w:t>
      </w:r>
      <w:r w:rsidRPr="006571AC">
        <w:rPr>
          <w:sz w:val="27"/>
          <w:rtl/>
        </w:rPr>
        <w:t>ي قلت</w:t>
      </w:r>
      <w:r w:rsidRPr="006571AC">
        <w:rPr>
          <w:rFonts w:hint="cs"/>
          <w:sz w:val="27"/>
          <w:rtl/>
        </w:rPr>
        <w:t>ُ</w:t>
      </w:r>
      <w:r w:rsidRPr="006571AC">
        <w:rPr>
          <w:sz w:val="27"/>
          <w:rtl/>
        </w:rPr>
        <w:t xml:space="preserve"> له حين حم</w:t>
      </w:r>
      <w:r w:rsidR="00300B60" w:rsidRPr="006571AC">
        <w:rPr>
          <w:rFonts w:hint="cs"/>
          <w:sz w:val="27"/>
          <w:rtl/>
        </w:rPr>
        <w:t>َ</w:t>
      </w:r>
      <w:r w:rsidRPr="006571AC">
        <w:rPr>
          <w:sz w:val="27"/>
          <w:rtl/>
        </w:rPr>
        <w:t>ل</w:t>
      </w:r>
      <w:r w:rsidR="00300B60" w:rsidRPr="006571AC">
        <w:rPr>
          <w:rFonts w:hint="cs"/>
          <w:sz w:val="27"/>
          <w:rtl/>
        </w:rPr>
        <w:t>ْ</w:t>
      </w:r>
      <w:r w:rsidRPr="006571AC">
        <w:rPr>
          <w:sz w:val="27"/>
          <w:rtl/>
        </w:rPr>
        <w:t>ت</w:t>
      </w:r>
      <w:r w:rsidRPr="006571AC">
        <w:rPr>
          <w:rFonts w:hint="cs"/>
          <w:sz w:val="27"/>
          <w:rtl/>
        </w:rPr>
        <w:t>ُ</w:t>
      </w:r>
      <w:r w:rsidRPr="006571AC">
        <w:rPr>
          <w:sz w:val="27"/>
          <w:rtl/>
        </w:rPr>
        <w:t xml:space="preserve"> إليه المال: </w:t>
      </w:r>
      <w:r w:rsidRPr="006571AC">
        <w:rPr>
          <w:rFonts w:hint="cs"/>
          <w:sz w:val="27"/>
          <w:rtl/>
        </w:rPr>
        <w:t>إ</w:t>
      </w:r>
      <w:r w:rsidRPr="006571AC">
        <w:rPr>
          <w:sz w:val="27"/>
          <w:rtl/>
        </w:rPr>
        <w:t>ن</w:t>
      </w:r>
      <w:r w:rsidRPr="006571AC">
        <w:rPr>
          <w:rFonts w:hint="cs"/>
          <w:sz w:val="27"/>
          <w:rtl/>
        </w:rPr>
        <w:t>ّ</w:t>
      </w:r>
      <w:r w:rsidRPr="006571AC">
        <w:rPr>
          <w:sz w:val="27"/>
          <w:rtl/>
        </w:rPr>
        <w:t>ي كنت</w:t>
      </w:r>
      <w:r w:rsidRPr="006571AC">
        <w:rPr>
          <w:rFonts w:hint="cs"/>
          <w:sz w:val="27"/>
          <w:rtl/>
        </w:rPr>
        <w:t>ُ</w:t>
      </w:r>
      <w:r w:rsidRPr="006571AC">
        <w:rPr>
          <w:sz w:val="27"/>
          <w:rtl/>
        </w:rPr>
        <w:t xml:space="preserve"> وليت</w:t>
      </w:r>
      <w:r w:rsidRPr="006571AC">
        <w:rPr>
          <w:rFonts w:hint="cs"/>
          <w:sz w:val="27"/>
          <w:rtl/>
        </w:rPr>
        <w:t>ُ</w:t>
      </w:r>
      <w:r w:rsidRPr="006571AC">
        <w:rPr>
          <w:sz w:val="27"/>
          <w:rtl/>
        </w:rPr>
        <w:t xml:space="preserve"> الغوص ف</w:t>
      </w:r>
      <w:r w:rsidRPr="006571AC">
        <w:rPr>
          <w:rFonts w:hint="cs"/>
          <w:sz w:val="27"/>
          <w:rtl/>
        </w:rPr>
        <w:t>أ</w:t>
      </w:r>
      <w:r w:rsidRPr="006571AC">
        <w:rPr>
          <w:sz w:val="27"/>
          <w:rtl/>
        </w:rPr>
        <w:t>صب</w:t>
      </w:r>
      <w:r w:rsidR="00300B60" w:rsidRPr="006571AC">
        <w:rPr>
          <w:rFonts w:hint="cs"/>
          <w:sz w:val="27"/>
          <w:rtl/>
        </w:rPr>
        <w:t>ْ</w:t>
      </w:r>
      <w:r w:rsidRPr="006571AC">
        <w:rPr>
          <w:sz w:val="27"/>
          <w:rtl/>
        </w:rPr>
        <w:t>ت</w:t>
      </w:r>
      <w:r w:rsidRPr="006571AC">
        <w:rPr>
          <w:rFonts w:hint="cs"/>
          <w:sz w:val="27"/>
          <w:rtl/>
        </w:rPr>
        <w:t>ُ</w:t>
      </w:r>
      <w:r w:rsidRPr="006571AC">
        <w:rPr>
          <w:sz w:val="27"/>
          <w:rtl/>
        </w:rPr>
        <w:t xml:space="preserve"> </w:t>
      </w:r>
      <w:r w:rsidRPr="006571AC">
        <w:rPr>
          <w:rFonts w:hint="cs"/>
          <w:sz w:val="27"/>
          <w:rtl/>
        </w:rPr>
        <w:t>أ</w:t>
      </w:r>
      <w:r w:rsidRPr="006571AC">
        <w:rPr>
          <w:sz w:val="27"/>
          <w:rtl/>
        </w:rPr>
        <w:t xml:space="preserve">ربعمائة </w:t>
      </w:r>
      <w:r w:rsidRPr="006571AC">
        <w:rPr>
          <w:rFonts w:hint="cs"/>
          <w:sz w:val="27"/>
          <w:rtl/>
        </w:rPr>
        <w:t>أ</w:t>
      </w:r>
      <w:r w:rsidRPr="006571AC">
        <w:rPr>
          <w:sz w:val="27"/>
          <w:rtl/>
        </w:rPr>
        <w:t>لف درهم</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56"/>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فلاحِظْ كيف أنّه صاغ سند الحديث بشكلٍ مختلفٍ عمّا في المصدر، ما يوحي بأنّ أبا سيّار مذكورٌ في سند الحديث في المصدر، والأمرُ ليس كذلك.</w:t>
      </w:r>
    </w:p>
    <w:p w:rsidR="008A3F20" w:rsidRPr="006571AC" w:rsidRDefault="008A3F20" w:rsidP="00B23B9B">
      <w:pPr>
        <w:spacing w:line="420" w:lineRule="exact"/>
        <w:rPr>
          <w:sz w:val="27"/>
          <w:rtl/>
        </w:rPr>
      </w:pPr>
    </w:p>
    <w:p w:rsidR="008A3F20" w:rsidRPr="006571AC" w:rsidRDefault="008A3F20" w:rsidP="00EB5E38">
      <w:pPr>
        <w:pStyle w:val="31"/>
        <w:rPr>
          <w:color w:val="auto"/>
          <w:rtl/>
        </w:rPr>
      </w:pPr>
      <w:bookmarkStart w:id="538" w:name="_Toc171512739"/>
      <w:bookmarkStart w:id="539" w:name="_Toc114164904"/>
      <w:r w:rsidRPr="006571AC">
        <w:rPr>
          <w:rFonts w:hint="cs"/>
          <w:color w:val="auto"/>
          <w:rtl/>
        </w:rPr>
        <w:t>12ـ تغيير بعض الأسناد عن حالها في المصدر</w:t>
      </w:r>
      <w:bookmarkEnd w:id="538"/>
      <w:bookmarkEnd w:id="539"/>
    </w:p>
    <w:p w:rsidR="008A3F20" w:rsidRPr="006571AC" w:rsidRDefault="008A3F20" w:rsidP="000C6F2A">
      <w:pPr>
        <w:rPr>
          <w:b/>
          <w:bCs/>
          <w:sz w:val="27"/>
          <w:rtl/>
        </w:rPr>
      </w:pPr>
      <w:r w:rsidRPr="006571AC">
        <w:rPr>
          <w:rFonts w:hint="cs"/>
          <w:b/>
          <w:bCs/>
          <w:sz w:val="27"/>
          <w:rtl/>
        </w:rPr>
        <w:t>يعمد الشيخ الحُرّ</w:t>
      </w:r>
      <w:r w:rsidRPr="006571AC">
        <w:rPr>
          <w:rFonts w:ascii="Mosawi" w:hAnsi="Mosawi" w:cs="Mosawi"/>
          <w:b/>
          <w:bCs/>
          <w:sz w:val="22"/>
          <w:szCs w:val="22"/>
          <w:rtl/>
        </w:rPr>
        <w:t>&amp;</w:t>
      </w:r>
      <w:r w:rsidRPr="006571AC">
        <w:rPr>
          <w:rFonts w:hint="cs"/>
          <w:sz w:val="27"/>
          <w:rtl/>
        </w:rPr>
        <w:t xml:space="preserve"> ـ وبسبب تقديم وتأخير بعض الأحاديث عمّا هي عليه في المصدر ـ </w:t>
      </w:r>
      <w:r w:rsidRPr="006571AC">
        <w:rPr>
          <w:rFonts w:hint="cs"/>
          <w:b/>
          <w:bCs/>
          <w:sz w:val="27"/>
          <w:rtl/>
        </w:rPr>
        <w:t xml:space="preserve">إلى </w:t>
      </w:r>
      <w:r w:rsidRPr="006571AC">
        <w:rPr>
          <w:rStyle w:val="6Char"/>
          <w:rFonts w:hint="cs"/>
          <w:color w:val="auto"/>
          <w:sz w:val="27"/>
          <w:szCs w:val="27"/>
          <w:rtl/>
        </w:rPr>
        <w:t>تعليق أسناد بعض الأحاديث على أسناد الأحاديث التي قبلها</w:t>
      </w:r>
      <w:r w:rsidRPr="006571AC">
        <w:rPr>
          <w:rFonts w:hint="cs"/>
          <w:b/>
          <w:bCs/>
          <w:sz w:val="27"/>
          <w:rtl/>
        </w:rPr>
        <w:t>، مع كونها غير معلَّقة في المصدر</w:t>
      </w:r>
      <w:r w:rsidRPr="006571AC">
        <w:rPr>
          <w:rFonts w:hint="cs"/>
          <w:sz w:val="27"/>
          <w:rtl/>
        </w:rPr>
        <w:t>.</w:t>
      </w:r>
    </w:p>
    <w:p w:rsidR="008A3F20" w:rsidRPr="006571AC" w:rsidRDefault="008A3F20" w:rsidP="000C6F2A">
      <w:pPr>
        <w:rPr>
          <w:sz w:val="27"/>
          <w:rtl/>
        </w:rPr>
      </w:pPr>
      <w:r w:rsidRPr="006571AC">
        <w:rPr>
          <w:rFonts w:hint="cs"/>
          <w:b/>
          <w:bCs/>
          <w:sz w:val="27"/>
          <w:rtl/>
        </w:rPr>
        <w:t xml:space="preserve">ولكنّ هذا ما يجعله </w:t>
      </w:r>
      <w:r w:rsidRPr="006571AC">
        <w:rPr>
          <w:rStyle w:val="6Char"/>
          <w:rFonts w:hint="cs"/>
          <w:color w:val="auto"/>
          <w:sz w:val="27"/>
          <w:szCs w:val="27"/>
          <w:rtl/>
        </w:rPr>
        <w:t>يرفع تعليق بعض الأسناد</w:t>
      </w:r>
      <w:r w:rsidRPr="006571AC">
        <w:rPr>
          <w:rFonts w:hint="cs"/>
          <w:b/>
          <w:bCs/>
          <w:sz w:val="27"/>
          <w:rtl/>
        </w:rPr>
        <w:t>، ويذكر جميع الرواة فيها، مع أنّها معلَّقةٌ في المصدر</w:t>
      </w:r>
      <w:r w:rsidRPr="006571AC">
        <w:rPr>
          <w:rFonts w:hint="cs"/>
          <w:sz w:val="27"/>
          <w:rtl/>
        </w:rPr>
        <w:t xml:space="preserve">. </w:t>
      </w:r>
    </w:p>
    <w:p w:rsidR="008A3F20" w:rsidRPr="006571AC" w:rsidRDefault="008A3F20" w:rsidP="00B03706">
      <w:pPr>
        <w:spacing w:line="420" w:lineRule="exact"/>
        <w:rPr>
          <w:sz w:val="27"/>
          <w:rtl/>
        </w:rPr>
      </w:pPr>
      <w:r w:rsidRPr="006571AC">
        <w:rPr>
          <w:rFonts w:hint="cs"/>
          <w:sz w:val="27"/>
          <w:rtl/>
        </w:rPr>
        <w:lastRenderedPageBreak/>
        <w:t>ومن ذلك:</w:t>
      </w:r>
    </w:p>
    <w:p w:rsidR="008A3F20" w:rsidRPr="006571AC" w:rsidRDefault="008A3F20" w:rsidP="00B03706">
      <w:pPr>
        <w:spacing w:line="420" w:lineRule="exact"/>
        <w:rPr>
          <w:sz w:val="27"/>
          <w:rtl/>
        </w:rPr>
      </w:pPr>
      <w:r w:rsidRPr="006571AC">
        <w:rPr>
          <w:rFonts w:hint="cs"/>
          <w:sz w:val="27"/>
          <w:rtl/>
        </w:rPr>
        <w:t xml:space="preserve">* ما في الباب 93 من أبواب أحكام العشرة، ح 1 و2، حيث قال: </w:t>
      </w:r>
      <w:r w:rsidRPr="006571AC">
        <w:rPr>
          <w:rFonts w:hint="cs"/>
          <w:sz w:val="24"/>
          <w:szCs w:val="24"/>
          <w:rtl/>
        </w:rPr>
        <w:t>«</w:t>
      </w:r>
      <w:r w:rsidRPr="006571AC">
        <w:rPr>
          <w:sz w:val="27"/>
          <w:rtl/>
        </w:rPr>
        <w:t xml:space="preserve">1ـ </w:t>
      </w:r>
      <w:r w:rsidRPr="006571AC">
        <w:rPr>
          <w:b/>
          <w:bCs/>
          <w:sz w:val="27"/>
          <w:rtl/>
        </w:rPr>
        <w:t>محم</w:t>
      </w:r>
      <w:r w:rsidRPr="006571AC">
        <w:rPr>
          <w:rFonts w:hint="cs"/>
          <w:b/>
          <w:bCs/>
          <w:sz w:val="27"/>
          <w:rtl/>
        </w:rPr>
        <w:t>ّ</w:t>
      </w:r>
      <w:r w:rsidRPr="006571AC">
        <w:rPr>
          <w:b/>
          <w:bCs/>
          <w:sz w:val="27"/>
          <w:rtl/>
        </w:rPr>
        <w:t>د بن يعقوب، عن عد</w:t>
      </w:r>
      <w:r w:rsidRPr="006571AC">
        <w:rPr>
          <w:rFonts w:hint="cs"/>
          <w:b/>
          <w:bCs/>
          <w:sz w:val="27"/>
          <w:rtl/>
        </w:rPr>
        <w:t>ّ</w:t>
      </w:r>
      <w:r w:rsidRPr="006571AC">
        <w:rPr>
          <w:b/>
          <w:bCs/>
          <w:sz w:val="27"/>
          <w:rtl/>
        </w:rPr>
        <w:t>ة</w:t>
      </w:r>
      <w:r w:rsidR="008F30D3" w:rsidRPr="006571AC">
        <w:rPr>
          <w:rFonts w:hint="cs"/>
          <w:b/>
          <w:bCs/>
          <w:sz w:val="27"/>
          <w:rtl/>
        </w:rPr>
        <w:t>ٍ</w:t>
      </w:r>
      <w:r w:rsidRPr="006571AC">
        <w:rPr>
          <w:b/>
          <w:bCs/>
          <w:sz w:val="27"/>
          <w:rtl/>
        </w:rPr>
        <w:t xml:space="preserve"> من أصحابنا، عن أحمد بن محم</w:t>
      </w:r>
      <w:r w:rsidRPr="006571AC">
        <w:rPr>
          <w:rFonts w:hint="cs"/>
          <w:b/>
          <w:bCs/>
          <w:sz w:val="27"/>
          <w:rtl/>
        </w:rPr>
        <w:t>ّ</w:t>
      </w:r>
      <w:r w:rsidRPr="006571AC">
        <w:rPr>
          <w:b/>
          <w:bCs/>
          <w:sz w:val="27"/>
          <w:rtl/>
        </w:rPr>
        <w:t>د وسهل بن زياد جميعا</w:t>
      </w:r>
      <w:r w:rsidRPr="006571AC">
        <w:rPr>
          <w:rFonts w:hint="cs"/>
          <w:b/>
          <w:bCs/>
          <w:sz w:val="27"/>
          <w:rtl/>
        </w:rPr>
        <w:t>ً</w:t>
      </w:r>
      <w:r w:rsidRPr="006571AC">
        <w:rPr>
          <w:b/>
          <w:bCs/>
          <w:sz w:val="27"/>
          <w:rtl/>
        </w:rPr>
        <w:t>، عن ابن محبوب، عن عبد الله بن سنان</w:t>
      </w:r>
      <w:r w:rsidRPr="006571AC">
        <w:rPr>
          <w:sz w:val="27"/>
          <w:rtl/>
        </w:rPr>
        <w:t>، عن أبي عبد الله</w:t>
      </w:r>
      <w:r w:rsidRPr="006571AC">
        <w:rPr>
          <w:rFonts w:ascii="Mosawi" w:hAnsi="Mosawi" w:cs="Mosawi"/>
          <w:sz w:val="22"/>
          <w:szCs w:val="22"/>
          <w:rtl/>
        </w:rPr>
        <w:t>×</w:t>
      </w:r>
      <w:r w:rsidRPr="006571AC">
        <w:rPr>
          <w:sz w:val="27"/>
          <w:rtl/>
        </w:rPr>
        <w:t xml:space="preserve"> قال: رد</w:t>
      </w:r>
      <w:r w:rsidRPr="006571AC">
        <w:rPr>
          <w:rFonts w:hint="cs"/>
          <w:sz w:val="27"/>
          <w:rtl/>
        </w:rPr>
        <w:t>ّ</w:t>
      </w:r>
      <w:r w:rsidRPr="006571AC">
        <w:rPr>
          <w:sz w:val="27"/>
          <w:rtl/>
        </w:rPr>
        <w:t xml:space="preserve"> جواب الكتاب واجب</w:t>
      </w:r>
      <w:r w:rsidRPr="006571AC">
        <w:rPr>
          <w:rFonts w:hint="cs"/>
          <w:sz w:val="27"/>
          <w:rtl/>
        </w:rPr>
        <w:t>ٌ</w:t>
      </w:r>
      <w:r w:rsidRPr="006571AC">
        <w:rPr>
          <w:sz w:val="27"/>
          <w:rtl/>
        </w:rPr>
        <w:t xml:space="preserve"> كوجوب رد</w:t>
      </w:r>
      <w:r w:rsidRPr="006571AC">
        <w:rPr>
          <w:rFonts w:hint="cs"/>
          <w:sz w:val="27"/>
          <w:rtl/>
        </w:rPr>
        <w:t>ّ</w:t>
      </w:r>
      <w:r w:rsidRPr="006571AC">
        <w:rPr>
          <w:sz w:val="27"/>
          <w:rtl/>
        </w:rPr>
        <w:t xml:space="preserve"> السلام</w:t>
      </w:r>
      <w:r w:rsidRPr="006571AC">
        <w:rPr>
          <w:rFonts w:hint="cs"/>
          <w:sz w:val="27"/>
          <w:rtl/>
        </w:rPr>
        <w:t>...</w:t>
      </w:r>
      <w:r w:rsidR="008F30D3" w:rsidRPr="006571AC">
        <w:rPr>
          <w:rFonts w:hint="cs"/>
          <w:sz w:val="27"/>
          <w:rtl/>
        </w:rPr>
        <w:t xml:space="preserve">، </w:t>
      </w:r>
      <w:r w:rsidRPr="006571AC">
        <w:rPr>
          <w:sz w:val="27"/>
          <w:rtl/>
        </w:rPr>
        <w:t xml:space="preserve">الحديث. </w:t>
      </w:r>
    </w:p>
    <w:p w:rsidR="008A3F20" w:rsidRPr="006571AC" w:rsidRDefault="008A3F20" w:rsidP="00B03706">
      <w:pPr>
        <w:spacing w:line="420" w:lineRule="exact"/>
        <w:rPr>
          <w:sz w:val="27"/>
          <w:rtl/>
        </w:rPr>
      </w:pPr>
      <w:r w:rsidRPr="006571AC">
        <w:rPr>
          <w:sz w:val="27"/>
          <w:rtl/>
        </w:rPr>
        <w:t xml:space="preserve">2ـ </w:t>
      </w:r>
      <w:r w:rsidRPr="006571AC">
        <w:rPr>
          <w:b/>
          <w:bCs/>
          <w:sz w:val="27"/>
          <w:rtl/>
        </w:rPr>
        <w:t>وبالإسناد عن ابن محبوب</w:t>
      </w:r>
      <w:r w:rsidRPr="006571AC">
        <w:rPr>
          <w:sz w:val="27"/>
          <w:rtl/>
        </w:rPr>
        <w:t>، عم</w:t>
      </w:r>
      <w:r w:rsidRPr="006571AC">
        <w:rPr>
          <w:rFonts w:hint="cs"/>
          <w:sz w:val="27"/>
          <w:rtl/>
        </w:rPr>
        <w:t>ّ</w:t>
      </w:r>
      <w:r w:rsidR="00300B60" w:rsidRPr="006571AC">
        <w:rPr>
          <w:rFonts w:hint="cs"/>
          <w:sz w:val="27"/>
          <w:rtl/>
        </w:rPr>
        <w:t>َ</w:t>
      </w:r>
      <w:r w:rsidRPr="006571AC">
        <w:rPr>
          <w:sz w:val="27"/>
          <w:rtl/>
        </w:rPr>
        <w:t>ن</w:t>
      </w:r>
      <w:r w:rsidR="00300B60" w:rsidRPr="006571AC">
        <w:rPr>
          <w:rFonts w:hint="cs"/>
          <w:sz w:val="27"/>
          <w:rtl/>
        </w:rPr>
        <w:t>ْ</w:t>
      </w:r>
      <w:r w:rsidRPr="006571AC">
        <w:rPr>
          <w:sz w:val="27"/>
          <w:rtl/>
        </w:rPr>
        <w:t xml:space="preserve"> ذكره، عن أبي عبد الل</w:t>
      </w:r>
      <w:r w:rsidRPr="006571AC">
        <w:rPr>
          <w:rFonts w:hint="cs"/>
          <w:sz w:val="27"/>
          <w:rtl/>
        </w:rPr>
        <w:t>ه</w:t>
      </w:r>
      <w:r w:rsidRPr="006571AC">
        <w:rPr>
          <w:rFonts w:ascii="Mosawi" w:hAnsi="Mosawi" w:cs="Mosawi"/>
          <w:sz w:val="22"/>
          <w:szCs w:val="22"/>
          <w:rtl/>
        </w:rPr>
        <w:t>×</w:t>
      </w:r>
      <w:r w:rsidRPr="006571AC">
        <w:rPr>
          <w:sz w:val="27"/>
          <w:rtl/>
        </w:rPr>
        <w:t xml:space="preserve"> قال: التواصل بين الإخوان في الحضر التزاور، وفي السفر التكاتب</w:t>
      </w:r>
      <w:r w:rsidRPr="006571AC">
        <w:rPr>
          <w:rFonts w:hint="cs"/>
          <w:sz w:val="24"/>
          <w:szCs w:val="24"/>
          <w:rtl/>
        </w:rPr>
        <w:t>»</w:t>
      </w:r>
      <w:r w:rsidRPr="006571AC">
        <w:rPr>
          <w:sz w:val="27"/>
          <w:vertAlign w:val="superscript"/>
          <w:rtl/>
        </w:rPr>
        <w:t>(</w:t>
      </w:r>
      <w:r w:rsidRPr="006571AC">
        <w:rPr>
          <w:rStyle w:val="ac"/>
          <w:sz w:val="27"/>
          <w:rtl/>
        </w:rPr>
        <w:endnoteReference w:id="857"/>
      </w:r>
      <w:r w:rsidRPr="006571AC">
        <w:rPr>
          <w:sz w:val="27"/>
          <w:vertAlign w:val="superscript"/>
          <w:rtl/>
        </w:rPr>
        <w:t>)</w:t>
      </w:r>
      <w:r w:rsidRPr="006571AC">
        <w:rPr>
          <w:rFonts w:hint="cs"/>
          <w:sz w:val="27"/>
          <w:rtl/>
        </w:rPr>
        <w:t>.</w:t>
      </w:r>
    </w:p>
    <w:p w:rsidR="008A3F20" w:rsidRPr="006571AC" w:rsidRDefault="008A3F20" w:rsidP="008F30D3">
      <w:pPr>
        <w:spacing w:line="420" w:lineRule="exact"/>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وج</w:t>
      </w:r>
      <w:r w:rsidR="008F30D3" w:rsidRPr="006571AC">
        <w:rPr>
          <w:rFonts w:hint="cs"/>
          <w:sz w:val="27"/>
          <w:rtl/>
        </w:rPr>
        <w:t>َ</w:t>
      </w:r>
      <w:r w:rsidRPr="006571AC">
        <w:rPr>
          <w:rFonts w:hint="cs"/>
          <w:sz w:val="27"/>
          <w:rtl/>
        </w:rPr>
        <w:t>د</w:t>
      </w:r>
      <w:r w:rsidR="008F30D3" w:rsidRPr="006571AC">
        <w:rPr>
          <w:rFonts w:hint="cs"/>
          <w:sz w:val="27"/>
          <w:rtl/>
        </w:rPr>
        <w:t>ْ</w:t>
      </w:r>
      <w:r w:rsidRPr="006571AC">
        <w:rPr>
          <w:rFonts w:hint="cs"/>
          <w:sz w:val="27"/>
          <w:rtl/>
        </w:rPr>
        <w:t xml:space="preserve">نا الحديثين بهذا الشكل: </w:t>
      </w:r>
      <w:r w:rsidRPr="006571AC">
        <w:rPr>
          <w:rFonts w:hint="cs"/>
          <w:sz w:val="24"/>
          <w:szCs w:val="24"/>
          <w:rtl/>
        </w:rPr>
        <w:t>«</w:t>
      </w:r>
      <w:r w:rsidRPr="006571AC">
        <w:rPr>
          <w:b/>
          <w:bCs/>
          <w:sz w:val="27"/>
          <w:rtl/>
        </w:rPr>
        <w:t>1ـ عد</w:t>
      </w:r>
      <w:r w:rsidRPr="006571AC">
        <w:rPr>
          <w:rFonts w:hint="cs"/>
          <w:b/>
          <w:bCs/>
          <w:sz w:val="27"/>
          <w:rtl/>
        </w:rPr>
        <w:t>ّ</w:t>
      </w:r>
      <w:r w:rsidRPr="006571AC">
        <w:rPr>
          <w:b/>
          <w:bCs/>
          <w:sz w:val="27"/>
          <w:rtl/>
        </w:rPr>
        <w:t>ة</w:t>
      </w:r>
      <w:r w:rsidR="008F30D3" w:rsidRPr="006571AC">
        <w:rPr>
          <w:rFonts w:hint="cs"/>
          <w:b/>
          <w:bCs/>
          <w:sz w:val="27"/>
          <w:rtl/>
        </w:rPr>
        <w:t>ٌ</w:t>
      </w:r>
      <w:r w:rsidRPr="006571AC">
        <w:rPr>
          <w:b/>
          <w:bCs/>
          <w:sz w:val="27"/>
          <w:rtl/>
        </w:rPr>
        <w:t xml:space="preserve"> من أصحابنا، عن أحمد بن محم</w:t>
      </w:r>
      <w:r w:rsidRPr="006571AC">
        <w:rPr>
          <w:rFonts w:hint="cs"/>
          <w:b/>
          <w:bCs/>
          <w:sz w:val="27"/>
          <w:rtl/>
        </w:rPr>
        <w:t>ّ</w:t>
      </w:r>
      <w:r w:rsidRPr="006571AC">
        <w:rPr>
          <w:b/>
          <w:bCs/>
          <w:sz w:val="27"/>
          <w:rtl/>
        </w:rPr>
        <w:t>د وسهل بن زياد</w:t>
      </w:r>
      <w:r w:rsidRPr="006571AC">
        <w:rPr>
          <w:rFonts w:hint="cs"/>
          <w:b/>
          <w:bCs/>
          <w:sz w:val="27"/>
          <w:rtl/>
        </w:rPr>
        <w:t xml:space="preserve"> </w:t>
      </w:r>
      <w:r w:rsidRPr="006571AC">
        <w:rPr>
          <w:b/>
          <w:bCs/>
          <w:sz w:val="27"/>
          <w:rtl/>
        </w:rPr>
        <w:t>جميعا</w:t>
      </w:r>
      <w:r w:rsidRPr="006571AC">
        <w:rPr>
          <w:rFonts w:hint="cs"/>
          <w:b/>
          <w:bCs/>
          <w:sz w:val="27"/>
          <w:rtl/>
        </w:rPr>
        <w:t>ً</w:t>
      </w:r>
      <w:r w:rsidRPr="006571AC">
        <w:rPr>
          <w:b/>
          <w:bCs/>
          <w:sz w:val="27"/>
          <w:rtl/>
        </w:rPr>
        <w:t>، عن ابن محبوب</w:t>
      </w:r>
      <w:r w:rsidRPr="006571AC">
        <w:rPr>
          <w:rFonts w:hint="cs"/>
          <w:sz w:val="27"/>
          <w:rtl/>
        </w:rPr>
        <w:t>،</w:t>
      </w:r>
      <w:r w:rsidRPr="006571AC">
        <w:rPr>
          <w:sz w:val="27"/>
          <w:rtl/>
        </w:rPr>
        <w:t xml:space="preserve"> عم</w:t>
      </w:r>
      <w:r w:rsidRPr="006571AC">
        <w:rPr>
          <w:rFonts w:hint="cs"/>
          <w:sz w:val="27"/>
          <w:rtl/>
        </w:rPr>
        <w:t>ّ</w:t>
      </w:r>
      <w:r w:rsidR="00300B60" w:rsidRPr="006571AC">
        <w:rPr>
          <w:rFonts w:hint="cs"/>
          <w:sz w:val="27"/>
          <w:rtl/>
        </w:rPr>
        <w:t>َ</w:t>
      </w:r>
      <w:r w:rsidRPr="006571AC">
        <w:rPr>
          <w:sz w:val="27"/>
          <w:rtl/>
        </w:rPr>
        <w:t>ن</w:t>
      </w:r>
      <w:r w:rsidR="00300B60" w:rsidRPr="006571AC">
        <w:rPr>
          <w:rFonts w:hint="cs"/>
          <w:sz w:val="27"/>
          <w:rtl/>
        </w:rPr>
        <w:t>ْ</w:t>
      </w:r>
      <w:r w:rsidRPr="006571AC">
        <w:rPr>
          <w:sz w:val="27"/>
          <w:rtl/>
        </w:rPr>
        <w:t xml:space="preserve"> ذكره، عن أبي عبد الله</w:t>
      </w:r>
      <w:r w:rsidRPr="006571AC">
        <w:rPr>
          <w:rFonts w:ascii="Mosawi" w:hAnsi="Mosawi" w:cs="Mosawi"/>
          <w:sz w:val="22"/>
          <w:szCs w:val="22"/>
          <w:rtl/>
        </w:rPr>
        <w:t>×</w:t>
      </w:r>
      <w:r w:rsidRPr="006571AC">
        <w:rPr>
          <w:sz w:val="27"/>
          <w:rtl/>
        </w:rPr>
        <w:t xml:space="preserve"> قال: التواصل بين ال</w:t>
      </w:r>
      <w:r w:rsidRPr="006571AC">
        <w:rPr>
          <w:rFonts w:hint="cs"/>
          <w:sz w:val="27"/>
          <w:rtl/>
        </w:rPr>
        <w:t>إ</w:t>
      </w:r>
      <w:r w:rsidRPr="006571AC">
        <w:rPr>
          <w:sz w:val="27"/>
          <w:rtl/>
        </w:rPr>
        <w:t xml:space="preserve">خوان في الحضر التزاور، وفي السفر التكاتب. </w:t>
      </w:r>
    </w:p>
    <w:p w:rsidR="008A3F20" w:rsidRPr="006571AC" w:rsidRDefault="008A3F20" w:rsidP="00B03706">
      <w:pPr>
        <w:pStyle w:val="affffffff3"/>
        <w:spacing w:line="420" w:lineRule="exact"/>
        <w:rPr>
          <w:rFonts w:cs="AL-Mohanad"/>
          <w:b/>
          <w:bCs w:val="0"/>
          <w:sz w:val="27"/>
          <w:szCs w:val="27"/>
          <w:rtl/>
        </w:rPr>
      </w:pPr>
      <w:r w:rsidRPr="006571AC">
        <w:rPr>
          <w:rFonts w:cs="AL-Mohanad"/>
          <w:b/>
          <w:bCs w:val="0"/>
          <w:sz w:val="27"/>
          <w:szCs w:val="27"/>
          <w:rtl/>
        </w:rPr>
        <w:t xml:space="preserve">2ـ </w:t>
      </w:r>
      <w:r w:rsidRPr="006571AC">
        <w:rPr>
          <w:rFonts w:cs="AL-Mohanad"/>
          <w:b/>
          <w:sz w:val="27"/>
          <w:szCs w:val="27"/>
          <w:rtl/>
        </w:rPr>
        <w:t>ابن محبوب، عن عبد الله بن سنان</w:t>
      </w:r>
      <w:r w:rsidRPr="006571AC">
        <w:rPr>
          <w:rFonts w:cs="AL-Mohanad"/>
          <w:b/>
          <w:bCs w:val="0"/>
          <w:sz w:val="27"/>
          <w:szCs w:val="27"/>
          <w:rtl/>
        </w:rPr>
        <w:t>، عن أبي عبد الله</w:t>
      </w:r>
      <w:r w:rsidRPr="006571AC">
        <w:rPr>
          <w:rFonts w:ascii="Mosawi" w:hAnsi="Mosawi" w:cs="Mosawi"/>
          <w:sz w:val="22"/>
          <w:szCs w:val="22"/>
          <w:rtl/>
        </w:rPr>
        <w:t>×</w:t>
      </w:r>
      <w:r w:rsidRPr="006571AC">
        <w:rPr>
          <w:rFonts w:cs="AL-Mohanad"/>
          <w:b/>
          <w:bCs w:val="0"/>
          <w:sz w:val="27"/>
          <w:szCs w:val="27"/>
          <w:rtl/>
        </w:rPr>
        <w:t xml:space="preserve"> قال: رد</w:t>
      </w:r>
      <w:r w:rsidRPr="006571AC">
        <w:rPr>
          <w:rFonts w:cs="AL-Mohanad" w:hint="cs"/>
          <w:b/>
          <w:bCs w:val="0"/>
          <w:sz w:val="27"/>
          <w:szCs w:val="27"/>
          <w:rtl/>
        </w:rPr>
        <w:t>ّ</w:t>
      </w:r>
      <w:r w:rsidRPr="006571AC">
        <w:rPr>
          <w:rFonts w:cs="AL-Mohanad"/>
          <w:b/>
          <w:bCs w:val="0"/>
          <w:sz w:val="27"/>
          <w:szCs w:val="27"/>
          <w:rtl/>
        </w:rPr>
        <w:t xml:space="preserve"> جواب الكتاب واجب</w:t>
      </w:r>
      <w:r w:rsidRPr="006571AC">
        <w:rPr>
          <w:rFonts w:cs="AL-Mohanad" w:hint="cs"/>
          <w:b/>
          <w:bCs w:val="0"/>
          <w:sz w:val="27"/>
          <w:szCs w:val="27"/>
          <w:rtl/>
        </w:rPr>
        <w:t>ٌ</w:t>
      </w:r>
      <w:r w:rsidRPr="006571AC">
        <w:rPr>
          <w:rFonts w:cs="AL-Mohanad"/>
          <w:b/>
          <w:bCs w:val="0"/>
          <w:sz w:val="27"/>
          <w:szCs w:val="27"/>
          <w:rtl/>
        </w:rPr>
        <w:t xml:space="preserve"> كوجوب رد</w:t>
      </w:r>
      <w:r w:rsidRPr="006571AC">
        <w:rPr>
          <w:rFonts w:cs="AL-Mohanad" w:hint="cs"/>
          <w:b/>
          <w:bCs w:val="0"/>
          <w:sz w:val="27"/>
          <w:szCs w:val="27"/>
          <w:rtl/>
        </w:rPr>
        <w:t>ّ</w:t>
      </w:r>
      <w:r w:rsidRPr="006571AC">
        <w:rPr>
          <w:rFonts w:cs="AL-Mohanad"/>
          <w:b/>
          <w:bCs w:val="0"/>
          <w:sz w:val="27"/>
          <w:szCs w:val="27"/>
          <w:rtl/>
        </w:rPr>
        <w:t xml:space="preserve"> السلام</w:t>
      </w:r>
      <w:r w:rsidRPr="006571AC">
        <w:rPr>
          <w:rFonts w:cs="AL-Mohanad" w:hint="cs"/>
          <w:b/>
          <w:bCs w:val="0"/>
          <w:sz w:val="27"/>
          <w:szCs w:val="27"/>
          <w:rtl/>
        </w:rPr>
        <w:t>،</w:t>
      </w:r>
      <w:r w:rsidRPr="006571AC">
        <w:rPr>
          <w:rFonts w:cs="AL-Mohanad"/>
          <w:b/>
          <w:bCs w:val="0"/>
          <w:sz w:val="27"/>
          <w:szCs w:val="27"/>
          <w:rtl/>
        </w:rPr>
        <w:t xml:space="preserve"> والبادي بالسلام أ</w:t>
      </w:r>
      <w:r w:rsidR="008F30D3" w:rsidRPr="006571AC">
        <w:rPr>
          <w:rFonts w:cs="AL-Mohanad" w:hint="cs"/>
          <w:b/>
          <w:bCs w:val="0"/>
          <w:sz w:val="27"/>
          <w:szCs w:val="27"/>
          <w:rtl/>
        </w:rPr>
        <w:t>َ</w:t>
      </w:r>
      <w:r w:rsidRPr="006571AC">
        <w:rPr>
          <w:rFonts w:cs="AL-Mohanad"/>
          <w:b/>
          <w:bCs w:val="0"/>
          <w:sz w:val="27"/>
          <w:szCs w:val="27"/>
          <w:rtl/>
        </w:rPr>
        <w:t>و</w:t>
      </w:r>
      <w:r w:rsidR="008F30D3" w:rsidRPr="006571AC">
        <w:rPr>
          <w:rFonts w:cs="AL-Mohanad" w:hint="cs"/>
          <w:b/>
          <w:bCs w:val="0"/>
          <w:sz w:val="27"/>
          <w:szCs w:val="27"/>
          <w:rtl/>
        </w:rPr>
        <w:t>ْ</w:t>
      </w:r>
      <w:r w:rsidRPr="006571AC">
        <w:rPr>
          <w:rFonts w:cs="AL-Mohanad"/>
          <w:b/>
          <w:bCs w:val="0"/>
          <w:sz w:val="27"/>
          <w:szCs w:val="27"/>
          <w:rtl/>
        </w:rPr>
        <w:t>لى بالله ورسوله</w:t>
      </w:r>
      <w:r w:rsidRPr="006571AC">
        <w:rPr>
          <w:rFonts w:cs="AL-Mohanad" w:hint="cs"/>
          <w:b/>
          <w:bCs w:val="0"/>
          <w:szCs w:val="24"/>
          <w:rtl/>
        </w:rPr>
        <w:t>»</w:t>
      </w:r>
      <w:r w:rsidRPr="006571AC">
        <w:rPr>
          <w:rFonts w:cs="AL-Mohanad"/>
          <w:bCs w:val="0"/>
          <w:sz w:val="27"/>
          <w:szCs w:val="27"/>
          <w:vertAlign w:val="superscript"/>
          <w:rtl/>
        </w:rPr>
        <w:t>(</w:t>
      </w:r>
      <w:r w:rsidRPr="006571AC">
        <w:rPr>
          <w:rStyle w:val="ac"/>
          <w:rFonts w:cs="AL-Mohanad"/>
          <w:bCs w:val="0"/>
          <w:sz w:val="27"/>
          <w:szCs w:val="27"/>
          <w:rtl/>
        </w:rPr>
        <w:endnoteReference w:id="858"/>
      </w:r>
      <w:r w:rsidRPr="006571AC">
        <w:rPr>
          <w:rFonts w:cs="AL-Mohanad"/>
          <w:bCs w:val="0"/>
          <w:sz w:val="27"/>
          <w:szCs w:val="27"/>
          <w:vertAlign w:val="superscript"/>
          <w:rtl/>
        </w:rPr>
        <w:t>)</w:t>
      </w:r>
      <w:r w:rsidRPr="006571AC">
        <w:rPr>
          <w:rFonts w:cs="AL-Mohanad" w:hint="cs"/>
          <w:b/>
          <w:bCs w:val="0"/>
          <w:sz w:val="27"/>
          <w:szCs w:val="27"/>
          <w:rtl/>
        </w:rPr>
        <w:t xml:space="preserve">. </w:t>
      </w:r>
    </w:p>
    <w:p w:rsidR="008A3F20" w:rsidRPr="006571AC" w:rsidRDefault="008A3F20" w:rsidP="00B03706">
      <w:pPr>
        <w:pStyle w:val="affffffff3"/>
        <w:spacing w:line="440" w:lineRule="exact"/>
        <w:rPr>
          <w:rFonts w:cs="AL-Mohanad"/>
          <w:b/>
          <w:bCs w:val="0"/>
          <w:sz w:val="27"/>
          <w:szCs w:val="27"/>
          <w:rtl/>
        </w:rPr>
      </w:pPr>
    </w:p>
    <w:p w:rsidR="008A3F20" w:rsidRPr="006571AC" w:rsidRDefault="008A3F20" w:rsidP="00A2511B">
      <w:pPr>
        <w:pStyle w:val="31"/>
        <w:rPr>
          <w:color w:val="auto"/>
          <w:rtl/>
        </w:rPr>
      </w:pPr>
      <w:bookmarkStart w:id="540" w:name="_Toc171512740"/>
      <w:bookmarkStart w:id="541" w:name="_Toc114164905"/>
      <w:r w:rsidRPr="006571AC">
        <w:rPr>
          <w:rFonts w:hint="cs"/>
          <w:color w:val="auto"/>
          <w:rtl/>
        </w:rPr>
        <w:t>13ـ العطف بين الأحاديث</w:t>
      </w:r>
      <w:bookmarkEnd w:id="540"/>
      <w:bookmarkEnd w:id="541"/>
    </w:p>
    <w:p w:rsidR="008A3F20" w:rsidRPr="006571AC" w:rsidRDefault="008A3F20" w:rsidP="008F30D3">
      <w:pPr>
        <w:pStyle w:val="affffffff3"/>
        <w:spacing w:line="420" w:lineRule="exact"/>
        <w:rPr>
          <w:rFonts w:cs="AL-Mohanad"/>
          <w:b/>
          <w:bCs w:val="0"/>
          <w:sz w:val="27"/>
          <w:szCs w:val="27"/>
          <w:rtl/>
        </w:rPr>
      </w:pPr>
      <w:r w:rsidRPr="006571AC">
        <w:rPr>
          <w:rFonts w:cs="AL-Mohanad" w:hint="cs"/>
          <w:b/>
          <w:bCs w:val="0"/>
          <w:sz w:val="27"/>
          <w:szCs w:val="27"/>
          <w:rtl/>
        </w:rPr>
        <w:t>ونظراً للحاجة إلى بسط الكلام في هذا المبحث فقد آث</w:t>
      </w:r>
      <w:r w:rsidR="008F30D3" w:rsidRPr="006571AC">
        <w:rPr>
          <w:rFonts w:cs="AL-Mohanad" w:hint="cs"/>
          <w:b/>
          <w:bCs w:val="0"/>
          <w:sz w:val="27"/>
          <w:szCs w:val="27"/>
          <w:rtl/>
        </w:rPr>
        <w:t>َ</w:t>
      </w:r>
      <w:r w:rsidRPr="006571AC">
        <w:rPr>
          <w:rFonts w:cs="AL-Mohanad" w:hint="cs"/>
          <w:b/>
          <w:bCs w:val="0"/>
          <w:sz w:val="27"/>
          <w:szCs w:val="27"/>
          <w:rtl/>
        </w:rPr>
        <w:t>ر</w:t>
      </w:r>
      <w:r w:rsidR="008F30D3" w:rsidRPr="006571AC">
        <w:rPr>
          <w:rFonts w:cs="AL-Mohanad" w:hint="cs"/>
          <w:b/>
          <w:bCs w:val="0"/>
          <w:sz w:val="27"/>
          <w:szCs w:val="27"/>
          <w:rtl/>
        </w:rPr>
        <w:t>ْ</w:t>
      </w:r>
      <w:r w:rsidRPr="006571AC">
        <w:rPr>
          <w:rFonts w:cs="AL-Mohanad" w:hint="cs"/>
          <w:b/>
          <w:bCs w:val="0"/>
          <w:sz w:val="27"/>
          <w:szCs w:val="27"/>
          <w:rtl/>
        </w:rPr>
        <w:t xml:space="preserve">نا التعرُّض له في </w:t>
      </w:r>
      <w:r w:rsidR="005B62E9" w:rsidRPr="006571AC">
        <w:rPr>
          <w:rFonts w:cs="AL-Mohanad" w:hint="cs"/>
          <w:b/>
          <w:bCs w:val="0"/>
          <w:sz w:val="27"/>
          <w:szCs w:val="27"/>
          <w:rtl/>
        </w:rPr>
        <w:t>مقالةٍ مستقلّة</w:t>
      </w:r>
      <w:r w:rsidR="008F30D3" w:rsidRPr="006571AC">
        <w:rPr>
          <w:rFonts w:cs="AL-Mohanad" w:hint="cs"/>
          <w:b/>
          <w:bCs w:val="0"/>
          <w:sz w:val="27"/>
          <w:szCs w:val="27"/>
          <w:rtl/>
        </w:rPr>
        <w:t xml:space="preserve">، تُنْشَر لاحقاً في عددٍ قادم، إنْ شاء الله تعالى. </w:t>
      </w:r>
    </w:p>
    <w:p w:rsidR="008A3F20" w:rsidRPr="006571AC" w:rsidRDefault="008A3F20" w:rsidP="00B03706">
      <w:pPr>
        <w:pStyle w:val="affffffff3"/>
        <w:spacing w:line="460" w:lineRule="exact"/>
        <w:rPr>
          <w:rFonts w:cs="AL-Mohanad"/>
          <w:b/>
          <w:bCs w:val="0"/>
          <w:sz w:val="27"/>
          <w:szCs w:val="27"/>
          <w:rtl/>
        </w:rPr>
      </w:pPr>
    </w:p>
    <w:p w:rsidR="008A3F20" w:rsidRPr="006571AC" w:rsidRDefault="008A3F20" w:rsidP="00A2511B">
      <w:pPr>
        <w:pStyle w:val="31"/>
        <w:rPr>
          <w:color w:val="auto"/>
          <w:rtl/>
        </w:rPr>
      </w:pPr>
      <w:bookmarkStart w:id="542" w:name="_Toc114164906"/>
      <w:r w:rsidRPr="006571AC">
        <w:rPr>
          <w:rFonts w:hint="cs"/>
          <w:color w:val="auto"/>
          <w:rtl/>
        </w:rPr>
        <w:t>المبحث الثاني: خصائص المتون</w:t>
      </w:r>
      <w:bookmarkEnd w:id="542"/>
    </w:p>
    <w:p w:rsidR="00C53AF0" w:rsidRPr="006571AC" w:rsidRDefault="00C53AF0" w:rsidP="00FF4029">
      <w:pPr>
        <w:pStyle w:val="31"/>
        <w:rPr>
          <w:color w:val="auto"/>
          <w:rtl/>
        </w:rPr>
      </w:pPr>
      <w:bookmarkStart w:id="543" w:name="_Toc114164907"/>
      <w:r w:rsidRPr="006571AC">
        <w:rPr>
          <w:rFonts w:hint="cs"/>
          <w:color w:val="auto"/>
          <w:rtl/>
        </w:rPr>
        <w:t>1ـ الاختصار</w:t>
      </w:r>
      <w:bookmarkEnd w:id="543"/>
    </w:p>
    <w:p w:rsidR="008A3F20" w:rsidRPr="006571AC" w:rsidRDefault="00C53AF0" w:rsidP="00B03706">
      <w:pPr>
        <w:spacing w:line="420" w:lineRule="exact"/>
        <w:rPr>
          <w:b/>
          <w:bCs/>
          <w:sz w:val="27"/>
          <w:rtl/>
        </w:rPr>
      </w:pPr>
      <w:r w:rsidRPr="006571AC">
        <w:rPr>
          <w:rFonts w:hint="cs"/>
          <w:b/>
          <w:bCs/>
          <w:sz w:val="27"/>
          <w:rtl/>
        </w:rPr>
        <w:t>و</w:t>
      </w:r>
      <w:r w:rsidR="008A3F20" w:rsidRPr="006571AC">
        <w:rPr>
          <w:rFonts w:hint="cs"/>
          <w:b/>
          <w:bCs/>
          <w:sz w:val="27"/>
          <w:rtl/>
        </w:rPr>
        <w:t xml:space="preserve">من أبرز خصائص متن الأحاديث في كتاب </w:t>
      </w:r>
      <w:r w:rsidR="008A3F20" w:rsidRPr="006571AC">
        <w:rPr>
          <w:rFonts w:hint="cs"/>
          <w:b/>
          <w:bCs/>
          <w:sz w:val="24"/>
          <w:szCs w:val="24"/>
          <w:rtl/>
        </w:rPr>
        <w:t>«</w:t>
      </w:r>
      <w:r w:rsidR="008A3F20" w:rsidRPr="006571AC">
        <w:rPr>
          <w:rFonts w:hint="cs"/>
          <w:b/>
          <w:bCs/>
          <w:sz w:val="27"/>
          <w:rtl/>
        </w:rPr>
        <w:t>الوسائل</w:t>
      </w:r>
      <w:r w:rsidR="008A3F20" w:rsidRPr="006571AC">
        <w:rPr>
          <w:rFonts w:hint="cs"/>
          <w:b/>
          <w:bCs/>
          <w:sz w:val="24"/>
          <w:szCs w:val="24"/>
          <w:rtl/>
        </w:rPr>
        <w:t>»</w:t>
      </w:r>
      <w:r w:rsidR="008A3F20" w:rsidRPr="006571AC">
        <w:rPr>
          <w:rFonts w:hint="cs"/>
          <w:b/>
          <w:bCs/>
          <w:sz w:val="27"/>
          <w:rtl/>
        </w:rPr>
        <w:t xml:space="preserve"> الاختصار.</w:t>
      </w:r>
    </w:p>
    <w:p w:rsidR="00FF4029" w:rsidRPr="006571AC" w:rsidRDefault="00FF4029" w:rsidP="00B03706">
      <w:pPr>
        <w:spacing w:line="440" w:lineRule="exact"/>
        <w:rPr>
          <w:b/>
          <w:bCs/>
          <w:sz w:val="27"/>
          <w:rtl/>
        </w:rPr>
      </w:pPr>
    </w:p>
    <w:p w:rsidR="00FF4029" w:rsidRPr="006571AC" w:rsidRDefault="00FF4029" w:rsidP="00FF4029">
      <w:pPr>
        <w:pStyle w:val="31"/>
        <w:rPr>
          <w:color w:val="auto"/>
          <w:rtl/>
        </w:rPr>
      </w:pPr>
      <w:bookmarkStart w:id="544" w:name="_Toc114164908"/>
      <w:r w:rsidRPr="006571AC">
        <w:rPr>
          <w:rFonts w:hint="cs"/>
          <w:color w:val="auto"/>
          <w:rtl/>
        </w:rPr>
        <w:t>أساليب الاختصار في المتن</w:t>
      </w:r>
      <w:bookmarkEnd w:id="544"/>
    </w:p>
    <w:p w:rsidR="008A3F20" w:rsidRPr="006571AC" w:rsidRDefault="008A3F20" w:rsidP="00B03706">
      <w:pPr>
        <w:spacing w:line="420" w:lineRule="exact"/>
        <w:rPr>
          <w:sz w:val="27"/>
          <w:rtl/>
        </w:rPr>
      </w:pPr>
      <w:r w:rsidRPr="006571AC">
        <w:rPr>
          <w:rFonts w:hint="cs"/>
          <w:sz w:val="27"/>
          <w:rtl/>
        </w:rPr>
        <w:t xml:space="preserve">وقد </w:t>
      </w:r>
      <w:r w:rsidRPr="006571AC">
        <w:rPr>
          <w:rFonts w:hint="cs"/>
          <w:b/>
          <w:bCs/>
          <w:sz w:val="27"/>
          <w:rtl/>
        </w:rPr>
        <w:t>اتّبع الشيخ الحُرّ</w:t>
      </w:r>
      <w:r w:rsidRPr="006571AC">
        <w:rPr>
          <w:rFonts w:ascii="Mosawi" w:hAnsi="Mosawi" w:cs="Mosawi"/>
          <w:sz w:val="22"/>
          <w:szCs w:val="22"/>
          <w:rtl/>
        </w:rPr>
        <w:t>&amp;</w:t>
      </w:r>
      <w:r w:rsidRPr="006571AC">
        <w:rPr>
          <w:rFonts w:hint="cs"/>
          <w:b/>
          <w:bCs/>
          <w:sz w:val="27"/>
          <w:rtl/>
        </w:rPr>
        <w:t xml:space="preserve"> في اختصار متن أحاديث كتابه جملةً من الأساليب</w:t>
      </w:r>
      <w:r w:rsidRPr="006571AC">
        <w:rPr>
          <w:rFonts w:hint="cs"/>
          <w:sz w:val="27"/>
          <w:rtl/>
        </w:rPr>
        <w:t>،‌ ومنها:</w:t>
      </w:r>
    </w:p>
    <w:p w:rsidR="008A3F20" w:rsidRPr="006571AC" w:rsidRDefault="00FF4029" w:rsidP="00A2511B">
      <w:pPr>
        <w:pStyle w:val="31"/>
        <w:rPr>
          <w:color w:val="auto"/>
          <w:rtl/>
        </w:rPr>
      </w:pPr>
      <w:bookmarkStart w:id="545" w:name="_Toc171512866"/>
      <w:bookmarkStart w:id="546" w:name="_Toc114164909"/>
      <w:r w:rsidRPr="006571AC">
        <w:rPr>
          <w:rFonts w:hint="cs"/>
          <w:color w:val="auto"/>
          <w:rtl/>
        </w:rPr>
        <w:lastRenderedPageBreak/>
        <w:t xml:space="preserve">أـ </w:t>
      </w:r>
      <w:r w:rsidR="008A3F20" w:rsidRPr="006571AC">
        <w:rPr>
          <w:rFonts w:hint="cs"/>
          <w:color w:val="auto"/>
          <w:rtl/>
        </w:rPr>
        <w:t>تقطيع متن الحديث</w:t>
      </w:r>
      <w:bookmarkEnd w:id="545"/>
      <w:bookmarkEnd w:id="546"/>
    </w:p>
    <w:p w:rsidR="008A3F20" w:rsidRPr="006571AC" w:rsidRDefault="008A3F20" w:rsidP="000C6F2A">
      <w:pPr>
        <w:rPr>
          <w:sz w:val="27"/>
          <w:rtl/>
        </w:rPr>
      </w:pPr>
      <w:r w:rsidRPr="006571AC">
        <w:rPr>
          <w:rFonts w:hint="cs"/>
          <w:sz w:val="27"/>
          <w:rtl/>
        </w:rPr>
        <w:t>وقد أشار السيّد البروجرديّ</w:t>
      </w:r>
      <w:r w:rsidRPr="006571AC">
        <w:rPr>
          <w:rFonts w:ascii="Mosawi" w:hAnsi="Mosawi" w:cs="Mosawi"/>
          <w:sz w:val="22"/>
          <w:szCs w:val="22"/>
          <w:rtl/>
        </w:rPr>
        <w:t>&amp;</w:t>
      </w:r>
      <w:r w:rsidRPr="006571AC">
        <w:rPr>
          <w:rFonts w:hint="cs"/>
          <w:sz w:val="27"/>
          <w:rtl/>
        </w:rPr>
        <w:t xml:space="preserve"> إلى هذا الأمر بقوله: </w:t>
      </w:r>
      <w:r w:rsidRPr="006571AC">
        <w:rPr>
          <w:rFonts w:hint="cs"/>
          <w:sz w:val="24"/>
          <w:szCs w:val="24"/>
          <w:rtl/>
        </w:rPr>
        <w:t>«</w:t>
      </w:r>
      <w:r w:rsidRPr="006571AC">
        <w:rPr>
          <w:rFonts w:hint="cs"/>
          <w:sz w:val="27"/>
          <w:rtl/>
        </w:rPr>
        <w:t>ومع ذلك كلِّه لا يخلو عن تكرار الأبواب، والأحاديث، وتقطيع الأخبار، والأسانيد</w:t>
      </w:r>
      <w:r w:rsidRPr="006571AC">
        <w:rPr>
          <w:rFonts w:hint="cs"/>
          <w:sz w:val="24"/>
          <w:szCs w:val="24"/>
          <w:rtl/>
        </w:rPr>
        <w:t>»</w:t>
      </w:r>
      <w:r w:rsidRPr="006571AC">
        <w:rPr>
          <w:sz w:val="27"/>
          <w:vertAlign w:val="superscript"/>
          <w:rtl/>
        </w:rPr>
        <w:t>(</w:t>
      </w:r>
      <w:r w:rsidRPr="006571AC">
        <w:rPr>
          <w:rStyle w:val="ac"/>
          <w:sz w:val="27"/>
          <w:rtl/>
        </w:rPr>
        <w:endnoteReference w:id="85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b/>
          <w:bCs/>
          <w:sz w:val="27"/>
          <w:rtl/>
        </w:rPr>
        <w:t xml:space="preserve">والمقصود من </w:t>
      </w:r>
      <w:r w:rsidRPr="006571AC">
        <w:rPr>
          <w:rFonts w:hint="cs"/>
          <w:b/>
          <w:bCs/>
          <w:sz w:val="24"/>
          <w:szCs w:val="24"/>
          <w:rtl/>
        </w:rPr>
        <w:t>«</w:t>
      </w:r>
      <w:r w:rsidRPr="006571AC">
        <w:rPr>
          <w:rFonts w:hint="cs"/>
          <w:b/>
          <w:bCs/>
          <w:sz w:val="27"/>
          <w:rtl/>
        </w:rPr>
        <w:t>تقطيع متن الحديث</w:t>
      </w:r>
      <w:r w:rsidRPr="006571AC">
        <w:rPr>
          <w:rFonts w:hint="cs"/>
          <w:b/>
          <w:bCs/>
          <w:sz w:val="24"/>
          <w:szCs w:val="24"/>
          <w:rtl/>
        </w:rPr>
        <w:t>»</w:t>
      </w:r>
      <w:r w:rsidRPr="006571AC">
        <w:rPr>
          <w:rFonts w:hint="cs"/>
          <w:b/>
          <w:bCs/>
          <w:sz w:val="27"/>
          <w:rtl/>
        </w:rPr>
        <w:t xml:space="preserve"> أنّ الشيخ الحُرّ</w:t>
      </w:r>
      <w:r w:rsidRPr="006571AC">
        <w:rPr>
          <w:rFonts w:ascii="Mosawi" w:hAnsi="Mosawi" w:cs="Mosawi"/>
          <w:b/>
          <w:bCs/>
          <w:sz w:val="22"/>
          <w:szCs w:val="22"/>
          <w:rtl/>
        </w:rPr>
        <w:t>&amp;</w:t>
      </w:r>
      <w:r w:rsidRPr="006571AC">
        <w:rPr>
          <w:rFonts w:hint="cs"/>
          <w:b/>
          <w:bCs/>
          <w:sz w:val="27"/>
          <w:rtl/>
        </w:rPr>
        <w:t xml:space="preserve"> يعمد إلى </w:t>
      </w:r>
      <w:r w:rsidRPr="006571AC">
        <w:rPr>
          <w:rFonts w:hint="cs"/>
          <w:b/>
          <w:bCs/>
          <w:sz w:val="24"/>
          <w:szCs w:val="24"/>
          <w:rtl/>
        </w:rPr>
        <w:t>«</w:t>
      </w:r>
      <w:r w:rsidRPr="006571AC">
        <w:rPr>
          <w:rFonts w:hint="cs"/>
          <w:b/>
          <w:bCs/>
          <w:sz w:val="27"/>
          <w:rtl/>
        </w:rPr>
        <w:t>الحديث الواحد المشتمل على عدّة فقرات</w:t>
      </w:r>
      <w:r w:rsidR="00D42E60" w:rsidRPr="006571AC">
        <w:rPr>
          <w:rFonts w:hint="cs"/>
          <w:b/>
          <w:bCs/>
          <w:sz w:val="27"/>
          <w:rtl/>
        </w:rPr>
        <w:t>ٍ</w:t>
      </w:r>
      <w:r w:rsidRPr="006571AC">
        <w:rPr>
          <w:rFonts w:hint="cs"/>
          <w:b/>
          <w:bCs/>
          <w:sz w:val="27"/>
          <w:rtl/>
        </w:rPr>
        <w:t>، فيفرِّق بين فقراته، ولا يذكرها في باب</w:t>
      </w:r>
      <w:r w:rsidR="00D42E60" w:rsidRPr="006571AC">
        <w:rPr>
          <w:rFonts w:hint="cs"/>
          <w:b/>
          <w:bCs/>
          <w:sz w:val="27"/>
          <w:rtl/>
        </w:rPr>
        <w:t>ٍ</w:t>
      </w:r>
      <w:r w:rsidRPr="006571AC">
        <w:rPr>
          <w:rFonts w:hint="cs"/>
          <w:b/>
          <w:bCs/>
          <w:sz w:val="27"/>
          <w:rtl/>
        </w:rPr>
        <w:t xml:space="preserve"> واحد، بل يذكر كلّ فقرة</w:t>
      </w:r>
      <w:r w:rsidR="00D42E60" w:rsidRPr="006571AC">
        <w:rPr>
          <w:rFonts w:hint="cs"/>
          <w:b/>
          <w:bCs/>
          <w:sz w:val="27"/>
          <w:rtl/>
        </w:rPr>
        <w:t>ٍ</w:t>
      </w:r>
      <w:r w:rsidRPr="006571AC">
        <w:rPr>
          <w:rFonts w:hint="cs"/>
          <w:b/>
          <w:bCs/>
          <w:sz w:val="27"/>
          <w:rtl/>
        </w:rPr>
        <w:t xml:space="preserve"> في بابها المناسب</w:t>
      </w:r>
      <w:r w:rsidRPr="006571AC">
        <w:rPr>
          <w:rFonts w:hint="cs"/>
          <w:b/>
          <w:bCs/>
          <w:sz w:val="24"/>
          <w:szCs w:val="24"/>
          <w:rtl/>
        </w:rPr>
        <w:t>»</w:t>
      </w:r>
      <w:r w:rsidRPr="006571AC">
        <w:rPr>
          <w:sz w:val="27"/>
          <w:vertAlign w:val="superscript"/>
          <w:rtl/>
        </w:rPr>
        <w:t>(</w:t>
      </w:r>
      <w:r w:rsidRPr="006571AC">
        <w:rPr>
          <w:rStyle w:val="ac"/>
          <w:sz w:val="27"/>
          <w:rtl/>
        </w:rPr>
        <w:endnoteReference w:id="860"/>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وبعبارةٍ أخرى: </w:t>
      </w:r>
      <w:r w:rsidRPr="006571AC">
        <w:rPr>
          <w:rFonts w:hint="cs"/>
          <w:b/>
          <w:bCs/>
          <w:sz w:val="27"/>
          <w:rtl/>
        </w:rPr>
        <w:t>إنّ الشيخ الحُرّ</w:t>
      </w:r>
      <w:r w:rsidRPr="006571AC">
        <w:rPr>
          <w:rFonts w:ascii="Mosawi" w:hAnsi="Mosawi" w:cs="Mosawi"/>
          <w:b/>
          <w:bCs/>
          <w:sz w:val="22"/>
          <w:szCs w:val="22"/>
          <w:rtl/>
        </w:rPr>
        <w:t>&amp;</w:t>
      </w:r>
      <w:r w:rsidRPr="006571AC">
        <w:rPr>
          <w:rFonts w:hint="cs"/>
          <w:b/>
          <w:bCs/>
          <w:sz w:val="27"/>
          <w:rtl/>
        </w:rPr>
        <w:t xml:space="preserve"> ـ في بعض الأحاديث ـ يحذف بعض فقرات الحديث</w:t>
      </w:r>
      <w:r w:rsidRPr="006571AC">
        <w:rPr>
          <w:sz w:val="27"/>
          <w:vertAlign w:val="superscript"/>
          <w:rtl/>
        </w:rPr>
        <w:t>(</w:t>
      </w:r>
      <w:r w:rsidRPr="006571AC">
        <w:rPr>
          <w:rStyle w:val="ac"/>
          <w:sz w:val="27"/>
          <w:rtl/>
        </w:rPr>
        <w:endnoteReference w:id="861"/>
      </w:r>
      <w:r w:rsidRPr="006571AC">
        <w:rPr>
          <w:sz w:val="27"/>
          <w:vertAlign w:val="superscript"/>
          <w:rtl/>
        </w:rPr>
        <w:t>)</w:t>
      </w:r>
      <w:r w:rsidRPr="006571AC">
        <w:rPr>
          <w:rFonts w:hint="cs"/>
          <w:sz w:val="27"/>
          <w:rtl/>
        </w:rPr>
        <w:t xml:space="preserve">. </w:t>
      </w:r>
    </w:p>
    <w:p w:rsidR="008A3F20" w:rsidRPr="006571AC" w:rsidRDefault="008A3F20" w:rsidP="00B03706">
      <w:pPr>
        <w:spacing w:line="450" w:lineRule="exact"/>
        <w:rPr>
          <w:sz w:val="27"/>
          <w:rtl/>
        </w:rPr>
      </w:pPr>
    </w:p>
    <w:p w:rsidR="008A3F20" w:rsidRPr="006571AC" w:rsidRDefault="008A3F20" w:rsidP="00A2511B">
      <w:pPr>
        <w:pStyle w:val="31"/>
        <w:rPr>
          <w:color w:val="auto"/>
          <w:rtl/>
        </w:rPr>
      </w:pPr>
      <w:bookmarkStart w:id="547" w:name="_Toc171512867"/>
      <w:bookmarkStart w:id="548" w:name="_Toc114164910"/>
      <w:r w:rsidRPr="006571AC">
        <w:rPr>
          <w:rFonts w:hint="cs"/>
          <w:color w:val="auto"/>
          <w:rtl/>
        </w:rPr>
        <w:t>الحذف مع الإشارة</w:t>
      </w:r>
      <w:bookmarkEnd w:id="547"/>
      <w:bookmarkEnd w:id="548"/>
    </w:p>
    <w:p w:rsidR="008A3F20" w:rsidRPr="006571AC" w:rsidRDefault="008A3F20" w:rsidP="000C6F2A">
      <w:pPr>
        <w:rPr>
          <w:sz w:val="27"/>
          <w:rtl/>
        </w:rPr>
      </w:pPr>
      <w:r w:rsidRPr="006571AC">
        <w:rPr>
          <w:rFonts w:hint="cs"/>
          <w:sz w:val="27"/>
          <w:rtl/>
        </w:rPr>
        <w:t xml:space="preserve"> </w:t>
      </w:r>
      <w:r w:rsidRPr="006571AC">
        <w:rPr>
          <w:rFonts w:hint="cs"/>
          <w:b/>
          <w:bCs/>
          <w:sz w:val="27"/>
          <w:rtl/>
        </w:rPr>
        <w:t>في كثير من الأحاديث</w:t>
      </w:r>
      <w:r w:rsidRPr="006571AC">
        <w:rPr>
          <w:rFonts w:hint="cs"/>
          <w:sz w:val="27"/>
          <w:rtl/>
        </w:rPr>
        <w:t xml:space="preserve"> التي قام بتقطيعها </w:t>
      </w:r>
      <w:r w:rsidRPr="006571AC">
        <w:rPr>
          <w:rFonts w:hint="cs"/>
          <w:b/>
          <w:bCs/>
          <w:sz w:val="27"/>
          <w:rtl/>
        </w:rPr>
        <w:t>يشير الشيخ الحُرّ</w:t>
      </w:r>
      <w:r w:rsidRPr="006571AC">
        <w:rPr>
          <w:rFonts w:ascii="Mosawi" w:hAnsi="Mosawi" w:cs="Mosawi"/>
          <w:b/>
          <w:bCs/>
          <w:sz w:val="22"/>
          <w:szCs w:val="22"/>
          <w:rtl/>
        </w:rPr>
        <w:t>&amp;</w:t>
      </w:r>
      <w:r w:rsidRPr="006571AC">
        <w:rPr>
          <w:rFonts w:hint="cs"/>
          <w:b/>
          <w:bCs/>
          <w:sz w:val="27"/>
          <w:rtl/>
        </w:rPr>
        <w:t xml:space="preserve"> إلى أنّه قد حذف بعض فقرات الحديث</w:t>
      </w:r>
      <w:r w:rsidRPr="006571AC">
        <w:rPr>
          <w:rFonts w:hint="cs"/>
          <w:sz w:val="27"/>
          <w:rtl/>
        </w:rPr>
        <w:t>، وذلك من خلال عدّة صور:</w:t>
      </w:r>
    </w:p>
    <w:p w:rsidR="008A3F20" w:rsidRPr="006571AC" w:rsidRDefault="008A3F20" w:rsidP="000C6F2A">
      <w:pPr>
        <w:rPr>
          <w:sz w:val="27"/>
          <w:rtl/>
        </w:rPr>
      </w:pPr>
      <w:bookmarkStart w:id="549" w:name="_Toc171512868"/>
      <w:r w:rsidRPr="006571AC">
        <w:rPr>
          <w:rStyle w:val="8Char"/>
          <w:rFonts w:cs="AL-Mohanad" w:hint="cs"/>
          <w:i/>
          <w:sz w:val="27"/>
          <w:szCs w:val="27"/>
          <w:rtl/>
        </w:rPr>
        <w:t>الصورة الأولى:</w:t>
      </w:r>
      <w:bookmarkEnd w:id="549"/>
      <w:r w:rsidRPr="006571AC">
        <w:rPr>
          <w:rFonts w:hint="cs"/>
          <w:sz w:val="27"/>
          <w:rtl/>
        </w:rPr>
        <w:t xml:space="preserve"> </w:t>
      </w:r>
      <w:r w:rsidRPr="006571AC">
        <w:rPr>
          <w:rStyle w:val="6Char"/>
          <w:rFonts w:hint="cs"/>
          <w:color w:val="auto"/>
          <w:sz w:val="27"/>
          <w:szCs w:val="27"/>
          <w:rtl/>
        </w:rPr>
        <w:t>إنْ كان المحذوف في أوّل الحديث</w:t>
      </w:r>
      <w:r w:rsidRPr="006571AC">
        <w:rPr>
          <w:rFonts w:hint="cs"/>
          <w:b/>
          <w:bCs/>
          <w:sz w:val="27"/>
          <w:rtl/>
        </w:rPr>
        <w:t xml:space="preserve"> فيقول</w:t>
      </w:r>
      <w:r w:rsidRPr="006571AC">
        <w:rPr>
          <w:rFonts w:ascii="Mosawi" w:hAnsi="Mosawi" w:cs="Mosawi"/>
          <w:b/>
          <w:bCs/>
          <w:sz w:val="22"/>
          <w:szCs w:val="22"/>
          <w:rtl/>
        </w:rPr>
        <w:t>&amp;</w:t>
      </w:r>
      <w:r w:rsidRPr="006571AC">
        <w:rPr>
          <w:rFonts w:hint="cs"/>
          <w:b/>
          <w:bCs/>
          <w:sz w:val="27"/>
          <w:rtl/>
        </w:rPr>
        <w:t xml:space="preserve">، بعد ذكر السند وقبل ذكر متن الحديث: </w:t>
      </w:r>
      <w:r w:rsidRPr="006571AC">
        <w:rPr>
          <w:rFonts w:hint="cs"/>
          <w:b/>
          <w:bCs/>
          <w:sz w:val="24"/>
          <w:szCs w:val="24"/>
          <w:rtl/>
        </w:rPr>
        <w:t>«</w:t>
      </w:r>
      <w:r w:rsidRPr="006571AC">
        <w:rPr>
          <w:rFonts w:hint="cs"/>
          <w:b/>
          <w:bCs/>
          <w:sz w:val="27"/>
          <w:rtl/>
        </w:rPr>
        <w:t>في حديث</w:t>
      </w:r>
      <w:r w:rsidR="0046677C" w:rsidRPr="006571AC">
        <w:rPr>
          <w:rFonts w:hint="cs"/>
          <w:b/>
          <w:bCs/>
          <w:sz w:val="27"/>
          <w:rtl/>
        </w:rPr>
        <w:t>ٍ</w:t>
      </w:r>
      <w:r w:rsidRPr="006571AC">
        <w:rPr>
          <w:rFonts w:hint="cs"/>
          <w:b/>
          <w:bCs/>
          <w:sz w:val="24"/>
          <w:szCs w:val="24"/>
          <w:rtl/>
        </w:rPr>
        <w:t>»</w:t>
      </w:r>
      <w:r w:rsidRPr="006571AC">
        <w:rPr>
          <w:rFonts w:hint="cs"/>
          <w:sz w:val="27"/>
          <w:rtl/>
        </w:rPr>
        <w:t>، ومن ذلك:‌</w:t>
      </w:r>
    </w:p>
    <w:p w:rsidR="008A3F20" w:rsidRPr="006571AC" w:rsidRDefault="008A3F20" w:rsidP="000C6F2A">
      <w:pPr>
        <w:rPr>
          <w:sz w:val="27"/>
          <w:rtl/>
        </w:rPr>
      </w:pPr>
      <w:r w:rsidRPr="006571AC">
        <w:rPr>
          <w:rFonts w:hint="cs"/>
          <w:sz w:val="27"/>
          <w:rtl/>
        </w:rPr>
        <w:t xml:space="preserve">* ما في الباب 24 من أبواب وجوب الحجّ وشرائطه، ح 2، حيث قال: </w:t>
      </w:r>
      <w:r w:rsidRPr="006571AC">
        <w:rPr>
          <w:rFonts w:hint="cs"/>
          <w:sz w:val="24"/>
          <w:szCs w:val="24"/>
          <w:rtl/>
        </w:rPr>
        <w:t>«</w:t>
      </w:r>
      <w:r w:rsidRPr="006571AC">
        <w:rPr>
          <w:rFonts w:hint="cs"/>
          <w:sz w:val="27"/>
          <w:rtl/>
        </w:rPr>
        <w:t>...عن الحلبيّ، عن أبي عبد الله</w:t>
      </w:r>
      <w:r w:rsidRPr="006571AC">
        <w:rPr>
          <w:rFonts w:ascii="Mosawi" w:hAnsi="Mosawi" w:cs="Mosawi"/>
          <w:sz w:val="22"/>
          <w:szCs w:val="22"/>
          <w:rtl/>
        </w:rPr>
        <w:t>×</w:t>
      </w:r>
      <w:r w:rsidRPr="006571AC">
        <w:rPr>
          <w:rFonts w:hint="cs"/>
          <w:sz w:val="27"/>
          <w:rtl/>
        </w:rPr>
        <w:t xml:space="preserve"> </w:t>
      </w:r>
      <w:r w:rsidRPr="006571AC">
        <w:rPr>
          <w:rFonts w:hint="cs"/>
          <w:b/>
          <w:bCs/>
          <w:sz w:val="27"/>
          <w:rtl/>
        </w:rPr>
        <w:t>ـ في حديث</w:t>
      </w:r>
      <w:r w:rsidR="0046677C" w:rsidRPr="006571AC">
        <w:rPr>
          <w:rFonts w:hint="cs"/>
          <w:b/>
          <w:bCs/>
          <w:sz w:val="27"/>
          <w:rtl/>
        </w:rPr>
        <w:t>ٍ</w:t>
      </w:r>
      <w:r w:rsidRPr="006571AC">
        <w:rPr>
          <w:rFonts w:hint="cs"/>
          <w:b/>
          <w:bCs/>
          <w:sz w:val="27"/>
          <w:rtl/>
        </w:rPr>
        <w:t xml:space="preserve"> ـ</w:t>
      </w:r>
      <w:r w:rsidRPr="006571AC">
        <w:rPr>
          <w:rFonts w:hint="cs"/>
          <w:sz w:val="27"/>
          <w:rtl/>
        </w:rPr>
        <w:t xml:space="preserve"> قال: وإنْ كان موسِراً...</w:t>
      </w:r>
      <w:r w:rsidRPr="006571AC">
        <w:rPr>
          <w:rFonts w:hint="cs"/>
          <w:sz w:val="24"/>
          <w:szCs w:val="24"/>
          <w:rtl/>
        </w:rPr>
        <w:t>»</w:t>
      </w:r>
      <w:r w:rsidRPr="006571AC">
        <w:rPr>
          <w:sz w:val="27"/>
          <w:vertAlign w:val="superscript"/>
          <w:rtl/>
        </w:rPr>
        <w:t>(</w:t>
      </w:r>
      <w:r w:rsidRPr="006571AC">
        <w:rPr>
          <w:rStyle w:val="ac"/>
          <w:sz w:val="27"/>
          <w:rtl/>
        </w:rPr>
        <w:endnoteReference w:id="862"/>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bookmarkStart w:id="550" w:name="_Toc171512869"/>
      <w:r w:rsidRPr="006571AC">
        <w:rPr>
          <w:rStyle w:val="8Char"/>
          <w:rFonts w:cs="AL-Mohanad" w:hint="cs"/>
          <w:i/>
          <w:sz w:val="27"/>
          <w:szCs w:val="27"/>
          <w:rtl/>
        </w:rPr>
        <w:t>الصورة الثانية:</w:t>
      </w:r>
      <w:bookmarkEnd w:id="550"/>
      <w:r w:rsidRPr="006571AC">
        <w:rPr>
          <w:rFonts w:hint="cs"/>
          <w:sz w:val="27"/>
          <w:rtl/>
        </w:rPr>
        <w:t xml:space="preserve"> </w:t>
      </w:r>
      <w:r w:rsidRPr="006571AC">
        <w:rPr>
          <w:rStyle w:val="6Char"/>
          <w:rFonts w:hint="cs"/>
          <w:color w:val="auto"/>
          <w:sz w:val="27"/>
          <w:szCs w:val="27"/>
          <w:rtl/>
        </w:rPr>
        <w:t>إنْ كان المحذوف في وسط الحديث</w:t>
      </w:r>
      <w:r w:rsidRPr="006571AC">
        <w:rPr>
          <w:rFonts w:hint="cs"/>
          <w:b/>
          <w:bCs/>
          <w:sz w:val="27"/>
          <w:rtl/>
        </w:rPr>
        <w:t xml:space="preserve"> فيقول</w:t>
      </w:r>
      <w:r w:rsidRPr="006571AC">
        <w:rPr>
          <w:rFonts w:ascii="Mosawi" w:hAnsi="Mosawi" w:cs="Mosawi"/>
          <w:b/>
          <w:bCs/>
          <w:sz w:val="22"/>
          <w:szCs w:val="22"/>
          <w:rtl/>
        </w:rPr>
        <w:t>&amp;</w:t>
      </w:r>
      <w:r w:rsidRPr="006571AC">
        <w:rPr>
          <w:rFonts w:hint="cs"/>
          <w:b/>
          <w:bCs/>
          <w:sz w:val="27"/>
          <w:rtl/>
        </w:rPr>
        <w:t xml:space="preserve"> في وسط متن الحديث: </w:t>
      </w:r>
      <w:r w:rsidRPr="006571AC">
        <w:rPr>
          <w:rFonts w:hint="cs"/>
          <w:b/>
          <w:bCs/>
          <w:sz w:val="24"/>
          <w:szCs w:val="24"/>
          <w:rtl/>
        </w:rPr>
        <w:t>«</w:t>
      </w:r>
      <w:r w:rsidRPr="006571AC">
        <w:rPr>
          <w:rFonts w:hint="cs"/>
          <w:b/>
          <w:bCs/>
          <w:sz w:val="27"/>
          <w:rtl/>
        </w:rPr>
        <w:t>ثمّ قال:</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إلى أن قال:</w:t>
      </w:r>
      <w:r w:rsidRPr="006571AC">
        <w:rPr>
          <w:rFonts w:hint="cs"/>
          <w:b/>
          <w:bCs/>
          <w:sz w:val="24"/>
          <w:szCs w:val="24"/>
          <w:rtl/>
        </w:rPr>
        <w:t>»</w:t>
      </w:r>
      <w:r w:rsidRPr="006571AC">
        <w:rPr>
          <w:rFonts w:hint="cs"/>
          <w:sz w:val="27"/>
          <w:rtl/>
        </w:rPr>
        <w:t>، ومن ذلك:‌</w:t>
      </w:r>
    </w:p>
    <w:p w:rsidR="008A3F20" w:rsidRPr="006571AC" w:rsidRDefault="008A3F20" w:rsidP="000C6F2A">
      <w:pPr>
        <w:rPr>
          <w:sz w:val="27"/>
          <w:rtl/>
        </w:rPr>
      </w:pPr>
      <w:r w:rsidRPr="006571AC">
        <w:rPr>
          <w:rFonts w:hint="cs"/>
          <w:sz w:val="27"/>
          <w:rtl/>
        </w:rPr>
        <w:t xml:space="preserve">* ما في الباب 26 من أبواب أحكام الملابس، ح 5، حيث قال: </w:t>
      </w:r>
      <w:r w:rsidRPr="006571AC">
        <w:rPr>
          <w:rFonts w:hint="cs"/>
          <w:sz w:val="24"/>
          <w:szCs w:val="24"/>
          <w:rtl/>
        </w:rPr>
        <w:t>«</w:t>
      </w:r>
      <w:r w:rsidRPr="006571AC">
        <w:rPr>
          <w:rFonts w:hint="cs"/>
          <w:sz w:val="27"/>
          <w:rtl/>
        </w:rPr>
        <w:t>...</w:t>
      </w:r>
      <w:r w:rsidRPr="006571AC">
        <w:rPr>
          <w:sz w:val="27"/>
          <w:rtl/>
        </w:rPr>
        <w:t xml:space="preserve">عن إسماعيل </w:t>
      </w:r>
      <w:r w:rsidRPr="006571AC">
        <w:rPr>
          <w:rFonts w:hint="cs"/>
          <w:sz w:val="27"/>
          <w:rtl/>
        </w:rPr>
        <w:t>ا</w:t>
      </w:r>
      <w:r w:rsidRPr="006571AC">
        <w:rPr>
          <w:sz w:val="27"/>
          <w:rtl/>
        </w:rPr>
        <w:t>بن علي</w:t>
      </w:r>
      <w:r w:rsidRPr="006571AC">
        <w:rPr>
          <w:rFonts w:hint="cs"/>
          <w:sz w:val="27"/>
          <w:rtl/>
        </w:rPr>
        <w:t>ّ</w:t>
      </w:r>
      <w:r w:rsidRPr="006571AC">
        <w:rPr>
          <w:sz w:val="27"/>
          <w:rtl/>
        </w:rPr>
        <w:t xml:space="preserve"> الدعبلي</w:t>
      </w:r>
      <w:r w:rsidRPr="006571AC">
        <w:rPr>
          <w:rFonts w:hint="cs"/>
          <w:sz w:val="27"/>
          <w:rtl/>
        </w:rPr>
        <w:t>ّ</w:t>
      </w:r>
      <w:r w:rsidRPr="006571AC">
        <w:rPr>
          <w:sz w:val="27"/>
          <w:rtl/>
        </w:rPr>
        <w:t>، عن أبيه، عن الرضا، عن آبائه</w:t>
      </w:r>
      <w:r w:rsidRPr="006571AC">
        <w:rPr>
          <w:rFonts w:ascii="Mosawi" w:hAnsi="Mosawi" w:cs="Mosawi"/>
          <w:sz w:val="22"/>
          <w:szCs w:val="22"/>
          <w:rtl/>
        </w:rPr>
        <w:t>^</w:t>
      </w:r>
      <w:r w:rsidRPr="006571AC">
        <w:rPr>
          <w:sz w:val="27"/>
          <w:rtl/>
        </w:rPr>
        <w:t>، عن أمير المؤمنين</w:t>
      </w:r>
      <w:r w:rsidRPr="006571AC">
        <w:rPr>
          <w:rFonts w:ascii="Mosawi" w:hAnsi="Mosawi" w:cs="Mosawi"/>
          <w:sz w:val="22"/>
          <w:szCs w:val="22"/>
          <w:rtl/>
        </w:rPr>
        <w:t>×</w:t>
      </w:r>
      <w:r w:rsidRPr="006571AC">
        <w:rPr>
          <w:sz w:val="27"/>
          <w:rtl/>
        </w:rPr>
        <w:t xml:space="preserve"> </w:t>
      </w:r>
      <w:r w:rsidRPr="006571AC">
        <w:rPr>
          <w:rFonts w:hint="cs"/>
          <w:sz w:val="27"/>
          <w:rtl/>
        </w:rPr>
        <w:t>ـ</w:t>
      </w:r>
      <w:r w:rsidRPr="006571AC">
        <w:rPr>
          <w:sz w:val="27"/>
          <w:rtl/>
        </w:rPr>
        <w:t xml:space="preserve"> في حديث</w:t>
      </w:r>
      <w:r w:rsidR="0046677C" w:rsidRPr="006571AC">
        <w:rPr>
          <w:rFonts w:hint="cs"/>
          <w:sz w:val="27"/>
          <w:rtl/>
        </w:rPr>
        <w:t>ٍ</w:t>
      </w:r>
      <w:r w:rsidRPr="006571AC">
        <w:rPr>
          <w:sz w:val="27"/>
          <w:rtl/>
        </w:rPr>
        <w:t xml:space="preserve"> </w:t>
      </w:r>
      <w:r w:rsidRPr="006571AC">
        <w:rPr>
          <w:rFonts w:hint="cs"/>
          <w:sz w:val="27"/>
          <w:rtl/>
        </w:rPr>
        <w:t>ـ</w:t>
      </w:r>
      <w:r w:rsidR="00D42E60" w:rsidRPr="006571AC">
        <w:rPr>
          <w:rFonts w:hint="cs"/>
          <w:sz w:val="27"/>
          <w:rtl/>
        </w:rPr>
        <w:t>،</w:t>
      </w:r>
      <w:r w:rsidRPr="006571AC">
        <w:rPr>
          <w:sz w:val="27"/>
          <w:rtl/>
        </w:rPr>
        <w:t xml:space="preserve"> أن</w:t>
      </w:r>
      <w:r w:rsidRPr="006571AC">
        <w:rPr>
          <w:rFonts w:hint="cs"/>
          <w:sz w:val="27"/>
          <w:rtl/>
        </w:rPr>
        <w:t>ّ</w:t>
      </w:r>
      <w:r w:rsidRPr="006571AC">
        <w:rPr>
          <w:sz w:val="27"/>
          <w:rtl/>
        </w:rPr>
        <w:t>ه اشتر</w:t>
      </w:r>
      <w:r w:rsidR="0046677C" w:rsidRPr="006571AC">
        <w:rPr>
          <w:rFonts w:hint="cs"/>
          <w:sz w:val="27"/>
          <w:rtl/>
        </w:rPr>
        <w:t>ى</w:t>
      </w:r>
      <w:r w:rsidRPr="006571AC">
        <w:rPr>
          <w:sz w:val="27"/>
          <w:rtl/>
        </w:rPr>
        <w:t xml:space="preserve"> قميصا</w:t>
      </w:r>
      <w:r w:rsidRPr="006571AC">
        <w:rPr>
          <w:rFonts w:hint="cs"/>
          <w:sz w:val="27"/>
          <w:rtl/>
        </w:rPr>
        <w:t>ً</w:t>
      </w:r>
      <w:r w:rsidRPr="006571AC">
        <w:rPr>
          <w:sz w:val="27"/>
          <w:rtl/>
        </w:rPr>
        <w:t xml:space="preserve"> بثلاثة دراهم</w:t>
      </w:r>
      <w:r w:rsidRPr="006571AC">
        <w:rPr>
          <w:rFonts w:hint="cs"/>
          <w:sz w:val="27"/>
          <w:rtl/>
        </w:rPr>
        <w:t>،</w:t>
      </w:r>
      <w:r w:rsidRPr="006571AC">
        <w:rPr>
          <w:sz w:val="27"/>
          <w:rtl/>
        </w:rPr>
        <w:t xml:space="preserve"> فلبسه ما بين الرسغين إلى الكعبين، ثم</w:t>
      </w:r>
      <w:r w:rsidRPr="006571AC">
        <w:rPr>
          <w:rFonts w:hint="cs"/>
          <w:sz w:val="27"/>
          <w:rtl/>
        </w:rPr>
        <w:t>ّ</w:t>
      </w:r>
      <w:r w:rsidRPr="006571AC">
        <w:rPr>
          <w:sz w:val="27"/>
          <w:rtl/>
        </w:rPr>
        <w:t xml:space="preserve"> أتى المسجد</w:t>
      </w:r>
      <w:r w:rsidRPr="006571AC">
        <w:rPr>
          <w:rFonts w:hint="cs"/>
          <w:sz w:val="27"/>
          <w:rtl/>
        </w:rPr>
        <w:t>،</w:t>
      </w:r>
      <w:r w:rsidRPr="006571AC">
        <w:rPr>
          <w:sz w:val="27"/>
          <w:rtl/>
        </w:rPr>
        <w:t xml:space="preserve"> فصل</w:t>
      </w:r>
      <w:r w:rsidRPr="006571AC">
        <w:rPr>
          <w:rFonts w:hint="cs"/>
          <w:sz w:val="27"/>
          <w:rtl/>
        </w:rPr>
        <w:t>ّى</w:t>
      </w:r>
      <w:r w:rsidRPr="006571AC">
        <w:rPr>
          <w:sz w:val="27"/>
          <w:rtl/>
        </w:rPr>
        <w:t xml:space="preserve"> فيه ركعتين</w:t>
      </w:r>
      <w:r w:rsidRPr="006571AC">
        <w:rPr>
          <w:rFonts w:hint="cs"/>
          <w:sz w:val="27"/>
          <w:rtl/>
        </w:rPr>
        <w:t>،</w:t>
      </w:r>
      <w:r w:rsidRPr="006571AC">
        <w:rPr>
          <w:sz w:val="27"/>
          <w:rtl/>
        </w:rPr>
        <w:t xml:space="preserve"> ثم</w:t>
      </w:r>
      <w:r w:rsidRPr="006571AC">
        <w:rPr>
          <w:rFonts w:hint="cs"/>
          <w:sz w:val="27"/>
          <w:rtl/>
        </w:rPr>
        <w:t>ّ</w:t>
      </w:r>
      <w:r w:rsidRPr="006571AC">
        <w:rPr>
          <w:sz w:val="27"/>
          <w:rtl/>
        </w:rPr>
        <w:t xml:space="preserve"> قال: الحمد لله الذي رزقني من الرياش ما أتجم</w:t>
      </w:r>
      <w:r w:rsidRPr="006571AC">
        <w:rPr>
          <w:rFonts w:hint="cs"/>
          <w:sz w:val="27"/>
          <w:rtl/>
        </w:rPr>
        <w:t>ّ</w:t>
      </w:r>
      <w:r w:rsidRPr="006571AC">
        <w:rPr>
          <w:sz w:val="27"/>
          <w:rtl/>
        </w:rPr>
        <w:t>ل به في الناس</w:t>
      </w:r>
      <w:r w:rsidRPr="006571AC">
        <w:rPr>
          <w:rFonts w:hint="cs"/>
          <w:sz w:val="27"/>
          <w:rtl/>
        </w:rPr>
        <w:t>،</w:t>
      </w:r>
      <w:r w:rsidRPr="006571AC">
        <w:rPr>
          <w:sz w:val="27"/>
          <w:rtl/>
        </w:rPr>
        <w:t xml:space="preserve"> و</w:t>
      </w:r>
      <w:r w:rsidRPr="006571AC">
        <w:rPr>
          <w:rFonts w:hint="cs"/>
          <w:sz w:val="27"/>
          <w:rtl/>
        </w:rPr>
        <w:t>أ</w:t>
      </w:r>
      <w:r w:rsidRPr="006571AC">
        <w:rPr>
          <w:sz w:val="27"/>
          <w:rtl/>
        </w:rPr>
        <w:t>ؤد</w:t>
      </w:r>
      <w:r w:rsidRPr="006571AC">
        <w:rPr>
          <w:rFonts w:hint="cs"/>
          <w:sz w:val="27"/>
          <w:rtl/>
        </w:rPr>
        <w:t>ّ</w:t>
      </w:r>
      <w:r w:rsidRPr="006571AC">
        <w:rPr>
          <w:sz w:val="27"/>
          <w:rtl/>
        </w:rPr>
        <w:t>ي فيه فريضتي</w:t>
      </w:r>
      <w:r w:rsidRPr="006571AC">
        <w:rPr>
          <w:rFonts w:hint="cs"/>
          <w:sz w:val="27"/>
          <w:rtl/>
        </w:rPr>
        <w:t>،</w:t>
      </w:r>
      <w:r w:rsidRPr="006571AC">
        <w:rPr>
          <w:sz w:val="27"/>
          <w:rtl/>
        </w:rPr>
        <w:t xml:space="preserve"> وأستر فيه عورتي، </w:t>
      </w:r>
      <w:r w:rsidRPr="006571AC">
        <w:rPr>
          <w:b/>
          <w:bCs/>
          <w:sz w:val="27"/>
          <w:rtl/>
        </w:rPr>
        <w:t>ثم</w:t>
      </w:r>
      <w:r w:rsidRPr="006571AC">
        <w:rPr>
          <w:rFonts w:hint="cs"/>
          <w:b/>
          <w:bCs/>
          <w:sz w:val="27"/>
          <w:rtl/>
        </w:rPr>
        <w:t>ّ</w:t>
      </w:r>
      <w:r w:rsidRPr="006571AC">
        <w:rPr>
          <w:b/>
          <w:bCs/>
          <w:sz w:val="27"/>
          <w:rtl/>
        </w:rPr>
        <w:t xml:space="preserve"> قال</w:t>
      </w:r>
      <w:r w:rsidRPr="006571AC">
        <w:rPr>
          <w:sz w:val="27"/>
          <w:rtl/>
        </w:rPr>
        <w:t>: سمعت</w:t>
      </w:r>
      <w:r w:rsidRPr="006571AC">
        <w:rPr>
          <w:rFonts w:hint="cs"/>
          <w:sz w:val="27"/>
          <w:rtl/>
        </w:rPr>
        <w:t>ُ</w:t>
      </w:r>
      <w:r w:rsidRPr="006571AC">
        <w:rPr>
          <w:sz w:val="27"/>
          <w:rtl/>
        </w:rPr>
        <w:t xml:space="preserve"> رسول الله</w:t>
      </w:r>
      <w:r w:rsidRPr="006571AC">
        <w:rPr>
          <w:rFonts w:ascii="Mosawi" w:hAnsi="Mosawi" w:cs="Mosawi"/>
          <w:sz w:val="22"/>
          <w:szCs w:val="22"/>
          <w:rtl/>
        </w:rPr>
        <w:t>|</w:t>
      </w:r>
      <w:r w:rsidRPr="006571AC">
        <w:rPr>
          <w:sz w:val="27"/>
          <w:rtl/>
        </w:rPr>
        <w:t xml:space="preserve"> يقول ذلك عند الكسوة</w:t>
      </w:r>
      <w:r w:rsidRPr="006571AC">
        <w:rPr>
          <w:rFonts w:hint="cs"/>
          <w:sz w:val="24"/>
          <w:szCs w:val="24"/>
          <w:rtl/>
        </w:rPr>
        <w:t>»</w:t>
      </w:r>
      <w:r w:rsidRPr="006571AC">
        <w:rPr>
          <w:sz w:val="27"/>
          <w:vertAlign w:val="superscript"/>
          <w:rtl/>
        </w:rPr>
        <w:t>(</w:t>
      </w:r>
      <w:r w:rsidRPr="006571AC">
        <w:rPr>
          <w:rStyle w:val="ac"/>
          <w:sz w:val="27"/>
          <w:rtl/>
        </w:rPr>
        <w:endnoteReference w:id="863"/>
      </w:r>
      <w:r w:rsidRPr="006571AC">
        <w:rPr>
          <w:sz w:val="27"/>
          <w:vertAlign w:val="superscript"/>
          <w:rtl/>
        </w:rPr>
        <w:t>)</w:t>
      </w:r>
      <w:r w:rsidRPr="006571AC">
        <w:rPr>
          <w:sz w:val="27"/>
          <w:rtl/>
        </w:rPr>
        <w:t xml:space="preserve">. </w:t>
      </w:r>
    </w:p>
    <w:p w:rsidR="008A3F20" w:rsidRPr="006571AC" w:rsidRDefault="008A3F20" w:rsidP="000C6F2A">
      <w:pPr>
        <w:rPr>
          <w:sz w:val="27"/>
          <w:rtl/>
        </w:rPr>
      </w:pPr>
      <w:r w:rsidRPr="006571AC">
        <w:rPr>
          <w:rFonts w:hint="cs"/>
          <w:sz w:val="27"/>
          <w:rtl/>
        </w:rPr>
        <w:t xml:space="preserve">وفي مصدر الحديث، وهو </w:t>
      </w:r>
      <w:r w:rsidRPr="006571AC">
        <w:rPr>
          <w:rFonts w:hint="cs"/>
          <w:sz w:val="24"/>
          <w:szCs w:val="24"/>
          <w:rtl/>
        </w:rPr>
        <w:t>«</w:t>
      </w:r>
      <w:r w:rsidRPr="006571AC">
        <w:rPr>
          <w:rFonts w:hint="cs"/>
          <w:sz w:val="27"/>
          <w:rtl/>
        </w:rPr>
        <w:t>أمالي الطوسيّ</w:t>
      </w:r>
      <w:r w:rsidRPr="006571AC">
        <w:rPr>
          <w:rFonts w:hint="cs"/>
          <w:sz w:val="24"/>
          <w:szCs w:val="24"/>
          <w:rtl/>
        </w:rPr>
        <w:t>»</w:t>
      </w:r>
      <w:r w:rsidRPr="006571AC">
        <w:rPr>
          <w:rFonts w:hint="cs"/>
          <w:sz w:val="27"/>
          <w:rtl/>
        </w:rPr>
        <w:t>، ب</w:t>
      </w:r>
      <w:r w:rsidR="0046677C" w:rsidRPr="006571AC">
        <w:rPr>
          <w:rFonts w:hint="cs"/>
          <w:sz w:val="27"/>
          <w:rtl/>
        </w:rPr>
        <w:t>َ</w:t>
      </w:r>
      <w:r w:rsidRPr="006571AC">
        <w:rPr>
          <w:rFonts w:hint="cs"/>
          <w:sz w:val="27"/>
          <w:rtl/>
        </w:rPr>
        <w:t>د</w:t>
      </w:r>
      <w:r w:rsidR="0046677C" w:rsidRPr="006571AC">
        <w:rPr>
          <w:rFonts w:hint="cs"/>
          <w:sz w:val="27"/>
          <w:rtl/>
        </w:rPr>
        <w:t>َ</w:t>
      </w:r>
      <w:r w:rsidRPr="006571AC">
        <w:rPr>
          <w:rFonts w:hint="cs"/>
          <w:sz w:val="27"/>
          <w:rtl/>
        </w:rPr>
        <w:t xml:space="preserve">ل قوله: </w:t>
      </w:r>
      <w:r w:rsidRPr="006571AC">
        <w:rPr>
          <w:rFonts w:hint="cs"/>
          <w:sz w:val="24"/>
          <w:szCs w:val="24"/>
          <w:rtl/>
        </w:rPr>
        <w:t>«</w:t>
      </w:r>
      <w:r w:rsidRPr="006571AC">
        <w:rPr>
          <w:rFonts w:hint="cs"/>
          <w:sz w:val="27"/>
          <w:rtl/>
        </w:rPr>
        <w:t>ثمّ قال:</w:t>
      </w:r>
      <w:r w:rsidRPr="006571AC">
        <w:rPr>
          <w:rFonts w:hint="cs"/>
          <w:sz w:val="24"/>
          <w:szCs w:val="24"/>
          <w:rtl/>
        </w:rPr>
        <w:t>»</w:t>
      </w:r>
      <w:r w:rsidRPr="006571AC">
        <w:rPr>
          <w:rFonts w:hint="cs"/>
          <w:sz w:val="27"/>
          <w:rtl/>
        </w:rPr>
        <w:t xml:space="preserve"> هذه العبارة: </w:t>
      </w:r>
      <w:r w:rsidRPr="006571AC">
        <w:rPr>
          <w:rFonts w:hint="cs"/>
          <w:sz w:val="24"/>
          <w:szCs w:val="24"/>
          <w:rtl/>
        </w:rPr>
        <w:t>«</w:t>
      </w:r>
      <w:r w:rsidRPr="006571AC">
        <w:rPr>
          <w:sz w:val="27"/>
          <w:rtl/>
        </w:rPr>
        <w:t>فقال له رجل</w:t>
      </w:r>
      <w:r w:rsidR="0046677C" w:rsidRPr="006571AC">
        <w:rPr>
          <w:rFonts w:hint="cs"/>
          <w:sz w:val="27"/>
          <w:rtl/>
        </w:rPr>
        <w:t>ٌ</w:t>
      </w:r>
      <w:r w:rsidRPr="006571AC">
        <w:rPr>
          <w:sz w:val="27"/>
          <w:rtl/>
        </w:rPr>
        <w:t>: يا أمير المؤمنين، أعنك نروي هذا أو ش</w:t>
      </w:r>
      <w:r w:rsidRPr="006571AC">
        <w:rPr>
          <w:rFonts w:hint="cs"/>
          <w:sz w:val="27"/>
          <w:rtl/>
        </w:rPr>
        <w:t>يء</w:t>
      </w:r>
      <w:r w:rsidR="0046677C" w:rsidRPr="006571AC">
        <w:rPr>
          <w:rFonts w:hint="cs"/>
          <w:sz w:val="27"/>
          <w:rtl/>
        </w:rPr>
        <w:t>ٌ</w:t>
      </w:r>
      <w:r w:rsidRPr="006571AC">
        <w:rPr>
          <w:sz w:val="27"/>
          <w:rtl/>
        </w:rPr>
        <w:t xml:space="preserve"> سمع</w:t>
      </w:r>
      <w:r w:rsidR="0046677C" w:rsidRPr="006571AC">
        <w:rPr>
          <w:rFonts w:hint="cs"/>
          <w:sz w:val="27"/>
          <w:rtl/>
        </w:rPr>
        <w:t>ْ</w:t>
      </w:r>
      <w:r w:rsidRPr="006571AC">
        <w:rPr>
          <w:sz w:val="27"/>
          <w:rtl/>
        </w:rPr>
        <w:t>ت</w:t>
      </w:r>
      <w:r w:rsidRPr="006571AC">
        <w:rPr>
          <w:rFonts w:hint="cs"/>
          <w:sz w:val="27"/>
          <w:rtl/>
        </w:rPr>
        <w:t>َ</w:t>
      </w:r>
      <w:r w:rsidRPr="006571AC">
        <w:rPr>
          <w:sz w:val="27"/>
          <w:rtl/>
        </w:rPr>
        <w:t>ه من رسول الله</w:t>
      </w:r>
      <w:r w:rsidRPr="006571AC">
        <w:rPr>
          <w:rFonts w:ascii="Mosawi" w:hAnsi="Mosawi" w:cs="Mosawi"/>
          <w:sz w:val="22"/>
          <w:szCs w:val="22"/>
          <w:rtl/>
        </w:rPr>
        <w:t>|</w:t>
      </w:r>
      <w:r w:rsidRPr="006571AC">
        <w:rPr>
          <w:sz w:val="27"/>
          <w:rtl/>
        </w:rPr>
        <w:t xml:space="preserve">؟ </w:t>
      </w:r>
      <w:r w:rsidRPr="006571AC">
        <w:rPr>
          <w:sz w:val="27"/>
          <w:rtl/>
        </w:rPr>
        <w:lastRenderedPageBreak/>
        <w:t>قال: بل ش</w:t>
      </w:r>
      <w:r w:rsidRPr="006571AC">
        <w:rPr>
          <w:rFonts w:hint="cs"/>
          <w:sz w:val="27"/>
          <w:rtl/>
        </w:rPr>
        <w:t>يء</w:t>
      </w:r>
      <w:r w:rsidR="0046677C" w:rsidRPr="006571AC">
        <w:rPr>
          <w:rFonts w:hint="cs"/>
          <w:sz w:val="27"/>
          <w:rtl/>
        </w:rPr>
        <w:t>ٌ</w:t>
      </w:r>
      <w:r w:rsidRPr="006571AC">
        <w:rPr>
          <w:sz w:val="27"/>
          <w:rtl/>
        </w:rPr>
        <w:t xml:space="preserve"> سمع</w:t>
      </w:r>
      <w:r w:rsidR="0046677C" w:rsidRPr="006571AC">
        <w:rPr>
          <w:rFonts w:hint="cs"/>
          <w:sz w:val="27"/>
          <w:rtl/>
        </w:rPr>
        <w:t>ْ</w:t>
      </w:r>
      <w:r w:rsidRPr="006571AC">
        <w:rPr>
          <w:sz w:val="27"/>
          <w:rtl/>
        </w:rPr>
        <w:t>ت</w:t>
      </w:r>
      <w:r w:rsidRPr="006571AC">
        <w:rPr>
          <w:rFonts w:hint="cs"/>
          <w:sz w:val="27"/>
          <w:rtl/>
        </w:rPr>
        <w:t>ُ</w:t>
      </w:r>
      <w:r w:rsidRPr="006571AC">
        <w:rPr>
          <w:sz w:val="27"/>
          <w:rtl/>
        </w:rPr>
        <w:t>ه من رسول الله</w:t>
      </w:r>
      <w:r w:rsidRPr="006571AC">
        <w:rPr>
          <w:rFonts w:ascii="Mosawi" w:hAnsi="Mosawi" w:cs="Mosawi"/>
          <w:sz w:val="22"/>
          <w:szCs w:val="22"/>
          <w:rtl/>
        </w:rPr>
        <w:t>|</w:t>
      </w:r>
      <w:r w:rsidRPr="006571AC">
        <w:rPr>
          <w:rFonts w:hint="cs"/>
          <w:sz w:val="24"/>
          <w:szCs w:val="24"/>
          <w:rtl/>
        </w:rPr>
        <w:t>»</w:t>
      </w:r>
      <w:r w:rsidRPr="006571AC">
        <w:rPr>
          <w:sz w:val="27"/>
          <w:vertAlign w:val="superscript"/>
          <w:rtl/>
        </w:rPr>
        <w:t>(</w:t>
      </w:r>
      <w:r w:rsidRPr="006571AC">
        <w:rPr>
          <w:rStyle w:val="ac"/>
          <w:sz w:val="27"/>
          <w:rtl/>
        </w:rPr>
        <w:endnoteReference w:id="864"/>
      </w:r>
      <w:r w:rsidRPr="006571AC">
        <w:rPr>
          <w:sz w:val="27"/>
          <w:vertAlign w:val="superscript"/>
          <w:rtl/>
        </w:rPr>
        <w:t>)</w:t>
      </w:r>
      <w:r w:rsidRPr="006571AC">
        <w:rPr>
          <w:rFonts w:hint="cs"/>
          <w:sz w:val="27"/>
          <w:rtl/>
        </w:rPr>
        <w:t>.</w:t>
      </w:r>
    </w:p>
    <w:p w:rsidR="008A3F20" w:rsidRPr="006571AC" w:rsidRDefault="008A3F20" w:rsidP="00D42E60">
      <w:pPr>
        <w:pStyle w:val="a9"/>
        <w:spacing w:line="400" w:lineRule="exact"/>
        <w:rPr>
          <w:sz w:val="27"/>
          <w:szCs w:val="27"/>
          <w:rtl/>
        </w:rPr>
      </w:pPr>
      <w:r w:rsidRPr="006571AC">
        <w:rPr>
          <w:rFonts w:hint="cs"/>
          <w:sz w:val="27"/>
          <w:szCs w:val="27"/>
          <w:rtl/>
        </w:rPr>
        <w:t>* وما في الباب 11 من أبواب الأغسال المسنونة، ح 2، حيث قال</w:t>
      </w:r>
      <w:r w:rsidRPr="006571AC">
        <w:rPr>
          <w:rFonts w:ascii="Mosawi" w:hAnsi="Mosawi" w:cs="Mosawi"/>
          <w:sz w:val="22"/>
          <w:szCs w:val="22"/>
          <w:rtl/>
        </w:rPr>
        <w:t>&amp;</w:t>
      </w:r>
      <w:r w:rsidRPr="006571AC">
        <w:rPr>
          <w:rFonts w:hint="cs"/>
          <w:sz w:val="27"/>
          <w:szCs w:val="27"/>
          <w:rtl/>
        </w:rPr>
        <w:t xml:space="preserve">: </w:t>
      </w:r>
      <w:r w:rsidRPr="006571AC">
        <w:rPr>
          <w:rFonts w:hint="cs"/>
          <w:sz w:val="24"/>
          <w:szCs w:val="24"/>
          <w:rtl/>
        </w:rPr>
        <w:t>«</w:t>
      </w:r>
      <w:r w:rsidRPr="006571AC">
        <w:rPr>
          <w:rFonts w:hint="cs"/>
          <w:sz w:val="27"/>
          <w:szCs w:val="27"/>
          <w:rtl/>
        </w:rPr>
        <w:t>...</w:t>
      </w:r>
      <w:r w:rsidRPr="006571AC">
        <w:rPr>
          <w:sz w:val="27"/>
          <w:szCs w:val="27"/>
          <w:rtl/>
        </w:rPr>
        <w:t>عن ابن بكير، عن أبيه قال: سألت</w:t>
      </w:r>
      <w:r w:rsidRPr="006571AC">
        <w:rPr>
          <w:rFonts w:hint="cs"/>
          <w:sz w:val="27"/>
          <w:szCs w:val="27"/>
          <w:rtl/>
        </w:rPr>
        <w:t>ُ</w:t>
      </w:r>
      <w:r w:rsidRPr="006571AC">
        <w:rPr>
          <w:sz w:val="27"/>
          <w:szCs w:val="27"/>
          <w:rtl/>
        </w:rPr>
        <w:t xml:space="preserve"> أبا عبد الله</w:t>
      </w:r>
      <w:r w:rsidRPr="006571AC">
        <w:rPr>
          <w:rFonts w:ascii="Mosawi" w:hAnsi="Mosawi" w:cs="Mosawi"/>
          <w:sz w:val="22"/>
          <w:szCs w:val="22"/>
          <w:rtl/>
        </w:rPr>
        <w:t>×</w:t>
      </w:r>
      <w:r w:rsidRPr="006571AC">
        <w:rPr>
          <w:sz w:val="27"/>
          <w:szCs w:val="27"/>
          <w:rtl/>
        </w:rPr>
        <w:t xml:space="preserve"> في أي</w:t>
      </w:r>
      <w:r w:rsidRPr="006571AC">
        <w:rPr>
          <w:rFonts w:hint="cs"/>
          <w:sz w:val="27"/>
          <w:szCs w:val="27"/>
          <w:rtl/>
        </w:rPr>
        <w:t>ِّ</w:t>
      </w:r>
      <w:r w:rsidRPr="006571AC">
        <w:rPr>
          <w:sz w:val="27"/>
          <w:szCs w:val="27"/>
          <w:rtl/>
        </w:rPr>
        <w:t xml:space="preserve"> الليالي أغتسل من شهر رمضان </w:t>
      </w:r>
      <w:r w:rsidRPr="006571AC">
        <w:rPr>
          <w:rFonts w:hint="cs"/>
          <w:b/>
          <w:bCs/>
          <w:sz w:val="27"/>
          <w:szCs w:val="27"/>
          <w:rtl/>
        </w:rPr>
        <w:t>ـ</w:t>
      </w:r>
      <w:r w:rsidRPr="006571AC">
        <w:rPr>
          <w:b/>
          <w:bCs/>
          <w:sz w:val="27"/>
          <w:szCs w:val="27"/>
          <w:rtl/>
        </w:rPr>
        <w:t xml:space="preserve"> إلى أن قال </w:t>
      </w:r>
      <w:r w:rsidRPr="006571AC">
        <w:rPr>
          <w:rFonts w:hint="cs"/>
          <w:b/>
          <w:bCs/>
          <w:sz w:val="27"/>
          <w:szCs w:val="27"/>
          <w:rtl/>
        </w:rPr>
        <w:t>ـ</w:t>
      </w:r>
      <w:r w:rsidRPr="006571AC">
        <w:rPr>
          <w:sz w:val="27"/>
          <w:szCs w:val="27"/>
          <w:rtl/>
        </w:rPr>
        <w:t xml:space="preserve"> والغسل</w:t>
      </w:r>
      <w:r w:rsidRPr="006571AC">
        <w:rPr>
          <w:rFonts w:hint="cs"/>
          <w:sz w:val="27"/>
          <w:szCs w:val="27"/>
          <w:rtl/>
        </w:rPr>
        <w:t>ُ</w:t>
      </w:r>
      <w:r w:rsidRPr="006571AC">
        <w:rPr>
          <w:sz w:val="27"/>
          <w:szCs w:val="27"/>
          <w:rtl/>
        </w:rPr>
        <w:t xml:space="preserve"> أو</w:t>
      </w:r>
      <w:r w:rsidRPr="006571AC">
        <w:rPr>
          <w:rFonts w:hint="cs"/>
          <w:sz w:val="27"/>
          <w:szCs w:val="27"/>
          <w:rtl/>
        </w:rPr>
        <w:t>ّ</w:t>
      </w:r>
      <w:r w:rsidRPr="006571AC">
        <w:rPr>
          <w:sz w:val="27"/>
          <w:szCs w:val="27"/>
          <w:rtl/>
        </w:rPr>
        <w:t>ل الليل، قلت</w:t>
      </w:r>
      <w:r w:rsidRPr="006571AC">
        <w:rPr>
          <w:rFonts w:hint="cs"/>
          <w:sz w:val="27"/>
          <w:szCs w:val="27"/>
          <w:rtl/>
        </w:rPr>
        <w:t>ُ</w:t>
      </w:r>
      <w:r w:rsidRPr="006571AC">
        <w:rPr>
          <w:sz w:val="27"/>
          <w:szCs w:val="27"/>
          <w:rtl/>
        </w:rPr>
        <w:t>: فإن</w:t>
      </w:r>
      <w:r w:rsidRPr="006571AC">
        <w:rPr>
          <w:rFonts w:hint="cs"/>
          <w:sz w:val="27"/>
          <w:szCs w:val="27"/>
          <w:rtl/>
        </w:rPr>
        <w:t>ْ</w:t>
      </w:r>
      <w:r w:rsidRPr="006571AC">
        <w:rPr>
          <w:sz w:val="27"/>
          <w:szCs w:val="27"/>
          <w:rtl/>
        </w:rPr>
        <w:t xml:space="preserve"> نام بعد الغسل؟ قال: هو مثل غسل يوم الجمعة، إذا اغتسل</w:t>
      </w:r>
      <w:r w:rsidR="0046677C" w:rsidRPr="006571AC">
        <w:rPr>
          <w:rFonts w:hint="cs"/>
          <w:sz w:val="27"/>
          <w:szCs w:val="27"/>
          <w:rtl/>
        </w:rPr>
        <w:t>ْ</w:t>
      </w:r>
      <w:r w:rsidRPr="006571AC">
        <w:rPr>
          <w:sz w:val="27"/>
          <w:szCs w:val="27"/>
          <w:rtl/>
        </w:rPr>
        <w:t>ت</w:t>
      </w:r>
      <w:r w:rsidRPr="006571AC">
        <w:rPr>
          <w:rFonts w:hint="cs"/>
          <w:sz w:val="27"/>
          <w:szCs w:val="27"/>
          <w:rtl/>
        </w:rPr>
        <w:t>َ</w:t>
      </w:r>
      <w:r w:rsidRPr="006571AC">
        <w:rPr>
          <w:sz w:val="27"/>
          <w:szCs w:val="27"/>
          <w:rtl/>
        </w:rPr>
        <w:t xml:space="preserve"> بعد الفجر أجزأك</w:t>
      </w:r>
      <w:r w:rsidRPr="006571AC">
        <w:rPr>
          <w:rFonts w:hint="cs"/>
          <w:sz w:val="24"/>
          <w:szCs w:val="24"/>
          <w:rtl/>
        </w:rPr>
        <w:t>»</w:t>
      </w:r>
      <w:r w:rsidRPr="006571AC">
        <w:rPr>
          <w:sz w:val="27"/>
          <w:szCs w:val="27"/>
          <w:vertAlign w:val="superscript"/>
          <w:rtl/>
        </w:rPr>
        <w:t>(</w:t>
      </w:r>
      <w:r w:rsidRPr="006571AC">
        <w:rPr>
          <w:rStyle w:val="ac"/>
          <w:sz w:val="27"/>
          <w:szCs w:val="27"/>
          <w:rtl/>
        </w:rPr>
        <w:endnoteReference w:id="865"/>
      </w:r>
      <w:r w:rsidRPr="006571AC">
        <w:rPr>
          <w:sz w:val="27"/>
          <w:szCs w:val="27"/>
          <w:vertAlign w:val="superscript"/>
          <w:rtl/>
        </w:rPr>
        <w:t>)</w:t>
      </w:r>
      <w:r w:rsidRPr="006571AC">
        <w:rPr>
          <w:sz w:val="27"/>
          <w:szCs w:val="27"/>
          <w:rtl/>
        </w:rPr>
        <w:t>.</w:t>
      </w:r>
      <w:r w:rsidRPr="006571AC">
        <w:rPr>
          <w:rFonts w:hint="cs"/>
          <w:sz w:val="27"/>
          <w:szCs w:val="27"/>
          <w:rtl/>
        </w:rPr>
        <w:t xml:space="preserve"> </w:t>
      </w:r>
    </w:p>
    <w:p w:rsidR="008A3F20" w:rsidRPr="006571AC" w:rsidRDefault="008A3F20" w:rsidP="00D42E60">
      <w:pPr>
        <w:pStyle w:val="a9"/>
        <w:spacing w:line="400" w:lineRule="exact"/>
        <w:rPr>
          <w:sz w:val="27"/>
          <w:szCs w:val="27"/>
          <w:rtl/>
        </w:rPr>
      </w:pPr>
      <w:r w:rsidRPr="006571AC">
        <w:rPr>
          <w:rFonts w:hint="cs"/>
          <w:sz w:val="27"/>
          <w:szCs w:val="27"/>
          <w:rtl/>
        </w:rPr>
        <w:t xml:space="preserve">وفي مصدر الحديث، وهو </w:t>
      </w:r>
      <w:r w:rsidRPr="006571AC">
        <w:rPr>
          <w:rFonts w:hint="cs"/>
          <w:sz w:val="24"/>
          <w:szCs w:val="24"/>
          <w:rtl/>
        </w:rPr>
        <w:t>«</w:t>
      </w:r>
      <w:r w:rsidRPr="006571AC">
        <w:rPr>
          <w:rFonts w:hint="cs"/>
          <w:sz w:val="27"/>
          <w:szCs w:val="27"/>
          <w:rtl/>
        </w:rPr>
        <w:t>تهذيب الأحكام</w:t>
      </w:r>
      <w:r w:rsidRPr="006571AC">
        <w:rPr>
          <w:rFonts w:hint="cs"/>
          <w:sz w:val="24"/>
          <w:szCs w:val="24"/>
          <w:rtl/>
        </w:rPr>
        <w:t>»</w:t>
      </w:r>
      <w:r w:rsidRPr="006571AC">
        <w:rPr>
          <w:rFonts w:hint="cs"/>
          <w:sz w:val="27"/>
          <w:szCs w:val="27"/>
          <w:rtl/>
        </w:rPr>
        <w:t>، ب</w:t>
      </w:r>
      <w:r w:rsidR="0046677C" w:rsidRPr="006571AC">
        <w:rPr>
          <w:rFonts w:hint="cs"/>
          <w:sz w:val="27"/>
          <w:szCs w:val="27"/>
          <w:rtl/>
        </w:rPr>
        <w:t>َ</w:t>
      </w:r>
      <w:r w:rsidRPr="006571AC">
        <w:rPr>
          <w:rFonts w:hint="cs"/>
          <w:sz w:val="27"/>
          <w:szCs w:val="27"/>
          <w:rtl/>
        </w:rPr>
        <w:t>د</w:t>
      </w:r>
      <w:r w:rsidR="0046677C" w:rsidRPr="006571AC">
        <w:rPr>
          <w:rFonts w:hint="cs"/>
          <w:sz w:val="27"/>
          <w:szCs w:val="27"/>
          <w:rtl/>
        </w:rPr>
        <w:t>َ</w:t>
      </w:r>
      <w:r w:rsidRPr="006571AC">
        <w:rPr>
          <w:rFonts w:hint="cs"/>
          <w:sz w:val="27"/>
          <w:szCs w:val="27"/>
          <w:rtl/>
        </w:rPr>
        <w:t xml:space="preserve">ل قوله: </w:t>
      </w:r>
      <w:r w:rsidRPr="006571AC">
        <w:rPr>
          <w:rFonts w:hint="cs"/>
          <w:sz w:val="24"/>
          <w:szCs w:val="24"/>
          <w:rtl/>
        </w:rPr>
        <w:t>«</w:t>
      </w:r>
      <w:r w:rsidRPr="006571AC">
        <w:rPr>
          <w:rFonts w:hint="cs"/>
          <w:sz w:val="27"/>
          <w:szCs w:val="27"/>
          <w:rtl/>
        </w:rPr>
        <w:t>إلى أن قال</w:t>
      </w:r>
      <w:r w:rsidRPr="006571AC">
        <w:rPr>
          <w:rFonts w:hint="cs"/>
          <w:sz w:val="24"/>
          <w:szCs w:val="24"/>
          <w:rtl/>
        </w:rPr>
        <w:t>»</w:t>
      </w:r>
      <w:r w:rsidRPr="006571AC">
        <w:rPr>
          <w:rFonts w:hint="cs"/>
          <w:sz w:val="27"/>
          <w:szCs w:val="27"/>
          <w:rtl/>
        </w:rPr>
        <w:t xml:space="preserve"> هذه العبارة: </w:t>
      </w:r>
      <w:r w:rsidRPr="006571AC">
        <w:rPr>
          <w:rFonts w:hint="cs"/>
          <w:sz w:val="24"/>
          <w:szCs w:val="24"/>
          <w:rtl/>
        </w:rPr>
        <w:t>«</w:t>
      </w:r>
      <w:r w:rsidRPr="006571AC">
        <w:rPr>
          <w:rFonts w:hint="cs"/>
          <w:sz w:val="27"/>
          <w:szCs w:val="27"/>
          <w:rtl/>
        </w:rPr>
        <w:t>قال: في تسع عشرة، وفي إحدى وعشرين، وفي ثلاث وعشرين</w:t>
      </w:r>
      <w:r w:rsidRPr="006571AC">
        <w:rPr>
          <w:rFonts w:hint="cs"/>
          <w:sz w:val="24"/>
          <w:szCs w:val="24"/>
          <w:rtl/>
        </w:rPr>
        <w:t>»</w:t>
      </w:r>
      <w:r w:rsidRPr="006571AC">
        <w:rPr>
          <w:sz w:val="27"/>
          <w:szCs w:val="27"/>
          <w:vertAlign w:val="superscript"/>
          <w:rtl/>
        </w:rPr>
        <w:t>(</w:t>
      </w:r>
      <w:r w:rsidRPr="006571AC">
        <w:rPr>
          <w:rStyle w:val="ac"/>
          <w:sz w:val="27"/>
          <w:szCs w:val="27"/>
          <w:rtl/>
        </w:rPr>
        <w:endnoteReference w:id="866"/>
      </w:r>
      <w:r w:rsidRPr="006571AC">
        <w:rPr>
          <w:sz w:val="27"/>
          <w:szCs w:val="27"/>
          <w:vertAlign w:val="superscript"/>
          <w:rtl/>
        </w:rPr>
        <w:t>)</w:t>
      </w:r>
      <w:r w:rsidRPr="006571AC">
        <w:rPr>
          <w:rFonts w:hint="cs"/>
          <w:sz w:val="27"/>
          <w:szCs w:val="27"/>
          <w:rtl/>
        </w:rPr>
        <w:t xml:space="preserve">. </w:t>
      </w:r>
    </w:p>
    <w:p w:rsidR="008A3F20" w:rsidRPr="006571AC" w:rsidRDefault="008A3F20" w:rsidP="00D42E60">
      <w:pPr>
        <w:rPr>
          <w:sz w:val="27"/>
          <w:rtl/>
        </w:rPr>
      </w:pPr>
      <w:bookmarkStart w:id="551" w:name="_Toc171512870"/>
      <w:r w:rsidRPr="006571AC">
        <w:rPr>
          <w:rStyle w:val="8Char"/>
          <w:rFonts w:cs="AL-Mohanad" w:hint="cs"/>
          <w:i/>
          <w:sz w:val="27"/>
          <w:szCs w:val="27"/>
          <w:rtl/>
        </w:rPr>
        <w:t>الصورة الثالثة:</w:t>
      </w:r>
      <w:bookmarkEnd w:id="551"/>
      <w:r w:rsidRPr="006571AC">
        <w:rPr>
          <w:rFonts w:hint="cs"/>
          <w:sz w:val="27"/>
          <w:rtl/>
        </w:rPr>
        <w:t xml:space="preserve"> </w:t>
      </w:r>
      <w:r w:rsidRPr="006571AC">
        <w:rPr>
          <w:rStyle w:val="6Char"/>
          <w:rFonts w:hint="cs"/>
          <w:color w:val="auto"/>
          <w:sz w:val="27"/>
          <w:szCs w:val="27"/>
          <w:rtl/>
        </w:rPr>
        <w:t>إنْ كان المحذوف في آخر الحديث</w:t>
      </w:r>
      <w:r w:rsidRPr="006571AC">
        <w:rPr>
          <w:rFonts w:hint="cs"/>
          <w:b/>
          <w:bCs/>
          <w:sz w:val="27"/>
          <w:rtl/>
        </w:rPr>
        <w:t xml:space="preserve"> فيقول</w:t>
      </w:r>
      <w:r w:rsidRPr="006571AC">
        <w:rPr>
          <w:rFonts w:ascii="Mosawi" w:hAnsi="Mosawi" w:cs="Mosawi"/>
          <w:b/>
          <w:bCs/>
          <w:sz w:val="22"/>
          <w:szCs w:val="22"/>
          <w:rtl/>
        </w:rPr>
        <w:t>&amp;</w:t>
      </w:r>
      <w:r w:rsidRPr="006571AC">
        <w:rPr>
          <w:rFonts w:hint="cs"/>
          <w:b/>
          <w:bCs/>
          <w:sz w:val="27"/>
          <w:rtl/>
        </w:rPr>
        <w:t xml:space="preserve"> في آخر متن الحديث: </w:t>
      </w:r>
      <w:r w:rsidRPr="006571AC">
        <w:rPr>
          <w:rFonts w:hint="cs"/>
          <w:b/>
          <w:bCs/>
          <w:sz w:val="24"/>
          <w:szCs w:val="24"/>
          <w:rtl/>
        </w:rPr>
        <w:t>«</w:t>
      </w:r>
      <w:r w:rsidRPr="006571AC">
        <w:rPr>
          <w:rFonts w:hint="cs"/>
          <w:b/>
          <w:bCs/>
          <w:sz w:val="27"/>
          <w:rtl/>
        </w:rPr>
        <w:t>الحديث</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الحديث مختصر</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ثمّ ذكر الحديث بطوله</w:t>
      </w:r>
      <w:r w:rsidRPr="006571AC">
        <w:rPr>
          <w:rFonts w:hint="cs"/>
          <w:b/>
          <w:bCs/>
          <w:sz w:val="24"/>
          <w:szCs w:val="24"/>
          <w:rtl/>
        </w:rPr>
        <w:t>»</w:t>
      </w:r>
      <w:r w:rsidRPr="006571AC">
        <w:rPr>
          <w:rFonts w:hint="cs"/>
          <w:sz w:val="27"/>
          <w:rtl/>
        </w:rPr>
        <w:t xml:space="preserve">، ومن ذلك:‌ </w:t>
      </w:r>
    </w:p>
    <w:p w:rsidR="008A3F20" w:rsidRPr="006571AC" w:rsidRDefault="008A3F20" w:rsidP="00D42E60">
      <w:pPr>
        <w:rPr>
          <w:sz w:val="27"/>
          <w:rtl/>
        </w:rPr>
      </w:pPr>
      <w:r w:rsidRPr="006571AC">
        <w:rPr>
          <w:rFonts w:hint="cs"/>
          <w:sz w:val="27"/>
          <w:rtl/>
        </w:rPr>
        <w:t xml:space="preserve">* ما في الباب 93 من أبواب أحكام العشرة، ح 1، حيث قال:‌ </w:t>
      </w:r>
      <w:r w:rsidRPr="006571AC">
        <w:rPr>
          <w:rFonts w:hint="cs"/>
          <w:sz w:val="24"/>
          <w:szCs w:val="24"/>
          <w:rtl/>
        </w:rPr>
        <w:t>«</w:t>
      </w:r>
      <w:r w:rsidRPr="006571AC">
        <w:rPr>
          <w:rFonts w:hint="cs"/>
          <w:sz w:val="27"/>
          <w:rtl/>
        </w:rPr>
        <w:t>...</w:t>
      </w:r>
      <w:r w:rsidRPr="006571AC">
        <w:rPr>
          <w:sz w:val="27"/>
          <w:rtl/>
        </w:rPr>
        <w:t>عن عبد الله بن سنان،</w:t>
      </w:r>
      <w:r w:rsidRPr="006571AC">
        <w:rPr>
          <w:rFonts w:hint="cs"/>
          <w:sz w:val="27"/>
          <w:rtl/>
        </w:rPr>
        <w:t xml:space="preserve"> </w:t>
      </w:r>
      <w:r w:rsidRPr="006571AC">
        <w:rPr>
          <w:sz w:val="27"/>
          <w:rtl/>
        </w:rPr>
        <w:t>عن أبي عبد الله</w:t>
      </w:r>
      <w:r w:rsidRPr="006571AC">
        <w:rPr>
          <w:rFonts w:ascii="Mosawi" w:hAnsi="Mosawi" w:cs="Mosawi"/>
          <w:sz w:val="22"/>
          <w:szCs w:val="22"/>
          <w:rtl/>
        </w:rPr>
        <w:t>×</w:t>
      </w:r>
      <w:r w:rsidRPr="006571AC">
        <w:rPr>
          <w:rFonts w:hint="cs"/>
          <w:sz w:val="27"/>
          <w:rtl/>
        </w:rPr>
        <w:t xml:space="preserve"> </w:t>
      </w:r>
      <w:r w:rsidRPr="006571AC">
        <w:rPr>
          <w:sz w:val="27"/>
          <w:rtl/>
        </w:rPr>
        <w:t>قال: رد</w:t>
      </w:r>
      <w:r w:rsidRPr="006571AC">
        <w:rPr>
          <w:rFonts w:hint="cs"/>
          <w:sz w:val="27"/>
          <w:rtl/>
        </w:rPr>
        <w:t>ُّ</w:t>
      </w:r>
      <w:r w:rsidRPr="006571AC">
        <w:rPr>
          <w:sz w:val="27"/>
          <w:rtl/>
        </w:rPr>
        <w:t xml:space="preserve"> جواب الكتاب واجب</w:t>
      </w:r>
      <w:r w:rsidRPr="006571AC">
        <w:rPr>
          <w:rFonts w:hint="cs"/>
          <w:sz w:val="27"/>
          <w:rtl/>
        </w:rPr>
        <w:t>ٌ</w:t>
      </w:r>
      <w:r w:rsidRPr="006571AC">
        <w:rPr>
          <w:sz w:val="27"/>
          <w:rtl/>
        </w:rPr>
        <w:t xml:space="preserve"> كوجوب رد</w:t>
      </w:r>
      <w:r w:rsidRPr="006571AC">
        <w:rPr>
          <w:rFonts w:hint="cs"/>
          <w:sz w:val="27"/>
          <w:rtl/>
        </w:rPr>
        <w:t>ّ</w:t>
      </w:r>
      <w:r w:rsidRPr="006571AC">
        <w:rPr>
          <w:sz w:val="27"/>
          <w:rtl/>
        </w:rPr>
        <w:t xml:space="preserve"> السلام</w:t>
      </w:r>
      <w:r w:rsidRPr="006571AC">
        <w:rPr>
          <w:rFonts w:hint="cs"/>
          <w:b/>
          <w:bCs/>
          <w:sz w:val="27"/>
          <w:rtl/>
        </w:rPr>
        <w:t>...</w:t>
      </w:r>
      <w:r w:rsidR="0046677C" w:rsidRPr="006571AC">
        <w:rPr>
          <w:rFonts w:hint="cs"/>
          <w:b/>
          <w:bCs/>
          <w:sz w:val="27"/>
          <w:rtl/>
        </w:rPr>
        <w:t xml:space="preserve">، </w:t>
      </w:r>
      <w:r w:rsidRPr="006571AC">
        <w:rPr>
          <w:b/>
          <w:bCs/>
          <w:sz w:val="27"/>
          <w:rtl/>
        </w:rPr>
        <w:t>الحديث</w:t>
      </w:r>
      <w:r w:rsidRPr="006571AC">
        <w:rPr>
          <w:rFonts w:hint="cs"/>
          <w:sz w:val="24"/>
          <w:szCs w:val="24"/>
          <w:rtl/>
        </w:rPr>
        <w:t>»</w:t>
      </w:r>
      <w:r w:rsidRPr="006571AC">
        <w:rPr>
          <w:sz w:val="27"/>
          <w:vertAlign w:val="superscript"/>
          <w:rtl/>
        </w:rPr>
        <w:t>(</w:t>
      </w:r>
      <w:r w:rsidRPr="006571AC">
        <w:rPr>
          <w:rStyle w:val="ac"/>
          <w:sz w:val="27"/>
          <w:rtl/>
        </w:rPr>
        <w:endnoteReference w:id="867"/>
      </w:r>
      <w:r w:rsidRPr="006571AC">
        <w:rPr>
          <w:sz w:val="27"/>
          <w:vertAlign w:val="superscript"/>
          <w:rtl/>
        </w:rPr>
        <w:t>)</w:t>
      </w:r>
      <w:r w:rsidRPr="006571AC">
        <w:rPr>
          <w:sz w:val="27"/>
          <w:rtl/>
        </w:rPr>
        <w:t xml:space="preserve">. </w:t>
      </w:r>
    </w:p>
    <w:p w:rsidR="008A3F20" w:rsidRPr="006571AC" w:rsidRDefault="008A3F20" w:rsidP="00D42E60">
      <w:pPr>
        <w:rPr>
          <w:sz w:val="27"/>
          <w:rtl/>
        </w:rPr>
      </w:pPr>
      <w:r w:rsidRPr="006571AC">
        <w:rPr>
          <w:rFonts w:hint="cs"/>
          <w:sz w:val="27"/>
          <w:rtl/>
        </w:rPr>
        <w:t xml:space="preserve">وفي مصدر الحديث،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xml:space="preserve">، زيادة: </w:t>
      </w:r>
      <w:r w:rsidRPr="006571AC">
        <w:rPr>
          <w:rFonts w:hint="cs"/>
          <w:sz w:val="24"/>
          <w:szCs w:val="24"/>
          <w:rtl/>
        </w:rPr>
        <w:t>«</w:t>
      </w:r>
      <w:r w:rsidRPr="006571AC">
        <w:rPr>
          <w:rFonts w:hint="cs"/>
          <w:sz w:val="27"/>
          <w:rtl/>
        </w:rPr>
        <w:t>والبادي بالسلام أ</w:t>
      </w:r>
      <w:r w:rsidR="0046677C" w:rsidRPr="006571AC">
        <w:rPr>
          <w:rFonts w:hint="cs"/>
          <w:sz w:val="27"/>
          <w:rtl/>
        </w:rPr>
        <w:t>َ</w:t>
      </w:r>
      <w:r w:rsidRPr="006571AC">
        <w:rPr>
          <w:rFonts w:hint="cs"/>
          <w:sz w:val="27"/>
          <w:rtl/>
        </w:rPr>
        <w:t>و</w:t>
      </w:r>
      <w:r w:rsidR="0046677C" w:rsidRPr="006571AC">
        <w:rPr>
          <w:rFonts w:hint="cs"/>
          <w:sz w:val="27"/>
          <w:rtl/>
        </w:rPr>
        <w:t>ْ</w:t>
      </w:r>
      <w:r w:rsidRPr="006571AC">
        <w:rPr>
          <w:rFonts w:hint="cs"/>
          <w:sz w:val="27"/>
          <w:rtl/>
        </w:rPr>
        <w:t>لى بالله ورسوله</w:t>
      </w:r>
      <w:r w:rsidRPr="006571AC">
        <w:rPr>
          <w:rFonts w:hint="cs"/>
          <w:sz w:val="24"/>
          <w:szCs w:val="24"/>
          <w:rtl/>
        </w:rPr>
        <w:t>»</w:t>
      </w:r>
      <w:r w:rsidRPr="006571AC">
        <w:rPr>
          <w:sz w:val="27"/>
          <w:vertAlign w:val="superscript"/>
          <w:rtl/>
        </w:rPr>
        <w:t>(</w:t>
      </w:r>
      <w:r w:rsidRPr="006571AC">
        <w:rPr>
          <w:rStyle w:val="ac"/>
          <w:sz w:val="27"/>
          <w:rtl/>
        </w:rPr>
        <w:endnoteReference w:id="868"/>
      </w:r>
      <w:r w:rsidRPr="006571AC">
        <w:rPr>
          <w:sz w:val="27"/>
          <w:vertAlign w:val="superscript"/>
          <w:rtl/>
        </w:rPr>
        <w:t>)</w:t>
      </w:r>
      <w:r w:rsidRPr="006571AC">
        <w:rPr>
          <w:rFonts w:hint="cs"/>
          <w:sz w:val="27"/>
          <w:rtl/>
        </w:rPr>
        <w:t>.</w:t>
      </w:r>
    </w:p>
    <w:p w:rsidR="008A3F20" w:rsidRPr="006571AC" w:rsidRDefault="008A3F20" w:rsidP="00D42E60">
      <w:pPr>
        <w:rPr>
          <w:sz w:val="27"/>
          <w:rtl/>
        </w:rPr>
      </w:pPr>
      <w:r w:rsidRPr="006571AC">
        <w:rPr>
          <w:rFonts w:hint="cs"/>
          <w:b/>
          <w:bCs/>
          <w:sz w:val="27"/>
          <w:rtl/>
        </w:rPr>
        <w:t>ويُلاحَظ في هذا المثال</w:t>
      </w:r>
      <w:r w:rsidRPr="006571AC">
        <w:rPr>
          <w:rFonts w:hint="cs"/>
          <w:sz w:val="27"/>
          <w:rtl/>
        </w:rPr>
        <w:t xml:space="preserve"> أنّ المحذوف</w:t>
      </w:r>
      <w:r w:rsidR="002D6A4B" w:rsidRPr="006571AC">
        <w:rPr>
          <w:rFonts w:hint="cs"/>
          <w:sz w:val="27"/>
          <w:rtl/>
        </w:rPr>
        <w:t>َ</w:t>
      </w:r>
      <w:r w:rsidRPr="006571AC">
        <w:rPr>
          <w:rFonts w:hint="cs"/>
          <w:sz w:val="27"/>
          <w:rtl/>
        </w:rPr>
        <w:t xml:space="preserve"> من متن الحديث هو جملة</w:t>
      </w:r>
      <w:r w:rsidR="002D6A4B" w:rsidRPr="006571AC">
        <w:rPr>
          <w:rFonts w:hint="cs"/>
          <w:sz w:val="27"/>
          <w:rtl/>
        </w:rPr>
        <w:t>ٌ</w:t>
      </w:r>
      <w:r w:rsidRPr="006571AC">
        <w:rPr>
          <w:rFonts w:hint="cs"/>
          <w:sz w:val="27"/>
          <w:rtl/>
        </w:rPr>
        <w:t xml:space="preserve"> واحدة</w:t>
      </w:r>
      <w:r w:rsidR="00D42E60" w:rsidRPr="006571AC">
        <w:rPr>
          <w:rFonts w:hint="cs"/>
          <w:sz w:val="27"/>
          <w:rtl/>
        </w:rPr>
        <w:t>،</w:t>
      </w:r>
      <w:r w:rsidRPr="006571AC">
        <w:rPr>
          <w:rFonts w:hint="cs"/>
          <w:sz w:val="27"/>
          <w:rtl/>
        </w:rPr>
        <w:t xml:space="preserve"> لا أكثر</w:t>
      </w:r>
      <w:r w:rsidRPr="006571AC">
        <w:rPr>
          <w:sz w:val="27"/>
          <w:vertAlign w:val="superscript"/>
          <w:rtl/>
        </w:rPr>
        <w:t>(</w:t>
      </w:r>
      <w:r w:rsidRPr="006571AC">
        <w:rPr>
          <w:rStyle w:val="ac"/>
          <w:sz w:val="27"/>
          <w:rtl/>
        </w:rPr>
        <w:endnoteReference w:id="869"/>
      </w:r>
      <w:r w:rsidRPr="006571AC">
        <w:rPr>
          <w:sz w:val="27"/>
          <w:vertAlign w:val="superscript"/>
          <w:rtl/>
        </w:rPr>
        <w:t>)</w:t>
      </w:r>
      <w:r w:rsidRPr="006571AC">
        <w:rPr>
          <w:rFonts w:hint="cs"/>
          <w:sz w:val="27"/>
          <w:rtl/>
        </w:rPr>
        <w:t>.</w:t>
      </w:r>
    </w:p>
    <w:p w:rsidR="008A3F20" w:rsidRPr="006571AC" w:rsidRDefault="008A3F20" w:rsidP="00D42E60">
      <w:pPr>
        <w:rPr>
          <w:sz w:val="27"/>
          <w:rtl/>
        </w:rPr>
      </w:pPr>
      <w:r w:rsidRPr="006571AC">
        <w:rPr>
          <w:rFonts w:hint="cs"/>
          <w:sz w:val="27"/>
          <w:rtl/>
        </w:rPr>
        <w:t xml:space="preserve">* وما في الباب 86 من أبواب أحكام العشرة، ح 2، حيث قال: </w:t>
      </w:r>
      <w:r w:rsidRPr="006571AC">
        <w:rPr>
          <w:rFonts w:hint="cs"/>
          <w:sz w:val="24"/>
          <w:szCs w:val="24"/>
          <w:rtl/>
        </w:rPr>
        <w:t>«</w:t>
      </w:r>
      <w:r w:rsidRPr="006571AC">
        <w:rPr>
          <w:sz w:val="27"/>
          <w:rtl/>
        </w:rPr>
        <w:t>2ـ.</w:t>
      </w:r>
      <w:r w:rsidRPr="006571AC">
        <w:rPr>
          <w:rFonts w:hint="cs"/>
          <w:sz w:val="27"/>
          <w:rtl/>
        </w:rPr>
        <w:t>..</w:t>
      </w:r>
      <w:r w:rsidRPr="006571AC">
        <w:rPr>
          <w:sz w:val="27"/>
          <w:rtl/>
        </w:rPr>
        <w:t>عن طلحة بن زيد، عن أبي عبد الله، عن أبيه</w:t>
      </w:r>
      <w:r w:rsidRPr="006571AC">
        <w:rPr>
          <w:rFonts w:ascii="Mosawi" w:hAnsi="Mosawi" w:cs="Mosawi"/>
          <w:sz w:val="22"/>
          <w:szCs w:val="22"/>
          <w:rtl/>
        </w:rPr>
        <w:t>’</w:t>
      </w:r>
      <w:r w:rsidR="002D6A4B" w:rsidRPr="006571AC">
        <w:rPr>
          <w:rFonts w:hint="cs"/>
          <w:sz w:val="27"/>
          <w:rtl/>
        </w:rPr>
        <w:t>،</w:t>
      </w:r>
      <w:r w:rsidRPr="006571AC">
        <w:rPr>
          <w:sz w:val="27"/>
          <w:rtl/>
        </w:rPr>
        <w:t xml:space="preserve"> قال: قال</w:t>
      </w:r>
      <w:r w:rsidRPr="006571AC">
        <w:rPr>
          <w:rFonts w:hint="cs"/>
          <w:sz w:val="27"/>
          <w:rtl/>
        </w:rPr>
        <w:t>:</w:t>
      </w:r>
      <w:r w:rsidRPr="006571AC">
        <w:rPr>
          <w:sz w:val="27"/>
          <w:rtl/>
        </w:rPr>
        <w:t xml:space="preserve"> قرأت</w:t>
      </w:r>
      <w:r w:rsidRPr="006571AC">
        <w:rPr>
          <w:rFonts w:hint="cs"/>
          <w:sz w:val="27"/>
          <w:rtl/>
        </w:rPr>
        <w:t>ُ</w:t>
      </w:r>
      <w:r w:rsidRPr="006571AC">
        <w:rPr>
          <w:sz w:val="27"/>
          <w:rtl/>
        </w:rPr>
        <w:t xml:space="preserve"> في كتاب علي</w:t>
      </w:r>
      <w:r w:rsidRPr="006571AC">
        <w:rPr>
          <w:rFonts w:hint="cs"/>
          <w:sz w:val="27"/>
          <w:rtl/>
        </w:rPr>
        <w:t>ّ</w:t>
      </w:r>
      <w:r w:rsidR="002D6A4B" w:rsidRPr="006571AC">
        <w:rPr>
          <w:rFonts w:hint="cs"/>
          <w:sz w:val="27"/>
          <w:rtl/>
        </w:rPr>
        <w:t>ٍ</w:t>
      </w:r>
      <w:r w:rsidRPr="006571AC">
        <w:rPr>
          <w:rFonts w:ascii="Mosawi" w:hAnsi="Mosawi" w:cs="Mosawi"/>
          <w:sz w:val="22"/>
          <w:szCs w:val="22"/>
          <w:rtl/>
        </w:rPr>
        <w:t>×</w:t>
      </w:r>
      <w:r w:rsidRPr="006571AC">
        <w:rPr>
          <w:sz w:val="27"/>
          <w:rtl/>
        </w:rPr>
        <w:t xml:space="preserve"> </w:t>
      </w:r>
      <w:r w:rsidR="002D6A4B" w:rsidRPr="006571AC">
        <w:rPr>
          <w:rFonts w:hint="cs"/>
          <w:sz w:val="27"/>
          <w:rtl/>
        </w:rPr>
        <w:t>أ</w:t>
      </w:r>
      <w:r w:rsidRPr="006571AC">
        <w:rPr>
          <w:sz w:val="27"/>
          <w:rtl/>
        </w:rPr>
        <w:t>ن</w:t>
      </w:r>
      <w:r w:rsidRPr="006571AC">
        <w:rPr>
          <w:rFonts w:hint="cs"/>
          <w:sz w:val="27"/>
          <w:rtl/>
        </w:rPr>
        <w:t>ّ</w:t>
      </w:r>
      <w:r w:rsidRPr="006571AC">
        <w:rPr>
          <w:sz w:val="27"/>
          <w:rtl/>
        </w:rPr>
        <w:t xml:space="preserve"> رسول الله</w:t>
      </w:r>
      <w:r w:rsidRPr="006571AC">
        <w:rPr>
          <w:rFonts w:ascii="Mosawi" w:hAnsi="Mosawi" w:cs="Mosawi"/>
          <w:sz w:val="22"/>
          <w:szCs w:val="22"/>
          <w:rtl/>
        </w:rPr>
        <w:t>|</w:t>
      </w:r>
      <w:r w:rsidRPr="006571AC">
        <w:rPr>
          <w:sz w:val="27"/>
          <w:rtl/>
        </w:rPr>
        <w:t xml:space="preserve"> كتب بين المهاجرين والأنصار وم</w:t>
      </w:r>
      <w:r w:rsidRPr="006571AC">
        <w:rPr>
          <w:rFonts w:hint="cs"/>
          <w:sz w:val="27"/>
          <w:rtl/>
        </w:rPr>
        <w:t>َ</w:t>
      </w:r>
      <w:r w:rsidRPr="006571AC">
        <w:rPr>
          <w:sz w:val="27"/>
          <w:rtl/>
        </w:rPr>
        <w:t>ن</w:t>
      </w:r>
      <w:r w:rsidRPr="006571AC">
        <w:rPr>
          <w:rFonts w:hint="cs"/>
          <w:sz w:val="27"/>
          <w:rtl/>
        </w:rPr>
        <w:t>ْ</w:t>
      </w:r>
      <w:r w:rsidRPr="006571AC">
        <w:rPr>
          <w:sz w:val="27"/>
          <w:rtl/>
        </w:rPr>
        <w:t xml:space="preserve"> لحق بهم من أهل يثرب أن</w:t>
      </w:r>
      <w:r w:rsidRPr="006571AC">
        <w:rPr>
          <w:rFonts w:hint="cs"/>
          <w:sz w:val="27"/>
          <w:rtl/>
        </w:rPr>
        <w:t>ّ</w:t>
      </w:r>
      <w:r w:rsidRPr="006571AC">
        <w:rPr>
          <w:sz w:val="27"/>
          <w:rtl/>
        </w:rPr>
        <w:t xml:space="preserve"> الجار كالنفس غير مضار</w:t>
      </w:r>
      <w:r w:rsidRPr="006571AC">
        <w:rPr>
          <w:rFonts w:hint="cs"/>
          <w:sz w:val="27"/>
          <w:rtl/>
        </w:rPr>
        <w:t>ّ</w:t>
      </w:r>
      <w:r w:rsidR="002D6A4B" w:rsidRPr="006571AC">
        <w:rPr>
          <w:rFonts w:hint="cs"/>
          <w:sz w:val="27"/>
          <w:rtl/>
        </w:rPr>
        <w:t>ٍ</w:t>
      </w:r>
      <w:r w:rsidRPr="006571AC">
        <w:rPr>
          <w:sz w:val="27"/>
          <w:rtl/>
        </w:rPr>
        <w:t xml:space="preserve"> ولا آثم</w:t>
      </w:r>
      <w:r w:rsidR="002D6A4B" w:rsidRPr="006571AC">
        <w:rPr>
          <w:rFonts w:hint="cs"/>
          <w:sz w:val="27"/>
          <w:rtl/>
        </w:rPr>
        <w:t>ٍ</w:t>
      </w:r>
      <w:r w:rsidRPr="006571AC">
        <w:rPr>
          <w:sz w:val="27"/>
          <w:rtl/>
        </w:rPr>
        <w:t>، وحرمة الجار على الجار كحرمة أم</w:t>
      </w:r>
      <w:r w:rsidRPr="006571AC">
        <w:rPr>
          <w:rFonts w:hint="cs"/>
          <w:sz w:val="27"/>
          <w:rtl/>
        </w:rPr>
        <w:t>ّ</w:t>
      </w:r>
      <w:r w:rsidRPr="006571AC">
        <w:rPr>
          <w:sz w:val="27"/>
          <w:rtl/>
        </w:rPr>
        <w:t xml:space="preserve">ه، </w:t>
      </w:r>
      <w:r w:rsidRPr="006571AC">
        <w:rPr>
          <w:b/>
          <w:bCs/>
          <w:sz w:val="27"/>
          <w:rtl/>
        </w:rPr>
        <w:t>الحديث مختصر</w:t>
      </w:r>
      <w:r w:rsidR="002D6A4B" w:rsidRPr="006571AC">
        <w:rPr>
          <w:rFonts w:hint="cs"/>
          <w:b/>
          <w:bCs/>
          <w:sz w:val="27"/>
          <w:rtl/>
        </w:rPr>
        <w:t>ٌ</w:t>
      </w:r>
      <w:r w:rsidRPr="006571AC">
        <w:rPr>
          <w:rFonts w:hint="cs"/>
          <w:sz w:val="24"/>
          <w:szCs w:val="24"/>
          <w:rtl/>
        </w:rPr>
        <w:t>»</w:t>
      </w:r>
      <w:r w:rsidRPr="006571AC">
        <w:rPr>
          <w:sz w:val="27"/>
          <w:vertAlign w:val="superscript"/>
          <w:rtl/>
        </w:rPr>
        <w:t>(</w:t>
      </w:r>
      <w:r w:rsidRPr="006571AC">
        <w:rPr>
          <w:rStyle w:val="ac"/>
          <w:sz w:val="27"/>
          <w:rtl/>
        </w:rPr>
        <w:endnoteReference w:id="870"/>
      </w:r>
      <w:r w:rsidRPr="006571AC">
        <w:rPr>
          <w:sz w:val="27"/>
          <w:vertAlign w:val="superscript"/>
          <w:rtl/>
        </w:rPr>
        <w:t>)</w:t>
      </w:r>
      <w:r w:rsidRPr="006571AC">
        <w:rPr>
          <w:sz w:val="27"/>
          <w:rtl/>
        </w:rPr>
        <w:t xml:space="preserve">. </w:t>
      </w:r>
    </w:p>
    <w:p w:rsidR="008A3F20" w:rsidRPr="006571AC" w:rsidRDefault="008A3F20" w:rsidP="00D42E60">
      <w:pPr>
        <w:rPr>
          <w:sz w:val="27"/>
          <w:rtl/>
        </w:rPr>
      </w:pPr>
      <w:r w:rsidRPr="006571AC">
        <w:rPr>
          <w:rFonts w:hint="cs"/>
          <w:sz w:val="27"/>
          <w:rtl/>
        </w:rPr>
        <w:t xml:space="preserve">* وما في الباب 2 من أبواب ديات الأعضاء، ح 4، حيث قال: </w:t>
      </w:r>
      <w:r w:rsidRPr="006571AC">
        <w:rPr>
          <w:rFonts w:hint="cs"/>
          <w:sz w:val="24"/>
          <w:szCs w:val="24"/>
          <w:rtl/>
        </w:rPr>
        <w:t>«</w:t>
      </w:r>
      <w:r w:rsidRPr="006571AC">
        <w:rPr>
          <w:rFonts w:hint="cs"/>
          <w:sz w:val="27"/>
          <w:rtl/>
        </w:rPr>
        <w:t>4ـ...</w:t>
      </w:r>
      <w:r w:rsidRPr="006571AC">
        <w:rPr>
          <w:sz w:val="27"/>
          <w:rtl/>
        </w:rPr>
        <w:t>عن أبي عمرو المتطب</w:t>
      </w:r>
      <w:r w:rsidRPr="006571AC">
        <w:rPr>
          <w:rFonts w:hint="cs"/>
          <w:sz w:val="27"/>
          <w:rtl/>
        </w:rPr>
        <w:t>ِّ</w:t>
      </w:r>
      <w:r w:rsidRPr="006571AC">
        <w:rPr>
          <w:sz w:val="27"/>
          <w:rtl/>
        </w:rPr>
        <w:t>ب</w:t>
      </w:r>
      <w:r w:rsidRPr="006571AC">
        <w:rPr>
          <w:rFonts w:hint="cs"/>
          <w:sz w:val="27"/>
          <w:rtl/>
        </w:rPr>
        <w:t>،</w:t>
      </w:r>
      <w:r w:rsidRPr="006571AC">
        <w:rPr>
          <w:sz w:val="27"/>
          <w:rtl/>
        </w:rPr>
        <w:t xml:space="preserve"> قال: عرضت</w:t>
      </w:r>
      <w:r w:rsidRPr="006571AC">
        <w:rPr>
          <w:rFonts w:hint="cs"/>
          <w:sz w:val="27"/>
          <w:rtl/>
        </w:rPr>
        <w:t>ُ</w:t>
      </w:r>
      <w:r w:rsidRPr="006571AC">
        <w:rPr>
          <w:sz w:val="27"/>
          <w:rtl/>
        </w:rPr>
        <w:t xml:space="preserve"> هذه الرواية على أبي عبد الله</w:t>
      </w:r>
      <w:r w:rsidRPr="006571AC">
        <w:rPr>
          <w:rFonts w:ascii="Mosawi" w:hAnsi="Mosawi" w:cs="Mosawi"/>
          <w:sz w:val="22"/>
          <w:szCs w:val="22"/>
          <w:rtl/>
        </w:rPr>
        <w:t>×</w:t>
      </w:r>
      <w:r w:rsidRPr="006571AC">
        <w:rPr>
          <w:rFonts w:hint="cs"/>
          <w:sz w:val="27"/>
          <w:rtl/>
        </w:rPr>
        <w:t>،</w:t>
      </w:r>
      <w:r w:rsidRPr="006571AC">
        <w:rPr>
          <w:sz w:val="27"/>
          <w:rtl/>
        </w:rPr>
        <w:t xml:space="preserve"> فقال: نعم</w:t>
      </w:r>
      <w:r w:rsidRPr="006571AC">
        <w:rPr>
          <w:rFonts w:hint="cs"/>
          <w:sz w:val="27"/>
          <w:rtl/>
        </w:rPr>
        <w:t>،</w:t>
      </w:r>
      <w:r w:rsidRPr="006571AC">
        <w:rPr>
          <w:sz w:val="27"/>
          <w:rtl/>
        </w:rPr>
        <w:t xml:space="preserve"> هي حق</w:t>
      </w:r>
      <w:r w:rsidRPr="006571AC">
        <w:rPr>
          <w:rFonts w:hint="cs"/>
          <w:sz w:val="27"/>
          <w:rtl/>
        </w:rPr>
        <w:t>ّ</w:t>
      </w:r>
      <w:r w:rsidR="002D6A4B" w:rsidRPr="006571AC">
        <w:rPr>
          <w:rFonts w:hint="cs"/>
          <w:sz w:val="27"/>
          <w:rtl/>
        </w:rPr>
        <w:t>ٌ</w:t>
      </w:r>
      <w:r w:rsidRPr="006571AC">
        <w:rPr>
          <w:rFonts w:hint="cs"/>
          <w:sz w:val="27"/>
          <w:rtl/>
        </w:rPr>
        <w:t>،</w:t>
      </w:r>
      <w:r w:rsidRPr="006571AC">
        <w:rPr>
          <w:sz w:val="27"/>
          <w:rtl/>
        </w:rPr>
        <w:t xml:space="preserve"> وقد كان أمير المؤمنين</w:t>
      </w:r>
      <w:r w:rsidRPr="006571AC">
        <w:rPr>
          <w:rFonts w:ascii="Mosawi" w:hAnsi="Mosawi" w:cs="Mosawi"/>
          <w:sz w:val="22"/>
          <w:szCs w:val="22"/>
          <w:rtl/>
        </w:rPr>
        <w:t>×</w:t>
      </w:r>
      <w:r w:rsidRPr="006571AC">
        <w:rPr>
          <w:sz w:val="27"/>
          <w:rtl/>
        </w:rPr>
        <w:t xml:space="preserve"> يأمر عم</w:t>
      </w:r>
      <w:r w:rsidRPr="006571AC">
        <w:rPr>
          <w:rFonts w:hint="cs"/>
          <w:sz w:val="27"/>
          <w:rtl/>
        </w:rPr>
        <w:t>ّ</w:t>
      </w:r>
      <w:r w:rsidRPr="006571AC">
        <w:rPr>
          <w:sz w:val="27"/>
          <w:rtl/>
        </w:rPr>
        <w:t xml:space="preserve">اله بذلك، </w:t>
      </w:r>
      <w:r w:rsidRPr="006571AC">
        <w:rPr>
          <w:b/>
          <w:bCs/>
          <w:sz w:val="27"/>
          <w:rtl/>
        </w:rPr>
        <w:t>ثم</w:t>
      </w:r>
      <w:r w:rsidRPr="006571AC">
        <w:rPr>
          <w:rFonts w:hint="cs"/>
          <w:b/>
          <w:bCs/>
          <w:sz w:val="27"/>
          <w:rtl/>
        </w:rPr>
        <w:t>ّ</w:t>
      </w:r>
      <w:r w:rsidRPr="006571AC">
        <w:rPr>
          <w:b/>
          <w:bCs/>
          <w:sz w:val="27"/>
          <w:rtl/>
        </w:rPr>
        <w:t xml:space="preserve"> ذكر الحديث بطوله</w:t>
      </w:r>
      <w:r w:rsidRPr="006571AC">
        <w:rPr>
          <w:rFonts w:hint="cs"/>
          <w:sz w:val="24"/>
          <w:szCs w:val="24"/>
          <w:rtl/>
        </w:rPr>
        <w:t>»</w:t>
      </w:r>
      <w:r w:rsidRPr="006571AC">
        <w:rPr>
          <w:sz w:val="27"/>
          <w:vertAlign w:val="superscript"/>
          <w:rtl/>
        </w:rPr>
        <w:t>(</w:t>
      </w:r>
      <w:r w:rsidRPr="006571AC">
        <w:rPr>
          <w:rStyle w:val="ac"/>
          <w:sz w:val="27"/>
          <w:rtl/>
        </w:rPr>
        <w:endnoteReference w:id="871"/>
      </w:r>
      <w:r w:rsidRPr="006571AC">
        <w:rPr>
          <w:sz w:val="27"/>
          <w:vertAlign w:val="superscript"/>
          <w:rtl/>
        </w:rPr>
        <w:t>)</w:t>
      </w:r>
      <w:r w:rsidRPr="006571AC">
        <w:rPr>
          <w:sz w:val="27"/>
          <w:rtl/>
        </w:rPr>
        <w:t xml:space="preserve">. </w:t>
      </w:r>
    </w:p>
    <w:p w:rsidR="00D42E60" w:rsidRPr="006571AC" w:rsidRDefault="00D42E60" w:rsidP="00B471F7">
      <w:pPr>
        <w:spacing w:line="410" w:lineRule="exact"/>
        <w:rPr>
          <w:sz w:val="27"/>
          <w:rtl/>
        </w:rPr>
      </w:pPr>
    </w:p>
    <w:p w:rsidR="008A3F20" w:rsidRPr="006571AC" w:rsidRDefault="008A3F20" w:rsidP="00A2511B">
      <w:pPr>
        <w:pStyle w:val="31"/>
        <w:rPr>
          <w:color w:val="auto"/>
          <w:rtl/>
        </w:rPr>
      </w:pPr>
      <w:bookmarkStart w:id="552" w:name="_Toc171512872"/>
      <w:bookmarkStart w:id="553" w:name="_Toc114164912"/>
      <w:r w:rsidRPr="006571AC">
        <w:rPr>
          <w:rFonts w:hint="cs"/>
          <w:color w:val="auto"/>
          <w:rtl/>
        </w:rPr>
        <w:t>الحذف مع عدم الإشارة</w:t>
      </w:r>
      <w:bookmarkEnd w:id="552"/>
      <w:bookmarkEnd w:id="553"/>
    </w:p>
    <w:p w:rsidR="008A3F20" w:rsidRPr="006571AC" w:rsidRDefault="008A3F20" w:rsidP="00B471F7">
      <w:pPr>
        <w:spacing w:line="420" w:lineRule="exact"/>
        <w:rPr>
          <w:sz w:val="27"/>
          <w:rtl/>
        </w:rPr>
      </w:pPr>
      <w:r w:rsidRPr="006571AC">
        <w:rPr>
          <w:rFonts w:hint="cs"/>
          <w:sz w:val="27"/>
          <w:rtl/>
        </w:rPr>
        <w:t xml:space="preserve"> </w:t>
      </w:r>
      <w:r w:rsidRPr="006571AC">
        <w:rPr>
          <w:rFonts w:hint="cs"/>
          <w:b/>
          <w:bCs/>
          <w:sz w:val="27"/>
          <w:rtl/>
        </w:rPr>
        <w:t>وفي بعض الأحاديث</w:t>
      </w:r>
      <w:r w:rsidRPr="006571AC">
        <w:rPr>
          <w:rFonts w:hint="cs"/>
          <w:sz w:val="27"/>
          <w:rtl/>
        </w:rPr>
        <w:t xml:space="preserve"> التي قام بتقطيعها </w:t>
      </w:r>
      <w:r w:rsidRPr="006571AC">
        <w:rPr>
          <w:rFonts w:hint="cs"/>
          <w:b/>
          <w:bCs/>
          <w:sz w:val="27"/>
          <w:rtl/>
        </w:rPr>
        <w:t>لا يشير الشيخ الحُرّ</w:t>
      </w:r>
      <w:r w:rsidRPr="006571AC">
        <w:rPr>
          <w:rFonts w:ascii="Mosawi" w:hAnsi="Mosawi" w:cs="Mosawi"/>
          <w:b/>
          <w:bCs/>
          <w:sz w:val="22"/>
          <w:szCs w:val="22"/>
          <w:rtl/>
        </w:rPr>
        <w:t>&amp;</w:t>
      </w:r>
      <w:r w:rsidRPr="006571AC">
        <w:rPr>
          <w:rFonts w:hint="cs"/>
          <w:b/>
          <w:bCs/>
          <w:sz w:val="27"/>
          <w:rtl/>
        </w:rPr>
        <w:t xml:space="preserve"> إلى حذف بعض </w:t>
      </w:r>
      <w:r w:rsidRPr="006571AC">
        <w:rPr>
          <w:rFonts w:hint="cs"/>
          <w:b/>
          <w:bCs/>
          <w:sz w:val="27"/>
          <w:rtl/>
        </w:rPr>
        <w:lastRenderedPageBreak/>
        <w:t>فقرات الحديث بشيء</w:t>
      </w:r>
      <w:r w:rsidRPr="006571AC">
        <w:rPr>
          <w:rFonts w:hint="cs"/>
          <w:sz w:val="27"/>
          <w:rtl/>
        </w:rPr>
        <w:t>، فيوقع الباحث في الاشتباه والو</w:t>
      </w:r>
      <w:r w:rsidR="00B471F7" w:rsidRPr="006571AC">
        <w:rPr>
          <w:rFonts w:hint="cs"/>
          <w:sz w:val="27"/>
          <w:rtl/>
        </w:rPr>
        <w:t>َ</w:t>
      </w:r>
      <w:r w:rsidRPr="006571AC">
        <w:rPr>
          <w:rFonts w:hint="cs"/>
          <w:sz w:val="27"/>
          <w:rtl/>
        </w:rPr>
        <w:t>ه</w:t>
      </w:r>
      <w:r w:rsidR="00B471F7" w:rsidRPr="006571AC">
        <w:rPr>
          <w:rFonts w:hint="cs"/>
          <w:sz w:val="27"/>
          <w:rtl/>
        </w:rPr>
        <w:t>ْ</w:t>
      </w:r>
      <w:r w:rsidRPr="006571AC">
        <w:rPr>
          <w:rFonts w:hint="cs"/>
          <w:sz w:val="27"/>
          <w:rtl/>
        </w:rPr>
        <w:t xml:space="preserve">م، حيث يعتقد أنّ ما ذُكر في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هو تمام الحديث، بينما يكون المذكور هو بعض الحديث فقط، ومن ذلك:‌</w:t>
      </w:r>
    </w:p>
    <w:p w:rsidR="008A3F20" w:rsidRPr="006571AC" w:rsidRDefault="008A3F20" w:rsidP="00B471F7">
      <w:pPr>
        <w:spacing w:line="420" w:lineRule="exact"/>
        <w:rPr>
          <w:sz w:val="27"/>
          <w:rtl/>
        </w:rPr>
      </w:pPr>
      <w:r w:rsidRPr="006571AC">
        <w:rPr>
          <w:rFonts w:hint="cs"/>
          <w:sz w:val="27"/>
          <w:rtl/>
        </w:rPr>
        <w:t xml:space="preserve">* ما في الباب 82 من أبواب الطواف، ح 5، حيث قال: </w:t>
      </w:r>
      <w:r w:rsidRPr="006571AC">
        <w:rPr>
          <w:rFonts w:hint="cs"/>
          <w:sz w:val="24"/>
          <w:szCs w:val="24"/>
          <w:rtl/>
        </w:rPr>
        <w:t>«</w:t>
      </w:r>
      <w:r w:rsidRPr="006571AC">
        <w:rPr>
          <w:rFonts w:hint="cs"/>
          <w:sz w:val="27"/>
          <w:rtl/>
        </w:rPr>
        <w:t>...</w:t>
      </w:r>
      <w:r w:rsidRPr="006571AC">
        <w:rPr>
          <w:sz w:val="27"/>
          <w:rtl/>
        </w:rPr>
        <w:t xml:space="preserve">عن إبراهيم بن أبي البلاد </w:t>
      </w:r>
      <w:r w:rsidRPr="006571AC">
        <w:rPr>
          <w:b/>
          <w:bCs/>
          <w:sz w:val="27"/>
          <w:rtl/>
        </w:rPr>
        <w:t>أن</w:t>
      </w:r>
      <w:r w:rsidRPr="006571AC">
        <w:rPr>
          <w:rFonts w:hint="cs"/>
          <w:b/>
          <w:bCs/>
          <w:sz w:val="27"/>
          <w:rtl/>
        </w:rPr>
        <w:t>ّ</w:t>
      </w:r>
      <w:r w:rsidRPr="006571AC">
        <w:rPr>
          <w:b/>
          <w:bCs/>
          <w:sz w:val="27"/>
          <w:rtl/>
        </w:rPr>
        <w:t>ه قال ل</w:t>
      </w:r>
      <w:r w:rsidRPr="006571AC">
        <w:rPr>
          <w:rFonts w:hint="cs"/>
          <w:b/>
          <w:bCs/>
          <w:sz w:val="27"/>
          <w:rtl/>
        </w:rPr>
        <w:t>إ</w:t>
      </w:r>
      <w:r w:rsidRPr="006571AC">
        <w:rPr>
          <w:b/>
          <w:bCs/>
          <w:sz w:val="27"/>
          <w:rtl/>
        </w:rPr>
        <w:t>براهيم بن عبد الحميد يسأل له أبا الحسن موسى</w:t>
      </w:r>
      <w:r w:rsidRPr="006571AC">
        <w:rPr>
          <w:rFonts w:ascii="Mosawi" w:hAnsi="Mosawi" w:cs="Mosawi"/>
          <w:b/>
          <w:bCs/>
          <w:sz w:val="22"/>
          <w:szCs w:val="22"/>
          <w:rtl/>
        </w:rPr>
        <w:t>×</w:t>
      </w:r>
      <w:r w:rsidRPr="006571AC">
        <w:rPr>
          <w:sz w:val="27"/>
          <w:rtl/>
        </w:rPr>
        <w:t xml:space="preserve"> عن العمرة المفردة على صاحبها طواف النساء؟ فجاء الجواب </w:t>
      </w:r>
      <w:r w:rsidRPr="006571AC">
        <w:rPr>
          <w:b/>
          <w:bCs/>
          <w:sz w:val="27"/>
          <w:rtl/>
        </w:rPr>
        <w:t>أن</w:t>
      </w:r>
      <w:r w:rsidRPr="006571AC">
        <w:rPr>
          <w:sz w:val="27"/>
          <w:rtl/>
        </w:rPr>
        <w:t xml:space="preserve"> نعم</w:t>
      </w:r>
      <w:r w:rsidRPr="006571AC">
        <w:rPr>
          <w:rFonts w:hint="cs"/>
          <w:sz w:val="27"/>
          <w:rtl/>
        </w:rPr>
        <w:t>،</w:t>
      </w:r>
      <w:r w:rsidRPr="006571AC">
        <w:rPr>
          <w:sz w:val="27"/>
          <w:rtl/>
        </w:rPr>
        <w:t xml:space="preserve"> هو واجب</w:t>
      </w:r>
      <w:r w:rsidRPr="006571AC">
        <w:rPr>
          <w:rFonts w:hint="cs"/>
          <w:sz w:val="27"/>
          <w:rtl/>
        </w:rPr>
        <w:t>ٌ</w:t>
      </w:r>
      <w:r w:rsidRPr="006571AC">
        <w:rPr>
          <w:sz w:val="27"/>
          <w:rtl/>
        </w:rPr>
        <w:t xml:space="preserve"> لا ب</w:t>
      </w:r>
      <w:r w:rsidR="00B471F7" w:rsidRPr="006571AC">
        <w:rPr>
          <w:rFonts w:hint="cs"/>
          <w:sz w:val="27"/>
          <w:rtl/>
        </w:rPr>
        <w:t>ُ</w:t>
      </w:r>
      <w:r w:rsidRPr="006571AC">
        <w:rPr>
          <w:sz w:val="27"/>
          <w:rtl/>
        </w:rPr>
        <w:t>د</w:t>
      </w:r>
      <w:r w:rsidRPr="006571AC">
        <w:rPr>
          <w:rFonts w:hint="cs"/>
          <w:sz w:val="27"/>
          <w:rtl/>
        </w:rPr>
        <w:t>ّ</w:t>
      </w:r>
      <w:r w:rsidR="00B471F7" w:rsidRPr="006571AC">
        <w:rPr>
          <w:rFonts w:hint="cs"/>
          <w:sz w:val="27"/>
          <w:rtl/>
        </w:rPr>
        <w:t>َ</w:t>
      </w:r>
      <w:r w:rsidRPr="006571AC">
        <w:rPr>
          <w:sz w:val="27"/>
          <w:rtl/>
        </w:rPr>
        <w:t xml:space="preserve"> منه، فدخل عليه إسماعيل بن حميد</w:t>
      </w:r>
      <w:r w:rsidRPr="006571AC">
        <w:rPr>
          <w:rFonts w:hint="cs"/>
          <w:sz w:val="27"/>
          <w:rtl/>
        </w:rPr>
        <w:t>،</w:t>
      </w:r>
      <w:r w:rsidRPr="006571AC">
        <w:rPr>
          <w:sz w:val="27"/>
          <w:rtl/>
        </w:rPr>
        <w:t xml:space="preserve"> فسأله عنها</w:t>
      </w:r>
      <w:r w:rsidRPr="006571AC">
        <w:rPr>
          <w:rFonts w:hint="cs"/>
          <w:sz w:val="27"/>
          <w:rtl/>
        </w:rPr>
        <w:t>،</w:t>
      </w:r>
      <w:r w:rsidRPr="006571AC">
        <w:rPr>
          <w:sz w:val="27"/>
          <w:rtl/>
        </w:rPr>
        <w:t xml:space="preserve"> فقال: نعم</w:t>
      </w:r>
      <w:r w:rsidRPr="006571AC">
        <w:rPr>
          <w:rFonts w:hint="cs"/>
          <w:sz w:val="27"/>
          <w:rtl/>
        </w:rPr>
        <w:t>،</w:t>
      </w:r>
      <w:r w:rsidRPr="006571AC">
        <w:rPr>
          <w:sz w:val="27"/>
          <w:rtl/>
        </w:rPr>
        <w:t xml:space="preserve"> هو واجب</w:t>
      </w:r>
      <w:r w:rsidRPr="006571AC">
        <w:rPr>
          <w:rFonts w:hint="cs"/>
          <w:sz w:val="27"/>
          <w:rtl/>
        </w:rPr>
        <w:t>ٌ</w:t>
      </w:r>
      <w:r w:rsidRPr="006571AC">
        <w:rPr>
          <w:sz w:val="27"/>
          <w:rtl/>
        </w:rPr>
        <w:t xml:space="preserve">، فدخل </w:t>
      </w:r>
      <w:r w:rsidRPr="006571AC">
        <w:rPr>
          <w:b/>
          <w:bCs/>
          <w:sz w:val="27"/>
          <w:rtl/>
        </w:rPr>
        <w:t>بشير بن إسماعيل بن عم</w:t>
      </w:r>
      <w:r w:rsidRPr="006571AC">
        <w:rPr>
          <w:rFonts w:hint="cs"/>
          <w:b/>
          <w:bCs/>
          <w:sz w:val="27"/>
          <w:rtl/>
        </w:rPr>
        <w:t>ّ</w:t>
      </w:r>
      <w:r w:rsidRPr="006571AC">
        <w:rPr>
          <w:b/>
          <w:bCs/>
          <w:sz w:val="27"/>
          <w:rtl/>
        </w:rPr>
        <w:t>ار الصيرفي</w:t>
      </w:r>
      <w:r w:rsidRPr="006571AC">
        <w:rPr>
          <w:rFonts w:hint="cs"/>
          <w:b/>
          <w:bCs/>
          <w:sz w:val="27"/>
          <w:rtl/>
        </w:rPr>
        <w:t>ّ</w:t>
      </w:r>
      <w:r w:rsidRPr="006571AC">
        <w:rPr>
          <w:rFonts w:hint="cs"/>
          <w:sz w:val="27"/>
          <w:rtl/>
        </w:rPr>
        <w:t>،</w:t>
      </w:r>
      <w:r w:rsidRPr="006571AC">
        <w:rPr>
          <w:sz w:val="27"/>
          <w:rtl/>
        </w:rPr>
        <w:t xml:space="preserve"> فسأله عنها</w:t>
      </w:r>
      <w:r w:rsidRPr="006571AC">
        <w:rPr>
          <w:rFonts w:hint="cs"/>
          <w:sz w:val="27"/>
          <w:rtl/>
        </w:rPr>
        <w:t>،</w:t>
      </w:r>
      <w:r w:rsidRPr="006571AC">
        <w:rPr>
          <w:sz w:val="27"/>
          <w:rtl/>
        </w:rPr>
        <w:t xml:space="preserve"> فقال: نعم</w:t>
      </w:r>
      <w:r w:rsidRPr="006571AC">
        <w:rPr>
          <w:rFonts w:hint="cs"/>
          <w:sz w:val="27"/>
          <w:rtl/>
        </w:rPr>
        <w:t>،</w:t>
      </w:r>
      <w:r w:rsidRPr="006571AC">
        <w:rPr>
          <w:sz w:val="27"/>
          <w:rtl/>
        </w:rPr>
        <w:t xml:space="preserve"> هو واجب</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72"/>
      </w:r>
      <w:r w:rsidRPr="006571AC">
        <w:rPr>
          <w:sz w:val="27"/>
          <w:vertAlign w:val="superscript"/>
          <w:rtl/>
        </w:rPr>
        <w:t>)</w:t>
      </w:r>
      <w:r w:rsidRPr="006571AC">
        <w:rPr>
          <w:sz w:val="27"/>
          <w:rtl/>
        </w:rPr>
        <w:t>.</w:t>
      </w:r>
    </w:p>
    <w:p w:rsidR="008A3F20" w:rsidRPr="006571AC" w:rsidRDefault="008A3F20" w:rsidP="00B471F7">
      <w:pPr>
        <w:spacing w:line="420" w:lineRule="exact"/>
        <w:rPr>
          <w:sz w:val="27"/>
          <w:rtl/>
        </w:rPr>
      </w:pPr>
      <w:r w:rsidRPr="006571AC">
        <w:rPr>
          <w:sz w:val="27"/>
          <w:rtl/>
        </w:rPr>
        <w:t xml:space="preserve"> </w:t>
      </w:r>
      <w:r w:rsidRPr="006571AC">
        <w:rPr>
          <w:rFonts w:hint="cs"/>
          <w:sz w:val="27"/>
          <w:rtl/>
        </w:rPr>
        <w:t xml:space="preserve">وبالرجوع إلى مصدر الحديث، وهو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sz w:val="27"/>
          <w:vertAlign w:val="superscript"/>
          <w:rtl/>
        </w:rPr>
        <w:t>(</w:t>
      </w:r>
      <w:r w:rsidRPr="006571AC">
        <w:rPr>
          <w:rStyle w:val="ac"/>
          <w:sz w:val="27"/>
          <w:rtl/>
        </w:rPr>
        <w:endnoteReference w:id="873"/>
      </w:r>
      <w:r w:rsidRPr="006571AC">
        <w:rPr>
          <w:sz w:val="27"/>
          <w:vertAlign w:val="superscript"/>
          <w:rtl/>
        </w:rPr>
        <w:t>)</w:t>
      </w:r>
      <w:r w:rsidRPr="006571AC">
        <w:rPr>
          <w:rFonts w:hint="cs"/>
          <w:sz w:val="27"/>
          <w:rtl/>
        </w:rPr>
        <w:t>، تبيّن لنا أنّ الشيخ الحُرّ</w:t>
      </w:r>
      <w:r w:rsidRPr="006571AC">
        <w:rPr>
          <w:rFonts w:ascii="Mosawi" w:hAnsi="Mosawi" w:cs="Mosawi"/>
          <w:sz w:val="22"/>
          <w:szCs w:val="22"/>
          <w:rtl/>
        </w:rPr>
        <w:t>&amp;</w:t>
      </w:r>
      <w:r w:rsidRPr="006571AC">
        <w:rPr>
          <w:rFonts w:hint="cs"/>
          <w:sz w:val="27"/>
          <w:rtl/>
        </w:rPr>
        <w:t xml:space="preserve"> قد تصرّف في الحديث، بحذف بعض العبارات، وبصياغة</w:t>
      </w:r>
      <w:r w:rsidR="00B471F7" w:rsidRPr="006571AC">
        <w:rPr>
          <w:rFonts w:hint="cs"/>
          <w:sz w:val="27"/>
          <w:rtl/>
        </w:rPr>
        <w:t>ٍ</w:t>
      </w:r>
      <w:r w:rsidRPr="006571AC">
        <w:rPr>
          <w:rFonts w:hint="cs"/>
          <w:sz w:val="27"/>
          <w:rtl/>
        </w:rPr>
        <w:t xml:space="preserve"> جديدة لبعض عباراته الأخرى، وكلّ ذلك ط</w:t>
      </w:r>
      <w:r w:rsidR="00B471F7" w:rsidRPr="006571AC">
        <w:rPr>
          <w:rFonts w:hint="cs"/>
          <w:sz w:val="27"/>
          <w:rtl/>
        </w:rPr>
        <w:t>َ</w:t>
      </w:r>
      <w:r w:rsidRPr="006571AC">
        <w:rPr>
          <w:rFonts w:hint="cs"/>
          <w:sz w:val="27"/>
          <w:rtl/>
        </w:rPr>
        <w:t>ل</w:t>
      </w:r>
      <w:r w:rsidR="00B471F7" w:rsidRPr="006571AC">
        <w:rPr>
          <w:rFonts w:hint="cs"/>
          <w:sz w:val="27"/>
          <w:rtl/>
        </w:rPr>
        <w:t>َ</w:t>
      </w:r>
      <w:r w:rsidRPr="006571AC">
        <w:rPr>
          <w:rFonts w:hint="cs"/>
          <w:sz w:val="27"/>
          <w:rtl/>
        </w:rPr>
        <w:t>باً لاختصار الحديث ق</w:t>
      </w:r>
      <w:r w:rsidR="00B471F7" w:rsidRPr="006571AC">
        <w:rPr>
          <w:rFonts w:hint="cs"/>
          <w:sz w:val="27"/>
          <w:rtl/>
        </w:rPr>
        <w:t>َ</w:t>
      </w:r>
      <w:r w:rsidRPr="006571AC">
        <w:rPr>
          <w:rFonts w:hint="cs"/>
          <w:sz w:val="27"/>
          <w:rtl/>
        </w:rPr>
        <w:t>د</w:t>
      </w:r>
      <w:r w:rsidR="00B471F7" w:rsidRPr="006571AC">
        <w:rPr>
          <w:rFonts w:hint="cs"/>
          <w:sz w:val="27"/>
          <w:rtl/>
        </w:rPr>
        <w:t>ْ</w:t>
      </w:r>
      <w:r w:rsidRPr="006571AC">
        <w:rPr>
          <w:rFonts w:hint="cs"/>
          <w:sz w:val="27"/>
          <w:rtl/>
        </w:rPr>
        <w:t>ر الإمكان.</w:t>
      </w:r>
    </w:p>
    <w:p w:rsidR="008A3F20" w:rsidRPr="006571AC" w:rsidRDefault="008A3F20" w:rsidP="00B471F7">
      <w:pPr>
        <w:spacing w:line="410" w:lineRule="exact"/>
        <w:rPr>
          <w:sz w:val="27"/>
          <w:rtl/>
        </w:rPr>
      </w:pPr>
    </w:p>
    <w:p w:rsidR="00812C67" w:rsidRPr="006571AC" w:rsidRDefault="008A3F20" w:rsidP="00812C67">
      <w:pPr>
        <w:pStyle w:val="31"/>
        <w:rPr>
          <w:color w:val="auto"/>
          <w:rtl/>
        </w:rPr>
      </w:pPr>
      <w:bookmarkStart w:id="554" w:name="_Toc171512873"/>
      <w:bookmarkStart w:id="555" w:name="_Toc114164913"/>
      <w:r w:rsidRPr="006571AC">
        <w:rPr>
          <w:rFonts w:hint="cs"/>
          <w:color w:val="auto"/>
          <w:rtl/>
        </w:rPr>
        <w:t>بعض الإشكالات على تقطيع متن الحديث</w:t>
      </w:r>
      <w:bookmarkEnd w:id="554"/>
      <w:bookmarkEnd w:id="555"/>
    </w:p>
    <w:p w:rsidR="00812C67" w:rsidRPr="006571AC" w:rsidRDefault="00812C67" w:rsidP="00812C67">
      <w:pPr>
        <w:pStyle w:val="31"/>
        <w:rPr>
          <w:color w:val="auto"/>
          <w:sz w:val="26"/>
          <w:rtl/>
        </w:rPr>
      </w:pPr>
      <w:bookmarkStart w:id="556" w:name="_Toc114164914"/>
      <w:r w:rsidRPr="006571AC">
        <w:rPr>
          <w:rStyle w:val="9Char0"/>
          <w:rFonts w:ascii="Times" w:hAnsi="Times" w:cs="Abz-3 (Yagut)" w:hint="cs"/>
          <w:bCs/>
          <w:color w:val="auto"/>
          <w:sz w:val="26"/>
          <w:szCs w:val="26"/>
          <w:rtl/>
        </w:rPr>
        <w:t>1ـ تشويه متن الرواية</w:t>
      </w:r>
      <w:bookmarkEnd w:id="556"/>
      <w:r w:rsidR="008A3F20" w:rsidRPr="006571AC">
        <w:rPr>
          <w:rFonts w:hint="cs"/>
          <w:color w:val="auto"/>
          <w:sz w:val="26"/>
          <w:rtl/>
        </w:rPr>
        <w:t xml:space="preserve"> </w:t>
      </w:r>
    </w:p>
    <w:p w:rsidR="008A3F20" w:rsidRPr="006571AC" w:rsidRDefault="008A3F20" w:rsidP="00B471F7">
      <w:pPr>
        <w:spacing w:line="420" w:lineRule="exact"/>
        <w:rPr>
          <w:sz w:val="27"/>
          <w:rtl/>
        </w:rPr>
      </w:pPr>
      <w:r w:rsidRPr="006571AC">
        <w:rPr>
          <w:rFonts w:hint="cs"/>
          <w:sz w:val="27"/>
          <w:rtl/>
        </w:rPr>
        <w:t>في بعض الأحيان يمارس الشيخ الحُرّ</w:t>
      </w:r>
      <w:r w:rsidRPr="006571AC">
        <w:rPr>
          <w:rFonts w:ascii="Mosawi" w:hAnsi="Mosawi" w:cs="Mosawi"/>
          <w:sz w:val="22"/>
          <w:szCs w:val="22"/>
          <w:rtl/>
        </w:rPr>
        <w:t>&amp;</w:t>
      </w:r>
      <w:r w:rsidRPr="006571AC">
        <w:rPr>
          <w:rFonts w:hint="cs"/>
          <w:sz w:val="27"/>
          <w:rtl/>
        </w:rPr>
        <w:t xml:space="preserve"> </w:t>
      </w:r>
      <w:r w:rsidRPr="006571AC">
        <w:rPr>
          <w:rStyle w:val="6Char"/>
          <w:rFonts w:hint="cs"/>
          <w:color w:val="auto"/>
          <w:sz w:val="27"/>
          <w:szCs w:val="27"/>
          <w:rtl/>
        </w:rPr>
        <w:t>تقطيع متن الحديث بشكلٍ يؤدّي إلى تشويه متن الرواية</w:t>
      </w:r>
      <w:r w:rsidRPr="006571AC">
        <w:rPr>
          <w:rFonts w:hint="cs"/>
          <w:sz w:val="27"/>
          <w:rtl/>
        </w:rPr>
        <w:t xml:space="preserve">، ومن ذلك: </w:t>
      </w:r>
    </w:p>
    <w:p w:rsidR="008A3F20" w:rsidRPr="006571AC" w:rsidRDefault="008A3F20" w:rsidP="00B471F7">
      <w:pPr>
        <w:spacing w:line="420" w:lineRule="exact"/>
        <w:rPr>
          <w:sz w:val="27"/>
          <w:rtl/>
        </w:rPr>
      </w:pPr>
      <w:r w:rsidRPr="006571AC">
        <w:rPr>
          <w:rFonts w:hint="cs"/>
          <w:sz w:val="27"/>
          <w:rtl/>
        </w:rPr>
        <w:t xml:space="preserve">*‌ ما في الباب 7 من أبواب التعقيب، ح 2، حيث قال: </w:t>
      </w:r>
      <w:r w:rsidRPr="006571AC">
        <w:rPr>
          <w:rFonts w:hint="cs"/>
          <w:sz w:val="24"/>
          <w:szCs w:val="24"/>
          <w:rtl/>
        </w:rPr>
        <w:t>«</w:t>
      </w:r>
      <w:r w:rsidRPr="006571AC">
        <w:rPr>
          <w:rFonts w:hint="cs"/>
          <w:sz w:val="27"/>
          <w:rtl/>
        </w:rPr>
        <w:t>...</w:t>
      </w:r>
      <w:r w:rsidRPr="006571AC">
        <w:rPr>
          <w:sz w:val="27"/>
          <w:rtl/>
        </w:rPr>
        <w:t>عن محم</w:t>
      </w:r>
      <w:r w:rsidRPr="006571AC">
        <w:rPr>
          <w:rFonts w:hint="cs"/>
          <w:sz w:val="27"/>
          <w:rtl/>
        </w:rPr>
        <w:t>ّ</w:t>
      </w:r>
      <w:r w:rsidRPr="006571AC">
        <w:rPr>
          <w:sz w:val="27"/>
          <w:rtl/>
        </w:rPr>
        <w:t>د بن مسلم قال</w:t>
      </w:r>
      <w:r w:rsidRPr="006571AC">
        <w:rPr>
          <w:rFonts w:hint="cs"/>
          <w:sz w:val="27"/>
          <w:rtl/>
        </w:rPr>
        <w:t>:</w:t>
      </w:r>
      <w:r w:rsidRPr="006571AC">
        <w:rPr>
          <w:sz w:val="27"/>
          <w:rtl/>
        </w:rPr>
        <w:t xml:space="preserve"> سألت</w:t>
      </w:r>
      <w:r w:rsidRPr="006571AC">
        <w:rPr>
          <w:rFonts w:hint="cs"/>
          <w:sz w:val="27"/>
          <w:rtl/>
        </w:rPr>
        <w:t>ُ</w:t>
      </w:r>
      <w:r w:rsidRPr="006571AC">
        <w:rPr>
          <w:sz w:val="27"/>
          <w:rtl/>
        </w:rPr>
        <w:t xml:space="preserve"> أبا جعفر</w:t>
      </w:r>
      <w:r w:rsidRPr="006571AC">
        <w:rPr>
          <w:rFonts w:ascii="Mosawi" w:hAnsi="Mosawi" w:cs="Mosawi"/>
          <w:sz w:val="22"/>
          <w:szCs w:val="22"/>
          <w:rtl/>
        </w:rPr>
        <w:t>×</w:t>
      </w:r>
      <w:r w:rsidRPr="006571AC">
        <w:rPr>
          <w:sz w:val="27"/>
          <w:rtl/>
        </w:rPr>
        <w:t xml:space="preserve"> عن التسبيح</w:t>
      </w:r>
      <w:r w:rsidR="00B471F7" w:rsidRPr="006571AC">
        <w:rPr>
          <w:rFonts w:hint="cs"/>
          <w:sz w:val="27"/>
          <w:rtl/>
        </w:rPr>
        <w:t>؟</w:t>
      </w:r>
      <w:r w:rsidRPr="006571AC">
        <w:rPr>
          <w:sz w:val="27"/>
          <w:rtl/>
        </w:rPr>
        <w:t xml:space="preserve"> فقال</w:t>
      </w:r>
      <w:r w:rsidRPr="006571AC">
        <w:rPr>
          <w:rFonts w:hint="cs"/>
          <w:sz w:val="27"/>
          <w:rtl/>
        </w:rPr>
        <w:t>:</w:t>
      </w:r>
      <w:r w:rsidRPr="006571AC">
        <w:rPr>
          <w:sz w:val="27"/>
          <w:rtl/>
        </w:rPr>
        <w:t xml:space="preserve"> ما علم</w:t>
      </w:r>
      <w:r w:rsidR="00812C67" w:rsidRPr="006571AC">
        <w:rPr>
          <w:rFonts w:hint="cs"/>
          <w:sz w:val="27"/>
          <w:rtl/>
        </w:rPr>
        <w:t>ْ</w:t>
      </w:r>
      <w:r w:rsidRPr="006571AC">
        <w:rPr>
          <w:sz w:val="27"/>
          <w:rtl/>
        </w:rPr>
        <w:t>ت</w:t>
      </w:r>
      <w:r w:rsidRPr="006571AC">
        <w:rPr>
          <w:rFonts w:hint="cs"/>
          <w:sz w:val="27"/>
          <w:rtl/>
        </w:rPr>
        <w:t>ُ</w:t>
      </w:r>
      <w:r w:rsidRPr="006571AC">
        <w:rPr>
          <w:sz w:val="27"/>
          <w:rtl/>
        </w:rPr>
        <w:t xml:space="preserve"> شيئا</w:t>
      </w:r>
      <w:r w:rsidRPr="006571AC">
        <w:rPr>
          <w:rFonts w:hint="cs"/>
          <w:sz w:val="27"/>
          <w:rtl/>
        </w:rPr>
        <w:t>ً</w:t>
      </w:r>
      <w:r w:rsidRPr="006571AC">
        <w:rPr>
          <w:sz w:val="27"/>
          <w:rtl/>
        </w:rPr>
        <w:t xml:space="preserve"> موظ</w:t>
      </w:r>
      <w:r w:rsidRPr="006571AC">
        <w:rPr>
          <w:rFonts w:hint="cs"/>
          <w:sz w:val="27"/>
          <w:rtl/>
        </w:rPr>
        <w:t>ّ</w:t>
      </w:r>
      <w:r w:rsidRPr="006571AC">
        <w:rPr>
          <w:sz w:val="27"/>
          <w:rtl/>
        </w:rPr>
        <w:t>فا</w:t>
      </w:r>
      <w:r w:rsidRPr="006571AC">
        <w:rPr>
          <w:rFonts w:hint="cs"/>
          <w:sz w:val="27"/>
          <w:rtl/>
        </w:rPr>
        <w:t>ً</w:t>
      </w:r>
      <w:r w:rsidRPr="006571AC">
        <w:rPr>
          <w:sz w:val="27"/>
          <w:rtl/>
        </w:rPr>
        <w:t xml:space="preserve"> غير تسبيح فاطمة</w:t>
      </w:r>
      <w:r w:rsidRPr="006571AC">
        <w:rPr>
          <w:rFonts w:hint="cs"/>
          <w:sz w:val="27"/>
          <w:rtl/>
        </w:rPr>
        <w:t>،</w:t>
      </w:r>
      <w:r w:rsidRPr="006571AC">
        <w:rPr>
          <w:sz w:val="27"/>
          <w:rtl/>
        </w:rPr>
        <w:t xml:space="preserve"> </w:t>
      </w:r>
      <w:r w:rsidRPr="006571AC">
        <w:rPr>
          <w:b/>
          <w:bCs/>
          <w:sz w:val="27"/>
          <w:rtl/>
        </w:rPr>
        <w:t>وعشر مر</w:t>
      </w:r>
      <w:r w:rsidRPr="006571AC">
        <w:rPr>
          <w:rFonts w:hint="cs"/>
          <w:b/>
          <w:bCs/>
          <w:sz w:val="27"/>
          <w:rtl/>
        </w:rPr>
        <w:t>ّ</w:t>
      </w:r>
      <w:r w:rsidRPr="006571AC">
        <w:rPr>
          <w:b/>
          <w:bCs/>
          <w:sz w:val="27"/>
          <w:rtl/>
        </w:rPr>
        <w:t>ات بعد الفجر</w:t>
      </w:r>
      <w:r w:rsidRPr="006571AC">
        <w:rPr>
          <w:rFonts w:hint="cs"/>
          <w:sz w:val="27"/>
          <w:rtl/>
        </w:rPr>
        <w:t>...</w:t>
      </w:r>
      <w:r w:rsidR="00812C67" w:rsidRPr="006571AC">
        <w:rPr>
          <w:rFonts w:hint="cs"/>
          <w:sz w:val="27"/>
          <w:rtl/>
        </w:rPr>
        <w:t xml:space="preserve">، </w:t>
      </w:r>
      <w:r w:rsidRPr="006571AC">
        <w:rPr>
          <w:sz w:val="27"/>
          <w:rtl/>
        </w:rPr>
        <w:t>الحديث</w:t>
      </w:r>
      <w:r w:rsidRPr="006571AC">
        <w:rPr>
          <w:rFonts w:hint="cs"/>
          <w:sz w:val="24"/>
          <w:szCs w:val="24"/>
          <w:rtl/>
        </w:rPr>
        <w:t>»</w:t>
      </w:r>
      <w:r w:rsidRPr="006571AC">
        <w:rPr>
          <w:sz w:val="27"/>
          <w:vertAlign w:val="superscript"/>
          <w:rtl/>
        </w:rPr>
        <w:t>(</w:t>
      </w:r>
      <w:r w:rsidRPr="006571AC">
        <w:rPr>
          <w:rStyle w:val="ac"/>
          <w:sz w:val="27"/>
          <w:rtl/>
        </w:rPr>
        <w:endnoteReference w:id="874"/>
      </w:r>
      <w:r w:rsidRPr="006571AC">
        <w:rPr>
          <w:sz w:val="27"/>
          <w:vertAlign w:val="superscript"/>
          <w:rtl/>
        </w:rPr>
        <w:t>)</w:t>
      </w:r>
      <w:r w:rsidRPr="006571AC">
        <w:rPr>
          <w:rFonts w:hint="cs"/>
          <w:sz w:val="27"/>
          <w:rtl/>
        </w:rPr>
        <w:t>.</w:t>
      </w:r>
    </w:p>
    <w:p w:rsidR="008A3F20" w:rsidRPr="006571AC" w:rsidRDefault="008A3F20" w:rsidP="00B471F7">
      <w:pPr>
        <w:spacing w:line="420" w:lineRule="exact"/>
        <w:rPr>
          <w:sz w:val="27"/>
          <w:rtl/>
        </w:rPr>
      </w:pPr>
      <w:r w:rsidRPr="006571AC">
        <w:rPr>
          <w:rFonts w:hint="cs"/>
          <w:sz w:val="27"/>
          <w:rtl/>
        </w:rPr>
        <w:t xml:space="preserve">وبالرجوع إلى مصدر الحديث،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تبيّ</w:t>
      </w:r>
      <w:r w:rsidR="00812C67" w:rsidRPr="006571AC">
        <w:rPr>
          <w:rFonts w:hint="cs"/>
          <w:sz w:val="27"/>
          <w:rtl/>
        </w:rPr>
        <w:t>َ</w:t>
      </w:r>
      <w:r w:rsidRPr="006571AC">
        <w:rPr>
          <w:rFonts w:hint="cs"/>
          <w:sz w:val="27"/>
          <w:rtl/>
        </w:rPr>
        <w:t xml:space="preserve">ن أنّ تتمّة الحديث هي:‌ </w:t>
      </w:r>
      <w:r w:rsidRPr="006571AC">
        <w:rPr>
          <w:rFonts w:hint="cs"/>
          <w:sz w:val="24"/>
          <w:szCs w:val="24"/>
          <w:rtl/>
        </w:rPr>
        <w:t>«</w:t>
      </w:r>
      <w:r w:rsidRPr="006571AC">
        <w:rPr>
          <w:sz w:val="27"/>
          <w:rtl/>
        </w:rPr>
        <w:t>وعشر مر</w:t>
      </w:r>
      <w:r w:rsidRPr="006571AC">
        <w:rPr>
          <w:rFonts w:hint="cs"/>
          <w:sz w:val="27"/>
          <w:rtl/>
        </w:rPr>
        <w:t>ّ</w:t>
      </w:r>
      <w:r w:rsidRPr="006571AC">
        <w:rPr>
          <w:sz w:val="27"/>
          <w:rtl/>
        </w:rPr>
        <w:t>ات بعد الفجر تقول: لا إله إلا</w:t>
      </w:r>
      <w:r w:rsidRPr="006571AC">
        <w:rPr>
          <w:rFonts w:hint="cs"/>
          <w:sz w:val="27"/>
          <w:rtl/>
        </w:rPr>
        <w:t>ّ</w:t>
      </w:r>
      <w:r w:rsidRPr="006571AC">
        <w:rPr>
          <w:sz w:val="27"/>
          <w:rtl/>
        </w:rPr>
        <w:t xml:space="preserve"> الله وحده لا شريك له، له الملك وله الحمد</w:t>
      </w:r>
      <w:r w:rsidRPr="006571AC">
        <w:rPr>
          <w:rFonts w:hint="cs"/>
          <w:sz w:val="27"/>
          <w:rtl/>
        </w:rPr>
        <w:t>،</w:t>
      </w:r>
      <w:r w:rsidRPr="006571AC">
        <w:rPr>
          <w:sz w:val="27"/>
          <w:rtl/>
        </w:rPr>
        <w:t xml:space="preserve"> يحيي ويميت</w:t>
      </w:r>
      <w:r w:rsidRPr="006571AC">
        <w:rPr>
          <w:rFonts w:hint="cs"/>
          <w:sz w:val="27"/>
          <w:rtl/>
        </w:rPr>
        <w:t xml:space="preserve">، </w:t>
      </w:r>
      <w:r w:rsidRPr="006571AC">
        <w:rPr>
          <w:sz w:val="27"/>
          <w:rtl/>
        </w:rPr>
        <w:t>وهو على كل</w:t>
      </w:r>
      <w:r w:rsidRPr="006571AC">
        <w:rPr>
          <w:rFonts w:hint="cs"/>
          <w:sz w:val="27"/>
          <w:rtl/>
        </w:rPr>
        <w:t>ّ</w:t>
      </w:r>
      <w:r w:rsidRPr="006571AC">
        <w:rPr>
          <w:sz w:val="27"/>
          <w:rtl/>
        </w:rPr>
        <w:t xml:space="preserve"> ش</w:t>
      </w:r>
      <w:r w:rsidR="00B471F7" w:rsidRPr="006571AC">
        <w:rPr>
          <w:rFonts w:hint="cs"/>
          <w:sz w:val="27"/>
          <w:rtl/>
        </w:rPr>
        <w:t>يءٍ</w:t>
      </w:r>
      <w:r w:rsidRPr="006571AC">
        <w:rPr>
          <w:sz w:val="27"/>
          <w:rtl/>
        </w:rPr>
        <w:t xml:space="preserve"> قدير</w:t>
      </w:r>
      <w:r w:rsidR="00812C67" w:rsidRPr="006571AC">
        <w:rPr>
          <w:rFonts w:hint="cs"/>
          <w:sz w:val="27"/>
          <w:rtl/>
        </w:rPr>
        <w:t>ٌ</w:t>
      </w:r>
      <w:r w:rsidRPr="006571AC">
        <w:rPr>
          <w:rFonts w:hint="cs"/>
          <w:sz w:val="27"/>
          <w:rtl/>
        </w:rPr>
        <w:t>،</w:t>
      </w:r>
      <w:r w:rsidRPr="006571AC">
        <w:rPr>
          <w:sz w:val="27"/>
          <w:rtl/>
        </w:rPr>
        <w:t xml:space="preserve"> وي</w:t>
      </w:r>
      <w:r w:rsidRPr="006571AC">
        <w:rPr>
          <w:rFonts w:hint="cs"/>
          <w:sz w:val="27"/>
          <w:rtl/>
        </w:rPr>
        <w:t>ُ</w:t>
      </w:r>
      <w:r w:rsidRPr="006571AC">
        <w:rPr>
          <w:sz w:val="27"/>
          <w:rtl/>
        </w:rPr>
        <w:t>سب</w:t>
      </w:r>
      <w:r w:rsidRPr="006571AC">
        <w:rPr>
          <w:rFonts w:hint="cs"/>
          <w:sz w:val="27"/>
          <w:rtl/>
        </w:rPr>
        <w:t>ِّ</w:t>
      </w:r>
      <w:r w:rsidRPr="006571AC">
        <w:rPr>
          <w:sz w:val="27"/>
          <w:rtl/>
        </w:rPr>
        <w:t>ح ما شاء تطو</w:t>
      </w:r>
      <w:r w:rsidRPr="006571AC">
        <w:rPr>
          <w:rFonts w:hint="cs"/>
          <w:sz w:val="27"/>
          <w:rtl/>
        </w:rPr>
        <w:t>ّ</w:t>
      </w:r>
      <w:r w:rsidR="00812C67" w:rsidRPr="006571AC">
        <w:rPr>
          <w:rFonts w:hint="cs"/>
          <w:sz w:val="27"/>
          <w:rtl/>
        </w:rPr>
        <w:t>ُ</w:t>
      </w:r>
      <w:r w:rsidRPr="006571AC">
        <w:rPr>
          <w:sz w:val="27"/>
          <w:rtl/>
        </w:rPr>
        <w:t>عا</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75"/>
      </w:r>
      <w:r w:rsidRPr="006571AC">
        <w:rPr>
          <w:sz w:val="27"/>
          <w:vertAlign w:val="superscript"/>
          <w:rtl/>
        </w:rPr>
        <w:t>)</w:t>
      </w:r>
      <w:r w:rsidRPr="006571AC">
        <w:rPr>
          <w:sz w:val="27"/>
          <w:rtl/>
        </w:rPr>
        <w:t>.</w:t>
      </w:r>
    </w:p>
    <w:p w:rsidR="008A3F20" w:rsidRPr="006571AC" w:rsidRDefault="008A3F20" w:rsidP="00B471F7">
      <w:pPr>
        <w:spacing w:line="420" w:lineRule="exact"/>
        <w:rPr>
          <w:sz w:val="27"/>
          <w:rtl/>
        </w:rPr>
      </w:pPr>
      <w:r w:rsidRPr="006571AC">
        <w:rPr>
          <w:rFonts w:hint="cs"/>
          <w:sz w:val="27"/>
          <w:rtl/>
        </w:rPr>
        <w:t xml:space="preserve">فلاحِظْ كم كان مشوِّهاً للرواية قوله:‌ </w:t>
      </w:r>
      <w:r w:rsidRPr="006571AC">
        <w:rPr>
          <w:rFonts w:hint="cs"/>
          <w:sz w:val="24"/>
          <w:szCs w:val="24"/>
          <w:rtl/>
        </w:rPr>
        <w:t>«</w:t>
      </w:r>
      <w:r w:rsidRPr="006571AC">
        <w:rPr>
          <w:rFonts w:hint="cs"/>
          <w:sz w:val="27"/>
          <w:rtl/>
        </w:rPr>
        <w:t>وعشر مرّات بعد الفجر...</w:t>
      </w:r>
      <w:r w:rsidR="00812C67" w:rsidRPr="006571AC">
        <w:rPr>
          <w:rFonts w:hint="cs"/>
          <w:sz w:val="27"/>
          <w:rtl/>
        </w:rPr>
        <w:t xml:space="preserve">، </w:t>
      </w:r>
      <w:r w:rsidRPr="006571AC">
        <w:rPr>
          <w:rFonts w:hint="cs"/>
          <w:sz w:val="27"/>
          <w:rtl/>
        </w:rPr>
        <w:t>الحديث</w:t>
      </w:r>
      <w:r w:rsidRPr="006571AC">
        <w:rPr>
          <w:rFonts w:hint="cs"/>
          <w:sz w:val="24"/>
          <w:szCs w:val="24"/>
          <w:rtl/>
        </w:rPr>
        <w:t>»</w:t>
      </w:r>
      <w:r w:rsidRPr="006571AC">
        <w:rPr>
          <w:rFonts w:hint="cs"/>
          <w:sz w:val="27"/>
          <w:rtl/>
        </w:rPr>
        <w:t xml:space="preserve">،‌ ولو أنّه نقل من الرواية إلى قوله: </w:t>
      </w:r>
      <w:r w:rsidRPr="006571AC">
        <w:rPr>
          <w:rFonts w:hint="cs"/>
          <w:sz w:val="24"/>
          <w:szCs w:val="24"/>
          <w:rtl/>
        </w:rPr>
        <w:t>«</w:t>
      </w:r>
      <w:r w:rsidRPr="006571AC">
        <w:rPr>
          <w:rFonts w:hint="cs"/>
          <w:sz w:val="27"/>
          <w:rtl/>
        </w:rPr>
        <w:t>تسبيح فاطمة</w:t>
      </w:r>
      <w:r w:rsidRPr="006571AC">
        <w:rPr>
          <w:rFonts w:hint="cs"/>
          <w:sz w:val="24"/>
          <w:szCs w:val="24"/>
          <w:rtl/>
        </w:rPr>
        <w:t>»</w:t>
      </w:r>
      <w:r w:rsidRPr="006571AC">
        <w:rPr>
          <w:rFonts w:hint="cs"/>
          <w:sz w:val="27"/>
          <w:rtl/>
        </w:rPr>
        <w:t xml:space="preserve">، ثمّ قال: </w:t>
      </w:r>
      <w:r w:rsidRPr="006571AC">
        <w:rPr>
          <w:rFonts w:hint="cs"/>
          <w:sz w:val="24"/>
          <w:szCs w:val="24"/>
          <w:rtl/>
        </w:rPr>
        <w:t>«</w:t>
      </w:r>
      <w:r w:rsidRPr="006571AC">
        <w:rPr>
          <w:rFonts w:hint="cs"/>
          <w:sz w:val="27"/>
          <w:rtl/>
        </w:rPr>
        <w:t>الحديث</w:t>
      </w:r>
      <w:r w:rsidRPr="006571AC">
        <w:rPr>
          <w:rFonts w:hint="cs"/>
          <w:sz w:val="24"/>
          <w:szCs w:val="24"/>
          <w:rtl/>
        </w:rPr>
        <w:t>»</w:t>
      </w:r>
      <w:r w:rsidRPr="006571AC">
        <w:rPr>
          <w:rFonts w:hint="cs"/>
          <w:sz w:val="27"/>
          <w:rtl/>
        </w:rPr>
        <w:t>، لكان أفضل وأحسن.</w:t>
      </w:r>
    </w:p>
    <w:p w:rsidR="00420F2E" w:rsidRPr="006571AC" w:rsidRDefault="00420F2E" w:rsidP="00420F2E">
      <w:pPr>
        <w:pStyle w:val="31"/>
        <w:rPr>
          <w:color w:val="auto"/>
          <w:sz w:val="26"/>
          <w:rtl/>
        </w:rPr>
      </w:pPr>
      <w:bookmarkStart w:id="557" w:name="_Toc114164915"/>
      <w:r w:rsidRPr="006571AC">
        <w:rPr>
          <w:rStyle w:val="9Char0"/>
          <w:rFonts w:ascii="Times" w:hAnsi="Times" w:cs="Abz-3 (Yagut)" w:hint="cs"/>
          <w:bCs/>
          <w:color w:val="auto"/>
          <w:sz w:val="26"/>
          <w:szCs w:val="26"/>
          <w:rtl/>
        </w:rPr>
        <w:lastRenderedPageBreak/>
        <w:t>2ـ الخطأ في الفَهْم</w:t>
      </w:r>
      <w:bookmarkEnd w:id="557"/>
    </w:p>
    <w:p w:rsidR="008A3F20" w:rsidRPr="006571AC" w:rsidRDefault="008A3F20" w:rsidP="000C6F2A">
      <w:pPr>
        <w:rPr>
          <w:sz w:val="27"/>
          <w:rtl/>
        </w:rPr>
      </w:pPr>
      <w:r w:rsidRPr="006571AC">
        <w:rPr>
          <w:rFonts w:hint="cs"/>
          <w:sz w:val="24"/>
          <w:szCs w:val="24"/>
          <w:rtl/>
        </w:rPr>
        <w:t>«</w:t>
      </w:r>
      <w:r w:rsidRPr="006571AC">
        <w:rPr>
          <w:rFonts w:hint="cs"/>
          <w:sz w:val="27"/>
          <w:rtl/>
        </w:rPr>
        <w:t>اعتُرض على منهج الشيخ الحُرّ</w:t>
      </w:r>
      <w:r w:rsidRPr="006571AC">
        <w:rPr>
          <w:rFonts w:ascii="Mosawi" w:hAnsi="Mosawi" w:cs="Mosawi"/>
          <w:sz w:val="22"/>
          <w:szCs w:val="22"/>
          <w:rtl/>
        </w:rPr>
        <w:t>&amp;</w:t>
      </w:r>
      <w:r w:rsidRPr="006571AC">
        <w:rPr>
          <w:rFonts w:hint="cs"/>
          <w:sz w:val="27"/>
          <w:rtl/>
        </w:rPr>
        <w:t xml:space="preserve"> في تقطيع متن الحديث بأنّه </w:t>
      </w:r>
      <w:r w:rsidRPr="006571AC">
        <w:rPr>
          <w:rStyle w:val="6Char"/>
          <w:rFonts w:hint="cs"/>
          <w:color w:val="auto"/>
          <w:sz w:val="27"/>
          <w:szCs w:val="27"/>
          <w:rtl/>
        </w:rPr>
        <w:t>ر</w:t>
      </w:r>
      <w:r w:rsidR="00812C67" w:rsidRPr="006571AC">
        <w:rPr>
          <w:rStyle w:val="6Char"/>
          <w:rFonts w:hint="cs"/>
          <w:color w:val="auto"/>
          <w:sz w:val="27"/>
          <w:szCs w:val="27"/>
          <w:rtl/>
        </w:rPr>
        <w:t>ُ</w:t>
      </w:r>
      <w:r w:rsidRPr="006571AC">
        <w:rPr>
          <w:rStyle w:val="6Char"/>
          <w:rFonts w:hint="cs"/>
          <w:color w:val="auto"/>
          <w:sz w:val="27"/>
          <w:szCs w:val="27"/>
          <w:rtl/>
        </w:rPr>
        <w:t>ب</w:t>
      </w:r>
      <w:r w:rsidR="00812C67" w:rsidRPr="006571AC">
        <w:rPr>
          <w:rStyle w:val="6Char"/>
          <w:rFonts w:hint="cs"/>
          <w:color w:val="auto"/>
          <w:sz w:val="27"/>
          <w:szCs w:val="27"/>
          <w:rtl/>
        </w:rPr>
        <w:t>َ</w:t>
      </w:r>
      <w:r w:rsidRPr="006571AC">
        <w:rPr>
          <w:rStyle w:val="6Char"/>
          <w:rFonts w:hint="cs"/>
          <w:color w:val="auto"/>
          <w:sz w:val="27"/>
          <w:szCs w:val="27"/>
          <w:rtl/>
        </w:rPr>
        <w:t>ما يكون في سائر فقرات الحديث ما له د</w:t>
      </w:r>
      <w:r w:rsidR="00812C67" w:rsidRPr="006571AC">
        <w:rPr>
          <w:rStyle w:val="6Char"/>
          <w:rFonts w:hint="cs"/>
          <w:color w:val="auto"/>
          <w:sz w:val="27"/>
          <w:szCs w:val="27"/>
          <w:rtl/>
        </w:rPr>
        <w:t>َ</w:t>
      </w:r>
      <w:r w:rsidRPr="006571AC">
        <w:rPr>
          <w:rStyle w:val="6Char"/>
          <w:rFonts w:hint="cs"/>
          <w:color w:val="auto"/>
          <w:sz w:val="27"/>
          <w:szCs w:val="27"/>
          <w:rtl/>
        </w:rPr>
        <w:t>خ</w:t>
      </w:r>
      <w:r w:rsidR="00812C67" w:rsidRPr="006571AC">
        <w:rPr>
          <w:rStyle w:val="6Char"/>
          <w:rFonts w:hint="cs"/>
          <w:color w:val="auto"/>
          <w:sz w:val="27"/>
          <w:szCs w:val="27"/>
          <w:rtl/>
        </w:rPr>
        <w:t>ْ</w:t>
      </w:r>
      <w:r w:rsidRPr="006571AC">
        <w:rPr>
          <w:rStyle w:val="6Char"/>
          <w:rFonts w:hint="cs"/>
          <w:color w:val="auto"/>
          <w:sz w:val="27"/>
          <w:szCs w:val="27"/>
          <w:rtl/>
        </w:rPr>
        <w:t>لٌ في ف</w:t>
      </w:r>
      <w:r w:rsidR="00420F2E" w:rsidRPr="006571AC">
        <w:rPr>
          <w:rStyle w:val="6Char"/>
          <w:rFonts w:hint="cs"/>
          <w:color w:val="auto"/>
          <w:sz w:val="27"/>
          <w:szCs w:val="27"/>
          <w:rtl/>
        </w:rPr>
        <w:t>َ</w:t>
      </w:r>
      <w:r w:rsidRPr="006571AC">
        <w:rPr>
          <w:rStyle w:val="6Char"/>
          <w:rFonts w:hint="cs"/>
          <w:color w:val="auto"/>
          <w:sz w:val="27"/>
          <w:szCs w:val="27"/>
          <w:rtl/>
        </w:rPr>
        <w:t>ه</w:t>
      </w:r>
      <w:r w:rsidR="00420F2E" w:rsidRPr="006571AC">
        <w:rPr>
          <w:rStyle w:val="6Char"/>
          <w:rFonts w:hint="cs"/>
          <w:color w:val="auto"/>
          <w:sz w:val="27"/>
          <w:szCs w:val="27"/>
          <w:rtl/>
        </w:rPr>
        <w:t>ْ</w:t>
      </w:r>
      <w:r w:rsidRPr="006571AC">
        <w:rPr>
          <w:rStyle w:val="6Char"/>
          <w:rFonts w:hint="cs"/>
          <w:color w:val="auto"/>
          <w:sz w:val="27"/>
          <w:szCs w:val="27"/>
          <w:rtl/>
        </w:rPr>
        <w:t>م المراد الفقهيّ</w:t>
      </w:r>
      <w:r w:rsidRPr="006571AC">
        <w:rPr>
          <w:rFonts w:hint="cs"/>
          <w:sz w:val="24"/>
          <w:szCs w:val="24"/>
          <w:rtl/>
        </w:rPr>
        <w:t>»</w:t>
      </w:r>
      <w:r w:rsidRPr="006571AC">
        <w:rPr>
          <w:sz w:val="27"/>
          <w:vertAlign w:val="superscript"/>
          <w:rtl/>
        </w:rPr>
        <w:t>(</w:t>
      </w:r>
      <w:r w:rsidRPr="006571AC">
        <w:rPr>
          <w:rStyle w:val="ac"/>
          <w:sz w:val="27"/>
          <w:rtl/>
        </w:rPr>
        <w:endnoteReference w:id="876"/>
      </w:r>
      <w:r w:rsidRPr="006571AC">
        <w:rPr>
          <w:sz w:val="27"/>
          <w:vertAlign w:val="superscript"/>
          <w:rtl/>
        </w:rPr>
        <w:t>)</w:t>
      </w:r>
      <w:r w:rsidRPr="006571AC">
        <w:rPr>
          <w:rFonts w:hint="cs"/>
          <w:sz w:val="27"/>
          <w:rtl/>
        </w:rPr>
        <w:t xml:space="preserve">، وبالتالي فإنّ </w:t>
      </w:r>
      <w:r w:rsidRPr="006571AC">
        <w:rPr>
          <w:rStyle w:val="6Char"/>
          <w:rFonts w:hint="cs"/>
          <w:color w:val="auto"/>
          <w:sz w:val="27"/>
          <w:szCs w:val="27"/>
          <w:rtl/>
        </w:rPr>
        <w:t>سياسة تقطيع الحديث قد تؤدّي إلى خطأ فتوى الفقهاء</w:t>
      </w:r>
      <w:r w:rsidRPr="006571AC">
        <w:rPr>
          <w:rFonts w:hint="cs"/>
          <w:sz w:val="27"/>
          <w:rtl/>
        </w:rPr>
        <w:t>.</w:t>
      </w:r>
    </w:p>
    <w:p w:rsidR="008A3F20" w:rsidRPr="006571AC" w:rsidRDefault="008A3F20" w:rsidP="00252717">
      <w:pPr>
        <w:spacing w:line="430" w:lineRule="exact"/>
        <w:rPr>
          <w:sz w:val="27"/>
          <w:rtl/>
        </w:rPr>
      </w:pPr>
    </w:p>
    <w:p w:rsidR="008A3F20" w:rsidRPr="006571AC" w:rsidRDefault="008A3F20" w:rsidP="006A551D">
      <w:pPr>
        <w:pStyle w:val="31"/>
        <w:rPr>
          <w:color w:val="auto"/>
          <w:rtl/>
        </w:rPr>
      </w:pPr>
      <w:bookmarkStart w:id="558" w:name="_Toc171512876"/>
      <w:bookmarkStart w:id="559" w:name="_Toc114164916"/>
      <w:r w:rsidRPr="006571AC">
        <w:rPr>
          <w:rFonts w:hint="cs"/>
          <w:color w:val="auto"/>
          <w:rtl/>
        </w:rPr>
        <w:t>الجواب عن هذا الإشكال</w:t>
      </w:r>
      <w:bookmarkEnd w:id="558"/>
      <w:bookmarkEnd w:id="559"/>
    </w:p>
    <w:p w:rsidR="008A3F20" w:rsidRPr="006571AC" w:rsidRDefault="008A3F20" w:rsidP="000C6F2A">
      <w:pPr>
        <w:rPr>
          <w:sz w:val="27"/>
          <w:rtl/>
        </w:rPr>
      </w:pPr>
      <w:r w:rsidRPr="006571AC">
        <w:rPr>
          <w:rFonts w:hint="cs"/>
          <w:b/>
          <w:bCs/>
          <w:sz w:val="27"/>
          <w:rtl/>
        </w:rPr>
        <w:t>وقد أُجيب عن هذا الاعتراض</w:t>
      </w:r>
      <w:r w:rsidRPr="006571AC">
        <w:rPr>
          <w:rFonts w:hint="cs"/>
          <w:sz w:val="27"/>
          <w:rtl/>
        </w:rPr>
        <w:t xml:space="preserve"> بعدّة أجوبة:</w:t>
      </w:r>
    </w:p>
    <w:p w:rsidR="008A3F20" w:rsidRPr="006571AC" w:rsidRDefault="008A3F20" w:rsidP="000C6F2A">
      <w:pPr>
        <w:rPr>
          <w:sz w:val="27"/>
          <w:rtl/>
        </w:rPr>
      </w:pPr>
      <w:r w:rsidRPr="006571AC">
        <w:rPr>
          <w:rFonts w:hint="cs"/>
          <w:b/>
          <w:bCs/>
          <w:sz w:val="27"/>
          <w:rtl/>
        </w:rPr>
        <w:t>أوّلاً:</w:t>
      </w:r>
      <w:r w:rsidRPr="006571AC">
        <w:rPr>
          <w:rFonts w:hint="cs"/>
          <w:sz w:val="27"/>
          <w:rtl/>
        </w:rPr>
        <w:t xml:space="preserve"> </w:t>
      </w:r>
      <w:r w:rsidRPr="006571AC">
        <w:rPr>
          <w:rFonts w:hint="cs"/>
          <w:sz w:val="24"/>
          <w:szCs w:val="24"/>
          <w:rtl/>
        </w:rPr>
        <w:t>«</w:t>
      </w:r>
      <w:r w:rsidRPr="006571AC">
        <w:rPr>
          <w:rFonts w:hint="cs"/>
          <w:sz w:val="27"/>
          <w:rtl/>
        </w:rPr>
        <w:t xml:space="preserve">إنّ </w:t>
      </w:r>
      <w:r w:rsidRPr="006571AC">
        <w:rPr>
          <w:rFonts w:hint="cs"/>
          <w:b/>
          <w:bCs/>
          <w:sz w:val="27"/>
          <w:rtl/>
        </w:rPr>
        <w:t>سياسة التقطيع إنّما كانت مراعاةً للاختصار</w:t>
      </w:r>
      <w:r w:rsidRPr="006571AC">
        <w:rPr>
          <w:rFonts w:hint="cs"/>
          <w:sz w:val="27"/>
          <w:rtl/>
        </w:rPr>
        <w:t>، الذي هو غرضٌ رئيسٌ للمؤلِّف.</w:t>
      </w:r>
    </w:p>
    <w:p w:rsidR="008A3F20" w:rsidRPr="006571AC" w:rsidRDefault="008A3F20" w:rsidP="000C6F2A">
      <w:pPr>
        <w:rPr>
          <w:sz w:val="27"/>
          <w:rtl/>
        </w:rPr>
      </w:pPr>
      <w:r w:rsidRPr="006571AC">
        <w:rPr>
          <w:sz w:val="27"/>
          <w:rtl/>
        </w:rPr>
        <w:t>فلو التز</w:t>
      </w:r>
      <w:r w:rsidR="00252717" w:rsidRPr="006571AC">
        <w:rPr>
          <w:rFonts w:hint="cs"/>
          <w:sz w:val="27"/>
          <w:rtl/>
        </w:rPr>
        <w:t>َ</w:t>
      </w:r>
      <w:r w:rsidRPr="006571AC">
        <w:rPr>
          <w:sz w:val="27"/>
          <w:rtl/>
        </w:rPr>
        <w:t>م</w:t>
      </w:r>
      <w:r w:rsidR="00252717" w:rsidRPr="006571AC">
        <w:rPr>
          <w:rFonts w:hint="cs"/>
          <w:sz w:val="27"/>
          <w:rtl/>
        </w:rPr>
        <w:t>ْ</w:t>
      </w:r>
      <w:r w:rsidRPr="006571AC">
        <w:rPr>
          <w:sz w:val="27"/>
          <w:rtl/>
        </w:rPr>
        <w:t>نا بمنهج المؤل</w:t>
      </w:r>
      <w:r w:rsidRPr="006571AC">
        <w:rPr>
          <w:rFonts w:hint="cs"/>
          <w:sz w:val="27"/>
          <w:rtl/>
        </w:rPr>
        <w:t>ِّ</w:t>
      </w:r>
      <w:r w:rsidRPr="006571AC">
        <w:rPr>
          <w:sz w:val="27"/>
          <w:rtl/>
        </w:rPr>
        <w:t>ف</w:t>
      </w:r>
      <w:r w:rsidRPr="006571AC">
        <w:rPr>
          <w:rFonts w:ascii="Mosawi" w:hAnsi="Mosawi" w:cs="Mosawi"/>
          <w:sz w:val="22"/>
          <w:szCs w:val="22"/>
          <w:rtl/>
        </w:rPr>
        <w:t>&amp;</w:t>
      </w:r>
      <w:r w:rsidRPr="006571AC">
        <w:rPr>
          <w:sz w:val="27"/>
          <w:rtl/>
        </w:rPr>
        <w:t xml:space="preserve"> في صغر حجم الكتاب، لم يكن لنا طريق</w:t>
      </w:r>
      <w:r w:rsidRPr="006571AC">
        <w:rPr>
          <w:rFonts w:hint="cs"/>
          <w:sz w:val="27"/>
          <w:rtl/>
        </w:rPr>
        <w:t>ٌ</w:t>
      </w:r>
      <w:r w:rsidRPr="006571AC">
        <w:rPr>
          <w:sz w:val="27"/>
          <w:rtl/>
        </w:rPr>
        <w:t xml:space="preserve"> صحيح</w:t>
      </w:r>
      <w:r w:rsidRPr="006571AC">
        <w:rPr>
          <w:rFonts w:hint="cs"/>
          <w:sz w:val="27"/>
          <w:rtl/>
        </w:rPr>
        <w:t>ٌ</w:t>
      </w:r>
      <w:r w:rsidRPr="006571AC">
        <w:rPr>
          <w:sz w:val="27"/>
          <w:rtl/>
        </w:rPr>
        <w:t xml:space="preserve"> مقبول</w:t>
      </w:r>
      <w:r w:rsidRPr="006571AC">
        <w:rPr>
          <w:rFonts w:hint="cs"/>
          <w:sz w:val="27"/>
          <w:rtl/>
        </w:rPr>
        <w:t>ٌ</w:t>
      </w:r>
      <w:r w:rsidRPr="006571AC">
        <w:rPr>
          <w:sz w:val="27"/>
          <w:rtl/>
        </w:rPr>
        <w:t xml:space="preserve"> إلا</w:t>
      </w:r>
      <w:r w:rsidRPr="006571AC">
        <w:rPr>
          <w:rFonts w:hint="cs"/>
          <w:sz w:val="27"/>
          <w:rtl/>
        </w:rPr>
        <w:t>ّ</w:t>
      </w:r>
      <w:r w:rsidRPr="006571AC">
        <w:rPr>
          <w:sz w:val="27"/>
          <w:rtl/>
        </w:rPr>
        <w:t xml:space="preserve"> ما قام به من التقطيع</w:t>
      </w:r>
      <w:r w:rsidRPr="006571AC">
        <w:rPr>
          <w:rFonts w:hint="cs"/>
          <w:sz w:val="24"/>
          <w:szCs w:val="24"/>
          <w:rtl/>
        </w:rPr>
        <w:t>»</w:t>
      </w:r>
      <w:r w:rsidRPr="006571AC">
        <w:rPr>
          <w:sz w:val="27"/>
          <w:vertAlign w:val="superscript"/>
          <w:rtl/>
        </w:rPr>
        <w:t>(</w:t>
      </w:r>
      <w:r w:rsidRPr="006571AC">
        <w:rPr>
          <w:rStyle w:val="ac"/>
          <w:sz w:val="27"/>
          <w:rtl/>
        </w:rPr>
        <w:endnoteReference w:id="877"/>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b/>
          <w:bCs/>
          <w:sz w:val="27"/>
          <w:rtl/>
        </w:rPr>
        <w:t>وثانياً:</w:t>
      </w:r>
      <w:r w:rsidRPr="006571AC">
        <w:rPr>
          <w:rFonts w:hint="cs"/>
          <w:sz w:val="27"/>
          <w:rtl/>
        </w:rPr>
        <w:t xml:space="preserve"> </w:t>
      </w:r>
      <w:r w:rsidRPr="006571AC">
        <w:rPr>
          <w:rFonts w:hint="cs"/>
          <w:sz w:val="24"/>
          <w:szCs w:val="24"/>
          <w:rtl/>
        </w:rPr>
        <w:t>«</w:t>
      </w:r>
      <w:r w:rsidRPr="006571AC">
        <w:rPr>
          <w:rFonts w:hint="cs"/>
          <w:sz w:val="27"/>
          <w:rtl/>
        </w:rPr>
        <w:t xml:space="preserve">إنّ </w:t>
      </w:r>
      <w:r w:rsidRPr="006571AC">
        <w:rPr>
          <w:rFonts w:hint="cs"/>
          <w:b/>
          <w:bCs/>
          <w:sz w:val="27"/>
          <w:rtl/>
        </w:rPr>
        <w:t>المؤلِّف قد صرَّح بالتزام سياسة التقطيع هذه</w:t>
      </w:r>
      <w:r w:rsidRPr="006571AC">
        <w:rPr>
          <w:sz w:val="27"/>
          <w:vertAlign w:val="superscript"/>
          <w:rtl/>
        </w:rPr>
        <w:t>(</w:t>
      </w:r>
      <w:r w:rsidRPr="006571AC">
        <w:rPr>
          <w:rStyle w:val="ac"/>
          <w:sz w:val="27"/>
          <w:rtl/>
        </w:rPr>
        <w:endnoteReference w:id="878"/>
      </w:r>
      <w:r w:rsidRPr="006571AC">
        <w:rPr>
          <w:sz w:val="27"/>
          <w:vertAlign w:val="superscript"/>
          <w:rtl/>
        </w:rPr>
        <w:t>)</w:t>
      </w:r>
      <w:r w:rsidRPr="006571AC">
        <w:rPr>
          <w:rFonts w:hint="cs"/>
          <w:sz w:val="27"/>
          <w:rtl/>
        </w:rPr>
        <w:t xml:space="preserve">، وبنى عليها بنيان كتابه. </w:t>
      </w:r>
    </w:p>
    <w:p w:rsidR="008A3F20" w:rsidRPr="006571AC" w:rsidRDefault="008A3F20" w:rsidP="000C6F2A">
      <w:pPr>
        <w:rPr>
          <w:sz w:val="27"/>
          <w:rtl/>
        </w:rPr>
      </w:pPr>
      <w:r w:rsidRPr="006571AC">
        <w:rPr>
          <w:rFonts w:hint="cs"/>
          <w:b/>
          <w:bCs/>
          <w:sz w:val="27"/>
          <w:rtl/>
        </w:rPr>
        <w:t>ومع ذكره</w:t>
      </w:r>
      <w:r w:rsidRPr="006571AC">
        <w:rPr>
          <w:b/>
          <w:bCs/>
          <w:sz w:val="27"/>
          <w:rtl/>
        </w:rPr>
        <w:t xml:space="preserve"> مصدر الحديث، وتعيين محل</w:t>
      </w:r>
      <w:r w:rsidRPr="006571AC">
        <w:rPr>
          <w:rFonts w:hint="cs"/>
          <w:b/>
          <w:bCs/>
          <w:sz w:val="27"/>
          <w:rtl/>
        </w:rPr>
        <w:t>ّ</w:t>
      </w:r>
      <w:r w:rsidRPr="006571AC">
        <w:rPr>
          <w:b/>
          <w:bCs/>
          <w:sz w:val="27"/>
          <w:rtl/>
        </w:rPr>
        <w:t xml:space="preserve"> الحديث في مصادره، </w:t>
      </w:r>
      <w:r w:rsidRPr="006571AC">
        <w:rPr>
          <w:rFonts w:hint="cs"/>
          <w:b/>
          <w:bCs/>
          <w:sz w:val="27"/>
          <w:rtl/>
        </w:rPr>
        <w:t>و</w:t>
      </w:r>
      <w:r w:rsidRPr="006571AC">
        <w:rPr>
          <w:b/>
          <w:bCs/>
          <w:sz w:val="27"/>
          <w:rtl/>
        </w:rPr>
        <w:t>المواضع التي ورد</w:t>
      </w:r>
      <w:r w:rsidR="00252717" w:rsidRPr="006571AC">
        <w:rPr>
          <w:rFonts w:hint="cs"/>
          <w:b/>
          <w:bCs/>
          <w:sz w:val="27"/>
          <w:rtl/>
        </w:rPr>
        <w:t>َ</w:t>
      </w:r>
      <w:r w:rsidRPr="006571AC">
        <w:rPr>
          <w:b/>
          <w:bCs/>
          <w:sz w:val="27"/>
          <w:rtl/>
        </w:rPr>
        <w:t>ت</w:t>
      </w:r>
      <w:r w:rsidR="00252717" w:rsidRPr="006571AC">
        <w:rPr>
          <w:rFonts w:hint="cs"/>
          <w:b/>
          <w:bCs/>
          <w:sz w:val="27"/>
          <w:rtl/>
        </w:rPr>
        <w:t>ْ</w:t>
      </w:r>
      <w:r w:rsidRPr="006571AC">
        <w:rPr>
          <w:b/>
          <w:bCs/>
          <w:sz w:val="27"/>
          <w:rtl/>
        </w:rPr>
        <w:t xml:space="preserve"> في</w:t>
      </w:r>
      <w:r w:rsidRPr="006571AC">
        <w:rPr>
          <w:rFonts w:hint="cs"/>
          <w:b/>
          <w:bCs/>
          <w:sz w:val="27"/>
          <w:rtl/>
        </w:rPr>
        <w:t>ها</w:t>
      </w:r>
      <w:r w:rsidRPr="006571AC">
        <w:rPr>
          <w:b/>
          <w:bCs/>
          <w:sz w:val="27"/>
          <w:rtl/>
        </w:rPr>
        <w:t xml:space="preserve"> بقي</w:t>
      </w:r>
      <w:r w:rsidRPr="006571AC">
        <w:rPr>
          <w:rFonts w:hint="cs"/>
          <w:b/>
          <w:bCs/>
          <w:sz w:val="27"/>
          <w:rtl/>
        </w:rPr>
        <w:t>ّ</w:t>
      </w:r>
      <w:r w:rsidRPr="006571AC">
        <w:rPr>
          <w:b/>
          <w:bCs/>
          <w:sz w:val="27"/>
          <w:rtl/>
        </w:rPr>
        <w:t>ة ق</w:t>
      </w:r>
      <w:r w:rsidRPr="006571AC">
        <w:rPr>
          <w:rFonts w:hint="cs"/>
          <w:b/>
          <w:bCs/>
          <w:sz w:val="27"/>
          <w:rtl/>
        </w:rPr>
        <w:t>ِ</w:t>
      </w:r>
      <w:r w:rsidRPr="006571AC">
        <w:rPr>
          <w:b/>
          <w:bCs/>
          <w:sz w:val="27"/>
          <w:rtl/>
        </w:rPr>
        <w:t>ط</w:t>
      </w:r>
      <w:r w:rsidRPr="006571AC">
        <w:rPr>
          <w:rFonts w:hint="cs"/>
          <w:b/>
          <w:bCs/>
          <w:sz w:val="27"/>
          <w:rtl/>
        </w:rPr>
        <w:t>َ</w:t>
      </w:r>
      <w:r w:rsidRPr="006571AC">
        <w:rPr>
          <w:b/>
          <w:bCs/>
          <w:sz w:val="27"/>
          <w:rtl/>
        </w:rPr>
        <w:t>ع الحديث</w:t>
      </w:r>
      <w:r w:rsidRPr="006571AC">
        <w:rPr>
          <w:rFonts w:hint="cs"/>
          <w:b/>
          <w:bCs/>
          <w:sz w:val="27"/>
          <w:rtl/>
        </w:rPr>
        <w:t>،</w:t>
      </w:r>
      <w:r w:rsidRPr="006571AC">
        <w:rPr>
          <w:b/>
          <w:bCs/>
          <w:sz w:val="27"/>
          <w:rtl/>
        </w:rPr>
        <w:t xml:space="preserve"> ص</w:t>
      </w:r>
      <w:r w:rsidR="00420F2E" w:rsidRPr="006571AC">
        <w:rPr>
          <w:rFonts w:hint="cs"/>
          <w:b/>
          <w:bCs/>
          <w:sz w:val="27"/>
          <w:rtl/>
        </w:rPr>
        <w:t>َ</w:t>
      </w:r>
      <w:r w:rsidRPr="006571AC">
        <w:rPr>
          <w:b/>
          <w:bCs/>
          <w:sz w:val="27"/>
          <w:rtl/>
        </w:rPr>
        <w:t>د</w:t>
      </w:r>
      <w:r w:rsidR="00420F2E" w:rsidRPr="006571AC">
        <w:rPr>
          <w:rFonts w:hint="cs"/>
          <w:b/>
          <w:bCs/>
          <w:sz w:val="27"/>
          <w:rtl/>
        </w:rPr>
        <w:t>ْ</w:t>
      </w:r>
      <w:r w:rsidRPr="006571AC">
        <w:rPr>
          <w:b/>
          <w:bCs/>
          <w:sz w:val="27"/>
          <w:rtl/>
        </w:rPr>
        <w:t>را</w:t>
      </w:r>
      <w:r w:rsidRPr="006571AC">
        <w:rPr>
          <w:rFonts w:hint="cs"/>
          <w:b/>
          <w:bCs/>
          <w:sz w:val="27"/>
          <w:rtl/>
        </w:rPr>
        <w:t>ً</w:t>
      </w:r>
      <w:r w:rsidRPr="006571AC">
        <w:rPr>
          <w:b/>
          <w:bCs/>
          <w:sz w:val="27"/>
          <w:rtl/>
        </w:rPr>
        <w:t xml:space="preserve"> وذ</w:t>
      </w:r>
      <w:r w:rsidR="00420F2E" w:rsidRPr="006571AC">
        <w:rPr>
          <w:rFonts w:hint="cs"/>
          <w:b/>
          <w:bCs/>
          <w:sz w:val="27"/>
          <w:rtl/>
        </w:rPr>
        <w:t>َ</w:t>
      </w:r>
      <w:r w:rsidRPr="006571AC">
        <w:rPr>
          <w:b/>
          <w:bCs/>
          <w:sz w:val="27"/>
          <w:rtl/>
        </w:rPr>
        <w:t>ي</w:t>
      </w:r>
      <w:r w:rsidR="00420F2E" w:rsidRPr="006571AC">
        <w:rPr>
          <w:rFonts w:hint="cs"/>
          <w:b/>
          <w:bCs/>
          <w:sz w:val="27"/>
          <w:rtl/>
        </w:rPr>
        <w:t>ْ</w:t>
      </w:r>
      <w:r w:rsidRPr="006571AC">
        <w:rPr>
          <w:b/>
          <w:bCs/>
          <w:sz w:val="27"/>
          <w:rtl/>
        </w:rPr>
        <w:t>لا</w:t>
      </w:r>
      <w:r w:rsidRPr="006571AC">
        <w:rPr>
          <w:rFonts w:hint="cs"/>
          <w:b/>
          <w:bCs/>
          <w:sz w:val="27"/>
          <w:rtl/>
        </w:rPr>
        <w:t>ً</w:t>
      </w:r>
      <w:r w:rsidRPr="006571AC">
        <w:rPr>
          <w:sz w:val="27"/>
          <w:rtl/>
        </w:rPr>
        <w:t xml:space="preserve">، في </w:t>
      </w:r>
      <w:r w:rsidRPr="006571AC">
        <w:rPr>
          <w:rFonts w:hint="cs"/>
          <w:sz w:val="27"/>
          <w:rtl/>
        </w:rPr>
        <w:t>الطبعة المحقَّقة من قبل مؤسَّسة آل البيت</w:t>
      </w:r>
      <w:r w:rsidRPr="006571AC">
        <w:rPr>
          <w:rFonts w:ascii="Mosawi" w:hAnsi="Mosawi" w:cs="Mosawi"/>
          <w:sz w:val="22"/>
          <w:szCs w:val="22"/>
          <w:rtl/>
        </w:rPr>
        <w:t>^</w:t>
      </w:r>
      <w:r w:rsidRPr="006571AC">
        <w:rPr>
          <w:rFonts w:hint="cs"/>
          <w:sz w:val="27"/>
          <w:rtl/>
        </w:rPr>
        <w:t xml:space="preserve"> لإحياء التراث،</w:t>
      </w:r>
      <w:r w:rsidRPr="006571AC">
        <w:rPr>
          <w:sz w:val="27"/>
          <w:rtl/>
        </w:rPr>
        <w:t xml:space="preserve"> </w:t>
      </w:r>
      <w:r w:rsidRPr="006571AC">
        <w:rPr>
          <w:b/>
          <w:bCs/>
          <w:sz w:val="27"/>
          <w:rtl/>
        </w:rPr>
        <w:t>يحصل الغرض الذي أشار إليه الم</w:t>
      </w:r>
      <w:r w:rsidR="00420F2E" w:rsidRPr="006571AC">
        <w:rPr>
          <w:rFonts w:hint="cs"/>
          <w:b/>
          <w:bCs/>
          <w:sz w:val="27"/>
          <w:rtl/>
        </w:rPr>
        <w:t>ُ</w:t>
      </w:r>
      <w:r w:rsidRPr="006571AC">
        <w:rPr>
          <w:b/>
          <w:bCs/>
          <w:sz w:val="27"/>
          <w:rtl/>
        </w:rPr>
        <w:t>عت</w:t>
      </w:r>
      <w:r w:rsidR="00420F2E" w:rsidRPr="006571AC">
        <w:rPr>
          <w:rFonts w:hint="cs"/>
          <w:b/>
          <w:bCs/>
          <w:sz w:val="27"/>
          <w:rtl/>
        </w:rPr>
        <w:t>َ</w:t>
      </w:r>
      <w:r w:rsidRPr="006571AC">
        <w:rPr>
          <w:b/>
          <w:bCs/>
          <w:sz w:val="27"/>
          <w:rtl/>
        </w:rPr>
        <w:t>ر</w:t>
      </w:r>
      <w:r w:rsidRPr="006571AC">
        <w:rPr>
          <w:rFonts w:hint="cs"/>
          <w:b/>
          <w:bCs/>
          <w:sz w:val="27"/>
          <w:rtl/>
        </w:rPr>
        <w:t>ِ</w:t>
      </w:r>
      <w:r w:rsidRPr="006571AC">
        <w:rPr>
          <w:b/>
          <w:bCs/>
          <w:sz w:val="27"/>
          <w:rtl/>
        </w:rPr>
        <w:t>ض</w:t>
      </w:r>
      <w:r w:rsidRPr="006571AC">
        <w:rPr>
          <w:rFonts w:hint="cs"/>
          <w:b/>
          <w:bCs/>
          <w:sz w:val="27"/>
          <w:rtl/>
        </w:rPr>
        <w:t>،</w:t>
      </w:r>
      <w:r w:rsidRPr="006571AC">
        <w:rPr>
          <w:b/>
          <w:bCs/>
          <w:sz w:val="27"/>
          <w:rtl/>
        </w:rPr>
        <w:t xml:space="preserve"> </w:t>
      </w:r>
      <w:r w:rsidRPr="006571AC">
        <w:rPr>
          <w:rFonts w:hint="cs"/>
          <w:b/>
          <w:bCs/>
          <w:sz w:val="27"/>
          <w:rtl/>
        </w:rPr>
        <w:t>ولا</w:t>
      </w:r>
      <w:r w:rsidRPr="006571AC">
        <w:rPr>
          <w:b/>
          <w:bCs/>
          <w:sz w:val="27"/>
          <w:rtl/>
        </w:rPr>
        <w:t xml:space="preserve"> يبق</w:t>
      </w:r>
      <w:r w:rsidRPr="006571AC">
        <w:rPr>
          <w:rFonts w:hint="cs"/>
          <w:b/>
          <w:bCs/>
          <w:sz w:val="27"/>
          <w:rtl/>
        </w:rPr>
        <w:t>ى</w:t>
      </w:r>
      <w:r w:rsidRPr="006571AC">
        <w:rPr>
          <w:b/>
          <w:bCs/>
          <w:sz w:val="27"/>
          <w:rtl/>
        </w:rPr>
        <w:t xml:space="preserve"> لهذا ال</w:t>
      </w:r>
      <w:r w:rsidRPr="006571AC">
        <w:rPr>
          <w:rFonts w:hint="cs"/>
          <w:b/>
          <w:bCs/>
          <w:sz w:val="27"/>
          <w:rtl/>
        </w:rPr>
        <w:t>إ</w:t>
      </w:r>
      <w:r w:rsidRPr="006571AC">
        <w:rPr>
          <w:b/>
          <w:bCs/>
          <w:sz w:val="27"/>
          <w:rtl/>
        </w:rPr>
        <w:t>شكال أثر</w:t>
      </w:r>
      <w:r w:rsidRPr="006571AC">
        <w:rPr>
          <w:rFonts w:hint="cs"/>
          <w:b/>
          <w:bCs/>
          <w:sz w:val="27"/>
          <w:rtl/>
        </w:rPr>
        <w:t>ٌ</w:t>
      </w:r>
      <w:r w:rsidRPr="006571AC">
        <w:rPr>
          <w:b/>
          <w:bCs/>
          <w:sz w:val="27"/>
          <w:rtl/>
        </w:rPr>
        <w:t xml:space="preserve"> ي</w:t>
      </w:r>
      <w:r w:rsidRPr="006571AC">
        <w:rPr>
          <w:rFonts w:hint="cs"/>
          <w:b/>
          <w:bCs/>
          <w:sz w:val="27"/>
          <w:rtl/>
        </w:rPr>
        <w:t>ُ</w:t>
      </w:r>
      <w:r w:rsidRPr="006571AC">
        <w:rPr>
          <w:b/>
          <w:bCs/>
          <w:sz w:val="27"/>
          <w:rtl/>
        </w:rPr>
        <w:t>ذ</w:t>
      </w:r>
      <w:r w:rsidR="00420F2E" w:rsidRPr="006571AC">
        <w:rPr>
          <w:rFonts w:hint="cs"/>
          <w:b/>
          <w:bCs/>
          <w:sz w:val="27"/>
          <w:rtl/>
        </w:rPr>
        <w:t>ْ</w:t>
      </w:r>
      <w:r w:rsidRPr="006571AC">
        <w:rPr>
          <w:b/>
          <w:bCs/>
          <w:sz w:val="27"/>
          <w:rtl/>
        </w:rPr>
        <w:t>ك</w:t>
      </w:r>
      <w:r w:rsidRPr="006571AC">
        <w:rPr>
          <w:rFonts w:hint="cs"/>
          <w:b/>
          <w:bCs/>
          <w:sz w:val="27"/>
          <w:rtl/>
        </w:rPr>
        <w:t>َ</w:t>
      </w:r>
      <w:r w:rsidRPr="006571AC">
        <w:rPr>
          <w:b/>
          <w:bCs/>
          <w:sz w:val="27"/>
          <w:rtl/>
        </w:rPr>
        <w:t>ر</w:t>
      </w:r>
      <w:r w:rsidRPr="006571AC">
        <w:rPr>
          <w:rFonts w:hint="cs"/>
          <w:sz w:val="24"/>
          <w:szCs w:val="24"/>
          <w:rtl/>
        </w:rPr>
        <w:t>»</w:t>
      </w:r>
      <w:r w:rsidRPr="006571AC">
        <w:rPr>
          <w:sz w:val="27"/>
          <w:vertAlign w:val="superscript"/>
          <w:rtl/>
        </w:rPr>
        <w:t>(</w:t>
      </w:r>
      <w:r w:rsidRPr="006571AC">
        <w:rPr>
          <w:rStyle w:val="ac"/>
          <w:sz w:val="27"/>
          <w:rtl/>
        </w:rPr>
        <w:endnoteReference w:id="87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b/>
          <w:bCs/>
          <w:sz w:val="27"/>
          <w:rtl/>
        </w:rPr>
        <w:t>وثالثاً:</w:t>
      </w:r>
      <w:r w:rsidRPr="006571AC">
        <w:rPr>
          <w:rFonts w:hint="cs"/>
          <w:sz w:val="27"/>
          <w:rtl/>
        </w:rPr>
        <w:t xml:space="preserve"> </w:t>
      </w:r>
      <w:r w:rsidRPr="006571AC">
        <w:rPr>
          <w:rFonts w:hint="cs"/>
          <w:sz w:val="24"/>
          <w:szCs w:val="24"/>
          <w:rtl/>
        </w:rPr>
        <w:t>«</w:t>
      </w:r>
      <w:r w:rsidRPr="006571AC">
        <w:rPr>
          <w:rFonts w:hint="cs"/>
          <w:sz w:val="27"/>
          <w:rtl/>
        </w:rPr>
        <w:t xml:space="preserve">إنّ </w:t>
      </w:r>
      <w:r w:rsidRPr="006571AC">
        <w:rPr>
          <w:b/>
          <w:bCs/>
          <w:sz w:val="27"/>
          <w:rtl/>
        </w:rPr>
        <w:t>المعهود من المؤل</w:t>
      </w:r>
      <w:r w:rsidRPr="006571AC">
        <w:rPr>
          <w:rFonts w:hint="cs"/>
          <w:b/>
          <w:bCs/>
          <w:sz w:val="27"/>
          <w:rtl/>
        </w:rPr>
        <w:t>ِّ</w:t>
      </w:r>
      <w:r w:rsidRPr="006571AC">
        <w:rPr>
          <w:b/>
          <w:bCs/>
          <w:sz w:val="27"/>
          <w:rtl/>
        </w:rPr>
        <w:t>ف، والذي يقتضيه ح</w:t>
      </w:r>
      <w:r w:rsidRPr="006571AC">
        <w:rPr>
          <w:rFonts w:hint="cs"/>
          <w:b/>
          <w:bCs/>
          <w:sz w:val="27"/>
          <w:rtl/>
        </w:rPr>
        <w:t>ُ</w:t>
      </w:r>
      <w:r w:rsidRPr="006571AC">
        <w:rPr>
          <w:b/>
          <w:bCs/>
          <w:sz w:val="27"/>
          <w:rtl/>
        </w:rPr>
        <w:t>سن</w:t>
      </w:r>
      <w:r w:rsidRPr="006571AC">
        <w:rPr>
          <w:rFonts w:hint="cs"/>
          <w:b/>
          <w:bCs/>
          <w:sz w:val="27"/>
          <w:rtl/>
        </w:rPr>
        <w:t>ُ</w:t>
      </w:r>
      <w:r w:rsidRPr="006571AC">
        <w:rPr>
          <w:b/>
          <w:bCs/>
          <w:sz w:val="27"/>
          <w:rtl/>
        </w:rPr>
        <w:t xml:space="preserve"> الظن</w:t>
      </w:r>
      <w:r w:rsidRPr="006571AC">
        <w:rPr>
          <w:rFonts w:hint="cs"/>
          <w:b/>
          <w:bCs/>
          <w:sz w:val="27"/>
          <w:rtl/>
        </w:rPr>
        <w:t>ّ</w:t>
      </w:r>
      <w:r w:rsidRPr="006571AC">
        <w:rPr>
          <w:b/>
          <w:bCs/>
          <w:sz w:val="27"/>
          <w:rtl/>
        </w:rPr>
        <w:t xml:space="preserve"> به</w:t>
      </w:r>
      <w:r w:rsidRPr="006571AC">
        <w:rPr>
          <w:rFonts w:hint="cs"/>
          <w:b/>
          <w:bCs/>
          <w:sz w:val="27"/>
          <w:rtl/>
        </w:rPr>
        <w:t>،</w:t>
      </w:r>
      <w:r w:rsidRPr="006571AC">
        <w:rPr>
          <w:b/>
          <w:bCs/>
          <w:sz w:val="27"/>
          <w:rtl/>
        </w:rPr>
        <w:t xml:space="preserve"> أن</w:t>
      </w:r>
      <w:r w:rsidRPr="006571AC">
        <w:rPr>
          <w:rFonts w:hint="cs"/>
          <w:b/>
          <w:bCs/>
          <w:sz w:val="27"/>
          <w:rtl/>
        </w:rPr>
        <w:t>ّ</w:t>
      </w:r>
      <w:r w:rsidRPr="006571AC">
        <w:rPr>
          <w:b/>
          <w:bCs/>
          <w:sz w:val="27"/>
          <w:rtl/>
        </w:rPr>
        <w:t>ه لا يترك من الحديث ما</w:t>
      </w:r>
      <w:r w:rsidRPr="006571AC">
        <w:rPr>
          <w:rFonts w:hint="cs"/>
          <w:b/>
          <w:bCs/>
          <w:sz w:val="27"/>
          <w:rtl/>
        </w:rPr>
        <w:t xml:space="preserve"> </w:t>
      </w:r>
      <w:r w:rsidRPr="006571AC">
        <w:rPr>
          <w:b/>
          <w:bCs/>
          <w:sz w:val="27"/>
          <w:rtl/>
        </w:rPr>
        <w:t>له د</w:t>
      </w:r>
      <w:r w:rsidR="00252717" w:rsidRPr="006571AC">
        <w:rPr>
          <w:rFonts w:hint="cs"/>
          <w:b/>
          <w:bCs/>
          <w:sz w:val="27"/>
          <w:rtl/>
        </w:rPr>
        <w:t>َ</w:t>
      </w:r>
      <w:r w:rsidRPr="006571AC">
        <w:rPr>
          <w:b/>
          <w:bCs/>
          <w:sz w:val="27"/>
          <w:rtl/>
        </w:rPr>
        <w:t>خ</w:t>
      </w:r>
      <w:r w:rsidR="00252717" w:rsidRPr="006571AC">
        <w:rPr>
          <w:rFonts w:hint="cs"/>
          <w:b/>
          <w:bCs/>
          <w:sz w:val="27"/>
          <w:rtl/>
        </w:rPr>
        <w:t>ْ</w:t>
      </w:r>
      <w:r w:rsidRPr="006571AC">
        <w:rPr>
          <w:b/>
          <w:bCs/>
          <w:sz w:val="27"/>
          <w:rtl/>
        </w:rPr>
        <w:t>ل</w:t>
      </w:r>
      <w:r w:rsidRPr="006571AC">
        <w:rPr>
          <w:rFonts w:hint="cs"/>
          <w:b/>
          <w:bCs/>
          <w:sz w:val="27"/>
          <w:rtl/>
        </w:rPr>
        <w:t>ٌ</w:t>
      </w:r>
      <w:r w:rsidRPr="006571AC">
        <w:rPr>
          <w:b/>
          <w:bCs/>
          <w:sz w:val="27"/>
          <w:rtl/>
        </w:rPr>
        <w:t xml:space="preserve"> </w:t>
      </w:r>
      <w:r w:rsidRPr="006571AC">
        <w:rPr>
          <w:rFonts w:hint="cs"/>
          <w:b/>
          <w:bCs/>
          <w:sz w:val="27"/>
          <w:rtl/>
        </w:rPr>
        <w:t xml:space="preserve">ـ </w:t>
      </w:r>
      <w:r w:rsidRPr="006571AC">
        <w:rPr>
          <w:b/>
          <w:bCs/>
          <w:sz w:val="27"/>
          <w:rtl/>
        </w:rPr>
        <w:t>ولو احتمالا</w:t>
      </w:r>
      <w:r w:rsidRPr="006571AC">
        <w:rPr>
          <w:rFonts w:hint="cs"/>
          <w:b/>
          <w:bCs/>
          <w:sz w:val="27"/>
          <w:rtl/>
        </w:rPr>
        <w:t>ً</w:t>
      </w:r>
      <w:r w:rsidRPr="006571AC">
        <w:rPr>
          <w:b/>
          <w:bCs/>
          <w:sz w:val="27"/>
          <w:rtl/>
        </w:rPr>
        <w:t xml:space="preserve"> </w:t>
      </w:r>
      <w:r w:rsidRPr="006571AC">
        <w:rPr>
          <w:rFonts w:hint="cs"/>
          <w:b/>
          <w:bCs/>
          <w:sz w:val="27"/>
          <w:rtl/>
        </w:rPr>
        <w:t>ـ</w:t>
      </w:r>
      <w:r w:rsidRPr="006571AC">
        <w:rPr>
          <w:b/>
          <w:bCs/>
          <w:sz w:val="27"/>
          <w:rtl/>
        </w:rPr>
        <w:t xml:space="preserve"> في ف</w:t>
      </w:r>
      <w:r w:rsidR="00812C67" w:rsidRPr="006571AC">
        <w:rPr>
          <w:rFonts w:hint="cs"/>
          <w:b/>
          <w:bCs/>
          <w:sz w:val="27"/>
          <w:rtl/>
        </w:rPr>
        <w:t>َ</w:t>
      </w:r>
      <w:r w:rsidRPr="006571AC">
        <w:rPr>
          <w:b/>
          <w:bCs/>
          <w:sz w:val="27"/>
          <w:rtl/>
        </w:rPr>
        <w:t>ه</w:t>
      </w:r>
      <w:r w:rsidR="00812C67" w:rsidRPr="006571AC">
        <w:rPr>
          <w:rFonts w:hint="cs"/>
          <w:b/>
          <w:bCs/>
          <w:sz w:val="27"/>
          <w:rtl/>
        </w:rPr>
        <w:t>ْ</w:t>
      </w:r>
      <w:r w:rsidRPr="006571AC">
        <w:rPr>
          <w:b/>
          <w:bCs/>
          <w:sz w:val="27"/>
          <w:rtl/>
        </w:rPr>
        <w:t>م الحكم منه</w:t>
      </w:r>
      <w:r w:rsidRPr="006571AC">
        <w:rPr>
          <w:sz w:val="27"/>
          <w:rtl/>
        </w:rPr>
        <w:t>، كما هو الم</w:t>
      </w:r>
      <w:r w:rsidR="00252717" w:rsidRPr="006571AC">
        <w:rPr>
          <w:rFonts w:hint="cs"/>
          <w:sz w:val="27"/>
          <w:rtl/>
        </w:rPr>
        <w:t>ُ</w:t>
      </w:r>
      <w:r w:rsidRPr="006571AC">
        <w:rPr>
          <w:sz w:val="27"/>
          <w:rtl/>
        </w:rPr>
        <w:t>لاح</w:t>
      </w:r>
      <w:r w:rsidRPr="006571AC">
        <w:rPr>
          <w:rFonts w:hint="cs"/>
          <w:sz w:val="27"/>
          <w:rtl/>
        </w:rPr>
        <w:t>َ</w:t>
      </w:r>
      <w:r w:rsidRPr="006571AC">
        <w:rPr>
          <w:sz w:val="27"/>
          <w:rtl/>
        </w:rPr>
        <w:t xml:space="preserve">ظ من عادته، </w:t>
      </w:r>
      <w:r w:rsidRPr="006571AC">
        <w:rPr>
          <w:b/>
          <w:bCs/>
          <w:sz w:val="27"/>
          <w:rtl/>
        </w:rPr>
        <w:t>وإن</w:t>
      </w:r>
      <w:r w:rsidRPr="006571AC">
        <w:rPr>
          <w:rFonts w:hint="cs"/>
          <w:b/>
          <w:bCs/>
          <w:sz w:val="27"/>
          <w:rtl/>
        </w:rPr>
        <w:t>ّ</w:t>
      </w:r>
      <w:r w:rsidRPr="006571AC">
        <w:rPr>
          <w:b/>
          <w:bCs/>
          <w:sz w:val="27"/>
          <w:rtl/>
        </w:rPr>
        <w:t>ما يترك ما</w:t>
      </w:r>
      <w:r w:rsidRPr="006571AC">
        <w:rPr>
          <w:rFonts w:hint="cs"/>
          <w:b/>
          <w:bCs/>
          <w:sz w:val="27"/>
          <w:rtl/>
        </w:rPr>
        <w:t xml:space="preserve"> </w:t>
      </w:r>
      <w:r w:rsidRPr="006571AC">
        <w:rPr>
          <w:b/>
          <w:bCs/>
          <w:sz w:val="27"/>
          <w:rtl/>
        </w:rPr>
        <w:t>لا د</w:t>
      </w:r>
      <w:r w:rsidR="00252717" w:rsidRPr="006571AC">
        <w:rPr>
          <w:rFonts w:hint="cs"/>
          <w:b/>
          <w:bCs/>
          <w:sz w:val="27"/>
          <w:rtl/>
        </w:rPr>
        <w:t>َ</w:t>
      </w:r>
      <w:r w:rsidRPr="006571AC">
        <w:rPr>
          <w:b/>
          <w:bCs/>
          <w:sz w:val="27"/>
          <w:rtl/>
        </w:rPr>
        <w:t>خ</w:t>
      </w:r>
      <w:r w:rsidR="00252717" w:rsidRPr="006571AC">
        <w:rPr>
          <w:rFonts w:hint="cs"/>
          <w:b/>
          <w:bCs/>
          <w:sz w:val="27"/>
          <w:rtl/>
        </w:rPr>
        <w:t>ْ</w:t>
      </w:r>
      <w:r w:rsidRPr="006571AC">
        <w:rPr>
          <w:b/>
          <w:bCs/>
          <w:sz w:val="27"/>
          <w:rtl/>
        </w:rPr>
        <w:t>ل له في ذلك، وإلا</w:t>
      </w:r>
      <w:r w:rsidRPr="006571AC">
        <w:rPr>
          <w:rFonts w:hint="cs"/>
          <w:b/>
          <w:bCs/>
          <w:sz w:val="27"/>
          <w:rtl/>
        </w:rPr>
        <w:t>ّ</w:t>
      </w:r>
      <w:r w:rsidRPr="006571AC">
        <w:rPr>
          <w:b/>
          <w:bCs/>
          <w:sz w:val="27"/>
          <w:rtl/>
        </w:rPr>
        <w:t xml:space="preserve"> لكان ناق</w:t>
      </w:r>
      <w:r w:rsidRPr="006571AC">
        <w:rPr>
          <w:rFonts w:hint="cs"/>
          <w:b/>
          <w:bCs/>
          <w:sz w:val="27"/>
          <w:rtl/>
        </w:rPr>
        <w:t>ض</w:t>
      </w:r>
      <w:r w:rsidRPr="006571AC">
        <w:rPr>
          <w:b/>
          <w:bCs/>
          <w:sz w:val="27"/>
          <w:rtl/>
        </w:rPr>
        <w:t>ا</w:t>
      </w:r>
      <w:r w:rsidRPr="006571AC">
        <w:rPr>
          <w:rFonts w:hint="cs"/>
          <w:b/>
          <w:bCs/>
          <w:sz w:val="27"/>
          <w:rtl/>
        </w:rPr>
        <w:t>ً</w:t>
      </w:r>
      <w:r w:rsidRPr="006571AC">
        <w:rPr>
          <w:b/>
          <w:bCs/>
          <w:sz w:val="27"/>
          <w:rtl/>
        </w:rPr>
        <w:t xml:space="preserve"> لغرضه</w:t>
      </w:r>
      <w:r w:rsidRPr="006571AC">
        <w:rPr>
          <w:rFonts w:hint="cs"/>
          <w:sz w:val="24"/>
          <w:szCs w:val="24"/>
          <w:rtl/>
        </w:rPr>
        <w:t>»</w:t>
      </w:r>
      <w:r w:rsidRPr="006571AC">
        <w:rPr>
          <w:sz w:val="27"/>
          <w:vertAlign w:val="superscript"/>
          <w:rtl/>
        </w:rPr>
        <w:t>(</w:t>
      </w:r>
      <w:r w:rsidRPr="006571AC">
        <w:rPr>
          <w:rStyle w:val="ac"/>
          <w:sz w:val="27"/>
          <w:rtl/>
        </w:rPr>
        <w:endnoteReference w:id="880"/>
      </w:r>
      <w:r w:rsidRPr="006571AC">
        <w:rPr>
          <w:sz w:val="27"/>
          <w:vertAlign w:val="superscript"/>
          <w:rtl/>
        </w:rPr>
        <w:t>)</w:t>
      </w:r>
      <w:r w:rsidRPr="006571AC">
        <w:rPr>
          <w:rFonts w:hint="cs"/>
          <w:sz w:val="27"/>
          <w:rtl/>
        </w:rPr>
        <w:t>.</w:t>
      </w:r>
    </w:p>
    <w:p w:rsidR="008A3F20" w:rsidRPr="006571AC" w:rsidRDefault="008A3F20" w:rsidP="00252717">
      <w:pPr>
        <w:spacing w:line="440" w:lineRule="exact"/>
        <w:rPr>
          <w:sz w:val="27"/>
          <w:rtl/>
        </w:rPr>
      </w:pPr>
    </w:p>
    <w:p w:rsidR="008A3F20" w:rsidRPr="006571AC" w:rsidRDefault="008A3F20" w:rsidP="006A551D">
      <w:pPr>
        <w:pStyle w:val="31"/>
        <w:rPr>
          <w:color w:val="auto"/>
          <w:rtl/>
        </w:rPr>
      </w:pPr>
      <w:bookmarkStart w:id="560" w:name="_Toc171512877"/>
      <w:bookmarkStart w:id="561" w:name="_Toc114164917"/>
      <w:r w:rsidRPr="006571AC">
        <w:rPr>
          <w:rFonts w:hint="cs"/>
          <w:color w:val="auto"/>
          <w:rtl/>
        </w:rPr>
        <w:t>تنبيهٌ</w:t>
      </w:r>
      <w:bookmarkEnd w:id="560"/>
      <w:bookmarkEnd w:id="561"/>
    </w:p>
    <w:p w:rsidR="008A3F20" w:rsidRPr="006571AC" w:rsidRDefault="008A3F20" w:rsidP="000C6F2A">
      <w:pPr>
        <w:rPr>
          <w:sz w:val="27"/>
          <w:rtl/>
        </w:rPr>
      </w:pPr>
      <w:r w:rsidRPr="006571AC">
        <w:rPr>
          <w:rFonts w:hint="cs"/>
          <w:sz w:val="27"/>
          <w:rtl/>
        </w:rPr>
        <w:t xml:space="preserve">وهُنا تجدر الإشارة إلى </w:t>
      </w:r>
      <w:r w:rsidRPr="006571AC">
        <w:rPr>
          <w:rFonts w:hint="cs"/>
          <w:b/>
          <w:bCs/>
          <w:sz w:val="27"/>
          <w:rtl/>
        </w:rPr>
        <w:t>أنّ التقطيع لم يشمل كلّ الأحاديث؛ لعدم إمكان تقطيعها، ولذا بقيت بعض الأحكام في غير الأبواب المخصَّصة لها</w:t>
      </w:r>
      <w:r w:rsidRPr="006571AC">
        <w:rPr>
          <w:rFonts w:hint="cs"/>
          <w:sz w:val="27"/>
          <w:rtl/>
        </w:rPr>
        <w:t>.</w:t>
      </w:r>
    </w:p>
    <w:p w:rsidR="008A3F20" w:rsidRPr="006571AC" w:rsidRDefault="008A3F20" w:rsidP="000C6F2A">
      <w:pPr>
        <w:rPr>
          <w:sz w:val="27"/>
          <w:rtl/>
        </w:rPr>
      </w:pPr>
      <w:r w:rsidRPr="006571AC">
        <w:rPr>
          <w:rFonts w:hint="cs"/>
          <w:b/>
          <w:bCs/>
          <w:sz w:val="27"/>
          <w:rtl/>
        </w:rPr>
        <w:t>وعليه ينبغي للباحث في مسألةٍ ما أن يُكثر من التتبُّع للأحاديث المرتبطة بموضوع بحثه</w:t>
      </w:r>
      <w:r w:rsidRPr="006571AC">
        <w:rPr>
          <w:rFonts w:hint="cs"/>
          <w:sz w:val="27"/>
          <w:rtl/>
        </w:rPr>
        <w:t xml:space="preserve">. </w:t>
      </w:r>
    </w:p>
    <w:p w:rsidR="008A3F20" w:rsidRPr="006571AC" w:rsidRDefault="008A3F20" w:rsidP="000C6F2A">
      <w:pPr>
        <w:rPr>
          <w:sz w:val="27"/>
          <w:rtl/>
        </w:rPr>
      </w:pPr>
      <w:r w:rsidRPr="006571AC">
        <w:rPr>
          <w:rFonts w:hint="cs"/>
          <w:sz w:val="27"/>
          <w:rtl/>
        </w:rPr>
        <w:lastRenderedPageBreak/>
        <w:t>وهذا ما أشار إليه الشيخ الحُرّ</w:t>
      </w:r>
      <w:r w:rsidRPr="006571AC">
        <w:rPr>
          <w:rFonts w:ascii="Mosawi" w:hAnsi="Mosawi" w:cs="Mosawi"/>
          <w:sz w:val="22"/>
          <w:szCs w:val="22"/>
          <w:rtl/>
        </w:rPr>
        <w:t>&amp;</w:t>
      </w:r>
      <w:r w:rsidRPr="006571AC">
        <w:rPr>
          <w:rFonts w:hint="cs"/>
          <w:sz w:val="27"/>
          <w:rtl/>
        </w:rPr>
        <w:t xml:space="preserve"> نفسُه حيث قال: </w:t>
      </w:r>
      <w:r w:rsidRPr="006571AC">
        <w:rPr>
          <w:rFonts w:hint="cs"/>
          <w:sz w:val="24"/>
          <w:szCs w:val="24"/>
          <w:rtl/>
        </w:rPr>
        <w:t>«</w:t>
      </w:r>
      <w:r w:rsidRPr="006571AC">
        <w:rPr>
          <w:sz w:val="27"/>
          <w:rtl/>
        </w:rPr>
        <w:t>فعليك</w:t>
      </w:r>
      <w:r w:rsidRPr="006571AC">
        <w:rPr>
          <w:rFonts w:hint="cs"/>
          <w:sz w:val="27"/>
          <w:rtl/>
        </w:rPr>
        <w:t>َ</w:t>
      </w:r>
      <w:r w:rsidRPr="006571AC">
        <w:rPr>
          <w:sz w:val="27"/>
          <w:rtl/>
        </w:rPr>
        <w:t xml:space="preserve"> بكثرة التتب</w:t>
      </w:r>
      <w:r w:rsidRPr="006571AC">
        <w:rPr>
          <w:rFonts w:hint="cs"/>
          <w:sz w:val="27"/>
          <w:rtl/>
        </w:rPr>
        <w:t>ُّ</w:t>
      </w:r>
      <w:r w:rsidRPr="006571AC">
        <w:rPr>
          <w:sz w:val="27"/>
          <w:rtl/>
        </w:rPr>
        <w:t>ع لهذه الأحاديث</w:t>
      </w:r>
      <w:r w:rsidRPr="006571AC">
        <w:rPr>
          <w:rFonts w:hint="cs"/>
          <w:sz w:val="27"/>
          <w:rtl/>
        </w:rPr>
        <w:t>،</w:t>
      </w:r>
      <w:r w:rsidRPr="006571AC">
        <w:rPr>
          <w:sz w:val="27"/>
          <w:rtl/>
        </w:rPr>
        <w:t xml:space="preserve"> والمطالعة لها، ولا تقتصر على الباب الذي تريد، فقد بقي</w:t>
      </w:r>
      <w:r w:rsidR="00252717" w:rsidRPr="006571AC">
        <w:rPr>
          <w:rFonts w:hint="cs"/>
          <w:sz w:val="27"/>
          <w:rtl/>
        </w:rPr>
        <w:t>َ</w:t>
      </w:r>
      <w:r w:rsidRPr="006571AC">
        <w:rPr>
          <w:sz w:val="27"/>
          <w:rtl/>
        </w:rPr>
        <w:t>ت</w:t>
      </w:r>
      <w:r w:rsidR="00252717" w:rsidRPr="006571AC">
        <w:rPr>
          <w:rFonts w:hint="cs"/>
          <w:sz w:val="27"/>
          <w:rtl/>
        </w:rPr>
        <w:t>ْ</w:t>
      </w:r>
      <w:r w:rsidRPr="006571AC">
        <w:rPr>
          <w:sz w:val="27"/>
          <w:rtl/>
        </w:rPr>
        <w:t xml:space="preserve"> أحكام</w:t>
      </w:r>
      <w:r w:rsidRPr="006571AC">
        <w:rPr>
          <w:rFonts w:hint="cs"/>
          <w:sz w:val="27"/>
          <w:rtl/>
        </w:rPr>
        <w:t>ٌ</w:t>
      </w:r>
      <w:r w:rsidRPr="006571AC">
        <w:rPr>
          <w:sz w:val="27"/>
          <w:rtl/>
        </w:rPr>
        <w:t xml:space="preserve"> منصوصة</w:t>
      </w:r>
      <w:r w:rsidRPr="006571AC">
        <w:rPr>
          <w:rFonts w:hint="cs"/>
          <w:sz w:val="27"/>
          <w:rtl/>
        </w:rPr>
        <w:t>ٌ</w:t>
      </w:r>
      <w:r w:rsidRPr="006571AC">
        <w:rPr>
          <w:sz w:val="27"/>
          <w:rtl/>
        </w:rPr>
        <w:t xml:space="preserve"> في غير مظان</w:t>
      </w:r>
      <w:r w:rsidRPr="006571AC">
        <w:rPr>
          <w:rFonts w:hint="cs"/>
          <w:sz w:val="27"/>
          <w:rtl/>
        </w:rPr>
        <w:t>ّ</w:t>
      </w:r>
      <w:r w:rsidRPr="006571AC">
        <w:rPr>
          <w:sz w:val="27"/>
          <w:rtl/>
        </w:rPr>
        <w:t>ها</w:t>
      </w:r>
      <w:r w:rsidRPr="006571AC">
        <w:rPr>
          <w:rFonts w:hint="cs"/>
          <w:sz w:val="27"/>
          <w:rtl/>
        </w:rPr>
        <w:t>؛</w:t>
      </w:r>
      <w:r w:rsidRPr="006571AC">
        <w:rPr>
          <w:sz w:val="27"/>
          <w:rtl/>
        </w:rPr>
        <w:t xml:space="preserve"> إذ لم يمكن تقطيع الأحاديث كل</w:t>
      </w:r>
      <w:r w:rsidRPr="006571AC">
        <w:rPr>
          <w:rFonts w:hint="cs"/>
          <w:sz w:val="27"/>
          <w:rtl/>
        </w:rPr>
        <w:t>ِّ</w:t>
      </w:r>
      <w:r w:rsidRPr="006571AC">
        <w:rPr>
          <w:sz w:val="27"/>
          <w:rtl/>
        </w:rPr>
        <w:t>ها أو أكثرها، ولا الإشارة إلى مضمون الجميع</w:t>
      </w:r>
      <w:r w:rsidRPr="006571AC">
        <w:rPr>
          <w:rFonts w:hint="cs"/>
          <w:sz w:val="27"/>
          <w:rtl/>
        </w:rPr>
        <w:t>؛</w:t>
      </w:r>
      <w:r w:rsidRPr="006571AC">
        <w:rPr>
          <w:sz w:val="27"/>
          <w:rtl/>
        </w:rPr>
        <w:t xml:space="preserve"> لعدم الاستحضار</w:t>
      </w:r>
      <w:r w:rsidRPr="006571AC">
        <w:rPr>
          <w:rFonts w:hint="cs"/>
          <w:sz w:val="27"/>
          <w:rtl/>
        </w:rPr>
        <w:t>،</w:t>
      </w:r>
      <w:r w:rsidRPr="006571AC">
        <w:rPr>
          <w:sz w:val="27"/>
          <w:rtl/>
        </w:rPr>
        <w:t xml:space="preserve"> وللاكتفاء بالبعض</w:t>
      </w:r>
      <w:r w:rsidRPr="006571AC">
        <w:rPr>
          <w:rFonts w:hint="cs"/>
          <w:sz w:val="27"/>
          <w:rtl/>
        </w:rPr>
        <w:t>،</w:t>
      </w:r>
      <w:r w:rsidRPr="006571AC">
        <w:rPr>
          <w:sz w:val="27"/>
          <w:rtl/>
        </w:rPr>
        <w:t xml:space="preserve"> وغير ذلك</w:t>
      </w:r>
      <w:r w:rsidRPr="006571AC">
        <w:rPr>
          <w:rFonts w:hint="cs"/>
          <w:sz w:val="24"/>
          <w:szCs w:val="24"/>
          <w:rtl/>
        </w:rPr>
        <w:t>»</w:t>
      </w:r>
      <w:r w:rsidRPr="006571AC">
        <w:rPr>
          <w:sz w:val="27"/>
          <w:vertAlign w:val="superscript"/>
          <w:rtl/>
        </w:rPr>
        <w:t>(</w:t>
      </w:r>
      <w:r w:rsidRPr="006571AC">
        <w:rPr>
          <w:rStyle w:val="ac"/>
          <w:sz w:val="27"/>
          <w:rtl/>
        </w:rPr>
        <w:endnoteReference w:id="881"/>
      </w:r>
      <w:r w:rsidRPr="006571AC">
        <w:rPr>
          <w:sz w:val="27"/>
          <w:vertAlign w:val="superscript"/>
          <w:rtl/>
        </w:rPr>
        <w:t>)</w:t>
      </w:r>
      <w:r w:rsidRPr="006571AC">
        <w:rPr>
          <w:rFonts w:hint="cs"/>
          <w:sz w:val="27"/>
          <w:rtl/>
        </w:rPr>
        <w:t>.</w:t>
      </w:r>
    </w:p>
    <w:p w:rsidR="008A3F20" w:rsidRPr="006571AC" w:rsidRDefault="008A3F20" w:rsidP="00C624EE">
      <w:pPr>
        <w:spacing w:line="430" w:lineRule="exact"/>
        <w:rPr>
          <w:sz w:val="27"/>
          <w:rtl/>
        </w:rPr>
      </w:pPr>
    </w:p>
    <w:p w:rsidR="008A3F20" w:rsidRPr="006571AC" w:rsidRDefault="00FF4029" w:rsidP="00420F2E">
      <w:pPr>
        <w:pStyle w:val="31"/>
        <w:rPr>
          <w:color w:val="auto"/>
          <w:rtl/>
        </w:rPr>
      </w:pPr>
      <w:bookmarkStart w:id="562" w:name="_Toc171512878"/>
      <w:bookmarkStart w:id="563" w:name="_Toc114164918"/>
      <w:r w:rsidRPr="006571AC">
        <w:rPr>
          <w:rFonts w:hint="cs"/>
          <w:color w:val="auto"/>
          <w:rtl/>
        </w:rPr>
        <w:t xml:space="preserve">ب ـ </w:t>
      </w:r>
      <w:r w:rsidR="00420F2E" w:rsidRPr="006571AC">
        <w:rPr>
          <w:rFonts w:hint="cs"/>
          <w:color w:val="auto"/>
          <w:rtl/>
        </w:rPr>
        <w:t>الصياغة</w:t>
      </w:r>
      <w:r w:rsidR="008A3F20" w:rsidRPr="006571AC">
        <w:rPr>
          <w:rFonts w:hint="cs"/>
          <w:color w:val="auto"/>
          <w:rtl/>
        </w:rPr>
        <w:t xml:space="preserve"> </w:t>
      </w:r>
      <w:r w:rsidR="00420F2E" w:rsidRPr="006571AC">
        <w:rPr>
          <w:rFonts w:hint="cs"/>
          <w:color w:val="auto"/>
          <w:rtl/>
        </w:rPr>
        <w:t>ال</w:t>
      </w:r>
      <w:r w:rsidR="008A3F20" w:rsidRPr="006571AC">
        <w:rPr>
          <w:rFonts w:hint="cs"/>
          <w:color w:val="auto"/>
          <w:rtl/>
        </w:rPr>
        <w:t>جديدة لألفاظه</w:t>
      </w:r>
      <w:bookmarkEnd w:id="562"/>
      <w:bookmarkEnd w:id="563"/>
    </w:p>
    <w:p w:rsidR="008A3F20" w:rsidRPr="006571AC" w:rsidRDefault="008A3F20" w:rsidP="000C6F2A">
      <w:pPr>
        <w:rPr>
          <w:sz w:val="27"/>
          <w:rtl/>
        </w:rPr>
      </w:pPr>
      <w:r w:rsidRPr="006571AC">
        <w:rPr>
          <w:rFonts w:hint="cs"/>
          <w:b/>
          <w:bCs/>
          <w:sz w:val="27"/>
          <w:rtl/>
        </w:rPr>
        <w:t>عمد الشيخ الحُرّ</w:t>
      </w:r>
      <w:r w:rsidRPr="006571AC">
        <w:rPr>
          <w:rFonts w:ascii="Mosawi" w:hAnsi="Mosawi" w:cs="Mosawi"/>
          <w:b/>
          <w:bCs/>
          <w:sz w:val="22"/>
          <w:szCs w:val="22"/>
          <w:rtl/>
        </w:rPr>
        <w:t>&amp;</w:t>
      </w:r>
      <w:r w:rsidRPr="006571AC">
        <w:rPr>
          <w:rFonts w:hint="cs"/>
          <w:b/>
          <w:bCs/>
          <w:sz w:val="27"/>
          <w:rtl/>
        </w:rPr>
        <w:t xml:space="preserve"> في أكثر من حديث</w:t>
      </w:r>
      <w:r w:rsidR="00025BBF" w:rsidRPr="006571AC">
        <w:rPr>
          <w:rFonts w:hint="cs"/>
          <w:b/>
          <w:bCs/>
          <w:sz w:val="27"/>
          <w:rtl/>
        </w:rPr>
        <w:t>ٍ</w:t>
      </w:r>
      <w:r w:rsidRPr="006571AC">
        <w:rPr>
          <w:rFonts w:hint="cs"/>
          <w:b/>
          <w:bCs/>
          <w:sz w:val="27"/>
          <w:rtl/>
        </w:rPr>
        <w:t xml:space="preserve"> إلى اختصار متن الحديث، أو بعضه، بصياغة</w:t>
      </w:r>
      <w:r w:rsidR="00025BBF" w:rsidRPr="006571AC">
        <w:rPr>
          <w:rFonts w:hint="cs"/>
          <w:b/>
          <w:bCs/>
          <w:sz w:val="27"/>
          <w:rtl/>
        </w:rPr>
        <w:t>ٍ</w:t>
      </w:r>
      <w:r w:rsidRPr="006571AC">
        <w:rPr>
          <w:rFonts w:hint="cs"/>
          <w:b/>
          <w:bCs/>
          <w:sz w:val="27"/>
          <w:rtl/>
        </w:rPr>
        <w:t xml:space="preserve"> جديدة لألفاظه</w:t>
      </w:r>
      <w:r w:rsidRPr="006571AC">
        <w:rPr>
          <w:rFonts w:hint="cs"/>
          <w:sz w:val="27"/>
          <w:rtl/>
        </w:rPr>
        <w:t xml:space="preserve">، ومن ذلك: </w:t>
      </w:r>
    </w:p>
    <w:p w:rsidR="008A3F20" w:rsidRPr="006571AC" w:rsidRDefault="008A3F20" w:rsidP="000C6F2A">
      <w:pPr>
        <w:rPr>
          <w:sz w:val="27"/>
          <w:rtl/>
        </w:rPr>
      </w:pPr>
      <w:r w:rsidRPr="006571AC">
        <w:rPr>
          <w:rFonts w:hint="cs"/>
          <w:sz w:val="27"/>
          <w:rtl/>
        </w:rPr>
        <w:t xml:space="preserve">*‌ ما في الباب 92 من أبواب أحكام العشرة، ح 1، حيث قال: </w:t>
      </w:r>
      <w:r w:rsidRPr="006571AC">
        <w:rPr>
          <w:rFonts w:hint="cs"/>
          <w:sz w:val="24"/>
          <w:szCs w:val="24"/>
          <w:rtl/>
        </w:rPr>
        <w:t>«</w:t>
      </w:r>
      <w:r w:rsidRPr="006571AC">
        <w:rPr>
          <w:rFonts w:hint="cs"/>
          <w:sz w:val="27"/>
          <w:rtl/>
        </w:rPr>
        <w:t>...</w:t>
      </w:r>
      <w:r w:rsidRPr="006571AC">
        <w:rPr>
          <w:sz w:val="27"/>
          <w:rtl/>
        </w:rPr>
        <w:t>عن مسعدة بن صدقة، عن أبي عبد الله، عن آبائه</w:t>
      </w:r>
      <w:r w:rsidRPr="006571AC">
        <w:rPr>
          <w:rFonts w:ascii="Mosawi" w:hAnsi="Mosawi" w:cs="Mosawi"/>
          <w:sz w:val="22"/>
          <w:szCs w:val="22"/>
          <w:rtl/>
        </w:rPr>
        <w:t>^</w:t>
      </w:r>
      <w:r w:rsidR="00025BBF" w:rsidRPr="006571AC">
        <w:rPr>
          <w:rFonts w:hint="cs"/>
          <w:sz w:val="27"/>
          <w:rtl/>
        </w:rPr>
        <w:t>،</w:t>
      </w:r>
      <w:r w:rsidRPr="006571AC">
        <w:rPr>
          <w:sz w:val="27"/>
          <w:rtl/>
        </w:rPr>
        <w:t xml:space="preserve"> أن</w:t>
      </w:r>
      <w:r w:rsidRPr="006571AC">
        <w:rPr>
          <w:rFonts w:hint="cs"/>
          <w:sz w:val="27"/>
          <w:rtl/>
        </w:rPr>
        <w:t>ّ</w:t>
      </w:r>
      <w:r w:rsidRPr="006571AC">
        <w:rPr>
          <w:sz w:val="27"/>
          <w:rtl/>
        </w:rPr>
        <w:t xml:space="preserve"> أمير المؤمنين</w:t>
      </w:r>
      <w:r w:rsidRPr="006571AC">
        <w:rPr>
          <w:rFonts w:ascii="Mosawi" w:hAnsi="Mosawi" w:cs="Mosawi"/>
          <w:sz w:val="22"/>
          <w:szCs w:val="22"/>
          <w:rtl/>
        </w:rPr>
        <w:t>×</w:t>
      </w:r>
      <w:r w:rsidRPr="006571AC">
        <w:rPr>
          <w:sz w:val="27"/>
          <w:rtl/>
        </w:rPr>
        <w:t xml:space="preserve"> صاحب رجلا</w:t>
      </w:r>
      <w:r w:rsidRPr="006571AC">
        <w:rPr>
          <w:rFonts w:hint="cs"/>
          <w:sz w:val="27"/>
          <w:rtl/>
        </w:rPr>
        <w:t>ً</w:t>
      </w:r>
      <w:r w:rsidRPr="006571AC">
        <w:rPr>
          <w:sz w:val="27"/>
          <w:rtl/>
        </w:rPr>
        <w:t xml:space="preserve"> ذم</w:t>
      </w:r>
      <w:r w:rsidRPr="006571AC">
        <w:rPr>
          <w:rFonts w:hint="cs"/>
          <w:sz w:val="27"/>
          <w:rtl/>
        </w:rPr>
        <w:t>ّ</w:t>
      </w:r>
      <w:r w:rsidRPr="006571AC">
        <w:rPr>
          <w:sz w:val="27"/>
          <w:rtl/>
        </w:rPr>
        <w:t>ي</w:t>
      </w:r>
      <w:r w:rsidRPr="006571AC">
        <w:rPr>
          <w:rFonts w:hint="cs"/>
          <w:sz w:val="27"/>
          <w:rtl/>
        </w:rPr>
        <w:t>ّ</w:t>
      </w:r>
      <w:r w:rsidRPr="006571AC">
        <w:rPr>
          <w:sz w:val="27"/>
          <w:rtl/>
        </w:rPr>
        <w:t>ا</w:t>
      </w:r>
      <w:r w:rsidRPr="006571AC">
        <w:rPr>
          <w:rFonts w:hint="cs"/>
          <w:sz w:val="27"/>
          <w:rtl/>
        </w:rPr>
        <w:t>ً،</w:t>
      </w:r>
      <w:r w:rsidRPr="006571AC">
        <w:rPr>
          <w:sz w:val="27"/>
          <w:rtl/>
        </w:rPr>
        <w:t xml:space="preserve"> فقال له الذم</w:t>
      </w:r>
      <w:r w:rsidRPr="006571AC">
        <w:rPr>
          <w:rFonts w:hint="cs"/>
          <w:sz w:val="27"/>
          <w:rtl/>
        </w:rPr>
        <w:t>ّ</w:t>
      </w:r>
      <w:r w:rsidRPr="006571AC">
        <w:rPr>
          <w:sz w:val="27"/>
          <w:rtl/>
        </w:rPr>
        <w:t>ي</w:t>
      </w:r>
      <w:r w:rsidRPr="006571AC">
        <w:rPr>
          <w:rFonts w:hint="cs"/>
          <w:sz w:val="27"/>
          <w:rtl/>
        </w:rPr>
        <w:t>ّ</w:t>
      </w:r>
      <w:r w:rsidRPr="006571AC">
        <w:rPr>
          <w:sz w:val="27"/>
          <w:rtl/>
        </w:rPr>
        <w:t xml:space="preserve">: أين تريد يا عبد الله؟ قال: </w:t>
      </w:r>
      <w:r w:rsidRPr="006571AC">
        <w:rPr>
          <w:rFonts w:hint="cs"/>
          <w:sz w:val="27"/>
          <w:rtl/>
        </w:rPr>
        <w:t>أ</w:t>
      </w:r>
      <w:r w:rsidRPr="006571AC">
        <w:rPr>
          <w:sz w:val="27"/>
          <w:rtl/>
        </w:rPr>
        <w:t>ريد الكوفة، فلم</w:t>
      </w:r>
      <w:r w:rsidRPr="006571AC">
        <w:rPr>
          <w:rFonts w:hint="cs"/>
          <w:sz w:val="27"/>
          <w:rtl/>
        </w:rPr>
        <w:t>ّ</w:t>
      </w:r>
      <w:r w:rsidRPr="006571AC">
        <w:rPr>
          <w:sz w:val="27"/>
          <w:rtl/>
        </w:rPr>
        <w:t>ا عدل الطريق بالذم</w:t>
      </w:r>
      <w:r w:rsidRPr="006571AC">
        <w:rPr>
          <w:rFonts w:hint="cs"/>
          <w:sz w:val="27"/>
          <w:rtl/>
        </w:rPr>
        <w:t>ّ</w:t>
      </w:r>
      <w:r w:rsidRPr="006571AC">
        <w:rPr>
          <w:sz w:val="27"/>
          <w:rtl/>
        </w:rPr>
        <w:t>ي</w:t>
      </w:r>
      <w:r w:rsidRPr="006571AC">
        <w:rPr>
          <w:rFonts w:hint="cs"/>
          <w:sz w:val="27"/>
          <w:rtl/>
        </w:rPr>
        <w:t>ّ</w:t>
      </w:r>
      <w:r w:rsidRPr="006571AC">
        <w:rPr>
          <w:sz w:val="27"/>
          <w:rtl/>
        </w:rPr>
        <w:t xml:space="preserve"> عدل معه أمير المؤمنين</w:t>
      </w:r>
      <w:r w:rsidRPr="006571AC">
        <w:rPr>
          <w:rFonts w:ascii="Mosawi" w:hAnsi="Mosawi" w:cs="Mosawi"/>
          <w:sz w:val="22"/>
          <w:szCs w:val="22"/>
          <w:rtl/>
        </w:rPr>
        <w:t>×</w:t>
      </w:r>
      <w:r w:rsidRPr="006571AC">
        <w:rPr>
          <w:rFonts w:hint="cs"/>
          <w:sz w:val="27"/>
          <w:rtl/>
        </w:rPr>
        <w:t>،</w:t>
      </w:r>
      <w:r w:rsidRPr="006571AC">
        <w:rPr>
          <w:sz w:val="27"/>
          <w:rtl/>
        </w:rPr>
        <w:t xml:space="preserve"> </w:t>
      </w:r>
      <w:r w:rsidRPr="006571AC">
        <w:rPr>
          <w:rFonts w:hint="cs"/>
          <w:sz w:val="27"/>
          <w:rtl/>
        </w:rPr>
        <w:t>ـ</w:t>
      </w:r>
      <w:r w:rsidRPr="006571AC">
        <w:rPr>
          <w:sz w:val="27"/>
          <w:rtl/>
        </w:rPr>
        <w:t xml:space="preserve"> إلى أن قال: </w:t>
      </w:r>
      <w:r w:rsidRPr="006571AC">
        <w:rPr>
          <w:rFonts w:hint="cs"/>
          <w:sz w:val="27"/>
          <w:rtl/>
        </w:rPr>
        <w:t>ـ</w:t>
      </w:r>
      <w:r w:rsidRPr="006571AC">
        <w:rPr>
          <w:sz w:val="27"/>
          <w:rtl/>
        </w:rPr>
        <w:t xml:space="preserve"> فقال له الذم</w:t>
      </w:r>
      <w:r w:rsidRPr="006571AC">
        <w:rPr>
          <w:rFonts w:hint="cs"/>
          <w:sz w:val="27"/>
          <w:rtl/>
        </w:rPr>
        <w:t>ّ</w:t>
      </w:r>
      <w:r w:rsidRPr="006571AC">
        <w:rPr>
          <w:sz w:val="27"/>
          <w:rtl/>
        </w:rPr>
        <w:t>ي</w:t>
      </w:r>
      <w:r w:rsidRPr="006571AC">
        <w:rPr>
          <w:rFonts w:hint="cs"/>
          <w:sz w:val="27"/>
          <w:rtl/>
        </w:rPr>
        <w:t>ّ</w:t>
      </w:r>
      <w:r w:rsidRPr="006571AC">
        <w:rPr>
          <w:sz w:val="27"/>
          <w:rtl/>
        </w:rPr>
        <w:t>: ل</w:t>
      </w:r>
      <w:r w:rsidRPr="006571AC">
        <w:rPr>
          <w:rFonts w:hint="cs"/>
          <w:sz w:val="27"/>
          <w:rtl/>
        </w:rPr>
        <w:t>ِ</w:t>
      </w:r>
      <w:r w:rsidRPr="006571AC">
        <w:rPr>
          <w:sz w:val="27"/>
          <w:rtl/>
        </w:rPr>
        <w:t>م</w:t>
      </w:r>
      <w:r w:rsidRPr="006571AC">
        <w:rPr>
          <w:rFonts w:hint="cs"/>
          <w:sz w:val="27"/>
          <w:rtl/>
        </w:rPr>
        <w:t>َ</w:t>
      </w:r>
      <w:r w:rsidRPr="006571AC">
        <w:rPr>
          <w:sz w:val="27"/>
          <w:rtl/>
        </w:rPr>
        <w:t xml:space="preserve"> ع</w:t>
      </w:r>
      <w:r w:rsidR="00252717" w:rsidRPr="006571AC">
        <w:rPr>
          <w:rFonts w:hint="cs"/>
          <w:sz w:val="27"/>
          <w:rtl/>
        </w:rPr>
        <w:t>َ</w:t>
      </w:r>
      <w:r w:rsidRPr="006571AC">
        <w:rPr>
          <w:sz w:val="27"/>
          <w:rtl/>
        </w:rPr>
        <w:t>د</w:t>
      </w:r>
      <w:r w:rsidR="00252717" w:rsidRPr="006571AC">
        <w:rPr>
          <w:rFonts w:hint="cs"/>
          <w:sz w:val="27"/>
          <w:rtl/>
        </w:rPr>
        <w:t>َ</w:t>
      </w:r>
      <w:r w:rsidRPr="006571AC">
        <w:rPr>
          <w:sz w:val="27"/>
          <w:rtl/>
        </w:rPr>
        <w:t>ل</w:t>
      </w:r>
      <w:r w:rsidR="00252717" w:rsidRPr="006571AC">
        <w:rPr>
          <w:rFonts w:hint="cs"/>
          <w:sz w:val="27"/>
          <w:rtl/>
        </w:rPr>
        <w:t>ْ</w:t>
      </w:r>
      <w:r w:rsidRPr="006571AC">
        <w:rPr>
          <w:sz w:val="27"/>
          <w:rtl/>
        </w:rPr>
        <w:t>ت</w:t>
      </w:r>
      <w:r w:rsidRPr="006571AC">
        <w:rPr>
          <w:rFonts w:hint="cs"/>
          <w:sz w:val="27"/>
          <w:rtl/>
        </w:rPr>
        <w:t>َ</w:t>
      </w:r>
      <w:r w:rsidRPr="006571AC">
        <w:rPr>
          <w:sz w:val="27"/>
          <w:rtl/>
        </w:rPr>
        <w:t xml:space="preserve"> معي؟ فقال له أمير المؤمنين</w:t>
      </w:r>
      <w:r w:rsidRPr="006571AC">
        <w:rPr>
          <w:rFonts w:ascii="Mosawi" w:hAnsi="Mosawi" w:cs="Mosawi"/>
          <w:sz w:val="22"/>
          <w:szCs w:val="22"/>
          <w:rtl/>
        </w:rPr>
        <w:t>×</w:t>
      </w:r>
      <w:r w:rsidRPr="006571AC">
        <w:rPr>
          <w:sz w:val="27"/>
          <w:rtl/>
        </w:rPr>
        <w:t>: هذا من تمام ح</w:t>
      </w:r>
      <w:r w:rsidR="00252717" w:rsidRPr="006571AC">
        <w:rPr>
          <w:rFonts w:hint="cs"/>
          <w:sz w:val="27"/>
          <w:rtl/>
        </w:rPr>
        <w:t>ُ</w:t>
      </w:r>
      <w:r w:rsidRPr="006571AC">
        <w:rPr>
          <w:sz w:val="27"/>
          <w:rtl/>
        </w:rPr>
        <w:t>س</w:t>
      </w:r>
      <w:r w:rsidR="00252717" w:rsidRPr="006571AC">
        <w:rPr>
          <w:rFonts w:hint="cs"/>
          <w:sz w:val="27"/>
          <w:rtl/>
        </w:rPr>
        <w:t>ْ</w:t>
      </w:r>
      <w:r w:rsidRPr="006571AC">
        <w:rPr>
          <w:sz w:val="27"/>
          <w:rtl/>
        </w:rPr>
        <w:t>ن الصحبة</w:t>
      </w:r>
      <w:r w:rsidRPr="006571AC">
        <w:rPr>
          <w:rFonts w:hint="cs"/>
          <w:sz w:val="27"/>
          <w:rtl/>
        </w:rPr>
        <w:t>،</w:t>
      </w:r>
      <w:r w:rsidRPr="006571AC">
        <w:rPr>
          <w:sz w:val="27"/>
          <w:rtl/>
        </w:rPr>
        <w:t xml:space="preserve"> أن يشي</w:t>
      </w:r>
      <w:r w:rsidRPr="006571AC">
        <w:rPr>
          <w:rFonts w:hint="cs"/>
          <w:sz w:val="27"/>
          <w:rtl/>
        </w:rPr>
        <w:t>ّ</w:t>
      </w:r>
      <w:r w:rsidRPr="006571AC">
        <w:rPr>
          <w:sz w:val="27"/>
          <w:rtl/>
        </w:rPr>
        <w:t>ع الرجل صاحبه هنيئة</w:t>
      </w:r>
      <w:r w:rsidR="00025BBF" w:rsidRPr="006571AC">
        <w:rPr>
          <w:rFonts w:hint="cs"/>
          <w:sz w:val="27"/>
          <w:rtl/>
        </w:rPr>
        <w:t>ً</w:t>
      </w:r>
      <w:r w:rsidRPr="006571AC">
        <w:rPr>
          <w:sz w:val="27"/>
          <w:rtl/>
        </w:rPr>
        <w:t xml:space="preserve"> إذا فارقه، وكذلك أمرنا نبي</w:t>
      </w:r>
      <w:r w:rsidR="00FB4D6C" w:rsidRPr="006571AC">
        <w:rPr>
          <w:rFonts w:hint="cs"/>
          <w:sz w:val="27"/>
          <w:rtl/>
        </w:rPr>
        <w:t>ُّ</w:t>
      </w:r>
      <w:r w:rsidRPr="006571AC">
        <w:rPr>
          <w:sz w:val="27"/>
          <w:rtl/>
        </w:rPr>
        <w:t>نا</w:t>
      </w:r>
      <w:r w:rsidRPr="006571AC">
        <w:rPr>
          <w:rFonts w:hint="cs"/>
          <w:sz w:val="27"/>
          <w:rtl/>
        </w:rPr>
        <w:t>...</w:t>
      </w:r>
      <w:r w:rsidR="00025BBF" w:rsidRPr="006571AC">
        <w:rPr>
          <w:rFonts w:hint="cs"/>
          <w:sz w:val="27"/>
          <w:rtl/>
        </w:rPr>
        <w:t xml:space="preserve">، </w:t>
      </w:r>
      <w:r w:rsidRPr="006571AC">
        <w:rPr>
          <w:sz w:val="27"/>
          <w:rtl/>
        </w:rPr>
        <w:t>الحديث</w:t>
      </w:r>
      <w:r w:rsidRPr="006571AC">
        <w:rPr>
          <w:rFonts w:hint="cs"/>
          <w:sz w:val="27"/>
          <w:rtl/>
        </w:rPr>
        <w:t>،</w:t>
      </w:r>
      <w:r w:rsidRPr="006571AC">
        <w:rPr>
          <w:sz w:val="27"/>
          <w:rtl/>
        </w:rPr>
        <w:t xml:space="preserve"> </w:t>
      </w:r>
      <w:r w:rsidRPr="006571AC">
        <w:rPr>
          <w:b/>
          <w:bCs/>
          <w:sz w:val="27"/>
          <w:rtl/>
        </w:rPr>
        <w:t>وفيه أن</w:t>
      </w:r>
      <w:r w:rsidRPr="006571AC">
        <w:rPr>
          <w:rFonts w:hint="cs"/>
          <w:b/>
          <w:bCs/>
          <w:sz w:val="27"/>
          <w:rtl/>
        </w:rPr>
        <w:t>ّ</w:t>
      </w:r>
      <w:r w:rsidRPr="006571AC">
        <w:rPr>
          <w:b/>
          <w:bCs/>
          <w:sz w:val="27"/>
          <w:rtl/>
        </w:rPr>
        <w:t xml:space="preserve"> الذم</w:t>
      </w:r>
      <w:r w:rsidRPr="006571AC">
        <w:rPr>
          <w:rFonts w:hint="cs"/>
          <w:b/>
          <w:bCs/>
          <w:sz w:val="27"/>
          <w:rtl/>
        </w:rPr>
        <w:t>ّ</w:t>
      </w:r>
      <w:r w:rsidRPr="006571AC">
        <w:rPr>
          <w:b/>
          <w:bCs/>
          <w:sz w:val="27"/>
          <w:rtl/>
        </w:rPr>
        <w:t>ي</w:t>
      </w:r>
      <w:r w:rsidRPr="006571AC">
        <w:rPr>
          <w:rFonts w:hint="cs"/>
          <w:b/>
          <w:bCs/>
          <w:sz w:val="27"/>
          <w:rtl/>
        </w:rPr>
        <w:t>ّ</w:t>
      </w:r>
      <w:r w:rsidRPr="006571AC">
        <w:rPr>
          <w:b/>
          <w:bCs/>
          <w:sz w:val="27"/>
          <w:rtl/>
        </w:rPr>
        <w:t xml:space="preserve"> أسلم لذلك</w:t>
      </w:r>
      <w:r w:rsidRPr="006571AC">
        <w:rPr>
          <w:rFonts w:hint="cs"/>
          <w:sz w:val="24"/>
          <w:szCs w:val="24"/>
          <w:rtl/>
        </w:rPr>
        <w:t>»</w:t>
      </w:r>
      <w:r w:rsidRPr="006571AC">
        <w:rPr>
          <w:sz w:val="27"/>
          <w:vertAlign w:val="superscript"/>
          <w:rtl/>
        </w:rPr>
        <w:t>(</w:t>
      </w:r>
      <w:r w:rsidRPr="006571AC">
        <w:rPr>
          <w:rStyle w:val="ac"/>
          <w:sz w:val="27"/>
          <w:rtl/>
        </w:rPr>
        <w:endnoteReference w:id="882"/>
      </w:r>
      <w:r w:rsidRPr="006571AC">
        <w:rPr>
          <w:sz w:val="27"/>
          <w:vertAlign w:val="superscript"/>
          <w:rtl/>
        </w:rPr>
        <w:t>)</w:t>
      </w:r>
      <w:r w:rsidRPr="006571AC">
        <w:rPr>
          <w:rFonts w:hint="cs"/>
          <w:sz w:val="27"/>
          <w:rtl/>
        </w:rPr>
        <w:t>.</w:t>
      </w:r>
      <w:r w:rsidRPr="006571AC">
        <w:rPr>
          <w:sz w:val="27"/>
          <w:rtl/>
        </w:rPr>
        <w:t xml:space="preserve"> </w:t>
      </w:r>
    </w:p>
    <w:p w:rsidR="008A3F20" w:rsidRPr="006571AC" w:rsidRDefault="008A3F20" w:rsidP="00252717">
      <w:pPr>
        <w:rPr>
          <w:sz w:val="27"/>
          <w:rtl/>
        </w:rPr>
      </w:pPr>
      <w:r w:rsidRPr="006571AC">
        <w:rPr>
          <w:rFonts w:hint="cs"/>
          <w:sz w:val="27"/>
          <w:rtl/>
        </w:rPr>
        <w:t xml:space="preserve">وبالرجوع إلى مصدر الحديث،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xml:space="preserve">، تبيّن أنّ تتمّة الحديث هي: </w:t>
      </w:r>
      <w:r w:rsidRPr="006571AC">
        <w:rPr>
          <w:rFonts w:hint="cs"/>
          <w:sz w:val="24"/>
          <w:szCs w:val="24"/>
          <w:rtl/>
        </w:rPr>
        <w:t>«</w:t>
      </w:r>
      <w:r w:rsidRPr="006571AC">
        <w:rPr>
          <w:rFonts w:hint="cs"/>
          <w:sz w:val="27"/>
          <w:rtl/>
        </w:rPr>
        <w:t xml:space="preserve">فقال </w:t>
      </w:r>
      <w:r w:rsidRPr="006571AC">
        <w:rPr>
          <w:sz w:val="27"/>
          <w:rtl/>
        </w:rPr>
        <w:t>له الذم</w:t>
      </w:r>
      <w:r w:rsidRPr="006571AC">
        <w:rPr>
          <w:rFonts w:hint="cs"/>
          <w:sz w:val="27"/>
          <w:rtl/>
        </w:rPr>
        <w:t>ّ</w:t>
      </w:r>
      <w:r w:rsidRPr="006571AC">
        <w:rPr>
          <w:sz w:val="27"/>
          <w:rtl/>
        </w:rPr>
        <w:t>ي</w:t>
      </w:r>
      <w:r w:rsidRPr="006571AC">
        <w:rPr>
          <w:rFonts w:hint="cs"/>
          <w:sz w:val="27"/>
          <w:rtl/>
        </w:rPr>
        <w:t>ّ</w:t>
      </w:r>
      <w:r w:rsidRPr="006571AC">
        <w:rPr>
          <w:sz w:val="27"/>
          <w:rtl/>
        </w:rPr>
        <w:t>: هكذا قال؟ قال: نعم، قال الذم</w:t>
      </w:r>
      <w:r w:rsidRPr="006571AC">
        <w:rPr>
          <w:rFonts w:hint="cs"/>
          <w:sz w:val="27"/>
          <w:rtl/>
        </w:rPr>
        <w:t>ّ</w:t>
      </w:r>
      <w:r w:rsidRPr="006571AC">
        <w:rPr>
          <w:sz w:val="27"/>
          <w:rtl/>
        </w:rPr>
        <w:t>ي</w:t>
      </w:r>
      <w:r w:rsidRPr="006571AC">
        <w:rPr>
          <w:rFonts w:hint="cs"/>
          <w:sz w:val="27"/>
          <w:rtl/>
        </w:rPr>
        <w:t>ّ</w:t>
      </w:r>
      <w:r w:rsidRPr="006571AC">
        <w:rPr>
          <w:sz w:val="27"/>
          <w:rtl/>
        </w:rPr>
        <w:t>: لا ج</w:t>
      </w:r>
      <w:r w:rsidR="00252717" w:rsidRPr="006571AC">
        <w:rPr>
          <w:rFonts w:hint="cs"/>
          <w:sz w:val="27"/>
          <w:rtl/>
        </w:rPr>
        <w:t>َ</w:t>
      </w:r>
      <w:r w:rsidRPr="006571AC">
        <w:rPr>
          <w:sz w:val="27"/>
          <w:rtl/>
        </w:rPr>
        <w:t>ر</w:t>
      </w:r>
      <w:r w:rsidR="00252717" w:rsidRPr="006571AC">
        <w:rPr>
          <w:rFonts w:hint="cs"/>
          <w:sz w:val="27"/>
          <w:rtl/>
        </w:rPr>
        <w:t>َ</w:t>
      </w:r>
      <w:r w:rsidRPr="006571AC">
        <w:rPr>
          <w:sz w:val="27"/>
          <w:rtl/>
        </w:rPr>
        <w:t>م</w:t>
      </w:r>
      <w:r w:rsidR="00252717" w:rsidRPr="006571AC">
        <w:rPr>
          <w:rFonts w:hint="cs"/>
          <w:sz w:val="27"/>
          <w:rtl/>
        </w:rPr>
        <w:t>َ</w:t>
      </w:r>
      <w:r w:rsidRPr="006571AC">
        <w:rPr>
          <w:sz w:val="27"/>
          <w:rtl/>
        </w:rPr>
        <w:t xml:space="preserve"> </w:t>
      </w:r>
      <w:r w:rsidR="00252717" w:rsidRPr="006571AC">
        <w:rPr>
          <w:rFonts w:hint="cs"/>
          <w:sz w:val="27"/>
          <w:rtl/>
        </w:rPr>
        <w:t>أ</w:t>
      </w:r>
      <w:r w:rsidRPr="006571AC">
        <w:rPr>
          <w:sz w:val="27"/>
          <w:rtl/>
        </w:rPr>
        <w:t>ن</w:t>
      </w:r>
      <w:r w:rsidRPr="006571AC">
        <w:rPr>
          <w:rFonts w:hint="cs"/>
          <w:sz w:val="27"/>
          <w:rtl/>
        </w:rPr>
        <w:t>ّ</w:t>
      </w:r>
      <w:r w:rsidRPr="006571AC">
        <w:rPr>
          <w:sz w:val="27"/>
          <w:rtl/>
        </w:rPr>
        <w:t>ما تبعه م</w:t>
      </w:r>
      <w:r w:rsidRPr="006571AC">
        <w:rPr>
          <w:rFonts w:hint="cs"/>
          <w:sz w:val="27"/>
          <w:rtl/>
        </w:rPr>
        <w:t>َ</w:t>
      </w:r>
      <w:r w:rsidRPr="006571AC">
        <w:rPr>
          <w:sz w:val="27"/>
          <w:rtl/>
        </w:rPr>
        <w:t>ن</w:t>
      </w:r>
      <w:r w:rsidRPr="006571AC">
        <w:rPr>
          <w:rFonts w:hint="cs"/>
          <w:sz w:val="27"/>
          <w:rtl/>
        </w:rPr>
        <w:t>ْ</w:t>
      </w:r>
      <w:r w:rsidRPr="006571AC">
        <w:rPr>
          <w:sz w:val="27"/>
          <w:rtl/>
        </w:rPr>
        <w:t xml:space="preserve"> تبعه ل</w:t>
      </w:r>
      <w:r w:rsidRPr="006571AC">
        <w:rPr>
          <w:rFonts w:hint="cs"/>
          <w:sz w:val="27"/>
          <w:rtl/>
        </w:rPr>
        <w:t>أ</w:t>
      </w:r>
      <w:r w:rsidRPr="006571AC">
        <w:rPr>
          <w:sz w:val="27"/>
          <w:rtl/>
        </w:rPr>
        <w:t>فعاله الكريمة</w:t>
      </w:r>
      <w:r w:rsidRPr="006571AC">
        <w:rPr>
          <w:rFonts w:hint="cs"/>
          <w:sz w:val="27"/>
          <w:rtl/>
        </w:rPr>
        <w:t>،</w:t>
      </w:r>
      <w:r w:rsidRPr="006571AC">
        <w:rPr>
          <w:sz w:val="27"/>
          <w:rtl/>
        </w:rPr>
        <w:t xml:space="preserve"> فأنا </w:t>
      </w:r>
      <w:r w:rsidRPr="006571AC">
        <w:rPr>
          <w:rFonts w:hint="cs"/>
          <w:sz w:val="27"/>
          <w:rtl/>
        </w:rPr>
        <w:t>أ</w:t>
      </w:r>
      <w:r w:rsidRPr="006571AC">
        <w:rPr>
          <w:sz w:val="27"/>
          <w:rtl/>
        </w:rPr>
        <w:t>شهد أن</w:t>
      </w:r>
      <w:r w:rsidRPr="006571AC">
        <w:rPr>
          <w:rFonts w:hint="cs"/>
          <w:sz w:val="27"/>
          <w:rtl/>
        </w:rPr>
        <w:t>ّ</w:t>
      </w:r>
      <w:r w:rsidRPr="006571AC">
        <w:rPr>
          <w:sz w:val="27"/>
          <w:rtl/>
        </w:rPr>
        <w:t>ي على دينك</w:t>
      </w:r>
      <w:r w:rsidRPr="006571AC">
        <w:rPr>
          <w:rFonts w:hint="cs"/>
          <w:sz w:val="27"/>
          <w:rtl/>
        </w:rPr>
        <w:t>،</w:t>
      </w:r>
      <w:r w:rsidRPr="006571AC">
        <w:rPr>
          <w:sz w:val="27"/>
          <w:rtl/>
        </w:rPr>
        <w:t xml:space="preserve"> ورجع الذم</w:t>
      </w:r>
      <w:r w:rsidRPr="006571AC">
        <w:rPr>
          <w:rFonts w:hint="cs"/>
          <w:sz w:val="27"/>
          <w:rtl/>
        </w:rPr>
        <w:t>ّ</w:t>
      </w:r>
      <w:r w:rsidRPr="006571AC">
        <w:rPr>
          <w:sz w:val="27"/>
          <w:rtl/>
        </w:rPr>
        <w:t>ي</w:t>
      </w:r>
      <w:r w:rsidRPr="006571AC">
        <w:rPr>
          <w:rFonts w:hint="cs"/>
          <w:sz w:val="27"/>
          <w:rtl/>
        </w:rPr>
        <w:t>ّ</w:t>
      </w:r>
      <w:r w:rsidRPr="006571AC">
        <w:rPr>
          <w:sz w:val="27"/>
          <w:rtl/>
        </w:rPr>
        <w:t xml:space="preserve"> مع أمير المؤمنين</w:t>
      </w:r>
      <w:r w:rsidRPr="006571AC">
        <w:rPr>
          <w:rFonts w:ascii="Mosawi" w:hAnsi="Mosawi" w:cs="Mosawi"/>
          <w:sz w:val="22"/>
          <w:szCs w:val="22"/>
          <w:rtl/>
        </w:rPr>
        <w:t>×</w:t>
      </w:r>
      <w:r w:rsidRPr="006571AC">
        <w:rPr>
          <w:rFonts w:hint="cs"/>
          <w:sz w:val="27"/>
          <w:rtl/>
        </w:rPr>
        <w:t>،</w:t>
      </w:r>
      <w:r w:rsidRPr="006571AC">
        <w:rPr>
          <w:sz w:val="27"/>
          <w:rtl/>
        </w:rPr>
        <w:t xml:space="preserve"> فلم</w:t>
      </w:r>
      <w:r w:rsidRPr="006571AC">
        <w:rPr>
          <w:rFonts w:hint="cs"/>
          <w:sz w:val="27"/>
          <w:rtl/>
        </w:rPr>
        <w:t>ّ</w:t>
      </w:r>
      <w:r w:rsidRPr="006571AC">
        <w:rPr>
          <w:sz w:val="27"/>
          <w:rtl/>
        </w:rPr>
        <w:t>ا عرفه أسلم</w:t>
      </w:r>
      <w:r w:rsidRPr="006571AC">
        <w:rPr>
          <w:rFonts w:hint="cs"/>
          <w:sz w:val="24"/>
          <w:szCs w:val="24"/>
          <w:rtl/>
        </w:rPr>
        <w:t>»</w:t>
      </w:r>
      <w:r w:rsidRPr="006571AC">
        <w:rPr>
          <w:sz w:val="27"/>
          <w:vertAlign w:val="superscript"/>
          <w:rtl/>
        </w:rPr>
        <w:t>(</w:t>
      </w:r>
      <w:r w:rsidRPr="006571AC">
        <w:rPr>
          <w:rStyle w:val="ac"/>
          <w:sz w:val="27"/>
          <w:rtl/>
        </w:rPr>
        <w:endnoteReference w:id="883"/>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فلاحِظْ كيف أنّه</w:t>
      </w:r>
      <w:r w:rsidRPr="006571AC">
        <w:rPr>
          <w:rFonts w:ascii="Mosawi" w:hAnsi="Mosawi" w:cs="Mosawi"/>
          <w:sz w:val="22"/>
          <w:szCs w:val="22"/>
          <w:rtl/>
        </w:rPr>
        <w:t>&amp;</w:t>
      </w:r>
      <w:r w:rsidRPr="006571AC">
        <w:rPr>
          <w:rFonts w:hint="cs"/>
          <w:sz w:val="27"/>
          <w:rtl/>
        </w:rPr>
        <w:t xml:space="preserve"> قد اختصر هذه الزيادة بقوله: </w:t>
      </w:r>
      <w:r w:rsidRPr="006571AC">
        <w:rPr>
          <w:rFonts w:hint="cs"/>
          <w:sz w:val="24"/>
          <w:szCs w:val="24"/>
          <w:rtl/>
        </w:rPr>
        <w:t>«</w:t>
      </w:r>
      <w:r w:rsidRPr="006571AC">
        <w:rPr>
          <w:rFonts w:hint="cs"/>
          <w:sz w:val="27"/>
          <w:rtl/>
        </w:rPr>
        <w:t>وفيه أنّ الذمّيّ أسلم لذلك</w:t>
      </w:r>
      <w:r w:rsidRPr="006571AC">
        <w:rPr>
          <w:rFonts w:hint="cs"/>
          <w:sz w:val="24"/>
          <w:szCs w:val="24"/>
          <w:rtl/>
        </w:rPr>
        <w:t>»</w:t>
      </w:r>
      <w:r w:rsidRPr="006571AC">
        <w:rPr>
          <w:sz w:val="27"/>
          <w:vertAlign w:val="superscript"/>
          <w:rtl/>
        </w:rPr>
        <w:t>(</w:t>
      </w:r>
      <w:r w:rsidRPr="006571AC">
        <w:rPr>
          <w:rStyle w:val="ac"/>
          <w:sz w:val="27"/>
          <w:rtl/>
        </w:rPr>
        <w:endnoteReference w:id="884"/>
      </w:r>
      <w:r w:rsidRPr="006571AC">
        <w:rPr>
          <w:sz w:val="27"/>
          <w:vertAlign w:val="superscript"/>
          <w:rtl/>
        </w:rPr>
        <w:t>)</w:t>
      </w:r>
      <w:r w:rsidRPr="006571AC">
        <w:rPr>
          <w:rFonts w:hint="cs"/>
          <w:sz w:val="27"/>
          <w:rtl/>
        </w:rPr>
        <w:t>.</w:t>
      </w:r>
    </w:p>
    <w:p w:rsidR="008A3F20" w:rsidRPr="006571AC" w:rsidRDefault="008A3F20" w:rsidP="00C624EE">
      <w:pPr>
        <w:spacing w:line="420" w:lineRule="exact"/>
        <w:rPr>
          <w:sz w:val="27"/>
          <w:rtl/>
        </w:rPr>
      </w:pPr>
    </w:p>
    <w:p w:rsidR="008A3F20" w:rsidRPr="006571AC" w:rsidRDefault="00FF4029" w:rsidP="006A551D">
      <w:pPr>
        <w:pStyle w:val="31"/>
        <w:rPr>
          <w:color w:val="auto"/>
          <w:rtl/>
        </w:rPr>
      </w:pPr>
      <w:bookmarkStart w:id="564" w:name="_Toc171512879"/>
      <w:bookmarkStart w:id="565" w:name="_Toc114164919"/>
      <w:r w:rsidRPr="006571AC">
        <w:rPr>
          <w:rFonts w:hint="cs"/>
          <w:color w:val="auto"/>
          <w:rtl/>
        </w:rPr>
        <w:t xml:space="preserve">ج ـ </w:t>
      </w:r>
      <w:r w:rsidR="008A3F20" w:rsidRPr="006571AC">
        <w:rPr>
          <w:rFonts w:hint="cs"/>
          <w:color w:val="auto"/>
          <w:rtl/>
        </w:rPr>
        <w:t>حذف متون بعض الأحاديث، وقسم من أسنادها</w:t>
      </w:r>
      <w:bookmarkEnd w:id="564"/>
      <w:bookmarkEnd w:id="565"/>
      <w:r w:rsidR="008A3F20" w:rsidRPr="006571AC">
        <w:rPr>
          <w:color w:val="auto"/>
          <w:rtl/>
        </w:rPr>
        <w:t xml:space="preserve"> </w:t>
      </w:r>
    </w:p>
    <w:p w:rsidR="008A3F20" w:rsidRPr="006571AC" w:rsidRDefault="008A3F20" w:rsidP="000C6F2A">
      <w:pPr>
        <w:rPr>
          <w:b/>
          <w:bCs/>
          <w:sz w:val="27"/>
          <w:rtl/>
        </w:rPr>
      </w:pPr>
      <w:r w:rsidRPr="006571AC">
        <w:rPr>
          <w:rFonts w:hint="cs"/>
          <w:b/>
          <w:bCs/>
          <w:sz w:val="27"/>
          <w:rtl/>
        </w:rPr>
        <w:t>في ذكره لمصادر الحديث الأخرى يعمد الشيخ الحُرّ</w:t>
      </w:r>
      <w:r w:rsidRPr="006571AC">
        <w:rPr>
          <w:rFonts w:ascii="Mosawi" w:hAnsi="Mosawi" w:cs="Mosawi"/>
          <w:b/>
          <w:bCs/>
          <w:sz w:val="22"/>
          <w:szCs w:val="22"/>
          <w:rtl/>
        </w:rPr>
        <w:t>&amp;</w:t>
      </w:r>
      <w:r w:rsidRPr="006571AC">
        <w:rPr>
          <w:rFonts w:hint="cs"/>
          <w:sz w:val="27"/>
          <w:rtl/>
        </w:rPr>
        <w:t xml:space="preserve"> ـ وللاختصار ـ </w:t>
      </w:r>
      <w:r w:rsidRPr="006571AC">
        <w:rPr>
          <w:rFonts w:hint="cs"/>
          <w:b/>
          <w:bCs/>
          <w:sz w:val="27"/>
          <w:rtl/>
        </w:rPr>
        <w:t>إلى حذف متن الحديث المتَّحِد مع ما في المصدر الأصليّ للحديث.</w:t>
      </w:r>
    </w:p>
    <w:p w:rsidR="008A3F20" w:rsidRPr="006571AC" w:rsidRDefault="008A3F20" w:rsidP="000C6F2A">
      <w:pPr>
        <w:rPr>
          <w:sz w:val="27"/>
          <w:rtl/>
        </w:rPr>
      </w:pPr>
      <w:r w:rsidRPr="006571AC">
        <w:rPr>
          <w:rFonts w:hint="cs"/>
          <w:b/>
          <w:bCs/>
          <w:sz w:val="27"/>
          <w:rtl/>
        </w:rPr>
        <w:t>وكذلك يحذف قسماً من أسنادها، وهو القسم المشترك بينها وبين سند الحديث في المصدر الأصليّ له</w:t>
      </w:r>
      <w:r w:rsidRPr="006571AC">
        <w:rPr>
          <w:rFonts w:hint="cs"/>
          <w:sz w:val="27"/>
          <w:rtl/>
        </w:rPr>
        <w:t xml:space="preserve">. </w:t>
      </w:r>
    </w:p>
    <w:p w:rsidR="008A3F20" w:rsidRPr="006571AC" w:rsidRDefault="008A3F20" w:rsidP="000C6F2A">
      <w:pPr>
        <w:rPr>
          <w:sz w:val="27"/>
          <w:rtl/>
        </w:rPr>
      </w:pPr>
      <w:r w:rsidRPr="006571AC">
        <w:rPr>
          <w:rFonts w:hint="cs"/>
          <w:b/>
          <w:bCs/>
          <w:sz w:val="27"/>
          <w:rtl/>
        </w:rPr>
        <w:lastRenderedPageBreak/>
        <w:t xml:space="preserve">غير أنّه تارةً يترك الإشارة لحصول هذا الحذف؛ وتارةً أخرى يُشير إلى هذا الحذف بقوله: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نحوه</w:t>
      </w:r>
      <w:r w:rsidRPr="006571AC">
        <w:rPr>
          <w:rFonts w:hint="cs"/>
          <w:b/>
          <w:bCs/>
          <w:sz w:val="24"/>
          <w:szCs w:val="24"/>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 xml:space="preserve">ومن الأمثلة على ذلك: </w:t>
      </w:r>
    </w:p>
    <w:p w:rsidR="008A3F20" w:rsidRPr="006571AC" w:rsidRDefault="008A3F20" w:rsidP="000C6F2A">
      <w:pPr>
        <w:rPr>
          <w:sz w:val="27"/>
          <w:rtl/>
        </w:rPr>
      </w:pPr>
      <w:r w:rsidRPr="006571AC">
        <w:rPr>
          <w:rFonts w:hint="cs"/>
          <w:sz w:val="27"/>
          <w:rtl/>
        </w:rPr>
        <w:t xml:space="preserve">* ما في الباب 26 من كتاب الوصايا، ح 3، حيث قال: </w:t>
      </w:r>
      <w:r w:rsidRPr="006571AC">
        <w:rPr>
          <w:rFonts w:hint="cs"/>
          <w:sz w:val="24"/>
          <w:szCs w:val="24"/>
          <w:rtl/>
        </w:rPr>
        <w:t>«</w:t>
      </w:r>
      <w:r w:rsidRPr="006571AC">
        <w:rPr>
          <w:sz w:val="27"/>
          <w:rtl/>
        </w:rPr>
        <w:t>3ـ و</w:t>
      </w:r>
      <w:r w:rsidRPr="006571AC">
        <w:rPr>
          <w:rFonts w:hint="cs"/>
          <w:sz w:val="27"/>
          <w:rtl/>
        </w:rPr>
        <w:t xml:space="preserve">[الصدوق] </w:t>
      </w:r>
      <w:r w:rsidRPr="006571AC">
        <w:rPr>
          <w:sz w:val="27"/>
          <w:rtl/>
        </w:rPr>
        <w:t>بإسناده عن ابن أبي عمير، عن محم</w:t>
      </w:r>
      <w:r w:rsidRPr="006571AC">
        <w:rPr>
          <w:rFonts w:hint="cs"/>
          <w:sz w:val="27"/>
          <w:rtl/>
        </w:rPr>
        <w:t>ّ</w:t>
      </w:r>
      <w:r w:rsidRPr="006571AC">
        <w:rPr>
          <w:sz w:val="27"/>
          <w:rtl/>
        </w:rPr>
        <w:t>د بن أبي حمزة وحسين بن عثمان، عن إسحاق بن عم</w:t>
      </w:r>
      <w:r w:rsidRPr="006571AC">
        <w:rPr>
          <w:rFonts w:hint="cs"/>
          <w:sz w:val="27"/>
          <w:rtl/>
        </w:rPr>
        <w:t>ّ</w:t>
      </w:r>
      <w:r w:rsidRPr="006571AC">
        <w:rPr>
          <w:sz w:val="27"/>
          <w:rtl/>
        </w:rPr>
        <w:t>ار، عن أبي عبد الله</w:t>
      </w:r>
      <w:r w:rsidRPr="006571AC">
        <w:rPr>
          <w:rFonts w:ascii="Mosawi" w:hAnsi="Mosawi" w:cs="Mosawi"/>
          <w:sz w:val="22"/>
          <w:szCs w:val="22"/>
          <w:rtl/>
        </w:rPr>
        <w:t>×</w:t>
      </w:r>
      <w:r w:rsidR="00025BBF" w:rsidRPr="006571AC">
        <w:rPr>
          <w:rFonts w:hint="cs"/>
          <w:sz w:val="27"/>
          <w:rtl/>
        </w:rPr>
        <w:t>،</w:t>
      </w:r>
      <w:r w:rsidRPr="006571AC">
        <w:rPr>
          <w:sz w:val="27"/>
          <w:rtl/>
        </w:rPr>
        <w:t xml:space="preserve"> في رجل</w:t>
      </w:r>
      <w:r w:rsidR="00475C9C" w:rsidRPr="006571AC">
        <w:rPr>
          <w:rFonts w:hint="cs"/>
          <w:sz w:val="27"/>
          <w:rtl/>
        </w:rPr>
        <w:t>ٍ</w:t>
      </w:r>
      <w:r w:rsidRPr="006571AC">
        <w:rPr>
          <w:sz w:val="27"/>
          <w:rtl/>
        </w:rPr>
        <w:t xml:space="preserve"> مات فأقر</w:t>
      </w:r>
      <w:r w:rsidRPr="006571AC">
        <w:rPr>
          <w:rFonts w:hint="cs"/>
          <w:sz w:val="27"/>
          <w:rtl/>
        </w:rPr>
        <w:t>ّ</w:t>
      </w:r>
      <w:r w:rsidRPr="006571AC">
        <w:rPr>
          <w:sz w:val="27"/>
          <w:rtl/>
        </w:rPr>
        <w:t xml:space="preserve"> بعض</w:t>
      </w:r>
      <w:r w:rsidR="00475C9C" w:rsidRPr="006571AC">
        <w:rPr>
          <w:rFonts w:hint="cs"/>
          <w:sz w:val="27"/>
          <w:rtl/>
        </w:rPr>
        <w:t>ُ</w:t>
      </w:r>
      <w:r w:rsidRPr="006571AC">
        <w:rPr>
          <w:sz w:val="27"/>
          <w:rtl/>
        </w:rPr>
        <w:t xml:space="preserve"> و</w:t>
      </w:r>
      <w:r w:rsidR="00475C9C" w:rsidRPr="006571AC">
        <w:rPr>
          <w:rFonts w:hint="cs"/>
          <w:sz w:val="27"/>
          <w:rtl/>
        </w:rPr>
        <w:t>َ</w:t>
      </w:r>
      <w:r w:rsidRPr="006571AC">
        <w:rPr>
          <w:sz w:val="27"/>
          <w:rtl/>
        </w:rPr>
        <w:t>ر</w:t>
      </w:r>
      <w:r w:rsidR="00475C9C" w:rsidRPr="006571AC">
        <w:rPr>
          <w:rFonts w:hint="cs"/>
          <w:sz w:val="27"/>
          <w:rtl/>
        </w:rPr>
        <w:t>َ</w:t>
      </w:r>
      <w:r w:rsidRPr="006571AC">
        <w:rPr>
          <w:sz w:val="27"/>
          <w:rtl/>
        </w:rPr>
        <w:t>ثته لرجل</w:t>
      </w:r>
      <w:r w:rsidR="00475C9C" w:rsidRPr="006571AC">
        <w:rPr>
          <w:rFonts w:hint="cs"/>
          <w:sz w:val="27"/>
          <w:rtl/>
        </w:rPr>
        <w:t>ٍ</w:t>
      </w:r>
      <w:r w:rsidRPr="006571AC">
        <w:rPr>
          <w:sz w:val="27"/>
          <w:rtl/>
        </w:rPr>
        <w:t xml:space="preserve"> بد</w:t>
      </w:r>
      <w:r w:rsidRPr="006571AC">
        <w:rPr>
          <w:rFonts w:hint="cs"/>
          <w:sz w:val="27"/>
          <w:rtl/>
        </w:rPr>
        <w:t>َ</w:t>
      </w:r>
      <w:r w:rsidRPr="006571AC">
        <w:rPr>
          <w:sz w:val="27"/>
          <w:rtl/>
        </w:rPr>
        <w:t>ي</w:t>
      </w:r>
      <w:r w:rsidRPr="006571AC">
        <w:rPr>
          <w:rFonts w:hint="cs"/>
          <w:sz w:val="27"/>
          <w:rtl/>
        </w:rPr>
        <w:t>ْ</w:t>
      </w:r>
      <w:r w:rsidRPr="006571AC">
        <w:rPr>
          <w:sz w:val="27"/>
          <w:rtl/>
        </w:rPr>
        <w:t>ن</w:t>
      </w:r>
      <w:r w:rsidR="00475C9C" w:rsidRPr="006571AC">
        <w:rPr>
          <w:rFonts w:hint="cs"/>
          <w:sz w:val="27"/>
          <w:rtl/>
        </w:rPr>
        <w:t>ٍ</w:t>
      </w:r>
      <w:r w:rsidRPr="006571AC">
        <w:rPr>
          <w:rFonts w:hint="cs"/>
          <w:sz w:val="27"/>
          <w:rtl/>
        </w:rPr>
        <w:t>،</w:t>
      </w:r>
      <w:r w:rsidRPr="006571AC">
        <w:rPr>
          <w:sz w:val="27"/>
          <w:rtl/>
        </w:rPr>
        <w:t xml:space="preserve"> قال: يلزم ذلك في حص</w:t>
      </w:r>
      <w:r w:rsidRPr="006571AC">
        <w:rPr>
          <w:rFonts w:hint="cs"/>
          <w:sz w:val="27"/>
          <w:rtl/>
        </w:rPr>
        <w:t>ّ</w:t>
      </w:r>
      <w:r w:rsidRPr="006571AC">
        <w:rPr>
          <w:sz w:val="27"/>
          <w:rtl/>
        </w:rPr>
        <w:t xml:space="preserve">ته. </w:t>
      </w:r>
    </w:p>
    <w:p w:rsidR="008A3F20" w:rsidRPr="006571AC" w:rsidRDefault="008A3F20" w:rsidP="000C6F2A">
      <w:pPr>
        <w:rPr>
          <w:sz w:val="27"/>
          <w:rtl/>
        </w:rPr>
      </w:pPr>
      <w:r w:rsidRPr="006571AC">
        <w:rPr>
          <w:sz w:val="27"/>
          <w:rtl/>
        </w:rPr>
        <w:t>محم</w:t>
      </w:r>
      <w:r w:rsidRPr="006571AC">
        <w:rPr>
          <w:rFonts w:hint="cs"/>
          <w:sz w:val="27"/>
          <w:rtl/>
        </w:rPr>
        <w:t>ّ</w:t>
      </w:r>
      <w:r w:rsidRPr="006571AC">
        <w:rPr>
          <w:sz w:val="27"/>
          <w:rtl/>
        </w:rPr>
        <w:t>د بن يعقوب، عن عل</w:t>
      </w:r>
      <w:r w:rsidRPr="006571AC">
        <w:rPr>
          <w:rFonts w:hint="cs"/>
          <w:sz w:val="27"/>
          <w:rtl/>
        </w:rPr>
        <w:t>يّ</w:t>
      </w:r>
      <w:r w:rsidRPr="006571AC">
        <w:rPr>
          <w:sz w:val="27"/>
          <w:rtl/>
        </w:rPr>
        <w:t xml:space="preserve"> بن إبراهيم، عن أبيه، عن ابن أبي عمير</w:t>
      </w:r>
      <w:r w:rsidRPr="006571AC">
        <w:rPr>
          <w:rFonts w:hint="cs"/>
          <w:sz w:val="27"/>
          <w:rtl/>
        </w:rPr>
        <w:t>،</w:t>
      </w:r>
      <w:r w:rsidRPr="006571AC">
        <w:rPr>
          <w:sz w:val="27"/>
          <w:rtl/>
        </w:rPr>
        <w:t xml:space="preserve"> مثله. </w:t>
      </w:r>
    </w:p>
    <w:p w:rsidR="008A3F20" w:rsidRPr="006571AC" w:rsidRDefault="008A3F20" w:rsidP="000C6F2A">
      <w:pPr>
        <w:rPr>
          <w:sz w:val="27"/>
          <w:rtl/>
        </w:rPr>
      </w:pPr>
      <w:r w:rsidRPr="006571AC">
        <w:rPr>
          <w:sz w:val="27"/>
          <w:rtl/>
        </w:rPr>
        <w:t>ورواه الشيخ ب</w:t>
      </w:r>
      <w:r w:rsidRPr="006571AC">
        <w:rPr>
          <w:rFonts w:hint="cs"/>
          <w:sz w:val="27"/>
          <w:rtl/>
        </w:rPr>
        <w:t>إ</w:t>
      </w:r>
      <w:r w:rsidRPr="006571AC">
        <w:rPr>
          <w:sz w:val="27"/>
          <w:rtl/>
        </w:rPr>
        <w:t>سناده عن أحمد بن محم</w:t>
      </w:r>
      <w:r w:rsidRPr="006571AC">
        <w:rPr>
          <w:rFonts w:hint="cs"/>
          <w:sz w:val="27"/>
          <w:rtl/>
        </w:rPr>
        <w:t>ّ</w:t>
      </w:r>
      <w:r w:rsidRPr="006571AC">
        <w:rPr>
          <w:sz w:val="27"/>
          <w:rtl/>
        </w:rPr>
        <w:t>د بن عيسى، عن محم</w:t>
      </w:r>
      <w:r w:rsidRPr="006571AC">
        <w:rPr>
          <w:rFonts w:hint="cs"/>
          <w:sz w:val="27"/>
          <w:rtl/>
        </w:rPr>
        <w:t>ّ</w:t>
      </w:r>
      <w:r w:rsidRPr="006571AC">
        <w:rPr>
          <w:sz w:val="27"/>
          <w:rtl/>
        </w:rPr>
        <w:t>د بن أبي عمير</w:t>
      </w:r>
      <w:r w:rsidRPr="006571AC">
        <w:rPr>
          <w:rFonts w:hint="cs"/>
          <w:sz w:val="24"/>
          <w:szCs w:val="24"/>
          <w:rtl/>
        </w:rPr>
        <w:t>»</w:t>
      </w:r>
      <w:r w:rsidRPr="006571AC">
        <w:rPr>
          <w:sz w:val="27"/>
          <w:vertAlign w:val="superscript"/>
          <w:rtl/>
        </w:rPr>
        <w:t>(</w:t>
      </w:r>
      <w:r w:rsidRPr="006571AC">
        <w:rPr>
          <w:rStyle w:val="ac"/>
          <w:sz w:val="27"/>
          <w:rtl/>
        </w:rPr>
        <w:endnoteReference w:id="885"/>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 وما في الباب 1 من أبواب القبلة، ح 1، حيث قال: </w:t>
      </w:r>
      <w:r w:rsidRPr="006571AC">
        <w:rPr>
          <w:rFonts w:hint="cs"/>
          <w:sz w:val="24"/>
          <w:szCs w:val="24"/>
          <w:rtl/>
        </w:rPr>
        <w:t>«</w:t>
      </w:r>
      <w:r w:rsidRPr="006571AC">
        <w:rPr>
          <w:sz w:val="27"/>
          <w:rtl/>
        </w:rPr>
        <w:t>1ـ محم</w:t>
      </w:r>
      <w:r w:rsidRPr="006571AC">
        <w:rPr>
          <w:rFonts w:hint="cs"/>
          <w:sz w:val="27"/>
          <w:rtl/>
        </w:rPr>
        <w:t>ّ</w:t>
      </w:r>
      <w:r w:rsidRPr="006571AC">
        <w:rPr>
          <w:sz w:val="27"/>
          <w:rtl/>
        </w:rPr>
        <w:t>د بن الحسن بإسناده عن حم</w:t>
      </w:r>
      <w:r w:rsidRPr="006571AC">
        <w:rPr>
          <w:rFonts w:hint="cs"/>
          <w:sz w:val="27"/>
          <w:rtl/>
        </w:rPr>
        <w:t>ّ</w:t>
      </w:r>
      <w:r w:rsidRPr="006571AC">
        <w:rPr>
          <w:sz w:val="27"/>
          <w:rtl/>
        </w:rPr>
        <w:t>اد، عن حريز، عن زرارة قال: سألت</w:t>
      </w:r>
      <w:r w:rsidRPr="006571AC">
        <w:rPr>
          <w:rFonts w:hint="cs"/>
          <w:sz w:val="27"/>
          <w:rtl/>
        </w:rPr>
        <w:t>ُ</w:t>
      </w:r>
      <w:r w:rsidRPr="006571AC">
        <w:rPr>
          <w:sz w:val="27"/>
          <w:rtl/>
        </w:rPr>
        <w:t xml:space="preserve"> أبا جعفر</w:t>
      </w:r>
      <w:r w:rsidRPr="006571AC">
        <w:rPr>
          <w:rFonts w:ascii="Mosawi" w:hAnsi="Mosawi" w:cs="Mosawi"/>
          <w:sz w:val="22"/>
          <w:szCs w:val="22"/>
          <w:rtl/>
        </w:rPr>
        <w:t>×</w:t>
      </w:r>
      <w:r w:rsidRPr="006571AC">
        <w:rPr>
          <w:sz w:val="27"/>
          <w:rtl/>
        </w:rPr>
        <w:t xml:space="preserve"> عن الفرض في الصلاة؟ فقال: الوقت، والطهور، والقبلة، والتوج</w:t>
      </w:r>
      <w:r w:rsidRPr="006571AC">
        <w:rPr>
          <w:rFonts w:hint="cs"/>
          <w:sz w:val="27"/>
          <w:rtl/>
        </w:rPr>
        <w:t>ّ</w:t>
      </w:r>
      <w:r w:rsidRPr="006571AC">
        <w:rPr>
          <w:sz w:val="27"/>
          <w:rtl/>
        </w:rPr>
        <w:t>ه، والركوع، والسجود، والدعاء</w:t>
      </w:r>
      <w:r w:rsidRPr="006571AC">
        <w:rPr>
          <w:rFonts w:hint="cs"/>
          <w:sz w:val="27"/>
          <w:rtl/>
        </w:rPr>
        <w:t>،</w:t>
      </w:r>
      <w:r w:rsidRPr="006571AC">
        <w:rPr>
          <w:sz w:val="27"/>
          <w:rtl/>
        </w:rPr>
        <w:t xml:space="preserve"> قلت</w:t>
      </w:r>
      <w:r w:rsidRPr="006571AC">
        <w:rPr>
          <w:rFonts w:hint="cs"/>
          <w:sz w:val="27"/>
          <w:rtl/>
        </w:rPr>
        <w:t>ُ</w:t>
      </w:r>
      <w:r w:rsidRPr="006571AC">
        <w:rPr>
          <w:sz w:val="27"/>
          <w:rtl/>
        </w:rPr>
        <w:t>: ما سوى ذلك؟ فقال: سن</w:t>
      </w:r>
      <w:r w:rsidRPr="006571AC">
        <w:rPr>
          <w:rFonts w:hint="cs"/>
          <w:sz w:val="27"/>
          <w:rtl/>
        </w:rPr>
        <w:t>ّ</w:t>
      </w:r>
      <w:r w:rsidRPr="006571AC">
        <w:rPr>
          <w:sz w:val="27"/>
          <w:rtl/>
        </w:rPr>
        <w:t>ة</w:t>
      </w:r>
      <w:r w:rsidR="00475C9C" w:rsidRPr="006571AC">
        <w:rPr>
          <w:rFonts w:hint="cs"/>
          <w:sz w:val="27"/>
          <w:rtl/>
        </w:rPr>
        <w:t>ٌ</w:t>
      </w:r>
      <w:r w:rsidRPr="006571AC">
        <w:rPr>
          <w:sz w:val="27"/>
          <w:rtl/>
        </w:rPr>
        <w:t xml:space="preserve"> في فريضة</w:t>
      </w:r>
      <w:r w:rsidR="00475C9C"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و</w:t>
      </w:r>
      <w:r w:rsidRPr="006571AC">
        <w:rPr>
          <w:rFonts w:hint="cs"/>
          <w:sz w:val="27"/>
          <w:rtl/>
        </w:rPr>
        <w:t xml:space="preserve">[الطوسيّ] </w:t>
      </w:r>
      <w:r w:rsidRPr="006571AC">
        <w:rPr>
          <w:sz w:val="27"/>
          <w:rtl/>
        </w:rPr>
        <w:t>بإسناده عن سعد بن عبد الله، عن أحمد بن محم</w:t>
      </w:r>
      <w:r w:rsidRPr="006571AC">
        <w:rPr>
          <w:rFonts w:hint="cs"/>
          <w:sz w:val="27"/>
          <w:rtl/>
        </w:rPr>
        <w:t>ّ</w:t>
      </w:r>
      <w:r w:rsidRPr="006571AC">
        <w:rPr>
          <w:sz w:val="27"/>
          <w:rtl/>
        </w:rPr>
        <w:t>د، عن علي</w:t>
      </w:r>
      <w:r w:rsidRPr="006571AC">
        <w:rPr>
          <w:rFonts w:hint="cs"/>
          <w:sz w:val="27"/>
          <w:rtl/>
        </w:rPr>
        <w:t>ّ</w:t>
      </w:r>
      <w:r w:rsidRPr="006571AC">
        <w:rPr>
          <w:sz w:val="27"/>
          <w:rtl/>
        </w:rPr>
        <w:t xml:space="preserve"> بن حديد، عن عبد الرحمن بن أبي نجران والحسين بن سعيد، عن حم</w:t>
      </w:r>
      <w:r w:rsidRPr="006571AC">
        <w:rPr>
          <w:rFonts w:hint="cs"/>
          <w:sz w:val="27"/>
          <w:rtl/>
        </w:rPr>
        <w:t>ّ</w:t>
      </w:r>
      <w:r w:rsidRPr="006571AC">
        <w:rPr>
          <w:sz w:val="27"/>
          <w:rtl/>
        </w:rPr>
        <w:t xml:space="preserve">اد بن عيسى، </w:t>
      </w:r>
      <w:r w:rsidRPr="006571AC">
        <w:rPr>
          <w:b/>
          <w:bCs/>
          <w:sz w:val="27"/>
          <w:rtl/>
        </w:rPr>
        <w:t>نحوه</w:t>
      </w:r>
      <w:r w:rsidRPr="006571AC">
        <w:rPr>
          <w:sz w:val="27"/>
          <w:rtl/>
        </w:rPr>
        <w:t xml:space="preserve">. </w:t>
      </w:r>
    </w:p>
    <w:p w:rsidR="008A3F20" w:rsidRPr="006571AC" w:rsidRDefault="008A3F20" w:rsidP="000C6F2A">
      <w:pPr>
        <w:rPr>
          <w:sz w:val="27"/>
          <w:rtl/>
        </w:rPr>
      </w:pPr>
      <w:r w:rsidRPr="006571AC">
        <w:rPr>
          <w:sz w:val="27"/>
          <w:rtl/>
        </w:rPr>
        <w:t>ورواه الكليني</w:t>
      </w:r>
      <w:r w:rsidRPr="006571AC">
        <w:rPr>
          <w:rFonts w:hint="cs"/>
          <w:sz w:val="27"/>
          <w:rtl/>
        </w:rPr>
        <w:t>ّ،</w:t>
      </w:r>
      <w:r w:rsidRPr="006571AC">
        <w:rPr>
          <w:sz w:val="27"/>
          <w:rtl/>
        </w:rPr>
        <w:t xml:space="preserve"> عن علي</w:t>
      </w:r>
      <w:r w:rsidRPr="006571AC">
        <w:rPr>
          <w:rFonts w:hint="cs"/>
          <w:sz w:val="27"/>
          <w:rtl/>
        </w:rPr>
        <w:t>ّ</w:t>
      </w:r>
      <w:r w:rsidRPr="006571AC">
        <w:rPr>
          <w:sz w:val="27"/>
          <w:rtl/>
        </w:rPr>
        <w:t xml:space="preserve"> بن إبراهيم، عن أبيه، وعن 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وعن محم</w:t>
      </w:r>
      <w:r w:rsidRPr="006571AC">
        <w:rPr>
          <w:rFonts w:hint="cs"/>
          <w:sz w:val="27"/>
          <w:rtl/>
        </w:rPr>
        <w:t>ّ</w:t>
      </w:r>
      <w:r w:rsidRPr="006571AC">
        <w:rPr>
          <w:sz w:val="27"/>
          <w:rtl/>
        </w:rPr>
        <w:t>د بن إسماعيل، عن الفضل بن شاذان</w:t>
      </w:r>
      <w:r w:rsidR="00475C9C" w:rsidRPr="006571AC">
        <w:rPr>
          <w:rFonts w:hint="cs"/>
          <w:sz w:val="27"/>
          <w:rtl/>
        </w:rPr>
        <w:t>،</w:t>
      </w:r>
      <w:r w:rsidRPr="006571AC">
        <w:rPr>
          <w:sz w:val="27"/>
          <w:rtl/>
        </w:rPr>
        <w:t xml:space="preserve"> جميعا</w:t>
      </w:r>
      <w:r w:rsidRPr="006571AC">
        <w:rPr>
          <w:rFonts w:hint="cs"/>
          <w:sz w:val="27"/>
          <w:rtl/>
        </w:rPr>
        <w:t>ً</w:t>
      </w:r>
      <w:r w:rsidRPr="006571AC">
        <w:rPr>
          <w:sz w:val="27"/>
          <w:rtl/>
        </w:rPr>
        <w:t>، عن حم</w:t>
      </w:r>
      <w:r w:rsidRPr="006571AC">
        <w:rPr>
          <w:rFonts w:hint="cs"/>
          <w:sz w:val="27"/>
          <w:rtl/>
        </w:rPr>
        <w:t>ّ</w:t>
      </w:r>
      <w:r w:rsidRPr="006571AC">
        <w:rPr>
          <w:sz w:val="27"/>
          <w:rtl/>
        </w:rPr>
        <w:t xml:space="preserve">اد، </w:t>
      </w:r>
      <w:r w:rsidRPr="006571AC">
        <w:rPr>
          <w:b/>
          <w:bCs/>
          <w:sz w:val="27"/>
          <w:rtl/>
        </w:rPr>
        <w:t>مثله</w:t>
      </w:r>
      <w:r w:rsidRPr="006571AC">
        <w:rPr>
          <w:rFonts w:hint="cs"/>
          <w:sz w:val="24"/>
          <w:szCs w:val="24"/>
          <w:rtl/>
        </w:rPr>
        <w:t>»</w:t>
      </w:r>
      <w:r w:rsidRPr="006571AC">
        <w:rPr>
          <w:sz w:val="27"/>
          <w:vertAlign w:val="superscript"/>
          <w:rtl/>
        </w:rPr>
        <w:t>(</w:t>
      </w:r>
      <w:r w:rsidRPr="006571AC">
        <w:rPr>
          <w:rStyle w:val="ac"/>
          <w:sz w:val="27"/>
          <w:rtl/>
        </w:rPr>
        <w:endnoteReference w:id="886"/>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 وما في الباب 56 من أبواب الدفن، ح 3، حيث قال: </w:t>
      </w:r>
      <w:r w:rsidRPr="006571AC">
        <w:rPr>
          <w:rFonts w:hint="cs"/>
          <w:sz w:val="24"/>
          <w:szCs w:val="24"/>
          <w:rtl/>
        </w:rPr>
        <w:t>«</w:t>
      </w:r>
      <w:r w:rsidRPr="006571AC">
        <w:rPr>
          <w:rFonts w:hint="cs"/>
          <w:sz w:val="27"/>
          <w:rtl/>
        </w:rPr>
        <w:t xml:space="preserve">3ـ </w:t>
      </w:r>
      <w:r w:rsidRPr="006571AC">
        <w:rPr>
          <w:sz w:val="27"/>
          <w:rtl/>
        </w:rPr>
        <w:t>و</w:t>
      </w:r>
      <w:r w:rsidRPr="006571AC">
        <w:rPr>
          <w:rFonts w:hint="cs"/>
          <w:sz w:val="27"/>
          <w:rtl/>
        </w:rPr>
        <w:t xml:space="preserve">[محمّد بن يعقوب] </w:t>
      </w:r>
      <w:r w:rsidRPr="006571AC">
        <w:rPr>
          <w:sz w:val="27"/>
          <w:rtl/>
        </w:rPr>
        <w:t>عن 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بن عيسى، عن الحسين بن سعيد، عن النضر بن سويد، عن القاسم بن سليمان، عن جر</w:t>
      </w:r>
      <w:r w:rsidRPr="006571AC">
        <w:rPr>
          <w:rFonts w:hint="cs"/>
          <w:sz w:val="27"/>
          <w:rtl/>
        </w:rPr>
        <w:t>ّ</w:t>
      </w:r>
      <w:r w:rsidRPr="006571AC">
        <w:rPr>
          <w:sz w:val="27"/>
          <w:rtl/>
        </w:rPr>
        <w:t>اح المدائني</w:t>
      </w:r>
      <w:r w:rsidRPr="006571AC">
        <w:rPr>
          <w:rFonts w:hint="cs"/>
          <w:sz w:val="27"/>
          <w:rtl/>
        </w:rPr>
        <w:t>ّ</w:t>
      </w:r>
      <w:r w:rsidRPr="006571AC">
        <w:rPr>
          <w:sz w:val="27"/>
          <w:rtl/>
        </w:rPr>
        <w:t xml:space="preserve"> قال: سألت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sz w:val="27"/>
          <w:rtl/>
        </w:rPr>
        <w:t xml:space="preserve"> كيف التسليم على أهل القبور؟ قال: تقول: السلام على أهل الديار من المؤمنين والمسلمين، رحم الله المستقد</w:t>
      </w:r>
      <w:r w:rsidRPr="006571AC">
        <w:rPr>
          <w:rFonts w:hint="cs"/>
          <w:sz w:val="27"/>
          <w:rtl/>
        </w:rPr>
        <w:t>ِ</w:t>
      </w:r>
      <w:r w:rsidRPr="006571AC">
        <w:rPr>
          <w:sz w:val="27"/>
          <w:rtl/>
        </w:rPr>
        <w:t>مين من</w:t>
      </w:r>
      <w:r w:rsidRPr="006571AC">
        <w:rPr>
          <w:rFonts w:hint="cs"/>
          <w:sz w:val="27"/>
          <w:rtl/>
        </w:rPr>
        <w:t>ّ</w:t>
      </w:r>
      <w:r w:rsidRPr="006571AC">
        <w:rPr>
          <w:sz w:val="27"/>
          <w:rtl/>
        </w:rPr>
        <w:t>ا والمستأخ</w:t>
      </w:r>
      <w:r w:rsidRPr="006571AC">
        <w:rPr>
          <w:rFonts w:hint="cs"/>
          <w:sz w:val="27"/>
          <w:rtl/>
        </w:rPr>
        <w:t>ِ</w:t>
      </w:r>
      <w:r w:rsidRPr="006571AC">
        <w:rPr>
          <w:sz w:val="27"/>
          <w:rtl/>
        </w:rPr>
        <w:t>رين</w:t>
      </w:r>
      <w:r w:rsidRPr="006571AC">
        <w:rPr>
          <w:rFonts w:hint="cs"/>
          <w:sz w:val="27"/>
          <w:rtl/>
        </w:rPr>
        <w:t>،</w:t>
      </w:r>
      <w:r w:rsidRPr="006571AC">
        <w:rPr>
          <w:sz w:val="27"/>
          <w:rtl/>
        </w:rPr>
        <w:t xml:space="preserve"> وإن</w:t>
      </w:r>
      <w:r w:rsidRPr="006571AC">
        <w:rPr>
          <w:rFonts w:hint="cs"/>
          <w:sz w:val="27"/>
          <w:rtl/>
        </w:rPr>
        <w:t>ّ</w:t>
      </w:r>
      <w:r w:rsidRPr="006571AC">
        <w:rPr>
          <w:sz w:val="27"/>
          <w:rtl/>
        </w:rPr>
        <w:t xml:space="preserve">ا </w:t>
      </w:r>
      <w:r w:rsidRPr="006571AC">
        <w:rPr>
          <w:rFonts w:hint="cs"/>
          <w:sz w:val="27"/>
          <w:rtl/>
        </w:rPr>
        <w:t xml:space="preserve">ـ </w:t>
      </w:r>
      <w:r w:rsidRPr="006571AC">
        <w:rPr>
          <w:sz w:val="27"/>
          <w:rtl/>
        </w:rPr>
        <w:t>إن</w:t>
      </w:r>
      <w:r w:rsidRPr="006571AC">
        <w:rPr>
          <w:rFonts w:hint="cs"/>
          <w:sz w:val="27"/>
          <w:rtl/>
        </w:rPr>
        <w:t>ْ</w:t>
      </w:r>
      <w:r w:rsidRPr="006571AC">
        <w:rPr>
          <w:sz w:val="27"/>
          <w:rtl/>
        </w:rPr>
        <w:t xml:space="preserve"> شاء الله </w:t>
      </w:r>
      <w:r w:rsidRPr="006571AC">
        <w:rPr>
          <w:rFonts w:hint="cs"/>
          <w:sz w:val="27"/>
          <w:rtl/>
        </w:rPr>
        <w:t>ـ</w:t>
      </w:r>
      <w:r w:rsidRPr="006571AC">
        <w:rPr>
          <w:sz w:val="27"/>
          <w:rtl/>
        </w:rPr>
        <w:t xml:space="preserve"> بكم لاحقون. </w:t>
      </w:r>
    </w:p>
    <w:p w:rsidR="008A3F20" w:rsidRPr="006571AC" w:rsidRDefault="008A3F20" w:rsidP="000C6F2A">
      <w:pPr>
        <w:rPr>
          <w:sz w:val="27"/>
          <w:rtl/>
        </w:rPr>
      </w:pPr>
      <w:r w:rsidRPr="006571AC">
        <w:rPr>
          <w:sz w:val="27"/>
          <w:rtl/>
        </w:rPr>
        <w:lastRenderedPageBreak/>
        <w:t>ورواه الصدوق بإسناده عن جر</w:t>
      </w:r>
      <w:r w:rsidRPr="006571AC">
        <w:rPr>
          <w:rFonts w:hint="cs"/>
          <w:sz w:val="27"/>
          <w:rtl/>
        </w:rPr>
        <w:t>ّ</w:t>
      </w:r>
      <w:r w:rsidRPr="006571AC">
        <w:rPr>
          <w:sz w:val="27"/>
          <w:rtl/>
        </w:rPr>
        <w:t>اح المدائني</w:t>
      </w:r>
      <w:r w:rsidRPr="006571AC">
        <w:rPr>
          <w:rFonts w:hint="cs"/>
          <w:sz w:val="27"/>
          <w:rtl/>
        </w:rPr>
        <w:t>ّ،</w:t>
      </w:r>
      <w:r w:rsidRPr="006571AC">
        <w:rPr>
          <w:sz w:val="27"/>
          <w:rtl/>
        </w:rPr>
        <w:t xml:space="preserve"> </w:t>
      </w:r>
      <w:r w:rsidRPr="006571AC">
        <w:rPr>
          <w:b/>
          <w:bCs/>
          <w:sz w:val="27"/>
          <w:rtl/>
        </w:rPr>
        <w:t>مثله</w:t>
      </w:r>
      <w:r w:rsidRPr="006571AC">
        <w:rPr>
          <w:rFonts w:hint="cs"/>
          <w:sz w:val="27"/>
          <w:rtl/>
        </w:rPr>
        <w:t>،</w:t>
      </w:r>
      <w:r w:rsidRPr="006571AC">
        <w:rPr>
          <w:sz w:val="27"/>
          <w:rtl/>
        </w:rPr>
        <w:t xml:space="preserve"> إلا</w:t>
      </w:r>
      <w:r w:rsidRPr="006571AC">
        <w:rPr>
          <w:rFonts w:hint="cs"/>
          <w:sz w:val="27"/>
          <w:rtl/>
        </w:rPr>
        <w:t>ّ</w:t>
      </w:r>
      <w:r w:rsidRPr="006571AC">
        <w:rPr>
          <w:sz w:val="27"/>
          <w:rtl/>
        </w:rPr>
        <w:t xml:space="preserve"> أن</w:t>
      </w:r>
      <w:r w:rsidRPr="006571AC">
        <w:rPr>
          <w:rFonts w:hint="cs"/>
          <w:sz w:val="27"/>
          <w:rtl/>
        </w:rPr>
        <w:t>ّ</w:t>
      </w:r>
      <w:r w:rsidRPr="006571AC">
        <w:rPr>
          <w:sz w:val="27"/>
          <w:rtl/>
        </w:rPr>
        <w:t>ه قال: رحم الله المتقد</w:t>
      </w:r>
      <w:r w:rsidRPr="006571AC">
        <w:rPr>
          <w:rFonts w:hint="cs"/>
          <w:sz w:val="27"/>
          <w:rtl/>
        </w:rPr>
        <w:t>ِّ</w:t>
      </w:r>
      <w:r w:rsidRPr="006571AC">
        <w:rPr>
          <w:sz w:val="27"/>
          <w:rtl/>
        </w:rPr>
        <w:t>مين من</w:t>
      </w:r>
      <w:r w:rsidRPr="006571AC">
        <w:rPr>
          <w:rFonts w:hint="cs"/>
          <w:sz w:val="27"/>
          <w:rtl/>
        </w:rPr>
        <w:t>ّ</w:t>
      </w:r>
      <w:r w:rsidRPr="006571AC">
        <w:rPr>
          <w:sz w:val="27"/>
          <w:rtl/>
        </w:rPr>
        <w:t>ا والمتأخ</w:t>
      </w:r>
      <w:r w:rsidRPr="006571AC">
        <w:rPr>
          <w:rFonts w:hint="cs"/>
          <w:sz w:val="27"/>
          <w:rtl/>
        </w:rPr>
        <w:t>ِّ</w:t>
      </w:r>
      <w:r w:rsidRPr="006571AC">
        <w:rPr>
          <w:sz w:val="27"/>
          <w:rtl/>
        </w:rPr>
        <w:t>رين</w:t>
      </w:r>
      <w:r w:rsidRPr="006571AC">
        <w:rPr>
          <w:rFonts w:hint="cs"/>
          <w:sz w:val="24"/>
          <w:szCs w:val="24"/>
          <w:rtl/>
        </w:rPr>
        <w:t>»</w:t>
      </w:r>
      <w:r w:rsidRPr="006571AC">
        <w:rPr>
          <w:sz w:val="27"/>
          <w:vertAlign w:val="superscript"/>
          <w:rtl/>
        </w:rPr>
        <w:t>(</w:t>
      </w:r>
      <w:r w:rsidRPr="006571AC">
        <w:rPr>
          <w:rStyle w:val="ac"/>
          <w:sz w:val="27"/>
          <w:rtl/>
        </w:rPr>
        <w:endnoteReference w:id="887"/>
      </w:r>
      <w:r w:rsidRPr="006571AC">
        <w:rPr>
          <w:sz w:val="27"/>
          <w:vertAlign w:val="superscript"/>
          <w:rtl/>
        </w:rPr>
        <w:t>)</w:t>
      </w:r>
      <w:r w:rsidRPr="006571AC">
        <w:rPr>
          <w:rFonts w:hint="cs"/>
          <w:sz w:val="27"/>
          <w:rtl/>
        </w:rPr>
        <w:t>.</w:t>
      </w:r>
    </w:p>
    <w:p w:rsidR="008A3F20" w:rsidRPr="006571AC" w:rsidRDefault="008A3F20" w:rsidP="000C6F2A">
      <w:pPr>
        <w:rPr>
          <w:sz w:val="27"/>
        </w:rPr>
      </w:pPr>
      <w:r w:rsidRPr="006571AC">
        <w:rPr>
          <w:rFonts w:hint="cs"/>
          <w:sz w:val="27"/>
          <w:rtl/>
        </w:rPr>
        <w:t xml:space="preserve">* وما في الباب 53 من أبواب الأطعمة المحرَّمة، ح 2، حيث قال: </w:t>
      </w:r>
      <w:r w:rsidRPr="006571AC">
        <w:rPr>
          <w:rFonts w:hint="cs"/>
          <w:sz w:val="24"/>
          <w:szCs w:val="24"/>
          <w:rtl/>
        </w:rPr>
        <w:t>«</w:t>
      </w:r>
      <w:r w:rsidRPr="006571AC">
        <w:rPr>
          <w:rFonts w:hint="cs"/>
          <w:sz w:val="27"/>
          <w:rtl/>
        </w:rPr>
        <w:t xml:space="preserve">2ـ </w:t>
      </w:r>
      <w:r w:rsidRPr="006571AC">
        <w:rPr>
          <w:sz w:val="27"/>
          <w:rtl/>
        </w:rPr>
        <w:t>و</w:t>
      </w:r>
      <w:r w:rsidRPr="006571AC">
        <w:rPr>
          <w:rFonts w:hint="cs"/>
          <w:sz w:val="27"/>
          <w:rtl/>
        </w:rPr>
        <w:t xml:space="preserve">[محمّد بن يعقوب] </w:t>
      </w:r>
      <w:r w:rsidRPr="006571AC">
        <w:rPr>
          <w:sz w:val="27"/>
          <w:rtl/>
        </w:rPr>
        <w:t>عن محم</w:t>
      </w:r>
      <w:r w:rsidRPr="006571AC">
        <w:rPr>
          <w:rFonts w:hint="cs"/>
          <w:sz w:val="27"/>
          <w:rtl/>
        </w:rPr>
        <w:t>ّ</w:t>
      </w:r>
      <w:r w:rsidRPr="006571AC">
        <w:rPr>
          <w:sz w:val="27"/>
          <w:rtl/>
        </w:rPr>
        <w:t>د بن يحيى</w:t>
      </w:r>
      <w:r w:rsidRPr="006571AC">
        <w:rPr>
          <w:rFonts w:hint="cs"/>
          <w:sz w:val="27"/>
          <w:rtl/>
        </w:rPr>
        <w:t>،</w:t>
      </w:r>
      <w:r w:rsidRPr="006571AC">
        <w:rPr>
          <w:sz w:val="27"/>
          <w:rtl/>
        </w:rPr>
        <w:t xml:space="preserve"> عن أحمد بن محم</w:t>
      </w:r>
      <w:r w:rsidRPr="006571AC">
        <w:rPr>
          <w:rFonts w:hint="cs"/>
          <w:sz w:val="27"/>
          <w:rtl/>
        </w:rPr>
        <w:t>ّ</w:t>
      </w:r>
      <w:r w:rsidRPr="006571AC">
        <w:rPr>
          <w:sz w:val="27"/>
          <w:rtl/>
        </w:rPr>
        <w:t>د</w:t>
      </w:r>
      <w:r w:rsidRPr="006571AC">
        <w:rPr>
          <w:rFonts w:hint="cs"/>
          <w:sz w:val="27"/>
          <w:rtl/>
        </w:rPr>
        <w:t xml:space="preserve">، عن عليّ بن الحكم، عن عبد الله بن يحيى الكاهليّ </w:t>
      </w:r>
      <w:r w:rsidRPr="006571AC">
        <w:rPr>
          <w:sz w:val="27"/>
          <w:rtl/>
        </w:rPr>
        <w:t>قال: س</w:t>
      </w:r>
      <w:r w:rsidRPr="006571AC">
        <w:rPr>
          <w:rFonts w:hint="cs"/>
          <w:sz w:val="27"/>
          <w:rtl/>
        </w:rPr>
        <w:t>ُ</w:t>
      </w:r>
      <w:r w:rsidRPr="006571AC">
        <w:rPr>
          <w:sz w:val="27"/>
          <w:rtl/>
        </w:rPr>
        <w:t>ئل أب</w:t>
      </w:r>
      <w:r w:rsidRPr="006571AC">
        <w:rPr>
          <w:rFonts w:hint="cs"/>
          <w:sz w:val="27"/>
          <w:rtl/>
        </w:rPr>
        <w:t>و</w:t>
      </w:r>
      <w:r w:rsidRPr="006571AC">
        <w:rPr>
          <w:sz w:val="27"/>
          <w:rtl/>
        </w:rPr>
        <w:t xml:space="preserve"> عبد الله</w:t>
      </w:r>
      <w:r w:rsidRPr="006571AC">
        <w:rPr>
          <w:rFonts w:ascii="Mosawi" w:hAnsi="Mosawi" w:cs="Mosawi"/>
          <w:sz w:val="22"/>
          <w:szCs w:val="22"/>
          <w:rtl/>
        </w:rPr>
        <w:t>×</w:t>
      </w:r>
      <w:r w:rsidRPr="006571AC">
        <w:rPr>
          <w:sz w:val="27"/>
          <w:rtl/>
        </w:rPr>
        <w:t xml:space="preserve"> عن قوم</w:t>
      </w:r>
      <w:r w:rsidRPr="006571AC">
        <w:rPr>
          <w:rFonts w:hint="cs"/>
          <w:sz w:val="27"/>
          <w:rtl/>
        </w:rPr>
        <w:t>ٍ</w:t>
      </w:r>
      <w:r w:rsidRPr="006571AC">
        <w:rPr>
          <w:sz w:val="27"/>
          <w:rtl/>
        </w:rPr>
        <w:t xml:space="preserve"> مسلمين يأكلون</w:t>
      </w:r>
      <w:r w:rsidRPr="006571AC">
        <w:rPr>
          <w:rFonts w:hint="cs"/>
          <w:sz w:val="27"/>
          <w:rtl/>
        </w:rPr>
        <w:t>،</w:t>
      </w:r>
      <w:r w:rsidRPr="006571AC">
        <w:rPr>
          <w:sz w:val="27"/>
          <w:rtl/>
        </w:rPr>
        <w:t xml:space="preserve"> وحضرهم مجوسي</w:t>
      </w:r>
      <w:r w:rsidRPr="006571AC">
        <w:rPr>
          <w:rFonts w:hint="cs"/>
          <w:sz w:val="27"/>
          <w:rtl/>
        </w:rPr>
        <w:t>ٌّ،</w:t>
      </w:r>
      <w:r w:rsidRPr="006571AC">
        <w:rPr>
          <w:sz w:val="27"/>
          <w:rtl/>
        </w:rPr>
        <w:t xml:space="preserve"> </w:t>
      </w:r>
      <w:r w:rsidRPr="006571AC">
        <w:rPr>
          <w:rFonts w:hint="cs"/>
          <w:sz w:val="27"/>
          <w:rtl/>
        </w:rPr>
        <w:t>أَ</w:t>
      </w:r>
      <w:r w:rsidRPr="006571AC">
        <w:rPr>
          <w:sz w:val="27"/>
          <w:rtl/>
        </w:rPr>
        <w:t>ي</w:t>
      </w:r>
      <w:r w:rsidRPr="006571AC">
        <w:rPr>
          <w:rFonts w:hint="cs"/>
          <w:sz w:val="27"/>
          <w:rtl/>
        </w:rPr>
        <w:t>َ</w:t>
      </w:r>
      <w:r w:rsidRPr="006571AC">
        <w:rPr>
          <w:sz w:val="27"/>
          <w:rtl/>
        </w:rPr>
        <w:t>د</w:t>
      </w:r>
      <w:r w:rsidRPr="006571AC">
        <w:rPr>
          <w:rFonts w:hint="cs"/>
          <w:sz w:val="27"/>
          <w:rtl/>
        </w:rPr>
        <w:t>ْ</w:t>
      </w:r>
      <w:r w:rsidRPr="006571AC">
        <w:rPr>
          <w:sz w:val="27"/>
          <w:rtl/>
        </w:rPr>
        <w:t xml:space="preserve">عونه إلى طعامهم؟ فقال: </w:t>
      </w:r>
      <w:r w:rsidRPr="006571AC">
        <w:rPr>
          <w:rFonts w:hint="cs"/>
          <w:sz w:val="27"/>
          <w:rtl/>
        </w:rPr>
        <w:t>أ</w:t>
      </w:r>
      <w:r w:rsidRPr="006571AC">
        <w:rPr>
          <w:sz w:val="27"/>
          <w:rtl/>
        </w:rPr>
        <w:t>م</w:t>
      </w:r>
      <w:r w:rsidRPr="006571AC">
        <w:rPr>
          <w:rFonts w:hint="cs"/>
          <w:sz w:val="27"/>
          <w:rtl/>
        </w:rPr>
        <w:t>ّ</w:t>
      </w:r>
      <w:r w:rsidRPr="006571AC">
        <w:rPr>
          <w:sz w:val="27"/>
          <w:rtl/>
        </w:rPr>
        <w:t xml:space="preserve">ا </w:t>
      </w:r>
      <w:r w:rsidRPr="006571AC">
        <w:rPr>
          <w:rFonts w:hint="cs"/>
          <w:sz w:val="27"/>
          <w:rtl/>
        </w:rPr>
        <w:t>أ</w:t>
      </w:r>
      <w:r w:rsidRPr="006571AC">
        <w:rPr>
          <w:sz w:val="27"/>
          <w:rtl/>
        </w:rPr>
        <w:t>نا فلا أواكل المجوس</w:t>
      </w:r>
      <w:r w:rsidRPr="006571AC">
        <w:rPr>
          <w:rFonts w:hint="cs"/>
          <w:sz w:val="27"/>
          <w:rtl/>
        </w:rPr>
        <w:t>يّ،</w:t>
      </w:r>
      <w:r w:rsidRPr="006571AC">
        <w:rPr>
          <w:sz w:val="27"/>
          <w:rtl/>
        </w:rPr>
        <w:t xml:space="preserve"> و</w:t>
      </w:r>
      <w:r w:rsidRPr="006571AC">
        <w:rPr>
          <w:rFonts w:hint="cs"/>
          <w:sz w:val="27"/>
          <w:rtl/>
        </w:rPr>
        <w:t>أ</w:t>
      </w:r>
      <w:r w:rsidRPr="006571AC">
        <w:rPr>
          <w:sz w:val="27"/>
          <w:rtl/>
        </w:rPr>
        <w:t xml:space="preserve">كره </w:t>
      </w:r>
      <w:r w:rsidRPr="006571AC">
        <w:rPr>
          <w:rFonts w:hint="cs"/>
          <w:sz w:val="27"/>
          <w:rtl/>
        </w:rPr>
        <w:t>أ</w:t>
      </w:r>
      <w:r w:rsidRPr="006571AC">
        <w:rPr>
          <w:sz w:val="27"/>
          <w:rtl/>
        </w:rPr>
        <w:t xml:space="preserve">ن </w:t>
      </w:r>
      <w:r w:rsidRPr="006571AC">
        <w:rPr>
          <w:rFonts w:hint="cs"/>
          <w:sz w:val="27"/>
          <w:rtl/>
        </w:rPr>
        <w:t>أُ</w:t>
      </w:r>
      <w:r w:rsidRPr="006571AC">
        <w:rPr>
          <w:sz w:val="27"/>
          <w:rtl/>
        </w:rPr>
        <w:t>حر</w:t>
      </w:r>
      <w:r w:rsidRPr="006571AC">
        <w:rPr>
          <w:rFonts w:hint="cs"/>
          <w:sz w:val="27"/>
          <w:rtl/>
        </w:rPr>
        <w:t>ِّ</w:t>
      </w:r>
      <w:r w:rsidRPr="006571AC">
        <w:rPr>
          <w:sz w:val="27"/>
          <w:rtl/>
        </w:rPr>
        <w:t>م عليكم شيئا</w:t>
      </w:r>
      <w:r w:rsidRPr="006571AC">
        <w:rPr>
          <w:rFonts w:hint="cs"/>
          <w:sz w:val="27"/>
          <w:rtl/>
        </w:rPr>
        <w:t>ً</w:t>
      </w:r>
      <w:r w:rsidRPr="006571AC">
        <w:rPr>
          <w:sz w:val="27"/>
          <w:rtl/>
        </w:rPr>
        <w:t xml:space="preserve"> تصنعونه في بلادكم. </w:t>
      </w:r>
    </w:p>
    <w:p w:rsidR="008A3F20" w:rsidRPr="006571AC" w:rsidRDefault="008A3F20" w:rsidP="000C6F2A">
      <w:pPr>
        <w:rPr>
          <w:sz w:val="27"/>
          <w:rtl/>
        </w:rPr>
      </w:pPr>
      <w:r w:rsidRPr="006571AC">
        <w:rPr>
          <w:sz w:val="27"/>
          <w:rtl/>
        </w:rPr>
        <w:t>ورواه الشيخ ب</w:t>
      </w:r>
      <w:r w:rsidRPr="006571AC">
        <w:rPr>
          <w:rFonts w:hint="cs"/>
          <w:sz w:val="27"/>
          <w:rtl/>
        </w:rPr>
        <w:t>إ</w:t>
      </w:r>
      <w:r w:rsidRPr="006571AC">
        <w:rPr>
          <w:sz w:val="27"/>
          <w:rtl/>
        </w:rPr>
        <w:t>سناده عن الحسين بن سعيد</w:t>
      </w:r>
      <w:r w:rsidRPr="006571AC">
        <w:rPr>
          <w:rFonts w:hint="cs"/>
          <w:sz w:val="27"/>
          <w:rtl/>
        </w:rPr>
        <w:t>،</w:t>
      </w:r>
      <w:r w:rsidRPr="006571AC">
        <w:rPr>
          <w:sz w:val="27"/>
          <w:rtl/>
        </w:rPr>
        <w:t xml:space="preserve"> عن فضالة</w:t>
      </w:r>
      <w:r w:rsidRPr="006571AC">
        <w:rPr>
          <w:rFonts w:hint="cs"/>
          <w:sz w:val="27"/>
          <w:rtl/>
        </w:rPr>
        <w:t>،</w:t>
      </w:r>
      <w:r w:rsidRPr="006571AC">
        <w:rPr>
          <w:sz w:val="27"/>
          <w:rtl/>
        </w:rPr>
        <w:t xml:space="preserve"> عن الكاهل</w:t>
      </w:r>
      <w:r w:rsidRPr="006571AC">
        <w:rPr>
          <w:rFonts w:hint="cs"/>
          <w:sz w:val="27"/>
          <w:rtl/>
        </w:rPr>
        <w:t>يّ،</w:t>
      </w:r>
      <w:r w:rsidRPr="006571AC">
        <w:rPr>
          <w:sz w:val="27"/>
          <w:rtl/>
        </w:rPr>
        <w:t xml:space="preserve"> </w:t>
      </w:r>
      <w:r w:rsidRPr="006571AC">
        <w:rPr>
          <w:b/>
          <w:bCs/>
          <w:sz w:val="27"/>
          <w:rtl/>
        </w:rPr>
        <w:t>نحوه</w:t>
      </w:r>
      <w:r w:rsidRPr="006571AC">
        <w:rPr>
          <w:rFonts w:hint="cs"/>
          <w:sz w:val="24"/>
          <w:szCs w:val="24"/>
          <w:rtl/>
        </w:rPr>
        <w:t>»</w:t>
      </w:r>
      <w:r w:rsidRPr="006571AC">
        <w:rPr>
          <w:sz w:val="27"/>
          <w:vertAlign w:val="superscript"/>
          <w:rtl/>
        </w:rPr>
        <w:t>(</w:t>
      </w:r>
      <w:r w:rsidRPr="006571AC">
        <w:rPr>
          <w:rStyle w:val="ac"/>
          <w:sz w:val="27"/>
          <w:rtl/>
        </w:rPr>
        <w:endnoteReference w:id="888"/>
      </w:r>
      <w:r w:rsidRPr="006571AC">
        <w:rPr>
          <w:sz w:val="27"/>
          <w:vertAlign w:val="superscript"/>
          <w:rtl/>
        </w:rPr>
        <w:t>)</w:t>
      </w:r>
      <w:r w:rsidRPr="006571AC">
        <w:rPr>
          <w:rFonts w:hint="cs"/>
          <w:sz w:val="27"/>
          <w:rtl/>
        </w:rPr>
        <w:t>.</w:t>
      </w:r>
    </w:p>
    <w:p w:rsidR="00C624EE" w:rsidRPr="006571AC" w:rsidRDefault="00C624EE" w:rsidP="00C624EE">
      <w:pPr>
        <w:spacing w:line="420" w:lineRule="exact"/>
        <w:rPr>
          <w:rFonts w:ascii="Arabic Typesetting" w:hAnsi="Arabic Typesetting"/>
          <w:sz w:val="27"/>
          <w:rtl/>
          <w:lang w:bidi="ar-LB"/>
        </w:rPr>
      </w:pPr>
      <w:bookmarkStart w:id="566" w:name="_Toc171512880"/>
    </w:p>
    <w:p w:rsidR="008A3F20" w:rsidRPr="006571AC" w:rsidRDefault="008A3F20" w:rsidP="006A551D">
      <w:pPr>
        <w:pStyle w:val="31"/>
        <w:rPr>
          <w:color w:val="auto"/>
          <w:rtl/>
        </w:rPr>
      </w:pPr>
      <w:bookmarkStart w:id="567" w:name="_Toc114164920"/>
      <w:r w:rsidRPr="006571AC">
        <w:rPr>
          <w:rFonts w:hint="cs"/>
          <w:color w:val="auto"/>
          <w:rtl/>
        </w:rPr>
        <w:t>الفرق بين ترك الإشارة أصلاً وقوله: «مثله» وقوله: «نحوه»</w:t>
      </w:r>
      <w:bookmarkEnd w:id="566"/>
      <w:bookmarkEnd w:id="567"/>
    </w:p>
    <w:p w:rsidR="008A3F20" w:rsidRPr="006571AC" w:rsidRDefault="008A3F20" w:rsidP="000C6F2A">
      <w:pPr>
        <w:rPr>
          <w:sz w:val="27"/>
          <w:rtl/>
        </w:rPr>
      </w:pPr>
      <w:r w:rsidRPr="006571AC">
        <w:rPr>
          <w:rFonts w:hint="cs"/>
          <w:b/>
          <w:bCs/>
          <w:sz w:val="27"/>
          <w:rtl/>
        </w:rPr>
        <w:t>اختلف</w:t>
      </w:r>
      <w:r w:rsidR="00475C9C" w:rsidRPr="006571AC">
        <w:rPr>
          <w:rFonts w:hint="cs"/>
          <w:b/>
          <w:bCs/>
          <w:sz w:val="27"/>
          <w:rtl/>
        </w:rPr>
        <w:t>َ</w:t>
      </w:r>
      <w:r w:rsidRPr="006571AC">
        <w:rPr>
          <w:rFonts w:hint="cs"/>
          <w:b/>
          <w:bCs/>
          <w:sz w:val="27"/>
          <w:rtl/>
        </w:rPr>
        <w:t>ت</w:t>
      </w:r>
      <w:r w:rsidR="00475C9C" w:rsidRPr="006571AC">
        <w:rPr>
          <w:rFonts w:hint="cs"/>
          <w:b/>
          <w:bCs/>
          <w:sz w:val="27"/>
          <w:rtl/>
        </w:rPr>
        <w:t>ْ</w:t>
      </w:r>
      <w:r w:rsidRPr="006571AC">
        <w:rPr>
          <w:rFonts w:hint="cs"/>
          <w:b/>
          <w:bCs/>
          <w:sz w:val="27"/>
          <w:rtl/>
        </w:rPr>
        <w:t xml:space="preserve"> آراء المحقّقين والباحثين في مسألة الفرق بين 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xml:space="preserve"> وقوله: </w:t>
      </w:r>
      <w:r w:rsidRPr="006571AC">
        <w:rPr>
          <w:rFonts w:hint="cs"/>
          <w:b/>
          <w:bCs/>
          <w:sz w:val="24"/>
          <w:szCs w:val="24"/>
          <w:rtl/>
        </w:rPr>
        <w:t>«</w:t>
      </w:r>
      <w:r w:rsidRPr="006571AC">
        <w:rPr>
          <w:rFonts w:hint="cs"/>
          <w:b/>
          <w:bCs/>
          <w:sz w:val="27"/>
          <w:rtl/>
        </w:rPr>
        <w:t>نحوه</w:t>
      </w:r>
      <w:r w:rsidRPr="006571AC">
        <w:rPr>
          <w:rFonts w:hint="cs"/>
          <w:b/>
          <w:bCs/>
          <w:sz w:val="24"/>
          <w:szCs w:val="24"/>
          <w:rtl/>
        </w:rPr>
        <w:t>»</w:t>
      </w:r>
      <w:r w:rsidRPr="006571AC">
        <w:rPr>
          <w:rFonts w:hint="cs"/>
          <w:sz w:val="27"/>
          <w:rtl/>
        </w:rPr>
        <w:t>.</w:t>
      </w:r>
    </w:p>
    <w:p w:rsidR="008A3F20" w:rsidRPr="006571AC" w:rsidRDefault="008A3F20" w:rsidP="00475C9C">
      <w:pPr>
        <w:rPr>
          <w:sz w:val="27"/>
          <w:rtl/>
        </w:rPr>
      </w:pPr>
      <w:r w:rsidRPr="006571AC">
        <w:rPr>
          <w:rFonts w:hint="cs"/>
          <w:b/>
          <w:bCs/>
          <w:sz w:val="27"/>
          <w:rtl/>
        </w:rPr>
        <w:t>فقال بعضُ المحقِّقين</w:t>
      </w:r>
      <w:r w:rsidRPr="006571AC">
        <w:rPr>
          <w:rFonts w:hint="cs"/>
          <w:sz w:val="27"/>
          <w:rtl/>
        </w:rPr>
        <w:t xml:space="preserve">: </w:t>
      </w:r>
      <w:r w:rsidRPr="006571AC">
        <w:rPr>
          <w:rFonts w:hint="cs"/>
          <w:sz w:val="24"/>
          <w:szCs w:val="24"/>
          <w:rtl/>
        </w:rPr>
        <w:t>«</w:t>
      </w:r>
      <w:r w:rsidRPr="006571AC">
        <w:rPr>
          <w:rFonts w:hint="cs"/>
          <w:sz w:val="27"/>
          <w:rtl/>
        </w:rPr>
        <w:t>كثيراً ما ينقل متن حديث</w:t>
      </w:r>
      <w:r w:rsidR="00475C9C" w:rsidRPr="006571AC">
        <w:rPr>
          <w:rFonts w:hint="cs"/>
          <w:sz w:val="27"/>
          <w:rtl/>
        </w:rPr>
        <w:t>ٍ من أحد المشايخ رضي الله عنهم</w:t>
      </w:r>
      <w:r w:rsidRPr="006571AC">
        <w:rPr>
          <w:rFonts w:hint="cs"/>
          <w:sz w:val="27"/>
          <w:rtl/>
        </w:rPr>
        <w:t xml:space="preserve">، ثمّ يعطف عليه بقوله: </w:t>
      </w:r>
      <w:r w:rsidRPr="006571AC">
        <w:rPr>
          <w:rFonts w:hint="cs"/>
          <w:sz w:val="24"/>
          <w:szCs w:val="24"/>
          <w:rtl/>
        </w:rPr>
        <w:t>«</w:t>
      </w:r>
      <w:r w:rsidRPr="006571AC">
        <w:rPr>
          <w:rFonts w:hint="cs"/>
          <w:sz w:val="27"/>
          <w:rtl/>
        </w:rPr>
        <w:t>رواه فلان</w:t>
      </w:r>
      <w:r w:rsidR="00475C9C" w:rsidRPr="006571AC">
        <w:rPr>
          <w:rFonts w:hint="cs"/>
          <w:sz w:val="27"/>
          <w:rtl/>
        </w:rPr>
        <w:t>ٌ</w:t>
      </w:r>
      <w:r w:rsidRPr="006571AC">
        <w:rPr>
          <w:rFonts w:hint="cs"/>
          <w:sz w:val="27"/>
          <w:rtl/>
        </w:rPr>
        <w:t xml:space="preserve"> مثله</w:t>
      </w:r>
      <w:r w:rsidRPr="006571AC">
        <w:rPr>
          <w:rFonts w:hint="cs"/>
          <w:sz w:val="24"/>
          <w:szCs w:val="24"/>
          <w:rtl/>
        </w:rPr>
        <w:t>»</w:t>
      </w:r>
      <w:r w:rsidR="00475C9C" w:rsidRPr="006571AC">
        <w:rPr>
          <w:rFonts w:hint="cs"/>
          <w:sz w:val="27"/>
          <w:rtl/>
        </w:rPr>
        <w:t>، وقد يعبِّ</w:t>
      </w:r>
      <w:r w:rsidRPr="006571AC">
        <w:rPr>
          <w:rFonts w:hint="cs"/>
          <w:sz w:val="27"/>
          <w:rtl/>
        </w:rPr>
        <w:t xml:space="preserve">ر بقوله: </w:t>
      </w:r>
      <w:r w:rsidRPr="006571AC">
        <w:rPr>
          <w:rFonts w:hint="cs"/>
          <w:sz w:val="24"/>
          <w:szCs w:val="24"/>
          <w:rtl/>
        </w:rPr>
        <w:t>«</w:t>
      </w:r>
      <w:r w:rsidRPr="006571AC">
        <w:rPr>
          <w:rFonts w:hint="cs"/>
          <w:sz w:val="27"/>
          <w:rtl/>
        </w:rPr>
        <w:t>رواه نحوه</w:t>
      </w:r>
      <w:r w:rsidRPr="006571AC">
        <w:rPr>
          <w:rFonts w:hint="cs"/>
          <w:sz w:val="24"/>
          <w:szCs w:val="24"/>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والذي وق</w:t>
      </w:r>
      <w:r w:rsidR="00475C9C" w:rsidRPr="006571AC">
        <w:rPr>
          <w:rFonts w:hint="cs"/>
          <w:sz w:val="27"/>
          <w:rtl/>
        </w:rPr>
        <w:t>َ</w:t>
      </w:r>
      <w:r w:rsidRPr="006571AC">
        <w:rPr>
          <w:rFonts w:hint="cs"/>
          <w:sz w:val="27"/>
          <w:rtl/>
        </w:rPr>
        <w:t>ف</w:t>
      </w:r>
      <w:r w:rsidR="00475C9C" w:rsidRPr="006571AC">
        <w:rPr>
          <w:rFonts w:hint="cs"/>
          <w:sz w:val="27"/>
          <w:rtl/>
        </w:rPr>
        <w:t>ْ</w:t>
      </w:r>
      <w:r w:rsidRPr="006571AC">
        <w:rPr>
          <w:rFonts w:hint="cs"/>
          <w:sz w:val="27"/>
          <w:rtl/>
        </w:rPr>
        <w:t xml:space="preserve">نا عليه بالتتبُّع هو </w:t>
      </w:r>
      <w:r w:rsidRPr="006571AC">
        <w:rPr>
          <w:rFonts w:hint="cs"/>
          <w:b/>
          <w:bCs/>
          <w:sz w:val="27"/>
          <w:rtl/>
        </w:rPr>
        <w:t>وجود اختلاف</w:t>
      </w:r>
      <w:r w:rsidR="00475C9C" w:rsidRPr="006571AC">
        <w:rPr>
          <w:rFonts w:hint="cs"/>
          <w:b/>
          <w:bCs/>
          <w:sz w:val="27"/>
          <w:rtl/>
        </w:rPr>
        <w:t>ٍ</w:t>
      </w:r>
      <w:r w:rsidRPr="006571AC">
        <w:rPr>
          <w:rFonts w:hint="cs"/>
          <w:b/>
          <w:bCs/>
          <w:sz w:val="27"/>
          <w:rtl/>
        </w:rPr>
        <w:t xml:space="preserve"> أكثر بين متن الروايتين عند التعبير الثاني</w:t>
      </w:r>
      <w:r w:rsidRPr="006571AC">
        <w:rPr>
          <w:rFonts w:hint="cs"/>
          <w:sz w:val="24"/>
          <w:szCs w:val="24"/>
          <w:rtl/>
        </w:rPr>
        <w:t>»</w:t>
      </w:r>
      <w:r w:rsidRPr="006571AC">
        <w:rPr>
          <w:sz w:val="27"/>
          <w:vertAlign w:val="superscript"/>
          <w:rtl/>
        </w:rPr>
        <w:t>(</w:t>
      </w:r>
      <w:r w:rsidRPr="006571AC">
        <w:rPr>
          <w:rStyle w:val="ac"/>
          <w:sz w:val="27"/>
          <w:rtl/>
        </w:rPr>
        <w:endnoteReference w:id="889"/>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ولا يخفى ما في هذا القول من الاختصار والإجمال في بيان الفرق بين كلا التعبيرَيْن.</w:t>
      </w:r>
    </w:p>
    <w:p w:rsidR="008A3F20" w:rsidRPr="006571AC" w:rsidRDefault="008A3F20" w:rsidP="000C6F2A">
      <w:pPr>
        <w:rPr>
          <w:sz w:val="27"/>
          <w:rtl/>
        </w:rPr>
      </w:pPr>
      <w:r w:rsidRPr="006571AC">
        <w:rPr>
          <w:rFonts w:hint="cs"/>
          <w:b/>
          <w:bCs/>
          <w:sz w:val="27"/>
          <w:rtl/>
        </w:rPr>
        <w:t>وقال بعضٌ آخر</w:t>
      </w:r>
      <w:r w:rsidRPr="006571AC">
        <w:rPr>
          <w:rFonts w:hint="cs"/>
          <w:sz w:val="27"/>
          <w:rtl/>
        </w:rPr>
        <w:t xml:space="preserve">: </w:t>
      </w:r>
      <w:r w:rsidRPr="006571AC">
        <w:rPr>
          <w:rFonts w:hint="cs"/>
          <w:sz w:val="24"/>
          <w:szCs w:val="24"/>
          <w:rtl/>
        </w:rPr>
        <w:t>«</w:t>
      </w:r>
      <w:r w:rsidRPr="006571AC">
        <w:rPr>
          <w:rFonts w:hint="cs"/>
          <w:sz w:val="27"/>
          <w:rtl/>
        </w:rPr>
        <w:t xml:space="preserve">إنّ صاحب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قد يُعقِّب بعد أن يورد الرواية بقوله: </w:t>
      </w:r>
      <w:r w:rsidRPr="006571AC">
        <w:rPr>
          <w:rFonts w:hint="cs"/>
          <w:sz w:val="24"/>
          <w:szCs w:val="24"/>
          <w:rtl/>
        </w:rPr>
        <w:t>«</w:t>
      </w:r>
      <w:r w:rsidRPr="006571AC">
        <w:rPr>
          <w:rFonts w:hint="cs"/>
          <w:sz w:val="27"/>
          <w:rtl/>
        </w:rPr>
        <w:t xml:space="preserve">ورواه البرقيّ في </w:t>
      </w:r>
      <w:r w:rsidRPr="006571AC">
        <w:rPr>
          <w:rFonts w:hint="cs"/>
          <w:sz w:val="24"/>
          <w:szCs w:val="24"/>
          <w:rtl/>
        </w:rPr>
        <w:t>«</w:t>
      </w:r>
      <w:r w:rsidRPr="006571AC">
        <w:rPr>
          <w:rFonts w:hint="cs"/>
          <w:sz w:val="27"/>
          <w:rtl/>
        </w:rPr>
        <w:t>المحاسن</w:t>
      </w:r>
      <w:r w:rsidRPr="006571AC">
        <w:rPr>
          <w:rFonts w:hint="cs"/>
          <w:sz w:val="24"/>
          <w:szCs w:val="24"/>
          <w:rtl/>
        </w:rPr>
        <w:t>»»</w:t>
      </w:r>
      <w:r w:rsidRPr="006571AC">
        <w:rPr>
          <w:rFonts w:hint="cs"/>
          <w:sz w:val="27"/>
          <w:rtl/>
        </w:rPr>
        <w:t xml:space="preserve"> مثلاً، أو يقول: </w:t>
      </w:r>
      <w:r w:rsidRPr="006571AC">
        <w:rPr>
          <w:rFonts w:hint="cs"/>
          <w:sz w:val="24"/>
          <w:szCs w:val="24"/>
          <w:rtl/>
        </w:rPr>
        <w:t>«</w:t>
      </w:r>
      <w:r w:rsidRPr="006571AC">
        <w:rPr>
          <w:rFonts w:hint="cs"/>
          <w:sz w:val="27"/>
          <w:rtl/>
        </w:rPr>
        <w:t>وروى البرقيّ مثله</w:t>
      </w:r>
      <w:r w:rsidRPr="006571AC">
        <w:rPr>
          <w:rFonts w:hint="cs"/>
          <w:sz w:val="24"/>
          <w:szCs w:val="24"/>
          <w:rtl/>
        </w:rPr>
        <w:t>»</w:t>
      </w:r>
      <w:r w:rsidRPr="006571AC">
        <w:rPr>
          <w:rFonts w:hint="cs"/>
          <w:sz w:val="27"/>
          <w:rtl/>
        </w:rPr>
        <w:t xml:space="preserve">، أو يقول: </w:t>
      </w:r>
      <w:r w:rsidRPr="006571AC">
        <w:rPr>
          <w:rFonts w:hint="cs"/>
          <w:sz w:val="24"/>
          <w:szCs w:val="24"/>
          <w:rtl/>
        </w:rPr>
        <w:t>«</w:t>
      </w:r>
      <w:r w:rsidRPr="006571AC">
        <w:rPr>
          <w:rFonts w:hint="cs"/>
          <w:sz w:val="27"/>
          <w:rtl/>
        </w:rPr>
        <w:t>وروى البرقيّ نحوه</w:t>
      </w:r>
      <w:r w:rsidRPr="006571AC">
        <w:rPr>
          <w:rFonts w:hint="cs"/>
          <w:sz w:val="24"/>
          <w:szCs w:val="24"/>
          <w:rtl/>
        </w:rPr>
        <w:t>»</w:t>
      </w:r>
      <w:r w:rsidRPr="006571AC">
        <w:rPr>
          <w:rFonts w:hint="cs"/>
          <w:sz w:val="27"/>
          <w:rtl/>
        </w:rPr>
        <w:t xml:space="preserve">. </w:t>
      </w:r>
    </w:p>
    <w:p w:rsidR="008A3F20" w:rsidRPr="006571AC" w:rsidRDefault="008A3F20" w:rsidP="00475C9C">
      <w:pPr>
        <w:rPr>
          <w:sz w:val="27"/>
          <w:rtl/>
        </w:rPr>
      </w:pPr>
      <w:r w:rsidRPr="006571AC">
        <w:rPr>
          <w:rFonts w:hint="cs"/>
          <w:sz w:val="27"/>
          <w:rtl/>
        </w:rPr>
        <w:t xml:space="preserve">وهذه التعابير الثلاثة كثيرةٌ في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وبينها جهة اشتراك</w:t>
      </w:r>
      <w:r w:rsidR="00025BBF" w:rsidRPr="006571AC">
        <w:rPr>
          <w:rFonts w:hint="cs"/>
          <w:sz w:val="27"/>
          <w:rtl/>
        </w:rPr>
        <w:t>ٍ</w:t>
      </w:r>
      <w:r w:rsidRPr="006571AC">
        <w:rPr>
          <w:rFonts w:hint="cs"/>
          <w:sz w:val="27"/>
          <w:rtl/>
        </w:rPr>
        <w:t xml:space="preserve"> وجهة اختلاف</w:t>
      </w:r>
      <w:r w:rsidR="00025BBF" w:rsidRPr="006571AC">
        <w:rPr>
          <w:rFonts w:hint="cs"/>
          <w:sz w:val="27"/>
          <w:rtl/>
        </w:rPr>
        <w:t>ٍ</w:t>
      </w:r>
      <w:r w:rsidRPr="006571AC">
        <w:rPr>
          <w:rFonts w:hint="cs"/>
          <w:sz w:val="27"/>
          <w:rtl/>
        </w:rPr>
        <w:t>.</w:t>
      </w:r>
    </w:p>
    <w:p w:rsidR="008A3F20" w:rsidRPr="006571AC" w:rsidRDefault="008A3F20" w:rsidP="008067D1">
      <w:pPr>
        <w:rPr>
          <w:sz w:val="27"/>
          <w:rtl/>
        </w:rPr>
      </w:pPr>
      <w:r w:rsidRPr="006571AC">
        <w:rPr>
          <w:rFonts w:hint="cs"/>
          <w:sz w:val="27"/>
          <w:rtl/>
        </w:rPr>
        <w:t>أمّا جهة الاشتراك فهي أنّ الرواية واحدةٌ في هذه الموارد الثلاثة، وإلاّ لو كانت روايةً أخرى لذكرها على نحو الاستقلال</w:t>
      </w:r>
      <w:r w:rsidR="008067D1" w:rsidRPr="006571AC">
        <w:rPr>
          <w:rFonts w:hint="cs"/>
          <w:sz w:val="27"/>
          <w:rtl/>
        </w:rPr>
        <w:t>،</w:t>
      </w:r>
      <w:r w:rsidRPr="006571AC">
        <w:rPr>
          <w:rFonts w:hint="cs"/>
          <w:sz w:val="27"/>
          <w:rtl/>
        </w:rPr>
        <w:t xml:space="preserve"> من دون حاجةٍ </w:t>
      </w:r>
      <w:r w:rsidR="008067D1" w:rsidRPr="006571AC">
        <w:rPr>
          <w:rFonts w:hint="cs"/>
          <w:sz w:val="27"/>
          <w:rtl/>
        </w:rPr>
        <w:t>إلى ا</w:t>
      </w:r>
      <w:r w:rsidRPr="006571AC">
        <w:rPr>
          <w:rFonts w:hint="cs"/>
          <w:sz w:val="27"/>
          <w:rtl/>
        </w:rPr>
        <w:t>لعطف.</w:t>
      </w:r>
    </w:p>
    <w:p w:rsidR="008A3F20" w:rsidRPr="006571AC" w:rsidRDefault="008A3F20" w:rsidP="000C6F2A">
      <w:pPr>
        <w:rPr>
          <w:sz w:val="27"/>
          <w:rtl/>
        </w:rPr>
      </w:pPr>
      <w:r w:rsidRPr="006571AC">
        <w:rPr>
          <w:rFonts w:hint="cs"/>
          <w:sz w:val="27"/>
          <w:rtl/>
        </w:rPr>
        <w:t xml:space="preserve">وأمّا جهة الاختلاف </w:t>
      </w:r>
      <w:r w:rsidRPr="006571AC">
        <w:rPr>
          <w:rFonts w:hint="cs"/>
          <w:b/>
          <w:bCs/>
          <w:sz w:val="27"/>
          <w:rtl/>
        </w:rPr>
        <w:t xml:space="preserve">فإنّ قوله: </w:t>
      </w:r>
      <w:r w:rsidRPr="006571AC">
        <w:rPr>
          <w:rFonts w:hint="cs"/>
          <w:b/>
          <w:bCs/>
          <w:sz w:val="24"/>
          <w:szCs w:val="24"/>
          <w:rtl/>
        </w:rPr>
        <w:t>«</w:t>
      </w:r>
      <w:r w:rsidRPr="006571AC">
        <w:rPr>
          <w:rFonts w:hint="cs"/>
          <w:b/>
          <w:bCs/>
          <w:sz w:val="27"/>
          <w:rtl/>
        </w:rPr>
        <w:t>رواها</w:t>
      </w:r>
      <w:r w:rsidRPr="006571AC">
        <w:rPr>
          <w:rFonts w:hint="cs"/>
          <w:b/>
          <w:bCs/>
          <w:sz w:val="24"/>
          <w:szCs w:val="24"/>
          <w:rtl/>
        </w:rPr>
        <w:t>»</w:t>
      </w:r>
      <w:r w:rsidRPr="006571AC">
        <w:rPr>
          <w:rFonts w:hint="cs"/>
          <w:b/>
          <w:bCs/>
          <w:sz w:val="27"/>
          <w:rtl/>
        </w:rPr>
        <w:t xml:space="preserve"> يعني أنّ الرواية بعينها هي الرواية السابقة من دون زيادةٍ ونقيصةٍ</w:t>
      </w:r>
      <w:r w:rsidRPr="006571AC">
        <w:rPr>
          <w:rFonts w:hint="cs"/>
          <w:sz w:val="27"/>
          <w:rtl/>
        </w:rPr>
        <w:t>.</w:t>
      </w:r>
    </w:p>
    <w:p w:rsidR="008A3F20" w:rsidRPr="006571AC" w:rsidRDefault="008A3F20" w:rsidP="008067D1">
      <w:pPr>
        <w:rPr>
          <w:sz w:val="27"/>
          <w:rtl/>
        </w:rPr>
      </w:pPr>
      <w:r w:rsidRPr="006571AC">
        <w:rPr>
          <w:rFonts w:hint="cs"/>
          <w:b/>
          <w:bCs/>
          <w:sz w:val="27"/>
          <w:rtl/>
        </w:rPr>
        <w:lastRenderedPageBreak/>
        <w:t xml:space="preserve">وأمّا إذا قال: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xml:space="preserve"> فالمراد أنّها ليست عين الرواية السابقة، بل فيها زيادةٌ أو نقيصةٌ</w:t>
      </w:r>
      <w:r w:rsidRPr="006571AC">
        <w:rPr>
          <w:rFonts w:hint="cs"/>
          <w:sz w:val="27"/>
          <w:rtl/>
        </w:rPr>
        <w:t>.</w:t>
      </w:r>
    </w:p>
    <w:p w:rsidR="008A3F20" w:rsidRPr="006571AC" w:rsidRDefault="008A3F20" w:rsidP="008067D1">
      <w:pPr>
        <w:rPr>
          <w:sz w:val="27"/>
          <w:rtl/>
        </w:rPr>
      </w:pPr>
      <w:r w:rsidRPr="006571AC">
        <w:rPr>
          <w:rFonts w:hint="cs"/>
          <w:b/>
          <w:bCs/>
          <w:sz w:val="27"/>
          <w:rtl/>
        </w:rPr>
        <w:t xml:space="preserve">وأمّا إذا قال: </w:t>
      </w:r>
      <w:r w:rsidRPr="006571AC">
        <w:rPr>
          <w:rFonts w:hint="cs"/>
          <w:b/>
          <w:bCs/>
          <w:sz w:val="24"/>
          <w:szCs w:val="24"/>
          <w:rtl/>
        </w:rPr>
        <w:t>«</w:t>
      </w:r>
      <w:r w:rsidRPr="006571AC">
        <w:rPr>
          <w:rFonts w:hint="cs"/>
          <w:b/>
          <w:bCs/>
          <w:sz w:val="27"/>
          <w:rtl/>
        </w:rPr>
        <w:t>وروى نحوه</w:t>
      </w:r>
      <w:r w:rsidRPr="006571AC">
        <w:rPr>
          <w:rFonts w:hint="cs"/>
          <w:b/>
          <w:bCs/>
          <w:sz w:val="24"/>
          <w:szCs w:val="24"/>
          <w:rtl/>
        </w:rPr>
        <w:t>»</w:t>
      </w:r>
      <w:r w:rsidRPr="006571AC">
        <w:rPr>
          <w:rFonts w:hint="cs"/>
          <w:b/>
          <w:bCs/>
          <w:sz w:val="27"/>
          <w:rtl/>
        </w:rPr>
        <w:t xml:space="preserve"> فالمراد أنّها ليست عين الرواية السابقة أيضاً، بل فيها زيادةٌ ونقيصةٌ معاً</w:t>
      </w:r>
      <w:r w:rsidRPr="006571AC">
        <w:rPr>
          <w:rFonts w:hint="cs"/>
          <w:sz w:val="27"/>
          <w:rtl/>
        </w:rPr>
        <w:t xml:space="preserve">، وإنْ كان الجميع روايةً واحدةً. </w:t>
      </w:r>
    </w:p>
    <w:p w:rsidR="008A3F20" w:rsidRPr="006571AC" w:rsidRDefault="008A3F20" w:rsidP="008067D1">
      <w:pPr>
        <w:spacing w:line="380" w:lineRule="exact"/>
        <w:rPr>
          <w:b/>
          <w:bCs/>
          <w:sz w:val="27"/>
          <w:rtl/>
        </w:rPr>
      </w:pPr>
      <w:r w:rsidRPr="006571AC">
        <w:rPr>
          <w:rFonts w:hint="cs"/>
          <w:b/>
          <w:bCs/>
          <w:sz w:val="27"/>
          <w:rtl/>
        </w:rPr>
        <w:t>وهذا</w:t>
      </w:r>
      <w:r w:rsidRPr="006571AC">
        <w:rPr>
          <w:rFonts w:hint="cs"/>
          <w:sz w:val="27"/>
          <w:rtl/>
        </w:rPr>
        <w:t xml:space="preserve"> الذي ذك</w:t>
      </w:r>
      <w:r w:rsidR="008067D1" w:rsidRPr="006571AC">
        <w:rPr>
          <w:rFonts w:hint="cs"/>
          <w:sz w:val="27"/>
          <w:rtl/>
        </w:rPr>
        <w:t>َ</w:t>
      </w:r>
      <w:r w:rsidRPr="006571AC">
        <w:rPr>
          <w:rFonts w:hint="cs"/>
          <w:sz w:val="27"/>
          <w:rtl/>
        </w:rPr>
        <w:t>ر</w:t>
      </w:r>
      <w:r w:rsidR="008067D1" w:rsidRPr="006571AC">
        <w:rPr>
          <w:rFonts w:hint="cs"/>
          <w:sz w:val="27"/>
          <w:rtl/>
        </w:rPr>
        <w:t>ْ</w:t>
      </w:r>
      <w:r w:rsidRPr="006571AC">
        <w:rPr>
          <w:rFonts w:hint="cs"/>
          <w:sz w:val="27"/>
          <w:rtl/>
        </w:rPr>
        <w:t xml:space="preserve">نا في تفسير المثل والنحو إنّما هو </w:t>
      </w:r>
      <w:r w:rsidRPr="006571AC">
        <w:rPr>
          <w:rFonts w:hint="cs"/>
          <w:b/>
          <w:bCs/>
          <w:sz w:val="27"/>
          <w:rtl/>
        </w:rPr>
        <w:t>على نحو الغالب، وإلاّ ففي بعض الموارد قد يقع خلاف ما تقدّ</w:t>
      </w:r>
      <w:r w:rsidR="008067D1" w:rsidRPr="006571AC">
        <w:rPr>
          <w:rFonts w:hint="cs"/>
          <w:b/>
          <w:bCs/>
          <w:sz w:val="27"/>
          <w:rtl/>
        </w:rPr>
        <w:t>َ</w:t>
      </w:r>
      <w:r w:rsidRPr="006571AC">
        <w:rPr>
          <w:rFonts w:hint="cs"/>
          <w:b/>
          <w:bCs/>
          <w:sz w:val="27"/>
          <w:rtl/>
        </w:rPr>
        <w:t>م ذكره</w:t>
      </w:r>
      <w:r w:rsidRPr="006571AC">
        <w:rPr>
          <w:rFonts w:hint="cs"/>
          <w:sz w:val="24"/>
          <w:szCs w:val="24"/>
          <w:rtl/>
        </w:rPr>
        <w:t>»</w:t>
      </w:r>
      <w:r w:rsidRPr="006571AC">
        <w:rPr>
          <w:sz w:val="27"/>
          <w:vertAlign w:val="superscript"/>
          <w:rtl/>
        </w:rPr>
        <w:t>(</w:t>
      </w:r>
      <w:r w:rsidRPr="006571AC">
        <w:rPr>
          <w:rStyle w:val="ac"/>
          <w:sz w:val="27"/>
          <w:rtl/>
        </w:rPr>
        <w:endnoteReference w:id="890"/>
      </w:r>
      <w:r w:rsidRPr="006571AC">
        <w:rPr>
          <w:sz w:val="27"/>
          <w:vertAlign w:val="superscript"/>
          <w:rtl/>
        </w:rPr>
        <w:t>)</w:t>
      </w:r>
      <w:r w:rsidRPr="006571AC">
        <w:rPr>
          <w:rFonts w:hint="cs"/>
          <w:sz w:val="27"/>
          <w:rtl/>
        </w:rPr>
        <w:t>.</w:t>
      </w:r>
    </w:p>
    <w:p w:rsidR="008A3F20" w:rsidRPr="006571AC" w:rsidRDefault="008A3F20" w:rsidP="008067D1">
      <w:pPr>
        <w:spacing w:line="380" w:lineRule="exact"/>
        <w:rPr>
          <w:sz w:val="27"/>
          <w:rtl/>
        </w:rPr>
      </w:pPr>
      <w:r w:rsidRPr="006571AC">
        <w:rPr>
          <w:rFonts w:hint="cs"/>
          <w:b/>
          <w:bCs/>
          <w:sz w:val="27"/>
          <w:rtl/>
        </w:rPr>
        <w:t>وهذا القول الثاني قريبٌ جدّاً إلى الصواب</w:t>
      </w:r>
      <w:r w:rsidRPr="006571AC">
        <w:rPr>
          <w:sz w:val="27"/>
          <w:vertAlign w:val="superscript"/>
          <w:rtl/>
        </w:rPr>
        <w:t>(</w:t>
      </w:r>
      <w:r w:rsidRPr="006571AC">
        <w:rPr>
          <w:rStyle w:val="ac"/>
          <w:sz w:val="27"/>
          <w:rtl/>
        </w:rPr>
        <w:endnoteReference w:id="891"/>
      </w:r>
      <w:r w:rsidRPr="006571AC">
        <w:rPr>
          <w:sz w:val="27"/>
          <w:vertAlign w:val="superscript"/>
          <w:rtl/>
        </w:rPr>
        <w:t>)</w:t>
      </w:r>
      <w:r w:rsidRPr="006571AC">
        <w:rPr>
          <w:rFonts w:hint="cs"/>
          <w:sz w:val="27"/>
          <w:rtl/>
        </w:rPr>
        <w:t>.</w:t>
      </w:r>
    </w:p>
    <w:p w:rsidR="00C624EE" w:rsidRPr="006571AC" w:rsidRDefault="00C624EE" w:rsidP="008067D1">
      <w:pPr>
        <w:spacing w:line="410" w:lineRule="exact"/>
        <w:rPr>
          <w:rFonts w:ascii="Arabic Typesetting" w:hAnsi="Arabic Typesetting"/>
          <w:sz w:val="27"/>
          <w:rtl/>
          <w:lang w:bidi="ar-LB"/>
        </w:rPr>
      </w:pPr>
      <w:bookmarkStart w:id="568" w:name="_Toc171512881"/>
    </w:p>
    <w:p w:rsidR="008A3F20" w:rsidRPr="006571AC" w:rsidRDefault="008A3F20" w:rsidP="006A551D">
      <w:pPr>
        <w:pStyle w:val="31"/>
        <w:rPr>
          <w:color w:val="auto"/>
          <w:rtl/>
        </w:rPr>
      </w:pPr>
      <w:bookmarkStart w:id="569" w:name="_Toc114164921"/>
      <w:r w:rsidRPr="006571AC">
        <w:rPr>
          <w:rFonts w:hint="cs"/>
          <w:color w:val="auto"/>
          <w:rtl/>
        </w:rPr>
        <w:t>النتيجة</w:t>
      </w:r>
      <w:bookmarkEnd w:id="568"/>
      <w:bookmarkEnd w:id="569"/>
    </w:p>
    <w:p w:rsidR="008A3F20" w:rsidRPr="006571AC" w:rsidRDefault="008A3F20" w:rsidP="008067D1">
      <w:pPr>
        <w:spacing w:line="380" w:lineRule="exact"/>
        <w:rPr>
          <w:sz w:val="27"/>
          <w:rtl/>
        </w:rPr>
      </w:pPr>
      <w:r w:rsidRPr="006571AC">
        <w:rPr>
          <w:rFonts w:hint="cs"/>
          <w:b/>
          <w:bCs/>
          <w:sz w:val="27"/>
          <w:rtl/>
        </w:rPr>
        <w:t>حين يحذف الشيخ الحُرّ</w:t>
      </w:r>
      <w:r w:rsidRPr="006571AC">
        <w:rPr>
          <w:rFonts w:ascii="Mosawi" w:hAnsi="Mosawi" w:cs="Mosawi"/>
          <w:b/>
          <w:bCs/>
          <w:sz w:val="22"/>
          <w:szCs w:val="22"/>
          <w:rtl/>
        </w:rPr>
        <w:t>&amp;</w:t>
      </w:r>
      <w:r w:rsidRPr="006571AC">
        <w:rPr>
          <w:rFonts w:hint="cs"/>
          <w:sz w:val="27"/>
          <w:rtl/>
        </w:rPr>
        <w:t xml:space="preserve"> ـ من نقله عن مصادر الحديث الأخرى ـ </w:t>
      </w:r>
      <w:r w:rsidRPr="006571AC">
        <w:rPr>
          <w:rFonts w:hint="cs"/>
          <w:b/>
          <w:bCs/>
          <w:sz w:val="27"/>
          <w:rtl/>
        </w:rPr>
        <w:t xml:space="preserve">متن الحديث المتَّحِد مع ما في المصدر الأصليّ للحديث، مشيراً إلى هذا الحذف بقوله: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نحوه</w:t>
      </w:r>
      <w:r w:rsidRPr="006571AC">
        <w:rPr>
          <w:rFonts w:hint="cs"/>
          <w:b/>
          <w:bCs/>
          <w:sz w:val="24"/>
          <w:szCs w:val="24"/>
          <w:rtl/>
        </w:rPr>
        <w:t>»</w:t>
      </w:r>
      <w:r w:rsidRPr="006571AC">
        <w:rPr>
          <w:rFonts w:hint="cs"/>
          <w:b/>
          <w:bCs/>
          <w:sz w:val="27"/>
          <w:rtl/>
        </w:rPr>
        <w:t>، فإنّه يريد أنّ هذه الرواية واحدةٌ في هذه المصادر، ويريد أيضاً الإشارة إلى أنّ ما أثبته من متن الحديث، المنقول عن المصدر الأصليّ، مغايرٌ بعض الشيء لمتن الحديث في المصادر الأخرى</w:t>
      </w:r>
      <w:r w:rsidRPr="006571AC">
        <w:rPr>
          <w:rFonts w:hint="cs"/>
          <w:sz w:val="27"/>
          <w:rtl/>
        </w:rPr>
        <w:t xml:space="preserve">. </w:t>
      </w:r>
    </w:p>
    <w:p w:rsidR="008A3F20" w:rsidRPr="006571AC" w:rsidRDefault="008A3F20" w:rsidP="008067D1">
      <w:pPr>
        <w:spacing w:line="380" w:lineRule="exact"/>
        <w:rPr>
          <w:sz w:val="27"/>
          <w:rtl/>
        </w:rPr>
      </w:pPr>
      <w:r w:rsidRPr="006571AC">
        <w:rPr>
          <w:rFonts w:hint="cs"/>
          <w:b/>
          <w:bCs/>
          <w:sz w:val="27"/>
          <w:rtl/>
        </w:rPr>
        <w:t>والمتحصِّل أنّه في هذه الحال يترك</w:t>
      </w:r>
      <w:r w:rsidRPr="006571AC">
        <w:rPr>
          <w:rFonts w:ascii="Mosawi" w:hAnsi="Mosawi" w:cs="Mosawi"/>
          <w:b/>
          <w:bCs/>
          <w:sz w:val="22"/>
          <w:szCs w:val="22"/>
          <w:rtl/>
        </w:rPr>
        <w:t>&amp;</w:t>
      </w:r>
      <w:r w:rsidRPr="006571AC">
        <w:rPr>
          <w:rFonts w:hint="cs"/>
          <w:b/>
          <w:bCs/>
          <w:sz w:val="27"/>
          <w:rtl/>
        </w:rPr>
        <w:t xml:space="preserve"> الإشارة إلى موارد الاختلاف في الكتب التي ينقل عنها</w:t>
      </w:r>
      <w:r w:rsidRPr="006571AC">
        <w:rPr>
          <w:rFonts w:hint="cs"/>
          <w:sz w:val="27"/>
          <w:rtl/>
        </w:rPr>
        <w:t>.</w:t>
      </w:r>
    </w:p>
    <w:p w:rsidR="008A3F20" w:rsidRPr="006571AC" w:rsidRDefault="008A3F20" w:rsidP="008067D1">
      <w:pPr>
        <w:spacing w:line="380" w:lineRule="exact"/>
        <w:rPr>
          <w:sz w:val="27"/>
          <w:rtl/>
        </w:rPr>
      </w:pPr>
      <w:r w:rsidRPr="006571AC">
        <w:rPr>
          <w:rFonts w:hint="cs"/>
          <w:sz w:val="27"/>
          <w:rtl/>
        </w:rPr>
        <w:t xml:space="preserve">وهذا ما أشار إليه السيّد البروجرديّ، حيث قال: </w:t>
      </w:r>
      <w:r w:rsidRPr="006571AC">
        <w:rPr>
          <w:rFonts w:hint="cs"/>
          <w:sz w:val="24"/>
          <w:szCs w:val="24"/>
          <w:rtl/>
        </w:rPr>
        <w:t>«</w:t>
      </w:r>
      <w:r w:rsidRPr="006571AC">
        <w:rPr>
          <w:rFonts w:hint="cs"/>
          <w:b/>
          <w:bCs/>
          <w:sz w:val="27"/>
          <w:rtl/>
        </w:rPr>
        <w:t>ولم يضبطْ أحاديث الكتب الأربعة كما في الأصول</w:t>
      </w:r>
      <w:r w:rsidRPr="006571AC">
        <w:rPr>
          <w:rFonts w:hint="cs"/>
          <w:sz w:val="27"/>
          <w:rtl/>
        </w:rPr>
        <w:t>، بل اكتفى بذكر الخبر عن أحد الشيوخ، ثمّ قال: ورواه الكلينيّ، أو الشيخ، أو الصدوق، مع أنّه ر</w:t>
      </w:r>
      <w:r w:rsidR="008067D1" w:rsidRPr="006571AC">
        <w:rPr>
          <w:rFonts w:hint="cs"/>
          <w:sz w:val="27"/>
          <w:rtl/>
        </w:rPr>
        <w:t>ُ</w:t>
      </w:r>
      <w:r w:rsidRPr="006571AC">
        <w:rPr>
          <w:rFonts w:hint="cs"/>
          <w:sz w:val="27"/>
          <w:rtl/>
        </w:rPr>
        <w:t>ب</w:t>
      </w:r>
      <w:r w:rsidR="008067D1" w:rsidRPr="006571AC">
        <w:rPr>
          <w:rFonts w:hint="cs"/>
          <w:sz w:val="27"/>
          <w:rtl/>
        </w:rPr>
        <w:t>َ</w:t>
      </w:r>
      <w:r w:rsidRPr="006571AC">
        <w:rPr>
          <w:rFonts w:hint="cs"/>
          <w:sz w:val="27"/>
          <w:rtl/>
        </w:rPr>
        <w:t xml:space="preserve">ما تختلف متونها في الألفاظ، التي يختلف بها المعنى المقصود. </w:t>
      </w:r>
    </w:p>
    <w:p w:rsidR="008A3F20" w:rsidRPr="006571AC" w:rsidRDefault="008A3F20" w:rsidP="008067D1">
      <w:pPr>
        <w:spacing w:line="380" w:lineRule="exact"/>
        <w:rPr>
          <w:sz w:val="27"/>
          <w:rtl/>
        </w:rPr>
      </w:pPr>
      <w:r w:rsidRPr="006571AC">
        <w:rPr>
          <w:rFonts w:hint="cs"/>
          <w:b/>
          <w:bCs/>
          <w:sz w:val="27"/>
          <w:rtl/>
        </w:rPr>
        <w:t>وأهمل هذا في غير الأربعة أكثر ممّا أهمله فيها</w:t>
      </w:r>
      <w:r w:rsidRPr="006571AC">
        <w:rPr>
          <w:rFonts w:hint="cs"/>
          <w:sz w:val="24"/>
          <w:szCs w:val="24"/>
          <w:rtl/>
        </w:rPr>
        <w:t>»</w:t>
      </w:r>
      <w:r w:rsidRPr="006571AC">
        <w:rPr>
          <w:sz w:val="27"/>
          <w:vertAlign w:val="superscript"/>
          <w:rtl/>
        </w:rPr>
        <w:t>(</w:t>
      </w:r>
      <w:r w:rsidRPr="006571AC">
        <w:rPr>
          <w:rStyle w:val="ac"/>
          <w:sz w:val="27"/>
          <w:rtl/>
        </w:rPr>
        <w:endnoteReference w:id="892"/>
      </w:r>
      <w:r w:rsidRPr="006571AC">
        <w:rPr>
          <w:sz w:val="27"/>
          <w:vertAlign w:val="superscript"/>
          <w:rtl/>
        </w:rPr>
        <w:t>)</w:t>
      </w:r>
      <w:r w:rsidRPr="006571AC">
        <w:rPr>
          <w:rFonts w:hint="cs"/>
          <w:sz w:val="27"/>
          <w:rtl/>
        </w:rPr>
        <w:t>.</w:t>
      </w:r>
    </w:p>
    <w:p w:rsidR="008A3F20" w:rsidRPr="006571AC" w:rsidRDefault="008A3F20" w:rsidP="008067D1">
      <w:pPr>
        <w:spacing w:line="380" w:lineRule="exact"/>
        <w:rPr>
          <w:sz w:val="27"/>
          <w:rtl/>
        </w:rPr>
      </w:pPr>
      <w:r w:rsidRPr="006571AC">
        <w:rPr>
          <w:rFonts w:hint="cs"/>
          <w:sz w:val="27"/>
          <w:rtl/>
        </w:rPr>
        <w:t xml:space="preserve">وعليه </w:t>
      </w:r>
      <w:r w:rsidRPr="006571AC">
        <w:rPr>
          <w:rFonts w:hint="cs"/>
          <w:sz w:val="24"/>
          <w:szCs w:val="24"/>
          <w:rtl/>
        </w:rPr>
        <w:t>«</w:t>
      </w:r>
      <w:r w:rsidRPr="006571AC">
        <w:rPr>
          <w:rFonts w:hint="cs"/>
          <w:sz w:val="27"/>
          <w:rtl/>
        </w:rPr>
        <w:t>فلا يمكن للباحث الج</w:t>
      </w:r>
      <w:r w:rsidR="003465E5" w:rsidRPr="006571AC">
        <w:rPr>
          <w:rFonts w:hint="cs"/>
          <w:sz w:val="27"/>
          <w:rtl/>
        </w:rPr>
        <w:t>َ</w:t>
      </w:r>
      <w:r w:rsidRPr="006571AC">
        <w:rPr>
          <w:rFonts w:hint="cs"/>
          <w:sz w:val="27"/>
          <w:rtl/>
        </w:rPr>
        <w:t>ز</w:t>
      </w:r>
      <w:r w:rsidR="003465E5" w:rsidRPr="006571AC">
        <w:rPr>
          <w:rFonts w:hint="cs"/>
          <w:sz w:val="27"/>
          <w:rtl/>
        </w:rPr>
        <w:t>ْ</w:t>
      </w:r>
      <w:r w:rsidRPr="006571AC">
        <w:rPr>
          <w:rFonts w:hint="cs"/>
          <w:sz w:val="27"/>
          <w:rtl/>
        </w:rPr>
        <w:t>م بأنّ ما أثبته الشيخ الحُرّ</w:t>
      </w:r>
      <w:r w:rsidRPr="006571AC">
        <w:rPr>
          <w:rFonts w:ascii="Mosawi" w:hAnsi="Mosawi" w:cs="Mosawi"/>
          <w:sz w:val="22"/>
          <w:szCs w:val="22"/>
          <w:rtl/>
        </w:rPr>
        <w:t>&amp;</w:t>
      </w:r>
      <w:r w:rsidRPr="006571AC">
        <w:rPr>
          <w:rFonts w:hint="cs"/>
          <w:sz w:val="27"/>
          <w:rtl/>
        </w:rPr>
        <w:t xml:space="preserve"> في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متطابقٌ مع المصدر الذي ينقل عنه، فلا بُدّ له من مراجعة المصدر</w:t>
      </w:r>
      <w:r w:rsidR="008067D1" w:rsidRPr="006571AC">
        <w:rPr>
          <w:rFonts w:hint="cs"/>
          <w:sz w:val="27"/>
          <w:rtl/>
        </w:rPr>
        <w:t>؛</w:t>
      </w:r>
      <w:r w:rsidRPr="006571AC">
        <w:rPr>
          <w:rFonts w:hint="cs"/>
          <w:sz w:val="27"/>
          <w:rtl/>
        </w:rPr>
        <w:t xml:space="preserve"> للوقوف على نصّ العبارة</w:t>
      </w:r>
      <w:r w:rsidRPr="006571AC">
        <w:rPr>
          <w:rFonts w:hint="cs"/>
          <w:sz w:val="24"/>
          <w:szCs w:val="24"/>
          <w:rtl/>
        </w:rPr>
        <w:t>»</w:t>
      </w:r>
      <w:r w:rsidRPr="006571AC">
        <w:rPr>
          <w:sz w:val="27"/>
          <w:vertAlign w:val="superscript"/>
          <w:rtl/>
        </w:rPr>
        <w:t>(</w:t>
      </w:r>
      <w:r w:rsidRPr="006571AC">
        <w:rPr>
          <w:rStyle w:val="ac"/>
          <w:sz w:val="27"/>
          <w:rtl/>
        </w:rPr>
        <w:endnoteReference w:id="893"/>
      </w:r>
      <w:r w:rsidRPr="006571AC">
        <w:rPr>
          <w:sz w:val="27"/>
          <w:vertAlign w:val="superscript"/>
          <w:rtl/>
        </w:rPr>
        <w:t>)</w:t>
      </w:r>
      <w:r w:rsidRPr="006571AC">
        <w:rPr>
          <w:rFonts w:hint="cs"/>
          <w:sz w:val="27"/>
          <w:rtl/>
        </w:rPr>
        <w:t xml:space="preserve">. </w:t>
      </w:r>
    </w:p>
    <w:p w:rsidR="008A3F20" w:rsidRPr="006571AC" w:rsidRDefault="008A3F20" w:rsidP="008067D1">
      <w:pPr>
        <w:rPr>
          <w:sz w:val="27"/>
          <w:rtl/>
        </w:rPr>
      </w:pPr>
    </w:p>
    <w:p w:rsidR="008A3F20" w:rsidRPr="006571AC" w:rsidRDefault="008A3F20" w:rsidP="006A551D">
      <w:pPr>
        <w:pStyle w:val="31"/>
        <w:rPr>
          <w:color w:val="auto"/>
          <w:rtl/>
        </w:rPr>
      </w:pPr>
      <w:bookmarkStart w:id="570" w:name="_Toc171512882"/>
      <w:bookmarkStart w:id="571" w:name="_Toc114164922"/>
      <w:r w:rsidRPr="006571AC">
        <w:rPr>
          <w:rFonts w:hint="cs"/>
          <w:color w:val="auto"/>
          <w:rtl/>
        </w:rPr>
        <w:t>الإيحاء بالدقّة في النقل عند قوله: «مثله»، أو «نحوه»</w:t>
      </w:r>
      <w:bookmarkEnd w:id="570"/>
      <w:bookmarkEnd w:id="571"/>
    </w:p>
    <w:p w:rsidR="008A3F20" w:rsidRPr="006571AC" w:rsidRDefault="008A3F20" w:rsidP="000C6F2A">
      <w:pPr>
        <w:rPr>
          <w:sz w:val="27"/>
          <w:rtl/>
        </w:rPr>
      </w:pPr>
      <w:r w:rsidRPr="006571AC">
        <w:rPr>
          <w:rFonts w:hint="cs"/>
          <w:b/>
          <w:bCs/>
          <w:sz w:val="27"/>
          <w:rtl/>
        </w:rPr>
        <w:t>تبيّ</w:t>
      </w:r>
      <w:r w:rsidR="003465E5" w:rsidRPr="006571AC">
        <w:rPr>
          <w:rFonts w:hint="cs"/>
          <w:b/>
          <w:bCs/>
          <w:sz w:val="27"/>
          <w:rtl/>
        </w:rPr>
        <w:t>َ</w:t>
      </w:r>
      <w:r w:rsidRPr="006571AC">
        <w:rPr>
          <w:rFonts w:hint="cs"/>
          <w:b/>
          <w:bCs/>
          <w:sz w:val="27"/>
          <w:rtl/>
        </w:rPr>
        <w:t>ن ممّا تقدّ</w:t>
      </w:r>
      <w:r w:rsidR="003465E5" w:rsidRPr="006571AC">
        <w:rPr>
          <w:rFonts w:hint="cs"/>
          <w:b/>
          <w:bCs/>
          <w:sz w:val="27"/>
          <w:rtl/>
        </w:rPr>
        <w:t>َ</w:t>
      </w:r>
      <w:r w:rsidRPr="006571AC">
        <w:rPr>
          <w:rFonts w:hint="cs"/>
          <w:b/>
          <w:bCs/>
          <w:sz w:val="27"/>
          <w:rtl/>
        </w:rPr>
        <w:t>م أنّ الشيخ الحُرّ</w:t>
      </w:r>
      <w:r w:rsidRPr="006571AC">
        <w:rPr>
          <w:rFonts w:ascii="Mosawi" w:hAnsi="Mosawi" w:cs="Mosawi"/>
          <w:b/>
          <w:bCs/>
          <w:sz w:val="22"/>
          <w:szCs w:val="22"/>
          <w:rtl/>
        </w:rPr>
        <w:t>&amp;</w:t>
      </w:r>
      <w:r w:rsidRPr="006571AC">
        <w:rPr>
          <w:rFonts w:hint="cs"/>
          <w:b/>
          <w:bCs/>
          <w:sz w:val="27"/>
          <w:rtl/>
        </w:rPr>
        <w:t xml:space="preserve"> يُعبِّر عن المتن المحذوف بقوله: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lastRenderedPageBreak/>
        <w:t>«</w:t>
      </w:r>
      <w:r w:rsidRPr="006571AC">
        <w:rPr>
          <w:rFonts w:hint="cs"/>
          <w:b/>
          <w:bCs/>
          <w:sz w:val="27"/>
          <w:rtl/>
        </w:rPr>
        <w:t>نحوه</w:t>
      </w:r>
      <w:r w:rsidRPr="006571AC">
        <w:rPr>
          <w:rFonts w:hint="cs"/>
          <w:b/>
          <w:bCs/>
          <w:sz w:val="24"/>
          <w:szCs w:val="24"/>
          <w:rtl/>
        </w:rPr>
        <w:t>»</w:t>
      </w:r>
      <w:r w:rsidRPr="006571AC">
        <w:rPr>
          <w:rFonts w:hint="cs"/>
          <w:b/>
          <w:bCs/>
          <w:sz w:val="27"/>
          <w:rtl/>
        </w:rPr>
        <w:t>، تاركاً الإشارة للاختلاف بين ما أثبته من متن الحديث والمتن المحذوف</w:t>
      </w:r>
      <w:r w:rsidRPr="006571AC">
        <w:rPr>
          <w:rFonts w:hint="cs"/>
          <w:sz w:val="27"/>
          <w:rtl/>
        </w:rPr>
        <w:t>.</w:t>
      </w:r>
    </w:p>
    <w:p w:rsidR="008A3F20" w:rsidRPr="006571AC" w:rsidRDefault="008A3F20" w:rsidP="000C6F2A">
      <w:pPr>
        <w:rPr>
          <w:sz w:val="27"/>
          <w:rtl/>
        </w:rPr>
      </w:pPr>
      <w:r w:rsidRPr="006571AC">
        <w:rPr>
          <w:rFonts w:hint="cs"/>
          <w:b/>
          <w:bCs/>
          <w:sz w:val="27"/>
          <w:rtl/>
        </w:rPr>
        <w:t>غير أنّه في بعض الأحيان يشير</w:t>
      </w:r>
      <w:r w:rsidRPr="006571AC">
        <w:rPr>
          <w:rFonts w:ascii="Mosawi" w:hAnsi="Mosawi" w:cs="Mosawi"/>
          <w:b/>
          <w:bCs/>
          <w:sz w:val="22"/>
          <w:szCs w:val="22"/>
          <w:rtl/>
        </w:rPr>
        <w:t>&amp;</w:t>
      </w:r>
      <w:r w:rsidRPr="006571AC">
        <w:rPr>
          <w:rFonts w:hint="cs"/>
          <w:b/>
          <w:bCs/>
          <w:sz w:val="27"/>
          <w:rtl/>
        </w:rPr>
        <w:t xml:space="preserve"> إلى ذلك الاختلاف بين المتنَيْن، مع كونه يسيراً جدّاً</w:t>
      </w:r>
      <w:r w:rsidRPr="006571AC">
        <w:rPr>
          <w:rFonts w:hint="cs"/>
          <w:sz w:val="27"/>
          <w:rtl/>
        </w:rPr>
        <w:t>.</w:t>
      </w:r>
    </w:p>
    <w:p w:rsidR="008A3F20" w:rsidRPr="006571AC" w:rsidRDefault="008A3F20" w:rsidP="000C6F2A">
      <w:pPr>
        <w:rPr>
          <w:sz w:val="27"/>
          <w:rtl/>
        </w:rPr>
      </w:pPr>
      <w:r w:rsidRPr="006571AC">
        <w:rPr>
          <w:rFonts w:hint="cs"/>
          <w:sz w:val="27"/>
          <w:rtl/>
        </w:rPr>
        <w:t xml:space="preserve">ومن الأمثلة على ذلك: </w:t>
      </w:r>
    </w:p>
    <w:p w:rsidR="008A3F20" w:rsidRPr="006571AC" w:rsidRDefault="008A3F20" w:rsidP="000C6F2A">
      <w:pPr>
        <w:rPr>
          <w:sz w:val="27"/>
          <w:rtl/>
        </w:rPr>
      </w:pPr>
      <w:r w:rsidRPr="006571AC">
        <w:rPr>
          <w:rFonts w:hint="cs"/>
          <w:sz w:val="27"/>
          <w:rtl/>
        </w:rPr>
        <w:t xml:space="preserve">* ما في الباب 47 من أبواب الاحتضار، ح 2، حيث قال: </w:t>
      </w:r>
      <w:r w:rsidRPr="006571AC">
        <w:rPr>
          <w:rFonts w:hint="cs"/>
          <w:sz w:val="24"/>
          <w:szCs w:val="24"/>
          <w:rtl/>
        </w:rPr>
        <w:t>«</w:t>
      </w:r>
      <w:r w:rsidRPr="006571AC">
        <w:rPr>
          <w:sz w:val="27"/>
          <w:rtl/>
        </w:rPr>
        <w:t>2ـ و</w:t>
      </w:r>
      <w:r w:rsidRPr="006571AC">
        <w:rPr>
          <w:rFonts w:hint="cs"/>
          <w:sz w:val="27"/>
          <w:rtl/>
        </w:rPr>
        <w:t xml:space="preserve">[الطوسيّ] </w:t>
      </w:r>
      <w:r w:rsidRPr="006571AC">
        <w:rPr>
          <w:sz w:val="27"/>
          <w:rtl/>
        </w:rPr>
        <w:t>بإسناده عن محم</w:t>
      </w:r>
      <w:r w:rsidRPr="006571AC">
        <w:rPr>
          <w:rFonts w:hint="cs"/>
          <w:sz w:val="27"/>
          <w:rtl/>
        </w:rPr>
        <w:t>ّ</w:t>
      </w:r>
      <w:r w:rsidRPr="006571AC">
        <w:rPr>
          <w:sz w:val="27"/>
          <w:rtl/>
        </w:rPr>
        <w:t>د بن أحمد بن يحيى، عن إبراهيم بن هاشم، عن النوفلي</w:t>
      </w:r>
      <w:r w:rsidRPr="006571AC">
        <w:rPr>
          <w:rFonts w:hint="cs"/>
          <w:sz w:val="27"/>
          <w:rtl/>
        </w:rPr>
        <w:t>ّ،</w:t>
      </w:r>
      <w:r w:rsidRPr="006571AC">
        <w:rPr>
          <w:sz w:val="27"/>
          <w:rtl/>
        </w:rPr>
        <w:t xml:space="preserve"> عن السكوني</w:t>
      </w:r>
      <w:r w:rsidRPr="006571AC">
        <w:rPr>
          <w:rFonts w:hint="cs"/>
          <w:sz w:val="27"/>
          <w:rtl/>
        </w:rPr>
        <w:t>ّ</w:t>
      </w:r>
      <w:r w:rsidRPr="006571AC">
        <w:rPr>
          <w:sz w:val="27"/>
          <w:rtl/>
        </w:rPr>
        <w:t>، عن أبي عبد الله، عن آبائه</w:t>
      </w:r>
      <w:r w:rsidRPr="006571AC">
        <w:rPr>
          <w:rFonts w:ascii="Mosawi" w:hAnsi="Mosawi" w:cs="Mosawi"/>
          <w:sz w:val="22"/>
          <w:szCs w:val="22"/>
          <w:rtl/>
        </w:rPr>
        <w:t>^</w:t>
      </w:r>
      <w:r w:rsidRPr="006571AC">
        <w:rPr>
          <w:rFonts w:hint="cs"/>
          <w:sz w:val="27"/>
          <w:rtl/>
        </w:rPr>
        <w:t>،</w:t>
      </w:r>
      <w:r w:rsidRPr="006571AC">
        <w:rPr>
          <w:sz w:val="27"/>
          <w:rtl/>
        </w:rPr>
        <w:t xml:space="preserve"> قال: قال رسول الله</w:t>
      </w:r>
      <w:r w:rsidRPr="006571AC">
        <w:rPr>
          <w:rFonts w:ascii="Mosawi" w:hAnsi="Mosawi" w:cs="Mosawi"/>
          <w:sz w:val="22"/>
          <w:szCs w:val="22"/>
          <w:rtl/>
        </w:rPr>
        <w:t>|</w:t>
      </w:r>
      <w:r w:rsidRPr="006571AC">
        <w:rPr>
          <w:sz w:val="27"/>
          <w:rtl/>
        </w:rPr>
        <w:t>: ثلاثة ما أدري أي</w:t>
      </w:r>
      <w:r w:rsidRPr="006571AC">
        <w:rPr>
          <w:rFonts w:hint="cs"/>
          <w:sz w:val="27"/>
          <w:rtl/>
        </w:rPr>
        <w:t>ّ</w:t>
      </w:r>
      <w:r w:rsidRPr="006571AC">
        <w:rPr>
          <w:sz w:val="27"/>
          <w:rtl/>
        </w:rPr>
        <w:t>هم أعظم ج</w:t>
      </w:r>
      <w:r w:rsidR="003465E5" w:rsidRPr="006571AC">
        <w:rPr>
          <w:rFonts w:hint="cs"/>
          <w:sz w:val="27"/>
          <w:rtl/>
        </w:rPr>
        <w:t>ُ</w:t>
      </w:r>
      <w:r w:rsidRPr="006571AC">
        <w:rPr>
          <w:sz w:val="27"/>
          <w:rtl/>
        </w:rPr>
        <w:t>ر</w:t>
      </w:r>
      <w:r w:rsidR="003465E5" w:rsidRPr="006571AC">
        <w:rPr>
          <w:rFonts w:hint="cs"/>
          <w:sz w:val="27"/>
          <w:rtl/>
        </w:rPr>
        <w:t>ْ</w:t>
      </w:r>
      <w:r w:rsidRPr="006571AC">
        <w:rPr>
          <w:sz w:val="27"/>
          <w:rtl/>
        </w:rPr>
        <w:t>ما</w:t>
      </w:r>
      <w:r w:rsidRPr="006571AC">
        <w:rPr>
          <w:rFonts w:hint="cs"/>
          <w:sz w:val="27"/>
          <w:rtl/>
        </w:rPr>
        <w:t>ً</w:t>
      </w:r>
      <w:r w:rsidRPr="006571AC">
        <w:rPr>
          <w:sz w:val="27"/>
          <w:rtl/>
        </w:rPr>
        <w:t>: الذي يمشي مع الجنازة بغير رداء</w:t>
      </w:r>
      <w:r w:rsidR="00E545A9" w:rsidRPr="006571AC">
        <w:rPr>
          <w:rFonts w:hint="cs"/>
          <w:sz w:val="27"/>
          <w:rtl/>
        </w:rPr>
        <w:t>ٍ</w:t>
      </w:r>
      <w:r w:rsidRPr="006571AC">
        <w:rPr>
          <w:sz w:val="27"/>
          <w:rtl/>
        </w:rPr>
        <w:t xml:space="preserve">، أو الذي يقول: قفوا، أو الذي يقول: استغفروا له غفر الله لكم. </w:t>
      </w:r>
    </w:p>
    <w:p w:rsidR="008A3F20" w:rsidRPr="006571AC" w:rsidRDefault="008A3F20" w:rsidP="000C6F2A">
      <w:pPr>
        <w:rPr>
          <w:sz w:val="27"/>
          <w:rtl/>
        </w:rPr>
      </w:pPr>
      <w:r w:rsidRPr="006571AC">
        <w:rPr>
          <w:sz w:val="27"/>
          <w:rtl/>
        </w:rPr>
        <w:t xml:space="preserve">ورواه الصدوق في </w:t>
      </w:r>
      <w:r w:rsidRPr="006571AC">
        <w:rPr>
          <w:rFonts w:hint="cs"/>
          <w:sz w:val="24"/>
          <w:szCs w:val="24"/>
          <w:rtl/>
        </w:rPr>
        <w:t>«</w:t>
      </w:r>
      <w:r w:rsidRPr="006571AC">
        <w:rPr>
          <w:sz w:val="27"/>
          <w:rtl/>
        </w:rPr>
        <w:t>الخصال</w:t>
      </w:r>
      <w:r w:rsidRPr="006571AC">
        <w:rPr>
          <w:rFonts w:hint="cs"/>
          <w:sz w:val="24"/>
          <w:szCs w:val="24"/>
          <w:rtl/>
        </w:rPr>
        <w:t>»</w:t>
      </w:r>
      <w:r w:rsidR="00E545A9" w:rsidRPr="006571AC">
        <w:rPr>
          <w:rFonts w:hint="cs"/>
          <w:sz w:val="27"/>
          <w:rtl/>
        </w:rPr>
        <w:t>،</w:t>
      </w:r>
      <w:r w:rsidRPr="006571AC">
        <w:rPr>
          <w:rFonts w:hint="cs"/>
          <w:sz w:val="27"/>
          <w:rtl/>
        </w:rPr>
        <w:t xml:space="preserve"> </w:t>
      </w:r>
      <w:r w:rsidRPr="006571AC">
        <w:rPr>
          <w:sz w:val="27"/>
          <w:rtl/>
        </w:rPr>
        <w:t>مرسلا</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ورواه أيضا</w:t>
      </w:r>
      <w:r w:rsidRPr="006571AC">
        <w:rPr>
          <w:rFonts w:hint="cs"/>
          <w:sz w:val="27"/>
          <w:rtl/>
        </w:rPr>
        <w:t>ً</w:t>
      </w:r>
      <w:r w:rsidR="00E545A9" w:rsidRPr="006571AC">
        <w:rPr>
          <w:rFonts w:hint="cs"/>
          <w:sz w:val="27"/>
          <w:rtl/>
        </w:rPr>
        <w:t>،</w:t>
      </w:r>
      <w:r w:rsidRPr="006571AC">
        <w:rPr>
          <w:sz w:val="27"/>
          <w:rtl/>
        </w:rPr>
        <w:t xml:space="preserve"> فيه</w:t>
      </w:r>
      <w:r w:rsidRPr="006571AC">
        <w:rPr>
          <w:rFonts w:hint="cs"/>
          <w:sz w:val="27"/>
          <w:rtl/>
        </w:rPr>
        <w:t>،</w:t>
      </w:r>
      <w:r w:rsidRPr="006571AC">
        <w:rPr>
          <w:sz w:val="27"/>
          <w:rtl/>
        </w:rPr>
        <w:t xml:space="preserve"> عن أبيه، عن علي</w:t>
      </w:r>
      <w:r w:rsidRPr="006571AC">
        <w:rPr>
          <w:rFonts w:hint="cs"/>
          <w:sz w:val="27"/>
          <w:rtl/>
        </w:rPr>
        <w:t>ّ</w:t>
      </w:r>
      <w:r w:rsidRPr="006571AC">
        <w:rPr>
          <w:sz w:val="27"/>
          <w:rtl/>
        </w:rPr>
        <w:t xml:space="preserve"> بن إبراهيم</w:t>
      </w:r>
      <w:r w:rsidRPr="006571AC">
        <w:rPr>
          <w:rFonts w:hint="cs"/>
          <w:sz w:val="27"/>
          <w:rtl/>
        </w:rPr>
        <w:t>،</w:t>
      </w:r>
      <w:r w:rsidRPr="006571AC">
        <w:rPr>
          <w:sz w:val="27"/>
          <w:rtl/>
        </w:rPr>
        <w:t xml:space="preserve"> عن أبيه</w:t>
      </w:r>
      <w:r w:rsidRPr="006571AC">
        <w:rPr>
          <w:rFonts w:hint="cs"/>
          <w:sz w:val="27"/>
          <w:rtl/>
        </w:rPr>
        <w:t>،</w:t>
      </w:r>
      <w:r w:rsidRPr="006571AC">
        <w:rPr>
          <w:sz w:val="27"/>
          <w:rtl/>
        </w:rPr>
        <w:t xml:space="preserve"> مثله، </w:t>
      </w:r>
      <w:r w:rsidRPr="006571AC">
        <w:rPr>
          <w:b/>
          <w:bCs/>
          <w:sz w:val="27"/>
          <w:rtl/>
        </w:rPr>
        <w:t>إلا</w:t>
      </w:r>
      <w:r w:rsidRPr="006571AC">
        <w:rPr>
          <w:rFonts w:hint="cs"/>
          <w:b/>
          <w:bCs/>
          <w:sz w:val="27"/>
          <w:rtl/>
        </w:rPr>
        <w:t>ّ</w:t>
      </w:r>
      <w:r w:rsidRPr="006571AC">
        <w:rPr>
          <w:b/>
          <w:bCs/>
          <w:sz w:val="27"/>
          <w:rtl/>
        </w:rPr>
        <w:t xml:space="preserve"> </w:t>
      </w:r>
      <w:r w:rsidRPr="006571AC">
        <w:rPr>
          <w:rFonts w:hint="cs"/>
          <w:b/>
          <w:bCs/>
          <w:sz w:val="27"/>
          <w:rtl/>
        </w:rPr>
        <w:t>أنّ</w:t>
      </w:r>
      <w:r w:rsidRPr="006571AC">
        <w:rPr>
          <w:b/>
          <w:bCs/>
          <w:sz w:val="27"/>
          <w:rtl/>
        </w:rPr>
        <w:t xml:space="preserve">ه قال </w:t>
      </w:r>
      <w:r w:rsidRPr="006571AC">
        <w:rPr>
          <w:rFonts w:hint="cs"/>
          <w:b/>
          <w:bCs/>
          <w:sz w:val="27"/>
          <w:rtl/>
        </w:rPr>
        <w:t>ـ</w:t>
      </w:r>
      <w:r w:rsidRPr="006571AC">
        <w:rPr>
          <w:b/>
          <w:bCs/>
          <w:sz w:val="27"/>
          <w:rtl/>
        </w:rPr>
        <w:t xml:space="preserve"> ب</w:t>
      </w:r>
      <w:r w:rsidR="003465E5" w:rsidRPr="006571AC">
        <w:rPr>
          <w:rFonts w:hint="cs"/>
          <w:b/>
          <w:bCs/>
          <w:sz w:val="27"/>
          <w:rtl/>
        </w:rPr>
        <w:t>َ</w:t>
      </w:r>
      <w:r w:rsidRPr="006571AC">
        <w:rPr>
          <w:b/>
          <w:bCs/>
          <w:sz w:val="27"/>
          <w:rtl/>
        </w:rPr>
        <w:t>د</w:t>
      </w:r>
      <w:r w:rsidR="003465E5" w:rsidRPr="006571AC">
        <w:rPr>
          <w:rFonts w:hint="cs"/>
          <w:b/>
          <w:bCs/>
          <w:sz w:val="27"/>
          <w:rtl/>
        </w:rPr>
        <w:t>َ</w:t>
      </w:r>
      <w:r w:rsidRPr="006571AC">
        <w:rPr>
          <w:b/>
          <w:bCs/>
          <w:sz w:val="27"/>
          <w:rtl/>
        </w:rPr>
        <w:t>ل قوله</w:t>
      </w:r>
      <w:r w:rsidRPr="006571AC">
        <w:rPr>
          <w:rFonts w:hint="cs"/>
          <w:b/>
          <w:bCs/>
          <w:sz w:val="27"/>
          <w:rtl/>
        </w:rPr>
        <w:t xml:space="preserve">: </w:t>
      </w:r>
      <w:r w:rsidRPr="006571AC">
        <w:rPr>
          <w:rFonts w:hint="cs"/>
          <w:b/>
          <w:bCs/>
          <w:sz w:val="24"/>
          <w:szCs w:val="24"/>
          <w:rtl/>
        </w:rPr>
        <w:t>«</w:t>
      </w:r>
      <w:r w:rsidRPr="006571AC">
        <w:rPr>
          <w:b/>
          <w:bCs/>
          <w:sz w:val="27"/>
          <w:rtl/>
        </w:rPr>
        <w:t>قفوا</w:t>
      </w:r>
      <w:r w:rsidRPr="006571AC">
        <w:rPr>
          <w:rFonts w:hint="cs"/>
          <w:b/>
          <w:bCs/>
          <w:sz w:val="24"/>
          <w:szCs w:val="24"/>
          <w:rtl/>
        </w:rPr>
        <w:t>»</w:t>
      </w:r>
      <w:r w:rsidRPr="006571AC">
        <w:rPr>
          <w:b/>
          <w:bCs/>
          <w:sz w:val="27"/>
          <w:rtl/>
        </w:rPr>
        <w:t xml:space="preserve"> </w:t>
      </w:r>
      <w:r w:rsidRPr="006571AC">
        <w:rPr>
          <w:rFonts w:hint="cs"/>
          <w:b/>
          <w:bCs/>
          <w:sz w:val="27"/>
          <w:rtl/>
        </w:rPr>
        <w:t>ـ:</w:t>
      </w:r>
      <w:r w:rsidRPr="006571AC">
        <w:rPr>
          <w:b/>
          <w:bCs/>
          <w:sz w:val="27"/>
          <w:rtl/>
        </w:rPr>
        <w:t xml:space="preserve"> ارفقوا به</w:t>
      </w:r>
      <w:r w:rsidRPr="006571AC">
        <w:rPr>
          <w:rFonts w:hint="cs"/>
          <w:sz w:val="24"/>
          <w:szCs w:val="24"/>
          <w:rtl/>
        </w:rPr>
        <w:t>»</w:t>
      </w:r>
      <w:r w:rsidRPr="006571AC">
        <w:rPr>
          <w:sz w:val="27"/>
          <w:vertAlign w:val="superscript"/>
          <w:rtl/>
        </w:rPr>
        <w:t>(</w:t>
      </w:r>
      <w:r w:rsidRPr="006571AC">
        <w:rPr>
          <w:rStyle w:val="ac"/>
          <w:sz w:val="27"/>
          <w:rtl/>
        </w:rPr>
        <w:endnoteReference w:id="894"/>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 وما في الباب 1 من أبواب الأمر والنهي، ح 22، حيث قال: </w:t>
      </w:r>
      <w:r w:rsidRPr="006571AC">
        <w:rPr>
          <w:rFonts w:hint="cs"/>
          <w:sz w:val="24"/>
          <w:szCs w:val="24"/>
          <w:rtl/>
        </w:rPr>
        <w:t>«</w:t>
      </w:r>
      <w:r w:rsidRPr="006571AC">
        <w:rPr>
          <w:sz w:val="27"/>
          <w:rtl/>
        </w:rPr>
        <w:t>22ـ و</w:t>
      </w:r>
      <w:r w:rsidRPr="006571AC">
        <w:rPr>
          <w:rFonts w:hint="cs"/>
          <w:sz w:val="27"/>
          <w:rtl/>
        </w:rPr>
        <w:t xml:space="preserve">[الصدوق في </w:t>
      </w:r>
      <w:r w:rsidRPr="006571AC">
        <w:rPr>
          <w:rFonts w:hint="cs"/>
          <w:sz w:val="24"/>
          <w:szCs w:val="24"/>
          <w:rtl/>
        </w:rPr>
        <w:t>«</w:t>
      </w:r>
      <w:r w:rsidRPr="006571AC">
        <w:rPr>
          <w:rFonts w:hint="cs"/>
          <w:sz w:val="27"/>
          <w:rtl/>
        </w:rPr>
        <w:t>الخصال</w:t>
      </w:r>
      <w:r w:rsidRPr="006571AC">
        <w:rPr>
          <w:rFonts w:hint="cs"/>
          <w:sz w:val="24"/>
          <w:szCs w:val="24"/>
          <w:rtl/>
        </w:rPr>
        <w:t>»</w:t>
      </w:r>
      <w:r w:rsidRPr="006571AC">
        <w:rPr>
          <w:rFonts w:hint="cs"/>
          <w:sz w:val="27"/>
          <w:rtl/>
        </w:rPr>
        <w:t xml:space="preserve">] </w:t>
      </w:r>
      <w:r w:rsidRPr="006571AC">
        <w:rPr>
          <w:sz w:val="27"/>
          <w:rtl/>
        </w:rPr>
        <w:t>بإسناده عن ال</w:t>
      </w:r>
      <w:r w:rsidRPr="006571AC">
        <w:rPr>
          <w:rFonts w:hint="cs"/>
          <w:sz w:val="27"/>
          <w:rtl/>
        </w:rPr>
        <w:t>أ</w:t>
      </w:r>
      <w:r w:rsidRPr="006571AC">
        <w:rPr>
          <w:sz w:val="27"/>
          <w:rtl/>
        </w:rPr>
        <w:t>عمش، عن جعفر بن محم</w:t>
      </w:r>
      <w:r w:rsidRPr="006571AC">
        <w:rPr>
          <w:rFonts w:hint="cs"/>
          <w:sz w:val="27"/>
          <w:rtl/>
        </w:rPr>
        <w:t>ّ</w:t>
      </w:r>
      <w:r w:rsidRPr="006571AC">
        <w:rPr>
          <w:sz w:val="27"/>
          <w:rtl/>
        </w:rPr>
        <w:t>د</w:t>
      </w:r>
      <w:r w:rsidRPr="006571AC">
        <w:rPr>
          <w:rFonts w:ascii="Mosawi" w:hAnsi="Mosawi" w:cs="Mosawi"/>
          <w:sz w:val="22"/>
          <w:szCs w:val="22"/>
          <w:rtl/>
        </w:rPr>
        <w:t>×</w:t>
      </w:r>
      <w:r w:rsidRPr="006571AC">
        <w:rPr>
          <w:sz w:val="27"/>
          <w:rtl/>
        </w:rPr>
        <w:t xml:space="preserve"> </w:t>
      </w:r>
      <w:r w:rsidRPr="006571AC">
        <w:rPr>
          <w:rFonts w:hint="cs"/>
          <w:sz w:val="27"/>
          <w:rtl/>
        </w:rPr>
        <w:t>ـ</w:t>
      </w:r>
      <w:r w:rsidRPr="006571AC">
        <w:rPr>
          <w:sz w:val="27"/>
          <w:rtl/>
        </w:rPr>
        <w:t xml:space="preserve"> في حديث شرا</w:t>
      </w:r>
      <w:r w:rsidRPr="006571AC">
        <w:rPr>
          <w:rFonts w:hint="cs"/>
          <w:sz w:val="27"/>
          <w:rtl/>
        </w:rPr>
        <w:t>ئ</w:t>
      </w:r>
      <w:r w:rsidRPr="006571AC">
        <w:rPr>
          <w:sz w:val="27"/>
          <w:rtl/>
        </w:rPr>
        <w:t>ع الدين</w:t>
      </w:r>
      <w:r w:rsidRPr="006571AC">
        <w:rPr>
          <w:rFonts w:hint="cs"/>
          <w:sz w:val="27"/>
          <w:rtl/>
        </w:rPr>
        <w:t xml:space="preserve"> ـ</w:t>
      </w:r>
      <w:r w:rsidRPr="006571AC">
        <w:rPr>
          <w:sz w:val="27"/>
          <w:rtl/>
        </w:rPr>
        <w:t xml:space="preserve"> قال: وال</w:t>
      </w:r>
      <w:r w:rsidRPr="006571AC">
        <w:rPr>
          <w:rFonts w:hint="cs"/>
          <w:sz w:val="27"/>
          <w:rtl/>
        </w:rPr>
        <w:t>أ</w:t>
      </w:r>
      <w:r w:rsidRPr="006571AC">
        <w:rPr>
          <w:sz w:val="27"/>
          <w:rtl/>
        </w:rPr>
        <w:t>مر بالمعروف والنه</w:t>
      </w:r>
      <w:r w:rsidRPr="006571AC">
        <w:rPr>
          <w:rFonts w:hint="cs"/>
          <w:sz w:val="27"/>
          <w:rtl/>
        </w:rPr>
        <w:t>ي</w:t>
      </w:r>
      <w:r w:rsidRPr="006571AC">
        <w:rPr>
          <w:sz w:val="27"/>
          <w:rtl/>
        </w:rPr>
        <w:t xml:space="preserve"> عن المنكر واجبان على م</w:t>
      </w:r>
      <w:r w:rsidRPr="006571AC">
        <w:rPr>
          <w:rFonts w:hint="cs"/>
          <w:sz w:val="27"/>
          <w:rtl/>
        </w:rPr>
        <w:t>َ</w:t>
      </w:r>
      <w:r w:rsidRPr="006571AC">
        <w:rPr>
          <w:sz w:val="27"/>
          <w:rtl/>
        </w:rPr>
        <w:t>ن</w:t>
      </w:r>
      <w:r w:rsidRPr="006571AC">
        <w:rPr>
          <w:rFonts w:hint="cs"/>
          <w:sz w:val="27"/>
          <w:rtl/>
        </w:rPr>
        <w:t>ْ</w:t>
      </w:r>
      <w:r w:rsidRPr="006571AC">
        <w:rPr>
          <w:sz w:val="27"/>
          <w:rtl/>
        </w:rPr>
        <w:t xml:space="preserve"> أمكنه ذلك، ولم يخ</w:t>
      </w:r>
      <w:r w:rsidRPr="006571AC">
        <w:rPr>
          <w:rFonts w:hint="cs"/>
          <w:sz w:val="27"/>
          <w:rtl/>
        </w:rPr>
        <w:t>َ</w:t>
      </w:r>
      <w:r w:rsidRPr="006571AC">
        <w:rPr>
          <w:sz w:val="27"/>
          <w:rtl/>
        </w:rPr>
        <w:t>ف</w:t>
      </w:r>
      <w:r w:rsidRPr="006571AC">
        <w:rPr>
          <w:rFonts w:hint="cs"/>
          <w:sz w:val="27"/>
          <w:rtl/>
        </w:rPr>
        <w:t>ْ</w:t>
      </w:r>
      <w:r w:rsidRPr="006571AC">
        <w:rPr>
          <w:sz w:val="27"/>
          <w:rtl/>
        </w:rPr>
        <w:t xml:space="preserve"> على نفسه</w:t>
      </w:r>
      <w:r w:rsidRPr="006571AC">
        <w:rPr>
          <w:rFonts w:hint="cs"/>
          <w:sz w:val="27"/>
          <w:rtl/>
        </w:rPr>
        <w:t>،</w:t>
      </w:r>
      <w:r w:rsidRPr="006571AC">
        <w:rPr>
          <w:sz w:val="27"/>
          <w:rtl/>
        </w:rPr>
        <w:t xml:space="preserve"> ولا على أصحابه. </w:t>
      </w:r>
    </w:p>
    <w:p w:rsidR="008A3F20" w:rsidRPr="006571AC" w:rsidRDefault="008A3F20" w:rsidP="000C6F2A">
      <w:pPr>
        <w:rPr>
          <w:sz w:val="27"/>
          <w:rtl/>
        </w:rPr>
      </w:pPr>
      <w:r w:rsidRPr="006571AC">
        <w:rPr>
          <w:sz w:val="27"/>
          <w:rtl/>
        </w:rPr>
        <w:t xml:space="preserve">وفي </w:t>
      </w:r>
      <w:r w:rsidRPr="006571AC">
        <w:rPr>
          <w:rFonts w:hint="cs"/>
          <w:sz w:val="24"/>
          <w:szCs w:val="24"/>
          <w:rtl/>
        </w:rPr>
        <w:t>«</w:t>
      </w:r>
      <w:r w:rsidRPr="006571AC">
        <w:rPr>
          <w:sz w:val="27"/>
          <w:rtl/>
        </w:rPr>
        <w:t>عيون ال</w:t>
      </w:r>
      <w:r w:rsidRPr="006571AC">
        <w:rPr>
          <w:rFonts w:hint="cs"/>
          <w:sz w:val="27"/>
          <w:rtl/>
        </w:rPr>
        <w:t>أ</w:t>
      </w:r>
      <w:r w:rsidRPr="006571AC">
        <w:rPr>
          <w:sz w:val="27"/>
          <w:rtl/>
        </w:rPr>
        <w:t>خبار</w:t>
      </w:r>
      <w:r w:rsidRPr="006571AC">
        <w:rPr>
          <w:rFonts w:hint="cs"/>
          <w:sz w:val="24"/>
          <w:szCs w:val="24"/>
          <w:rtl/>
        </w:rPr>
        <w:t>»</w:t>
      </w:r>
      <w:r w:rsidRPr="006571AC">
        <w:rPr>
          <w:rFonts w:hint="cs"/>
          <w:sz w:val="27"/>
          <w:rtl/>
        </w:rPr>
        <w:t xml:space="preserve"> </w:t>
      </w:r>
      <w:r w:rsidRPr="006571AC">
        <w:rPr>
          <w:sz w:val="27"/>
          <w:rtl/>
        </w:rPr>
        <w:t>بإسناده عن الفضل بن شاذان، عن الرضا</w:t>
      </w:r>
      <w:r w:rsidRPr="006571AC">
        <w:rPr>
          <w:rFonts w:ascii="Mosawi" w:hAnsi="Mosawi" w:cs="Mosawi"/>
          <w:sz w:val="22"/>
          <w:szCs w:val="22"/>
          <w:rtl/>
        </w:rPr>
        <w:t>×</w:t>
      </w:r>
      <w:r w:rsidRPr="006571AC">
        <w:rPr>
          <w:rFonts w:hint="cs"/>
          <w:sz w:val="27"/>
          <w:rtl/>
        </w:rPr>
        <w:t>،</w:t>
      </w:r>
      <w:r w:rsidRPr="006571AC">
        <w:rPr>
          <w:sz w:val="27"/>
          <w:rtl/>
        </w:rPr>
        <w:t xml:space="preserve"> في كتابه إلى المأمون</w:t>
      </w:r>
      <w:r w:rsidRPr="006571AC">
        <w:rPr>
          <w:rFonts w:hint="cs"/>
          <w:sz w:val="27"/>
          <w:rtl/>
        </w:rPr>
        <w:t>،</w:t>
      </w:r>
      <w:r w:rsidRPr="006571AC">
        <w:rPr>
          <w:sz w:val="27"/>
          <w:rtl/>
        </w:rPr>
        <w:t xml:space="preserve"> نحوه</w:t>
      </w:r>
      <w:r w:rsidRPr="006571AC">
        <w:rPr>
          <w:rFonts w:hint="cs"/>
          <w:sz w:val="27"/>
          <w:rtl/>
        </w:rPr>
        <w:t>،</w:t>
      </w:r>
      <w:r w:rsidRPr="006571AC">
        <w:rPr>
          <w:sz w:val="27"/>
          <w:rtl/>
        </w:rPr>
        <w:t xml:space="preserve"> </w:t>
      </w:r>
      <w:r w:rsidRPr="006571AC">
        <w:rPr>
          <w:b/>
          <w:bCs/>
          <w:sz w:val="27"/>
          <w:rtl/>
        </w:rPr>
        <w:t>وأسقط قوله: ولا على أصحابه</w:t>
      </w:r>
      <w:r w:rsidRPr="006571AC">
        <w:rPr>
          <w:rFonts w:hint="cs"/>
          <w:sz w:val="24"/>
          <w:szCs w:val="24"/>
          <w:rtl/>
        </w:rPr>
        <w:t>»</w:t>
      </w:r>
      <w:r w:rsidRPr="006571AC">
        <w:rPr>
          <w:sz w:val="27"/>
          <w:vertAlign w:val="superscript"/>
          <w:rtl/>
        </w:rPr>
        <w:t>(</w:t>
      </w:r>
      <w:r w:rsidRPr="006571AC">
        <w:rPr>
          <w:rStyle w:val="ac"/>
          <w:sz w:val="27"/>
          <w:rtl/>
        </w:rPr>
        <w:endnoteReference w:id="895"/>
      </w:r>
      <w:r w:rsidRPr="006571AC">
        <w:rPr>
          <w:sz w:val="27"/>
          <w:vertAlign w:val="superscript"/>
          <w:rtl/>
        </w:rPr>
        <w:t>)</w:t>
      </w:r>
      <w:r w:rsidRPr="006571AC">
        <w:rPr>
          <w:sz w:val="27"/>
          <w:rtl/>
        </w:rPr>
        <w:t xml:space="preserve">. </w:t>
      </w:r>
    </w:p>
    <w:p w:rsidR="008A3F20" w:rsidRPr="006571AC" w:rsidRDefault="008A3F20" w:rsidP="00C624EE">
      <w:pPr>
        <w:spacing w:line="430" w:lineRule="exact"/>
        <w:rPr>
          <w:sz w:val="27"/>
          <w:rtl/>
        </w:rPr>
      </w:pPr>
    </w:p>
    <w:p w:rsidR="008A3F20" w:rsidRPr="006571AC" w:rsidRDefault="008A3F20" w:rsidP="003465E5">
      <w:pPr>
        <w:pStyle w:val="31"/>
        <w:rPr>
          <w:color w:val="auto"/>
          <w:rtl/>
        </w:rPr>
      </w:pPr>
      <w:bookmarkStart w:id="572" w:name="_Toc171512883"/>
      <w:bookmarkStart w:id="573" w:name="_Toc114164923"/>
      <w:r w:rsidRPr="006571AC">
        <w:rPr>
          <w:rFonts w:hint="cs"/>
          <w:color w:val="auto"/>
          <w:rtl/>
        </w:rPr>
        <w:t xml:space="preserve">الخطأ في الإشارة </w:t>
      </w:r>
      <w:r w:rsidR="003465E5" w:rsidRPr="006571AC">
        <w:rPr>
          <w:rFonts w:hint="cs"/>
          <w:color w:val="auto"/>
          <w:rtl/>
        </w:rPr>
        <w:t>إلى ا</w:t>
      </w:r>
      <w:r w:rsidRPr="006571AC">
        <w:rPr>
          <w:rFonts w:hint="cs"/>
          <w:color w:val="auto"/>
          <w:rtl/>
        </w:rPr>
        <w:t>لمتن المحذوف بقوله: «مثله»</w:t>
      </w:r>
      <w:bookmarkEnd w:id="572"/>
      <w:bookmarkEnd w:id="573"/>
    </w:p>
    <w:p w:rsidR="008A3F20" w:rsidRPr="006571AC" w:rsidRDefault="008A3F20" w:rsidP="000C6F2A">
      <w:pPr>
        <w:rPr>
          <w:sz w:val="27"/>
          <w:rtl/>
        </w:rPr>
      </w:pPr>
      <w:r w:rsidRPr="006571AC">
        <w:rPr>
          <w:rFonts w:hint="cs"/>
          <w:b/>
          <w:bCs/>
          <w:sz w:val="27"/>
          <w:rtl/>
        </w:rPr>
        <w:t>وقد وقع الشيخ الحُرّ</w:t>
      </w:r>
      <w:r w:rsidRPr="006571AC">
        <w:rPr>
          <w:rFonts w:ascii="Mosawi" w:hAnsi="Mosawi" w:cs="Mosawi"/>
          <w:b/>
          <w:bCs/>
          <w:sz w:val="22"/>
          <w:szCs w:val="22"/>
          <w:rtl/>
        </w:rPr>
        <w:t>&amp;</w:t>
      </w:r>
      <w:r w:rsidRPr="006571AC">
        <w:rPr>
          <w:rFonts w:hint="cs"/>
          <w:b/>
          <w:bCs/>
          <w:sz w:val="27"/>
          <w:rtl/>
        </w:rPr>
        <w:t xml:space="preserve"> ـ في هذا الأسلوب من الاختصار ـ في الاشتباه والخطأ</w:t>
      </w:r>
      <w:r w:rsidRPr="006571AC">
        <w:rPr>
          <w:rFonts w:hint="cs"/>
          <w:sz w:val="27"/>
          <w:rtl/>
        </w:rPr>
        <w:t xml:space="preserve">. </w:t>
      </w:r>
    </w:p>
    <w:p w:rsidR="008A3F20" w:rsidRPr="006571AC" w:rsidRDefault="008A3F20" w:rsidP="000C6F2A">
      <w:pPr>
        <w:rPr>
          <w:sz w:val="27"/>
          <w:rtl/>
        </w:rPr>
      </w:pPr>
      <w:r w:rsidRPr="006571AC">
        <w:rPr>
          <w:rFonts w:hint="cs"/>
          <w:b/>
          <w:bCs/>
          <w:sz w:val="27"/>
          <w:rtl/>
        </w:rPr>
        <w:t>ففي بعض الموارد عبّ</w:t>
      </w:r>
      <w:r w:rsidR="003465E5" w:rsidRPr="006571AC">
        <w:rPr>
          <w:rFonts w:hint="cs"/>
          <w:b/>
          <w:bCs/>
          <w:sz w:val="27"/>
          <w:rtl/>
        </w:rPr>
        <w:t>َ</w:t>
      </w:r>
      <w:r w:rsidRPr="006571AC">
        <w:rPr>
          <w:rFonts w:hint="cs"/>
          <w:b/>
          <w:bCs/>
          <w:sz w:val="27"/>
          <w:rtl/>
        </w:rPr>
        <w:t>ر</w:t>
      </w:r>
      <w:r w:rsidRPr="006571AC">
        <w:rPr>
          <w:rFonts w:ascii="Mosawi" w:hAnsi="Mosawi" w:cs="Mosawi"/>
          <w:b/>
          <w:bCs/>
          <w:sz w:val="22"/>
          <w:szCs w:val="22"/>
          <w:rtl/>
        </w:rPr>
        <w:t>&amp;</w:t>
      </w:r>
      <w:r w:rsidRPr="006571AC">
        <w:rPr>
          <w:rFonts w:hint="cs"/>
          <w:b/>
          <w:bCs/>
          <w:sz w:val="27"/>
          <w:rtl/>
        </w:rPr>
        <w:t xml:space="preserve"> عن متن الحديث المحذوف بقوله: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إلاّ أنّ مراجعة المصدر أثبتت أنّ المتن الذي يعنيه مغايرٌ تماماً للمتن الذي أثبته من المصدر الأصليّ للحديث</w:t>
      </w:r>
      <w:r w:rsidRPr="006571AC">
        <w:rPr>
          <w:rFonts w:hint="cs"/>
          <w:sz w:val="27"/>
          <w:rtl/>
        </w:rPr>
        <w:t xml:space="preserve">، ومن ذلك: </w:t>
      </w:r>
    </w:p>
    <w:p w:rsidR="008A3F20" w:rsidRPr="006571AC" w:rsidRDefault="008A3F20" w:rsidP="000C6F2A">
      <w:pPr>
        <w:rPr>
          <w:sz w:val="27"/>
          <w:rtl/>
        </w:rPr>
      </w:pPr>
      <w:r w:rsidRPr="006571AC">
        <w:rPr>
          <w:rFonts w:hint="cs"/>
          <w:sz w:val="27"/>
          <w:rtl/>
        </w:rPr>
        <w:t xml:space="preserve">* ما في الباب 2 من أبواب وجوب الصوم ونيّته، ح 4، حيث قال: </w:t>
      </w:r>
      <w:r w:rsidRPr="006571AC">
        <w:rPr>
          <w:rFonts w:hint="cs"/>
          <w:sz w:val="24"/>
          <w:szCs w:val="24"/>
          <w:rtl/>
        </w:rPr>
        <w:t>«</w:t>
      </w:r>
      <w:r w:rsidRPr="006571AC">
        <w:rPr>
          <w:sz w:val="27"/>
          <w:rtl/>
        </w:rPr>
        <w:t xml:space="preserve">4ـ وعنه </w:t>
      </w:r>
      <w:r w:rsidRPr="006571AC">
        <w:rPr>
          <w:rFonts w:hint="cs"/>
          <w:sz w:val="27"/>
          <w:rtl/>
        </w:rPr>
        <w:t>[الطوسيّ بإسناده عن محمّد بن عليّ بن محبوب]</w:t>
      </w:r>
      <w:r w:rsidRPr="006571AC">
        <w:rPr>
          <w:sz w:val="27"/>
          <w:rtl/>
        </w:rPr>
        <w:t xml:space="preserve">، عن أحمد، عن الحسين، عن </w:t>
      </w:r>
      <w:r w:rsidRPr="006571AC">
        <w:rPr>
          <w:sz w:val="27"/>
          <w:rtl/>
        </w:rPr>
        <w:lastRenderedPageBreak/>
        <w:t>فضالة، عن صالح بن عبد</w:t>
      </w:r>
      <w:r w:rsidRPr="006571AC">
        <w:rPr>
          <w:rFonts w:hint="cs"/>
          <w:sz w:val="27"/>
          <w:rtl/>
        </w:rPr>
        <w:t xml:space="preserve"> </w:t>
      </w:r>
      <w:r w:rsidRPr="006571AC">
        <w:rPr>
          <w:sz w:val="27"/>
          <w:rtl/>
        </w:rPr>
        <w:t xml:space="preserve">الله، </w:t>
      </w:r>
      <w:r w:rsidRPr="006571AC">
        <w:rPr>
          <w:b/>
          <w:bCs/>
          <w:sz w:val="27"/>
          <w:rtl/>
        </w:rPr>
        <w:t>عن أبي إبراهيم</w:t>
      </w:r>
      <w:r w:rsidRPr="006571AC">
        <w:rPr>
          <w:rFonts w:ascii="Mosawi" w:hAnsi="Mosawi" w:cs="Mosawi"/>
          <w:b/>
          <w:bCs/>
          <w:sz w:val="22"/>
          <w:szCs w:val="22"/>
          <w:rtl/>
        </w:rPr>
        <w:t>×</w:t>
      </w:r>
      <w:r w:rsidRPr="006571AC">
        <w:rPr>
          <w:rFonts w:hint="cs"/>
          <w:b/>
          <w:bCs/>
          <w:sz w:val="27"/>
          <w:rtl/>
        </w:rPr>
        <w:t>،</w:t>
      </w:r>
      <w:r w:rsidRPr="006571AC">
        <w:rPr>
          <w:b/>
          <w:bCs/>
          <w:sz w:val="27"/>
          <w:rtl/>
        </w:rPr>
        <w:t xml:space="preserve"> قال: قلت</w:t>
      </w:r>
      <w:r w:rsidRPr="006571AC">
        <w:rPr>
          <w:rFonts w:hint="cs"/>
          <w:b/>
          <w:bCs/>
          <w:sz w:val="27"/>
          <w:rtl/>
        </w:rPr>
        <w:t>ُ</w:t>
      </w:r>
      <w:r w:rsidRPr="006571AC">
        <w:rPr>
          <w:b/>
          <w:bCs/>
          <w:sz w:val="27"/>
          <w:rtl/>
        </w:rPr>
        <w:t xml:space="preserve"> له: رجل</w:t>
      </w:r>
      <w:r w:rsidRPr="006571AC">
        <w:rPr>
          <w:rFonts w:hint="cs"/>
          <w:b/>
          <w:bCs/>
          <w:sz w:val="27"/>
          <w:rtl/>
        </w:rPr>
        <w:t>ٌ</w:t>
      </w:r>
      <w:r w:rsidRPr="006571AC">
        <w:rPr>
          <w:b/>
          <w:bCs/>
          <w:sz w:val="27"/>
          <w:rtl/>
        </w:rPr>
        <w:t xml:space="preserve"> جعل لله عليه الصيام شهرا</w:t>
      </w:r>
      <w:r w:rsidRPr="006571AC">
        <w:rPr>
          <w:rFonts w:hint="cs"/>
          <w:b/>
          <w:bCs/>
          <w:sz w:val="27"/>
          <w:rtl/>
        </w:rPr>
        <w:t>ً،</w:t>
      </w:r>
      <w:r w:rsidRPr="006571AC">
        <w:rPr>
          <w:b/>
          <w:bCs/>
          <w:sz w:val="27"/>
          <w:rtl/>
        </w:rPr>
        <w:t xml:space="preserve"> فيصبح</w:t>
      </w:r>
      <w:r w:rsidRPr="006571AC">
        <w:rPr>
          <w:rFonts w:hint="cs"/>
          <w:b/>
          <w:bCs/>
          <w:sz w:val="27"/>
          <w:rtl/>
        </w:rPr>
        <w:t>،</w:t>
      </w:r>
      <w:r w:rsidRPr="006571AC">
        <w:rPr>
          <w:b/>
          <w:bCs/>
          <w:sz w:val="27"/>
          <w:rtl/>
        </w:rPr>
        <w:t xml:space="preserve"> وهو ينوي الصوم، ثم</w:t>
      </w:r>
      <w:r w:rsidRPr="006571AC">
        <w:rPr>
          <w:rFonts w:hint="cs"/>
          <w:b/>
          <w:bCs/>
          <w:sz w:val="27"/>
          <w:rtl/>
        </w:rPr>
        <w:t>ّ</w:t>
      </w:r>
      <w:r w:rsidRPr="006571AC">
        <w:rPr>
          <w:b/>
          <w:bCs/>
          <w:sz w:val="27"/>
          <w:rtl/>
        </w:rPr>
        <w:t xml:space="preserve"> يبدو له فيفطر</w:t>
      </w:r>
      <w:r w:rsidRPr="006571AC">
        <w:rPr>
          <w:rFonts w:hint="cs"/>
          <w:b/>
          <w:bCs/>
          <w:sz w:val="27"/>
          <w:rtl/>
        </w:rPr>
        <w:t>،</w:t>
      </w:r>
      <w:r w:rsidRPr="006571AC">
        <w:rPr>
          <w:b/>
          <w:bCs/>
          <w:sz w:val="27"/>
          <w:rtl/>
        </w:rPr>
        <w:t xml:space="preserve"> ويصبح</w:t>
      </w:r>
      <w:r w:rsidRPr="006571AC">
        <w:rPr>
          <w:rFonts w:hint="cs"/>
          <w:b/>
          <w:bCs/>
          <w:sz w:val="27"/>
          <w:rtl/>
        </w:rPr>
        <w:t>،</w:t>
      </w:r>
      <w:r w:rsidRPr="006571AC">
        <w:rPr>
          <w:b/>
          <w:bCs/>
          <w:sz w:val="27"/>
          <w:rtl/>
        </w:rPr>
        <w:t xml:space="preserve"> وهو لا ينوي الصوم</w:t>
      </w:r>
      <w:r w:rsidRPr="006571AC">
        <w:rPr>
          <w:rFonts w:hint="cs"/>
          <w:b/>
          <w:bCs/>
          <w:sz w:val="27"/>
          <w:rtl/>
        </w:rPr>
        <w:t>،</w:t>
      </w:r>
      <w:r w:rsidRPr="006571AC">
        <w:rPr>
          <w:b/>
          <w:bCs/>
          <w:sz w:val="27"/>
          <w:rtl/>
        </w:rPr>
        <w:t xml:space="preserve"> فيبدو له فيصوم</w:t>
      </w:r>
      <w:r w:rsidR="003465E5" w:rsidRPr="006571AC">
        <w:rPr>
          <w:rFonts w:hint="cs"/>
          <w:b/>
          <w:bCs/>
          <w:sz w:val="27"/>
          <w:rtl/>
        </w:rPr>
        <w:t>؟</w:t>
      </w:r>
      <w:r w:rsidRPr="006571AC">
        <w:rPr>
          <w:b/>
          <w:bCs/>
          <w:sz w:val="27"/>
          <w:rtl/>
        </w:rPr>
        <w:t xml:space="preserve"> فقال: هذا كل</w:t>
      </w:r>
      <w:r w:rsidRPr="006571AC">
        <w:rPr>
          <w:rFonts w:hint="cs"/>
          <w:b/>
          <w:bCs/>
          <w:sz w:val="27"/>
          <w:rtl/>
        </w:rPr>
        <w:t>ّ</w:t>
      </w:r>
      <w:r w:rsidR="003465E5" w:rsidRPr="006571AC">
        <w:rPr>
          <w:rFonts w:hint="cs"/>
          <w:b/>
          <w:bCs/>
          <w:sz w:val="27"/>
          <w:rtl/>
        </w:rPr>
        <w:t>ُ</w:t>
      </w:r>
      <w:r w:rsidRPr="006571AC">
        <w:rPr>
          <w:b/>
          <w:bCs/>
          <w:sz w:val="27"/>
          <w:rtl/>
        </w:rPr>
        <w:t>ه جائز</w:t>
      </w:r>
      <w:r w:rsidR="003465E5"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ورواه الكليني</w:t>
      </w:r>
      <w:r w:rsidRPr="006571AC">
        <w:rPr>
          <w:rFonts w:hint="cs"/>
          <w:sz w:val="27"/>
          <w:rtl/>
        </w:rPr>
        <w:t>ّ</w:t>
      </w:r>
      <w:r w:rsidRPr="006571AC">
        <w:rPr>
          <w:sz w:val="27"/>
          <w:rtl/>
        </w:rPr>
        <w:t>، عن عد</w:t>
      </w:r>
      <w:r w:rsidRPr="006571AC">
        <w:rPr>
          <w:rFonts w:hint="cs"/>
          <w:sz w:val="27"/>
          <w:rtl/>
        </w:rPr>
        <w:t>ّ</w:t>
      </w:r>
      <w:r w:rsidRPr="006571AC">
        <w:rPr>
          <w:sz w:val="27"/>
          <w:rtl/>
        </w:rPr>
        <w:t>ة من أصحابنا، عن أحمد بن محم</w:t>
      </w:r>
      <w:r w:rsidRPr="006571AC">
        <w:rPr>
          <w:rFonts w:hint="cs"/>
          <w:sz w:val="27"/>
          <w:rtl/>
        </w:rPr>
        <w:t>ّ</w:t>
      </w:r>
      <w:r w:rsidRPr="006571AC">
        <w:rPr>
          <w:sz w:val="27"/>
          <w:rtl/>
        </w:rPr>
        <w:t>د، عن ابن فض</w:t>
      </w:r>
      <w:r w:rsidRPr="006571AC">
        <w:rPr>
          <w:rFonts w:hint="cs"/>
          <w:sz w:val="27"/>
          <w:rtl/>
        </w:rPr>
        <w:t>ّ</w:t>
      </w:r>
      <w:r w:rsidRPr="006571AC">
        <w:rPr>
          <w:sz w:val="27"/>
          <w:rtl/>
        </w:rPr>
        <w:t>ال</w:t>
      </w:r>
      <w:r w:rsidRPr="006571AC">
        <w:rPr>
          <w:rFonts w:hint="cs"/>
          <w:sz w:val="27"/>
          <w:rtl/>
        </w:rPr>
        <w:t>،</w:t>
      </w:r>
      <w:r w:rsidRPr="006571AC">
        <w:rPr>
          <w:sz w:val="27"/>
          <w:rtl/>
        </w:rPr>
        <w:t xml:space="preserve"> عن صالح بن عبد</w:t>
      </w:r>
      <w:r w:rsidRPr="006571AC">
        <w:rPr>
          <w:rFonts w:hint="cs"/>
          <w:sz w:val="27"/>
          <w:rtl/>
        </w:rPr>
        <w:t xml:space="preserve"> </w:t>
      </w:r>
      <w:r w:rsidRPr="006571AC">
        <w:rPr>
          <w:sz w:val="27"/>
          <w:rtl/>
        </w:rPr>
        <w:t>الله</w:t>
      </w:r>
      <w:r w:rsidRPr="006571AC">
        <w:rPr>
          <w:rFonts w:hint="cs"/>
          <w:sz w:val="27"/>
          <w:rtl/>
        </w:rPr>
        <w:t>،</w:t>
      </w:r>
      <w:r w:rsidRPr="006571AC">
        <w:rPr>
          <w:sz w:val="27"/>
          <w:rtl/>
        </w:rPr>
        <w:t xml:space="preserve"> </w:t>
      </w:r>
      <w:r w:rsidRPr="006571AC">
        <w:rPr>
          <w:b/>
          <w:bCs/>
          <w:sz w:val="27"/>
          <w:rtl/>
        </w:rPr>
        <w:t>مثله</w:t>
      </w:r>
      <w:r w:rsidRPr="006571AC">
        <w:rPr>
          <w:rFonts w:hint="cs"/>
          <w:sz w:val="24"/>
          <w:szCs w:val="24"/>
          <w:rtl/>
        </w:rPr>
        <w:t>»</w:t>
      </w:r>
      <w:r w:rsidRPr="006571AC">
        <w:rPr>
          <w:sz w:val="27"/>
          <w:rtl/>
        </w:rPr>
        <w:t>.</w:t>
      </w:r>
    </w:p>
    <w:p w:rsidR="008A3F20" w:rsidRPr="006571AC" w:rsidRDefault="008A3F20" w:rsidP="000C6F2A">
      <w:pPr>
        <w:rPr>
          <w:sz w:val="27"/>
          <w:rtl/>
        </w:rPr>
      </w:pPr>
      <w:r w:rsidRPr="006571AC">
        <w:rPr>
          <w:rFonts w:hint="cs"/>
          <w:sz w:val="27"/>
          <w:rtl/>
        </w:rPr>
        <w:t>وعلَّق المحقِّقون في مؤسَّسة آل البيت</w:t>
      </w:r>
      <w:r w:rsidRPr="006571AC">
        <w:rPr>
          <w:rFonts w:ascii="Mosawi" w:hAnsi="Mosawi" w:cs="Mosawi"/>
          <w:sz w:val="22"/>
          <w:szCs w:val="22"/>
          <w:rtl/>
        </w:rPr>
        <w:t>^</w:t>
      </w:r>
      <w:r w:rsidRPr="006571AC">
        <w:rPr>
          <w:rFonts w:hint="cs"/>
          <w:sz w:val="27"/>
          <w:rtl/>
        </w:rPr>
        <w:t xml:space="preserve"> لإحياء التراث، على قوله: </w:t>
      </w:r>
      <w:r w:rsidRPr="006571AC">
        <w:rPr>
          <w:rFonts w:hint="cs"/>
          <w:sz w:val="24"/>
          <w:szCs w:val="24"/>
          <w:rtl/>
        </w:rPr>
        <w:t>«</w:t>
      </w:r>
      <w:r w:rsidRPr="006571AC">
        <w:rPr>
          <w:rFonts w:hint="cs"/>
          <w:sz w:val="27"/>
          <w:rtl/>
        </w:rPr>
        <w:t>ورواه الكلينيّ...</w:t>
      </w:r>
      <w:r w:rsidR="004B40F2" w:rsidRPr="006571AC">
        <w:rPr>
          <w:rFonts w:hint="cs"/>
          <w:sz w:val="27"/>
          <w:rtl/>
        </w:rPr>
        <w:t xml:space="preserve">، </w:t>
      </w:r>
      <w:r w:rsidRPr="006571AC">
        <w:rPr>
          <w:rFonts w:hint="cs"/>
          <w:sz w:val="27"/>
          <w:rtl/>
        </w:rPr>
        <w:t>مثله</w:t>
      </w:r>
      <w:r w:rsidRPr="006571AC">
        <w:rPr>
          <w:rFonts w:hint="cs"/>
          <w:sz w:val="24"/>
          <w:szCs w:val="24"/>
          <w:rtl/>
        </w:rPr>
        <w:t>»</w:t>
      </w:r>
      <w:r w:rsidRPr="006571AC">
        <w:rPr>
          <w:rFonts w:hint="cs"/>
          <w:sz w:val="27"/>
          <w:rtl/>
        </w:rPr>
        <w:t xml:space="preserve">، بقولهم في الهامش: </w:t>
      </w:r>
      <w:r w:rsidRPr="006571AC">
        <w:rPr>
          <w:rFonts w:hint="cs"/>
          <w:sz w:val="24"/>
          <w:szCs w:val="24"/>
          <w:rtl/>
        </w:rPr>
        <w:t>«</w:t>
      </w:r>
      <w:r w:rsidRPr="006571AC">
        <w:rPr>
          <w:sz w:val="27"/>
          <w:rtl/>
        </w:rPr>
        <w:t xml:space="preserve">ورد هذا السند في </w:t>
      </w:r>
      <w:r w:rsidRPr="006571AC">
        <w:rPr>
          <w:rFonts w:hint="cs"/>
          <w:sz w:val="24"/>
          <w:szCs w:val="24"/>
          <w:rtl/>
        </w:rPr>
        <w:t>«</w:t>
      </w:r>
      <w:r w:rsidRPr="006571AC">
        <w:rPr>
          <w:sz w:val="27"/>
          <w:rtl/>
        </w:rPr>
        <w:t>الكافي</w:t>
      </w:r>
      <w:r w:rsidRPr="006571AC">
        <w:rPr>
          <w:rFonts w:hint="cs"/>
          <w:sz w:val="24"/>
          <w:szCs w:val="24"/>
          <w:rtl/>
        </w:rPr>
        <w:t>»</w:t>
      </w:r>
      <w:r w:rsidRPr="006571AC">
        <w:rPr>
          <w:rFonts w:hint="cs"/>
          <w:sz w:val="27"/>
          <w:rtl/>
        </w:rPr>
        <w:t>،</w:t>
      </w:r>
      <w:r w:rsidRPr="006571AC">
        <w:rPr>
          <w:sz w:val="27"/>
          <w:rtl/>
        </w:rPr>
        <w:t xml:space="preserve"> لكن</w:t>
      </w:r>
      <w:r w:rsidRPr="006571AC">
        <w:rPr>
          <w:rFonts w:hint="cs"/>
          <w:sz w:val="27"/>
          <w:rtl/>
        </w:rPr>
        <w:t>ّ</w:t>
      </w:r>
      <w:r w:rsidRPr="006571AC">
        <w:rPr>
          <w:sz w:val="27"/>
          <w:rtl/>
        </w:rPr>
        <w:t xml:space="preserve"> متن الحديث مختلف</w:t>
      </w:r>
      <w:r w:rsidRPr="006571AC">
        <w:rPr>
          <w:rFonts w:hint="cs"/>
          <w:sz w:val="27"/>
          <w:rtl/>
        </w:rPr>
        <w:t>ٌ</w:t>
      </w:r>
      <w:r w:rsidRPr="006571AC">
        <w:rPr>
          <w:sz w:val="27"/>
          <w:rtl/>
        </w:rPr>
        <w:t xml:space="preserve"> عم</w:t>
      </w:r>
      <w:r w:rsidRPr="006571AC">
        <w:rPr>
          <w:rFonts w:hint="cs"/>
          <w:sz w:val="27"/>
          <w:rtl/>
        </w:rPr>
        <w:t>ّ</w:t>
      </w:r>
      <w:r w:rsidRPr="006571AC">
        <w:rPr>
          <w:sz w:val="27"/>
          <w:rtl/>
        </w:rPr>
        <w:t>ا أورده المصن</w:t>
      </w:r>
      <w:r w:rsidRPr="006571AC">
        <w:rPr>
          <w:rFonts w:hint="cs"/>
          <w:sz w:val="27"/>
          <w:rtl/>
        </w:rPr>
        <w:t>ِّ</w:t>
      </w:r>
      <w:r w:rsidRPr="006571AC">
        <w:rPr>
          <w:sz w:val="27"/>
          <w:rtl/>
        </w:rPr>
        <w:t>ف</w:t>
      </w:r>
      <w:r w:rsidRPr="006571AC">
        <w:rPr>
          <w:rFonts w:hint="cs"/>
          <w:sz w:val="24"/>
          <w:szCs w:val="24"/>
          <w:rtl/>
        </w:rPr>
        <w:t>»</w:t>
      </w:r>
      <w:r w:rsidRPr="006571AC">
        <w:rPr>
          <w:sz w:val="27"/>
          <w:vertAlign w:val="superscript"/>
          <w:rtl/>
        </w:rPr>
        <w:t>(</w:t>
      </w:r>
      <w:r w:rsidRPr="006571AC">
        <w:rPr>
          <w:rStyle w:val="ac"/>
          <w:sz w:val="27"/>
          <w:rtl/>
        </w:rPr>
        <w:endnoteReference w:id="896"/>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وقد رج</w:t>
      </w:r>
      <w:r w:rsidR="003465E5" w:rsidRPr="006571AC">
        <w:rPr>
          <w:rFonts w:hint="cs"/>
          <w:sz w:val="27"/>
          <w:rtl/>
        </w:rPr>
        <w:t>َ</w:t>
      </w:r>
      <w:r w:rsidRPr="006571AC">
        <w:rPr>
          <w:rFonts w:hint="cs"/>
          <w:sz w:val="27"/>
          <w:rtl/>
        </w:rPr>
        <w:t>ع</w:t>
      </w:r>
      <w:r w:rsidR="003465E5" w:rsidRPr="006571AC">
        <w:rPr>
          <w:rFonts w:hint="cs"/>
          <w:sz w:val="27"/>
          <w:rtl/>
        </w:rPr>
        <w:t>ْ</w:t>
      </w:r>
      <w:r w:rsidRPr="006571AC">
        <w:rPr>
          <w:rFonts w:hint="cs"/>
          <w:sz w:val="27"/>
          <w:rtl/>
        </w:rPr>
        <w:t xml:space="preserve">نا بالفعل إلى كتاب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فوج</w:t>
      </w:r>
      <w:r w:rsidR="003465E5" w:rsidRPr="006571AC">
        <w:rPr>
          <w:rFonts w:hint="cs"/>
          <w:sz w:val="27"/>
          <w:rtl/>
        </w:rPr>
        <w:t>َ</w:t>
      </w:r>
      <w:r w:rsidRPr="006571AC">
        <w:rPr>
          <w:rFonts w:hint="cs"/>
          <w:sz w:val="27"/>
          <w:rtl/>
        </w:rPr>
        <w:t>د</w:t>
      </w:r>
      <w:r w:rsidR="003465E5"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sz w:val="27"/>
          <w:rtl/>
        </w:rPr>
        <w:t>أحمد بن محم</w:t>
      </w:r>
      <w:r w:rsidRPr="006571AC">
        <w:rPr>
          <w:rFonts w:hint="cs"/>
          <w:sz w:val="27"/>
          <w:rtl/>
        </w:rPr>
        <w:t>ّ</w:t>
      </w:r>
      <w:r w:rsidRPr="006571AC">
        <w:rPr>
          <w:sz w:val="27"/>
          <w:rtl/>
        </w:rPr>
        <w:t>د</w:t>
      </w:r>
      <w:r w:rsidRPr="006571AC">
        <w:rPr>
          <w:rFonts w:hint="cs"/>
          <w:sz w:val="27"/>
          <w:rtl/>
        </w:rPr>
        <w:t xml:space="preserve"> [معلَّقاً على ما قبله، وفي أوّله: عدّة</w:t>
      </w:r>
      <w:r w:rsidR="004B40F2" w:rsidRPr="006571AC">
        <w:rPr>
          <w:rFonts w:hint="cs"/>
          <w:sz w:val="27"/>
          <w:rtl/>
        </w:rPr>
        <w:t>ٌ</w:t>
      </w:r>
      <w:r w:rsidRPr="006571AC">
        <w:rPr>
          <w:rFonts w:hint="cs"/>
          <w:sz w:val="27"/>
          <w:rtl/>
        </w:rPr>
        <w:t xml:space="preserve"> من أصحابنا]</w:t>
      </w:r>
      <w:r w:rsidRPr="006571AC">
        <w:rPr>
          <w:sz w:val="27"/>
          <w:rtl/>
        </w:rPr>
        <w:t>، عن ابن فض</w:t>
      </w:r>
      <w:r w:rsidRPr="006571AC">
        <w:rPr>
          <w:rFonts w:hint="cs"/>
          <w:sz w:val="27"/>
          <w:rtl/>
        </w:rPr>
        <w:t>ّ</w:t>
      </w:r>
      <w:r w:rsidRPr="006571AC">
        <w:rPr>
          <w:sz w:val="27"/>
          <w:rtl/>
        </w:rPr>
        <w:t>ال، عن صالح بن عبد الله الخثعمي</w:t>
      </w:r>
      <w:r w:rsidRPr="006571AC">
        <w:rPr>
          <w:rFonts w:hint="cs"/>
          <w:sz w:val="27"/>
          <w:rtl/>
        </w:rPr>
        <w:t>ّ</w:t>
      </w:r>
      <w:r w:rsidRPr="006571AC">
        <w:rPr>
          <w:sz w:val="27"/>
          <w:rtl/>
        </w:rPr>
        <w:t xml:space="preserve"> قال: سألت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sz w:val="27"/>
          <w:rtl/>
        </w:rPr>
        <w:t xml:space="preserve"> عن الرجل ينوي الصوم فيلقاه أخوه</w:t>
      </w:r>
      <w:r w:rsidRPr="006571AC">
        <w:rPr>
          <w:rFonts w:hint="cs"/>
          <w:sz w:val="27"/>
          <w:rtl/>
        </w:rPr>
        <w:t>،</w:t>
      </w:r>
      <w:r w:rsidRPr="006571AC">
        <w:rPr>
          <w:sz w:val="27"/>
          <w:rtl/>
        </w:rPr>
        <w:t xml:space="preserve"> الذي هو على أمره</w:t>
      </w:r>
      <w:r w:rsidRPr="006571AC">
        <w:rPr>
          <w:rFonts w:hint="cs"/>
          <w:sz w:val="27"/>
          <w:rtl/>
        </w:rPr>
        <w:t>،</w:t>
      </w:r>
      <w:r w:rsidRPr="006571AC">
        <w:rPr>
          <w:sz w:val="27"/>
          <w:rtl/>
        </w:rPr>
        <w:t xml:space="preserve"> أي</w:t>
      </w:r>
      <w:r w:rsidRPr="006571AC">
        <w:rPr>
          <w:rFonts w:hint="cs"/>
          <w:sz w:val="27"/>
          <w:rtl/>
        </w:rPr>
        <w:t>ُ</w:t>
      </w:r>
      <w:r w:rsidRPr="006571AC">
        <w:rPr>
          <w:sz w:val="27"/>
          <w:rtl/>
        </w:rPr>
        <w:t>فطر؟ قال: إن</w:t>
      </w:r>
      <w:r w:rsidRPr="006571AC">
        <w:rPr>
          <w:rFonts w:hint="cs"/>
          <w:sz w:val="27"/>
          <w:rtl/>
        </w:rPr>
        <w:t>ْ</w:t>
      </w:r>
      <w:r w:rsidRPr="006571AC">
        <w:rPr>
          <w:sz w:val="27"/>
          <w:rtl/>
        </w:rPr>
        <w:t xml:space="preserve"> كان تطو</w:t>
      </w:r>
      <w:r w:rsidRPr="006571AC">
        <w:rPr>
          <w:rFonts w:hint="cs"/>
          <w:sz w:val="27"/>
          <w:rtl/>
        </w:rPr>
        <w:t>ُّ</w:t>
      </w:r>
      <w:r w:rsidRPr="006571AC">
        <w:rPr>
          <w:sz w:val="27"/>
          <w:rtl/>
        </w:rPr>
        <w:t>عا</w:t>
      </w:r>
      <w:r w:rsidRPr="006571AC">
        <w:rPr>
          <w:rFonts w:hint="cs"/>
          <w:sz w:val="27"/>
          <w:rtl/>
        </w:rPr>
        <w:t>ً</w:t>
      </w:r>
      <w:r w:rsidRPr="006571AC">
        <w:rPr>
          <w:sz w:val="27"/>
          <w:rtl/>
        </w:rPr>
        <w:t xml:space="preserve"> أجز</w:t>
      </w:r>
      <w:r w:rsidRPr="006571AC">
        <w:rPr>
          <w:rFonts w:hint="cs"/>
          <w:sz w:val="27"/>
          <w:rtl/>
        </w:rPr>
        <w:t>أ</w:t>
      </w:r>
      <w:r w:rsidRPr="006571AC">
        <w:rPr>
          <w:sz w:val="27"/>
          <w:rtl/>
        </w:rPr>
        <w:t>ه</w:t>
      </w:r>
      <w:r w:rsidRPr="006571AC">
        <w:rPr>
          <w:rFonts w:hint="cs"/>
          <w:sz w:val="27"/>
          <w:rtl/>
        </w:rPr>
        <w:t>،</w:t>
      </w:r>
      <w:r w:rsidRPr="006571AC">
        <w:rPr>
          <w:sz w:val="27"/>
          <w:rtl/>
        </w:rPr>
        <w:t xml:space="preserve"> وح</w:t>
      </w:r>
      <w:r w:rsidRPr="006571AC">
        <w:rPr>
          <w:rFonts w:hint="cs"/>
          <w:sz w:val="27"/>
          <w:rtl/>
        </w:rPr>
        <w:t>ُ</w:t>
      </w:r>
      <w:r w:rsidRPr="006571AC">
        <w:rPr>
          <w:sz w:val="27"/>
          <w:rtl/>
        </w:rPr>
        <w:t>س</w:t>
      </w:r>
      <w:r w:rsidRPr="006571AC">
        <w:rPr>
          <w:rFonts w:hint="cs"/>
          <w:sz w:val="27"/>
          <w:rtl/>
        </w:rPr>
        <w:t>ِ</w:t>
      </w:r>
      <w:r w:rsidRPr="006571AC">
        <w:rPr>
          <w:sz w:val="27"/>
          <w:rtl/>
        </w:rPr>
        <w:t>ب له</w:t>
      </w:r>
      <w:r w:rsidRPr="006571AC">
        <w:rPr>
          <w:rFonts w:hint="cs"/>
          <w:sz w:val="27"/>
          <w:rtl/>
        </w:rPr>
        <w:t>؛</w:t>
      </w:r>
      <w:r w:rsidRPr="006571AC">
        <w:rPr>
          <w:sz w:val="27"/>
          <w:rtl/>
        </w:rPr>
        <w:t xml:space="preserve"> وإن</w:t>
      </w:r>
      <w:r w:rsidRPr="006571AC">
        <w:rPr>
          <w:rFonts w:hint="cs"/>
          <w:sz w:val="27"/>
          <w:rtl/>
        </w:rPr>
        <w:t>ْ</w:t>
      </w:r>
      <w:r w:rsidRPr="006571AC">
        <w:rPr>
          <w:sz w:val="27"/>
          <w:rtl/>
        </w:rPr>
        <w:t xml:space="preserve"> كان قضاء فريضة قضاه</w:t>
      </w:r>
      <w:r w:rsidRPr="006571AC">
        <w:rPr>
          <w:rFonts w:hint="cs"/>
          <w:sz w:val="24"/>
          <w:szCs w:val="24"/>
          <w:rtl/>
        </w:rPr>
        <w:t>»</w:t>
      </w:r>
      <w:r w:rsidRPr="006571AC">
        <w:rPr>
          <w:sz w:val="27"/>
          <w:vertAlign w:val="superscript"/>
          <w:rtl/>
        </w:rPr>
        <w:t>(</w:t>
      </w:r>
      <w:r w:rsidRPr="006571AC">
        <w:rPr>
          <w:rStyle w:val="ac"/>
          <w:sz w:val="27"/>
          <w:rtl/>
        </w:rPr>
        <w:endnoteReference w:id="897"/>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فلاحِظْ كيف عبّ</w:t>
      </w:r>
      <w:r w:rsidR="00CC309C" w:rsidRPr="006571AC">
        <w:rPr>
          <w:rFonts w:hint="cs"/>
          <w:sz w:val="27"/>
          <w:rtl/>
        </w:rPr>
        <w:t>َ</w:t>
      </w:r>
      <w:r w:rsidRPr="006571AC">
        <w:rPr>
          <w:rFonts w:hint="cs"/>
          <w:sz w:val="27"/>
          <w:rtl/>
        </w:rPr>
        <w:t>ر الشيخ الحُرّ</w:t>
      </w:r>
      <w:r w:rsidRPr="006571AC">
        <w:rPr>
          <w:rFonts w:ascii="Mosawi" w:hAnsi="Mosawi" w:cs="Mosawi"/>
          <w:sz w:val="22"/>
          <w:szCs w:val="22"/>
          <w:rtl/>
        </w:rPr>
        <w:t>&amp;</w:t>
      </w:r>
      <w:r w:rsidRPr="006571AC">
        <w:rPr>
          <w:rFonts w:hint="cs"/>
          <w:sz w:val="27"/>
          <w:rtl/>
        </w:rPr>
        <w:t xml:space="preserve"> ـ خطأً ـ عمّا حذفه من متن</w:t>
      </w:r>
      <w:r w:rsidR="00CC309C" w:rsidRPr="006571AC">
        <w:rPr>
          <w:rFonts w:hint="cs"/>
          <w:sz w:val="27"/>
          <w:rtl/>
        </w:rPr>
        <w:t>ٍ</w:t>
      </w:r>
      <w:r w:rsidRPr="006571AC">
        <w:rPr>
          <w:rFonts w:hint="cs"/>
          <w:sz w:val="27"/>
          <w:rtl/>
        </w:rPr>
        <w:t xml:space="preserve"> بقوله: </w:t>
      </w:r>
      <w:r w:rsidRPr="006571AC">
        <w:rPr>
          <w:rFonts w:hint="cs"/>
          <w:sz w:val="24"/>
          <w:szCs w:val="24"/>
          <w:rtl/>
        </w:rPr>
        <w:t>«</w:t>
      </w:r>
      <w:r w:rsidRPr="006571AC">
        <w:rPr>
          <w:rFonts w:hint="cs"/>
          <w:sz w:val="27"/>
          <w:rtl/>
        </w:rPr>
        <w:t>مثله</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والصحيحُ أنّ المتن المحذوف مغايرٌ تماماً لما ذكره قبلُ</w:t>
      </w:r>
      <w:r w:rsidRPr="006571AC">
        <w:rPr>
          <w:sz w:val="27"/>
          <w:vertAlign w:val="superscript"/>
          <w:rtl/>
        </w:rPr>
        <w:t>(</w:t>
      </w:r>
      <w:r w:rsidRPr="006571AC">
        <w:rPr>
          <w:rStyle w:val="ac"/>
          <w:sz w:val="27"/>
          <w:rtl/>
        </w:rPr>
        <w:endnoteReference w:id="898"/>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b/>
          <w:bCs/>
          <w:sz w:val="27"/>
          <w:rtl/>
        </w:rPr>
        <w:t>وفي بعض الموارد عبّر</w:t>
      </w:r>
      <w:r w:rsidRPr="006571AC">
        <w:rPr>
          <w:rFonts w:ascii="Mosawi" w:hAnsi="Mosawi" w:cs="Mosawi"/>
          <w:b/>
          <w:bCs/>
          <w:sz w:val="22"/>
          <w:szCs w:val="22"/>
          <w:rtl/>
        </w:rPr>
        <w:t>&amp;</w:t>
      </w:r>
      <w:r w:rsidRPr="006571AC">
        <w:rPr>
          <w:rFonts w:hint="cs"/>
          <w:b/>
          <w:bCs/>
          <w:sz w:val="27"/>
          <w:rtl/>
        </w:rPr>
        <w:t xml:space="preserve"> عن سند الحديث المحذوف بقوله: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إلاّ أنّ مراجعة المصدر أثبتت أنّ السند الذي يعنيه مختلفٌ في بعض رواته عن السند الذي أثبته من المصدر الأصليّ للحديث</w:t>
      </w:r>
      <w:r w:rsidRPr="006571AC">
        <w:rPr>
          <w:rFonts w:hint="cs"/>
          <w:sz w:val="27"/>
          <w:rtl/>
        </w:rPr>
        <w:t>، ومن ذلك:</w:t>
      </w:r>
    </w:p>
    <w:p w:rsidR="008A3F20" w:rsidRPr="006571AC" w:rsidRDefault="008A3F20" w:rsidP="000C6F2A">
      <w:pPr>
        <w:rPr>
          <w:sz w:val="27"/>
          <w:rtl/>
        </w:rPr>
      </w:pPr>
      <w:r w:rsidRPr="006571AC">
        <w:rPr>
          <w:rFonts w:hint="cs"/>
          <w:sz w:val="27"/>
          <w:rtl/>
        </w:rPr>
        <w:t xml:space="preserve">* ما في الباب 24 من أبواب فعل المعروف، ح 6، حيث قال: </w:t>
      </w:r>
      <w:r w:rsidRPr="006571AC">
        <w:rPr>
          <w:rFonts w:hint="cs"/>
          <w:sz w:val="24"/>
          <w:szCs w:val="24"/>
          <w:rtl/>
        </w:rPr>
        <w:t>«</w:t>
      </w:r>
      <w:r w:rsidRPr="006571AC">
        <w:rPr>
          <w:rFonts w:hint="cs"/>
          <w:sz w:val="27"/>
          <w:rtl/>
        </w:rPr>
        <w:t xml:space="preserve">6ـ </w:t>
      </w:r>
      <w:r w:rsidRPr="006571AC">
        <w:rPr>
          <w:sz w:val="27"/>
          <w:rtl/>
        </w:rPr>
        <w:t>و</w:t>
      </w:r>
      <w:r w:rsidRPr="006571AC">
        <w:rPr>
          <w:rFonts w:hint="cs"/>
          <w:sz w:val="27"/>
          <w:rtl/>
        </w:rPr>
        <w:t>[محمّد بن يعقوب]</w:t>
      </w:r>
      <w:r w:rsidRPr="006571AC">
        <w:rPr>
          <w:rFonts w:hint="cs"/>
          <w:b/>
          <w:bCs/>
          <w:sz w:val="27"/>
          <w:rtl/>
        </w:rPr>
        <w:t xml:space="preserve"> </w:t>
      </w:r>
      <w:r w:rsidRPr="006571AC">
        <w:rPr>
          <w:b/>
          <w:bCs/>
          <w:sz w:val="27"/>
          <w:rtl/>
        </w:rPr>
        <w:t>عن علي</w:t>
      </w:r>
      <w:r w:rsidRPr="006571AC">
        <w:rPr>
          <w:rFonts w:hint="cs"/>
          <w:b/>
          <w:bCs/>
          <w:sz w:val="27"/>
          <w:rtl/>
        </w:rPr>
        <w:t>ّ</w:t>
      </w:r>
      <w:r w:rsidRPr="006571AC">
        <w:rPr>
          <w:b/>
          <w:bCs/>
          <w:sz w:val="27"/>
          <w:rtl/>
        </w:rPr>
        <w:t xml:space="preserve"> بن إبراهيم، عن أبيه</w:t>
      </w:r>
      <w:r w:rsidRPr="006571AC">
        <w:rPr>
          <w:sz w:val="27"/>
          <w:rtl/>
        </w:rPr>
        <w:t>، عن ابن أبي عمير، عن هشام بن الحكم، عن أبي عبد الله</w:t>
      </w:r>
      <w:r w:rsidRPr="006571AC">
        <w:rPr>
          <w:rFonts w:ascii="Mosawi" w:hAnsi="Mosawi" w:cs="Mosawi"/>
          <w:sz w:val="22"/>
          <w:szCs w:val="22"/>
          <w:rtl/>
        </w:rPr>
        <w:t>×</w:t>
      </w:r>
      <w:r w:rsidRPr="006571AC">
        <w:rPr>
          <w:sz w:val="27"/>
          <w:rtl/>
        </w:rPr>
        <w:t xml:space="preserve"> قال: من</w:t>
      </w:r>
      <w:r w:rsidRPr="006571AC">
        <w:rPr>
          <w:rFonts w:hint="cs"/>
          <w:sz w:val="27"/>
          <w:rtl/>
        </w:rPr>
        <w:t xml:space="preserve"> </w:t>
      </w:r>
      <w:r w:rsidRPr="006571AC">
        <w:rPr>
          <w:sz w:val="27"/>
          <w:rtl/>
        </w:rPr>
        <w:t>أحب</w:t>
      </w:r>
      <w:r w:rsidRPr="006571AC">
        <w:rPr>
          <w:rFonts w:hint="cs"/>
          <w:sz w:val="27"/>
          <w:rtl/>
        </w:rPr>
        <w:t>ّ</w:t>
      </w:r>
      <w:r w:rsidRPr="006571AC">
        <w:rPr>
          <w:sz w:val="27"/>
          <w:rtl/>
        </w:rPr>
        <w:t xml:space="preserve"> ال</w:t>
      </w:r>
      <w:r w:rsidRPr="006571AC">
        <w:rPr>
          <w:rFonts w:hint="cs"/>
          <w:sz w:val="27"/>
          <w:rtl/>
        </w:rPr>
        <w:t>أ</w:t>
      </w:r>
      <w:r w:rsidRPr="006571AC">
        <w:rPr>
          <w:sz w:val="27"/>
          <w:rtl/>
        </w:rPr>
        <w:t xml:space="preserve">عمال إلى الله عزَّ وجلَّ </w:t>
      </w:r>
      <w:r w:rsidRPr="006571AC">
        <w:rPr>
          <w:rFonts w:hint="cs"/>
          <w:sz w:val="27"/>
          <w:rtl/>
        </w:rPr>
        <w:t>إ</w:t>
      </w:r>
      <w:r w:rsidRPr="006571AC">
        <w:rPr>
          <w:sz w:val="27"/>
          <w:rtl/>
        </w:rPr>
        <w:t>دخال السرور على المؤمن: إشباع ج</w:t>
      </w:r>
      <w:r w:rsidR="004B40F2" w:rsidRPr="006571AC">
        <w:rPr>
          <w:rFonts w:hint="cs"/>
          <w:sz w:val="27"/>
          <w:rtl/>
        </w:rPr>
        <w:t>َ</w:t>
      </w:r>
      <w:r w:rsidRPr="006571AC">
        <w:rPr>
          <w:sz w:val="27"/>
          <w:rtl/>
        </w:rPr>
        <w:t>و</w:t>
      </w:r>
      <w:r w:rsidR="004B40F2" w:rsidRPr="006571AC">
        <w:rPr>
          <w:rFonts w:hint="cs"/>
          <w:sz w:val="27"/>
          <w:rtl/>
        </w:rPr>
        <w:t>ْ</w:t>
      </w:r>
      <w:r w:rsidRPr="006571AC">
        <w:rPr>
          <w:sz w:val="27"/>
          <w:rtl/>
        </w:rPr>
        <w:t>عته، أو تنفيس ك</w:t>
      </w:r>
      <w:r w:rsidR="004B40F2" w:rsidRPr="006571AC">
        <w:rPr>
          <w:rFonts w:hint="cs"/>
          <w:sz w:val="27"/>
          <w:rtl/>
        </w:rPr>
        <w:t>ُ</w:t>
      </w:r>
      <w:r w:rsidRPr="006571AC">
        <w:rPr>
          <w:sz w:val="27"/>
          <w:rtl/>
        </w:rPr>
        <w:t>ر</w:t>
      </w:r>
      <w:r w:rsidR="004B40F2" w:rsidRPr="006571AC">
        <w:rPr>
          <w:rFonts w:hint="cs"/>
          <w:sz w:val="27"/>
          <w:rtl/>
        </w:rPr>
        <w:t>ْ</w:t>
      </w:r>
      <w:r w:rsidRPr="006571AC">
        <w:rPr>
          <w:sz w:val="27"/>
          <w:rtl/>
        </w:rPr>
        <w:t>بته، أو قضاء د</w:t>
      </w:r>
      <w:r w:rsidR="004B40F2" w:rsidRPr="006571AC">
        <w:rPr>
          <w:rFonts w:hint="cs"/>
          <w:sz w:val="27"/>
          <w:rtl/>
        </w:rPr>
        <w:t>َ</w:t>
      </w:r>
      <w:r w:rsidRPr="006571AC">
        <w:rPr>
          <w:sz w:val="27"/>
          <w:rtl/>
        </w:rPr>
        <w:t>ي</w:t>
      </w:r>
      <w:r w:rsidR="004B40F2" w:rsidRPr="006571AC">
        <w:rPr>
          <w:rFonts w:hint="cs"/>
          <w:sz w:val="27"/>
          <w:rtl/>
        </w:rPr>
        <w:t>ْ</w:t>
      </w:r>
      <w:r w:rsidRPr="006571AC">
        <w:rPr>
          <w:sz w:val="27"/>
          <w:rtl/>
        </w:rPr>
        <w:t xml:space="preserve">نه. </w:t>
      </w:r>
    </w:p>
    <w:p w:rsidR="008A3F20" w:rsidRPr="006571AC" w:rsidRDefault="008A3F20" w:rsidP="000C6F2A">
      <w:pPr>
        <w:rPr>
          <w:sz w:val="27"/>
          <w:rtl/>
        </w:rPr>
      </w:pPr>
      <w:r w:rsidRPr="006571AC">
        <w:rPr>
          <w:sz w:val="27"/>
          <w:rtl/>
        </w:rPr>
        <w:t>ورواه الشيخ بإسناده عن محم</w:t>
      </w:r>
      <w:r w:rsidRPr="006571AC">
        <w:rPr>
          <w:rFonts w:hint="cs"/>
          <w:sz w:val="27"/>
          <w:rtl/>
        </w:rPr>
        <w:t>ّ</w:t>
      </w:r>
      <w:r w:rsidRPr="006571AC">
        <w:rPr>
          <w:sz w:val="27"/>
          <w:rtl/>
        </w:rPr>
        <w:t>د بن يعقوب</w:t>
      </w:r>
      <w:r w:rsidRPr="006571AC">
        <w:rPr>
          <w:rFonts w:hint="cs"/>
          <w:sz w:val="27"/>
          <w:rtl/>
        </w:rPr>
        <w:t>،</w:t>
      </w:r>
      <w:r w:rsidRPr="006571AC">
        <w:rPr>
          <w:sz w:val="27"/>
          <w:rtl/>
        </w:rPr>
        <w:t xml:space="preserve"> </w:t>
      </w:r>
      <w:r w:rsidRPr="006571AC">
        <w:rPr>
          <w:b/>
          <w:bCs/>
          <w:sz w:val="27"/>
          <w:rtl/>
        </w:rPr>
        <w:t>مثله</w:t>
      </w:r>
      <w:r w:rsidRPr="006571AC">
        <w:rPr>
          <w:rFonts w:hint="cs"/>
          <w:sz w:val="24"/>
          <w:szCs w:val="24"/>
          <w:rtl/>
        </w:rPr>
        <w:t>»</w:t>
      </w:r>
      <w:r w:rsidRPr="006571AC">
        <w:rPr>
          <w:sz w:val="27"/>
          <w:rtl/>
        </w:rPr>
        <w:t xml:space="preserve">. </w:t>
      </w:r>
    </w:p>
    <w:p w:rsidR="008A3F20" w:rsidRPr="006571AC" w:rsidRDefault="008A3F20" w:rsidP="000C6F2A">
      <w:pPr>
        <w:rPr>
          <w:sz w:val="27"/>
          <w:rtl/>
        </w:rPr>
      </w:pPr>
      <w:r w:rsidRPr="006571AC">
        <w:rPr>
          <w:rFonts w:hint="cs"/>
          <w:sz w:val="27"/>
          <w:rtl/>
        </w:rPr>
        <w:t xml:space="preserve">وعلَّق المحقِّقون في الهامش، على قوله: </w:t>
      </w:r>
      <w:r w:rsidRPr="006571AC">
        <w:rPr>
          <w:rFonts w:hint="cs"/>
          <w:sz w:val="24"/>
          <w:szCs w:val="24"/>
          <w:rtl/>
        </w:rPr>
        <w:t>«</w:t>
      </w:r>
      <w:r w:rsidRPr="006571AC">
        <w:rPr>
          <w:rFonts w:hint="cs"/>
          <w:sz w:val="27"/>
          <w:rtl/>
        </w:rPr>
        <w:t>ورواه الشيخ...</w:t>
      </w:r>
      <w:r w:rsidR="00CC309C" w:rsidRPr="006571AC">
        <w:rPr>
          <w:rFonts w:hint="cs"/>
          <w:sz w:val="27"/>
          <w:rtl/>
        </w:rPr>
        <w:t xml:space="preserve">، </w:t>
      </w:r>
      <w:r w:rsidRPr="006571AC">
        <w:rPr>
          <w:rFonts w:hint="cs"/>
          <w:sz w:val="27"/>
          <w:rtl/>
        </w:rPr>
        <w:t>مثله</w:t>
      </w:r>
      <w:r w:rsidRPr="006571AC">
        <w:rPr>
          <w:rFonts w:hint="cs"/>
          <w:sz w:val="24"/>
          <w:szCs w:val="24"/>
          <w:rtl/>
        </w:rPr>
        <w:t>»</w:t>
      </w:r>
      <w:r w:rsidRPr="006571AC">
        <w:rPr>
          <w:rFonts w:hint="cs"/>
          <w:sz w:val="27"/>
          <w:rtl/>
        </w:rPr>
        <w:t xml:space="preserve">، بقولهم، بعد تعيين موضع الحديث في المصدر: </w:t>
      </w:r>
      <w:r w:rsidRPr="006571AC">
        <w:rPr>
          <w:rFonts w:hint="cs"/>
          <w:sz w:val="24"/>
          <w:szCs w:val="24"/>
          <w:rtl/>
        </w:rPr>
        <w:t>«</w:t>
      </w:r>
      <w:r w:rsidRPr="006571AC">
        <w:rPr>
          <w:sz w:val="27"/>
          <w:rtl/>
        </w:rPr>
        <w:t>وسند</w:t>
      </w:r>
      <w:r w:rsidRPr="006571AC">
        <w:rPr>
          <w:rFonts w:hint="cs"/>
          <w:sz w:val="27"/>
          <w:rtl/>
        </w:rPr>
        <w:t>ُ</w:t>
      </w:r>
      <w:r w:rsidRPr="006571AC">
        <w:rPr>
          <w:sz w:val="27"/>
          <w:rtl/>
        </w:rPr>
        <w:t>ه: محم</w:t>
      </w:r>
      <w:r w:rsidRPr="006571AC">
        <w:rPr>
          <w:rFonts w:hint="cs"/>
          <w:sz w:val="27"/>
          <w:rtl/>
        </w:rPr>
        <w:t>ّ</w:t>
      </w:r>
      <w:r w:rsidRPr="006571AC">
        <w:rPr>
          <w:sz w:val="27"/>
          <w:rtl/>
        </w:rPr>
        <w:t>د بن يعقوب، عن محم</w:t>
      </w:r>
      <w:r w:rsidRPr="006571AC">
        <w:rPr>
          <w:rFonts w:hint="cs"/>
          <w:sz w:val="27"/>
          <w:rtl/>
        </w:rPr>
        <w:t>ّ</w:t>
      </w:r>
      <w:r w:rsidRPr="006571AC">
        <w:rPr>
          <w:sz w:val="27"/>
          <w:rtl/>
        </w:rPr>
        <w:t xml:space="preserve">د بن </w:t>
      </w:r>
      <w:r w:rsidRPr="006571AC">
        <w:rPr>
          <w:rFonts w:hint="cs"/>
          <w:sz w:val="27"/>
          <w:rtl/>
        </w:rPr>
        <w:t>إ</w:t>
      </w:r>
      <w:r w:rsidRPr="006571AC">
        <w:rPr>
          <w:sz w:val="27"/>
          <w:rtl/>
        </w:rPr>
        <w:t xml:space="preserve">سماعيل، عن الفضل بن شاذان، عن ابن </w:t>
      </w:r>
      <w:r w:rsidRPr="006571AC">
        <w:rPr>
          <w:rFonts w:hint="cs"/>
          <w:sz w:val="27"/>
          <w:rtl/>
        </w:rPr>
        <w:t>أ</w:t>
      </w:r>
      <w:r w:rsidRPr="006571AC">
        <w:rPr>
          <w:sz w:val="27"/>
          <w:rtl/>
        </w:rPr>
        <w:t>بي عمير، عن هشام بن الحكم</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89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lastRenderedPageBreak/>
        <w:t>وقد رج</w:t>
      </w:r>
      <w:r w:rsidR="00CC309C" w:rsidRPr="006571AC">
        <w:rPr>
          <w:rFonts w:hint="cs"/>
          <w:sz w:val="27"/>
          <w:rtl/>
        </w:rPr>
        <w:t>َ</w:t>
      </w:r>
      <w:r w:rsidRPr="006571AC">
        <w:rPr>
          <w:rFonts w:hint="cs"/>
          <w:sz w:val="27"/>
          <w:rtl/>
        </w:rPr>
        <w:t>ع</w:t>
      </w:r>
      <w:r w:rsidR="00CC309C" w:rsidRPr="006571AC">
        <w:rPr>
          <w:rFonts w:hint="cs"/>
          <w:sz w:val="27"/>
          <w:rtl/>
        </w:rPr>
        <w:t>ْ</w:t>
      </w:r>
      <w:r w:rsidRPr="006571AC">
        <w:rPr>
          <w:rFonts w:hint="cs"/>
          <w:sz w:val="27"/>
          <w:rtl/>
        </w:rPr>
        <w:t xml:space="preserve">نا بالفعل إلى كتاب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فوج</w:t>
      </w:r>
      <w:r w:rsidR="00CC309C" w:rsidRPr="006571AC">
        <w:rPr>
          <w:rFonts w:hint="cs"/>
          <w:sz w:val="27"/>
          <w:rtl/>
        </w:rPr>
        <w:t>َ</w:t>
      </w:r>
      <w:r w:rsidRPr="006571AC">
        <w:rPr>
          <w:rFonts w:hint="cs"/>
          <w:sz w:val="27"/>
          <w:rtl/>
        </w:rPr>
        <w:t>د</w:t>
      </w:r>
      <w:r w:rsidR="00CC309C"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sz w:val="27"/>
          <w:rtl/>
        </w:rPr>
        <w:t>محم</w:t>
      </w:r>
      <w:r w:rsidRPr="006571AC">
        <w:rPr>
          <w:rFonts w:hint="cs"/>
          <w:sz w:val="27"/>
          <w:rtl/>
        </w:rPr>
        <w:t>ّ</w:t>
      </w:r>
      <w:r w:rsidRPr="006571AC">
        <w:rPr>
          <w:sz w:val="27"/>
          <w:rtl/>
        </w:rPr>
        <w:t>د بن يعقوب</w:t>
      </w:r>
      <w:r w:rsidRPr="006571AC">
        <w:rPr>
          <w:rFonts w:hint="cs"/>
          <w:sz w:val="27"/>
          <w:rtl/>
        </w:rPr>
        <w:t>،</w:t>
      </w:r>
      <w:r w:rsidRPr="006571AC">
        <w:rPr>
          <w:sz w:val="27"/>
          <w:rtl/>
        </w:rPr>
        <w:t xml:space="preserve"> عن محم</w:t>
      </w:r>
      <w:r w:rsidRPr="006571AC">
        <w:rPr>
          <w:rFonts w:hint="cs"/>
          <w:sz w:val="27"/>
          <w:rtl/>
        </w:rPr>
        <w:t>ّ</w:t>
      </w:r>
      <w:r w:rsidRPr="006571AC">
        <w:rPr>
          <w:sz w:val="27"/>
          <w:rtl/>
        </w:rPr>
        <w:t xml:space="preserve">د بن </w:t>
      </w:r>
      <w:r w:rsidRPr="006571AC">
        <w:rPr>
          <w:rFonts w:hint="cs"/>
          <w:sz w:val="27"/>
          <w:rtl/>
        </w:rPr>
        <w:t>إ</w:t>
      </w:r>
      <w:r w:rsidRPr="006571AC">
        <w:rPr>
          <w:sz w:val="27"/>
          <w:rtl/>
        </w:rPr>
        <w:t>سماعيل</w:t>
      </w:r>
      <w:r w:rsidRPr="006571AC">
        <w:rPr>
          <w:rFonts w:hint="cs"/>
          <w:sz w:val="27"/>
          <w:rtl/>
        </w:rPr>
        <w:t>،</w:t>
      </w:r>
      <w:r w:rsidRPr="006571AC">
        <w:rPr>
          <w:sz w:val="27"/>
          <w:rtl/>
        </w:rPr>
        <w:t xml:space="preserve"> عن الفضل بن شاذان</w:t>
      </w:r>
      <w:r w:rsidRPr="006571AC">
        <w:rPr>
          <w:rFonts w:hint="cs"/>
          <w:sz w:val="27"/>
          <w:rtl/>
        </w:rPr>
        <w:t>،</w:t>
      </w:r>
      <w:r w:rsidRPr="006571AC">
        <w:rPr>
          <w:sz w:val="27"/>
          <w:rtl/>
        </w:rPr>
        <w:t xml:space="preserve"> عن ابن </w:t>
      </w:r>
      <w:r w:rsidRPr="006571AC">
        <w:rPr>
          <w:rFonts w:hint="cs"/>
          <w:sz w:val="27"/>
          <w:rtl/>
        </w:rPr>
        <w:t>أ</w:t>
      </w:r>
      <w:r w:rsidRPr="006571AC">
        <w:rPr>
          <w:sz w:val="27"/>
          <w:rtl/>
        </w:rPr>
        <w:t>بي عمير</w:t>
      </w:r>
      <w:r w:rsidRPr="006571AC">
        <w:rPr>
          <w:rFonts w:hint="cs"/>
          <w:sz w:val="27"/>
          <w:rtl/>
        </w:rPr>
        <w:t>،</w:t>
      </w:r>
      <w:r w:rsidRPr="006571AC">
        <w:rPr>
          <w:sz w:val="27"/>
          <w:rtl/>
        </w:rPr>
        <w:t xml:space="preserve"> عن هشام بن الحكم</w:t>
      </w:r>
      <w:r w:rsidRPr="006571AC">
        <w:rPr>
          <w:rFonts w:hint="cs"/>
          <w:sz w:val="27"/>
          <w:rtl/>
        </w:rPr>
        <w:t>،</w:t>
      </w:r>
      <w:r w:rsidRPr="006571AC">
        <w:rPr>
          <w:sz w:val="27"/>
          <w:rtl/>
        </w:rPr>
        <w:t xml:space="preserve"> عن </w:t>
      </w:r>
      <w:r w:rsidRPr="006571AC">
        <w:rPr>
          <w:rFonts w:hint="cs"/>
          <w:sz w:val="27"/>
          <w:rtl/>
        </w:rPr>
        <w:t>أ</w:t>
      </w:r>
      <w:r w:rsidRPr="006571AC">
        <w:rPr>
          <w:sz w:val="27"/>
          <w:rtl/>
        </w:rPr>
        <w:t>بي عبد الله</w:t>
      </w:r>
      <w:r w:rsidRPr="006571AC">
        <w:rPr>
          <w:rFonts w:ascii="Mosawi" w:hAnsi="Mosawi" w:cs="Mosawi"/>
          <w:sz w:val="22"/>
          <w:szCs w:val="22"/>
          <w:rtl/>
        </w:rPr>
        <w:t>×</w:t>
      </w:r>
      <w:r w:rsidRPr="006571AC">
        <w:rPr>
          <w:sz w:val="27"/>
          <w:rtl/>
        </w:rPr>
        <w:t xml:space="preserve"> قال: من أحب</w:t>
      </w:r>
      <w:r w:rsidRPr="006571AC">
        <w:rPr>
          <w:rFonts w:hint="cs"/>
          <w:sz w:val="27"/>
          <w:rtl/>
        </w:rPr>
        <w:t>ّ</w:t>
      </w:r>
      <w:r w:rsidRPr="006571AC">
        <w:rPr>
          <w:sz w:val="27"/>
          <w:rtl/>
        </w:rPr>
        <w:t xml:space="preserve"> ال</w:t>
      </w:r>
      <w:r w:rsidRPr="006571AC">
        <w:rPr>
          <w:rFonts w:hint="cs"/>
          <w:sz w:val="27"/>
          <w:rtl/>
        </w:rPr>
        <w:t>أ</w:t>
      </w:r>
      <w:r w:rsidRPr="006571AC">
        <w:rPr>
          <w:sz w:val="27"/>
          <w:rtl/>
        </w:rPr>
        <w:t xml:space="preserve">عمال </w:t>
      </w:r>
      <w:r w:rsidRPr="006571AC">
        <w:rPr>
          <w:rFonts w:hint="cs"/>
          <w:sz w:val="27"/>
          <w:rtl/>
        </w:rPr>
        <w:t>إ</w:t>
      </w:r>
      <w:r w:rsidRPr="006571AC">
        <w:rPr>
          <w:sz w:val="27"/>
          <w:rtl/>
        </w:rPr>
        <w:t xml:space="preserve">لى الله عزَّ وجلَّ </w:t>
      </w:r>
      <w:r w:rsidRPr="006571AC">
        <w:rPr>
          <w:rFonts w:hint="cs"/>
          <w:sz w:val="27"/>
          <w:rtl/>
        </w:rPr>
        <w:t>إ</w:t>
      </w:r>
      <w:r w:rsidRPr="006571AC">
        <w:rPr>
          <w:sz w:val="27"/>
          <w:rtl/>
        </w:rPr>
        <w:t>شباع ج</w:t>
      </w:r>
      <w:r w:rsidR="004B40F2" w:rsidRPr="006571AC">
        <w:rPr>
          <w:rFonts w:hint="cs"/>
          <w:sz w:val="27"/>
          <w:rtl/>
        </w:rPr>
        <w:t>َ</w:t>
      </w:r>
      <w:r w:rsidRPr="006571AC">
        <w:rPr>
          <w:sz w:val="27"/>
          <w:rtl/>
        </w:rPr>
        <w:t>و</w:t>
      </w:r>
      <w:r w:rsidR="004B40F2" w:rsidRPr="006571AC">
        <w:rPr>
          <w:rFonts w:hint="cs"/>
          <w:sz w:val="27"/>
          <w:rtl/>
        </w:rPr>
        <w:t>ْ</w:t>
      </w:r>
      <w:r w:rsidRPr="006571AC">
        <w:rPr>
          <w:sz w:val="27"/>
          <w:rtl/>
        </w:rPr>
        <w:t>عة المؤمن</w:t>
      </w:r>
      <w:r w:rsidRPr="006571AC">
        <w:rPr>
          <w:rFonts w:hint="cs"/>
          <w:sz w:val="27"/>
          <w:rtl/>
        </w:rPr>
        <w:t>،</w:t>
      </w:r>
      <w:r w:rsidRPr="006571AC">
        <w:rPr>
          <w:sz w:val="27"/>
          <w:rtl/>
        </w:rPr>
        <w:t xml:space="preserve"> وتنفيس ك</w:t>
      </w:r>
      <w:r w:rsidR="004B40F2" w:rsidRPr="006571AC">
        <w:rPr>
          <w:rFonts w:hint="cs"/>
          <w:sz w:val="27"/>
          <w:rtl/>
        </w:rPr>
        <w:t>ُ</w:t>
      </w:r>
      <w:r w:rsidRPr="006571AC">
        <w:rPr>
          <w:sz w:val="27"/>
          <w:rtl/>
        </w:rPr>
        <w:t>ر</w:t>
      </w:r>
      <w:r w:rsidR="004B40F2" w:rsidRPr="006571AC">
        <w:rPr>
          <w:rFonts w:hint="cs"/>
          <w:sz w:val="27"/>
          <w:rtl/>
        </w:rPr>
        <w:t>ْ</w:t>
      </w:r>
      <w:r w:rsidRPr="006571AC">
        <w:rPr>
          <w:sz w:val="27"/>
          <w:rtl/>
        </w:rPr>
        <w:t>بته</w:t>
      </w:r>
      <w:r w:rsidRPr="006571AC">
        <w:rPr>
          <w:rFonts w:hint="cs"/>
          <w:sz w:val="27"/>
          <w:rtl/>
        </w:rPr>
        <w:t>،</w:t>
      </w:r>
      <w:r w:rsidRPr="006571AC">
        <w:rPr>
          <w:sz w:val="27"/>
          <w:rtl/>
        </w:rPr>
        <w:t xml:space="preserve"> وقضاء د</w:t>
      </w:r>
      <w:r w:rsidR="004B40F2" w:rsidRPr="006571AC">
        <w:rPr>
          <w:rFonts w:hint="cs"/>
          <w:sz w:val="27"/>
          <w:rtl/>
        </w:rPr>
        <w:t>َ</w:t>
      </w:r>
      <w:r w:rsidRPr="006571AC">
        <w:rPr>
          <w:sz w:val="27"/>
          <w:rtl/>
        </w:rPr>
        <w:t>ي</w:t>
      </w:r>
      <w:r w:rsidR="004B40F2" w:rsidRPr="006571AC">
        <w:rPr>
          <w:rFonts w:hint="cs"/>
          <w:sz w:val="27"/>
          <w:rtl/>
        </w:rPr>
        <w:t>ْ</w:t>
      </w:r>
      <w:r w:rsidRPr="006571AC">
        <w:rPr>
          <w:sz w:val="27"/>
          <w:rtl/>
        </w:rPr>
        <w:t>نه</w:t>
      </w:r>
      <w:r w:rsidRPr="006571AC">
        <w:rPr>
          <w:rFonts w:hint="cs"/>
          <w:sz w:val="24"/>
          <w:szCs w:val="24"/>
          <w:rtl/>
        </w:rPr>
        <w:t>»</w:t>
      </w:r>
      <w:r w:rsidRPr="006571AC">
        <w:rPr>
          <w:sz w:val="27"/>
          <w:vertAlign w:val="superscript"/>
          <w:rtl/>
        </w:rPr>
        <w:t>(</w:t>
      </w:r>
      <w:r w:rsidRPr="006571AC">
        <w:rPr>
          <w:rStyle w:val="ac"/>
          <w:sz w:val="27"/>
          <w:rtl/>
        </w:rPr>
        <w:endnoteReference w:id="900"/>
      </w:r>
      <w:r w:rsidRPr="006571AC">
        <w:rPr>
          <w:sz w:val="27"/>
          <w:vertAlign w:val="superscript"/>
          <w:rtl/>
        </w:rPr>
        <w:t>)</w:t>
      </w:r>
      <w:r w:rsidRPr="006571AC">
        <w:rPr>
          <w:sz w:val="27"/>
          <w:rtl/>
        </w:rPr>
        <w:t xml:space="preserve">. </w:t>
      </w:r>
    </w:p>
    <w:p w:rsidR="008A3F20" w:rsidRPr="006571AC" w:rsidRDefault="008A3F20" w:rsidP="000C6F2A">
      <w:pPr>
        <w:rPr>
          <w:sz w:val="27"/>
          <w:rtl/>
        </w:rPr>
      </w:pPr>
      <w:r w:rsidRPr="006571AC">
        <w:rPr>
          <w:rFonts w:hint="cs"/>
          <w:sz w:val="27"/>
          <w:rtl/>
        </w:rPr>
        <w:t>فلاحِظْ كيف عبّر الشيخ الحُرّ</w:t>
      </w:r>
      <w:r w:rsidRPr="006571AC">
        <w:rPr>
          <w:rFonts w:ascii="Mosawi" w:hAnsi="Mosawi" w:cs="Mosawi"/>
          <w:sz w:val="22"/>
          <w:szCs w:val="22"/>
          <w:rtl/>
        </w:rPr>
        <w:t>&amp;</w:t>
      </w:r>
      <w:r w:rsidRPr="006571AC">
        <w:rPr>
          <w:rFonts w:hint="cs"/>
          <w:sz w:val="27"/>
          <w:rtl/>
        </w:rPr>
        <w:t xml:space="preserve"> ـ خطأً ـ عمّا حذفه من السند بقوله: </w:t>
      </w:r>
      <w:r w:rsidRPr="006571AC">
        <w:rPr>
          <w:rFonts w:hint="cs"/>
          <w:sz w:val="24"/>
          <w:szCs w:val="24"/>
          <w:rtl/>
        </w:rPr>
        <w:t>«</w:t>
      </w:r>
      <w:r w:rsidRPr="006571AC">
        <w:rPr>
          <w:rFonts w:hint="cs"/>
          <w:sz w:val="27"/>
          <w:rtl/>
        </w:rPr>
        <w:t>مثله</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والصحيحُ أنّ السند المحذوف مختلفٌ في بعض رواته عمّا ذكره قبلُ</w:t>
      </w:r>
      <w:r w:rsidRPr="006571AC">
        <w:rPr>
          <w:sz w:val="27"/>
          <w:vertAlign w:val="superscript"/>
          <w:rtl/>
        </w:rPr>
        <w:t>(</w:t>
      </w:r>
      <w:r w:rsidRPr="006571AC">
        <w:rPr>
          <w:rStyle w:val="ac"/>
          <w:sz w:val="27"/>
          <w:rtl/>
        </w:rPr>
        <w:endnoteReference w:id="901"/>
      </w:r>
      <w:r w:rsidRPr="006571AC">
        <w:rPr>
          <w:sz w:val="27"/>
          <w:vertAlign w:val="superscript"/>
          <w:rtl/>
        </w:rPr>
        <w:t>)</w:t>
      </w:r>
      <w:r w:rsidRPr="006571AC">
        <w:rPr>
          <w:rFonts w:hint="cs"/>
          <w:sz w:val="27"/>
          <w:rtl/>
        </w:rPr>
        <w:t>.</w:t>
      </w:r>
    </w:p>
    <w:p w:rsidR="00C624EE" w:rsidRPr="006571AC" w:rsidRDefault="00C624EE" w:rsidP="00C624EE">
      <w:pPr>
        <w:spacing w:line="420" w:lineRule="exact"/>
        <w:rPr>
          <w:rFonts w:ascii="Arabic Typesetting" w:hAnsi="Arabic Typesetting"/>
          <w:sz w:val="27"/>
          <w:rtl/>
          <w:lang w:bidi="ar-LB"/>
        </w:rPr>
      </w:pPr>
      <w:bookmarkStart w:id="574" w:name="_Toc171512884"/>
    </w:p>
    <w:p w:rsidR="008A3F20" w:rsidRPr="006571AC" w:rsidRDefault="008A3F20" w:rsidP="006A551D">
      <w:pPr>
        <w:pStyle w:val="31"/>
        <w:rPr>
          <w:color w:val="auto"/>
          <w:rtl/>
        </w:rPr>
      </w:pPr>
      <w:bookmarkStart w:id="575" w:name="_Toc114164924"/>
      <w:r w:rsidRPr="006571AC">
        <w:rPr>
          <w:rFonts w:hint="cs"/>
          <w:color w:val="auto"/>
          <w:rtl/>
        </w:rPr>
        <w:t>تنبيهٌ</w:t>
      </w:r>
      <w:bookmarkEnd w:id="574"/>
      <w:bookmarkEnd w:id="575"/>
    </w:p>
    <w:p w:rsidR="008A3F20" w:rsidRPr="006571AC" w:rsidRDefault="008A3F20" w:rsidP="000C6F2A">
      <w:pPr>
        <w:rPr>
          <w:sz w:val="27"/>
          <w:rtl/>
        </w:rPr>
      </w:pPr>
      <w:r w:rsidRPr="006571AC">
        <w:rPr>
          <w:rFonts w:hint="cs"/>
          <w:b/>
          <w:bCs/>
          <w:sz w:val="27"/>
          <w:rtl/>
        </w:rPr>
        <w:t>في بعض الموارد عبّر الشيخ الحُرّ</w:t>
      </w:r>
      <w:r w:rsidRPr="006571AC">
        <w:rPr>
          <w:rFonts w:ascii="Mosawi" w:hAnsi="Mosawi" w:cs="Mosawi"/>
          <w:b/>
          <w:bCs/>
          <w:sz w:val="22"/>
          <w:szCs w:val="22"/>
          <w:rtl/>
        </w:rPr>
        <w:t>&amp;</w:t>
      </w:r>
      <w:r w:rsidRPr="006571AC">
        <w:rPr>
          <w:rFonts w:hint="cs"/>
          <w:b/>
          <w:bCs/>
          <w:sz w:val="27"/>
          <w:rtl/>
        </w:rPr>
        <w:t xml:space="preserve"> عن سند الحديث المحذوف بقوله: </w:t>
      </w:r>
      <w:r w:rsidRPr="006571AC">
        <w:rPr>
          <w:rFonts w:hint="cs"/>
          <w:b/>
          <w:bCs/>
          <w:sz w:val="24"/>
          <w:szCs w:val="24"/>
          <w:rtl/>
        </w:rPr>
        <w:t>«</w:t>
      </w:r>
      <w:r w:rsidRPr="006571AC">
        <w:rPr>
          <w:rFonts w:hint="cs"/>
          <w:b/>
          <w:bCs/>
          <w:sz w:val="27"/>
          <w:rtl/>
        </w:rPr>
        <w:t>بالإسناد المذكور</w:t>
      </w:r>
      <w:r w:rsidRPr="006571AC">
        <w:rPr>
          <w:rFonts w:hint="cs"/>
          <w:b/>
          <w:bCs/>
          <w:sz w:val="24"/>
          <w:szCs w:val="24"/>
          <w:rtl/>
        </w:rPr>
        <w:t>»</w:t>
      </w:r>
      <w:r w:rsidRPr="006571AC">
        <w:rPr>
          <w:rFonts w:hint="cs"/>
          <w:b/>
          <w:bCs/>
          <w:sz w:val="27"/>
          <w:rtl/>
        </w:rPr>
        <w:t>، إلاّ أنّ مراجعة المصدر أثبت</w:t>
      </w:r>
      <w:r w:rsidR="00CC309C" w:rsidRPr="006571AC">
        <w:rPr>
          <w:rFonts w:hint="cs"/>
          <w:b/>
          <w:bCs/>
          <w:sz w:val="27"/>
          <w:rtl/>
        </w:rPr>
        <w:t>َ</w:t>
      </w:r>
      <w:r w:rsidRPr="006571AC">
        <w:rPr>
          <w:rFonts w:hint="cs"/>
          <w:b/>
          <w:bCs/>
          <w:sz w:val="27"/>
          <w:rtl/>
        </w:rPr>
        <w:t>ت</w:t>
      </w:r>
      <w:r w:rsidR="00CC309C" w:rsidRPr="006571AC">
        <w:rPr>
          <w:rFonts w:hint="cs"/>
          <w:b/>
          <w:bCs/>
          <w:sz w:val="27"/>
          <w:rtl/>
        </w:rPr>
        <w:t>ْ</w:t>
      </w:r>
      <w:r w:rsidRPr="006571AC">
        <w:rPr>
          <w:rFonts w:hint="cs"/>
          <w:b/>
          <w:bCs/>
          <w:sz w:val="27"/>
          <w:rtl/>
        </w:rPr>
        <w:t xml:space="preserve"> أنّ الإمام</w:t>
      </w:r>
      <w:r w:rsidRPr="006571AC">
        <w:rPr>
          <w:rFonts w:ascii="Mosawi" w:hAnsi="Mosawi" w:cs="Mosawi"/>
          <w:b/>
          <w:bCs/>
          <w:sz w:val="22"/>
          <w:szCs w:val="22"/>
          <w:rtl/>
        </w:rPr>
        <w:t>×</w:t>
      </w:r>
      <w:r w:rsidRPr="006571AC">
        <w:rPr>
          <w:rFonts w:hint="cs"/>
          <w:b/>
          <w:bCs/>
          <w:sz w:val="27"/>
          <w:rtl/>
        </w:rPr>
        <w:t xml:space="preserve"> الذي نُقل</w:t>
      </w:r>
      <w:r w:rsidR="00CE15D7" w:rsidRPr="006571AC">
        <w:rPr>
          <w:rFonts w:hint="cs"/>
          <w:b/>
          <w:bCs/>
          <w:sz w:val="27"/>
          <w:rtl/>
        </w:rPr>
        <w:t>َ</w:t>
      </w:r>
      <w:r w:rsidRPr="006571AC">
        <w:rPr>
          <w:rFonts w:hint="cs"/>
          <w:b/>
          <w:bCs/>
          <w:sz w:val="27"/>
          <w:rtl/>
        </w:rPr>
        <w:t>ت</w:t>
      </w:r>
      <w:r w:rsidR="00CE15D7" w:rsidRPr="006571AC">
        <w:rPr>
          <w:rFonts w:hint="cs"/>
          <w:b/>
          <w:bCs/>
          <w:sz w:val="27"/>
          <w:rtl/>
        </w:rPr>
        <w:t>ْ</w:t>
      </w:r>
      <w:r w:rsidRPr="006571AC">
        <w:rPr>
          <w:rFonts w:hint="cs"/>
          <w:b/>
          <w:bCs/>
          <w:sz w:val="27"/>
          <w:rtl/>
        </w:rPr>
        <w:t xml:space="preserve"> عنه الرواية في </w:t>
      </w:r>
      <w:r w:rsidR="00CE15D7" w:rsidRPr="006571AC">
        <w:rPr>
          <w:rFonts w:hint="cs"/>
          <w:b/>
          <w:bCs/>
          <w:sz w:val="27"/>
          <w:rtl/>
        </w:rPr>
        <w:t>(الوسائل)</w:t>
      </w:r>
      <w:r w:rsidRPr="006571AC">
        <w:rPr>
          <w:rFonts w:hint="cs"/>
          <w:b/>
          <w:bCs/>
          <w:sz w:val="27"/>
          <w:rtl/>
        </w:rPr>
        <w:t xml:space="preserve"> مختلفٌ عن الإمام</w:t>
      </w:r>
      <w:r w:rsidRPr="006571AC">
        <w:rPr>
          <w:rFonts w:ascii="Mosawi" w:hAnsi="Mosawi" w:cs="Mosawi"/>
          <w:b/>
          <w:bCs/>
          <w:sz w:val="22"/>
          <w:szCs w:val="22"/>
          <w:rtl/>
        </w:rPr>
        <w:t>×</w:t>
      </w:r>
      <w:r w:rsidRPr="006571AC">
        <w:rPr>
          <w:rFonts w:hint="cs"/>
          <w:b/>
          <w:bCs/>
          <w:sz w:val="27"/>
          <w:rtl/>
        </w:rPr>
        <w:t xml:space="preserve"> الذي ن</w:t>
      </w:r>
      <w:r w:rsidR="00CE15D7" w:rsidRPr="006571AC">
        <w:rPr>
          <w:rFonts w:hint="cs"/>
          <w:b/>
          <w:bCs/>
          <w:sz w:val="27"/>
          <w:rtl/>
        </w:rPr>
        <w:t>ُ</w:t>
      </w:r>
      <w:r w:rsidRPr="006571AC">
        <w:rPr>
          <w:rFonts w:hint="cs"/>
          <w:b/>
          <w:bCs/>
          <w:sz w:val="27"/>
          <w:rtl/>
        </w:rPr>
        <w:t>قل</w:t>
      </w:r>
      <w:r w:rsidR="00CE15D7" w:rsidRPr="006571AC">
        <w:rPr>
          <w:rFonts w:hint="cs"/>
          <w:b/>
          <w:bCs/>
          <w:sz w:val="27"/>
          <w:rtl/>
        </w:rPr>
        <w:t>َ</w:t>
      </w:r>
      <w:r w:rsidRPr="006571AC">
        <w:rPr>
          <w:rFonts w:hint="cs"/>
          <w:b/>
          <w:bCs/>
          <w:sz w:val="27"/>
          <w:rtl/>
        </w:rPr>
        <w:t>ت</w:t>
      </w:r>
      <w:r w:rsidR="00CE15D7" w:rsidRPr="006571AC">
        <w:rPr>
          <w:rFonts w:hint="cs"/>
          <w:b/>
          <w:bCs/>
          <w:sz w:val="27"/>
          <w:rtl/>
        </w:rPr>
        <w:t>ْ</w:t>
      </w:r>
      <w:r w:rsidRPr="006571AC">
        <w:rPr>
          <w:rFonts w:hint="cs"/>
          <w:b/>
          <w:bCs/>
          <w:sz w:val="27"/>
          <w:rtl/>
        </w:rPr>
        <w:t xml:space="preserve"> عنه الرواية في المصدر الأصليّ للحديث</w:t>
      </w:r>
      <w:r w:rsidRPr="006571AC">
        <w:rPr>
          <w:rFonts w:hint="cs"/>
          <w:sz w:val="27"/>
          <w:rtl/>
        </w:rPr>
        <w:t>، ومن ذلك:</w:t>
      </w:r>
    </w:p>
    <w:p w:rsidR="008A3F20" w:rsidRPr="006571AC" w:rsidRDefault="008A3F20" w:rsidP="000C6F2A">
      <w:pPr>
        <w:rPr>
          <w:sz w:val="27"/>
        </w:rPr>
      </w:pPr>
      <w:r w:rsidRPr="006571AC">
        <w:rPr>
          <w:rFonts w:hint="cs"/>
          <w:sz w:val="27"/>
          <w:rtl/>
        </w:rPr>
        <w:t xml:space="preserve">* ما في الباب 1 من أبواب مقدّمة العبادات، ح 2، حيث قال: </w:t>
      </w:r>
      <w:r w:rsidRPr="006571AC">
        <w:rPr>
          <w:rFonts w:hint="cs"/>
          <w:sz w:val="24"/>
          <w:szCs w:val="24"/>
          <w:rtl/>
        </w:rPr>
        <w:t>«</w:t>
      </w:r>
      <w:r w:rsidRPr="006571AC">
        <w:rPr>
          <w:sz w:val="27"/>
          <w:rtl/>
        </w:rPr>
        <w:t>2ـ و</w:t>
      </w:r>
      <w:r w:rsidRPr="006571AC">
        <w:rPr>
          <w:rFonts w:hint="cs"/>
          <w:sz w:val="27"/>
          <w:rtl/>
        </w:rPr>
        <w:t xml:space="preserve">[محمّد بن يعقوب] </w:t>
      </w:r>
      <w:r w:rsidRPr="006571AC">
        <w:rPr>
          <w:sz w:val="27"/>
          <w:rtl/>
        </w:rPr>
        <w:t>عن علي</w:t>
      </w:r>
      <w:r w:rsidRPr="006571AC">
        <w:rPr>
          <w:rFonts w:hint="cs"/>
          <w:sz w:val="27"/>
          <w:rtl/>
        </w:rPr>
        <w:t>ّ</w:t>
      </w:r>
      <w:r w:rsidRPr="006571AC">
        <w:rPr>
          <w:sz w:val="27"/>
          <w:rtl/>
        </w:rPr>
        <w:t xml:space="preserve"> بن إبراهيم، عن أبيه وعبد الله بن الصلت جميعا</w:t>
      </w:r>
      <w:r w:rsidRPr="006571AC">
        <w:rPr>
          <w:rFonts w:hint="cs"/>
          <w:sz w:val="27"/>
          <w:rtl/>
        </w:rPr>
        <w:t>ً</w:t>
      </w:r>
      <w:r w:rsidRPr="006571AC">
        <w:rPr>
          <w:sz w:val="27"/>
          <w:rtl/>
        </w:rPr>
        <w:t>، عن حم</w:t>
      </w:r>
      <w:r w:rsidRPr="006571AC">
        <w:rPr>
          <w:rFonts w:hint="cs"/>
          <w:sz w:val="27"/>
          <w:rtl/>
        </w:rPr>
        <w:t>ّ</w:t>
      </w:r>
      <w:r w:rsidRPr="006571AC">
        <w:rPr>
          <w:sz w:val="27"/>
          <w:rtl/>
        </w:rPr>
        <w:t xml:space="preserve">اد بن عيسى، عن حريز بن عبد الله، عن زرارة، </w:t>
      </w:r>
      <w:r w:rsidRPr="006571AC">
        <w:rPr>
          <w:b/>
          <w:bCs/>
          <w:sz w:val="27"/>
          <w:rtl/>
        </w:rPr>
        <w:t>عن أبي جعفر</w:t>
      </w:r>
      <w:r w:rsidRPr="006571AC">
        <w:rPr>
          <w:rFonts w:ascii="Mosawi" w:hAnsi="Mosawi" w:cs="Mosawi"/>
          <w:sz w:val="22"/>
          <w:szCs w:val="22"/>
          <w:rtl/>
        </w:rPr>
        <w:t>×</w:t>
      </w:r>
      <w:r w:rsidRPr="006571AC">
        <w:rPr>
          <w:sz w:val="27"/>
          <w:rtl/>
        </w:rPr>
        <w:t xml:space="preserve"> قال:</w:t>
      </w:r>
      <w:r w:rsidRPr="006571AC">
        <w:rPr>
          <w:rFonts w:hint="cs"/>
          <w:sz w:val="27"/>
          <w:rtl/>
        </w:rPr>
        <w:t xml:space="preserve"> بُني الإسلام على خمسة أشياء:....</w:t>
      </w:r>
      <w:r w:rsidRPr="006571AC">
        <w:rPr>
          <w:sz w:val="27"/>
          <w:rtl/>
        </w:rPr>
        <w:t xml:space="preserve"> </w:t>
      </w:r>
    </w:p>
    <w:p w:rsidR="008A3F20" w:rsidRPr="006571AC" w:rsidRDefault="008A3F20" w:rsidP="000C6F2A">
      <w:pPr>
        <w:rPr>
          <w:sz w:val="27"/>
          <w:rtl/>
        </w:rPr>
      </w:pPr>
      <w:r w:rsidRPr="006571AC">
        <w:rPr>
          <w:sz w:val="27"/>
          <w:rtl/>
        </w:rPr>
        <w:t>ورواه أحمد بن أب</w:t>
      </w:r>
      <w:r w:rsidRPr="006571AC">
        <w:rPr>
          <w:rFonts w:hint="cs"/>
          <w:sz w:val="27"/>
          <w:rtl/>
        </w:rPr>
        <w:t>ي</w:t>
      </w:r>
      <w:r w:rsidRPr="006571AC">
        <w:rPr>
          <w:sz w:val="27"/>
          <w:rtl/>
        </w:rPr>
        <w:t xml:space="preserve"> عبد الله البرقي</w:t>
      </w:r>
      <w:r w:rsidRPr="006571AC">
        <w:rPr>
          <w:rFonts w:hint="cs"/>
          <w:sz w:val="27"/>
          <w:rtl/>
        </w:rPr>
        <w:t>ّ</w:t>
      </w:r>
      <w:r w:rsidRPr="006571AC">
        <w:rPr>
          <w:sz w:val="27"/>
          <w:rtl/>
        </w:rPr>
        <w:t xml:space="preserve"> في </w:t>
      </w:r>
      <w:r w:rsidRPr="006571AC">
        <w:rPr>
          <w:rFonts w:hint="cs"/>
          <w:sz w:val="24"/>
          <w:szCs w:val="24"/>
          <w:rtl/>
        </w:rPr>
        <w:t>«</w:t>
      </w:r>
      <w:r w:rsidRPr="006571AC">
        <w:rPr>
          <w:sz w:val="27"/>
          <w:rtl/>
        </w:rPr>
        <w:t>المحاسن</w:t>
      </w:r>
      <w:r w:rsidRPr="006571AC">
        <w:rPr>
          <w:rFonts w:hint="cs"/>
          <w:sz w:val="24"/>
          <w:szCs w:val="24"/>
          <w:rtl/>
        </w:rPr>
        <w:t>»</w:t>
      </w:r>
      <w:r w:rsidRPr="006571AC">
        <w:rPr>
          <w:rFonts w:hint="cs"/>
          <w:sz w:val="27"/>
          <w:rtl/>
        </w:rPr>
        <w:t xml:space="preserve">، </w:t>
      </w:r>
      <w:r w:rsidRPr="006571AC">
        <w:rPr>
          <w:sz w:val="27"/>
          <w:rtl/>
        </w:rPr>
        <w:t>عن عبد الله بن الصلت</w:t>
      </w:r>
      <w:r w:rsidR="00CE15D7" w:rsidRPr="006571AC">
        <w:rPr>
          <w:rFonts w:hint="cs"/>
          <w:sz w:val="27"/>
          <w:rtl/>
        </w:rPr>
        <w:t>،</w:t>
      </w:r>
      <w:r w:rsidRPr="006571AC">
        <w:rPr>
          <w:sz w:val="27"/>
          <w:rtl/>
        </w:rPr>
        <w:t xml:space="preserve"> </w:t>
      </w:r>
      <w:r w:rsidRPr="006571AC">
        <w:rPr>
          <w:b/>
          <w:bCs/>
          <w:sz w:val="27"/>
          <w:rtl/>
        </w:rPr>
        <w:t>بال</w:t>
      </w:r>
      <w:r w:rsidRPr="006571AC">
        <w:rPr>
          <w:rFonts w:hint="cs"/>
          <w:b/>
          <w:bCs/>
          <w:sz w:val="27"/>
          <w:rtl/>
        </w:rPr>
        <w:t>إ</w:t>
      </w:r>
      <w:r w:rsidRPr="006571AC">
        <w:rPr>
          <w:b/>
          <w:bCs/>
          <w:sz w:val="27"/>
          <w:rtl/>
        </w:rPr>
        <w:t>سناد المذكور</w:t>
      </w:r>
      <w:r w:rsidRPr="006571AC">
        <w:rPr>
          <w:rFonts w:hint="cs"/>
          <w:sz w:val="24"/>
          <w:szCs w:val="24"/>
          <w:rtl/>
        </w:rPr>
        <w:t>»</w:t>
      </w:r>
      <w:r w:rsidRPr="006571AC">
        <w:rPr>
          <w:sz w:val="27"/>
          <w:rtl/>
        </w:rPr>
        <w:t>.</w:t>
      </w:r>
    </w:p>
    <w:p w:rsidR="008A3F20" w:rsidRPr="006571AC" w:rsidRDefault="008A3F20" w:rsidP="000C6F2A">
      <w:pPr>
        <w:rPr>
          <w:sz w:val="27"/>
          <w:rtl/>
        </w:rPr>
      </w:pPr>
      <w:r w:rsidRPr="006571AC">
        <w:rPr>
          <w:rFonts w:hint="cs"/>
          <w:sz w:val="27"/>
          <w:rtl/>
        </w:rPr>
        <w:t xml:space="preserve">وعلّق المحقِّقون في الهامش، على قوله: </w:t>
      </w:r>
      <w:r w:rsidRPr="006571AC">
        <w:rPr>
          <w:rFonts w:hint="cs"/>
          <w:sz w:val="24"/>
          <w:szCs w:val="24"/>
          <w:rtl/>
        </w:rPr>
        <w:t>«</w:t>
      </w:r>
      <w:r w:rsidRPr="006571AC">
        <w:rPr>
          <w:rFonts w:hint="cs"/>
          <w:sz w:val="27"/>
          <w:rtl/>
        </w:rPr>
        <w:t>ورواه أحمد...</w:t>
      </w:r>
      <w:r w:rsidR="004B40F2" w:rsidRPr="006571AC">
        <w:rPr>
          <w:rFonts w:hint="cs"/>
          <w:sz w:val="27"/>
          <w:rtl/>
        </w:rPr>
        <w:t xml:space="preserve">، بالإسناد </w:t>
      </w:r>
      <w:r w:rsidRPr="006571AC">
        <w:rPr>
          <w:rFonts w:hint="cs"/>
          <w:sz w:val="27"/>
          <w:rtl/>
        </w:rPr>
        <w:t>المذكور</w:t>
      </w:r>
      <w:r w:rsidRPr="006571AC">
        <w:rPr>
          <w:rFonts w:hint="cs"/>
          <w:sz w:val="24"/>
          <w:szCs w:val="24"/>
          <w:rtl/>
        </w:rPr>
        <w:t>»</w:t>
      </w:r>
      <w:r w:rsidRPr="006571AC">
        <w:rPr>
          <w:rFonts w:hint="cs"/>
          <w:sz w:val="27"/>
          <w:rtl/>
        </w:rPr>
        <w:t xml:space="preserve">، بقولهم، بعد تعيين موضع الحديث في المصدر: </w:t>
      </w:r>
      <w:r w:rsidRPr="006571AC">
        <w:rPr>
          <w:rFonts w:hint="cs"/>
          <w:sz w:val="24"/>
          <w:szCs w:val="24"/>
          <w:rtl/>
        </w:rPr>
        <w:t>«</w:t>
      </w:r>
      <w:r w:rsidRPr="006571AC">
        <w:rPr>
          <w:rFonts w:hint="cs"/>
          <w:sz w:val="27"/>
          <w:rtl/>
        </w:rPr>
        <w:t>إلاّ أنّه رواه عن أبي عبد الله</w:t>
      </w:r>
      <w:r w:rsidRPr="006571AC">
        <w:rPr>
          <w:rFonts w:ascii="Mosawi" w:hAnsi="Mosawi" w:cs="Mosawi"/>
          <w:sz w:val="22"/>
          <w:szCs w:val="22"/>
          <w:rtl/>
        </w:rPr>
        <w:t>×</w:t>
      </w:r>
      <w:r w:rsidRPr="006571AC">
        <w:rPr>
          <w:rFonts w:hint="cs"/>
          <w:sz w:val="24"/>
          <w:szCs w:val="24"/>
          <w:rtl/>
        </w:rPr>
        <w:t>»</w:t>
      </w:r>
      <w:r w:rsidRPr="006571AC">
        <w:rPr>
          <w:sz w:val="27"/>
          <w:vertAlign w:val="superscript"/>
          <w:rtl/>
        </w:rPr>
        <w:t>(</w:t>
      </w:r>
      <w:r w:rsidRPr="006571AC">
        <w:rPr>
          <w:rStyle w:val="ac"/>
          <w:sz w:val="27"/>
          <w:rtl/>
        </w:rPr>
        <w:endnoteReference w:id="902"/>
      </w:r>
      <w:r w:rsidRPr="006571AC">
        <w:rPr>
          <w:sz w:val="27"/>
          <w:vertAlign w:val="superscript"/>
          <w:rtl/>
        </w:rPr>
        <w:t>)</w:t>
      </w:r>
      <w:r w:rsidRPr="006571AC">
        <w:rPr>
          <w:rFonts w:hint="cs"/>
          <w:sz w:val="27"/>
          <w:rtl/>
        </w:rPr>
        <w:t xml:space="preserve">. </w:t>
      </w:r>
    </w:p>
    <w:p w:rsidR="008A3F20" w:rsidRPr="006571AC" w:rsidRDefault="008A3F20" w:rsidP="000C6F2A">
      <w:pPr>
        <w:rPr>
          <w:rtl/>
        </w:rPr>
      </w:pPr>
      <w:r w:rsidRPr="006571AC">
        <w:rPr>
          <w:rFonts w:hint="cs"/>
          <w:sz w:val="27"/>
          <w:rtl/>
        </w:rPr>
        <w:t>وقد رج</w:t>
      </w:r>
      <w:r w:rsidR="00CE15D7" w:rsidRPr="006571AC">
        <w:rPr>
          <w:rFonts w:hint="cs"/>
          <w:sz w:val="27"/>
          <w:rtl/>
        </w:rPr>
        <w:t>َ</w:t>
      </w:r>
      <w:r w:rsidRPr="006571AC">
        <w:rPr>
          <w:rFonts w:hint="cs"/>
          <w:sz w:val="27"/>
          <w:rtl/>
        </w:rPr>
        <w:t>ع</w:t>
      </w:r>
      <w:r w:rsidR="00CE15D7" w:rsidRPr="006571AC">
        <w:rPr>
          <w:rFonts w:hint="cs"/>
          <w:sz w:val="27"/>
          <w:rtl/>
        </w:rPr>
        <w:t>ْ</w:t>
      </w:r>
      <w:r w:rsidRPr="006571AC">
        <w:rPr>
          <w:rFonts w:hint="cs"/>
          <w:sz w:val="27"/>
          <w:rtl/>
        </w:rPr>
        <w:t xml:space="preserve">نا بالفعل إلى كتاب </w:t>
      </w:r>
      <w:r w:rsidRPr="006571AC">
        <w:rPr>
          <w:rFonts w:hint="cs"/>
          <w:sz w:val="24"/>
          <w:szCs w:val="24"/>
          <w:rtl/>
        </w:rPr>
        <w:t>«</w:t>
      </w:r>
      <w:r w:rsidRPr="006571AC">
        <w:rPr>
          <w:rFonts w:hint="cs"/>
          <w:sz w:val="27"/>
          <w:rtl/>
        </w:rPr>
        <w:t>المحاسن</w:t>
      </w:r>
      <w:r w:rsidRPr="006571AC">
        <w:rPr>
          <w:rFonts w:hint="cs"/>
          <w:sz w:val="24"/>
          <w:szCs w:val="24"/>
          <w:rtl/>
        </w:rPr>
        <w:t>»</w:t>
      </w:r>
      <w:r w:rsidRPr="006571AC">
        <w:rPr>
          <w:rFonts w:hint="cs"/>
          <w:sz w:val="27"/>
          <w:rtl/>
        </w:rPr>
        <w:t>، فوج</w:t>
      </w:r>
      <w:r w:rsidR="00CE15D7" w:rsidRPr="006571AC">
        <w:rPr>
          <w:rFonts w:hint="cs"/>
          <w:sz w:val="27"/>
          <w:rtl/>
        </w:rPr>
        <w:t>َ</w:t>
      </w:r>
      <w:r w:rsidRPr="006571AC">
        <w:rPr>
          <w:rFonts w:hint="cs"/>
          <w:sz w:val="27"/>
          <w:rtl/>
        </w:rPr>
        <w:t>د</w:t>
      </w:r>
      <w:r w:rsidR="00CE15D7"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rFonts w:hint="cs"/>
          <w:sz w:val="27"/>
          <w:rtl/>
        </w:rPr>
        <w:t xml:space="preserve">عنه، عن أبي طالب </w:t>
      </w:r>
      <w:r w:rsidRPr="006571AC">
        <w:rPr>
          <w:sz w:val="27"/>
          <w:rtl/>
        </w:rPr>
        <w:t>عبد الله بن الصلت، عن حم</w:t>
      </w:r>
      <w:r w:rsidRPr="006571AC">
        <w:rPr>
          <w:rFonts w:hint="cs"/>
          <w:sz w:val="27"/>
          <w:rtl/>
        </w:rPr>
        <w:t>ّ</w:t>
      </w:r>
      <w:r w:rsidRPr="006571AC">
        <w:rPr>
          <w:sz w:val="27"/>
          <w:rtl/>
        </w:rPr>
        <w:t>اد بن عيسى، عن حريز بن عبد الله</w:t>
      </w:r>
      <w:r w:rsidRPr="006571AC">
        <w:rPr>
          <w:rFonts w:hint="cs"/>
          <w:sz w:val="27"/>
          <w:rtl/>
        </w:rPr>
        <w:t>،</w:t>
      </w:r>
      <w:r w:rsidRPr="006571AC">
        <w:rPr>
          <w:sz w:val="27"/>
          <w:rtl/>
        </w:rPr>
        <w:t xml:space="preserve"> عن زرارة، عن أبي عبد الله</w:t>
      </w:r>
      <w:r w:rsidRPr="006571AC">
        <w:rPr>
          <w:rFonts w:ascii="Mosawi" w:hAnsi="Mosawi" w:cs="Mosawi"/>
          <w:sz w:val="22"/>
          <w:szCs w:val="22"/>
          <w:rtl/>
        </w:rPr>
        <w:t>×</w:t>
      </w:r>
      <w:r w:rsidRPr="006571AC">
        <w:rPr>
          <w:rFonts w:hint="cs"/>
          <w:sz w:val="27"/>
          <w:rtl/>
        </w:rPr>
        <w:t xml:space="preserve"> </w:t>
      </w:r>
      <w:r w:rsidRPr="006571AC">
        <w:rPr>
          <w:sz w:val="27"/>
          <w:rtl/>
        </w:rPr>
        <w:t>قال: ب</w:t>
      </w:r>
      <w:r w:rsidRPr="006571AC">
        <w:rPr>
          <w:rFonts w:hint="cs"/>
          <w:sz w:val="27"/>
          <w:rtl/>
        </w:rPr>
        <w:t>ُ</w:t>
      </w:r>
      <w:r w:rsidRPr="006571AC">
        <w:rPr>
          <w:sz w:val="27"/>
          <w:rtl/>
        </w:rPr>
        <w:t>ن</w:t>
      </w:r>
      <w:r w:rsidRPr="006571AC">
        <w:rPr>
          <w:rFonts w:hint="cs"/>
          <w:sz w:val="27"/>
          <w:rtl/>
        </w:rPr>
        <w:t>ي</w:t>
      </w:r>
      <w:r w:rsidRPr="006571AC">
        <w:rPr>
          <w:sz w:val="27"/>
          <w:rtl/>
        </w:rPr>
        <w:t xml:space="preserve"> ال</w:t>
      </w:r>
      <w:r w:rsidRPr="006571AC">
        <w:rPr>
          <w:rFonts w:hint="cs"/>
          <w:sz w:val="27"/>
          <w:rtl/>
        </w:rPr>
        <w:t>إ</w:t>
      </w:r>
      <w:r w:rsidRPr="006571AC">
        <w:rPr>
          <w:sz w:val="27"/>
          <w:rtl/>
        </w:rPr>
        <w:t>سلام على خمسة أشياء</w:t>
      </w:r>
      <w:r w:rsidRPr="006571AC">
        <w:rPr>
          <w:rFonts w:hint="cs"/>
          <w:sz w:val="27"/>
          <w:rtl/>
        </w:rPr>
        <w:t>:</w:t>
      </w:r>
      <w:r w:rsidRPr="006571AC">
        <w:rPr>
          <w:sz w:val="27"/>
          <w:rtl/>
        </w:rPr>
        <w:t xml:space="preserve"> على الصل</w:t>
      </w:r>
      <w:r w:rsidRPr="006571AC">
        <w:rPr>
          <w:rFonts w:hint="cs"/>
          <w:sz w:val="27"/>
          <w:rtl/>
        </w:rPr>
        <w:t>ا</w:t>
      </w:r>
      <w:r w:rsidRPr="006571AC">
        <w:rPr>
          <w:sz w:val="27"/>
          <w:rtl/>
        </w:rPr>
        <w:t>ة، والزك</w:t>
      </w:r>
      <w:r w:rsidRPr="006571AC">
        <w:rPr>
          <w:rFonts w:hint="cs"/>
          <w:sz w:val="27"/>
          <w:rtl/>
        </w:rPr>
        <w:t>ا</w:t>
      </w:r>
      <w:r w:rsidRPr="006571AC">
        <w:rPr>
          <w:sz w:val="27"/>
          <w:rtl/>
        </w:rPr>
        <w:t>ة، والحج</w:t>
      </w:r>
      <w:r w:rsidRPr="006571AC">
        <w:rPr>
          <w:rFonts w:hint="cs"/>
          <w:sz w:val="27"/>
          <w:rtl/>
        </w:rPr>
        <w:t>ّ</w:t>
      </w:r>
      <w:r w:rsidRPr="006571AC">
        <w:rPr>
          <w:sz w:val="27"/>
          <w:rtl/>
        </w:rPr>
        <w:t>، والصوم، والولاية</w:t>
      </w:r>
      <w:r w:rsidRPr="006571AC">
        <w:rPr>
          <w:rFonts w:hint="cs"/>
          <w:sz w:val="27"/>
          <w:rtl/>
        </w:rPr>
        <w:t>،...</w:t>
      </w:r>
      <w:r w:rsidRPr="006571AC">
        <w:rPr>
          <w:rFonts w:hint="cs"/>
          <w:sz w:val="24"/>
          <w:szCs w:val="24"/>
          <w:rtl/>
        </w:rPr>
        <w:t>»</w:t>
      </w:r>
      <w:r w:rsidRPr="006571AC">
        <w:rPr>
          <w:sz w:val="27"/>
          <w:vertAlign w:val="superscript"/>
          <w:rtl/>
        </w:rPr>
        <w:t>(</w:t>
      </w:r>
      <w:r w:rsidRPr="006571AC">
        <w:rPr>
          <w:rStyle w:val="ac"/>
          <w:sz w:val="27"/>
          <w:rtl/>
        </w:rPr>
        <w:endnoteReference w:id="903"/>
      </w:r>
      <w:r w:rsidRPr="006571AC">
        <w:rPr>
          <w:sz w:val="27"/>
          <w:vertAlign w:val="superscript"/>
          <w:rtl/>
        </w:rPr>
        <w:t>)</w:t>
      </w:r>
      <w:r w:rsidRPr="006571AC">
        <w:rPr>
          <w:rFonts w:hint="cs"/>
          <w:sz w:val="27"/>
          <w:rtl/>
        </w:rPr>
        <w:t>.</w:t>
      </w:r>
    </w:p>
    <w:p w:rsidR="008A3F20" w:rsidRPr="006571AC" w:rsidRDefault="008A3F20" w:rsidP="00C624EE">
      <w:pPr>
        <w:spacing w:line="460" w:lineRule="exact"/>
        <w:rPr>
          <w:rtl/>
        </w:rPr>
      </w:pPr>
    </w:p>
    <w:p w:rsidR="008A3F20" w:rsidRPr="006571AC" w:rsidRDefault="008A3F20" w:rsidP="008A3F20">
      <w:pPr>
        <w:pStyle w:val="34"/>
        <w:autoSpaceDE w:val="0"/>
        <w:autoSpaceDN w:val="0"/>
        <w:adjustRightInd w:val="0"/>
        <w:spacing w:line="418" w:lineRule="exact"/>
        <w:ind w:firstLine="0"/>
        <w:rPr>
          <w:rFonts w:cs="K Sina"/>
          <w:sz w:val="26"/>
          <w:rtl/>
          <w:lang w:eastAsia="ar-SA"/>
        </w:rPr>
      </w:pPr>
      <w:r w:rsidRPr="006571AC">
        <w:rPr>
          <w:rFonts w:cs="K Sina" w:hint="cs"/>
          <w:sz w:val="26"/>
          <w:rtl/>
          <w:lang w:eastAsia="ar-SA"/>
        </w:rPr>
        <w:lastRenderedPageBreak/>
        <w:t>الهوامش</w:t>
      </w:r>
    </w:p>
    <w:p w:rsidR="008A3F20" w:rsidRPr="006571AC" w:rsidRDefault="008A3F20" w:rsidP="008A3F20">
      <w:pPr>
        <w:pStyle w:val="34"/>
        <w:autoSpaceDE w:val="0"/>
        <w:autoSpaceDN w:val="0"/>
        <w:adjustRightInd w:val="0"/>
        <w:spacing w:line="418" w:lineRule="exact"/>
        <w:ind w:firstLine="0"/>
        <w:rPr>
          <w:rFonts w:cs="K Sina"/>
          <w:sz w:val="26"/>
          <w:rtl/>
          <w:lang w:eastAsia="ar-SA"/>
        </w:rPr>
        <w:sectPr w:rsidR="008A3F20" w:rsidRPr="006571AC" w:rsidSect="00E85587">
          <w:headerReference w:type="even" r:id="rId170"/>
          <w:headerReference w:type="default" r:id="rId171"/>
          <w:footerReference w:type="even" r:id="rId172"/>
          <w:footerReference w:type="default" r:id="rId173"/>
          <w:endnotePr>
            <w:numFmt w:val="decimal"/>
            <w:numRestart w:val="eachSect"/>
          </w:endnotePr>
          <w:type w:val="continuous"/>
          <w:pgSz w:w="11907" w:h="16840" w:code="9"/>
          <w:pgMar w:top="2637" w:right="2438" w:bottom="3686" w:left="2438" w:header="2268" w:footer="3119" w:gutter="0"/>
          <w:cols w:space="720"/>
          <w:titlePg/>
          <w:docGrid w:linePitch="360"/>
        </w:sectPr>
      </w:pPr>
    </w:p>
    <w:p w:rsidR="008A3F20" w:rsidRPr="006571AC" w:rsidRDefault="008A3F20" w:rsidP="008A3F20">
      <w:r w:rsidRPr="006571AC">
        <w:rPr>
          <w:rtl/>
        </w:rPr>
        <w:lastRenderedPageBreak/>
        <w:br w:type="page"/>
      </w:r>
    </w:p>
    <w:p w:rsidR="008A3F20" w:rsidRPr="006571AC" w:rsidRDefault="008A3F20" w:rsidP="008A3F20">
      <w:pPr>
        <w:rPr>
          <w:rtl/>
        </w:rPr>
        <w:sectPr w:rsidR="008A3F20" w:rsidRPr="006571AC" w:rsidSect="00E85587">
          <w:headerReference w:type="even" r:id="rId174"/>
          <w:headerReference w:type="default" r:id="rId175"/>
          <w:footerReference w:type="even" r:id="rId176"/>
          <w:footerReference w:type="default" r:id="rId177"/>
          <w:headerReference w:type="first" r:id="rId178"/>
          <w:endnotePr>
            <w:numFmt w:val="decimal"/>
            <w:numRestart w:val="eachSect"/>
          </w:endnotePr>
          <w:type w:val="continuous"/>
          <w:pgSz w:w="11907" w:h="16840" w:code="9"/>
          <w:pgMar w:top="2637" w:right="2438" w:bottom="3686" w:left="2438" w:header="2268" w:footer="3119" w:gutter="0"/>
          <w:cols w:space="720"/>
          <w:titlePg/>
          <w:docGrid w:linePitch="360"/>
        </w:sectPr>
      </w:pPr>
    </w:p>
    <w:p w:rsidR="008A3F20" w:rsidRPr="006571AC" w:rsidRDefault="008A3F20" w:rsidP="0024500D">
      <w:pPr>
        <w:spacing w:line="370" w:lineRule="exact"/>
        <w:rPr>
          <w:rtl/>
        </w:rPr>
      </w:pPr>
    </w:p>
    <w:p w:rsidR="008A3F20" w:rsidRPr="006571AC" w:rsidRDefault="008A3F20" w:rsidP="0024500D">
      <w:pPr>
        <w:spacing w:line="360" w:lineRule="exact"/>
        <w:rPr>
          <w:rtl/>
        </w:rPr>
      </w:pPr>
    </w:p>
    <w:p w:rsidR="00D273DA" w:rsidRPr="006571AC" w:rsidRDefault="00D939B3" w:rsidP="00256231">
      <w:pPr>
        <w:pStyle w:val="10"/>
        <w:spacing w:line="216" w:lineRule="auto"/>
        <w:rPr>
          <w:rtl/>
        </w:rPr>
      </w:pPr>
      <w:bookmarkStart w:id="576" w:name="_Toc114164925"/>
      <w:r w:rsidRPr="006571AC">
        <w:rPr>
          <w:rFonts w:hint="cs"/>
          <w:rtl/>
        </w:rPr>
        <w:t>تأثير وتجديد كتاب</w:t>
      </w:r>
      <w:r w:rsidRPr="006571AC">
        <w:rPr>
          <w:rtl/>
        </w:rPr>
        <w:t xml:space="preserve"> </w:t>
      </w:r>
      <w:r w:rsidRPr="006571AC">
        <w:rPr>
          <w:rFonts w:hint="eastAsia"/>
          <w:rtl/>
        </w:rPr>
        <w:t>«</w:t>
      </w:r>
      <w:r w:rsidRPr="006571AC">
        <w:rPr>
          <w:rtl/>
        </w:rPr>
        <w:t>اقتصادنا</w:t>
      </w:r>
      <w:r w:rsidRPr="006571AC">
        <w:rPr>
          <w:rFonts w:hint="eastAsia"/>
          <w:sz w:val="48"/>
          <w:rtl/>
        </w:rPr>
        <w:t>»</w:t>
      </w:r>
      <w:bookmarkEnd w:id="576"/>
    </w:p>
    <w:p w:rsidR="00D273DA" w:rsidRPr="006571AC" w:rsidRDefault="00D939B3" w:rsidP="00412F40">
      <w:pPr>
        <w:pStyle w:val="10"/>
        <w:spacing w:line="216" w:lineRule="auto"/>
        <w:rPr>
          <w:sz w:val="26"/>
          <w:szCs w:val="42"/>
          <w:rtl/>
        </w:rPr>
      </w:pPr>
      <w:bookmarkStart w:id="577" w:name="_Toc114164926"/>
      <w:r w:rsidRPr="006571AC">
        <w:rPr>
          <w:sz w:val="26"/>
          <w:szCs w:val="42"/>
          <w:rtl/>
        </w:rPr>
        <w:t>مناقشة</w:t>
      </w:r>
      <w:r w:rsidRPr="006571AC">
        <w:rPr>
          <w:rFonts w:hint="cs"/>
          <w:sz w:val="26"/>
          <w:szCs w:val="42"/>
          <w:rtl/>
        </w:rPr>
        <w:t>ٌ</w:t>
      </w:r>
      <w:r w:rsidRPr="006571AC">
        <w:rPr>
          <w:sz w:val="26"/>
          <w:szCs w:val="42"/>
          <w:rtl/>
        </w:rPr>
        <w:t xml:space="preserve"> </w:t>
      </w:r>
      <w:r w:rsidR="00412F40" w:rsidRPr="006571AC">
        <w:rPr>
          <w:rFonts w:hint="cs"/>
          <w:sz w:val="26"/>
          <w:szCs w:val="42"/>
          <w:rtl/>
        </w:rPr>
        <w:t>في ضوء</w:t>
      </w:r>
      <w:r w:rsidRPr="006571AC">
        <w:rPr>
          <w:sz w:val="26"/>
          <w:szCs w:val="42"/>
          <w:rtl/>
        </w:rPr>
        <w:t xml:space="preserve"> تطوير منهجي</w:t>
      </w:r>
      <w:r w:rsidRPr="006571AC">
        <w:rPr>
          <w:rFonts w:hint="cs"/>
          <w:sz w:val="26"/>
          <w:szCs w:val="42"/>
          <w:rtl/>
        </w:rPr>
        <w:t>ّ</w:t>
      </w:r>
      <w:r w:rsidRPr="006571AC">
        <w:rPr>
          <w:sz w:val="26"/>
          <w:szCs w:val="42"/>
          <w:rtl/>
        </w:rPr>
        <w:t>ة الأبحاث ال</w:t>
      </w:r>
      <w:r w:rsidRPr="006571AC">
        <w:rPr>
          <w:rFonts w:hint="cs"/>
          <w:sz w:val="26"/>
          <w:szCs w:val="42"/>
          <w:rtl/>
        </w:rPr>
        <w:t>إ</w:t>
      </w:r>
      <w:r w:rsidRPr="006571AC">
        <w:rPr>
          <w:sz w:val="26"/>
          <w:szCs w:val="42"/>
          <w:rtl/>
        </w:rPr>
        <w:t>سلامي</w:t>
      </w:r>
      <w:r w:rsidRPr="006571AC">
        <w:rPr>
          <w:rFonts w:hint="cs"/>
          <w:sz w:val="26"/>
          <w:szCs w:val="42"/>
          <w:rtl/>
        </w:rPr>
        <w:t>ّ</w:t>
      </w:r>
      <w:r w:rsidRPr="006571AC">
        <w:rPr>
          <w:sz w:val="26"/>
          <w:szCs w:val="42"/>
          <w:rtl/>
        </w:rPr>
        <w:t>ة</w:t>
      </w:r>
      <w:bookmarkEnd w:id="577"/>
    </w:p>
    <w:p w:rsidR="00D273DA" w:rsidRPr="006571AC" w:rsidRDefault="00D273DA" w:rsidP="00D273DA">
      <w:pPr>
        <w:spacing w:line="300" w:lineRule="exact"/>
        <w:rPr>
          <w:rtl/>
        </w:rPr>
      </w:pPr>
    </w:p>
    <w:p w:rsidR="00D273DA" w:rsidRPr="006571AC" w:rsidRDefault="00A3356D" w:rsidP="00D273DA">
      <w:pPr>
        <w:pStyle w:val="Author"/>
        <w:rPr>
          <w:rtl/>
        </w:rPr>
      </w:pPr>
      <w:r w:rsidRPr="006571AC">
        <w:rPr>
          <w:rFonts w:hint="cs"/>
          <w:rtl/>
        </w:rPr>
        <w:t>د. مالك أبو حمدان</w:t>
      </w:r>
      <w:r w:rsidR="00D273DA" w:rsidRPr="006571AC">
        <w:rPr>
          <w:rFonts w:cs="Taher" w:hint="cs"/>
          <w:vertAlign w:val="superscript"/>
          <w:rtl/>
        </w:rPr>
        <w:t>(</w:t>
      </w:r>
      <w:r w:rsidR="00D273DA" w:rsidRPr="006571AC">
        <w:rPr>
          <w:rFonts w:cs="Taher"/>
          <w:vertAlign w:val="superscript"/>
          <w:rtl/>
        </w:rPr>
        <w:footnoteReference w:customMarkFollows="1" w:id="22"/>
        <w:t>*)</w:t>
      </w:r>
    </w:p>
    <w:p w:rsidR="00D273DA" w:rsidRPr="006571AC" w:rsidRDefault="00D273DA" w:rsidP="00D273DA">
      <w:pPr>
        <w:spacing w:line="300" w:lineRule="exact"/>
        <w:rPr>
          <w:rtl/>
        </w:rPr>
      </w:pPr>
    </w:p>
    <w:p w:rsidR="00962F60" w:rsidRPr="006571AC" w:rsidRDefault="00AD667C" w:rsidP="00D939B3">
      <w:pPr>
        <w:pStyle w:val="31"/>
        <w:rPr>
          <w:rFonts w:cs="AL-Mohanad"/>
          <w:color w:val="auto"/>
          <w:szCs w:val="27"/>
        </w:rPr>
      </w:pPr>
      <w:bookmarkStart w:id="578" w:name="_Toc114164927"/>
      <w:r w:rsidRPr="006571AC">
        <w:rPr>
          <w:rFonts w:hint="cs"/>
          <w:color w:val="auto"/>
          <w:rtl/>
        </w:rPr>
        <w:t>الخلاصة</w:t>
      </w:r>
      <w:bookmarkEnd w:id="578"/>
    </w:p>
    <w:p w:rsidR="00962F60" w:rsidRPr="006571AC" w:rsidRDefault="00962F60" w:rsidP="007E009E">
      <w:pPr>
        <w:rPr>
          <w:sz w:val="27"/>
        </w:rPr>
      </w:pPr>
      <w:r w:rsidRPr="006571AC">
        <w:rPr>
          <w:sz w:val="27"/>
          <w:rtl/>
        </w:rPr>
        <w:t xml:space="preserve">يتناول هذا البحث موضوع </w:t>
      </w:r>
      <w:r w:rsidR="00D761FB" w:rsidRPr="006571AC">
        <w:rPr>
          <w:rFonts w:hint="cs"/>
          <w:sz w:val="27"/>
          <w:rtl/>
        </w:rPr>
        <w:t>إ</w:t>
      </w:r>
      <w:r w:rsidRPr="006571AC">
        <w:rPr>
          <w:sz w:val="27"/>
          <w:rtl/>
        </w:rPr>
        <w:t xml:space="preserve">سهامات عمل </w:t>
      </w:r>
      <w:r w:rsidRPr="006571AC">
        <w:rPr>
          <w:rFonts w:hint="eastAsia"/>
          <w:sz w:val="24"/>
          <w:szCs w:val="24"/>
          <w:rtl/>
        </w:rPr>
        <w:t>«</w:t>
      </w:r>
      <w:r w:rsidRPr="006571AC">
        <w:rPr>
          <w:sz w:val="27"/>
          <w:rtl/>
        </w:rPr>
        <w:t>اقتصادنا</w:t>
      </w:r>
      <w:r w:rsidRPr="006571AC">
        <w:rPr>
          <w:rFonts w:hint="eastAsia"/>
          <w:sz w:val="24"/>
          <w:szCs w:val="24"/>
          <w:rtl/>
        </w:rPr>
        <w:t>»</w:t>
      </w:r>
      <w:r w:rsidR="00D761FB" w:rsidRPr="006571AC">
        <w:rPr>
          <w:rFonts w:hint="cs"/>
          <w:sz w:val="27"/>
          <w:rtl/>
        </w:rPr>
        <w:t>،</w:t>
      </w:r>
      <w:r w:rsidRPr="006571AC">
        <w:rPr>
          <w:sz w:val="27"/>
          <w:rtl/>
        </w:rPr>
        <w:t xml:space="preserve"> للسيد محمد باقر الصدر، منطلقا</w:t>
      </w:r>
      <w:r w:rsidR="00D761FB" w:rsidRPr="006571AC">
        <w:rPr>
          <w:rFonts w:hint="cs"/>
          <w:sz w:val="27"/>
          <w:rtl/>
        </w:rPr>
        <w:t>ً</w:t>
      </w:r>
      <w:r w:rsidRPr="006571AC">
        <w:rPr>
          <w:sz w:val="27"/>
          <w:rtl/>
        </w:rPr>
        <w:t xml:space="preserve"> من </w:t>
      </w:r>
      <w:r w:rsidR="00D761FB" w:rsidRPr="006571AC">
        <w:rPr>
          <w:rFonts w:hint="cs"/>
          <w:sz w:val="27"/>
          <w:rtl/>
        </w:rPr>
        <w:t>أ</w:t>
      </w:r>
      <w:r w:rsidRPr="006571AC">
        <w:rPr>
          <w:sz w:val="27"/>
          <w:rtl/>
        </w:rPr>
        <w:t>طروحة</w:t>
      </w:r>
      <w:r w:rsidR="00476A20" w:rsidRPr="006571AC">
        <w:rPr>
          <w:rFonts w:hint="cs"/>
          <w:sz w:val="27"/>
          <w:rtl/>
        </w:rPr>
        <w:t>ٍ</w:t>
      </w:r>
      <w:r w:rsidRPr="006571AC">
        <w:rPr>
          <w:sz w:val="27"/>
          <w:rtl/>
        </w:rPr>
        <w:t xml:space="preserve"> مجد</w:t>
      </w:r>
      <w:r w:rsidR="00D761FB" w:rsidRPr="006571AC">
        <w:rPr>
          <w:rFonts w:hint="cs"/>
          <w:sz w:val="27"/>
          <w:rtl/>
        </w:rPr>
        <w:t>ّ</w:t>
      </w:r>
      <w:r w:rsidRPr="006571AC">
        <w:rPr>
          <w:sz w:val="27"/>
          <w:rtl/>
        </w:rPr>
        <w:t>دة</w:t>
      </w:r>
      <w:r w:rsidR="00D761FB" w:rsidRPr="006571AC">
        <w:rPr>
          <w:rFonts w:hint="cs"/>
          <w:sz w:val="27"/>
          <w:rtl/>
        </w:rPr>
        <w:t>،</w:t>
      </w:r>
      <w:r w:rsidRPr="006571AC">
        <w:rPr>
          <w:sz w:val="27"/>
          <w:rtl/>
        </w:rPr>
        <w:t xml:space="preserve"> مفاد</w:t>
      </w:r>
      <w:r w:rsidR="00D761FB" w:rsidRPr="006571AC">
        <w:rPr>
          <w:rFonts w:hint="cs"/>
          <w:sz w:val="27"/>
          <w:rtl/>
        </w:rPr>
        <w:t>ُ</w:t>
      </w:r>
      <w:r w:rsidRPr="006571AC">
        <w:rPr>
          <w:sz w:val="27"/>
          <w:rtl/>
        </w:rPr>
        <w:t>ها أن التركيز على هذه ال</w:t>
      </w:r>
      <w:r w:rsidR="00D761FB" w:rsidRPr="006571AC">
        <w:rPr>
          <w:rFonts w:hint="cs"/>
          <w:sz w:val="27"/>
          <w:rtl/>
        </w:rPr>
        <w:t>إ</w:t>
      </w:r>
      <w:r w:rsidRPr="006571AC">
        <w:rPr>
          <w:sz w:val="27"/>
          <w:rtl/>
        </w:rPr>
        <w:t>سهامات يجب أن يكون من الزاويتين ال</w:t>
      </w:r>
      <w:r w:rsidR="00D761FB" w:rsidRPr="006571AC">
        <w:rPr>
          <w:rFonts w:hint="cs"/>
          <w:sz w:val="27"/>
          <w:rtl/>
        </w:rPr>
        <w:t>إ</w:t>
      </w:r>
      <w:r w:rsidRPr="006571AC">
        <w:rPr>
          <w:sz w:val="27"/>
          <w:rtl/>
        </w:rPr>
        <w:t>بستمولوجية والمنهجية، حيث يكمن حجر زاويتها، بخلاف ما ذهب</w:t>
      </w:r>
      <w:r w:rsidR="00D761FB" w:rsidRPr="006571AC">
        <w:rPr>
          <w:rFonts w:hint="cs"/>
          <w:sz w:val="27"/>
          <w:rtl/>
        </w:rPr>
        <w:t>َ</w:t>
      </w:r>
      <w:r w:rsidRPr="006571AC">
        <w:rPr>
          <w:sz w:val="27"/>
          <w:rtl/>
        </w:rPr>
        <w:t>ت</w:t>
      </w:r>
      <w:r w:rsidR="00D761FB" w:rsidRPr="006571AC">
        <w:rPr>
          <w:rFonts w:hint="cs"/>
          <w:sz w:val="27"/>
          <w:rtl/>
        </w:rPr>
        <w:t>ْ</w:t>
      </w:r>
      <w:r w:rsidRPr="006571AC">
        <w:rPr>
          <w:sz w:val="27"/>
          <w:rtl/>
        </w:rPr>
        <w:t xml:space="preserve"> إليه أكثر الدراسات حول هذا العمل. ويقد</w:t>
      </w:r>
      <w:r w:rsidR="00D761FB" w:rsidRPr="006571AC">
        <w:rPr>
          <w:rFonts w:hint="cs"/>
          <w:sz w:val="27"/>
          <w:rtl/>
        </w:rPr>
        <w:t>ّ</w:t>
      </w:r>
      <w:r w:rsidRPr="006571AC">
        <w:rPr>
          <w:sz w:val="27"/>
          <w:rtl/>
        </w:rPr>
        <w:t>م هذا البحث اقتراحا</w:t>
      </w:r>
      <w:r w:rsidR="00D761FB" w:rsidRPr="006571AC">
        <w:rPr>
          <w:rFonts w:hint="cs"/>
          <w:sz w:val="27"/>
          <w:rtl/>
        </w:rPr>
        <w:t>ً</w:t>
      </w:r>
      <w:r w:rsidRPr="006571AC">
        <w:rPr>
          <w:sz w:val="27"/>
          <w:rtl/>
        </w:rPr>
        <w:t xml:space="preserve"> يهدف إلى تجديد وتطوير منهجية البحوث إسلامية الطابع بشكل</w:t>
      </w:r>
      <w:r w:rsidR="00D761FB" w:rsidRPr="006571AC">
        <w:rPr>
          <w:rFonts w:hint="cs"/>
          <w:sz w:val="27"/>
          <w:rtl/>
        </w:rPr>
        <w:t>ٍ</w:t>
      </w:r>
      <w:r w:rsidRPr="006571AC">
        <w:rPr>
          <w:sz w:val="27"/>
          <w:rtl/>
        </w:rPr>
        <w:t xml:space="preserve"> عام</w:t>
      </w:r>
      <w:r w:rsidR="00D761FB" w:rsidRPr="006571AC">
        <w:rPr>
          <w:rFonts w:hint="cs"/>
          <w:sz w:val="27"/>
          <w:rtl/>
        </w:rPr>
        <w:t>ّ</w:t>
      </w:r>
      <w:r w:rsidRPr="006571AC">
        <w:rPr>
          <w:sz w:val="27"/>
          <w:rtl/>
        </w:rPr>
        <w:t>، وهو مبني</w:t>
      </w:r>
      <w:r w:rsidR="00D761FB" w:rsidRPr="006571AC">
        <w:rPr>
          <w:rFonts w:hint="cs"/>
          <w:sz w:val="27"/>
          <w:rtl/>
        </w:rPr>
        <w:t>ّ</w:t>
      </w:r>
      <w:r w:rsidRPr="006571AC">
        <w:rPr>
          <w:sz w:val="27"/>
          <w:rtl/>
        </w:rPr>
        <w:t xml:space="preserve"> على التقريب بين </w:t>
      </w:r>
      <w:r w:rsidR="00D761FB" w:rsidRPr="006571AC">
        <w:rPr>
          <w:rFonts w:hint="cs"/>
          <w:sz w:val="27"/>
          <w:rtl/>
        </w:rPr>
        <w:t>إ</w:t>
      </w:r>
      <w:r w:rsidRPr="006571AC">
        <w:rPr>
          <w:sz w:val="27"/>
          <w:rtl/>
        </w:rPr>
        <w:t xml:space="preserve">سهامات </w:t>
      </w:r>
      <w:r w:rsidRPr="006571AC">
        <w:rPr>
          <w:rFonts w:hint="eastAsia"/>
          <w:sz w:val="24"/>
          <w:szCs w:val="24"/>
          <w:rtl/>
        </w:rPr>
        <w:t>«</w:t>
      </w:r>
      <w:r w:rsidRPr="006571AC">
        <w:rPr>
          <w:sz w:val="27"/>
          <w:rtl/>
        </w:rPr>
        <w:t>اقتصادنا</w:t>
      </w:r>
      <w:r w:rsidRPr="006571AC">
        <w:rPr>
          <w:rFonts w:hint="eastAsia"/>
          <w:sz w:val="24"/>
          <w:szCs w:val="24"/>
          <w:rtl/>
        </w:rPr>
        <w:t>»</w:t>
      </w:r>
      <w:r w:rsidRPr="006571AC">
        <w:rPr>
          <w:sz w:val="27"/>
          <w:rtl/>
        </w:rPr>
        <w:t xml:space="preserve"> المنهجي</w:t>
      </w:r>
      <w:r w:rsidR="00D761FB" w:rsidRPr="006571AC">
        <w:rPr>
          <w:rFonts w:hint="cs"/>
          <w:sz w:val="27"/>
          <w:rtl/>
        </w:rPr>
        <w:t>ّ</w:t>
      </w:r>
      <w:r w:rsidRPr="006571AC">
        <w:rPr>
          <w:sz w:val="27"/>
          <w:rtl/>
        </w:rPr>
        <w:t>ة وطروحات مدرسة ماكس فيبر المنهجي</w:t>
      </w:r>
      <w:r w:rsidR="00D761FB" w:rsidRPr="006571AC">
        <w:rPr>
          <w:rFonts w:hint="cs"/>
          <w:sz w:val="27"/>
          <w:rtl/>
        </w:rPr>
        <w:t>ّ</w:t>
      </w:r>
      <w:r w:rsidRPr="006571AC">
        <w:rPr>
          <w:sz w:val="27"/>
          <w:rtl/>
        </w:rPr>
        <w:t xml:space="preserve">ة الأساسية. ويقترح، </w:t>
      </w:r>
      <w:r w:rsidR="00D761FB" w:rsidRPr="006571AC">
        <w:rPr>
          <w:rFonts w:hint="cs"/>
          <w:sz w:val="27"/>
          <w:rtl/>
        </w:rPr>
        <w:t>إ</w:t>
      </w:r>
      <w:r w:rsidRPr="006571AC">
        <w:rPr>
          <w:sz w:val="27"/>
          <w:rtl/>
        </w:rPr>
        <w:t>ذن، بشكل</w:t>
      </w:r>
      <w:r w:rsidR="00D761FB" w:rsidRPr="006571AC">
        <w:rPr>
          <w:rFonts w:hint="cs"/>
          <w:sz w:val="27"/>
          <w:rtl/>
        </w:rPr>
        <w:t>ٍ</w:t>
      </w:r>
      <w:r w:rsidRPr="006571AC">
        <w:rPr>
          <w:sz w:val="27"/>
          <w:rtl/>
        </w:rPr>
        <w:t xml:space="preserve"> رئيس، التقريب بين فلسفة منهجية بناء </w:t>
      </w:r>
      <w:r w:rsidRPr="006571AC">
        <w:rPr>
          <w:rFonts w:hint="eastAsia"/>
          <w:sz w:val="24"/>
          <w:szCs w:val="24"/>
          <w:rtl/>
        </w:rPr>
        <w:t>«</w:t>
      </w:r>
      <w:r w:rsidRPr="006571AC">
        <w:rPr>
          <w:sz w:val="27"/>
          <w:rtl/>
        </w:rPr>
        <w:t>المفاهيم ال</w:t>
      </w:r>
      <w:r w:rsidR="00381B74" w:rsidRPr="006571AC">
        <w:rPr>
          <w:rFonts w:hint="cs"/>
          <w:sz w:val="27"/>
          <w:rtl/>
        </w:rPr>
        <w:t>إ</w:t>
      </w:r>
      <w:r w:rsidRPr="006571AC">
        <w:rPr>
          <w:sz w:val="27"/>
          <w:rtl/>
        </w:rPr>
        <w:t>سلامية</w:t>
      </w:r>
      <w:r w:rsidRPr="006571AC">
        <w:rPr>
          <w:rFonts w:hint="eastAsia"/>
          <w:sz w:val="24"/>
          <w:szCs w:val="24"/>
          <w:rtl/>
        </w:rPr>
        <w:t>»</w:t>
      </w:r>
      <w:r w:rsidRPr="006571AC">
        <w:rPr>
          <w:sz w:val="27"/>
          <w:rtl/>
        </w:rPr>
        <w:t xml:space="preserve"> عند الصدر وفلسفة منهجي</w:t>
      </w:r>
      <w:r w:rsidR="00381B74" w:rsidRPr="006571AC">
        <w:rPr>
          <w:rFonts w:hint="cs"/>
          <w:sz w:val="27"/>
          <w:rtl/>
        </w:rPr>
        <w:t>ّ</w:t>
      </w:r>
      <w:r w:rsidRPr="006571AC">
        <w:rPr>
          <w:sz w:val="27"/>
          <w:rtl/>
        </w:rPr>
        <w:t xml:space="preserve">ة بناء </w:t>
      </w:r>
      <w:r w:rsidRPr="006571AC">
        <w:rPr>
          <w:rFonts w:hint="eastAsia"/>
          <w:sz w:val="24"/>
          <w:szCs w:val="24"/>
          <w:rtl/>
        </w:rPr>
        <w:t>«</w:t>
      </w:r>
      <w:r w:rsidRPr="006571AC">
        <w:rPr>
          <w:sz w:val="27"/>
          <w:rtl/>
        </w:rPr>
        <w:t>النموذج ـ المثالي</w:t>
      </w:r>
      <w:r w:rsidRPr="006571AC">
        <w:rPr>
          <w:rFonts w:hint="eastAsia"/>
          <w:sz w:val="24"/>
          <w:szCs w:val="24"/>
          <w:rtl/>
        </w:rPr>
        <w:t>»</w:t>
      </w:r>
      <w:r w:rsidRPr="006571AC">
        <w:rPr>
          <w:sz w:val="27"/>
          <w:rtl/>
        </w:rPr>
        <w:t xml:space="preserve"> عند ماكس فيبر، مع الأخذ بالأ</w:t>
      </w:r>
      <w:r w:rsidR="00476A20" w:rsidRPr="006571AC">
        <w:rPr>
          <w:rFonts w:hint="cs"/>
          <w:sz w:val="27"/>
          <w:rtl/>
        </w:rPr>
        <w:t>ُ</w:t>
      </w:r>
      <w:r w:rsidRPr="006571AC">
        <w:rPr>
          <w:sz w:val="27"/>
          <w:rtl/>
        </w:rPr>
        <w:t>ط</w:t>
      </w:r>
      <w:r w:rsidR="00476A20" w:rsidRPr="006571AC">
        <w:rPr>
          <w:rFonts w:hint="cs"/>
          <w:sz w:val="27"/>
          <w:rtl/>
        </w:rPr>
        <w:t>ُ</w:t>
      </w:r>
      <w:r w:rsidRPr="006571AC">
        <w:rPr>
          <w:sz w:val="27"/>
          <w:rtl/>
        </w:rPr>
        <w:t>ر ال</w:t>
      </w:r>
      <w:r w:rsidR="00381B74" w:rsidRPr="006571AC">
        <w:rPr>
          <w:rFonts w:hint="cs"/>
          <w:sz w:val="27"/>
          <w:rtl/>
        </w:rPr>
        <w:t>إ</w:t>
      </w:r>
      <w:r w:rsidRPr="006571AC">
        <w:rPr>
          <w:sz w:val="27"/>
          <w:rtl/>
        </w:rPr>
        <w:t xml:space="preserve">بستمولوجية الأساسية لهذه الأخيرة. </w:t>
      </w:r>
    </w:p>
    <w:p w:rsidR="00962F60" w:rsidRPr="006571AC" w:rsidRDefault="00962F60" w:rsidP="007E009E">
      <w:pPr>
        <w:rPr>
          <w:sz w:val="27"/>
          <w:rtl/>
        </w:rPr>
      </w:pPr>
    </w:p>
    <w:p w:rsidR="00962F60" w:rsidRPr="006571AC" w:rsidRDefault="00962F60" w:rsidP="00D939B3">
      <w:pPr>
        <w:pStyle w:val="31"/>
        <w:rPr>
          <w:color w:val="auto"/>
        </w:rPr>
      </w:pPr>
      <w:bookmarkStart w:id="579" w:name="_Toc114164928"/>
      <w:r w:rsidRPr="006571AC">
        <w:rPr>
          <w:color w:val="auto"/>
          <w:rtl/>
        </w:rPr>
        <w:t>مقدّمة</w:t>
      </w:r>
      <w:r w:rsidR="00AD667C" w:rsidRPr="006571AC">
        <w:rPr>
          <w:rFonts w:hint="cs"/>
          <w:color w:val="auto"/>
          <w:rtl/>
        </w:rPr>
        <w:t>ٌ</w:t>
      </w:r>
      <w:bookmarkEnd w:id="579"/>
    </w:p>
    <w:p w:rsidR="00962F60" w:rsidRPr="006571AC" w:rsidRDefault="00962F60" w:rsidP="00476A20">
      <w:pPr>
        <w:rPr>
          <w:sz w:val="27"/>
        </w:rPr>
      </w:pPr>
      <w:r w:rsidRPr="006571AC">
        <w:rPr>
          <w:sz w:val="27"/>
          <w:rtl/>
        </w:rPr>
        <w:t>إنه لمن المفاجئ حقيقةً للباحث الأمين والمحايد أن يلاحظ قل</w:t>
      </w:r>
      <w:r w:rsidR="00381B74" w:rsidRPr="006571AC">
        <w:rPr>
          <w:rFonts w:hint="cs"/>
          <w:sz w:val="27"/>
          <w:rtl/>
        </w:rPr>
        <w:t>ّ</w:t>
      </w:r>
      <w:r w:rsidRPr="006571AC">
        <w:rPr>
          <w:sz w:val="27"/>
          <w:rtl/>
        </w:rPr>
        <w:t>ة الدراسات العلمية ـ ال</w:t>
      </w:r>
      <w:r w:rsidR="00381B74" w:rsidRPr="006571AC">
        <w:rPr>
          <w:rFonts w:hint="cs"/>
          <w:sz w:val="27"/>
          <w:rtl/>
        </w:rPr>
        <w:t>أ</w:t>
      </w:r>
      <w:r w:rsidRPr="006571AC">
        <w:rPr>
          <w:sz w:val="27"/>
          <w:rtl/>
        </w:rPr>
        <w:t>كاديمية بشكل</w:t>
      </w:r>
      <w:r w:rsidR="00381B74" w:rsidRPr="006571AC">
        <w:rPr>
          <w:rFonts w:hint="cs"/>
          <w:sz w:val="27"/>
          <w:rtl/>
        </w:rPr>
        <w:t>ٍ</w:t>
      </w:r>
      <w:r w:rsidRPr="006571AC">
        <w:rPr>
          <w:sz w:val="27"/>
          <w:rtl/>
        </w:rPr>
        <w:t xml:space="preserve"> خاص</w:t>
      </w:r>
      <w:r w:rsidR="00381B74" w:rsidRPr="006571AC">
        <w:rPr>
          <w:rFonts w:hint="cs"/>
          <w:sz w:val="27"/>
          <w:rtl/>
        </w:rPr>
        <w:t>ّ</w:t>
      </w:r>
      <w:r w:rsidRPr="006571AC">
        <w:rPr>
          <w:sz w:val="27"/>
          <w:rtl/>
        </w:rPr>
        <w:t xml:space="preserve"> ـ التي تناول</w:t>
      </w:r>
      <w:r w:rsidR="00381B74" w:rsidRPr="006571AC">
        <w:rPr>
          <w:rFonts w:hint="cs"/>
          <w:sz w:val="27"/>
          <w:rtl/>
        </w:rPr>
        <w:t>َ</w:t>
      </w:r>
      <w:r w:rsidRPr="006571AC">
        <w:rPr>
          <w:sz w:val="27"/>
          <w:rtl/>
        </w:rPr>
        <w:t>ت</w:t>
      </w:r>
      <w:r w:rsidR="00381B74" w:rsidRPr="006571AC">
        <w:rPr>
          <w:rFonts w:hint="cs"/>
          <w:sz w:val="27"/>
          <w:rtl/>
        </w:rPr>
        <w:t>ْ</w:t>
      </w:r>
      <w:r w:rsidRPr="006571AC">
        <w:rPr>
          <w:sz w:val="27"/>
          <w:rtl/>
        </w:rPr>
        <w:t xml:space="preserve"> أعمال السيد محمد باقر الصدر، </w:t>
      </w:r>
      <w:r w:rsidR="00381B74" w:rsidRPr="006571AC">
        <w:rPr>
          <w:rFonts w:hint="cs"/>
          <w:sz w:val="27"/>
          <w:rtl/>
        </w:rPr>
        <w:t>و</w:t>
      </w:r>
      <w:r w:rsidR="00731867" w:rsidRPr="006571AC">
        <w:rPr>
          <w:sz w:val="27"/>
          <w:rtl/>
        </w:rPr>
        <w:t>لا سيَّما</w:t>
      </w:r>
      <w:r w:rsidRPr="006571AC">
        <w:rPr>
          <w:sz w:val="27"/>
          <w:rtl/>
        </w:rPr>
        <w:t xml:space="preserve"> منها</w:t>
      </w:r>
      <w:r w:rsidR="00381B74" w:rsidRPr="006571AC">
        <w:rPr>
          <w:rFonts w:hint="cs"/>
          <w:sz w:val="27"/>
          <w:rtl/>
        </w:rPr>
        <w:t>:</w:t>
      </w:r>
      <w:r w:rsidRPr="006571AC">
        <w:rPr>
          <w:sz w:val="27"/>
          <w:rtl/>
        </w:rPr>
        <w:t xml:space="preserve"> الاقتصادية والسياسية والاجتماعية، بشكل</w:t>
      </w:r>
      <w:r w:rsidR="00381B74" w:rsidRPr="006571AC">
        <w:rPr>
          <w:rFonts w:hint="cs"/>
          <w:sz w:val="27"/>
          <w:rtl/>
        </w:rPr>
        <w:t>ٍ</w:t>
      </w:r>
      <w:r w:rsidRPr="006571AC">
        <w:rPr>
          <w:sz w:val="27"/>
          <w:rtl/>
        </w:rPr>
        <w:t xml:space="preserve"> رصين ودقيق، والأهم</w:t>
      </w:r>
      <w:r w:rsidR="00381B74" w:rsidRPr="006571AC">
        <w:rPr>
          <w:rFonts w:hint="cs"/>
          <w:sz w:val="27"/>
          <w:rtl/>
        </w:rPr>
        <w:t>ّ</w:t>
      </w:r>
      <w:r w:rsidRPr="006571AC">
        <w:rPr>
          <w:sz w:val="27"/>
          <w:rtl/>
        </w:rPr>
        <w:t xml:space="preserve"> بشكل</w:t>
      </w:r>
      <w:r w:rsidR="00381B74" w:rsidRPr="006571AC">
        <w:rPr>
          <w:rFonts w:hint="cs"/>
          <w:sz w:val="27"/>
          <w:rtl/>
        </w:rPr>
        <w:t>ٍ</w:t>
      </w:r>
      <w:r w:rsidRPr="006571AC">
        <w:rPr>
          <w:sz w:val="27"/>
          <w:rtl/>
        </w:rPr>
        <w:t xml:space="preserve"> علمي</w:t>
      </w:r>
      <w:r w:rsidR="00381B74" w:rsidRPr="006571AC">
        <w:rPr>
          <w:rFonts w:hint="cs"/>
          <w:sz w:val="27"/>
          <w:rtl/>
        </w:rPr>
        <w:t>ّ</w:t>
      </w:r>
      <w:r w:rsidRPr="006571AC">
        <w:rPr>
          <w:sz w:val="27"/>
          <w:rtl/>
        </w:rPr>
        <w:t xml:space="preserve"> محايد أيديولوجي</w:t>
      </w:r>
      <w:r w:rsidR="00381B74" w:rsidRPr="006571AC">
        <w:rPr>
          <w:rFonts w:hint="cs"/>
          <w:sz w:val="27"/>
          <w:rtl/>
        </w:rPr>
        <w:t>ّ</w:t>
      </w:r>
      <w:r w:rsidRPr="006571AC">
        <w:rPr>
          <w:sz w:val="27"/>
          <w:rtl/>
        </w:rPr>
        <w:t>ا</w:t>
      </w:r>
      <w:r w:rsidR="00381B74" w:rsidRPr="006571AC">
        <w:rPr>
          <w:rFonts w:hint="cs"/>
          <w:sz w:val="27"/>
          <w:rtl/>
        </w:rPr>
        <w:t>ً</w:t>
      </w:r>
      <w:r w:rsidRPr="006571AC">
        <w:rPr>
          <w:sz w:val="27"/>
          <w:rtl/>
        </w:rPr>
        <w:t xml:space="preserve">. </w:t>
      </w:r>
      <w:r w:rsidR="00381B74" w:rsidRPr="006571AC">
        <w:rPr>
          <w:rFonts w:hint="cs"/>
          <w:sz w:val="27"/>
          <w:rtl/>
        </w:rPr>
        <w:t>و</w:t>
      </w:r>
      <w:r w:rsidRPr="006571AC">
        <w:rPr>
          <w:sz w:val="27"/>
          <w:rtl/>
        </w:rPr>
        <w:t xml:space="preserve">لنأخذ </w:t>
      </w:r>
      <w:r w:rsidR="00381B74" w:rsidRPr="006571AC">
        <w:rPr>
          <w:sz w:val="27"/>
          <w:rtl/>
        </w:rPr>
        <w:t>مثلا</w:t>
      </w:r>
      <w:r w:rsidR="00381B74" w:rsidRPr="006571AC">
        <w:rPr>
          <w:rFonts w:hint="cs"/>
          <w:sz w:val="27"/>
          <w:rtl/>
        </w:rPr>
        <w:t>ً</w:t>
      </w:r>
      <w:r w:rsidR="00381B74" w:rsidRPr="006571AC">
        <w:rPr>
          <w:sz w:val="27"/>
          <w:rtl/>
        </w:rPr>
        <w:t xml:space="preserve"> </w:t>
      </w:r>
      <w:r w:rsidRPr="006571AC">
        <w:rPr>
          <w:sz w:val="27"/>
          <w:rtl/>
        </w:rPr>
        <w:t xml:space="preserve">عمل الصدر الشهير حول البحث عن المذهب الاقتصادي للإسلام، وهو عمل </w:t>
      </w:r>
      <w:r w:rsidR="00381B74" w:rsidRPr="006571AC">
        <w:rPr>
          <w:rFonts w:hint="cs"/>
          <w:sz w:val="27"/>
          <w:rtl/>
        </w:rPr>
        <w:t>(</w:t>
      </w:r>
      <w:r w:rsidRPr="006571AC">
        <w:rPr>
          <w:sz w:val="27"/>
          <w:rtl/>
        </w:rPr>
        <w:t>اقتصادنا</w:t>
      </w:r>
      <w:r w:rsidR="00381B74" w:rsidRPr="006571AC">
        <w:rPr>
          <w:rFonts w:hint="cs"/>
          <w:sz w:val="27"/>
          <w:rtl/>
        </w:rPr>
        <w:t>)</w:t>
      </w:r>
      <w:r w:rsidR="007E254D" w:rsidRPr="006571AC">
        <w:rPr>
          <w:rFonts w:hint="cs"/>
          <w:sz w:val="27"/>
          <w:vertAlign w:val="superscript"/>
          <w:rtl/>
        </w:rPr>
        <w:t>(</w:t>
      </w:r>
      <w:r w:rsidR="007E254D" w:rsidRPr="006571AC">
        <w:rPr>
          <w:rStyle w:val="ac"/>
          <w:sz w:val="27"/>
          <w:rtl/>
        </w:rPr>
        <w:endnoteReference w:id="904"/>
      </w:r>
      <w:r w:rsidR="007E254D" w:rsidRPr="006571AC">
        <w:rPr>
          <w:rFonts w:hint="cs"/>
          <w:sz w:val="27"/>
          <w:vertAlign w:val="superscript"/>
          <w:rtl/>
        </w:rPr>
        <w:t>)</w:t>
      </w:r>
      <w:r w:rsidRPr="006571AC">
        <w:rPr>
          <w:sz w:val="27"/>
          <w:rtl/>
        </w:rPr>
        <w:t>. وقد نشره السيد الصدر (</w:t>
      </w:r>
      <w:r w:rsidRPr="006571AC">
        <w:rPr>
          <w:rFonts w:hint="cs"/>
          <w:sz w:val="27"/>
          <w:rtl/>
        </w:rPr>
        <w:t>1935</w:t>
      </w:r>
      <w:r w:rsidRPr="006571AC">
        <w:rPr>
          <w:sz w:val="27"/>
          <w:rtl/>
        </w:rPr>
        <w:t xml:space="preserve"> </w:t>
      </w:r>
      <w:r w:rsidRPr="006571AC">
        <w:rPr>
          <w:rFonts w:hint="cs"/>
          <w:sz w:val="27"/>
          <w:rtl/>
        </w:rPr>
        <w:t xml:space="preserve">ـ </w:t>
      </w:r>
      <w:r w:rsidRPr="006571AC">
        <w:rPr>
          <w:rFonts w:hint="cs"/>
          <w:sz w:val="27"/>
          <w:rtl/>
        </w:rPr>
        <w:lastRenderedPageBreak/>
        <w:t>1980</w:t>
      </w:r>
      <w:r w:rsidR="00E55E76" w:rsidRPr="006571AC">
        <w:rPr>
          <w:rFonts w:hint="cs"/>
          <w:sz w:val="27"/>
          <w:rtl/>
        </w:rPr>
        <w:t>م</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خضمّ</w:t>
      </w:r>
      <w:r w:rsidRPr="006571AC">
        <w:rPr>
          <w:sz w:val="27"/>
          <w:rtl/>
        </w:rPr>
        <w:t xml:space="preserve"> </w:t>
      </w:r>
      <w:r w:rsidRPr="006571AC">
        <w:rPr>
          <w:rFonts w:hint="cs"/>
          <w:sz w:val="27"/>
          <w:rtl/>
        </w:rPr>
        <w:t>الصراع</w:t>
      </w:r>
      <w:r w:rsidRPr="006571AC">
        <w:rPr>
          <w:sz w:val="27"/>
          <w:rtl/>
        </w:rPr>
        <w:t xml:space="preserve"> </w:t>
      </w:r>
      <w:r w:rsidRPr="006571AC">
        <w:rPr>
          <w:rFonts w:hint="cs"/>
          <w:sz w:val="27"/>
          <w:rtl/>
        </w:rPr>
        <w:t>الفكري</w:t>
      </w:r>
      <w:r w:rsidRPr="006571AC">
        <w:rPr>
          <w:sz w:val="27"/>
          <w:rtl/>
        </w:rPr>
        <w:t xml:space="preserve"> </w:t>
      </w:r>
      <w:r w:rsidRPr="006571AC">
        <w:rPr>
          <w:rFonts w:hint="cs"/>
          <w:sz w:val="27"/>
          <w:rtl/>
        </w:rPr>
        <w:t>الأيديولوجي</w:t>
      </w:r>
      <w:r w:rsidRPr="006571AC">
        <w:rPr>
          <w:sz w:val="27"/>
          <w:rtl/>
        </w:rPr>
        <w:t xml:space="preserve"> </w:t>
      </w:r>
      <w:r w:rsidRPr="006571AC">
        <w:rPr>
          <w:rFonts w:hint="cs"/>
          <w:sz w:val="27"/>
          <w:rtl/>
        </w:rPr>
        <w:t>بين</w:t>
      </w:r>
      <w:r w:rsidRPr="006571AC">
        <w:rPr>
          <w:sz w:val="27"/>
          <w:rtl/>
        </w:rPr>
        <w:t xml:space="preserve"> </w:t>
      </w:r>
      <w:r w:rsidRPr="006571AC">
        <w:rPr>
          <w:rFonts w:hint="cs"/>
          <w:sz w:val="27"/>
          <w:rtl/>
        </w:rPr>
        <w:t>الماركسية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جهة</w:t>
      </w:r>
      <w:r w:rsidR="00E55E76" w:rsidRPr="006571AC">
        <w:rPr>
          <w:rFonts w:hint="cs"/>
          <w:sz w:val="27"/>
          <w:rtl/>
        </w:rPr>
        <w:t>ٍ</w:t>
      </w:r>
      <w:r w:rsidRPr="006571AC">
        <w:rPr>
          <w:rFonts w:hint="cs"/>
          <w:sz w:val="27"/>
          <w:rtl/>
        </w:rPr>
        <w:t xml:space="preserve"> والرأسمالية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جهة</w:t>
      </w:r>
      <w:r w:rsidR="00E55E76" w:rsidRPr="006571AC">
        <w:rPr>
          <w:rFonts w:hint="cs"/>
          <w:sz w:val="27"/>
          <w:rtl/>
        </w:rPr>
        <w:t>ٍ</w:t>
      </w:r>
      <w:r w:rsidRPr="006571AC">
        <w:rPr>
          <w:sz w:val="27"/>
          <w:rtl/>
        </w:rPr>
        <w:t xml:space="preserve"> </w:t>
      </w:r>
      <w:r w:rsidRPr="006571AC">
        <w:rPr>
          <w:rFonts w:hint="cs"/>
          <w:sz w:val="27"/>
          <w:rtl/>
        </w:rPr>
        <w:t>أخرى، في</w:t>
      </w:r>
      <w:r w:rsidRPr="006571AC">
        <w:rPr>
          <w:sz w:val="27"/>
          <w:rtl/>
        </w:rPr>
        <w:t xml:space="preserve"> </w:t>
      </w:r>
      <w:r w:rsidRPr="006571AC">
        <w:rPr>
          <w:rFonts w:hint="cs"/>
          <w:sz w:val="27"/>
          <w:rtl/>
        </w:rPr>
        <w:t>النصف</w:t>
      </w:r>
      <w:r w:rsidRPr="006571AC">
        <w:rPr>
          <w:sz w:val="27"/>
          <w:rtl/>
        </w:rPr>
        <w:t xml:space="preserve"> </w:t>
      </w:r>
      <w:r w:rsidRPr="006571AC">
        <w:rPr>
          <w:rFonts w:hint="cs"/>
          <w:sz w:val="27"/>
          <w:rtl/>
        </w:rPr>
        <w:t>الثاني</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القرن</w:t>
      </w:r>
      <w:r w:rsidRPr="006571AC">
        <w:rPr>
          <w:sz w:val="27"/>
          <w:rtl/>
        </w:rPr>
        <w:t xml:space="preserve"> </w:t>
      </w:r>
      <w:r w:rsidRPr="006571AC">
        <w:rPr>
          <w:rFonts w:hint="cs"/>
          <w:sz w:val="27"/>
          <w:rtl/>
        </w:rPr>
        <w:t>العشرين</w:t>
      </w:r>
      <w:r w:rsidRPr="006571AC">
        <w:rPr>
          <w:sz w:val="27"/>
          <w:rtl/>
        </w:rPr>
        <w:t xml:space="preserve">. </w:t>
      </w:r>
      <w:r w:rsidRPr="006571AC">
        <w:rPr>
          <w:rFonts w:hint="cs"/>
          <w:sz w:val="27"/>
          <w:rtl/>
        </w:rPr>
        <w:t>فمن</w:t>
      </w:r>
      <w:r w:rsidRPr="006571AC">
        <w:rPr>
          <w:sz w:val="27"/>
          <w:rtl/>
        </w:rPr>
        <w:t xml:space="preserve"> </w:t>
      </w:r>
      <w:r w:rsidRPr="006571AC">
        <w:rPr>
          <w:rFonts w:hint="cs"/>
          <w:sz w:val="27"/>
          <w:rtl/>
        </w:rPr>
        <w:t>النادر</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نجد</w:t>
      </w:r>
      <w:r w:rsidRPr="006571AC">
        <w:rPr>
          <w:sz w:val="27"/>
          <w:rtl/>
        </w:rPr>
        <w:t xml:space="preserve"> </w:t>
      </w:r>
      <w:r w:rsidRPr="006571AC">
        <w:rPr>
          <w:rFonts w:hint="cs"/>
          <w:sz w:val="27"/>
          <w:rtl/>
        </w:rPr>
        <w:t>حوله</w:t>
      </w:r>
      <w:r w:rsidRPr="006571AC">
        <w:rPr>
          <w:sz w:val="27"/>
          <w:rtl/>
        </w:rPr>
        <w:t xml:space="preserve"> </w:t>
      </w:r>
      <w:r w:rsidRPr="006571AC">
        <w:rPr>
          <w:rFonts w:hint="cs"/>
          <w:sz w:val="27"/>
          <w:rtl/>
        </w:rPr>
        <w:t>أبحاثا</w:t>
      </w:r>
      <w:r w:rsidR="00E55E76" w:rsidRPr="006571AC">
        <w:rPr>
          <w:rFonts w:hint="cs"/>
          <w:sz w:val="27"/>
          <w:rtl/>
        </w:rPr>
        <w:t>ً</w:t>
      </w:r>
      <w:r w:rsidRPr="006571AC">
        <w:rPr>
          <w:sz w:val="27"/>
          <w:rtl/>
        </w:rPr>
        <w:t xml:space="preserve"> </w:t>
      </w:r>
      <w:r w:rsidRPr="006571AC">
        <w:rPr>
          <w:rFonts w:hint="cs"/>
          <w:sz w:val="27"/>
          <w:rtl/>
        </w:rPr>
        <w:t>نقدية</w:t>
      </w:r>
      <w:r w:rsidRPr="006571AC">
        <w:rPr>
          <w:sz w:val="27"/>
          <w:rtl/>
        </w:rPr>
        <w:t xml:space="preserve"> </w:t>
      </w:r>
      <w:r w:rsidRPr="006571AC">
        <w:rPr>
          <w:rFonts w:hint="cs"/>
          <w:sz w:val="27"/>
          <w:rtl/>
        </w:rPr>
        <w:t>محايدة</w:t>
      </w:r>
      <w:r w:rsidRPr="006571AC">
        <w:rPr>
          <w:sz w:val="27"/>
          <w:rtl/>
        </w:rPr>
        <w:t xml:space="preserve"> </w:t>
      </w:r>
      <w:r w:rsidRPr="006571AC">
        <w:rPr>
          <w:rFonts w:hint="cs"/>
          <w:sz w:val="27"/>
          <w:rtl/>
        </w:rPr>
        <w:t>وجدّية</w:t>
      </w:r>
      <w:r w:rsidRPr="006571AC">
        <w:rPr>
          <w:sz w:val="27"/>
          <w:rtl/>
        </w:rPr>
        <w:t xml:space="preserve"> </w:t>
      </w:r>
      <w:r w:rsidRPr="006571AC">
        <w:rPr>
          <w:rFonts w:hint="cs"/>
          <w:sz w:val="27"/>
          <w:rtl/>
        </w:rPr>
        <w:t>واقعا</w:t>
      </w:r>
      <w:r w:rsidR="00E55E76" w:rsidRPr="006571AC">
        <w:rPr>
          <w:rFonts w:hint="cs"/>
          <w:sz w:val="27"/>
          <w:rtl/>
        </w:rPr>
        <w:t>ً</w:t>
      </w:r>
      <w:r w:rsidRPr="006571AC">
        <w:rPr>
          <w:rFonts w:hint="cs"/>
          <w:sz w:val="27"/>
          <w:rtl/>
        </w:rPr>
        <w:t>، وذلك</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وجهة</w:t>
      </w:r>
      <w:r w:rsidRPr="006571AC">
        <w:rPr>
          <w:sz w:val="27"/>
          <w:rtl/>
        </w:rPr>
        <w:t xml:space="preserve"> </w:t>
      </w:r>
      <w:r w:rsidRPr="006571AC">
        <w:rPr>
          <w:rFonts w:hint="cs"/>
          <w:sz w:val="27"/>
          <w:rtl/>
        </w:rPr>
        <w:t>النظر</w:t>
      </w:r>
      <w:r w:rsidRPr="006571AC">
        <w:rPr>
          <w:sz w:val="27"/>
          <w:rtl/>
        </w:rPr>
        <w:t xml:space="preserve"> </w:t>
      </w:r>
      <w:r w:rsidRPr="006571AC">
        <w:rPr>
          <w:rFonts w:hint="cs"/>
          <w:sz w:val="27"/>
          <w:rtl/>
        </w:rPr>
        <w:t>العلمية، لا</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صف</w:t>
      </w:r>
      <w:r w:rsidR="00E55E76" w:rsidRPr="006571AC">
        <w:rPr>
          <w:rFonts w:hint="cs"/>
          <w:sz w:val="27"/>
          <w:rtl/>
        </w:rPr>
        <w:t>ّ</w:t>
      </w:r>
      <w:r w:rsidRPr="006571AC">
        <w:rPr>
          <w:sz w:val="27"/>
          <w:rtl/>
        </w:rPr>
        <w:t xml:space="preserve"> المدافعين</w:t>
      </w:r>
      <w:r w:rsidR="00E55E76" w:rsidRPr="006571AC">
        <w:rPr>
          <w:rFonts w:hint="cs"/>
          <w:sz w:val="27"/>
          <w:rtl/>
        </w:rPr>
        <w:t>،</w:t>
      </w:r>
      <w:r w:rsidRPr="006571AC">
        <w:rPr>
          <w:sz w:val="27"/>
          <w:rtl/>
        </w:rPr>
        <w:t xml:space="preserve"> ولا في صف</w:t>
      </w:r>
      <w:r w:rsidR="00E55E76" w:rsidRPr="006571AC">
        <w:rPr>
          <w:rFonts w:hint="cs"/>
          <w:sz w:val="27"/>
          <w:rtl/>
        </w:rPr>
        <w:t>ّ</w:t>
      </w:r>
      <w:r w:rsidRPr="006571AC">
        <w:rPr>
          <w:sz w:val="27"/>
          <w:rtl/>
        </w:rPr>
        <w:t xml:space="preserve"> المهاجمين. وقد فوجئ</w:t>
      </w:r>
      <w:r w:rsidR="00E55E76" w:rsidRPr="006571AC">
        <w:rPr>
          <w:rFonts w:hint="cs"/>
          <w:sz w:val="27"/>
          <w:rtl/>
        </w:rPr>
        <w:t>ْ</w:t>
      </w:r>
      <w:r w:rsidRPr="006571AC">
        <w:rPr>
          <w:sz w:val="27"/>
          <w:rtl/>
        </w:rPr>
        <w:t>ت</w:t>
      </w:r>
      <w:r w:rsidR="00E55E76" w:rsidRPr="006571AC">
        <w:rPr>
          <w:rFonts w:hint="cs"/>
          <w:sz w:val="27"/>
          <w:rtl/>
        </w:rPr>
        <w:t>ُ</w:t>
      </w:r>
      <w:r w:rsidRPr="006571AC">
        <w:rPr>
          <w:sz w:val="27"/>
          <w:rtl/>
        </w:rPr>
        <w:t xml:space="preserve"> على المستوى الشخصي، حقيقةً، عندما وصلتني فيديوهات ومقولات لصحافيين ورجال دين</w:t>
      </w:r>
      <w:r w:rsidR="00E55E76" w:rsidRPr="006571AC">
        <w:rPr>
          <w:rFonts w:hint="cs"/>
          <w:sz w:val="27"/>
          <w:rtl/>
        </w:rPr>
        <w:t>ٍ</w:t>
      </w:r>
      <w:r w:rsidRPr="006571AC">
        <w:rPr>
          <w:sz w:val="27"/>
          <w:rtl/>
        </w:rPr>
        <w:t xml:space="preserve"> تسخر بشكل</w:t>
      </w:r>
      <w:r w:rsidR="00E55E76" w:rsidRPr="006571AC">
        <w:rPr>
          <w:rFonts w:hint="cs"/>
          <w:sz w:val="27"/>
          <w:rtl/>
        </w:rPr>
        <w:t>ٍ</w:t>
      </w:r>
      <w:r w:rsidRPr="006571AC">
        <w:rPr>
          <w:sz w:val="27"/>
          <w:rtl/>
        </w:rPr>
        <w:t xml:space="preserve"> واضح من هذا العمل</w:t>
      </w:r>
      <w:r w:rsidR="00E55E76" w:rsidRPr="006571AC">
        <w:rPr>
          <w:rFonts w:hint="cs"/>
          <w:sz w:val="27"/>
          <w:rtl/>
        </w:rPr>
        <w:t>،</w:t>
      </w:r>
      <w:r w:rsidRPr="006571AC">
        <w:rPr>
          <w:sz w:val="27"/>
          <w:rtl/>
        </w:rPr>
        <w:t xml:space="preserve"> ومن صاحبه، دون أي</w:t>
      </w:r>
      <w:r w:rsidR="00E55E76" w:rsidRPr="006571AC">
        <w:rPr>
          <w:rFonts w:hint="cs"/>
          <w:sz w:val="27"/>
          <w:rtl/>
        </w:rPr>
        <w:t>ّ</w:t>
      </w:r>
      <w:r w:rsidRPr="006571AC">
        <w:rPr>
          <w:sz w:val="27"/>
          <w:rtl/>
        </w:rPr>
        <w:t xml:space="preserve"> اعتبار</w:t>
      </w:r>
      <w:r w:rsidR="00E55E76" w:rsidRPr="006571AC">
        <w:rPr>
          <w:rFonts w:hint="cs"/>
          <w:sz w:val="27"/>
          <w:rtl/>
        </w:rPr>
        <w:t>ٍ</w:t>
      </w:r>
      <w:r w:rsidRPr="006571AC">
        <w:rPr>
          <w:sz w:val="27"/>
          <w:rtl/>
        </w:rPr>
        <w:t xml:space="preserve"> للحياد و</w:t>
      </w:r>
      <w:r w:rsidR="00476A20" w:rsidRPr="006571AC">
        <w:rPr>
          <w:rFonts w:hint="cs"/>
          <w:sz w:val="27"/>
          <w:rtl/>
        </w:rPr>
        <w:t>ا</w:t>
      </w:r>
      <w:r w:rsidRPr="006571AC">
        <w:rPr>
          <w:sz w:val="27"/>
          <w:rtl/>
        </w:rPr>
        <w:t>لأمانة العلمي</w:t>
      </w:r>
      <w:r w:rsidR="00476A20" w:rsidRPr="006571AC">
        <w:rPr>
          <w:rFonts w:hint="cs"/>
          <w:sz w:val="27"/>
          <w:rtl/>
        </w:rPr>
        <w:t>ّ</w:t>
      </w:r>
      <w:r w:rsidRPr="006571AC">
        <w:rPr>
          <w:sz w:val="27"/>
          <w:rtl/>
        </w:rPr>
        <w:t xml:space="preserve">ين. </w:t>
      </w:r>
    </w:p>
    <w:p w:rsidR="00962F60" w:rsidRPr="006571AC" w:rsidRDefault="00962F60" w:rsidP="00476A20">
      <w:pPr>
        <w:rPr>
          <w:sz w:val="27"/>
        </w:rPr>
      </w:pPr>
      <w:r w:rsidRPr="006571AC">
        <w:rPr>
          <w:sz w:val="27"/>
          <w:rtl/>
        </w:rPr>
        <w:t>واللافت هو ما يخرج من هذه الفيديوهات والمقولات من مسائل تدل</w:t>
      </w:r>
      <w:r w:rsidR="00E55E76" w:rsidRPr="006571AC">
        <w:rPr>
          <w:rFonts w:hint="cs"/>
          <w:sz w:val="27"/>
          <w:rtl/>
        </w:rPr>
        <w:t>ِّ</w:t>
      </w:r>
      <w:r w:rsidRPr="006571AC">
        <w:rPr>
          <w:sz w:val="27"/>
          <w:rtl/>
        </w:rPr>
        <w:t>ل مجدّ</w:t>
      </w:r>
      <w:r w:rsidR="00E55E76" w:rsidRPr="006571AC">
        <w:rPr>
          <w:rFonts w:hint="cs"/>
          <w:sz w:val="27"/>
          <w:rtl/>
        </w:rPr>
        <w:t>َ</w:t>
      </w:r>
      <w:r w:rsidRPr="006571AC">
        <w:rPr>
          <w:sz w:val="27"/>
          <w:rtl/>
        </w:rPr>
        <w:t>دا</w:t>
      </w:r>
      <w:r w:rsidR="00E55E76" w:rsidRPr="006571AC">
        <w:rPr>
          <w:rFonts w:hint="cs"/>
          <w:sz w:val="27"/>
          <w:rtl/>
        </w:rPr>
        <w:t>ً</w:t>
      </w:r>
      <w:r w:rsidRPr="006571AC">
        <w:rPr>
          <w:sz w:val="27"/>
          <w:rtl/>
        </w:rPr>
        <w:t xml:space="preserve"> على جهل</w:t>
      </w:r>
      <w:r w:rsidR="00E55E76" w:rsidRPr="006571AC">
        <w:rPr>
          <w:rFonts w:hint="cs"/>
          <w:sz w:val="27"/>
          <w:rtl/>
        </w:rPr>
        <w:t>ٍ</w:t>
      </w:r>
      <w:r w:rsidRPr="006571AC">
        <w:rPr>
          <w:sz w:val="27"/>
          <w:rtl/>
        </w:rPr>
        <w:t xml:space="preserve"> عميق بالمسائل ال</w:t>
      </w:r>
      <w:r w:rsidR="00E55E76" w:rsidRPr="006571AC">
        <w:rPr>
          <w:rFonts w:hint="cs"/>
          <w:sz w:val="27"/>
          <w:rtl/>
        </w:rPr>
        <w:t>إ</w:t>
      </w:r>
      <w:r w:rsidRPr="006571AC">
        <w:rPr>
          <w:sz w:val="27"/>
          <w:rtl/>
        </w:rPr>
        <w:t>بستمولوجية المؤسِّسة لأي</w:t>
      </w:r>
      <w:r w:rsidR="00E55E76" w:rsidRPr="006571AC">
        <w:rPr>
          <w:rFonts w:hint="cs"/>
          <w:sz w:val="27"/>
          <w:rtl/>
        </w:rPr>
        <w:t>ّ</w:t>
      </w:r>
      <w:r w:rsidRPr="006571AC">
        <w:rPr>
          <w:sz w:val="27"/>
          <w:rtl/>
        </w:rPr>
        <w:t xml:space="preserve"> بحث</w:t>
      </w:r>
      <w:r w:rsidR="00E55E76" w:rsidRPr="006571AC">
        <w:rPr>
          <w:rFonts w:hint="cs"/>
          <w:sz w:val="27"/>
          <w:rtl/>
        </w:rPr>
        <w:t>ٍ</w:t>
      </w:r>
      <w:r w:rsidRPr="006571AC">
        <w:rPr>
          <w:sz w:val="27"/>
          <w:rtl/>
        </w:rPr>
        <w:t>. فنرى أحدهم يخلط بين الاقتصاد بمعنى علم الاقتصاد (ومنه: الاقتصاد السياسي المدرّ</w:t>
      </w:r>
      <w:r w:rsidR="00E55E76" w:rsidRPr="006571AC">
        <w:rPr>
          <w:rFonts w:hint="cs"/>
          <w:sz w:val="27"/>
          <w:rtl/>
        </w:rPr>
        <w:t>َ</w:t>
      </w:r>
      <w:r w:rsidRPr="006571AC">
        <w:rPr>
          <w:sz w:val="27"/>
          <w:rtl/>
        </w:rPr>
        <w:t>س اليوم في الجامعات الغربية خصوصا</w:t>
      </w:r>
      <w:r w:rsidR="00E55E76" w:rsidRPr="006571AC">
        <w:rPr>
          <w:rFonts w:hint="cs"/>
          <w:sz w:val="27"/>
          <w:rtl/>
        </w:rPr>
        <w:t>ً</w:t>
      </w:r>
      <w:r w:rsidRPr="006571AC">
        <w:rPr>
          <w:sz w:val="27"/>
          <w:rtl/>
        </w:rPr>
        <w:t>) والاقتصاد بمعنى المذهب الاقتصادي (أي الفلسفة أو الأيديولوجي</w:t>
      </w:r>
      <w:r w:rsidR="00476A20" w:rsidRPr="006571AC">
        <w:rPr>
          <w:rFonts w:hint="cs"/>
          <w:sz w:val="27"/>
          <w:rtl/>
        </w:rPr>
        <w:t>ا</w:t>
      </w:r>
      <w:r w:rsidRPr="006571AC">
        <w:rPr>
          <w:sz w:val="27"/>
          <w:rtl/>
        </w:rPr>
        <w:t xml:space="preserve"> أو العقيدة الاقتصادية). ونرى الآخرين يقعون في الخطأ ذاته، مع إغفالهم شبه التام</w:t>
      </w:r>
      <w:r w:rsidR="00E55E76" w:rsidRPr="006571AC">
        <w:rPr>
          <w:rFonts w:hint="cs"/>
          <w:sz w:val="27"/>
          <w:rtl/>
        </w:rPr>
        <w:t>ّ</w:t>
      </w:r>
      <w:r w:rsidRPr="006571AC">
        <w:rPr>
          <w:sz w:val="27"/>
          <w:rtl/>
        </w:rPr>
        <w:t xml:space="preserve"> لخلفية أبي جعفر الصدر الفلسفي</w:t>
      </w:r>
      <w:r w:rsidR="00E55E76" w:rsidRPr="006571AC">
        <w:rPr>
          <w:rFonts w:hint="cs"/>
          <w:sz w:val="27"/>
          <w:rtl/>
        </w:rPr>
        <w:t>ّ</w:t>
      </w:r>
      <w:r w:rsidRPr="006571AC">
        <w:rPr>
          <w:sz w:val="27"/>
          <w:rtl/>
        </w:rPr>
        <w:t>ة</w:t>
      </w:r>
      <w:r w:rsidR="00E55E76" w:rsidRPr="006571AC">
        <w:rPr>
          <w:rFonts w:hint="cs"/>
          <w:sz w:val="27"/>
          <w:rtl/>
        </w:rPr>
        <w:t>،</w:t>
      </w:r>
      <w:r w:rsidRPr="006571AC">
        <w:rPr>
          <w:sz w:val="27"/>
          <w:rtl/>
        </w:rPr>
        <w:t xml:space="preserve"> والتي ـ بلا أدنى ش</w:t>
      </w:r>
      <w:r w:rsidR="00E55E76" w:rsidRPr="006571AC">
        <w:rPr>
          <w:rFonts w:hint="cs"/>
          <w:sz w:val="27"/>
          <w:rtl/>
        </w:rPr>
        <w:t>َ</w:t>
      </w:r>
      <w:r w:rsidRPr="006571AC">
        <w:rPr>
          <w:sz w:val="27"/>
          <w:rtl/>
        </w:rPr>
        <w:t>ك</w:t>
      </w:r>
      <w:r w:rsidR="00E55E76" w:rsidRPr="006571AC">
        <w:rPr>
          <w:rFonts w:hint="cs"/>
          <w:sz w:val="27"/>
          <w:rtl/>
        </w:rPr>
        <w:t>ٍّ</w:t>
      </w:r>
      <w:r w:rsidRPr="006571AC">
        <w:rPr>
          <w:sz w:val="27"/>
          <w:rtl/>
        </w:rPr>
        <w:t xml:space="preserve"> ـ قد أث</w:t>
      </w:r>
      <w:r w:rsidR="00E55E76" w:rsidRPr="006571AC">
        <w:rPr>
          <w:rFonts w:hint="cs"/>
          <w:sz w:val="27"/>
          <w:rtl/>
        </w:rPr>
        <w:t>َّ</w:t>
      </w:r>
      <w:r w:rsidRPr="006571AC">
        <w:rPr>
          <w:sz w:val="27"/>
          <w:rtl/>
        </w:rPr>
        <w:t>ر</w:t>
      </w:r>
      <w:r w:rsidR="00E55E76" w:rsidRPr="006571AC">
        <w:rPr>
          <w:rFonts w:hint="cs"/>
          <w:sz w:val="27"/>
          <w:rtl/>
        </w:rPr>
        <w:t>َ</w:t>
      </w:r>
      <w:r w:rsidRPr="006571AC">
        <w:rPr>
          <w:sz w:val="27"/>
          <w:rtl/>
        </w:rPr>
        <w:t>ت</w:t>
      </w:r>
      <w:r w:rsidR="00E55E76" w:rsidRPr="006571AC">
        <w:rPr>
          <w:rFonts w:hint="cs"/>
          <w:sz w:val="27"/>
          <w:rtl/>
        </w:rPr>
        <w:t>ْ</w:t>
      </w:r>
      <w:r w:rsidRPr="006571AC">
        <w:rPr>
          <w:sz w:val="27"/>
          <w:rtl/>
        </w:rPr>
        <w:t xml:space="preserve"> على طبيعة عمل </w:t>
      </w:r>
      <w:r w:rsidR="00A829FC" w:rsidRPr="006571AC">
        <w:rPr>
          <w:rFonts w:hint="cs"/>
          <w:sz w:val="27"/>
          <w:rtl/>
        </w:rPr>
        <w:t>(</w:t>
      </w:r>
      <w:r w:rsidRPr="006571AC">
        <w:rPr>
          <w:sz w:val="27"/>
          <w:rtl/>
        </w:rPr>
        <w:t>اقتصادنا</w:t>
      </w:r>
      <w:r w:rsidR="00A829FC" w:rsidRPr="006571AC">
        <w:rPr>
          <w:rFonts w:hint="cs"/>
          <w:sz w:val="27"/>
          <w:rtl/>
        </w:rPr>
        <w:t>)</w:t>
      </w:r>
      <w:r w:rsidR="00E55E76" w:rsidRPr="006571AC">
        <w:rPr>
          <w:rFonts w:hint="cs"/>
          <w:sz w:val="27"/>
          <w:rtl/>
        </w:rPr>
        <w:t>،</w:t>
      </w:r>
      <w:r w:rsidRPr="006571AC">
        <w:rPr>
          <w:sz w:val="27"/>
          <w:rtl/>
        </w:rPr>
        <w:t xml:space="preserve"> كما على تموضعاته ونتائجه. نحن إذن أمام مشكلة</w:t>
      </w:r>
      <w:r w:rsidR="00E55E76" w:rsidRPr="006571AC">
        <w:rPr>
          <w:rFonts w:hint="cs"/>
          <w:sz w:val="27"/>
          <w:rtl/>
        </w:rPr>
        <w:t>ٍ</w:t>
      </w:r>
      <w:r w:rsidRPr="006571AC">
        <w:rPr>
          <w:sz w:val="27"/>
          <w:rtl/>
        </w:rPr>
        <w:t xml:space="preserve"> حقيقية في</w:t>
      </w:r>
      <w:r w:rsidR="00E55E76" w:rsidRPr="006571AC">
        <w:rPr>
          <w:rFonts w:hint="cs"/>
          <w:sz w:val="27"/>
          <w:rtl/>
        </w:rPr>
        <w:t xml:space="preserve"> </w:t>
      </w:r>
      <w:r w:rsidRPr="006571AC">
        <w:rPr>
          <w:sz w:val="27"/>
          <w:rtl/>
        </w:rPr>
        <w:t>ما يخص</w:t>
      </w:r>
      <w:r w:rsidR="00E55E76" w:rsidRPr="006571AC">
        <w:rPr>
          <w:rFonts w:hint="cs"/>
          <w:sz w:val="27"/>
          <w:rtl/>
        </w:rPr>
        <w:t>ّ</w:t>
      </w:r>
      <w:r w:rsidRPr="006571AC">
        <w:rPr>
          <w:sz w:val="27"/>
          <w:rtl/>
        </w:rPr>
        <w:t xml:space="preserve"> مقاربة هذا العمل و</w:t>
      </w:r>
      <w:r w:rsidR="00E55E76" w:rsidRPr="006571AC">
        <w:rPr>
          <w:rFonts w:hint="cs"/>
          <w:sz w:val="27"/>
          <w:rtl/>
        </w:rPr>
        <w:t>إ</w:t>
      </w:r>
      <w:r w:rsidRPr="006571AC">
        <w:rPr>
          <w:sz w:val="27"/>
          <w:rtl/>
        </w:rPr>
        <w:t>سهاماته، من ق</w:t>
      </w:r>
      <w:r w:rsidR="00E55E76" w:rsidRPr="006571AC">
        <w:rPr>
          <w:rFonts w:hint="cs"/>
          <w:sz w:val="27"/>
          <w:rtl/>
        </w:rPr>
        <w:t>ِ</w:t>
      </w:r>
      <w:r w:rsidRPr="006571AC">
        <w:rPr>
          <w:sz w:val="27"/>
          <w:rtl/>
        </w:rPr>
        <w:t>ب</w:t>
      </w:r>
      <w:r w:rsidR="00E55E76" w:rsidRPr="006571AC">
        <w:rPr>
          <w:rFonts w:hint="cs"/>
          <w:sz w:val="27"/>
          <w:rtl/>
        </w:rPr>
        <w:t>َ</w:t>
      </w:r>
      <w:r w:rsidRPr="006571AC">
        <w:rPr>
          <w:sz w:val="27"/>
          <w:rtl/>
        </w:rPr>
        <w:t>ل كل</w:t>
      </w:r>
      <w:r w:rsidR="00E55E76" w:rsidRPr="006571AC">
        <w:rPr>
          <w:rFonts w:hint="cs"/>
          <w:sz w:val="27"/>
          <w:rtl/>
        </w:rPr>
        <w:t>ّ</w:t>
      </w:r>
      <w:r w:rsidRPr="006571AC">
        <w:rPr>
          <w:sz w:val="27"/>
          <w:rtl/>
        </w:rPr>
        <w:t xml:space="preserve"> الأطراف عموما</w:t>
      </w:r>
      <w:r w:rsidR="00E55E76" w:rsidRPr="006571AC">
        <w:rPr>
          <w:rFonts w:hint="cs"/>
          <w:sz w:val="27"/>
          <w:rtl/>
        </w:rPr>
        <w:t>ً</w:t>
      </w:r>
      <w:r w:rsidRPr="006571AC">
        <w:rPr>
          <w:sz w:val="27"/>
          <w:rtl/>
        </w:rPr>
        <w:t>، وبالتالي، أمام مشكلة أخطر برأينا</w:t>
      </w:r>
      <w:r w:rsidR="00E55E76" w:rsidRPr="006571AC">
        <w:rPr>
          <w:rFonts w:hint="cs"/>
          <w:sz w:val="27"/>
          <w:rtl/>
        </w:rPr>
        <w:t xml:space="preserve">، </w:t>
      </w:r>
      <w:r w:rsidRPr="006571AC">
        <w:rPr>
          <w:sz w:val="27"/>
          <w:rtl/>
        </w:rPr>
        <w:t>وهي تخص</w:t>
      </w:r>
      <w:r w:rsidR="00E55E76" w:rsidRPr="006571AC">
        <w:rPr>
          <w:rFonts w:hint="cs"/>
          <w:sz w:val="27"/>
          <w:rtl/>
        </w:rPr>
        <w:t>ّ</w:t>
      </w:r>
      <w:r w:rsidRPr="006571AC">
        <w:rPr>
          <w:sz w:val="27"/>
          <w:rtl/>
        </w:rPr>
        <w:t xml:space="preserve"> تفويت فرصة</w:t>
      </w:r>
      <w:r w:rsidR="00476A20" w:rsidRPr="006571AC">
        <w:rPr>
          <w:rFonts w:hint="cs"/>
          <w:sz w:val="27"/>
          <w:rtl/>
        </w:rPr>
        <w:t>ٍ</w:t>
      </w:r>
      <w:r w:rsidRPr="006571AC">
        <w:rPr>
          <w:sz w:val="27"/>
          <w:rtl/>
        </w:rPr>
        <w:t xml:space="preserve"> تجديدي</w:t>
      </w:r>
      <w:r w:rsidR="00476A20" w:rsidRPr="006571AC">
        <w:rPr>
          <w:rFonts w:hint="cs"/>
          <w:sz w:val="27"/>
          <w:rtl/>
        </w:rPr>
        <w:t>ّ</w:t>
      </w:r>
      <w:r w:rsidRPr="006571AC">
        <w:rPr>
          <w:sz w:val="27"/>
          <w:rtl/>
        </w:rPr>
        <w:t>ة كبرى أمام مستقبل منهجية البحث ال</w:t>
      </w:r>
      <w:r w:rsidR="00E55E76" w:rsidRPr="006571AC">
        <w:rPr>
          <w:rFonts w:hint="cs"/>
          <w:sz w:val="27"/>
          <w:rtl/>
        </w:rPr>
        <w:t>إ</w:t>
      </w:r>
      <w:r w:rsidRPr="006571AC">
        <w:rPr>
          <w:sz w:val="27"/>
          <w:rtl/>
        </w:rPr>
        <w:t>سلامي، بل ر</w:t>
      </w:r>
      <w:r w:rsidR="00E55E76" w:rsidRPr="006571AC">
        <w:rPr>
          <w:rFonts w:hint="cs"/>
          <w:sz w:val="27"/>
          <w:rtl/>
        </w:rPr>
        <w:t>ُ</w:t>
      </w:r>
      <w:r w:rsidRPr="006571AC">
        <w:rPr>
          <w:sz w:val="27"/>
          <w:rtl/>
        </w:rPr>
        <w:t>ب</w:t>
      </w:r>
      <w:r w:rsidR="00E55E76" w:rsidRPr="006571AC">
        <w:rPr>
          <w:rFonts w:hint="cs"/>
          <w:sz w:val="27"/>
          <w:rtl/>
        </w:rPr>
        <w:t>َ</w:t>
      </w:r>
      <w:r w:rsidRPr="006571AC">
        <w:rPr>
          <w:sz w:val="27"/>
          <w:rtl/>
        </w:rPr>
        <w:t>ما أمام مستقبل الفكر الاسلامي</w:t>
      </w:r>
      <w:r w:rsidR="00E55E76" w:rsidRPr="006571AC">
        <w:rPr>
          <w:rFonts w:hint="cs"/>
          <w:sz w:val="27"/>
          <w:rtl/>
        </w:rPr>
        <w:t>ّ</w:t>
      </w:r>
      <w:r w:rsidRPr="006571AC">
        <w:rPr>
          <w:sz w:val="27"/>
          <w:rtl/>
        </w:rPr>
        <w:t xml:space="preserve"> كك</w:t>
      </w:r>
      <w:r w:rsidR="00476A20" w:rsidRPr="006571AC">
        <w:rPr>
          <w:rFonts w:hint="cs"/>
          <w:sz w:val="27"/>
          <w:rtl/>
        </w:rPr>
        <w:t>ُ</w:t>
      </w:r>
      <w:r w:rsidRPr="006571AC">
        <w:rPr>
          <w:sz w:val="27"/>
          <w:rtl/>
        </w:rPr>
        <w:t>ل</w:t>
      </w:r>
      <w:r w:rsidR="00E55E76" w:rsidRPr="006571AC">
        <w:rPr>
          <w:rFonts w:hint="cs"/>
          <w:sz w:val="27"/>
          <w:rtl/>
        </w:rPr>
        <w:t>ّ</w:t>
      </w:r>
      <w:r w:rsidR="00476A20" w:rsidRPr="006571AC">
        <w:rPr>
          <w:rFonts w:hint="cs"/>
          <w:sz w:val="27"/>
          <w:rtl/>
        </w:rPr>
        <w:t>ٍ</w:t>
      </w:r>
      <w:r w:rsidRPr="006571AC">
        <w:rPr>
          <w:sz w:val="27"/>
          <w:rtl/>
        </w:rPr>
        <w:t xml:space="preserve">. </w:t>
      </w:r>
    </w:p>
    <w:p w:rsidR="00A829FC" w:rsidRPr="006571AC" w:rsidRDefault="00962F60" w:rsidP="007E009E">
      <w:pPr>
        <w:rPr>
          <w:sz w:val="27"/>
          <w:rtl/>
        </w:rPr>
      </w:pPr>
      <w:r w:rsidRPr="006571AC">
        <w:rPr>
          <w:sz w:val="27"/>
          <w:rtl/>
        </w:rPr>
        <w:t xml:space="preserve">فإنّ أطروحتنا المركزية في هذه الورقة تتمحور حول فكرتين مركزيتين </w:t>
      </w:r>
      <w:r w:rsidR="00731867" w:rsidRPr="006571AC">
        <w:rPr>
          <w:sz w:val="27"/>
          <w:rtl/>
        </w:rPr>
        <w:t>لا بُدَّ</w:t>
      </w:r>
      <w:r w:rsidRPr="006571AC">
        <w:rPr>
          <w:sz w:val="27"/>
          <w:rtl/>
        </w:rPr>
        <w:t xml:space="preserve"> من ذكرهما، برأينا</w:t>
      </w:r>
      <w:r w:rsidR="00A829FC" w:rsidRPr="006571AC">
        <w:rPr>
          <w:rFonts w:hint="cs"/>
          <w:sz w:val="27"/>
          <w:rtl/>
        </w:rPr>
        <w:t>؛</w:t>
      </w:r>
      <w:r w:rsidRPr="006571AC">
        <w:rPr>
          <w:sz w:val="27"/>
          <w:rtl/>
        </w:rPr>
        <w:t xml:space="preserve"> </w:t>
      </w:r>
      <w:r w:rsidR="00A829FC" w:rsidRPr="006571AC">
        <w:rPr>
          <w:rFonts w:hint="cs"/>
          <w:sz w:val="27"/>
          <w:rtl/>
        </w:rPr>
        <w:t>إ</w:t>
      </w:r>
      <w:r w:rsidRPr="006571AC">
        <w:rPr>
          <w:sz w:val="27"/>
          <w:rtl/>
        </w:rPr>
        <w:t>نصافا</w:t>
      </w:r>
      <w:r w:rsidR="00A829FC" w:rsidRPr="006571AC">
        <w:rPr>
          <w:rFonts w:hint="cs"/>
          <w:sz w:val="27"/>
          <w:rtl/>
        </w:rPr>
        <w:t>ً</w:t>
      </w:r>
      <w:r w:rsidRPr="006571AC">
        <w:rPr>
          <w:sz w:val="27"/>
          <w:rtl/>
        </w:rPr>
        <w:t xml:space="preserve"> للبحث العلمي</w:t>
      </w:r>
      <w:r w:rsidR="00476A20" w:rsidRPr="006571AC">
        <w:rPr>
          <w:rFonts w:hint="cs"/>
          <w:sz w:val="27"/>
          <w:rtl/>
        </w:rPr>
        <w:t>ّ</w:t>
      </w:r>
      <w:r w:rsidRPr="006571AC">
        <w:rPr>
          <w:sz w:val="27"/>
          <w:rtl/>
        </w:rPr>
        <w:t xml:space="preserve"> بشكل</w:t>
      </w:r>
      <w:r w:rsidR="00A829FC" w:rsidRPr="006571AC">
        <w:rPr>
          <w:rFonts w:hint="cs"/>
          <w:sz w:val="27"/>
          <w:rtl/>
        </w:rPr>
        <w:t>ٍ</w:t>
      </w:r>
      <w:r w:rsidRPr="006571AC">
        <w:rPr>
          <w:sz w:val="27"/>
          <w:rtl/>
        </w:rPr>
        <w:t xml:space="preserve"> عام</w:t>
      </w:r>
      <w:r w:rsidR="00A829FC" w:rsidRPr="006571AC">
        <w:rPr>
          <w:rFonts w:hint="cs"/>
          <w:sz w:val="27"/>
          <w:rtl/>
        </w:rPr>
        <w:t>ّ</w:t>
      </w:r>
      <w:r w:rsidRPr="006571AC">
        <w:rPr>
          <w:sz w:val="27"/>
          <w:rtl/>
        </w:rPr>
        <w:t>، ولمستقبل العلوم الإسلامية الطابع بشكل</w:t>
      </w:r>
      <w:r w:rsidR="00A829FC" w:rsidRPr="006571AC">
        <w:rPr>
          <w:rFonts w:hint="cs"/>
          <w:sz w:val="27"/>
          <w:rtl/>
        </w:rPr>
        <w:t>ٍ</w:t>
      </w:r>
      <w:r w:rsidRPr="006571AC">
        <w:rPr>
          <w:sz w:val="27"/>
          <w:rtl/>
        </w:rPr>
        <w:t xml:space="preserve"> خاص</w:t>
      </w:r>
      <w:r w:rsidR="00A829FC" w:rsidRPr="006571AC">
        <w:rPr>
          <w:rFonts w:hint="cs"/>
          <w:sz w:val="27"/>
          <w:rtl/>
        </w:rPr>
        <w:t>ّ،</w:t>
      </w:r>
      <w:r w:rsidR="00A829FC" w:rsidRPr="006571AC">
        <w:rPr>
          <w:sz w:val="27"/>
          <w:rtl/>
        </w:rPr>
        <w:t xml:space="preserve"> كما أسل</w:t>
      </w:r>
      <w:r w:rsidR="00476A20" w:rsidRPr="006571AC">
        <w:rPr>
          <w:rFonts w:hint="cs"/>
          <w:sz w:val="27"/>
          <w:rtl/>
        </w:rPr>
        <w:t>َ</w:t>
      </w:r>
      <w:r w:rsidR="00A829FC" w:rsidRPr="006571AC">
        <w:rPr>
          <w:sz w:val="27"/>
          <w:rtl/>
        </w:rPr>
        <w:t>ف</w:t>
      </w:r>
      <w:r w:rsidR="00476A20" w:rsidRPr="006571AC">
        <w:rPr>
          <w:rFonts w:hint="cs"/>
          <w:sz w:val="27"/>
          <w:rtl/>
        </w:rPr>
        <w:t>ْ</w:t>
      </w:r>
      <w:r w:rsidR="00A829FC" w:rsidRPr="006571AC">
        <w:rPr>
          <w:sz w:val="27"/>
          <w:rtl/>
        </w:rPr>
        <w:t>نا.</w:t>
      </w:r>
    </w:p>
    <w:p w:rsidR="00A829FC" w:rsidRPr="006571AC" w:rsidRDefault="00962F60" w:rsidP="007E009E">
      <w:pPr>
        <w:rPr>
          <w:sz w:val="27"/>
          <w:rtl/>
        </w:rPr>
      </w:pPr>
      <w:r w:rsidRPr="001A1FF9">
        <w:rPr>
          <w:b/>
          <w:bCs/>
          <w:sz w:val="27"/>
          <w:rtl/>
        </w:rPr>
        <w:t>أو</w:t>
      </w:r>
      <w:r w:rsidR="001A1FF9" w:rsidRPr="001A1FF9">
        <w:rPr>
          <w:rFonts w:hint="cs"/>
          <w:b/>
          <w:bCs/>
          <w:sz w:val="27"/>
          <w:rtl/>
        </w:rPr>
        <w:t>ّ</w:t>
      </w:r>
      <w:r w:rsidRPr="001A1FF9">
        <w:rPr>
          <w:b/>
          <w:bCs/>
          <w:sz w:val="27"/>
          <w:rtl/>
        </w:rPr>
        <w:t>ل هاتين الفكرتين</w:t>
      </w:r>
      <w:r w:rsidRPr="006571AC">
        <w:rPr>
          <w:sz w:val="27"/>
          <w:rtl/>
        </w:rPr>
        <w:t xml:space="preserve"> هي: التشديد على أنّ عمل اقتصادنا ليس عملا</w:t>
      </w:r>
      <w:r w:rsidR="00A829FC" w:rsidRPr="006571AC">
        <w:rPr>
          <w:rFonts w:hint="cs"/>
          <w:sz w:val="27"/>
          <w:rtl/>
        </w:rPr>
        <w:t>ً</w:t>
      </w:r>
      <w:r w:rsidRPr="006571AC">
        <w:rPr>
          <w:sz w:val="27"/>
          <w:rtl/>
        </w:rPr>
        <w:t xml:space="preserve"> عابرا</w:t>
      </w:r>
      <w:r w:rsidR="00A829FC" w:rsidRPr="006571AC">
        <w:rPr>
          <w:rFonts w:hint="cs"/>
          <w:sz w:val="27"/>
          <w:rtl/>
        </w:rPr>
        <w:t>ً</w:t>
      </w:r>
      <w:r w:rsidRPr="006571AC">
        <w:rPr>
          <w:sz w:val="27"/>
          <w:rtl/>
        </w:rPr>
        <w:t xml:space="preserve"> في مجال الأبحاث المعنية </w:t>
      </w:r>
      <w:r w:rsidR="00A829FC" w:rsidRPr="006571AC">
        <w:rPr>
          <w:sz w:val="27"/>
          <w:rtl/>
        </w:rPr>
        <w:t>بتجديد الفكر الإسلامي المعاصر.</w:t>
      </w:r>
    </w:p>
    <w:p w:rsidR="00962F60" w:rsidRPr="006571AC" w:rsidRDefault="00962F60" w:rsidP="007E009E">
      <w:pPr>
        <w:rPr>
          <w:sz w:val="27"/>
        </w:rPr>
      </w:pPr>
      <w:r w:rsidRPr="001A1FF9">
        <w:rPr>
          <w:b/>
          <w:bCs/>
          <w:sz w:val="27"/>
          <w:rtl/>
        </w:rPr>
        <w:t>وثانيهما</w:t>
      </w:r>
      <w:r w:rsidR="00A829FC" w:rsidRPr="006571AC">
        <w:rPr>
          <w:rFonts w:hint="cs"/>
          <w:sz w:val="27"/>
          <w:rtl/>
        </w:rPr>
        <w:t>:</w:t>
      </w:r>
      <w:r w:rsidRPr="006571AC">
        <w:rPr>
          <w:sz w:val="27"/>
          <w:rtl/>
        </w:rPr>
        <w:t xml:space="preserve"> </w:t>
      </w:r>
      <w:r w:rsidR="00A829FC" w:rsidRPr="006571AC">
        <w:rPr>
          <w:rFonts w:hint="cs"/>
          <w:sz w:val="27"/>
          <w:rtl/>
        </w:rPr>
        <w:t>إ</w:t>
      </w:r>
      <w:r w:rsidRPr="006571AC">
        <w:rPr>
          <w:sz w:val="27"/>
          <w:rtl/>
        </w:rPr>
        <w:t>نّ التركيز يجب أن يتمحور، بالتالي، حول ال</w:t>
      </w:r>
      <w:r w:rsidR="00A829FC" w:rsidRPr="006571AC">
        <w:rPr>
          <w:rFonts w:hint="cs"/>
          <w:sz w:val="27"/>
          <w:rtl/>
        </w:rPr>
        <w:t>إ</w:t>
      </w:r>
      <w:r w:rsidRPr="006571AC">
        <w:rPr>
          <w:sz w:val="27"/>
          <w:rtl/>
        </w:rPr>
        <w:t>سهامات ال</w:t>
      </w:r>
      <w:r w:rsidR="00A829FC" w:rsidRPr="006571AC">
        <w:rPr>
          <w:rFonts w:hint="cs"/>
          <w:sz w:val="27"/>
          <w:rtl/>
        </w:rPr>
        <w:t>إ</w:t>
      </w:r>
      <w:r w:rsidRPr="006571AC">
        <w:rPr>
          <w:sz w:val="27"/>
          <w:rtl/>
        </w:rPr>
        <w:t>بستمولوجية والمنهجية (الظاهرة منها والضمنية) لهذا العمل، أكثر من ال</w:t>
      </w:r>
      <w:r w:rsidR="00A829FC" w:rsidRPr="006571AC">
        <w:rPr>
          <w:rFonts w:hint="cs"/>
          <w:sz w:val="27"/>
          <w:rtl/>
        </w:rPr>
        <w:t>إ</w:t>
      </w:r>
      <w:r w:rsidRPr="006571AC">
        <w:rPr>
          <w:sz w:val="27"/>
          <w:rtl/>
        </w:rPr>
        <w:t>سهامات المفاهمية الجزئية النهائية (كط</w:t>
      </w:r>
      <w:r w:rsidR="00476A20" w:rsidRPr="006571AC">
        <w:rPr>
          <w:rFonts w:hint="cs"/>
          <w:sz w:val="27"/>
          <w:rtl/>
        </w:rPr>
        <w:t>َ</w:t>
      </w:r>
      <w:r w:rsidRPr="006571AC">
        <w:rPr>
          <w:sz w:val="27"/>
          <w:rtl/>
        </w:rPr>
        <w:t>ر</w:t>
      </w:r>
      <w:r w:rsidR="00476A20" w:rsidRPr="006571AC">
        <w:rPr>
          <w:rFonts w:hint="cs"/>
          <w:sz w:val="27"/>
          <w:rtl/>
        </w:rPr>
        <w:t>ْ</w:t>
      </w:r>
      <w:r w:rsidRPr="006571AC">
        <w:rPr>
          <w:sz w:val="27"/>
          <w:rtl/>
        </w:rPr>
        <w:t>حه مثلا</w:t>
      </w:r>
      <w:r w:rsidR="00A829FC" w:rsidRPr="006571AC">
        <w:rPr>
          <w:rFonts w:hint="cs"/>
          <w:sz w:val="27"/>
          <w:rtl/>
        </w:rPr>
        <w:t>ً</w:t>
      </w:r>
      <w:r w:rsidRPr="006571AC">
        <w:rPr>
          <w:sz w:val="27"/>
          <w:rtl/>
        </w:rPr>
        <w:t xml:space="preserve"> حول مفهوم </w:t>
      </w:r>
      <w:r w:rsidRPr="006571AC">
        <w:rPr>
          <w:rFonts w:hint="eastAsia"/>
          <w:sz w:val="24"/>
          <w:szCs w:val="24"/>
          <w:rtl/>
        </w:rPr>
        <w:t>«</w:t>
      </w:r>
      <w:r w:rsidRPr="006571AC">
        <w:rPr>
          <w:sz w:val="27"/>
          <w:rtl/>
        </w:rPr>
        <w:t>العمل المنفق</w:t>
      </w:r>
      <w:r w:rsidRPr="006571AC">
        <w:rPr>
          <w:rFonts w:hint="eastAsia"/>
          <w:sz w:val="24"/>
          <w:szCs w:val="24"/>
          <w:rtl/>
        </w:rPr>
        <w:t>»</w:t>
      </w:r>
      <w:r w:rsidRPr="006571AC">
        <w:rPr>
          <w:sz w:val="27"/>
          <w:rtl/>
        </w:rPr>
        <w:t xml:space="preserve"> في وجه الرأسمالية، وحول </w:t>
      </w:r>
      <w:r w:rsidRPr="006571AC">
        <w:rPr>
          <w:rFonts w:hint="eastAsia"/>
          <w:sz w:val="24"/>
          <w:szCs w:val="24"/>
          <w:rtl/>
        </w:rPr>
        <w:t>«</w:t>
      </w:r>
      <w:r w:rsidRPr="006571AC">
        <w:rPr>
          <w:sz w:val="27"/>
          <w:rtl/>
        </w:rPr>
        <w:t>استمرارية الملكية</w:t>
      </w:r>
      <w:r w:rsidRPr="006571AC">
        <w:rPr>
          <w:rFonts w:hint="eastAsia"/>
          <w:sz w:val="24"/>
          <w:szCs w:val="24"/>
          <w:rtl/>
        </w:rPr>
        <w:t>»</w:t>
      </w:r>
      <w:r w:rsidRPr="006571AC">
        <w:rPr>
          <w:sz w:val="27"/>
          <w:rtl/>
        </w:rPr>
        <w:t xml:space="preserve"> في وجه الماركسية</w:t>
      </w:r>
      <w:r w:rsidR="00A829FC" w:rsidRPr="006571AC">
        <w:rPr>
          <w:rFonts w:hint="cs"/>
          <w:sz w:val="27"/>
          <w:rtl/>
        </w:rPr>
        <w:t>...،</w:t>
      </w:r>
      <w:r w:rsidR="004C7F35" w:rsidRPr="006571AC">
        <w:rPr>
          <w:rFonts w:hint="cs"/>
          <w:sz w:val="27"/>
          <w:rtl/>
        </w:rPr>
        <w:t xml:space="preserve"> </w:t>
      </w:r>
      <w:r w:rsidRPr="006571AC">
        <w:rPr>
          <w:sz w:val="27"/>
          <w:rtl/>
        </w:rPr>
        <w:t xml:space="preserve">إلخ). </w:t>
      </w:r>
    </w:p>
    <w:p w:rsidR="008B213C" w:rsidRPr="006571AC" w:rsidRDefault="00962F60" w:rsidP="00476A20">
      <w:pPr>
        <w:rPr>
          <w:sz w:val="27"/>
          <w:rtl/>
        </w:rPr>
      </w:pPr>
      <w:r w:rsidRPr="006571AC">
        <w:rPr>
          <w:sz w:val="27"/>
          <w:rtl/>
        </w:rPr>
        <w:t>إننا نعتقد، بصراحة</w:t>
      </w:r>
      <w:r w:rsidR="00A829FC" w:rsidRPr="006571AC">
        <w:rPr>
          <w:rFonts w:hint="cs"/>
          <w:sz w:val="27"/>
          <w:rtl/>
        </w:rPr>
        <w:t>ٍ</w:t>
      </w:r>
      <w:r w:rsidRPr="006571AC">
        <w:rPr>
          <w:sz w:val="27"/>
          <w:rtl/>
        </w:rPr>
        <w:t>، أن أغلب ناقدي هذا البحث إما وقعوا في فخ</w:t>
      </w:r>
      <w:r w:rsidR="00A829FC" w:rsidRPr="006571AC">
        <w:rPr>
          <w:rFonts w:hint="cs"/>
          <w:sz w:val="27"/>
          <w:rtl/>
        </w:rPr>
        <w:t>ّ</w:t>
      </w:r>
      <w:r w:rsidRPr="006571AC">
        <w:rPr>
          <w:sz w:val="27"/>
          <w:rtl/>
        </w:rPr>
        <w:t xml:space="preserve"> الحُك</w:t>
      </w:r>
      <w:r w:rsidR="00476A20" w:rsidRPr="006571AC">
        <w:rPr>
          <w:rFonts w:hint="cs"/>
          <w:sz w:val="27"/>
          <w:rtl/>
        </w:rPr>
        <w:t>ْ</w:t>
      </w:r>
      <w:r w:rsidRPr="006571AC">
        <w:rPr>
          <w:sz w:val="27"/>
          <w:rtl/>
        </w:rPr>
        <w:t xml:space="preserve">م </w:t>
      </w:r>
      <w:r w:rsidR="008D319D" w:rsidRPr="006571AC">
        <w:rPr>
          <w:sz w:val="27"/>
          <w:rtl/>
        </w:rPr>
        <w:lastRenderedPageBreak/>
        <w:t>الق</w:t>
      </w:r>
      <w:r w:rsidR="008D319D" w:rsidRPr="006571AC">
        <w:rPr>
          <w:rFonts w:hint="cs"/>
          <w:sz w:val="27"/>
          <w:rtl/>
        </w:rPr>
        <w:t>ِ</w:t>
      </w:r>
      <w:r w:rsidRPr="006571AC">
        <w:rPr>
          <w:sz w:val="27"/>
          <w:rtl/>
        </w:rPr>
        <w:t>ي</w:t>
      </w:r>
      <w:r w:rsidR="008D319D" w:rsidRPr="006571AC">
        <w:rPr>
          <w:rFonts w:hint="cs"/>
          <w:sz w:val="27"/>
          <w:rtl/>
        </w:rPr>
        <w:t>َ</w:t>
      </w:r>
      <w:r w:rsidRPr="006571AC">
        <w:rPr>
          <w:sz w:val="27"/>
          <w:rtl/>
        </w:rPr>
        <w:t>مي كما حد</w:t>
      </w:r>
      <w:r w:rsidR="00A829FC" w:rsidRPr="006571AC">
        <w:rPr>
          <w:rFonts w:hint="cs"/>
          <w:sz w:val="27"/>
          <w:rtl/>
        </w:rPr>
        <w:t>َّ</w:t>
      </w:r>
      <w:r w:rsidRPr="006571AC">
        <w:rPr>
          <w:sz w:val="27"/>
          <w:rtl/>
        </w:rPr>
        <w:t>د معناه الفيلسوف والعالم الألماني الاجتماعي ماكس فيبر</w:t>
      </w:r>
      <w:r w:rsidR="007E254D" w:rsidRPr="006571AC">
        <w:rPr>
          <w:rFonts w:hint="cs"/>
          <w:sz w:val="27"/>
          <w:vertAlign w:val="superscript"/>
          <w:rtl/>
        </w:rPr>
        <w:t>(</w:t>
      </w:r>
      <w:r w:rsidR="007E254D" w:rsidRPr="006571AC">
        <w:rPr>
          <w:rStyle w:val="ac"/>
          <w:sz w:val="27"/>
          <w:rtl/>
        </w:rPr>
        <w:endnoteReference w:id="905"/>
      </w:r>
      <w:r w:rsidR="007E254D" w:rsidRPr="006571AC">
        <w:rPr>
          <w:rFonts w:hint="cs"/>
          <w:sz w:val="27"/>
          <w:vertAlign w:val="superscript"/>
          <w:rtl/>
        </w:rPr>
        <w:t>)</w:t>
      </w:r>
      <w:r w:rsidR="00A829FC" w:rsidRPr="006571AC">
        <w:rPr>
          <w:rFonts w:hint="cs"/>
          <w:sz w:val="27"/>
          <w:rtl/>
        </w:rPr>
        <w:t>؛</w:t>
      </w:r>
      <w:r w:rsidRPr="006571AC">
        <w:rPr>
          <w:sz w:val="27"/>
          <w:rtl/>
        </w:rPr>
        <w:t xml:space="preserve"> أو أخطأوا في التصويب على الجوانب الجزئية</w:t>
      </w:r>
      <w:r w:rsidR="007E254D" w:rsidRPr="006571AC">
        <w:rPr>
          <w:rFonts w:hint="cs"/>
          <w:sz w:val="27"/>
          <w:vertAlign w:val="superscript"/>
          <w:rtl/>
        </w:rPr>
        <w:t>(</w:t>
      </w:r>
      <w:r w:rsidR="007E254D" w:rsidRPr="006571AC">
        <w:rPr>
          <w:rStyle w:val="ac"/>
          <w:sz w:val="27"/>
          <w:rtl/>
        </w:rPr>
        <w:endnoteReference w:id="906"/>
      </w:r>
      <w:r w:rsidR="007E254D" w:rsidRPr="006571AC">
        <w:rPr>
          <w:rFonts w:hint="cs"/>
          <w:sz w:val="27"/>
          <w:vertAlign w:val="superscript"/>
          <w:rtl/>
        </w:rPr>
        <w:t>)</w:t>
      </w:r>
      <w:r w:rsidR="00F032B0" w:rsidRPr="006571AC">
        <w:rPr>
          <w:rFonts w:hint="cs"/>
          <w:sz w:val="27"/>
          <w:rtl/>
        </w:rPr>
        <w:t xml:space="preserve"> </w:t>
      </w:r>
      <w:r w:rsidRPr="006571AC">
        <w:rPr>
          <w:sz w:val="27"/>
          <w:rtl/>
        </w:rPr>
        <w:t>دون الجوانب الأهم</w:t>
      </w:r>
      <w:r w:rsidR="00A829FC" w:rsidRPr="006571AC">
        <w:rPr>
          <w:rFonts w:hint="cs"/>
          <w:sz w:val="27"/>
          <w:rtl/>
        </w:rPr>
        <w:t>ّ،</w:t>
      </w:r>
      <w:r w:rsidRPr="006571AC">
        <w:rPr>
          <w:sz w:val="27"/>
          <w:rtl/>
        </w:rPr>
        <w:t xml:space="preserve"> وهي الجوانب المعرفية (أي ال</w:t>
      </w:r>
      <w:r w:rsidR="00A829FC" w:rsidRPr="006571AC">
        <w:rPr>
          <w:rFonts w:hint="cs"/>
          <w:sz w:val="27"/>
          <w:rtl/>
        </w:rPr>
        <w:t>إ</w:t>
      </w:r>
      <w:r w:rsidRPr="006571AC">
        <w:rPr>
          <w:sz w:val="27"/>
          <w:rtl/>
        </w:rPr>
        <w:t>بستمولوجية) والمنهجية. وهذه الأخيرة تشك</w:t>
      </w:r>
      <w:r w:rsidR="00A829FC" w:rsidRPr="006571AC">
        <w:rPr>
          <w:rFonts w:hint="cs"/>
          <w:sz w:val="27"/>
          <w:rtl/>
        </w:rPr>
        <w:t>ِّ</w:t>
      </w:r>
      <w:r w:rsidRPr="006571AC">
        <w:rPr>
          <w:sz w:val="27"/>
          <w:rtl/>
        </w:rPr>
        <w:t>ل برأينا ـ وبكل</w:t>
      </w:r>
      <w:r w:rsidR="00A829FC" w:rsidRPr="006571AC">
        <w:rPr>
          <w:rFonts w:hint="cs"/>
          <w:sz w:val="27"/>
          <w:rtl/>
        </w:rPr>
        <w:t>ّ</w:t>
      </w:r>
      <w:r w:rsidRPr="006571AC">
        <w:rPr>
          <w:sz w:val="27"/>
          <w:rtl/>
        </w:rPr>
        <w:t xml:space="preserve"> موضوعي</w:t>
      </w:r>
      <w:r w:rsidR="00A829FC" w:rsidRPr="006571AC">
        <w:rPr>
          <w:rFonts w:hint="cs"/>
          <w:sz w:val="27"/>
          <w:rtl/>
        </w:rPr>
        <w:t>ّ</w:t>
      </w:r>
      <w:r w:rsidRPr="006571AC">
        <w:rPr>
          <w:sz w:val="27"/>
          <w:rtl/>
        </w:rPr>
        <w:t>ة</w:t>
      </w:r>
      <w:r w:rsidR="00A829FC" w:rsidRPr="006571AC">
        <w:rPr>
          <w:rFonts w:hint="cs"/>
          <w:sz w:val="27"/>
          <w:rtl/>
        </w:rPr>
        <w:t>ٍ</w:t>
      </w:r>
      <w:r w:rsidRPr="006571AC">
        <w:rPr>
          <w:sz w:val="27"/>
          <w:rtl/>
        </w:rPr>
        <w:t xml:space="preserve"> ـ ثورة</w:t>
      </w:r>
      <w:r w:rsidR="00A829FC" w:rsidRPr="006571AC">
        <w:rPr>
          <w:rFonts w:hint="cs"/>
          <w:sz w:val="27"/>
          <w:rtl/>
        </w:rPr>
        <w:t>ً</w:t>
      </w:r>
      <w:r w:rsidRPr="006571AC">
        <w:rPr>
          <w:sz w:val="27"/>
          <w:rtl/>
        </w:rPr>
        <w:t xml:space="preserve"> في عالم البحث حول المواضيع ال</w:t>
      </w:r>
      <w:r w:rsidR="00476A20" w:rsidRPr="006571AC">
        <w:rPr>
          <w:rFonts w:hint="cs"/>
          <w:sz w:val="27"/>
          <w:rtl/>
        </w:rPr>
        <w:t>إ</w:t>
      </w:r>
      <w:r w:rsidRPr="006571AC">
        <w:rPr>
          <w:sz w:val="27"/>
          <w:rtl/>
        </w:rPr>
        <w:t xml:space="preserve">سلامية، وهذا ما لم يلاحظه أكثر ناقدي </w:t>
      </w:r>
      <w:r w:rsidR="00A829FC" w:rsidRPr="006571AC">
        <w:rPr>
          <w:rFonts w:hint="cs"/>
          <w:sz w:val="27"/>
          <w:rtl/>
        </w:rPr>
        <w:t>(</w:t>
      </w:r>
      <w:r w:rsidRPr="006571AC">
        <w:rPr>
          <w:sz w:val="27"/>
          <w:rtl/>
        </w:rPr>
        <w:t>اقتصادنا</w:t>
      </w:r>
      <w:r w:rsidR="00A829FC" w:rsidRPr="006571AC">
        <w:rPr>
          <w:rFonts w:hint="cs"/>
          <w:sz w:val="27"/>
          <w:rtl/>
        </w:rPr>
        <w:t>)،</w:t>
      </w:r>
      <w:r w:rsidRPr="006571AC">
        <w:rPr>
          <w:sz w:val="27"/>
          <w:rtl/>
        </w:rPr>
        <w:t xml:space="preserve"> كما سنفص</w:t>
      </w:r>
      <w:r w:rsidR="00A829FC" w:rsidRPr="006571AC">
        <w:rPr>
          <w:rFonts w:hint="cs"/>
          <w:sz w:val="27"/>
          <w:rtl/>
        </w:rPr>
        <w:t>ِّ</w:t>
      </w:r>
      <w:r w:rsidRPr="006571AC">
        <w:rPr>
          <w:sz w:val="27"/>
          <w:rtl/>
        </w:rPr>
        <w:t>ل</w:t>
      </w:r>
      <w:r w:rsidR="007E254D" w:rsidRPr="006571AC">
        <w:rPr>
          <w:rFonts w:hint="cs"/>
          <w:sz w:val="27"/>
          <w:vertAlign w:val="superscript"/>
          <w:rtl/>
        </w:rPr>
        <w:t>(</w:t>
      </w:r>
      <w:r w:rsidR="007E254D" w:rsidRPr="006571AC">
        <w:rPr>
          <w:rStyle w:val="ac"/>
          <w:sz w:val="27"/>
          <w:rtl/>
        </w:rPr>
        <w:endnoteReference w:id="907"/>
      </w:r>
      <w:r w:rsidR="007E254D" w:rsidRPr="006571AC">
        <w:rPr>
          <w:rFonts w:hint="cs"/>
          <w:sz w:val="27"/>
          <w:vertAlign w:val="superscript"/>
          <w:rtl/>
        </w:rPr>
        <w:t>)</w:t>
      </w:r>
      <w:r w:rsidR="00F032B0" w:rsidRPr="006571AC">
        <w:rPr>
          <w:sz w:val="27"/>
          <w:rtl/>
        </w:rPr>
        <w:t>.</w:t>
      </w:r>
    </w:p>
    <w:p w:rsidR="00962F60" w:rsidRPr="006571AC" w:rsidRDefault="00962F60" w:rsidP="006D54BB">
      <w:pPr>
        <w:rPr>
          <w:sz w:val="27"/>
        </w:rPr>
      </w:pPr>
      <w:r w:rsidRPr="006571AC">
        <w:rPr>
          <w:sz w:val="27"/>
          <w:rtl/>
        </w:rPr>
        <w:t>ومن المهم</w:t>
      </w:r>
      <w:r w:rsidR="008B213C" w:rsidRPr="006571AC">
        <w:rPr>
          <w:rFonts w:hint="cs"/>
          <w:sz w:val="27"/>
          <w:rtl/>
        </w:rPr>
        <w:t>ّ</w:t>
      </w:r>
      <w:r w:rsidRPr="006571AC">
        <w:rPr>
          <w:sz w:val="27"/>
          <w:rtl/>
        </w:rPr>
        <w:t xml:space="preserve"> في هذا السياق التشديد على أننا لسنا </w:t>
      </w:r>
      <w:r w:rsidR="00476A20" w:rsidRPr="006571AC">
        <w:rPr>
          <w:rFonts w:hint="cs"/>
          <w:sz w:val="27"/>
          <w:rtl/>
        </w:rPr>
        <w:t xml:space="preserve">في </w:t>
      </w:r>
      <w:r w:rsidRPr="006571AC">
        <w:rPr>
          <w:sz w:val="27"/>
          <w:rtl/>
        </w:rPr>
        <w:t xml:space="preserve">صدد الدفاع الأيديولوجي أو الديني أو الحزبي عن السيد محمد باقر الصدر، وإنما </w:t>
      </w:r>
      <w:r w:rsidR="006D54BB" w:rsidRPr="006571AC">
        <w:rPr>
          <w:rFonts w:hint="cs"/>
          <w:sz w:val="27"/>
          <w:rtl/>
        </w:rPr>
        <w:t xml:space="preserve">في </w:t>
      </w:r>
      <w:r w:rsidRPr="006571AC">
        <w:rPr>
          <w:sz w:val="27"/>
          <w:rtl/>
        </w:rPr>
        <w:t>صدد الدفاع عن الأمانة العلمي</w:t>
      </w:r>
      <w:r w:rsidR="00476A20" w:rsidRPr="006571AC">
        <w:rPr>
          <w:rFonts w:hint="cs"/>
          <w:sz w:val="27"/>
          <w:rtl/>
        </w:rPr>
        <w:t>ّ</w:t>
      </w:r>
      <w:r w:rsidRPr="006571AC">
        <w:rPr>
          <w:sz w:val="27"/>
          <w:rtl/>
        </w:rPr>
        <w:t>ة، وخصوصا</w:t>
      </w:r>
      <w:r w:rsidR="008B213C" w:rsidRPr="006571AC">
        <w:rPr>
          <w:rFonts w:hint="cs"/>
          <w:sz w:val="27"/>
          <w:rtl/>
        </w:rPr>
        <w:t>ً</w:t>
      </w:r>
      <w:r w:rsidRPr="006571AC">
        <w:rPr>
          <w:sz w:val="27"/>
          <w:rtl/>
        </w:rPr>
        <w:t xml:space="preserve"> </w:t>
      </w:r>
      <w:r w:rsidR="00476A20" w:rsidRPr="006571AC">
        <w:rPr>
          <w:rFonts w:hint="cs"/>
          <w:sz w:val="27"/>
          <w:rtl/>
        </w:rPr>
        <w:t xml:space="preserve">في </w:t>
      </w:r>
      <w:r w:rsidRPr="006571AC">
        <w:rPr>
          <w:sz w:val="27"/>
          <w:rtl/>
        </w:rPr>
        <w:t>صدد الكشف عن كنوز ثمينة لمستقبل الدراسات حول تجديد منهجية البحوث ال</w:t>
      </w:r>
      <w:r w:rsidR="008B213C" w:rsidRPr="006571AC">
        <w:rPr>
          <w:rFonts w:hint="cs"/>
          <w:sz w:val="27"/>
          <w:rtl/>
        </w:rPr>
        <w:t>إ</w:t>
      </w:r>
      <w:r w:rsidRPr="006571AC">
        <w:rPr>
          <w:sz w:val="27"/>
          <w:rtl/>
        </w:rPr>
        <w:t>سلامية أو ذات الطابع ال</w:t>
      </w:r>
      <w:r w:rsidR="008B213C" w:rsidRPr="006571AC">
        <w:rPr>
          <w:rFonts w:hint="cs"/>
          <w:sz w:val="27"/>
          <w:rtl/>
        </w:rPr>
        <w:t>إ</w:t>
      </w:r>
      <w:r w:rsidRPr="006571AC">
        <w:rPr>
          <w:sz w:val="27"/>
          <w:rtl/>
        </w:rPr>
        <w:t>سلامي عموما</w:t>
      </w:r>
      <w:r w:rsidR="008B213C" w:rsidRPr="006571AC">
        <w:rPr>
          <w:rFonts w:hint="cs"/>
          <w:sz w:val="27"/>
          <w:rtl/>
        </w:rPr>
        <w:t>ً</w:t>
      </w:r>
      <w:r w:rsidR="007E254D" w:rsidRPr="006571AC">
        <w:rPr>
          <w:rFonts w:hint="cs"/>
          <w:sz w:val="27"/>
          <w:vertAlign w:val="superscript"/>
          <w:rtl/>
        </w:rPr>
        <w:t>(</w:t>
      </w:r>
      <w:r w:rsidR="007E254D" w:rsidRPr="006571AC">
        <w:rPr>
          <w:rStyle w:val="ac"/>
          <w:sz w:val="27"/>
          <w:rtl/>
        </w:rPr>
        <w:endnoteReference w:id="908"/>
      </w:r>
      <w:r w:rsidR="007E254D" w:rsidRPr="006571AC">
        <w:rPr>
          <w:rFonts w:hint="cs"/>
          <w:sz w:val="27"/>
          <w:vertAlign w:val="superscript"/>
          <w:rtl/>
        </w:rPr>
        <w:t>)</w:t>
      </w:r>
      <w:r w:rsidR="00F032B0" w:rsidRPr="006571AC">
        <w:rPr>
          <w:sz w:val="27"/>
          <w:rtl/>
        </w:rPr>
        <w:t>.</w:t>
      </w:r>
      <w:r w:rsidRPr="006571AC">
        <w:rPr>
          <w:sz w:val="27"/>
          <w:rtl/>
        </w:rPr>
        <w:t xml:space="preserve"> </w:t>
      </w:r>
    </w:p>
    <w:p w:rsidR="0024500D" w:rsidRPr="006571AC" w:rsidRDefault="0024500D" w:rsidP="0024500D">
      <w:pPr>
        <w:spacing w:line="420" w:lineRule="exact"/>
        <w:rPr>
          <w:rFonts w:ascii="Arabic Typesetting" w:hAnsi="Arabic Typesetting"/>
          <w:sz w:val="27"/>
          <w:rtl/>
          <w:lang w:bidi="ar-LB"/>
        </w:rPr>
      </w:pPr>
    </w:p>
    <w:p w:rsidR="00962F60" w:rsidRPr="006571AC" w:rsidRDefault="00962F60" w:rsidP="00AD667C">
      <w:pPr>
        <w:pStyle w:val="31"/>
        <w:rPr>
          <w:color w:val="auto"/>
        </w:rPr>
      </w:pPr>
      <w:bookmarkStart w:id="580" w:name="_Toc114164929"/>
      <w:r w:rsidRPr="006571AC">
        <w:rPr>
          <w:rFonts w:hint="cs"/>
          <w:color w:val="auto"/>
          <w:rtl/>
        </w:rPr>
        <w:t xml:space="preserve">1ـ </w:t>
      </w:r>
      <w:r w:rsidRPr="006571AC">
        <w:rPr>
          <w:rFonts w:hint="eastAsia"/>
          <w:color w:val="auto"/>
          <w:rtl/>
        </w:rPr>
        <w:t>«</w:t>
      </w:r>
      <w:r w:rsidRPr="006571AC">
        <w:rPr>
          <w:color w:val="auto"/>
          <w:rtl/>
        </w:rPr>
        <w:t>اقتصادنا</w:t>
      </w:r>
      <w:r w:rsidRPr="006571AC">
        <w:rPr>
          <w:rFonts w:hint="eastAsia"/>
          <w:color w:val="auto"/>
          <w:sz w:val="26"/>
          <w:rtl/>
        </w:rPr>
        <w:t>»</w:t>
      </w:r>
      <w:r w:rsidRPr="006571AC">
        <w:rPr>
          <w:color w:val="auto"/>
          <w:rtl/>
        </w:rPr>
        <w:t xml:space="preserve"> والأبعاد ال</w:t>
      </w:r>
      <w:r w:rsidR="008B213C" w:rsidRPr="006571AC">
        <w:rPr>
          <w:rFonts w:hint="cs"/>
          <w:color w:val="auto"/>
          <w:rtl/>
        </w:rPr>
        <w:t>إ</w:t>
      </w:r>
      <w:r w:rsidRPr="006571AC">
        <w:rPr>
          <w:color w:val="auto"/>
          <w:rtl/>
        </w:rPr>
        <w:t>بستمولوجي</w:t>
      </w:r>
      <w:r w:rsidR="00412F40" w:rsidRPr="006571AC">
        <w:rPr>
          <w:rFonts w:hint="cs"/>
          <w:color w:val="auto"/>
          <w:rtl/>
        </w:rPr>
        <w:t>ّ</w:t>
      </w:r>
      <w:r w:rsidRPr="006571AC">
        <w:rPr>
          <w:color w:val="auto"/>
          <w:rtl/>
        </w:rPr>
        <w:t>ة والميتودولوجي</w:t>
      </w:r>
      <w:r w:rsidR="00412F40" w:rsidRPr="006571AC">
        <w:rPr>
          <w:rFonts w:hint="cs"/>
          <w:color w:val="auto"/>
          <w:rtl/>
        </w:rPr>
        <w:t>ّ</w:t>
      </w:r>
      <w:r w:rsidRPr="006571AC">
        <w:rPr>
          <w:color w:val="auto"/>
          <w:rtl/>
        </w:rPr>
        <w:t>ة الأساسي</w:t>
      </w:r>
      <w:r w:rsidR="00412F40" w:rsidRPr="006571AC">
        <w:rPr>
          <w:rFonts w:hint="cs"/>
          <w:color w:val="auto"/>
          <w:rtl/>
        </w:rPr>
        <w:t>ّ</w:t>
      </w:r>
      <w:r w:rsidRPr="006571AC">
        <w:rPr>
          <w:color w:val="auto"/>
          <w:rtl/>
        </w:rPr>
        <w:t>ة</w:t>
      </w:r>
      <w:bookmarkEnd w:id="580"/>
    </w:p>
    <w:p w:rsidR="00962F60" w:rsidRPr="006571AC" w:rsidRDefault="00962F60" w:rsidP="007E009E">
      <w:pPr>
        <w:rPr>
          <w:sz w:val="27"/>
        </w:rPr>
      </w:pPr>
      <w:r w:rsidRPr="006571AC">
        <w:rPr>
          <w:sz w:val="27"/>
          <w:rtl/>
        </w:rPr>
        <w:t>في بداية ع</w:t>
      </w:r>
      <w:r w:rsidR="006D54BB" w:rsidRPr="006571AC">
        <w:rPr>
          <w:rFonts w:hint="cs"/>
          <w:sz w:val="27"/>
          <w:rtl/>
        </w:rPr>
        <w:t>َ</w:t>
      </w:r>
      <w:r w:rsidRPr="006571AC">
        <w:rPr>
          <w:sz w:val="27"/>
          <w:rtl/>
        </w:rPr>
        <w:t>ر</w:t>
      </w:r>
      <w:r w:rsidR="006D54BB" w:rsidRPr="006571AC">
        <w:rPr>
          <w:rFonts w:hint="cs"/>
          <w:sz w:val="27"/>
          <w:rtl/>
        </w:rPr>
        <w:t>ْ</w:t>
      </w:r>
      <w:r w:rsidRPr="006571AC">
        <w:rPr>
          <w:sz w:val="27"/>
          <w:rtl/>
        </w:rPr>
        <w:t xml:space="preserve">ضنا </w:t>
      </w:r>
      <w:r w:rsidR="00731867" w:rsidRPr="006571AC">
        <w:rPr>
          <w:sz w:val="27"/>
          <w:rtl/>
        </w:rPr>
        <w:t>لا بُدَّ</w:t>
      </w:r>
      <w:r w:rsidRPr="006571AC">
        <w:rPr>
          <w:sz w:val="27"/>
          <w:rtl/>
        </w:rPr>
        <w:t xml:space="preserve"> من التوق</w:t>
      </w:r>
      <w:r w:rsidR="008B213C" w:rsidRPr="006571AC">
        <w:rPr>
          <w:rFonts w:hint="cs"/>
          <w:sz w:val="27"/>
          <w:rtl/>
        </w:rPr>
        <w:t>ُّ</w:t>
      </w:r>
      <w:r w:rsidRPr="006571AC">
        <w:rPr>
          <w:sz w:val="27"/>
          <w:rtl/>
        </w:rPr>
        <w:t>ف عند بعض المصطلحات التي نستعملها، وبشكل</w:t>
      </w:r>
      <w:r w:rsidR="008B213C" w:rsidRPr="006571AC">
        <w:rPr>
          <w:rFonts w:hint="cs"/>
          <w:sz w:val="27"/>
          <w:rtl/>
        </w:rPr>
        <w:t>ٍ</w:t>
      </w:r>
      <w:r w:rsidRPr="006571AC">
        <w:rPr>
          <w:sz w:val="27"/>
          <w:rtl/>
        </w:rPr>
        <w:t xml:space="preserve"> مقتضب</w:t>
      </w:r>
      <w:r w:rsidR="007E254D" w:rsidRPr="006571AC">
        <w:rPr>
          <w:rFonts w:hint="cs"/>
          <w:sz w:val="27"/>
          <w:vertAlign w:val="superscript"/>
          <w:rtl/>
        </w:rPr>
        <w:t>(</w:t>
      </w:r>
      <w:r w:rsidR="007E254D" w:rsidRPr="006571AC">
        <w:rPr>
          <w:rStyle w:val="ac"/>
          <w:sz w:val="27"/>
          <w:rtl/>
        </w:rPr>
        <w:endnoteReference w:id="909"/>
      </w:r>
      <w:r w:rsidR="007E254D" w:rsidRPr="006571AC">
        <w:rPr>
          <w:rFonts w:hint="cs"/>
          <w:sz w:val="27"/>
          <w:vertAlign w:val="superscript"/>
          <w:rtl/>
        </w:rPr>
        <w:t>)</w:t>
      </w:r>
      <w:r w:rsidR="00F032B0" w:rsidRPr="006571AC">
        <w:rPr>
          <w:sz w:val="27"/>
          <w:rtl/>
        </w:rPr>
        <w:t>.</w:t>
      </w:r>
      <w:r w:rsidRPr="006571AC">
        <w:rPr>
          <w:sz w:val="27"/>
          <w:rtl/>
        </w:rPr>
        <w:t xml:space="preserve"> وهي مصطلحات</w:t>
      </w:r>
      <w:r w:rsidR="008B213C" w:rsidRPr="006571AC">
        <w:rPr>
          <w:rFonts w:hint="cs"/>
          <w:sz w:val="27"/>
          <w:rtl/>
        </w:rPr>
        <w:t>ٌ</w:t>
      </w:r>
      <w:r w:rsidRPr="006571AC">
        <w:rPr>
          <w:sz w:val="27"/>
          <w:rtl/>
        </w:rPr>
        <w:t xml:space="preserve"> </w:t>
      </w:r>
      <w:r w:rsidR="00731867" w:rsidRPr="006571AC">
        <w:rPr>
          <w:sz w:val="27"/>
          <w:rtl/>
        </w:rPr>
        <w:t>لا بُدَّ</w:t>
      </w:r>
      <w:r w:rsidRPr="006571AC">
        <w:rPr>
          <w:sz w:val="27"/>
          <w:rtl/>
        </w:rPr>
        <w:t xml:space="preserve"> للباحث حول ال</w:t>
      </w:r>
      <w:r w:rsidR="008B213C" w:rsidRPr="006571AC">
        <w:rPr>
          <w:rFonts w:hint="cs"/>
          <w:sz w:val="27"/>
          <w:rtl/>
        </w:rPr>
        <w:t>إ</w:t>
      </w:r>
      <w:r w:rsidRPr="006571AC">
        <w:rPr>
          <w:sz w:val="27"/>
          <w:rtl/>
        </w:rPr>
        <w:t>سلاميات (أو للباحث ال</w:t>
      </w:r>
      <w:r w:rsidR="008B213C" w:rsidRPr="006571AC">
        <w:rPr>
          <w:rFonts w:hint="cs"/>
          <w:sz w:val="27"/>
          <w:rtl/>
        </w:rPr>
        <w:t>إ</w:t>
      </w:r>
      <w:r w:rsidRPr="006571AC">
        <w:rPr>
          <w:sz w:val="27"/>
          <w:rtl/>
        </w:rPr>
        <w:t>سلامي ببساطة</w:t>
      </w:r>
      <w:r w:rsidR="008B213C" w:rsidRPr="006571AC">
        <w:rPr>
          <w:rFonts w:hint="cs"/>
          <w:sz w:val="27"/>
          <w:rtl/>
        </w:rPr>
        <w:t>ٍ</w:t>
      </w:r>
      <w:r w:rsidRPr="006571AC">
        <w:rPr>
          <w:sz w:val="27"/>
          <w:rtl/>
        </w:rPr>
        <w:t>) من التوق</w:t>
      </w:r>
      <w:r w:rsidR="008B213C" w:rsidRPr="006571AC">
        <w:rPr>
          <w:rFonts w:hint="cs"/>
          <w:sz w:val="27"/>
          <w:rtl/>
        </w:rPr>
        <w:t>ُّ</w:t>
      </w:r>
      <w:r w:rsidRPr="006571AC">
        <w:rPr>
          <w:sz w:val="27"/>
          <w:rtl/>
        </w:rPr>
        <w:t>ف عندها م</w:t>
      </w:r>
      <w:r w:rsidR="006D54BB" w:rsidRPr="006571AC">
        <w:rPr>
          <w:rFonts w:hint="cs"/>
          <w:sz w:val="27"/>
          <w:rtl/>
        </w:rPr>
        <w:t>َ</w:t>
      </w:r>
      <w:r w:rsidRPr="006571AC">
        <w:rPr>
          <w:sz w:val="27"/>
          <w:rtl/>
        </w:rPr>
        <w:t>ل</w:t>
      </w:r>
      <w:r w:rsidR="006D54BB" w:rsidRPr="006571AC">
        <w:rPr>
          <w:rFonts w:hint="cs"/>
          <w:sz w:val="27"/>
          <w:rtl/>
        </w:rPr>
        <w:t>ِ</w:t>
      </w:r>
      <w:r w:rsidRPr="006571AC">
        <w:rPr>
          <w:sz w:val="27"/>
          <w:rtl/>
        </w:rPr>
        <w:t>ي</w:t>
      </w:r>
      <w:r w:rsidR="008B213C" w:rsidRPr="006571AC">
        <w:rPr>
          <w:rFonts w:hint="cs"/>
          <w:sz w:val="27"/>
          <w:rtl/>
        </w:rPr>
        <w:t>ّ</w:t>
      </w:r>
      <w:r w:rsidRPr="006571AC">
        <w:rPr>
          <w:sz w:val="27"/>
          <w:rtl/>
        </w:rPr>
        <w:t>ا</w:t>
      </w:r>
      <w:r w:rsidR="008B213C" w:rsidRPr="006571AC">
        <w:rPr>
          <w:rFonts w:hint="cs"/>
          <w:sz w:val="27"/>
          <w:rtl/>
        </w:rPr>
        <w:t>ً،</w:t>
      </w:r>
      <w:r w:rsidRPr="006571AC">
        <w:rPr>
          <w:sz w:val="27"/>
          <w:rtl/>
        </w:rPr>
        <w:t xml:space="preserve"> كما سنبين طوال هذه الورقة. باختصار</w:t>
      </w:r>
      <w:r w:rsidR="008B213C" w:rsidRPr="006571AC">
        <w:rPr>
          <w:rFonts w:hint="cs"/>
          <w:sz w:val="27"/>
          <w:rtl/>
        </w:rPr>
        <w:t>ٍ</w:t>
      </w:r>
      <w:r w:rsidRPr="006571AC">
        <w:rPr>
          <w:sz w:val="27"/>
          <w:rtl/>
        </w:rPr>
        <w:t>، فال</w:t>
      </w:r>
      <w:r w:rsidR="008B213C" w:rsidRPr="006571AC">
        <w:rPr>
          <w:rFonts w:hint="cs"/>
          <w:sz w:val="27"/>
          <w:rtl/>
        </w:rPr>
        <w:t>إ</w:t>
      </w:r>
      <w:r w:rsidRPr="006571AC">
        <w:rPr>
          <w:sz w:val="27"/>
          <w:rtl/>
        </w:rPr>
        <w:t>بستمولوجيا بشكل</w:t>
      </w:r>
      <w:r w:rsidR="008B213C" w:rsidRPr="006571AC">
        <w:rPr>
          <w:rFonts w:hint="cs"/>
          <w:sz w:val="27"/>
          <w:rtl/>
        </w:rPr>
        <w:t>ٍ</w:t>
      </w:r>
      <w:r w:rsidRPr="006571AC">
        <w:rPr>
          <w:sz w:val="27"/>
          <w:rtl/>
        </w:rPr>
        <w:t xml:space="preserve"> عام</w:t>
      </w:r>
      <w:r w:rsidR="008B213C" w:rsidRPr="006571AC">
        <w:rPr>
          <w:rFonts w:hint="cs"/>
          <w:sz w:val="27"/>
          <w:rtl/>
        </w:rPr>
        <w:t>ّ</w:t>
      </w:r>
      <w:r w:rsidRPr="006571AC">
        <w:rPr>
          <w:sz w:val="27"/>
          <w:rtl/>
        </w:rPr>
        <w:t xml:space="preserve"> هي: </w:t>
      </w:r>
      <w:r w:rsidRPr="006571AC">
        <w:rPr>
          <w:rFonts w:hint="eastAsia"/>
          <w:sz w:val="24"/>
          <w:szCs w:val="24"/>
          <w:rtl/>
        </w:rPr>
        <w:t>«</w:t>
      </w:r>
      <w:r w:rsidRPr="006571AC">
        <w:rPr>
          <w:sz w:val="27"/>
          <w:rtl/>
        </w:rPr>
        <w:t>فرع</w:t>
      </w:r>
      <w:r w:rsidR="008B213C" w:rsidRPr="006571AC">
        <w:rPr>
          <w:rFonts w:hint="cs"/>
          <w:sz w:val="27"/>
          <w:rtl/>
        </w:rPr>
        <w:t>ٌ</w:t>
      </w:r>
      <w:r w:rsidRPr="006571AC">
        <w:rPr>
          <w:sz w:val="27"/>
          <w:rtl/>
        </w:rPr>
        <w:t xml:space="preserve"> من فروع الفلسفة</w:t>
      </w:r>
      <w:r w:rsidR="008B213C" w:rsidRPr="006571AC">
        <w:rPr>
          <w:rFonts w:hint="cs"/>
          <w:sz w:val="27"/>
          <w:rtl/>
        </w:rPr>
        <w:t>،</w:t>
      </w:r>
      <w:r w:rsidRPr="006571AC">
        <w:rPr>
          <w:sz w:val="27"/>
          <w:rtl/>
        </w:rPr>
        <w:t xml:space="preserve"> يهتم</w:t>
      </w:r>
      <w:r w:rsidR="008B213C" w:rsidRPr="006571AC">
        <w:rPr>
          <w:rFonts w:hint="cs"/>
          <w:sz w:val="27"/>
          <w:rtl/>
        </w:rPr>
        <w:t>ّ</w:t>
      </w:r>
      <w:r w:rsidRPr="006571AC">
        <w:rPr>
          <w:sz w:val="27"/>
          <w:rtl/>
        </w:rPr>
        <w:t xml:space="preserve"> بنظرية المعرفة</w:t>
      </w:r>
      <w:r w:rsidRPr="006571AC">
        <w:rPr>
          <w:rFonts w:hint="eastAsia"/>
          <w:sz w:val="24"/>
          <w:szCs w:val="24"/>
          <w:rtl/>
        </w:rPr>
        <w:t>»</w:t>
      </w:r>
      <w:r w:rsidR="008B213C" w:rsidRPr="006571AC">
        <w:rPr>
          <w:rFonts w:hint="cs"/>
          <w:sz w:val="27"/>
          <w:rtl/>
        </w:rPr>
        <w:t>،</w:t>
      </w:r>
      <w:r w:rsidRPr="006571AC">
        <w:rPr>
          <w:sz w:val="27"/>
          <w:rtl/>
        </w:rPr>
        <w:t xml:space="preserve"> كما يعرّفها موقع قاموس المعاني مثلا</w:t>
      </w:r>
      <w:r w:rsidR="008B213C" w:rsidRPr="006571AC">
        <w:rPr>
          <w:rFonts w:hint="cs"/>
          <w:sz w:val="27"/>
          <w:rtl/>
        </w:rPr>
        <w:t>ً</w:t>
      </w:r>
      <w:r w:rsidR="007E254D" w:rsidRPr="006571AC">
        <w:rPr>
          <w:rFonts w:hint="cs"/>
          <w:sz w:val="27"/>
          <w:vertAlign w:val="superscript"/>
          <w:rtl/>
        </w:rPr>
        <w:t>(</w:t>
      </w:r>
      <w:r w:rsidR="007E254D" w:rsidRPr="006571AC">
        <w:rPr>
          <w:rStyle w:val="ac"/>
          <w:sz w:val="27"/>
          <w:rtl/>
        </w:rPr>
        <w:endnoteReference w:id="910"/>
      </w:r>
      <w:r w:rsidR="007E254D" w:rsidRPr="006571AC">
        <w:rPr>
          <w:rFonts w:hint="cs"/>
          <w:sz w:val="27"/>
          <w:vertAlign w:val="superscript"/>
          <w:rtl/>
        </w:rPr>
        <w:t>)</w:t>
      </w:r>
      <w:r w:rsidR="00F032B0" w:rsidRPr="006571AC">
        <w:rPr>
          <w:sz w:val="27"/>
          <w:rtl/>
        </w:rPr>
        <w:t>.</w:t>
      </w:r>
      <w:r w:rsidRPr="006571AC">
        <w:rPr>
          <w:sz w:val="27"/>
          <w:rtl/>
        </w:rPr>
        <w:t xml:space="preserve"> أي، ببساطة</w:t>
      </w:r>
      <w:r w:rsidR="008B213C" w:rsidRPr="006571AC">
        <w:rPr>
          <w:rFonts w:hint="cs"/>
          <w:sz w:val="27"/>
          <w:rtl/>
        </w:rPr>
        <w:t>ٍ</w:t>
      </w:r>
      <w:r w:rsidRPr="006571AC">
        <w:rPr>
          <w:sz w:val="27"/>
          <w:rtl/>
        </w:rPr>
        <w:t xml:space="preserve">، بعد تحديد موقف الباحث من </w:t>
      </w:r>
      <w:r w:rsidRPr="006571AC">
        <w:rPr>
          <w:rFonts w:hint="eastAsia"/>
          <w:sz w:val="24"/>
          <w:szCs w:val="24"/>
          <w:rtl/>
        </w:rPr>
        <w:t>«</w:t>
      </w:r>
      <w:r w:rsidRPr="006571AC">
        <w:rPr>
          <w:sz w:val="27"/>
          <w:rtl/>
        </w:rPr>
        <w:t>الواقع</w:t>
      </w:r>
      <w:r w:rsidRPr="006571AC">
        <w:rPr>
          <w:rFonts w:hint="eastAsia"/>
          <w:sz w:val="24"/>
          <w:szCs w:val="24"/>
          <w:rtl/>
        </w:rPr>
        <w:t>»</w:t>
      </w:r>
      <w:r w:rsidR="008B213C" w:rsidRPr="006571AC">
        <w:rPr>
          <w:rFonts w:hint="cs"/>
          <w:sz w:val="27"/>
          <w:rtl/>
        </w:rPr>
        <w:t>،</w:t>
      </w:r>
      <w:r w:rsidRPr="006571AC">
        <w:rPr>
          <w:sz w:val="27"/>
          <w:rtl/>
        </w:rPr>
        <w:t xml:space="preserve"> </w:t>
      </w:r>
      <w:r w:rsidR="008B213C" w:rsidRPr="006571AC">
        <w:rPr>
          <w:rFonts w:hint="cs"/>
          <w:sz w:val="27"/>
          <w:rtl/>
        </w:rPr>
        <w:t>و</w:t>
      </w:r>
      <w:r w:rsidR="00731867" w:rsidRPr="006571AC">
        <w:rPr>
          <w:sz w:val="27"/>
          <w:rtl/>
        </w:rPr>
        <w:t>لا سيَّما</w:t>
      </w:r>
      <w:r w:rsidRPr="006571AC">
        <w:rPr>
          <w:sz w:val="27"/>
          <w:rtl/>
        </w:rPr>
        <w:t xml:space="preserve"> </w:t>
      </w:r>
      <w:r w:rsidRPr="006571AC">
        <w:rPr>
          <w:rFonts w:hint="eastAsia"/>
          <w:sz w:val="24"/>
          <w:szCs w:val="24"/>
          <w:rtl/>
        </w:rPr>
        <w:t>«</w:t>
      </w:r>
      <w:r w:rsidRPr="006571AC">
        <w:rPr>
          <w:sz w:val="27"/>
          <w:rtl/>
        </w:rPr>
        <w:t>الخارجي</w:t>
      </w:r>
      <w:r w:rsidRPr="006571AC">
        <w:rPr>
          <w:rFonts w:hint="eastAsia"/>
          <w:sz w:val="24"/>
          <w:szCs w:val="24"/>
          <w:rtl/>
        </w:rPr>
        <w:t>»</w:t>
      </w:r>
      <w:r w:rsidRPr="006571AC">
        <w:rPr>
          <w:sz w:val="27"/>
          <w:rtl/>
        </w:rPr>
        <w:t xml:space="preserve"> منه (وهذا فرع الأنطولوجيا أو العلم المعني</w:t>
      </w:r>
      <w:r w:rsidR="008B213C" w:rsidRPr="006571AC">
        <w:rPr>
          <w:rFonts w:hint="cs"/>
          <w:sz w:val="27"/>
          <w:rtl/>
        </w:rPr>
        <w:t>ّ</w:t>
      </w:r>
      <w:r w:rsidRPr="006571AC">
        <w:rPr>
          <w:sz w:val="27"/>
          <w:rtl/>
        </w:rPr>
        <w:t xml:space="preserve"> بالوجود وطبيعته)، عليه أن يحد</w:t>
      </w:r>
      <w:r w:rsidR="008B213C" w:rsidRPr="006571AC">
        <w:rPr>
          <w:rFonts w:hint="cs"/>
          <w:sz w:val="27"/>
          <w:rtl/>
        </w:rPr>
        <w:t>ِّ</w:t>
      </w:r>
      <w:r w:rsidRPr="006571AC">
        <w:rPr>
          <w:sz w:val="27"/>
          <w:rtl/>
        </w:rPr>
        <w:t>د ما هو موقفه من تأثير الم</w:t>
      </w:r>
      <w:r w:rsidR="008B213C" w:rsidRPr="006571AC">
        <w:rPr>
          <w:rFonts w:hint="cs"/>
          <w:sz w:val="27"/>
          <w:rtl/>
        </w:rPr>
        <w:t>ُ</w:t>
      </w:r>
      <w:r w:rsidRPr="006571AC">
        <w:rPr>
          <w:sz w:val="27"/>
          <w:rtl/>
        </w:rPr>
        <w:t>شاهِد عليه</w:t>
      </w:r>
      <w:r w:rsidR="008B213C" w:rsidRPr="006571AC">
        <w:rPr>
          <w:rFonts w:hint="cs"/>
          <w:sz w:val="27"/>
          <w:rtl/>
        </w:rPr>
        <w:t>؟</w:t>
      </w:r>
      <w:r w:rsidRPr="006571AC">
        <w:rPr>
          <w:sz w:val="27"/>
          <w:rtl/>
        </w:rPr>
        <w:t xml:space="preserve"> أو بعبارة</w:t>
      </w:r>
      <w:r w:rsidR="008B213C" w:rsidRPr="006571AC">
        <w:rPr>
          <w:rFonts w:hint="cs"/>
          <w:sz w:val="27"/>
          <w:rtl/>
        </w:rPr>
        <w:t>ٍ</w:t>
      </w:r>
      <w:r w:rsidRPr="006571AC">
        <w:rPr>
          <w:sz w:val="27"/>
          <w:rtl/>
        </w:rPr>
        <w:t xml:space="preserve"> أدق</w:t>
      </w:r>
      <w:r w:rsidR="008B213C" w:rsidRPr="006571AC">
        <w:rPr>
          <w:rFonts w:hint="cs"/>
          <w:sz w:val="27"/>
          <w:rtl/>
        </w:rPr>
        <w:t>ّ</w:t>
      </w:r>
      <w:r w:rsidRPr="006571AC">
        <w:rPr>
          <w:sz w:val="27"/>
          <w:rtl/>
        </w:rPr>
        <w:t xml:space="preserve">: ما هو موقفنا من تأثيرنا (أي نحن كباحثين) على الواقع الخارجي (وبالتالي على موضوع البحث)؟ </w:t>
      </w:r>
    </w:p>
    <w:p w:rsidR="006A2C31" w:rsidRPr="006571AC" w:rsidRDefault="00962F60" w:rsidP="007E009E">
      <w:pPr>
        <w:rPr>
          <w:sz w:val="27"/>
          <w:rtl/>
        </w:rPr>
      </w:pPr>
      <w:r w:rsidRPr="006571AC">
        <w:rPr>
          <w:sz w:val="27"/>
          <w:rtl/>
        </w:rPr>
        <w:t xml:space="preserve">على سبيل المثال: هل </w:t>
      </w:r>
      <w:r w:rsidR="008B213C" w:rsidRPr="006571AC">
        <w:rPr>
          <w:rFonts w:hint="cs"/>
          <w:sz w:val="27"/>
          <w:rtl/>
        </w:rPr>
        <w:t>أ</w:t>
      </w:r>
      <w:r w:rsidRPr="006571AC">
        <w:rPr>
          <w:sz w:val="27"/>
          <w:rtl/>
        </w:rPr>
        <w:t>ن دراستنا لظاهرة</w:t>
      </w:r>
      <w:r w:rsidR="008B213C" w:rsidRPr="006571AC">
        <w:rPr>
          <w:rFonts w:hint="cs"/>
          <w:sz w:val="27"/>
          <w:rtl/>
        </w:rPr>
        <w:t>ٍ</w:t>
      </w:r>
      <w:r w:rsidRPr="006571AC">
        <w:rPr>
          <w:sz w:val="27"/>
          <w:rtl/>
        </w:rPr>
        <w:t xml:space="preserve"> طبيعي</w:t>
      </w:r>
      <w:r w:rsidR="008B213C" w:rsidRPr="006571AC">
        <w:rPr>
          <w:rFonts w:hint="cs"/>
          <w:sz w:val="27"/>
          <w:rtl/>
        </w:rPr>
        <w:t>ّ</w:t>
      </w:r>
      <w:r w:rsidRPr="006571AC">
        <w:rPr>
          <w:sz w:val="27"/>
          <w:rtl/>
        </w:rPr>
        <w:t>ة ما تؤث</w:t>
      </w:r>
      <w:r w:rsidR="008B213C" w:rsidRPr="006571AC">
        <w:rPr>
          <w:rFonts w:hint="cs"/>
          <w:sz w:val="27"/>
          <w:rtl/>
        </w:rPr>
        <w:t>ِّ</w:t>
      </w:r>
      <w:r w:rsidRPr="006571AC">
        <w:rPr>
          <w:sz w:val="27"/>
          <w:rtl/>
        </w:rPr>
        <w:t>ر على هذه الظاهرة</w:t>
      </w:r>
      <w:r w:rsidR="008B213C" w:rsidRPr="006571AC">
        <w:rPr>
          <w:rFonts w:hint="cs"/>
          <w:sz w:val="27"/>
          <w:rtl/>
        </w:rPr>
        <w:t>،</w:t>
      </w:r>
      <w:r w:rsidRPr="006571AC">
        <w:rPr>
          <w:sz w:val="27"/>
          <w:rtl/>
        </w:rPr>
        <w:t xml:space="preserve"> وبالتالي على نتائج واستنباطات البحث؟ وفي نفس السياق: هل هناك </w:t>
      </w:r>
      <w:r w:rsidRPr="006571AC">
        <w:rPr>
          <w:rFonts w:hint="eastAsia"/>
          <w:sz w:val="24"/>
          <w:szCs w:val="24"/>
          <w:rtl/>
        </w:rPr>
        <w:t>«</w:t>
      </w:r>
      <w:r w:rsidRPr="006571AC">
        <w:rPr>
          <w:sz w:val="27"/>
          <w:rtl/>
        </w:rPr>
        <w:t>موضوعي</w:t>
      </w:r>
      <w:r w:rsidR="006D54BB" w:rsidRPr="006571AC">
        <w:rPr>
          <w:rFonts w:hint="cs"/>
          <w:sz w:val="27"/>
          <w:rtl/>
        </w:rPr>
        <w:t>ّ</w:t>
      </w:r>
      <w:r w:rsidRPr="006571AC">
        <w:rPr>
          <w:sz w:val="27"/>
          <w:rtl/>
        </w:rPr>
        <w:t>ة</w:t>
      </w:r>
      <w:r w:rsidR="006D54BB" w:rsidRPr="006571AC">
        <w:rPr>
          <w:rFonts w:hint="cs"/>
          <w:sz w:val="27"/>
          <w:rtl/>
        </w:rPr>
        <w:t>ٌ</w:t>
      </w:r>
      <w:r w:rsidRPr="006571AC">
        <w:rPr>
          <w:rFonts w:hint="eastAsia"/>
          <w:sz w:val="24"/>
          <w:szCs w:val="24"/>
          <w:rtl/>
        </w:rPr>
        <w:t>»</w:t>
      </w:r>
      <w:r w:rsidRPr="006571AC">
        <w:rPr>
          <w:sz w:val="27"/>
          <w:rtl/>
        </w:rPr>
        <w:t xml:space="preserve"> </w:t>
      </w:r>
      <w:r w:rsidR="006A2C31" w:rsidRPr="006571AC">
        <w:rPr>
          <w:sz w:val="27"/>
          <w:rtl/>
        </w:rPr>
        <w:t>حقيقية؟</w:t>
      </w:r>
    </w:p>
    <w:p w:rsidR="006A2C31" w:rsidRPr="006571AC" w:rsidRDefault="00962F60" w:rsidP="007E009E">
      <w:pPr>
        <w:rPr>
          <w:sz w:val="27"/>
          <w:rtl/>
        </w:rPr>
      </w:pPr>
      <w:r w:rsidRPr="006571AC">
        <w:rPr>
          <w:sz w:val="27"/>
          <w:rtl/>
        </w:rPr>
        <w:t>من هذه التساؤلات نشأ</w:t>
      </w:r>
      <w:r w:rsidR="006D54BB" w:rsidRPr="006571AC">
        <w:rPr>
          <w:rFonts w:hint="cs"/>
          <w:sz w:val="27"/>
          <w:rtl/>
        </w:rPr>
        <w:t>َ</w:t>
      </w:r>
      <w:r w:rsidRPr="006571AC">
        <w:rPr>
          <w:sz w:val="27"/>
          <w:rtl/>
        </w:rPr>
        <w:t>ت</w:t>
      </w:r>
      <w:r w:rsidR="006D54BB" w:rsidRPr="006571AC">
        <w:rPr>
          <w:rFonts w:hint="cs"/>
          <w:sz w:val="27"/>
          <w:rtl/>
        </w:rPr>
        <w:t>ْ</w:t>
      </w:r>
      <w:r w:rsidRPr="006571AC">
        <w:rPr>
          <w:sz w:val="27"/>
          <w:rtl/>
        </w:rPr>
        <w:t xml:space="preserve"> مدارس واختلافات لا ت</w:t>
      </w:r>
      <w:r w:rsidR="006A2C31" w:rsidRPr="006571AC">
        <w:rPr>
          <w:rFonts w:hint="cs"/>
          <w:sz w:val="27"/>
          <w:rtl/>
        </w:rPr>
        <w:t>ُ</w:t>
      </w:r>
      <w:r w:rsidRPr="006571AC">
        <w:rPr>
          <w:sz w:val="27"/>
          <w:rtl/>
        </w:rPr>
        <w:t>ع</w:t>
      </w:r>
      <w:r w:rsidR="006A2C31" w:rsidRPr="006571AC">
        <w:rPr>
          <w:rFonts w:hint="cs"/>
          <w:sz w:val="27"/>
          <w:rtl/>
        </w:rPr>
        <w:t>َ</w:t>
      </w:r>
      <w:r w:rsidRPr="006571AC">
        <w:rPr>
          <w:sz w:val="27"/>
          <w:rtl/>
        </w:rPr>
        <w:t>د</w:t>
      </w:r>
      <w:r w:rsidR="006A2C31" w:rsidRPr="006571AC">
        <w:rPr>
          <w:rFonts w:hint="cs"/>
          <w:sz w:val="27"/>
          <w:rtl/>
        </w:rPr>
        <w:t>ّ</w:t>
      </w:r>
      <w:r w:rsidRPr="006571AC">
        <w:rPr>
          <w:sz w:val="27"/>
          <w:rtl/>
        </w:rPr>
        <w:t xml:space="preserve"> ولا ت</w:t>
      </w:r>
      <w:r w:rsidR="006A2C31" w:rsidRPr="006571AC">
        <w:rPr>
          <w:rFonts w:hint="cs"/>
          <w:sz w:val="27"/>
          <w:rtl/>
        </w:rPr>
        <w:t>ُ</w:t>
      </w:r>
      <w:r w:rsidRPr="006571AC">
        <w:rPr>
          <w:sz w:val="27"/>
          <w:rtl/>
        </w:rPr>
        <w:t>ح</w:t>
      </w:r>
      <w:r w:rsidR="006D54BB" w:rsidRPr="006571AC">
        <w:rPr>
          <w:rFonts w:hint="cs"/>
          <w:sz w:val="27"/>
          <w:rtl/>
        </w:rPr>
        <w:t>ْ</w:t>
      </w:r>
      <w:r w:rsidRPr="006571AC">
        <w:rPr>
          <w:sz w:val="27"/>
          <w:rtl/>
        </w:rPr>
        <w:t>ص</w:t>
      </w:r>
      <w:r w:rsidR="006D54BB" w:rsidRPr="006571AC">
        <w:rPr>
          <w:rFonts w:hint="cs"/>
          <w:sz w:val="27"/>
          <w:rtl/>
        </w:rPr>
        <w:t>َ</w:t>
      </w:r>
      <w:r w:rsidRPr="006571AC">
        <w:rPr>
          <w:sz w:val="27"/>
          <w:rtl/>
        </w:rPr>
        <w:t>ى، وقد انته</w:t>
      </w:r>
      <w:r w:rsidR="006A2C31" w:rsidRPr="006571AC">
        <w:rPr>
          <w:rFonts w:hint="cs"/>
          <w:sz w:val="27"/>
          <w:rtl/>
        </w:rPr>
        <w:t>َ</w:t>
      </w:r>
      <w:r w:rsidRPr="006571AC">
        <w:rPr>
          <w:sz w:val="27"/>
          <w:rtl/>
        </w:rPr>
        <w:t>ت</w:t>
      </w:r>
      <w:r w:rsidR="006A2C31" w:rsidRPr="006571AC">
        <w:rPr>
          <w:rFonts w:hint="cs"/>
          <w:sz w:val="27"/>
          <w:rtl/>
        </w:rPr>
        <w:t>ْ</w:t>
      </w:r>
      <w:r w:rsidRPr="006571AC">
        <w:rPr>
          <w:sz w:val="27"/>
          <w:rtl/>
        </w:rPr>
        <w:t xml:space="preserve"> مثلا</w:t>
      </w:r>
      <w:r w:rsidR="006A2C31" w:rsidRPr="006571AC">
        <w:rPr>
          <w:rFonts w:hint="cs"/>
          <w:sz w:val="27"/>
          <w:rtl/>
        </w:rPr>
        <w:t>ً</w:t>
      </w:r>
      <w:r w:rsidRPr="006571AC">
        <w:rPr>
          <w:sz w:val="27"/>
          <w:rtl/>
        </w:rPr>
        <w:t xml:space="preserve">، في الغرب، إلى تأسيس مذاهب بذاتها في </w:t>
      </w:r>
      <w:r w:rsidR="003C2639" w:rsidRPr="006571AC">
        <w:rPr>
          <w:sz w:val="27"/>
          <w:rtl/>
        </w:rPr>
        <w:t>مجالات</w:t>
      </w:r>
      <w:r w:rsidRPr="006571AC">
        <w:rPr>
          <w:sz w:val="27"/>
          <w:rtl/>
        </w:rPr>
        <w:t xml:space="preserve"> البحث العلمي</w:t>
      </w:r>
      <w:r w:rsidR="006A2C31" w:rsidRPr="006571AC">
        <w:rPr>
          <w:rFonts w:hint="cs"/>
          <w:sz w:val="27"/>
          <w:rtl/>
        </w:rPr>
        <w:t>،</w:t>
      </w:r>
      <w:r w:rsidRPr="006571AC">
        <w:rPr>
          <w:sz w:val="27"/>
          <w:rtl/>
        </w:rPr>
        <w:t xml:space="preserve"> كالوضعية وما بعد الوضعية</w:t>
      </w:r>
      <w:r w:rsidR="006A2C31" w:rsidRPr="006571AC">
        <w:rPr>
          <w:rFonts w:hint="cs"/>
          <w:sz w:val="27"/>
          <w:rtl/>
        </w:rPr>
        <w:t>،</w:t>
      </w:r>
      <w:r w:rsidRPr="006571AC">
        <w:rPr>
          <w:sz w:val="27"/>
          <w:rtl/>
        </w:rPr>
        <w:t xml:space="preserve"> والتأويلية</w:t>
      </w:r>
      <w:r w:rsidR="006A2C31" w:rsidRPr="006571AC">
        <w:rPr>
          <w:rFonts w:hint="cs"/>
          <w:sz w:val="27"/>
          <w:rtl/>
        </w:rPr>
        <w:t>،</w:t>
      </w:r>
      <w:r w:rsidRPr="006571AC">
        <w:rPr>
          <w:sz w:val="27"/>
          <w:rtl/>
        </w:rPr>
        <w:t xml:space="preserve"> والبنائية</w:t>
      </w:r>
      <w:r w:rsidR="006A2C31" w:rsidRPr="006571AC">
        <w:rPr>
          <w:rFonts w:hint="cs"/>
          <w:sz w:val="27"/>
          <w:rtl/>
        </w:rPr>
        <w:t>...،</w:t>
      </w:r>
      <w:r w:rsidR="004C7F35" w:rsidRPr="006571AC">
        <w:rPr>
          <w:rFonts w:hint="cs"/>
          <w:sz w:val="27"/>
          <w:rtl/>
        </w:rPr>
        <w:t xml:space="preserve"> </w:t>
      </w:r>
      <w:r w:rsidR="006A2C31" w:rsidRPr="006571AC">
        <w:rPr>
          <w:sz w:val="27"/>
          <w:rtl/>
        </w:rPr>
        <w:t>إلخ.</w:t>
      </w:r>
    </w:p>
    <w:p w:rsidR="00962F60" w:rsidRPr="006571AC" w:rsidRDefault="00962F60" w:rsidP="007E009E">
      <w:pPr>
        <w:rPr>
          <w:sz w:val="27"/>
        </w:rPr>
      </w:pPr>
      <w:r w:rsidRPr="006571AC">
        <w:rPr>
          <w:sz w:val="27"/>
          <w:rtl/>
        </w:rPr>
        <w:lastRenderedPageBreak/>
        <w:t>وأما الميتودولوجيا (أي المنهجية) فهي ببساطة العلم المعني</w:t>
      </w:r>
      <w:r w:rsidR="006A2C31" w:rsidRPr="006571AC">
        <w:rPr>
          <w:rFonts w:hint="cs"/>
          <w:sz w:val="27"/>
          <w:rtl/>
        </w:rPr>
        <w:t>ّ</w:t>
      </w:r>
      <w:r w:rsidRPr="006571AC">
        <w:rPr>
          <w:sz w:val="27"/>
          <w:rtl/>
        </w:rPr>
        <w:t xml:space="preserve"> بمنهجية البحث. فبعد أن حد</w:t>
      </w:r>
      <w:r w:rsidR="006A2C31" w:rsidRPr="006571AC">
        <w:rPr>
          <w:rFonts w:hint="cs"/>
          <w:sz w:val="27"/>
          <w:rtl/>
        </w:rPr>
        <w:t>َّ</w:t>
      </w:r>
      <w:r w:rsidRPr="006571AC">
        <w:rPr>
          <w:sz w:val="27"/>
          <w:rtl/>
        </w:rPr>
        <w:t>دنا موقفنا من الوجود والواقع، وهما يتضم</w:t>
      </w:r>
      <w:r w:rsidR="006A2C31" w:rsidRPr="006571AC">
        <w:rPr>
          <w:rFonts w:hint="cs"/>
          <w:sz w:val="27"/>
          <w:rtl/>
        </w:rPr>
        <w:t>ّ</w:t>
      </w:r>
      <w:r w:rsidRPr="006571AC">
        <w:rPr>
          <w:sz w:val="27"/>
          <w:rtl/>
        </w:rPr>
        <w:t xml:space="preserve">نان موضوع البحث (بمعنى: </w:t>
      </w:r>
      <w:r w:rsidRPr="006571AC">
        <w:rPr>
          <w:sz w:val="22"/>
          <w:szCs w:val="22"/>
        </w:rPr>
        <w:t>Objet de la recherche</w:t>
      </w:r>
      <w:r w:rsidRPr="006571AC">
        <w:rPr>
          <w:sz w:val="27"/>
          <w:rtl/>
        </w:rPr>
        <w:t>)، وموقفنا من العلاقة بين الباحث وبين موضوع البحث هذا، علينا أن نظهر، بحذر</w:t>
      </w:r>
      <w:r w:rsidR="006A2C31" w:rsidRPr="006571AC">
        <w:rPr>
          <w:rFonts w:hint="cs"/>
          <w:sz w:val="27"/>
          <w:rtl/>
        </w:rPr>
        <w:t>ٍ</w:t>
      </w:r>
      <w:r w:rsidRPr="006571AC">
        <w:rPr>
          <w:sz w:val="27"/>
          <w:rtl/>
        </w:rPr>
        <w:t xml:space="preserve"> ودق</w:t>
      </w:r>
      <w:r w:rsidR="006A2C31" w:rsidRPr="006571AC">
        <w:rPr>
          <w:rFonts w:hint="cs"/>
          <w:sz w:val="27"/>
          <w:rtl/>
        </w:rPr>
        <w:t>ّ</w:t>
      </w:r>
      <w:r w:rsidRPr="006571AC">
        <w:rPr>
          <w:sz w:val="27"/>
          <w:rtl/>
        </w:rPr>
        <w:t>ة</w:t>
      </w:r>
      <w:r w:rsidR="006A2C31" w:rsidRPr="006571AC">
        <w:rPr>
          <w:rFonts w:hint="cs"/>
          <w:sz w:val="27"/>
          <w:rtl/>
        </w:rPr>
        <w:t>ٍ</w:t>
      </w:r>
      <w:r w:rsidRPr="006571AC">
        <w:rPr>
          <w:sz w:val="27"/>
          <w:rtl/>
        </w:rPr>
        <w:t xml:space="preserve"> شديدين، الكيفية التي نريد أن نصل من خلالها إلى استنتاجات البحث</w:t>
      </w:r>
      <w:r w:rsidR="007E254D" w:rsidRPr="006571AC">
        <w:rPr>
          <w:rFonts w:hint="cs"/>
          <w:sz w:val="27"/>
          <w:vertAlign w:val="superscript"/>
          <w:rtl/>
        </w:rPr>
        <w:t>(</w:t>
      </w:r>
      <w:r w:rsidR="007E254D" w:rsidRPr="006571AC">
        <w:rPr>
          <w:rStyle w:val="ac"/>
          <w:sz w:val="27"/>
          <w:rtl/>
        </w:rPr>
        <w:endnoteReference w:id="911"/>
      </w:r>
      <w:r w:rsidR="007E254D" w:rsidRPr="006571AC">
        <w:rPr>
          <w:rFonts w:hint="cs"/>
          <w:sz w:val="27"/>
          <w:vertAlign w:val="superscript"/>
          <w:rtl/>
        </w:rPr>
        <w:t>)</w:t>
      </w:r>
      <w:r w:rsidR="00F032B0" w:rsidRPr="006571AC">
        <w:rPr>
          <w:sz w:val="27"/>
          <w:rtl/>
        </w:rPr>
        <w:t>.</w:t>
      </w:r>
      <w:r w:rsidRPr="006571AC">
        <w:rPr>
          <w:sz w:val="27"/>
          <w:rtl/>
        </w:rPr>
        <w:t xml:space="preserve"> </w:t>
      </w:r>
    </w:p>
    <w:p w:rsidR="006A2C31" w:rsidRPr="006571AC" w:rsidRDefault="00962F60" w:rsidP="007E009E">
      <w:pPr>
        <w:rPr>
          <w:sz w:val="27"/>
          <w:rtl/>
        </w:rPr>
      </w:pPr>
      <w:r w:rsidRPr="006571AC">
        <w:rPr>
          <w:sz w:val="27"/>
          <w:rtl/>
        </w:rPr>
        <w:t>من هذه التعريفات المبسّ</w:t>
      </w:r>
      <w:r w:rsidR="006A2C31" w:rsidRPr="006571AC">
        <w:rPr>
          <w:rFonts w:hint="cs"/>
          <w:sz w:val="27"/>
          <w:rtl/>
        </w:rPr>
        <w:t>َ</w:t>
      </w:r>
      <w:r w:rsidRPr="006571AC">
        <w:rPr>
          <w:sz w:val="27"/>
          <w:rtl/>
        </w:rPr>
        <w:t xml:space="preserve">طة والمقتضبة يمكننا الولوج إلى </w:t>
      </w:r>
      <w:r w:rsidR="006A2C31" w:rsidRPr="006571AC">
        <w:rPr>
          <w:rFonts w:hint="cs"/>
          <w:sz w:val="27"/>
          <w:rtl/>
        </w:rPr>
        <w:t>إ</w:t>
      </w:r>
      <w:r w:rsidRPr="006571AC">
        <w:rPr>
          <w:sz w:val="27"/>
          <w:rtl/>
        </w:rPr>
        <w:t xml:space="preserve">سهامات </w:t>
      </w:r>
      <w:r w:rsidR="006A2C31" w:rsidRPr="006571AC">
        <w:rPr>
          <w:rFonts w:hint="cs"/>
          <w:sz w:val="27"/>
          <w:rtl/>
        </w:rPr>
        <w:t>(</w:t>
      </w:r>
      <w:r w:rsidRPr="006571AC">
        <w:rPr>
          <w:sz w:val="27"/>
          <w:rtl/>
        </w:rPr>
        <w:t>اقتصادنا</w:t>
      </w:r>
      <w:r w:rsidR="006A2C31" w:rsidRPr="006571AC">
        <w:rPr>
          <w:rFonts w:hint="cs"/>
          <w:sz w:val="27"/>
          <w:rtl/>
        </w:rPr>
        <w:t>)</w:t>
      </w:r>
      <w:r w:rsidRPr="006571AC">
        <w:rPr>
          <w:sz w:val="27"/>
          <w:rtl/>
        </w:rPr>
        <w:t xml:space="preserve"> الأساسية برأينا، وهي ذات أبعاد رئيسية ثلاث</w:t>
      </w:r>
      <w:r w:rsidR="006A2C31" w:rsidRPr="006571AC">
        <w:rPr>
          <w:rFonts w:hint="cs"/>
          <w:sz w:val="27"/>
          <w:rtl/>
        </w:rPr>
        <w:t>ة،</w:t>
      </w:r>
      <w:r w:rsidR="006A2C31" w:rsidRPr="006571AC">
        <w:rPr>
          <w:sz w:val="27"/>
          <w:rtl/>
        </w:rPr>
        <w:t xml:space="preserve"> كما سنرى.</w:t>
      </w:r>
    </w:p>
    <w:p w:rsidR="00962F60" w:rsidRPr="006571AC" w:rsidRDefault="00962F60" w:rsidP="007E009E">
      <w:pPr>
        <w:rPr>
          <w:sz w:val="27"/>
        </w:rPr>
      </w:pPr>
      <w:r w:rsidRPr="006571AC">
        <w:rPr>
          <w:sz w:val="27"/>
          <w:rtl/>
        </w:rPr>
        <w:t>فبعد نقده للفلسفتين الاقتصاديتين</w:t>
      </w:r>
      <w:r w:rsidR="006A2C31" w:rsidRPr="006571AC">
        <w:rPr>
          <w:rFonts w:hint="cs"/>
          <w:sz w:val="27"/>
          <w:rtl/>
        </w:rPr>
        <w:t>:</w:t>
      </w:r>
      <w:r w:rsidRPr="006571AC">
        <w:rPr>
          <w:sz w:val="27"/>
          <w:rtl/>
        </w:rPr>
        <w:t xml:space="preserve"> الماركسية</w:t>
      </w:r>
      <w:r w:rsidR="006A2C31" w:rsidRPr="006571AC">
        <w:rPr>
          <w:rFonts w:hint="cs"/>
          <w:sz w:val="27"/>
          <w:rtl/>
        </w:rPr>
        <w:t>؛</w:t>
      </w:r>
      <w:r w:rsidR="006A2C31" w:rsidRPr="006571AC">
        <w:rPr>
          <w:sz w:val="27"/>
          <w:rtl/>
        </w:rPr>
        <w:t xml:space="preserve"> والرأسمالية، يصل الصدر</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لب</w:t>
      </w:r>
      <w:r w:rsidR="006A2C31" w:rsidRPr="006571AC">
        <w:rPr>
          <w:rFonts w:hint="cs"/>
          <w:sz w:val="27"/>
          <w:rtl/>
        </w:rPr>
        <w:t>ّ</w:t>
      </w:r>
      <w:r w:rsidRPr="006571AC">
        <w:rPr>
          <w:sz w:val="27"/>
          <w:rtl/>
        </w:rPr>
        <w:t xml:space="preserve"> </w:t>
      </w:r>
      <w:r w:rsidRPr="006571AC">
        <w:rPr>
          <w:rFonts w:hint="cs"/>
          <w:sz w:val="27"/>
          <w:rtl/>
        </w:rPr>
        <w:t>الموضوع</w:t>
      </w:r>
      <w:r w:rsidR="006A2C31" w:rsidRPr="006571AC">
        <w:rPr>
          <w:rFonts w:hint="cs"/>
          <w:sz w:val="27"/>
          <w:rtl/>
        </w:rPr>
        <w:t>،</w:t>
      </w:r>
      <w:r w:rsidRPr="006571AC">
        <w:rPr>
          <w:sz w:val="27"/>
          <w:rtl/>
        </w:rPr>
        <w:t xml:space="preserve"> </w:t>
      </w:r>
      <w:r w:rsidRPr="006571AC">
        <w:rPr>
          <w:rFonts w:hint="cs"/>
          <w:sz w:val="27"/>
          <w:rtl/>
        </w:rPr>
        <w:t>وهو</w:t>
      </w:r>
      <w:r w:rsidRPr="006571AC">
        <w:rPr>
          <w:sz w:val="27"/>
          <w:rtl/>
        </w:rPr>
        <w:t xml:space="preserve"> </w:t>
      </w:r>
      <w:r w:rsidRPr="006571AC">
        <w:rPr>
          <w:rFonts w:hint="cs"/>
          <w:sz w:val="27"/>
          <w:rtl/>
        </w:rPr>
        <w:t>استكشاف</w:t>
      </w:r>
      <w:r w:rsidRPr="006571AC">
        <w:rPr>
          <w:sz w:val="27"/>
          <w:rtl/>
        </w:rPr>
        <w:t xml:space="preserve"> </w:t>
      </w:r>
      <w:r w:rsidRPr="006571AC">
        <w:rPr>
          <w:rFonts w:hint="cs"/>
          <w:sz w:val="27"/>
          <w:rtl/>
        </w:rPr>
        <w:t>المذهب</w:t>
      </w:r>
      <w:r w:rsidRPr="006571AC">
        <w:rPr>
          <w:sz w:val="27"/>
          <w:rtl/>
        </w:rPr>
        <w:t xml:space="preserve"> </w:t>
      </w:r>
      <w:r w:rsidRPr="006571AC">
        <w:rPr>
          <w:rFonts w:hint="cs"/>
          <w:sz w:val="27"/>
          <w:rtl/>
        </w:rPr>
        <w:t>الاقتصادي</w:t>
      </w:r>
      <w:r w:rsidRPr="006571AC">
        <w:rPr>
          <w:sz w:val="27"/>
          <w:rtl/>
        </w:rPr>
        <w:t xml:space="preserve"> </w:t>
      </w:r>
      <w:r w:rsidRPr="006571AC">
        <w:rPr>
          <w:rFonts w:hint="cs"/>
          <w:sz w:val="27"/>
          <w:rtl/>
        </w:rPr>
        <w:t>للإسلام</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المذهب</w:t>
      </w:r>
      <w:r w:rsidRPr="006571AC">
        <w:rPr>
          <w:sz w:val="27"/>
          <w:rtl/>
        </w:rPr>
        <w:t xml:space="preserve"> </w:t>
      </w:r>
      <w:r w:rsidRPr="006571AC">
        <w:rPr>
          <w:rFonts w:hint="cs"/>
          <w:sz w:val="27"/>
          <w:rtl/>
        </w:rPr>
        <w:t>ال</w:t>
      </w:r>
      <w:r w:rsidR="006A2C31" w:rsidRPr="006571AC">
        <w:rPr>
          <w:rFonts w:hint="cs"/>
          <w:sz w:val="27"/>
          <w:rtl/>
        </w:rPr>
        <w:t>إ</w:t>
      </w:r>
      <w:r w:rsidRPr="006571AC">
        <w:rPr>
          <w:rFonts w:hint="cs"/>
          <w:sz w:val="27"/>
          <w:rtl/>
        </w:rPr>
        <w:t>سلامي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الاقتصاد</w:t>
      </w:r>
      <w:r w:rsidRPr="006571AC">
        <w:rPr>
          <w:sz w:val="27"/>
          <w:rtl/>
        </w:rPr>
        <w:t xml:space="preserve">). </w:t>
      </w:r>
      <w:r w:rsidRPr="006571AC">
        <w:rPr>
          <w:rFonts w:hint="cs"/>
          <w:sz w:val="27"/>
          <w:rtl/>
        </w:rPr>
        <w:t>وهو، بكل</w:t>
      </w:r>
      <w:r w:rsidR="006A2C31" w:rsidRPr="006571AC">
        <w:rPr>
          <w:rFonts w:hint="cs"/>
          <w:sz w:val="27"/>
          <w:rtl/>
        </w:rPr>
        <w:t>ّ</w:t>
      </w:r>
      <w:r w:rsidRPr="006571AC">
        <w:rPr>
          <w:sz w:val="27"/>
          <w:rtl/>
        </w:rPr>
        <w:t xml:space="preserve"> </w:t>
      </w:r>
      <w:r w:rsidRPr="006571AC">
        <w:rPr>
          <w:rFonts w:hint="cs"/>
          <w:sz w:val="27"/>
          <w:rtl/>
        </w:rPr>
        <w:t>أمانة</w:t>
      </w:r>
      <w:r w:rsidR="006A2C31" w:rsidRPr="006571AC">
        <w:rPr>
          <w:rFonts w:hint="cs"/>
          <w:sz w:val="27"/>
          <w:rtl/>
        </w:rPr>
        <w:t>ٍ</w:t>
      </w:r>
      <w:r w:rsidRPr="006571AC">
        <w:rPr>
          <w:sz w:val="27"/>
          <w:rtl/>
        </w:rPr>
        <w:t xml:space="preserve"> </w:t>
      </w:r>
      <w:r w:rsidRPr="006571AC">
        <w:rPr>
          <w:rFonts w:hint="cs"/>
          <w:sz w:val="27"/>
          <w:rtl/>
        </w:rPr>
        <w:t>علمية، وفي</w:t>
      </w:r>
      <w:r w:rsidRPr="006571AC">
        <w:rPr>
          <w:sz w:val="27"/>
          <w:rtl/>
        </w:rPr>
        <w:t xml:space="preserve"> </w:t>
      </w:r>
      <w:r w:rsidRPr="006571AC">
        <w:rPr>
          <w:rFonts w:hint="cs"/>
          <w:sz w:val="27"/>
          <w:rtl/>
        </w:rPr>
        <w:t>فصل</w:t>
      </w:r>
      <w:r w:rsidR="006A2C31" w:rsidRPr="006571AC">
        <w:rPr>
          <w:rFonts w:hint="cs"/>
          <w:sz w:val="27"/>
          <w:rtl/>
        </w:rPr>
        <w:t>ٍ</w:t>
      </w:r>
      <w:r w:rsidRPr="006571AC">
        <w:rPr>
          <w:sz w:val="27"/>
          <w:rtl/>
        </w:rPr>
        <w:t xml:space="preserve"> </w:t>
      </w:r>
      <w:r w:rsidRPr="006571AC">
        <w:rPr>
          <w:rFonts w:hint="cs"/>
          <w:sz w:val="27"/>
          <w:rtl/>
        </w:rPr>
        <w:t>منهجي</w:t>
      </w:r>
      <w:r w:rsidR="006A2C31" w:rsidRPr="006571AC">
        <w:rPr>
          <w:rFonts w:hint="cs"/>
          <w:sz w:val="27"/>
          <w:rtl/>
        </w:rPr>
        <w:t>ّ</w:t>
      </w:r>
      <w:r w:rsidRPr="006571AC">
        <w:rPr>
          <w:sz w:val="27"/>
          <w:rtl/>
        </w:rPr>
        <w:t xml:space="preserve"> </w:t>
      </w:r>
      <w:r w:rsidRPr="006571AC">
        <w:rPr>
          <w:rFonts w:hint="cs"/>
          <w:sz w:val="27"/>
          <w:rtl/>
        </w:rPr>
        <w:t>سنعود</w:t>
      </w:r>
      <w:r w:rsidRPr="006571AC">
        <w:rPr>
          <w:sz w:val="27"/>
          <w:rtl/>
        </w:rPr>
        <w:t xml:space="preserve"> </w:t>
      </w:r>
      <w:r w:rsidRPr="006571AC">
        <w:rPr>
          <w:rFonts w:hint="cs"/>
          <w:sz w:val="27"/>
          <w:rtl/>
        </w:rPr>
        <w:t>إليه</w:t>
      </w:r>
      <w:r w:rsidRPr="006571AC">
        <w:rPr>
          <w:sz w:val="27"/>
          <w:rtl/>
        </w:rPr>
        <w:t xml:space="preserve"> </w:t>
      </w:r>
      <w:r w:rsidRPr="006571AC">
        <w:rPr>
          <w:rFonts w:hint="cs"/>
          <w:sz w:val="27"/>
          <w:rtl/>
        </w:rPr>
        <w:t>في</w:t>
      </w:r>
      <w:r w:rsidR="006A2C31" w:rsidRPr="006571AC">
        <w:rPr>
          <w:rFonts w:hint="cs"/>
          <w:sz w:val="27"/>
          <w:rtl/>
        </w:rPr>
        <w:t xml:space="preserve"> </w:t>
      </w:r>
      <w:r w:rsidRPr="006571AC">
        <w:rPr>
          <w:rFonts w:hint="cs"/>
          <w:sz w:val="27"/>
          <w:rtl/>
        </w:rPr>
        <w:t>ما</w:t>
      </w:r>
      <w:r w:rsidRPr="006571AC">
        <w:rPr>
          <w:sz w:val="27"/>
          <w:rtl/>
        </w:rPr>
        <w:t xml:space="preserve"> </w:t>
      </w:r>
      <w:r w:rsidRPr="006571AC">
        <w:rPr>
          <w:rFonts w:hint="cs"/>
          <w:sz w:val="27"/>
          <w:rtl/>
        </w:rPr>
        <w:t>يلي، يشد</w:t>
      </w:r>
      <w:r w:rsidR="006A2C31" w:rsidRPr="006571AC">
        <w:rPr>
          <w:rFonts w:hint="cs"/>
          <w:sz w:val="27"/>
          <w:rtl/>
        </w:rPr>
        <w:t>ِّ</w:t>
      </w:r>
      <w:r w:rsidRPr="006571AC">
        <w:rPr>
          <w:rFonts w:hint="cs"/>
          <w:sz w:val="27"/>
          <w:rtl/>
        </w:rPr>
        <w:t>د</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التمييز</w:t>
      </w:r>
      <w:r w:rsidRPr="006571AC">
        <w:rPr>
          <w:sz w:val="27"/>
          <w:rtl/>
        </w:rPr>
        <w:t xml:space="preserve"> </w:t>
      </w:r>
      <w:r w:rsidRPr="006571AC">
        <w:rPr>
          <w:rFonts w:hint="cs"/>
          <w:sz w:val="27"/>
          <w:rtl/>
        </w:rPr>
        <w:t>بين</w:t>
      </w:r>
      <w:r w:rsidRPr="006571AC">
        <w:rPr>
          <w:sz w:val="27"/>
          <w:rtl/>
        </w:rPr>
        <w:t xml:space="preserve"> </w:t>
      </w:r>
      <w:r w:rsidRPr="006571AC">
        <w:rPr>
          <w:rFonts w:hint="cs"/>
          <w:sz w:val="27"/>
          <w:rtl/>
        </w:rPr>
        <w:t>علم</w:t>
      </w:r>
      <w:r w:rsidRPr="006571AC">
        <w:rPr>
          <w:sz w:val="27"/>
          <w:rtl/>
        </w:rPr>
        <w:t xml:space="preserve"> </w:t>
      </w:r>
      <w:r w:rsidRPr="006571AC">
        <w:rPr>
          <w:rFonts w:hint="cs"/>
          <w:sz w:val="27"/>
          <w:rtl/>
        </w:rPr>
        <w:t>الاقتصاد</w:t>
      </w:r>
      <w:r w:rsidRPr="006571AC">
        <w:rPr>
          <w:sz w:val="27"/>
          <w:rtl/>
        </w:rPr>
        <w:t xml:space="preserve"> </w:t>
      </w:r>
      <w:r w:rsidRPr="006571AC">
        <w:rPr>
          <w:rFonts w:hint="cs"/>
          <w:sz w:val="27"/>
          <w:rtl/>
        </w:rPr>
        <w:t>وبين</w:t>
      </w:r>
      <w:r w:rsidRPr="006571AC">
        <w:rPr>
          <w:sz w:val="27"/>
          <w:rtl/>
        </w:rPr>
        <w:t xml:space="preserve"> </w:t>
      </w:r>
      <w:r w:rsidRPr="006571AC">
        <w:rPr>
          <w:rFonts w:hint="cs"/>
          <w:sz w:val="27"/>
          <w:rtl/>
        </w:rPr>
        <w:t>الع</w:t>
      </w:r>
      <w:r w:rsidRPr="006571AC">
        <w:rPr>
          <w:sz w:val="27"/>
          <w:rtl/>
        </w:rPr>
        <w:t>لم بالمذهب الاقتصادي، ويشد</w:t>
      </w:r>
      <w:r w:rsidR="005659C6" w:rsidRPr="006571AC">
        <w:rPr>
          <w:rFonts w:hint="cs"/>
          <w:sz w:val="27"/>
          <w:rtl/>
        </w:rPr>
        <w:t>ِّ</w:t>
      </w:r>
      <w:r w:rsidRPr="006571AC">
        <w:rPr>
          <w:sz w:val="27"/>
          <w:rtl/>
        </w:rPr>
        <w:t>د على أنه في صدد دراسة الثاني، وهي قضي</w:t>
      </w:r>
      <w:r w:rsidR="005659C6" w:rsidRPr="006571AC">
        <w:rPr>
          <w:rFonts w:hint="cs"/>
          <w:sz w:val="27"/>
          <w:rtl/>
        </w:rPr>
        <w:t>ّ</w:t>
      </w:r>
      <w:r w:rsidRPr="006571AC">
        <w:rPr>
          <w:sz w:val="27"/>
          <w:rtl/>
        </w:rPr>
        <w:t>ة</w:t>
      </w:r>
      <w:r w:rsidR="005659C6" w:rsidRPr="006571AC">
        <w:rPr>
          <w:rFonts w:hint="cs"/>
          <w:sz w:val="27"/>
          <w:rtl/>
        </w:rPr>
        <w:t>ٌ</w:t>
      </w:r>
      <w:r w:rsidRPr="006571AC">
        <w:rPr>
          <w:sz w:val="27"/>
          <w:rtl/>
        </w:rPr>
        <w:t xml:space="preserve"> لا يزال يشتبه عندها كثير</w:t>
      </w:r>
      <w:r w:rsidR="005659C6" w:rsidRPr="006571AC">
        <w:rPr>
          <w:rFonts w:hint="cs"/>
          <w:sz w:val="27"/>
          <w:rtl/>
        </w:rPr>
        <w:t>ٌ</w:t>
      </w:r>
      <w:r w:rsidRPr="006571AC">
        <w:rPr>
          <w:sz w:val="27"/>
          <w:rtl/>
        </w:rPr>
        <w:t xml:space="preserve"> من الباحثين والمراقبين. ولذلك نشد</w:t>
      </w:r>
      <w:r w:rsidR="005659C6" w:rsidRPr="006571AC">
        <w:rPr>
          <w:rFonts w:hint="cs"/>
          <w:sz w:val="27"/>
          <w:rtl/>
        </w:rPr>
        <w:t>ِّ</w:t>
      </w:r>
      <w:r w:rsidRPr="006571AC">
        <w:rPr>
          <w:sz w:val="27"/>
          <w:rtl/>
        </w:rPr>
        <w:t>د مجد</w:t>
      </w:r>
      <w:r w:rsidR="005659C6" w:rsidRPr="006571AC">
        <w:rPr>
          <w:rFonts w:hint="cs"/>
          <w:sz w:val="27"/>
          <w:rtl/>
        </w:rPr>
        <w:t>َّ</w:t>
      </w:r>
      <w:r w:rsidRPr="006571AC">
        <w:rPr>
          <w:sz w:val="27"/>
          <w:rtl/>
        </w:rPr>
        <w:t>دا</w:t>
      </w:r>
      <w:r w:rsidR="005659C6" w:rsidRPr="006571AC">
        <w:rPr>
          <w:rFonts w:hint="cs"/>
          <w:sz w:val="27"/>
          <w:rtl/>
        </w:rPr>
        <w:t>ً</w:t>
      </w:r>
      <w:r w:rsidRPr="006571AC">
        <w:rPr>
          <w:sz w:val="27"/>
          <w:rtl/>
        </w:rPr>
        <w:t xml:space="preserve"> على أهمية وضع القضايا ال</w:t>
      </w:r>
      <w:r w:rsidR="005659C6" w:rsidRPr="006571AC">
        <w:rPr>
          <w:rFonts w:hint="cs"/>
          <w:sz w:val="27"/>
          <w:rtl/>
        </w:rPr>
        <w:t>إ</w:t>
      </w:r>
      <w:r w:rsidRPr="006571AC">
        <w:rPr>
          <w:sz w:val="27"/>
          <w:rtl/>
        </w:rPr>
        <w:t>بستمولوجية في أو</w:t>
      </w:r>
      <w:r w:rsidR="005659C6" w:rsidRPr="006571AC">
        <w:rPr>
          <w:rFonts w:hint="cs"/>
          <w:sz w:val="27"/>
          <w:rtl/>
        </w:rPr>
        <w:t>ّ</w:t>
      </w:r>
      <w:r w:rsidRPr="006571AC">
        <w:rPr>
          <w:sz w:val="27"/>
          <w:rtl/>
        </w:rPr>
        <w:t>ل قائمة العلوم البحثية المعنية بالإسلاميات. المهم</w:t>
      </w:r>
      <w:r w:rsidR="005659C6" w:rsidRPr="006571AC">
        <w:rPr>
          <w:rFonts w:hint="cs"/>
          <w:sz w:val="27"/>
          <w:rtl/>
        </w:rPr>
        <w:t>ّ</w:t>
      </w:r>
      <w:r w:rsidRPr="006571AC">
        <w:rPr>
          <w:sz w:val="27"/>
          <w:rtl/>
        </w:rPr>
        <w:t>، في الجزء الثالث من اقتصادنا، يبدأ الصدر بعرض منهجية ونتائج بحثه حول المذهب ال</w:t>
      </w:r>
      <w:r w:rsidR="005659C6" w:rsidRPr="006571AC">
        <w:rPr>
          <w:rFonts w:hint="cs"/>
          <w:sz w:val="27"/>
          <w:rtl/>
        </w:rPr>
        <w:t>إ</w:t>
      </w:r>
      <w:r w:rsidRPr="006571AC">
        <w:rPr>
          <w:sz w:val="27"/>
          <w:rtl/>
        </w:rPr>
        <w:t>سلامي في عد</w:t>
      </w:r>
      <w:r w:rsidR="005659C6" w:rsidRPr="006571AC">
        <w:rPr>
          <w:rFonts w:hint="cs"/>
          <w:sz w:val="27"/>
          <w:rtl/>
        </w:rPr>
        <w:t>ّ</w:t>
      </w:r>
      <w:r w:rsidRPr="006571AC">
        <w:rPr>
          <w:sz w:val="27"/>
          <w:rtl/>
        </w:rPr>
        <w:t>ة مواضيع اقتصادية (مثلا</w:t>
      </w:r>
      <w:r w:rsidR="005659C6" w:rsidRPr="006571AC">
        <w:rPr>
          <w:rFonts w:hint="cs"/>
          <w:sz w:val="27"/>
          <w:rtl/>
        </w:rPr>
        <w:t>ً</w:t>
      </w:r>
      <w:r w:rsidRPr="006571AC">
        <w:rPr>
          <w:sz w:val="27"/>
          <w:rtl/>
        </w:rPr>
        <w:t>: التوزيع ما قبل ال</w:t>
      </w:r>
      <w:r w:rsidR="005659C6" w:rsidRPr="006571AC">
        <w:rPr>
          <w:rFonts w:hint="cs"/>
          <w:sz w:val="27"/>
          <w:rtl/>
        </w:rPr>
        <w:t>إ</w:t>
      </w:r>
      <w:r w:rsidRPr="006571AC">
        <w:rPr>
          <w:sz w:val="27"/>
          <w:rtl/>
        </w:rPr>
        <w:t>نتاج، التوزيع ما بعد ال</w:t>
      </w:r>
      <w:r w:rsidR="005659C6" w:rsidRPr="006571AC">
        <w:rPr>
          <w:rFonts w:hint="cs"/>
          <w:sz w:val="27"/>
          <w:rtl/>
        </w:rPr>
        <w:t>إ</w:t>
      </w:r>
      <w:r w:rsidRPr="006571AC">
        <w:rPr>
          <w:sz w:val="27"/>
          <w:rtl/>
        </w:rPr>
        <w:t>نتاج، ال</w:t>
      </w:r>
      <w:r w:rsidR="005659C6" w:rsidRPr="006571AC">
        <w:rPr>
          <w:rFonts w:hint="cs"/>
          <w:sz w:val="27"/>
          <w:rtl/>
        </w:rPr>
        <w:t>إ</w:t>
      </w:r>
      <w:r w:rsidRPr="006571AC">
        <w:rPr>
          <w:sz w:val="27"/>
          <w:rtl/>
        </w:rPr>
        <w:t>نتاج، إعادة التوزيع</w:t>
      </w:r>
      <w:r w:rsidR="005659C6" w:rsidRPr="006571AC">
        <w:rPr>
          <w:rFonts w:hint="cs"/>
          <w:sz w:val="27"/>
          <w:rtl/>
        </w:rPr>
        <w:t>...،</w:t>
      </w:r>
      <w:r w:rsidR="004C7F35" w:rsidRPr="006571AC">
        <w:rPr>
          <w:rFonts w:hint="cs"/>
          <w:sz w:val="27"/>
          <w:rtl/>
        </w:rPr>
        <w:t xml:space="preserve"> </w:t>
      </w:r>
      <w:r w:rsidRPr="006571AC">
        <w:rPr>
          <w:sz w:val="27"/>
          <w:rtl/>
        </w:rPr>
        <w:t xml:space="preserve">إلخ). </w:t>
      </w:r>
    </w:p>
    <w:p w:rsidR="003B1C6F" w:rsidRPr="006571AC" w:rsidRDefault="00962F60" w:rsidP="007E009E">
      <w:pPr>
        <w:rPr>
          <w:sz w:val="27"/>
          <w:rtl/>
        </w:rPr>
      </w:pPr>
      <w:r w:rsidRPr="006571AC">
        <w:rPr>
          <w:sz w:val="27"/>
          <w:rtl/>
        </w:rPr>
        <w:t>وما يتوج</w:t>
      </w:r>
      <w:r w:rsidR="005659C6" w:rsidRPr="006571AC">
        <w:rPr>
          <w:rFonts w:hint="cs"/>
          <w:sz w:val="27"/>
          <w:rtl/>
        </w:rPr>
        <w:t>َّ</w:t>
      </w:r>
      <w:r w:rsidRPr="006571AC">
        <w:rPr>
          <w:sz w:val="27"/>
          <w:rtl/>
        </w:rPr>
        <w:t>ب أن يلفت نظر الباحث</w:t>
      </w:r>
      <w:r w:rsidR="005659C6" w:rsidRPr="006571AC">
        <w:rPr>
          <w:rFonts w:hint="cs"/>
          <w:sz w:val="27"/>
          <w:rtl/>
        </w:rPr>
        <w:t>،</w:t>
      </w:r>
      <w:r w:rsidRPr="006571AC">
        <w:rPr>
          <w:sz w:val="27"/>
          <w:rtl/>
        </w:rPr>
        <w:t xml:space="preserve"> برأينا</w:t>
      </w:r>
      <w:r w:rsidR="005659C6" w:rsidRPr="006571AC">
        <w:rPr>
          <w:rFonts w:hint="cs"/>
          <w:sz w:val="27"/>
          <w:rtl/>
        </w:rPr>
        <w:t>،</w:t>
      </w:r>
      <w:r w:rsidRPr="006571AC">
        <w:rPr>
          <w:sz w:val="27"/>
          <w:rtl/>
        </w:rPr>
        <w:t xml:space="preserve"> هو، قبل أي</w:t>
      </w:r>
      <w:r w:rsidR="005659C6" w:rsidRPr="006571AC">
        <w:rPr>
          <w:rFonts w:hint="cs"/>
          <w:sz w:val="27"/>
          <w:rtl/>
        </w:rPr>
        <w:t>ّ</w:t>
      </w:r>
      <w:r w:rsidRPr="006571AC">
        <w:rPr>
          <w:sz w:val="27"/>
          <w:rtl/>
        </w:rPr>
        <w:t xml:space="preserve"> شيء</w:t>
      </w:r>
      <w:r w:rsidR="005659C6" w:rsidRPr="006571AC">
        <w:rPr>
          <w:rFonts w:hint="cs"/>
          <w:sz w:val="27"/>
          <w:rtl/>
        </w:rPr>
        <w:t>ٍ</w:t>
      </w:r>
      <w:r w:rsidRPr="006571AC">
        <w:rPr>
          <w:sz w:val="27"/>
          <w:rtl/>
        </w:rPr>
        <w:t>، الملاحظة التالية</w:t>
      </w:r>
      <w:r w:rsidR="005659C6" w:rsidRPr="006571AC">
        <w:rPr>
          <w:rFonts w:hint="cs"/>
          <w:sz w:val="27"/>
          <w:rtl/>
        </w:rPr>
        <w:t>،</w:t>
      </w:r>
      <w:r w:rsidRPr="006571AC">
        <w:rPr>
          <w:sz w:val="27"/>
          <w:rtl/>
        </w:rPr>
        <w:t xml:space="preserve"> وهي</w:t>
      </w:r>
      <w:r w:rsidR="005659C6" w:rsidRPr="006571AC">
        <w:rPr>
          <w:rFonts w:hint="cs"/>
          <w:sz w:val="27"/>
          <w:rtl/>
        </w:rPr>
        <w:t>:</w:t>
      </w:r>
      <w:r w:rsidRPr="006571AC">
        <w:rPr>
          <w:sz w:val="27"/>
          <w:rtl/>
        </w:rPr>
        <w:t xml:space="preserve"> </w:t>
      </w:r>
      <w:r w:rsidR="005659C6" w:rsidRPr="006571AC">
        <w:rPr>
          <w:rFonts w:hint="cs"/>
          <w:sz w:val="27"/>
          <w:rtl/>
        </w:rPr>
        <w:t>إ</w:t>
      </w:r>
      <w:r w:rsidRPr="006571AC">
        <w:rPr>
          <w:sz w:val="27"/>
          <w:rtl/>
        </w:rPr>
        <w:t>ننا أمام عالم فقه</w:t>
      </w:r>
      <w:r w:rsidR="005659C6" w:rsidRPr="006571AC">
        <w:rPr>
          <w:rFonts w:hint="cs"/>
          <w:sz w:val="27"/>
          <w:rtl/>
        </w:rPr>
        <w:t>ٍ</w:t>
      </w:r>
      <w:r w:rsidRPr="006571AC">
        <w:rPr>
          <w:sz w:val="27"/>
          <w:rtl/>
        </w:rPr>
        <w:t xml:space="preserve"> مسلم، ومرجع</w:t>
      </w:r>
      <w:r w:rsidR="005659C6" w:rsidRPr="006571AC">
        <w:rPr>
          <w:rFonts w:hint="cs"/>
          <w:sz w:val="27"/>
          <w:rtl/>
        </w:rPr>
        <w:t>ٍ</w:t>
      </w:r>
      <w:r w:rsidRPr="006571AC">
        <w:rPr>
          <w:sz w:val="27"/>
          <w:rtl/>
        </w:rPr>
        <w:t xml:space="preserve"> </w:t>
      </w:r>
      <w:r w:rsidR="005659C6" w:rsidRPr="006571AC">
        <w:rPr>
          <w:rFonts w:hint="cs"/>
          <w:sz w:val="27"/>
          <w:rtl/>
        </w:rPr>
        <w:t>إ</w:t>
      </w:r>
      <w:r w:rsidRPr="006571AC">
        <w:rPr>
          <w:sz w:val="27"/>
          <w:rtl/>
        </w:rPr>
        <w:t>سلامي مجتهد، يتعامل مع الأحكام الفقهية وآراء الفقهاء (من كل</w:t>
      </w:r>
      <w:r w:rsidR="005659C6" w:rsidRPr="006571AC">
        <w:rPr>
          <w:rFonts w:hint="cs"/>
          <w:sz w:val="27"/>
          <w:rtl/>
        </w:rPr>
        <w:t>ّ</w:t>
      </w:r>
      <w:r w:rsidRPr="006571AC">
        <w:rPr>
          <w:sz w:val="27"/>
          <w:rtl/>
        </w:rPr>
        <w:t xml:space="preserve"> المذاهب والعصور) على أنها معطيات للدراسة الحيادية نسبي</w:t>
      </w:r>
      <w:r w:rsidR="005659C6" w:rsidRPr="006571AC">
        <w:rPr>
          <w:rFonts w:hint="cs"/>
          <w:sz w:val="27"/>
          <w:rtl/>
        </w:rPr>
        <w:t>ّ</w:t>
      </w:r>
      <w:r w:rsidRPr="006571AC">
        <w:rPr>
          <w:sz w:val="27"/>
          <w:rtl/>
        </w:rPr>
        <w:t>ا</w:t>
      </w:r>
      <w:r w:rsidR="005659C6" w:rsidRPr="006571AC">
        <w:rPr>
          <w:rFonts w:hint="cs"/>
          <w:sz w:val="27"/>
          <w:rtl/>
        </w:rPr>
        <w:t>ً</w:t>
      </w:r>
      <w:r w:rsidRPr="006571AC">
        <w:rPr>
          <w:sz w:val="27"/>
          <w:rtl/>
        </w:rPr>
        <w:t xml:space="preserve"> (على الأقل</w:t>
      </w:r>
      <w:r w:rsidR="005659C6" w:rsidRPr="006571AC">
        <w:rPr>
          <w:rFonts w:hint="cs"/>
          <w:sz w:val="27"/>
          <w:rtl/>
        </w:rPr>
        <w:t>ّ</w:t>
      </w:r>
      <w:r w:rsidRPr="006571AC">
        <w:rPr>
          <w:sz w:val="27"/>
          <w:rtl/>
        </w:rPr>
        <w:t xml:space="preserve"> كما يريدها هو). وما هذه المسألة بالعابرة بالمعنى ال</w:t>
      </w:r>
      <w:r w:rsidR="005659C6" w:rsidRPr="006571AC">
        <w:rPr>
          <w:rFonts w:hint="cs"/>
          <w:sz w:val="27"/>
          <w:rtl/>
        </w:rPr>
        <w:t>إ</w:t>
      </w:r>
      <w:r w:rsidRPr="006571AC">
        <w:rPr>
          <w:sz w:val="27"/>
          <w:rtl/>
        </w:rPr>
        <w:t>بستمولوجي</w:t>
      </w:r>
      <w:r w:rsidR="005659C6" w:rsidRPr="006571AC">
        <w:rPr>
          <w:rFonts w:hint="cs"/>
          <w:sz w:val="27"/>
          <w:rtl/>
        </w:rPr>
        <w:t>،</w:t>
      </w:r>
      <w:r w:rsidRPr="006571AC">
        <w:rPr>
          <w:sz w:val="27"/>
          <w:rtl/>
        </w:rPr>
        <w:t xml:space="preserve"> كما رأ</w:t>
      </w:r>
      <w:r w:rsidR="005659C6" w:rsidRPr="006571AC">
        <w:rPr>
          <w:rFonts w:hint="cs"/>
          <w:sz w:val="27"/>
          <w:rtl/>
        </w:rPr>
        <w:t>َ</w:t>
      </w:r>
      <w:r w:rsidRPr="006571AC">
        <w:rPr>
          <w:sz w:val="27"/>
          <w:rtl/>
        </w:rPr>
        <w:t>ي</w:t>
      </w:r>
      <w:r w:rsidR="005659C6" w:rsidRPr="006571AC">
        <w:rPr>
          <w:rFonts w:hint="cs"/>
          <w:sz w:val="27"/>
          <w:rtl/>
        </w:rPr>
        <w:t>ْ</w:t>
      </w:r>
      <w:r w:rsidRPr="006571AC">
        <w:rPr>
          <w:sz w:val="27"/>
          <w:rtl/>
        </w:rPr>
        <w:t>نا وسنرى بشكل</w:t>
      </w:r>
      <w:r w:rsidR="005659C6" w:rsidRPr="006571AC">
        <w:rPr>
          <w:rFonts w:hint="cs"/>
          <w:sz w:val="27"/>
          <w:rtl/>
        </w:rPr>
        <w:t>ٍ</w:t>
      </w:r>
      <w:r w:rsidRPr="006571AC">
        <w:rPr>
          <w:sz w:val="27"/>
          <w:rtl/>
        </w:rPr>
        <w:t xml:space="preserve"> أدق</w:t>
      </w:r>
      <w:r w:rsidR="005659C6" w:rsidRPr="006571AC">
        <w:rPr>
          <w:rFonts w:hint="cs"/>
          <w:sz w:val="27"/>
          <w:rtl/>
        </w:rPr>
        <w:t>ّ؛</w:t>
      </w:r>
      <w:r w:rsidRPr="006571AC">
        <w:rPr>
          <w:sz w:val="27"/>
          <w:rtl/>
        </w:rPr>
        <w:t xml:space="preserve"> فقد أصبح</w:t>
      </w:r>
      <w:r w:rsidR="006D54BB" w:rsidRPr="006571AC">
        <w:rPr>
          <w:rFonts w:hint="cs"/>
          <w:sz w:val="27"/>
          <w:rtl/>
        </w:rPr>
        <w:t>َ</w:t>
      </w:r>
      <w:r w:rsidRPr="006571AC">
        <w:rPr>
          <w:sz w:val="27"/>
          <w:rtl/>
        </w:rPr>
        <w:t>ت</w:t>
      </w:r>
      <w:r w:rsidR="006D54BB" w:rsidRPr="006571AC">
        <w:rPr>
          <w:rFonts w:hint="cs"/>
          <w:sz w:val="27"/>
          <w:rtl/>
        </w:rPr>
        <w:t>ْ</w:t>
      </w:r>
      <w:r w:rsidRPr="006571AC">
        <w:rPr>
          <w:sz w:val="27"/>
          <w:rtl/>
        </w:rPr>
        <w:t xml:space="preserve"> أقوال الفقهاء وأحكامهم معطياتٍ للبحث العلمي (</w:t>
      </w:r>
      <w:r w:rsidR="005659C6" w:rsidRPr="006571AC">
        <w:rPr>
          <w:rFonts w:hint="eastAsia"/>
          <w:sz w:val="24"/>
          <w:szCs w:val="24"/>
          <w:rtl/>
        </w:rPr>
        <w:t>«</w:t>
      </w:r>
      <w:r w:rsidRPr="006571AC">
        <w:rPr>
          <w:sz w:val="27"/>
          <w:rtl/>
        </w:rPr>
        <w:t>الموضوعي</w:t>
      </w:r>
      <w:r w:rsidRPr="006571AC">
        <w:rPr>
          <w:rFonts w:hint="eastAsia"/>
          <w:sz w:val="24"/>
          <w:szCs w:val="24"/>
          <w:rtl/>
        </w:rPr>
        <w:t>»</w:t>
      </w:r>
      <w:r w:rsidRPr="006571AC">
        <w:rPr>
          <w:sz w:val="27"/>
          <w:rtl/>
        </w:rPr>
        <w:t xml:space="preserve"> كما يص</w:t>
      </w:r>
      <w:r w:rsidR="003B1C6F" w:rsidRPr="006571AC">
        <w:rPr>
          <w:sz w:val="27"/>
          <w:rtl/>
        </w:rPr>
        <w:t>فه الصدر طوال صفحات هذا العمل).</w:t>
      </w:r>
    </w:p>
    <w:p w:rsidR="00962F60" w:rsidRPr="006571AC" w:rsidRDefault="00962F60" w:rsidP="007E009E">
      <w:pPr>
        <w:rPr>
          <w:sz w:val="27"/>
        </w:rPr>
      </w:pPr>
      <w:r w:rsidRPr="006571AC">
        <w:rPr>
          <w:sz w:val="27"/>
          <w:rtl/>
        </w:rPr>
        <w:t>إنها إذن نقطة</w:t>
      </w:r>
      <w:r w:rsidR="006D54BB" w:rsidRPr="006571AC">
        <w:rPr>
          <w:rFonts w:hint="cs"/>
          <w:sz w:val="27"/>
          <w:rtl/>
        </w:rPr>
        <w:t>ٌ</w:t>
      </w:r>
      <w:r w:rsidRPr="006571AC">
        <w:rPr>
          <w:sz w:val="27"/>
          <w:rtl/>
        </w:rPr>
        <w:t xml:space="preserve"> جوهرية</w:t>
      </w:r>
      <w:r w:rsidR="003B1C6F" w:rsidRPr="006571AC">
        <w:rPr>
          <w:rFonts w:hint="cs"/>
          <w:sz w:val="27"/>
          <w:rtl/>
        </w:rPr>
        <w:t>؛</w:t>
      </w:r>
      <w:r w:rsidRPr="006571AC">
        <w:rPr>
          <w:sz w:val="27"/>
          <w:rtl/>
        </w:rPr>
        <w:t xml:space="preserve"> فالصدر </w:t>
      </w:r>
      <w:r w:rsidRPr="006571AC">
        <w:rPr>
          <w:rFonts w:hint="cs"/>
          <w:sz w:val="27"/>
          <w:rtl/>
        </w:rPr>
        <w:t>يسمح</w:t>
      </w:r>
      <w:r w:rsidRPr="006571AC">
        <w:rPr>
          <w:sz w:val="27"/>
          <w:rtl/>
        </w:rPr>
        <w:t xml:space="preserve"> </w:t>
      </w:r>
      <w:r w:rsidRPr="006571AC">
        <w:rPr>
          <w:rFonts w:hint="cs"/>
          <w:sz w:val="27"/>
          <w:rtl/>
        </w:rPr>
        <w:t>لنا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جهة</w:t>
      </w:r>
      <w:r w:rsidR="003B1C6F" w:rsidRPr="006571AC">
        <w:rPr>
          <w:rFonts w:hint="cs"/>
          <w:sz w:val="27"/>
          <w:rtl/>
        </w:rPr>
        <w:t>ٍ</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نتعامل</w:t>
      </w:r>
      <w:r w:rsidRPr="006571AC">
        <w:rPr>
          <w:sz w:val="27"/>
          <w:rtl/>
        </w:rPr>
        <w:t xml:space="preserve"> </w:t>
      </w:r>
      <w:r w:rsidRPr="006571AC">
        <w:rPr>
          <w:rFonts w:hint="cs"/>
          <w:sz w:val="27"/>
          <w:rtl/>
        </w:rPr>
        <w:t>كباحثين</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معطيات</w:t>
      </w:r>
      <w:r w:rsidRPr="006571AC">
        <w:rPr>
          <w:sz w:val="27"/>
          <w:rtl/>
        </w:rPr>
        <w:t xml:space="preserve"> </w:t>
      </w:r>
      <w:r w:rsidRPr="006571AC">
        <w:rPr>
          <w:rFonts w:hint="cs"/>
          <w:sz w:val="27"/>
          <w:rtl/>
        </w:rPr>
        <w:t>هي</w:t>
      </w:r>
      <w:r w:rsidRPr="006571AC">
        <w:rPr>
          <w:sz w:val="27"/>
          <w:rtl/>
        </w:rPr>
        <w:t xml:space="preserve"> </w:t>
      </w:r>
      <w:r w:rsidRPr="006571AC">
        <w:rPr>
          <w:rFonts w:hint="cs"/>
          <w:sz w:val="27"/>
          <w:rtl/>
        </w:rPr>
        <w:t>ذات</w:t>
      </w:r>
      <w:r w:rsidRPr="006571AC">
        <w:rPr>
          <w:sz w:val="27"/>
          <w:rtl/>
        </w:rPr>
        <w:t xml:space="preserve"> </w:t>
      </w:r>
      <w:r w:rsidRPr="006571AC">
        <w:rPr>
          <w:rFonts w:hint="cs"/>
          <w:sz w:val="27"/>
          <w:rtl/>
        </w:rPr>
        <w:t>طابع</w:t>
      </w:r>
      <w:r w:rsidR="003B1C6F" w:rsidRPr="006571AC">
        <w:rPr>
          <w:rFonts w:hint="cs"/>
          <w:sz w:val="27"/>
          <w:rtl/>
        </w:rPr>
        <w:t>ٍ</w:t>
      </w:r>
      <w:r w:rsidRPr="006571AC">
        <w:rPr>
          <w:sz w:val="27"/>
          <w:rtl/>
        </w:rPr>
        <w:t xml:space="preserve"> </w:t>
      </w:r>
      <w:r w:rsidRPr="006571AC">
        <w:rPr>
          <w:rFonts w:hint="cs"/>
          <w:sz w:val="27"/>
          <w:rtl/>
        </w:rPr>
        <w:t>ديني</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شبه</w:t>
      </w:r>
      <w:r w:rsidRPr="006571AC">
        <w:rPr>
          <w:sz w:val="27"/>
          <w:rtl/>
        </w:rPr>
        <w:t xml:space="preserve"> </w:t>
      </w:r>
      <w:r w:rsidRPr="006571AC">
        <w:rPr>
          <w:rFonts w:hint="cs"/>
          <w:sz w:val="27"/>
          <w:rtl/>
        </w:rPr>
        <w:t>ديني</w:t>
      </w:r>
      <w:r w:rsidR="003B1C6F" w:rsidRPr="006571AC">
        <w:rPr>
          <w:rFonts w:hint="cs"/>
          <w:sz w:val="27"/>
          <w:rtl/>
        </w:rPr>
        <w:t>ٍّ</w:t>
      </w:r>
      <w:r w:rsidRPr="006571AC">
        <w:rPr>
          <w:rFonts w:hint="cs"/>
          <w:sz w:val="27"/>
          <w:rtl/>
        </w:rPr>
        <w:t>؛ ومن</w:t>
      </w:r>
      <w:r w:rsidRPr="006571AC">
        <w:rPr>
          <w:sz w:val="27"/>
          <w:rtl/>
        </w:rPr>
        <w:t xml:space="preserve"> </w:t>
      </w:r>
      <w:r w:rsidRPr="006571AC">
        <w:rPr>
          <w:rFonts w:hint="cs"/>
          <w:sz w:val="27"/>
          <w:rtl/>
        </w:rPr>
        <w:t>جهة</w:t>
      </w:r>
      <w:r w:rsidR="003B1C6F" w:rsidRPr="006571AC">
        <w:rPr>
          <w:rFonts w:hint="cs"/>
          <w:sz w:val="27"/>
          <w:rtl/>
        </w:rPr>
        <w:t>ٍ</w:t>
      </w:r>
      <w:r w:rsidRPr="006571AC">
        <w:rPr>
          <w:sz w:val="27"/>
          <w:rtl/>
        </w:rPr>
        <w:t xml:space="preserve"> </w:t>
      </w:r>
      <w:r w:rsidRPr="006571AC">
        <w:rPr>
          <w:rFonts w:hint="cs"/>
          <w:sz w:val="27"/>
          <w:rtl/>
        </w:rPr>
        <w:t>أخرى لا</w:t>
      </w:r>
      <w:r w:rsidRPr="006571AC">
        <w:rPr>
          <w:sz w:val="27"/>
          <w:rtl/>
        </w:rPr>
        <w:t xml:space="preserve"> </w:t>
      </w:r>
      <w:r w:rsidRPr="006571AC">
        <w:rPr>
          <w:rFonts w:hint="cs"/>
          <w:sz w:val="27"/>
          <w:rtl/>
        </w:rPr>
        <w:t>ينفي</w:t>
      </w:r>
      <w:r w:rsidRPr="006571AC">
        <w:rPr>
          <w:sz w:val="27"/>
          <w:rtl/>
        </w:rPr>
        <w:t xml:space="preserve"> </w:t>
      </w:r>
      <w:r w:rsidRPr="006571AC">
        <w:rPr>
          <w:rFonts w:hint="cs"/>
          <w:sz w:val="27"/>
          <w:rtl/>
        </w:rPr>
        <w:t>فكرة</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نبقى، مع</w:t>
      </w:r>
      <w:r w:rsidRPr="006571AC">
        <w:rPr>
          <w:sz w:val="27"/>
          <w:rtl/>
        </w:rPr>
        <w:t xml:space="preserve"> </w:t>
      </w:r>
      <w:r w:rsidRPr="006571AC">
        <w:rPr>
          <w:rFonts w:hint="cs"/>
          <w:sz w:val="27"/>
          <w:rtl/>
        </w:rPr>
        <w:t>ذلك، ضمن</w:t>
      </w:r>
      <w:r w:rsidRPr="006571AC">
        <w:rPr>
          <w:sz w:val="27"/>
          <w:rtl/>
        </w:rPr>
        <w:t xml:space="preserve"> </w:t>
      </w:r>
      <w:r w:rsidRPr="006571AC">
        <w:rPr>
          <w:rFonts w:hint="cs"/>
          <w:sz w:val="27"/>
          <w:rtl/>
        </w:rPr>
        <w:t>البحث</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يصفه</w:t>
      </w:r>
      <w:r w:rsidRPr="006571AC">
        <w:rPr>
          <w:sz w:val="27"/>
          <w:rtl/>
        </w:rPr>
        <w:t xml:space="preserve"> </w:t>
      </w:r>
      <w:r w:rsidRPr="006571AC">
        <w:rPr>
          <w:rFonts w:hint="cs"/>
          <w:sz w:val="27"/>
          <w:rtl/>
        </w:rPr>
        <w:t>بالموضو</w:t>
      </w:r>
      <w:r w:rsidRPr="006571AC">
        <w:rPr>
          <w:sz w:val="27"/>
          <w:rtl/>
        </w:rPr>
        <w:t xml:space="preserve">عي. </w:t>
      </w:r>
    </w:p>
    <w:p w:rsidR="00962F60" w:rsidRPr="006571AC" w:rsidRDefault="00962F60" w:rsidP="007E009E">
      <w:pPr>
        <w:rPr>
          <w:sz w:val="27"/>
        </w:rPr>
      </w:pPr>
      <w:r w:rsidRPr="006571AC">
        <w:rPr>
          <w:sz w:val="27"/>
          <w:rtl/>
        </w:rPr>
        <w:t xml:space="preserve">غير أن </w:t>
      </w:r>
      <w:r w:rsidR="003B1C6F" w:rsidRPr="006571AC">
        <w:rPr>
          <w:rFonts w:hint="cs"/>
          <w:sz w:val="27"/>
          <w:rtl/>
        </w:rPr>
        <w:t>إ</w:t>
      </w:r>
      <w:r w:rsidRPr="006571AC">
        <w:rPr>
          <w:sz w:val="27"/>
          <w:rtl/>
        </w:rPr>
        <w:t>سهامات هذا العمل المهم</w:t>
      </w:r>
      <w:r w:rsidR="003B1C6F" w:rsidRPr="006571AC">
        <w:rPr>
          <w:rFonts w:hint="cs"/>
          <w:sz w:val="27"/>
          <w:rtl/>
        </w:rPr>
        <w:t>ّ</w:t>
      </w:r>
      <w:r w:rsidRPr="006571AC">
        <w:rPr>
          <w:sz w:val="27"/>
          <w:rtl/>
        </w:rPr>
        <w:t>ة لا تقف عند هذا الحد</w:t>
      </w:r>
      <w:r w:rsidR="003B1C6F" w:rsidRPr="006571AC">
        <w:rPr>
          <w:rFonts w:hint="cs"/>
          <w:sz w:val="27"/>
          <w:rtl/>
        </w:rPr>
        <w:t>ّ</w:t>
      </w:r>
      <w:r w:rsidRPr="006571AC">
        <w:rPr>
          <w:sz w:val="27"/>
          <w:rtl/>
        </w:rPr>
        <w:t xml:space="preserve">. فالسيد الصدر </w:t>
      </w:r>
      <w:r w:rsidRPr="006571AC">
        <w:rPr>
          <w:sz w:val="27"/>
          <w:rtl/>
        </w:rPr>
        <w:lastRenderedPageBreak/>
        <w:t>يتحد</w:t>
      </w:r>
      <w:r w:rsidR="003B1C6F" w:rsidRPr="006571AC">
        <w:rPr>
          <w:rFonts w:hint="cs"/>
          <w:sz w:val="27"/>
          <w:rtl/>
        </w:rPr>
        <w:t>ّ</w:t>
      </w:r>
      <w:r w:rsidRPr="006571AC">
        <w:rPr>
          <w:sz w:val="27"/>
          <w:rtl/>
        </w:rPr>
        <w:t>ث، ضمن شرحه المنهجي، عن طريقة</w:t>
      </w:r>
      <w:r w:rsidR="003B1C6F" w:rsidRPr="006571AC">
        <w:rPr>
          <w:rFonts w:hint="cs"/>
          <w:sz w:val="27"/>
          <w:rtl/>
        </w:rPr>
        <w:t>ٍ</w:t>
      </w:r>
      <w:r w:rsidRPr="006571AC">
        <w:rPr>
          <w:sz w:val="27"/>
          <w:rtl/>
        </w:rPr>
        <w:t xml:space="preserve"> يسم</w:t>
      </w:r>
      <w:r w:rsidR="003B1C6F" w:rsidRPr="006571AC">
        <w:rPr>
          <w:rFonts w:hint="cs"/>
          <w:sz w:val="27"/>
          <w:rtl/>
        </w:rPr>
        <w:t>ِّ</w:t>
      </w:r>
      <w:r w:rsidRPr="006571AC">
        <w:rPr>
          <w:sz w:val="27"/>
          <w:rtl/>
        </w:rPr>
        <w:t>يها ب</w:t>
      </w:r>
      <w:r w:rsidR="003B1C6F" w:rsidRPr="006571AC">
        <w:rPr>
          <w:rFonts w:hint="cs"/>
          <w:sz w:val="27"/>
          <w:rtl/>
        </w:rPr>
        <w:t xml:space="preserve">ـ </w:t>
      </w:r>
      <w:r w:rsidR="003B1C6F" w:rsidRPr="006571AC">
        <w:rPr>
          <w:rFonts w:hint="eastAsia"/>
          <w:sz w:val="24"/>
          <w:szCs w:val="24"/>
          <w:rtl/>
        </w:rPr>
        <w:t>«</w:t>
      </w:r>
      <w:r w:rsidRPr="006571AC">
        <w:rPr>
          <w:sz w:val="27"/>
          <w:rtl/>
        </w:rPr>
        <w:t>طريقة الطبقات</w:t>
      </w:r>
      <w:r w:rsidRPr="006571AC">
        <w:rPr>
          <w:rFonts w:hint="eastAsia"/>
          <w:sz w:val="24"/>
          <w:szCs w:val="24"/>
          <w:rtl/>
        </w:rPr>
        <w:t>»</w:t>
      </w:r>
      <w:r w:rsidRPr="006571AC">
        <w:rPr>
          <w:sz w:val="27"/>
          <w:rtl/>
        </w:rPr>
        <w:t xml:space="preserve"> (أو </w:t>
      </w:r>
      <w:r w:rsidRPr="006571AC">
        <w:rPr>
          <w:rFonts w:hint="eastAsia"/>
          <w:sz w:val="24"/>
          <w:szCs w:val="24"/>
          <w:rtl/>
        </w:rPr>
        <w:t>«</w:t>
      </w:r>
      <w:r w:rsidRPr="006571AC">
        <w:rPr>
          <w:sz w:val="27"/>
          <w:rtl/>
        </w:rPr>
        <w:t>الطوابق</w:t>
      </w:r>
      <w:r w:rsidRPr="006571AC">
        <w:rPr>
          <w:rFonts w:hint="eastAsia"/>
          <w:sz w:val="24"/>
          <w:szCs w:val="24"/>
          <w:rtl/>
        </w:rPr>
        <w:t>»</w:t>
      </w:r>
      <w:r w:rsidRPr="006571AC">
        <w:rPr>
          <w:sz w:val="27"/>
          <w:rtl/>
        </w:rPr>
        <w:t xml:space="preserve">). وهي تعني أنه يمكن للباحث أن يستقري (من استقراء) المعاني المفاهمية ثم الأبنية النظرية، وذلك من خلال دراسة أبواب الفقه. فالفرضية الأنطو ـ </w:t>
      </w:r>
      <w:r w:rsidR="003B1C6F" w:rsidRPr="006571AC">
        <w:rPr>
          <w:rFonts w:hint="cs"/>
          <w:sz w:val="27"/>
          <w:rtl/>
        </w:rPr>
        <w:t>إ</w:t>
      </w:r>
      <w:r w:rsidRPr="006571AC">
        <w:rPr>
          <w:sz w:val="27"/>
          <w:rtl/>
        </w:rPr>
        <w:t xml:space="preserve">بستمولوجية الصدرية في </w:t>
      </w:r>
      <w:r w:rsidR="003B1C6F" w:rsidRPr="006571AC">
        <w:rPr>
          <w:rFonts w:hint="cs"/>
          <w:sz w:val="27"/>
          <w:rtl/>
        </w:rPr>
        <w:t>(</w:t>
      </w:r>
      <w:r w:rsidRPr="006571AC">
        <w:rPr>
          <w:sz w:val="27"/>
          <w:rtl/>
        </w:rPr>
        <w:t>اقتصادنا</w:t>
      </w:r>
      <w:r w:rsidR="003B1C6F" w:rsidRPr="006571AC">
        <w:rPr>
          <w:rFonts w:hint="cs"/>
          <w:sz w:val="27"/>
          <w:rtl/>
        </w:rPr>
        <w:t>)</w:t>
      </w:r>
      <w:r w:rsidRPr="006571AC">
        <w:rPr>
          <w:sz w:val="27"/>
          <w:rtl/>
        </w:rPr>
        <w:t xml:space="preserve"> تعتقد بوجود هذا المعنى المفاهيمي خلف أقوال الفقهاء المتعد</w:t>
      </w:r>
      <w:r w:rsidR="003B1C6F" w:rsidRPr="006571AC">
        <w:rPr>
          <w:rFonts w:hint="cs"/>
          <w:sz w:val="27"/>
          <w:rtl/>
        </w:rPr>
        <w:t>ِّ</w:t>
      </w:r>
      <w:r w:rsidRPr="006571AC">
        <w:rPr>
          <w:sz w:val="27"/>
          <w:rtl/>
        </w:rPr>
        <w:t>دة والمتشع</w:t>
      </w:r>
      <w:r w:rsidR="003B1C6F" w:rsidRPr="006571AC">
        <w:rPr>
          <w:rFonts w:hint="cs"/>
          <w:sz w:val="27"/>
          <w:rtl/>
        </w:rPr>
        <w:t>ِّ</w:t>
      </w:r>
      <w:r w:rsidRPr="006571AC">
        <w:rPr>
          <w:sz w:val="27"/>
          <w:rtl/>
        </w:rPr>
        <w:t>بة والمتقابلة من جهة</w:t>
      </w:r>
      <w:r w:rsidR="003B1C6F" w:rsidRPr="006571AC">
        <w:rPr>
          <w:rFonts w:hint="cs"/>
          <w:sz w:val="27"/>
          <w:rtl/>
        </w:rPr>
        <w:t>ٍ</w:t>
      </w:r>
      <w:r w:rsidRPr="006571AC">
        <w:rPr>
          <w:sz w:val="27"/>
          <w:rtl/>
        </w:rPr>
        <w:t>، ومن جهة</w:t>
      </w:r>
      <w:r w:rsidR="003B1C6F" w:rsidRPr="006571AC">
        <w:rPr>
          <w:rFonts w:hint="cs"/>
          <w:sz w:val="27"/>
          <w:rtl/>
        </w:rPr>
        <w:t>ٍ</w:t>
      </w:r>
      <w:r w:rsidRPr="006571AC">
        <w:rPr>
          <w:sz w:val="27"/>
          <w:rtl/>
        </w:rPr>
        <w:t xml:space="preserve"> ثانية تعتقد بإمكانية استقرائها أو استخراجها أو استنتاجها مع الحفاظ على الموضوعية. نحن إذن في عالم </w:t>
      </w:r>
      <w:r w:rsidRPr="006571AC">
        <w:rPr>
          <w:rFonts w:hint="eastAsia"/>
          <w:sz w:val="24"/>
          <w:szCs w:val="24"/>
          <w:rtl/>
        </w:rPr>
        <w:t>«</w:t>
      </w:r>
      <w:r w:rsidRPr="006571AC">
        <w:rPr>
          <w:sz w:val="27"/>
          <w:rtl/>
        </w:rPr>
        <w:t>فَه</w:t>
      </w:r>
      <w:r w:rsidR="003B1C6F" w:rsidRPr="006571AC">
        <w:rPr>
          <w:rFonts w:hint="cs"/>
          <w:sz w:val="27"/>
          <w:rtl/>
        </w:rPr>
        <w:t>ْ</w:t>
      </w:r>
      <w:r w:rsidRPr="006571AC">
        <w:rPr>
          <w:sz w:val="27"/>
          <w:rtl/>
        </w:rPr>
        <w:t>مي</w:t>
      </w:r>
      <w:r w:rsidRPr="006571AC">
        <w:rPr>
          <w:rFonts w:hint="eastAsia"/>
          <w:sz w:val="24"/>
          <w:szCs w:val="24"/>
          <w:rtl/>
        </w:rPr>
        <w:t>»</w:t>
      </w:r>
      <w:r w:rsidRPr="006571AC">
        <w:rPr>
          <w:sz w:val="27"/>
          <w:rtl/>
        </w:rPr>
        <w:t xml:space="preserve"> (أو </w:t>
      </w:r>
      <w:r w:rsidRPr="006571AC">
        <w:rPr>
          <w:rFonts w:hint="eastAsia"/>
          <w:sz w:val="24"/>
          <w:szCs w:val="24"/>
          <w:rtl/>
        </w:rPr>
        <w:t>«</w:t>
      </w:r>
      <w:r w:rsidRPr="006571AC">
        <w:rPr>
          <w:sz w:val="27"/>
          <w:rtl/>
        </w:rPr>
        <w:t>تأويلي</w:t>
      </w:r>
      <w:r w:rsidRPr="006571AC">
        <w:rPr>
          <w:rFonts w:hint="eastAsia"/>
          <w:sz w:val="24"/>
          <w:szCs w:val="24"/>
          <w:rtl/>
        </w:rPr>
        <w:t>»</w:t>
      </w:r>
      <w:r w:rsidRPr="006571AC">
        <w:rPr>
          <w:sz w:val="27"/>
          <w:rtl/>
        </w:rPr>
        <w:t>) بامتياز</w:t>
      </w:r>
      <w:r w:rsidR="003B1C6F" w:rsidRPr="006571AC">
        <w:rPr>
          <w:rFonts w:hint="cs"/>
          <w:sz w:val="27"/>
          <w:rtl/>
        </w:rPr>
        <w:t>ٍ،</w:t>
      </w:r>
      <w:r w:rsidRPr="006571AC">
        <w:rPr>
          <w:sz w:val="27"/>
          <w:rtl/>
        </w:rPr>
        <w:t xml:space="preserve"> بالمعنى الذي تتبن</w:t>
      </w:r>
      <w:r w:rsidR="003B1C6F" w:rsidRPr="006571AC">
        <w:rPr>
          <w:rFonts w:hint="cs"/>
          <w:sz w:val="27"/>
          <w:rtl/>
        </w:rPr>
        <w:t>ّ</w:t>
      </w:r>
      <w:r w:rsidRPr="006571AC">
        <w:rPr>
          <w:sz w:val="27"/>
          <w:rtl/>
        </w:rPr>
        <w:t>اه المدرسة الف</w:t>
      </w:r>
      <w:r w:rsidR="003B1C6F" w:rsidRPr="006571AC">
        <w:rPr>
          <w:rFonts w:hint="cs"/>
          <w:sz w:val="27"/>
          <w:rtl/>
        </w:rPr>
        <w:t>َ</w:t>
      </w:r>
      <w:r w:rsidRPr="006571AC">
        <w:rPr>
          <w:sz w:val="27"/>
          <w:rtl/>
        </w:rPr>
        <w:t>ه</w:t>
      </w:r>
      <w:r w:rsidR="003B1C6F" w:rsidRPr="006571AC">
        <w:rPr>
          <w:rFonts w:hint="cs"/>
          <w:sz w:val="27"/>
          <w:rtl/>
        </w:rPr>
        <w:t>ْ</w:t>
      </w:r>
      <w:r w:rsidRPr="006571AC">
        <w:rPr>
          <w:sz w:val="27"/>
          <w:rtl/>
        </w:rPr>
        <w:t>مية ـ التأويلية المعاصرة في العلوم الاجتماعية، وخصوصا</w:t>
      </w:r>
      <w:r w:rsidR="003B1C6F" w:rsidRPr="006571AC">
        <w:rPr>
          <w:rFonts w:hint="cs"/>
          <w:sz w:val="27"/>
          <w:rtl/>
        </w:rPr>
        <w:t>ً</w:t>
      </w:r>
      <w:r w:rsidRPr="006571AC">
        <w:rPr>
          <w:sz w:val="27"/>
          <w:rtl/>
        </w:rPr>
        <w:t xml:space="preserve"> مؤس</w:t>
      </w:r>
      <w:r w:rsidR="003B1C6F" w:rsidRPr="006571AC">
        <w:rPr>
          <w:rFonts w:hint="cs"/>
          <w:sz w:val="27"/>
          <w:rtl/>
        </w:rPr>
        <w:t>ِّ</w:t>
      </w:r>
      <w:r w:rsidRPr="006571AC">
        <w:rPr>
          <w:sz w:val="27"/>
          <w:rtl/>
        </w:rPr>
        <w:t>سها الأبرز</w:t>
      </w:r>
      <w:r w:rsidR="003B1C6F" w:rsidRPr="006571AC">
        <w:rPr>
          <w:rFonts w:hint="cs"/>
          <w:sz w:val="27"/>
          <w:rtl/>
        </w:rPr>
        <w:t>،</w:t>
      </w:r>
      <w:r w:rsidRPr="006571AC">
        <w:rPr>
          <w:sz w:val="27"/>
          <w:rtl/>
        </w:rPr>
        <w:t xml:space="preserve"> وهو العالم والفيلسوف الاجتماعي الألماني ماكس فيبر (</w:t>
      </w:r>
      <w:r w:rsidRPr="006571AC">
        <w:rPr>
          <w:rFonts w:hint="cs"/>
          <w:sz w:val="27"/>
          <w:rtl/>
        </w:rPr>
        <w:t>1864</w:t>
      </w:r>
      <w:r w:rsidRPr="006571AC">
        <w:rPr>
          <w:sz w:val="27"/>
          <w:rtl/>
        </w:rPr>
        <w:t xml:space="preserve"> ـ </w:t>
      </w:r>
      <w:r w:rsidRPr="006571AC">
        <w:rPr>
          <w:rFonts w:hint="cs"/>
          <w:sz w:val="27"/>
          <w:rtl/>
        </w:rPr>
        <w:t>1920</w:t>
      </w:r>
      <w:r w:rsidR="003B1C6F" w:rsidRPr="006571AC">
        <w:rPr>
          <w:rFonts w:hint="cs"/>
          <w:sz w:val="27"/>
          <w:rtl/>
        </w:rPr>
        <w:t>م</w:t>
      </w:r>
      <w:r w:rsidRPr="006571AC">
        <w:rPr>
          <w:sz w:val="27"/>
          <w:rtl/>
        </w:rPr>
        <w:t xml:space="preserve">). </w:t>
      </w:r>
    </w:p>
    <w:p w:rsidR="003B1C6F" w:rsidRPr="006571AC" w:rsidRDefault="00962F60" w:rsidP="007E009E">
      <w:pPr>
        <w:rPr>
          <w:sz w:val="27"/>
          <w:rtl/>
        </w:rPr>
      </w:pPr>
      <w:r w:rsidRPr="006571AC">
        <w:rPr>
          <w:sz w:val="27"/>
          <w:rtl/>
        </w:rPr>
        <w:t>ولذلك نصل هنا</w:t>
      </w:r>
      <w:r w:rsidR="003B1C6F" w:rsidRPr="006571AC">
        <w:rPr>
          <w:rFonts w:hint="cs"/>
          <w:sz w:val="27"/>
          <w:rtl/>
        </w:rPr>
        <w:t>،</w:t>
      </w:r>
      <w:r w:rsidRPr="006571AC">
        <w:rPr>
          <w:sz w:val="27"/>
          <w:rtl/>
        </w:rPr>
        <w:t xml:space="preserve"> بوضوح</w:t>
      </w:r>
      <w:r w:rsidR="003B1C6F" w:rsidRPr="006571AC">
        <w:rPr>
          <w:rFonts w:hint="cs"/>
          <w:sz w:val="27"/>
          <w:rtl/>
        </w:rPr>
        <w:t>ٍ</w:t>
      </w:r>
      <w:r w:rsidRPr="006571AC">
        <w:rPr>
          <w:sz w:val="27"/>
          <w:rtl/>
        </w:rPr>
        <w:t xml:space="preserve"> </w:t>
      </w:r>
      <w:r w:rsidR="00731867" w:rsidRPr="006571AC">
        <w:rPr>
          <w:sz w:val="27"/>
          <w:rtl/>
        </w:rPr>
        <w:t>لا رَيْبَ</w:t>
      </w:r>
      <w:r w:rsidRPr="006571AC">
        <w:rPr>
          <w:sz w:val="27"/>
          <w:rtl/>
        </w:rPr>
        <w:t xml:space="preserve"> فيه</w:t>
      </w:r>
      <w:r w:rsidR="003B1C6F" w:rsidRPr="006571AC">
        <w:rPr>
          <w:rFonts w:hint="cs"/>
          <w:sz w:val="27"/>
          <w:rtl/>
        </w:rPr>
        <w:t>،</w:t>
      </w:r>
      <w:r w:rsidRPr="006571AC">
        <w:rPr>
          <w:sz w:val="27"/>
          <w:rtl/>
        </w:rPr>
        <w:t xml:space="preserve"> إلى أهم</w:t>
      </w:r>
      <w:r w:rsidR="003B1C6F" w:rsidRPr="006571AC">
        <w:rPr>
          <w:rFonts w:hint="cs"/>
          <w:sz w:val="27"/>
          <w:rtl/>
        </w:rPr>
        <w:t>ِّ</w:t>
      </w:r>
      <w:r w:rsidRPr="006571AC">
        <w:rPr>
          <w:sz w:val="27"/>
          <w:rtl/>
        </w:rPr>
        <w:t>ية تفعيل الرابط بين تفكير محم</w:t>
      </w:r>
      <w:r w:rsidR="003B1C6F" w:rsidRPr="006571AC">
        <w:rPr>
          <w:sz w:val="27"/>
          <w:rtl/>
        </w:rPr>
        <w:t>د باقر الصدر والمدرسة الفيبرية.</w:t>
      </w:r>
    </w:p>
    <w:p w:rsidR="00962F60" w:rsidRPr="006571AC" w:rsidRDefault="00962F60" w:rsidP="007E009E">
      <w:pPr>
        <w:rPr>
          <w:sz w:val="27"/>
        </w:rPr>
      </w:pPr>
      <w:r w:rsidRPr="006571AC">
        <w:rPr>
          <w:sz w:val="27"/>
          <w:rtl/>
        </w:rPr>
        <w:t>ونذكّ</w:t>
      </w:r>
      <w:r w:rsidR="003B1C6F" w:rsidRPr="006571AC">
        <w:rPr>
          <w:rFonts w:hint="cs"/>
          <w:sz w:val="27"/>
          <w:rtl/>
        </w:rPr>
        <w:t>ِ</w:t>
      </w:r>
      <w:r w:rsidRPr="006571AC">
        <w:rPr>
          <w:sz w:val="27"/>
          <w:rtl/>
        </w:rPr>
        <w:t>ر هنا، مع رايموند آرون</w:t>
      </w:r>
      <w:r w:rsidR="007E254D" w:rsidRPr="006571AC">
        <w:rPr>
          <w:rFonts w:hint="cs"/>
          <w:sz w:val="27"/>
          <w:vertAlign w:val="superscript"/>
          <w:rtl/>
        </w:rPr>
        <w:t>(</w:t>
      </w:r>
      <w:r w:rsidR="007E254D" w:rsidRPr="006571AC">
        <w:rPr>
          <w:rStyle w:val="ac"/>
          <w:sz w:val="27"/>
          <w:rtl/>
        </w:rPr>
        <w:endnoteReference w:id="912"/>
      </w:r>
      <w:r w:rsidR="007E254D" w:rsidRPr="006571AC">
        <w:rPr>
          <w:rFonts w:hint="cs"/>
          <w:sz w:val="27"/>
          <w:vertAlign w:val="superscript"/>
          <w:rtl/>
        </w:rPr>
        <w:t>)</w:t>
      </w:r>
      <w:r w:rsidR="003B1C6F" w:rsidRPr="006571AC">
        <w:rPr>
          <w:rFonts w:hint="cs"/>
          <w:sz w:val="27"/>
          <w:rtl/>
        </w:rPr>
        <w:t>،</w:t>
      </w:r>
      <w:r w:rsidR="00F032B0" w:rsidRPr="006571AC">
        <w:rPr>
          <w:rFonts w:hint="cs"/>
          <w:sz w:val="27"/>
          <w:rtl/>
        </w:rPr>
        <w:t xml:space="preserve"> </w:t>
      </w:r>
      <w:r w:rsidRPr="006571AC">
        <w:rPr>
          <w:sz w:val="27"/>
          <w:rtl/>
        </w:rPr>
        <w:t xml:space="preserve">أن للعلم الفيبري سمتين رئيستين حقيقةً، وهما: </w:t>
      </w:r>
      <w:r w:rsidRPr="006571AC">
        <w:rPr>
          <w:rFonts w:hint="eastAsia"/>
          <w:sz w:val="24"/>
          <w:szCs w:val="24"/>
          <w:rtl/>
        </w:rPr>
        <w:t>«</w:t>
      </w:r>
      <w:r w:rsidRPr="006571AC">
        <w:rPr>
          <w:sz w:val="27"/>
          <w:rtl/>
        </w:rPr>
        <w:t>عدم الاكتمال الجوهري</w:t>
      </w:r>
      <w:r w:rsidRPr="006571AC">
        <w:rPr>
          <w:rFonts w:hint="eastAsia"/>
          <w:sz w:val="24"/>
          <w:szCs w:val="24"/>
          <w:rtl/>
        </w:rPr>
        <w:t>»</w:t>
      </w:r>
      <w:r w:rsidRPr="006571AC">
        <w:rPr>
          <w:sz w:val="27"/>
          <w:rtl/>
        </w:rPr>
        <w:t xml:space="preserve"> (</w:t>
      </w:r>
      <w:r w:rsidR="006974CC" w:rsidRPr="006571AC">
        <w:rPr>
          <w:rFonts w:hint="eastAsia"/>
          <w:sz w:val="24"/>
          <w:szCs w:val="24"/>
          <w:rtl/>
        </w:rPr>
        <w:t>«</w:t>
      </w:r>
      <w:r w:rsidRPr="006571AC">
        <w:rPr>
          <w:sz w:val="27"/>
          <w:rtl/>
        </w:rPr>
        <w:t>العلم هو مستقبل العلم</w:t>
      </w:r>
      <w:r w:rsidRPr="006571AC">
        <w:rPr>
          <w:rFonts w:hint="eastAsia"/>
          <w:sz w:val="24"/>
          <w:szCs w:val="24"/>
          <w:rtl/>
        </w:rPr>
        <w:t>»</w:t>
      </w:r>
      <w:r w:rsidRPr="006571AC">
        <w:rPr>
          <w:sz w:val="27"/>
          <w:rtl/>
        </w:rPr>
        <w:t>) من جهة</w:t>
      </w:r>
      <w:r w:rsidR="006974CC" w:rsidRPr="006571AC">
        <w:rPr>
          <w:rFonts w:hint="cs"/>
          <w:sz w:val="27"/>
          <w:rtl/>
        </w:rPr>
        <w:t>ٍ؛</w:t>
      </w:r>
      <w:r w:rsidRPr="006571AC">
        <w:rPr>
          <w:sz w:val="27"/>
          <w:rtl/>
        </w:rPr>
        <w:t xml:space="preserve"> و</w:t>
      </w:r>
      <w:r w:rsidR="006974CC" w:rsidRPr="006571AC">
        <w:rPr>
          <w:rFonts w:hint="eastAsia"/>
          <w:sz w:val="24"/>
          <w:szCs w:val="24"/>
          <w:rtl/>
        </w:rPr>
        <w:t>«</w:t>
      </w:r>
      <w:r w:rsidRPr="006571AC">
        <w:rPr>
          <w:sz w:val="27"/>
          <w:rtl/>
        </w:rPr>
        <w:t>الموضوعية</w:t>
      </w:r>
      <w:r w:rsidRPr="006571AC">
        <w:rPr>
          <w:rFonts w:hint="eastAsia"/>
          <w:sz w:val="24"/>
          <w:szCs w:val="24"/>
          <w:rtl/>
        </w:rPr>
        <w:t>»</w:t>
      </w:r>
      <w:r w:rsidRPr="006571AC">
        <w:rPr>
          <w:sz w:val="27"/>
          <w:rtl/>
        </w:rPr>
        <w:t xml:space="preserve"> من جهة</w:t>
      </w:r>
      <w:r w:rsidR="006974CC" w:rsidRPr="006571AC">
        <w:rPr>
          <w:rFonts w:hint="cs"/>
          <w:sz w:val="27"/>
          <w:rtl/>
        </w:rPr>
        <w:t>ٍ</w:t>
      </w:r>
      <w:r w:rsidRPr="006571AC">
        <w:rPr>
          <w:sz w:val="27"/>
          <w:rtl/>
        </w:rPr>
        <w:t xml:space="preserve"> أخرى. لذلك، يكون من المهم</w:t>
      </w:r>
      <w:r w:rsidR="006974CC" w:rsidRPr="006571AC">
        <w:rPr>
          <w:rFonts w:hint="cs"/>
          <w:sz w:val="27"/>
          <w:rtl/>
        </w:rPr>
        <w:t>ّ</w:t>
      </w:r>
      <w:r w:rsidRPr="006571AC">
        <w:rPr>
          <w:sz w:val="27"/>
          <w:rtl/>
        </w:rPr>
        <w:t xml:space="preserve"> أن نبقى قريبين من نظرة فيبر الأساسية التي تشد</w:t>
      </w:r>
      <w:r w:rsidR="006974CC" w:rsidRPr="006571AC">
        <w:rPr>
          <w:rFonts w:hint="cs"/>
          <w:sz w:val="27"/>
          <w:rtl/>
        </w:rPr>
        <w:t>ِّ</w:t>
      </w:r>
      <w:r w:rsidRPr="006571AC">
        <w:rPr>
          <w:sz w:val="27"/>
          <w:rtl/>
        </w:rPr>
        <w:t>د على الموضوعية، بخلاف التي</w:t>
      </w:r>
      <w:r w:rsidR="006974CC" w:rsidRPr="006571AC">
        <w:rPr>
          <w:rFonts w:hint="cs"/>
          <w:sz w:val="27"/>
          <w:rtl/>
        </w:rPr>
        <w:t>ّ</w:t>
      </w:r>
      <w:r w:rsidRPr="006571AC">
        <w:rPr>
          <w:sz w:val="27"/>
          <w:rtl/>
        </w:rPr>
        <w:t>ار المعاصر المهيمن حالي</w:t>
      </w:r>
      <w:r w:rsidR="006974CC" w:rsidRPr="006571AC">
        <w:rPr>
          <w:rFonts w:hint="cs"/>
          <w:sz w:val="27"/>
          <w:rtl/>
        </w:rPr>
        <w:t>ّ</w:t>
      </w:r>
      <w:r w:rsidRPr="006571AC">
        <w:rPr>
          <w:sz w:val="27"/>
          <w:rtl/>
        </w:rPr>
        <w:t>ا</w:t>
      </w:r>
      <w:r w:rsidR="006974CC" w:rsidRPr="006571AC">
        <w:rPr>
          <w:rFonts w:hint="cs"/>
          <w:sz w:val="27"/>
          <w:rtl/>
        </w:rPr>
        <w:t>ً</w:t>
      </w:r>
      <w:r w:rsidRPr="006571AC">
        <w:rPr>
          <w:sz w:val="27"/>
          <w:rtl/>
        </w:rPr>
        <w:t xml:space="preserve"> في المدرسة الاجتماعية التأويلية، والذي يعتبر التأويل </w:t>
      </w:r>
      <w:r w:rsidRPr="006571AC">
        <w:rPr>
          <w:rFonts w:hint="eastAsia"/>
          <w:sz w:val="24"/>
          <w:szCs w:val="24"/>
          <w:rtl/>
        </w:rPr>
        <w:t>«</w:t>
      </w:r>
      <w:r w:rsidRPr="006571AC">
        <w:rPr>
          <w:sz w:val="27"/>
          <w:rtl/>
        </w:rPr>
        <w:t>تنظيما</w:t>
      </w:r>
      <w:r w:rsidR="006974CC" w:rsidRPr="006571AC">
        <w:rPr>
          <w:rFonts w:hint="cs"/>
          <w:sz w:val="27"/>
          <w:rtl/>
        </w:rPr>
        <w:t>ً</w:t>
      </w:r>
      <w:r w:rsidRPr="006571AC">
        <w:rPr>
          <w:sz w:val="27"/>
          <w:rtl/>
        </w:rPr>
        <w:t xml:space="preserve"> للمعنى الذاتي (غير الموضوعي) من خلال المفاهيم</w:t>
      </w:r>
      <w:r w:rsidRPr="006571AC">
        <w:rPr>
          <w:rFonts w:hint="eastAsia"/>
          <w:sz w:val="24"/>
          <w:szCs w:val="24"/>
          <w:rtl/>
        </w:rPr>
        <w:t>»</w:t>
      </w:r>
      <w:r w:rsidRPr="006571AC">
        <w:rPr>
          <w:sz w:val="27"/>
          <w:rtl/>
        </w:rPr>
        <w:t xml:space="preserve">. أما نحن فنأخذ الفهم ـ على غرار الصدر وفيبر ـ على أنه </w:t>
      </w:r>
      <w:r w:rsidRPr="006571AC">
        <w:rPr>
          <w:rFonts w:hint="eastAsia"/>
          <w:sz w:val="24"/>
          <w:szCs w:val="24"/>
          <w:rtl/>
        </w:rPr>
        <w:t>«</w:t>
      </w:r>
      <w:r w:rsidRPr="006571AC">
        <w:rPr>
          <w:sz w:val="27"/>
          <w:rtl/>
        </w:rPr>
        <w:t>انتزاع</w:t>
      </w:r>
      <w:r w:rsidR="006974CC" w:rsidRPr="006571AC">
        <w:rPr>
          <w:rFonts w:hint="cs"/>
          <w:sz w:val="27"/>
          <w:rtl/>
        </w:rPr>
        <w:t>ٌ</w:t>
      </w:r>
      <w:r w:rsidRPr="006571AC">
        <w:rPr>
          <w:sz w:val="27"/>
          <w:rtl/>
        </w:rPr>
        <w:t>، لكن</w:t>
      </w:r>
      <w:r w:rsidR="006D54BB" w:rsidRPr="006571AC">
        <w:rPr>
          <w:rFonts w:hint="cs"/>
          <w:sz w:val="27"/>
          <w:rtl/>
        </w:rPr>
        <w:t>ْ</w:t>
      </w:r>
      <w:r w:rsidRPr="006571AC">
        <w:rPr>
          <w:sz w:val="27"/>
          <w:rtl/>
        </w:rPr>
        <w:t xml:space="preserve"> موضوعي</w:t>
      </w:r>
      <w:r w:rsidR="006974CC" w:rsidRPr="006571AC">
        <w:rPr>
          <w:rFonts w:hint="cs"/>
          <w:sz w:val="27"/>
          <w:rtl/>
        </w:rPr>
        <w:t>ٌّ</w:t>
      </w:r>
      <w:r w:rsidRPr="006571AC">
        <w:rPr>
          <w:sz w:val="27"/>
          <w:rtl/>
        </w:rPr>
        <w:t>، للمعنى الممكن</w:t>
      </w:r>
      <w:r w:rsidRPr="006571AC">
        <w:rPr>
          <w:rFonts w:hint="eastAsia"/>
          <w:sz w:val="24"/>
          <w:szCs w:val="24"/>
          <w:rtl/>
        </w:rPr>
        <w:t>»</w:t>
      </w:r>
      <w:r w:rsidRPr="006571AC">
        <w:rPr>
          <w:sz w:val="27"/>
          <w:rtl/>
        </w:rPr>
        <w:t xml:space="preserve"> (أو بحث عنه)</w:t>
      </w:r>
      <w:r w:rsidR="006974CC" w:rsidRPr="006571AC">
        <w:rPr>
          <w:rFonts w:hint="cs"/>
          <w:sz w:val="27"/>
          <w:rtl/>
        </w:rPr>
        <w:t>؛</w:t>
      </w:r>
      <w:r w:rsidRPr="006571AC">
        <w:rPr>
          <w:sz w:val="27"/>
          <w:rtl/>
        </w:rPr>
        <w:t xml:space="preserve"> والتأويل على أنه </w:t>
      </w:r>
      <w:r w:rsidRPr="006571AC">
        <w:rPr>
          <w:rFonts w:hint="eastAsia"/>
          <w:sz w:val="24"/>
          <w:szCs w:val="24"/>
          <w:rtl/>
        </w:rPr>
        <w:t>«</w:t>
      </w:r>
      <w:r w:rsidRPr="006571AC">
        <w:rPr>
          <w:sz w:val="27"/>
          <w:rtl/>
        </w:rPr>
        <w:t>تنظيم</w:t>
      </w:r>
      <w:r w:rsidR="006974CC" w:rsidRPr="006571AC">
        <w:rPr>
          <w:rFonts w:hint="cs"/>
          <w:sz w:val="27"/>
          <w:rtl/>
        </w:rPr>
        <w:t>ٌ</w:t>
      </w:r>
      <w:r w:rsidRPr="006571AC">
        <w:rPr>
          <w:sz w:val="27"/>
          <w:rtl/>
        </w:rPr>
        <w:t xml:space="preserve"> ـ ترجمة</w:t>
      </w:r>
      <w:r w:rsidR="006D54BB" w:rsidRPr="006571AC">
        <w:rPr>
          <w:rFonts w:hint="cs"/>
          <w:sz w:val="27"/>
          <w:rtl/>
        </w:rPr>
        <w:t>ٌ</w:t>
      </w:r>
      <w:r w:rsidRPr="006571AC">
        <w:rPr>
          <w:sz w:val="27"/>
          <w:rtl/>
        </w:rPr>
        <w:t>، من خلال المفاهيم أيضا</w:t>
      </w:r>
      <w:r w:rsidR="006974CC" w:rsidRPr="006571AC">
        <w:rPr>
          <w:rFonts w:hint="cs"/>
          <w:sz w:val="27"/>
          <w:rtl/>
        </w:rPr>
        <w:t>ً</w:t>
      </w:r>
      <w:r w:rsidRPr="006571AC">
        <w:rPr>
          <w:sz w:val="27"/>
          <w:rtl/>
        </w:rPr>
        <w:t>، لكن</w:t>
      </w:r>
      <w:r w:rsidR="006974CC" w:rsidRPr="006571AC">
        <w:rPr>
          <w:rFonts w:hint="cs"/>
          <w:sz w:val="27"/>
          <w:rtl/>
        </w:rPr>
        <w:t>ْ</w:t>
      </w:r>
      <w:r w:rsidRPr="006571AC">
        <w:rPr>
          <w:sz w:val="27"/>
          <w:rtl/>
        </w:rPr>
        <w:t xml:space="preserve"> للمعاني الموضوعية الممكنة</w:t>
      </w:r>
      <w:r w:rsidRPr="006571AC">
        <w:rPr>
          <w:rFonts w:hint="eastAsia"/>
          <w:sz w:val="24"/>
          <w:szCs w:val="24"/>
          <w:rtl/>
        </w:rPr>
        <w:t>»</w:t>
      </w:r>
      <w:r w:rsidR="006974CC" w:rsidRPr="006571AC">
        <w:rPr>
          <w:rFonts w:hint="cs"/>
          <w:sz w:val="27"/>
          <w:rtl/>
        </w:rPr>
        <w:t>،</w:t>
      </w:r>
      <w:r w:rsidRPr="006571AC">
        <w:rPr>
          <w:sz w:val="27"/>
          <w:rtl/>
        </w:rPr>
        <w:t xml:space="preserve"> التي يمكن استقراؤها من أقوال ونقاشات الفقهاء</w:t>
      </w:r>
      <w:r w:rsidR="007E254D" w:rsidRPr="006571AC">
        <w:rPr>
          <w:rFonts w:hint="cs"/>
          <w:sz w:val="27"/>
          <w:vertAlign w:val="superscript"/>
          <w:rtl/>
        </w:rPr>
        <w:t>(</w:t>
      </w:r>
      <w:r w:rsidR="007E254D" w:rsidRPr="006571AC">
        <w:rPr>
          <w:rStyle w:val="ac"/>
          <w:sz w:val="27"/>
          <w:rtl/>
        </w:rPr>
        <w:endnoteReference w:id="913"/>
      </w:r>
      <w:r w:rsidR="007E254D" w:rsidRPr="006571AC">
        <w:rPr>
          <w:rFonts w:hint="cs"/>
          <w:sz w:val="27"/>
          <w:vertAlign w:val="superscript"/>
          <w:rtl/>
        </w:rPr>
        <w:t>)</w:t>
      </w:r>
      <w:r w:rsidR="00F032B0" w:rsidRPr="006571AC">
        <w:rPr>
          <w:sz w:val="27"/>
          <w:rtl/>
        </w:rPr>
        <w:t>.</w:t>
      </w:r>
      <w:r w:rsidRPr="006571AC">
        <w:rPr>
          <w:sz w:val="27"/>
          <w:rtl/>
        </w:rPr>
        <w:t xml:space="preserve"> </w:t>
      </w:r>
    </w:p>
    <w:p w:rsidR="00962F60" w:rsidRPr="006571AC" w:rsidRDefault="00962F60" w:rsidP="006D54BB">
      <w:pPr>
        <w:rPr>
          <w:sz w:val="27"/>
        </w:rPr>
      </w:pPr>
      <w:r w:rsidRPr="006571AC">
        <w:rPr>
          <w:sz w:val="27"/>
          <w:rtl/>
        </w:rPr>
        <w:t>إنّ طريقة الطبقات (أو الطوابق) هذه تقول إذن بالانتقال من دراسة الأحكام الفقهية الجزئية التفصيلية حول موضوع</w:t>
      </w:r>
      <w:r w:rsidR="006974CC" w:rsidRPr="006571AC">
        <w:rPr>
          <w:rFonts w:hint="cs"/>
          <w:sz w:val="27"/>
          <w:rtl/>
        </w:rPr>
        <w:t>ٍ</w:t>
      </w:r>
      <w:r w:rsidRPr="006571AC">
        <w:rPr>
          <w:sz w:val="27"/>
          <w:rtl/>
        </w:rPr>
        <w:t xml:space="preserve"> معين إلى استقراء المعاني المفاهمية الممكنة أو المرج</w:t>
      </w:r>
      <w:r w:rsidR="006974CC" w:rsidRPr="006571AC">
        <w:rPr>
          <w:rFonts w:hint="cs"/>
          <w:sz w:val="27"/>
          <w:rtl/>
        </w:rPr>
        <w:t>ّ</w:t>
      </w:r>
      <w:r w:rsidR="006D54BB" w:rsidRPr="006571AC">
        <w:rPr>
          <w:rFonts w:hint="cs"/>
          <w:sz w:val="27"/>
          <w:rtl/>
        </w:rPr>
        <w:t>َ</w:t>
      </w:r>
      <w:r w:rsidRPr="006571AC">
        <w:rPr>
          <w:sz w:val="27"/>
          <w:rtl/>
        </w:rPr>
        <w:t>حة حوله أيضا</w:t>
      </w:r>
      <w:r w:rsidR="006974CC" w:rsidRPr="006571AC">
        <w:rPr>
          <w:rFonts w:hint="cs"/>
          <w:sz w:val="27"/>
          <w:rtl/>
        </w:rPr>
        <w:t>ً</w:t>
      </w:r>
      <w:r w:rsidRPr="006571AC">
        <w:rPr>
          <w:sz w:val="27"/>
          <w:rtl/>
        </w:rPr>
        <w:t>، ثم</w:t>
      </w:r>
      <w:r w:rsidR="006974CC" w:rsidRPr="006571AC">
        <w:rPr>
          <w:rFonts w:hint="cs"/>
          <w:sz w:val="27"/>
          <w:rtl/>
        </w:rPr>
        <w:t>ّ</w:t>
      </w:r>
      <w:r w:rsidRPr="006571AC">
        <w:rPr>
          <w:sz w:val="27"/>
          <w:rtl/>
        </w:rPr>
        <w:t xml:space="preserve"> إلى استقراء المباني النظرية (بالمعنى الأيديولوجي) حوله. ونحن، ولو اختل</w:t>
      </w:r>
      <w:r w:rsidR="006974CC" w:rsidRPr="006571AC">
        <w:rPr>
          <w:rFonts w:hint="cs"/>
          <w:sz w:val="27"/>
          <w:rtl/>
        </w:rPr>
        <w:t>َ</w:t>
      </w:r>
      <w:r w:rsidRPr="006571AC">
        <w:rPr>
          <w:sz w:val="27"/>
          <w:rtl/>
        </w:rPr>
        <w:t>ف</w:t>
      </w:r>
      <w:r w:rsidR="006974CC" w:rsidRPr="006571AC">
        <w:rPr>
          <w:rFonts w:hint="cs"/>
          <w:sz w:val="27"/>
          <w:rtl/>
        </w:rPr>
        <w:t>ْ</w:t>
      </w:r>
      <w:r w:rsidRPr="006571AC">
        <w:rPr>
          <w:sz w:val="27"/>
          <w:rtl/>
        </w:rPr>
        <w:t>نا أنطولوجي</w:t>
      </w:r>
      <w:r w:rsidR="006974CC" w:rsidRPr="006571AC">
        <w:rPr>
          <w:rFonts w:hint="cs"/>
          <w:sz w:val="27"/>
          <w:rtl/>
        </w:rPr>
        <w:t>ّ</w:t>
      </w:r>
      <w:r w:rsidRPr="006571AC">
        <w:rPr>
          <w:sz w:val="27"/>
          <w:rtl/>
        </w:rPr>
        <w:t>اً مع السيد الصدر حول الاعتقاد بوجود (أو عدم وجود) معنى</w:t>
      </w:r>
      <w:r w:rsidR="006974CC" w:rsidRPr="006571AC">
        <w:rPr>
          <w:rFonts w:hint="cs"/>
          <w:sz w:val="27"/>
          <w:rtl/>
        </w:rPr>
        <w:t>ً</w:t>
      </w:r>
      <w:r w:rsidRPr="006571AC">
        <w:rPr>
          <w:sz w:val="27"/>
          <w:rtl/>
        </w:rPr>
        <w:t xml:space="preserve"> مفاهيمي ـ نظري مؤك</w:t>
      </w:r>
      <w:r w:rsidR="006974CC" w:rsidRPr="006571AC">
        <w:rPr>
          <w:rFonts w:hint="cs"/>
          <w:sz w:val="27"/>
          <w:rtl/>
        </w:rPr>
        <w:t>ّ</w:t>
      </w:r>
      <w:r w:rsidR="006D54BB" w:rsidRPr="006571AC">
        <w:rPr>
          <w:rFonts w:hint="cs"/>
          <w:sz w:val="27"/>
          <w:rtl/>
        </w:rPr>
        <w:t>َ</w:t>
      </w:r>
      <w:r w:rsidRPr="006571AC">
        <w:rPr>
          <w:sz w:val="27"/>
          <w:rtl/>
        </w:rPr>
        <w:t>د ويقيني</w:t>
      </w:r>
      <w:r w:rsidR="006974CC" w:rsidRPr="006571AC">
        <w:rPr>
          <w:rFonts w:hint="cs"/>
          <w:sz w:val="27"/>
          <w:rtl/>
        </w:rPr>
        <w:t>ّ</w:t>
      </w:r>
      <w:r w:rsidRPr="006571AC">
        <w:rPr>
          <w:sz w:val="27"/>
          <w:rtl/>
        </w:rPr>
        <w:t xml:space="preserve"> خلف أحكام الفقهاء في كل</w:t>
      </w:r>
      <w:r w:rsidR="006974CC" w:rsidRPr="006571AC">
        <w:rPr>
          <w:rFonts w:hint="cs"/>
          <w:sz w:val="27"/>
          <w:rtl/>
        </w:rPr>
        <w:t>ّ</w:t>
      </w:r>
      <w:r w:rsidRPr="006571AC">
        <w:rPr>
          <w:sz w:val="27"/>
          <w:rtl/>
        </w:rPr>
        <w:t xml:space="preserve"> باب</w:t>
      </w:r>
      <w:r w:rsidR="006974CC" w:rsidRPr="006571AC">
        <w:rPr>
          <w:rFonts w:hint="cs"/>
          <w:sz w:val="27"/>
          <w:rtl/>
        </w:rPr>
        <w:t>ٍ</w:t>
      </w:r>
      <w:r w:rsidRPr="006571AC">
        <w:rPr>
          <w:sz w:val="27"/>
          <w:rtl/>
        </w:rPr>
        <w:t>، فمن الحك</w:t>
      </w:r>
      <w:r w:rsidR="006D54BB" w:rsidRPr="006571AC">
        <w:rPr>
          <w:rFonts w:hint="cs"/>
          <w:sz w:val="27"/>
          <w:rtl/>
        </w:rPr>
        <w:t>مة</w:t>
      </w:r>
      <w:r w:rsidRPr="006571AC">
        <w:rPr>
          <w:sz w:val="27"/>
          <w:rtl/>
        </w:rPr>
        <w:t xml:space="preserve"> أن نلتقي معه حول مبدأ استعمال أحكام الفقهاء كمعطيات، وحول مبدأ </w:t>
      </w:r>
      <w:r w:rsidRPr="006571AC">
        <w:rPr>
          <w:sz w:val="27"/>
          <w:rtl/>
        </w:rPr>
        <w:lastRenderedPageBreak/>
        <w:t xml:space="preserve">طريقة الطبقات، وذلك في سبيل الفهم العلمي الموضوعي للمعاني المفاهمية ـ النظرية الممكنة خلف خطاب هؤلاء. </w:t>
      </w:r>
    </w:p>
    <w:p w:rsidR="00962F60" w:rsidRPr="006571AC" w:rsidRDefault="00962F60" w:rsidP="007E009E">
      <w:pPr>
        <w:rPr>
          <w:sz w:val="27"/>
        </w:rPr>
      </w:pPr>
      <w:r w:rsidRPr="006571AC">
        <w:rPr>
          <w:sz w:val="27"/>
          <w:rtl/>
        </w:rPr>
        <w:t>ومن شأن هذا الالتقاء الأكاديمي أن يؤس</w:t>
      </w:r>
      <w:r w:rsidR="006974CC" w:rsidRPr="006571AC">
        <w:rPr>
          <w:rFonts w:hint="cs"/>
          <w:sz w:val="27"/>
          <w:rtl/>
        </w:rPr>
        <w:t>ِّ</w:t>
      </w:r>
      <w:r w:rsidRPr="006571AC">
        <w:rPr>
          <w:sz w:val="27"/>
          <w:rtl/>
        </w:rPr>
        <w:t>س لصفحة</w:t>
      </w:r>
      <w:r w:rsidR="006974CC" w:rsidRPr="006571AC">
        <w:rPr>
          <w:rFonts w:hint="cs"/>
          <w:sz w:val="27"/>
          <w:rtl/>
        </w:rPr>
        <w:t>ٍ</w:t>
      </w:r>
      <w:r w:rsidRPr="006571AC">
        <w:rPr>
          <w:sz w:val="27"/>
          <w:rtl/>
        </w:rPr>
        <w:t xml:space="preserve"> جديدة في منهجية العلوم ال</w:t>
      </w:r>
      <w:r w:rsidR="006974CC" w:rsidRPr="006571AC">
        <w:rPr>
          <w:rFonts w:hint="cs"/>
          <w:sz w:val="27"/>
          <w:rtl/>
        </w:rPr>
        <w:t>إ</w:t>
      </w:r>
      <w:r w:rsidRPr="006571AC">
        <w:rPr>
          <w:sz w:val="27"/>
          <w:rtl/>
        </w:rPr>
        <w:t>سلامية، وهذا ما سنعود إليه لاحقا</w:t>
      </w:r>
      <w:r w:rsidR="006974CC" w:rsidRPr="006571AC">
        <w:rPr>
          <w:rFonts w:hint="cs"/>
          <w:sz w:val="27"/>
          <w:rtl/>
        </w:rPr>
        <w:t>ً</w:t>
      </w:r>
      <w:r w:rsidRPr="006571AC">
        <w:rPr>
          <w:sz w:val="27"/>
          <w:rtl/>
        </w:rPr>
        <w:t>. لكنّ جرأة الصدر التجديدية لا تتوق</w:t>
      </w:r>
      <w:r w:rsidR="006974CC" w:rsidRPr="006571AC">
        <w:rPr>
          <w:rFonts w:hint="cs"/>
          <w:sz w:val="27"/>
          <w:rtl/>
        </w:rPr>
        <w:t>َّ</w:t>
      </w:r>
      <w:r w:rsidRPr="006571AC">
        <w:rPr>
          <w:sz w:val="27"/>
          <w:rtl/>
        </w:rPr>
        <w:t>ف عند هذا الحد</w:t>
      </w:r>
      <w:r w:rsidR="006974CC" w:rsidRPr="006571AC">
        <w:rPr>
          <w:rFonts w:hint="cs"/>
          <w:sz w:val="27"/>
          <w:rtl/>
        </w:rPr>
        <w:t>ّ</w:t>
      </w:r>
      <w:r w:rsidRPr="006571AC">
        <w:rPr>
          <w:sz w:val="27"/>
          <w:rtl/>
        </w:rPr>
        <w:t xml:space="preserve"> أيضا</w:t>
      </w:r>
      <w:r w:rsidR="006974CC" w:rsidRPr="006571AC">
        <w:rPr>
          <w:rFonts w:hint="cs"/>
          <w:sz w:val="27"/>
          <w:rtl/>
        </w:rPr>
        <w:t>ً</w:t>
      </w:r>
      <w:r w:rsidRPr="006571AC">
        <w:rPr>
          <w:sz w:val="27"/>
          <w:rtl/>
        </w:rPr>
        <w:t>، بل تتعدّاه إلى مفهوم</w:t>
      </w:r>
      <w:r w:rsidR="006974CC" w:rsidRPr="006571AC">
        <w:rPr>
          <w:rFonts w:hint="cs"/>
          <w:sz w:val="27"/>
          <w:rtl/>
        </w:rPr>
        <w:t>ٍ</w:t>
      </w:r>
      <w:r w:rsidRPr="006571AC">
        <w:rPr>
          <w:sz w:val="27"/>
          <w:rtl/>
        </w:rPr>
        <w:t xml:space="preserve"> أصبح معروفا</w:t>
      </w:r>
      <w:r w:rsidR="006974CC" w:rsidRPr="006571AC">
        <w:rPr>
          <w:rFonts w:hint="cs"/>
          <w:sz w:val="27"/>
          <w:rtl/>
        </w:rPr>
        <w:t>ً</w:t>
      </w:r>
      <w:r w:rsidRPr="006571AC">
        <w:rPr>
          <w:sz w:val="27"/>
          <w:rtl/>
        </w:rPr>
        <w:t xml:space="preserve"> في العلوم الحوزوية الشيعية ـ ال</w:t>
      </w:r>
      <w:r w:rsidR="006974CC" w:rsidRPr="006571AC">
        <w:rPr>
          <w:rFonts w:hint="cs"/>
          <w:sz w:val="27"/>
          <w:rtl/>
        </w:rPr>
        <w:t>إ</w:t>
      </w:r>
      <w:r w:rsidRPr="006571AC">
        <w:rPr>
          <w:sz w:val="27"/>
          <w:rtl/>
        </w:rPr>
        <w:t>مامية المعاصرة</w:t>
      </w:r>
      <w:r w:rsidR="006974CC" w:rsidRPr="006571AC">
        <w:rPr>
          <w:rFonts w:hint="cs"/>
          <w:sz w:val="27"/>
          <w:rtl/>
        </w:rPr>
        <w:t>،</w:t>
      </w:r>
      <w:r w:rsidRPr="006571AC">
        <w:rPr>
          <w:sz w:val="27"/>
          <w:rtl/>
        </w:rPr>
        <w:t xml:space="preserve"> وهو مفهوم </w:t>
      </w:r>
      <w:r w:rsidRPr="006571AC">
        <w:rPr>
          <w:rFonts w:hint="eastAsia"/>
          <w:sz w:val="24"/>
          <w:szCs w:val="24"/>
          <w:rtl/>
        </w:rPr>
        <w:t>«</w:t>
      </w:r>
      <w:r w:rsidRPr="006571AC">
        <w:rPr>
          <w:sz w:val="27"/>
          <w:rtl/>
        </w:rPr>
        <w:t>منطقة الفراغ</w:t>
      </w:r>
      <w:r w:rsidRPr="006571AC">
        <w:rPr>
          <w:rFonts w:hint="eastAsia"/>
          <w:sz w:val="24"/>
          <w:szCs w:val="24"/>
          <w:rtl/>
        </w:rPr>
        <w:t>»</w:t>
      </w:r>
      <w:r w:rsidRPr="006571AC">
        <w:rPr>
          <w:sz w:val="27"/>
          <w:rtl/>
        </w:rPr>
        <w:t xml:space="preserve"> (راج</w:t>
      </w:r>
      <w:r w:rsidR="006974CC" w:rsidRPr="006571AC">
        <w:rPr>
          <w:rFonts w:hint="cs"/>
          <w:sz w:val="27"/>
          <w:rtl/>
        </w:rPr>
        <w:t>ِ</w:t>
      </w:r>
      <w:r w:rsidRPr="006571AC">
        <w:rPr>
          <w:sz w:val="27"/>
          <w:rtl/>
        </w:rPr>
        <w:t>ع</w:t>
      </w:r>
      <w:r w:rsidR="006974CC" w:rsidRPr="006571AC">
        <w:rPr>
          <w:rFonts w:hint="cs"/>
          <w:sz w:val="27"/>
          <w:rtl/>
        </w:rPr>
        <w:t>ْ</w:t>
      </w:r>
      <w:r w:rsidRPr="006571AC">
        <w:rPr>
          <w:sz w:val="27"/>
          <w:rtl/>
        </w:rPr>
        <w:t xml:space="preserve"> ما يلي). ففي خضم</w:t>
      </w:r>
      <w:r w:rsidR="007A1C92" w:rsidRPr="006571AC">
        <w:rPr>
          <w:rFonts w:hint="cs"/>
          <w:sz w:val="27"/>
          <w:rtl/>
        </w:rPr>
        <w:t>ّ</w:t>
      </w:r>
      <w:r w:rsidRPr="006571AC">
        <w:rPr>
          <w:sz w:val="27"/>
          <w:rtl/>
        </w:rPr>
        <w:t xml:space="preserve"> نقاشه لمسائل نظرية جزئية في باب التوزيعين</w:t>
      </w:r>
      <w:r w:rsidR="007A1C92" w:rsidRPr="006571AC">
        <w:rPr>
          <w:rFonts w:hint="cs"/>
          <w:sz w:val="27"/>
          <w:rtl/>
        </w:rPr>
        <w:t>:</w:t>
      </w:r>
      <w:r w:rsidRPr="006571AC">
        <w:rPr>
          <w:sz w:val="27"/>
          <w:rtl/>
        </w:rPr>
        <w:t xml:space="preserve"> الابتدائي للموارد الطبيعية</w:t>
      </w:r>
      <w:r w:rsidR="007A1C92" w:rsidRPr="006571AC">
        <w:rPr>
          <w:rFonts w:hint="cs"/>
          <w:sz w:val="27"/>
          <w:rtl/>
        </w:rPr>
        <w:t>؛</w:t>
      </w:r>
      <w:r w:rsidRPr="006571AC">
        <w:rPr>
          <w:sz w:val="27"/>
          <w:rtl/>
        </w:rPr>
        <w:t xml:space="preserve"> والثانوي ـ الوظيفي لعوائد الإنتاج، يعترف الصدر بقضي</w:t>
      </w:r>
      <w:r w:rsidR="007A1C92" w:rsidRPr="006571AC">
        <w:rPr>
          <w:rFonts w:hint="cs"/>
          <w:sz w:val="27"/>
          <w:rtl/>
        </w:rPr>
        <w:t>ّ</w:t>
      </w:r>
      <w:r w:rsidRPr="006571AC">
        <w:rPr>
          <w:sz w:val="27"/>
          <w:rtl/>
        </w:rPr>
        <w:t>ة</w:t>
      </w:r>
      <w:r w:rsidR="007A1C92" w:rsidRPr="006571AC">
        <w:rPr>
          <w:rFonts w:hint="cs"/>
          <w:sz w:val="27"/>
          <w:rtl/>
        </w:rPr>
        <w:t>ٍ</w:t>
      </w:r>
      <w:r w:rsidRPr="006571AC">
        <w:rPr>
          <w:sz w:val="27"/>
          <w:rtl/>
        </w:rPr>
        <w:t xml:space="preserve"> أنطولوجية مهم</w:t>
      </w:r>
      <w:r w:rsidR="007A1C92" w:rsidRPr="006571AC">
        <w:rPr>
          <w:rFonts w:hint="cs"/>
          <w:sz w:val="27"/>
          <w:rtl/>
        </w:rPr>
        <w:t>ّ</w:t>
      </w:r>
      <w:r w:rsidRPr="006571AC">
        <w:rPr>
          <w:sz w:val="27"/>
          <w:rtl/>
        </w:rPr>
        <w:t>ة. فهو يصر</w:t>
      </w:r>
      <w:r w:rsidR="007A1C92" w:rsidRPr="006571AC">
        <w:rPr>
          <w:rFonts w:hint="cs"/>
          <w:sz w:val="27"/>
          <w:rtl/>
        </w:rPr>
        <w:t>ِّ</w:t>
      </w:r>
      <w:r w:rsidRPr="006571AC">
        <w:rPr>
          <w:sz w:val="27"/>
          <w:rtl/>
        </w:rPr>
        <w:t>ح بأنه، خلال الغوص في الطبقات (أو الطوابق) المذكورة، قد لاحظ أن الشارع المقد</w:t>
      </w:r>
      <w:r w:rsidR="007A1C92" w:rsidRPr="006571AC">
        <w:rPr>
          <w:rFonts w:hint="cs"/>
          <w:sz w:val="27"/>
          <w:rtl/>
        </w:rPr>
        <w:t>َّ</w:t>
      </w:r>
      <w:r w:rsidRPr="006571AC">
        <w:rPr>
          <w:sz w:val="27"/>
          <w:rtl/>
        </w:rPr>
        <w:t>س (وهو الله جل</w:t>
      </w:r>
      <w:r w:rsidR="007A1C92" w:rsidRPr="006571AC">
        <w:rPr>
          <w:rFonts w:hint="cs"/>
          <w:sz w:val="27"/>
          <w:rtl/>
        </w:rPr>
        <w:t>َّ</w:t>
      </w:r>
      <w:r w:rsidRPr="006571AC">
        <w:rPr>
          <w:sz w:val="27"/>
          <w:rtl/>
        </w:rPr>
        <w:t xml:space="preserve"> وعلا ورسوله المصطفى</w:t>
      </w:r>
      <w:r w:rsidR="002A2C90" w:rsidRPr="006571AC">
        <w:rPr>
          <w:rFonts w:ascii="Mosawi" w:hAnsi="Mosawi" w:cs="Mosawi"/>
          <w:sz w:val="22"/>
          <w:szCs w:val="22"/>
          <w:rtl/>
        </w:rPr>
        <w:t>|</w:t>
      </w:r>
      <w:r w:rsidRPr="006571AC">
        <w:rPr>
          <w:rFonts w:hint="cs"/>
          <w:sz w:val="27"/>
          <w:rtl/>
        </w:rPr>
        <w:t>،</w:t>
      </w:r>
      <w:r w:rsidRPr="006571AC">
        <w:rPr>
          <w:sz w:val="27"/>
          <w:rtl/>
        </w:rPr>
        <w:t xml:space="preserve"> في نهاية الأمر، ح</w:t>
      </w:r>
      <w:r w:rsidR="007A1C92" w:rsidRPr="006571AC">
        <w:rPr>
          <w:rFonts w:hint="cs"/>
          <w:sz w:val="27"/>
          <w:rtl/>
        </w:rPr>
        <w:t>َ</w:t>
      </w:r>
      <w:r w:rsidRPr="006571AC">
        <w:rPr>
          <w:sz w:val="27"/>
          <w:rtl/>
        </w:rPr>
        <w:t>س</w:t>
      </w:r>
      <w:r w:rsidR="007A1C92" w:rsidRPr="006571AC">
        <w:rPr>
          <w:rFonts w:hint="cs"/>
          <w:sz w:val="27"/>
          <w:rtl/>
        </w:rPr>
        <w:t>ْ</w:t>
      </w:r>
      <w:r w:rsidRPr="006571AC">
        <w:rPr>
          <w:sz w:val="27"/>
          <w:rtl/>
        </w:rPr>
        <w:t>ب اعتقاده) قد ترك ـ لحكمة</w:t>
      </w:r>
      <w:r w:rsidR="007A1C92" w:rsidRPr="006571AC">
        <w:rPr>
          <w:rFonts w:hint="cs"/>
          <w:sz w:val="27"/>
          <w:rtl/>
        </w:rPr>
        <w:t>ٍ</w:t>
      </w:r>
      <w:r w:rsidRPr="006571AC">
        <w:rPr>
          <w:sz w:val="27"/>
          <w:rtl/>
        </w:rPr>
        <w:t xml:space="preserve"> ما ـ مناطق فراغ</w:t>
      </w:r>
      <w:r w:rsidR="006D54BB" w:rsidRPr="006571AC">
        <w:rPr>
          <w:rFonts w:hint="cs"/>
          <w:sz w:val="27"/>
          <w:rtl/>
        </w:rPr>
        <w:t>ٍ</w:t>
      </w:r>
      <w:r w:rsidRPr="006571AC">
        <w:rPr>
          <w:sz w:val="27"/>
          <w:rtl/>
        </w:rPr>
        <w:t xml:space="preserve"> تشريعية، </w:t>
      </w:r>
      <w:r w:rsidR="00731867" w:rsidRPr="006571AC">
        <w:rPr>
          <w:sz w:val="27"/>
          <w:rtl/>
        </w:rPr>
        <w:t>لا بُدَّ</w:t>
      </w:r>
      <w:r w:rsidRPr="006571AC">
        <w:rPr>
          <w:sz w:val="27"/>
          <w:rtl/>
        </w:rPr>
        <w:t xml:space="preserve"> للإمام المجتهد من أن يملأها ح</w:t>
      </w:r>
      <w:r w:rsidR="007A1C92" w:rsidRPr="006571AC">
        <w:rPr>
          <w:rFonts w:hint="cs"/>
          <w:sz w:val="27"/>
          <w:rtl/>
        </w:rPr>
        <w:t>َ</w:t>
      </w:r>
      <w:r w:rsidRPr="006571AC">
        <w:rPr>
          <w:sz w:val="27"/>
          <w:rtl/>
        </w:rPr>
        <w:t>س</w:t>
      </w:r>
      <w:r w:rsidR="007A1C92" w:rsidRPr="006571AC">
        <w:rPr>
          <w:rFonts w:hint="cs"/>
          <w:sz w:val="27"/>
          <w:rtl/>
        </w:rPr>
        <w:t>ْ</w:t>
      </w:r>
      <w:r w:rsidRPr="006571AC">
        <w:rPr>
          <w:sz w:val="27"/>
          <w:rtl/>
        </w:rPr>
        <w:t>ب سياق كل</w:t>
      </w:r>
      <w:r w:rsidR="007A1C92" w:rsidRPr="006571AC">
        <w:rPr>
          <w:rFonts w:hint="cs"/>
          <w:sz w:val="27"/>
          <w:rtl/>
        </w:rPr>
        <w:t>ّ</w:t>
      </w:r>
      <w:r w:rsidRPr="006571AC">
        <w:rPr>
          <w:sz w:val="27"/>
          <w:rtl/>
        </w:rPr>
        <w:t xml:space="preserve"> عصر</w:t>
      </w:r>
      <w:r w:rsidR="007A1C92" w:rsidRPr="006571AC">
        <w:rPr>
          <w:rFonts w:hint="cs"/>
          <w:sz w:val="27"/>
          <w:rtl/>
        </w:rPr>
        <w:t>ٍ</w:t>
      </w:r>
      <w:r w:rsidRPr="006571AC">
        <w:rPr>
          <w:sz w:val="27"/>
          <w:rtl/>
        </w:rPr>
        <w:t xml:space="preserve"> وكل</w:t>
      </w:r>
      <w:r w:rsidR="007A1C92" w:rsidRPr="006571AC">
        <w:rPr>
          <w:rFonts w:hint="cs"/>
          <w:sz w:val="27"/>
          <w:rtl/>
        </w:rPr>
        <w:t>ّ</w:t>
      </w:r>
      <w:r w:rsidRPr="006571AC">
        <w:rPr>
          <w:sz w:val="27"/>
          <w:rtl/>
        </w:rPr>
        <w:t xml:space="preserve"> واقع</w:t>
      </w:r>
      <w:r w:rsidR="007A1C92" w:rsidRPr="006571AC">
        <w:rPr>
          <w:rFonts w:hint="cs"/>
          <w:sz w:val="27"/>
          <w:rtl/>
        </w:rPr>
        <w:t>ٍ</w:t>
      </w:r>
      <w:r w:rsidRPr="006571AC">
        <w:rPr>
          <w:sz w:val="27"/>
          <w:rtl/>
        </w:rPr>
        <w:t xml:space="preserve"> (ضمن الهامش المشروع طبعا</w:t>
      </w:r>
      <w:r w:rsidR="007A1C92" w:rsidRPr="006571AC">
        <w:rPr>
          <w:rFonts w:hint="cs"/>
          <w:sz w:val="27"/>
          <w:rtl/>
        </w:rPr>
        <w:t>ً</w:t>
      </w:r>
      <w:r w:rsidRPr="006571AC">
        <w:rPr>
          <w:sz w:val="27"/>
          <w:rtl/>
        </w:rPr>
        <w:t>). ثم</w:t>
      </w:r>
      <w:r w:rsidR="007A1C92" w:rsidRPr="006571AC">
        <w:rPr>
          <w:rFonts w:hint="cs"/>
          <w:sz w:val="27"/>
          <w:rtl/>
        </w:rPr>
        <w:t>ّ</w:t>
      </w:r>
      <w:r w:rsidRPr="006571AC">
        <w:rPr>
          <w:sz w:val="27"/>
          <w:rtl/>
        </w:rPr>
        <w:t xml:space="preserve"> يشرح السيد الصدر أن منطقة الفراغ التشريعية هذه </w:t>
      </w:r>
      <w:r w:rsidR="00731867" w:rsidRPr="006571AC">
        <w:rPr>
          <w:sz w:val="27"/>
          <w:rtl/>
        </w:rPr>
        <w:t>لا بُدَّ</w:t>
      </w:r>
      <w:r w:rsidRPr="006571AC">
        <w:rPr>
          <w:sz w:val="27"/>
          <w:rtl/>
        </w:rPr>
        <w:t xml:space="preserve"> من أن تؤد</w:t>
      </w:r>
      <w:r w:rsidR="007A1C92" w:rsidRPr="006571AC">
        <w:rPr>
          <w:rFonts w:hint="cs"/>
          <w:sz w:val="27"/>
          <w:rtl/>
        </w:rPr>
        <w:t>ّ</w:t>
      </w:r>
      <w:r w:rsidRPr="006571AC">
        <w:rPr>
          <w:sz w:val="27"/>
          <w:rtl/>
        </w:rPr>
        <w:t>ي إلى مناطق فراغ</w:t>
      </w:r>
      <w:r w:rsidR="006D54BB" w:rsidRPr="006571AC">
        <w:rPr>
          <w:rFonts w:hint="cs"/>
          <w:sz w:val="27"/>
          <w:rtl/>
        </w:rPr>
        <w:t>ٍ</w:t>
      </w:r>
      <w:r w:rsidRPr="006571AC">
        <w:rPr>
          <w:sz w:val="27"/>
          <w:rtl/>
        </w:rPr>
        <w:t xml:space="preserve"> مفاهمية بطبيعة الحال</w:t>
      </w:r>
      <w:r w:rsidR="007A1C92" w:rsidRPr="006571AC">
        <w:rPr>
          <w:rFonts w:hint="cs"/>
          <w:sz w:val="27"/>
          <w:rtl/>
        </w:rPr>
        <w:t>.</w:t>
      </w:r>
      <w:r w:rsidRPr="006571AC">
        <w:rPr>
          <w:sz w:val="27"/>
          <w:rtl/>
        </w:rPr>
        <w:t xml:space="preserve"> وهو قول</w:t>
      </w:r>
      <w:r w:rsidR="007A1C92" w:rsidRPr="006571AC">
        <w:rPr>
          <w:rFonts w:hint="cs"/>
          <w:sz w:val="27"/>
          <w:rtl/>
        </w:rPr>
        <w:t>ٌ</w:t>
      </w:r>
      <w:r w:rsidRPr="006571AC">
        <w:rPr>
          <w:sz w:val="27"/>
          <w:rtl/>
        </w:rPr>
        <w:t xml:space="preserve"> سديد</w:t>
      </w:r>
      <w:r w:rsidR="007A1C92" w:rsidRPr="006571AC">
        <w:rPr>
          <w:rFonts w:hint="cs"/>
          <w:sz w:val="27"/>
          <w:rtl/>
        </w:rPr>
        <w:t>ٌ</w:t>
      </w:r>
      <w:r w:rsidRPr="006571AC">
        <w:rPr>
          <w:sz w:val="27"/>
          <w:rtl/>
        </w:rPr>
        <w:t xml:space="preserve"> طبعا</w:t>
      </w:r>
      <w:r w:rsidR="007A1C92" w:rsidRPr="006571AC">
        <w:rPr>
          <w:rFonts w:hint="cs"/>
          <w:sz w:val="27"/>
          <w:rtl/>
        </w:rPr>
        <w:t>ً</w:t>
      </w:r>
      <w:r w:rsidRPr="006571AC">
        <w:rPr>
          <w:sz w:val="27"/>
          <w:rtl/>
        </w:rPr>
        <w:t>. ومن هنا، يفتح الصدر بابا</w:t>
      </w:r>
      <w:r w:rsidR="007A1C92" w:rsidRPr="006571AC">
        <w:rPr>
          <w:rFonts w:hint="cs"/>
          <w:sz w:val="27"/>
          <w:rtl/>
        </w:rPr>
        <w:t>ً</w:t>
      </w:r>
      <w:r w:rsidRPr="006571AC">
        <w:rPr>
          <w:sz w:val="27"/>
          <w:rtl/>
        </w:rPr>
        <w:t xml:space="preserve"> كبيرا</w:t>
      </w:r>
      <w:r w:rsidR="007A1C92" w:rsidRPr="006571AC">
        <w:rPr>
          <w:rFonts w:hint="cs"/>
          <w:sz w:val="27"/>
          <w:rtl/>
        </w:rPr>
        <w:t>ً</w:t>
      </w:r>
      <w:r w:rsidRPr="006571AC">
        <w:rPr>
          <w:sz w:val="27"/>
          <w:rtl/>
        </w:rPr>
        <w:t xml:space="preserve"> آخر أمام التقريب بين البحث ال</w:t>
      </w:r>
      <w:r w:rsidR="007A1C92" w:rsidRPr="006571AC">
        <w:rPr>
          <w:rFonts w:hint="cs"/>
          <w:sz w:val="27"/>
          <w:rtl/>
        </w:rPr>
        <w:t>إ</w:t>
      </w:r>
      <w:r w:rsidRPr="006571AC">
        <w:rPr>
          <w:sz w:val="27"/>
          <w:rtl/>
        </w:rPr>
        <w:t xml:space="preserve">سلامي والبحث العلمي، </w:t>
      </w:r>
      <w:r w:rsidR="007A1C92" w:rsidRPr="006571AC">
        <w:rPr>
          <w:rFonts w:hint="cs"/>
          <w:sz w:val="27"/>
          <w:rtl/>
        </w:rPr>
        <w:t>و</w:t>
      </w:r>
      <w:r w:rsidR="00731867" w:rsidRPr="006571AC">
        <w:rPr>
          <w:sz w:val="27"/>
          <w:rtl/>
        </w:rPr>
        <w:t>لا سيَّما</w:t>
      </w:r>
      <w:r w:rsidRPr="006571AC">
        <w:rPr>
          <w:sz w:val="27"/>
          <w:rtl/>
        </w:rPr>
        <w:t xml:space="preserve"> البحث العلمي التأويلي</w:t>
      </w:r>
      <w:r w:rsidR="007A1C92" w:rsidRPr="006571AC">
        <w:rPr>
          <w:rFonts w:hint="cs"/>
          <w:sz w:val="27"/>
          <w:rtl/>
        </w:rPr>
        <w:t>،</w:t>
      </w:r>
      <w:r w:rsidRPr="006571AC">
        <w:rPr>
          <w:sz w:val="27"/>
          <w:rtl/>
        </w:rPr>
        <w:t xml:space="preserve"> كما عرّ</w:t>
      </w:r>
      <w:r w:rsidR="007A1C92" w:rsidRPr="006571AC">
        <w:rPr>
          <w:rFonts w:hint="cs"/>
          <w:sz w:val="27"/>
          <w:rtl/>
        </w:rPr>
        <w:t>َ</w:t>
      </w:r>
      <w:r w:rsidRPr="006571AC">
        <w:rPr>
          <w:sz w:val="27"/>
          <w:rtl/>
        </w:rPr>
        <w:t>فناه</w:t>
      </w:r>
      <w:r w:rsidR="007A1C92" w:rsidRPr="006571AC">
        <w:rPr>
          <w:rFonts w:hint="cs"/>
          <w:sz w:val="27"/>
          <w:rtl/>
        </w:rPr>
        <w:t>؛</w:t>
      </w:r>
      <w:r w:rsidRPr="006571AC">
        <w:rPr>
          <w:sz w:val="27"/>
          <w:rtl/>
        </w:rPr>
        <w:t xml:space="preserve"> إذ يقر</w:t>
      </w:r>
      <w:r w:rsidR="007A1C92" w:rsidRPr="006571AC">
        <w:rPr>
          <w:rFonts w:hint="cs"/>
          <w:sz w:val="27"/>
          <w:rtl/>
        </w:rPr>
        <w:t>ّ</w:t>
      </w:r>
      <w:r w:rsidRPr="006571AC">
        <w:rPr>
          <w:sz w:val="27"/>
          <w:rtl/>
        </w:rPr>
        <w:t xml:space="preserve"> بما يمكن تسميته ب</w:t>
      </w:r>
      <w:r w:rsidR="007A1C92" w:rsidRPr="006571AC">
        <w:rPr>
          <w:rFonts w:hint="cs"/>
          <w:sz w:val="27"/>
          <w:rtl/>
        </w:rPr>
        <w:t xml:space="preserve">ـ: </w:t>
      </w:r>
      <w:r w:rsidRPr="006571AC">
        <w:rPr>
          <w:sz w:val="27"/>
          <w:rtl/>
        </w:rPr>
        <w:t>وجود تأويلات مفاهمية متعد</w:t>
      </w:r>
      <w:r w:rsidR="007A1C92" w:rsidRPr="006571AC">
        <w:rPr>
          <w:rFonts w:hint="cs"/>
          <w:sz w:val="27"/>
          <w:rtl/>
        </w:rPr>
        <w:t>ّ</w:t>
      </w:r>
      <w:r w:rsidRPr="006571AC">
        <w:rPr>
          <w:sz w:val="27"/>
          <w:rtl/>
        </w:rPr>
        <w:t>دة ممكنة ـ لا تأويل واحد ـ لكثير</w:t>
      </w:r>
      <w:r w:rsidR="006D54BB" w:rsidRPr="006571AC">
        <w:rPr>
          <w:rFonts w:hint="cs"/>
          <w:sz w:val="27"/>
          <w:rtl/>
        </w:rPr>
        <w:t>ٍ</w:t>
      </w:r>
      <w:r w:rsidRPr="006571AC">
        <w:rPr>
          <w:sz w:val="27"/>
          <w:rtl/>
        </w:rPr>
        <w:t xml:space="preserve"> من المواضيع. لذلك نرى السيد محمد باقر الصدر يتحد</w:t>
      </w:r>
      <w:r w:rsidR="007A1C92" w:rsidRPr="006571AC">
        <w:rPr>
          <w:rFonts w:hint="cs"/>
          <w:sz w:val="27"/>
          <w:rtl/>
        </w:rPr>
        <w:t>ّ</w:t>
      </w:r>
      <w:r w:rsidRPr="006571AC">
        <w:rPr>
          <w:sz w:val="27"/>
          <w:rtl/>
        </w:rPr>
        <w:t>ث عن عد</w:t>
      </w:r>
      <w:r w:rsidR="007A1C92" w:rsidRPr="006571AC">
        <w:rPr>
          <w:rFonts w:hint="cs"/>
          <w:sz w:val="27"/>
          <w:rtl/>
        </w:rPr>
        <w:t>ّ</w:t>
      </w:r>
      <w:r w:rsidRPr="006571AC">
        <w:rPr>
          <w:sz w:val="27"/>
          <w:rtl/>
        </w:rPr>
        <w:t>ة نظري</w:t>
      </w:r>
      <w:r w:rsidR="007A1C92" w:rsidRPr="006571AC">
        <w:rPr>
          <w:rFonts w:hint="cs"/>
          <w:sz w:val="27"/>
          <w:rtl/>
        </w:rPr>
        <w:t>ّ</w:t>
      </w:r>
      <w:r w:rsidRPr="006571AC">
        <w:rPr>
          <w:sz w:val="27"/>
          <w:rtl/>
        </w:rPr>
        <w:t>ات</w:t>
      </w:r>
      <w:r w:rsidR="007A1C92" w:rsidRPr="006571AC">
        <w:rPr>
          <w:rFonts w:hint="cs"/>
          <w:sz w:val="27"/>
          <w:rtl/>
        </w:rPr>
        <w:t>ٍ</w:t>
      </w:r>
      <w:r w:rsidRPr="006571AC">
        <w:rPr>
          <w:sz w:val="27"/>
          <w:rtl/>
        </w:rPr>
        <w:t xml:space="preserve"> </w:t>
      </w:r>
      <w:r w:rsidR="007A1C92" w:rsidRPr="006571AC">
        <w:rPr>
          <w:rFonts w:hint="cs"/>
          <w:sz w:val="27"/>
          <w:rtl/>
        </w:rPr>
        <w:t>إ</w:t>
      </w:r>
      <w:r w:rsidRPr="006571AC">
        <w:rPr>
          <w:sz w:val="27"/>
          <w:rtl/>
        </w:rPr>
        <w:t>سلامية ممكنة حول الموضوع الواحد. وهذا أمر</w:t>
      </w:r>
      <w:r w:rsidR="007A1C92" w:rsidRPr="006571AC">
        <w:rPr>
          <w:rFonts w:hint="cs"/>
          <w:sz w:val="27"/>
          <w:rtl/>
        </w:rPr>
        <w:t>ٌ</w:t>
      </w:r>
      <w:r w:rsidRPr="006571AC">
        <w:rPr>
          <w:sz w:val="27"/>
          <w:rtl/>
        </w:rPr>
        <w:t xml:space="preserve"> مهم</w:t>
      </w:r>
      <w:r w:rsidR="007A1C92" w:rsidRPr="006571AC">
        <w:rPr>
          <w:rFonts w:hint="cs"/>
          <w:sz w:val="27"/>
          <w:rtl/>
        </w:rPr>
        <w:t>ّ</w:t>
      </w:r>
      <w:r w:rsidRPr="006571AC">
        <w:rPr>
          <w:sz w:val="27"/>
          <w:rtl/>
        </w:rPr>
        <w:t xml:space="preserve"> آخر على المستوى ال</w:t>
      </w:r>
      <w:r w:rsidR="007A1C92" w:rsidRPr="006571AC">
        <w:rPr>
          <w:rFonts w:hint="cs"/>
          <w:sz w:val="27"/>
          <w:rtl/>
        </w:rPr>
        <w:t>إ</w:t>
      </w:r>
      <w:r w:rsidRPr="006571AC">
        <w:rPr>
          <w:sz w:val="27"/>
          <w:rtl/>
        </w:rPr>
        <w:t>بستمولوجي والمنهجي</w:t>
      </w:r>
      <w:r w:rsidR="007A1C92" w:rsidRPr="006571AC">
        <w:rPr>
          <w:rFonts w:hint="cs"/>
          <w:sz w:val="27"/>
          <w:rtl/>
        </w:rPr>
        <w:t>؛</w:t>
      </w:r>
      <w:r w:rsidRPr="006571AC">
        <w:rPr>
          <w:sz w:val="27"/>
          <w:rtl/>
        </w:rPr>
        <w:t xml:space="preserve"> إذ يدفع بنا د</w:t>
      </w:r>
      <w:r w:rsidR="006D54BB" w:rsidRPr="006571AC">
        <w:rPr>
          <w:rFonts w:hint="cs"/>
          <w:sz w:val="27"/>
          <w:rtl/>
        </w:rPr>
        <w:t>َ</w:t>
      </w:r>
      <w:r w:rsidRPr="006571AC">
        <w:rPr>
          <w:sz w:val="27"/>
          <w:rtl/>
        </w:rPr>
        <w:t>ف</w:t>
      </w:r>
      <w:r w:rsidR="006D54BB" w:rsidRPr="006571AC">
        <w:rPr>
          <w:rFonts w:hint="cs"/>
          <w:sz w:val="27"/>
          <w:rtl/>
        </w:rPr>
        <w:t>ْ</w:t>
      </w:r>
      <w:r w:rsidRPr="006571AC">
        <w:rPr>
          <w:sz w:val="27"/>
          <w:rtl/>
        </w:rPr>
        <w:t>عاً نحو المفاهيم الفيبرية الأساسية في ال</w:t>
      </w:r>
      <w:r w:rsidR="007A1C92" w:rsidRPr="006571AC">
        <w:rPr>
          <w:rFonts w:hint="cs"/>
          <w:sz w:val="27"/>
          <w:rtl/>
        </w:rPr>
        <w:t>إ</w:t>
      </w:r>
      <w:r w:rsidRPr="006571AC">
        <w:rPr>
          <w:sz w:val="27"/>
          <w:rtl/>
        </w:rPr>
        <w:t>بستيمولوجيا</w:t>
      </w:r>
      <w:r w:rsidR="00B87F7D" w:rsidRPr="006571AC">
        <w:rPr>
          <w:rFonts w:hint="cs"/>
          <w:sz w:val="27"/>
          <w:rtl/>
        </w:rPr>
        <w:t>،</w:t>
      </w:r>
      <w:r w:rsidRPr="006571AC">
        <w:rPr>
          <w:sz w:val="27"/>
          <w:rtl/>
        </w:rPr>
        <w:t xml:space="preserve"> كما في المنهجية (راج</w:t>
      </w:r>
      <w:r w:rsidR="00B87F7D" w:rsidRPr="006571AC">
        <w:rPr>
          <w:rFonts w:hint="cs"/>
          <w:sz w:val="27"/>
          <w:rtl/>
        </w:rPr>
        <w:t>ِ</w:t>
      </w:r>
      <w:r w:rsidRPr="006571AC">
        <w:rPr>
          <w:sz w:val="27"/>
          <w:rtl/>
        </w:rPr>
        <w:t>ع</w:t>
      </w:r>
      <w:r w:rsidR="00B87F7D" w:rsidRPr="006571AC">
        <w:rPr>
          <w:rFonts w:hint="cs"/>
          <w:sz w:val="27"/>
          <w:rtl/>
        </w:rPr>
        <w:t>ْ</w:t>
      </w:r>
      <w:r w:rsidRPr="006571AC">
        <w:rPr>
          <w:sz w:val="27"/>
          <w:rtl/>
        </w:rPr>
        <w:t xml:space="preserve"> المقاطع التالية). </w:t>
      </w:r>
    </w:p>
    <w:p w:rsidR="00810596" w:rsidRPr="006571AC" w:rsidRDefault="00962F60" w:rsidP="007E009E">
      <w:pPr>
        <w:rPr>
          <w:sz w:val="27"/>
          <w:rtl/>
        </w:rPr>
      </w:pPr>
      <w:r w:rsidRPr="006571AC">
        <w:rPr>
          <w:sz w:val="27"/>
          <w:rtl/>
        </w:rPr>
        <w:t xml:space="preserve">في الخلاصة، وفي سبيل الدفاع عن </w:t>
      </w:r>
      <w:r w:rsidR="00810596" w:rsidRPr="006571AC">
        <w:rPr>
          <w:rFonts w:hint="cs"/>
          <w:sz w:val="27"/>
          <w:rtl/>
        </w:rPr>
        <w:t>أ</w:t>
      </w:r>
      <w:r w:rsidRPr="006571AC">
        <w:rPr>
          <w:sz w:val="27"/>
          <w:rtl/>
        </w:rPr>
        <w:t>طروحتنا في هذه الورقة، فقد شدّ</w:t>
      </w:r>
      <w:r w:rsidR="00810596" w:rsidRPr="006571AC">
        <w:rPr>
          <w:rFonts w:hint="cs"/>
          <w:sz w:val="27"/>
          <w:rtl/>
        </w:rPr>
        <w:t>َ</w:t>
      </w:r>
      <w:r w:rsidRPr="006571AC">
        <w:rPr>
          <w:sz w:val="27"/>
          <w:rtl/>
        </w:rPr>
        <w:t>دنا على نقاط أساسية ثلاثة في</w:t>
      </w:r>
      <w:r w:rsidR="00810596" w:rsidRPr="006571AC">
        <w:rPr>
          <w:rFonts w:hint="cs"/>
          <w:sz w:val="27"/>
          <w:rtl/>
        </w:rPr>
        <w:t xml:space="preserve"> </w:t>
      </w:r>
      <w:r w:rsidRPr="006571AC">
        <w:rPr>
          <w:sz w:val="27"/>
          <w:rtl/>
        </w:rPr>
        <w:t>ما يخص</w:t>
      </w:r>
      <w:r w:rsidR="00810596" w:rsidRPr="006571AC">
        <w:rPr>
          <w:rFonts w:hint="cs"/>
          <w:sz w:val="27"/>
          <w:rtl/>
        </w:rPr>
        <w:t>ّ</w:t>
      </w:r>
      <w:r w:rsidRPr="006571AC">
        <w:rPr>
          <w:sz w:val="27"/>
          <w:rtl/>
        </w:rPr>
        <w:t xml:space="preserve"> </w:t>
      </w:r>
      <w:r w:rsidR="00810596" w:rsidRPr="006571AC">
        <w:rPr>
          <w:rFonts w:hint="cs"/>
          <w:sz w:val="27"/>
          <w:rtl/>
        </w:rPr>
        <w:t>إ</w:t>
      </w:r>
      <w:r w:rsidRPr="006571AC">
        <w:rPr>
          <w:sz w:val="27"/>
          <w:rtl/>
        </w:rPr>
        <w:t xml:space="preserve">سهامات </w:t>
      </w:r>
      <w:r w:rsidR="00810596" w:rsidRPr="006571AC">
        <w:rPr>
          <w:rFonts w:hint="cs"/>
          <w:sz w:val="27"/>
          <w:rtl/>
        </w:rPr>
        <w:t>(</w:t>
      </w:r>
      <w:r w:rsidRPr="006571AC">
        <w:rPr>
          <w:sz w:val="27"/>
          <w:rtl/>
        </w:rPr>
        <w:t>اقتصادنا</w:t>
      </w:r>
      <w:r w:rsidR="00810596" w:rsidRPr="006571AC">
        <w:rPr>
          <w:rFonts w:hint="cs"/>
          <w:sz w:val="27"/>
          <w:rtl/>
        </w:rPr>
        <w:t>)</w:t>
      </w:r>
      <w:r w:rsidRPr="006571AC">
        <w:rPr>
          <w:sz w:val="27"/>
          <w:rtl/>
        </w:rPr>
        <w:t xml:space="preserve"> ال</w:t>
      </w:r>
      <w:r w:rsidR="00810596" w:rsidRPr="006571AC">
        <w:rPr>
          <w:rFonts w:hint="cs"/>
          <w:sz w:val="27"/>
          <w:rtl/>
        </w:rPr>
        <w:t>إ</w:t>
      </w:r>
      <w:r w:rsidRPr="006571AC">
        <w:rPr>
          <w:sz w:val="27"/>
          <w:rtl/>
        </w:rPr>
        <w:t>بستيمولوجية والمنهجية</w:t>
      </w:r>
      <w:r w:rsidR="00810596" w:rsidRPr="006571AC">
        <w:rPr>
          <w:rFonts w:hint="cs"/>
          <w:sz w:val="27"/>
          <w:rtl/>
        </w:rPr>
        <w:t>:</w:t>
      </w:r>
    </w:p>
    <w:p w:rsidR="00810596" w:rsidRPr="006571AC" w:rsidRDefault="00962F60" w:rsidP="007E009E">
      <w:pPr>
        <w:rPr>
          <w:sz w:val="27"/>
          <w:rtl/>
        </w:rPr>
      </w:pPr>
      <w:r w:rsidRPr="006571AC">
        <w:rPr>
          <w:rFonts w:hint="cs"/>
          <w:b/>
          <w:bCs/>
          <w:sz w:val="27"/>
          <w:rtl/>
        </w:rPr>
        <w:t>النقطة</w:t>
      </w:r>
      <w:r w:rsidRPr="006571AC">
        <w:rPr>
          <w:b/>
          <w:bCs/>
          <w:sz w:val="27"/>
          <w:rtl/>
        </w:rPr>
        <w:t xml:space="preserve"> </w:t>
      </w:r>
      <w:r w:rsidRPr="006571AC">
        <w:rPr>
          <w:rFonts w:hint="cs"/>
          <w:b/>
          <w:bCs/>
          <w:sz w:val="27"/>
          <w:rtl/>
        </w:rPr>
        <w:t>الأولى</w:t>
      </w:r>
      <w:r w:rsidR="00810596" w:rsidRPr="006571AC">
        <w:rPr>
          <w:rFonts w:hint="cs"/>
          <w:sz w:val="27"/>
          <w:rtl/>
        </w:rPr>
        <w:t>:</w:t>
      </w:r>
      <w:r w:rsidRPr="006571AC">
        <w:rPr>
          <w:sz w:val="27"/>
          <w:rtl/>
        </w:rPr>
        <w:t xml:space="preserve"> </w:t>
      </w:r>
      <w:r w:rsidRPr="006571AC">
        <w:rPr>
          <w:rFonts w:hint="cs"/>
          <w:sz w:val="27"/>
          <w:rtl/>
        </w:rPr>
        <w:t>هي</w:t>
      </w:r>
      <w:r w:rsidRPr="006571AC">
        <w:rPr>
          <w:sz w:val="27"/>
          <w:rtl/>
        </w:rPr>
        <w:t xml:space="preserve"> </w:t>
      </w:r>
      <w:r w:rsidRPr="006571AC">
        <w:rPr>
          <w:rFonts w:hint="cs"/>
          <w:sz w:val="27"/>
          <w:rtl/>
        </w:rPr>
        <w:t>مبدأ</w:t>
      </w:r>
      <w:r w:rsidRPr="006571AC">
        <w:rPr>
          <w:sz w:val="27"/>
          <w:rtl/>
        </w:rPr>
        <w:t xml:space="preserve"> </w:t>
      </w:r>
      <w:r w:rsidRPr="006571AC">
        <w:rPr>
          <w:rFonts w:hint="cs"/>
          <w:sz w:val="27"/>
          <w:rtl/>
        </w:rPr>
        <w:t>اتخاذ</w:t>
      </w:r>
      <w:r w:rsidRPr="006571AC">
        <w:rPr>
          <w:sz w:val="27"/>
          <w:rtl/>
        </w:rPr>
        <w:t xml:space="preserve"> </w:t>
      </w:r>
      <w:r w:rsidRPr="006571AC">
        <w:rPr>
          <w:rFonts w:hint="cs"/>
          <w:sz w:val="27"/>
          <w:rtl/>
        </w:rPr>
        <w:t>أقوال</w:t>
      </w:r>
      <w:r w:rsidRPr="006571AC">
        <w:rPr>
          <w:sz w:val="27"/>
          <w:rtl/>
        </w:rPr>
        <w:t xml:space="preserve"> </w:t>
      </w:r>
      <w:r w:rsidRPr="006571AC">
        <w:rPr>
          <w:rFonts w:hint="cs"/>
          <w:sz w:val="27"/>
          <w:rtl/>
        </w:rPr>
        <w:t>وأحكام</w:t>
      </w:r>
      <w:r w:rsidRPr="006571AC">
        <w:rPr>
          <w:sz w:val="27"/>
          <w:rtl/>
        </w:rPr>
        <w:t xml:space="preserve"> </w:t>
      </w:r>
      <w:r w:rsidRPr="006571AC">
        <w:rPr>
          <w:rFonts w:hint="cs"/>
          <w:sz w:val="27"/>
          <w:rtl/>
        </w:rPr>
        <w:t>الفقهاء</w:t>
      </w:r>
      <w:r w:rsidRPr="006571AC">
        <w:rPr>
          <w:sz w:val="27"/>
          <w:rtl/>
        </w:rPr>
        <w:t xml:space="preserve"> (</w:t>
      </w:r>
      <w:r w:rsidRPr="006571AC">
        <w:rPr>
          <w:rFonts w:hint="cs"/>
          <w:sz w:val="27"/>
          <w:rtl/>
        </w:rPr>
        <w:t>أي</w:t>
      </w:r>
      <w:r w:rsidRPr="006571AC">
        <w:rPr>
          <w:sz w:val="27"/>
          <w:rtl/>
        </w:rPr>
        <w:t xml:space="preserve"> </w:t>
      </w:r>
      <w:r w:rsidRPr="006571AC">
        <w:rPr>
          <w:rFonts w:hint="cs"/>
          <w:sz w:val="27"/>
          <w:rtl/>
        </w:rPr>
        <w:t>خطابهم</w:t>
      </w:r>
      <w:r w:rsidRPr="006571AC">
        <w:rPr>
          <w:sz w:val="27"/>
          <w:rtl/>
        </w:rPr>
        <w:t xml:space="preserve"> </w:t>
      </w:r>
      <w:r w:rsidRPr="006571AC">
        <w:rPr>
          <w:rFonts w:hint="cs"/>
          <w:sz w:val="27"/>
          <w:rtl/>
        </w:rPr>
        <w:t>بشكل</w:t>
      </w:r>
      <w:r w:rsidR="00810596" w:rsidRPr="006571AC">
        <w:rPr>
          <w:rFonts w:hint="cs"/>
          <w:sz w:val="27"/>
          <w:rtl/>
        </w:rPr>
        <w:t>ٍ</w:t>
      </w:r>
      <w:r w:rsidRPr="006571AC">
        <w:rPr>
          <w:sz w:val="27"/>
          <w:rtl/>
        </w:rPr>
        <w:t xml:space="preserve"> </w:t>
      </w:r>
      <w:r w:rsidRPr="006571AC">
        <w:rPr>
          <w:rFonts w:hint="cs"/>
          <w:sz w:val="27"/>
          <w:rtl/>
        </w:rPr>
        <w:t>عام</w:t>
      </w:r>
      <w:r w:rsidR="006D54BB" w:rsidRPr="006571AC">
        <w:rPr>
          <w:rFonts w:hint="cs"/>
          <w:sz w:val="27"/>
          <w:rtl/>
        </w:rPr>
        <w:t>ّ</w:t>
      </w:r>
      <w:r w:rsidRPr="006571AC">
        <w:rPr>
          <w:sz w:val="27"/>
          <w:rtl/>
        </w:rPr>
        <w:t xml:space="preserve">) </w:t>
      </w:r>
      <w:r w:rsidRPr="006571AC">
        <w:rPr>
          <w:rFonts w:hint="cs"/>
          <w:sz w:val="27"/>
          <w:rtl/>
        </w:rPr>
        <w:t>كمعطيات</w:t>
      </w:r>
      <w:r w:rsidRPr="006571AC">
        <w:rPr>
          <w:sz w:val="27"/>
          <w:rtl/>
        </w:rPr>
        <w:t xml:space="preserve"> </w:t>
      </w:r>
      <w:r w:rsidRPr="006571AC">
        <w:rPr>
          <w:rFonts w:hint="cs"/>
          <w:sz w:val="27"/>
          <w:rtl/>
        </w:rPr>
        <w:t>للبحث</w:t>
      </w:r>
      <w:r w:rsidRPr="006571AC">
        <w:rPr>
          <w:sz w:val="27"/>
          <w:rtl/>
        </w:rPr>
        <w:t xml:space="preserve"> </w:t>
      </w:r>
      <w:r w:rsidRPr="006571AC">
        <w:rPr>
          <w:rFonts w:hint="cs"/>
          <w:sz w:val="27"/>
          <w:rtl/>
        </w:rPr>
        <w:t>العلمي</w:t>
      </w:r>
      <w:r w:rsidRPr="006571AC">
        <w:rPr>
          <w:sz w:val="27"/>
          <w:rtl/>
        </w:rPr>
        <w:t xml:space="preserve"> </w:t>
      </w:r>
      <w:r w:rsidRPr="006571AC">
        <w:rPr>
          <w:rFonts w:hint="cs"/>
          <w:sz w:val="27"/>
          <w:rtl/>
        </w:rPr>
        <w:t>المحايد</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شبه</w:t>
      </w:r>
      <w:r w:rsidRPr="006571AC">
        <w:rPr>
          <w:sz w:val="27"/>
          <w:rtl/>
        </w:rPr>
        <w:t xml:space="preserve"> ـ </w:t>
      </w:r>
      <w:r w:rsidRPr="006571AC">
        <w:rPr>
          <w:rFonts w:hint="cs"/>
          <w:sz w:val="27"/>
          <w:rtl/>
        </w:rPr>
        <w:t>المحايد</w:t>
      </w:r>
      <w:r w:rsidRPr="006571AC">
        <w:rPr>
          <w:sz w:val="27"/>
          <w:rtl/>
        </w:rPr>
        <w:t xml:space="preserve"> (</w:t>
      </w:r>
      <w:r w:rsidRPr="006571AC">
        <w:rPr>
          <w:rFonts w:hint="cs"/>
          <w:sz w:val="27"/>
          <w:rtl/>
        </w:rPr>
        <w:t>كما</w:t>
      </w:r>
      <w:r w:rsidRPr="006571AC">
        <w:rPr>
          <w:sz w:val="27"/>
          <w:rtl/>
        </w:rPr>
        <w:t xml:space="preserve"> </w:t>
      </w:r>
      <w:r w:rsidRPr="006571AC">
        <w:rPr>
          <w:rFonts w:hint="cs"/>
          <w:sz w:val="27"/>
          <w:rtl/>
        </w:rPr>
        <w:t>في</w:t>
      </w:r>
      <w:r w:rsidRPr="006571AC">
        <w:rPr>
          <w:sz w:val="27"/>
          <w:rtl/>
        </w:rPr>
        <w:t xml:space="preserve"> </w:t>
      </w:r>
      <w:r w:rsidR="00810596" w:rsidRPr="006571AC">
        <w:rPr>
          <w:rFonts w:hint="cs"/>
          <w:sz w:val="27"/>
          <w:rtl/>
        </w:rPr>
        <w:t>(</w:t>
      </w:r>
      <w:r w:rsidRPr="006571AC">
        <w:rPr>
          <w:sz w:val="27"/>
          <w:rtl/>
        </w:rPr>
        <w:t>اقتصادنا)</w:t>
      </w:r>
      <w:r w:rsidR="00810596" w:rsidRPr="006571AC">
        <w:rPr>
          <w:rFonts w:hint="cs"/>
          <w:sz w:val="27"/>
          <w:rtl/>
        </w:rPr>
        <w:t>)</w:t>
      </w:r>
      <w:r w:rsidRPr="006571AC">
        <w:rPr>
          <w:sz w:val="27"/>
          <w:rtl/>
        </w:rPr>
        <w:t>، أي كمعطيات يمكن التعامل معها على هذا الأساس</w:t>
      </w:r>
      <w:r w:rsidR="00810596" w:rsidRPr="006571AC">
        <w:rPr>
          <w:rFonts w:hint="cs"/>
          <w:sz w:val="27"/>
          <w:rtl/>
        </w:rPr>
        <w:t>،</w:t>
      </w:r>
      <w:r w:rsidRPr="006571AC">
        <w:rPr>
          <w:sz w:val="27"/>
          <w:rtl/>
        </w:rPr>
        <w:t xml:space="preserve"> رغم طبيعتها القريبة من عالم المقدَّس وعالم الق</w:t>
      </w:r>
      <w:r w:rsidR="00810596" w:rsidRPr="006571AC">
        <w:rPr>
          <w:rFonts w:hint="cs"/>
          <w:sz w:val="27"/>
          <w:rtl/>
        </w:rPr>
        <w:t>ِ</w:t>
      </w:r>
      <w:r w:rsidRPr="006571AC">
        <w:rPr>
          <w:sz w:val="27"/>
          <w:rtl/>
        </w:rPr>
        <w:t>يَم، ودون التخلّ</w:t>
      </w:r>
      <w:r w:rsidR="00810596" w:rsidRPr="006571AC">
        <w:rPr>
          <w:rFonts w:hint="cs"/>
          <w:sz w:val="27"/>
          <w:rtl/>
        </w:rPr>
        <w:t>ِ</w:t>
      </w:r>
      <w:r w:rsidRPr="006571AC">
        <w:rPr>
          <w:sz w:val="27"/>
          <w:rtl/>
        </w:rPr>
        <w:t>ي عن هد</w:t>
      </w:r>
      <w:r w:rsidR="00810596" w:rsidRPr="006571AC">
        <w:rPr>
          <w:sz w:val="27"/>
          <w:rtl/>
        </w:rPr>
        <w:t>ف البقاء ضمن الموضوعية العلمية.</w:t>
      </w:r>
    </w:p>
    <w:p w:rsidR="00962F60" w:rsidRPr="006571AC" w:rsidRDefault="00962F60" w:rsidP="0024500D">
      <w:pPr>
        <w:spacing w:line="386" w:lineRule="exact"/>
        <w:rPr>
          <w:sz w:val="27"/>
        </w:rPr>
      </w:pPr>
      <w:r w:rsidRPr="006571AC">
        <w:rPr>
          <w:rFonts w:hint="cs"/>
          <w:b/>
          <w:bCs/>
          <w:sz w:val="27"/>
          <w:rtl/>
        </w:rPr>
        <w:lastRenderedPageBreak/>
        <w:t>النقطة</w:t>
      </w:r>
      <w:r w:rsidRPr="006571AC">
        <w:rPr>
          <w:b/>
          <w:bCs/>
          <w:sz w:val="27"/>
          <w:rtl/>
        </w:rPr>
        <w:t xml:space="preserve"> </w:t>
      </w:r>
      <w:r w:rsidRPr="006571AC">
        <w:rPr>
          <w:rFonts w:hint="cs"/>
          <w:b/>
          <w:bCs/>
          <w:sz w:val="27"/>
          <w:rtl/>
        </w:rPr>
        <w:t>الثانية</w:t>
      </w:r>
      <w:r w:rsidR="00810596" w:rsidRPr="006571AC">
        <w:rPr>
          <w:rFonts w:hint="cs"/>
          <w:sz w:val="27"/>
          <w:rtl/>
        </w:rPr>
        <w:t>:</w:t>
      </w:r>
      <w:r w:rsidRPr="006571AC">
        <w:rPr>
          <w:sz w:val="27"/>
          <w:rtl/>
        </w:rPr>
        <w:t xml:space="preserve"> </w:t>
      </w:r>
      <w:r w:rsidRPr="006571AC">
        <w:rPr>
          <w:rFonts w:hint="cs"/>
          <w:sz w:val="27"/>
          <w:rtl/>
        </w:rPr>
        <w:t>هي</w:t>
      </w:r>
      <w:r w:rsidRPr="006571AC">
        <w:rPr>
          <w:sz w:val="27"/>
          <w:rtl/>
        </w:rPr>
        <w:t xml:space="preserve"> </w:t>
      </w:r>
      <w:r w:rsidRPr="006571AC">
        <w:rPr>
          <w:rFonts w:hint="cs"/>
          <w:sz w:val="27"/>
          <w:rtl/>
        </w:rPr>
        <w:t>طرح</w:t>
      </w:r>
      <w:r w:rsidRPr="006571AC">
        <w:rPr>
          <w:sz w:val="27"/>
          <w:rtl/>
        </w:rPr>
        <w:t xml:space="preserve"> </w:t>
      </w:r>
      <w:r w:rsidRPr="006571AC">
        <w:rPr>
          <w:rFonts w:hint="eastAsia"/>
          <w:sz w:val="24"/>
          <w:szCs w:val="24"/>
          <w:rtl/>
        </w:rPr>
        <w:t>«</w:t>
      </w:r>
      <w:r w:rsidRPr="006571AC">
        <w:rPr>
          <w:rFonts w:hint="cs"/>
          <w:sz w:val="27"/>
          <w:rtl/>
        </w:rPr>
        <w:t>طريقة</w:t>
      </w:r>
      <w:r w:rsidRPr="006571AC">
        <w:rPr>
          <w:sz w:val="27"/>
          <w:rtl/>
        </w:rPr>
        <w:t xml:space="preserve"> </w:t>
      </w:r>
      <w:r w:rsidRPr="006571AC">
        <w:rPr>
          <w:rFonts w:hint="cs"/>
          <w:sz w:val="27"/>
          <w:rtl/>
        </w:rPr>
        <w:t>الطبقات</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الطوابق</w:t>
      </w:r>
      <w:r w:rsidRPr="006571AC">
        <w:rPr>
          <w:rFonts w:hint="eastAsia"/>
          <w:sz w:val="24"/>
          <w:szCs w:val="24"/>
          <w:rtl/>
        </w:rPr>
        <w:t>»</w:t>
      </w:r>
      <w:r w:rsidRPr="006571AC">
        <w:rPr>
          <w:rFonts w:hint="cs"/>
          <w:sz w:val="27"/>
          <w:rtl/>
        </w:rPr>
        <w:t>، حيث</w:t>
      </w:r>
      <w:r w:rsidRPr="006571AC">
        <w:rPr>
          <w:sz w:val="27"/>
          <w:rtl/>
        </w:rPr>
        <w:t xml:space="preserve"> </w:t>
      </w:r>
      <w:r w:rsidRPr="006571AC">
        <w:rPr>
          <w:rFonts w:hint="cs"/>
          <w:sz w:val="27"/>
          <w:rtl/>
        </w:rPr>
        <w:t>نرى</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السيد</w:t>
      </w:r>
      <w:r w:rsidRPr="006571AC">
        <w:rPr>
          <w:sz w:val="27"/>
          <w:rtl/>
        </w:rPr>
        <w:t xml:space="preserve"> </w:t>
      </w:r>
      <w:r w:rsidRPr="006571AC">
        <w:rPr>
          <w:rFonts w:hint="cs"/>
          <w:sz w:val="27"/>
          <w:rtl/>
        </w:rPr>
        <w:t>الصدر</w:t>
      </w:r>
      <w:r w:rsidRPr="006571AC">
        <w:rPr>
          <w:sz w:val="27"/>
          <w:rtl/>
        </w:rPr>
        <w:t xml:space="preserve"> </w:t>
      </w:r>
      <w:r w:rsidRPr="006571AC">
        <w:rPr>
          <w:rFonts w:hint="cs"/>
          <w:sz w:val="27"/>
          <w:rtl/>
        </w:rPr>
        <w:t>ينطلق</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أحكام</w:t>
      </w:r>
      <w:r w:rsidRPr="006571AC">
        <w:rPr>
          <w:sz w:val="27"/>
          <w:rtl/>
        </w:rPr>
        <w:t xml:space="preserve"> </w:t>
      </w:r>
      <w:r w:rsidRPr="006571AC">
        <w:rPr>
          <w:rFonts w:hint="cs"/>
          <w:sz w:val="27"/>
          <w:rtl/>
        </w:rPr>
        <w:t>أبواب</w:t>
      </w:r>
      <w:r w:rsidRPr="006571AC">
        <w:rPr>
          <w:sz w:val="27"/>
          <w:rtl/>
        </w:rPr>
        <w:t xml:space="preserve"> </w:t>
      </w:r>
      <w:r w:rsidRPr="006571AC">
        <w:rPr>
          <w:rFonts w:hint="cs"/>
          <w:sz w:val="27"/>
          <w:rtl/>
        </w:rPr>
        <w:t>الفقه، ليغوص</w:t>
      </w:r>
      <w:r w:rsidRPr="006571AC">
        <w:rPr>
          <w:sz w:val="27"/>
          <w:rtl/>
        </w:rPr>
        <w:t xml:space="preserve"> </w:t>
      </w:r>
      <w:r w:rsidRPr="006571AC">
        <w:rPr>
          <w:rFonts w:hint="cs"/>
          <w:sz w:val="27"/>
          <w:rtl/>
        </w:rPr>
        <w:t>نحو</w:t>
      </w:r>
      <w:r w:rsidRPr="006571AC">
        <w:rPr>
          <w:sz w:val="27"/>
          <w:rtl/>
        </w:rPr>
        <w:t xml:space="preserve"> </w:t>
      </w:r>
      <w:r w:rsidRPr="006571AC">
        <w:rPr>
          <w:rFonts w:hint="cs"/>
          <w:sz w:val="27"/>
          <w:rtl/>
        </w:rPr>
        <w:t>ا</w:t>
      </w:r>
      <w:r w:rsidRPr="006571AC">
        <w:rPr>
          <w:sz w:val="27"/>
          <w:rtl/>
        </w:rPr>
        <w:t>لع</w:t>
      </w:r>
      <w:r w:rsidR="00066137" w:rsidRPr="006571AC">
        <w:rPr>
          <w:rFonts w:hint="cs"/>
          <w:sz w:val="27"/>
          <w:rtl/>
        </w:rPr>
        <w:t>ُ</w:t>
      </w:r>
      <w:r w:rsidRPr="006571AC">
        <w:rPr>
          <w:sz w:val="27"/>
          <w:rtl/>
        </w:rPr>
        <w:t>م</w:t>
      </w:r>
      <w:r w:rsidR="00066137" w:rsidRPr="006571AC">
        <w:rPr>
          <w:rFonts w:hint="cs"/>
          <w:sz w:val="27"/>
          <w:rtl/>
        </w:rPr>
        <w:t>ْ</w:t>
      </w:r>
      <w:r w:rsidRPr="006571AC">
        <w:rPr>
          <w:sz w:val="27"/>
          <w:rtl/>
        </w:rPr>
        <w:t>قين</w:t>
      </w:r>
      <w:r w:rsidR="00E66A0B" w:rsidRPr="006571AC">
        <w:rPr>
          <w:rFonts w:hint="cs"/>
          <w:sz w:val="27"/>
          <w:rtl/>
        </w:rPr>
        <w:t>:</w:t>
      </w:r>
      <w:r w:rsidRPr="006571AC">
        <w:rPr>
          <w:sz w:val="27"/>
          <w:rtl/>
        </w:rPr>
        <w:t xml:space="preserve"> المفاهيمي</w:t>
      </w:r>
      <w:r w:rsidR="00E66A0B" w:rsidRPr="006571AC">
        <w:rPr>
          <w:rFonts w:hint="cs"/>
          <w:sz w:val="27"/>
          <w:rtl/>
        </w:rPr>
        <w:t>؛</w:t>
      </w:r>
      <w:r w:rsidRPr="006571AC">
        <w:rPr>
          <w:sz w:val="27"/>
          <w:rtl/>
        </w:rPr>
        <w:t xml:space="preserve"> والنظري (ال</w:t>
      </w:r>
      <w:r w:rsidR="00E66A0B" w:rsidRPr="006571AC">
        <w:rPr>
          <w:rFonts w:hint="cs"/>
          <w:sz w:val="27"/>
          <w:rtl/>
        </w:rPr>
        <w:t>ل</w:t>
      </w:r>
      <w:r w:rsidR="00066137" w:rsidRPr="006571AC">
        <w:rPr>
          <w:rFonts w:hint="cs"/>
          <w:sz w:val="27"/>
          <w:rtl/>
        </w:rPr>
        <w:t>َّ</w:t>
      </w:r>
      <w:r w:rsidRPr="006571AC">
        <w:rPr>
          <w:sz w:val="27"/>
          <w:rtl/>
        </w:rPr>
        <w:t>ذ</w:t>
      </w:r>
      <w:r w:rsidR="00066137" w:rsidRPr="006571AC">
        <w:rPr>
          <w:rFonts w:hint="cs"/>
          <w:sz w:val="27"/>
          <w:rtl/>
        </w:rPr>
        <w:t>َ</w:t>
      </w:r>
      <w:r w:rsidRPr="006571AC">
        <w:rPr>
          <w:sz w:val="27"/>
          <w:rtl/>
        </w:rPr>
        <w:t>ي</w:t>
      </w:r>
      <w:r w:rsidR="00066137" w:rsidRPr="006571AC">
        <w:rPr>
          <w:rFonts w:hint="cs"/>
          <w:sz w:val="27"/>
          <w:rtl/>
        </w:rPr>
        <w:t>ْ</w:t>
      </w:r>
      <w:r w:rsidRPr="006571AC">
        <w:rPr>
          <w:sz w:val="27"/>
          <w:rtl/>
        </w:rPr>
        <w:t>ن يكوّ</w:t>
      </w:r>
      <w:r w:rsidR="00E66A0B" w:rsidRPr="006571AC">
        <w:rPr>
          <w:rFonts w:hint="cs"/>
          <w:sz w:val="27"/>
          <w:rtl/>
        </w:rPr>
        <w:t>ِ</w:t>
      </w:r>
      <w:r w:rsidRPr="006571AC">
        <w:rPr>
          <w:sz w:val="27"/>
          <w:rtl/>
        </w:rPr>
        <w:t xml:space="preserve">نان </w:t>
      </w:r>
      <w:r w:rsidRPr="006571AC">
        <w:rPr>
          <w:rFonts w:hint="eastAsia"/>
          <w:sz w:val="24"/>
          <w:szCs w:val="24"/>
          <w:rtl/>
        </w:rPr>
        <w:t>«</w:t>
      </w:r>
      <w:r w:rsidRPr="006571AC">
        <w:rPr>
          <w:sz w:val="27"/>
          <w:rtl/>
        </w:rPr>
        <w:t>المذهب الإسلامي</w:t>
      </w:r>
      <w:r w:rsidRPr="006571AC">
        <w:rPr>
          <w:rFonts w:hint="eastAsia"/>
          <w:sz w:val="24"/>
          <w:szCs w:val="24"/>
          <w:rtl/>
        </w:rPr>
        <w:t>»</w:t>
      </w:r>
      <w:r w:rsidRPr="006571AC">
        <w:rPr>
          <w:sz w:val="27"/>
          <w:rtl/>
        </w:rPr>
        <w:t xml:space="preserve"> برأيه)، مع اعتباره ـ الأنطولوجي ـ أن هناك، وبالتأكيد، وجودا</w:t>
      </w:r>
      <w:r w:rsidR="00E66A0B" w:rsidRPr="006571AC">
        <w:rPr>
          <w:rFonts w:hint="cs"/>
          <w:sz w:val="27"/>
          <w:rtl/>
        </w:rPr>
        <w:t>ً</w:t>
      </w:r>
      <w:r w:rsidRPr="006571AC">
        <w:rPr>
          <w:sz w:val="27"/>
          <w:rtl/>
        </w:rPr>
        <w:t xml:space="preserve"> لهذين الع</w:t>
      </w:r>
      <w:r w:rsidR="00066137" w:rsidRPr="006571AC">
        <w:rPr>
          <w:rFonts w:hint="cs"/>
          <w:sz w:val="27"/>
          <w:rtl/>
        </w:rPr>
        <w:t>ُ</w:t>
      </w:r>
      <w:r w:rsidRPr="006571AC">
        <w:rPr>
          <w:sz w:val="27"/>
          <w:rtl/>
        </w:rPr>
        <w:t>م</w:t>
      </w:r>
      <w:r w:rsidR="00066137" w:rsidRPr="006571AC">
        <w:rPr>
          <w:rFonts w:hint="cs"/>
          <w:sz w:val="27"/>
          <w:rtl/>
        </w:rPr>
        <w:t>ْ</w:t>
      </w:r>
      <w:r w:rsidRPr="006571AC">
        <w:rPr>
          <w:sz w:val="27"/>
          <w:rtl/>
        </w:rPr>
        <w:t>قين خلف أحكام الفقه الفرعية والجزئية في كل</w:t>
      </w:r>
      <w:r w:rsidR="00E66A0B" w:rsidRPr="006571AC">
        <w:rPr>
          <w:rFonts w:hint="cs"/>
          <w:sz w:val="27"/>
          <w:rtl/>
        </w:rPr>
        <w:t>ّ</w:t>
      </w:r>
      <w:r w:rsidRPr="006571AC">
        <w:rPr>
          <w:sz w:val="27"/>
          <w:rtl/>
        </w:rPr>
        <w:t xml:space="preserve"> موضوع</w:t>
      </w:r>
      <w:r w:rsidR="00E66A0B" w:rsidRPr="006571AC">
        <w:rPr>
          <w:rFonts w:hint="cs"/>
          <w:sz w:val="27"/>
          <w:rtl/>
        </w:rPr>
        <w:t>ٍ</w:t>
      </w:r>
      <w:r w:rsidRPr="006571AC">
        <w:rPr>
          <w:sz w:val="27"/>
          <w:rtl/>
        </w:rPr>
        <w:t xml:space="preserve">. </w:t>
      </w:r>
    </w:p>
    <w:p w:rsidR="00E66A0B" w:rsidRPr="006571AC" w:rsidRDefault="00962F60" w:rsidP="0024500D">
      <w:pPr>
        <w:spacing w:line="386" w:lineRule="exact"/>
        <w:rPr>
          <w:sz w:val="27"/>
          <w:rtl/>
        </w:rPr>
      </w:pPr>
      <w:r w:rsidRPr="006571AC">
        <w:rPr>
          <w:sz w:val="27"/>
          <w:rtl/>
        </w:rPr>
        <w:t>وبالإضافة إلى هاتين النقطتين الجوهريتين والسبّاقتين بلا أدنى ش</w:t>
      </w:r>
      <w:r w:rsidR="00E66A0B" w:rsidRPr="006571AC">
        <w:rPr>
          <w:rFonts w:hint="cs"/>
          <w:sz w:val="27"/>
          <w:rtl/>
        </w:rPr>
        <w:t>َ</w:t>
      </w:r>
      <w:r w:rsidRPr="006571AC">
        <w:rPr>
          <w:sz w:val="27"/>
          <w:rtl/>
        </w:rPr>
        <w:t>ك</w:t>
      </w:r>
      <w:r w:rsidR="00E66A0B" w:rsidRPr="006571AC">
        <w:rPr>
          <w:rFonts w:hint="cs"/>
          <w:sz w:val="27"/>
          <w:rtl/>
        </w:rPr>
        <w:t>ٍّ</w:t>
      </w:r>
      <w:r w:rsidRPr="006571AC">
        <w:rPr>
          <w:sz w:val="27"/>
          <w:rtl/>
        </w:rPr>
        <w:t>، على المستوى ال</w:t>
      </w:r>
      <w:r w:rsidR="00E66A0B" w:rsidRPr="006571AC">
        <w:rPr>
          <w:rFonts w:hint="cs"/>
          <w:sz w:val="27"/>
          <w:rtl/>
        </w:rPr>
        <w:t>إ</w:t>
      </w:r>
      <w:r w:rsidRPr="006571AC">
        <w:rPr>
          <w:sz w:val="27"/>
          <w:rtl/>
        </w:rPr>
        <w:t>بستيمولوجي</w:t>
      </w:r>
      <w:r w:rsidR="00E66A0B" w:rsidRPr="006571AC">
        <w:rPr>
          <w:rFonts w:hint="cs"/>
          <w:sz w:val="27"/>
          <w:rtl/>
        </w:rPr>
        <w:t>،</w:t>
      </w:r>
      <w:r w:rsidRPr="006571AC">
        <w:rPr>
          <w:sz w:val="27"/>
          <w:rtl/>
        </w:rPr>
        <w:t xml:space="preserve"> كما على المستوى النظري</w:t>
      </w:r>
      <w:r w:rsidR="007E254D" w:rsidRPr="006571AC">
        <w:rPr>
          <w:rFonts w:hint="cs"/>
          <w:sz w:val="27"/>
          <w:vertAlign w:val="superscript"/>
          <w:rtl/>
        </w:rPr>
        <w:t>(</w:t>
      </w:r>
      <w:r w:rsidR="007E254D" w:rsidRPr="006571AC">
        <w:rPr>
          <w:rStyle w:val="ac"/>
          <w:sz w:val="27"/>
          <w:rtl/>
        </w:rPr>
        <w:endnoteReference w:id="914"/>
      </w:r>
      <w:r w:rsidR="007E254D" w:rsidRPr="006571AC">
        <w:rPr>
          <w:rFonts w:hint="cs"/>
          <w:sz w:val="27"/>
          <w:vertAlign w:val="superscript"/>
          <w:rtl/>
        </w:rPr>
        <w:t>)</w:t>
      </w:r>
      <w:r w:rsidRPr="006571AC">
        <w:rPr>
          <w:sz w:val="27"/>
          <w:rtl/>
        </w:rPr>
        <w:t>، واللتين تقر</w:t>
      </w:r>
      <w:r w:rsidR="00E66A0B" w:rsidRPr="006571AC">
        <w:rPr>
          <w:rFonts w:hint="cs"/>
          <w:sz w:val="27"/>
          <w:rtl/>
        </w:rPr>
        <w:t>ِّ</w:t>
      </w:r>
      <w:r w:rsidRPr="006571AC">
        <w:rPr>
          <w:sz w:val="27"/>
          <w:rtl/>
        </w:rPr>
        <w:t>باننا بشكل</w:t>
      </w:r>
      <w:r w:rsidR="00E66A0B" w:rsidRPr="006571AC">
        <w:rPr>
          <w:rFonts w:hint="cs"/>
          <w:sz w:val="27"/>
          <w:rtl/>
        </w:rPr>
        <w:t>ٍ</w:t>
      </w:r>
      <w:r w:rsidRPr="006571AC">
        <w:rPr>
          <w:sz w:val="27"/>
          <w:rtl/>
        </w:rPr>
        <w:t xml:space="preserve"> لافت من البحث </w:t>
      </w:r>
      <w:r w:rsidRPr="006571AC">
        <w:rPr>
          <w:rFonts w:hint="eastAsia"/>
          <w:sz w:val="24"/>
          <w:szCs w:val="24"/>
          <w:rtl/>
        </w:rPr>
        <w:t>«</w:t>
      </w:r>
      <w:r w:rsidRPr="006571AC">
        <w:rPr>
          <w:sz w:val="27"/>
          <w:rtl/>
        </w:rPr>
        <w:t>الفَه</w:t>
      </w:r>
      <w:r w:rsidR="00E66A0B" w:rsidRPr="006571AC">
        <w:rPr>
          <w:rFonts w:hint="cs"/>
          <w:sz w:val="27"/>
          <w:rtl/>
        </w:rPr>
        <w:t>ْ</w:t>
      </w:r>
      <w:r w:rsidRPr="006571AC">
        <w:rPr>
          <w:sz w:val="27"/>
          <w:rtl/>
        </w:rPr>
        <w:t>مي ـ التأويلي</w:t>
      </w:r>
      <w:r w:rsidRPr="006571AC">
        <w:rPr>
          <w:rFonts w:hint="eastAsia"/>
          <w:sz w:val="24"/>
          <w:szCs w:val="24"/>
          <w:rtl/>
        </w:rPr>
        <w:t>»</w:t>
      </w:r>
      <w:r w:rsidRPr="006571AC">
        <w:rPr>
          <w:sz w:val="27"/>
          <w:rtl/>
        </w:rPr>
        <w:t xml:space="preserve"> بالمعنى العلمي المعاصر</w:t>
      </w:r>
      <w:r w:rsidR="00E66A0B" w:rsidRPr="006571AC">
        <w:rPr>
          <w:rFonts w:hint="cs"/>
          <w:sz w:val="27"/>
          <w:rtl/>
        </w:rPr>
        <w:t>،</w:t>
      </w:r>
      <w:r w:rsidRPr="006571AC">
        <w:rPr>
          <w:sz w:val="27"/>
          <w:rtl/>
        </w:rPr>
        <w:t xml:space="preserve"> كما أسل</w:t>
      </w:r>
      <w:r w:rsidR="00E66A0B" w:rsidRPr="006571AC">
        <w:rPr>
          <w:rFonts w:hint="cs"/>
          <w:sz w:val="27"/>
          <w:rtl/>
        </w:rPr>
        <w:t>َ</w:t>
      </w:r>
      <w:r w:rsidRPr="006571AC">
        <w:rPr>
          <w:sz w:val="27"/>
          <w:rtl/>
        </w:rPr>
        <w:t>ف</w:t>
      </w:r>
      <w:r w:rsidR="00E66A0B" w:rsidRPr="006571AC">
        <w:rPr>
          <w:rFonts w:hint="cs"/>
          <w:sz w:val="27"/>
          <w:rtl/>
        </w:rPr>
        <w:t>ْ</w:t>
      </w:r>
      <w:r w:rsidRPr="006571AC">
        <w:rPr>
          <w:sz w:val="27"/>
          <w:rtl/>
        </w:rPr>
        <w:t xml:space="preserve">نا، تبقى النقطة المركزية </w:t>
      </w:r>
      <w:r w:rsidR="00E66A0B" w:rsidRPr="006571AC">
        <w:rPr>
          <w:rFonts w:hint="cs"/>
          <w:sz w:val="27"/>
          <w:rtl/>
        </w:rPr>
        <w:t>إ</w:t>
      </w:r>
      <w:r w:rsidR="00E66A0B" w:rsidRPr="006571AC">
        <w:rPr>
          <w:sz w:val="27"/>
          <w:rtl/>
        </w:rPr>
        <w:t>بستيمولوجي</w:t>
      </w:r>
      <w:r w:rsidR="00066137" w:rsidRPr="006571AC">
        <w:rPr>
          <w:rFonts w:hint="cs"/>
          <w:sz w:val="27"/>
          <w:rtl/>
        </w:rPr>
        <w:t>ّ</w:t>
      </w:r>
      <w:r w:rsidR="00E66A0B" w:rsidRPr="006571AC">
        <w:rPr>
          <w:sz w:val="27"/>
          <w:rtl/>
        </w:rPr>
        <w:t>اً هي:</w:t>
      </w:r>
    </w:p>
    <w:p w:rsidR="00962F60" w:rsidRPr="006571AC" w:rsidRDefault="00E66A0B" w:rsidP="0024500D">
      <w:pPr>
        <w:spacing w:line="386" w:lineRule="exact"/>
        <w:rPr>
          <w:sz w:val="27"/>
        </w:rPr>
      </w:pPr>
      <w:r w:rsidRPr="006571AC">
        <w:rPr>
          <w:rFonts w:hint="cs"/>
          <w:b/>
          <w:bCs/>
          <w:sz w:val="27"/>
          <w:rtl/>
        </w:rPr>
        <w:t>النقطة الثالثة</w:t>
      </w:r>
      <w:r w:rsidRPr="006571AC">
        <w:rPr>
          <w:rFonts w:hint="cs"/>
          <w:sz w:val="27"/>
          <w:rtl/>
        </w:rPr>
        <w:t>:</w:t>
      </w:r>
      <w:r w:rsidR="00962F60" w:rsidRPr="006571AC">
        <w:rPr>
          <w:sz w:val="27"/>
          <w:rtl/>
        </w:rPr>
        <w:t xml:space="preserve"> </w:t>
      </w:r>
      <w:r w:rsidR="00962F60" w:rsidRPr="006571AC">
        <w:rPr>
          <w:rFonts w:hint="cs"/>
          <w:sz w:val="27"/>
          <w:rtl/>
        </w:rPr>
        <w:t>مسألة</w:t>
      </w:r>
      <w:r w:rsidR="00962F60" w:rsidRPr="006571AC">
        <w:rPr>
          <w:sz w:val="27"/>
          <w:rtl/>
        </w:rPr>
        <w:t xml:space="preserve"> </w:t>
      </w:r>
      <w:r w:rsidR="00962F60" w:rsidRPr="006571AC">
        <w:rPr>
          <w:rFonts w:hint="cs"/>
          <w:sz w:val="27"/>
          <w:rtl/>
        </w:rPr>
        <w:t>منطقة</w:t>
      </w:r>
      <w:r w:rsidR="00962F60" w:rsidRPr="006571AC">
        <w:rPr>
          <w:sz w:val="27"/>
          <w:rtl/>
        </w:rPr>
        <w:t xml:space="preserve"> </w:t>
      </w:r>
      <w:r w:rsidR="00962F60" w:rsidRPr="006571AC">
        <w:rPr>
          <w:rFonts w:hint="cs"/>
          <w:sz w:val="27"/>
          <w:rtl/>
        </w:rPr>
        <w:t>الفراغ</w:t>
      </w:r>
      <w:r w:rsidR="00962F60" w:rsidRPr="006571AC">
        <w:rPr>
          <w:sz w:val="27"/>
          <w:rtl/>
        </w:rPr>
        <w:t xml:space="preserve"> </w:t>
      </w:r>
      <w:r w:rsidR="00962F60" w:rsidRPr="006571AC">
        <w:rPr>
          <w:rFonts w:hint="cs"/>
          <w:sz w:val="27"/>
          <w:rtl/>
        </w:rPr>
        <w:t>التشريعية</w:t>
      </w:r>
      <w:r w:rsidR="00962F60" w:rsidRPr="006571AC">
        <w:rPr>
          <w:sz w:val="27"/>
          <w:rtl/>
        </w:rPr>
        <w:t xml:space="preserve"> ـ </w:t>
      </w:r>
      <w:r w:rsidR="00962F60" w:rsidRPr="006571AC">
        <w:rPr>
          <w:rFonts w:hint="cs"/>
          <w:sz w:val="27"/>
          <w:rtl/>
        </w:rPr>
        <w:t>المفاه</w:t>
      </w:r>
      <w:r w:rsidR="00066137" w:rsidRPr="006571AC">
        <w:rPr>
          <w:rFonts w:hint="cs"/>
          <w:sz w:val="27"/>
          <w:rtl/>
        </w:rPr>
        <w:t>ي</w:t>
      </w:r>
      <w:r w:rsidR="00962F60" w:rsidRPr="006571AC">
        <w:rPr>
          <w:rFonts w:hint="cs"/>
          <w:sz w:val="27"/>
          <w:rtl/>
        </w:rPr>
        <w:t>مية، والتي</w:t>
      </w:r>
      <w:r w:rsidR="00962F60" w:rsidRPr="006571AC">
        <w:rPr>
          <w:sz w:val="27"/>
          <w:rtl/>
        </w:rPr>
        <w:t xml:space="preserve"> </w:t>
      </w:r>
      <w:r w:rsidR="00962F60" w:rsidRPr="006571AC">
        <w:rPr>
          <w:rFonts w:hint="cs"/>
          <w:sz w:val="27"/>
          <w:rtl/>
        </w:rPr>
        <w:t>لا</w:t>
      </w:r>
      <w:r w:rsidR="00962F60" w:rsidRPr="006571AC">
        <w:rPr>
          <w:sz w:val="27"/>
          <w:rtl/>
        </w:rPr>
        <w:t xml:space="preserve"> </w:t>
      </w:r>
      <w:r w:rsidR="00962F60" w:rsidRPr="006571AC">
        <w:rPr>
          <w:rFonts w:hint="cs"/>
          <w:sz w:val="27"/>
          <w:rtl/>
        </w:rPr>
        <w:t>يمكن</w:t>
      </w:r>
      <w:r w:rsidR="00962F60" w:rsidRPr="006571AC">
        <w:rPr>
          <w:sz w:val="27"/>
          <w:rtl/>
        </w:rPr>
        <w:t xml:space="preserve"> </w:t>
      </w:r>
      <w:r w:rsidR="00962F60" w:rsidRPr="006571AC">
        <w:rPr>
          <w:rFonts w:hint="cs"/>
          <w:sz w:val="27"/>
          <w:rtl/>
        </w:rPr>
        <w:t>إلا</w:t>
      </w:r>
      <w:r w:rsidRPr="006571AC">
        <w:rPr>
          <w:rFonts w:hint="cs"/>
          <w:sz w:val="27"/>
          <w:rtl/>
        </w:rPr>
        <w:t>ّ</w:t>
      </w:r>
      <w:r w:rsidR="00962F60" w:rsidRPr="006571AC">
        <w:rPr>
          <w:sz w:val="27"/>
          <w:rtl/>
        </w:rPr>
        <w:t xml:space="preserve"> </w:t>
      </w:r>
      <w:r w:rsidR="00962F60" w:rsidRPr="006571AC">
        <w:rPr>
          <w:rFonts w:hint="cs"/>
          <w:sz w:val="27"/>
          <w:rtl/>
        </w:rPr>
        <w:t>اعتب</w:t>
      </w:r>
      <w:r w:rsidRPr="006571AC">
        <w:rPr>
          <w:rFonts w:hint="cs"/>
          <w:sz w:val="27"/>
          <w:rtl/>
        </w:rPr>
        <w:t>ا</w:t>
      </w:r>
      <w:r w:rsidR="00962F60" w:rsidRPr="006571AC">
        <w:rPr>
          <w:rFonts w:hint="cs"/>
          <w:sz w:val="27"/>
          <w:rtl/>
        </w:rPr>
        <w:t>رها</w:t>
      </w:r>
      <w:r w:rsidR="00962F60" w:rsidRPr="006571AC">
        <w:rPr>
          <w:sz w:val="27"/>
          <w:rtl/>
        </w:rPr>
        <w:t xml:space="preserve"> </w:t>
      </w:r>
      <w:r w:rsidR="00962F60" w:rsidRPr="006571AC">
        <w:rPr>
          <w:rFonts w:hint="cs"/>
          <w:sz w:val="27"/>
          <w:rtl/>
        </w:rPr>
        <w:t>ثوري</w:t>
      </w:r>
      <w:r w:rsidRPr="006571AC">
        <w:rPr>
          <w:rFonts w:hint="cs"/>
          <w:sz w:val="27"/>
          <w:rtl/>
        </w:rPr>
        <w:t>ّ</w:t>
      </w:r>
      <w:r w:rsidR="00962F60" w:rsidRPr="006571AC">
        <w:rPr>
          <w:rFonts w:hint="cs"/>
          <w:sz w:val="27"/>
          <w:rtl/>
        </w:rPr>
        <w:t>ة</w:t>
      </w:r>
      <w:r w:rsidRPr="006571AC">
        <w:rPr>
          <w:rFonts w:hint="cs"/>
          <w:sz w:val="27"/>
          <w:rtl/>
        </w:rPr>
        <w:t>ً</w:t>
      </w:r>
      <w:r w:rsidR="00962F60" w:rsidRPr="006571AC">
        <w:rPr>
          <w:sz w:val="27"/>
          <w:rtl/>
        </w:rPr>
        <w:t xml:space="preserve"> </w:t>
      </w:r>
      <w:r w:rsidR="00962F60" w:rsidRPr="006571AC">
        <w:rPr>
          <w:rFonts w:hint="cs"/>
          <w:sz w:val="27"/>
          <w:rtl/>
        </w:rPr>
        <w:t>على</w:t>
      </w:r>
      <w:r w:rsidR="00962F60" w:rsidRPr="006571AC">
        <w:rPr>
          <w:sz w:val="27"/>
          <w:rtl/>
        </w:rPr>
        <w:t xml:space="preserve"> </w:t>
      </w:r>
      <w:r w:rsidR="00962F60" w:rsidRPr="006571AC">
        <w:rPr>
          <w:rFonts w:hint="cs"/>
          <w:sz w:val="27"/>
          <w:rtl/>
        </w:rPr>
        <w:t>المست</w:t>
      </w:r>
      <w:r w:rsidR="00962F60" w:rsidRPr="006571AC">
        <w:rPr>
          <w:sz w:val="27"/>
          <w:rtl/>
        </w:rPr>
        <w:t>وى العلمي</w:t>
      </w:r>
      <w:r w:rsidR="00066137" w:rsidRPr="006571AC">
        <w:rPr>
          <w:rFonts w:hint="cs"/>
          <w:sz w:val="27"/>
          <w:rtl/>
        </w:rPr>
        <w:t>ّ</w:t>
      </w:r>
      <w:r w:rsidR="00962F60" w:rsidRPr="006571AC">
        <w:rPr>
          <w:sz w:val="27"/>
          <w:rtl/>
        </w:rPr>
        <w:t xml:space="preserve"> الص</w:t>
      </w:r>
      <w:r w:rsidRPr="006571AC">
        <w:rPr>
          <w:rFonts w:hint="cs"/>
          <w:sz w:val="27"/>
          <w:rtl/>
        </w:rPr>
        <w:t>ِّ</w:t>
      </w:r>
      <w:r w:rsidR="00962F60" w:rsidRPr="006571AC">
        <w:rPr>
          <w:sz w:val="27"/>
          <w:rtl/>
        </w:rPr>
        <w:t>ر</w:t>
      </w:r>
      <w:r w:rsidRPr="006571AC">
        <w:rPr>
          <w:rFonts w:hint="cs"/>
          <w:sz w:val="27"/>
          <w:rtl/>
        </w:rPr>
        <w:t>ْ</w:t>
      </w:r>
      <w:r w:rsidR="00962F60" w:rsidRPr="006571AC">
        <w:rPr>
          <w:sz w:val="27"/>
          <w:rtl/>
        </w:rPr>
        <w:t xml:space="preserve">ف. فهذه الفكرة تعتبر، كما يشرح الصدر </w:t>
      </w:r>
      <w:r w:rsidR="00962F60" w:rsidRPr="006571AC">
        <w:rPr>
          <w:rFonts w:hint="cs"/>
          <w:sz w:val="27"/>
          <w:rtl/>
        </w:rPr>
        <w:t>في</w:t>
      </w:r>
      <w:r w:rsidRPr="006571AC">
        <w:rPr>
          <w:rFonts w:hint="cs"/>
          <w:sz w:val="27"/>
          <w:rtl/>
        </w:rPr>
        <w:t xml:space="preserve"> </w:t>
      </w:r>
      <w:r w:rsidR="00962F60" w:rsidRPr="006571AC">
        <w:rPr>
          <w:rFonts w:hint="cs"/>
          <w:sz w:val="27"/>
          <w:rtl/>
        </w:rPr>
        <w:t>ما</w:t>
      </w:r>
      <w:r w:rsidR="00962F60" w:rsidRPr="006571AC">
        <w:rPr>
          <w:sz w:val="27"/>
          <w:rtl/>
        </w:rPr>
        <w:t xml:space="preserve"> </w:t>
      </w:r>
      <w:r w:rsidR="00962F60" w:rsidRPr="006571AC">
        <w:rPr>
          <w:rFonts w:hint="cs"/>
          <w:sz w:val="27"/>
          <w:rtl/>
        </w:rPr>
        <w:t>سيتم</w:t>
      </w:r>
      <w:r w:rsidRPr="006571AC">
        <w:rPr>
          <w:rFonts w:hint="cs"/>
          <w:sz w:val="27"/>
          <w:rtl/>
        </w:rPr>
        <w:t>ّ</w:t>
      </w:r>
      <w:r w:rsidR="00962F60" w:rsidRPr="006571AC">
        <w:rPr>
          <w:sz w:val="27"/>
          <w:rtl/>
        </w:rPr>
        <w:t xml:space="preserve"> </w:t>
      </w:r>
      <w:r w:rsidR="00962F60" w:rsidRPr="006571AC">
        <w:rPr>
          <w:rFonts w:hint="cs"/>
          <w:sz w:val="27"/>
          <w:rtl/>
        </w:rPr>
        <w:t>ع</w:t>
      </w:r>
      <w:r w:rsidR="00066137" w:rsidRPr="006571AC">
        <w:rPr>
          <w:rFonts w:hint="cs"/>
          <w:sz w:val="27"/>
          <w:rtl/>
        </w:rPr>
        <w:t>َ</w:t>
      </w:r>
      <w:r w:rsidR="00962F60" w:rsidRPr="006571AC">
        <w:rPr>
          <w:rFonts w:hint="cs"/>
          <w:sz w:val="27"/>
          <w:rtl/>
        </w:rPr>
        <w:t>ر</w:t>
      </w:r>
      <w:r w:rsidR="00066137" w:rsidRPr="006571AC">
        <w:rPr>
          <w:rFonts w:hint="cs"/>
          <w:sz w:val="27"/>
          <w:rtl/>
        </w:rPr>
        <w:t>ْ</w:t>
      </w:r>
      <w:r w:rsidR="00962F60" w:rsidRPr="006571AC">
        <w:rPr>
          <w:rFonts w:hint="cs"/>
          <w:sz w:val="27"/>
          <w:rtl/>
        </w:rPr>
        <w:t>ضه</w:t>
      </w:r>
      <w:r w:rsidR="00962F60" w:rsidRPr="006571AC">
        <w:rPr>
          <w:sz w:val="27"/>
          <w:rtl/>
        </w:rPr>
        <w:t xml:space="preserve"> </w:t>
      </w:r>
      <w:r w:rsidR="00962F60" w:rsidRPr="006571AC">
        <w:rPr>
          <w:rFonts w:hint="cs"/>
          <w:sz w:val="27"/>
          <w:rtl/>
        </w:rPr>
        <w:t>لاحقا</w:t>
      </w:r>
      <w:r w:rsidRPr="006571AC">
        <w:rPr>
          <w:rFonts w:hint="cs"/>
          <w:sz w:val="27"/>
          <w:rtl/>
        </w:rPr>
        <w:t>ً،</w:t>
      </w:r>
      <w:r w:rsidR="00962F60" w:rsidRPr="006571AC">
        <w:rPr>
          <w:sz w:val="27"/>
          <w:rtl/>
        </w:rPr>
        <w:t xml:space="preserve"> </w:t>
      </w:r>
      <w:r w:rsidR="00962F60" w:rsidRPr="006571AC">
        <w:rPr>
          <w:rFonts w:hint="cs"/>
          <w:sz w:val="27"/>
          <w:rtl/>
        </w:rPr>
        <w:t>وكما</w:t>
      </w:r>
      <w:r w:rsidR="00962F60" w:rsidRPr="006571AC">
        <w:rPr>
          <w:sz w:val="27"/>
          <w:rtl/>
        </w:rPr>
        <w:t xml:space="preserve"> </w:t>
      </w:r>
      <w:r w:rsidR="00962F60" w:rsidRPr="006571AC">
        <w:rPr>
          <w:rFonts w:hint="cs"/>
          <w:sz w:val="27"/>
          <w:rtl/>
        </w:rPr>
        <w:t>أش</w:t>
      </w:r>
      <w:r w:rsidRPr="006571AC">
        <w:rPr>
          <w:rFonts w:hint="cs"/>
          <w:sz w:val="27"/>
          <w:rtl/>
        </w:rPr>
        <w:t>َ</w:t>
      </w:r>
      <w:r w:rsidR="00962F60" w:rsidRPr="006571AC">
        <w:rPr>
          <w:rFonts w:hint="cs"/>
          <w:sz w:val="27"/>
          <w:rtl/>
        </w:rPr>
        <w:t>ر</w:t>
      </w:r>
      <w:r w:rsidRPr="006571AC">
        <w:rPr>
          <w:rFonts w:hint="cs"/>
          <w:sz w:val="27"/>
          <w:rtl/>
        </w:rPr>
        <w:t>ْ</w:t>
      </w:r>
      <w:r w:rsidR="00962F60" w:rsidRPr="006571AC">
        <w:rPr>
          <w:rFonts w:hint="cs"/>
          <w:sz w:val="27"/>
          <w:rtl/>
        </w:rPr>
        <w:t>نا</w:t>
      </w:r>
      <w:r w:rsidRPr="006571AC">
        <w:rPr>
          <w:rFonts w:hint="cs"/>
          <w:sz w:val="27"/>
          <w:rtl/>
        </w:rPr>
        <w:t xml:space="preserve"> سابقاً</w:t>
      </w:r>
      <w:r w:rsidR="00962F60" w:rsidRPr="006571AC">
        <w:rPr>
          <w:rFonts w:hint="cs"/>
          <w:sz w:val="27"/>
          <w:rtl/>
        </w:rPr>
        <w:t>، أن</w:t>
      </w:r>
      <w:r w:rsidR="00962F60" w:rsidRPr="006571AC">
        <w:rPr>
          <w:sz w:val="27"/>
          <w:rtl/>
        </w:rPr>
        <w:t xml:space="preserve"> </w:t>
      </w:r>
      <w:r w:rsidR="00962F60" w:rsidRPr="006571AC">
        <w:rPr>
          <w:rFonts w:hint="cs"/>
          <w:sz w:val="27"/>
          <w:rtl/>
        </w:rPr>
        <w:t>الشارع</w:t>
      </w:r>
      <w:r w:rsidR="00962F60" w:rsidRPr="006571AC">
        <w:rPr>
          <w:sz w:val="27"/>
          <w:rtl/>
        </w:rPr>
        <w:t xml:space="preserve"> </w:t>
      </w:r>
      <w:r w:rsidR="00962F60" w:rsidRPr="006571AC">
        <w:rPr>
          <w:rFonts w:hint="cs"/>
          <w:sz w:val="27"/>
          <w:rtl/>
        </w:rPr>
        <w:t>قد</w:t>
      </w:r>
      <w:r w:rsidR="00962F60" w:rsidRPr="006571AC">
        <w:rPr>
          <w:sz w:val="27"/>
          <w:rtl/>
        </w:rPr>
        <w:t xml:space="preserve"> </w:t>
      </w:r>
      <w:r w:rsidR="00962F60" w:rsidRPr="006571AC">
        <w:rPr>
          <w:rFonts w:hint="cs"/>
          <w:sz w:val="27"/>
          <w:rtl/>
        </w:rPr>
        <w:t>ترك</w:t>
      </w:r>
      <w:r w:rsidR="00962F60" w:rsidRPr="006571AC">
        <w:rPr>
          <w:sz w:val="27"/>
          <w:rtl/>
        </w:rPr>
        <w:t xml:space="preserve"> </w:t>
      </w:r>
      <w:r w:rsidR="00962F60" w:rsidRPr="006571AC">
        <w:rPr>
          <w:rFonts w:hint="cs"/>
          <w:sz w:val="27"/>
          <w:rtl/>
        </w:rPr>
        <w:t>مناطق</w:t>
      </w:r>
      <w:r w:rsidR="00962F60" w:rsidRPr="006571AC">
        <w:rPr>
          <w:sz w:val="27"/>
          <w:rtl/>
        </w:rPr>
        <w:t xml:space="preserve"> </w:t>
      </w:r>
      <w:r w:rsidR="00962F60" w:rsidRPr="006571AC">
        <w:rPr>
          <w:rFonts w:hint="cs"/>
          <w:sz w:val="27"/>
          <w:rtl/>
        </w:rPr>
        <w:t>فراغ</w:t>
      </w:r>
      <w:r w:rsidR="00962F60" w:rsidRPr="006571AC">
        <w:rPr>
          <w:sz w:val="27"/>
          <w:rtl/>
        </w:rPr>
        <w:t xml:space="preserve"> </w:t>
      </w:r>
      <w:r w:rsidR="00962F60" w:rsidRPr="006571AC">
        <w:rPr>
          <w:rFonts w:hint="cs"/>
          <w:sz w:val="27"/>
          <w:rtl/>
        </w:rPr>
        <w:t>تشريعية</w:t>
      </w:r>
      <w:r w:rsidR="00962F60" w:rsidRPr="006571AC">
        <w:rPr>
          <w:sz w:val="27"/>
          <w:rtl/>
        </w:rPr>
        <w:t xml:space="preserve"> (</w:t>
      </w:r>
      <w:r w:rsidR="00962F60" w:rsidRPr="006571AC">
        <w:rPr>
          <w:rFonts w:hint="cs"/>
          <w:sz w:val="27"/>
          <w:rtl/>
        </w:rPr>
        <w:t>وبالتالي</w:t>
      </w:r>
      <w:r w:rsidR="00962F60" w:rsidRPr="006571AC">
        <w:rPr>
          <w:sz w:val="27"/>
          <w:rtl/>
        </w:rPr>
        <w:t xml:space="preserve"> </w:t>
      </w:r>
      <w:r w:rsidR="00962F60" w:rsidRPr="006571AC">
        <w:rPr>
          <w:rFonts w:hint="cs"/>
          <w:sz w:val="27"/>
          <w:rtl/>
        </w:rPr>
        <w:t>مفاه</w:t>
      </w:r>
      <w:r w:rsidR="00066137" w:rsidRPr="006571AC">
        <w:rPr>
          <w:rFonts w:hint="cs"/>
          <w:sz w:val="27"/>
          <w:rtl/>
        </w:rPr>
        <w:t>ي</w:t>
      </w:r>
      <w:r w:rsidR="00962F60" w:rsidRPr="006571AC">
        <w:rPr>
          <w:rFonts w:hint="cs"/>
          <w:sz w:val="27"/>
          <w:rtl/>
        </w:rPr>
        <w:t>مية</w:t>
      </w:r>
      <w:r w:rsidR="00962F60" w:rsidRPr="006571AC">
        <w:rPr>
          <w:sz w:val="27"/>
          <w:rtl/>
        </w:rPr>
        <w:t xml:space="preserve">) </w:t>
      </w:r>
      <w:r w:rsidR="00731867" w:rsidRPr="006571AC">
        <w:rPr>
          <w:rFonts w:hint="cs"/>
          <w:sz w:val="27"/>
          <w:rtl/>
        </w:rPr>
        <w:t>لا بُدَّ</w:t>
      </w:r>
      <w:r w:rsidR="00962F60" w:rsidRPr="006571AC">
        <w:rPr>
          <w:sz w:val="27"/>
          <w:rtl/>
        </w:rPr>
        <w:t xml:space="preserve"> </w:t>
      </w:r>
      <w:r w:rsidR="00962F60" w:rsidRPr="006571AC">
        <w:rPr>
          <w:rFonts w:hint="cs"/>
          <w:sz w:val="27"/>
          <w:rtl/>
        </w:rPr>
        <w:t>من</w:t>
      </w:r>
      <w:r w:rsidR="00962F60" w:rsidRPr="006571AC">
        <w:rPr>
          <w:sz w:val="27"/>
          <w:rtl/>
        </w:rPr>
        <w:t xml:space="preserve"> </w:t>
      </w:r>
      <w:r w:rsidR="00962F60" w:rsidRPr="006571AC">
        <w:rPr>
          <w:rFonts w:hint="cs"/>
          <w:sz w:val="27"/>
          <w:rtl/>
        </w:rPr>
        <w:t>أن</w:t>
      </w:r>
      <w:r w:rsidR="00962F60" w:rsidRPr="006571AC">
        <w:rPr>
          <w:sz w:val="27"/>
          <w:rtl/>
        </w:rPr>
        <w:t xml:space="preserve"> </w:t>
      </w:r>
      <w:r w:rsidR="00962F60" w:rsidRPr="006571AC">
        <w:rPr>
          <w:rFonts w:hint="cs"/>
          <w:sz w:val="27"/>
          <w:rtl/>
        </w:rPr>
        <w:t>يملأها</w:t>
      </w:r>
      <w:r w:rsidR="00962F60" w:rsidRPr="006571AC">
        <w:rPr>
          <w:sz w:val="27"/>
          <w:rtl/>
        </w:rPr>
        <w:t xml:space="preserve"> </w:t>
      </w:r>
      <w:r w:rsidR="00962F60" w:rsidRPr="006571AC">
        <w:rPr>
          <w:rFonts w:hint="cs"/>
          <w:sz w:val="27"/>
          <w:rtl/>
        </w:rPr>
        <w:t>الإمام</w:t>
      </w:r>
      <w:r w:rsidR="00962F60" w:rsidRPr="006571AC">
        <w:rPr>
          <w:sz w:val="27"/>
          <w:rtl/>
        </w:rPr>
        <w:t xml:space="preserve"> ـ </w:t>
      </w:r>
      <w:r w:rsidR="00962F60" w:rsidRPr="006571AC">
        <w:rPr>
          <w:rFonts w:hint="cs"/>
          <w:sz w:val="27"/>
          <w:rtl/>
        </w:rPr>
        <w:t>المجتهد</w:t>
      </w:r>
      <w:r w:rsidR="00962F60" w:rsidRPr="006571AC">
        <w:rPr>
          <w:sz w:val="27"/>
          <w:rtl/>
        </w:rPr>
        <w:t xml:space="preserve"> </w:t>
      </w:r>
      <w:r w:rsidR="00962F60" w:rsidRPr="006571AC">
        <w:rPr>
          <w:rFonts w:hint="cs"/>
          <w:sz w:val="27"/>
          <w:rtl/>
        </w:rPr>
        <w:t>في</w:t>
      </w:r>
      <w:r w:rsidR="00962F60" w:rsidRPr="006571AC">
        <w:rPr>
          <w:sz w:val="27"/>
          <w:rtl/>
        </w:rPr>
        <w:t xml:space="preserve"> </w:t>
      </w:r>
      <w:r w:rsidR="00962F60" w:rsidRPr="006571AC">
        <w:rPr>
          <w:rFonts w:hint="cs"/>
          <w:sz w:val="27"/>
          <w:rtl/>
        </w:rPr>
        <w:t>كل</w:t>
      </w:r>
      <w:r w:rsidRPr="006571AC">
        <w:rPr>
          <w:rFonts w:hint="cs"/>
          <w:sz w:val="27"/>
          <w:rtl/>
        </w:rPr>
        <w:t>ّ</w:t>
      </w:r>
      <w:r w:rsidR="00962F60" w:rsidRPr="006571AC">
        <w:rPr>
          <w:sz w:val="27"/>
          <w:rtl/>
        </w:rPr>
        <w:t xml:space="preserve"> </w:t>
      </w:r>
      <w:r w:rsidR="00962F60" w:rsidRPr="006571AC">
        <w:rPr>
          <w:rFonts w:hint="cs"/>
          <w:sz w:val="27"/>
          <w:rtl/>
        </w:rPr>
        <w:t>زمان</w:t>
      </w:r>
      <w:r w:rsidR="00962F60" w:rsidRPr="006571AC">
        <w:rPr>
          <w:sz w:val="27"/>
          <w:rtl/>
        </w:rPr>
        <w:t xml:space="preserve"> </w:t>
      </w:r>
      <w:r w:rsidR="00962F60" w:rsidRPr="006571AC">
        <w:rPr>
          <w:rFonts w:hint="cs"/>
          <w:sz w:val="27"/>
          <w:rtl/>
        </w:rPr>
        <w:t>ومكان، ضمن</w:t>
      </w:r>
      <w:r w:rsidR="00962F60" w:rsidRPr="006571AC">
        <w:rPr>
          <w:sz w:val="27"/>
          <w:rtl/>
        </w:rPr>
        <w:t xml:space="preserve"> </w:t>
      </w:r>
      <w:r w:rsidR="00962F60" w:rsidRPr="006571AC">
        <w:rPr>
          <w:rFonts w:hint="cs"/>
          <w:sz w:val="27"/>
          <w:rtl/>
        </w:rPr>
        <w:t>الهامش</w:t>
      </w:r>
      <w:r w:rsidR="00962F60" w:rsidRPr="006571AC">
        <w:rPr>
          <w:sz w:val="27"/>
          <w:rtl/>
        </w:rPr>
        <w:t xml:space="preserve"> </w:t>
      </w:r>
      <w:r w:rsidR="00962F60" w:rsidRPr="006571AC">
        <w:rPr>
          <w:rFonts w:hint="cs"/>
          <w:sz w:val="27"/>
          <w:rtl/>
        </w:rPr>
        <w:t>المقبول</w:t>
      </w:r>
      <w:r w:rsidR="00962F60" w:rsidRPr="006571AC">
        <w:rPr>
          <w:sz w:val="27"/>
          <w:rtl/>
        </w:rPr>
        <w:t xml:space="preserve"> </w:t>
      </w:r>
      <w:r w:rsidR="00962F60" w:rsidRPr="006571AC">
        <w:rPr>
          <w:rFonts w:hint="cs"/>
          <w:sz w:val="27"/>
          <w:rtl/>
        </w:rPr>
        <w:t>طبعا</w:t>
      </w:r>
      <w:r w:rsidRPr="006571AC">
        <w:rPr>
          <w:rFonts w:hint="cs"/>
          <w:sz w:val="27"/>
          <w:rtl/>
        </w:rPr>
        <w:t>ً</w:t>
      </w:r>
      <w:r w:rsidR="00962F60" w:rsidRPr="006571AC">
        <w:rPr>
          <w:sz w:val="27"/>
          <w:rtl/>
        </w:rPr>
        <w:t xml:space="preserve">. </w:t>
      </w:r>
    </w:p>
    <w:p w:rsidR="00962F60" w:rsidRPr="006571AC" w:rsidRDefault="00962F60" w:rsidP="00066137">
      <w:pPr>
        <w:spacing w:line="386" w:lineRule="exact"/>
        <w:rPr>
          <w:sz w:val="27"/>
        </w:rPr>
      </w:pPr>
      <w:r w:rsidRPr="006571AC">
        <w:rPr>
          <w:sz w:val="27"/>
          <w:rtl/>
        </w:rPr>
        <w:t xml:space="preserve">وهذا ما يفتح المجال أمام السيد الصدر للقبول بفكرة </w:t>
      </w:r>
      <w:r w:rsidR="00E66A0B" w:rsidRPr="006571AC">
        <w:rPr>
          <w:rFonts w:hint="cs"/>
          <w:sz w:val="27"/>
          <w:rtl/>
        </w:rPr>
        <w:t>إ</w:t>
      </w:r>
      <w:r w:rsidRPr="006571AC">
        <w:rPr>
          <w:sz w:val="27"/>
          <w:rtl/>
        </w:rPr>
        <w:t xml:space="preserve">مكانية وجود </w:t>
      </w:r>
      <w:r w:rsidRPr="006571AC">
        <w:rPr>
          <w:rFonts w:hint="eastAsia"/>
          <w:sz w:val="24"/>
          <w:szCs w:val="24"/>
          <w:rtl/>
        </w:rPr>
        <w:t>«</w:t>
      </w:r>
      <w:r w:rsidRPr="006571AC">
        <w:rPr>
          <w:sz w:val="27"/>
          <w:rtl/>
        </w:rPr>
        <w:t>عد</w:t>
      </w:r>
      <w:r w:rsidR="00E66A0B" w:rsidRPr="006571AC">
        <w:rPr>
          <w:rFonts w:hint="cs"/>
          <w:sz w:val="27"/>
          <w:rtl/>
        </w:rPr>
        <w:t>ّ</w:t>
      </w:r>
      <w:r w:rsidRPr="006571AC">
        <w:rPr>
          <w:sz w:val="27"/>
          <w:rtl/>
        </w:rPr>
        <w:t xml:space="preserve">ة نظريات </w:t>
      </w:r>
      <w:r w:rsidR="00E66A0B" w:rsidRPr="006571AC">
        <w:rPr>
          <w:rFonts w:hint="cs"/>
          <w:sz w:val="27"/>
          <w:rtl/>
        </w:rPr>
        <w:t>إ</w:t>
      </w:r>
      <w:r w:rsidRPr="006571AC">
        <w:rPr>
          <w:sz w:val="27"/>
          <w:rtl/>
        </w:rPr>
        <w:t>سلامية حول موضوع</w:t>
      </w:r>
      <w:r w:rsidR="00E66A0B" w:rsidRPr="006571AC">
        <w:rPr>
          <w:rFonts w:hint="cs"/>
          <w:sz w:val="27"/>
          <w:rtl/>
        </w:rPr>
        <w:t>ٍ</w:t>
      </w:r>
      <w:r w:rsidRPr="006571AC">
        <w:rPr>
          <w:sz w:val="27"/>
          <w:rtl/>
        </w:rPr>
        <w:t xml:space="preserve"> ما</w:t>
      </w:r>
      <w:r w:rsidRPr="006571AC">
        <w:rPr>
          <w:rFonts w:hint="eastAsia"/>
          <w:sz w:val="24"/>
          <w:szCs w:val="24"/>
          <w:rtl/>
        </w:rPr>
        <w:t>»</w:t>
      </w:r>
      <w:r w:rsidRPr="006571AC">
        <w:rPr>
          <w:sz w:val="27"/>
          <w:rtl/>
        </w:rPr>
        <w:t>، قد تكون كل</w:t>
      </w:r>
      <w:r w:rsidR="00E66A0B" w:rsidRPr="006571AC">
        <w:rPr>
          <w:rFonts w:hint="cs"/>
          <w:sz w:val="27"/>
          <w:rtl/>
        </w:rPr>
        <w:t>ّ</w:t>
      </w:r>
      <w:r w:rsidRPr="006571AC">
        <w:rPr>
          <w:sz w:val="27"/>
          <w:rtl/>
        </w:rPr>
        <w:t xml:space="preserve">ها </w:t>
      </w:r>
      <w:r w:rsidR="00E66A0B" w:rsidRPr="006571AC">
        <w:rPr>
          <w:rFonts w:hint="cs"/>
          <w:sz w:val="27"/>
          <w:rtl/>
        </w:rPr>
        <w:t>إ</w:t>
      </w:r>
      <w:r w:rsidRPr="006571AC">
        <w:rPr>
          <w:sz w:val="27"/>
          <w:rtl/>
        </w:rPr>
        <w:t>سلامية وكل</w:t>
      </w:r>
      <w:r w:rsidR="00E66A0B" w:rsidRPr="006571AC">
        <w:rPr>
          <w:rFonts w:hint="cs"/>
          <w:sz w:val="27"/>
          <w:rtl/>
        </w:rPr>
        <w:t>ّ</w:t>
      </w:r>
      <w:r w:rsidRPr="006571AC">
        <w:rPr>
          <w:sz w:val="27"/>
          <w:rtl/>
        </w:rPr>
        <w:t>ها صحيحة إلى حد</w:t>
      </w:r>
      <w:r w:rsidR="00E66A0B" w:rsidRPr="006571AC">
        <w:rPr>
          <w:rFonts w:hint="cs"/>
          <w:sz w:val="27"/>
          <w:rtl/>
        </w:rPr>
        <w:t>ٍّ</w:t>
      </w:r>
      <w:r w:rsidRPr="006571AC">
        <w:rPr>
          <w:sz w:val="27"/>
          <w:rtl/>
        </w:rPr>
        <w:t xml:space="preserve"> كبير، ويمكن مقابلتها فيما بينها</w:t>
      </w:r>
      <w:r w:rsidR="005254E8" w:rsidRPr="006571AC">
        <w:rPr>
          <w:rFonts w:hint="cs"/>
          <w:sz w:val="27"/>
          <w:rtl/>
        </w:rPr>
        <w:t>،</w:t>
      </w:r>
      <w:r w:rsidRPr="006571AC">
        <w:rPr>
          <w:sz w:val="27"/>
          <w:rtl/>
        </w:rPr>
        <w:t xml:space="preserve"> ومع الواقع التطبيقي، مع بقاء الحكم النهائي بيد الإمام ـ المجتهد في الزمان والمكان المحد</w:t>
      </w:r>
      <w:r w:rsidR="005254E8" w:rsidRPr="006571AC">
        <w:rPr>
          <w:rFonts w:hint="cs"/>
          <w:sz w:val="27"/>
          <w:rtl/>
        </w:rPr>
        <w:t>َّ</w:t>
      </w:r>
      <w:r w:rsidRPr="006571AC">
        <w:rPr>
          <w:sz w:val="27"/>
          <w:rtl/>
        </w:rPr>
        <w:t>دين. وهذه المسألة الأخيرة هي التي دعّ</w:t>
      </w:r>
      <w:r w:rsidR="005254E8" w:rsidRPr="006571AC">
        <w:rPr>
          <w:rFonts w:hint="cs"/>
          <w:sz w:val="27"/>
          <w:rtl/>
        </w:rPr>
        <w:t>َ</w:t>
      </w:r>
      <w:r w:rsidRPr="006571AC">
        <w:rPr>
          <w:sz w:val="27"/>
          <w:rtl/>
        </w:rPr>
        <w:t>م</w:t>
      </w:r>
      <w:r w:rsidR="00066137" w:rsidRPr="006571AC">
        <w:rPr>
          <w:rFonts w:hint="cs"/>
          <w:sz w:val="27"/>
          <w:rtl/>
        </w:rPr>
        <w:t>َ</w:t>
      </w:r>
      <w:r w:rsidRPr="006571AC">
        <w:rPr>
          <w:sz w:val="27"/>
          <w:rtl/>
        </w:rPr>
        <w:t>ت</w:t>
      </w:r>
      <w:r w:rsidR="00066137" w:rsidRPr="006571AC">
        <w:rPr>
          <w:rFonts w:hint="cs"/>
          <w:sz w:val="27"/>
          <w:rtl/>
        </w:rPr>
        <w:t>ْ</w:t>
      </w:r>
      <w:r w:rsidRPr="006571AC">
        <w:rPr>
          <w:sz w:val="27"/>
          <w:rtl/>
        </w:rPr>
        <w:t xml:space="preserve"> عندنا، نهائي</w:t>
      </w:r>
      <w:r w:rsidR="005254E8" w:rsidRPr="006571AC">
        <w:rPr>
          <w:rFonts w:hint="cs"/>
          <w:sz w:val="27"/>
          <w:rtl/>
        </w:rPr>
        <w:t>ّ</w:t>
      </w:r>
      <w:r w:rsidRPr="006571AC">
        <w:rPr>
          <w:sz w:val="27"/>
          <w:rtl/>
        </w:rPr>
        <w:t>ا</w:t>
      </w:r>
      <w:r w:rsidR="005254E8" w:rsidRPr="006571AC">
        <w:rPr>
          <w:rFonts w:hint="cs"/>
          <w:sz w:val="27"/>
          <w:rtl/>
        </w:rPr>
        <w:t>ً</w:t>
      </w:r>
      <w:r w:rsidRPr="006571AC">
        <w:rPr>
          <w:sz w:val="27"/>
          <w:rtl/>
        </w:rPr>
        <w:t xml:space="preserve">، فكرة التقريب بين هذه الفلسفة وفلسفة </w:t>
      </w:r>
      <w:r w:rsidRPr="006571AC">
        <w:rPr>
          <w:rFonts w:hint="eastAsia"/>
          <w:sz w:val="24"/>
          <w:szCs w:val="24"/>
          <w:rtl/>
        </w:rPr>
        <w:t>«</w:t>
      </w:r>
      <w:r w:rsidRPr="006571AC">
        <w:rPr>
          <w:sz w:val="27"/>
          <w:rtl/>
        </w:rPr>
        <w:t>النموذج ـ المثالي</w:t>
      </w:r>
      <w:r w:rsidRPr="006571AC">
        <w:rPr>
          <w:rFonts w:hint="eastAsia"/>
          <w:sz w:val="24"/>
          <w:szCs w:val="24"/>
          <w:rtl/>
        </w:rPr>
        <w:t>»</w:t>
      </w:r>
      <w:r w:rsidRPr="006571AC">
        <w:rPr>
          <w:sz w:val="27"/>
          <w:rtl/>
        </w:rPr>
        <w:t xml:space="preserve"> عند ماكس فيبر</w:t>
      </w:r>
      <w:r w:rsidR="005254E8" w:rsidRPr="006571AC">
        <w:rPr>
          <w:rFonts w:hint="cs"/>
          <w:sz w:val="27"/>
          <w:rtl/>
        </w:rPr>
        <w:t>،</w:t>
      </w:r>
      <w:r w:rsidRPr="006571AC">
        <w:rPr>
          <w:sz w:val="27"/>
          <w:rtl/>
        </w:rPr>
        <w:t xml:space="preserve"> كما سيلي. لكن</w:t>
      </w:r>
      <w:r w:rsidR="005254E8" w:rsidRPr="006571AC">
        <w:rPr>
          <w:rFonts w:hint="cs"/>
          <w:sz w:val="27"/>
          <w:rtl/>
        </w:rPr>
        <w:t>ْ</w:t>
      </w:r>
      <w:r w:rsidRPr="006571AC">
        <w:rPr>
          <w:sz w:val="27"/>
          <w:rtl/>
        </w:rPr>
        <w:t>، لنتوق</w:t>
      </w:r>
      <w:r w:rsidR="005254E8" w:rsidRPr="006571AC">
        <w:rPr>
          <w:rFonts w:hint="cs"/>
          <w:sz w:val="27"/>
          <w:rtl/>
        </w:rPr>
        <w:t>َّ</w:t>
      </w:r>
      <w:r w:rsidRPr="006571AC">
        <w:rPr>
          <w:sz w:val="27"/>
          <w:rtl/>
        </w:rPr>
        <w:t>ف</w:t>
      </w:r>
      <w:r w:rsidR="005254E8" w:rsidRPr="006571AC">
        <w:rPr>
          <w:rFonts w:hint="cs"/>
          <w:sz w:val="27"/>
          <w:rtl/>
        </w:rPr>
        <w:t>ْ</w:t>
      </w:r>
      <w:r w:rsidRPr="006571AC">
        <w:rPr>
          <w:sz w:val="27"/>
          <w:rtl/>
        </w:rPr>
        <w:t xml:space="preserve"> قليلا</w:t>
      </w:r>
      <w:r w:rsidR="005254E8" w:rsidRPr="006571AC">
        <w:rPr>
          <w:rFonts w:hint="cs"/>
          <w:sz w:val="27"/>
          <w:rtl/>
        </w:rPr>
        <w:t>ً</w:t>
      </w:r>
      <w:r w:rsidRPr="006571AC">
        <w:rPr>
          <w:sz w:val="27"/>
          <w:rtl/>
        </w:rPr>
        <w:t xml:space="preserve"> عند بعض المقتطفات المهم</w:t>
      </w:r>
      <w:r w:rsidR="005254E8" w:rsidRPr="006571AC">
        <w:rPr>
          <w:rFonts w:hint="cs"/>
          <w:sz w:val="27"/>
          <w:rtl/>
        </w:rPr>
        <w:t>ّ</w:t>
      </w:r>
      <w:r w:rsidRPr="006571AC">
        <w:rPr>
          <w:sz w:val="27"/>
          <w:rtl/>
        </w:rPr>
        <w:t xml:space="preserve">ة للسيد محمد باقر الصدر في </w:t>
      </w:r>
      <w:r w:rsidR="005254E8" w:rsidRPr="006571AC">
        <w:rPr>
          <w:rFonts w:hint="cs"/>
          <w:sz w:val="27"/>
          <w:rtl/>
        </w:rPr>
        <w:t>(</w:t>
      </w:r>
      <w:r w:rsidRPr="006571AC">
        <w:rPr>
          <w:sz w:val="27"/>
          <w:rtl/>
        </w:rPr>
        <w:t>اقتصادنا</w:t>
      </w:r>
      <w:r w:rsidR="005254E8" w:rsidRPr="006571AC">
        <w:rPr>
          <w:rFonts w:hint="cs"/>
          <w:sz w:val="27"/>
          <w:rtl/>
        </w:rPr>
        <w:t>)،</w:t>
      </w:r>
      <w:r w:rsidRPr="006571AC">
        <w:rPr>
          <w:sz w:val="27"/>
          <w:rtl/>
        </w:rPr>
        <w:t xml:space="preserve"> والتي تبيّ</w:t>
      </w:r>
      <w:r w:rsidR="005254E8" w:rsidRPr="006571AC">
        <w:rPr>
          <w:rFonts w:hint="cs"/>
          <w:sz w:val="27"/>
          <w:rtl/>
        </w:rPr>
        <w:t>ِ</w:t>
      </w:r>
      <w:r w:rsidRPr="006571AC">
        <w:rPr>
          <w:sz w:val="27"/>
          <w:rtl/>
        </w:rPr>
        <w:t>ن، إيجازا</w:t>
      </w:r>
      <w:r w:rsidR="005254E8" w:rsidRPr="006571AC">
        <w:rPr>
          <w:rFonts w:hint="cs"/>
          <w:sz w:val="27"/>
          <w:rtl/>
        </w:rPr>
        <w:t>ً</w:t>
      </w:r>
      <w:r w:rsidRPr="006571AC">
        <w:rPr>
          <w:sz w:val="27"/>
          <w:rtl/>
        </w:rPr>
        <w:t>، ما يتم</w:t>
      </w:r>
      <w:r w:rsidR="005254E8" w:rsidRPr="006571AC">
        <w:rPr>
          <w:rFonts w:hint="cs"/>
          <w:sz w:val="27"/>
          <w:rtl/>
        </w:rPr>
        <w:t>ّ</w:t>
      </w:r>
      <w:r w:rsidRPr="006571AC">
        <w:rPr>
          <w:sz w:val="27"/>
          <w:rtl/>
        </w:rPr>
        <w:t xml:space="preserve"> ط</w:t>
      </w:r>
      <w:r w:rsidR="00066137" w:rsidRPr="006571AC">
        <w:rPr>
          <w:rFonts w:hint="cs"/>
          <w:sz w:val="27"/>
          <w:rtl/>
        </w:rPr>
        <w:t>َ</w:t>
      </w:r>
      <w:r w:rsidRPr="006571AC">
        <w:rPr>
          <w:sz w:val="27"/>
          <w:rtl/>
        </w:rPr>
        <w:t>ر</w:t>
      </w:r>
      <w:r w:rsidR="00066137" w:rsidRPr="006571AC">
        <w:rPr>
          <w:rFonts w:hint="cs"/>
          <w:sz w:val="27"/>
          <w:rtl/>
        </w:rPr>
        <w:t>ْ</w:t>
      </w:r>
      <w:r w:rsidRPr="006571AC">
        <w:rPr>
          <w:sz w:val="27"/>
          <w:rtl/>
        </w:rPr>
        <w:t>حه في هذه الورقة</w:t>
      </w:r>
      <w:r w:rsidR="005254E8" w:rsidRPr="006571AC">
        <w:rPr>
          <w:rFonts w:hint="cs"/>
          <w:sz w:val="27"/>
          <w:rtl/>
        </w:rPr>
        <w:t>،</w:t>
      </w:r>
      <w:r w:rsidRPr="006571AC">
        <w:rPr>
          <w:sz w:val="27"/>
          <w:rtl/>
        </w:rPr>
        <w:t xml:space="preserve"> التي تعتبر بالتالي، صراحة</w:t>
      </w:r>
      <w:r w:rsidR="005254E8" w:rsidRPr="006571AC">
        <w:rPr>
          <w:rFonts w:hint="cs"/>
          <w:sz w:val="27"/>
          <w:rtl/>
        </w:rPr>
        <w:t>ً</w:t>
      </w:r>
      <w:r w:rsidRPr="006571AC">
        <w:rPr>
          <w:sz w:val="27"/>
          <w:rtl/>
        </w:rPr>
        <w:t>، أننا أمام عمل</w:t>
      </w:r>
      <w:r w:rsidR="005254E8" w:rsidRPr="006571AC">
        <w:rPr>
          <w:rFonts w:hint="cs"/>
          <w:sz w:val="27"/>
          <w:rtl/>
        </w:rPr>
        <w:t>ٍ</w:t>
      </w:r>
      <w:r w:rsidRPr="006571AC">
        <w:rPr>
          <w:sz w:val="27"/>
          <w:rtl/>
        </w:rPr>
        <w:t xml:space="preserve"> ثوري</w:t>
      </w:r>
      <w:r w:rsidR="005254E8" w:rsidRPr="006571AC">
        <w:rPr>
          <w:rFonts w:hint="cs"/>
          <w:sz w:val="27"/>
          <w:rtl/>
        </w:rPr>
        <w:t>ّ</w:t>
      </w:r>
      <w:r w:rsidRPr="006571AC">
        <w:rPr>
          <w:sz w:val="27"/>
          <w:rtl/>
        </w:rPr>
        <w:t xml:space="preserve"> معرفي</w:t>
      </w:r>
      <w:r w:rsidR="005254E8" w:rsidRPr="006571AC">
        <w:rPr>
          <w:rFonts w:hint="cs"/>
          <w:sz w:val="27"/>
          <w:rtl/>
        </w:rPr>
        <w:t>ّ</w:t>
      </w:r>
      <w:r w:rsidRPr="006571AC">
        <w:rPr>
          <w:sz w:val="27"/>
          <w:rtl/>
        </w:rPr>
        <w:t>ا</w:t>
      </w:r>
      <w:r w:rsidR="005254E8" w:rsidRPr="006571AC">
        <w:rPr>
          <w:rFonts w:hint="cs"/>
          <w:sz w:val="27"/>
          <w:rtl/>
        </w:rPr>
        <w:t>ً</w:t>
      </w:r>
      <w:r w:rsidRPr="006571AC">
        <w:rPr>
          <w:sz w:val="27"/>
          <w:rtl/>
        </w:rPr>
        <w:t xml:space="preserve"> ومنهجي</w:t>
      </w:r>
      <w:r w:rsidR="005254E8" w:rsidRPr="006571AC">
        <w:rPr>
          <w:rFonts w:hint="cs"/>
          <w:sz w:val="27"/>
          <w:rtl/>
        </w:rPr>
        <w:t>ّ</w:t>
      </w:r>
      <w:r w:rsidRPr="006571AC">
        <w:rPr>
          <w:sz w:val="27"/>
          <w:rtl/>
        </w:rPr>
        <w:t>ا</w:t>
      </w:r>
      <w:r w:rsidR="005254E8" w:rsidRPr="006571AC">
        <w:rPr>
          <w:rFonts w:hint="cs"/>
          <w:sz w:val="27"/>
          <w:rtl/>
        </w:rPr>
        <w:t>ً</w:t>
      </w:r>
      <w:r w:rsidRPr="006571AC">
        <w:rPr>
          <w:sz w:val="27"/>
          <w:rtl/>
        </w:rPr>
        <w:t>، لم يتم</w:t>
      </w:r>
      <w:r w:rsidR="005254E8" w:rsidRPr="006571AC">
        <w:rPr>
          <w:rFonts w:hint="cs"/>
          <w:sz w:val="27"/>
          <w:rtl/>
        </w:rPr>
        <w:t>ّ</w:t>
      </w:r>
      <w:r w:rsidRPr="006571AC">
        <w:rPr>
          <w:sz w:val="27"/>
          <w:rtl/>
        </w:rPr>
        <w:t xml:space="preserve"> استثماره بالطريقة الصحيحة والكافية من ق</w:t>
      </w:r>
      <w:r w:rsidR="005254E8" w:rsidRPr="006571AC">
        <w:rPr>
          <w:rFonts w:hint="cs"/>
          <w:sz w:val="27"/>
          <w:rtl/>
        </w:rPr>
        <w:t>ِ</w:t>
      </w:r>
      <w:r w:rsidRPr="006571AC">
        <w:rPr>
          <w:sz w:val="27"/>
          <w:rtl/>
        </w:rPr>
        <w:t>ب</w:t>
      </w:r>
      <w:r w:rsidR="005254E8" w:rsidRPr="006571AC">
        <w:rPr>
          <w:rFonts w:hint="cs"/>
          <w:sz w:val="27"/>
          <w:rtl/>
        </w:rPr>
        <w:t>َ</w:t>
      </w:r>
      <w:r w:rsidRPr="006571AC">
        <w:rPr>
          <w:sz w:val="27"/>
          <w:rtl/>
        </w:rPr>
        <w:t>ل الباحثين ال</w:t>
      </w:r>
      <w:r w:rsidR="00066137" w:rsidRPr="006571AC">
        <w:rPr>
          <w:rFonts w:hint="cs"/>
          <w:sz w:val="27"/>
          <w:rtl/>
        </w:rPr>
        <w:t>إ</w:t>
      </w:r>
      <w:r w:rsidRPr="006571AC">
        <w:rPr>
          <w:sz w:val="27"/>
          <w:rtl/>
        </w:rPr>
        <w:t>سلاميين أو المهتم</w:t>
      </w:r>
      <w:r w:rsidR="005254E8" w:rsidRPr="006571AC">
        <w:rPr>
          <w:rFonts w:hint="cs"/>
          <w:sz w:val="27"/>
          <w:rtl/>
        </w:rPr>
        <w:t>ّ</w:t>
      </w:r>
      <w:r w:rsidRPr="006571AC">
        <w:rPr>
          <w:sz w:val="27"/>
          <w:rtl/>
        </w:rPr>
        <w:t>ين بالمواضيع ال</w:t>
      </w:r>
      <w:r w:rsidR="005254E8" w:rsidRPr="006571AC">
        <w:rPr>
          <w:rFonts w:hint="cs"/>
          <w:sz w:val="27"/>
          <w:rtl/>
        </w:rPr>
        <w:t>إ</w:t>
      </w:r>
      <w:r w:rsidRPr="006571AC">
        <w:rPr>
          <w:sz w:val="27"/>
          <w:rtl/>
        </w:rPr>
        <w:t>سلامية</w:t>
      </w:r>
      <w:r w:rsidR="007E254D" w:rsidRPr="006571AC">
        <w:rPr>
          <w:rFonts w:hint="cs"/>
          <w:sz w:val="27"/>
          <w:vertAlign w:val="superscript"/>
          <w:rtl/>
        </w:rPr>
        <w:t>(</w:t>
      </w:r>
      <w:r w:rsidR="007E254D" w:rsidRPr="006571AC">
        <w:rPr>
          <w:rStyle w:val="ac"/>
          <w:sz w:val="27"/>
          <w:rtl/>
        </w:rPr>
        <w:endnoteReference w:id="915"/>
      </w:r>
      <w:r w:rsidR="007E254D" w:rsidRPr="006571AC">
        <w:rPr>
          <w:rFonts w:hint="cs"/>
          <w:sz w:val="27"/>
          <w:vertAlign w:val="superscript"/>
          <w:rtl/>
        </w:rPr>
        <w:t>)</w:t>
      </w:r>
      <w:r w:rsidRPr="006571AC">
        <w:rPr>
          <w:sz w:val="27"/>
          <w:rtl/>
        </w:rPr>
        <w:t xml:space="preserve">: </w:t>
      </w:r>
    </w:p>
    <w:p w:rsidR="00962F60" w:rsidRPr="006571AC" w:rsidRDefault="00962F60" w:rsidP="0024500D">
      <w:pPr>
        <w:spacing w:line="370" w:lineRule="exact"/>
        <w:rPr>
          <w:sz w:val="27"/>
        </w:rPr>
      </w:pPr>
    </w:p>
    <w:p w:rsidR="00962F60" w:rsidRPr="006571AC" w:rsidRDefault="00962F60" w:rsidP="005254E8">
      <w:pPr>
        <w:pStyle w:val="31"/>
        <w:rPr>
          <w:color w:val="auto"/>
        </w:rPr>
      </w:pPr>
      <w:bookmarkStart w:id="581" w:name="_Toc114164930"/>
      <w:r w:rsidRPr="006571AC">
        <w:rPr>
          <w:rFonts w:hint="cs"/>
          <w:color w:val="auto"/>
          <w:rtl/>
        </w:rPr>
        <w:t xml:space="preserve">2ـ </w:t>
      </w:r>
      <w:r w:rsidRPr="006571AC">
        <w:rPr>
          <w:color w:val="auto"/>
          <w:rtl/>
        </w:rPr>
        <w:t>ال</w:t>
      </w:r>
      <w:r w:rsidR="005254E8" w:rsidRPr="006571AC">
        <w:rPr>
          <w:rFonts w:hint="cs"/>
          <w:color w:val="auto"/>
          <w:rtl/>
        </w:rPr>
        <w:t>أ</w:t>
      </w:r>
      <w:r w:rsidRPr="006571AC">
        <w:rPr>
          <w:color w:val="auto"/>
          <w:rtl/>
        </w:rPr>
        <w:t>بعاد الثلاث</w:t>
      </w:r>
      <w:r w:rsidR="005254E8" w:rsidRPr="006571AC">
        <w:rPr>
          <w:rFonts w:hint="cs"/>
          <w:color w:val="auto"/>
          <w:rtl/>
        </w:rPr>
        <w:t>ة</w:t>
      </w:r>
      <w:r w:rsidRPr="006571AC">
        <w:rPr>
          <w:color w:val="auto"/>
          <w:rtl/>
        </w:rPr>
        <w:t xml:space="preserve"> في بعض أقوال السي</w:t>
      </w:r>
      <w:r w:rsidR="00AD667C" w:rsidRPr="006571AC">
        <w:rPr>
          <w:rFonts w:hint="cs"/>
          <w:color w:val="auto"/>
          <w:rtl/>
        </w:rPr>
        <w:t>ّ</w:t>
      </w:r>
      <w:r w:rsidRPr="006571AC">
        <w:rPr>
          <w:color w:val="auto"/>
          <w:rtl/>
        </w:rPr>
        <w:t>د الصدر</w:t>
      </w:r>
      <w:bookmarkEnd w:id="581"/>
    </w:p>
    <w:p w:rsidR="005254E8" w:rsidRPr="006571AC" w:rsidRDefault="003345FE" w:rsidP="007E009E">
      <w:pPr>
        <w:rPr>
          <w:sz w:val="27"/>
          <w:rtl/>
        </w:rPr>
      </w:pPr>
      <w:r w:rsidRPr="006571AC">
        <w:rPr>
          <w:rFonts w:hint="eastAsia"/>
          <w:sz w:val="24"/>
          <w:szCs w:val="24"/>
          <w:rtl/>
        </w:rPr>
        <w:t>«</w:t>
      </w:r>
      <w:r w:rsidR="00962F60" w:rsidRPr="006571AC">
        <w:rPr>
          <w:sz w:val="27"/>
          <w:rtl/>
        </w:rPr>
        <w:t xml:space="preserve">مع أن العلم والمذهب مختلفان في طريقة البحث وأهدافه، لا في موضوعه </w:t>
      </w:r>
      <w:r w:rsidR="00962F60" w:rsidRPr="006571AC">
        <w:rPr>
          <w:sz w:val="27"/>
          <w:rtl/>
        </w:rPr>
        <w:lastRenderedPageBreak/>
        <w:t>ومجالاته، فالبحث المذهبي يظل</w:t>
      </w:r>
      <w:r w:rsidR="005254E8" w:rsidRPr="006571AC">
        <w:rPr>
          <w:rFonts w:hint="cs"/>
          <w:sz w:val="27"/>
          <w:rtl/>
        </w:rPr>
        <w:t>ّ</w:t>
      </w:r>
      <w:r w:rsidR="00962F60" w:rsidRPr="006571AC">
        <w:rPr>
          <w:sz w:val="27"/>
          <w:rtl/>
        </w:rPr>
        <w:t xml:space="preserve"> مذهبي</w:t>
      </w:r>
      <w:r w:rsidR="005254E8" w:rsidRPr="006571AC">
        <w:rPr>
          <w:rFonts w:hint="cs"/>
          <w:sz w:val="27"/>
          <w:rtl/>
        </w:rPr>
        <w:t>ّ</w:t>
      </w:r>
      <w:r w:rsidR="00962F60" w:rsidRPr="006571AC">
        <w:rPr>
          <w:sz w:val="27"/>
          <w:rtl/>
        </w:rPr>
        <w:t>ا</w:t>
      </w:r>
      <w:r w:rsidR="005254E8" w:rsidRPr="006571AC">
        <w:rPr>
          <w:rFonts w:hint="cs"/>
          <w:sz w:val="27"/>
          <w:rtl/>
        </w:rPr>
        <w:t>ً</w:t>
      </w:r>
      <w:r w:rsidR="00962F60" w:rsidRPr="006571AC">
        <w:rPr>
          <w:sz w:val="27"/>
          <w:rtl/>
        </w:rPr>
        <w:t xml:space="preserve"> ومحافظا</w:t>
      </w:r>
      <w:r w:rsidR="005254E8" w:rsidRPr="006571AC">
        <w:rPr>
          <w:rFonts w:hint="cs"/>
          <w:sz w:val="27"/>
          <w:rtl/>
        </w:rPr>
        <w:t>ً</w:t>
      </w:r>
      <w:r w:rsidR="00962F60" w:rsidRPr="006571AC">
        <w:rPr>
          <w:sz w:val="27"/>
          <w:rtl/>
        </w:rPr>
        <w:t xml:space="preserve"> على طابعه ما دام يلتزم طريقته وأهدافه الخاص</w:t>
      </w:r>
      <w:r w:rsidR="005254E8" w:rsidRPr="006571AC">
        <w:rPr>
          <w:rFonts w:hint="cs"/>
          <w:sz w:val="27"/>
          <w:rtl/>
        </w:rPr>
        <w:t>ّ</w:t>
      </w:r>
      <w:r w:rsidR="00962F60" w:rsidRPr="006571AC">
        <w:rPr>
          <w:sz w:val="27"/>
          <w:rtl/>
        </w:rPr>
        <w:t>ة، ولو تناول الإنتاج نفسه، كما أنّ البحث العلمي لا يفقد طبيعته العلمية إذا تكل</w:t>
      </w:r>
      <w:r w:rsidR="005254E8" w:rsidRPr="006571AC">
        <w:rPr>
          <w:rFonts w:hint="cs"/>
          <w:sz w:val="27"/>
          <w:rtl/>
        </w:rPr>
        <w:t>َّ</w:t>
      </w:r>
      <w:r w:rsidR="00962F60" w:rsidRPr="006571AC">
        <w:rPr>
          <w:sz w:val="27"/>
          <w:rtl/>
        </w:rPr>
        <w:t>م عن التوزيع ودرسه بالطريقة والأهداف التي تتناسب مع العلم</w:t>
      </w:r>
      <w:r w:rsidR="00962F60" w:rsidRPr="006571AC">
        <w:rPr>
          <w:rFonts w:hint="eastAsia"/>
          <w:sz w:val="24"/>
          <w:szCs w:val="24"/>
          <w:rtl/>
        </w:rPr>
        <w:t>»</w:t>
      </w:r>
      <w:r w:rsidR="007E254D" w:rsidRPr="006571AC">
        <w:rPr>
          <w:rFonts w:hint="cs"/>
          <w:sz w:val="27"/>
          <w:vertAlign w:val="superscript"/>
          <w:rtl/>
        </w:rPr>
        <w:t>(</w:t>
      </w:r>
      <w:r w:rsidR="007E254D" w:rsidRPr="006571AC">
        <w:rPr>
          <w:rStyle w:val="ac"/>
          <w:sz w:val="27"/>
          <w:rtl/>
        </w:rPr>
        <w:endnoteReference w:id="916"/>
      </w:r>
      <w:r w:rsidR="007E254D" w:rsidRPr="006571AC">
        <w:rPr>
          <w:rFonts w:hint="cs"/>
          <w:sz w:val="27"/>
          <w:vertAlign w:val="superscript"/>
          <w:rtl/>
        </w:rPr>
        <w:t>)</w:t>
      </w:r>
      <w:r w:rsidR="000F4A13" w:rsidRPr="006571AC">
        <w:rPr>
          <w:sz w:val="27"/>
          <w:rtl/>
        </w:rPr>
        <w:t>.</w:t>
      </w:r>
    </w:p>
    <w:p w:rsidR="00962F60" w:rsidRPr="006571AC" w:rsidRDefault="00962F60" w:rsidP="007E009E">
      <w:pPr>
        <w:rPr>
          <w:sz w:val="27"/>
        </w:rPr>
      </w:pPr>
      <w:r w:rsidRPr="006571AC">
        <w:rPr>
          <w:rFonts w:hint="cs"/>
          <w:sz w:val="27"/>
          <w:rtl/>
        </w:rPr>
        <w:t>من</w:t>
      </w:r>
      <w:r w:rsidRPr="006571AC">
        <w:rPr>
          <w:sz w:val="27"/>
          <w:rtl/>
        </w:rPr>
        <w:t xml:space="preserve"> </w:t>
      </w:r>
      <w:r w:rsidRPr="006571AC">
        <w:rPr>
          <w:rFonts w:hint="cs"/>
          <w:sz w:val="27"/>
          <w:rtl/>
        </w:rPr>
        <w:t>البداي</w:t>
      </w:r>
      <w:r w:rsidRPr="006571AC">
        <w:rPr>
          <w:sz w:val="27"/>
          <w:rtl/>
        </w:rPr>
        <w:t>ة، يبدو السيد الصدر في موقع المشد</w:t>
      </w:r>
      <w:r w:rsidR="005254E8" w:rsidRPr="006571AC">
        <w:rPr>
          <w:rFonts w:hint="cs"/>
          <w:sz w:val="27"/>
          <w:rtl/>
        </w:rPr>
        <w:t>ِّ</w:t>
      </w:r>
      <w:r w:rsidRPr="006571AC">
        <w:rPr>
          <w:sz w:val="27"/>
          <w:rtl/>
        </w:rPr>
        <w:t>د على الأمانة العلمي</w:t>
      </w:r>
      <w:r w:rsidR="005254E8" w:rsidRPr="006571AC">
        <w:rPr>
          <w:rFonts w:hint="cs"/>
          <w:sz w:val="27"/>
          <w:rtl/>
        </w:rPr>
        <w:t>ّ</w:t>
      </w:r>
      <w:r w:rsidRPr="006571AC">
        <w:rPr>
          <w:sz w:val="27"/>
          <w:rtl/>
        </w:rPr>
        <w:t>ة في الفصل الراديكالي بين المذهب (الأيديولوجي) من جهة</w:t>
      </w:r>
      <w:r w:rsidR="005254E8" w:rsidRPr="006571AC">
        <w:rPr>
          <w:rFonts w:hint="cs"/>
          <w:sz w:val="27"/>
          <w:rtl/>
        </w:rPr>
        <w:t>ٍ</w:t>
      </w:r>
      <w:r w:rsidRPr="006571AC">
        <w:rPr>
          <w:sz w:val="27"/>
          <w:rtl/>
        </w:rPr>
        <w:t>، المعني خصوصا</w:t>
      </w:r>
      <w:r w:rsidR="005254E8" w:rsidRPr="006571AC">
        <w:rPr>
          <w:rFonts w:hint="cs"/>
          <w:sz w:val="27"/>
          <w:rtl/>
        </w:rPr>
        <w:t>ً</w:t>
      </w:r>
      <w:r w:rsidRPr="006571AC">
        <w:rPr>
          <w:sz w:val="27"/>
          <w:rtl/>
        </w:rPr>
        <w:t xml:space="preserve"> بمسائل العدل والتوزيع والأحكام القيمية، وبين العلم بما هو علم الاقتصاد (أو الاجتماع أو غيره بطبيعة الحال). وهذا ما يؤك</w:t>
      </w:r>
      <w:r w:rsidR="005254E8" w:rsidRPr="006571AC">
        <w:rPr>
          <w:rFonts w:hint="cs"/>
          <w:sz w:val="27"/>
          <w:rtl/>
        </w:rPr>
        <w:t>ِّ</w:t>
      </w:r>
      <w:r w:rsidRPr="006571AC">
        <w:rPr>
          <w:sz w:val="27"/>
          <w:rtl/>
        </w:rPr>
        <w:t>د لنا عمق التفكير ال</w:t>
      </w:r>
      <w:r w:rsidR="005254E8" w:rsidRPr="006571AC">
        <w:rPr>
          <w:rFonts w:hint="cs"/>
          <w:sz w:val="27"/>
          <w:rtl/>
        </w:rPr>
        <w:t>إ</w:t>
      </w:r>
      <w:r w:rsidRPr="006571AC">
        <w:rPr>
          <w:sz w:val="27"/>
          <w:rtl/>
        </w:rPr>
        <w:t xml:space="preserve">بستمولوجي الساند والسابق لعمل </w:t>
      </w:r>
      <w:r w:rsidR="005254E8" w:rsidRPr="006571AC">
        <w:rPr>
          <w:rFonts w:hint="cs"/>
          <w:sz w:val="27"/>
          <w:rtl/>
        </w:rPr>
        <w:t>(</w:t>
      </w:r>
      <w:r w:rsidRPr="006571AC">
        <w:rPr>
          <w:sz w:val="27"/>
          <w:rtl/>
        </w:rPr>
        <w:t>اقتصادنا</w:t>
      </w:r>
      <w:r w:rsidR="005254E8" w:rsidRPr="006571AC">
        <w:rPr>
          <w:rFonts w:hint="cs"/>
          <w:sz w:val="27"/>
          <w:rtl/>
        </w:rPr>
        <w:t>)</w:t>
      </w:r>
      <w:r w:rsidRPr="006571AC">
        <w:rPr>
          <w:sz w:val="27"/>
          <w:rtl/>
        </w:rPr>
        <w:t xml:space="preserve">. </w:t>
      </w:r>
    </w:p>
    <w:p w:rsidR="00962F60" w:rsidRPr="006571AC" w:rsidRDefault="00962F60" w:rsidP="007E009E">
      <w:pPr>
        <w:rPr>
          <w:sz w:val="27"/>
        </w:rPr>
      </w:pPr>
      <w:r w:rsidRPr="006571AC">
        <w:rPr>
          <w:sz w:val="27"/>
          <w:rtl/>
        </w:rPr>
        <w:t>على أنه، أي الصدر، يشد</w:t>
      </w:r>
      <w:r w:rsidR="005254E8" w:rsidRPr="006571AC">
        <w:rPr>
          <w:rFonts w:hint="cs"/>
          <w:sz w:val="27"/>
          <w:rtl/>
        </w:rPr>
        <w:t>ِّ</w:t>
      </w:r>
      <w:r w:rsidRPr="006571AC">
        <w:rPr>
          <w:sz w:val="27"/>
          <w:rtl/>
        </w:rPr>
        <w:t>د على فكرة وجود بُع</w:t>
      </w:r>
      <w:r w:rsidR="005254E8" w:rsidRPr="006571AC">
        <w:rPr>
          <w:rFonts w:hint="cs"/>
          <w:sz w:val="27"/>
          <w:rtl/>
        </w:rPr>
        <w:t>ْ</w:t>
      </w:r>
      <w:r w:rsidRPr="006571AC">
        <w:rPr>
          <w:sz w:val="27"/>
          <w:rtl/>
        </w:rPr>
        <w:t>د</w:t>
      </w:r>
      <w:r w:rsidR="005254E8" w:rsidRPr="006571AC">
        <w:rPr>
          <w:rFonts w:hint="cs"/>
          <w:sz w:val="27"/>
          <w:rtl/>
        </w:rPr>
        <w:t>ٍ</w:t>
      </w:r>
      <w:r w:rsidRPr="006571AC">
        <w:rPr>
          <w:sz w:val="27"/>
          <w:rtl/>
        </w:rPr>
        <w:t xml:space="preserve"> مفاهيمي</w:t>
      </w:r>
      <w:r w:rsidR="003345FE" w:rsidRPr="006571AC">
        <w:rPr>
          <w:rFonts w:hint="cs"/>
          <w:sz w:val="27"/>
          <w:rtl/>
        </w:rPr>
        <w:t>ّ</w:t>
      </w:r>
      <w:r w:rsidRPr="006571AC">
        <w:rPr>
          <w:sz w:val="27"/>
          <w:rtl/>
        </w:rPr>
        <w:t xml:space="preserve"> خلف أقوال وأحكام الفقهاء المتنو</w:t>
      </w:r>
      <w:r w:rsidR="005254E8" w:rsidRPr="006571AC">
        <w:rPr>
          <w:rFonts w:hint="cs"/>
          <w:sz w:val="27"/>
          <w:rtl/>
        </w:rPr>
        <w:t>ِّ</w:t>
      </w:r>
      <w:r w:rsidRPr="006571AC">
        <w:rPr>
          <w:sz w:val="27"/>
          <w:rtl/>
        </w:rPr>
        <w:t>عة والمتشع</w:t>
      </w:r>
      <w:r w:rsidR="005254E8" w:rsidRPr="006571AC">
        <w:rPr>
          <w:rFonts w:hint="cs"/>
          <w:sz w:val="27"/>
          <w:rtl/>
        </w:rPr>
        <w:t>ِّ</w:t>
      </w:r>
      <w:r w:rsidRPr="006571AC">
        <w:rPr>
          <w:sz w:val="27"/>
          <w:rtl/>
        </w:rPr>
        <w:t>بة والمتفر</w:t>
      </w:r>
      <w:r w:rsidR="005254E8" w:rsidRPr="006571AC">
        <w:rPr>
          <w:rFonts w:hint="cs"/>
          <w:sz w:val="27"/>
          <w:rtl/>
        </w:rPr>
        <w:t>ِّ</w:t>
      </w:r>
      <w:r w:rsidRPr="006571AC">
        <w:rPr>
          <w:sz w:val="27"/>
          <w:rtl/>
        </w:rPr>
        <w:t>قة، عبر المذاهب والعصور، وهي أطروحة</w:t>
      </w:r>
      <w:r w:rsidR="003345FE" w:rsidRPr="006571AC">
        <w:rPr>
          <w:rFonts w:hint="cs"/>
          <w:sz w:val="27"/>
          <w:rtl/>
        </w:rPr>
        <w:t>ٌ</w:t>
      </w:r>
      <w:r w:rsidRPr="006571AC">
        <w:rPr>
          <w:sz w:val="27"/>
          <w:rtl/>
        </w:rPr>
        <w:t xml:space="preserve"> أطروحات </w:t>
      </w:r>
      <w:r w:rsidR="005254E8" w:rsidRPr="006571AC">
        <w:rPr>
          <w:rFonts w:hint="cs"/>
          <w:sz w:val="27"/>
          <w:rtl/>
        </w:rPr>
        <w:t>(</w:t>
      </w:r>
      <w:r w:rsidRPr="006571AC">
        <w:rPr>
          <w:sz w:val="27"/>
          <w:rtl/>
        </w:rPr>
        <w:t>اقتصادنا</w:t>
      </w:r>
      <w:r w:rsidR="005254E8" w:rsidRPr="006571AC">
        <w:rPr>
          <w:rFonts w:hint="cs"/>
          <w:sz w:val="27"/>
          <w:rtl/>
        </w:rPr>
        <w:t>)،</w:t>
      </w:r>
      <w:r w:rsidRPr="006571AC">
        <w:rPr>
          <w:sz w:val="27"/>
          <w:rtl/>
        </w:rPr>
        <w:t xml:space="preserve"> بخلاف ما توق</w:t>
      </w:r>
      <w:r w:rsidR="005254E8" w:rsidRPr="006571AC">
        <w:rPr>
          <w:rFonts w:hint="cs"/>
          <w:sz w:val="27"/>
          <w:rtl/>
        </w:rPr>
        <w:t>َّ</w:t>
      </w:r>
      <w:r w:rsidRPr="006571AC">
        <w:rPr>
          <w:sz w:val="27"/>
          <w:rtl/>
        </w:rPr>
        <w:t xml:space="preserve">ف عنده الأكثرون: </w:t>
      </w:r>
      <w:r w:rsidRPr="006571AC">
        <w:rPr>
          <w:rFonts w:hint="eastAsia"/>
          <w:sz w:val="24"/>
          <w:szCs w:val="24"/>
          <w:rtl/>
        </w:rPr>
        <w:t>«</w:t>
      </w:r>
      <w:r w:rsidRPr="006571AC">
        <w:rPr>
          <w:sz w:val="27"/>
          <w:rtl/>
        </w:rPr>
        <w:t>نعرف من ذلك كل</w:t>
      </w:r>
      <w:r w:rsidR="005254E8" w:rsidRPr="006571AC">
        <w:rPr>
          <w:rFonts w:hint="cs"/>
          <w:sz w:val="27"/>
          <w:rtl/>
        </w:rPr>
        <w:t>ِّ</w:t>
      </w:r>
      <w:r w:rsidRPr="006571AC">
        <w:rPr>
          <w:sz w:val="27"/>
          <w:rtl/>
        </w:rPr>
        <w:t xml:space="preserve">ه </w:t>
      </w:r>
      <w:r w:rsidR="005254E8" w:rsidRPr="006571AC">
        <w:rPr>
          <w:rFonts w:hint="cs"/>
          <w:sz w:val="27"/>
          <w:rtl/>
        </w:rPr>
        <w:t>أ</w:t>
      </w:r>
      <w:r w:rsidRPr="006571AC">
        <w:rPr>
          <w:sz w:val="27"/>
          <w:rtl/>
        </w:rPr>
        <w:t>ن وظيفة المذهب الاقتصادي هي وضع حلول</w:t>
      </w:r>
      <w:r w:rsidR="005254E8" w:rsidRPr="006571AC">
        <w:rPr>
          <w:rFonts w:hint="cs"/>
          <w:sz w:val="27"/>
          <w:rtl/>
        </w:rPr>
        <w:t>ٍ</w:t>
      </w:r>
      <w:r w:rsidRPr="006571AC">
        <w:rPr>
          <w:sz w:val="27"/>
          <w:rtl/>
        </w:rPr>
        <w:t xml:space="preserve"> لمشاكل الحياة الاقتصادية، ترتبط بفكرته وم</w:t>
      </w:r>
      <w:r w:rsidR="003345FE" w:rsidRPr="006571AC">
        <w:rPr>
          <w:rFonts w:hint="cs"/>
          <w:sz w:val="27"/>
          <w:rtl/>
        </w:rPr>
        <w:t>ُ</w:t>
      </w:r>
      <w:r w:rsidRPr="006571AC">
        <w:rPr>
          <w:sz w:val="27"/>
          <w:rtl/>
        </w:rPr>
        <w:t>ث</w:t>
      </w:r>
      <w:r w:rsidR="003345FE" w:rsidRPr="006571AC">
        <w:rPr>
          <w:rFonts w:hint="cs"/>
          <w:sz w:val="27"/>
          <w:rtl/>
        </w:rPr>
        <w:t>ُ</w:t>
      </w:r>
      <w:r w:rsidRPr="006571AC">
        <w:rPr>
          <w:sz w:val="27"/>
          <w:rtl/>
        </w:rPr>
        <w:t>له في العدالة، وإذا أض</w:t>
      </w:r>
      <w:r w:rsidR="00FA3939" w:rsidRPr="006571AC">
        <w:rPr>
          <w:rFonts w:hint="cs"/>
          <w:sz w:val="27"/>
          <w:rtl/>
        </w:rPr>
        <w:t>َ</w:t>
      </w:r>
      <w:r w:rsidRPr="006571AC">
        <w:rPr>
          <w:sz w:val="27"/>
          <w:rtl/>
        </w:rPr>
        <w:t>ف</w:t>
      </w:r>
      <w:r w:rsidR="00FA3939" w:rsidRPr="006571AC">
        <w:rPr>
          <w:rFonts w:hint="cs"/>
          <w:sz w:val="27"/>
          <w:rtl/>
        </w:rPr>
        <w:t>ْ</w:t>
      </w:r>
      <w:r w:rsidRPr="006571AC">
        <w:rPr>
          <w:sz w:val="27"/>
          <w:rtl/>
        </w:rPr>
        <w:t xml:space="preserve">نا إلى هذه الحقيقة </w:t>
      </w:r>
      <w:r w:rsidR="00FA3939" w:rsidRPr="006571AC">
        <w:rPr>
          <w:rFonts w:hint="cs"/>
          <w:sz w:val="27"/>
          <w:rtl/>
        </w:rPr>
        <w:t>أ</w:t>
      </w:r>
      <w:r w:rsidRPr="006571AC">
        <w:rPr>
          <w:sz w:val="27"/>
          <w:rtl/>
        </w:rPr>
        <w:t>ن تعبير</w:t>
      </w:r>
      <w:r w:rsidR="003345FE" w:rsidRPr="006571AC">
        <w:rPr>
          <w:rFonts w:hint="cs"/>
          <w:sz w:val="27"/>
          <w:rtl/>
        </w:rPr>
        <w:t>َ</w:t>
      </w:r>
      <w:r w:rsidRPr="006571AC">
        <w:rPr>
          <w:sz w:val="27"/>
          <w:rtl/>
        </w:rPr>
        <w:t>ي</w:t>
      </w:r>
      <w:r w:rsidR="003345FE" w:rsidRPr="006571AC">
        <w:rPr>
          <w:rFonts w:hint="cs"/>
          <w:sz w:val="27"/>
          <w:rtl/>
        </w:rPr>
        <w:t>ْ</w:t>
      </w:r>
      <w:r w:rsidRPr="006571AC">
        <w:rPr>
          <w:sz w:val="27"/>
          <w:rtl/>
        </w:rPr>
        <w:t xml:space="preserve"> (الحلال والحرام) في الإسلام تجسيدان للق</w:t>
      </w:r>
      <w:r w:rsidR="00FA3939" w:rsidRPr="006571AC">
        <w:rPr>
          <w:rFonts w:hint="cs"/>
          <w:sz w:val="27"/>
          <w:rtl/>
        </w:rPr>
        <w:t>ِ</w:t>
      </w:r>
      <w:r w:rsidRPr="006571AC">
        <w:rPr>
          <w:sz w:val="27"/>
          <w:rtl/>
        </w:rPr>
        <w:t>ي</w:t>
      </w:r>
      <w:r w:rsidR="00FA3939" w:rsidRPr="006571AC">
        <w:rPr>
          <w:rFonts w:hint="cs"/>
          <w:sz w:val="27"/>
          <w:rtl/>
        </w:rPr>
        <w:t>َ</w:t>
      </w:r>
      <w:r w:rsidRPr="006571AC">
        <w:rPr>
          <w:sz w:val="27"/>
          <w:rtl/>
        </w:rPr>
        <w:t>م والم</w:t>
      </w:r>
      <w:r w:rsidR="00FA3939" w:rsidRPr="006571AC">
        <w:rPr>
          <w:rFonts w:hint="cs"/>
          <w:sz w:val="27"/>
          <w:rtl/>
        </w:rPr>
        <w:t>ُ</w:t>
      </w:r>
      <w:r w:rsidRPr="006571AC">
        <w:rPr>
          <w:sz w:val="27"/>
          <w:rtl/>
        </w:rPr>
        <w:t>ث</w:t>
      </w:r>
      <w:r w:rsidR="00FA3939" w:rsidRPr="006571AC">
        <w:rPr>
          <w:rFonts w:hint="cs"/>
          <w:sz w:val="27"/>
          <w:rtl/>
        </w:rPr>
        <w:t>ُ</w:t>
      </w:r>
      <w:r w:rsidRPr="006571AC">
        <w:rPr>
          <w:sz w:val="27"/>
          <w:rtl/>
        </w:rPr>
        <w:t>ل التي يؤمن بها الإسلام فمن الطبيعي</w:t>
      </w:r>
      <w:r w:rsidR="00FA3939" w:rsidRPr="006571AC">
        <w:rPr>
          <w:rFonts w:hint="cs"/>
          <w:sz w:val="27"/>
          <w:rtl/>
        </w:rPr>
        <w:t>ّ</w:t>
      </w:r>
      <w:r w:rsidRPr="006571AC">
        <w:rPr>
          <w:sz w:val="27"/>
          <w:rtl/>
        </w:rPr>
        <w:t xml:space="preserve"> </w:t>
      </w:r>
      <w:r w:rsidR="00FA3939" w:rsidRPr="006571AC">
        <w:rPr>
          <w:rFonts w:hint="cs"/>
          <w:sz w:val="27"/>
          <w:rtl/>
        </w:rPr>
        <w:t>أ</w:t>
      </w:r>
      <w:r w:rsidRPr="006571AC">
        <w:rPr>
          <w:sz w:val="27"/>
          <w:rtl/>
        </w:rPr>
        <w:t xml:space="preserve">ن ننتهي من ذلك </w:t>
      </w:r>
      <w:r w:rsidR="00FA3939" w:rsidRPr="006571AC">
        <w:rPr>
          <w:rFonts w:hint="cs"/>
          <w:sz w:val="27"/>
          <w:rtl/>
        </w:rPr>
        <w:t>إ</w:t>
      </w:r>
      <w:r w:rsidRPr="006571AC">
        <w:rPr>
          <w:sz w:val="27"/>
          <w:rtl/>
        </w:rPr>
        <w:t>لى اليقين بوجود اقتصاد</w:t>
      </w:r>
      <w:r w:rsidR="00FA3939" w:rsidRPr="006571AC">
        <w:rPr>
          <w:rFonts w:hint="cs"/>
          <w:sz w:val="27"/>
          <w:rtl/>
        </w:rPr>
        <w:t>ٍ</w:t>
      </w:r>
      <w:r w:rsidRPr="006571AC">
        <w:rPr>
          <w:sz w:val="27"/>
          <w:rtl/>
        </w:rPr>
        <w:t xml:space="preserve"> مذهبي</w:t>
      </w:r>
      <w:r w:rsidR="00FA3939" w:rsidRPr="006571AC">
        <w:rPr>
          <w:rFonts w:hint="cs"/>
          <w:sz w:val="27"/>
          <w:rtl/>
        </w:rPr>
        <w:t>ّ</w:t>
      </w:r>
      <w:r w:rsidRPr="006571AC">
        <w:rPr>
          <w:sz w:val="27"/>
          <w:rtl/>
        </w:rPr>
        <w:t xml:space="preserve"> إسلامي</w:t>
      </w:r>
      <w:r w:rsidRPr="006571AC">
        <w:rPr>
          <w:rFonts w:hint="eastAsia"/>
          <w:sz w:val="24"/>
          <w:szCs w:val="24"/>
          <w:rtl/>
        </w:rPr>
        <w:t>»</w:t>
      </w:r>
      <w:r w:rsidR="007E254D" w:rsidRPr="006571AC">
        <w:rPr>
          <w:rFonts w:hint="cs"/>
          <w:sz w:val="27"/>
          <w:vertAlign w:val="superscript"/>
          <w:rtl/>
        </w:rPr>
        <w:t>(</w:t>
      </w:r>
      <w:r w:rsidR="007E254D" w:rsidRPr="006571AC">
        <w:rPr>
          <w:rStyle w:val="ac"/>
          <w:sz w:val="27"/>
          <w:rtl/>
        </w:rPr>
        <w:endnoteReference w:id="917"/>
      </w:r>
      <w:r w:rsidR="007E254D" w:rsidRPr="006571AC">
        <w:rPr>
          <w:rFonts w:hint="cs"/>
          <w:sz w:val="27"/>
          <w:vertAlign w:val="superscript"/>
          <w:rtl/>
        </w:rPr>
        <w:t>)</w:t>
      </w:r>
      <w:r w:rsidR="000F4A13" w:rsidRPr="006571AC">
        <w:rPr>
          <w:sz w:val="27"/>
          <w:rtl/>
        </w:rPr>
        <w:t>.</w:t>
      </w:r>
      <w:r w:rsidRPr="006571AC">
        <w:rPr>
          <w:sz w:val="27"/>
          <w:rtl/>
        </w:rPr>
        <w:t xml:space="preserve"> </w:t>
      </w:r>
      <w:r w:rsidRPr="006571AC">
        <w:rPr>
          <w:rFonts w:hint="cs"/>
          <w:sz w:val="27"/>
          <w:rtl/>
        </w:rPr>
        <w:t>نكاد</w:t>
      </w:r>
      <w:r w:rsidRPr="006571AC">
        <w:rPr>
          <w:sz w:val="27"/>
          <w:rtl/>
        </w:rPr>
        <w:t xml:space="preserve"> </w:t>
      </w:r>
      <w:r w:rsidRPr="006571AC">
        <w:rPr>
          <w:rFonts w:hint="cs"/>
          <w:sz w:val="27"/>
          <w:rtl/>
        </w:rPr>
        <w:t>نظن</w:t>
      </w:r>
      <w:r w:rsidR="00FA3939"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خلال</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الكلمات</w:t>
      </w:r>
      <w:r w:rsidRPr="006571AC">
        <w:rPr>
          <w:sz w:val="27"/>
          <w:rtl/>
        </w:rPr>
        <w:t xml:space="preserve"> </w:t>
      </w:r>
      <w:r w:rsidRPr="006571AC">
        <w:rPr>
          <w:rFonts w:hint="cs"/>
          <w:sz w:val="27"/>
          <w:rtl/>
        </w:rPr>
        <w:t>أننا</w:t>
      </w:r>
      <w:r w:rsidRPr="006571AC">
        <w:rPr>
          <w:sz w:val="27"/>
          <w:rtl/>
        </w:rPr>
        <w:t xml:space="preserve"> </w:t>
      </w:r>
      <w:r w:rsidRPr="006571AC">
        <w:rPr>
          <w:rFonts w:hint="cs"/>
          <w:sz w:val="27"/>
          <w:rtl/>
        </w:rPr>
        <w:t>نقرأ</w:t>
      </w:r>
      <w:r w:rsidRPr="006571AC">
        <w:rPr>
          <w:sz w:val="27"/>
          <w:rtl/>
        </w:rPr>
        <w:t xml:space="preserve"> </w:t>
      </w:r>
      <w:r w:rsidRPr="006571AC">
        <w:rPr>
          <w:rFonts w:hint="cs"/>
          <w:sz w:val="27"/>
          <w:rtl/>
        </w:rPr>
        <w:t>باحثا</w:t>
      </w:r>
      <w:r w:rsidR="00FA3939" w:rsidRPr="006571AC">
        <w:rPr>
          <w:rFonts w:hint="cs"/>
          <w:sz w:val="27"/>
          <w:rtl/>
        </w:rPr>
        <w:t>ً</w:t>
      </w:r>
      <w:r w:rsidRPr="006571AC">
        <w:rPr>
          <w:sz w:val="27"/>
          <w:rtl/>
        </w:rPr>
        <w:t xml:space="preserve"> </w:t>
      </w:r>
      <w:r w:rsidRPr="006571AC">
        <w:rPr>
          <w:rFonts w:hint="cs"/>
          <w:sz w:val="27"/>
          <w:rtl/>
        </w:rPr>
        <w:t>فيبريا</w:t>
      </w:r>
      <w:r w:rsidR="00FA3939" w:rsidRPr="006571AC">
        <w:rPr>
          <w:rFonts w:hint="cs"/>
          <w:sz w:val="27"/>
          <w:rtl/>
        </w:rPr>
        <w:t>ً</w:t>
      </w:r>
      <w:r w:rsidRPr="006571AC">
        <w:rPr>
          <w:sz w:val="27"/>
          <w:rtl/>
        </w:rPr>
        <w:t xml:space="preserve"> </w:t>
      </w:r>
      <w:r w:rsidRPr="006571AC">
        <w:rPr>
          <w:rFonts w:hint="cs"/>
          <w:sz w:val="27"/>
          <w:rtl/>
        </w:rPr>
        <w:t>بامتياز</w:t>
      </w:r>
      <w:r w:rsidR="00FA3939" w:rsidRPr="006571AC">
        <w:rPr>
          <w:rFonts w:hint="cs"/>
          <w:sz w:val="27"/>
          <w:rtl/>
        </w:rPr>
        <w:t>ٍ</w:t>
      </w:r>
      <w:r w:rsidR="007E254D" w:rsidRPr="006571AC">
        <w:rPr>
          <w:rFonts w:hint="cs"/>
          <w:sz w:val="27"/>
          <w:vertAlign w:val="superscript"/>
          <w:rtl/>
        </w:rPr>
        <w:t>(</w:t>
      </w:r>
      <w:r w:rsidR="007E254D" w:rsidRPr="006571AC">
        <w:rPr>
          <w:rStyle w:val="ac"/>
          <w:sz w:val="27"/>
          <w:rtl/>
        </w:rPr>
        <w:endnoteReference w:id="918"/>
      </w:r>
      <w:r w:rsidR="007E254D" w:rsidRPr="006571AC">
        <w:rPr>
          <w:rFonts w:hint="cs"/>
          <w:sz w:val="27"/>
          <w:vertAlign w:val="superscript"/>
          <w:rtl/>
        </w:rPr>
        <w:t>)</w:t>
      </w:r>
      <w:r w:rsidR="000F4A13" w:rsidRPr="006571AC">
        <w:rPr>
          <w:sz w:val="27"/>
          <w:rtl/>
        </w:rPr>
        <w:t>.</w:t>
      </w:r>
      <w:r w:rsidRPr="006571AC">
        <w:rPr>
          <w:sz w:val="27"/>
          <w:rtl/>
        </w:rPr>
        <w:t xml:space="preserve"> </w:t>
      </w:r>
      <w:r w:rsidRPr="006571AC">
        <w:rPr>
          <w:rFonts w:hint="cs"/>
          <w:sz w:val="27"/>
          <w:rtl/>
        </w:rPr>
        <w:t>إن</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الجملة</w:t>
      </w:r>
      <w:r w:rsidRPr="006571AC">
        <w:rPr>
          <w:sz w:val="27"/>
          <w:rtl/>
        </w:rPr>
        <w:t xml:space="preserve"> </w:t>
      </w:r>
      <w:r w:rsidRPr="006571AC">
        <w:rPr>
          <w:rFonts w:hint="cs"/>
          <w:sz w:val="27"/>
          <w:rtl/>
        </w:rPr>
        <w:t>الأخيرة</w:t>
      </w:r>
      <w:r w:rsidRPr="006571AC">
        <w:rPr>
          <w:sz w:val="27"/>
          <w:rtl/>
        </w:rPr>
        <w:t xml:space="preserve"> </w:t>
      </w:r>
      <w:r w:rsidRPr="006571AC">
        <w:rPr>
          <w:rFonts w:hint="cs"/>
          <w:sz w:val="27"/>
          <w:rtl/>
        </w:rPr>
        <w:t>عند</w:t>
      </w:r>
      <w:r w:rsidRPr="006571AC">
        <w:rPr>
          <w:sz w:val="27"/>
          <w:rtl/>
        </w:rPr>
        <w:t xml:space="preserve"> </w:t>
      </w:r>
      <w:r w:rsidRPr="006571AC">
        <w:rPr>
          <w:rFonts w:hint="cs"/>
          <w:sz w:val="27"/>
          <w:rtl/>
        </w:rPr>
        <w:t>الشهيد</w:t>
      </w:r>
      <w:r w:rsidRPr="006571AC">
        <w:rPr>
          <w:sz w:val="27"/>
          <w:rtl/>
        </w:rPr>
        <w:t xml:space="preserve"> </w:t>
      </w:r>
      <w:r w:rsidRPr="006571AC">
        <w:rPr>
          <w:rFonts w:hint="cs"/>
          <w:sz w:val="27"/>
          <w:rtl/>
        </w:rPr>
        <w:t>الصدر</w:t>
      </w:r>
      <w:r w:rsidRPr="006571AC">
        <w:rPr>
          <w:sz w:val="27"/>
          <w:rtl/>
        </w:rPr>
        <w:t xml:space="preserve"> </w:t>
      </w:r>
      <w:r w:rsidRPr="006571AC">
        <w:rPr>
          <w:rFonts w:hint="cs"/>
          <w:sz w:val="27"/>
          <w:rtl/>
        </w:rPr>
        <w:t>تختصر</w:t>
      </w:r>
      <w:r w:rsidRPr="006571AC">
        <w:rPr>
          <w:sz w:val="27"/>
          <w:rtl/>
        </w:rPr>
        <w:t xml:space="preserve"> </w:t>
      </w:r>
      <w:r w:rsidRPr="006571AC">
        <w:rPr>
          <w:rFonts w:hint="cs"/>
          <w:sz w:val="27"/>
          <w:rtl/>
        </w:rPr>
        <w:t>بشكل</w:t>
      </w:r>
      <w:r w:rsidR="00FA3939" w:rsidRPr="006571AC">
        <w:rPr>
          <w:rFonts w:hint="cs"/>
          <w:sz w:val="27"/>
          <w:rtl/>
        </w:rPr>
        <w:t>ٍ</w:t>
      </w:r>
      <w:r w:rsidRPr="006571AC">
        <w:rPr>
          <w:sz w:val="27"/>
          <w:rtl/>
        </w:rPr>
        <w:t xml:space="preserve"> </w:t>
      </w:r>
      <w:r w:rsidRPr="006571AC">
        <w:rPr>
          <w:rFonts w:hint="cs"/>
          <w:sz w:val="27"/>
          <w:rtl/>
        </w:rPr>
        <w:t>واضح</w:t>
      </w:r>
      <w:r w:rsidRPr="006571AC">
        <w:rPr>
          <w:sz w:val="27"/>
          <w:rtl/>
        </w:rPr>
        <w:t xml:space="preserve"> </w:t>
      </w:r>
      <w:r w:rsidRPr="006571AC">
        <w:rPr>
          <w:rFonts w:hint="cs"/>
          <w:sz w:val="27"/>
          <w:rtl/>
        </w:rPr>
        <w:t>طريقة</w:t>
      </w:r>
      <w:r w:rsidRPr="006571AC">
        <w:rPr>
          <w:sz w:val="27"/>
          <w:rtl/>
        </w:rPr>
        <w:t xml:space="preserve"> </w:t>
      </w:r>
      <w:r w:rsidRPr="006571AC">
        <w:rPr>
          <w:rFonts w:hint="cs"/>
          <w:sz w:val="27"/>
          <w:rtl/>
        </w:rPr>
        <w:t>الطوابق</w:t>
      </w:r>
      <w:r w:rsidRPr="006571AC">
        <w:rPr>
          <w:sz w:val="27"/>
          <w:rtl/>
        </w:rPr>
        <w:t xml:space="preserve"> </w:t>
      </w:r>
      <w:r w:rsidRPr="006571AC">
        <w:rPr>
          <w:rFonts w:hint="cs"/>
          <w:sz w:val="27"/>
          <w:rtl/>
        </w:rPr>
        <w:t>المذكورة</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فلس</w:t>
      </w:r>
      <w:r w:rsidRPr="006571AC">
        <w:rPr>
          <w:sz w:val="27"/>
          <w:rtl/>
        </w:rPr>
        <w:t>فته</w:t>
      </w:r>
      <w:r w:rsidR="00FA3939" w:rsidRPr="006571AC">
        <w:rPr>
          <w:sz w:val="27"/>
          <w:rtl/>
        </w:rPr>
        <w:t>ا المؤس</w:t>
      </w:r>
      <w:r w:rsidR="00FA3939" w:rsidRPr="006571AC">
        <w:rPr>
          <w:rFonts w:hint="cs"/>
          <w:sz w:val="27"/>
          <w:rtl/>
        </w:rPr>
        <w:t>ِّ</w:t>
      </w:r>
      <w:r w:rsidRPr="006571AC">
        <w:rPr>
          <w:sz w:val="27"/>
          <w:rtl/>
        </w:rPr>
        <w:t xml:space="preserve">سة. </w:t>
      </w:r>
    </w:p>
    <w:p w:rsidR="00962F60" w:rsidRPr="006571AC" w:rsidRDefault="00962F60" w:rsidP="007E009E">
      <w:pPr>
        <w:rPr>
          <w:sz w:val="27"/>
        </w:rPr>
      </w:pPr>
      <w:r w:rsidRPr="006571AC">
        <w:rPr>
          <w:sz w:val="27"/>
          <w:rtl/>
        </w:rPr>
        <w:t xml:space="preserve">فهو يضيف: </w:t>
      </w:r>
      <w:r w:rsidRPr="006571AC">
        <w:rPr>
          <w:rFonts w:hint="eastAsia"/>
          <w:sz w:val="24"/>
          <w:szCs w:val="24"/>
          <w:rtl/>
        </w:rPr>
        <w:t>«</w:t>
      </w:r>
      <w:r w:rsidRPr="006571AC">
        <w:rPr>
          <w:sz w:val="27"/>
          <w:rtl/>
        </w:rPr>
        <w:t>ونحن حين نؤك</w:t>
      </w:r>
      <w:r w:rsidR="00FA3939" w:rsidRPr="006571AC">
        <w:rPr>
          <w:rFonts w:hint="cs"/>
          <w:sz w:val="27"/>
          <w:rtl/>
        </w:rPr>
        <w:t>ِّ</w:t>
      </w:r>
      <w:r w:rsidRPr="006571AC">
        <w:rPr>
          <w:sz w:val="27"/>
          <w:rtl/>
        </w:rPr>
        <w:t>د على ضرورة التمييز بين الكيان النظري للمذهب الاقتصادي وبين القانون المدني لا نحاول بذلك قطع الصلة بينهما، بل نؤك</w:t>
      </w:r>
      <w:r w:rsidR="00FA3939" w:rsidRPr="006571AC">
        <w:rPr>
          <w:rFonts w:hint="cs"/>
          <w:sz w:val="27"/>
          <w:rtl/>
        </w:rPr>
        <w:t>ِّ</w:t>
      </w:r>
      <w:r w:rsidRPr="006571AC">
        <w:rPr>
          <w:sz w:val="27"/>
          <w:rtl/>
        </w:rPr>
        <w:t>د في نفس الوقت على العلاقة المتينة التي تربط المذهب بالقانون، بوصفهما جز</w:t>
      </w:r>
      <w:r w:rsidR="00FA3939" w:rsidRPr="006571AC">
        <w:rPr>
          <w:rFonts w:hint="cs"/>
          <w:sz w:val="27"/>
          <w:rtl/>
        </w:rPr>
        <w:t>ءَ</w:t>
      </w:r>
      <w:r w:rsidRPr="006571AC">
        <w:rPr>
          <w:sz w:val="27"/>
          <w:rtl/>
        </w:rPr>
        <w:t>ي</w:t>
      </w:r>
      <w:r w:rsidR="00FA3939" w:rsidRPr="006571AC">
        <w:rPr>
          <w:rFonts w:hint="cs"/>
          <w:sz w:val="27"/>
          <w:rtl/>
        </w:rPr>
        <w:t>ْ</w:t>
      </w:r>
      <w:r w:rsidRPr="006571AC">
        <w:rPr>
          <w:sz w:val="27"/>
          <w:rtl/>
        </w:rPr>
        <w:t>ن من بناء</w:t>
      </w:r>
      <w:r w:rsidR="00FA3939" w:rsidRPr="006571AC">
        <w:rPr>
          <w:rFonts w:hint="cs"/>
          <w:sz w:val="27"/>
          <w:rtl/>
        </w:rPr>
        <w:t>ٍ</w:t>
      </w:r>
      <w:r w:rsidRPr="006571AC">
        <w:rPr>
          <w:sz w:val="27"/>
          <w:rtl/>
        </w:rPr>
        <w:t xml:space="preserve"> نظري</w:t>
      </w:r>
      <w:r w:rsidR="00FA3939" w:rsidRPr="006571AC">
        <w:rPr>
          <w:rFonts w:hint="cs"/>
          <w:sz w:val="27"/>
          <w:rtl/>
        </w:rPr>
        <w:t>ّ</w:t>
      </w:r>
      <w:r w:rsidRPr="006571AC">
        <w:rPr>
          <w:sz w:val="27"/>
          <w:rtl/>
        </w:rPr>
        <w:t xml:space="preserve"> كامل للمجتمع</w:t>
      </w:r>
      <w:r w:rsidRPr="006571AC">
        <w:rPr>
          <w:rFonts w:hint="eastAsia"/>
          <w:sz w:val="24"/>
          <w:szCs w:val="24"/>
          <w:rtl/>
        </w:rPr>
        <w:t>»</w:t>
      </w:r>
      <w:r w:rsidR="007E254D" w:rsidRPr="006571AC">
        <w:rPr>
          <w:rFonts w:hint="cs"/>
          <w:sz w:val="27"/>
          <w:vertAlign w:val="superscript"/>
          <w:rtl/>
        </w:rPr>
        <w:t>(</w:t>
      </w:r>
      <w:r w:rsidR="007E254D" w:rsidRPr="006571AC">
        <w:rPr>
          <w:rStyle w:val="ac"/>
          <w:sz w:val="27"/>
          <w:rtl/>
        </w:rPr>
        <w:endnoteReference w:id="919"/>
      </w:r>
      <w:r w:rsidR="007E254D" w:rsidRPr="006571AC">
        <w:rPr>
          <w:rFonts w:hint="cs"/>
          <w:sz w:val="27"/>
          <w:vertAlign w:val="superscript"/>
          <w:rtl/>
        </w:rPr>
        <w:t>)</w:t>
      </w:r>
      <w:r w:rsidR="000F4A13" w:rsidRPr="006571AC">
        <w:rPr>
          <w:sz w:val="27"/>
          <w:rtl/>
        </w:rPr>
        <w:t>.</w:t>
      </w:r>
      <w:r w:rsidRPr="006571AC">
        <w:rPr>
          <w:sz w:val="27"/>
          <w:rtl/>
        </w:rPr>
        <w:t xml:space="preserve"> </w:t>
      </w:r>
      <w:r w:rsidRPr="006571AC">
        <w:rPr>
          <w:rFonts w:hint="cs"/>
          <w:sz w:val="27"/>
          <w:rtl/>
        </w:rPr>
        <w:t>ومن</w:t>
      </w:r>
      <w:r w:rsidRPr="006571AC">
        <w:rPr>
          <w:sz w:val="27"/>
          <w:rtl/>
        </w:rPr>
        <w:t xml:space="preserve"> </w:t>
      </w:r>
      <w:r w:rsidRPr="006571AC">
        <w:rPr>
          <w:rFonts w:hint="cs"/>
          <w:sz w:val="27"/>
          <w:rtl/>
        </w:rPr>
        <w:t>هنا</w:t>
      </w:r>
      <w:r w:rsidRPr="006571AC">
        <w:rPr>
          <w:sz w:val="27"/>
          <w:rtl/>
        </w:rPr>
        <w:t xml:space="preserve"> </w:t>
      </w:r>
      <w:r w:rsidRPr="006571AC">
        <w:rPr>
          <w:rFonts w:hint="cs"/>
          <w:sz w:val="27"/>
          <w:rtl/>
        </w:rPr>
        <w:t>نشرف</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جوهر</w:t>
      </w:r>
      <w:r w:rsidRPr="006571AC">
        <w:rPr>
          <w:sz w:val="27"/>
          <w:rtl/>
        </w:rPr>
        <w:t xml:space="preserve"> </w:t>
      </w:r>
      <w:r w:rsidRPr="006571AC">
        <w:rPr>
          <w:rFonts w:hint="cs"/>
          <w:sz w:val="27"/>
          <w:rtl/>
        </w:rPr>
        <w:t>طريقة</w:t>
      </w:r>
      <w:r w:rsidRPr="006571AC">
        <w:rPr>
          <w:sz w:val="27"/>
          <w:rtl/>
        </w:rPr>
        <w:t xml:space="preserve"> </w:t>
      </w:r>
      <w:r w:rsidRPr="006571AC">
        <w:rPr>
          <w:rFonts w:hint="cs"/>
          <w:sz w:val="27"/>
          <w:rtl/>
        </w:rPr>
        <w:t>الطوابق</w:t>
      </w:r>
      <w:r w:rsidRPr="006571AC">
        <w:rPr>
          <w:sz w:val="27"/>
          <w:rtl/>
        </w:rPr>
        <w:t xml:space="preserve">: </w:t>
      </w:r>
      <w:r w:rsidRPr="006571AC">
        <w:rPr>
          <w:rFonts w:hint="eastAsia"/>
          <w:sz w:val="24"/>
          <w:szCs w:val="24"/>
          <w:rtl/>
        </w:rPr>
        <w:t>«</w:t>
      </w:r>
      <w:r w:rsidRPr="006571AC">
        <w:rPr>
          <w:sz w:val="27"/>
          <w:rtl/>
        </w:rPr>
        <w:t>وكون المذهب قاعدة نظرية للقانون لا ينفي اعتبار المذهب ب</w:t>
      </w:r>
      <w:r w:rsidR="00EA38F1" w:rsidRPr="006571AC">
        <w:rPr>
          <w:sz w:val="27"/>
          <w:rtl/>
        </w:rPr>
        <w:t>دَوْر</w:t>
      </w:r>
      <w:r w:rsidRPr="006571AC">
        <w:rPr>
          <w:sz w:val="27"/>
          <w:rtl/>
        </w:rPr>
        <w:t>ه بناء</w:t>
      </w:r>
      <w:r w:rsidR="00FA3939" w:rsidRPr="006571AC">
        <w:rPr>
          <w:rFonts w:hint="cs"/>
          <w:sz w:val="27"/>
          <w:rtl/>
        </w:rPr>
        <w:t>ً</w:t>
      </w:r>
      <w:r w:rsidRPr="006571AC">
        <w:rPr>
          <w:sz w:val="27"/>
          <w:rtl/>
        </w:rPr>
        <w:t xml:space="preserve"> علوي</w:t>
      </w:r>
      <w:r w:rsidR="00FA3939" w:rsidRPr="006571AC">
        <w:rPr>
          <w:rFonts w:hint="cs"/>
          <w:sz w:val="27"/>
          <w:rtl/>
        </w:rPr>
        <w:t>ّ</w:t>
      </w:r>
      <w:r w:rsidRPr="006571AC">
        <w:rPr>
          <w:sz w:val="27"/>
          <w:rtl/>
        </w:rPr>
        <w:t>ا</w:t>
      </w:r>
      <w:r w:rsidR="00FA3939" w:rsidRPr="006571AC">
        <w:rPr>
          <w:rFonts w:hint="cs"/>
          <w:sz w:val="27"/>
          <w:rtl/>
        </w:rPr>
        <w:t>ً</w:t>
      </w:r>
      <w:r w:rsidRPr="006571AC">
        <w:rPr>
          <w:sz w:val="27"/>
          <w:rtl/>
        </w:rPr>
        <w:t xml:space="preserve"> لقاعدة</w:t>
      </w:r>
      <w:r w:rsidR="00FA3939" w:rsidRPr="006571AC">
        <w:rPr>
          <w:rFonts w:hint="cs"/>
          <w:sz w:val="27"/>
          <w:rtl/>
        </w:rPr>
        <w:t>ٍ</w:t>
      </w:r>
      <w:r w:rsidRPr="006571AC">
        <w:rPr>
          <w:sz w:val="27"/>
          <w:rtl/>
        </w:rPr>
        <w:t xml:space="preserve"> يرتكز عليها</w:t>
      </w:r>
      <w:r w:rsidR="00FA3939" w:rsidRPr="006571AC">
        <w:rPr>
          <w:rFonts w:hint="cs"/>
          <w:sz w:val="27"/>
          <w:rtl/>
        </w:rPr>
        <w:t>؛</w:t>
      </w:r>
      <w:r w:rsidRPr="006571AC">
        <w:rPr>
          <w:sz w:val="27"/>
          <w:rtl/>
        </w:rPr>
        <w:t xml:space="preserve"> ف</w:t>
      </w:r>
      <w:r w:rsidR="00FA3939" w:rsidRPr="006571AC">
        <w:rPr>
          <w:rFonts w:hint="cs"/>
          <w:sz w:val="27"/>
          <w:rtl/>
        </w:rPr>
        <w:t>إ</w:t>
      </w:r>
      <w:r w:rsidRPr="006571AC">
        <w:rPr>
          <w:sz w:val="27"/>
          <w:rtl/>
        </w:rPr>
        <w:t>ن البناء النظري الكامل للمجتمع يقوم على أساس نظرة</w:t>
      </w:r>
      <w:r w:rsidR="00FA3939" w:rsidRPr="006571AC">
        <w:rPr>
          <w:rFonts w:hint="cs"/>
          <w:sz w:val="27"/>
          <w:rtl/>
        </w:rPr>
        <w:t>ٍ</w:t>
      </w:r>
      <w:r w:rsidRPr="006571AC">
        <w:rPr>
          <w:sz w:val="27"/>
          <w:rtl/>
        </w:rPr>
        <w:t xml:space="preserve"> عام</w:t>
      </w:r>
      <w:r w:rsidR="00FA3939" w:rsidRPr="006571AC">
        <w:rPr>
          <w:rFonts w:hint="cs"/>
          <w:sz w:val="27"/>
          <w:rtl/>
        </w:rPr>
        <w:t>ّ</w:t>
      </w:r>
      <w:r w:rsidRPr="006571AC">
        <w:rPr>
          <w:sz w:val="27"/>
          <w:rtl/>
        </w:rPr>
        <w:t>ة، ويضم</w:t>
      </w:r>
      <w:r w:rsidR="00FA3939" w:rsidRPr="006571AC">
        <w:rPr>
          <w:rFonts w:hint="cs"/>
          <w:sz w:val="27"/>
          <w:rtl/>
        </w:rPr>
        <w:t>ّ</w:t>
      </w:r>
      <w:r w:rsidRPr="006571AC">
        <w:rPr>
          <w:sz w:val="27"/>
          <w:rtl/>
        </w:rPr>
        <w:t xml:space="preserve"> طوابق متعد</w:t>
      </w:r>
      <w:r w:rsidR="00FA3939" w:rsidRPr="006571AC">
        <w:rPr>
          <w:rFonts w:hint="cs"/>
          <w:sz w:val="27"/>
          <w:rtl/>
        </w:rPr>
        <w:t>ِّ</w:t>
      </w:r>
      <w:r w:rsidRPr="006571AC">
        <w:rPr>
          <w:sz w:val="27"/>
          <w:rtl/>
        </w:rPr>
        <w:t>دة يرتكز بعضها على بعض</w:t>
      </w:r>
      <w:r w:rsidR="00FA3939" w:rsidRPr="006571AC">
        <w:rPr>
          <w:rFonts w:hint="cs"/>
          <w:sz w:val="27"/>
          <w:rtl/>
        </w:rPr>
        <w:t>ٍ</w:t>
      </w:r>
      <w:r w:rsidRPr="006571AC">
        <w:rPr>
          <w:sz w:val="27"/>
          <w:rtl/>
        </w:rPr>
        <w:t>، ويعتبر كل</w:t>
      </w:r>
      <w:r w:rsidR="00FA3939" w:rsidRPr="006571AC">
        <w:rPr>
          <w:rFonts w:hint="cs"/>
          <w:sz w:val="27"/>
          <w:rtl/>
        </w:rPr>
        <w:t>ّ</w:t>
      </w:r>
      <w:r w:rsidRPr="006571AC">
        <w:rPr>
          <w:sz w:val="27"/>
          <w:rtl/>
        </w:rPr>
        <w:t xml:space="preserve"> طابق</w:t>
      </w:r>
      <w:r w:rsidR="00FA3939" w:rsidRPr="006571AC">
        <w:rPr>
          <w:rFonts w:hint="cs"/>
          <w:sz w:val="27"/>
          <w:rtl/>
        </w:rPr>
        <w:t>ٍ</w:t>
      </w:r>
      <w:r w:rsidRPr="006571AC">
        <w:rPr>
          <w:sz w:val="27"/>
          <w:rtl/>
        </w:rPr>
        <w:t xml:space="preserve"> متقد</w:t>
      </w:r>
      <w:r w:rsidR="00FA3939" w:rsidRPr="006571AC">
        <w:rPr>
          <w:rFonts w:hint="cs"/>
          <w:sz w:val="27"/>
          <w:rtl/>
        </w:rPr>
        <w:t>ّ</w:t>
      </w:r>
      <w:r w:rsidRPr="006571AC">
        <w:rPr>
          <w:sz w:val="27"/>
          <w:rtl/>
        </w:rPr>
        <w:t>م</w:t>
      </w:r>
      <w:r w:rsidR="00FA3939" w:rsidRPr="006571AC">
        <w:rPr>
          <w:rFonts w:hint="cs"/>
          <w:sz w:val="27"/>
          <w:rtl/>
        </w:rPr>
        <w:t>اً</w:t>
      </w:r>
      <w:r w:rsidRPr="006571AC">
        <w:rPr>
          <w:sz w:val="27"/>
          <w:rtl/>
        </w:rPr>
        <w:t xml:space="preserve"> أساسا</w:t>
      </w:r>
      <w:r w:rsidR="00FA3939" w:rsidRPr="006571AC">
        <w:rPr>
          <w:rFonts w:hint="cs"/>
          <w:sz w:val="27"/>
          <w:rtl/>
        </w:rPr>
        <w:t>ً</w:t>
      </w:r>
      <w:r w:rsidRPr="006571AC">
        <w:rPr>
          <w:sz w:val="27"/>
          <w:rtl/>
        </w:rPr>
        <w:t xml:space="preserve"> وقاعدة</w:t>
      </w:r>
      <w:r w:rsidR="00FA3939" w:rsidRPr="006571AC">
        <w:rPr>
          <w:rFonts w:hint="cs"/>
          <w:sz w:val="27"/>
          <w:rtl/>
        </w:rPr>
        <w:t>ً</w:t>
      </w:r>
      <w:r w:rsidRPr="006571AC">
        <w:rPr>
          <w:sz w:val="27"/>
          <w:rtl/>
        </w:rPr>
        <w:t xml:space="preserve"> للطابق العلوي الم</w:t>
      </w:r>
      <w:r w:rsidR="00FA3939" w:rsidRPr="006571AC">
        <w:rPr>
          <w:rFonts w:hint="cs"/>
          <w:sz w:val="27"/>
          <w:rtl/>
        </w:rPr>
        <w:t>ُ</w:t>
      </w:r>
      <w:r w:rsidRPr="006571AC">
        <w:rPr>
          <w:sz w:val="27"/>
          <w:rtl/>
        </w:rPr>
        <w:t>شاد عليه. فالمذهب والقانون طابقان من البناء النظري، والقانون هو الطابق العلوي</w:t>
      </w:r>
      <w:r w:rsidR="00FA3939" w:rsidRPr="006571AC">
        <w:rPr>
          <w:rFonts w:hint="cs"/>
          <w:sz w:val="27"/>
          <w:rtl/>
        </w:rPr>
        <w:t>ّ</w:t>
      </w:r>
      <w:r w:rsidRPr="006571AC">
        <w:rPr>
          <w:sz w:val="27"/>
          <w:rtl/>
        </w:rPr>
        <w:t xml:space="preserve"> منهما</w:t>
      </w:r>
      <w:r w:rsidR="00FA3939" w:rsidRPr="006571AC">
        <w:rPr>
          <w:rFonts w:hint="cs"/>
          <w:sz w:val="27"/>
          <w:rtl/>
        </w:rPr>
        <w:t>،</w:t>
      </w:r>
      <w:r w:rsidRPr="006571AC">
        <w:rPr>
          <w:sz w:val="27"/>
          <w:rtl/>
        </w:rPr>
        <w:t xml:space="preserve"> الذي يتكي</w:t>
      </w:r>
      <w:r w:rsidR="00FA3939" w:rsidRPr="006571AC">
        <w:rPr>
          <w:rFonts w:hint="cs"/>
          <w:sz w:val="27"/>
          <w:rtl/>
        </w:rPr>
        <w:t>َّ</w:t>
      </w:r>
      <w:r w:rsidRPr="006571AC">
        <w:rPr>
          <w:sz w:val="27"/>
          <w:rtl/>
        </w:rPr>
        <w:t>ف وفقا</w:t>
      </w:r>
      <w:r w:rsidR="00FA3939" w:rsidRPr="006571AC">
        <w:rPr>
          <w:rFonts w:hint="cs"/>
          <w:sz w:val="27"/>
          <w:rtl/>
        </w:rPr>
        <w:t>ً</w:t>
      </w:r>
      <w:r w:rsidRPr="006571AC">
        <w:rPr>
          <w:sz w:val="27"/>
          <w:rtl/>
        </w:rPr>
        <w:t xml:space="preserve"> للمذهب، ويتحد</w:t>
      </w:r>
      <w:r w:rsidR="00FA3939" w:rsidRPr="006571AC">
        <w:rPr>
          <w:rFonts w:hint="cs"/>
          <w:sz w:val="27"/>
          <w:rtl/>
        </w:rPr>
        <w:t>َّ</w:t>
      </w:r>
      <w:r w:rsidRPr="006571AC">
        <w:rPr>
          <w:sz w:val="27"/>
          <w:rtl/>
        </w:rPr>
        <w:t xml:space="preserve">د في ضوء النظريات والمفاهيم </w:t>
      </w:r>
      <w:r w:rsidRPr="006571AC">
        <w:rPr>
          <w:sz w:val="27"/>
          <w:rtl/>
        </w:rPr>
        <w:lastRenderedPageBreak/>
        <w:t>الأساسية التي يعب</w:t>
      </w:r>
      <w:r w:rsidR="00FA3939" w:rsidRPr="006571AC">
        <w:rPr>
          <w:rFonts w:hint="cs"/>
          <w:sz w:val="27"/>
          <w:rtl/>
        </w:rPr>
        <w:t>ِّ</w:t>
      </w:r>
      <w:r w:rsidRPr="006571AC">
        <w:rPr>
          <w:sz w:val="27"/>
          <w:rtl/>
        </w:rPr>
        <w:t>ر عنها ذلك المذهب</w:t>
      </w:r>
      <w:r w:rsidRPr="006571AC">
        <w:rPr>
          <w:rFonts w:hint="eastAsia"/>
          <w:sz w:val="24"/>
          <w:szCs w:val="24"/>
          <w:rtl/>
        </w:rPr>
        <w:t>»</w:t>
      </w:r>
      <w:r w:rsidR="007E254D" w:rsidRPr="006571AC">
        <w:rPr>
          <w:rFonts w:hint="cs"/>
          <w:sz w:val="27"/>
          <w:vertAlign w:val="superscript"/>
          <w:rtl/>
        </w:rPr>
        <w:t>(</w:t>
      </w:r>
      <w:r w:rsidR="007E254D" w:rsidRPr="006571AC">
        <w:rPr>
          <w:rStyle w:val="ac"/>
          <w:sz w:val="27"/>
          <w:rtl/>
        </w:rPr>
        <w:endnoteReference w:id="920"/>
      </w:r>
      <w:r w:rsidR="007E254D" w:rsidRPr="006571AC">
        <w:rPr>
          <w:rFonts w:hint="cs"/>
          <w:sz w:val="27"/>
          <w:vertAlign w:val="superscript"/>
          <w:rtl/>
        </w:rPr>
        <w:t>)</w:t>
      </w:r>
      <w:r w:rsidR="000F4A13" w:rsidRPr="006571AC">
        <w:rPr>
          <w:sz w:val="27"/>
          <w:rtl/>
        </w:rPr>
        <w:t>.</w:t>
      </w:r>
      <w:r w:rsidRPr="006571AC">
        <w:rPr>
          <w:sz w:val="27"/>
          <w:rtl/>
        </w:rPr>
        <w:t xml:space="preserve"> </w:t>
      </w:r>
    </w:p>
    <w:p w:rsidR="002053FE" w:rsidRPr="006571AC" w:rsidRDefault="00FA3939" w:rsidP="007E009E">
      <w:pPr>
        <w:rPr>
          <w:sz w:val="27"/>
          <w:rtl/>
        </w:rPr>
      </w:pPr>
      <w:r w:rsidRPr="006571AC">
        <w:rPr>
          <w:sz w:val="27"/>
          <w:rtl/>
        </w:rPr>
        <w:t xml:space="preserve">إذن </w:t>
      </w:r>
      <w:r w:rsidR="00962F60" w:rsidRPr="006571AC">
        <w:rPr>
          <w:sz w:val="27"/>
          <w:rtl/>
        </w:rPr>
        <w:t>نحن، بالفعل، ضمن طريقة</w:t>
      </w:r>
      <w:r w:rsidR="002053FE" w:rsidRPr="006571AC">
        <w:rPr>
          <w:rFonts w:hint="cs"/>
          <w:sz w:val="27"/>
          <w:rtl/>
        </w:rPr>
        <w:t>ٍ</w:t>
      </w:r>
      <w:r w:rsidR="00962F60" w:rsidRPr="006571AC">
        <w:rPr>
          <w:sz w:val="27"/>
          <w:rtl/>
        </w:rPr>
        <w:t xml:space="preserve"> تأويلية ـ ف</w:t>
      </w:r>
      <w:r w:rsidR="002053FE" w:rsidRPr="006571AC">
        <w:rPr>
          <w:rFonts w:hint="cs"/>
          <w:sz w:val="27"/>
          <w:rtl/>
        </w:rPr>
        <w:t>َ</w:t>
      </w:r>
      <w:r w:rsidR="00962F60" w:rsidRPr="006571AC">
        <w:rPr>
          <w:sz w:val="27"/>
          <w:rtl/>
        </w:rPr>
        <w:t>ه</w:t>
      </w:r>
      <w:r w:rsidR="002053FE" w:rsidRPr="006571AC">
        <w:rPr>
          <w:rFonts w:hint="cs"/>
          <w:sz w:val="27"/>
          <w:rtl/>
        </w:rPr>
        <w:t>ْ</w:t>
      </w:r>
      <w:r w:rsidR="00962F60" w:rsidRPr="006571AC">
        <w:rPr>
          <w:sz w:val="27"/>
          <w:rtl/>
        </w:rPr>
        <w:t>مية بامتياز</w:t>
      </w:r>
      <w:r w:rsidR="002053FE" w:rsidRPr="006571AC">
        <w:rPr>
          <w:rFonts w:hint="cs"/>
          <w:sz w:val="27"/>
          <w:rtl/>
        </w:rPr>
        <w:t>ٍ،</w:t>
      </w:r>
      <w:r w:rsidR="00962F60" w:rsidRPr="006571AC">
        <w:rPr>
          <w:sz w:val="27"/>
          <w:rtl/>
        </w:rPr>
        <w:t xml:space="preserve"> بالمعنى العلمي المعاصر، هدف</w:t>
      </w:r>
      <w:r w:rsidR="002053FE" w:rsidRPr="006571AC">
        <w:rPr>
          <w:rFonts w:hint="cs"/>
          <w:sz w:val="27"/>
          <w:rtl/>
        </w:rPr>
        <w:t>ُ</w:t>
      </w:r>
      <w:r w:rsidR="00962F60" w:rsidRPr="006571AC">
        <w:rPr>
          <w:sz w:val="27"/>
          <w:rtl/>
        </w:rPr>
        <w:t>ها هو استقراء (أو بناء أو إعادة بناء) المفاهيم من خلال دراسة أحكام ونصوص فقهية (ذات طابع ديني أيضا</w:t>
      </w:r>
      <w:r w:rsidR="002053FE" w:rsidRPr="006571AC">
        <w:rPr>
          <w:rFonts w:hint="cs"/>
          <w:sz w:val="27"/>
          <w:rtl/>
        </w:rPr>
        <w:t>ً</w:t>
      </w:r>
      <w:r w:rsidR="002053FE" w:rsidRPr="006571AC">
        <w:rPr>
          <w:sz w:val="27"/>
          <w:rtl/>
        </w:rPr>
        <w:t>).</w:t>
      </w:r>
    </w:p>
    <w:p w:rsidR="00962F60" w:rsidRPr="006571AC" w:rsidRDefault="00962F60" w:rsidP="007E009E">
      <w:pPr>
        <w:rPr>
          <w:sz w:val="27"/>
        </w:rPr>
      </w:pPr>
      <w:r w:rsidRPr="006571AC">
        <w:rPr>
          <w:sz w:val="27"/>
          <w:rtl/>
        </w:rPr>
        <w:t>غير أن الصدر يعتقد، أنطولوجي</w:t>
      </w:r>
      <w:r w:rsidR="002053FE" w:rsidRPr="006571AC">
        <w:rPr>
          <w:rFonts w:hint="cs"/>
          <w:sz w:val="27"/>
          <w:rtl/>
        </w:rPr>
        <w:t>ّ</w:t>
      </w:r>
      <w:r w:rsidRPr="006571AC">
        <w:rPr>
          <w:sz w:val="27"/>
          <w:rtl/>
        </w:rPr>
        <w:t>ا</w:t>
      </w:r>
      <w:r w:rsidR="002053FE" w:rsidRPr="006571AC">
        <w:rPr>
          <w:rFonts w:hint="cs"/>
          <w:sz w:val="27"/>
          <w:rtl/>
        </w:rPr>
        <w:t>ً</w:t>
      </w:r>
      <w:r w:rsidRPr="006571AC">
        <w:rPr>
          <w:sz w:val="27"/>
          <w:rtl/>
        </w:rPr>
        <w:t>، أن الباحث ال</w:t>
      </w:r>
      <w:r w:rsidR="002053FE" w:rsidRPr="006571AC">
        <w:rPr>
          <w:rFonts w:hint="cs"/>
          <w:sz w:val="27"/>
          <w:rtl/>
        </w:rPr>
        <w:t>إ</w:t>
      </w:r>
      <w:r w:rsidRPr="006571AC">
        <w:rPr>
          <w:sz w:val="27"/>
          <w:rtl/>
        </w:rPr>
        <w:t>سلامي (وهو باحث</w:t>
      </w:r>
      <w:r w:rsidR="002053FE" w:rsidRPr="006571AC">
        <w:rPr>
          <w:rFonts w:hint="cs"/>
          <w:sz w:val="27"/>
          <w:rtl/>
        </w:rPr>
        <w:t>ٌ</w:t>
      </w:r>
      <w:r w:rsidRPr="006571AC">
        <w:rPr>
          <w:sz w:val="27"/>
          <w:rtl/>
        </w:rPr>
        <w:t xml:space="preserve"> غير</w:t>
      </w:r>
      <w:r w:rsidR="0055624A" w:rsidRPr="006571AC">
        <w:rPr>
          <w:rFonts w:hint="cs"/>
          <w:sz w:val="27"/>
          <w:rtl/>
        </w:rPr>
        <w:t>ُ</w:t>
      </w:r>
      <w:r w:rsidRPr="006571AC">
        <w:rPr>
          <w:sz w:val="27"/>
          <w:rtl/>
        </w:rPr>
        <w:t xml:space="preserve"> محايد</w:t>
      </w:r>
      <w:r w:rsidR="0055624A" w:rsidRPr="006571AC">
        <w:rPr>
          <w:rFonts w:hint="cs"/>
          <w:sz w:val="27"/>
          <w:rtl/>
        </w:rPr>
        <w:t>ٍ</w:t>
      </w:r>
      <w:r w:rsidRPr="006571AC">
        <w:rPr>
          <w:sz w:val="27"/>
          <w:rtl/>
        </w:rPr>
        <w:t xml:space="preserve"> عقائدي</w:t>
      </w:r>
      <w:r w:rsidR="002053FE" w:rsidRPr="006571AC">
        <w:rPr>
          <w:rFonts w:hint="cs"/>
          <w:sz w:val="27"/>
          <w:rtl/>
        </w:rPr>
        <w:t>ّ</w:t>
      </w:r>
      <w:r w:rsidRPr="006571AC">
        <w:rPr>
          <w:sz w:val="27"/>
          <w:rtl/>
        </w:rPr>
        <w:t>ا</w:t>
      </w:r>
      <w:r w:rsidR="002053FE" w:rsidRPr="006571AC">
        <w:rPr>
          <w:rFonts w:hint="cs"/>
          <w:sz w:val="27"/>
          <w:rtl/>
        </w:rPr>
        <w:t>ً،</w:t>
      </w:r>
      <w:r w:rsidRPr="006571AC">
        <w:rPr>
          <w:sz w:val="27"/>
          <w:rtl/>
        </w:rPr>
        <w:t xml:space="preserve"> كما يمكن الاستنتاج من خلال خطاب الصدر) يستكشف مفاهيم هي موجودة</w:t>
      </w:r>
      <w:r w:rsidR="002053FE" w:rsidRPr="006571AC">
        <w:rPr>
          <w:rFonts w:hint="cs"/>
          <w:sz w:val="27"/>
          <w:rtl/>
        </w:rPr>
        <w:t>ٌ</w:t>
      </w:r>
      <w:r w:rsidRPr="006571AC">
        <w:rPr>
          <w:sz w:val="27"/>
          <w:rtl/>
        </w:rPr>
        <w:t xml:space="preserve"> وقائمة</w:t>
      </w:r>
      <w:r w:rsidR="002053FE" w:rsidRPr="006571AC">
        <w:rPr>
          <w:rFonts w:hint="cs"/>
          <w:sz w:val="27"/>
          <w:rtl/>
        </w:rPr>
        <w:t>ٌ</w:t>
      </w:r>
      <w:r w:rsidRPr="006571AC">
        <w:rPr>
          <w:sz w:val="27"/>
          <w:rtl/>
        </w:rPr>
        <w:t xml:space="preserve"> أصلا</w:t>
      </w:r>
      <w:r w:rsidR="002053FE" w:rsidRPr="006571AC">
        <w:rPr>
          <w:rFonts w:hint="cs"/>
          <w:sz w:val="27"/>
          <w:rtl/>
        </w:rPr>
        <w:t>ً</w:t>
      </w:r>
      <w:r w:rsidRPr="006571AC">
        <w:rPr>
          <w:sz w:val="27"/>
          <w:rtl/>
        </w:rPr>
        <w:t xml:space="preserve">، بعكس الباحث </w:t>
      </w:r>
      <w:r w:rsidRPr="006571AC">
        <w:rPr>
          <w:rFonts w:hint="eastAsia"/>
          <w:sz w:val="24"/>
          <w:szCs w:val="24"/>
          <w:rtl/>
        </w:rPr>
        <w:t>«</w:t>
      </w:r>
      <w:r w:rsidRPr="006571AC">
        <w:rPr>
          <w:sz w:val="27"/>
          <w:rtl/>
        </w:rPr>
        <w:t>الرأسمالي والاشتراكي</w:t>
      </w:r>
      <w:r w:rsidRPr="006571AC">
        <w:rPr>
          <w:rFonts w:hint="eastAsia"/>
          <w:sz w:val="24"/>
          <w:szCs w:val="24"/>
          <w:rtl/>
        </w:rPr>
        <w:t>»</w:t>
      </w:r>
      <w:r w:rsidRPr="006571AC">
        <w:rPr>
          <w:sz w:val="27"/>
          <w:rtl/>
        </w:rPr>
        <w:t xml:space="preserve"> الذي يقوم عملي</w:t>
      </w:r>
      <w:r w:rsidR="002053FE" w:rsidRPr="006571AC">
        <w:rPr>
          <w:rFonts w:hint="cs"/>
          <w:sz w:val="27"/>
          <w:rtl/>
        </w:rPr>
        <w:t>ّ</w:t>
      </w:r>
      <w:r w:rsidRPr="006571AC">
        <w:rPr>
          <w:sz w:val="27"/>
          <w:rtl/>
        </w:rPr>
        <w:t>ا</w:t>
      </w:r>
      <w:r w:rsidR="002053FE" w:rsidRPr="006571AC">
        <w:rPr>
          <w:rFonts w:hint="cs"/>
          <w:sz w:val="27"/>
          <w:rtl/>
        </w:rPr>
        <w:t>ً</w:t>
      </w:r>
      <w:r w:rsidRPr="006571AC">
        <w:rPr>
          <w:sz w:val="27"/>
          <w:rtl/>
        </w:rPr>
        <w:t xml:space="preserve"> بتكوين هذه المفاهيم</w:t>
      </w:r>
      <w:r w:rsidR="007E254D" w:rsidRPr="006571AC">
        <w:rPr>
          <w:rFonts w:hint="cs"/>
          <w:sz w:val="27"/>
          <w:vertAlign w:val="superscript"/>
          <w:rtl/>
        </w:rPr>
        <w:t>(</w:t>
      </w:r>
      <w:r w:rsidR="007E254D" w:rsidRPr="006571AC">
        <w:rPr>
          <w:rStyle w:val="ac"/>
          <w:sz w:val="27"/>
          <w:rtl/>
        </w:rPr>
        <w:endnoteReference w:id="921"/>
      </w:r>
      <w:r w:rsidR="007E254D" w:rsidRPr="006571AC">
        <w:rPr>
          <w:rFonts w:hint="cs"/>
          <w:sz w:val="27"/>
          <w:vertAlign w:val="superscript"/>
          <w:rtl/>
        </w:rPr>
        <w:t>)</w:t>
      </w:r>
      <w:r w:rsidR="000F4A13" w:rsidRPr="006571AC">
        <w:rPr>
          <w:sz w:val="27"/>
          <w:rtl/>
        </w:rPr>
        <w:t>.</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احترام</w:t>
      </w:r>
      <w:r w:rsidRPr="006571AC">
        <w:rPr>
          <w:sz w:val="27"/>
          <w:rtl/>
        </w:rPr>
        <w:t xml:space="preserve"> </w:t>
      </w:r>
      <w:r w:rsidRPr="006571AC">
        <w:rPr>
          <w:rFonts w:hint="cs"/>
          <w:sz w:val="27"/>
          <w:rtl/>
        </w:rPr>
        <w:t>تموضع</w:t>
      </w:r>
      <w:r w:rsidRPr="006571AC">
        <w:rPr>
          <w:sz w:val="27"/>
          <w:rtl/>
        </w:rPr>
        <w:t xml:space="preserve"> </w:t>
      </w:r>
      <w:r w:rsidRPr="006571AC">
        <w:rPr>
          <w:rFonts w:hint="cs"/>
          <w:sz w:val="27"/>
          <w:rtl/>
        </w:rPr>
        <w:t>السيد</w:t>
      </w:r>
      <w:r w:rsidRPr="006571AC">
        <w:rPr>
          <w:sz w:val="27"/>
          <w:rtl/>
        </w:rPr>
        <w:t xml:space="preserve"> </w:t>
      </w:r>
      <w:r w:rsidRPr="006571AC">
        <w:rPr>
          <w:rFonts w:hint="cs"/>
          <w:sz w:val="27"/>
          <w:rtl/>
        </w:rPr>
        <w:t>الصدر، ال</w:t>
      </w:r>
      <w:r w:rsidR="002053FE" w:rsidRPr="006571AC">
        <w:rPr>
          <w:rFonts w:hint="cs"/>
          <w:sz w:val="27"/>
          <w:rtl/>
        </w:rPr>
        <w:t>إ</w:t>
      </w:r>
      <w:r w:rsidRPr="006571AC">
        <w:rPr>
          <w:rFonts w:hint="cs"/>
          <w:sz w:val="27"/>
          <w:rtl/>
        </w:rPr>
        <w:t>سلامي</w:t>
      </w:r>
      <w:r w:rsidRPr="006571AC">
        <w:rPr>
          <w:sz w:val="27"/>
          <w:rtl/>
        </w:rPr>
        <w:t xml:space="preserve"> </w:t>
      </w:r>
      <w:r w:rsidRPr="006571AC">
        <w:rPr>
          <w:rFonts w:hint="cs"/>
          <w:sz w:val="27"/>
          <w:rtl/>
        </w:rPr>
        <w:t>طبعا</w:t>
      </w:r>
      <w:r w:rsidR="002053FE" w:rsidRPr="006571AC">
        <w:rPr>
          <w:rFonts w:hint="cs"/>
          <w:sz w:val="27"/>
          <w:rtl/>
        </w:rPr>
        <w:t>ً</w:t>
      </w:r>
      <w:r w:rsidRPr="006571AC">
        <w:rPr>
          <w:rFonts w:hint="cs"/>
          <w:sz w:val="27"/>
          <w:rtl/>
        </w:rPr>
        <w:t>، فإننا</w:t>
      </w:r>
      <w:r w:rsidRPr="006571AC">
        <w:rPr>
          <w:sz w:val="27"/>
          <w:rtl/>
        </w:rPr>
        <w:t xml:space="preserve"> </w:t>
      </w:r>
      <w:r w:rsidRPr="006571AC">
        <w:rPr>
          <w:rFonts w:hint="cs"/>
          <w:sz w:val="27"/>
          <w:rtl/>
        </w:rPr>
        <w:t>نعتبر</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الباحث</w:t>
      </w:r>
      <w:r w:rsidRPr="006571AC">
        <w:rPr>
          <w:sz w:val="27"/>
          <w:rtl/>
        </w:rPr>
        <w:t xml:space="preserve"> </w:t>
      </w:r>
      <w:r w:rsidRPr="006571AC">
        <w:rPr>
          <w:rFonts w:hint="cs"/>
          <w:sz w:val="27"/>
          <w:rtl/>
        </w:rPr>
        <w:t>المحايد هو</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صدد</w:t>
      </w:r>
      <w:r w:rsidRPr="006571AC">
        <w:rPr>
          <w:sz w:val="27"/>
          <w:rtl/>
        </w:rPr>
        <w:t xml:space="preserve"> </w:t>
      </w:r>
      <w:r w:rsidRPr="006571AC">
        <w:rPr>
          <w:rFonts w:hint="cs"/>
          <w:sz w:val="27"/>
          <w:rtl/>
        </w:rPr>
        <w:t>بناء</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المفاهيم من</w:t>
      </w:r>
      <w:r w:rsidRPr="006571AC">
        <w:rPr>
          <w:sz w:val="27"/>
          <w:rtl/>
        </w:rPr>
        <w:t xml:space="preserve"> </w:t>
      </w:r>
      <w:r w:rsidRPr="006571AC">
        <w:rPr>
          <w:rFonts w:hint="cs"/>
          <w:sz w:val="27"/>
          <w:rtl/>
        </w:rPr>
        <w:t>خلال</w:t>
      </w:r>
      <w:r w:rsidRPr="006571AC">
        <w:rPr>
          <w:sz w:val="27"/>
          <w:rtl/>
        </w:rPr>
        <w:t xml:space="preserve"> </w:t>
      </w:r>
      <w:r w:rsidRPr="006571AC">
        <w:rPr>
          <w:rFonts w:hint="cs"/>
          <w:sz w:val="27"/>
          <w:rtl/>
        </w:rPr>
        <w:t>بناء</w:t>
      </w:r>
      <w:r w:rsidRPr="006571AC">
        <w:rPr>
          <w:sz w:val="27"/>
          <w:rtl/>
        </w:rPr>
        <w:t xml:space="preserve"> </w:t>
      </w:r>
      <w:r w:rsidRPr="006571AC">
        <w:rPr>
          <w:rFonts w:hint="cs"/>
          <w:sz w:val="27"/>
          <w:rtl/>
        </w:rPr>
        <w:t>النماذج</w:t>
      </w:r>
      <w:r w:rsidRPr="006571AC">
        <w:rPr>
          <w:sz w:val="27"/>
          <w:rtl/>
        </w:rPr>
        <w:t xml:space="preserve"> ـ </w:t>
      </w:r>
      <w:r w:rsidRPr="006571AC">
        <w:rPr>
          <w:rFonts w:hint="cs"/>
          <w:sz w:val="27"/>
          <w:rtl/>
        </w:rPr>
        <w:t>المثا</w:t>
      </w:r>
      <w:r w:rsidRPr="006571AC">
        <w:rPr>
          <w:sz w:val="27"/>
          <w:rtl/>
        </w:rPr>
        <w:t>لية في كل</w:t>
      </w:r>
      <w:r w:rsidR="002053FE" w:rsidRPr="006571AC">
        <w:rPr>
          <w:rFonts w:hint="cs"/>
          <w:sz w:val="27"/>
          <w:rtl/>
        </w:rPr>
        <w:t>ّ</w:t>
      </w:r>
      <w:r w:rsidRPr="006571AC">
        <w:rPr>
          <w:sz w:val="27"/>
          <w:rtl/>
        </w:rPr>
        <w:t xml:space="preserve"> موضوع</w:t>
      </w:r>
      <w:r w:rsidR="002053FE" w:rsidRPr="006571AC">
        <w:rPr>
          <w:rFonts w:hint="cs"/>
          <w:sz w:val="27"/>
          <w:rtl/>
        </w:rPr>
        <w:t>ٍ</w:t>
      </w:r>
      <w:r w:rsidRPr="006571AC">
        <w:rPr>
          <w:sz w:val="27"/>
          <w:rtl/>
        </w:rPr>
        <w:t xml:space="preserve"> ومجال</w:t>
      </w:r>
      <w:r w:rsidR="002053FE" w:rsidRPr="006571AC">
        <w:rPr>
          <w:rFonts w:hint="cs"/>
          <w:sz w:val="27"/>
          <w:rtl/>
        </w:rPr>
        <w:t>ٍ،</w:t>
      </w:r>
      <w:r w:rsidRPr="006571AC">
        <w:rPr>
          <w:sz w:val="27"/>
          <w:rtl/>
        </w:rPr>
        <w:t xml:space="preserve"> كما سنرى. ومن الممكن أن نتبن</w:t>
      </w:r>
      <w:r w:rsidR="002053FE" w:rsidRPr="006571AC">
        <w:rPr>
          <w:rFonts w:hint="cs"/>
          <w:sz w:val="27"/>
          <w:rtl/>
        </w:rPr>
        <w:t>ّ</w:t>
      </w:r>
      <w:r w:rsidRPr="006571AC">
        <w:rPr>
          <w:sz w:val="27"/>
          <w:rtl/>
        </w:rPr>
        <w:t>ى تموضعا</w:t>
      </w:r>
      <w:r w:rsidR="002053FE" w:rsidRPr="006571AC">
        <w:rPr>
          <w:rFonts w:hint="cs"/>
          <w:sz w:val="27"/>
          <w:rtl/>
        </w:rPr>
        <w:t>ً</w:t>
      </w:r>
      <w:r w:rsidRPr="006571AC">
        <w:rPr>
          <w:sz w:val="27"/>
          <w:rtl/>
        </w:rPr>
        <w:t xml:space="preserve"> قريبا</w:t>
      </w:r>
      <w:r w:rsidR="002053FE" w:rsidRPr="006571AC">
        <w:rPr>
          <w:rFonts w:hint="cs"/>
          <w:sz w:val="27"/>
          <w:rtl/>
        </w:rPr>
        <w:t>ً</w:t>
      </w:r>
      <w:r w:rsidRPr="006571AC">
        <w:rPr>
          <w:sz w:val="27"/>
          <w:rtl/>
        </w:rPr>
        <w:t xml:space="preserve"> من التموضع ال</w:t>
      </w:r>
      <w:r w:rsidR="002053FE" w:rsidRPr="006571AC">
        <w:rPr>
          <w:rFonts w:hint="cs"/>
          <w:sz w:val="27"/>
          <w:rtl/>
        </w:rPr>
        <w:t>إ</w:t>
      </w:r>
      <w:r w:rsidRPr="006571AC">
        <w:rPr>
          <w:sz w:val="27"/>
          <w:rtl/>
        </w:rPr>
        <w:t xml:space="preserve">سلامي هذا من خلال الحديث عن </w:t>
      </w:r>
      <w:r w:rsidRPr="006571AC">
        <w:rPr>
          <w:rFonts w:hint="eastAsia"/>
          <w:sz w:val="24"/>
          <w:szCs w:val="24"/>
          <w:rtl/>
        </w:rPr>
        <w:t>«</w:t>
      </w:r>
      <w:r w:rsidRPr="006571AC">
        <w:rPr>
          <w:sz w:val="27"/>
          <w:rtl/>
        </w:rPr>
        <w:t>محاولة إعادة بناء</w:t>
      </w:r>
      <w:r w:rsidRPr="006571AC">
        <w:rPr>
          <w:rFonts w:hint="eastAsia"/>
          <w:sz w:val="24"/>
          <w:szCs w:val="24"/>
          <w:rtl/>
        </w:rPr>
        <w:t>»</w:t>
      </w:r>
      <w:r w:rsidRPr="006571AC">
        <w:rPr>
          <w:sz w:val="27"/>
          <w:rtl/>
        </w:rPr>
        <w:t xml:space="preserve"> هذه المفاهيم، لكن</w:t>
      </w:r>
      <w:r w:rsidR="002053FE" w:rsidRPr="006571AC">
        <w:rPr>
          <w:rFonts w:hint="cs"/>
          <w:sz w:val="27"/>
          <w:rtl/>
        </w:rPr>
        <w:t>ْ</w:t>
      </w:r>
      <w:r w:rsidRPr="006571AC">
        <w:rPr>
          <w:sz w:val="27"/>
          <w:rtl/>
        </w:rPr>
        <w:t xml:space="preserve"> من الضروري</w:t>
      </w:r>
      <w:r w:rsidR="002053FE" w:rsidRPr="006571AC">
        <w:rPr>
          <w:rFonts w:hint="cs"/>
          <w:sz w:val="27"/>
          <w:rtl/>
        </w:rPr>
        <w:t>،</w:t>
      </w:r>
      <w:r w:rsidRPr="006571AC">
        <w:rPr>
          <w:sz w:val="27"/>
          <w:rtl/>
        </w:rPr>
        <w:t xml:space="preserve"> برأينا</w:t>
      </w:r>
      <w:r w:rsidR="002053FE" w:rsidRPr="006571AC">
        <w:rPr>
          <w:rFonts w:hint="cs"/>
          <w:sz w:val="27"/>
          <w:rtl/>
        </w:rPr>
        <w:t>،</w:t>
      </w:r>
      <w:r w:rsidRPr="006571AC">
        <w:rPr>
          <w:sz w:val="27"/>
          <w:rtl/>
        </w:rPr>
        <w:t xml:space="preserve"> أن نبقى ضمن عملي</w:t>
      </w:r>
      <w:r w:rsidR="002053FE" w:rsidRPr="006571AC">
        <w:rPr>
          <w:rFonts w:hint="cs"/>
          <w:sz w:val="27"/>
          <w:rtl/>
        </w:rPr>
        <w:t>ّ</w:t>
      </w:r>
      <w:r w:rsidRPr="006571AC">
        <w:rPr>
          <w:sz w:val="27"/>
          <w:rtl/>
        </w:rPr>
        <w:t xml:space="preserve">ة </w:t>
      </w:r>
      <w:r w:rsidRPr="006571AC">
        <w:rPr>
          <w:rFonts w:hint="eastAsia"/>
          <w:sz w:val="24"/>
          <w:szCs w:val="24"/>
          <w:rtl/>
        </w:rPr>
        <w:t>«</w:t>
      </w:r>
      <w:r w:rsidRPr="006571AC">
        <w:rPr>
          <w:sz w:val="27"/>
          <w:rtl/>
        </w:rPr>
        <w:t>بناء</w:t>
      </w:r>
      <w:r w:rsidRPr="006571AC">
        <w:rPr>
          <w:rFonts w:hint="eastAsia"/>
          <w:sz w:val="24"/>
          <w:szCs w:val="24"/>
          <w:rtl/>
        </w:rPr>
        <w:t>»</w:t>
      </w:r>
      <w:r w:rsidRPr="006571AC">
        <w:rPr>
          <w:sz w:val="27"/>
          <w:rtl/>
        </w:rPr>
        <w:t>،</w:t>
      </w:r>
      <w:r w:rsidR="002053FE" w:rsidRPr="006571AC">
        <w:rPr>
          <w:rFonts w:hint="cs"/>
          <w:sz w:val="27"/>
          <w:rtl/>
        </w:rPr>
        <w:t>؛</w:t>
      </w:r>
      <w:r w:rsidRPr="006571AC">
        <w:rPr>
          <w:sz w:val="27"/>
          <w:rtl/>
        </w:rPr>
        <w:t xml:space="preserve"> وذلك للحفاظ على الحياد الأكسيولوجي والطابع العلمي (راج</w:t>
      </w:r>
      <w:r w:rsidR="002053FE" w:rsidRPr="006571AC">
        <w:rPr>
          <w:rFonts w:hint="cs"/>
          <w:sz w:val="27"/>
          <w:rtl/>
        </w:rPr>
        <w:t>ِ</w:t>
      </w:r>
      <w:r w:rsidRPr="006571AC">
        <w:rPr>
          <w:sz w:val="27"/>
          <w:rtl/>
        </w:rPr>
        <w:t>ع</w:t>
      </w:r>
      <w:r w:rsidR="002053FE" w:rsidRPr="006571AC">
        <w:rPr>
          <w:rFonts w:hint="cs"/>
          <w:sz w:val="27"/>
          <w:rtl/>
        </w:rPr>
        <w:t>ْ</w:t>
      </w:r>
      <w:r w:rsidRPr="006571AC">
        <w:rPr>
          <w:sz w:val="27"/>
          <w:rtl/>
        </w:rPr>
        <w:t xml:space="preserve"> الفقرات التالية). </w:t>
      </w:r>
    </w:p>
    <w:p w:rsidR="00962F60" w:rsidRPr="006571AC" w:rsidRDefault="00962F60" w:rsidP="007E009E">
      <w:pPr>
        <w:rPr>
          <w:sz w:val="27"/>
        </w:rPr>
      </w:pPr>
      <w:r w:rsidRPr="006571AC">
        <w:rPr>
          <w:sz w:val="27"/>
          <w:rtl/>
        </w:rPr>
        <w:t>غير أن المقاطع الأكثر بلاغة</w:t>
      </w:r>
      <w:r w:rsidR="002053FE" w:rsidRPr="006571AC">
        <w:rPr>
          <w:rFonts w:hint="cs"/>
          <w:sz w:val="27"/>
          <w:rtl/>
        </w:rPr>
        <w:t>ً</w:t>
      </w:r>
      <w:r w:rsidRPr="006571AC">
        <w:rPr>
          <w:sz w:val="27"/>
          <w:rtl/>
        </w:rPr>
        <w:t xml:space="preserve"> في</w:t>
      </w:r>
      <w:r w:rsidR="002053FE" w:rsidRPr="006571AC">
        <w:rPr>
          <w:rFonts w:hint="cs"/>
          <w:sz w:val="27"/>
          <w:rtl/>
        </w:rPr>
        <w:t xml:space="preserve"> </w:t>
      </w:r>
      <w:r w:rsidRPr="006571AC">
        <w:rPr>
          <w:sz w:val="27"/>
          <w:rtl/>
        </w:rPr>
        <w:t>ما يخص</w:t>
      </w:r>
      <w:r w:rsidR="002053FE" w:rsidRPr="006571AC">
        <w:rPr>
          <w:rFonts w:hint="cs"/>
          <w:sz w:val="27"/>
          <w:rtl/>
        </w:rPr>
        <w:t>ّ</w:t>
      </w:r>
      <w:r w:rsidRPr="006571AC">
        <w:rPr>
          <w:sz w:val="27"/>
          <w:rtl/>
        </w:rPr>
        <w:t xml:space="preserve"> بحثنا هي بالطبع المتعل</w:t>
      </w:r>
      <w:r w:rsidR="002053FE" w:rsidRPr="006571AC">
        <w:rPr>
          <w:rFonts w:hint="cs"/>
          <w:sz w:val="27"/>
          <w:rtl/>
        </w:rPr>
        <w:t>ِّ</w:t>
      </w:r>
      <w:r w:rsidRPr="006571AC">
        <w:rPr>
          <w:sz w:val="27"/>
          <w:rtl/>
        </w:rPr>
        <w:t>قة بمنطقة الفراغ ونقاش الذاتيّة</w:t>
      </w:r>
      <w:r w:rsidR="007E254D" w:rsidRPr="006571AC">
        <w:rPr>
          <w:rFonts w:hint="cs"/>
          <w:sz w:val="27"/>
          <w:vertAlign w:val="superscript"/>
          <w:rtl/>
        </w:rPr>
        <w:t>(</w:t>
      </w:r>
      <w:r w:rsidR="007E254D" w:rsidRPr="006571AC">
        <w:rPr>
          <w:rStyle w:val="ac"/>
          <w:sz w:val="27"/>
          <w:rtl/>
        </w:rPr>
        <w:endnoteReference w:id="922"/>
      </w:r>
      <w:r w:rsidR="007E254D" w:rsidRPr="006571AC">
        <w:rPr>
          <w:rFonts w:hint="cs"/>
          <w:sz w:val="27"/>
          <w:vertAlign w:val="superscript"/>
          <w:rtl/>
        </w:rPr>
        <w:t>)</w:t>
      </w:r>
      <w:r w:rsidRPr="006571AC">
        <w:rPr>
          <w:rFonts w:hint="cs"/>
          <w:sz w:val="27"/>
          <w:rtl/>
        </w:rPr>
        <w:t>:</w:t>
      </w:r>
      <w:r w:rsidRPr="006571AC">
        <w:rPr>
          <w:sz w:val="27"/>
          <w:rtl/>
        </w:rPr>
        <w:t xml:space="preserve"> </w:t>
      </w:r>
      <w:r w:rsidRPr="006571AC">
        <w:rPr>
          <w:rFonts w:hint="eastAsia"/>
          <w:sz w:val="24"/>
          <w:szCs w:val="24"/>
          <w:rtl/>
        </w:rPr>
        <w:t>«</w:t>
      </w:r>
      <w:r w:rsidRPr="006571AC">
        <w:rPr>
          <w:sz w:val="27"/>
          <w:rtl/>
        </w:rPr>
        <w:t>وحيث جئنا على ذكر منطقة الفراغ في التشريع الاقتصادي</w:t>
      </w:r>
      <w:r w:rsidR="002053FE" w:rsidRPr="006571AC">
        <w:rPr>
          <w:rFonts w:hint="cs"/>
          <w:sz w:val="27"/>
          <w:rtl/>
        </w:rPr>
        <w:t>ّ</w:t>
      </w:r>
      <w:r w:rsidRPr="006571AC">
        <w:rPr>
          <w:sz w:val="27"/>
          <w:rtl/>
        </w:rPr>
        <w:t xml:space="preserve"> يجب أن نعطي هذا الفراغ أهم</w:t>
      </w:r>
      <w:r w:rsidR="002053FE" w:rsidRPr="006571AC">
        <w:rPr>
          <w:rFonts w:hint="cs"/>
          <w:sz w:val="27"/>
          <w:rtl/>
        </w:rPr>
        <w:t>ّ</w:t>
      </w:r>
      <w:r w:rsidRPr="006571AC">
        <w:rPr>
          <w:sz w:val="27"/>
          <w:rtl/>
        </w:rPr>
        <w:t>ية</w:t>
      </w:r>
      <w:r w:rsidR="002053FE" w:rsidRPr="006571AC">
        <w:rPr>
          <w:rFonts w:hint="cs"/>
          <w:sz w:val="27"/>
          <w:rtl/>
        </w:rPr>
        <w:t>ً</w:t>
      </w:r>
      <w:r w:rsidRPr="006571AC">
        <w:rPr>
          <w:sz w:val="27"/>
          <w:rtl/>
        </w:rPr>
        <w:t xml:space="preserve"> كبيرة خلال عملية اكتشاف المذهب الاقتصادي</w:t>
      </w:r>
      <w:r w:rsidR="002053FE" w:rsidRPr="006571AC">
        <w:rPr>
          <w:rFonts w:hint="cs"/>
          <w:sz w:val="27"/>
          <w:rtl/>
        </w:rPr>
        <w:t>؛</w:t>
      </w:r>
      <w:r w:rsidRPr="006571AC">
        <w:rPr>
          <w:sz w:val="27"/>
          <w:rtl/>
        </w:rPr>
        <w:t xml:space="preserve"> لأنه يمث</w:t>
      </w:r>
      <w:r w:rsidR="002053FE" w:rsidRPr="006571AC">
        <w:rPr>
          <w:rFonts w:hint="cs"/>
          <w:sz w:val="27"/>
          <w:rtl/>
        </w:rPr>
        <w:t>ِّ</w:t>
      </w:r>
      <w:r w:rsidRPr="006571AC">
        <w:rPr>
          <w:sz w:val="27"/>
          <w:rtl/>
        </w:rPr>
        <w:t>ل جانبا</w:t>
      </w:r>
      <w:r w:rsidR="002053FE" w:rsidRPr="006571AC">
        <w:rPr>
          <w:rFonts w:hint="cs"/>
          <w:sz w:val="27"/>
          <w:rtl/>
        </w:rPr>
        <w:t>ً</w:t>
      </w:r>
      <w:r w:rsidR="002053FE" w:rsidRPr="006571AC">
        <w:rPr>
          <w:sz w:val="27"/>
          <w:rtl/>
        </w:rPr>
        <w:t xml:space="preserve"> من المذهب الاقتصادي في الإسلام</w:t>
      </w:r>
      <w:r w:rsidRPr="006571AC">
        <w:rPr>
          <w:sz w:val="27"/>
          <w:rtl/>
        </w:rPr>
        <w:t>(...). ونحن حين نقول</w:t>
      </w:r>
      <w:r w:rsidR="002053FE" w:rsidRPr="006571AC">
        <w:rPr>
          <w:rFonts w:hint="cs"/>
          <w:sz w:val="27"/>
          <w:rtl/>
        </w:rPr>
        <w:t>:</w:t>
      </w:r>
      <w:r w:rsidRPr="006571AC">
        <w:rPr>
          <w:sz w:val="27"/>
          <w:rtl/>
        </w:rPr>
        <w:t xml:space="preserve"> (منطقة فراغ) فإننا نعني ذلك بالنسبة إلى الشريعة الإسلامية ونصوصها التشريعية، لا بالنسبة إلى الواقع التطبيقي</w:t>
      </w:r>
      <w:r w:rsidR="00900187" w:rsidRPr="006571AC">
        <w:rPr>
          <w:rFonts w:hint="cs"/>
          <w:sz w:val="27"/>
          <w:rtl/>
        </w:rPr>
        <w:t>ّ</w:t>
      </w:r>
      <w:r w:rsidRPr="006571AC">
        <w:rPr>
          <w:sz w:val="27"/>
          <w:rtl/>
        </w:rPr>
        <w:t xml:space="preserve"> للإسلام، الذي عاش</w:t>
      </w:r>
      <w:r w:rsidR="00900187" w:rsidRPr="006571AC">
        <w:rPr>
          <w:rFonts w:hint="cs"/>
          <w:sz w:val="27"/>
          <w:rtl/>
        </w:rPr>
        <w:t>َ</w:t>
      </w:r>
      <w:r w:rsidRPr="006571AC">
        <w:rPr>
          <w:sz w:val="27"/>
          <w:rtl/>
        </w:rPr>
        <w:t>ت</w:t>
      </w:r>
      <w:r w:rsidR="00900187" w:rsidRPr="006571AC">
        <w:rPr>
          <w:rFonts w:hint="cs"/>
          <w:sz w:val="27"/>
          <w:rtl/>
        </w:rPr>
        <w:t>ْ</w:t>
      </w:r>
      <w:r w:rsidRPr="006571AC">
        <w:rPr>
          <w:sz w:val="27"/>
          <w:rtl/>
        </w:rPr>
        <w:t>ه الأم</w:t>
      </w:r>
      <w:r w:rsidR="00900187" w:rsidRPr="006571AC">
        <w:rPr>
          <w:rFonts w:hint="cs"/>
          <w:sz w:val="27"/>
          <w:rtl/>
        </w:rPr>
        <w:t>ّ</w:t>
      </w:r>
      <w:r w:rsidRPr="006571AC">
        <w:rPr>
          <w:sz w:val="27"/>
          <w:rtl/>
        </w:rPr>
        <w:t>ة في عهد النبو</w:t>
      </w:r>
      <w:r w:rsidR="00900187" w:rsidRPr="006571AC">
        <w:rPr>
          <w:rFonts w:hint="cs"/>
          <w:sz w:val="27"/>
          <w:rtl/>
        </w:rPr>
        <w:t>ّ</w:t>
      </w:r>
      <w:r w:rsidRPr="006571AC">
        <w:rPr>
          <w:sz w:val="27"/>
          <w:rtl/>
        </w:rPr>
        <w:t>ة</w:t>
      </w:r>
      <w:r w:rsidR="00900187" w:rsidRPr="006571AC">
        <w:rPr>
          <w:rFonts w:hint="cs"/>
          <w:sz w:val="27"/>
          <w:rtl/>
        </w:rPr>
        <w:t>؛</w:t>
      </w:r>
      <w:r w:rsidRPr="006571AC">
        <w:rPr>
          <w:sz w:val="27"/>
          <w:rtl/>
        </w:rPr>
        <w:t xml:space="preserve"> </w:t>
      </w:r>
      <w:r w:rsidRPr="006571AC">
        <w:rPr>
          <w:rFonts w:hint="eastAsia"/>
          <w:sz w:val="24"/>
          <w:szCs w:val="24"/>
          <w:rtl/>
        </w:rPr>
        <w:t>«</w:t>
      </w:r>
      <w:r w:rsidRPr="006571AC">
        <w:rPr>
          <w:sz w:val="27"/>
          <w:rtl/>
        </w:rPr>
        <w:t>ذلك أن النبي</w:t>
      </w:r>
      <w:r w:rsidR="00900187" w:rsidRPr="006571AC">
        <w:rPr>
          <w:rFonts w:hint="cs"/>
          <w:sz w:val="27"/>
          <w:rtl/>
        </w:rPr>
        <w:t>ّ</w:t>
      </w:r>
      <w:r w:rsidRPr="006571AC">
        <w:rPr>
          <w:sz w:val="27"/>
          <w:rtl/>
        </w:rPr>
        <w:t xml:space="preserve"> الأكرم</w:t>
      </w:r>
      <w:r w:rsidR="002A2C90" w:rsidRPr="006571AC">
        <w:rPr>
          <w:rFonts w:ascii="Mosawi" w:hAnsi="Mosawi" w:cs="Mosawi"/>
          <w:sz w:val="22"/>
          <w:szCs w:val="22"/>
          <w:rtl/>
        </w:rPr>
        <w:t>|</w:t>
      </w:r>
      <w:r w:rsidRPr="006571AC">
        <w:rPr>
          <w:sz w:val="27"/>
          <w:rtl/>
        </w:rPr>
        <w:t xml:space="preserve"> هو الذي ملأ الفراغ في هذا العهد بصفته ولي</w:t>
      </w:r>
      <w:r w:rsidR="00900187" w:rsidRPr="006571AC">
        <w:rPr>
          <w:rFonts w:hint="cs"/>
          <w:sz w:val="27"/>
          <w:rtl/>
        </w:rPr>
        <w:t>ّ</w:t>
      </w:r>
      <w:r w:rsidRPr="006571AC">
        <w:rPr>
          <w:sz w:val="27"/>
          <w:rtl/>
        </w:rPr>
        <w:t xml:space="preserve"> الأمر (أو الإمام والمجتهد معا</w:t>
      </w:r>
      <w:r w:rsidR="00900187" w:rsidRPr="006571AC">
        <w:rPr>
          <w:rFonts w:hint="cs"/>
          <w:sz w:val="27"/>
          <w:rtl/>
        </w:rPr>
        <w:t>ً</w:t>
      </w:r>
      <w:r w:rsidRPr="006571AC">
        <w:rPr>
          <w:sz w:val="27"/>
          <w:rtl/>
        </w:rPr>
        <w:t>)</w:t>
      </w:r>
      <w:r w:rsidR="00900187" w:rsidRPr="006571AC">
        <w:rPr>
          <w:rFonts w:hint="cs"/>
          <w:sz w:val="27"/>
          <w:rtl/>
        </w:rPr>
        <w:t>،</w:t>
      </w:r>
      <w:r w:rsidRPr="006571AC">
        <w:rPr>
          <w:sz w:val="27"/>
          <w:rtl/>
        </w:rPr>
        <w:t xml:space="preserve"> لا النبي</w:t>
      </w:r>
      <w:r w:rsidR="0055624A" w:rsidRPr="006571AC">
        <w:rPr>
          <w:rFonts w:hint="cs"/>
          <w:sz w:val="27"/>
          <w:rtl/>
        </w:rPr>
        <w:t>ّ</w:t>
      </w:r>
      <w:r w:rsidRPr="006571AC">
        <w:rPr>
          <w:sz w:val="27"/>
          <w:rtl/>
        </w:rPr>
        <w:t xml:space="preserve"> والرسول (وهي فكرة شديدة الجرأة صراحة</w:t>
      </w:r>
      <w:r w:rsidR="00900187" w:rsidRPr="006571AC">
        <w:rPr>
          <w:rFonts w:hint="cs"/>
          <w:sz w:val="27"/>
          <w:rtl/>
        </w:rPr>
        <w:t xml:space="preserve">ً، </w:t>
      </w:r>
      <w:r w:rsidRPr="006571AC">
        <w:rPr>
          <w:sz w:val="27"/>
          <w:rtl/>
        </w:rPr>
        <w:t xml:space="preserve">غير </w:t>
      </w:r>
      <w:r w:rsidR="00900187" w:rsidRPr="006571AC">
        <w:rPr>
          <w:rFonts w:hint="cs"/>
          <w:sz w:val="27"/>
          <w:rtl/>
        </w:rPr>
        <w:t>أ</w:t>
      </w:r>
      <w:r w:rsidRPr="006571AC">
        <w:rPr>
          <w:sz w:val="27"/>
          <w:rtl/>
        </w:rPr>
        <w:t>نه</w:t>
      </w:r>
      <w:r w:rsidR="002A2C90" w:rsidRPr="006571AC">
        <w:rPr>
          <w:rFonts w:ascii="Mosawi" w:hAnsi="Mosawi" w:cs="Mosawi"/>
          <w:sz w:val="22"/>
          <w:szCs w:val="22"/>
          <w:rtl/>
        </w:rPr>
        <w:t>|</w:t>
      </w:r>
      <w:r w:rsidRPr="006571AC">
        <w:rPr>
          <w:sz w:val="27"/>
          <w:rtl/>
        </w:rPr>
        <w:t xml:space="preserve"> حين قام بعملية م</w:t>
      </w:r>
      <w:r w:rsidR="0055624A" w:rsidRPr="006571AC">
        <w:rPr>
          <w:rFonts w:hint="cs"/>
          <w:sz w:val="27"/>
          <w:rtl/>
        </w:rPr>
        <w:t>َ</w:t>
      </w:r>
      <w:r w:rsidRPr="006571AC">
        <w:rPr>
          <w:sz w:val="27"/>
          <w:rtl/>
        </w:rPr>
        <w:t>ل</w:t>
      </w:r>
      <w:r w:rsidR="0055624A" w:rsidRPr="006571AC">
        <w:rPr>
          <w:rFonts w:hint="cs"/>
          <w:sz w:val="27"/>
          <w:rtl/>
        </w:rPr>
        <w:t>ْ</w:t>
      </w:r>
      <w:r w:rsidRPr="006571AC">
        <w:rPr>
          <w:sz w:val="27"/>
          <w:rtl/>
        </w:rPr>
        <w:t>ء هذا الفراغ لم يملأه بوصفه نبي</w:t>
      </w:r>
      <w:r w:rsidR="00900187" w:rsidRPr="006571AC">
        <w:rPr>
          <w:rFonts w:hint="cs"/>
          <w:sz w:val="27"/>
          <w:rtl/>
        </w:rPr>
        <w:t>ّ</w:t>
      </w:r>
      <w:r w:rsidRPr="006571AC">
        <w:rPr>
          <w:sz w:val="27"/>
          <w:rtl/>
        </w:rPr>
        <w:t>ا</w:t>
      </w:r>
      <w:r w:rsidR="00900187" w:rsidRPr="006571AC">
        <w:rPr>
          <w:rFonts w:hint="cs"/>
          <w:sz w:val="27"/>
          <w:rtl/>
        </w:rPr>
        <w:t>ً</w:t>
      </w:r>
      <w:r w:rsidRPr="006571AC">
        <w:rPr>
          <w:sz w:val="27"/>
          <w:rtl/>
        </w:rPr>
        <w:t xml:space="preserve"> مبل</w:t>
      </w:r>
      <w:r w:rsidR="00900187" w:rsidRPr="006571AC">
        <w:rPr>
          <w:rFonts w:hint="cs"/>
          <w:sz w:val="27"/>
          <w:rtl/>
        </w:rPr>
        <w:t>ِّ</w:t>
      </w:r>
      <w:r w:rsidRPr="006571AC">
        <w:rPr>
          <w:sz w:val="27"/>
          <w:rtl/>
        </w:rPr>
        <w:t>غا</w:t>
      </w:r>
      <w:r w:rsidR="00900187" w:rsidRPr="006571AC">
        <w:rPr>
          <w:rFonts w:hint="cs"/>
          <w:sz w:val="27"/>
          <w:rtl/>
        </w:rPr>
        <w:t>ً</w:t>
      </w:r>
      <w:r w:rsidRPr="006571AC">
        <w:rPr>
          <w:sz w:val="27"/>
          <w:rtl/>
        </w:rPr>
        <w:t xml:space="preserve"> للشريعة الإلهية، الثابتة في كل</w:t>
      </w:r>
      <w:r w:rsidR="00900187" w:rsidRPr="006571AC">
        <w:rPr>
          <w:rFonts w:hint="cs"/>
          <w:sz w:val="27"/>
          <w:rtl/>
        </w:rPr>
        <w:t>ّ</w:t>
      </w:r>
      <w:r w:rsidRPr="006571AC">
        <w:rPr>
          <w:sz w:val="27"/>
          <w:rtl/>
        </w:rPr>
        <w:t xml:space="preserve"> مكان</w:t>
      </w:r>
      <w:r w:rsidR="00900187" w:rsidRPr="006571AC">
        <w:rPr>
          <w:rFonts w:hint="cs"/>
          <w:sz w:val="27"/>
          <w:rtl/>
        </w:rPr>
        <w:t>ٍ</w:t>
      </w:r>
      <w:r w:rsidR="00900187" w:rsidRPr="006571AC">
        <w:rPr>
          <w:sz w:val="27"/>
          <w:rtl/>
        </w:rPr>
        <w:t xml:space="preserve"> وزمان</w:t>
      </w:r>
      <w:r w:rsidR="0055624A" w:rsidRPr="006571AC">
        <w:rPr>
          <w:rFonts w:hint="cs"/>
          <w:sz w:val="27"/>
          <w:rtl/>
        </w:rPr>
        <w:t>ٍ</w:t>
      </w:r>
      <w:r w:rsidRPr="006571AC">
        <w:rPr>
          <w:sz w:val="27"/>
          <w:rtl/>
        </w:rPr>
        <w:t>(...)</w:t>
      </w:r>
      <w:r w:rsidR="00900187" w:rsidRPr="006571AC">
        <w:rPr>
          <w:rFonts w:hint="cs"/>
          <w:sz w:val="27"/>
          <w:rtl/>
        </w:rPr>
        <w:t>،</w:t>
      </w:r>
      <w:r w:rsidRPr="006571AC">
        <w:rPr>
          <w:sz w:val="27"/>
          <w:rtl/>
        </w:rPr>
        <w:t xml:space="preserve"> و</w:t>
      </w:r>
      <w:r w:rsidR="00900187" w:rsidRPr="006571AC">
        <w:rPr>
          <w:rFonts w:hint="cs"/>
          <w:sz w:val="27"/>
          <w:rtl/>
        </w:rPr>
        <w:t>إ</w:t>
      </w:r>
      <w:r w:rsidRPr="006571AC">
        <w:rPr>
          <w:sz w:val="27"/>
          <w:rtl/>
        </w:rPr>
        <w:t>نما ملأه بوصفه ولي</w:t>
      </w:r>
      <w:r w:rsidR="00900187" w:rsidRPr="006571AC">
        <w:rPr>
          <w:rFonts w:hint="cs"/>
          <w:sz w:val="27"/>
          <w:rtl/>
        </w:rPr>
        <w:t>ّ</w:t>
      </w:r>
      <w:r w:rsidRPr="006571AC">
        <w:rPr>
          <w:sz w:val="27"/>
          <w:rtl/>
        </w:rPr>
        <w:t xml:space="preserve"> الأمر، المكل</w:t>
      </w:r>
      <w:r w:rsidR="00900187" w:rsidRPr="006571AC">
        <w:rPr>
          <w:rFonts w:hint="cs"/>
          <w:sz w:val="27"/>
          <w:rtl/>
        </w:rPr>
        <w:t>َّ</w:t>
      </w:r>
      <w:r w:rsidRPr="006571AC">
        <w:rPr>
          <w:sz w:val="27"/>
          <w:rtl/>
        </w:rPr>
        <w:t>ف من ق</w:t>
      </w:r>
      <w:r w:rsidR="00900187" w:rsidRPr="006571AC">
        <w:rPr>
          <w:rFonts w:hint="cs"/>
          <w:sz w:val="27"/>
          <w:rtl/>
        </w:rPr>
        <w:t>ِ</w:t>
      </w:r>
      <w:r w:rsidRPr="006571AC">
        <w:rPr>
          <w:sz w:val="27"/>
          <w:rtl/>
        </w:rPr>
        <w:t>ب</w:t>
      </w:r>
      <w:r w:rsidR="00900187" w:rsidRPr="006571AC">
        <w:rPr>
          <w:rFonts w:hint="cs"/>
          <w:sz w:val="27"/>
          <w:rtl/>
        </w:rPr>
        <w:t>َ</w:t>
      </w:r>
      <w:r w:rsidRPr="006571AC">
        <w:rPr>
          <w:sz w:val="27"/>
          <w:rtl/>
        </w:rPr>
        <w:t>ل الشريعة بم</w:t>
      </w:r>
      <w:r w:rsidR="0055624A" w:rsidRPr="006571AC">
        <w:rPr>
          <w:rFonts w:hint="cs"/>
          <w:sz w:val="27"/>
          <w:rtl/>
        </w:rPr>
        <w:t>َ</w:t>
      </w:r>
      <w:r w:rsidRPr="006571AC">
        <w:rPr>
          <w:sz w:val="27"/>
          <w:rtl/>
        </w:rPr>
        <w:t>ل</w:t>
      </w:r>
      <w:r w:rsidR="0055624A" w:rsidRPr="006571AC">
        <w:rPr>
          <w:rFonts w:hint="cs"/>
          <w:sz w:val="27"/>
          <w:rtl/>
        </w:rPr>
        <w:t>ْ</w:t>
      </w:r>
      <w:r w:rsidRPr="006571AC">
        <w:rPr>
          <w:sz w:val="27"/>
          <w:rtl/>
        </w:rPr>
        <w:t>ء منطقة الفراغ</w:t>
      </w:r>
      <w:r w:rsidR="00900187" w:rsidRPr="006571AC">
        <w:rPr>
          <w:rFonts w:hint="cs"/>
          <w:sz w:val="27"/>
          <w:rtl/>
        </w:rPr>
        <w:t>،</w:t>
      </w:r>
      <w:r w:rsidRPr="006571AC">
        <w:rPr>
          <w:sz w:val="27"/>
          <w:rtl/>
        </w:rPr>
        <w:t xml:space="preserve"> وفقا</w:t>
      </w:r>
      <w:r w:rsidR="00900187" w:rsidRPr="006571AC">
        <w:rPr>
          <w:rFonts w:hint="cs"/>
          <w:sz w:val="27"/>
          <w:rtl/>
        </w:rPr>
        <w:t>ً</w:t>
      </w:r>
      <w:r w:rsidRPr="006571AC">
        <w:rPr>
          <w:sz w:val="27"/>
          <w:rtl/>
        </w:rPr>
        <w:t xml:space="preserve"> للظروف</w:t>
      </w:r>
      <w:r w:rsidRPr="006571AC">
        <w:rPr>
          <w:rFonts w:hint="eastAsia"/>
          <w:sz w:val="24"/>
          <w:szCs w:val="24"/>
          <w:rtl/>
        </w:rPr>
        <w:t>»</w:t>
      </w:r>
      <w:r w:rsidR="007E254D" w:rsidRPr="006571AC">
        <w:rPr>
          <w:rFonts w:hint="cs"/>
          <w:sz w:val="27"/>
          <w:vertAlign w:val="superscript"/>
          <w:rtl/>
        </w:rPr>
        <w:t>(</w:t>
      </w:r>
      <w:r w:rsidR="007E254D" w:rsidRPr="006571AC">
        <w:rPr>
          <w:rStyle w:val="ac"/>
          <w:sz w:val="27"/>
          <w:rtl/>
        </w:rPr>
        <w:endnoteReference w:id="923"/>
      </w:r>
      <w:r w:rsidR="007E254D" w:rsidRPr="006571AC">
        <w:rPr>
          <w:rFonts w:hint="cs"/>
          <w:sz w:val="27"/>
          <w:vertAlign w:val="superscript"/>
          <w:rtl/>
        </w:rPr>
        <w:t>)</w:t>
      </w:r>
      <w:r w:rsidR="000F4A13" w:rsidRPr="006571AC">
        <w:rPr>
          <w:sz w:val="27"/>
          <w:rtl/>
        </w:rPr>
        <w:t>.</w:t>
      </w:r>
      <w:r w:rsidRPr="006571AC">
        <w:rPr>
          <w:sz w:val="27"/>
          <w:rtl/>
        </w:rPr>
        <w:t xml:space="preserve"> </w:t>
      </w:r>
      <w:r w:rsidRPr="006571AC">
        <w:rPr>
          <w:rFonts w:hint="cs"/>
          <w:sz w:val="27"/>
          <w:rtl/>
        </w:rPr>
        <w:t>هل</w:t>
      </w:r>
      <w:r w:rsidRPr="006571AC">
        <w:rPr>
          <w:sz w:val="27"/>
          <w:rtl/>
        </w:rPr>
        <w:t xml:space="preserve"> </w:t>
      </w:r>
      <w:r w:rsidRPr="006571AC">
        <w:rPr>
          <w:rFonts w:hint="cs"/>
          <w:sz w:val="27"/>
          <w:rtl/>
        </w:rPr>
        <w:t>يمكن</w:t>
      </w:r>
      <w:r w:rsidRPr="006571AC">
        <w:rPr>
          <w:sz w:val="27"/>
          <w:rtl/>
        </w:rPr>
        <w:t xml:space="preserve"> </w:t>
      </w:r>
      <w:r w:rsidRPr="006571AC">
        <w:rPr>
          <w:rFonts w:hint="cs"/>
          <w:sz w:val="27"/>
          <w:rtl/>
        </w:rPr>
        <w:t>الاد</w:t>
      </w:r>
      <w:r w:rsidR="00900187" w:rsidRPr="006571AC">
        <w:rPr>
          <w:rFonts w:hint="cs"/>
          <w:sz w:val="27"/>
          <w:rtl/>
        </w:rPr>
        <w:t>ّ</w:t>
      </w:r>
      <w:r w:rsidRPr="006571AC">
        <w:rPr>
          <w:rFonts w:hint="cs"/>
          <w:sz w:val="27"/>
          <w:rtl/>
        </w:rPr>
        <w:t>عاء</w:t>
      </w:r>
      <w:r w:rsidRPr="006571AC">
        <w:rPr>
          <w:sz w:val="27"/>
          <w:rtl/>
        </w:rPr>
        <w:t xml:space="preserve"> </w:t>
      </w:r>
      <w:r w:rsidRPr="006571AC">
        <w:rPr>
          <w:rFonts w:hint="cs"/>
          <w:sz w:val="27"/>
          <w:rtl/>
        </w:rPr>
        <w:t>بعد</w:t>
      </w:r>
      <w:r w:rsidRPr="006571AC">
        <w:rPr>
          <w:sz w:val="27"/>
          <w:rtl/>
        </w:rPr>
        <w:t xml:space="preserve"> </w:t>
      </w:r>
      <w:r w:rsidRPr="006571AC">
        <w:rPr>
          <w:rFonts w:hint="cs"/>
          <w:sz w:val="27"/>
          <w:rtl/>
        </w:rPr>
        <w:t>مقطع</w:t>
      </w:r>
      <w:r w:rsidR="00900187" w:rsidRPr="006571AC">
        <w:rPr>
          <w:rFonts w:hint="cs"/>
          <w:sz w:val="27"/>
          <w:rtl/>
        </w:rPr>
        <w:t>ٍ</w:t>
      </w:r>
      <w:r w:rsidRPr="006571AC">
        <w:rPr>
          <w:sz w:val="27"/>
          <w:rtl/>
        </w:rPr>
        <w:t xml:space="preserve"> </w:t>
      </w:r>
      <w:r w:rsidRPr="006571AC">
        <w:rPr>
          <w:rFonts w:hint="cs"/>
          <w:sz w:val="27"/>
          <w:rtl/>
        </w:rPr>
        <w:t>كهذا</w:t>
      </w:r>
      <w:r w:rsidRPr="006571AC">
        <w:rPr>
          <w:sz w:val="27"/>
          <w:rtl/>
        </w:rPr>
        <w:t xml:space="preserve"> </w:t>
      </w:r>
      <w:r w:rsidRPr="006571AC">
        <w:rPr>
          <w:rFonts w:hint="cs"/>
          <w:sz w:val="27"/>
          <w:rtl/>
        </w:rPr>
        <w:t>أننا</w:t>
      </w:r>
      <w:r w:rsidRPr="006571AC">
        <w:rPr>
          <w:sz w:val="27"/>
          <w:rtl/>
        </w:rPr>
        <w:t xml:space="preserve"> </w:t>
      </w:r>
      <w:r w:rsidRPr="006571AC">
        <w:rPr>
          <w:rFonts w:hint="cs"/>
          <w:sz w:val="27"/>
          <w:rtl/>
        </w:rPr>
        <w:t>ل</w:t>
      </w:r>
      <w:r w:rsidR="0055624A" w:rsidRPr="006571AC">
        <w:rPr>
          <w:rFonts w:hint="cs"/>
          <w:sz w:val="27"/>
          <w:rtl/>
        </w:rPr>
        <w:t>َ</w:t>
      </w:r>
      <w:r w:rsidRPr="006571AC">
        <w:rPr>
          <w:rFonts w:hint="cs"/>
          <w:sz w:val="27"/>
          <w:rtl/>
        </w:rPr>
        <w:t>س</w:t>
      </w:r>
      <w:r w:rsidR="0055624A" w:rsidRPr="006571AC">
        <w:rPr>
          <w:rFonts w:hint="cs"/>
          <w:sz w:val="27"/>
          <w:rtl/>
        </w:rPr>
        <w:t>ْ</w:t>
      </w:r>
      <w:r w:rsidRPr="006571AC">
        <w:rPr>
          <w:rFonts w:hint="cs"/>
          <w:sz w:val="27"/>
          <w:rtl/>
        </w:rPr>
        <w:t>نا</w:t>
      </w:r>
      <w:r w:rsidRPr="006571AC">
        <w:rPr>
          <w:sz w:val="27"/>
          <w:rtl/>
        </w:rPr>
        <w:t xml:space="preserve"> </w:t>
      </w:r>
      <w:r w:rsidRPr="006571AC">
        <w:rPr>
          <w:rFonts w:hint="cs"/>
          <w:sz w:val="27"/>
          <w:rtl/>
        </w:rPr>
        <w:t>أمام</w:t>
      </w:r>
      <w:r w:rsidRPr="006571AC">
        <w:rPr>
          <w:sz w:val="27"/>
          <w:rtl/>
        </w:rPr>
        <w:t xml:space="preserve"> </w:t>
      </w:r>
      <w:r w:rsidRPr="006571AC">
        <w:rPr>
          <w:rFonts w:hint="cs"/>
          <w:sz w:val="27"/>
          <w:rtl/>
        </w:rPr>
        <w:t>عمل</w:t>
      </w:r>
      <w:r w:rsidR="00900187" w:rsidRPr="006571AC">
        <w:rPr>
          <w:rFonts w:hint="cs"/>
          <w:sz w:val="27"/>
          <w:rtl/>
        </w:rPr>
        <w:t>ٍ</w:t>
      </w:r>
      <w:r w:rsidRPr="006571AC">
        <w:rPr>
          <w:sz w:val="27"/>
          <w:rtl/>
        </w:rPr>
        <w:t xml:space="preserve"> </w:t>
      </w:r>
      <w:r w:rsidRPr="006571AC">
        <w:rPr>
          <w:rFonts w:hint="eastAsia"/>
          <w:sz w:val="24"/>
          <w:szCs w:val="24"/>
          <w:rtl/>
        </w:rPr>
        <w:t>«</w:t>
      </w:r>
      <w:r w:rsidRPr="006571AC">
        <w:rPr>
          <w:rFonts w:hint="cs"/>
          <w:sz w:val="27"/>
          <w:rtl/>
        </w:rPr>
        <w:t>خطير</w:t>
      </w:r>
      <w:r w:rsidRPr="006571AC">
        <w:rPr>
          <w:rFonts w:hint="eastAsia"/>
          <w:sz w:val="24"/>
          <w:szCs w:val="24"/>
          <w:rtl/>
        </w:rPr>
        <w:t>»</w:t>
      </w:r>
      <w:r w:rsidRPr="006571AC">
        <w:rPr>
          <w:sz w:val="27"/>
          <w:rtl/>
        </w:rPr>
        <w:t xml:space="preserve"> </w:t>
      </w:r>
      <w:r w:rsidRPr="006571AC">
        <w:rPr>
          <w:rFonts w:hint="cs"/>
          <w:sz w:val="27"/>
          <w:rtl/>
        </w:rPr>
        <w:t>بالمعنى</w:t>
      </w:r>
      <w:r w:rsidRPr="006571AC">
        <w:rPr>
          <w:sz w:val="27"/>
          <w:rtl/>
        </w:rPr>
        <w:t xml:space="preserve"> </w:t>
      </w:r>
      <w:r w:rsidRPr="006571AC">
        <w:rPr>
          <w:rFonts w:hint="cs"/>
          <w:sz w:val="27"/>
          <w:rtl/>
        </w:rPr>
        <w:t>العلمي</w:t>
      </w:r>
      <w:r w:rsidR="00900187" w:rsidRPr="006571AC">
        <w:rPr>
          <w:rFonts w:hint="cs"/>
          <w:sz w:val="27"/>
          <w:rtl/>
        </w:rPr>
        <w:t>ّ</w:t>
      </w:r>
      <w:r w:rsidRPr="006571AC">
        <w:rPr>
          <w:rFonts w:hint="cs"/>
          <w:sz w:val="27"/>
          <w:rtl/>
        </w:rPr>
        <w:t>، وخصوصا</w:t>
      </w:r>
      <w:r w:rsidR="00900187" w:rsidRPr="006571AC">
        <w:rPr>
          <w:rFonts w:hint="cs"/>
          <w:sz w:val="27"/>
          <w:rtl/>
        </w:rPr>
        <w:t>ً</w:t>
      </w:r>
      <w:r w:rsidRPr="006571AC">
        <w:rPr>
          <w:sz w:val="27"/>
          <w:rtl/>
        </w:rPr>
        <w:t xml:space="preserve"> </w:t>
      </w:r>
      <w:r w:rsidRPr="006571AC">
        <w:rPr>
          <w:rFonts w:hint="cs"/>
          <w:sz w:val="27"/>
          <w:rtl/>
        </w:rPr>
        <w:t>بالمعنى</w:t>
      </w:r>
      <w:r w:rsidRPr="006571AC">
        <w:rPr>
          <w:sz w:val="27"/>
          <w:rtl/>
        </w:rPr>
        <w:t xml:space="preserve"> </w:t>
      </w:r>
      <w:r w:rsidRPr="006571AC">
        <w:rPr>
          <w:rFonts w:hint="cs"/>
          <w:sz w:val="27"/>
          <w:rtl/>
        </w:rPr>
        <w:t>ال</w:t>
      </w:r>
      <w:r w:rsidR="00900187" w:rsidRPr="006571AC">
        <w:rPr>
          <w:rFonts w:hint="cs"/>
          <w:sz w:val="27"/>
          <w:rtl/>
        </w:rPr>
        <w:t>إ</w:t>
      </w:r>
      <w:r w:rsidRPr="006571AC">
        <w:rPr>
          <w:rFonts w:hint="cs"/>
          <w:sz w:val="27"/>
          <w:rtl/>
        </w:rPr>
        <w:t>بستمولوجي</w:t>
      </w:r>
      <w:r w:rsidRPr="006571AC">
        <w:rPr>
          <w:sz w:val="27"/>
          <w:rtl/>
        </w:rPr>
        <w:t xml:space="preserve"> ـ </w:t>
      </w:r>
      <w:r w:rsidRPr="006571AC">
        <w:rPr>
          <w:rFonts w:hint="cs"/>
          <w:sz w:val="27"/>
          <w:rtl/>
        </w:rPr>
        <w:t>الميتودولوجي</w:t>
      </w:r>
      <w:r w:rsidRPr="006571AC">
        <w:rPr>
          <w:sz w:val="27"/>
          <w:rtl/>
        </w:rPr>
        <w:t xml:space="preserve"> (</w:t>
      </w:r>
      <w:r w:rsidRPr="006571AC">
        <w:rPr>
          <w:rFonts w:hint="cs"/>
          <w:sz w:val="27"/>
          <w:rtl/>
        </w:rPr>
        <w:t>أي</w:t>
      </w:r>
      <w:r w:rsidRPr="006571AC">
        <w:rPr>
          <w:sz w:val="27"/>
          <w:rtl/>
        </w:rPr>
        <w:t xml:space="preserve"> </w:t>
      </w:r>
      <w:r w:rsidRPr="006571AC">
        <w:rPr>
          <w:rFonts w:hint="cs"/>
          <w:sz w:val="27"/>
          <w:rtl/>
        </w:rPr>
        <w:t>المعرفي</w:t>
      </w:r>
      <w:r w:rsidRPr="006571AC">
        <w:rPr>
          <w:sz w:val="27"/>
          <w:rtl/>
        </w:rPr>
        <w:t xml:space="preserve"> ـ </w:t>
      </w:r>
      <w:r w:rsidRPr="006571AC">
        <w:rPr>
          <w:rFonts w:hint="cs"/>
          <w:sz w:val="27"/>
          <w:rtl/>
        </w:rPr>
        <w:t>المنهجي</w:t>
      </w:r>
      <w:r w:rsidRPr="006571AC">
        <w:rPr>
          <w:sz w:val="27"/>
          <w:rtl/>
        </w:rPr>
        <w:t>)؟</w:t>
      </w:r>
      <w:r w:rsidR="00900187" w:rsidRPr="006571AC">
        <w:rPr>
          <w:rFonts w:hint="cs"/>
          <w:sz w:val="27"/>
          <w:rtl/>
        </w:rPr>
        <w:t>!</w:t>
      </w:r>
      <w:r w:rsidRPr="006571AC">
        <w:rPr>
          <w:sz w:val="27"/>
          <w:rtl/>
        </w:rPr>
        <w:t xml:space="preserve"> </w:t>
      </w:r>
    </w:p>
    <w:p w:rsidR="00900187" w:rsidRPr="006571AC" w:rsidRDefault="00962F60" w:rsidP="007E009E">
      <w:pPr>
        <w:rPr>
          <w:sz w:val="27"/>
          <w:rtl/>
        </w:rPr>
      </w:pPr>
      <w:r w:rsidRPr="006571AC">
        <w:rPr>
          <w:sz w:val="27"/>
          <w:rtl/>
        </w:rPr>
        <w:lastRenderedPageBreak/>
        <w:t>بالطبع، الجواب عندنا هو بالنفي. وكثيرة</w:t>
      </w:r>
      <w:r w:rsidR="00900187" w:rsidRPr="006571AC">
        <w:rPr>
          <w:rFonts w:hint="cs"/>
          <w:sz w:val="27"/>
          <w:rtl/>
        </w:rPr>
        <w:t>ٌ</w:t>
      </w:r>
      <w:r w:rsidRPr="006571AC">
        <w:rPr>
          <w:sz w:val="27"/>
          <w:rtl/>
        </w:rPr>
        <w:t xml:space="preserve"> هي المقتطفات التي يمكن استخراجها من كتاب </w:t>
      </w:r>
      <w:r w:rsidR="00900187" w:rsidRPr="006571AC">
        <w:rPr>
          <w:rFonts w:hint="cs"/>
          <w:sz w:val="27"/>
          <w:rtl/>
        </w:rPr>
        <w:t>(</w:t>
      </w:r>
      <w:r w:rsidRPr="006571AC">
        <w:rPr>
          <w:sz w:val="27"/>
          <w:rtl/>
        </w:rPr>
        <w:t>اقتصادنا</w:t>
      </w:r>
      <w:r w:rsidR="00900187" w:rsidRPr="006571AC">
        <w:rPr>
          <w:rFonts w:hint="cs"/>
          <w:sz w:val="27"/>
          <w:rtl/>
        </w:rPr>
        <w:t>)</w:t>
      </w:r>
      <w:r w:rsidRPr="006571AC">
        <w:rPr>
          <w:sz w:val="27"/>
          <w:rtl/>
        </w:rPr>
        <w:t xml:space="preserve"> تأييدا</w:t>
      </w:r>
      <w:r w:rsidR="00900187" w:rsidRPr="006571AC">
        <w:rPr>
          <w:rFonts w:hint="cs"/>
          <w:sz w:val="27"/>
          <w:rtl/>
        </w:rPr>
        <w:t>ً</w:t>
      </w:r>
      <w:r w:rsidRPr="006571AC">
        <w:rPr>
          <w:sz w:val="27"/>
          <w:rtl/>
        </w:rPr>
        <w:t xml:space="preserve"> لطرحنا في هذه الورقة</w:t>
      </w:r>
      <w:r w:rsidR="00900187" w:rsidRPr="006571AC">
        <w:rPr>
          <w:sz w:val="27"/>
          <w:rtl/>
        </w:rPr>
        <w:t xml:space="preserve"> بطبيعة الحال.</w:t>
      </w:r>
    </w:p>
    <w:p w:rsidR="00962F60" w:rsidRPr="006571AC" w:rsidRDefault="00962F60" w:rsidP="007E009E">
      <w:pPr>
        <w:rPr>
          <w:sz w:val="27"/>
        </w:rPr>
      </w:pPr>
      <w:r w:rsidRPr="006571AC">
        <w:rPr>
          <w:sz w:val="27"/>
          <w:rtl/>
        </w:rPr>
        <w:t>على أن المقاطع الأهم</w:t>
      </w:r>
      <w:r w:rsidR="00900187" w:rsidRPr="006571AC">
        <w:rPr>
          <w:rFonts w:hint="cs"/>
          <w:sz w:val="27"/>
          <w:rtl/>
        </w:rPr>
        <w:t>ّ</w:t>
      </w:r>
      <w:r w:rsidRPr="006571AC">
        <w:rPr>
          <w:sz w:val="27"/>
          <w:rtl/>
        </w:rPr>
        <w:t xml:space="preserve"> بلا أدنى ش</w:t>
      </w:r>
      <w:r w:rsidR="00900187" w:rsidRPr="006571AC">
        <w:rPr>
          <w:rFonts w:hint="cs"/>
          <w:sz w:val="27"/>
          <w:rtl/>
        </w:rPr>
        <w:t>َ</w:t>
      </w:r>
      <w:r w:rsidRPr="006571AC">
        <w:rPr>
          <w:sz w:val="27"/>
          <w:rtl/>
        </w:rPr>
        <w:t>ك</w:t>
      </w:r>
      <w:r w:rsidR="00900187" w:rsidRPr="006571AC">
        <w:rPr>
          <w:rFonts w:hint="cs"/>
          <w:sz w:val="27"/>
          <w:rtl/>
        </w:rPr>
        <w:t>ٍّ</w:t>
      </w:r>
      <w:r w:rsidRPr="006571AC">
        <w:rPr>
          <w:sz w:val="27"/>
          <w:rtl/>
        </w:rPr>
        <w:t xml:space="preserve"> هي المتعل</w:t>
      </w:r>
      <w:r w:rsidR="00900187" w:rsidRPr="006571AC">
        <w:rPr>
          <w:rFonts w:hint="cs"/>
          <w:sz w:val="27"/>
          <w:rtl/>
        </w:rPr>
        <w:t>ِّ</w:t>
      </w:r>
      <w:r w:rsidRPr="006571AC">
        <w:rPr>
          <w:sz w:val="27"/>
          <w:rtl/>
        </w:rPr>
        <w:t>قة بالنتائج المترت</w:t>
      </w:r>
      <w:r w:rsidR="00900187" w:rsidRPr="006571AC">
        <w:rPr>
          <w:rFonts w:hint="cs"/>
          <w:sz w:val="27"/>
          <w:rtl/>
        </w:rPr>
        <w:t>ِّ</w:t>
      </w:r>
      <w:r w:rsidRPr="006571AC">
        <w:rPr>
          <w:sz w:val="27"/>
          <w:rtl/>
        </w:rPr>
        <w:t>بة على فرضية منطقة الفراغ هذه</w:t>
      </w:r>
      <w:r w:rsidR="00900187" w:rsidRPr="006571AC">
        <w:rPr>
          <w:rFonts w:hint="cs"/>
          <w:sz w:val="27"/>
          <w:rtl/>
        </w:rPr>
        <w:t>:</w:t>
      </w:r>
      <w:r w:rsidRPr="006571AC">
        <w:rPr>
          <w:sz w:val="27"/>
          <w:rtl/>
        </w:rPr>
        <w:t xml:space="preserve"> </w:t>
      </w:r>
      <w:r w:rsidRPr="006571AC">
        <w:rPr>
          <w:rFonts w:hint="eastAsia"/>
          <w:sz w:val="24"/>
          <w:szCs w:val="24"/>
          <w:rtl/>
        </w:rPr>
        <w:t>«</w:t>
      </w:r>
      <w:r w:rsidRPr="006571AC">
        <w:rPr>
          <w:sz w:val="27"/>
          <w:rtl/>
        </w:rPr>
        <w:t>إن الصورة التي نكوّ</w:t>
      </w:r>
      <w:r w:rsidR="00900187" w:rsidRPr="006571AC">
        <w:rPr>
          <w:rFonts w:hint="cs"/>
          <w:sz w:val="27"/>
          <w:rtl/>
        </w:rPr>
        <w:t>ِ</w:t>
      </w:r>
      <w:r w:rsidRPr="006571AC">
        <w:rPr>
          <w:sz w:val="27"/>
          <w:rtl/>
        </w:rPr>
        <w:t>نها عن المذهب الاقتصادي</w:t>
      </w:r>
      <w:r w:rsidR="00900187" w:rsidRPr="006571AC">
        <w:rPr>
          <w:rFonts w:hint="cs"/>
          <w:sz w:val="27"/>
          <w:rtl/>
        </w:rPr>
        <w:t>ّ</w:t>
      </w:r>
      <w:r w:rsidRPr="006571AC">
        <w:rPr>
          <w:sz w:val="27"/>
          <w:rtl/>
        </w:rPr>
        <w:t xml:space="preserve"> لما كانت متوق</w:t>
      </w:r>
      <w:r w:rsidR="00900187" w:rsidRPr="006571AC">
        <w:rPr>
          <w:rFonts w:hint="cs"/>
          <w:sz w:val="27"/>
          <w:rtl/>
        </w:rPr>
        <w:t>ِّ</w:t>
      </w:r>
      <w:r w:rsidRPr="006571AC">
        <w:rPr>
          <w:sz w:val="27"/>
          <w:rtl/>
        </w:rPr>
        <w:t>فة</w:t>
      </w:r>
      <w:r w:rsidR="00900187" w:rsidRPr="006571AC">
        <w:rPr>
          <w:rFonts w:hint="cs"/>
          <w:sz w:val="27"/>
          <w:rtl/>
        </w:rPr>
        <w:t>ً</w:t>
      </w:r>
      <w:r w:rsidRPr="006571AC">
        <w:rPr>
          <w:sz w:val="27"/>
          <w:rtl/>
        </w:rPr>
        <w:t xml:space="preserve"> على الأحكام والمفاهيم فهي انعكاس</w:t>
      </w:r>
      <w:r w:rsidR="00900187" w:rsidRPr="006571AC">
        <w:rPr>
          <w:rFonts w:hint="cs"/>
          <w:sz w:val="27"/>
          <w:rtl/>
        </w:rPr>
        <w:t>ٌ</w:t>
      </w:r>
      <w:r w:rsidRPr="006571AC">
        <w:rPr>
          <w:sz w:val="27"/>
          <w:rtl/>
        </w:rPr>
        <w:t xml:space="preserve"> لاجتهاد</w:t>
      </w:r>
      <w:r w:rsidR="00900187" w:rsidRPr="006571AC">
        <w:rPr>
          <w:rFonts w:hint="cs"/>
          <w:sz w:val="27"/>
          <w:rtl/>
        </w:rPr>
        <w:t>ٍ</w:t>
      </w:r>
      <w:r w:rsidRPr="006571AC">
        <w:rPr>
          <w:sz w:val="27"/>
          <w:rtl/>
        </w:rPr>
        <w:t xml:space="preserve"> معين</w:t>
      </w:r>
      <w:r w:rsidR="00900187" w:rsidRPr="006571AC">
        <w:rPr>
          <w:rFonts w:hint="cs"/>
          <w:sz w:val="27"/>
          <w:rtl/>
        </w:rPr>
        <w:t xml:space="preserve">؛ </w:t>
      </w:r>
      <w:r w:rsidRPr="006571AC">
        <w:rPr>
          <w:sz w:val="27"/>
          <w:rtl/>
        </w:rPr>
        <w:t>ل</w:t>
      </w:r>
      <w:r w:rsidR="00900187" w:rsidRPr="006571AC">
        <w:rPr>
          <w:rFonts w:hint="cs"/>
          <w:sz w:val="27"/>
          <w:rtl/>
        </w:rPr>
        <w:t>أ</w:t>
      </w:r>
      <w:r w:rsidRPr="006571AC">
        <w:rPr>
          <w:sz w:val="27"/>
          <w:rtl/>
        </w:rPr>
        <w:t>ن تلك ال</w:t>
      </w:r>
      <w:r w:rsidR="00900187" w:rsidRPr="006571AC">
        <w:rPr>
          <w:rFonts w:hint="cs"/>
          <w:sz w:val="27"/>
          <w:rtl/>
        </w:rPr>
        <w:t>أ</w:t>
      </w:r>
      <w:r w:rsidRPr="006571AC">
        <w:rPr>
          <w:sz w:val="27"/>
          <w:rtl/>
        </w:rPr>
        <w:t>حكام والمفاهيم التي تتوق</w:t>
      </w:r>
      <w:r w:rsidR="00900187" w:rsidRPr="006571AC">
        <w:rPr>
          <w:rFonts w:hint="cs"/>
          <w:sz w:val="27"/>
          <w:rtl/>
        </w:rPr>
        <w:t>َّ</w:t>
      </w:r>
      <w:r w:rsidRPr="006571AC">
        <w:rPr>
          <w:sz w:val="27"/>
          <w:rtl/>
        </w:rPr>
        <w:t>ف عليها الصورة [لاح</w:t>
      </w:r>
      <w:r w:rsidR="00900187" w:rsidRPr="006571AC">
        <w:rPr>
          <w:rFonts w:hint="cs"/>
          <w:sz w:val="27"/>
          <w:rtl/>
        </w:rPr>
        <w:t>ِ</w:t>
      </w:r>
      <w:r w:rsidRPr="006571AC">
        <w:rPr>
          <w:sz w:val="27"/>
          <w:rtl/>
        </w:rPr>
        <w:t>ظ</w:t>
      </w:r>
      <w:r w:rsidR="00900187" w:rsidRPr="006571AC">
        <w:rPr>
          <w:rFonts w:hint="cs"/>
          <w:sz w:val="27"/>
          <w:rtl/>
        </w:rPr>
        <w:t>ْ</w:t>
      </w:r>
      <w:r w:rsidRPr="006571AC">
        <w:rPr>
          <w:sz w:val="27"/>
          <w:rtl/>
        </w:rPr>
        <w:t xml:space="preserve"> تعبير </w:t>
      </w:r>
      <w:r w:rsidRPr="006571AC">
        <w:rPr>
          <w:rFonts w:hint="eastAsia"/>
          <w:sz w:val="24"/>
          <w:szCs w:val="24"/>
          <w:rtl/>
        </w:rPr>
        <w:t>«</w:t>
      </w:r>
      <w:r w:rsidRPr="006571AC">
        <w:rPr>
          <w:sz w:val="27"/>
          <w:rtl/>
        </w:rPr>
        <w:t>الصورة</w:t>
      </w:r>
      <w:r w:rsidRPr="006571AC">
        <w:rPr>
          <w:rFonts w:hint="eastAsia"/>
          <w:sz w:val="24"/>
          <w:szCs w:val="24"/>
          <w:rtl/>
        </w:rPr>
        <w:t>»</w:t>
      </w:r>
      <w:r w:rsidRPr="006571AC">
        <w:rPr>
          <w:sz w:val="27"/>
          <w:rtl/>
        </w:rPr>
        <w:t xml:space="preserve"> المرتبط حميمي</w:t>
      </w:r>
      <w:r w:rsidR="00900187" w:rsidRPr="006571AC">
        <w:rPr>
          <w:rFonts w:hint="cs"/>
          <w:sz w:val="27"/>
          <w:rtl/>
        </w:rPr>
        <w:t>ّ</w:t>
      </w:r>
      <w:r w:rsidRPr="006571AC">
        <w:rPr>
          <w:sz w:val="27"/>
          <w:rtl/>
        </w:rPr>
        <w:t>ا</w:t>
      </w:r>
      <w:r w:rsidR="00900187" w:rsidRPr="006571AC">
        <w:rPr>
          <w:rFonts w:hint="cs"/>
          <w:sz w:val="27"/>
          <w:rtl/>
        </w:rPr>
        <w:t>ً</w:t>
      </w:r>
      <w:r w:rsidRPr="006571AC">
        <w:rPr>
          <w:sz w:val="27"/>
          <w:rtl/>
        </w:rPr>
        <w:t xml:space="preserve"> بمفهوم </w:t>
      </w:r>
      <w:r w:rsidRPr="006571AC">
        <w:rPr>
          <w:rFonts w:hint="eastAsia"/>
          <w:sz w:val="24"/>
          <w:szCs w:val="24"/>
          <w:rtl/>
        </w:rPr>
        <w:t>«</w:t>
      </w:r>
      <w:r w:rsidRPr="006571AC">
        <w:rPr>
          <w:sz w:val="27"/>
          <w:rtl/>
        </w:rPr>
        <w:t>النموذج ـ المثالي</w:t>
      </w:r>
      <w:r w:rsidRPr="006571AC">
        <w:rPr>
          <w:rFonts w:hint="eastAsia"/>
          <w:sz w:val="24"/>
          <w:szCs w:val="24"/>
          <w:rtl/>
        </w:rPr>
        <w:t>»</w:t>
      </w:r>
      <w:r w:rsidRPr="006571AC">
        <w:rPr>
          <w:sz w:val="27"/>
          <w:rtl/>
        </w:rPr>
        <w:t xml:space="preserve"> الفيبيري</w:t>
      </w:r>
      <w:r w:rsidR="00900187" w:rsidRPr="006571AC">
        <w:rPr>
          <w:rFonts w:hint="cs"/>
          <w:sz w:val="27"/>
          <w:rtl/>
        </w:rPr>
        <w:t>،</w:t>
      </w:r>
      <w:r w:rsidRPr="006571AC">
        <w:rPr>
          <w:sz w:val="27"/>
          <w:rtl/>
        </w:rPr>
        <w:t xml:space="preserve"> كما سيتم إجلاؤه] نتيجة</w:t>
      </w:r>
      <w:r w:rsidR="00604AC3" w:rsidRPr="006571AC">
        <w:rPr>
          <w:rFonts w:hint="cs"/>
          <w:sz w:val="27"/>
          <w:rtl/>
        </w:rPr>
        <w:t>ٌ</w:t>
      </w:r>
      <w:r w:rsidRPr="006571AC">
        <w:rPr>
          <w:sz w:val="27"/>
          <w:rtl/>
        </w:rPr>
        <w:t xml:space="preserve"> لاجتهاد</w:t>
      </w:r>
      <w:r w:rsidR="00604AC3" w:rsidRPr="006571AC">
        <w:rPr>
          <w:rFonts w:hint="cs"/>
          <w:sz w:val="27"/>
          <w:rtl/>
        </w:rPr>
        <w:t>ٍ</w:t>
      </w:r>
      <w:r w:rsidRPr="006571AC">
        <w:rPr>
          <w:sz w:val="27"/>
          <w:rtl/>
        </w:rPr>
        <w:t xml:space="preserve"> خاص</w:t>
      </w:r>
      <w:r w:rsidR="00604AC3" w:rsidRPr="006571AC">
        <w:rPr>
          <w:rFonts w:hint="cs"/>
          <w:sz w:val="27"/>
          <w:rtl/>
        </w:rPr>
        <w:t>ّ</w:t>
      </w:r>
      <w:r w:rsidRPr="006571AC">
        <w:rPr>
          <w:sz w:val="27"/>
          <w:rtl/>
        </w:rPr>
        <w:t xml:space="preserve"> في فهم النصوص [لاح</w:t>
      </w:r>
      <w:r w:rsidR="00604AC3" w:rsidRPr="006571AC">
        <w:rPr>
          <w:rFonts w:hint="cs"/>
          <w:sz w:val="27"/>
          <w:rtl/>
        </w:rPr>
        <w:t>ِ</w:t>
      </w:r>
      <w:r w:rsidRPr="006571AC">
        <w:rPr>
          <w:sz w:val="27"/>
          <w:rtl/>
        </w:rPr>
        <w:t>ظ</w:t>
      </w:r>
      <w:r w:rsidR="00604AC3" w:rsidRPr="006571AC">
        <w:rPr>
          <w:rFonts w:hint="cs"/>
          <w:sz w:val="27"/>
          <w:rtl/>
        </w:rPr>
        <w:t>ْ</w:t>
      </w:r>
      <w:r w:rsidRPr="006571AC">
        <w:rPr>
          <w:sz w:val="27"/>
          <w:rtl/>
        </w:rPr>
        <w:t xml:space="preserve"> تعبير </w:t>
      </w:r>
      <w:r w:rsidRPr="006571AC">
        <w:rPr>
          <w:rFonts w:hint="eastAsia"/>
          <w:sz w:val="24"/>
          <w:szCs w:val="24"/>
          <w:rtl/>
        </w:rPr>
        <w:t>«</w:t>
      </w:r>
      <w:r w:rsidRPr="006571AC">
        <w:rPr>
          <w:sz w:val="27"/>
          <w:rtl/>
        </w:rPr>
        <w:t>ف</w:t>
      </w:r>
      <w:r w:rsidR="00604AC3" w:rsidRPr="006571AC">
        <w:rPr>
          <w:rFonts w:hint="cs"/>
          <w:sz w:val="27"/>
          <w:rtl/>
        </w:rPr>
        <w:t>َ</w:t>
      </w:r>
      <w:r w:rsidRPr="006571AC">
        <w:rPr>
          <w:sz w:val="27"/>
          <w:rtl/>
        </w:rPr>
        <w:t>ه</w:t>
      </w:r>
      <w:r w:rsidR="00604AC3" w:rsidRPr="006571AC">
        <w:rPr>
          <w:rFonts w:hint="cs"/>
          <w:sz w:val="27"/>
          <w:rtl/>
        </w:rPr>
        <w:t>ْ</w:t>
      </w:r>
      <w:r w:rsidRPr="006571AC">
        <w:rPr>
          <w:sz w:val="27"/>
          <w:rtl/>
        </w:rPr>
        <w:t>م</w:t>
      </w:r>
      <w:r w:rsidRPr="006571AC">
        <w:rPr>
          <w:rFonts w:hint="eastAsia"/>
          <w:sz w:val="24"/>
          <w:szCs w:val="24"/>
          <w:rtl/>
        </w:rPr>
        <w:t>»</w:t>
      </w:r>
      <w:r w:rsidRPr="006571AC">
        <w:rPr>
          <w:sz w:val="27"/>
          <w:rtl/>
        </w:rPr>
        <w:t xml:space="preserve"> الج</w:t>
      </w:r>
      <w:r w:rsidR="0055624A" w:rsidRPr="006571AC">
        <w:rPr>
          <w:rFonts w:hint="cs"/>
          <w:sz w:val="27"/>
          <w:rtl/>
        </w:rPr>
        <w:t>َ</w:t>
      </w:r>
      <w:r w:rsidRPr="006571AC">
        <w:rPr>
          <w:sz w:val="27"/>
          <w:rtl/>
        </w:rPr>
        <w:t>و</w:t>
      </w:r>
      <w:r w:rsidR="0055624A" w:rsidRPr="006571AC">
        <w:rPr>
          <w:rFonts w:hint="cs"/>
          <w:sz w:val="27"/>
          <w:rtl/>
        </w:rPr>
        <w:t>ْ</w:t>
      </w:r>
      <w:r w:rsidRPr="006571AC">
        <w:rPr>
          <w:sz w:val="27"/>
          <w:rtl/>
        </w:rPr>
        <w:t>هري في هذا الإطار]، وطريقة تنسيقها والجمع بينها. وما دامت الصورة التي نكو</w:t>
      </w:r>
      <w:r w:rsidR="00604AC3" w:rsidRPr="006571AC">
        <w:rPr>
          <w:rFonts w:hint="cs"/>
          <w:sz w:val="27"/>
          <w:rtl/>
        </w:rPr>
        <w:t>ِّ</w:t>
      </w:r>
      <w:r w:rsidRPr="006571AC">
        <w:rPr>
          <w:sz w:val="27"/>
          <w:rtl/>
        </w:rPr>
        <w:t>نها عن المذهب الاقتصادي اجتهادي</w:t>
      </w:r>
      <w:r w:rsidR="0055624A" w:rsidRPr="006571AC">
        <w:rPr>
          <w:rFonts w:hint="cs"/>
          <w:sz w:val="27"/>
          <w:rtl/>
        </w:rPr>
        <w:t>ّ</w:t>
      </w:r>
      <w:r w:rsidRPr="006571AC">
        <w:rPr>
          <w:sz w:val="27"/>
          <w:rtl/>
        </w:rPr>
        <w:t>ة</w:t>
      </w:r>
      <w:r w:rsidR="0055624A" w:rsidRPr="006571AC">
        <w:rPr>
          <w:rFonts w:hint="cs"/>
          <w:sz w:val="27"/>
          <w:rtl/>
        </w:rPr>
        <w:t>ً</w:t>
      </w:r>
      <w:r w:rsidRPr="006571AC">
        <w:rPr>
          <w:sz w:val="27"/>
          <w:rtl/>
        </w:rPr>
        <w:t xml:space="preserve"> فليس من الح</w:t>
      </w:r>
      <w:r w:rsidR="00604AC3" w:rsidRPr="006571AC">
        <w:rPr>
          <w:rFonts w:hint="cs"/>
          <w:sz w:val="27"/>
          <w:rtl/>
        </w:rPr>
        <w:t>َ</w:t>
      </w:r>
      <w:r w:rsidRPr="006571AC">
        <w:rPr>
          <w:sz w:val="27"/>
          <w:rtl/>
        </w:rPr>
        <w:t>ت</w:t>
      </w:r>
      <w:r w:rsidR="00604AC3" w:rsidRPr="006571AC">
        <w:rPr>
          <w:rFonts w:hint="cs"/>
          <w:sz w:val="27"/>
          <w:rtl/>
        </w:rPr>
        <w:t>ْ</w:t>
      </w:r>
      <w:r w:rsidRPr="006571AC">
        <w:rPr>
          <w:sz w:val="27"/>
          <w:rtl/>
        </w:rPr>
        <w:t>م أن تكون هي الصورة الواقعية</w:t>
      </w:r>
      <w:r w:rsidR="00604AC3" w:rsidRPr="006571AC">
        <w:rPr>
          <w:rFonts w:hint="cs"/>
          <w:sz w:val="27"/>
          <w:rtl/>
        </w:rPr>
        <w:t>؛</w:t>
      </w:r>
      <w:r w:rsidRPr="006571AC">
        <w:rPr>
          <w:sz w:val="27"/>
          <w:rtl/>
        </w:rPr>
        <w:t xml:space="preserve"> لأن الخطأ في الاجتهاد ممكن</w:t>
      </w:r>
      <w:r w:rsidR="00604AC3" w:rsidRPr="006571AC">
        <w:rPr>
          <w:rFonts w:hint="cs"/>
          <w:sz w:val="27"/>
          <w:rtl/>
        </w:rPr>
        <w:t>ٌ</w:t>
      </w:r>
      <w:r w:rsidR="00604AC3" w:rsidRPr="006571AC">
        <w:rPr>
          <w:rFonts w:hint="eastAsia"/>
          <w:sz w:val="24"/>
          <w:szCs w:val="24"/>
          <w:rtl/>
        </w:rPr>
        <w:t>»</w:t>
      </w:r>
      <w:r w:rsidRPr="006571AC">
        <w:rPr>
          <w:sz w:val="27"/>
          <w:rtl/>
        </w:rPr>
        <w:t>.</w:t>
      </w:r>
    </w:p>
    <w:p w:rsidR="00962F60" w:rsidRPr="006571AC" w:rsidRDefault="00962F60" w:rsidP="007E009E">
      <w:pPr>
        <w:rPr>
          <w:sz w:val="27"/>
        </w:rPr>
      </w:pPr>
      <w:r w:rsidRPr="006571AC">
        <w:rPr>
          <w:sz w:val="27"/>
          <w:rtl/>
        </w:rPr>
        <w:t xml:space="preserve">نبدأ هنا بالدخول، أكثر فأكثر، في منطقة </w:t>
      </w:r>
      <w:r w:rsidR="00731867" w:rsidRPr="006571AC">
        <w:rPr>
          <w:sz w:val="27"/>
          <w:rtl/>
        </w:rPr>
        <w:t>لا شَكَّ</w:t>
      </w:r>
      <w:r w:rsidRPr="006571AC">
        <w:rPr>
          <w:sz w:val="27"/>
          <w:rtl/>
        </w:rPr>
        <w:t xml:space="preserve"> بقربها الحميم من منطقة بحث النموذج ـ المثالي عند ماكس فيبر</w:t>
      </w:r>
      <w:r w:rsidR="00604AC3" w:rsidRPr="006571AC">
        <w:rPr>
          <w:rFonts w:hint="cs"/>
          <w:sz w:val="27"/>
          <w:rtl/>
        </w:rPr>
        <w:t>:</w:t>
      </w:r>
      <w:r w:rsidRPr="006571AC">
        <w:rPr>
          <w:sz w:val="27"/>
          <w:rtl/>
        </w:rPr>
        <w:t xml:space="preserve"> </w:t>
      </w:r>
      <w:r w:rsidRPr="006571AC">
        <w:rPr>
          <w:rFonts w:hint="eastAsia"/>
          <w:sz w:val="24"/>
          <w:szCs w:val="24"/>
          <w:rtl/>
        </w:rPr>
        <w:t>«</w:t>
      </w:r>
      <w:r w:rsidRPr="006571AC">
        <w:rPr>
          <w:sz w:val="27"/>
          <w:rtl/>
        </w:rPr>
        <w:t>ولأجل ذلك كان من الممكن لمفك</w:t>
      </w:r>
      <w:r w:rsidR="00604AC3" w:rsidRPr="006571AC">
        <w:rPr>
          <w:rFonts w:hint="cs"/>
          <w:sz w:val="27"/>
          <w:rtl/>
        </w:rPr>
        <w:t>ِّ</w:t>
      </w:r>
      <w:r w:rsidRPr="006571AC">
        <w:rPr>
          <w:sz w:val="27"/>
          <w:rtl/>
        </w:rPr>
        <w:t>رين إسلاميين مختلفين ان يقد</w:t>
      </w:r>
      <w:r w:rsidR="00604AC3" w:rsidRPr="006571AC">
        <w:rPr>
          <w:rFonts w:hint="cs"/>
          <w:sz w:val="27"/>
          <w:rtl/>
        </w:rPr>
        <w:t>ِّ</w:t>
      </w:r>
      <w:r w:rsidRPr="006571AC">
        <w:rPr>
          <w:sz w:val="27"/>
          <w:rtl/>
        </w:rPr>
        <w:t>موا صورا</w:t>
      </w:r>
      <w:r w:rsidR="00604AC3" w:rsidRPr="006571AC">
        <w:rPr>
          <w:rFonts w:hint="cs"/>
          <w:sz w:val="27"/>
          <w:rtl/>
        </w:rPr>
        <w:t>ً</w:t>
      </w:r>
      <w:r w:rsidRPr="006571AC">
        <w:rPr>
          <w:sz w:val="27"/>
          <w:rtl/>
        </w:rPr>
        <w:t xml:space="preserve"> مختلفة للمذهب الاقتصادي في الإسلام، ت</w:t>
      </w:r>
      <w:r w:rsidR="00604AC3" w:rsidRPr="006571AC">
        <w:rPr>
          <w:rFonts w:hint="cs"/>
          <w:sz w:val="27"/>
          <w:rtl/>
        </w:rPr>
        <w:t>َ</w:t>
      </w:r>
      <w:r w:rsidRPr="006571AC">
        <w:rPr>
          <w:sz w:val="27"/>
          <w:rtl/>
        </w:rPr>
        <w:t>ب</w:t>
      </w:r>
      <w:r w:rsidR="00604AC3" w:rsidRPr="006571AC">
        <w:rPr>
          <w:rFonts w:hint="cs"/>
          <w:sz w:val="27"/>
          <w:rtl/>
        </w:rPr>
        <w:t>َ</w:t>
      </w:r>
      <w:r w:rsidRPr="006571AC">
        <w:rPr>
          <w:sz w:val="27"/>
          <w:rtl/>
        </w:rPr>
        <w:t>عا</w:t>
      </w:r>
      <w:r w:rsidR="00604AC3" w:rsidRPr="006571AC">
        <w:rPr>
          <w:rFonts w:hint="cs"/>
          <w:sz w:val="27"/>
          <w:rtl/>
        </w:rPr>
        <w:t>ً</w:t>
      </w:r>
      <w:r w:rsidRPr="006571AC">
        <w:rPr>
          <w:sz w:val="27"/>
          <w:rtl/>
        </w:rPr>
        <w:t xml:space="preserve"> لاختلاف اجتهاداتهم، وتعتبر كل</w:t>
      </w:r>
      <w:r w:rsidR="00604AC3" w:rsidRPr="006571AC">
        <w:rPr>
          <w:rFonts w:hint="cs"/>
          <w:sz w:val="27"/>
          <w:rtl/>
        </w:rPr>
        <w:t>ّ</w:t>
      </w:r>
      <w:r w:rsidRPr="006571AC">
        <w:rPr>
          <w:sz w:val="27"/>
          <w:rtl/>
        </w:rPr>
        <w:t xml:space="preserve"> هذه الصور صورا</w:t>
      </w:r>
      <w:r w:rsidR="00604AC3" w:rsidRPr="006571AC">
        <w:rPr>
          <w:rFonts w:hint="cs"/>
          <w:sz w:val="27"/>
          <w:rtl/>
        </w:rPr>
        <w:t>ً</w:t>
      </w:r>
      <w:r w:rsidR="00604AC3" w:rsidRPr="006571AC">
        <w:rPr>
          <w:sz w:val="27"/>
          <w:rtl/>
        </w:rPr>
        <w:t xml:space="preserve"> إسلامية للمذهب الاقتصادي</w:t>
      </w:r>
      <w:r w:rsidRPr="006571AC">
        <w:rPr>
          <w:sz w:val="27"/>
          <w:rtl/>
        </w:rPr>
        <w:t>(...). وهكذا تكون الصورة إسلامي</w:t>
      </w:r>
      <w:r w:rsidR="00604AC3" w:rsidRPr="006571AC">
        <w:rPr>
          <w:rFonts w:hint="cs"/>
          <w:sz w:val="27"/>
          <w:rtl/>
        </w:rPr>
        <w:t>ّ</w:t>
      </w:r>
      <w:r w:rsidRPr="006571AC">
        <w:rPr>
          <w:sz w:val="27"/>
          <w:rtl/>
        </w:rPr>
        <w:t>ة</w:t>
      </w:r>
      <w:r w:rsidR="00604AC3" w:rsidRPr="006571AC">
        <w:rPr>
          <w:rFonts w:hint="cs"/>
          <w:sz w:val="27"/>
          <w:rtl/>
        </w:rPr>
        <w:t>ً</w:t>
      </w:r>
      <w:r w:rsidRPr="006571AC">
        <w:rPr>
          <w:sz w:val="27"/>
          <w:rtl/>
        </w:rPr>
        <w:t xml:space="preserve"> ما دامت نتيجة</w:t>
      </w:r>
      <w:r w:rsidR="00604AC3" w:rsidRPr="006571AC">
        <w:rPr>
          <w:rFonts w:hint="cs"/>
          <w:sz w:val="27"/>
          <w:rtl/>
        </w:rPr>
        <w:t>ً</w:t>
      </w:r>
      <w:r w:rsidRPr="006571AC">
        <w:rPr>
          <w:sz w:val="27"/>
          <w:rtl/>
        </w:rPr>
        <w:t xml:space="preserve"> لاجتهاد</w:t>
      </w:r>
      <w:r w:rsidR="00604AC3" w:rsidRPr="006571AC">
        <w:rPr>
          <w:rFonts w:hint="cs"/>
          <w:sz w:val="27"/>
          <w:rtl/>
        </w:rPr>
        <w:t>ٍ</w:t>
      </w:r>
      <w:r w:rsidRPr="006571AC">
        <w:rPr>
          <w:sz w:val="27"/>
          <w:rtl/>
        </w:rPr>
        <w:t xml:space="preserve"> جائز ش</w:t>
      </w:r>
      <w:r w:rsidR="0055624A" w:rsidRPr="006571AC">
        <w:rPr>
          <w:rFonts w:hint="cs"/>
          <w:sz w:val="27"/>
          <w:rtl/>
        </w:rPr>
        <w:t>َ</w:t>
      </w:r>
      <w:r w:rsidRPr="006571AC">
        <w:rPr>
          <w:sz w:val="27"/>
          <w:rtl/>
        </w:rPr>
        <w:t>ر</w:t>
      </w:r>
      <w:r w:rsidR="0055624A" w:rsidRPr="006571AC">
        <w:rPr>
          <w:rFonts w:hint="cs"/>
          <w:sz w:val="27"/>
          <w:rtl/>
        </w:rPr>
        <w:t>ْ</w:t>
      </w:r>
      <w:r w:rsidRPr="006571AC">
        <w:rPr>
          <w:sz w:val="27"/>
          <w:rtl/>
        </w:rPr>
        <w:t>عا</w:t>
      </w:r>
      <w:r w:rsidR="00604AC3" w:rsidRPr="006571AC">
        <w:rPr>
          <w:rFonts w:hint="cs"/>
          <w:sz w:val="27"/>
          <w:rtl/>
        </w:rPr>
        <w:t>ً</w:t>
      </w:r>
      <w:r w:rsidRPr="006571AC">
        <w:rPr>
          <w:sz w:val="27"/>
          <w:rtl/>
        </w:rPr>
        <w:t>، بقطع النظر عن مدى انطباقها على واقع المذهب الاقتصادي</w:t>
      </w:r>
      <w:r w:rsidR="00604AC3" w:rsidRPr="006571AC">
        <w:rPr>
          <w:rFonts w:hint="cs"/>
          <w:sz w:val="27"/>
          <w:rtl/>
        </w:rPr>
        <w:t>ّ</w:t>
      </w:r>
      <w:r w:rsidRPr="006571AC">
        <w:rPr>
          <w:sz w:val="27"/>
          <w:rtl/>
        </w:rPr>
        <w:t xml:space="preserve"> في الإسلام</w:t>
      </w:r>
      <w:r w:rsidRPr="006571AC">
        <w:rPr>
          <w:rFonts w:hint="eastAsia"/>
          <w:sz w:val="24"/>
          <w:szCs w:val="24"/>
          <w:rtl/>
        </w:rPr>
        <w:t>»</w:t>
      </w:r>
      <w:r w:rsidR="007E254D" w:rsidRPr="006571AC">
        <w:rPr>
          <w:rFonts w:hint="cs"/>
          <w:sz w:val="27"/>
          <w:vertAlign w:val="superscript"/>
          <w:rtl/>
        </w:rPr>
        <w:t>(</w:t>
      </w:r>
      <w:r w:rsidR="007E254D" w:rsidRPr="006571AC">
        <w:rPr>
          <w:rStyle w:val="ac"/>
          <w:sz w:val="27"/>
          <w:rtl/>
        </w:rPr>
        <w:endnoteReference w:id="924"/>
      </w:r>
      <w:r w:rsidR="007E254D" w:rsidRPr="006571AC">
        <w:rPr>
          <w:rFonts w:hint="cs"/>
          <w:sz w:val="27"/>
          <w:vertAlign w:val="superscript"/>
          <w:rtl/>
        </w:rPr>
        <w:t>)</w:t>
      </w:r>
      <w:r w:rsidR="000F4A13" w:rsidRPr="006571AC">
        <w:rPr>
          <w:sz w:val="27"/>
          <w:rtl/>
        </w:rPr>
        <w:t>.</w:t>
      </w:r>
      <w:r w:rsidRPr="006571AC">
        <w:rPr>
          <w:sz w:val="27"/>
          <w:rtl/>
        </w:rPr>
        <w:t xml:space="preserve"> نصبح إذن، عند هذا الحد</w:t>
      </w:r>
      <w:r w:rsidR="00604AC3" w:rsidRPr="006571AC">
        <w:rPr>
          <w:rFonts w:hint="cs"/>
          <w:sz w:val="27"/>
          <w:rtl/>
        </w:rPr>
        <w:t>ّ</w:t>
      </w:r>
      <w:r w:rsidRPr="006571AC">
        <w:rPr>
          <w:sz w:val="27"/>
          <w:rtl/>
        </w:rPr>
        <w:t>، رسمي</w:t>
      </w:r>
      <w:r w:rsidR="00604AC3" w:rsidRPr="006571AC">
        <w:rPr>
          <w:rFonts w:hint="cs"/>
          <w:sz w:val="27"/>
          <w:rtl/>
        </w:rPr>
        <w:t>ّ</w:t>
      </w:r>
      <w:r w:rsidRPr="006571AC">
        <w:rPr>
          <w:sz w:val="27"/>
          <w:rtl/>
        </w:rPr>
        <w:t>ا</w:t>
      </w:r>
      <w:r w:rsidR="00604AC3" w:rsidRPr="006571AC">
        <w:rPr>
          <w:rFonts w:hint="cs"/>
          <w:sz w:val="27"/>
          <w:rtl/>
        </w:rPr>
        <w:t>ً</w:t>
      </w:r>
      <w:r w:rsidRPr="006571AC">
        <w:rPr>
          <w:sz w:val="27"/>
          <w:rtl/>
        </w:rPr>
        <w:t xml:space="preserve"> ويقينا</w:t>
      </w:r>
      <w:r w:rsidR="00604AC3" w:rsidRPr="006571AC">
        <w:rPr>
          <w:rFonts w:hint="cs"/>
          <w:sz w:val="27"/>
          <w:rtl/>
        </w:rPr>
        <w:t>ً</w:t>
      </w:r>
      <w:r w:rsidRPr="006571AC">
        <w:rPr>
          <w:sz w:val="27"/>
          <w:rtl/>
        </w:rPr>
        <w:t>، في عالم النماذج ـ المثالية الفيبرية، أي في عالم نظري</w:t>
      </w:r>
      <w:r w:rsidR="00604AC3" w:rsidRPr="006571AC">
        <w:rPr>
          <w:rFonts w:hint="cs"/>
          <w:sz w:val="27"/>
          <w:rtl/>
        </w:rPr>
        <w:t>ّ</w:t>
      </w:r>
      <w:r w:rsidRPr="006571AC">
        <w:rPr>
          <w:sz w:val="27"/>
          <w:rtl/>
        </w:rPr>
        <w:t>ته عن بناء المفاهيم. وإنها لنقطة</w:t>
      </w:r>
      <w:r w:rsidR="00604AC3" w:rsidRPr="006571AC">
        <w:rPr>
          <w:rFonts w:hint="cs"/>
          <w:sz w:val="27"/>
          <w:rtl/>
        </w:rPr>
        <w:t>ٌ</w:t>
      </w:r>
      <w:r w:rsidRPr="006571AC">
        <w:rPr>
          <w:sz w:val="27"/>
          <w:rtl/>
        </w:rPr>
        <w:t xml:space="preserve"> مركزية في مجمل أعمال ماكس فيبر، وإنها في قلب ما نعتقد أن الصدر </w:t>
      </w:r>
      <w:r w:rsidRPr="006571AC">
        <w:rPr>
          <w:rFonts w:hint="cs"/>
          <w:sz w:val="27"/>
          <w:rtl/>
        </w:rPr>
        <w:t>قد</w:t>
      </w:r>
      <w:r w:rsidRPr="006571AC">
        <w:rPr>
          <w:sz w:val="27"/>
          <w:rtl/>
        </w:rPr>
        <w:t xml:space="preserve"> </w:t>
      </w:r>
      <w:r w:rsidRPr="006571AC">
        <w:rPr>
          <w:rFonts w:hint="cs"/>
          <w:sz w:val="27"/>
          <w:rtl/>
        </w:rPr>
        <w:t>قد</w:t>
      </w:r>
      <w:r w:rsidR="00604AC3" w:rsidRPr="006571AC">
        <w:rPr>
          <w:rFonts w:hint="cs"/>
          <w:sz w:val="27"/>
          <w:rtl/>
        </w:rPr>
        <w:t>َّ</w:t>
      </w:r>
      <w:r w:rsidRPr="006571AC">
        <w:rPr>
          <w:rFonts w:hint="cs"/>
          <w:sz w:val="27"/>
          <w:rtl/>
        </w:rPr>
        <w:t>مه</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المجال</w:t>
      </w:r>
      <w:r w:rsidRPr="006571AC">
        <w:rPr>
          <w:sz w:val="27"/>
          <w:rtl/>
        </w:rPr>
        <w:t xml:space="preserve">. </w:t>
      </w:r>
      <w:r w:rsidRPr="006571AC">
        <w:rPr>
          <w:rFonts w:hint="cs"/>
          <w:sz w:val="27"/>
          <w:rtl/>
        </w:rPr>
        <w:t>وهي</w:t>
      </w:r>
      <w:r w:rsidRPr="006571AC">
        <w:rPr>
          <w:sz w:val="27"/>
          <w:rtl/>
        </w:rPr>
        <w:t xml:space="preserve"> </w:t>
      </w:r>
      <w:r w:rsidRPr="006571AC">
        <w:rPr>
          <w:rFonts w:hint="cs"/>
          <w:sz w:val="27"/>
          <w:rtl/>
        </w:rPr>
        <w:t>بطبيعة</w:t>
      </w:r>
      <w:r w:rsidRPr="006571AC">
        <w:rPr>
          <w:sz w:val="27"/>
          <w:rtl/>
        </w:rPr>
        <w:t xml:space="preserve"> </w:t>
      </w:r>
      <w:r w:rsidRPr="006571AC">
        <w:rPr>
          <w:rFonts w:hint="cs"/>
          <w:sz w:val="27"/>
          <w:rtl/>
        </w:rPr>
        <w:t>ا</w:t>
      </w:r>
      <w:r w:rsidRPr="006571AC">
        <w:rPr>
          <w:sz w:val="27"/>
          <w:rtl/>
        </w:rPr>
        <w:t>لحال في قلب الطرح الذي نقد</w:t>
      </w:r>
      <w:r w:rsidR="00604AC3" w:rsidRPr="006571AC">
        <w:rPr>
          <w:rFonts w:hint="cs"/>
          <w:sz w:val="27"/>
          <w:rtl/>
        </w:rPr>
        <w:t>ِّ</w:t>
      </w:r>
      <w:r w:rsidRPr="006571AC">
        <w:rPr>
          <w:sz w:val="27"/>
          <w:rtl/>
        </w:rPr>
        <w:t>مه في هذه الورقة</w:t>
      </w:r>
      <w:r w:rsidR="00EF1F13" w:rsidRPr="006571AC">
        <w:rPr>
          <w:rFonts w:hint="cs"/>
          <w:sz w:val="27"/>
          <w:rtl/>
        </w:rPr>
        <w:t>،</w:t>
      </w:r>
      <w:r w:rsidRPr="006571AC">
        <w:rPr>
          <w:sz w:val="27"/>
          <w:rtl/>
        </w:rPr>
        <w:t xml:space="preserve"> ولمستقبل الأبحاث ال</w:t>
      </w:r>
      <w:r w:rsidR="00604AC3" w:rsidRPr="006571AC">
        <w:rPr>
          <w:rFonts w:hint="cs"/>
          <w:sz w:val="27"/>
          <w:rtl/>
        </w:rPr>
        <w:t>إ</w:t>
      </w:r>
      <w:r w:rsidRPr="006571AC">
        <w:rPr>
          <w:sz w:val="27"/>
          <w:rtl/>
        </w:rPr>
        <w:t>سلامية أو ذات الطابع ال</w:t>
      </w:r>
      <w:r w:rsidR="00604AC3" w:rsidRPr="006571AC">
        <w:rPr>
          <w:rFonts w:hint="cs"/>
          <w:sz w:val="27"/>
          <w:rtl/>
        </w:rPr>
        <w:t>إ</w:t>
      </w:r>
      <w:r w:rsidRPr="006571AC">
        <w:rPr>
          <w:sz w:val="27"/>
          <w:rtl/>
        </w:rPr>
        <w:t xml:space="preserve">سلامي. </w:t>
      </w:r>
    </w:p>
    <w:p w:rsidR="00EF1F13" w:rsidRPr="006571AC" w:rsidRDefault="00962F60" w:rsidP="007E009E">
      <w:pPr>
        <w:rPr>
          <w:sz w:val="27"/>
          <w:rtl/>
        </w:rPr>
      </w:pPr>
      <w:r w:rsidRPr="006571AC">
        <w:rPr>
          <w:sz w:val="27"/>
          <w:rtl/>
        </w:rPr>
        <w:t>ولنختصر الفكرة الج</w:t>
      </w:r>
      <w:r w:rsidR="0055624A" w:rsidRPr="006571AC">
        <w:rPr>
          <w:rFonts w:hint="cs"/>
          <w:sz w:val="27"/>
          <w:rtl/>
        </w:rPr>
        <w:t>َ</w:t>
      </w:r>
      <w:r w:rsidRPr="006571AC">
        <w:rPr>
          <w:sz w:val="27"/>
          <w:rtl/>
        </w:rPr>
        <w:t>و</w:t>
      </w:r>
      <w:r w:rsidR="0055624A" w:rsidRPr="006571AC">
        <w:rPr>
          <w:rFonts w:hint="cs"/>
          <w:sz w:val="27"/>
          <w:rtl/>
        </w:rPr>
        <w:t>ْ</w:t>
      </w:r>
      <w:r w:rsidRPr="006571AC">
        <w:rPr>
          <w:sz w:val="27"/>
          <w:rtl/>
        </w:rPr>
        <w:t>هرية في هذا السياق بالقول: إن التقريب بين طريقة الطبقات (أو الطوابق) هذه وبين فلسفة النموذج ـ المثالي هو أمر</w:t>
      </w:r>
      <w:r w:rsidR="00EF1F13" w:rsidRPr="006571AC">
        <w:rPr>
          <w:rFonts w:hint="cs"/>
          <w:sz w:val="27"/>
          <w:rtl/>
        </w:rPr>
        <w:t>ٌ</w:t>
      </w:r>
      <w:r w:rsidRPr="006571AC">
        <w:rPr>
          <w:sz w:val="27"/>
          <w:rtl/>
        </w:rPr>
        <w:t xml:space="preserve"> بديهي</w:t>
      </w:r>
      <w:r w:rsidR="00EF1F13" w:rsidRPr="006571AC">
        <w:rPr>
          <w:rFonts w:hint="cs"/>
          <w:sz w:val="27"/>
          <w:rtl/>
        </w:rPr>
        <w:t>ّ</w:t>
      </w:r>
      <w:r w:rsidRPr="006571AC">
        <w:rPr>
          <w:sz w:val="27"/>
          <w:rtl/>
        </w:rPr>
        <w:t xml:space="preserve"> بالنسبة إلى كل</w:t>
      </w:r>
      <w:r w:rsidR="00EF1F13" w:rsidRPr="006571AC">
        <w:rPr>
          <w:rFonts w:hint="cs"/>
          <w:sz w:val="27"/>
          <w:rtl/>
        </w:rPr>
        <w:t>ّ</w:t>
      </w:r>
      <w:r w:rsidRPr="006571AC">
        <w:rPr>
          <w:sz w:val="27"/>
          <w:rtl/>
        </w:rPr>
        <w:t xml:space="preserve"> باحث</w:t>
      </w:r>
      <w:r w:rsidR="00EF1F13" w:rsidRPr="006571AC">
        <w:rPr>
          <w:rFonts w:hint="cs"/>
          <w:sz w:val="27"/>
          <w:rtl/>
        </w:rPr>
        <w:t>ٍ</w:t>
      </w:r>
      <w:r w:rsidRPr="006571AC">
        <w:rPr>
          <w:sz w:val="27"/>
          <w:rtl/>
        </w:rPr>
        <w:t xml:space="preserve"> منصف وأمين</w:t>
      </w:r>
      <w:r w:rsidR="00EF1F13" w:rsidRPr="006571AC">
        <w:rPr>
          <w:rFonts w:hint="cs"/>
          <w:sz w:val="27"/>
          <w:rtl/>
        </w:rPr>
        <w:t>؛</w:t>
      </w:r>
      <w:r w:rsidRPr="006571AC">
        <w:rPr>
          <w:sz w:val="27"/>
          <w:rtl/>
        </w:rPr>
        <w:t xml:space="preserve"> وذلك لأسباب أساسية ثلاثة</w:t>
      </w:r>
      <w:r w:rsidR="00EF1F13" w:rsidRPr="006571AC">
        <w:rPr>
          <w:rFonts w:hint="cs"/>
          <w:sz w:val="27"/>
          <w:rtl/>
        </w:rPr>
        <w:t>:</w:t>
      </w:r>
    </w:p>
    <w:p w:rsidR="00EF1F13" w:rsidRPr="006571AC" w:rsidRDefault="00EF1F13" w:rsidP="003345FE">
      <w:pPr>
        <w:rPr>
          <w:sz w:val="27"/>
          <w:rtl/>
        </w:rPr>
      </w:pPr>
      <w:r w:rsidRPr="006571AC">
        <w:rPr>
          <w:rFonts w:hint="cs"/>
          <w:sz w:val="27"/>
          <w:rtl/>
        </w:rPr>
        <w:t>1ـ</w:t>
      </w:r>
      <w:r w:rsidR="00962F60" w:rsidRPr="006571AC">
        <w:rPr>
          <w:sz w:val="27"/>
          <w:rtl/>
        </w:rPr>
        <w:t xml:space="preserve"> </w:t>
      </w:r>
      <w:r w:rsidR="00962F60" w:rsidRPr="006571AC">
        <w:rPr>
          <w:rFonts w:hint="cs"/>
          <w:sz w:val="27"/>
          <w:rtl/>
        </w:rPr>
        <w:t>لأننا</w:t>
      </w:r>
      <w:r w:rsidR="00962F60" w:rsidRPr="006571AC">
        <w:rPr>
          <w:sz w:val="27"/>
          <w:rtl/>
        </w:rPr>
        <w:t xml:space="preserve"> </w:t>
      </w:r>
      <w:r w:rsidR="003345FE" w:rsidRPr="006571AC">
        <w:rPr>
          <w:rFonts w:hint="cs"/>
          <w:sz w:val="27"/>
          <w:rtl/>
        </w:rPr>
        <w:t xml:space="preserve">في </w:t>
      </w:r>
      <w:r w:rsidR="00962F60" w:rsidRPr="006571AC">
        <w:rPr>
          <w:rFonts w:hint="cs"/>
          <w:sz w:val="27"/>
          <w:rtl/>
        </w:rPr>
        <w:t>صدد</w:t>
      </w:r>
      <w:r w:rsidR="00962F60" w:rsidRPr="006571AC">
        <w:rPr>
          <w:sz w:val="27"/>
          <w:rtl/>
        </w:rPr>
        <w:t xml:space="preserve"> </w:t>
      </w:r>
      <w:r w:rsidR="00962F60" w:rsidRPr="006571AC">
        <w:rPr>
          <w:rFonts w:hint="cs"/>
          <w:sz w:val="27"/>
          <w:rtl/>
        </w:rPr>
        <w:t>عملية</w:t>
      </w:r>
      <w:r w:rsidR="00962F60" w:rsidRPr="006571AC">
        <w:rPr>
          <w:sz w:val="27"/>
          <w:rtl/>
        </w:rPr>
        <w:t xml:space="preserve"> </w:t>
      </w:r>
      <w:r w:rsidR="00962F60" w:rsidRPr="006571AC">
        <w:rPr>
          <w:rFonts w:hint="cs"/>
          <w:sz w:val="27"/>
          <w:rtl/>
        </w:rPr>
        <w:t>بناء</w:t>
      </w:r>
      <w:r w:rsidR="00962F60" w:rsidRPr="006571AC">
        <w:rPr>
          <w:sz w:val="27"/>
          <w:rtl/>
        </w:rPr>
        <w:t xml:space="preserve"> </w:t>
      </w:r>
      <w:r w:rsidR="00962F60" w:rsidRPr="006571AC">
        <w:rPr>
          <w:rFonts w:hint="cs"/>
          <w:sz w:val="27"/>
          <w:rtl/>
        </w:rPr>
        <w:t>مفاهيم</w:t>
      </w:r>
      <w:r w:rsidR="00962F60" w:rsidRPr="006571AC">
        <w:rPr>
          <w:sz w:val="27"/>
          <w:rtl/>
        </w:rPr>
        <w:t xml:space="preserve"> </w:t>
      </w:r>
      <w:r w:rsidR="00962F60" w:rsidRPr="006571AC">
        <w:rPr>
          <w:rFonts w:hint="cs"/>
          <w:sz w:val="27"/>
          <w:rtl/>
        </w:rPr>
        <w:t>وبامتياز</w:t>
      </w:r>
      <w:r w:rsidRPr="006571AC">
        <w:rPr>
          <w:rFonts w:hint="cs"/>
          <w:sz w:val="27"/>
          <w:rtl/>
        </w:rPr>
        <w:t>ٍ</w:t>
      </w:r>
      <w:r w:rsidR="00962F60" w:rsidRPr="006571AC">
        <w:rPr>
          <w:sz w:val="27"/>
          <w:rtl/>
        </w:rPr>
        <w:t xml:space="preserve"> (</w:t>
      </w:r>
      <w:r w:rsidR="00962F60" w:rsidRPr="006571AC">
        <w:rPr>
          <w:rFonts w:hint="cs"/>
          <w:sz w:val="27"/>
          <w:rtl/>
        </w:rPr>
        <w:t>كالمخاطرة</w:t>
      </w:r>
      <w:r w:rsidR="00962F60" w:rsidRPr="006571AC">
        <w:rPr>
          <w:sz w:val="27"/>
          <w:rtl/>
        </w:rPr>
        <w:t xml:space="preserve"> </w:t>
      </w:r>
      <w:r w:rsidR="00962F60" w:rsidRPr="006571AC">
        <w:rPr>
          <w:rFonts w:hint="cs"/>
          <w:sz w:val="27"/>
          <w:rtl/>
        </w:rPr>
        <w:t>الجائزة</w:t>
      </w:r>
      <w:r w:rsidRPr="006571AC">
        <w:rPr>
          <w:rFonts w:hint="cs"/>
          <w:sz w:val="27"/>
          <w:rtl/>
        </w:rPr>
        <w:t>،</w:t>
      </w:r>
      <w:r w:rsidR="00962F60" w:rsidRPr="006571AC">
        <w:rPr>
          <w:sz w:val="27"/>
          <w:rtl/>
        </w:rPr>
        <w:t xml:space="preserve"> </w:t>
      </w:r>
      <w:r w:rsidR="00962F60" w:rsidRPr="006571AC">
        <w:rPr>
          <w:rFonts w:hint="cs"/>
          <w:sz w:val="27"/>
          <w:rtl/>
        </w:rPr>
        <w:t>والعمل</w:t>
      </w:r>
      <w:r w:rsidR="00962F60" w:rsidRPr="006571AC">
        <w:rPr>
          <w:sz w:val="27"/>
          <w:rtl/>
        </w:rPr>
        <w:t xml:space="preserve"> </w:t>
      </w:r>
      <w:r w:rsidR="00962F60" w:rsidRPr="006571AC">
        <w:rPr>
          <w:rFonts w:hint="cs"/>
          <w:sz w:val="27"/>
          <w:rtl/>
        </w:rPr>
        <w:t>المنفق</w:t>
      </w:r>
      <w:r w:rsidRPr="006571AC">
        <w:rPr>
          <w:rFonts w:hint="cs"/>
          <w:sz w:val="27"/>
          <w:rtl/>
        </w:rPr>
        <w:t>،</w:t>
      </w:r>
      <w:r w:rsidR="00962F60" w:rsidRPr="006571AC">
        <w:rPr>
          <w:sz w:val="27"/>
          <w:rtl/>
        </w:rPr>
        <w:t xml:space="preserve"> </w:t>
      </w:r>
      <w:r w:rsidR="00962F60" w:rsidRPr="006571AC">
        <w:rPr>
          <w:rFonts w:hint="cs"/>
          <w:sz w:val="27"/>
          <w:rtl/>
        </w:rPr>
        <w:t>والملكية</w:t>
      </w:r>
      <w:r w:rsidRPr="006571AC">
        <w:rPr>
          <w:rFonts w:hint="cs"/>
          <w:sz w:val="27"/>
          <w:rtl/>
        </w:rPr>
        <w:t>...</w:t>
      </w:r>
      <w:r w:rsidR="003345FE" w:rsidRPr="006571AC">
        <w:rPr>
          <w:rFonts w:hint="cs"/>
          <w:sz w:val="27"/>
          <w:rtl/>
        </w:rPr>
        <w:t xml:space="preserve">، </w:t>
      </w:r>
      <w:r w:rsidR="00962F60" w:rsidRPr="006571AC">
        <w:rPr>
          <w:rFonts w:hint="cs"/>
          <w:sz w:val="27"/>
          <w:rtl/>
        </w:rPr>
        <w:t>إلخ</w:t>
      </w:r>
      <w:r w:rsidRPr="006571AC">
        <w:rPr>
          <w:rFonts w:hint="cs"/>
          <w:sz w:val="27"/>
          <w:rtl/>
        </w:rPr>
        <w:t>.</w:t>
      </w:r>
    </w:p>
    <w:p w:rsidR="00EF1F13" w:rsidRPr="006571AC" w:rsidRDefault="00EF1F13" w:rsidP="007E009E">
      <w:pPr>
        <w:rPr>
          <w:sz w:val="27"/>
          <w:rtl/>
        </w:rPr>
      </w:pPr>
      <w:r w:rsidRPr="006571AC">
        <w:rPr>
          <w:rFonts w:hint="cs"/>
          <w:sz w:val="27"/>
          <w:rtl/>
        </w:rPr>
        <w:t xml:space="preserve">2ـ </w:t>
      </w:r>
      <w:r w:rsidR="00962F60" w:rsidRPr="006571AC">
        <w:rPr>
          <w:rFonts w:hint="cs"/>
          <w:sz w:val="27"/>
          <w:rtl/>
        </w:rPr>
        <w:t>للحفاظ</w:t>
      </w:r>
      <w:r w:rsidR="00962F60" w:rsidRPr="006571AC">
        <w:rPr>
          <w:sz w:val="27"/>
          <w:rtl/>
        </w:rPr>
        <w:t xml:space="preserve"> </w:t>
      </w:r>
      <w:r w:rsidR="00962F60" w:rsidRPr="006571AC">
        <w:rPr>
          <w:rFonts w:hint="cs"/>
          <w:sz w:val="27"/>
          <w:rtl/>
        </w:rPr>
        <w:t>على</w:t>
      </w:r>
      <w:r w:rsidR="00962F60" w:rsidRPr="006571AC">
        <w:rPr>
          <w:sz w:val="27"/>
          <w:rtl/>
        </w:rPr>
        <w:t xml:space="preserve"> </w:t>
      </w:r>
      <w:r w:rsidR="00962F60" w:rsidRPr="006571AC">
        <w:rPr>
          <w:rFonts w:hint="cs"/>
          <w:sz w:val="27"/>
          <w:rtl/>
        </w:rPr>
        <w:t>الطابع</w:t>
      </w:r>
      <w:r w:rsidR="00962F60" w:rsidRPr="006571AC">
        <w:rPr>
          <w:sz w:val="27"/>
          <w:rtl/>
        </w:rPr>
        <w:t xml:space="preserve"> </w:t>
      </w:r>
      <w:r w:rsidR="00962F60" w:rsidRPr="006571AC">
        <w:rPr>
          <w:rFonts w:hint="cs"/>
          <w:sz w:val="27"/>
          <w:rtl/>
        </w:rPr>
        <w:t>العلمي</w:t>
      </w:r>
      <w:r w:rsidR="00962F60" w:rsidRPr="006571AC">
        <w:rPr>
          <w:sz w:val="27"/>
          <w:rtl/>
        </w:rPr>
        <w:t xml:space="preserve"> </w:t>
      </w:r>
      <w:r w:rsidR="00962F60" w:rsidRPr="006571AC">
        <w:rPr>
          <w:rFonts w:hint="cs"/>
          <w:sz w:val="27"/>
          <w:rtl/>
        </w:rPr>
        <w:t>لهذا</w:t>
      </w:r>
      <w:r w:rsidR="00962F60" w:rsidRPr="006571AC">
        <w:rPr>
          <w:sz w:val="27"/>
          <w:rtl/>
        </w:rPr>
        <w:t xml:space="preserve"> </w:t>
      </w:r>
      <w:r w:rsidR="00962F60" w:rsidRPr="006571AC">
        <w:rPr>
          <w:rFonts w:hint="cs"/>
          <w:sz w:val="27"/>
          <w:rtl/>
        </w:rPr>
        <w:t>الجهد، ضمن</w:t>
      </w:r>
      <w:r w:rsidR="00962F60" w:rsidRPr="006571AC">
        <w:rPr>
          <w:sz w:val="27"/>
          <w:rtl/>
        </w:rPr>
        <w:t xml:space="preserve"> </w:t>
      </w:r>
      <w:r w:rsidR="00962F60" w:rsidRPr="006571AC">
        <w:rPr>
          <w:rFonts w:hint="cs"/>
          <w:sz w:val="27"/>
          <w:rtl/>
        </w:rPr>
        <w:t>ما</w:t>
      </w:r>
      <w:r w:rsidR="00962F60" w:rsidRPr="006571AC">
        <w:rPr>
          <w:sz w:val="27"/>
          <w:rtl/>
        </w:rPr>
        <w:t xml:space="preserve"> </w:t>
      </w:r>
      <w:r w:rsidR="00962F60" w:rsidRPr="006571AC">
        <w:rPr>
          <w:rFonts w:hint="cs"/>
          <w:sz w:val="27"/>
          <w:rtl/>
        </w:rPr>
        <w:t>سبق</w:t>
      </w:r>
      <w:r w:rsidR="00962F60" w:rsidRPr="006571AC">
        <w:rPr>
          <w:sz w:val="27"/>
          <w:rtl/>
        </w:rPr>
        <w:t xml:space="preserve"> </w:t>
      </w:r>
      <w:r w:rsidR="00962F60" w:rsidRPr="006571AC">
        <w:rPr>
          <w:rFonts w:hint="cs"/>
          <w:sz w:val="27"/>
          <w:rtl/>
        </w:rPr>
        <w:t>عن</w:t>
      </w:r>
      <w:r w:rsidR="00962F60" w:rsidRPr="006571AC">
        <w:rPr>
          <w:sz w:val="27"/>
          <w:rtl/>
        </w:rPr>
        <w:t xml:space="preserve"> </w:t>
      </w:r>
      <w:r w:rsidR="00962F60" w:rsidRPr="006571AC">
        <w:rPr>
          <w:rFonts w:hint="cs"/>
          <w:sz w:val="27"/>
          <w:rtl/>
        </w:rPr>
        <w:t>التموضع</w:t>
      </w:r>
      <w:r w:rsidR="00962F60" w:rsidRPr="006571AC">
        <w:rPr>
          <w:sz w:val="27"/>
          <w:rtl/>
        </w:rPr>
        <w:t xml:space="preserve"> </w:t>
      </w:r>
      <w:r w:rsidR="00962F60" w:rsidRPr="006571AC">
        <w:rPr>
          <w:rFonts w:hint="cs"/>
          <w:sz w:val="27"/>
          <w:rtl/>
        </w:rPr>
        <w:lastRenderedPageBreak/>
        <w:t>ال</w:t>
      </w:r>
      <w:r w:rsidRPr="006571AC">
        <w:rPr>
          <w:rFonts w:hint="cs"/>
          <w:sz w:val="27"/>
          <w:rtl/>
        </w:rPr>
        <w:t>إ</w:t>
      </w:r>
      <w:r w:rsidR="00962F60" w:rsidRPr="006571AC">
        <w:rPr>
          <w:rFonts w:hint="cs"/>
          <w:sz w:val="27"/>
          <w:rtl/>
        </w:rPr>
        <w:t>بستمولوجي</w:t>
      </w:r>
      <w:r w:rsidR="00962F60" w:rsidRPr="006571AC">
        <w:rPr>
          <w:sz w:val="27"/>
          <w:rtl/>
        </w:rPr>
        <w:t xml:space="preserve">. </w:t>
      </w:r>
    </w:p>
    <w:p w:rsidR="00EF1F13" w:rsidRPr="006571AC" w:rsidRDefault="00EF1F13" w:rsidP="007E009E">
      <w:pPr>
        <w:rPr>
          <w:sz w:val="27"/>
          <w:rtl/>
        </w:rPr>
      </w:pPr>
      <w:r w:rsidRPr="006571AC">
        <w:rPr>
          <w:rFonts w:hint="cs"/>
          <w:sz w:val="27"/>
          <w:rtl/>
        </w:rPr>
        <w:t xml:space="preserve">3ـ </w:t>
      </w:r>
      <w:r w:rsidR="00962F60" w:rsidRPr="006571AC">
        <w:rPr>
          <w:rFonts w:hint="cs"/>
          <w:sz w:val="27"/>
          <w:rtl/>
        </w:rPr>
        <w:t>لأننا</w:t>
      </w:r>
      <w:r w:rsidR="00962F60" w:rsidRPr="006571AC">
        <w:rPr>
          <w:sz w:val="27"/>
          <w:rtl/>
        </w:rPr>
        <w:t xml:space="preserve"> </w:t>
      </w:r>
      <w:r w:rsidR="00962F60" w:rsidRPr="006571AC">
        <w:rPr>
          <w:rFonts w:hint="cs"/>
          <w:sz w:val="27"/>
          <w:rtl/>
        </w:rPr>
        <w:t>ضمن</w:t>
      </w:r>
      <w:r w:rsidR="00962F60" w:rsidRPr="006571AC">
        <w:rPr>
          <w:sz w:val="27"/>
          <w:rtl/>
        </w:rPr>
        <w:t xml:space="preserve"> </w:t>
      </w:r>
      <w:r w:rsidR="00962F60" w:rsidRPr="006571AC">
        <w:rPr>
          <w:rFonts w:hint="cs"/>
          <w:sz w:val="27"/>
          <w:rtl/>
        </w:rPr>
        <w:t>عملية</w:t>
      </w:r>
      <w:r w:rsidR="00962F60" w:rsidRPr="006571AC">
        <w:rPr>
          <w:sz w:val="27"/>
          <w:rtl/>
        </w:rPr>
        <w:t xml:space="preserve"> </w:t>
      </w:r>
      <w:r w:rsidR="00962F60" w:rsidRPr="006571AC">
        <w:rPr>
          <w:rFonts w:hint="cs"/>
          <w:sz w:val="27"/>
          <w:rtl/>
        </w:rPr>
        <w:t>ف</w:t>
      </w:r>
      <w:r w:rsidRPr="006571AC">
        <w:rPr>
          <w:rFonts w:hint="cs"/>
          <w:sz w:val="27"/>
          <w:rtl/>
        </w:rPr>
        <w:t>َ</w:t>
      </w:r>
      <w:r w:rsidR="00962F60" w:rsidRPr="006571AC">
        <w:rPr>
          <w:rFonts w:hint="cs"/>
          <w:sz w:val="27"/>
          <w:rtl/>
        </w:rPr>
        <w:t>ه</w:t>
      </w:r>
      <w:r w:rsidRPr="006571AC">
        <w:rPr>
          <w:rFonts w:hint="cs"/>
          <w:sz w:val="27"/>
          <w:rtl/>
        </w:rPr>
        <w:t>ْ</w:t>
      </w:r>
      <w:r w:rsidR="00962F60" w:rsidRPr="006571AC">
        <w:rPr>
          <w:rFonts w:hint="cs"/>
          <w:sz w:val="27"/>
          <w:rtl/>
        </w:rPr>
        <w:t>مية</w:t>
      </w:r>
      <w:r w:rsidR="00962F60" w:rsidRPr="006571AC">
        <w:rPr>
          <w:sz w:val="27"/>
          <w:rtl/>
        </w:rPr>
        <w:t xml:space="preserve"> ـ </w:t>
      </w:r>
      <w:r w:rsidR="00962F60" w:rsidRPr="006571AC">
        <w:rPr>
          <w:rFonts w:hint="cs"/>
          <w:sz w:val="27"/>
          <w:rtl/>
        </w:rPr>
        <w:t>تأويلية</w:t>
      </w:r>
      <w:r w:rsidR="00962F60" w:rsidRPr="006571AC">
        <w:rPr>
          <w:sz w:val="27"/>
          <w:rtl/>
        </w:rPr>
        <w:t xml:space="preserve"> </w:t>
      </w:r>
      <w:r w:rsidR="00962F60" w:rsidRPr="006571AC">
        <w:rPr>
          <w:rFonts w:hint="cs"/>
          <w:sz w:val="27"/>
          <w:rtl/>
        </w:rPr>
        <w:t>بامتياز</w:t>
      </w:r>
      <w:r w:rsidRPr="006571AC">
        <w:rPr>
          <w:rFonts w:hint="cs"/>
          <w:sz w:val="27"/>
          <w:rtl/>
        </w:rPr>
        <w:t>ٍ</w:t>
      </w:r>
      <w:r w:rsidR="00962F60" w:rsidRPr="006571AC">
        <w:rPr>
          <w:sz w:val="27"/>
          <w:rtl/>
        </w:rPr>
        <w:t xml:space="preserve"> </w:t>
      </w:r>
      <w:r w:rsidR="00962F60" w:rsidRPr="006571AC">
        <w:rPr>
          <w:rFonts w:hint="cs"/>
          <w:sz w:val="27"/>
          <w:rtl/>
        </w:rPr>
        <w:t>أيضا</w:t>
      </w:r>
      <w:r w:rsidRPr="006571AC">
        <w:rPr>
          <w:rFonts w:hint="cs"/>
          <w:sz w:val="27"/>
          <w:rtl/>
        </w:rPr>
        <w:t>ً</w:t>
      </w:r>
      <w:r w:rsidR="00962F60" w:rsidRPr="006571AC">
        <w:rPr>
          <w:rFonts w:hint="cs"/>
          <w:sz w:val="27"/>
          <w:rtl/>
        </w:rPr>
        <w:t>، وبلا</w:t>
      </w:r>
      <w:r w:rsidR="00962F60" w:rsidRPr="006571AC">
        <w:rPr>
          <w:sz w:val="27"/>
          <w:rtl/>
        </w:rPr>
        <w:t xml:space="preserve"> </w:t>
      </w:r>
      <w:r w:rsidR="00962F60" w:rsidRPr="006571AC">
        <w:rPr>
          <w:rFonts w:hint="cs"/>
          <w:sz w:val="27"/>
          <w:rtl/>
        </w:rPr>
        <w:t>ش</w:t>
      </w:r>
      <w:r w:rsidRPr="006571AC">
        <w:rPr>
          <w:rFonts w:hint="cs"/>
          <w:sz w:val="27"/>
          <w:rtl/>
        </w:rPr>
        <w:t>َ</w:t>
      </w:r>
      <w:r w:rsidR="00962F60" w:rsidRPr="006571AC">
        <w:rPr>
          <w:rFonts w:hint="cs"/>
          <w:sz w:val="27"/>
          <w:rtl/>
        </w:rPr>
        <w:t>ك</w:t>
      </w:r>
      <w:r w:rsidRPr="006571AC">
        <w:rPr>
          <w:rFonts w:hint="cs"/>
          <w:sz w:val="27"/>
          <w:rtl/>
        </w:rPr>
        <w:t>ٍّ</w:t>
      </w:r>
      <w:r w:rsidR="00962F60" w:rsidRPr="006571AC">
        <w:rPr>
          <w:rFonts w:hint="cs"/>
          <w:sz w:val="27"/>
          <w:rtl/>
        </w:rPr>
        <w:t xml:space="preserve">، </w:t>
      </w:r>
      <w:r w:rsidR="00962F60" w:rsidRPr="006571AC">
        <w:rPr>
          <w:sz w:val="27"/>
          <w:rtl/>
        </w:rPr>
        <w:t>معطيات</w:t>
      </w:r>
      <w:r w:rsidRPr="006571AC">
        <w:rPr>
          <w:rFonts w:hint="cs"/>
          <w:sz w:val="27"/>
          <w:rtl/>
        </w:rPr>
        <w:t>ُ</w:t>
      </w:r>
      <w:r w:rsidR="00962F60" w:rsidRPr="006571AC">
        <w:rPr>
          <w:sz w:val="27"/>
          <w:rtl/>
        </w:rPr>
        <w:t>ها هي خطاب</w:t>
      </w:r>
      <w:r w:rsidR="0055624A" w:rsidRPr="006571AC">
        <w:rPr>
          <w:rFonts w:hint="cs"/>
          <w:sz w:val="27"/>
          <w:rtl/>
        </w:rPr>
        <w:t>ُ</w:t>
      </w:r>
      <w:r w:rsidR="00962F60" w:rsidRPr="006571AC">
        <w:rPr>
          <w:sz w:val="27"/>
          <w:rtl/>
        </w:rPr>
        <w:t xml:space="preserve"> علماء شريعة</w:t>
      </w:r>
      <w:r w:rsidR="0055624A" w:rsidRPr="006571AC">
        <w:rPr>
          <w:rFonts w:hint="cs"/>
          <w:sz w:val="27"/>
          <w:rtl/>
        </w:rPr>
        <w:t>ٍ</w:t>
      </w:r>
      <w:r w:rsidR="00962F60" w:rsidRPr="006571AC">
        <w:rPr>
          <w:sz w:val="27"/>
          <w:rtl/>
        </w:rPr>
        <w:t xml:space="preserve"> دينية، وهدف</w:t>
      </w:r>
      <w:r w:rsidRPr="006571AC">
        <w:rPr>
          <w:rFonts w:hint="cs"/>
          <w:sz w:val="27"/>
          <w:rtl/>
        </w:rPr>
        <w:t>ُ</w:t>
      </w:r>
      <w:r w:rsidR="00962F60" w:rsidRPr="006571AC">
        <w:rPr>
          <w:sz w:val="27"/>
          <w:rtl/>
        </w:rPr>
        <w:t>ها هو محاولة</w:t>
      </w:r>
      <w:r w:rsidR="0055624A" w:rsidRPr="006571AC">
        <w:rPr>
          <w:rFonts w:hint="cs"/>
          <w:sz w:val="27"/>
          <w:rtl/>
        </w:rPr>
        <w:t>ُ</w:t>
      </w:r>
      <w:r w:rsidR="00962F60" w:rsidRPr="006571AC">
        <w:rPr>
          <w:sz w:val="27"/>
          <w:rtl/>
        </w:rPr>
        <w:t xml:space="preserve"> ف</w:t>
      </w:r>
      <w:r w:rsidRPr="006571AC">
        <w:rPr>
          <w:rFonts w:hint="cs"/>
          <w:sz w:val="27"/>
          <w:rtl/>
        </w:rPr>
        <w:t>َ</w:t>
      </w:r>
      <w:r w:rsidR="00962F60" w:rsidRPr="006571AC">
        <w:rPr>
          <w:sz w:val="27"/>
          <w:rtl/>
        </w:rPr>
        <w:t>ه</w:t>
      </w:r>
      <w:r w:rsidRPr="006571AC">
        <w:rPr>
          <w:rFonts w:hint="cs"/>
          <w:sz w:val="27"/>
          <w:rtl/>
        </w:rPr>
        <w:t>ْ</w:t>
      </w:r>
      <w:r w:rsidR="00962F60" w:rsidRPr="006571AC">
        <w:rPr>
          <w:sz w:val="27"/>
          <w:rtl/>
        </w:rPr>
        <w:t xml:space="preserve">م تفكيرهم، في سبيل </w:t>
      </w:r>
      <w:r w:rsidRPr="006571AC">
        <w:rPr>
          <w:sz w:val="27"/>
          <w:rtl/>
        </w:rPr>
        <w:t>بناء مفاهيم ونظري</w:t>
      </w:r>
      <w:r w:rsidR="0055624A" w:rsidRPr="006571AC">
        <w:rPr>
          <w:rFonts w:hint="cs"/>
          <w:sz w:val="27"/>
          <w:rtl/>
        </w:rPr>
        <w:t>ّ</w:t>
      </w:r>
      <w:r w:rsidRPr="006571AC">
        <w:rPr>
          <w:sz w:val="27"/>
          <w:rtl/>
        </w:rPr>
        <w:t>ات على أساسها.</w:t>
      </w:r>
    </w:p>
    <w:p w:rsidR="00EF1F13" w:rsidRPr="006571AC" w:rsidRDefault="00962F60" w:rsidP="0055624A">
      <w:pPr>
        <w:rPr>
          <w:sz w:val="27"/>
          <w:rtl/>
        </w:rPr>
      </w:pPr>
      <w:r w:rsidRPr="006571AC">
        <w:rPr>
          <w:sz w:val="27"/>
          <w:rtl/>
        </w:rPr>
        <w:t xml:space="preserve">نحن نعتبر </w:t>
      </w:r>
      <w:r w:rsidR="0055624A" w:rsidRPr="006571AC">
        <w:rPr>
          <w:rFonts w:hint="cs"/>
          <w:sz w:val="27"/>
          <w:rtl/>
        </w:rPr>
        <w:t>أ</w:t>
      </w:r>
      <w:r w:rsidRPr="006571AC">
        <w:rPr>
          <w:sz w:val="27"/>
          <w:rtl/>
        </w:rPr>
        <w:t>ن استعمال هذه المدرسة هو ذو أهم</w:t>
      </w:r>
      <w:r w:rsidR="00EF1F13" w:rsidRPr="006571AC">
        <w:rPr>
          <w:rFonts w:hint="cs"/>
          <w:sz w:val="27"/>
          <w:rtl/>
        </w:rPr>
        <w:t>ِّ</w:t>
      </w:r>
      <w:r w:rsidRPr="006571AC">
        <w:rPr>
          <w:sz w:val="27"/>
          <w:rtl/>
        </w:rPr>
        <w:t>ية خطيرة في هذا النوع من الأبحاث</w:t>
      </w:r>
      <w:r w:rsidR="00EF1F13" w:rsidRPr="006571AC">
        <w:rPr>
          <w:rFonts w:hint="cs"/>
          <w:sz w:val="27"/>
          <w:rtl/>
        </w:rPr>
        <w:t>،</w:t>
      </w:r>
      <w:r w:rsidRPr="006571AC">
        <w:rPr>
          <w:sz w:val="27"/>
          <w:rtl/>
        </w:rPr>
        <w:t xml:space="preserve"> كما في كل</w:t>
      </w:r>
      <w:r w:rsidR="00EF1F13" w:rsidRPr="006571AC">
        <w:rPr>
          <w:rFonts w:hint="cs"/>
          <w:sz w:val="27"/>
          <w:rtl/>
        </w:rPr>
        <w:t>ّ</w:t>
      </w:r>
      <w:r w:rsidRPr="006571AC">
        <w:rPr>
          <w:sz w:val="27"/>
          <w:rtl/>
        </w:rPr>
        <w:t xml:space="preserve"> الأبحاث حول المواضيع ال</w:t>
      </w:r>
      <w:r w:rsidR="0055624A" w:rsidRPr="006571AC">
        <w:rPr>
          <w:rFonts w:hint="cs"/>
          <w:sz w:val="27"/>
          <w:rtl/>
        </w:rPr>
        <w:t>إ</w:t>
      </w:r>
      <w:r w:rsidRPr="006571AC">
        <w:rPr>
          <w:sz w:val="27"/>
          <w:rtl/>
        </w:rPr>
        <w:t>سلامي</w:t>
      </w:r>
      <w:r w:rsidR="00EF1F13" w:rsidRPr="006571AC">
        <w:rPr>
          <w:rFonts w:hint="cs"/>
          <w:sz w:val="27"/>
          <w:rtl/>
        </w:rPr>
        <w:t>ّ</w:t>
      </w:r>
      <w:r w:rsidRPr="006571AC">
        <w:rPr>
          <w:sz w:val="27"/>
          <w:rtl/>
        </w:rPr>
        <w:t>ة</w:t>
      </w:r>
      <w:r w:rsidR="00EF1F13" w:rsidRPr="006571AC">
        <w:rPr>
          <w:rFonts w:hint="cs"/>
          <w:sz w:val="27"/>
          <w:rtl/>
        </w:rPr>
        <w:t>،</w:t>
      </w:r>
      <w:r w:rsidRPr="006571AC">
        <w:rPr>
          <w:sz w:val="27"/>
          <w:rtl/>
        </w:rPr>
        <w:t xml:space="preserve"> من وجهة نظر</w:t>
      </w:r>
      <w:r w:rsidR="00EF1F13" w:rsidRPr="006571AC">
        <w:rPr>
          <w:rFonts w:hint="cs"/>
          <w:sz w:val="27"/>
          <w:rtl/>
        </w:rPr>
        <w:t>ٍ</w:t>
      </w:r>
      <w:r w:rsidRPr="006571AC">
        <w:rPr>
          <w:sz w:val="27"/>
          <w:rtl/>
        </w:rPr>
        <w:t xml:space="preserve"> علمية</w:t>
      </w:r>
      <w:r w:rsidR="007E254D" w:rsidRPr="006571AC">
        <w:rPr>
          <w:rFonts w:hint="cs"/>
          <w:sz w:val="27"/>
          <w:vertAlign w:val="superscript"/>
          <w:rtl/>
        </w:rPr>
        <w:t>(</w:t>
      </w:r>
      <w:r w:rsidR="007E254D" w:rsidRPr="006571AC">
        <w:rPr>
          <w:rStyle w:val="ac"/>
          <w:sz w:val="27"/>
          <w:rtl/>
        </w:rPr>
        <w:endnoteReference w:id="925"/>
      </w:r>
      <w:r w:rsidR="007E254D" w:rsidRPr="006571AC">
        <w:rPr>
          <w:rFonts w:hint="cs"/>
          <w:sz w:val="27"/>
          <w:vertAlign w:val="superscript"/>
          <w:rtl/>
        </w:rPr>
        <w:t>)</w:t>
      </w:r>
      <w:r w:rsidR="000F4A13" w:rsidRPr="006571AC">
        <w:rPr>
          <w:sz w:val="27"/>
          <w:rtl/>
        </w:rPr>
        <w:t>.</w:t>
      </w:r>
    </w:p>
    <w:p w:rsidR="00962F60" w:rsidRPr="006571AC" w:rsidRDefault="00962F60" w:rsidP="007E009E">
      <w:pPr>
        <w:rPr>
          <w:sz w:val="27"/>
        </w:rPr>
      </w:pPr>
      <w:r w:rsidRPr="006571AC">
        <w:rPr>
          <w:sz w:val="27"/>
          <w:rtl/>
        </w:rPr>
        <w:t>ونعتبر أيضا</w:t>
      </w:r>
      <w:r w:rsidR="00EF1F13" w:rsidRPr="006571AC">
        <w:rPr>
          <w:rFonts w:hint="cs"/>
          <w:sz w:val="27"/>
          <w:rtl/>
        </w:rPr>
        <w:t>ً</w:t>
      </w:r>
      <w:r w:rsidRPr="006571AC">
        <w:rPr>
          <w:sz w:val="27"/>
          <w:rtl/>
        </w:rPr>
        <w:t xml:space="preserve"> أن </w:t>
      </w:r>
      <w:r w:rsidR="00EF1F13" w:rsidRPr="006571AC">
        <w:rPr>
          <w:rFonts w:hint="cs"/>
          <w:sz w:val="27"/>
          <w:rtl/>
        </w:rPr>
        <w:t>إ</w:t>
      </w:r>
      <w:r w:rsidRPr="006571AC">
        <w:rPr>
          <w:sz w:val="27"/>
          <w:rtl/>
        </w:rPr>
        <w:t xml:space="preserve">سهام </w:t>
      </w:r>
      <w:r w:rsidR="00EF1F13" w:rsidRPr="006571AC">
        <w:rPr>
          <w:rFonts w:hint="cs"/>
          <w:sz w:val="27"/>
          <w:rtl/>
        </w:rPr>
        <w:t>(</w:t>
      </w:r>
      <w:r w:rsidRPr="006571AC">
        <w:rPr>
          <w:sz w:val="27"/>
          <w:rtl/>
        </w:rPr>
        <w:t>اقتصادنا</w:t>
      </w:r>
      <w:r w:rsidR="00EF1F13" w:rsidRPr="006571AC">
        <w:rPr>
          <w:rFonts w:hint="cs"/>
          <w:sz w:val="27"/>
          <w:rtl/>
        </w:rPr>
        <w:t>)</w:t>
      </w:r>
      <w:r w:rsidRPr="006571AC">
        <w:rPr>
          <w:sz w:val="27"/>
          <w:rtl/>
        </w:rPr>
        <w:t xml:space="preserve"> الأهم</w:t>
      </w:r>
      <w:r w:rsidR="00EF1F13" w:rsidRPr="006571AC">
        <w:rPr>
          <w:rFonts w:hint="cs"/>
          <w:sz w:val="27"/>
          <w:rtl/>
        </w:rPr>
        <w:t>ّ</w:t>
      </w:r>
      <w:r w:rsidRPr="006571AC">
        <w:rPr>
          <w:sz w:val="27"/>
          <w:rtl/>
        </w:rPr>
        <w:t xml:space="preserve"> هو في فتح الباب أمام هذا التقريب ذي الخطورة المنهجية القصوى، وعلى الأرجح، ذي الخطورة التاريخية في سياق تطوّ</w:t>
      </w:r>
      <w:r w:rsidR="0017555A" w:rsidRPr="006571AC">
        <w:rPr>
          <w:rFonts w:hint="cs"/>
          <w:sz w:val="27"/>
          <w:rtl/>
        </w:rPr>
        <w:t>ُ</w:t>
      </w:r>
      <w:r w:rsidRPr="006571AC">
        <w:rPr>
          <w:sz w:val="27"/>
          <w:rtl/>
        </w:rPr>
        <w:t>ر العلوم ال</w:t>
      </w:r>
      <w:r w:rsidR="0017555A" w:rsidRPr="006571AC">
        <w:rPr>
          <w:rFonts w:hint="cs"/>
          <w:sz w:val="27"/>
          <w:rtl/>
        </w:rPr>
        <w:t>إ</w:t>
      </w:r>
      <w:r w:rsidRPr="006571AC">
        <w:rPr>
          <w:sz w:val="27"/>
          <w:rtl/>
        </w:rPr>
        <w:t>سلامية بشكل</w:t>
      </w:r>
      <w:r w:rsidR="0017555A" w:rsidRPr="006571AC">
        <w:rPr>
          <w:rFonts w:hint="cs"/>
          <w:sz w:val="27"/>
          <w:rtl/>
        </w:rPr>
        <w:t>ٍ</w:t>
      </w:r>
      <w:r w:rsidRPr="006571AC">
        <w:rPr>
          <w:sz w:val="27"/>
          <w:rtl/>
        </w:rPr>
        <w:t xml:space="preserve"> عام</w:t>
      </w:r>
      <w:r w:rsidR="0017555A" w:rsidRPr="006571AC">
        <w:rPr>
          <w:rFonts w:hint="cs"/>
          <w:sz w:val="27"/>
          <w:rtl/>
        </w:rPr>
        <w:t>ّ</w:t>
      </w:r>
      <w:r w:rsidRPr="006571AC">
        <w:rPr>
          <w:sz w:val="27"/>
          <w:rtl/>
        </w:rPr>
        <w:t xml:space="preserve">. </w:t>
      </w:r>
    </w:p>
    <w:p w:rsidR="00962F60" w:rsidRPr="006571AC" w:rsidRDefault="00962F60" w:rsidP="0024500D">
      <w:pPr>
        <w:spacing w:line="450" w:lineRule="exact"/>
        <w:rPr>
          <w:sz w:val="27"/>
        </w:rPr>
      </w:pPr>
    </w:p>
    <w:p w:rsidR="00962F60" w:rsidRPr="006571AC" w:rsidRDefault="00962F60" w:rsidP="0017555A">
      <w:pPr>
        <w:pStyle w:val="31"/>
        <w:rPr>
          <w:color w:val="auto"/>
          <w:sz w:val="26"/>
        </w:rPr>
      </w:pPr>
      <w:bookmarkStart w:id="582" w:name="_Toc114164931"/>
      <w:r w:rsidRPr="006571AC">
        <w:rPr>
          <w:rFonts w:hint="cs"/>
          <w:color w:val="auto"/>
          <w:sz w:val="26"/>
          <w:rtl/>
        </w:rPr>
        <w:t xml:space="preserve">3ـ </w:t>
      </w:r>
      <w:r w:rsidRPr="006571AC">
        <w:rPr>
          <w:color w:val="auto"/>
          <w:sz w:val="26"/>
          <w:rtl/>
        </w:rPr>
        <w:t>معالم الطرح المستقبلي: للتقريب بين منهج</w:t>
      </w:r>
      <w:r w:rsidR="0055624A" w:rsidRPr="006571AC">
        <w:rPr>
          <w:rFonts w:hint="cs"/>
          <w:color w:val="auto"/>
          <w:sz w:val="26"/>
          <w:rtl/>
        </w:rPr>
        <w:t>َ</w:t>
      </w:r>
      <w:r w:rsidRPr="006571AC">
        <w:rPr>
          <w:color w:val="auto"/>
          <w:sz w:val="26"/>
          <w:rtl/>
        </w:rPr>
        <w:t>ي</w:t>
      </w:r>
      <w:r w:rsidR="0055624A" w:rsidRPr="006571AC">
        <w:rPr>
          <w:rFonts w:hint="cs"/>
          <w:color w:val="auto"/>
          <w:sz w:val="26"/>
          <w:rtl/>
        </w:rPr>
        <w:t>ْ</w:t>
      </w:r>
      <w:r w:rsidRPr="006571AC">
        <w:rPr>
          <w:color w:val="auto"/>
          <w:sz w:val="26"/>
          <w:rtl/>
        </w:rPr>
        <w:t xml:space="preserve"> </w:t>
      </w:r>
      <w:r w:rsidRPr="006571AC">
        <w:rPr>
          <w:rFonts w:hint="eastAsia"/>
          <w:color w:val="auto"/>
          <w:sz w:val="26"/>
          <w:rtl/>
        </w:rPr>
        <w:t>«</w:t>
      </w:r>
      <w:r w:rsidRPr="006571AC">
        <w:rPr>
          <w:color w:val="auto"/>
          <w:sz w:val="26"/>
          <w:rtl/>
        </w:rPr>
        <w:t>بناء المفاهيم الإسلامي</w:t>
      </w:r>
      <w:r w:rsidR="00412F40" w:rsidRPr="006571AC">
        <w:rPr>
          <w:rFonts w:hint="cs"/>
          <w:color w:val="auto"/>
          <w:sz w:val="26"/>
          <w:rtl/>
        </w:rPr>
        <w:t>ّ</w:t>
      </w:r>
      <w:r w:rsidRPr="006571AC">
        <w:rPr>
          <w:color w:val="auto"/>
          <w:sz w:val="26"/>
          <w:rtl/>
        </w:rPr>
        <w:t>ة</w:t>
      </w:r>
      <w:r w:rsidRPr="006571AC">
        <w:rPr>
          <w:rFonts w:hint="eastAsia"/>
          <w:color w:val="auto"/>
          <w:sz w:val="26"/>
          <w:rtl/>
        </w:rPr>
        <w:t>»</w:t>
      </w:r>
      <w:r w:rsidRPr="006571AC">
        <w:rPr>
          <w:color w:val="auto"/>
          <w:sz w:val="26"/>
          <w:rtl/>
        </w:rPr>
        <w:t xml:space="preserve"> و</w:t>
      </w:r>
      <w:r w:rsidR="0017555A" w:rsidRPr="006571AC">
        <w:rPr>
          <w:rFonts w:hint="eastAsia"/>
          <w:color w:val="auto"/>
          <w:sz w:val="26"/>
          <w:rtl/>
        </w:rPr>
        <w:t>«</w:t>
      </w:r>
      <w:r w:rsidRPr="006571AC">
        <w:rPr>
          <w:color w:val="auto"/>
          <w:sz w:val="26"/>
          <w:rtl/>
        </w:rPr>
        <w:t>بناء النماذج المثالي</w:t>
      </w:r>
      <w:r w:rsidR="00412F40" w:rsidRPr="006571AC">
        <w:rPr>
          <w:rFonts w:hint="cs"/>
          <w:color w:val="auto"/>
          <w:sz w:val="26"/>
          <w:rtl/>
        </w:rPr>
        <w:t>ّ</w:t>
      </w:r>
      <w:r w:rsidRPr="006571AC">
        <w:rPr>
          <w:color w:val="auto"/>
          <w:sz w:val="26"/>
          <w:rtl/>
        </w:rPr>
        <w:t>ة</w:t>
      </w:r>
      <w:r w:rsidRPr="006571AC">
        <w:rPr>
          <w:rFonts w:hint="eastAsia"/>
          <w:color w:val="auto"/>
          <w:sz w:val="26"/>
          <w:rtl/>
        </w:rPr>
        <w:t>»</w:t>
      </w:r>
      <w:bookmarkEnd w:id="582"/>
    </w:p>
    <w:p w:rsidR="00962F60" w:rsidRPr="006571AC" w:rsidRDefault="00962F60" w:rsidP="007E009E">
      <w:pPr>
        <w:rPr>
          <w:sz w:val="27"/>
        </w:rPr>
      </w:pPr>
      <w:r w:rsidRPr="006571AC">
        <w:rPr>
          <w:sz w:val="27"/>
          <w:rtl/>
        </w:rPr>
        <w:t>في ختام هذه الورقة، نصل إلى القناعة، المؤي</w:t>
      </w:r>
      <w:r w:rsidR="0017555A" w:rsidRPr="006571AC">
        <w:rPr>
          <w:rFonts w:hint="cs"/>
          <w:sz w:val="27"/>
          <w:rtl/>
        </w:rPr>
        <w:t>َّ</w:t>
      </w:r>
      <w:r w:rsidRPr="006571AC">
        <w:rPr>
          <w:sz w:val="27"/>
          <w:rtl/>
        </w:rPr>
        <w:t xml:space="preserve">دة والراسخة عندنا الآن، بأنّ عمل </w:t>
      </w:r>
      <w:r w:rsidR="0017555A" w:rsidRPr="006571AC">
        <w:rPr>
          <w:rFonts w:hint="cs"/>
          <w:sz w:val="27"/>
          <w:rtl/>
        </w:rPr>
        <w:t>(</w:t>
      </w:r>
      <w:r w:rsidRPr="006571AC">
        <w:rPr>
          <w:sz w:val="27"/>
          <w:rtl/>
        </w:rPr>
        <w:t>اقتصادنا</w:t>
      </w:r>
      <w:r w:rsidR="0017555A" w:rsidRPr="006571AC">
        <w:rPr>
          <w:rFonts w:hint="cs"/>
          <w:sz w:val="27"/>
          <w:rtl/>
        </w:rPr>
        <w:t>)</w:t>
      </w:r>
      <w:r w:rsidRPr="006571AC">
        <w:rPr>
          <w:sz w:val="27"/>
          <w:rtl/>
        </w:rPr>
        <w:t xml:space="preserve"> لا يمكن أن يُعتبر عابراً بالمعنى العلمي</w:t>
      </w:r>
      <w:r w:rsidR="0017555A" w:rsidRPr="006571AC">
        <w:rPr>
          <w:rFonts w:hint="cs"/>
          <w:sz w:val="27"/>
          <w:rtl/>
        </w:rPr>
        <w:t>ّ</w:t>
      </w:r>
      <w:r w:rsidRPr="006571AC">
        <w:rPr>
          <w:sz w:val="27"/>
          <w:rtl/>
        </w:rPr>
        <w:t xml:space="preserve">، </w:t>
      </w:r>
      <w:r w:rsidR="0017555A" w:rsidRPr="006571AC">
        <w:rPr>
          <w:rFonts w:hint="cs"/>
          <w:sz w:val="27"/>
          <w:rtl/>
        </w:rPr>
        <w:t>و</w:t>
      </w:r>
      <w:r w:rsidR="00731867" w:rsidRPr="006571AC">
        <w:rPr>
          <w:sz w:val="27"/>
          <w:rtl/>
        </w:rPr>
        <w:t>لا سيَّما</w:t>
      </w:r>
      <w:r w:rsidR="0017555A" w:rsidRPr="006571AC">
        <w:rPr>
          <w:sz w:val="27"/>
          <w:rtl/>
        </w:rPr>
        <w:t xml:space="preserve"> بعد</w:t>
      </w:r>
      <w:r w:rsidR="0055624A" w:rsidRPr="006571AC">
        <w:rPr>
          <w:rFonts w:hint="cs"/>
          <w:sz w:val="27"/>
          <w:rtl/>
        </w:rPr>
        <w:t xml:space="preserve"> </w:t>
      </w:r>
      <w:r w:rsidRPr="006571AC">
        <w:rPr>
          <w:sz w:val="27"/>
          <w:rtl/>
        </w:rPr>
        <w:t xml:space="preserve">ما ناقشناه عن </w:t>
      </w:r>
      <w:r w:rsidR="0017555A" w:rsidRPr="006571AC">
        <w:rPr>
          <w:rFonts w:hint="cs"/>
          <w:sz w:val="27"/>
          <w:rtl/>
        </w:rPr>
        <w:t>إ</w:t>
      </w:r>
      <w:r w:rsidRPr="006571AC">
        <w:rPr>
          <w:sz w:val="27"/>
          <w:rtl/>
        </w:rPr>
        <w:t>سهاماته الخطيرة بالنسبة إلى مستقبل البحث ال</w:t>
      </w:r>
      <w:r w:rsidR="0017555A" w:rsidRPr="006571AC">
        <w:rPr>
          <w:rFonts w:hint="cs"/>
          <w:sz w:val="27"/>
          <w:rtl/>
        </w:rPr>
        <w:t>إ</w:t>
      </w:r>
      <w:r w:rsidRPr="006571AC">
        <w:rPr>
          <w:sz w:val="27"/>
          <w:rtl/>
        </w:rPr>
        <w:t>سلامي، وبالأخص</w:t>
      </w:r>
      <w:r w:rsidR="0017555A" w:rsidRPr="006571AC">
        <w:rPr>
          <w:rFonts w:hint="cs"/>
          <w:sz w:val="27"/>
          <w:rtl/>
        </w:rPr>
        <w:t>ّ</w:t>
      </w:r>
      <w:r w:rsidRPr="006571AC">
        <w:rPr>
          <w:sz w:val="27"/>
          <w:rtl/>
        </w:rPr>
        <w:t xml:space="preserve"> من الزاويتين المعرفية (أو ال</w:t>
      </w:r>
      <w:r w:rsidR="0017555A" w:rsidRPr="006571AC">
        <w:rPr>
          <w:rFonts w:hint="cs"/>
          <w:sz w:val="27"/>
          <w:rtl/>
        </w:rPr>
        <w:t>إ</w:t>
      </w:r>
      <w:r w:rsidRPr="006571AC">
        <w:rPr>
          <w:sz w:val="27"/>
          <w:rtl/>
        </w:rPr>
        <w:t>بستمولوجية) والمنهجية (أو الميتودولوجية). إنّ هذه القناعة، كما شر</w:t>
      </w:r>
      <w:r w:rsidR="0017555A" w:rsidRPr="006571AC">
        <w:rPr>
          <w:rFonts w:hint="cs"/>
          <w:sz w:val="27"/>
          <w:rtl/>
        </w:rPr>
        <w:t>َ</w:t>
      </w:r>
      <w:r w:rsidRPr="006571AC">
        <w:rPr>
          <w:sz w:val="27"/>
          <w:rtl/>
        </w:rPr>
        <w:t>ح</w:t>
      </w:r>
      <w:r w:rsidR="0017555A" w:rsidRPr="006571AC">
        <w:rPr>
          <w:rFonts w:hint="cs"/>
          <w:sz w:val="27"/>
          <w:rtl/>
        </w:rPr>
        <w:t>ْ</w:t>
      </w:r>
      <w:r w:rsidRPr="006571AC">
        <w:rPr>
          <w:sz w:val="27"/>
          <w:rtl/>
        </w:rPr>
        <w:t>نا، تنطلق من ضرورة الحفاظ على الأمانة العلميّة، كما من ضرورة الحفاظ على الطبيعة التطو</w:t>
      </w:r>
      <w:r w:rsidR="0017555A" w:rsidRPr="006571AC">
        <w:rPr>
          <w:rFonts w:hint="cs"/>
          <w:sz w:val="27"/>
          <w:rtl/>
        </w:rPr>
        <w:t>ُّ</w:t>
      </w:r>
      <w:r w:rsidRPr="006571AC">
        <w:rPr>
          <w:sz w:val="27"/>
          <w:rtl/>
        </w:rPr>
        <w:t>رية التراكمية للإسهام العلمي</w:t>
      </w:r>
      <w:r w:rsidR="0055624A" w:rsidRPr="006571AC">
        <w:rPr>
          <w:rFonts w:hint="cs"/>
          <w:sz w:val="27"/>
          <w:rtl/>
        </w:rPr>
        <w:t>ّ</w:t>
      </w:r>
      <w:r w:rsidRPr="006571AC">
        <w:rPr>
          <w:sz w:val="27"/>
          <w:rtl/>
        </w:rPr>
        <w:t xml:space="preserve">. إن </w:t>
      </w:r>
      <w:r w:rsidR="0017555A" w:rsidRPr="006571AC">
        <w:rPr>
          <w:rFonts w:hint="cs"/>
          <w:sz w:val="27"/>
          <w:rtl/>
        </w:rPr>
        <w:t>أ</w:t>
      </w:r>
      <w:r w:rsidRPr="006571AC">
        <w:rPr>
          <w:sz w:val="27"/>
          <w:rtl/>
        </w:rPr>
        <w:t>طروحتنا المركزية تتمحور إذن حول ال</w:t>
      </w:r>
      <w:r w:rsidR="0017555A" w:rsidRPr="006571AC">
        <w:rPr>
          <w:rFonts w:hint="cs"/>
          <w:sz w:val="27"/>
          <w:rtl/>
        </w:rPr>
        <w:t>إ</w:t>
      </w:r>
      <w:r w:rsidRPr="006571AC">
        <w:rPr>
          <w:sz w:val="27"/>
          <w:rtl/>
        </w:rPr>
        <w:t xml:space="preserve">سهام المعرفي والمنهجي لعمل </w:t>
      </w:r>
      <w:r w:rsidR="0017555A" w:rsidRPr="006571AC">
        <w:rPr>
          <w:rFonts w:hint="cs"/>
          <w:sz w:val="27"/>
          <w:rtl/>
        </w:rPr>
        <w:t>(</w:t>
      </w:r>
      <w:r w:rsidRPr="006571AC">
        <w:rPr>
          <w:sz w:val="27"/>
          <w:rtl/>
        </w:rPr>
        <w:t>اقتصادنا</w:t>
      </w:r>
      <w:r w:rsidR="0017555A" w:rsidRPr="006571AC">
        <w:rPr>
          <w:rFonts w:hint="cs"/>
          <w:sz w:val="27"/>
          <w:rtl/>
        </w:rPr>
        <w:t>)</w:t>
      </w:r>
      <w:r w:rsidRPr="006571AC">
        <w:rPr>
          <w:sz w:val="27"/>
          <w:rtl/>
        </w:rPr>
        <w:t>، الذي تغفله أكثر الأبحاث حول الاقتصاد الإسلامي</w:t>
      </w:r>
      <w:r w:rsidR="0017555A" w:rsidRPr="006571AC">
        <w:rPr>
          <w:rFonts w:hint="cs"/>
          <w:sz w:val="27"/>
          <w:rtl/>
        </w:rPr>
        <w:t>ّ</w:t>
      </w:r>
      <w:r w:rsidRPr="006571AC">
        <w:rPr>
          <w:sz w:val="27"/>
          <w:rtl/>
        </w:rPr>
        <w:t xml:space="preserve"> (وحول المواضيع الأخرى أيضا</w:t>
      </w:r>
      <w:r w:rsidR="0017555A" w:rsidRPr="006571AC">
        <w:rPr>
          <w:rFonts w:hint="cs"/>
          <w:sz w:val="27"/>
          <w:rtl/>
        </w:rPr>
        <w:t>ً</w:t>
      </w:r>
      <w:r w:rsidRPr="006571AC">
        <w:rPr>
          <w:sz w:val="27"/>
          <w:rtl/>
        </w:rPr>
        <w:t>، بطبيعة الحال)، والذي قاد</w:t>
      </w:r>
      <w:r w:rsidR="0017555A" w:rsidRPr="006571AC">
        <w:rPr>
          <w:rFonts w:hint="cs"/>
          <w:sz w:val="27"/>
          <w:rtl/>
        </w:rPr>
        <w:t>َ</w:t>
      </w:r>
      <w:r w:rsidRPr="006571AC">
        <w:rPr>
          <w:sz w:val="27"/>
          <w:rtl/>
        </w:rPr>
        <w:t>نا، كما رأ</w:t>
      </w:r>
      <w:r w:rsidR="0017555A" w:rsidRPr="006571AC">
        <w:rPr>
          <w:rFonts w:hint="cs"/>
          <w:sz w:val="27"/>
          <w:rtl/>
        </w:rPr>
        <w:t>َ</w:t>
      </w:r>
      <w:r w:rsidRPr="006571AC">
        <w:rPr>
          <w:sz w:val="27"/>
          <w:rtl/>
        </w:rPr>
        <w:t>ي</w:t>
      </w:r>
      <w:r w:rsidR="0017555A" w:rsidRPr="006571AC">
        <w:rPr>
          <w:rFonts w:hint="cs"/>
          <w:sz w:val="27"/>
          <w:rtl/>
        </w:rPr>
        <w:t>ْ</w:t>
      </w:r>
      <w:r w:rsidRPr="006571AC">
        <w:rPr>
          <w:sz w:val="27"/>
          <w:rtl/>
        </w:rPr>
        <w:t xml:space="preserve">نا، </w:t>
      </w:r>
      <w:r w:rsidR="0017555A" w:rsidRPr="006571AC">
        <w:rPr>
          <w:rFonts w:hint="cs"/>
          <w:sz w:val="27"/>
          <w:rtl/>
        </w:rPr>
        <w:t>إ</w:t>
      </w:r>
      <w:r w:rsidRPr="006571AC">
        <w:rPr>
          <w:sz w:val="27"/>
          <w:rtl/>
        </w:rPr>
        <w:t xml:space="preserve">لى التفكير بضرورة التقريب بينه وبين </w:t>
      </w:r>
      <w:r w:rsidR="0017555A" w:rsidRPr="006571AC">
        <w:rPr>
          <w:rFonts w:hint="cs"/>
          <w:sz w:val="27"/>
          <w:rtl/>
        </w:rPr>
        <w:t>إ</w:t>
      </w:r>
      <w:r w:rsidRPr="006571AC">
        <w:rPr>
          <w:sz w:val="27"/>
          <w:rtl/>
        </w:rPr>
        <w:t>سهام مدرسة ماكس فيبر في فلسفة المعرفة المعني</w:t>
      </w:r>
      <w:r w:rsidR="0017555A" w:rsidRPr="006571AC">
        <w:rPr>
          <w:rFonts w:hint="cs"/>
          <w:sz w:val="27"/>
          <w:rtl/>
        </w:rPr>
        <w:t>ّ</w:t>
      </w:r>
      <w:r w:rsidRPr="006571AC">
        <w:rPr>
          <w:sz w:val="27"/>
          <w:rtl/>
        </w:rPr>
        <w:t xml:space="preserve">ة بالعلوم الاجتماعية. </w:t>
      </w:r>
    </w:p>
    <w:p w:rsidR="00962F60" w:rsidRPr="006571AC" w:rsidRDefault="00962F60" w:rsidP="007E009E">
      <w:pPr>
        <w:rPr>
          <w:sz w:val="27"/>
        </w:rPr>
      </w:pPr>
      <w:r w:rsidRPr="006571AC">
        <w:rPr>
          <w:sz w:val="27"/>
          <w:rtl/>
        </w:rPr>
        <w:t xml:space="preserve">أما الأسباب التي تدعونا </w:t>
      </w:r>
      <w:r w:rsidR="0017555A" w:rsidRPr="006571AC">
        <w:rPr>
          <w:rFonts w:hint="cs"/>
          <w:sz w:val="27"/>
          <w:rtl/>
        </w:rPr>
        <w:t>إ</w:t>
      </w:r>
      <w:r w:rsidRPr="006571AC">
        <w:rPr>
          <w:sz w:val="27"/>
          <w:rtl/>
        </w:rPr>
        <w:t>لى هكذا طرح</w:t>
      </w:r>
      <w:r w:rsidR="0017555A" w:rsidRPr="006571AC">
        <w:rPr>
          <w:rFonts w:hint="cs"/>
          <w:sz w:val="27"/>
          <w:rtl/>
        </w:rPr>
        <w:t xml:space="preserve">ٍ </w:t>
      </w:r>
      <w:r w:rsidRPr="006571AC">
        <w:rPr>
          <w:sz w:val="27"/>
          <w:rtl/>
        </w:rPr>
        <w:t>فقد فصّ</w:t>
      </w:r>
      <w:r w:rsidR="0017555A" w:rsidRPr="006571AC">
        <w:rPr>
          <w:rFonts w:hint="cs"/>
          <w:sz w:val="27"/>
          <w:rtl/>
        </w:rPr>
        <w:t>َ</w:t>
      </w:r>
      <w:r w:rsidRPr="006571AC">
        <w:rPr>
          <w:sz w:val="27"/>
          <w:rtl/>
        </w:rPr>
        <w:t>لناها في</w:t>
      </w:r>
      <w:r w:rsidR="0017555A" w:rsidRPr="006571AC">
        <w:rPr>
          <w:rFonts w:hint="cs"/>
          <w:sz w:val="27"/>
          <w:rtl/>
        </w:rPr>
        <w:t xml:space="preserve"> </w:t>
      </w:r>
      <w:r w:rsidRPr="006571AC">
        <w:rPr>
          <w:sz w:val="27"/>
          <w:rtl/>
        </w:rPr>
        <w:t>ما سبق</w:t>
      </w:r>
      <w:r w:rsidR="007E254D" w:rsidRPr="006571AC">
        <w:rPr>
          <w:rFonts w:hint="cs"/>
          <w:sz w:val="27"/>
          <w:vertAlign w:val="superscript"/>
          <w:rtl/>
        </w:rPr>
        <w:t>(</w:t>
      </w:r>
      <w:r w:rsidR="007E254D" w:rsidRPr="006571AC">
        <w:rPr>
          <w:rStyle w:val="ac"/>
          <w:sz w:val="27"/>
          <w:rtl/>
        </w:rPr>
        <w:endnoteReference w:id="926"/>
      </w:r>
      <w:r w:rsidR="007E254D" w:rsidRPr="006571AC">
        <w:rPr>
          <w:rFonts w:hint="cs"/>
          <w:sz w:val="27"/>
          <w:vertAlign w:val="superscript"/>
          <w:rtl/>
        </w:rPr>
        <w:t>)</w:t>
      </w:r>
      <w:r w:rsidR="000F4A13" w:rsidRPr="006571AC">
        <w:rPr>
          <w:sz w:val="27"/>
          <w:rtl/>
        </w:rPr>
        <w:t>.</w:t>
      </w:r>
      <w:r w:rsidRPr="006571AC">
        <w:rPr>
          <w:sz w:val="27"/>
          <w:rtl/>
        </w:rPr>
        <w:t xml:space="preserve"> وأما نقطة الانطلاق لهذا الطرح المجد</w:t>
      </w:r>
      <w:r w:rsidR="0017555A" w:rsidRPr="006571AC">
        <w:rPr>
          <w:rFonts w:hint="cs"/>
          <w:sz w:val="27"/>
          <w:rtl/>
        </w:rPr>
        <w:t>ّ</w:t>
      </w:r>
      <w:r w:rsidR="0055624A" w:rsidRPr="006571AC">
        <w:rPr>
          <w:rFonts w:hint="cs"/>
          <w:sz w:val="27"/>
          <w:rtl/>
        </w:rPr>
        <w:t>ِ</w:t>
      </w:r>
      <w:r w:rsidRPr="006571AC">
        <w:rPr>
          <w:sz w:val="27"/>
          <w:rtl/>
        </w:rPr>
        <w:t>د فهي بلا أدنى ش</w:t>
      </w:r>
      <w:r w:rsidR="0017555A" w:rsidRPr="006571AC">
        <w:rPr>
          <w:rFonts w:hint="cs"/>
          <w:sz w:val="27"/>
          <w:rtl/>
        </w:rPr>
        <w:t>َ</w:t>
      </w:r>
      <w:r w:rsidRPr="006571AC">
        <w:rPr>
          <w:sz w:val="27"/>
          <w:rtl/>
        </w:rPr>
        <w:t>ك</w:t>
      </w:r>
      <w:r w:rsidR="0017555A" w:rsidRPr="006571AC">
        <w:rPr>
          <w:rFonts w:hint="cs"/>
          <w:sz w:val="27"/>
          <w:rtl/>
        </w:rPr>
        <w:t>ٍّ،</w:t>
      </w:r>
      <w:r w:rsidRPr="006571AC">
        <w:rPr>
          <w:sz w:val="27"/>
          <w:rtl/>
        </w:rPr>
        <w:t xml:space="preserve"> كما أسل</w:t>
      </w:r>
      <w:r w:rsidR="0055624A" w:rsidRPr="006571AC">
        <w:rPr>
          <w:rFonts w:hint="cs"/>
          <w:sz w:val="27"/>
          <w:rtl/>
        </w:rPr>
        <w:t>َ</w:t>
      </w:r>
      <w:r w:rsidRPr="006571AC">
        <w:rPr>
          <w:sz w:val="27"/>
          <w:rtl/>
        </w:rPr>
        <w:t>ف</w:t>
      </w:r>
      <w:r w:rsidR="0055624A" w:rsidRPr="006571AC">
        <w:rPr>
          <w:rFonts w:hint="cs"/>
          <w:sz w:val="27"/>
          <w:rtl/>
        </w:rPr>
        <w:t>ْ</w:t>
      </w:r>
      <w:r w:rsidRPr="006571AC">
        <w:rPr>
          <w:sz w:val="27"/>
          <w:rtl/>
        </w:rPr>
        <w:t xml:space="preserve">نا: فلسفة </w:t>
      </w:r>
      <w:r w:rsidRPr="006571AC">
        <w:rPr>
          <w:rFonts w:hint="eastAsia"/>
          <w:sz w:val="24"/>
          <w:szCs w:val="24"/>
          <w:rtl/>
        </w:rPr>
        <w:t>«</w:t>
      </w:r>
      <w:r w:rsidRPr="006571AC">
        <w:rPr>
          <w:sz w:val="27"/>
          <w:rtl/>
        </w:rPr>
        <w:t>النموذج ـ المثالي</w:t>
      </w:r>
      <w:r w:rsidRPr="006571AC">
        <w:rPr>
          <w:rFonts w:hint="eastAsia"/>
          <w:sz w:val="24"/>
          <w:szCs w:val="24"/>
          <w:rtl/>
        </w:rPr>
        <w:t>»</w:t>
      </w:r>
      <w:r w:rsidRPr="006571AC">
        <w:rPr>
          <w:sz w:val="27"/>
          <w:rtl/>
        </w:rPr>
        <w:t xml:space="preserve"> (</w:t>
      </w:r>
      <w:r w:rsidRPr="006571AC">
        <w:rPr>
          <w:rFonts w:asciiTheme="majorBidi" w:hAnsiTheme="majorBidi" w:cstheme="majorBidi"/>
          <w:sz w:val="22"/>
          <w:szCs w:val="22"/>
        </w:rPr>
        <w:t>L’idéal</w:t>
      </w:r>
      <w:r w:rsidRPr="006571AC">
        <w:rPr>
          <w:rFonts w:asciiTheme="majorBidi" w:hAnsiTheme="majorBidi" w:cstheme="majorBidi"/>
          <w:sz w:val="22"/>
          <w:szCs w:val="22"/>
          <w:rtl/>
        </w:rPr>
        <w:t xml:space="preserve"> ـ </w:t>
      </w:r>
      <w:r w:rsidRPr="006571AC">
        <w:rPr>
          <w:rFonts w:asciiTheme="majorBidi" w:hAnsiTheme="majorBidi" w:cstheme="majorBidi"/>
          <w:sz w:val="22"/>
          <w:szCs w:val="22"/>
        </w:rPr>
        <w:t>type ou le type idéal</w:t>
      </w:r>
      <w:r w:rsidRPr="006571AC">
        <w:rPr>
          <w:sz w:val="27"/>
          <w:rtl/>
        </w:rPr>
        <w:t>)</w:t>
      </w:r>
      <w:r w:rsidR="00965D14" w:rsidRPr="006571AC">
        <w:rPr>
          <w:rFonts w:hint="cs"/>
          <w:sz w:val="27"/>
          <w:rtl/>
        </w:rPr>
        <w:t>،</w:t>
      </w:r>
      <w:r w:rsidRPr="006571AC">
        <w:rPr>
          <w:sz w:val="27"/>
          <w:rtl/>
        </w:rPr>
        <w:t xml:space="preserve"> التي تختصر أغلب التفكير الفيبري حول موضوعنا، والتي نعتبر أن الصدر في </w:t>
      </w:r>
      <w:r w:rsidR="00965D14" w:rsidRPr="006571AC">
        <w:rPr>
          <w:rFonts w:hint="cs"/>
          <w:sz w:val="27"/>
          <w:rtl/>
        </w:rPr>
        <w:t>(</w:t>
      </w:r>
      <w:r w:rsidRPr="006571AC">
        <w:rPr>
          <w:sz w:val="27"/>
          <w:rtl/>
        </w:rPr>
        <w:t>اقتصادنا</w:t>
      </w:r>
      <w:r w:rsidR="00965D14" w:rsidRPr="006571AC">
        <w:rPr>
          <w:rFonts w:hint="cs"/>
          <w:sz w:val="27"/>
          <w:rtl/>
        </w:rPr>
        <w:t>)</w:t>
      </w:r>
      <w:r w:rsidRPr="006571AC">
        <w:rPr>
          <w:sz w:val="27"/>
          <w:rtl/>
        </w:rPr>
        <w:t xml:space="preserve"> قد أصابها</w:t>
      </w:r>
      <w:r w:rsidR="00965D14" w:rsidRPr="006571AC">
        <w:rPr>
          <w:rFonts w:hint="cs"/>
          <w:sz w:val="27"/>
          <w:rtl/>
        </w:rPr>
        <w:t>،</w:t>
      </w:r>
      <w:r w:rsidRPr="006571AC">
        <w:rPr>
          <w:sz w:val="27"/>
          <w:rtl/>
        </w:rPr>
        <w:t xml:space="preserve"> دون ذكر</w:t>
      </w:r>
      <w:r w:rsidR="00965D14" w:rsidRPr="006571AC">
        <w:rPr>
          <w:rFonts w:hint="cs"/>
          <w:sz w:val="27"/>
          <w:rtl/>
        </w:rPr>
        <w:t>ٍ</w:t>
      </w:r>
      <w:r w:rsidRPr="006571AC">
        <w:rPr>
          <w:sz w:val="27"/>
          <w:rtl/>
        </w:rPr>
        <w:t xml:space="preserve"> مباشر</w:t>
      </w:r>
      <w:r w:rsidR="0055624A" w:rsidRPr="006571AC">
        <w:rPr>
          <w:rFonts w:hint="cs"/>
          <w:sz w:val="27"/>
          <w:rtl/>
        </w:rPr>
        <w:t>ٍ</w:t>
      </w:r>
      <w:r w:rsidRPr="006571AC">
        <w:rPr>
          <w:sz w:val="27"/>
          <w:rtl/>
        </w:rPr>
        <w:t xml:space="preserve"> لها</w:t>
      </w:r>
      <w:r w:rsidR="007E254D" w:rsidRPr="006571AC">
        <w:rPr>
          <w:rFonts w:hint="cs"/>
          <w:sz w:val="27"/>
          <w:vertAlign w:val="superscript"/>
          <w:rtl/>
        </w:rPr>
        <w:t>(</w:t>
      </w:r>
      <w:r w:rsidR="007E254D" w:rsidRPr="006571AC">
        <w:rPr>
          <w:rStyle w:val="ac"/>
          <w:sz w:val="27"/>
          <w:rtl/>
        </w:rPr>
        <w:endnoteReference w:id="927"/>
      </w:r>
      <w:r w:rsidR="007E254D" w:rsidRPr="006571AC">
        <w:rPr>
          <w:rFonts w:hint="cs"/>
          <w:sz w:val="27"/>
          <w:vertAlign w:val="superscript"/>
          <w:rtl/>
        </w:rPr>
        <w:t>)</w:t>
      </w:r>
      <w:r w:rsidR="000F4A13" w:rsidRPr="006571AC">
        <w:rPr>
          <w:sz w:val="27"/>
          <w:rtl/>
        </w:rPr>
        <w:t>.</w:t>
      </w:r>
      <w:r w:rsidRPr="006571AC">
        <w:rPr>
          <w:sz w:val="27"/>
          <w:rtl/>
        </w:rPr>
        <w:t xml:space="preserve"> </w:t>
      </w:r>
    </w:p>
    <w:p w:rsidR="00965D14" w:rsidRPr="006571AC" w:rsidRDefault="00962F60" w:rsidP="007E009E">
      <w:pPr>
        <w:rPr>
          <w:sz w:val="27"/>
          <w:rtl/>
        </w:rPr>
      </w:pPr>
      <w:r w:rsidRPr="006571AC">
        <w:rPr>
          <w:sz w:val="27"/>
          <w:rtl/>
        </w:rPr>
        <w:lastRenderedPageBreak/>
        <w:t>وأما أهم</w:t>
      </w:r>
      <w:r w:rsidR="00965D14" w:rsidRPr="006571AC">
        <w:rPr>
          <w:rFonts w:hint="cs"/>
          <w:sz w:val="27"/>
          <w:rtl/>
        </w:rPr>
        <w:t>ِّ</w:t>
      </w:r>
      <w:r w:rsidRPr="006571AC">
        <w:rPr>
          <w:sz w:val="27"/>
          <w:rtl/>
        </w:rPr>
        <w:t>يته فهي، كما رأ</w:t>
      </w:r>
      <w:r w:rsidR="00965D14" w:rsidRPr="006571AC">
        <w:rPr>
          <w:rFonts w:hint="cs"/>
          <w:sz w:val="27"/>
          <w:rtl/>
        </w:rPr>
        <w:t>َ</w:t>
      </w:r>
      <w:r w:rsidRPr="006571AC">
        <w:rPr>
          <w:sz w:val="27"/>
          <w:rtl/>
        </w:rPr>
        <w:t>ي</w:t>
      </w:r>
      <w:r w:rsidR="00965D14" w:rsidRPr="006571AC">
        <w:rPr>
          <w:rFonts w:hint="cs"/>
          <w:sz w:val="27"/>
          <w:rtl/>
        </w:rPr>
        <w:t>ْ</w:t>
      </w:r>
      <w:r w:rsidRPr="006571AC">
        <w:rPr>
          <w:sz w:val="27"/>
          <w:rtl/>
        </w:rPr>
        <w:t>نا، أنه يتيح قيام ثورة</w:t>
      </w:r>
      <w:r w:rsidR="00965D14" w:rsidRPr="006571AC">
        <w:rPr>
          <w:rFonts w:hint="cs"/>
          <w:sz w:val="27"/>
          <w:rtl/>
        </w:rPr>
        <w:t>ٍ</w:t>
      </w:r>
      <w:r w:rsidRPr="006571AC">
        <w:rPr>
          <w:sz w:val="27"/>
          <w:rtl/>
        </w:rPr>
        <w:t xml:space="preserve"> معرفية ـ منهجية حقيقي</w:t>
      </w:r>
      <w:r w:rsidR="00965D14" w:rsidRPr="006571AC">
        <w:rPr>
          <w:rFonts w:hint="cs"/>
          <w:sz w:val="27"/>
          <w:rtl/>
        </w:rPr>
        <w:t>ّ</w:t>
      </w:r>
      <w:r w:rsidRPr="006571AC">
        <w:rPr>
          <w:sz w:val="27"/>
          <w:rtl/>
        </w:rPr>
        <w:t>ة في عالم البحث ال</w:t>
      </w:r>
      <w:r w:rsidR="00965D14" w:rsidRPr="006571AC">
        <w:rPr>
          <w:rFonts w:hint="cs"/>
          <w:sz w:val="27"/>
          <w:rtl/>
        </w:rPr>
        <w:t>إ</w:t>
      </w:r>
      <w:r w:rsidRPr="006571AC">
        <w:rPr>
          <w:sz w:val="27"/>
          <w:rtl/>
        </w:rPr>
        <w:t>سلامي، حيث يسمح من جهة</w:t>
      </w:r>
      <w:r w:rsidR="00965D14" w:rsidRPr="006571AC">
        <w:rPr>
          <w:rFonts w:hint="cs"/>
          <w:sz w:val="27"/>
          <w:rtl/>
        </w:rPr>
        <w:t>ٍ</w:t>
      </w:r>
      <w:r w:rsidRPr="006571AC">
        <w:rPr>
          <w:sz w:val="27"/>
          <w:rtl/>
        </w:rPr>
        <w:t xml:space="preserve"> بتموضع الباحث المحايد تجاه معطيات التراث ال</w:t>
      </w:r>
      <w:r w:rsidR="00965D14" w:rsidRPr="006571AC">
        <w:rPr>
          <w:rFonts w:hint="cs"/>
          <w:sz w:val="27"/>
          <w:rtl/>
        </w:rPr>
        <w:t>إ</w:t>
      </w:r>
      <w:r w:rsidRPr="006571AC">
        <w:rPr>
          <w:sz w:val="27"/>
          <w:rtl/>
        </w:rPr>
        <w:t>سلامي، ومن جهة</w:t>
      </w:r>
      <w:r w:rsidR="00965D14" w:rsidRPr="006571AC">
        <w:rPr>
          <w:rFonts w:hint="cs"/>
          <w:sz w:val="27"/>
          <w:rtl/>
        </w:rPr>
        <w:t>ٍ</w:t>
      </w:r>
      <w:r w:rsidRPr="006571AC">
        <w:rPr>
          <w:sz w:val="27"/>
          <w:rtl/>
        </w:rPr>
        <w:t xml:space="preserve"> أخرى يسمح بتأطير النقاش فيما بين الطروحات المفاهمية والنظرية ـ المذهبي</w:t>
      </w:r>
      <w:r w:rsidR="00965D14" w:rsidRPr="006571AC">
        <w:rPr>
          <w:rFonts w:hint="cs"/>
          <w:sz w:val="27"/>
          <w:rtl/>
        </w:rPr>
        <w:t>ّ</w:t>
      </w:r>
      <w:r w:rsidRPr="006571AC">
        <w:rPr>
          <w:sz w:val="27"/>
          <w:rtl/>
        </w:rPr>
        <w:t>ة ال</w:t>
      </w:r>
      <w:r w:rsidR="00965D14" w:rsidRPr="006571AC">
        <w:rPr>
          <w:rFonts w:hint="cs"/>
          <w:sz w:val="27"/>
          <w:rtl/>
        </w:rPr>
        <w:t>إ</w:t>
      </w:r>
      <w:r w:rsidRPr="006571AC">
        <w:rPr>
          <w:sz w:val="27"/>
          <w:rtl/>
        </w:rPr>
        <w:t>سلامية</w:t>
      </w:r>
      <w:r w:rsidR="00965D14" w:rsidRPr="006571AC">
        <w:rPr>
          <w:rFonts w:hint="cs"/>
          <w:sz w:val="27"/>
          <w:rtl/>
        </w:rPr>
        <w:t>؛</w:t>
      </w:r>
      <w:r w:rsidRPr="006571AC">
        <w:rPr>
          <w:sz w:val="27"/>
          <w:rtl/>
        </w:rPr>
        <w:t xml:space="preserve"> إذ تصبح هذه الأخيرة </w:t>
      </w:r>
      <w:r w:rsidRPr="006571AC">
        <w:rPr>
          <w:rFonts w:hint="eastAsia"/>
          <w:sz w:val="24"/>
          <w:szCs w:val="24"/>
          <w:rtl/>
        </w:rPr>
        <w:t>«</w:t>
      </w:r>
      <w:r w:rsidRPr="006571AC">
        <w:rPr>
          <w:sz w:val="27"/>
          <w:rtl/>
        </w:rPr>
        <w:t>نماذج ـ مثالية</w:t>
      </w:r>
      <w:r w:rsidRPr="006571AC">
        <w:rPr>
          <w:rFonts w:hint="eastAsia"/>
          <w:sz w:val="24"/>
          <w:szCs w:val="24"/>
          <w:rtl/>
        </w:rPr>
        <w:t>»</w:t>
      </w:r>
      <w:r w:rsidRPr="006571AC">
        <w:rPr>
          <w:sz w:val="27"/>
          <w:rtl/>
        </w:rPr>
        <w:t xml:space="preserve"> يتم</w:t>
      </w:r>
      <w:r w:rsidR="00965D14" w:rsidRPr="006571AC">
        <w:rPr>
          <w:rFonts w:hint="cs"/>
          <w:sz w:val="27"/>
          <w:rtl/>
        </w:rPr>
        <w:t>ّ</w:t>
      </w:r>
      <w:r w:rsidRPr="006571AC">
        <w:rPr>
          <w:sz w:val="27"/>
          <w:rtl/>
        </w:rPr>
        <w:t xml:space="preserve"> بناؤها انطلاقا</w:t>
      </w:r>
      <w:r w:rsidR="00965D14" w:rsidRPr="006571AC">
        <w:rPr>
          <w:rFonts w:hint="cs"/>
          <w:sz w:val="27"/>
          <w:rtl/>
        </w:rPr>
        <w:t>ً</w:t>
      </w:r>
      <w:r w:rsidRPr="006571AC">
        <w:rPr>
          <w:sz w:val="27"/>
          <w:rtl/>
        </w:rPr>
        <w:t xml:space="preserve"> من عملي</w:t>
      </w:r>
      <w:r w:rsidR="00965D14" w:rsidRPr="006571AC">
        <w:rPr>
          <w:rFonts w:hint="cs"/>
          <w:sz w:val="27"/>
          <w:rtl/>
        </w:rPr>
        <w:t>ّ</w:t>
      </w:r>
      <w:r w:rsidRPr="006571AC">
        <w:rPr>
          <w:sz w:val="27"/>
          <w:rtl/>
        </w:rPr>
        <w:t>ة</w:t>
      </w:r>
      <w:r w:rsidR="00965D14" w:rsidRPr="006571AC">
        <w:rPr>
          <w:rFonts w:hint="cs"/>
          <w:sz w:val="27"/>
          <w:rtl/>
        </w:rPr>
        <w:t>ٍ</w:t>
      </w:r>
      <w:r w:rsidRPr="006571AC">
        <w:rPr>
          <w:sz w:val="27"/>
          <w:rtl/>
        </w:rPr>
        <w:t xml:space="preserve"> استقرائية ـ فَه</w:t>
      </w:r>
      <w:r w:rsidR="00965D14" w:rsidRPr="006571AC">
        <w:rPr>
          <w:rFonts w:hint="cs"/>
          <w:sz w:val="27"/>
          <w:rtl/>
        </w:rPr>
        <w:t>ْ</w:t>
      </w:r>
      <w:r w:rsidRPr="006571AC">
        <w:rPr>
          <w:sz w:val="27"/>
          <w:rtl/>
        </w:rPr>
        <w:t>ميّة لمعطيات التراث ال</w:t>
      </w:r>
      <w:r w:rsidR="00965D14" w:rsidRPr="006571AC">
        <w:rPr>
          <w:rFonts w:hint="cs"/>
          <w:sz w:val="27"/>
          <w:rtl/>
        </w:rPr>
        <w:t>إ</w:t>
      </w:r>
      <w:r w:rsidRPr="006571AC">
        <w:rPr>
          <w:sz w:val="27"/>
          <w:rtl/>
        </w:rPr>
        <w:t>سلامي</w:t>
      </w:r>
      <w:r w:rsidR="00965D14" w:rsidRPr="006571AC">
        <w:rPr>
          <w:rFonts w:hint="cs"/>
          <w:sz w:val="27"/>
          <w:rtl/>
        </w:rPr>
        <w:t>.</w:t>
      </w:r>
    </w:p>
    <w:p w:rsidR="00965D14" w:rsidRPr="006571AC" w:rsidRDefault="00962F60" w:rsidP="007E009E">
      <w:pPr>
        <w:rPr>
          <w:sz w:val="27"/>
          <w:rtl/>
        </w:rPr>
      </w:pPr>
      <w:r w:rsidRPr="006571AC">
        <w:rPr>
          <w:sz w:val="27"/>
          <w:rtl/>
        </w:rPr>
        <w:t>كما يمكن مقابلتها فيما بينها، ويمكن مقابلتها مع الواقع، دون الوقوع في الاتهامات</w:t>
      </w:r>
      <w:r w:rsidR="00965D14" w:rsidRPr="006571AC">
        <w:rPr>
          <w:sz w:val="27"/>
          <w:rtl/>
        </w:rPr>
        <w:t xml:space="preserve"> الأيديولوجية والأحكام الق</w:t>
      </w:r>
      <w:r w:rsidR="008D319D" w:rsidRPr="006571AC">
        <w:rPr>
          <w:rFonts w:hint="cs"/>
          <w:sz w:val="27"/>
          <w:rtl/>
        </w:rPr>
        <w:t>ِ</w:t>
      </w:r>
      <w:r w:rsidR="00965D14" w:rsidRPr="006571AC">
        <w:rPr>
          <w:sz w:val="27"/>
          <w:rtl/>
        </w:rPr>
        <w:t>ي</w:t>
      </w:r>
      <w:r w:rsidR="008D319D" w:rsidRPr="006571AC">
        <w:rPr>
          <w:rFonts w:hint="cs"/>
          <w:sz w:val="27"/>
          <w:rtl/>
        </w:rPr>
        <w:t>َ</w:t>
      </w:r>
      <w:r w:rsidR="00965D14" w:rsidRPr="006571AC">
        <w:rPr>
          <w:sz w:val="27"/>
          <w:rtl/>
        </w:rPr>
        <w:t>مية.</w:t>
      </w:r>
    </w:p>
    <w:p w:rsidR="00965D14" w:rsidRPr="006571AC" w:rsidRDefault="00962F60" w:rsidP="007E009E">
      <w:pPr>
        <w:rPr>
          <w:sz w:val="27"/>
          <w:rtl/>
        </w:rPr>
      </w:pPr>
      <w:r w:rsidRPr="006571AC">
        <w:rPr>
          <w:sz w:val="27"/>
          <w:rtl/>
        </w:rPr>
        <w:t>وطبعا</w:t>
      </w:r>
      <w:r w:rsidR="00965D14" w:rsidRPr="006571AC">
        <w:rPr>
          <w:rFonts w:hint="cs"/>
          <w:sz w:val="27"/>
          <w:rtl/>
        </w:rPr>
        <w:t>ً</w:t>
      </w:r>
      <w:r w:rsidRPr="006571AC">
        <w:rPr>
          <w:sz w:val="27"/>
          <w:rtl/>
        </w:rPr>
        <w:t>، يُترك القرار النهائي في تبنّي هذا النموذج ـ المثالي أو ذاك لولي</w:t>
      </w:r>
      <w:r w:rsidR="00965D14" w:rsidRPr="006571AC">
        <w:rPr>
          <w:rFonts w:hint="cs"/>
          <w:sz w:val="27"/>
          <w:rtl/>
        </w:rPr>
        <w:t>ّ</w:t>
      </w:r>
      <w:r w:rsidRPr="006571AC">
        <w:rPr>
          <w:sz w:val="27"/>
          <w:rtl/>
        </w:rPr>
        <w:t xml:space="preserve"> الأمر، أو لم</w:t>
      </w:r>
      <w:r w:rsidR="00965D14" w:rsidRPr="006571AC">
        <w:rPr>
          <w:rFonts w:hint="cs"/>
          <w:sz w:val="27"/>
          <w:rtl/>
        </w:rPr>
        <w:t>َ</w:t>
      </w:r>
      <w:r w:rsidRPr="006571AC">
        <w:rPr>
          <w:sz w:val="27"/>
          <w:rtl/>
        </w:rPr>
        <w:t>ن</w:t>
      </w:r>
      <w:r w:rsidR="00965D14" w:rsidRPr="006571AC">
        <w:rPr>
          <w:rFonts w:hint="cs"/>
          <w:sz w:val="27"/>
          <w:rtl/>
        </w:rPr>
        <w:t>ْ</w:t>
      </w:r>
      <w:r w:rsidRPr="006571AC">
        <w:rPr>
          <w:sz w:val="27"/>
          <w:rtl/>
        </w:rPr>
        <w:t xml:space="preserve"> سم</w:t>
      </w:r>
      <w:r w:rsidR="00965D14" w:rsidRPr="006571AC">
        <w:rPr>
          <w:rFonts w:hint="cs"/>
          <w:sz w:val="27"/>
          <w:rtl/>
        </w:rPr>
        <w:t>َّ</w:t>
      </w:r>
      <w:r w:rsidRPr="006571AC">
        <w:rPr>
          <w:sz w:val="27"/>
          <w:rtl/>
        </w:rPr>
        <w:t>يناه بالإمام ـ المجتهد، في كل</w:t>
      </w:r>
      <w:r w:rsidR="00965D14" w:rsidRPr="006571AC">
        <w:rPr>
          <w:rFonts w:hint="cs"/>
          <w:sz w:val="27"/>
          <w:rtl/>
        </w:rPr>
        <w:t>ّ</w:t>
      </w:r>
      <w:r w:rsidRPr="006571AC">
        <w:rPr>
          <w:sz w:val="27"/>
          <w:rtl/>
        </w:rPr>
        <w:t xml:space="preserve"> زمان</w:t>
      </w:r>
      <w:r w:rsidR="00965D14" w:rsidRPr="006571AC">
        <w:rPr>
          <w:rFonts w:hint="cs"/>
          <w:sz w:val="27"/>
          <w:rtl/>
        </w:rPr>
        <w:t>ٍ</w:t>
      </w:r>
      <w:r w:rsidR="00965D14" w:rsidRPr="006571AC">
        <w:rPr>
          <w:sz w:val="27"/>
          <w:rtl/>
        </w:rPr>
        <w:t xml:space="preserve"> ومكان.</w:t>
      </w:r>
    </w:p>
    <w:p w:rsidR="00965D14" w:rsidRPr="006571AC" w:rsidRDefault="00965D14" w:rsidP="007E009E">
      <w:pPr>
        <w:rPr>
          <w:sz w:val="27"/>
          <w:rtl/>
        </w:rPr>
      </w:pPr>
      <w:r w:rsidRPr="006571AC">
        <w:rPr>
          <w:sz w:val="27"/>
          <w:rtl/>
        </w:rPr>
        <w:t>فيصبح بين أيدينا:</w:t>
      </w:r>
    </w:p>
    <w:p w:rsidR="00273F81" w:rsidRPr="006571AC" w:rsidRDefault="00273F81" w:rsidP="007E009E">
      <w:pPr>
        <w:rPr>
          <w:sz w:val="27"/>
          <w:rtl/>
        </w:rPr>
      </w:pPr>
      <w:r w:rsidRPr="006571AC">
        <w:rPr>
          <w:rFonts w:hint="cs"/>
          <w:sz w:val="27"/>
          <w:rtl/>
        </w:rPr>
        <w:t>1ـ</w:t>
      </w:r>
      <w:r w:rsidR="00962F60" w:rsidRPr="006571AC">
        <w:rPr>
          <w:sz w:val="27"/>
          <w:rtl/>
        </w:rPr>
        <w:t xml:space="preserve"> </w:t>
      </w:r>
      <w:r w:rsidR="00962F60" w:rsidRPr="006571AC">
        <w:rPr>
          <w:rFonts w:hint="cs"/>
          <w:sz w:val="27"/>
          <w:rtl/>
        </w:rPr>
        <w:t>من</w:t>
      </w:r>
      <w:r w:rsidR="00962F60" w:rsidRPr="006571AC">
        <w:rPr>
          <w:sz w:val="27"/>
          <w:rtl/>
        </w:rPr>
        <w:t xml:space="preserve"> </w:t>
      </w:r>
      <w:r w:rsidR="00962F60" w:rsidRPr="006571AC">
        <w:rPr>
          <w:rFonts w:hint="cs"/>
          <w:sz w:val="27"/>
          <w:rtl/>
        </w:rPr>
        <w:t>جهة</w:t>
      </w:r>
      <w:r w:rsidRPr="006571AC">
        <w:rPr>
          <w:rFonts w:hint="cs"/>
          <w:sz w:val="27"/>
          <w:rtl/>
        </w:rPr>
        <w:t>ٍ،</w:t>
      </w:r>
      <w:r w:rsidR="00962F60" w:rsidRPr="006571AC">
        <w:rPr>
          <w:rFonts w:hint="cs"/>
          <w:sz w:val="27"/>
          <w:rtl/>
        </w:rPr>
        <w:t xml:space="preserve"> جهد</w:t>
      </w:r>
      <w:r w:rsidRPr="006571AC">
        <w:rPr>
          <w:rFonts w:hint="cs"/>
          <w:sz w:val="27"/>
          <w:rtl/>
        </w:rPr>
        <w:t>ٌ</w:t>
      </w:r>
      <w:r w:rsidR="00962F60" w:rsidRPr="006571AC">
        <w:rPr>
          <w:sz w:val="27"/>
          <w:rtl/>
        </w:rPr>
        <w:t xml:space="preserve"> </w:t>
      </w:r>
      <w:r w:rsidR="00962F60" w:rsidRPr="006571AC">
        <w:rPr>
          <w:rFonts w:hint="cs"/>
          <w:sz w:val="27"/>
          <w:rtl/>
        </w:rPr>
        <w:t>علمي</w:t>
      </w:r>
      <w:r w:rsidRPr="006571AC">
        <w:rPr>
          <w:rFonts w:hint="cs"/>
          <w:sz w:val="27"/>
          <w:rtl/>
        </w:rPr>
        <w:t>ّ</w:t>
      </w:r>
      <w:r w:rsidR="00962F60" w:rsidRPr="006571AC">
        <w:rPr>
          <w:sz w:val="27"/>
          <w:rtl/>
        </w:rPr>
        <w:t xml:space="preserve"> </w:t>
      </w:r>
      <w:r w:rsidR="00962F60" w:rsidRPr="006571AC">
        <w:rPr>
          <w:rFonts w:hint="cs"/>
          <w:sz w:val="27"/>
          <w:rtl/>
        </w:rPr>
        <w:t>محايد</w:t>
      </w:r>
      <w:r w:rsidRPr="006571AC">
        <w:rPr>
          <w:rFonts w:hint="cs"/>
          <w:sz w:val="27"/>
          <w:rtl/>
        </w:rPr>
        <w:t>،</w:t>
      </w:r>
      <w:r w:rsidR="00962F60" w:rsidRPr="006571AC">
        <w:rPr>
          <w:sz w:val="27"/>
          <w:rtl/>
        </w:rPr>
        <w:t xml:space="preserve"> </w:t>
      </w:r>
      <w:r w:rsidR="00962F60" w:rsidRPr="006571AC">
        <w:rPr>
          <w:rFonts w:hint="cs"/>
          <w:sz w:val="27"/>
          <w:rtl/>
        </w:rPr>
        <w:t>يبني</w:t>
      </w:r>
      <w:r w:rsidR="00962F60" w:rsidRPr="006571AC">
        <w:rPr>
          <w:sz w:val="27"/>
          <w:rtl/>
        </w:rPr>
        <w:t xml:space="preserve"> </w:t>
      </w:r>
      <w:r w:rsidR="00962F60" w:rsidRPr="006571AC">
        <w:rPr>
          <w:rFonts w:hint="cs"/>
          <w:sz w:val="27"/>
          <w:rtl/>
        </w:rPr>
        <w:t>المفاهيم</w:t>
      </w:r>
      <w:r w:rsidR="00962F60" w:rsidRPr="006571AC">
        <w:rPr>
          <w:sz w:val="27"/>
          <w:rtl/>
        </w:rPr>
        <w:t xml:space="preserve"> </w:t>
      </w:r>
      <w:r w:rsidR="00962F60" w:rsidRPr="006571AC">
        <w:rPr>
          <w:rFonts w:hint="cs"/>
          <w:sz w:val="27"/>
          <w:rtl/>
        </w:rPr>
        <w:t>ويقارنها</w:t>
      </w:r>
      <w:r w:rsidR="00962F60" w:rsidRPr="006571AC">
        <w:rPr>
          <w:sz w:val="27"/>
          <w:rtl/>
        </w:rPr>
        <w:t xml:space="preserve"> </w:t>
      </w:r>
      <w:r w:rsidR="00962F60" w:rsidRPr="006571AC">
        <w:rPr>
          <w:rFonts w:hint="cs"/>
          <w:sz w:val="27"/>
          <w:rtl/>
        </w:rPr>
        <w:t>فيما</w:t>
      </w:r>
      <w:r w:rsidR="00962F60" w:rsidRPr="006571AC">
        <w:rPr>
          <w:sz w:val="27"/>
          <w:rtl/>
        </w:rPr>
        <w:t xml:space="preserve"> </w:t>
      </w:r>
      <w:r w:rsidR="00962F60" w:rsidRPr="006571AC">
        <w:rPr>
          <w:rFonts w:hint="cs"/>
          <w:sz w:val="27"/>
          <w:rtl/>
        </w:rPr>
        <w:t>بينها، وبينها</w:t>
      </w:r>
      <w:r w:rsidR="00962F60" w:rsidRPr="006571AC">
        <w:rPr>
          <w:sz w:val="27"/>
          <w:rtl/>
        </w:rPr>
        <w:t xml:space="preserve"> </w:t>
      </w:r>
      <w:r w:rsidR="00962F60" w:rsidRPr="006571AC">
        <w:rPr>
          <w:rFonts w:hint="cs"/>
          <w:sz w:val="27"/>
          <w:rtl/>
        </w:rPr>
        <w:t>وبين</w:t>
      </w:r>
      <w:r w:rsidR="00962F60" w:rsidRPr="006571AC">
        <w:rPr>
          <w:sz w:val="27"/>
          <w:rtl/>
        </w:rPr>
        <w:t xml:space="preserve"> </w:t>
      </w:r>
      <w:r w:rsidR="00962F60" w:rsidRPr="006571AC">
        <w:rPr>
          <w:rFonts w:hint="cs"/>
          <w:sz w:val="27"/>
          <w:rtl/>
        </w:rPr>
        <w:t>الواقع، دون</w:t>
      </w:r>
      <w:r w:rsidR="00962F60" w:rsidRPr="006571AC">
        <w:rPr>
          <w:sz w:val="27"/>
          <w:rtl/>
        </w:rPr>
        <w:t xml:space="preserve"> </w:t>
      </w:r>
      <w:r w:rsidR="00962F60" w:rsidRPr="006571AC">
        <w:rPr>
          <w:rFonts w:hint="cs"/>
          <w:sz w:val="27"/>
          <w:rtl/>
        </w:rPr>
        <w:t>حكم</w:t>
      </w:r>
      <w:r w:rsidRPr="006571AC">
        <w:rPr>
          <w:rFonts w:hint="cs"/>
          <w:sz w:val="27"/>
          <w:rtl/>
        </w:rPr>
        <w:t>ٍ</w:t>
      </w:r>
      <w:r w:rsidR="00962F60" w:rsidRPr="006571AC">
        <w:rPr>
          <w:sz w:val="27"/>
          <w:rtl/>
        </w:rPr>
        <w:t xml:space="preserve"> </w:t>
      </w:r>
      <w:r w:rsidR="008D319D" w:rsidRPr="006571AC">
        <w:rPr>
          <w:rFonts w:hint="cs"/>
          <w:sz w:val="27"/>
          <w:rtl/>
        </w:rPr>
        <w:t>قِ</w:t>
      </w:r>
      <w:r w:rsidRPr="006571AC">
        <w:rPr>
          <w:rFonts w:hint="cs"/>
          <w:sz w:val="27"/>
          <w:rtl/>
        </w:rPr>
        <w:t>يَمي.</w:t>
      </w:r>
    </w:p>
    <w:p w:rsidR="00962F60" w:rsidRPr="006571AC" w:rsidRDefault="00273F81" w:rsidP="007E009E">
      <w:pPr>
        <w:rPr>
          <w:sz w:val="27"/>
        </w:rPr>
      </w:pPr>
      <w:r w:rsidRPr="006571AC">
        <w:rPr>
          <w:rFonts w:hint="cs"/>
          <w:sz w:val="27"/>
          <w:rtl/>
        </w:rPr>
        <w:t>2ـ</w:t>
      </w:r>
      <w:r w:rsidR="00962F60" w:rsidRPr="006571AC">
        <w:rPr>
          <w:sz w:val="27"/>
          <w:rtl/>
        </w:rPr>
        <w:t xml:space="preserve"> </w:t>
      </w:r>
      <w:r w:rsidR="00962F60" w:rsidRPr="006571AC">
        <w:rPr>
          <w:rFonts w:hint="cs"/>
          <w:sz w:val="27"/>
          <w:rtl/>
        </w:rPr>
        <w:t>ومن</w:t>
      </w:r>
      <w:r w:rsidR="00962F60" w:rsidRPr="006571AC">
        <w:rPr>
          <w:sz w:val="27"/>
          <w:rtl/>
        </w:rPr>
        <w:t xml:space="preserve"> </w:t>
      </w:r>
      <w:r w:rsidR="00962F60" w:rsidRPr="006571AC">
        <w:rPr>
          <w:rFonts w:hint="cs"/>
          <w:sz w:val="27"/>
          <w:rtl/>
        </w:rPr>
        <w:t>جهة</w:t>
      </w:r>
      <w:r w:rsidRPr="006571AC">
        <w:rPr>
          <w:rFonts w:hint="cs"/>
          <w:sz w:val="27"/>
          <w:rtl/>
        </w:rPr>
        <w:t>ٍ</w:t>
      </w:r>
      <w:r w:rsidR="00962F60" w:rsidRPr="006571AC">
        <w:rPr>
          <w:sz w:val="27"/>
          <w:rtl/>
        </w:rPr>
        <w:t xml:space="preserve"> </w:t>
      </w:r>
      <w:r w:rsidR="00962F60" w:rsidRPr="006571AC">
        <w:rPr>
          <w:rFonts w:hint="cs"/>
          <w:sz w:val="27"/>
          <w:rtl/>
        </w:rPr>
        <w:t>أخرى، إمام</w:t>
      </w:r>
      <w:r w:rsidRPr="006571AC">
        <w:rPr>
          <w:rFonts w:hint="cs"/>
          <w:sz w:val="27"/>
          <w:rtl/>
        </w:rPr>
        <w:t>ٌ</w:t>
      </w:r>
      <w:r w:rsidR="00962F60" w:rsidRPr="006571AC">
        <w:rPr>
          <w:sz w:val="27"/>
          <w:rtl/>
        </w:rPr>
        <w:t xml:space="preserve"> ـ </w:t>
      </w:r>
      <w:r w:rsidR="00962F60" w:rsidRPr="006571AC">
        <w:rPr>
          <w:rFonts w:hint="cs"/>
          <w:sz w:val="27"/>
          <w:rtl/>
        </w:rPr>
        <w:t>مجتهد</w:t>
      </w:r>
      <w:r w:rsidR="00962F60" w:rsidRPr="006571AC">
        <w:rPr>
          <w:sz w:val="27"/>
          <w:rtl/>
        </w:rPr>
        <w:t xml:space="preserve"> </w:t>
      </w:r>
      <w:r w:rsidR="00962F60" w:rsidRPr="006571AC">
        <w:rPr>
          <w:rFonts w:hint="cs"/>
          <w:sz w:val="27"/>
          <w:rtl/>
        </w:rPr>
        <w:t>هو</w:t>
      </w:r>
      <w:r w:rsidR="00962F60" w:rsidRPr="006571AC">
        <w:rPr>
          <w:sz w:val="27"/>
          <w:rtl/>
        </w:rPr>
        <w:t xml:space="preserve"> </w:t>
      </w:r>
      <w:r w:rsidR="00962F60" w:rsidRPr="006571AC">
        <w:rPr>
          <w:rFonts w:hint="cs"/>
          <w:sz w:val="27"/>
          <w:rtl/>
        </w:rPr>
        <w:t>يتولّ</w:t>
      </w:r>
      <w:r w:rsidRPr="006571AC">
        <w:rPr>
          <w:rFonts w:hint="cs"/>
          <w:sz w:val="27"/>
          <w:rtl/>
        </w:rPr>
        <w:t>َ</w:t>
      </w:r>
      <w:r w:rsidR="00962F60" w:rsidRPr="006571AC">
        <w:rPr>
          <w:rFonts w:hint="cs"/>
          <w:sz w:val="27"/>
          <w:rtl/>
        </w:rPr>
        <w:t>ى</w:t>
      </w:r>
      <w:r w:rsidR="00962F60" w:rsidRPr="006571AC">
        <w:rPr>
          <w:sz w:val="27"/>
          <w:rtl/>
        </w:rPr>
        <w:t xml:space="preserve"> </w:t>
      </w:r>
      <w:r w:rsidR="00962F60" w:rsidRPr="006571AC">
        <w:rPr>
          <w:rFonts w:hint="cs"/>
          <w:sz w:val="27"/>
          <w:rtl/>
        </w:rPr>
        <w:t>مسألة</w:t>
      </w:r>
      <w:r w:rsidR="00962F60" w:rsidRPr="006571AC">
        <w:rPr>
          <w:sz w:val="27"/>
          <w:rtl/>
        </w:rPr>
        <w:t xml:space="preserve"> </w:t>
      </w:r>
      <w:r w:rsidR="00962F60" w:rsidRPr="006571AC">
        <w:rPr>
          <w:rFonts w:hint="cs"/>
          <w:sz w:val="27"/>
          <w:rtl/>
        </w:rPr>
        <w:t>الحُكم</w:t>
      </w:r>
      <w:r w:rsidR="00962F60" w:rsidRPr="006571AC">
        <w:rPr>
          <w:sz w:val="27"/>
          <w:rtl/>
        </w:rPr>
        <w:t xml:space="preserve"> الق</w:t>
      </w:r>
      <w:r w:rsidRPr="006571AC">
        <w:rPr>
          <w:rFonts w:hint="cs"/>
          <w:sz w:val="27"/>
          <w:rtl/>
        </w:rPr>
        <w:t>ِ</w:t>
      </w:r>
      <w:r w:rsidR="00962F60" w:rsidRPr="006571AC">
        <w:rPr>
          <w:sz w:val="27"/>
          <w:rtl/>
        </w:rPr>
        <w:t>يَمي عملي</w:t>
      </w:r>
      <w:r w:rsidRPr="006571AC">
        <w:rPr>
          <w:rFonts w:hint="cs"/>
          <w:sz w:val="27"/>
          <w:rtl/>
        </w:rPr>
        <w:t>ّ</w:t>
      </w:r>
      <w:r w:rsidR="00962F60" w:rsidRPr="006571AC">
        <w:rPr>
          <w:sz w:val="27"/>
          <w:rtl/>
        </w:rPr>
        <w:t>ا</w:t>
      </w:r>
      <w:r w:rsidRPr="006571AC">
        <w:rPr>
          <w:rFonts w:hint="cs"/>
          <w:sz w:val="27"/>
          <w:rtl/>
        </w:rPr>
        <w:t>ً</w:t>
      </w:r>
      <w:r w:rsidR="00962F60" w:rsidRPr="006571AC">
        <w:rPr>
          <w:sz w:val="27"/>
          <w:rtl/>
        </w:rPr>
        <w:t>، والترجيح النهائي بين النماذج ـ المثالية المطروحة، مستعينا</w:t>
      </w:r>
      <w:r w:rsidRPr="006571AC">
        <w:rPr>
          <w:rFonts w:hint="cs"/>
          <w:sz w:val="27"/>
          <w:rtl/>
        </w:rPr>
        <w:t>ً</w:t>
      </w:r>
      <w:r w:rsidR="00962F60" w:rsidRPr="006571AC">
        <w:rPr>
          <w:sz w:val="27"/>
          <w:rtl/>
        </w:rPr>
        <w:t xml:space="preserve"> بالجهد العلمي ذاك، </w:t>
      </w:r>
      <w:r w:rsidRPr="006571AC">
        <w:rPr>
          <w:rFonts w:hint="cs"/>
          <w:sz w:val="27"/>
          <w:rtl/>
        </w:rPr>
        <w:t>و</w:t>
      </w:r>
      <w:r w:rsidR="00731867" w:rsidRPr="006571AC">
        <w:rPr>
          <w:sz w:val="27"/>
          <w:rtl/>
        </w:rPr>
        <w:t>لا سيَّما</w:t>
      </w:r>
      <w:r w:rsidR="00962F60" w:rsidRPr="006571AC">
        <w:rPr>
          <w:sz w:val="27"/>
          <w:rtl/>
        </w:rPr>
        <w:t xml:space="preserve"> في ضوء نظرية المصلحة ال</w:t>
      </w:r>
      <w:r w:rsidRPr="006571AC">
        <w:rPr>
          <w:rFonts w:hint="cs"/>
          <w:sz w:val="27"/>
          <w:rtl/>
        </w:rPr>
        <w:t>إ</w:t>
      </w:r>
      <w:r w:rsidR="00962F60" w:rsidRPr="006571AC">
        <w:rPr>
          <w:sz w:val="27"/>
          <w:rtl/>
        </w:rPr>
        <w:t>سلامية (خصوصا</w:t>
      </w:r>
      <w:r w:rsidR="00962F60" w:rsidRPr="006571AC">
        <w:rPr>
          <w:rFonts w:hint="cs"/>
          <w:sz w:val="27"/>
          <w:rtl/>
        </w:rPr>
        <w:t>ً</w:t>
      </w:r>
      <w:r w:rsidR="00962F60" w:rsidRPr="006571AC">
        <w:rPr>
          <w:sz w:val="27"/>
          <w:rtl/>
        </w:rPr>
        <w:t xml:space="preserve"> في ال</w:t>
      </w:r>
      <w:r w:rsidRPr="006571AC">
        <w:rPr>
          <w:rFonts w:hint="cs"/>
          <w:sz w:val="27"/>
          <w:rtl/>
        </w:rPr>
        <w:t>إ</w:t>
      </w:r>
      <w:r w:rsidR="00962F60" w:rsidRPr="006571AC">
        <w:rPr>
          <w:sz w:val="27"/>
          <w:rtl/>
        </w:rPr>
        <w:t>سلام السن</w:t>
      </w:r>
      <w:r w:rsidRPr="006571AC">
        <w:rPr>
          <w:rFonts w:hint="cs"/>
          <w:sz w:val="27"/>
          <w:rtl/>
        </w:rPr>
        <w:t>ّ</w:t>
      </w:r>
      <w:r w:rsidR="00962F60" w:rsidRPr="006571AC">
        <w:rPr>
          <w:sz w:val="27"/>
          <w:rtl/>
        </w:rPr>
        <w:t>ي</w:t>
      </w:r>
      <w:r w:rsidR="007E254D" w:rsidRPr="006571AC">
        <w:rPr>
          <w:rFonts w:hint="cs"/>
          <w:sz w:val="27"/>
          <w:vertAlign w:val="superscript"/>
          <w:rtl/>
        </w:rPr>
        <w:t>(</w:t>
      </w:r>
      <w:r w:rsidR="007E254D" w:rsidRPr="006571AC">
        <w:rPr>
          <w:rStyle w:val="ac"/>
          <w:sz w:val="27"/>
          <w:rtl/>
        </w:rPr>
        <w:endnoteReference w:id="928"/>
      </w:r>
      <w:r w:rsidR="007E254D" w:rsidRPr="006571AC">
        <w:rPr>
          <w:rFonts w:hint="cs"/>
          <w:sz w:val="27"/>
          <w:vertAlign w:val="superscript"/>
          <w:rtl/>
        </w:rPr>
        <w:t>)</w:t>
      </w:r>
      <w:r w:rsidR="00962F60" w:rsidRPr="006571AC">
        <w:rPr>
          <w:sz w:val="27"/>
          <w:rtl/>
        </w:rPr>
        <w:t xml:space="preserve">). </w:t>
      </w:r>
    </w:p>
    <w:p w:rsidR="00962F60" w:rsidRPr="006571AC" w:rsidRDefault="00962F60" w:rsidP="008D319D">
      <w:pPr>
        <w:rPr>
          <w:sz w:val="27"/>
        </w:rPr>
      </w:pPr>
      <w:r w:rsidRPr="006571AC">
        <w:rPr>
          <w:sz w:val="27"/>
          <w:rtl/>
        </w:rPr>
        <w:t>إنّ هذا الطرح المعرفي ـ المنهجي الذي نقدّ</w:t>
      </w:r>
      <w:r w:rsidR="00273F81" w:rsidRPr="006571AC">
        <w:rPr>
          <w:rFonts w:hint="cs"/>
          <w:sz w:val="27"/>
          <w:rtl/>
        </w:rPr>
        <w:t>ِ</w:t>
      </w:r>
      <w:r w:rsidRPr="006571AC">
        <w:rPr>
          <w:sz w:val="27"/>
          <w:rtl/>
        </w:rPr>
        <w:t>مه، انطلاقا</w:t>
      </w:r>
      <w:r w:rsidR="00273F81" w:rsidRPr="006571AC">
        <w:rPr>
          <w:rFonts w:hint="cs"/>
          <w:sz w:val="27"/>
          <w:rtl/>
        </w:rPr>
        <w:t>ً</w:t>
      </w:r>
      <w:r w:rsidRPr="006571AC">
        <w:rPr>
          <w:sz w:val="27"/>
          <w:rtl/>
        </w:rPr>
        <w:t xml:space="preserve"> من التلاقي غير الم</w:t>
      </w:r>
      <w:r w:rsidR="00273F81" w:rsidRPr="006571AC">
        <w:rPr>
          <w:rFonts w:hint="cs"/>
          <w:sz w:val="27"/>
          <w:rtl/>
        </w:rPr>
        <w:t>ُ</w:t>
      </w:r>
      <w:r w:rsidRPr="006571AC">
        <w:rPr>
          <w:sz w:val="27"/>
          <w:rtl/>
        </w:rPr>
        <w:t>ع</w:t>
      </w:r>
      <w:r w:rsidR="00273F81" w:rsidRPr="006571AC">
        <w:rPr>
          <w:rFonts w:hint="cs"/>
          <w:sz w:val="27"/>
          <w:rtl/>
        </w:rPr>
        <w:t>ْ</w:t>
      </w:r>
      <w:r w:rsidRPr="006571AC">
        <w:rPr>
          <w:sz w:val="27"/>
          <w:rtl/>
        </w:rPr>
        <w:t>ل</w:t>
      </w:r>
      <w:r w:rsidR="00273F81" w:rsidRPr="006571AC">
        <w:rPr>
          <w:rFonts w:hint="cs"/>
          <w:sz w:val="27"/>
          <w:rtl/>
        </w:rPr>
        <w:t>َ</w:t>
      </w:r>
      <w:r w:rsidRPr="006571AC">
        <w:rPr>
          <w:sz w:val="27"/>
          <w:rtl/>
        </w:rPr>
        <w:t xml:space="preserve">ن بين الفصل المنهجي في </w:t>
      </w:r>
      <w:r w:rsidR="00273F81" w:rsidRPr="006571AC">
        <w:rPr>
          <w:rFonts w:hint="cs"/>
          <w:sz w:val="27"/>
          <w:rtl/>
        </w:rPr>
        <w:t>(</w:t>
      </w:r>
      <w:r w:rsidRPr="006571AC">
        <w:rPr>
          <w:sz w:val="27"/>
          <w:rtl/>
        </w:rPr>
        <w:t>اقتصادنا</w:t>
      </w:r>
      <w:r w:rsidR="00273F81" w:rsidRPr="006571AC">
        <w:rPr>
          <w:rFonts w:hint="cs"/>
          <w:sz w:val="27"/>
          <w:rtl/>
        </w:rPr>
        <w:t>)</w:t>
      </w:r>
      <w:r w:rsidR="007E254D" w:rsidRPr="006571AC">
        <w:rPr>
          <w:rFonts w:hint="cs"/>
          <w:sz w:val="27"/>
          <w:vertAlign w:val="superscript"/>
          <w:rtl/>
        </w:rPr>
        <w:t>(</w:t>
      </w:r>
      <w:r w:rsidR="007E254D" w:rsidRPr="006571AC">
        <w:rPr>
          <w:rStyle w:val="ac"/>
          <w:sz w:val="27"/>
          <w:rtl/>
        </w:rPr>
        <w:endnoteReference w:id="929"/>
      </w:r>
      <w:r w:rsidR="007E254D" w:rsidRPr="006571AC">
        <w:rPr>
          <w:rFonts w:hint="cs"/>
          <w:sz w:val="27"/>
          <w:vertAlign w:val="superscript"/>
          <w:rtl/>
        </w:rPr>
        <w:t>)</w:t>
      </w:r>
      <w:r w:rsidR="000F4A13" w:rsidRPr="006571AC">
        <w:rPr>
          <w:rFonts w:hint="cs"/>
          <w:sz w:val="27"/>
          <w:rtl/>
        </w:rPr>
        <w:t xml:space="preserve"> </w:t>
      </w:r>
      <w:r w:rsidRPr="006571AC">
        <w:rPr>
          <w:rFonts w:hint="cs"/>
          <w:sz w:val="27"/>
          <w:rtl/>
        </w:rPr>
        <w:t>وبين</w:t>
      </w:r>
      <w:r w:rsidRPr="006571AC">
        <w:rPr>
          <w:sz w:val="27"/>
          <w:rtl/>
        </w:rPr>
        <w:t xml:space="preserve"> </w:t>
      </w:r>
      <w:r w:rsidRPr="006571AC">
        <w:rPr>
          <w:rFonts w:hint="cs"/>
          <w:sz w:val="27"/>
          <w:rtl/>
        </w:rPr>
        <w:t>جوانب</w:t>
      </w:r>
      <w:r w:rsidRPr="006571AC">
        <w:rPr>
          <w:sz w:val="27"/>
          <w:rtl/>
        </w:rPr>
        <w:t xml:space="preserve"> </w:t>
      </w:r>
      <w:r w:rsidRPr="006571AC">
        <w:rPr>
          <w:rFonts w:hint="cs"/>
          <w:sz w:val="27"/>
          <w:rtl/>
        </w:rPr>
        <w:t>أساسية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أعمال</w:t>
      </w:r>
      <w:r w:rsidRPr="006571AC">
        <w:rPr>
          <w:sz w:val="27"/>
          <w:rtl/>
        </w:rPr>
        <w:t xml:space="preserve"> </w:t>
      </w:r>
      <w:r w:rsidRPr="006571AC">
        <w:rPr>
          <w:rFonts w:hint="cs"/>
          <w:sz w:val="27"/>
          <w:rtl/>
        </w:rPr>
        <w:t>ماكس</w:t>
      </w:r>
      <w:r w:rsidRPr="006571AC">
        <w:rPr>
          <w:sz w:val="27"/>
          <w:rtl/>
        </w:rPr>
        <w:t xml:space="preserve"> </w:t>
      </w:r>
      <w:r w:rsidRPr="006571AC">
        <w:rPr>
          <w:rFonts w:hint="cs"/>
          <w:sz w:val="27"/>
          <w:rtl/>
        </w:rPr>
        <w:t>فيبر</w:t>
      </w:r>
      <w:r w:rsidRPr="006571AC">
        <w:rPr>
          <w:sz w:val="27"/>
          <w:rtl/>
        </w:rPr>
        <w:t xml:space="preserve"> (</w:t>
      </w:r>
      <w:r w:rsidRPr="006571AC">
        <w:rPr>
          <w:rFonts w:hint="cs"/>
          <w:sz w:val="27"/>
          <w:rtl/>
        </w:rPr>
        <w:t>ومترجميه</w:t>
      </w:r>
      <w:r w:rsidRPr="006571AC">
        <w:rPr>
          <w:sz w:val="27"/>
          <w:rtl/>
        </w:rPr>
        <w:t xml:space="preserve"> </w:t>
      </w:r>
      <w:r w:rsidRPr="006571AC">
        <w:rPr>
          <w:rFonts w:hint="cs"/>
          <w:sz w:val="27"/>
          <w:rtl/>
        </w:rPr>
        <w:t>و</w:t>
      </w:r>
      <w:r w:rsidR="00273F81" w:rsidRPr="006571AC">
        <w:rPr>
          <w:rFonts w:hint="cs"/>
          <w:sz w:val="27"/>
          <w:rtl/>
        </w:rPr>
        <w:t>أ</w:t>
      </w:r>
      <w:r w:rsidRPr="006571AC">
        <w:rPr>
          <w:rFonts w:hint="cs"/>
          <w:sz w:val="27"/>
          <w:rtl/>
        </w:rPr>
        <w:t>تباع</w:t>
      </w:r>
      <w:r w:rsidRPr="006571AC">
        <w:rPr>
          <w:sz w:val="27"/>
          <w:rtl/>
        </w:rPr>
        <w:t xml:space="preserve"> </w:t>
      </w:r>
      <w:r w:rsidRPr="006571AC">
        <w:rPr>
          <w:rFonts w:hint="cs"/>
          <w:sz w:val="27"/>
          <w:rtl/>
        </w:rPr>
        <w:t>مدرسته</w:t>
      </w:r>
      <w:r w:rsidR="00273F81" w:rsidRPr="006571AC">
        <w:rPr>
          <w:rFonts w:hint="cs"/>
          <w:sz w:val="27"/>
          <w:rtl/>
        </w:rPr>
        <w:t>،</w:t>
      </w:r>
      <w:r w:rsidRPr="006571AC">
        <w:rPr>
          <w:sz w:val="27"/>
          <w:rtl/>
        </w:rPr>
        <w:t xml:space="preserve"> </w:t>
      </w:r>
      <w:r w:rsidRPr="006571AC">
        <w:rPr>
          <w:rFonts w:hint="cs"/>
          <w:sz w:val="27"/>
          <w:rtl/>
        </w:rPr>
        <w:t>كجوليان</w:t>
      </w:r>
      <w:r w:rsidRPr="006571AC">
        <w:rPr>
          <w:sz w:val="27"/>
          <w:rtl/>
        </w:rPr>
        <w:t xml:space="preserve"> </w:t>
      </w:r>
      <w:r w:rsidRPr="006571AC">
        <w:rPr>
          <w:rFonts w:hint="cs"/>
          <w:sz w:val="27"/>
          <w:rtl/>
        </w:rPr>
        <w:t>فرويند</w:t>
      </w:r>
      <w:r w:rsidR="00273F81" w:rsidRPr="006571AC">
        <w:rPr>
          <w:rFonts w:hint="cs"/>
          <w:sz w:val="27"/>
          <w:rtl/>
        </w:rPr>
        <w:t>؛</w:t>
      </w:r>
      <w:r w:rsidRPr="006571AC">
        <w:rPr>
          <w:sz w:val="27"/>
          <w:rtl/>
        </w:rPr>
        <w:t xml:space="preserve"> </w:t>
      </w:r>
      <w:r w:rsidRPr="006571AC">
        <w:rPr>
          <w:rFonts w:hint="cs"/>
          <w:sz w:val="27"/>
          <w:rtl/>
        </w:rPr>
        <w:t>وريموند</w:t>
      </w:r>
      <w:r w:rsidRPr="006571AC">
        <w:rPr>
          <w:sz w:val="27"/>
          <w:rtl/>
        </w:rPr>
        <w:t xml:space="preserve"> </w:t>
      </w:r>
      <w:r w:rsidRPr="006571AC">
        <w:rPr>
          <w:rFonts w:hint="cs"/>
          <w:sz w:val="27"/>
          <w:rtl/>
        </w:rPr>
        <w:t>آرون</w:t>
      </w:r>
      <w:r w:rsidRPr="006571AC">
        <w:rPr>
          <w:sz w:val="27"/>
          <w:rtl/>
        </w:rPr>
        <w:t>)، يقد</w:t>
      </w:r>
      <w:r w:rsidR="00273F81" w:rsidRPr="006571AC">
        <w:rPr>
          <w:rFonts w:hint="cs"/>
          <w:sz w:val="27"/>
          <w:rtl/>
        </w:rPr>
        <w:t>ِّ</w:t>
      </w:r>
      <w:r w:rsidRPr="006571AC">
        <w:rPr>
          <w:sz w:val="27"/>
          <w:rtl/>
        </w:rPr>
        <w:t>م حلولا</w:t>
      </w:r>
      <w:r w:rsidR="00273F81" w:rsidRPr="006571AC">
        <w:rPr>
          <w:rFonts w:hint="cs"/>
          <w:sz w:val="27"/>
          <w:rtl/>
        </w:rPr>
        <w:t>ً</w:t>
      </w:r>
      <w:r w:rsidRPr="006571AC">
        <w:rPr>
          <w:sz w:val="27"/>
          <w:rtl/>
        </w:rPr>
        <w:t xml:space="preserve"> ثمينة لكثير</w:t>
      </w:r>
      <w:r w:rsidR="00273F81" w:rsidRPr="006571AC">
        <w:rPr>
          <w:rFonts w:hint="cs"/>
          <w:sz w:val="27"/>
          <w:rtl/>
        </w:rPr>
        <w:t>ٍ</w:t>
      </w:r>
      <w:r w:rsidRPr="006571AC">
        <w:rPr>
          <w:sz w:val="27"/>
          <w:rtl/>
        </w:rPr>
        <w:t xml:space="preserve"> من المشاكل المتعل</w:t>
      </w:r>
      <w:r w:rsidR="00273F81" w:rsidRPr="006571AC">
        <w:rPr>
          <w:rFonts w:hint="cs"/>
          <w:sz w:val="27"/>
          <w:rtl/>
        </w:rPr>
        <w:t>ِّ</w:t>
      </w:r>
      <w:r w:rsidRPr="006571AC">
        <w:rPr>
          <w:sz w:val="27"/>
          <w:rtl/>
        </w:rPr>
        <w:t>قة بالبحث ال</w:t>
      </w:r>
      <w:r w:rsidR="00273F81" w:rsidRPr="006571AC">
        <w:rPr>
          <w:rFonts w:hint="cs"/>
          <w:sz w:val="27"/>
          <w:rtl/>
        </w:rPr>
        <w:t>إ</w:t>
      </w:r>
      <w:r w:rsidRPr="006571AC">
        <w:rPr>
          <w:sz w:val="27"/>
          <w:rtl/>
        </w:rPr>
        <w:t>سلامي</w:t>
      </w:r>
      <w:r w:rsidR="00273F81" w:rsidRPr="006571AC">
        <w:rPr>
          <w:rFonts w:hint="cs"/>
          <w:sz w:val="27"/>
          <w:rtl/>
        </w:rPr>
        <w:t>،</w:t>
      </w:r>
      <w:r w:rsidRPr="006571AC">
        <w:rPr>
          <w:sz w:val="27"/>
          <w:rtl/>
        </w:rPr>
        <w:t xml:space="preserve"> </w:t>
      </w:r>
      <w:r w:rsidR="00273F81" w:rsidRPr="006571AC">
        <w:rPr>
          <w:rFonts w:hint="cs"/>
          <w:sz w:val="27"/>
          <w:rtl/>
        </w:rPr>
        <w:t>و</w:t>
      </w:r>
      <w:r w:rsidR="00731867" w:rsidRPr="006571AC">
        <w:rPr>
          <w:sz w:val="27"/>
          <w:rtl/>
        </w:rPr>
        <w:t>لا سيَّما</w:t>
      </w:r>
      <w:r w:rsidRPr="006571AC">
        <w:rPr>
          <w:sz w:val="27"/>
          <w:rtl/>
        </w:rPr>
        <w:t xml:space="preserve"> منه المذهبي</w:t>
      </w:r>
      <w:r w:rsidR="00273F81" w:rsidRPr="006571AC">
        <w:rPr>
          <w:rFonts w:hint="cs"/>
          <w:sz w:val="27"/>
          <w:rtl/>
        </w:rPr>
        <w:t>ّ</w:t>
      </w:r>
      <w:r w:rsidRPr="006571AC">
        <w:rPr>
          <w:sz w:val="27"/>
          <w:rtl/>
        </w:rPr>
        <w:t xml:space="preserve">. وهو قد يساهم </w:t>
      </w:r>
      <w:r w:rsidR="00273F81" w:rsidRPr="006571AC">
        <w:rPr>
          <w:rFonts w:hint="cs"/>
          <w:sz w:val="27"/>
          <w:rtl/>
        </w:rPr>
        <w:t>إ</w:t>
      </w:r>
      <w:r w:rsidRPr="006571AC">
        <w:rPr>
          <w:sz w:val="27"/>
          <w:rtl/>
        </w:rPr>
        <w:t>سهاما</w:t>
      </w:r>
      <w:r w:rsidR="00273F81" w:rsidRPr="006571AC">
        <w:rPr>
          <w:rFonts w:hint="cs"/>
          <w:sz w:val="27"/>
          <w:rtl/>
        </w:rPr>
        <w:t>ً</w:t>
      </w:r>
      <w:r w:rsidRPr="006571AC">
        <w:rPr>
          <w:sz w:val="27"/>
          <w:rtl/>
        </w:rPr>
        <w:t xml:space="preserve"> ملحوظا</w:t>
      </w:r>
      <w:r w:rsidR="00273F81" w:rsidRPr="006571AC">
        <w:rPr>
          <w:rFonts w:hint="cs"/>
          <w:sz w:val="27"/>
          <w:rtl/>
        </w:rPr>
        <w:t>ً</w:t>
      </w:r>
      <w:r w:rsidRPr="006571AC">
        <w:rPr>
          <w:sz w:val="27"/>
          <w:rtl/>
        </w:rPr>
        <w:t xml:space="preserve"> في تطو</w:t>
      </w:r>
      <w:r w:rsidR="00273F81" w:rsidRPr="006571AC">
        <w:rPr>
          <w:rFonts w:hint="cs"/>
          <w:sz w:val="27"/>
          <w:rtl/>
        </w:rPr>
        <w:t>ُّ</w:t>
      </w:r>
      <w:r w:rsidRPr="006571AC">
        <w:rPr>
          <w:sz w:val="27"/>
          <w:rtl/>
        </w:rPr>
        <w:t>ر الفكر ال</w:t>
      </w:r>
      <w:r w:rsidR="00273F81" w:rsidRPr="006571AC">
        <w:rPr>
          <w:rFonts w:hint="cs"/>
          <w:sz w:val="27"/>
          <w:rtl/>
        </w:rPr>
        <w:t>إ</w:t>
      </w:r>
      <w:r w:rsidRPr="006571AC">
        <w:rPr>
          <w:sz w:val="27"/>
          <w:rtl/>
        </w:rPr>
        <w:t>سلامي بشكل</w:t>
      </w:r>
      <w:r w:rsidR="00273F81" w:rsidRPr="006571AC">
        <w:rPr>
          <w:rFonts w:hint="cs"/>
          <w:sz w:val="27"/>
          <w:rtl/>
        </w:rPr>
        <w:t>ٍ</w:t>
      </w:r>
      <w:r w:rsidRPr="006571AC">
        <w:rPr>
          <w:sz w:val="27"/>
          <w:rtl/>
        </w:rPr>
        <w:t xml:space="preserve"> عام</w:t>
      </w:r>
      <w:r w:rsidR="00273F81" w:rsidRPr="006571AC">
        <w:rPr>
          <w:rFonts w:hint="cs"/>
          <w:sz w:val="27"/>
          <w:rtl/>
        </w:rPr>
        <w:t>ّ،</w:t>
      </w:r>
      <w:r w:rsidRPr="006571AC">
        <w:rPr>
          <w:sz w:val="27"/>
          <w:rtl/>
        </w:rPr>
        <w:t xml:space="preserve"> </w:t>
      </w:r>
      <w:r w:rsidR="00273F81" w:rsidRPr="006571AC">
        <w:rPr>
          <w:rFonts w:hint="cs"/>
          <w:sz w:val="27"/>
          <w:rtl/>
        </w:rPr>
        <w:t>و</w:t>
      </w:r>
      <w:r w:rsidR="00731867" w:rsidRPr="006571AC">
        <w:rPr>
          <w:sz w:val="27"/>
          <w:rtl/>
        </w:rPr>
        <w:t>لا سيَّما</w:t>
      </w:r>
      <w:r w:rsidRPr="006571AC">
        <w:rPr>
          <w:sz w:val="27"/>
          <w:rtl/>
        </w:rPr>
        <w:t xml:space="preserve"> في</w:t>
      </w:r>
      <w:r w:rsidR="00273F81" w:rsidRPr="006571AC">
        <w:rPr>
          <w:rFonts w:hint="cs"/>
          <w:sz w:val="27"/>
          <w:rtl/>
        </w:rPr>
        <w:t xml:space="preserve"> </w:t>
      </w:r>
      <w:r w:rsidRPr="006571AC">
        <w:rPr>
          <w:sz w:val="27"/>
          <w:rtl/>
        </w:rPr>
        <w:t>ما يخص</w:t>
      </w:r>
      <w:r w:rsidR="00273F81" w:rsidRPr="006571AC">
        <w:rPr>
          <w:rFonts w:hint="cs"/>
          <w:sz w:val="27"/>
          <w:rtl/>
        </w:rPr>
        <w:t>ّ</w:t>
      </w:r>
      <w:r w:rsidRPr="006571AC">
        <w:rPr>
          <w:sz w:val="27"/>
          <w:rtl/>
        </w:rPr>
        <w:t xml:space="preserve"> العلوم ال</w:t>
      </w:r>
      <w:r w:rsidR="00273F81" w:rsidRPr="006571AC">
        <w:rPr>
          <w:rFonts w:hint="cs"/>
          <w:sz w:val="27"/>
          <w:rtl/>
        </w:rPr>
        <w:t>إ</w:t>
      </w:r>
      <w:r w:rsidRPr="006571AC">
        <w:rPr>
          <w:sz w:val="27"/>
          <w:rtl/>
        </w:rPr>
        <w:t>نسانية والاجتماعية (وأمور الحياة ال</w:t>
      </w:r>
      <w:r w:rsidR="00273F81" w:rsidRPr="006571AC">
        <w:rPr>
          <w:rFonts w:hint="cs"/>
          <w:sz w:val="27"/>
          <w:rtl/>
        </w:rPr>
        <w:t>إ</w:t>
      </w:r>
      <w:r w:rsidRPr="006571AC">
        <w:rPr>
          <w:sz w:val="27"/>
          <w:rtl/>
        </w:rPr>
        <w:t>نسانية بشكل</w:t>
      </w:r>
      <w:r w:rsidR="00273F81" w:rsidRPr="006571AC">
        <w:rPr>
          <w:rFonts w:hint="cs"/>
          <w:sz w:val="27"/>
          <w:rtl/>
        </w:rPr>
        <w:t>ٍ</w:t>
      </w:r>
      <w:r w:rsidRPr="006571AC">
        <w:rPr>
          <w:sz w:val="27"/>
          <w:rtl/>
        </w:rPr>
        <w:t xml:space="preserve"> عام</w:t>
      </w:r>
      <w:r w:rsidR="00273F81" w:rsidRPr="006571AC">
        <w:rPr>
          <w:rFonts w:hint="cs"/>
          <w:sz w:val="27"/>
          <w:rtl/>
        </w:rPr>
        <w:t>ّ،</w:t>
      </w:r>
      <w:r w:rsidRPr="006571AC">
        <w:rPr>
          <w:sz w:val="27"/>
          <w:rtl/>
        </w:rPr>
        <w:t xml:space="preserve"> بل </w:t>
      </w:r>
      <w:r w:rsidR="008D319D" w:rsidRPr="006571AC">
        <w:rPr>
          <w:rFonts w:hint="cs"/>
          <w:sz w:val="27"/>
          <w:rtl/>
        </w:rPr>
        <w:t xml:space="preserve">رُبَما </w:t>
      </w:r>
      <w:r w:rsidRPr="006571AC">
        <w:rPr>
          <w:sz w:val="27"/>
          <w:rtl/>
        </w:rPr>
        <w:t>أبعد من ذلك...). فهو مثلا</w:t>
      </w:r>
      <w:r w:rsidR="00273F81" w:rsidRPr="006571AC">
        <w:rPr>
          <w:rFonts w:hint="cs"/>
          <w:sz w:val="27"/>
          <w:rtl/>
        </w:rPr>
        <w:t>ً</w:t>
      </w:r>
      <w:r w:rsidRPr="006571AC">
        <w:rPr>
          <w:sz w:val="27"/>
          <w:rtl/>
        </w:rPr>
        <w:t xml:space="preserve"> يحل</w:t>
      </w:r>
      <w:r w:rsidR="00273F81" w:rsidRPr="006571AC">
        <w:rPr>
          <w:rFonts w:hint="cs"/>
          <w:sz w:val="27"/>
          <w:rtl/>
        </w:rPr>
        <w:t>ّ</w:t>
      </w:r>
      <w:r w:rsidRPr="006571AC">
        <w:rPr>
          <w:sz w:val="27"/>
          <w:rtl/>
        </w:rPr>
        <w:t xml:space="preserve"> نهائي</w:t>
      </w:r>
      <w:r w:rsidR="00E36E2A" w:rsidRPr="006571AC">
        <w:rPr>
          <w:rFonts w:hint="cs"/>
          <w:sz w:val="27"/>
          <w:rtl/>
        </w:rPr>
        <w:t>ّ</w:t>
      </w:r>
      <w:r w:rsidRPr="006571AC">
        <w:rPr>
          <w:sz w:val="27"/>
          <w:rtl/>
        </w:rPr>
        <w:t>ا</w:t>
      </w:r>
      <w:r w:rsidR="00E36E2A" w:rsidRPr="006571AC">
        <w:rPr>
          <w:rFonts w:hint="cs"/>
          <w:sz w:val="27"/>
          <w:rtl/>
        </w:rPr>
        <w:t>ً</w:t>
      </w:r>
      <w:r w:rsidRPr="006571AC">
        <w:rPr>
          <w:sz w:val="27"/>
          <w:rtl/>
        </w:rPr>
        <w:t xml:space="preserve"> مشكلة تعاطي الباحث (خصوصا</w:t>
      </w:r>
      <w:r w:rsidR="00273F81" w:rsidRPr="006571AC">
        <w:rPr>
          <w:rFonts w:hint="cs"/>
          <w:sz w:val="27"/>
          <w:rtl/>
        </w:rPr>
        <w:t>ً</w:t>
      </w:r>
      <w:r w:rsidRPr="006571AC">
        <w:rPr>
          <w:sz w:val="27"/>
          <w:rtl/>
        </w:rPr>
        <w:t xml:space="preserve"> الحيادي ديني</w:t>
      </w:r>
      <w:r w:rsidR="00273F81" w:rsidRPr="006571AC">
        <w:rPr>
          <w:rFonts w:hint="cs"/>
          <w:sz w:val="27"/>
          <w:rtl/>
        </w:rPr>
        <w:t>ّ</w:t>
      </w:r>
      <w:r w:rsidRPr="006571AC">
        <w:rPr>
          <w:sz w:val="27"/>
          <w:rtl/>
        </w:rPr>
        <w:t>ا</w:t>
      </w:r>
      <w:r w:rsidR="00273F81" w:rsidRPr="006571AC">
        <w:rPr>
          <w:rFonts w:hint="cs"/>
          <w:sz w:val="27"/>
          <w:rtl/>
        </w:rPr>
        <w:t>ً</w:t>
      </w:r>
      <w:r w:rsidRPr="006571AC">
        <w:rPr>
          <w:sz w:val="27"/>
          <w:rtl/>
        </w:rPr>
        <w:t>) مع النصوص ذات الطابع الديني</w:t>
      </w:r>
      <w:r w:rsidR="00273F81" w:rsidRPr="006571AC">
        <w:rPr>
          <w:rFonts w:hint="cs"/>
          <w:sz w:val="27"/>
          <w:rtl/>
        </w:rPr>
        <w:t>ّ</w:t>
      </w:r>
      <w:r w:rsidR="00E36E2A" w:rsidRPr="006571AC">
        <w:rPr>
          <w:rFonts w:hint="cs"/>
          <w:sz w:val="27"/>
          <w:rtl/>
        </w:rPr>
        <w:t>؛</w:t>
      </w:r>
      <w:r w:rsidRPr="006571AC">
        <w:rPr>
          <w:sz w:val="27"/>
          <w:rtl/>
        </w:rPr>
        <w:t xml:space="preserve"> بهدف ف</w:t>
      </w:r>
      <w:r w:rsidR="00273F81" w:rsidRPr="006571AC">
        <w:rPr>
          <w:rFonts w:hint="cs"/>
          <w:sz w:val="27"/>
          <w:rtl/>
        </w:rPr>
        <w:t>َ</w:t>
      </w:r>
      <w:r w:rsidRPr="006571AC">
        <w:rPr>
          <w:sz w:val="27"/>
          <w:rtl/>
        </w:rPr>
        <w:t>ه</w:t>
      </w:r>
      <w:r w:rsidR="00273F81" w:rsidRPr="006571AC">
        <w:rPr>
          <w:rFonts w:hint="cs"/>
          <w:sz w:val="27"/>
          <w:rtl/>
        </w:rPr>
        <w:t>ْ</w:t>
      </w:r>
      <w:r w:rsidRPr="006571AC">
        <w:rPr>
          <w:sz w:val="27"/>
          <w:rtl/>
        </w:rPr>
        <w:t>مها ف</w:t>
      </w:r>
      <w:r w:rsidR="008D319D" w:rsidRPr="006571AC">
        <w:rPr>
          <w:rFonts w:hint="cs"/>
          <w:sz w:val="27"/>
          <w:rtl/>
        </w:rPr>
        <w:t>َ</w:t>
      </w:r>
      <w:r w:rsidRPr="006571AC">
        <w:rPr>
          <w:sz w:val="27"/>
          <w:rtl/>
        </w:rPr>
        <w:t>ه</w:t>
      </w:r>
      <w:r w:rsidR="008D319D" w:rsidRPr="006571AC">
        <w:rPr>
          <w:rFonts w:hint="cs"/>
          <w:sz w:val="27"/>
          <w:rtl/>
        </w:rPr>
        <w:t>ْ</w:t>
      </w:r>
      <w:r w:rsidRPr="006571AC">
        <w:rPr>
          <w:sz w:val="27"/>
          <w:rtl/>
        </w:rPr>
        <w:t>ماً علمي</w:t>
      </w:r>
      <w:r w:rsidR="00273F81" w:rsidRPr="006571AC">
        <w:rPr>
          <w:rFonts w:hint="cs"/>
          <w:sz w:val="27"/>
          <w:rtl/>
        </w:rPr>
        <w:t>ّ</w:t>
      </w:r>
      <w:r w:rsidRPr="006571AC">
        <w:rPr>
          <w:sz w:val="27"/>
          <w:rtl/>
        </w:rPr>
        <w:t>ا</w:t>
      </w:r>
      <w:r w:rsidR="00273F81" w:rsidRPr="006571AC">
        <w:rPr>
          <w:rFonts w:hint="cs"/>
          <w:sz w:val="27"/>
          <w:rtl/>
        </w:rPr>
        <w:t>ً</w:t>
      </w:r>
      <w:r w:rsidRPr="006571AC">
        <w:rPr>
          <w:sz w:val="27"/>
          <w:rtl/>
        </w:rPr>
        <w:t xml:space="preserve"> (راج</w:t>
      </w:r>
      <w:r w:rsidR="00273F81" w:rsidRPr="006571AC">
        <w:rPr>
          <w:rFonts w:hint="cs"/>
          <w:sz w:val="27"/>
          <w:rtl/>
        </w:rPr>
        <w:t>ِ</w:t>
      </w:r>
      <w:r w:rsidRPr="006571AC">
        <w:rPr>
          <w:sz w:val="27"/>
          <w:rtl/>
        </w:rPr>
        <w:t>ع</w:t>
      </w:r>
      <w:r w:rsidR="00273F81" w:rsidRPr="006571AC">
        <w:rPr>
          <w:rFonts w:hint="cs"/>
          <w:sz w:val="27"/>
          <w:rtl/>
        </w:rPr>
        <w:t>ْ</w:t>
      </w:r>
      <w:r w:rsidRPr="006571AC">
        <w:rPr>
          <w:sz w:val="27"/>
          <w:rtl/>
        </w:rPr>
        <w:t xml:space="preserve"> ما يلي عن المفاهيم ال</w:t>
      </w:r>
      <w:r w:rsidR="00273F81" w:rsidRPr="006571AC">
        <w:rPr>
          <w:rFonts w:hint="cs"/>
          <w:sz w:val="27"/>
          <w:rtl/>
        </w:rPr>
        <w:t>إ</w:t>
      </w:r>
      <w:r w:rsidRPr="006571AC">
        <w:rPr>
          <w:sz w:val="27"/>
          <w:rtl/>
        </w:rPr>
        <w:t>بستمولوجية الأساسية عند فيبر). وهو يقد</w:t>
      </w:r>
      <w:r w:rsidR="00273F81" w:rsidRPr="006571AC">
        <w:rPr>
          <w:rFonts w:hint="cs"/>
          <w:sz w:val="27"/>
          <w:rtl/>
        </w:rPr>
        <w:t>ِّ</w:t>
      </w:r>
      <w:r w:rsidRPr="006571AC">
        <w:rPr>
          <w:sz w:val="27"/>
          <w:rtl/>
        </w:rPr>
        <w:t>م، أيضا</w:t>
      </w:r>
      <w:r w:rsidR="00E36E2A" w:rsidRPr="006571AC">
        <w:rPr>
          <w:rFonts w:hint="cs"/>
          <w:sz w:val="27"/>
          <w:rtl/>
        </w:rPr>
        <w:t>ً</w:t>
      </w:r>
      <w:r w:rsidRPr="006571AC">
        <w:rPr>
          <w:sz w:val="27"/>
          <w:rtl/>
        </w:rPr>
        <w:t xml:space="preserve">، </w:t>
      </w:r>
      <w:r w:rsidR="00E36E2A" w:rsidRPr="006571AC">
        <w:rPr>
          <w:rFonts w:hint="cs"/>
          <w:sz w:val="27"/>
          <w:rtl/>
        </w:rPr>
        <w:t>إ</w:t>
      </w:r>
      <w:r w:rsidRPr="006571AC">
        <w:rPr>
          <w:sz w:val="27"/>
          <w:rtl/>
        </w:rPr>
        <w:t>طاراً منهجي</w:t>
      </w:r>
      <w:r w:rsidR="00E36E2A" w:rsidRPr="006571AC">
        <w:rPr>
          <w:rFonts w:hint="cs"/>
          <w:sz w:val="27"/>
          <w:rtl/>
        </w:rPr>
        <w:t>ّ</w:t>
      </w:r>
      <w:r w:rsidRPr="006571AC">
        <w:rPr>
          <w:sz w:val="27"/>
          <w:rtl/>
        </w:rPr>
        <w:t>ا</w:t>
      </w:r>
      <w:r w:rsidR="00E36E2A" w:rsidRPr="006571AC">
        <w:rPr>
          <w:rFonts w:hint="cs"/>
          <w:sz w:val="27"/>
          <w:rtl/>
        </w:rPr>
        <w:t>ً</w:t>
      </w:r>
      <w:r w:rsidRPr="006571AC">
        <w:rPr>
          <w:sz w:val="27"/>
          <w:rtl/>
        </w:rPr>
        <w:t xml:space="preserve"> م</w:t>
      </w:r>
      <w:r w:rsidR="008D319D" w:rsidRPr="006571AC">
        <w:rPr>
          <w:rFonts w:hint="cs"/>
          <w:sz w:val="27"/>
          <w:rtl/>
        </w:rPr>
        <w:t>ُ</w:t>
      </w:r>
      <w:r w:rsidRPr="006571AC">
        <w:rPr>
          <w:sz w:val="27"/>
          <w:rtl/>
        </w:rPr>
        <w:t>ح</w:t>
      </w:r>
      <w:r w:rsidR="008D319D" w:rsidRPr="006571AC">
        <w:rPr>
          <w:rFonts w:hint="cs"/>
          <w:sz w:val="27"/>
          <w:rtl/>
        </w:rPr>
        <w:t>ْ</w:t>
      </w:r>
      <w:r w:rsidRPr="006571AC">
        <w:rPr>
          <w:sz w:val="27"/>
          <w:rtl/>
        </w:rPr>
        <w:t>ك</w:t>
      </w:r>
      <w:r w:rsidR="008D319D" w:rsidRPr="006571AC">
        <w:rPr>
          <w:rFonts w:hint="cs"/>
          <w:sz w:val="27"/>
          <w:rtl/>
        </w:rPr>
        <w:t>َ</w:t>
      </w:r>
      <w:r w:rsidRPr="006571AC">
        <w:rPr>
          <w:sz w:val="27"/>
          <w:rtl/>
        </w:rPr>
        <w:t>ما</w:t>
      </w:r>
      <w:r w:rsidR="00E36E2A" w:rsidRPr="006571AC">
        <w:rPr>
          <w:rFonts w:hint="cs"/>
          <w:sz w:val="27"/>
          <w:rtl/>
        </w:rPr>
        <w:t>ً</w:t>
      </w:r>
      <w:r w:rsidRPr="006571AC">
        <w:rPr>
          <w:sz w:val="27"/>
          <w:rtl/>
        </w:rPr>
        <w:t xml:space="preserve"> لبناء المفاهيم، انطلاقا</w:t>
      </w:r>
      <w:r w:rsidR="00E36E2A" w:rsidRPr="006571AC">
        <w:rPr>
          <w:rFonts w:hint="cs"/>
          <w:sz w:val="27"/>
          <w:rtl/>
        </w:rPr>
        <w:t>ً</w:t>
      </w:r>
      <w:r w:rsidRPr="006571AC">
        <w:rPr>
          <w:sz w:val="27"/>
          <w:rtl/>
        </w:rPr>
        <w:t xml:space="preserve"> من فهم هذه النصوص، وهو مزيج</w:t>
      </w:r>
      <w:r w:rsidR="00E36E2A" w:rsidRPr="006571AC">
        <w:rPr>
          <w:rFonts w:hint="cs"/>
          <w:sz w:val="27"/>
          <w:rtl/>
        </w:rPr>
        <w:t>ٌ</w:t>
      </w:r>
      <w:r w:rsidRPr="006571AC">
        <w:rPr>
          <w:sz w:val="27"/>
          <w:rtl/>
        </w:rPr>
        <w:t xml:space="preserve"> من طريقة الطبقات الصدرية وطريقة النموذج ـ المثالي الفيبري. </w:t>
      </w:r>
    </w:p>
    <w:p w:rsidR="00962F60" w:rsidRPr="006571AC" w:rsidRDefault="00962F60" w:rsidP="007E009E">
      <w:pPr>
        <w:rPr>
          <w:sz w:val="27"/>
        </w:rPr>
      </w:pPr>
      <w:r w:rsidRPr="006571AC">
        <w:rPr>
          <w:sz w:val="27"/>
          <w:rtl/>
        </w:rPr>
        <w:lastRenderedPageBreak/>
        <w:t>وهو يسمح لنا، كباحثين، بأن نناقش أبنيتنا النظرية والمفاهمية حول الفكر ال</w:t>
      </w:r>
      <w:r w:rsidR="00E36E2A" w:rsidRPr="006571AC">
        <w:rPr>
          <w:rFonts w:hint="cs"/>
          <w:sz w:val="27"/>
          <w:rtl/>
        </w:rPr>
        <w:t>إ</w:t>
      </w:r>
      <w:r w:rsidRPr="006571AC">
        <w:rPr>
          <w:sz w:val="27"/>
          <w:rtl/>
        </w:rPr>
        <w:t>سلامي، في هذا الموضوع أو ذاك، دون أن نت</w:t>
      </w:r>
      <w:r w:rsidR="00E36E2A" w:rsidRPr="006571AC">
        <w:rPr>
          <w:rFonts w:hint="cs"/>
          <w:sz w:val="27"/>
          <w:rtl/>
        </w:rPr>
        <w:t>َّ</w:t>
      </w:r>
      <w:r w:rsidRPr="006571AC">
        <w:rPr>
          <w:sz w:val="27"/>
          <w:rtl/>
        </w:rPr>
        <w:t>هم بعضنا بعضا</w:t>
      </w:r>
      <w:r w:rsidR="00E36E2A" w:rsidRPr="006571AC">
        <w:rPr>
          <w:rFonts w:hint="cs"/>
          <w:sz w:val="27"/>
          <w:rtl/>
        </w:rPr>
        <w:t>ً</w:t>
      </w:r>
      <w:r w:rsidRPr="006571AC">
        <w:rPr>
          <w:sz w:val="27"/>
          <w:rtl/>
        </w:rPr>
        <w:t xml:space="preserve"> بالخروج عم</w:t>
      </w:r>
      <w:r w:rsidR="00E36E2A" w:rsidRPr="006571AC">
        <w:rPr>
          <w:rFonts w:hint="cs"/>
          <w:sz w:val="27"/>
          <w:rtl/>
        </w:rPr>
        <w:t>ّ</w:t>
      </w:r>
      <w:r w:rsidRPr="006571AC">
        <w:rPr>
          <w:sz w:val="27"/>
          <w:rtl/>
        </w:rPr>
        <w:t>ا هو مقبول</w:t>
      </w:r>
      <w:r w:rsidR="008D319D" w:rsidRPr="006571AC">
        <w:rPr>
          <w:rFonts w:hint="cs"/>
          <w:sz w:val="27"/>
          <w:rtl/>
        </w:rPr>
        <w:t>ٌ</w:t>
      </w:r>
      <w:r w:rsidRPr="006571AC">
        <w:rPr>
          <w:sz w:val="27"/>
          <w:rtl/>
        </w:rPr>
        <w:t xml:space="preserve"> ديني</w:t>
      </w:r>
      <w:r w:rsidR="00E36E2A" w:rsidRPr="006571AC">
        <w:rPr>
          <w:rFonts w:hint="cs"/>
          <w:sz w:val="27"/>
          <w:rtl/>
        </w:rPr>
        <w:t>ّ</w:t>
      </w:r>
      <w:r w:rsidRPr="006571AC">
        <w:rPr>
          <w:sz w:val="27"/>
          <w:rtl/>
        </w:rPr>
        <w:t>ا</w:t>
      </w:r>
      <w:r w:rsidR="00E36E2A" w:rsidRPr="006571AC">
        <w:rPr>
          <w:rFonts w:hint="cs"/>
          <w:sz w:val="27"/>
          <w:rtl/>
        </w:rPr>
        <w:t>ً</w:t>
      </w:r>
      <w:r w:rsidRPr="006571AC">
        <w:rPr>
          <w:sz w:val="27"/>
          <w:rtl/>
        </w:rPr>
        <w:t>، أو بالخروج عن ال</w:t>
      </w:r>
      <w:r w:rsidR="00E36E2A" w:rsidRPr="006571AC">
        <w:rPr>
          <w:rFonts w:hint="cs"/>
          <w:sz w:val="27"/>
          <w:rtl/>
        </w:rPr>
        <w:t>إ</w:t>
      </w:r>
      <w:r w:rsidRPr="006571AC">
        <w:rPr>
          <w:sz w:val="27"/>
          <w:rtl/>
        </w:rPr>
        <w:t>سلام ببس</w:t>
      </w:r>
      <w:r w:rsidR="00E36E2A" w:rsidRPr="006571AC">
        <w:rPr>
          <w:sz w:val="27"/>
          <w:rtl/>
        </w:rPr>
        <w:t>ا</w:t>
      </w:r>
      <w:r w:rsidRPr="006571AC">
        <w:rPr>
          <w:sz w:val="27"/>
          <w:rtl/>
        </w:rPr>
        <w:t>طة</w:t>
      </w:r>
      <w:r w:rsidR="00E36E2A" w:rsidRPr="006571AC">
        <w:rPr>
          <w:rFonts w:hint="cs"/>
          <w:sz w:val="27"/>
          <w:rtl/>
        </w:rPr>
        <w:t>ٍ،</w:t>
      </w:r>
      <w:r w:rsidRPr="006571AC">
        <w:rPr>
          <w:sz w:val="27"/>
          <w:rtl/>
        </w:rPr>
        <w:t xml:space="preserve"> أي يسمح لنا بأن نناقش هذه النظريات والمفاهيم دون الوقوع في الحكم الق</w:t>
      </w:r>
      <w:r w:rsidR="00E36E2A" w:rsidRPr="006571AC">
        <w:rPr>
          <w:rFonts w:hint="cs"/>
          <w:sz w:val="27"/>
          <w:rtl/>
        </w:rPr>
        <w:t>ِ</w:t>
      </w:r>
      <w:r w:rsidRPr="006571AC">
        <w:rPr>
          <w:sz w:val="27"/>
          <w:rtl/>
        </w:rPr>
        <w:t>ي</w:t>
      </w:r>
      <w:r w:rsidR="00E36E2A" w:rsidRPr="006571AC">
        <w:rPr>
          <w:rFonts w:hint="cs"/>
          <w:sz w:val="27"/>
          <w:rtl/>
        </w:rPr>
        <w:t>َ</w:t>
      </w:r>
      <w:r w:rsidRPr="006571AC">
        <w:rPr>
          <w:sz w:val="27"/>
          <w:rtl/>
        </w:rPr>
        <w:t>مي. أخيرا</w:t>
      </w:r>
      <w:r w:rsidR="00E36E2A" w:rsidRPr="006571AC">
        <w:rPr>
          <w:rFonts w:hint="cs"/>
          <w:sz w:val="27"/>
          <w:rtl/>
        </w:rPr>
        <w:t>ً،</w:t>
      </w:r>
      <w:r w:rsidRPr="006571AC">
        <w:rPr>
          <w:sz w:val="27"/>
          <w:rtl/>
        </w:rPr>
        <w:t xml:space="preserve"> وليس آخرا</w:t>
      </w:r>
      <w:r w:rsidR="00E36E2A" w:rsidRPr="006571AC">
        <w:rPr>
          <w:rFonts w:hint="cs"/>
          <w:sz w:val="27"/>
          <w:rtl/>
        </w:rPr>
        <w:t>ً،</w:t>
      </w:r>
      <w:r w:rsidRPr="006571AC">
        <w:rPr>
          <w:sz w:val="27"/>
          <w:rtl/>
        </w:rPr>
        <w:t xml:space="preserve"> هو يتيح للفكر ال</w:t>
      </w:r>
      <w:r w:rsidR="00E36E2A" w:rsidRPr="006571AC">
        <w:rPr>
          <w:rFonts w:hint="cs"/>
          <w:sz w:val="27"/>
          <w:rtl/>
        </w:rPr>
        <w:t>إ</w:t>
      </w:r>
      <w:r w:rsidRPr="006571AC">
        <w:rPr>
          <w:sz w:val="27"/>
          <w:rtl/>
        </w:rPr>
        <w:t xml:space="preserve">سلامي ولأولياء أمره بأن يستفيدوا من العلم، من خلال المقارنة الموضوعية بين النماذج ـ المثالية المطروحة، وبينها وبين الواقع. </w:t>
      </w:r>
    </w:p>
    <w:p w:rsidR="0024500D" w:rsidRPr="006571AC" w:rsidRDefault="0024500D" w:rsidP="0024500D">
      <w:pPr>
        <w:spacing w:line="420" w:lineRule="exact"/>
        <w:rPr>
          <w:rFonts w:ascii="Arabic Typesetting" w:hAnsi="Arabic Typesetting"/>
          <w:sz w:val="27"/>
          <w:rtl/>
          <w:lang w:bidi="ar-LB"/>
        </w:rPr>
      </w:pPr>
    </w:p>
    <w:p w:rsidR="00962F60" w:rsidRPr="006571AC" w:rsidRDefault="00962F60" w:rsidP="00D939B3">
      <w:pPr>
        <w:pStyle w:val="31"/>
        <w:rPr>
          <w:color w:val="auto"/>
        </w:rPr>
      </w:pPr>
      <w:bookmarkStart w:id="583" w:name="_Toc114164932"/>
      <w:r w:rsidRPr="006571AC">
        <w:rPr>
          <w:color w:val="auto"/>
          <w:rtl/>
        </w:rPr>
        <w:t>الخاتمة</w:t>
      </w:r>
      <w:bookmarkEnd w:id="583"/>
    </w:p>
    <w:p w:rsidR="009E7911" w:rsidRPr="006571AC" w:rsidRDefault="00962F60" w:rsidP="007E009E">
      <w:pPr>
        <w:rPr>
          <w:sz w:val="27"/>
          <w:rtl/>
        </w:rPr>
      </w:pPr>
      <w:r w:rsidRPr="006571AC">
        <w:rPr>
          <w:sz w:val="27"/>
          <w:rtl/>
        </w:rPr>
        <w:t>نستهل</w:t>
      </w:r>
      <w:r w:rsidR="00E36E2A" w:rsidRPr="006571AC">
        <w:rPr>
          <w:rFonts w:hint="cs"/>
          <w:sz w:val="27"/>
          <w:rtl/>
        </w:rPr>
        <w:t>ّ</w:t>
      </w:r>
      <w:r w:rsidRPr="006571AC">
        <w:rPr>
          <w:sz w:val="27"/>
          <w:rtl/>
        </w:rPr>
        <w:t xml:space="preserve"> هذه الخاتمة بالتذكير ببعض المفاهيم ال</w:t>
      </w:r>
      <w:r w:rsidR="00E36E2A" w:rsidRPr="006571AC">
        <w:rPr>
          <w:rFonts w:hint="cs"/>
          <w:sz w:val="27"/>
          <w:rtl/>
        </w:rPr>
        <w:t>إ</w:t>
      </w:r>
      <w:r w:rsidRPr="006571AC">
        <w:rPr>
          <w:sz w:val="27"/>
          <w:rtl/>
        </w:rPr>
        <w:t>بستمولوجية الأساسية عند ماكس فيبر، آملين أن يكون طرحنا واضح المعالم إلى أقصى حد</w:t>
      </w:r>
      <w:r w:rsidR="00E36E2A" w:rsidRPr="006571AC">
        <w:rPr>
          <w:rFonts w:hint="cs"/>
          <w:sz w:val="27"/>
          <w:rtl/>
        </w:rPr>
        <w:t>ٍّ،</w:t>
      </w:r>
      <w:r w:rsidRPr="006571AC">
        <w:rPr>
          <w:sz w:val="27"/>
          <w:rtl/>
        </w:rPr>
        <w:t xml:space="preserve"> ضمن حدود هذه الورقة. وهي مفاهيم متعل</w:t>
      </w:r>
      <w:r w:rsidR="00E36E2A" w:rsidRPr="006571AC">
        <w:rPr>
          <w:rFonts w:hint="cs"/>
          <w:sz w:val="27"/>
          <w:rtl/>
        </w:rPr>
        <w:t>ِّ</w:t>
      </w:r>
      <w:r w:rsidRPr="006571AC">
        <w:rPr>
          <w:sz w:val="27"/>
          <w:rtl/>
        </w:rPr>
        <w:t>قة بعالم الق</w:t>
      </w:r>
      <w:r w:rsidR="00E36E2A" w:rsidRPr="006571AC">
        <w:rPr>
          <w:rFonts w:hint="cs"/>
          <w:sz w:val="27"/>
          <w:rtl/>
        </w:rPr>
        <w:t>ِ</w:t>
      </w:r>
      <w:r w:rsidRPr="006571AC">
        <w:rPr>
          <w:sz w:val="27"/>
          <w:rtl/>
        </w:rPr>
        <w:t>ي</w:t>
      </w:r>
      <w:r w:rsidR="00E36E2A" w:rsidRPr="006571AC">
        <w:rPr>
          <w:rFonts w:hint="cs"/>
          <w:sz w:val="27"/>
          <w:rtl/>
        </w:rPr>
        <w:t>َ</w:t>
      </w:r>
      <w:r w:rsidRPr="006571AC">
        <w:rPr>
          <w:sz w:val="27"/>
          <w:rtl/>
        </w:rPr>
        <w:t>م بطبيعة الحال، مع تأطيرها لفلسفة النموذج ـ المثالي بشكل</w:t>
      </w:r>
      <w:r w:rsidR="00E36E2A" w:rsidRPr="006571AC">
        <w:rPr>
          <w:rFonts w:hint="cs"/>
          <w:sz w:val="27"/>
          <w:rtl/>
        </w:rPr>
        <w:t>ٍ</w:t>
      </w:r>
      <w:r w:rsidRPr="006571AC">
        <w:rPr>
          <w:sz w:val="27"/>
          <w:rtl/>
        </w:rPr>
        <w:t xml:space="preserve"> عام</w:t>
      </w:r>
      <w:r w:rsidR="00E36E2A" w:rsidRPr="006571AC">
        <w:rPr>
          <w:rFonts w:hint="cs"/>
          <w:sz w:val="27"/>
          <w:rtl/>
        </w:rPr>
        <w:t>ّ</w:t>
      </w:r>
      <w:r w:rsidRPr="006571AC">
        <w:rPr>
          <w:sz w:val="27"/>
          <w:rtl/>
        </w:rPr>
        <w:t>، ومع تأطيرها البديهي</w:t>
      </w:r>
      <w:r w:rsidR="00A553ED" w:rsidRPr="006571AC">
        <w:rPr>
          <w:rFonts w:hint="cs"/>
          <w:sz w:val="27"/>
          <w:rtl/>
        </w:rPr>
        <w:t>ّ</w:t>
      </w:r>
      <w:r w:rsidRPr="006571AC">
        <w:rPr>
          <w:sz w:val="27"/>
          <w:rtl/>
        </w:rPr>
        <w:t>، أيضا</w:t>
      </w:r>
      <w:r w:rsidR="00E36E2A" w:rsidRPr="006571AC">
        <w:rPr>
          <w:rFonts w:hint="cs"/>
          <w:sz w:val="27"/>
          <w:rtl/>
        </w:rPr>
        <w:t>ً</w:t>
      </w:r>
      <w:r w:rsidRPr="006571AC">
        <w:rPr>
          <w:sz w:val="27"/>
          <w:rtl/>
        </w:rPr>
        <w:t>، لما نقدّ</w:t>
      </w:r>
      <w:r w:rsidR="00E36E2A" w:rsidRPr="006571AC">
        <w:rPr>
          <w:rFonts w:hint="cs"/>
          <w:sz w:val="27"/>
          <w:rtl/>
        </w:rPr>
        <w:t>ِ</w:t>
      </w:r>
      <w:r w:rsidRPr="006571AC">
        <w:rPr>
          <w:sz w:val="27"/>
          <w:rtl/>
        </w:rPr>
        <w:t>مه من طرح</w:t>
      </w:r>
      <w:r w:rsidR="00E36E2A" w:rsidRPr="006571AC">
        <w:rPr>
          <w:rFonts w:hint="cs"/>
          <w:sz w:val="27"/>
          <w:rtl/>
        </w:rPr>
        <w:t>ٍ</w:t>
      </w:r>
      <w:r w:rsidRPr="006571AC">
        <w:rPr>
          <w:sz w:val="27"/>
          <w:rtl/>
        </w:rPr>
        <w:t xml:space="preserve">، </w:t>
      </w:r>
      <w:r w:rsidR="009E7911" w:rsidRPr="006571AC">
        <w:rPr>
          <w:sz w:val="27"/>
          <w:rtl/>
        </w:rPr>
        <w:t>في هذه الورقة.</w:t>
      </w:r>
    </w:p>
    <w:p w:rsidR="009E7911" w:rsidRPr="006571AC" w:rsidRDefault="00962F60" w:rsidP="00A553ED">
      <w:pPr>
        <w:rPr>
          <w:sz w:val="27"/>
          <w:rtl/>
        </w:rPr>
      </w:pPr>
      <w:r w:rsidRPr="006571AC">
        <w:rPr>
          <w:sz w:val="27"/>
          <w:rtl/>
        </w:rPr>
        <w:t>إن المفهومين الفيبريين، الأساسين هنا، ما هما إلا</w:t>
      </w:r>
      <w:r w:rsidR="009E7911" w:rsidRPr="006571AC">
        <w:rPr>
          <w:rFonts w:hint="cs"/>
          <w:sz w:val="27"/>
          <w:rtl/>
        </w:rPr>
        <w:t>ّ</w:t>
      </w:r>
      <w:r w:rsidRPr="006571AC">
        <w:rPr>
          <w:sz w:val="27"/>
          <w:rtl/>
        </w:rPr>
        <w:t>: الحياد الأكسيولوجي (</w:t>
      </w:r>
      <w:r w:rsidRPr="006571AC">
        <w:rPr>
          <w:rFonts w:asciiTheme="majorBidi" w:hAnsiTheme="majorBidi" w:cstheme="majorBidi"/>
          <w:sz w:val="22"/>
          <w:szCs w:val="22"/>
        </w:rPr>
        <w:t>La neutralité axiologique</w:t>
      </w:r>
      <w:r w:rsidRPr="006571AC">
        <w:rPr>
          <w:sz w:val="27"/>
          <w:rtl/>
        </w:rPr>
        <w:t>)</w:t>
      </w:r>
      <w:r w:rsidR="00A553ED" w:rsidRPr="006571AC">
        <w:rPr>
          <w:rFonts w:hint="cs"/>
          <w:sz w:val="27"/>
          <w:rtl/>
        </w:rPr>
        <w:t xml:space="preserve">؛ </w:t>
      </w:r>
      <w:r w:rsidRPr="006571AC">
        <w:rPr>
          <w:sz w:val="27"/>
          <w:rtl/>
        </w:rPr>
        <w:t>والعلاقة مع الق</w:t>
      </w:r>
      <w:r w:rsidR="009E7911" w:rsidRPr="006571AC">
        <w:rPr>
          <w:rFonts w:hint="cs"/>
          <w:sz w:val="27"/>
          <w:rtl/>
        </w:rPr>
        <w:t>ِ</w:t>
      </w:r>
      <w:r w:rsidRPr="006571AC">
        <w:rPr>
          <w:sz w:val="27"/>
          <w:rtl/>
        </w:rPr>
        <w:t>ي</w:t>
      </w:r>
      <w:r w:rsidR="009E7911" w:rsidRPr="006571AC">
        <w:rPr>
          <w:rFonts w:hint="cs"/>
          <w:sz w:val="27"/>
          <w:rtl/>
        </w:rPr>
        <w:t>َ</w:t>
      </w:r>
      <w:r w:rsidRPr="006571AC">
        <w:rPr>
          <w:sz w:val="27"/>
          <w:rtl/>
        </w:rPr>
        <w:t>م (</w:t>
      </w:r>
      <w:r w:rsidRPr="006571AC">
        <w:rPr>
          <w:rFonts w:asciiTheme="majorBidi" w:hAnsiTheme="majorBidi" w:cstheme="majorBidi"/>
          <w:sz w:val="22"/>
          <w:szCs w:val="22"/>
        </w:rPr>
        <w:t>Le rapport aux valeurs</w:t>
      </w:r>
      <w:r w:rsidRPr="006571AC">
        <w:rPr>
          <w:sz w:val="27"/>
          <w:rtl/>
        </w:rPr>
        <w:t>)</w:t>
      </w:r>
      <w:r w:rsidR="009E7911" w:rsidRPr="006571AC">
        <w:rPr>
          <w:rFonts w:hint="cs"/>
          <w:sz w:val="27"/>
          <w:rtl/>
        </w:rPr>
        <w:t>،</w:t>
      </w:r>
      <w:r w:rsidRPr="006571AC">
        <w:rPr>
          <w:sz w:val="27"/>
          <w:rtl/>
        </w:rPr>
        <w:t xml:space="preserve"> كما يمكن ترجمتهما عن ترجمتي فرويند وآرون</w:t>
      </w:r>
      <w:r w:rsidR="00A553ED" w:rsidRPr="006571AC">
        <w:rPr>
          <w:rFonts w:hint="cs"/>
          <w:sz w:val="27"/>
          <w:vertAlign w:val="superscript"/>
          <w:rtl/>
        </w:rPr>
        <w:t>(</w:t>
      </w:r>
      <w:r w:rsidR="00A553ED" w:rsidRPr="006571AC">
        <w:rPr>
          <w:rStyle w:val="ac"/>
          <w:sz w:val="27"/>
          <w:rtl/>
        </w:rPr>
        <w:endnoteReference w:id="930"/>
      </w:r>
      <w:r w:rsidR="00A553ED" w:rsidRPr="006571AC">
        <w:rPr>
          <w:rFonts w:hint="cs"/>
          <w:sz w:val="27"/>
          <w:vertAlign w:val="superscript"/>
          <w:rtl/>
        </w:rPr>
        <w:t>)</w:t>
      </w:r>
      <w:r w:rsidR="009E7911" w:rsidRPr="006571AC">
        <w:rPr>
          <w:rFonts w:hint="cs"/>
          <w:sz w:val="27"/>
          <w:rtl/>
        </w:rPr>
        <w:t>؛</w:t>
      </w:r>
      <w:r w:rsidRPr="006571AC">
        <w:rPr>
          <w:sz w:val="27"/>
          <w:rtl/>
        </w:rPr>
        <w:t xml:space="preserve"> بالإضافة إلى العالم الاجتماعي ـ السياسي الفرنسي فيليب راينو</w:t>
      </w:r>
      <w:r w:rsidR="007E254D" w:rsidRPr="006571AC">
        <w:rPr>
          <w:rFonts w:hint="cs"/>
          <w:sz w:val="27"/>
          <w:vertAlign w:val="superscript"/>
          <w:rtl/>
        </w:rPr>
        <w:t>(</w:t>
      </w:r>
      <w:r w:rsidR="007E254D" w:rsidRPr="006571AC">
        <w:rPr>
          <w:rStyle w:val="ac"/>
          <w:sz w:val="27"/>
          <w:rtl/>
        </w:rPr>
        <w:endnoteReference w:id="931"/>
      </w:r>
      <w:r w:rsidR="007E254D" w:rsidRPr="006571AC">
        <w:rPr>
          <w:rFonts w:hint="cs"/>
          <w:sz w:val="27"/>
          <w:vertAlign w:val="superscript"/>
          <w:rtl/>
        </w:rPr>
        <w:t>)</w:t>
      </w:r>
      <w:r w:rsidR="009E7911" w:rsidRPr="006571AC">
        <w:rPr>
          <w:sz w:val="27"/>
          <w:rtl/>
        </w:rPr>
        <w:t>.</w:t>
      </w:r>
    </w:p>
    <w:p w:rsidR="009E7911" w:rsidRPr="006571AC" w:rsidRDefault="00962F60" w:rsidP="007E009E">
      <w:pPr>
        <w:rPr>
          <w:sz w:val="27"/>
          <w:rtl/>
        </w:rPr>
      </w:pPr>
      <w:r w:rsidRPr="006571AC">
        <w:rPr>
          <w:sz w:val="27"/>
          <w:rtl/>
        </w:rPr>
        <w:t>يوجب المفهوم الأو</w:t>
      </w:r>
      <w:r w:rsidR="009E7911" w:rsidRPr="006571AC">
        <w:rPr>
          <w:rFonts w:hint="cs"/>
          <w:sz w:val="27"/>
          <w:rtl/>
        </w:rPr>
        <w:t>ّ</w:t>
      </w:r>
      <w:r w:rsidRPr="006571AC">
        <w:rPr>
          <w:sz w:val="27"/>
          <w:rtl/>
        </w:rPr>
        <w:t>ل على الباحث أن يبقى، في كل</w:t>
      </w:r>
      <w:r w:rsidR="009E7911" w:rsidRPr="006571AC">
        <w:rPr>
          <w:rFonts w:hint="cs"/>
          <w:sz w:val="27"/>
          <w:rtl/>
        </w:rPr>
        <w:t>ّ</w:t>
      </w:r>
      <w:r w:rsidRPr="006571AC">
        <w:rPr>
          <w:sz w:val="27"/>
          <w:rtl/>
        </w:rPr>
        <w:t xml:space="preserve"> مراحل البحث، محافظا</w:t>
      </w:r>
      <w:r w:rsidR="009E7911" w:rsidRPr="006571AC">
        <w:rPr>
          <w:rFonts w:hint="cs"/>
          <w:sz w:val="27"/>
          <w:rtl/>
        </w:rPr>
        <w:t>ً</w:t>
      </w:r>
      <w:r w:rsidRPr="006571AC">
        <w:rPr>
          <w:sz w:val="27"/>
          <w:rtl/>
        </w:rPr>
        <w:t xml:space="preserve"> على الحياد من زاوية المعتقدات وال</w:t>
      </w:r>
      <w:r w:rsidR="009E7911" w:rsidRPr="006571AC">
        <w:rPr>
          <w:rFonts w:hint="cs"/>
          <w:sz w:val="27"/>
          <w:rtl/>
        </w:rPr>
        <w:t>إ</w:t>
      </w:r>
      <w:r w:rsidRPr="006571AC">
        <w:rPr>
          <w:sz w:val="27"/>
          <w:rtl/>
        </w:rPr>
        <w:t>يمانيات والمسل</w:t>
      </w:r>
      <w:r w:rsidR="009E7911" w:rsidRPr="006571AC">
        <w:rPr>
          <w:rFonts w:hint="cs"/>
          <w:sz w:val="27"/>
          <w:rtl/>
        </w:rPr>
        <w:t>َّ</w:t>
      </w:r>
      <w:r w:rsidRPr="006571AC">
        <w:rPr>
          <w:sz w:val="27"/>
          <w:rtl/>
        </w:rPr>
        <w:t>مات المذهبية. وعليه أن يثبت ذلك في كل</w:t>
      </w:r>
      <w:r w:rsidR="009E7911" w:rsidRPr="006571AC">
        <w:rPr>
          <w:rFonts w:hint="cs"/>
          <w:sz w:val="27"/>
          <w:rtl/>
        </w:rPr>
        <w:t>ّ</w:t>
      </w:r>
      <w:r w:rsidRPr="006571AC">
        <w:rPr>
          <w:sz w:val="27"/>
          <w:rtl/>
        </w:rPr>
        <w:t xml:space="preserve"> المواضع، وأن يكون قادرا</w:t>
      </w:r>
      <w:r w:rsidR="009E7911" w:rsidRPr="006571AC">
        <w:rPr>
          <w:rFonts w:hint="cs"/>
          <w:sz w:val="27"/>
          <w:rtl/>
        </w:rPr>
        <w:t>ً</w:t>
      </w:r>
      <w:r w:rsidRPr="006571AC">
        <w:rPr>
          <w:sz w:val="27"/>
          <w:rtl/>
        </w:rPr>
        <w:t xml:space="preserve"> على الدفاع عن حياديته في أي</w:t>
      </w:r>
      <w:r w:rsidR="009E7911" w:rsidRPr="006571AC">
        <w:rPr>
          <w:rFonts w:hint="cs"/>
          <w:sz w:val="27"/>
          <w:rtl/>
        </w:rPr>
        <w:t>ّ</w:t>
      </w:r>
      <w:r w:rsidRPr="006571AC">
        <w:rPr>
          <w:sz w:val="27"/>
          <w:rtl/>
        </w:rPr>
        <w:t xml:space="preserve"> وقت</w:t>
      </w:r>
      <w:r w:rsidR="009E7911" w:rsidRPr="006571AC">
        <w:rPr>
          <w:rFonts w:hint="cs"/>
          <w:sz w:val="27"/>
          <w:rtl/>
        </w:rPr>
        <w:t>ٍ</w:t>
      </w:r>
      <w:r w:rsidRPr="006571AC">
        <w:rPr>
          <w:sz w:val="27"/>
          <w:rtl/>
        </w:rPr>
        <w:t>.</w:t>
      </w:r>
    </w:p>
    <w:p w:rsidR="00962F60" w:rsidRPr="006571AC" w:rsidRDefault="00962F60" w:rsidP="007E009E">
      <w:pPr>
        <w:rPr>
          <w:sz w:val="27"/>
        </w:rPr>
      </w:pPr>
      <w:r w:rsidRPr="006571AC">
        <w:rPr>
          <w:sz w:val="27"/>
          <w:rtl/>
        </w:rPr>
        <w:t>في حين يذك</w:t>
      </w:r>
      <w:r w:rsidR="009E7911" w:rsidRPr="006571AC">
        <w:rPr>
          <w:rFonts w:hint="cs"/>
          <w:sz w:val="27"/>
          <w:rtl/>
        </w:rPr>
        <w:t>ِّ</w:t>
      </w:r>
      <w:r w:rsidRPr="006571AC">
        <w:rPr>
          <w:sz w:val="27"/>
          <w:rtl/>
        </w:rPr>
        <w:t xml:space="preserve">ره الثاني أنه في موقع </w:t>
      </w:r>
      <w:r w:rsidRPr="006571AC">
        <w:rPr>
          <w:rFonts w:hint="eastAsia"/>
          <w:sz w:val="24"/>
          <w:szCs w:val="24"/>
          <w:rtl/>
        </w:rPr>
        <w:t>«</w:t>
      </w:r>
      <w:r w:rsidRPr="006571AC">
        <w:rPr>
          <w:sz w:val="27"/>
          <w:rtl/>
        </w:rPr>
        <w:t>التعامل العلمي مع القِي</w:t>
      </w:r>
      <w:r w:rsidR="009E7911" w:rsidRPr="006571AC">
        <w:rPr>
          <w:rFonts w:hint="cs"/>
          <w:sz w:val="27"/>
          <w:rtl/>
        </w:rPr>
        <w:t>َ</w:t>
      </w:r>
      <w:r w:rsidRPr="006571AC">
        <w:rPr>
          <w:sz w:val="27"/>
          <w:rtl/>
        </w:rPr>
        <w:t>م</w:t>
      </w:r>
      <w:r w:rsidRPr="006571AC">
        <w:rPr>
          <w:rFonts w:hint="eastAsia"/>
          <w:sz w:val="24"/>
          <w:szCs w:val="24"/>
          <w:rtl/>
        </w:rPr>
        <w:t>»</w:t>
      </w:r>
      <w:r w:rsidRPr="006571AC">
        <w:rPr>
          <w:sz w:val="27"/>
          <w:rtl/>
        </w:rPr>
        <w:t>، ناهيا</w:t>
      </w:r>
      <w:r w:rsidR="009E7911" w:rsidRPr="006571AC">
        <w:rPr>
          <w:rFonts w:hint="cs"/>
          <w:sz w:val="27"/>
          <w:rtl/>
        </w:rPr>
        <w:t>ً</w:t>
      </w:r>
      <w:r w:rsidRPr="006571AC">
        <w:rPr>
          <w:sz w:val="27"/>
          <w:rtl/>
        </w:rPr>
        <w:t xml:space="preserve"> إي</w:t>
      </w:r>
      <w:r w:rsidR="009E7911" w:rsidRPr="006571AC">
        <w:rPr>
          <w:rFonts w:hint="cs"/>
          <w:sz w:val="27"/>
          <w:rtl/>
        </w:rPr>
        <w:t>ّ</w:t>
      </w:r>
      <w:r w:rsidRPr="006571AC">
        <w:rPr>
          <w:sz w:val="27"/>
          <w:rtl/>
        </w:rPr>
        <w:t xml:space="preserve">اه عن الدخول في مصيدة </w:t>
      </w:r>
      <w:r w:rsidRPr="006571AC">
        <w:rPr>
          <w:rFonts w:hint="eastAsia"/>
          <w:sz w:val="24"/>
          <w:szCs w:val="24"/>
          <w:rtl/>
        </w:rPr>
        <w:t>«</w:t>
      </w:r>
      <w:r w:rsidRPr="006571AC">
        <w:rPr>
          <w:sz w:val="27"/>
          <w:rtl/>
        </w:rPr>
        <w:t>الحُكم الق</w:t>
      </w:r>
      <w:r w:rsidR="009E7911" w:rsidRPr="006571AC">
        <w:rPr>
          <w:rFonts w:hint="cs"/>
          <w:sz w:val="27"/>
          <w:rtl/>
        </w:rPr>
        <w:t>ِ</w:t>
      </w:r>
      <w:r w:rsidRPr="006571AC">
        <w:rPr>
          <w:sz w:val="27"/>
          <w:rtl/>
        </w:rPr>
        <w:t>ي</w:t>
      </w:r>
      <w:r w:rsidR="009E7911" w:rsidRPr="006571AC">
        <w:rPr>
          <w:rFonts w:hint="cs"/>
          <w:sz w:val="27"/>
          <w:rtl/>
        </w:rPr>
        <w:t>َ</w:t>
      </w:r>
      <w:r w:rsidRPr="006571AC">
        <w:rPr>
          <w:sz w:val="27"/>
          <w:rtl/>
        </w:rPr>
        <w:t>مي</w:t>
      </w:r>
      <w:r w:rsidRPr="006571AC">
        <w:rPr>
          <w:rFonts w:hint="eastAsia"/>
          <w:sz w:val="24"/>
          <w:szCs w:val="24"/>
          <w:rtl/>
        </w:rPr>
        <w:t>»</w:t>
      </w:r>
      <w:r w:rsidRPr="006571AC">
        <w:rPr>
          <w:sz w:val="27"/>
          <w:rtl/>
        </w:rPr>
        <w:t xml:space="preserve"> (</w:t>
      </w:r>
      <w:r w:rsidRPr="006571AC">
        <w:rPr>
          <w:sz w:val="22"/>
          <w:szCs w:val="22"/>
        </w:rPr>
        <w:t>Jugement de valeur</w:t>
      </w:r>
      <w:r w:rsidRPr="006571AC">
        <w:rPr>
          <w:sz w:val="27"/>
          <w:rtl/>
        </w:rPr>
        <w:t xml:space="preserve">). فتغدو </w:t>
      </w:r>
      <w:r w:rsidRPr="006571AC">
        <w:rPr>
          <w:rFonts w:hint="eastAsia"/>
          <w:sz w:val="24"/>
          <w:szCs w:val="24"/>
          <w:rtl/>
        </w:rPr>
        <w:t>«</w:t>
      </w:r>
      <w:r w:rsidRPr="006571AC">
        <w:rPr>
          <w:sz w:val="27"/>
          <w:rtl/>
        </w:rPr>
        <w:t>الق</w:t>
      </w:r>
      <w:r w:rsidR="009E7911" w:rsidRPr="006571AC">
        <w:rPr>
          <w:rFonts w:hint="cs"/>
          <w:sz w:val="27"/>
          <w:rtl/>
        </w:rPr>
        <w:t>ِ</w:t>
      </w:r>
      <w:r w:rsidRPr="006571AC">
        <w:rPr>
          <w:sz w:val="27"/>
          <w:rtl/>
        </w:rPr>
        <w:t>ي</w:t>
      </w:r>
      <w:r w:rsidR="009E7911" w:rsidRPr="006571AC">
        <w:rPr>
          <w:rFonts w:hint="cs"/>
          <w:sz w:val="27"/>
          <w:rtl/>
        </w:rPr>
        <w:t>َ</w:t>
      </w:r>
      <w:r w:rsidRPr="006571AC">
        <w:rPr>
          <w:sz w:val="27"/>
          <w:rtl/>
        </w:rPr>
        <w:t>م</w:t>
      </w:r>
      <w:r w:rsidRPr="006571AC">
        <w:rPr>
          <w:rFonts w:hint="eastAsia"/>
          <w:sz w:val="24"/>
          <w:szCs w:val="24"/>
          <w:rtl/>
        </w:rPr>
        <w:t>»</w:t>
      </w:r>
      <w:r w:rsidRPr="006571AC">
        <w:rPr>
          <w:sz w:val="27"/>
          <w:rtl/>
        </w:rPr>
        <w:t xml:space="preserve"> في هذه الفلسفة، عملي</w:t>
      </w:r>
      <w:r w:rsidR="009E7911" w:rsidRPr="006571AC">
        <w:rPr>
          <w:rFonts w:hint="cs"/>
          <w:sz w:val="27"/>
          <w:rtl/>
        </w:rPr>
        <w:t>ّ</w:t>
      </w:r>
      <w:r w:rsidRPr="006571AC">
        <w:rPr>
          <w:sz w:val="27"/>
          <w:rtl/>
        </w:rPr>
        <w:t>ا</w:t>
      </w:r>
      <w:r w:rsidR="009E7911" w:rsidRPr="006571AC">
        <w:rPr>
          <w:rFonts w:hint="cs"/>
          <w:sz w:val="27"/>
          <w:rtl/>
        </w:rPr>
        <w:t>ً</w:t>
      </w:r>
      <w:r w:rsidRPr="006571AC">
        <w:rPr>
          <w:sz w:val="27"/>
          <w:rtl/>
        </w:rPr>
        <w:t>، معطيات</w:t>
      </w:r>
      <w:r w:rsidR="00A553ED" w:rsidRPr="006571AC">
        <w:rPr>
          <w:rFonts w:hint="cs"/>
          <w:sz w:val="27"/>
          <w:rtl/>
        </w:rPr>
        <w:t>ٍ</w:t>
      </w:r>
      <w:r w:rsidRPr="006571AC">
        <w:rPr>
          <w:sz w:val="27"/>
          <w:rtl/>
        </w:rPr>
        <w:t xml:space="preserve"> </w:t>
      </w:r>
      <w:r w:rsidRPr="006571AC">
        <w:rPr>
          <w:rFonts w:hint="eastAsia"/>
          <w:sz w:val="24"/>
          <w:szCs w:val="24"/>
          <w:rtl/>
        </w:rPr>
        <w:t>«</w:t>
      </w:r>
      <w:r w:rsidRPr="006571AC">
        <w:rPr>
          <w:sz w:val="27"/>
          <w:rtl/>
        </w:rPr>
        <w:t>خارجي</w:t>
      </w:r>
      <w:r w:rsidR="00A553ED" w:rsidRPr="006571AC">
        <w:rPr>
          <w:rFonts w:hint="cs"/>
          <w:sz w:val="27"/>
          <w:rtl/>
        </w:rPr>
        <w:t>ّ</w:t>
      </w:r>
      <w:r w:rsidRPr="006571AC">
        <w:rPr>
          <w:sz w:val="27"/>
          <w:rtl/>
        </w:rPr>
        <w:t>ة</w:t>
      </w:r>
      <w:r w:rsidR="00A553ED" w:rsidRPr="006571AC">
        <w:rPr>
          <w:rFonts w:hint="cs"/>
          <w:sz w:val="27"/>
          <w:rtl/>
        </w:rPr>
        <w:t>ً</w:t>
      </w:r>
      <w:r w:rsidRPr="006571AC">
        <w:rPr>
          <w:rFonts w:hint="eastAsia"/>
          <w:sz w:val="24"/>
          <w:szCs w:val="24"/>
          <w:rtl/>
        </w:rPr>
        <w:t>»</w:t>
      </w:r>
      <w:r w:rsidR="009E7911" w:rsidRPr="006571AC">
        <w:rPr>
          <w:rFonts w:hint="cs"/>
          <w:sz w:val="27"/>
          <w:rtl/>
        </w:rPr>
        <w:t>،</w:t>
      </w:r>
      <w:r w:rsidRPr="006571AC">
        <w:rPr>
          <w:sz w:val="27"/>
          <w:rtl/>
        </w:rPr>
        <w:t xml:space="preserve"> يتوج</w:t>
      </w:r>
      <w:r w:rsidR="009E7911" w:rsidRPr="006571AC">
        <w:rPr>
          <w:rFonts w:hint="cs"/>
          <w:sz w:val="27"/>
          <w:rtl/>
        </w:rPr>
        <w:t>َّ</w:t>
      </w:r>
      <w:r w:rsidRPr="006571AC">
        <w:rPr>
          <w:sz w:val="27"/>
          <w:rtl/>
        </w:rPr>
        <w:t>ب دراستها دون الح</w:t>
      </w:r>
      <w:r w:rsidR="00A553ED" w:rsidRPr="006571AC">
        <w:rPr>
          <w:rFonts w:hint="cs"/>
          <w:sz w:val="27"/>
          <w:rtl/>
        </w:rPr>
        <w:t>ُ</w:t>
      </w:r>
      <w:r w:rsidRPr="006571AC">
        <w:rPr>
          <w:sz w:val="27"/>
          <w:rtl/>
        </w:rPr>
        <w:t>ك</w:t>
      </w:r>
      <w:r w:rsidR="00A553ED" w:rsidRPr="006571AC">
        <w:rPr>
          <w:rFonts w:hint="cs"/>
          <w:sz w:val="27"/>
          <w:rtl/>
        </w:rPr>
        <w:t>ْ</w:t>
      </w:r>
      <w:r w:rsidRPr="006571AC">
        <w:rPr>
          <w:sz w:val="27"/>
          <w:rtl/>
        </w:rPr>
        <w:t>م عليها من وجهة نظر شخصية و/</w:t>
      </w:r>
      <w:r w:rsidR="009E7911" w:rsidRPr="006571AC">
        <w:rPr>
          <w:rFonts w:hint="cs"/>
          <w:sz w:val="27"/>
          <w:rtl/>
        </w:rPr>
        <w:t xml:space="preserve"> </w:t>
      </w:r>
      <w:r w:rsidRPr="006571AC">
        <w:rPr>
          <w:sz w:val="27"/>
          <w:rtl/>
        </w:rPr>
        <w:t xml:space="preserve">أو ايمانية. </w:t>
      </w:r>
    </w:p>
    <w:p w:rsidR="00962F60" w:rsidRPr="006571AC" w:rsidRDefault="00962F60" w:rsidP="007E009E">
      <w:pPr>
        <w:rPr>
          <w:sz w:val="27"/>
        </w:rPr>
      </w:pPr>
      <w:r w:rsidRPr="006571AC">
        <w:rPr>
          <w:sz w:val="27"/>
          <w:rtl/>
        </w:rPr>
        <w:t xml:space="preserve">أما أداة </w:t>
      </w:r>
      <w:r w:rsidRPr="006571AC">
        <w:rPr>
          <w:rFonts w:hint="eastAsia"/>
          <w:sz w:val="24"/>
          <w:szCs w:val="24"/>
          <w:rtl/>
        </w:rPr>
        <w:t>«</w:t>
      </w:r>
      <w:r w:rsidRPr="006571AC">
        <w:rPr>
          <w:sz w:val="27"/>
          <w:rtl/>
        </w:rPr>
        <w:t>النموذج ـ المثالي</w:t>
      </w:r>
      <w:r w:rsidRPr="006571AC">
        <w:rPr>
          <w:rFonts w:hint="eastAsia"/>
          <w:sz w:val="24"/>
          <w:szCs w:val="24"/>
          <w:rtl/>
        </w:rPr>
        <w:t>»</w:t>
      </w:r>
      <w:r w:rsidRPr="006571AC">
        <w:rPr>
          <w:sz w:val="27"/>
          <w:rtl/>
        </w:rPr>
        <w:t xml:space="preserve"> (أو </w:t>
      </w:r>
      <w:r w:rsidRPr="006571AC">
        <w:rPr>
          <w:rFonts w:hint="eastAsia"/>
          <w:sz w:val="24"/>
          <w:szCs w:val="24"/>
          <w:rtl/>
        </w:rPr>
        <w:t>«</w:t>
      </w:r>
      <w:r w:rsidRPr="006571AC">
        <w:rPr>
          <w:sz w:val="27"/>
          <w:rtl/>
        </w:rPr>
        <w:t>النمط ـ المثالي</w:t>
      </w:r>
      <w:r w:rsidRPr="006571AC">
        <w:rPr>
          <w:rFonts w:hint="eastAsia"/>
          <w:sz w:val="24"/>
          <w:szCs w:val="24"/>
          <w:rtl/>
        </w:rPr>
        <w:t>»</w:t>
      </w:r>
      <w:r w:rsidRPr="006571AC">
        <w:rPr>
          <w:sz w:val="27"/>
          <w:rtl/>
        </w:rPr>
        <w:t>) فهي تشكّ</w:t>
      </w:r>
      <w:r w:rsidR="009E7911" w:rsidRPr="006571AC">
        <w:rPr>
          <w:rFonts w:hint="cs"/>
          <w:sz w:val="27"/>
          <w:rtl/>
        </w:rPr>
        <w:t>ِ</w:t>
      </w:r>
      <w:r w:rsidRPr="006571AC">
        <w:rPr>
          <w:sz w:val="27"/>
          <w:rtl/>
        </w:rPr>
        <w:t>ل فلسفة</w:t>
      </w:r>
      <w:r w:rsidR="009E7911" w:rsidRPr="006571AC">
        <w:rPr>
          <w:rFonts w:hint="cs"/>
          <w:sz w:val="27"/>
          <w:rtl/>
        </w:rPr>
        <w:t>ً</w:t>
      </w:r>
      <w:r w:rsidRPr="006571AC">
        <w:rPr>
          <w:sz w:val="27"/>
          <w:rtl/>
        </w:rPr>
        <w:t xml:space="preserve"> بحد</w:t>
      </w:r>
      <w:r w:rsidR="009E7911" w:rsidRPr="006571AC">
        <w:rPr>
          <w:rFonts w:hint="cs"/>
          <w:sz w:val="27"/>
          <w:rtl/>
        </w:rPr>
        <w:t>ّ</w:t>
      </w:r>
      <w:r w:rsidRPr="006571AC">
        <w:rPr>
          <w:sz w:val="27"/>
          <w:rtl/>
        </w:rPr>
        <w:t xml:space="preserve"> ذاتها في سبيل بناء المفاهيم في العلوم ال</w:t>
      </w:r>
      <w:r w:rsidR="009E7911" w:rsidRPr="006571AC">
        <w:rPr>
          <w:rFonts w:hint="cs"/>
          <w:sz w:val="27"/>
          <w:rtl/>
        </w:rPr>
        <w:t>إ</w:t>
      </w:r>
      <w:r w:rsidRPr="006571AC">
        <w:rPr>
          <w:sz w:val="27"/>
          <w:rtl/>
        </w:rPr>
        <w:t>نسانية والاجتماعية، بل أبعد من ذلك</w:t>
      </w:r>
      <w:r w:rsidR="009E7911" w:rsidRPr="006571AC">
        <w:rPr>
          <w:rFonts w:hint="cs"/>
          <w:sz w:val="27"/>
          <w:rtl/>
        </w:rPr>
        <w:t>،</w:t>
      </w:r>
      <w:r w:rsidRPr="006571AC">
        <w:rPr>
          <w:sz w:val="27"/>
          <w:rtl/>
        </w:rPr>
        <w:t xml:space="preserve"> كما أسل</w:t>
      </w:r>
      <w:r w:rsidR="009E7911" w:rsidRPr="006571AC">
        <w:rPr>
          <w:rFonts w:hint="cs"/>
          <w:sz w:val="27"/>
          <w:rtl/>
        </w:rPr>
        <w:t>َ</w:t>
      </w:r>
      <w:r w:rsidRPr="006571AC">
        <w:rPr>
          <w:sz w:val="27"/>
          <w:rtl/>
        </w:rPr>
        <w:t>ف</w:t>
      </w:r>
      <w:r w:rsidR="009E7911" w:rsidRPr="006571AC">
        <w:rPr>
          <w:rFonts w:hint="cs"/>
          <w:sz w:val="27"/>
          <w:rtl/>
        </w:rPr>
        <w:t>ْ</w:t>
      </w:r>
      <w:r w:rsidRPr="006571AC">
        <w:rPr>
          <w:sz w:val="27"/>
          <w:rtl/>
        </w:rPr>
        <w:t>نا. وإننا نقترح، إذن، تطبيق هذه الأداة، مع تطويرها ح</w:t>
      </w:r>
      <w:r w:rsidR="009E7911" w:rsidRPr="006571AC">
        <w:rPr>
          <w:rFonts w:hint="cs"/>
          <w:sz w:val="27"/>
          <w:rtl/>
        </w:rPr>
        <w:t>َ</w:t>
      </w:r>
      <w:r w:rsidRPr="006571AC">
        <w:rPr>
          <w:sz w:val="27"/>
          <w:rtl/>
        </w:rPr>
        <w:t>س</w:t>
      </w:r>
      <w:r w:rsidR="009E7911" w:rsidRPr="006571AC">
        <w:rPr>
          <w:rFonts w:hint="cs"/>
          <w:sz w:val="27"/>
          <w:rtl/>
        </w:rPr>
        <w:t>ْ</w:t>
      </w:r>
      <w:r w:rsidRPr="006571AC">
        <w:rPr>
          <w:sz w:val="27"/>
          <w:rtl/>
        </w:rPr>
        <w:t xml:space="preserve">ب طبيعة البحث وموضوعه، </w:t>
      </w:r>
      <w:r w:rsidRPr="006571AC">
        <w:rPr>
          <w:sz w:val="27"/>
          <w:rtl/>
        </w:rPr>
        <w:lastRenderedPageBreak/>
        <w:t>على نصوص الفقه ال</w:t>
      </w:r>
      <w:r w:rsidR="009E7911" w:rsidRPr="006571AC">
        <w:rPr>
          <w:rFonts w:hint="cs"/>
          <w:sz w:val="27"/>
          <w:rtl/>
        </w:rPr>
        <w:t>إ</w:t>
      </w:r>
      <w:r w:rsidRPr="006571AC">
        <w:rPr>
          <w:sz w:val="27"/>
          <w:rtl/>
        </w:rPr>
        <w:t>سلامي (ونصوص التراث ال</w:t>
      </w:r>
      <w:r w:rsidR="008D22D6" w:rsidRPr="006571AC">
        <w:rPr>
          <w:rFonts w:hint="cs"/>
          <w:sz w:val="27"/>
          <w:rtl/>
        </w:rPr>
        <w:t>إ</w:t>
      </w:r>
      <w:r w:rsidRPr="006571AC">
        <w:rPr>
          <w:sz w:val="27"/>
          <w:rtl/>
        </w:rPr>
        <w:t>سلامي بشكل</w:t>
      </w:r>
      <w:r w:rsidR="008D22D6" w:rsidRPr="006571AC">
        <w:rPr>
          <w:rFonts w:hint="cs"/>
          <w:sz w:val="27"/>
          <w:rtl/>
        </w:rPr>
        <w:t>ٍ</w:t>
      </w:r>
      <w:r w:rsidRPr="006571AC">
        <w:rPr>
          <w:sz w:val="27"/>
          <w:rtl/>
        </w:rPr>
        <w:t xml:space="preserve"> أعم</w:t>
      </w:r>
      <w:r w:rsidR="008D22D6" w:rsidRPr="006571AC">
        <w:rPr>
          <w:rFonts w:hint="cs"/>
          <w:sz w:val="27"/>
          <w:rtl/>
        </w:rPr>
        <w:t>ّ</w:t>
      </w:r>
      <w:r w:rsidR="007E254D" w:rsidRPr="006571AC">
        <w:rPr>
          <w:rFonts w:hint="cs"/>
          <w:sz w:val="27"/>
          <w:vertAlign w:val="superscript"/>
          <w:rtl/>
        </w:rPr>
        <w:t>(</w:t>
      </w:r>
      <w:r w:rsidR="007E254D" w:rsidRPr="006571AC">
        <w:rPr>
          <w:rStyle w:val="ac"/>
          <w:sz w:val="27"/>
          <w:rtl/>
        </w:rPr>
        <w:endnoteReference w:id="932"/>
      </w:r>
      <w:r w:rsidR="007E254D" w:rsidRPr="006571AC">
        <w:rPr>
          <w:rFonts w:hint="cs"/>
          <w:sz w:val="27"/>
          <w:vertAlign w:val="superscript"/>
          <w:rtl/>
        </w:rPr>
        <w:t>)</w:t>
      </w:r>
      <w:r w:rsidRPr="006571AC">
        <w:rPr>
          <w:sz w:val="27"/>
          <w:rtl/>
        </w:rPr>
        <w:t>). فقد فهم فيبر أن بناء المفاهيم في العلوم بشكل</w:t>
      </w:r>
      <w:r w:rsidR="008D22D6" w:rsidRPr="006571AC">
        <w:rPr>
          <w:rFonts w:hint="cs"/>
          <w:sz w:val="27"/>
          <w:rtl/>
        </w:rPr>
        <w:t>ٍ</w:t>
      </w:r>
      <w:r w:rsidRPr="006571AC">
        <w:rPr>
          <w:sz w:val="27"/>
          <w:rtl/>
        </w:rPr>
        <w:t xml:space="preserve"> عام</w:t>
      </w:r>
      <w:r w:rsidR="008D22D6" w:rsidRPr="006571AC">
        <w:rPr>
          <w:rFonts w:hint="cs"/>
          <w:sz w:val="27"/>
          <w:rtl/>
        </w:rPr>
        <w:t>ّ</w:t>
      </w:r>
      <w:r w:rsidRPr="006571AC">
        <w:rPr>
          <w:sz w:val="27"/>
          <w:rtl/>
        </w:rPr>
        <w:t>، وفي العلوم ال</w:t>
      </w:r>
      <w:r w:rsidR="008D22D6" w:rsidRPr="006571AC">
        <w:rPr>
          <w:rFonts w:hint="cs"/>
          <w:sz w:val="27"/>
          <w:rtl/>
        </w:rPr>
        <w:t>إ</w:t>
      </w:r>
      <w:r w:rsidRPr="006571AC">
        <w:rPr>
          <w:sz w:val="27"/>
          <w:rtl/>
        </w:rPr>
        <w:t>نسانية والاجتماعية بشكل</w:t>
      </w:r>
      <w:r w:rsidR="008D22D6" w:rsidRPr="006571AC">
        <w:rPr>
          <w:rFonts w:hint="cs"/>
          <w:sz w:val="27"/>
          <w:rtl/>
        </w:rPr>
        <w:t>ٍ</w:t>
      </w:r>
      <w:r w:rsidRPr="006571AC">
        <w:rPr>
          <w:sz w:val="27"/>
          <w:rtl/>
        </w:rPr>
        <w:t xml:space="preserve"> خاص</w:t>
      </w:r>
      <w:r w:rsidR="008D22D6" w:rsidRPr="006571AC">
        <w:rPr>
          <w:rFonts w:hint="cs"/>
          <w:sz w:val="27"/>
          <w:rtl/>
        </w:rPr>
        <w:t>ّ</w:t>
      </w:r>
      <w:r w:rsidRPr="006571AC">
        <w:rPr>
          <w:sz w:val="27"/>
          <w:rtl/>
        </w:rPr>
        <w:t>، لا يمكن إلا</w:t>
      </w:r>
      <w:r w:rsidR="008D22D6" w:rsidRPr="006571AC">
        <w:rPr>
          <w:rFonts w:hint="cs"/>
          <w:sz w:val="27"/>
          <w:rtl/>
        </w:rPr>
        <w:t>ّ</w:t>
      </w:r>
      <w:r w:rsidRPr="006571AC">
        <w:rPr>
          <w:sz w:val="27"/>
          <w:rtl/>
        </w:rPr>
        <w:t xml:space="preserve"> أن يمر</w:t>
      </w:r>
      <w:r w:rsidR="008D22D6" w:rsidRPr="006571AC">
        <w:rPr>
          <w:rFonts w:hint="cs"/>
          <w:sz w:val="27"/>
          <w:rtl/>
        </w:rPr>
        <w:t>ّ</w:t>
      </w:r>
      <w:r w:rsidRPr="006571AC">
        <w:rPr>
          <w:sz w:val="27"/>
          <w:rtl/>
        </w:rPr>
        <w:t xml:space="preserve"> من خلال بناء نماذج </w:t>
      </w:r>
      <w:r w:rsidRPr="006571AC">
        <w:rPr>
          <w:rFonts w:hint="eastAsia"/>
          <w:sz w:val="24"/>
          <w:szCs w:val="24"/>
          <w:rtl/>
        </w:rPr>
        <w:t>«</w:t>
      </w:r>
      <w:r w:rsidRPr="006571AC">
        <w:rPr>
          <w:sz w:val="27"/>
          <w:rtl/>
        </w:rPr>
        <w:t>مُثُلية</w:t>
      </w:r>
      <w:r w:rsidRPr="006571AC">
        <w:rPr>
          <w:rFonts w:hint="eastAsia"/>
          <w:sz w:val="24"/>
          <w:szCs w:val="24"/>
          <w:rtl/>
        </w:rPr>
        <w:t>»</w:t>
      </w:r>
      <w:r w:rsidRPr="006571AC">
        <w:rPr>
          <w:sz w:val="27"/>
          <w:rtl/>
        </w:rPr>
        <w:t xml:space="preserve"> (بمعنى </w:t>
      </w:r>
      <w:r w:rsidRPr="006571AC">
        <w:rPr>
          <w:rFonts w:asciiTheme="majorBidi" w:hAnsiTheme="majorBidi" w:cstheme="majorBidi"/>
          <w:sz w:val="22"/>
          <w:szCs w:val="22"/>
        </w:rPr>
        <w:t>Idéél</w:t>
      </w:r>
      <w:r w:rsidR="008D22D6" w:rsidRPr="006571AC">
        <w:rPr>
          <w:rFonts w:hint="cs"/>
          <w:sz w:val="27"/>
          <w:rtl/>
        </w:rPr>
        <w:t>،</w:t>
      </w:r>
      <w:r w:rsidRPr="006571AC">
        <w:rPr>
          <w:sz w:val="27"/>
          <w:rtl/>
        </w:rPr>
        <w:t xml:space="preserve"> أي من عالم الأفكار، لا كما ترجمها الأكثرون بمثالي</w:t>
      </w:r>
      <w:r w:rsidR="004C7F35" w:rsidRPr="006571AC">
        <w:rPr>
          <w:rFonts w:hint="cs"/>
          <w:sz w:val="27"/>
          <w:rtl/>
        </w:rPr>
        <w:t>ّ</w:t>
      </w:r>
      <w:r w:rsidRPr="006571AC">
        <w:rPr>
          <w:sz w:val="27"/>
          <w:rtl/>
        </w:rPr>
        <w:t xml:space="preserve">ة أي </w:t>
      </w:r>
      <w:r w:rsidRPr="006571AC">
        <w:rPr>
          <w:rFonts w:asciiTheme="majorBidi" w:hAnsiTheme="majorBidi" w:cstheme="majorBidi"/>
          <w:sz w:val="22"/>
          <w:szCs w:val="22"/>
        </w:rPr>
        <w:t>Idéal</w:t>
      </w:r>
      <w:r w:rsidRPr="006571AC">
        <w:rPr>
          <w:sz w:val="27"/>
          <w:rtl/>
        </w:rPr>
        <w:t>)</w:t>
      </w:r>
      <w:r w:rsidR="008D22D6" w:rsidRPr="006571AC">
        <w:rPr>
          <w:rFonts w:hint="cs"/>
          <w:sz w:val="27"/>
          <w:rtl/>
        </w:rPr>
        <w:t>،</w:t>
      </w:r>
      <w:r w:rsidRPr="006571AC">
        <w:rPr>
          <w:sz w:val="27"/>
          <w:rtl/>
        </w:rPr>
        <w:t xml:space="preserve"> وهي أبنية</w:t>
      </w:r>
      <w:r w:rsidR="008D22D6" w:rsidRPr="006571AC">
        <w:rPr>
          <w:rFonts w:hint="cs"/>
          <w:sz w:val="27"/>
          <w:rtl/>
        </w:rPr>
        <w:t>ٌ</w:t>
      </w:r>
      <w:r w:rsidRPr="006571AC">
        <w:rPr>
          <w:sz w:val="27"/>
          <w:rtl/>
        </w:rPr>
        <w:t xml:space="preserve"> (أو تركيبات) ذهنية حول ظاهرة</w:t>
      </w:r>
      <w:r w:rsidR="008D22D6" w:rsidRPr="006571AC">
        <w:rPr>
          <w:rFonts w:hint="cs"/>
          <w:sz w:val="27"/>
          <w:rtl/>
        </w:rPr>
        <w:t>ٍ</w:t>
      </w:r>
      <w:r w:rsidRPr="006571AC">
        <w:rPr>
          <w:sz w:val="27"/>
          <w:rtl/>
        </w:rPr>
        <w:t xml:space="preserve"> معينة، لا وجود لها بشكل</w:t>
      </w:r>
      <w:r w:rsidR="008D22D6" w:rsidRPr="006571AC">
        <w:rPr>
          <w:rFonts w:hint="cs"/>
          <w:sz w:val="27"/>
          <w:rtl/>
        </w:rPr>
        <w:t>ٍ</w:t>
      </w:r>
      <w:r w:rsidRPr="006571AC">
        <w:rPr>
          <w:sz w:val="27"/>
          <w:rtl/>
        </w:rPr>
        <w:t xml:space="preserve"> عملي</w:t>
      </w:r>
      <w:r w:rsidR="008D22D6" w:rsidRPr="006571AC">
        <w:rPr>
          <w:rFonts w:hint="cs"/>
          <w:sz w:val="27"/>
          <w:rtl/>
        </w:rPr>
        <w:t>ّ</w:t>
      </w:r>
      <w:r w:rsidRPr="006571AC">
        <w:rPr>
          <w:sz w:val="27"/>
          <w:rtl/>
        </w:rPr>
        <w:t xml:space="preserve"> على أرض الواقع، لكن</w:t>
      </w:r>
      <w:r w:rsidR="008D22D6" w:rsidRPr="006571AC">
        <w:rPr>
          <w:rFonts w:hint="cs"/>
          <w:sz w:val="27"/>
          <w:rtl/>
        </w:rPr>
        <w:t>ّ</w:t>
      </w:r>
      <w:r w:rsidRPr="006571AC">
        <w:rPr>
          <w:sz w:val="27"/>
          <w:rtl/>
        </w:rPr>
        <w:t>ها تختصر الس</w:t>
      </w:r>
      <w:r w:rsidR="004C7F35" w:rsidRPr="006571AC">
        <w:rPr>
          <w:rFonts w:hint="cs"/>
          <w:sz w:val="27"/>
          <w:rtl/>
        </w:rPr>
        <w:t>ِّ</w:t>
      </w:r>
      <w:r w:rsidRPr="006571AC">
        <w:rPr>
          <w:sz w:val="27"/>
          <w:rtl/>
        </w:rPr>
        <w:t>مات الأساسية للظاهرة التي يُراد ف</w:t>
      </w:r>
      <w:r w:rsidR="004C7F35" w:rsidRPr="006571AC">
        <w:rPr>
          <w:rFonts w:hint="cs"/>
          <w:sz w:val="27"/>
          <w:rtl/>
        </w:rPr>
        <w:t>َ</w:t>
      </w:r>
      <w:r w:rsidRPr="006571AC">
        <w:rPr>
          <w:sz w:val="27"/>
          <w:rtl/>
        </w:rPr>
        <w:t>ه</w:t>
      </w:r>
      <w:r w:rsidR="004C7F35" w:rsidRPr="006571AC">
        <w:rPr>
          <w:rFonts w:hint="cs"/>
          <w:sz w:val="27"/>
          <w:rtl/>
        </w:rPr>
        <w:t>ْ</w:t>
      </w:r>
      <w:r w:rsidRPr="006571AC">
        <w:rPr>
          <w:sz w:val="27"/>
          <w:rtl/>
        </w:rPr>
        <w:t>مها (مثلا</w:t>
      </w:r>
      <w:r w:rsidR="008D22D6" w:rsidRPr="006571AC">
        <w:rPr>
          <w:rFonts w:hint="cs"/>
          <w:sz w:val="27"/>
          <w:rtl/>
        </w:rPr>
        <w:t>ً</w:t>
      </w:r>
      <w:r w:rsidRPr="006571AC">
        <w:rPr>
          <w:sz w:val="27"/>
          <w:rtl/>
        </w:rPr>
        <w:t xml:space="preserve">: </w:t>
      </w:r>
      <w:r w:rsidRPr="006571AC">
        <w:rPr>
          <w:rFonts w:hint="eastAsia"/>
          <w:sz w:val="24"/>
          <w:szCs w:val="24"/>
          <w:rtl/>
        </w:rPr>
        <w:t>«</w:t>
      </w:r>
      <w:r w:rsidRPr="006571AC">
        <w:rPr>
          <w:sz w:val="27"/>
          <w:rtl/>
        </w:rPr>
        <w:t>الرأسمالية</w:t>
      </w:r>
      <w:r w:rsidRPr="006571AC">
        <w:rPr>
          <w:rFonts w:hint="eastAsia"/>
          <w:sz w:val="24"/>
          <w:szCs w:val="24"/>
          <w:rtl/>
        </w:rPr>
        <w:t>»</w:t>
      </w:r>
      <w:r w:rsidRPr="006571AC">
        <w:rPr>
          <w:sz w:val="27"/>
          <w:rtl/>
        </w:rPr>
        <w:t xml:space="preserve"> كما يعرّ</w:t>
      </w:r>
      <w:r w:rsidR="008D22D6" w:rsidRPr="006571AC">
        <w:rPr>
          <w:rFonts w:hint="cs"/>
          <w:sz w:val="27"/>
          <w:rtl/>
        </w:rPr>
        <w:t>ِ</w:t>
      </w:r>
      <w:r w:rsidRPr="006571AC">
        <w:rPr>
          <w:sz w:val="27"/>
          <w:rtl/>
        </w:rPr>
        <w:t>فها أي</w:t>
      </w:r>
      <w:r w:rsidR="008D22D6" w:rsidRPr="006571AC">
        <w:rPr>
          <w:rFonts w:hint="cs"/>
          <w:sz w:val="27"/>
          <w:rtl/>
        </w:rPr>
        <w:t>ُّ</w:t>
      </w:r>
      <w:r w:rsidRPr="006571AC">
        <w:rPr>
          <w:sz w:val="27"/>
          <w:rtl/>
        </w:rPr>
        <w:t xml:space="preserve"> كتاب</w:t>
      </w:r>
      <w:r w:rsidR="008D22D6" w:rsidRPr="006571AC">
        <w:rPr>
          <w:rFonts w:hint="cs"/>
          <w:sz w:val="27"/>
          <w:rtl/>
        </w:rPr>
        <w:t>ٍ</w:t>
      </w:r>
      <w:r w:rsidRPr="006571AC">
        <w:rPr>
          <w:sz w:val="27"/>
          <w:rtl/>
        </w:rPr>
        <w:t xml:space="preserve"> اقتصادي هي مجر</w:t>
      </w:r>
      <w:r w:rsidR="008D22D6" w:rsidRPr="006571AC">
        <w:rPr>
          <w:rFonts w:hint="cs"/>
          <w:sz w:val="27"/>
          <w:rtl/>
        </w:rPr>
        <w:t>ّ</w:t>
      </w:r>
      <w:r w:rsidRPr="006571AC">
        <w:rPr>
          <w:sz w:val="27"/>
          <w:rtl/>
        </w:rPr>
        <w:t>د نموذج ـ مُث</w:t>
      </w:r>
      <w:r w:rsidR="008D22D6" w:rsidRPr="006571AC">
        <w:rPr>
          <w:rFonts w:hint="cs"/>
          <w:sz w:val="27"/>
          <w:rtl/>
        </w:rPr>
        <w:t>ُ</w:t>
      </w:r>
      <w:r w:rsidRPr="006571AC">
        <w:rPr>
          <w:sz w:val="27"/>
          <w:rtl/>
        </w:rPr>
        <w:t>لي لظاهرة</w:t>
      </w:r>
      <w:r w:rsidR="008D22D6" w:rsidRPr="006571AC">
        <w:rPr>
          <w:rFonts w:hint="cs"/>
          <w:sz w:val="27"/>
          <w:rtl/>
        </w:rPr>
        <w:t>ٍ</w:t>
      </w:r>
      <w:r w:rsidRPr="006571AC">
        <w:rPr>
          <w:sz w:val="27"/>
          <w:rtl/>
        </w:rPr>
        <w:t xml:space="preserve"> معينة، وهذا النموذج ـ الم</w:t>
      </w:r>
      <w:r w:rsidR="008D22D6" w:rsidRPr="006571AC">
        <w:rPr>
          <w:rFonts w:hint="cs"/>
          <w:sz w:val="27"/>
          <w:rtl/>
        </w:rPr>
        <w:t>ُ</w:t>
      </w:r>
      <w:r w:rsidRPr="006571AC">
        <w:rPr>
          <w:sz w:val="27"/>
          <w:rtl/>
        </w:rPr>
        <w:t>ث</w:t>
      </w:r>
      <w:r w:rsidR="008D22D6" w:rsidRPr="006571AC">
        <w:rPr>
          <w:rFonts w:hint="cs"/>
          <w:sz w:val="27"/>
          <w:rtl/>
        </w:rPr>
        <w:t>ُ</w:t>
      </w:r>
      <w:r w:rsidRPr="006571AC">
        <w:rPr>
          <w:sz w:val="27"/>
          <w:rtl/>
        </w:rPr>
        <w:t xml:space="preserve">لي، رغم عدم وجوده الحقيقي في الواقع، يساعد على اختصار المعالم الجوهرية لهذه الظاهرة بطريقة </w:t>
      </w:r>
      <w:r w:rsidRPr="006571AC">
        <w:rPr>
          <w:rFonts w:hint="eastAsia"/>
          <w:sz w:val="24"/>
          <w:szCs w:val="24"/>
          <w:rtl/>
        </w:rPr>
        <w:t>«</w:t>
      </w:r>
      <w:r w:rsidRPr="006571AC">
        <w:rPr>
          <w:sz w:val="27"/>
          <w:rtl/>
        </w:rPr>
        <w:t>مُث</w:t>
      </w:r>
      <w:r w:rsidR="008D22D6" w:rsidRPr="006571AC">
        <w:rPr>
          <w:rFonts w:hint="cs"/>
          <w:sz w:val="27"/>
          <w:rtl/>
        </w:rPr>
        <w:t>ُ</w:t>
      </w:r>
      <w:r w:rsidRPr="006571AC">
        <w:rPr>
          <w:sz w:val="27"/>
          <w:rtl/>
        </w:rPr>
        <w:t>لية</w:t>
      </w:r>
      <w:r w:rsidRPr="006571AC">
        <w:rPr>
          <w:rFonts w:hint="eastAsia"/>
          <w:sz w:val="24"/>
          <w:szCs w:val="24"/>
          <w:rtl/>
        </w:rPr>
        <w:t>»</w:t>
      </w:r>
      <w:r w:rsidR="008D22D6" w:rsidRPr="006571AC">
        <w:rPr>
          <w:rFonts w:hint="cs"/>
          <w:sz w:val="27"/>
          <w:rtl/>
        </w:rPr>
        <w:t>،</w:t>
      </w:r>
      <w:r w:rsidRPr="006571AC">
        <w:rPr>
          <w:sz w:val="27"/>
          <w:rtl/>
        </w:rPr>
        <w:t xml:space="preserve"> أي ذهنية). </w:t>
      </w:r>
    </w:p>
    <w:p w:rsidR="008D22D6" w:rsidRPr="006571AC" w:rsidRDefault="00962F60" w:rsidP="007E009E">
      <w:pPr>
        <w:rPr>
          <w:sz w:val="27"/>
          <w:rtl/>
        </w:rPr>
      </w:pPr>
      <w:r w:rsidRPr="006571AC">
        <w:rPr>
          <w:sz w:val="27"/>
        </w:rPr>
        <w:t xml:space="preserve"> </w:t>
      </w:r>
      <w:r w:rsidRPr="006571AC">
        <w:rPr>
          <w:sz w:val="27"/>
          <w:rtl/>
        </w:rPr>
        <w:t>باختصار</w:t>
      </w:r>
      <w:r w:rsidR="008D22D6" w:rsidRPr="006571AC">
        <w:rPr>
          <w:rFonts w:hint="cs"/>
          <w:sz w:val="27"/>
          <w:rtl/>
        </w:rPr>
        <w:t>ٍ</w:t>
      </w:r>
      <w:r w:rsidRPr="006571AC">
        <w:rPr>
          <w:sz w:val="27"/>
          <w:rtl/>
        </w:rPr>
        <w:t>، تعتبر هذه الفلسفة أن العقل البشري لا يمكن أن يفهم الواقع المعقّ</w:t>
      </w:r>
      <w:r w:rsidR="008D22D6" w:rsidRPr="006571AC">
        <w:rPr>
          <w:rFonts w:hint="cs"/>
          <w:sz w:val="27"/>
          <w:rtl/>
        </w:rPr>
        <w:t>َ</w:t>
      </w:r>
      <w:r w:rsidRPr="006571AC">
        <w:rPr>
          <w:sz w:val="27"/>
          <w:rtl/>
        </w:rPr>
        <w:t>د (</w:t>
      </w:r>
      <w:r w:rsidR="008D22D6" w:rsidRPr="006571AC">
        <w:rPr>
          <w:rFonts w:hint="cs"/>
          <w:sz w:val="27"/>
          <w:rtl/>
        </w:rPr>
        <w:t>و</w:t>
      </w:r>
      <w:r w:rsidR="00731867" w:rsidRPr="006571AC">
        <w:rPr>
          <w:sz w:val="27"/>
          <w:rtl/>
        </w:rPr>
        <w:t>لا سيَّما</w:t>
      </w:r>
      <w:r w:rsidRPr="006571AC">
        <w:rPr>
          <w:sz w:val="27"/>
          <w:rtl/>
        </w:rPr>
        <w:t xml:space="preserve"> منه ال</w:t>
      </w:r>
      <w:r w:rsidR="008D22D6" w:rsidRPr="006571AC">
        <w:rPr>
          <w:rFonts w:hint="cs"/>
          <w:sz w:val="27"/>
          <w:rtl/>
        </w:rPr>
        <w:t>إ</w:t>
      </w:r>
      <w:r w:rsidRPr="006571AC">
        <w:rPr>
          <w:sz w:val="27"/>
          <w:rtl/>
        </w:rPr>
        <w:t>نساني والاجتماعي) إلا</w:t>
      </w:r>
      <w:r w:rsidR="008D22D6" w:rsidRPr="006571AC">
        <w:rPr>
          <w:rFonts w:hint="cs"/>
          <w:sz w:val="27"/>
          <w:rtl/>
        </w:rPr>
        <w:t>ّ</w:t>
      </w:r>
      <w:r w:rsidRPr="006571AC">
        <w:rPr>
          <w:sz w:val="27"/>
          <w:rtl/>
        </w:rPr>
        <w:t xml:space="preserve"> من خلال بناء هكذا هياكل ذهنية تختصر معالمه ـ سماته الأساسية. إن النموذج ـ المثالي عند ماكس فيبر، وكما تفهمه هذه الورقة، هو أداة</w:t>
      </w:r>
      <w:r w:rsidR="008D22D6" w:rsidRPr="006571AC">
        <w:rPr>
          <w:rFonts w:hint="cs"/>
          <w:sz w:val="27"/>
          <w:rtl/>
        </w:rPr>
        <w:t>ُ</w:t>
      </w:r>
      <w:r w:rsidRPr="006571AC">
        <w:rPr>
          <w:sz w:val="27"/>
          <w:rtl/>
        </w:rPr>
        <w:t xml:space="preserve"> قياس</w:t>
      </w:r>
      <w:r w:rsidR="008D22D6" w:rsidRPr="006571AC">
        <w:rPr>
          <w:rFonts w:hint="cs"/>
          <w:sz w:val="27"/>
          <w:rtl/>
        </w:rPr>
        <w:t>ٍ</w:t>
      </w:r>
      <w:r w:rsidRPr="006571AC">
        <w:rPr>
          <w:sz w:val="27"/>
          <w:rtl/>
        </w:rPr>
        <w:t xml:space="preserve"> مفهومية (قياس بمعنى </w:t>
      </w:r>
      <w:r w:rsidRPr="006571AC">
        <w:rPr>
          <w:rFonts w:asciiTheme="majorBidi" w:hAnsiTheme="majorBidi" w:cstheme="majorBidi"/>
          <w:sz w:val="22"/>
          <w:szCs w:val="22"/>
        </w:rPr>
        <w:t>Mesure conceptuelle</w:t>
      </w:r>
      <w:r w:rsidRPr="006571AC">
        <w:rPr>
          <w:sz w:val="27"/>
          <w:rtl/>
        </w:rPr>
        <w:t>) بامتياز</w:t>
      </w:r>
      <w:r w:rsidR="008D22D6" w:rsidRPr="006571AC">
        <w:rPr>
          <w:rFonts w:hint="cs"/>
          <w:sz w:val="27"/>
          <w:rtl/>
        </w:rPr>
        <w:t>ٍ</w:t>
      </w:r>
      <w:r w:rsidR="008D22D6" w:rsidRPr="006571AC">
        <w:rPr>
          <w:sz w:val="27"/>
          <w:rtl/>
        </w:rPr>
        <w:t>.</w:t>
      </w:r>
    </w:p>
    <w:p w:rsidR="008D22D6" w:rsidRPr="006571AC" w:rsidRDefault="00962F60" w:rsidP="007E009E">
      <w:pPr>
        <w:rPr>
          <w:sz w:val="27"/>
          <w:rtl/>
        </w:rPr>
      </w:pPr>
      <w:r w:rsidRPr="006571AC">
        <w:rPr>
          <w:sz w:val="27"/>
          <w:rtl/>
        </w:rPr>
        <w:t>ولا يستطيع الباحث</w:t>
      </w:r>
      <w:r w:rsidR="008D22D6" w:rsidRPr="006571AC">
        <w:rPr>
          <w:sz w:val="27"/>
          <w:rtl/>
        </w:rPr>
        <w:t>:</w:t>
      </w:r>
    </w:p>
    <w:p w:rsidR="008D22D6" w:rsidRPr="006571AC" w:rsidRDefault="008D22D6" w:rsidP="007E009E">
      <w:pPr>
        <w:rPr>
          <w:sz w:val="27"/>
          <w:rtl/>
        </w:rPr>
      </w:pPr>
      <w:r w:rsidRPr="006571AC">
        <w:rPr>
          <w:rFonts w:hint="cs"/>
          <w:sz w:val="27"/>
          <w:rtl/>
        </w:rPr>
        <w:t>1ـ</w:t>
      </w:r>
      <w:r w:rsidR="00962F60" w:rsidRPr="006571AC">
        <w:rPr>
          <w:sz w:val="27"/>
          <w:rtl/>
        </w:rPr>
        <w:t xml:space="preserve"> </w:t>
      </w:r>
      <w:r w:rsidR="00D50126" w:rsidRPr="006571AC">
        <w:rPr>
          <w:sz w:val="27"/>
          <w:rtl/>
        </w:rPr>
        <w:t>أن يد</w:t>
      </w:r>
      <w:r w:rsidR="00D50126" w:rsidRPr="006571AC">
        <w:rPr>
          <w:rFonts w:hint="cs"/>
          <w:sz w:val="27"/>
          <w:rtl/>
        </w:rPr>
        <w:t>ّ</w:t>
      </w:r>
      <w:r w:rsidR="00D50126" w:rsidRPr="006571AC">
        <w:rPr>
          <w:sz w:val="27"/>
          <w:rtl/>
        </w:rPr>
        <w:t>عي</w:t>
      </w:r>
      <w:r w:rsidR="00D50126" w:rsidRPr="006571AC">
        <w:rPr>
          <w:rFonts w:hint="cs"/>
          <w:sz w:val="27"/>
          <w:rtl/>
        </w:rPr>
        <w:t xml:space="preserve"> </w:t>
      </w:r>
      <w:r w:rsidR="00962F60" w:rsidRPr="006571AC">
        <w:rPr>
          <w:rFonts w:hint="cs"/>
          <w:sz w:val="27"/>
          <w:rtl/>
        </w:rPr>
        <w:t>فهم</w:t>
      </w:r>
      <w:r w:rsidR="00962F60" w:rsidRPr="006571AC">
        <w:rPr>
          <w:sz w:val="27"/>
          <w:rtl/>
        </w:rPr>
        <w:t xml:space="preserve"> </w:t>
      </w:r>
      <w:r w:rsidR="00962F60" w:rsidRPr="006571AC">
        <w:rPr>
          <w:rFonts w:hint="cs"/>
          <w:sz w:val="27"/>
          <w:rtl/>
        </w:rPr>
        <w:t>موضوع</w:t>
      </w:r>
      <w:r w:rsidRPr="006571AC">
        <w:rPr>
          <w:rFonts w:hint="cs"/>
          <w:sz w:val="27"/>
          <w:rtl/>
        </w:rPr>
        <w:t>ٍ</w:t>
      </w:r>
      <w:r w:rsidR="00962F60" w:rsidRPr="006571AC">
        <w:rPr>
          <w:sz w:val="27"/>
          <w:rtl/>
        </w:rPr>
        <w:t xml:space="preserve"> </w:t>
      </w:r>
      <w:r w:rsidR="00962F60" w:rsidRPr="006571AC">
        <w:rPr>
          <w:rFonts w:hint="cs"/>
          <w:sz w:val="27"/>
          <w:rtl/>
        </w:rPr>
        <w:t>أو</w:t>
      </w:r>
      <w:r w:rsidR="00962F60" w:rsidRPr="006571AC">
        <w:rPr>
          <w:sz w:val="27"/>
          <w:rtl/>
        </w:rPr>
        <w:t xml:space="preserve"> </w:t>
      </w:r>
      <w:r w:rsidR="00962F60" w:rsidRPr="006571AC">
        <w:rPr>
          <w:rFonts w:hint="cs"/>
          <w:sz w:val="27"/>
          <w:rtl/>
        </w:rPr>
        <w:t>ظاهرة</w:t>
      </w:r>
      <w:r w:rsidRPr="006571AC">
        <w:rPr>
          <w:rFonts w:hint="cs"/>
          <w:sz w:val="27"/>
          <w:rtl/>
        </w:rPr>
        <w:t>ٍ</w:t>
      </w:r>
      <w:r w:rsidR="00962F60" w:rsidRPr="006571AC">
        <w:rPr>
          <w:sz w:val="27"/>
          <w:rtl/>
        </w:rPr>
        <w:t xml:space="preserve"> </w:t>
      </w:r>
      <w:r w:rsidR="00962F60" w:rsidRPr="006571AC">
        <w:rPr>
          <w:rFonts w:hint="cs"/>
          <w:sz w:val="27"/>
          <w:rtl/>
        </w:rPr>
        <w:t>ما</w:t>
      </w:r>
      <w:r w:rsidR="00962F60" w:rsidRPr="006571AC">
        <w:rPr>
          <w:sz w:val="27"/>
          <w:rtl/>
        </w:rPr>
        <w:t xml:space="preserve"> </w:t>
      </w:r>
      <w:r w:rsidR="00962F60" w:rsidRPr="006571AC">
        <w:rPr>
          <w:rFonts w:hint="cs"/>
          <w:sz w:val="27"/>
          <w:rtl/>
        </w:rPr>
        <w:t>من</w:t>
      </w:r>
      <w:r w:rsidR="00962F60" w:rsidRPr="006571AC">
        <w:rPr>
          <w:sz w:val="27"/>
          <w:rtl/>
        </w:rPr>
        <w:t xml:space="preserve"> </w:t>
      </w:r>
      <w:r w:rsidR="00962F60" w:rsidRPr="006571AC">
        <w:rPr>
          <w:rFonts w:hint="cs"/>
          <w:sz w:val="27"/>
          <w:rtl/>
        </w:rPr>
        <w:t>دون</w:t>
      </w:r>
      <w:r w:rsidR="00962F60" w:rsidRPr="006571AC">
        <w:rPr>
          <w:sz w:val="27"/>
          <w:rtl/>
        </w:rPr>
        <w:t xml:space="preserve"> </w:t>
      </w:r>
      <w:r w:rsidR="00962F60" w:rsidRPr="006571AC">
        <w:rPr>
          <w:rFonts w:hint="cs"/>
          <w:sz w:val="27"/>
          <w:rtl/>
        </w:rPr>
        <w:t>بناء</w:t>
      </w:r>
      <w:r w:rsidR="00962F60" w:rsidRPr="006571AC">
        <w:rPr>
          <w:sz w:val="27"/>
          <w:rtl/>
        </w:rPr>
        <w:t xml:space="preserve"> </w:t>
      </w:r>
      <w:r w:rsidR="00962F60" w:rsidRPr="006571AC">
        <w:rPr>
          <w:rFonts w:hint="cs"/>
          <w:sz w:val="27"/>
          <w:rtl/>
        </w:rPr>
        <w:t>نموذج</w:t>
      </w:r>
      <w:r w:rsidR="00962F60" w:rsidRPr="006571AC">
        <w:rPr>
          <w:sz w:val="27"/>
          <w:rtl/>
        </w:rPr>
        <w:t xml:space="preserve"> ـ </w:t>
      </w:r>
      <w:r w:rsidR="00962F60" w:rsidRPr="006571AC">
        <w:rPr>
          <w:rFonts w:hint="cs"/>
          <w:sz w:val="27"/>
          <w:rtl/>
        </w:rPr>
        <w:t>مثالي</w:t>
      </w:r>
      <w:r w:rsidR="00962F60" w:rsidRPr="006571AC">
        <w:rPr>
          <w:sz w:val="27"/>
          <w:rtl/>
        </w:rPr>
        <w:t xml:space="preserve"> </w:t>
      </w:r>
      <w:r w:rsidR="00962F60" w:rsidRPr="006571AC">
        <w:rPr>
          <w:rFonts w:hint="cs"/>
          <w:sz w:val="27"/>
          <w:rtl/>
        </w:rPr>
        <w:t>عنه</w:t>
      </w:r>
      <w:r w:rsidR="00962F60" w:rsidRPr="006571AC">
        <w:rPr>
          <w:sz w:val="27"/>
          <w:rtl/>
        </w:rPr>
        <w:t xml:space="preserve"> </w:t>
      </w:r>
      <w:r w:rsidR="00962F60" w:rsidRPr="006571AC">
        <w:rPr>
          <w:rFonts w:hint="cs"/>
          <w:sz w:val="27"/>
          <w:rtl/>
        </w:rPr>
        <w:t>أو</w:t>
      </w:r>
      <w:r w:rsidR="00962F60" w:rsidRPr="006571AC">
        <w:rPr>
          <w:sz w:val="27"/>
          <w:rtl/>
        </w:rPr>
        <w:t xml:space="preserve"> </w:t>
      </w:r>
      <w:r w:rsidR="00962F60" w:rsidRPr="006571AC">
        <w:rPr>
          <w:rFonts w:hint="cs"/>
          <w:sz w:val="27"/>
          <w:rtl/>
        </w:rPr>
        <w:t>عنها</w:t>
      </w:r>
      <w:r w:rsidR="004C7F35" w:rsidRPr="006571AC">
        <w:rPr>
          <w:rFonts w:hint="cs"/>
          <w:sz w:val="27"/>
          <w:rtl/>
        </w:rPr>
        <w:t>.</w:t>
      </w:r>
    </w:p>
    <w:p w:rsidR="00962F60" w:rsidRPr="006571AC" w:rsidRDefault="008D22D6" w:rsidP="007E009E">
      <w:pPr>
        <w:rPr>
          <w:sz w:val="27"/>
        </w:rPr>
      </w:pPr>
      <w:r w:rsidRPr="006571AC">
        <w:rPr>
          <w:rFonts w:hint="cs"/>
          <w:sz w:val="27"/>
          <w:rtl/>
        </w:rPr>
        <w:t xml:space="preserve">2ـ </w:t>
      </w:r>
      <w:r w:rsidR="00962F60" w:rsidRPr="006571AC">
        <w:rPr>
          <w:rFonts w:hint="cs"/>
          <w:sz w:val="27"/>
          <w:rtl/>
        </w:rPr>
        <w:t>أن</w:t>
      </w:r>
      <w:r w:rsidR="00962F60" w:rsidRPr="006571AC">
        <w:rPr>
          <w:sz w:val="27"/>
          <w:rtl/>
        </w:rPr>
        <w:t xml:space="preserve"> </w:t>
      </w:r>
      <w:r w:rsidR="00962F60" w:rsidRPr="006571AC">
        <w:rPr>
          <w:rFonts w:hint="cs"/>
          <w:sz w:val="27"/>
          <w:rtl/>
        </w:rPr>
        <w:t>يبني</w:t>
      </w:r>
      <w:r w:rsidR="00962F60" w:rsidRPr="006571AC">
        <w:rPr>
          <w:sz w:val="27"/>
          <w:rtl/>
        </w:rPr>
        <w:t xml:space="preserve"> </w:t>
      </w:r>
      <w:r w:rsidR="00962F60" w:rsidRPr="006571AC">
        <w:rPr>
          <w:rFonts w:hint="cs"/>
          <w:sz w:val="27"/>
          <w:rtl/>
        </w:rPr>
        <w:t>علاقات</w:t>
      </w:r>
      <w:r w:rsidR="00D50126" w:rsidRPr="006571AC">
        <w:rPr>
          <w:rFonts w:hint="cs"/>
          <w:sz w:val="27"/>
          <w:rtl/>
        </w:rPr>
        <w:t>ٍ</w:t>
      </w:r>
      <w:r w:rsidR="00962F60" w:rsidRPr="006571AC">
        <w:rPr>
          <w:sz w:val="27"/>
          <w:rtl/>
        </w:rPr>
        <w:t xml:space="preserve"> </w:t>
      </w:r>
      <w:r w:rsidR="00962F60" w:rsidRPr="006571AC">
        <w:rPr>
          <w:rFonts w:hint="cs"/>
          <w:sz w:val="27"/>
          <w:rtl/>
        </w:rPr>
        <w:t>سببية</w:t>
      </w:r>
      <w:r w:rsidR="00962F60" w:rsidRPr="006571AC">
        <w:rPr>
          <w:sz w:val="27"/>
          <w:rtl/>
        </w:rPr>
        <w:t xml:space="preserve"> (</w:t>
      </w:r>
      <w:r w:rsidR="00962F60" w:rsidRPr="006571AC">
        <w:rPr>
          <w:rFonts w:hint="cs"/>
          <w:sz w:val="27"/>
          <w:rtl/>
        </w:rPr>
        <w:t>اقتصادية</w:t>
      </w:r>
      <w:r w:rsidR="00962F60" w:rsidRPr="006571AC">
        <w:rPr>
          <w:sz w:val="27"/>
          <w:rtl/>
        </w:rPr>
        <w:t xml:space="preserve"> </w:t>
      </w:r>
      <w:r w:rsidR="00962F60" w:rsidRPr="006571AC">
        <w:rPr>
          <w:rFonts w:hint="cs"/>
          <w:sz w:val="27"/>
          <w:rtl/>
        </w:rPr>
        <w:t>أو</w:t>
      </w:r>
      <w:r w:rsidR="00962F60" w:rsidRPr="006571AC">
        <w:rPr>
          <w:sz w:val="27"/>
          <w:rtl/>
        </w:rPr>
        <w:t xml:space="preserve"> </w:t>
      </w:r>
      <w:r w:rsidR="00962F60" w:rsidRPr="006571AC">
        <w:rPr>
          <w:rFonts w:hint="cs"/>
          <w:sz w:val="27"/>
          <w:rtl/>
        </w:rPr>
        <w:t>اجتماعية</w:t>
      </w:r>
      <w:r w:rsidR="00962F60" w:rsidRPr="006571AC">
        <w:rPr>
          <w:sz w:val="27"/>
          <w:rtl/>
        </w:rPr>
        <w:t xml:space="preserve"> </w:t>
      </w:r>
      <w:r w:rsidR="00962F60" w:rsidRPr="006571AC">
        <w:rPr>
          <w:rFonts w:hint="cs"/>
          <w:sz w:val="27"/>
          <w:rtl/>
        </w:rPr>
        <w:t>أو</w:t>
      </w:r>
      <w:r w:rsidR="00962F60" w:rsidRPr="006571AC">
        <w:rPr>
          <w:sz w:val="27"/>
          <w:rtl/>
        </w:rPr>
        <w:t xml:space="preserve"> </w:t>
      </w:r>
      <w:r w:rsidR="00962F60" w:rsidRPr="006571AC">
        <w:rPr>
          <w:rFonts w:hint="cs"/>
          <w:sz w:val="27"/>
          <w:rtl/>
        </w:rPr>
        <w:t>سياسية</w:t>
      </w:r>
      <w:r w:rsidR="00962F60" w:rsidRPr="006571AC">
        <w:rPr>
          <w:sz w:val="27"/>
          <w:rtl/>
        </w:rPr>
        <w:t xml:space="preserve"> </w:t>
      </w:r>
      <w:r w:rsidR="00962F60" w:rsidRPr="006571AC">
        <w:rPr>
          <w:rFonts w:hint="cs"/>
          <w:sz w:val="27"/>
          <w:rtl/>
        </w:rPr>
        <w:t>أو</w:t>
      </w:r>
      <w:r w:rsidR="00962F60" w:rsidRPr="006571AC">
        <w:rPr>
          <w:sz w:val="27"/>
          <w:rtl/>
        </w:rPr>
        <w:t xml:space="preserve"> </w:t>
      </w:r>
      <w:r w:rsidR="00962F60" w:rsidRPr="006571AC">
        <w:rPr>
          <w:rFonts w:hint="cs"/>
          <w:sz w:val="27"/>
          <w:rtl/>
        </w:rPr>
        <w:t>تاريخية</w:t>
      </w:r>
      <w:r w:rsidR="00D50126" w:rsidRPr="006571AC">
        <w:rPr>
          <w:rFonts w:hint="cs"/>
          <w:sz w:val="27"/>
          <w:rtl/>
        </w:rPr>
        <w:t>...،</w:t>
      </w:r>
      <w:r w:rsidR="004C7F35" w:rsidRPr="006571AC">
        <w:rPr>
          <w:rFonts w:hint="cs"/>
          <w:sz w:val="27"/>
          <w:rtl/>
        </w:rPr>
        <w:t xml:space="preserve"> </w:t>
      </w:r>
      <w:r w:rsidR="00962F60" w:rsidRPr="006571AC">
        <w:rPr>
          <w:rFonts w:hint="cs"/>
          <w:sz w:val="27"/>
          <w:rtl/>
        </w:rPr>
        <w:t>إلخ</w:t>
      </w:r>
      <w:r w:rsidR="00962F60" w:rsidRPr="006571AC">
        <w:rPr>
          <w:sz w:val="27"/>
          <w:rtl/>
        </w:rPr>
        <w:t xml:space="preserve">) </w:t>
      </w:r>
      <w:r w:rsidR="00962F60" w:rsidRPr="006571AC">
        <w:rPr>
          <w:rFonts w:hint="cs"/>
          <w:sz w:val="27"/>
          <w:rtl/>
        </w:rPr>
        <w:t>إلا</w:t>
      </w:r>
      <w:r w:rsidR="00D50126" w:rsidRPr="006571AC">
        <w:rPr>
          <w:rFonts w:hint="cs"/>
          <w:sz w:val="27"/>
          <w:rtl/>
        </w:rPr>
        <w:t>ّ</w:t>
      </w:r>
      <w:r w:rsidR="00962F60" w:rsidRPr="006571AC">
        <w:rPr>
          <w:sz w:val="27"/>
          <w:rtl/>
        </w:rPr>
        <w:t xml:space="preserve"> </w:t>
      </w:r>
      <w:r w:rsidR="00962F60" w:rsidRPr="006571AC">
        <w:rPr>
          <w:rFonts w:hint="cs"/>
          <w:sz w:val="27"/>
          <w:rtl/>
        </w:rPr>
        <w:t>بعد</w:t>
      </w:r>
      <w:r w:rsidR="00962F60" w:rsidRPr="006571AC">
        <w:rPr>
          <w:sz w:val="27"/>
          <w:rtl/>
        </w:rPr>
        <w:t xml:space="preserve"> </w:t>
      </w:r>
      <w:r w:rsidR="00962F60" w:rsidRPr="006571AC">
        <w:rPr>
          <w:rFonts w:hint="cs"/>
          <w:sz w:val="27"/>
          <w:rtl/>
        </w:rPr>
        <w:t>هذا</w:t>
      </w:r>
      <w:r w:rsidR="00962F60" w:rsidRPr="006571AC">
        <w:rPr>
          <w:sz w:val="27"/>
          <w:rtl/>
        </w:rPr>
        <w:t xml:space="preserve"> </w:t>
      </w:r>
      <w:r w:rsidR="00962F60" w:rsidRPr="006571AC">
        <w:rPr>
          <w:rFonts w:hint="cs"/>
          <w:sz w:val="27"/>
          <w:rtl/>
        </w:rPr>
        <w:t>البناء</w:t>
      </w:r>
      <w:r w:rsidR="00962F60" w:rsidRPr="006571AC">
        <w:rPr>
          <w:sz w:val="27"/>
          <w:rtl/>
        </w:rPr>
        <w:t xml:space="preserve"> </w:t>
      </w:r>
      <w:r w:rsidR="00962F60" w:rsidRPr="006571AC">
        <w:rPr>
          <w:rFonts w:hint="cs"/>
          <w:sz w:val="27"/>
          <w:rtl/>
        </w:rPr>
        <w:t>الذهني</w:t>
      </w:r>
      <w:r w:rsidR="00962F60" w:rsidRPr="006571AC">
        <w:rPr>
          <w:sz w:val="27"/>
          <w:rtl/>
        </w:rPr>
        <w:t xml:space="preserve"> </w:t>
      </w:r>
      <w:r w:rsidR="00962F60" w:rsidRPr="006571AC">
        <w:rPr>
          <w:rFonts w:hint="cs"/>
          <w:sz w:val="27"/>
          <w:rtl/>
        </w:rPr>
        <w:t>المنطلق</w:t>
      </w:r>
      <w:r w:rsidR="00962F60" w:rsidRPr="006571AC">
        <w:rPr>
          <w:sz w:val="27"/>
          <w:rtl/>
        </w:rPr>
        <w:t xml:space="preserve"> </w:t>
      </w:r>
      <w:r w:rsidR="00962F60" w:rsidRPr="006571AC">
        <w:rPr>
          <w:rFonts w:hint="cs"/>
          <w:sz w:val="27"/>
          <w:rtl/>
        </w:rPr>
        <w:t>من</w:t>
      </w:r>
      <w:r w:rsidR="00962F60" w:rsidRPr="006571AC">
        <w:rPr>
          <w:sz w:val="27"/>
          <w:rtl/>
        </w:rPr>
        <w:t xml:space="preserve"> </w:t>
      </w:r>
      <w:r w:rsidR="00962F60" w:rsidRPr="006571AC">
        <w:rPr>
          <w:rFonts w:hint="cs"/>
          <w:sz w:val="27"/>
          <w:rtl/>
        </w:rPr>
        <w:t>دراسة</w:t>
      </w:r>
      <w:r w:rsidR="00962F60" w:rsidRPr="006571AC">
        <w:rPr>
          <w:sz w:val="27"/>
          <w:rtl/>
        </w:rPr>
        <w:t xml:space="preserve"> </w:t>
      </w:r>
      <w:r w:rsidR="00962F60" w:rsidRPr="006571AC">
        <w:rPr>
          <w:rFonts w:hint="cs"/>
          <w:sz w:val="27"/>
          <w:rtl/>
        </w:rPr>
        <w:t>المعطيات</w:t>
      </w:r>
      <w:r w:rsidR="00962F60" w:rsidRPr="006571AC">
        <w:rPr>
          <w:sz w:val="27"/>
          <w:rtl/>
        </w:rPr>
        <w:t xml:space="preserve">. </w:t>
      </w:r>
      <w:r w:rsidR="00962F60" w:rsidRPr="006571AC">
        <w:rPr>
          <w:rFonts w:hint="cs"/>
          <w:sz w:val="27"/>
          <w:rtl/>
        </w:rPr>
        <w:t>إن</w:t>
      </w:r>
      <w:r w:rsidR="00962F60" w:rsidRPr="006571AC">
        <w:rPr>
          <w:sz w:val="27"/>
          <w:rtl/>
        </w:rPr>
        <w:t xml:space="preserve"> </w:t>
      </w:r>
      <w:r w:rsidR="00962F60" w:rsidRPr="006571AC">
        <w:rPr>
          <w:rFonts w:hint="cs"/>
          <w:sz w:val="27"/>
          <w:rtl/>
        </w:rPr>
        <w:t>منهجية</w:t>
      </w:r>
      <w:r w:rsidR="00962F60" w:rsidRPr="006571AC">
        <w:rPr>
          <w:sz w:val="27"/>
          <w:rtl/>
        </w:rPr>
        <w:t xml:space="preserve"> </w:t>
      </w:r>
      <w:r w:rsidR="00962F60" w:rsidRPr="006571AC">
        <w:rPr>
          <w:rFonts w:hint="cs"/>
          <w:sz w:val="27"/>
          <w:rtl/>
        </w:rPr>
        <w:t>النموذج</w:t>
      </w:r>
      <w:r w:rsidR="00962F60" w:rsidRPr="006571AC">
        <w:rPr>
          <w:sz w:val="27"/>
          <w:rtl/>
        </w:rPr>
        <w:t xml:space="preserve"> ـ </w:t>
      </w:r>
      <w:r w:rsidR="00962F60" w:rsidRPr="006571AC">
        <w:rPr>
          <w:rFonts w:hint="cs"/>
          <w:sz w:val="27"/>
          <w:rtl/>
        </w:rPr>
        <w:t>الم</w:t>
      </w:r>
      <w:r w:rsidR="00962F60" w:rsidRPr="006571AC">
        <w:rPr>
          <w:sz w:val="27"/>
          <w:rtl/>
        </w:rPr>
        <w:t>ثالي تسمح بالتعاطي مع التركيبات المفاهمية والنظرية ـ المذهبية هذه خارج إطار الحُك</w:t>
      </w:r>
      <w:r w:rsidR="004C7F35" w:rsidRPr="006571AC">
        <w:rPr>
          <w:rFonts w:hint="cs"/>
          <w:sz w:val="27"/>
          <w:rtl/>
        </w:rPr>
        <w:t>ْ</w:t>
      </w:r>
      <w:r w:rsidR="00962F60" w:rsidRPr="006571AC">
        <w:rPr>
          <w:sz w:val="27"/>
          <w:rtl/>
        </w:rPr>
        <w:t>م الق</w:t>
      </w:r>
      <w:r w:rsidR="00D50126" w:rsidRPr="006571AC">
        <w:rPr>
          <w:rFonts w:hint="cs"/>
          <w:sz w:val="27"/>
          <w:rtl/>
        </w:rPr>
        <w:t>ِ</w:t>
      </w:r>
      <w:r w:rsidR="00962F60" w:rsidRPr="006571AC">
        <w:rPr>
          <w:sz w:val="27"/>
          <w:rtl/>
        </w:rPr>
        <w:t>يَمي، وتتعامل معها على أنها، ببساطة</w:t>
      </w:r>
      <w:r w:rsidR="00D50126" w:rsidRPr="006571AC">
        <w:rPr>
          <w:rFonts w:hint="cs"/>
          <w:sz w:val="27"/>
          <w:rtl/>
        </w:rPr>
        <w:t>ٍ</w:t>
      </w:r>
      <w:r w:rsidR="00962F60" w:rsidRPr="006571AC">
        <w:rPr>
          <w:sz w:val="27"/>
          <w:rtl/>
        </w:rPr>
        <w:t>، أداة</w:t>
      </w:r>
      <w:r w:rsidR="00D50126" w:rsidRPr="006571AC">
        <w:rPr>
          <w:rFonts w:hint="cs"/>
          <w:sz w:val="27"/>
          <w:rtl/>
        </w:rPr>
        <w:t>ٌ</w:t>
      </w:r>
      <w:r w:rsidR="00962F60" w:rsidRPr="006571AC">
        <w:rPr>
          <w:sz w:val="27"/>
          <w:rtl/>
        </w:rPr>
        <w:t xml:space="preserve"> للبحث العلمي</w:t>
      </w:r>
      <w:r w:rsidR="00D50126" w:rsidRPr="006571AC">
        <w:rPr>
          <w:rFonts w:hint="cs"/>
          <w:sz w:val="27"/>
          <w:rtl/>
        </w:rPr>
        <w:t>،</w:t>
      </w:r>
      <w:r w:rsidR="00962F60" w:rsidRPr="006571AC">
        <w:rPr>
          <w:sz w:val="27"/>
          <w:rtl/>
        </w:rPr>
        <w:t xml:space="preserve"> لا أكثر. وبالتالي، يصبح الباحث المهتم</w:t>
      </w:r>
      <w:r w:rsidR="00D50126" w:rsidRPr="006571AC">
        <w:rPr>
          <w:rFonts w:hint="cs"/>
          <w:sz w:val="27"/>
          <w:rtl/>
        </w:rPr>
        <w:t>ّ</w:t>
      </w:r>
      <w:r w:rsidR="00962F60" w:rsidRPr="006571AC">
        <w:rPr>
          <w:sz w:val="27"/>
          <w:rtl/>
        </w:rPr>
        <w:t xml:space="preserve"> بالمواضيع ال</w:t>
      </w:r>
      <w:r w:rsidR="00D50126" w:rsidRPr="006571AC">
        <w:rPr>
          <w:rFonts w:hint="cs"/>
          <w:sz w:val="27"/>
          <w:rtl/>
        </w:rPr>
        <w:t>إ</w:t>
      </w:r>
      <w:r w:rsidR="00962F60" w:rsidRPr="006571AC">
        <w:rPr>
          <w:sz w:val="27"/>
          <w:rtl/>
        </w:rPr>
        <w:t>سلامية عموما</w:t>
      </w:r>
      <w:r w:rsidR="00D50126" w:rsidRPr="006571AC">
        <w:rPr>
          <w:rFonts w:hint="cs"/>
          <w:sz w:val="27"/>
          <w:rtl/>
        </w:rPr>
        <w:t>ً</w:t>
      </w:r>
      <w:r w:rsidR="00962F60" w:rsidRPr="006571AC">
        <w:rPr>
          <w:sz w:val="27"/>
          <w:rtl/>
        </w:rPr>
        <w:t xml:space="preserve"> قادرا</w:t>
      </w:r>
      <w:r w:rsidR="00D50126" w:rsidRPr="006571AC">
        <w:rPr>
          <w:rFonts w:hint="cs"/>
          <w:sz w:val="27"/>
          <w:rtl/>
        </w:rPr>
        <w:t>ً</w:t>
      </w:r>
      <w:r w:rsidR="00962F60" w:rsidRPr="006571AC">
        <w:rPr>
          <w:sz w:val="27"/>
          <w:rtl/>
        </w:rPr>
        <w:t xml:space="preserve"> على بناء هذه المفاهيم والنظريات</w:t>
      </w:r>
      <w:r w:rsidR="00D50126" w:rsidRPr="006571AC">
        <w:rPr>
          <w:rFonts w:hint="cs"/>
          <w:sz w:val="27"/>
          <w:rtl/>
        </w:rPr>
        <w:t>،</w:t>
      </w:r>
      <w:r w:rsidR="00962F60" w:rsidRPr="006571AC">
        <w:rPr>
          <w:sz w:val="27"/>
          <w:rtl/>
        </w:rPr>
        <w:t xml:space="preserve"> ودراستها، ثم</w:t>
      </w:r>
      <w:r w:rsidR="00D50126" w:rsidRPr="006571AC">
        <w:rPr>
          <w:rFonts w:hint="cs"/>
          <w:sz w:val="27"/>
          <w:rtl/>
        </w:rPr>
        <w:t>ّ</w:t>
      </w:r>
      <w:r w:rsidR="00962F60" w:rsidRPr="006571AC">
        <w:rPr>
          <w:sz w:val="27"/>
          <w:rtl/>
        </w:rPr>
        <w:t xml:space="preserve"> وضعها تحت التجربة الأمبريقية، مع تجن</w:t>
      </w:r>
      <w:r w:rsidR="00D50126" w:rsidRPr="006571AC">
        <w:rPr>
          <w:rFonts w:hint="cs"/>
          <w:sz w:val="27"/>
          <w:rtl/>
        </w:rPr>
        <w:t>ُّ</w:t>
      </w:r>
      <w:r w:rsidR="00962F60" w:rsidRPr="006571AC">
        <w:rPr>
          <w:sz w:val="27"/>
          <w:rtl/>
        </w:rPr>
        <w:t>ب مخاطر التموضع ال</w:t>
      </w:r>
      <w:r w:rsidR="00D50126" w:rsidRPr="006571AC">
        <w:rPr>
          <w:rFonts w:hint="cs"/>
          <w:sz w:val="27"/>
          <w:rtl/>
        </w:rPr>
        <w:t>إ</w:t>
      </w:r>
      <w:r w:rsidR="00962F60" w:rsidRPr="006571AC">
        <w:rPr>
          <w:sz w:val="27"/>
          <w:rtl/>
        </w:rPr>
        <w:t xml:space="preserve">بستمولوجي. وهذا </w:t>
      </w:r>
      <w:r w:rsidR="004C7F35" w:rsidRPr="006571AC">
        <w:rPr>
          <w:sz w:val="27"/>
          <w:rtl/>
        </w:rPr>
        <w:t>ما يفتح بالتالي الباب أمام تقري</w:t>
      </w:r>
      <w:r w:rsidR="004C7F35" w:rsidRPr="006571AC">
        <w:rPr>
          <w:rFonts w:hint="cs"/>
          <w:sz w:val="27"/>
          <w:rtl/>
        </w:rPr>
        <w:t>بٍ</w:t>
      </w:r>
      <w:r w:rsidR="00962F60" w:rsidRPr="006571AC">
        <w:rPr>
          <w:sz w:val="27"/>
          <w:rtl/>
        </w:rPr>
        <w:t xml:space="preserve"> جد</w:t>
      </w:r>
      <w:r w:rsidR="00D50126" w:rsidRPr="006571AC">
        <w:rPr>
          <w:rFonts w:hint="cs"/>
          <w:sz w:val="27"/>
          <w:rtl/>
        </w:rPr>
        <w:t>ّ</w:t>
      </w:r>
      <w:r w:rsidR="00962F60" w:rsidRPr="006571AC">
        <w:rPr>
          <w:sz w:val="27"/>
          <w:rtl/>
        </w:rPr>
        <w:t>ي جد</w:t>
      </w:r>
      <w:r w:rsidR="00D50126" w:rsidRPr="006571AC">
        <w:rPr>
          <w:rFonts w:hint="cs"/>
          <w:sz w:val="27"/>
          <w:rtl/>
        </w:rPr>
        <w:t>ّ</w:t>
      </w:r>
      <w:r w:rsidR="00962F60" w:rsidRPr="006571AC">
        <w:rPr>
          <w:sz w:val="27"/>
          <w:rtl/>
        </w:rPr>
        <w:t>ا</w:t>
      </w:r>
      <w:r w:rsidR="00D50126" w:rsidRPr="006571AC">
        <w:rPr>
          <w:rFonts w:hint="cs"/>
          <w:sz w:val="27"/>
          <w:rtl/>
        </w:rPr>
        <w:t>ً</w:t>
      </w:r>
      <w:r w:rsidR="00962F60" w:rsidRPr="006571AC">
        <w:rPr>
          <w:sz w:val="27"/>
          <w:rtl/>
        </w:rPr>
        <w:t xml:space="preserve"> بين العلوم التجريبية من جهة</w:t>
      </w:r>
      <w:r w:rsidR="00D50126" w:rsidRPr="006571AC">
        <w:rPr>
          <w:rFonts w:hint="cs"/>
          <w:sz w:val="27"/>
          <w:rtl/>
        </w:rPr>
        <w:t>ٍ</w:t>
      </w:r>
      <w:r w:rsidR="00962F60" w:rsidRPr="006571AC">
        <w:rPr>
          <w:sz w:val="27"/>
          <w:rtl/>
        </w:rPr>
        <w:t xml:space="preserve"> والمواضيع الدينية من جهة</w:t>
      </w:r>
      <w:r w:rsidR="00D50126" w:rsidRPr="006571AC">
        <w:rPr>
          <w:rFonts w:hint="cs"/>
          <w:sz w:val="27"/>
          <w:rtl/>
        </w:rPr>
        <w:t>ٍ</w:t>
      </w:r>
      <w:r w:rsidR="00962F60" w:rsidRPr="006571AC">
        <w:rPr>
          <w:sz w:val="27"/>
          <w:rtl/>
        </w:rPr>
        <w:t xml:space="preserve"> أخرى. </w:t>
      </w:r>
    </w:p>
    <w:p w:rsidR="00D50126" w:rsidRPr="006571AC" w:rsidRDefault="00962F60" w:rsidP="007E009E">
      <w:pPr>
        <w:rPr>
          <w:sz w:val="27"/>
          <w:rtl/>
        </w:rPr>
      </w:pPr>
      <w:r w:rsidRPr="006571AC">
        <w:rPr>
          <w:sz w:val="27"/>
          <w:rtl/>
        </w:rPr>
        <w:t>مع ترك تفاصيل هذه التعريفات إلى المراجع المذكورة</w:t>
      </w:r>
      <w:r w:rsidR="00D50126" w:rsidRPr="006571AC">
        <w:rPr>
          <w:rFonts w:hint="cs"/>
          <w:sz w:val="27"/>
          <w:rtl/>
        </w:rPr>
        <w:t>،</w:t>
      </w:r>
      <w:r w:rsidRPr="006571AC">
        <w:rPr>
          <w:sz w:val="27"/>
          <w:rtl/>
        </w:rPr>
        <w:t xml:space="preserve"> وإلى أبحاثنا الأخرى</w:t>
      </w:r>
      <w:r w:rsidR="007E254D" w:rsidRPr="006571AC">
        <w:rPr>
          <w:rFonts w:hint="cs"/>
          <w:sz w:val="27"/>
          <w:vertAlign w:val="superscript"/>
          <w:rtl/>
        </w:rPr>
        <w:t>(</w:t>
      </w:r>
      <w:r w:rsidR="007E254D" w:rsidRPr="006571AC">
        <w:rPr>
          <w:rStyle w:val="ac"/>
          <w:sz w:val="27"/>
          <w:rtl/>
        </w:rPr>
        <w:endnoteReference w:id="933"/>
      </w:r>
      <w:r w:rsidR="007E254D" w:rsidRPr="006571AC">
        <w:rPr>
          <w:rFonts w:hint="cs"/>
          <w:sz w:val="27"/>
          <w:vertAlign w:val="superscript"/>
          <w:rtl/>
        </w:rPr>
        <w:t>)</w:t>
      </w:r>
      <w:r w:rsidRPr="006571AC">
        <w:rPr>
          <w:rFonts w:hint="cs"/>
          <w:sz w:val="27"/>
          <w:rtl/>
        </w:rPr>
        <w:t>،</w:t>
      </w:r>
      <w:r w:rsidRPr="006571AC">
        <w:rPr>
          <w:sz w:val="27"/>
          <w:rtl/>
        </w:rPr>
        <w:t xml:space="preserve"> </w:t>
      </w:r>
      <w:r w:rsidRPr="006571AC">
        <w:rPr>
          <w:rFonts w:hint="cs"/>
          <w:sz w:val="27"/>
          <w:rtl/>
        </w:rPr>
        <w:t>نقدّ</w:t>
      </w:r>
      <w:r w:rsidR="00D50126" w:rsidRPr="006571AC">
        <w:rPr>
          <w:rFonts w:hint="cs"/>
          <w:sz w:val="27"/>
          <w:rtl/>
        </w:rPr>
        <w:t>ِ</w:t>
      </w:r>
      <w:r w:rsidRPr="006571AC">
        <w:rPr>
          <w:rFonts w:hint="cs"/>
          <w:sz w:val="27"/>
          <w:rtl/>
        </w:rPr>
        <w:t>م</w:t>
      </w:r>
      <w:r w:rsidRPr="006571AC">
        <w:rPr>
          <w:sz w:val="27"/>
          <w:rtl/>
        </w:rPr>
        <w:t xml:space="preserve"> </w:t>
      </w:r>
      <w:r w:rsidRPr="006571AC">
        <w:rPr>
          <w:rFonts w:hint="cs"/>
          <w:sz w:val="27"/>
          <w:rtl/>
        </w:rPr>
        <w:t>طرح</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التقريب</w:t>
      </w:r>
      <w:r w:rsidRPr="006571AC">
        <w:rPr>
          <w:sz w:val="27"/>
          <w:rtl/>
        </w:rPr>
        <w:t xml:space="preserve"> </w:t>
      </w:r>
      <w:r w:rsidRPr="006571AC">
        <w:rPr>
          <w:rFonts w:hint="cs"/>
          <w:sz w:val="27"/>
          <w:rtl/>
        </w:rPr>
        <w:t>بين</w:t>
      </w:r>
      <w:r w:rsidRPr="006571AC">
        <w:rPr>
          <w:sz w:val="27"/>
          <w:rtl/>
        </w:rPr>
        <w:t xml:space="preserve"> </w:t>
      </w:r>
      <w:r w:rsidRPr="006571AC">
        <w:rPr>
          <w:rFonts w:hint="cs"/>
          <w:sz w:val="27"/>
          <w:rtl/>
        </w:rPr>
        <w:t>التفكيرين</w:t>
      </w:r>
      <w:r w:rsidR="00D50126" w:rsidRPr="006571AC">
        <w:rPr>
          <w:rFonts w:hint="cs"/>
          <w:sz w:val="27"/>
          <w:rtl/>
        </w:rPr>
        <w:t>:</w:t>
      </w:r>
      <w:r w:rsidRPr="006571AC">
        <w:rPr>
          <w:sz w:val="27"/>
          <w:rtl/>
        </w:rPr>
        <w:t xml:space="preserve"> </w:t>
      </w:r>
      <w:r w:rsidRPr="006571AC">
        <w:rPr>
          <w:rFonts w:hint="cs"/>
          <w:sz w:val="27"/>
          <w:rtl/>
        </w:rPr>
        <w:t>ال</w:t>
      </w:r>
      <w:r w:rsidR="00D50126" w:rsidRPr="006571AC">
        <w:rPr>
          <w:rFonts w:hint="cs"/>
          <w:sz w:val="27"/>
          <w:rtl/>
        </w:rPr>
        <w:t>إ</w:t>
      </w:r>
      <w:r w:rsidRPr="006571AC">
        <w:rPr>
          <w:rFonts w:hint="cs"/>
          <w:sz w:val="27"/>
          <w:rtl/>
        </w:rPr>
        <w:t>بستمولوجي</w:t>
      </w:r>
      <w:r w:rsidRPr="006571AC">
        <w:rPr>
          <w:sz w:val="27"/>
          <w:rtl/>
        </w:rPr>
        <w:t xml:space="preserve"> ـ </w:t>
      </w:r>
      <w:r w:rsidRPr="006571AC">
        <w:rPr>
          <w:rFonts w:hint="cs"/>
          <w:sz w:val="27"/>
          <w:rtl/>
        </w:rPr>
        <w:t>الميتودولوجي</w:t>
      </w:r>
      <w:r w:rsidRPr="006571AC">
        <w:rPr>
          <w:sz w:val="27"/>
          <w:rtl/>
        </w:rPr>
        <w:t xml:space="preserve"> </w:t>
      </w:r>
      <w:r w:rsidRPr="006571AC">
        <w:rPr>
          <w:rFonts w:hint="cs"/>
          <w:sz w:val="27"/>
          <w:rtl/>
        </w:rPr>
        <w:t>الصدري</w:t>
      </w:r>
      <w:r w:rsidRPr="006571AC">
        <w:rPr>
          <w:sz w:val="27"/>
          <w:rtl/>
        </w:rPr>
        <w:t xml:space="preserve"> </w:t>
      </w:r>
      <w:r w:rsidRPr="006571AC">
        <w:rPr>
          <w:rFonts w:hint="cs"/>
          <w:sz w:val="27"/>
          <w:rtl/>
        </w:rPr>
        <w:t>والفيبري</w:t>
      </w:r>
      <w:r w:rsidRPr="006571AC">
        <w:rPr>
          <w:sz w:val="27"/>
          <w:rtl/>
        </w:rPr>
        <w:t xml:space="preserve"> </w:t>
      </w:r>
      <w:r w:rsidRPr="006571AC">
        <w:rPr>
          <w:rFonts w:hint="cs"/>
          <w:sz w:val="27"/>
          <w:rtl/>
        </w:rPr>
        <w:t>بشكل</w:t>
      </w:r>
      <w:r w:rsidR="00D50126" w:rsidRPr="006571AC">
        <w:rPr>
          <w:rFonts w:hint="cs"/>
          <w:sz w:val="27"/>
          <w:rtl/>
        </w:rPr>
        <w:t>ٍ</w:t>
      </w:r>
      <w:r w:rsidRPr="006571AC">
        <w:rPr>
          <w:sz w:val="27"/>
          <w:rtl/>
        </w:rPr>
        <w:t xml:space="preserve"> </w:t>
      </w:r>
      <w:r w:rsidRPr="006571AC">
        <w:rPr>
          <w:rFonts w:hint="cs"/>
          <w:sz w:val="27"/>
          <w:rtl/>
        </w:rPr>
        <w:t>عام</w:t>
      </w:r>
      <w:r w:rsidR="00D50126" w:rsidRPr="006571AC">
        <w:rPr>
          <w:rFonts w:hint="cs"/>
          <w:sz w:val="27"/>
          <w:rtl/>
        </w:rPr>
        <w:t>ّ،</w:t>
      </w:r>
      <w:r w:rsidRPr="006571AC">
        <w:rPr>
          <w:rFonts w:hint="cs"/>
          <w:sz w:val="27"/>
          <w:rtl/>
        </w:rPr>
        <w:t xml:space="preserve"> وبين</w:t>
      </w:r>
      <w:r w:rsidRPr="006571AC">
        <w:rPr>
          <w:sz w:val="27"/>
          <w:rtl/>
        </w:rPr>
        <w:t xml:space="preserve"> </w:t>
      </w:r>
      <w:r w:rsidRPr="006571AC">
        <w:rPr>
          <w:rFonts w:hint="cs"/>
          <w:sz w:val="27"/>
          <w:rtl/>
        </w:rPr>
        <w:t>طريقة</w:t>
      </w:r>
      <w:r w:rsidRPr="006571AC">
        <w:rPr>
          <w:sz w:val="27"/>
          <w:rtl/>
        </w:rPr>
        <w:t xml:space="preserve"> </w:t>
      </w:r>
      <w:r w:rsidRPr="006571AC">
        <w:rPr>
          <w:rFonts w:hint="cs"/>
          <w:sz w:val="27"/>
          <w:rtl/>
        </w:rPr>
        <w:t>الطبقات</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الطوابق</w:t>
      </w:r>
      <w:r w:rsidRPr="006571AC">
        <w:rPr>
          <w:sz w:val="27"/>
          <w:rtl/>
        </w:rPr>
        <w:t xml:space="preserve">) </w:t>
      </w:r>
      <w:r w:rsidRPr="006571AC">
        <w:rPr>
          <w:rFonts w:hint="cs"/>
          <w:sz w:val="27"/>
          <w:rtl/>
        </w:rPr>
        <w:t>الصدرية</w:t>
      </w:r>
      <w:r w:rsidRPr="006571AC">
        <w:rPr>
          <w:sz w:val="27"/>
          <w:rtl/>
        </w:rPr>
        <w:t xml:space="preserve"> </w:t>
      </w:r>
      <w:r w:rsidRPr="006571AC">
        <w:rPr>
          <w:rFonts w:hint="cs"/>
          <w:sz w:val="27"/>
          <w:rtl/>
        </w:rPr>
        <w:t>وطريقة</w:t>
      </w:r>
      <w:r w:rsidRPr="006571AC">
        <w:rPr>
          <w:sz w:val="27"/>
          <w:rtl/>
        </w:rPr>
        <w:t xml:space="preserve"> </w:t>
      </w:r>
      <w:r w:rsidRPr="006571AC">
        <w:rPr>
          <w:rFonts w:hint="cs"/>
          <w:sz w:val="27"/>
          <w:rtl/>
        </w:rPr>
        <w:lastRenderedPageBreak/>
        <w:t>النموذج</w:t>
      </w:r>
      <w:r w:rsidRPr="006571AC">
        <w:rPr>
          <w:sz w:val="27"/>
          <w:rtl/>
        </w:rPr>
        <w:t xml:space="preserve"> ـ </w:t>
      </w:r>
      <w:r w:rsidRPr="006571AC">
        <w:rPr>
          <w:rFonts w:hint="cs"/>
          <w:sz w:val="27"/>
          <w:rtl/>
        </w:rPr>
        <w:t>المثالي</w:t>
      </w:r>
      <w:r w:rsidRPr="006571AC">
        <w:rPr>
          <w:sz w:val="27"/>
          <w:rtl/>
        </w:rPr>
        <w:t xml:space="preserve"> </w:t>
      </w:r>
      <w:r w:rsidRPr="006571AC">
        <w:rPr>
          <w:rFonts w:hint="cs"/>
          <w:sz w:val="27"/>
          <w:rtl/>
        </w:rPr>
        <w:t>الفيبري</w:t>
      </w:r>
      <w:r w:rsidRPr="006571AC">
        <w:rPr>
          <w:sz w:val="27"/>
          <w:rtl/>
        </w:rPr>
        <w:t xml:space="preserve"> </w:t>
      </w:r>
      <w:r w:rsidRPr="006571AC">
        <w:rPr>
          <w:rFonts w:hint="cs"/>
          <w:sz w:val="27"/>
          <w:rtl/>
        </w:rPr>
        <w:t>بشكل</w:t>
      </w:r>
      <w:r w:rsidR="00D50126" w:rsidRPr="006571AC">
        <w:rPr>
          <w:rFonts w:hint="cs"/>
          <w:sz w:val="27"/>
          <w:rtl/>
        </w:rPr>
        <w:t>ٍ</w:t>
      </w:r>
      <w:r w:rsidRPr="006571AC">
        <w:rPr>
          <w:sz w:val="27"/>
          <w:rtl/>
        </w:rPr>
        <w:t xml:space="preserve"> </w:t>
      </w:r>
      <w:r w:rsidRPr="006571AC">
        <w:rPr>
          <w:rFonts w:hint="cs"/>
          <w:sz w:val="27"/>
          <w:rtl/>
        </w:rPr>
        <w:t>خاص</w:t>
      </w:r>
      <w:r w:rsidR="00D50126" w:rsidRPr="006571AC">
        <w:rPr>
          <w:rFonts w:hint="cs"/>
          <w:sz w:val="27"/>
          <w:rtl/>
        </w:rPr>
        <w:t>ّ</w:t>
      </w:r>
      <w:r w:rsidRPr="006571AC">
        <w:rPr>
          <w:rFonts w:hint="cs"/>
          <w:sz w:val="27"/>
          <w:rtl/>
        </w:rPr>
        <w:t>، نقدّ</w:t>
      </w:r>
      <w:r w:rsidR="00D50126" w:rsidRPr="006571AC">
        <w:rPr>
          <w:rFonts w:hint="cs"/>
          <w:sz w:val="27"/>
          <w:rtl/>
        </w:rPr>
        <w:t>ِ</w:t>
      </w:r>
      <w:r w:rsidRPr="006571AC">
        <w:rPr>
          <w:rFonts w:hint="cs"/>
          <w:sz w:val="27"/>
          <w:rtl/>
        </w:rPr>
        <w:t>مها</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مجمل</w:t>
      </w:r>
      <w:r w:rsidRPr="006571AC">
        <w:rPr>
          <w:sz w:val="27"/>
          <w:rtl/>
        </w:rPr>
        <w:t xml:space="preserve"> </w:t>
      </w:r>
      <w:r w:rsidRPr="006571AC">
        <w:rPr>
          <w:rFonts w:hint="cs"/>
          <w:sz w:val="27"/>
          <w:rtl/>
        </w:rPr>
        <w:t>الباحثين</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العلوم</w:t>
      </w:r>
      <w:r w:rsidRPr="006571AC">
        <w:rPr>
          <w:sz w:val="27"/>
          <w:rtl/>
        </w:rPr>
        <w:t xml:space="preserve"> </w:t>
      </w:r>
      <w:r w:rsidRPr="006571AC">
        <w:rPr>
          <w:rFonts w:hint="cs"/>
          <w:sz w:val="27"/>
          <w:rtl/>
        </w:rPr>
        <w:t>ال</w:t>
      </w:r>
      <w:r w:rsidR="00D50126" w:rsidRPr="006571AC">
        <w:rPr>
          <w:rFonts w:hint="cs"/>
          <w:sz w:val="27"/>
          <w:rtl/>
        </w:rPr>
        <w:t>إ</w:t>
      </w:r>
      <w:r w:rsidRPr="006571AC">
        <w:rPr>
          <w:rFonts w:hint="cs"/>
          <w:sz w:val="27"/>
          <w:rtl/>
        </w:rPr>
        <w:t>نسانية</w:t>
      </w:r>
      <w:r w:rsidRPr="006571AC">
        <w:rPr>
          <w:sz w:val="27"/>
          <w:rtl/>
        </w:rPr>
        <w:t xml:space="preserve"> </w:t>
      </w:r>
      <w:r w:rsidRPr="006571AC">
        <w:rPr>
          <w:rFonts w:hint="cs"/>
          <w:sz w:val="27"/>
          <w:rtl/>
        </w:rPr>
        <w:t>والاجتماعية</w:t>
      </w:r>
      <w:r w:rsidRPr="006571AC">
        <w:rPr>
          <w:sz w:val="27"/>
          <w:rtl/>
        </w:rPr>
        <w:t xml:space="preserve"> </w:t>
      </w:r>
      <w:r w:rsidRPr="006571AC">
        <w:rPr>
          <w:rFonts w:hint="cs"/>
          <w:sz w:val="27"/>
          <w:rtl/>
        </w:rPr>
        <w:t>وال</w:t>
      </w:r>
      <w:r w:rsidR="00D50126" w:rsidRPr="006571AC">
        <w:rPr>
          <w:rFonts w:hint="cs"/>
          <w:sz w:val="27"/>
          <w:rtl/>
        </w:rPr>
        <w:t>إ</w:t>
      </w:r>
      <w:r w:rsidRPr="006571AC">
        <w:rPr>
          <w:sz w:val="27"/>
          <w:rtl/>
        </w:rPr>
        <w:t>سلامية، على أمل أن تفتح المجال أمام نقاش</w:t>
      </w:r>
      <w:r w:rsidR="00D50126" w:rsidRPr="006571AC">
        <w:rPr>
          <w:rFonts w:hint="cs"/>
          <w:sz w:val="27"/>
          <w:rtl/>
        </w:rPr>
        <w:t>ٍ</w:t>
      </w:r>
      <w:r w:rsidRPr="006571AC">
        <w:rPr>
          <w:sz w:val="27"/>
          <w:rtl/>
        </w:rPr>
        <w:t xml:space="preserve"> علمي</w:t>
      </w:r>
      <w:r w:rsidR="00D50126" w:rsidRPr="006571AC">
        <w:rPr>
          <w:rFonts w:hint="cs"/>
          <w:sz w:val="27"/>
          <w:rtl/>
        </w:rPr>
        <w:t>ّ</w:t>
      </w:r>
      <w:r w:rsidRPr="006571AC">
        <w:rPr>
          <w:sz w:val="27"/>
          <w:rtl/>
        </w:rPr>
        <w:t xml:space="preserve"> وحضاري، يمهّ</w:t>
      </w:r>
      <w:r w:rsidR="00D50126" w:rsidRPr="006571AC">
        <w:rPr>
          <w:rFonts w:hint="cs"/>
          <w:sz w:val="27"/>
          <w:rtl/>
        </w:rPr>
        <w:t>ِ</w:t>
      </w:r>
      <w:r w:rsidRPr="006571AC">
        <w:rPr>
          <w:sz w:val="27"/>
          <w:rtl/>
        </w:rPr>
        <w:t>د لتطوّ</w:t>
      </w:r>
      <w:r w:rsidR="00D50126" w:rsidRPr="006571AC">
        <w:rPr>
          <w:rFonts w:hint="cs"/>
          <w:sz w:val="27"/>
          <w:rtl/>
        </w:rPr>
        <w:t>ُ</w:t>
      </w:r>
      <w:r w:rsidR="004C7F35" w:rsidRPr="006571AC">
        <w:rPr>
          <w:rFonts w:hint="cs"/>
          <w:sz w:val="27"/>
          <w:rtl/>
        </w:rPr>
        <w:t>رٍ</w:t>
      </w:r>
      <w:r w:rsidRPr="006571AC">
        <w:rPr>
          <w:sz w:val="27"/>
          <w:rtl/>
        </w:rPr>
        <w:t xml:space="preserve"> أسرع وأكثر صح</w:t>
      </w:r>
      <w:r w:rsidR="00D50126" w:rsidRPr="006571AC">
        <w:rPr>
          <w:rFonts w:hint="cs"/>
          <w:sz w:val="27"/>
          <w:rtl/>
        </w:rPr>
        <w:t>ّ</w:t>
      </w:r>
      <w:r w:rsidRPr="006571AC">
        <w:rPr>
          <w:sz w:val="27"/>
          <w:rtl/>
        </w:rPr>
        <w:t>ة</w:t>
      </w:r>
      <w:r w:rsidR="00D50126" w:rsidRPr="006571AC">
        <w:rPr>
          <w:rFonts w:hint="cs"/>
          <w:sz w:val="27"/>
          <w:rtl/>
        </w:rPr>
        <w:t>ً</w:t>
      </w:r>
      <w:r w:rsidRPr="006571AC">
        <w:rPr>
          <w:sz w:val="27"/>
          <w:rtl/>
        </w:rPr>
        <w:t xml:space="preserve"> لكثير</w:t>
      </w:r>
      <w:r w:rsidR="00D50126" w:rsidRPr="006571AC">
        <w:rPr>
          <w:rFonts w:hint="cs"/>
          <w:sz w:val="27"/>
          <w:rtl/>
        </w:rPr>
        <w:t>ٍ</w:t>
      </w:r>
      <w:r w:rsidRPr="006571AC">
        <w:rPr>
          <w:sz w:val="27"/>
          <w:rtl/>
        </w:rPr>
        <w:t xml:space="preserve"> من مجالات البحث ال</w:t>
      </w:r>
      <w:r w:rsidR="00D50126" w:rsidRPr="006571AC">
        <w:rPr>
          <w:rFonts w:hint="cs"/>
          <w:sz w:val="27"/>
          <w:rtl/>
        </w:rPr>
        <w:t>إ</w:t>
      </w:r>
      <w:r w:rsidR="00D50126" w:rsidRPr="006571AC">
        <w:rPr>
          <w:sz w:val="27"/>
          <w:rtl/>
        </w:rPr>
        <w:t>سلامي.</w:t>
      </w:r>
    </w:p>
    <w:p w:rsidR="00962F60" w:rsidRPr="00E22C6B" w:rsidRDefault="00962F60" w:rsidP="001F7AE7">
      <w:pPr>
        <w:rPr>
          <w:sz w:val="27"/>
        </w:rPr>
      </w:pPr>
      <w:r w:rsidRPr="006571AC">
        <w:rPr>
          <w:sz w:val="27"/>
          <w:rtl/>
        </w:rPr>
        <w:t>ونحن نعتبر أنّ تموضع الباحث الأنسب، كما اعتم</w:t>
      </w:r>
      <w:r w:rsidR="00B00179" w:rsidRPr="006571AC">
        <w:rPr>
          <w:rFonts w:hint="cs"/>
          <w:sz w:val="27"/>
          <w:rtl/>
        </w:rPr>
        <w:t>َ</w:t>
      </w:r>
      <w:r w:rsidRPr="006571AC">
        <w:rPr>
          <w:sz w:val="27"/>
          <w:rtl/>
        </w:rPr>
        <w:t>د</w:t>
      </w:r>
      <w:r w:rsidR="00B00179" w:rsidRPr="006571AC">
        <w:rPr>
          <w:rFonts w:hint="cs"/>
          <w:sz w:val="27"/>
          <w:rtl/>
        </w:rPr>
        <w:t>ْ</w:t>
      </w:r>
      <w:r w:rsidRPr="006571AC">
        <w:rPr>
          <w:sz w:val="27"/>
          <w:rtl/>
        </w:rPr>
        <w:t>ناه في</w:t>
      </w:r>
      <w:r w:rsidR="001F7AE7" w:rsidRPr="006571AC">
        <w:rPr>
          <w:rFonts w:hint="cs"/>
          <w:sz w:val="27"/>
          <w:rtl/>
        </w:rPr>
        <w:t xml:space="preserve"> كتابنا</w:t>
      </w:r>
      <w:r w:rsidR="001F7AE7" w:rsidRPr="006571AC">
        <w:rPr>
          <w:rFonts w:hint="cs"/>
          <w:sz w:val="27"/>
          <w:vertAlign w:val="superscript"/>
          <w:rtl/>
        </w:rPr>
        <w:t>(</w:t>
      </w:r>
      <w:r w:rsidR="001F7AE7" w:rsidRPr="006571AC">
        <w:rPr>
          <w:rStyle w:val="ac"/>
          <w:sz w:val="27"/>
          <w:rtl/>
        </w:rPr>
        <w:endnoteReference w:id="934"/>
      </w:r>
      <w:r w:rsidR="001F7AE7" w:rsidRPr="006571AC">
        <w:rPr>
          <w:rFonts w:hint="cs"/>
          <w:sz w:val="27"/>
          <w:vertAlign w:val="superscript"/>
          <w:rtl/>
        </w:rPr>
        <w:t>)</w:t>
      </w:r>
      <w:r w:rsidR="001F7AE7" w:rsidRPr="006571AC">
        <w:rPr>
          <w:rFonts w:hint="cs"/>
          <w:sz w:val="27"/>
          <w:rtl/>
        </w:rPr>
        <w:t xml:space="preserve">، </w:t>
      </w:r>
      <w:r w:rsidR="001B56FE" w:rsidRPr="006571AC">
        <w:rPr>
          <w:rFonts w:hint="cs"/>
          <w:sz w:val="27"/>
          <w:rtl/>
        </w:rPr>
        <w:t>و</w:t>
      </w:r>
      <w:r w:rsidR="00731867" w:rsidRPr="006571AC">
        <w:rPr>
          <w:rFonts w:hint="cs"/>
          <w:sz w:val="27"/>
          <w:rtl/>
        </w:rPr>
        <w:t>لا سيَّما</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البحث</w:t>
      </w:r>
      <w:r w:rsidRPr="006571AC">
        <w:rPr>
          <w:sz w:val="27"/>
          <w:rtl/>
        </w:rPr>
        <w:t xml:space="preserve"> </w:t>
      </w:r>
      <w:r w:rsidRPr="006571AC">
        <w:rPr>
          <w:rFonts w:hint="cs"/>
          <w:sz w:val="27"/>
          <w:rtl/>
        </w:rPr>
        <w:t>الأكاديمي</w:t>
      </w:r>
      <w:r w:rsidRPr="006571AC">
        <w:rPr>
          <w:sz w:val="27"/>
          <w:rtl/>
        </w:rPr>
        <w:t xml:space="preserve"> </w:t>
      </w:r>
      <w:r w:rsidRPr="006571AC">
        <w:rPr>
          <w:rFonts w:hint="cs"/>
          <w:sz w:val="27"/>
          <w:rtl/>
        </w:rPr>
        <w:t>حول</w:t>
      </w:r>
      <w:r w:rsidRPr="006571AC">
        <w:rPr>
          <w:sz w:val="27"/>
          <w:rtl/>
        </w:rPr>
        <w:t xml:space="preserve"> </w:t>
      </w:r>
      <w:r w:rsidRPr="006571AC">
        <w:rPr>
          <w:rFonts w:hint="cs"/>
          <w:sz w:val="27"/>
          <w:rtl/>
        </w:rPr>
        <w:t>الاقتصاد</w:t>
      </w:r>
      <w:r w:rsidRPr="006571AC">
        <w:rPr>
          <w:sz w:val="27"/>
          <w:rtl/>
        </w:rPr>
        <w:t xml:space="preserve"> </w:t>
      </w:r>
      <w:r w:rsidRPr="006571AC">
        <w:rPr>
          <w:rFonts w:hint="cs"/>
          <w:sz w:val="27"/>
          <w:rtl/>
        </w:rPr>
        <w:t>والمالية</w:t>
      </w:r>
      <w:r w:rsidRPr="006571AC">
        <w:rPr>
          <w:sz w:val="27"/>
          <w:rtl/>
        </w:rPr>
        <w:t xml:space="preserve"> </w:t>
      </w:r>
      <w:r w:rsidRPr="006571AC">
        <w:rPr>
          <w:rFonts w:hint="cs"/>
          <w:sz w:val="27"/>
          <w:rtl/>
        </w:rPr>
        <w:t>والاجتماع</w:t>
      </w:r>
      <w:r w:rsidRPr="006571AC">
        <w:rPr>
          <w:sz w:val="27"/>
          <w:rtl/>
        </w:rPr>
        <w:t xml:space="preserve"> </w:t>
      </w:r>
      <w:r w:rsidRPr="006571AC">
        <w:rPr>
          <w:rFonts w:hint="cs"/>
          <w:sz w:val="27"/>
          <w:rtl/>
        </w:rPr>
        <w:t>والسياسة</w:t>
      </w:r>
      <w:r w:rsidRPr="006571AC">
        <w:rPr>
          <w:sz w:val="27"/>
          <w:rtl/>
        </w:rPr>
        <w:t xml:space="preserve"> </w:t>
      </w:r>
      <w:r w:rsidRPr="006571AC">
        <w:rPr>
          <w:rFonts w:hint="cs"/>
          <w:sz w:val="27"/>
          <w:rtl/>
        </w:rPr>
        <w:t>من</w:t>
      </w:r>
      <w:r w:rsidRPr="006571AC">
        <w:rPr>
          <w:sz w:val="27"/>
          <w:rtl/>
        </w:rPr>
        <w:t xml:space="preserve"> منظار</w:t>
      </w:r>
      <w:r w:rsidR="001B56FE" w:rsidRPr="006571AC">
        <w:rPr>
          <w:rFonts w:hint="cs"/>
          <w:sz w:val="27"/>
          <w:rtl/>
        </w:rPr>
        <w:t>ٍ</w:t>
      </w:r>
      <w:r w:rsidRPr="006571AC">
        <w:rPr>
          <w:sz w:val="27"/>
          <w:rtl/>
        </w:rPr>
        <w:t xml:space="preserve"> </w:t>
      </w:r>
      <w:r w:rsidR="001B56FE" w:rsidRPr="006571AC">
        <w:rPr>
          <w:rFonts w:hint="cs"/>
          <w:sz w:val="27"/>
          <w:rtl/>
        </w:rPr>
        <w:t>إ</w:t>
      </w:r>
      <w:r w:rsidRPr="006571AC">
        <w:rPr>
          <w:sz w:val="27"/>
          <w:rtl/>
        </w:rPr>
        <w:t>سلامي، وبما يتوافق إلى أبعد حد</w:t>
      </w:r>
      <w:r w:rsidR="001B56FE" w:rsidRPr="006571AC">
        <w:rPr>
          <w:rFonts w:hint="cs"/>
          <w:sz w:val="27"/>
          <w:rtl/>
        </w:rPr>
        <w:t>ٍّ</w:t>
      </w:r>
      <w:r w:rsidRPr="006571AC">
        <w:rPr>
          <w:sz w:val="27"/>
          <w:rtl/>
        </w:rPr>
        <w:t xml:space="preserve"> مع تموضع الصدر</w:t>
      </w:r>
      <w:r w:rsidR="001B56FE" w:rsidRPr="006571AC">
        <w:rPr>
          <w:rFonts w:hint="cs"/>
          <w:sz w:val="27"/>
          <w:rtl/>
        </w:rPr>
        <w:t>،</w:t>
      </w:r>
      <w:r w:rsidRPr="006571AC">
        <w:rPr>
          <w:sz w:val="27"/>
          <w:rtl/>
        </w:rPr>
        <w:t xml:space="preserve"> </w:t>
      </w:r>
      <w:r w:rsidRPr="006571AC">
        <w:rPr>
          <w:rFonts w:hint="cs"/>
          <w:sz w:val="27"/>
          <w:rtl/>
        </w:rPr>
        <w:t>هو</w:t>
      </w:r>
      <w:r w:rsidR="001B56FE" w:rsidRPr="006571AC">
        <w:rPr>
          <w:rFonts w:hint="cs"/>
          <w:sz w:val="27"/>
          <w:rtl/>
        </w:rPr>
        <w:t>:</w:t>
      </w:r>
      <w:r w:rsidRPr="006571AC">
        <w:rPr>
          <w:sz w:val="27"/>
          <w:rtl/>
        </w:rPr>
        <w:t xml:space="preserve"> </w:t>
      </w:r>
      <w:r w:rsidRPr="006571AC">
        <w:rPr>
          <w:rFonts w:hint="eastAsia"/>
          <w:sz w:val="24"/>
          <w:szCs w:val="24"/>
          <w:rtl/>
        </w:rPr>
        <w:t>«</w:t>
      </w:r>
      <w:r w:rsidRPr="006571AC">
        <w:rPr>
          <w:rFonts w:hint="cs"/>
          <w:sz w:val="27"/>
          <w:rtl/>
        </w:rPr>
        <w:t>التموضع</w:t>
      </w:r>
      <w:r w:rsidRPr="006571AC">
        <w:rPr>
          <w:sz w:val="27"/>
          <w:rtl/>
        </w:rPr>
        <w:t xml:space="preserve"> </w:t>
      </w:r>
      <w:r w:rsidRPr="006571AC">
        <w:rPr>
          <w:rFonts w:hint="cs"/>
          <w:sz w:val="27"/>
          <w:rtl/>
        </w:rPr>
        <w:t>ما</w:t>
      </w:r>
      <w:r w:rsidRPr="006571AC">
        <w:rPr>
          <w:sz w:val="27"/>
          <w:rtl/>
        </w:rPr>
        <w:t xml:space="preserve"> ـ </w:t>
      </w:r>
      <w:r w:rsidRPr="006571AC">
        <w:rPr>
          <w:rFonts w:hint="cs"/>
          <w:sz w:val="27"/>
          <w:rtl/>
        </w:rPr>
        <w:t>بعد</w:t>
      </w:r>
      <w:r w:rsidRPr="006571AC">
        <w:rPr>
          <w:sz w:val="27"/>
          <w:rtl/>
        </w:rPr>
        <w:t xml:space="preserve"> ـ </w:t>
      </w:r>
      <w:r w:rsidRPr="006571AC">
        <w:rPr>
          <w:rFonts w:hint="cs"/>
          <w:sz w:val="27"/>
          <w:rtl/>
        </w:rPr>
        <w:t>الوضعي</w:t>
      </w:r>
      <w:r w:rsidRPr="006571AC">
        <w:rPr>
          <w:sz w:val="27"/>
          <w:rtl/>
        </w:rPr>
        <w:t xml:space="preserve"> </w:t>
      </w:r>
      <w:r w:rsidRPr="006571AC">
        <w:rPr>
          <w:rFonts w:hint="cs"/>
          <w:sz w:val="27"/>
          <w:rtl/>
        </w:rPr>
        <w:t>المُطوَّر</w:t>
      </w:r>
      <w:r w:rsidRPr="006571AC">
        <w:rPr>
          <w:rFonts w:hint="eastAsia"/>
          <w:sz w:val="24"/>
          <w:szCs w:val="24"/>
          <w:rtl/>
        </w:rPr>
        <w:t>»</w:t>
      </w:r>
      <w:r w:rsidRPr="006571AC">
        <w:rPr>
          <w:sz w:val="27"/>
          <w:rtl/>
        </w:rPr>
        <w:t xml:space="preserve"> </w:t>
      </w:r>
      <w:r w:rsidRPr="006571AC">
        <w:rPr>
          <w:rFonts w:asciiTheme="majorBidi" w:hAnsiTheme="majorBidi" w:cstheme="majorBidi"/>
          <w:sz w:val="22"/>
          <w:szCs w:val="22"/>
        </w:rPr>
        <w:t>Positionnement post</w:t>
      </w:r>
      <w:r w:rsidRPr="006571AC">
        <w:rPr>
          <w:rFonts w:asciiTheme="majorBidi" w:hAnsiTheme="majorBidi" w:cstheme="majorBidi"/>
          <w:sz w:val="22"/>
          <w:szCs w:val="22"/>
          <w:rtl/>
        </w:rPr>
        <w:t xml:space="preserve"> ـ </w:t>
      </w:r>
      <w:r w:rsidRPr="006571AC">
        <w:rPr>
          <w:rFonts w:asciiTheme="majorBidi" w:hAnsiTheme="majorBidi" w:cstheme="majorBidi"/>
          <w:sz w:val="22"/>
          <w:szCs w:val="22"/>
        </w:rPr>
        <w:t>positiviste aménagé</w:t>
      </w:r>
      <w:r w:rsidRPr="006571AC">
        <w:rPr>
          <w:sz w:val="27"/>
          <w:rtl/>
        </w:rPr>
        <w:t>، أي مطوَّر بما يتناسب مع طبيعة المعطيات من جهة</w:t>
      </w:r>
      <w:r w:rsidR="001B56FE" w:rsidRPr="006571AC">
        <w:rPr>
          <w:rFonts w:hint="cs"/>
          <w:sz w:val="27"/>
          <w:rtl/>
        </w:rPr>
        <w:t>ٍ</w:t>
      </w:r>
      <w:r w:rsidRPr="006571AC">
        <w:rPr>
          <w:sz w:val="27"/>
          <w:rtl/>
        </w:rPr>
        <w:t>، ومع الاحتياطات ال</w:t>
      </w:r>
      <w:r w:rsidR="001B56FE" w:rsidRPr="006571AC">
        <w:rPr>
          <w:rFonts w:hint="cs"/>
          <w:sz w:val="27"/>
          <w:rtl/>
        </w:rPr>
        <w:t>إ</w:t>
      </w:r>
      <w:r w:rsidRPr="006571AC">
        <w:rPr>
          <w:sz w:val="27"/>
          <w:rtl/>
        </w:rPr>
        <w:t>بستمولوجية الفيبرية المذكورة أعلاه من جهة</w:t>
      </w:r>
      <w:r w:rsidR="001B56FE" w:rsidRPr="006571AC">
        <w:rPr>
          <w:rFonts w:hint="cs"/>
          <w:sz w:val="27"/>
          <w:rtl/>
        </w:rPr>
        <w:t>ٍ</w:t>
      </w:r>
      <w:r w:rsidRPr="006571AC">
        <w:rPr>
          <w:sz w:val="27"/>
          <w:rtl/>
        </w:rPr>
        <w:t xml:space="preserve"> أخرى</w:t>
      </w:r>
      <w:r w:rsidR="007E254D" w:rsidRPr="006571AC">
        <w:rPr>
          <w:rFonts w:hint="cs"/>
          <w:sz w:val="27"/>
          <w:vertAlign w:val="superscript"/>
          <w:rtl/>
        </w:rPr>
        <w:t>(</w:t>
      </w:r>
      <w:r w:rsidR="007E254D" w:rsidRPr="006571AC">
        <w:rPr>
          <w:rStyle w:val="ac"/>
          <w:sz w:val="27"/>
          <w:rtl/>
        </w:rPr>
        <w:endnoteReference w:id="935"/>
      </w:r>
      <w:r w:rsidR="007E254D" w:rsidRPr="006571AC">
        <w:rPr>
          <w:rFonts w:hint="cs"/>
          <w:sz w:val="27"/>
          <w:vertAlign w:val="superscript"/>
          <w:rtl/>
        </w:rPr>
        <w:t>)</w:t>
      </w:r>
      <w:r w:rsidR="000F4A13" w:rsidRPr="006571AC">
        <w:rPr>
          <w:sz w:val="27"/>
          <w:rtl/>
        </w:rPr>
        <w:t>.</w:t>
      </w:r>
      <w:r w:rsidRPr="00E22C6B">
        <w:rPr>
          <w:sz w:val="27"/>
          <w:rtl/>
        </w:rPr>
        <w:t xml:space="preserve"> </w:t>
      </w:r>
    </w:p>
    <w:p w:rsidR="00D273DA" w:rsidRPr="00E22C6B" w:rsidRDefault="00D273DA" w:rsidP="0024500D">
      <w:pPr>
        <w:spacing w:line="390" w:lineRule="exact"/>
        <w:rPr>
          <w:rtl/>
        </w:rPr>
      </w:pPr>
    </w:p>
    <w:p w:rsidR="00D273DA" w:rsidRPr="00E22C6B" w:rsidRDefault="00D273DA" w:rsidP="0024500D">
      <w:pPr>
        <w:spacing w:line="390" w:lineRule="exact"/>
        <w:rPr>
          <w:rtl/>
        </w:rPr>
      </w:pPr>
    </w:p>
    <w:p w:rsidR="00D273DA" w:rsidRPr="00E22C6B" w:rsidRDefault="00D273DA" w:rsidP="00D273DA">
      <w:pPr>
        <w:pStyle w:val="34"/>
        <w:autoSpaceDE w:val="0"/>
        <w:autoSpaceDN w:val="0"/>
        <w:adjustRightInd w:val="0"/>
        <w:spacing w:line="418" w:lineRule="exact"/>
        <w:ind w:firstLine="0"/>
        <w:rPr>
          <w:rFonts w:cs="K Sina"/>
          <w:sz w:val="26"/>
          <w:rtl/>
          <w:lang w:eastAsia="ar-SA"/>
        </w:rPr>
      </w:pPr>
      <w:r w:rsidRPr="00E22C6B">
        <w:rPr>
          <w:rFonts w:cs="K Sina" w:hint="cs"/>
          <w:sz w:val="26"/>
          <w:rtl/>
          <w:lang w:eastAsia="ar-SA"/>
        </w:rPr>
        <w:t>الهوامش</w:t>
      </w:r>
    </w:p>
    <w:p w:rsidR="00D273DA" w:rsidRPr="00E22C6B" w:rsidRDefault="00D273DA" w:rsidP="00D273DA">
      <w:pPr>
        <w:pStyle w:val="34"/>
        <w:autoSpaceDE w:val="0"/>
        <w:autoSpaceDN w:val="0"/>
        <w:adjustRightInd w:val="0"/>
        <w:spacing w:line="418" w:lineRule="exact"/>
        <w:ind w:firstLine="0"/>
        <w:rPr>
          <w:rFonts w:cs="K Sina"/>
          <w:sz w:val="26"/>
          <w:rtl/>
          <w:lang w:eastAsia="ar-SA"/>
        </w:rPr>
        <w:sectPr w:rsidR="00D273DA" w:rsidRPr="00E22C6B" w:rsidSect="00E85587">
          <w:headerReference w:type="even" r:id="rId179"/>
          <w:headerReference w:type="default" r:id="rId180"/>
          <w:footerReference w:type="even" r:id="rId181"/>
          <w:footerReference w:type="default" r:id="rId182"/>
          <w:endnotePr>
            <w:numFmt w:val="decimal"/>
            <w:numRestart w:val="eachSect"/>
          </w:endnotePr>
          <w:type w:val="continuous"/>
          <w:pgSz w:w="11907" w:h="16840" w:code="9"/>
          <w:pgMar w:top="2637" w:right="2438" w:bottom="3686" w:left="2438" w:header="2268" w:footer="3119" w:gutter="0"/>
          <w:cols w:space="720"/>
          <w:titlePg/>
          <w:docGrid w:linePitch="360"/>
        </w:sectPr>
      </w:pPr>
    </w:p>
    <w:p w:rsidR="00D273DA" w:rsidRPr="00E22C6B" w:rsidRDefault="00D273DA" w:rsidP="00D273DA">
      <w:r w:rsidRPr="00E22C6B">
        <w:rPr>
          <w:rtl/>
        </w:rPr>
        <w:lastRenderedPageBreak/>
        <w:br w:type="page"/>
      </w:r>
    </w:p>
    <w:p w:rsidR="00D273DA" w:rsidRPr="00E22C6B" w:rsidRDefault="00D273DA" w:rsidP="00D273DA">
      <w:pPr>
        <w:rPr>
          <w:rtl/>
        </w:rPr>
        <w:sectPr w:rsidR="00D273DA" w:rsidRPr="00E22C6B" w:rsidSect="00E85587">
          <w:headerReference w:type="even" r:id="rId183"/>
          <w:headerReference w:type="default" r:id="rId184"/>
          <w:footerReference w:type="even" r:id="rId185"/>
          <w:footerReference w:type="default" r:id="rId186"/>
          <w:headerReference w:type="first" r:id="rId187"/>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E22C6B" w:rsidRDefault="000B5897" w:rsidP="00E83C22">
      <w:pPr>
        <w:keepNext/>
        <w:keepLines/>
        <w:spacing w:line="240" w:lineRule="auto"/>
        <w:ind w:firstLine="0"/>
        <w:jc w:val="center"/>
        <w:outlineLvl w:val="0"/>
        <w:rPr>
          <w:rFonts w:cs="AL-Mateen"/>
          <w:b/>
          <w:sz w:val="32"/>
          <w:szCs w:val="48"/>
          <w:rtl/>
        </w:rPr>
      </w:pPr>
      <w:bookmarkStart w:id="584" w:name="_Toc52453186"/>
      <w:bookmarkStart w:id="585" w:name="_Toc114164933"/>
      <w:r w:rsidRPr="00E22C6B">
        <w:rPr>
          <w:rFonts w:cs="AL-Mateen" w:hint="cs"/>
          <w:b/>
          <w:sz w:val="32"/>
          <w:szCs w:val="48"/>
          <w:rtl/>
        </w:rPr>
        <w:lastRenderedPageBreak/>
        <w:t>قسيم</w:t>
      </w:r>
      <w:r w:rsidR="006D38E2" w:rsidRPr="00E22C6B">
        <w:rPr>
          <w:rFonts w:cs="AL-Mateen" w:hint="cs"/>
          <w:b/>
          <w:sz w:val="32"/>
          <w:szCs w:val="48"/>
          <w:rtl/>
        </w:rPr>
        <w:t xml:space="preserve">ة </w:t>
      </w:r>
      <w:r w:rsidRPr="00E22C6B">
        <w:rPr>
          <w:rFonts w:cs="AL-Mateen" w:hint="cs"/>
          <w:b/>
          <w:sz w:val="32"/>
          <w:szCs w:val="48"/>
          <w:rtl/>
        </w:rPr>
        <w:t>الاشتراك</w:t>
      </w:r>
      <w:bookmarkEnd w:id="584"/>
      <w:bookmarkEnd w:id="585"/>
    </w:p>
    <w:p w:rsidR="000B5897" w:rsidRPr="00E22C6B" w:rsidRDefault="000B5897" w:rsidP="000B5897">
      <w:pPr>
        <w:spacing w:line="240" w:lineRule="auto"/>
        <w:ind w:firstLine="0"/>
        <w:jc w:val="center"/>
        <w:outlineLvl w:val="1"/>
        <w:rPr>
          <w:rFonts w:cs="AL-Mateen"/>
          <w:szCs w:val="32"/>
          <w:rtl/>
        </w:rPr>
      </w:pPr>
      <w:bookmarkStart w:id="586" w:name="_Toc295112247"/>
      <w:bookmarkStart w:id="587" w:name="_Toc52453187"/>
      <w:bookmarkStart w:id="588" w:name="_Toc114164934"/>
      <w:r w:rsidRPr="00E22C6B">
        <w:rPr>
          <w:rFonts w:cs="AL-Mateen" w:hint="cs"/>
          <w:szCs w:val="32"/>
          <w:rtl/>
        </w:rPr>
        <w:t>مجل</w:t>
      </w:r>
      <w:r w:rsidR="00783617" w:rsidRPr="00E22C6B">
        <w:rPr>
          <w:rFonts w:cs="AL-Mateen" w:hint="cs"/>
          <w:szCs w:val="32"/>
          <w:rtl/>
          <w:lang w:bidi="ar-LB"/>
        </w:rPr>
        <w:t>ّ</w:t>
      </w:r>
      <w:r w:rsidR="006D38E2" w:rsidRPr="00E22C6B">
        <w:rPr>
          <w:rFonts w:cs="AL-Mateen" w:hint="cs"/>
          <w:szCs w:val="32"/>
          <w:rtl/>
        </w:rPr>
        <w:t xml:space="preserve">ة </w:t>
      </w:r>
      <w:r w:rsidRPr="00E22C6B">
        <w:rPr>
          <w:rFonts w:cs="AL-Mateen" w:hint="cs"/>
          <w:szCs w:val="32"/>
          <w:rtl/>
        </w:rPr>
        <w:t>الاجتهاد والتجديد</w:t>
      </w:r>
      <w:bookmarkEnd w:id="586"/>
      <w:bookmarkEnd w:id="587"/>
      <w:bookmarkEnd w:id="588"/>
    </w:p>
    <w:p w:rsidR="000B5897" w:rsidRPr="00E22C6B" w:rsidRDefault="00072C15" w:rsidP="000B5897">
      <w:pPr>
        <w:ind w:firstLine="0"/>
        <w:jc w:val="center"/>
        <w:rPr>
          <w:rtl/>
        </w:rPr>
      </w:pPr>
      <w:r w:rsidRPr="00E22C6B">
        <w:rPr>
          <w:noProof/>
        </w:rPr>
        <mc:AlternateContent>
          <mc:Choice Requires="wps">
            <w:drawing>
              <wp:anchor distT="0" distB="0" distL="114300" distR="114300" simplePos="0" relativeHeight="251656704" behindDoc="1" locked="0" layoutInCell="1" allowOverlap="1" wp14:anchorId="57B3C505" wp14:editId="269A287C">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0;margin-top:16.75pt;width:348pt;height:169.7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E22C6B" w:rsidRDefault="000B5897" w:rsidP="000B5897">
      <w:pPr>
        <w:tabs>
          <w:tab w:val="right" w:leader="dot" w:pos="3402"/>
        </w:tabs>
        <w:spacing w:line="380" w:lineRule="exact"/>
        <w:ind w:firstLine="0"/>
        <w:jc w:val="center"/>
        <w:rPr>
          <w:rFonts w:cs="Abz-3 (Yagut)"/>
          <w:b/>
          <w:bCs/>
          <w:rtl/>
        </w:rPr>
      </w:pPr>
      <w:r w:rsidRPr="00E22C6B">
        <w:rPr>
          <w:rFonts w:cs="Abz-3 (Yagut)" w:hint="cs"/>
          <w:b/>
          <w:bCs/>
        </w:rPr>
        <w:sym w:font="Wingdings" w:char="F0A8"/>
      </w:r>
      <w:r w:rsidRPr="00E22C6B">
        <w:rPr>
          <w:rFonts w:cs="Abz-3 (Yagut)" w:hint="cs"/>
          <w:b/>
          <w:bCs/>
          <w:rtl/>
        </w:rPr>
        <w:t xml:space="preserve"> أفراد               </w:t>
      </w:r>
      <w:r w:rsidR="00783617" w:rsidRPr="00E22C6B">
        <w:rPr>
          <w:rFonts w:cs="Abz-3 (Yagut)" w:hint="cs"/>
          <w:b/>
          <w:bCs/>
          <w:rtl/>
        </w:rPr>
        <w:t xml:space="preserve">       </w:t>
      </w:r>
      <w:r w:rsidRPr="00E22C6B">
        <w:rPr>
          <w:rFonts w:cs="Abz-3 (Yagut)" w:hint="cs"/>
          <w:b/>
          <w:bCs/>
          <w:rtl/>
        </w:rPr>
        <w:t xml:space="preserve">                    </w:t>
      </w:r>
      <w:r w:rsidRPr="00E22C6B">
        <w:rPr>
          <w:rFonts w:cs="Abz-3 (Yagut)" w:hint="cs"/>
          <w:b/>
          <w:bCs/>
        </w:rPr>
        <w:sym w:font="Wingdings" w:char="F0A8"/>
      </w:r>
      <w:r w:rsidRPr="00E22C6B">
        <w:rPr>
          <w:rFonts w:cs="Abz-3 (Yagut)" w:hint="cs"/>
          <w:b/>
          <w:bCs/>
          <w:rtl/>
        </w:rPr>
        <w:t xml:space="preserve"> مؤسسات</w:t>
      </w:r>
    </w:p>
    <w:p w:rsidR="000B5897" w:rsidRPr="00E22C6B" w:rsidRDefault="000B5897" w:rsidP="000B5897">
      <w:pPr>
        <w:tabs>
          <w:tab w:val="right" w:leader="dot" w:pos="6889"/>
        </w:tabs>
        <w:spacing w:line="340" w:lineRule="exact"/>
        <w:ind w:left="113" w:right="113" w:firstLine="0"/>
        <w:rPr>
          <w:rFonts w:cs="Ya-Ali"/>
          <w:sz w:val="27"/>
          <w:rtl/>
        </w:rPr>
      </w:pPr>
      <w:r w:rsidRPr="00E22C6B">
        <w:rPr>
          <w:rFonts w:cs="Ya-Ali" w:hint="cs"/>
          <w:sz w:val="27"/>
          <w:rtl/>
        </w:rPr>
        <w:t>اســــم المشترك</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right="113" w:firstLine="0"/>
        <w:rPr>
          <w:rFonts w:cs="Ya-Ali"/>
          <w:sz w:val="27"/>
          <w:rtl/>
        </w:rPr>
      </w:pPr>
      <w:r w:rsidRPr="00E22C6B">
        <w:rPr>
          <w:rFonts w:cs="Ya-Ali" w:hint="cs"/>
          <w:sz w:val="27"/>
          <w:rtl/>
        </w:rPr>
        <w:t>العنوان الكامل</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firstLine="0"/>
        <w:rPr>
          <w:rFonts w:cs="Ya-Ali"/>
          <w:sz w:val="27"/>
          <w:rtl/>
        </w:rPr>
      </w:pPr>
      <w:r w:rsidRPr="00E22C6B">
        <w:rPr>
          <w:rFonts w:cs="Ya-Ali" w:hint="cs"/>
          <w:sz w:val="27"/>
          <w:rtl/>
        </w:rPr>
        <w:tab/>
      </w:r>
    </w:p>
    <w:p w:rsidR="000B5897" w:rsidRPr="00E22C6B" w:rsidRDefault="000B5897" w:rsidP="000B5897">
      <w:pPr>
        <w:tabs>
          <w:tab w:val="right" w:leader="dot" w:pos="6889"/>
        </w:tabs>
        <w:spacing w:line="340" w:lineRule="exact"/>
        <w:ind w:left="113" w:firstLine="0"/>
        <w:rPr>
          <w:rFonts w:cs="Ya-Ali"/>
          <w:sz w:val="27"/>
          <w:rtl/>
        </w:rPr>
      </w:pPr>
      <w:r w:rsidRPr="00E22C6B">
        <w:rPr>
          <w:rFonts w:cs="Ya-Ali" w:hint="cs"/>
          <w:sz w:val="27"/>
          <w:rtl/>
        </w:rPr>
        <w:t>الهاتــــف</w:t>
      </w:r>
      <w:r w:rsidR="006D38E2" w:rsidRPr="00E22C6B">
        <w:rPr>
          <w:rFonts w:cs="Ya-Ali" w:hint="cs"/>
          <w:sz w:val="27"/>
          <w:rtl/>
        </w:rPr>
        <w:t>:</w:t>
      </w:r>
      <w:r w:rsidR="00D95A85" w:rsidRPr="00E22C6B">
        <w:rPr>
          <w:rFonts w:cs="Ya-Ali" w:hint="cs"/>
          <w:sz w:val="27"/>
          <w:rtl/>
        </w:rPr>
        <w:t>.</w:t>
      </w:r>
      <w:r w:rsidRPr="00E22C6B">
        <w:rPr>
          <w:rFonts w:cs="Ya-Ali" w:hint="cs"/>
          <w:sz w:val="27"/>
          <w:rtl/>
        </w:rPr>
        <w:t>................فاكــــس</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right="113" w:firstLine="0"/>
        <w:rPr>
          <w:rFonts w:cs="Ya-Ali"/>
          <w:sz w:val="27"/>
          <w:rtl/>
        </w:rPr>
      </w:pPr>
      <w:r w:rsidRPr="00E22C6B">
        <w:rPr>
          <w:rFonts w:cs="Ya-Ali" w:hint="cs"/>
          <w:sz w:val="27"/>
          <w:rtl/>
        </w:rPr>
        <w:t>مد</w:t>
      </w:r>
      <w:r w:rsidR="006D38E2" w:rsidRPr="00E22C6B">
        <w:rPr>
          <w:rFonts w:cs="Ya-Ali" w:hint="cs"/>
          <w:sz w:val="27"/>
          <w:rtl/>
        </w:rPr>
        <w:t xml:space="preserve">ة </w:t>
      </w:r>
      <w:r w:rsidRPr="00E22C6B">
        <w:rPr>
          <w:rFonts w:cs="Ya-Ali" w:hint="cs"/>
          <w:sz w:val="27"/>
          <w:rtl/>
        </w:rPr>
        <w:t>الاشتراك</w:t>
      </w:r>
      <w:r w:rsidR="006D38E2" w:rsidRPr="00E22C6B">
        <w:rPr>
          <w:rFonts w:cs="Ya-Ali" w:hint="cs"/>
          <w:sz w:val="27"/>
          <w:rtl/>
        </w:rPr>
        <w:t>:</w:t>
      </w:r>
      <w:r w:rsidR="00D95A85" w:rsidRPr="00E22C6B">
        <w:rPr>
          <w:rFonts w:cs="Ya-Ali" w:hint="cs"/>
          <w:sz w:val="27"/>
          <w:rtl/>
        </w:rPr>
        <w:t>.</w:t>
      </w:r>
      <w:r w:rsidRPr="00E22C6B">
        <w:rPr>
          <w:rFonts w:cs="Ya-Ali" w:hint="cs"/>
          <w:sz w:val="27"/>
          <w:rtl/>
        </w:rPr>
        <w:t>...................... ابتــداءً مـــن</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right="113" w:firstLine="0"/>
        <w:rPr>
          <w:rFonts w:cs="Ya-Ali"/>
          <w:sz w:val="27"/>
          <w:rtl/>
        </w:rPr>
      </w:pPr>
      <w:r w:rsidRPr="00E22C6B">
        <w:rPr>
          <w:rFonts w:cs="Ya-Ali" w:hint="cs"/>
          <w:sz w:val="27"/>
          <w:rtl/>
        </w:rPr>
        <w:t>المبلغ</w:t>
      </w:r>
      <w:r w:rsidR="006D38E2" w:rsidRPr="00E22C6B">
        <w:rPr>
          <w:rFonts w:cs="Ya-Ali" w:hint="cs"/>
          <w:sz w:val="27"/>
          <w:rtl/>
        </w:rPr>
        <w:t>:</w:t>
      </w:r>
      <w:r w:rsidR="00D95A85" w:rsidRPr="00E22C6B">
        <w:rPr>
          <w:rFonts w:cs="Ya-Ali" w:hint="cs"/>
          <w:sz w:val="27"/>
          <w:rtl/>
        </w:rPr>
        <w:t>.</w:t>
      </w:r>
      <w:r w:rsidRPr="00E22C6B">
        <w:rPr>
          <w:rFonts w:cs="Ya-Ali" w:hint="cs"/>
          <w:sz w:val="27"/>
          <w:rtl/>
        </w:rPr>
        <w:t>.....................عـــدد النســـــخ</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right="113" w:firstLine="0"/>
        <w:rPr>
          <w:rFonts w:cs="Ya-Ali"/>
          <w:sz w:val="27"/>
          <w:rtl/>
        </w:rPr>
      </w:pPr>
      <w:r w:rsidRPr="00E22C6B">
        <w:rPr>
          <w:rFonts w:cs="Ya-Ali" w:hint="cs"/>
          <w:sz w:val="27"/>
          <w:rtl/>
        </w:rPr>
        <w:t>نقـداً إل</w:t>
      </w:r>
      <w:r w:rsidR="00D95A85" w:rsidRPr="00E22C6B">
        <w:rPr>
          <w:rFonts w:cs="Ya-Ali" w:hint="cs"/>
          <w:sz w:val="27"/>
          <w:rtl/>
        </w:rPr>
        <w:t>ى:.</w:t>
      </w:r>
      <w:r w:rsidRPr="00E22C6B">
        <w:rPr>
          <w:rFonts w:cs="Ya-Ali" w:hint="cs"/>
          <w:sz w:val="27"/>
          <w:rtl/>
        </w:rPr>
        <w:t>........................... شيك مصرفي</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right="113" w:firstLine="0"/>
        <w:rPr>
          <w:rFonts w:cs="Ya-Ali"/>
          <w:rtl/>
        </w:rPr>
      </w:pPr>
      <w:r w:rsidRPr="00E22C6B">
        <w:rPr>
          <w:rFonts w:cs="Ya-Ali" w:hint="cs"/>
          <w:sz w:val="27"/>
          <w:rtl/>
        </w:rPr>
        <w:t>التــــاريــخ</w:t>
      </w:r>
      <w:r w:rsidR="006D38E2" w:rsidRPr="00E22C6B">
        <w:rPr>
          <w:rFonts w:cs="Ya-Ali" w:hint="cs"/>
          <w:sz w:val="27"/>
          <w:rtl/>
        </w:rPr>
        <w:t>:</w:t>
      </w:r>
      <w:r w:rsidR="00D95A85" w:rsidRPr="00E22C6B">
        <w:rPr>
          <w:rFonts w:cs="Ya-Ali" w:hint="cs"/>
          <w:sz w:val="27"/>
          <w:rtl/>
        </w:rPr>
        <w:t>.</w:t>
      </w:r>
      <w:r w:rsidRPr="00E22C6B">
        <w:rPr>
          <w:rFonts w:cs="Ya-Ali" w:hint="cs"/>
          <w:sz w:val="27"/>
          <w:rtl/>
        </w:rPr>
        <w:t>......................التوقيــــع</w:t>
      </w:r>
      <w:r w:rsidR="006D38E2" w:rsidRPr="00E22C6B">
        <w:rPr>
          <w:rFonts w:cs="Ya-Ali" w:hint="cs"/>
          <w:sz w:val="27"/>
          <w:rtl/>
        </w:rPr>
        <w:t xml:space="preserve">: </w:t>
      </w:r>
      <w:r w:rsidRPr="00E22C6B">
        <w:rPr>
          <w:rFonts w:cs="Ya-Ali" w:hint="cs"/>
          <w:sz w:val="27"/>
          <w:rtl/>
        </w:rPr>
        <w:tab/>
      </w:r>
    </w:p>
    <w:p w:rsidR="000B5897" w:rsidRPr="00E22C6B" w:rsidRDefault="000B5897" w:rsidP="00251E3A">
      <w:pPr>
        <w:spacing w:line="300" w:lineRule="exact"/>
        <w:ind w:firstLine="0"/>
        <w:jc w:val="center"/>
        <w:rPr>
          <w:sz w:val="36"/>
          <w:szCs w:val="36"/>
          <w:rtl/>
        </w:rPr>
      </w:pPr>
    </w:p>
    <w:p w:rsidR="00251E3A" w:rsidRPr="00E22C6B" w:rsidRDefault="00251E3A" w:rsidP="00251E3A">
      <w:pPr>
        <w:spacing w:line="300" w:lineRule="exact"/>
        <w:ind w:firstLine="0"/>
        <w:jc w:val="center"/>
        <w:rPr>
          <w:rFonts w:cs="DanaFajr"/>
          <w:sz w:val="36"/>
          <w:szCs w:val="36"/>
          <w:rtl/>
        </w:rPr>
      </w:pPr>
    </w:p>
    <w:p w:rsidR="000B5897" w:rsidRPr="00E22C6B" w:rsidRDefault="000B5897" w:rsidP="000B5897">
      <w:pPr>
        <w:spacing w:after="120" w:line="480" w:lineRule="exact"/>
        <w:ind w:firstLine="0"/>
        <w:jc w:val="center"/>
        <w:rPr>
          <w:rFonts w:cs="PT Bold Heading"/>
          <w:sz w:val="32"/>
          <w:szCs w:val="30"/>
          <w:rtl/>
        </w:rPr>
      </w:pPr>
      <w:r w:rsidRPr="00E22C6B">
        <w:rPr>
          <w:rFonts w:cs="PT Bold Heading" w:hint="cs"/>
          <w:sz w:val="32"/>
          <w:szCs w:val="30"/>
          <w:rtl/>
        </w:rPr>
        <w:t>الاشتراك السنوي</w:t>
      </w:r>
    </w:p>
    <w:p w:rsidR="000B5897" w:rsidRPr="00E22C6B" w:rsidRDefault="00072C15" w:rsidP="000B5897">
      <w:pPr>
        <w:spacing w:line="500" w:lineRule="exact"/>
        <w:ind w:firstLine="0"/>
        <w:jc w:val="center"/>
        <w:rPr>
          <w:rFonts w:cs="Traditional Arabic"/>
          <w:b/>
          <w:bCs/>
        </w:rPr>
      </w:pPr>
      <w:r w:rsidRPr="00E22C6B">
        <w:rPr>
          <w:noProof/>
        </w:rPr>
        <mc:AlternateContent>
          <mc:Choice Requires="wps">
            <w:drawing>
              <wp:anchor distT="0" distB="0" distL="114300" distR="114300" simplePos="0" relativeHeight="251660800" behindDoc="1" locked="0" layoutInCell="1" allowOverlap="1" wp14:anchorId="72B1ABD4" wp14:editId="2519E21F">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75pt;margin-top:3.2pt;width:351.7pt;height:2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E22C6B">
        <w:rPr>
          <w:rFonts w:cs="Traditional Arabic" w:hint="cs"/>
          <w:b/>
          <w:bCs/>
          <w:rtl/>
        </w:rPr>
        <w:t>سائر الدول</w:t>
      </w:r>
      <w:r w:rsidR="006D38E2" w:rsidRPr="00E22C6B">
        <w:rPr>
          <w:rFonts w:cs="Traditional Arabic" w:hint="cs"/>
          <w:b/>
          <w:bCs/>
          <w:rtl/>
        </w:rPr>
        <w:t>:</w:t>
      </w:r>
      <w:r w:rsidR="005A5A84" w:rsidRPr="00E22C6B">
        <w:rPr>
          <w:rFonts w:cs="Traditional Arabic" w:hint="cs"/>
          <w:b/>
          <w:bCs/>
          <w:rtl/>
          <w:lang w:bidi="ar-LB"/>
        </w:rPr>
        <w:t xml:space="preserve">   </w:t>
      </w:r>
      <w:r w:rsidR="006D38E2" w:rsidRPr="00E22C6B">
        <w:rPr>
          <w:rFonts w:cs="Traditional Arabic" w:hint="cs"/>
          <w:b/>
          <w:bCs/>
          <w:rtl/>
        </w:rPr>
        <w:t xml:space="preserve"> </w:t>
      </w:r>
      <w:r w:rsidR="000B5897" w:rsidRPr="00E22C6B">
        <w:rPr>
          <w:rFonts w:cs="DanaFajr" w:hint="cs"/>
          <w:sz w:val="22"/>
        </w:rPr>
        <w:sym w:font="Wingdings" w:char="F0A8"/>
      </w:r>
      <w:r w:rsidR="006917CA" w:rsidRPr="00E22C6B">
        <w:rPr>
          <w:rFonts w:cs="Traditional Arabic" w:hint="cs"/>
          <w:b/>
          <w:bCs/>
          <w:rtl/>
        </w:rPr>
        <w:t xml:space="preserve"> </w:t>
      </w:r>
      <w:r w:rsidR="000B5897" w:rsidRPr="00E22C6B">
        <w:rPr>
          <w:rFonts w:cs="Traditional Arabic" w:hint="cs"/>
          <w:b/>
          <w:bCs/>
          <w:rtl/>
        </w:rPr>
        <w:t xml:space="preserve">للأفراد 100 دولار  </w:t>
      </w:r>
      <w:r w:rsidR="005A5A84" w:rsidRPr="00E22C6B">
        <w:rPr>
          <w:rFonts w:cs="Traditional Arabic" w:hint="cs"/>
          <w:b/>
          <w:bCs/>
          <w:rtl/>
        </w:rPr>
        <w:t xml:space="preserve">   </w:t>
      </w:r>
      <w:r w:rsidR="000B5897" w:rsidRPr="00E22C6B">
        <w:rPr>
          <w:rFonts w:cs="Traditional Arabic" w:hint="cs"/>
          <w:b/>
          <w:bCs/>
          <w:rtl/>
        </w:rPr>
        <w:t xml:space="preserve">  </w:t>
      </w:r>
      <w:r w:rsidR="006917CA" w:rsidRPr="00E22C6B">
        <w:rPr>
          <w:rFonts w:cs="DanaFajr"/>
          <w:sz w:val="22"/>
        </w:rPr>
        <w:t xml:space="preserve"> </w:t>
      </w:r>
      <w:r w:rsidR="000B5897" w:rsidRPr="00E22C6B">
        <w:rPr>
          <w:rFonts w:cs="DanaFajr" w:hint="cs"/>
          <w:sz w:val="22"/>
        </w:rPr>
        <w:sym w:font="Wingdings" w:char="F0A8"/>
      </w:r>
      <w:r w:rsidR="000B5897" w:rsidRPr="00E22C6B">
        <w:rPr>
          <w:rFonts w:cs="Traditional Arabic" w:hint="cs"/>
          <w:b/>
          <w:bCs/>
          <w:rtl/>
        </w:rPr>
        <w:t xml:space="preserve">للمؤسسات 200 دولار </w:t>
      </w:r>
      <w:r w:rsidR="005A5A84" w:rsidRPr="00E22C6B">
        <w:rPr>
          <w:rFonts w:cs="Traditional Arabic" w:hint="cs"/>
          <w:b/>
          <w:bCs/>
          <w:rtl/>
        </w:rPr>
        <w:t xml:space="preserve">  </w:t>
      </w:r>
      <w:r w:rsidR="000B5897" w:rsidRPr="00E22C6B">
        <w:rPr>
          <w:rFonts w:cs="Traditional Arabic" w:hint="cs"/>
          <w:b/>
          <w:bCs/>
          <w:sz w:val="22"/>
          <w:szCs w:val="22"/>
          <w:rtl/>
        </w:rPr>
        <w:t>(خالص</w:t>
      </w:r>
      <w:r w:rsidR="006D38E2" w:rsidRPr="00E22C6B">
        <w:rPr>
          <w:rFonts w:cs="Traditional Arabic" w:hint="cs"/>
          <w:b/>
          <w:bCs/>
          <w:sz w:val="22"/>
          <w:szCs w:val="22"/>
          <w:rtl/>
        </w:rPr>
        <w:t xml:space="preserve">ة </w:t>
      </w:r>
      <w:r w:rsidR="000B5897" w:rsidRPr="00E22C6B">
        <w:rPr>
          <w:rFonts w:cs="Traditional Arabic" w:hint="cs"/>
          <w:b/>
          <w:bCs/>
          <w:sz w:val="22"/>
          <w:szCs w:val="22"/>
          <w:rtl/>
        </w:rPr>
        <w:t>أجور البريد)</w:t>
      </w:r>
    </w:p>
    <w:p w:rsidR="000B5897" w:rsidRPr="00E22C6B" w:rsidRDefault="000B5897" w:rsidP="000B5897">
      <w:pPr>
        <w:ind w:firstLine="0"/>
        <w:jc w:val="center"/>
        <w:rPr>
          <w:sz w:val="30"/>
          <w:szCs w:val="30"/>
          <w:rtl/>
        </w:rPr>
      </w:pPr>
    </w:p>
    <w:p w:rsidR="000B5897" w:rsidRPr="00E22C6B" w:rsidRDefault="000B5897" w:rsidP="000B5897">
      <w:pPr>
        <w:spacing w:after="120" w:line="480" w:lineRule="exact"/>
        <w:ind w:firstLine="0"/>
        <w:jc w:val="center"/>
        <w:rPr>
          <w:sz w:val="8"/>
          <w:rtl/>
        </w:rPr>
      </w:pPr>
      <w:r w:rsidRPr="00E22C6B">
        <w:rPr>
          <w:rFonts w:cs="PT Bold Heading" w:hint="cs"/>
          <w:sz w:val="32"/>
          <w:szCs w:val="30"/>
          <w:rtl/>
        </w:rPr>
        <w:t>ثمن النسخ</w:t>
      </w:r>
      <w:r w:rsidR="006D38E2" w:rsidRPr="00E22C6B">
        <w:rPr>
          <w:rFonts w:cs="PT Bold Heading" w:hint="cs"/>
          <w:sz w:val="32"/>
          <w:szCs w:val="30"/>
          <w:rtl/>
        </w:rPr>
        <w:t xml:space="preserve">ة </w:t>
      </w:r>
    </w:p>
    <w:p w:rsidR="000B5897" w:rsidRPr="00E22C6B" w:rsidRDefault="00132016" w:rsidP="00573203">
      <w:pPr>
        <w:spacing w:before="100"/>
        <w:ind w:left="113" w:right="142" w:firstLine="0"/>
        <w:rPr>
          <w:noProof/>
          <w:spacing w:val="-4"/>
          <w:sz w:val="29"/>
          <w:szCs w:val="29"/>
          <w:rtl/>
          <w:lang w:bidi="ar-LB"/>
        </w:rPr>
      </w:pPr>
      <w:r w:rsidRPr="00E22C6B">
        <w:rPr>
          <w:noProof/>
        </w:rPr>
        <mc:AlternateContent>
          <mc:Choice Requires="wps">
            <w:drawing>
              <wp:anchor distT="0" distB="0" distL="114300" distR="114300" simplePos="0" relativeHeight="251676160" behindDoc="1" locked="0" layoutInCell="1" allowOverlap="1" wp14:anchorId="403F9FA1" wp14:editId="63DBB0BD">
                <wp:simplePos x="0" y="0"/>
                <wp:positionH relativeFrom="column">
                  <wp:posOffset>7620</wp:posOffset>
                </wp:positionH>
                <wp:positionV relativeFrom="paragraph">
                  <wp:posOffset>15875</wp:posOffset>
                </wp:positionV>
                <wp:extent cx="4445000" cy="1852295"/>
                <wp:effectExtent l="19050" t="19050" r="1270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6pt;margin-top:1.25pt;width:350pt;height:145.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" filled="f" strokeweight="3pt">
                <v:stroke linestyle="thinThin"/>
              </v:rect>
            </w:pict>
          </mc:Fallback>
        </mc:AlternateContent>
      </w:r>
      <w:r w:rsidRPr="00E22C6B">
        <w:rPr>
          <w:rFonts w:hint="cs"/>
          <w:noProof/>
          <w:spacing w:val="-4"/>
          <w:sz w:val="29"/>
          <w:szCs w:val="29"/>
        </w:rPr>
        <w:sym w:font="Wingdings" w:char="F0D7"/>
      </w:r>
      <w:r w:rsidRPr="00E22C6B">
        <w:rPr>
          <w:rFonts w:hint="cs"/>
          <w:noProof/>
          <w:spacing w:val="-4"/>
          <w:sz w:val="29"/>
          <w:szCs w:val="29"/>
          <w:rtl/>
        </w:rPr>
        <w:t xml:space="preserve">لبنان </w:t>
      </w:r>
      <w:r w:rsidR="00DC64B4" w:rsidRPr="00E22C6B">
        <w:rPr>
          <w:rFonts w:hint="cs"/>
          <w:noProof/>
          <w:spacing w:val="-4"/>
          <w:sz w:val="29"/>
          <w:szCs w:val="29"/>
          <w:rtl/>
        </w:rPr>
        <w:t>3</w:t>
      </w:r>
      <w:r w:rsidR="00573203" w:rsidRPr="00E22C6B">
        <w:rPr>
          <w:rFonts w:cs="DanaFajr" w:hint="cs"/>
          <w:b/>
          <w:bCs/>
          <w:noProof/>
          <w:spacing w:val="-4"/>
          <w:sz w:val="29"/>
          <w:szCs w:val="29"/>
          <w:rtl/>
        </w:rPr>
        <w:t>,</w:t>
      </w:r>
      <w:r w:rsidR="00DC64B4" w:rsidRPr="00E22C6B">
        <w:rPr>
          <w:rFonts w:hint="cs"/>
          <w:noProof/>
          <w:spacing w:val="-4"/>
          <w:sz w:val="29"/>
          <w:szCs w:val="29"/>
          <w:rtl/>
        </w:rPr>
        <w:t>5</w:t>
      </w:r>
      <w:r w:rsidRPr="00E22C6B">
        <w:rPr>
          <w:rFonts w:hint="cs"/>
          <w:noProof/>
          <w:spacing w:val="-4"/>
          <w:sz w:val="29"/>
          <w:szCs w:val="29"/>
          <w:rtl/>
        </w:rPr>
        <w:t xml:space="preserve"> </w:t>
      </w:r>
      <w:r w:rsidR="00DC64B4" w:rsidRPr="00E22C6B">
        <w:rPr>
          <w:rFonts w:hint="cs"/>
          <w:noProof/>
          <w:spacing w:val="-4"/>
          <w:sz w:val="29"/>
          <w:szCs w:val="29"/>
          <w:rtl/>
        </w:rPr>
        <w:t>دولار</w:t>
      </w:r>
      <w:r w:rsidRPr="00E22C6B">
        <w:rPr>
          <w:rFonts w:hint="cs"/>
          <w:noProof/>
          <w:spacing w:val="-4"/>
          <w:sz w:val="29"/>
          <w:szCs w:val="29"/>
          <w:rtl/>
        </w:rPr>
        <w:t xml:space="preserve"> </w:t>
      </w:r>
      <w:r w:rsidRPr="00E22C6B">
        <w:rPr>
          <w:rFonts w:hint="cs"/>
          <w:noProof/>
          <w:spacing w:val="-4"/>
          <w:sz w:val="29"/>
          <w:szCs w:val="29"/>
        </w:rPr>
        <w:sym w:font="Wingdings" w:char="F0D7"/>
      </w:r>
      <w:r w:rsidRPr="00E22C6B">
        <w:rPr>
          <w:rFonts w:hint="cs"/>
          <w:noProof/>
          <w:spacing w:val="-4"/>
          <w:sz w:val="29"/>
          <w:szCs w:val="29"/>
          <w:rtl/>
        </w:rPr>
        <w:t xml:space="preserve">سوريا </w:t>
      </w:r>
      <w:r w:rsidR="00666D68" w:rsidRPr="00E22C6B">
        <w:rPr>
          <w:rFonts w:hint="cs"/>
          <w:noProof/>
          <w:spacing w:val="-4"/>
          <w:sz w:val="29"/>
          <w:szCs w:val="29"/>
          <w:rtl/>
        </w:rPr>
        <w:t>600</w:t>
      </w:r>
      <w:r w:rsidRPr="00E22C6B">
        <w:rPr>
          <w:rFonts w:hint="cs"/>
          <w:noProof/>
          <w:spacing w:val="-4"/>
          <w:sz w:val="29"/>
          <w:szCs w:val="29"/>
          <w:rtl/>
        </w:rPr>
        <w:t xml:space="preserve">0 ليرة </w:t>
      </w:r>
      <w:r w:rsidRPr="00E22C6B">
        <w:rPr>
          <w:rFonts w:hint="cs"/>
          <w:noProof/>
          <w:spacing w:val="-4"/>
          <w:sz w:val="29"/>
          <w:szCs w:val="29"/>
        </w:rPr>
        <w:sym w:font="Wingdings" w:char="F0D7"/>
      </w:r>
      <w:r w:rsidRPr="00E22C6B">
        <w:rPr>
          <w:rFonts w:hint="cs"/>
          <w:noProof/>
          <w:spacing w:val="-4"/>
          <w:sz w:val="29"/>
          <w:szCs w:val="29"/>
          <w:rtl/>
        </w:rPr>
        <w:t>الأردن 2</w:t>
      </w:r>
      <w:r w:rsidR="00573203" w:rsidRPr="00E22C6B">
        <w:rPr>
          <w:rFonts w:cs="DanaFajr" w:hint="cs"/>
          <w:b/>
          <w:bCs/>
          <w:noProof/>
          <w:spacing w:val="-4"/>
          <w:sz w:val="29"/>
          <w:szCs w:val="29"/>
          <w:rtl/>
        </w:rPr>
        <w:t>,</w:t>
      </w:r>
      <w:r w:rsidRPr="00E22C6B">
        <w:rPr>
          <w:rFonts w:hint="cs"/>
          <w:noProof/>
          <w:spacing w:val="-4"/>
          <w:sz w:val="29"/>
          <w:szCs w:val="29"/>
          <w:rtl/>
        </w:rPr>
        <w:t xml:space="preserve">5 دينار </w:t>
      </w:r>
      <w:r w:rsidRPr="00E22C6B">
        <w:rPr>
          <w:rFonts w:hint="cs"/>
          <w:noProof/>
          <w:spacing w:val="-4"/>
          <w:sz w:val="29"/>
          <w:szCs w:val="29"/>
        </w:rPr>
        <w:sym w:font="Wingdings" w:char="F0D7"/>
      </w:r>
      <w:r w:rsidRPr="00E22C6B">
        <w:rPr>
          <w:rFonts w:hint="cs"/>
          <w:noProof/>
          <w:spacing w:val="-4"/>
          <w:sz w:val="29"/>
          <w:szCs w:val="29"/>
          <w:rtl/>
        </w:rPr>
        <w:t xml:space="preserve">الكويت 3 دنانير </w:t>
      </w:r>
      <w:r w:rsidRPr="00E22C6B">
        <w:rPr>
          <w:noProof/>
          <w:spacing w:val="-4"/>
          <w:sz w:val="29"/>
          <w:szCs w:val="29"/>
          <w:rtl/>
        </w:rPr>
        <w:br/>
      </w:r>
      <w:r w:rsidRPr="00E22C6B">
        <w:rPr>
          <w:rFonts w:hint="cs"/>
          <w:noProof/>
          <w:spacing w:val="-4"/>
          <w:sz w:val="29"/>
          <w:szCs w:val="29"/>
        </w:rPr>
        <w:sym w:font="Wingdings" w:char="F0D7"/>
      </w:r>
      <w:r w:rsidRPr="00E22C6B">
        <w:rPr>
          <w:rFonts w:hint="cs"/>
          <w:noProof/>
          <w:spacing w:val="-4"/>
          <w:sz w:val="29"/>
          <w:szCs w:val="29"/>
          <w:rtl/>
        </w:rPr>
        <w:t xml:space="preserve">العراق 3000 دينار </w:t>
      </w:r>
      <w:r w:rsidRPr="00E22C6B">
        <w:rPr>
          <w:rFonts w:hint="cs"/>
          <w:noProof/>
          <w:spacing w:val="-4"/>
          <w:sz w:val="29"/>
          <w:szCs w:val="29"/>
        </w:rPr>
        <w:sym w:font="Wingdings" w:char="F0D7"/>
      </w:r>
      <w:r w:rsidRPr="00E22C6B">
        <w:rPr>
          <w:rFonts w:hint="cs"/>
          <w:noProof/>
          <w:spacing w:val="-4"/>
          <w:sz w:val="29"/>
          <w:szCs w:val="29"/>
          <w:rtl/>
        </w:rPr>
        <w:t xml:space="preserve">الإمارات العربية 30 درهماً </w:t>
      </w:r>
      <w:r w:rsidRPr="00E22C6B">
        <w:rPr>
          <w:rFonts w:hint="cs"/>
          <w:noProof/>
          <w:spacing w:val="-4"/>
          <w:sz w:val="29"/>
          <w:szCs w:val="29"/>
        </w:rPr>
        <w:sym w:font="Wingdings" w:char="F0D7"/>
      </w:r>
      <w:r w:rsidRPr="00E22C6B">
        <w:rPr>
          <w:rFonts w:hint="cs"/>
          <w:noProof/>
          <w:spacing w:val="-4"/>
          <w:sz w:val="29"/>
          <w:szCs w:val="29"/>
          <w:rtl/>
        </w:rPr>
        <w:t xml:space="preserve">البحرين 3 دنانير </w:t>
      </w:r>
      <w:r w:rsidR="00E52833" w:rsidRPr="00E22C6B">
        <w:rPr>
          <w:rFonts w:hint="cs"/>
          <w:noProof/>
          <w:spacing w:val="-4"/>
          <w:sz w:val="29"/>
          <w:szCs w:val="29"/>
          <w:rtl/>
        </w:rPr>
        <w:t xml:space="preserve">   </w:t>
      </w:r>
      <w:r w:rsidRPr="00E22C6B">
        <w:rPr>
          <w:rFonts w:hint="cs"/>
          <w:noProof/>
          <w:spacing w:val="-4"/>
          <w:sz w:val="29"/>
          <w:szCs w:val="29"/>
        </w:rPr>
        <w:sym w:font="Wingdings" w:char="F0D7"/>
      </w:r>
      <w:r w:rsidRPr="00E22C6B">
        <w:rPr>
          <w:rFonts w:hint="cs"/>
          <w:noProof/>
          <w:spacing w:val="-4"/>
          <w:sz w:val="29"/>
          <w:szCs w:val="29"/>
          <w:rtl/>
        </w:rPr>
        <w:t xml:space="preserve">قطر 30 ريالاً </w:t>
      </w:r>
      <w:r w:rsidRPr="00E22C6B">
        <w:rPr>
          <w:rFonts w:hint="cs"/>
          <w:noProof/>
          <w:spacing w:val="-4"/>
          <w:sz w:val="29"/>
          <w:szCs w:val="29"/>
        </w:rPr>
        <w:sym w:font="Wingdings" w:char="F0D7"/>
      </w:r>
      <w:r w:rsidRPr="00E22C6B">
        <w:rPr>
          <w:rFonts w:hint="cs"/>
          <w:noProof/>
          <w:spacing w:val="-4"/>
          <w:sz w:val="29"/>
          <w:szCs w:val="29"/>
          <w:rtl/>
        </w:rPr>
        <w:t xml:space="preserve">السعودية 30 ريالاً </w:t>
      </w:r>
      <w:r w:rsidRPr="00E22C6B">
        <w:rPr>
          <w:rFonts w:hint="cs"/>
          <w:noProof/>
          <w:spacing w:val="-4"/>
          <w:sz w:val="29"/>
          <w:szCs w:val="29"/>
        </w:rPr>
        <w:sym w:font="Wingdings" w:char="F0D7"/>
      </w:r>
      <w:r w:rsidRPr="00E22C6B">
        <w:rPr>
          <w:rFonts w:hint="cs"/>
          <w:noProof/>
          <w:spacing w:val="-4"/>
          <w:sz w:val="29"/>
          <w:szCs w:val="29"/>
          <w:rtl/>
        </w:rPr>
        <w:t xml:space="preserve">عمان 3 ريالات </w:t>
      </w:r>
      <w:r w:rsidRPr="00E22C6B">
        <w:rPr>
          <w:rFonts w:hint="cs"/>
          <w:noProof/>
          <w:spacing w:val="-4"/>
          <w:sz w:val="29"/>
          <w:szCs w:val="29"/>
        </w:rPr>
        <w:sym w:font="Wingdings" w:char="F0D7"/>
      </w:r>
      <w:r w:rsidRPr="00E22C6B">
        <w:rPr>
          <w:rFonts w:hint="cs"/>
          <w:noProof/>
          <w:spacing w:val="-4"/>
          <w:sz w:val="29"/>
          <w:szCs w:val="29"/>
          <w:rtl/>
        </w:rPr>
        <w:t xml:space="preserve">اليمن 400 ريال </w:t>
      </w:r>
      <w:r w:rsidRPr="00E22C6B">
        <w:rPr>
          <w:rFonts w:hint="cs"/>
          <w:noProof/>
          <w:spacing w:val="-4"/>
          <w:sz w:val="29"/>
          <w:szCs w:val="29"/>
        </w:rPr>
        <w:sym w:font="Wingdings" w:char="F0D7"/>
      </w:r>
      <w:r w:rsidRPr="00E22C6B">
        <w:rPr>
          <w:rFonts w:hint="cs"/>
          <w:noProof/>
          <w:spacing w:val="-4"/>
          <w:sz w:val="29"/>
          <w:szCs w:val="29"/>
          <w:rtl/>
        </w:rPr>
        <w:t xml:space="preserve">مصر 7 جنيهات </w:t>
      </w:r>
      <w:r w:rsidRPr="00E22C6B">
        <w:rPr>
          <w:rFonts w:hint="cs"/>
          <w:noProof/>
          <w:spacing w:val="-4"/>
          <w:sz w:val="29"/>
          <w:szCs w:val="29"/>
        </w:rPr>
        <w:sym w:font="Wingdings" w:char="F0D7"/>
      </w:r>
      <w:r w:rsidRPr="00E22C6B">
        <w:rPr>
          <w:rFonts w:hint="cs"/>
          <w:noProof/>
          <w:spacing w:val="-4"/>
          <w:sz w:val="29"/>
          <w:szCs w:val="29"/>
          <w:rtl/>
        </w:rPr>
        <w:t xml:space="preserve">السودان 200 دينار </w:t>
      </w:r>
      <w:r w:rsidRPr="00E22C6B">
        <w:rPr>
          <w:rFonts w:hint="cs"/>
          <w:noProof/>
          <w:spacing w:val="-4"/>
          <w:sz w:val="29"/>
          <w:szCs w:val="29"/>
        </w:rPr>
        <w:sym w:font="Wingdings" w:char="F0D7"/>
      </w:r>
      <w:r w:rsidRPr="00E22C6B">
        <w:rPr>
          <w:rFonts w:hint="cs"/>
          <w:noProof/>
          <w:spacing w:val="-4"/>
          <w:sz w:val="29"/>
          <w:szCs w:val="29"/>
          <w:rtl/>
        </w:rPr>
        <w:t xml:space="preserve">الصومال 150 شلناً </w:t>
      </w:r>
      <w:r w:rsidRPr="00E22C6B">
        <w:rPr>
          <w:rFonts w:hint="cs"/>
          <w:noProof/>
          <w:spacing w:val="-4"/>
          <w:sz w:val="29"/>
          <w:szCs w:val="29"/>
        </w:rPr>
        <w:sym w:font="Wingdings" w:char="F0D7"/>
      </w:r>
      <w:r w:rsidRPr="00E22C6B">
        <w:rPr>
          <w:rFonts w:hint="cs"/>
          <w:noProof/>
          <w:spacing w:val="-4"/>
          <w:sz w:val="29"/>
          <w:szCs w:val="29"/>
          <w:rtl/>
        </w:rPr>
        <w:t xml:space="preserve">ليبيا 5 دنانير </w:t>
      </w:r>
      <w:r w:rsidRPr="00E22C6B">
        <w:rPr>
          <w:rFonts w:hint="cs"/>
          <w:noProof/>
          <w:spacing w:val="-4"/>
          <w:sz w:val="29"/>
          <w:szCs w:val="29"/>
        </w:rPr>
        <w:sym w:font="Wingdings" w:char="F0D7"/>
      </w:r>
      <w:r w:rsidRPr="00E22C6B">
        <w:rPr>
          <w:rFonts w:hint="cs"/>
          <w:noProof/>
          <w:spacing w:val="-4"/>
          <w:sz w:val="29"/>
          <w:szCs w:val="29"/>
          <w:rtl/>
        </w:rPr>
        <w:t xml:space="preserve">الجزائر 30 ديناراً </w:t>
      </w:r>
      <w:r w:rsidRPr="00E22C6B">
        <w:rPr>
          <w:rFonts w:hint="cs"/>
          <w:noProof/>
          <w:spacing w:val="-4"/>
          <w:sz w:val="29"/>
          <w:szCs w:val="29"/>
        </w:rPr>
        <w:sym w:font="Wingdings" w:char="F0D7"/>
      </w:r>
      <w:r w:rsidRPr="00E22C6B">
        <w:rPr>
          <w:rFonts w:hint="cs"/>
          <w:noProof/>
          <w:spacing w:val="-4"/>
          <w:sz w:val="29"/>
          <w:szCs w:val="29"/>
          <w:rtl/>
        </w:rPr>
        <w:t xml:space="preserve">تونس 3 دنانير </w:t>
      </w:r>
      <w:r w:rsidRPr="00E22C6B">
        <w:rPr>
          <w:rFonts w:hint="cs"/>
          <w:noProof/>
          <w:spacing w:val="-4"/>
          <w:sz w:val="29"/>
          <w:szCs w:val="29"/>
        </w:rPr>
        <w:sym w:font="Wingdings" w:char="F0D7"/>
      </w:r>
      <w:r w:rsidRPr="00E22C6B">
        <w:rPr>
          <w:rFonts w:hint="cs"/>
          <w:noProof/>
          <w:spacing w:val="-4"/>
          <w:sz w:val="29"/>
          <w:szCs w:val="29"/>
          <w:rtl/>
        </w:rPr>
        <w:t xml:space="preserve">المغرب 30 درهماً </w:t>
      </w:r>
      <w:r w:rsidRPr="00E22C6B">
        <w:rPr>
          <w:rFonts w:hint="cs"/>
          <w:noProof/>
          <w:spacing w:val="-4"/>
          <w:sz w:val="29"/>
          <w:szCs w:val="29"/>
        </w:rPr>
        <w:sym w:font="Wingdings" w:char="F0D7"/>
      </w:r>
      <w:r w:rsidRPr="00E22C6B">
        <w:rPr>
          <w:rFonts w:hint="cs"/>
          <w:noProof/>
          <w:spacing w:val="-4"/>
          <w:sz w:val="29"/>
          <w:szCs w:val="29"/>
          <w:rtl/>
        </w:rPr>
        <w:t xml:space="preserve">موريتانيا 500 أوقية </w:t>
      </w:r>
      <w:r w:rsidRPr="00E22C6B">
        <w:rPr>
          <w:rFonts w:hint="cs"/>
          <w:noProof/>
          <w:spacing w:val="-4"/>
          <w:sz w:val="29"/>
          <w:szCs w:val="29"/>
        </w:rPr>
        <w:sym w:font="Wingdings" w:char="F0D7"/>
      </w:r>
      <w:r w:rsidRPr="00E22C6B">
        <w:rPr>
          <w:rFonts w:hint="cs"/>
          <w:noProof/>
          <w:spacing w:val="-4"/>
          <w:sz w:val="29"/>
          <w:szCs w:val="29"/>
          <w:rtl/>
        </w:rPr>
        <w:t xml:space="preserve">تركيا 20000 ليرة </w:t>
      </w:r>
      <w:r w:rsidRPr="00E22C6B">
        <w:rPr>
          <w:rFonts w:hint="cs"/>
          <w:noProof/>
          <w:spacing w:val="-4"/>
          <w:sz w:val="29"/>
          <w:szCs w:val="29"/>
        </w:rPr>
        <w:sym w:font="Wingdings" w:char="F0D7"/>
      </w:r>
      <w:r w:rsidRPr="00E22C6B">
        <w:rPr>
          <w:rFonts w:hint="cs"/>
          <w:noProof/>
          <w:spacing w:val="-4"/>
          <w:sz w:val="29"/>
          <w:szCs w:val="29"/>
          <w:rtl/>
        </w:rPr>
        <w:t xml:space="preserve">قبرص 5 جنيهات </w:t>
      </w:r>
      <w:r w:rsidRPr="00E22C6B">
        <w:rPr>
          <w:rFonts w:hint="cs"/>
          <w:noProof/>
          <w:spacing w:val="-4"/>
          <w:sz w:val="29"/>
          <w:szCs w:val="29"/>
        </w:rPr>
        <w:sym w:font="Wingdings" w:char="F0D7"/>
      </w:r>
      <w:r w:rsidRPr="00E22C6B">
        <w:rPr>
          <w:rFonts w:hint="cs"/>
          <w:noProof/>
          <w:spacing w:val="-4"/>
          <w:sz w:val="29"/>
          <w:szCs w:val="29"/>
          <w:rtl/>
        </w:rPr>
        <w:t>أمريكا وأوروبا وسائر الدول الأخرى 10 دولارات</w:t>
      </w:r>
      <w:r w:rsidR="00E52833" w:rsidRPr="00E22C6B">
        <w:rPr>
          <w:rFonts w:hint="cs"/>
          <w:noProof/>
          <w:spacing w:val="-4"/>
          <w:sz w:val="29"/>
          <w:szCs w:val="29"/>
          <w:rtl/>
          <w:lang w:bidi="ar-LB"/>
        </w:rPr>
        <w:t>.</w:t>
      </w:r>
    </w:p>
    <w:p w:rsidR="00E52833" w:rsidRPr="00E22C6B" w:rsidRDefault="00E52833" w:rsidP="00666D68">
      <w:pPr>
        <w:spacing w:before="100"/>
        <w:ind w:left="113" w:right="142" w:firstLine="0"/>
        <w:rPr>
          <w:noProof/>
          <w:spacing w:val="-4"/>
          <w:sz w:val="29"/>
          <w:szCs w:val="29"/>
          <w:rtl/>
          <w:lang w:bidi="ar-LB"/>
        </w:rPr>
        <w:sectPr w:rsidR="00E52833" w:rsidRPr="00E22C6B" w:rsidSect="009D5057">
          <w:headerReference w:type="even" r:id="rId188"/>
          <w:headerReference w:type="default" r:id="rId189"/>
          <w:footerReference w:type="default" r:id="rId190"/>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0B5897" w:rsidRPr="00E22C6B" w:rsidRDefault="000B5897" w:rsidP="000B5897">
      <w:pPr>
        <w:ind w:right="284" w:firstLine="0"/>
        <w:rPr>
          <w:sz w:val="32"/>
          <w:rtl/>
        </w:rPr>
      </w:pPr>
    </w:p>
    <w:p w:rsidR="000B5897" w:rsidRPr="00E22C6B" w:rsidRDefault="000B5897" w:rsidP="000B5897">
      <w:pPr>
        <w:ind w:right="284" w:firstLine="0"/>
        <w:rPr>
          <w:sz w:val="32"/>
          <w:rtl/>
        </w:rPr>
      </w:pPr>
    </w:p>
    <w:p w:rsidR="000B5897" w:rsidRPr="00E22C6B" w:rsidRDefault="000B5897" w:rsidP="0026295E">
      <w:pPr>
        <w:spacing w:line="240" w:lineRule="auto"/>
        <w:ind w:firstLine="0"/>
        <w:jc w:val="center"/>
        <w:rPr>
          <w:rFonts w:ascii="Elephant" w:hAnsi="Elephant"/>
          <w:rtl/>
        </w:rPr>
      </w:pPr>
      <w:r w:rsidRPr="00E22C6B">
        <w:rPr>
          <w:rFonts w:ascii="Elephant" w:hAnsi="Elephant"/>
          <w:sz w:val="54"/>
        </w:rPr>
        <w:t>Al-</w:t>
      </w:r>
      <w:r w:rsidR="00252E59" w:rsidRPr="00E22C6B">
        <w:rPr>
          <w:rFonts w:ascii="Elephant" w:hAnsi="Elephant"/>
          <w:sz w:val="54"/>
        </w:rPr>
        <w:t>I</w:t>
      </w:r>
      <w:r w:rsidR="002C1BC1" w:rsidRPr="00E22C6B">
        <w:rPr>
          <w:rFonts w:ascii="Elephant" w:hAnsi="Elephant"/>
          <w:sz w:val="54"/>
        </w:rPr>
        <w:t>j</w:t>
      </w:r>
      <w:r w:rsidRPr="00E22C6B">
        <w:rPr>
          <w:rFonts w:ascii="Elephant" w:hAnsi="Elephant"/>
          <w:sz w:val="54"/>
        </w:rPr>
        <w:t xml:space="preserve">tihad </w:t>
      </w:r>
      <w:r w:rsidRPr="00E22C6B">
        <w:rPr>
          <w:rFonts w:ascii="Elephant" w:hAnsi="Elephant" w:cs="Mosawi"/>
          <w:sz w:val="54"/>
          <w:szCs w:val="54"/>
        </w:rPr>
        <w:t>&amp;</w:t>
      </w:r>
      <w:r w:rsidRPr="00E22C6B">
        <w:rPr>
          <w:rFonts w:ascii="Elephant" w:hAnsi="Elephant"/>
          <w:sz w:val="54"/>
        </w:rPr>
        <w:t xml:space="preserve"> </w:t>
      </w:r>
      <w:r w:rsidR="002C1BC1" w:rsidRPr="00E22C6B">
        <w:rPr>
          <w:rFonts w:ascii="Elephant" w:hAnsi="Elephant"/>
          <w:sz w:val="54"/>
        </w:rPr>
        <w:t>Al-</w:t>
      </w:r>
      <w:r w:rsidR="00252E59" w:rsidRPr="00E22C6B">
        <w:rPr>
          <w:rFonts w:ascii="Elephant" w:hAnsi="Elephant"/>
          <w:sz w:val="54"/>
        </w:rPr>
        <w:t>T</w:t>
      </w:r>
      <w:r w:rsidRPr="00E22C6B">
        <w:rPr>
          <w:rFonts w:ascii="Elephant" w:hAnsi="Elephant"/>
          <w:sz w:val="54"/>
        </w:rPr>
        <w:t>a</w:t>
      </w:r>
      <w:r w:rsidR="002C1BC1" w:rsidRPr="00E22C6B">
        <w:rPr>
          <w:rFonts w:ascii="Elephant" w:hAnsi="Elephant"/>
          <w:sz w:val="54"/>
        </w:rPr>
        <w:t>j</w:t>
      </w:r>
      <w:r w:rsidRPr="00E22C6B">
        <w:rPr>
          <w:rFonts w:ascii="Elephant" w:hAnsi="Elephant"/>
          <w:sz w:val="54"/>
        </w:rPr>
        <w:t>deed</w:t>
      </w:r>
    </w:p>
    <w:p w:rsidR="000B5897" w:rsidRPr="00E22C6B" w:rsidRDefault="000B5897" w:rsidP="000B5897">
      <w:pPr>
        <w:ind w:right="284" w:firstLine="0"/>
        <w:rPr>
          <w:sz w:val="32"/>
          <w:rtl/>
        </w:rPr>
      </w:pPr>
    </w:p>
    <w:p w:rsidR="000B5897" w:rsidRPr="00E22C6B" w:rsidRDefault="00072C15" w:rsidP="000B5897">
      <w:pPr>
        <w:ind w:right="284" w:firstLine="0"/>
        <w:rPr>
          <w:sz w:val="32"/>
          <w:rtl/>
        </w:rPr>
      </w:pPr>
      <w:r w:rsidRPr="00E22C6B">
        <w:rPr>
          <w:noProof/>
        </w:rPr>
        <mc:AlternateContent>
          <mc:Choice Requires="wps">
            <w:drawing>
              <wp:anchor distT="0" distB="0" distL="114300" distR="114300" simplePos="0" relativeHeight="251657728" behindDoc="0" locked="0" layoutInCell="1" allowOverlap="1" wp14:anchorId="6697BEC4" wp14:editId="667E5CF0">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356" w:rsidRPr="000D32C7" w:rsidRDefault="00DB2356" w:rsidP="000D32C7">
                            <w:pPr>
                              <w:bidi w:val="0"/>
                              <w:spacing w:before="80" w:line="240" w:lineRule="auto"/>
                              <w:ind w:firstLine="0"/>
                              <w:jc w:val="center"/>
                              <w:rPr>
                                <w:b/>
                                <w:bCs/>
                                <w:color w:val="FFFFFF"/>
                                <w:position w:val="-6"/>
                                <w:sz w:val="22"/>
                                <w:szCs w:val="22"/>
                              </w:rPr>
                            </w:pPr>
                            <w:r w:rsidRPr="00496EB1">
                              <w:rPr>
                                <w:b/>
                                <w:bCs/>
                                <w:color w:val="FFFFFF"/>
                                <w:position w:val="-6"/>
                                <w:sz w:val="22"/>
                                <w:szCs w:val="22"/>
                                <w:lang w:bidi="fa-IR"/>
                              </w:rPr>
                              <w:t>Summer 20</w:t>
                            </w:r>
                            <w:r>
                              <w:rPr>
                                <w:b/>
                                <w:bCs/>
                                <w:color w:val="FFFFFF"/>
                                <w:position w:val="-6"/>
                                <w:sz w:val="22"/>
                                <w:szCs w:val="22"/>
                                <w:lang w:bidi="fa-IR"/>
                              </w:rPr>
                              <w:t>21</w:t>
                            </w:r>
                            <w:r w:rsidRPr="00496EB1">
                              <w:rPr>
                                <w:b/>
                                <w:bCs/>
                                <w:color w:val="FFFFFF"/>
                                <w:position w:val="-6"/>
                                <w:sz w:val="22"/>
                                <w:szCs w:val="22"/>
                                <w:lang w:bidi="fa-IR"/>
                              </w:rPr>
                              <w:t xml:space="preserve"> - 144</w:t>
                            </w:r>
                            <w:r>
                              <w:rPr>
                                <w:b/>
                                <w:bCs/>
                                <w:color w:val="FFFFFF"/>
                                <w:position w:val="-6"/>
                                <w:sz w:val="22"/>
                                <w:szCs w:val="22"/>
                                <w:lang w:bidi="fa-IR"/>
                              </w:rPr>
                              <w:t>2</w:t>
                            </w:r>
                            <w:r w:rsidRPr="00496EB1">
                              <w:rPr>
                                <w:b/>
                                <w:bCs/>
                                <w:color w:val="FFFFFF"/>
                                <w:position w:val="-6"/>
                                <w:sz w:val="22"/>
                                <w:szCs w:val="22"/>
                                <w:lang w:bidi="fa-IR"/>
                              </w:rPr>
                              <w:t xml:space="preserve"> &amp; Autumn 20</w:t>
                            </w:r>
                            <w:r>
                              <w:rPr>
                                <w:b/>
                                <w:bCs/>
                                <w:color w:val="FFFFFF"/>
                                <w:position w:val="-6"/>
                                <w:sz w:val="22"/>
                                <w:szCs w:val="22"/>
                                <w:lang w:bidi="fa-IR"/>
                              </w:rPr>
                              <w:t>21</w:t>
                            </w:r>
                            <w:r w:rsidRPr="00496EB1">
                              <w:rPr>
                                <w:b/>
                                <w:bCs/>
                                <w:color w:val="FFFFFF"/>
                                <w:position w:val="-6"/>
                                <w:sz w:val="22"/>
                                <w:szCs w:val="22"/>
                                <w:lang w:bidi="fa-IR"/>
                              </w:rPr>
                              <w:t xml:space="preserve"> - 144</w:t>
                            </w:r>
                            <w:r>
                              <w:rPr>
                                <w:b/>
                                <w:bCs/>
                                <w:color w:val="FFFFFF"/>
                                <w:position w:val="-6"/>
                                <w:sz w:val="22"/>
                                <w:szCs w:val="22"/>
                                <w:lang w:bidi="fa-IR"/>
                              </w:rPr>
                              <w:t>3</w:t>
                            </w:r>
                            <w:r w:rsidRPr="000D32C7">
                              <w:rPr>
                                <w:rFonts w:hint="cs"/>
                                <w:b/>
                                <w:bCs/>
                                <w:color w:val="FFFFFF"/>
                                <w:position w:val="-6"/>
                                <w:sz w:val="22"/>
                                <w:szCs w:val="22"/>
                                <w:rtl/>
                              </w:rPr>
                              <w:t xml:space="preserve">  </w:t>
                            </w:r>
                            <w:r w:rsidRPr="000D32C7">
                              <w:rPr>
                                <w:rFonts w:hint="cs"/>
                                <w:b/>
                                <w:bCs/>
                                <w:color w:val="FFFFFF"/>
                                <w:position w:val="-6"/>
                                <w:sz w:val="22"/>
                                <w:szCs w:val="22"/>
                                <w:rtl/>
                                <w:lang w:bidi="fa-IR"/>
                              </w:rPr>
                              <w:t xml:space="preserve">   </w:t>
                            </w:r>
                            <w:r w:rsidRPr="000D32C7">
                              <w:rPr>
                                <w:b/>
                                <w:bCs/>
                                <w:color w:val="FFFFFF"/>
                                <w:position w:val="-6"/>
                                <w:sz w:val="22"/>
                                <w:szCs w:val="22"/>
                                <w:lang w:bidi="fa-IR"/>
                              </w:rPr>
                              <w:t xml:space="preserve"> 15 </w:t>
                            </w:r>
                            <w:r w:rsidRPr="000D32C7">
                              <w:rPr>
                                <w:b/>
                                <w:bCs/>
                                <w:color w:val="FFFFFF"/>
                                <w:position w:val="-6"/>
                                <w:sz w:val="22"/>
                                <w:szCs w:val="22"/>
                                <w:vertAlign w:val="superscript"/>
                                <w:lang w:bidi="fa-IR"/>
                              </w:rPr>
                              <w:t>th</w:t>
                            </w:r>
                            <w:r w:rsidRPr="000D32C7">
                              <w:rPr>
                                <w:b/>
                                <w:bCs/>
                                <w:color w:val="FFFFFF"/>
                                <w:position w:val="-6"/>
                                <w:sz w:val="22"/>
                                <w:szCs w:val="22"/>
                                <w:lang w:bidi="fa-IR"/>
                              </w:rPr>
                              <w:t xml:space="preserve"> Year  –  No. 59 - 60</w:t>
                            </w:r>
                          </w:p>
                          <w:p w:rsidR="00DB2356" w:rsidRPr="00341DA8" w:rsidRDefault="00DB2356"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2E72EF" w:rsidRPr="000D32C7" w:rsidRDefault="002E72EF" w:rsidP="000D32C7">
                      <w:pPr>
                        <w:bidi w:val="0"/>
                        <w:spacing w:before="80" w:line="240" w:lineRule="auto"/>
                        <w:ind w:firstLine="0"/>
                        <w:jc w:val="center"/>
                        <w:rPr>
                          <w:b/>
                          <w:bCs/>
                          <w:color w:val="FFFFFF"/>
                          <w:position w:val="-6"/>
                          <w:sz w:val="22"/>
                          <w:szCs w:val="22"/>
                        </w:rPr>
                      </w:pPr>
                      <w:r w:rsidRPr="00496EB1">
                        <w:rPr>
                          <w:b/>
                          <w:bCs/>
                          <w:color w:val="FFFFFF"/>
                          <w:position w:val="-6"/>
                          <w:sz w:val="22"/>
                          <w:szCs w:val="22"/>
                          <w:lang w:bidi="fa-IR"/>
                        </w:rPr>
                        <w:t>Summer 20</w:t>
                      </w:r>
                      <w:r>
                        <w:rPr>
                          <w:b/>
                          <w:bCs/>
                          <w:color w:val="FFFFFF"/>
                          <w:position w:val="-6"/>
                          <w:sz w:val="22"/>
                          <w:szCs w:val="22"/>
                          <w:lang w:bidi="fa-IR"/>
                        </w:rPr>
                        <w:t>21</w:t>
                      </w:r>
                      <w:r w:rsidRPr="00496EB1">
                        <w:rPr>
                          <w:b/>
                          <w:bCs/>
                          <w:color w:val="FFFFFF"/>
                          <w:position w:val="-6"/>
                          <w:sz w:val="22"/>
                          <w:szCs w:val="22"/>
                          <w:lang w:bidi="fa-IR"/>
                        </w:rPr>
                        <w:t xml:space="preserve"> - 144</w:t>
                      </w:r>
                      <w:r>
                        <w:rPr>
                          <w:b/>
                          <w:bCs/>
                          <w:color w:val="FFFFFF"/>
                          <w:position w:val="-6"/>
                          <w:sz w:val="22"/>
                          <w:szCs w:val="22"/>
                          <w:lang w:bidi="fa-IR"/>
                        </w:rPr>
                        <w:t>2</w:t>
                      </w:r>
                      <w:r w:rsidRPr="00496EB1">
                        <w:rPr>
                          <w:b/>
                          <w:bCs/>
                          <w:color w:val="FFFFFF"/>
                          <w:position w:val="-6"/>
                          <w:sz w:val="22"/>
                          <w:szCs w:val="22"/>
                          <w:lang w:bidi="fa-IR"/>
                        </w:rPr>
                        <w:t xml:space="preserve"> &amp; Autumn 20</w:t>
                      </w:r>
                      <w:r>
                        <w:rPr>
                          <w:b/>
                          <w:bCs/>
                          <w:color w:val="FFFFFF"/>
                          <w:position w:val="-6"/>
                          <w:sz w:val="22"/>
                          <w:szCs w:val="22"/>
                          <w:lang w:bidi="fa-IR"/>
                        </w:rPr>
                        <w:t>21</w:t>
                      </w:r>
                      <w:r w:rsidRPr="00496EB1">
                        <w:rPr>
                          <w:b/>
                          <w:bCs/>
                          <w:color w:val="FFFFFF"/>
                          <w:position w:val="-6"/>
                          <w:sz w:val="22"/>
                          <w:szCs w:val="22"/>
                          <w:lang w:bidi="fa-IR"/>
                        </w:rPr>
                        <w:t xml:space="preserve"> - 144</w:t>
                      </w:r>
                      <w:r>
                        <w:rPr>
                          <w:b/>
                          <w:bCs/>
                          <w:color w:val="FFFFFF"/>
                          <w:position w:val="-6"/>
                          <w:sz w:val="22"/>
                          <w:szCs w:val="22"/>
                          <w:lang w:bidi="fa-IR"/>
                        </w:rPr>
                        <w:t>3</w:t>
                      </w:r>
                      <w:r w:rsidRPr="000D32C7">
                        <w:rPr>
                          <w:rFonts w:hint="cs"/>
                          <w:b/>
                          <w:bCs/>
                          <w:color w:val="FFFFFF"/>
                          <w:position w:val="-6"/>
                          <w:sz w:val="22"/>
                          <w:szCs w:val="22"/>
                          <w:rtl/>
                        </w:rPr>
                        <w:t xml:space="preserve">  </w:t>
                      </w:r>
                      <w:r w:rsidRPr="000D32C7">
                        <w:rPr>
                          <w:rFonts w:hint="cs"/>
                          <w:b/>
                          <w:bCs/>
                          <w:color w:val="FFFFFF"/>
                          <w:position w:val="-6"/>
                          <w:sz w:val="22"/>
                          <w:szCs w:val="22"/>
                          <w:rtl/>
                          <w:lang w:bidi="fa-IR"/>
                        </w:rPr>
                        <w:t xml:space="preserve">   </w:t>
                      </w:r>
                      <w:r w:rsidRPr="000D32C7">
                        <w:rPr>
                          <w:b/>
                          <w:bCs/>
                          <w:color w:val="FFFFFF"/>
                          <w:position w:val="-6"/>
                          <w:sz w:val="22"/>
                          <w:szCs w:val="22"/>
                          <w:lang w:bidi="fa-IR"/>
                        </w:rPr>
                        <w:t xml:space="preserve"> 15 </w:t>
                      </w:r>
                      <w:r w:rsidRPr="000D32C7">
                        <w:rPr>
                          <w:b/>
                          <w:bCs/>
                          <w:color w:val="FFFFFF"/>
                          <w:position w:val="-6"/>
                          <w:sz w:val="22"/>
                          <w:szCs w:val="22"/>
                          <w:vertAlign w:val="superscript"/>
                          <w:lang w:bidi="fa-IR"/>
                        </w:rPr>
                        <w:t>th</w:t>
                      </w:r>
                      <w:r w:rsidRPr="000D32C7">
                        <w:rPr>
                          <w:b/>
                          <w:bCs/>
                          <w:color w:val="FFFFFF"/>
                          <w:position w:val="-6"/>
                          <w:sz w:val="22"/>
                          <w:szCs w:val="22"/>
                          <w:lang w:bidi="fa-IR"/>
                        </w:rPr>
                        <w:t xml:space="preserve"> Year  –  No. 59 - 60</w:t>
                      </w:r>
                    </w:p>
                    <w:p w:rsidR="002E72EF" w:rsidRPr="00341DA8" w:rsidRDefault="002E72EF" w:rsidP="00D45F0B">
                      <w:pPr>
                        <w:jc w:val="center"/>
                        <w:rPr>
                          <w:rFonts w:ascii="Mosawi" w:hAnsi="Mosawi" w:cs="Mosawi"/>
                          <w:rtl/>
                        </w:rPr>
                      </w:pPr>
                    </w:p>
                  </w:txbxContent>
                </v:textbox>
              </v:shape>
            </w:pict>
          </mc:Fallback>
        </mc:AlternateContent>
      </w:r>
    </w:p>
    <w:p w:rsidR="000B5897" w:rsidRPr="00E22C6B" w:rsidRDefault="000B5897" w:rsidP="000B5897">
      <w:pPr>
        <w:bidi w:val="0"/>
        <w:ind w:right="284" w:firstLine="0"/>
      </w:pPr>
    </w:p>
    <w:p w:rsidR="000D32C7" w:rsidRPr="00E22C6B" w:rsidRDefault="000D32C7" w:rsidP="000D32C7">
      <w:pPr>
        <w:bidi w:val="0"/>
        <w:spacing w:before="100" w:beforeAutospacing="1" w:line="380" w:lineRule="exact"/>
        <w:ind w:firstLine="0"/>
      </w:pPr>
    </w:p>
    <w:p w:rsidR="000D32C7" w:rsidRPr="00E22C6B" w:rsidRDefault="000D32C7" w:rsidP="000D32C7">
      <w:pPr>
        <w:bidi w:val="0"/>
        <w:spacing w:before="100" w:beforeAutospacing="1" w:line="360" w:lineRule="exact"/>
        <w:ind w:firstLine="0"/>
      </w:pPr>
    </w:p>
    <w:p w:rsidR="000D32C7" w:rsidRPr="00E22C6B" w:rsidRDefault="000D32C7" w:rsidP="000D32C7">
      <w:pPr>
        <w:bidi w:val="0"/>
        <w:spacing w:before="100"/>
        <w:ind w:right="284" w:firstLine="284"/>
        <w:rPr>
          <w:b/>
          <w:bCs/>
          <w:noProof/>
          <w:spacing w:val="-4"/>
        </w:rPr>
      </w:pPr>
      <w:r w:rsidRPr="00E22C6B">
        <w:rPr>
          <w:b/>
          <w:bCs/>
          <w:noProof/>
          <w:spacing w:val="-4"/>
        </w:rPr>
        <w:t xml:space="preserve">Editor in chief </w:t>
      </w:r>
    </w:p>
    <w:p w:rsidR="000D32C7" w:rsidRPr="00E22C6B" w:rsidRDefault="000D32C7" w:rsidP="000D32C7">
      <w:pPr>
        <w:bidi w:val="0"/>
        <w:spacing w:before="100"/>
        <w:ind w:right="284"/>
        <w:rPr>
          <w:rFonts w:ascii="Arial" w:hAnsi="Arial" w:cs="Arial"/>
          <w:noProof/>
          <w:spacing w:val="-4"/>
        </w:rPr>
      </w:pPr>
      <w:r w:rsidRPr="00E22C6B">
        <w:rPr>
          <w:rFonts w:ascii="Arial" w:hAnsi="Arial" w:cs="Arial"/>
          <w:noProof/>
          <w:spacing w:val="-4"/>
        </w:rPr>
        <w:t>Mohamad Dohaini</w:t>
      </w:r>
    </w:p>
    <w:p w:rsidR="000D32C7" w:rsidRPr="00E22C6B" w:rsidRDefault="000D32C7" w:rsidP="000D32C7">
      <w:pPr>
        <w:bidi w:val="0"/>
        <w:spacing w:before="100" w:line="340" w:lineRule="exact"/>
        <w:ind w:right="284" w:firstLine="284"/>
        <w:rPr>
          <w:b/>
          <w:bCs/>
          <w:noProof/>
          <w:spacing w:val="-4"/>
        </w:rPr>
      </w:pPr>
    </w:p>
    <w:p w:rsidR="000D32C7" w:rsidRPr="00E22C6B" w:rsidRDefault="000D32C7" w:rsidP="000D32C7">
      <w:pPr>
        <w:bidi w:val="0"/>
        <w:spacing w:before="100" w:line="320" w:lineRule="exact"/>
        <w:ind w:right="284" w:firstLine="284"/>
        <w:rPr>
          <w:b/>
          <w:bCs/>
          <w:noProof/>
          <w:spacing w:val="-4"/>
        </w:rPr>
      </w:pPr>
    </w:p>
    <w:p w:rsidR="000D32C7" w:rsidRPr="00E22C6B" w:rsidRDefault="000D32C7" w:rsidP="000D32C7">
      <w:pPr>
        <w:bidi w:val="0"/>
        <w:spacing w:before="100"/>
        <w:ind w:right="284" w:firstLine="284"/>
        <w:rPr>
          <w:b/>
          <w:bCs/>
          <w:noProof/>
          <w:spacing w:val="-4"/>
        </w:rPr>
      </w:pPr>
      <w:r w:rsidRPr="00E22C6B">
        <w:rPr>
          <w:b/>
          <w:bCs/>
          <w:noProof/>
          <w:spacing w:val="-4"/>
        </w:rPr>
        <w:t xml:space="preserve">Responsible Director </w:t>
      </w:r>
    </w:p>
    <w:p w:rsidR="000D32C7" w:rsidRPr="00E22C6B" w:rsidRDefault="000D32C7" w:rsidP="000D32C7">
      <w:pPr>
        <w:bidi w:val="0"/>
        <w:spacing w:before="100"/>
        <w:ind w:right="284"/>
        <w:rPr>
          <w:rFonts w:ascii="Arial" w:hAnsi="Arial" w:cs="Arial"/>
          <w:noProof/>
          <w:spacing w:val="-4"/>
        </w:rPr>
      </w:pPr>
      <w:r w:rsidRPr="00E22C6B">
        <w:rPr>
          <w:rFonts w:ascii="Arial" w:hAnsi="Arial" w:cs="Arial"/>
          <w:noProof/>
          <w:spacing w:val="-4"/>
        </w:rPr>
        <w:t>Rabie Sowaidan</w:t>
      </w:r>
    </w:p>
    <w:p w:rsidR="000D32C7" w:rsidRPr="00E22C6B" w:rsidRDefault="000D32C7" w:rsidP="000D32C7">
      <w:pPr>
        <w:bidi w:val="0"/>
        <w:spacing w:before="100" w:beforeAutospacing="1" w:after="100" w:afterAutospacing="1" w:line="240" w:lineRule="auto"/>
        <w:ind w:firstLine="0"/>
        <w:jc w:val="center"/>
        <w:rPr>
          <w:sz w:val="24"/>
          <w:szCs w:val="24"/>
        </w:rPr>
      </w:pPr>
    </w:p>
    <w:p w:rsidR="000B5897" w:rsidRPr="00E22C6B" w:rsidRDefault="000D32C7" w:rsidP="000B5897">
      <w:pPr>
        <w:bidi w:val="0"/>
        <w:spacing w:beforeAutospacing="1" w:after="100" w:afterAutospacing="1"/>
        <w:ind w:firstLine="0"/>
        <w:jc w:val="center"/>
      </w:pPr>
      <w:r w:rsidRPr="00E22C6B">
        <w:rPr>
          <w:noProof/>
        </w:rPr>
        <mc:AlternateContent>
          <mc:Choice Requires="wps">
            <w:drawing>
              <wp:anchor distT="0" distB="0" distL="114300" distR="114300" simplePos="0" relativeHeight="251658752" behindDoc="1" locked="0" layoutInCell="1" allowOverlap="1" wp14:anchorId="5548E3E6" wp14:editId="685BC70B">
                <wp:simplePos x="0" y="0"/>
                <wp:positionH relativeFrom="column">
                  <wp:posOffset>-10795</wp:posOffset>
                </wp:positionH>
                <wp:positionV relativeFrom="paragraph">
                  <wp:posOffset>401097</wp:posOffset>
                </wp:positionV>
                <wp:extent cx="4457700" cy="1366520"/>
                <wp:effectExtent l="0" t="0" r="1905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85pt;margin-top:31.6pt;width:351pt;height:10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"/>
            </w:pict>
          </mc:Fallback>
        </mc:AlternateContent>
      </w:r>
    </w:p>
    <w:p w:rsidR="000B5897" w:rsidRPr="00E22C6B" w:rsidRDefault="000B5897" w:rsidP="00B14DF6">
      <w:pPr>
        <w:bidi w:val="0"/>
        <w:spacing w:before="120"/>
        <w:ind w:firstLine="0"/>
        <w:jc w:val="center"/>
        <w:rPr>
          <w:b/>
          <w:bCs/>
          <w:noProof/>
          <w:spacing w:val="-4"/>
        </w:rPr>
      </w:pPr>
      <w:r w:rsidRPr="00E22C6B">
        <w:rPr>
          <w:b/>
          <w:bCs/>
          <w:noProof/>
          <w:spacing w:val="-4"/>
        </w:rPr>
        <w:t>Correspondence</w:t>
      </w:r>
      <w:r w:rsidR="006D38E2" w:rsidRPr="00E22C6B">
        <w:rPr>
          <w:b/>
          <w:bCs/>
          <w:noProof/>
          <w:spacing w:val="-4"/>
        </w:rPr>
        <w:t xml:space="preserve">: </w:t>
      </w:r>
    </w:p>
    <w:p w:rsidR="000B5897" w:rsidRPr="00E22C6B" w:rsidRDefault="000B5897" w:rsidP="00B14DF6">
      <w:pPr>
        <w:bidi w:val="0"/>
        <w:spacing w:before="120"/>
        <w:ind w:firstLine="0"/>
        <w:jc w:val="center"/>
        <w:rPr>
          <w:b/>
          <w:bCs/>
          <w:noProof/>
          <w:spacing w:val="-4"/>
        </w:rPr>
      </w:pPr>
      <w:r w:rsidRPr="00E22C6B">
        <w:rPr>
          <w:b/>
          <w:bCs/>
          <w:noProof/>
          <w:spacing w:val="-4"/>
        </w:rPr>
        <w:t>To the office of the Editor</w:t>
      </w:r>
      <w:r w:rsidR="00252E59" w:rsidRPr="00E22C6B">
        <w:rPr>
          <w:b/>
          <w:bCs/>
          <w:noProof/>
          <w:spacing w:val="-4"/>
        </w:rPr>
        <w:t xml:space="preserve"> </w:t>
      </w:r>
      <w:r w:rsidRPr="00E22C6B">
        <w:rPr>
          <w:b/>
          <w:bCs/>
          <w:noProof/>
          <w:spacing w:val="-4"/>
        </w:rPr>
        <w:t>in</w:t>
      </w:r>
      <w:r w:rsidR="00252E59" w:rsidRPr="00E22C6B">
        <w:rPr>
          <w:b/>
          <w:bCs/>
          <w:noProof/>
          <w:spacing w:val="-4"/>
        </w:rPr>
        <w:t xml:space="preserve"> </w:t>
      </w:r>
      <w:r w:rsidRPr="00E22C6B">
        <w:rPr>
          <w:b/>
          <w:bCs/>
          <w:noProof/>
          <w:spacing w:val="-4"/>
        </w:rPr>
        <w:t>chief</w:t>
      </w:r>
    </w:p>
    <w:p w:rsidR="000B5897" w:rsidRPr="00E22C6B" w:rsidRDefault="00123D7D" w:rsidP="00B14DF6">
      <w:pPr>
        <w:bidi w:val="0"/>
        <w:spacing w:before="120"/>
        <w:ind w:firstLine="0"/>
        <w:jc w:val="center"/>
        <w:rPr>
          <w:b/>
          <w:bCs/>
          <w:noProof/>
          <w:spacing w:val="-4"/>
        </w:rPr>
      </w:pPr>
      <w:r w:rsidRPr="00E22C6B">
        <w:rPr>
          <w:b/>
          <w:bCs/>
          <w:noProof/>
          <w:spacing w:val="-4"/>
        </w:rPr>
        <w:t>Lebanon – Beirut. P.O.Box: 327 / 25</w:t>
      </w:r>
    </w:p>
    <w:p w:rsidR="00C9403B" w:rsidRPr="00E22C6B" w:rsidRDefault="000B5897" w:rsidP="00B14DF6">
      <w:pPr>
        <w:spacing w:before="120"/>
        <w:ind w:firstLine="0"/>
        <w:jc w:val="center"/>
        <w:rPr>
          <w:rtl/>
          <w:lang w:bidi="ar-LB"/>
        </w:rPr>
      </w:pPr>
      <w:r w:rsidRPr="00E22C6B">
        <w:rPr>
          <w:b/>
          <w:bCs/>
          <w:noProof/>
          <w:spacing w:val="-4"/>
        </w:rPr>
        <w:t>E-mail</w:t>
      </w:r>
      <w:r w:rsidR="006D38E2" w:rsidRPr="00E22C6B">
        <w:rPr>
          <w:b/>
          <w:bCs/>
          <w:noProof/>
          <w:spacing w:val="-4"/>
        </w:rPr>
        <w:t xml:space="preserve">: </w:t>
      </w:r>
      <w:r w:rsidR="004C2449" w:rsidRPr="00E22C6B">
        <w:rPr>
          <w:b/>
          <w:bCs/>
          <w:noProof/>
          <w:spacing w:val="-4"/>
        </w:rPr>
        <w:t>m</w:t>
      </w:r>
      <w:r w:rsidR="00F93C6E" w:rsidRPr="00E22C6B">
        <w:rPr>
          <w:b/>
          <w:bCs/>
          <w:noProof/>
          <w:spacing w:val="-4"/>
        </w:rPr>
        <w:t>dohayni</w:t>
      </w:r>
      <w:r w:rsidR="004C2449" w:rsidRPr="00E22C6B">
        <w:rPr>
          <w:b/>
          <w:bCs/>
          <w:noProof/>
          <w:spacing w:val="-4"/>
        </w:rPr>
        <w:t>@hotmail</w:t>
      </w:r>
      <w:r w:rsidRPr="00E22C6B">
        <w:rPr>
          <w:b/>
          <w:bCs/>
          <w:noProof/>
          <w:spacing w:val="-4"/>
        </w:rPr>
        <w:t>.</w:t>
      </w:r>
      <w:r w:rsidR="004C2449" w:rsidRPr="00E22C6B">
        <w:rPr>
          <w:b/>
          <w:bCs/>
          <w:noProof/>
          <w:spacing w:val="-4"/>
        </w:rPr>
        <w:t>com</w:t>
      </w:r>
    </w:p>
    <w:sectPr w:rsidR="00C9403B" w:rsidRPr="00E22C6B" w:rsidSect="00E94E45">
      <w:headerReference w:type="first" r:id="rId191"/>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0AC" w:rsidRDefault="006F10AC" w:rsidP="00D87709">
      <w:pPr>
        <w:spacing w:line="240" w:lineRule="auto"/>
        <w:ind w:firstLine="0"/>
      </w:pPr>
      <w:r>
        <w:separator/>
      </w:r>
    </w:p>
  </w:endnote>
  <w:endnote w:type="continuationSeparator" w:id="0">
    <w:p w:rsidR="006F10AC" w:rsidRDefault="006F10AC" w:rsidP="00D87709">
      <w:pPr>
        <w:spacing w:line="240" w:lineRule="auto"/>
        <w:ind w:firstLine="0"/>
      </w:pPr>
      <w:r>
        <w:continuationSeparator/>
      </w:r>
    </w:p>
  </w:endnote>
  <w:endnote w:id="1">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rPr>
        <w:t>أكَّد</w:t>
      </w:r>
      <w:r w:rsidRPr="006571AC">
        <w:rPr>
          <w:rFonts w:cs="DanaFajr"/>
          <w:sz w:val="28"/>
          <w:szCs w:val="28"/>
          <w:rtl/>
        </w:rPr>
        <w:t xml:space="preserve"> </w:t>
      </w:r>
      <w:r w:rsidRPr="006571AC">
        <w:rPr>
          <w:rFonts w:cs="DanaFajr" w:hint="cs"/>
          <w:sz w:val="28"/>
          <w:szCs w:val="28"/>
          <w:rtl/>
        </w:rPr>
        <w:t>أمير المؤمنين عليّ</w:t>
      </w:r>
      <w:r w:rsidRPr="006571AC">
        <w:rPr>
          <w:rFonts w:ascii="Mosawi" w:hAnsi="Mosawi" w:cs="Mosawi"/>
          <w:rtl/>
        </w:rPr>
        <w:t>×</w:t>
      </w:r>
      <w:r w:rsidRPr="006571AC">
        <w:rPr>
          <w:rFonts w:cs="DanaFajr"/>
          <w:sz w:val="28"/>
          <w:szCs w:val="28"/>
          <w:rtl/>
        </w:rPr>
        <w:t xml:space="preserve"> </w:t>
      </w:r>
      <w:r w:rsidRPr="006571AC">
        <w:rPr>
          <w:rFonts w:cs="DanaFajr" w:hint="cs"/>
          <w:sz w:val="28"/>
          <w:szCs w:val="28"/>
          <w:rtl/>
        </w:rPr>
        <w:t>عند</w:t>
      </w:r>
      <w:r w:rsidRPr="006571AC">
        <w:rPr>
          <w:rFonts w:cs="DanaFajr"/>
          <w:sz w:val="28"/>
          <w:szCs w:val="28"/>
          <w:rtl/>
        </w:rPr>
        <w:t xml:space="preserve"> </w:t>
      </w:r>
      <w:r w:rsidRPr="006571AC">
        <w:rPr>
          <w:rFonts w:cs="DanaFajr" w:hint="cs"/>
          <w:sz w:val="28"/>
          <w:szCs w:val="28"/>
          <w:rtl/>
        </w:rPr>
        <w:t xml:space="preserve">مواجهته لطلب </w:t>
      </w:r>
      <w:r w:rsidRPr="006571AC">
        <w:rPr>
          <w:rFonts w:cs="DanaFajr" w:hint="eastAsia"/>
          <w:sz w:val="28"/>
          <w:szCs w:val="28"/>
          <w:rtl/>
        </w:rPr>
        <w:t>التحكيم</w:t>
      </w:r>
      <w:r w:rsidRPr="006571AC">
        <w:rPr>
          <w:rFonts w:cs="DanaFajr" w:hint="cs"/>
          <w:sz w:val="28"/>
          <w:szCs w:val="28"/>
          <w:rtl/>
        </w:rPr>
        <w:t xml:space="preserve"> أنه لا يخالف تحكيم القرآن، إلاّ أن القرآن مكتوبٌ في كتاب، وكلامه يحتمل تفاسير مختلفة، والتحكيم به لا يتحقَّق إلاّ بتفسير مَنْ يملك الصلاحية لتفسيره، وهذا ما جاء في كلامه</w:t>
      </w:r>
      <w:r w:rsidRPr="006571AC">
        <w:rPr>
          <w:rFonts w:ascii="Mosawi" w:hAnsi="Mosawi" w:cs="Mosawi"/>
          <w:rtl/>
        </w:rPr>
        <w:t>×</w:t>
      </w:r>
      <w:r w:rsidRPr="006571AC">
        <w:rPr>
          <w:rFonts w:cs="DanaFajr" w:hint="cs"/>
          <w:sz w:val="28"/>
          <w:szCs w:val="28"/>
          <w:rtl/>
        </w:rPr>
        <w:t xml:space="preserve">: </w:t>
      </w:r>
      <w:r w:rsidRPr="006571AC">
        <w:rPr>
          <w:sz w:val="22"/>
          <w:szCs w:val="22"/>
          <w:rtl/>
        </w:rPr>
        <w:t>«</w:t>
      </w:r>
      <w:r w:rsidRPr="006571AC">
        <w:rPr>
          <w:rFonts w:cs="DanaFajr" w:hint="eastAsia"/>
          <w:sz w:val="28"/>
          <w:szCs w:val="28"/>
          <w:rtl/>
        </w:rPr>
        <w:t>إِنَّا</w:t>
      </w:r>
      <w:r w:rsidRPr="006571AC">
        <w:rPr>
          <w:rFonts w:cs="DanaFajr"/>
          <w:sz w:val="28"/>
          <w:szCs w:val="28"/>
          <w:rtl/>
        </w:rPr>
        <w:t xml:space="preserve"> </w:t>
      </w:r>
      <w:r w:rsidRPr="006571AC">
        <w:rPr>
          <w:rFonts w:cs="DanaFajr" w:hint="eastAsia"/>
          <w:sz w:val="28"/>
          <w:szCs w:val="28"/>
          <w:rtl/>
        </w:rPr>
        <w:t>لَمْ</w:t>
      </w:r>
      <w:r w:rsidRPr="006571AC">
        <w:rPr>
          <w:rFonts w:cs="DanaFajr"/>
          <w:sz w:val="28"/>
          <w:szCs w:val="28"/>
          <w:rtl/>
        </w:rPr>
        <w:t xml:space="preserve"> </w:t>
      </w:r>
      <w:r w:rsidRPr="006571AC">
        <w:rPr>
          <w:rFonts w:cs="DanaFajr" w:hint="eastAsia"/>
          <w:sz w:val="28"/>
          <w:szCs w:val="28"/>
          <w:rtl/>
        </w:rPr>
        <w:t>نُحَكِّمِ</w:t>
      </w:r>
      <w:r w:rsidRPr="006571AC">
        <w:rPr>
          <w:rFonts w:cs="DanaFajr"/>
          <w:sz w:val="28"/>
          <w:szCs w:val="28"/>
          <w:rtl/>
        </w:rPr>
        <w:t xml:space="preserve"> </w:t>
      </w:r>
      <w:r w:rsidRPr="006571AC">
        <w:rPr>
          <w:rFonts w:cs="DanaFajr" w:hint="eastAsia"/>
          <w:sz w:val="28"/>
          <w:szCs w:val="28"/>
          <w:rtl/>
        </w:rPr>
        <w:t>الرِّجَالَ</w:t>
      </w:r>
      <w:r w:rsidRPr="006571AC">
        <w:rPr>
          <w:rFonts w:cs="DanaFajr"/>
          <w:sz w:val="28"/>
          <w:szCs w:val="28"/>
          <w:rtl/>
        </w:rPr>
        <w:t xml:space="preserve"> </w:t>
      </w:r>
      <w:r w:rsidRPr="006571AC">
        <w:rPr>
          <w:rFonts w:cs="DanaFajr" w:hint="eastAsia"/>
          <w:sz w:val="28"/>
          <w:szCs w:val="28"/>
          <w:rtl/>
        </w:rPr>
        <w:t>وَإِنَّمَا</w:t>
      </w:r>
      <w:r w:rsidRPr="006571AC">
        <w:rPr>
          <w:rFonts w:cs="DanaFajr"/>
          <w:sz w:val="28"/>
          <w:szCs w:val="28"/>
          <w:rtl/>
        </w:rPr>
        <w:t xml:space="preserve"> </w:t>
      </w:r>
      <w:r w:rsidRPr="006571AC">
        <w:rPr>
          <w:rFonts w:cs="DanaFajr" w:hint="eastAsia"/>
          <w:sz w:val="28"/>
          <w:szCs w:val="28"/>
          <w:rtl/>
        </w:rPr>
        <w:t>حَكَّمْنَا</w:t>
      </w:r>
      <w:r w:rsidRPr="006571AC">
        <w:rPr>
          <w:rFonts w:cs="DanaFajr"/>
          <w:sz w:val="28"/>
          <w:szCs w:val="28"/>
          <w:rtl/>
        </w:rPr>
        <w:t xml:space="preserve"> </w:t>
      </w:r>
      <w:r w:rsidRPr="006571AC">
        <w:rPr>
          <w:rFonts w:cs="DanaFajr" w:hint="eastAsia"/>
          <w:sz w:val="28"/>
          <w:szCs w:val="28"/>
          <w:rtl/>
        </w:rPr>
        <w:t>الْقُرْآنَ،</w:t>
      </w:r>
      <w:r w:rsidRPr="006571AC">
        <w:rPr>
          <w:rFonts w:cs="DanaFajr"/>
          <w:sz w:val="28"/>
          <w:szCs w:val="28"/>
          <w:rtl/>
        </w:rPr>
        <w:t xml:space="preserve"> </w:t>
      </w:r>
      <w:r w:rsidRPr="006571AC">
        <w:rPr>
          <w:rFonts w:cs="DanaFajr" w:hint="eastAsia"/>
          <w:sz w:val="28"/>
          <w:szCs w:val="28"/>
          <w:rtl/>
        </w:rPr>
        <w:t>هَذَا</w:t>
      </w:r>
      <w:r w:rsidRPr="006571AC">
        <w:rPr>
          <w:rFonts w:cs="DanaFajr"/>
          <w:sz w:val="28"/>
          <w:szCs w:val="28"/>
          <w:rtl/>
        </w:rPr>
        <w:t xml:space="preserve"> </w:t>
      </w:r>
      <w:r w:rsidRPr="006571AC">
        <w:rPr>
          <w:rFonts w:cs="DanaFajr" w:hint="eastAsia"/>
          <w:sz w:val="28"/>
          <w:szCs w:val="28"/>
          <w:rtl/>
        </w:rPr>
        <w:t>الْقُرْآنُ</w:t>
      </w:r>
      <w:r w:rsidRPr="006571AC">
        <w:rPr>
          <w:rFonts w:cs="DanaFajr"/>
          <w:sz w:val="28"/>
          <w:szCs w:val="28"/>
          <w:rtl/>
        </w:rPr>
        <w:t xml:space="preserve"> </w:t>
      </w:r>
      <w:r w:rsidRPr="006571AC">
        <w:rPr>
          <w:rFonts w:cs="DanaFajr" w:hint="eastAsia"/>
          <w:sz w:val="28"/>
          <w:szCs w:val="28"/>
          <w:rtl/>
        </w:rPr>
        <w:t>إِنَّمَا</w:t>
      </w:r>
      <w:r w:rsidRPr="006571AC">
        <w:rPr>
          <w:rFonts w:cs="DanaFajr"/>
          <w:sz w:val="28"/>
          <w:szCs w:val="28"/>
          <w:rtl/>
        </w:rPr>
        <w:t xml:space="preserve"> </w:t>
      </w:r>
      <w:r w:rsidRPr="006571AC">
        <w:rPr>
          <w:rFonts w:cs="DanaFajr" w:hint="eastAsia"/>
          <w:sz w:val="28"/>
          <w:szCs w:val="28"/>
          <w:rtl/>
        </w:rPr>
        <w:t>هُوَ</w:t>
      </w:r>
      <w:r w:rsidRPr="006571AC">
        <w:rPr>
          <w:rFonts w:cs="DanaFajr"/>
          <w:sz w:val="28"/>
          <w:szCs w:val="28"/>
          <w:rtl/>
        </w:rPr>
        <w:t xml:space="preserve"> </w:t>
      </w:r>
      <w:r w:rsidRPr="006571AC">
        <w:rPr>
          <w:rFonts w:cs="DanaFajr" w:hint="eastAsia"/>
          <w:sz w:val="28"/>
          <w:szCs w:val="28"/>
          <w:rtl/>
        </w:rPr>
        <w:t>خَطٌّ</w:t>
      </w:r>
      <w:r w:rsidRPr="006571AC">
        <w:rPr>
          <w:rFonts w:cs="DanaFajr"/>
          <w:sz w:val="28"/>
          <w:szCs w:val="28"/>
          <w:rtl/>
        </w:rPr>
        <w:t xml:space="preserve"> </w:t>
      </w:r>
      <w:r w:rsidRPr="006571AC">
        <w:rPr>
          <w:rFonts w:cs="DanaFajr" w:hint="eastAsia"/>
          <w:sz w:val="28"/>
          <w:szCs w:val="28"/>
          <w:rtl/>
        </w:rPr>
        <w:t>مَسْطُورٌ</w:t>
      </w:r>
      <w:r w:rsidRPr="006571AC">
        <w:rPr>
          <w:rFonts w:cs="DanaFajr"/>
          <w:sz w:val="28"/>
          <w:szCs w:val="28"/>
          <w:rtl/>
        </w:rPr>
        <w:t xml:space="preserve"> </w:t>
      </w:r>
      <w:r w:rsidRPr="006571AC">
        <w:rPr>
          <w:rFonts w:cs="DanaFajr" w:hint="eastAsia"/>
          <w:sz w:val="28"/>
          <w:szCs w:val="28"/>
          <w:rtl/>
        </w:rPr>
        <w:t>بَيْنَ</w:t>
      </w:r>
      <w:r w:rsidRPr="006571AC">
        <w:rPr>
          <w:rFonts w:cs="DanaFajr"/>
          <w:sz w:val="28"/>
          <w:szCs w:val="28"/>
          <w:rtl/>
        </w:rPr>
        <w:t xml:space="preserve"> </w:t>
      </w:r>
      <w:r w:rsidRPr="006571AC">
        <w:rPr>
          <w:rFonts w:cs="DanaFajr" w:hint="eastAsia"/>
          <w:sz w:val="28"/>
          <w:szCs w:val="28"/>
          <w:rtl/>
        </w:rPr>
        <w:t>الدَّفَّتَيْنِ</w:t>
      </w:r>
      <w:r w:rsidRPr="006571AC">
        <w:rPr>
          <w:rFonts w:cs="DanaFajr" w:hint="cs"/>
          <w:sz w:val="28"/>
          <w:szCs w:val="28"/>
          <w:rtl/>
        </w:rPr>
        <w:t xml:space="preserve">، </w:t>
      </w:r>
      <w:r w:rsidRPr="006571AC">
        <w:rPr>
          <w:rFonts w:cs="DanaFajr" w:hint="eastAsia"/>
          <w:sz w:val="28"/>
          <w:szCs w:val="28"/>
          <w:rtl/>
        </w:rPr>
        <w:t>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يَنْطِقُ</w:t>
      </w:r>
      <w:r w:rsidRPr="006571AC">
        <w:rPr>
          <w:rFonts w:cs="DanaFajr"/>
          <w:sz w:val="28"/>
          <w:szCs w:val="28"/>
          <w:rtl/>
        </w:rPr>
        <w:t xml:space="preserve"> </w:t>
      </w:r>
      <w:r w:rsidRPr="006571AC">
        <w:rPr>
          <w:rFonts w:cs="DanaFajr" w:hint="eastAsia"/>
          <w:sz w:val="28"/>
          <w:szCs w:val="28"/>
          <w:rtl/>
        </w:rPr>
        <w:t>بِلِسَانٍ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 بُدَّ</w:t>
      </w:r>
      <w:r w:rsidRPr="006571AC">
        <w:rPr>
          <w:rFonts w:cs="DanaFajr"/>
          <w:sz w:val="28"/>
          <w:szCs w:val="28"/>
          <w:rtl/>
        </w:rPr>
        <w:t xml:space="preserve"> </w:t>
      </w:r>
      <w:r w:rsidRPr="006571AC">
        <w:rPr>
          <w:rFonts w:cs="DanaFajr" w:hint="eastAsia"/>
          <w:sz w:val="28"/>
          <w:szCs w:val="28"/>
          <w:rtl/>
        </w:rPr>
        <w:t>لَهُ</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تَرْجُمَانٍ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وَإِنَّمَا</w:t>
      </w:r>
      <w:r w:rsidRPr="006571AC">
        <w:rPr>
          <w:rFonts w:cs="DanaFajr"/>
          <w:sz w:val="28"/>
          <w:szCs w:val="28"/>
          <w:rtl/>
        </w:rPr>
        <w:t xml:space="preserve"> </w:t>
      </w:r>
      <w:r w:rsidRPr="006571AC">
        <w:rPr>
          <w:rFonts w:cs="DanaFajr" w:hint="eastAsia"/>
          <w:sz w:val="28"/>
          <w:szCs w:val="28"/>
          <w:rtl/>
        </w:rPr>
        <w:t>يَنْطِقُ</w:t>
      </w:r>
      <w:r w:rsidRPr="006571AC">
        <w:rPr>
          <w:rFonts w:cs="DanaFajr"/>
          <w:sz w:val="28"/>
          <w:szCs w:val="28"/>
          <w:rtl/>
        </w:rPr>
        <w:t xml:space="preserve"> </w:t>
      </w:r>
      <w:r w:rsidRPr="006571AC">
        <w:rPr>
          <w:rFonts w:cs="DanaFajr" w:hint="eastAsia"/>
          <w:sz w:val="28"/>
          <w:szCs w:val="28"/>
          <w:rtl/>
        </w:rPr>
        <w:t>عَنْهُ</w:t>
      </w:r>
      <w:r w:rsidRPr="006571AC">
        <w:rPr>
          <w:rFonts w:cs="DanaFajr"/>
          <w:sz w:val="28"/>
          <w:szCs w:val="28"/>
          <w:rtl/>
        </w:rPr>
        <w:t xml:space="preserve"> </w:t>
      </w:r>
      <w:r w:rsidRPr="006571AC">
        <w:rPr>
          <w:rFonts w:cs="DanaFajr" w:hint="eastAsia"/>
          <w:sz w:val="28"/>
          <w:szCs w:val="28"/>
          <w:rtl/>
        </w:rPr>
        <w:t>الرِّجَالُ</w:t>
      </w:r>
      <w:r w:rsidRPr="006571AC">
        <w:rPr>
          <w:rFonts w:cs="DanaFajr"/>
          <w:sz w:val="28"/>
          <w:szCs w:val="28"/>
          <w:rtl/>
        </w:rPr>
        <w:t xml:space="preserve">. </w:t>
      </w:r>
      <w:r w:rsidRPr="006571AC">
        <w:rPr>
          <w:rFonts w:cs="DanaFajr" w:hint="eastAsia"/>
          <w:sz w:val="28"/>
          <w:szCs w:val="28"/>
          <w:rtl/>
        </w:rPr>
        <w:t>وَلَمَّا</w:t>
      </w:r>
      <w:r w:rsidRPr="006571AC">
        <w:rPr>
          <w:rFonts w:cs="DanaFajr"/>
          <w:sz w:val="28"/>
          <w:szCs w:val="28"/>
          <w:rtl/>
        </w:rPr>
        <w:t xml:space="preserve"> </w:t>
      </w:r>
      <w:r w:rsidRPr="006571AC">
        <w:rPr>
          <w:rFonts w:cs="DanaFajr" w:hint="eastAsia"/>
          <w:sz w:val="28"/>
          <w:szCs w:val="28"/>
          <w:rtl/>
        </w:rPr>
        <w:t>دَعَانَا</w:t>
      </w:r>
      <w:r w:rsidRPr="006571AC">
        <w:rPr>
          <w:rFonts w:cs="DanaFajr"/>
          <w:sz w:val="28"/>
          <w:szCs w:val="28"/>
          <w:rtl/>
        </w:rPr>
        <w:t xml:space="preserve"> </w:t>
      </w:r>
      <w:r w:rsidRPr="006571AC">
        <w:rPr>
          <w:rFonts w:cs="DanaFajr" w:hint="eastAsia"/>
          <w:sz w:val="28"/>
          <w:szCs w:val="28"/>
          <w:rtl/>
        </w:rPr>
        <w:t>الْقَوْمُ</w:t>
      </w:r>
      <w:r w:rsidRPr="006571AC">
        <w:rPr>
          <w:rFonts w:cs="DanaFajr"/>
          <w:sz w:val="28"/>
          <w:szCs w:val="28"/>
          <w:rtl/>
        </w:rPr>
        <w:t xml:space="preserve"> </w:t>
      </w:r>
      <w:r w:rsidRPr="006571AC">
        <w:rPr>
          <w:rFonts w:cs="DanaFajr" w:hint="eastAsia"/>
          <w:sz w:val="28"/>
          <w:szCs w:val="28"/>
          <w:rtl/>
        </w:rPr>
        <w:t>إلَى</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نُحَكِّمَ</w:t>
      </w:r>
      <w:r w:rsidRPr="006571AC">
        <w:rPr>
          <w:rFonts w:cs="DanaFajr"/>
          <w:sz w:val="28"/>
          <w:szCs w:val="28"/>
          <w:rtl/>
        </w:rPr>
        <w:t xml:space="preserve"> </w:t>
      </w:r>
      <w:r w:rsidRPr="006571AC">
        <w:rPr>
          <w:rFonts w:cs="DanaFajr" w:hint="eastAsia"/>
          <w:sz w:val="28"/>
          <w:szCs w:val="28"/>
          <w:rtl/>
        </w:rPr>
        <w:t>بَيْنَنَا</w:t>
      </w:r>
      <w:r w:rsidRPr="006571AC">
        <w:rPr>
          <w:rFonts w:cs="DanaFajr"/>
          <w:sz w:val="28"/>
          <w:szCs w:val="28"/>
          <w:rtl/>
        </w:rPr>
        <w:t xml:space="preserve"> </w:t>
      </w:r>
      <w:r w:rsidRPr="006571AC">
        <w:rPr>
          <w:rFonts w:cs="DanaFajr" w:hint="eastAsia"/>
          <w:sz w:val="28"/>
          <w:szCs w:val="28"/>
          <w:rtl/>
        </w:rPr>
        <w:t>الْقُرْآنَ</w:t>
      </w:r>
      <w:r w:rsidRPr="006571AC">
        <w:rPr>
          <w:rFonts w:cs="DanaFajr"/>
          <w:sz w:val="28"/>
          <w:szCs w:val="28"/>
          <w:rtl/>
        </w:rPr>
        <w:t xml:space="preserve"> </w:t>
      </w:r>
      <w:r w:rsidRPr="006571AC">
        <w:rPr>
          <w:rFonts w:cs="DanaFajr" w:hint="eastAsia"/>
          <w:sz w:val="28"/>
          <w:szCs w:val="28"/>
          <w:rtl/>
        </w:rPr>
        <w:t>لَمْ</w:t>
      </w:r>
      <w:r w:rsidRPr="006571AC">
        <w:rPr>
          <w:rFonts w:cs="DanaFajr"/>
          <w:sz w:val="28"/>
          <w:szCs w:val="28"/>
          <w:rtl/>
        </w:rPr>
        <w:t xml:space="preserve"> </w:t>
      </w:r>
      <w:r w:rsidRPr="006571AC">
        <w:rPr>
          <w:rFonts w:cs="DanaFajr" w:hint="eastAsia"/>
          <w:sz w:val="28"/>
          <w:szCs w:val="28"/>
          <w:rtl/>
        </w:rPr>
        <w:t>نَكُنِ</w:t>
      </w:r>
      <w:r w:rsidRPr="006571AC">
        <w:rPr>
          <w:rFonts w:cs="DanaFajr"/>
          <w:sz w:val="28"/>
          <w:szCs w:val="28"/>
          <w:rtl/>
        </w:rPr>
        <w:t xml:space="preserve"> </w:t>
      </w:r>
      <w:r w:rsidRPr="006571AC">
        <w:rPr>
          <w:rFonts w:cs="DanaFajr" w:hint="eastAsia"/>
          <w:sz w:val="28"/>
          <w:szCs w:val="28"/>
          <w:rtl/>
        </w:rPr>
        <w:t>الْفَرِيقَ</w:t>
      </w:r>
      <w:r w:rsidRPr="006571AC">
        <w:rPr>
          <w:rFonts w:cs="DanaFajr"/>
          <w:sz w:val="28"/>
          <w:szCs w:val="28"/>
          <w:rtl/>
        </w:rPr>
        <w:t xml:space="preserve"> </w:t>
      </w:r>
      <w:r w:rsidRPr="006571AC">
        <w:rPr>
          <w:rFonts w:cs="DanaFajr" w:hint="eastAsia"/>
          <w:sz w:val="28"/>
          <w:szCs w:val="28"/>
          <w:rtl/>
        </w:rPr>
        <w:t>الْمُتَوَلِّيَ</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كِتَابِ</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وَتَعَالَى</w:t>
      </w:r>
      <w:r w:rsidRPr="006571AC">
        <w:rPr>
          <w:sz w:val="22"/>
          <w:szCs w:val="22"/>
          <w:rtl/>
        </w:rPr>
        <w:t>»</w:t>
      </w:r>
      <w:r w:rsidRPr="006571AC">
        <w:rPr>
          <w:rFonts w:cs="DanaFajr" w:hint="cs"/>
          <w:sz w:val="28"/>
          <w:szCs w:val="28"/>
          <w:rtl/>
        </w:rPr>
        <w:t xml:space="preserve">. </w:t>
      </w:r>
      <w:r w:rsidRPr="006571AC">
        <w:rPr>
          <w:rFonts w:cs="DanaFajr" w:hint="cs"/>
          <w:sz w:val="28"/>
          <w:szCs w:val="28"/>
          <w:rtl/>
          <w:lang w:bidi="ar-BH"/>
        </w:rPr>
        <w:t xml:space="preserve">(الشريف الرضي، </w:t>
      </w:r>
      <w:r w:rsidRPr="006571AC">
        <w:rPr>
          <w:rFonts w:cs="DanaFajr" w:hint="cs"/>
          <w:sz w:val="28"/>
          <w:szCs w:val="28"/>
          <w:rtl/>
        </w:rPr>
        <w:t>نهج البلاغة: الخطبة 125، تحقيق صبحي صالح، دار الهجرة، قم، ط1، 1414هـ).</w:t>
      </w:r>
    </w:p>
  </w:endnote>
  <w:endnote w:id="2">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rPr>
        <w:t xml:space="preserve">حميد عنايت، </w:t>
      </w:r>
      <w:r w:rsidRPr="006571AC">
        <w:rPr>
          <w:rFonts w:cs="DanaFajr" w:hint="cs"/>
          <w:sz w:val="28"/>
          <w:szCs w:val="28"/>
          <w:rtl/>
          <w:lang w:bidi="fa-IR"/>
        </w:rPr>
        <w:t>أنديشه سياسي در إسلام معاصر</w:t>
      </w:r>
      <w:r w:rsidRPr="006571AC">
        <w:rPr>
          <w:rFonts w:cs="DanaFajr" w:hint="cs"/>
          <w:sz w:val="28"/>
          <w:szCs w:val="28"/>
          <w:rtl/>
        </w:rPr>
        <w:t xml:space="preserve"> (الفكر السياسي في الإسلام المعاصر): 221، </w:t>
      </w:r>
      <w:r w:rsidRPr="006571AC">
        <w:rPr>
          <w:rFonts w:cs="DanaFajr" w:hint="cs"/>
          <w:sz w:val="28"/>
          <w:szCs w:val="28"/>
          <w:rtl/>
          <w:lang w:bidi="fa-IR"/>
        </w:rPr>
        <w:t>ترجمة: بهاء الدين خرّمشاهي، خوارزمي، طهران، ط</w:t>
      </w:r>
      <w:r w:rsidRPr="006571AC">
        <w:rPr>
          <w:rFonts w:cs="DanaFajr" w:hint="cs"/>
          <w:sz w:val="28"/>
          <w:szCs w:val="28"/>
          <w:rtl/>
        </w:rPr>
        <w:t>4</w:t>
      </w:r>
      <w:r w:rsidRPr="006571AC">
        <w:rPr>
          <w:rFonts w:cs="DanaFajr" w:hint="cs"/>
          <w:sz w:val="28"/>
          <w:szCs w:val="28"/>
          <w:rtl/>
          <w:lang w:bidi="fa-IR"/>
        </w:rPr>
        <w:t>، 1380هـ.ش</w:t>
      </w:r>
      <w:r w:rsidRPr="006571AC">
        <w:rPr>
          <w:rFonts w:cs="DanaFajr" w:hint="cs"/>
          <w:sz w:val="28"/>
          <w:szCs w:val="28"/>
          <w:rtl/>
        </w:rPr>
        <w:t xml:space="preserve">؛ السيد حسين نصر، </w:t>
      </w:r>
      <w:r w:rsidRPr="006571AC">
        <w:rPr>
          <w:rFonts w:cs="DanaFajr"/>
          <w:sz w:val="28"/>
          <w:szCs w:val="28"/>
          <w:rtl/>
        </w:rPr>
        <w:t>جوان مسلمان ودن</w:t>
      </w:r>
      <w:r w:rsidRPr="006571AC">
        <w:rPr>
          <w:rFonts w:cs="DanaFajr" w:hint="cs"/>
          <w:sz w:val="28"/>
          <w:szCs w:val="28"/>
          <w:rtl/>
        </w:rPr>
        <w:t>ي</w:t>
      </w:r>
      <w:r w:rsidRPr="006571AC">
        <w:rPr>
          <w:rFonts w:cs="DanaFajr"/>
          <w:sz w:val="28"/>
          <w:szCs w:val="28"/>
          <w:rtl/>
        </w:rPr>
        <w:t>ا</w:t>
      </w:r>
      <w:r w:rsidRPr="006571AC">
        <w:rPr>
          <w:rFonts w:cs="DanaFajr" w:hint="cs"/>
          <w:sz w:val="28"/>
          <w:szCs w:val="28"/>
          <w:rtl/>
        </w:rPr>
        <w:t>ى</w:t>
      </w:r>
      <w:r w:rsidRPr="006571AC">
        <w:rPr>
          <w:rFonts w:cs="DanaFajr"/>
          <w:sz w:val="28"/>
          <w:szCs w:val="28"/>
          <w:rtl/>
        </w:rPr>
        <w:t xml:space="preserve"> متجد</w:t>
      </w:r>
      <w:r w:rsidRPr="006571AC">
        <w:rPr>
          <w:rFonts w:cs="DanaFajr" w:hint="cs"/>
          <w:sz w:val="28"/>
          <w:szCs w:val="28"/>
          <w:rtl/>
        </w:rPr>
        <w:t>ّ</w:t>
      </w:r>
      <w:r w:rsidRPr="006571AC">
        <w:rPr>
          <w:rFonts w:cs="DanaFajr"/>
          <w:sz w:val="28"/>
          <w:szCs w:val="28"/>
          <w:rtl/>
        </w:rPr>
        <w:t>د</w:t>
      </w:r>
      <w:r w:rsidRPr="006571AC">
        <w:rPr>
          <w:rFonts w:cs="DanaFajr" w:hint="cs"/>
          <w:sz w:val="28"/>
          <w:szCs w:val="28"/>
          <w:rtl/>
        </w:rPr>
        <w:t xml:space="preserve"> (الشباب المسلم والعالم المعاصر): 287، ترجمة: مرتضی أسعدي، طرح نو، طهران، ط4، 1382هـ.ش.</w:t>
      </w:r>
    </w:p>
  </w:endnote>
  <w:endnote w:id="3">
    <w:p w:rsidR="00DB2356" w:rsidRPr="006571AC" w:rsidRDefault="00DB2356" w:rsidP="00166320">
      <w:pPr>
        <w:pStyle w:val="aa"/>
        <w:spacing w:line="306" w:lineRule="exact"/>
        <w:ind w:firstLine="0"/>
        <w:rPr>
          <w:rFonts w:cs="DanaFajr"/>
          <w:sz w:val="28"/>
          <w:szCs w:val="28"/>
          <w:rtl/>
          <w:lang w:bidi="fa-IR"/>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hint="cs"/>
          <w:sz w:val="28"/>
          <w:szCs w:val="28"/>
          <w:rtl/>
        </w:rPr>
        <w:t xml:space="preserve"> </w:t>
      </w:r>
      <w:r w:rsidRPr="006571AC">
        <w:rPr>
          <w:rFonts w:cs="DanaFajr"/>
          <w:sz w:val="28"/>
          <w:szCs w:val="28"/>
          <w:rtl/>
        </w:rPr>
        <w:t>سيمور مارتين ليپست</w:t>
      </w:r>
      <w:r w:rsidRPr="006571AC">
        <w:rPr>
          <w:rFonts w:cs="DanaFajr" w:hint="cs"/>
          <w:sz w:val="28"/>
          <w:szCs w:val="28"/>
          <w:rtl/>
        </w:rPr>
        <w:t>،</w:t>
      </w:r>
      <w:r w:rsidRPr="006571AC">
        <w:rPr>
          <w:rFonts w:cs="DanaFajr"/>
          <w:sz w:val="28"/>
          <w:szCs w:val="28"/>
          <w:rtl/>
        </w:rPr>
        <w:t xml:space="preserve"> دايرة المعارف دموكراس</w:t>
      </w:r>
      <w:r w:rsidRPr="006571AC">
        <w:rPr>
          <w:rFonts w:cs="DanaFajr" w:hint="cs"/>
          <w:sz w:val="28"/>
          <w:szCs w:val="28"/>
          <w:rtl/>
        </w:rPr>
        <w:t>ي (</w:t>
      </w:r>
      <w:r w:rsidRPr="006571AC">
        <w:rPr>
          <w:rFonts w:cs="DanaFajr" w:hint="cs"/>
          <w:sz w:val="28"/>
          <w:szCs w:val="28"/>
          <w:rtl/>
          <w:lang w:bidi="fa-IR"/>
        </w:rPr>
        <w:t>موسوعة الديمقراطية) 2: 700</w:t>
      </w:r>
      <w:r w:rsidRPr="006571AC">
        <w:rPr>
          <w:rFonts w:cs="DanaFajr" w:hint="cs"/>
          <w:sz w:val="28"/>
          <w:szCs w:val="28"/>
          <w:rtl/>
        </w:rPr>
        <w:t>، ط3، المكتبة التخصصية في وزارة الخارجية، طهران، 1385هـ.ش.</w:t>
      </w:r>
    </w:p>
  </w:endnote>
  <w:endnote w:id="4">
    <w:p w:rsidR="00DB2356" w:rsidRPr="006571AC" w:rsidRDefault="00DB2356" w:rsidP="0011155A">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حس</w:t>
      </w:r>
      <w:r w:rsidRPr="006571AC">
        <w:rPr>
          <w:rFonts w:cs="DanaFajr" w:hint="cs"/>
          <w:sz w:val="28"/>
          <w:szCs w:val="28"/>
          <w:rtl/>
        </w:rPr>
        <w:t>ي</w:t>
      </w:r>
      <w:r w:rsidRPr="006571AC">
        <w:rPr>
          <w:rFonts w:cs="DanaFajr"/>
          <w:sz w:val="28"/>
          <w:szCs w:val="28"/>
          <w:rtl/>
        </w:rPr>
        <w:t>ن بش</w:t>
      </w:r>
      <w:r w:rsidRPr="006571AC">
        <w:rPr>
          <w:rFonts w:cs="DanaFajr" w:hint="cs"/>
          <w:sz w:val="28"/>
          <w:szCs w:val="28"/>
          <w:rtl/>
        </w:rPr>
        <w:t>ي</w:t>
      </w:r>
      <w:r w:rsidRPr="006571AC">
        <w:rPr>
          <w:rFonts w:cs="DanaFajr"/>
          <w:sz w:val="28"/>
          <w:szCs w:val="28"/>
          <w:rtl/>
        </w:rPr>
        <w:t>ر</w:t>
      </w:r>
      <w:r w:rsidRPr="006571AC">
        <w:rPr>
          <w:rFonts w:cs="DanaFajr" w:hint="cs"/>
          <w:sz w:val="28"/>
          <w:szCs w:val="28"/>
          <w:rtl/>
        </w:rPr>
        <w:t>ي</w:t>
      </w:r>
      <w:r w:rsidRPr="006571AC">
        <w:rPr>
          <w:rFonts w:cs="DanaFajr"/>
          <w:sz w:val="28"/>
          <w:szCs w:val="28"/>
          <w:rtl/>
        </w:rPr>
        <w:t>ه</w:t>
      </w:r>
      <w:r w:rsidRPr="006571AC">
        <w:rPr>
          <w:rFonts w:cs="DanaFajr" w:hint="cs"/>
          <w:sz w:val="28"/>
          <w:szCs w:val="28"/>
          <w:rtl/>
        </w:rPr>
        <w:t>،</w:t>
      </w:r>
      <w:r w:rsidRPr="006571AC">
        <w:rPr>
          <w:rFonts w:cs="DanaFajr"/>
          <w:sz w:val="28"/>
          <w:szCs w:val="28"/>
          <w:rtl/>
        </w:rPr>
        <w:t xml:space="preserve"> درسها</w:t>
      </w:r>
      <w:r w:rsidRPr="006571AC">
        <w:rPr>
          <w:rFonts w:cs="DanaFajr" w:hint="cs"/>
          <w:sz w:val="28"/>
          <w:szCs w:val="28"/>
          <w:rtl/>
        </w:rPr>
        <w:t>ي</w:t>
      </w:r>
      <w:r w:rsidRPr="006571AC">
        <w:rPr>
          <w:rFonts w:cs="DanaFajr"/>
          <w:sz w:val="28"/>
          <w:szCs w:val="28"/>
          <w:rtl/>
        </w:rPr>
        <w:t xml:space="preserve"> دموکراس</w:t>
      </w:r>
      <w:r w:rsidRPr="006571AC">
        <w:rPr>
          <w:rFonts w:cs="DanaFajr" w:hint="cs"/>
          <w:sz w:val="28"/>
          <w:szCs w:val="28"/>
          <w:rtl/>
        </w:rPr>
        <w:t>ي</w:t>
      </w:r>
      <w:r w:rsidRPr="006571AC">
        <w:rPr>
          <w:rFonts w:cs="DanaFajr"/>
          <w:sz w:val="28"/>
          <w:szCs w:val="28"/>
          <w:rtl/>
        </w:rPr>
        <w:t xml:space="preserve"> برا</w:t>
      </w:r>
      <w:r w:rsidRPr="006571AC">
        <w:rPr>
          <w:rFonts w:cs="DanaFajr" w:hint="cs"/>
          <w:sz w:val="28"/>
          <w:szCs w:val="28"/>
          <w:rtl/>
        </w:rPr>
        <w:t>ي</w:t>
      </w:r>
      <w:r w:rsidRPr="006571AC">
        <w:rPr>
          <w:rFonts w:cs="DanaFajr"/>
          <w:sz w:val="28"/>
          <w:szCs w:val="28"/>
          <w:rtl/>
        </w:rPr>
        <w:t xml:space="preserve"> همه</w:t>
      </w:r>
      <w:r w:rsidRPr="006571AC">
        <w:rPr>
          <w:rFonts w:cs="DanaFajr" w:hint="cs"/>
          <w:sz w:val="28"/>
          <w:szCs w:val="28"/>
          <w:rtl/>
          <w:lang w:bidi="fa-IR"/>
        </w:rPr>
        <w:t xml:space="preserve"> (دروس في الديمقراطية للجميع</w:t>
      </w:r>
      <w:r w:rsidRPr="006571AC">
        <w:rPr>
          <w:rFonts w:cs="DanaFajr" w:hint="cs"/>
          <w:sz w:val="28"/>
          <w:szCs w:val="28"/>
          <w:rtl/>
        </w:rPr>
        <w:t>)</w:t>
      </w:r>
      <w:r w:rsidRPr="006571AC">
        <w:rPr>
          <w:rFonts w:cs="DanaFajr" w:hint="cs"/>
          <w:sz w:val="28"/>
          <w:szCs w:val="28"/>
          <w:rtl/>
          <w:lang w:bidi="fa-IR"/>
        </w:rPr>
        <w:t>: 19،</w:t>
      </w:r>
      <w:r w:rsidRPr="006571AC">
        <w:rPr>
          <w:rFonts w:cs="DanaFajr" w:hint="cs"/>
          <w:sz w:val="28"/>
          <w:szCs w:val="28"/>
          <w:rtl/>
        </w:rPr>
        <w:t xml:space="preserve"> 47، </w:t>
      </w:r>
      <w:r w:rsidRPr="006571AC">
        <w:rPr>
          <w:rFonts w:ascii="Mosawi" w:hAnsi="Mosawi" w:cs="Abz-3 (Yagut)" w:hint="cs"/>
          <w:rtl/>
          <w:lang w:val="x-none" w:eastAsia="x-none"/>
        </w:rPr>
        <w:t>نگاه</w:t>
      </w:r>
      <w:r w:rsidRPr="006571AC">
        <w:rPr>
          <w:rFonts w:cs="DanaFajr" w:hint="cs"/>
          <w:sz w:val="28"/>
          <w:szCs w:val="28"/>
          <w:rtl/>
        </w:rPr>
        <w:t xml:space="preserve"> معاصر، طهران، ط2، 1381هـ.ش.</w:t>
      </w:r>
    </w:p>
  </w:endnote>
  <w:endnote w:id="5">
    <w:p w:rsidR="00DB2356" w:rsidRPr="006571AC" w:rsidRDefault="00DB2356" w:rsidP="00166320">
      <w:pPr>
        <w:pStyle w:val="aa"/>
        <w:spacing w:line="306" w:lineRule="exact"/>
        <w:ind w:firstLine="0"/>
        <w:rPr>
          <w:rFonts w:cs="DanaFajr"/>
          <w:sz w:val="28"/>
          <w:szCs w:val="28"/>
          <w:rtl/>
          <w:lang w:bidi="fa-IR"/>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lang w:bidi="fa-IR"/>
        </w:rPr>
        <w:t>فصليّة المدرسة، العدد 1، عدد خاصّ بالديمقراطية في حدّها الأدنى والديمقراطية في حدّها الأقصى،</w:t>
      </w:r>
      <w:r w:rsidRPr="006571AC">
        <w:rPr>
          <w:rFonts w:asciiTheme="minorHAnsi" w:eastAsiaTheme="minorEastAsia" w:hAnsiTheme="minorHAnsi" w:cs="DanaFajr"/>
          <w:sz w:val="28"/>
          <w:szCs w:val="28"/>
          <w:rtl/>
          <w:lang w:bidi="fa-IR"/>
        </w:rPr>
        <w:t xml:space="preserve"> </w:t>
      </w:r>
      <w:r w:rsidRPr="006571AC">
        <w:rPr>
          <w:rFonts w:cs="DanaFajr"/>
          <w:sz w:val="28"/>
          <w:szCs w:val="28"/>
          <w:rtl/>
          <w:lang w:bidi="fa-IR"/>
        </w:rPr>
        <w:t>ت</w:t>
      </w:r>
      <w:r w:rsidRPr="006571AC">
        <w:rPr>
          <w:rFonts w:cs="DanaFajr" w:hint="cs"/>
          <w:sz w:val="28"/>
          <w:szCs w:val="28"/>
          <w:rtl/>
          <w:lang w:bidi="fa-IR"/>
        </w:rPr>
        <w:t>ي</w:t>
      </w:r>
      <w:r w:rsidRPr="006571AC">
        <w:rPr>
          <w:rFonts w:cs="DanaFajr"/>
          <w:sz w:val="28"/>
          <w:szCs w:val="28"/>
          <w:rtl/>
          <w:lang w:bidi="fa-IR"/>
        </w:rPr>
        <w:t>ر 138</w:t>
      </w:r>
      <w:r w:rsidRPr="006571AC">
        <w:rPr>
          <w:rFonts w:cs="DanaFajr" w:hint="cs"/>
          <w:sz w:val="28"/>
          <w:szCs w:val="28"/>
          <w:rtl/>
        </w:rPr>
        <w:t>4هـ.ش.</w:t>
      </w:r>
    </w:p>
  </w:endnote>
  <w:endnote w:id="6">
    <w:p w:rsidR="00DB2356" w:rsidRPr="006571AC" w:rsidRDefault="00DB2356" w:rsidP="0011155A">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fa-IR"/>
        </w:rPr>
        <w:t xml:space="preserve"> </w:t>
      </w:r>
      <w:r w:rsidRPr="006571AC">
        <w:rPr>
          <w:rFonts w:cs="DanaFajr" w:hint="eastAsia"/>
          <w:sz w:val="28"/>
          <w:szCs w:val="28"/>
          <w:rtl/>
          <w:lang w:bidi="fa-IR"/>
        </w:rPr>
        <w:t>آرش</w:t>
      </w:r>
      <w:r w:rsidRPr="006571AC">
        <w:rPr>
          <w:rFonts w:cs="DanaFajr" w:hint="cs"/>
          <w:sz w:val="28"/>
          <w:szCs w:val="28"/>
          <w:rtl/>
          <w:lang w:bidi="fa-IR"/>
        </w:rPr>
        <w:t xml:space="preserve"> ﺳ</w:t>
      </w:r>
      <w:r w:rsidRPr="006571AC">
        <w:rPr>
          <w:rFonts w:cs="DanaFajr" w:hint="eastAsia"/>
          <w:sz w:val="28"/>
          <w:szCs w:val="28"/>
          <w:rtl/>
          <w:lang w:bidi="fa-IR"/>
        </w:rPr>
        <w:t>ــ</w:t>
      </w:r>
      <w:r w:rsidRPr="006571AC">
        <w:rPr>
          <w:rFonts w:cs="DanaFajr" w:hint="cs"/>
          <w:sz w:val="28"/>
          <w:szCs w:val="28"/>
          <w:rtl/>
          <w:lang w:bidi="fa-IR"/>
        </w:rPr>
        <w:t xml:space="preserve">ﺮﻛﻮهي، تنش وتضاد دموكراسي وحقوق بشر أز </w:t>
      </w:r>
      <w:r w:rsidRPr="006571AC">
        <w:rPr>
          <w:rFonts w:ascii="Mosawi" w:hAnsi="Mosawi" w:cs="Abz-3 (Yagut)" w:hint="cs"/>
          <w:rtl/>
          <w:lang w:val="x-none" w:eastAsia="x-none"/>
        </w:rPr>
        <w:t>نگاه ﻳﻮ</w:t>
      </w:r>
      <w:r w:rsidRPr="006571AC">
        <w:rPr>
          <w:rFonts w:ascii="Mosawi" w:hAnsi="Mosawi" w:cs="Abz-3 (Yagut)" w:hint="eastAsia"/>
          <w:rtl/>
          <w:lang w:val="x-none" w:eastAsia="x-none"/>
        </w:rPr>
        <w:t>ر</w:t>
      </w:r>
      <w:r w:rsidRPr="006571AC">
        <w:rPr>
          <w:rFonts w:ascii="Mosawi" w:hAnsi="Mosawi" w:cs="Abz-3 (Yagut)" w:hint="cs"/>
          <w:rtl/>
          <w:lang w:val="x-none" w:eastAsia="x-none"/>
        </w:rPr>
        <w:t>ﮔﻦ</w:t>
      </w:r>
      <w:r w:rsidRPr="006571AC">
        <w:rPr>
          <w:rFonts w:cs="DanaFajr"/>
          <w:sz w:val="28"/>
          <w:szCs w:val="28"/>
          <w:rtl/>
          <w:lang w:bidi="fa-IR"/>
        </w:rPr>
        <w:t xml:space="preserve"> </w:t>
      </w:r>
      <w:r w:rsidRPr="006571AC">
        <w:rPr>
          <w:rFonts w:cs="DanaFajr" w:hint="cs"/>
          <w:sz w:val="28"/>
          <w:szCs w:val="28"/>
          <w:rtl/>
          <w:lang w:bidi="fa-IR"/>
        </w:rPr>
        <w:t>ﻫﺎﺑﺮﻣﺎ</w:t>
      </w:r>
      <w:r w:rsidRPr="006571AC">
        <w:rPr>
          <w:rFonts w:cs="DanaFajr" w:hint="eastAsia"/>
          <w:sz w:val="28"/>
          <w:szCs w:val="28"/>
          <w:rtl/>
          <w:lang w:bidi="fa-IR"/>
        </w:rPr>
        <w:t>س</w:t>
      </w:r>
      <w:r w:rsidRPr="006571AC">
        <w:rPr>
          <w:rFonts w:cs="DanaFajr" w:hint="cs"/>
          <w:sz w:val="28"/>
          <w:szCs w:val="28"/>
          <w:rtl/>
          <w:lang w:bidi="fa-IR"/>
        </w:rPr>
        <w:t xml:space="preserve"> (تناقض </w:t>
      </w:r>
      <w:r w:rsidRPr="006571AC">
        <w:rPr>
          <w:rFonts w:cs="DanaFajr" w:hint="eastAsia"/>
          <w:sz w:val="28"/>
          <w:szCs w:val="28"/>
          <w:rtl/>
          <w:lang w:bidi="fa-IR"/>
        </w:rPr>
        <w:t>الديمقراطية</w:t>
      </w:r>
      <w:r w:rsidRPr="006571AC">
        <w:rPr>
          <w:rFonts w:cs="DanaFajr" w:hint="cs"/>
          <w:sz w:val="28"/>
          <w:szCs w:val="28"/>
          <w:rtl/>
          <w:lang w:bidi="fa-IR"/>
        </w:rPr>
        <w:t xml:space="preserve"> وحقوق الإنسان من وجهة نظر يورغن هابرماس)</w:t>
      </w:r>
      <w:r w:rsidRPr="006571AC">
        <w:rPr>
          <w:rFonts w:cs="DanaFajr" w:hint="eastAsia"/>
          <w:sz w:val="28"/>
          <w:szCs w:val="28"/>
          <w:rtl/>
          <w:lang w:bidi="fa-IR"/>
        </w:rPr>
        <w:t>،</w:t>
      </w:r>
      <w:r w:rsidRPr="006571AC">
        <w:rPr>
          <w:rFonts w:cs="DanaFajr" w:hint="cs"/>
          <w:sz w:val="28"/>
          <w:szCs w:val="28"/>
          <w:rtl/>
          <w:lang w:bidi="fa-IR"/>
        </w:rPr>
        <w:t xml:space="preserve"> (</w:t>
      </w:r>
      <w:hyperlink r:id="rId1" w:history="1">
        <w:r w:rsidRPr="006571AC">
          <w:rPr>
            <w:rStyle w:val="Hyperlink"/>
            <w:rFonts w:cs="DanaFajr"/>
            <w:color w:val="auto"/>
            <w:u w:val="none"/>
            <w:lang w:bidi="fa-IR"/>
          </w:rPr>
          <w:t>www.radiozamaneh.com</w:t>
        </w:r>
      </w:hyperlink>
      <w:r w:rsidRPr="006571AC">
        <w:rPr>
          <w:rFonts w:cs="DanaFajr" w:hint="cs"/>
          <w:sz w:val="28"/>
          <w:szCs w:val="28"/>
          <w:rtl/>
          <w:lang w:bidi="fa-IR"/>
        </w:rPr>
        <w:t>)</w:t>
      </w:r>
      <w:r w:rsidRPr="006571AC">
        <w:rPr>
          <w:rFonts w:cs="DanaFajr" w:hint="cs"/>
          <w:sz w:val="28"/>
          <w:szCs w:val="28"/>
          <w:rtl/>
        </w:rPr>
        <w:t>، 28/12/2016.</w:t>
      </w:r>
    </w:p>
  </w:endnote>
  <w:endnote w:id="7">
    <w:p w:rsidR="00DB2356" w:rsidRPr="006571AC" w:rsidRDefault="00DB2356" w:rsidP="00166320">
      <w:pPr>
        <w:pStyle w:val="aa"/>
        <w:spacing w:line="306" w:lineRule="exact"/>
        <w:ind w:firstLine="0"/>
        <w:rPr>
          <w:rFonts w:cs="DanaFajr"/>
          <w:sz w:val="28"/>
          <w:szCs w:val="28"/>
          <w:rtl/>
          <w:lang w:bidi="fa-IR"/>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ascii="Mosawi" w:hAnsi="Mosawi" w:cs="Mosawi" w:hint="cs"/>
          <w:sz w:val="22"/>
          <w:szCs w:val="22"/>
          <w:rtl/>
        </w:rPr>
        <w:t xml:space="preserve"> </w:t>
      </w:r>
      <w:r w:rsidRPr="006571AC">
        <w:rPr>
          <w:rFonts w:ascii="Mosawi" w:hAnsi="Mosawi" w:cs="Mosawi"/>
          <w:sz w:val="22"/>
          <w:szCs w:val="22"/>
          <w:rtl/>
        </w:rPr>
        <w:t>﴿</w:t>
      </w:r>
      <w:r w:rsidRPr="006571AC">
        <w:rPr>
          <w:rFonts w:cs="DanaFajr" w:hint="eastAsia"/>
          <w:b/>
          <w:bCs/>
          <w:sz w:val="28"/>
          <w:szCs w:val="28"/>
          <w:rtl/>
          <w:lang w:bidi="fa-IR"/>
        </w:rPr>
        <w:t>وَاعْلَمُوا</w:t>
      </w:r>
      <w:r w:rsidRPr="006571AC">
        <w:rPr>
          <w:rFonts w:cs="DanaFajr"/>
          <w:b/>
          <w:bCs/>
          <w:sz w:val="28"/>
          <w:szCs w:val="28"/>
          <w:rtl/>
          <w:lang w:bidi="fa-IR"/>
        </w:rPr>
        <w:t xml:space="preserve"> </w:t>
      </w:r>
      <w:r w:rsidRPr="006571AC">
        <w:rPr>
          <w:rFonts w:cs="DanaFajr" w:hint="eastAsia"/>
          <w:b/>
          <w:bCs/>
          <w:sz w:val="28"/>
          <w:szCs w:val="28"/>
          <w:rtl/>
          <w:lang w:bidi="fa-IR"/>
        </w:rPr>
        <w:t>أَنَّمَا</w:t>
      </w:r>
      <w:r w:rsidRPr="006571AC">
        <w:rPr>
          <w:rFonts w:cs="DanaFajr"/>
          <w:b/>
          <w:bCs/>
          <w:sz w:val="28"/>
          <w:szCs w:val="28"/>
          <w:rtl/>
          <w:lang w:bidi="fa-IR"/>
        </w:rPr>
        <w:t xml:space="preserve"> </w:t>
      </w:r>
      <w:r w:rsidRPr="006571AC">
        <w:rPr>
          <w:rFonts w:cs="DanaFajr" w:hint="eastAsia"/>
          <w:b/>
          <w:bCs/>
          <w:sz w:val="28"/>
          <w:szCs w:val="28"/>
          <w:rtl/>
          <w:lang w:bidi="fa-IR"/>
        </w:rPr>
        <w:t>أَمْوَالُكُمْ</w:t>
      </w:r>
      <w:r w:rsidRPr="006571AC">
        <w:rPr>
          <w:rFonts w:cs="DanaFajr"/>
          <w:b/>
          <w:bCs/>
          <w:sz w:val="28"/>
          <w:szCs w:val="28"/>
          <w:rtl/>
          <w:lang w:bidi="fa-IR"/>
        </w:rPr>
        <w:t xml:space="preserve"> </w:t>
      </w:r>
      <w:r w:rsidRPr="006571AC">
        <w:rPr>
          <w:rFonts w:cs="DanaFajr" w:hint="eastAsia"/>
          <w:b/>
          <w:bCs/>
          <w:sz w:val="28"/>
          <w:szCs w:val="28"/>
          <w:rtl/>
          <w:lang w:bidi="fa-IR"/>
        </w:rPr>
        <w:t>وَأَوْلا</w:t>
      </w:r>
      <w:r w:rsidRPr="006571AC">
        <w:rPr>
          <w:rFonts w:cs="DanaFajr" w:hint="cs"/>
          <w:b/>
          <w:bCs/>
          <w:sz w:val="28"/>
          <w:szCs w:val="28"/>
          <w:rtl/>
          <w:lang w:bidi="fa-IR"/>
        </w:rPr>
        <w:t>َ</w:t>
      </w:r>
      <w:r w:rsidRPr="006571AC">
        <w:rPr>
          <w:rFonts w:cs="DanaFajr" w:hint="eastAsia"/>
          <w:b/>
          <w:bCs/>
          <w:sz w:val="28"/>
          <w:szCs w:val="28"/>
          <w:rtl/>
          <w:lang w:bidi="fa-IR"/>
        </w:rPr>
        <w:t>دُكُمْ</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وَأَن</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عِندَهُ</w:t>
      </w:r>
      <w:r w:rsidRPr="006571AC">
        <w:rPr>
          <w:rFonts w:cs="DanaFajr"/>
          <w:b/>
          <w:bCs/>
          <w:sz w:val="28"/>
          <w:szCs w:val="28"/>
          <w:rtl/>
          <w:lang w:bidi="fa-IR"/>
        </w:rPr>
        <w:t xml:space="preserve"> </w:t>
      </w:r>
      <w:r w:rsidRPr="006571AC">
        <w:rPr>
          <w:rFonts w:cs="DanaFajr" w:hint="eastAsia"/>
          <w:b/>
          <w:bCs/>
          <w:sz w:val="28"/>
          <w:szCs w:val="28"/>
          <w:rtl/>
          <w:lang w:bidi="fa-IR"/>
        </w:rPr>
        <w:t>أَجْرٌ</w:t>
      </w:r>
      <w:r w:rsidRPr="006571AC">
        <w:rPr>
          <w:rFonts w:cs="DanaFajr"/>
          <w:b/>
          <w:bCs/>
          <w:sz w:val="28"/>
          <w:szCs w:val="28"/>
          <w:rtl/>
          <w:lang w:bidi="fa-IR"/>
        </w:rPr>
        <w:t xml:space="preserve"> </w:t>
      </w:r>
      <w:r w:rsidRPr="006571AC">
        <w:rPr>
          <w:rFonts w:cs="DanaFajr" w:hint="eastAsia"/>
          <w:b/>
          <w:bCs/>
          <w:sz w:val="28"/>
          <w:szCs w:val="28"/>
          <w:rtl/>
          <w:lang w:bidi="fa-IR"/>
        </w:rPr>
        <w:t>عَظِيمٌ</w:t>
      </w:r>
      <w:r w:rsidRPr="006571AC">
        <w:rPr>
          <w:rFonts w:ascii="Mosawi" w:hAnsi="Mosawi" w:cs="Mosawi"/>
          <w:sz w:val="22"/>
          <w:szCs w:val="22"/>
          <w:rtl/>
        </w:rPr>
        <w:t>﴾</w:t>
      </w:r>
      <w:r w:rsidRPr="006571AC">
        <w:rPr>
          <w:rFonts w:cs="DanaFajr" w:hint="cs"/>
          <w:sz w:val="28"/>
          <w:szCs w:val="28"/>
          <w:rtl/>
          <w:lang w:bidi="fa-IR"/>
        </w:rPr>
        <w:t xml:space="preserve"> (الأنفال: 28).</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Mosawi"/>
          <w:sz w:val="22"/>
          <w:szCs w:val="22"/>
          <w:rtl/>
        </w:rPr>
        <w:t>﴿</w:t>
      </w:r>
      <w:r w:rsidRPr="006571AC">
        <w:rPr>
          <w:rFonts w:cs="DanaFajr" w:hint="eastAsia"/>
          <w:b/>
          <w:bCs/>
          <w:sz w:val="28"/>
          <w:szCs w:val="28"/>
          <w:rtl/>
          <w:lang w:bidi="fa-IR"/>
        </w:rPr>
        <w:t>وَإِذْ</w:t>
      </w:r>
      <w:r w:rsidRPr="006571AC">
        <w:rPr>
          <w:rFonts w:cs="DanaFajr"/>
          <w:b/>
          <w:bCs/>
          <w:sz w:val="28"/>
          <w:szCs w:val="28"/>
          <w:rtl/>
          <w:lang w:bidi="fa-IR"/>
        </w:rPr>
        <w:t xml:space="preserve"> </w:t>
      </w:r>
      <w:r w:rsidRPr="006571AC">
        <w:rPr>
          <w:rFonts w:cs="DanaFajr" w:hint="eastAsia"/>
          <w:b/>
          <w:bCs/>
          <w:sz w:val="28"/>
          <w:szCs w:val="28"/>
          <w:rtl/>
          <w:lang w:bidi="fa-IR"/>
        </w:rPr>
        <w:t>قُلْنَا</w:t>
      </w:r>
      <w:r w:rsidRPr="006571AC">
        <w:rPr>
          <w:rFonts w:cs="DanaFajr"/>
          <w:b/>
          <w:bCs/>
          <w:sz w:val="28"/>
          <w:szCs w:val="28"/>
          <w:rtl/>
          <w:lang w:bidi="fa-IR"/>
        </w:rPr>
        <w:t xml:space="preserve"> </w:t>
      </w:r>
      <w:r w:rsidRPr="006571AC">
        <w:rPr>
          <w:rFonts w:cs="DanaFajr" w:hint="eastAsia"/>
          <w:b/>
          <w:bCs/>
          <w:sz w:val="28"/>
          <w:szCs w:val="28"/>
          <w:rtl/>
          <w:lang w:bidi="fa-IR"/>
        </w:rPr>
        <w:t>لَكَ</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رَبَّكَ</w:t>
      </w:r>
      <w:r w:rsidRPr="006571AC">
        <w:rPr>
          <w:rFonts w:cs="DanaFajr"/>
          <w:b/>
          <w:bCs/>
          <w:sz w:val="28"/>
          <w:szCs w:val="28"/>
          <w:rtl/>
          <w:lang w:bidi="fa-IR"/>
        </w:rPr>
        <w:t xml:space="preserve"> </w:t>
      </w:r>
      <w:r w:rsidRPr="006571AC">
        <w:rPr>
          <w:rFonts w:cs="DanaFajr" w:hint="eastAsia"/>
          <w:b/>
          <w:bCs/>
          <w:sz w:val="28"/>
          <w:szCs w:val="28"/>
          <w:rtl/>
          <w:lang w:bidi="fa-IR"/>
        </w:rPr>
        <w:t>أَحَاطَ</w:t>
      </w:r>
      <w:r w:rsidRPr="006571AC">
        <w:rPr>
          <w:rFonts w:cs="DanaFajr"/>
          <w:b/>
          <w:bCs/>
          <w:sz w:val="28"/>
          <w:szCs w:val="28"/>
          <w:rtl/>
          <w:lang w:bidi="fa-IR"/>
        </w:rPr>
        <w:t xml:space="preserve"> </w:t>
      </w:r>
      <w:r w:rsidRPr="006571AC">
        <w:rPr>
          <w:rFonts w:cs="DanaFajr" w:hint="eastAsia"/>
          <w:b/>
          <w:bCs/>
          <w:sz w:val="28"/>
          <w:szCs w:val="28"/>
          <w:rtl/>
          <w:lang w:bidi="fa-IR"/>
        </w:rPr>
        <w:t>بِالنَّاسِ</w:t>
      </w:r>
      <w:r w:rsidRPr="006571AC">
        <w:rPr>
          <w:rFonts w:cs="DanaFajr"/>
          <w:b/>
          <w:bCs/>
          <w:sz w:val="28"/>
          <w:szCs w:val="28"/>
          <w:rtl/>
          <w:lang w:bidi="fa-IR"/>
        </w:rPr>
        <w:t xml:space="preserve"> </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جَعَلْنَا</w:t>
      </w:r>
      <w:r w:rsidRPr="006571AC">
        <w:rPr>
          <w:rFonts w:cs="DanaFajr"/>
          <w:b/>
          <w:bCs/>
          <w:sz w:val="28"/>
          <w:szCs w:val="28"/>
          <w:rtl/>
          <w:lang w:bidi="fa-IR"/>
        </w:rPr>
        <w:t xml:space="preserve"> </w:t>
      </w:r>
      <w:r w:rsidRPr="006571AC">
        <w:rPr>
          <w:rFonts w:cs="DanaFajr" w:hint="eastAsia"/>
          <w:b/>
          <w:bCs/>
          <w:sz w:val="28"/>
          <w:szCs w:val="28"/>
          <w:rtl/>
          <w:lang w:bidi="fa-IR"/>
        </w:rPr>
        <w:t>الرُّؤْيَا</w:t>
      </w:r>
      <w:r w:rsidRPr="006571AC">
        <w:rPr>
          <w:rFonts w:cs="DanaFajr"/>
          <w:b/>
          <w:bCs/>
          <w:sz w:val="28"/>
          <w:szCs w:val="28"/>
          <w:rtl/>
          <w:lang w:bidi="fa-IR"/>
        </w:rPr>
        <w:t xml:space="preserve"> </w:t>
      </w:r>
      <w:r w:rsidRPr="006571AC">
        <w:rPr>
          <w:rFonts w:cs="DanaFajr" w:hint="eastAsia"/>
          <w:b/>
          <w:bCs/>
          <w:sz w:val="28"/>
          <w:szCs w:val="28"/>
          <w:rtl/>
          <w:lang w:bidi="fa-IR"/>
        </w:rPr>
        <w:t>الَّتِي</w:t>
      </w:r>
      <w:r w:rsidRPr="006571AC">
        <w:rPr>
          <w:rFonts w:cs="DanaFajr"/>
          <w:b/>
          <w:bCs/>
          <w:sz w:val="28"/>
          <w:szCs w:val="28"/>
          <w:rtl/>
          <w:lang w:bidi="fa-IR"/>
        </w:rPr>
        <w:t xml:space="preserve"> </w:t>
      </w:r>
      <w:r w:rsidRPr="006571AC">
        <w:rPr>
          <w:rFonts w:cs="DanaFajr" w:hint="eastAsia"/>
          <w:b/>
          <w:bCs/>
          <w:sz w:val="28"/>
          <w:szCs w:val="28"/>
          <w:rtl/>
          <w:lang w:bidi="fa-IR"/>
        </w:rPr>
        <w:t>أَرَيْنَاكَ</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لِلنَّاسِ</w:t>
      </w:r>
      <w:r w:rsidRPr="006571AC">
        <w:rPr>
          <w:rFonts w:cs="DanaFajr"/>
          <w:b/>
          <w:bCs/>
          <w:sz w:val="28"/>
          <w:szCs w:val="28"/>
          <w:rtl/>
          <w:lang w:bidi="fa-IR"/>
        </w:rPr>
        <w:t xml:space="preserve"> </w:t>
      </w:r>
      <w:r w:rsidRPr="006571AC">
        <w:rPr>
          <w:rFonts w:cs="DanaFajr" w:hint="eastAsia"/>
          <w:b/>
          <w:bCs/>
          <w:sz w:val="28"/>
          <w:szCs w:val="28"/>
          <w:rtl/>
          <w:lang w:bidi="fa-IR"/>
        </w:rPr>
        <w:t>وَالشَّجَرَةَ</w:t>
      </w:r>
      <w:r w:rsidRPr="006571AC">
        <w:rPr>
          <w:rFonts w:cs="DanaFajr"/>
          <w:b/>
          <w:bCs/>
          <w:sz w:val="28"/>
          <w:szCs w:val="28"/>
          <w:rtl/>
          <w:lang w:bidi="fa-IR"/>
        </w:rPr>
        <w:t xml:space="preserve"> </w:t>
      </w:r>
      <w:r w:rsidRPr="006571AC">
        <w:rPr>
          <w:rFonts w:cs="DanaFajr" w:hint="eastAsia"/>
          <w:b/>
          <w:bCs/>
          <w:sz w:val="28"/>
          <w:szCs w:val="28"/>
          <w:rtl/>
          <w:lang w:bidi="fa-IR"/>
        </w:rPr>
        <w:t>الْمَلْعُونَةَ</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الْقُرْآنِ</w:t>
      </w:r>
      <w:r w:rsidRPr="006571AC">
        <w:rPr>
          <w:rFonts w:cs="DanaFajr"/>
          <w:b/>
          <w:bCs/>
          <w:sz w:val="28"/>
          <w:szCs w:val="28"/>
          <w:rtl/>
          <w:lang w:bidi="fa-IR"/>
        </w:rPr>
        <w:t xml:space="preserve"> </w:t>
      </w:r>
      <w:r w:rsidRPr="006571AC">
        <w:rPr>
          <w:rFonts w:cs="DanaFajr" w:hint="eastAsia"/>
          <w:b/>
          <w:bCs/>
          <w:sz w:val="28"/>
          <w:szCs w:val="28"/>
          <w:rtl/>
          <w:lang w:bidi="fa-IR"/>
        </w:rPr>
        <w:t>وَنُخَوِّفُهُمْ</w:t>
      </w:r>
      <w:r w:rsidRPr="006571AC">
        <w:rPr>
          <w:rFonts w:cs="DanaFajr"/>
          <w:b/>
          <w:bCs/>
          <w:sz w:val="28"/>
          <w:szCs w:val="28"/>
          <w:rtl/>
          <w:lang w:bidi="fa-IR"/>
        </w:rPr>
        <w:t xml:space="preserve"> </w:t>
      </w:r>
      <w:r w:rsidRPr="006571AC">
        <w:rPr>
          <w:rFonts w:cs="DanaFajr" w:hint="eastAsia"/>
          <w:b/>
          <w:bCs/>
          <w:sz w:val="28"/>
          <w:szCs w:val="28"/>
          <w:rtl/>
          <w:lang w:bidi="fa-IR"/>
        </w:rPr>
        <w:t>فَمَا</w:t>
      </w:r>
      <w:r w:rsidRPr="006571AC">
        <w:rPr>
          <w:rFonts w:cs="DanaFajr"/>
          <w:b/>
          <w:bCs/>
          <w:sz w:val="28"/>
          <w:szCs w:val="28"/>
          <w:rtl/>
          <w:lang w:bidi="fa-IR"/>
        </w:rPr>
        <w:t xml:space="preserve"> </w:t>
      </w:r>
      <w:r w:rsidRPr="006571AC">
        <w:rPr>
          <w:rFonts w:cs="DanaFajr" w:hint="eastAsia"/>
          <w:b/>
          <w:bCs/>
          <w:sz w:val="28"/>
          <w:szCs w:val="28"/>
          <w:rtl/>
          <w:lang w:bidi="fa-IR"/>
        </w:rPr>
        <w:t>يَزِيدُهُمْ</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طُغْيَاناً</w:t>
      </w:r>
      <w:r w:rsidRPr="006571AC">
        <w:rPr>
          <w:rFonts w:cs="DanaFajr"/>
          <w:b/>
          <w:bCs/>
          <w:sz w:val="28"/>
          <w:szCs w:val="28"/>
          <w:rtl/>
          <w:lang w:bidi="fa-IR"/>
        </w:rPr>
        <w:t xml:space="preserve"> </w:t>
      </w:r>
      <w:r w:rsidRPr="006571AC">
        <w:rPr>
          <w:rFonts w:cs="DanaFajr" w:hint="eastAsia"/>
          <w:b/>
          <w:bCs/>
          <w:sz w:val="28"/>
          <w:szCs w:val="28"/>
          <w:rtl/>
          <w:lang w:bidi="fa-IR"/>
        </w:rPr>
        <w:t>كَبِيراً</w:t>
      </w:r>
      <w:r w:rsidRPr="006571AC">
        <w:rPr>
          <w:rFonts w:ascii="Mosawi" w:hAnsi="Mosawi" w:cs="Mosawi"/>
          <w:sz w:val="22"/>
          <w:szCs w:val="22"/>
          <w:rtl/>
        </w:rPr>
        <w:t>﴾</w:t>
      </w:r>
      <w:r w:rsidRPr="006571AC">
        <w:rPr>
          <w:rFonts w:cs="DanaFajr" w:hint="cs"/>
          <w:sz w:val="28"/>
          <w:szCs w:val="28"/>
          <w:rtl/>
          <w:lang w:bidi="fa-IR"/>
        </w:rPr>
        <w:t xml:space="preserve"> (الإسراء: </w:t>
      </w:r>
      <w:r w:rsidRPr="006571AC">
        <w:rPr>
          <w:rFonts w:cs="DanaFajr" w:hint="cs"/>
          <w:sz w:val="28"/>
          <w:szCs w:val="28"/>
          <w:rtl/>
        </w:rPr>
        <w:t>6</w:t>
      </w:r>
      <w:r w:rsidRPr="006571AC">
        <w:rPr>
          <w:rFonts w:cs="DanaFajr" w:hint="cs"/>
          <w:sz w:val="28"/>
          <w:szCs w:val="28"/>
          <w:rtl/>
          <w:lang w:bidi="fa-IR"/>
        </w:rPr>
        <w:t>0).</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تَمُدَّنَّ</w:t>
      </w:r>
      <w:r w:rsidRPr="006571AC">
        <w:rPr>
          <w:rFonts w:cs="DanaFajr"/>
          <w:b/>
          <w:bCs/>
          <w:sz w:val="28"/>
          <w:szCs w:val="28"/>
          <w:rtl/>
          <w:lang w:bidi="fa-IR"/>
        </w:rPr>
        <w:t xml:space="preserve"> </w:t>
      </w:r>
      <w:r w:rsidRPr="006571AC">
        <w:rPr>
          <w:rFonts w:cs="DanaFajr" w:hint="eastAsia"/>
          <w:b/>
          <w:bCs/>
          <w:sz w:val="28"/>
          <w:szCs w:val="28"/>
          <w:rtl/>
          <w:lang w:bidi="fa-IR"/>
        </w:rPr>
        <w:t>عَيْنَيْكَ</w:t>
      </w:r>
      <w:r w:rsidRPr="006571AC">
        <w:rPr>
          <w:rFonts w:cs="DanaFajr"/>
          <w:b/>
          <w:bCs/>
          <w:sz w:val="28"/>
          <w:szCs w:val="28"/>
          <w:rtl/>
          <w:lang w:bidi="fa-IR"/>
        </w:rPr>
        <w:t xml:space="preserve"> </w:t>
      </w:r>
      <w:r w:rsidRPr="006571AC">
        <w:rPr>
          <w:rFonts w:cs="DanaFajr" w:hint="eastAsia"/>
          <w:b/>
          <w:bCs/>
          <w:sz w:val="28"/>
          <w:szCs w:val="28"/>
          <w:rtl/>
          <w:lang w:bidi="fa-IR"/>
        </w:rPr>
        <w:t>إِلَى</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مَتَّعْنَا</w:t>
      </w:r>
      <w:r w:rsidRPr="006571AC">
        <w:rPr>
          <w:rFonts w:cs="DanaFajr"/>
          <w:b/>
          <w:bCs/>
          <w:sz w:val="28"/>
          <w:szCs w:val="28"/>
          <w:rtl/>
          <w:lang w:bidi="fa-IR"/>
        </w:rPr>
        <w:t xml:space="preserve"> </w:t>
      </w:r>
      <w:r w:rsidRPr="006571AC">
        <w:rPr>
          <w:rFonts w:cs="DanaFajr" w:hint="eastAsia"/>
          <w:b/>
          <w:bCs/>
          <w:sz w:val="28"/>
          <w:szCs w:val="28"/>
          <w:rtl/>
          <w:lang w:bidi="fa-IR"/>
        </w:rPr>
        <w:t>بِهِ</w:t>
      </w:r>
      <w:r w:rsidRPr="006571AC">
        <w:rPr>
          <w:rFonts w:cs="DanaFajr"/>
          <w:b/>
          <w:bCs/>
          <w:sz w:val="28"/>
          <w:szCs w:val="28"/>
          <w:rtl/>
          <w:lang w:bidi="fa-IR"/>
        </w:rPr>
        <w:t xml:space="preserve"> </w:t>
      </w:r>
      <w:r w:rsidRPr="006571AC">
        <w:rPr>
          <w:rFonts w:cs="DanaFajr" w:hint="eastAsia"/>
          <w:b/>
          <w:bCs/>
          <w:sz w:val="28"/>
          <w:szCs w:val="28"/>
          <w:rtl/>
          <w:lang w:bidi="fa-IR"/>
        </w:rPr>
        <w:t>أَزْوَاجاً</w:t>
      </w:r>
      <w:r w:rsidRPr="006571AC">
        <w:rPr>
          <w:rFonts w:cs="DanaFajr"/>
          <w:b/>
          <w:bCs/>
          <w:sz w:val="28"/>
          <w:szCs w:val="28"/>
          <w:rtl/>
          <w:lang w:bidi="fa-IR"/>
        </w:rPr>
        <w:t xml:space="preserve"> </w:t>
      </w:r>
      <w:r w:rsidRPr="006571AC">
        <w:rPr>
          <w:rFonts w:cs="DanaFajr" w:hint="eastAsia"/>
          <w:b/>
          <w:bCs/>
          <w:sz w:val="28"/>
          <w:szCs w:val="28"/>
          <w:rtl/>
          <w:lang w:bidi="fa-IR"/>
        </w:rPr>
        <w:t>مِنْهُمْ</w:t>
      </w:r>
      <w:r w:rsidRPr="006571AC">
        <w:rPr>
          <w:rFonts w:cs="DanaFajr"/>
          <w:b/>
          <w:bCs/>
          <w:sz w:val="28"/>
          <w:szCs w:val="28"/>
          <w:rtl/>
          <w:lang w:bidi="fa-IR"/>
        </w:rPr>
        <w:t xml:space="preserve"> </w:t>
      </w:r>
      <w:r w:rsidRPr="006571AC">
        <w:rPr>
          <w:rFonts w:cs="DanaFajr" w:hint="eastAsia"/>
          <w:b/>
          <w:bCs/>
          <w:sz w:val="28"/>
          <w:szCs w:val="28"/>
          <w:rtl/>
          <w:lang w:bidi="fa-IR"/>
        </w:rPr>
        <w:t>زَهْرَةَ</w:t>
      </w:r>
      <w:r w:rsidRPr="006571AC">
        <w:rPr>
          <w:rFonts w:cs="DanaFajr"/>
          <w:b/>
          <w:bCs/>
          <w:sz w:val="28"/>
          <w:szCs w:val="28"/>
          <w:rtl/>
          <w:lang w:bidi="fa-IR"/>
        </w:rPr>
        <w:t xml:space="preserve"> </w:t>
      </w:r>
      <w:r w:rsidRPr="006571AC">
        <w:rPr>
          <w:rFonts w:cs="DanaFajr" w:hint="eastAsia"/>
          <w:b/>
          <w:bCs/>
          <w:sz w:val="28"/>
          <w:szCs w:val="28"/>
          <w:rtl/>
          <w:lang w:bidi="fa-IR"/>
        </w:rPr>
        <w:t>الْحَيَاةِ</w:t>
      </w:r>
      <w:r w:rsidRPr="006571AC">
        <w:rPr>
          <w:rFonts w:cs="DanaFajr"/>
          <w:b/>
          <w:bCs/>
          <w:sz w:val="28"/>
          <w:szCs w:val="28"/>
          <w:rtl/>
          <w:lang w:bidi="fa-IR"/>
        </w:rPr>
        <w:t xml:space="preserve"> </w:t>
      </w:r>
      <w:r w:rsidRPr="006571AC">
        <w:rPr>
          <w:rFonts w:cs="DanaFajr" w:hint="eastAsia"/>
          <w:b/>
          <w:bCs/>
          <w:sz w:val="28"/>
          <w:szCs w:val="28"/>
          <w:rtl/>
          <w:lang w:bidi="fa-IR"/>
        </w:rPr>
        <w:t>الدُّنْيَا</w:t>
      </w:r>
      <w:r w:rsidRPr="006571AC">
        <w:rPr>
          <w:rFonts w:cs="DanaFajr"/>
          <w:b/>
          <w:bCs/>
          <w:sz w:val="28"/>
          <w:szCs w:val="28"/>
          <w:rtl/>
          <w:lang w:bidi="fa-IR"/>
        </w:rPr>
        <w:t xml:space="preserve"> </w:t>
      </w:r>
      <w:r w:rsidRPr="006571AC">
        <w:rPr>
          <w:rFonts w:cs="DanaFajr" w:hint="eastAsia"/>
          <w:b/>
          <w:bCs/>
          <w:sz w:val="28"/>
          <w:szCs w:val="28"/>
          <w:rtl/>
          <w:lang w:bidi="fa-IR"/>
        </w:rPr>
        <w:t>لِنَفْتِنَهُمْ</w:t>
      </w:r>
      <w:r w:rsidRPr="006571AC">
        <w:rPr>
          <w:rFonts w:cs="DanaFajr"/>
          <w:b/>
          <w:bCs/>
          <w:sz w:val="28"/>
          <w:szCs w:val="28"/>
          <w:rtl/>
          <w:lang w:bidi="fa-IR"/>
        </w:rPr>
        <w:t xml:space="preserve"> </w:t>
      </w:r>
      <w:r w:rsidRPr="006571AC">
        <w:rPr>
          <w:rFonts w:cs="DanaFajr" w:hint="eastAsia"/>
          <w:b/>
          <w:bCs/>
          <w:sz w:val="28"/>
          <w:szCs w:val="28"/>
          <w:rtl/>
          <w:lang w:bidi="fa-IR"/>
        </w:rPr>
        <w:t>فِيهِ</w:t>
      </w:r>
      <w:r w:rsidRPr="006571AC">
        <w:rPr>
          <w:rFonts w:cs="DanaFajr"/>
          <w:b/>
          <w:bCs/>
          <w:sz w:val="28"/>
          <w:szCs w:val="28"/>
          <w:rtl/>
          <w:lang w:bidi="fa-IR"/>
        </w:rPr>
        <w:t xml:space="preserve"> </w:t>
      </w:r>
      <w:r w:rsidRPr="006571AC">
        <w:rPr>
          <w:rFonts w:cs="DanaFajr" w:hint="eastAsia"/>
          <w:b/>
          <w:bCs/>
          <w:sz w:val="28"/>
          <w:szCs w:val="28"/>
          <w:rtl/>
          <w:lang w:bidi="fa-IR"/>
        </w:rPr>
        <w:t>وَرِزْقُ</w:t>
      </w:r>
      <w:r w:rsidRPr="006571AC">
        <w:rPr>
          <w:rFonts w:cs="DanaFajr"/>
          <w:b/>
          <w:bCs/>
          <w:sz w:val="28"/>
          <w:szCs w:val="28"/>
          <w:rtl/>
          <w:lang w:bidi="fa-IR"/>
        </w:rPr>
        <w:t xml:space="preserve"> </w:t>
      </w:r>
      <w:r w:rsidRPr="006571AC">
        <w:rPr>
          <w:rFonts w:cs="DanaFajr" w:hint="eastAsia"/>
          <w:b/>
          <w:bCs/>
          <w:sz w:val="28"/>
          <w:szCs w:val="28"/>
          <w:rtl/>
          <w:lang w:bidi="fa-IR"/>
        </w:rPr>
        <w:t>رَبِّكَ</w:t>
      </w:r>
      <w:r w:rsidRPr="006571AC">
        <w:rPr>
          <w:rFonts w:cs="DanaFajr"/>
          <w:b/>
          <w:bCs/>
          <w:sz w:val="28"/>
          <w:szCs w:val="28"/>
          <w:rtl/>
          <w:lang w:bidi="fa-IR"/>
        </w:rPr>
        <w:t xml:space="preserve"> </w:t>
      </w:r>
      <w:r w:rsidRPr="006571AC">
        <w:rPr>
          <w:rFonts w:cs="DanaFajr" w:hint="eastAsia"/>
          <w:b/>
          <w:bCs/>
          <w:sz w:val="28"/>
          <w:szCs w:val="28"/>
          <w:rtl/>
          <w:lang w:bidi="fa-IR"/>
        </w:rPr>
        <w:t>خَيْرٌ</w:t>
      </w:r>
      <w:r w:rsidRPr="006571AC">
        <w:rPr>
          <w:rFonts w:cs="DanaFajr"/>
          <w:b/>
          <w:bCs/>
          <w:sz w:val="28"/>
          <w:szCs w:val="28"/>
          <w:rtl/>
          <w:lang w:bidi="fa-IR"/>
        </w:rPr>
        <w:t xml:space="preserve"> </w:t>
      </w:r>
      <w:r w:rsidRPr="006571AC">
        <w:rPr>
          <w:rFonts w:cs="DanaFajr" w:hint="eastAsia"/>
          <w:b/>
          <w:bCs/>
          <w:sz w:val="28"/>
          <w:szCs w:val="28"/>
          <w:rtl/>
          <w:lang w:bidi="fa-IR"/>
        </w:rPr>
        <w:t>وَأَبْقَى</w:t>
      </w:r>
      <w:r w:rsidRPr="006571AC">
        <w:rPr>
          <w:rFonts w:ascii="Mosawi" w:hAnsi="Mosawi" w:cs="Mosawi"/>
          <w:sz w:val="22"/>
          <w:szCs w:val="22"/>
          <w:rtl/>
        </w:rPr>
        <w:t>﴾</w:t>
      </w:r>
      <w:r w:rsidRPr="006571AC">
        <w:rPr>
          <w:rFonts w:cs="DanaFajr" w:hint="cs"/>
          <w:sz w:val="28"/>
          <w:szCs w:val="28"/>
          <w:rtl/>
          <w:lang w:bidi="fa-IR"/>
        </w:rPr>
        <w:t xml:space="preserve"> (طه: 131).</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لِيَجْعَلَ</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يُلْقِي</w:t>
      </w:r>
      <w:r w:rsidRPr="006571AC">
        <w:rPr>
          <w:rFonts w:cs="DanaFajr"/>
          <w:b/>
          <w:bCs/>
          <w:sz w:val="28"/>
          <w:szCs w:val="28"/>
          <w:rtl/>
          <w:lang w:bidi="fa-IR"/>
        </w:rPr>
        <w:t xml:space="preserve"> </w:t>
      </w:r>
      <w:r w:rsidRPr="006571AC">
        <w:rPr>
          <w:rFonts w:cs="DanaFajr" w:hint="eastAsia"/>
          <w:b/>
          <w:bCs/>
          <w:sz w:val="28"/>
          <w:szCs w:val="28"/>
          <w:rtl/>
          <w:lang w:bidi="fa-IR"/>
        </w:rPr>
        <w:t>الشَّيْطَانُ</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لِلَّذِينَ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قُلُوبِهِمْ</w:t>
      </w:r>
      <w:r w:rsidRPr="006571AC">
        <w:rPr>
          <w:rFonts w:cs="DanaFajr"/>
          <w:b/>
          <w:bCs/>
          <w:sz w:val="28"/>
          <w:szCs w:val="28"/>
          <w:rtl/>
          <w:lang w:bidi="fa-IR"/>
        </w:rPr>
        <w:t xml:space="preserve"> </w:t>
      </w:r>
      <w:r w:rsidRPr="006571AC">
        <w:rPr>
          <w:rFonts w:cs="DanaFajr" w:hint="eastAsia"/>
          <w:b/>
          <w:bCs/>
          <w:sz w:val="28"/>
          <w:szCs w:val="28"/>
          <w:rtl/>
          <w:lang w:bidi="fa-IR"/>
        </w:rPr>
        <w:t>مَرَضٌ</w:t>
      </w:r>
      <w:r w:rsidRPr="006571AC">
        <w:rPr>
          <w:rFonts w:cs="DanaFajr"/>
          <w:b/>
          <w:bCs/>
          <w:sz w:val="28"/>
          <w:szCs w:val="28"/>
          <w:rtl/>
          <w:lang w:bidi="fa-IR"/>
        </w:rPr>
        <w:t xml:space="preserve"> </w:t>
      </w:r>
      <w:r w:rsidRPr="006571AC">
        <w:rPr>
          <w:rFonts w:cs="DanaFajr" w:hint="eastAsia"/>
          <w:b/>
          <w:bCs/>
          <w:sz w:val="28"/>
          <w:szCs w:val="28"/>
          <w:rtl/>
          <w:lang w:bidi="fa-IR"/>
        </w:rPr>
        <w:t>وَالْقَاسِيَةِ</w:t>
      </w:r>
      <w:r w:rsidRPr="006571AC">
        <w:rPr>
          <w:rFonts w:cs="DanaFajr"/>
          <w:b/>
          <w:bCs/>
          <w:sz w:val="28"/>
          <w:szCs w:val="28"/>
          <w:rtl/>
          <w:lang w:bidi="fa-IR"/>
        </w:rPr>
        <w:t xml:space="preserve"> </w:t>
      </w:r>
      <w:r w:rsidRPr="006571AC">
        <w:rPr>
          <w:rFonts w:cs="DanaFajr" w:hint="eastAsia"/>
          <w:b/>
          <w:bCs/>
          <w:sz w:val="28"/>
          <w:szCs w:val="28"/>
          <w:rtl/>
          <w:lang w:bidi="fa-IR"/>
        </w:rPr>
        <w:t>قُلُوبُهُمْ</w:t>
      </w:r>
      <w:r w:rsidRPr="006571AC">
        <w:rPr>
          <w:rFonts w:cs="DanaFajr"/>
          <w:b/>
          <w:bCs/>
          <w:sz w:val="28"/>
          <w:szCs w:val="28"/>
          <w:rtl/>
          <w:lang w:bidi="fa-IR"/>
        </w:rPr>
        <w:t xml:space="preserve"> </w:t>
      </w:r>
      <w:r w:rsidRPr="006571AC">
        <w:rPr>
          <w:rFonts w:cs="DanaFajr" w:hint="eastAsia"/>
          <w:b/>
          <w:bCs/>
          <w:sz w:val="28"/>
          <w:szCs w:val="28"/>
          <w:rtl/>
          <w:lang w:bidi="fa-IR"/>
        </w:rPr>
        <w:t>وَإِنَّ</w:t>
      </w:r>
      <w:r w:rsidRPr="006571AC">
        <w:rPr>
          <w:rFonts w:cs="DanaFajr"/>
          <w:b/>
          <w:bCs/>
          <w:sz w:val="28"/>
          <w:szCs w:val="28"/>
          <w:rtl/>
          <w:lang w:bidi="fa-IR"/>
        </w:rPr>
        <w:t xml:space="preserve"> </w:t>
      </w:r>
      <w:r w:rsidRPr="006571AC">
        <w:rPr>
          <w:rFonts w:cs="DanaFajr" w:hint="eastAsia"/>
          <w:b/>
          <w:bCs/>
          <w:sz w:val="28"/>
          <w:szCs w:val="28"/>
          <w:rtl/>
          <w:lang w:bidi="fa-IR"/>
        </w:rPr>
        <w:t>الظَّالِمِينَ</w:t>
      </w:r>
      <w:r w:rsidRPr="006571AC">
        <w:rPr>
          <w:rFonts w:cs="DanaFajr"/>
          <w:b/>
          <w:bCs/>
          <w:sz w:val="28"/>
          <w:szCs w:val="28"/>
          <w:rtl/>
          <w:lang w:bidi="fa-IR"/>
        </w:rPr>
        <w:t xml:space="preserve"> </w:t>
      </w:r>
      <w:r w:rsidRPr="006571AC">
        <w:rPr>
          <w:rFonts w:cs="DanaFajr" w:hint="eastAsia"/>
          <w:b/>
          <w:bCs/>
          <w:sz w:val="28"/>
          <w:szCs w:val="28"/>
          <w:rtl/>
          <w:lang w:bidi="fa-IR"/>
        </w:rPr>
        <w:t>لَفِي</w:t>
      </w:r>
      <w:r w:rsidRPr="006571AC">
        <w:rPr>
          <w:rFonts w:cs="DanaFajr"/>
          <w:b/>
          <w:bCs/>
          <w:sz w:val="28"/>
          <w:szCs w:val="28"/>
          <w:rtl/>
          <w:lang w:bidi="fa-IR"/>
        </w:rPr>
        <w:t xml:space="preserve"> </w:t>
      </w:r>
      <w:r w:rsidRPr="006571AC">
        <w:rPr>
          <w:rFonts w:cs="DanaFajr" w:hint="eastAsia"/>
          <w:b/>
          <w:bCs/>
          <w:sz w:val="28"/>
          <w:szCs w:val="28"/>
          <w:rtl/>
          <w:lang w:bidi="fa-IR"/>
        </w:rPr>
        <w:t>شِقَاقٍ</w:t>
      </w:r>
      <w:r w:rsidRPr="006571AC">
        <w:rPr>
          <w:rFonts w:cs="DanaFajr"/>
          <w:b/>
          <w:bCs/>
          <w:sz w:val="28"/>
          <w:szCs w:val="28"/>
          <w:rtl/>
          <w:lang w:bidi="fa-IR"/>
        </w:rPr>
        <w:t xml:space="preserve"> </w:t>
      </w:r>
      <w:r w:rsidRPr="006571AC">
        <w:rPr>
          <w:rFonts w:cs="DanaFajr" w:hint="eastAsia"/>
          <w:b/>
          <w:bCs/>
          <w:sz w:val="28"/>
          <w:szCs w:val="28"/>
          <w:rtl/>
          <w:lang w:bidi="fa-IR"/>
        </w:rPr>
        <w:t>بَعِيدٍ</w:t>
      </w:r>
      <w:r w:rsidRPr="006571AC">
        <w:rPr>
          <w:rFonts w:ascii="Mosawi" w:hAnsi="Mosawi" w:cs="Mosawi"/>
          <w:sz w:val="22"/>
          <w:szCs w:val="22"/>
          <w:rtl/>
        </w:rPr>
        <w:t>﴾</w:t>
      </w:r>
      <w:r w:rsidRPr="006571AC">
        <w:rPr>
          <w:rFonts w:cs="DanaFajr" w:hint="cs"/>
          <w:sz w:val="28"/>
          <w:szCs w:val="28"/>
          <w:rtl/>
          <w:lang w:bidi="fa-IR"/>
        </w:rPr>
        <w:t xml:space="preserve"> (الحج: </w:t>
      </w:r>
      <w:r w:rsidRPr="006571AC">
        <w:rPr>
          <w:rFonts w:cs="DanaFajr" w:hint="cs"/>
          <w:sz w:val="28"/>
          <w:szCs w:val="28"/>
          <w:rtl/>
        </w:rPr>
        <w:t>5</w:t>
      </w:r>
      <w:r w:rsidRPr="006571AC">
        <w:rPr>
          <w:rFonts w:cs="DanaFajr" w:hint="cs"/>
          <w:sz w:val="28"/>
          <w:szCs w:val="28"/>
          <w:rtl/>
          <w:lang w:bidi="fa-IR"/>
        </w:rPr>
        <w:t>3).</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أَرْسَلْنَا</w:t>
      </w:r>
      <w:r w:rsidRPr="006571AC">
        <w:rPr>
          <w:rFonts w:cs="DanaFajr"/>
          <w:b/>
          <w:bCs/>
          <w:sz w:val="28"/>
          <w:szCs w:val="28"/>
          <w:rtl/>
          <w:lang w:bidi="fa-IR"/>
        </w:rPr>
        <w:t xml:space="preserve"> </w:t>
      </w:r>
      <w:r w:rsidRPr="006571AC">
        <w:rPr>
          <w:rFonts w:cs="DanaFajr" w:hint="eastAsia"/>
          <w:b/>
          <w:bCs/>
          <w:sz w:val="28"/>
          <w:szCs w:val="28"/>
          <w:rtl/>
          <w:lang w:bidi="fa-IR"/>
        </w:rPr>
        <w:t>قَبْلَكَ</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الْمُرْسَلِينَ</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إِنَّهُمْ</w:t>
      </w:r>
      <w:r w:rsidRPr="006571AC">
        <w:rPr>
          <w:rFonts w:cs="DanaFajr"/>
          <w:b/>
          <w:bCs/>
          <w:sz w:val="28"/>
          <w:szCs w:val="28"/>
          <w:rtl/>
          <w:lang w:bidi="fa-IR"/>
        </w:rPr>
        <w:t xml:space="preserve"> </w:t>
      </w:r>
      <w:r w:rsidRPr="006571AC">
        <w:rPr>
          <w:rFonts w:cs="DanaFajr" w:hint="eastAsia"/>
          <w:b/>
          <w:bCs/>
          <w:sz w:val="28"/>
          <w:szCs w:val="28"/>
          <w:rtl/>
          <w:lang w:bidi="fa-IR"/>
        </w:rPr>
        <w:t>لَيَأْكُلُونَ</w:t>
      </w:r>
      <w:r w:rsidRPr="006571AC">
        <w:rPr>
          <w:rFonts w:cs="DanaFajr"/>
          <w:b/>
          <w:bCs/>
          <w:sz w:val="28"/>
          <w:szCs w:val="28"/>
          <w:rtl/>
          <w:lang w:bidi="fa-IR"/>
        </w:rPr>
        <w:t xml:space="preserve"> </w:t>
      </w:r>
      <w:r w:rsidRPr="006571AC">
        <w:rPr>
          <w:rFonts w:cs="DanaFajr" w:hint="eastAsia"/>
          <w:b/>
          <w:bCs/>
          <w:sz w:val="28"/>
          <w:szCs w:val="28"/>
          <w:rtl/>
          <w:lang w:bidi="fa-IR"/>
        </w:rPr>
        <w:t>الطَّعَامَ</w:t>
      </w:r>
      <w:r w:rsidRPr="006571AC">
        <w:rPr>
          <w:rFonts w:cs="DanaFajr"/>
          <w:b/>
          <w:bCs/>
          <w:sz w:val="28"/>
          <w:szCs w:val="28"/>
          <w:rtl/>
          <w:lang w:bidi="fa-IR"/>
        </w:rPr>
        <w:t xml:space="preserve"> </w:t>
      </w:r>
      <w:r w:rsidRPr="006571AC">
        <w:rPr>
          <w:rFonts w:cs="DanaFajr" w:hint="eastAsia"/>
          <w:b/>
          <w:bCs/>
          <w:sz w:val="28"/>
          <w:szCs w:val="28"/>
          <w:rtl/>
          <w:lang w:bidi="fa-IR"/>
        </w:rPr>
        <w:t>وَيَمْشُونَ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الأَسْوَاقِ</w:t>
      </w:r>
      <w:r w:rsidRPr="006571AC">
        <w:rPr>
          <w:rFonts w:cs="DanaFajr"/>
          <w:b/>
          <w:bCs/>
          <w:sz w:val="28"/>
          <w:szCs w:val="28"/>
          <w:rtl/>
          <w:lang w:bidi="fa-IR"/>
        </w:rPr>
        <w:t xml:space="preserve"> </w:t>
      </w:r>
      <w:r w:rsidRPr="006571AC">
        <w:rPr>
          <w:rFonts w:cs="DanaFajr" w:hint="eastAsia"/>
          <w:b/>
          <w:bCs/>
          <w:sz w:val="28"/>
          <w:szCs w:val="28"/>
          <w:rtl/>
          <w:lang w:bidi="fa-IR"/>
        </w:rPr>
        <w:t>وَجَعَلْنَا</w:t>
      </w:r>
      <w:r w:rsidRPr="006571AC">
        <w:rPr>
          <w:rFonts w:cs="DanaFajr"/>
          <w:b/>
          <w:bCs/>
          <w:sz w:val="28"/>
          <w:szCs w:val="28"/>
          <w:rtl/>
          <w:lang w:bidi="fa-IR"/>
        </w:rPr>
        <w:t xml:space="preserve"> </w:t>
      </w:r>
      <w:r w:rsidRPr="006571AC">
        <w:rPr>
          <w:rFonts w:cs="DanaFajr" w:hint="eastAsia"/>
          <w:b/>
          <w:bCs/>
          <w:sz w:val="28"/>
          <w:szCs w:val="28"/>
          <w:rtl/>
          <w:lang w:bidi="fa-IR"/>
        </w:rPr>
        <w:t>بَعْضَكُمْ</w:t>
      </w:r>
      <w:r w:rsidRPr="006571AC">
        <w:rPr>
          <w:rFonts w:cs="DanaFajr"/>
          <w:b/>
          <w:bCs/>
          <w:sz w:val="28"/>
          <w:szCs w:val="28"/>
          <w:rtl/>
          <w:lang w:bidi="fa-IR"/>
        </w:rPr>
        <w:t xml:space="preserve"> </w:t>
      </w:r>
      <w:r w:rsidRPr="006571AC">
        <w:rPr>
          <w:rFonts w:cs="DanaFajr" w:hint="eastAsia"/>
          <w:b/>
          <w:bCs/>
          <w:sz w:val="28"/>
          <w:szCs w:val="28"/>
          <w:rtl/>
          <w:lang w:bidi="fa-IR"/>
        </w:rPr>
        <w:t>لِبَعْضٍ</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أَتَصْبِرُونَ</w:t>
      </w:r>
      <w:r w:rsidRPr="006571AC">
        <w:rPr>
          <w:rFonts w:cs="DanaFajr"/>
          <w:b/>
          <w:bCs/>
          <w:sz w:val="28"/>
          <w:szCs w:val="28"/>
          <w:rtl/>
          <w:lang w:bidi="fa-IR"/>
        </w:rPr>
        <w:t xml:space="preserve"> </w:t>
      </w:r>
      <w:r w:rsidRPr="006571AC">
        <w:rPr>
          <w:rFonts w:cs="DanaFajr" w:hint="eastAsia"/>
          <w:b/>
          <w:bCs/>
          <w:sz w:val="28"/>
          <w:szCs w:val="28"/>
          <w:rtl/>
          <w:lang w:bidi="fa-IR"/>
        </w:rPr>
        <w:t>وَكَانَ</w:t>
      </w:r>
      <w:r w:rsidRPr="006571AC">
        <w:rPr>
          <w:rFonts w:cs="DanaFajr"/>
          <w:b/>
          <w:bCs/>
          <w:sz w:val="28"/>
          <w:szCs w:val="28"/>
          <w:rtl/>
          <w:lang w:bidi="fa-IR"/>
        </w:rPr>
        <w:t xml:space="preserve"> </w:t>
      </w:r>
      <w:r w:rsidRPr="006571AC">
        <w:rPr>
          <w:rFonts w:cs="DanaFajr" w:hint="eastAsia"/>
          <w:b/>
          <w:bCs/>
          <w:sz w:val="28"/>
          <w:szCs w:val="28"/>
          <w:rtl/>
          <w:lang w:bidi="fa-IR"/>
        </w:rPr>
        <w:t>رَبُّكَ</w:t>
      </w:r>
      <w:r w:rsidRPr="006571AC">
        <w:rPr>
          <w:rFonts w:cs="DanaFajr"/>
          <w:b/>
          <w:bCs/>
          <w:sz w:val="28"/>
          <w:szCs w:val="28"/>
          <w:rtl/>
          <w:lang w:bidi="fa-IR"/>
        </w:rPr>
        <w:t xml:space="preserve"> </w:t>
      </w:r>
      <w:r w:rsidRPr="006571AC">
        <w:rPr>
          <w:rFonts w:cs="DanaFajr" w:hint="eastAsia"/>
          <w:b/>
          <w:bCs/>
          <w:sz w:val="28"/>
          <w:szCs w:val="28"/>
          <w:rtl/>
          <w:lang w:bidi="fa-IR"/>
        </w:rPr>
        <w:t>بَصِيراً</w:t>
      </w:r>
      <w:r w:rsidRPr="006571AC">
        <w:rPr>
          <w:rFonts w:ascii="Mosawi" w:hAnsi="Mosawi" w:cs="Mosawi"/>
          <w:sz w:val="22"/>
          <w:szCs w:val="22"/>
          <w:rtl/>
        </w:rPr>
        <w:t>﴾</w:t>
      </w:r>
      <w:r w:rsidRPr="006571AC">
        <w:rPr>
          <w:rFonts w:cs="DanaFajr" w:hint="cs"/>
          <w:sz w:val="28"/>
          <w:szCs w:val="28"/>
          <w:rtl/>
          <w:lang w:bidi="fa-IR"/>
        </w:rPr>
        <w:t xml:space="preserve"> (الفرقان: 20).</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أَحَسِبَ</w:t>
      </w:r>
      <w:r w:rsidRPr="006571AC">
        <w:rPr>
          <w:rFonts w:cs="DanaFajr"/>
          <w:b/>
          <w:bCs/>
          <w:sz w:val="28"/>
          <w:szCs w:val="28"/>
          <w:rtl/>
          <w:lang w:bidi="fa-IR"/>
        </w:rPr>
        <w:t xml:space="preserve"> </w:t>
      </w:r>
      <w:r w:rsidRPr="006571AC">
        <w:rPr>
          <w:rFonts w:cs="DanaFajr" w:hint="eastAsia"/>
          <w:b/>
          <w:bCs/>
          <w:sz w:val="28"/>
          <w:szCs w:val="28"/>
          <w:rtl/>
          <w:lang w:bidi="fa-IR"/>
        </w:rPr>
        <w:t>النَّاسُ</w:t>
      </w:r>
      <w:r w:rsidRPr="006571AC">
        <w:rPr>
          <w:rFonts w:cs="DanaFajr"/>
          <w:b/>
          <w:bCs/>
          <w:sz w:val="28"/>
          <w:szCs w:val="28"/>
          <w:rtl/>
          <w:lang w:bidi="fa-IR"/>
        </w:rPr>
        <w:t xml:space="preserve"> </w:t>
      </w:r>
      <w:r w:rsidRPr="006571AC">
        <w:rPr>
          <w:rFonts w:cs="DanaFajr" w:hint="eastAsia"/>
          <w:b/>
          <w:bCs/>
          <w:sz w:val="28"/>
          <w:szCs w:val="28"/>
          <w:rtl/>
          <w:lang w:bidi="fa-IR"/>
        </w:rPr>
        <w:t>أَنْ</w:t>
      </w:r>
      <w:r w:rsidRPr="006571AC">
        <w:rPr>
          <w:rFonts w:cs="DanaFajr"/>
          <w:b/>
          <w:bCs/>
          <w:sz w:val="28"/>
          <w:szCs w:val="28"/>
          <w:rtl/>
          <w:lang w:bidi="fa-IR"/>
        </w:rPr>
        <w:t xml:space="preserve"> </w:t>
      </w:r>
      <w:r w:rsidRPr="006571AC">
        <w:rPr>
          <w:rFonts w:cs="DanaFajr" w:hint="eastAsia"/>
          <w:b/>
          <w:bCs/>
          <w:sz w:val="28"/>
          <w:szCs w:val="28"/>
          <w:rtl/>
          <w:lang w:bidi="fa-IR"/>
        </w:rPr>
        <w:t>يُتْرَكُوا</w:t>
      </w:r>
      <w:r w:rsidRPr="006571AC">
        <w:rPr>
          <w:rFonts w:cs="DanaFajr"/>
          <w:b/>
          <w:bCs/>
          <w:sz w:val="28"/>
          <w:szCs w:val="28"/>
          <w:rtl/>
          <w:lang w:bidi="fa-IR"/>
        </w:rPr>
        <w:t xml:space="preserve"> </w:t>
      </w:r>
      <w:r w:rsidRPr="006571AC">
        <w:rPr>
          <w:rFonts w:cs="DanaFajr" w:hint="eastAsia"/>
          <w:b/>
          <w:bCs/>
          <w:sz w:val="28"/>
          <w:szCs w:val="28"/>
          <w:rtl/>
          <w:lang w:bidi="fa-IR"/>
        </w:rPr>
        <w:t>أَنْ</w:t>
      </w:r>
      <w:r w:rsidRPr="006571AC">
        <w:rPr>
          <w:rFonts w:cs="DanaFajr"/>
          <w:b/>
          <w:bCs/>
          <w:sz w:val="28"/>
          <w:szCs w:val="28"/>
          <w:rtl/>
          <w:lang w:bidi="fa-IR"/>
        </w:rPr>
        <w:t xml:space="preserve"> </w:t>
      </w:r>
      <w:r w:rsidRPr="006571AC">
        <w:rPr>
          <w:rFonts w:cs="DanaFajr" w:hint="eastAsia"/>
          <w:b/>
          <w:bCs/>
          <w:sz w:val="28"/>
          <w:szCs w:val="28"/>
          <w:rtl/>
          <w:lang w:bidi="fa-IR"/>
        </w:rPr>
        <w:t>يَقُولُوا</w:t>
      </w:r>
      <w:r w:rsidRPr="006571AC">
        <w:rPr>
          <w:rFonts w:cs="DanaFajr"/>
          <w:b/>
          <w:bCs/>
          <w:sz w:val="28"/>
          <w:szCs w:val="28"/>
          <w:rtl/>
          <w:lang w:bidi="fa-IR"/>
        </w:rPr>
        <w:t xml:space="preserve"> </w:t>
      </w:r>
      <w:r w:rsidRPr="006571AC">
        <w:rPr>
          <w:rFonts w:cs="DanaFajr" w:hint="eastAsia"/>
          <w:b/>
          <w:bCs/>
          <w:sz w:val="28"/>
          <w:szCs w:val="28"/>
          <w:rtl/>
          <w:lang w:bidi="fa-IR"/>
        </w:rPr>
        <w:t>آمَنَّا</w:t>
      </w:r>
      <w:r w:rsidRPr="006571AC">
        <w:rPr>
          <w:rFonts w:cs="DanaFajr"/>
          <w:b/>
          <w:bCs/>
          <w:sz w:val="28"/>
          <w:szCs w:val="28"/>
          <w:rtl/>
          <w:lang w:bidi="fa-IR"/>
        </w:rPr>
        <w:t xml:space="preserve"> </w:t>
      </w:r>
      <w:r w:rsidRPr="006571AC">
        <w:rPr>
          <w:rFonts w:cs="DanaFajr" w:hint="eastAsia"/>
          <w:b/>
          <w:bCs/>
          <w:sz w:val="28"/>
          <w:szCs w:val="28"/>
          <w:rtl/>
          <w:lang w:bidi="fa-IR"/>
        </w:rPr>
        <w:t>وَهُمْ</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يُفْتَنُونَ</w:t>
      </w:r>
      <w:r w:rsidRPr="006571AC">
        <w:rPr>
          <w:rFonts w:cs="DanaFajr" w:hint="cs"/>
          <w:b/>
          <w:bCs/>
          <w:sz w:val="28"/>
          <w:szCs w:val="28"/>
          <w:rtl/>
          <w:lang w:bidi="fa-IR"/>
        </w:rPr>
        <w:t xml:space="preserve"> * </w:t>
      </w:r>
      <w:r w:rsidRPr="006571AC">
        <w:rPr>
          <w:rFonts w:cs="DanaFajr" w:hint="eastAsia"/>
          <w:b/>
          <w:bCs/>
          <w:sz w:val="28"/>
          <w:szCs w:val="28"/>
          <w:rtl/>
          <w:lang w:bidi="fa-IR"/>
        </w:rPr>
        <w:t>وَلَقَدْ</w:t>
      </w:r>
      <w:r w:rsidRPr="006571AC">
        <w:rPr>
          <w:rFonts w:cs="DanaFajr"/>
          <w:b/>
          <w:bCs/>
          <w:sz w:val="28"/>
          <w:szCs w:val="28"/>
          <w:rtl/>
          <w:lang w:bidi="fa-IR"/>
        </w:rPr>
        <w:t xml:space="preserve"> </w:t>
      </w:r>
      <w:r w:rsidRPr="006571AC">
        <w:rPr>
          <w:rFonts w:cs="DanaFajr" w:hint="eastAsia"/>
          <w:b/>
          <w:bCs/>
          <w:sz w:val="28"/>
          <w:szCs w:val="28"/>
          <w:rtl/>
          <w:lang w:bidi="fa-IR"/>
        </w:rPr>
        <w:t>فَتَنَّا</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قَبْلِهِمْ</w:t>
      </w:r>
      <w:r w:rsidRPr="006571AC">
        <w:rPr>
          <w:rFonts w:cs="DanaFajr"/>
          <w:b/>
          <w:bCs/>
          <w:sz w:val="28"/>
          <w:szCs w:val="28"/>
          <w:rtl/>
          <w:lang w:bidi="fa-IR"/>
        </w:rPr>
        <w:t xml:space="preserve"> </w:t>
      </w:r>
      <w:r w:rsidRPr="006571AC">
        <w:rPr>
          <w:rFonts w:cs="DanaFajr" w:hint="eastAsia"/>
          <w:b/>
          <w:bCs/>
          <w:sz w:val="28"/>
          <w:szCs w:val="28"/>
          <w:rtl/>
          <w:lang w:bidi="fa-IR"/>
        </w:rPr>
        <w:t>فَلَيَعْلَمَنَّ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صَدَقُوا</w:t>
      </w:r>
      <w:r w:rsidRPr="006571AC">
        <w:rPr>
          <w:rFonts w:cs="DanaFajr"/>
          <w:b/>
          <w:bCs/>
          <w:sz w:val="28"/>
          <w:szCs w:val="28"/>
          <w:rtl/>
          <w:lang w:bidi="fa-IR"/>
        </w:rPr>
        <w:t xml:space="preserve"> </w:t>
      </w:r>
      <w:r w:rsidRPr="006571AC">
        <w:rPr>
          <w:rFonts w:cs="DanaFajr" w:hint="eastAsia"/>
          <w:b/>
          <w:bCs/>
          <w:sz w:val="28"/>
          <w:szCs w:val="28"/>
          <w:rtl/>
          <w:lang w:bidi="fa-IR"/>
        </w:rPr>
        <w:t>وَلَيَعْلَمَنَّ</w:t>
      </w:r>
      <w:r w:rsidRPr="006571AC">
        <w:rPr>
          <w:rFonts w:cs="DanaFajr"/>
          <w:b/>
          <w:bCs/>
          <w:sz w:val="28"/>
          <w:szCs w:val="28"/>
          <w:rtl/>
          <w:lang w:bidi="fa-IR"/>
        </w:rPr>
        <w:t xml:space="preserve"> </w:t>
      </w:r>
      <w:r w:rsidRPr="006571AC">
        <w:rPr>
          <w:rFonts w:cs="DanaFajr" w:hint="eastAsia"/>
          <w:b/>
          <w:bCs/>
          <w:sz w:val="28"/>
          <w:szCs w:val="28"/>
          <w:rtl/>
          <w:lang w:bidi="fa-IR"/>
        </w:rPr>
        <w:t>الْكَاذِبِينَ</w:t>
      </w:r>
      <w:r w:rsidRPr="006571AC">
        <w:rPr>
          <w:rFonts w:ascii="Mosawi" w:hAnsi="Mosawi" w:cs="Mosawi"/>
          <w:sz w:val="22"/>
          <w:szCs w:val="22"/>
          <w:rtl/>
        </w:rPr>
        <w:t>﴾</w:t>
      </w:r>
      <w:r w:rsidRPr="006571AC">
        <w:rPr>
          <w:rFonts w:cs="DanaFajr" w:hint="cs"/>
          <w:sz w:val="28"/>
          <w:szCs w:val="28"/>
          <w:rtl/>
          <w:lang w:bidi="fa-IR"/>
        </w:rPr>
        <w:t xml:space="preserve"> (العنكبوت: 2 ـ 3).</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لَقَدْ</w:t>
      </w:r>
      <w:r w:rsidRPr="006571AC">
        <w:rPr>
          <w:rFonts w:cs="DanaFajr"/>
          <w:b/>
          <w:bCs/>
          <w:sz w:val="28"/>
          <w:szCs w:val="28"/>
          <w:rtl/>
          <w:lang w:bidi="fa-IR"/>
        </w:rPr>
        <w:t xml:space="preserve"> </w:t>
      </w:r>
      <w:r w:rsidRPr="006571AC">
        <w:rPr>
          <w:rFonts w:cs="DanaFajr" w:hint="eastAsia"/>
          <w:b/>
          <w:bCs/>
          <w:sz w:val="28"/>
          <w:szCs w:val="28"/>
          <w:rtl/>
          <w:lang w:bidi="fa-IR"/>
        </w:rPr>
        <w:t>ظَلَمَكَ</w:t>
      </w:r>
      <w:r w:rsidRPr="006571AC">
        <w:rPr>
          <w:rFonts w:cs="DanaFajr"/>
          <w:b/>
          <w:bCs/>
          <w:sz w:val="28"/>
          <w:szCs w:val="28"/>
          <w:rtl/>
          <w:lang w:bidi="fa-IR"/>
        </w:rPr>
        <w:t xml:space="preserve"> </w:t>
      </w:r>
      <w:r w:rsidRPr="006571AC">
        <w:rPr>
          <w:rFonts w:cs="DanaFajr" w:hint="eastAsia"/>
          <w:b/>
          <w:bCs/>
          <w:sz w:val="28"/>
          <w:szCs w:val="28"/>
          <w:rtl/>
          <w:lang w:bidi="fa-IR"/>
        </w:rPr>
        <w:t>بِسُؤَالِ</w:t>
      </w:r>
      <w:r w:rsidRPr="006571AC">
        <w:rPr>
          <w:rFonts w:cs="DanaFajr"/>
          <w:b/>
          <w:bCs/>
          <w:sz w:val="28"/>
          <w:szCs w:val="28"/>
          <w:rtl/>
          <w:lang w:bidi="fa-IR"/>
        </w:rPr>
        <w:t xml:space="preserve"> </w:t>
      </w:r>
      <w:r w:rsidRPr="006571AC">
        <w:rPr>
          <w:rFonts w:cs="DanaFajr" w:hint="eastAsia"/>
          <w:b/>
          <w:bCs/>
          <w:sz w:val="28"/>
          <w:szCs w:val="28"/>
          <w:rtl/>
          <w:lang w:bidi="fa-IR"/>
        </w:rPr>
        <w:t>نَعْجَتِكَ</w:t>
      </w:r>
      <w:r w:rsidRPr="006571AC">
        <w:rPr>
          <w:rFonts w:cs="DanaFajr"/>
          <w:b/>
          <w:bCs/>
          <w:sz w:val="28"/>
          <w:szCs w:val="28"/>
          <w:rtl/>
          <w:lang w:bidi="fa-IR"/>
        </w:rPr>
        <w:t xml:space="preserve"> </w:t>
      </w:r>
      <w:r w:rsidRPr="006571AC">
        <w:rPr>
          <w:rFonts w:cs="DanaFajr" w:hint="eastAsia"/>
          <w:b/>
          <w:bCs/>
          <w:sz w:val="28"/>
          <w:szCs w:val="28"/>
          <w:rtl/>
          <w:lang w:bidi="fa-IR"/>
        </w:rPr>
        <w:t>إِلَى</w:t>
      </w:r>
      <w:r w:rsidRPr="006571AC">
        <w:rPr>
          <w:rFonts w:cs="DanaFajr"/>
          <w:b/>
          <w:bCs/>
          <w:sz w:val="28"/>
          <w:szCs w:val="28"/>
          <w:rtl/>
          <w:lang w:bidi="fa-IR"/>
        </w:rPr>
        <w:t xml:space="preserve"> </w:t>
      </w:r>
      <w:r w:rsidRPr="006571AC">
        <w:rPr>
          <w:rFonts w:cs="DanaFajr" w:hint="eastAsia"/>
          <w:b/>
          <w:bCs/>
          <w:sz w:val="28"/>
          <w:szCs w:val="28"/>
          <w:rtl/>
          <w:lang w:bidi="fa-IR"/>
        </w:rPr>
        <w:t>نِعَاجِهِ</w:t>
      </w:r>
      <w:r w:rsidRPr="006571AC">
        <w:rPr>
          <w:rFonts w:cs="DanaFajr"/>
          <w:b/>
          <w:bCs/>
          <w:sz w:val="28"/>
          <w:szCs w:val="28"/>
          <w:rtl/>
          <w:lang w:bidi="fa-IR"/>
        </w:rPr>
        <w:t xml:space="preserve"> </w:t>
      </w:r>
      <w:r w:rsidRPr="006571AC">
        <w:rPr>
          <w:rFonts w:cs="DanaFajr" w:hint="eastAsia"/>
          <w:b/>
          <w:bCs/>
          <w:sz w:val="28"/>
          <w:szCs w:val="28"/>
          <w:rtl/>
          <w:lang w:bidi="fa-IR"/>
        </w:rPr>
        <w:t>وَإِنَّ</w:t>
      </w:r>
      <w:r w:rsidRPr="006571AC">
        <w:rPr>
          <w:rFonts w:cs="DanaFajr"/>
          <w:b/>
          <w:bCs/>
          <w:sz w:val="28"/>
          <w:szCs w:val="28"/>
          <w:rtl/>
          <w:lang w:bidi="fa-IR"/>
        </w:rPr>
        <w:t xml:space="preserve"> </w:t>
      </w:r>
      <w:r w:rsidRPr="006571AC">
        <w:rPr>
          <w:rFonts w:cs="DanaFajr" w:hint="eastAsia"/>
          <w:b/>
          <w:bCs/>
          <w:sz w:val="28"/>
          <w:szCs w:val="28"/>
          <w:rtl/>
          <w:lang w:bidi="fa-IR"/>
        </w:rPr>
        <w:t>كَثِيراً</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الْخُلَطَاءِ</w:t>
      </w:r>
      <w:r w:rsidRPr="006571AC">
        <w:rPr>
          <w:rFonts w:cs="DanaFajr"/>
          <w:b/>
          <w:bCs/>
          <w:sz w:val="28"/>
          <w:szCs w:val="28"/>
          <w:rtl/>
          <w:lang w:bidi="fa-IR"/>
        </w:rPr>
        <w:t xml:space="preserve"> </w:t>
      </w:r>
      <w:r w:rsidRPr="006571AC">
        <w:rPr>
          <w:rFonts w:cs="DanaFajr" w:hint="eastAsia"/>
          <w:b/>
          <w:bCs/>
          <w:sz w:val="28"/>
          <w:szCs w:val="28"/>
          <w:rtl/>
          <w:lang w:bidi="fa-IR"/>
        </w:rPr>
        <w:t>لَيَبْغِي</w:t>
      </w:r>
      <w:r w:rsidRPr="006571AC">
        <w:rPr>
          <w:rFonts w:cs="DanaFajr"/>
          <w:b/>
          <w:bCs/>
          <w:sz w:val="28"/>
          <w:szCs w:val="28"/>
          <w:rtl/>
          <w:lang w:bidi="fa-IR"/>
        </w:rPr>
        <w:t xml:space="preserve"> </w:t>
      </w:r>
      <w:r w:rsidRPr="006571AC">
        <w:rPr>
          <w:rFonts w:cs="DanaFajr" w:hint="eastAsia"/>
          <w:b/>
          <w:bCs/>
          <w:sz w:val="28"/>
          <w:szCs w:val="28"/>
          <w:rtl/>
          <w:lang w:bidi="fa-IR"/>
        </w:rPr>
        <w:t>بَعْضُهُمْ</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بَعْضٍ</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آمَنُوا</w:t>
      </w:r>
      <w:r w:rsidRPr="006571AC">
        <w:rPr>
          <w:rFonts w:cs="DanaFajr"/>
          <w:b/>
          <w:bCs/>
          <w:sz w:val="28"/>
          <w:szCs w:val="28"/>
          <w:rtl/>
          <w:lang w:bidi="fa-IR"/>
        </w:rPr>
        <w:t xml:space="preserve"> </w:t>
      </w:r>
      <w:r w:rsidRPr="006571AC">
        <w:rPr>
          <w:rFonts w:cs="DanaFajr" w:hint="eastAsia"/>
          <w:b/>
          <w:bCs/>
          <w:sz w:val="28"/>
          <w:szCs w:val="28"/>
          <w:rtl/>
          <w:lang w:bidi="fa-IR"/>
        </w:rPr>
        <w:t>وَعَمِلُوا</w:t>
      </w:r>
      <w:r w:rsidRPr="006571AC">
        <w:rPr>
          <w:rFonts w:cs="DanaFajr"/>
          <w:b/>
          <w:bCs/>
          <w:sz w:val="28"/>
          <w:szCs w:val="28"/>
          <w:rtl/>
          <w:lang w:bidi="fa-IR"/>
        </w:rPr>
        <w:t xml:space="preserve"> </w:t>
      </w:r>
      <w:r w:rsidRPr="006571AC">
        <w:rPr>
          <w:rFonts w:cs="DanaFajr" w:hint="eastAsia"/>
          <w:b/>
          <w:bCs/>
          <w:sz w:val="28"/>
          <w:szCs w:val="28"/>
          <w:rtl/>
          <w:lang w:bidi="fa-IR"/>
        </w:rPr>
        <w:t>الصَّالِحَاتِ</w:t>
      </w:r>
      <w:r w:rsidRPr="006571AC">
        <w:rPr>
          <w:rFonts w:cs="DanaFajr"/>
          <w:b/>
          <w:bCs/>
          <w:sz w:val="28"/>
          <w:szCs w:val="28"/>
          <w:rtl/>
          <w:lang w:bidi="fa-IR"/>
        </w:rPr>
        <w:t xml:space="preserve"> </w:t>
      </w:r>
      <w:r w:rsidRPr="006571AC">
        <w:rPr>
          <w:rFonts w:cs="DanaFajr" w:hint="eastAsia"/>
          <w:b/>
          <w:bCs/>
          <w:sz w:val="28"/>
          <w:szCs w:val="28"/>
          <w:rtl/>
          <w:lang w:bidi="fa-IR"/>
        </w:rPr>
        <w:t>وَقَلِيلٌ</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هُمْ</w:t>
      </w:r>
      <w:r w:rsidRPr="006571AC">
        <w:rPr>
          <w:rFonts w:cs="DanaFajr"/>
          <w:b/>
          <w:bCs/>
          <w:sz w:val="28"/>
          <w:szCs w:val="28"/>
          <w:rtl/>
          <w:lang w:bidi="fa-IR"/>
        </w:rPr>
        <w:t xml:space="preserve"> </w:t>
      </w:r>
      <w:r w:rsidRPr="006571AC">
        <w:rPr>
          <w:rFonts w:cs="DanaFajr" w:hint="eastAsia"/>
          <w:b/>
          <w:bCs/>
          <w:sz w:val="28"/>
          <w:szCs w:val="28"/>
          <w:rtl/>
          <w:lang w:bidi="fa-IR"/>
        </w:rPr>
        <w:t>وَظَنَّ</w:t>
      </w:r>
      <w:r w:rsidRPr="006571AC">
        <w:rPr>
          <w:rFonts w:cs="DanaFajr"/>
          <w:b/>
          <w:bCs/>
          <w:sz w:val="28"/>
          <w:szCs w:val="28"/>
          <w:rtl/>
          <w:lang w:bidi="fa-IR"/>
        </w:rPr>
        <w:t xml:space="preserve"> </w:t>
      </w:r>
      <w:r w:rsidRPr="006571AC">
        <w:rPr>
          <w:rFonts w:cs="DanaFajr" w:hint="eastAsia"/>
          <w:b/>
          <w:bCs/>
          <w:sz w:val="28"/>
          <w:szCs w:val="28"/>
          <w:rtl/>
          <w:lang w:bidi="fa-IR"/>
        </w:rPr>
        <w:t>دَاوُودُ</w:t>
      </w:r>
      <w:r w:rsidRPr="006571AC">
        <w:rPr>
          <w:rFonts w:cs="DanaFajr"/>
          <w:b/>
          <w:bCs/>
          <w:sz w:val="28"/>
          <w:szCs w:val="28"/>
          <w:rtl/>
          <w:lang w:bidi="fa-IR"/>
        </w:rPr>
        <w:t xml:space="preserve"> </w:t>
      </w:r>
      <w:r w:rsidRPr="006571AC">
        <w:rPr>
          <w:rFonts w:cs="DanaFajr" w:hint="eastAsia"/>
          <w:b/>
          <w:bCs/>
          <w:sz w:val="28"/>
          <w:szCs w:val="28"/>
          <w:rtl/>
          <w:lang w:bidi="fa-IR"/>
        </w:rPr>
        <w:t>أَنَّمَا</w:t>
      </w:r>
      <w:r w:rsidRPr="006571AC">
        <w:rPr>
          <w:rFonts w:cs="DanaFajr"/>
          <w:b/>
          <w:bCs/>
          <w:sz w:val="28"/>
          <w:szCs w:val="28"/>
          <w:rtl/>
          <w:lang w:bidi="fa-IR"/>
        </w:rPr>
        <w:t xml:space="preserve"> </w:t>
      </w:r>
      <w:r w:rsidRPr="006571AC">
        <w:rPr>
          <w:rFonts w:cs="DanaFajr" w:hint="eastAsia"/>
          <w:b/>
          <w:bCs/>
          <w:sz w:val="28"/>
          <w:szCs w:val="28"/>
          <w:rtl/>
          <w:lang w:bidi="fa-IR"/>
        </w:rPr>
        <w:t>فَتَنَّاهُ</w:t>
      </w:r>
      <w:r w:rsidRPr="006571AC">
        <w:rPr>
          <w:rFonts w:cs="DanaFajr"/>
          <w:b/>
          <w:bCs/>
          <w:sz w:val="28"/>
          <w:szCs w:val="28"/>
          <w:rtl/>
          <w:lang w:bidi="fa-IR"/>
        </w:rPr>
        <w:t xml:space="preserve"> </w:t>
      </w:r>
      <w:r w:rsidRPr="006571AC">
        <w:rPr>
          <w:rFonts w:cs="DanaFajr" w:hint="eastAsia"/>
          <w:b/>
          <w:bCs/>
          <w:sz w:val="28"/>
          <w:szCs w:val="28"/>
          <w:rtl/>
          <w:lang w:bidi="fa-IR"/>
        </w:rPr>
        <w:t>فَاسْتَغْفَرَ</w:t>
      </w:r>
      <w:r w:rsidRPr="006571AC">
        <w:rPr>
          <w:rFonts w:cs="DanaFajr"/>
          <w:b/>
          <w:bCs/>
          <w:sz w:val="28"/>
          <w:szCs w:val="28"/>
          <w:rtl/>
          <w:lang w:bidi="fa-IR"/>
        </w:rPr>
        <w:t xml:space="preserve"> </w:t>
      </w:r>
      <w:r w:rsidRPr="006571AC">
        <w:rPr>
          <w:rFonts w:cs="DanaFajr" w:hint="eastAsia"/>
          <w:b/>
          <w:bCs/>
          <w:sz w:val="28"/>
          <w:szCs w:val="28"/>
          <w:rtl/>
          <w:lang w:bidi="fa-IR"/>
        </w:rPr>
        <w:t>رَبَّهُ</w:t>
      </w:r>
      <w:r w:rsidRPr="006571AC">
        <w:rPr>
          <w:rFonts w:cs="DanaFajr"/>
          <w:b/>
          <w:bCs/>
          <w:sz w:val="28"/>
          <w:szCs w:val="28"/>
          <w:rtl/>
          <w:lang w:bidi="fa-IR"/>
        </w:rPr>
        <w:t xml:space="preserve"> </w:t>
      </w:r>
      <w:r w:rsidRPr="006571AC">
        <w:rPr>
          <w:rFonts w:cs="DanaFajr" w:hint="eastAsia"/>
          <w:b/>
          <w:bCs/>
          <w:sz w:val="28"/>
          <w:szCs w:val="28"/>
          <w:rtl/>
          <w:lang w:bidi="fa-IR"/>
        </w:rPr>
        <w:t>وَخَرَّ</w:t>
      </w:r>
      <w:r w:rsidRPr="006571AC">
        <w:rPr>
          <w:rFonts w:cs="DanaFajr"/>
          <w:b/>
          <w:bCs/>
          <w:sz w:val="28"/>
          <w:szCs w:val="28"/>
          <w:rtl/>
          <w:lang w:bidi="fa-IR"/>
        </w:rPr>
        <w:t xml:space="preserve"> </w:t>
      </w:r>
      <w:r w:rsidRPr="006571AC">
        <w:rPr>
          <w:rFonts w:cs="DanaFajr" w:hint="eastAsia"/>
          <w:b/>
          <w:bCs/>
          <w:sz w:val="28"/>
          <w:szCs w:val="28"/>
          <w:rtl/>
          <w:lang w:bidi="fa-IR"/>
        </w:rPr>
        <w:t>رَاكِعاً</w:t>
      </w:r>
      <w:r w:rsidRPr="006571AC">
        <w:rPr>
          <w:rFonts w:cs="DanaFajr"/>
          <w:b/>
          <w:bCs/>
          <w:sz w:val="28"/>
          <w:szCs w:val="28"/>
          <w:rtl/>
          <w:lang w:bidi="fa-IR"/>
        </w:rPr>
        <w:t xml:space="preserve"> </w:t>
      </w:r>
      <w:r w:rsidRPr="006571AC">
        <w:rPr>
          <w:rFonts w:cs="DanaFajr" w:hint="eastAsia"/>
          <w:b/>
          <w:bCs/>
          <w:sz w:val="28"/>
          <w:szCs w:val="28"/>
          <w:rtl/>
          <w:lang w:bidi="fa-IR"/>
        </w:rPr>
        <w:t>وَأَنَابَ</w:t>
      </w:r>
      <w:r w:rsidRPr="006571AC">
        <w:rPr>
          <w:rFonts w:ascii="Mosawi" w:hAnsi="Mosawi" w:cs="Mosawi"/>
          <w:sz w:val="22"/>
          <w:szCs w:val="22"/>
          <w:rtl/>
        </w:rPr>
        <w:t>﴾</w:t>
      </w:r>
      <w:r w:rsidRPr="006571AC">
        <w:rPr>
          <w:rFonts w:cs="DanaFajr" w:hint="cs"/>
          <w:sz w:val="28"/>
          <w:szCs w:val="28"/>
          <w:rtl/>
          <w:lang w:bidi="fa-IR"/>
        </w:rPr>
        <w:t xml:space="preserve"> (ص: 2</w:t>
      </w:r>
      <w:r w:rsidRPr="006571AC">
        <w:rPr>
          <w:rFonts w:cs="DanaFajr" w:hint="cs"/>
          <w:sz w:val="28"/>
          <w:szCs w:val="28"/>
          <w:rtl/>
        </w:rPr>
        <w:t>4</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وَلَقَدْ</w:t>
      </w:r>
      <w:r w:rsidRPr="006571AC">
        <w:rPr>
          <w:rFonts w:cs="DanaFajr"/>
          <w:b/>
          <w:bCs/>
          <w:sz w:val="28"/>
          <w:szCs w:val="28"/>
          <w:rtl/>
          <w:lang w:bidi="fa-IR"/>
        </w:rPr>
        <w:t xml:space="preserve"> </w:t>
      </w:r>
      <w:r w:rsidRPr="006571AC">
        <w:rPr>
          <w:rFonts w:cs="DanaFajr" w:hint="eastAsia"/>
          <w:b/>
          <w:bCs/>
          <w:sz w:val="28"/>
          <w:szCs w:val="28"/>
          <w:rtl/>
          <w:lang w:bidi="fa-IR"/>
        </w:rPr>
        <w:t>فَتَن</w:t>
      </w:r>
      <w:r w:rsidRPr="006571AC">
        <w:rPr>
          <w:rFonts w:cs="DanaFajr" w:hint="cs"/>
          <w:b/>
          <w:bCs/>
          <w:sz w:val="28"/>
          <w:szCs w:val="28"/>
          <w:rtl/>
          <w:lang w:bidi="fa-IR"/>
        </w:rPr>
        <w:t>َّ</w:t>
      </w:r>
      <w:r w:rsidRPr="006571AC">
        <w:rPr>
          <w:rFonts w:cs="DanaFajr" w:hint="eastAsia"/>
          <w:b/>
          <w:bCs/>
          <w:sz w:val="28"/>
          <w:szCs w:val="28"/>
          <w:rtl/>
          <w:lang w:bidi="fa-IR"/>
        </w:rPr>
        <w:t>ا</w:t>
      </w:r>
      <w:r w:rsidRPr="006571AC">
        <w:rPr>
          <w:rFonts w:cs="DanaFajr"/>
          <w:b/>
          <w:bCs/>
          <w:sz w:val="28"/>
          <w:szCs w:val="28"/>
          <w:rtl/>
          <w:lang w:bidi="fa-IR"/>
        </w:rPr>
        <w:t xml:space="preserve"> </w:t>
      </w:r>
      <w:r w:rsidRPr="006571AC">
        <w:rPr>
          <w:rFonts w:cs="DanaFajr" w:hint="eastAsia"/>
          <w:b/>
          <w:bCs/>
          <w:sz w:val="28"/>
          <w:szCs w:val="28"/>
          <w:rtl/>
          <w:lang w:bidi="fa-IR"/>
        </w:rPr>
        <w:t>سُلَيْمَانَ</w:t>
      </w:r>
      <w:r w:rsidRPr="006571AC">
        <w:rPr>
          <w:rFonts w:cs="DanaFajr"/>
          <w:b/>
          <w:bCs/>
          <w:sz w:val="28"/>
          <w:szCs w:val="28"/>
          <w:rtl/>
          <w:lang w:bidi="fa-IR"/>
        </w:rPr>
        <w:t xml:space="preserve"> </w:t>
      </w:r>
      <w:r w:rsidRPr="006571AC">
        <w:rPr>
          <w:rFonts w:cs="DanaFajr" w:hint="eastAsia"/>
          <w:b/>
          <w:bCs/>
          <w:sz w:val="28"/>
          <w:szCs w:val="28"/>
          <w:rtl/>
          <w:lang w:bidi="fa-IR"/>
        </w:rPr>
        <w:t>وَأَلْقَيْنَا</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كُرْسِيِّهِ</w:t>
      </w:r>
      <w:r w:rsidRPr="006571AC">
        <w:rPr>
          <w:rFonts w:cs="DanaFajr"/>
          <w:b/>
          <w:bCs/>
          <w:sz w:val="28"/>
          <w:szCs w:val="28"/>
          <w:rtl/>
          <w:lang w:bidi="fa-IR"/>
        </w:rPr>
        <w:t xml:space="preserve"> </w:t>
      </w:r>
      <w:r w:rsidRPr="006571AC">
        <w:rPr>
          <w:rFonts w:cs="DanaFajr" w:hint="eastAsia"/>
          <w:b/>
          <w:bCs/>
          <w:sz w:val="28"/>
          <w:szCs w:val="28"/>
          <w:rtl/>
          <w:lang w:bidi="fa-IR"/>
        </w:rPr>
        <w:t>جَسَداً</w:t>
      </w:r>
      <w:r w:rsidRPr="006571AC">
        <w:rPr>
          <w:rFonts w:cs="DanaFajr"/>
          <w:b/>
          <w:bCs/>
          <w:sz w:val="28"/>
          <w:szCs w:val="28"/>
          <w:rtl/>
          <w:lang w:bidi="fa-IR"/>
        </w:rPr>
        <w:t xml:space="preserve"> </w:t>
      </w:r>
      <w:r w:rsidRPr="006571AC">
        <w:rPr>
          <w:rFonts w:cs="DanaFajr" w:hint="eastAsia"/>
          <w:b/>
          <w:bCs/>
          <w:sz w:val="28"/>
          <w:szCs w:val="28"/>
          <w:rtl/>
          <w:lang w:bidi="fa-IR"/>
        </w:rPr>
        <w:t>ثُمَّ</w:t>
      </w:r>
      <w:r w:rsidRPr="006571AC">
        <w:rPr>
          <w:rFonts w:cs="DanaFajr"/>
          <w:b/>
          <w:bCs/>
          <w:sz w:val="28"/>
          <w:szCs w:val="28"/>
          <w:rtl/>
          <w:lang w:bidi="fa-IR"/>
        </w:rPr>
        <w:t xml:space="preserve"> </w:t>
      </w:r>
      <w:r w:rsidRPr="006571AC">
        <w:rPr>
          <w:rFonts w:cs="DanaFajr" w:hint="eastAsia"/>
          <w:b/>
          <w:bCs/>
          <w:sz w:val="28"/>
          <w:szCs w:val="28"/>
          <w:rtl/>
          <w:lang w:bidi="fa-IR"/>
        </w:rPr>
        <w:t>أَنَابَ</w:t>
      </w:r>
      <w:r w:rsidRPr="006571AC">
        <w:rPr>
          <w:rFonts w:ascii="Mosawi" w:hAnsi="Mosawi" w:cs="Mosawi"/>
          <w:sz w:val="22"/>
          <w:szCs w:val="22"/>
          <w:rtl/>
        </w:rPr>
        <w:t>﴾</w:t>
      </w:r>
      <w:r w:rsidRPr="006571AC">
        <w:rPr>
          <w:rFonts w:cs="DanaFajr" w:hint="cs"/>
          <w:sz w:val="28"/>
          <w:szCs w:val="28"/>
          <w:rtl/>
          <w:lang w:bidi="fa-IR"/>
        </w:rPr>
        <w:t xml:space="preserve"> (ص: 3</w:t>
      </w:r>
      <w:r w:rsidRPr="006571AC">
        <w:rPr>
          <w:rFonts w:cs="DanaFajr" w:hint="cs"/>
          <w:sz w:val="28"/>
          <w:szCs w:val="28"/>
          <w:rtl/>
        </w:rPr>
        <w:t>4</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فَإِذَا</w:t>
      </w:r>
      <w:r w:rsidRPr="006571AC">
        <w:rPr>
          <w:rFonts w:cs="DanaFajr"/>
          <w:b/>
          <w:bCs/>
          <w:sz w:val="28"/>
          <w:szCs w:val="28"/>
          <w:rtl/>
          <w:lang w:bidi="fa-IR"/>
        </w:rPr>
        <w:t xml:space="preserve"> </w:t>
      </w:r>
      <w:r w:rsidRPr="006571AC">
        <w:rPr>
          <w:rFonts w:cs="DanaFajr" w:hint="eastAsia"/>
          <w:b/>
          <w:bCs/>
          <w:sz w:val="28"/>
          <w:szCs w:val="28"/>
          <w:rtl/>
          <w:lang w:bidi="fa-IR"/>
        </w:rPr>
        <w:t>مَسَّ</w:t>
      </w:r>
      <w:r w:rsidRPr="006571AC">
        <w:rPr>
          <w:rFonts w:cs="DanaFajr"/>
          <w:b/>
          <w:bCs/>
          <w:sz w:val="28"/>
          <w:szCs w:val="28"/>
          <w:rtl/>
          <w:lang w:bidi="fa-IR"/>
        </w:rPr>
        <w:t xml:space="preserve"> </w:t>
      </w:r>
      <w:r w:rsidRPr="006571AC">
        <w:rPr>
          <w:rFonts w:cs="DanaFajr" w:hint="eastAsia"/>
          <w:b/>
          <w:bCs/>
          <w:sz w:val="28"/>
          <w:szCs w:val="28"/>
          <w:rtl/>
          <w:lang w:bidi="fa-IR"/>
        </w:rPr>
        <w:t>الْإِنْسَانَ</w:t>
      </w:r>
      <w:r w:rsidRPr="006571AC">
        <w:rPr>
          <w:rFonts w:cs="DanaFajr"/>
          <w:b/>
          <w:bCs/>
          <w:sz w:val="28"/>
          <w:szCs w:val="28"/>
          <w:rtl/>
          <w:lang w:bidi="fa-IR"/>
        </w:rPr>
        <w:t xml:space="preserve"> </w:t>
      </w:r>
      <w:r w:rsidRPr="006571AC">
        <w:rPr>
          <w:rFonts w:cs="DanaFajr" w:hint="eastAsia"/>
          <w:b/>
          <w:bCs/>
          <w:sz w:val="28"/>
          <w:szCs w:val="28"/>
          <w:rtl/>
          <w:lang w:bidi="fa-IR"/>
        </w:rPr>
        <w:t>ضُرٌّ</w:t>
      </w:r>
      <w:r w:rsidRPr="006571AC">
        <w:rPr>
          <w:rFonts w:cs="DanaFajr"/>
          <w:b/>
          <w:bCs/>
          <w:sz w:val="28"/>
          <w:szCs w:val="28"/>
          <w:rtl/>
          <w:lang w:bidi="fa-IR"/>
        </w:rPr>
        <w:t xml:space="preserve"> </w:t>
      </w:r>
      <w:r w:rsidRPr="006571AC">
        <w:rPr>
          <w:rFonts w:cs="DanaFajr" w:hint="eastAsia"/>
          <w:b/>
          <w:bCs/>
          <w:sz w:val="28"/>
          <w:szCs w:val="28"/>
          <w:rtl/>
          <w:lang w:bidi="fa-IR"/>
        </w:rPr>
        <w:t>دَعَانَا</w:t>
      </w:r>
      <w:r w:rsidRPr="006571AC">
        <w:rPr>
          <w:rFonts w:cs="DanaFajr"/>
          <w:b/>
          <w:bCs/>
          <w:sz w:val="28"/>
          <w:szCs w:val="28"/>
          <w:rtl/>
          <w:lang w:bidi="fa-IR"/>
        </w:rPr>
        <w:t xml:space="preserve"> </w:t>
      </w:r>
      <w:r w:rsidRPr="006571AC">
        <w:rPr>
          <w:rFonts w:cs="DanaFajr" w:hint="eastAsia"/>
          <w:b/>
          <w:bCs/>
          <w:sz w:val="28"/>
          <w:szCs w:val="28"/>
          <w:rtl/>
          <w:lang w:bidi="fa-IR"/>
        </w:rPr>
        <w:t>ثُمَّ</w:t>
      </w:r>
      <w:r w:rsidRPr="006571AC">
        <w:rPr>
          <w:rFonts w:cs="DanaFajr"/>
          <w:b/>
          <w:bCs/>
          <w:sz w:val="28"/>
          <w:szCs w:val="28"/>
          <w:rtl/>
          <w:lang w:bidi="fa-IR"/>
        </w:rPr>
        <w:t xml:space="preserve"> </w:t>
      </w:r>
      <w:r w:rsidRPr="006571AC">
        <w:rPr>
          <w:rFonts w:cs="DanaFajr" w:hint="eastAsia"/>
          <w:b/>
          <w:bCs/>
          <w:sz w:val="28"/>
          <w:szCs w:val="28"/>
          <w:rtl/>
          <w:lang w:bidi="fa-IR"/>
        </w:rPr>
        <w:t>إِذَا</w:t>
      </w:r>
      <w:r w:rsidRPr="006571AC">
        <w:rPr>
          <w:rFonts w:cs="DanaFajr"/>
          <w:b/>
          <w:bCs/>
          <w:sz w:val="28"/>
          <w:szCs w:val="28"/>
          <w:rtl/>
          <w:lang w:bidi="fa-IR"/>
        </w:rPr>
        <w:t xml:space="preserve"> </w:t>
      </w:r>
      <w:r w:rsidRPr="006571AC">
        <w:rPr>
          <w:rFonts w:cs="DanaFajr" w:hint="eastAsia"/>
          <w:b/>
          <w:bCs/>
          <w:sz w:val="28"/>
          <w:szCs w:val="28"/>
          <w:rtl/>
          <w:lang w:bidi="fa-IR"/>
        </w:rPr>
        <w:t>خَوَّلْنَاهُ</w:t>
      </w:r>
      <w:r w:rsidRPr="006571AC">
        <w:rPr>
          <w:rFonts w:cs="DanaFajr"/>
          <w:b/>
          <w:bCs/>
          <w:sz w:val="28"/>
          <w:szCs w:val="28"/>
          <w:rtl/>
          <w:lang w:bidi="fa-IR"/>
        </w:rPr>
        <w:t xml:space="preserve"> </w:t>
      </w:r>
      <w:r w:rsidRPr="006571AC">
        <w:rPr>
          <w:rFonts w:cs="DanaFajr" w:hint="eastAsia"/>
          <w:b/>
          <w:bCs/>
          <w:sz w:val="28"/>
          <w:szCs w:val="28"/>
          <w:rtl/>
          <w:lang w:bidi="fa-IR"/>
        </w:rPr>
        <w:t>نِعْمَةً</w:t>
      </w:r>
      <w:r w:rsidRPr="006571AC">
        <w:rPr>
          <w:rFonts w:cs="DanaFajr"/>
          <w:b/>
          <w:bCs/>
          <w:sz w:val="28"/>
          <w:szCs w:val="28"/>
          <w:rtl/>
          <w:lang w:bidi="fa-IR"/>
        </w:rPr>
        <w:t xml:space="preserve"> </w:t>
      </w:r>
      <w:r w:rsidRPr="006571AC">
        <w:rPr>
          <w:rFonts w:cs="DanaFajr" w:hint="eastAsia"/>
          <w:b/>
          <w:bCs/>
          <w:sz w:val="28"/>
          <w:szCs w:val="28"/>
          <w:rtl/>
          <w:lang w:bidi="fa-IR"/>
        </w:rPr>
        <w:t>مِنَّا</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إِنَّمَا</w:t>
      </w:r>
      <w:r w:rsidRPr="006571AC">
        <w:rPr>
          <w:rFonts w:cs="DanaFajr"/>
          <w:b/>
          <w:bCs/>
          <w:sz w:val="28"/>
          <w:szCs w:val="28"/>
          <w:rtl/>
          <w:lang w:bidi="fa-IR"/>
        </w:rPr>
        <w:t xml:space="preserve"> </w:t>
      </w:r>
      <w:r w:rsidRPr="006571AC">
        <w:rPr>
          <w:rFonts w:cs="DanaFajr" w:hint="eastAsia"/>
          <w:b/>
          <w:bCs/>
          <w:sz w:val="28"/>
          <w:szCs w:val="28"/>
          <w:rtl/>
          <w:lang w:bidi="fa-IR"/>
        </w:rPr>
        <w:t>أُوتِيتُهُ</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عِلْمٍ</w:t>
      </w:r>
      <w:r w:rsidRPr="006571AC">
        <w:rPr>
          <w:rFonts w:cs="DanaFajr"/>
          <w:b/>
          <w:bCs/>
          <w:sz w:val="28"/>
          <w:szCs w:val="28"/>
          <w:rtl/>
          <w:lang w:bidi="fa-IR"/>
        </w:rPr>
        <w:t xml:space="preserve"> </w:t>
      </w:r>
      <w:r w:rsidRPr="006571AC">
        <w:rPr>
          <w:rFonts w:cs="DanaFajr" w:hint="eastAsia"/>
          <w:b/>
          <w:bCs/>
          <w:sz w:val="28"/>
          <w:szCs w:val="28"/>
          <w:rtl/>
          <w:lang w:bidi="fa-IR"/>
        </w:rPr>
        <w:t>بَلْ</w:t>
      </w:r>
      <w:r w:rsidRPr="006571AC">
        <w:rPr>
          <w:rFonts w:cs="DanaFajr"/>
          <w:b/>
          <w:bCs/>
          <w:sz w:val="28"/>
          <w:szCs w:val="28"/>
          <w:rtl/>
          <w:lang w:bidi="fa-IR"/>
        </w:rPr>
        <w:t xml:space="preserve"> </w:t>
      </w:r>
      <w:r w:rsidRPr="006571AC">
        <w:rPr>
          <w:rFonts w:cs="DanaFajr" w:hint="eastAsia"/>
          <w:b/>
          <w:bCs/>
          <w:sz w:val="28"/>
          <w:szCs w:val="28"/>
          <w:rtl/>
          <w:lang w:bidi="fa-IR"/>
        </w:rPr>
        <w:t>هِيَ</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وَلَكِنَّ</w:t>
      </w:r>
      <w:r w:rsidRPr="006571AC">
        <w:rPr>
          <w:rFonts w:cs="DanaFajr"/>
          <w:b/>
          <w:bCs/>
          <w:sz w:val="28"/>
          <w:szCs w:val="28"/>
          <w:rtl/>
          <w:lang w:bidi="fa-IR"/>
        </w:rPr>
        <w:t xml:space="preserve"> </w:t>
      </w:r>
      <w:r w:rsidRPr="006571AC">
        <w:rPr>
          <w:rFonts w:cs="DanaFajr" w:hint="eastAsia"/>
          <w:b/>
          <w:bCs/>
          <w:sz w:val="28"/>
          <w:szCs w:val="28"/>
          <w:rtl/>
          <w:lang w:bidi="fa-IR"/>
        </w:rPr>
        <w:t>أَكْثَرَهُمْ</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يَعْلَمُونَ</w:t>
      </w:r>
      <w:r w:rsidRPr="006571AC">
        <w:rPr>
          <w:rFonts w:ascii="Mosawi" w:hAnsi="Mosawi" w:cs="Mosawi"/>
          <w:sz w:val="22"/>
          <w:szCs w:val="22"/>
          <w:rtl/>
        </w:rPr>
        <w:t>﴾</w:t>
      </w:r>
      <w:r w:rsidRPr="006571AC">
        <w:rPr>
          <w:rFonts w:cs="DanaFajr" w:hint="cs"/>
          <w:sz w:val="28"/>
          <w:szCs w:val="28"/>
          <w:rtl/>
          <w:lang w:bidi="fa-IR"/>
        </w:rPr>
        <w:t xml:space="preserve"> (الزمر: </w:t>
      </w:r>
      <w:r w:rsidRPr="006571AC">
        <w:rPr>
          <w:rFonts w:cs="DanaFajr" w:hint="cs"/>
          <w:sz w:val="28"/>
          <w:szCs w:val="28"/>
          <w:rtl/>
        </w:rPr>
        <w:t>4</w:t>
      </w:r>
      <w:r w:rsidRPr="006571AC">
        <w:rPr>
          <w:rFonts w:cs="DanaFajr" w:hint="cs"/>
          <w:sz w:val="28"/>
          <w:szCs w:val="28"/>
          <w:rtl/>
          <w:lang w:bidi="fa-IR"/>
        </w:rPr>
        <w:t>9).</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وَلَقَدْ</w:t>
      </w:r>
      <w:r w:rsidRPr="006571AC">
        <w:rPr>
          <w:rFonts w:cs="DanaFajr"/>
          <w:b/>
          <w:bCs/>
          <w:sz w:val="28"/>
          <w:szCs w:val="28"/>
          <w:rtl/>
          <w:lang w:bidi="fa-IR"/>
        </w:rPr>
        <w:t xml:space="preserve"> </w:t>
      </w:r>
      <w:r w:rsidRPr="006571AC">
        <w:rPr>
          <w:rFonts w:cs="DanaFajr" w:hint="eastAsia"/>
          <w:b/>
          <w:bCs/>
          <w:sz w:val="28"/>
          <w:szCs w:val="28"/>
          <w:rtl/>
          <w:lang w:bidi="fa-IR"/>
        </w:rPr>
        <w:t>فَتَنَّا</w:t>
      </w:r>
      <w:r w:rsidRPr="006571AC">
        <w:rPr>
          <w:rFonts w:cs="DanaFajr"/>
          <w:b/>
          <w:bCs/>
          <w:sz w:val="28"/>
          <w:szCs w:val="28"/>
          <w:rtl/>
          <w:lang w:bidi="fa-IR"/>
        </w:rPr>
        <w:t xml:space="preserve"> </w:t>
      </w:r>
      <w:r w:rsidRPr="006571AC">
        <w:rPr>
          <w:rFonts w:cs="DanaFajr" w:hint="eastAsia"/>
          <w:b/>
          <w:bCs/>
          <w:sz w:val="28"/>
          <w:szCs w:val="28"/>
          <w:rtl/>
          <w:lang w:bidi="fa-IR"/>
        </w:rPr>
        <w:t>قَبْلَهُمْ</w:t>
      </w:r>
      <w:r w:rsidRPr="006571AC">
        <w:rPr>
          <w:rFonts w:cs="DanaFajr"/>
          <w:b/>
          <w:bCs/>
          <w:sz w:val="28"/>
          <w:szCs w:val="28"/>
          <w:rtl/>
          <w:lang w:bidi="fa-IR"/>
        </w:rPr>
        <w:t xml:space="preserve"> </w:t>
      </w:r>
      <w:r w:rsidRPr="006571AC">
        <w:rPr>
          <w:rFonts w:cs="DanaFajr" w:hint="eastAsia"/>
          <w:b/>
          <w:bCs/>
          <w:sz w:val="28"/>
          <w:szCs w:val="28"/>
          <w:rtl/>
          <w:lang w:bidi="fa-IR"/>
        </w:rPr>
        <w:t>قَوْمَ</w:t>
      </w:r>
      <w:r w:rsidRPr="006571AC">
        <w:rPr>
          <w:rFonts w:cs="DanaFajr"/>
          <w:b/>
          <w:bCs/>
          <w:sz w:val="28"/>
          <w:szCs w:val="28"/>
          <w:rtl/>
          <w:lang w:bidi="fa-IR"/>
        </w:rPr>
        <w:t xml:space="preserve"> </w:t>
      </w:r>
      <w:r w:rsidRPr="006571AC">
        <w:rPr>
          <w:rFonts w:cs="DanaFajr" w:hint="eastAsia"/>
          <w:b/>
          <w:bCs/>
          <w:sz w:val="28"/>
          <w:szCs w:val="28"/>
          <w:rtl/>
          <w:lang w:bidi="fa-IR"/>
        </w:rPr>
        <w:t>فِرْعَوْنَ</w:t>
      </w:r>
      <w:r w:rsidRPr="006571AC">
        <w:rPr>
          <w:rFonts w:cs="DanaFajr"/>
          <w:b/>
          <w:bCs/>
          <w:sz w:val="28"/>
          <w:szCs w:val="28"/>
          <w:rtl/>
          <w:lang w:bidi="fa-IR"/>
        </w:rPr>
        <w:t xml:space="preserve"> </w:t>
      </w:r>
      <w:r w:rsidRPr="006571AC">
        <w:rPr>
          <w:rFonts w:cs="DanaFajr" w:hint="eastAsia"/>
          <w:b/>
          <w:bCs/>
          <w:sz w:val="28"/>
          <w:szCs w:val="28"/>
          <w:rtl/>
          <w:lang w:bidi="fa-IR"/>
        </w:rPr>
        <w:t>وَجَاءَهُمْ</w:t>
      </w:r>
      <w:r w:rsidRPr="006571AC">
        <w:rPr>
          <w:rFonts w:cs="DanaFajr"/>
          <w:b/>
          <w:bCs/>
          <w:sz w:val="28"/>
          <w:szCs w:val="28"/>
          <w:rtl/>
          <w:lang w:bidi="fa-IR"/>
        </w:rPr>
        <w:t xml:space="preserve"> </w:t>
      </w:r>
      <w:r w:rsidRPr="006571AC">
        <w:rPr>
          <w:rFonts w:cs="DanaFajr" w:hint="eastAsia"/>
          <w:b/>
          <w:bCs/>
          <w:sz w:val="28"/>
          <w:szCs w:val="28"/>
          <w:rtl/>
          <w:lang w:bidi="fa-IR"/>
        </w:rPr>
        <w:t>رَسُولٌ</w:t>
      </w:r>
      <w:r w:rsidRPr="006571AC">
        <w:rPr>
          <w:rFonts w:cs="DanaFajr"/>
          <w:b/>
          <w:bCs/>
          <w:sz w:val="28"/>
          <w:szCs w:val="28"/>
          <w:rtl/>
          <w:lang w:bidi="fa-IR"/>
        </w:rPr>
        <w:t xml:space="preserve"> </w:t>
      </w:r>
      <w:r w:rsidRPr="006571AC">
        <w:rPr>
          <w:rFonts w:cs="DanaFajr" w:hint="eastAsia"/>
          <w:b/>
          <w:bCs/>
          <w:sz w:val="28"/>
          <w:szCs w:val="28"/>
          <w:rtl/>
          <w:lang w:bidi="fa-IR"/>
        </w:rPr>
        <w:t>كَرِيمٌ</w:t>
      </w:r>
      <w:r w:rsidRPr="006571AC">
        <w:rPr>
          <w:rFonts w:ascii="Mosawi" w:hAnsi="Mosawi" w:cs="Mosawi"/>
          <w:sz w:val="22"/>
          <w:szCs w:val="22"/>
          <w:rtl/>
        </w:rPr>
        <w:t>﴾</w:t>
      </w:r>
      <w:r w:rsidRPr="006571AC">
        <w:rPr>
          <w:rFonts w:cs="DanaFajr" w:hint="cs"/>
          <w:sz w:val="28"/>
          <w:szCs w:val="28"/>
          <w:rtl/>
          <w:lang w:bidi="fa-IR"/>
        </w:rPr>
        <w:t xml:space="preserve"> (الدخان: 17).</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إِنَّا</w:t>
      </w:r>
      <w:r w:rsidRPr="006571AC">
        <w:rPr>
          <w:rFonts w:cs="DanaFajr"/>
          <w:b/>
          <w:bCs/>
          <w:sz w:val="28"/>
          <w:szCs w:val="28"/>
          <w:rtl/>
          <w:lang w:bidi="fa-IR"/>
        </w:rPr>
        <w:t xml:space="preserve"> </w:t>
      </w:r>
      <w:r w:rsidRPr="006571AC">
        <w:rPr>
          <w:rFonts w:cs="DanaFajr" w:hint="eastAsia"/>
          <w:b/>
          <w:bCs/>
          <w:sz w:val="28"/>
          <w:szCs w:val="28"/>
          <w:rtl/>
          <w:lang w:bidi="fa-IR"/>
        </w:rPr>
        <w:t>مُرْسِلُو</w:t>
      </w:r>
      <w:r w:rsidRPr="006571AC">
        <w:rPr>
          <w:rFonts w:cs="DanaFajr"/>
          <w:b/>
          <w:bCs/>
          <w:sz w:val="28"/>
          <w:szCs w:val="28"/>
          <w:rtl/>
          <w:lang w:bidi="fa-IR"/>
        </w:rPr>
        <w:t xml:space="preserve"> </w:t>
      </w:r>
      <w:r w:rsidRPr="006571AC">
        <w:rPr>
          <w:rFonts w:cs="DanaFajr" w:hint="eastAsia"/>
          <w:b/>
          <w:bCs/>
          <w:sz w:val="28"/>
          <w:szCs w:val="28"/>
          <w:rtl/>
          <w:lang w:bidi="fa-IR"/>
        </w:rPr>
        <w:t>النَّاقَةِ</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لَهُمْ</w:t>
      </w:r>
      <w:r w:rsidRPr="006571AC">
        <w:rPr>
          <w:rFonts w:cs="DanaFajr"/>
          <w:b/>
          <w:bCs/>
          <w:sz w:val="28"/>
          <w:szCs w:val="28"/>
          <w:rtl/>
          <w:lang w:bidi="fa-IR"/>
        </w:rPr>
        <w:t xml:space="preserve"> </w:t>
      </w:r>
      <w:r w:rsidRPr="006571AC">
        <w:rPr>
          <w:rFonts w:cs="DanaFajr" w:hint="eastAsia"/>
          <w:b/>
          <w:bCs/>
          <w:sz w:val="28"/>
          <w:szCs w:val="28"/>
          <w:rtl/>
          <w:lang w:bidi="fa-IR"/>
        </w:rPr>
        <w:t>فَارْتَقِبْهُمْ</w:t>
      </w:r>
      <w:r w:rsidRPr="006571AC">
        <w:rPr>
          <w:rFonts w:cs="DanaFajr"/>
          <w:b/>
          <w:bCs/>
          <w:sz w:val="28"/>
          <w:szCs w:val="28"/>
          <w:rtl/>
          <w:lang w:bidi="fa-IR"/>
        </w:rPr>
        <w:t xml:space="preserve"> </w:t>
      </w:r>
      <w:r w:rsidRPr="006571AC">
        <w:rPr>
          <w:rFonts w:cs="DanaFajr" w:hint="eastAsia"/>
          <w:b/>
          <w:bCs/>
          <w:sz w:val="28"/>
          <w:szCs w:val="28"/>
          <w:rtl/>
          <w:lang w:bidi="fa-IR"/>
        </w:rPr>
        <w:t>وَاصْطَبِرْ</w:t>
      </w:r>
      <w:r w:rsidRPr="006571AC">
        <w:rPr>
          <w:rFonts w:ascii="Mosawi" w:hAnsi="Mosawi" w:cs="Mosawi"/>
          <w:sz w:val="22"/>
          <w:szCs w:val="22"/>
          <w:rtl/>
        </w:rPr>
        <w:t>﴾</w:t>
      </w:r>
      <w:r w:rsidRPr="006571AC">
        <w:rPr>
          <w:rFonts w:cs="DanaFajr" w:hint="cs"/>
          <w:sz w:val="28"/>
          <w:szCs w:val="28"/>
          <w:rtl/>
          <w:lang w:bidi="fa-IR"/>
        </w:rPr>
        <w:t xml:space="preserve"> (القمر: 27).</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لِنَفْتِنَهُمْ</w:t>
      </w:r>
      <w:r w:rsidRPr="006571AC">
        <w:rPr>
          <w:rFonts w:cs="DanaFajr"/>
          <w:b/>
          <w:bCs/>
          <w:sz w:val="28"/>
          <w:szCs w:val="28"/>
          <w:rtl/>
          <w:lang w:bidi="fa-IR"/>
        </w:rPr>
        <w:t xml:space="preserve"> </w:t>
      </w:r>
      <w:r w:rsidRPr="006571AC">
        <w:rPr>
          <w:rFonts w:cs="DanaFajr" w:hint="eastAsia"/>
          <w:b/>
          <w:bCs/>
          <w:sz w:val="28"/>
          <w:szCs w:val="28"/>
          <w:rtl/>
          <w:lang w:bidi="fa-IR"/>
        </w:rPr>
        <w:t>فِيهِ</w:t>
      </w:r>
      <w:r w:rsidRPr="006571AC">
        <w:rPr>
          <w:rFonts w:cs="DanaFajr"/>
          <w:b/>
          <w:bCs/>
          <w:sz w:val="28"/>
          <w:szCs w:val="28"/>
          <w:rtl/>
          <w:lang w:bidi="fa-IR"/>
        </w:rPr>
        <w:t xml:space="preserve"> </w:t>
      </w:r>
      <w:r w:rsidRPr="006571AC">
        <w:rPr>
          <w:rFonts w:cs="DanaFajr" w:hint="eastAsia"/>
          <w:b/>
          <w:bCs/>
          <w:sz w:val="28"/>
          <w:szCs w:val="28"/>
          <w:rtl/>
          <w:lang w:bidi="fa-IR"/>
        </w:rPr>
        <w:t>وَمَنْ</w:t>
      </w:r>
      <w:r w:rsidRPr="006571AC">
        <w:rPr>
          <w:rFonts w:cs="DanaFajr"/>
          <w:b/>
          <w:bCs/>
          <w:sz w:val="28"/>
          <w:szCs w:val="28"/>
          <w:rtl/>
          <w:lang w:bidi="fa-IR"/>
        </w:rPr>
        <w:t xml:space="preserve"> </w:t>
      </w:r>
      <w:r w:rsidRPr="006571AC">
        <w:rPr>
          <w:rFonts w:cs="DanaFajr" w:hint="eastAsia"/>
          <w:b/>
          <w:bCs/>
          <w:sz w:val="28"/>
          <w:szCs w:val="28"/>
          <w:rtl/>
          <w:lang w:bidi="fa-IR"/>
        </w:rPr>
        <w:t>يُعْرِضْ</w:t>
      </w:r>
      <w:r w:rsidRPr="006571AC">
        <w:rPr>
          <w:rFonts w:cs="DanaFajr"/>
          <w:b/>
          <w:bCs/>
          <w:sz w:val="28"/>
          <w:szCs w:val="28"/>
          <w:rtl/>
          <w:lang w:bidi="fa-IR"/>
        </w:rPr>
        <w:t xml:space="preserve"> </w:t>
      </w:r>
      <w:r w:rsidRPr="006571AC">
        <w:rPr>
          <w:rFonts w:cs="DanaFajr" w:hint="eastAsia"/>
          <w:b/>
          <w:bCs/>
          <w:sz w:val="28"/>
          <w:szCs w:val="28"/>
          <w:rtl/>
          <w:lang w:bidi="fa-IR"/>
        </w:rPr>
        <w:t>عَنْ</w:t>
      </w:r>
      <w:r w:rsidRPr="006571AC">
        <w:rPr>
          <w:rFonts w:cs="DanaFajr"/>
          <w:b/>
          <w:bCs/>
          <w:sz w:val="28"/>
          <w:szCs w:val="28"/>
          <w:rtl/>
          <w:lang w:bidi="fa-IR"/>
        </w:rPr>
        <w:t xml:space="preserve"> </w:t>
      </w:r>
      <w:r w:rsidRPr="006571AC">
        <w:rPr>
          <w:rFonts w:cs="DanaFajr" w:hint="eastAsia"/>
          <w:b/>
          <w:bCs/>
          <w:sz w:val="28"/>
          <w:szCs w:val="28"/>
          <w:rtl/>
          <w:lang w:bidi="fa-IR"/>
        </w:rPr>
        <w:t>ذِكْرِ</w:t>
      </w:r>
      <w:r w:rsidRPr="006571AC">
        <w:rPr>
          <w:rFonts w:cs="DanaFajr"/>
          <w:b/>
          <w:bCs/>
          <w:sz w:val="28"/>
          <w:szCs w:val="28"/>
          <w:rtl/>
          <w:lang w:bidi="fa-IR"/>
        </w:rPr>
        <w:t xml:space="preserve"> </w:t>
      </w:r>
      <w:r w:rsidRPr="006571AC">
        <w:rPr>
          <w:rFonts w:cs="DanaFajr" w:hint="eastAsia"/>
          <w:b/>
          <w:bCs/>
          <w:sz w:val="28"/>
          <w:szCs w:val="28"/>
          <w:rtl/>
          <w:lang w:bidi="fa-IR"/>
        </w:rPr>
        <w:t>رَبِّهِ</w:t>
      </w:r>
      <w:r w:rsidRPr="006571AC">
        <w:rPr>
          <w:rFonts w:cs="DanaFajr"/>
          <w:b/>
          <w:bCs/>
          <w:sz w:val="28"/>
          <w:szCs w:val="28"/>
          <w:rtl/>
          <w:lang w:bidi="fa-IR"/>
        </w:rPr>
        <w:t xml:space="preserve"> </w:t>
      </w:r>
      <w:r w:rsidRPr="006571AC">
        <w:rPr>
          <w:rFonts w:cs="DanaFajr" w:hint="eastAsia"/>
          <w:b/>
          <w:bCs/>
          <w:sz w:val="28"/>
          <w:szCs w:val="28"/>
          <w:rtl/>
          <w:lang w:bidi="fa-IR"/>
        </w:rPr>
        <w:t>يَسْلُكْهُ</w:t>
      </w:r>
      <w:r w:rsidRPr="006571AC">
        <w:rPr>
          <w:rFonts w:cs="DanaFajr"/>
          <w:b/>
          <w:bCs/>
          <w:sz w:val="28"/>
          <w:szCs w:val="28"/>
          <w:rtl/>
          <w:lang w:bidi="fa-IR"/>
        </w:rPr>
        <w:t xml:space="preserve"> </w:t>
      </w:r>
      <w:r w:rsidRPr="006571AC">
        <w:rPr>
          <w:rFonts w:cs="DanaFajr" w:hint="eastAsia"/>
          <w:b/>
          <w:bCs/>
          <w:sz w:val="28"/>
          <w:szCs w:val="28"/>
          <w:rtl/>
          <w:lang w:bidi="fa-IR"/>
        </w:rPr>
        <w:t>عَذَاباً</w:t>
      </w:r>
      <w:r w:rsidRPr="006571AC">
        <w:rPr>
          <w:rFonts w:cs="DanaFajr"/>
          <w:b/>
          <w:bCs/>
          <w:sz w:val="28"/>
          <w:szCs w:val="28"/>
          <w:rtl/>
          <w:lang w:bidi="fa-IR"/>
        </w:rPr>
        <w:t xml:space="preserve"> </w:t>
      </w:r>
      <w:r w:rsidRPr="006571AC">
        <w:rPr>
          <w:rFonts w:cs="DanaFajr" w:hint="eastAsia"/>
          <w:b/>
          <w:bCs/>
          <w:sz w:val="28"/>
          <w:szCs w:val="28"/>
          <w:rtl/>
          <w:lang w:bidi="fa-IR"/>
        </w:rPr>
        <w:t>صَعَداً</w:t>
      </w:r>
      <w:r w:rsidRPr="006571AC">
        <w:rPr>
          <w:rFonts w:ascii="Mosawi" w:hAnsi="Mosawi" w:cs="Mosawi"/>
          <w:sz w:val="22"/>
          <w:szCs w:val="22"/>
          <w:rtl/>
        </w:rPr>
        <w:t>﴾</w:t>
      </w:r>
      <w:r w:rsidRPr="006571AC">
        <w:rPr>
          <w:rFonts w:cs="DanaFajr" w:hint="cs"/>
          <w:sz w:val="28"/>
          <w:szCs w:val="28"/>
          <w:rtl/>
          <w:lang w:bidi="fa-IR"/>
        </w:rPr>
        <w:t xml:space="preserve"> (الجنّ: 17).</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جَعَلْنَا</w:t>
      </w:r>
      <w:r w:rsidRPr="006571AC">
        <w:rPr>
          <w:rFonts w:cs="DanaFajr"/>
          <w:b/>
          <w:bCs/>
          <w:sz w:val="28"/>
          <w:szCs w:val="28"/>
          <w:rtl/>
          <w:lang w:bidi="fa-IR"/>
        </w:rPr>
        <w:t xml:space="preserve"> </w:t>
      </w:r>
      <w:r w:rsidRPr="006571AC">
        <w:rPr>
          <w:rFonts w:cs="DanaFajr" w:hint="eastAsia"/>
          <w:b/>
          <w:bCs/>
          <w:sz w:val="28"/>
          <w:szCs w:val="28"/>
          <w:rtl/>
          <w:lang w:bidi="fa-IR"/>
        </w:rPr>
        <w:t>أَصْحَابَ</w:t>
      </w:r>
      <w:r w:rsidRPr="006571AC">
        <w:rPr>
          <w:rFonts w:cs="DanaFajr"/>
          <w:b/>
          <w:bCs/>
          <w:sz w:val="28"/>
          <w:szCs w:val="28"/>
          <w:rtl/>
          <w:lang w:bidi="fa-IR"/>
        </w:rPr>
        <w:t xml:space="preserve"> </w:t>
      </w:r>
      <w:r w:rsidRPr="006571AC">
        <w:rPr>
          <w:rFonts w:cs="DanaFajr" w:hint="eastAsia"/>
          <w:b/>
          <w:bCs/>
          <w:sz w:val="28"/>
          <w:szCs w:val="28"/>
          <w:rtl/>
          <w:lang w:bidi="fa-IR"/>
        </w:rPr>
        <w:t>النَّارِ</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مَلائِكَةً</w:t>
      </w:r>
      <w:r w:rsidRPr="006571AC">
        <w:rPr>
          <w:rFonts w:cs="DanaFajr"/>
          <w:b/>
          <w:bCs/>
          <w:sz w:val="28"/>
          <w:szCs w:val="28"/>
          <w:rtl/>
          <w:lang w:bidi="fa-IR"/>
        </w:rPr>
        <w:t xml:space="preserve"> </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جَعَلْنَا</w:t>
      </w:r>
      <w:r w:rsidRPr="006571AC">
        <w:rPr>
          <w:rFonts w:cs="DanaFajr"/>
          <w:b/>
          <w:bCs/>
          <w:sz w:val="28"/>
          <w:szCs w:val="28"/>
          <w:rtl/>
          <w:lang w:bidi="fa-IR"/>
        </w:rPr>
        <w:t xml:space="preserve"> </w:t>
      </w:r>
      <w:r w:rsidRPr="006571AC">
        <w:rPr>
          <w:rFonts w:cs="DanaFajr" w:hint="eastAsia"/>
          <w:b/>
          <w:bCs/>
          <w:sz w:val="28"/>
          <w:szCs w:val="28"/>
          <w:rtl/>
          <w:lang w:bidi="fa-IR"/>
        </w:rPr>
        <w:t>عِدَّتَهُمْ</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لِلَّذِينَ</w:t>
      </w:r>
      <w:r w:rsidRPr="006571AC">
        <w:rPr>
          <w:rFonts w:cs="DanaFajr"/>
          <w:b/>
          <w:bCs/>
          <w:sz w:val="28"/>
          <w:szCs w:val="28"/>
          <w:rtl/>
          <w:lang w:bidi="fa-IR"/>
        </w:rPr>
        <w:t xml:space="preserve"> </w:t>
      </w:r>
      <w:r w:rsidRPr="006571AC">
        <w:rPr>
          <w:rFonts w:cs="DanaFajr" w:hint="eastAsia"/>
          <w:b/>
          <w:bCs/>
          <w:sz w:val="28"/>
          <w:szCs w:val="28"/>
          <w:rtl/>
          <w:lang w:bidi="fa-IR"/>
        </w:rPr>
        <w:t>كَفَرُوا</w:t>
      </w:r>
      <w:r w:rsidRPr="006571AC">
        <w:rPr>
          <w:rFonts w:cs="DanaFajr"/>
          <w:b/>
          <w:bCs/>
          <w:sz w:val="28"/>
          <w:szCs w:val="28"/>
          <w:rtl/>
          <w:lang w:bidi="fa-IR"/>
        </w:rPr>
        <w:t xml:space="preserve"> </w:t>
      </w:r>
      <w:r w:rsidRPr="006571AC">
        <w:rPr>
          <w:rFonts w:cs="DanaFajr" w:hint="eastAsia"/>
          <w:b/>
          <w:bCs/>
          <w:sz w:val="28"/>
          <w:szCs w:val="28"/>
          <w:rtl/>
          <w:lang w:bidi="fa-IR"/>
        </w:rPr>
        <w:t>لِيَسْتَيْقِنَ</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أُوتُوا</w:t>
      </w:r>
      <w:r w:rsidRPr="006571AC">
        <w:rPr>
          <w:rFonts w:cs="DanaFajr"/>
          <w:b/>
          <w:bCs/>
          <w:sz w:val="28"/>
          <w:szCs w:val="28"/>
          <w:rtl/>
          <w:lang w:bidi="fa-IR"/>
        </w:rPr>
        <w:t xml:space="preserve"> </w:t>
      </w:r>
      <w:r w:rsidRPr="006571AC">
        <w:rPr>
          <w:rFonts w:cs="DanaFajr" w:hint="eastAsia"/>
          <w:b/>
          <w:bCs/>
          <w:sz w:val="28"/>
          <w:szCs w:val="28"/>
          <w:rtl/>
          <w:lang w:bidi="fa-IR"/>
        </w:rPr>
        <w:t>الْكِتَابَ</w:t>
      </w:r>
      <w:r w:rsidRPr="006571AC">
        <w:rPr>
          <w:rFonts w:cs="DanaFajr"/>
          <w:b/>
          <w:bCs/>
          <w:sz w:val="28"/>
          <w:szCs w:val="28"/>
          <w:rtl/>
          <w:lang w:bidi="fa-IR"/>
        </w:rPr>
        <w:t xml:space="preserve"> </w:t>
      </w:r>
      <w:r w:rsidRPr="006571AC">
        <w:rPr>
          <w:rFonts w:cs="DanaFajr" w:hint="eastAsia"/>
          <w:b/>
          <w:bCs/>
          <w:sz w:val="28"/>
          <w:szCs w:val="28"/>
          <w:rtl/>
          <w:lang w:bidi="fa-IR"/>
        </w:rPr>
        <w:t>وَيَزْدَادَ</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آمَنُوا</w:t>
      </w:r>
      <w:r w:rsidRPr="006571AC">
        <w:rPr>
          <w:rFonts w:cs="DanaFajr"/>
          <w:b/>
          <w:bCs/>
          <w:sz w:val="28"/>
          <w:szCs w:val="28"/>
          <w:rtl/>
          <w:lang w:bidi="fa-IR"/>
        </w:rPr>
        <w:t xml:space="preserve"> </w:t>
      </w:r>
      <w:r w:rsidRPr="006571AC">
        <w:rPr>
          <w:rFonts w:cs="DanaFajr" w:hint="eastAsia"/>
          <w:b/>
          <w:bCs/>
          <w:sz w:val="28"/>
          <w:szCs w:val="28"/>
          <w:rtl/>
          <w:lang w:bidi="fa-IR"/>
        </w:rPr>
        <w:t>إِيمَاناً</w:t>
      </w:r>
      <w:r w:rsidRPr="006571AC">
        <w:rPr>
          <w:rFonts w:cs="DanaFajr"/>
          <w:b/>
          <w:bCs/>
          <w:sz w:val="28"/>
          <w:szCs w:val="28"/>
          <w:rtl/>
          <w:lang w:bidi="fa-IR"/>
        </w:rPr>
        <w:t xml:space="preserve"> </w:t>
      </w:r>
      <w:r w:rsidRPr="006571AC">
        <w:rPr>
          <w:rFonts w:cs="DanaFajr" w:hint="eastAsia"/>
          <w:b/>
          <w:bCs/>
          <w:sz w:val="28"/>
          <w:szCs w:val="28"/>
          <w:rtl/>
          <w:lang w:bidi="fa-IR"/>
        </w:rPr>
        <w:t>وَلا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يَرْتَابَ</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أُوتُوا</w:t>
      </w:r>
      <w:r w:rsidRPr="006571AC">
        <w:rPr>
          <w:rFonts w:cs="DanaFajr"/>
          <w:b/>
          <w:bCs/>
          <w:sz w:val="28"/>
          <w:szCs w:val="28"/>
          <w:rtl/>
          <w:lang w:bidi="fa-IR"/>
        </w:rPr>
        <w:t xml:space="preserve"> </w:t>
      </w:r>
      <w:r w:rsidRPr="006571AC">
        <w:rPr>
          <w:rFonts w:cs="DanaFajr" w:hint="eastAsia"/>
          <w:b/>
          <w:bCs/>
          <w:sz w:val="28"/>
          <w:szCs w:val="28"/>
          <w:rtl/>
          <w:lang w:bidi="fa-IR"/>
        </w:rPr>
        <w:t>الْكِتَابَ</w:t>
      </w:r>
      <w:r w:rsidRPr="006571AC">
        <w:rPr>
          <w:rFonts w:cs="DanaFajr"/>
          <w:b/>
          <w:bCs/>
          <w:sz w:val="28"/>
          <w:szCs w:val="28"/>
          <w:rtl/>
          <w:lang w:bidi="fa-IR"/>
        </w:rPr>
        <w:t xml:space="preserve"> </w:t>
      </w:r>
      <w:r w:rsidRPr="006571AC">
        <w:rPr>
          <w:rFonts w:cs="DanaFajr" w:hint="eastAsia"/>
          <w:b/>
          <w:bCs/>
          <w:sz w:val="28"/>
          <w:szCs w:val="28"/>
          <w:rtl/>
          <w:lang w:bidi="fa-IR"/>
        </w:rPr>
        <w:t>وَالْمُؤْمِنُونَ</w:t>
      </w:r>
      <w:r w:rsidRPr="006571AC">
        <w:rPr>
          <w:rFonts w:cs="DanaFajr"/>
          <w:b/>
          <w:bCs/>
          <w:sz w:val="28"/>
          <w:szCs w:val="28"/>
          <w:rtl/>
          <w:lang w:bidi="fa-IR"/>
        </w:rPr>
        <w:t xml:space="preserve"> </w:t>
      </w:r>
      <w:r w:rsidRPr="006571AC">
        <w:rPr>
          <w:rFonts w:cs="DanaFajr" w:hint="eastAsia"/>
          <w:b/>
          <w:bCs/>
          <w:sz w:val="28"/>
          <w:szCs w:val="28"/>
          <w:rtl/>
          <w:lang w:bidi="fa-IR"/>
        </w:rPr>
        <w:t>وَلِيَقُولَ</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قُلُوبِهِمْ</w:t>
      </w:r>
      <w:r w:rsidRPr="006571AC">
        <w:rPr>
          <w:rFonts w:cs="DanaFajr"/>
          <w:b/>
          <w:bCs/>
          <w:sz w:val="28"/>
          <w:szCs w:val="28"/>
          <w:rtl/>
          <w:lang w:bidi="fa-IR"/>
        </w:rPr>
        <w:t xml:space="preserve"> </w:t>
      </w:r>
      <w:r w:rsidRPr="006571AC">
        <w:rPr>
          <w:rFonts w:cs="DanaFajr" w:hint="eastAsia"/>
          <w:b/>
          <w:bCs/>
          <w:sz w:val="28"/>
          <w:szCs w:val="28"/>
          <w:rtl/>
          <w:lang w:bidi="fa-IR"/>
        </w:rPr>
        <w:t>مَرَضٌ</w:t>
      </w:r>
      <w:r w:rsidRPr="006571AC">
        <w:rPr>
          <w:rFonts w:cs="DanaFajr"/>
          <w:b/>
          <w:bCs/>
          <w:sz w:val="28"/>
          <w:szCs w:val="28"/>
          <w:rtl/>
          <w:lang w:bidi="fa-IR"/>
        </w:rPr>
        <w:t xml:space="preserve"> </w:t>
      </w:r>
      <w:r w:rsidRPr="006571AC">
        <w:rPr>
          <w:rFonts w:cs="DanaFajr" w:hint="eastAsia"/>
          <w:b/>
          <w:bCs/>
          <w:sz w:val="28"/>
          <w:szCs w:val="28"/>
          <w:rtl/>
          <w:lang w:bidi="fa-IR"/>
        </w:rPr>
        <w:t>وَالْكَافِرُونَ</w:t>
      </w:r>
      <w:r w:rsidRPr="006571AC">
        <w:rPr>
          <w:rFonts w:cs="DanaFajr"/>
          <w:b/>
          <w:bCs/>
          <w:sz w:val="28"/>
          <w:szCs w:val="28"/>
          <w:rtl/>
          <w:lang w:bidi="fa-IR"/>
        </w:rPr>
        <w:t xml:space="preserve"> </w:t>
      </w:r>
      <w:r w:rsidRPr="006571AC">
        <w:rPr>
          <w:rFonts w:cs="DanaFajr" w:hint="eastAsia"/>
          <w:b/>
          <w:bCs/>
          <w:sz w:val="28"/>
          <w:szCs w:val="28"/>
          <w:rtl/>
          <w:lang w:bidi="fa-IR"/>
        </w:rPr>
        <w:t>مَاذَا</w:t>
      </w:r>
      <w:r w:rsidRPr="006571AC">
        <w:rPr>
          <w:rFonts w:cs="DanaFajr"/>
          <w:b/>
          <w:bCs/>
          <w:sz w:val="28"/>
          <w:szCs w:val="28"/>
          <w:rtl/>
          <w:lang w:bidi="fa-IR"/>
        </w:rPr>
        <w:t xml:space="preserve"> </w:t>
      </w:r>
      <w:r w:rsidRPr="006571AC">
        <w:rPr>
          <w:rFonts w:cs="DanaFajr" w:hint="eastAsia"/>
          <w:b/>
          <w:bCs/>
          <w:sz w:val="28"/>
          <w:szCs w:val="28"/>
          <w:rtl/>
          <w:lang w:bidi="fa-IR"/>
        </w:rPr>
        <w:t>أَرَادَ</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بِهَذَا</w:t>
      </w:r>
      <w:r w:rsidRPr="006571AC">
        <w:rPr>
          <w:rFonts w:cs="DanaFajr"/>
          <w:b/>
          <w:bCs/>
          <w:sz w:val="28"/>
          <w:szCs w:val="28"/>
          <w:rtl/>
          <w:lang w:bidi="fa-IR"/>
        </w:rPr>
        <w:t xml:space="preserve"> </w:t>
      </w:r>
      <w:r w:rsidRPr="006571AC">
        <w:rPr>
          <w:rFonts w:cs="DanaFajr" w:hint="eastAsia"/>
          <w:b/>
          <w:bCs/>
          <w:sz w:val="28"/>
          <w:szCs w:val="28"/>
          <w:rtl/>
          <w:lang w:bidi="fa-IR"/>
        </w:rPr>
        <w:t>مَثَلاً</w:t>
      </w:r>
      <w:r w:rsidRPr="006571AC">
        <w:rPr>
          <w:rFonts w:cs="DanaFajr"/>
          <w:b/>
          <w:bCs/>
          <w:sz w:val="28"/>
          <w:szCs w:val="28"/>
          <w:rtl/>
          <w:lang w:bidi="fa-IR"/>
        </w:rPr>
        <w:t xml:space="preserve"> </w:t>
      </w:r>
      <w:r w:rsidRPr="006571AC">
        <w:rPr>
          <w:rFonts w:cs="DanaFajr" w:hint="eastAsia"/>
          <w:b/>
          <w:bCs/>
          <w:sz w:val="28"/>
          <w:szCs w:val="28"/>
          <w:rtl/>
          <w:lang w:bidi="fa-IR"/>
        </w:rPr>
        <w:t>كَذَلِكَ</w:t>
      </w:r>
      <w:r w:rsidRPr="006571AC">
        <w:rPr>
          <w:rFonts w:cs="DanaFajr"/>
          <w:b/>
          <w:bCs/>
          <w:sz w:val="28"/>
          <w:szCs w:val="28"/>
          <w:rtl/>
          <w:lang w:bidi="fa-IR"/>
        </w:rPr>
        <w:t xml:space="preserve"> </w:t>
      </w:r>
      <w:r w:rsidRPr="006571AC">
        <w:rPr>
          <w:rFonts w:cs="DanaFajr" w:hint="eastAsia"/>
          <w:b/>
          <w:bCs/>
          <w:sz w:val="28"/>
          <w:szCs w:val="28"/>
          <w:rtl/>
          <w:lang w:bidi="fa-IR"/>
        </w:rPr>
        <w:t>يُضِلُّ</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يَشَاءُ</w:t>
      </w:r>
      <w:r w:rsidRPr="006571AC">
        <w:rPr>
          <w:rFonts w:cs="DanaFajr"/>
          <w:b/>
          <w:bCs/>
          <w:sz w:val="28"/>
          <w:szCs w:val="28"/>
          <w:rtl/>
          <w:lang w:bidi="fa-IR"/>
        </w:rPr>
        <w:t xml:space="preserve"> </w:t>
      </w:r>
      <w:r w:rsidRPr="006571AC">
        <w:rPr>
          <w:rFonts w:cs="DanaFajr" w:hint="eastAsia"/>
          <w:b/>
          <w:bCs/>
          <w:sz w:val="28"/>
          <w:szCs w:val="28"/>
          <w:rtl/>
          <w:lang w:bidi="fa-IR"/>
        </w:rPr>
        <w:t>وَيَهْدِي</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يَشَاءُ</w:t>
      </w:r>
      <w:r w:rsidRPr="006571AC">
        <w:rPr>
          <w:rFonts w:cs="DanaFajr"/>
          <w:b/>
          <w:bCs/>
          <w:sz w:val="28"/>
          <w:szCs w:val="28"/>
          <w:rtl/>
          <w:lang w:bidi="fa-IR"/>
        </w:rPr>
        <w:t xml:space="preserve"> </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يَعْلَمُ</w:t>
      </w:r>
      <w:r w:rsidRPr="006571AC">
        <w:rPr>
          <w:rFonts w:cs="DanaFajr"/>
          <w:b/>
          <w:bCs/>
          <w:sz w:val="28"/>
          <w:szCs w:val="28"/>
          <w:rtl/>
          <w:lang w:bidi="fa-IR"/>
        </w:rPr>
        <w:t xml:space="preserve"> </w:t>
      </w:r>
      <w:r w:rsidRPr="006571AC">
        <w:rPr>
          <w:rFonts w:cs="DanaFajr" w:hint="eastAsia"/>
          <w:b/>
          <w:bCs/>
          <w:sz w:val="28"/>
          <w:szCs w:val="28"/>
          <w:rtl/>
          <w:lang w:bidi="fa-IR"/>
        </w:rPr>
        <w:t>جُنُودَ</w:t>
      </w:r>
      <w:r w:rsidRPr="006571AC">
        <w:rPr>
          <w:rFonts w:cs="DanaFajr"/>
          <w:b/>
          <w:bCs/>
          <w:sz w:val="28"/>
          <w:szCs w:val="28"/>
          <w:rtl/>
          <w:lang w:bidi="fa-IR"/>
        </w:rPr>
        <w:t xml:space="preserve"> </w:t>
      </w:r>
      <w:r w:rsidRPr="006571AC">
        <w:rPr>
          <w:rFonts w:cs="DanaFajr" w:hint="eastAsia"/>
          <w:b/>
          <w:bCs/>
          <w:sz w:val="28"/>
          <w:szCs w:val="28"/>
          <w:rtl/>
          <w:lang w:bidi="fa-IR"/>
        </w:rPr>
        <w:t>رَبِّكَ</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هُوَ</w:t>
      </w:r>
      <w:r w:rsidRPr="006571AC">
        <w:rPr>
          <w:rFonts w:cs="DanaFajr"/>
          <w:b/>
          <w:bCs/>
          <w:sz w:val="28"/>
          <w:szCs w:val="28"/>
          <w:rtl/>
          <w:lang w:bidi="fa-IR"/>
        </w:rPr>
        <w:t xml:space="preserve"> </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هِيَ</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ذِكْرَى</w:t>
      </w:r>
      <w:r w:rsidRPr="006571AC">
        <w:rPr>
          <w:rFonts w:cs="DanaFajr"/>
          <w:b/>
          <w:bCs/>
          <w:sz w:val="28"/>
          <w:szCs w:val="28"/>
          <w:rtl/>
          <w:lang w:bidi="fa-IR"/>
        </w:rPr>
        <w:t xml:space="preserve"> </w:t>
      </w:r>
      <w:r w:rsidRPr="006571AC">
        <w:rPr>
          <w:rFonts w:cs="DanaFajr" w:hint="eastAsia"/>
          <w:b/>
          <w:bCs/>
          <w:sz w:val="28"/>
          <w:szCs w:val="28"/>
          <w:rtl/>
          <w:lang w:bidi="fa-IR"/>
        </w:rPr>
        <w:t>لِلْبَشَرِ</w:t>
      </w:r>
      <w:r w:rsidRPr="006571AC">
        <w:rPr>
          <w:rFonts w:ascii="Mosawi" w:hAnsi="Mosawi" w:cs="Mosawi"/>
          <w:sz w:val="22"/>
          <w:szCs w:val="22"/>
          <w:rtl/>
        </w:rPr>
        <w:t>﴾</w:t>
      </w:r>
      <w:r w:rsidRPr="006571AC">
        <w:rPr>
          <w:rFonts w:cs="DanaFajr" w:hint="cs"/>
          <w:sz w:val="28"/>
          <w:szCs w:val="28"/>
          <w:rtl/>
          <w:lang w:bidi="fa-IR"/>
        </w:rPr>
        <w:t xml:space="preserve"> (المدَّثر: 31).</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وَإِذِ</w:t>
      </w:r>
      <w:r w:rsidRPr="006571AC">
        <w:rPr>
          <w:rFonts w:cs="DanaFajr"/>
          <w:b/>
          <w:bCs/>
          <w:sz w:val="28"/>
          <w:szCs w:val="28"/>
          <w:rtl/>
          <w:lang w:bidi="fa-IR"/>
        </w:rPr>
        <w:t xml:space="preserve"> </w:t>
      </w:r>
      <w:r w:rsidRPr="006571AC">
        <w:rPr>
          <w:rFonts w:cs="DanaFajr" w:hint="eastAsia"/>
          <w:b/>
          <w:bCs/>
          <w:sz w:val="28"/>
          <w:szCs w:val="28"/>
          <w:rtl/>
          <w:lang w:bidi="fa-IR"/>
        </w:rPr>
        <w:t>ابْتَلَى</w:t>
      </w:r>
      <w:r w:rsidRPr="006571AC">
        <w:rPr>
          <w:rFonts w:cs="DanaFajr"/>
          <w:b/>
          <w:bCs/>
          <w:sz w:val="28"/>
          <w:szCs w:val="28"/>
          <w:rtl/>
          <w:lang w:bidi="fa-IR"/>
        </w:rPr>
        <w:t xml:space="preserve"> </w:t>
      </w:r>
      <w:r w:rsidRPr="006571AC">
        <w:rPr>
          <w:rFonts w:cs="DanaFajr" w:hint="eastAsia"/>
          <w:b/>
          <w:bCs/>
          <w:sz w:val="28"/>
          <w:szCs w:val="28"/>
          <w:rtl/>
          <w:lang w:bidi="fa-IR"/>
        </w:rPr>
        <w:t>إِبْرَاهِيمَ</w:t>
      </w:r>
      <w:r w:rsidRPr="006571AC">
        <w:rPr>
          <w:rFonts w:cs="DanaFajr"/>
          <w:b/>
          <w:bCs/>
          <w:sz w:val="28"/>
          <w:szCs w:val="28"/>
          <w:rtl/>
          <w:lang w:bidi="fa-IR"/>
        </w:rPr>
        <w:t xml:space="preserve"> </w:t>
      </w:r>
      <w:r w:rsidRPr="006571AC">
        <w:rPr>
          <w:rFonts w:cs="DanaFajr" w:hint="eastAsia"/>
          <w:b/>
          <w:bCs/>
          <w:sz w:val="28"/>
          <w:szCs w:val="28"/>
          <w:rtl/>
          <w:lang w:bidi="fa-IR"/>
        </w:rPr>
        <w:t>رَبُّهُ</w:t>
      </w:r>
      <w:r w:rsidRPr="006571AC">
        <w:rPr>
          <w:rFonts w:cs="DanaFajr"/>
          <w:b/>
          <w:bCs/>
          <w:sz w:val="28"/>
          <w:szCs w:val="28"/>
          <w:rtl/>
          <w:lang w:bidi="fa-IR"/>
        </w:rPr>
        <w:t xml:space="preserve"> </w:t>
      </w:r>
      <w:r w:rsidRPr="006571AC">
        <w:rPr>
          <w:rFonts w:cs="DanaFajr" w:hint="eastAsia"/>
          <w:b/>
          <w:bCs/>
          <w:sz w:val="28"/>
          <w:szCs w:val="28"/>
          <w:rtl/>
          <w:lang w:bidi="fa-IR"/>
        </w:rPr>
        <w:t>بِكَلِمَاتٍ</w:t>
      </w:r>
      <w:r w:rsidRPr="006571AC">
        <w:rPr>
          <w:rFonts w:cs="DanaFajr"/>
          <w:b/>
          <w:bCs/>
          <w:sz w:val="28"/>
          <w:szCs w:val="28"/>
          <w:rtl/>
          <w:lang w:bidi="fa-IR"/>
        </w:rPr>
        <w:t xml:space="preserve"> </w:t>
      </w:r>
      <w:r w:rsidRPr="006571AC">
        <w:rPr>
          <w:rFonts w:cs="DanaFajr" w:hint="eastAsia"/>
          <w:b/>
          <w:bCs/>
          <w:sz w:val="28"/>
          <w:szCs w:val="28"/>
          <w:rtl/>
          <w:lang w:bidi="fa-IR"/>
        </w:rPr>
        <w:t>فَأَتَمَّهُنَّ</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إِنِّي</w:t>
      </w:r>
      <w:r w:rsidRPr="006571AC">
        <w:rPr>
          <w:rFonts w:cs="DanaFajr"/>
          <w:b/>
          <w:bCs/>
          <w:sz w:val="28"/>
          <w:szCs w:val="28"/>
          <w:rtl/>
          <w:lang w:bidi="fa-IR"/>
        </w:rPr>
        <w:t xml:space="preserve"> </w:t>
      </w:r>
      <w:r w:rsidRPr="006571AC">
        <w:rPr>
          <w:rFonts w:cs="DanaFajr" w:hint="eastAsia"/>
          <w:b/>
          <w:bCs/>
          <w:sz w:val="28"/>
          <w:szCs w:val="28"/>
          <w:rtl/>
          <w:lang w:bidi="fa-IR"/>
        </w:rPr>
        <w:t>جَاعِلُكَ</w:t>
      </w:r>
      <w:r w:rsidRPr="006571AC">
        <w:rPr>
          <w:rFonts w:cs="DanaFajr"/>
          <w:b/>
          <w:bCs/>
          <w:sz w:val="28"/>
          <w:szCs w:val="28"/>
          <w:rtl/>
          <w:lang w:bidi="fa-IR"/>
        </w:rPr>
        <w:t xml:space="preserve"> </w:t>
      </w:r>
      <w:r w:rsidRPr="006571AC">
        <w:rPr>
          <w:rFonts w:cs="DanaFajr" w:hint="eastAsia"/>
          <w:b/>
          <w:bCs/>
          <w:sz w:val="28"/>
          <w:szCs w:val="28"/>
          <w:rtl/>
          <w:lang w:bidi="fa-IR"/>
        </w:rPr>
        <w:t>لِلنَّاسِ</w:t>
      </w:r>
      <w:r w:rsidRPr="006571AC">
        <w:rPr>
          <w:rFonts w:cs="DanaFajr"/>
          <w:b/>
          <w:bCs/>
          <w:sz w:val="28"/>
          <w:szCs w:val="28"/>
          <w:rtl/>
          <w:lang w:bidi="fa-IR"/>
        </w:rPr>
        <w:t xml:space="preserve"> </w:t>
      </w:r>
      <w:r w:rsidRPr="006571AC">
        <w:rPr>
          <w:rFonts w:cs="DanaFajr" w:hint="eastAsia"/>
          <w:b/>
          <w:bCs/>
          <w:sz w:val="28"/>
          <w:szCs w:val="28"/>
          <w:rtl/>
          <w:lang w:bidi="fa-IR"/>
        </w:rPr>
        <w:t>إِمَاماً</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وَمِنْ</w:t>
      </w:r>
      <w:r w:rsidRPr="006571AC">
        <w:rPr>
          <w:rFonts w:cs="DanaFajr"/>
          <w:b/>
          <w:bCs/>
          <w:sz w:val="28"/>
          <w:szCs w:val="28"/>
          <w:rtl/>
          <w:lang w:bidi="fa-IR"/>
        </w:rPr>
        <w:t xml:space="preserve"> </w:t>
      </w:r>
      <w:r w:rsidRPr="006571AC">
        <w:rPr>
          <w:rFonts w:cs="DanaFajr" w:hint="eastAsia"/>
          <w:b/>
          <w:bCs/>
          <w:sz w:val="28"/>
          <w:szCs w:val="28"/>
          <w:rtl/>
          <w:lang w:bidi="fa-IR"/>
        </w:rPr>
        <w:t>ذُرِّيَّتِي</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يَنَالُ</w:t>
      </w:r>
      <w:r w:rsidRPr="006571AC">
        <w:rPr>
          <w:rFonts w:cs="DanaFajr"/>
          <w:b/>
          <w:bCs/>
          <w:sz w:val="28"/>
          <w:szCs w:val="28"/>
          <w:rtl/>
          <w:lang w:bidi="fa-IR"/>
        </w:rPr>
        <w:t xml:space="preserve"> </w:t>
      </w:r>
      <w:r w:rsidRPr="006571AC">
        <w:rPr>
          <w:rFonts w:cs="DanaFajr" w:hint="eastAsia"/>
          <w:b/>
          <w:bCs/>
          <w:sz w:val="28"/>
          <w:szCs w:val="28"/>
          <w:rtl/>
          <w:lang w:bidi="fa-IR"/>
        </w:rPr>
        <w:t>عَهْدِي</w:t>
      </w:r>
      <w:r w:rsidRPr="006571AC">
        <w:rPr>
          <w:rFonts w:cs="DanaFajr"/>
          <w:b/>
          <w:bCs/>
          <w:sz w:val="28"/>
          <w:szCs w:val="28"/>
          <w:rtl/>
          <w:lang w:bidi="fa-IR"/>
        </w:rPr>
        <w:t xml:space="preserve"> </w:t>
      </w:r>
      <w:r w:rsidRPr="006571AC">
        <w:rPr>
          <w:rFonts w:cs="DanaFajr" w:hint="eastAsia"/>
          <w:b/>
          <w:bCs/>
          <w:sz w:val="28"/>
          <w:szCs w:val="28"/>
          <w:rtl/>
          <w:lang w:bidi="fa-IR"/>
        </w:rPr>
        <w:t>الظَّالِمِينَ</w:t>
      </w:r>
      <w:r w:rsidRPr="006571AC">
        <w:rPr>
          <w:rFonts w:ascii="Mosawi" w:hAnsi="Mosawi" w:cs="Mosawi"/>
          <w:sz w:val="22"/>
          <w:szCs w:val="22"/>
          <w:rtl/>
        </w:rPr>
        <w:t>﴾</w:t>
      </w:r>
      <w:r w:rsidRPr="006571AC">
        <w:rPr>
          <w:rFonts w:cs="DanaFajr" w:hint="cs"/>
          <w:sz w:val="28"/>
          <w:szCs w:val="28"/>
          <w:rtl/>
          <w:lang w:bidi="fa-IR"/>
        </w:rPr>
        <w:t xml:space="preserve"> (البقرة: 12</w:t>
      </w:r>
      <w:r w:rsidRPr="006571AC">
        <w:rPr>
          <w:rFonts w:cs="DanaFajr" w:hint="cs"/>
          <w:sz w:val="28"/>
          <w:szCs w:val="28"/>
          <w:rtl/>
        </w:rPr>
        <w:t>4</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وَلَنَبْلُوَنَّكُمْ</w:t>
      </w:r>
      <w:r w:rsidRPr="006571AC">
        <w:rPr>
          <w:rFonts w:cs="DanaFajr"/>
          <w:b/>
          <w:bCs/>
          <w:sz w:val="28"/>
          <w:szCs w:val="28"/>
          <w:rtl/>
          <w:lang w:bidi="fa-IR"/>
        </w:rPr>
        <w:t xml:space="preserve"> </w:t>
      </w:r>
      <w:r w:rsidRPr="006571AC">
        <w:rPr>
          <w:rFonts w:cs="DanaFajr" w:hint="eastAsia"/>
          <w:b/>
          <w:bCs/>
          <w:sz w:val="28"/>
          <w:szCs w:val="28"/>
          <w:rtl/>
          <w:lang w:bidi="fa-IR"/>
        </w:rPr>
        <w:t>بِشَيْءٍ</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الْخَوْفِ</w:t>
      </w:r>
      <w:r w:rsidRPr="006571AC">
        <w:rPr>
          <w:rFonts w:cs="DanaFajr"/>
          <w:b/>
          <w:bCs/>
          <w:sz w:val="28"/>
          <w:szCs w:val="28"/>
          <w:rtl/>
          <w:lang w:bidi="fa-IR"/>
        </w:rPr>
        <w:t xml:space="preserve"> </w:t>
      </w:r>
      <w:r w:rsidRPr="006571AC">
        <w:rPr>
          <w:rFonts w:cs="DanaFajr" w:hint="eastAsia"/>
          <w:b/>
          <w:bCs/>
          <w:sz w:val="28"/>
          <w:szCs w:val="28"/>
          <w:rtl/>
          <w:lang w:bidi="fa-IR"/>
        </w:rPr>
        <w:t>وَالْجُوعِ</w:t>
      </w:r>
      <w:r w:rsidRPr="006571AC">
        <w:rPr>
          <w:rFonts w:cs="DanaFajr"/>
          <w:b/>
          <w:bCs/>
          <w:sz w:val="28"/>
          <w:szCs w:val="28"/>
          <w:rtl/>
          <w:lang w:bidi="fa-IR"/>
        </w:rPr>
        <w:t xml:space="preserve"> </w:t>
      </w:r>
      <w:r w:rsidRPr="006571AC">
        <w:rPr>
          <w:rFonts w:cs="DanaFajr" w:hint="eastAsia"/>
          <w:b/>
          <w:bCs/>
          <w:sz w:val="28"/>
          <w:szCs w:val="28"/>
          <w:rtl/>
          <w:lang w:bidi="fa-IR"/>
        </w:rPr>
        <w:t>وَنَقْصٍ</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الأَمْوَالِ</w:t>
      </w:r>
      <w:r w:rsidRPr="006571AC">
        <w:rPr>
          <w:rFonts w:cs="DanaFajr"/>
          <w:b/>
          <w:bCs/>
          <w:sz w:val="28"/>
          <w:szCs w:val="28"/>
          <w:rtl/>
          <w:lang w:bidi="fa-IR"/>
        </w:rPr>
        <w:t xml:space="preserve"> </w:t>
      </w:r>
      <w:r w:rsidRPr="006571AC">
        <w:rPr>
          <w:rFonts w:cs="DanaFajr" w:hint="eastAsia"/>
          <w:b/>
          <w:bCs/>
          <w:sz w:val="28"/>
          <w:szCs w:val="28"/>
          <w:rtl/>
          <w:lang w:bidi="fa-IR"/>
        </w:rPr>
        <w:t>وَالأَنْفُسِ</w:t>
      </w:r>
      <w:r w:rsidRPr="006571AC">
        <w:rPr>
          <w:rFonts w:cs="DanaFajr"/>
          <w:b/>
          <w:bCs/>
          <w:sz w:val="28"/>
          <w:szCs w:val="28"/>
          <w:rtl/>
          <w:lang w:bidi="fa-IR"/>
        </w:rPr>
        <w:t xml:space="preserve"> </w:t>
      </w:r>
      <w:r w:rsidRPr="006571AC">
        <w:rPr>
          <w:rFonts w:cs="DanaFajr" w:hint="eastAsia"/>
          <w:b/>
          <w:bCs/>
          <w:sz w:val="28"/>
          <w:szCs w:val="28"/>
          <w:rtl/>
          <w:lang w:bidi="fa-IR"/>
        </w:rPr>
        <w:t>وَالثَّمَرَاتِ</w:t>
      </w:r>
      <w:r w:rsidRPr="006571AC">
        <w:rPr>
          <w:rFonts w:cs="DanaFajr"/>
          <w:b/>
          <w:bCs/>
          <w:sz w:val="28"/>
          <w:szCs w:val="28"/>
          <w:rtl/>
          <w:lang w:bidi="fa-IR"/>
        </w:rPr>
        <w:t xml:space="preserve"> </w:t>
      </w:r>
      <w:r w:rsidRPr="006571AC">
        <w:rPr>
          <w:rFonts w:cs="DanaFajr" w:hint="eastAsia"/>
          <w:b/>
          <w:bCs/>
          <w:sz w:val="28"/>
          <w:szCs w:val="28"/>
          <w:rtl/>
          <w:lang w:bidi="fa-IR"/>
        </w:rPr>
        <w:t>وَبَشِّرِ</w:t>
      </w:r>
      <w:r w:rsidRPr="006571AC">
        <w:rPr>
          <w:rFonts w:cs="DanaFajr"/>
          <w:b/>
          <w:bCs/>
          <w:sz w:val="28"/>
          <w:szCs w:val="28"/>
          <w:rtl/>
          <w:lang w:bidi="fa-IR"/>
        </w:rPr>
        <w:t xml:space="preserve"> </w:t>
      </w:r>
      <w:r w:rsidRPr="006571AC">
        <w:rPr>
          <w:rFonts w:cs="DanaFajr" w:hint="eastAsia"/>
          <w:b/>
          <w:bCs/>
          <w:sz w:val="28"/>
          <w:szCs w:val="28"/>
          <w:rtl/>
          <w:lang w:bidi="fa-IR"/>
        </w:rPr>
        <w:t>الصَّابِرِينَ</w:t>
      </w:r>
      <w:r w:rsidRPr="006571AC">
        <w:rPr>
          <w:rFonts w:ascii="Mosawi" w:hAnsi="Mosawi" w:cs="Mosawi"/>
          <w:sz w:val="22"/>
          <w:szCs w:val="22"/>
          <w:rtl/>
        </w:rPr>
        <w:t>﴾</w:t>
      </w:r>
      <w:r w:rsidRPr="006571AC">
        <w:rPr>
          <w:rFonts w:cs="DanaFajr" w:hint="cs"/>
          <w:sz w:val="28"/>
          <w:szCs w:val="28"/>
          <w:rtl/>
          <w:lang w:bidi="fa-IR"/>
        </w:rPr>
        <w:t xml:space="preserve"> (البقرة: 1</w:t>
      </w:r>
      <w:r w:rsidRPr="006571AC">
        <w:rPr>
          <w:rFonts w:cs="DanaFajr" w:hint="cs"/>
          <w:sz w:val="28"/>
          <w:szCs w:val="28"/>
          <w:rtl/>
        </w:rPr>
        <w:t>55</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فَلَمَّا</w:t>
      </w:r>
      <w:r w:rsidRPr="006571AC">
        <w:rPr>
          <w:rFonts w:cs="DanaFajr"/>
          <w:b/>
          <w:bCs/>
          <w:sz w:val="28"/>
          <w:szCs w:val="28"/>
          <w:rtl/>
          <w:lang w:bidi="fa-IR"/>
        </w:rPr>
        <w:t xml:space="preserve"> </w:t>
      </w:r>
      <w:r w:rsidRPr="006571AC">
        <w:rPr>
          <w:rFonts w:cs="DanaFajr" w:hint="eastAsia"/>
          <w:b/>
          <w:bCs/>
          <w:sz w:val="28"/>
          <w:szCs w:val="28"/>
          <w:rtl/>
          <w:lang w:bidi="fa-IR"/>
        </w:rPr>
        <w:t>فَصَلَ</w:t>
      </w:r>
      <w:r w:rsidRPr="006571AC">
        <w:rPr>
          <w:rFonts w:cs="DanaFajr"/>
          <w:b/>
          <w:bCs/>
          <w:sz w:val="28"/>
          <w:szCs w:val="28"/>
          <w:rtl/>
          <w:lang w:bidi="fa-IR"/>
        </w:rPr>
        <w:t xml:space="preserve"> </w:t>
      </w:r>
      <w:r w:rsidRPr="006571AC">
        <w:rPr>
          <w:rFonts w:cs="DanaFajr" w:hint="eastAsia"/>
          <w:b/>
          <w:bCs/>
          <w:sz w:val="28"/>
          <w:szCs w:val="28"/>
          <w:rtl/>
          <w:lang w:bidi="fa-IR"/>
        </w:rPr>
        <w:t>طَالُوتُ</w:t>
      </w:r>
      <w:r w:rsidRPr="006571AC">
        <w:rPr>
          <w:rFonts w:cs="DanaFajr"/>
          <w:b/>
          <w:bCs/>
          <w:sz w:val="28"/>
          <w:szCs w:val="28"/>
          <w:rtl/>
          <w:lang w:bidi="fa-IR"/>
        </w:rPr>
        <w:t xml:space="preserve"> </w:t>
      </w:r>
      <w:r w:rsidRPr="006571AC">
        <w:rPr>
          <w:rFonts w:cs="DanaFajr" w:hint="eastAsia"/>
          <w:b/>
          <w:bCs/>
          <w:sz w:val="28"/>
          <w:szCs w:val="28"/>
          <w:rtl/>
          <w:lang w:bidi="fa-IR"/>
        </w:rPr>
        <w:t>بِالْجُنُودِ</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مُبْتَلِيكُمْ</w:t>
      </w:r>
      <w:r w:rsidRPr="006571AC">
        <w:rPr>
          <w:rFonts w:cs="DanaFajr"/>
          <w:b/>
          <w:bCs/>
          <w:sz w:val="28"/>
          <w:szCs w:val="28"/>
          <w:rtl/>
          <w:lang w:bidi="fa-IR"/>
        </w:rPr>
        <w:t xml:space="preserve"> </w:t>
      </w:r>
      <w:r w:rsidRPr="006571AC">
        <w:rPr>
          <w:rFonts w:cs="DanaFajr" w:hint="eastAsia"/>
          <w:b/>
          <w:bCs/>
          <w:sz w:val="28"/>
          <w:szCs w:val="28"/>
          <w:rtl/>
          <w:lang w:bidi="fa-IR"/>
        </w:rPr>
        <w:t>بِنَهَرٍ</w:t>
      </w:r>
      <w:r w:rsidRPr="006571AC">
        <w:rPr>
          <w:rFonts w:cs="DanaFajr"/>
          <w:b/>
          <w:bCs/>
          <w:sz w:val="28"/>
          <w:szCs w:val="28"/>
          <w:rtl/>
          <w:lang w:bidi="fa-IR"/>
        </w:rPr>
        <w:t xml:space="preserve"> </w:t>
      </w:r>
      <w:r w:rsidRPr="006571AC">
        <w:rPr>
          <w:rFonts w:cs="DanaFajr" w:hint="eastAsia"/>
          <w:b/>
          <w:bCs/>
          <w:sz w:val="28"/>
          <w:szCs w:val="28"/>
          <w:rtl/>
          <w:lang w:bidi="fa-IR"/>
        </w:rPr>
        <w:t>فَمَنْ</w:t>
      </w:r>
      <w:r w:rsidRPr="006571AC">
        <w:rPr>
          <w:rFonts w:cs="DanaFajr"/>
          <w:b/>
          <w:bCs/>
          <w:sz w:val="28"/>
          <w:szCs w:val="28"/>
          <w:rtl/>
          <w:lang w:bidi="fa-IR"/>
        </w:rPr>
        <w:t xml:space="preserve"> </w:t>
      </w:r>
      <w:r w:rsidRPr="006571AC">
        <w:rPr>
          <w:rFonts w:cs="DanaFajr" w:hint="eastAsia"/>
          <w:b/>
          <w:bCs/>
          <w:sz w:val="28"/>
          <w:szCs w:val="28"/>
          <w:rtl/>
          <w:lang w:bidi="fa-IR"/>
        </w:rPr>
        <w:t>شَرِبَ</w:t>
      </w:r>
      <w:r w:rsidRPr="006571AC">
        <w:rPr>
          <w:rFonts w:cs="DanaFajr"/>
          <w:b/>
          <w:bCs/>
          <w:sz w:val="28"/>
          <w:szCs w:val="28"/>
          <w:rtl/>
          <w:lang w:bidi="fa-IR"/>
        </w:rPr>
        <w:t xml:space="preserve"> </w:t>
      </w:r>
      <w:r w:rsidRPr="006571AC">
        <w:rPr>
          <w:rFonts w:cs="DanaFajr" w:hint="eastAsia"/>
          <w:b/>
          <w:bCs/>
          <w:sz w:val="28"/>
          <w:szCs w:val="28"/>
          <w:rtl/>
          <w:lang w:bidi="fa-IR"/>
        </w:rPr>
        <w:t>مِنْهُ</w:t>
      </w:r>
      <w:r w:rsidRPr="006571AC">
        <w:rPr>
          <w:rFonts w:cs="DanaFajr"/>
          <w:b/>
          <w:bCs/>
          <w:sz w:val="28"/>
          <w:szCs w:val="28"/>
          <w:rtl/>
          <w:lang w:bidi="fa-IR"/>
        </w:rPr>
        <w:t xml:space="preserve"> </w:t>
      </w:r>
      <w:r w:rsidRPr="006571AC">
        <w:rPr>
          <w:rFonts w:cs="DanaFajr" w:hint="eastAsia"/>
          <w:b/>
          <w:bCs/>
          <w:sz w:val="28"/>
          <w:szCs w:val="28"/>
          <w:rtl/>
          <w:lang w:bidi="fa-IR"/>
        </w:rPr>
        <w:t>فَلَيْسَ</w:t>
      </w:r>
      <w:r w:rsidRPr="006571AC">
        <w:rPr>
          <w:rFonts w:cs="DanaFajr"/>
          <w:b/>
          <w:bCs/>
          <w:sz w:val="28"/>
          <w:szCs w:val="28"/>
          <w:rtl/>
          <w:lang w:bidi="fa-IR"/>
        </w:rPr>
        <w:t xml:space="preserve"> </w:t>
      </w:r>
      <w:r w:rsidRPr="006571AC">
        <w:rPr>
          <w:rFonts w:cs="DanaFajr" w:hint="eastAsia"/>
          <w:b/>
          <w:bCs/>
          <w:sz w:val="28"/>
          <w:szCs w:val="28"/>
          <w:rtl/>
          <w:lang w:bidi="fa-IR"/>
        </w:rPr>
        <w:t>مِنِّي</w:t>
      </w:r>
      <w:r w:rsidRPr="006571AC">
        <w:rPr>
          <w:rFonts w:cs="DanaFajr"/>
          <w:b/>
          <w:bCs/>
          <w:sz w:val="28"/>
          <w:szCs w:val="28"/>
          <w:rtl/>
          <w:lang w:bidi="fa-IR"/>
        </w:rPr>
        <w:t xml:space="preserve"> </w:t>
      </w:r>
      <w:r w:rsidRPr="006571AC">
        <w:rPr>
          <w:rFonts w:cs="DanaFajr" w:hint="eastAsia"/>
          <w:b/>
          <w:bCs/>
          <w:sz w:val="28"/>
          <w:szCs w:val="28"/>
          <w:rtl/>
          <w:lang w:bidi="fa-IR"/>
        </w:rPr>
        <w:t>وَمَنْ</w:t>
      </w:r>
      <w:r w:rsidRPr="006571AC">
        <w:rPr>
          <w:rFonts w:cs="DanaFajr"/>
          <w:b/>
          <w:bCs/>
          <w:sz w:val="28"/>
          <w:szCs w:val="28"/>
          <w:rtl/>
          <w:lang w:bidi="fa-IR"/>
        </w:rPr>
        <w:t xml:space="preserve"> </w:t>
      </w:r>
      <w:r w:rsidRPr="006571AC">
        <w:rPr>
          <w:rFonts w:cs="DanaFajr" w:hint="eastAsia"/>
          <w:b/>
          <w:bCs/>
          <w:sz w:val="28"/>
          <w:szCs w:val="28"/>
          <w:rtl/>
          <w:lang w:bidi="fa-IR"/>
        </w:rPr>
        <w:t>لَمْ</w:t>
      </w:r>
      <w:r w:rsidRPr="006571AC">
        <w:rPr>
          <w:rFonts w:cs="DanaFajr"/>
          <w:b/>
          <w:bCs/>
          <w:sz w:val="28"/>
          <w:szCs w:val="28"/>
          <w:rtl/>
          <w:lang w:bidi="fa-IR"/>
        </w:rPr>
        <w:t xml:space="preserve"> </w:t>
      </w:r>
      <w:r w:rsidRPr="006571AC">
        <w:rPr>
          <w:rFonts w:cs="DanaFajr" w:hint="eastAsia"/>
          <w:b/>
          <w:bCs/>
          <w:sz w:val="28"/>
          <w:szCs w:val="28"/>
          <w:rtl/>
          <w:lang w:bidi="fa-IR"/>
        </w:rPr>
        <w:t>يَطْعَمْهُ</w:t>
      </w:r>
      <w:r w:rsidRPr="006571AC">
        <w:rPr>
          <w:rFonts w:cs="DanaFajr"/>
          <w:b/>
          <w:bCs/>
          <w:sz w:val="28"/>
          <w:szCs w:val="28"/>
          <w:rtl/>
          <w:lang w:bidi="fa-IR"/>
        </w:rPr>
        <w:t xml:space="preserve"> </w:t>
      </w:r>
      <w:r w:rsidRPr="006571AC">
        <w:rPr>
          <w:rFonts w:cs="DanaFajr" w:hint="eastAsia"/>
          <w:b/>
          <w:bCs/>
          <w:sz w:val="28"/>
          <w:szCs w:val="28"/>
          <w:rtl/>
          <w:lang w:bidi="fa-IR"/>
        </w:rPr>
        <w:t>فَإِنَّهُ</w:t>
      </w:r>
      <w:r w:rsidRPr="006571AC">
        <w:rPr>
          <w:rFonts w:cs="DanaFajr"/>
          <w:b/>
          <w:bCs/>
          <w:sz w:val="28"/>
          <w:szCs w:val="28"/>
          <w:rtl/>
          <w:lang w:bidi="fa-IR"/>
        </w:rPr>
        <w:t xml:space="preserve"> </w:t>
      </w:r>
      <w:r w:rsidRPr="006571AC">
        <w:rPr>
          <w:rFonts w:cs="DanaFajr" w:hint="eastAsia"/>
          <w:b/>
          <w:bCs/>
          <w:sz w:val="28"/>
          <w:szCs w:val="28"/>
          <w:rtl/>
          <w:lang w:bidi="fa-IR"/>
        </w:rPr>
        <w:t>مِنِّي</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اغْتَرَفَ</w:t>
      </w:r>
      <w:r w:rsidRPr="006571AC">
        <w:rPr>
          <w:rFonts w:cs="DanaFajr"/>
          <w:b/>
          <w:bCs/>
          <w:sz w:val="28"/>
          <w:szCs w:val="28"/>
          <w:rtl/>
          <w:lang w:bidi="fa-IR"/>
        </w:rPr>
        <w:t xml:space="preserve"> </w:t>
      </w:r>
      <w:r w:rsidRPr="006571AC">
        <w:rPr>
          <w:rFonts w:cs="DanaFajr" w:hint="eastAsia"/>
          <w:b/>
          <w:bCs/>
          <w:sz w:val="28"/>
          <w:szCs w:val="28"/>
          <w:rtl/>
          <w:lang w:bidi="fa-IR"/>
        </w:rPr>
        <w:t>غُرْفَةً</w:t>
      </w:r>
      <w:r w:rsidRPr="006571AC">
        <w:rPr>
          <w:rFonts w:cs="DanaFajr"/>
          <w:b/>
          <w:bCs/>
          <w:sz w:val="28"/>
          <w:szCs w:val="28"/>
          <w:rtl/>
          <w:lang w:bidi="fa-IR"/>
        </w:rPr>
        <w:t xml:space="preserve"> </w:t>
      </w:r>
      <w:r w:rsidRPr="006571AC">
        <w:rPr>
          <w:rFonts w:cs="DanaFajr" w:hint="eastAsia"/>
          <w:b/>
          <w:bCs/>
          <w:sz w:val="28"/>
          <w:szCs w:val="28"/>
          <w:rtl/>
          <w:lang w:bidi="fa-IR"/>
        </w:rPr>
        <w:t>بِيَدِهِ</w:t>
      </w:r>
      <w:r w:rsidRPr="006571AC">
        <w:rPr>
          <w:rFonts w:cs="DanaFajr"/>
          <w:b/>
          <w:bCs/>
          <w:sz w:val="28"/>
          <w:szCs w:val="28"/>
          <w:rtl/>
          <w:lang w:bidi="fa-IR"/>
        </w:rPr>
        <w:t xml:space="preserve"> </w:t>
      </w:r>
      <w:r w:rsidRPr="006571AC">
        <w:rPr>
          <w:rFonts w:cs="DanaFajr" w:hint="eastAsia"/>
          <w:b/>
          <w:bCs/>
          <w:sz w:val="28"/>
          <w:szCs w:val="28"/>
          <w:rtl/>
          <w:lang w:bidi="fa-IR"/>
        </w:rPr>
        <w:t>فَشَرِبُوا</w:t>
      </w:r>
      <w:r w:rsidRPr="006571AC">
        <w:rPr>
          <w:rFonts w:cs="DanaFajr"/>
          <w:b/>
          <w:bCs/>
          <w:sz w:val="28"/>
          <w:szCs w:val="28"/>
          <w:rtl/>
          <w:lang w:bidi="fa-IR"/>
        </w:rPr>
        <w:t xml:space="preserve"> </w:t>
      </w:r>
      <w:r w:rsidRPr="006571AC">
        <w:rPr>
          <w:rFonts w:cs="DanaFajr" w:hint="eastAsia"/>
          <w:b/>
          <w:bCs/>
          <w:sz w:val="28"/>
          <w:szCs w:val="28"/>
          <w:rtl/>
          <w:lang w:bidi="fa-IR"/>
        </w:rPr>
        <w:t>مِنْهُ</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قَلِيلاً</w:t>
      </w:r>
      <w:r w:rsidRPr="006571AC">
        <w:rPr>
          <w:rFonts w:cs="DanaFajr"/>
          <w:b/>
          <w:bCs/>
          <w:sz w:val="28"/>
          <w:szCs w:val="28"/>
          <w:rtl/>
          <w:lang w:bidi="fa-IR"/>
        </w:rPr>
        <w:t xml:space="preserve"> </w:t>
      </w:r>
      <w:r w:rsidRPr="006571AC">
        <w:rPr>
          <w:rFonts w:cs="DanaFajr" w:hint="eastAsia"/>
          <w:b/>
          <w:bCs/>
          <w:sz w:val="28"/>
          <w:szCs w:val="28"/>
          <w:rtl/>
          <w:lang w:bidi="fa-IR"/>
        </w:rPr>
        <w:t>مِنْهُمْ</w:t>
      </w:r>
      <w:r w:rsidRPr="006571AC">
        <w:rPr>
          <w:rFonts w:cs="DanaFajr"/>
          <w:b/>
          <w:bCs/>
          <w:sz w:val="28"/>
          <w:szCs w:val="28"/>
          <w:rtl/>
          <w:lang w:bidi="fa-IR"/>
        </w:rPr>
        <w:t xml:space="preserve"> </w:t>
      </w:r>
      <w:r w:rsidRPr="006571AC">
        <w:rPr>
          <w:rFonts w:cs="DanaFajr" w:hint="eastAsia"/>
          <w:b/>
          <w:bCs/>
          <w:sz w:val="28"/>
          <w:szCs w:val="28"/>
          <w:rtl/>
          <w:lang w:bidi="fa-IR"/>
        </w:rPr>
        <w:t>فَلَمَّا</w:t>
      </w:r>
      <w:r w:rsidRPr="006571AC">
        <w:rPr>
          <w:rFonts w:cs="DanaFajr"/>
          <w:b/>
          <w:bCs/>
          <w:sz w:val="28"/>
          <w:szCs w:val="28"/>
          <w:rtl/>
          <w:lang w:bidi="fa-IR"/>
        </w:rPr>
        <w:t xml:space="preserve"> </w:t>
      </w:r>
      <w:r w:rsidRPr="006571AC">
        <w:rPr>
          <w:rFonts w:cs="DanaFajr" w:hint="eastAsia"/>
          <w:b/>
          <w:bCs/>
          <w:sz w:val="28"/>
          <w:szCs w:val="28"/>
          <w:rtl/>
          <w:lang w:bidi="fa-IR"/>
        </w:rPr>
        <w:t>جَاوَزَهُ</w:t>
      </w:r>
      <w:r w:rsidRPr="006571AC">
        <w:rPr>
          <w:rFonts w:cs="DanaFajr"/>
          <w:b/>
          <w:bCs/>
          <w:sz w:val="28"/>
          <w:szCs w:val="28"/>
          <w:rtl/>
          <w:lang w:bidi="fa-IR"/>
        </w:rPr>
        <w:t xml:space="preserve"> </w:t>
      </w:r>
      <w:r w:rsidRPr="006571AC">
        <w:rPr>
          <w:rFonts w:cs="DanaFajr" w:hint="eastAsia"/>
          <w:b/>
          <w:bCs/>
          <w:sz w:val="28"/>
          <w:szCs w:val="28"/>
          <w:rtl/>
          <w:lang w:bidi="fa-IR"/>
        </w:rPr>
        <w:t>هُوَ</w:t>
      </w:r>
      <w:r w:rsidRPr="006571AC">
        <w:rPr>
          <w:rFonts w:cs="DanaFajr"/>
          <w:b/>
          <w:bCs/>
          <w:sz w:val="28"/>
          <w:szCs w:val="28"/>
          <w:rtl/>
          <w:lang w:bidi="fa-IR"/>
        </w:rPr>
        <w:t xml:space="preserve"> </w:t>
      </w:r>
      <w:r w:rsidRPr="006571AC">
        <w:rPr>
          <w:rFonts w:cs="DanaFajr" w:hint="eastAsia"/>
          <w:b/>
          <w:bCs/>
          <w:sz w:val="28"/>
          <w:szCs w:val="28"/>
          <w:rtl/>
          <w:lang w:bidi="fa-IR"/>
        </w:rPr>
        <w:t>وَالَّذِينَ</w:t>
      </w:r>
      <w:r w:rsidRPr="006571AC">
        <w:rPr>
          <w:rFonts w:cs="DanaFajr"/>
          <w:b/>
          <w:bCs/>
          <w:sz w:val="28"/>
          <w:szCs w:val="28"/>
          <w:rtl/>
          <w:lang w:bidi="fa-IR"/>
        </w:rPr>
        <w:t xml:space="preserve"> </w:t>
      </w:r>
      <w:r w:rsidRPr="006571AC">
        <w:rPr>
          <w:rFonts w:cs="DanaFajr" w:hint="eastAsia"/>
          <w:b/>
          <w:bCs/>
          <w:sz w:val="28"/>
          <w:szCs w:val="28"/>
          <w:rtl/>
          <w:lang w:bidi="fa-IR"/>
        </w:rPr>
        <w:t>آمَنُوا</w:t>
      </w:r>
      <w:r w:rsidRPr="006571AC">
        <w:rPr>
          <w:rFonts w:cs="DanaFajr"/>
          <w:b/>
          <w:bCs/>
          <w:sz w:val="28"/>
          <w:szCs w:val="28"/>
          <w:rtl/>
          <w:lang w:bidi="fa-IR"/>
        </w:rPr>
        <w:t xml:space="preserve"> </w:t>
      </w:r>
      <w:r w:rsidRPr="006571AC">
        <w:rPr>
          <w:rFonts w:cs="DanaFajr" w:hint="eastAsia"/>
          <w:b/>
          <w:bCs/>
          <w:sz w:val="28"/>
          <w:szCs w:val="28"/>
          <w:rtl/>
          <w:lang w:bidi="fa-IR"/>
        </w:rPr>
        <w:t>مَعَهُ</w:t>
      </w:r>
      <w:r w:rsidRPr="006571AC">
        <w:rPr>
          <w:rFonts w:cs="DanaFajr"/>
          <w:b/>
          <w:bCs/>
          <w:sz w:val="28"/>
          <w:szCs w:val="28"/>
          <w:rtl/>
          <w:lang w:bidi="fa-IR"/>
        </w:rPr>
        <w:t xml:space="preserve"> </w:t>
      </w:r>
      <w:r w:rsidRPr="006571AC">
        <w:rPr>
          <w:rFonts w:cs="DanaFajr" w:hint="eastAsia"/>
          <w:b/>
          <w:bCs/>
          <w:sz w:val="28"/>
          <w:szCs w:val="28"/>
          <w:rtl/>
          <w:lang w:bidi="fa-IR"/>
        </w:rPr>
        <w:t>قَالُوا</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طَاقَةَ</w:t>
      </w:r>
      <w:r w:rsidRPr="006571AC">
        <w:rPr>
          <w:rFonts w:cs="DanaFajr"/>
          <w:b/>
          <w:bCs/>
          <w:sz w:val="28"/>
          <w:szCs w:val="28"/>
          <w:rtl/>
          <w:lang w:bidi="fa-IR"/>
        </w:rPr>
        <w:t xml:space="preserve"> </w:t>
      </w:r>
      <w:r w:rsidRPr="006571AC">
        <w:rPr>
          <w:rFonts w:cs="DanaFajr" w:hint="eastAsia"/>
          <w:b/>
          <w:bCs/>
          <w:sz w:val="28"/>
          <w:szCs w:val="28"/>
          <w:rtl/>
          <w:lang w:bidi="fa-IR"/>
        </w:rPr>
        <w:t>لَنَا</w:t>
      </w:r>
      <w:r w:rsidRPr="006571AC">
        <w:rPr>
          <w:rFonts w:cs="DanaFajr"/>
          <w:b/>
          <w:bCs/>
          <w:sz w:val="28"/>
          <w:szCs w:val="28"/>
          <w:rtl/>
          <w:lang w:bidi="fa-IR"/>
        </w:rPr>
        <w:t xml:space="preserve"> </w:t>
      </w:r>
      <w:r w:rsidRPr="006571AC">
        <w:rPr>
          <w:rFonts w:cs="DanaFajr" w:hint="eastAsia"/>
          <w:b/>
          <w:bCs/>
          <w:sz w:val="28"/>
          <w:szCs w:val="28"/>
          <w:rtl/>
          <w:lang w:bidi="fa-IR"/>
        </w:rPr>
        <w:t>الْيَوْمَ</w:t>
      </w:r>
      <w:r w:rsidRPr="006571AC">
        <w:rPr>
          <w:rFonts w:cs="DanaFajr"/>
          <w:b/>
          <w:bCs/>
          <w:sz w:val="28"/>
          <w:szCs w:val="28"/>
          <w:rtl/>
          <w:lang w:bidi="fa-IR"/>
        </w:rPr>
        <w:t xml:space="preserve"> </w:t>
      </w:r>
      <w:r w:rsidRPr="006571AC">
        <w:rPr>
          <w:rFonts w:cs="DanaFajr" w:hint="eastAsia"/>
          <w:b/>
          <w:bCs/>
          <w:sz w:val="28"/>
          <w:szCs w:val="28"/>
          <w:rtl/>
          <w:lang w:bidi="fa-IR"/>
        </w:rPr>
        <w:t>بِجَالُوتَ</w:t>
      </w:r>
      <w:r w:rsidRPr="006571AC">
        <w:rPr>
          <w:rFonts w:cs="DanaFajr"/>
          <w:b/>
          <w:bCs/>
          <w:sz w:val="28"/>
          <w:szCs w:val="28"/>
          <w:rtl/>
          <w:lang w:bidi="fa-IR"/>
        </w:rPr>
        <w:t xml:space="preserve"> </w:t>
      </w:r>
      <w:r w:rsidRPr="006571AC">
        <w:rPr>
          <w:rFonts w:cs="DanaFajr" w:hint="eastAsia"/>
          <w:b/>
          <w:bCs/>
          <w:sz w:val="28"/>
          <w:szCs w:val="28"/>
          <w:rtl/>
          <w:lang w:bidi="fa-IR"/>
        </w:rPr>
        <w:t>وَجُنُودِهِ</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يَظُنُّونَ</w:t>
      </w:r>
      <w:r w:rsidRPr="006571AC">
        <w:rPr>
          <w:rFonts w:cs="DanaFajr"/>
          <w:b/>
          <w:bCs/>
          <w:sz w:val="28"/>
          <w:szCs w:val="28"/>
          <w:rtl/>
          <w:lang w:bidi="fa-IR"/>
        </w:rPr>
        <w:t xml:space="preserve"> </w:t>
      </w:r>
      <w:r w:rsidRPr="006571AC">
        <w:rPr>
          <w:rFonts w:cs="DanaFajr" w:hint="eastAsia"/>
          <w:b/>
          <w:bCs/>
          <w:sz w:val="28"/>
          <w:szCs w:val="28"/>
          <w:rtl/>
          <w:lang w:bidi="fa-IR"/>
        </w:rPr>
        <w:t>أَنَّهُمْ</w:t>
      </w:r>
      <w:r w:rsidRPr="006571AC">
        <w:rPr>
          <w:rFonts w:cs="DanaFajr"/>
          <w:b/>
          <w:bCs/>
          <w:sz w:val="28"/>
          <w:szCs w:val="28"/>
          <w:rtl/>
          <w:lang w:bidi="fa-IR"/>
        </w:rPr>
        <w:t xml:space="preserve"> </w:t>
      </w:r>
      <w:r w:rsidRPr="006571AC">
        <w:rPr>
          <w:rFonts w:cs="DanaFajr" w:hint="eastAsia"/>
          <w:b/>
          <w:bCs/>
          <w:sz w:val="28"/>
          <w:szCs w:val="28"/>
          <w:rtl/>
          <w:lang w:bidi="fa-IR"/>
        </w:rPr>
        <w:t>مُلا</w:t>
      </w:r>
      <w:r w:rsidRPr="006571AC">
        <w:rPr>
          <w:rFonts w:cs="DanaFajr" w:hint="cs"/>
          <w:b/>
          <w:bCs/>
          <w:sz w:val="28"/>
          <w:szCs w:val="28"/>
          <w:rtl/>
          <w:lang w:bidi="fa-IR"/>
        </w:rPr>
        <w:t>َ</w:t>
      </w:r>
      <w:r w:rsidRPr="006571AC">
        <w:rPr>
          <w:rFonts w:cs="DanaFajr" w:hint="eastAsia"/>
          <w:b/>
          <w:bCs/>
          <w:sz w:val="28"/>
          <w:szCs w:val="28"/>
          <w:rtl/>
          <w:lang w:bidi="fa-IR"/>
        </w:rPr>
        <w:t>قُو</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كَمْ</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فِئَةٍ</w:t>
      </w:r>
      <w:r w:rsidRPr="006571AC">
        <w:rPr>
          <w:rFonts w:cs="DanaFajr"/>
          <w:b/>
          <w:bCs/>
          <w:sz w:val="28"/>
          <w:szCs w:val="28"/>
          <w:rtl/>
          <w:lang w:bidi="fa-IR"/>
        </w:rPr>
        <w:t xml:space="preserve"> </w:t>
      </w:r>
      <w:r w:rsidRPr="006571AC">
        <w:rPr>
          <w:rFonts w:cs="DanaFajr" w:hint="eastAsia"/>
          <w:b/>
          <w:bCs/>
          <w:sz w:val="28"/>
          <w:szCs w:val="28"/>
          <w:rtl/>
          <w:lang w:bidi="fa-IR"/>
        </w:rPr>
        <w:t>قَلِيلَةٍ</w:t>
      </w:r>
      <w:r w:rsidRPr="006571AC">
        <w:rPr>
          <w:rFonts w:cs="DanaFajr"/>
          <w:b/>
          <w:bCs/>
          <w:sz w:val="28"/>
          <w:szCs w:val="28"/>
          <w:rtl/>
          <w:lang w:bidi="fa-IR"/>
        </w:rPr>
        <w:t xml:space="preserve"> </w:t>
      </w:r>
      <w:r w:rsidRPr="006571AC">
        <w:rPr>
          <w:rFonts w:cs="DanaFajr" w:hint="eastAsia"/>
          <w:b/>
          <w:bCs/>
          <w:sz w:val="28"/>
          <w:szCs w:val="28"/>
          <w:rtl/>
          <w:lang w:bidi="fa-IR"/>
        </w:rPr>
        <w:t>غَلَبَتْ</w:t>
      </w:r>
      <w:r w:rsidRPr="006571AC">
        <w:rPr>
          <w:rFonts w:cs="DanaFajr"/>
          <w:b/>
          <w:bCs/>
          <w:sz w:val="28"/>
          <w:szCs w:val="28"/>
          <w:rtl/>
          <w:lang w:bidi="fa-IR"/>
        </w:rPr>
        <w:t xml:space="preserve"> </w:t>
      </w:r>
      <w:r w:rsidRPr="006571AC">
        <w:rPr>
          <w:rFonts w:cs="DanaFajr" w:hint="eastAsia"/>
          <w:b/>
          <w:bCs/>
          <w:sz w:val="28"/>
          <w:szCs w:val="28"/>
          <w:rtl/>
          <w:lang w:bidi="fa-IR"/>
        </w:rPr>
        <w:t>فِئَةً</w:t>
      </w:r>
      <w:r w:rsidRPr="006571AC">
        <w:rPr>
          <w:rFonts w:cs="DanaFajr"/>
          <w:b/>
          <w:bCs/>
          <w:sz w:val="28"/>
          <w:szCs w:val="28"/>
          <w:rtl/>
          <w:lang w:bidi="fa-IR"/>
        </w:rPr>
        <w:t xml:space="preserve"> </w:t>
      </w:r>
      <w:r w:rsidRPr="006571AC">
        <w:rPr>
          <w:rFonts w:cs="DanaFajr" w:hint="eastAsia"/>
          <w:b/>
          <w:bCs/>
          <w:sz w:val="28"/>
          <w:szCs w:val="28"/>
          <w:rtl/>
          <w:lang w:bidi="fa-IR"/>
        </w:rPr>
        <w:t>كَثِيرَةً</w:t>
      </w:r>
      <w:r w:rsidRPr="006571AC">
        <w:rPr>
          <w:rFonts w:cs="DanaFajr"/>
          <w:b/>
          <w:bCs/>
          <w:sz w:val="28"/>
          <w:szCs w:val="28"/>
          <w:rtl/>
          <w:lang w:bidi="fa-IR"/>
        </w:rPr>
        <w:t xml:space="preserve"> </w:t>
      </w:r>
      <w:r w:rsidRPr="006571AC">
        <w:rPr>
          <w:rFonts w:cs="DanaFajr" w:hint="eastAsia"/>
          <w:b/>
          <w:bCs/>
          <w:sz w:val="28"/>
          <w:szCs w:val="28"/>
          <w:rtl/>
          <w:lang w:bidi="fa-IR"/>
        </w:rPr>
        <w:t>بِإِذْنِ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وَاللهُ</w:t>
      </w:r>
      <w:r w:rsidRPr="006571AC">
        <w:rPr>
          <w:rFonts w:cs="DanaFajr"/>
          <w:b/>
          <w:bCs/>
          <w:sz w:val="28"/>
          <w:szCs w:val="28"/>
          <w:rtl/>
          <w:lang w:bidi="fa-IR"/>
        </w:rPr>
        <w:t xml:space="preserve"> </w:t>
      </w:r>
      <w:r w:rsidRPr="006571AC">
        <w:rPr>
          <w:rFonts w:cs="DanaFajr" w:hint="eastAsia"/>
          <w:b/>
          <w:bCs/>
          <w:sz w:val="28"/>
          <w:szCs w:val="28"/>
          <w:rtl/>
          <w:lang w:bidi="fa-IR"/>
        </w:rPr>
        <w:t>مَعَ</w:t>
      </w:r>
      <w:r w:rsidRPr="006571AC">
        <w:rPr>
          <w:rFonts w:cs="DanaFajr"/>
          <w:b/>
          <w:bCs/>
          <w:sz w:val="28"/>
          <w:szCs w:val="28"/>
          <w:rtl/>
          <w:lang w:bidi="fa-IR"/>
        </w:rPr>
        <w:t xml:space="preserve"> </w:t>
      </w:r>
      <w:r w:rsidRPr="006571AC">
        <w:rPr>
          <w:rFonts w:cs="DanaFajr" w:hint="eastAsia"/>
          <w:b/>
          <w:bCs/>
          <w:sz w:val="28"/>
          <w:szCs w:val="28"/>
          <w:rtl/>
          <w:lang w:bidi="fa-IR"/>
        </w:rPr>
        <w:t>الصَّابِرِينَ</w:t>
      </w:r>
      <w:r w:rsidRPr="006571AC">
        <w:rPr>
          <w:rFonts w:ascii="Mosawi" w:hAnsi="Mosawi" w:cs="Mosawi"/>
          <w:sz w:val="22"/>
          <w:szCs w:val="22"/>
          <w:rtl/>
        </w:rPr>
        <w:t>﴾</w:t>
      </w:r>
      <w:r w:rsidRPr="006571AC">
        <w:rPr>
          <w:rFonts w:cs="DanaFajr" w:hint="cs"/>
          <w:sz w:val="28"/>
          <w:szCs w:val="28"/>
          <w:rtl/>
          <w:lang w:bidi="fa-IR"/>
        </w:rPr>
        <w:t xml:space="preserve"> (البقرة: 2</w:t>
      </w:r>
      <w:r w:rsidRPr="006571AC">
        <w:rPr>
          <w:rFonts w:cs="DanaFajr" w:hint="cs"/>
          <w:sz w:val="28"/>
          <w:szCs w:val="28"/>
          <w:rtl/>
        </w:rPr>
        <w:t>4</w:t>
      </w:r>
      <w:r w:rsidRPr="006571AC">
        <w:rPr>
          <w:rFonts w:cs="DanaFajr" w:hint="cs"/>
          <w:sz w:val="28"/>
          <w:szCs w:val="28"/>
          <w:rtl/>
          <w:lang w:bidi="fa-IR"/>
        </w:rPr>
        <w:t>9).</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وَلَقَدْ</w:t>
      </w:r>
      <w:r w:rsidRPr="006571AC">
        <w:rPr>
          <w:rFonts w:cs="DanaFajr"/>
          <w:b/>
          <w:bCs/>
          <w:sz w:val="28"/>
          <w:szCs w:val="28"/>
          <w:rtl/>
          <w:lang w:bidi="fa-IR"/>
        </w:rPr>
        <w:t xml:space="preserve"> </w:t>
      </w:r>
      <w:r w:rsidRPr="006571AC">
        <w:rPr>
          <w:rFonts w:cs="DanaFajr" w:hint="eastAsia"/>
          <w:b/>
          <w:bCs/>
          <w:sz w:val="28"/>
          <w:szCs w:val="28"/>
          <w:rtl/>
          <w:lang w:bidi="fa-IR"/>
        </w:rPr>
        <w:t>صَدَقَكُمُ</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وَعْدَهُ</w:t>
      </w:r>
      <w:r w:rsidRPr="006571AC">
        <w:rPr>
          <w:rFonts w:cs="DanaFajr"/>
          <w:b/>
          <w:bCs/>
          <w:sz w:val="28"/>
          <w:szCs w:val="28"/>
          <w:rtl/>
          <w:lang w:bidi="fa-IR"/>
        </w:rPr>
        <w:t xml:space="preserve"> </w:t>
      </w:r>
      <w:r w:rsidRPr="006571AC">
        <w:rPr>
          <w:rFonts w:cs="DanaFajr" w:hint="eastAsia"/>
          <w:b/>
          <w:bCs/>
          <w:sz w:val="28"/>
          <w:szCs w:val="28"/>
          <w:rtl/>
          <w:lang w:bidi="fa-IR"/>
        </w:rPr>
        <w:t>إِذْ</w:t>
      </w:r>
      <w:r w:rsidRPr="006571AC">
        <w:rPr>
          <w:rFonts w:cs="DanaFajr"/>
          <w:b/>
          <w:bCs/>
          <w:sz w:val="28"/>
          <w:szCs w:val="28"/>
          <w:rtl/>
          <w:lang w:bidi="fa-IR"/>
        </w:rPr>
        <w:t xml:space="preserve"> </w:t>
      </w:r>
      <w:r w:rsidRPr="006571AC">
        <w:rPr>
          <w:rFonts w:cs="DanaFajr" w:hint="eastAsia"/>
          <w:b/>
          <w:bCs/>
          <w:sz w:val="28"/>
          <w:szCs w:val="28"/>
          <w:rtl/>
          <w:lang w:bidi="fa-IR"/>
        </w:rPr>
        <w:t>تَحُسُّونَهُمْ</w:t>
      </w:r>
      <w:r w:rsidRPr="006571AC">
        <w:rPr>
          <w:rFonts w:cs="DanaFajr"/>
          <w:b/>
          <w:bCs/>
          <w:sz w:val="28"/>
          <w:szCs w:val="28"/>
          <w:rtl/>
          <w:lang w:bidi="fa-IR"/>
        </w:rPr>
        <w:t xml:space="preserve"> </w:t>
      </w:r>
      <w:r w:rsidRPr="006571AC">
        <w:rPr>
          <w:rFonts w:cs="DanaFajr" w:hint="eastAsia"/>
          <w:b/>
          <w:bCs/>
          <w:sz w:val="28"/>
          <w:szCs w:val="28"/>
          <w:rtl/>
          <w:lang w:bidi="fa-IR"/>
        </w:rPr>
        <w:t>بِإِذْنِهِ</w:t>
      </w:r>
      <w:r w:rsidRPr="006571AC">
        <w:rPr>
          <w:rFonts w:cs="DanaFajr"/>
          <w:b/>
          <w:bCs/>
          <w:sz w:val="28"/>
          <w:szCs w:val="28"/>
          <w:rtl/>
          <w:lang w:bidi="fa-IR"/>
        </w:rPr>
        <w:t xml:space="preserve"> </w:t>
      </w:r>
      <w:r w:rsidRPr="006571AC">
        <w:rPr>
          <w:rFonts w:cs="DanaFajr" w:hint="eastAsia"/>
          <w:b/>
          <w:bCs/>
          <w:sz w:val="28"/>
          <w:szCs w:val="28"/>
          <w:rtl/>
          <w:lang w:bidi="fa-IR"/>
        </w:rPr>
        <w:t>حَتَّى</w:t>
      </w:r>
      <w:r w:rsidRPr="006571AC">
        <w:rPr>
          <w:rFonts w:cs="DanaFajr"/>
          <w:b/>
          <w:bCs/>
          <w:sz w:val="28"/>
          <w:szCs w:val="28"/>
          <w:rtl/>
          <w:lang w:bidi="fa-IR"/>
        </w:rPr>
        <w:t xml:space="preserve"> </w:t>
      </w:r>
      <w:r w:rsidRPr="006571AC">
        <w:rPr>
          <w:rFonts w:cs="DanaFajr" w:hint="eastAsia"/>
          <w:b/>
          <w:bCs/>
          <w:sz w:val="28"/>
          <w:szCs w:val="28"/>
          <w:rtl/>
          <w:lang w:bidi="fa-IR"/>
        </w:rPr>
        <w:t>إِذَا</w:t>
      </w:r>
      <w:r w:rsidRPr="006571AC">
        <w:rPr>
          <w:rFonts w:cs="DanaFajr"/>
          <w:b/>
          <w:bCs/>
          <w:sz w:val="28"/>
          <w:szCs w:val="28"/>
          <w:rtl/>
          <w:lang w:bidi="fa-IR"/>
        </w:rPr>
        <w:t xml:space="preserve"> </w:t>
      </w:r>
      <w:r w:rsidRPr="006571AC">
        <w:rPr>
          <w:rFonts w:cs="DanaFajr" w:hint="eastAsia"/>
          <w:b/>
          <w:bCs/>
          <w:sz w:val="28"/>
          <w:szCs w:val="28"/>
          <w:rtl/>
          <w:lang w:bidi="fa-IR"/>
        </w:rPr>
        <w:t>فَشِلْتُمْ</w:t>
      </w:r>
      <w:r w:rsidRPr="006571AC">
        <w:rPr>
          <w:rFonts w:cs="DanaFajr"/>
          <w:b/>
          <w:bCs/>
          <w:sz w:val="28"/>
          <w:szCs w:val="28"/>
          <w:rtl/>
          <w:lang w:bidi="fa-IR"/>
        </w:rPr>
        <w:t xml:space="preserve"> </w:t>
      </w:r>
      <w:r w:rsidRPr="006571AC">
        <w:rPr>
          <w:rFonts w:cs="DanaFajr" w:hint="eastAsia"/>
          <w:b/>
          <w:bCs/>
          <w:sz w:val="28"/>
          <w:szCs w:val="28"/>
          <w:rtl/>
          <w:lang w:bidi="fa-IR"/>
        </w:rPr>
        <w:t>وَتَنَازَعْتُمْ</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الأَمْرِ</w:t>
      </w:r>
      <w:r w:rsidRPr="006571AC">
        <w:rPr>
          <w:rFonts w:cs="DanaFajr"/>
          <w:b/>
          <w:bCs/>
          <w:sz w:val="28"/>
          <w:szCs w:val="28"/>
          <w:rtl/>
          <w:lang w:bidi="fa-IR"/>
        </w:rPr>
        <w:t xml:space="preserve"> </w:t>
      </w:r>
      <w:r w:rsidRPr="006571AC">
        <w:rPr>
          <w:rFonts w:cs="DanaFajr" w:hint="eastAsia"/>
          <w:b/>
          <w:bCs/>
          <w:sz w:val="28"/>
          <w:szCs w:val="28"/>
          <w:rtl/>
          <w:lang w:bidi="fa-IR"/>
        </w:rPr>
        <w:t>وَعَصَيْتُمْ</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بَعْدِ</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أَرَاكُمْ</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تُحِبُّونَ</w:t>
      </w:r>
      <w:r w:rsidRPr="006571AC">
        <w:rPr>
          <w:rFonts w:cs="DanaFajr"/>
          <w:b/>
          <w:bCs/>
          <w:sz w:val="28"/>
          <w:szCs w:val="28"/>
          <w:rtl/>
          <w:lang w:bidi="fa-IR"/>
        </w:rPr>
        <w:t xml:space="preserve"> </w:t>
      </w:r>
      <w:r w:rsidRPr="006571AC">
        <w:rPr>
          <w:rFonts w:cs="DanaFajr" w:hint="eastAsia"/>
          <w:b/>
          <w:bCs/>
          <w:sz w:val="28"/>
          <w:szCs w:val="28"/>
          <w:rtl/>
          <w:lang w:bidi="fa-IR"/>
        </w:rPr>
        <w:t>مِنْكُمْ</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يُرِيدُ</w:t>
      </w:r>
      <w:r w:rsidRPr="006571AC">
        <w:rPr>
          <w:rFonts w:cs="DanaFajr"/>
          <w:b/>
          <w:bCs/>
          <w:sz w:val="28"/>
          <w:szCs w:val="28"/>
          <w:rtl/>
          <w:lang w:bidi="fa-IR"/>
        </w:rPr>
        <w:t xml:space="preserve"> </w:t>
      </w:r>
      <w:r w:rsidRPr="006571AC">
        <w:rPr>
          <w:rFonts w:cs="DanaFajr" w:hint="eastAsia"/>
          <w:b/>
          <w:bCs/>
          <w:sz w:val="28"/>
          <w:szCs w:val="28"/>
          <w:rtl/>
          <w:lang w:bidi="fa-IR"/>
        </w:rPr>
        <w:t>الدُّنْيَا</w:t>
      </w:r>
      <w:r w:rsidRPr="006571AC">
        <w:rPr>
          <w:rFonts w:cs="DanaFajr"/>
          <w:b/>
          <w:bCs/>
          <w:sz w:val="28"/>
          <w:szCs w:val="28"/>
          <w:rtl/>
          <w:lang w:bidi="fa-IR"/>
        </w:rPr>
        <w:t xml:space="preserve"> </w:t>
      </w:r>
      <w:r w:rsidRPr="006571AC">
        <w:rPr>
          <w:rFonts w:cs="DanaFajr" w:hint="eastAsia"/>
          <w:b/>
          <w:bCs/>
          <w:sz w:val="28"/>
          <w:szCs w:val="28"/>
          <w:rtl/>
          <w:lang w:bidi="fa-IR"/>
        </w:rPr>
        <w:t>وَمِنْكُمْ</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يُرِيدُ</w:t>
      </w:r>
      <w:r w:rsidRPr="006571AC">
        <w:rPr>
          <w:rFonts w:cs="DanaFajr"/>
          <w:b/>
          <w:bCs/>
          <w:sz w:val="28"/>
          <w:szCs w:val="28"/>
          <w:rtl/>
          <w:lang w:bidi="fa-IR"/>
        </w:rPr>
        <w:t xml:space="preserve"> </w:t>
      </w:r>
      <w:r w:rsidRPr="006571AC">
        <w:rPr>
          <w:rFonts w:cs="DanaFajr" w:hint="eastAsia"/>
          <w:b/>
          <w:bCs/>
          <w:sz w:val="28"/>
          <w:szCs w:val="28"/>
          <w:rtl/>
          <w:lang w:bidi="fa-IR"/>
        </w:rPr>
        <w:t>الآخِرَةَ</w:t>
      </w:r>
      <w:r w:rsidRPr="006571AC">
        <w:rPr>
          <w:rFonts w:cs="DanaFajr"/>
          <w:b/>
          <w:bCs/>
          <w:sz w:val="28"/>
          <w:szCs w:val="28"/>
          <w:rtl/>
          <w:lang w:bidi="fa-IR"/>
        </w:rPr>
        <w:t xml:space="preserve"> </w:t>
      </w:r>
      <w:r w:rsidRPr="006571AC">
        <w:rPr>
          <w:rFonts w:cs="DanaFajr" w:hint="eastAsia"/>
          <w:b/>
          <w:bCs/>
          <w:sz w:val="28"/>
          <w:szCs w:val="28"/>
          <w:rtl/>
          <w:lang w:bidi="fa-IR"/>
        </w:rPr>
        <w:t>ثُمَّ</w:t>
      </w:r>
      <w:r w:rsidRPr="006571AC">
        <w:rPr>
          <w:rFonts w:cs="DanaFajr"/>
          <w:b/>
          <w:bCs/>
          <w:sz w:val="28"/>
          <w:szCs w:val="28"/>
          <w:rtl/>
          <w:lang w:bidi="fa-IR"/>
        </w:rPr>
        <w:t xml:space="preserve"> </w:t>
      </w:r>
      <w:r w:rsidRPr="006571AC">
        <w:rPr>
          <w:rFonts w:cs="DanaFajr" w:hint="eastAsia"/>
          <w:b/>
          <w:bCs/>
          <w:sz w:val="28"/>
          <w:szCs w:val="28"/>
          <w:rtl/>
          <w:lang w:bidi="fa-IR"/>
        </w:rPr>
        <w:t>صَرَفَكُمْ</w:t>
      </w:r>
      <w:r w:rsidRPr="006571AC">
        <w:rPr>
          <w:rFonts w:cs="DanaFajr"/>
          <w:b/>
          <w:bCs/>
          <w:sz w:val="28"/>
          <w:szCs w:val="28"/>
          <w:rtl/>
          <w:lang w:bidi="fa-IR"/>
        </w:rPr>
        <w:t xml:space="preserve"> </w:t>
      </w:r>
      <w:r w:rsidRPr="006571AC">
        <w:rPr>
          <w:rFonts w:cs="DanaFajr" w:hint="eastAsia"/>
          <w:b/>
          <w:bCs/>
          <w:sz w:val="28"/>
          <w:szCs w:val="28"/>
          <w:rtl/>
          <w:lang w:bidi="fa-IR"/>
        </w:rPr>
        <w:t>عَنْهُمْ</w:t>
      </w:r>
      <w:r w:rsidRPr="006571AC">
        <w:rPr>
          <w:rFonts w:cs="DanaFajr"/>
          <w:b/>
          <w:bCs/>
          <w:sz w:val="28"/>
          <w:szCs w:val="28"/>
          <w:rtl/>
          <w:lang w:bidi="fa-IR"/>
        </w:rPr>
        <w:t xml:space="preserve"> </w:t>
      </w:r>
      <w:r w:rsidRPr="006571AC">
        <w:rPr>
          <w:rFonts w:cs="DanaFajr" w:hint="eastAsia"/>
          <w:b/>
          <w:bCs/>
          <w:sz w:val="28"/>
          <w:szCs w:val="28"/>
          <w:rtl/>
          <w:lang w:bidi="fa-IR"/>
        </w:rPr>
        <w:t>لِيَبْتَلِيَكُمْ</w:t>
      </w:r>
      <w:r w:rsidRPr="006571AC">
        <w:rPr>
          <w:rFonts w:cs="DanaFajr"/>
          <w:b/>
          <w:bCs/>
          <w:sz w:val="28"/>
          <w:szCs w:val="28"/>
          <w:rtl/>
          <w:lang w:bidi="fa-IR"/>
        </w:rPr>
        <w:t xml:space="preserve"> </w:t>
      </w:r>
      <w:r w:rsidRPr="006571AC">
        <w:rPr>
          <w:rFonts w:cs="DanaFajr" w:hint="eastAsia"/>
          <w:b/>
          <w:bCs/>
          <w:sz w:val="28"/>
          <w:szCs w:val="28"/>
          <w:rtl/>
          <w:lang w:bidi="fa-IR"/>
        </w:rPr>
        <w:t>وَلَقَدْ</w:t>
      </w:r>
      <w:r w:rsidRPr="006571AC">
        <w:rPr>
          <w:rFonts w:cs="DanaFajr"/>
          <w:b/>
          <w:bCs/>
          <w:sz w:val="28"/>
          <w:szCs w:val="28"/>
          <w:rtl/>
          <w:lang w:bidi="fa-IR"/>
        </w:rPr>
        <w:t xml:space="preserve"> </w:t>
      </w:r>
      <w:r w:rsidRPr="006571AC">
        <w:rPr>
          <w:rFonts w:cs="DanaFajr" w:hint="eastAsia"/>
          <w:b/>
          <w:bCs/>
          <w:sz w:val="28"/>
          <w:szCs w:val="28"/>
          <w:rtl/>
          <w:lang w:bidi="fa-IR"/>
        </w:rPr>
        <w:t>عَفَا</w:t>
      </w:r>
      <w:r w:rsidRPr="006571AC">
        <w:rPr>
          <w:rFonts w:cs="DanaFajr"/>
          <w:b/>
          <w:bCs/>
          <w:sz w:val="28"/>
          <w:szCs w:val="28"/>
          <w:rtl/>
          <w:lang w:bidi="fa-IR"/>
        </w:rPr>
        <w:t xml:space="preserve"> </w:t>
      </w:r>
      <w:r w:rsidRPr="006571AC">
        <w:rPr>
          <w:rFonts w:cs="DanaFajr" w:hint="eastAsia"/>
          <w:b/>
          <w:bCs/>
          <w:sz w:val="28"/>
          <w:szCs w:val="28"/>
          <w:rtl/>
          <w:lang w:bidi="fa-IR"/>
        </w:rPr>
        <w:t>عَنْكُمْ</w:t>
      </w:r>
      <w:r w:rsidRPr="006571AC">
        <w:rPr>
          <w:rFonts w:cs="DanaFajr"/>
          <w:b/>
          <w:bCs/>
          <w:sz w:val="28"/>
          <w:szCs w:val="28"/>
          <w:rtl/>
          <w:lang w:bidi="fa-IR"/>
        </w:rPr>
        <w:t xml:space="preserve"> </w:t>
      </w:r>
      <w:r w:rsidRPr="006571AC">
        <w:rPr>
          <w:rFonts w:cs="DanaFajr" w:hint="eastAsia"/>
          <w:b/>
          <w:bCs/>
          <w:sz w:val="28"/>
          <w:szCs w:val="28"/>
          <w:rtl/>
          <w:lang w:bidi="fa-IR"/>
        </w:rPr>
        <w:t>وَاللهُ</w:t>
      </w:r>
      <w:r w:rsidRPr="006571AC">
        <w:rPr>
          <w:rFonts w:cs="DanaFajr"/>
          <w:b/>
          <w:bCs/>
          <w:sz w:val="28"/>
          <w:szCs w:val="28"/>
          <w:rtl/>
          <w:lang w:bidi="fa-IR"/>
        </w:rPr>
        <w:t xml:space="preserve"> </w:t>
      </w:r>
      <w:r w:rsidRPr="006571AC">
        <w:rPr>
          <w:rFonts w:cs="DanaFajr" w:hint="eastAsia"/>
          <w:b/>
          <w:bCs/>
          <w:sz w:val="28"/>
          <w:szCs w:val="28"/>
          <w:rtl/>
          <w:lang w:bidi="fa-IR"/>
        </w:rPr>
        <w:t>ذُو</w:t>
      </w:r>
      <w:r w:rsidRPr="006571AC">
        <w:rPr>
          <w:rFonts w:cs="DanaFajr"/>
          <w:b/>
          <w:bCs/>
          <w:sz w:val="28"/>
          <w:szCs w:val="28"/>
          <w:rtl/>
          <w:lang w:bidi="fa-IR"/>
        </w:rPr>
        <w:t xml:space="preserve"> </w:t>
      </w:r>
      <w:r w:rsidRPr="006571AC">
        <w:rPr>
          <w:rFonts w:cs="DanaFajr" w:hint="eastAsia"/>
          <w:b/>
          <w:bCs/>
          <w:sz w:val="28"/>
          <w:szCs w:val="28"/>
          <w:rtl/>
          <w:lang w:bidi="fa-IR"/>
        </w:rPr>
        <w:t>فَضْلٍ</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الْمُؤْمِنِينَ</w:t>
      </w:r>
      <w:r w:rsidRPr="006571AC">
        <w:rPr>
          <w:rFonts w:ascii="Mosawi" w:hAnsi="Mosawi" w:cs="Mosawi"/>
          <w:sz w:val="22"/>
          <w:szCs w:val="22"/>
          <w:rtl/>
        </w:rPr>
        <w:t>﴾</w:t>
      </w:r>
      <w:r w:rsidRPr="006571AC">
        <w:rPr>
          <w:rFonts w:cs="DanaFajr" w:hint="cs"/>
          <w:sz w:val="28"/>
          <w:szCs w:val="28"/>
          <w:rtl/>
          <w:lang w:bidi="fa-IR"/>
        </w:rPr>
        <w:t xml:space="preserve"> (آل عمران: 1</w:t>
      </w:r>
      <w:r w:rsidRPr="006571AC">
        <w:rPr>
          <w:rFonts w:cs="DanaFajr" w:hint="cs"/>
          <w:sz w:val="28"/>
          <w:szCs w:val="28"/>
          <w:rtl/>
        </w:rPr>
        <w:t>5</w:t>
      </w:r>
      <w:r w:rsidRPr="006571AC">
        <w:rPr>
          <w:rFonts w:cs="DanaFajr" w:hint="cs"/>
          <w:sz w:val="28"/>
          <w:szCs w:val="28"/>
          <w:rtl/>
          <w:lang w:bidi="fa-IR"/>
        </w:rPr>
        <w:t>2).</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ثُمَّ</w:t>
      </w:r>
      <w:r w:rsidRPr="006571AC">
        <w:rPr>
          <w:rFonts w:cs="DanaFajr"/>
          <w:b/>
          <w:bCs/>
          <w:sz w:val="28"/>
          <w:szCs w:val="28"/>
          <w:rtl/>
          <w:lang w:bidi="fa-IR"/>
        </w:rPr>
        <w:t xml:space="preserve"> </w:t>
      </w:r>
      <w:r w:rsidRPr="006571AC">
        <w:rPr>
          <w:rFonts w:cs="DanaFajr" w:hint="eastAsia"/>
          <w:b/>
          <w:bCs/>
          <w:sz w:val="28"/>
          <w:szCs w:val="28"/>
          <w:rtl/>
          <w:lang w:bidi="fa-IR"/>
        </w:rPr>
        <w:t>أَنْزَلَ</w:t>
      </w:r>
      <w:r w:rsidRPr="006571AC">
        <w:rPr>
          <w:rFonts w:cs="DanaFajr"/>
          <w:b/>
          <w:bCs/>
          <w:sz w:val="28"/>
          <w:szCs w:val="28"/>
          <w:rtl/>
          <w:lang w:bidi="fa-IR"/>
        </w:rPr>
        <w:t xml:space="preserve"> </w:t>
      </w:r>
      <w:r w:rsidRPr="006571AC">
        <w:rPr>
          <w:rFonts w:cs="DanaFajr" w:hint="eastAsia"/>
          <w:b/>
          <w:bCs/>
          <w:sz w:val="28"/>
          <w:szCs w:val="28"/>
          <w:rtl/>
          <w:lang w:bidi="fa-IR"/>
        </w:rPr>
        <w:t>عَلَيْكُمْ</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بَعْدِ</w:t>
      </w:r>
      <w:r w:rsidRPr="006571AC">
        <w:rPr>
          <w:rFonts w:cs="DanaFajr"/>
          <w:b/>
          <w:bCs/>
          <w:sz w:val="28"/>
          <w:szCs w:val="28"/>
          <w:rtl/>
          <w:lang w:bidi="fa-IR"/>
        </w:rPr>
        <w:t xml:space="preserve"> </w:t>
      </w:r>
      <w:r w:rsidRPr="006571AC">
        <w:rPr>
          <w:rFonts w:cs="DanaFajr" w:hint="eastAsia"/>
          <w:b/>
          <w:bCs/>
          <w:sz w:val="28"/>
          <w:szCs w:val="28"/>
          <w:rtl/>
          <w:lang w:bidi="fa-IR"/>
        </w:rPr>
        <w:t>الْغَمِّ</w:t>
      </w:r>
      <w:r w:rsidRPr="006571AC">
        <w:rPr>
          <w:rFonts w:cs="DanaFajr"/>
          <w:b/>
          <w:bCs/>
          <w:sz w:val="28"/>
          <w:szCs w:val="28"/>
          <w:rtl/>
          <w:lang w:bidi="fa-IR"/>
        </w:rPr>
        <w:t xml:space="preserve"> </w:t>
      </w:r>
      <w:r w:rsidRPr="006571AC">
        <w:rPr>
          <w:rFonts w:cs="DanaFajr" w:hint="eastAsia"/>
          <w:b/>
          <w:bCs/>
          <w:sz w:val="28"/>
          <w:szCs w:val="28"/>
          <w:rtl/>
          <w:lang w:bidi="fa-IR"/>
        </w:rPr>
        <w:t>أَمَنَةً</w:t>
      </w:r>
      <w:r w:rsidRPr="006571AC">
        <w:rPr>
          <w:rFonts w:cs="DanaFajr"/>
          <w:b/>
          <w:bCs/>
          <w:sz w:val="28"/>
          <w:szCs w:val="28"/>
          <w:rtl/>
          <w:lang w:bidi="fa-IR"/>
        </w:rPr>
        <w:t xml:space="preserve"> </w:t>
      </w:r>
      <w:r w:rsidRPr="006571AC">
        <w:rPr>
          <w:rFonts w:cs="DanaFajr" w:hint="eastAsia"/>
          <w:b/>
          <w:bCs/>
          <w:sz w:val="28"/>
          <w:szCs w:val="28"/>
          <w:rtl/>
          <w:lang w:bidi="fa-IR"/>
        </w:rPr>
        <w:t>نُعَاساً</w:t>
      </w:r>
      <w:r w:rsidRPr="006571AC">
        <w:rPr>
          <w:rFonts w:cs="DanaFajr"/>
          <w:b/>
          <w:bCs/>
          <w:sz w:val="28"/>
          <w:szCs w:val="28"/>
          <w:rtl/>
          <w:lang w:bidi="fa-IR"/>
        </w:rPr>
        <w:t xml:space="preserve"> </w:t>
      </w:r>
      <w:r w:rsidRPr="006571AC">
        <w:rPr>
          <w:rFonts w:cs="DanaFajr" w:hint="eastAsia"/>
          <w:b/>
          <w:bCs/>
          <w:sz w:val="28"/>
          <w:szCs w:val="28"/>
          <w:rtl/>
          <w:lang w:bidi="fa-IR"/>
        </w:rPr>
        <w:t>يَغْشَى</w:t>
      </w:r>
      <w:r w:rsidRPr="006571AC">
        <w:rPr>
          <w:rFonts w:cs="DanaFajr"/>
          <w:b/>
          <w:bCs/>
          <w:sz w:val="28"/>
          <w:szCs w:val="28"/>
          <w:rtl/>
          <w:lang w:bidi="fa-IR"/>
        </w:rPr>
        <w:t xml:space="preserve"> </w:t>
      </w:r>
      <w:r w:rsidRPr="006571AC">
        <w:rPr>
          <w:rFonts w:cs="DanaFajr" w:hint="eastAsia"/>
          <w:b/>
          <w:bCs/>
          <w:sz w:val="28"/>
          <w:szCs w:val="28"/>
          <w:rtl/>
          <w:lang w:bidi="fa-IR"/>
        </w:rPr>
        <w:t>طَائِفَةً</w:t>
      </w:r>
      <w:r w:rsidRPr="006571AC">
        <w:rPr>
          <w:rFonts w:cs="DanaFajr"/>
          <w:b/>
          <w:bCs/>
          <w:sz w:val="28"/>
          <w:szCs w:val="28"/>
          <w:rtl/>
          <w:lang w:bidi="fa-IR"/>
        </w:rPr>
        <w:t xml:space="preserve"> </w:t>
      </w:r>
      <w:r w:rsidRPr="006571AC">
        <w:rPr>
          <w:rFonts w:cs="DanaFajr" w:hint="eastAsia"/>
          <w:b/>
          <w:bCs/>
          <w:sz w:val="28"/>
          <w:szCs w:val="28"/>
          <w:rtl/>
          <w:lang w:bidi="fa-IR"/>
        </w:rPr>
        <w:t>مِنْكُمْ</w:t>
      </w:r>
      <w:r w:rsidRPr="006571AC">
        <w:rPr>
          <w:rFonts w:cs="DanaFajr"/>
          <w:b/>
          <w:bCs/>
          <w:sz w:val="28"/>
          <w:szCs w:val="28"/>
          <w:rtl/>
          <w:lang w:bidi="fa-IR"/>
        </w:rPr>
        <w:t xml:space="preserve"> </w:t>
      </w:r>
      <w:r w:rsidRPr="006571AC">
        <w:rPr>
          <w:rFonts w:cs="DanaFajr" w:hint="eastAsia"/>
          <w:b/>
          <w:bCs/>
          <w:sz w:val="28"/>
          <w:szCs w:val="28"/>
          <w:rtl/>
          <w:lang w:bidi="fa-IR"/>
        </w:rPr>
        <w:t>وَطَائِفَةٌ</w:t>
      </w:r>
      <w:r w:rsidRPr="006571AC">
        <w:rPr>
          <w:rFonts w:cs="DanaFajr"/>
          <w:b/>
          <w:bCs/>
          <w:sz w:val="28"/>
          <w:szCs w:val="28"/>
          <w:rtl/>
          <w:lang w:bidi="fa-IR"/>
        </w:rPr>
        <w:t xml:space="preserve"> </w:t>
      </w:r>
      <w:r w:rsidRPr="006571AC">
        <w:rPr>
          <w:rFonts w:cs="DanaFajr" w:hint="eastAsia"/>
          <w:b/>
          <w:bCs/>
          <w:sz w:val="28"/>
          <w:szCs w:val="28"/>
          <w:rtl/>
          <w:lang w:bidi="fa-IR"/>
        </w:rPr>
        <w:t>قَدْ</w:t>
      </w:r>
      <w:r w:rsidRPr="006571AC">
        <w:rPr>
          <w:rFonts w:cs="DanaFajr"/>
          <w:b/>
          <w:bCs/>
          <w:sz w:val="28"/>
          <w:szCs w:val="28"/>
          <w:rtl/>
          <w:lang w:bidi="fa-IR"/>
        </w:rPr>
        <w:t xml:space="preserve"> </w:t>
      </w:r>
      <w:r w:rsidRPr="006571AC">
        <w:rPr>
          <w:rFonts w:cs="DanaFajr" w:hint="eastAsia"/>
          <w:b/>
          <w:bCs/>
          <w:sz w:val="28"/>
          <w:szCs w:val="28"/>
          <w:rtl/>
          <w:lang w:bidi="fa-IR"/>
        </w:rPr>
        <w:t>أَهَمَّتْهُمْ</w:t>
      </w:r>
      <w:r w:rsidRPr="006571AC">
        <w:rPr>
          <w:rFonts w:cs="DanaFajr"/>
          <w:b/>
          <w:bCs/>
          <w:sz w:val="28"/>
          <w:szCs w:val="28"/>
          <w:rtl/>
          <w:lang w:bidi="fa-IR"/>
        </w:rPr>
        <w:t xml:space="preserve"> </w:t>
      </w:r>
      <w:r w:rsidRPr="006571AC">
        <w:rPr>
          <w:rFonts w:cs="DanaFajr" w:hint="eastAsia"/>
          <w:b/>
          <w:bCs/>
          <w:sz w:val="28"/>
          <w:szCs w:val="28"/>
          <w:rtl/>
          <w:lang w:bidi="fa-IR"/>
        </w:rPr>
        <w:t>أَنْفُسُهُمْ</w:t>
      </w:r>
      <w:r w:rsidRPr="006571AC">
        <w:rPr>
          <w:rFonts w:cs="DanaFajr"/>
          <w:b/>
          <w:bCs/>
          <w:sz w:val="28"/>
          <w:szCs w:val="28"/>
          <w:rtl/>
          <w:lang w:bidi="fa-IR"/>
        </w:rPr>
        <w:t xml:space="preserve"> </w:t>
      </w:r>
      <w:r w:rsidRPr="006571AC">
        <w:rPr>
          <w:rFonts w:cs="DanaFajr" w:hint="eastAsia"/>
          <w:b/>
          <w:bCs/>
          <w:sz w:val="28"/>
          <w:szCs w:val="28"/>
          <w:rtl/>
          <w:lang w:bidi="fa-IR"/>
        </w:rPr>
        <w:t>يَظُنُّونَ</w:t>
      </w:r>
      <w:r w:rsidRPr="006571AC">
        <w:rPr>
          <w:rFonts w:cs="DanaFajr"/>
          <w:b/>
          <w:bCs/>
          <w:sz w:val="28"/>
          <w:szCs w:val="28"/>
          <w:rtl/>
          <w:lang w:bidi="fa-IR"/>
        </w:rPr>
        <w:t xml:space="preserve"> </w:t>
      </w:r>
      <w:r w:rsidRPr="006571AC">
        <w:rPr>
          <w:rFonts w:cs="DanaFajr" w:hint="eastAsia"/>
          <w:b/>
          <w:bCs/>
          <w:sz w:val="28"/>
          <w:szCs w:val="28"/>
          <w:rtl/>
          <w:lang w:bidi="fa-IR"/>
        </w:rPr>
        <w:t>بِاللهِ</w:t>
      </w:r>
      <w:r w:rsidRPr="006571AC">
        <w:rPr>
          <w:rFonts w:cs="DanaFajr"/>
          <w:b/>
          <w:bCs/>
          <w:sz w:val="28"/>
          <w:szCs w:val="28"/>
          <w:rtl/>
          <w:lang w:bidi="fa-IR"/>
        </w:rPr>
        <w:t xml:space="preserve"> </w:t>
      </w:r>
      <w:r w:rsidRPr="006571AC">
        <w:rPr>
          <w:rFonts w:cs="DanaFajr" w:hint="eastAsia"/>
          <w:b/>
          <w:bCs/>
          <w:sz w:val="28"/>
          <w:szCs w:val="28"/>
          <w:rtl/>
          <w:lang w:bidi="fa-IR"/>
        </w:rPr>
        <w:t>غَيْرَ</w:t>
      </w:r>
      <w:r w:rsidRPr="006571AC">
        <w:rPr>
          <w:rFonts w:cs="DanaFajr"/>
          <w:b/>
          <w:bCs/>
          <w:sz w:val="28"/>
          <w:szCs w:val="28"/>
          <w:rtl/>
          <w:lang w:bidi="fa-IR"/>
        </w:rPr>
        <w:t xml:space="preserve"> </w:t>
      </w:r>
      <w:r w:rsidRPr="006571AC">
        <w:rPr>
          <w:rFonts w:cs="DanaFajr" w:hint="eastAsia"/>
          <w:b/>
          <w:bCs/>
          <w:sz w:val="28"/>
          <w:szCs w:val="28"/>
          <w:rtl/>
          <w:lang w:bidi="fa-IR"/>
        </w:rPr>
        <w:t>الْحَقِّ</w:t>
      </w:r>
      <w:r w:rsidRPr="006571AC">
        <w:rPr>
          <w:rFonts w:cs="DanaFajr"/>
          <w:b/>
          <w:bCs/>
          <w:sz w:val="28"/>
          <w:szCs w:val="28"/>
          <w:rtl/>
          <w:lang w:bidi="fa-IR"/>
        </w:rPr>
        <w:t xml:space="preserve"> </w:t>
      </w:r>
      <w:r w:rsidRPr="006571AC">
        <w:rPr>
          <w:rFonts w:cs="DanaFajr" w:hint="eastAsia"/>
          <w:b/>
          <w:bCs/>
          <w:sz w:val="28"/>
          <w:szCs w:val="28"/>
          <w:rtl/>
          <w:lang w:bidi="fa-IR"/>
        </w:rPr>
        <w:t>ظَنَّ</w:t>
      </w:r>
      <w:r w:rsidRPr="006571AC">
        <w:rPr>
          <w:rFonts w:cs="DanaFajr"/>
          <w:b/>
          <w:bCs/>
          <w:sz w:val="28"/>
          <w:szCs w:val="28"/>
          <w:rtl/>
          <w:lang w:bidi="fa-IR"/>
        </w:rPr>
        <w:t xml:space="preserve"> </w:t>
      </w:r>
      <w:r w:rsidRPr="006571AC">
        <w:rPr>
          <w:rFonts w:cs="DanaFajr" w:hint="eastAsia"/>
          <w:b/>
          <w:bCs/>
          <w:sz w:val="28"/>
          <w:szCs w:val="28"/>
          <w:rtl/>
          <w:lang w:bidi="fa-IR"/>
        </w:rPr>
        <w:t>الْجَاهِلِيَّةِ</w:t>
      </w:r>
      <w:r w:rsidRPr="006571AC">
        <w:rPr>
          <w:rFonts w:cs="DanaFajr"/>
          <w:b/>
          <w:bCs/>
          <w:sz w:val="28"/>
          <w:szCs w:val="28"/>
          <w:rtl/>
          <w:lang w:bidi="fa-IR"/>
        </w:rPr>
        <w:t xml:space="preserve"> </w:t>
      </w:r>
      <w:r w:rsidRPr="006571AC">
        <w:rPr>
          <w:rFonts w:cs="DanaFajr" w:hint="eastAsia"/>
          <w:b/>
          <w:bCs/>
          <w:sz w:val="28"/>
          <w:szCs w:val="28"/>
          <w:rtl/>
          <w:lang w:bidi="fa-IR"/>
        </w:rPr>
        <w:t>يَقُولُونَ</w:t>
      </w:r>
      <w:r w:rsidRPr="006571AC">
        <w:rPr>
          <w:rFonts w:cs="DanaFajr"/>
          <w:b/>
          <w:bCs/>
          <w:sz w:val="28"/>
          <w:szCs w:val="28"/>
          <w:rtl/>
          <w:lang w:bidi="fa-IR"/>
        </w:rPr>
        <w:t xml:space="preserve"> </w:t>
      </w:r>
      <w:r w:rsidRPr="006571AC">
        <w:rPr>
          <w:rFonts w:cs="DanaFajr" w:hint="eastAsia"/>
          <w:b/>
          <w:bCs/>
          <w:sz w:val="28"/>
          <w:szCs w:val="28"/>
          <w:rtl/>
          <w:lang w:bidi="fa-IR"/>
        </w:rPr>
        <w:t>هَلْ</w:t>
      </w:r>
      <w:r w:rsidRPr="006571AC">
        <w:rPr>
          <w:rFonts w:cs="DanaFajr"/>
          <w:b/>
          <w:bCs/>
          <w:sz w:val="28"/>
          <w:szCs w:val="28"/>
          <w:rtl/>
          <w:lang w:bidi="fa-IR"/>
        </w:rPr>
        <w:t xml:space="preserve"> </w:t>
      </w:r>
      <w:r w:rsidRPr="006571AC">
        <w:rPr>
          <w:rFonts w:cs="DanaFajr" w:hint="eastAsia"/>
          <w:b/>
          <w:bCs/>
          <w:sz w:val="28"/>
          <w:szCs w:val="28"/>
          <w:rtl/>
          <w:lang w:bidi="fa-IR"/>
        </w:rPr>
        <w:t>لَنَا</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الأَمْرِ</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شَيْءٍ</w:t>
      </w:r>
      <w:r w:rsidRPr="006571AC">
        <w:rPr>
          <w:rFonts w:cs="DanaFajr"/>
          <w:b/>
          <w:bCs/>
          <w:sz w:val="28"/>
          <w:szCs w:val="28"/>
          <w:rtl/>
          <w:lang w:bidi="fa-IR"/>
        </w:rPr>
        <w:t xml:space="preserve"> </w:t>
      </w:r>
      <w:r w:rsidRPr="006571AC">
        <w:rPr>
          <w:rFonts w:cs="DanaFajr" w:hint="eastAsia"/>
          <w:b/>
          <w:bCs/>
          <w:sz w:val="28"/>
          <w:szCs w:val="28"/>
          <w:rtl/>
          <w:lang w:bidi="fa-IR"/>
        </w:rPr>
        <w:t>قُلْ</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الأَمْرَ</w:t>
      </w:r>
      <w:r w:rsidRPr="006571AC">
        <w:rPr>
          <w:rFonts w:cs="DanaFajr"/>
          <w:b/>
          <w:bCs/>
          <w:sz w:val="28"/>
          <w:szCs w:val="28"/>
          <w:rtl/>
          <w:lang w:bidi="fa-IR"/>
        </w:rPr>
        <w:t xml:space="preserve"> </w:t>
      </w:r>
      <w:r w:rsidRPr="006571AC">
        <w:rPr>
          <w:rFonts w:cs="DanaFajr" w:hint="eastAsia"/>
          <w:b/>
          <w:bCs/>
          <w:sz w:val="28"/>
          <w:szCs w:val="28"/>
          <w:rtl/>
          <w:lang w:bidi="fa-IR"/>
        </w:rPr>
        <w:t>كُلَّهُ</w:t>
      </w:r>
      <w:r w:rsidRPr="006571AC">
        <w:rPr>
          <w:rFonts w:cs="DanaFajr"/>
          <w:b/>
          <w:bCs/>
          <w:sz w:val="28"/>
          <w:szCs w:val="28"/>
          <w:rtl/>
          <w:lang w:bidi="fa-IR"/>
        </w:rPr>
        <w:t xml:space="preserve"> </w:t>
      </w:r>
      <w:r w:rsidRPr="006571AC">
        <w:rPr>
          <w:rFonts w:cs="DanaFajr" w:hint="eastAsia"/>
          <w:b/>
          <w:bCs/>
          <w:sz w:val="28"/>
          <w:szCs w:val="28"/>
          <w:rtl/>
          <w:lang w:bidi="fa-IR"/>
        </w:rPr>
        <w:t>لِلَّهِ</w:t>
      </w:r>
      <w:r w:rsidRPr="006571AC">
        <w:rPr>
          <w:rFonts w:cs="DanaFajr"/>
          <w:b/>
          <w:bCs/>
          <w:sz w:val="28"/>
          <w:szCs w:val="28"/>
          <w:rtl/>
          <w:lang w:bidi="fa-IR"/>
        </w:rPr>
        <w:t xml:space="preserve"> </w:t>
      </w:r>
      <w:r w:rsidRPr="006571AC">
        <w:rPr>
          <w:rFonts w:cs="DanaFajr" w:hint="eastAsia"/>
          <w:b/>
          <w:bCs/>
          <w:sz w:val="28"/>
          <w:szCs w:val="28"/>
          <w:rtl/>
          <w:lang w:bidi="fa-IR"/>
        </w:rPr>
        <w:t>يُخْفُونَ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أَنْفُسِهِمْ</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يُبْدُونَ</w:t>
      </w:r>
      <w:r w:rsidRPr="006571AC">
        <w:rPr>
          <w:rFonts w:cs="DanaFajr"/>
          <w:b/>
          <w:bCs/>
          <w:sz w:val="28"/>
          <w:szCs w:val="28"/>
          <w:rtl/>
          <w:lang w:bidi="fa-IR"/>
        </w:rPr>
        <w:t xml:space="preserve"> </w:t>
      </w:r>
      <w:r w:rsidRPr="006571AC">
        <w:rPr>
          <w:rFonts w:cs="DanaFajr" w:hint="eastAsia"/>
          <w:b/>
          <w:bCs/>
          <w:sz w:val="28"/>
          <w:szCs w:val="28"/>
          <w:rtl/>
          <w:lang w:bidi="fa-IR"/>
        </w:rPr>
        <w:t>لَكَ</w:t>
      </w:r>
      <w:r w:rsidRPr="006571AC">
        <w:rPr>
          <w:rFonts w:cs="DanaFajr"/>
          <w:b/>
          <w:bCs/>
          <w:sz w:val="28"/>
          <w:szCs w:val="28"/>
          <w:rtl/>
          <w:lang w:bidi="fa-IR"/>
        </w:rPr>
        <w:t xml:space="preserve"> </w:t>
      </w:r>
      <w:r w:rsidRPr="006571AC">
        <w:rPr>
          <w:rFonts w:cs="DanaFajr" w:hint="eastAsia"/>
          <w:b/>
          <w:bCs/>
          <w:sz w:val="28"/>
          <w:szCs w:val="28"/>
          <w:rtl/>
          <w:lang w:bidi="fa-IR"/>
        </w:rPr>
        <w:t>يَقُولُونَ</w:t>
      </w:r>
      <w:r w:rsidRPr="006571AC">
        <w:rPr>
          <w:rFonts w:cs="DanaFajr"/>
          <w:b/>
          <w:bCs/>
          <w:sz w:val="28"/>
          <w:szCs w:val="28"/>
          <w:rtl/>
          <w:lang w:bidi="fa-IR"/>
        </w:rPr>
        <w:t xml:space="preserve"> </w:t>
      </w:r>
      <w:r w:rsidRPr="006571AC">
        <w:rPr>
          <w:rFonts w:cs="DanaFajr" w:hint="eastAsia"/>
          <w:b/>
          <w:bCs/>
          <w:sz w:val="28"/>
          <w:szCs w:val="28"/>
          <w:rtl/>
          <w:lang w:bidi="fa-IR"/>
        </w:rPr>
        <w:t>لَوْ</w:t>
      </w:r>
      <w:r w:rsidRPr="006571AC">
        <w:rPr>
          <w:rFonts w:cs="DanaFajr"/>
          <w:b/>
          <w:bCs/>
          <w:sz w:val="28"/>
          <w:szCs w:val="28"/>
          <w:rtl/>
          <w:lang w:bidi="fa-IR"/>
        </w:rPr>
        <w:t xml:space="preserve"> </w:t>
      </w:r>
      <w:r w:rsidRPr="006571AC">
        <w:rPr>
          <w:rFonts w:cs="DanaFajr" w:hint="eastAsia"/>
          <w:b/>
          <w:bCs/>
          <w:sz w:val="28"/>
          <w:szCs w:val="28"/>
          <w:rtl/>
          <w:lang w:bidi="fa-IR"/>
        </w:rPr>
        <w:t>كَانَ</w:t>
      </w:r>
      <w:r w:rsidRPr="006571AC">
        <w:rPr>
          <w:rFonts w:cs="DanaFajr"/>
          <w:b/>
          <w:bCs/>
          <w:sz w:val="28"/>
          <w:szCs w:val="28"/>
          <w:rtl/>
          <w:lang w:bidi="fa-IR"/>
        </w:rPr>
        <w:t xml:space="preserve"> </w:t>
      </w:r>
      <w:r w:rsidRPr="006571AC">
        <w:rPr>
          <w:rFonts w:cs="DanaFajr" w:hint="eastAsia"/>
          <w:b/>
          <w:bCs/>
          <w:sz w:val="28"/>
          <w:szCs w:val="28"/>
          <w:rtl/>
          <w:lang w:bidi="fa-IR"/>
        </w:rPr>
        <w:t>لَنَا</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الأَمْرِ</w:t>
      </w:r>
      <w:r w:rsidRPr="006571AC">
        <w:rPr>
          <w:rFonts w:cs="DanaFajr"/>
          <w:b/>
          <w:bCs/>
          <w:sz w:val="28"/>
          <w:szCs w:val="28"/>
          <w:rtl/>
          <w:lang w:bidi="fa-IR"/>
        </w:rPr>
        <w:t xml:space="preserve"> </w:t>
      </w:r>
      <w:r w:rsidRPr="006571AC">
        <w:rPr>
          <w:rFonts w:cs="DanaFajr" w:hint="eastAsia"/>
          <w:b/>
          <w:bCs/>
          <w:sz w:val="28"/>
          <w:szCs w:val="28"/>
          <w:rtl/>
          <w:lang w:bidi="fa-IR"/>
        </w:rPr>
        <w:t>شَيْءٌ</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قُتِلْنَا</w:t>
      </w:r>
      <w:r w:rsidRPr="006571AC">
        <w:rPr>
          <w:rFonts w:cs="DanaFajr"/>
          <w:b/>
          <w:bCs/>
          <w:sz w:val="28"/>
          <w:szCs w:val="28"/>
          <w:rtl/>
          <w:lang w:bidi="fa-IR"/>
        </w:rPr>
        <w:t xml:space="preserve"> </w:t>
      </w:r>
      <w:r w:rsidRPr="006571AC">
        <w:rPr>
          <w:rFonts w:cs="DanaFajr" w:hint="eastAsia"/>
          <w:b/>
          <w:bCs/>
          <w:sz w:val="28"/>
          <w:szCs w:val="28"/>
          <w:rtl/>
          <w:lang w:bidi="fa-IR"/>
        </w:rPr>
        <w:t>هَاهُنَا</w:t>
      </w:r>
      <w:r w:rsidRPr="006571AC">
        <w:rPr>
          <w:rFonts w:cs="DanaFajr"/>
          <w:b/>
          <w:bCs/>
          <w:sz w:val="28"/>
          <w:szCs w:val="28"/>
          <w:rtl/>
          <w:lang w:bidi="fa-IR"/>
        </w:rPr>
        <w:t xml:space="preserve"> </w:t>
      </w:r>
      <w:r w:rsidRPr="006571AC">
        <w:rPr>
          <w:rFonts w:cs="DanaFajr" w:hint="eastAsia"/>
          <w:b/>
          <w:bCs/>
          <w:sz w:val="28"/>
          <w:szCs w:val="28"/>
          <w:rtl/>
          <w:lang w:bidi="fa-IR"/>
        </w:rPr>
        <w:t>قُلْ</w:t>
      </w:r>
      <w:r w:rsidRPr="006571AC">
        <w:rPr>
          <w:rFonts w:cs="DanaFajr"/>
          <w:b/>
          <w:bCs/>
          <w:sz w:val="28"/>
          <w:szCs w:val="28"/>
          <w:rtl/>
          <w:lang w:bidi="fa-IR"/>
        </w:rPr>
        <w:t xml:space="preserve"> </w:t>
      </w:r>
      <w:r w:rsidRPr="006571AC">
        <w:rPr>
          <w:rFonts w:cs="DanaFajr" w:hint="eastAsia"/>
          <w:b/>
          <w:bCs/>
          <w:sz w:val="28"/>
          <w:szCs w:val="28"/>
          <w:rtl/>
          <w:lang w:bidi="fa-IR"/>
        </w:rPr>
        <w:t>لَوْ</w:t>
      </w:r>
      <w:r w:rsidRPr="006571AC">
        <w:rPr>
          <w:rFonts w:cs="DanaFajr"/>
          <w:b/>
          <w:bCs/>
          <w:sz w:val="28"/>
          <w:szCs w:val="28"/>
          <w:rtl/>
          <w:lang w:bidi="fa-IR"/>
        </w:rPr>
        <w:t xml:space="preserve"> </w:t>
      </w:r>
      <w:r w:rsidRPr="006571AC">
        <w:rPr>
          <w:rFonts w:cs="DanaFajr" w:hint="eastAsia"/>
          <w:b/>
          <w:bCs/>
          <w:sz w:val="28"/>
          <w:szCs w:val="28"/>
          <w:rtl/>
          <w:lang w:bidi="fa-IR"/>
        </w:rPr>
        <w:t>كُنْتُمْ</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بُيُوتِكُمْ</w:t>
      </w:r>
      <w:r w:rsidRPr="006571AC">
        <w:rPr>
          <w:rFonts w:cs="DanaFajr"/>
          <w:b/>
          <w:bCs/>
          <w:sz w:val="28"/>
          <w:szCs w:val="28"/>
          <w:rtl/>
          <w:lang w:bidi="fa-IR"/>
        </w:rPr>
        <w:t xml:space="preserve"> </w:t>
      </w:r>
      <w:r w:rsidRPr="006571AC">
        <w:rPr>
          <w:rFonts w:cs="DanaFajr" w:hint="eastAsia"/>
          <w:b/>
          <w:bCs/>
          <w:sz w:val="28"/>
          <w:szCs w:val="28"/>
          <w:rtl/>
          <w:lang w:bidi="fa-IR"/>
        </w:rPr>
        <w:t>لَبَرَزَ</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كُتِبَ</w:t>
      </w:r>
      <w:r w:rsidRPr="006571AC">
        <w:rPr>
          <w:rFonts w:cs="DanaFajr"/>
          <w:b/>
          <w:bCs/>
          <w:sz w:val="28"/>
          <w:szCs w:val="28"/>
          <w:rtl/>
          <w:lang w:bidi="fa-IR"/>
        </w:rPr>
        <w:t xml:space="preserve"> </w:t>
      </w:r>
      <w:r w:rsidRPr="006571AC">
        <w:rPr>
          <w:rFonts w:cs="DanaFajr" w:hint="eastAsia"/>
          <w:b/>
          <w:bCs/>
          <w:sz w:val="28"/>
          <w:szCs w:val="28"/>
          <w:rtl/>
          <w:lang w:bidi="fa-IR"/>
        </w:rPr>
        <w:t>عَلَيْهِمُ</w:t>
      </w:r>
      <w:r w:rsidRPr="006571AC">
        <w:rPr>
          <w:rFonts w:cs="DanaFajr"/>
          <w:b/>
          <w:bCs/>
          <w:sz w:val="28"/>
          <w:szCs w:val="28"/>
          <w:rtl/>
          <w:lang w:bidi="fa-IR"/>
        </w:rPr>
        <w:t xml:space="preserve"> </w:t>
      </w:r>
      <w:r w:rsidRPr="006571AC">
        <w:rPr>
          <w:rFonts w:cs="DanaFajr" w:hint="eastAsia"/>
          <w:b/>
          <w:bCs/>
          <w:sz w:val="28"/>
          <w:szCs w:val="28"/>
          <w:rtl/>
          <w:lang w:bidi="fa-IR"/>
        </w:rPr>
        <w:t>الْقَتْلُ</w:t>
      </w:r>
      <w:r w:rsidRPr="006571AC">
        <w:rPr>
          <w:rFonts w:cs="DanaFajr"/>
          <w:b/>
          <w:bCs/>
          <w:sz w:val="28"/>
          <w:szCs w:val="28"/>
          <w:rtl/>
          <w:lang w:bidi="fa-IR"/>
        </w:rPr>
        <w:t xml:space="preserve"> </w:t>
      </w:r>
      <w:r w:rsidRPr="006571AC">
        <w:rPr>
          <w:rFonts w:cs="DanaFajr" w:hint="eastAsia"/>
          <w:b/>
          <w:bCs/>
          <w:sz w:val="28"/>
          <w:szCs w:val="28"/>
          <w:rtl/>
          <w:lang w:bidi="fa-IR"/>
        </w:rPr>
        <w:t>إِلَى</w:t>
      </w:r>
      <w:r w:rsidRPr="006571AC">
        <w:rPr>
          <w:rFonts w:cs="DanaFajr"/>
          <w:b/>
          <w:bCs/>
          <w:sz w:val="28"/>
          <w:szCs w:val="28"/>
          <w:rtl/>
          <w:lang w:bidi="fa-IR"/>
        </w:rPr>
        <w:t xml:space="preserve"> </w:t>
      </w:r>
      <w:r w:rsidRPr="006571AC">
        <w:rPr>
          <w:rFonts w:cs="DanaFajr" w:hint="eastAsia"/>
          <w:b/>
          <w:bCs/>
          <w:sz w:val="28"/>
          <w:szCs w:val="28"/>
          <w:rtl/>
          <w:lang w:bidi="fa-IR"/>
        </w:rPr>
        <w:t>مَضَاجِعِهِمْ</w:t>
      </w:r>
      <w:r w:rsidRPr="006571AC">
        <w:rPr>
          <w:rFonts w:cs="DanaFajr"/>
          <w:b/>
          <w:bCs/>
          <w:sz w:val="28"/>
          <w:szCs w:val="28"/>
          <w:rtl/>
          <w:lang w:bidi="fa-IR"/>
        </w:rPr>
        <w:t xml:space="preserve"> </w:t>
      </w:r>
      <w:r w:rsidRPr="006571AC">
        <w:rPr>
          <w:rFonts w:cs="DanaFajr" w:hint="eastAsia"/>
          <w:b/>
          <w:bCs/>
          <w:sz w:val="28"/>
          <w:szCs w:val="28"/>
          <w:rtl/>
          <w:lang w:bidi="fa-IR"/>
        </w:rPr>
        <w:t>وَلِيَبْتَلِيَ</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صُدُورِكُمْ</w:t>
      </w:r>
      <w:r w:rsidRPr="006571AC">
        <w:rPr>
          <w:rFonts w:cs="DanaFajr"/>
          <w:b/>
          <w:bCs/>
          <w:sz w:val="28"/>
          <w:szCs w:val="28"/>
          <w:rtl/>
          <w:lang w:bidi="fa-IR"/>
        </w:rPr>
        <w:t xml:space="preserve"> </w:t>
      </w:r>
      <w:r w:rsidRPr="006571AC">
        <w:rPr>
          <w:rFonts w:cs="DanaFajr" w:hint="eastAsia"/>
          <w:b/>
          <w:bCs/>
          <w:sz w:val="28"/>
          <w:szCs w:val="28"/>
          <w:rtl/>
          <w:lang w:bidi="fa-IR"/>
        </w:rPr>
        <w:t>وَلِيُمَحِّصَ</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قُلُوبِكُمْ</w:t>
      </w:r>
      <w:r w:rsidRPr="006571AC">
        <w:rPr>
          <w:rFonts w:cs="DanaFajr"/>
          <w:b/>
          <w:bCs/>
          <w:sz w:val="28"/>
          <w:szCs w:val="28"/>
          <w:rtl/>
          <w:lang w:bidi="fa-IR"/>
        </w:rPr>
        <w:t xml:space="preserve"> </w:t>
      </w:r>
      <w:r w:rsidRPr="006571AC">
        <w:rPr>
          <w:rFonts w:cs="DanaFajr" w:hint="eastAsia"/>
          <w:b/>
          <w:bCs/>
          <w:sz w:val="28"/>
          <w:szCs w:val="28"/>
          <w:rtl/>
          <w:lang w:bidi="fa-IR"/>
        </w:rPr>
        <w:t>وَاللهُ</w:t>
      </w:r>
      <w:r w:rsidRPr="006571AC">
        <w:rPr>
          <w:rFonts w:cs="DanaFajr"/>
          <w:b/>
          <w:bCs/>
          <w:sz w:val="28"/>
          <w:szCs w:val="28"/>
          <w:rtl/>
          <w:lang w:bidi="fa-IR"/>
        </w:rPr>
        <w:t xml:space="preserve"> </w:t>
      </w:r>
      <w:r w:rsidRPr="006571AC">
        <w:rPr>
          <w:rFonts w:cs="DanaFajr" w:hint="eastAsia"/>
          <w:b/>
          <w:bCs/>
          <w:sz w:val="28"/>
          <w:szCs w:val="28"/>
          <w:rtl/>
          <w:lang w:bidi="fa-IR"/>
        </w:rPr>
        <w:t>عَلِيمٌ</w:t>
      </w:r>
      <w:r w:rsidRPr="006571AC">
        <w:rPr>
          <w:rFonts w:cs="DanaFajr"/>
          <w:b/>
          <w:bCs/>
          <w:sz w:val="28"/>
          <w:szCs w:val="28"/>
          <w:rtl/>
          <w:lang w:bidi="fa-IR"/>
        </w:rPr>
        <w:t xml:space="preserve"> </w:t>
      </w:r>
      <w:r w:rsidRPr="006571AC">
        <w:rPr>
          <w:rFonts w:cs="DanaFajr" w:hint="eastAsia"/>
          <w:b/>
          <w:bCs/>
          <w:sz w:val="28"/>
          <w:szCs w:val="28"/>
          <w:rtl/>
          <w:lang w:bidi="fa-IR"/>
        </w:rPr>
        <w:t>بِذَاتِ</w:t>
      </w:r>
      <w:r w:rsidRPr="006571AC">
        <w:rPr>
          <w:rFonts w:cs="DanaFajr"/>
          <w:b/>
          <w:bCs/>
          <w:sz w:val="28"/>
          <w:szCs w:val="28"/>
          <w:rtl/>
          <w:lang w:bidi="fa-IR"/>
        </w:rPr>
        <w:t xml:space="preserve"> </w:t>
      </w:r>
      <w:r w:rsidRPr="006571AC">
        <w:rPr>
          <w:rFonts w:cs="DanaFajr" w:hint="eastAsia"/>
          <w:b/>
          <w:bCs/>
          <w:sz w:val="28"/>
          <w:szCs w:val="28"/>
          <w:rtl/>
          <w:lang w:bidi="fa-IR"/>
        </w:rPr>
        <w:t>الصُّدُورِ</w:t>
      </w:r>
      <w:r w:rsidRPr="006571AC">
        <w:rPr>
          <w:rFonts w:ascii="Mosawi" w:hAnsi="Mosawi" w:cs="Mosawi"/>
          <w:sz w:val="22"/>
          <w:szCs w:val="22"/>
          <w:rtl/>
        </w:rPr>
        <w:t>﴾</w:t>
      </w:r>
      <w:r w:rsidRPr="006571AC">
        <w:rPr>
          <w:rFonts w:cs="DanaFajr" w:hint="cs"/>
          <w:sz w:val="28"/>
          <w:szCs w:val="28"/>
          <w:rtl/>
          <w:lang w:bidi="fa-IR"/>
        </w:rPr>
        <w:t xml:space="preserve"> (آل عمران: 1</w:t>
      </w:r>
      <w:r w:rsidRPr="006571AC">
        <w:rPr>
          <w:rFonts w:cs="DanaFajr" w:hint="cs"/>
          <w:sz w:val="28"/>
          <w:szCs w:val="28"/>
          <w:rtl/>
        </w:rPr>
        <w:t>54</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لَتُبْلَوُنَّ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أَمْوَالِكُمْ</w:t>
      </w:r>
      <w:r w:rsidRPr="006571AC">
        <w:rPr>
          <w:rFonts w:cs="DanaFajr"/>
          <w:b/>
          <w:bCs/>
          <w:sz w:val="28"/>
          <w:szCs w:val="28"/>
          <w:rtl/>
          <w:lang w:bidi="fa-IR"/>
        </w:rPr>
        <w:t xml:space="preserve"> </w:t>
      </w:r>
      <w:r w:rsidRPr="006571AC">
        <w:rPr>
          <w:rFonts w:cs="DanaFajr" w:hint="eastAsia"/>
          <w:b/>
          <w:bCs/>
          <w:sz w:val="28"/>
          <w:szCs w:val="28"/>
          <w:rtl/>
          <w:lang w:bidi="fa-IR"/>
        </w:rPr>
        <w:t>وَأَنْفُسِكُمْ</w:t>
      </w:r>
      <w:r w:rsidRPr="006571AC">
        <w:rPr>
          <w:rFonts w:cs="DanaFajr"/>
          <w:b/>
          <w:bCs/>
          <w:sz w:val="28"/>
          <w:szCs w:val="28"/>
          <w:rtl/>
          <w:lang w:bidi="fa-IR"/>
        </w:rPr>
        <w:t xml:space="preserve"> </w:t>
      </w:r>
      <w:r w:rsidRPr="006571AC">
        <w:rPr>
          <w:rFonts w:cs="DanaFajr" w:hint="eastAsia"/>
          <w:b/>
          <w:bCs/>
          <w:sz w:val="28"/>
          <w:szCs w:val="28"/>
          <w:rtl/>
          <w:lang w:bidi="fa-IR"/>
        </w:rPr>
        <w:t>وَلَتَسْمَعُنَّ</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أُوتُوا</w:t>
      </w:r>
      <w:r w:rsidRPr="006571AC">
        <w:rPr>
          <w:rFonts w:cs="DanaFajr"/>
          <w:b/>
          <w:bCs/>
          <w:sz w:val="28"/>
          <w:szCs w:val="28"/>
          <w:rtl/>
          <w:lang w:bidi="fa-IR"/>
        </w:rPr>
        <w:t xml:space="preserve"> </w:t>
      </w:r>
      <w:r w:rsidRPr="006571AC">
        <w:rPr>
          <w:rFonts w:cs="DanaFajr" w:hint="eastAsia"/>
          <w:b/>
          <w:bCs/>
          <w:sz w:val="28"/>
          <w:szCs w:val="28"/>
          <w:rtl/>
          <w:lang w:bidi="fa-IR"/>
        </w:rPr>
        <w:t>الْكِتَابَ</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قَبْلِكُمْ</w:t>
      </w:r>
      <w:r w:rsidRPr="006571AC">
        <w:rPr>
          <w:rFonts w:cs="DanaFajr"/>
          <w:b/>
          <w:bCs/>
          <w:sz w:val="28"/>
          <w:szCs w:val="28"/>
          <w:rtl/>
          <w:lang w:bidi="fa-IR"/>
        </w:rPr>
        <w:t xml:space="preserve"> </w:t>
      </w:r>
      <w:r w:rsidRPr="006571AC">
        <w:rPr>
          <w:rFonts w:cs="DanaFajr" w:hint="eastAsia"/>
          <w:b/>
          <w:bCs/>
          <w:sz w:val="28"/>
          <w:szCs w:val="28"/>
          <w:rtl/>
          <w:lang w:bidi="fa-IR"/>
        </w:rPr>
        <w:t>وَمِنَ</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أَشْرَكُوا</w:t>
      </w:r>
      <w:r w:rsidRPr="006571AC">
        <w:rPr>
          <w:rFonts w:cs="DanaFajr"/>
          <w:b/>
          <w:bCs/>
          <w:sz w:val="28"/>
          <w:szCs w:val="28"/>
          <w:rtl/>
          <w:lang w:bidi="fa-IR"/>
        </w:rPr>
        <w:t xml:space="preserve"> </w:t>
      </w:r>
      <w:r w:rsidRPr="006571AC">
        <w:rPr>
          <w:rFonts w:cs="DanaFajr" w:hint="eastAsia"/>
          <w:b/>
          <w:bCs/>
          <w:sz w:val="28"/>
          <w:szCs w:val="28"/>
          <w:rtl/>
          <w:lang w:bidi="fa-IR"/>
        </w:rPr>
        <w:t>أَذًى</w:t>
      </w:r>
      <w:r w:rsidRPr="006571AC">
        <w:rPr>
          <w:rFonts w:cs="DanaFajr"/>
          <w:b/>
          <w:bCs/>
          <w:sz w:val="28"/>
          <w:szCs w:val="28"/>
          <w:rtl/>
          <w:lang w:bidi="fa-IR"/>
        </w:rPr>
        <w:t xml:space="preserve"> </w:t>
      </w:r>
      <w:r w:rsidRPr="006571AC">
        <w:rPr>
          <w:rFonts w:cs="DanaFajr" w:hint="eastAsia"/>
          <w:b/>
          <w:bCs/>
          <w:sz w:val="28"/>
          <w:szCs w:val="28"/>
          <w:rtl/>
          <w:lang w:bidi="fa-IR"/>
        </w:rPr>
        <w:t>كَثِيراً</w:t>
      </w:r>
      <w:r w:rsidRPr="006571AC">
        <w:rPr>
          <w:rFonts w:cs="DanaFajr"/>
          <w:b/>
          <w:bCs/>
          <w:sz w:val="28"/>
          <w:szCs w:val="28"/>
          <w:rtl/>
          <w:lang w:bidi="fa-IR"/>
        </w:rPr>
        <w:t xml:space="preserve"> </w:t>
      </w:r>
      <w:r w:rsidRPr="006571AC">
        <w:rPr>
          <w:rFonts w:cs="DanaFajr" w:hint="eastAsia"/>
          <w:b/>
          <w:bCs/>
          <w:sz w:val="28"/>
          <w:szCs w:val="28"/>
          <w:rtl/>
          <w:lang w:bidi="fa-IR"/>
        </w:rPr>
        <w:t>وَإِنْ</w:t>
      </w:r>
      <w:r w:rsidRPr="006571AC">
        <w:rPr>
          <w:rFonts w:cs="DanaFajr"/>
          <w:b/>
          <w:bCs/>
          <w:sz w:val="28"/>
          <w:szCs w:val="28"/>
          <w:rtl/>
          <w:lang w:bidi="fa-IR"/>
        </w:rPr>
        <w:t xml:space="preserve"> </w:t>
      </w:r>
      <w:r w:rsidRPr="006571AC">
        <w:rPr>
          <w:rFonts w:cs="DanaFajr" w:hint="eastAsia"/>
          <w:b/>
          <w:bCs/>
          <w:sz w:val="28"/>
          <w:szCs w:val="28"/>
          <w:rtl/>
          <w:lang w:bidi="fa-IR"/>
        </w:rPr>
        <w:t>تَصْبِرُوا</w:t>
      </w:r>
      <w:r w:rsidRPr="006571AC">
        <w:rPr>
          <w:rFonts w:cs="DanaFajr"/>
          <w:b/>
          <w:bCs/>
          <w:sz w:val="28"/>
          <w:szCs w:val="28"/>
          <w:rtl/>
          <w:lang w:bidi="fa-IR"/>
        </w:rPr>
        <w:t xml:space="preserve"> </w:t>
      </w:r>
      <w:r w:rsidRPr="006571AC">
        <w:rPr>
          <w:rFonts w:cs="DanaFajr" w:hint="eastAsia"/>
          <w:b/>
          <w:bCs/>
          <w:sz w:val="28"/>
          <w:szCs w:val="28"/>
          <w:rtl/>
          <w:lang w:bidi="fa-IR"/>
        </w:rPr>
        <w:t>وَتَتَّقُوا</w:t>
      </w:r>
      <w:r w:rsidRPr="006571AC">
        <w:rPr>
          <w:rFonts w:cs="DanaFajr"/>
          <w:b/>
          <w:bCs/>
          <w:sz w:val="28"/>
          <w:szCs w:val="28"/>
          <w:rtl/>
          <w:lang w:bidi="fa-IR"/>
        </w:rPr>
        <w:t xml:space="preserve"> </w:t>
      </w:r>
      <w:r w:rsidRPr="006571AC">
        <w:rPr>
          <w:rFonts w:cs="DanaFajr" w:hint="eastAsia"/>
          <w:b/>
          <w:bCs/>
          <w:sz w:val="28"/>
          <w:szCs w:val="28"/>
          <w:rtl/>
          <w:lang w:bidi="fa-IR"/>
        </w:rPr>
        <w:t>فَإِنَّ</w:t>
      </w:r>
      <w:r w:rsidRPr="006571AC">
        <w:rPr>
          <w:rFonts w:cs="DanaFajr"/>
          <w:b/>
          <w:bCs/>
          <w:sz w:val="28"/>
          <w:szCs w:val="28"/>
          <w:rtl/>
          <w:lang w:bidi="fa-IR"/>
        </w:rPr>
        <w:t xml:space="preserve"> </w:t>
      </w:r>
      <w:r w:rsidRPr="006571AC">
        <w:rPr>
          <w:rFonts w:cs="DanaFajr" w:hint="eastAsia"/>
          <w:b/>
          <w:bCs/>
          <w:sz w:val="28"/>
          <w:szCs w:val="28"/>
          <w:rtl/>
          <w:lang w:bidi="fa-IR"/>
        </w:rPr>
        <w:t>ذَلِكَ</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عَزْمِ</w:t>
      </w:r>
      <w:r w:rsidRPr="006571AC">
        <w:rPr>
          <w:rFonts w:cs="DanaFajr"/>
          <w:b/>
          <w:bCs/>
          <w:sz w:val="28"/>
          <w:szCs w:val="28"/>
          <w:rtl/>
          <w:lang w:bidi="fa-IR"/>
        </w:rPr>
        <w:t xml:space="preserve"> </w:t>
      </w:r>
      <w:r w:rsidRPr="006571AC">
        <w:rPr>
          <w:rFonts w:cs="DanaFajr" w:hint="eastAsia"/>
          <w:b/>
          <w:bCs/>
          <w:sz w:val="28"/>
          <w:szCs w:val="28"/>
          <w:rtl/>
          <w:lang w:bidi="fa-IR"/>
        </w:rPr>
        <w:t>الأُمُورِ</w:t>
      </w:r>
      <w:r w:rsidRPr="006571AC">
        <w:rPr>
          <w:rFonts w:ascii="Mosawi" w:hAnsi="Mosawi" w:cs="Mosawi"/>
          <w:sz w:val="22"/>
          <w:szCs w:val="22"/>
          <w:rtl/>
        </w:rPr>
        <w:t>﴾</w:t>
      </w:r>
      <w:r w:rsidRPr="006571AC">
        <w:rPr>
          <w:rFonts w:cs="DanaFajr" w:hint="cs"/>
          <w:sz w:val="28"/>
          <w:szCs w:val="28"/>
          <w:rtl/>
          <w:lang w:bidi="fa-IR"/>
        </w:rPr>
        <w:t xml:space="preserve"> (آل عمران: 18</w:t>
      </w:r>
      <w:r w:rsidRPr="006571AC">
        <w:rPr>
          <w:rFonts w:cs="DanaFajr" w:hint="cs"/>
          <w:sz w:val="28"/>
          <w:szCs w:val="28"/>
          <w:rtl/>
        </w:rPr>
        <w:t>6</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وَأَنْزَلْنَا</w:t>
      </w:r>
      <w:r w:rsidRPr="006571AC">
        <w:rPr>
          <w:rFonts w:cs="DanaFajr"/>
          <w:b/>
          <w:bCs/>
          <w:sz w:val="28"/>
          <w:szCs w:val="28"/>
          <w:rtl/>
          <w:lang w:bidi="fa-IR"/>
        </w:rPr>
        <w:t xml:space="preserve"> </w:t>
      </w:r>
      <w:r w:rsidRPr="006571AC">
        <w:rPr>
          <w:rFonts w:cs="DanaFajr" w:hint="eastAsia"/>
          <w:b/>
          <w:bCs/>
          <w:sz w:val="28"/>
          <w:szCs w:val="28"/>
          <w:rtl/>
          <w:lang w:bidi="fa-IR"/>
        </w:rPr>
        <w:t>إِلَيْكَ</w:t>
      </w:r>
      <w:r w:rsidRPr="006571AC">
        <w:rPr>
          <w:rFonts w:cs="DanaFajr"/>
          <w:b/>
          <w:bCs/>
          <w:sz w:val="28"/>
          <w:szCs w:val="28"/>
          <w:rtl/>
          <w:lang w:bidi="fa-IR"/>
        </w:rPr>
        <w:t xml:space="preserve"> </w:t>
      </w:r>
      <w:r w:rsidRPr="006571AC">
        <w:rPr>
          <w:rFonts w:cs="DanaFajr" w:hint="eastAsia"/>
          <w:b/>
          <w:bCs/>
          <w:sz w:val="28"/>
          <w:szCs w:val="28"/>
          <w:rtl/>
          <w:lang w:bidi="fa-IR"/>
        </w:rPr>
        <w:t>الْكِتَابَ</w:t>
      </w:r>
      <w:r w:rsidRPr="006571AC">
        <w:rPr>
          <w:rFonts w:cs="DanaFajr"/>
          <w:b/>
          <w:bCs/>
          <w:sz w:val="28"/>
          <w:szCs w:val="28"/>
          <w:rtl/>
          <w:lang w:bidi="fa-IR"/>
        </w:rPr>
        <w:t xml:space="preserve"> </w:t>
      </w:r>
      <w:r w:rsidRPr="006571AC">
        <w:rPr>
          <w:rFonts w:cs="DanaFajr" w:hint="eastAsia"/>
          <w:b/>
          <w:bCs/>
          <w:sz w:val="28"/>
          <w:szCs w:val="28"/>
          <w:rtl/>
          <w:lang w:bidi="fa-IR"/>
        </w:rPr>
        <w:t>بِالْحَقِّ</w:t>
      </w:r>
      <w:r w:rsidRPr="006571AC">
        <w:rPr>
          <w:rFonts w:cs="DanaFajr"/>
          <w:b/>
          <w:bCs/>
          <w:sz w:val="28"/>
          <w:szCs w:val="28"/>
          <w:rtl/>
          <w:lang w:bidi="fa-IR"/>
        </w:rPr>
        <w:t xml:space="preserve"> </w:t>
      </w:r>
      <w:r w:rsidRPr="006571AC">
        <w:rPr>
          <w:rFonts w:cs="DanaFajr" w:hint="eastAsia"/>
          <w:b/>
          <w:bCs/>
          <w:sz w:val="28"/>
          <w:szCs w:val="28"/>
          <w:rtl/>
          <w:lang w:bidi="fa-IR"/>
        </w:rPr>
        <w:t>مُصَدِّقاً</w:t>
      </w:r>
      <w:r w:rsidRPr="006571AC">
        <w:rPr>
          <w:rFonts w:cs="DanaFajr"/>
          <w:b/>
          <w:bCs/>
          <w:sz w:val="28"/>
          <w:szCs w:val="28"/>
          <w:rtl/>
          <w:lang w:bidi="fa-IR"/>
        </w:rPr>
        <w:t xml:space="preserve"> </w:t>
      </w:r>
      <w:r w:rsidRPr="006571AC">
        <w:rPr>
          <w:rFonts w:cs="DanaFajr" w:hint="eastAsia"/>
          <w:b/>
          <w:bCs/>
          <w:sz w:val="28"/>
          <w:szCs w:val="28"/>
          <w:rtl/>
          <w:lang w:bidi="fa-IR"/>
        </w:rPr>
        <w:t>لِمَا</w:t>
      </w:r>
      <w:r w:rsidRPr="006571AC">
        <w:rPr>
          <w:rFonts w:cs="DanaFajr"/>
          <w:b/>
          <w:bCs/>
          <w:sz w:val="28"/>
          <w:szCs w:val="28"/>
          <w:rtl/>
          <w:lang w:bidi="fa-IR"/>
        </w:rPr>
        <w:t xml:space="preserve"> </w:t>
      </w:r>
      <w:r w:rsidRPr="006571AC">
        <w:rPr>
          <w:rFonts w:cs="DanaFajr" w:hint="eastAsia"/>
          <w:b/>
          <w:bCs/>
          <w:sz w:val="28"/>
          <w:szCs w:val="28"/>
          <w:rtl/>
          <w:lang w:bidi="fa-IR"/>
        </w:rPr>
        <w:t>بَيْنَ</w:t>
      </w:r>
      <w:r w:rsidRPr="006571AC">
        <w:rPr>
          <w:rFonts w:cs="DanaFajr"/>
          <w:b/>
          <w:bCs/>
          <w:sz w:val="28"/>
          <w:szCs w:val="28"/>
          <w:rtl/>
          <w:lang w:bidi="fa-IR"/>
        </w:rPr>
        <w:t xml:space="preserve"> </w:t>
      </w:r>
      <w:r w:rsidRPr="006571AC">
        <w:rPr>
          <w:rFonts w:cs="DanaFajr" w:hint="eastAsia"/>
          <w:b/>
          <w:bCs/>
          <w:sz w:val="28"/>
          <w:szCs w:val="28"/>
          <w:rtl/>
          <w:lang w:bidi="fa-IR"/>
        </w:rPr>
        <w:t>يَدَيْهِ</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الْكِتَابِ</w:t>
      </w:r>
      <w:r w:rsidRPr="006571AC">
        <w:rPr>
          <w:rFonts w:cs="DanaFajr"/>
          <w:b/>
          <w:bCs/>
          <w:sz w:val="28"/>
          <w:szCs w:val="28"/>
          <w:rtl/>
          <w:lang w:bidi="fa-IR"/>
        </w:rPr>
        <w:t xml:space="preserve"> </w:t>
      </w:r>
      <w:r w:rsidRPr="006571AC">
        <w:rPr>
          <w:rFonts w:cs="DanaFajr" w:hint="eastAsia"/>
          <w:b/>
          <w:bCs/>
          <w:sz w:val="28"/>
          <w:szCs w:val="28"/>
          <w:rtl/>
          <w:lang w:bidi="fa-IR"/>
        </w:rPr>
        <w:t>وَمُهَيْمِناً</w:t>
      </w:r>
      <w:r w:rsidRPr="006571AC">
        <w:rPr>
          <w:rFonts w:cs="DanaFajr"/>
          <w:b/>
          <w:bCs/>
          <w:sz w:val="28"/>
          <w:szCs w:val="28"/>
          <w:rtl/>
          <w:lang w:bidi="fa-IR"/>
        </w:rPr>
        <w:t xml:space="preserve"> </w:t>
      </w:r>
      <w:r w:rsidRPr="006571AC">
        <w:rPr>
          <w:rFonts w:cs="DanaFajr" w:hint="eastAsia"/>
          <w:b/>
          <w:bCs/>
          <w:sz w:val="28"/>
          <w:szCs w:val="28"/>
          <w:rtl/>
          <w:lang w:bidi="fa-IR"/>
        </w:rPr>
        <w:t>عَلَيْهِ</w:t>
      </w:r>
      <w:r w:rsidRPr="006571AC">
        <w:rPr>
          <w:rFonts w:cs="DanaFajr"/>
          <w:b/>
          <w:bCs/>
          <w:sz w:val="28"/>
          <w:szCs w:val="28"/>
          <w:rtl/>
          <w:lang w:bidi="fa-IR"/>
        </w:rPr>
        <w:t xml:space="preserve"> </w:t>
      </w:r>
      <w:r w:rsidRPr="006571AC">
        <w:rPr>
          <w:rFonts w:cs="DanaFajr" w:hint="eastAsia"/>
          <w:b/>
          <w:bCs/>
          <w:sz w:val="28"/>
          <w:szCs w:val="28"/>
          <w:rtl/>
          <w:lang w:bidi="fa-IR"/>
        </w:rPr>
        <w:t>فَاحْكُمْ</w:t>
      </w:r>
      <w:r w:rsidRPr="006571AC">
        <w:rPr>
          <w:rFonts w:cs="DanaFajr"/>
          <w:b/>
          <w:bCs/>
          <w:sz w:val="28"/>
          <w:szCs w:val="28"/>
          <w:rtl/>
          <w:lang w:bidi="fa-IR"/>
        </w:rPr>
        <w:t xml:space="preserve"> </w:t>
      </w:r>
      <w:r w:rsidRPr="006571AC">
        <w:rPr>
          <w:rFonts w:cs="DanaFajr" w:hint="eastAsia"/>
          <w:b/>
          <w:bCs/>
          <w:sz w:val="28"/>
          <w:szCs w:val="28"/>
          <w:rtl/>
          <w:lang w:bidi="fa-IR"/>
        </w:rPr>
        <w:t>بَيْنَهُمْ</w:t>
      </w:r>
      <w:r w:rsidRPr="006571AC">
        <w:rPr>
          <w:rFonts w:cs="DanaFajr"/>
          <w:b/>
          <w:bCs/>
          <w:sz w:val="28"/>
          <w:szCs w:val="28"/>
          <w:rtl/>
          <w:lang w:bidi="fa-IR"/>
        </w:rPr>
        <w:t xml:space="preserve"> </w:t>
      </w:r>
      <w:r w:rsidRPr="006571AC">
        <w:rPr>
          <w:rFonts w:cs="DanaFajr" w:hint="eastAsia"/>
          <w:b/>
          <w:bCs/>
          <w:sz w:val="28"/>
          <w:szCs w:val="28"/>
          <w:rtl/>
          <w:lang w:bidi="fa-IR"/>
        </w:rPr>
        <w:t>بِمَا</w:t>
      </w:r>
      <w:r w:rsidRPr="006571AC">
        <w:rPr>
          <w:rFonts w:cs="DanaFajr"/>
          <w:b/>
          <w:bCs/>
          <w:sz w:val="28"/>
          <w:szCs w:val="28"/>
          <w:rtl/>
          <w:lang w:bidi="fa-IR"/>
        </w:rPr>
        <w:t xml:space="preserve"> </w:t>
      </w:r>
      <w:r w:rsidRPr="006571AC">
        <w:rPr>
          <w:rFonts w:cs="DanaFajr" w:hint="eastAsia"/>
          <w:b/>
          <w:bCs/>
          <w:sz w:val="28"/>
          <w:szCs w:val="28"/>
          <w:rtl/>
          <w:lang w:bidi="fa-IR"/>
        </w:rPr>
        <w:t>أَنْزَلَ</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وَلا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تَتَّبِعْ</w:t>
      </w:r>
      <w:r w:rsidRPr="006571AC">
        <w:rPr>
          <w:rFonts w:cs="DanaFajr"/>
          <w:b/>
          <w:bCs/>
          <w:sz w:val="28"/>
          <w:szCs w:val="28"/>
          <w:rtl/>
          <w:lang w:bidi="fa-IR"/>
        </w:rPr>
        <w:t xml:space="preserve"> </w:t>
      </w:r>
      <w:r w:rsidRPr="006571AC">
        <w:rPr>
          <w:rFonts w:cs="DanaFajr" w:hint="eastAsia"/>
          <w:b/>
          <w:bCs/>
          <w:sz w:val="28"/>
          <w:szCs w:val="28"/>
          <w:rtl/>
          <w:lang w:bidi="fa-IR"/>
        </w:rPr>
        <w:t>أَهْوَاءَهُمْ</w:t>
      </w:r>
      <w:r w:rsidRPr="006571AC">
        <w:rPr>
          <w:rFonts w:cs="DanaFajr"/>
          <w:b/>
          <w:bCs/>
          <w:sz w:val="28"/>
          <w:szCs w:val="28"/>
          <w:rtl/>
          <w:lang w:bidi="fa-IR"/>
        </w:rPr>
        <w:t xml:space="preserve"> </w:t>
      </w:r>
      <w:r w:rsidRPr="006571AC">
        <w:rPr>
          <w:rFonts w:cs="DanaFajr" w:hint="eastAsia"/>
          <w:b/>
          <w:bCs/>
          <w:sz w:val="28"/>
          <w:szCs w:val="28"/>
          <w:rtl/>
          <w:lang w:bidi="fa-IR"/>
        </w:rPr>
        <w:t>عَمَّا</w:t>
      </w:r>
      <w:r w:rsidRPr="006571AC">
        <w:rPr>
          <w:rFonts w:cs="DanaFajr"/>
          <w:b/>
          <w:bCs/>
          <w:sz w:val="28"/>
          <w:szCs w:val="28"/>
          <w:rtl/>
          <w:lang w:bidi="fa-IR"/>
        </w:rPr>
        <w:t xml:space="preserve"> </w:t>
      </w:r>
      <w:r w:rsidRPr="006571AC">
        <w:rPr>
          <w:rFonts w:cs="DanaFajr" w:hint="eastAsia"/>
          <w:b/>
          <w:bCs/>
          <w:sz w:val="28"/>
          <w:szCs w:val="28"/>
          <w:rtl/>
          <w:lang w:bidi="fa-IR"/>
        </w:rPr>
        <w:t>جَاءَكَ</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الْحَقِّ</w:t>
      </w:r>
      <w:r w:rsidRPr="006571AC">
        <w:rPr>
          <w:rFonts w:cs="DanaFajr"/>
          <w:b/>
          <w:bCs/>
          <w:sz w:val="28"/>
          <w:szCs w:val="28"/>
          <w:rtl/>
          <w:lang w:bidi="fa-IR"/>
        </w:rPr>
        <w:t xml:space="preserve"> </w:t>
      </w:r>
      <w:r w:rsidRPr="006571AC">
        <w:rPr>
          <w:rFonts w:cs="DanaFajr" w:hint="eastAsia"/>
          <w:b/>
          <w:bCs/>
          <w:sz w:val="28"/>
          <w:szCs w:val="28"/>
          <w:rtl/>
          <w:lang w:bidi="fa-IR"/>
        </w:rPr>
        <w:t>لِكُلٍّ</w:t>
      </w:r>
      <w:r w:rsidRPr="006571AC">
        <w:rPr>
          <w:rFonts w:cs="DanaFajr"/>
          <w:b/>
          <w:bCs/>
          <w:sz w:val="28"/>
          <w:szCs w:val="28"/>
          <w:rtl/>
          <w:lang w:bidi="fa-IR"/>
        </w:rPr>
        <w:t xml:space="preserve"> </w:t>
      </w:r>
      <w:r w:rsidRPr="006571AC">
        <w:rPr>
          <w:rFonts w:cs="DanaFajr" w:hint="eastAsia"/>
          <w:b/>
          <w:bCs/>
          <w:sz w:val="28"/>
          <w:szCs w:val="28"/>
          <w:rtl/>
          <w:lang w:bidi="fa-IR"/>
        </w:rPr>
        <w:t>جَعَلْنَا</w:t>
      </w:r>
      <w:r w:rsidRPr="006571AC">
        <w:rPr>
          <w:rFonts w:cs="DanaFajr"/>
          <w:b/>
          <w:bCs/>
          <w:sz w:val="28"/>
          <w:szCs w:val="28"/>
          <w:rtl/>
          <w:lang w:bidi="fa-IR"/>
        </w:rPr>
        <w:t xml:space="preserve"> </w:t>
      </w:r>
      <w:r w:rsidRPr="006571AC">
        <w:rPr>
          <w:rFonts w:cs="DanaFajr" w:hint="eastAsia"/>
          <w:b/>
          <w:bCs/>
          <w:sz w:val="28"/>
          <w:szCs w:val="28"/>
          <w:rtl/>
          <w:lang w:bidi="fa-IR"/>
        </w:rPr>
        <w:t>مِنْكُمْ</w:t>
      </w:r>
      <w:r w:rsidRPr="006571AC">
        <w:rPr>
          <w:rFonts w:cs="DanaFajr"/>
          <w:b/>
          <w:bCs/>
          <w:sz w:val="28"/>
          <w:szCs w:val="28"/>
          <w:rtl/>
          <w:lang w:bidi="fa-IR"/>
        </w:rPr>
        <w:t xml:space="preserve"> </w:t>
      </w:r>
      <w:r w:rsidRPr="006571AC">
        <w:rPr>
          <w:rFonts w:cs="DanaFajr" w:hint="eastAsia"/>
          <w:b/>
          <w:bCs/>
          <w:sz w:val="28"/>
          <w:szCs w:val="28"/>
          <w:rtl/>
          <w:lang w:bidi="fa-IR"/>
        </w:rPr>
        <w:t>شِرْعَةً</w:t>
      </w:r>
      <w:r w:rsidRPr="006571AC">
        <w:rPr>
          <w:rFonts w:cs="DanaFajr"/>
          <w:b/>
          <w:bCs/>
          <w:sz w:val="28"/>
          <w:szCs w:val="28"/>
          <w:rtl/>
          <w:lang w:bidi="fa-IR"/>
        </w:rPr>
        <w:t xml:space="preserve"> </w:t>
      </w:r>
      <w:r w:rsidRPr="006571AC">
        <w:rPr>
          <w:rFonts w:cs="DanaFajr" w:hint="eastAsia"/>
          <w:b/>
          <w:bCs/>
          <w:sz w:val="28"/>
          <w:szCs w:val="28"/>
          <w:rtl/>
          <w:lang w:bidi="fa-IR"/>
        </w:rPr>
        <w:t>وَمِنْهَاجاً</w:t>
      </w:r>
      <w:r w:rsidRPr="006571AC">
        <w:rPr>
          <w:rFonts w:cs="DanaFajr"/>
          <w:b/>
          <w:bCs/>
          <w:sz w:val="28"/>
          <w:szCs w:val="28"/>
          <w:rtl/>
          <w:lang w:bidi="fa-IR"/>
        </w:rPr>
        <w:t xml:space="preserve"> </w:t>
      </w:r>
      <w:r w:rsidRPr="006571AC">
        <w:rPr>
          <w:rFonts w:cs="DanaFajr" w:hint="eastAsia"/>
          <w:b/>
          <w:bCs/>
          <w:sz w:val="28"/>
          <w:szCs w:val="28"/>
          <w:rtl/>
          <w:lang w:bidi="fa-IR"/>
        </w:rPr>
        <w:t>وَلَوْ</w:t>
      </w:r>
      <w:r w:rsidRPr="006571AC">
        <w:rPr>
          <w:rFonts w:cs="DanaFajr"/>
          <w:b/>
          <w:bCs/>
          <w:sz w:val="28"/>
          <w:szCs w:val="28"/>
          <w:rtl/>
          <w:lang w:bidi="fa-IR"/>
        </w:rPr>
        <w:t xml:space="preserve"> </w:t>
      </w:r>
      <w:r w:rsidRPr="006571AC">
        <w:rPr>
          <w:rFonts w:cs="DanaFajr" w:hint="eastAsia"/>
          <w:b/>
          <w:bCs/>
          <w:sz w:val="28"/>
          <w:szCs w:val="28"/>
          <w:rtl/>
          <w:lang w:bidi="fa-IR"/>
        </w:rPr>
        <w:t>شَاءَ</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لَجَعَلَكُمْ</w:t>
      </w:r>
      <w:r w:rsidRPr="006571AC">
        <w:rPr>
          <w:rFonts w:cs="DanaFajr"/>
          <w:b/>
          <w:bCs/>
          <w:sz w:val="28"/>
          <w:szCs w:val="28"/>
          <w:rtl/>
          <w:lang w:bidi="fa-IR"/>
        </w:rPr>
        <w:t xml:space="preserve"> </w:t>
      </w:r>
      <w:r w:rsidRPr="006571AC">
        <w:rPr>
          <w:rFonts w:cs="DanaFajr" w:hint="eastAsia"/>
          <w:b/>
          <w:bCs/>
          <w:sz w:val="28"/>
          <w:szCs w:val="28"/>
          <w:rtl/>
          <w:lang w:bidi="fa-IR"/>
        </w:rPr>
        <w:t>أُمَّةً</w:t>
      </w:r>
      <w:r w:rsidRPr="006571AC">
        <w:rPr>
          <w:rFonts w:cs="DanaFajr"/>
          <w:b/>
          <w:bCs/>
          <w:sz w:val="28"/>
          <w:szCs w:val="28"/>
          <w:rtl/>
          <w:lang w:bidi="fa-IR"/>
        </w:rPr>
        <w:t xml:space="preserve"> </w:t>
      </w:r>
      <w:r w:rsidRPr="006571AC">
        <w:rPr>
          <w:rFonts w:cs="DanaFajr" w:hint="eastAsia"/>
          <w:b/>
          <w:bCs/>
          <w:sz w:val="28"/>
          <w:szCs w:val="28"/>
          <w:rtl/>
          <w:lang w:bidi="fa-IR"/>
        </w:rPr>
        <w:t>وَاحِدَةً</w:t>
      </w:r>
      <w:r w:rsidRPr="006571AC">
        <w:rPr>
          <w:rFonts w:cs="DanaFajr"/>
          <w:b/>
          <w:bCs/>
          <w:sz w:val="28"/>
          <w:szCs w:val="28"/>
          <w:rtl/>
          <w:lang w:bidi="fa-IR"/>
        </w:rPr>
        <w:t xml:space="preserve"> </w:t>
      </w:r>
      <w:r w:rsidRPr="006571AC">
        <w:rPr>
          <w:rFonts w:cs="DanaFajr" w:hint="eastAsia"/>
          <w:b/>
          <w:bCs/>
          <w:sz w:val="28"/>
          <w:szCs w:val="28"/>
          <w:rtl/>
          <w:lang w:bidi="fa-IR"/>
        </w:rPr>
        <w:t>وَلَكِنْ</w:t>
      </w:r>
      <w:r w:rsidRPr="006571AC">
        <w:rPr>
          <w:rFonts w:cs="DanaFajr"/>
          <w:b/>
          <w:bCs/>
          <w:sz w:val="28"/>
          <w:szCs w:val="28"/>
          <w:rtl/>
          <w:lang w:bidi="fa-IR"/>
        </w:rPr>
        <w:t xml:space="preserve"> </w:t>
      </w:r>
      <w:r w:rsidRPr="006571AC">
        <w:rPr>
          <w:rFonts w:cs="DanaFajr" w:hint="eastAsia"/>
          <w:b/>
          <w:bCs/>
          <w:sz w:val="28"/>
          <w:szCs w:val="28"/>
          <w:rtl/>
          <w:lang w:bidi="fa-IR"/>
        </w:rPr>
        <w:t>لِيَبْلُوَكُمْ</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آتَاكُمْ</w:t>
      </w:r>
      <w:r w:rsidRPr="006571AC">
        <w:rPr>
          <w:rFonts w:cs="DanaFajr"/>
          <w:b/>
          <w:bCs/>
          <w:sz w:val="28"/>
          <w:szCs w:val="28"/>
          <w:rtl/>
          <w:lang w:bidi="fa-IR"/>
        </w:rPr>
        <w:t xml:space="preserve"> </w:t>
      </w:r>
      <w:r w:rsidRPr="006571AC">
        <w:rPr>
          <w:rFonts w:cs="DanaFajr" w:hint="eastAsia"/>
          <w:b/>
          <w:bCs/>
          <w:sz w:val="28"/>
          <w:szCs w:val="28"/>
          <w:rtl/>
          <w:lang w:bidi="fa-IR"/>
        </w:rPr>
        <w:t>فَاسْتَبِقُوا</w:t>
      </w:r>
      <w:r w:rsidRPr="006571AC">
        <w:rPr>
          <w:rFonts w:cs="DanaFajr"/>
          <w:b/>
          <w:bCs/>
          <w:sz w:val="28"/>
          <w:szCs w:val="28"/>
          <w:rtl/>
          <w:lang w:bidi="fa-IR"/>
        </w:rPr>
        <w:t xml:space="preserve"> </w:t>
      </w:r>
      <w:r w:rsidRPr="006571AC">
        <w:rPr>
          <w:rFonts w:cs="DanaFajr" w:hint="eastAsia"/>
          <w:b/>
          <w:bCs/>
          <w:sz w:val="28"/>
          <w:szCs w:val="28"/>
          <w:rtl/>
          <w:lang w:bidi="fa-IR"/>
        </w:rPr>
        <w:t>الْخَيْرَاتِ</w:t>
      </w:r>
      <w:r w:rsidRPr="006571AC">
        <w:rPr>
          <w:rFonts w:cs="DanaFajr"/>
          <w:b/>
          <w:bCs/>
          <w:sz w:val="28"/>
          <w:szCs w:val="28"/>
          <w:rtl/>
          <w:lang w:bidi="fa-IR"/>
        </w:rPr>
        <w:t xml:space="preserve"> </w:t>
      </w:r>
      <w:r w:rsidRPr="006571AC">
        <w:rPr>
          <w:rFonts w:cs="DanaFajr" w:hint="eastAsia"/>
          <w:b/>
          <w:bCs/>
          <w:sz w:val="28"/>
          <w:szCs w:val="28"/>
          <w:rtl/>
          <w:lang w:bidi="fa-IR"/>
        </w:rPr>
        <w:t>إِلَى</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مَرْجِعُكُمْ</w:t>
      </w:r>
      <w:r w:rsidRPr="006571AC">
        <w:rPr>
          <w:rFonts w:cs="DanaFajr"/>
          <w:b/>
          <w:bCs/>
          <w:sz w:val="28"/>
          <w:szCs w:val="28"/>
          <w:rtl/>
          <w:lang w:bidi="fa-IR"/>
        </w:rPr>
        <w:t xml:space="preserve"> </w:t>
      </w:r>
      <w:r w:rsidRPr="006571AC">
        <w:rPr>
          <w:rFonts w:cs="DanaFajr" w:hint="eastAsia"/>
          <w:b/>
          <w:bCs/>
          <w:sz w:val="28"/>
          <w:szCs w:val="28"/>
          <w:rtl/>
          <w:lang w:bidi="fa-IR"/>
        </w:rPr>
        <w:t>جَمِيعاً</w:t>
      </w:r>
      <w:r w:rsidRPr="006571AC">
        <w:rPr>
          <w:rFonts w:cs="DanaFajr"/>
          <w:b/>
          <w:bCs/>
          <w:sz w:val="28"/>
          <w:szCs w:val="28"/>
          <w:rtl/>
          <w:lang w:bidi="fa-IR"/>
        </w:rPr>
        <w:t xml:space="preserve"> </w:t>
      </w:r>
      <w:r w:rsidRPr="006571AC">
        <w:rPr>
          <w:rFonts w:cs="DanaFajr" w:hint="eastAsia"/>
          <w:b/>
          <w:bCs/>
          <w:sz w:val="28"/>
          <w:szCs w:val="28"/>
          <w:rtl/>
          <w:lang w:bidi="fa-IR"/>
        </w:rPr>
        <w:t>فَيُنَبِّئُكُمْ</w:t>
      </w:r>
      <w:r w:rsidRPr="006571AC">
        <w:rPr>
          <w:rFonts w:cs="DanaFajr"/>
          <w:b/>
          <w:bCs/>
          <w:sz w:val="28"/>
          <w:szCs w:val="28"/>
          <w:rtl/>
          <w:lang w:bidi="fa-IR"/>
        </w:rPr>
        <w:t xml:space="preserve"> </w:t>
      </w:r>
      <w:r w:rsidRPr="006571AC">
        <w:rPr>
          <w:rFonts w:cs="DanaFajr" w:hint="eastAsia"/>
          <w:b/>
          <w:bCs/>
          <w:sz w:val="28"/>
          <w:szCs w:val="28"/>
          <w:rtl/>
          <w:lang w:bidi="fa-IR"/>
        </w:rPr>
        <w:t>بِمَا</w:t>
      </w:r>
      <w:r w:rsidRPr="006571AC">
        <w:rPr>
          <w:rFonts w:cs="DanaFajr"/>
          <w:b/>
          <w:bCs/>
          <w:sz w:val="28"/>
          <w:szCs w:val="28"/>
          <w:rtl/>
          <w:lang w:bidi="fa-IR"/>
        </w:rPr>
        <w:t xml:space="preserve"> </w:t>
      </w:r>
      <w:r w:rsidRPr="006571AC">
        <w:rPr>
          <w:rFonts w:cs="DanaFajr" w:hint="eastAsia"/>
          <w:b/>
          <w:bCs/>
          <w:sz w:val="28"/>
          <w:szCs w:val="28"/>
          <w:rtl/>
          <w:lang w:bidi="fa-IR"/>
        </w:rPr>
        <w:t>كُنْتُمْ</w:t>
      </w:r>
      <w:r w:rsidRPr="006571AC">
        <w:rPr>
          <w:rFonts w:cs="DanaFajr"/>
          <w:b/>
          <w:bCs/>
          <w:sz w:val="28"/>
          <w:szCs w:val="28"/>
          <w:rtl/>
          <w:lang w:bidi="fa-IR"/>
        </w:rPr>
        <w:t xml:space="preserve"> </w:t>
      </w:r>
      <w:r w:rsidRPr="006571AC">
        <w:rPr>
          <w:rFonts w:cs="DanaFajr" w:hint="eastAsia"/>
          <w:b/>
          <w:bCs/>
          <w:sz w:val="28"/>
          <w:szCs w:val="28"/>
          <w:rtl/>
          <w:lang w:bidi="fa-IR"/>
        </w:rPr>
        <w:t>فِيهِ</w:t>
      </w:r>
      <w:r w:rsidRPr="006571AC">
        <w:rPr>
          <w:rFonts w:cs="DanaFajr"/>
          <w:b/>
          <w:bCs/>
          <w:sz w:val="28"/>
          <w:szCs w:val="28"/>
          <w:rtl/>
          <w:lang w:bidi="fa-IR"/>
        </w:rPr>
        <w:t xml:space="preserve"> </w:t>
      </w:r>
      <w:r w:rsidRPr="006571AC">
        <w:rPr>
          <w:rFonts w:cs="DanaFajr" w:hint="eastAsia"/>
          <w:b/>
          <w:bCs/>
          <w:sz w:val="28"/>
          <w:szCs w:val="28"/>
          <w:rtl/>
          <w:lang w:bidi="fa-IR"/>
        </w:rPr>
        <w:t>تَخْتَلِفُونَ</w:t>
      </w:r>
      <w:r w:rsidRPr="006571AC">
        <w:rPr>
          <w:rFonts w:ascii="Mosawi" w:hAnsi="Mosawi" w:cs="Mosawi"/>
          <w:sz w:val="22"/>
          <w:szCs w:val="22"/>
          <w:rtl/>
        </w:rPr>
        <w:t>﴾</w:t>
      </w:r>
      <w:r w:rsidRPr="006571AC">
        <w:rPr>
          <w:rFonts w:cs="DanaFajr" w:hint="cs"/>
          <w:sz w:val="28"/>
          <w:szCs w:val="28"/>
          <w:rtl/>
          <w:lang w:bidi="fa-IR"/>
        </w:rPr>
        <w:t xml:space="preserve"> (المائدة: </w:t>
      </w:r>
      <w:r w:rsidRPr="006571AC">
        <w:rPr>
          <w:rFonts w:cs="DanaFajr" w:hint="cs"/>
          <w:sz w:val="28"/>
          <w:szCs w:val="28"/>
          <w:rtl/>
        </w:rPr>
        <w:t>4</w:t>
      </w:r>
      <w:r w:rsidRPr="006571AC">
        <w:rPr>
          <w:rFonts w:cs="DanaFajr" w:hint="cs"/>
          <w:sz w:val="28"/>
          <w:szCs w:val="28"/>
          <w:rtl/>
          <w:lang w:bidi="fa-IR"/>
        </w:rPr>
        <w:t>8).</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يَا</w:t>
      </w:r>
      <w:r w:rsidRPr="006571AC">
        <w:rPr>
          <w:rFonts w:cs="DanaFajr"/>
          <w:b/>
          <w:bCs/>
          <w:sz w:val="28"/>
          <w:szCs w:val="28"/>
          <w:rtl/>
          <w:lang w:bidi="fa-IR"/>
        </w:rPr>
        <w:t xml:space="preserve"> </w:t>
      </w:r>
      <w:r w:rsidRPr="006571AC">
        <w:rPr>
          <w:rFonts w:cs="DanaFajr" w:hint="eastAsia"/>
          <w:b/>
          <w:bCs/>
          <w:sz w:val="28"/>
          <w:szCs w:val="28"/>
          <w:rtl/>
          <w:lang w:bidi="fa-IR"/>
        </w:rPr>
        <w:t>أَيُّهَا</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آمَنُوا</w:t>
      </w:r>
      <w:r w:rsidRPr="006571AC">
        <w:rPr>
          <w:rFonts w:cs="DanaFajr"/>
          <w:b/>
          <w:bCs/>
          <w:sz w:val="28"/>
          <w:szCs w:val="28"/>
          <w:rtl/>
          <w:lang w:bidi="fa-IR"/>
        </w:rPr>
        <w:t xml:space="preserve"> </w:t>
      </w:r>
      <w:r w:rsidRPr="006571AC">
        <w:rPr>
          <w:rFonts w:cs="DanaFajr" w:hint="eastAsia"/>
          <w:b/>
          <w:bCs/>
          <w:sz w:val="28"/>
          <w:szCs w:val="28"/>
          <w:rtl/>
          <w:lang w:bidi="fa-IR"/>
        </w:rPr>
        <w:t>لَيَبْلُوَنَّكُمُ</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بِشَيْءٍ</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الصَّيْدِ</w:t>
      </w:r>
      <w:r w:rsidRPr="006571AC">
        <w:rPr>
          <w:rFonts w:cs="DanaFajr"/>
          <w:b/>
          <w:bCs/>
          <w:sz w:val="28"/>
          <w:szCs w:val="28"/>
          <w:rtl/>
          <w:lang w:bidi="fa-IR"/>
        </w:rPr>
        <w:t xml:space="preserve"> </w:t>
      </w:r>
      <w:r w:rsidRPr="006571AC">
        <w:rPr>
          <w:rFonts w:cs="DanaFajr" w:hint="eastAsia"/>
          <w:b/>
          <w:bCs/>
          <w:sz w:val="28"/>
          <w:szCs w:val="28"/>
          <w:rtl/>
          <w:lang w:bidi="fa-IR"/>
        </w:rPr>
        <w:t>تَنَالُهُ</w:t>
      </w:r>
      <w:r w:rsidRPr="006571AC">
        <w:rPr>
          <w:rFonts w:cs="DanaFajr"/>
          <w:b/>
          <w:bCs/>
          <w:sz w:val="28"/>
          <w:szCs w:val="28"/>
          <w:rtl/>
          <w:lang w:bidi="fa-IR"/>
        </w:rPr>
        <w:t xml:space="preserve"> </w:t>
      </w:r>
      <w:r w:rsidRPr="006571AC">
        <w:rPr>
          <w:rFonts w:cs="DanaFajr" w:hint="eastAsia"/>
          <w:b/>
          <w:bCs/>
          <w:sz w:val="28"/>
          <w:szCs w:val="28"/>
          <w:rtl/>
          <w:lang w:bidi="fa-IR"/>
        </w:rPr>
        <w:t>أَيْدِيكُمْ</w:t>
      </w:r>
      <w:r w:rsidRPr="006571AC">
        <w:rPr>
          <w:rFonts w:cs="DanaFajr"/>
          <w:b/>
          <w:bCs/>
          <w:sz w:val="28"/>
          <w:szCs w:val="28"/>
          <w:rtl/>
          <w:lang w:bidi="fa-IR"/>
        </w:rPr>
        <w:t xml:space="preserve"> </w:t>
      </w:r>
      <w:r w:rsidRPr="006571AC">
        <w:rPr>
          <w:rFonts w:cs="DanaFajr" w:hint="eastAsia"/>
          <w:b/>
          <w:bCs/>
          <w:sz w:val="28"/>
          <w:szCs w:val="28"/>
          <w:rtl/>
          <w:lang w:bidi="fa-IR"/>
        </w:rPr>
        <w:t>وَرِمَاحُكُمْ</w:t>
      </w:r>
      <w:r w:rsidRPr="006571AC">
        <w:rPr>
          <w:rFonts w:cs="DanaFajr"/>
          <w:b/>
          <w:bCs/>
          <w:sz w:val="28"/>
          <w:szCs w:val="28"/>
          <w:rtl/>
          <w:lang w:bidi="fa-IR"/>
        </w:rPr>
        <w:t xml:space="preserve"> </w:t>
      </w:r>
      <w:r w:rsidRPr="006571AC">
        <w:rPr>
          <w:rFonts w:cs="DanaFajr" w:hint="eastAsia"/>
          <w:b/>
          <w:bCs/>
          <w:sz w:val="28"/>
          <w:szCs w:val="28"/>
          <w:rtl/>
          <w:lang w:bidi="fa-IR"/>
        </w:rPr>
        <w:t>لِيَعْلَمَ</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يَخَافُهُ</w:t>
      </w:r>
      <w:r w:rsidRPr="006571AC">
        <w:rPr>
          <w:rFonts w:cs="DanaFajr"/>
          <w:b/>
          <w:bCs/>
          <w:sz w:val="28"/>
          <w:szCs w:val="28"/>
          <w:rtl/>
          <w:lang w:bidi="fa-IR"/>
        </w:rPr>
        <w:t xml:space="preserve"> </w:t>
      </w:r>
      <w:r w:rsidRPr="006571AC">
        <w:rPr>
          <w:rFonts w:cs="DanaFajr" w:hint="eastAsia"/>
          <w:b/>
          <w:bCs/>
          <w:sz w:val="28"/>
          <w:szCs w:val="28"/>
          <w:rtl/>
          <w:lang w:bidi="fa-IR"/>
        </w:rPr>
        <w:t>بِالْغَيْبِ</w:t>
      </w:r>
      <w:r w:rsidRPr="006571AC">
        <w:rPr>
          <w:rFonts w:cs="DanaFajr"/>
          <w:b/>
          <w:bCs/>
          <w:sz w:val="28"/>
          <w:szCs w:val="28"/>
          <w:rtl/>
          <w:lang w:bidi="fa-IR"/>
        </w:rPr>
        <w:t xml:space="preserve"> </w:t>
      </w:r>
      <w:r w:rsidRPr="006571AC">
        <w:rPr>
          <w:rFonts w:cs="DanaFajr" w:hint="eastAsia"/>
          <w:b/>
          <w:bCs/>
          <w:sz w:val="28"/>
          <w:szCs w:val="28"/>
          <w:rtl/>
          <w:lang w:bidi="fa-IR"/>
        </w:rPr>
        <w:t>فَمَنِ</w:t>
      </w:r>
      <w:r w:rsidRPr="006571AC">
        <w:rPr>
          <w:rFonts w:cs="DanaFajr"/>
          <w:b/>
          <w:bCs/>
          <w:sz w:val="28"/>
          <w:szCs w:val="28"/>
          <w:rtl/>
          <w:lang w:bidi="fa-IR"/>
        </w:rPr>
        <w:t xml:space="preserve"> </w:t>
      </w:r>
      <w:r w:rsidRPr="006571AC">
        <w:rPr>
          <w:rFonts w:cs="DanaFajr" w:hint="eastAsia"/>
          <w:b/>
          <w:bCs/>
          <w:sz w:val="28"/>
          <w:szCs w:val="28"/>
          <w:rtl/>
          <w:lang w:bidi="fa-IR"/>
        </w:rPr>
        <w:t>اعْتَدَى</w:t>
      </w:r>
      <w:r w:rsidRPr="006571AC">
        <w:rPr>
          <w:rFonts w:cs="DanaFajr"/>
          <w:b/>
          <w:bCs/>
          <w:sz w:val="28"/>
          <w:szCs w:val="28"/>
          <w:rtl/>
          <w:lang w:bidi="fa-IR"/>
        </w:rPr>
        <w:t xml:space="preserve"> </w:t>
      </w:r>
      <w:r w:rsidRPr="006571AC">
        <w:rPr>
          <w:rFonts w:cs="DanaFajr" w:hint="eastAsia"/>
          <w:b/>
          <w:bCs/>
          <w:sz w:val="28"/>
          <w:szCs w:val="28"/>
          <w:rtl/>
          <w:lang w:bidi="fa-IR"/>
        </w:rPr>
        <w:t>بَعْدَ</w:t>
      </w:r>
      <w:r w:rsidRPr="006571AC">
        <w:rPr>
          <w:rFonts w:cs="DanaFajr"/>
          <w:b/>
          <w:bCs/>
          <w:sz w:val="28"/>
          <w:szCs w:val="28"/>
          <w:rtl/>
          <w:lang w:bidi="fa-IR"/>
        </w:rPr>
        <w:t xml:space="preserve"> </w:t>
      </w:r>
      <w:r w:rsidRPr="006571AC">
        <w:rPr>
          <w:rFonts w:cs="DanaFajr" w:hint="eastAsia"/>
          <w:b/>
          <w:bCs/>
          <w:sz w:val="28"/>
          <w:szCs w:val="28"/>
          <w:rtl/>
          <w:lang w:bidi="fa-IR"/>
        </w:rPr>
        <w:t>ذَلِكَ</w:t>
      </w:r>
      <w:r w:rsidRPr="006571AC">
        <w:rPr>
          <w:rFonts w:cs="DanaFajr"/>
          <w:b/>
          <w:bCs/>
          <w:sz w:val="28"/>
          <w:szCs w:val="28"/>
          <w:rtl/>
          <w:lang w:bidi="fa-IR"/>
        </w:rPr>
        <w:t xml:space="preserve"> </w:t>
      </w:r>
      <w:r w:rsidRPr="006571AC">
        <w:rPr>
          <w:rFonts w:cs="DanaFajr" w:hint="eastAsia"/>
          <w:b/>
          <w:bCs/>
          <w:sz w:val="28"/>
          <w:szCs w:val="28"/>
          <w:rtl/>
          <w:lang w:bidi="fa-IR"/>
        </w:rPr>
        <w:t>فَلَهُ</w:t>
      </w:r>
      <w:r w:rsidRPr="006571AC">
        <w:rPr>
          <w:rFonts w:cs="DanaFajr"/>
          <w:b/>
          <w:bCs/>
          <w:sz w:val="28"/>
          <w:szCs w:val="28"/>
          <w:rtl/>
          <w:lang w:bidi="fa-IR"/>
        </w:rPr>
        <w:t xml:space="preserve"> </w:t>
      </w:r>
      <w:r w:rsidRPr="006571AC">
        <w:rPr>
          <w:rFonts w:cs="DanaFajr" w:hint="eastAsia"/>
          <w:b/>
          <w:bCs/>
          <w:sz w:val="28"/>
          <w:szCs w:val="28"/>
          <w:rtl/>
          <w:lang w:bidi="fa-IR"/>
        </w:rPr>
        <w:t>عَذَابٌ</w:t>
      </w:r>
      <w:r w:rsidRPr="006571AC">
        <w:rPr>
          <w:rFonts w:cs="DanaFajr"/>
          <w:b/>
          <w:bCs/>
          <w:sz w:val="28"/>
          <w:szCs w:val="28"/>
          <w:rtl/>
          <w:lang w:bidi="fa-IR"/>
        </w:rPr>
        <w:t xml:space="preserve"> </w:t>
      </w:r>
      <w:r w:rsidRPr="006571AC">
        <w:rPr>
          <w:rFonts w:cs="DanaFajr" w:hint="eastAsia"/>
          <w:b/>
          <w:bCs/>
          <w:sz w:val="28"/>
          <w:szCs w:val="28"/>
          <w:rtl/>
          <w:lang w:bidi="fa-IR"/>
        </w:rPr>
        <w:t>أَلِيمٌ</w:t>
      </w:r>
      <w:r w:rsidRPr="006571AC">
        <w:rPr>
          <w:rFonts w:ascii="Mosawi" w:hAnsi="Mosawi" w:cs="Mosawi"/>
          <w:sz w:val="22"/>
          <w:szCs w:val="22"/>
          <w:rtl/>
        </w:rPr>
        <w:t>﴾</w:t>
      </w:r>
      <w:r w:rsidRPr="006571AC">
        <w:rPr>
          <w:rFonts w:cs="DanaFajr" w:hint="cs"/>
          <w:sz w:val="28"/>
          <w:szCs w:val="28"/>
          <w:rtl/>
          <w:lang w:bidi="fa-IR"/>
        </w:rPr>
        <w:t xml:space="preserve"> (المائدة: 9</w:t>
      </w:r>
      <w:r w:rsidRPr="006571AC">
        <w:rPr>
          <w:rFonts w:cs="DanaFajr" w:hint="cs"/>
          <w:sz w:val="28"/>
          <w:szCs w:val="28"/>
          <w:rtl/>
        </w:rPr>
        <w:t>4</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وَهُوَ</w:t>
      </w:r>
      <w:r w:rsidRPr="006571AC">
        <w:rPr>
          <w:rFonts w:cs="DanaFajr"/>
          <w:b/>
          <w:bCs/>
          <w:sz w:val="28"/>
          <w:szCs w:val="28"/>
          <w:rtl/>
          <w:lang w:bidi="fa-IR"/>
        </w:rPr>
        <w:t xml:space="preserve"> </w:t>
      </w:r>
      <w:r w:rsidRPr="006571AC">
        <w:rPr>
          <w:rFonts w:cs="DanaFajr" w:hint="eastAsia"/>
          <w:b/>
          <w:bCs/>
          <w:sz w:val="28"/>
          <w:szCs w:val="28"/>
          <w:rtl/>
          <w:lang w:bidi="fa-IR"/>
        </w:rPr>
        <w:t>الَّذِي</w:t>
      </w:r>
      <w:r w:rsidRPr="006571AC">
        <w:rPr>
          <w:rFonts w:cs="DanaFajr"/>
          <w:b/>
          <w:bCs/>
          <w:sz w:val="28"/>
          <w:szCs w:val="28"/>
          <w:rtl/>
          <w:lang w:bidi="fa-IR"/>
        </w:rPr>
        <w:t xml:space="preserve"> </w:t>
      </w:r>
      <w:r w:rsidRPr="006571AC">
        <w:rPr>
          <w:rFonts w:cs="DanaFajr" w:hint="eastAsia"/>
          <w:b/>
          <w:bCs/>
          <w:sz w:val="28"/>
          <w:szCs w:val="28"/>
          <w:rtl/>
          <w:lang w:bidi="fa-IR"/>
        </w:rPr>
        <w:t>جَعَلَكُمْ</w:t>
      </w:r>
      <w:r w:rsidRPr="006571AC">
        <w:rPr>
          <w:rFonts w:cs="DanaFajr"/>
          <w:b/>
          <w:bCs/>
          <w:sz w:val="28"/>
          <w:szCs w:val="28"/>
          <w:rtl/>
          <w:lang w:bidi="fa-IR"/>
        </w:rPr>
        <w:t xml:space="preserve"> </w:t>
      </w:r>
      <w:r w:rsidRPr="006571AC">
        <w:rPr>
          <w:rFonts w:cs="DanaFajr" w:hint="eastAsia"/>
          <w:b/>
          <w:bCs/>
          <w:sz w:val="28"/>
          <w:szCs w:val="28"/>
          <w:rtl/>
          <w:lang w:bidi="fa-IR"/>
        </w:rPr>
        <w:t>خَلا</w:t>
      </w:r>
      <w:r w:rsidRPr="006571AC">
        <w:rPr>
          <w:rFonts w:cs="DanaFajr" w:hint="cs"/>
          <w:b/>
          <w:bCs/>
          <w:sz w:val="28"/>
          <w:szCs w:val="28"/>
          <w:rtl/>
          <w:lang w:bidi="fa-IR"/>
        </w:rPr>
        <w:t>َ</w:t>
      </w:r>
      <w:r w:rsidRPr="006571AC">
        <w:rPr>
          <w:rFonts w:cs="DanaFajr" w:hint="eastAsia"/>
          <w:b/>
          <w:bCs/>
          <w:sz w:val="28"/>
          <w:szCs w:val="28"/>
          <w:rtl/>
          <w:lang w:bidi="fa-IR"/>
        </w:rPr>
        <w:t>ئِفَ</w:t>
      </w:r>
      <w:r w:rsidRPr="006571AC">
        <w:rPr>
          <w:rFonts w:cs="DanaFajr"/>
          <w:b/>
          <w:bCs/>
          <w:sz w:val="28"/>
          <w:szCs w:val="28"/>
          <w:rtl/>
          <w:lang w:bidi="fa-IR"/>
        </w:rPr>
        <w:t xml:space="preserve"> </w:t>
      </w:r>
      <w:r w:rsidRPr="006571AC">
        <w:rPr>
          <w:rFonts w:cs="DanaFajr" w:hint="eastAsia"/>
          <w:b/>
          <w:bCs/>
          <w:sz w:val="28"/>
          <w:szCs w:val="28"/>
          <w:rtl/>
          <w:lang w:bidi="fa-IR"/>
        </w:rPr>
        <w:t>الأَرْضِ</w:t>
      </w:r>
      <w:r w:rsidRPr="006571AC">
        <w:rPr>
          <w:rFonts w:cs="DanaFajr"/>
          <w:b/>
          <w:bCs/>
          <w:sz w:val="28"/>
          <w:szCs w:val="28"/>
          <w:rtl/>
          <w:lang w:bidi="fa-IR"/>
        </w:rPr>
        <w:t xml:space="preserve"> </w:t>
      </w:r>
      <w:r w:rsidRPr="006571AC">
        <w:rPr>
          <w:rFonts w:cs="DanaFajr" w:hint="eastAsia"/>
          <w:b/>
          <w:bCs/>
          <w:sz w:val="28"/>
          <w:szCs w:val="28"/>
          <w:rtl/>
          <w:lang w:bidi="fa-IR"/>
        </w:rPr>
        <w:t>وَرَفَعَ</w:t>
      </w:r>
      <w:r w:rsidRPr="006571AC">
        <w:rPr>
          <w:rFonts w:cs="DanaFajr"/>
          <w:b/>
          <w:bCs/>
          <w:sz w:val="28"/>
          <w:szCs w:val="28"/>
          <w:rtl/>
          <w:lang w:bidi="fa-IR"/>
        </w:rPr>
        <w:t xml:space="preserve"> </w:t>
      </w:r>
      <w:r w:rsidRPr="006571AC">
        <w:rPr>
          <w:rFonts w:cs="DanaFajr" w:hint="eastAsia"/>
          <w:b/>
          <w:bCs/>
          <w:sz w:val="28"/>
          <w:szCs w:val="28"/>
          <w:rtl/>
          <w:lang w:bidi="fa-IR"/>
        </w:rPr>
        <w:t>بَعْضَكُمْ</w:t>
      </w:r>
      <w:r w:rsidRPr="006571AC">
        <w:rPr>
          <w:rFonts w:cs="DanaFajr"/>
          <w:b/>
          <w:bCs/>
          <w:sz w:val="28"/>
          <w:szCs w:val="28"/>
          <w:rtl/>
          <w:lang w:bidi="fa-IR"/>
        </w:rPr>
        <w:t xml:space="preserve"> </w:t>
      </w:r>
      <w:r w:rsidRPr="006571AC">
        <w:rPr>
          <w:rFonts w:cs="DanaFajr" w:hint="eastAsia"/>
          <w:b/>
          <w:bCs/>
          <w:sz w:val="28"/>
          <w:szCs w:val="28"/>
          <w:rtl/>
          <w:lang w:bidi="fa-IR"/>
        </w:rPr>
        <w:t>فَوْقَ</w:t>
      </w:r>
      <w:r w:rsidRPr="006571AC">
        <w:rPr>
          <w:rFonts w:cs="DanaFajr"/>
          <w:b/>
          <w:bCs/>
          <w:sz w:val="28"/>
          <w:szCs w:val="28"/>
          <w:rtl/>
          <w:lang w:bidi="fa-IR"/>
        </w:rPr>
        <w:t xml:space="preserve"> </w:t>
      </w:r>
      <w:r w:rsidRPr="006571AC">
        <w:rPr>
          <w:rFonts w:cs="DanaFajr" w:hint="eastAsia"/>
          <w:b/>
          <w:bCs/>
          <w:sz w:val="28"/>
          <w:szCs w:val="28"/>
          <w:rtl/>
          <w:lang w:bidi="fa-IR"/>
        </w:rPr>
        <w:t>بَعْضٍ</w:t>
      </w:r>
      <w:r w:rsidRPr="006571AC">
        <w:rPr>
          <w:rFonts w:cs="DanaFajr"/>
          <w:b/>
          <w:bCs/>
          <w:sz w:val="28"/>
          <w:szCs w:val="28"/>
          <w:rtl/>
          <w:lang w:bidi="fa-IR"/>
        </w:rPr>
        <w:t xml:space="preserve"> </w:t>
      </w:r>
      <w:r w:rsidRPr="006571AC">
        <w:rPr>
          <w:rFonts w:cs="DanaFajr" w:hint="eastAsia"/>
          <w:b/>
          <w:bCs/>
          <w:sz w:val="28"/>
          <w:szCs w:val="28"/>
          <w:rtl/>
          <w:lang w:bidi="fa-IR"/>
        </w:rPr>
        <w:t>دَرَجَاتٍ</w:t>
      </w:r>
      <w:r w:rsidRPr="006571AC">
        <w:rPr>
          <w:rFonts w:cs="DanaFajr"/>
          <w:b/>
          <w:bCs/>
          <w:sz w:val="28"/>
          <w:szCs w:val="28"/>
          <w:rtl/>
          <w:lang w:bidi="fa-IR"/>
        </w:rPr>
        <w:t xml:space="preserve"> </w:t>
      </w:r>
      <w:r w:rsidRPr="006571AC">
        <w:rPr>
          <w:rFonts w:cs="DanaFajr" w:hint="eastAsia"/>
          <w:b/>
          <w:bCs/>
          <w:sz w:val="28"/>
          <w:szCs w:val="28"/>
          <w:rtl/>
          <w:lang w:bidi="fa-IR"/>
        </w:rPr>
        <w:t>لِيَبْلُوَكُمْ</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آتَاكُمْ</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رَبَّكَ</w:t>
      </w:r>
      <w:r w:rsidRPr="006571AC">
        <w:rPr>
          <w:rFonts w:cs="DanaFajr"/>
          <w:b/>
          <w:bCs/>
          <w:sz w:val="28"/>
          <w:szCs w:val="28"/>
          <w:rtl/>
          <w:lang w:bidi="fa-IR"/>
        </w:rPr>
        <w:t xml:space="preserve"> </w:t>
      </w:r>
      <w:r w:rsidRPr="006571AC">
        <w:rPr>
          <w:rFonts w:cs="DanaFajr" w:hint="eastAsia"/>
          <w:b/>
          <w:bCs/>
          <w:sz w:val="28"/>
          <w:szCs w:val="28"/>
          <w:rtl/>
          <w:lang w:bidi="fa-IR"/>
        </w:rPr>
        <w:t>سَرِيعُ</w:t>
      </w:r>
      <w:r w:rsidRPr="006571AC">
        <w:rPr>
          <w:rFonts w:cs="DanaFajr"/>
          <w:b/>
          <w:bCs/>
          <w:sz w:val="28"/>
          <w:szCs w:val="28"/>
          <w:rtl/>
          <w:lang w:bidi="fa-IR"/>
        </w:rPr>
        <w:t xml:space="preserve"> </w:t>
      </w:r>
      <w:r w:rsidRPr="006571AC">
        <w:rPr>
          <w:rFonts w:cs="DanaFajr" w:hint="eastAsia"/>
          <w:b/>
          <w:bCs/>
          <w:sz w:val="28"/>
          <w:szCs w:val="28"/>
          <w:rtl/>
          <w:lang w:bidi="fa-IR"/>
        </w:rPr>
        <w:t>الْعِقَابِ</w:t>
      </w:r>
      <w:r w:rsidRPr="006571AC">
        <w:rPr>
          <w:rFonts w:cs="DanaFajr"/>
          <w:b/>
          <w:bCs/>
          <w:sz w:val="28"/>
          <w:szCs w:val="28"/>
          <w:rtl/>
          <w:lang w:bidi="fa-IR"/>
        </w:rPr>
        <w:t xml:space="preserve"> </w:t>
      </w:r>
      <w:r w:rsidRPr="006571AC">
        <w:rPr>
          <w:rFonts w:cs="DanaFajr" w:hint="eastAsia"/>
          <w:b/>
          <w:bCs/>
          <w:sz w:val="28"/>
          <w:szCs w:val="28"/>
          <w:rtl/>
          <w:lang w:bidi="fa-IR"/>
        </w:rPr>
        <w:t>وَإِنَّهُ</w:t>
      </w:r>
      <w:r w:rsidRPr="006571AC">
        <w:rPr>
          <w:rFonts w:cs="DanaFajr"/>
          <w:b/>
          <w:bCs/>
          <w:sz w:val="28"/>
          <w:szCs w:val="28"/>
          <w:rtl/>
          <w:lang w:bidi="fa-IR"/>
        </w:rPr>
        <w:t xml:space="preserve"> </w:t>
      </w:r>
      <w:r w:rsidRPr="006571AC">
        <w:rPr>
          <w:rFonts w:cs="DanaFajr" w:hint="eastAsia"/>
          <w:b/>
          <w:bCs/>
          <w:sz w:val="28"/>
          <w:szCs w:val="28"/>
          <w:rtl/>
          <w:lang w:bidi="fa-IR"/>
        </w:rPr>
        <w:t>لَغَفُورٌ</w:t>
      </w:r>
      <w:r w:rsidRPr="006571AC">
        <w:rPr>
          <w:rFonts w:cs="DanaFajr"/>
          <w:b/>
          <w:bCs/>
          <w:sz w:val="28"/>
          <w:szCs w:val="28"/>
          <w:rtl/>
          <w:lang w:bidi="fa-IR"/>
        </w:rPr>
        <w:t xml:space="preserve"> </w:t>
      </w:r>
      <w:r w:rsidRPr="006571AC">
        <w:rPr>
          <w:rFonts w:cs="DanaFajr" w:hint="eastAsia"/>
          <w:b/>
          <w:bCs/>
          <w:sz w:val="28"/>
          <w:szCs w:val="28"/>
          <w:rtl/>
          <w:lang w:bidi="fa-IR"/>
        </w:rPr>
        <w:t>رَحِيمٌ</w:t>
      </w:r>
      <w:r w:rsidRPr="006571AC">
        <w:rPr>
          <w:rFonts w:ascii="Mosawi" w:hAnsi="Mosawi" w:cs="Mosawi"/>
          <w:sz w:val="22"/>
          <w:szCs w:val="22"/>
          <w:rtl/>
        </w:rPr>
        <w:t>﴾</w:t>
      </w:r>
      <w:r w:rsidRPr="006571AC">
        <w:rPr>
          <w:rFonts w:cs="DanaFajr" w:hint="cs"/>
          <w:sz w:val="28"/>
          <w:szCs w:val="28"/>
          <w:rtl/>
          <w:lang w:bidi="fa-IR"/>
        </w:rPr>
        <w:t xml:space="preserve"> (الأنعام: 1</w:t>
      </w:r>
      <w:r w:rsidRPr="006571AC">
        <w:rPr>
          <w:rFonts w:cs="DanaFajr" w:hint="cs"/>
          <w:sz w:val="28"/>
          <w:szCs w:val="28"/>
          <w:rtl/>
        </w:rPr>
        <w:t>65</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وَاسْأَلْهُمْ</w:t>
      </w:r>
      <w:r w:rsidRPr="006571AC">
        <w:rPr>
          <w:rFonts w:cs="DanaFajr"/>
          <w:b/>
          <w:bCs/>
          <w:sz w:val="28"/>
          <w:szCs w:val="28"/>
          <w:rtl/>
          <w:lang w:bidi="fa-IR"/>
        </w:rPr>
        <w:t xml:space="preserve"> </w:t>
      </w:r>
      <w:r w:rsidRPr="006571AC">
        <w:rPr>
          <w:rFonts w:cs="DanaFajr" w:hint="eastAsia"/>
          <w:b/>
          <w:bCs/>
          <w:sz w:val="28"/>
          <w:szCs w:val="28"/>
          <w:rtl/>
          <w:lang w:bidi="fa-IR"/>
        </w:rPr>
        <w:t>عَنِ</w:t>
      </w:r>
      <w:r w:rsidRPr="006571AC">
        <w:rPr>
          <w:rFonts w:cs="DanaFajr"/>
          <w:b/>
          <w:bCs/>
          <w:sz w:val="28"/>
          <w:szCs w:val="28"/>
          <w:rtl/>
          <w:lang w:bidi="fa-IR"/>
        </w:rPr>
        <w:t xml:space="preserve"> </w:t>
      </w:r>
      <w:r w:rsidRPr="006571AC">
        <w:rPr>
          <w:rFonts w:cs="DanaFajr" w:hint="eastAsia"/>
          <w:b/>
          <w:bCs/>
          <w:sz w:val="28"/>
          <w:szCs w:val="28"/>
          <w:rtl/>
          <w:lang w:bidi="fa-IR"/>
        </w:rPr>
        <w:t>الْقَرْيَةِ</w:t>
      </w:r>
      <w:r w:rsidRPr="006571AC">
        <w:rPr>
          <w:rFonts w:cs="DanaFajr"/>
          <w:b/>
          <w:bCs/>
          <w:sz w:val="28"/>
          <w:szCs w:val="28"/>
          <w:rtl/>
          <w:lang w:bidi="fa-IR"/>
        </w:rPr>
        <w:t xml:space="preserve"> </w:t>
      </w:r>
      <w:r w:rsidRPr="006571AC">
        <w:rPr>
          <w:rFonts w:cs="DanaFajr" w:hint="eastAsia"/>
          <w:b/>
          <w:bCs/>
          <w:sz w:val="28"/>
          <w:szCs w:val="28"/>
          <w:rtl/>
          <w:lang w:bidi="fa-IR"/>
        </w:rPr>
        <w:t>الَّتِي</w:t>
      </w:r>
      <w:r w:rsidRPr="006571AC">
        <w:rPr>
          <w:rFonts w:cs="DanaFajr"/>
          <w:b/>
          <w:bCs/>
          <w:sz w:val="28"/>
          <w:szCs w:val="28"/>
          <w:rtl/>
          <w:lang w:bidi="fa-IR"/>
        </w:rPr>
        <w:t xml:space="preserve"> </w:t>
      </w:r>
      <w:r w:rsidRPr="006571AC">
        <w:rPr>
          <w:rFonts w:cs="DanaFajr" w:hint="eastAsia"/>
          <w:b/>
          <w:bCs/>
          <w:sz w:val="28"/>
          <w:szCs w:val="28"/>
          <w:rtl/>
          <w:lang w:bidi="fa-IR"/>
        </w:rPr>
        <w:t>كَانَتْ</w:t>
      </w:r>
      <w:r w:rsidRPr="006571AC">
        <w:rPr>
          <w:rFonts w:cs="DanaFajr"/>
          <w:b/>
          <w:bCs/>
          <w:sz w:val="28"/>
          <w:szCs w:val="28"/>
          <w:rtl/>
          <w:lang w:bidi="fa-IR"/>
        </w:rPr>
        <w:t xml:space="preserve"> </w:t>
      </w:r>
      <w:r w:rsidRPr="006571AC">
        <w:rPr>
          <w:rFonts w:cs="DanaFajr" w:hint="eastAsia"/>
          <w:b/>
          <w:bCs/>
          <w:sz w:val="28"/>
          <w:szCs w:val="28"/>
          <w:rtl/>
          <w:lang w:bidi="fa-IR"/>
        </w:rPr>
        <w:t>حَاضِرَةَ</w:t>
      </w:r>
      <w:r w:rsidRPr="006571AC">
        <w:rPr>
          <w:rFonts w:cs="DanaFajr"/>
          <w:b/>
          <w:bCs/>
          <w:sz w:val="28"/>
          <w:szCs w:val="28"/>
          <w:rtl/>
          <w:lang w:bidi="fa-IR"/>
        </w:rPr>
        <w:t xml:space="preserve"> </w:t>
      </w:r>
      <w:r w:rsidRPr="006571AC">
        <w:rPr>
          <w:rFonts w:cs="DanaFajr" w:hint="eastAsia"/>
          <w:b/>
          <w:bCs/>
          <w:sz w:val="28"/>
          <w:szCs w:val="28"/>
          <w:rtl/>
          <w:lang w:bidi="fa-IR"/>
        </w:rPr>
        <w:t>الْبَحْرِ</w:t>
      </w:r>
      <w:r w:rsidRPr="006571AC">
        <w:rPr>
          <w:rFonts w:cs="DanaFajr"/>
          <w:b/>
          <w:bCs/>
          <w:sz w:val="28"/>
          <w:szCs w:val="28"/>
          <w:rtl/>
          <w:lang w:bidi="fa-IR"/>
        </w:rPr>
        <w:t xml:space="preserve"> </w:t>
      </w:r>
      <w:r w:rsidRPr="006571AC">
        <w:rPr>
          <w:rFonts w:cs="DanaFajr" w:hint="eastAsia"/>
          <w:b/>
          <w:bCs/>
          <w:sz w:val="28"/>
          <w:szCs w:val="28"/>
          <w:rtl/>
          <w:lang w:bidi="fa-IR"/>
        </w:rPr>
        <w:t>إِذْ</w:t>
      </w:r>
      <w:r w:rsidRPr="006571AC">
        <w:rPr>
          <w:rFonts w:cs="DanaFajr"/>
          <w:b/>
          <w:bCs/>
          <w:sz w:val="28"/>
          <w:szCs w:val="28"/>
          <w:rtl/>
          <w:lang w:bidi="fa-IR"/>
        </w:rPr>
        <w:t xml:space="preserve"> </w:t>
      </w:r>
      <w:r w:rsidRPr="006571AC">
        <w:rPr>
          <w:rFonts w:cs="DanaFajr" w:hint="eastAsia"/>
          <w:b/>
          <w:bCs/>
          <w:sz w:val="28"/>
          <w:szCs w:val="28"/>
          <w:rtl/>
          <w:lang w:bidi="fa-IR"/>
        </w:rPr>
        <w:t>يَعْدُونَ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السَّبْتِ</w:t>
      </w:r>
      <w:r w:rsidRPr="006571AC">
        <w:rPr>
          <w:rFonts w:cs="DanaFajr"/>
          <w:b/>
          <w:bCs/>
          <w:sz w:val="28"/>
          <w:szCs w:val="28"/>
          <w:rtl/>
          <w:lang w:bidi="fa-IR"/>
        </w:rPr>
        <w:t xml:space="preserve"> </w:t>
      </w:r>
      <w:r w:rsidRPr="006571AC">
        <w:rPr>
          <w:rFonts w:cs="DanaFajr" w:hint="eastAsia"/>
          <w:b/>
          <w:bCs/>
          <w:sz w:val="28"/>
          <w:szCs w:val="28"/>
          <w:rtl/>
          <w:lang w:bidi="fa-IR"/>
        </w:rPr>
        <w:t>إِذْ</w:t>
      </w:r>
      <w:r w:rsidRPr="006571AC">
        <w:rPr>
          <w:rFonts w:cs="DanaFajr"/>
          <w:b/>
          <w:bCs/>
          <w:sz w:val="28"/>
          <w:szCs w:val="28"/>
          <w:rtl/>
          <w:lang w:bidi="fa-IR"/>
        </w:rPr>
        <w:t xml:space="preserve"> </w:t>
      </w:r>
      <w:r w:rsidRPr="006571AC">
        <w:rPr>
          <w:rFonts w:cs="DanaFajr" w:hint="eastAsia"/>
          <w:b/>
          <w:bCs/>
          <w:sz w:val="28"/>
          <w:szCs w:val="28"/>
          <w:rtl/>
          <w:lang w:bidi="fa-IR"/>
        </w:rPr>
        <w:t>تَأْتِيهِمْ</w:t>
      </w:r>
      <w:r w:rsidRPr="006571AC">
        <w:rPr>
          <w:rFonts w:cs="DanaFajr"/>
          <w:b/>
          <w:bCs/>
          <w:sz w:val="28"/>
          <w:szCs w:val="28"/>
          <w:rtl/>
          <w:lang w:bidi="fa-IR"/>
        </w:rPr>
        <w:t xml:space="preserve"> </w:t>
      </w:r>
      <w:r w:rsidRPr="006571AC">
        <w:rPr>
          <w:rFonts w:cs="DanaFajr" w:hint="eastAsia"/>
          <w:b/>
          <w:bCs/>
          <w:sz w:val="28"/>
          <w:szCs w:val="28"/>
          <w:rtl/>
          <w:lang w:bidi="fa-IR"/>
        </w:rPr>
        <w:t>حِيتَانُهُمْ</w:t>
      </w:r>
      <w:r w:rsidRPr="006571AC">
        <w:rPr>
          <w:rFonts w:cs="DanaFajr"/>
          <w:b/>
          <w:bCs/>
          <w:sz w:val="28"/>
          <w:szCs w:val="28"/>
          <w:rtl/>
          <w:lang w:bidi="fa-IR"/>
        </w:rPr>
        <w:t xml:space="preserve"> </w:t>
      </w:r>
      <w:r w:rsidRPr="006571AC">
        <w:rPr>
          <w:rFonts w:cs="DanaFajr" w:hint="eastAsia"/>
          <w:b/>
          <w:bCs/>
          <w:sz w:val="28"/>
          <w:szCs w:val="28"/>
          <w:rtl/>
          <w:lang w:bidi="fa-IR"/>
        </w:rPr>
        <w:t>يَوْمَ</w:t>
      </w:r>
      <w:r w:rsidRPr="006571AC">
        <w:rPr>
          <w:rFonts w:cs="DanaFajr"/>
          <w:b/>
          <w:bCs/>
          <w:sz w:val="28"/>
          <w:szCs w:val="28"/>
          <w:rtl/>
          <w:lang w:bidi="fa-IR"/>
        </w:rPr>
        <w:t xml:space="preserve"> </w:t>
      </w:r>
      <w:r w:rsidRPr="006571AC">
        <w:rPr>
          <w:rFonts w:cs="DanaFajr" w:hint="eastAsia"/>
          <w:b/>
          <w:bCs/>
          <w:sz w:val="28"/>
          <w:szCs w:val="28"/>
          <w:rtl/>
          <w:lang w:bidi="fa-IR"/>
        </w:rPr>
        <w:t>سَبْتِهِمْ</w:t>
      </w:r>
      <w:r w:rsidRPr="006571AC">
        <w:rPr>
          <w:rFonts w:cs="DanaFajr"/>
          <w:b/>
          <w:bCs/>
          <w:sz w:val="28"/>
          <w:szCs w:val="28"/>
          <w:rtl/>
          <w:lang w:bidi="fa-IR"/>
        </w:rPr>
        <w:t xml:space="preserve"> </w:t>
      </w:r>
      <w:r w:rsidRPr="006571AC">
        <w:rPr>
          <w:rFonts w:cs="DanaFajr" w:hint="eastAsia"/>
          <w:b/>
          <w:bCs/>
          <w:sz w:val="28"/>
          <w:szCs w:val="28"/>
          <w:rtl/>
          <w:lang w:bidi="fa-IR"/>
        </w:rPr>
        <w:t>شُرَّعاً</w:t>
      </w:r>
      <w:r w:rsidRPr="006571AC">
        <w:rPr>
          <w:rFonts w:cs="DanaFajr"/>
          <w:b/>
          <w:bCs/>
          <w:sz w:val="28"/>
          <w:szCs w:val="28"/>
          <w:rtl/>
          <w:lang w:bidi="fa-IR"/>
        </w:rPr>
        <w:t xml:space="preserve"> </w:t>
      </w:r>
      <w:r w:rsidRPr="006571AC">
        <w:rPr>
          <w:rFonts w:cs="DanaFajr" w:hint="eastAsia"/>
          <w:b/>
          <w:bCs/>
          <w:sz w:val="28"/>
          <w:szCs w:val="28"/>
          <w:rtl/>
          <w:lang w:bidi="fa-IR"/>
        </w:rPr>
        <w:t>وَيَوْمَ</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يَسْبِتُونَ</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تَأْتِيهِمْ</w:t>
      </w:r>
      <w:r w:rsidRPr="006571AC">
        <w:rPr>
          <w:rFonts w:cs="DanaFajr"/>
          <w:b/>
          <w:bCs/>
          <w:sz w:val="28"/>
          <w:szCs w:val="28"/>
          <w:rtl/>
          <w:lang w:bidi="fa-IR"/>
        </w:rPr>
        <w:t xml:space="preserve"> </w:t>
      </w:r>
      <w:r w:rsidRPr="006571AC">
        <w:rPr>
          <w:rFonts w:cs="DanaFajr" w:hint="eastAsia"/>
          <w:b/>
          <w:bCs/>
          <w:sz w:val="28"/>
          <w:szCs w:val="28"/>
          <w:rtl/>
          <w:lang w:bidi="fa-IR"/>
        </w:rPr>
        <w:t>كَذَلِكَ</w:t>
      </w:r>
      <w:r w:rsidRPr="006571AC">
        <w:rPr>
          <w:rFonts w:cs="DanaFajr"/>
          <w:b/>
          <w:bCs/>
          <w:sz w:val="28"/>
          <w:szCs w:val="28"/>
          <w:rtl/>
          <w:lang w:bidi="fa-IR"/>
        </w:rPr>
        <w:t xml:space="preserve"> </w:t>
      </w:r>
      <w:r w:rsidRPr="006571AC">
        <w:rPr>
          <w:rFonts w:cs="DanaFajr" w:hint="eastAsia"/>
          <w:b/>
          <w:bCs/>
          <w:sz w:val="28"/>
          <w:szCs w:val="28"/>
          <w:rtl/>
          <w:lang w:bidi="fa-IR"/>
        </w:rPr>
        <w:t>نَبْلُوهُمْ</w:t>
      </w:r>
      <w:r w:rsidRPr="006571AC">
        <w:rPr>
          <w:rFonts w:cs="DanaFajr"/>
          <w:b/>
          <w:bCs/>
          <w:sz w:val="28"/>
          <w:szCs w:val="28"/>
          <w:rtl/>
          <w:lang w:bidi="fa-IR"/>
        </w:rPr>
        <w:t xml:space="preserve"> </w:t>
      </w:r>
      <w:r w:rsidRPr="006571AC">
        <w:rPr>
          <w:rFonts w:cs="DanaFajr" w:hint="eastAsia"/>
          <w:b/>
          <w:bCs/>
          <w:sz w:val="28"/>
          <w:szCs w:val="28"/>
          <w:rtl/>
          <w:lang w:bidi="fa-IR"/>
        </w:rPr>
        <w:t>بِمَا</w:t>
      </w:r>
      <w:r w:rsidRPr="006571AC">
        <w:rPr>
          <w:rFonts w:cs="DanaFajr"/>
          <w:b/>
          <w:bCs/>
          <w:sz w:val="28"/>
          <w:szCs w:val="28"/>
          <w:rtl/>
          <w:lang w:bidi="fa-IR"/>
        </w:rPr>
        <w:t xml:space="preserve"> </w:t>
      </w:r>
      <w:r w:rsidRPr="006571AC">
        <w:rPr>
          <w:rFonts w:cs="DanaFajr" w:hint="eastAsia"/>
          <w:b/>
          <w:bCs/>
          <w:sz w:val="28"/>
          <w:szCs w:val="28"/>
          <w:rtl/>
          <w:lang w:bidi="fa-IR"/>
        </w:rPr>
        <w:t>كَانُوا</w:t>
      </w:r>
      <w:r w:rsidRPr="006571AC">
        <w:rPr>
          <w:rFonts w:cs="DanaFajr"/>
          <w:b/>
          <w:bCs/>
          <w:sz w:val="28"/>
          <w:szCs w:val="28"/>
          <w:rtl/>
          <w:lang w:bidi="fa-IR"/>
        </w:rPr>
        <w:t xml:space="preserve"> </w:t>
      </w:r>
      <w:r w:rsidRPr="006571AC">
        <w:rPr>
          <w:rFonts w:cs="DanaFajr" w:hint="eastAsia"/>
          <w:b/>
          <w:bCs/>
          <w:sz w:val="28"/>
          <w:szCs w:val="28"/>
          <w:rtl/>
          <w:lang w:bidi="fa-IR"/>
        </w:rPr>
        <w:t>يَفْسُقُونَ</w:t>
      </w:r>
      <w:r w:rsidRPr="006571AC">
        <w:rPr>
          <w:rFonts w:ascii="Mosawi" w:hAnsi="Mosawi" w:cs="Mosawi"/>
          <w:sz w:val="22"/>
          <w:szCs w:val="22"/>
          <w:rtl/>
        </w:rPr>
        <w:t>﴾</w:t>
      </w:r>
      <w:r w:rsidRPr="006571AC">
        <w:rPr>
          <w:rFonts w:cs="DanaFajr" w:hint="cs"/>
          <w:sz w:val="28"/>
          <w:szCs w:val="28"/>
          <w:rtl/>
          <w:lang w:bidi="fa-IR"/>
        </w:rPr>
        <w:t xml:space="preserve"> (الأعراف: 1</w:t>
      </w:r>
      <w:r w:rsidRPr="006571AC">
        <w:rPr>
          <w:rFonts w:cs="DanaFajr" w:hint="cs"/>
          <w:sz w:val="28"/>
          <w:szCs w:val="28"/>
          <w:rtl/>
        </w:rPr>
        <w:t>6</w:t>
      </w:r>
      <w:r w:rsidRPr="006571AC">
        <w:rPr>
          <w:rFonts w:cs="DanaFajr" w:hint="cs"/>
          <w:sz w:val="28"/>
          <w:szCs w:val="28"/>
          <w:rtl/>
          <w:lang w:bidi="fa-IR"/>
        </w:rPr>
        <w:t>3).</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فَلَمْ</w:t>
      </w:r>
      <w:r w:rsidRPr="006571AC">
        <w:rPr>
          <w:rFonts w:cs="DanaFajr"/>
          <w:b/>
          <w:bCs/>
          <w:sz w:val="28"/>
          <w:szCs w:val="28"/>
          <w:rtl/>
          <w:lang w:bidi="fa-IR"/>
        </w:rPr>
        <w:t xml:space="preserve"> </w:t>
      </w:r>
      <w:r w:rsidRPr="006571AC">
        <w:rPr>
          <w:rFonts w:cs="DanaFajr" w:hint="eastAsia"/>
          <w:b/>
          <w:bCs/>
          <w:sz w:val="28"/>
          <w:szCs w:val="28"/>
          <w:rtl/>
          <w:lang w:bidi="fa-IR"/>
        </w:rPr>
        <w:t>تَقْتُلُوهُمْ</w:t>
      </w:r>
      <w:r w:rsidRPr="006571AC">
        <w:rPr>
          <w:rFonts w:cs="DanaFajr"/>
          <w:b/>
          <w:bCs/>
          <w:sz w:val="28"/>
          <w:szCs w:val="28"/>
          <w:rtl/>
          <w:lang w:bidi="fa-IR"/>
        </w:rPr>
        <w:t xml:space="preserve"> </w:t>
      </w:r>
      <w:r w:rsidRPr="006571AC">
        <w:rPr>
          <w:rFonts w:cs="DanaFajr" w:hint="eastAsia"/>
          <w:b/>
          <w:bCs/>
          <w:sz w:val="28"/>
          <w:szCs w:val="28"/>
          <w:rtl/>
          <w:lang w:bidi="fa-IR"/>
        </w:rPr>
        <w:t>وَلَكِنَّ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قَتَلَهُمْ</w:t>
      </w:r>
      <w:r w:rsidRPr="006571AC">
        <w:rPr>
          <w:rFonts w:cs="DanaFajr"/>
          <w:b/>
          <w:bCs/>
          <w:sz w:val="28"/>
          <w:szCs w:val="28"/>
          <w:rtl/>
          <w:lang w:bidi="fa-IR"/>
        </w:rPr>
        <w:t xml:space="preserve"> </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رَمَيْتَ</w:t>
      </w:r>
      <w:r w:rsidRPr="006571AC">
        <w:rPr>
          <w:rFonts w:cs="DanaFajr"/>
          <w:b/>
          <w:bCs/>
          <w:sz w:val="28"/>
          <w:szCs w:val="28"/>
          <w:rtl/>
          <w:lang w:bidi="fa-IR"/>
        </w:rPr>
        <w:t xml:space="preserve"> </w:t>
      </w:r>
      <w:r w:rsidRPr="006571AC">
        <w:rPr>
          <w:rFonts w:cs="DanaFajr" w:hint="eastAsia"/>
          <w:b/>
          <w:bCs/>
          <w:sz w:val="28"/>
          <w:szCs w:val="28"/>
          <w:rtl/>
          <w:lang w:bidi="fa-IR"/>
        </w:rPr>
        <w:t>إِذْ</w:t>
      </w:r>
      <w:r w:rsidRPr="006571AC">
        <w:rPr>
          <w:rFonts w:cs="DanaFajr"/>
          <w:b/>
          <w:bCs/>
          <w:sz w:val="28"/>
          <w:szCs w:val="28"/>
          <w:rtl/>
          <w:lang w:bidi="fa-IR"/>
        </w:rPr>
        <w:t xml:space="preserve"> </w:t>
      </w:r>
      <w:r w:rsidRPr="006571AC">
        <w:rPr>
          <w:rFonts w:cs="DanaFajr" w:hint="eastAsia"/>
          <w:b/>
          <w:bCs/>
          <w:sz w:val="28"/>
          <w:szCs w:val="28"/>
          <w:rtl/>
          <w:lang w:bidi="fa-IR"/>
        </w:rPr>
        <w:t>رَمَيْتَ</w:t>
      </w:r>
      <w:r w:rsidRPr="006571AC">
        <w:rPr>
          <w:rFonts w:cs="DanaFajr"/>
          <w:b/>
          <w:bCs/>
          <w:sz w:val="28"/>
          <w:szCs w:val="28"/>
          <w:rtl/>
          <w:lang w:bidi="fa-IR"/>
        </w:rPr>
        <w:t xml:space="preserve"> </w:t>
      </w:r>
      <w:r w:rsidRPr="006571AC">
        <w:rPr>
          <w:rFonts w:cs="DanaFajr" w:hint="eastAsia"/>
          <w:b/>
          <w:bCs/>
          <w:sz w:val="28"/>
          <w:szCs w:val="28"/>
          <w:rtl/>
          <w:lang w:bidi="fa-IR"/>
        </w:rPr>
        <w:t>وَلَكِنَّ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رَمَى</w:t>
      </w:r>
      <w:r w:rsidRPr="006571AC">
        <w:rPr>
          <w:rFonts w:cs="DanaFajr"/>
          <w:b/>
          <w:bCs/>
          <w:sz w:val="28"/>
          <w:szCs w:val="28"/>
          <w:rtl/>
          <w:lang w:bidi="fa-IR"/>
        </w:rPr>
        <w:t xml:space="preserve"> </w:t>
      </w:r>
      <w:r w:rsidRPr="006571AC">
        <w:rPr>
          <w:rFonts w:cs="DanaFajr" w:hint="eastAsia"/>
          <w:b/>
          <w:bCs/>
          <w:sz w:val="28"/>
          <w:szCs w:val="28"/>
          <w:rtl/>
          <w:lang w:bidi="fa-IR"/>
        </w:rPr>
        <w:t>وَلِيُبْلِيَ</w:t>
      </w:r>
      <w:r w:rsidRPr="006571AC">
        <w:rPr>
          <w:rFonts w:cs="DanaFajr"/>
          <w:b/>
          <w:bCs/>
          <w:sz w:val="28"/>
          <w:szCs w:val="28"/>
          <w:rtl/>
          <w:lang w:bidi="fa-IR"/>
        </w:rPr>
        <w:t xml:space="preserve"> </w:t>
      </w:r>
      <w:r w:rsidRPr="006571AC">
        <w:rPr>
          <w:rFonts w:cs="DanaFajr" w:hint="eastAsia"/>
          <w:b/>
          <w:bCs/>
          <w:sz w:val="28"/>
          <w:szCs w:val="28"/>
          <w:rtl/>
          <w:lang w:bidi="fa-IR"/>
        </w:rPr>
        <w:t>الْمُؤْمِنِينَ</w:t>
      </w:r>
      <w:r w:rsidRPr="006571AC">
        <w:rPr>
          <w:rFonts w:cs="DanaFajr"/>
          <w:b/>
          <w:bCs/>
          <w:sz w:val="28"/>
          <w:szCs w:val="28"/>
          <w:rtl/>
          <w:lang w:bidi="fa-IR"/>
        </w:rPr>
        <w:t xml:space="preserve"> </w:t>
      </w:r>
      <w:r w:rsidRPr="006571AC">
        <w:rPr>
          <w:rFonts w:cs="DanaFajr" w:hint="eastAsia"/>
          <w:b/>
          <w:bCs/>
          <w:sz w:val="28"/>
          <w:szCs w:val="28"/>
          <w:rtl/>
          <w:lang w:bidi="fa-IR"/>
        </w:rPr>
        <w:t>مِنْهُ</w:t>
      </w:r>
      <w:r w:rsidRPr="006571AC">
        <w:rPr>
          <w:rFonts w:cs="DanaFajr"/>
          <w:b/>
          <w:bCs/>
          <w:sz w:val="28"/>
          <w:szCs w:val="28"/>
          <w:rtl/>
          <w:lang w:bidi="fa-IR"/>
        </w:rPr>
        <w:t xml:space="preserve"> </w:t>
      </w:r>
      <w:r w:rsidRPr="006571AC">
        <w:rPr>
          <w:rFonts w:cs="DanaFajr" w:hint="eastAsia"/>
          <w:b/>
          <w:bCs/>
          <w:sz w:val="28"/>
          <w:szCs w:val="28"/>
          <w:rtl/>
          <w:lang w:bidi="fa-IR"/>
        </w:rPr>
        <w:t>بَلا</w:t>
      </w:r>
      <w:r w:rsidRPr="006571AC">
        <w:rPr>
          <w:rFonts w:cs="DanaFajr" w:hint="cs"/>
          <w:b/>
          <w:bCs/>
          <w:sz w:val="28"/>
          <w:szCs w:val="28"/>
          <w:rtl/>
          <w:lang w:bidi="fa-IR"/>
        </w:rPr>
        <w:t>َ</w:t>
      </w:r>
      <w:r w:rsidRPr="006571AC">
        <w:rPr>
          <w:rFonts w:cs="DanaFajr" w:hint="eastAsia"/>
          <w:b/>
          <w:bCs/>
          <w:sz w:val="28"/>
          <w:szCs w:val="28"/>
          <w:rtl/>
          <w:lang w:bidi="fa-IR"/>
        </w:rPr>
        <w:t>ءً</w:t>
      </w:r>
      <w:r w:rsidRPr="006571AC">
        <w:rPr>
          <w:rFonts w:cs="DanaFajr"/>
          <w:b/>
          <w:bCs/>
          <w:sz w:val="28"/>
          <w:szCs w:val="28"/>
          <w:rtl/>
          <w:lang w:bidi="fa-IR"/>
        </w:rPr>
        <w:t xml:space="preserve"> </w:t>
      </w:r>
      <w:r w:rsidRPr="006571AC">
        <w:rPr>
          <w:rFonts w:cs="DanaFajr" w:hint="eastAsia"/>
          <w:b/>
          <w:bCs/>
          <w:sz w:val="28"/>
          <w:szCs w:val="28"/>
          <w:rtl/>
          <w:lang w:bidi="fa-IR"/>
        </w:rPr>
        <w:t>حَسَناً</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سَمِيعٌ</w:t>
      </w:r>
      <w:r w:rsidRPr="006571AC">
        <w:rPr>
          <w:rFonts w:cs="DanaFajr"/>
          <w:b/>
          <w:bCs/>
          <w:sz w:val="28"/>
          <w:szCs w:val="28"/>
          <w:rtl/>
          <w:lang w:bidi="fa-IR"/>
        </w:rPr>
        <w:t xml:space="preserve"> </w:t>
      </w:r>
      <w:r w:rsidRPr="006571AC">
        <w:rPr>
          <w:rFonts w:cs="DanaFajr" w:hint="eastAsia"/>
          <w:b/>
          <w:bCs/>
          <w:sz w:val="28"/>
          <w:szCs w:val="28"/>
          <w:rtl/>
          <w:lang w:bidi="fa-IR"/>
        </w:rPr>
        <w:t>عَلِيمٌ</w:t>
      </w:r>
      <w:r w:rsidRPr="006571AC">
        <w:rPr>
          <w:rFonts w:ascii="Mosawi" w:hAnsi="Mosawi" w:cs="Mosawi"/>
          <w:sz w:val="22"/>
          <w:szCs w:val="22"/>
          <w:rtl/>
        </w:rPr>
        <w:t>﴾</w:t>
      </w:r>
      <w:r w:rsidRPr="006571AC">
        <w:rPr>
          <w:rFonts w:cs="DanaFajr" w:hint="cs"/>
          <w:sz w:val="28"/>
          <w:szCs w:val="28"/>
          <w:rtl/>
          <w:lang w:bidi="fa-IR"/>
        </w:rPr>
        <w:t xml:space="preserve"> (الأنفال: 17).</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وَهُوَ</w:t>
      </w:r>
      <w:r w:rsidRPr="006571AC">
        <w:rPr>
          <w:rFonts w:cs="DanaFajr"/>
          <w:b/>
          <w:bCs/>
          <w:sz w:val="28"/>
          <w:szCs w:val="28"/>
          <w:rtl/>
          <w:lang w:bidi="fa-IR"/>
        </w:rPr>
        <w:t xml:space="preserve"> </w:t>
      </w:r>
      <w:r w:rsidRPr="006571AC">
        <w:rPr>
          <w:rFonts w:cs="DanaFajr" w:hint="eastAsia"/>
          <w:b/>
          <w:bCs/>
          <w:sz w:val="28"/>
          <w:szCs w:val="28"/>
          <w:rtl/>
          <w:lang w:bidi="fa-IR"/>
        </w:rPr>
        <w:t>الَّذِي</w:t>
      </w:r>
      <w:r w:rsidRPr="006571AC">
        <w:rPr>
          <w:rFonts w:cs="DanaFajr"/>
          <w:b/>
          <w:bCs/>
          <w:sz w:val="28"/>
          <w:szCs w:val="28"/>
          <w:rtl/>
          <w:lang w:bidi="fa-IR"/>
        </w:rPr>
        <w:t xml:space="preserve"> </w:t>
      </w:r>
      <w:r w:rsidRPr="006571AC">
        <w:rPr>
          <w:rFonts w:cs="DanaFajr" w:hint="eastAsia"/>
          <w:b/>
          <w:bCs/>
          <w:sz w:val="28"/>
          <w:szCs w:val="28"/>
          <w:rtl/>
          <w:lang w:bidi="fa-IR"/>
        </w:rPr>
        <w:t>خَلَقَ</w:t>
      </w:r>
      <w:r w:rsidRPr="006571AC">
        <w:rPr>
          <w:rFonts w:cs="DanaFajr"/>
          <w:b/>
          <w:bCs/>
          <w:sz w:val="28"/>
          <w:szCs w:val="28"/>
          <w:rtl/>
          <w:lang w:bidi="fa-IR"/>
        </w:rPr>
        <w:t xml:space="preserve"> </w:t>
      </w:r>
      <w:r w:rsidRPr="006571AC">
        <w:rPr>
          <w:rFonts w:cs="DanaFajr" w:hint="eastAsia"/>
          <w:b/>
          <w:bCs/>
          <w:sz w:val="28"/>
          <w:szCs w:val="28"/>
          <w:rtl/>
          <w:lang w:bidi="fa-IR"/>
        </w:rPr>
        <w:t>السَّمَاوَاتِ</w:t>
      </w:r>
      <w:r w:rsidRPr="006571AC">
        <w:rPr>
          <w:rFonts w:cs="DanaFajr"/>
          <w:b/>
          <w:bCs/>
          <w:sz w:val="28"/>
          <w:szCs w:val="28"/>
          <w:rtl/>
          <w:lang w:bidi="fa-IR"/>
        </w:rPr>
        <w:t xml:space="preserve"> </w:t>
      </w:r>
      <w:r w:rsidRPr="006571AC">
        <w:rPr>
          <w:rFonts w:cs="DanaFajr" w:hint="eastAsia"/>
          <w:b/>
          <w:bCs/>
          <w:sz w:val="28"/>
          <w:szCs w:val="28"/>
          <w:rtl/>
          <w:lang w:bidi="fa-IR"/>
        </w:rPr>
        <w:t>وَالأَرْضَ</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سِتَّةِ</w:t>
      </w:r>
      <w:r w:rsidRPr="006571AC">
        <w:rPr>
          <w:rFonts w:cs="DanaFajr"/>
          <w:b/>
          <w:bCs/>
          <w:sz w:val="28"/>
          <w:szCs w:val="28"/>
          <w:rtl/>
          <w:lang w:bidi="fa-IR"/>
        </w:rPr>
        <w:t xml:space="preserve"> </w:t>
      </w:r>
      <w:r w:rsidRPr="006571AC">
        <w:rPr>
          <w:rFonts w:cs="DanaFajr" w:hint="eastAsia"/>
          <w:b/>
          <w:bCs/>
          <w:sz w:val="28"/>
          <w:szCs w:val="28"/>
          <w:rtl/>
          <w:lang w:bidi="fa-IR"/>
        </w:rPr>
        <w:t>أَيَّامٍ</w:t>
      </w:r>
      <w:r w:rsidRPr="006571AC">
        <w:rPr>
          <w:rFonts w:cs="DanaFajr"/>
          <w:b/>
          <w:bCs/>
          <w:sz w:val="28"/>
          <w:szCs w:val="28"/>
          <w:rtl/>
          <w:lang w:bidi="fa-IR"/>
        </w:rPr>
        <w:t xml:space="preserve"> </w:t>
      </w:r>
      <w:r w:rsidRPr="006571AC">
        <w:rPr>
          <w:rFonts w:cs="DanaFajr" w:hint="eastAsia"/>
          <w:b/>
          <w:bCs/>
          <w:sz w:val="28"/>
          <w:szCs w:val="28"/>
          <w:rtl/>
          <w:lang w:bidi="fa-IR"/>
        </w:rPr>
        <w:t>وَكَانَ</w:t>
      </w:r>
      <w:r w:rsidRPr="006571AC">
        <w:rPr>
          <w:rFonts w:cs="DanaFajr"/>
          <w:b/>
          <w:bCs/>
          <w:sz w:val="28"/>
          <w:szCs w:val="28"/>
          <w:rtl/>
          <w:lang w:bidi="fa-IR"/>
        </w:rPr>
        <w:t xml:space="preserve"> </w:t>
      </w:r>
      <w:r w:rsidRPr="006571AC">
        <w:rPr>
          <w:rFonts w:cs="DanaFajr" w:hint="eastAsia"/>
          <w:b/>
          <w:bCs/>
          <w:sz w:val="28"/>
          <w:szCs w:val="28"/>
          <w:rtl/>
          <w:lang w:bidi="fa-IR"/>
        </w:rPr>
        <w:t>عَرْشُهُ</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الْمَاءِ</w:t>
      </w:r>
      <w:r w:rsidRPr="006571AC">
        <w:rPr>
          <w:rFonts w:cs="DanaFajr"/>
          <w:b/>
          <w:bCs/>
          <w:sz w:val="28"/>
          <w:szCs w:val="28"/>
          <w:rtl/>
          <w:lang w:bidi="fa-IR"/>
        </w:rPr>
        <w:t xml:space="preserve"> </w:t>
      </w:r>
      <w:r w:rsidRPr="006571AC">
        <w:rPr>
          <w:rFonts w:cs="DanaFajr" w:hint="eastAsia"/>
          <w:b/>
          <w:bCs/>
          <w:sz w:val="28"/>
          <w:szCs w:val="28"/>
          <w:rtl/>
          <w:lang w:bidi="fa-IR"/>
        </w:rPr>
        <w:t>لِيَبْلُوَكُمْ</w:t>
      </w:r>
      <w:r w:rsidRPr="006571AC">
        <w:rPr>
          <w:rFonts w:cs="DanaFajr"/>
          <w:b/>
          <w:bCs/>
          <w:sz w:val="28"/>
          <w:szCs w:val="28"/>
          <w:rtl/>
          <w:lang w:bidi="fa-IR"/>
        </w:rPr>
        <w:t xml:space="preserve"> </w:t>
      </w:r>
      <w:r w:rsidRPr="006571AC">
        <w:rPr>
          <w:rFonts w:cs="DanaFajr" w:hint="eastAsia"/>
          <w:b/>
          <w:bCs/>
          <w:sz w:val="28"/>
          <w:szCs w:val="28"/>
          <w:rtl/>
          <w:lang w:bidi="fa-IR"/>
        </w:rPr>
        <w:t>أَيُّكُمْ</w:t>
      </w:r>
      <w:r w:rsidRPr="006571AC">
        <w:rPr>
          <w:rFonts w:cs="DanaFajr"/>
          <w:b/>
          <w:bCs/>
          <w:sz w:val="28"/>
          <w:szCs w:val="28"/>
          <w:rtl/>
          <w:lang w:bidi="fa-IR"/>
        </w:rPr>
        <w:t xml:space="preserve"> </w:t>
      </w:r>
      <w:r w:rsidRPr="006571AC">
        <w:rPr>
          <w:rFonts w:cs="DanaFajr" w:hint="eastAsia"/>
          <w:b/>
          <w:bCs/>
          <w:sz w:val="28"/>
          <w:szCs w:val="28"/>
          <w:rtl/>
          <w:lang w:bidi="fa-IR"/>
        </w:rPr>
        <w:t>أَحْسَنُ</w:t>
      </w:r>
      <w:r w:rsidRPr="006571AC">
        <w:rPr>
          <w:rFonts w:cs="DanaFajr"/>
          <w:b/>
          <w:bCs/>
          <w:sz w:val="28"/>
          <w:szCs w:val="28"/>
          <w:rtl/>
          <w:lang w:bidi="fa-IR"/>
        </w:rPr>
        <w:t xml:space="preserve"> </w:t>
      </w:r>
      <w:r w:rsidRPr="006571AC">
        <w:rPr>
          <w:rFonts w:cs="DanaFajr" w:hint="eastAsia"/>
          <w:b/>
          <w:bCs/>
          <w:sz w:val="28"/>
          <w:szCs w:val="28"/>
          <w:rtl/>
          <w:lang w:bidi="fa-IR"/>
        </w:rPr>
        <w:t>عَمَلاً</w:t>
      </w:r>
      <w:r w:rsidRPr="006571AC">
        <w:rPr>
          <w:rFonts w:cs="DanaFajr"/>
          <w:b/>
          <w:bCs/>
          <w:sz w:val="28"/>
          <w:szCs w:val="28"/>
          <w:rtl/>
          <w:lang w:bidi="fa-IR"/>
        </w:rPr>
        <w:t xml:space="preserve"> </w:t>
      </w:r>
      <w:r w:rsidRPr="006571AC">
        <w:rPr>
          <w:rFonts w:cs="DanaFajr" w:hint="eastAsia"/>
          <w:b/>
          <w:bCs/>
          <w:sz w:val="28"/>
          <w:szCs w:val="28"/>
          <w:rtl/>
          <w:lang w:bidi="fa-IR"/>
        </w:rPr>
        <w:t>وَلَئِنْ</w:t>
      </w:r>
      <w:r w:rsidRPr="006571AC">
        <w:rPr>
          <w:rFonts w:cs="DanaFajr"/>
          <w:b/>
          <w:bCs/>
          <w:sz w:val="28"/>
          <w:szCs w:val="28"/>
          <w:rtl/>
          <w:lang w:bidi="fa-IR"/>
        </w:rPr>
        <w:t xml:space="preserve"> </w:t>
      </w:r>
      <w:r w:rsidRPr="006571AC">
        <w:rPr>
          <w:rFonts w:cs="DanaFajr" w:hint="eastAsia"/>
          <w:b/>
          <w:bCs/>
          <w:sz w:val="28"/>
          <w:szCs w:val="28"/>
          <w:rtl/>
          <w:lang w:bidi="fa-IR"/>
        </w:rPr>
        <w:t>قُلْتَ</w:t>
      </w:r>
      <w:r w:rsidRPr="006571AC">
        <w:rPr>
          <w:rFonts w:cs="DanaFajr"/>
          <w:b/>
          <w:bCs/>
          <w:sz w:val="28"/>
          <w:szCs w:val="28"/>
          <w:rtl/>
          <w:lang w:bidi="fa-IR"/>
        </w:rPr>
        <w:t xml:space="preserve"> </w:t>
      </w:r>
      <w:r w:rsidRPr="006571AC">
        <w:rPr>
          <w:rFonts w:cs="DanaFajr" w:hint="eastAsia"/>
          <w:b/>
          <w:bCs/>
          <w:sz w:val="28"/>
          <w:szCs w:val="28"/>
          <w:rtl/>
          <w:lang w:bidi="fa-IR"/>
        </w:rPr>
        <w:t>إِنَّكُمْ</w:t>
      </w:r>
      <w:r w:rsidRPr="006571AC">
        <w:rPr>
          <w:rFonts w:cs="DanaFajr"/>
          <w:b/>
          <w:bCs/>
          <w:sz w:val="28"/>
          <w:szCs w:val="28"/>
          <w:rtl/>
          <w:lang w:bidi="fa-IR"/>
        </w:rPr>
        <w:t xml:space="preserve"> </w:t>
      </w:r>
      <w:r w:rsidRPr="006571AC">
        <w:rPr>
          <w:rFonts w:cs="DanaFajr" w:hint="eastAsia"/>
          <w:b/>
          <w:bCs/>
          <w:sz w:val="28"/>
          <w:szCs w:val="28"/>
          <w:rtl/>
          <w:lang w:bidi="fa-IR"/>
        </w:rPr>
        <w:t>مَبْعُوثُونَ</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بَعْدِ</w:t>
      </w:r>
      <w:r w:rsidRPr="006571AC">
        <w:rPr>
          <w:rFonts w:cs="DanaFajr"/>
          <w:b/>
          <w:bCs/>
          <w:sz w:val="28"/>
          <w:szCs w:val="28"/>
          <w:rtl/>
          <w:lang w:bidi="fa-IR"/>
        </w:rPr>
        <w:t xml:space="preserve"> </w:t>
      </w:r>
      <w:r w:rsidRPr="006571AC">
        <w:rPr>
          <w:rFonts w:cs="DanaFajr" w:hint="eastAsia"/>
          <w:b/>
          <w:bCs/>
          <w:sz w:val="28"/>
          <w:szCs w:val="28"/>
          <w:rtl/>
          <w:lang w:bidi="fa-IR"/>
        </w:rPr>
        <w:t>الْمَوْتِ</w:t>
      </w:r>
      <w:r w:rsidRPr="006571AC">
        <w:rPr>
          <w:rFonts w:cs="DanaFajr"/>
          <w:b/>
          <w:bCs/>
          <w:sz w:val="28"/>
          <w:szCs w:val="28"/>
          <w:rtl/>
          <w:lang w:bidi="fa-IR"/>
        </w:rPr>
        <w:t xml:space="preserve"> </w:t>
      </w:r>
      <w:r w:rsidRPr="006571AC">
        <w:rPr>
          <w:rFonts w:cs="DanaFajr" w:hint="eastAsia"/>
          <w:b/>
          <w:bCs/>
          <w:sz w:val="28"/>
          <w:szCs w:val="28"/>
          <w:rtl/>
          <w:lang w:bidi="fa-IR"/>
        </w:rPr>
        <w:t>لَيَقُولَنَّ</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كَفَرُوا</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هَذَا</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سِحْرٌ</w:t>
      </w:r>
      <w:r w:rsidRPr="006571AC">
        <w:rPr>
          <w:rFonts w:cs="DanaFajr"/>
          <w:b/>
          <w:bCs/>
          <w:sz w:val="28"/>
          <w:szCs w:val="28"/>
          <w:rtl/>
          <w:lang w:bidi="fa-IR"/>
        </w:rPr>
        <w:t xml:space="preserve"> </w:t>
      </w:r>
      <w:r w:rsidRPr="006571AC">
        <w:rPr>
          <w:rFonts w:cs="DanaFajr" w:hint="eastAsia"/>
          <w:b/>
          <w:bCs/>
          <w:sz w:val="28"/>
          <w:szCs w:val="28"/>
          <w:rtl/>
          <w:lang w:bidi="fa-IR"/>
        </w:rPr>
        <w:t>مُبِينٌ</w:t>
      </w:r>
      <w:r w:rsidRPr="006571AC">
        <w:rPr>
          <w:rFonts w:ascii="Mosawi" w:hAnsi="Mosawi" w:cs="Mosawi"/>
          <w:sz w:val="22"/>
          <w:szCs w:val="22"/>
          <w:rtl/>
        </w:rPr>
        <w:t>﴾</w:t>
      </w:r>
      <w:r w:rsidRPr="006571AC">
        <w:rPr>
          <w:rFonts w:cs="DanaFajr" w:hint="cs"/>
          <w:sz w:val="28"/>
          <w:szCs w:val="28"/>
          <w:rtl/>
          <w:lang w:bidi="fa-IR"/>
        </w:rPr>
        <w:t xml:space="preserve"> (هود: 7).</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إِنَّا</w:t>
      </w:r>
      <w:r w:rsidRPr="006571AC">
        <w:rPr>
          <w:rFonts w:cs="DanaFajr"/>
          <w:b/>
          <w:bCs/>
          <w:sz w:val="28"/>
          <w:szCs w:val="28"/>
          <w:rtl/>
          <w:lang w:bidi="fa-IR"/>
        </w:rPr>
        <w:t xml:space="preserve"> </w:t>
      </w:r>
      <w:r w:rsidRPr="006571AC">
        <w:rPr>
          <w:rFonts w:cs="DanaFajr" w:hint="eastAsia"/>
          <w:b/>
          <w:bCs/>
          <w:sz w:val="28"/>
          <w:szCs w:val="28"/>
          <w:rtl/>
          <w:lang w:bidi="fa-IR"/>
        </w:rPr>
        <w:t>جَعَلْنَا</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الأَرْضِ</w:t>
      </w:r>
      <w:r w:rsidRPr="006571AC">
        <w:rPr>
          <w:rFonts w:cs="DanaFajr"/>
          <w:b/>
          <w:bCs/>
          <w:sz w:val="28"/>
          <w:szCs w:val="28"/>
          <w:rtl/>
          <w:lang w:bidi="fa-IR"/>
        </w:rPr>
        <w:t xml:space="preserve"> </w:t>
      </w:r>
      <w:r w:rsidRPr="006571AC">
        <w:rPr>
          <w:rFonts w:cs="DanaFajr" w:hint="eastAsia"/>
          <w:b/>
          <w:bCs/>
          <w:sz w:val="28"/>
          <w:szCs w:val="28"/>
          <w:rtl/>
          <w:lang w:bidi="fa-IR"/>
        </w:rPr>
        <w:t>زِينَةً</w:t>
      </w:r>
      <w:r w:rsidRPr="006571AC">
        <w:rPr>
          <w:rFonts w:cs="DanaFajr"/>
          <w:b/>
          <w:bCs/>
          <w:sz w:val="28"/>
          <w:szCs w:val="28"/>
          <w:rtl/>
          <w:lang w:bidi="fa-IR"/>
        </w:rPr>
        <w:t xml:space="preserve"> </w:t>
      </w:r>
      <w:r w:rsidRPr="006571AC">
        <w:rPr>
          <w:rFonts w:cs="DanaFajr" w:hint="eastAsia"/>
          <w:b/>
          <w:bCs/>
          <w:sz w:val="28"/>
          <w:szCs w:val="28"/>
          <w:rtl/>
          <w:lang w:bidi="fa-IR"/>
        </w:rPr>
        <w:t>لَهَا</w:t>
      </w:r>
      <w:r w:rsidRPr="006571AC">
        <w:rPr>
          <w:rFonts w:cs="DanaFajr"/>
          <w:b/>
          <w:bCs/>
          <w:sz w:val="28"/>
          <w:szCs w:val="28"/>
          <w:rtl/>
          <w:lang w:bidi="fa-IR"/>
        </w:rPr>
        <w:t xml:space="preserve"> </w:t>
      </w:r>
      <w:r w:rsidRPr="006571AC">
        <w:rPr>
          <w:rFonts w:cs="DanaFajr" w:hint="eastAsia"/>
          <w:b/>
          <w:bCs/>
          <w:sz w:val="28"/>
          <w:szCs w:val="28"/>
          <w:rtl/>
          <w:lang w:bidi="fa-IR"/>
        </w:rPr>
        <w:t>لِنَبْلُوَهُمْ</w:t>
      </w:r>
      <w:r w:rsidRPr="006571AC">
        <w:rPr>
          <w:rFonts w:cs="DanaFajr"/>
          <w:b/>
          <w:bCs/>
          <w:sz w:val="28"/>
          <w:szCs w:val="28"/>
          <w:rtl/>
          <w:lang w:bidi="fa-IR"/>
        </w:rPr>
        <w:t xml:space="preserve"> </w:t>
      </w:r>
      <w:r w:rsidRPr="006571AC">
        <w:rPr>
          <w:rFonts w:cs="DanaFajr" w:hint="eastAsia"/>
          <w:b/>
          <w:bCs/>
          <w:sz w:val="28"/>
          <w:szCs w:val="28"/>
          <w:rtl/>
          <w:lang w:bidi="fa-IR"/>
        </w:rPr>
        <w:t>أَيُّهُمْ</w:t>
      </w:r>
      <w:r w:rsidRPr="006571AC">
        <w:rPr>
          <w:rFonts w:cs="DanaFajr"/>
          <w:b/>
          <w:bCs/>
          <w:sz w:val="28"/>
          <w:szCs w:val="28"/>
          <w:rtl/>
          <w:lang w:bidi="fa-IR"/>
        </w:rPr>
        <w:t xml:space="preserve"> </w:t>
      </w:r>
      <w:r w:rsidRPr="006571AC">
        <w:rPr>
          <w:rFonts w:cs="DanaFajr" w:hint="eastAsia"/>
          <w:b/>
          <w:bCs/>
          <w:sz w:val="28"/>
          <w:szCs w:val="28"/>
          <w:rtl/>
          <w:lang w:bidi="fa-IR"/>
        </w:rPr>
        <w:t>أَحْسَنُ</w:t>
      </w:r>
      <w:r w:rsidRPr="006571AC">
        <w:rPr>
          <w:rFonts w:cs="DanaFajr"/>
          <w:b/>
          <w:bCs/>
          <w:sz w:val="28"/>
          <w:szCs w:val="28"/>
          <w:rtl/>
          <w:lang w:bidi="fa-IR"/>
        </w:rPr>
        <w:t xml:space="preserve"> </w:t>
      </w:r>
      <w:r w:rsidRPr="006571AC">
        <w:rPr>
          <w:rFonts w:cs="DanaFajr" w:hint="eastAsia"/>
          <w:b/>
          <w:bCs/>
          <w:sz w:val="28"/>
          <w:szCs w:val="28"/>
          <w:rtl/>
          <w:lang w:bidi="fa-IR"/>
        </w:rPr>
        <w:t>عَمَلاً</w:t>
      </w:r>
      <w:r w:rsidRPr="006571AC">
        <w:rPr>
          <w:rFonts w:ascii="Mosawi" w:hAnsi="Mosawi" w:cs="Mosawi"/>
          <w:sz w:val="22"/>
          <w:szCs w:val="22"/>
          <w:rtl/>
        </w:rPr>
        <w:t>﴾</w:t>
      </w:r>
      <w:r w:rsidRPr="006571AC">
        <w:rPr>
          <w:rFonts w:cs="DanaFajr" w:hint="cs"/>
          <w:sz w:val="28"/>
          <w:szCs w:val="28"/>
          <w:rtl/>
          <w:lang w:bidi="fa-IR"/>
        </w:rPr>
        <w:t xml:space="preserve"> (الكهف: 7).</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cs"/>
          <w:b/>
          <w:bCs/>
          <w:sz w:val="28"/>
          <w:szCs w:val="28"/>
          <w:rtl/>
          <w:lang w:bidi="fa-IR"/>
        </w:rPr>
        <w:t>كُ</w:t>
      </w:r>
      <w:r w:rsidRPr="006571AC">
        <w:rPr>
          <w:rFonts w:cs="DanaFajr" w:hint="eastAsia"/>
          <w:b/>
          <w:bCs/>
          <w:sz w:val="28"/>
          <w:szCs w:val="28"/>
          <w:rtl/>
          <w:lang w:bidi="fa-IR"/>
        </w:rPr>
        <w:t>لُّ</w:t>
      </w:r>
      <w:r w:rsidRPr="006571AC">
        <w:rPr>
          <w:rFonts w:cs="DanaFajr"/>
          <w:b/>
          <w:bCs/>
          <w:sz w:val="28"/>
          <w:szCs w:val="28"/>
          <w:rtl/>
          <w:lang w:bidi="fa-IR"/>
        </w:rPr>
        <w:t xml:space="preserve"> </w:t>
      </w:r>
      <w:r w:rsidRPr="006571AC">
        <w:rPr>
          <w:rFonts w:cs="DanaFajr" w:hint="eastAsia"/>
          <w:b/>
          <w:bCs/>
          <w:sz w:val="28"/>
          <w:szCs w:val="28"/>
          <w:rtl/>
          <w:lang w:bidi="fa-IR"/>
        </w:rPr>
        <w:t>نَفْسٍ</w:t>
      </w:r>
      <w:r w:rsidRPr="006571AC">
        <w:rPr>
          <w:rFonts w:cs="DanaFajr"/>
          <w:b/>
          <w:bCs/>
          <w:sz w:val="28"/>
          <w:szCs w:val="28"/>
          <w:rtl/>
          <w:lang w:bidi="fa-IR"/>
        </w:rPr>
        <w:t xml:space="preserve"> </w:t>
      </w:r>
      <w:r w:rsidRPr="006571AC">
        <w:rPr>
          <w:rFonts w:cs="DanaFajr" w:hint="eastAsia"/>
          <w:b/>
          <w:bCs/>
          <w:sz w:val="28"/>
          <w:szCs w:val="28"/>
          <w:rtl/>
          <w:lang w:bidi="fa-IR"/>
        </w:rPr>
        <w:t>ذَائِقَةُ</w:t>
      </w:r>
      <w:r w:rsidRPr="006571AC">
        <w:rPr>
          <w:rFonts w:cs="DanaFajr"/>
          <w:b/>
          <w:bCs/>
          <w:sz w:val="28"/>
          <w:szCs w:val="28"/>
          <w:rtl/>
          <w:lang w:bidi="fa-IR"/>
        </w:rPr>
        <w:t xml:space="preserve"> </w:t>
      </w:r>
      <w:r w:rsidRPr="006571AC">
        <w:rPr>
          <w:rFonts w:cs="DanaFajr" w:hint="eastAsia"/>
          <w:b/>
          <w:bCs/>
          <w:sz w:val="28"/>
          <w:szCs w:val="28"/>
          <w:rtl/>
          <w:lang w:bidi="fa-IR"/>
        </w:rPr>
        <w:t>الْمَوْتِ</w:t>
      </w:r>
      <w:r w:rsidRPr="006571AC">
        <w:rPr>
          <w:rFonts w:cs="DanaFajr"/>
          <w:b/>
          <w:bCs/>
          <w:sz w:val="28"/>
          <w:szCs w:val="28"/>
          <w:rtl/>
          <w:lang w:bidi="fa-IR"/>
        </w:rPr>
        <w:t xml:space="preserve"> </w:t>
      </w:r>
      <w:r w:rsidRPr="006571AC">
        <w:rPr>
          <w:rFonts w:cs="DanaFajr" w:hint="eastAsia"/>
          <w:b/>
          <w:bCs/>
          <w:sz w:val="28"/>
          <w:szCs w:val="28"/>
          <w:rtl/>
          <w:lang w:bidi="fa-IR"/>
        </w:rPr>
        <w:t>وَنَبْلُوكُمْ</w:t>
      </w:r>
      <w:r w:rsidRPr="006571AC">
        <w:rPr>
          <w:rFonts w:cs="DanaFajr"/>
          <w:b/>
          <w:bCs/>
          <w:sz w:val="28"/>
          <w:szCs w:val="28"/>
          <w:rtl/>
          <w:lang w:bidi="fa-IR"/>
        </w:rPr>
        <w:t xml:space="preserve"> </w:t>
      </w:r>
      <w:r w:rsidRPr="006571AC">
        <w:rPr>
          <w:rFonts w:cs="DanaFajr" w:hint="eastAsia"/>
          <w:b/>
          <w:bCs/>
          <w:sz w:val="28"/>
          <w:szCs w:val="28"/>
          <w:rtl/>
          <w:lang w:bidi="fa-IR"/>
        </w:rPr>
        <w:t>بِالشَّرِّ</w:t>
      </w:r>
      <w:r w:rsidRPr="006571AC">
        <w:rPr>
          <w:rFonts w:cs="DanaFajr"/>
          <w:b/>
          <w:bCs/>
          <w:sz w:val="28"/>
          <w:szCs w:val="28"/>
          <w:rtl/>
          <w:lang w:bidi="fa-IR"/>
        </w:rPr>
        <w:t xml:space="preserve"> </w:t>
      </w:r>
      <w:r w:rsidRPr="006571AC">
        <w:rPr>
          <w:rFonts w:cs="DanaFajr" w:hint="eastAsia"/>
          <w:b/>
          <w:bCs/>
          <w:sz w:val="28"/>
          <w:szCs w:val="28"/>
          <w:rtl/>
          <w:lang w:bidi="fa-IR"/>
        </w:rPr>
        <w:t>وَالْخَيْرِ</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وَإِلَيْنَا</w:t>
      </w:r>
      <w:r w:rsidRPr="006571AC">
        <w:rPr>
          <w:rFonts w:cs="DanaFajr"/>
          <w:b/>
          <w:bCs/>
          <w:sz w:val="28"/>
          <w:szCs w:val="28"/>
          <w:rtl/>
          <w:lang w:bidi="fa-IR"/>
        </w:rPr>
        <w:t xml:space="preserve"> </w:t>
      </w:r>
      <w:r w:rsidRPr="006571AC">
        <w:rPr>
          <w:rFonts w:cs="DanaFajr" w:hint="eastAsia"/>
          <w:b/>
          <w:bCs/>
          <w:sz w:val="28"/>
          <w:szCs w:val="28"/>
          <w:rtl/>
          <w:lang w:bidi="fa-IR"/>
        </w:rPr>
        <w:t>تُرْجَعُونَ</w:t>
      </w:r>
      <w:r w:rsidRPr="006571AC">
        <w:rPr>
          <w:rFonts w:ascii="Mosawi" w:hAnsi="Mosawi" w:cs="Mosawi"/>
          <w:sz w:val="22"/>
          <w:szCs w:val="22"/>
          <w:rtl/>
        </w:rPr>
        <w:t>﴾</w:t>
      </w:r>
      <w:r w:rsidRPr="006571AC">
        <w:rPr>
          <w:rFonts w:cs="DanaFajr" w:hint="cs"/>
          <w:sz w:val="28"/>
          <w:szCs w:val="28"/>
          <w:rtl/>
          <w:lang w:bidi="fa-IR"/>
        </w:rPr>
        <w:t xml:space="preserve"> (الأنبياء: 3</w:t>
      </w:r>
      <w:r w:rsidRPr="006571AC">
        <w:rPr>
          <w:rFonts w:cs="DanaFajr" w:hint="cs"/>
          <w:sz w:val="28"/>
          <w:szCs w:val="28"/>
          <w:rtl/>
        </w:rPr>
        <w:t>5</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هُنَالِكَ</w:t>
      </w:r>
      <w:r w:rsidRPr="006571AC">
        <w:rPr>
          <w:rFonts w:cs="DanaFajr"/>
          <w:b/>
          <w:bCs/>
          <w:sz w:val="28"/>
          <w:szCs w:val="28"/>
          <w:rtl/>
          <w:lang w:bidi="fa-IR"/>
        </w:rPr>
        <w:t xml:space="preserve"> </w:t>
      </w:r>
      <w:r w:rsidRPr="006571AC">
        <w:rPr>
          <w:rFonts w:cs="DanaFajr" w:hint="eastAsia"/>
          <w:b/>
          <w:bCs/>
          <w:sz w:val="28"/>
          <w:szCs w:val="28"/>
          <w:rtl/>
          <w:lang w:bidi="fa-IR"/>
        </w:rPr>
        <w:t>ابْتُلِيَ</w:t>
      </w:r>
      <w:r w:rsidRPr="006571AC">
        <w:rPr>
          <w:rFonts w:cs="DanaFajr"/>
          <w:b/>
          <w:bCs/>
          <w:sz w:val="28"/>
          <w:szCs w:val="28"/>
          <w:rtl/>
          <w:lang w:bidi="fa-IR"/>
        </w:rPr>
        <w:t xml:space="preserve"> </w:t>
      </w:r>
      <w:r w:rsidRPr="006571AC">
        <w:rPr>
          <w:rFonts w:cs="DanaFajr" w:hint="eastAsia"/>
          <w:b/>
          <w:bCs/>
          <w:sz w:val="28"/>
          <w:szCs w:val="28"/>
          <w:rtl/>
          <w:lang w:bidi="fa-IR"/>
        </w:rPr>
        <w:t>الْمُؤْمِنُونَ</w:t>
      </w:r>
      <w:r w:rsidRPr="006571AC">
        <w:rPr>
          <w:rFonts w:cs="DanaFajr"/>
          <w:b/>
          <w:bCs/>
          <w:sz w:val="28"/>
          <w:szCs w:val="28"/>
          <w:rtl/>
          <w:lang w:bidi="fa-IR"/>
        </w:rPr>
        <w:t xml:space="preserve"> </w:t>
      </w:r>
      <w:r w:rsidRPr="006571AC">
        <w:rPr>
          <w:rFonts w:cs="DanaFajr" w:hint="eastAsia"/>
          <w:b/>
          <w:bCs/>
          <w:sz w:val="28"/>
          <w:szCs w:val="28"/>
          <w:rtl/>
          <w:lang w:bidi="fa-IR"/>
        </w:rPr>
        <w:t>وَزُلْزِلُوا</w:t>
      </w:r>
      <w:r w:rsidRPr="006571AC">
        <w:rPr>
          <w:rFonts w:cs="DanaFajr"/>
          <w:b/>
          <w:bCs/>
          <w:sz w:val="28"/>
          <w:szCs w:val="28"/>
          <w:rtl/>
          <w:lang w:bidi="fa-IR"/>
        </w:rPr>
        <w:t xml:space="preserve"> </w:t>
      </w:r>
      <w:r w:rsidRPr="006571AC">
        <w:rPr>
          <w:rFonts w:cs="DanaFajr" w:hint="eastAsia"/>
          <w:b/>
          <w:bCs/>
          <w:sz w:val="28"/>
          <w:szCs w:val="28"/>
          <w:rtl/>
          <w:lang w:bidi="fa-IR"/>
        </w:rPr>
        <w:t>زِلْزَالاً</w:t>
      </w:r>
      <w:r w:rsidRPr="006571AC">
        <w:rPr>
          <w:rFonts w:cs="DanaFajr"/>
          <w:b/>
          <w:bCs/>
          <w:sz w:val="28"/>
          <w:szCs w:val="28"/>
          <w:rtl/>
          <w:lang w:bidi="fa-IR"/>
        </w:rPr>
        <w:t xml:space="preserve"> </w:t>
      </w:r>
      <w:r w:rsidRPr="006571AC">
        <w:rPr>
          <w:rFonts w:cs="DanaFajr" w:hint="eastAsia"/>
          <w:b/>
          <w:bCs/>
          <w:sz w:val="28"/>
          <w:szCs w:val="28"/>
          <w:rtl/>
          <w:lang w:bidi="fa-IR"/>
        </w:rPr>
        <w:t>شَدِيداً</w:t>
      </w:r>
      <w:r w:rsidRPr="006571AC">
        <w:rPr>
          <w:rFonts w:ascii="Mosawi" w:hAnsi="Mosawi" w:cs="Mosawi"/>
          <w:sz w:val="22"/>
          <w:szCs w:val="22"/>
          <w:rtl/>
        </w:rPr>
        <w:t>﴾</w:t>
      </w:r>
      <w:r w:rsidRPr="006571AC">
        <w:rPr>
          <w:rFonts w:cs="DanaFajr" w:hint="cs"/>
          <w:sz w:val="28"/>
          <w:szCs w:val="28"/>
          <w:rtl/>
          <w:lang w:bidi="fa-IR"/>
        </w:rPr>
        <w:t xml:space="preserve"> (الأحزاب: 11).</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وَلَنَبْلُوَنَّكُمْ</w:t>
      </w:r>
      <w:r w:rsidRPr="006571AC">
        <w:rPr>
          <w:rFonts w:cs="DanaFajr"/>
          <w:b/>
          <w:bCs/>
          <w:sz w:val="28"/>
          <w:szCs w:val="28"/>
          <w:rtl/>
          <w:lang w:bidi="fa-IR"/>
        </w:rPr>
        <w:t xml:space="preserve"> </w:t>
      </w:r>
      <w:r w:rsidRPr="006571AC">
        <w:rPr>
          <w:rFonts w:cs="DanaFajr" w:hint="eastAsia"/>
          <w:b/>
          <w:bCs/>
          <w:sz w:val="28"/>
          <w:szCs w:val="28"/>
          <w:rtl/>
          <w:lang w:bidi="fa-IR"/>
        </w:rPr>
        <w:t>حَتَّى</w:t>
      </w:r>
      <w:r w:rsidRPr="006571AC">
        <w:rPr>
          <w:rFonts w:cs="DanaFajr"/>
          <w:b/>
          <w:bCs/>
          <w:sz w:val="28"/>
          <w:szCs w:val="28"/>
          <w:rtl/>
          <w:lang w:bidi="fa-IR"/>
        </w:rPr>
        <w:t xml:space="preserve"> </w:t>
      </w:r>
      <w:r w:rsidRPr="006571AC">
        <w:rPr>
          <w:rFonts w:cs="DanaFajr" w:hint="eastAsia"/>
          <w:b/>
          <w:bCs/>
          <w:sz w:val="28"/>
          <w:szCs w:val="28"/>
          <w:rtl/>
          <w:lang w:bidi="fa-IR"/>
        </w:rPr>
        <w:t>نَعْلَمَ</w:t>
      </w:r>
      <w:r w:rsidRPr="006571AC">
        <w:rPr>
          <w:rFonts w:cs="DanaFajr"/>
          <w:b/>
          <w:bCs/>
          <w:sz w:val="28"/>
          <w:szCs w:val="28"/>
          <w:rtl/>
          <w:lang w:bidi="fa-IR"/>
        </w:rPr>
        <w:t xml:space="preserve"> </w:t>
      </w:r>
      <w:r w:rsidRPr="006571AC">
        <w:rPr>
          <w:rFonts w:cs="DanaFajr" w:hint="eastAsia"/>
          <w:b/>
          <w:bCs/>
          <w:sz w:val="28"/>
          <w:szCs w:val="28"/>
          <w:rtl/>
          <w:lang w:bidi="fa-IR"/>
        </w:rPr>
        <w:t>الْمُجَاهِدِينَ</w:t>
      </w:r>
      <w:r w:rsidRPr="006571AC">
        <w:rPr>
          <w:rFonts w:cs="DanaFajr"/>
          <w:b/>
          <w:bCs/>
          <w:sz w:val="28"/>
          <w:szCs w:val="28"/>
          <w:rtl/>
          <w:lang w:bidi="fa-IR"/>
        </w:rPr>
        <w:t xml:space="preserve"> </w:t>
      </w:r>
      <w:r w:rsidRPr="006571AC">
        <w:rPr>
          <w:rFonts w:cs="DanaFajr" w:hint="eastAsia"/>
          <w:b/>
          <w:bCs/>
          <w:sz w:val="28"/>
          <w:szCs w:val="28"/>
          <w:rtl/>
          <w:lang w:bidi="fa-IR"/>
        </w:rPr>
        <w:t>مِنْكُمْ</w:t>
      </w:r>
      <w:r w:rsidRPr="006571AC">
        <w:rPr>
          <w:rFonts w:cs="DanaFajr"/>
          <w:b/>
          <w:bCs/>
          <w:sz w:val="28"/>
          <w:szCs w:val="28"/>
          <w:rtl/>
          <w:lang w:bidi="fa-IR"/>
        </w:rPr>
        <w:t xml:space="preserve"> </w:t>
      </w:r>
      <w:r w:rsidRPr="006571AC">
        <w:rPr>
          <w:rFonts w:cs="DanaFajr" w:hint="eastAsia"/>
          <w:b/>
          <w:bCs/>
          <w:sz w:val="28"/>
          <w:szCs w:val="28"/>
          <w:rtl/>
          <w:lang w:bidi="fa-IR"/>
        </w:rPr>
        <w:t>وَالصَّابِرِينَ</w:t>
      </w:r>
      <w:r w:rsidRPr="006571AC">
        <w:rPr>
          <w:rFonts w:cs="DanaFajr"/>
          <w:b/>
          <w:bCs/>
          <w:sz w:val="28"/>
          <w:szCs w:val="28"/>
          <w:rtl/>
          <w:lang w:bidi="fa-IR"/>
        </w:rPr>
        <w:t xml:space="preserve"> </w:t>
      </w:r>
      <w:r w:rsidRPr="006571AC">
        <w:rPr>
          <w:rFonts w:cs="DanaFajr" w:hint="eastAsia"/>
          <w:b/>
          <w:bCs/>
          <w:sz w:val="28"/>
          <w:szCs w:val="28"/>
          <w:rtl/>
          <w:lang w:bidi="fa-IR"/>
        </w:rPr>
        <w:t>وَنَبْلُوَ</w:t>
      </w:r>
      <w:r w:rsidRPr="006571AC">
        <w:rPr>
          <w:rFonts w:cs="DanaFajr"/>
          <w:b/>
          <w:bCs/>
          <w:sz w:val="28"/>
          <w:szCs w:val="28"/>
          <w:rtl/>
          <w:lang w:bidi="fa-IR"/>
        </w:rPr>
        <w:t xml:space="preserve"> </w:t>
      </w:r>
      <w:r w:rsidRPr="006571AC">
        <w:rPr>
          <w:rFonts w:cs="DanaFajr" w:hint="eastAsia"/>
          <w:b/>
          <w:bCs/>
          <w:sz w:val="28"/>
          <w:szCs w:val="28"/>
          <w:rtl/>
          <w:lang w:bidi="fa-IR"/>
        </w:rPr>
        <w:t>أَخْبَارَكُمْ</w:t>
      </w:r>
      <w:r w:rsidRPr="006571AC">
        <w:rPr>
          <w:rFonts w:ascii="Mosawi" w:hAnsi="Mosawi" w:cs="Mosawi"/>
          <w:sz w:val="22"/>
          <w:szCs w:val="22"/>
          <w:rtl/>
        </w:rPr>
        <w:t>﴾</w:t>
      </w:r>
      <w:r w:rsidRPr="006571AC">
        <w:rPr>
          <w:rFonts w:cs="DanaFajr" w:hint="cs"/>
          <w:sz w:val="28"/>
          <w:szCs w:val="28"/>
          <w:rtl/>
          <w:lang w:bidi="fa-IR"/>
        </w:rPr>
        <w:t xml:space="preserve"> (محمد: 31).</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الَّذِي</w:t>
      </w:r>
      <w:r w:rsidRPr="006571AC">
        <w:rPr>
          <w:rFonts w:cs="DanaFajr"/>
          <w:b/>
          <w:bCs/>
          <w:sz w:val="28"/>
          <w:szCs w:val="28"/>
          <w:rtl/>
          <w:lang w:bidi="fa-IR"/>
        </w:rPr>
        <w:t xml:space="preserve"> </w:t>
      </w:r>
      <w:r w:rsidRPr="006571AC">
        <w:rPr>
          <w:rFonts w:cs="DanaFajr" w:hint="eastAsia"/>
          <w:b/>
          <w:bCs/>
          <w:sz w:val="28"/>
          <w:szCs w:val="28"/>
          <w:rtl/>
          <w:lang w:bidi="fa-IR"/>
        </w:rPr>
        <w:t>خَلَقَ</w:t>
      </w:r>
      <w:r w:rsidRPr="006571AC">
        <w:rPr>
          <w:rFonts w:cs="DanaFajr"/>
          <w:b/>
          <w:bCs/>
          <w:sz w:val="28"/>
          <w:szCs w:val="28"/>
          <w:rtl/>
          <w:lang w:bidi="fa-IR"/>
        </w:rPr>
        <w:t xml:space="preserve"> </w:t>
      </w:r>
      <w:r w:rsidRPr="006571AC">
        <w:rPr>
          <w:rFonts w:cs="DanaFajr" w:hint="eastAsia"/>
          <w:b/>
          <w:bCs/>
          <w:sz w:val="28"/>
          <w:szCs w:val="28"/>
          <w:rtl/>
          <w:lang w:bidi="fa-IR"/>
        </w:rPr>
        <w:t>الْمَوْتَ</w:t>
      </w:r>
      <w:r w:rsidRPr="006571AC">
        <w:rPr>
          <w:rFonts w:cs="DanaFajr"/>
          <w:b/>
          <w:bCs/>
          <w:sz w:val="28"/>
          <w:szCs w:val="28"/>
          <w:rtl/>
          <w:lang w:bidi="fa-IR"/>
        </w:rPr>
        <w:t xml:space="preserve"> </w:t>
      </w:r>
      <w:r w:rsidRPr="006571AC">
        <w:rPr>
          <w:rFonts w:cs="DanaFajr" w:hint="eastAsia"/>
          <w:b/>
          <w:bCs/>
          <w:sz w:val="28"/>
          <w:szCs w:val="28"/>
          <w:rtl/>
          <w:lang w:bidi="fa-IR"/>
        </w:rPr>
        <w:t>وَالْحَيَاةَ</w:t>
      </w:r>
      <w:r w:rsidRPr="006571AC">
        <w:rPr>
          <w:rFonts w:cs="DanaFajr"/>
          <w:b/>
          <w:bCs/>
          <w:sz w:val="28"/>
          <w:szCs w:val="28"/>
          <w:rtl/>
          <w:lang w:bidi="fa-IR"/>
        </w:rPr>
        <w:t xml:space="preserve"> </w:t>
      </w:r>
      <w:r w:rsidRPr="006571AC">
        <w:rPr>
          <w:rFonts w:cs="DanaFajr" w:hint="eastAsia"/>
          <w:b/>
          <w:bCs/>
          <w:sz w:val="28"/>
          <w:szCs w:val="28"/>
          <w:rtl/>
          <w:lang w:bidi="fa-IR"/>
        </w:rPr>
        <w:t>لِيَبْلُوَكُمْ</w:t>
      </w:r>
      <w:r w:rsidRPr="006571AC">
        <w:rPr>
          <w:rFonts w:cs="DanaFajr"/>
          <w:b/>
          <w:bCs/>
          <w:sz w:val="28"/>
          <w:szCs w:val="28"/>
          <w:rtl/>
          <w:lang w:bidi="fa-IR"/>
        </w:rPr>
        <w:t xml:space="preserve"> </w:t>
      </w:r>
      <w:r w:rsidRPr="006571AC">
        <w:rPr>
          <w:rFonts w:cs="DanaFajr" w:hint="eastAsia"/>
          <w:b/>
          <w:bCs/>
          <w:sz w:val="28"/>
          <w:szCs w:val="28"/>
          <w:rtl/>
          <w:lang w:bidi="fa-IR"/>
        </w:rPr>
        <w:t>أَيُّكُمْ</w:t>
      </w:r>
      <w:r w:rsidRPr="006571AC">
        <w:rPr>
          <w:rFonts w:cs="DanaFajr"/>
          <w:b/>
          <w:bCs/>
          <w:sz w:val="28"/>
          <w:szCs w:val="28"/>
          <w:rtl/>
          <w:lang w:bidi="fa-IR"/>
        </w:rPr>
        <w:t xml:space="preserve"> </w:t>
      </w:r>
      <w:r w:rsidRPr="006571AC">
        <w:rPr>
          <w:rFonts w:cs="DanaFajr" w:hint="eastAsia"/>
          <w:b/>
          <w:bCs/>
          <w:sz w:val="28"/>
          <w:szCs w:val="28"/>
          <w:rtl/>
          <w:lang w:bidi="fa-IR"/>
        </w:rPr>
        <w:t>أَحْسَنُ</w:t>
      </w:r>
      <w:r w:rsidRPr="006571AC">
        <w:rPr>
          <w:rFonts w:cs="DanaFajr"/>
          <w:b/>
          <w:bCs/>
          <w:sz w:val="28"/>
          <w:szCs w:val="28"/>
          <w:rtl/>
          <w:lang w:bidi="fa-IR"/>
        </w:rPr>
        <w:t xml:space="preserve"> </w:t>
      </w:r>
      <w:r w:rsidRPr="006571AC">
        <w:rPr>
          <w:rFonts w:cs="DanaFajr" w:hint="eastAsia"/>
          <w:b/>
          <w:bCs/>
          <w:sz w:val="28"/>
          <w:szCs w:val="28"/>
          <w:rtl/>
          <w:lang w:bidi="fa-IR"/>
        </w:rPr>
        <w:t>عَمَلاً</w:t>
      </w:r>
      <w:r w:rsidRPr="006571AC">
        <w:rPr>
          <w:rFonts w:cs="DanaFajr"/>
          <w:b/>
          <w:bCs/>
          <w:sz w:val="28"/>
          <w:szCs w:val="28"/>
          <w:rtl/>
          <w:lang w:bidi="fa-IR"/>
        </w:rPr>
        <w:t xml:space="preserve"> </w:t>
      </w:r>
      <w:r w:rsidRPr="006571AC">
        <w:rPr>
          <w:rFonts w:cs="DanaFajr" w:hint="eastAsia"/>
          <w:b/>
          <w:bCs/>
          <w:sz w:val="28"/>
          <w:szCs w:val="28"/>
          <w:rtl/>
          <w:lang w:bidi="fa-IR"/>
        </w:rPr>
        <w:t>وَهُوَ</w:t>
      </w:r>
      <w:r w:rsidRPr="006571AC">
        <w:rPr>
          <w:rFonts w:cs="DanaFajr"/>
          <w:b/>
          <w:bCs/>
          <w:sz w:val="28"/>
          <w:szCs w:val="28"/>
          <w:rtl/>
          <w:lang w:bidi="fa-IR"/>
        </w:rPr>
        <w:t xml:space="preserve"> </w:t>
      </w:r>
      <w:r w:rsidRPr="006571AC">
        <w:rPr>
          <w:rFonts w:cs="DanaFajr" w:hint="eastAsia"/>
          <w:b/>
          <w:bCs/>
          <w:sz w:val="28"/>
          <w:szCs w:val="28"/>
          <w:rtl/>
          <w:lang w:bidi="fa-IR"/>
        </w:rPr>
        <w:t>الْعَزِيزُ</w:t>
      </w:r>
      <w:r w:rsidRPr="006571AC">
        <w:rPr>
          <w:rFonts w:cs="DanaFajr"/>
          <w:b/>
          <w:bCs/>
          <w:sz w:val="28"/>
          <w:szCs w:val="28"/>
          <w:rtl/>
          <w:lang w:bidi="fa-IR"/>
        </w:rPr>
        <w:t xml:space="preserve"> </w:t>
      </w:r>
      <w:r w:rsidRPr="006571AC">
        <w:rPr>
          <w:rFonts w:cs="DanaFajr" w:hint="eastAsia"/>
          <w:b/>
          <w:bCs/>
          <w:sz w:val="28"/>
          <w:szCs w:val="28"/>
          <w:rtl/>
          <w:lang w:bidi="fa-IR"/>
        </w:rPr>
        <w:t>الْغَفُورُ</w:t>
      </w:r>
      <w:r w:rsidRPr="006571AC">
        <w:rPr>
          <w:rFonts w:ascii="Mosawi" w:hAnsi="Mosawi" w:cs="Mosawi"/>
          <w:sz w:val="22"/>
          <w:szCs w:val="22"/>
          <w:rtl/>
        </w:rPr>
        <w:t>﴾</w:t>
      </w:r>
      <w:r w:rsidRPr="006571AC">
        <w:rPr>
          <w:rFonts w:cs="DanaFajr" w:hint="cs"/>
          <w:sz w:val="28"/>
          <w:szCs w:val="28"/>
          <w:rtl/>
          <w:lang w:bidi="fa-IR"/>
        </w:rPr>
        <w:t xml:space="preserve"> (الملك: 2).</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فَأَمَّا</w:t>
      </w:r>
      <w:r w:rsidRPr="006571AC">
        <w:rPr>
          <w:rFonts w:cs="DanaFajr"/>
          <w:b/>
          <w:bCs/>
          <w:sz w:val="28"/>
          <w:szCs w:val="28"/>
          <w:rtl/>
          <w:lang w:bidi="fa-IR"/>
        </w:rPr>
        <w:t xml:space="preserve"> </w:t>
      </w:r>
      <w:r w:rsidRPr="006571AC">
        <w:rPr>
          <w:rFonts w:cs="DanaFajr" w:hint="eastAsia"/>
          <w:b/>
          <w:bCs/>
          <w:sz w:val="28"/>
          <w:szCs w:val="28"/>
          <w:rtl/>
          <w:lang w:bidi="fa-IR"/>
        </w:rPr>
        <w:t>الإِنْسَانُ</w:t>
      </w:r>
      <w:r w:rsidRPr="006571AC">
        <w:rPr>
          <w:rFonts w:cs="DanaFajr"/>
          <w:b/>
          <w:bCs/>
          <w:sz w:val="28"/>
          <w:szCs w:val="28"/>
          <w:rtl/>
          <w:lang w:bidi="fa-IR"/>
        </w:rPr>
        <w:t xml:space="preserve"> </w:t>
      </w:r>
      <w:r w:rsidRPr="006571AC">
        <w:rPr>
          <w:rFonts w:cs="DanaFajr" w:hint="eastAsia"/>
          <w:b/>
          <w:bCs/>
          <w:sz w:val="28"/>
          <w:szCs w:val="28"/>
          <w:rtl/>
          <w:lang w:bidi="fa-IR"/>
        </w:rPr>
        <w:t>إِذَا</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ابْتَلا</w:t>
      </w:r>
      <w:r w:rsidRPr="006571AC">
        <w:rPr>
          <w:rFonts w:cs="DanaFajr" w:hint="cs"/>
          <w:b/>
          <w:bCs/>
          <w:sz w:val="28"/>
          <w:szCs w:val="28"/>
          <w:rtl/>
          <w:lang w:bidi="fa-IR"/>
        </w:rPr>
        <w:t>َ</w:t>
      </w:r>
      <w:r w:rsidRPr="006571AC">
        <w:rPr>
          <w:rFonts w:cs="DanaFajr" w:hint="eastAsia"/>
          <w:b/>
          <w:bCs/>
          <w:sz w:val="28"/>
          <w:szCs w:val="28"/>
          <w:rtl/>
          <w:lang w:bidi="fa-IR"/>
        </w:rPr>
        <w:t>هُ</w:t>
      </w:r>
      <w:r w:rsidRPr="006571AC">
        <w:rPr>
          <w:rFonts w:cs="DanaFajr"/>
          <w:b/>
          <w:bCs/>
          <w:sz w:val="28"/>
          <w:szCs w:val="28"/>
          <w:rtl/>
          <w:lang w:bidi="fa-IR"/>
        </w:rPr>
        <w:t xml:space="preserve"> </w:t>
      </w:r>
      <w:r w:rsidRPr="006571AC">
        <w:rPr>
          <w:rFonts w:cs="DanaFajr" w:hint="eastAsia"/>
          <w:b/>
          <w:bCs/>
          <w:sz w:val="28"/>
          <w:szCs w:val="28"/>
          <w:rtl/>
          <w:lang w:bidi="fa-IR"/>
        </w:rPr>
        <w:t>رَبُّهُ</w:t>
      </w:r>
      <w:r w:rsidRPr="006571AC">
        <w:rPr>
          <w:rFonts w:cs="DanaFajr"/>
          <w:b/>
          <w:bCs/>
          <w:sz w:val="28"/>
          <w:szCs w:val="28"/>
          <w:rtl/>
          <w:lang w:bidi="fa-IR"/>
        </w:rPr>
        <w:t xml:space="preserve"> </w:t>
      </w:r>
      <w:r w:rsidRPr="006571AC">
        <w:rPr>
          <w:rFonts w:cs="DanaFajr" w:hint="eastAsia"/>
          <w:b/>
          <w:bCs/>
          <w:sz w:val="28"/>
          <w:szCs w:val="28"/>
          <w:rtl/>
          <w:lang w:bidi="fa-IR"/>
        </w:rPr>
        <w:t>فَأَكْرَمَهُ</w:t>
      </w:r>
      <w:r w:rsidRPr="006571AC">
        <w:rPr>
          <w:rFonts w:cs="DanaFajr"/>
          <w:b/>
          <w:bCs/>
          <w:sz w:val="28"/>
          <w:szCs w:val="28"/>
          <w:rtl/>
          <w:lang w:bidi="fa-IR"/>
        </w:rPr>
        <w:t xml:space="preserve"> </w:t>
      </w:r>
      <w:r w:rsidRPr="006571AC">
        <w:rPr>
          <w:rFonts w:cs="DanaFajr" w:hint="eastAsia"/>
          <w:b/>
          <w:bCs/>
          <w:sz w:val="28"/>
          <w:szCs w:val="28"/>
          <w:rtl/>
          <w:lang w:bidi="fa-IR"/>
        </w:rPr>
        <w:t>وَنَعَّمَهُ</w:t>
      </w:r>
      <w:r w:rsidRPr="006571AC">
        <w:rPr>
          <w:rFonts w:cs="DanaFajr"/>
          <w:b/>
          <w:bCs/>
          <w:sz w:val="28"/>
          <w:szCs w:val="28"/>
          <w:rtl/>
          <w:lang w:bidi="fa-IR"/>
        </w:rPr>
        <w:t xml:space="preserve"> </w:t>
      </w:r>
      <w:r w:rsidRPr="006571AC">
        <w:rPr>
          <w:rFonts w:cs="DanaFajr" w:hint="eastAsia"/>
          <w:b/>
          <w:bCs/>
          <w:sz w:val="28"/>
          <w:szCs w:val="28"/>
          <w:rtl/>
          <w:lang w:bidi="fa-IR"/>
        </w:rPr>
        <w:t>فَيَقُولُ</w:t>
      </w:r>
      <w:r w:rsidRPr="006571AC">
        <w:rPr>
          <w:rFonts w:cs="DanaFajr"/>
          <w:b/>
          <w:bCs/>
          <w:sz w:val="28"/>
          <w:szCs w:val="28"/>
          <w:rtl/>
          <w:lang w:bidi="fa-IR"/>
        </w:rPr>
        <w:t xml:space="preserve"> </w:t>
      </w:r>
      <w:r w:rsidRPr="006571AC">
        <w:rPr>
          <w:rFonts w:cs="DanaFajr" w:hint="eastAsia"/>
          <w:b/>
          <w:bCs/>
          <w:sz w:val="28"/>
          <w:szCs w:val="28"/>
          <w:rtl/>
          <w:lang w:bidi="fa-IR"/>
        </w:rPr>
        <w:t>رَبِّي</w:t>
      </w:r>
      <w:r w:rsidRPr="006571AC">
        <w:rPr>
          <w:rFonts w:cs="DanaFajr"/>
          <w:b/>
          <w:bCs/>
          <w:sz w:val="28"/>
          <w:szCs w:val="28"/>
          <w:rtl/>
          <w:lang w:bidi="fa-IR"/>
        </w:rPr>
        <w:t xml:space="preserve"> </w:t>
      </w:r>
      <w:r w:rsidRPr="006571AC">
        <w:rPr>
          <w:rFonts w:cs="DanaFajr" w:hint="eastAsia"/>
          <w:b/>
          <w:bCs/>
          <w:sz w:val="28"/>
          <w:szCs w:val="28"/>
          <w:rtl/>
          <w:lang w:bidi="fa-IR"/>
        </w:rPr>
        <w:t>أَكْرَمَنِ</w:t>
      </w:r>
      <w:r w:rsidRPr="006571AC">
        <w:rPr>
          <w:rFonts w:ascii="Mosawi" w:hAnsi="Mosawi" w:cs="Mosawi"/>
          <w:sz w:val="22"/>
          <w:szCs w:val="22"/>
          <w:rtl/>
        </w:rPr>
        <w:t>﴾</w:t>
      </w:r>
      <w:r w:rsidRPr="006571AC">
        <w:rPr>
          <w:rFonts w:cs="DanaFajr" w:hint="cs"/>
          <w:sz w:val="28"/>
          <w:szCs w:val="28"/>
          <w:rtl/>
          <w:lang w:bidi="fa-IR"/>
        </w:rPr>
        <w:t xml:space="preserve"> (الفجر: 1</w:t>
      </w:r>
      <w:r w:rsidRPr="006571AC">
        <w:rPr>
          <w:rFonts w:cs="DanaFajr" w:hint="cs"/>
          <w:sz w:val="28"/>
          <w:szCs w:val="28"/>
          <w:rtl/>
        </w:rPr>
        <w:t>5</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وَأَمَّا</w:t>
      </w:r>
      <w:r w:rsidRPr="006571AC">
        <w:rPr>
          <w:rFonts w:cs="DanaFajr"/>
          <w:b/>
          <w:bCs/>
          <w:sz w:val="28"/>
          <w:szCs w:val="28"/>
          <w:rtl/>
          <w:lang w:bidi="fa-IR"/>
        </w:rPr>
        <w:t xml:space="preserve"> </w:t>
      </w:r>
      <w:r w:rsidRPr="006571AC">
        <w:rPr>
          <w:rFonts w:cs="DanaFajr" w:hint="eastAsia"/>
          <w:b/>
          <w:bCs/>
          <w:sz w:val="28"/>
          <w:szCs w:val="28"/>
          <w:rtl/>
          <w:lang w:bidi="fa-IR"/>
        </w:rPr>
        <w:t>إِذَا</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ابْتَلا</w:t>
      </w:r>
      <w:r w:rsidRPr="006571AC">
        <w:rPr>
          <w:rFonts w:cs="DanaFajr" w:hint="cs"/>
          <w:b/>
          <w:bCs/>
          <w:sz w:val="28"/>
          <w:szCs w:val="28"/>
          <w:rtl/>
          <w:lang w:bidi="fa-IR"/>
        </w:rPr>
        <w:t>َ</w:t>
      </w:r>
      <w:r w:rsidRPr="006571AC">
        <w:rPr>
          <w:rFonts w:cs="DanaFajr" w:hint="eastAsia"/>
          <w:b/>
          <w:bCs/>
          <w:sz w:val="28"/>
          <w:szCs w:val="28"/>
          <w:rtl/>
          <w:lang w:bidi="fa-IR"/>
        </w:rPr>
        <w:t>هُ</w:t>
      </w:r>
      <w:r w:rsidRPr="006571AC">
        <w:rPr>
          <w:rFonts w:cs="DanaFajr"/>
          <w:b/>
          <w:bCs/>
          <w:sz w:val="28"/>
          <w:szCs w:val="28"/>
          <w:rtl/>
          <w:lang w:bidi="fa-IR"/>
        </w:rPr>
        <w:t xml:space="preserve"> </w:t>
      </w:r>
      <w:r w:rsidRPr="006571AC">
        <w:rPr>
          <w:rFonts w:cs="DanaFajr" w:hint="eastAsia"/>
          <w:b/>
          <w:bCs/>
          <w:sz w:val="28"/>
          <w:szCs w:val="28"/>
          <w:rtl/>
          <w:lang w:bidi="fa-IR"/>
        </w:rPr>
        <w:t>فَقَدَرَ</w:t>
      </w:r>
      <w:r w:rsidRPr="006571AC">
        <w:rPr>
          <w:rFonts w:cs="DanaFajr"/>
          <w:b/>
          <w:bCs/>
          <w:sz w:val="28"/>
          <w:szCs w:val="28"/>
          <w:rtl/>
          <w:lang w:bidi="fa-IR"/>
        </w:rPr>
        <w:t xml:space="preserve"> </w:t>
      </w:r>
      <w:r w:rsidRPr="006571AC">
        <w:rPr>
          <w:rFonts w:cs="DanaFajr" w:hint="eastAsia"/>
          <w:b/>
          <w:bCs/>
          <w:sz w:val="28"/>
          <w:szCs w:val="28"/>
          <w:rtl/>
          <w:lang w:bidi="fa-IR"/>
        </w:rPr>
        <w:t>عَلَيْهِ</w:t>
      </w:r>
      <w:r w:rsidRPr="006571AC">
        <w:rPr>
          <w:rFonts w:cs="DanaFajr"/>
          <w:b/>
          <w:bCs/>
          <w:sz w:val="28"/>
          <w:szCs w:val="28"/>
          <w:rtl/>
          <w:lang w:bidi="fa-IR"/>
        </w:rPr>
        <w:t xml:space="preserve"> </w:t>
      </w:r>
      <w:r w:rsidRPr="006571AC">
        <w:rPr>
          <w:rFonts w:cs="DanaFajr" w:hint="eastAsia"/>
          <w:b/>
          <w:bCs/>
          <w:sz w:val="28"/>
          <w:szCs w:val="28"/>
          <w:rtl/>
          <w:lang w:bidi="fa-IR"/>
        </w:rPr>
        <w:t>رِزْقَهُ</w:t>
      </w:r>
      <w:r w:rsidRPr="006571AC">
        <w:rPr>
          <w:rFonts w:cs="DanaFajr"/>
          <w:b/>
          <w:bCs/>
          <w:sz w:val="28"/>
          <w:szCs w:val="28"/>
          <w:rtl/>
          <w:lang w:bidi="fa-IR"/>
        </w:rPr>
        <w:t xml:space="preserve"> </w:t>
      </w:r>
      <w:r w:rsidRPr="006571AC">
        <w:rPr>
          <w:rFonts w:cs="DanaFajr" w:hint="eastAsia"/>
          <w:b/>
          <w:bCs/>
          <w:sz w:val="28"/>
          <w:szCs w:val="28"/>
          <w:rtl/>
          <w:lang w:bidi="fa-IR"/>
        </w:rPr>
        <w:t>فَيَقُولُ</w:t>
      </w:r>
      <w:r w:rsidRPr="006571AC">
        <w:rPr>
          <w:rFonts w:cs="DanaFajr"/>
          <w:b/>
          <w:bCs/>
          <w:sz w:val="28"/>
          <w:szCs w:val="28"/>
          <w:rtl/>
          <w:lang w:bidi="fa-IR"/>
        </w:rPr>
        <w:t xml:space="preserve"> </w:t>
      </w:r>
      <w:r w:rsidRPr="006571AC">
        <w:rPr>
          <w:rFonts w:cs="DanaFajr" w:hint="eastAsia"/>
          <w:b/>
          <w:bCs/>
          <w:sz w:val="28"/>
          <w:szCs w:val="28"/>
          <w:rtl/>
          <w:lang w:bidi="fa-IR"/>
        </w:rPr>
        <w:t>رَبِّي</w:t>
      </w:r>
      <w:r w:rsidRPr="006571AC">
        <w:rPr>
          <w:rFonts w:cs="DanaFajr"/>
          <w:b/>
          <w:bCs/>
          <w:sz w:val="28"/>
          <w:szCs w:val="28"/>
          <w:rtl/>
          <w:lang w:bidi="fa-IR"/>
        </w:rPr>
        <w:t xml:space="preserve"> </w:t>
      </w:r>
      <w:r w:rsidRPr="006571AC">
        <w:rPr>
          <w:rFonts w:cs="DanaFajr" w:hint="eastAsia"/>
          <w:b/>
          <w:bCs/>
          <w:sz w:val="28"/>
          <w:szCs w:val="28"/>
          <w:rtl/>
          <w:lang w:bidi="fa-IR"/>
        </w:rPr>
        <w:t>أَهَانَنِ</w:t>
      </w:r>
      <w:r w:rsidRPr="006571AC">
        <w:rPr>
          <w:rFonts w:ascii="Mosawi" w:hAnsi="Mosawi" w:cs="Mosawi"/>
          <w:sz w:val="22"/>
          <w:szCs w:val="22"/>
          <w:rtl/>
        </w:rPr>
        <w:t>﴾</w:t>
      </w:r>
      <w:r w:rsidRPr="006571AC">
        <w:rPr>
          <w:rFonts w:cs="DanaFajr" w:hint="cs"/>
          <w:sz w:val="28"/>
          <w:szCs w:val="28"/>
          <w:rtl/>
          <w:lang w:bidi="fa-IR"/>
        </w:rPr>
        <w:t xml:space="preserve"> (الفجر: 1</w:t>
      </w:r>
      <w:r w:rsidRPr="006571AC">
        <w:rPr>
          <w:rFonts w:cs="DanaFajr" w:hint="cs"/>
          <w:sz w:val="28"/>
          <w:szCs w:val="28"/>
          <w:rtl/>
        </w:rPr>
        <w:t>6</w:t>
      </w:r>
      <w:r w:rsidRPr="006571AC">
        <w:rPr>
          <w:rFonts w:cs="DanaFajr" w:hint="cs"/>
          <w:sz w:val="28"/>
          <w:szCs w:val="28"/>
          <w:rtl/>
          <w:lang w:bidi="fa-IR"/>
        </w:rPr>
        <w:t>).</w:t>
      </w:r>
    </w:p>
    <w:p w:rsidR="00DB2356" w:rsidRPr="006571AC" w:rsidRDefault="00DB2356" w:rsidP="00166320">
      <w:pPr>
        <w:pStyle w:val="aa"/>
        <w:spacing w:line="306" w:lineRule="exact"/>
        <w:ind w:firstLine="0"/>
        <w:rPr>
          <w:rFonts w:cs="DanaFajr"/>
          <w:sz w:val="28"/>
          <w:szCs w:val="28"/>
          <w:rtl/>
          <w:lang w:bidi="ar-LB"/>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يَغُضُّونَ</w:t>
      </w:r>
      <w:r w:rsidRPr="006571AC">
        <w:rPr>
          <w:rFonts w:cs="DanaFajr"/>
          <w:b/>
          <w:bCs/>
          <w:sz w:val="28"/>
          <w:szCs w:val="28"/>
          <w:rtl/>
          <w:lang w:bidi="fa-IR"/>
        </w:rPr>
        <w:t xml:space="preserve"> </w:t>
      </w:r>
      <w:r w:rsidRPr="006571AC">
        <w:rPr>
          <w:rFonts w:cs="DanaFajr" w:hint="eastAsia"/>
          <w:b/>
          <w:bCs/>
          <w:sz w:val="28"/>
          <w:szCs w:val="28"/>
          <w:rtl/>
          <w:lang w:bidi="fa-IR"/>
        </w:rPr>
        <w:t>أَصْوَاتَهُمْ</w:t>
      </w:r>
      <w:r w:rsidRPr="006571AC">
        <w:rPr>
          <w:rFonts w:cs="DanaFajr"/>
          <w:b/>
          <w:bCs/>
          <w:sz w:val="28"/>
          <w:szCs w:val="28"/>
          <w:rtl/>
          <w:lang w:bidi="fa-IR"/>
        </w:rPr>
        <w:t xml:space="preserve"> </w:t>
      </w:r>
      <w:r w:rsidRPr="006571AC">
        <w:rPr>
          <w:rFonts w:cs="DanaFajr" w:hint="eastAsia"/>
          <w:b/>
          <w:bCs/>
          <w:sz w:val="28"/>
          <w:szCs w:val="28"/>
          <w:rtl/>
          <w:lang w:bidi="fa-IR"/>
        </w:rPr>
        <w:t>عِنْدَ</w:t>
      </w:r>
      <w:r w:rsidRPr="006571AC">
        <w:rPr>
          <w:rFonts w:cs="DanaFajr"/>
          <w:b/>
          <w:bCs/>
          <w:sz w:val="28"/>
          <w:szCs w:val="28"/>
          <w:rtl/>
          <w:lang w:bidi="fa-IR"/>
        </w:rPr>
        <w:t xml:space="preserve"> </w:t>
      </w:r>
      <w:r w:rsidRPr="006571AC">
        <w:rPr>
          <w:rFonts w:cs="DanaFajr" w:hint="eastAsia"/>
          <w:b/>
          <w:bCs/>
          <w:sz w:val="28"/>
          <w:szCs w:val="28"/>
          <w:rtl/>
          <w:lang w:bidi="fa-IR"/>
        </w:rPr>
        <w:t>رَسُولِ</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أُولَئِكَ</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امْتَحَنَ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قُلُوبَهُمْ</w:t>
      </w:r>
      <w:r w:rsidRPr="006571AC">
        <w:rPr>
          <w:rFonts w:cs="DanaFajr"/>
          <w:b/>
          <w:bCs/>
          <w:sz w:val="28"/>
          <w:szCs w:val="28"/>
          <w:rtl/>
          <w:lang w:bidi="fa-IR"/>
        </w:rPr>
        <w:t xml:space="preserve"> </w:t>
      </w:r>
      <w:r w:rsidRPr="006571AC">
        <w:rPr>
          <w:rFonts w:cs="DanaFajr" w:hint="eastAsia"/>
          <w:b/>
          <w:bCs/>
          <w:sz w:val="28"/>
          <w:szCs w:val="28"/>
          <w:rtl/>
          <w:lang w:bidi="fa-IR"/>
        </w:rPr>
        <w:t>لِلتَّقْوَى</w:t>
      </w:r>
      <w:r w:rsidRPr="006571AC">
        <w:rPr>
          <w:rFonts w:cs="DanaFajr"/>
          <w:b/>
          <w:bCs/>
          <w:sz w:val="28"/>
          <w:szCs w:val="28"/>
          <w:rtl/>
          <w:lang w:bidi="fa-IR"/>
        </w:rPr>
        <w:t xml:space="preserve"> </w:t>
      </w:r>
      <w:r w:rsidRPr="006571AC">
        <w:rPr>
          <w:rFonts w:cs="DanaFajr" w:hint="eastAsia"/>
          <w:b/>
          <w:bCs/>
          <w:sz w:val="28"/>
          <w:szCs w:val="28"/>
          <w:rtl/>
          <w:lang w:bidi="fa-IR"/>
        </w:rPr>
        <w:t>لَهُمْ</w:t>
      </w:r>
      <w:r w:rsidRPr="006571AC">
        <w:rPr>
          <w:rFonts w:cs="DanaFajr"/>
          <w:b/>
          <w:bCs/>
          <w:sz w:val="28"/>
          <w:szCs w:val="28"/>
          <w:rtl/>
          <w:lang w:bidi="fa-IR"/>
        </w:rPr>
        <w:t xml:space="preserve"> </w:t>
      </w:r>
      <w:r w:rsidRPr="006571AC">
        <w:rPr>
          <w:rFonts w:cs="DanaFajr" w:hint="eastAsia"/>
          <w:b/>
          <w:bCs/>
          <w:sz w:val="28"/>
          <w:szCs w:val="28"/>
          <w:rtl/>
          <w:lang w:bidi="fa-IR"/>
        </w:rPr>
        <w:t>مَغْفِرَةٌ</w:t>
      </w:r>
      <w:r w:rsidRPr="006571AC">
        <w:rPr>
          <w:rFonts w:cs="DanaFajr"/>
          <w:b/>
          <w:bCs/>
          <w:sz w:val="28"/>
          <w:szCs w:val="28"/>
          <w:rtl/>
          <w:lang w:bidi="fa-IR"/>
        </w:rPr>
        <w:t xml:space="preserve"> </w:t>
      </w:r>
      <w:r w:rsidRPr="006571AC">
        <w:rPr>
          <w:rFonts w:cs="DanaFajr" w:hint="eastAsia"/>
          <w:b/>
          <w:bCs/>
          <w:sz w:val="28"/>
          <w:szCs w:val="28"/>
          <w:rtl/>
          <w:lang w:bidi="fa-IR"/>
        </w:rPr>
        <w:t>وَأَجْرٌ</w:t>
      </w:r>
      <w:r w:rsidRPr="006571AC">
        <w:rPr>
          <w:rFonts w:cs="DanaFajr"/>
          <w:b/>
          <w:bCs/>
          <w:sz w:val="28"/>
          <w:szCs w:val="28"/>
          <w:rtl/>
          <w:lang w:bidi="fa-IR"/>
        </w:rPr>
        <w:t xml:space="preserve"> </w:t>
      </w:r>
      <w:r w:rsidRPr="006571AC">
        <w:rPr>
          <w:rFonts w:cs="DanaFajr" w:hint="eastAsia"/>
          <w:b/>
          <w:bCs/>
          <w:sz w:val="28"/>
          <w:szCs w:val="28"/>
          <w:rtl/>
          <w:lang w:bidi="fa-IR"/>
        </w:rPr>
        <w:t>عَظِيمٌ</w:t>
      </w:r>
      <w:r w:rsidRPr="006571AC">
        <w:rPr>
          <w:rFonts w:ascii="Mosawi" w:hAnsi="Mosawi" w:cs="Mosawi"/>
          <w:sz w:val="22"/>
          <w:szCs w:val="22"/>
          <w:rtl/>
        </w:rPr>
        <w:t>﴾</w:t>
      </w:r>
      <w:r w:rsidRPr="006571AC">
        <w:rPr>
          <w:rFonts w:cs="DanaFajr" w:hint="cs"/>
          <w:sz w:val="28"/>
          <w:szCs w:val="28"/>
          <w:rtl/>
          <w:lang w:bidi="fa-IR"/>
        </w:rPr>
        <w:t xml:space="preserve"> (الحجرات: 3).</w:t>
      </w:r>
    </w:p>
  </w:endnote>
  <w:endnote w:id="8">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fa-IR"/>
        </w:rPr>
        <w:t xml:space="preserve"> حسن مصطفوي، التحقيق في كلمات القرآن الكريم، 1: 33</w:t>
      </w:r>
      <w:r w:rsidRPr="006571AC">
        <w:rPr>
          <w:rFonts w:cs="DanaFajr" w:hint="cs"/>
          <w:sz w:val="28"/>
          <w:szCs w:val="28"/>
          <w:rtl/>
        </w:rPr>
        <w:t>5</w:t>
      </w:r>
      <w:r w:rsidRPr="006571AC">
        <w:rPr>
          <w:rFonts w:cs="DanaFajr" w:hint="cs"/>
          <w:sz w:val="28"/>
          <w:szCs w:val="28"/>
          <w:rtl/>
          <w:lang w:bidi="fa-IR"/>
        </w:rPr>
        <w:t>، مركز الكتاب للترجمة والنشر، طهران، ط1، 1</w:t>
      </w:r>
      <w:r w:rsidRPr="006571AC">
        <w:rPr>
          <w:rFonts w:cs="DanaFajr" w:hint="cs"/>
          <w:sz w:val="28"/>
          <w:szCs w:val="28"/>
          <w:rtl/>
        </w:rPr>
        <w:t>4</w:t>
      </w:r>
      <w:r w:rsidRPr="006571AC">
        <w:rPr>
          <w:rFonts w:cs="DanaFajr" w:hint="cs"/>
          <w:sz w:val="28"/>
          <w:szCs w:val="28"/>
          <w:rtl/>
          <w:lang w:bidi="fa-IR"/>
        </w:rPr>
        <w:t>02</w:t>
      </w:r>
      <w:r w:rsidRPr="006571AC">
        <w:rPr>
          <w:rFonts w:cs="DanaFajr" w:hint="cs"/>
          <w:sz w:val="28"/>
          <w:szCs w:val="28"/>
          <w:rtl/>
        </w:rPr>
        <w:t>هـ.</w:t>
      </w:r>
    </w:p>
  </w:endnote>
  <w:endnote w:id="9">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eastAsia"/>
          <w:sz w:val="28"/>
          <w:szCs w:val="28"/>
          <w:rtl/>
          <w:lang w:bidi="fa-IR"/>
        </w:rPr>
        <w:t>المصدر</w:t>
      </w:r>
      <w:r w:rsidRPr="006571AC">
        <w:rPr>
          <w:rFonts w:cs="DanaFajr"/>
          <w:sz w:val="28"/>
          <w:szCs w:val="28"/>
          <w:rtl/>
          <w:lang w:bidi="fa-IR"/>
        </w:rPr>
        <w:t xml:space="preserve"> </w:t>
      </w:r>
      <w:r w:rsidRPr="006571AC">
        <w:rPr>
          <w:rFonts w:cs="DanaFajr" w:hint="eastAsia"/>
          <w:sz w:val="28"/>
          <w:szCs w:val="28"/>
          <w:rtl/>
          <w:lang w:bidi="fa-IR"/>
        </w:rPr>
        <w:t>السابق</w:t>
      </w:r>
      <w:r w:rsidRPr="006571AC">
        <w:rPr>
          <w:rFonts w:cs="DanaFajr" w:hint="cs"/>
          <w:sz w:val="28"/>
          <w:szCs w:val="28"/>
          <w:rtl/>
          <w:lang w:bidi="fa-IR"/>
        </w:rPr>
        <w:t>،</w:t>
      </w:r>
      <w:r w:rsidRPr="006571AC">
        <w:rPr>
          <w:rFonts w:cs="DanaFajr"/>
          <w:sz w:val="28"/>
          <w:szCs w:val="28"/>
          <w:rtl/>
          <w:lang w:bidi="fa-IR"/>
        </w:rPr>
        <w:t xml:space="preserve"> </w:t>
      </w:r>
      <w:r w:rsidRPr="006571AC">
        <w:rPr>
          <w:rFonts w:cs="DanaFajr" w:hint="cs"/>
          <w:sz w:val="28"/>
          <w:szCs w:val="28"/>
          <w:rtl/>
          <w:lang w:bidi="fa-IR"/>
        </w:rPr>
        <w:t>9</w:t>
      </w:r>
      <w:r w:rsidRPr="006571AC">
        <w:rPr>
          <w:rFonts w:cs="DanaFajr"/>
          <w:sz w:val="28"/>
          <w:szCs w:val="28"/>
          <w:rtl/>
          <w:lang w:bidi="fa-IR"/>
        </w:rPr>
        <w:t xml:space="preserve">: </w:t>
      </w:r>
      <w:r w:rsidRPr="006571AC">
        <w:rPr>
          <w:rFonts w:cs="DanaFajr" w:hint="cs"/>
          <w:sz w:val="28"/>
          <w:szCs w:val="28"/>
          <w:rtl/>
          <w:lang w:bidi="fa-IR"/>
        </w:rPr>
        <w:t xml:space="preserve">22: </w:t>
      </w:r>
      <w:r w:rsidRPr="006571AC">
        <w:rPr>
          <w:sz w:val="22"/>
          <w:szCs w:val="22"/>
          <w:rtl/>
          <w:lang w:bidi="fa-IR"/>
        </w:rPr>
        <w:t>«</w:t>
      </w:r>
      <w:r w:rsidRPr="006571AC">
        <w:rPr>
          <w:rFonts w:cs="DanaFajr" w:hint="eastAsia"/>
          <w:sz w:val="28"/>
          <w:szCs w:val="28"/>
          <w:rtl/>
          <w:lang w:bidi="fa-IR"/>
        </w:rPr>
        <w:t>فما</w:t>
      </w:r>
      <w:r w:rsidRPr="006571AC">
        <w:rPr>
          <w:rFonts w:cs="DanaFajr"/>
          <w:sz w:val="28"/>
          <w:szCs w:val="28"/>
          <w:rtl/>
          <w:lang w:bidi="fa-IR"/>
        </w:rPr>
        <w:t xml:space="preserve"> </w:t>
      </w:r>
      <w:r w:rsidRPr="006571AC">
        <w:rPr>
          <w:rFonts w:cs="DanaFajr" w:hint="eastAsia"/>
          <w:sz w:val="28"/>
          <w:szCs w:val="28"/>
          <w:rtl/>
          <w:lang w:bidi="fa-IR"/>
        </w:rPr>
        <w:t>أوجب</w:t>
      </w:r>
      <w:r w:rsidRPr="006571AC">
        <w:rPr>
          <w:rFonts w:cs="DanaFajr"/>
          <w:sz w:val="28"/>
          <w:szCs w:val="28"/>
          <w:rtl/>
          <w:lang w:bidi="fa-IR"/>
        </w:rPr>
        <w:t xml:space="preserve"> </w:t>
      </w:r>
      <w:r w:rsidRPr="006571AC">
        <w:rPr>
          <w:rFonts w:cs="DanaFajr" w:hint="eastAsia"/>
          <w:sz w:val="28"/>
          <w:szCs w:val="28"/>
          <w:rtl/>
          <w:lang w:bidi="fa-IR"/>
        </w:rPr>
        <w:t>هذين</w:t>
      </w:r>
      <w:r w:rsidRPr="006571AC">
        <w:rPr>
          <w:rFonts w:cs="DanaFajr"/>
          <w:sz w:val="28"/>
          <w:szCs w:val="28"/>
          <w:rtl/>
          <w:lang w:bidi="fa-IR"/>
        </w:rPr>
        <w:t xml:space="preserve"> </w:t>
      </w:r>
      <w:r w:rsidRPr="006571AC">
        <w:rPr>
          <w:rFonts w:cs="DanaFajr" w:hint="eastAsia"/>
          <w:sz w:val="28"/>
          <w:szCs w:val="28"/>
          <w:rtl/>
          <w:lang w:bidi="fa-IR"/>
        </w:rPr>
        <w:t>الامرين</w:t>
      </w:r>
      <w:r w:rsidRPr="006571AC">
        <w:rPr>
          <w:rFonts w:cs="DanaFajr"/>
          <w:sz w:val="28"/>
          <w:szCs w:val="28"/>
          <w:rtl/>
          <w:lang w:bidi="fa-IR"/>
        </w:rPr>
        <w:t xml:space="preserve"> </w:t>
      </w:r>
      <w:r w:rsidRPr="006571AC">
        <w:rPr>
          <w:rFonts w:cs="DanaFajr" w:hint="eastAsia"/>
          <w:sz w:val="28"/>
          <w:szCs w:val="28"/>
          <w:rtl/>
          <w:lang w:bidi="fa-IR"/>
        </w:rPr>
        <w:t>فهو</w:t>
      </w:r>
      <w:r w:rsidRPr="006571AC">
        <w:rPr>
          <w:rFonts w:cs="DanaFajr"/>
          <w:sz w:val="28"/>
          <w:szCs w:val="28"/>
          <w:rtl/>
          <w:lang w:bidi="fa-IR"/>
        </w:rPr>
        <w:t xml:space="preserve"> </w:t>
      </w:r>
      <w:r w:rsidRPr="006571AC">
        <w:rPr>
          <w:rFonts w:cs="DanaFajr" w:hint="eastAsia"/>
          <w:sz w:val="28"/>
          <w:szCs w:val="28"/>
          <w:rtl/>
          <w:lang w:bidi="fa-IR"/>
        </w:rPr>
        <w:t>فِتْنَةٌ</w:t>
      </w:r>
      <w:r w:rsidRPr="006571AC">
        <w:rPr>
          <w:rFonts w:cs="DanaFajr"/>
          <w:sz w:val="28"/>
          <w:szCs w:val="28"/>
          <w:rtl/>
          <w:lang w:bidi="fa-IR"/>
        </w:rPr>
        <w:t xml:space="preserve">. </w:t>
      </w:r>
      <w:r w:rsidRPr="006571AC">
        <w:rPr>
          <w:rFonts w:cs="DanaFajr" w:hint="eastAsia"/>
          <w:sz w:val="28"/>
          <w:szCs w:val="28"/>
          <w:rtl/>
          <w:lang w:bidi="fa-IR"/>
        </w:rPr>
        <w:t>ولها</w:t>
      </w:r>
      <w:r w:rsidRPr="006571AC">
        <w:rPr>
          <w:rFonts w:cs="DanaFajr"/>
          <w:sz w:val="28"/>
          <w:szCs w:val="28"/>
          <w:rtl/>
          <w:lang w:bidi="fa-IR"/>
        </w:rPr>
        <w:t xml:space="preserve"> </w:t>
      </w:r>
      <w:r w:rsidRPr="006571AC">
        <w:rPr>
          <w:rFonts w:cs="DanaFajr" w:hint="eastAsia"/>
          <w:sz w:val="28"/>
          <w:szCs w:val="28"/>
          <w:rtl/>
          <w:lang w:bidi="fa-IR"/>
        </w:rPr>
        <w:t>مصاديق</w:t>
      </w:r>
      <w:r w:rsidRPr="006571AC">
        <w:rPr>
          <w:rFonts w:cs="DanaFajr"/>
          <w:sz w:val="28"/>
          <w:szCs w:val="28"/>
          <w:rtl/>
          <w:lang w:bidi="fa-IR"/>
        </w:rPr>
        <w:t xml:space="preserve">: </w:t>
      </w:r>
      <w:r w:rsidRPr="006571AC">
        <w:rPr>
          <w:rFonts w:cs="DanaFajr" w:hint="eastAsia"/>
          <w:sz w:val="28"/>
          <w:szCs w:val="28"/>
          <w:rtl/>
          <w:lang w:bidi="fa-IR"/>
        </w:rPr>
        <w:t>كالأموال،</w:t>
      </w:r>
      <w:r w:rsidRPr="006571AC">
        <w:rPr>
          <w:rFonts w:cs="DanaFajr"/>
          <w:sz w:val="28"/>
          <w:szCs w:val="28"/>
          <w:rtl/>
          <w:lang w:bidi="fa-IR"/>
        </w:rPr>
        <w:t xml:space="preserve"> </w:t>
      </w:r>
      <w:r w:rsidRPr="006571AC">
        <w:rPr>
          <w:rFonts w:cs="DanaFajr" w:hint="eastAsia"/>
          <w:sz w:val="28"/>
          <w:szCs w:val="28"/>
          <w:rtl/>
          <w:lang w:bidi="fa-IR"/>
        </w:rPr>
        <w:t>والأولاد،</w:t>
      </w:r>
      <w:r w:rsidRPr="006571AC">
        <w:rPr>
          <w:rFonts w:cs="DanaFajr"/>
          <w:sz w:val="28"/>
          <w:szCs w:val="28"/>
          <w:rtl/>
          <w:lang w:bidi="fa-IR"/>
        </w:rPr>
        <w:t xml:space="preserve"> </w:t>
      </w:r>
      <w:r w:rsidRPr="006571AC">
        <w:rPr>
          <w:rFonts w:cs="DanaFajr" w:hint="eastAsia"/>
          <w:sz w:val="28"/>
          <w:szCs w:val="28"/>
          <w:rtl/>
          <w:lang w:bidi="fa-IR"/>
        </w:rPr>
        <w:t>والاختلاف</w:t>
      </w:r>
      <w:r w:rsidRPr="006571AC">
        <w:rPr>
          <w:rFonts w:cs="DanaFajr"/>
          <w:sz w:val="28"/>
          <w:szCs w:val="28"/>
          <w:rtl/>
          <w:lang w:bidi="fa-IR"/>
        </w:rPr>
        <w:t xml:space="preserve"> </w:t>
      </w:r>
      <w:r w:rsidRPr="006571AC">
        <w:rPr>
          <w:rFonts w:cs="DanaFajr" w:hint="eastAsia"/>
          <w:sz w:val="28"/>
          <w:szCs w:val="28"/>
          <w:rtl/>
          <w:lang w:bidi="fa-IR"/>
        </w:rPr>
        <w:t>في</w:t>
      </w:r>
      <w:r w:rsidRPr="006571AC">
        <w:rPr>
          <w:rFonts w:cs="DanaFajr"/>
          <w:sz w:val="28"/>
          <w:szCs w:val="28"/>
          <w:rtl/>
          <w:lang w:bidi="fa-IR"/>
        </w:rPr>
        <w:t xml:space="preserve"> </w:t>
      </w:r>
      <w:r w:rsidRPr="006571AC">
        <w:rPr>
          <w:rFonts w:cs="DanaFajr" w:hint="eastAsia"/>
          <w:sz w:val="28"/>
          <w:szCs w:val="28"/>
          <w:rtl/>
          <w:lang w:bidi="fa-IR"/>
        </w:rPr>
        <w:t>الآراء،</w:t>
      </w:r>
      <w:r w:rsidRPr="006571AC">
        <w:rPr>
          <w:rFonts w:cs="DanaFajr"/>
          <w:sz w:val="28"/>
          <w:szCs w:val="28"/>
          <w:rtl/>
          <w:lang w:bidi="fa-IR"/>
        </w:rPr>
        <w:t xml:space="preserve"> </w:t>
      </w:r>
      <w:r w:rsidRPr="006571AC">
        <w:rPr>
          <w:rFonts w:cs="DanaFajr" w:hint="eastAsia"/>
          <w:sz w:val="28"/>
          <w:szCs w:val="28"/>
          <w:rtl/>
          <w:lang w:bidi="fa-IR"/>
        </w:rPr>
        <w:t>والغلوّ</w:t>
      </w:r>
      <w:r w:rsidRPr="006571AC">
        <w:rPr>
          <w:rFonts w:cs="DanaFajr"/>
          <w:sz w:val="28"/>
          <w:szCs w:val="28"/>
          <w:rtl/>
          <w:lang w:bidi="fa-IR"/>
        </w:rPr>
        <w:t xml:space="preserve"> </w:t>
      </w:r>
      <w:r w:rsidRPr="006571AC">
        <w:rPr>
          <w:rFonts w:cs="DanaFajr" w:hint="eastAsia"/>
          <w:sz w:val="28"/>
          <w:szCs w:val="28"/>
          <w:rtl/>
          <w:lang w:bidi="fa-IR"/>
        </w:rPr>
        <w:t>في</w:t>
      </w:r>
      <w:r w:rsidRPr="006571AC">
        <w:rPr>
          <w:rFonts w:cs="DanaFajr"/>
          <w:sz w:val="28"/>
          <w:szCs w:val="28"/>
          <w:rtl/>
          <w:lang w:bidi="fa-IR"/>
        </w:rPr>
        <w:t xml:space="preserve"> </w:t>
      </w:r>
      <w:r w:rsidRPr="006571AC">
        <w:rPr>
          <w:rFonts w:cs="DanaFajr" w:hint="eastAsia"/>
          <w:sz w:val="28"/>
          <w:szCs w:val="28"/>
          <w:rtl/>
          <w:lang w:bidi="fa-IR"/>
        </w:rPr>
        <w:t>الأمر،</w:t>
      </w:r>
      <w:r w:rsidRPr="006571AC">
        <w:rPr>
          <w:rFonts w:cs="DanaFajr"/>
          <w:sz w:val="28"/>
          <w:szCs w:val="28"/>
          <w:rtl/>
          <w:lang w:bidi="fa-IR"/>
        </w:rPr>
        <w:t xml:space="preserve"> </w:t>
      </w:r>
      <w:r w:rsidRPr="006571AC">
        <w:rPr>
          <w:rFonts w:cs="DanaFajr" w:hint="eastAsia"/>
          <w:sz w:val="28"/>
          <w:szCs w:val="28"/>
          <w:rtl/>
          <w:lang w:bidi="fa-IR"/>
        </w:rPr>
        <w:t>والعذاب،</w:t>
      </w:r>
      <w:r w:rsidRPr="006571AC">
        <w:rPr>
          <w:rFonts w:cs="DanaFajr"/>
          <w:sz w:val="28"/>
          <w:szCs w:val="28"/>
          <w:rtl/>
          <w:lang w:bidi="fa-IR"/>
        </w:rPr>
        <w:t xml:space="preserve"> </w:t>
      </w:r>
      <w:r w:rsidRPr="006571AC">
        <w:rPr>
          <w:rFonts w:cs="DanaFajr" w:hint="eastAsia"/>
          <w:sz w:val="28"/>
          <w:szCs w:val="28"/>
          <w:rtl/>
          <w:lang w:bidi="fa-IR"/>
        </w:rPr>
        <w:t>والكفر،</w:t>
      </w:r>
      <w:r w:rsidRPr="006571AC">
        <w:rPr>
          <w:rFonts w:cs="DanaFajr"/>
          <w:sz w:val="28"/>
          <w:szCs w:val="28"/>
          <w:rtl/>
          <w:lang w:bidi="fa-IR"/>
        </w:rPr>
        <w:t xml:space="preserve"> </w:t>
      </w:r>
      <w:r w:rsidRPr="006571AC">
        <w:rPr>
          <w:rFonts w:cs="DanaFajr" w:hint="eastAsia"/>
          <w:sz w:val="28"/>
          <w:szCs w:val="28"/>
          <w:rtl/>
          <w:lang w:bidi="fa-IR"/>
        </w:rPr>
        <w:t>والجنون،</w:t>
      </w:r>
      <w:r w:rsidRPr="006571AC">
        <w:rPr>
          <w:rFonts w:cs="DanaFajr"/>
          <w:sz w:val="28"/>
          <w:szCs w:val="28"/>
          <w:rtl/>
          <w:lang w:bidi="fa-IR"/>
        </w:rPr>
        <w:t xml:space="preserve"> </w:t>
      </w:r>
      <w:r w:rsidRPr="006571AC">
        <w:rPr>
          <w:rFonts w:cs="DanaFajr" w:hint="eastAsia"/>
          <w:sz w:val="28"/>
          <w:szCs w:val="28"/>
          <w:rtl/>
          <w:lang w:bidi="fa-IR"/>
        </w:rPr>
        <w:t>والابتلاء،</w:t>
      </w:r>
      <w:r w:rsidRPr="006571AC">
        <w:rPr>
          <w:rFonts w:cs="DanaFajr"/>
          <w:sz w:val="28"/>
          <w:szCs w:val="28"/>
          <w:rtl/>
          <w:lang w:bidi="fa-IR"/>
        </w:rPr>
        <w:t xml:space="preserve"> </w:t>
      </w:r>
      <w:r w:rsidRPr="006571AC">
        <w:rPr>
          <w:rFonts w:cs="DanaFajr" w:hint="eastAsia"/>
          <w:sz w:val="28"/>
          <w:szCs w:val="28"/>
          <w:rtl/>
          <w:lang w:bidi="fa-IR"/>
        </w:rPr>
        <w:t>وغيرها</w:t>
      </w:r>
      <w:r w:rsidRPr="006571AC">
        <w:rPr>
          <w:rFonts w:cs="DanaFajr"/>
          <w:sz w:val="28"/>
          <w:szCs w:val="28"/>
          <w:rtl/>
          <w:lang w:bidi="fa-IR"/>
        </w:rPr>
        <w:t xml:space="preserve"> </w:t>
      </w:r>
      <w:r w:rsidRPr="006571AC">
        <w:rPr>
          <w:rFonts w:cs="DanaFajr" w:hint="eastAsia"/>
          <w:sz w:val="28"/>
          <w:szCs w:val="28"/>
          <w:rtl/>
          <w:lang w:bidi="fa-IR"/>
        </w:rPr>
        <w:t>إذا</w:t>
      </w:r>
      <w:r w:rsidRPr="006571AC">
        <w:rPr>
          <w:rFonts w:cs="DanaFajr"/>
          <w:sz w:val="28"/>
          <w:szCs w:val="28"/>
          <w:rtl/>
          <w:lang w:bidi="fa-IR"/>
        </w:rPr>
        <w:t xml:space="preserve"> </w:t>
      </w:r>
      <w:r w:rsidRPr="006571AC">
        <w:rPr>
          <w:rFonts w:cs="DanaFajr" w:hint="eastAsia"/>
          <w:sz w:val="28"/>
          <w:szCs w:val="28"/>
          <w:rtl/>
          <w:lang w:bidi="fa-IR"/>
        </w:rPr>
        <w:t>أوجب</w:t>
      </w:r>
      <w:r w:rsidRPr="006571AC">
        <w:rPr>
          <w:rFonts w:cs="DanaFajr"/>
          <w:sz w:val="28"/>
          <w:szCs w:val="28"/>
          <w:rtl/>
          <w:lang w:bidi="fa-IR"/>
        </w:rPr>
        <w:t xml:space="preserve"> </w:t>
      </w:r>
      <w:r w:rsidRPr="006571AC">
        <w:rPr>
          <w:rFonts w:cs="DanaFajr" w:hint="eastAsia"/>
          <w:sz w:val="28"/>
          <w:szCs w:val="28"/>
          <w:rtl/>
          <w:lang w:bidi="fa-IR"/>
        </w:rPr>
        <w:t>الأمرين</w:t>
      </w:r>
      <w:r w:rsidRPr="006571AC">
        <w:rPr>
          <w:rFonts w:hint="eastAsia"/>
          <w:sz w:val="22"/>
          <w:szCs w:val="22"/>
          <w:rtl/>
          <w:lang w:bidi="fa-IR"/>
        </w:rPr>
        <w:t>»</w:t>
      </w:r>
      <w:r w:rsidRPr="006571AC">
        <w:rPr>
          <w:rFonts w:cs="DanaFajr" w:hint="cs"/>
          <w:sz w:val="28"/>
          <w:szCs w:val="28"/>
          <w:rtl/>
          <w:lang w:bidi="fa-IR"/>
        </w:rPr>
        <w:t>.</w:t>
      </w:r>
    </w:p>
  </w:endnote>
  <w:endnote w:id="10">
    <w:p w:rsidR="00DB2356" w:rsidRPr="006571AC" w:rsidRDefault="00DB2356" w:rsidP="0011155A">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eastAsia"/>
          <w:sz w:val="28"/>
          <w:szCs w:val="28"/>
          <w:rtl/>
          <w:lang w:bidi="fa-IR"/>
        </w:rPr>
        <w:t>المصدر</w:t>
      </w:r>
      <w:r w:rsidRPr="006571AC">
        <w:rPr>
          <w:rFonts w:cs="DanaFajr"/>
          <w:sz w:val="28"/>
          <w:szCs w:val="28"/>
          <w:rtl/>
          <w:lang w:bidi="fa-IR"/>
        </w:rPr>
        <w:t xml:space="preserve"> </w:t>
      </w:r>
      <w:r w:rsidRPr="006571AC">
        <w:rPr>
          <w:rFonts w:cs="DanaFajr" w:hint="eastAsia"/>
          <w:sz w:val="28"/>
          <w:szCs w:val="28"/>
          <w:rtl/>
          <w:lang w:bidi="fa-IR"/>
        </w:rPr>
        <w:t>السابق</w:t>
      </w:r>
      <w:r w:rsidRPr="006571AC">
        <w:rPr>
          <w:rFonts w:cs="DanaFajr" w:hint="cs"/>
          <w:sz w:val="28"/>
          <w:szCs w:val="28"/>
          <w:rtl/>
          <w:lang w:bidi="fa-IR"/>
        </w:rPr>
        <w:t>،</w:t>
      </w:r>
      <w:r w:rsidRPr="006571AC">
        <w:rPr>
          <w:rFonts w:cs="DanaFajr"/>
          <w:sz w:val="28"/>
          <w:szCs w:val="28"/>
          <w:rtl/>
          <w:lang w:bidi="fa-IR"/>
        </w:rPr>
        <w:t xml:space="preserve"> </w:t>
      </w:r>
      <w:r w:rsidRPr="006571AC">
        <w:rPr>
          <w:rFonts w:cs="DanaFajr" w:hint="cs"/>
          <w:sz w:val="28"/>
          <w:szCs w:val="28"/>
          <w:rtl/>
          <w:lang w:bidi="fa-IR"/>
        </w:rPr>
        <w:t>11</w:t>
      </w:r>
      <w:r w:rsidRPr="006571AC">
        <w:rPr>
          <w:rFonts w:cs="DanaFajr"/>
          <w:sz w:val="28"/>
          <w:szCs w:val="28"/>
          <w:rtl/>
          <w:lang w:bidi="fa-IR"/>
        </w:rPr>
        <w:t xml:space="preserve">: </w:t>
      </w:r>
      <w:r w:rsidRPr="006571AC">
        <w:rPr>
          <w:rFonts w:cs="DanaFajr" w:hint="cs"/>
          <w:sz w:val="28"/>
          <w:szCs w:val="28"/>
          <w:rtl/>
        </w:rPr>
        <w:t>4</w:t>
      </w:r>
      <w:r w:rsidRPr="006571AC">
        <w:rPr>
          <w:rFonts w:cs="DanaFajr" w:hint="cs"/>
          <w:sz w:val="28"/>
          <w:szCs w:val="28"/>
          <w:rtl/>
          <w:lang w:bidi="fa-IR"/>
        </w:rPr>
        <w:t>2.</w:t>
      </w:r>
    </w:p>
  </w:endnote>
  <w:endnote w:id="11">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ascii="Mosawi" w:hAnsi="Mosawi" w:cs="DanaFajr" w:hint="cs"/>
          <w:sz w:val="28"/>
          <w:szCs w:val="28"/>
          <w:rtl/>
        </w:rPr>
        <w:t xml:space="preserve"> </w:t>
      </w:r>
      <w:r w:rsidRPr="006571AC">
        <w:rPr>
          <w:rFonts w:ascii="Mosawi" w:hAnsi="Mosawi" w:cs="Mosawi"/>
          <w:sz w:val="22"/>
          <w:szCs w:val="22"/>
          <w:rtl/>
        </w:rPr>
        <w:t>﴿</w:t>
      </w:r>
      <w:r w:rsidRPr="006571AC">
        <w:rPr>
          <w:rFonts w:cs="DanaFajr" w:hint="eastAsia"/>
          <w:b/>
          <w:bCs/>
          <w:sz w:val="28"/>
          <w:szCs w:val="28"/>
          <w:rtl/>
          <w:lang w:bidi="fa-IR"/>
        </w:rPr>
        <w:t>وَلَوْ</w:t>
      </w:r>
      <w:r w:rsidRPr="006571AC">
        <w:rPr>
          <w:rFonts w:cs="DanaFajr"/>
          <w:b/>
          <w:bCs/>
          <w:sz w:val="28"/>
          <w:szCs w:val="28"/>
          <w:rtl/>
          <w:lang w:bidi="fa-IR"/>
        </w:rPr>
        <w:t xml:space="preserve"> </w:t>
      </w:r>
      <w:r w:rsidRPr="006571AC">
        <w:rPr>
          <w:rFonts w:cs="DanaFajr" w:hint="eastAsia"/>
          <w:b/>
          <w:bCs/>
          <w:sz w:val="28"/>
          <w:szCs w:val="28"/>
          <w:rtl/>
          <w:lang w:bidi="fa-IR"/>
        </w:rPr>
        <w:t>شَاءَ</w:t>
      </w:r>
      <w:r w:rsidRPr="006571AC">
        <w:rPr>
          <w:rFonts w:cs="DanaFajr"/>
          <w:b/>
          <w:bCs/>
          <w:sz w:val="28"/>
          <w:szCs w:val="28"/>
          <w:rtl/>
          <w:lang w:bidi="fa-IR"/>
        </w:rPr>
        <w:t xml:space="preserve"> </w:t>
      </w:r>
      <w:r w:rsidRPr="006571AC">
        <w:rPr>
          <w:rFonts w:cs="DanaFajr" w:hint="eastAsia"/>
          <w:b/>
          <w:bCs/>
          <w:sz w:val="28"/>
          <w:szCs w:val="28"/>
          <w:rtl/>
          <w:lang w:bidi="fa-IR"/>
        </w:rPr>
        <w:t>رَب</w:t>
      </w:r>
      <w:r w:rsidRPr="006571AC">
        <w:rPr>
          <w:rFonts w:cs="DanaFajr" w:hint="cs"/>
          <w:b/>
          <w:bCs/>
          <w:sz w:val="28"/>
          <w:szCs w:val="28"/>
          <w:rtl/>
          <w:lang w:bidi="fa-IR"/>
        </w:rPr>
        <w:t>ُّ</w:t>
      </w:r>
      <w:r w:rsidRPr="006571AC">
        <w:rPr>
          <w:rFonts w:cs="DanaFajr" w:hint="eastAsia"/>
          <w:b/>
          <w:bCs/>
          <w:sz w:val="28"/>
          <w:szCs w:val="28"/>
          <w:rtl/>
          <w:lang w:bidi="fa-IR"/>
        </w:rPr>
        <w:t>كَ</w:t>
      </w:r>
      <w:r w:rsidRPr="006571AC">
        <w:rPr>
          <w:rFonts w:cs="DanaFajr"/>
          <w:b/>
          <w:bCs/>
          <w:sz w:val="28"/>
          <w:szCs w:val="28"/>
          <w:rtl/>
          <w:lang w:bidi="fa-IR"/>
        </w:rPr>
        <w:t xml:space="preserve"> </w:t>
      </w:r>
      <w:r w:rsidRPr="006571AC">
        <w:rPr>
          <w:rFonts w:cs="DanaFajr" w:hint="eastAsia"/>
          <w:b/>
          <w:bCs/>
          <w:sz w:val="28"/>
          <w:szCs w:val="28"/>
          <w:rtl/>
          <w:lang w:bidi="fa-IR"/>
        </w:rPr>
        <w:t>لآمَنَ</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الأَرْضِ</w:t>
      </w:r>
      <w:r w:rsidRPr="006571AC">
        <w:rPr>
          <w:rFonts w:cs="DanaFajr"/>
          <w:b/>
          <w:bCs/>
          <w:sz w:val="28"/>
          <w:szCs w:val="28"/>
          <w:rtl/>
          <w:lang w:bidi="fa-IR"/>
        </w:rPr>
        <w:t xml:space="preserve"> </w:t>
      </w:r>
      <w:r w:rsidRPr="006571AC">
        <w:rPr>
          <w:rFonts w:cs="DanaFajr" w:hint="eastAsia"/>
          <w:b/>
          <w:bCs/>
          <w:sz w:val="28"/>
          <w:szCs w:val="28"/>
          <w:rtl/>
          <w:lang w:bidi="fa-IR"/>
        </w:rPr>
        <w:t>كُل</w:t>
      </w:r>
      <w:r w:rsidRPr="006571AC">
        <w:rPr>
          <w:rFonts w:cs="DanaFajr" w:hint="cs"/>
          <w:b/>
          <w:bCs/>
          <w:sz w:val="28"/>
          <w:szCs w:val="28"/>
          <w:rtl/>
          <w:lang w:bidi="fa-IR"/>
        </w:rPr>
        <w:t>ُّ</w:t>
      </w:r>
      <w:r w:rsidRPr="006571AC">
        <w:rPr>
          <w:rFonts w:cs="DanaFajr" w:hint="eastAsia"/>
          <w:b/>
          <w:bCs/>
          <w:sz w:val="28"/>
          <w:szCs w:val="28"/>
          <w:rtl/>
          <w:lang w:bidi="fa-IR"/>
        </w:rPr>
        <w:t>هُمْ</w:t>
      </w:r>
      <w:r w:rsidRPr="006571AC">
        <w:rPr>
          <w:rFonts w:cs="DanaFajr"/>
          <w:b/>
          <w:bCs/>
          <w:sz w:val="28"/>
          <w:szCs w:val="28"/>
          <w:rtl/>
          <w:lang w:bidi="fa-IR"/>
        </w:rPr>
        <w:t xml:space="preserve"> </w:t>
      </w:r>
      <w:r w:rsidRPr="006571AC">
        <w:rPr>
          <w:rFonts w:cs="DanaFajr" w:hint="eastAsia"/>
          <w:b/>
          <w:bCs/>
          <w:sz w:val="28"/>
          <w:szCs w:val="28"/>
          <w:rtl/>
          <w:lang w:bidi="fa-IR"/>
        </w:rPr>
        <w:t>جَمِيعاً</w:t>
      </w:r>
      <w:r w:rsidRPr="006571AC">
        <w:rPr>
          <w:rFonts w:cs="DanaFajr"/>
          <w:b/>
          <w:bCs/>
          <w:sz w:val="28"/>
          <w:szCs w:val="28"/>
          <w:rtl/>
          <w:lang w:bidi="fa-IR"/>
        </w:rPr>
        <w:t xml:space="preserve"> </w:t>
      </w:r>
      <w:r w:rsidRPr="006571AC">
        <w:rPr>
          <w:rFonts w:cs="DanaFajr" w:hint="eastAsia"/>
          <w:b/>
          <w:bCs/>
          <w:sz w:val="28"/>
          <w:szCs w:val="28"/>
          <w:rtl/>
          <w:lang w:bidi="fa-IR"/>
        </w:rPr>
        <w:t>أَفَأَنْتَ</w:t>
      </w:r>
      <w:r w:rsidRPr="006571AC">
        <w:rPr>
          <w:rFonts w:cs="DanaFajr"/>
          <w:b/>
          <w:bCs/>
          <w:sz w:val="28"/>
          <w:szCs w:val="28"/>
          <w:rtl/>
          <w:lang w:bidi="fa-IR"/>
        </w:rPr>
        <w:t xml:space="preserve"> </w:t>
      </w:r>
      <w:r w:rsidRPr="006571AC">
        <w:rPr>
          <w:rFonts w:cs="DanaFajr" w:hint="eastAsia"/>
          <w:b/>
          <w:bCs/>
          <w:sz w:val="28"/>
          <w:szCs w:val="28"/>
          <w:rtl/>
          <w:lang w:bidi="fa-IR"/>
        </w:rPr>
        <w:t>تُكْرِهُ</w:t>
      </w:r>
      <w:r w:rsidRPr="006571AC">
        <w:rPr>
          <w:rFonts w:cs="DanaFajr"/>
          <w:b/>
          <w:bCs/>
          <w:sz w:val="28"/>
          <w:szCs w:val="28"/>
          <w:rtl/>
          <w:lang w:bidi="fa-IR"/>
        </w:rPr>
        <w:t xml:space="preserve"> </w:t>
      </w:r>
      <w:r w:rsidRPr="006571AC">
        <w:rPr>
          <w:rFonts w:cs="DanaFajr" w:hint="eastAsia"/>
          <w:b/>
          <w:bCs/>
          <w:sz w:val="28"/>
          <w:szCs w:val="28"/>
          <w:rtl/>
          <w:lang w:bidi="fa-IR"/>
        </w:rPr>
        <w:t>الن</w:t>
      </w:r>
      <w:r w:rsidRPr="006571AC">
        <w:rPr>
          <w:rFonts w:cs="DanaFajr" w:hint="cs"/>
          <w:b/>
          <w:bCs/>
          <w:sz w:val="28"/>
          <w:szCs w:val="28"/>
          <w:rtl/>
          <w:lang w:bidi="fa-IR"/>
        </w:rPr>
        <w:t>َّ</w:t>
      </w:r>
      <w:r w:rsidRPr="006571AC">
        <w:rPr>
          <w:rFonts w:cs="DanaFajr" w:hint="eastAsia"/>
          <w:b/>
          <w:bCs/>
          <w:sz w:val="28"/>
          <w:szCs w:val="28"/>
          <w:rtl/>
          <w:lang w:bidi="fa-IR"/>
        </w:rPr>
        <w:t>اسَ</w:t>
      </w:r>
      <w:r w:rsidRPr="006571AC">
        <w:rPr>
          <w:rFonts w:cs="DanaFajr"/>
          <w:b/>
          <w:bCs/>
          <w:sz w:val="28"/>
          <w:szCs w:val="28"/>
          <w:rtl/>
          <w:lang w:bidi="fa-IR"/>
        </w:rPr>
        <w:t xml:space="preserve"> </w:t>
      </w:r>
      <w:r w:rsidRPr="006571AC">
        <w:rPr>
          <w:rFonts w:cs="DanaFajr" w:hint="eastAsia"/>
          <w:b/>
          <w:bCs/>
          <w:sz w:val="28"/>
          <w:szCs w:val="28"/>
          <w:rtl/>
          <w:lang w:bidi="fa-IR"/>
        </w:rPr>
        <w:t>حَت</w:t>
      </w:r>
      <w:r w:rsidRPr="006571AC">
        <w:rPr>
          <w:rFonts w:cs="DanaFajr" w:hint="cs"/>
          <w:b/>
          <w:bCs/>
          <w:sz w:val="28"/>
          <w:szCs w:val="28"/>
          <w:rtl/>
          <w:lang w:bidi="fa-IR"/>
        </w:rPr>
        <w:t>َّ</w:t>
      </w:r>
      <w:r w:rsidRPr="006571AC">
        <w:rPr>
          <w:rFonts w:cs="DanaFajr" w:hint="eastAsia"/>
          <w:b/>
          <w:bCs/>
          <w:sz w:val="28"/>
          <w:szCs w:val="28"/>
          <w:rtl/>
          <w:lang w:bidi="fa-IR"/>
        </w:rPr>
        <w:t>ى</w:t>
      </w:r>
      <w:r w:rsidRPr="006571AC">
        <w:rPr>
          <w:rFonts w:cs="DanaFajr"/>
          <w:b/>
          <w:bCs/>
          <w:sz w:val="28"/>
          <w:szCs w:val="28"/>
          <w:rtl/>
          <w:lang w:bidi="fa-IR"/>
        </w:rPr>
        <w:t xml:space="preserve"> </w:t>
      </w:r>
      <w:r w:rsidRPr="006571AC">
        <w:rPr>
          <w:rFonts w:cs="DanaFajr" w:hint="eastAsia"/>
          <w:b/>
          <w:bCs/>
          <w:sz w:val="28"/>
          <w:szCs w:val="28"/>
          <w:rtl/>
          <w:lang w:bidi="fa-IR"/>
        </w:rPr>
        <w:t>يَكُونُوا</w:t>
      </w:r>
      <w:r w:rsidRPr="006571AC">
        <w:rPr>
          <w:rFonts w:cs="DanaFajr"/>
          <w:b/>
          <w:bCs/>
          <w:sz w:val="28"/>
          <w:szCs w:val="28"/>
          <w:rtl/>
          <w:lang w:bidi="fa-IR"/>
        </w:rPr>
        <w:t xml:space="preserve"> </w:t>
      </w:r>
      <w:r w:rsidRPr="006571AC">
        <w:rPr>
          <w:rFonts w:cs="DanaFajr" w:hint="eastAsia"/>
          <w:b/>
          <w:bCs/>
          <w:sz w:val="28"/>
          <w:szCs w:val="28"/>
          <w:rtl/>
          <w:lang w:bidi="fa-IR"/>
        </w:rPr>
        <w:t>مُؤْمِنِينَ</w:t>
      </w:r>
      <w:r w:rsidRPr="006571AC">
        <w:rPr>
          <w:rFonts w:ascii="Mosawi" w:hAnsi="Mosawi" w:cs="Mosawi"/>
          <w:sz w:val="22"/>
          <w:szCs w:val="22"/>
          <w:rtl/>
        </w:rPr>
        <w:t>﴾</w:t>
      </w:r>
      <w:r w:rsidRPr="006571AC">
        <w:rPr>
          <w:rFonts w:cs="DanaFajr" w:hint="cs"/>
          <w:sz w:val="28"/>
          <w:szCs w:val="28"/>
          <w:rtl/>
          <w:lang w:bidi="fa-IR"/>
        </w:rPr>
        <w:t>.</w:t>
      </w:r>
    </w:p>
  </w:endnote>
  <w:endnote w:id="12">
    <w:p w:rsidR="00DB2356" w:rsidRPr="006571AC" w:rsidRDefault="00DB2356" w:rsidP="0011155A">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الصدوق، التوحيد: 341، مؤسسة النشر الإسلامي التابعة لجماعة المدرِّسين في قم، قم، ط1، 1398هـ</w:t>
      </w:r>
      <w:r w:rsidRPr="006571AC">
        <w:rPr>
          <w:rFonts w:cs="DanaFajr"/>
          <w:sz w:val="28"/>
          <w:szCs w:val="28"/>
          <w:rtl/>
        </w:rPr>
        <w:t>؛</w:t>
      </w:r>
      <w:r w:rsidRPr="006571AC">
        <w:rPr>
          <w:rFonts w:cs="DanaFajr" w:hint="cs"/>
          <w:sz w:val="28"/>
          <w:szCs w:val="28"/>
          <w:rtl/>
        </w:rPr>
        <w:t xml:space="preserve"> الصدوق، عيون أخبار الرضا</w:t>
      </w:r>
      <w:r w:rsidRPr="006571AC">
        <w:rPr>
          <w:rFonts w:ascii="Mosawi" w:hAnsi="Mosawi" w:cs="Mosawi"/>
          <w:rtl/>
        </w:rPr>
        <w:t>×</w:t>
      </w:r>
      <w:r w:rsidRPr="006571AC">
        <w:rPr>
          <w:rFonts w:cs="DanaFajr" w:hint="cs"/>
          <w:sz w:val="28"/>
          <w:szCs w:val="28"/>
          <w:rtl/>
        </w:rPr>
        <w:t xml:space="preserve">، 1: 134، نشر جهان، طهران، ط1، 1378هـ: </w:t>
      </w:r>
      <w:r w:rsidRPr="006571AC">
        <w:rPr>
          <w:sz w:val="22"/>
          <w:szCs w:val="22"/>
          <w:rtl/>
          <w:lang w:bidi="fa-IR"/>
        </w:rPr>
        <w:t>«</w:t>
      </w:r>
      <w:r w:rsidRPr="006571AC">
        <w:rPr>
          <w:rFonts w:cs="DanaFajr" w:hint="eastAsia"/>
          <w:sz w:val="28"/>
          <w:szCs w:val="28"/>
          <w:rtl/>
        </w:rPr>
        <w:t>حد</w:t>
      </w:r>
      <w:r w:rsidRPr="006571AC">
        <w:rPr>
          <w:rFonts w:cs="DanaFajr" w:hint="cs"/>
          <w:sz w:val="28"/>
          <w:szCs w:val="28"/>
          <w:rtl/>
        </w:rPr>
        <w:t>َّ</w:t>
      </w:r>
      <w:r w:rsidRPr="006571AC">
        <w:rPr>
          <w:rFonts w:cs="DanaFajr" w:hint="eastAsia"/>
          <w:sz w:val="28"/>
          <w:szCs w:val="28"/>
          <w:rtl/>
        </w:rPr>
        <w:t>ثنا</w:t>
      </w:r>
      <w:r w:rsidRPr="006571AC">
        <w:rPr>
          <w:rFonts w:cs="DanaFajr"/>
          <w:sz w:val="28"/>
          <w:szCs w:val="28"/>
          <w:rtl/>
        </w:rPr>
        <w:t xml:space="preserve"> </w:t>
      </w:r>
      <w:r w:rsidRPr="006571AC">
        <w:rPr>
          <w:rFonts w:cs="DanaFajr" w:hint="eastAsia"/>
          <w:sz w:val="28"/>
          <w:szCs w:val="28"/>
          <w:rtl/>
        </w:rPr>
        <w:t>تميم</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عبد</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تميم</w:t>
      </w:r>
      <w:r w:rsidRPr="006571AC">
        <w:rPr>
          <w:rFonts w:cs="DanaFajr"/>
          <w:sz w:val="28"/>
          <w:szCs w:val="28"/>
          <w:rtl/>
        </w:rPr>
        <w:t xml:space="preserve"> </w:t>
      </w:r>
      <w:r w:rsidRPr="006571AC">
        <w:rPr>
          <w:rFonts w:cs="DanaFajr" w:hint="eastAsia"/>
          <w:sz w:val="28"/>
          <w:szCs w:val="28"/>
          <w:rtl/>
        </w:rPr>
        <w:t>القرشي</w:t>
      </w:r>
      <w:r w:rsidRPr="006571AC">
        <w:rPr>
          <w:rFonts w:cs="DanaFajr" w:hint="cs"/>
          <w:sz w:val="28"/>
          <w:szCs w:val="28"/>
          <w:rtl/>
        </w:rPr>
        <w:t xml:space="preserve"> </w:t>
      </w:r>
      <w:r w:rsidRPr="006571AC">
        <w:rPr>
          <w:rFonts w:cs="DanaFajr" w:hint="eastAsia"/>
          <w:sz w:val="28"/>
          <w:szCs w:val="28"/>
          <w:rtl/>
        </w:rPr>
        <w:t>قال</w:t>
      </w:r>
      <w:r w:rsidRPr="006571AC">
        <w:rPr>
          <w:rFonts w:cs="DanaFajr"/>
          <w:sz w:val="28"/>
          <w:szCs w:val="28"/>
          <w:rtl/>
        </w:rPr>
        <w:t xml:space="preserve">: </w:t>
      </w:r>
      <w:r w:rsidRPr="006571AC">
        <w:rPr>
          <w:rFonts w:cs="DanaFajr" w:hint="eastAsia"/>
          <w:sz w:val="28"/>
          <w:szCs w:val="28"/>
          <w:rtl/>
        </w:rPr>
        <w:t>حد</w:t>
      </w:r>
      <w:r w:rsidRPr="006571AC">
        <w:rPr>
          <w:rFonts w:cs="DanaFajr" w:hint="cs"/>
          <w:sz w:val="28"/>
          <w:szCs w:val="28"/>
          <w:rtl/>
        </w:rPr>
        <w:t>َّ</w:t>
      </w:r>
      <w:r w:rsidRPr="006571AC">
        <w:rPr>
          <w:rFonts w:cs="DanaFajr" w:hint="eastAsia"/>
          <w:sz w:val="28"/>
          <w:szCs w:val="28"/>
          <w:rtl/>
        </w:rPr>
        <w:t>ثنا</w:t>
      </w:r>
      <w:r w:rsidRPr="006571AC">
        <w:rPr>
          <w:rFonts w:cs="DanaFajr"/>
          <w:sz w:val="28"/>
          <w:szCs w:val="28"/>
          <w:rtl/>
        </w:rPr>
        <w:t xml:space="preserve"> </w:t>
      </w:r>
      <w:r w:rsidRPr="006571AC">
        <w:rPr>
          <w:rFonts w:cs="DanaFajr" w:hint="eastAsia"/>
          <w:sz w:val="28"/>
          <w:szCs w:val="28"/>
          <w:rtl/>
        </w:rPr>
        <w:t>أبي،</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أحمد</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علي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الأنصاري،</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w:t>
      </w:r>
      <w:r w:rsidRPr="006571AC">
        <w:rPr>
          <w:rFonts w:cs="DanaFajr"/>
          <w:sz w:val="28"/>
          <w:szCs w:val="28"/>
          <w:rtl/>
        </w:rPr>
        <w:t xml:space="preserve"> </w:t>
      </w:r>
      <w:r w:rsidRPr="006571AC">
        <w:rPr>
          <w:rFonts w:cs="DanaFajr" w:hint="eastAsia"/>
          <w:sz w:val="28"/>
          <w:szCs w:val="28"/>
          <w:rtl/>
        </w:rPr>
        <w:t>الصلت</w:t>
      </w:r>
      <w:r w:rsidRPr="006571AC">
        <w:rPr>
          <w:rFonts w:cs="DanaFajr"/>
          <w:sz w:val="28"/>
          <w:szCs w:val="28"/>
          <w:rtl/>
        </w:rPr>
        <w:t xml:space="preserve"> </w:t>
      </w:r>
      <w:r w:rsidRPr="006571AC">
        <w:rPr>
          <w:rFonts w:cs="DanaFajr" w:hint="eastAsia"/>
          <w:sz w:val="28"/>
          <w:szCs w:val="28"/>
          <w:rtl/>
        </w:rPr>
        <w:t>عبد</w:t>
      </w:r>
      <w:r w:rsidRPr="006571AC">
        <w:rPr>
          <w:rFonts w:cs="DanaFajr"/>
          <w:sz w:val="28"/>
          <w:szCs w:val="28"/>
          <w:rtl/>
        </w:rPr>
        <w:t xml:space="preserve"> </w:t>
      </w:r>
      <w:r w:rsidRPr="006571AC">
        <w:rPr>
          <w:rFonts w:cs="DanaFajr" w:hint="eastAsia"/>
          <w:sz w:val="28"/>
          <w:szCs w:val="28"/>
          <w:rtl/>
        </w:rPr>
        <w:t>السلام</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صالح</w:t>
      </w:r>
      <w:r w:rsidRPr="006571AC">
        <w:rPr>
          <w:rFonts w:cs="DanaFajr"/>
          <w:sz w:val="28"/>
          <w:szCs w:val="28"/>
          <w:rtl/>
        </w:rPr>
        <w:t xml:space="preserve"> </w:t>
      </w:r>
      <w:r w:rsidRPr="006571AC">
        <w:rPr>
          <w:rFonts w:cs="DanaFajr" w:hint="eastAsia"/>
          <w:sz w:val="28"/>
          <w:szCs w:val="28"/>
          <w:rtl/>
        </w:rPr>
        <w:t>الهروي</w:t>
      </w:r>
      <w:r w:rsidRPr="006571AC">
        <w:rPr>
          <w:rFonts w:cs="DanaFajr"/>
          <w:sz w:val="28"/>
          <w:szCs w:val="28"/>
          <w:rtl/>
        </w:rPr>
        <w:t xml:space="preserve"> </w:t>
      </w:r>
      <w:r w:rsidRPr="006571AC">
        <w:rPr>
          <w:rFonts w:cs="DanaFajr" w:hint="eastAsia"/>
          <w:sz w:val="28"/>
          <w:szCs w:val="28"/>
          <w:rtl/>
        </w:rPr>
        <w:t>قال</w:t>
      </w:r>
      <w:r w:rsidRPr="006571AC">
        <w:rPr>
          <w:rFonts w:cs="DanaFajr"/>
          <w:sz w:val="28"/>
          <w:szCs w:val="28"/>
          <w:rtl/>
        </w:rPr>
        <w:t xml:space="preserve">: </w:t>
      </w:r>
      <w:r w:rsidRPr="006571AC">
        <w:rPr>
          <w:rFonts w:cs="DanaFajr" w:hint="eastAsia"/>
          <w:sz w:val="28"/>
          <w:szCs w:val="28"/>
          <w:rtl/>
        </w:rPr>
        <w:t>سأل</w:t>
      </w:r>
      <w:r w:rsidRPr="006571AC">
        <w:rPr>
          <w:rFonts w:cs="DanaFajr"/>
          <w:sz w:val="28"/>
          <w:szCs w:val="28"/>
          <w:rtl/>
        </w:rPr>
        <w:t xml:space="preserve"> </w:t>
      </w:r>
      <w:r w:rsidRPr="006571AC">
        <w:rPr>
          <w:rFonts w:cs="DanaFajr" w:hint="eastAsia"/>
          <w:sz w:val="28"/>
          <w:szCs w:val="28"/>
          <w:rtl/>
        </w:rPr>
        <w:t>المأمون</w:t>
      </w:r>
      <w:r w:rsidRPr="006571AC">
        <w:rPr>
          <w:rFonts w:cs="DanaFajr"/>
          <w:sz w:val="28"/>
          <w:szCs w:val="28"/>
          <w:rtl/>
        </w:rPr>
        <w:t xml:space="preserve"> </w:t>
      </w:r>
      <w:r w:rsidRPr="006571AC">
        <w:rPr>
          <w:rFonts w:cs="DanaFajr" w:hint="eastAsia"/>
          <w:sz w:val="28"/>
          <w:szCs w:val="28"/>
          <w:rtl/>
        </w:rPr>
        <w:t>يوما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علي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موسى</w:t>
      </w:r>
      <w:r w:rsidRPr="006571AC">
        <w:rPr>
          <w:rFonts w:cs="DanaFajr"/>
          <w:sz w:val="28"/>
          <w:szCs w:val="28"/>
          <w:rtl/>
        </w:rPr>
        <w:t xml:space="preserve"> </w:t>
      </w:r>
      <w:r w:rsidRPr="006571AC">
        <w:rPr>
          <w:rFonts w:cs="DanaFajr" w:hint="eastAsia"/>
          <w:sz w:val="28"/>
          <w:szCs w:val="28"/>
          <w:rtl/>
        </w:rPr>
        <w:t>الرضا</w:t>
      </w:r>
      <w:r w:rsidRPr="006571AC">
        <w:rPr>
          <w:rFonts w:ascii="Mosawi" w:hAnsi="Mosawi" w:cs="Mosawi"/>
          <w:rtl/>
        </w:rPr>
        <w:t>×</w:t>
      </w:r>
      <w:r w:rsidRPr="006571AC">
        <w:rPr>
          <w:rFonts w:cs="DanaFajr"/>
          <w:sz w:val="28"/>
          <w:szCs w:val="28"/>
          <w:rtl/>
        </w:rPr>
        <w:t xml:space="preserve"> </w:t>
      </w:r>
      <w:r w:rsidRPr="006571AC">
        <w:rPr>
          <w:rFonts w:cs="DanaFajr" w:hint="eastAsia"/>
          <w:sz w:val="28"/>
          <w:szCs w:val="28"/>
          <w:rtl/>
        </w:rPr>
        <w:t>فقال</w:t>
      </w:r>
      <w:r w:rsidRPr="006571AC">
        <w:rPr>
          <w:rFonts w:cs="DanaFajr"/>
          <w:sz w:val="28"/>
          <w:szCs w:val="28"/>
          <w:rtl/>
        </w:rPr>
        <w:t xml:space="preserve"> </w:t>
      </w:r>
      <w:r w:rsidRPr="006571AC">
        <w:rPr>
          <w:rFonts w:cs="DanaFajr" w:hint="eastAsia"/>
          <w:sz w:val="28"/>
          <w:szCs w:val="28"/>
          <w:rtl/>
        </w:rPr>
        <w:t>له</w:t>
      </w:r>
      <w:r w:rsidRPr="006571AC">
        <w:rPr>
          <w:rFonts w:cs="DanaFajr"/>
          <w:sz w:val="28"/>
          <w:szCs w:val="28"/>
          <w:rtl/>
        </w:rPr>
        <w:t xml:space="preserve">: </w:t>
      </w:r>
      <w:r w:rsidRPr="006571AC">
        <w:rPr>
          <w:rFonts w:cs="DanaFajr" w:hint="eastAsia"/>
          <w:sz w:val="28"/>
          <w:szCs w:val="28"/>
          <w:rtl/>
        </w:rPr>
        <w:t>يا</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رسول</w:t>
      </w:r>
      <w:r w:rsidRPr="006571AC">
        <w:rPr>
          <w:rFonts w:cs="DanaFajr"/>
          <w:sz w:val="28"/>
          <w:szCs w:val="28"/>
          <w:rtl/>
        </w:rPr>
        <w:t xml:space="preserve"> </w:t>
      </w:r>
      <w:r w:rsidRPr="006571AC">
        <w:rPr>
          <w:rFonts w:cs="DanaFajr" w:hint="eastAsia"/>
          <w:sz w:val="28"/>
          <w:szCs w:val="28"/>
          <w:rtl/>
        </w:rPr>
        <w:t>الله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معنى</w:t>
      </w:r>
      <w:r w:rsidRPr="006571AC">
        <w:rPr>
          <w:rFonts w:cs="DanaFajr"/>
          <w:sz w:val="28"/>
          <w:szCs w:val="28"/>
          <w:rtl/>
        </w:rPr>
        <w:t xml:space="preserve"> </w:t>
      </w:r>
      <w:r w:rsidRPr="006571AC">
        <w:rPr>
          <w:rFonts w:cs="DanaFajr" w:hint="eastAsia"/>
          <w:sz w:val="28"/>
          <w:szCs w:val="28"/>
          <w:rtl/>
        </w:rPr>
        <w:t>قول</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عز</w:t>
      </w:r>
      <w:r w:rsidRPr="006571AC">
        <w:rPr>
          <w:rFonts w:cs="DanaFajr" w:hint="cs"/>
          <w:sz w:val="28"/>
          <w:szCs w:val="28"/>
          <w:rtl/>
        </w:rPr>
        <w:t xml:space="preserve">َّ </w:t>
      </w:r>
      <w:r w:rsidRPr="006571AC">
        <w:rPr>
          <w:rFonts w:cs="DanaFajr" w:hint="eastAsia"/>
          <w:sz w:val="28"/>
          <w:szCs w:val="28"/>
          <w:rtl/>
        </w:rPr>
        <w:t>وجل</w:t>
      </w:r>
      <w:r w:rsidRPr="006571AC">
        <w:rPr>
          <w:rFonts w:cs="DanaFajr" w:hint="cs"/>
          <w:sz w:val="28"/>
          <w:szCs w:val="28"/>
          <w:rtl/>
        </w:rPr>
        <w:t>َّ</w:t>
      </w:r>
      <w:r w:rsidRPr="006571AC">
        <w:rPr>
          <w:rFonts w:cs="DanaFajr"/>
          <w:sz w:val="28"/>
          <w:szCs w:val="28"/>
          <w:rtl/>
        </w:rPr>
        <w:t xml:space="preserve">: </w:t>
      </w:r>
      <w:r w:rsidRPr="006571AC">
        <w:rPr>
          <w:rFonts w:ascii="Mosawi" w:hAnsi="Mosawi" w:cs="Mosawi"/>
          <w:sz w:val="22"/>
          <w:szCs w:val="22"/>
          <w:rtl/>
        </w:rPr>
        <w:t>﴿</w:t>
      </w:r>
      <w:r w:rsidRPr="006571AC">
        <w:rPr>
          <w:rFonts w:cs="DanaFajr" w:hint="eastAsia"/>
          <w:b/>
          <w:bCs/>
          <w:sz w:val="28"/>
          <w:szCs w:val="28"/>
          <w:rtl/>
        </w:rPr>
        <w:t>وَلَوْ</w:t>
      </w:r>
      <w:r w:rsidRPr="006571AC">
        <w:rPr>
          <w:rFonts w:cs="DanaFajr"/>
          <w:b/>
          <w:bCs/>
          <w:sz w:val="28"/>
          <w:szCs w:val="28"/>
          <w:rtl/>
        </w:rPr>
        <w:t xml:space="preserve"> </w:t>
      </w:r>
      <w:r w:rsidRPr="006571AC">
        <w:rPr>
          <w:rFonts w:cs="DanaFajr" w:hint="eastAsia"/>
          <w:b/>
          <w:bCs/>
          <w:sz w:val="28"/>
          <w:szCs w:val="28"/>
          <w:rtl/>
        </w:rPr>
        <w:t>شَاءَ</w:t>
      </w:r>
      <w:r w:rsidRPr="006571AC">
        <w:rPr>
          <w:rFonts w:cs="DanaFajr"/>
          <w:b/>
          <w:bCs/>
          <w:sz w:val="28"/>
          <w:szCs w:val="28"/>
          <w:rtl/>
        </w:rPr>
        <w:t xml:space="preserve"> </w:t>
      </w:r>
      <w:r w:rsidRPr="006571AC">
        <w:rPr>
          <w:rFonts w:cs="DanaFajr" w:hint="eastAsia"/>
          <w:b/>
          <w:bCs/>
          <w:sz w:val="28"/>
          <w:szCs w:val="28"/>
          <w:rtl/>
        </w:rPr>
        <w:t>رَب</w:t>
      </w:r>
      <w:r w:rsidRPr="006571AC">
        <w:rPr>
          <w:rFonts w:cs="DanaFajr" w:hint="cs"/>
          <w:b/>
          <w:bCs/>
          <w:sz w:val="28"/>
          <w:szCs w:val="28"/>
          <w:rtl/>
        </w:rPr>
        <w:t>ُّ</w:t>
      </w:r>
      <w:r w:rsidRPr="006571AC">
        <w:rPr>
          <w:rFonts w:cs="DanaFajr" w:hint="eastAsia"/>
          <w:b/>
          <w:bCs/>
          <w:sz w:val="28"/>
          <w:szCs w:val="28"/>
          <w:rtl/>
        </w:rPr>
        <w:t>كَ</w:t>
      </w:r>
      <w:r w:rsidRPr="006571AC">
        <w:rPr>
          <w:rFonts w:cs="DanaFajr"/>
          <w:b/>
          <w:bCs/>
          <w:sz w:val="28"/>
          <w:szCs w:val="28"/>
          <w:rtl/>
        </w:rPr>
        <w:t xml:space="preserve"> </w:t>
      </w:r>
      <w:r w:rsidRPr="006571AC">
        <w:rPr>
          <w:rFonts w:cs="DanaFajr" w:hint="eastAsia"/>
          <w:b/>
          <w:bCs/>
          <w:sz w:val="28"/>
          <w:szCs w:val="28"/>
          <w:rtl/>
        </w:rPr>
        <w:t>لآمَنَ</w:t>
      </w:r>
      <w:r w:rsidRPr="006571AC">
        <w:rPr>
          <w:rFonts w:cs="DanaFajr"/>
          <w:b/>
          <w:bCs/>
          <w:sz w:val="28"/>
          <w:szCs w:val="28"/>
          <w:rtl/>
        </w:rPr>
        <w:t xml:space="preserve"> </w:t>
      </w:r>
      <w:r w:rsidRPr="006571AC">
        <w:rPr>
          <w:rFonts w:cs="DanaFajr" w:hint="eastAsia"/>
          <w:b/>
          <w:bCs/>
          <w:sz w:val="28"/>
          <w:szCs w:val="28"/>
          <w:rtl/>
        </w:rPr>
        <w:t>مَنْ</w:t>
      </w:r>
      <w:r w:rsidRPr="006571AC">
        <w:rPr>
          <w:rFonts w:cs="DanaFajr"/>
          <w:b/>
          <w:bCs/>
          <w:sz w:val="28"/>
          <w:szCs w:val="28"/>
          <w:rtl/>
        </w:rPr>
        <w:t xml:space="preserve"> </w:t>
      </w:r>
      <w:r w:rsidRPr="006571AC">
        <w:rPr>
          <w:rFonts w:cs="DanaFajr" w:hint="eastAsia"/>
          <w:b/>
          <w:bCs/>
          <w:sz w:val="28"/>
          <w:szCs w:val="28"/>
          <w:rtl/>
        </w:rPr>
        <w:t>فِي</w:t>
      </w:r>
      <w:r w:rsidRPr="006571AC">
        <w:rPr>
          <w:rFonts w:cs="DanaFajr"/>
          <w:b/>
          <w:bCs/>
          <w:sz w:val="28"/>
          <w:szCs w:val="28"/>
          <w:rtl/>
        </w:rPr>
        <w:t xml:space="preserve"> </w:t>
      </w:r>
      <w:r w:rsidRPr="006571AC">
        <w:rPr>
          <w:rFonts w:cs="DanaFajr" w:hint="eastAsia"/>
          <w:b/>
          <w:bCs/>
          <w:sz w:val="28"/>
          <w:szCs w:val="28"/>
          <w:rtl/>
        </w:rPr>
        <w:t>الأَرْضِ</w:t>
      </w:r>
      <w:r w:rsidRPr="006571AC">
        <w:rPr>
          <w:rFonts w:cs="DanaFajr"/>
          <w:b/>
          <w:bCs/>
          <w:sz w:val="28"/>
          <w:szCs w:val="28"/>
          <w:rtl/>
        </w:rPr>
        <w:t xml:space="preserve"> </w:t>
      </w:r>
      <w:r w:rsidRPr="006571AC">
        <w:rPr>
          <w:rFonts w:cs="DanaFajr" w:hint="eastAsia"/>
          <w:b/>
          <w:bCs/>
          <w:sz w:val="28"/>
          <w:szCs w:val="28"/>
          <w:rtl/>
        </w:rPr>
        <w:t>كُل</w:t>
      </w:r>
      <w:r w:rsidRPr="006571AC">
        <w:rPr>
          <w:rFonts w:cs="DanaFajr" w:hint="cs"/>
          <w:b/>
          <w:bCs/>
          <w:sz w:val="28"/>
          <w:szCs w:val="28"/>
          <w:rtl/>
        </w:rPr>
        <w:t>ُّ</w:t>
      </w:r>
      <w:r w:rsidRPr="006571AC">
        <w:rPr>
          <w:rFonts w:cs="DanaFajr" w:hint="eastAsia"/>
          <w:b/>
          <w:bCs/>
          <w:sz w:val="28"/>
          <w:szCs w:val="28"/>
          <w:rtl/>
        </w:rPr>
        <w:t>هُمْ</w:t>
      </w:r>
      <w:r w:rsidRPr="006571AC">
        <w:rPr>
          <w:rFonts w:cs="DanaFajr"/>
          <w:b/>
          <w:bCs/>
          <w:sz w:val="28"/>
          <w:szCs w:val="28"/>
          <w:rtl/>
        </w:rPr>
        <w:t xml:space="preserve"> </w:t>
      </w:r>
      <w:r w:rsidRPr="006571AC">
        <w:rPr>
          <w:rFonts w:cs="DanaFajr" w:hint="eastAsia"/>
          <w:b/>
          <w:bCs/>
          <w:sz w:val="28"/>
          <w:szCs w:val="28"/>
          <w:rtl/>
        </w:rPr>
        <w:t>جَمِيعاً</w:t>
      </w:r>
      <w:r w:rsidRPr="006571AC">
        <w:rPr>
          <w:rFonts w:cs="DanaFajr"/>
          <w:b/>
          <w:bCs/>
          <w:sz w:val="28"/>
          <w:szCs w:val="28"/>
          <w:rtl/>
        </w:rPr>
        <w:t xml:space="preserve"> </w:t>
      </w:r>
      <w:r w:rsidRPr="006571AC">
        <w:rPr>
          <w:rFonts w:cs="DanaFajr" w:hint="eastAsia"/>
          <w:b/>
          <w:bCs/>
          <w:sz w:val="28"/>
          <w:szCs w:val="28"/>
          <w:rtl/>
        </w:rPr>
        <w:t>أَفَأَنْتَ</w:t>
      </w:r>
      <w:r w:rsidRPr="006571AC">
        <w:rPr>
          <w:rFonts w:cs="DanaFajr"/>
          <w:b/>
          <w:bCs/>
          <w:sz w:val="28"/>
          <w:szCs w:val="28"/>
          <w:rtl/>
        </w:rPr>
        <w:t xml:space="preserve"> </w:t>
      </w:r>
      <w:r w:rsidRPr="006571AC">
        <w:rPr>
          <w:rFonts w:cs="DanaFajr" w:hint="eastAsia"/>
          <w:b/>
          <w:bCs/>
          <w:sz w:val="28"/>
          <w:szCs w:val="28"/>
          <w:rtl/>
        </w:rPr>
        <w:t>تُكْرِهُ</w:t>
      </w:r>
      <w:r w:rsidRPr="006571AC">
        <w:rPr>
          <w:rFonts w:cs="DanaFajr"/>
          <w:b/>
          <w:bCs/>
          <w:sz w:val="28"/>
          <w:szCs w:val="28"/>
          <w:rtl/>
        </w:rPr>
        <w:t xml:space="preserve"> </w:t>
      </w:r>
      <w:r w:rsidRPr="006571AC">
        <w:rPr>
          <w:rFonts w:cs="DanaFajr" w:hint="eastAsia"/>
          <w:b/>
          <w:bCs/>
          <w:sz w:val="28"/>
          <w:szCs w:val="28"/>
          <w:rtl/>
        </w:rPr>
        <w:t>الن</w:t>
      </w:r>
      <w:r w:rsidRPr="006571AC">
        <w:rPr>
          <w:rFonts w:cs="DanaFajr" w:hint="cs"/>
          <w:b/>
          <w:bCs/>
          <w:sz w:val="28"/>
          <w:szCs w:val="28"/>
          <w:rtl/>
        </w:rPr>
        <w:t>َّ</w:t>
      </w:r>
      <w:r w:rsidRPr="006571AC">
        <w:rPr>
          <w:rFonts w:cs="DanaFajr" w:hint="eastAsia"/>
          <w:b/>
          <w:bCs/>
          <w:sz w:val="28"/>
          <w:szCs w:val="28"/>
          <w:rtl/>
        </w:rPr>
        <w:t>اسَ</w:t>
      </w:r>
      <w:r w:rsidRPr="006571AC">
        <w:rPr>
          <w:rFonts w:cs="DanaFajr"/>
          <w:b/>
          <w:bCs/>
          <w:sz w:val="28"/>
          <w:szCs w:val="28"/>
          <w:rtl/>
        </w:rPr>
        <w:t xml:space="preserve"> </w:t>
      </w:r>
      <w:r w:rsidRPr="006571AC">
        <w:rPr>
          <w:rFonts w:cs="DanaFajr" w:hint="eastAsia"/>
          <w:b/>
          <w:bCs/>
          <w:sz w:val="28"/>
          <w:szCs w:val="28"/>
          <w:rtl/>
        </w:rPr>
        <w:t>حَت</w:t>
      </w:r>
      <w:r w:rsidRPr="006571AC">
        <w:rPr>
          <w:rFonts w:cs="DanaFajr" w:hint="cs"/>
          <w:b/>
          <w:bCs/>
          <w:sz w:val="28"/>
          <w:szCs w:val="28"/>
          <w:rtl/>
        </w:rPr>
        <w:t>َّ</w:t>
      </w:r>
      <w:r w:rsidRPr="006571AC">
        <w:rPr>
          <w:rFonts w:cs="DanaFajr" w:hint="eastAsia"/>
          <w:b/>
          <w:bCs/>
          <w:sz w:val="28"/>
          <w:szCs w:val="28"/>
          <w:rtl/>
        </w:rPr>
        <w:t>ى</w:t>
      </w:r>
      <w:r w:rsidRPr="006571AC">
        <w:rPr>
          <w:rFonts w:cs="DanaFajr"/>
          <w:b/>
          <w:bCs/>
          <w:sz w:val="28"/>
          <w:szCs w:val="28"/>
          <w:rtl/>
        </w:rPr>
        <w:t xml:space="preserve"> </w:t>
      </w:r>
      <w:r w:rsidRPr="006571AC">
        <w:rPr>
          <w:rFonts w:cs="DanaFajr" w:hint="eastAsia"/>
          <w:b/>
          <w:bCs/>
          <w:sz w:val="28"/>
          <w:szCs w:val="28"/>
          <w:rtl/>
        </w:rPr>
        <w:t>يَكُونُوا</w:t>
      </w:r>
      <w:r w:rsidRPr="006571AC">
        <w:rPr>
          <w:rFonts w:cs="DanaFajr"/>
          <w:b/>
          <w:bCs/>
          <w:sz w:val="28"/>
          <w:szCs w:val="28"/>
          <w:rtl/>
        </w:rPr>
        <w:t xml:space="preserve"> </w:t>
      </w:r>
      <w:r w:rsidRPr="006571AC">
        <w:rPr>
          <w:rFonts w:cs="DanaFajr" w:hint="eastAsia"/>
          <w:b/>
          <w:bCs/>
          <w:sz w:val="28"/>
          <w:szCs w:val="28"/>
          <w:rtl/>
        </w:rPr>
        <w:t>مُؤْمِنِينَ</w:t>
      </w:r>
      <w:r w:rsidRPr="006571AC">
        <w:rPr>
          <w:rFonts w:cs="DanaFajr"/>
          <w:b/>
          <w:bCs/>
          <w:sz w:val="28"/>
          <w:szCs w:val="28"/>
          <w:rtl/>
        </w:rPr>
        <w:t xml:space="preserve"> * </w:t>
      </w:r>
      <w:r w:rsidRPr="006571AC">
        <w:rPr>
          <w:rFonts w:cs="DanaFajr" w:hint="eastAsia"/>
          <w:b/>
          <w:bCs/>
          <w:sz w:val="28"/>
          <w:szCs w:val="28"/>
          <w:rtl/>
        </w:rPr>
        <w:t>وَمَا</w:t>
      </w:r>
      <w:r w:rsidRPr="006571AC">
        <w:rPr>
          <w:rFonts w:cs="DanaFajr"/>
          <w:b/>
          <w:bCs/>
          <w:sz w:val="28"/>
          <w:szCs w:val="28"/>
          <w:rtl/>
        </w:rPr>
        <w:t xml:space="preserve"> </w:t>
      </w:r>
      <w:r w:rsidRPr="006571AC">
        <w:rPr>
          <w:rFonts w:cs="DanaFajr" w:hint="eastAsia"/>
          <w:b/>
          <w:bCs/>
          <w:sz w:val="28"/>
          <w:szCs w:val="28"/>
          <w:rtl/>
        </w:rPr>
        <w:t>كَانَ</w:t>
      </w:r>
      <w:r w:rsidRPr="006571AC">
        <w:rPr>
          <w:rFonts w:cs="DanaFajr"/>
          <w:b/>
          <w:bCs/>
          <w:sz w:val="28"/>
          <w:szCs w:val="28"/>
          <w:rtl/>
        </w:rPr>
        <w:t xml:space="preserve"> </w:t>
      </w:r>
      <w:r w:rsidRPr="006571AC">
        <w:rPr>
          <w:rFonts w:cs="DanaFajr" w:hint="eastAsia"/>
          <w:b/>
          <w:bCs/>
          <w:sz w:val="28"/>
          <w:szCs w:val="28"/>
          <w:rtl/>
        </w:rPr>
        <w:t>لِنَفْسٍ</w:t>
      </w:r>
      <w:r w:rsidRPr="006571AC">
        <w:rPr>
          <w:rFonts w:cs="DanaFajr"/>
          <w:b/>
          <w:bCs/>
          <w:sz w:val="28"/>
          <w:szCs w:val="28"/>
          <w:rtl/>
        </w:rPr>
        <w:t xml:space="preserve"> </w:t>
      </w:r>
      <w:r w:rsidRPr="006571AC">
        <w:rPr>
          <w:rFonts w:cs="DanaFajr" w:hint="eastAsia"/>
          <w:b/>
          <w:bCs/>
          <w:sz w:val="28"/>
          <w:szCs w:val="28"/>
          <w:rtl/>
        </w:rPr>
        <w:t>أَن</w:t>
      </w:r>
      <w:r w:rsidRPr="006571AC">
        <w:rPr>
          <w:rFonts w:cs="DanaFajr" w:hint="cs"/>
          <w:b/>
          <w:bCs/>
          <w:sz w:val="28"/>
          <w:szCs w:val="28"/>
          <w:rtl/>
        </w:rPr>
        <w:t>ْ</w:t>
      </w:r>
      <w:r w:rsidRPr="006571AC">
        <w:rPr>
          <w:rFonts w:cs="DanaFajr"/>
          <w:b/>
          <w:bCs/>
          <w:sz w:val="28"/>
          <w:szCs w:val="28"/>
          <w:rtl/>
        </w:rPr>
        <w:t xml:space="preserve"> </w:t>
      </w:r>
      <w:r w:rsidRPr="006571AC">
        <w:rPr>
          <w:rFonts w:cs="DanaFajr" w:hint="eastAsia"/>
          <w:b/>
          <w:bCs/>
          <w:sz w:val="28"/>
          <w:szCs w:val="28"/>
          <w:rtl/>
        </w:rPr>
        <w:t>تُؤْمِنَ</w:t>
      </w:r>
      <w:r w:rsidRPr="006571AC">
        <w:rPr>
          <w:rFonts w:cs="DanaFajr"/>
          <w:b/>
          <w:bCs/>
          <w:sz w:val="28"/>
          <w:szCs w:val="28"/>
          <w:rtl/>
        </w:rPr>
        <w:t xml:space="preserve"> </w:t>
      </w:r>
      <w:r w:rsidRPr="006571AC">
        <w:rPr>
          <w:rFonts w:cs="DanaFajr" w:hint="eastAsia"/>
          <w:b/>
          <w:bCs/>
          <w:sz w:val="28"/>
          <w:szCs w:val="28"/>
          <w:rtl/>
        </w:rPr>
        <w:t>إِلاّ</w:t>
      </w:r>
      <w:r w:rsidRPr="006571AC">
        <w:rPr>
          <w:rFonts w:cs="DanaFajr" w:hint="cs"/>
          <w:b/>
          <w:bCs/>
          <w:sz w:val="28"/>
          <w:szCs w:val="28"/>
          <w:rtl/>
        </w:rPr>
        <w:t>َ</w:t>
      </w:r>
      <w:r w:rsidRPr="006571AC">
        <w:rPr>
          <w:rFonts w:cs="DanaFajr"/>
          <w:b/>
          <w:bCs/>
          <w:sz w:val="28"/>
          <w:szCs w:val="28"/>
          <w:rtl/>
        </w:rPr>
        <w:t xml:space="preserve"> </w:t>
      </w:r>
      <w:r w:rsidRPr="006571AC">
        <w:rPr>
          <w:rFonts w:cs="DanaFajr" w:hint="eastAsia"/>
          <w:b/>
          <w:bCs/>
          <w:sz w:val="28"/>
          <w:szCs w:val="28"/>
          <w:rtl/>
        </w:rPr>
        <w:t>بِإِذْنِ</w:t>
      </w:r>
      <w:r w:rsidRPr="006571AC">
        <w:rPr>
          <w:rFonts w:cs="DanaFajr"/>
          <w:b/>
          <w:bCs/>
          <w:sz w:val="28"/>
          <w:szCs w:val="28"/>
          <w:rtl/>
        </w:rPr>
        <w:t xml:space="preserve"> </w:t>
      </w:r>
      <w:r w:rsidRPr="006571AC">
        <w:rPr>
          <w:rFonts w:cs="DanaFajr" w:hint="eastAsia"/>
          <w:b/>
          <w:bCs/>
          <w:sz w:val="28"/>
          <w:szCs w:val="28"/>
          <w:rtl/>
        </w:rPr>
        <w:t>اللهِ</w:t>
      </w:r>
      <w:r w:rsidRPr="006571AC">
        <w:rPr>
          <w:rFonts w:ascii="Mosawi" w:hAnsi="Mosawi" w:cs="Mosawi"/>
          <w:sz w:val="22"/>
          <w:szCs w:val="22"/>
          <w:rtl/>
        </w:rPr>
        <w:t>﴾</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فقال</w:t>
      </w:r>
      <w:r w:rsidRPr="006571AC">
        <w:rPr>
          <w:rFonts w:cs="DanaFajr"/>
          <w:sz w:val="28"/>
          <w:szCs w:val="28"/>
          <w:rtl/>
        </w:rPr>
        <w:t xml:space="preserve"> </w:t>
      </w:r>
      <w:r w:rsidRPr="006571AC">
        <w:rPr>
          <w:rFonts w:cs="DanaFajr" w:hint="eastAsia"/>
          <w:sz w:val="28"/>
          <w:szCs w:val="28"/>
          <w:rtl/>
        </w:rPr>
        <w:t>الرضا</w:t>
      </w:r>
      <w:r w:rsidRPr="006571AC">
        <w:rPr>
          <w:rFonts w:ascii="Mosawi" w:hAnsi="Mosawi" w:cs="Mosawi"/>
          <w:rtl/>
        </w:rPr>
        <w:t>×</w:t>
      </w:r>
      <w:r w:rsidRPr="006571AC">
        <w:rPr>
          <w:rFonts w:cs="DanaFajr"/>
          <w:sz w:val="28"/>
          <w:szCs w:val="28"/>
          <w:rtl/>
        </w:rPr>
        <w:t xml:space="preserve">: </w:t>
      </w:r>
      <w:r w:rsidRPr="006571AC">
        <w:rPr>
          <w:rFonts w:cs="DanaFajr" w:hint="eastAsia"/>
          <w:sz w:val="28"/>
          <w:szCs w:val="28"/>
          <w:rtl/>
        </w:rPr>
        <w:t>حد</w:t>
      </w:r>
      <w:r w:rsidRPr="006571AC">
        <w:rPr>
          <w:rFonts w:cs="DanaFajr" w:hint="cs"/>
          <w:sz w:val="28"/>
          <w:szCs w:val="28"/>
          <w:rtl/>
        </w:rPr>
        <w:t>َّ</w:t>
      </w:r>
      <w:r w:rsidRPr="006571AC">
        <w:rPr>
          <w:rFonts w:cs="DanaFajr" w:hint="eastAsia"/>
          <w:sz w:val="28"/>
          <w:szCs w:val="28"/>
          <w:rtl/>
        </w:rPr>
        <w:t>ثني</w:t>
      </w:r>
      <w:r w:rsidRPr="006571AC">
        <w:rPr>
          <w:rFonts w:cs="DanaFajr"/>
          <w:sz w:val="28"/>
          <w:szCs w:val="28"/>
          <w:rtl/>
        </w:rPr>
        <w:t xml:space="preserve"> </w:t>
      </w:r>
      <w:r w:rsidRPr="006571AC">
        <w:rPr>
          <w:rFonts w:cs="DanaFajr" w:hint="eastAsia"/>
          <w:sz w:val="28"/>
          <w:szCs w:val="28"/>
          <w:rtl/>
        </w:rPr>
        <w:t>أبي</w:t>
      </w:r>
      <w:r w:rsidRPr="006571AC">
        <w:rPr>
          <w:rFonts w:cs="DanaFajr"/>
          <w:sz w:val="28"/>
          <w:szCs w:val="28"/>
          <w:rtl/>
        </w:rPr>
        <w:t xml:space="preserve"> </w:t>
      </w:r>
      <w:r w:rsidRPr="006571AC">
        <w:rPr>
          <w:rFonts w:cs="DanaFajr" w:hint="eastAsia"/>
          <w:sz w:val="28"/>
          <w:szCs w:val="28"/>
          <w:rtl/>
        </w:rPr>
        <w:t>موسى</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جعفر،</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أبيه</w:t>
      </w:r>
      <w:r w:rsidRPr="006571AC">
        <w:rPr>
          <w:rFonts w:cs="DanaFajr"/>
          <w:sz w:val="28"/>
          <w:szCs w:val="28"/>
          <w:rtl/>
        </w:rPr>
        <w:t xml:space="preserve"> </w:t>
      </w:r>
      <w:r w:rsidRPr="006571AC">
        <w:rPr>
          <w:rFonts w:cs="DanaFajr" w:hint="eastAsia"/>
          <w:sz w:val="28"/>
          <w:szCs w:val="28"/>
          <w:rtl/>
        </w:rPr>
        <w:t>جعفر</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محمد،</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أبيه</w:t>
      </w:r>
      <w:r w:rsidRPr="006571AC">
        <w:rPr>
          <w:rFonts w:cs="DanaFajr"/>
          <w:sz w:val="28"/>
          <w:szCs w:val="28"/>
          <w:rtl/>
        </w:rPr>
        <w:t xml:space="preserve"> </w:t>
      </w:r>
      <w:r w:rsidRPr="006571AC">
        <w:rPr>
          <w:rFonts w:cs="DanaFajr" w:hint="eastAsia"/>
          <w:sz w:val="28"/>
          <w:szCs w:val="28"/>
          <w:rtl/>
        </w:rPr>
        <w:t>محمد</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علي،</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أبيه</w:t>
      </w:r>
      <w:r w:rsidRPr="006571AC">
        <w:rPr>
          <w:rFonts w:cs="DanaFajr"/>
          <w:sz w:val="28"/>
          <w:szCs w:val="28"/>
          <w:rtl/>
        </w:rPr>
        <w:t xml:space="preserve"> </w:t>
      </w:r>
      <w:r w:rsidRPr="006571AC">
        <w:rPr>
          <w:rFonts w:cs="DanaFajr" w:hint="eastAsia"/>
          <w:sz w:val="28"/>
          <w:szCs w:val="28"/>
          <w:rtl/>
        </w:rPr>
        <w:t>علي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الحسين،</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أبيه</w:t>
      </w:r>
      <w:r w:rsidRPr="006571AC">
        <w:rPr>
          <w:rFonts w:cs="DanaFajr"/>
          <w:sz w:val="28"/>
          <w:szCs w:val="28"/>
          <w:rtl/>
        </w:rPr>
        <w:t xml:space="preserve"> </w:t>
      </w:r>
      <w:r w:rsidRPr="006571AC">
        <w:rPr>
          <w:rFonts w:cs="DanaFajr" w:hint="eastAsia"/>
          <w:sz w:val="28"/>
          <w:szCs w:val="28"/>
          <w:rtl/>
        </w:rPr>
        <w:t>الحسين</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علي</w:t>
      </w:r>
      <w:r w:rsidRPr="006571AC">
        <w:rPr>
          <w:rFonts w:cs="DanaFajr" w:hint="cs"/>
          <w:sz w:val="28"/>
          <w:szCs w:val="28"/>
          <w:rtl/>
        </w:rPr>
        <w:t>ّ</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أبيه</w:t>
      </w:r>
      <w:r w:rsidRPr="006571AC">
        <w:rPr>
          <w:rFonts w:cs="DanaFajr"/>
          <w:sz w:val="28"/>
          <w:szCs w:val="28"/>
          <w:rtl/>
        </w:rPr>
        <w:t xml:space="preserve"> </w:t>
      </w:r>
      <w:r w:rsidRPr="006571AC">
        <w:rPr>
          <w:rFonts w:cs="DanaFajr" w:hint="eastAsia"/>
          <w:sz w:val="28"/>
          <w:szCs w:val="28"/>
          <w:rtl/>
        </w:rPr>
        <w:t>علي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أبي</w:t>
      </w:r>
      <w:r w:rsidRPr="006571AC">
        <w:rPr>
          <w:rFonts w:cs="DanaFajr"/>
          <w:sz w:val="28"/>
          <w:szCs w:val="28"/>
          <w:rtl/>
        </w:rPr>
        <w:t xml:space="preserve"> </w:t>
      </w:r>
      <w:r w:rsidRPr="006571AC">
        <w:rPr>
          <w:rFonts w:cs="DanaFajr" w:hint="eastAsia"/>
          <w:sz w:val="28"/>
          <w:szCs w:val="28"/>
          <w:rtl/>
        </w:rPr>
        <w:t>طالب</w:t>
      </w:r>
      <w:r w:rsidRPr="006571AC">
        <w:rPr>
          <w:rFonts w:ascii="Mosawi" w:hAnsi="Mosawi" w:cs="Mosawi"/>
          <w:rtl/>
        </w:rPr>
        <w:t>×</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المسلمين</w:t>
      </w:r>
      <w:r w:rsidRPr="006571AC">
        <w:rPr>
          <w:rFonts w:cs="DanaFajr"/>
          <w:sz w:val="28"/>
          <w:szCs w:val="28"/>
          <w:rtl/>
        </w:rPr>
        <w:t xml:space="preserve"> </w:t>
      </w:r>
      <w:r w:rsidRPr="006571AC">
        <w:rPr>
          <w:rFonts w:cs="DanaFajr" w:hint="eastAsia"/>
          <w:sz w:val="28"/>
          <w:szCs w:val="28"/>
          <w:rtl/>
        </w:rPr>
        <w:t>قالوا</w:t>
      </w:r>
      <w:r w:rsidRPr="006571AC">
        <w:rPr>
          <w:rFonts w:cs="DanaFajr"/>
          <w:sz w:val="28"/>
          <w:szCs w:val="28"/>
          <w:rtl/>
        </w:rPr>
        <w:t xml:space="preserve"> </w:t>
      </w:r>
      <w:r w:rsidRPr="006571AC">
        <w:rPr>
          <w:rFonts w:cs="DanaFajr" w:hint="eastAsia"/>
          <w:sz w:val="28"/>
          <w:szCs w:val="28"/>
          <w:rtl/>
        </w:rPr>
        <w:t>لرسول</w:t>
      </w:r>
      <w:r w:rsidRPr="006571AC">
        <w:rPr>
          <w:rFonts w:cs="DanaFajr"/>
          <w:sz w:val="28"/>
          <w:szCs w:val="28"/>
          <w:rtl/>
        </w:rPr>
        <w:t xml:space="preserve"> </w:t>
      </w:r>
      <w:r w:rsidRPr="006571AC">
        <w:rPr>
          <w:rFonts w:cs="DanaFajr" w:hint="eastAsia"/>
          <w:sz w:val="28"/>
          <w:szCs w:val="28"/>
          <w:rtl/>
        </w:rPr>
        <w:t>الله</w:t>
      </w:r>
      <w:r w:rsidRPr="006571AC">
        <w:rPr>
          <w:rFonts w:ascii="Mosawi" w:hAnsi="Mosawi" w:cs="Mosawi"/>
          <w:rtl/>
        </w:rPr>
        <w:t>|</w:t>
      </w:r>
      <w:r w:rsidRPr="006571AC">
        <w:rPr>
          <w:rFonts w:cs="DanaFajr"/>
          <w:sz w:val="28"/>
          <w:szCs w:val="28"/>
          <w:rtl/>
        </w:rPr>
        <w:t xml:space="preserve">: </w:t>
      </w:r>
      <w:r w:rsidRPr="006571AC">
        <w:rPr>
          <w:rFonts w:cs="DanaFajr" w:hint="eastAsia"/>
          <w:sz w:val="28"/>
          <w:szCs w:val="28"/>
          <w:rtl/>
        </w:rPr>
        <w:t>لو</w:t>
      </w:r>
      <w:r w:rsidRPr="006571AC">
        <w:rPr>
          <w:rFonts w:cs="DanaFajr"/>
          <w:sz w:val="28"/>
          <w:szCs w:val="28"/>
          <w:rtl/>
        </w:rPr>
        <w:t xml:space="preserve"> </w:t>
      </w:r>
      <w:r w:rsidRPr="006571AC">
        <w:rPr>
          <w:rFonts w:cs="DanaFajr" w:hint="eastAsia"/>
          <w:sz w:val="28"/>
          <w:szCs w:val="28"/>
          <w:rtl/>
        </w:rPr>
        <w:t>أكره</w:t>
      </w:r>
      <w:r w:rsidRPr="006571AC">
        <w:rPr>
          <w:rFonts w:cs="DanaFajr" w:hint="cs"/>
          <w:sz w:val="28"/>
          <w:szCs w:val="28"/>
          <w:rtl/>
        </w:rPr>
        <w:t>ْ</w:t>
      </w:r>
      <w:r w:rsidRPr="006571AC">
        <w:rPr>
          <w:rFonts w:cs="DanaFajr" w:hint="eastAsia"/>
          <w:sz w:val="28"/>
          <w:szCs w:val="28"/>
          <w:rtl/>
        </w:rPr>
        <w:t>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يا</w:t>
      </w:r>
      <w:r w:rsidRPr="006571AC">
        <w:rPr>
          <w:rFonts w:cs="DanaFajr"/>
          <w:sz w:val="28"/>
          <w:szCs w:val="28"/>
          <w:rtl/>
        </w:rPr>
        <w:t xml:space="preserve"> </w:t>
      </w:r>
      <w:r w:rsidRPr="006571AC">
        <w:rPr>
          <w:rFonts w:cs="DanaFajr" w:hint="eastAsia"/>
          <w:sz w:val="28"/>
          <w:szCs w:val="28"/>
          <w:rtl/>
        </w:rPr>
        <w:t>رسول</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م</w:t>
      </w:r>
      <w:r w:rsidRPr="006571AC">
        <w:rPr>
          <w:rFonts w:cs="DanaFajr" w:hint="cs"/>
          <w:sz w:val="28"/>
          <w:szCs w:val="28"/>
          <w:rtl/>
        </w:rPr>
        <w:t>َ</w:t>
      </w:r>
      <w:r w:rsidRPr="006571AC">
        <w:rPr>
          <w:rFonts w:cs="DanaFajr" w:hint="eastAsia"/>
          <w:sz w:val="28"/>
          <w:szCs w:val="28"/>
          <w:rtl/>
        </w:rPr>
        <w:t>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قدر</w:t>
      </w:r>
      <w:r w:rsidRPr="006571AC">
        <w:rPr>
          <w:rFonts w:cs="DanaFajr" w:hint="cs"/>
          <w:sz w:val="28"/>
          <w:szCs w:val="28"/>
          <w:rtl/>
        </w:rPr>
        <w:t>ْ</w:t>
      </w:r>
      <w:r w:rsidRPr="006571AC">
        <w:rPr>
          <w:rFonts w:cs="DanaFajr" w:hint="eastAsia"/>
          <w:sz w:val="28"/>
          <w:szCs w:val="28"/>
          <w:rtl/>
        </w:rPr>
        <w:t>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عليه</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الناس</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الإسلام</w:t>
      </w:r>
      <w:r w:rsidRPr="006571AC">
        <w:rPr>
          <w:rFonts w:cs="DanaFajr"/>
          <w:sz w:val="28"/>
          <w:szCs w:val="28"/>
          <w:rtl/>
        </w:rPr>
        <w:t xml:space="preserve"> </w:t>
      </w:r>
      <w:r w:rsidRPr="006571AC">
        <w:rPr>
          <w:rFonts w:cs="DanaFajr" w:hint="eastAsia"/>
          <w:sz w:val="28"/>
          <w:szCs w:val="28"/>
          <w:rtl/>
        </w:rPr>
        <w:t>كثر</w:t>
      </w:r>
      <w:r w:rsidRPr="006571AC">
        <w:rPr>
          <w:rFonts w:cs="DanaFajr"/>
          <w:sz w:val="28"/>
          <w:szCs w:val="28"/>
          <w:rtl/>
        </w:rPr>
        <w:t xml:space="preserve"> </w:t>
      </w:r>
      <w:r w:rsidRPr="006571AC">
        <w:rPr>
          <w:rFonts w:cs="DanaFajr" w:hint="eastAsia"/>
          <w:sz w:val="28"/>
          <w:szCs w:val="28"/>
          <w:rtl/>
        </w:rPr>
        <w:t>عددنا</w:t>
      </w:r>
      <w:r w:rsidRPr="006571AC">
        <w:rPr>
          <w:rFonts w:cs="DanaFajr"/>
          <w:sz w:val="28"/>
          <w:szCs w:val="28"/>
          <w:rtl/>
        </w:rPr>
        <w:t xml:space="preserve"> </w:t>
      </w:r>
      <w:r w:rsidRPr="006571AC">
        <w:rPr>
          <w:rFonts w:cs="DanaFajr" w:hint="eastAsia"/>
          <w:sz w:val="28"/>
          <w:szCs w:val="28"/>
          <w:rtl/>
        </w:rPr>
        <w:t>وقوينا</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عدو</w:t>
      </w:r>
      <w:r w:rsidRPr="006571AC">
        <w:rPr>
          <w:rFonts w:cs="DanaFajr" w:hint="cs"/>
          <w:sz w:val="28"/>
          <w:szCs w:val="28"/>
          <w:rtl/>
        </w:rPr>
        <w:t>ّ</w:t>
      </w:r>
      <w:r w:rsidRPr="006571AC">
        <w:rPr>
          <w:rFonts w:cs="DanaFajr" w:hint="eastAsia"/>
          <w:sz w:val="28"/>
          <w:szCs w:val="28"/>
          <w:rtl/>
        </w:rPr>
        <w:t>نا،</w:t>
      </w:r>
      <w:r w:rsidRPr="006571AC">
        <w:rPr>
          <w:rFonts w:cs="DanaFajr"/>
          <w:sz w:val="28"/>
          <w:szCs w:val="28"/>
          <w:rtl/>
        </w:rPr>
        <w:t xml:space="preserve"> </w:t>
      </w:r>
      <w:r w:rsidRPr="006571AC">
        <w:rPr>
          <w:rFonts w:cs="DanaFajr" w:hint="eastAsia"/>
          <w:sz w:val="28"/>
          <w:szCs w:val="28"/>
          <w:rtl/>
        </w:rPr>
        <w:t>فقال</w:t>
      </w:r>
      <w:r w:rsidRPr="006571AC">
        <w:rPr>
          <w:rFonts w:cs="DanaFajr"/>
          <w:sz w:val="28"/>
          <w:szCs w:val="28"/>
          <w:rtl/>
        </w:rPr>
        <w:t xml:space="preserve"> </w:t>
      </w:r>
      <w:r w:rsidRPr="006571AC">
        <w:rPr>
          <w:rFonts w:cs="DanaFajr" w:hint="eastAsia"/>
          <w:sz w:val="28"/>
          <w:szCs w:val="28"/>
          <w:rtl/>
        </w:rPr>
        <w:t>رسول</w:t>
      </w:r>
      <w:r w:rsidRPr="006571AC">
        <w:rPr>
          <w:rFonts w:cs="DanaFajr"/>
          <w:sz w:val="28"/>
          <w:szCs w:val="28"/>
          <w:rtl/>
        </w:rPr>
        <w:t xml:space="preserve"> </w:t>
      </w:r>
      <w:r w:rsidRPr="006571AC">
        <w:rPr>
          <w:rFonts w:cs="DanaFajr" w:hint="eastAsia"/>
          <w:sz w:val="28"/>
          <w:szCs w:val="28"/>
          <w:rtl/>
        </w:rPr>
        <w:t>الله</w:t>
      </w:r>
      <w:r w:rsidRPr="006571AC">
        <w:rPr>
          <w:rFonts w:ascii="Mosawi" w:hAnsi="Mosawi" w:cs="Mosawi"/>
          <w:rtl/>
        </w:rPr>
        <w:t>|</w:t>
      </w:r>
      <w:r w:rsidRPr="006571AC">
        <w:rPr>
          <w:rFonts w:cs="DanaFajr"/>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كنت</w:t>
      </w:r>
      <w:r w:rsidRPr="006571AC">
        <w:rPr>
          <w:rFonts w:cs="DanaFajr"/>
          <w:sz w:val="28"/>
          <w:szCs w:val="28"/>
          <w:rtl/>
        </w:rPr>
        <w:t xml:space="preserve"> </w:t>
      </w:r>
      <w:r w:rsidRPr="006571AC">
        <w:rPr>
          <w:rFonts w:cs="DanaFajr" w:hint="eastAsia"/>
          <w:sz w:val="28"/>
          <w:szCs w:val="28"/>
          <w:rtl/>
        </w:rPr>
        <w:t>لألقى</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عز</w:t>
      </w:r>
      <w:r w:rsidRPr="006571AC">
        <w:rPr>
          <w:rFonts w:cs="DanaFajr" w:hint="cs"/>
          <w:sz w:val="28"/>
          <w:szCs w:val="28"/>
          <w:rtl/>
        </w:rPr>
        <w:t xml:space="preserve">َّ </w:t>
      </w:r>
      <w:r w:rsidRPr="006571AC">
        <w:rPr>
          <w:rFonts w:cs="DanaFajr" w:hint="eastAsia"/>
          <w:sz w:val="28"/>
          <w:szCs w:val="28"/>
          <w:rtl/>
        </w:rPr>
        <w:t>وجل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بب</w:t>
      </w:r>
      <w:r w:rsidRPr="006571AC">
        <w:rPr>
          <w:rFonts w:cs="DanaFajr" w:hint="cs"/>
          <w:sz w:val="28"/>
          <w:szCs w:val="28"/>
          <w:rtl/>
        </w:rPr>
        <w:t>ِ</w:t>
      </w:r>
      <w:r w:rsidRPr="006571AC">
        <w:rPr>
          <w:rFonts w:cs="DanaFajr" w:hint="eastAsia"/>
          <w:sz w:val="28"/>
          <w:szCs w:val="28"/>
          <w:rtl/>
        </w:rPr>
        <w:t>د</w:t>
      </w:r>
      <w:r w:rsidRPr="006571AC">
        <w:rPr>
          <w:rFonts w:cs="DanaFajr" w:hint="cs"/>
          <w:sz w:val="28"/>
          <w:szCs w:val="28"/>
          <w:rtl/>
        </w:rPr>
        <w:t>ْ</w:t>
      </w:r>
      <w:r w:rsidRPr="006571AC">
        <w:rPr>
          <w:rFonts w:cs="DanaFajr" w:hint="eastAsia"/>
          <w:sz w:val="28"/>
          <w:szCs w:val="28"/>
          <w:rtl/>
        </w:rPr>
        <w:t>ع</w:t>
      </w:r>
      <w:r w:rsidRPr="006571AC">
        <w:rPr>
          <w:rFonts w:cs="DanaFajr" w:hint="cs"/>
          <w:sz w:val="28"/>
          <w:szCs w:val="28"/>
          <w:rtl/>
        </w:rPr>
        <w:t>َ</w:t>
      </w:r>
      <w:r w:rsidRPr="006571AC">
        <w:rPr>
          <w:rFonts w:cs="DanaFajr" w:hint="eastAsia"/>
          <w:sz w:val="28"/>
          <w:szCs w:val="28"/>
          <w:rtl/>
        </w:rPr>
        <w:t>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لم</w:t>
      </w:r>
      <w:r w:rsidRPr="006571AC">
        <w:rPr>
          <w:rFonts w:cs="DanaFajr"/>
          <w:sz w:val="28"/>
          <w:szCs w:val="28"/>
          <w:rtl/>
        </w:rPr>
        <w:t xml:space="preserve"> </w:t>
      </w:r>
      <w:r w:rsidRPr="006571AC">
        <w:rPr>
          <w:rFonts w:cs="DanaFajr" w:hint="eastAsia"/>
          <w:sz w:val="28"/>
          <w:szCs w:val="28"/>
          <w:rtl/>
        </w:rPr>
        <w:t>يحدث</w:t>
      </w:r>
      <w:r w:rsidRPr="006571AC">
        <w:rPr>
          <w:rFonts w:cs="DanaFajr"/>
          <w:sz w:val="28"/>
          <w:szCs w:val="28"/>
          <w:rtl/>
        </w:rPr>
        <w:t xml:space="preserve"> </w:t>
      </w:r>
      <w:r w:rsidRPr="006571AC">
        <w:rPr>
          <w:rFonts w:cs="DanaFajr" w:hint="eastAsia"/>
          <w:sz w:val="28"/>
          <w:szCs w:val="28"/>
          <w:rtl/>
        </w:rPr>
        <w:t>إلي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فيها</w:t>
      </w:r>
      <w:r w:rsidRPr="006571AC">
        <w:rPr>
          <w:rFonts w:cs="DanaFajr"/>
          <w:sz w:val="28"/>
          <w:szCs w:val="28"/>
          <w:rtl/>
        </w:rPr>
        <w:t xml:space="preserve"> </w:t>
      </w:r>
      <w:r w:rsidRPr="006571AC">
        <w:rPr>
          <w:rFonts w:cs="DanaFajr" w:hint="eastAsia"/>
          <w:sz w:val="28"/>
          <w:szCs w:val="28"/>
          <w:rtl/>
        </w:rPr>
        <w:t>شيئا</w:t>
      </w:r>
      <w:r w:rsidRPr="006571AC">
        <w:rPr>
          <w:rFonts w:cs="DanaFajr" w:hint="cs"/>
          <w:sz w:val="28"/>
          <w:szCs w:val="28"/>
          <w:rtl/>
        </w:rPr>
        <w:t>ً</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وما</w:t>
      </w:r>
      <w:r w:rsidRPr="006571AC">
        <w:rPr>
          <w:rFonts w:cs="DanaFajr"/>
          <w:sz w:val="28"/>
          <w:szCs w:val="28"/>
          <w:rtl/>
        </w:rPr>
        <w:t xml:space="preserve"> </w:t>
      </w:r>
      <w:r w:rsidRPr="006571AC">
        <w:rPr>
          <w:rFonts w:cs="DanaFajr" w:hint="eastAsia"/>
          <w:sz w:val="28"/>
          <w:szCs w:val="28"/>
          <w:rtl/>
        </w:rPr>
        <w:t>أنا</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المتكل</w:t>
      </w:r>
      <w:r w:rsidRPr="006571AC">
        <w:rPr>
          <w:rFonts w:cs="DanaFajr" w:hint="cs"/>
          <w:sz w:val="28"/>
          <w:szCs w:val="28"/>
          <w:rtl/>
        </w:rPr>
        <w:t>َّ</w:t>
      </w:r>
      <w:r w:rsidRPr="006571AC">
        <w:rPr>
          <w:rFonts w:cs="DanaFajr" w:hint="eastAsia"/>
          <w:sz w:val="28"/>
          <w:szCs w:val="28"/>
          <w:rtl/>
        </w:rPr>
        <w:t>فين،</w:t>
      </w:r>
      <w:r w:rsidRPr="006571AC">
        <w:rPr>
          <w:rFonts w:cs="DanaFajr"/>
          <w:sz w:val="28"/>
          <w:szCs w:val="28"/>
          <w:rtl/>
        </w:rPr>
        <w:t xml:space="preserve"> </w:t>
      </w:r>
      <w:r w:rsidRPr="006571AC">
        <w:rPr>
          <w:rFonts w:cs="DanaFajr" w:hint="eastAsia"/>
          <w:sz w:val="28"/>
          <w:szCs w:val="28"/>
          <w:rtl/>
        </w:rPr>
        <w:t>فأنزل</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تبارك</w:t>
      </w:r>
      <w:r w:rsidRPr="006571AC">
        <w:rPr>
          <w:rFonts w:cs="DanaFajr"/>
          <w:sz w:val="28"/>
          <w:szCs w:val="28"/>
          <w:rtl/>
        </w:rPr>
        <w:t xml:space="preserve"> </w:t>
      </w:r>
      <w:r w:rsidRPr="006571AC">
        <w:rPr>
          <w:rFonts w:cs="DanaFajr" w:hint="eastAsia"/>
          <w:sz w:val="28"/>
          <w:szCs w:val="28"/>
          <w:rtl/>
        </w:rPr>
        <w:t>وتعالى</w:t>
      </w:r>
      <w:r w:rsidRPr="006571AC">
        <w:rPr>
          <w:rFonts w:cs="DanaFajr"/>
          <w:sz w:val="28"/>
          <w:szCs w:val="28"/>
          <w:rtl/>
        </w:rPr>
        <w:t xml:space="preserve">: </w:t>
      </w:r>
      <w:r w:rsidRPr="006571AC">
        <w:rPr>
          <w:rFonts w:cs="DanaFajr" w:hint="eastAsia"/>
          <w:sz w:val="28"/>
          <w:szCs w:val="28"/>
          <w:rtl/>
        </w:rPr>
        <w:t>يا</w:t>
      </w:r>
      <w:r w:rsidRPr="006571AC">
        <w:rPr>
          <w:rFonts w:cs="DanaFajr"/>
          <w:sz w:val="28"/>
          <w:szCs w:val="28"/>
          <w:rtl/>
        </w:rPr>
        <w:t xml:space="preserve"> </w:t>
      </w:r>
      <w:r w:rsidRPr="006571AC">
        <w:rPr>
          <w:rFonts w:cs="DanaFajr" w:hint="eastAsia"/>
          <w:sz w:val="28"/>
          <w:szCs w:val="28"/>
          <w:rtl/>
        </w:rPr>
        <w:t>محمد</w:t>
      </w:r>
      <w:r w:rsidRPr="006571AC">
        <w:rPr>
          <w:rFonts w:cs="DanaFajr"/>
          <w:sz w:val="28"/>
          <w:szCs w:val="28"/>
          <w:rtl/>
        </w:rPr>
        <w:t xml:space="preserve"> </w:t>
      </w:r>
      <w:r w:rsidRPr="006571AC">
        <w:rPr>
          <w:rFonts w:ascii="Mosawi" w:hAnsi="Mosawi" w:cs="Mosawi"/>
          <w:sz w:val="22"/>
          <w:szCs w:val="22"/>
          <w:rtl/>
        </w:rPr>
        <w:t>﴿</w:t>
      </w:r>
      <w:r w:rsidRPr="006571AC">
        <w:rPr>
          <w:rFonts w:cs="DanaFajr" w:hint="eastAsia"/>
          <w:b/>
          <w:bCs/>
          <w:sz w:val="28"/>
          <w:szCs w:val="28"/>
          <w:rtl/>
        </w:rPr>
        <w:t>وَلَوْ</w:t>
      </w:r>
      <w:r w:rsidRPr="006571AC">
        <w:rPr>
          <w:rFonts w:cs="DanaFajr"/>
          <w:b/>
          <w:bCs/>
          <w:sz w:val="28"/>
          <w:szCs w:val="28"/>
          <w:rtl/>
        </w:rPr>
        <w:t xml:space="preserve"> </w:t>
      </w:r>
      <w:r w:rsidRPr="006571AC">
        <w:rPr>
          <w:rFonts w:cs="DanaFajr" w:hint="eastAsia"/>
          <w:b/>
          <w:bCs/>
          <w:sz w:val="28"/>
          <w:szCs w:val="28"/>
          <w:rtl/>
        </w:rPr>
        <w:t>شَاءَ</w:t>
      </w:r>
      <w:r w:rsidRPr="006571AC">
        <w:rPr>
          <w:rFonts w:cs="DanaFajr"/>
          <w:b/>
          <w:bCs/>
          <w:sz w:val="28"/>
          <w:szCs w:val="28"/>
          <w:rtl/>
        </w:rPr>
        <w:t xml:space="preserve"> </w:t>
      </w:r>
      <w:r w:rsidRPr="006571AC">
        <w:rPr>
          <w:rFonts w:cs="DanaFajr" w:hint="eastAsia"/>
          <w:b/>
          <w:bCs/>
          <w:sz w:val="28"/>
          <w:szCs w:val="28"/>
          <w:rtl/>
        </w:rPr>
        <w:t>رَب</w:t>
      </w:r>
      <w:r w:rsidRPr="006571AC">
        <w:rPr>
          <w:rFonts w:cs="DanaFajr" w:hint="cs"/>
          <w:b/>
          <w:bCs/>
          <w:sz w:val="28"/>
          <w:szCs w:val="28"/>
          <w:rtl/>
        </w:rPr>
        <w:t>ُّ</w:t>
      </w:r>
      <w:r w:rsidRPr="006571AC">
        <w:rPr>
          <w:rFonts w:cs="DanaFajr" w:hint="eastAsia"/>
          <w:b/>
          <w:bCs/>
          <w:sz w:val="28"/>
          <w:szCs w:val="28"/>
          <w:rtl/>
        </w:rPr>
        <w:t>كَ</w:t>
      </w:r>
      <w:r w:rsidRPr="006571AC">
        <w:rPr>
          <w:rFonts w:cs="DanaFajr"/>
          <w:b/>
          <w:bCs/>
          <w:sz w:val="28"/>
          <w:szCs w:val="28"/>
          <w:rtl/>
        </w:rPr>
        <w:t xml:space="preserve"> </w:t>
      </w:r>
      <w:r w:rsidRPr="006571AC">
        <w:rPr>
          <w:rFonts w:cs="DanaFajr" w:hint="eastAsia"/>
          <w:b/>
          <w:bCs/>
          <w:sz w:val="28"/>
          <w:szCs w:val="28"/>
          <w:rtl/>
        </w:rPr>
        <w:t>لآمَنَ</w:t>
      </w:r>
      <w:r w:rsidRPr="006571AC">
        <w:rPr>
          <w:rFonts w:cs="DanaFajr"/>
          <w:b/>
          <w:bCs/>
          <w:sz w:val="28"/>
          <w:szCs w:val="28"/>
          <w:rtl/>
        </w:rPr>
        <w:t xml:space="preserve"> </w:t>
      </w:r>
      <w:r w:rsidRPr="006571AC">
        <w:rPr>
          <w:rFonts w:cs="DanaFajr" w:hint="eastAsia"/>
          <w:b/>
          <w:bCs/>
          <w:sz w:val="28"/>
          <w:szCs w:val="28"/>
          <w:rtl/>
        </w:rPr>
        <w:t>مَنْ</w:t>
      </w:r>
      <w:r w:rsidRPr="006571AC">
        <w:rPr>
          <w:rFonts w:cs="DanaFajr"/>
          <w:b/>
          <w:bCs/>
          <w:sz w:val="28"/>
          <w:szCs w:val="28"/>
          <w:rtl/>
        </w:rPr>
        <w:t xml:space="preserve"> </w:t>
      </w:r>
      <w:r w:rsidRPr="006571AC">
        <w:rPr>
          <w:rFonts w:cs="DanaFajr" w:hint="eastAsia"/>
          <w:b/>
          <w:bCs/>
          <w:sz w:val="28"/>
          <w:szCs w:val="28"/>
          <w:rtl/>
        </w:rPr>
        <w:t>فِي</w:t>
      </w:r>
      <w:r w:rsidRPr="006571AC">
        <w:rPr>
          <w:rFonts w:cs="DanaFajr"/>
          <w:b/>
          <w:bCs/>
          <w:sz w:val="28"/>
          <w:szCs w:val="28"/>
          <w:rtl/>
        </w:rPr>
        <w:t xml:space="preserve"> </w:t>
      </w:r>
      <w:r w:rsidRPr="006571AC">
        <w:rPr>
          <w:rFonts w:cs="DanaFajr" w:hint="eastAsia"/>
          <w:b/>
          <w:bCs/>
          <w:sz w:val="28"/>
          <w:szCs w:val="28"/>
          <w:rtl/>
        </w:rPr>
        <w:t>الأَرْضِ</w:t>
      </w:r>
      <w:r w:rsidRPr="006571AC">
        <w:rPr>
          <w:rFonts w:cs="DanaFajr"/>
          <w:b/>
          <w:bCs/>
          <w:sz w:val="28"/>
          <w:szCs w:val="28"/>
          <w:rtl/>
        </w:rPr>
        <w:t xml:space="preserve"> </w:t>
      </w:r>
      <w:r w:rsidRPr="006571AC">
        <w:rPr>
          <w:rFonts w:cs="DanaFajr" w:hint="eastAsia"/>
          <w:b/>
          <w:bCs/>
          <w:sz w:val="28"/>
          <w:szCs w:val="28"/>
          <w:rtl/>
        </w:rPr>
        <w:t>كُل</w:t>
      </w:r>
      <w:r w:rsidRPr="006571AC">
        <w:rPr>
          <w:rFonts w:cs="DanaFajr" w:hint="cs"/>
          <w:b/>
          <w:bCs/>
          <w:sz w:val="28"/>
          <w:szCs w:val="28"/>
          <w:rtl/>
        </w:rPr>
        <w:t>ُّ</w:t>
      </w:r>
      <w:r w:rsidRPr="006571AC">
        <w:rPr>
          <w:rFonts w:cs="DanaFajr" w:hint="eastAsia"/>
          <w:b/>
          <w:bCs/>
          <w:sz w:val="28"/>
          <w:szCs w:val="28"/>
          <w:rtl/>
        </w:rPr>
        <w:t>هُمْ</w:t>
      </w:r>
      <w:r w:rsidRPr="006571AC">
        <w:rPr>
          <w:rFonts w:cs="DanaFajr"/>
          <w:b/>
          <w:bCs/>
          <w:sz w:val="28"/>
          <w:szCs w:val="28"/>
          <w:rtl/>
        </w:rPr>
        <w:t xml:space="preserve"> </w:t>
      </w:r>
      <w:r w:rsidRPr="006571AC">
        <w:rPr>
          <w:rFonts w:cs="DanaFajr" w:hint="eastAsia"/>
          <w:b/>
          <w:bCs/>
          <w:sz w:val="28"/>
          <w:szCs w:val="28"/>
          <w:rtl/>
        </w:rPr>
        <w:t>جَمِيعاً</w:t>
      </w:r>
      <w:r w:rsidRPr="006571AC">
        <w:rPr>
          <w:rFonts w:ascii="Mosawi" w:hAnsi="Mosawi" w:cs="Mosawi"/>
          <w:sz w:val="22"/>
          <w:szCs w:val="22"/>
          <w:rtl/>
        </w:rPr>
        <w:t>﴾</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سبيل</w:t>
      </w:r>
      <w:r w:rsidRPr="006571AC">
        <w:rPr>
          <w:rFonts w:cs="DanaFajr"/>
          <w:sz w:val="28"/>
          <w:szCs w:val="28"/>
          <w:rtl/>
        </w:rPr>
        <w:t xml:space="preserve"> </w:t>
      </w:r>
      <w:r w:rsidRPr="006571AC">
        <w:rPr>
          <w:rFonts w:cs="DanaFajr" w:hint="eastAsia"/>
          <w:sz w:val="28"/>
          <w:szCs w:val="28"/>
          <w:rtl/>
        </w:rPr>
        <w:t>ال</w:t>
      </w:r>
      <w:r w:rsidRPr="006571AC">
        <w:rPr>
          <w:rFonts w:cs="DanaFajr" w:hint="cs"/>
          <w:sz w:val="28"/>
          <w:szCs w:val="28"/>
          <w:rtl/>
        </w:rPr>
        <w:t>إ</w:t>
      </w:r>
      <w:r w:rsidRPr="006571AC">
        <w:rPr>
          <w:rFonts w:cs="DanaFajr" w:hint="eastAsia"/>
          <w:sz w:val="28"/>
          <w:szCs w:val="28"/>
          <w:rtl/>
        </w:rPr>
        <w:t>لجاء</w:t>
      </w:r>
      <w:r w:rsidRPr="006571AC">
        <w:rPr>
          <w:rFonts w:cs="DanaFajr"/>
          <w:sz w:val="28"/>
          <w:szCs w:val="28"/>
          <w:rtl/>
        </w:rPr>
        <w:t xml:space="preserve"> </w:t>
      </w:r>
      <w:r w:rsidRPr="006571AC">
        <w:rPr>
          <w:rFonts w:cs="DanaFajr" w:hint="eastAsia"/>
          <w:sz w:val="28"/>
          <w:szCs w:val="28"/>
          <w:rtl/>
        </w:rPr>
        <w:t>والاضطرار</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الدنيا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كما</w:t>
      </w:r>
      <w:r w:rsidRPr="006571AC">
        <w:rPr>
          <w:rFonts w:cs="DanaFajr"/>
          <w:sz w:val="28"/>
          <w:szCs w:val="28"/>
          <w:rtl/>
        </w:rPr>
        <w:t xml:space="preserve"> </w:t>
      </w:r>
      <w:r w:rsidRPr="006571AC">
        <w:rPr>
          <w:rFonts w:cs="DanaFajr" w:hint="eastAsia"/>
          <w:sz w:val="28"/>
          <w:szCs w:val="28"/>
          <w:rtl/>
        </w:rPr>
        <w:t>يؤمنون</w:t>
      </w:r>
      <w:r w:rsidRPr="006571AC">
        <w:rPr>
          <w:rFonts w:cs="DanaFajr"/>
          <w:sz w:val="28"/>
          <w:szCs w:val="28"/>
          <w:rtl/>
        </w:rPr>
        <w:t xml:space="preserve"> </w:t>
      </w:r>
      <w:r w:rsidRPr="006571AC">
        <w:rPr>
          <w:rFonts w:cs="DanaFajr" w:hint="eastAsia"/>
          <w:sz w:val="28"/>
          <w:szCs w:val="28"/>
          <w:rtl/>
        </w:rPr>
        <w:t>عند</w:t>
      </w:r>
      <w:r w:rsidRPr="006571AC">
        <w:rPr>
          <w:rFonts w:cs="DanaFajr"/>
          <w:sz w:val="28"/>
          <w:szCs w:val="28"/>
          <w:rtl/>
        </w:rPr>
        <w:t xml:space="preserve"> </w:t>
      </w:r>
      <w:r w:rsidRPr="006571AC">
        <w:rPr>
          <w:rFonts w:cs="DanaFajr" w:hint="eastAsia"/>
          <w:sz w:val="28"/>
          <w:szCs w:val="28"/>
          <w:rtl/>
        </w:rPr>
        <w:t>المعاينة</w:t>
      </w:r>
      <w:r w:rsidRPr="006571AC">
        <w:rPr>
          <w:rFonts w:cs="DanaFajr"/>
          <w:sz w:val="28"/>
          <w:szCs w:val="28"/>
          <w:rtl/>
        </w:rPr>
        <w:t xml:space="preserve"> </w:t>
      </w:r>
      <w:r w:rsidRPr="006571AC">
        <w:rPr>
          <w:rFonts w:cs="DanaFajr" w:hint="eastAsia"/>
          <w:sz w:val="28"/>
          <w:szCs w:val="28"/>
          <w:rtl/>
        </w:rPr>
        <w:t>ورؤية</w:t>
      </w:r>
      <w:r w:rsidRPr="006571AC">
        <w:rPr>
          <w:rFonts w:cs="DanaFajr"/>
          <w:sz w:val="28"/>
          <w:szCs w:val="28"/>
          <w:rtl/>
        </w:rPr>
        <w:t xml:space="preserve"> </w:t>
      </w:r>
      <w:r w:rsidRPr="006571AC">
        <w:rPr>
          <w:rFonts w:cs="DanaFajr" w:hint="eastAsia"/>
          <w:sz w:val="28"/>
          <w:szCs w:val="28"/>
          <w:rtl/>
        </w:rPr>
        <w:t>البأس</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الآخرة،</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فعلت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ذلك</w:t>
      </w:r>
      <w:r w:rsidRPr="006571AC">
        <w:rPr>
          <w:rFonts w:cs="DanaFajr" w:hint="cs"/>
          <w:sz w:val="28"/>
          <w:szCs w:val="28"/>
          <w:rtl/>
        </w:rPr>
        <w:t xml:space="preserve"> </w:t>
      </w:r>
      <w:r w:rsidRPr="006571AC">
        <w:rPr>
          <w:rFonts w:cs="DanaFajr" w:hint="eastAsia"/>
          <w:sz w:val="28"/>
          <w:szCs w:val="28"/>
          <w:rtl/>
        </w:rPr>
        <w:t>بهم</w:t>
      </w:r>
      <w:r w:rsidRPr="006571AC">
        <w:rPr>
          <w:rFonts w:cs="DanaFajr"/>
          <w:sz w:val="28"/>
          <w:szCs w:val="28"/>
          <w:rtl/>
        </w:rPr>
        <w:t xml:space="preserve"> </w:t>
      </w:r>
      <w:r w:rsidRPr="006571AC">
        <w:rPr>
          <w:rFonts w:cs="DanaFajr" w:hint="eastAsia"/>
          <w:sz w:val="28"/>
          <w:szCs w:val="28"/>
          <w:rtl/>
        </w:rPr>
        <w:t>لم</w:t>
      </w:r>
      <w:r w:rsidRPr="006571AC">
        <w:rPr>
          <w:rFonts w:cs="DanaFajr"/>
          <w:sz w:val="28"/>
          <w:szCs w:val="28"/>
          <w:rtl/>
        </w:rPr>
        <w:t xml:space="preserve"> </w:t>
      </w:r>
      <w:r w:rsidRPr="006571AC">
        <w:rPr>
          <w:rFonts w:cs="DanaFajr" w:hint="eastAsia"/>
          <w:sz w:val="28"/>
          <w:szCs w:val="28"/>
          <w:rtl/>
        </w:rPr>
        <w:t>يستحق</w:t>
      </w:r>
      <w:r w:rsidRPr="006571AC">
        <w:rPr>
          <w:rFonts w:cs="DanaFajr" w:hint="cs"/>
          <w:sz w:val="28"/>
          <w:szCs w:val="28"/>
          <w:rtl/>
        </w:rPr>
        <w:t>ّ</w:t>
      </w:r>
      <w:r w:rsidRPr="006571AC">
        <w:rPr>
          <w:rFonts w:cs="DanaFajr" w:hint="eastAsia"/>
          <w:sz w:val="28"/>
          <w:szCs w:val="28"/>
          <w:rtl/>
        </w:rPr>
        <w:t>وا</w:t>
      </w:r>
      <w:r w:rsidRPr="006571AC">
        <w:rPr>
          <w:rFonts w:cs="DanaFajr"/>
          <w:sz w:val="28"/>
          <w:szCs w:val="28"/>
          <w:rtl/>
        </w:rPr>
        <w:t xml:space="preserve"> </w:t>
      </w:r>
      <w:r w:rsidRPr="006571AC">
        <w:rPr>
          <w:rFonts w:cs="DanaFajr" w:hint="eastAsia"/>
          <w:sz w:val="28"/>
          <w:szCs w:val="28"/>
          <w:rtl/>
        </w:rPr>
        <w:t>من</w:t>
      </w:r>
      <w:r w:rsidRPr="006571AC">
        <w:rPr>
          <w:rFonts w:cs="DanaFajr" w:hint="cs"/>
          <w:sz w:val="28"/>
          <w:szCs w:val="28"/>
          <w:rtl/>
        </w:rPr>
        <w:t>ّ</w:t>
      </w:r>
      <w:r w:rsidRPr="006571AC">
        <w:rPr>
          <w:rFonts w:cs="DanaFajr" w:hint="eastAsia"/>
          <w:sz w:val="28"/>
          <w:szCs w:val="28"/>
          <w:rtl/>
        </w:rPr>
        <w:t>ي</w:t>
      </w:r>
      <w:r w:rsidRPr="006571AC">
        <w:rPr>
          <w:rFonts w:cs="DanaFajr"/>
          <w:sz w:val="28"/>
          <w:szCs w:val="28"/>
          <w:rtl/>
        </w:rPr>
        <w:t xml:space="preserve"> </w:t>
      </w:r>
      <w:r w:rsidRPr="006571AC">
        <w:rPr>
          <w:rFonts w:cs="DanaFajr" w:hint="eastAsia"/>
          <w:sz w:val="28"/>
          <w:szCs w:val="28"/>
          <w:rtl/>
        </w:rPr>
        <w:t>ثوابا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sz w:val="28"/>
          <w:szCs w:val="28"/>
          <w:rtl/>
        </w:rPr>
        <w:t xml:space="preserve"> </w:t>
      </w:r>
      <w:r w:rsidRPr="006571AC">
        <w:rPr>
          <w:rFonts w:cs="DanaFajr" w:hint="eastAsia"/>
          <w:sz w:val="28"/>
          <w:szCs w:val="28"/>
          <w:rtl/>
        </w:rPr>
        <w:t>مدحا</w:t>
      </w:r>
      <w:r w:rsidRPr="006571AC">
        <w:rPr>
          <w:rFonts w:cs="DanaFajr" w:hint="cs"/>
          <w:sz w:val="28"/>
          <w:szCs w:val="28"/>
          <w:rtl/>
        </w:rPr>
        <w:t>ً</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لكن</w:t>
      </w:r>
      <w:r w:rsidRPr="006571AC">
        <w:rPr>
          <w:rFonts w:cs="DanaFajr" w:hint="cs"/>
          <w:sz w:val="28"/>
          <w:szCs w:val="28"/>
          <w:rtl/>
        </w:rPr>
        <w:t>ّ</w:t>
      </w:r>
      <w:r w:rsidRPr="006571AC">
        <w:rPr>
          <w:rFonts w:cs="DanaFajr" w:hint="eastAsia"/>
          <w:sz w:val="28"/>
          <w:szCs w:val="28"/>
          <w:rtl/>
        </w:rPr>
        <w:t>ي</w:t>
      </w:r>
      <w:r w:rsidRPr="006571AC">
        <w:rPr>
          <w:rFonts w:cs="DanaFajr"/>
          <w:sz w:val="28"/>
          <w:szCs w:val="28"/>
          <w:rtl/>
        </w:rPr>
        <w:t xml:space="preserve"> </w:t>
      </w:r>
      <w:r w:rsidRPr="006571AC">
        <w:rPr>
          <w:rFonts w:cs="DanaFajr" w:hint="eastAsia"/>
          <w:sz w:val="28"/>
          <w:szCs w:val="28"/>
          <w:rtl/>
        </w:rPr>
        <w:t>أريد</w:t>
      </w:r>
      <w:r w:rsidRPr="006571AC">
        <w:rPr>
          <w:rFonts w:cs="DanaFajr"/>
          <w:sz w:val="28"/>
          <w:szCs w:val="28"/>
          <w:rtl/>
        </w:rPr>
        <w:t xml:space="preserve"> </w:t>
      </w:r>
      <w:r w:rsidRPr="006571AC">
        <w:rPr>
          <w:rFonts w:cs="DanaFajr" w:hint="eastAsia"/>
          <w:sz w:val="28"/>
          <w:szCs w:val="28"/>
          <w:rtl/>
        </w:rPr>
        <w:t>منهم</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يؤمنوا</w:t>
      </w:r>
      <w:r w:rsidRPr="006571AC">
        <w:rPr>
          <w:rFonts w:cs="DanaFajr"/>
          <w:sz w:val="28"/>
          <w:szCs w:val="28"/>
          <w:rtl/>
        </w:rPr>
        <w:t xml:space="preserve"> </w:t>
      </w:r>
      <w:r w:rsidRPr="006571AC">
        <w:rPr>
          <w:rFonts w:cs="DanaFajr" w:hint="eastAsia"/>
          <w:sz w:val="28"/>
          <w:szCs w:val="28"/>
          <w:rtl/>
        </w:rPr>
        <w:t>مختارين</w:t>
      </w:r>
      <w:r w:rsidRPr="006571AC">
        <w:rPr>
          <w:rFonts w:cs="DanaFajr"/>
          <w:sz w:val="28"/>
          <w:szCs w:val="28"/>
          <w:rtl/>
        </w:rPr>
        <w:t xml:space="preserve"> </w:t>
      </w:r>
      <w:r w:rsidRPr="006571AC">
        <w:rPr>
          <w:rFonts w:cs="DanaFajr" w:hint="eastAsia"/>
          <w:sz w:val="28"/>
          <w:szCs w:val="28"/>
          <w:rtl/>
        </w:rPr>
        <w:t>غير</w:t>
      </w:r>
      <w:r w:rsidRPr="006571AC">
        <w:rPr>
          <w:rFonts w:cs="DanaFajr"/>
          <w:sz w:val="28"/>
          <w:szCs w:val="28"/>
          <w:rtl/>
        </w:rPr>
        <w:t xml:space="preserve"> </w:t>
      </w:r>
      <w:r w:rsidRPr="006571AC">
        <w:rPr>
          <w:rFonts w:cs="DanaFajr" w:hint="eastAsia"/>
          <w:sz w:val="28"/>
          <w:szCs w:val="28"/>
          <w:rtl/>
        </w:rPr>
        <w:t>مضطرين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ليستحقوا</w:t>
      </w:r>
      <w:r w:rsidRPr="006571AC">
        <w:rPr>
          <w:rFonts w:cs="DanaFajr"/>
          <w:sz w:val="28"/>
          <w:szCs w:val="28"/>
          <w:rtl/>
        </w:rPr>
        <w:t xml:space="preserve"> </w:t>
      </w:r>
      <w:r w:rsidRPr="006571AC">
        <w:rPr>
          <w:rFonts w:cs="DanaFajr" w:hint="eastAsia"/>
          <w:sz w:val="28"/>
          <w:szCs w:val="28"/>
          <w:rtl/>
        </w:rPr>
        <w:t>مني</w:t>
      </w:r>
      <w:r w:rsidRPr="006571AC">
        <w:rPr>
          <w:rFonts w:cs="DanaFajr"/>
          <w:sz w:val="28"/>
          <w:szCs w:val="28"/>
          <w:rtl/>
        </w:rPr>
        <w:t xml:space="preserve"> </w:t>
      </w:r>
      <w:r w:rsidRPr="006571AC">
        <w:rPr>
          <w:rFonts w:cs="DanaFajr" w:hint="eastAsia"/>
          <w:sz w:val="28"/>
          <w:szCs w:val="28"/>
          <w:rtl/>
        </w:rPr>
        <w:t>الزلفى</w:t>
      </w:r>
      <w:r w:rsidRPr="006571AC">
        <w:rPr>
          <w:rFonts w:cs="DanaFajr"/>
          <w:sz w:val="28"/>
          <w:szCs w:val="28"/>
          <w:rtl/>
        </w:rPr>
        <w:t xml:space="preserve"> </w:t>
      </w:r>
      <w:r w:rsidRPr="006571AC">
        <w:rPr>
          <w:rFonts w:cs="DanaFajr" w:hint="eastAsia"/>
          <w:sz w:val="28"/>
          <w:szCs w:val="28"/>
          <w:rtl/>
        </w:rPr>
        <w:t>والكرامة</w:t>
      </w:r>
      <w:r w:rsidRPr="006571AC">
        <w:rPr>
          <w:rFonts w:cs="DanaFajr"/>
          <w:sz w:val="28"/>
          <w:szCs w:val="28"/>
          <w:rtl/>
        </w:rPr>
        <w:t xml:space="preserve"> </w:t>
      </w:r>
      <w:r w:rsidRPr="006571AC">
        <w:rPr>
          <w:rFonts w:cs="DanaFajr" w:hint="eastAsia"/>
          <w:sz w:val="28"/>
          <w:szCs w:val="28"/>
          <w:rtl/>
        </w:rPr>
        <w:t>ودوام</w:t>
      </w:r>
      <w:r w:rsidRPr="006571AC">
        <w:rPr>
          <w:rFonts w:cs="DanaFajr"/>
          <w:sz w:val="28"/>
          <w:szCs w:val="28"/>
          <w:rtl/>
        </w:rPr>
        <w:t xml:space="preserve"> </w:t>
      </w:r>
      <w:r w:rsidRPr="006571AC">
        <w:rPr>
          <w:rFonts w:cs="DanaFajr" w:hint="eastAsia"/>
          <w:sz w:val="28"/>
          <w:szCs w:val="28"/>
          <w:rtl/>
        </w:rPr>
        <w:t>الخلود</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جنة</w:t>
      </w:r>
      <w:r w:rsidRPr="006571AC">
        <w:rPr>
          <w:rFonts w:cs="DanaFajr"/>
          <w:sz w:val="28"/>
          <w:szCs w:val="28"/>
          <w:rtl/>
        </w:rPr>
        <w:t xml:space="preserve"> </w:t>
      </w:r>
      <w:r w:rsidRPr="006571AC">
        <w:rPr>
          <w:rFonts w:cs="DanaFajr" w:hint="eastAsia"/>
          <w:sz w:val="28"/>
          <w:szCs w:val="28"/>
          <w:rtl/>
        </w:rPr>
        <w:t>الخلد</w:t>
      </w:r>
      <w:r w:rsidRPr="006571AC">
        <w:rPr>
          <w:rFonts w:cs="DanaFajr" w:hint="cs"/>
          <w:sz w:val="28"/>
          <w:szCs w:val="28"/>
          <w:rtl/>
        </w:rPr>
        <w:t>:</w:t>
      </w:r>
      <w:r w:rsidRPr="006571AC">
        <w:rPr>
          <w:rFonts w:cs="DanaFajr"/>
          <w:sz w:val="28"/>
          <w:szCs w:val="28"/>
          <w:rtl/>
        </w:rPr>
        <w:t xml:space="preserve"> </w:t>
      </w:r>
      <w:r w:rsidRPr="006571AC">
        <w:rPr>
          <w:rFonts w:ascii="Mosawi" w:hAnsi="Mosawi" w:cs="Mosawi"/>
          <w:sz w:val="22"/>
          <w:szCs w:val="22"/>
          <w:rtl/>
        </w:rPr>
        <w:t>﴿</w:t>
      </w:r>
      <w:r w:rsidRPr="006571AC">
        <w:rPr>
          <w:rFonts w:cs="DanaFajr" w:hint="eastAsia"/>
          <w:b/>
          <w:bCs/>
          <w:sz w:val="28"/>
          <w:szCs w:val="28"/>
          <w:rtl/>
        </w:rPr>
        <w:t>أَفَأَنْتَ</w:t>
      </w:r>
      <w:r w:rsidRPr="006571AC">
        <w:rPr>
          <w:rFonts w:cs="DanaFajr"/>
          <w:b/>
          <w:bCs/>
          <w:sz w:val="28"/>
          <w:szCs w:val="28"/>
          <w:rtl/>
        </w:rPr>
        <w:t xml:space="preserve"> </w:t>
      </w:r>
      <w:r w:rsidRPr="006571AC">
        <w:rPr>
          <w:rFonts w:cs="DanaFajr" w:hint="eastAsia"/>
          <w:b/>
          <w:bCs/>
          <w:sz w:val="28"/>
          <w:szCs w:val="28"/>
          <w:rtl/>
        </w:rPr>
        <w:t>تُكْرِهُ</w:t>
      </w:r>
      <w:r w:rsidRPr="006571AC">
        <w:rPr>
          <w:rFonts w:cs="DanaFajr"/>
          <w:b/>
          <w:bCs/>
          <w:sz w:val="28"/>
          <w:szCs w:val="28"/>
          <w:rtl/>
        </w:rPr>
        <w:t xml:space="preserve"> </w:t>
      </w:r>
      <w:r w:rsidRPr="006571AC">
        <w:rPr>
          <w:rFonts w:cs="DanaFajr" w:hint="eastAsia"/>
          <w:b/>
          <w:bCs/>
          <w:sz w:val="28"/>
          <w:szCs w:val="28"/>
          <w:rtl/>
        </w:rPr>
        <w:t>الن</w:t>
      </w:r>
      <w:r w:rsidRPr="006571AC">
        <w:rPr>
          <w:rFonts w:cs="DanaFajr" w:hint="cs"/>
          <w:b/>
          <w:bCs/>
          <w:sz w:val="28"/>
          <w:szCs w:val="28"/>
          <w:rtl/>
        </w:rPr>
        <w:t>َّ</w:t>
      </w:r>
      <w:r w:rsidRPr="006571AC">
        <w:rPr>
          <w:rFonts w:cs="DanaFajr" w:hint="eastAsia"/>
          <w:b/>
          <w:bCs/>
          <w:sz w:val="28"/>
          <w:szCs w:val="28"/>
          <w:rtl/>
        </w:rPr>
        <w:t>اسَ</w:t>
      </w:r>
      <w:r w:rsidRPr="006571AC">
        <w:rPr>
          <w:rFonts w:cs="DanaFajr"/>
          <w:b/>
          <w:bCs/>
          <w:sz w:val="28"/>
          <w:szCs w:val="28"/>
          <w:rtl/>
        </w:rPr>
        <w:t xml:space="preserve"> </w:t>
      </w:r>
      <w:r w:rsidRPr="006571AC">
        <w:rPr>
          <w:rFonts w:cs="DanaFajr" w:hint="eastAsia"/>
          <w:b/>
          <w:bCs/>
          <w:sz w:val="28"/>
          <w:szCs w:val="28"/>
          <w:rtl/>
        </w:rPr>
        <w:t>حَت</w:t>
      </w:r>
      <w:r w:rsidRPr="006571AC">
        <w:rPr>
          <w:rFonts w:cs="DanaFajr" w:hint="cs"/>
          <w:b/>
          <w:bCs/>
          <w:sz w:val="28"/>
          <w:szCs w:val="28"/>
          <w:rtl/>
        </w:rPr>
        <w:t>َّ</w:t>
      </w:r>
      <w:r w:rsidRPr="006571AC">
        <w:rPr>
          <w:rFonts w:cs="DanaFajr" w:hint="eastAsia"/>
          <w:b/>
          <w:bCs/>
          <w:sz w:val="28"/>
          <w:szCs w:val="28"/>
          <w:rtl/>
        </w:rPr>
        <w:t>ى</w:t>
      </w:r>
      <w:r w:rsidRPr="006571AC">
        <w:rPr>
          <w:rFonts w:cs="DanaFajr"/>
          <w:b/>
          <w:bCs/>
          <w:sz w:val="28"/>
          <w:szCs w:val="28"/>
          <w:rtl/>
        </w:rPr>
        <w:t xml:space="preserve"> </w:t>
      </w:r>
      <w:r w:rsidRPr="006571AC">
        <w:rPr>
          <w:rFonts w:cs="DanaFajr" w:hint="eastAsia"/>
          <w:b/>
          <w:bCs/>
          <w:sz w:val="28"/>
          <w:szCs w:val="28"/>
          <w:rtl/>
        </w:rPr>
        <w:t>يَكُونُوا</w:t>
      </w:r>
      <w:r w:rsidRPr="006571AC">
        <w:rPr>
          <w:rFonts w:cs="DanaFajr"/>
          <w:b/>
          <w:bCs/>
          <w:sz w:val="28"/>
          <w:szCs w:val="28"/>
          <w:rtl/>
        </w:rPr>
        <w:t xml:space="preserve"> </w:t>
      </w:r>
      <w:r w:rsidRPr="006571AC">
        <w:rPr>
          <w:rFonts w:cs="DanaFajr" w:hint="eastAsia"/>
          <w:b/>
          <w:bCs/>
          <w:sz w:val="28"/>
          <w:szCs w:val="28"/>
          <w:rtl/>
        </w:rPr>
        <w:t>مُؤْمِنِينَ</w:t>
      </w:r>
      <w:r w:rsidRPr="006571AC">
        <w:rPr>
          <w:rFonts w:ascii="Mosawi" w:hAnsi="Mosawi" w:cs="Mosawi"/>
          <w:sz w:val="22"/>
          <w:szCs w:val="22"/>
          <w:rtl/>
        </w:rPr>
        <w:t>﴾</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وأما</w:t>
      </w:r>
      <w:r w:rsidRPr="006571AC">
        <w:rPr>
          <w:rFonts w:cs="DanaFajr"/>
          <w:sz w:val="28"/>
          <w:szCs w:val="28"/>
          <w:rtl/>
        </w:rPr>
        <w:t xml:space="preserve"> </w:t>
      </w:r>
      <w:r w:rsidRPr="006571AC">
        <w:rPr>
          <w:rFonts w:cs="DanaFajr" w:hint="eastAsia"/>
          <w:sz w:val="28"/>
          <w:szCs w:val="28"/>
          <w:rtl/>
        </w:rPr>
        <w:t>قوله</w:t>
      </w:r>
      <w:r w:rsidRPr="006571AC">
        <w:rPr>
          <w:rFonts w:cs="DanaFajr"/>
          <w:sz w:val="28"/>
          <w:szCs w:val="28"/>
          <w:rtl/>
        </w:rPr>
        <w:t xml:space="preserve"> </w:t>
      </w:r>
      <w:r w:rsidRPr="006571AC">
        <w:rPr>
          <w:rFonts w:cs="DanaFajr" w:hint="eastAsia"/>
          <w:sz w:val="28"/>
          <w:szCs w:val="28"/>
          <w:rtl/>
        </w:rPr>
        <w:t>عز</w:t>
      </w:r>
      <w:r w:rsidRPr="006571AC">
        <w:rPr>
          <w:rFonts w:cs="DanaFajr" w:hint="cs"/>
          <w:sz w:val="28"/>
          <w:szCs w:val="28"/>
          <w:rtl/>
        </w:rPr>
        <w:t xml:space="preserve">َّ </w:t>
      </w:r>
      <w:r w:rsidRPr="006571AC">
        <w:rPr>
          <w:rFonts w:cs="DanaFajr" w:hint="eastAsia"/>
          <w:sz w:val="28"/>
          <w:szCs w:val="28"/>
          <w:rtl/>
        </w:rPr>
        <w:t>وجل</w:t>
      </w:r>
      <w:r w:rsidRPr="006571AC">
        <w:rPr>
          <w:rFonts w:cs="DanaFajr" w:hint="cs"/>
          <w:sz w:val="28"/>
          <w:szCs w:val="28"/>
          <w:rtl/>
        </w:rPr>
        <w:t>َّ</w:t>
      </w:r>
      <w:r w:rsidRPr="006571AC">
        <w:rPr>
          <w:rFonts w:cs="DanaFajr"/>
          <w:sz w:val="28"/>
          <w:szCs w:val="28"/>
          <w:rtl/>
        </w:rPr>
        <w:t xml:space="preserve">: </w:t>
      </w:r>
      <w:r w:rsidRPr="006571AC">
        <w:rPr>
          <w:rFonts w:ascii="Mosawi" w:hAnsi="Mosawi" w:cs="Mosawi"/>
          <w:sz w:val="22"/>
          <w:szCs w:val="22"/>
          <w:rtl/>
        </w:rPr>
        <w:t>﴿</w:t>
      </w:r>
      <w:r w:rsidRPr="006571AC">
        <w:rPr>
          <w:rFonts w:cs="DanaFajr" w:hint="eastAsia"/>
          <w:b/>
          <w:bCs/>
          <w:sz w:val="28"/>
          <w:szCs w:val="28"/>
          <w:rtl/>
        </w:rPr>
        <w:t>وَمَا</w:t>
      </w:r>
      <w:r w:rsidRPr="006571AC">
        <w:rPr>
          <w:rFonts w:cs="DanaFajr"/>
          <w:b/>
          <w:bCs/>
          <w:sz w:val="28"/>
          <w:szCs w:val="28"/>
          <w:rtl/>
        </w:rPr>
        <w:t xml:space="preserve"> </w:t>
      </w:r>
      <w:r w:rsidRPr="006571AC">
        <w:rPr>
          <w:rFonts w:cs="DanaFajr" w:hint="eastAsia"/>
          <w:b/>
          <w:bCs/>
          <w:sz w:val="28"/>
          <w:szCs w:val="28"/>
          <w:rtl/>
        </w:rPr>
        <w:t>كَانَ</w:t>
      </w:r>
      <w:r w:rsidRPr="006571AC">
        <w:rPr>
          <w:rFonts w:cs="DanaFajr"/>
          <w:b/>
          <w:bCs/>
          <w:sz w:val="28"/>
          <w:szCs w:val="28"/>
          <w:rtl/>
        </w:rPr>
        <w:t xml:space="preserve"> </w:t>
      </w:r>
      <w:r w:rsidRPr="006571AC">
        <w:rPr>
          <w:rFonts w:cs="DanaFajr" w:hint="eastAsia"/>
          <w:b/>
          <w:bCs/>
          <w:sz w:val="28"/>
          <w:szCs w:val="28"/>
          <w:rtl/>
        </w:rPr>
        <w:t>لِنَفْسٍ</w:t>
      </w:r>
      <w:r w:rsidRPr="006571AC">
        <w:rPr>
          <w:rFonts w:cs="DanaFajr"/>
          <w:b/>
          <w:bCs/>
          <w:sz w:val="28"/>
          <w:szCs w:val="28"/>
          <w:rtl/>
        </w:rPr>
        <w:t xml:space="preserve"> </w:t>
      </w:r>
      <w:r w:rsidRPr="006571AC">
        <w:rPr>
          <w:rFonts w:cs="DanaFajr" w:hint="eastAsia"/>
          <w:b/>
          <w:bCs/>
          <w:sz w:val="28"/>
          <w:szCs w:val="28"/>
          <w:rtl/>
        </w:rPr>
        <w:t>أَن</w:t>
      </w:r>
      <w:r w:rsidRPr="006571AC">
        <w:rPr>
          <w:rFonts w:cs="DanaFajr" w:hint="cs"/>
          <w:b/>
          <w:bCs/>
          <w:sz w:val="28"/>
          <w:szCs w:val="28"/>
          <w:rtl/>
        </w:rPr>
        <w:t>ْ</w:t>
      </w:r>
      <w:r w:rsidRPr="006571AC">
        <w:rPr>
          <w:rFonts w:cs="DanaFajr"/>
          <w:b/>
          <w:bCs/>
          <w:sz w:val="28"/>
          <w:szCs w:val="28"/>
          <w:rtl/>
        </w:rPr>
        <w:t xml:space="preserve"> </w:t>
      </w:r>
      <w:r w:rsidRPr="006571AC">
        <w:rPr>
          <w:rFonts w:cs="DanaFajr" w:hint="eastAsia"/>
          <w:b/>
          <w:bCs/>
          <w:sz w:val="28"/>
          <w:szCs w:val="28"/>
          <w:rtl/>
        </w:rPr>
        <w:t>تُؤْمِنَ</w:t>
      </w:r>
      <w:r w:rsidRPr="006571AC">
        <w:rPr>
          <w:rFonts w:cs="DanaFajr"/>
          <w:b/>
          <w:bCs/>
          <w:sz w:val="28"/>
          <w:szCs w:val="28"/>
          <w:rtl/>
        </w:rPr>
        <w:t xml:space="preserve"> </w:t>
      </w:r>
      <w:r w:rsidRPr="006571AC">
        <w:rPr>
          <w:rFonts w:cs="DanaFajr" w:hint="eastAsia"/>
          <w:b/>
          <w:bCs/>
          <w:sz w:val="28"/>
          <w:szCs w:val="28"/>
          <w:rtl/>
        </w:rPr>
        <w:t>إِلاّ</w:t>
      </w:r>
      <w:r w:rsidRPr="006571AC">
        <w:rPr>
          <w:rFonts w:cs="DanaFajr" w:hint="cs"/>
          <w:b/>
          <w:bCs/>
          <w:sz w:val="28"/>
          <w:szCs w:val="28"/>
          <w:rtl/>
        </w:rPr>
        <w:t>َ</w:t>
      </w:r>
      <w:r w:rsidRPr="006571AC">
        <w:rPr>
          <w:rFonts w:cs="DanaFajr"/>
          <w:b/>
          <w:bCs/>
          <w:sz w:val="28"/>
          <w:szCs w:val="28"/>
          <w:rtl/>
        </w:rPr>
        <w:t xml:space="preserve"> </w:t>
      </w:r>
      <w:r w:rsidRPr="006571AC">
        <w:rPr>
          <w:rFonts w:cs="DanaFajr" w:hint="eastAsia"/>
          <w:b/>
          <w:bCs/>
          <w:sz w:val="28"/>
          <w:szCs w:val="28"/>
          <w:rtl/>
        </w:rPr>
        <w:t>بِإِذْنِ</w:t>
      </w:r>
      <w:r w:rsidRPr="006571AC">
        <w:rPr>
          <w:rFonts w:cs="DanaFajr"/>
          <w:b/>
          <w:bCs/>
          <w:sz w:val="28"/>
          <w:szCs w:val="28"/>
          <w:rtl/>
        </w:rPr>
        <w:t xml:space="preserve"> </w:t>
      </w:r>
      <w:r w:rsidRPr="006571AC">
        <w:rPr>
          <w:rFonts w:cs="DanaFajr" w:hint="eastAsia"/>
          <w:b/>
          <w:bCs/>
          <w:sz w:val="28"/>
          <w:szCs w:val="28"/>
          <w:rtl/>
        </w:rPr>
        <w:t>اللهِ</w:t>
      </w:r>
      <w:r w:rsidRPr="006571AC">
        <w:rPr>
          <w:rFonts w:ascii="Mosawi" w:hAnsi="Mosawi" w:cs="Mosawi"/>
          <w:sz w:val="22"/>
          <w:szCs w:val="22"/>
          <w:rtl/>
        </w:rPr>
        <w:t>﴾</w:t>
      </w:r>
      <w:r w:rsidRPr="006571AC">
        <w:rPr>
          <w:rFonts w:cs="DanaFajr"/>
          <w:sz w:val="28"/>
          <w:szCs w:val="28"/>
          <w:rtl/>
        </w:rPr>
        <w:t xml:space="preserve"> </w:t>
      </w:r>
      <w:r w:rsidRPr="006571AC">
        <w:rPr>
          <w:rFonts w:cs="DanaFajr" w:hint="eastAsia"/>
          <w:sz w:val="28"/>
          <w:szCs w:val="28"/>
          <w:rtl/>
        </w:rPr>
        <w:t>فليس</w:t>
      </w:r>
      <w:r w:rsidRPr="006571AC">
        <w:rPr>
          <w:rFonts w:cs="DanaFajr"/>
          <w:sz w:val="28"/>
          <w:szCs w:val="28"/>
          <w:rtl/>
        </w:rPr>
        <w:t xml:space="preserve"> </w:t>
      </w:r>
      <w:r w:rsidRPr="006571AC">
        <w:rPr>
          <w:rFonts w:cs="DanaFajr" w:hint="eastAsia"/>
          <w:sz w:val="28"/>
          <w:szCs w:val="28"/>
          <w:rtl/>
        </w:rPr>
        <w:t>ذلك</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سبيل</w:t>
      </w:r>
      <w:r w:rsidRPr="006571AC">
        <w:rPr>
          <w:rFonts w:cs="DanaFajr"/>
          <w:sz w:val="28"/>
          <w:szCs w:val="28"/>
          <w:rtl/>
        </w:rPr>
        <w:t xml:space="preserve"> </w:t>
      </w:r>
      <w:r w:rsidRPr="006571AC">
        <w:rPr>
          <w:rFonts w:cs="DanaFajr" w:hint="eastAsia"/>
          <w:sz w:val="28"/>
          <w:szCs w:val="28"/>
          <w:rtl/>
        </w:rPr>
        <w:t>تحريم</w:t>
      </w:r>
      <w:r w:rsidRPr="006571AC">
        <w:rPr>
          <w:rFonts w:cs="DanaFajr"/>
          <w:sz w:val="28"/>
          <w:szCs w:val="28"/>
          <w:rtl/>
        </w:rPr>
        <w:t xml:space="preserve"> </w:t>
      </w:r>
      <w:r w:rsidRPr="006571AC">
        <w:rPr>
          <w:rFonts w:cs="DanaFajr" w:hint="eastAsia"/>
          <w:sz w:val="28"/>
          <w:szCs w:val="28"/>
          <w:rtl/>
        </w:rPr>
        <w:t>الإيمان</w:t>
      </w:r>
      <w:r w:rsidRPr="006571AC">
        <w:rPr>
          <w:rFonts w:cs="DanaFajr"/>
          <w:sz w:val="28"/>
          <w:szCs w:val="28"/>
          <w:rtl/>
        </w:rPr>
        <w:t xml:space="preserve"> </w:t>
      </w:r>
      <w:r w:rsidRPr="006571AC">
        <w:rPr>
          <w:rFonts w:cs="DanaFajr" w:hint="eastAsia"/>
          <w:sz w:val="28"/>
          <w:szCs w:val="28"/>
          <w:rtl/>
        </w:rPr>
        <w:t>عليها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ولكن</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معنى</w:t>
      </w:r>
      <w:r w:rsidRPr="006571AC">
        <w:rPr>
          <w:rFonts w:cs="DanaFajr"/>
          <w:sz w:val="28"/>
          <w:szCs w:val="28"/>
          <w:rtl/>
        </w:rPr>
        <w:t xml:space="preserve"> </w:t>
      </w:r>
      <w:r w:rsidRPr="006571AC">
        <w:rPr>
          <w:rFonts w:cs="DanaFajr" w:hint="eastAsia"/>
          <w:sz w:val="28"/>
          <w:szCs w:val="28"/>
          <w:rtl/>
        </w:rPr>
        <w:t>أنها</w:t>
      </w:r>
      <w:r w:rsidRPr="006571AC">
        <w:rPr>
          <w:rFonts w:cs="DanaFajr"/>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كانت</w:t>
      </w:r>
      <w:r w:rsidRPr="006571AC">
        <w:rPr>
          <w:rFonts w:cs="DanaFajr"/>
          <w:sz w:val="28"/>
          <w:szCs w:val="28"/>
          <w:rtl/>
        </w:rPr>
        <w:t xml:space="preserve"> </w:t>
      </w:r>
      <w:r w:rsidRPr="006571AC">
        <w:rPr>
          <w:rFonts w:cs="DanaFajr" w:hint="eastAsia"/>
          <w:sz w:val="28"/>
          <w:szCs w:val="28"/>
          <w:rtl/>
        </w:rPr>
        <w:t>لتؤمن</w:t>
      </w:r>
      <w:r w:rsidRPr="006571AC">
        <w:rPr>
          <w:rFonts w:cs="DanaFajr"/>
          <w:sz w:val="28"/>
          <w:szCs w:val="28"/>
          <w:rtl/>
        </w:rPr>
        <w:t xml:space="preserve"> </w:t>
      </w:r>
      <w:r w:rsidRPr="006571AC">
        <w:rPr>
          <w:rFonts w:cs="DanaFajr" w:hint="eastAsia"/>
          <w:sz w:val="28"/>
          <w:szCs w:val="28"/>
          <w:rtl/>
        </w:rPr>
        <w:t>إلا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بإذن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وإذنه</w:t>
      </w:r>
      <w:r w:rsidRPr="006571AC">
        <w:rPr>
          <w:rFonts w:cs="DanaFajr"/>
          <w:sz w:val="28"/>
          <w:szCs w:val="28"/>
          <w:rtl/>
        </w:rPr>
        <w:t xml:space="preserve"> </w:t>
      </w:r>
      <w:r w:rsidRPr="006571AC">
        <w:rPr>
          <w:rFonts w:cs="DanaFajr" w:hint="eastAsia"/>
          <w:sz w:val="28"/>
          <w:szCs w:val="28"/>
          <w:rtl/>
        </w:rPr>
        <w:t>أمره</w:t>
      </w:r>
      <w:r w:rsidRPr="006571AC">
        <w:rPr>
          <w:rFonts w:cs="DanaFajr"/>
          <w:sz w:val="28"/>
          <w:szCs w:val="28"/>
          <w:rtl/>
        </w:rPr>
        <w:t xml:space="preserve"> </w:t>
      </w:r>
      <w:r w:rsidRPr="006571AC">
        <w:rPr>
          <w:rFonts w:cs="DanaFajr" w:hint="eastAsia"/>
          <w:sz w:val="28"/>
          <w:szCs w:val="28"/>
          <w:rtl/>
        </w:rPr>
        <w:t>لها</w:t>
      </w:r>
      <w:r w:rsidRPr="006571AC">
        <w:rPr>
          <w:rFonts w:cs="DanaFajr"/>
          <w:sz w:val="28"/>
          <w:szCs w:val="28"/>
          <w:rtl/>
        </w:rPr>
        <w:t xml:space="preserve"> </w:t>
      </w:r>
      <w:r w:rsidRPr="006571AC">
        <w:rPr>
          <w:rFonts w:cs="DanaFajr" w:hint="eastAsia"/>
          <w:sz w:val="28"/>
          <w:szCs w:val="28"/>
          <w:rtl/>
        </w:rPr>
        <w:t>بالإيمان</w:t>
      </w:r>
      <w:r w:rsidRPr="006571AC">
        <w:rPr>
          <w:rFonts w:cs="DanaFajr"/>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كانت</w:t>
      </w:r>
      <w:r w:rsidRPr="006571AC">
        <w:rPr>
          <w:rFonts w:cs="DanaFajr"/>
          <w:sz w:val="28"/>
          <w:szCs w:val="28"/>
          <w:rtl/>
        </w:rPr>
        <w:t xml:space="preserve"> </w:t>
      </w:r>
      <w:r w:rsidRPr="006571AC">
        <w:rPr>
          <w:rFonts w:cs="DanaFajr" w:hint="eastAsia"/>
          <w:sz w:val="28"/>
          <w:szCs w:val="28"/>
          <w:rtl/>
        </w:rPr>
        <w:t>مكلفة</w:t>
      </w:r>
      <w:r w:rsidRPr="006571AC">
        <w:rPr>
          <w:rFonts w:cs="DanaFajr"/>
          <w:sz w:val="28"/>
          <w:szCs w:val="28"/>
          <w:rtl/>
        </w:rPr>
        <w:t xml:space="preserve"> </w:t>
      </w:r>
      <w:r w:rsidRPr="006571AC">
        <w:rPr>
          <w:rFonts w:cs="DanaFajr" w:hint="eastAsia"/>
          <w:sz w:val="28"/>
          <w:szCs w:val="28"/>
          <w:rtl/>
        </w:rPr>
        <w:t>متعبدة،</w:t>
      </w:r>
      <w:r w:rsidRPr="006571AC">
        <w:rPr>
          <w:rFonts w:cs="DanaFajr"/>
          <w:sz w:val="28"/>
          <w:szCs w:val="28"/>
          <w:rtl/>
        </w:rPr>
        <w:t xml:space="preserve"> </w:t>
      </w:r>
      <w:r w:rsidRPr="006571AC">
        <w:rPr>
          <w:rFonts w:cs="DanaFajr" w:hint="eastAsia"/>
          <w:sz w:val="28"/>
          <w:szCs w:val="28"/>
          <w:rtl/>
        </w:rPr>
        <w:t>وإلجاؤه</w:t>
      </w:r>
      <w:r w:rsidRPr="006571AC">
        <w:rPr>
          <w:rFonts w:cs="DanaFajr"/>
          <w:sz w:val="28"/>
          <w:szCs w:val="28"/>
          <w:rtl/>
        </w:rPr>
        <w:t xml:space="preserve"> </w:t>
      </w:r>
      <w:r w:rsidRPr="006571AC">
        <w:rPr>
          <w:rFonts w:cs="DanaFajr" w:hint="eastAsia"/>
          <w:sz w:val="28"/>
          <w:szCs w:val="28"/>
          <w:rtl/>
        </w:rPr>
        <w:t>إياها</w:t>
      </w:r>
      <w:r w:rsidRPr="006571AC">
        <w:rPr>
          <w:rFonts w:cs="DanaFajr"/>
          <w:sz w:val="28"/>
          <w:szCs w:val="28"/>
          <w:rtl/>
        </w:rPr>
        <w:t xml:space="preserve"> </w:t>
      </w:r>
      <w:r w:rsidRPr="006571AC">
        <w:rPr>
          <w:rFonts w:cs="DanaFajr" w:hint="eastAsia"/>
          <w:sz w:val="28"/>
          <w:szCs w:val="28"/>
          <w:rtl/>
        </w:rPr>
        <w:t>إلى</w:t>
      </w:r>
      <w:r w:rsidRPr="006571AC">
        <w:rPr>
          <w:rFonts w:cs="DanaFajr"/>
          <w:sz w:val="28"/>
          <w:szCs w:val="28"/>
          <w:rtl/>
        </w:rPr>
        <w:t xml:space="preserve"> </w:t>
      </w:r>
      <w:r w:rsidRPr="006571AC">
        <w:rPr>
          <w:rFonts w:cs="DanaFajr" w:hint="eastAsia"/>
          <w:sz w:val="28"/>
          <w:szCs w:val="28"/>
          <w:rtl/>
        </w:rPr>
        <w:t>الإيمان</w:t>
      </w:r>
      <w:r w:rsidRPr="006571AC">
        <w:rPr>
          <w:rFonts w:cs="DanaFajr"/>
          <w:sz w:val="28"/>
          <w:szCs w:val="28"/>
          <w:rtl/>
        </w:rPr>
        <w:t xml:space="preserve"> </w:t>
      </w:r>
      <w:r w:rsidRPr="006571AC">
        <w:rPr>
          <w:rFonts w:cs="DanaFajr" w:hint="eastAsia"/>
          <w:sz w:val="28"/>
          <w:szCs w:val="28"/>
          <w:rtl/>
        </w:rPr>
        <w:t>عند</w:t>
      </w:r>
      <w:r w:rsidRPr="006571AC">
        <w:rPr>
          <w:rFonts w:cs="DanaFajr"/>
          <w:sz w:val="28"/>
          <w:szCs w:val="28"/>
          <w:rtl/>
        </w:rPr>
        <w:t xml:space="preserve"> </w:t>
      </w:r>
      <w:r w:rsidRPr="006571AC">
        <w:rPr>
          <w:rFonts w:cs="DanaFajr" w:hint="eastAsia"/>
          <w:sz w:val="28"/>
          <w:szCs w:val="28"/>
          <w:rtl/>
        </w:rPr>
        <w:t>زوال</w:t>
      </w:r>
      <w:r w:rsidRPr="006571AC">
        <w:rPr>
          <w:rFonts w:cs="DanaFajr"/>
          <w:sz w:val="28"/>
          <w:szCs w:val="28"/>
          <w:rtl/>
        </w:rPr>
        <w:t xml:space="preserve"> </w:t>
      </w:r>
      <w:r w:rsidRPr="006571AC">
        <w:rPr>
          <w:rFonts w:cs="DanaFajr" w:hint="eastAsia"/>
          <w:sz w:val="28"/>
          <w:szCs w:val="28"/>
          <w:rtl/>
        </w:rPr>
        <w:t>التكليف</w:t>
      </w:r>
      <w:r w:rsidRPr="006571AC">
        <w:rPr>
          <w:rFonts w:cs="DanaFajr"/>
          <w:sz w:val="28"/>
          <w:szCs w:val="28"/>
          <w:rtl/>
        </w:rPr>
        <w:t xml:space="preserve"> </w:t>
      </w:r>
      <w:r w:rsidRPr="006571AC">
        <w:rPr>
          <w:rFonts w:cs="DanaFajr" w:hint="eastAsia"/>
          <w:sz w:val="28"/>
          <w:szCs w:val="28"/>
          <w:rtl/>
        </w:rPr>
        <w:t>والتعبد</w:t>
      </w:r>
      <w:r w:rsidRPr="006571AC">
        <w:rPr>
          <w:rFonts w:cs="DanaFajr"/>
          <w:sz w:val="28"/>
          <w:szCs w:val="28"/>
          <w:rtl/>
        </w:rPr>
        <w:t xml:space="preserve"> </w:t>
      </w:r>
      <w:r w:rsidRPr="006571AC">
        <w:rPr>
          <w:rFonts w:cs="DanaFajr" w:hint="eastAsia"/>
          <w:sz w:val="28"/>
          <w:szCs w:val="28"/>
          <w:rtl/>
        </w:rPr>
        <w:t>عنها</w:t>
      </w:r>
      <w:r w:rsidRPr="006571AC">
        <w:rPr>
          <w:rFonts w:cs="DanaFajr"/>
          <w:sz w:val="28"/>
          <w:szCs w:val="28"/>
          <w:rtl/>
        </w:rPr>
        <w:t xml:space="preserve">. </w:t>
      </w:r>
      <w:r w:rsidRPr="006571AC">
        <w:rPr>
          <w:rFonts w:cs="DanaFajr" w:hint="eastAsia"/>
          <w:sz w:val="28"/>
          <w:szCs w:val="28"/>
          <w:rtl/>
        </w:rPr>
        <w:t>فقال</w:t>
      </w:r>
      <w:r w:rsidRPr="006571AC">
        <w:rPr>
          <w:rFonts w:cs="DanaFajr"/>
          <w:sz w:val="28"/>
          <w:szCs w:val="28"/>
          <w:rtl/>
        </w:rPr>
        <w:t xml:space="preserve"> </w:t>
      </w:r>
      <w:r w:rsidRPr="006571AC">
        <w:rPr>
          <w:rFonts w:cs="DanaFajr" w:hint="eastAsia"/>
          <w:sz w:val="28"/>
          <w:szCs w:val="28"/>
          <w:rtl/>
        </w:rPr>
        <w:t>المأمون</w:t>
      </w:r>
      <w:r w:rsidRPr="006571AC">
        <w:rPr>
          <w:rFonts w:cs="DanaFajr"/>
          <w:sz w:val="28"/>
          <w:szCs w:val="28"/>
          <w:rtl/>
        </w:rPr>
        <w:t xml:space="preserve">: </w:t>
      </w:r>
      <w:r w:rsidRPr="006571AC">
        <w:rPr>
          <w:rFonts w:cs="DanaFajr" w:hint="eastAsia"/>
          <w:sz w:val="28"/>
          <w:szCs w:val="28"/>
          <w:rtl/>
        </w:rPr>
        <w:t>فر</w:t>
      </w:r>
      <w:r w:rsidRPr="006571AC">
        <w:rPr>
          <w:rFonts w:cs="DanaFajr" w:hint="cs"/>
          <w:sz w:val="28"/>
          <w:szCs w:val="28"/>
          <w:rtl/>
        </w:rPr>
        <w:t>َّ</w:t>
      </w:r>
      <w:r w:rsidRPr="006571AC">
        <w:rPr>
          <w:rFonts w:cs="DanaFajr" w:hint="eastAsia"/>
          <w:sz w:val="28"/>
          <w:szCs w:val="28"/>
          <w:rtl/>
        </w:rPr>
        <w:t>ج</w:t>
      </w:r>
      <w:r w:rsidRPr="006571AC">
        <w:rPr>
          <w:rFonts w:cs="DanaFajr" w:hint="cs"/>
          <w:sz w:val="28"/>
          <w:szCs w:val="28"/>
          <w:rtl/>
        </w:rPr>
        <w:t>ْ</w:t>
      </w:r>
      <w:r w:rsidRPr="006571AC">
        <w:rPr>
          <w:rFonts w:cs="DanaFajr" w:hint="eastAsia"/>
          <w:sz w:val="28"/>
          <w:szCs w:val="28"/>
          <w:rtl/>
        </w:rPr>
        <w:t>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عني</w:t>
      </w:r>
      <w:r w:rsidRPr="006571AC">
        <w:rPr>
          <w:rFonts w:cs="DanaFajr"/>
          <w:sz w:val="28"/>
          <w:szCs w:val="28"/>
          <w:rtl/>
        </w:rPr>
        <w:t xml:space="preserve"> </w:t>
      </w:r>
      <w:r w:rsidRPr="006571AC">
        <w:rPr>
          <w:rFonts w:cs="DanaFajr" w:hint="eastAsia"/>
          <w:sz w:val="28"/>
          <w:szCs w:val="28"/>
          <w:rtl/>
        </w:rPr>
        <w:t>يا</w:t>
      </w:r>
      <w:r w:rsidRPr="006571AC">
        <w:rPr>
          <w:rFonts w:cs="DanaFajr"/>
          <w:sz w:val="28"/>
          <w:szCs w:val="28"/>
          <w:rtl/>
        </w:rPr>
        <w:t xml:space="preserve"> </w:t>
      </w:r>
      <w:r w:rsidRPr="006571AC">
        <w:rPr>
          <w:rFonts w:cs="DanaFajr" w:hint="eastAsia"/>
          <w:sz w:val="28"/>
          <w:szCs w:val="28"/>
          <w:rtl/>
        </w:rPr>
        <w:t>أبا</w:t>
      </w:r>
      <w:r w:rsidRPr="006571AC">
        <w:rPr>
          <w:rFonts w:cs="DanaFajr"/>
          <w:sz w:val="28"/>
          <w:szCs w:val="28"/>
          <w:rtl/>
        </w:rPr>
        <w:t xml:space="preserve"> </w:t>
      </w:r>
      <w:r w:rsidRPr="006571AC">
        <w:rPr>
          <w:rFonts w:cs="DanaFajr" w:hint="eastAsia"/>
          <w:sz w:val="28"/>
          <w:szCs w:val="28"/>
          <w:rtl/>
        </w:rPr>
        <w:t>الحسن</w:t>
      </w:r>
      <w:r w:rsidRPr="006571AC">
        <w:rPr>
          <w:rFonts w:cs="DanaFajr"/>
          <w:sz w:val="28"/>
          <w:szCs w:val="28"/>
          <w:rtl/>
        </w:rPr>
        <w:t xml:space="preserve"> </w:t>
      </w:r>
      <w:r w:rsidRPr="006571AC">
        <w:rPr>
          <w:rFonts w:cs="DanaFajr" w:hint="eastAsia"/>
          <w:sz w:val="28"/>
          <w:szCs w:val="28"/>
          <w:rtl/>
        </w:rPr>
        <w:t>فر</w:t>
      </w:r>
      <w:r w:rsidRPr="006571AC">
        <w:rPr>
          <w:rFonts w:cs="DanaFajr" w:hint="cs"/>
          <w:sz w:val="28"/>
          <w:szCs w:val="28"/>
          <w:rtl/>
        </w:rPr>
        <w:t>َّ</w:t>
      </w:r>
      <w:r w:rsidRPr="006571AC">
        <w:rPr>
          <w:rFonts w:cs="DanaFajr" w:hint="eastAsia"/>
          <w:sz w:val="28"/>
          <w:szCs w:val="28"/>
          <w:rtl/>
        </w:rPr>
        <w:t>ج</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عنك</w:t>
      </w:r>
      <w:r w:rsidRPr="006571AC">
        <w:rPr>
          <w:sz w:val="22"/>
          <w:szCs w:val="22"/>
          <w:rtl/>
        </w:rPr>
        <w:t>»</w:t>
      </w:r>
      <w:r w:rsidRPr="006571AC">
        <w:rPr>
          <w:rFonts w:cs="DanaFajr" w:hint="cs"/>
          <w:sz w:val="28"/>
          <w:szCs w:val="28"/>
          <w:rtl/>
        </w:rPr>
        <w:t>.</w:t>
      </w:r>
    </w:p>
  </w:endnote>
  <w:endnote w:id="13">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الرضي، نهج البلاغة، الخطبة 192: </w:t>
      </w:r>
      <w:r w:rsidRPr="006571AC">
        <w:rPr>
          <w:sz w:val="22"/>
          <w:szCs w:val="22"/>
          <w:rtl/>
          <w:lang w:bidi="fa-IR"/>
        </w:rPr>
        <w:t>«</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أَرَادَ</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يَخْلُقَ</w:t>
      </w:r>
      <w:r w:rsidRPr="006571AC">
        <w:rPr>
          <w:rFonts w:cs="DanaFajr"/>
          <w:sz w:val="28"/>
          <w:szCs w:val="28"/>
          <w:rtl/>
        </w:rPr>
        <w:t xml:space="preserve"> </w:t>
      </w:r>
      <w:r w:rsidRPr="006571AC">
        <w:rPr>
          <w:rFonts w:cs="DanaFajr" w:hint="eastAsia"/>
          <w:sz w:val="28"/>
          <w:szCs w:val="28"/>
          <w:rtl/>
        </w:rPr>
        <w:t>آدَمَ</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نُورٍ</w:t>
      </w:r>
      <w:r w:rsidRPr="006571AC">
        <w:rPr>
          <w:rFonts w:cs="DanaFajr"/>
          <w:sz w:val="28"/>
          <w:szCs w:val="28"/>
          <w:rtl/>
        </w:rPr>
        <w:t xml:space="preserve"> </w:t>
      </w:r>
      <w:r w:rsidRPr="006571AC">
        <w:rPr>
          <w:rFonts w:cs="DanaFajr" w:hint="eastAsia"/>
          <w:sz w:val="28"/>
          <w:szCs w:val="28"/>
          <w:rtl/>
        </w:rPr>
        <w:t>يَخْطَفُ</w:t>
      </w:r>
      <w:r w:rsidRPr="006571AC">
        <w:rPr>
          <w:rFonts w:cs="DanaFajr"/>
          <w:sz w:val="28"/>
          <w:szCs w:val="28"/>
          <w:rtl/>
        </w:rPr>
        <w:t xml:space="preserve"> </w:t>
      </w:r>
      <w:r w:rsidRPr="006571AC">
        <w:rPr>
          <w:rFonts w:cs="DanaFajr" w:hint="eastAsia"/>
          <w:sz w:val="28"/>
          <w:szCs w:val="28"/>
          <w:rtl/>
        </w:rPr>
        <w:t>الأَبْصَارَ</w:t>
      </w:r>
      <w:r w:rsidRPr="006571AC">
        <w:rPr>
          <w:rFonts w:cs="DanaFajr"/>
          <w:sz w:val="28"/>
          <w:szCs w:val="28"/>
          <w:rtl/>
        </w:rPr>
        <w:t xml:space="preserve"> </w:t>
      </w:r>
      <w:r w:rsidRPr="006571AC">
        <w:rPr>
          <w:rFonts w:cs="DanaFajr" w:hint="eastAsia"/>
          <w:sz w:val="28"/>
          <w:szCs w:val="28"/>
          <w:rtl/>
        </w:rPr>
        <w:t>ضِيَاؤُهُ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وَيَبْهَرُ</w:t>
      </w:r>
      <w:r w:rsidRPr="006571AC">
        <w:rPr>
          <w:rFonts w:cs="DanaFajr"/>
          <w:sz w:val="28"/>
          <w:szCs w:val="28"/>
          <w:rtl/>
        </w:rPr>
        <w:t xml:space="preserve"> </w:t>
      </w:r>
      <w:r w:rsidRPr="006571AC">
        <w:rPr>
          <w:rFonts w:cs="DanaFajr" w:hint="eastAsia"/>
          <w:sz w:val="28"/>
          <w:szCs w:val="28"/>
          <w:rtl/>
        </w:rPr>
        <w:t>الْعُقُولَ</w:t>
      </w:r>
      <w:r w:rsidRPr="006571AC">
        <w:rPr>
          <w:rFonts w:cs="DanaFajr"/>
          <w:sz w:val="28"/>
          <w:szCs w:val="28"/>
          <w:rtl/>
        </w:rPr>
        <w:t xml:space="preserve"> </w:t>
      </w:r>
      <w:r w:rsidRPr="006571AC">
        <w:rPr>
          <w:rFonts w:cs="DanaFajr" w:hint="eastAsia"/>
          <w:sz w:val="28"/>
          <w:szCs w:val="28"/>
          <w:rtl/>
        </w:rPr>
        <w:t>رُوَاؤُهُ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وَطِيبٍ</w:t>
      </w:r>
      <w:r w:rsidRPr="006571AC">
        <w:rPr>
          <w:rFonts w:cs="DanaFajr"/>
          <w:sz w:val="28"/>
          <w:szCs w:val="28"/>
          <w:rtl/>
        </w:rPr>
        <w:t xml:space="preserve"> </w:t>
      </w:r>
      <w:r w:rsidRPr="006571AC">
        <w:rPr>
          <w:rFonts w:cs="DanaFajr" w:hint="eastAsia"/>
          <w:sz w:val="28"/>
          <w:szCs w:val="28"/>
          <w:rtl/>
        </w:rPr>
        <w:t>يَأْخُذُ</w:t>
      </w:r>
      <w:r w:rsidRPr="006571AC">
        <w:rPr>
          <w:rFonts w:cs="DanaFajr"/>
          <w:sz w:val="28"/>
          <w:szCs w:val="28"/>
          <w:rtl/>
        </w:rPr>
        <w:t xml:space="preserve"> </w:t>
      </w:r>
      <w:r w:rsidRPr="006571AC">
        <w:rPr>
          <w:rFonts w:cs="DanaFajr" w:hint="eastAsia"/>
          <w:sz w:val="28"/>
          <w:szCs w:val="28"/>
          <w:rtl/>
        </w:rPr>
        <w:t>الأَنْفَاسَ</w:t>
      </w:r>
      <w:r w:rsidRPr="006571AC">
        <w:rPr>
          <w:rFonts w:cs="DanaFajr"/>
          <w:sz w:val="28"/>
          <w:szCs w:val="28"/>
          <w:rtl/>
        </w:rPr>
        <w:t xml:space="preserve"> </w:t>
      </w:r>
      <w:r w:rsidRPr="006571AC">
        <w:rPr>
          <w:rFonts w:cs="DanaFajr" w:hint="eastAsia"/>
          <w:sz w:val="28"/>
          <w:szCs w:val="28"/>
          <w:rtl/>
        </w:rPr>
        <w:t>عَرْفُهُ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لَفَعَلَ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فَعَلَ</w:t>
      </w:r>
      <w:r w:rsidRPr="006571AC">
        <w:rPr>
          <w:rFonts w:cs="DanaFajr"/>
          <w:sz w:val="28"/>
          <w:szCs w:val="28"/>
          <w:rtl/>
        </w:rPr>
        <w:t xml:space="preserve"> </w:t>
      </w:r>
      <w:r w:rsidRPr="006571AC">
        <w:rPr>
          <w:rFonts w:cs="DanaFajr" w:hint="eastAsia"/>
          <w:sz w:val="28"/>
          <w:szCs w:val="28"/>
          <w:rtl/>
        </w:rPr>
        <w:t>لَظَلَّتْ</w:t>
      </w:r>
      <w:r w:rsidRPr="006571AC">
        <w:rPr>
          <w:rFonts w:cs="DanaFajr"/>
          <w:sz w:val="28"/>
          <w:szCs w:val="28"/>
          <w:rtl/>
        </w:rPr>
        <w:t xml:space="preserve"> </w:t>
      </w:r>
      <w:r w:rsidRPr="006571AC">
        <w:rPr>
          <w:rFonts w:cs="DanaFajr" w:hint="eastAsia"/>
          <w:sz w:val="28"/>
          <w:szCs w:val="28"/>
          <w:rtl/>
        </w:rPr>
        <w:t>لَهُ</w:t>
      </w:r>
      <w:r w:rsidRPr="006571AC">
        <w:rPr>
          <w:rFonts w:cs="DanaFajr"/>
          <w:sz w:val="28"/>
          <w:szCs w:val="28"/>
          <w:rtl/>
        </w:rPr>
        <w:t xml:space="preserve"> </w:t>
      </w:r>
      <w:r w:rsidRPr="006571AC">
        <w:rPr>
          <w:rFonts w:cs="DanaFajr" w:hint="eastAsia"/>
          <w:sz w:val="28"/>
          <w:szCs w:val="28"/>
          <w:rtl/>
        </w:rPr>
        <w:t>الأَعْنَاقُ</w:t>
      </w:r>
      <w:r w:rsidRPr="006571AC">
        <w:rPr>
          <w:rFonts w:cs="DanaFajr"/>
          <w:sz w:val="28"/>
          <w:szCs w:val="28"/>
          <w:rtl/>
        </w:rPr>
        <w:t xml:space="preserve"> </w:t>
      </w:r>
      <w:r w:rsidRPr="006571AC">
        <w:rPr>
          <w:rFonts w:cs="DanaFajr" w:hint="eastAsia"/>
          <w:sz w:val="28"/>
          <w:szCs w:val="28"/>
          <w:rtl/>
        </w:rPr>
        <w:t>خَاضِعَةً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وَلَخَفَّتِ</w:t>
      </w:r>
      <w:r w:rsidRPr="006571AC">
        <w:rPr>
          <w:rFonts w:cs="DanaFajr"/>
          <w:sz w:val="28"/>
          <w:szCs w:val="28"/>
          <w:rtl/>
        </w:rPr>
        <w:t xml:space="preserve"> </w:t>
      </w:r>
      <w:r w:rsidRPr="006571AC">
        <w:rPr>
          <w:rFonts w:cs="DanaFajr" w:hint="eastAsia"/>
          <w:sz w:val="28"/>
          <w:szCs w:val="28"/>
          <w:rtl/>
        </w:rPr>
        <w:t>الْبَلْوَى</w:t>
      </w:r>
      <w:r w:rsidRPr="006571AC">
        <w:rPr>
          <w:rFonts w:cs="DanaFajr"/>
          <w:sz w:val="28"/>
          <w:szCs w:val="28"/>
          <w:rtl/>
        </w:rPr>
        <w:t xml:space="preserve"> </w:t>
      </w:r>
      <w:r w:rsidRPr="006571AC">
        <w:rPr>
          <w:rFonts w:cs="DanaFajr" w:hint="eastAsia"/>
          <w:sz w:val="28"/>
          <w:szCs w:val="28"/>
          <w:rtl/>
        </w:rPr>
        <w:t>فِيهِ</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الْمَلا</w:t>
      </w:r>
      <w:r w:rsidRPr="006571AC">
        <w:rPr>
          <w:rFonts w:cs="DanaFajr" w:hint="cs"/>
          <w:sz w:val="28"/>
          <w:szCs w:val="28"/>
          <w:rtl/>
        </w:rPr>
        <w:t>َ</w:t>
      </w:r>
      <w:r w:rsidRPr="006571AC">
        <w:rPr>
          <w:rFonts w:cs="DanaFajr" w:hint="eastAsia"/>
          <w:sz w:val="28"/>
          <w:szCs w:val="28"/>
          <w:rtl/>
        </w:rPr>
        <w:t>ئِكَةِ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وَلَكِنَّ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يَبْتَلِي</w:t>
      </w:r>
      <w:r w:rsidRPr="006571AC">
        <w:rPr>
          <w:rFonts w:cs="DanaFajr"/>
          <w:sz w:val="28"/>
          <w:szCs w:val="28"/>
          <w:rtl/>
        </w:rPr>
        <w:t xml:space="preserve"> </w:t>
      </w:r>
      <w:r w:rsidRPr="006571AC">
        <w:rPr>
          <w:rFonts w:cs="DanaFajr" w:hint="eastAsia"/>
          <w:sz w:val="28"/>
          <w:szCs w:val="28"/>
          <w:rtl/>
        </w:rPr>
        <w:t>خَلْقَهُ</w:t>
      </w:r>
      <w:r w:rsidRPr="006571AC">
        <w:rPr>
          <w:rFonts w:cs="DanaFajr"/>
          <w:sz w:val="28"/>
          <w:szCs w:val="28"/>
          <w:rtl/>
        </w:rPr>
        <w:t xml:space="preserve"> </w:t>
      </w:r>
      <w:r w:rsidRPr="006571AC">
        <w:rPr>
          <w:rFonts w:cs="DanaFajr" w:hint="eastAsia"/>
          <w:sz w:val="28"/>
          <w:szCs w:val="28"/>
          <w:rtl/>
        </w:rPr>
        <w:t>بِبَعْضِ</w:t>
      </w:r>
      <w:r w:rsidRPr="006571AC">
        <w:rPr>
          <w:rFonts w:cs="DanaFajr"/>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يَجْهَلُونَ</w:t>
      </w:r>
      <w:r w:rsidRPr="006571AC">
        <w:rPr>
          <w:rFonts w:cs="DanaFajr"/>
          <w:sz w:val="28"/>
          <w:szCs w:val="28"/>
          <w:rtl/>
        </w:rPr>
        <w:t xml:space="preserve"> </w:t>
      </w:r>
      <w:r w:rsidRPr="006571AC">
        <w:rPr>
          <w:rFonts w:cs="DanaFajr" w:hint="eastAsia"/>
          <w:sz w:val="28"/>
          <w:szCs w:val="28"/>
          <w:rtl/>
        </w:rPr>
        <w:t>أَصْلَهُ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تَمْيِيزاً</w:t>
      </w:r>
      <w:r w:rsidRPr="006571AC">
        <w:rPr>
          <w:rFonts w:cs="DanaFajr"/>
          <w:sz w:val="28"/>
          <w:szCs w:val="28"/>
          <w:rtl/>
        </w:rPr>
        <w:t xml:space="preserve"> </w:t>
      </w:r>
      <w:r w:rsidRPr="006571AC">
        <w:rPr>
          <w:rFonts w:cs="DanaFajr" w:hint="eastAsia"/>
          <w:sz w:val="28"/>
          <w:szCs w:val="28"/>
          <w:rtl/>
        </w:rPr>
        <w:t>بِالاخْتِبَارِ</w:t>
      </w:r>
      <w:r w:rsidRPr="006571AC">
        <w:rPr>
          <w:rFonts w:cs="DanaFajr"/>
          <w:sz w:val="28"/>
          <w:szCs w:val="28"/>
          <w:rtl/>
        </w:rPr>
        <w:t xml:space="preserve"> </w:t>
      </w:r>
      <w:r w:rsidRPr="006571AC">
        <w:rPr>
          <w:rFonts w:cs="DanaFajr" w:hint="eastAsia"/>
          <w:sz w:val="28"/>
          <w:szCs w:val="28"/>
          <w:rtl/>
        </w:rPr>
        <w:t>لَهُمْ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وَنَفْياً</w:t>
      </w:r>
      <w:r w:rsidRPr="006571AC">
        <w:rPr>
          <w:rFonts w:cs="DanaFajr"/>
          <w:sz w:val="28"/>
          <w:szCs w:val="28"/>
          <w:rtl/>
        </w:rPr>
        <w:t xml:space="preserve"> </w:t>
      </w:r>
      <w:r w:rsidRPr="006571AC">
        <w:rPr>
          <w:rFonts w:cs="DanaFajr" w:hint="eastAsia"/>
          <w:sz w:val="28"/>
          <w:szCs w:val="28"/>
          <w:rtl/>
        </w:rPr>
        <w:t>لِلاسْتِكْبَارِ</w:t>
      </w:r>
      <w:r w:rsidRPr="006571AC">
        <w:rPr>
          <w:rFonts w:cs="DanaFajr"/>
          <w:sz w:val="28"/>
          <w:szCs w:val="28"/>
          <w:rtl/>
        </w:rPr>
        <w:t xml:space="preserve"> </w:t>
      </w:r>
      <w:r w:rsidRPr="006571AC">
        <w:rPr>
          <w:rFonts w:cs="DanaFajr" w:hint="eastAsia"/>
          <w:sz w:val="28"/>
          <w:szCs w:val="28"/>
          <w:rtl/>
        </w:rPr>
        <w:t>عَنْهُمْ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وَإِبْعَاداً</w:t>
      </w:r>
      <w:r w:rsidRPr="006571AC">
        <w:rPr>
          <w:rFonts w:cs="DanaFajr"/>
          <w:sz w:val="28"/>
          <w:szCs w:val="28"/>
          <w:rtl/>
        </w:rPr>
        <w:t xml:space="preserve"> </w:t>
      </w:r>
      <w:r w:rsidRPr="006571AC">
        <w:rPr>
          <w:rFonts w:cs="DanaFajr" w:hint="eastAsia"/>
          <w:sz w:val="28"/>
          <w:szCs w:val="28"/>
          <w:rtl/>
        </w:rPr>
        <w:t>لِلْخُيَلا</w:t>
      </w:r>
      <w:r w:rsidRPr="006571AC">
        <w:rPr>
          <w:rFonts w:cs="DanaFajr" w:hint="cs"/>
          <w:sz w:val="28"/>
          <w:szCs w:val="28"/>
          <w:rtl/>
        </w:rPr>
        <w:t>َ</w:t>
      </w:r>
      <w:r w:rsidRPr="006571AC">
        <w:rPr>
          <w:rFonts w:cs="DanaFajr" w:hint="eastAsia"/>
          <w:sz w:val="28"/>
          <w:szCs w:val="28"/>
          <w:rtl/>
        </w:rPr>
        <w:t>ءِ</w:t>
      </w:r>
      <w:r w:rsidRPr="006571AC">
        <w:rPr>
          <w:rFonts w:cs="DanaFajr"/>
          <w:sz w:val="28"/>
          <w:szCs w:val="28"/>
          <w:rtl/>
        </w:rPr>
        <w:t xml:space="preserve"> </w:t>
      </w:r>
      <w:r w:rsidRPr="006571AC">
        <w:rPr>
          <w:rFonts w:cs="DanaFajr" w:hint="eastAsia"/>
          <w:sz w:val="28"/>
          <w:szCs w:val="28"/>
          <w:rtl/>
        </w:rPr>
        <w:t>مِنْهُمْ</w:t>
      </w:r>
      <w:r w:rsidRPr="006571AC">
        <w:rPr>
          <w:sz w:val="22"/>
          <w:szCs w:val="22"/>
          <w:rtl/>
        </w:rPr>
        <w:t>»</w:t>
      </w:r>
      <w:r w:rsidRPr="006571AC">
        <w:rPr>
          <w:rFonts w:cs="DanaFajr" w:hint="cs"/>
          <w:sz w:val="28"/>
          <w:szCs w:val="28"/>
          <w:rtl/>
        </w:rPr>
        <w:t>.</w:t>
      </w:r>
    </w:p>
  </w:endnote>
  <w:endnote w:id="14">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eastAsia"/>
          <w:sz w:val="28"/>
          <w:szCs w:val="28"/>
          <w:rtl/>
          <w:lang w:bidi="fa-IR"/>
        </w:rPr>
        <w:t>المصدر</w:t>
      </w:r>
      <w:r w:rsidRPr="006571AC">
        <w:rPr>
          <w:rFonts w:cs="DanaFajr"/>
          <w:sz w:val="28"/>
          <w:szCs w:val="28"/>
          <w:rtl/>
          <w:lang w:bidi="fa-IR"/>
        </w:rPr>
        <w:t xml:space="preserve"> </w:t>
      </w:r>
      <w:r w:rsidRPr="006571AC">
        <w:rPr>
          <w:rFonts w:cs="DanaFajr" w:hint="eastAsia"/>
          <w:sz w:val="28"/>
          <w:szCs w:val="28"/>
          <w:rtl/>
          <w:lang w:bidi="fa-IR"/>
        </w:rPr>
        <w:t>السابق</w:t>
      </w:r>
      <w:r w:rsidRPr="006571AC">
        <w:rPr>
          <w:rFonts w:cs="DanaFajr" w:hint="cs"/>
          <w:sz w:val="28"/>
          <w:szCs w:val="28"/>
          <w:rtl/>
          <w:lang w:bidi="fa-IR"/>
        </w:rPr>
        <w:t xml:space="preserve">، الخطبة 192: </w:t>
      </w:r>
      <w:r w:rsidRPr="006571AC">
        <w:rPr>
          <w:sz w:val="22"/>
          <w:szCs w:val="22"/>
          <w:rtl/>
          <w:lang w:bidi="fa-IR"/>
        </w:rPr>
        <w:t>«</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أَرَادَ</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لأَنْبِيَائِهِ</w:t>
      </w:r>
      <w:r w:rsidRPr="006571AC">
        <w:rPr>
          <w:rFonts w:cs="DanaFajr"/>
          <w:sz w:val="28"/>
          <w:szCs w:val="28"/>
          <w:rtl/>
        </w:rPr>
        <w:t xml:space="preserve"> </w:t>
      </w:r>
      <w:r w:rsidRPr="006571AC">
        <w:rPr>
          <w:rFonts w:cs="DanaFajr" w:hint="eastAsia"/>
          <w:sz w:val="28"/>
          <w:szCs w:val="28"/>
          <w:rtl/>
        </w:rPr>
        <w:t>حَيْثُ</w:t>
      </w:r>
      <w:r w:rsidRPr="006571AC">
        <w:rPr>
          <w:rFonts w:cs="DanaFajr"/>
          <w:sz w:val="28"/>
          <w:szCs w:val="28"/>
          <w:rtl/>
        </w:rPr>
        <w:t xml:space="preserve"> </w:t>
      </w:r>
      <w:r w:rsidRPr="006571AC">
        <w:rPr>
          <w:rFonts w:cs="DanaFajr" w:hint="eastAsia"/>
          <w:sz w:val="28"/>
          <w:szCs w:val="28"/>
          <w:rtl/>
        </w:rPr>
        <w:t>بَعَثَهُمْ</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يَفْتَحَ</w:t>
      </w:r>
      <w:r w:rsidRPr="006571AC">
        <w:rPr>
          <w:rFonts w:cs="DanaFajr"/>
          <w:sz w:val="28"/>
          <w:szCs w:val="28"/>
          <w:rtl/>
        </w:rPr>
        <w:t xml:space="preserve"> </w:t>
      </w:r>
      <w:r w:rsidRPr="006571AC">
        <w:rPr>
          <w:rFonts w:cs="DanaFajr" w:hint="eastAsia"/>
          <w:sz w:val="28"/>
          <w:szCs w:val="28"/>
          <w:rtl/>
        </w:rPr>
        <w:t>لَهُمْ</w:t>
      </w:r>
      <w:r w:rsidRPr="006571AC">
        <w:rPr>
          <w:rFonts w:cs="DanaFajr"/>
          <w:sz w:val="28"/>
          <w:szCs w:val="28"/>
          <w:rtl/>
        </w:rPr>
        <w:t xml:space="preserve"> </w:t>
      </w:r>
      <w:r w:rsidRPr="006571AC">
        <w:rPr>
          <w:rFonts w:cs="DanaFajr" w:hint="eastAsia"/>
          <w:sz w:val="28"/>
          <w:szCs w:val="28"/>
          <w:rtl/>
        </w:rPr>
        <w:t>كُنُوزَ</w:t>
      </w:r>
      <w:r w:rsidRPr="006571AC">
        <w:rPr>
          <w:rFonts w:cs="DanaFajr"/>
          <w:sz w:val="28"/>
          <w:szCs w:val="28"/>
          <w:rtl/>
        </w:rPr>
        <w:t xml:space="preserve"> </w:t>
      </w:r>
      <w:r w:rsidRPr="006571AC">
        <w:rPr>
          <w:rFonts w:cs="DanaFajr" w:hint="eastAsia"/>
          <w:sz w:val="28"/>
          <w:szCs w:val="28"/>
          <w:rtl/>
        </w:rPr>
        <w:t>الذِّهْبَانِ</w:t>
      </w:r>
      <w:r w:rsidRPr="006571AC">
        <w:rPr>
          <w:rFonts w:cs="DanaFajr"/>
          <w:sz w:val="28"/>
          <w:szCs w:val="28"/>
          <w:rtl/>
        </w:rPr>
        <w:t xml:space="preserve"> </w:t>
      </w:r>
      <w:r w:rsidRPr="006571AC">
        <w:rPr>
          <w:rFonts w:cs="DanaFajr" w:hint="eastAsia"/>
          <w:sz w:val="28"/>
          <w:szCs w:val="28"/>
          <w:rtl/>
        </w:rPr>
        <w:t>وَمَعَادِنَ</w:t>
      </w:r>
      <w:r w:rsidRPr="006571AC">
        <w:rPr>
          <w:rFonts w:cs="DanaFajr"/>
          <w:sz w:val="28"/>
          <w:szCs w:val="28"/>
          <w:rtl/>
        </w:rPr>
        <w:t xml:space="preserve"> </w:t>
      </w:r>
      <w:r w:rsidRPr="006571AC">
        <w:rPr>
          <w:rFonts w:cs="DanaFajr" w:hint="eastAsia"/>
          <w:sz w:val="28"/>
          <w:szCs w:val="28"/>
          <w:rtl/>
        </w:rPr>
        <w:t>الْعِقْيَانِ</w:t>
      </w:r>
      <w:r w:rsidRPr="006571AC">
        <w:rPr>
          <w:rFonts w:cs="DanaFajr"/>
          <w:sz w:val="28"/>
          <w:szCs w:val="28"/>
          <w:rtl/>
        </w:rPr>
        <w:t xml:space="preserve"> </w:t>
      </w:r>
      <w:r w:rsidRPr="006571AC">
        <w:rPr>
          <w:rFonts w:cs="DanaFajr" w:hint="eastAsia"/>
          <w:sz w:val="28"/>
          <w:szCs w:val="28"/>
          <w:rtl/>
        </w:rPr>
        <w:t>وَمَغَارِسَ</w:t>
      </w:r>
      <w:r w:rsidRPr="006571AC">
        <w:rPr>
          <w:rFonts w:cs="DanaFajr"/>
          <w:sz w:val="28"/>
          <w:szCs w:val="28"/>
          <w:rtl/>
        </w:rPr>
        <w:t xml:space="preserve"> </w:t>
      </w:r>
      <w:r w:rsidRPr="006571AC">
        <w:rPr>
          <w:rFonts w:cs="DanaFajr" w:hint="eastAsia"/>
          <w:sz w:val="28"/>
          <w:szCs w:val="28"/>
          <w:rtl/>
        </w:rPr>
        <w:t>الْجِنَانِ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وَأَنْ</w:t>
      </w:r>
      <w:r w:rsidRPr="006571AC">
        <w:rPr>
          <w:rFonts w:cs="DanaFajr"/>
          <w:sz w:val="28"/>
          <w:szCs w:val="28"/>
          <w:rtl/>
        </w:rPr>
        <w:t xml:space="preserve"> </w:t>
      </w:r>
      <w:r w:rsidRPr="006571AC">
        <w:rPr>
          <w:rFonts w:cs="DanaFajr" w:hint="eastAsia"/>
          <w:sz w:val="28"/>
          <w:szCs w:val="28"/>
          <w:rtl/>
        </w:rPr>
        <w:t>يَحْشُرَ</w:t>
      </w:r>
      <w:r w:rsidRPr="006571AC">
        <w:rPr>
          <w:rFonts w:cs="DanaFajr"/>
          <w:sz w:val="28"/>
          <w:szCs w:val="28"/>
          <w:rtl/>
        </w:rPr>
        <w:t xml:space="preserve"> </w:t>
      </w:r>
      <w:r w:rsidRPr="006571AC">
        <w:rPr>
          <w:rFonts w:cs="DanaFajr" w:hint="eastAsia"/>
          <w:sz w:val="28"/>
          <w:szCs w:val="28"/>
          <w:rtl/>
        </w:rPr>
        <w:t>مَعَهُمْ</w:t>
      </w:r>
      <w:r w:rsidRPr="006571AC">
        <w:rPr>
          <w:rFonts w:cs="DanaFajr"/>
          <w:sz w:val="28"/>
          <w:szCs w:val="28"/>
          <w:rtl/>
        </w:rPr>
        <w:t xml:space="preserve"> </w:t>
      </w:r>
      <w:r w:rsidRPr="006571AC">
        <w:rPr>
          <w:rFonts w:cs="DanaFajr" w:hint="eastAsia"/>
          <w:sz w:val="28"/>
          <w:szCs w:val="28"/>
          <w:rtl/>
        </w:rPr>
        <w:t>طُيُورَ</w:t>
      </w:r>
      <w:r w:rsidRPr="006571AC">
        <w:rPr>
          <w:rFonts w:cs="DanaFajr"/>
          <w:sz w:val="28"/>
          <w:szCs w:val="28"/>
          <w:rtl/>
        </w:rPr>
        <w:t xml:space="preserve"> </w:t>
      </w:r>
      <w:r w:rsidRPr="006571AC">
        <w:rPr>
          <w:rFonts w:cs="DanaFajr" w:hint="eastAsia"/>
          <w:sz w:val="28"/>
          <w:szCs w:val="28"/>
          <w:rtl/>
        </w:rPr>
        <w:t>السَّمَاءِ</w:t>
      </w:r>
      <w:r w:rsidRPr="006571AC">
        <w:rPr>
          <w:rFonts w:cs="DanaFajr"/>
          <w:sz w:val="28"/>
          <w:szCs w:val="28"/>
          <w:rtl/>
        </w:rPr>
        <w:t xml:space="preserve"> </w:t>
      </w:r>
      <w:r w:rsidRPr="006571AC">
        <w:rPr>
          <w:rFonts w:cs="DanaFajr" w:hint="eastAsia"/>
          <w:sz w:val="28"/>
          <w:szCs w:val="28"/>
          <w:rtl/>
        </w:rPr>
        <w:t>وَوُحُوشَ</w:t>
      </w:r>
      <w:r w:rsidRPr="006571AC">
        <w:rPr>
          <w:rFonts w:cs="DanaFajr"/>
          <w:sz w:val="28"/>
          <w:szCs w:val="28"/>
          <w:rtl/>
        </w:rPr>
        <w:t xml:space="preserve"> </w:t>
      </w:r>
      <w:r w:rsidRPr="006571AC">
        <w:rPr>
          <w:rFonts w:cs="DanaFajr" w:hint="eastAsia"/>
          <w:sz w:val="28"/>
          <w:szCs w:val="28"/>
          <w:rtl/>
        </w:rPr>
        <w:t>الأَرَضِينَ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لَفَعَلَ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فَعَلَ</w:t>
      </w:r>
      <w:r w:rsidRPr="006571AC">
        <w:rPr>
          <w:rFonts w:cs="DanaFajr"/>
          <w:sz w:val="28"/>
          <w:szCs w:val="28"/>
          <w:rtl/>
        </w:rPr>
        <w:t xml:space="preserve"> </w:t>
      </w:r>
      <w:r w:rsidRPr="006571AC">
        <w:rPr>
          <w:rFonts w:cs="DanaFajr" w:hint="eastAsia"/>
          <w:sz w:val="28"/>
          <w:szCs w:val="28"/>
          <w:rtl/>
        </w:rPr>
        <w:t>لَسَقَطَ</w:t>
      </w:r>
      <w:r w:rsidRPr="006571AC">
        <w:rPr>
          <w:rFonts w:cs="DanaFajr"/>
          <w:sz w:val="28"/>
          <w:szCs w:val="28"/>
          <w:rtl/>
        </w:rPr>
        <w:t xml:space="preserve"> </w:t>
      </w:r>
      <w:r w:rsidRPr="006571AC">
        <w:rPr>
          <w:rFonts w:cs="DanaFajr" w:hint="eastAsia"/>
          <w:sz w:val="28"/>
          <w:szCs w:val="28"/>
          <w:rtl/>
        </w:rPr>
        <w:t>الْبَلاءُ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وَبَطَلَ</w:t>
      </w:r>
      <w:r w:rsidRPr="006571AC">
        <w:rPr>
          <w:rFonts w:cs="DanaFajr"/>
          <w:sz w:val="28"/>
          <w:szCs w:val="28"/>
          <w:rtl/>
        </w:rPr>
        <w:t xml:space="preserve"> </w:t>
      </w:r>
      <w:r w:rsidRPr="006571AC">
        <w:rPr>
          <w:rFonts w:cs="DanaFajr" w:hint="eastAsia"/>
          <w:sz w:val="28"/>
          <w:szCs w:val="28"/>
          <w:rtl/>
        </w:rPr>
        <w:t>الْجَزَاءُ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وَاضْمَحَلَّتِ</w:t>
      </w:r>
      <w:r w:rsidRPr="006571AC">
        <w:rPr>
          <w:rFonts w:cs="DanaFajr"/>
          <w:sz w:val="28"/>
          <w:szCs w:val="28"/>
          <w:rtl/>
        </w:rPr>
        <w:t xml:space="preserve"> </w:t>
      </w:r>
      <w:r w:rsidRPr="006571AC">
        <w:rPr>
          <w:rFonts w:cs="DanaFajr" w:hint="eastAsia"/>
          <w:sz w:val="28"/>
          <w:szCs w:val="28"/>
          <w:rtl/>
        </w:rPr>
        <w:t>الأَنْبَاءُ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وَلَمَا</w:t>
      </w:r>
      <w:r w:rsidRPr="006571AC">
        <w:rPr>
          <w:rFonts w:cs="DanaFajr"/>
          <w:sz w:val="28"/>
          <w:szCs w:val="28"/>
          <w:rtl/>
        </w:rPr>
        <w:t xml:space="preserve"> </w:t>
      </w:r>
      <w:r w:rsidRPr="006571AC">
        <w:rPr>
          <w:rFonts w:cs="DanaFajr" w:hint="eastAsia"/>
          <w:sz w:val="28"/>
          <w:szCs w:val="28"/>
          <w:rtl/>
        </w:rPr>
        <w:t>وَجَبَ</w:t>
      </w:r>
      <w:r w:rsidRPr="006571AC">
        <w:rPr>
          <w:rFonts w:cs="DanaFajr"/>
          <w:sz w:val="28"/>
          <w:szCs w:val="28"/>
          <w:rtl/>
        </w:rPr>
        <w:t xml:space="preserve"> </w:t>
      </w:r>
      <w:r w:rsidRPr="006571AC">
        <w:rPr>
          <w:rFonts w:cs="DanaFajr" w:hint="eastAsia"/>
          <w:sz w:val="28"/>
          <w:szCs w:val="28"/>
          <w:rtl/>
        </w:rPr>
        <w:t>لِلْقَابِلِينَ</w:t>
      </w:r>
      <w:r w:rsidRPr="006571AC">
        <w:rPr>
          <w:rFonts w:cs="DanaFajr"/>
          <w:sz w:val="28"/>
          <w:szCs w:val="28"/>
          <w:rtl/>
        </w:rPr>
        <w:t xml:space="preserve"> </w:t>
      </w:r>
      <w:r w:rsidRPr="006571AC">
        <w:rPr>
          <w:rFonts w:cs="DanaFajr" w:hint="eastAsia"/>
          <w:sz w:val="28"/>
          <w:szCs w:val="28"/>
          <w:rtl/>
        </w:rPr>
        <w:t>أُجُورُ</w:t>
      </w:r>
      <w:r w:rsidRPr="006571AC">
        <w:rPr>
          <w:rFonts w:cs="DanaFajr"/>
          <w:sz w:val="28"/>
          <w:szCs w:val="28"/>
          <w:rtl/>
        </w:rPr>
        <w:t xml:space="preserve"> </w:t>
      </w:r>
      <w:r w:rsidRPr="006571AC">
        <w:rPr>
          <w:rFonts w:cs="DanaFajr" w:hint="eastAsia"/>
          <w:sz w:val="28"/>
          <w:szCs w:val="28"/>
          <w:rtl/>
        </w:rPr>
        <w:t>الْمُبْتَلَيْنَ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sz w:val="28"/>
          <w:szCs w:val="28"/>
          <w:rtl/>
        </w:rPr>
        <w:t xml:space="preserve"> </w:t>
      </w:r>
      <w:r w:rsidRPr="006571AC">
        <w:rPr>
          <w:rFonts w:cs="DanaFajr" w:hint="eastAsia"/>
          <w:sz w:val="28"/>
          <w:szCs w:val="28"/>
          <w:rtl/>
        </w:rPr>
        <w:t>اسْتَحَقَّ</w:t>
      </w:r>
      <w:r w:rsidRPr="006571AC">
        <w:rPr>
          <w:rFonts w:cs="DanaFajr"/>
          <w:sz w:val="28"/>
          <w:szCs w:val="28"/>
          <w:rtl/>
        </w:rPr>
        <w:t xml:space="preserve"> </w:t>
      </w:r>
      <w:r w:rsidRPr="006571AC">
        <w:rPr>
          <w:rFonts w:cs="DanaFajr" w:hint="eastAsia"/>
          <w:sz w:val="28"/>
          <w:szCs w:val="28"/>
          <w:rtl/>
        </w:rPr>
        <w:t>الْمُؤْمِنُونَ</w:t>
      </w:r>
      <w:r w:rsidRPr="006571AC">
        <w:rPr>
          <w:rFonts w:cs="DanaFajr"/>
          <w:sz w:val="28"/>
          <w:szCs w:val="28"/>
          <w:rtl/>
        </w:rPr>
        <w:t xml:space="preserve"> </w:t>
      </w:r>
      <w:r w:rsidRPr="006571AC">
        <w:rPr>
          <w:rFonts w:cs="DanaFajr" w:hint="eastAsia"/>
          <w:sz w:val="28"/>
          <w:szCs w:val="28"/>
          <w:rtl/>
        </w:rPr>
        <w:t>ثَوَابَ</w:t>
      </w:r>
      <w:r w:rsidRPr="006571AC">
        <w:rPr>
          <w:rFonts w:cs="DanaFajr"/>
          <w:sz w:val="28"/>
          <w:szCs w:val="28"/>
          <w:rtl/>
        </w:rPr>
        <w:t xml:space="preserve"> </w:t>
      </w:r>
      <w:r w:rsidRPr="006571AC">
        <w:rPr>
          <w:rFonts w:cs="DanaFajr" w:hint="eastAsia"/>
          <w:sz w:val="28"/>
          <w:szCs w:val="28"/>
          <w:rtl/>
        </w:rPr>
        <w:t>الْمُحْسِنِينَ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sz w:val="28"/>
          <w:szCs w:val="28"/>
          <w:rtl/>
        </w:rPr>
        <w:t xml:space="preserve"> </w:t>
      </w:r>
      <w:r w:rsidRPr="006571AC">
        <w:rPr>
          <w:rFonts w:cs="DanaFajr" w:hint="eastAsia"/>
          <w:sz w:val="28"/>
          <w:szCs w:val="28"/>
          <w:rtl/>
        </w:rPr>
        <w:t>لَزِمَتِ</w:t>
      </w:r>
      <w:r w:rsidRPr="006571AC">
        <w:rPr>
          <w:rFonts w:cs="DanaFajr"/>
          <w:sz w:val="28"/>
          <w:szCs w:val="28"/>
          <w:rtl/>
        </w:rPr>
        <w:t xml:space="preserve"> </w:t>
      </w:r>
      <w:r w:rsidRPr="006571AC">
        <w:rPr>
          <w:rFonts w:cs="DanaFajr" w:hint="eastAsia"/>
          <w:sz w:val="28"/>
          <w:szCs w:val="28"/>
          <w:rtl/>
        </w:rPr>
        <w:t>الأَسْمَاءُ</w:t>
      </w:r>
      <w:r w:rsidRPr="006571AC">
        <w:rPr>
          <w:rFonts w:cs="DanaFajr"/>
          <w:sz w:val="28"/>
          <w:szCs w:val="28"/>
          <w:rtl/>
        </w:rPr>
        <w:t xml:space="preserve"> </w:t>
      </w:r>
      <w:r w:rsidRPr="006571AC">
        <w:rPr>
          <w:rFonts w:cs="DanaFajr" w:hint="eastAsia"/>
          <w:sz w:val="28"/>
          <w:szCs w:val="28"/>
          <w:rtl/>
        </w:rPr>
        <w:t>مَعَانِيَهَا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وَلَكِنَّ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جَعَلَ</w:t>
      </w:r>
      <w:r w:rsidRPr="006571AC">
        <w:rPr>
          <w:rFonts w:cs="DanaFajr"/>
          <w:sz w:val="28"/>
          <w:szCs w:val="28"/>
          <w:rtl/>
        </w:rPr>
        <w:t xml:space="preserve"> </w:t>
      </w:r>
      <w:r w:rsidRPr="006571AC">
        <w:rPr>
          <w:rFonts w:cs="DanaFajr" w:hint="eastAsia"/>
          <w:sz w:val="28"/>
          <w:szCs w:val="28"/>
          <w:rtl/>
        </w:rPr>
        <w:t>رُسُلَهُ</w:t>
      </w:r>
      <w:r w:rsidRPr="006571AC">
        <w:rPr>
          <w:rFonts w:cs="DanaFajr"/>
          <w:sz w:val="28"/>
          <w:szCs w:val="28"/>
          <w:rtl/>
        </w:rPr>
        <w:t xml:space="preserve"> </w:t>
      </w:r>
      <w:r w:rsidRPr="006571AC">
        <w:rPr>
          <w:rFonts w:cs="DanaFajr" w:hint="eastAsia"/>
          <w:sz w:val="28"/>
          <w:szCs w:val="28"/>
          <w:rtl/>
        </w:rPr>
        <w:t>أُولِي</w:t>
      </w:r>
      <w:r w:rsidRPr="006571AC">
        <w:rPr>
          <w:rFonts w:cs="DanaFajr"/>
          <w:sz w:val="28"/>
          <w:szCs w:val="28"/>
          <w:rtl/>
        </w:rPr>
        <w:t xml:space="preserve"> </w:t>
      </w:r>
      <w:r w:rsidRPr="006571AC">
        <w:rPr>
          <w:rFonts w:cs="DanaFajr" w:hint="eastAsia"/>
          <w:sz w:val="28"/>
          <w:szCs w:val="28"/>
          <w:rtl/>
        </w:rPr>
        <w:t>قُوَّةٍ</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عَزَائِمِهِمْ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وَضَعَفَةً</w:t>
      </w:r>
      <w:r w:rsidRPr="006571AC">
        <w:rPr>
          <w:rFonts w:cs="DanaFajr"/>
          <w:sz w:val="28"/>
          <w:szCs w:val="28"/>
          <w:rtl/>
        </w:rPr>
        <w:t xml:space="preserve"> </w:t>
      </w:r>
      <w:r w:rsidRPr="006571AC">
        <w:rPr>
          <w:rFonts w:cs="DanaFajr" w:hint="eastAsia"/>
          <w:sz w:val="28"/>
          <w:szCs w:val="28"/>
          <w:rtl/>
        </w:rPr>
        <w:t>فِيمَا</w:t>
      </w:r>
      <w:r w:rsidRPr="006571AC">
        <w:rPr>
          <w:rFonts w:cs="DanaFajr"/>
          <w:sz w:val="28"/>
          <w:szCs w:val="28"/>
          <w:rtl/>
        </w:rPr>
        <w:t xml:space="preserve"> </w:t>
      </w:r>
      <w:r w:rsidRPr="006571AC">
        <w:rPr>
          <w:rFonts w:cs="DanaFajr" w:hint="eastAsia"/>
          <w:sz w:val="28"/>
          <w:szCs w:val="28"/>
          <w:rtl/>
        </w:rPr>
        <w:t>تَرَى</w:t>
      </w:r>
      <w:r w:rsidRPr="006571AC">
        <w:rPr>
          <w:rFonts w:cs="DanaFajr"/>
          <w:sz w:val="28"/>
          <w:szCs w:val="28"/>
          <w:rtl/>
        </w:rPr>
        <w:t xml:space="preserve"> </w:t>
      </w:r>
      <w:r w:rsidRPr="006571AC">
        <w:rPr>
          <w:rFonts w:cs="DanaFajr" w:hint="eastAsia"/>
          <w:sz w:val="28"/>
          <w:szCs w:val="28"/>
          <w:rtl/>
        </w:rPr>
        <w:t>الأَعْيُنُ</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حَالا</w:t>
      </w:r>
      <w:r w:rsidRPr="006571AC">
        <w:rPr>
          <w:rFonts w:cs="DanaFajr" w:hint="cs"/>
          <w:sz w:val="28"/>
          <w:szCs w:val="28"/>
          <w:rtl/>
        </w:rPr>
        <w:t>َ</w:t>
      </w:r>
      <w:r w:rsidRPr="006571AC">
        <w:rPr>
          <w:rFonts w:cs="DanaFajr" w:hint="eastAsia"/>
          <w:sz w:val="28"/>
          <w:szCs w:val="28"/>
          <w:rtl/>
        </w:rPr>
        <w:t>تِهِمْ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مَعَ</w:t>
      </w:r>
      <w:r w:rsidRPr="006571AC">
        <w:rPr>
          <w:rFonts w:cs="DanaFajr"/>
          <w:sz w:val="28"/>
          <w:szCs w:val="28"/>
          <w:rtl/>
        </w:rPr>
        <w:t xml:space="preserve"> </w:t>
      </w:r>
      <w:r w:rsidRPr="006571AC">
        <w:rPr>
          <w:rFonts w:cs="DanaFajr" w:hint="eastAsia"/>
          <w:sz w:val="28"/>
          <w:szCs w:val="28"/>
          <w:rtl/>
        </w:rPr>
        <w:t>قَنَاعَةٍ</w:t>
      </w:r>
      <w:r w:rsidRPr="006571AC">
        <w:rPr>
          <w:rFonts w:cs="DanaFajr"/>
          <w:sz w:val="28"/>
          <w:szCs w:val="28"/>
          <w:rtl/>
        </w:rPr>
        <w:t xml:space="preserve"> </w:t>
      </w:r>
      <w:r w:rsidRPr="006571AC">
        <w:rPr>
          <w:rFonts w:cs="DanaFajr" w:hint="eastAsia"/>
          <w:sz w:val="28"/>
          <w:szCs w:val="28"/>
          <w:rtl/>
        </w:rPr>
        <w:t>تَمْلأُ</w:t>
      </w:r>
      <w:r w:rsidRPr="006571AC">
        <w:rPr>
          <w:rFonts w:cs="DanaFajr"/>
          <w:sz w:val="28"/>
          <w:szCs w:val="28"/>
          <w:rtl/>
        </w:rPr>
        <w:t xml:space="preserve"> </w:t>
      </w:r>
      <w:r w:rsidRPr="006571AC">
        <w:rPr>
          <w:rFonts w:cs="DanaFajr" w:hint="eastAsia"/>
          <w:sz w:val="28"/>
          <w:szCs w:val="28"/>
          <w:rtl/>
        </w:rPr>
        <w:t>الْقُلُوبَ</w:t>
      </w:r>
      <w:r w:rsidRPr="006571AC">
        <w:rPr>
          <w:rFonts w:cs="DanaFajr"/>
          <w:sz w:val="28"/>
          <w:szCs w:val="28"/>
          <w:rtl/>
        </w:rPr>
        <w:t xml:space="preserve"> </w:t>
      </w:r>
      <w:r w:rsidRPr="006571AC">
        <w:rPr>
          <w:rFonts w:cs="DanaFajr" w:hint="eastAsia"/>
          <w:sz w:val="28"/>
          <w:szCs w:val="28"/>
          <w:rtl/>
        </w:rPr>
        <w:t>وَالْعُيُونَ</w:t>
      </w:r>
      <w:r w:rsidRPr="006571AC">
        <w:rPr>
          <w:rFonts w:cs="DanaFajr"/>
          <w:sz w:val="28"/>
          <w:szCs w:val="28"/>
          <w:rtl/>
        </w:rPr>
        <w:t xml:space="preserve"> </w:t>
      </w:r>
      <w:r w:rsidRPr="006571AC">
        <w:rPr>
          <w:rFonts w:cs="DanaFajr" w:hint="eastAsia"/>
          <w:sz w:val="28"/>
          <w:szCs w:val="28"/>
          <w:rtl/>
        </w:rPr>
        <w:t>غِنًى</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وَخَصَاصَةٍ</w:t>
      </w:r>
      <w:r w:rsidRPr="006571AC">
        <w:rPr>
          <w:rFonts w:cs="DanaFajr"/>
          <w:sz w:val="28"/>
          <w:szCs w:val="28"/>
          <w:rtl/>
        </w:rPr>
        <w:t xml:space="preserve"> </w:t>
      </w:r>
      <w:r w:rsidRPr="006571AC">
        <w:rPr>
          <w:rFonts w:cs="DanaFajr" w:hint="eastAsia"/>
          <w:sz w:val="28"/>
          <w:szCs w:val="28"/>
          <w:rtl/>
        </w:rPr>
        <w:t>تَمْلأُ</w:t>
      </w:r>
      <w:r w:rsidRPr="006571AC">
        <w:rPr>
          <w:rFonts w:cs="DanaFajr"/>
          <w:sz w:val="28"/>
          <w:szCs w:val="28"/>
          <w:rtl/>
        </w:rPr>
        <w:t xml:space="preserve"> </w:t>
      </w:r>
      <w:r w:rsidRPr="006571AC">
        <w:rPr>
          <w:rFonts w:cs="DanaFajr" w:hint="eastAsia"/>
          <w:sz w:val="28"/>
          <w:szCs w:val="28"/>
          <w:rtl/>
        </w:rPr>
        <w:t>الأَبْصَارَ</w:t>
      </w:r>
      <w:r w:rsidRPr="006571AC">
        <w:rPr>
          <w:rFonts w:cs="DanaFajr"/>
          <w:sz w:val="28"/>
          <w:szCs w:val="28"/>
          <w:rtl/>
        </w:rPr>
        <w:t xml:space="preserve"> </w:t>
      </w:r>
      <w:r w:rsidRPr="006571AC">
        <w:rPr>
          <w:rFonts w:cs="DanaFajr" w:hint="eastAsia"/>
          <w:sz w:val="28"/>
          <w:szCs w:val="28"/>
          <w:rtl/>
        </w:rPr>
        <w:t>وَالأَسْمَاعَ</w:t>
      </w:r>
      <w:r w:rsidRPr="006571AC">
        <w:rPr>
          <w:rFonts w:cs="DanaFajr"/>
          <w:sz w:val="28"/>
          <w:szCs w:val="28"/>
          <w:rtl/>
        </w:rPr>
        <w:t xml:space="preserve"> </w:t>
      </w:r>
      <w:r w:rsidRPr="006571AC">
        <w:rPr>
          <w:rFonts w:cs="DanaFajr" w:hint="eastAsia"/>
          <w:sz w:val="28"/>
          <w:szCs w:val="28"/>
          <w:rtl/>
        </w:rPr>
        <w:t>أَذًى</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كَانَتِ</w:t>
      </w:r>
      <w:r w:rsidRPr="006571AC">
        <w:rPr>
          <w:rFonts w:cs="DanaFajr"/>
          <w:sz w:val="28"/>
          <w:szCs w:val="28"/>
          <w:rtl/>
        </w:rPr>
        <w:t xml:space="preserve"> </w:t>
      </w:r>
      <w:r w:rsidRPr="006571AC">
        <w:rPr>
          <w:rFonts w:cs="DanaFajr" w:hint="eastAsia"/>
          <w:sz w:val="28"/>
          <w:szCs w:val="28"/>
          <w:rtl/>
        </w:rPr>
        <w:t>الأَنْبِيَاءُ</w:t>
      </w:r>
      <w:r w:rsidRPr="006571AC">
        <w:rPr>
          <w:rFonts w:cs="DanaFajr"/>
          <w:sz w:val="28"/>
          <w:szCs w:val="28"/>
          <w:rtl/>
        </w:rPr>
        <w:t xml:space="preserve"> </w:t>
      </w:r>
      <w:r w:rsidRPr="006571AC">
        <w:rPr>
          <w:rFonts w:cs="DanaFajr" w:hint="eastAsia"/>
          <w:sz w:val="28"/>
          <w:szCs w:val="28"/>
          <w:rtl/>
        </w:rPr>
        <w:t>أَهْلَ</w:t>
      </w:r>
      <w:r w:rsidRPr="006571AC">
        <w:rPr>
          <w:rFonts w:cs="DanaFajr"/>
          <w:sz w:val="28"/>
          <w:szCs w:val="28"/>
          <w:rtl/>
        </w:rPr>
        <w:t xml:space="preserve"> </w:t>
      </w:r>
      <w:r w:rsidRPr="006571AC">
        <w:rPr>
          <w:rFonts w:cs="DanaFajr" w:hint="eastAsia"/>
          <w:sz w:val="28"/>
          <w:szCs w:val="28"/>
          <w:rtl/>
        </w:rPr>
        <w:t>قُوَّةٍ</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تُرَامُ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وَعِزَّةٍ</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تُضَامُ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وَمُلْكٍ</w:t>
      </w:r>
      <w:r w:rsidRPr="006571AC">
        <w:rPr>
          <w:rFonts w:cs="DanaFajr"/>
          <w:sz w:val="28"/>
          <w:szCs w:val="28"/>
          <w:rtl/>
        </w:rPr>
        <w:t xml:space="preserve"> </w:t>
      </w:r>
      <w:r w:rsidRPr="006571AC">
        <w:rPr>
          <w:rFonts w:cs="DanaFajr" w:hint="eastAsia"/>
          <w:sz w:val="28"/>
          <w:szCs w:val="28"/>
          <w:rtl/>
        </w:rPr>
        <w:t>تُمَدُّ</w:t>
      </w:r>
      <w:r w:rsidRPr="006571AC">
        <w:rPr>
          <w:rFonts w:cs="DanaFajr"/>
          <w:sz w:val="28"/>
          <w:szCs w:val="28"/>
          <w:rtl/>
        </w:rPr>
        <w:t xml:space="preserve"> </w:t>
      </w:r>
      <w:r w:rsidRPr="006571AC">
        <w:rPr>
          <w:rFonts w:cs="DanaFajr" w:hint="eastAsia"/>
          <w:sz w:val="28"/>
          <w:szCs w:val="28"/>
          <w:rtl/>
        </w:rPr>
        <w:t>نَحْوَهُ</w:t>
      </w:r>
      <w:r w:rsidRPr="006571AC">
        <w:rPr>
          <w:rFonts w:cs="DanaFajr"/>
          <w:sz w:val="28"/>
          <w:szCs w:val="28"/>
          <w:rtl/>
        </w:rPr>
        <w:t xml:space="preserve"> </w:t>
      </w:r>
      <w:r w:rsidRPr="006571AC">
        <w:rPr>
          <w:rFonts w:cs="DanaFajr" w:hint="eastAsia"/>
          <w:sz w:val="28"/>
          <w:szCs w:val="28"/>
          <w:rtl/>
        </w:rPr>
        <w:t>أَعْنَاقُ</w:t>
      </w:r>
      <w:r w:rsidRPr="006571AC">
        <w:rPr>
          <w:rFonts w:cs="DanaFajr"/>
          <w:sz w:val="28"/>
          <w:szCs w:val="28"/>
          <w:rtl/>
        </w:rPr>
        <w:t xml:space="preserve"> </w:t>
      </w:r>
      <w:r w:rsidRPr="006571AC">
        <w:rPr>
          <w:rFonts w:cs="DanaFajr" w:hint="eastAsia"/>
          <w:sz w:val="28"/>
          <w:szCs w:val="28"/>
          <w:rtl/>
        </w:rPr>
        <w:t>الرِّجَالِ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وَتُشَدُّ</w:t>
      </w:r>
      <w:r w:rsidRPr="006571AC">
        <w:rPr>
          <w:rFonts w:cs="DanaFajr"/>
          <w:sz w:val="28"/>
          <w:szCs w:val="28"/>
          <w:rtl/>
        </w:rPr>
        <w:t xml:space="preserve"> </w:t>
      </w:r>
      <w:r w:rsidRPr="006571AC">
        <w:rPr>
          <w:rFonts w:cs="DanaFajr" w:hint="eastAsia"/>
          <w:sz w:val="28"/>
          <w:szCs w:val="28"/>
          <w:rtl/>
        </w:rPr>
        <w:t>إِلَيْهِ</w:t>
      </w:r>
      <w:r w:rsidRPr="006571AC">
        <w:rPr>
          <w:rFonts w:cs="DanaFajr"/>
          <w:sz w:val="28"/>
          <w:szCs w:val="28"/>
          <w:rtl/>
        </w:rPr>
        <w:t xml:space="preserve"> </w:t>
      </w:r>
      <w:r w:rsidRPr="006571AC">
        <w:rPr>
          <w:rFonts w:cs="DanaFajr" w:hint="eastAsia"/>
          <w:sz w:val="28"/>
          <w:szCs w:val="28"/>
          <w:rtl/>
        </w:rPr>
        <w:t>عُقَدُ</w:t>
      </w:r>
      <w:r w:rsidRPr="006571AC">
        <w:rPr>
          <w:rFonts w:cs="DanaFajr"/>
          <w:sz w:val="28"/>
          <w:szCs w:val="28"/>
          <w:rtl/>
        </w:rPr>
        <w:t xml:space="preserve"> </w:t>
      </w:r>
      <w:r w:rsidRPr="006571AC">
        <w:rPr>
          <w:rFonts w:cs="DanaFajr" w:hint="eastAsia"/>
          <w:sz w:val="28"/>
          <w:szCs w:val="28"/>
          <w:rtl/>
        </w:rPr>
        <w:t>الرِّحَالِ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لَكَانَ</w:t>
      </w:r>
      <w:r w:rsidRPr="006571AC">
        <w:rPr>
          <w:rFonts w:cs="DanaFajr"/>
          <w:sz w:val="28"/>
          <w:szCs w:val="28"/>
          <w:rtl/>
        </w:rPr>
        <w:t xml:space="preserve"> </w:t>
      </w:r>
      <w:r w:rsidRPr="006571AC">
        <w:rPr>
          <w:rFonts w:cs="DanaFajr" w:hint="eastAsia"/>
          <w:sz w:val="28"/>
          <w:szCs w:val="28"/>
          <w:rtl/>
        </w:rPr>
        <w:t>ذَلِكَ</w:t>
      </w:r>
      <w:r w:rsidRPr="006571AC">
        <w:rPr>
          <w:rFonts w:cs="DanaFajr"/>
          <w:sz w:val="28"/>
          <w:szCs w:val="28"/>
          <w:rtl/>
        </w:rPr>
        <w:t xml:space="preserve"> </w:t>
      </w:r>
      <w:r w:rsidRPr="006571AC">
        <w:rPr>
          <w:rFonts w:cs="DanaFajr" w:hint="eastAsia"/>
          <w:sz w:val="28"/>
          <w:szCs w:val="28"/>
          <w:rtl/>
        </w:rPr>
        <w:t>أَهْوَنَ</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الْخَلْقِ</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الاعْتِبَارِ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وَأَبْعَدَ</w:t>
      </w:r>
      <w:r w:rsidRPr="006571AC">
        <w:rPr>
          <w:rFonts w:cs="DanaFajr"/>
          <w:sz w:val="28"/>
          <w:szCs w:val="28"/>
          <w:rtl/>
        </w:rPr>
        <w:t xml:space="preserve"> </w:t>
      </w:r>
      <w:r w:rsidRPr="006571AC">
        <w:rPr>
          <w:rFonts w:cs="DanaFajr" w:hint="eastAsia"/>
          <w:sz w:val="28"/>
          <w:szCs w:val="28"/>
          <w:rtl/>
        </w:rPr>
        <w:t>لَهُمْ</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الاسْتِكْبَارِ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وَلآمَنُوا</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رَهْبَةٍ</w:t>
      </w:r>
      <w:r w:rsidRPr="006571AC">
        <w:rPr>
          <w:rFonts w:cs="DanaFajr"/>
          <w:sz w:val="28"/>
          <w:szCs w:val="28"/>
          <w:rtl/>
        </w:rPr>
        <w:t xml:space="preserve"> </w:t>
      </w:r>
      <w:r w:rsidRPr="006571AC">
        <w:rPr>
          <w:rFonts w:cs="DanaFajr" w:hint="eastAsia"/>
          <w:sz w:val="28"/>
          <w:szCs w:val="28"/>
          <w:rtl/>
        </w:rPr>
        <w:t>قَاهِرَةٍ</w:t>
      </w:r>
      <w:r w:rsidRPr="006571AC">
        <w:rPr>
          <w:rFonts w:cs="DanaFajr"/>
          <w:sz w:val="28"/>
          <w:szCs w:val="28"/>
          <w:rtl/>
        </w:rPr>
        <w:t xml:space="preserve"> </w:t>
      </w:r>
      <w:r w:rsidRPr="006571AC">
        <w:rPr>
          <w:rFonts w:cs="DanaFajr" w:hint="eastAsia"/>
          <w:sz w:val="28"/>
          <w:szCs w:val="28"/>
          <w:rtl/>
        </w:rPr>
        <w:t>لَهُمْ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أَوْ</w:t>
      </w:r>
      <w:r w:rsidRPr="006571AC">
        <w:rPr>
          <w:rFonts w:cs="DanaFajr"/>
          <w:sz w:val="28"/>
          <w:szCs w:val="28"/>
          <w:rtl/>
        </w:rPr>
        <w:t xml:space="preserve"> </w:t>
      </w:r>
      <w:r w:rsidRPr="006571AC">
        <w:rPr>
          <w:rFonts w:cs="DanaFajr" w:hint="eastAsia"/>
          <w:sz w:val="28"/>
          <w:szCs w:val="28"/>
          <w:rtl/>
        </w:rPr>
        <w:t>رَغْبَةٍ</w:t>
      </w:r>
      <w:r w:rsidRPr="006571AC">
        <w:rPr>
          <w:rFonts w:cs="DanaFajr"/>
          <w:sz w:val="28"/>
          <w:szCs w:val="28"/>
          <w:rtl/>
        </w:rPr>
        <w:t xml:space="preserve"> </w:t>
      </w:r>
      <w:r w:rsidRPr="006571AC">
        <w:rPr>
          <w:rFonts w:cs="DanaFajr" w:hint="eastAsia"/>
          <w:sz w:val="28"/>
          <w:szCs w:val="28"/>
          <w:rtl/>
        </w:rPr>
        <w:t>مَائِلَةٍ</w:t>
      </w:r>
      <w:r w:rsidRPr="006571AC">
        <w:rPr>
          <w:rFonts w:cs="DanaFajr"/>
          <w:sz w:val="28"/>
          <w:szCs w:val="28"/>
          <w:rtl/>
        </w:rPr>
        <w:t xml:space="preserve"> </w:t>
      </w:r>
      <w:r w:rsidRPr="006571AC">
        <w:rPr>
          <w:rFonts w:cs="DanaFajr" w:hint="eastAsia"/>
          <w:sz w:val="28"/>
          <w:szCs w:val="28"/>
          <w:rtl/>
        </w:rPr>
        <w:t>بِهِمْ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فَكَانَتِ</w:t>
      </w:r>
      <w:r w:rsidRPr="006571AC">
        <w:rPr>
          <w:rFonts w:cs="DanaFajr"/>
          <w:sz w:val="28"/>
          <w:szCs w:val="28"/>
          <w:rtl/>
        </w:rPr>
        <w:t xml:space="preserve"> </w:t>
      </w:r>
      <w:r w:rsidRPr="006571AC">
        <w:rPr>
          <w:rFonts w:cs="DanaFajr" w:hint="eastAsia"/>
          <w:sz w:val="28"/>
          <w:szCs w:val="28"/>
          <w:rtl/>
        </w:rPr>
        <w:t>النِّيَّاتُ</w:t>
      </w:r>
      <w:r w:rsidRPr="006571AC">
        <w:rPr>
          <w:rFonts w:cs="DanaFajr"/>
          <w:sz w:val="28"/>
          <w:szCs w:val="28"/>
          <w:rtl/>
        </w:rPr>
        <w:t xml:space="preserve"> </w:t>
      </w:r>
      <w:r w:rsidRPr="006571AC">
        <w:rPr>
          <w:rFonts w:cs="DanaFajr" w:hint="eastAsia"/>
          <w:sz w:val="28"/>
          <w:szCs w:val="28"/>
          <w:rtl/>
        </w:rPr>
        <w:t>مُشْتَرَكَةً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وَالْحَسَنَاتُ</w:t>
      </w:r>
      <w:r w:rsidRPr="006571AC">
        <w:rPr>
          <w:rFonts w:cs="DanaFajr"/>
          <w:sz w:val="28"/>
          <w:szCs w:val="28"/>
          <w:rtl/>
        </w:rPr>
        <w:t xml:space="preserve"> </w:t>
      </w:r>
      <w:r w:rsidRPr="006571AC">
        <w:rPr>
          <w:rFonts w:cs="DanaFajr" w:hint="eastAsia"/>
          <w:sz w:val="28"/>
          <w:szCs w:val="28"/>
          <w:rtl/>
        </w:rPr>
        <w:t>مُقْتَسَمَةً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وَلَكِنَّ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أَرَادَ</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يَكُونَ</w:t>
      </w:r>
      <w:r w:rsidRPr="006571AC">
        <w:rPr>
          <w:rFonts w:cs="DanaFajr"/>
          <w:sz w:val="28"/>
          <w:szCs w:val="28"/>
          <w:rtl/>
        </w:rPr>
        <w:t xml:space="preserve"> </w:t>
      </w:r>
      <w:r w:rsidRPr="006571AC">
        <w:rPr>
          <w:rFonts w:cs="DanaFajr" w:hint="eastAsia"/>
          <w:sz w:val="28"/>
          <w:szCs w:val="28"/>
          <w:rtl/>
        </w:rPr>
        <w:t>الاتِّبَاعُ</w:t>
      </w:r>
      <w:r w:rsidRPr="006571AC">
        <w:rPr>
          <w:rFonts w:cs="DanaFajr"/>
          <w:sz w:val="28"/>
          <w:szCs w:val="28"/>
          <w:rtl/>
        </w:rPr>
        <w:t xml:space="preserve"> </w:t>
      </w:r>
      <w:r w:rsidRPr="006571AC">
        <w:rPr>
          <w:rFonts w:cs="DanaFajr" w:hint="eastAsia"/>
          <w:sz w:val="28"/>
          <w:szCs w:val="28"/>
          <w:rtl/>
        </w:rPr>
        <w:t>لِرُسُلِهِ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وَالتَّصْدِيقُ</w:t>
      </w:r>
      <w:r w:rsidRPr="006571AC">
        <w:rPr>
          <w:rFonts w:cs="DanaFajr"/>
          <w:sz w:val="28"/>
          <w:szCs w:val="28"/>
          <w:rtl/>
        </w:rPr>
        <w:t xml:space="preserve"> </w:t>
      </w:r>
      <w:r w:rsidRPr="006571AC">
        <w:rPr>
          <w:rFonts w:cs="DanaFajr" w:hint="eastAsia"/>
          <w:sz w:val="28"/>
          <w:szCs w:val="28"/>
          <w:rtl/>
        </w:rPr>
        <w:t>بِكُتُبِهِ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وَالْخُشُوعُ</w:t>
      </w:r>
      <w:r w:rsidRPr="006571AC">
        <w:rPr>
          <w:rFonts w:cs="DanaFajr"/>
          <w:sz w:val="28"/>
          <w:szCs w:val="28"/>
          <w:rtl/>
        </w:rPr>
        <w:t xml:space="preserve"> </w:t>
      </w:r>
      <w:r w:rsidRPr="006571AC">
        <w:rPr>
          <w:rFonts w:cs="DanaFajr" w:hint="eastAsia"/>
          <w:sz w:val="28"/>
          <w:szCs w:val="28"/>
          <w:rtl/>
        </w:rPr>
        <w:t>لِوَجْهِهِ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وَالاسْتِكَانَةُ</w:t>
      </w:r>
      <w:r w:rsidRPr="006571AC">
        <w:rPr>
          <w:rFonts w:cs="DanaFajr"/>
          <w:sz w:val="28"/>
          <w:szCs w:val="28"/>
          <w:rtl/>
        </w:rPr>
        <w:t xml:space="preserve"> </w:t>
      </w:r>
      <w:r w:rsidRPr="006571AC">
        <w:rPr>
          <w:rFonts w:cs="DanaFajr" w:hint="eastAsia"/>
          <w:sz w:val="28"/>
          <w:szCs w:val="28"/>
          <w:rtl/>
        </w:rPr>
        <w:t>لأَمْرِهِ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وَالاسْتِسْلا</w:t>
      </w:r>
      <w:r w:rsidRPr="006571AC">
        <w:rPr>
          <w:rFonts w:cs="DanaFajr" w:hint="cs"/>
          <w:sz w:val="28"/>
          <w:szCs w:val="28"/>
          <w:rtl/>
        </w:rPr>
        <w:t>َ</w:t>
      </w:r>
      <w:r w:rsidRPr="006571AC">
        <w:rPr>
          <w:rFonts w:cs="DanaFajr" w:hint="eastAsia"/>
          <w:sz w:val="28"/>
          <w:szCs w:val="28"/>
          <w:rtl/>
        </w:rPr>
        <w:t>مُ</w:t>
      </w:r>
      <w:r w:rsidRPr="006571AC">
        <w:rPr>
          <w:rFonts w:cs="DanaFajr"/>
          <w:sz w:val="28"/>
          <w:szCs w:val="28"/>
          <w:rtl/>
        </w:rPr>
        <w:t xml:space="preserve"> </w:t>
      </w:r>
      <w:r w:rsidRPr="006571AC">
        <w:rPr>
          <w:rFonts w:cs="DanaFajr" w:hint="eastAsia"/>
          <w:sz w:val="28"/>
          <w:szCs w:val="28"/>
          <w:rtl/>
        </w:rPr>
        <w:t>لِطَاعَتِهِ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أُمُوراً</w:t>
      </w:r>
      <w:r w:rsidRPr="006571AC">
        <w:rPr>
          <w:rFonts w:cs="DanaFajr"/>
          <w:sz w:val="28"/>
          <w:szCs w:val="28"/>
          <w:rtl/>
        </w:rPr>
        <w:t xml:space="preserve"> </w:t>
      </w:r>
      <w:r w:rsidRPr="006571AC">
        <w:rPr>
          <w:rFonts w:cs="DanaFajr" w:hint="eastAsia"/>
          <w:sz w:val="28"/>
          <w:szCs w:val="28"/>
          <w:rtl/>
        </w:rPr>
        <w:t>لَهُ</w:t>
      </w:r>
      <w:r w:rsidRPr="006571AC">
        <w:rPr>
          <w:rFonts w:cs="DanaFajr"/>
          <w:sz w:val="28"/>
          <w:szCs w:val="28"/>
          <w:rtl/>
        </w:rPr>
        <w:t xml:space="preserve"> </w:t>
      </w:r>
      <w:r w:rsidRPr="006571AC">
        <w:rPr>
          <w:rFonts w:cs="DanaFajr" w:hint="eastAsia"/>
          <w:sz w:val="28"/>
          <w:szCs w:val="28"/>
          <w:rtl/>
        </w:rPr>
        <w:t>خَاصَّةً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تَشُوبُهَا</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غَيْرِهَا</w:t>
      </w:r>
      <w:r w:rsidRPr="006571AC">
        <w:rPr>
          <w:rFonts w:cs="DanaFajr"/>
          <w:sz w:val="28"/>
          <w:szCs w:val="28"/>
          <w:rtl/>
        </w:rPr>
        <w:t xml:space="preserve"> </w:t>
      </w:r>
      <w:r w:rsidRPr="006571AC">
        <w:rPr>
          <w:rFonts w:cs="DanaFajr" w:hint="eastAsia"/>
          <w:sz w:val="28"/>
          <w:szCs w:val="28"/>
          <w:rtl/>
        </w:rPr>
        <w:t>شَائِبَةٌ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وَكُلَّمَا</w:t>
      </w:r>
      <w:r w:rsidRPr="006571AC">
        <w:rPr>
          <w:rFonts w:cs="DanaFajr"/>
          <w:sz w:val="28"/>
          <w:szCs w:val="28"/>
          <w:rtl/>
        </w:rPr>
        <w:t xml:space="preserve"> </w:t>
      </w:r>
      <w:r w:rsidRPr="006571AC">
        <w:rPr>
          <w:rFonts w:cs="DanaFajr" w:hint="eastAsia"/>
          <w:sz w:val="28"/>
          <w:szCs w:val="28"/>
          <w:rtl/>
        </w:rPr>
        <w:t>كَانَتِ</w:t>
      </w:r>
      <w:r w:rsidRPr="006571AC">
        <w:rPr>
          <w:rFonts w:cs="DanaFajr"/>
          <w:sz w:val="28"/>
          <w:szCs w:val="28"/>
          <w:rtl/>
        </w:rPr>
        <w:t xml:space="preserve"> </w:t>
      </w:r>
      <w:r w:rsidRPr="006571AC">
        <w:rPr>
          <w:rFonts w:cs="DanaFajr" w:hint="eastAsia"/>
          <w:sz w:val="28"/>
          <w:szCs w:val="28"/>
          <w:rtl/>
        </w:rPr>
        <w:t>الْبَلْوَى</w:t>
      </w:r>
      <w:r w:rsidRPr="006571AC">
        <w:rPr>
          <w:rFonts w:cs="DanaFajr"/>
          <w:sz w:val="28"/>
          <w:szCs w:val="28"/>
          <w:rtl/>
        </w:rPr>
        <w:t xml:space="preserve"> </w:t>
      </w:r>
      <w:r w:rsidRPr="006571AC">
        <w:rPr>
          <w:rFonts w:cs="DanaFajr" w:hint="eastAsia"/>
          <w:sz w:val="28"/>
          <w:szCs w:val="28"/>
          <w:rtl/>
        </w:rPr>
        <w:t>وَالاخْتِبَارُ</w:t>
      </w:r>
      <w:r w:rsidRPr="006571AC">
        <w:rPr>
          <w:rFonts w:cs="DanaFajr"/>
          <w:sz w:val="28"/>
          <w:szCs w:val="28"/>
          <w:rtl/>
        </w:rPr>
        <w:t xml:space="preserve"> </w:t>
      </w:r>
      <w:r w:rsidRPr="006571AC">
        <w:rPr>
          <w:rFonts w:cs="DanaFajr" w:hint="eastAsia"/>
          <w:sz w:val="28"/>
          <w:szCs w:val="28"/>
          <w:rtl/>
        </w:rPr>
        <w:t>أَعْظَمَ</w:t>
      </w:r>
      <w:r w:rsidRPr="006571AC">
        <w:rPr>
          <w:rFonts w:cs="DanaFajr"/>
          <w:sz w:val="28"/>
          <w:szCs w:val="28"/>
          <w:rtl/>
        </w:rPr>
        <w:t xml:space="preserve"> </w:t>
      </w:r>
      <w:r w:rsidRPr="006571AC">
        <w:rPr>
          <w:rFonts w:cs="DanaFajr" w:hint="eastAsia"/>
          <w:sz w:val="28"/>
          <w:szCs w:val="28"/>
          <w:rtl/>
        </w:rPr>
        <w:t>كَانَتِ</w:t>
      </w:r>
      <w:r w:rsidRPr="006571AC">
        <w:rPr>
          <w:rFonts w:cs="DanaFajr"/>
          <w:sz w:val="28"/>
          <w:szCs w:val="28"/>
          <w:rtl/>
        </w:rPr>
        <w:t xml:space="preserve"> </w:t>
      </w:r>
      <w:r w:rsidRPr="006571AC">
        <w:rPr>
          <w:rFonts w:cs="DanaFajr" w:hint="eastAsia"/>
          <w:sz w:val="28"/>
          <w:szCs w:val="28"/>
          <w:rtl/>
        </w:rPr>
        <w:t>الْمَثُوبَةُ</w:t>
      </w:r>
      <w:r w:rsidRPr="006571AC">
        <w:rPr>
          <w:rFonts w:cs="DanaFajr"/>
          <w:sz w:val="28"/>
          <w:szCs w:val="28"/>
          <w:rtl/>
        </w:rPr>
        <w:t xml:space="preserve"> </w:t>
      </w:r>
      <w:r w:rsidRPr="006571AC">
        <w:rPr>
          <w:rFonts w:cs="DanaFajr" w:hint="eastAsia"/>
          <w:sz w:val="28"/>
          <w:szCs w:val="28"/>
          <w:rtl/>
        </w:rPr>
        <w:t>وَالْجَزَاءُ</w:t>
      </w:r>
      <w:r w:rsidRPr="006571AC">
        <w:rPr>
          <w:rFonts w:cs="DanaFajr"/>
          <w:sz w:val="28"/>
          <w:szCs w:val="28"/>
          <w:rtl/>
        </w:rPr>
        <w:t xml:space="preserve"> </w:t>
      </w:r>
      <w:r w:rsidRPr="006571AC">
        <w:rPr>
          <w:rFonts w:cs="DanaFajr" w:hint="eastAsia"/>
          <w:sz w:val="28"/>
          <w:szCs w:val="28"/>
          <w:rtl/>
        </w:rPr>
        <w:t>أَجْزَلَ</w:t>
      </w:r>
      <w:r w:rsidRPr="006571AC">
        <w:rPr>
          <w:sz w:val="22"/>
          <w:szCs w:val="22"/>
          <w:rtl/>
        </w:rPr>
        <w:t>»</w:t>
      </w:r>
      <w:r w:rsidRPr="006571AC">
        <w:rPr>
          <w:rFonts w:cs="DanaFajr" w:hint="cs"/>
          <w:sz w:val="28"/>
          <w:szCs w:val="28"/>
          <w:rtl/>
        </w:rPr>
        <w:t>.</w:t>
      </w:r>
    </w:p>
  </w:endnote>
  <w:endnote w:id="15">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eastAsia"/>
          <w:sz w:val="28"/>
          <w:szCs w:val="28"/>
          <w:rtl/>
          <w:lang w:bidi="fa-IR"/>
        </w:rPr>
        <w:t>المصدر</w:t>
      </w:r>
      <w:r w:rsidRPr="006571AC">
        <w:rPr>
          <w:rFonts w:cs="DanaFajr"/>
          <w:sz w:val="28"/>
          <w:szCs w:val="28"/>
          <w:rtl/>
          <w:lang w:bidi="fa-IR"/>
        </w:rPr>
        <w:t xml:space="preserve"> </w:t>
      </w:r>
      <w:r w:rsidRPr="006571AC">
        <w:rPr>
          <w:rFonts w:cs="DanaFajr" w:hint="eastAsia"/>
          <w:sz w:val="28"/>
          <w:szCs w:val="28"/>
          <w:rtl/>
          <w:lang w:bidi="fa-IR"/>
        </w:rPr>
        <w:t>السابق</w:t>
      </w:r>
      <w:r w:rsidRPr="006571AC">
        <w:rPr>
          <w:rFonts w:cs="DanaFajr" w:hint="cs"/>
          <w:sz w:val="28"/>
          <w:szCs w:val="28"/>
          <w:rtl/>
          <w:lang w:bidi="fa-IR"/>
        </w:rPr>
        <w:t xml:space="preserve">، الخطبة 192: </w:t>
      </w:r>
      <w:r w:rsidRPr="006571AC">
        <w:rPr>
          <w:sz w:val="22"/>
          <w:szCs w:val="22"/>
          <w:rtl/>
          <w:lang w:bidi="fa-IR"/>
        </w:rPr>
        <w:t>«</w:t>
      </w:r>
      <w:r w:rsidRPr="006571AC">
        <w:rPr>
          <w:rFonts w:cs="DanaFajr" w:hint="eastAsia"/>
          <w:sz w:val="28"/>
          <w:szCs w:val="28"/>
          <w:rtl/>
        </w:rPr>
        <w:t>أَلا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تَرَوْنَ</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اخْتَبَرَ</w:t>
      </w:r>
      <w:r w:rsidRPr="006571AC">
        <w:rPr>
          <w:rFonts w:cs="DanaFajr"/>
          <w:sz w:val="28"/>
          <w:szCs w:val="28"/>
          <w:rtl/>
        </w:rPr>
        <w:t xml:space="preserve"> </w:t>
      </w:r>
      <w:r w:rsidRPr="006571AC">
        <w:rPr>
          <w:rFonts w:cs="DanaFajr" w:hint="eastAsia"/>
          <w:sz w:val="28"/>
          <w:szCs w:val="28"/>
          <w:rtl/>
        </w:rPr>
        <w:t>الأَوَّلِينَ</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لَدُنْ</w:t>
      </w:r>
      <w:r w:rsidRPr="006571AC">
        <w:rPr>
          <w:rFonts w:cs="DanaFajr"/>
          <w:sz w:val="28"/>
          <w:szCs w:val="28"/>
          <w:rtl/>
        </w:rPr>
        <w:t xml:space="preserve"> </w:t>
      </w:r>
      <w:r w:rsidRPr="006571AC">
        <w:rPr>
          <w:rFonts w:cs="DanaFajr" w:hint="eastAsia"/>
          <w:sz w:val="28"/>
          <w:szCs w:val="28"/>
          <w:rtl/>
        </w:rPr>
        <w:t>آدَمَ</w:t>
      </w:r>
      <w:r w:rsidRPr="006571AC">
        <w:rPr>
          <w:rFonts w:cs="DanaFajr"/>
          <w:sz w:val="28"/>
          <w:szCs w:val="28"/>
          <w:rtl/>
        </w:rPr>
        <w:t xml:space="preserve"> </w:t>
      </w:r>
      <w:r w:rsidRPr="006571AC">
        <w:rPr>
          <w:rFonts w:cs="DanaFajr" w:hint="eastAsia"/>
          <w:sz w:val="28"/>
          <w:szCs w:val="28"/>
          <w:rtl/>
        </w:rPr>
        <w:t>صلوات</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عليه</w:t>
      </w:r>
      <w:r w:rsidRPr="006571AC">
        <w:rPr>
          <w:rFonts w:cs="DanaFajr"/>
          <w:sz w:val="28"/>
          <w:szCs w:val="28"/>
          <w:rtl/>
        </w:rPr>
        <w:t xml:space="preserve"> </w:t>
      </w:r>
      <w:r w:rsidRPr="006571AC">
        <w:rPr>
          <w:rFonts w:cs="DanaFajr" w:hint="eastAsia"/>
          <w:sz w:val="28"/>
          <w:szCs w:val="28"/>
          <w:rtl/>
        </w:rPr>
        <w:t>إِلَى</w:t>
      </w:r>
      <w:r w:rsidRPr="006571AC">
        <w:rPr>
          <w:rFonts w:cs="DanaFajr"/>
          <w:sz w:val="28"/>
          <w:szCs w:val="28"/>
          <w:rtl/>
        </w:rPr>
        <w:t xml:space="preserve"> </w:t>
      </w:r>
      <w:r w:rsidRPr="006571AC">
        <w:rPr>
          <w:rFonts w:cs="DanaFajr" w:hint="eastAsia"/>
          <w:sz w:val="28"/>
          <w:szCs w:val="28"/>
          <w:rtl/>
        </w:rPr>
        <w:t>الآخِرِينَ</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هَذَا</w:t>
      </w:r>
      <w:r w:rsidRPr="006571AC">
        <w:rPr>
          <w:rFonts w:cs="DanaFajr"/>
          <w:sz w:val="28"/>
          <w:szCs w:val="28"/>
          <w:rtl/>
        </w:rPr>
        <w:t xml:space="preserve"> </w:t>
      </w:r>
      <w:r w:rsidRPr="006571AC">
        <w:rPr>
          <w:rFonts w:cs="DanaFajr" w:hint="eastAsia"/>
          <w:sz w:val="28"/>
          <w:szCs w:val="28"/>
          <w:rtl/>
        </w:rPr>
        <w:t>الْعَالَمِ</w:t>
      </w:r>
      <w:r w:rsidRPr="006571AC">
        <w:rPr>
          <w:rFonts w:cs="DanaFajr"/>
          <w:sz w:val="28"/>
          <w:szCs w:val="28"/>
          <w:rtl/>
        </w:rPr>
        <w:t xml:space="preserve"> </w:t>
      </w:r>
      <w:r w:rsidRPr="006571AC">
        <w:rPr>
          <w:rFonts w:cs="DanaFajr" w:hint="eastAsia"/>
          <w:sz w:val="28"/>
          <w:szCs w:val="28"/>
          <w:rtl/>
        </w:rPr>
        <w:t>بِأَحْجَارٍ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تَضُرُّ</w:t>
      </w:r>
      <w:r w:rsidRPr="006571AC">
        <w:rPr>
          <w:rFonts w:cs="DanaFajr"/>
          <w:sz w:val="28"/>
          <w:szCs w:val="28"/>
          <w:rtl/>
        </w:rPr>
        <w:t xml:space="preserve"> </w:t>
      </w:r>
      <w:r w:rsidRPr="006571AC">
        <w:rPr>
          <w:rFonts w:cs="DanaFajr" w:hint="eastAsia"/>
          <w:sz w:val="28"/>
          <w:szCs w:val="28"/>
          <w:rtl/>
        </w:rPr>
        <w:t>وَلا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تَنْفَعُ</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تُبْصِرُ</w:t>
      </w:r>
      <w:r w:rsidRPr="006571AC">
        <w:rPr>
          <w:rFonts w:cs="DanaFajr"/>
          <w:sz w:val="28"/>
          <w:szCs w:val="28"/>
          <w:rtl/>
        </w:rPr>
        <w:t xml:space="preserve"> </w:t>
      </w:r>
      <w:r w:rsidRPr="006571AC">
        <w:rPr>
          <w:rFonts w:cs="DanaFajr" w:hint="eastAsia"/>
          <w:sz w:val="28"/>
          <w:szCs w:val="28"/>
          <w:rtl/>
        </w:rPr>
        <w:t>وَلا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تَسْمَعُ</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فَجَعَلَهَا</w:t>
      </w:r>
      <w:r w:rsidRPr="006571AC">
        <w:rPr>
          <w:rFonts w:cs="DanaFajr"/>
          <w:sz w:val="28"/>
          <w:szCs w:val="28"/>
          <w:rtl/>
        </w:rPr>
        <w:t xml:space="preserve"> </w:t>
      </w:r>
      <w:r w:rsidRPr="006571AC">
        <w:rPr>
          <w:rFonts w:cs="DanaFajr" w:hint="eastAsia"/>
          <w:sz w:val="28"/>
          <w:szCs w:val="28"/>
          <w:rtl/>
        </w:rPr>
        <w:t>بَيْتَهُ</w:t>
      </w:r>
      <w:r w:rsidRPr="006571AC">
        <w:rPr>
          <w:rFonts w:cs="DanaFajr"/>
          <w:sz w:val="28"/>
          <w:szCs w:val="28"/>
          <w:rtl/>
        </w:rPr>
        <w:t xml:space="preserve"> </w:t>
      </w:r>
      <w:r w:rsidRPr="006571AC">
        <w:rPr>
          <w:rFonts w:cs="DanaFajr" w:hint="eastAsia"/>
          <w:sz w:val="28"/>
          <w:szCs w:val="28"/>
          <w:rtl/>
        </w:rPr>
        <w:t>الْحَرَامَ</w:t>
      </w:r>
      <w:r w:rsidRPr="006571AC">
        <w:rPr>
          <w:rFonts w:cs="DanaFajr"/>
          <w:sz w:val="28"/>
          <w:szCs w:val="28"/>
          <w:rtl/>
        </w:rPr>
        <w:t xml:space="preserve"> </w:t>
      </w:r>
      <w:r w:rsidRPr="006571AC">
        <w:rPr>
          <w:rFonts w:cs="DanaFajr" w:hint="eastAsia"/>
          <w:sz w:val="28"/>
          <w:szCs w:val="28"/>
          <w:rtl/>
        </w:rPr>
        <w:t>الَّذِي</w:t>
      </w:r>
      <w:r w:rsidRPr="006571AC">
        <w:rPr>
          <w:rFonts w:cs="DanaFajr"/>
          <w:sz w:val="28"/>
          <w:szCs w:val="28"/>
          <w:rtl/>
        </w:rPr>
        <w:t xml:space="preserve"> </w:t>
      </w:r>
      <w:r w:rsidRPr="006571AC">
        <w:rPr>
          <w:rFonts w:cs="DanaFajr" w:hint="eastAsia"/>
          <w:sz w:val="28"/>
          <w:szCs w:val="28"/>
          <w:rtl/>
        </w:rPr>
        <w:t>جَعَلَهُ</w:t>
      </w:r>
      <w:r w:rsidRPr="006571AC">
        <w:rPr>
          <w:rFonts w:cs="DanaFajr"/>
          <w:sz w:val="28"/>
          <w:szCs w:val="28"/>
          <w:rtl/>
        </w:rPr>
        <w:t xml:space="preserve"> </w:t>
      </w:r>
      <w:r w:rsidRPr="006571AC">
        <w:rPr>
          <w:rFonts w:cs="DanaFajr" w:hint="eastAsia"/>
          <w:sz w:val="28"/>
          <w:szCs w:val="28"/>
          <w:rtl/>
        </w:rPr>
        <w:t>لِلنَّاسِ</w:t>
      </w:r>
      <w:r w:rsidRPr="006571AC">
        <w:rPr>
          <w:rFonts w:cs="DanaFajr"/>
          <w:sz w:val="28"/>
          <w:szCs w:val="28"/>
          <w:rtl/>
        </w:rPr>
        <w:t xml:space="preserve"> </w:t>
      </w:r>
      <w:r w:rsidRPr="006571AC">
        <w:rPr>
          <w:rFonts w:cs="DanaFajr" w:hint="eastAsia"/>
          <w:sz w:val="28"/>
          <w:szCs w:val="28"/>
          <w:rtl/>
        </w:rPr>
        <w:t>قِيَاماً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ثُمَّ</w:t>
      </w:r>
      <w:r w:rsidRPr="006571AC">
        <w:rPr>
          <w:rFonts w:cs="DanaFajr"/>
          <w:sz w:val="28"/>
          <w:szCs w:val="28"/>
          <w:rtl/>
        </w:rPr>
        <w:t xml:space="preserve"> </w:t>
      </w:r>
      <w:r w:rsidRPr="006571AC">
        <w:rPr>
          <w:rFonts w:cs="DanaFajr" w:hint="eastAsia"/>
          <w:sz w:val="28"/>
          <w:szCs w:val="28"/>
          <w:rtl/>
        </w:rPr>
        <w:t>وَضَعَهُ</w:t>
      </w:r>
      <w:r w:rsidRPr="006571AC">
        <w:rPr>
          <w:rFonts w:cs="DanaFajr"/>
          <w:sz w:val="28"/>
          <w:szCs w:val="28"/>
          <w:rtl/>
        </w:rPr>
        <w:t xml:space="preserve"> </w:t>
      </w:r>
      <w:r w:rsidRPr="006571AC">
        <w:rPr>
          <w:rFonts w:cs="DanaFajr" w:hint="eastAsia"/>
          <w:sz w:val="28"/>
          <w:szCs w:val="28"/>
          <w:rtl/>
        </w:rPr>
        <w:t>بِأَوْعَرِ</w:t>
      </w:r>
      <w:r w:rsidRPr="006571AC">
        <w:rPr>
          <w:rFonts w:cs="DanaFajr"/>
          <w:sz w:val="28"/>
          <w:szCs w:val="28"/>
          <w:rtl/>
        </w:rPr>
        <w:t xml:space="preserve"> </w:t>
      </w:r>
      <w:r w:rsidRPr="006571AC">
        <w:rPr>
          <w:rFonts w:cs="DanaFajr" w:hint="eastAsia"/>
          <w:sz w:val="28"/>
          <w:szCs w:val="28"/>
          <w:rtl/>
        </w:rPr>
        <w:t>بِقَاعِ</w:t>
      </w:r>
      <w:r w:rsidRPr="006571AC">
        <w:rPr>
          <w:rFonts w:cs="DanaFajr"/>
          <w:sz w:val="28"/>
          <w:szCs w:val="28"/>
          <w:rtl/>
        </w:rPr>
        <w:t xml:space="preserve"> </w:t>
      </w:r>
      <w:r w:rsidRPr="006571AC">
        <w:rPr>
          <w:rFonts w:cs="DanaFajr" w:hint="eastAsia"/>
          <w:sz w:val="28"/>
          <w:szCs w:val="28"/>
          <w:rtl/>
        </w:rPr>
        <w:t>الأَرْضِ</w:t>
      </w:r>
      <w:r w:rsidRPr="006571AC">
        <w:rPr>
          <w:rFonts w:cs="DanaFajr"/>
          <w:sz w:val="28"/>
          <w:szCs w:val="28"/>
          <w:rtl/>
        </w:rPr>
        <w:t xml:space="preserve"> </w:t>
      </w:r>
      <w:r w:rsidRPr="006571AC">
        <w:rPr>
          <w:rFonts w:cs="DanaFajr" w:hint="eastAsia"/>
          <w:sz w:val="28"/>
          <w:szCs w:val="28"/>
          <w:rtl/>
        </w:rPr>
        <w:t>حَجَراً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وَأَقَلِّ</w:t>
      </w:r>
      <w:r w:rsidRPr="006571AC">
        <w:rPr>
          <w:rFonts w:cs="DanaFajr"/>
          <w:sz w:val="28"/>
          <w:szCs w:val="28"/>
          <w:rtl/>
        </w:rPr>
        <w:t xml:space="preserve"> </w:t>
      </w:r>
      <w:r w:rsidRPr="006571AC">
        <w:rPr>
          <w:rFonts w:cs="DanaFajr" w:hint="eastAsia"/>
          <w:sz w:val="28"/>
          <w:szCs w:val="28"/>
          <w:rtl/>
        </w:rPr>
        <w:t>نَتَائِقِ</w:t>
      </w:r>
      <w:r w:rsidRPr="006571AC">
        <w:rPr>
          <w:rFonts w:cs="DanaFajr"/>
          <w:sz w:val="28"/>
          <w:szCs w:val="28"/>
          <w:rtl/>
        </w:rPr>
        <w:t xml:space="preserve"> </w:t>
      </w:r>
      <w:r w:rsidRPr="006571AC">
        <w:rPr>
          <w:rFonts w:cs="DanaFajr" w:hint="eastAsia"/>
          <w:sz w:val="28"/>
          <w:szCs w:val="28"/>
          <w:rtl/>
        </w:rPr>
        <w:t>الدُّنْيَا</w:t>
      </w:r>
      <w:r w:rsidRPr="006571AC">
        <w:rPr>
          <w:rFonts w:cs="DanaFajr"/>
          <w:sz w:val="28"/>
          <w:szCs w:val="28"/>
          <w:rtl/>
        </w:rPr>
        <w:t xml:space="preserve"> </w:t>
      </w:r>
      <w:r w:rsidRPr="006571AC">
        <w:rPr>
          <w:rFonts w:cs="DanaFajr" w:hint="eastAsia"/>
          <w:sz w:val="28"/>
          <w:szCs w:val="28"/>
          <w:rtl/>
        </w:rPr>
        <w:t>مَدَراً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وَأَضْيَقِ</w:t>
      </w:r>
      <w:r w:rsidRPr="006571AC">
        <w:rPr>
          <w:rFonts w:cs="DanaFajr"/>
          <w:sz w:val="28"/>
          <w:szCs w:val="28"/>
          <w:rtl/>
        </w:rPr>
        <w:t xml:space="preserve"> </w:t>
      </w:r>
      <w:r w:rsidRPr="006571AC">
        <w:rPr>
          <w:rFonts w:cs="DanaFajr" w:hint="eastAsia"/>
          <w:sz w:val="28"/>
          <w:szCs w:val="28"/>
          <w:rtl/>
        </w:rPr>
        <w:t>بُطُونِ</w:t>
      </w:r>
      <w:r w:rsidRPr="006571AC">
        <w:rPr>
          <w:rFonts w:cs="DanaFajr"/>
          <w:sz w:val="28"/>
          <w:szCs w:val="28"/>
          <w:rtl/>
        </w:rPr>
        <w:t xml:space="preserve"> </w:t>
      </w:r>
      <w:r w:rsidRPr="006571AC">
        <w:rPr>
          <w:rFonts w:cs="DanaFajr" w:hint="eastAsia"/>
          <w:sz w:val="28"/>
          <w:szCs w:val="28"/>
          <w:rtl/>
        </w:rPr>
        <w:t>الأَوْدِيَةِ</w:t>
      </w:r>
      <w:r w:rsidRPr="006571AC">
        <w:rPr>
          <w:rFonts w:cs="DanaFajr"/>
          <w:sz w:val="28"/>
          <w:szCs w:val="28"/>
          <w:rtl/>
        </w:rPr>
        <w:t xml:space="preserve"> </w:t>
      </w:r>
      <w:r w:rsidRPr="006571AC">
        <w:rPr>
          <w:rFonts w:cs="DanaFajr" w:hint="eastAsia"/>
          <w:sz w:val="28"/>
          <w:szCs w:val="28"/>
          <w:rtl/>
        </w:rPr>
        <w:t>قُطْراً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بَيْنَ</w:t>
      </w:r>
      <w:r w:rsidRPr="006571AC">
        <w:rPr>
          <w:rFonts w:cs="DanaFajr"/>
          <w:sz w:val="28"/>
          <w:szCs w:val="28"/>
          <w:rtl/>
        </w:rPr>
        <w:t xml:space="preserve"> </w:t>
      </w:r>
      <w:r w:rsidRPr="006571AC">
        <w:rPr>
          <w:rFonts w:cs="DanaFajr" w:hint="eastAsia"/>
          <w:sz w:val="28"/>
          <w:szCs w:val="28"/>
          <w:rtl/>
        </w:rPr>
        <w:t>جِبَالٍ</w:t>
      </w:r>
      <w:r w:rsidRPr="006571AC">
        <w:rPr>
          <w:rFonts w:cs="DanaFajr"/>
          <w:sz w:val="28"/>
          <w:szCs w:val="28"/>
          <w:rtl/>
        </w:rPr>
        <w:t xml:space="preserve"> </w:t>
      </w:r>
      <w:r w:rsidRPr="006571AC">
        <w:rPr>
          <w:rFonts w:cs="DanaFajr" w:hint="eastAsia"/>
          <w:sz w:val="28"/>
          <w:szCs w:val="28"/>
          <w:rtl/>
        </w:rPr>
        <w:t>خَشِنَةٍ</w:t>
      </w:r>
      <w:r w:rsidRPr="006571AC">
        <w:rPr>
          <w:rFonts w:cs="DanaFajr"/>
          <w:sz w:val="28"/>
          <w:szCs w:val="28"/>
          <w:rtl/>
        </w:rPr>
        <w:t xml:space="preserve"> </w:t>
      </w:r>
      <w:r w:rsidRPr="006571AC">
        <w:rPr>
          <w:rFonts w:cs="DanaFajr" w:hint="eastAsia"/>
          <w:sz w:val="28"/>
          <w:szCs w:val="28"/>
          <w:rtl/>
        </w:rPr>
        <w:t>وَرِمَالٍ</w:t>
      </w:r>
      <w:r w:rsidRPr="006571AC">
        <w:rPr>
          <w:rFonts w:cs="DanaFajr"/>
          <w:sz w:val="28"/>
          <w:szCs w:val="28"/>
          <w:rtl/>
        </w:rPr>
        <w:t xml:space="preserve"> </w:t>
      </w:r>
      <w:r w:rsidRPr="006571AC">
        <w:rPr>
          <w:rFonts w:cs="DanaFajr" w:hint="eastAsia"/>
          <w:sz w:val="28"/>
          <w:szCs w:val="28"/>
          <w:rtl/>
        </w:rPr>
        <w:t>دَمِثَةٍ</w:t>
      </w:r>
      <w:r w:rsidRPr="006571AC">
        <w:rPr>
          <w:rFonts w:cs="DanaFajr"/>
          <w:sz w:val="28"/>
          <w:szCs w:val="28"/>
          <w:rtl/>
        </w:rPr>
        <w:t xml:space="preserve"> </w:t>
      </w:r>
      <w:r w:rsidRPr="006571AC">
        <w:rPr>
          <w:rFonts w:cs="DanaFajr" w:hint="eastAsia"/>
          <w:sz w:val="28"/>
          <w:szCs w:val="28"/>
          <w:rtl/>
        </w:rPr>
        <w:t>وَعُيُونٍ</w:t>
      </w:r>
      <w:r w:rsidRPr="006571AC">
        <w:rPr>
          <w:rFonts w:cs="DanaFajr"/>
          <w:sz w:val="28"/>
          <w:szCs w:val="28"/>
          <w:rtl/>
        </w:rPr>
        <w:t xml:space="preserve"> </w:t>
      </w:r>
      <w:r w:rsidRPr="006571AC">
        <w:rPr>
          <w:rFonts w:cs="DanaFajr" w:hint="eastAsia"/>
          <w:sz w:val="28"/>
          <w:szCs w:val="28"/>
          <w:rtl/>
        </w:rPr>
        <w:t>وَشِلَةٍ</w:t>
      </w:r>
      <w:r w:rsidRPr="006571AC">
        <w:rPr>
          <w:rFonts w:cs="DanaFajr"/>
          <w:sz w:val="28"/>
          <w:szCs w:val="28"/>
          <w:rtl/>
        </w:rPr>
        <w:t xml:space="preserve"> </w:t>
      </w:r>
      <w:r w:rsidRPr="006571AC">
        <w:rPr>
          <w:rFonts w:cs="DanaFajr" w:hint="eastAsia"/>
          <w:sz w:val="28"/>
          <w:szCs w:val="28"/>
          <w:rtl/>
        </w:rPr>
        <w:t>وَقُرًى</w:t>
      </w:r>
      <w:r w:rsidRPr="006571AC">
        <w:rPr>
          <w:rFonts w:cs="DanaFajr"/>
          <w:sz w:val="28"/>
          <w:szCs w:val="28"/>
          <w:rtl/>
        </w:rPr>
        <w:t xml:space="preserve"> </w:t>
      </w:r>
      <w:r w:rsidRPr="006571AC">
        <w:rPr>
          <w:rFonts w:cs="DanaFajr" w:hint="eastAsia"/>
          <w:sz w:val="28"/>
          <w:szCs w:val="28"/>
          <w:rtl/>
        </w:rPr>
        <w:t>مُنْقَطِعَةٍ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يَزْكُو</w:t>
      </w:r>
      <w:r w:rsidRPr="006571AC">
        <w:rPr>
          <w:rFonts w:cs="DanaFajr"/>
          <w:sz w:val="28"/>
          <w:szCs w:val="28"/>
          <w:rtl/>
        </w:rPr>
        <w:t xml:space="preserve"> </w:t>
      </w:r>
      <w:r w:rsidRPr="006571AC">
        <w:rPr>
          <w:rFonts w:cs="DanaFajr" w:hint="eastAsia"/>
          <w:sz w:val="28"/>
          <w:szCs w:val="28"/>
          <w:rtl/>
        </w:rPr>
        <w:t>بِهَا</w:t>
      </w:r>
      <w:r w:rsidRPr="006571AC">
        <w:rPr>
          <w:rFonts w:cs="DanaFajr"/>
          <w:sz w:val="28"/>
          <w:szCs w:val="28"/>
          <w:rtl/>
        </w:rPr>
        <w:t xml:space="preserve"> </w:t>
      </w:r>
      <w:r w:rsidRPr="006571AC">
        <w:rPr>
          <w:rFonts w:cs="DanaFajr" w:hint="eastAsia"/>
          <w:sz w:val="28"/>
          <w:szCs w:val="28"/>
          <w:rtl/>
        </w:rPr>
        <w:t>خُفٌّ</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sz w:val="28"/>
          <w:szCs w:val="28"/>
          <w:rtl/>
        </w:rPr>
        <w:t xml:space="preserve"> </w:t>
      </w:r>
      <w:r w:rsidRPr="006571AC">
        <w:rPr>
          <w:rFonts w:cs="DanaFajr" w:hint="eastAsia"/>
          <w:sz w:val="28"/>
          <w:szCs w:val="28"/>
          <w:rtl/>
        </w:rPr>
        <w:t>حَافِرٌ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sz w:val="28"/>
          <w:szCs w:val="28"/>
          <w:rtl/>
        </w:rPr>
        <w:t xml:space="preserve"> </w:t>
      </w:r>
      <w:r w:rsidRPr="006571AC">
        <w:rPr>
          <w:rFonts w:cs="DanaFajr" w:hint="eastAsia"/>
          <w:sz w:val="28"/>
          <w:szCs w:val="28"/>
          <w:rtl/>
        </w:rPr>
        <w:t>ظِلْفٌ</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ثُمَّ</w:t>
      </w:r>
      <w:r w:rsidRPr="006571AC">
        <w:rPr>
          <w:rFonts w:cs="DanaFajr"/>
          <w:sz w:val="28"/>
          <w:szCs w:val="28"/>
          <w:rtl/>
        </w:rPr>
        <w:t xml:space="preserve"> </w:t>
      </w:r>
      <w:r w:rsidRPr="006571AC">
        <w:rPr>
          <w:rFonts w:cs="DanaFajr" w:hint="eastAsia"/>
          <w:sz w:val="28"/>
          <w:szCs w:val="28"/>
          <w:rtl/>
        </w:rPr>
        <w:t>أَمَرَ</w:t>
      </w:r>
      <w:r w:rsidRPr="006571AC">
        <w:rPr>
          <w:rFonts w:cs="DanaFajr"/>
          <w:sz w:val="28"/>
          <w:szCs w:val="28"/>
          <w:rtl/>
        </w:rPr>
        <w:t xml:space="preserve"> </w:t>
      </w:r>
      <w:r w:rsidRPr="006571AC">
        <w:rPr>
          <w:rFonts w:cs="DanaFajr" w:hint="eastAsia"/>
          <w:sz w:val="28"/>
          <w:szCs w:val="28"/>
          <w:rtl/>
        </w:rPr>
        <w:t>آدَمَ</w:t>
      </w:r>
      <w:r w:rsidRPr="006571AC">
        <w:rPr>
          <w:rFonts w:ascii="Mosawi" w:hAnsi="Mosawi" w:cs="Mosawi"/>
          <w:rtl/>
        </w:rPr>
        <w:t>×</w:t>
      </w:r>
      <w:r w:rsidRPr="006571AC">
        <w:rPr>
          <w:rFonts w:cs="DanaFajr"/>
          <w:sz w:val="28"/>
          <w:szCs w:val="28"/>
          <w:rtl/>
        </w:rPr>
        <w:t xml:space="preserve"> </w:t>
      </w:r>
      <w:r w:rsidRPr="006571AC">
        <w:rPr>
          <w:rFonts w:cs="DanaFajr" w:hint="eastAsia"/>
          <w:sz w:val="28"/>
          <w:szCs w:val="28"/>
          <w:rtl/>
        </w:rPr>
        <w:t>وَوَلَدَهُ</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يَثْنُوا</w:t>
      </w:r>
      <w:r w:rsidRPr="006571AC">
        <w:rPr>
          <w:rFonts w:cs="DanaFajr"/>
          <w:sz w:val="28"/>
          <w:szCs w:val="28"/>
          <w:rtl/>
        </w:rPr>
        <w:t xml:space="preserve"> </w:t>
      </w:r>
      <w:r w:rsidRPr="006571AC">
        <w:rPr>
          <w:rFonts w:cs="DanaFajr" w:hint="eastAsia"/>
          <w:sz w:val="28"/>
          <w:szCs w:val="28"/>
          <w:rtl/>
        </w:rPr>
        <w:t>أَعْطَافَهُمْ</w:t>
      </w:r>
      <w:r w:rsidRPr="006571AC">
        <w:rPr>
          <w:rFonts w:cs="DanaFajr"/>
          <w:sz w:val="28"/>
          <w:szCs w:val="28"/>
          <w:rtl/>
        </w:rPr>
        <w:t xml:space="preserve"> </w:t>
      </w:r>
      <w:r w:rsidRPr="006571AC">
        <w:rPr>
          <w:rFonts w:cs="DanaFajr" w:hint="eastAsia"/>
          <w:sz w:val="28"/>
          <w:szCs w:val="28"/>
          <w:rtl/>
        </w:rPr>
        <w:t>نَحْوَهُ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فَصَارَ</w:t>
      </w:r>
      <w:r w:rsidRPr="006571AC">
        <w:rPr>
          <w:rFonts w:cs="DanaFajr"/>
          <w:sz w:val="28"/>
          <w:szCs w:val="28"/>
          <w:rtl/>
        </w:rPr>
        <w:t xml:space="preserve"> </w:t>
      </w:r>
      <w:r w:rsidRPr="006571AC">
        <w:rPr>
          <w:rFonts w:cs="DanaFajr" w:hint="eastAsia"/>
          <w:sz w:val="28"/>
          <w:szCs w:val="28"/>
          <w:rtl/>
        </w:rPr>
        <w:t>مَثَابَةً</w:t>
      </w:r>
      <w:r w:rsidRPr="006571AC">
        <w:rPr>
          <w:rFonts w:cs="DanaFajr"/>
          <w:sz w:val="28"/>
          <w:szCs w:val="28"/>
          <w:rtl/>
        </w:rPr>
        <w:t xml:space="preserve"> </w:t>
      </w:r>
      <w:r w:rsidRPr="006571AC">
        <w:rPr>
          <w:rFonts w:cs="DanaFajr" w:hint="eastAsia"/>
          <w:sz w:val="28"/>
          <w:szCs w:val="28"/>
          <w:rtl/>
        </w:rPr>
        <w:t>لِمُنْتَجَعِ</w:t>
      </w:r>
      <w:r w:rsidRPr="006571AC">
        <w:rPr>
          <w:rFonts w:cs="DanaFajr"/>
          <w:sz w:val="28"/>
          <w:szCs w:val="28"/>
          <w:rtl/>
        </w:rPr>
        <w:t xml:space="preserve"> </w:t>
      </w:r>
      <w:r w:rsidRPr="006571AC">
        <w:rPr>
          <w:rFonts w:cs="DanaFajr" w:hint="eastAsia"/>
          <w:sz w:val="28"/>
          <w:szCs w:val="28"/>
          <w:rtl/>
        </w:rPr>
        <w:t>أَسْفَارِهِمْ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وَغَايَةً</w:t>
      </w:r>
      <w:r w:rsidRPr="006571AC">
        <w:rPr>
          <w:rFonts w:cs="DanaFajr"/>
          <w:sz w:val="28"/>
          <w:szCs w:val="28"/>
          <w:rtl/>
        </w:rPr>
        <w:t xml:space="preserve"> </w:t>
      </w:r>
      <w:r w:rsidRPr="006571AC">
        <w:rPr>
          <w:rFonts w:cs="DanaFajr" w:hint="eastAsia"/>
          <w:sz w:val="28"/>
          <w:szCs w:val="28"/>
          <w:rtl/>
        </w:rPr>
        <w:t>لِمُلْقَى</w:t>
      </w:r>
      <w:r w:rsidRPr="006571AC">
        <w:rPr>
          <w:rFonts w:cs="DanaFajr"/>
          <w:sz w:val="28"/>
          <w:szCs w:val="28"/>
          <w:rtl/>
        </w:rPr>
        <w:t xml:space="preserve"> </w:t>
      </w:r>
      <w:r w:rsidRPr="006571AC">
        <w:rPr>
          <w:rFonts w:cs="DanaFajr" w:hint="eastAsia"/>
          <w:sz w:val="28"/>
          <w:szCs w:val="28"/>
          <w:rtl/>
        </w:rPr>
        <w:t>رِحَالِهِمْ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تَهْوِي</w:t>
      </w:r>
      <w:r w:rsidRPr="006571AC">
        <w:rPr>
          <w:rFonts w:cs="DanaFajr"/>
          <w:sz w:val="28"/>
          <w:szCs w:val="28"/>
          <w:rtl/>
        </w:rPr>
        <w:t xml:space="preserve"> </w:t>
      </w:r>
      <w:r w:rsidRPr="006571AC">
        <w:rPr>
          <w:rFonts w:cs="DanaFajr" w:hint="eastAsia"/>
          <w:sz w:val="28"/>
          <w:szCs w:val="28"/>
          <w:rtl/>
        </w:rPr>
        <w:t>إِلَيْهِ</w:t>
      </w:r>
      <w:r w:rsidRPr="006571AC">
        <w:rPr>
          <w:rFonts w:cs="DanaFajr"/>
          <w:sz w:val="28"/>
          <w:szCs w:val="28"/>
          <w:rtl/>
        </w:rPr>
        <w:t xml:space="preserve"> </w:t>
      </w:r>
      <w:r w:rsidRPr="006571AC">
        <w:rPr>
          <w:rFonts w:cs="DanaFajr" w:hint="eastAsia"/>
          <w:sz w:val="28"/>
          <w:szCs w:val="28"/>
          <w:rtl/>
        </w:rPr>
        <w:t>ثِمَارُ</w:t>
      </w:r>
      <w:r w:rsidRPr="006571AC">
        <w:rPr>
          <w:rFonts w:cs="DanaFajr"/>
          <w:sz w:val="28"/>
          <w:szCs w:val="28"/>
          <w:rtl/>
        </w:rPr>
        <w:t xml:space="preserve"> </w:t>
      </w:r>
      <w:r w:rsidRPr="006571AC">
        <w:rPr>
          <w:rFonts w:cs="DanaFajr" w:hint="eastAsia"/>
          <w:sz w:val="28"/>
          <w:szCs w:val="28"/>
          <w:rtl/>
        </w:rPr>
        <w:t>ا</w:t>
      </w:r>
      <w:r w:rsidRPr="006571AC">
        <w:rPr>
          <w:rFonts w:cs="DanaFajr" w:hint="cs"/>
          <w:sz w:val="28"/>
          <w:szCs w:val="28"/>
          <w:rtl/>
        </w:rPr>
        <w:t>ل</w:t>
      </w:r>
      <w:r w:rsidRPr="006571AC">
        <w:rPr>
          <w:rFonts w:cs="DanaFajr" w:hint="eastAsia"/>
          <w:sz w:val="28"/>
          <w:szCs w:val="28"/>
          <w:rtl/>
        </w:rPr>
        <w:t>أَفْئِدَةِ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مَفَاوِزِ</w:t>
      </w:r>
      <w:r w:rsidRPr="006571AC">
        <w:rPr>
          <w:rFonts w:cs="DanaFajr"/>
          <w:sz w:val="28"/>
          <w:szCs w:val="28"/>
          <w:rtl/>
        </w:rPr>
        <w:t xml:space="preserve"> </w:t>
      </w:r>
      <w:r w:rsidRPr="006571AC">
        <w:rPr>
          <w:rFonts w:cs="DanaFajr" w:hint="eastAsia"/>
          <w:sz w:val="28"/>
          <w:szCs w:val="28"/>
          <w:rtl/>
        </w:rPr>
        <w:t>قِفَارٍ</w:t>
      </w:r>
      <w:r w:rsidRPr="006571AC">
        <w:rPr>
          <w:rFonts w:cs="DanaFajr"/>
          <w:sz w:val="28"/>
          <w:szCs w:val="28"/>
          <w:rtl/>
        </w:rPr>
        <w:t xml:space="preserve"> </w:t>
      </w:r>
      <w:r w:rsidRPr="006571AC">
        <w:rPr>
          <w:rFonts w:cs="DanaFajr" w:hint="eastAsia"/>
          <w:sz w:val="28"/>
          <w:szCs w:val="28"/>
          <w:rtl/>
        </w:rPr>
        <w:t>سَحِيقَةٍ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وَمَهَاوِي</w:t>
      </w:r>
      <w:r w:rsidRPr="006571AC">
        <w:rPr>
          <w:rFonts w:cs="DanaFajr"/>
          <w:sz w:val="28"/>
          <w:szCs w:val="28"/>
          <w:rtl/>
        </w:rPr>
        <w:t xml:space="preserve"> </w:t>
      </w:r>
      <w:r w:rsidRPr="006571AC">
        <w:rPr>
          <w:rFonts w:cs="DanaFajr" w:hint="eastAsia"/>
          <w:sz w:val="28"/>
          <w:szCs w:val="28"/>
          <w:rtl/>
        </w:rPr>
        <w:t>فِجَاجٍ</w:t>
      </w:r>
      <w:r w:rsidRPr="006571AC">
        <w:rPr>
          <w:rFonts w:cs="DanaFajr"/>
          <w:sz w:val="28"/>
          <w:szCs w:val="28"/>
          <w:rtl/>
        </w:rPr>
        <w:t xml:space="preserve"> </w:t>
      </w:r>
      <w:r w:rsidRPr="006571AC">
        <w:rPr>
          <w:rFonts w:cs="DanaFajr" w:hint="eastAsia"/>
          <w:sz w:val="28"/>
          <w:szCs w:val="28"/>
          <w:rtl/>
        </w:rPr>
        <w:t>عَمِيقَةٍ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وَجَزَائِرِ</w:t>
      </w:r>
      <w:r w:rsidRPr="006571AC">
        <w:rPr>
          <w:rFonts w:cs="DanaFajr"/>
          <w:sz w:val="28"/>
          <w:szCs w:val="28"/>
          <w:rtl/>
        </w:rPr>
        <w:t xml:space="preserve"> </w:t>
      </w:r>
      <w:r w:rsidRPr="006571AC">
        <w:rPr>
          <w:rFonts w:cs="DanaFajr" w:hint="eastAsia"/>
          <w:sz w:val="28"/>
          <w:szCs w:val="28"/>
          <w:rtl/>
        </w:rPr>
        <w:t>بِحَارٍ</w:t>
      </w:r>
      <w:r w:rsidRPr="006571AC">
        <w:rPr>
          <w:rFonts w:cs="DanaFajr"/>
          <w:sz w:val="28"/>
          <w:szCs w:val="28"/>
          <w:rtl/>
        </w:rPr>
        <w:t xml:space="preserve"> </w:t>
      </w:r>
      <w:r w:rsidRPr="006571AC">
        <w:rPr>
          <w:rFonts w:cs="DanaFajr" w:hint="eastAsia"/>
          <w:sz w:val="28"/>
          <w:szCs w:val="28"/>
          <w:rtl/>
        </w:rPr>
        <w:t>مُنْقَطِعَةٍ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حَتَّى</w:t>
      </w:r>
      <w:r w:rsidRPr="006571AC">
        <w:rPr>
          <w:rFonts w:cs="DanaFajr"/>
          <w:sz w:val="28"/>
          <w:szCs w:val="28"/>
          <w:rtl/>
        </w:rPr>
        <w:t xml:space="preserve"> </w:t>
      </w:r>
      <w:r w:rsidRPr="006571AC">
        <w:rPr>
          <w:rFonts w:cs="DanaFajr" w:hint="eastAsia"/>
          <w:sz w:val="28"/>
          <w:szCs w:val="28"/>
          <w:rtl/>
        </w:rPr>
        <w:t>يَهُزُّوا</w:t>
      </w:r>
      <w:r w:rsidRPr="006571AC">
        <w:rPr>
          <w:rFonts w:cs="DanaFajr"/>
          <w:sz w:val="28"/>
          <w:szCs w:val="28"/>
          <w:rtl/>
        </w:rPr>
        <w:t xml:space="preserve"> </w:t>
      </w:r>
      <w:r w:rsidRPr="006571AC">
        <w:rPr>
          <w:rFonts w:cs="DanaFajr" w:hint="eastAsia"/>
          <w:sz w:val="28"/>
          <w:szCs w:val="28"/>
          <w:rtl/>
        </w:rPr>
        <w:t>مَنَاكِبَهُمْ</w:t>
      </w:r>
      <w:r w:rsidRPr="006571AC">
        <w:rPr>
          <w:rFonts w:cs="DanaFajr"/>
          <w:sz w:val="28"/>
          <w:szCs w:val="28"/>
          <w:rtl/>
        </w:rPr>
        <w:t xml:space="preserve"> </w:t>
      </w:r>
      <w:r w:rsidRPr="006571AC">
        <w:rPr>
          <w:rFonts w:cs="DanaFajr" w:hint="eastAsia"/>
          <w:sz w:val="28"/>
          <w:szCs w:val="28"/>
          <w:rtl/>
        </w:rPr>
        <w:t>ذُلُلاً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يُهَلِّلُونَ</w:t>
      </w:r>
      <w:r w:rsidRPr="006571AC">
        <w:rPr>
          <w:rFonts w:cs="DanaFajr"/>
          <w:sz w:val="28"/>
          <w:szCs w:val="28"/>
          <w:rtl/>
        </w:rPr>
        <w:t xml:space="preserve"> </w:t>
      </w:r>
      <w:r w:rsidRPr="006571AC">
        <w:rPr>
          <w:rFonts w:cs="DanaFajr" w:hint="eastAsia"/>
          <w:sz w:val="28"/>
          <w:szCs w:val="28"/>
          <w:rtl/>
        </w:rPr>
        <w:t>للهِ</w:t>
      </w:r>
      <w:r w:rsidRPr="006571AC">
        <w:rPr>
          <w:rFonts w:cs="DanaFajr"/>
          <w:sz w:val="28"/>
          <w:szCs w:val="28"/>
          <w:rtl/>
        </w:rPr>
        <w:t xml:space="preserve"> </w:t>
      </w:r>
      <w:r w:rsidRPr="006571AC">
        <w:rPr>
          <w:rFonts w:cs="DanaFajr" w:hint="eastAsia"/>
          <w:sz w:val="28"/>
          <w:szCs w:val="28"/>
          <w:rtl/>
        </w:rPr>
        <w:t>حَوْلَهُ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وَيَرْمُلُونَ</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أَقْدَامِهِمْ</w:t>
      </w:r>
      <w:r w:rsidRPr="006571AC">
        <w:rPr>
          <w:rFonts w:cs="DanaFajr" w:hint="cs"/>
          <w:sz w:val="28"/>
          <w:szCs w:val="28"/>
          <w:rtl/>
        </w:rPr>
        <w:t xml:space="preserve"> </w:t>
      </w:r>
      <w:r w:rsidRPr="006571AC">
        <w:rPr>
          <w:rFonts w:cs="DanaFajr" w:hint="eastAsia"/>
          <w:sz w:val="28"/>
          <w:szCs w:val="28"/>
          <w:rtl/>
        </w:rPr>
        <w:t>شُعْثاً</w:t>
      </w:r>
      <w:r w:rsidRPr="006571AC">
        <w:rPr>
          <w:rFonts w:cs="DanaFajr"/>
          <w:sz w:val="28"/>
          <w:szCs w:val="28"/>
          <w:rtl/>
        </w:rPr>
        <w:t xml:space="preserve"> </w:t>
      </w:r>
      <w:r w:rsidRPr="006571AC">
        <w:rPr>
          <w:rFonts w:cs="DanaFajr" w:hint="eastAsia"/>
          <w:sz w:val="28"/>
          <w:szCs w:val="28"/>
          <w:rtl/>
        </w:rPr>
        <w:t>غُبْراً</w:t>
      </w:r>
      <w:r w:rsidRPr="006571AC">
        <w:rPr>
          <w:rFonts w:cs="DanaFajr"/>
          <w:sz w:val="28"/>
          <w:szCs w:val="28"/>
          <w:rtl/>
        </w:rPr>
        <w:t xml:space="preserve"> </w:t>
      </w:r>
      <w:r w:rsidRPr="006571AC">
        <w:rPr>
          <w:rFonts w:cs="DanaFajr" w:hint="eastAsia"/>
          <w:sz w:val="28"/>
          <w:szCs w:val="28"/>
          <w:rtl/>
        </w:rPr>
        <w:t>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قَدْ</w:t>
      </w:r>
      <w:r w:rsidRPr="006571AC">
        <w:rPr>
          <w:rFonts w:cs="DanaFajr"/>
          <w:sz w:val="28"/>
          <w:szCs w:val="28"/>
          <w:rtl/>
        </w:rPr>
        <w:t xml:space="preserve"> </w:t>
      </w:r>
      <w:r w:rsidRPr="006571AC">
        <w:rPr>
          <w:rFonts w:cs="DanaFajr" w:hint="eastAsia"/>
          <w:sz w:val="28"/>
          <w:szCs w:val="28"/>
          <w:rtl/>
        </w:rPr>
        <w:t>نَبَذُوا</w:t>
      </w:r>
      <w:r w:rsidRPr="006571AC">
        <w:rPr>
          <w:rFonts w:cs="DanaFajr"/>
          <w:sz w:val="28"/>
          <w:szCs w:val="28"/>
          <w:rtl/>
        </w:rPr>
        <w:t xml:space="preserve"> </w:t>
      </w:r>
      <w:r w:rsidRPr="006571AC">
        <w:rPr>
          <w:rFonts w:cs="DanaFajr" w:hint="eastAsia"/>
          <w:sz w:val="28"/>
          <w:szCs w:val="28"/>
          <w:rtl/>
        </w:rPr>
        <w:t>السَّرَابِيلَ</w:t>
      </w:r>
      <w:r w:rsidRPr="006571AC">
        <w:rPr>
          <w:rFonts w:cs="DanaFajr"/>
          <w:sz w:val="28"/>
          <w:szCs w:val="28"/>
          <w:rtl/>
        </w:rPr>
        <w:t xml:space="preserve"> </w:t>
      </w:r>
      <w:r w:rsidRPr="006571AC">
        <w:rPr>
          <w:rFonts w:cs="DanaFajr" w:hint="eastAsia"/>
          <w:sz w:val="28"/>
          <w:szCs w:val="28"/>
          <w:rtl/>
        </w:rPr>
        <w:t>وَرَاءَ</w:t>
      </w:r>
      <w:r w:rsidRPr="006571AC">
        <w:rPr>
          <w:rFonts w:cs="DanaFajr"/>
          <w:sz w:val="28"/>
          <w:szCs w:val="28"/>
          <w:rtl/>
        </w:rPr>
        <w:t xml:space="preserve"> </w:t>
      </w:r>
      <w:r w:rsidRPr="006571AC">
        <w:rPr>
          <w:rFonts w:cs="DanaFajr" w:hint="eastAsia"/>
          <w:sz w:val="28"/>
          <w:szCs w:val="28"/>
          <w:rtl/>
        </w:rPr>
        <w:t>ظُهُورِهِمْ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وَشَوَّهُوا</w:t>
      </w:r>
      <w:r w:rsidRPr="006571AC">
        <w:rPr>
          <w:rFonts w:cs="DanaFajr"/>
          <w:sz w:val="28"/>
          <w:szCs w:val="28"/>
          <w:rtl/>
        </w:rPr>
        <w:t xml:space="preserve"> </w:t>
      </w:r>
      <w:r w:rsidRPr="006571AC">
        <w:rPr>
          <w:rFonts w:cs="DanaFajr" w:hint="eastAsia"/>
          <w:sz w:val="28"/>
          <w:szCs w:val="28"/>
          <w:rtl/>
        </w:rPr>
        <w:t>بِإِعْفَاءِ</w:t>
      </w:r>
      <w:r w:rsidRPr="006571AC">
        <w:rPr>
          <w:rFonts w:cs="DanaFajr"/>
          <w:sz w:val="28"/>
          <w:szCs w:val="28"/>
          <w:rtl/>
        </w:rPr>
        <w:t xml:space="preserve"> </w:t>
      </w:r>
      <w:r w:rsidRPr="006571AC">
        <w:rPr>
          <w:rFonts w:cs="DanaFajr" w:hint="eastAsia"/>
          <w:sz w:val="28"/>
          <w:szCs w:val="28"/>
          <w:rtl/>
        </w:rPr>
        <w:t>الشُّعُورِ</w:t>
      </w:r>
      <w:r w:rsidRPr="006571AC">
        <w:rPr>
          <w:rFonts w:cs="DanaFajr"/>
          <w:sz w:val="28"/>
          <w:szCs w:val="28"/>
          <w:rtl/>
        </w:rPr>
        <w:t xml:space="preserve"> </w:t>
      </w:r>
      <w:r w:rsidRPr="006571AC">
        <w:rPr>
          <w:rFonts w:cs="DanaFajr" w:hint="eastAsia"/>
          <w:sz w:val="28"/>
          <w:szCs w:val="28"/>
          <w:rtl/>
        </w:rPr>
        <w:t>مَحَاسِنَ</w:t>
      </w:r>
      <w:r w:rsidRPr="006571AC">
        <w:rPr>
          <w:rFonts w:cs="DanaFajr"/>
          <w:sz w:val="28"/>
          <w:szCs w:val="28"/>
          <w:rtl/>
        </w:rPr>
        <w:t xml:space="preserve"> </w:t>
      </w:r>
      <w:r w:rsidRPr="006571AC">
        <w:rPr>
          <w:rFonts w:cs="DanaFajr" w:hint="eastAsia"/>
          <w:sz w:val="28"/>
          <w:szCs w:val="28"/>
          <w:rtl/>
        </w:rPr>
        <w:t>خَلْقِهِمُ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ابْتِلاءً</w:t>
      </w:r>
      <w:r w:rsidRPr="006571AC">
        <w:rPr>
          <w:rFonts w:cs="DanaFajr"/>
          <w:sz w:val="28"/>
          <w:szCs w:val="28"/>
          <w:rtl/>
        </w:rPr>
        <w:t xml:space="preserve"> </w:t>
      </w:r>
      <w:r w:rsidRPr="006571AC">
        <w:rPr>
          <w:rFonts w:cs="DanaFajr" w:hint="eastAsia"/>
          <w:sz w:val="28"/>
          <w:szCs w:val="28"/>
          <w:rtl/>
        </w:rPr>
        <w:t>عَظِيماً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وَامْتِحَاناً</w:t>
      </w:r>
      <w:r w:rsidRPr="006571AC">
        <w:rPr>
          <w:rFonts w:cs="DanaFajr"/>
          <w:sz w:val="28"/>
          <w:szCs w:val="28"/>
          <w:rtl/>
        </w:rPr>
        <w:t xml:space="preserve"> </w:t>
      </w:r>
      <w:r w:rsidRPr="006571AC">
        <w:rPr>
          <w:rFonts w:cs="DanaFajr" w:hint="eastAsia"/>
          <w:sz w:val="28"/>
          <w:szCs w:val="28"/>
          <w:rtl/>
        </w:rPr>
        <w:t>شَدِيداً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وَاخْتِبَاراً</w:t>
      </w:r>
      <w:r w:rsidRPr="006571AC">
        <w:rPr>
          <w:rFonts w:cs="DanaFajr"/>
          <w:sz w:val="28"/>
          <w:szCs w:val="28"/>
          <w:rtl/>
        </w:rPr>
        <w:t xml:space="preserve"> </w:t>
      </w:r>
      <w:r w:rsidRPr="006571AC">
        <w:rPr>
          <w:rFonts w:cs="DanaFajr" w:hint="eastAsia"/>
          <w:sz w:val="28"/>
          <w:szCs w:val="28"/>
          <w:rtl/>
        </w:rPr>
        <w:t>مُبِيناً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وَتَمْحِيصاً</w:t>
      </w:r>
      <w:r w:rsidRPr="006571AC">
        <w:rPr>
          <w:rFonts w:cs="DanaFajr"/>
          <w:sz w:val="28"/>
          <w:szCs w:val="28"/>
          <w:rtl/>
        </w:rPr>
        <w:t xml:space="preserve"> </w:t>
      </w:r>
      <w:r w:rsidRPr="006571AC">
        <w:rPr>
          <w:rFonts w:cs="DanaFajr" w:hint="eastAsia"/>
          <w:sz w:val="28"/>
          <w:szCs w:val="28"/>
          <w:rtl/>
        </w:rPr>
        <w:t>بَلِيغاً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جَعَلَهُ</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سَبَباً</w:t>
      </w:r>
      <w:r w:rsidRPr="006571AC">
        <w:rPr>
          <w:rFonts w:cs="DanaFajr"/>
          <w:sz w:val="28"/>
          <w:szCs w:val="28"/>
          <w:rtl/>
        </w:rPr>
        <w:t xml:space="preserve"> </w:t>
      </w:r>
      <w:r w:rsidRPr="006571AC">
        <w:rPr>
          <w:rFonts w:cs="DanaFajr" w:hint="eastAsia"/>
          <w:sz w:val="28"/>
          <w:szCs w:val="28"/>
          <w:rtl/>
        </w:rPr>
        <w:t>لِرَحْمَتِهِ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وَوُصْلَةً</w:t>
      </w:r>
      <w:r w:rsidRPr="006571AC">
        <w:rPr>
          <w:rFonts w:cs="DanaFajr"/>
          <w:sz w:val="28"/>
          <w:szCs w:val="28"/>
          <w:rtl/>
        </w:rPr>
        <w:t xml:space="preserve"> </w:t>
      </w:r>
      <w:r w:rsidRPr="006571AC">
        <w:rPr>
          <w:rFonts w:cs="DanaFajr" w:hint="eastAsia"/>
          <w:sz w:val="28"/>
          <w:szCs w:val="28"/>
          <w:rtl/>
        </w:rPr>
        <w:t>إِلَى</w:t>
      </w:r>
      <w:r w:rsidRPr="006571AC">
        <w:rPr>
          <w:rFonts w:cs="DanaFajr"/>
          <w:sz w:val="28"/>
          <w:szCs w:val="28"/>
          <w:rtl/>
        </w:rPr>
        <w:t xml:space="preserve"> </w:t>
      </w:r>
      <w:r w:rsidRPr="006571AC">
        <w:rPr>
          <w:rFonts w:cs="DanaFajr" w:hint="eastAsia"/>
          <w:sz w:val="28"/>
          <w:szCs w:val="28"/>
          <w:rtl/>
        </w:rPr>
        <w:t>جَنَّتِهِ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أَرَادَ</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يَضَعَ</w:t>
      </w:r>
      <w:r w:rsidRPr="006571AC">
        <w:rPr>
          <w:rFonts w:cs="DanaFajr"/>
          <w:sz w:val="28"/>
          <w:szCs w:val="28"/>
          <w:rtl/>
        </w:rPr>
        <w:t xml:space="preserve"> </w:t>
      </w:r>
      <w:r w:rsidRPr="006571AC">
        <w:rPr>
          <w:rFonts w:cs="DanaFajr" w:hint="eastAsia"/>
          <w:sz w:val="28"/>
          <w:szCs w:val="28"/>
          <w:rtl/>
        </w:rPr>
        <w:t>بَيْتَهُ</w:t>
      </w:r>
      <w:r w:rsidRPr="006571AC">
        <w:rPr>
          <w:rFonts w:cs="DanaFajr"/>
          <w:sz w:val="28"/>
          <w:szCs w:val="28"/>
          <w:rtl/>
        </w:rPr>
        <w:t xml:space="preserve"> </w:t>
      </w:r>
      <w:r w:rsidRPr="006571AC">
        <w:rPr>
          <w:rFonts w:cs="DanaFajr" w:hint="eastAsia"/>
          <w:sz w:val="28"/>
          <w:szCs w:val="28"/>
          <w:rtl/>
        </w:rPr>
        <w:t>الْحَرَامَ</w:t>
      </w:r>
      <w:r w:rsidRPr="006571AC">
        <w:rPr>
          <w:rFonts w:cs="DanaFajr"/>
          <w:sz w:val="28"/>
          <w:szCs w:val="28"/>
          <w:rtl/>
        </w:rPr>
        <w:t xml:space="preserve"> </w:t>
      </w:r>
      <w:r w:rsidRPr="006571AC">
        <w:rPr>
          <w:rFonts w:cs="DanaFajr" w:hint="eastAsia"/>
          <w:sz w:val="28"/>
          <w:szCs w:val="28"/>
          <w:rtl/>
        </w:rPr>
        <w:t>وَمَشَاعِرَهُ</w:t>
      </w:r>
      <w:r w:rsidRPr="006571AC">
        <w:rPr>
          <w:rFonts w:cs="DanaFajr"/>
          <w:sz w:val="28"/>
          <w:szCs w:val="28"/>
          <w:rtl/>
        </w:rPr>
        <w:t xml:space="preserve"> </w:t>
      </w:r>
      <w:r w:rsidRPr="006571AC">
        <w:rPr>
          <w:rFonts w:cs="DanaFajr" w:hint="eastAsia"/>
          <w:sz w:val="28"/>
          <w:szCs w:val="28"/>
          <w:rtl/>
        </w:rPr>
        <w:t>الْعِظَامَ</w:t>
      </w:r>
      <w:r w:rsidRPr="006571AC">
        <w:rPr>
          <w:rFonts w:cs="DanaFajr"/>
          <w:sz w:val="28"/>
          <w:szCs w:val="28"/>
          <w:rtl/>
        </w:rPr>
        <w:t xml:space="preserve"> </w:t>
      </w:r>
      <w:r w:rsidRPr="006571AC">
        <w:rPr>
          <w:rFonts w:cs="DanaFajr" w:hint="eastAsia"/>
          <w:sz w:val="28"/>
          <w:szCs w:val="28"/>
          <w:rtl/>
        </w:rPr>
        <w:t>بَيْنَ</w:t>
      </w:r>
      <w:r w:rsidRPr="006571AC">
        <w:rPr>
          <w:rFonts w:cs="DanaFajr"/>
          <w:sz w:val="28"/>
          <w:szCs w:val="28"/>
          <w:rtl/>
        </w:rPr>
        <w:t xml:space="preserve"> </w:t>
      </w:r>
      <w:r w:rsidRPr="006571AC">
        <w:rPr>
          <w:rFonts w:cs="DanaFajr" w:hint="eastAsia"/>
          <w:sz w:val="28"/>
          <w:szCs w:val="28"/>
          <w:rtl/>
        </w:rPr>
        <w:t>جَنَّاتٍ</w:t>
      </w:r>
      <w:r w:rsidRPr="006571AC">
        <w:rPr>
          <w:rFonts w:cs="DanaFajr"/>
          <w:sz w:val="28"/>
          <w:szCs w:val="28"/>
          <w:rtl/>
        </w:rPr>
        <w:t xml:space="preserve"> </w:t>
      </w:r>
      <w:r w:rsidRPr="006571AC">
        <w:rPr>
          <w:rFonts w:cs="DanaFajr" w:hint="eastAsia"/>
          <w:sz w:val="28"/>
          <w:szCs w:val="28"/>
          <w:rtl/>
        </w:rPr>
        <w:t>وَأَنْهَارٍ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وَسَهْلٍ</w:t>
      </w:r>
      <w:r w:rsidRPr="006571AC">
        <w:rPr>
          <w:rFonts w:cs="DanaFajr"/>
          <w:sz w:val="28"/>
          <w:szCs w:val="28"/>
          <w:rtl/>
        </w:rPr>
        <w:t xml:space="preserve"> </w:t>
      </w:r>
      <w:r w:rsidRPr="006571AC">
        <w:rPr>
          <w:rFonts w:cs="DanaFajr" w:hint="eastAsia"/>
          <w:sz w:val="28"/>
          <w:szCs w:val="28"/>
          <w:rtl/>
        </w:rPr>
        <w:t>وَقَرَارٍ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جَمَّ</w:t>
      </w:r>
      <w:r w:rsidRPr="006571AC">
        <w:rPr>
          <w:rFonts w:cs="DanaFajr"/>
          <w:sz w:val="28"/>
          <w:szCs w:val="28"/>
          <w:rtl/>
        </w:rPr>
        <w:t xml:space="preserve"> </w:t>
      </w:r>
      <w:r w:rsidRPr="006571AC">
        <w:rPr>
          <w:rFonts w:cs="DanaFajr" w:hint="eastAsia"/>
          <w:sz w:val="28"/>
          <w:szCs w:val="28"/>
          <w:rtl/>
        </w:rPr>
        <w:t>الأَشْجَارِ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دَانِيَ</w:t>
      </w:r>
      <w:r w:rsidRPr="006571AC">
        <w:rPr>
          <w:rFonts w:cs="DanaFajr"/>
          <w:sz w:val="28"/>
          <w:szCs w:val="28"/>
          <w:rtl/>
        </w:rPr>
        <w:t xml:space="preserve"> </w:t>
      </w:r>
      <w:r w:rsidRPr="006571AC">
        <w:rPr>
          <w:rFonts w:cs="DanaFajr" w:hint="eastAsia"/>
          <w:sz w:val="28"/>
          <w:szCs w:val="28"/>
          <w:rtl/>
        </w:rPr>
        <w:t>الثِّمَارِ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مُلْتَفَّ</w:t>
      </w:r>
      <w:r w:rsidRPr="006571AC">
        <w:rPr>
          <w:rFonts w:cs="DanaFajr"/>
          <w:sz w:val="28"/>
          <w:szCs w:val="28"/>
          <w:rtl/>
        </w:rPr>
        <w:t xml:space="preserve"> </w:t>
      </w:r>
      <w:r w:rsidRPr="006571AC">
        <w:rPr>
          <w:rFonts w:cs="DanaFajr" w:hint="eastAsia"/>
          <w:sz w:val="28"/>
          <w:szCs w:val="28"/>
          <w:rtl/>
        </w:rPr>
        <w:t>الْبُنَى</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مُتَّصِلَ</w:t>
      </w:r>
      <w:r w:rsidRPr="006571AC">
        <w:rPr>
          <w:rFonts w:cs="DanaFajr"/>
          <w:sz w:val="28"/>
          <w:szCs w:val="28"/>
          <w:rtl/>
        </w:rPr>
        <w:t xml:space="preserve"> </w:t>
      </w:r>
      <w:r w:rsidRPr="006571AC">
        <w:rPr>
          <w:rFonts w:cs="DanaFajr" w:hint="eastAsia"/>
          <w:sz w:val="28"/>
          <w:szCs w:val="28"/>
          <w:rtl/>
        </w:rPr>
        <w:t>الْقُرَى</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بَيْنَ</w:t>
      </w:r>
      <w:r w:rsidRPr="006571AC">
        <w:rPr>
          <w:rFonts w:cs="DanaFajr"/>
          <w:sz w:val="28"/>
          <w:szCs w:val="28"/>
          <w:rtl/>
        </w:rPr>
        <w:t xml:space="preserve"> </w:t>
      </w:r>
      <w:r w:rsidRPr="006571AC">
        <w:rPr>
          <w:rFonts w:cs="DanaFajr" w:hint="eastAsia"/>
          <w:sz w:val="28"/>
          <w:szCs w:val="28"/>
          <w:rtl/>
        </w:rPr>
        <w:t>بُرَّةٍ</w:t>
      </w:r>
      <w:r w:rsidRPr="006571AC">
        <w:rPr>
          <w:rFonts w:cs="DanaFajr"/>
          <w:sz w:val="28"/>
          <w:szCs w:val="28"/>
          <w:rtl/>
        </w:rPr>
        <w:t xml:space="preserve"> </w:t>
      </w:r>
      <w:r w:rsidRPr="006571AC">
        <w:rPr>
          <w:rFonts w:cs="DanaFajr" w:hint="eastAsia"/>
          <w:sz w:val="28"/>
          <w:szCs w:val="28"/>
          <w:rtl/>
        </w:rPr>
        <w:t>سَمْرَاءَ</w:t>
      </w:r>
      <w:r w:rsidRPr="006571AC">
        <w:rPr>
          <w:rFonts w:cs="DanaFajr"/>
          <w:sz w:val="28"/>
          <w:szCs w:val="28"/>
          <w:rtl/>
        </w:rPr>
        <w:t xml:space="preserve"> </w:t>
      </w:r>
      <w:r w:rsidRPr="006571AC">
        <w:rPr>
          <w:rFonts w:cs="DanaFajr" w:hint="eastAsia"/>
          <w:sz w:val="28"/>
          <w:szCs w:val="28"/>
          <w:rtl/>
        </w:rPr>
        <w:t>وَرَوْضَةٍ</w:t>
      </w:r>
      <w:r w:rsidRPr="006571AC">
        <w:rPr>
          <w:rFonts w:cs="DanaFajr"/>
          <w:sz w:val="28"/>
          <w:szCs w:val="28"/>
          <w:rtl/>
        </w:rPr>
        <w:t xml:space="preserve"> </w:t>
      </w:r>
      <w:r w:rsidRPr="006571AC">
        <w:rPr>
          <w:rFonts w:cs="DanaFajr" w:hint="eastAsia"/>
          <w:sz w:val="28"/>
          <w:szCs w:val="28"/>
          <w:rtl/>
        </w:rPr>
        <w:t>خَضْرَاءَ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وَأَرْيَافٍ</w:t>
      </w:r>
      <w:r w:rsidRPr="006571AC">
        <w:rPr>
          <w:rFonts w:cs="DanaFajr"/>
          <w:sz w:val="28"/>
          <w:szCs w:val="28"/>
          <w:rtl/>
        </w:rPr>
        <w:t xml:space="preserve"> </w:t>
      </w:r>
      <w:r w:rsidRPr="006571AC">
        <w:rPr>
          <w:rFonts w:cs="DanaFajr" w:hint="eastAsia"/>
          <w:sz w:val="28"/>
          <w:szCs w:val="28"/>
          <w:rtl/>
        </w:rPr>
        <w:t>مُحْدِقَةٍ</w:t>
      </w:r>
      <w:r w:rsidRPr="006571AC">
        <w:rPr>
          <w:rFonts w:cs="DanaFajr"/>
          <w:sz w:val="28"/>
          <w:szCs w:val="28"/>
          <w:rtl/>
        </w:rPr>
        <w:t xml:space="preserve"> </w:t>
      </w:r>
      <w:r w:rsidRPr="006571AC">
        <w:rPr>
          <w:rFonts w:cs="DanaFajr" w:hint="eastAsia"/>
          <w:sz w:val="28"/>
          <w:szCs w:val="28"/>
          <w:rtl/>
        </w:rPr>
        <w:t>وَعِرَاصٍ</w:t>
      </w:r>
      <w:r w:rsidRPr="006571AC">
        <w:rPr>
          <w:rFonts w:cs="DanaFajr"/>
          <w:sz w:val="28"/>
          <w:szCs w:val="28"/>
          <w:rtl/>
        </w:rPr>
        <w:t xml:space="preserve"> </w:t>
      </w:r>
      <w:r w:rsidRPr="006571AC">
        <w:rPr>
          <w:rFonts w:cs="DanaFajr" w:hint="eastAsia"/>
          <w:sz w:val="28"/>
          <w:szCs w:val="28"/>
          <w:rtl/>
        </w:rPr>
        <w:t>مُغْدِقَةٍ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وَرِيَاضٍ</w:t>
      </w:r>
      <w:r w:rsidRPr="006571AC">
        <w:rPr>
          <w:rFonts w:cs="DanaFajr"/>
          <w:sz w:val="28"/>
          <w:szCs w:val="28"/>
          <w:rtl/>
        </w:rPr>
        <w:t xml:space="preserve"> </w:t>
      </w:r>
      <w:r w:rsidRPr="006571AC">
        <w:rPr>
          <w:rFonts w:cs="DanaFajr" w:hint="eastAsia"/>
          <w:sz w:val="28"/>
          <w:szCs w:val="28"/>
          <w:rtl/>
        </w:rPr>
        <w:t>نَاضِرَةٍ</w:t>
      </w:r>
      <w:r w:rsidRPr="006571AC">
        <w:rPr>
          <w:rFonts w:cs="DanaFajr"/>
          <w:sz w:val="28"/>
          <w:szCs w:val="28"/>
          <w:rtl/>
        </w:rPr>
        <w:t xml:space="preserve"> </w:t>
      </w:r>
      <w:r w:rsidRPr="006571AC">
        <w:rPr>
          <w:rFonts w:cs="DanaFajr" w:hint="eastAsia"/>
          <w:sz w:val="28"/>
          <w:szCs w:val="28"/>
          <w:rtl/>
        </w:rPr>
        <w:t>وَطُرُقٍ</w:t>
      </w:r>
      <w:r w:rsidRPr="006571AC">
        <w:rPr>
          <w:rFonts w:cs="DanaFajr"/>
          <w:sz w:val="28"/>
          <w:szCs w:val="28"/>
          <w:rtl/>
        </w:rPr>
        <w:t xml:space="preserve"> </w:t>
      </w:r>
      <w:r w:rsidRPr="006571AC">
        <w:rPr>
          <w:rFonts w:cs="DanaFajr" w:hint="eastAsia"/>
          <w:sz w:val="28"/>
          <w:szCs w:val="28"/>
          <w:rtl/>
        </w:rPr>
        <w:t>عَامِرَةٍ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لَكَانَ</w:t>
      </w:r>
      <w:r w:rsidRPr="006571AC">
        <w:rPr>
          <w:rFonts w:cs="DanaFajr"/>
          <w:sz w:val="28"/>
          <w:szCs w:val="28"/>
          <w:rtl/>
        </w:rPr>
        <w:t xml:space="preserve"> </w:t>
      </w:r>
      <w:r w:rsidRPr="006571AC">
        <w:rPr>
          <w:rFonts w:cs="DanaFajr" w:hint="eastAsia"/>
          <w:sz w:val="28"/>
          <w:szCs w:val="28"/>
          <w:rtl/>
        </w:rPr>
        <w:t>قَدْ</w:t>
      </w:r>
      <w:r w:rsidRPr="006571AC">
        <w:rPr>
          <w:rFonts w:cs="DanaFajr"/>
          <w:sz w:val="28"/>
          <w:szCs w:val="28"/>
          <w:rtl/>
        </w:rPr>
        <w:t xml:space="preserve"> </w:t>
      </w:r>
      <w:r w:rsidRPr="006571AC">
        <w:rPr>
          <w:rFonts w:cs="DanaFajr" w:hint="eastAsia"/>
          <w:sz w:val="28"/>
          <w:szCs w:val="28"/>
          <w:rtl/>
        </w:rPr>
        <w:t>صَغُرَ</w:t>
      </w:r>
      <w:r w:rsidRPr="006571AC">
        <w:rPr>
          <w:rFonts w:cs="DanaFajr"/>
          <w:sz w:val="28"/>
          <w:szCs w:val="28"/>
          <w:rtl/>
        </w:rPr>
        <w:t xml:space="preserve"> </w:t>
      </w:r>
      <w:r w:rsidRPr="006571AC">
        <w:rPr>
          <w:rFonts w:cs="DanaFajr" w:hint="eastAsia"/>
          <w:sz w:val="28"/>
          <w:szCs w:val="28"/>
          <w:rtl/>
        </w:rPr>
        <w:t>قَدْرُ</w:t>
      </w:r>
      <w:r w:rsidRPr="006571AC">
        <w:rPr>
          <w:rFonts w:cs="DanaFajr"/>
          <w:sz w:val="28"/>
          <w:szCs w:val="28"/>
          <w:rtl/>
        </w:rPr>
        <w:t xml:space="preserve"> </w:t>
      </w:r>
      <w:r w:rsidRPr="006571AC">
        <w:rPr>
          <w:rFonts w:cs="DanaFajr" w:hint="eastAsia"/>
          <w:sz w:val="28"/>
          <w:szCs w:val="28"/>
          <w:rtl/>
        </w:rPr>
        <w:t>الْجَزَاءِ</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حَسَبِ</w:t>
      </w:r>
      <w:r w:rsidRPr="006571AC">
        <w:rPr>
          <w:rFonts w:cs="DanaFajr"/>
          <w:sz w:val="28"/>
          <w:szCs w:val="28"/>
          <w:rtl/>
        </w:rPr>
        <w:t xml:space="preserve"> </w:t>
      </w:r>
      <w:r w:rsidRPr="006571AC">
        <w:rPr>
          <w:rFonts w:cs="DanaFajr" w:hint="eastAsia"/>
          <w:sz w:val="28"/>
          <w:szCs w:val="28"/>
          <w:rtl/>
        </w:rPr>
        <w:t>ضَعْفِ</w:t>
      </w:r>
      <w:r w:rsidRPr="006571AC">
        <w:rPr>
          <w:rFonts w:cs="DanaFajr"/>
          <w:sz w:val="28"/>
          <w:szCs w:val="28"/>
          <w:rtl/>
        </w:rPr>
        <w:t xml:space="preserve"> </w:t>
      </w:r>
      <w:r w:rsidRPr="006571AC">
        <w:rPr>
          <w:rFonts w:cs="DanaFajr" w:hint="eastAsia"/>
          <w:sz w:val="28"/>
          <w:szCs w:val="28"/>
          <w:rtl/>
        </w:rPr>
        <w:t>الْبَلاءِ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كَانَ</w:t>
      </w:r>
      <w:r w:rsidRPr="006571AC">
        <w:rPr>
          <w:rFonts w:cs="DanaFajr"/>
          <w:sz w:val="28"/>
          <w:szCs w:val="28"/>
          <w:rtl/>
        </w:rPr>
        <w:t xml:space="preserve"> </w:t>
      </w:r>
      <w:r w:rsidRPr="006571AC">
        <w:rPr>
          <w:rFonts w:cs="DanaFajr" w:hint="eastAsia"/>
          <w:sz w:val="28"/>
          <w:szCs w:val="28"/>
          <w:rtl/>
        </w:rPr>
        <w:t>الإِسَاسُ</w:t>
      </w:r>
      <w:r w:rsidRPr="006571AC">
        <w:rPr>
          <w:rFonts w:cs="DanaFajr"/>
          <w:sz w:val="28"/>
          <w:szCs w:val="28"/>
          <w:rtl/>
        </w:rPr>
        <w:t xml:space="preserve"> </w:t>
      </w:r>
      <w:r w:rsidRPr="006571AC">
        <w:rPr>
          <w:rFonts w:cs="DanaFajr" w:hint="eastAsia"/>
          <w:sz w:val="28"/>
          <w:szCs w:val="28"/>
          <w:rtl/>
        </w:rPr>
        <w:t>الْمَحْمُولُ</w:t>
      </w:r>
      <w:r w:rsidRPr="006571AC">
        <w:rPr>
          <w:rFonts w:cs="DanaFajr"/>
          <w:sz w:val="28"/>
          <w:szCs w:val="28"/>
          <w:rtl/>
        </w:rPr>
        <w:t xml:space="preserve"> </w:t>
      </w:r>
      <w:r w:rsidRPr="006571AC">
        <w:rPr>
          <w:rFonts w:cs="DanaFajr" w:hint="eastAsia"/>
          <w:sz w:val="28"/>
          <w:szCs w:val="28"/>
          <w:rtl/>
        </w:rPr>
        <w:t>عَلَيْهَا</w:t>
      </w:r>
      <w:r w:rsidRPr="006571AC">
        <w:rPr>
          <w:rFonts w:cs="DanaFajr"/>
          <w:sz w:val="28"/>
          <w:szCs w:val="28"/>
          <w:rtl/>
        </w:rPr>
        <w:t xml:space="preserve"> </w:t>
      </w:r>
      <w:r w:rsidRPr="006571AC">
        <w:rPr>
          <w:rFonts w:cs="DanaFajr" w:hint="eastAsia"/>
          <w:sz w:val="28"/>
          <w:szCs w:val="28"/>
          <w:rtl/>
        </w:rPr>
        <w:t>وَالأَحْجَارُ</w:t>
      </w:r>
      <w:r w:rsidRPr="006571AC">
        <w:rPr>
          <w:rFonts w:cs="DanaFajr"/>
          <w:sz w:val="28"/>
          <w:szCs w:val="28"/>
          <w:rtl/>
        </w:rPr>
        <w:t xml:space="preserve"> </w:t>
      </w:r>
      <w:r w:rsidRPr="006571AC">
        <w:rPr>
          <w:rFonts w:cs="DanaFajr" w:hint="eastAsia"/>
          <w:sz w:val="28"/>
          <w:szCs w:val="28"/>
          <w:rtl/>
        </w:rPr>
        <w:t>الْمَرْفُوعُ</w:t>
      </w:r>
      <w:r w:rsidRPr="006571AC">
        <w:rPr>
          <w:rFonts w:cs="DanaFajr"/>
          <w:sz w:val="28"/>
          <w:szCs w:val="28"/>
          <w:rtl/>
        </w:rPr>
        <w:t xml:space="preserve"> </w:t>
      </w:r>
      <w:r w:rsidRPr="006571AC">
        <w:rPr>
          <w:rFonts w:cs="DanaFajr" w:hint="eastAsia"/>
          <w:sz w:val="28"/>
          <w:szCs w:val="28"/>
          <w:rtl/>
        </w:rPr>
        <w:t>بِهَا</w:t>
      </w:r>
      <w:r w:rsidRPr="006571AC">
        <w:rPr>
          <w:rFonts w:cs="DanaFajr"/>
          <w:sz w:val="28"/>
          <w:szCs w:val="28"/>
          <w:rtl/>
        </w:rPr>
        <w:t xml:space="preserve"> </w:t>
      </w:r>
      <w:r w:rsidRPr="006571AC">
        <w:rPr>
          <w:rFonts w:cs="DanaFajr" w:hint="eastAsia"/>
          <w:sz w:val="28"/>
          <w:szCs w:val="28"/>
          <w:rtl/>
        </w:rPr>
        <w:t>بَيْنَ</w:t>
      </w:r>
      <w:r w:rsidRPr="006571AC">
        <w:rPr>
          <w:rFonts w:cs="DanaFajr"/>
          <w:sz w:val="28"/>
          <w:szCs w:val="28"/>
          <w:rtl/>
        </w:rPr>
        <w:t xml:space="preserve"> </w:t>
      </w:r>
      <w:r w:rsidRPr="006571AC">
        <w:rPr>
          <w:rFonts w:cs="DanaFajr" w:hint="eastAsia"/>
          <w:sz w:val="28"/>
          <w:szCs w:val="28"/>
          <w:rtl/>
        </w:rPr>
        <w:t>زُمُرُّدَةٍ</w:t>
      </w:r>
      <w:r w:rsidRPr="006571AC">
        <w:rPr>
          <w:rFonts w:cs="DanaFajr"/>
          <w:sz w:val="28"/>
          <w:szCs w:val="28"/>
          <w:rtl/>
        </w:rPr>
        <w:t xml:space="preserve"> </w:t>
      </w:r>
      <w:r w:rsidRPr="006571AC">
        <w:rPr>
          <w:rFonts w:cs="DanaFajr" w:hint="eastAsia"/>
          <w:sz w:val="28"/>
          <w:szCs w:val="28"/>
          <w:rtl/>
        </w:rPr>
        <w:t>خَضْرَاءَ</w:t>
      </w:r>
      <w:r w:rsidRPr="006571AC">
        <w:rPr>
          <w:rFonts w:cs="DanaFajr"/>
          <w:sz w:val="28"/>
          <w:szCs w:val="28"/>
          <w:rtl/>
        </w:rPr>
        <w:t xml:space="preserve"> </w:t>
      </w:r>
      <w:r w:rsidRPr="006571AC">
        <w:rPr>
          <w:rFonts w:cs="DanaFajr" w:hint="eastAsia"/>
          <w:sz w:val="28"/>
          <w:szCs w:val="28"/>
          <w:rtl/>
        </w:rPr>
        <w:t>وَيَاقُوتَةٍ</w:t>
      </w:r>
      <w:r w:rsidRPr="006571AC">
        <w:rPr>
          <w:rFonts w:cs="DanaFajr"/>
          <w:sz w:val="28"/>
          <w:szCs w:val="28"/>
          <w:rtl/>
        </w:rPr>
        <w:t xml:space="preserve"> </w:t>
      </w:r>
      <w:r w:rsidRPr="006571AC">
        <w:rPr>
          <w:rFonts w:cs="DanaFajr" w:hint="eastAsia"/>
          <w:sz w:val="28"/>
          <w:szCs w:val="28"/>
          <w:rtl/>
        </w:rPr>
        <w:t>حَمْرَاءَ</w:t>
      </w:r>
      <w:r w:rsidRPr="006571AC">
        <w:rPr>
          <w:rFonts w:cs="DanaFajr"/>
          <w:sz w:val="28"/>
          <w:szCs w:val="28"/>
          <w:rtl/>
        </w:rPr>
        <w:t xml:space="preserve"> </w:t>
      </w:r>
      <w:r w:rsidRPr="006571AC">
        <w:rPr>
          <w:rFonts w:cs="DanaFajr" w:hint="eastAsia"/>
          <w:sz w:val="28"/>
          <w:szCs w:val="28"/>
          <w:rtl/>
        </w:rPr>
        <w:t>وَنُورٍ</w:t>
      </w:r>
      <w:r w:rsidRPr="006571AC">
        <w:rPr>
          <w:rFonts w:cs="DanaFajr"/>
          <w:sz w:val="28"/>
          <w:szCs w:val="28"/>
          <w:rtl/>
        </w:rPr>
        <w:t xml:space="preserve"> </w:t>
      </w:r>
      <w:r w:rsidRPr="006571AC">
        <w:rPr>
          <w:rFonts w:cs="DanaFajr" w:hint="eastAsia"/>
          <w:sz w:val="28"/>
          <w:szCs w:val="28"/>
          <w:rtl/>
        </w:rPr>
        <w:t>وَضِيَاءٍ</w:t>
      </w:r>
      <w:r w:rsidRPr="006571AC">
        <w:rPr>
          <w:rFonts w:cs="DanaFajr"/>
          <w:sz w:val="28"/>
          <w:szCs w:val="28"/>
          <w:rtl/>
        </w:rPr>
        <w:t xml:space="preserve"> </w:t>
      </w:r>
      <w:r w:rsidRPr="006571AC">
        <w:rPr>
          <w:rFonts w:cs="DanaFajr" w:hint="eastAsia"/>
          <w:sz w:val="28"/>
          <w:szCs w:val="28"/>
          <w:rtl/>
        </w:rPr>
        <w:t>لَخَفَّفَ</w:t>
      </w:r>
      <w:r w:rsidRPr="006571AC">
        <w:rPr>
          <w:rFonts w:cs="DanaFajr"/>
          <w:sz w:val="28"/>
          <w:szCs w:val="28"/>
          <w:rtl/>
        </w:rPr>
        <w:t xml:space="preserve"> </w:t>
      </w:r>
      <w:r w:rsidRPr="006571AC">
        <w:rPr>
          <w:rFonts w:cs="DanaFajr" w:hint="eastAsia"/>
          <w:sz w:val="28"/>
          <w:szCs w:val="28"/>
          <w:rtl/>
        </w:rPr>
        <w:t>ذَلِكَ</w:t>
      </w:r>
      <w:r w:rsidRPr="006571AC">
        <w:rPr>
          <w:rFonts w:cs="DanaFajr"/>
          <w:sz w:val="28"/>
          <w:szCs w:val="28"/>
          <w:rtl/>
        </w:rPr>
        <w:t xml:space="preserve"> </w:t>
      </w:r>
      <w:r w:rsidRPr="006571AC">
        <w:rPr>
          <w:rFonts w:cs="DanaFajr" w:hint="eastAsia"/>
          <w:sz w:val="28"/>
          <w:szCs w:val="28"/>
          <w:rtl/>
        </w:rPr>
        <w:t>مُصَارَعَةَ</w:t>
      </w:r>
      <w:r w:rsidRPr="006571AC">
        <w:rPr>
          <w:rFonts w:cs="DanaFajr"/>
          <w:sz w:val="28"/>
          <w:szCs w:val="28"/>
          <w:rtl/>
        </w:rPr>
        <w:t xml:space="preserve"> </w:t>
      </w:r>
      <w:r w:rsidRPr="006571AC">
        <w:rPr>
          <w:rFonts w:cs="DanaFajr" w:hint="eastAsia"/>
          <w:sz w:val="28"/>
          <w:szCs w:val="28"/>
          <w:rtl/>
        </w:rPr>
        <w:t>الشَّكِّ</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الصُّدُورِ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وَلَوَضَعَ</w:t>
      </w:r>
      <w:r w:rsidRPr="006571AC">
        <w:rPr>
          <w:rFonts w:cs="DanaFajr"/>
          <w:sz w:val="28"/>
          <w:szCs w:val="28"/>
          <w:rtl/>
        </w:rPr>
        <w:t xml:space="preserve"> </w:t>
      </w:r>
      <w:r w:rsidRPr="006571AC">
        <w:rPr>
          <w:rFonts w:cs="DanaFajr" w:hint="eastAsia"/>
          <w:sz w:val="28"/>
          <w:szCs w:val="28"/>
          <w:rtl/>
        </w:rPr>
        <w:t>مُجَاهَدَةَ</w:t>
      </w:r>
      <w:r w:rsidRPr="006571AC">
        <w:rPr>
          <w:rFonts w:cs="DanaFajr"/>
          <w:sz w:val="28"/>
          <w:szCs w:val="28"/>
          <w:rtl/>
        </w:rPr>
        <w:t xml:space="preserve"> </w:t>
      </w:r>
      <w:r w:rsidRPr="006571AC">
        <w:rPr>
          <w:rFonts w:cs="DanaFajr" w:hint="eastAsia"/>
          <w:sz w:val="28"/>
          <w:szCs w:val="28"/>
          <w:rtl/>
        </w:rPr>
        <w:t>إِبْلِيسَ</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الْقُلُوبِ</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وَلَنَفَى</w:t>
      </w:r>
      <w:r w:rsidRPr="006571AC">
        <w:rPr>
          <w:rFonts w:cs="DanaFajr"/>
          <w:sz w:val="28"/>
          <w:szCs w:val="28"/>
          <w:rtl/>
        </w:rPr>
        <w:t xml:space="preserve"> </w:t>
      </w:r>
      <w:r w:rsidRPr="006571AC">
        <w:rPr>
          <w:rFonts w:cs="DanaFajr" w:hint="eastAsia"/>
          <w:sz w:val="28"/>
          <w:szCs w:val="28"/>
          <w:rtl/>
        </w:rPr>
        <w:t>مُعْتَلَجَ</w:t>
      </w:r>
      <w:r w:rsidRPr="006571AC">
        <w:rPr>
          <w:rFonts w:cs="DanaFajr"/>
          <w:sz w:val="28"/>
          <w:szCs w:val="28"/>
          <w:rtl/>
        </w:rPr>
        <w:t xml:space="preserve"> </w:t>
      </w:r>
      <w:r w:rsidRPr="006571AC">
        <w:rPr>
          <w:rFonts w:cs="DanaFajr" w:hint="eastAsia"/>
          <w:sz w:val="28"/>
          <w:szCs w:val="28"/>
          <w:rtl/>
        </w:rPr>
        <w:t>الرَّيْبِ</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النَّاسِ</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وَلَكِنَّ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يَخْتَبِرُ</w:t>
      </w:r>
      <w:r w:rsidRPr="006571AC">
        <w:rPr>
          <w:rFonts w:cs="DanaFajr"/>
          <w:sz w:val="28"/>
          <w:szCs w:val="28"/>
          <w:rtl/>
        </w:rPr>
        <w:t xml:space="preserve"> </w:t>
      </w:r>
      <w:r w:rsidRPr="006571AC">
        <w:rPr>
          <w:rFonts w:cs="DanaFajr" w:hint="eastAsia"/>
          <w:sz w:val="28"/>
          <w:szCs w:val="28"/>
          <w:rtl/>
        </w:rPr>
        <w:t>عِبَادَهُ</w:t>
      </w:r>
      <w:r w:rsidRPr="006571AC">
        <w:rPr>
          <w:rFonts w:cs="DanaFajr"/>
          <w:sz w:val="28"/>
          <w:szCs w:val="28"/>
          <w:rtl/>
        </w:rPr>
        <w:t xml:space="preserve"> </w:t>
      </w:r>
      <w:r w:rsidRPr="006571AC">
        <w:rPr>
          <w:rFonts w:cs="DanaFajr" w:hint="eastAsia"/>
          <w:sz w:val="28"/>
          <w:szCs w:val="28"/>
          <w:rtl/>
        </w:rPr>
        <w:t>بِأَنْوَاعِ</w:t>
      </w:r>
      <w:r w:rsidRPr="006571AC">
        <w:rPr>
          <w:rFonts w:cs="DanaFajr"/>
          <w:sz w:val="28"/>
          <w:szCs w:val="28"/>
          <w:rtl/>
        </w:rPr>
        <w:t xml:space="preserve"> </w:t>
      </w:r>
      <w:r w:rsidRPr="006571AC">
        <w:rPr>
          <w:rFonts w:cs="DanaFajr" w:hint="eastAsia"/>
          <w:sz w:val="28"/>
          <w:szCs w:val="28"/>
          <w:rtl/>
        </w:rPr>
        <w:t>الشَّدَائِدِ</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وَيَتَعَبَّدُهُمْ</w:t>
      </w:r>
      <w:r w:rsidRPr="006571AC">
        <w:rPr>
          <w:rFonts w:cs="DanaFajr"/>
          <w:sz w:val="28"/>
          <w:szCs w:val="28"/>
          <w:rtl/>
        </w:rPr>
        <w:t xml:space="preserve"> </w:t>
      </w:r>
      <w:r w:rsidRPr="006571AC">
        <w:rPr>
          <w:rFonts w:cs="DanaFajr" w:hint="eastAsia"/>
          <w:sz w:val="28"/>
          <w:szCs w:val="28"/>
          <w:rtl/>
        </w:rPr>
        <w:t>بِأَنْوَاعِ</w:t>
      </w:r>
      <w:r w:rsidRPr="006571AC">
        <w:rPr>
          <w:rFonts w:cs="DanaFajr"/>
          <w:sz w:val="28"/>
          <w:szCs w:val="28"/>
          <w:rtl/>
        </w:rPr>
        <w:t xml:space="preserve"> </w:t>
      </w:r>
      <w:r w:rsidRPr="006571AC">
        <w:rPr>
          <w:rFonts w:cs="DanaFajr" w:hint="eastAsia"/>
          <w:sz w:val="28"/>
          <w:szCs w:val="28"/>
          <w:rtl/>
        </w:rPr>
        <w:t>الْمَجَاهِدِ</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وَيَبْتَلِيهِمْ</w:t>
      </w:r>
      <w:r w:rsidRPr="006571AC">
        <w:rPr>
          <w:rFonts w:cs="DanaFajr"/>
          <w:sz w:val="28"/>
          <w:szCs w:val="28"/>
          <w:rtl/>
        </w:rPr>
        <w:t xml:space="preserve"> </w:t>
      </w:r>
      <w:r w:rsidRPr="006571AC">
        <w:rPr>
          <w:rFonts w:cs="DanaFajr" w:hint="eastAsia"/>
          <w:sz w:val="28"/>
          <w:szCs w:val="28"/>
          <w:rtl/>
        </w:rPr>
        <w:t>بِضُرُوبِ</w:t>
      </w:r>
      <w:r w:rsidRPr="006571AC">
        <w:rPr>
          <w:rFonts w:cs="DanaFajr"/>
          <w:sz w:val="28"/>
          <w:szCs w:val="28"/>
          <w:rtl/>
        </w:rPr>
        <w:t xml:space="preserve"> </w:t>
      </w:r>
      <w:r w:rsidRPr="006571AC">
        <w:rPr>
          <w:rFonts w:cs="DanaFajr" w:hint="eastAsia"/>
          <w:sz w:val="28"/>
          <w:szCs w:val="28"/>
          <w:rtl/>
        </w:rPr>
        <w:t>الْمَكَارِهِ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إِخْرَاجاً</w:t>
      </w:r>
      <w:r w:rsidRPr="006571AC">
        <w:rPr>
          <w:rFonts w:cs="DanaFajr"/>
          <w:sz w:val="28"/>
          <w:szCs w:val="28"/>
          <w:rtl/>
        </w:rPr>
        <w:t xml:space="preserve"> </w:t>
      </w:r>
      <w:r w:rsidRPr="006571AC">
        <w:rPr>
          <w:rFonts w:cs="DanaFajr" w:hint="eastAsia"/>
          <w:sz w:val="28"/>
          <w:szCs w:val="28"/>
          <w:rtl/>
        </w:rPr>
        <w:t>لِلتَّكَبُّرِ</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قُلُوبِهِمْ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وَإِسْكَاناً</w:t>
      </w:r>
      <w:r w:rsidRPr="006571AC">
        <w:rPr>
          <w:rFonts w:cs="DanaFajr"/>
          <w:sz w:val="28"/>
          <w:szCs w:val="28"/>
          <w:rtl/>
        </w:rPr>
        <w:t xml:space="preserve"> </w:t>
      </w:r>
      <w:r w:rsidRPr="006571AC">
        <w:rPr>
          <w:rFonts w:cs="DanaFajr" w:hint="eastAsia"/>
          <w:sz w:val="28"/>
          <w:szCs w:val="28"/>
          <w:rtl/>
        </w:rPr>
        <w:t>لِلتَّذَلُّلِ</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نُفُوسِهِمْ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وَلِيَجْعَلَ</w:t>
      </w:r>
      <w:r w:rsidRPr="006571AC">
        <w:rPr>
          <w:rFonts w:cs="DanaFajr"/>
          <w:sz w:val="28"/>
          <w:szCs w:val="28"/>
          <w:rtl/>
        </w:rPr>
        <w:t xml:space="preserve"> </w:t>
      </w:r>
      <w:r w:rsidRPr="006571AC">
        <w:rPr>
          <w:rFonts w:cs="DanaFajr" w:hint="eastAsia"/>
          <w:sz w:val="28"/>
          <w:szCs w:val="28"/>
          <w:rtl/>
        </w:rPr>
        <w:t>ذَلِكَ</w:t>
      </w:r>
      <w:r w:rsidRPr="006571AC">
        <w:rPr>
          <w:rFonts w:cs="DanaFajr"/>
          <w:sz w:val="28"/>
          <w:szCs w:val="28"/>
          <w:rtl/>
        </w:rPr>
        <w:t xml:space="preserve"> </w:t>
      </w:r>
      <w:r w:rsidRPr="006571AC">
        <w:rPr>
          <w:rFonts w:cs="DanaFajr" w:hint="eastAsia"/>
          <w:sz w:val="28"/>
          <w:szCs w:val="28"/>
          <w:rtl/>
        </w:rPr>
        <w:t>أَبْوَاباً</w:t>
      </w:r>
      <w:r w:rsidRPr="006571AC">
        <w:rPr>
          <w:rFonts w:cs="DanaFajr"/>
          <w:sz w:val="28"/>
          <w:szCs w:val="28"/>
          <w:rtl/>
        </w:rPr>
        <w:t xml:space="preserve"> </w:t>
      </w:r>
      <w:r w:rsidRPr="006571AC">
        <w:rPr>
          <w:rFonts w:cs="DanaFajr" w:hint="eastAsia"/>
          <w:sz w:val="28"/>
          <w:szCs w:val="28"/>
          <w:rtl/>
        </w:rPr>
        <w:t>فُتُحاً</w:t>
      </w:r>
      <w:r w:rsidRPr="006571AC">
        <w:rPr>
          <w:rFonts w:cs="DanaFajr"/>
          <w:sz w:val="28"/>
          <w:szCs w:val="28"/>
          <w:rtl/>
        </w:rPr>
        <w:t xml:space="preserve"> </w:t>
      </w:r>
      <w:r w:rsidRPr="006571AC">
        <w:rPr>
          <w:rFonts w:cs="DanaFajr" w:hint="eastAsia"/>
          <w:sz w:val="28"/>
          <w:szCs w:val="28"/>
          <w:rtl/>
        </w:rPr>
        <w:t>إِلَى</w:t>
      </w:r>
      <w:r w:rsidRPr="006571AC">
        <w:rPr>
          <w:rFonts w:cs="DanaFajr"/>
          <w:sz w:val="28"/>
          <w:szCs w:val="28"/>
          <w:rtl/>
        </w:rPr>
        <w:t xml:space="preserve"> </w:t>
      </w:r>
      <w:r w:rsidRPr="006571AC">
        <w:rPr>
          <w:rFonts w:cs="DanaFajr" w:hint="eastAsia"/>
          <w:sz w:val="28"/>
          <w:szCs w:val="28"/>
          <w:rtl/>
        </w:rPr>
        <w:t>فَضْلِهِ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وَأَسْبَاباً</w:t>
      </w:r>
      <w:r w:rsidRPr="006571AC">
        <w:rPr>
          <w:rFonts w:cs="DanaFajr"/>
          <w:sz w:val="28"/>
          <w:szCs w:val="28"/>
          <w:rtl/>
        </w:rPr>
        <w:t xml:space="preserve"> </w:t>
      </w:r>
      <w:r w:rsidRPr="006571AC">
        <w:rPr>
          <w:rFonts w:cs="DanaFajr" w:hint="eastAsia"/>
          <w:sz w:val="28"/>
          <w:szCs w:val="28"/>
          <w:rtl/>
        </w:rPr>
        <w:t>ذُلُلاً</w:t>
      </w:r>
      <w:r w:rsidRPr="006571AC">
        <w:rPr>
          <w:rFonts w:cs="DanaFajr"/>
          <w:sz w:val="28"/>
          <w:szCs w:val="28"/>
          <w:rtl/>
        </w:rPr>
        <w:t xml:space="preserve"> </w:t>
      </w:r>
      <w:r w:rsidRPr="006571AC">
        <w:rPr>
          <w:rFonts w:cs="DanaFajr" w:hint="eastAsia"/>
          <w:sz w:val="28"/>
          <w:szCs w:val="28"/>
          <w:rtl/>
        </w:rPr>
        <w:t>لِعَفْوِهِ</w:t>
      </w:r>
      <w:r w:rsidRPr="006571AC">
        <w:rPr>
          <w:sz w:val="22"/>
          <w:szCs w:val="22"/>
          <w:rtl/>
        </w:rPr>
        <w:t>»</w:t>
      </w:r>
      <w:r w:rsidRPr="006571AC">
        <w:rPr>
          <w:rFonts w:cs="DanaFajr"/>
          <w:sz w:val="28"/>
          <w:szCs w:val="28"/>
          <w:rtl/>
        </w:rPr>
        <w:t>.</w:t>
      </w:r>
    </w:p>
  </w:endnote>
  <w:endnote w:id="16">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إخوان الصفا، </w:t>
      </w:r>
      <w:r w:rsidRPr="006571AC">
        <w:rPr>
          <w:rFonts w:cs="DanaFajr" w:hint="cs"/>
          <w:sz w:val="28"/>
          <w:szCs w:val="28"/>
          <w:rtl/>
          <w:lang w:bidi="fa-IR"/>
        </w:rPr>
        <w:t xml:space="preserve">رسائل إخوان الصفاء وخلاّن الوفاء، </w:t>
      </w:r>
      <w:r w:rsidRPr="006571AC">
        <w:rPr>
          <w:rFonts w:cs="DanaFajr" w:hint="cs"/>
          <w:sz w:val="28"/>
          <w:szCs w:val="28"/>
          <w:rtl/>
        </w:rPr>
        <w:t>4</w:t>
      </w:r>
      <w:r w:rsidRPr="006571AC">
        <w:rPr>
          <w:rFonts w:cs="DanaFajr" w:hint="cs"/>
          <w:sz w:val="28"/>
          <w:szCs w:val="28"/>
          <w:rtl/>
          <w:lang w:bidi="fa-IR"/>
        </w:rPr>
        <w:t xml:space="preserve">: </w:t>
      </w:r>
      <w:r w:rsidRPr="006571AC">
        <w:rPr>
          <w:rFonts w:cs="DanaFajr" w:hint="cs"/>
          <w:sz w:val="28"/>
          <w:szCs w:val="28"/>
          <w:rtl/>
        </w:rPr>
        <w:t>46</w:t>
      </w:r>
      <w:r w:rsidRPr="006571AC">
        <w:rPr>
          <w:rFonts w:cs="DanaFajr" w:hint="cs"/>
          <w:sz w:val="28"/>
          <w:szCs w:val="28"/>
          <w:rtl/>
          <w:lang w:bidi="fa-IR"/>
        </w:rPr>
        <w:t>0، الدار الإسلامية، بيروت، ط1، 1</w:t>
      </w:r>
      <w:r w:rsidRPr="006571AC">
        <w:rPr>
          <w:rFonts w:cs="DanaFajr" w:hint="cs"/>
          <w:sz w:val="28"/>
          <w:szCs w:val="28"/>
          <w:rtl/>
        </w:rPr>
        <w:t>4</w:t>
      </w:r>
      <w:r w:rsidRPr="006571AC">
        <w:rPr>
          <w:rFonts w:cs="DanaFajr" w:hint="cs"/>
          <w:sz w:val="28"/>
          <w:szCs w:val="28"/>
          <w:rtl/>
          <w:lang w:bidi="fa-IR"/>
        </w:rPr>
        <w:t>12</w:t>
      </w:r>
      <w:r w:rsidRPr="006571AC">
        <w:rPr>
          <w:rFonts w:cs="DanaFajr" w:hint="cs"/>
          <w:sz w:val="28"/>
          <w:szCs w:val="28"/>
          <w:rtl/>
        </w:rPr>
        <w:t>هـ.</w:t>
      </w:r>
    </w:p>
  </w:endnote>
  <w:endnote w:id="17">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الفضل بن الحسن الطبرسي، </w:t>
      </w:r>
      <w:r w:rsidRPr="006571AC">
        <w:rPr>
          <w:rFonts w:cs="DanaFajr" w:hint="cs"/>
          <w:sz w:val="28"/>
          <w:szCs w:val="28"/>
          <w:rtl/>
          <w:lang w:bidi="fa-IR"/>
        </w:rPr>
        <w:t xml:space="preserve">مجمع البيان في تفسير القرآن، </w:t>
      </w:r>
      <w:r w:rsidRPr="006571AC">
        <w:rPr>
          <w:rFonts w:cs="DanaFajr" w:hint="cs"/>
          <w:sz w:val="28"/>
          <w:szCs w:val="28"/>
          <w:rtl/>
        </w:rPr>
        <w:t>5</w:t>
      </w:r>
      <w:r w:rsidRPr="006571AC">
        <w:rPr>
          <w:rFonts w:cs="DanaFajr" w:hint="cs"/>
          <w:sz w:val="28"/>
          <w:szCs w:val="28"/>
          <w:rtl/>
          <w:lang w:bidi="fa-IR"/>
        </w:rPr>
        <w:t>: 20</w:t>
      </w:r>
      <w:r w:rsidRPr="006571AC">
        <w:rPr>
          <w:rFonts w:cs="DanaFajr" w:hint="cs"/>
          <w:sz w:val="28"/>
          <w:szCs w:val="28"/>
          <w:rtl/>
        </w:rPr>
        <w:t>6</w:t>
      </w:r>
      <w:r w:rsidRPr="006571AC">
        <w:rPr>
          <w:rFonts w:cs="DanaFajr" w:hint="cs"/>
          <w:sz w:val="28"/>
          <w:szCs w:val="28"/>
          <w:rtl/>
          <w:lang w:bidi="fa-IR"/>
        </w:rPr>
        <w:t>، انتشارات ناصر خسرو، طهران، ط3، 1372</w:t>
      </w:r>
      <w:r w:rsidRPr="006571AC">
        <w:rPr>
          <w:rFonts w:cs="DanaFajr" w:hint="cs"/>
          <w:sz w:val="28"/>
          <w:szCs w:val="28"/>
          <w:rtl/>
        </w:rPr>
        <w:t>هـ.ش.</w:t>
      </w:r>
    </w:p>
  </w:endnote>
  <w:endnote w:id="18">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انظر على سبيل المثال:</w:t>
      </w:r>
    </w:p>
    <w:p w:rsidR="00DB2356" w:rsidRPr="006571AC" w:rsidRDefault="00DB2356" w:rsidP="00166320">
      <w:pPr>
        <w:pStyle w:val="aa"/>
        <w:spacing w:line="306" w:lineRule="exact"/>
        <w:ind w:firstLine="0"/>
        <w:rPr>
          <w:rFonts w:cs="DanaFajr"/>
          <w:sz w:val="28"/>
          <w:szCs w:val="28"/>
          <w:rtl/>
        </w:rPr>
      </w:pPr>
      <w:r w:rsidRPr="006571AC">
        <w:rPr>
          <w:rFonts w:cs="DanaFajr" w:hint="cs"/>
          <w:sz w:val="28"/>
          <w:szCs w:val="28"/>
          <w:rtl/>
        </w:rPr>
        <w:t xml:space="preserve">ـ مرتضى مطهري، مجموعة آثار الشهيد مطهَّري، 1: 96، صدرا، طهران ـ قم، ط8، 1377هـ.ش: </w:t>
      </w:r>
      <w:r w:rsidRPr="006571AC">
        <w:rPr>
          <w:sz w:val="22"/>
          <w:szCs w:val="22"/>
          <w:rtl/>
        </w:rPr>
        <w:t>«</w:t>
      </w:r>
      <w:r w:rsidRPr="006571AC">
        <w:rPr>
          <w:rFonts w:cs="DanaFajr" w:hint="cs"/>
          <w:sz w:val="28"/>
          <w:szCs w:val="28"/>
          <w:rtl/>
        </w:rPr>
        <w:t xml:space="preserve">ثم إن فلسفة وحكمة هذا المقدار من تسلط الشيطان على الإنسان هي </w:t>
      </w:r>
      <w:r w:rsidRPr="006571AC">
        <w:rPr>
          <w:sz w:val="22"/>
          <w:szCs w:val="22"/>
          <w:rtl/>
        </w:rPr>
        <w:t>«</w:t>
      </w:r>
      <w:r w:rsidRPr="006571AC">
        <w:rPr>
          <w:rFonts w:cs="DanaFajr" w:hint="cs"/>
          <w:sz w:val="28"/>
          <w:szCs w:val="28"/>
          <w:rtl/>
        </w:rPr>
        <w:t>حرية الإنسان</w:t>
      </w:r>
      <w:r w:rsidRPr="006571AC">
        <w:rPr>
          <w:sz w:val="22"/>
          <w:szCs w:val="22"/>
          <w:rtl/>
        </w:rPr>
        <w:t>»</w:t>
      </w:r>
      <w:r w:rsidRPr="006571AC">
        <w:rPr>
          <w:rFonts w:cs="DanaFajr" w:hint="cs"/>
          <w:sz w:val="28"/>
          <w:szCs w:val="28"/>
          <w:rtl/>
        </w:rPr>
        <w:t>، فقيمة الوجود الإنساني توجب أن يكون حرّاً مختاراً، والموجود الحرّ لا بُدَّ أن يكون دائماً على مفترق طريقين، وأمام دعوتين؛ حتى يستطيع تحقيق كماله الذاتي، عن طريق اختياره الخاص</w:t>
      </w:r>
      <w:r w:rsidRPr="006571AC">
        <w:rPr>
          <w:sz w:val="22"/>
          <w:szCs w:val="22"/>
          <w:rtl/>
        </w:rPr>
        <w:t>»</w:t>
      </w:r>
      <w:r w:rsidRPr="006571AC">
        <w:rPr>
          <w:rFonts w:cs="DanaFajr"/>
          <w:sz w:val="28"/>
          <w:szCs w:val="28"/>
          <w:rtl/>
        </w:rPr>
        <w:t>.</w:t>
      </w:r>
    </w:p>
    <w:p w:rsidR="00DB2356" w:rsidRPr="006571AC" w:rsidRDefault="00DB2356" w:rsidP="00166320">
      <w:pPr>
        <w:pStyle w:val="aa"/>
        <w:spacing w:line="306" w:lineRule="exact"/>
        <w:ind w:firstLine="0"/>
        <w:rPr>
          <w:rFonts w:cs="DanaFajr"/>
          <w:sz w:val="28"/>
          <w:szCs w:val="28"/>
          <w:rtl/>
        </w:rPr>
      </w:pPr>
      <w:r w:rsidRPr="006571AC">
        <w:rPr>
          <w:rFonts w:cs="DanaFajr" w:hint="cs"/>
          <w:sz w:val="28"/>
          <w:szCs w:val="28"/>
          <w:rtl/>
        </w:rPr>
        <w:t xml:space="preserve">ـ </w:t>
      </w:r>
      <w:r w:rsidRPr="006571AC">
        <w:rPr>
          <w:rFonts w:cs="DanaFajr" w:hint="eastAsia"/>
          <w:sz w:val="28"/>
          <w:szCs w:val="28"/>
          <w:rtl/>
        </w:rPr>
        <w:t>المصدر</w:t>
      </w:r>
      <w:r w:rsidRPr="006571AC">
        <w:rPr>
          <w:rFonts w:cs="DanaFajr"/>
          <w:sz w:val="28"/>
          <w:szCs w:val="28"/>
          <w:rtl/>
        </w:rPr>
        <w:t xml:space="preserve"> </w:t>
      </w:r>
      <w:r w:rsidRPr="006571AC">
        <w:rPr>
          <w:rFonts w:cs="DanaFajr" w:hint="eastAsia"/>
          <w:sz w:val="28"/>
          <w:szCs w:val="28"/>
          <w:rtl/>
        </w:rPr>
        <w:t>السابق</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23</w:t>
      </w:r>
      <w:r w:rsidRPr="006571AC">
        <w:rPr>
          <w:rFonts w:cs="DanaFajr"/>
          <w:sz w:val="28"/>
          <w:szCs w:val="28"/>
          <w:rtl/>
        </w:rPr>
        <w:t xml:space="preserve">: </w:t>
      </w:r>
      <w:r w:rsidRPr="006571AC">
        <w:rPr>
          <w:rFonts w:cs="DanaFajr" w:hint="cs"/>
          <w:sz w:val="28"/>
          <w:szCs w:val="28"/>
          <w:rtl/>
        </w:rPr>
        <w:t xml:space="preserve">319: </w:t>
      </w:r>
      <w:r w:rsidRPr="006571AC">
        <w:rPr>
          <w:sz w:val="22"/>
          <w:szCs w:val="22"/>
          <w:rtl/>
        </w:rPr>
        <w:t>«</w:t>
      </w:r>
      <w:r w:rsidRPr="006571AC">
        <w:rPr>
          <w:rFonts w:cs="DanaFajr" w:hint="cs"/>
          <w:sz w:val="28"/>
          <w:szCs w:val="28"/>
          <w:rtl/>
        </w:rPr>
        <w:t>فهل الحرية كمالٌ؟ لا شَكَّ في ذلك؛ لأنه إذا لم تكن الحرية موجودة لا يمكن للإنسان أن يصل إلى كماله. لقد خلق الله الإنسان بنحوٍ يستطيع معه أن يصل إلى كمال نفسه عبر طريق الحرّية والانتخاب والاختيار.لا يمكن طيّ طريق الكمال بأيّ طريقةٍ، إلاّ إذا كانت خطى الإنسان بإرادةٍ حرّة. طالما كان هناك إكراهٌ لم يعُدْ بالإمكان عبور هذا الطريق</w:t>
      </w:r>
      <w:r w:rsidRPr="006571AC">
        <w:rPr>
          <w:sz w:val="22"/>
          <w:szCs w:val="22"/>
          <w:rtl/>
        </w:rPr>
        <w:t>»</w:t>
      </w:r>
      <w:r w:rsidRPr="006571AC">
        <w:rPr>
          <w:rFonts w:cs="DanaFajr"/>
          <w:sz w:val="28"/>
          <w:szCs w:val="28"/>
          <w:rtl/>
        </w:rPr>
        <w:t>.</w:t>
      </w:r>
    </w:p>
    <w:p w:rsidR="00DB2356" w:rsidRPr="006571AC" w:rsidRDefault="00DB2356" w:rsidP="00166320">
      <w:pPr>
        <w:pStyle w:val="aa"/>
        <w:spacing w:line="306" w:lineRule="exact"/>
        <w:ind w:firstLine="0"/>
        <w:rPr>
          <w:rFonts w:cs="DanaFajr"/>
          <w:sz w:val="28"/>
          <w:szCs w:val="28"/>
          <w:rtl/>
        </w:rPr>
      </w:pPr>
      <w:r w:rsidRPr="006571AC">
        <w:rPr>
          <w:rFonts w:cs="DanaFajr" w:hint="cs"/>
          <w:sz w:val="28"/>
          <w:szCs w:val="28"/>
          <w:rtl/>
        </w:rPr>
        <w:t xml:space="preserve">ـ </w:t>
      </w:r>
      <w:r w:rsidRPr="006571AC">
        <w:rPr>
          <w:rFonts w:cs="DanaFajr" w:hint="eastAsia"/>
          <w:sz w:val="28"/>
          <w:szCs w:val="28"/>
          <w:rtl/>
        </w:rPr>
        <w:t>المصدر</w:t>
      </w:r>
      <w:r w:rsidRPr="006571AC">
        <w:rPr>
          <w:rFonts w:cs="DanaFajr"/>
          <w:sz w:val="28"/>
          <w:szCs w:val="28"/>
          <w:rtl/>
        </w:rPr>
        <w:t xml:space="preserve"> </w:t>
      </w:r>
      <w:r w:rsidRPr="006571AC">
        <w:rPr>
          <w:rFonts w:cs="DanaFajr" w:hint="eastAsia"/>
          <w:sz w:val="28"/>
          <w:szCs w:val="28"/>
          <w:rtl/>
        </w:rPr>
        <w:t>السابق</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28</w:t>
      </w:r>
      <w:r w:rsidRPr="006571AC">
        <w:rPr>
          <w:rFonts w:cs="DanaFajr"/>
          <w:sz w:val="28"/>
          <w:szCs w:val="28"/>
          <w:rtl/>
        </w:rPr>
        <w:t xml:space="preserve">: </w:t>
      </w:r>
      <w:r w:rsidRPr="006571AC">
        <w:rPr>
          <w:rFonts w:cs="DanaFajr" w:hint="cs"/>
          <w:sz w:val="28"/>
          <w:szCs w:val="28"/>
          <w:rtl/>
        </w:rPr>
        <w:t xml:space="preserve">536: </w:t>
      </w:r>
      <w:r w:rsidRPr="006571AC">
        <w:rPr>
          <w:sz w:val="22"/>
          <w:szCs w:val="22"/>
          <w:rtl/>
        </w:rPr>
        <w:t>«</w:t>
      </w:r>
      <w:r w:rsidRPr="006571AC">
        <w:rPr>
          <w:rFonts w:cs="DanaFajr" w:hint="cs"/>
          <w:sz w:val="28"/>
          <w:szCs w:val="28"/>
          <w:rtl/>
        </w:rPr>
        <w:t>أما امتحان الله فليس بشيءٍ من هذين النوعين. امتحان الله يعني وضع الإنسان في خضمّ المشاقات والمصاعب؛ ليتمكَّن بنفسه من إيصال نفسه إلى الكمال. هذا مثل الامتحان التطبيقي الذي يختبر به مدرِّبي القيادة طلاّبهم، ويريدون من ذلك أيضاً تمرينهم وإيصالهم إلى الكمال</w:t>
      </w:r>
      <w:r w:rsidRPr="006571AC">
        <w:rPr>
          <w:sz w:val="22"/>
          <w:szCs w:val="22"/>
          <w:rtl/>
        </w:rPr>
        <w:t>»</w:t>
      </w:r>
      <w:r w:rsidRPr="006571AC">
        <w:rPr>
          <w:rFonts w:cs="DanaFajr"/>
          <w:sz w:val="28"/>
          <w:szCs w:val="28"/>
          <w:rtl/>
        </w:rPr>
        <w:t>.</w:t>
      </w:r>
    </w:p>
    <w:p w:rsidR="00DB2356" w:rsidRPr="006571AC" w:rsidRDefault="00DB2356" w:rsidP="00166320">
      <w:pPr>
        <w:pStyle w:val="aa"/>
        <w:spacing w:line="306" w:lineRule="exact"/>
        <w:ind w:firstLine="0"/>
        <w:rPr>
          <w:rFonts w:cs="DanaFajr"/>
          <w:sz w:val="28"/>
          <w:szCs w:val="28"/>
          <w:rtl/>
        </w:rPr>
      </w:pPr>
      <w:r w:rsidRPr="006571AC">
        <w:rPr>
          <w:rFonts w:cs="DanaFajr" w:hint="cs"/>
          <w:sz w:val="28"/>
          <w:szCs w:val="28"/>
          <w:rtl/>
        </w:rPr>
        <w:t xml:space="preserve">ـ حسين علي منتظري، مجمع الفوائد، 381، قم، ط1: </w:t>
      </w:r>
      <w:r w:rsidRPr="006571AC">
        <w:rPr>
          <w:sz w:val="22"/>
          <w:szCs w:val="22"/>
          <w:rtl/>
        </w:rPr>
        <w:t>«</w:t>
      </w:r>
      <w:r w:rsidRPr="006571AC">
        <w:rPr>
          <w:rFonts w:cs="DanaFajr" w:hint="cs"/>
          <w:sz w:val="28"/>
          <w:szCs w:val="28"/>
          <w:rtl/>
        </w:rPr>
        <w:t>الكمال المطلوب للإنسان لا يحصل إلاّ إذا بقي فاعلاً مختاراً، ينتخب بحسن نيّته ما فيه الخير والصلاح، أو يختار بسوء سريرته ما فيه الشرّ والفساد... وعلى هذا فاللازم أن توجد له أرضيّة السعادة والشقاوة كلَيْهما، وأن يخلّي هو وطبعه المختار</w:t>
      </w:r>
      <w:r w:rsidRPr="006571AC">
        <w:rPr>
          <w:sz w:val="22"/>
          <w:szCs w:val="22"/>
          <w:rtl/>
        </w:rPr>
        <w:t>»</w:t>
      </w:r>
      <w:r w:rsidRPr="006571AC">
        <w:rPr>
          <w:rFonts w:cs="DanaFajr"/>
          <w:sz w:val="28"/>
          <w:szCs w:val="28"/>
          <w:rtl/>
        </w:rPr>
        <w:t>.</w:t>
      </w:r>
    </w:p>
    <w:p w:rsidR="00DB2356" w:rsidRPr="006571AC" w:rsidRDefault="00DB2356" w:rsidP="00166320">
      <w:pPr>
        <w:pStyle w:val="aa"/>
        <w:spacing w:line="306" w:lineRule="exact"/>
        <w:ind w:firstLine="0"/>
        <w:rPr>
          <w:rFonts w:cs="DanaFajr"/>
          <w:sz w:val="28"/>
          <w:szCs w:val="28"/>
          <w:rtl/>
        </w:rPr>
      </w:pPr>
      <w:r w:rsidRPr="006571AC">
        <w:rPr>
          <w:rFonts w:cs="DanaFajr" w:hint="cs"/>
          <w:sz w:val="28"/>
          <w:szCs w:val="28"/>
          <w:rtl/>
        </w:rPr>
        <w:t>ـ ناصر مكارم الشيرازي، تفسير</w:t>
      </w:r>
      <w:r w:rsidRPr="006571AC">
        <w:rPr>
          <w:rFonts w:cs="DanaFajr"/>
          <w:sz w:val="28"/>
          <w:szCs w:val="28"/>
          <w:rtl/>
        </w:rPr>
        <w:t xml:space="preserve"> </w:t>
      </w:r>
      <w:r w:rsidRPr="006571AC">
        <w:rPr>
          <w:rFonts w:cs="DanaFajr" w:hint="cs"/>
          <w:sz w:val="28"/>
          <w:szCs w:val="28"/>
          <w:rtl/>
        </w:rPr>
        <w:t>نمونه (الأمثل في تفسير كتاب الله المُنْزَل) 9: 281، دار</w:t>
      </w:r>
      <w:r w:rsidRPr="006571AC">
        <w:rPr>
          <w:rFonts w:cs="DanaFajr"/>
          <w:sz w:val="28"/>
          <w:szCs w:val="28"/>
          <w:rtl/>
        </w:rPr>
        <w:t xml:space="preserve"> </w:t>
      </w:r>
      <w:r w:rsidRPr="006571AC">
        <w:rPr>
          <w:rFonts w:cs="DanaFajr" w:hint="cs"/>
          <w:sz w:val="28"/>
          <w:szCs w:val="28"/>
          <w:rtl/>
        </w:rPr>
        <w:t>الكتب</w:t>
      </w:r>
      <w:r w:rsidRPr="006571AC">
        <w:rPr>
          <w:rFonts w:cs="DanaFajr"/>
          <w:sz w:val="28"/>
          <w:szCs w:val="28"/>
          <w:rtl/>
        </w:rPr>
        <w:t xml:space="preserve"> </w:t>
      </w:r>
      <w:r w:rsidRPr="006571AC">
        <w:rPr>
          <w:rFonts w:cs="DanaFajr" w:hint="cs"/>
          <w:sz w:val="28"/>
          <w:szCs w:val="28"/>
          <w:rtl/>
        </w:rPr>
        <w:t xml:space="preserve">الإسلامية، طهران، ط1، </w:t>
      </w:r>
      <w:r w:rsidRPr="006571AC">
        <w:rPr>
          <w:rFonts w:cs="DanaFajr"/>
          <w:sz w:val="28"/>
          <w:szCs w:val="28"/>
          <w:rtl/>
        </w:rPr>
        <w:t>1374</w:t>
      </w:r>
      <w:r w:rsidRPr="006571AC">
        <w:rPr>
          <w:rFonts w:cs="DanaFajr" w:hint="cs"/>
          <w:sz w:val="28"/>
          <w:szCs w:val="28"/>
          <w:rtl/>
        </w:rPr>
        <w:t xml:space="preserve">هـ.ش: </w:t>
      </w:r>
      <w:r w:rsidRPr="006571AC">
        <w:rPr>
          <w:sz w:val="22"/>
          <w:szCs w:val="22"/>
          <w:rtl/>
        </w:rPr>
        <w:t>«</w:t>
      </w:r>
      <w:r w:rsidRPr="006571AC">
        <w:rPr>
          <w:rFonts w:cs="DanaFajr" w:hint="eastAsia"/>
          <w:sz w:val="28"/>
          <w:szCs w:val="28"/>
          <w:rtl/>
        </w:rPr>
        <w:t>حر</w:t>
      </w:r>
      <w:r w:rsidRPr="006571AC">
        <w:rPr>
          <w:rFonts w:cs="DanaFajr" w:hint="cs"/>
          <w:sz w:val="28"/>
          <w:szCs w:val="28"/>
          <w:rtl/>
        </w:rPr>
        <w:t>ّ</w:t>
      </w:r>
      <w:r w:rsidRPr="006571AC">
        <w:rPr>
          <w:rFonts w:cs="DanaFajr" w:hint="eastAsia"/>
          <w:sz w:val="28"/>
          <w:szCs w:val="28"/>
          <w:rtl/>
        </w:rPr>
        <w:t>ية</w:t>
      </w:r>
      <w:r w:rsidRPr="006571AC">
        <w:rPr>
          <w:rFonts w:cs="DanaFajr"/>
          <w:sz w:val="28"/>
          <w:szCs w:val="28"/>
          <w:rtl/>
        </w:rPr>
        <w:t xml:space="preserve"> </w:t>
      </w:r>
      <w:r w:rsidRPr="006571AC">
        <w:rPr>
          <w:rFonts w:cs="DanaFajr" w:hint="eastAsia"/>
          <w:sz w:val="28"/>
          <w:szCs w:val="28"/>
          <w:rtl/>
        </w:rPr>
        <w:t>الإِرادة</w:t>
      </w:r>
      <w:r w:rsidRPr="006571AC">
        <w:rPr>
          <w:rFonts w:cs="DanaFajr"/>
          <w:sz w:val="28"/>
          <w:szCs w:val="28"/>
          <w:rtl/>
        </w:rPr>
        <w:t xml:space="preserve"> </w:t>
      </w:r>
      <w:r w:rsidRPr="006571AC">
        <w:rPr>
          <w:rFonts w:cs="DanaFajr" w:hint="eastAsia"/>
          <w:sz w:val="28"/>
          <w:szCs w:val="28"/>
          <w:rtl/>
        </w:rPr>
        <w:t>هي</w:t>
      </w:r>
      <w:r w:rsidRPr="006571AC">
        <w:rPr>
          <w:rFonts w:cs="DanaFajr"/>
          <w:sz w:val="28"/>
          <w:szCs w:val="28"/>
          <w:rtl/>
        </w:rPr>
        <w:t xml:space="preserve"> </w:t>
      </w:r>
      <w:r w:rsidRPr="006571AC">
        <w:rPr>
          <w:rFonts w:cs="DanaFajr" w:hint="eastAsia"/>
          <w:sz w:val="28"/>
          <w:szCs w:val="28"/>
          <w:rtl/>
        </w:rPr>
        <w:t>أساس</w:t>
      </w:r>
      <w:r w:rsidRPr="006571AC">
        <w:rPr>
          <w:rFonts w:cs="DanaFajr"/>
          <w:sz w:val="28"/>
          <w:szCs w:val="28"/>
          <w:rtl/>
        </w:rPr>
        <w:t xml:space="preserve"> </w:t>
      </w:r>
      <w:r w:rsidRPr="006571AC">
        <w:rPr>
          <w:rFonts w:cs="DanaFajr" w:hint="eastAsia"/>
          <w:sz w:val="28"/>
          <w:szCs w:val="28"/>
          <w:rtl/>
        </w:rPr>
        <w:t>خلق</w:t>
      </w:r>
      <w:r w:rsidRPr="006571AC">
        <w:rPr>
          <w:rFonts w:cs="DanaFajr"/>
          <w:sz w:val="28"/>
          <w:szCs w:val="28"/>
          <w:rtl/>
        </w:rPr>
        <w:t xml:space="preserve"> </w:t>
      </w:r>
      <w:r w:rsidRPr="006571AC">
        <w:rPr>
          <w:rFonts w:cs="DanaFajr" w:hint="eastAsia"/>
          <w:sz w:val="28"/>
          <w:szCs w:val="28"/>
          <w:rtl/>
        </w:rPr>
        <w:t>الإِنسان</w:t>
      </w:r>
      <w:r w:rsidRPr="006571AC">
        <w:rPr>
          <w:rFonts w:cs="DanaFajr"/>
          <w:sz w:val="28"/>
          <w:szCs w:val="28"/>
          <w:rtl/>
        </w:rPr>
        <w:t xml:space="preserve"> </w:t>
      </w:r>
      <w:r w:rsidRPr="006571AC">
        <w:rPr>
          <w:rFonts w:cs="DanaFajr" w:hint="eastAsia"/>
          <w:sz w:val="28"/>
          <w:szCs w:val="28"/>
          <w:rtl/>
        </w:rPr>
        <w:t>ودعوة</w:t>
      </w:r>
      <w:r w:rsidRPr="006571AC">
        <w:rPr>
          <w:rFonts w:cs="DanaFajr"/>
          <w:sz w:val="28"/>
          <w:szCs w:val="28"/>
          <w:rtl/>
        </w:rPr>
        <w:t xml:space="preserve"> </w:t>
      </w:r>
      <w:r w:rsidRPr="006571AC">
        <w:rPr>
          <w:rFonts w:cs="DanaFajr" w:hint="eastAsia"/>
          <w:sz w:val="28"/>
          <w:szCs w:val="28"/>
          <w:rtl/>
        </w:rPr>
        <w:t>جميع</w:t>
      </w:r>
      <w:r w:rsidRPr="006571AC">
        <w:rPr>
          <w:rFonts w:cs="DanaFajr"/>
          <w:sz w:val="28"/>
          <w:szCs w:val="28"/>
          <w:rtl/>
        </w:rPr>
        <w:t xml:space="preserve"> </w:t>
      </w:r>
      <w:r w:rsidRPr="006571AC">
        <w:rPr>
          <w:rFonts w:cs="DanaFajr" w:hint="eastAsia"/>
          <w:sz w:val="28"/>
          <w:szCs w:val="28"/>
          <w:rtl/>
        </w:rPr>
        <w:t>الأنبياء،</w:t>
      </w:r>
      <w:r w:rsidRPr="006571AC">
        <w:rPr>
          <w:rFonts w:cs="DanaFajr"/>
          <w:sz w:val="28"/>
          <w:szCs w:val="28"/>
          <w:rtl/>
        </w:rPr>
        <w:t xml:space="preserve"> </w:t>
      </w:r>
      <w:r w:rsidRPr="006571AC">
        <w:rPr>
          <w:rFonts w:cs="DanaFajr" w:hint="eastAsia"/>
          <w:sz w:val="28"/>
          <w:szCs w:val="28"/>
          <w:rtl/>
        </w:rPr>
        <w:t>وأساساً</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يستطيع</w:t>
      </w:r>
      <w:r w:rsidRPr="006571AC">
        <w:rPr>
          <w:rFonts w:cs="DanaFajr"/>
          <w:sz w:val="28"/>
          <w:szCs w:val="28"/>
          <w:rtl/>
        </w:rPr>
        <w:t xml:space="preserve"> </w:t>
      </w:r>
      <w:r w:rsidRPr="006571AC">
        <w:rPr>
          <w:rFonts w:cs="DanaFajr" w:hint="eastAsia"/>
          <w:sz w:val="28"/>
          <w:szCs w:val="28"/>
          <w:rtl/>
        </w:rPr>
        <w:t>الإِنسان</w:t>
      </w:r>
      <w:r w:rsidRPr="006571AC">
        <w:rPr>
          <w:rFonts w:cs="DanaFajr"/>
          <w:sz w:val="28"/>
          <w:szCs w:val="28"/>
          <w:rtl/>
        </w:rPr>
        <w:t xml:space="preserve"> </w:t>
      </w:r>
      <w:r w:rsidRPr="006571AC">
        <w:rPr>
          <w:rFonts w:cs="DanaFajr" w:hint="eastAsia"/>
          <w:sz w:val="28"/>
          <w:szCs w:val="28"/>
          <w:rtl/>
        </w:rPr>
        <w:t>بدونها</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يخطو</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خطوة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واحدة</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مسير</w:t>
      </w:r>
      <w:r w:rsidRPr="006571AC">
        <w:rPr>
          <w:rFonts w:cs="DanaFajr"/>
          <w:sz w:val="28"/>
          <w:szCs w:val="28"/>
          <w:rtl/>
        </w:rPr>
        <w:t xml:space="preserve"> </w:t>
      </w:r>
      <w:r w:rsidRPr="006571AC">
        <w:rPr>
          <w:rFonts w:cs="DanaFajr" w:hint="eastAsia"/>
          <w:sz w:val="28"/>
          <w:szCs w:val="28"/>
          <w:rtl/>
        </w:rPr>
        <w:t>التكامل</w:t>
      </w:r>
      <w:r w:rsidRPr="006571AC">
        <w:rPr>
          <w:rFonts w:cs="DanaFajr"/>
          <w:sz w:val="28"/>
          <w:szCs w:val="28"/>
          <w:rtl/>
        </w:rPr>
        <w:t xml:space="preserve"> </w:t>
      </w:r>
      <w:r w:rsidRPr="006571AC">
        <w:rPr>
          <w:sz w:val="22"/>
          <w:szCs w:val="22"/>
          <w:rtl/>
        </w:rPr>
        <w:t>«</w:t>
      </w:r>
      <w:r w:rsidRPr="006571AC">
        <w:rPr>
          <w:rFonts w:cs="DanaFajr" w:hint="eastAsia"/>
          <w:sz w:val="28"/>
          <w:szCs w:val="28"/>
          <w:rtl/>
        </w:rPr>
        <w:t>التكامل</w:t>
      </w:r>
      <w:r w:rsidRPr="006571AC">
        <w:rPr>
          <w:rFonts w:cs="DanaFajr"/>
          <w:sz w:val="28"/>
          <w:szCs w:val="28"/>
          <w:rtl/>
        </w:rPr>
        <w:t xml:space="preserve"> </w:t>
      </w:r>
      <w:r w:rsidRPr="006571AC">
        <w:rPr>
          <w:rFonts w:cs="DanaFajr" w:hint="eastAsia"/>
          <w:sz w:val="28"/>
          <w:szCs w:val="28"/>
          <w:rtl/>
        </w:rPr>
        <w:t>الإِنساني</w:t>
      </w:r>
      <w:r w:rsidRPr="006571AC">
        <w:rPr>
          <w:rFonts w:cs="DanaFajr"/>
          <w:sz w:val="28"/>
          <w:szCs w:val="28"/>
          <w:rtl/>
        </w:rPr>
        <w:t xml:space="preserve"> </w:t>
      </w:r>
      <w:r w:rsidRPr="006571AC">
        <w:rPr>
          <w:rFonts w:cs="DanaFajr" w:hint="eastAsia"/>
          <w:sz w:val="28"/>
          <w:szCs w:val="28"/>
          <w:rtl/>
        </w:rPr>
        <w:t>والمعنوي</w:t>
      </w:r>
      <w:r w:rsidRPr="006571AC">
        <w:rPr>
          <w:rFonts w:hint="eastAsia"/>
          <w:sz w:val="22"/>
          <w:szCs w:val="22"/>
          <w:rtl/>
        </w:rPr>
        <w:t>»</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ولهذا</w:t>
      </w:r>
      <w:r w:rsidRPr="006571AC">
        <w:rPr>
          <w:rFonts w:cs="DanaFajr"/>
          <w:sz w:val="28"/>
          <w:szCs w:val="28"/>
          <w:rtl/>
        </w:rPr>
        <w:t xml:space="preserve"> </w:t>
      </w:r>
      <w:r w:rsidRPr="006571AC">
        <w:rPr>
          <w:rFonts w:cs="DanaFajr" w:hint="eastAsia"/>
          <w:sz w:val="28"/>
          <w:szCs w:val="28"/>
          <w:rtl/>
        </w:rPr>
        <w:t>فقد</w:t>
      </w:r>
      <w:r w:rsidRPr="006571AC">
        <w:rPr>
          <w:rFonts w:cs="DanaFajr"/>
          <w:sz w:val="28"/>
          <w:szCs w:val="28"/>
          <w:rtl/>
        </w:rPr>
        <w:t xml:space="preserve"> </w:t>
      </w:r>
      <w:r w:rsidRPr="006571AC">
        <w:rPr>
          <w:rFonts w:cs="DanaFajr" w:hint="eastAsia"/>
          <w:sz w:val="28"/>
          <w:szCs w:val="28"/>
          <w:rtl/>
        </w:rPr>
        <w:t>أكّ</w:t>
      </w:r>
      <w:r w:rsidRPr="006571AC">
        <w:rPr>
          <w:rFonts w:cs="DanaFajr" w:hint="cs"/>
          <w:sz w:val="28"/>
          <w:szCs w:val="28"/>
          <w:rtl/>
        </w:rPr>
        <w:t>َ</w:t>
      </w:r>
      <w:r w:rsidRPr="006571AC">
        <w:rPr>
          <w:rFonts w:cs="DanaFajr" w:hint="eastAsia"/>
          <w:sz w:val="28"/>
          <w:szCs w:val="28"/>
          <w:rtl/>
        </w:rPr>
        <w:t>د</w:t>
      </w:r>
      <w:r w:rsidRPr="006571AC">
        <w:rPr>
          <w:rFonts w:cs="DanaFajr" w:hint="cs"/>
          <w:sz w:val="28"/>
          <w:szCs w:val="28"/>
          <w:rtl/>
        </w:rPr>
        <w:t>َ</w:t>
      </w:r>
      <w:r w:rsidRPr="006571AC">
        <w:rPr>
          <w:rFonts w:cs="DanaFajr" w:hint="eastAsia"/>
          <w:sz w:val="28"/>
          <w:szCs w:val="28"/>
          <w:rtl/>
        </w:rPr>
        <w:t>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آيات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متعد</w:t>
      </w:r>
      <w:r w:rsidRPr="006571AC">
        <w:rPr>
          <w:rFonts w:cs="DanaFajr" w:hint="cs"/>
          <w:sz w:val="28"/>
          <w:szCs w:val="28"/>
          <w:rtl/>
        </w:rPr>
        <w:t>ِّ</w:t>
      </w:r>
      <w:r w:rsidRPr="006571AC">
        <w:rPr>
          <w:rFonts w:cs="DanaFajr" w:hint="eastAsia"/>
          <w:sz w:val="28"/>
          <w:szCs w:val="28"/>
          <w:rtl/>
        </w:rPr>
        <w:t>دة</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أنّه</w:t>
      </w:r>
      <w:r w:rsidRPr="006571AC">
        <w:rPr>
          <w:rFonts w:cs="DanaFajr"/>
          <w:sz w:val="28"/>
          <w:szCs w:val="28"/>
          <w:rtl/>
        </w:rPr>
        <w:t xml:space="preserve"> </w:t>
      </w:r>
      <w:r w:rsidRPr="006571AC">
        <w:rPr>
          <w:rFonts w:cs="DanaFajr" w:hint="eastAsia"/>
          <w:sz w:val="28"/>
          <w:szCs w:val="28"/>
          <w:rtl/>
        </w:rPr>
        <w:t>لو</w:t>
      </w:r>
      <w:r w:rsidRPr="006571AC">
        <w:rPr>
          <w:rFonts w:cs="DanaFajr"/>
          <w:sz w:val="28"/>
          <w:szCs w:val="28"/>
          <w:rtl/>
        </w:rPr>
        <w:t xml:space="preserve"> </w:t>
      </w:r>
      <w:r w:rsidRPr="006571AC">
        <w:rPr>
          <w:rFonts w:cs="DanaFajr" w:hint="eastAsia"/>
          <w:sz w:val="28"/>
          <w:szCs w:val="28"/>
          <w:rtl/>
        </w:rPr>
        <w:t>شاء</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يهدي</w:t>
      </w:r>
      <w:r w:rsidRPr="006571AC">
        <w:rPr>
          <w:rFonts w:cs="DanaFajr"/>
          <w:sz w:val="28"/>
          <w:szCs w:val="28"/>
          <w:rtl/>
        </w:rPr>
        <w:t xml:space="preserve"> </w:t>
      </w:r>
      <w:r w:rsidRPr="006571AC">
        <w:rPr>
          <w:rFonts w:cs="DanaFajr" w:hint="eastAsia"/>
          <w:sz w:val="28"/>
          <w:szCs w:val="28"/>
          <w:rtl/>
        </w:rPr>
        <w:t>الناس</w:t>
      </w:r>
      <w:r w:rsidRPr="006571AC">
        <w:rPr>
          <w:rFonts w:cs="DanaFajr"/>
          <w:sz w:val="28"/>
          <w:szCs w:val="28"/>
          <w:rtl/>
        </w:rPr>
        <w:t xml:space="preserve"> </w:t>
      </w:r>
      <w:r w:rsidRPr="006571AC">
        <w:rPr>
          <w:rFonts w:cs="DanaFajr" w:hint="eastAsia"/>
          <w:sz w:val="28"/>
          <w:szCs w:val="28"/>
          <w:rtl/>
        </w:rPr>
        <w:t>بإِجباره</w:t>
      </w:r>
      <w:r w:rsidRPr="006571AC">
        <w:rPr>
          <w:rFonts w:cs="DanaFajr"/>
          <w:sz w:val="28"/>
          <w:szCs w:val="28"/>
          <w:rtl/>
        </w:rPr>
        <w:t xml:space="preserve"> </w:t>
      </w:r>
      <w:r w:rsidRPr="006571AC">
        <w:rPr>
          <w:rFonts w:cs="DanaFajr" w:hint="eastAsia"/>
          <w:sz w:val="28"/>
          <w:szCs w:val="28"/>
          <w:rtl/>
        </w:rPr>
        <w:t>لهم</w:t>
      </w:r>
      <w:r w:rsidRPr="006571AC">
        <w:rPr>
          <w:rFonts w:cs="DanaFajr"/>
          <w:sz w:val="28"/>
          <w:szCs w:val="28"/>
          <w:rtl/>
        </w:rPr>
        <w:t xml:space="preserve"> </w:t>
      </w:r>
      <w:r w:rsidRPr="006571AC">
        <w:rPr>
          <w:rFonts w:cs="DanaFajr" w:hint="eastAsia"/>
          <w:sz w:val="28"/>
          <w:szCs w:val="28"/>
          <w:rtl/>
        </w:rPr>
        <w:t>جميعاً</w:t>
      </w:r>
      <w:r w:rsidRPr="006571AC">
        <w:rPr>
          <w:rFonts w:cs="DanaFajr"/>
          <w:sz w:val="28"/>
          <w:szCs w:val="28"/>
          <w:rtl/>
        </w:rPr>
        <w:t xml:space="preserve"> </w:t>
      </w:r>
      <w:r w:rsidRPr="006571AC">
        <w:rPr>
          <w:rFonts w:cs="DanaFajr" w:hint="eastAsia"/>
          <w:sz w:val="28"/>
          <w:szCs w:val="28"/>
          <w:rtl/>
        </w:rPr>
        <w:t>لفعل،</w:t>
      </w:r>
      <w:r w:rsidRPr="006571AC">
        <w:rPr>
          <w:rFonts w:cs="DanaFajr"/>
          <w:sz w:val="28"/>
          <w:szCs w:val="28"/>
          <w:rtl/>
        </w:rPr>
        <w:t xml:space="preserve"> </w:t>
      </w:r>
      <w:r w:rsidRPr="006571AC">
        <w:rPr>
          <w:rFonts w:cs="DanaFajr" w:hint="eastAsia"/>
          <w:sz w:val="28"/>
          <w:szCs w:val="28"/>
          <w:rtl/>
        </w:rPr>
        <w:t>لكنّه</w:t>
      </w:r>
      <w:r w:rsidRPr="006571AC">
        <w:rPr>
          <w:rFonts w:cs="DanaFajr"/>
          <w:sz w:val="28"/>
          <w:szCs w:val="28"/>
          <w:rtl/>
        </w:rPr>
        <w:t xml:space="preserve"> </w:t>
      </w:r>
      <w:r w:rsidRPr="006571AC">
        <w:rPr>
          <w:rFonts w:cs="DanaFajr" w:hint="eastAsia"/>
          <w:sz w:val="28"/>
          <w:szCs w:val="28"/>
          <w:rtl/>
        </w:rPr>
        <w:t>لم</w:t>
      </w:r>
      <w:r w:rsidRPr="006571AC">
        <w:rPr>
          <w:rFonts w:cs="DanaFajr"/>
          <w:sz w:val="28"/>
          <w:szCs w:val="28"/>
          <w:rtl/>
        </w:rPr>
        <w:t xml:space="preserve"> </w:t>
      </w:r>
      <w:r w:rsidRPr="006571AC">
        <w:rPr>
          <w:rFonts w:cs="DanaFajr" w:hint="eastAsia"/>
          <w:sz w:val="28"/>
          <w:szCs w:val="28"/>
          <w:rtl/>
        </w:rPr>
        <w:t>يشأ</w:t>
      </w:r>
      <w:r w:rsidRPr="006571AC">
        <w:rPr>
          <w:sz w:val="22"/>
          <w:szCs w:val="22"/>
          <w:rtl/>
        </w:rPr>
        <w:t>»</w:t>
      </w:r>
      <w:r w:rsidRPr="006571AC">
        <w:rPr>
          <w:rFonts w:cs="DanaFajr"/>
          <w:sz w:val="28"/>
          <w:szCs w:val="28"/>
          <w:rtl/>
        </w:rPr>
        <w:t>.</w:t>
      </w:r>
    </w:p>
    <w:p w:rsidR="00DB2356" w:rsidRPr="006571AC" w:rsidRDefault="00DB2356" w:rsidP="00166320">
      <w:pPr>
        <w:pStyle w:val="aa"/>
        <w:spacing w:line="306" w:lineRule="exact"/>
        <w:ind w:firstLine="0"/>
        <w:rPr>
          <w:rFonts w:cs="DanaFajr"/>
          <w:sz w:val="28"/>
          <w:szCs w:val="28"/>
          <w:rtl/>
        </w:rPr>
      </w:pPr>
      <w:r w:rsidRPr="006571AC">
        <w:rPr>
          <w:rFonts w:cs="DanaFajr" w:hint="cs"/>
          <w:sz w:val="28"/>
          <w:szCs w:val="28"/>
          <w:rtl/>
        </w:rPr>
        <w:t>ـ عبد الكريم الخطيب،</w:t>
      </w:r>
      <w:r w:rsidRPr="006571AC">
        <w:rPr>
          <w:rFonts w:cs="DanaFajr"/>
          <w:sz w:val="28"/>
          <w:szCs w:val="28"/>
          <w:rtl/>
        </w:rPr>
        <w:t xml:space="preserve"> </w:t>
      </w:r>
      <w:r w:rsidRPr="006571AC">
        <w:rPr>
          <w:rFonts w:cs="DanaFajr" w:hint="eastAsia"/>
          <w:sz w:val="28"/>
          <w:szCs w:val="28"/>
          <w:rtl/>
        </w:rPr>
        <w:t>التفسير</w:t>
      </w:r>
      <w:r w:rsidRPr="006571AC">
        <w:rPr>
          <w:rFonts w:cs="DanaFajr"/>
          <w:sz w:val="28"/>
          <w:szCs w:val="28"/>
          <w:rtl/>
        </w:rPr>
        <w:t xml:space="preserve"> </w:t>
      </w:r>
      <w:r w:rsidRPr="006571AC">
        <w:rPr>
          <w:rFonts w:cs="DanaFajr" w:hint="eastAsia"/>
          <w:sz w:val="28"/>
          <w:szCs w:val="28"/>
          <w:rtl/>
        </w:rPr>
        <w:t>القر</w:t>
      </w:r>
      <w:r w:rsidRPr="006571AC">
        <w:rPr>
          <w:rFonts w:cs="DanaFajr" w:hint="cs"/>
          <w:sz w:val="28"/>
          <w:szCs w:val="28"/>
          <w:rtl/>
        </w:rPr>
        <w:t>آ</w:t>
      </w:r>
      <w:r w:rsidRPr="006571AC">
        <w:rPr>
          <w:rFonts w:cs="DanaFajr" w:hint="eastAsia"/>
          <w:sz w:val="28"/>
          <w:szCs w:val="28"/>
          <w:rtl/>
        </w:rPr>
        <w:t>ني</w:t>
      </w:r>
      <w:r w:rsidRPr="006571AC">
        <w:rPr>
          <w:rFonts w:cs="DanaFajr"/>
          <w:sz w:val="28"/>
          <w:szCs w:val="28"/>
          <w:rtl/>
        </w:rPr>
        <w:t xml:space="preserve"> </w:t>
      </w:r>
      <w:r w:rsidRPr="006571AC">
        <w:rPr>
          <w:rFonts w:cs="DanaFajr" w:hint="eastAsia"/>
          <w:sz w:val="28"/>
          <w:szCs w:val="28"/>
          <w:rtl/>
        </w:rPr>
        <w:t>للقران</w:t>
      </w:r>
      <w:r w:rsidRPr="006571AC">
        <w:rPr>
          <w:rFonts w:cs="DanaFajr" w:hint="cs"/>
          <w:sz w:val="28"/>
          <w:szCs w:val="28"/>
          <w:rtl/>
        </w:rPr>
        <w:t xml:space="preserve">، 2: 319: </w:t>
      </w:r>
      <w:r w:rsidRPr="006571AC">
        <w:rPr>
          <w:sz w:val="22"/>
          <w:szCs w:val="22"/>
          <w:rtl/>
        </w:rPr>
        <w:t>«</w:t>
      </w:r>
      <w:r w:rsidRPr="006571AC">
        <w:rPr>
          <w:rFonts w:cs="DanaFajr" w:hint="eastAsia"/>
          <w:sz w:val="28"/>
          <w:szCs w:val="28"/>
          <w:rtl/>
        </w:rPr>
        <w:t>إن</w:t>
      </w:r>
      <w:r w:rsidRPr="006571AC">
        <w:rPr>
          <w:rFonts w:cs="DanaFajr"/>
          <w:sz w:val="28"/>
          <w:szCs w:val="28"/>
          <w:rtl/>
        </w:rPr>
        <w:t xml:space="preserve"> </w:t>
      </w:r>
      <w:r w:rsidRPr="006571AC">
        <w:rPr>
          <w:rFonts w:cs="DanaFajr" w:hint="eastAsia"/>
          <w:sz w:val="28"/>
          <w:szCs w:val="28"/>
          <w:rtl/>
        </w:rPr>
        <w:t>تحرير</w:t>
      </w:r>
      <w:r w:rsidRPr="006571AC">
        <w:rPr>
          <w:rFonts w:cs="DanaFajr"/>
          <w:sz w:val="28"/>
          <w:szCs w:val="28"/>
          <w:rtl/>
        </w:rPr>
        <w:t xml:space="preserve"> </w:t>
      </w:r>
      <w:r w:rsidRPr="006571AC">
        <w:rPr>
          <w:rFonts w:cs="DanaFajr" w:hint="eastAsia"/>
          <w:sz w:val="28"/>
          <w:szCs w:val="28"/>
          <w:rtl/>
        </w:rPr>
        <w:t>ضمير</w:t>
      </w:r>
      <w:r w:rsidRPr="006571AC">
        <w:rPr>
          <w:rFonts w:cs="DanaFajr"/>
          <w:sz w:val="28"/>
          <w:szCs w:val="28"/>
          <w:rtl/>
        </w:rPr>
        <w:t xml:space="preserve"> </w:t>
      </w:r>
      <w:r w:rsidRPr="006571AC">
        <w:rPr>
          <w:rFonts w:cs="DanaFajr" w:hint="eastAsia"/>
          <w:sz w:val="28"/>
          <w:szCs w:val="28"/>
          <w:rtl/>
        </w:rPr>
        <w:t>الفرد</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الضلال</w:t>
      </w:r>
      <w:r w:rsidRPr="006571AC">
        <w:rPr>
          <w:rFonts w:cs="DanaFajr"/>
          <w:sz w:val="28"/>
          <w:szCs w:val="28"/>
          <w:rtl/>
        </w:rPr>
        <w:t xml:space="preserve"> </w:t>
      </w:r>
      <w:r w:rsidRPr="006571AC">
        <w:rPr>
          <w:rFonts w:cs="DanaFajr" w:hint="eastAsia"/>
          <w:sz w:val="28"/>
          <w:szCs w:val="28"/>
          <w:rtl/>
        </w:rPr>
        <w:t>والعمى،</w:t>
      </w:r>
      <w:r w:rsidRPr="006571AC">
        <w:rPr>
          <w:rFonts w:cs="DanaFajr"/>
          <w:sz w:val="28"/>
          <w:szCs w:val="28"/>
          <w:rtl/>
        </w:rPr>
        <w:t xml:space="preserve"> </w:t>
      </w:r>
      <w:r w:rsidRPr="006571AC">
        <w:rPr>
          <w:rFonts w:cs="DanaFajr" w:hint="eastAsia"/>
          <w:sz w:val="28"/>
          <w:szCs w:val="28"/>
          <w:rtl/>
        </w:rPr>
        <w:t>وفك</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عقله</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الضّيق</w:t>
      </w:r>
      <w:r w:rsidRPr="006571AC">
        <w:rPr>
          <w:rFonts w:cs="DanaFajr"/>
          <w:sz w:val="28"/>
          <w:szCs w:val="28"/>
          <w:rtl/>
        </w:rPr>
        <w:t xml:space="preserve"> </w:t>
      </w:r>
      <w:r w:rsidRPr="006571AC">
        <w:rPr>
          <w:rFonts w:cs="DanaFajr" w:hint="eastAsia"/>
          <w:sz w:val="28"/>
          <w:szCs w:val="28"/>
          <w:rtl/>
        </w:rPr>
        <w:t>والإظلام،</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يكون</w:t>
      </w:r>
      <w:r w:rsidRPr="006571AC">
        <w:rPr>
          <w:rFonts w:cs="DanaFajr"/>
          <w:sz w:val="28"/>
          <w:szCs w:val="28"/>
          <w:rtl/>
        </w:rPr>
        <w:t xml:space="preserve"> </w:t>
      </w:r>
      <w:r w:rsidRPr="006571AC">
        <w:rPr>
          <w:rFonts w:cs="DanaFajr" w:hint="eastAsia"/>
          <w:sz w:val="28"/>
          <w:szCs w:val="28"/>
          <w:rtl/>
        </w:rPr>
        <w:t>إلا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بتحرير</w:t>
      </w:r>
      <w:r w:rsidRPr="006571AC">
        <w:rPr>
          <w:rFonts w:cs="DanaFajr"/>
          <w:sz w:val="28"/>
          <w:szCs w:val="28"/>
          <w:rtl/>
        </w:rPr>
        <w:t xml:space="preserve"> </w:t>
      </w:r>
      <w:r w:rsidRPr="006571AC">
        <w:rPr>
          <w:rFonts w:cs="DanaFajr" w:hint="eastAsia"/>
          <w:sz w:val="28"/>
          <w:szCs w:val="28"/>
          <w:rtl/>
        </w:rPr>
        <w:t>إرادة</w:t>
      </w:r>
      <w:r w:rsidRPr="006571AC">
        <w:rPr>
          <w:rFonts w:cs="DanaFajr"/>
          <w:sz w:val="28"/>
          <w:szCs w:val="28"/>
          <w:rtl/>
        </w:rPr>
        <w:t xml:space="preserve"> </w:t>
      </w:r>
      <w:r w:rsidRPr="006571AC">
        <w:rPr>
          <w:rFonts w:cs="DanaFajr" w:hint="eastAsia"/>
          <w:sz w:val="28"/>
          <w:szCs w:val="28"/>
          <w:rtl/>
        </w:rPr>
        <w:t>الإنسان</w:t>
      </w:r>
      <w:r w:rsidRPr="006571AC">
        <w:rPr>
          <w:rFonts w:cs="DanaFajr"/>
          <w:sz w:val="28"/>
          <w:szCs w:val="28"/>
          <w:rtl/>
        </w:rPr>
        <w:t xml:space="preserve"> </w:t>
      </w:r>
      <w:r w:rsidRPr="006571AC">
        <w:rPr>
          <w:rFonts w:cs="DanaFajr" w:hint="eastAsia"/>
          <w:sz w:val="28"/>
          <w:szCs w:val="28"/>
          <w:rtl/>
        </w:rPr>
        <w:t>وإطلاقها</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كل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ق</w:t>
      </w:r>
      <w:r w:rsidRPr="006571AC">
        <w:rPr>
          <w:rFonts w:cs="DanaFajr" w:hint="cs"/>
          <w:sz w:val="28"/>
          <w:szCs w:val="28"/>
          <w:rtl/>
        </w:rPr>
        <w:t>َ</w:t>
      </w:r>
      <w:r w:rsidRPr="006571AC">
        <w:rPr>
          <w:rFonts w:cs="DanaFajr" w:hint="eastAsia"/>
          <w:sz w:val="28"/>
          <w:szCs w:val="28"/>
          <w:rtl/>
        </w:rPr>
        <w:t>ه</w:t>
      </w:r>
      <w:r w:rsidRPr="006571AC">
        <w:rPr>
          <w:rFonts w:cs="DanaFajr" w:hint="cs"/>
          <w:sz w:val="28"/>
          <w:szCs w:val="28"/>
          <w:rtl/>
        </w:rPr>
        <w:t>ْ</w:t>
      </w:r>
      <w:r w:rsidRPr="006571AC">
        <w:rPr>
          <w:rFonts w:cs="DanaFajr" w:hint="eastAsia"/>
          <w:sz w:val="28"/>
          <w:szCs w:val="28"/>
          <w:rtl/>
        </w:rPr>
        <w:t>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أو</w:t>
      </w:r>
      <w:r w:rsidRPr="006571AC">
        <w:rPr>
          <w:rFonts w:cs="DanaFajr"/>
          <w:sz w:val="28"/>
          <w:szCs w:val="28"/>
          <w:rtl/>
        </w:rPr>
        <w:t xml:space="preserve"> </w:t>
      </w:r>
      <w:r w:rsidRPr="006571AC">
        <w:rPr>
          <w:rFonts w:cs="DanaFajr" w:hint="eastAsia"/>
          <w:sz w:val="28"/>
          <w:szCs w:val="28"/>
          <w:rtl/>
        </w:rPr>
        <w:t>ق</w:t>
      </w:r>
      <w:r w:rsidRPr="006571AC">
        <w:rPr>
          <w:rFonts w:cs="DanaFajr" w:hint="cs"/>
          <w:sz w:val="28"/>
          <w:szCs w:val="28"/>
          <w:rtl/>
        </w:rPr>
        <w:t>َ</w:t>
      </w:r>
      <w:r w:rsidRPr="006571AC">
        <w:rPr>
          <w:rFonts w:cs="DanaFajr" w:hint="eastAsia"/>
          <w:sz w:val="28"/>
          <w:szCs w:val="28"/>
          <w:rtl/>
        </w:rPr>
        <w:t>س</w:t>
      </w:r>
      <w:r w:rsidRPr="006571AC">
        <w:rPr>
          <w:rFonts w:cs="DanaFajr" w:hint="cs"/>
          <w:sz w:val="28"/>
          <w:szCs w:val="28"/>
          <w:rtl/>
        </w:rPr>
        <w:t>ْ</w:t>
      </w:r>
      <w:r w:rsidRPr="006571AC">
        <w:rPr>
          <w:rFonts w:cs="DanaFajr" w:hint="eastAsia"/>
          <w:sz w:val="28"/>
          <w:szCs w:val="28"/>
          <w:rtl/>
        </w:rPr>
        <w:t>ر</w:t>
      </w:r>
      <w:r w:rsidRPr="006571AC">
        <w:rPr>
          <w:rFonts w:cs="DanaFajr" w:hint="cs"/>
          <w:sz w:val="28"/>
          <w:szCs w:val="28"/>
          <w:rtl/>
        </w:rPr>
        <w:t>ٍ</w:t>
      </w:r>
      <w:r w:rsidRPr="006571AC">
        <w:rPr>
          <w:rFonts w:cs="DanaFajr"/>
          <w:sz w:val="28"/>
          <w:szCs w:val="28"/>
          <w:rtl/>
        </w:rPr>
        <w:t>.</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وإنه</w:t>
      </w:r>
      <w:r w:rsidRPr="006571AC">
        <w:rPr>
          <w:rFonts w:cs="DanaFajr"/>
          <w:sz w:val="28"/>
          <w:szCs w:val="28"/>
          <w:rtl/>
        </w:rPr>
        <w:t xml:space="preserve"> </w:t>
      </w:r>
      <w:r w:rsidRPr="006571AC">
        <w:rPr>
          <w:rFonts w:cs="DanaFajr" w:hint="eastAsia"/>
          <w:sz w:val="28"/>
          <w:szCs w:val="28"/>
          <w:rtl/>
        </w:rPr>
        <w:t>لن</w:t>
      </w:r>
      <w:r w:rsidRPr="006571AC">
        <w:rPr>
          <w:rFonts w:cs="DanaFajr"/>
          <w:sz w:val="28"/>
          <w:szCs w:val="28"/>
          <w:rtl/>
        </w:rPr>
        <w:t xml:space="preserve"> </w:t>
      </w:r>
      <w:r w:rsidRPr="006571AC">
        <w:rPr>
          <w:rFonts w:cs="DanaFajr" w:hint="eastAsia"/>
          <w:sz w:val="28"/>
          <w:szCs w:val="28"/>
          <w:rtl/>
        </w:rPr>
        <w:t>تصحّ</w:t>
      </w:r>
      <w:r w:rsidRPr="006571AC">
        <w:rPr>
          <w:rFonts w:cs="DanaFajr"/>
          <w:sz w:val="28"/>
          <w:szCs w:val="28"/>
          <w:rtl/>
        </w:rPr>
        <w:t xml:space="preserve"> </w:t>
      </w:r>
      <w:r w:rsidRPr="006571AC">
        <w:rPr>
          <w:rFonts w:cs="DanaFajr" w:hint="eastAsia"/>
          <w:sz w:val="28"/>
          <w:szCs w:val="28"/>
          <w:rtl/>
        </w:rPr>
        <w:t>إنساني</w:t>
      </w:r>
      <w:r w:rsidRPr="006571AC">
        <w:rPr>
          <w:rFonts w:cs="DanaFajr" w:hint="cs"/>
          <w:sz w:val="28"/>
          <w:szCs w:val="28"/>
          <w:rtl/>
        </w:rPr>
        <w:t>ّ</w:t>
      </w:r>
      <w:r w:rsidRPr="006571AC">
        <w:rPr>
          <w:rFonts w:cs="DanaFajr" w:hint="eastAsia"/>
          <w:sz w:val="28"/>
          <w:szCs w:val="28"/>
          <w:rtl/>
        </w:rPr>
        <w:t>ة</w:t>
      </w:r>
      <w:r w:rsidRPr="006571AC">
        <w:rPr>
          <w:rFonts w:cs="DanaFajr"/>
          <w:sz w:val="28"/>
          <w:szCs w:val="28"/>
          <w:rtl/>
        </w:rPr>
        <w:t xml:space="preserve"> </w:t>
      </w:r>
      <w:r w:rsidRPr="006571AC">
        <w:rPr>
          <w:rFonts w:cs="DanaFajr" w:hint="eastAsia"/>
          <w:sz w:val="28"/>
          <w:szCs w:val="28"/>
          <w:rtl/>
        </w:rPr>
        <w:t>الإنسان،</w:t>
      </w:r>
      <w:r w:rsidRPr="006571AC">
        <w:rPr>
          <w:rFonts w:cs="DanaFajr"/>
          <w:sz w:val="28"/>
          <w:szCs w:val="28"/>
          <w:rtl/>
        </w:rPr>
        <w:t xml:space="preserve"> </w:t>
      </w:r>
      <w:r w:rsidRPr="006571AC">
        <w:rPr>
          <w:rFonts w:cs="DanaFajr" w:hint="eastAsia"/>
          <w:sz w:val="28"/>
          <w:szCs w:val="28"/>
          <w:rtl/>
        </w:rPr>
        <w:t>ولن</w:t>
      </w:r>
      <w:r w:rsidRPr="006571AC">
        <w:rPr>
          <w:rFonts w:cs="DanaFajr"/>
          <w:sz w:val="28"/>
          <w:szCs w:val="28"/>
          <w:rtl/>
        </w:rPr>
        <w:t xml:space="preserve"> </w:t>
      </w:r>
      <w:r w:rsidRPr="006571AC">
        <w:rPr>
          <w:rFonts w:cs="DanaFajr" w:hint="eastAsia"/>
          <w:sz w:val="28"/>
          <w:szCs w:val="28"/>
          <w:rtl/>
        </w:rPr>
        <w:t>يكتمل</w:t>
      </w:r>
      <w:r w:rsidRPr="006571AC">
        <w:rPr>
          <w:rFonts w:cs="DanaFajr"/>
          <w:sz w:val="28"/>
          <w:szCs w:val="28"/>
          <w:rtl/>
        </w:rPr>
        <w:t xml:space="preserve"> </w:t>
      </w:r>
      <w:r w:rsidRPr="006571AC">
        <w:rPr>
          <w:rFonts w:cs="DanaFajr" w:hint="eastAsia"/>
          <w:sz w:val="28"/>
          <w:szCs w:val="28"/>
          <w:rtl/>
        </w:rPr>
        <w:t>وجوده،</w:t>
      </w:r>
      <w:r w:rsidRPr="006571AC">
        <w:rPr>
          <w:rFonts w:cs="DanaFajr"/>
          <w:sz w:val="28"/>
          <w:szCs w:val="28"/>
          <w:rtl/>
        </w:rPr>
        <w:t xml:space="preserve"> </w:t>
      </w:r>
      <w:r w:rsidRPr="006571AC">
        <w:rPr>
          <w:rFonts w:cs="DanaFajr" w:hint="eastAsia"/>
          <w:sz w:val="28"/>
          <w:szCs w:val="28"/>
          <w:rtl/>
        </w:rPr>
        <w:t>إلا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بالضمير</w:t>
      </w:r>
      <w:r w:rsidRPr="006571AC">
        <w:rPr>
          <w:rFonts w:cs="DanaFajr"/>
          <w:sz w:val="28"/>
          <w:szCs w:val="28"/>
          <w:rtl/>
        </w:rPr>
        <w:t xml:space="preserve"> </w:t>
      </w:r>
      <w:r w:rsidRPr="006571AC">
        <w:rPr>
          <w:rFonts w:cs="DanaFajr" w:hint="eastAsia"/>
          <w:sz w:val="28"/>
          <w:szCs w:val="28"/>
          <w:rtl/>
        </w:rPr>
        <w:t>الحر</w:t>
      </w:r>
      <w:r w:rsidRPr="006571AC">
        <w:rPr>
          <w:rFonts w:cs="DanaFajr" w:hint="cs"/>
          <w:sz w:val="28"/>
          <w:szCs w:val="28"/>
          <w:rtl/>
        </w:rPr>
        <w:t>ّ</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والعقل</w:t>
      </w:r>
      <w:r w:rsidRPr="006571AC">
        <w:rPr>
          <w:rFonts w:cs="DanaFajr"/>
          <w:sz w:val="28"/>
          <w:szCs w:val="28"/>
          <w:rtl/>
        </w:rPr>
        <w:t xml:space="preserve"> </w:t>
      </w:r>
      <w:r w:rsidRPr="006571AC">
        <w:rPr>
          <w:rFonts w:cs="DanaFajr" w:hint="eastAsia"/>
          <w:sz w:val="28"/>
          <w:szCs w:val="28"/>
          <w:rtl/>
        </w:rPr>
        <w:t>المتحر</w:t>
      </w:r>
      <w:r w:rsidRPr="006571AC">
        <w:rPr>
          <w:rFonts w:cs="DanaFajr" w:hint="cs"/>
          <w:sz w:val="28"/>
          <w:szCs w:val="28"/>
          <w:rtl/>
        </w:rPr>
        <w:t>ِّ</w:t>
      </w:r>
      <w:r w:rsidRPr="006571AC">
        <w:rPr>
          <w:rFonts w:cs="DanaFajr" w:hint="eastAsia"/>
          <w:sz w:val="28"/>
          <w:szCs w:val="28"/>
          <w:rtl/>
        </w:rPr>
        <w:t>ر</w:t>
      </w:r>
      <w:r w:rsidRPr="006571AC">
        <w:rPr>
          <w:sz w:val="22"/>
          <w:szCs w:val="22"/>
          <w:rtl/>
        </w:rPr>
        <w:t>»</w:t>
      </w:r>
      <w:r w:rsidRPr="006571AC">
        <w:rPr>
          <w:rFonts w:cs="DanaFajr"/>
          <w:sz w:val="28"/>
          <w:szCs w:val="28"/>
          <w:rtl/>
        </w:rPr>
        <w:t>.</w:t>
      </w:r>
    </w:p>
  </w:endnote>
  <w:endnote w:id="19">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أخبر القرآن الكريم في آياتٍ كثيرةٍ عن تجسُّم أعمال الإنسان يوم القيامة: </w:t>
      </w:r>
      <w:r w:rsidRPr="006571AC">
        <w:rPr>
          <w:rFonts w:ascii="Mosawi" w:hAnsi="Mosawi" w:cs="Mosawi"/>
          <w:sz w:val="22"/>
          <w:szCs w:val="22"/>
          <w:rtl/>
        </w:rPr>
        <w:t>﴿</w:t>
      </w:r>
      <w:r w:rsidRPr="006571AC">
        <w:rPr>
          <w:rFonts w:cs="DanaFajr" w:hint="eastAsia"/>
          <w:b/>
          <w:bCs/>
          <w:sz w:val="28"/>
          <w:szCs w:val="28"/>
          <w:rtl/>
        </w:rPr>
        <w:t>وَمَنْ</w:t>
      </w:r>
      <w:r w:rsidRPr="006571AC">
        <w:rPr>
          <w:rFonts w:cs="DanaFajr"/>
          <w:b/>
          <w:bCs/>
          <w:sz w:val="28"/>
          <w:szCs w:val="28"/>
          <w:rtl/>
        </w:rPr>
        <w:t xml:space="preserve"> </w:t>
      </w:r>
      <w:r w:rsidRPr="006571AC">
        <w:rPr>
          <w:rFonts w:cs="DanaFajr" w:hint="eastAsia"/>
          <w:b/>
          <w:bCs/>
          <w:sz w:val="28"/>
          <w:szCs w:val="28"/>
          <w:rtl/>
        </w:rPr>
        <w:t>أَظْلَمُ</w:t>
      </w:r>
      <w:r w:rsidRPr="006571AC">
        <w:rPr>
          <w:rFonts w:cs="DanaFajr"/>
          <w:b/>
          <w:bCs/>
          <w:sz w:val="28"/>
          <w:szCs w:val="28"/>
          <w:rtl/>
        </w:rPr>
        <w:t xml:space="preserve"> </w:t>
      </w:r>
      <w:r w:rsidRPr="006571AC">
        <w:rPr>
          <w:rFonts w:cs="DanaFajr" w:hint="eastAsia"/>
          <w:b/>
          <w:bCs/>
          <w:sz w:val="28"/>
          <w:szCs w:val="28"/>
          <w:rtl/>
        </w:rPr>
        <w:t>مِمَّنْ</w:t>
      </w:r>
      <w:r w:rsidRPr="006571AC">
        <w:rPr>
          <w:rFonts w:cs="DanaFajr"/>
          <w:b/>
          <w:bCs/>
          <w:sz w:val="28"/>
          <w:szCs w:val="28"/>
          <w:rtl/>
        </w:rPr>
        <w:t xml:space="preserve"> </w:t>
      </w:r>
      <w:r w:rsidRPr="006571AC">
        <w:rPr>
          <w:rFonts w:cs="DanaFajr" w:hint="eastAsia"/>
          <w:b/>
          <w:bCs/>
          <w:sz w:val="28"/>
          <w:szCs w:val="28"/>
          <w:rtl/>
        </w:rPr>
        <w:t>ذُكِّرَ</w:t>
      </w:r>
      <w:r w:rsidRPr="006571AC">
        <w:rPr>
          <w:rFonts w:cs="DanaFajr"/>
          <w:b/>
          <w:bCs/>
          <w:sz w:val="28"/>
          <w:szCs w:val="28"/>
          <w:rtl/>
        </w:rPr>
        <w:t xml:space="preserve"> </w:t>
      </w:r>
      <w:r w:rsidRPr="006571AC">
        <w:rPr>
          <w:rFonts w:cs="DanaFajr" w:hint="eastAsia"/>
          <w:b/>
          <w:bCs/>
          <w:sz w:val="28"/>
          <w:szCs w:val="28"/>
          <w:rtl/>
        </w:rPr>
        <w:t>بِآيَاتِ</w:t>
      </w:r>
      <w:r w:rsidRPr="006571AC">
        <w:rPr>
          <w:rFonts w:cs="DanaFajr"/>
          <w:b/>
          <w:bCs/>
          <w:sz w:val="28"/>
          <w:szCs w:val="28"/>
          <w:rtl/>
        </w:rPr>
        <w:t xml:space="preserve"> </w:t>
      </w:r>
      <w:r w:rsidRPr="006571AC">
        <w:rPr>
          <w:rFonts w:cs="DanaFajr" w:hint="eastAsia"/>
          <w:b/>
          <w:bCs/>
          <w:sz w:val="28"/>
          <w:szCs w:val="28"/>
          <w:rtl/>
        </w:rPr>
        <w:t>رَبِّهِ</w:t>
      </w:r>
      <w:r w:rsidRPr="006571AC">
        <w:rPr>
          <w:rFonts w:cs="DanaFajr"/>
          <w:b/>
          <w:bCs/>
          <w:sz w:val="28"/>
          <w:szCs w:val="28"/>
          <w:rtl/>
        </w:rPr>
        <w:t xml:space="preserve"> </w:t>
      </w:r>
      <w:r w:rsidRPr="006571AC">
        <w:rPr>
          <w:rFonts w:cs="DanaFajr" w:hint="eastAsia"/>
          <w:b/>
          <w:bCs/>
          <w:sz w:val="28"/>
          <w:szCs w:val="28"/>
          <w:rtl/>
        </w:rPr>
        <w:t>فَأَعْرَضَ</w:t>
      </w:r>
      <w:r w:rsidRPr="006571AC">
        <w:rPr>
          <w:rFonts w:cs="DanaFajr"/>
          <w:b/>
          <w:bCs/>
          <w:sz w:val="28"/>
          <w:szCs w:val="28"/>
          <w:rtl/>
        </w:rPr>
        <w:t xml:space="preserve"> </w:t>
      </w:r>
      <w:r w:rsidRPr="006571AC">
        <w:rPr>
          <w:rFonts w:cs="DanaFajr" w:hint="eastAsia"/>
          <w:b/>
          <w:bCs/>
          <w:sz w:val="28"/>
          <w:szCs w:val="28"/>
          <w:rtl/>
        </w:rPr>
        <w:t>عَنْهَا</w:t>
      </w:r>
      <w:r w:rsidRPr="006571AC">
        <w:rPr>
          <w:rFonts w:cs="DanaFajr"/>
          <w:b/>
          <w:bCs/>
          <w:sz w:val="28"/>
          <w:szCs w:val="28"/>
          <w:rtl/>
        </w:rPr>
        <w:t xml:space="preserve"> </w:t>
      </w:r>
      <w:r w:rsidRPr="006571AC">
        <w:rPr>
          <w:rFonts w:cs="DanaFajr" w:hint="eastAsia"/>
          <w:b/>
          <w:bCs/>
          <w:sz w:val="28"/>
          <w:szCs w:val="28"/>
          <w:rtl/>
        </w:rPr>
        <w:t>وَنَسِيَ</w:t>
      </w:r>
      <w:r w:rsidRPr="006571AC">
        <w:rPr>
          <w:rFonts w:cs="DanaFajr"/>
          <w:b/>
          <w:bCs/>
          <w:sz w:val="28"/>
          <w:szCs w:val="28"/>
          <w:rtl/>
        </w:rPr>
        <w:t xml:space="preserve"> </w:t>
      </w:r>
      <w:r w:rsidRPr="006571AC">
        <w:rPr>
          <w:rFonts w:cs="DanaFajr" w:hint="eastAsia"/>
          <w:b/>
          <w:bCs/>
          <w:sz w:val="28"/>
          <w:szCs w:val="28"/>
          <w:rtl/>
        </w:rPr>
        <w:t>مَا</w:t>
      </w:r>
      <w:r w:rsidRPr="006571AC">
        <w:rPr>
          <w:rFonts w:cs="DanaFajr"/>
          <w:b/>
          <w:bCs/>
          <w:sz w:val="28"/>
          <w:szCs w:val="28"/>
          <w:rtl/>
        </w:rPr>
        <w:t xml:space="preserve"> </w:t>
      </w:r>
      <w:r w:rsidRPr="006571AC">
        <w:rPr>
          <w:rFonts w:cs="DanaFajr" w:hint="eastAsia"/>
          <w:b/>
          <w:bCs/>
          <w:sz w:val="28"/>
          <w:szCs w:val="28"/>
          <w:rtl/>
        </w:rPr>
        <w:t>قَدَّمَتْ</w:t>
      </w:r>
      <w:r w:rsidRPr="006571AC">
        <w:rPr>
          <w:rFonts w:cs="DanaFajr"/>
          <w:b/>
          <w:bCs/>
          <w:sz w:val="28"/>
          <w:szCs w:val="28"/>
          <w:rtl/>
        </w:rPr>
        <w:t xml:space="preserve"> </w:t>
      </w:r>
      <w:r w:rsidRPr="006571AC">
        <w:rPr>
          <w:rFonts w:cs="DanaFajr" w:hint="eastAsia"/>
          <w:b/>
          <w:bCs/>
          <w:sz w:val="28"/>
          <w:szCs w:val="28"/>
          <w:rtl/>
        </w:rPr>
        <w:t>يَدَاهُ</w:t>
      </w:r>
      <w:r w:rsidRPr="006571AC">
        <w:rPr>
          <w:rFonts w:ascii="Mosawi" w:hAnsi="Mosawi" w:cs="Mosawi"/>
          <w:sz w:val="22"/>
          <w:szCs w:val="22"/>
          <w:rtl/>
        </w:rPr>
        <w:t>﴾</w:t>
      </w:r>
      <w:r w:rsidRPr="006571AC">
        <w:rPr>
          <w:rFonts w:cs="DanaFajr" w:hint="cs"/>
          <w:sz w:val="28"/>
          <w:szCs w:val="28"/>
          <w:rtl/>
          <w:lang w:bidi="ar-LB"/>
        </w:rPr>
        <w:t xml:space="preserve"> (</w:t>
      </w:r>
      <w:r w:rsidRPr="006571AC">
        <w:rPr>
          <w:rFonts w:cs="DanaFajr" w:hint="cs"/>
          <w:sz w:val="28"/>
          <w:szCs w:val="28"/>
          <w:rtl/>
        </w:rPr>
        <w:t>الكهف: 57</w:t>
      </w:r>
      <w:r w:rsidRPr="006571AC">
        <w:rPr>
          <w:rFonts w:cs="DanaFajr" w:hint="cs"/>
          <w:sz w:val="28"/>
          <w:szCs w:val="28"/>
          <w:rtl/>
          <w:lang w:bidi="ar-LB"/>
        </w:rPr>
        <w:t>)</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بَلِ</w:t>
      </w:r>
      <w:r w:rsidRPr="006571AC">
        <w:rPr>
          <w:rFonts w:cs="DanaFajr"/>
          <w:b/>
          <w:bCs/>
          <w:sz w:val="28"/>
          <w:szCs w:val="28"/>
          <w:rtl/>
          <w:lang w:bidi="ar-LB"/>
        </w:rPr>
        <w:t xml:space="preserve"> </w:t>
      </w:r>
      <w:r w:rsidRPr="006571AC">
        <w:rPr>
          <w:rFonts w:cs="DanaFajr" w:hint="eastAsia"/>
          <w:b/>
          <w:bCs/>
          <w:sz w:val="28"/>
          <w:szCs w:val="28"/>
          <w:rtl/>
          <w:lang w:bidi="ar-LB"/>
        </w:rPr>
        <w:t>الإِنْسَانُ</w:t>
      </w:r>
      <w:r w:rsidRPr="006571AC">
        <w:rPr>
          <w:rFonts w:cs="DanaFajr"/>
          <w:b/>
          <w:bCs/>
          <w:sz w:val="28"/>
          <w:szCs w:val="28"/>
          <w:rtl/>
          <w:lang w:bidi="ar-LB"/>
        </w:rPr>
        <w:t xml:space="preserve"> </w:t>
      </w:r>
      <w:r w:rsidRPr="006571AC">
        <w:rPr>
          <w:rFonts w:cs="DanaFajr" w:hint="eastAsia"/>
          <w:b/>
          <w:bCs/>
          <w:sz w:val="28"/>
          <w:szCs w:val="28"/>
          <w:rtl/>
          <w:lang w:bidi="ar-LB"/>
        </w:rPr>
        <w:t>عَلَى</w:t>
      </w:r>
      <w:r w:rsidRPr="006571AC">
        <w:rPr>
          <w:rFonts w:cs="DanaFajr"/>
          <w:b/>
          <w:bCs/>
          <w:sz w:val="28"/>
          <w:szCs w:val="28"/>
          <w:rtl/>
          <w:lang w:bidi="ar-LB"/>
        </w:rPr>
        <w:t xml:space="preserve"> </w:t>
      </w:r>
      <w:r w:rsidRPr="006571AC">
        <w:rPr>
          <w:rFonts w:cs="DanaFajr" w:hint="eastAsia"/>
          <w:b/>
          <w:bCs/>
          <w:sz w:val="28"/>
          <w:szCs w:val="28"/>
          <w:rtl/>
          <w:lang w:bidi="ar-LB"/>
        </w:rPr>
        <w:t>نَفْسِهِ</w:t>
      </w:r>
      <w:r w:rsidRPr="006571AC">
        <w:rPr>
          <w:rFonts w:cs="DanaFajr"/>
          <w:b/>
          <w:bCs/>
          <w:sz w:val="28"/>
          <w:szCs w:val="28"/>
          <w:rtl/>
          <w:lang w:bidi="ar-LB"/>
        </w:rPr>
        <w:t xml:space="preserve"> </w:t>
      </w:r>
      <w:r w:rsidRPr="006571AC">
        <w:rPr>
          <w:rFonts w:cs="DanaFajr" w:hint="eastAsia"/>
          <w:b/>
          <w:bCs/>
          <w:sz w:val="28"/>
          <w:szCs w:val="28"/>
          <w:rtl/>
          <w:lang w:bidi="ar-LB"/>
        </w:rPr>
        <w:t>بَصِيرَةٌ</w:t>
      </w:r>
      <w:r w:rsidRPr="006571AC">
        <w:rPr>
          <w:rFonts w:ascii="Mosawi" w:hAnsi="Mosawi" w:cs="Mosawi"/>
          <w:sz w:val="22"/>
          <w:szCs w:val="22"/>
          <w:rtl/>
        </w:rPr>
        <w:t>﴾</w:t>
      </w:r>
      <w:r w:rsidRPr="006571AC">
        <w:rPr>
          <w:rFonts w:cs="DanaFajr" w:hint="cs"/>
          <w:sz w:val="28"/>
          <w:szCs w:val="28"/>
          <w:rtl/>
          <w:lang w:bidi="ar-LB"/>
        </w:rPr>
        <w:t xml:space="preserve"> (القيامة: 14)</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يَوْمَ</w:t>
      </w:r>
      <w:r w:rsidRPr="006571AC">
        <w:rPr>
          <w:rFonts w:cs="DanaFajr"/>
          <w:b/>
          <w:bCs/>
          <w:sz w:val="28"/>
          <w:szCs w:val="28"/>
          <w:rtl/>
          <w:lang w:bidi="ar-LB"/>
        </w:rPr>
        <w:t xml:space="preserve"> </w:t>
      </w:r>
      <w:r w:rsidRPr="006571AC">
        <w:rPr>
          <w:rFonts w:cs="DanaFajr" w:hint="eastAsia"/>
          <w:b/>
          <w:bCs/>
          <w:sz w:val="28"/>
          <w:szCs w:val="28"/>
          <w:rtl/>
          <w:lang w:bidi="ar-LB"/>
        </w:rPr>
        <w:t>يَتَذَكَّرُ</w:t>
      </w:r>
      <w:r w:rsidRPr="006571AC">
        <w:rPr>
          <w:rFonts w:cs="DanaFajr"/>
          <w:b/>
          <w:bCs/>
          <w:sz w:val="28"/>
          <w:szCs w:val="28"/>
          <w:rtl/>
          <w:lang w:bidi="ar-LB"/>
        </w:rPr>
        <w:t xml:space="preserve"> </w:t>
      </w:r>
      <w:r w:rsidRPr="006571AC">
        <w:rPr>
          <w:rFonts w:cs="DanaFajr" w:hint="eastAsia"/>
          <w:b/>
          <w:bCs/>
          <w:sz w:val="28"/>
          <w:szCs w:val="28"/>
          <w:rtl/>
          <w:lang w:bidi="ar-LB"/>
        </w:rPr>
        <w:t>الإِنْسَانُ</w:t>
      </w:r>
      <w:r w:rsidRPr="006571AC">
        <w:rPr>
          <w:rFonts w:cs="DanaFajr"/>
          <w:b/>
          <w:bCs/>
          <w:sz w:val="28"/>
          <w:szCs w:val="28"/>
          <w:rtl/>
          <w:lang w:bidi="ar-LB"/>
        </w:rPr>
        <w:t xml:space="preserve"> </w:t>
      </w:r>
      <w:r w:rsidRPr="006571AC">
        <w:rPr>
          <w:rFonts w:cs="DanaFajr" w:hint="eastAsia"/>
          <w:b/>
          <w:bCs/>
          <w:sz w:val="28"/>
          <w:szCs w:val="28"/>
          <w:rtl/>
          <w:lang w:bidi="ar-LB"/>
        </w:rPr>
        <w:t>مَا</w:t>
      </w:r>
      <w:r w:rsidRPr="006571AC">
        <w:rPr>
          <w:rFonts w:cs="DanaFajr"/>
          <w:b/>
          <w:bCs/>
          <w:sz w:val="28"/>
          <w:szCs w:val="28"/>
          <w:rtl/>
          <w:lang w:bidi="ar-LB"/>
        </w:rPr>
        <w:t xml:space="preserve"> </w:t>
      </w:r>
      <w:r w:rsidRPr="006571AC">
        <w:rPr>
          <w:rFonts w:cs="DanaFajr" w:hint="eastAsia"/>
          <w:b/>
          <w:bCs/>
          <w:sz w:val="28"/>
          <w:szCs w:val="28"/>
          <w:rtl/>
          <w:lang w:bidi="ar-LB"/>
        </w:rPr>
        <w:t>سَعَى</w:t>
      </w:r>
      <w:r w:rsidRPr="006571AC">
        <w:rPr>
          <w:rFonts w:ascii="Mosawi" w:hAnsi="Mosawi" w:cs="Mosawi"/>
          <w:sz w:val="22"/>
          <w:szCs w:val="22"/>
          <w:rtl/>
        </w:rPr>
        <w:t>﴾</w:t>
      </w:r>
      <w:r w:rsidRPr="006571AC">
        <w:rPr>
          <w:rFonts w:cs="DanaFajr" w:hint="cs"/>
          <w:sz w:val="28"/>
          <w:szCs w:val="28"/>
          <w:rtl/>
          <w:lang w:bidi="ar-LB"/>
        </w:rPr>
        <w:t xml:space="preserve"> (النازعات: 35)</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يَوْمَ</w:t>
      </w:r>
      <w:r w:rsidRPr="006571AC">
        <w:rPr>
          <w:rFonts w:cs="DanaFajr"/>
          <w:b/>
          <w:bCs/>
          <w:sz w:val="28"/>
          <w:szCs w:val="28"/>
          <w:rtl/>
          <w:lang w:bidi="ar-LB"/>
        </w:rPr>
        <w:t xml:space="preserve"> </w:t>
      </w:r>
      <w:r w:rsidRPr="006571AC">
        <w:rPr>
          <w:rFonts w:cs="DanaFajr" w:hint="eastAsia"/>
          <w:b/>
          <w:bCs/>
          <w:sz w:val="28"/>
          <w:szCs w:val="28"/>
          <w:rtl/>
          <w:lang w:bidi="ar-LB"/>
        </w:rPr>
        <w:t>تُبْلَى</w:t>
      </w:r>
      <w:r w:rsidRPr="006571AC">
        <w:rPr>
          <w:rFonts w:cs="DanaFajr"/>
          <w:b/>
          <w:bCs/>
          <w:sz w:val="28"/>
          <w:szCs w:val="28"/>
          <w:rtl/>
          <w:lang w:bidi="ar-LB"/>
        </w:rPr>
        <w:t xml:space="preserve"> </w:t>
      </w:r>
      <w:r w:rsidRPr="006571AC">
        <w:rPr>
          <w:rFonts w:cs="DanaFajr" w:hint="eastAsia"/>
          <w:b/>
          <w:bCs/>
          <w:sz w:val="28"/>
          <w:szCs w:val="28"/>
          <w:rtl/>
          <w:lang w:bidi="ar-LB"/>
        </w:rPr>
        <w:t>السَّرَائِرُ</w:t>
      </w:r>
      <w:r w:rsidRPr="006571AC">
        <w:rPr>
          <w:rFonts w:ascii="Mosawi" w:hAnsi="Mosawi" w:cs="Mosawi"/>
          <w:sz w:val="22"/>
          <w:szCs w:val="22"/>
          <w:rtl/>
        </w:rPr>
        <w:t>﴾</w:t>
      </w:r>
      <w:r w:rsidRPr="006571AC">
        <w:rPr>
          <w:rFonts w:cs="DanaFajr" w:hint="cs"/>
          <w:sz w:val="28"/>
          <w:szCs w:val="28"/>
          <w:rtl/>
          <w:lang w:bidi="ar-LB"/>
        </w:rPr>
        <w:t xml:space="preserve"> (الطارق: 9)</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مَنْ</w:t>
      </w:r>
      <w:r w:rsidRPr="006571AC">
        <w:rPr>
          <w:rFonts w:cs="DanaFajr"/>
          <w:b/>
          <w:bCs/>
          <w:sz w:val="28"/>
          <w:szCs w:val="28"/>
          <w:rtl/>
          <w:lang w:bidi="ar-LB"/>
        </w:rPr>
        <w:t xml:space="preserve"> </w:t>
      </w:r>
      <w:r w:rsidRPr="006571AC">
        <w:rPr>
          <w:rFonts w:cs="DanaFajr" w:hint="eastAsia"/>
          <w:b/>
          <w:bCs/>
          <w:sz w:val="28"/>
          <w:szCs w:val="28"/>
          <w:rtl/>
          <w:lang w:bidi="ar-LB"/>
        </w:rPr>
        <w:t>يَعْمَلْ</w:t>
      </w:r>
      <w:r w:rsidRPr="006571AC">
        <w:rPr>
          <w:rFonts w:cs="DanaFajr"/>
          <w:b/>
          <w:bCs/>
          <w:sz w:val="28"/>
          <w:szCs w:val="28"/>
          <w:rtl/>
          <w:lang w:bidi="ar-LB"/>
        </w:rPr>
        <w:t xml:space="preserve"> </w:t>
      </w:r>
      <w:r w:rsidRPr="006571AC">
        <w:rPr>
          <w:rFonts w:cs="DanaFajr" w:hint="eastAsia"/>
          <w:b/>
          <w:bCs/>
          <w:sz w:val="28"/>
          <w:szCs w:val="28"/>
          <w:rtl/>
          <w:lang w:bidi="ar-LB"/>
        </w:rPr>
        <w:t>سُوءاً</w:t>
      </w:r>
      <w:r w:rsidRPr="006571AC">
        <w:rPr>
          <w:rFonts w:cs="DanaFajr"/>
          <w:b/>
          <w:bCs/>
          <w:sz w:val="28"/>
          <w:szCs w:val="28"/>
          <w:rtl/>
          <w:lang w:bidi="ar-LB"/>
        </w:rPr>
        <w:t xml:space="preserve"> </w:t>
      </w:r>
      <w:r w:rsidRPr="006571AC">
        <w:rPr>
          <w:rFonts w:cs="DanaFajr" w:hint="eastAsia"/>
          <w:b/>
          <w:bCs/>
          <w:sz w:val="28"/>
          <w:szCs w:val="28"/>
          <w:rtl/>
          <w:lang w:bidi="ar-LB"/>
        </w:rPr>
        <w:t>يُجْزَ</w:t>
      </w:r>
      <w:r w:rsidRPr="006571AC">
        <w:rPr>
          <w:rFonts w:cs="DanaFajr"/>
          <w:b/>
          <w:bCs/>
          <w:sz w:val="28"/>
          <w:szCs w:val="28"/>
          <w:rtl/>
          <w:lang w:bidi="ar-LB"/>
        </w:rPr>
        <w:t xml:space="preserve"> </w:t>
      </w:r>
      <w:r w:rsidRPr="006571AC">
        <w:rPr>
          <w:rFonts w:cs="DanaFajr" w:hint="eastAsia"/>
          <w:b/>
          <w:bCs/>
          <w:sz w:val="28"/>
          <w:szCs w:val="28"/>
          <w:rtl/>
          <w:lang w:bidi="ar-LB"/>
        </w:rPr>
        <w:t>بِهِ</w:t>
      </w:r>
      <w:r w:rsidRPr="006571AC">
        <w:rPr>
          <w:rFonts w:ascii="Mosawi" w:hAnsi="Mosawi" w:cs="Mosawi"/>
          <w:sz w:val="22"/>
          <w:szCs w:val="22"/>
          <w:rtl/>
        </w:rPr>
        <w:t>﴾</w:t>
      </w:r>
      <w:r w:rsidRPr="006571AC">
        <w:rPr>
          <w:rFonts w:cs="DanaFajr" w:hint="cs"/>
          <w:sz w:val="28"/>
          <w:szCs w:val="28"/>
          <w:rtl/>
          <w:lang w:bidi="ar-LB"/>
        </w:rPr>
        <w:t xml:space="preserve"> (النساء: 123)</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هَلْ</w:t>
      </w:r>
      <w:r w:rsidRPr="006571AC">
        <w:rPr>
          <w:rFonts w:cs="DanaFajr"/>
          <w:b/>
          <w:bCs/>
          <w:sz w:val="28"/>
          <w:szCs w:val="28"/>
          <w:rtl/>
          <w:lang w:bidi="ar-LB"/>
        </w:rPr>
        <w:t xml:space="preserve"> </w:t>
      </w:r>
      <w:r w:rsidRPr="006571AC">
        <w:rPr>
          <w:rFonts w:cs="DanaFajr" w:hint="eastAsia"/>
          <w:b/>
          <w:bCs/>
          <w:sz w:val="28"/>
          <w:szCs w:val="28"/>
          <w:rtl/>
          <w:lang w:bidi="ar-LB"/>
        </w:rPr>
        <w:t>يُجْزَوْنَ</w:t>
      </w:r>
      <w:r w:rsidRPr="006571AC">
        <w:rPr>
          <w:rFonts w:cs="DanaFajr"/>
          <w:b/>
          <w:bCs/>
          <w:sz w:val="28"/>
          <w:szCs w:val="28"/>
          <w:rtl/>
          <w:lang w:bidi="ar-LB"/>
        </w:rPr>
        <w:t xml:space="preserve"> </w:t>
      </w:r>
      <w:r w:rsidRPr="006571AC">
        <w:rPr>
          <w:rFonts w:cs="DanaFajr" w:hint="eastAsia"/>
          <w:b/>
          <w:bCs/>
          <w:sz w:val="28"/>
          <w:szCs w:val="28"/>
          <w:rtl/>
          <w:lang w:bidi="ar-LB"/>
        </w:rPr>
        <w:t>إِلاّ</w:t>
      </w:r>
      <w:r w:rsidRPr="006571AC">
        <w:rPr>
          <w:rFonts w:cs="DanaFajr" w:hint="cs"/>
          <w:b/>
          <w:bCs/>
          <w:sz w:val="28"/>
          <w:szCs w:val="28"/>
          <w:rtl/>
          <w:lang w:bidi="ar-LB"/>
        </w:rPr>
        <w:t>َ</w:t>
      </w:r>
      <w:r w:rsidRPr="006571AC">
        <w:rPr>
          <w:rFonts w:cs="DanaFajr"/>
          <w:b/>
          <w:bCs/>
          <w:sz w:val="28"/>
          <w:szCs w:val="28"/>
          <w:rtl/>
          <w:lang w:bidi="ar-LB"/>
        </w:rPr>
        <w:t xml:space="preserve"> </w:t>
      </w:r>
      <w:r w:rsidRPr="006571AC">
        <w:rPr>
          <w:rFonts w:cs="DanaFajr" w:hint="eastAsia"/>
          <w:b/>
          <w:bCs/>
          <w:sz w:val="28"/>
          <w:szCs w:val="28"/>
          <w:rtl/>
          <w:lang w:bidi="ar-LB"/>
        </w:rPr>
        <w:t>مَا</w:t>
      </w:r>
      <w:r w:rsidRPr="006571AC">
        <w:rPr>
          <w:rFonts w:cs="DanaFajr"/>
          <w:b/>
          <w:bCs/>
          <w:sz w:val="28"/>
          <w:szCs w:val="28"/>
          <w:rtl/>
          <w:lang w:bidi="ar-LB"/>
        </w:rPr>
        <w:t xml:space="preserve"> </w:t>
      </w:r>
      <w:r w:rsidRPr="006571AC">
        <w:rPr>
          <w:rFonts w:cs="DanaFajr" w:hint="eastAsia"/>
          <w:b/>
          <w:bCs/>
          <w:sz w:val="28"/>
          <w:szCs w:val="28"/>
          <w:rtl/>
          <w:lang w:bidi="ar-LB"/>
        </w:rPr>
        <w:t>كَانُوا</w:t>
      </w:r>
      <w:r w:rsidRPr="006571AC">
        <w:rPr>
          <w:rFonts w:cs="DanaFajr"/>
          <w:b/>
          <w:bCs/>
          <w:sz w:val="28"/>
          <w:szCs w:val="28"/>
          <w:rtl/>
          <w:lang w:bidi="ar-LB"/>
        </w:rPr>
        <w:t xml:space="preserve"> </w:t>
      </w:r>
      <w:r w:rsidRPr="006571AC">
        <w:rPr>
          <w:rFonts w:cs="DanaFajr" w:hint="eastAsia"/>
          <w:b/>
          <w:bCs/>
          <w:sz w:val="28"/>
          <w:szCs w:val="28"/>
          <w:rtl/>
          <w:lang w:bidi="ar-LB"/>
        </w:rPr>
        <w:t>يَعْمَلُونَ</w:t>
      </w:r>
      <w:r w:rsidRPr="006571AC">
        <w:rPr>
          <w:rFonts w:ascii="Mosawi" w:hAnsi="Mosawi" w:cs="Mosawi"/>
          <w:sz w:val="22"/>
          <w:szCs w:val="22"/>
          <w:rtl/>
        </w:rPr>
        <w:t>﴾</w:t>
      </w:r>
      <w:r w:rsidRPr="006571AC">
        <w:rPr>
          <w:rFonts w:ascii="Mosawi" w:hAnsi="Mosawi" w:cs="Mosawi" w:hint="cs"/>
          <w:sz w:val="22"/>
          <w:szCs w:val="22"/>
          <w:rtl/>
        </w:rPr>
        <w:t xml:space="preserve"> (</w:t>
      </w:r>
      <w:r w:rsidRPr="006571AC">
        <w:rPr>
          <w:rFonts w:cs="DanaFajr" w:hint="cs"/>
          <w:sz w:val="28"/>
          <w:szCs w:val="28"/>
          <w:rtl/>
          <w:lang w:bidi="ar-LB"/>
        </w:rPr>
        <w:t>الأعراف: 147</w:t>
      </w:r>
      <w:r w:rsidRPr="006571AC">
        <w:rPr>
          <w:rFonts w:ascii="Mosawi" w:hAnsi="Mosawi" w:cs="Mosawi" w:hint="cs"/>
          <w:sz w:val="22"/>
          <w:szCs w:val="22"/>
          <w:rtl/>
        </w:rPr>
        <w:t>)</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لِيَجْزِيَ</w:t>
      </w:r>
      <w:r w:rsidRPr="006571AC">
        <w:rPr>
          <w:rFonts w:cs="DanaFajr"/>
          <w:b/>
          <w:bCs/>
          <w:sz w:val="28"/>
          <w:szCs w:val="28"/>
          <w:rtl/>
          <w:lang w:bidi="ar-LB"/>
        </w:rPr>
        <w:t xml:space="preserve"> </w:t>
      </w:r>
      <w:r w:rsidRPr="006571AC">
        <w:rPr>
          <w:rFonts w:cs="DanaFajr" w:hint="eastAsia"/>
          <w:b/>
          <w:bCs/>
          <w:sz w:val="28"/>
          <w:szCs w:val="28"/>
          <w:rtl/>
          <w:lang w:bidi="ar-LB"/>
        </w:rPr>
        <w:t>اللهُ</w:t>
      </w:r>
      <w:r w:rsidRPr="006571AC">
        <w:rPr>
          <w:rFonts w:cs="DanaFajr"/>
          <w:b/>
          <w:bCs/>
          <w:sz w:val="28"/>
          <w:szCs w:val="28"/>
          <w:rtl/>
          <w:lang w:bidi="ar-LB"/>
        </w:rPr>
        <w:t xml:space="preserve"> </w:t>
      </w:r>
      <w:r w:rsidRPr="006571AC">
        <w:rPr>
          <w:rFonts w:cs="DanaFajr" w:hint="eastAsia"/>
          <w:b/>
          <w:bCs/>
          <w:sz w:val="28"/>
          <w:szCs w:val="28"/>
          <w:rtl/>
          <w:lang w:bidi="ar-LB"/>
        </w:rPr>
        <w:t>كُلَّ</w:t>
      </w:r>
      <w:r w:rsidRPr="006571AC">
        <w:rPr>
          <w:rFonts w:cs="DanaFajr"/>
          <w:b/>
          <w:bCs/>
          <w:sz w:val="28"/>
          <w:szCs w:val="28"/>
          <w:rtl/>
          <w:lang w:bidi="ar-LB"/>
        </w:rPr>
        <w:t xml:space="preserve"> </w:t>
      </w:r>
      <w:r w:rsidRPr="006571AC">
        <w:rPr>
          <w:rFonts w:cs="DanaFajr" w:hint="eastAsia"/>
          <w:b/>
          <w:bCs/>
          <w:sz w:val="28"/>
          <w:szCs w:val="28"/>
          <w:rtl/>
          <w:lang w:bidi="ar-LB"/>
        </w:rPr>
        <w:t>نَفْسٍ</w:t>
      </w:r>
      <w:r w:rsidRPr="006571AC">
        <w:rPr>
          <w:rFonts w:cs="DanaFajr"/>
          <w:b/>
          <w:bCs/>
          <w:sz w:val="28"/>
          <w:szCs w:val="28"/>
          <w:rtl/>
          <w:lang w:bidi="ar-LB"/>
        </w:rPr>
        <w:t xml:space="preserve"> </w:t>
      </w:r>
      <w:r w:rsidRPr="006571AC">
        <w:rPr>
          <w:rFonts w:cs="DanaFajr" w:hint="eastAsia"/>
          <w:b/>
          <w:bCs/>
          <w:sz w:val="28"/>
          <w:szCs w:val="28"/>
          <w:rtl/>
          <w:lang w:bidi="ar-LB"/>
        </w:rPr>
        <w:t>مَا</w:t>
      </w:r>
      <w:r w:rsidRPr="006571AC">
        <w:rPr>
          <w:rFonts w:cs="DanaFajr"/>
          <w:b/>
          <w:bCs/>
          <w:sz w:val="28"/>
          <w:szCs w:val="28"/>
          <w:rtl/>
          <w:lang w:bidi="ar-LB"/>
        </w:rPr>
        <w:t xml:space="preserve"> </w:t>
      </w:r>
      <w:r w:rsidRPr="006571AC">
        <w:rPr>
          <w:rFonts w:cs="DanaFajr" w:hint="eastAsia"/>
          <w:b/>
          <w:bCs/>
          <w:sz w:val="28"/>
          <w:szCs w:val="28"/>
          <w:rtl/>
          <w:lang w:bidi="ar-LB"/>
        </w:rPr>
        <w:t>كَسَبَتْ</w:t>
      </w:r>
      <w:r w:rsidRPr="006571AC">
        <w:rPr>
          <w:rFonts w:ascii="Mosawi" w:hAnsi="Mosawi" w:cs="Mosawi"/>
          <w:sz w:val="22"/>
          <w:szCs w:val="22"/>
          <w:rtl/>
        </w:rPr>
        <w:t>﴾</w:t>
      </w:r>
      <w:r w:rsidRPr="006571AC">
        <w:rPr>
          <w:rFonts w:ascii="Mosawi" w:hAnsi="Mosawi" w:cs="Mosawi" w:hint="cs"/>
          <w:sz w:val="22"/>
          <w:szCs w:val="22"/>
          <w:rtl/>
        </w:rPr>
        <w:t xml:space="preserve"> (</w:t>
      </w:r>
      <w:r w:rsidRPr="006571AC">
        <w:rPr>
          <w:rFonts w:cs="DanaFajr" w:hint="cs"/>
          <w:sz w:val="28"/>
          <w:szCs w:val="28"/>
          <w:rtl/>
          <w:lang w:bidi="ar-LB"/>
        </w:rPr>
        <w:t>إبراهيم: 51</w:t>
      </w:r>
      <w:r w:rsidRPr="006571AC">
        <w:rPr>
          <w:rFonts w:ascii="Mosawi" w:hAnsi="Mosawi" w:cs="Mosawi" w:hint="cs"/>
          <w:sz w:val="22"/>
          <w:szCs w:val="22"/>
          <w:rtl/>
        </w:rPr>
        <w:t>)</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وَلا</w:t>
      </w:r>
      <w:r w:rsidRPr="006571AC">
        <w:rPr>
          <w:rFonts w:cs="DanaFajr" w:hint="cs"/>
          <w:b/>
          <w:bCs/>
          <w:sz w:val="28"/>
          <w:szCs w:val="28"/>
          <w:rtl/>
          <w:lang w:bidi="ar-LB"/>
        </w:rPr>
        <w:t>َ</w:t>
      </w:r>
      <w:r w:rsidRPr="006571AC">
        <w:rPr>
          <w:rFonts w:cs="DanaFajr"/>
          <w:b/>
          <w:bCs/>
          <w:sz w:val="28"/>
          <w:szCs w:val="28"/>
          <w:rtl/>
          <w:lang w:bidi="ar-LB"/>
        </w:rPr>
        <w:t xml:space="preserve"> </w:t>
      </w:r>
      <w:r w:rsidRPr="006571AC">
        <w:rPr>
          <w:rFonts w:cs="DanaFajr" w:hint="eastAsia"/>
          <w:b/>
          <w:bCs/>
          <w:sz w:val="28"/>
          <w:szCs w:val="28"/>
          <w:rtl/>
          <w:lang w:bidi="ar-LB"/>
        </w:rPr>
        <w:t>تُجْزَوْنَ</w:t>
      </w:r>
      <w:r w:rsidRPr="006571AC">
        <w:rPr>
          <w:rFonts w:cs="DanaFajr"/>
          <w:b/>
          <w:bCs/>
          <w:sz w:val="28"/>
          <w:szCs w:val="28"/>
          <w:rtl/>
          <w:lang w:bidi="ar-LB"/>
        </w:rPr>
        <w:t xml:space="preserve"> </w:t>
      </w:r>
      <w:r w:rsidRPr="006571AC">
        <w:rPr>
          <w:rFonts w:cs="DanaFajr" w:hint="eastAsia"/>
          <w:b/>
          <w:bCs/>
          <w:sz w:val="28"/>
          <w:szCs w:val="28"/>
          <w:rtl/>
          <w:lang w:bidi="ar-LB"/>
        </w:rPr>
        <w:t>إِلاّ</w:t>
      </w:r>
      <w:r w:rsidRPr="006571AC">
        <w:rPr>
          <w:rFonts w:cs="DanaFajr" w:hint="cs"/>
          <w:b/>
          <w:bCs/>
          <w:sz w:val="28"/>
          <w:szCs w:val="28"/>
          <w:rtl/>
          <w:lang w:bidi="ar-LB"/>
        </w:rPr>
        <w:t>َ</w:t>
      </w:r>
      <w:r w:rsidRPr="006571AC">
        <w:rPr>
          <w:rFonts w:cs="DanaFajr"/>
          <w:b/>
          <w:bCs/>
          <w:sz w:val="28"/>
          <w:szCs w:val="28"/>
          <w:rtl/>
          <w:lang w:bidi="ar-LB"/>
        </w:rPr>
        <w:t xml:space="preserve"> </w:t>
      </w:r>
      <w:r w:rsidRPr="006571AC">
        <w:rPr>
          <w:rFonts w:cs="DanaFajr" w:hint="eastAsia"/>
          <w:b/>
          <w:bCs/>
          <w:sz w:val="28"/>
          <w:szCs w:val="28"/>
          <w:rtl/>
          <w:lang w:bidi="ar-LB"/>
        </w:rPr>
        <w:t>مَا</w:t>
      </w:r>
      <w:r w:rsidRPr="006571AC">
        <w:rPr>
          <w:rFonts w:cs="DanaFajr"/>
          <w:b/>
          <w:bCs/>
          <w:sz w:val="28"/>
          <w:szCs w:val="28"/>
          <w:rtl/>
          <w:lang w:bidi="ar-LB"/>
        </w:rPr>
        <w:t xml:space="preserve"> </w:t>
      </w:r>
      <w:r w:rsidRPr="006571AC">
        <w:rPr>
          <w:rFonts w:cs="DanaFajr" w:hint="eastAsia"/>
          <w:b/>
          <w:bCs/>
          <w:sz w:val="28"/>
          <w:szCs w:val="28"/>
          <w:rtl/>
          <w:lang w:bidi="ar-LB"/>
        </w:rPr>
        <w:t>كُنْتُمْ</w:t>
      </w:r>
      <w:r w:rsidRPr="006571AC">
        <w:rPr>
          <w:rFonts w:cs="DanaFajr"/>
          <w:b/>
          <w:bCs/>
          <w:sz w:val="28"/>
          <w:szCs w:val="28"/>
          <w:rtl/>
          <w:lang w:bidi="ar-LB"/>
        </w:rPr>
        <w:t xml:space="preserve"> </w:t>
      </w:r>
      <w:r w:rsidRPr="006571AC">
        <w:rPr>
          <w:rFonts w:cs="DanaFajr" w:hint="eastAsia"/>
          <w:b/>
          <w:bCs/>
          <w:sz w:val="28"/>
          <w:szCs w:val="28"/>
          <w:rtl/>
          <w:lang w:bidi="ar-LB"/>
        </w:rPr>
        <w:t>تَعْمَلُونَ</w:t>
      </w:r>
      <w:r w:rsidRPr="006571AC">
        <w:rPr>
          <w:rFonts w:ascii="Mosawi" w:hAnsi="Mosawi" w:cs="Mosawi"/>
          <w:sz w:val="22"/>
          <w:szCs w:val="22"/>
          <w:rtl/>
        </w:rPr>
        <w:t>﴾</w:t>
      </w:r>
      <w:r w:rsidRPr="006571AC">
        <w:rPr>
          <w:rFonts w:ascii="Mosawi" w:hAnsi="Mosawi" w:cs="Mosawi" w:hint="cs"/>
          <w:sz w:val="22"/>
          <w:szCs w:val="22"/>
          <w:rtl/>
        </w:rPr>
        <w:t xml:space="preserve"> (</w:t>
      </w:r>
      <w:r w:rsidRPr="006571AC">
        <w:rPr>
          <w:rFonts w:cs="DanaFajr" w:hint="cs"/>
          <w:sz w:val="28"/>
          <w:szCs w:val="28"/>
          <w:rtl/>
          <w:lang w:bidi="ar-LB"/>
        </w:rPr>
        <w:t>يس: 54</w:t>
      </w:r>
      <w:r w:rsidRPr="006571AC">
        <w:rPr>
          <w:rFonts w:ascii="Mosawi" w:hAnsi="Mosawi" w:cs="Mosawi" w:hint="cs"/>
          <w:sz w:val="22"/>
          <w:szCs w:val="22"/>
          <w:rtl/>
        </w:rPr>
        <w:t>)</w:t>
      </w:r>
      <w:r w:rsidRPr="006571AC">
        <w:rPr>
          <w:rFonts w:cs="DanaFajr" w:hint="cs"/>
          <w:sz w:val="28"/>
          <w:szCs w:val="28"/>
          <w:rtl/>
          <w:lang w:bidi="ar-LB"/>
        </w:rPr>
        <w:t>.</w:t>
      </w:r>
    </w:p>
    <w:p w:rsidR="00DB2356" w:rsidRPr="006571AC" w:rsidRDefault="00DB2356" w:rsidP="00166320">
      <w:pPr>
        <w:pStyle w:val="aa"/>
        <w:spacing w:line="306" w:lineRule="exact"/>
        <w:ind w:firstLine="0"/>
        <w:rPr>
          <w:rFonts w:cs="DanaFajr"/>
          <w:sz w:val="28"/>
          <w:szCs w:val="28"/>
          <w:rtl/>
        </w:rPr>
      </w:pPr>
      <w:r w:rsidRPr="006571AC">
        <w:rPr>
          <w:rFonts w:cs="DanaFajr" w:hint="cs"/>
          <w:sz w:val="28"/>
          <w:szCs w:val="28"/>
          <w:rtl/>
        </w:rPr>
        <w:t>وكذلك عرَّف القرآن الكريم الآخرة بأنها</w:t>
      </w:r>
      <w:r w:rsidRPr="006571AC">
        <w:rPr>
          <w:rFonts w:cs="DanaFajr"/>
          <w:sz w:val="28"/>
          <w:szCs w:val="28"/>
          <w:rtl/>
        </w:rPr>
        <w:t xml:space="preserve"> </w:t>
      </w:r>
      <w:r w:rsidRPr="006571AC">
        <w:rPr>
          <w:rFonts w:cs="DanaFajr" w:hint="eastAsia"/>
          <w:sz w:val="28"/>
          <w:szCs w:val="28"/>
          <w:rtl/>
        </w:rPr>
        <w:t>انعكاس</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 xml:space="preserve">ونتيجة </w:t>
      </w:r>
      <w:r w:rsidRPr="006571AC">
        <w:rPr>
          <w:rFonts w:cs="DanaFajr" w:hint="eastAsia"/>
          <w:sz w:val="28"/>
          <w:szCs w:val="28"/>
          <w:rtl/>
        </w:rPr>
        <w:t>تكويني</w:t>
      </w:r>
      <w:r w:rsidRPr="006571AC">
        <w:rPr>
          <w:rFonts w:cs="DanaFajr" w:hint="cs"/>
          <w:sz w:val="28"/>
          <w:szCs w:val="28"/>
          <w:rtl/>
        </w:rPr>
        <w:t>ة</w:t>
      </w:r>
      <w:r w:rsidRPr="006571AC">
        <w:rPr>
          <w:rFonts w:cs="DanaFajr"/>
          <w:sz w:val="28"/>
          <w:szCs w:val="28"/>
          <w:rtl/>
        </w:rPr>
        <w:t xml:space="preserve"> </w:t>
      </w:r>
      <w:r w:rsidRPr="006571AC">
        <w:rPr>
          <w:rFonts w:cs="DanaFajr" w:hint="eastAsia"/>
          <w:sz w:val="28"/>
          <w:szCs w:val="28"/>
          <w:rtl/>
        </w:rPr>
        <w:t>للأعمال</w:t>
      </w:r>
      <w:r w:rsidRPr="006571AC">
        <w:rPr>
          <w:rFonts w:cs="DanaFajr"/>
          <w:sz w:val="28"/>
          <w:szCs w:val="28"/>
          <w:rtl/>
        </w:rPr>
        <w:t xml:space="preserve"> </w:t>
      </w:r>
      <w:r w:rsidRPr="006571AC">
        <w:rPr>
          <w:rFonts w:cs="DanaFajr" w:hint="eastAsia"/>
          <w:sz w:val="28"/>
          <w:szCs w:val="28"/>
          <w:rtl/>
        </w:rPr>
        <w:t>الاختياريّة</w:t>
      </w:r>
      <w:r w:rsidRPr="006571AC">
        <w:rPr>
          <w:rFonts w:cs="DanaFajr"/>
          <w:sz w:val="28"/>
          <w:szCs w:val="28"/>
          <w:rtl/>
        </w:rPr>
        <w:t xml:space="preserve"> </w:t>
      </w:r>
      <w:r w:rsidRPr="006571AC">
        <w:rPr>
          <w:rFonts w:cs="DanaFajr" w:hint="eastAsia"/>
          <w:sz w:val="28"/>
          <w:szCs w:val="28"/>
          <w:rtl/>
        </w:rPr>
        <w:t>التي</w:t>
      </w:r>
      <w:r w:rsidRPr="006571AC">
        <w:rPr>
          <w:rFonts w:cs="DanaFajr"/>
          <w:sz w:val="28"/>
          <w:szCs w:val="28"/>
          <w:rtl/>
        </w:rPr>
        <w:t xml:space="preserve"> </w:t>
      </w:r>
      <w:r w:rsidRPr="006571AC">
        <w:rPr>
          <w:rFonts w:cs="DanaFajr" w:hint="eastAsia"/>
          <w:sz w:val="28"/>
          <w:szCs w:val="28"/>
          <w:rtl/>
        </w:rPr>
        <w:t>قام</w:t>
      </w:r>
      <w:r w:rsidRPr="006571AC">
        <w:rPr>
          <w:rFonts w:cs="DanaFajr"/>
          <w:sz w:val="28"/>
          <w:szCs w:val="28"/>
          <w:rtl/>
        </w:rPr>
        <w:t xml:space="preserve"> </w:t>
      </w:r>
      <w:r w:rsidRPr="006571AC">
        <w:rPr>
          <w:rFonts w:cs="DanaFajr" w:hint="eastAsia"/>
          <w:sz w:val="28"/>
          <w:szCs w:val="28"/>
          <w:rtl/>
        </w:rPr>
        <w:t>بها</w:t>
      </w:r>
      <w:r w:rsidRPr="006571AC">
        <w:rPr>
          <w:rFonts w:cs="DanaFajr"/>
          <w:sz w:val="28"/>
          <w:szCs w:val="28"/>
          <w:rtl/>
        </w:rPr>
        <w:t xml:space="preserve"> </w:t>
      </w:r>
      <w:r w:rsidRPr="006571AC">
        <w:rPr>
          <w:rFonts w:cs="DanaFajr" w:hint="eastAsia"/>
          <w:sz w:val="28"/>
          <w:szCs w:val="28"/>
          <w:rtl/>
        </w:rPr>
        <w:t>الإنسان</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و</w:t>
      </w:r>
      <w:r w:rsidRPr="006571AC">
        <w:rPr>
          <w:rFonts w:cs="DanaFajr" w:hint="eastAsia"/>
          <w:sz w:val="28"/>
          <w:szCs w:val="28"/>
          <w:rtl/>
        </w:rPr>
        <w:t>هي</w:t>
      </w:r>
      <w:r w:rsidRPr="006571AC">
        <w:rPr>
          <w:rFonts w:cs="DanaFajr"/>
          <w:sz w:val="28"/>
          <w:szCs w:val="28"/>
          <w:rtl/>
        </w:rPr>
        <w:t xml:space="preserve"> </w:t>
      </w:r>
      <w:r w:rsidRPr="006571AC">
        <w:rPr>
          <w:rFonts w:cs="DanaFajr" w:hint="eastAsia"/>
          <w:sz w:val="28"/>
          <w:szCs w:val="28"/>
          <w:rtl/>
        </w:rPr>
        <w:t>باطنٌ</w:t>
      </w:r>
      <w:r w:rsidRPr="006571AC">
        <w:rPr>
          <w:rFonts w:cs="DanaFajr"/>
          <w:sz w:val="28"/>
          <w:szCs w:val="28"/>
          <w:rtl/>
        </w:rPr>
        <w:t xml:space="preserve"> </w:t>
      </w:r>
      <w:r w:rsidRPr="006571AC">
        <w:rPr>
          <w:rFonts w:cs="DanaFajr" w:hint="eastAsia"/>
          <w:sz w:val="28"/>
          <w:szCs w:val="28"/>
          <w:rtl/>
        </w:rPr>
        <w:t>وحقيقة</w:t>
      </w:r>
      <w:r w:rsidRPr="006571AC">
        <w:rPr>
          <w:rFonts w:cs="DanaFajr"/>
          <w:sz w:val="28"/>
          <w:szCs w:val="28"/>
          <w:rtl/>
        </w:rPr>
        <w:t xml:space="preserve"> </w:t>
      </w:r>
      <w:r w:rsidRPr="006571AC">
        <w:rPr>
          <w:rFonts w:cs="DanaFajr" w:hint="eastAsia"/>
          <w:sz w:val="28"/>
          <w:szCs w:val="28"/>
          <w:rtl/>
        </w:rPr>
        <w:t>تلك</w:t>
      </w:r>
      <w:r w:rsidRPr="006571AC">
        <w:rPr>
          <w:rFonts w:cs="DanaFajr"/>
          <w:sz w:val="28"/>
          <w:szCs w:val="28"/>
          <w:rtl/>
        </w:rPr>
        <w:t xml:space="preserve"> </w:t>
      </w:r>
      <w:r w:rsidRPr="006571AC">
        <w:rPr>
          <w:rFonts w:cs="DanaFajr" w:hint="eastAsia"/>
          <w:sz w:val="28"/>
          <w:szCs w:val="28"/>
          <w:rtl/>
        </w:rPr>
        <w:t>الأعمال</w:t>
      </w:r>
      <w:r w:rsidRPr="006571AC">
        <w:rPr>
          <w:rFonts w:cs="DanaFajr" w:hint="cs"/>
          <w:sz w:val="28"/>
          <w:szCs w:val="28"/>
          <w:rtl/>
        </w:rPr>
        <w:t xml:space="preserve">: </w:t>
      </w:r>
      <w:r w:rsidRPr="006571AC">
        <w:rPr>
          <w:rFonts w:ascii="Mosawi" w:hAnsi="Mosawi" w:cs="Mosawi"/>
          <w:sz w:val="22"/>
          <w:szCs w:val="22"/>
          <w:rtl/>
        </w:rPr>
        <w:t>﴿</w:t>
      </w:r>
      <w:r w:rsidRPr="006571AC">
        <w:rPr>
          <w:rFonts w:cs="DanaFajr" w:hint="eastAsia"/>
          <w:b/>
          <w:bCs/>
          <w:sz w:val="28"/>
          <w:szCs w:val="28"/>
          <w:rtl/>
        </w:rPr>
        <w:t>يَعْلَمُونَ</w:t>
      </w:r>
      <w:r w:rsidRPr="006571AC">
        <w:rPr>
          <w:rFonts w:cs="DanaFajr"/>
          <w:b/>
          <w:bCs/>
          <w:sz w:val="28"/>
          <w:szCs w:val="28"/>
          <w:rtl/>
        </w:rPr>
        <w:t xml:space="preserve"> </w:t>
      </w:r>
      <w:r w:rsidRPr="006571AC">
        <w:rPr>
          <w:rFonts w:cs="DanaFajr" w:hint="eastAsia"/>
          <w:b/>
          <w:bCs/>
          <w:sz w:val="28"/>
          <w:szCs w:val="28"/>
          <w:rtl/>
        </w:rPr>
        <w:t>ظَاهِراً</w:t>
      </w:r>
      <w:r w:rsidRPr="006571AC">
        <w:rPr>
          <w:rFonts w:cs="DanaFajr"/>
          <w:b/>
          <w:bCs/>
          <w:sz w:val="28"/>
          <w:szCs w:val="28"/>
          <w:rtl/>
        </w:rPr>
        <w:t xml:space="preserve"> </w:t>
      </w:r>
      <w:r w:rsidRPr="006571AC">
        <w:rPr>
          <w:rFonts w:cs="DanaFajr" w:hint="eastAsia"/>
          <w:b/>
          <w:bCs/>
          <w:sz w:val="28"/>
          <w:szCs w:val="28"/>
          <w:rtl/>
        </w:rPr>
        <w:t>مِنْ</w:t>
      </w:r>
      <w:r w:rsidRPr="006571AC">
        <w:rPr>
          <w:rFonts w:cs="DanaFajr"/>
          <w:b/>
          <w:bCs/>
          <w:sz w:val="28"/>
          <w:szCs w:val="28"/>
          <w:rtl/>
        </w:rPr>
        <w:t xml:space="preserve"> </w:t>
      </w:r>
      <w:r w:rsidRPr="006571AC">
        <w:rPr>
          <w:rFonts w:cs="DanaFajr" w:hint="eastAsia"/>
          <w:b/>
          <w:bCs/>
          <w:sz w:val="28"/>
          <w:szCs w:val="28"/>
          <w:rtl/>
        </w:rPr>
        <w:t>الْحَيَاةِ</w:t>
      </w:r>
      <w:r w:rsidRPr="006571AC">
        <w:rPr>
          <w:rFonts w:cs="DanaFajr"/>
          <w:b/>
          <w:bCs/>
          <w:sz w:val="28"/>
          <w:szCs w:val="28"/>
          <w:rtl/>
        </w:rPr>
        <w:t xml:space="preserve"> </w:t>
      </w:r>
      <w:r w:rsidRPr="006571AC">
        <w:rPr>
          <w:rFonts w:cs="DanaFajr" w:hint="eastAsia"/>
          <w:b/>
          <w:bCs/>
          <w:sz w:val="28"/>
          <w:szCs w:val="28"/>
          <w:rtl/>
        </w:rPr>
        <w:t>الدُّنْيَا</w:t>
      </w:r>
      <w:r w:rsidRPr="006571AC">
        <w:rPr>
          <w:rFonts w:cs="DanaFajr"/>
          <w:b/>
          <w:bCs/>
          <w:sz w:val="28"/>
          <w:szCs w:val="28"/>
          <w:rtl/>
        </w:rPr>
        <w:t xml:space="preserve"> </w:t>
      </w:r>
      <w:r w:rsidRPr="006571AC">
        <w:rPr>
          <w:rFonts w:cs="DanaFajr" w:hint="eastAsia"/>
          <w:b/>
          <w:bCs/>
          <w:sz w:val="28"/>
          <w:szCs w:val="28"/>
          <w:rtl/>
        </w:rPr>
        <w:t>وَهُمْ</w:t>
      </w:r>
      <w:r w:rsidRPr="006571AC">
        <w:rPr>
          <w:rFonts w:cs="DanaFajr"/>
          <w:b/>
          <w:bCs/>
          <w:sz w:val="28"/>
          <w:szCs w:val="28"/>
          <w:rtl/>
        </w:rPr>
        <w:t xml:space="preserve"> </w:t>
      </w:r>
      <w:r w:rsidRPr="006571AC">
        <w:rPr>
          <w:rFonts w:cs="DanaFajr" w:hint="eastAsia"/>
          <w:b/>
          <w:bCs/>
          <w:sz w:val="28"/>
          <w:szCs w:val="28"/>
          <w:rtl/>
        </w:rPr>
        <w:t>عَنْ</w:t>
      </w:r>
      <w:r w:rsidRPr="006571AC">
        <w:rPr>
          <w:rFonts w:cs="DanaFajr"/>
          <w:b/>
          <w:bCs/>
          <w:sz w:val="28"/>
          <w:szCs w:val="28"/>
          <w:rtl/>
        </w:rPr>
        <w:t xml:space="preserve"> </w:t>
      </w:r>
      <w:r w:rsidRPr="006571AC">
        <w:rPr>
          <w:rFonts w:cs="DanaFajr" w:hint="eastAsia"/>
          <w:b/>
          <w:bCs/>
          <w:sz w:val="28"/>
          <w:szCs w:val="28"/>
          <w:rtl/>
        </w:rPr>
        <w:t>الآخِرَةِ</w:t>
      </w:r>
      <w:r w:rsidRPr="006571AC">
        <w:rPr>
          <w:rFonts w:cs="DanaFajr"/>
          <w:b/>
          <w:bCs/>
          <w:sz w:val="28"/>
          <w:szCs w:val="28"/>
          <w:rtl/>
        </w:rPr>
        <w:t xml:space="preserve"> </w:t>
      </w:r>
      <w:r w:rsidRPr="006571AC">
        <w:rPr>
          <w:rFonts w:cs="DanaFajr" w:hint="eastAsia"/>
          <w:b/>
          <w:bCs/>
          <w:sz w:val="28"/>
          <w:szCs w:val="28"/>
          <w:rtl/>
        </w:rPr>
        <w:t>هُمْ</w:t>
      </w:r>
      <w:r w:rsidRPr="006571AC">
        <w:rPr>
          <w:rFonts w:cs="DanaFajr"/>
          <w:b/>
          <w:bCs/>
          <w:sz w:val="28"/>
          <w:szCs w:val="28"/>
          <w:rtl/>
        </w:rPr>
        <w:t xml:space="preserve"> </w:t>
      </w:r>
      <w:r w:rsidRPr="006571AC">
        <w:rPr>
          <w:rFonts w:cs="DanaFajr" w:hint="eastAsia"/>
          <w:b/>
          <w:bCs/>
          <w:sz w:val="28"/>
          <w:szCs w:val="28"/>
          <w:rtl/>
        </w:rPr>
        <w:t>غَافِلُونَ</w:t>
      </w:r>
      <w:r w:rsidRPr="006571AC">
        <w:rPr>
          <w:rFonts w:ascii="Mosawi" w:hAnsi="Mosawi" w:cs="Mosawi"/>
          <w:sz w:val="22"/>
          <w:szCs w:val="22"/>
          <w:rtl/>
        </w:rPr>
        <w:t>﴾</w:t>
      </w:r>
      <w:r w:rsidRPr="006571AC">
        <w:rPr>
          <w:rFonts w:cs="DanaFajr" w:hint="cs"/>
          <w:sz w:val="28"/>
          <w:szCs w:val="28"/>
          <w:rtl/>
        </w:rPr>
        <w:t xml:space="preserve"> (</w:t>
      </w:r>
      <w:r w:rsidRPr="006571AC">
        <w:rPr>
          <w:rFonts w:cs="DanaFajr" w:hint="eastAsia"/>
          <w:sz w:val="28"/>
          <w:szCs w:val="28"/>
          <w:rtl/>
        </w:rPr>
        <w:t>الروم</w:t>
      </w:r>
      <w:r w:rsidRPr="006571AC">
        <w:rPr>
          <w:rFonts w:cs="DanaFajr" w:hint="cs"/>
          <w:sz w:val="28"/>
          <w:szCs w:val="28"/>
          <w:rtl/>
        </w:rPr>
        <w:t>: 7).</w:t>
      </w:r>
    </w:p>
    <w:p w:rsidR="00DB2356" w:rsidRPr="006571AC" w:rsidRDefault="00DB2356" w:rsidP="00166320">
      <w:pPr>
        <w:pStyle w:val="aa"/>
        <w:spacing w:line="306" w:lineRule="exact"/>
        <w:ind w:firstLine="0"/>
        <w:rPr>
          <w:rFonts w:cs="DanaFajr"/>
          <w:sz w:val="28"/>
          <w:szCs w:val="28"/>
          <w:rtl/>
        </w:rPr>
      </w:pPr>
      <w:r w:rsidRPr="006571AC">
        <w:rPr>
          <w:rFonts w:cs="DanaFajr" w:hint="cs"/>
          <w:sz w:val="28"/>
          <w:szCs w:val="28"/>
          <w:rtl/>
        </w:rPr>
        <w:t>وفي آياتٍ متعددة أخبر القرآن أن الله عزَّ وجلَّ ينسى مستحقّي العذاب في الدار الآخرة</w:t>
      </w:r>
      <w:r w:rsidRPr="006571AC">
        <w:rPr>
          <w:rFonts w:cs="DanaFajr" w:hint="eastAsia"/>
          <w:sz w:val="28"/>
          <w:szCs w:val="28"/>
          <w:rtl/>
        </w:rPr>
        <w:t>؛</w:t>
      </w:r>
      <w:r w:rsidRPr="006571AC">
        <w:rPr>
          <w:rFonts w:cs="DanaFajr" w:hint="cs"/>
          <w:sz w:val="28"/>
          <w:szCs w:val="28"/>
          <w:rtl/>
        </w:rPr>
        <w:t xml:space="preserve"> أي يتركهم ويهملهم؛ ليهلكوا بنتيجة أفعالهم وباطن أعمالهم: </w:t>
      </w:r>
      <w:r w:rsidRPr="006571AC">
        <w:rPr>
          <w:rFonts w:ascii="Mosawi" w:hAnsi="Mosawi" w:cs="Mosawi"/>
          <w:sz w:val="22"/>
          <w:szCs w:val="22"/>
          <w:rtl/>
        </w:rPr>
        <w:t>﴿</w:t>
      </w:r>
      <w:r w:rsidRPr="006571AC">
        <w:rPr>
          <w:rFonts w:cs="DanaFajr" w:hint="eastAsia"/>
          <w:b/>
          <w:bCs/>
          <w:sz w:val="28"/>
          <w:szCs w:val="28"/>
          <w:rtl/>
        </w:rPr>
        <w:t>فَالْيَوْمَ</w:t>
      </w:r>
      <w:r w:rsidRPr="006571AC">
        <w:rPr>
          <w:rFonts w:cs="DanaFajr"/>
          <w:b/>
          <w:bCs/>
          <w:sz w:val="28"/>
          <w:szCs w:val="28"/>
          <w:rtl/>
        </w:rPr>
        <w:t xml:space="preserve"> </w:t>
      </w:r>
      <w:r w:rsidRPr="006571AC">
        <w:rPr>
          <w:rFonts w:cs="DanaFajr" w:hint="eastAsia"/>
          <w:b/>
          <w:bCs/>
          <w:sz w:val="28"/>
          <w:szCs w:val="28"/>
          <w:rtl/>
        </w:rPr>
        <w:t>نَنْسَاهُمْ</w:t>
      </w:r>
      <w:r w:rsidRPr="006571AC">
        <w:rPr>
          <w:rFonts w:cs="DanaFajr"/>
          <w:b/>
          <w:bCs/>
          <w:sz w:val="28"/>
          <w:szCs w:val="28"/>
          <w:rtl/>
        </w:rPr>
        <w:t xml:space="preserve"> </w:t>
      </w:r>
      <w:r w:rsidRPr="006571AC">
        <w:rPr>
          <w:rFonts w:cs="DanaFajr" w:hint="eastAsia"/>
          <w:b/>
          <w:bCs/>
          <w:sz w:val="28"/>
          <w:szCs w:val="28"/>
          <w:rtl/>
        </w:rPr>
        <w:t>كَمَا</w:t>
      </w:r>
      <w:r w:rsidRPr="006571AC">
        <w:rPr>
          <w:rFonts w:cs="DanaFajr"/>
          <w:b/>
          <w:bCs/>
          <w:sz w:val="28"/>
          <w:szCs w:val="28"/>
          <w:rtl/>
        </w:rPr>
        <w:t xml:space="preserve"> </w:t>
      </w:r>
      <w:r w:rsidRPr="006571AC">
        <w:rPr>
          <w:rFonts w:cs="DanaFajr" w:hint="eastAsia"/>
          <w:b/>
          <w:bCs/>
          <w:sz w:val="28"/>
          <w:szCs w:val="28"/>
          <w:rtl/>
        </w:rPr>
        <w:t>نَسُوا</w:t>
      </w:r>
      <w:r w:rsidRPr="006571AC">
        <w:rPr>
          <w:rFonts w:cs="DanaFajr"/>
          <w:b/>
          <w:bCs/>
          <w:sz w:val="28"/>
          <w:szCs w:val="28"/>
          <w:rtl/>
        </w:rPr>
        <w:t xml:space="preserve"> </w:t>
      </w:r>
      <w:r w:rsidRPr="006571AC">
        <w:rPr>
          <w:rFonts w:cs="DanaFajr" w:hint="eastAsia"/>
          <w:b/>
          <w:bCs/>
          <w:sz w:val="28"/>
          <w:szCs w:val="28"/>
          <w:rtl/>
        </w:rPr>
        <w:t>لِقَاءَ</w:t>
      </w:r>
      <w:r w:rsidRPr="006571AC">
        <w:rPr>
          <w:rFonts w:cs="DanaFajr"/>
          <w:b/>
          <w:bCs/>
          <w:sz w:val="28"/>
          <w:szCs w:val="28"/>
          <w:rtl/>
        </w:rPr>
        <w:t xml:space="preserve"> </w:t>
      </w:r>
      <w:r w:rsidRPr="006571AC">
        <w:rPr>
          <w:rFonts w:cs="DanaFajr" w:hint="eastAsia"/>
          <w:b/>
          <w:bCs/>
          <w:sz w:val="28"/>
          <w:szCs w:val="28"/>
          <w:rtl/>
        </w:rPr>
        <w:t>يَوْمِهِمْ</w:t>
      </w:r>
      <w:r w:rsidRPr="006571AC">
        <w:rPr>
          <w:rFonts w:cs="DanaFajr"/>
          <w:b/>
          <w:bCs/>
          <w:sz w:val="28"/>
          <w:szCs w:val="28"/>
          <w:rtl/>
        </w:rPr>
        <w:t xml:space="preserve"> </w:t>
      </w:r>
      <w:r w:rsidRPr="006571AC">
        <w:rPr>
          <w:rFonts w:cs="DanaFajr" w:hint="eastAsia"/>
          <w:b/>
          <w:bCs/>
          <w:sz w:val="28"/>
          <w:szCs w:val="28"/>
          <w:rtl/>
        </w:rPr>
        <w:t>هَذَا</w:t>
      </w:r>
      <w:r w:rsidRPr="006571AC">
        <w:rPr>
          <w:rFonts w:cs="DanaFajr"/>
          <w:b/>
          <w:bCs/>
          <w:sz w:val="28"/>
          <w:szCs w:val="28"/>
          <w:rtl/>
        </w:rPr>
        <w:t xml:space="preserve"> </w:t>
      </w:r>
      <w:r w:rsidRPr="006571AC">
        <w:rPr>
          <w:rFonts w:cs="DanaFajr" w:hint="eastAsia"/>
          <w:b/>
          <w:bCs/>
          <w:sz w:val="28"/>
          <w:szCs w:val="28"/>
          <w:rtl/>
        </w:rPr>
        <w:t>وَمَا</w:t>
      </w:r>
      <w:r w:rsidRPr="006571AC">
        <w:rPr>
          <w:rFonts w:cs="DanaFajr"/>
          <w:b/>
          <w:bCs/>
          <w:sz w:val="28"/>
          <w:szCs w:val="28"/>
          <w:rtl/>
        </w:rPr>
        <w:t xml:space="preserve"> </w:t>
      </w:r>
      <w:r w:rsidRPr="006571AC">
        <w:rPr>
          <w:rFonts w:cs="DanaFajr" w:hint="eastAsia"/>
          <w:b/>
          <w:bCs/>
          <w:sz w:val="28"/>
          <w:szCs w:val="28"/>
          <w:rtl/>
        </w:rPr>
        <w:t>كَانُوا</w:t>
      </w:r>
      <w:r w:rsidRPr="006571AC">
        <w:rPr>
          <w:rFonts w:cs="DanaFajr"/>
          <w:b/>
          <w:bCs/>
          <w:sz w:val="28"/>
          <w:szCs w:val="28"/>
          <w:rtl/>
        </w:rPr>
        <w:t xml:space="preserve"> </w:t>
      </w:r>
      <w:r w:rsidRPr="006571AC">
        <w:rPr>
          <w:rFonts w:cs="DanaFajr" w:hint="eastAsia"/>
          <w:b/>
          <w:bCs/>
          <w:sz w:val="28"/>
          <w:szCs w:val="28"/>
          <w:rtl/>
        </w:rPr>
        <w:t>بِآيَاتِنَا</w:t>
      </w:r>
      <w:r w:rsidRPr="006571AC">
        <w:rPr>
          <w:rFonts w:cs="DanaFajr"/>
          <w:b/>
          <w:bCs/>
          <w:sz w:val="28"/>
          <w:szCs w:val="28"/>
          <w:rtl/>
        </w:rPr>
        <w:t xml:space="preserve"> </w:t>
      </w:r>
      <w:r w:rsidRPr="006571AC">
        <w:rPr>
          <w:rFonts w:cs="DanaFajr" w:hint="eastAsia"/>
          <w:b/>
          <w:bCs/>
          <w:sz w:val="28"/>
          <w:szCs w:val="28"/>
          <w:rtl/>
        </w:rPr>
        <w:t>يَجْحَدُونَ</w:t>
      </w:r>
      <w:r w:rsidRPr="006571AC">
        <w:rPr>
          <w:rFonts w:ascii="Mosawi" w:hAnsi="Mosawi" w:cs="Mosawi"/>
          <w:sz w:val="22"/>
          <w:szCs w:val="22"/>
          <w:rtl/>
        </w:rPr>
        <w:t>﴾</w:t>
      </w:r>
      <w:r w:rsidRPr="006571AC">
        <w:rPr>
          <w:rFonts w:cs="DanaFajr" w:hint="cs"/>
          <w:sz w:val="28"/>
          <w:szCs w:val="28"/>
          <w:rtl/>
          <w:lang w:bidi="ar-LB"/>
        </w:rPr>
        <w:t xml:space="preserve"> (</w:t>
      </w:r>
      <w:r w:rsidRPr="006571AC">
        <w:rPr>
          <w:rFonts w:cs="DanaFajr" w:hint="cs"/>
          <w:sz w:val="28"/>
          <w:szCs w:val="28"/>
          <w:rtl/>
        </w:rPr>
        <w:t>الأعراف: 51)</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نَسُوا</w:t>
      </w:r>
      <w:r w:rsidRPr="006571AC">
        <w:rPr>
          <w:rFonts w:cs="DanaFajr"/>
          <w:b/>
          <w:bCs/>
          <w:sz w:val="28"/>
          <w:szCs w:val="28"/>
          <w:rtl/>
          <w:lang w:bidi="ar-LB"/>
        </w:rPr>
        <w:t xml:space="preserve"> </w:t>
      </w:r>
      <w:r w:rsidRPr="006571AC">
        <w:rPr>
          <w:rFonts w:cs="DanaFajr" w:hint="eastAsia"/>
          <w:b/>
          <w:bCs/>
          <w:sz w:val="28"/>
          <w:szCs w:val="28"/>
          <w:rtl/>
          <w:lang w:bidi="ar-LB"/>
        </w:rPr>
        <w:t>اللهَ</w:t>
      </w:r>
      <w:r w:rsidRPr="006571AC">
        <w:rPr>
          <w:rFonts w:cs="DanaFajr"/>
          <w:b/>
          <w:bCs/>
          <w:sz w:val="28"/>
          <w:szCs w:val="28"/>
          <w:rtl/>
          <w:lang w:bidi="ar-LB"/>
        </w:rPr>
        <w:t xml:space="preserve"> </w:t>
      </w:r>
      <w:r w:rsidRPr="006571AC">
        <w:rPr>
          <w:rFonts w:cs="DanaFajr" w:hint="eastAsia"/>
          <w:b/>
          <w:bCs/>
          <w:sz w:val="28"/>
          <w:szCs w:val="28"/>
          <w:rtl/>
          <w:lang w:bidi="ar-LB"/>
        </w:rPr>
        <w:t>فَنَسِيَهُمْ</w:t>
      </w:r>
      <w:r w:rsidRPr="006571AC">
        <w:rPr>
          <w:rFonts w:ascii="Mosawi" w:hAnsi="Mosawi" w:cs="Mosawi"/>
          <w:sz w:val="22"/>
          <w:szCs w:val="22"/>
          <w:rtl/>
        </w:rPr>
        <w:t>﴾</w:t>
      </w:r>
      <w:r w:rsidRPr="006571AC">
        <w:rPr>
          <w:rFonts w:cs="DanaFajr" w:hint="cs"/>
          <w:sz w:val="28"/>
          <w:szCs w:val="28"/>
          <w:rtl/>
        </w:rPr>
        <w:t xml:space="preserve"> (</w:t>
      </w:r>
      <w:r w:rsidRPr="006571AC">
        <w:rPr>
          <w:rFonts w:cs="DanaFajr" w:hint="cs"/>
          <w:sz w:val="28"/>
          <w:szCs w:val="28"/>
          <w:rtl/>
          <w:lang w:bidi="ar-LB"/>
        </w:rPr>
        <w:t>التوبة: 67)</w:t>
      </w:r>
      <w:r w:rsidRPr="006571AC">
        <w:rPr>
          <w:rFonts w:cs="DanaFajr" w:hint="eastAsia"/>
          <w:sz w:val="28"/>
          <w:szCs w:val="28"/>
          <w:rtl/>
          <w:lang w:bidi="ar-LB"/>
        </w:rPr>
        <w:t>؛</w:t>
      </w:r>
      <w:r w:rsidRPr="006571AC">
        <w:rPr>
          <w:rFonts w:ascii="Mosawi" w:hAnsi="Mosawi" w:cs="Mosawi" w:hint="cs"/>
          <w:sz w:val="22"/>
          <w:szCs w:val="22"/>
          <w:rtl/>
        </w:rPr>
        <w:t xml:space="preserve"> </w:t>
      </w:r>
      <w:r w:rsidRPr="006571AC">
        <w:rPr>
          <w:rFonts w:ascii="Mosawi" w:hAnsi="Mosawi" w:cs="Mosawi"/>
          <w:sz w:val="22"/>
          <w:szCs w:val="22"/>
          <w:rtl/>
        </w:rPr>
        <w:t>﴿</w:t>
      </w:r>
      <w:r w:rsidRPr="006571AC">
        <w:rPr>
          <w:rFonts w:cs="DanaFajr" w:hint="eastAsia"/>
          <w:b/>
          <w:bCs/>
          <w:sz w:val="28"/>
          <w:szCs w:val="28"/>
          <w:rtl/>
          <w:lang w:bidi="ar-LB"/>
        </w:rPr>
        <w:t>قَالَ</w:t>
      </w:r>
      <w:r w:rsidRPr="006571AC">
        <w:rPr>
          <w:rFonts w:cs="DanaFajr"/>
          <w:b/>
          <w:bCs/>
          <w:sz w:val="28"/>
          <w:szCs w:val="28"/>
          <w:rtl/>
          <w:lang w:bidi="ar-LB"/>
        </w:rPr>
        <w:t xml:space="preserve"> </w:t>
      </w:r>
      <w:r w:rsidRPr="006571AC">
        <w:rPr>
          <w:rFonts w:cs="DanaFajr" w:hint="eastAsia"/>
          <w:b/>
          <w:bCs/>
          <w:sz w:val="28"/>
          <w:szCs w:val="28"/>
          <w:rtl/>
          <w:lang w:bidi="ar-LB"/>
        </w:rPr>
        <w:t>كَذَلِكَ</w:t>
      </w:r>
      <w:r w:rsidRPr="006571AC">
        <w:rPr>
          <w:rFonts w:cs="DanaFajr"/>
          <w:b/>
          <w:bCs/>
          <w:sz w:val="28"/>
          <w:szCs w:val="28"/>
          <w:rtl/>
          <w:lang w:bidi="ar-LB"/>
        </w:rPr>
        <w:t xml:space="preserve"> </w:t>
      </w:r>
      <w:r w:rsidRPr="006571AC">
        <w:rPr>
          <w:rFonts w:cs="DanaFajr" w:hint="eastAsia"/>
          <w:b/>
          <w:bCs/>
          <w:sz w:val="28"/>
          <w:szCs w:val="28"/>
          <w:rtl/>
          <w:lang w:bidi="ar-LB"/>
        </w:rPr>
        <w:t>أَتَتْكَ</w:t>
      </w:r>
      <w:r w:rsidRPr="006571AC">
        <w:rPr>
          <w:rFonts w:cs="DanaFajr"/>
          <w:b/>
          <w:bCs/>
          <w:sz w:val="28"/>
          <w:szCs w:val="28"/>
          <w:rtl/>
          <w:lang w:bidi="ar-LB"/>
        </w:rPr>
        <w:t xml:space="preserve"> </w:t>
      </w:r>
      <w:r w:rsidRPr="006571AC">
        <w:rPr>
          <w:rFonts w:cs="DanaFajr" w:hint="eastAsia"/>
          <w:b/>
          <w:bCs/>
          <w:sz w:val="28"/>
          <w:szCs w:val="28"/>
          <w:rtl/>
          <w:lang w:bidi="ar-LB"/>
        </w:rPr>
        <w:t>آيَاتُنَا</w:t>
      </w:r>
      <w:r w:rsidRPr="006571AC">
        <w:rPr>
          <w:rFonts w:cs="DanaFajr"/>
          <w:b/>
          <w:bCs/>
          <w:sz w:val="28"/>
          <w:szCs w:val="28"/>
          <w:rtl/>
          <w:lang w:bidi="ar-LB"/>
        </w:rPr>
        <w:t xml:space="preserve"> </w:t>
      </w:r>
      <w:r w:rsidRPr="006571AC">
        <w:rPr>
          <w:rFonts w:cs="DanaFajr" w:hint="eastAsia"/>
          <w:b/>
          <w:bCs/>
          <w:sz w:val="28"/>
          <w:szCs w:val="28"/>
          <w:rtl/>
          <w:lang w:bidi="ar-LB"/>
        </w:rPr>
        <w:t>فَنَسِيتَهَا</w:t>
      </w:r>
      <w:r w:rsidRPr="006571AC">
        <w:rPr>
          <w:rFonts w:cs="DanaFajr" w:hint="cs"/>
          <w:b/>
          <w:bCs/>
          <w:sz w:val="28"/>
          <w:szCs w:val="28"/>
          <w:rtl/>
          <w:lang w:bidi="ar-LB"/>
        </w:rPr>
        <w:t xml:space="preserve"> </w:t>
      </w:r>
      <w:r w:rsidRPr="006571AC">
        <w:rPr>
          <w:rFonts w:cs="DanaFajr" w:hint="eastAsia"/>
          <w:b/>
          <w:bCs/>
          <w:sz w:val="28"/>
          <w:szCs w:val="28"/>
          <w:rtl/>
          <w:lang w:bidi="ar-LB"/>
        </w:rPr>
        <w:t>وَكَذَلِكَ</w:t>
      </w:r>
      <w:r w:rsidRPr="006571AC">
        <w:rPr>
          <w:rFonts w:cs="DanaFajr"/>
          <w:b/>
          <w:bCs/>
          <w:sz w:val="28"/>
          <w:szCs w:val="28"/>
          <w:rtl/>
          <w:lang w:bidi="ar-LB"/>
        </w:rPr>
        <w:t xml:space="preserve"> </w:t>
      </w:r>
      <w:r w:rsidRPr="006571AC">
        <w:rPr>
          <w:rFonts w:cs="DanaFajr" w:hint="eastAsia"/>
          <w:b/>
          <w:bCs/>
          <w:sz w:val="28"/>
          <w:szCs w:val="28"/>
          <w:rtl/>
          <w:lang w:bidi="ar-LB"/>
        </w:rPr>
        <w:t>الْيَوْمَ</w:t>
      </w:r>
      <w:r w:rsidRPr="006571AC">
        <w:rPr>
          <w:rFonts w:cs="DanaFajr"/>
          <w:b/>
          <w:bCs/>
          <w:sz w:val="28"/>
          <w:szCs w:val="28"/>
          <w:rtl/>
          <w:lang w:bidi="ar-LB"/>
        </w:rPr>
        <w:t xml:space="preserve"> </w:t>
      </w:r>
      <w:r w:rsidRPr="006571AC">
        <w:rPr>
          <w:rFonts w:cs="DanaFajr" w:hint="eastAsia"/>
          <w:b/>
          <w:bCs/>
          <w:sz w:val="28"/>
          <w:szCs w:val="28"/>
          <w:rtl/>
          <w:lang w:bidi="ar-LB"/>
        </w:rPr>
        <w:t>تُنْسَى</w:t>
      </w:r>
      <w:r w:rsidRPr="006571AC">
        <w:rPr>
          <w:rFonts w:ascii="Mosawi" w:hAnsi="Mosawi" w:cs="Mosawi"/>
          <w:sz w:val="22"/>
          <w:szCs w:val="22"/>
          <w:rtl/>
        </w:rPr>
        <w:t>﴾</w:t>
      </w:r>
      <w:r w:rsidRPr="006571AC">
        <w:rPr>
          <w:rFonts w:cs="DanaFajr" w:hint="cs"/>
          <w:sz w:val="28"/>
          <w:szCs w:val="28"/>
          <w:rtl/>
          <w:lang w:bidi="ar-LB"/>
        </w:rPr>
        <w:t xml:space="preserve"> (طه: 126)</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فَذُوقُوا</w:t>
      </w:r>
      <w:r w:rsidRPr="006571AC">
        <w:rPr>
          <w:rFonts w:cs="DanaFajr"/>
          <w:b/>
          <w:bCs/>
          <w:sz w:val="28"/>
          <w:szCs w:val="28"/>
          <w:rtl/>
          <w:lang w:bidi="ar-LB"/>
        </w:rPr>
        <w:t xml:space="preserve"> </w:t>
      </w:r>
      <w:r w:rsidRPr="006571AC">
        <w:rPr>
          <w:rFonts w:cs="DanaFajr" w:hint="eastAsia"/>
          <w:b/>
          <w:bCs/>
          <w:sz w:val="28"/>
          <w:szCs w:val="28"/>
          <w:rtl/>
          <w:lang w:bidi="ar-LB"/>
        </w:rPr>
        <w:t>بِمَا</w:t>
      </w:r>
      <w:r w:rsidRPr="006571AC">
        <w:rPr>
          <w:rFonts w:cs="DanaFajr"/>
          <w:b/>
          <w:bCs/>
          <w:sz w:val="28"/>
          <w:szCs w:val="28"/>
          <w:rtl/>
          <w:lang w:bidi="ar-LB"/>
        </w:rPr>
        <w:t xml:space="preserve"> </w:t>
      </w:r>
      <w:r w:rsidRPr="006571AC">
        <w:rPr>
          <w:rFonts w:cs="DanaFajr" w:hint="eastAsia"/>
          <w:b/>
          <w:bCs/>
          <w:sz w:val="28"/>
          <w:szCs w:val="28"/>
          <w:rtl/>
          <w:lang w:bidi="ar-LB"/>
        </w:rPr>
        <w:t>نَسِيتُمْ</w:t>
      </w:r>
      <w:r w:rsidRPr="006571AC">
        <w:rPr>
          <w:rFonts w:cs="DanaFajr"/>
          <w:b/>
          <w:bCs/>
          <w:sz w:val="28"/>
          <w:szCs w:val="28"/>
          <w:rtl/>
          <w:lang w:bidi="ar-LB"/>
        </w:rPr>
        <w:t xml:space="preserve"> </w:t>
      </w:r>
      <w:r w:rsidRPr="006571AC">
        <w:rPr>
          <w:rFonts w:cs="DanaFajr" w:hint="eastAsia"/>
          <w:b/>
          <w:bCs/>
          <w:sz w:val="28"/>
          <w:szCs w:val="28"/>
          <w:rtl/>
          <w:lang w:bidi="ar-LB"/>
        </w:rPr>
        <w:t>لِقَاءَ</w:t>
      </w:r>
      <w:r w:rsidRPr="006571AC">
        <w:rPr>
          <w:rFonts w:cs="DanaFajr"/>
          <w:b/>
          <w:bCs/>
          <w:sz w:val="28"/>
          <w:szCs w:val="28"/>
          <w:rtl/>
          <w:lang w:bidi="ar-LB"/>
        </w:rPr>
        <w:t xml:space="preserve"> </w:t>
      </w:r>
      <w:r w:rsidRPr="006571AC">
        <w:rPr>
          <w:rFonts w:cs="DanaFajr" w:hint="eastAsia"/>
          <w:b/>
          <w:bCs/>
          <w:sz w:val="28"/>
          <w:szCs w:val="28"/>
          <w:rtl/>
          <w:lang w:bidi="ar-LB"/>
        </w:rPr>
        <w:t>يَوْمِكُمْ</w:t>
      </w:r>
      <w:r w:rsidRPr="006571AC">
        <w:rPr>
          <w:rFonts w:cs="DanaFajr"/>
          <w:b/>
          <w:bCs/>
          <w:sz w:val="28"/>
          <w:szCs w:val="28"/>
          <w:rtl/>
          <w:lang w:bidi="ar-LB"/>
        </w:rPr>
        <w:t xml:space="preserve"> </w:t>
      </w:r>
      <w:r w:rsidRPr="006571AC">
        <w:rPr>
          <w:rFonts w:cs="DanaFajr" w:hint="eastAsia"/>
          <w:b/>
          <w:bCs/>
          <w:sz w:val="28"/>
          <w:szCs w:val="28"/>
          <w:rtl/>
          <w:lang w:bidi="ar-LB"/>
        </w:rPr>
        <w:t>هَذَا</w:t>
      </w:r>
      <w:r w:rsidRPr="006571AC">
        <w:rPr>
          <w:rFonts w:cs="DanaFajr"/>
          <w:b/>
          <w:bCs/>
          <w:sz w:val="28"/>
          <w:szCs w:val="28"/>
          <w:rtl/>
          <w:lang w:bidi="ar-LB"/>
        </w:rPr>
        <w:t xml:space="preserve"> </w:t>
      </w:r>
      <w:r w:rsidRPr="006571AC">
        <w:rPr>
          <w:rFonts w:cs="DanaFajr" w:hint="eastAsia"/>
          <w:b/>
          <w:bCs/>
          <w:sz w:val="28"/>
          <w:szCs w:val="28"/>
          <w:rtl/>
          <w:lang w:bidi="ar-LB"/>
        </w:rPr>
        <w:t>إِنَّا</w:t>
      </w:r>
      <w:r w:rsidRPr="006571AC">
        <w:rPr>
          <w:rFonts w:cs="DanaFajr"/>
          <w:b/>
          <w:bCs/>
          <w:sz w:val="28"/>
          <w:szCs w:val="28"/>
          <w:rtl/>
          <w:lang w:bidi="ar-LB"/>
        </w:rPr>
        <w:t xml:space="preserve"> </w:t>
      </w:r>
      <w:r w:rsidRPr="006571AC">
        <w:rPr>
          <w:rFonts w:cs="DanaFajr" w:hint="eastAsia"/>
          <w:b/>
          <w:bCs/>
          <w:sz w:val="28"/>
          <w:szCs w:val="28"/>
          <w:rtl/>
          <w:lang w:bidi="ar-LB"/>
        </w:rPr>
        <w:t>نَسِينَاكُمْ</w:t>
      </w:r>
      <w:r w:rsidRPr="006571AC">
        <w:rPr>
          <w:rFonts w:ascii="Mosawi" w:hAnsi="Mosawi" w:cs="Mosawi"/>
          <w:sz w:val="22"/>
          <w:szCs w:val="22"/>
          <w:rtl/>
        </w:rPr>
        <w:t>﴾</w:t>
      </w:r>
      <w:r w:rsidRPr="006571AC">
        <w:rPr>
          <w:rFonts w:cs="DanaFajr" w:hint="cs"/>
          <w:sz w:val="28"/>
          <w:szCs w:val="28"/>
          <w:rtl/>
          <w:lang w:bidi="ar-LB"/>
        </w:rPr>
        <w:t xml:space="preserve"> (السجدة: 14)</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الْيَوْمَ</w:t>
      </w:r>
      <w:r w:rsidRPr="006571AC">
        <w:rPr>
          <w:rFonts w:cs="DanaFajr"/>
          <w:b/>
          <w:bCs/>
          <w:sz w:val="28"/>
          <w:szCs w:val="28"/>
          <w:rtl/>
          <w:lang w:bidi="ar-LB"/>
        </w:rPr>
        <w:t xml:space="preserve"> </w:t>
      </w:r>
      <w:r w:rsidRPr="006571AC">
        <w:rPr>
          <w:rFonts w:cs="DanaFajr" w:hint="eastAsia"/>
          <w:b/>
          <w:bCs/>
          <w:sz w:val="28"/>
          <w:szCs w:val="28"/>
          <w:rtl/>
          <w:lang w:bidi="ar-LB"/>
        </w:rPr>
        <w:t>نَنْسَاكُمْ</w:t>
      </w:r>
      <w:r w:rsidRPr="006571AC">
        <w:rPr>
          <w:rFonts w:cs="DanaFajr"/>
          <w:b/>
          <w:bCs/>
          <w:sz w:val="28"/>
          <w:szCs w:val="28"/>
          <w:rtl/>
          <w:lang w:bidi="ar-LB"/>
        </w:rPr>
        <w:t xml:space="preserve"> </w:t>
      </w:r>
      <w:r w:rsidRPr="006571AC">
        <w:rPr>
          <w:rFonts w:cs="DanaFajr" w:hint="eastAsia"/>
          <w:b/>
          <w:bCs/>
          <w:sz w:val="28"/>
          <w:szCs w:val="28"/>
          <w:rtl/>
          <w:lang w:bidi="ar-LB"/>
        </w:rPr>
        <w:t>كَمَا</w:t>
      </w:r>
      <w:r w:rsidRPr="006571AC">
        <w:rPr>
          <w:rFonts w:cs="DanaFajr"/>
          <w:b/>
          <w:bCs/>
          <w:sz w:val="28"/>
          <w:szCs w:val="28"/>
          <w:rtl/>
          <w:lang w:bidi="ar-LB"/>
        </w:rPr>
        <w:t xml:space="preserve"> </w:t>
      </w:r>
      <w:r w:rsidRPr="006571AC">
        <w:rPr>
          <w:rFonts w:cs="DanaFajr" w:hint="eastAsia"/>
          <w:b/>
          <w:bCs/>
          <w:sz w:val="28"/>
          <w:szCs w:val="28"/>
          <w:rtl/>
          <w:lang w:bidi="ar-LB"/>
        </w:rPr>
        <w:t>نَسِيتُمْ</w:t>
      </w:r>
      <w:r w:rsidRPr="006571AC">
        <w:rPr>
          <w:rFonts w:cs="DanaFajr"/>
          <w:b/>
          <w:bCs/>
          <w:sz w:val="28"/>
          <w:szCs w:val="28"/>
          <w:rtl/>
          <w:lang w:bidi="ar-LB"/>
        </w:rPr>
        <w:t xml:space="preserve"> </w:t>
      </w:r>
      <w:r w:rsidRPr="006571AC">
        <w:rPr>
          <w:rFonts w:cs="DanaFajr" w:hint="eastAsia"/>
          <w:b/>
          <w:bCs/>
          <w:sz w:val="28"/>
          <w:szCs w:val="28"/>
          <w:rtl/>
          <w:lang w:bidi="ar-LB"/>
        </w:rPr>
        <w:t>لِقَاءَ</w:t>
      </w:r>
      <w:r w:rsidRPr="006571AC">
        <w:rPr>
          <w:rFonts w:cs="DanaFajr"/>
          <w:b/>
          <w:bCs/>
          <w:sz w:val="28"/>
          <w:szCs w:val="28"/>
          <w:rtl/>
          <w:lang w:bidi="ar-LB"/>
        </w:rPr>
        <w:t xml:space="preserve"> </w:t>
      </w:r>
      <w:r w:rsidRPr="006571AC">
        <w:rPr>
          <w:rFonts w:cs="DanaFajr" w:hint="eastAsia"/>
          <w:b/>
          <w:bCs/>
          <w:sz w:val="28"/>
          <w:szCs w:val="28"/>
          <w:rtl/>
          <w:lang w:bidi="ar-LB"/>
        </w:rPr>
        <w:t>يَوْمِكُمْ</w:t>
      </w:r>
      <w:r w:rsidRPr="006571AC">
        <w:rPr>
          <w:rFonts w:cs="DanaFajr"/>
          <w:b/>
          <w:bCs/>
          <w:sz w:val="28"/>
          <w:szCs w:val="28"/>
          <w:rtl/>
          <w:lang w:bidi="ar-LB"/>
        </w:rPr>
        <w:t xml:space="preserve"> </w:t>
      </w:r>
      <w:r w:rsidRPr="006571AC">
        <w:rPr>
          <w:rFonts w:cs="DanaFajr" w:hint="eastAsia"/>
          <w:b/>
          <w:bCs/>
          <w:sz w:val="28"/>
          <w:szCs w:val="28"/>
          <w:rtl/>
          <w:lang w:bidi="ar-LB"/>
        </w:rPr>
        <w:t>هَذَا</w:t>
      </w:r>
      <w:r w:rsidRPr="006571AC">
        <w:rPr>
          <w:rFonts w:ascii="Mosawi" w:hAnsi="Mosawi" w:cs="Mosawi"/>
          <w:sz w:val="22"/>
          <w:szCs w:val="22"/>
          <w:rtl/>
        </w:rPr>
        <w:t>﴾</w:t>
      </w:r>
      <w:r w:rsidRPr="006571AC">
        <w:rPr>
          <w:rFonts w:cs="DanaFajr" w:hint="cs"/>
          <w:sz w:val="28"/>
          <w:szCs w:val="28"/>
          <w:rtl/>
          <w:lang w:bidi="ar-LB"/>
        </w:rPr>
        <w:t xml:space="preserve"> (الجاثية: 34).</w:t>
      </w:r>
    </w:p>
  </w:endnote>
  <w:endnote w:id="20">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حسين علي منتظري، نظام الحكم في الإسلام: 26، نشر سرايي، قم، ط2، </w:t>
      </w:r>
      <w:r w:rsidRPr="006571AC">
        <w:rPr>
          <w:rFonts w:cs="DanaFajr"/>
          <w:sz w:val="28"/>
          <w:szCs w:val="28"/>
          <w:rtl/>
        </w:rPr>
        <w:t>141</w:t>
      </w:r>
      <w:r w:rsidRPr="006571AC">
        <w:rPr>
          <w:rFonts w:cs="DanaFajr" w:hint="cs"/>
          <w:sz w:val="28"/>
          <w:szCs w:val="28"/>
          <w:rtl/>
        </w:rPr>
        <w:t>7</w:t>
      </w:r>
      <w:r w:rsidRPr="006571AC">
        <w:rPr>
          <w:rFonts w:cs="DanaFajr"/>
          <w:sz w:val="28"/>
          <w:szCs w:val="28"/>
          <w:rtl/>
        </w:rPr>
        <w:t>هـ</w:t>
      </w:r>
      <w:r w:rsidRPr="006571AC">
        <w:rPr>
          <w:rFonts w:cs="DanaFajr" w:hint="cs"/>
          <w:sz w:val="28"/>
          <w:szCs w:val="28"/>
          <w:rtl/>
        </w:rPr>
        <w:t xml:space="preserve">: </w:t>
      </w:r>
      <w:r w:rsidRPr="006571AC">
        <w:rPr>
          <w:sz w:val="22"/>
          <w:szCs w:val="22"/>
          <w:rtl/>
        </w:rPr>
        <w:t>«</w:t>
      </w:r>
      <w:r w:rsidRPr="006571AC">
        <w:rPr>
          <w:rFonts w:cs="DanaFajr" w:hint="cs"/>
          <w:sz w:val="28"/>
          <w:szCs w:val="28"/>
          <w:rtl/>
        </w:rPr>
        <w:t>إنّ الإنسان مدنيٌّ بالطبع، ولا يتيسَّر له إدامة حياته إلاَّ في ظلّ التعاون والاجتماع، ولازم الاجتماع غالباً التضادّ في الأهواء والتضارب والصراع، فيحتاج لا محالة إلى حاكمٍ يدبِّر الأمور ويرفع المظالم، فتجب إطاعته بحكم العقل، لا سيَّما إذا عاهدوه على ذلك؛ إذ الفطرة حاكمة بلزوم الوفاء بالعهد</w:t>
      </w:r>
      <w:r w:rsidRPr="006571AC">
        <w:rPr>
          <w:sz w:val="22"/>
          <w:szCs w:val="22"/>
          <w:rtl/>
        </w:rPr>
        <w:t>»</w:t>
      </w:r>
      <w:r w:rsidRPr="006571AC">
        <w:rPr>
          <w:rFonts w:cs="DanaFajr"/>
          <w:sz w:val="28"/>
          <w:szCs w:val="28"/>
          <w:rtl/>
        </w:rPr>
        <w:t>.</w:t>
      </w:r>
    </w:p>
  </w:endnote>
  <w:endnote w:id="21">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الشهيد الأول محمد بن مكي، القواعد والفوائد 1: 356، تصحيح: السيد عبد الهادي الحكيم، المفيد، قم، ط1، 1400هـ</w:t>
      </w:r>
      <w:r w:rsidRPr="006571AC">
        <w:rPr>
          <w:rFonts w:cs="DanaFajr" w:hint="eastAsia"/>
          <w:sz w:val="28"/>
          <w:szCs w:val="28"/>
          <w:rtl/>
          <w:lang w:bidi="ar-LB"/>
        </w:rPr>
        <w:t>؛</w:t>
      </w:r>
      <w:r w:rsidRPr="006571AC">
        <w:rPr>
          <w:rFonts w:cs="DanaFajr" w:hint="cs"/>
          <w:sz w:val="28"/>
          <w:szCs w:val="28"/>
          <w:rtl/>
          <w:lang w:bidi="ar-LB"/>
        </w:rPr>
        <w:t xml:space="preserve"> المقداد بن عبد الله السيوري الحلّي، نضد القواعد الفقهية على مذهب الإمامية: 414، منشورات مكتبة المرعشي النجفي، قم، ط1، 1403</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المولى أحمد بن محمد مهدي النراقي، القواعد الفقهية (جامعة الأصول): 276</w:t>
      </w:r>
      <w:r w:rsidRPr="006571AC">
        <w:rPr>
          <w:rFonts w:cs="DanaFajr" w:hint="eastAsia"/>
          <w:sz w:val="28"/>
          <w:szCs w:val="28"/>
          <w:rtl/>
          <w:lang w:bidi="ar-LB"/>
        </w:rPr>
        <w:t>؛</w:t>
      </w:r>
      <w:r w:rsidRPr="006571AC">
        <w:rPr>
          <w:rFonts w:cs="DanaFajr" w:hint="cs"/>
          <w:sz w:val="28"/>
          <w:szCs w:val="28"/>
          <w:rtl/>
          <w:lang w:bidi="ar-LB"/>
        </w:rPr>
        <w:t xml:space="preserve"> الملا حبيب الله الشريف الكاشاني، تسهيل المسالك إلى المدارك: 28، المطبعة العلمية، قم، ط1، 1404</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السيد محمد جعفر المروّج الجزائري، هدى الطالب في شرح المكاسب 2: 508، مؤسسة دار الكتاب، قم، ط1، 1416</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السيد محمد الحسيني الشيرازي، الفقه، القواعد الفقهية: 192، مؤسّسة الإمام الرضا</w:t>
      </w:r>
      <w:r w:rsidRPr="006571AC">
        <w:rPr>
          <w:rFonts w:ascii="Mosawi" w:hAnsi="Mosawi" w:cs="Mosawi"/>
          <w:rtl/>
        </w:rPr>
        <w:t>×</w:t>
      </w:r>
      <w:r w:rsidRPr="006571AC">
        <w:rPr>
          <w:rFonts w:cs="DanaFajr" w:hint="cs"/>
          <w:sz w:val="28"/>
          <w:szCs w:val="28"/>
          <w:rtl/>
          <w:lang w:bidi="ar-LB"/>
        </w:rPr>
        <w:t>، بيروت، ط1، 1413</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السيد محمد الحسيني الشيرازي، الفقه، السلم والسلام: 91، دار العلوم للتحقيق والطباعة والنشر والتوزيع، بيروت، ط1، 1426</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حسين علي منتظري، حكومت ديني وحقوق إنسان (الحكومة الدينية وحقوق الإنسان)،: 106، أرغوان دانش، قم، ط1، 1429</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السيد محمد حسين الحسيني الطهراني، ولاية الفقيه في حكومة الإسلام 4: 180، دار المحجة البيضاء، بيروت، ط1، 1418</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محمد اليزدي، فقه القرآن 2: 218، مؤسّسة اسماعيليان، قم، ط1، 1415</w:t>
      </w:r>
      <w:r w:rsidRPr="006571AC">
        <w:rPr>
          <w:rFonts w:cs="DanaFajr" w:hint="cs"/>
          <w:sz w:val="28"/>
          <w:szCs w:val="28"/>
          <w:rtl/>
        </w:rPr>
        <w:t>هـ.</w:t>
      </w:r>
    </w:p>
  </w:endnote>
  <w:endnote w:id="22">
    <w:p w:rsidR="00DB2356" w:rsidRPr="006571AC" w:rsidRDefault="00DB2356" w:rsidP="00A52D5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حسن بن يوسف</w:t>
      </w:r>
      <w:r w:rsidRPr="006571AC">
        <w:rPr>
          <w:rFonts w:cs="DanaFajr" w:hint="eastAsia"/>
          <w:sz w:val="28"/>
          <w:szCs w:val="28"/>
          <w:rtl/>
        </w:rPr>
        <w:t xml:space="preserve"> </w:t>
      </w:r>
      <w:r w:rsidRPr="006571AC">
        <w:rPr>
          <w:rFonts w:cs="DanaFajr" w:hint="cs"/>
          <w:sz w:val="28"/>
          <w:szCs w:val="28"/>
          <w:rtl/>
        </w:rPr>
        <w:t>(</w:t>
      </w:r>
      <w:r w:rsidRPr="006571AC">
        <w:rPr>
          <w:rFonts w:cs="DanaFajr" w:hint="eastAsia"/>
          <w:sz w:val="28"/>
          <w:szCs w:val="28"/>
          <w:rtl/>
        </w:rPr>
        <w:t>فخر</w:t>
      </w:r>
      <w:r w:rsidRPr="006571AC">
        <w:rPr>
          <w:rFonts w:cs="DanaFajr"/>
          <w:sz w:val="28"/>
          <w:szCs w:val="28"/>
          <w:rtl/>
        </w:rPr>
        <w:t xml:space="preserve"> </w:t>
      </w:r>
      <w:r w:rsidRPr="006571AC">
        <w:rPr>
          <w:rFonts w:cs="DanaFajr" w:hint="eastAsia"/>
          <w:sz w:val="28"/>
          <w:szCs w:val="28"/>
          <w:rtl/>
        </w:rPr>
        <w:t>المحققين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إيضاح</w:t>
      </w:r>
      <w:r w:rsidRPr="006571AC">
        <w:rPr>
          <w:rFonts w:cs="DanaFajr"/>
          <w:sz w:val="28"/>
          <w:szCs w:val="28"/>
          <w:rtl/>
        </w:rPr>
        <w:t xml:space="preserve"> </w:t>
      </w:r>
      <w:r w:rsidRPr="006571AC">
        <w:rPr>
          <w:rFonts w:cs="DanaFajr" w:hint="eastAsia"/>
          <w:sz w:val="28"/>
          <w:szCs w:val="28"/>
          <w:rtl/>
        </w:rPr>
        <w:t>الفوائد</w:t>
      </w:r>
      <w:r w:rsidRPr="006571AC">
        <w:rPr>
          <w:rFonts w:cs="DanaFajr" w:hint="cs"/>
          <w:sz w:val="28"/>
          <w:szCs w:val="28"/>
          <w:rtl/>
        </w:rPr>
        <w:t xml:space="preserve"> في شرح مشكلات القواعد</w:t>
      </w:r>
      <w:r w:rsidRPr="006571AC">
        <w:rPr>
          <w:rFonts w:cs="DanaFajr"/>
          <w:sz w:val="28"/>
          <w:szCs w:val="28"/>
          <w:rtl/>
        </w:rPr>
        <w:t xml:space="preserve"> 4: 509</w:t>
      </w:r>
      <w:r w:rsidRPr="006571AC">
        <w:rPr>
          <w:rFonts w:cs="DanaFajr" w:hint="cs"/>
          <w:sz w:val="28"/>
          <w:szCs w:val="28"/>
          <w:rtl/>
        </w:rPr>
        <w:t>، مؤسسة اسماعيليان، قم، ط1، 1387هـ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محمد حسن</w:t>
      </w:r>
      <w:r w:rsidRPr="006571AC">
        <w:rPr>
          <w:rFonts w:cs="DanaFajr" w:hint="eastAsia"/>
          <w:sz w:val="28"/>
          <w:szCs w:val="28"/>
          <w:rtl/>
        </w:rPr>
        <w:t xml:space="preserve"> النجفي</w:t>
      </w:r>
      <w:r w:rsidRPr="006571AC">
        <w:rPr>
          <w:rFonts w:cs="DanaFajr" w:hint="cs"/>
          <w:sz w:val="28"/>
          <w:szCs w:val="28"/>
          <w:rtl/>
        </w:rPr>
        <w:t xml:space="preserve">، </w:t>
      </w:r>
      <w:r w:rsidRPr="006571AC">
        <w:rPr>
          <w:rFonts w:cs="DanaFajr" w:hint="eastAsia"/>
          <w:sz w:val="28"/>
          <w:szCs w:val="28"/>
          <w:rtl/>
        </w:rPr>
        <w:t>جواهر</w:t>
      </w:r>
      <w:r w:rsidRPr="006571AC">
        <w:rPr>
          <w:rFonts w:cs="DanaFajr"/>
          <w:sz w:val="28"/>
          <w:szCs w:val="28"/>
          <w:rtl/>
        </w:rPr>
        <w:t xml:space="preserve"> </w:t>
      </w:r>
      <w:r w:rsidRPr="006571AC">
        <w:rPr>
          <w:rFonts w:cs="DanaFajr" w:hint="eastAsia"/>
          <w:sz w:val="28"/>
          <w:szCs w:val="28"/>
          <w:rtl/>
        </w:rPr>
        <w:t>الكلام</w:t>
      </w:r>
      <w:r w:rsidRPr="006571AC">
        <w:rPr>
          <w:rFonts w:cs="DanaFajr" w:hint="cs"/>
          <w:sz w:val="28"/>
          <w:szCs w:val="28"/>
          <w:rtl/>
        </w:rPr>
        <w:t xml:space="preserve"> في شرح شرائع الإسلام</w:t>
      </w:r>
      <w:r w:rsidRPr="006571AC">
        <w:rPr>
          <w:rFonts w:cs="DanaFajr"/>
          <w:sz w:val="28"/>
          <w:szCs w:val="28"/>
          <w:rtl/>
        </w:rPr>
        <w:t xml:space="preserve"> 29: 172</w:t>
      </w:r>
      <w:r w:rsidRPr="006571AC">
        <w:rPr>
          <w:rFonts w:cs="DanaFajr" w:hint="cs"/>
          <w:sz w:val="28"/>
          <w:szCs w:val="28"/>
          <w:rtl/>
        </w:rPr>
        <w:t>، دار إحياء التراث العربي، بيروت، ط7، 1404هـ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محمد بن محمد التقي</w:t>
      </w:r>
      <w:r w:rsidRPr="006571AC">
        <w:rPr>
          <w:rFonts w:cs="DanaFajr" w:hint="eastAsia"/>
          <w:sz w:val="28"/>
          <w:szCs w:val="28"/>
          <w:rtl/>
        </w:rPr>
        <w:t xml:space="preserve"> بحر</w:t>
      </w:r>
      <w:r w:rsidRPr="006571AC">
        <w:rPr>
          <w:rFonts w:cs="DanaFajr"/>
          <w:sz w:val="28"/>
          <w:szCs w:val="28"/>
          <w:rtl/>
        </w:rPr>
        <w:t xml:space="preserve"> </w:t>
      </w:r>
      <w:r w:rsidRPr="006571AC">
        <w:rPr>
          <w:rFonts w:cs="DanaFajr" w:hint="eastAsia"/>
          <w:sz w:val="28"/>
          <w:szCs w:val="28"/>
          <w:rtl/>
        </w:rPr>
        <w:t>العلوم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بلغة</w:t>
      </w:r>
      <w:r w:rsidRPr="006571AC">
        <w:rPr>
          <w:rFonts w:cs="DanaFajr"/>
          <w:sz w:val="28"/>
          <w:szCs w:val="28"/>
          <w:rtl/>
        </w:rPr>
        <w:t xml:space="preserve"> </w:t>
      </w:r>
      <w:r w:rsidRPr="006571AC">
        <w:rPr>
          <w:rFonts w:cs="DanaFajr" w:hint="eastAsia"/>
          <w:sz w:val="28"/>
          <w:szCs w:val="28"/>
          <w:rtl/>
        </w:rPr>
        <w:t>الفقيه</w:t>
      </w:r>
      <w:r w:rsidRPr="006571AC">
        <w:rPr>
          <w:rFonts w:cs="DanaFajr"/>
          <w:sz w:val="28"/>
          <w:szCs w:val="28"/>
          <w:rtl/>
        </w:rPr>
        <w:t xml:space="preserve"> 3: 214</w:t>
      </w:r>
      <w:r w:rsidRPr="006571AC">
        <w:rPr>
          <w:rFonts w:cs="DanaFajr" w:hint="cs"/>
          <w:sz w:val="28"/>
          <w:szCs w:val="28"/>
          <w:rtl/>
        </w:rPr>
        <w:t>، منشورات مكتبة الصادق، طهران ـ إيران، ط4، 1403هـ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محسن الطباطبائي</w:t>
      </w:r>
      <w:r w:rsidRPr="006571AC">
        <w:rPr>
          <w:rFonts w:cs="DanaFajr" w:hint="eastAsia"/>
          <w:sz w:val="28"/>
          <w:szCs w:val="28"/>
          <w:rtl/>
        </w:rPr>
        <w:t xml:space="preserve"> الحكيم</w:t>
      </w:r>
      <w:r w:rsidRPr="006571AC">
        <w:rPr>
          <w:rFonts w:cs="DanaFajr" w:hint="cs"/>
          <w:sz w:val="28"/>
          <w:szCs w:val="28"/>
          <w:rtl/>
        </w:rPr>
        <w:t xml:space="preserve">، </w:t>
      </w:r>
      <w:r w:rsidRPr="006571AC">
        <w:rPr>
          <w:rFonts w:cs="DanaFajr" w:hint="eastAsia"/>
          <w:sz w:val="28"/>
          <w:szCs w:val="28"/>
          <w:rtl/>
        </w:rPr>
        <w:t>مستمسك</w:t>
      </w:r>
      <w:r w:rsidRPr="006571AC">
        <w:rPr>
          <w:rFonts w:cs="DanaFajr"/>
          <w:sz w:val="28"/>
          <w:szCs w:val="28"/>
          <w:rtl/>
        </w:rPr>
        <w:t xml:space="preserve"> </w:t>
      </w:r>
      <w:r w:rsidRPr="006571AC">
        <w:rPr>
          <w:rFonts w:cs="DanaFajr" w:hint="eastAsia"/>
          <w:sz w:val="28"/>
          <w:szCs w:val="28"/>
          <w:rtl/>
        </w:rPr>
        <w:t>العروة</w:t>
      </w:r>
      <w:r w:rsidRPr="006571AC">
        <w:rPr>
          <w:rFonts w:cs="DanaFajr"/>
          <w:sz w:val="28"/>
          <w:szCs w:val="28"/>
          <w:rtl/>
        </w:rPr>
        <w:t xml:space="preserve"> </w:t>
      </w:r>
      <w:r w:rsidRPr="006571AC">
        <w:rPr>
          <w:rFonts w:cs="DanaFajr" w:hint="eastAsia"/>
          <w:sz w:val="28"/>
          <w:szCs w:val="28"/>
          <w:rtl/>
        </w:rPr>
        <w:t>الوثقى</w:t>
      </w:r>
      <w:r w:rsidRPr="006571AC">
        <w:rPr>
          <w:rFonts w:cs="DanaFajr"/>
          <w:sz w:val="28"/>
          <w:szCs w:val="28"/>
          <w:rtl/>
        </w:rPr>
        <w:t xml:space="preserve"> 11: 123</w:t>
      </w:r>
      <w:r w:rsidRPr="006571AC">
        <w:rPr>
          <w:rFonts w:cs="DanaFajr" w:hint="cs"/>
          <w:sz w:val="28"/>
          <w:szCs w:val="28"/>
          <w:rtl/>
        </w:rPr>
        <w:t>، مؤسّسة دار التفسير، قم ـ إيران، ط1، 1416هـ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روح الله</w:t>
      </w:r>
      <w:r w:rsidRPr="006571AC">
        <w:rPr>
          <w:rFonts w:cs="DanaFajr" w:hint="eastAsia"/>
          <w:sz w:val="28"/>
          <w:szCs w:val="28"/>
          <w:rtl/>
        </w:rPr>
        <w:t xml:space="preserve"> الخميني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كتاب</w:t>
      </w:r>
      <w:r w:rsidRPr="006571AC">
        <w:rPr>
          <w:rFonts w:cs="DanaFajr"/>
          <w:sz w:val="28"/>
          <w:szCs w:val="28"/>
          <w:rtl/>
        </w:rPr>
        <w:t xml:space="preserve"> </w:t>
      </w:r>
      <w:r w:rsidRPr="006571AC">
        <w:rPr>
          <w:rFonts w:cs="DanaFajr" w:hint="eastAsia"/>
          <w:sz w:val="28"/>
          <w:szCs w:val="28"/>
          <w:rtl/>
        </w:rPr>
        <w:t>البيع</w:t>
      </w:r>
      <w:r w:rsidRPr="006571AC">
        <w:rPr>
          <w:rFonts w:cs="DanaFajr"/>
          <w:sz w:val="28"/>
          <w:szCs w:val="28"/>
          <w:rtl/>
        </w:rPr>
        <w:t xml:space="preserve"> 2: 693</w:t>
      </w:r>
      <w:r w:rsidRPr="006571AC">
        <w:rPr>
          <w:rFonts w:cs="DanaFajr" w:hint="cs"/>
          <w:sz w:val="28"/>
          <w:szCs w:val="28"/>
          <w:rtl/>
        </w:rPr>
        <w:t>، مؤسسة تنظيم ونشر آثار الإمام الخميني، طهران، ط1، 1421هـ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عبد الأعلى</w:t>
      </w:r>
      <w:r w:rsidRPr="006571AC">
        <w:rPr>
          <w:rFonts w:cs="DanaFajr" w:hint="eastAsia"/>
          <w:sz w:val="28"/>
          <w:szCs w:val="28"/>
          <w:rtl/>
        </w:rPr>
        <w:t xml:space="preserve"> السبزواري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مهذ</w:t>
      </w:r>
      <w:r w:rsidRPr="006571AC">
        <w:rPr>
          <w:rFonts w:cs="DanaFajr" w:hint="cs"/>
          <w:sz w:val="28"/>
          <w:szCs w:val="28"/>
          <w:rtl/>
        </w:rPr>
        <w:t>َّ</w:t>
      </w:r>
      <w:r w:rsidRPr="006571AC">
        <w:rPr>
          <w:rFonts w:cs="DanaFajr" w:hint="eastAsia"/>
          <w:sz w:val="28"/>
          <w:szCs w:val="28"/>
          <w:rtl/>
        </w:rPr>
        <w:t>ب</w:t>
      </w:r>
      <w:r w:rsidRPr="006571AC">
        <w:rPr>
          <w:rFonts w:cs="DanaFajr"/>
          <w:sz w:val="28"/>
          <w:szCs w:val="28"/>
          <w:rtl/>
        </w:rPr>
        <w:t xml:space="preserve"> </w:t>
      </w:r>
      <w:r w:rsidRPr="006571AC">
        <w:rPr>
          <w:rFonts w:cs="DanaFajr" w:hint="eastAsia"/>
          <w:sz w:val="28"/>
          <w:szCs w:val="28"/>
          <w:rtl/>
        </w:rPr>
        <w:t>الأحكام</w:t>
      </w:r>
      <w:r w:rsidRPr="006571AC">
        <w:rPr>
          <w:rFonts w:cs="DanaFajr"/>
          <w:sz w:val="28"/>
          <w:szCs w:val="28"/>
          <w:rtl/>
        </w:rPr>
        <w:t xml:space="preserve"> 16: 361</w:t>
      </w:r>
      <w:r w:rsidRPr="006571AC">
        <w:rPr>
          <w:rFonts w:cs="DanaFajr" w:hint="cs"/>
          <w:sz w:val="28"/>
          <w:szCs w:val="28"/>
          <w:rtl/>
        </w:rPr>
        <w:t>، مؤسّسة المنار، قم، ط4، 1413هـ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محمد علي</w:t>
      </w:r>
      <w:r w:rsidRPr="006571AC">
        <w:rPr>
          <w:rFonts w:cs="DanaFajr" w:hint="eastAsia"/>
          <w:sz w:val="28"/>
          <w:szCs w:val="28"/>
          <w:rtl/>
        </w:rPr>
        <w:t xml:space="preserve"> الآراكي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كتاب</w:t>
      </w:r>
      <w:r w:rsidRPr="006571AC">
        <w:rPr>
          <w:rFonts w:cs="DanaFajr"/>
          <w:sz w:val="28"/>
          <w:szCs w:val="28"/>
          <w:rtl/>
        </w:rPr>
        <w:t xml:space="preserve"> </w:t>
      </w:r>
      <w:r w:rsidRPr="006571AC">
        <w:rPr>
          <w:rFonts w:cs="DanaFajr" w:hint="eastAsia"/>
          <w:sz w:val="28"/>
          <w:szCs w:val="28"/>
          <w:rtl/>
        </w:rPr>
        <w:t>البيع</w:t>
      </w:r>
      <w:r w:rsidRPr="006571AC">
        <w:rPr>
          <w:rFonts w:cs="DanaFajr"/>
          <w:sz w:val="28"/>
          <w:szCs w:val="28"/>
          <w:rtl/>
        </w:rPr>
        <w:t xml:space="preserve"> 2: 21</w:t>
      </w:r>
      <w:r w:rsidRPr="006571AC">
        <w:rPr>
          <w:rFonts w:cs="DanaFajr" w:hint="cs"/>
          <w:sz w:val="28"/>
          <w:szCs w:val="28"/>
          <w:rtl/>
        </w:rPr>
        <w:t>، مؤسّسة در راه حقّ، قم ـ إيران، ط1، 1415هـ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محمد</w:t>
      </w:r>
      <w:r w:rsidRPr="006571AC">
        <w:rPr>
          <w:rFonts w:cs="DanaFajr" w:hint="eastAsia"/>
          <w:sz w:val="28"/>
          <w:szCs w:val="28"/>
          <w:rtl/>
        </w:rPr>
        <w:t xml:space="preserve"> الصدر</w:t>
      </w:r>
      <w:r w:rsidRPr="006571AC">
        <w:rPr>
          <w:rFonts w:cs="DanaFajr" w:hint="cs"/>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وراء</w:t>
      </w:r>
      <w:r w:rsidRPr="006571AC">
        <w:rPr>
          <w:rFonts w:cs="DanaFajr"/>
          <w:sz w:val="28"/>
          <w:szCs w:val="28"/>
          <w:rtl/>
        </w:rPr>
        <w:t xml:space="preserve"> </w:t>
      </w:r>
      <w:r w:rsidRPr="006571AC">
        <w:rPr>
          <w:rFonts w:cs="DanaFajr" w:hint="eastAsia"/>
          <w:sz w:val="28"/>
          <w:szCs w:val="28"/>
          <w:rtl/>
        </w:rPr>
        <w:t>الفقه</w:t>
      </w:r>
      <w:r w:rsidRPr="006571AC">
        <w:rPr>
          <w:rFonts w:cs="DanaFajr"/>
          <w:sz w:val="28"/>
          <w:szCs w:val="28"/>
          <w:rtl/>
        </w:rPr>
        <w:t xml:space="preserve"> 9: 67</w:t>
      </w:r>
      <w:r w:rsidRPr="006571AC">
        <w:rPr>
          <w:rFonts w:cs="DanaFajr" w:hint="cs"/>
          <w:sz w:val="28"/>
          <w:szCs w:val="28"/>
          <w:rtl/>
        </w:rPr>
        <w:t>، دار الأضواء، بيروت، ط1، 1420هـ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حسين علي م</w:t>
      </w:r>
      <w:r w:rsidRPr="006571AC">
        <w:rPr>
          <w:rFonts w:cs="DanaFajr" w:hint="eastAsia"/>
          <w:sz w:val="28"/>
          <w:szCs w:val="28"/>
          <w:rtl/>
        </w:rPr>
        <w:t>نتظري،</w:t>
      </w:r>
      <w:r w:rsidRPr="006571AC">
        <w:rPr>
          <w:rFonts w:cs="DanaFajr"/>
          <w:sz w:val="28"/>
          <w:szCs w:val="28"/>
          <w:rtl/>
        </w:rPr>
        <w:t xml:space="preserve"> </w:t>
      </w:r>
      <w:r w:rsidRPr="006571AC">
        <w:rPr>
          <w:rFonts w:cs="DanaFajr" w:hint="eastAsia"/>
          <w:sz w:val="28"/>
          <w:szCs w:val="28"/>
          <w:rtl/>
        </w:rPr>
        <w:t>نظام</w:t>
      </w:r>
      <w:r w:rsidRPr="006571AC">
        <w:rPr>
          <w:rFonts w:cs="DanaFajr"/>
          <w:sz w:val="28"/>
          <w:szCs w:val="28"/>
          <w:rtl/>
        </w:rPr>
        <w:t xml:space="preserve"> </w:t>
      </w:r>
      <w:r w:rsidRPr="006571AC">
        <w:rPr>
          <w:rFonts w:cs="DanaFajr" w:hint="eastAsia"/>
          <w:sz w:val="28"/>
          <w:szCs w:val="28"/>
          <w:rtl/>
        </w:rPr>
        <w:t>الحكم</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الإسلام</w:t>
      </w:r>
      <w:r w:rsidRPr="006571AC">
        <w:rPr>
          <w:rFonts w:cs="DanaFajr" w:hint="cs"/>
          <w:sz w:val="28"/>
          <w:szCs w:val="28"/>
          <w:rtl/>
        </w:rPr>
        <w:t>:</w:t>
      </w:r>
      <w:r w:rsidRPr="006571AC">
        <w:rPr>
          <w:rFonts w:cs="DanaFajr"/>
          <w:sz w:val="28"/>
          <w:szCs w:val="28"/>
          <w:rtl/>
        </w:rPr>
        <w:t xml:space="preserve"> 25</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حسين علي</w:t>
      </w:r>
      <w:r w:rsidRPr="006571AC">
        <w:rPr>
          <w:rFonts w:cs="DanaFajr" w:hint="eastAsia"/>
          <w:sz w:val="28"/>
          <w:szCs w:val="28"/>
          <w:rtl/>
        </w:rPr>
        <w:t xml:space="preserve"> </w:t>
      </w:r>
      <w:r w:rsidRPr="006571AC">
        <w:rPr>
          <w:rFonts w:cs="DanaFajr" w:hint="cs"/>
          <w:sz w:val="28"/>
          <w:szCs w:val="28"/>
          <w:rtl/>
        </w:rPr>
        <w:t>م</w:t>
      </w:r>
      <w:r w:rsidRPr="006571AC">
        <w:rPr>
          <w:rFonts w:cs="DanaFajr" w:hint="eastAsia"/>
          <w:sz w:val="28"/>
          <w:szCs w:val="28"/>
          <w:rtl/>
        </w:rPr>
        <w:t>نتظري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دراسات</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ولاية</w:t>
      </w:r>
      <w:r w:rsidRPr="006571AC">
        <w:rPr>
          <w:rFonts w:cs="DanaFajr"/>
          <w:sz w:val="28"/>
          <w:szCs w:val="28"/>
          <w:rtl/>
        </w:rPr>
        <w:t xml:space="preserve"> </w:t>
      </w:r>
      <w:r w:rsidRPr="006571AC">
        <w:rPr>
          <w:rFonts w:cs="DanaFajr" w:hint="eastAsia"/>
          <w:sz w:val="28"/>
          <w:szCs w:val="28"/>
          <w:rtl/>
        </w:rPr>
        <w:t>الفقيه</w:t>
      </w:r>
      <w:r w:rsidRPr="006571AC">
        <w:rPr>
          <w:rFonts w:cs="DanaFajr" w:hint="cs"/>
          <w:sz w:val="28"/>
          <w:szCs w:val="28"/>
          <w:rtl/>
        </w:rPr>
        <w:t xml:space="preserve"> وفقه الدولة الإسلامية</w:t>
      </w:r>
      <w:r w:rsidRPr="006571AC">
        <w:rPr>
          <w:rFonts w:cs="DanaFajr"/>
          <w:sz w:val="28"/>
          <w:szCs w:val="28"/>
          <w:rtl/>
        </w:rPr>
        <w:t xml:space="preserve"> 1: 27</w:t>
      </w:r>
      <w:r w:rsidRPr="006571AC">
        <w:rPr>
          <w:rFonts w:cs="DanaFajr" w:hint="cs"/>
          <w:sz w:val="28"/>
          <w:szCs w:val="28"/>
          <w:rtl/>
        </w:rPr>
        <w:t>، نشر تفكُّر، قم، ط2، 1409هـ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محسن</w:t>
      </w:r>
      <w:r w:rsidRPr="006571AC">
        <w:rPr>
          <w:rFonts w:cs="DanaFajr" w:hint="eastAsia"/>
          <w:sz w:val="28"/>
          <w:szCs w:val="28"/>
          <w:rtl/>
        </w:rPr>
        <w:t xml:space="preserve"> الآراكي</w:t>
      </w:r>
      <w:r w:rsidRPr="006571AC">
        <w:rPr>
          <w:rFonts w:cs="DanaFajr" w:hint="cs"/>
          <w:sz w:val="28"/>
          <w:szCs w:val="28"/>
          <w:rtl/>
        </w:rPr>
        <w:t xml:space="preserve">، </w:t>
      </w:r>
      <w:r w:rsidRPr="006571AC">
        <w:rPr>
          <w:rFonts w:cs="DanaFajr" w:hint="eastAsia"/>
          <w:sz w:val="28"/>
          <w:szCs w:val="28"/>
          <w:rtl/>
        </w:rPr>
        <w:t>نظرية</w:t>
      </w:r>
      <w:r w:rsidRPr="006571AC">
        <w:rPr>
          <w:rFonts w:cs="DanaFajr"/>
          <w:sz w:val="28"/>
          <w:szCs w:val="28"/>
          <w:rtl/>
        </w:rPr>
        <w:t xml:space="preserve"> </w:t>
      </w:r>
      <w:r w:rsidRPr="006571AC">
        <w:rPr>
          <w:rFonts w:cs="DanaFajr" w:hint="eastAsia"/>
          <w:sz w:val="28"/>
          <w:szCs w:val="28"/>
          <w:rtl/>
        </w:rPr>
        <w:t>الحكم</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الإسلام</w:t>
      </w:r>
      <w:r w:rsidRPr="006571AC">
        <w:rPr>
          <w:rFonts w:cs="DanaFajr" w:hint="cs"/>
          <w:sz w:val="28"/>
          <w:szCs w:val="28"/>
          <w:rtl/>
        </w:rPr>
        <w:t>:</w:t>
      </w:r>
      <w:r w:rsidRPr="006571AC">
        <w:rPr>
          <w:rFonts w:cs="DanaFajr"/>
          <w:sz w:val="28"/>
          <w:szCs w:val="28"/>
          <w:rtl/>
        </w:rPr>
        <w:t xml:space="preserve"> 309</w:t>
      </w:r>
      <w:r w:rsidRPr="006571AC">
        <w:rPr>
          <w:rFonts w:cs="DanaFajr" w:hint="cs"/>
          <w:sz w:val="28"/>
          <w:szCs w:val="28"/>
          <w:rtl/>
        </w:rPr>
        <w:t>، مجمع الفكر الإسلامي، قم ـ إيران، ط1، 1425هـ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ناصر</w:t>
      </w:r>
      <w:r w:rsidRPr="006571AC">
        <w:rPr>
          <w:rFonts w:cs="DanaFajr" w:hint="eastAsia"/>
          <w:sz w:val="28"/>
          <w:szCs w:val="28"/>
          <w:rtl/>
        </w:rPr>
        <w:t xml:space="preserve"> مكارم</w:t>
      </w:r>
      <w:r w:rsidRPr="006571AC">
        <w:rPr>
          <w:rFonts w:cs="DanaFajr" w:hint="cs"/>
          <w:sz w:val="28"/>
          <w:szCs w:val="28"/>
          <w:rtl/>
        </w:rPr>
        <w:t xml:space="preserve"> الشيرازي</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أنوار</w:t>
      </w:r>
      <w:r w:rsidRPr="006571AC">
        <w:rPr>
          <w:rFonts w:cs="DanaFajr"/>
          <w:sz w:val="28"/>
          <w:szCs w:val="28"/>
          <w:rtl/>
        </w:rPr>
        <w:t xml:space="preserve"> </w:t>
      </w:r>
      <w:r w:rsidRPr="006571AC">
        <w:rPr>
          <w:rFonts w:cs="DanaFajr" w:hint="eastAsia"/>
          <w:sz w:val="28"/>
          <w:szCs w:val="28"/>
          <w:rtl/>
        </w:rPr>
        <w:t>الفقاهة</w:t>
      </w:r>
      <w:r w:rsidRPr="006571AC">
        <w:rPr>
          <w:rFonts w:cs="DanaFajr" w:hint="cs"/>
          <w:sz w:val="28"/>
          <w:szCs w:val="28"/>
          <w:rtl/>
        </w:rPr>
        <w:t xml:space="preserve"> </w:t>
      </w:r>
      <w:r w:rsidRPr="006571AC">
        <w:rPr>
          <w:rFonts w:cs="DanaFajr"/>
          <w:sz w:val="28"/>
          <w:szCs w:val="28"/>
          <w:rtl/>
        </w:rPr>
        <w:t xml:space="preserve">ـ </w:t>
      </w:r>
      <w:r w:rsidRPr="006571AC">
        <w:rPr>
          <w:rFonts w:cs="DanaFajr" w:hint="eastAsia"/>
          <w:sz w:val="28"/>
          <w:szCs w:val="28"/>
          <w:rtl/>
        </w:rPr>
        <w:t>كتاب</w:t>
      </w:r>
      <w:r w:rsidRPr="006571AC">
        <w:rPr>
          <w:rFonts w:cs="DanaFajr"/>
          <w:sz w:val="28"/>
          <w:szCs w:val="28"/>
          <w:rtl/>
        </w:rPr>
        <w:t xml:space="preserve"> </w:t>
      </w:r>
      <w:r w:rsidRPr="006571AC">
        <w:rPr>
          <w:rFonts w:cs="DanaFajr" w:hint="eastAsia"/>
          <w:sz w:val="28"/>
          <w:szCs w:val="28"/>
          <w:rtl/>
        </w:rPr>
        <w:t>البيع</w:t>
      </w:r>
      <w:r w:rsidRPr="006571AC">
        <w:rPr>
          <w:rFonts w:cs="DanaFajr" w:hint="cs"/>
          <w:sz w:val="28"/>
          <w:szCs w:val="28"/>
          <w:rtl/>
        </w:rPr>
        <w:t>:</w:t>
      </w:r>
      <w:r w:rsidRPr="006571AC">
        <w:rPr>
          <w:rFonts w:cs="DanaFajr"/>
          <w:sz w:val="28"/>
          <w:szCs w:val="28"/>
          <w:rtl/>
        </w:rPr>
        <w:t xml:space="preserve"> 402</w:t>
      </w:r>
      <w:r w:rsidRPr="006571AC">
        <w:rPr>
          <w:rFonts w:cs="DanaFajr" w:hint="cs"/>
          <w:sz w:val="28"/>
          <w:szCs w:val="28"/>
          <w:rtl/>
        </w:rPr>
        <w:t>، مدرسة الإمام عليّ بن أبي طالب</w:t>
      </w:r>
      <w:r w:rsidRPr="006571AC">
        <w:rPr>
          <w:rFonts w:ascii="Mosawi" w:hAnsi="Mosawi" w:cs="Mosawi"/>
          <w:rtl/>
        </w:rPr>
        <w:t>×</w:t>
      </w:r>
      <w:r w:rsidRPr="006571AC">
        <w:rPr>
          <w:rFonts w:cs="DanaFajr" w:hint="cs"/>
          <w:sz w:val="28"/>
          <w:szCs w:val="28"/>
          <w:rtl/>
        </w:rPr>
        <w:t>، قم ـ إيران، ط1، 1425هـ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صادق الحسيني</w:t>
      </w:r>
      <w:r w:rsidRPr="006571AC">
        <w:rPr>
          <w:rFonts w:cs="DanaFajr" w:hint="eastAsia"/>
          <w:sz w:val="28"/>
          <w:szCs w:val="28"/>
          <w:rtl/>
        </w:rPr>
        <w:t xml:space="preserve"> الروحاني،</w:t>
      </w:r>
      <w:r w:rsidRPr="006571AC">
        <w:rPr>
          <w:rFonts w:cs="DanaFajr"/>
          <w:sz w:val="28"/>
          <w:szCs w:val="28"/>
          <w:rtl/>
        </w:rPr>
        <w:t xml:space="preserve"> </w:t>
      </w:r>
      <w:r w:rsidRPr="006571AC">
        <w:rPr>
          <w:rFonts w:cs="DanaFajr" w:hint="eastAsia"/>
          <w:sz w:val="28"/>
          <w:szCs w:val="28"/>
          <w:rtl/>
        </w:rPr>
        <w:t>فقه</w:t>
      </w:r>
      <w:r w:rsidRPr="006571AC">
        <w:rPr>
          <w:rFonts w:cs="DanaFajr"/>
          <w:sz w:val="28"/>
          <w:szCs w:val="28"/>
          <w:rtl/>
        </w:rPr>
        <w:t xml:space="preserve"> </w:t>
      </w:r>
      <w:r w:rsidRPr="006571AC">
        <w:rPr>
          <w:rFonts w:cs="DanaFajr" w:hint="eastAsia"/>
          <w:sz w:val="28"/>
          <w:szCs w:val="28"/>
          <w:rtl/>
        </w:rPr>
        <w:t>الصادق</w:t>
      </w:r>
      <w:r w:rsidRPr="006571AC">
        <w:rPr>
          <w:rFonts w:ascii="Mosawi" w:hAnsi="Mosawi" w:cs="Mosawi"/>
          <w:rtl/>
        </w:rPr>
        <w:t>×</w:t>
      </w:r>
      <w:r w:rsidRPr="006571AC">
        <w:rPr>
          <w:rFonts w:cs="DanaFajr"/>
          <w:sz w:val="28"/>
          <w:szCs w:val="28"/>
          <w:rtl/>
        </w:rPr>
        <w:t xml:space="preserve"> 13: 297</w:t>
      </w:r>
      <w:r w:rsidRPr="006571AC">
        <w:rPr>
          <w:rFonts w:cs="DanaFajr" w:hint="cs"/>
          <w:sz w:val="28"/>
          <w:szCs w:val="28"/>
          <w:rtl/>
        </w:rPr>
        <w:t xml:space="preserve">، دار الكتاب </w:t>
      </w:r>
      <w:r w:rsidRPr="006571AC">
        <w:rPr>
          <w:rFonts w:cs="DanaFajr"/>
          <w:sz w:val="28"/>
          <w:szCs w:val="28"/>
          <w:rtl/>
        </w:rPr>
        <w:t>ـ</w:t>
      </w:r>
      <w:r w:rsidRPr="006571AC">
        <w:rPr>
          <w:rFonts w:cs="DanaFajr" w:hint="cs"/>
          <w:sz w:val="28"/>
          <w:szCs w:val="28"/>
          <w:rtl/>
        </w:rPr>
        <w:t xml:space="preserve"> مدرسة الإمام الصادق</w:t>
      </w:r>
      <w:r w:rsidRPr="006571AC">
        <w:rPr>
          <w:rFonts w:ascii="Mosawi" w:hAnsi="Mosawi" w:cs="Mosawi"/>
          <w:rtl/>
        </w:rPr>
        <w:t>×</w:t>
      </w:r>
      <w:r w:rsidRPr="006571AC">
        <w:rPr>
          <w:rFonts w:cs="DanaFajr" w:hint="cs"/>
          <w:sz w:val="28"/>
          <w:szCs w:val="28"/>
          <w:rtl/>
        </w:rPr>
        <w:t>، قم ـ إيران، ط1، 1412هـ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تقي الطباطبائي</w:t>
      </w:r>
      <w:r w:rsidRPr="006571AC">
        <w:rPr>
          <w:rFonts w:cs="DanaFajr" w:hint="eastAsia"/>
          <w:sz w:val="28"/>
          <w:szCs w:val="28"/>
          <w:rtl/>
        </w:rPr>
        <w:t xml:space="preserve"> القمي</w:t>
      </w:r>
      <w:r w:rsidRPr="006571AC">
        <w:rPr>
          <w:rFonts w:cs="DanaFajr" w:hint="cs"/>
          <w:sz w:val="28"/>
          <w:szCs w:val="28"/>
          <w:rtl/>
        </w:rPr>
        <w:t xml:space="preserve">، </w:t>
      </w:r>
      <w:r w:rsidRPr="006571AC">
        <w:rPr>
          <w:rFonts w:cs="DanaFajr" w:hint="eastAsia"/>
          <w:sz w:val="28"/>
          <w:szCs w:val="28"/>
          <w:rtl/>
        </w:rPr>
        <w:t>مباني</w:t>
      </w:r>
      <w:r w:rsidRPr="006571AC">
        <w:rPr>
          <w:rFonts w:cs="DanaFajr"/>
          <w:sz w:val="28"/>
          <w:szCs w:val="28"/>
          <w:rtl/>
        </w:rPr>
        <w:t xml:space="preserve"> </w:t>
      </w:r>
      <w:r w:rsidRPr="006571AC">
        <w:rPr>
          <w:rFonts w:cs="DanaFajr" w:hint="eastAsia"/>
          <w:sz w:val="28"/>
          <w:szCs w:val="28"/>
          <w:rtl/>
        </w:rPr>
        <w:t>منهاج</w:t>
      </w:r>
      <w:r w:rsidRPr="006571AC">
        <w:rPr>
          <w:rFonts w:cs="DanaFajr"/>
          <w:sz w:val="28"/>
          <w:szCs w:val="28"/>
          <w:rtl/>
        </w:rPr>
        <w:t xml:space="preserve"> </w:t>
      </w:r>
      <w:r w:rsidRPr="006571AC">
        <w:rPr>
          <w:rFonts w:cs="DanaFajr" w:hint="eastAsia"/>
          <w:sz w:val="28"/>
          <w:szCs w:val="28"/>
          <w:rtl/>
        </w:rPr>
        <w:t>الصالحين</w:t>
      </w:r>
      <w:r w:rsidRPr="006571AC">
        <w:rPr>
          <w:rFonts w:cs="DanaFajr"/>
          <w:sz w:val="28"/>
          <w:szCs w:val="28"/>
          <w:rtl/>
        </w:rPr>
        <w:t xml:space="preserve"> 7: 499</w:t>
      </w:r>
      <w:r w:rsidRPr="006571AC">
        <w:rPr>
          <w:rFonts w:cs="DanaFajr" w:hint="cs"/>
          <w:sz w:val="28"/>
          <w:szCs w:val="28"/>
          <w:rtl/>
        </w:rPr>
        <w:t>، منشورات قلم الشرق، قم، ط1، 1426هـ</w:t>
      </w:r>
      <w:r w:rsidRPr="006571AC">
        <w:rPr>
          <w:rFonts w:cs="DanaFajr"/>
          <w:sz w:val="28"/>
          <w:szCs w:val="28"/>
          <w:rtl/>
        </w:rPr>
        <w:t>.</w:t>
      </w:r>
    </w:p>
  </w:endnote>
  <w:endnote w:id="23">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مرتضى بن محمد أمين</w:t>
      </w:r>
      <w:r w:rsidRPr="006571AC">
        <w:rPr>
          <w:rFonts w:cs="DanaFajr" w:hint="eastAsia"/>
          <w:sz w:val="28"/>
          <w:szCs w:val="28"/>
          <w:rtl/>
        </w:rPr>
        <w:t xml:space="preserve"> الأنصاري</w:t>
      </w:r>
      <w:r w:rsidRPr="006571AC">
        <w:rPr>
          <w:rFonts w:cs="DanaFajr" w:hint="cs"/>
          <w:sz w:val="28"/>
          <w:szCs w:val="28"/>
          <w:rtl/>
        </w:rPr>
        <w:t xml:space="preserve">، </w:t>
      </w:r>
      <w:r w:rsidRPr="006571AC">
        <w:rPr>
          <w:rFonts w:cs="DanaFajr" w:hint="eastAsia"/>
          <w:sz w:val="28"/>
          <w:szCs w:val="28"/>
          <w:rtl/>
        </w:rPr>
        <w:t>المكاسب</w:t>
      </w:r>
      <w:r w:rsidRPr="006571AC">
        <w:rPr>
          <w:rFonts w:cs="DanaFajr"/>
          <w:sz w:val="28"/>
          <w:szCs w:val="28"/>
          <w:rtl/>
        </w:rPr>
        <w:t xml:space="preserve"> 3: 99</w:t>
      </w:r>
      <w:r w:rsidRPr="006571AC">
        <w:rPr>
          <w:rFonts w:cs="DanaFajr" w:hint="cs"/>
          <w:sz w:val="28"/>
          <w:szCs w:val="28"/>
          <w:rtl/>
        </w:rPr>
        <w:t>، المؤتمر العالمي لتراث الشيخ الأنصاري، قم، ط1، 1415هـ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ميرزا حبيب الله</w:t>
      </w:r>
      <w:r w:rsidRPr="006571AC">
        <w:rPr>
          <w:rFonts w:cs="DanaFajr" w:hint="eastAsia"/>
          <w:sz w:val="28"/>
          <w:szCs w:val="28"/>
          <w:rtl/>
        </w:rPr>
        <w:t xml:space="preserve"> الرشتي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كتاب</w:t>
      </w:r>
      <w:r w:rsidRPr="006571AC">
        <w:rPr>
          <w:rFonts w:cs="DanaFajr"/>
          <w:sz w:val="28"/>
          <w:szCs w:val="28"/>
          <w:rtl/>
        </w:rPr>
        <w:t xml:space="preserve"> </w:t>
      </w:r>
      <w:r w:rsidRPr="006571AC">
        <w:rPr>
          <w:rFonts w:cs="DanaFajr" w:hint="eastAsia"/>
          <w:sz w:val="28"/>
          <w:szCs w:val="28"/>
          <w:rtl/>
        </w:rPr>
        <w:t>الإجارة</w:t>
      </w:r>
      <w:r w:rsidRPr="006571AC">
        <w:rPr>
          <w:rFonts w:cs="DanaFajr" w:hint="cs"/>
          <w:sz w:val="28"/>
          <w:szCs w:val="28"/>
          <w:rtl/>
        </w:rPr>
        <w:t>:</w:t>
      </w:r>
      <w:r w:rsidRPr="006571AC">
        <w:rPr>
          <w:rFonts w:cs="DanaFajr"/>
          <w:sz w:val="28"/>
          <w:szCs w:val="28"/>
          <w:rtl/>
        </w:rPr>
        <w:t xml:space="preserve"> 57</w:t>
      </w:r>
      <w:r w:rsidRPr="006571AC">
        <w:rPr>
          <w:rFonts w:cs="DanaFajr" w:hint="cs"/>
          <w:sz w:val="28"/>
          <w:szCs w:val="28"/>
          <w:rtl/>
        </w:rPr>
        <w:t>، ط1، 1311هـ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آغا رضا بن محمد هادي</w:t>
      </w:r>
      <w:r w:rsidRPr="006571AC">
        <w:rPr>
          <w:rFonts w:cs="DanaFajr" w:hint="eastAsia"/>
          <w:sz w:val="28"/>
          <w:szCs w:val="28"/>
          <w:rtl/>
        </w:rPr>
        <w:t xml:space="preserve"> الهمداني</w:t>
      </w:r>
      <w:r w:rsidRPr="006571AC">
        <w:rPr>
          <w:rFonts w:cs="DanaFajr" w:hint="cs"/>
          <w:sz w:val="28"/>
          <w:szCs w:val="28"/>
          <w:rtl/>
        </w:rPr>
        <w:t xml:space="preserve">، </w:t>
      </w:r>
      <w:r w:rsidRPr="006571AC">
        <w:rPr>
          <w:rFonts w:cs="DanaFajr" w:hint="eastAsia"/>
          <w:sz w:val="28"/>
          <w:szCs w:val="28"/>
          <w:rtl/>
        </w:rPr>
        <w:t>مصباح</w:t>
      </w:r>
      <w:r w:rsidRPr="006571AC">
        <w:rPr>
          <w:rFonts w:cs="DanaFajr"/>
          <w:sz w:val="28"/>
          <w:szCs w:val="28"/>
          <w:rtl/>
        </w:rPr>
        <w:t xml:space="preserve"> </w:t>
      </w:r>
      <w:r w:rsidRPr="006571AC">
        <w:rPr>
          <w:rFonts w:cs="DanaFajr" w:hint="eastAsia"/>
          <w:sz w:val="28"/>
          <w:szCs w:val="28"/>
          <w:rtl/>
        </w:rPr>
        <w:t>الفقيه</w:t>
      </w:r>
      <w:r w:rsidRPr="006571AC">
        <w:rPr>
          <w:rFonts w:cs="DanaFajr"/>
          <w:sz w:val="28"/>
          <w:szCs w:val="28"/>
          <w:rtl/>
        </w:rPr>
        <w:t xml:space="preserve"> 5: 244</w:t>
      </w:r>
      <w:r w:rsidRPr="006571AC">
        <w:rPr>
          <w:rFonts w:cs="DanaFajr" w:hint="cs"/>
          <w:sz w:val="28"/>
          <w:szCs w:val="28"/>
          <w:rtl/>
        </w:rPr>
        <w:t>، مؤسسة الجعفرية لإحياء التراث ومؤسّسة النشر الإسلامي، قم، ط1، 1416هـ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محمد كاظم الطباطبائي</w:t>
      </w:r>
      <w:r w:rsidRPr="006571AC">
        <w:rPr>
          <w:rFonts w:cs="DanaFajr" w:hint="eastAsia"/>
          <w:sz w:val="28"/>
          <w:szCs w:val="28"/>
          <w:rtl/>
        </w:rPr>
        <w:t xml:space="preserve"> اليزدي</w:t>
      </w:r>
      <w:r w:rsidRPr="006571AC">
        <w:rPr>
          <w:rFonts w:cs="DanaFajr" w:hint="cs"/>
          <w:sz w:val="28"/>
          <w:szCs w:val="28"/>
          <w:rtl/>
        </w:rPr>
        <w:t xml:space="preserve">، </w:t>
      </w:r>
      <w:r w:rsidRPr="006571AC">
        <w:rPr>
          <w:rFonts w:cs="DanaFajr" w:hint="eastAsia"/>
          <w:sz w:val="28"/>
          <w:szCs w:val="28"/>
          <w:rtl/>
        </w:rPr>
        <w:t>حاشية</w:t>
      </w:r>
      <w:r w:rsidRPr="006571AC">
        <w:rPr>
          <w:rFonts w:cs="DanaFajr"/>
          <w:sz w:val="28"/>
          <w:szCs w:val="28"/>
          <w:rtl/>
        </w:rPr>
        <w:t xml:space="preserve"> </w:t>
      </w:r>
      <w:r w:rsidRPr="006571AC">
        <w:rPr>
          <w:rFonts w:cs="DanaFajr" w:hint="eastAsia"/>
          <w:sz w:val="28"/>
          <w:szCs w:val="28"/>
          <w:rtl/>
        </w:rPr>
        <w:t>المكاسب</w:t>
      </w:r>
      <w:r w:rsidRPr="006571AC">
        <w:rPr>
          <w:rFonts w:cs="DanaFajr"/>
          <w:sz w:val="28"/>
          <w:szCs w:val="28"/>
          <w:rtl/>
        </w:rPr>
        <w:t xml:space="preserve"> 1: 72</w:t>
      </w:r>
      <w:r w:rsidRPr="006571AC">
        <w:rPr>
          <w:rFonts w:cs="DanaFajr" w:hint="cs"/>
          <w:sz w:val="28"/>
          <w:szCs w:val="28"/>
          <w:rtl/>
        </w:rPr>
        <w:t>، مؤسسة اسماعيليان، قم، ط2، 1421هـ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محمد كاظم الطباطبائي</w:t>
      </w:r>
      <w:r w:rsidRPr="006571AC">
        <w:rPr>
          <w:rFonts w:cs="DanaFajr" w:hint="eastAsia"/>
          <w:sz w:val="28"/>
          <w:szCs w:val="28"/>
          <w:rtl/>
        </w:rPr>
        <w:t xml:space="preserve"> اليزدي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العروة</w:t>
      </w:r>
      <w:r w:rsidRPr="006571AC">
        <w:rPr>
          <w:rFonts w:cs="DanaFajr"/>
          <w:sz w:val="28"/>
          <w:szCs w:val="28"/>
          <w:rtl/>
        </w:rPr>
        <w:t xml:space="preserve"> </w:t>
      </w:r>
      <w:r w:rsidRPr="006571AC">
        <w:rPr>
          <w:rFonts w:cs="DanaFajr" w:hint="eastAsia"/>
          <w:sz w:val="28"/>
          <w:szCs w:val="28"/>
          <w:rtl/>
        </w:rPr>
        <w:t>الوثقى</w:t>
      </w:r>
      <w:r w:rsidRPr="006571AC">
        <w:rPr>
          <w:rFonts w:cs="DanaFajr" w:hint="cs"/>
          <w:sz w:val="28"/>
          <w:szCs w:val="28"/>
          <w:rtl/>
        </w:rPr>
        <w:t xml:space="preserve"> (المحشّى)</w:t>
      </w:r>
      <w:r w:rsidRPr="006571AC">
        <w:rPr>
          <w:rFonts w:cs="DanaFajr"/>
          <w:sz w:val="28"/>
          <w:szCs w:val="28"/>
          <w:rtl/>
        </w:rPr>
        <w:t xml:space="preserve"> 5: 321</w:t>
      </w:r>
      <w:r w:rsidRPr="006571AC">
        <w:rPr>
          <w:rFonts w:cs="DanaFajr" w:hint="cs"/>
          <w:sz w:val="28"/>
          <w:szCs w:val="28"/>
          <w:rtl/>
        </w:rPr>
        <w:t>، مؤسسة النشر الإسلامي، قم، ط1، 1419هـ</w:t>
      </w:r>
      <w:r w:rsidRPr="006571AC">
        <w:rPr>
          <w:rFonts w:cs="DanaFajr"/>
          <w:sz w:val="28"/>
          <w:szCs w:val="28"/>
          <w:rtl/>
        </w:rPr>
        <w:t xml:space="preserve">؛ </w:t>
      </w:r>
      <w:r w:rsidRPr="006571AC">
        <w:rPr>
          <w:rFonts w:cs="DanaFajr" w:hint="cs"/>
          <w:sz w:val="28"/>
          <w:szCs w:val="28"/>
          <w:rtl/>
        </w:rPr>
        <w:t>الميرزا محمد حسين الغروي</w:t>
      </w:r>
      <w:r w:rsidRPr="006571AC">
        <w:rPr>
          <w:rFonts w:cs="DanaFajr" w:hint="eastAsia"/>
          <w:sz w:val="28"/>
          <w:szCs w:val="28"/>
          <w:rtl/>
        </w:rPr>
        <w:t xml:space="preserve"> النائيني</w:t>
      </w:r>
      <w:r w:rsidRPr="006571AC">
        <w:rPr>
          <w:rFonts w:cs="DanaFajr" w:hint="cs"/>
          <w:sz w:val="28"/>
          <w:szCs w:val="28"/>
          <w:rtl/>
        </w:rPr>
        <w:t xml:space="preserve">، </w:t>
      </w:r>
      <w:r w:rsidRPr="006571AC">
        <w:rPr>
          <w:rFonts w:cs="DanaFajr" w:hint="eastAsia"/>
          <w:sz w:val="28"/>
          <w:szCs w:val="28"/>
          <w:rtl/>
        </w:rPr>
        <w:t>منية</w:t>
      </w:r>
      <w:r w:rsidRPr="006571AC">
        <w:rPr>
          <w:rFonts w:cs="DanaFajr"/>
          <w:sz w:val="28"/>
          <w:szCs w:val="28"/>
          <w:rtl/>
        </w:rPr>
        <w:t xml:space="preserve"> </w:t>
      </w:r>
      <w:r w:rsidRPr="006571AC">
        <w:rPr>
          <w:rFonts w:cs="DanaFajr" w:hint="eastAsia"/>
          <w:sz w:val="28"/>
          <w:szCs w:val="28"/>
          <w:rtl/>
        </w:rPr>
        <w:t>الطالب</w:t>
      </w:r>
      <w:r w:rsidRPr="006571AC">
        <w:rPr>
          <w:rFonts w:cs="DanaFajr" w:hint="cs"/>
          <w:sz w:val="28"/>
          <w:szCs w:val="28"/>
          <w:rtl/>
        </w:rPr>
        <w:t xml:space="preserve"> في حاشية المكاسب</w:t>
      </w:r>
      <w:r w:rsidRPr="006571AC">
        <w:rPr>
          <w:rFonts w:cs="DanaFajr" w:hint="eastAsia"/>
          <w:sz w:val="28"/>
          <w:szCs w:val="28"/>
          <w:rtl/>
        </w:rPr>
        <w:t>،</w:t>
      </w:r>
      <w:r w:rsidRPr="006571AC">
        <w:rPr>
          <w:rFonts w:cs="DanaFajr"/>
          <w:sz w:val="28"/>
          <w:szCs w:val="28"/>
          <w:rtl/>
        </w:rPr>
        <w:t xml:space="preserve"> 1: 255</w:t>
      </w:r>
      <w:r w:rsidRPr="006571AC">
        <w:rPr>
          <w:rFonts w:cs="DanaFajr" w:hint="cs"/>
          <w:sz w:val="28"/>
          <w:szCs w:val="28"/>
          <w:rtl/>
        </w:rPr>
        <w:t>، المكتبة المحمدية، طهران، ط1، 1373هـ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محمد حسين بن علي</w:t>
      </w:r>
      <w:r w:rsidRPr="006571AC">
        <w:rPr>
          <w:rFonts w:cs="DanaFajr" w:hint="eastAsia"/>
          <w:sz w:val="28"/>
          <w:szCs w:val="28"/>
          <w:rtl/>
        </w:rPr>
        <w:t xml:space="preserve"> كاشف</w:t>
      </w:r>
      <w:r w:rsidRPr="006571AC">
        <w:rPr>
          <w:rFonts w:cs="DanaFajr"/>
          <w:sz w:val="28"/>
          <w:szCs w:val="28"/>
          <w:rtl/>
        </w:rPr>
        <w:t xml:space="preserve"> </w:t>
      </w:r>
      <w:r w:rsidRPr="006571AC">
        <w:rPr>
          <w:rFonts w:cs="DanaFajr" w:hint="eastAsia"/>
          <w:sz w:val="28"/>
          <w:szCs w:val="28"/>
          <w:rtl/>
        </w:rPr>
        <w:t>الغطاء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تحرير</w:t>
      </w:r>
      <w:r w:rsidRPr="006571AC">
        <w:rPr>
          <w:rFonts w:cs="DanaFajr"/>
          <w:sz w:val="28"/>
          <w:szCs w:val="28"/>
          <w:rtl/>
        </w:rPr>
        <w:t xml:space="preserve"> </w:t>
      </w:r>
      <w:r w:rsidRPr="006571AC">
        <w:rPr>
          <w:rFonts w:cs="DanaFajr" w:hint="eastAsia"/>
          <w:sz w:val="28"/>
          <w:szCs w:val="28"/>
          <w:rtl/>
        </w:rPr>
        <w:t>المجلة</w:t>
      </w:r>
      <w:r w:rsidRPr="006571AC">
        <w:rPr>
          <w:rFonts w:cs="DanaFajr"/>
          <w:sz w:val="28"/>
          <w:szCs w:val="28"/>
          <w:rtl/>
        </w:rPr>
        <w:t xml:space="preserve"> 1: 90</w:t>
      </w:r>
      <w:r w:rsidRPr="006571AC">
        <w:rPr>
          <w:rFonts w:cs="DanaFajr" w:hint="cs"/>
          <w:sz w:val="28"/>
          <w:szCs w:val="28"/>
          <w:rtl/>
        </w:rPr>
        <w:t>، المكتبة المرتضوية، النجف الأشرف، ط1، 1359هـ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أحمد بن يوسف</w:t>
      </w:r>
      <w:r w:rsidRPr="006571AC">
        <w:rPr>
          <w:rFonts w:cs="DanaFajr" w:hint="eastAsia"/>
          <w:sz w:val="28"/>
          <w:szCs w:val="28"/>
          <w:rtl/>
        </w:rPr>
        <w:t xml:space="preserve"> الخوانساري،</w:t>
      </w:r>
      <w:r w:rsidRPr="006571AC">
        <w:rPr>
          <w:rFonts w:cs="DanaFajr"/>
          <w:sz w:val="28"/>
          <w:szCs w:val="28"/>
          <w:rtl/>
        </w:rPr>
        <w:t xml:space="preserve"> </w:t>
      </w:r>
      <w:r w:rsidRPr="006571AC">
        <w:rPr>
          <w:rFonts w:cs="DanaFajr" w:hint="eastAsia"/>
          <w:sz w:val="28"/>
          <w:szCs w:val="28"/>
          <w:rtl/>
        </w:rPr>
        <w:t>جامع</w:t>
      </w:r>
      <w:r w:rsidRPr="006571AC">
        <w:rPr>
          <w:rFonts w:cs="DanaFajr"/>
          <w:sz w:val="28"/>
          <w:szCs w:val="28"/>
          <w:rtl/>
        </w:rPr>
        <w:t xml:space="preserve"> </w:t>
      </w:r>
      <w:r w:rsidRPr="006571AC">
        <w:rPr>
          <w:rFonts w:cs="DanaFajr" w:hint="eastAsia"/>
          <w:sz w:val="28"/>
          <w:szCs w:val="28"/>
          <w:rtl/>
        </w:rPr>
        <w:t>المدارك</w:t>
      </w:r>
      <w:r w:rsidRPr="006571AC">
        <w:rPr>
          <w:rFonts w:cs="DanaFajr" w:hint="cs"/>
          <w:sz w:val="28"/>
          <w:szCs w:val="28"/>
          <w:rtl/>
        </w:rPr>
        <w:t xml:space="preserve"> في شرح مختصر النافع</w:t>
      </w:r>
      <w:r w:rsidRPr="006571AC">
        <w:rPr>
          <w:rFonts w:cs="DanaFajr"/>
          <w:sz w:val="28"/>
          <w:szCs w:val="28"/>
          <w:rtl/>
        </w:rPr>
        <w:t xml:space="preserve"> 5: 210</w:t>
      </w:r>
      <w:r w:rsidRPr="006571AC">
        <w:rPr>
          <w:rFonts w:cs="DanaFajr" w:hint="cs"/>
          <w:sz w:val="28"/>
          <w:szCs w:val="28"/>
          <w:rtl/>
        </w:rPr>
        <w:t>، مؤسسة إسماعيليان، قم، ط2، 1405هـ</w:t>
      </w:r>
      <w:r w:rsidRPr="006571AC">
        <w:rPr>
          <w:rFonts w:cs="DanaFajr"/>
          <w:sz w:val="28"/>
          <w:szCs w:val="28"/>
          <w:rtl/>
        </w:rPr>
        <w:t>.</w:t>
      </w:r>
    </w:p>
  </w:endnote>
  <w:endnote w:id="24">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محمد بن زين الدين (ابن أبي جمهور الأحسائي)، عوالي اللآلي العزيزية في الأحاديث الدينية 1: 222، دار سيد الشهداء للنشر، قم، ط1، 1405</w:t>
      </w:r>
      <w:r w:rsidRPr="006571AC">
        <w:rPr>
          <w:rFonts w:cs="DanaFajr" w:hint="cs"/>
          <w:sz w:val="28"/>
          <w:szCs w:val="28"/>
          <w:rtl/>
        </w:rPr>
        <w:t xml:space="preserve"> هـ</w:t>
      </w:r>
      <w:r w:rsidRPr="006571AC">
        <w:rPr>
          <w:rFonts w:cs="DanaFajr" w:hint="eastAsia"/>
          <w:sz w:val="28"/>
          <w:szCs w:val="28"/>
          <w:rtl/>
          <w:lang w:bidi="ar-LB"/>
        </w:rPr>
        <w:t>؛</w:t>
      </w:r>
      <w:r w:rsidRPr="006571AC">
        <w:rPr>
          <w:rFonts w:cs="DanaFajr" w:hint="cs"/>
          <w:sz w:val="28"/>
          <w:szCs w:val="28"/>
          <w:rtl/>
          <w:lang w:bidi="ar-LB"/>
        </w:rPr>
        <w:t xml:space="preserve"> محمد باقر بن محمد تقي المجلسي، بحار الأنوار 2: 268، دار إحياء التراث العربي، بيروت، ط2، 1403</w:t>
      </w:r>
      <w:r w:rsidRPr="006571AC">
        <w:rPr>
          <w:rFonts w:cs="DanaFajr" w:hint="cs"/>
          <w:sz w:val="28"/>
          <w:szCs w:val="28"/>
          <w:rtl/>
        </w:rPr>
        <w:t>هـ</w:t>
      </w:r>
      <w:r w:rsidRPr="006571AC">
        <w:rPr>
          <w:rFonts w:cs="DanaFajr" w:hint="cs"/>
          <w:sz w:val="28"/>
          <w:szCs w:val="28"/>
          <w:rtl/>
          <w:lang w:bidi="ar-LB"/>
        </w:rPr>
        <w:t>.</w:t>
      </w:r>
    </w:p>
  </w:endnote>
  <w:endnote w:id="25">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باقر</w:t>
      </w:r>
      <w:r w:rsidRPr="006571AC">
        <w:rPr>
          <w:rFonts w:cs="DanaFajr" w:hint="eastAsia"/>
          <w:sz w:val="28"/>
          <w:szCs w:val="28"/>
          <w:rtl/>
        </w:rPr>
        <w:t xml:space="preserve"> الصدر</w:t>
      </w:r>
      <w:r w:rsidRPr="006571AC">
        <w:rPr>
          <w:rFonts w:cs="DanaFajr" w:hint="cs"/>
          <w:sz w:val="28"/>
          <w:szCs w:val="28"/>
          <w:rtl/>
        </w:rPr>
        <w:t xml:space="preserve">، </w:t>
      </w:r>
      <w:r w:rsidRPr="006571AC">
        <w:rPr>
          <w:rFonts w:cs="DanaFajr" w:hint="eastAsia"/>
          <w:sz w:val="28"/>
          <w:szCs w:val="28"/>
          <w:rtl/>
        </w:rPr>
        <w:t>القواعد</w:t>
      </w:r>
      <w:r w:rsidRPr="006571AC">
        <w:rPr>
          <w:rFonts w:cs="DanaFajr"/>
          <w:sz w:val="28"/>
          <w:szCs w:val="28"/>
          <w:rtl/>
        </w:rPr>
        <w:t xml:space="preserve"> </w:t>
      </w:r>
      <w:r w:rsidRPr="006571AC">
        <w:rPr>
          <w:rFonts w:cs="DanaFajr" w:hint="eastAsia"/>
          <w:sz w:val="28"/>
          <w:szCs w:val="28"/>
          <w:rtl/>
        </w:rPr>
        <w:t>الفقهية</w:t>
      </w:r>
      <w:r w:rsidRPr="006571AC">
        <w:rPr>
          <w:rFonts w:cs="DanaFajr" w:hint="cs"/>
          <w:sz w:val="28"/>
          <w:szCs w:val="28"/>
          <w:rtl/>
        </w:rPr>
        <w:t xml:space="preserve"> (مباحث الأصول)</w:t>
      </w:r>
      <w:r w:rsidRPr="006571AC">
        <w:rPr>
          <w:rFonts w:cs="DanaFajr"/>
          <w:sz w:val="28"/>
          <w:szCs w:val="28"/>
          <w:rtl/>
        </w:rPr>
        <w:t xml:space="preserve"> 4: 616</w:t>
      </w:r>
      <w:r w:rsidRPr="006571AC">
        <w:rPr>
          <w:rFonts w:cs="DanaFajr" w:hint="cs"/>
          <w:sz w:val="28"/>
          <w:szCs w:val="28"/>
          <w:rtl/>
        </w:rPr>
        <w:t>، نشر مكتب المقرِّر، قم، ط1، 1408هـ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ناصر</w:t>
      </w:r>
      <w:r w:rsidRPr="006571AC">
        <w:rPr>
          <w:rFonts w:cs="DanaFajr" w:hint="eastAsia"/>
          <w:sz w:val="28"/>
          <w:szCs w:val="28"/>
          <w:rtl/>
        </w:rPr>
        <w:t xml:space="preserve"> مكارم</w:t>
      </w:r>
      <w:r w:rsidRPr="006571AC">
        <w:rPr>
          <w:rFonts w:cs="DanaFajr" w:hint="cs"/>
          <w:sz w:val="28"/>
          <w:szCs w:val="28"/>
          <w:rtl/>
        </w:rPr>
        <w:t xml:space="preserve"> الشيرازي، </w:t>
      </w:r>
      <w:r w:rsidRPr="006571AC">
        <w:rPr>
          <w:rFonts w:cs="DanaFajr" w:hint="eastAsia"/>
          <w:sz w:val="28"/>
          <w:szCs w:val="28"/>
          <w:rtl/>
        </w:rPr>
        <w:t>القواعد</w:t>
      </w:r>
      <w:r w:rsidRPr="006571AC">
        <w:rPr>
          <w:rFonts w:cs="DanaFajr"/>
          <w:sz w:val="28"/>
          <w:szCs w:val="28"/>
          <w:rtl/>
        </w:rPr>
        <w:t xml:space="preserve"> </w:t>
      </w:r>
      <w:r w:rsidRPr="006571AC">
        <w:rPr>
          <w:rFonts w:cs="DanaFajr" w:hint="eastAsia"/>
          <w:sz w:val="28"/>
          <w:szCs w:val="28"/>
          <w:rtl/>
        </w:rPr>
        <w:t>الفقهية</w:t>
      </w:r>
      <w:r w:rsidRPr="006571AC">
        <w:rPr>
          <w:rFonts w:cs="DanaFajr"/>
          <w:sz w:val="28"/>
          <w:szCs w:val="28"/>
          <w:rtl/>
        </w:rPr>
        <w:t xml:space="preserve"> 2: 21</w:t>
      </w:r>
      <w:r w:rsidRPr="006571AC">
        <w:rPr>
          <w:rFonts w:cs="DanaFajr" w:hint="cs"/>
          <w:sz w:val="28"/>
          <w:szCs w:val="28"/>
          <w:rtl/>
        </w:rPr>
        <w:t>، مدرسة الإمام أمير المؤمنين</w:t>
      </w:r>
      <w:r w:rsidRPr="006571AC">
        <w:rPr>
          <w:rFonts w:ascii="Mosawi" w:hAnsi="Mosawi" w:cs="Mosawi"/>
          <w:rtl/>
        </w:rPr>
        <w:t>×</w:t>
      </w:r>
      <w:r w:rsidRPr="006571AC">
        <w:rPr>
          <w:rFonts w:cs="DanaFajr" w:hint="cs"/>
          <w:sz w:val="28"/>
          <w:szCs w:val="28"/>
          <w:rtl/>
        </w:rPr>
        <w:t>، قم، ط3، 1411هـ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مصطفى</w:t>
      </w:r>
      <w:r w:rsidRPr="006571AC">
        <w:rPr>
          <w:rFonts w:cs="DanaFajr" w:hint="eastAsia"/>
          <w:sz w:val="28"/>
          <w:szCs w:val="28"/>
          <w:rtl/>
        </w:rPr>
        <w:t xml:space="preserve"> </w:t>
      </w:r>
      <w:r w:rsidRPr="006571AC">
        <w:rPr>
          <w:rFonts w:cs="DanaFajr" w:hint="cs"/>
          <w:sz w:val="28"/>
          <w:szCs w:val="28"/>
          <w:rtl/>
        </w:rPr>
        <w:t>(</w:t>
      </w:r>
      <w:r w:rsidRPr="006571AC">
        <w:rPr>
          <w:rFonts w:cs="DanaFajr" w:hint="eastAsia"/>
          <w:sz w:val="28"/>
          <w:szCs w:val="28"/>
          <w:rtl/>
        </w:rPr>
        <w:t>المحق</w:t>
      </w:r>
      <w:r w:rsidRPr="006571AC">
        <w:rPr>
          <w:rFonts w:cs="DanaFajr" w:hint="cs"/>
          <w:sz w:val="28"/>
          <w:szCs w:val="28"/>
          <w:rtl/>
        </w:rPr>
        <w:t>ِّ</w:t>
      </w:r>
      <w:r w:rsidRPr="006571AC">
        <w:rPr>
          <w:rFonts w:cs="DanaFajr" w:hint="eastAsia"/>
          <w:sz w:val="28"/>
          <w:szCs w:val="28"/>
          <w:rtl/>
        </w:rPr>
        <w:t>ق</w:t>
      </w:r>
      <w:r w:rsidRPr="006571AC">
        <w:rPr>
          <w:rFonts w:cs="DanaFajr"/>
          <w:sz w:val="28"/>
          <w:szCs w:val="28"/>
          <w:rtl/>
        </w:rPr>
        <w:t xml:space="preserve"> </w:t>
      </w:r>
      <w:r w:rsidRPr="006571AC">
        <w:rPr>
          <w:rFonts w:cs="DanaFajr" w:hint="eastAsia"/>
          <w:sz w:val="28"/>
          <w:szCs w:val="28"/>
          <w:rtl/>
        </w:rPr>
        <w:t>الداماد</w:t>
      </w:r>
      <w:r w:rsidRPr="006571AC">
        <w:rPr>
          <w:rFonts w:cs="DanaFajr" w:hint="cs"/>
          <w:sz w:val="28"/>
          <w:szCs w:val="28"/>
          <w:rtl/>
        </w:rPr>
        <w:t>)</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قواعد</w:t>
      </w:r>
      <w:r w:rsidRPr="006571AC">
        <w:rPr>
          <w:rFonts w:cs="DanaFajr"/>
          <w:sz w:val="28"/>
          <w:szCs w:val="28"/>
          <w:rtl/>
        </w:rPr>
        <w:t xml:space="preserve"> </w:t>
      </w:r>
      <w:r w:rsidRPr="006571AC">
        <w:rPr>
          <w:rFonts w:cs="DanaFajr" w:hint="eastAsia"/>
          <w:sz w:val="28"/>
          <w:szCs w:val="28"/>
          <w:rtl/>
        </w:rPr>
        <w:t>الفقه</w:t>
      </w:r>
      <w:r w:rsidRPr="006571AC">
        <w:rPr>
          <w:rFonts w:cs="DanaFajr"/>
          <w:sz w:val="28"/>
          <w:szCs w:val="28"/>
          <w:rtl/>
        </w:rPr>
        <w:t xml:space="preserve"> 2: 116</w:t>
      </w:r>
      <w:r w:rsidRPr="006571AC">
        <w:rPr>
          <w:rFonts w:cs="DanaFajr" w:hint="cs"/>
          <w:sz w:val="28"/>
          <w:szCs w:val="28"/>
          <w:rtl/>
        </w:rPr>
        <w:t>، مركز نشر العلوم الإسلامية، طهران، ط12، 1406هـ</w:t>
      </w:r>
      <w:r w:rsidRPr="006571AC">
        <w:rPr>
          <w:rFonts w:cs="DanaFajr"/>
          <w:sz w:val="28"/>
          <w:szCs w:val="28"/>
          <w:rtl/>
        </w:rPr>
        <w:t>.</w:t>
      </w:r>
    </w:p>
  </w:endnote>
  <w:endnote w:id="26">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أبو جعفر</w:t>
      </w:r>
      <w:r w:rsidRPr="006571AC">
        <w:rPr>
          <w:rFonts w:cs="DanaFajr" w:hint="eastAsia"/>
          <w:sz w:val="28"/>
          <w:szCs w:val="28"/>
          <w:rtl/>
        </w:rPr>
        <w:t xml:space="preserve"> الطوسي</w:t>
      </w:r>
      <w:r w:rsidRPr="006571AC">
        <w:rPr>
          <w:rFonts w:cs="DanaFajr" w:hint="cs"/>
          <w:sz w:val="28"/>
          <w:szCs w:val="28"/>
          <w:rtl/>
        </w:rPr>
        <w:t xml:space="preserve">، </w:t>
      </w:r>
      <w:r w:rsidRPr="006571AC">
        <w:rPr>
          <w:rFonts w:cs="DanaFajr" w:hint="eastAsia"/>
          <w:sz w:val="28"/>
          <w:szCs w:val="28"/>
          <w:rtl/>
        </w:rPr>
        <w:t>الخلاف</w:t>
      </w:r>
      <w:r w:rsidRPr="006571AC">
        <w:rPr>
          <w:rFonts w:cs="DanaFajr"/>
          <w:sz w:val="28"/>
          <w:szCs w:val="28"/>
          <w:rtl/>
        </w:rPr>
        <w:t xml:space="preserve"> 3: 176</w:t>
      </w:r>
      <w:r w:rsidRPr="006571AC">
        <w:rPr>
          <w:rFonts w:cs="DanaFajr" w:hint="cs"/>
          <w:sz w:val="28"/>
          <w:szCs w:val="28"/>
          <w:rtl/>
        </w:rPr>
        <w:t>، مؤسسة النشر الإسلامي، قم، ط1، 1407هـ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حسن بن أبي طالب اليوسفي</w:t>
      </w:r>
      <w:r w:rsidRPr="006571AC">
        <w:rPr>
          <w:rFonts w:cs="DanaFajr" w:hint="eastAsia"/>
          <w:sz w:val="28"/>
          <w:szCs w:val="28"/>
          <w:rtl/>
        </w:rPr>
        <w:t xml:space="preserve"> </w:t>
      </w:r>
      <w:r w:rsidRPr="006571AC">
        <w:rPr>
          <w:rFonts w:cs="DanaFajr" w:hint="cs"/>
          <w:sz w:val="28"/>
          <w:szCs w:val="28"/>
          <w:rtl/>
        </w:rPr>
        <w:t>(الفاضل</w:t>
      </w:r>
      <w:r w:rsidRPr="006571AC">
        <w:rPr>
          <w:rFonts w:cs="DanaFajr" w:hint="eastAsia"/>
          <w:sz w:val="28"/>
          <w:szCs w:val="28"/>
          <w:rtl/>
        </w:rPr>
        <w:t xml:space="preserve"> الآبي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كشف</w:t>
      </w:r>
      <w:r w:rsidRPr="006571AC">
        <w:rPr>
          <w:rFonts w:cs="DanaFajr"/>
          <w:sz w:val="28"/>
          <w:szCs w:val="28"/>
          <w:rtl/>
        </w:rPr>
        <w:t xml:space="preserve"> </w:t>
      </w:r>
      <w:r w:rsidRPr="006571AC">
        <w:rPr>
          <w:rFonts w:cs="DanaFajr" w:hint="eastAsia"/>
          <w:sz w:val="28"/>
          <w:szCs w:val="28"/>
          <w:rtl/>
        </w:rPr>
        <w:t>الرموز</w:t>
      </w:r>
      <w:r w:rsidRPr="006571AC">
        <w:rPr>
          <w:rFonts w:cs="DanaFajr" w:hint="cs"/>
          <w:sz w:val="28"/>
          <w:szCs w:val="28"/>
          <w:rtl/>
        </w:rPr>
        <w:t xml:space="preserve"> في شرح المختصر النافع</w:t>
      </w:r>
      <w:r w:rsidRPr="006571AC">
        <w:rPr>
          <w:rFonts w:cs="DanaFajr"/>
          <w:sz w:val="28"/>
          <w:szCs w:val="28"/>
          <w:rtl/>
        </w:rPr>
        <w:t xml:space="preserve"> 1: 465</w:t>
      </w:r>
      <w:r w:rsidRPr="006571AC">
        <w:rPr>
          <w:rFonts w:cs="DanaFajr" w:hint="cs"/>
          <w:sz w:val="28"/>
          <w:szCs w:val="28"/>
          <w:rtl/>
        </w:rPr>
        <w:t>، مؤسسة النشر الإسلامي، قم، ط3، 1417هـ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جعفر بن حسن</w:t>
      </w:r>
      <w:r w:rsidRPr="006571AC">
        <w:rPr>
          <w:rFonts w:cs="DanaFajr" w:hint="eastAsia"/>
          <w:sz w:val="28"/>
          <w:szCs w:val="28"/>
          <w:rtl/>
        </w:rPr>
        <w:t xml:space="preserve"> </w:t>
      </w:r>
      <w:r w:rsidRPr="006571AC">
        <w:rPr>
          <w:rFonts w:cs="DanaFajr" w:hint="cs"/>
          <w:sz w:val="28"/>
          <w:szCs w:val="28"/>
          <w:rtl/>
        </w:rPr>
        <w:t>(</w:t>
      </w:r>
      <w:r w:rsidRPr="006571AC">
        <w:rPr>
          <w:rFonts w:cs="DanaFajr" w:hint="eastAsia"/>
          <w:sz w:val="28"/>
          <w:szCs w:val="28"/>
          <w:rtl/>
        </w:rPr>
        <w:t>المحق</w:t>
      </w:r>
      <w:r w:rsidRPr="006571AC">
        <w:rPr>
          <w:rFonts w:cs="DanaFajr" w:hint="cs"/>
          <w:sz w:val="28"/>
          <w:szCs w:val="28"/>
          <w:rtl/>
        </w:rPr>
        <w:t>ّ</w:t>
      </w:r>
      <w:r w:rsidRPr="006571AC">
        <w:rPr>
          <w:rFonts w:cs="DanaFajr" w:hint="eastAsia"/>
          <w:sz w:val="28"/>
          <w:szCs w:val="28"/>
          <w:rtl/>
        </w:rPr>
        <w:t>ق</w:t>
      </w:r>
      <w:r w:rsidRPr="006571AC">
        <w:rPr>
          <w:rFonts w:cs="DanaFajr"/>
          <w:sz w:val="28"/>
          <w:szCs w:val="28"/>
          <w:rtl/>
        </w:rPr>
        <w:t xml:space="preserve"> </w:t>
      </w:r>
      <w:r w:rsidRPr="006571AC">
        <w:rPr>
          <w:rFonts w:cs="DanaFajr" w:hint="eastAsia"/>
          <w:sz w:val="28"/>
          <w:szCs w:val="28"/>
          <w:rtl/>
        </w:rPr>
        <w:t>الحل</w:t>
      </w:r>
      <w:r w:rsidRPr="006571AC">
        <w:rPr>
          <w:rFonts w:cs="DanaFajr" w:hint="cs"/>
          <w:sz w:val="28"/>
          <w:szCs w:val="28"/>
          <w:rtl/>
        </w:rPr>
        <w:t>ّ</w:t>
      </w:r>
      <w:r w:rsidRPr="006571AC">
        <w:rPr>
          <w:rFonts w:cs="DanaFajr" w:hint="eastAsia"/>
          <w:sz w:val="28"/>
          <w:szCs w:val="28"/>
          <w:rtl/>
        </w:rPr>
        <w:t>ي</w:t>
      </w:r>
      <w:r w:rsidRPr="006571AC">
        <w:rPr>
          <w:rFonts w:cs="DanaFajr" w:hint="cs"/>
          <w:sz w:val="28"/>
          <w:szCs w:val="28"/>
          <w:rtl/>
        </w:rPr>
        <w:t xml:space="preserve">)، </w:t>
      </w:r>
      <w:r w:rsidRPr="006571AC">
        <w:rPr>
          <w:rFonts w:cs="DanaFajr" w:hint="eastAsia"/>
          <w:sz w:val="28"/>
          <w:szCs w:val="28"/>
          <w:rtl/>
        </w:rPr>
        <w:t>نكت</w:t>
      </w:r>
      <w:r w:rsidRPr="006571AC">
        <w:rPr>
          <w:rFonts w:cs="DanaFajr"/>
          <w:sz w:val="28"/>
          <w:szCs w:val="28"/>
          <w:rtl/>
        </w:rPr>
        <w:t xml:space="preserve"> </w:t>
      </w:r>
      <w:r w:rsidRPr="006571AC">
        <w:rPr>
          <w:rFonts w:cs="DanaFajr" w:hint="eastAsia"/>
          <w:sz w:val="28"/>
          <w:szCs w:val="28"/>
          <w:rtl/>
        </w:rPr>
        <w:t>النهاية</w:t>
      </w:r>
      <w:r w:rsidRPr="006571AC">
        <w:rPr>
          <w:rFonts w:cs="DanaFajr"/>
          <w:sz w:val="28"/>
          <w:szCs w:val="28"/>
          <w:rtl/>
        </w:rPr>
        <w:t xml:space="preserve"> 3: 354</w:t>
      </w:r>
      <w:r w:rsidRPr="006571AC">
        <w:rPr>
          <w:rFonts w:cs="DanaFajr" w:hint="cs"/>
          <w:sz w:val="28"/>
          <w:szCs w:val="28"/>
          <w:rtl/>
        </w:rPr>
        <w:t>، مؤسسة النشر الإسلامي، قم، ط1، 1412هـ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حسن بن يوسف بن مطهر الأسدي</w:t>
      </w:r>
      <w:r w:rsidRPr="006571AC">
        <w:rPr>
          <w:rFonts w:cs="DanaFajr" w:hint="eastAsia"/>
          <w:sz w:val="28"/>
          <w:szCs w:val="28"/>
          <w:rtl/>
        </w:rPr>
        <w:t xml:space="preserve"> </w:t>
      </w:r>
      <w:r w:rsidRPr="006571AC">
        <w:rPr>
          <w:rFonts w:cs="DanaFajr" w:hint="cs"/>
          <w:sz w:val="28"/>
          <w:szCs w:val="28"/>
          <w:rtl/>
        </w:rPr>
        <w:t>(</w:t>
      </w:r>
      <w:r w:rsidRPr="006571AC">
        <w:rPr>
          <w:rFonts w:cs="DanaFajr" w:hint="eastAsia"/>
          <w:sz w:val="28"/>
          <w:szCs w:val="28"/>
          <w:rtl/>
        </w:rPr>
        <w:t>العلا</w:t>
      </w:r>
      <w:r w:rsidRPr="006571AC">
        <w:rPr>
          <w:rFonts w:cs="DanaFajr" w:hint="cs"/>
          <w:sz w:val="28"/>
          <w:szCs w:val="28"/>
          <w:rtl/>
        </w:rPr>
        <w:t>ّ</w:t>
      </w:r>
      <w:r w:rsidRPr="006571AC">
        <w:rPr>
          <w:rFonts w:cs="DanaFajr" w:hint="eastAsia"/>
          <w:sz w:val="28"/>
          <w:szCs w:val="28"/>
          <w:rtl/>
        </w:rPr>
        <w:t>مة</w:t>
      </w:r>
      <w:r w:rsidRPr="006571AC">
        <w:rPr>
          <w:rFonts w:cs="DanaFajr"/>
          <w:sz w:val="28"/>
          <w:szCs w:val="28"/>
          <w:rtl/>
        </w:rPr>
        <w:t xml:space="preserve"> </w:t>
      </w:r>
      <w:r w:rsidRPr="006571AC">
        <w:rPr>
          <w:rFonts w:cs="DanaFajr" w:hint="eastAsia"/>
          <w:sz w:val="28"/>
          <w:szCs w:val="28"/>
          <w:rtl/>
        </w:rPr>
        <w:t>الحل</w:t>
      </w:r>
      <w:r w:rsidRPr="006571AC">
        <w:rPr>
          <w:rFonts w:cs="DanaFajr" w:hint="cs"/>
          <w:sz w:val="28"/>
          <w:szCs w:val="28"/>
          <w:rtl/>
        </w:rPr>
        <w:t>ّ</w:t>
      </w:r>
      <w:r w:rsidRPr="006571AC">
        <w:rPr>
          <w:rFonts w:cs="DanaFajr" w:hint="eastAsia"/>
          <w:sz w:val="28"/>
          <w:szCs w:val="28"/>
          <w:rtl/>
        </w:rPr>
        <w:t>ي</w:t>
      </w:r>
      <w:r w:rsidRPr="006571AC">
        <w:rPr>
          <w:rFonts w:cs="DanaFajr" w:hint="cs"/>
          <w:sz w:val="28"/>
          <w:szCs w:val="28"/>
          <w:rtl/>
        </w:rPr>
        <w:t xml:space="preserve">)، </w:t>
      </w:r>
      <w:r w:rsidRPr="006571AC">
        <w:rPr>
          <w:rFonts w:cs="DanaFajr" w:hint="eastAsia"/>
          <w:sz w:val="28"/>
          <w:szCs w:val="28"/>
          <w:rtl/>
        </w:rPr>
        <w:t>تذكرة</w:t>
      </w:r>
      <w:r w:rsidRPr="006571AC">
        <w:rPr>
          <w:rFonts w:cs="DanaFajr"/>
          <w:sz w:val="28"/>
          <w:szCs w:val="28"/>
          <w:rtl/>
        </w:rPr>
        <w:t xml:space="preserve"> </w:t>
      </w:r>
      <w:r w:rsidRPr="006571AC">
        <w:rPr>
          <w:rFonts w:cs="DanaFajr" w:hint="eastAsia"/>
          <w:sz w:val="28"/>
          <w:szCs w:val="28"/>
          <w:rtl/>
        </w:rPr>
        <w:t>الفقهاء</w:t>
      </w:r>
      <w:r w:rsidRPr="006571AC">
        <w:rPr>
          <w:rFonts w:cs="DanaFajr"/>
          <w:sz w:val="28"/>
          <w:szCs w:val="28"/>
          <w:rtl/>
        </w:rPr>
        <w:t xml:space="preserve"> 10: 247</w:t>
      </w:r>
      <w:r w:rsidRPr="006571AC">
        <w:rPr>
          <w:rFonts w:cs="DanaFajr" w:hint="cs"/>
          <w:sz w:val="28"/>
          <w:szCs w:val="28"/>
          <w:rtl/>
        </w:rPr>
        <w:t>، مؤسّسة آل البيت</w:t>
      </w:r>
      <w:r w:rsidRPr="006571AC">
        <w:rPr>
          <w:rFonts w:ascii="Mosawi" w:hAnsi="Mosawi" w:cs="Mosawi"/>
          <w:rtl/>
        </w:rPr>
        <w:t>^</w:t>
      </w:r>
      <w:r w:rsidRPr="006571AC">
        <w:rPr>
          <w:rFonts w:cs="DanaFajr" w:hint="cs"/>
          <w:sz w:val="28"/>
          <w:szCs w:val="28"/>
          <w:rtl/>
        </w:rPr>
        <w:t xml:space="preserve"> لإحياء التراث، قم، ط1، 1414هـ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حسن بن يوسف بن مطهر الأسدي</w:t>
      </w:r>
      <w:r w:rsidRPr="006571AC">
        <w:rPr>
          <w:rFonts w:cs="DanaFajr" w:hint="eastAsia"/>
          <w:sz w:val="28"/>
          <w:szCs w:val="28"/>
          <w:rtl/>
        </w:rPr>
        <w:t xml:space="preserve"> </w:t>
      </w:r>
      <w:r w:rsidRPr="006571AC">
        <w:rPr>
          <w:rFonts w:cs="DanaFajr" w:hint="cs"/>
          <w:sz w:val="28"/>
          <w:szCs w:val="28"/>
          <w:rtl/>
        </w:rPr>
        <w:t>(</w:t>
      </w:r>
      <w:r w:rsidRPr="006571AC">
        <w:rPr>
          <w:rFonts w:cs="DanaFajr" w:hint="eastAsia"/>
          <w:sz w:val="28"/>
          <w:szCs w:val="28"/>
          <w:rtl/>
        </w:rPr>
        <w:t>العلا</w:t>
      </w:r>
      <w:r w:rsidRPr="006571AC">
        <w:rPr>
          <w:rFonts w:cs="DanaFajr" w:hint="cs"/>
          <w:sz w:val="28"/>
          <w:szCs w:val="28"/>
          <w:rtl/>
        </w:rPr>
        <w:t>ّ</w:t>
      </w:r>
      <w:r w:rsidRPr="006571AC">
        <w:rPr>
          <w:rFonts w:cs="DanaFajr" w:hint="eastAsia"/>
          <w:sz w:val="28"/>
          <w:szCs w:val="28"/>
          <w:rtl/>
        </w:rPr>
        <w:t>مة</w:t>
      </w:r>
      <w:r w:rsidRPr="006571AC">
        <w:rPr>
          <w:rFonts w:cs="DanaFajr"/>
          <w:sz w:val="28"/>
          <w:szCs w:val="28"/>
          <w:rtl/>
        </w:rPr>
        <w:t xml:space="preserve"> </w:t>
      </w:r>
      <w:r w:rsidRPr="006571AC">
        <w:rPr>
          <w:rFonts w:cs="DanaFajr" w:hint="eastAsia"/>
          <w:sz w:val="28"/>
          <w:szCs w:val="28"/>
          <w:rtl/>
        </w:rPr>
        <w:t>الحل</w:t>
      </w:r>
      <w:r w:rsidRPr="006571AC">
        <w:rPr>
          <w:rFonts w:cs="DanaFajr" w:hint="cs"/>
          <w:sz w:val="28"/>
          <w:szCs w:val="28"/>
          <w:rtl/>
        </w:rPr>
        <w:t>ّ</w:t>
      </w:r>
      <w:r w:rsidRPr="006571AC">
        <w:rPr>
          <w:rFonts w:cs="DanaFajr" w:hint="eastAsia"/>
          <w:sz w:val="28"/>
          <w:szCs w:val="28"/>
          <w:rtl/>
        </w:rPr>
        <w:t>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مختلف</w:t>
      </w:r>
      <w:r w:rsidRPr="006571AC">
        <w:rPr>
          <w:rFonts w:cs="DanaFajr"/>
          <w:sz w:val="28"/>
          <w:szCs w:val="28"/>
          <w:rtl/>
        </w:rPr>
        <w:t xml:space="preserve"> </w:t>
      </w:r>
      <w:r w:rsidRPr="006571AC">
        <w:rPr>
          <w:rFonts w:cs="DanaFajr" w:hint="eastAsia"/>
          <w:sz w:val="28"/>
          <w:szCs w:val="28"/>
          <w:rtl/>
        </w:rPr>
        <w:t>الشيعة</w:t>
      </w:r>
      <w:r w:rsidRPr="006571AC">
        <w:rPr>
          <w:rFonts w:cs="DanaFajr"/>
          <w:sz w:val="28"/>
          <w:szCs w:val="28"/>
          <w:rtl/>
        </w:rPr>
        <w:t xml:space="preserve"> 5: 224</w:t>
      </w:r>
      <w:r w:rsidRPr="006571AC">
        <w:rPr>
          <w:rFonts w:cs="DanaFajr" w:hint="cs"/>
          <w:sz w:val="28"/>
          <w:szCs w:val="28"/>
          <w:rtl/>
        </w:rPr>
        <w:t>، مؤسسة النشر الإسلامي، قم، ط2، 1413هـ</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فخر</w:t>
      </w:r>
      <w:r w:rsidRPr="006571AC">
        <w:rPr>
          <w:rFonts w:cs="DanaFajr"/>
          <w:sz w:val="28"/>
          <w:szCs w:val="28"/>
          <w:rtl/>
        </w:rPr>
        <w:t xml:space="preserve"> </w:t>
      </w:r>
      <w:r w:rsidRPr="006571AC">
        <w:rPr>
          <w:rFonts w:cs="DanaFajr" w:hint="eastAsia"/>
          <w:sz w:val="28"/>
          <w:szCs w:val="28"/>
          <w:rtl/>
        </w:rPr>
        <w:t>المحق</w:t>
      </w:r>
      <w:r w:rsidRPr="006571AC">
        <w:rPr>
          <w:rFonts w:cs="DanaFajr" w:hint="cs"/>
          <w:sz w:val="28"/>
          <w:szCs w:val="28"/>
          <w:rtl/>
        </w:rPr>
        <w:t>ِّ</w:t>
      </w:r>
      <w:r w:rsidRPr="006571AC">
        <w:rPr>
          <w:rFonts w:cs="DanaFajr" w:hint="eastAsia"/>
          <w:sz w:val="28"/>
          <w:szCs w:val="28"/>
          <w:rtl/>
        </w:rPr>
        <w:t>قين،</w:t>
      </w:r>
      <w:r w:rsidRPr="006571AC">
        <w:rPr>
          <w:rFonts w:cs="DanaFajr"/>
          <w:sz w:val="28"/>
          <w:szCs w:val="28"/>
          <w:rtl/>
        </w:rPr>
        <w:t xml:space="preserve"> </w:t>
      </w:r>
      <w:r w:rsidRPr="006571AC">
        <w:rPr>
          <w:rFonts w:cs="DanaFajr" w:hint="eastAsia"/>
          <w:sz w:val="28"/>
          <w:szCs w:val="28"/>
          <w:rtl/>
        </w:rPr>
        <w:t>إيضاح</w:t>
      </w:r>
      <w:r w:rsidRPr="006571AC">
        <w:rPr>
          <w:rFonts w:cs="DanaFajr"/>
          <w:sz w:val="28"/>
          <w:szCs w:val="28"/>
          <w:rtl/>
        </w:rPr>
        <w:t xml:space="preserve"> </w:t>
      </w:r>
      <w:r w:rsidRPr="006571AC">
        <w:rPr>
          <w:rFonts w:cs="DanaFajr" w:hint="eastAsia"/>
          <w:sz w:val="28"/>
          <w:szCs w:val="28"/>
          <w:rtl/>
        </w:rPr>
        <w:t>الفوائد</w:t>
      </w:r>
      <w:r w:rsidRPr="006571AC">
        <w:rPr>
          <w:rFonts w:cs="DanaFajr"/>
          <w:sz w:val="28"/>
          <w:szCs w:val="28"/>
          <w:rtl/>
        </w:rPr>
        <w:t xml:space="preserve"> 1: 444</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الشهيد</w:t>
      </w:r>
      <w:r w:rsidRPr="006571AC">
        <w:rPr>
          <w:rFonts w:cs="DanaFajr"/>
          <w:sz w:val="28"/>
          <w:szCs w:val="28"/>
          <w:rtl/>
        </w:rPr>
        <w:t xml:space="preserve"> </w:t>
      </w:r>
      <w:r w:rsidRPr="006571AC">
        <w:rPr>
          <w:rFonts w:cs="DanaFajr" w:hint="eastAsia"/>
          <w:sz w:val="28"/>
          <w:szCs w:val="28"/>
          <w:rtl/>
        </w:rPr>
        <w:t>الأول</w:t>
      </w:r>
      <w:r w:rsidRPr="006571AC">
        <w:rPr>
          <w:rFonts w:cs="DanaFajr" w:hint="cs"/>
          <w:sz w:val="28"/>
          <w:szCs w:val="28"/>
          <w:rtl/>
        </w:rPr>
        <w:t xml:space="preserve"> محمد بن مكّي،</w:t>
      </w:r>
      <w:r w:rsidRPr="006571AC">
        <w:rPr>
          <w:rFonts w:cs="DanaFajr"/>
          <w:sz w:val="28"/>
          <w:szCs w:val="28"/>
          <w:rtl/>
        </w:rPr>
        <w:t xml:space="preserve"> </w:t>
      </w:r>
      <w:r w:rsidRPr="006571AC">
        <w:rPr>
          <w:rFonts w:cs="DanaFajr" w:hint="eastAsia"/>
          <w:sz w:val="28"/>
          <w:szCs w:val="28"/>
          <w:rtl/>
        </w:rPr>
        <w:t>غاية</w:t>
      </w:r>
      <w:r w:rsidRPr="006571AC">
        <w:rPr>
          <w:rFonts w:cs="DanaFajr"/>
          <w:sz w:val="28"/>
          <w:szCs w:val="28"/>
          <w:rtl/>
        </w:rPr>
        <w:t xml:space="preserve"> </w:t>
      </w:r>
      <w:r w:rsidRPr="006571AC">
        <w:rPr>
          <w:rFonts w:cs="DanaFajr" w:hint="eastAsia"/>
          <w:sz w:val="28"/>
          <w:szCs w:val="28"/>
          <w:rtl/>
        </w:rPr>
        <w:t>المراد</w:t>
      </w:r>
      <w:r w:rsidRPr="006571AC">
        <w:rPr>
          <w:rFonts w:cs="DanaFajr" w:hint="cs"/>
          <w:sz w:val="28"/>
          <w:szCs w:val="28"/>
          <w:rtl/>
        </w:rPr>
        <w:t xml:space="preserve"> في شرح نكت الإرشاد</w:t>
      </w:r>
      <w:r w:rsidRPr="006571AC">
        <w:rPr>
          <w:rFonts w:cs="DanaFajr"/>
          <w:sz w:val="28"/>
          <w:szCs w:val="28"/>
          <w:rtl/>
        </w:rPr>
        <w:t xml:space="preserve"> 2: 79</w:t>
      </w:r>
      <w:r w:rsidRPr="006571AC">
        <w:rPr>
          <w:rFonts w:cs="DanaFajr" w:hint="cs"/>
          <w:sz w:val="28"/>
          <w:szCs w:val="28"/>
          <w:rtl/>
        </w:rPr>
        <w:t>، مؤسسة التبليغ الإسلامي، قم، ط1، 1414هـ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أحمد بن محمد الأسدي</w:t>
      </w:r>
      <w:r w:rsidRPr="006571AC">
        <w:rPr>
          <w:rFonts w:cs="DanaFajr" w:hint="eastAsia"/>
          <w:sz w:val="28"/>
          <w:szCs w:val="28"/>
          <w:rtl/>
        </w:rPr>
        <w:t xml:space="preserve"> الحل</w:t>
      </w:r>
      <w:r w:rsidRPr="006571AC">
        <w:rPr>
          <w:rFonts w:cs="DanaFajr" w:hint="cs"/>
          <w:sz w:val="28"/>
          <w:szCs w:val="28"/>
          <w:rtl/>
        </w:rPr>
        <w:t>ّ</w:t>
      </w:r>
      <w:r w:rsidRPr="006571AC">
        <w:rPr>
          <w:rFonts w:cs="DanaFajr" w:hint="eastAsia"/>
          <w:sz w:val="28"/>
          <w:szCs w:val="28"/>
          <w:rtl/>
        </w:rPr>
        <w:t>ي،</w:t>
      </w:r>
      <w:r w:rsidRPr="006571AC">
        <w:rPr>
          <w:rFonts w:cs="DanaFajr"/>
          <w:sz w:val="28"/>
          <w:szCs w:val="28"/>
          <w:rtl/>
        </w:rPr>
        <w:t xml:space="preserve"> </w:t>
      </w:r>
      <w:r w:rsidRPr="006571AC">
        <w:rPr>
          <w:rFonts w:cs="DanaFajr" w:hint="eastAsia"/>
          <w:sz w:val="28"/>
          <w:szCs w:val="28"/>
          <w:rtl/>
        </w:rPr>
        <w:t>المهذ</w:t>
      </w:r>
      <w:r w:rsidRPr="006571AC">
        <w:rPr>
          <w:rFonts w:cs="DanaFajr" w:hint="cs"/>
          <w:sz w:val="28"/>
          <w:szCs w:val="28"/>
          <w:rtl/>
        </w:rPr>
        <w:t>َّ</w:t>
      </w:r>
      <w:r w:rsidRPr="006571AC">
        <w:rPr>
          <w:rFonts w:cs="DanaFajr" w:hint="eastAsia"/>
          <w:sz w:val="28"/>
          <w:szCs w:val="28"/>
          <w:rtl/>
        </w:rPr>
        <w:t>ب</w:t>
      </w:r>
      <w:r w:rsidRPr="006571AC">
        <w:rPr>
          <w:rFonts w:cs="DanaFajr"/>
          <w:sz w:val="28"/>
          <w:szCs w:val="28"/>
          <w:rtl/>
        </w:rPr>
        <w:t xml:space="preserve"> </w:t>
      </w:r>
      <w:r w:rsidRPr="006571AC">
        <w:rPr>
          <w:rFonts w:cs="DanaFajr" w:hint="eastAsia"/>
          <w:sz w:val="28"/>
          <w:szCs w:val="28"/>
          <w:rtl/>
        </w:rPr>
        <w:t>البارع</w:t>
      </w:r>
      <w:r w:rsidRPr="006571AC">
        <w:rPr>
          <w:rFonts w:cs="DanaFajr" w:hint="cs"/>
          <w:sz w:val="28"/>
          <w:szCs w:val="28"/>
          <w:rtl/>
        </w:rPr>
        <w:t xml:space="preserve"> في شرح المختصر النافع</w:t>
      </w:r>
      <w:r w:rsidRPr="006571AC">
        <w:rPr>
          <w:rFonts w:cs="DanaFajr"/>
          <w:sz w:val="28"/>
          <w:szCs w:val="28"/>
          <w:rtl/>
        </w:rPr>
        <w:t xml:space="preserve"> 2: 458</w:t>
      </w:r>
      <w:r w:rsidRPr="006571AC">
        <w:rPr>
          <w:rFonts w:cs="DanaFajr" w:hint="cs"/>
          <w:sz w:val="28"/>
          <w:szCs w:val="28"/>
          <w:rtl/>
        </w:rPr>
        <w:t>، مؤسسة النشر الإسلامي، قم، ط1، 1407هـ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علي بن حسين</w:t>
      </w:r>
      <w:r w:rsidRPr="006571AC">
        <w:rPr>
          <w:rFonts w:cs="DanaFajr" w:hint="eastAsia"/>
          <w:sz w:val="28"/>
          <w:szCs w:val="28"/>
          <w:rtl/>
        </w:rPr>
        <w:t xml:space="preserve"> الكركي</w:t>
      </w:r>
      <w:r w:rsidRPr="006571AC">
        <w:rPr>
          <w:rFonts w:cs="DanaFajr" w:hint="cs"/>
          <w:sz w:val="28"/>
          <w:szCs w:val="28"/>
          <w:rtl/>
        </w:rPr>
        <w:t xml:space="preserve">، </w:t>
      </w:r>
      <w:r w:rsidRPr="006571AC">
        <w:rPr>
          <w:rFonts w:cs="DanaFajr" w:hint="eastAsia"/>
          <w:sz w:val="28"/>
          <w:szCs w:val="28"/>
          <w:rtl/>
        </w:rPr>
        <w:t>جامع</w:t>
      </w:r>
      <w:r w:rsidRPr="006571AC">
        <w:rPr>
          <w:rFonts w:cs="DanaFajr"/>
          <w:sz w:val="28"/>
          <w:szCs w:val="28"/>
          <w:rtl/>
        </w:rPr>
        <w:t xml:space="preserve"> </w:t>
      </w:r>
      <w:r w:rsidRPr="006571AC">
        <w:rPr>
          <w:rFonts w:cs="DanaFajr" w:hint="eastAsia"/>
          <w:sz w:val="28"/>
          <w:szCs w:val="28"/>
          <w:rtl/>
        </w:rPr>
        <w:t>المقاصد</w:t>
      </w:r>
      <w:r w:rsidRPr="006571AC">
        <w:rPr>
          <w:rFonts w:cs="DanaFajr" w:hint="cs"/>
          <w:sz w:val="28"/>
          <w:szCs w:val="28"/>
          <w:rtl/>
        </w:rPr>
        <w:t xml:space="preserve"> في شرح القواعد</w:t>
      </w:r>
      <w:r w:rsidRPr="006571AC">
        <w:rPr>
          <w:rFonts w:cs="DanaFajr"/>
          <w:sz w:val="28"/>
          <w:szCs w:val="28"/>
          <w:rtl/>
        </w:rPr>
        <w:t xml:space="preserve"> 4: 42</w:t>
      </w:r>
      <w:r w:rsidRPr="006571AC">
        <w:rPr>
          <w:rFonts w:cs="DanaFajr" w:hint="cs"/>
          <w:sz w:val="28"/>
          <w:szCs w:val="28"/>
          <w:rtl/>
        </w:rPr>
        <w:t>، مؤسّسة آل البيت</w:t>
      </w:r>
      <w:r w:rsidRPr="006571AC">
        <w:rPr>
          <w:rFonts w:ascii="Mosawi" w:hAnsi="Mosawi" w:cs="Mosawi"/>
          <w:rtl/>
        </w:rPr>
        <w:t>^</w:t>
      </w:r>
      <w:r w:rsidRPr="006571AC">
        <w:rPr>
          <w:rFonts w:cs="DanaFajr" w:hint="cs"/>
          <w:sz w:val="28"/>
          <w:szCs w:val="28"/>
          <w:rtl/>
        </w:rPr>
        <w:t xml:space="preserve"> لإحياء التراث، قم، ط2، 1414هـ</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الشهيد</w:t>
      </w:r>
      <w:r w:rsidRPr="006571AC">
        <w:rPr>
          <w:rFonts w:cs="DanaFajr"/>
          <w:sz w:val="28"/>
          <w:szCs w:val="28"/>
          <w:rtl/>
        </w:rPr>
        <w:t xml:space="preserve"> </w:t>
      </w:r>
      <w:r w:rsidRPr="006571AC">
        <w:rPr>
          <w:rFonts w:cs="DanaFajr" w:hint="eastAsia"/>
          <w:sz w:val="28"/>
          <w:szCs w:val="28"/>
          <w:rtl/>
        </w:rPr>
        <w:t>الثاني</w:t>
      </w:r>
      <w:r w:rsidRPr="006571AC">
        <w:rPr>
          <w:rFonts w:cs="DanaFajr" w:hint="cs"/>
          <w:sz w:val="28"/>
          <w:szCs w:val="28"/>
          <w:rtl/>
        </w:rPr>
        <w:t xml:space="preserve"> زين الدين بن علي،</w:t>
      </w:r>
      <w:r w:rsidRPr="006571AC">
        <w:rPr>
          <w:rFonts w:cs="DanaFajr"/>
          <w:sz w:val="28"/>
          <w:szCs w:val="28"/>
          <w:rtl/>
        </w:rPr>
        <w:t xml:space="preserve"> </w:t>
      </w:r>
      <w:r w:rsidRPr="006571AC">
        <w:rPr>
          <w:rFonts w:cs="DanaFajr" w:hint="eastAsia"/>
          <w:sz w:val="28"/>
          <w:szCs w:val="28"/>
          <w:rtl/>
        </w:rPr>
        <w:t>الروضة</w:t>
      </w:r>
      <w:r w:rsidRPr="006571AC">
        <w:rPr>
          <w:rFonts w:cs="DanaFajr"/>
          <w:sz w:val="28"/>
          <w:szCs w:val="28"/>
          <w:rtl/>
        </w:rPr>
        <w:t xml:space="preserve"> </w:t>
      </w:r>
      <w:r w:rsidRPr="006571AC">
        <w:rPr>
          <w:rFonts w:cs="DanaFajr" w:hint="eastAsia"/>
          <w:sz w:val="28"/>
          <w:szCs w:val="28"/>
          <w:rtl/>
        </w:rPr>
        <w:t>البهية</w:t>
      </w:r>
      <w:r w:rsidRPr="006571AC">
        <w:rPr>
          <w:rFonts w:cs="DanaFajr" w:hint="cs"/>
          <w:sz w:val="28"/>
          <w:szCs w:val="28"/>
          <w:rtl/>
        </w:rPr>
        <w:t xml:space="preserve"> في شرح اللمعة الدمشقية</w:t>
      </w:r>
      <w:r w:rsidRPr="006571AC">
        <w:rPr>
          <w:rFonts w:cs="DanaFajr"/>
          <w:sz w:val="28"/>
          <w:szCs w:val="28"/>
          <w:rtl/>
        </w:rPr>
        <w:t xml:space="preserve"> 4: 302</w:t>
      </w:r>
      <w:r w:rsidRPr="006571AC">
        <w:rPr>
          <w:rFonts w:cs="DanaFajr" w:hint="cs"/>
          <w:sz w:val="28"/>
          <w:szCs w:val="28"/>
          <w:rtl/>
        </w:rPr>
        <w:t>، مكتبة الداوري، قم، ط1، 1410هـ</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الشهيد</w:t>
      </w:r>
      <w:r w:rsidRPr="006571AC">
        <w:rPr>
          <w:rFonts w:cs="DanaFajr"/>
          <w:sz w:val="28"/>
          <w:szCs w:val="28"/>
          <w:rtl/>
        </w:rPr>
        <w:t xml:space="preserve"> </w:t>
      </w:r>
      <w:r w:rsidRPr="006571AC">
        <w:rPr>
          <w:rFonts w:cs="DanaFajr" w:hint="eastAsia"/>
          <w:sz w:val="28"/>
          <w:szCs w:val="28"/>
          <w:rtl/>
        </w:rPr>
        <w:t>الثاني</w:t>
      </w:r>
      <w:r w:rsidRPr="006571AC">
        <w:rPr>
          <w:rFonts w:cs="DanaFajr" w:hint="cs"/>
          <w:sz w:val="28"/>
          <w:szCs w:val="28"/>
          <w:rtl/>
        </w:rPr>
        <w:t xml:space="preserve"> زين الدين بن علي،</w:t>
      </w:r>
      <w:r w:rsidRPr="006571AC">
        <w:rPr>
          <w:rFonts w:cs="DanaFajr"/>
          <w:sz w:val="28"/>
          <w:szCs w:val="28"/>
          <w:rtl/>
        </w:rPr>
        <w:t xml:space="preserve"> </w:t>
      </w:r>
      <w:r w:rsidRPr="006571AC">
        <w:rPr>
          <w:rFonts w:cs="DanaFajr" w:hint="eastAsia"/>
          <w:sz w:val="28"/>
          <w:szCs w:val="28"/>
          <w:rtl/>
        </w:rPr>
        <w:t>مسالك</w:t>
      </w:r>
      <w:r w:rsidRPr="006571AC">
        <w:rPr>
          <w:rFonts w:cs="DanaFajr"/>
          <w:sz w:val="28"/>
          <w:szCs w:val="28"/>
          <w:rtl/>
        </w:rPr>
        <w:t xml:space="preserve"> </w:t>
      </w:r>
      <w:r w:rsidRPr="006571AC">
        <w:rPr>
          <w:rFonts w:cs="DanaFajr" w:hint="eastAsia"/>
          <w:sz w:val="28"/>
          <w:szCs w:val="28"/>
          <w:rtl/>
        </w:rPr>
        <w:t>الأفهام</w:t>
      </w:r>
      <w:r w:rsidRPr="006571AC">
        <w:rPr>
          <w:rFonts w:cs="DanaFajr" w:hint="cs"/>
          <w:sz w:val="28"/>
          <w:szCs w:val="28"/>
          <w:rtl/>
        </w:rPr>
        <w:t xml:space="preserve"> إلى تنقيح شرائع الإسلام</w:t>
      </w:r>
      <w:r w:rsidRPr="006571AC">
        <w:rPr>
          <w:rFonts w:cs="DanaFajr"/>
          <w:sz w:val="28"/>
          <w:szCs w:val="28"/>
          <w:rtl/>
        </w:rPr>
        <w:t xml:space="preserve"> 3: 149</w:t>
      </w:r>
      <w:r w:rsidRPr="006571AC">
        <w:rPr>
          <w:rFonts w:cs="DanaFajr" w:hint="cs"/>
          <w:sz w:val="28"/>
          <w:szCs w:val="28"/>
          <w:rtl/>
        </w:rPr>
        <w:t>، مؤسّسة المعارف الإسلامية، قم، ط1، 1413هـ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 xml:space="preserve">محمد محسن بن شاه مرتضى (الفيض </w:t>
      </w:r>
      <w:r w:rsidRPr="006571AC">
        <w:rPr>
          <w:rFonts w:cs="DanaFajr" w:hint="eastAsia"/>
          <w:sz w:val="28"/>
          <w:szCs w:val="28"/>
          <w:rtl/>
        </w:rPr>
        <w:t>الكاشاني</w:t>
      </w:r>
      <w:r w:rsidRPr="006571AC">
        <w:rPr>
          <w:rFonts w:cs="DanaFajr" w:hint="cs"/>
          <w:sz w:val="28"/>
          <w:szCs w:val="28"/>
          <w:rtl/>
        </w:rPr>
        <w:t xml:space="preserve">)، </w:t>
      </w:r>
      <w:r w:rsidRPr="006571AC">
        <w:rPr>
          <w:rFonts w:cs="DanaFajr" w:hint="eastAsia"/>
          <w:sz w:val="28"/>
          <w:szCs w:val="28"/>
          <w:rtl/>
        </w:rPr>
        <w:t>مفاتيح</w:t>
      </w:r>
      <w:r w:rsidRPr="006571AC">
        <w:rPr>
          <w:rFonts w:cs="DanaFajr"/>
          <w:sz w:val="28"/>
          <w:szCs w:val="28"/>
          <w:rtl/>
        </w:rPr>
        <w:t xml:space="preserve"> </w:t>
      </w:r>
      <w:r w:rsidRPr="006571AC">
        <w:rPr>
          <w:rFonts w:cs="DanaFajr" w:hint="eastAsia"/>
          <w:sz w:val="28"/>
          <w:szCs w:val="28"/>
          <w:rtl/>
        </w:rPr>
        <w:t>الشرائع</w:t>
      </w:r>
      <w:r w:rsidRPr="006571AC">
        <w:rPr>
          <w:rFonts w:cs="DanaFajr"/>
          <w:sz w:val="28"/>
          <w:szCs w:val="28"/>
          <w:rtl/>
        </w:rPr>
        <w:t xml:space="preserve"> 3: 98</w:t>
      </w:r>
      <w:r w:rsidRPr="006571AC">
        <w:rPr>
          <w:rFonts w:cs="DanaFajr" w:hint="cs"/>
          <w:sz w:val="28"/>
          <w:szCs w:val="28"/>
          <w:rtl/>
        </w:rPr>
        <w:t>، منشورات مكتبة المرعشي النجفي، قم، ط1</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يوسف بن أحمد بن إبراهيم</w:t>
      </w:r>
      <w:r w:rsidRPr="006571AC">
        <w:rPr>
          <w:rFonts w:cs="DanaFajr" w:hint="eastAsia"/>
          <w:sz w:val="28"/>
          <w:szCs w:val="28"/>
          <w:rtl/>
        </w:rPr>
        <w:t xml:space="preserve"> البحراني</w:t>
      </w:r>
      <w:r w:rsidRPr="006571AC">
        <w:rPr>
          <w:rFonts w:cs="DanaFajr" w:hint="cs"/>
          <w:sz w:val="28"/>
          <w:szCs w:val="28"/>
          <w:rtl/>
        </w:rPr>
        <w:t xml:space="preserve">، </w:t>
      </w:r>
      <w:r w:rsidRPr="006571AC">
        <w:rPr>
          <w:rFonts w:cs="DanaFajr" w:hint="eastAsia"/>
          <w:sz w:val="28"/>
          <w:szCs w:val="28"/>
          <w:rtl/>
        </w:rPr>
        <w:t>الحدائق</w:t>
      </w:r>
      <w:r w:rsidRPr="006571AC">
        <w:rPr>
          <w:rFonts w:cs="DanaFajr"/>
          <w:sz w:val="28"/>
          <w:szCs w:val="28"/>
          <w:rtl/>
        </w:rPr>
        <w:t xml:space="preserve"> </w:t>
      </w:r>
      <w:r w:rsidRPr="006571AC">
        <w:rPr>
          <w:rFonts w:cs="DanaFajr" w:hint="eastAsia"/>
          <w:sz w:val="28"/>
          <w:szCs w:val="28"/>
          <w:rtl/>
        </w:rPr>
        <w:t>الناضرة</w:t>
      </w:r>
      <w:r w:rsidRPr="006571AC">
        <w:rPr>
          <w:rFonts w:cs="DanaFajr" w:hint="cs"/>
          <w:sz w:val="28"/>
          <w:szCs w:val="28"/>
          <w:rtl/>
        </w:rPr>
        <w:t xml:space="preserve"> في أحكام العترة الطاهرة</w:t>
      </w:r>
      <w:r w:rsidRPr="006571AC">
        <w:rPr>
          <w:rFonts w:cs="DanaFajr"/>
          <w:sz w:val="28"/>
          <w:szCs w:val="28"/>
          <w:rtl/>
        </w:rPr>
        <w:t xml:space="preserve"> 18</w:t>
      </w:r>
      <w:r w:rsidRPr="006571AC">
        <w:rPr>
          <w:rFonts w:cs="DanaFajr" w:hint="cs"/>
          <w:sz w:val="28"/>
          <w:szCs w:val="28"/>
          <w:rtl/>
        </w:rPr>
        <w:t>:</w:t>
      </w:r>
      <w:r w:rsidRPr="006571AC">
        <w:rPr>
          <w:rFonts w:cs="DanaFajr"/>
          <w:sz w:val="28"/>
          <w:szCs w:val="28"/>
          <w:rtl/>
        </w:rPr>
        <w:t xml:space="preserve"> 65</w:t>
      </w:r>
      <w:r w:rsidRPr="006571AC">
        <w:rPr>
          <w:rFonts w:cs="DanaFajr" w:hint="cs"/>
          <w:sz w:val="28"/>
          <w:szCs w:val="28"/>
          <w:rtl/>
        </w:rPr>
        <w:t>، قم، ط1، 1405هـ</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النجفي،</w:t>
      </w:r>
      <w:r w:rsidRPr="006571AC">
        <w:rPr>
          <w:rFonts w:cs="DanaFajr"/>
          <w:sz w:val="28"/>
          <w:szCs w:val="28"/>
          <w:rtl/>
        </w:rPr>
        <w:t xml:space="preserve"> </w:t>
      </w:r>
      <w:r w:rsidRPr="006571AC">
        <w:rPr>
          <w:rFonts w:cs="DanaFajr" w:hint="eastAsia"/>
          <w:sz w:val="28"/>
          <w:szCs w:val="28"/>
          <w:rtl/>
        </w:rPr>
        <w:t>جواهر</w:t>
      </w:r>
      <w:r w:rsidRPr="006571AC">
        <w:rPr>
          <w:rFonts w:cs="DanaFajr"/>
          <w:sz w:val="28"/>
          <w:szCs w:val="28"/>
          <w:rtl/>
        </w:rPr>
        <w:t xml:space="preserve"> </w:t>
      </w:r>
      <w:r w:rsidRPr="006571AC">
        <w:rPr>
          <w:rFonts w:cs="DanaFajr" w:hint="eastAsia"/>
          <w:sz w:val="28"/>
          <w:szCs w:val="28"/>
          <w:rtl/>
        </w:rPr>
        <w:t>الكلام</w:t>
      </w:r>
      <w:r w:rsidRPr="006571AC">
        <w:rPr>
          <w:rFonts w:cs="DanaFajr"/>
          <w:sz w:val="28"/>
          <w:szCs w:val="28"/>
          <w:rtl/>
        </w:rPr>
        <w:t xml:space="preserve"> 8: 298</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الأنصاري،</w:t>
      </w:r>
      <w:r w:rsidRPr="006571AC">
        <w:rPr>
          <w:rFonts w:cs="DanaFajr"/>
          <w:sz w:val="28"/>
          <w:szCs w:val="28"/>
          <w:rtl/>
        </w:rPr>
        <w:t xml:space="preserve"> </w:t>
      </w:r>
      <w:r w:rsidRPr="006571AC">
        <w:rPr>
          <w:rFonts w:cs="DanaFajr" w:hint="eastAsia"/>
          <w:sz w:val="28"/>
          <w:szCs w:val="28"/>
          <w:rtl/>
        </w:rPr>
        <w:t>المكاسب</w:t>
      </w:r>
      <w:r w:rsidRPr="006571AC">
        <w:rPr>
          <w:rFonts w:cs="DanaFajr"/>
          <w:sz w:val="28"/>
          <w:szCs w:val="28"/>
          <w:rtl/>
        </w:rPr>
        <w:t xml:space="preserve"> 2: 98.</w:t>
      </w:r>
    </w:p>
  </w:endnote>
  <w:endnote w:id="27">
    <w:p w:rsidR="00DB2356" w:rsidRPr="006571AC" w:rsidRDefault="00DB2356" w:rsidP="00A52D5C">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محمد حسين </w:t>
      </w:r>
      <w:r w:rsidRPr="006571AC">
        <w:rPr>
          <w:rFonts w:cs="DanaFajr" w:hint="cs"/>
          <w:sz w:val="28"/>
          <w:szCs w:val="28"/>
          <w:rtl/>
          <w:lang w:bidi="fa-IR"/>
        </w:rPr>
        <w:t>الکم</w:t>
      </w:r>
      <w:r w:rsidRPr="006571AC">
        <w:rPr>
          <w:rFonts w:cs="DanaFajr"/>
          <w:sz w:val="28"/>
          <w:szCs w:val="28"/>
          <w:rtl/>
          <w:lang w:bidi="fa-IR"/>
        </w:rPr>
        <w:t>پ</w:t>
      </w:r>
      <w:r w:rsidRPr="006571AC">
        <w:rPr>
          <w:rFonts w:cs="DanaFajr" w:hint="cs"/>
          <w:sz w:val="28"/>
          <w:szCs w:val="28"/>
          <w:rtl/>
          <w:lang w:bidi="fa-IR"/>
        </w:rPr>
        <w:t>اني</w:t>
      </w:r>
      <w:r w:rsidRPr="006571AC">
        <w:rPr>
          <w:rFonts w:cs="DanaFajr" w:hint="eastAsia"/>
          <w:sz w:val="28"/>
          <w:szCs w:val="28"/>
          <w:rtl/>
          <w:lang w:bidi="ar-LB"/>
        </w:rPr>
        <w:t xml:space="preserve"> الأصفهاني</w:t>
      </w:r>
      <w:r w:rsidRPr="006571AC">
        <w:rPr>
          <w:rFonts w:cs="DanaFajr" w:hint="cs"/>
          <w:sz w:val="28"/>
          <w:szCs w:val="28"/>
          <w:rtl/>
          <w:lang w:bidi="fa-IR"/>
        </w:rPr>
        <w:t>،</w:t>
      </w:r>
      <w:r w:rsidRPr="006571AC">
        <w:rPr>
          <w:rFonts w:cs="DanaFajr"/>
          <w:sz w:val="28"/>
          <w:szCs w:val="28"/>
          <w:rtl/>
          <w:lang w:bidi="ar-LB"/>
        </w:rPr>
        <w:t xml:space="preserve"> </w:t>
      </w:r>
      <w:r w:rsidRPr="006571AC">
        <w:rPr>
          <w:rFonts w:cs="DanaFajr" w:hint="eastAsia"/>
          <w:sz w:val="28"/>
          <w:szCs w:val="28"/>
          <w:rtl/>
          <w:lang w:bidi="ar-LB"/>
        </w:rPr>
        <w:t>حاشية</w:t>
      </w:r>
      <w:r w:rsidRPr="006571AC">
        <w:rPr>
          <w:rFonts w:cs="DanaFajr"/>
          <w:sz w:val="28"/>
          <w:szCs w:val="28"/>
          <w:rtl/>
          <w:lang w:bidi="ar-LB"/>
        </w:rPr>
        <w:t xml:space="preserve"> </w:t>
      </w:r>
      <w:r w:rsidRPr="006571AC">
        <w:rPr>
          <w:rFonts w:cs="DanaFajr" w:hint="eastAsia"/>
          <w:sz w:val="28"/>
          <w:szCs w:val="28"/>
          <w:rtl/>
          <w:lang w:bidi="ar-LB"/>
        </w:rPr>
        <w:t>كتاب</w:t>
      </w:r>
      <w:r w:rsidRPr="006571AC">
        <w:rPr>
          <w:rFonts w:cs="DanaFajr"/>
          <w:sz w:val="28"/>
          <w:szCs w:val="28"/>
          <w:rtl/>
          <w:lang w:bidi="ar-LB"/>
        </w:rPr>
        <w:t xml:space="preserve"> </w:t>
      </w:r>
      <w:r w:rsidRPr="006571AC">
        <w:rPr>
          <w:rFonts w:cs="DanaFajr" w:hint="eastAsia"/>
          <w:sz w:val="28"/>
          <w:szCs w:val="28"/>
          <w:rtl/>
          <w:lang w:bidi="ar-LB"/>
        </w:rPr>
        <w:t>المكاسب</w:t>
      </w:r>
      <w:r w:rsidRPr="006571AC">
        <w:rPr>
          <w:rFonts w:cs="DanaFajr"/>
          <w:sz w:val="28"/>
          <w:szCs w:val="28"/>
          <w:rtl/>
          <w:lang w:bidi="ar-LB"/>
        </w:rPr>
        <w:t xml:space="preserve"> 5: 381</w:t>
      </w:r>
      <w:r w:rsidRPr="006571AC">
        <w:rPr>
          <w:rFonts w:cs="DanaFajr" w:hint="cs"/>
          <w:sz w:val="28"/>
          <w:szCs w:val="28"/>
          <w:rtl/>
          <w:lang w:bidi="ar-LB"/>
        </w:rPr>
        <w:t>، أنوار الهدى، قم، ط1، 1418</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أبو القاسم الموسوي</w:t>
      </w:r>
      <w:r w:rsidRPr="006571AC">
        <w:rPr>
          <w:rFonts w:cs="DanaFajr" w:hint="eastAsia"/>
          <w:sz w:val="28"/>
          <w:szCs w:val="28"/>
          <w:rtl/>
          <w:lang w:bidi="ar-LB"/>
        </w:rPr>
        <w:t xml:space="preserve"> الخوئي</w:t>
      </w:r>
      <w:r w:rsidRPr="006571AC">
        <w:rPr>
          <w:rFonts w:cs="DanaFajr" w:hint="cs"/>
          <w:sz w:val="28"/>
          <w:szCs w:val="28"/>
          <w:rtl/>
          <w:lang w:bidi="ar-LB"/>
        </w:rPr>
        <w:t xml:space="preserve">، </w:t>
      </w:r>
      <w:r w:rsidRPr="006571AC">
        <w:rPr>
          <w:rFonts w:cs="DanaFajr" w:hint="eastAsia"/>
          <w:sz w:val="28"/>
          <w:szCs w:val="28"/>
          <w:rtl/>
          <w:lang w:bidi="ar-LB"/>
        </w:rPr>
        <w:t>موسوعة</w:t>
      </w:r>
      <w:r w:rsidRPr="006571AC">
        <w:rPr>
          <w:rFonts w:cs="DanaFajr"/>
          <w:sz w:val="28"/>
          <w:szCs w:val="28"/>
          <w:rtl/>
          <w:lang w:bidi="ar-LB"/>
        </w:rPr>
        <w:t xml:space="preserve"> </w:t>
      </w:r>
      <w:r w:rsidRPr="006571AC">
        <w:rPr>
          <w:rFonts w:cs="DanaFajr" w:hint="eastAsia"/>
          <w:sz w:val="28"/>
          <w:szCs w:val="28"/>
          <w:rtl/>
          <w:lang w:bidi="ar-LB"/>
        </w:rPr>
        <w:t>الإمام</w:t>
      </w:r>
      <w:r w:rsidRPr="006571AC">
        <w:rPr>
          <w:rFonts w:cs="DanaFajr"/>
          <w:sz w:val="28"/>
          <w:szCs w:val="28"/>
          <w:rtl/>
          <w:lang w:bidi="ar-LB"/>
        </w:rPr>
        <w:t xml:space="preserve"> </w:t>
      </w:r>
      <w:r w:rsidRPr="006571AC">
        <w:rPr>
          <w:rFonts w:cs="DanaFajr" w:hint="eastAsia"/>
          <w:sz w:val="28"/>
          <w:szCs w:val="28"/>
          <w:rtl/>
          <w:lang w:bidi="ar-LB"/>
        </w:rPr>
        <w:t>الخوئي</w:t>
      </w:r>
      <w:r w:rsidRPr="006571AC">
        <w:rPr>
          <w:rFonts w:cs="DanaFajr"/>
          <w:sz w:val="28"/>
          <w:szCs w:val="28"/>
          <w:rtl/>
          <w:lang w:bidi="ar-LB"/>
        </w:rPr>
        <w:t xml:space="preserve"> 23: 31</w:t>
      </w:r>
      <w:r w:rsidRPr="006571AC">
        <w:rPr>
          <w:rFonts w:cs="DanaFajr" w:hint="cs"/>
          <w:sz w:val="28"/>
          <w:szCs w:val="28"/>
          <w:rtl/>
          <w:lang w:bidi="ar-LB"/>
        </w:rPr>
        <w:t>، مؤسسة إحياء آثار الإمام الخوئي، قم، ط1، 1418</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محمد رضا الموسوي</w:t>
      </w:r>
      <w:r w:rsidRPr="006571AC">
        <w:rPr>
          <w:rFonts w:cs="DanaFajr" w:hint="eastAsia"/>
          <w:sz w:val="28"/>
          <w:szCs w:val="28"/>
          <w:rtl/>
          <w:lang w:bidi="ar-LB"/>
        </w:rPr>
        <w:t xml:space="preserve"> </w:t>
      </w:r>
      <w:r w:rsidRPr="006571AC">
        <w:rPr>
          <w:rFonts w:ascii="Mosawi" w:hAnsi="Mosawi" w:cs="Abz-3 (Yagut)" w:hint="eastAsia"/>
          <w:rtl/>
          <w:lang w:val="x-none" w:eastAsia="x-none"/>
        </w:rPr>
        <w:t>الگلبايگاني</w:t>
      </w:r>
      <w:r w:rsidRPr="006571AC">
        <w:rPr>
          <w:rFonts w:cs="DanaFajr" w:hint="cs"/>
          <w:sz w:val="28"/>
          <w:szCs w:val="28"/>
          <w:rtl/>
          <w:lang w:bidi="ar-LB"/>
        </w:rPr>
        <w:t xml:space="preserve">، </w:t>
      </w:r>
      <w:r w:rsidRPr="006571AC">
        <w:rPr>
          <w:rFonts w:cs="DanaFajr" w:hint="eastAsia"/>
          <w:sz w:val="28"/>
          <w:szCs w:val="28"/>
          <w:rtl/>
          <w:lang w:bidi="ar-LB"/>
        </w:rPr>
        <w:t>كتاب</w:t>
      </w:r>
      <w:r w:rsidRPr="006571AC">
        <w:rPr>
          <w:rFonts w:cs="DanaFajr"/>
          <w:sz w:val="28"/>
          <w:szCs w:val="28"/>
          <w:rtl/>
          <w:lang w:bidi="ar-LB"/>
        </w:rPr>
        <w:t xml:space="preserve"> </w:t>
      </w:r>
      <w:r w:rsidRPr="006571AC">
        <w:rPr>
          <w:rFonts w:cs="DanaFajr" w:hint="eastAsia"/>
          <w:sz w:val="28"/>
          <w:szCs w:val="28"/>
          <w:rtl/>
          <w:lang w:bidi="ar-LB"/>
        </w:rPr>
        <w:t>القضاء</w:t>
      </w:r>
      <w:r w:rsidRPr="006571AC">
        <w:rPr>
          <w:rFonts w:cs="DanaFajr"/>
          <w:sz w:val="28"/>
          <w:szCs w:val="28"/>
          <w:rtl/>
          <w:lang w:bidi="ar-LB"/>
        </w:rPr>
        <w:t xml:space="preserve"> 1: 239</w:t>
      </w:r>
      <w:r w:rsidRPr="006571AC">
        <w:rPr>
          <w:rFonts w:cs="DanaFajr" w:hint="cs"/>
          <w:sz w:val="28"/>
          <w:szCs w:val="28"/>
          <w:rtl/>
          <w:lang w:bidi="ar-LB"/>
        </w:rPr>
        <w:t>، دار القرآن الكريم، قم، ط1، 1413</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محمد علي</w:t>
      </w:r>
      <w:r w:rsidRPr="006571AC">
        <w:rPr>
          <w:rFonts w:cs="DanaFajr" w:hint="eastAsia"/>
          <w:sz w:val="28"/>
          <w:szCs w:val="28"/>
          <w:rtl/>
          <w:lang w:bidi="ar-LB"/>
        </w:rPr>
        <w:t xml:space="preserve"> الآراكي</w:t>
      </w:r>
      <w:r w:rsidRPr="006571AC">
        <w:rPr>
          <w:rFonts w:cs="DanaFajr" w:hint="cs"/>
          <w:sz w:val="28"/>
          <w:szCs w:val="28"/>
          <w:rtl/>
          <w:lang w:bidi="ar-LB"/>
        </w:rPr>
        <w:t xml:space="preserve">، </w:t>
      </w:r>
      <w:r w:rsidRPr="006571AC">
        <w:rPr>
          <w:rFonts w:cs="DanaFajr" w:hint="eastAsia"/>
          <w:sz w:val="28"/>
          <w:szCs w:val="28"/>
          <w:rtl/>
          <w:lang w:bidi="ar-LB"/>
        </w:rPr>
        <w:t>رسالة</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الإرث</w:t>
      </w:r>
      <w:r w:rsidRPr="006571AC">
        <w:rPr>
          <w:rFonts w:cs="DanaFajr" w:hint="cs"/>
          <w:sz w:val="28"/>
          <w:szCs w:val="28"/>
          <w:rtl/>
          <w:lang w:bidi="ar-LB"/>
        </w:rPr>
        <w:t>:</w:t>
      </w:r>
      <w:r w:rsidRPr="006571AC">
        <w:rPr>
          <w:rFonts w:cs="DanaFajr"/>
          <w:sz w:val="28"/>
          <w:szCs w:val="28"/>
          <w:rtl/>
          <w:lang w:bidi="ar-LB"/>
        </w:rPr>
        <w:t xml:space="preserve"> 84</w:t>
      </w:r>
      <w:r w:rsidRPr="006571AC">
        <w:rPr>
          <w:rFonts w:cs="DanaFajr" w:hint="cs"/>
          <w:sz w:val="28"/>
          <w:szCs w:val="28"/>
          <w:rtl/>
          <w:lang w:bidi="ar-LB"/>
        </w:rPr>
        <w:t>، مؤسسة در راه حقّ، قم، ط1، 1413</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الطهراني،</w:t>
      </w:r>
      <w:r w:rsidRPr="006571AC">
        <w:rPr>
          <w:rFonts w:cs="DanaFajr"/>
          <w:sz w:val="28"/>
          <w:szCs w:val="28"/>
          <w:rtl/>
          <w:lang w:bidi="ar-LB"/>
        </w:rPr>
        <w:t xml:space="preserve"> </w:t>
      </w:r>
      <w:r w:rsidRPr="006571AC">
        <w:rPr>
          <w:rFonts w:cs="DanaFajr" w:hint="eastAsia"/>
          <w:sz w:val="28"/>
          <w:szCs w:val="28"/>
          <w:rtl/>
          <w:lang w:bidi="ar-LB"/>
        </w:rPr>
        <w:t>ولاية</w:t>
      </w:r>
      <w:r w:rsidRPr="006571AC">
        <w:rPr>
          <w:rFonts w:cs="DanaFajr"/>
          <w:sz w:val="28"/>
          <w:szCs w:val="28"/>
          <w:rtl/>
          <w:lang w:bidi="ar-LB"/>
        </w:rPr>
        <w:t xml:space="preserve"> </w:t>
      </w:r>
      <w:r w:rsidRPr="006571AC">
        <w:rPr>
          <w:rFonts w:cs="DanaFajr" w:hint="eastAsia"/>
          <w:sz w:val="28"/>
          <w:szCs w:val="28"/>
          <w:rtl/>
          <w:lang w:bidi="ar-LB"/>
        </w:rPr>
        <w:t>الفقيه</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حكومة</w:t>
      </w:r>
      <w:r w:rsidRPr="006571AC">
        <w:rPr>
          <w:rFonts w:cs="DanaFajr"/>
          <w:sz w:val="28"/>
          <w:szCs w:val="28"/>
          <w:rtl/>
          <w:lang w:bidi="ar-LB"/>
        </w:rPr>
        <w:t xml:space="preserve"> </w:t>
      </w:r>
      <w:r w:rsidRPr="006571AC">
        <w:rPr>
          <w:rFonts w:cs="DanaFajr" w:hint="eastAsia"/>
          <w:sz w:val="28"/>
          <w:szCs w:val="28"/>
          <w:rtl/>
          <w:lang w:bidi="ar-LB"/>
        </w:rPr>
        <w:t>الإسلام</w:t>
      </w:r>
      <w:r w:rsidRPr="006571AC">
        <w:rPr>
          <w:rFonts w:cs="DanaFajr"/>
          <w:sz w:val="28"/>
          <w:szCs w:val="28"/>
          <w:rtl/>
          <w:lang w:bidi="ar-LB"/>
        </w:rPr>
        <w:t xml:space="preserve"> 4: 180</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محمد تقي</w:t>
      </w:r>
      <w:r w:rsidRPr="006571AC">
        <w:rPr>
          <w:rFonts w:cs="DanaFajr" w:hint="eastAsia"/>
          <w:sz w:val="28"/>
          <w:szCs w:val="28"/>
          <w:rtl/>
          <w:lang w:bidi="ar-LB"/>
        </w:rPr>
        <w:t xml:space="preserve"> الشوشتري</w:t>
      </w:r>
      <w:r w:rsidRPr="006571AC">
        <w:rPr>
          <w:rFonts w:cs="DanaFajr" w:hint="cs"/>
          <w:sz w:val="28"/>
          <w:szCs w:val="28"/>
          <w:rtl/>
          <w:lang w:bidi="ar-LB"/>
        </w:rPr>
        <w:t xml:space="preserve">، </w:t>
      </w:r>
      <w:r w:rsidRPr="006571AC">
        <w:rPr>
          <w:rFonts w:cs="DanaFajr" w:hint="eastAsia"/>
          <w:sz w:val="28"/>
          <w:szCs w:val="28"/>
          <w:rtl/>
          <w:lang w:bidi="ar-LB"/>
        </w:rPr>
        <w:t>النجعة</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شرح</w:t>
      </w:r>
      <w:r w:rsidRPr="006571AC">
        <w:rPr>
          <w:rFonts w:cs="DanaFajr"/>
          <w:sz w:val="28"/>
          <w:szCs w:val="28"/>
          <w:rtl/>
          <w:lang w:bidi="ar-LB"/>
        </w:rPr>
        <w:t xml:space="preserve"> </w:t>
      </w:r>
      <w:r w:rsidRPr="006571AC">
        <w:rPr>
          <w:rFonts w:cs="DanaFajr" w:hint="eastAsia"/>
          <w:sz w:val="28"/>
          <w:szCs w:val="28"/>
          <w:rtl/>
          <w:lang w:bidi="ar-LB"/>
        </w:rPr>
        <w:t>اللمعة</w:t>
      </w:r>
      <w:r w:rsidRPr="006571AC">
        <w:rPr>
          <w:rFonts w:cs="DanaFajr"/>
          <w:sz w:val="28"/>
          <w:szCs w:val="28"/>
          <w:rtl/>
          <w:lang w:bidi="ar-LB"/>
        </w:rPr>
        <w:t xml:space="preserve"> 6: 368</w:t>
      </w:r>
      <w:r w:rsidRPr="006571AC">
        <w:rPr>
          <w:rFonts w:cs="DanaFajr" w:hint="cs"/>
          <w:sz w:val="28"/>
          <w:szCs w:val="28"/>
          <w:rtl/>
          <w:lang w:bidi="ar-LB"/>
        </w:rPr>
        <w:t>، مكتبة الصدوق، طهران، ط1، 1406</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محمد الحسيني</w:t>
      </w:r>
      <w:r w:rsidRPr="006571AC">
        <w:rPr>
          <w:rFonts w:cs="DanaFajr" w:hint="eastAsia"/>
          <w:sz w:val="28"/>
          <w:szCs w:val="28"/>
          <w:rtl/>
          <w:lang w:bidi="ar-LB"/>
        </w:rPr>
        <w:t xml:space="preserve"> الشيرازي</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فقه</w:t>
      </w:r>
      <w:r w:rsidRPr="006571AC">
        <w:rPr>
          <w:rFonts w:cs="DanaFajr"/>
          <w:sz w:val="28"/>
          <w:szCs w:val="28"/>
          <w:rtl/>
          <w:lang w:bidi="ar-LB"/>
        </w:rPr>
        <w:t xml:space="preserve"> </w:t>
      </w:r>
      <w:r w:rsidRPr="006571AC">
        <w:rPr>
          <w:rFonts w:cs="DanaFajr" w:hint="eastAsia"/>
          <w:sz w:val="28"/>
          <w:szCs w:val="28"/>
          <w:rtl/>
          <w:lang w:bidi="ar-LB"/>
        </w:rPr>
        <w:t>العولمة</w:t>
      </w:r>
      <w:r w:rsidRPr="006571AC">
        <w:rPr>
          <w:rFonts w:cs="DanaFajr" w:hint="cs"/>
          <w:sz w:val="28"/>
          <w:szCs w:val="28"/>
          <w:rtl/>
          <w:lang w:bidi="ar-LB"/>
        </w:rPr>
        <w:t>:</w:t>
      </w:r>
      <w:r w:rsidRPr="006571AC">
        <w:rPr>
          <w:rFonts w:cs="DanaFajr"/>
          <w:sz w:val="28"/>
          <w:szCs w:val="28"/>
          <w:rtl/>
          <w:lang w:bidi="ar-LB"/>
        </w:rPr>
        <w:t xml:space="preserve"> 227</w:t>
      </w:r>
      <w:r w:rsidRPr="006571AC">
        <w:rPr>
          <w:rFonts w:cs="DanaFajr" w:hint="cs"/>
          <w:sz w:val="28"/>
          <w:szCs w:val="28"/>
          <w:rtl/>
          <w:lang w:bidi="ar-LB"/>
        </w:rPr>
        <w:t>، مؤسّسة الفكر الإسلامي، بيروت، ط1، 1423</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ناصر</w:t>
      </w:r>
      <w:r w:rsidRPr="006571AC">
        <w:rPr>
          <w:rFonts w:cs="DanaFajr" w:hint="eastAsia"/>
          <w:sz w:val="28"/>
          <w:szCs w:val="28"/>
          <w:rtl/>
          <w:lang w:bidi="ar-LB"/>
        </w:rPr>
        <w:t xml:space="preserve"> مكارم</w:t>
      </w:r>
      <w:r w:rsidRPr="006571AC">
        <w:rPr>
          <w:rFonts w:cs="DanaFajr"/>
          <w:sz w:val="28"/>
          <w:szCs w:val="28"/>
          <w:rtl/>
          <w:lang w:bidi="ar-LB"/>
        </w:rPr>
        <w:t xml:space="preserve"> </w:t>
      </w:r>
      <w:r w:rsidRPr="006571AC">
        <w:rPr>
          <w:rFonts w:cs="DanaFajr" w:hint="eastAsia"/>
          <w:sz w:val="28"/>
          <w:szCs w:val="28"/>
          <w:rtl/>
          <w:lang w:bidi="ar-LB"/>
        </w:rPr>
        <w:t>الشيرازي</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أنوار</w:t>
      </w:r>
      <w:r w:rsidRPr="006571AC">
        <w:rPr>
          <w:rFonts w:cs="DanaFajr"/>
          <w:sz w:val="28"/>
          <w:szCs w:val="28"/>
          <w:rtl/>
          <w:lang w:bidi="ar-LB"/>
        </w:rPr>
        <w:t xml:space="preserve"> </w:t>
      </w:r>
      <w:r w:rsidRPr="006571AC">
        <w:rPr>
          <w:rFonts w:cs="DanaFajr" w:hint="eastAsia"/>
          <w:sz w:val="28"/>
          <w:szCs w:val="28"/>
          <w:rtl/>
          <w:lang w:bidi="ar-LB"/>
        </w:rPr>
        <w:t>الفقاهة</w:t>
      </w:r>
      <w:r w:rsidRPr="006571AC">
        <w:rPr>
          <w:rFonts w:cs="DanaFajr"/>
          <w:sz w:val="28"/>
          <w:szCs w:val="28"/>
          <w:rtl/>
          <w:lang w:bidi="ar-LB"/>
        </w:rPr>
        <w:t xml:space="preserve">ـ </w:t>
      </w:r>
      <w:r w:rsidRPr="006571AC">
        <w:rPr>
          <w:rFonts w:cs="DanaFajr" w:hint="cs"/>
          <w:sz w:val="28"/>
          <w:szCs w:val="28"/>
          <w:rtl/>
          <w:lang w:bidi="ar-LB"/>
        </w:rPr>
        <w:t>(</w:t>
      </w:r>
      <w:r w:rsidRPr="006571AC">
        <w:rPr>
          <w:rFonts w:cs="DanaFajr" w:hint="eastAsia"/>
          <w:sz w:val="28"/>
          <w:szCs w:val="28"/>
          <w:rtl/>
          <w:lang w:bidi="ar-LB"/>
        </w:rPr>
        <w:t>كتاب</w:t>
      </w:r>
      <w:r w:rsidRPr="006571AC">
        <w:rPr>
          <w:rFonts w:cs="DanaFajr"/>
          <w:sz w:val="28"/>
          <w:szCs w:val="28"/>
          <w:rtl/>
          <w:lang w:bidi="ar-LB"/>
        </w:rPr>
        <w:t xml:space="preserve"> </w:t>
      </w:r>
      <w:r w:rsidRPr="006571AC">
        <w:rPr>
          <w:rFonts w:cs="DanaFajr" w:hint="eastAsia"/>
          <w:sz w:val="28"/>
          <w:szCs w:val="28"/>
          <w:rtl/>
          <w:lang w:bidi="ar-LB"/>
        </w:rPr>
        <w:t>النكاح</w:t>
      </w:r>
      <w:r w:rsidRPr="006571AC">
        <w:rPr>
          <w:rFonts w:cs="DanaFajr" w:hint="cs"/>
          <w:sz w:val="28"/>
          <w:szCs w:val="28"/>
          <w:rtl/>
          <w:lang w:bidi="ar-LB"/>
        </w:rPr>
        <w:t>):</w:t>
      </w:r>
      <w:r w:rsidRPr="006571AC">
        <w:rPr>
          <w:rFonts w:cs="DanaFajr"/>
          <w:sz w:val="28"/>
          <w:szCs w:val="28"/>
          <w:rtl/>
          <w:lang w:bidi="ar-LB"/>
        </w:rPr>
        <w:t xml:space="preserve"> 238</w:t>
      </w:r>
      <w:r w:rsidRPr="006571AC">
        <w:rPr>
          <w:rFonts w:cs="DanaFajr" w:hint="cs"/>
          <w:sz w:val="28"/>
          <w:szCs w:val="28"/>
          <w:rtl/>
          <w:lang w:bidi="ar-LB"/>
        </w:rPr>
        <w:t>، مدرسة الإمام علي بن أبي طالب</w:t>
      </w:r>
      <w:r w:rsidRPr="006571AC">
        <w:rPr>
          <w:rFonts w:ascii="Mosawi" w:hAnsi="Mosawi" w:cs="Mosawi"/>
          <w:rtl/>
        </w:rPr>
        <w:t>×</w:t>
      </w:r>
      <w:r w:rsidRPr="006571AC">
        <w:rPr>
          <w:rFonts w:cs="DanaFajr" w:hint="cs"/>
          <w:sz w:val="28"/>
          <w:szCs w:val="28"/>
          <w:rtl/>
          <w:lang w:bidi="ar-LB"/>
        </w:rPr>
        <w:t>، قم، ط1، 1425</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القم</w:t>
      </w:r>
      <w:r w:rsidRPr="006571AC">
        <w:rPr>
          <w:rFonts w:cs="DanaFajr" w:hint="cs"/>
          <w:sz w:val="28"/>
          <w:szCs w:val="28"/>
          <w:rtl/>
          <w:lang w:bidi="ar-LB"/>
        </w:rPr>
        <w:t>ّ</w:t>
      </w:r>
      <w:r w:rsidRPr="006571AC">
        <w:rPr>
          <w:rFonts w:cs="DanaFajr" w:hint="eastAsia"/>
          <w:sz w:val="28"/>
          <w:szCs w:val="28"/>
          <w:rtl/>
          <w:lang w:bidi="ar-LB"/>
        </w:rPr>
        <w:t>ي،</w:t>
      </w:r>
      <w:r w:rsidRPr="006571AC">
        <w:rPr>
          <w:rFonts w:cs="DanaFajr"/>
          <w:sz w:val="28"/>
          <w:szCs w:val="28"/>
          <w:rtl/>
          <w:lang w:bidi="ar-LB"/>
        </w:rPr>
        <w:t xml:space="preserve"> </w:t>
      </w:r>
      <w:r w:rsidRPr="006571AC">
        <w:rPr>
          <w:rFonts w:cs="DanaFajr" w:hint="eastAsia"/>
          <w:sz w:val="28"/>
          <w:szCs w:val="28"/>
          <w:rtl/>
          <w:lang w:bidi="ar-LB"/>
        </w:rPr>
        <w:t>مباني</w:t>
      </w:r>
      <w:r w:rsidRPr="006571AC">
        <w:rPr>
          <w:rFonts w:cs="DanaFajr"/>
          <w:sz w:val="28"/>
          <w:szCs w:val="28"/>
          <w:rtl/>
          <w:lang w:bidi="ar-LB"/>
        </w:rPr>
        <w:t xml:space="preserve"> </w:t>
      </w:r>
      <w:r w:rsidRPr="006571AC">
        <w:rPr>
          <w:rFonts w:cs="DanaFajr" w:hint="eastAsia"/>
          <w:sz w:val="28"/>
          <w:szCs w:val="28"/>
          <w:rtl/>
          <w:lang w:bidi="ar-LB"/>
        </w:rPr>
        <w:t>منهاج</w:t>
      </w:r>
      <w:r w:rsidRPr="006571AC">
        <w:rPr>
          <w:rFonts w:cs="DanaFajr"/>
          <w:sz w:val="28"/>
          <w:szCs w:val="28"/>
          <w:rtl/>
          <w:lang w:bidi="ar-LB"/>
        </w:rPr>
        <w:t xml:space="preserve"> </w:t>
      </w:r>
      <w:r w:rsidRPr="006571AC">
        <w:rPr>
          <w:rFonts w:cs="DanaFajr" w:hint="eastAsia"/>
          <w:sz w:val="28"/>
          <w:szCs w:val="28"/>
          <w:rtl/>
          <w:lang w:bidi="ar-LB"/>
        </w:rPr>
        <w:t>الصالحين</w:t>
      </w:r>
      <w:r w:rsidRPr="006571AC">
        <w:rPr>
          <w:rFonts w:cs="DanaFajr"/>
          <w:sz w:val="28"/>
          <w:szCs w:val="28"/>
          <w:rtl/>
          <w:lang w:bidi="ar-LB"/>
        </w:rPr>
        <w:t xml:space="preserve"> 8: 412.</w:t>
      </w:r>
    </w:p>
  </w:endnote>
  <w:endnote w:id="28">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cs"/>
          <w:sz w:val="28"/>
          <w:szCs w:val="28"/>
          <w:rtl/>
          <w:lang w:bidi="ar-LB"/>
        </w:rPr>
        <w:t>السيد حسين الطباطبائي</w:t>
      </w:r>
      <w:r w:rsidRPr="006571AC">
        <w:rPr>
          <w:rFonts w:cs="DanaFajr" w:hint="eastAsia"/>
          <w:sz w:val="28"/>
          <w:szCs w:val="28"/>
          <w:rtl/>
          <w:lang w:bidi="ar-LB"/>
        </w:rPr>
        <w:t xml:space="preserve"> البروجردي</w:t>
      </w:r>
      <w:r w:rsidRPr="006571AC">
        <w:rPr>
          <w:rFonts w:cs="DanaFajr" w:hint="cs"/>
          <w:sz w:val="28"/>
          <w:szCs w:val="28"/>
          <w:rtl/>
          <w:lang w:bidi="ar-LB"/>
        </w:rPr>
        <w:t xml:space="preserve">، </w:t>
      </w:r>
      <w:r w:rsidRPr="006571AC">
        <w:rPr>
          <w:rFonts w:cs="DanaFajr" w:hint="eastAsia"/>
          <w:sz w:val="28"/>
          <w:szCs w:val="28"/>
          <w:rtl/>
          <w:lang w:bidi="ar-LB"/>
        </w:rPr>
        <w:t>تقريرات</w:t>
      </w:r>
      <w:r w:rsidRPr="006571AC">
        <w:rPr>
          <w:rFonts w:cs="DanaFajr"/>
          <w:sz w:val="28"/>
          <w:szCs w:val="28"/>
          <w:rtl/>
          <w:lang w:bidi="ar-LB"/>
        </w:rPr>
        <w:t xml:space="preserve"> </w:t>
      </w:r>
      <w:r w:rsidRPr="006571AC">
        <w:rPr>
          <w:rFonts w:cs="DanaFajr" w:hint="eastAsia"/>
          <w:sz w:val="28"/>
          <w:szCs w:val="28"/>
          <w:rtl/>
          <w:lang w:bidi="ar-LB"/>
        </w:rPr>
        <w:t>ثلاثة</w:t>
      </w:r>
      <w:r w:rsidRPr="006571AC">
        <w:rPr>
          <w:rFonts w:cs="DanaFajr" w:hint="cs"/>
          <w:sz w:val="28"/>
          <w:szCs w:val="28"/>
          <w:rtl/>
          <w:lang w:bidi="ar-LB"/>
        </w:rPr>
        <w:t>:</w:t>
      </w:r>
      <w:r w:rsidRPr="006571AC">
        <w:rPr>
          <w:rFonts w:cs="DanaFajr"/>
          <w:sz w:val="28"/>
          <w:szCs w:val="28"/>
          <w:rtl/>
          <w:lang w:bidi="ar-LB"/>
        </w:rPr>
        <w:t xml:space="preserve"> 181</w:t>
      </w:r>
      <w:r w:rsidRPr="006571AC">
        <w:rPr>
          <w:rFonts w:cs="DanaFajr" w:hint="cs"/>
          <w:sz w:val="28"/>
          <w:szCs w:val="28"/>
          <w:rtl/>
          <w:lang w:bidi="ar-LB"/>
        </w:rPr>
        <w:t>، مؤسسة النشر الإسلامي، قم، ط1، 1413</w:t>
      </w:r>
      <w:r w:rsidRPr="006571AC">
        <w:rPr>
          <w:rFonts w:cs="DanaFajr" w:hint="cs"/>
          <w:sz w:val="28"/>
          <w:szCs w:val="28"/>
          <w:rtl/>
        </w:rPr>
        <w:t>هـ.</w:t>
      </w:r>
    </w:p>
  </w:endnote>
  <w:endnote w:id="29">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eastAsia"/>
          <w:sz w:val="28"/>
          <w:szCs w:val="28"/>
          <w:rtl/>
          <w:lang w:bidi="ar-LB"/>
        </w:rPr>
        <w:t>المصدر</w:t>
      </w:r>
      <w:r w:rsidRPr="006571AC">
        <w:rPr>
          <w:rFonts w:cs="DanaFajr"/>
          <w:sz w:val="28"/>
          <w:szCs w:val="28"/>
          <w:rtl/>
          <w:lang w:bidi="ar-LB"/>
        </w:rPr>
        <w:t xml:space="preserve"> </w:t>
      </w:r>
      <w:r w:rsidRPr="006571AC">
        <w:rPr>
          <w:rFonts w:cs="DanaFajr" w:hint="cs"/>
          <w:sz w:val="28"/>
          <w:szCs w:val="28"/>
          <w:rtl/>
          <w:lang w:bidi="ar-LB"/>
        </w:rPr>
        <w:t>نفسه</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الخميني،</w:t>
      </w:r>
      <w:r w:rsidRPr="006571AC">
        <w:rPr>
          <w:rFonts w:cs="DanaFajr"/>
          <w:sz w:val="28"/>
          <w:szCs w:val="28"/>
          <w:rtl/>
          <w:lang w:bidi="ar-LB"/>
        </w:rPr>
        <w:t xml:space="preserve"> </w:t>
      </w:r>
      <w:r w:rsidRPr="006571AC">
        <w:rPr>
          <w:rFonts w:cs="DanaFajr" w:hint="eastAsia"/>
          <w:sz w:val="28"/>
          <w:szCs w:val="28"/>
          <w:rtl/>
          <w:lang w:bidi="ar-LB"/>
        </w:rPr>
        <w:t>كتاب</w:t>
      </w:r>
      <w:r w:rsidRPr="006571AC">
        <w:rPr>
          <w:rFonts w:cs="DanaFajr"/>
          <w:sz w:val="28"/>
          <w:szCs w:val="28"/>
          <w:rtl/>
          <w:lang w:bidi="ar-LB"/>
        </w:rPr>
        <w:t xml:space="preserve"> </w:t>
      </w:r>
      <w:r w:rsidRPr="006571AC">
        <w:rPr>
          <w:rFonts w:cs="DanaFajr" w:hint="eastAsia"/>
          <w:sz w:val="28"/>
          <w:szCs w:val="28"/>
          <w:rtl/>
          <w:lang w:bidi="ar-LB"/>
        </w:rPr>
        <w:t>البيع</w:t>
      </w:r>
      <w:r w:rsidRPr="006571AC">
        <w:rPr>
          <w:rFonts w:cs="DanaFajr"/>
          <w:sz w:val="28"/>
          <w:szCs w:val="28"/>
          <w:rtl/>
          <w:lang w:bidi="ar-LB"/>
        </w:rPr>
        <w:t xml:space="preserve"> 1: 41</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أبو القاسم الموسوي</w:t>
      </w:r>
      <w:r w:rsidRPr="006571AC">
        <w:rPr>
          <w:rFonts w:cs="DanaFajr" w:hint="eastAsia"/>
          <w:sz w:val="28"/>
          <w:szCs w:val="28"/>
          <w:rtl/>
          <w:lang w:bidi="ar-LB"/>
        </w:rPr>
        <w:t xml:space="preserve"> الخوئي</w:t>
      </w:r>
      <w:r w:rsidRPr="006571AC">
        <w:rPr>
          <w:rFonts w:cs="DanaFajr" w:hint="cs"/>
          <w:sz w:val="28"/>
          <w:szCs w:val="28"/>
          <w:rtl/>
          <w:lang w:bidi="ar-LB"/>
        </w:rPr>
        <w:t xml:space="preserve">، </w:t>
      </w:r>
      <w:r w:rsidRPr="006571AC">
        <w:rPr>
          <w:rFonts w:cs="DanaFajr" w:hint="eastAsia"/>
          <w:sz w:val="28"/>
          <w:szCs w:val="28"/>
          <w:rtl/>
          <w:lang w:bidi="ar-LB"/>
        </w:rPr>
        <w:t>مصباح</w:t>
      </w:r>
      <w:r w:rsidRPr="006571AC">
        <w:rPr>
          <w:rFonts w:cs="DanaFajr"/>
          <w:sz w:val="28"/>
          <w:szCs w:val="28"/>
          <w:rtl/>
          <w:lang w:bidi="ar-LB"/>
        </w:rPr>
        <w:t xml:space="preserve"> </w:t>
      </w:r>
      <w:r w:rsidRPr="006571AC">
        <w:rPr>
          <w:rFonts w:cs="DanaFajr" w:hint="eastAsia"/>
          <w:sz w:val="28"/>
          <w:szCs w:val="28"/>
          <w:rtl/>
          <w:lang w:bidi="ar-LB"/>
        </w:rPr>
        <w:t>الفقاهة</w:t>
      </w:r>
      <w:r w:rsidRPr="006571AC">
        <w:rPr>
          <w:rFonts w:cs="DanaFajr"/>
          <w:sz w:val="28"/>
          <w:szCs w:val="28"/>
          <w:rtl/>
          <w:lang w:bidi="ar-LB"/>
        </w:rPr>
        <w:t xml:space="preserve"> 2: 5</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حسن الخرَّم آبادي</w:t>
      </w:r>
      <w:r w:rsidRPr="006571AC">
        <w:rPr>
          <w:rFonts w:cs="DanaFajr" w:hint="eastAsia"/>
          <w:sz w:val="28"/>
          <w:szCs w:val="28"/>
          <w:rtl/>
          <w:lang w:bidi="ar-LB"/>
        </w:rPr>
        <w:t xml:space="preserve"> الطاهري</w:t>
      </w:r>
      <w:r w:rsidRPr="006571AC">
        <w:rPr>
          <w:rFonts w:cs="DanaFajr" w:hint="cs"/>
          <w:sz w:val="28"/>
          <w:szCs w:val="28"/>
          <w:rtl/>
          <w:lang w:bidi="ar-LB"/>
        </w:rPr>
        <w:t xml:space="preserve">، </w:t>
      </w:r>
      <w:r w:rsidRPr="006571AC">
        <w:rPr>
          <w:rFonts w:cs="DanaFajr" w:hint="eastAsia"/>
          <w:sz w:val="28"/>
          <w:szCs w:val="28"/>
          <w:rtl/>
          <w:lang w:bidi="ar-LB"/>
        </w:rPr>
        <w:t>كتاب</w:t>
      </w:r>
      <w:r w:rsidRPr="006571AC">
        <w:rPr>
          <w:rFonts w:cs="DanaFajr"/>
          <w:sz w:val="28"/>
          <w:szCs w:val="28"/>
          <w:rtl/>
          <w:lang w:bidi="ar-LB"/>
        </w:rPr>
        <w:t xml:space="preserve"> </w:t>
      </w:r>
      <w:r w:rsidRPr="006571AC">
        <w:rPr>
          <w:rFonts w:cs="DanaFajr" w:hint="eastAsia"/>
          <w:sz w:val="28"/>
          <w:szCs w:val="28"/>
          <w:rtl/>
          <w:lang w:bidi="ar-LB"/>
        </w:rPr>
        <w:t>البيع</w:t>
      </w:r>
      <w:r w:rsidRPr="006571AC">
        <w:rPr>
          <w:rFonts w:cs="DanaFajr"/>
          <w:sz w:val="28"/>
          <w:szCs w:val="28"/>
          <w:rtl/>
          <w:lang w:bidi="ar-LB"/>
        </w:rPr>
        <w:t xml:space="preserve"> (</w:t>
      </w:r>
      <w:r w:rsidRPr="006571AC">
        <w:rPr>
          <w:rFonts w:cs="DanaFajr" w:hint="eastAsia"/>
          <w:sz w:val="28"/>
          <w:szCs w:val="28"/>
          <w:rtl/>
          <w:lang w:bidi="ar-LB"/>
        </w:rPr>
        <w:t>تقريرات</w:t>
      </w:r>
      <w:r w:rsidRPr="006571AC">
        <w:rPr>
          <w:rFonts w:cs="DanaFajr"/>
          <w:sz w:val="28"/>
          <w:szCs w:val="28"/>
          <w:rtl/>
          <w:lang w:bidi="ar-LB"/>
        </w:rPr>
        <w:t xml:space="preserve"> </w:t>
      </w:r>
      <w:r w:rsidRPr="006571AC">
        <w:rPr>
          <w:rFonts w:cs="DanaFajr" w:hint="eastAsia"/>
          <w:sz w:val="28"/>
          <w:szCs w:val="28"/>
          <w:rtl/>
          <w:lang w:bidi="ar-LB"/>
        </w:rPr>
        <w:t>درس</w:t>
      </w:r>
      <w:r w:rsidRPr="006571AC">
        <w:rPr>
          <w:rFonts w:cs="DanaFajr"/>
          <w:sz w:val="28"/>
          <w:szCs w:val="28"/>
          <w:rtl/>
          <w:lang w:bidi="ar-LB"/>
        </w:rPr>
        <w:t xml:space="preserve"> </w:t>
      </w:r>
      <w:r w:rsidRPr="006571AC">
        <w:rPr>
          <w:rFonts w:cs="DanaFajr" w:hint="eastAsia"/>
          <w:sz w:val="28"/>
          <w:szCs w:val="28"/>
          <w:rtl/>
          <w:lang w:bidi="ar-LB"/>
        </w:rPr>
        <w:t>الإمام</w:t>
      </w:r>
      <w:r w:rsidRPr="006571AC">
        <w:rPr>
          <w:rFonts w:cs="DanaFajr"/>
          <w:sz w:val="28"/>
          <w:szCs w:val="28"/>
          <w:rtl/>
          <w:lang w:bidi="ar-LB"/>
        </w:rPr>
        <w:t xml:space="preserve"> </w:t>
      </w:r>
      <w:r w:rsidRPr="006571AC">
        <w:rPr>
          <w:rFonts w:cs="DanaFajr" w:hint="eastAsia"/>
          <w:sz w:val="28"/>
          <w:szCs w:val="28"/>
          <w:rtl/>
          <w:lang w:bidi="ar-LB"/>
        </w:rPr>
        <w:t>الخميني</w:t>
      </w:r>
      <w:r w:rsidRPr="006571AC">
        <w:rPr>
          <w:rFonts w:cs="DanaFajr"/>
          <w:sz w:val="28"/>
          <w:szCs w:val="28"/>
          <w:rtl/>
          <w:lang w:bidi="ar-LB"/>
        </w:rPr>
        <w:t>)</w:t>
      </w:r>
      <w:r w:rsidRPr="006571AC">
        <w:rPr>
          <w:rFonts w:cs="DanaFajr" w:hint="cs"/>
          <w:sz w:val="28"/>
          <w:szCs w:val="28"/>
          <w:rtl/>
          <w:lang w:bidi="ar-LB"/>
        </w:rPr>
        <w:t>:</w:t>
      </w:r>
      <w:r w:rsidRPr="006571AC">
        <w:rPr>
          <w:rFonts w:cs="DanaFajr"/>
          <w:sz w:val="28"/>
          <w:szCs w:val="28"/>
          <w:rtl/>
          <w:lang w:bidi="ar-LB"/>
        </w:rPr>
        <w:t xml:space="preserve"> 50</w:t>
      </w:r>
      <w:r w:rsidRPr="006571AC">
        <w:rPr>
          <w:rFonts w:cs="DanaFajr" w:hint="cs"/>
          <w:sz w:val="28"/>
          <w:szCs w:val="28"/>
          <w:rtl/>
          <w:lang w:bidi="ar-LB"/>
        </w:rPr>
        <w:t>، مؤسَّسة تنظيم ونشر آثار الإمام الخميني، قم، ط1، 1418</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صادق الحسيني</w:t>
      </w:r>
      <w:r w:rsidRPr="006571AC">
        <w:rPr>
          <w:rFonts w:cs="DanaFajr" w:hint="eastAsia"/>
          <w:sz w:val="28"/>
          <w:szCs w:val="28"/>
          <w:rtl/>
          <w:lang w:bidi="ar-LB"/>
        </w:rPr>
        <w:t xml:space="preserve"> الروحاني</w:t>
      </w:r>
      <w:r w:rsidRPr="006571AC">
        <w:rPr>
          <w:rFonts w:cs="DanaFajr" w:hint="cs"/>
          <w:sz w:val="28"/>
          <w:szCs w:val="28"/>
          <w:rtl/>
          <w:lang w:bidi="ar-LB"/>
        </w:rPr>
        <w:t xml:space="preserve">، </w:t>
      </w:r>
      <w:r w:rsidRPr="006571AC">
        <w:rPr>
          <w:rFonts w:cs="DanaFajr" w:hint="eastAsia"/>
          <w:sz w:val="28"/>
          <w:szCs w:val="28"/>
          <w:rtl/>
          <w:lang w:bidi="ar-LB"/>
        </w:rPr>
        <w:t>المسائل</w:t>
      </w:r>
      <w:r w:rsidRPr="006571AC">
        <w:rPr>
          <w:rFonts w:cs="DanaFajr"/>
          <w:sz w:val="28"/>
          <w:szCs w:val="28"/>
          <w:rtl/>
          <w:lang w:bidi="ar-LB"/>
        </w:rPr>
        <w:t xml:space="preserve"> </w:t>
      </w:r>
      <w:r w:rsidRPr="006571AC">
        <w:rPr>
          <w:rFonts w:cs="DanaFajr" w:hint="eastAsia"/>
          <w:sz w:val="28"/>
          <w:szCs w:val="28"/>
          <w:rtl/>
          <w:lang w:bidi="ar-LB"/>
        </w:rPr>
        <w:t>المستحدثة</w:t>
      </w:r>
      <w:r w:rsidRPr="006571AC">
        <w:rPr>
          <w:rFonts w:cs="DanaFajr" w:hint="cs"/>
          <w:sz w:val="28"/>
          <w:szCs w:val="28"/>
          <w:rtl/>
          <w:lang w:bidi="ar-LB"/>
        </w:rPr>
        <w:t>:</w:t>
      </w:r>
      <w:r w:rsidRPr="006571AC">
        <w:rPr>
          <w:rFonts w:cs="DanaFajr"/>
          <w:sz w:val="28"/>
          <w:szCs w:val="28"/>
          <w:rtl/>
          <w:lang w:bidi="ar-LB"/>
        </w:rPr>
        <w:t xml:space="preserve"> 297.</w:t>
      </w:r>
    </w:p>
  </w:endnote>
  <w:endnote w:id="30">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cs"/>
          <w:sz w:val="28"/>
          <w:szCs w:val="28"/>
          <w:rtl/>
          <w:lang w:bidi="ar-LB"/>
        </w:rPr>
        <w:t xml:space="preserve">مطهَّري، </w:t>
      </w:r>
      <w:r w:rsidRPr="006571AC">
        <w:rPr>
          <w:rFonts w:cs="DanaFajr" w:hint="eastAsia"/>
          <w:sz w:val="28"/>
          <w:szCs w:val="28"/>
          <w:rtl/>
          <w:lang w:bidi="ar-LB"/>
        </w:rPr>
        <w:t>مجموعة</w:t>
      </w:r>
      <w:r w:rsidRPr="006571AC">
        <w:rPr>
          <w:rFonts w:cs="DanaFajr"/>
          <w:sz w:val="28"/>
          <w:szCs w:val="28"/>
          <w:rtl/>
          <w:lang w:bidi="ar-LB"/>
        </w:rPr>
        <w:t xml:space="preserve"> </w:t>
      </w:r>
      <w:r w:rsidRPr="006571AC">
        <w:rPr>
          <w:rFonts w:cs="DanaFajr" w:hint="eastAsia"/>
          <w:sz w:val="28"/>
          <w:szCs w:val="28"/>
          <w:rtl/>
          <w:lang w:bidi="ar-LB"/>
        </w:rPr>
        <w:t>آثار</w:t>
      </w:r>
      <w:r w:rsidRPr="006571AC">
        <w:rPr>
          <w:rFonts w:cs="DanaFajr"/>
          <w:sz w:val="28"/>
          <w:szCs w:val="28"/>
          <w:rtl/>
          <w:lang w:bidi="ar-LB"/>
        </w:rPr>
        <w:t xml:space="preserve"> </w:t>
      </w:r>
      <w:r w:rsidRPr="006571AC">
        <w:rPr>
          <w:rFonts w:cs="DanaFajr" w:hint="eastAsia"/>
          <w:sz w:val="28"/>
          <w:szCs w:val="28"/>
          <w:rtl/>
          <w:lang w:bidi="ar-LB"/>
        </w:rPr>
        <w:t>الشهيد</w:t>
      </w:r>
      <w:r w:rsidRPr="006571AC">
        <w:rPr>
          <w:rFonts w:cs="DanaFajr"/>
          <w:sz w:val="28"/>
          <w:szCs w:val="28"/>
          <w:rtl/>
          <w:lang w:bidi="ar-LB"/>
        </w:rPr>
        <w:t xml:space="preserve"> </w:t>
      </w:r>
      <w:r w:rsidRPr="006571AC">
        <w:rPr>
          <w:rFonts w:cs="DanaFajr" w:hint="eastAsia"/>
          <w:sz w:val="28"/>
          <w:szCs w:val="28"/>
          <w:rtl/>
          <w:lang w:bidi="ar-LB"/>
        </w:rPr>
        <w:t>مطه</w:t>
      </w:r>
      <w:r w:rsidRPr="006571AC">
        <w:rPr>
          <w:rFonts w:cs="DanaFajr" w:hint="cs"/>
          <w:sz w:val="28"/>
          <w:szCs w:val="28"/>
          <w:rtl/>
          <w:lang w:bidi="ar-LB"/>
        </w:rPr>
        <w:t>َّ</w:t>
      </w:r>
      <w:r w:rsidRPr="006571AC">
        <w:rPr>
          <w:rFonts w:cs="DanaFajr" w:hint="eastAsia"/>
          <w:sz w:val="28"/>
          <w:szCs w:val="28"/>
          <w:rtl/>
          <w:lang w:bidi="ar-LB"/>
        </w:rPr>
        <w:t>ري</w:t>
      </w:r>
      <w:r w:rsidRPr="006571AC">
        <w:rPr>
          <w:rFonts w:cs="DanaFajr"/>
          <w:sz w:val="28"/>
          <w:szCs w:val="28"/>
          <w:rtl/>
          <w:lang w:bidi="ar-LB"/>
        </w:rPr>
        <w:t xml:space="preserve"> </w:t>
      </w:r>
      <w:r w:rsidRPr="006571AC">
        <w:rPr>
          <w:rFonts w:cs="DanaFajr" w:hint="cs"/>
          <w:sz w:val="28"/>
          <w:szCs w:val="28"/>
          <w:rtl/>
          <w:lang w:bidi="ar-LB"/>
        </w:rPr>
        <w:t>23</w:t>
      </w:r>
      <w:r w:rsidRPr="006571AC">
        <w:rPr>
          <w:rFonts w:cs="DanaFajr"/>
          <w:sz w:val="28"/>
          <w:szCs w:val="28"/>
          <w:rtl/>
          <w:lang w:bidi="ar-LB"/>
        </w:rPr>
        <w:t>:</w:t>
      </w:r>
      <w:r w:rsidRPr="006571AC">
        <w:rPr>
          <w:rFonts w:cs="DanaFajr" w:hint="cs"/>
          <w:sz w:val="28"/>
          <w:szCs w:val="28"/>
          <w:rtl/>
          <w:lang w:bidi="ar-LB"/>
        </w:rPr>
        <w:t xml:space="preserve"> 317: </w:t>
      </w:r>
      <w:r w:rsidRPr="006571AC">
        <w:rPr>
          <w:sz w:val="22"/>
          <w:szCs w:val="22"/>
          <w:rtl/>
          <w:lang w:bidi="ar-LB"/>
        </w:rPr>
        <w:t>«</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هدف</w:t>
      </w:r>
      <w:r w:rsidRPr="006571AC">
        <w:rPr>
          <w:rFonts w:cs="DanaFajr"/>
          <w:sz w:val="28"/>
          <w:szCs w:val="28"/>
          <w:rtl/>
          <w:lang w:bidi="ar-LB"/>
        </w:rPr>
        <w:t xml:space="preserve"> </w:t>
      </w:r>
      <w:r w:rsidRPr="006571AC">
        <w:rPr>
          <w:rFonts w:cs="DanaFajr" w:hint="eastAsia"/>
          <w:sz w:val="28"/>
          <w:szCs w:val="28"/>
          <w:rtl/>
          <w:lang w:bidi="ar-LB"/>
        </w:rPr>
        <w:t>وكمال</w:t>
      </w:r>
      <w:r w:rsidRPr="006571AC">
        <w:rPr>
          <w:rFonts w:cs="DanaFajr"/>
          <w:sz w:val="28"/>
          <w:szCs w:val="28"/>
          <w:rtl/>
          <w:lang w:bidi="ar-LB"/>
        </w:rPr>
        <w:t xml:space="preserve"> </w:t>
      </w:r>
      <w:r w:rsidRPr="006571AC">
        <w:rPr>
          <w:rFonts w:cs="DanaFajr" w:hint="eastAsia"/>
          <w:sz w:val="28"/>
          <w:szCs w:val="28"/>
          <w:rtl/>
          <w:lang w:bidi="ar-LB"/>
        </w:rPr>
        <w:t>وسيلة؛</w:t>
      </w:r>
      <w:r w:rsidRPr="006571AC">
        <w:rPr>
          <w:rFonts w:cs="DanaFajr"/>
          <w:sz w:val="28"/>
          <w:szCs w:val="28"/>
          <w:rtl/>
          <w:lang w:bidi="ar-LB"/>
        </w:rPr>
        <w:t xml:space="preserve"> </w:t>
      </w:r>
      <w:r w:rsidRPr="006571AC">
        <w:rPr>
          <w:rFonts w:cs="DanaFajr" w:hint="eastAsia"/>
          <w:sz w:val="28"/>
          <w:szCs w:val="28"/>
          <w:rtl/>
          <w:lang w:bidi="ar-LB"/>
        </w:rPr>
        <w:t>هناك</w:t>
      </w:r>
      <w:r w:rsidRPr="006571AC">
        <w:rPr>
          <w:rFonts w:cs="DanaFajr"/>
          <w:sz w:val="28"/>
          <w:szCs w:val="28"/>
          <w:rtl/>
          <w:lang w:bidi="ar-LB"/>
        </w:rPr>
        <w:t xml:space="preserve"> </w:t>
      </w:r>
      <w:r w:rsidRPr="006571AC">
        <w:rPr>
          <w:rFonts w:cs="DanaFajr" w:hint="eastAsia"/>
          <w:sz w:val="28"/>
          <w:szCs w:val="28"/>
          <w:rtl/>
          <w:lang w:bidi="ar-LB"/>
        </w:rPr>
        <w:t>مسألة</w:t>
      </w:r>
      <w:r w:rsidRPr="006571AC">
        <w:rPr>
          <w:rFonts w:cs="DanaFajr"/>
          <w:sz w:val="28"/>
          <w:szCs w:val="28"/>
          <w:rtl/>
          <w:lang w:bidi="ar-LB"/>
        </w:rPr>
        <w:t xml:space="preserve"> </w:t>
      </w:r>
      <w:r w:rsidRPr="006571AC">
        <w:rPr>
          <w:rFonts w:cs="DanaFajr" w:hint="eastAsia"/>
          <w:sz w:val="28"/>
          <w:szCs w:val="28"/>
          <w:rtl/>
          <w:lang w:bidi="ar-LB"/>
        </w:rPr>
        <w:t>أخرى</w:t>
      </w:r>
      <w:r w:rsidRPr="006571AC">
        <w:rPr>
          <w:rFonts w:cs="DanaFajr"/>
          <w:sz w:val="28"/>
          <w:szCs w:val="28"/>
          <w:rtl/>
          <w:lang w:bidi="ar-LB"/>
        </w:rPr>
        <w:t xml:space="preserve"> </w:t>
      </w:r>
      <w:r w:rsidRPr="006571AC">
        <w:rPr>
          <w:rFonts w:cs="DanaFajr" w:hint="eastAsia"/>
          <w:sz w:val="28"/>
          <w:szCs w:val="28"/>
          <w:rtl/>
          <w:lang w:bidi="ar-LB"/>
        </w:rPr>
        <w:t>وهي</w:t>
      </w:r>
      <w:r w:rsidRPr="006571AC">
        <w:rPr>
          <w:rFonts w:cs="DanaFajr"/>
          <w:sz w:val="28"/>
          <w:szCs w:val="28"/>
          <w:rtl/>
          <w:lang w:bidi="ar-LB"/>
        </w:rPr>
        <w:t xml:space="preserve"> </w:t>
      </w:r>
      <w:r w:rsidRPr="006571AC">
        <w:rPr>
          <w:rFonts w:cs="DanaFajr" w:hint="eastAsia"/>
          <w:sz w:val="28"/>
          <w:szCs w:val="28"/>
          <w:rtl/>
          <w:lang w:bidi="ar-LB"/>
        </w:rPr>
        <w:t>خلط</w:t>
      </w:r>
      <w:r w:rsidRPr="006571AC">
        <w:rPr>
          <w:rFonts w:cs="DanaFajr"/>
          <w:sz w:val="28"/>
          <w:szCs w:val="28"/>
          <w:rtl/>
          <w:lang w:bidi="ar-LB"/>
        </w:rPr>
        <w:t xml:space="preserve"> </w:t>
      </w:r>
      <w:r w:rsidRPr="006571AC">
        <w:rPr>
          <w:rFonts w:cs="DanaFajr" w:hint="eastAsia"/>
          <w:sz w:val="28"/>
          <w:szCs w:val="28"/>
          <w:rtl/>
          <w:lang w:bidi="ar-LB"/>
        </w:rPr>
        <w:t>هؤلاء</w:t>
      </w:r>
      <w:r w:rsidRPr="006571AC">
        <w:rPr>
          <w:rFonts w:cs="DanaFajr"/>
          <w:sz w:val="28"/>
          <w:szCs w:val="28"/>
          <w:rtl/>
          <w:lang w:bidi="ar-LB"/>
        </w:rPr>
        <w:t xml:space="preserve"> </w:t>
      </w:r>
      <w:r w:rsidRPr="006571AC">
        <w:rPr>
          <w:rFonts w:cs="DanaFajr" w:hint="eastAsia"/>
          <w:sz w:val="28"/>
          <w:szCs w:val="28"/>
          <w:rtl/>
          <w:lang w:bidi="ar-LB"/>
        </w:rPr>
        <w:t>الوجوديين</w:t>
      </w:r>
      <w:r w:rsidRPr="006571AC">
        <w:rPr>
          <w:rFonts w:cs="DanaFajr"/>
          <w:sz w:val="28"/>
          <w:szCs w:val="28"/>
          <w:rtl/>
          <w:lang w:bidi="ar-LB"/>
        </w:rPr>
        <w:t xml:space="preserve"> </w:t>
      </w:r>
      <w:r w:rsidRPr="006571AC">
        <w:rPr>
          <w:rFonts w:cs="DanaFajr" w:hint="eastAsia"/>
          <w:sz w:val="28"/>
          <w:szCs w:val="28"/>
          <w:rtl/>
          <w:lang w:bidi="ar-LB"/>
        </w:rPr>
        <w:t>بين</w:t>
      </w:r>
      <w:r w:rsidRPr="006571AC">
        <w:rPr>
          <w:rFonts w:cs="DanaFajr"/>
          <w:sz w:val="28"/>
          <w:szCs w:val="28"/>
          <w:rtl/>
          <w:lang w:bidi="ar-LB"/>
        </w:rPr>
        <w:t xml:space="preserve"> </w:t>
      </w:r>
      <w:r w:rsidRPr="006571AC">
        <w:rPr>
          <w:rFonts w:cs="DanaFajr" w:hint="eastAsia"/>
          <w:sz w:val="28"/>
          <w:szCs w:val="28"/>
          <w:rtl/>
          <w:lang w:bidi="ar-LB"/>
        </w:rPr>
        <w:t>الهدف</w:t>
      </w:r>
      <w:r w:rsidRPr="006571AC">
        <w:rPr>
          <w:rFonts w:cs="DanaFajr"/>
          <w:sz w:val="28"/>
          <w:szCs w:val="28"/>
          <w:rtl/>
          <w:lang w:bidi="ar-LB"/>
        </w:rPr>
        <w:t xml:space="preserve"> </w:t>
      </w:r>
      <w:r w:rsidRPr="006571AC">
        <w:rPr>
          <w:rFonts w:cs="DanaFajr" w:hint="eastAsia"/>
          <w:sz w:val="28"/>
          <w:szCs w:val="28"/>
          <w:rtl/>
          <w:lang w:bidi="ar-LB"/>
        </w:rPr>
        <w:t>والوسيلة</w:t>
      </w:r>
      <w:r w:rsidRPr="006571AC">
        <w:rPr>
          <w:rFonts w:cs="DanaFajr"/>
          <w:sz w:val="28"/>
          <w:szCs w:val="28"/>
          <w:rtl/>
          <w:lang w:bidi="ar-LB"/>
        </w:rPr>
        <w:t xml:space="preserve">. </w:t>
      </w:r>
      <w:r w:rsidRPr="006571AC">
        <w:rPr>
          <w:rFonts w:cs="DanaFajr" w:hint="eastAsia"/>
          <w:sz w:val="28"/>
          <w:szCs w:val="28"/>
          <w:rtl/>
          <w:lang w:bidi="ar-LB"/>
        </w:rPr>
        <w:t>الحر</w:t>
      </w:r>
      <w:r w:rsidRPr="006571AC">
        <w:rPr>
          <w:rFonts w:cs="DanaFajr" w:hint="cs"/>
          <w:sz w:val="28"/>
          <w:szCs w:val="28"/>
          <w:rtl/>
          <w:lang w:bidi="ar-LB"/>
        </w:rPr>
        <w:t>ّ</w:t>
      </w:r>
      <w:r w:rsidRPr="006571AC">
        <w:rPr>
          <w:rFonts w:cs="DanaFajr" w:hint="eastAsia"/>
          <w:sz w:val="28"/>
          <w:szCs w:val="28"/>
          <w:rtl/>
          <w:lang w:bidi="ar-LB"/>
        </w:rPr>
        <w:t>ية</w:t>
      </w:r>
      <w:r w:rsidRPr="006571AC">
        <w:rPr>
          <w:rFonts w:cs="DanaFajr"/>
          <w:sz w:val="28"/>
          <w:szCs w:val="28"/>
          <w:rtl/>
          <w:lang w:bidi="ar-LB"/>
        </w:rPr>
        <w:t xml:space="preserve"> </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لكنها</w:t>
      </w:r>
      <w:r w:rsidRPr="006571AC">
        <w:rPr>
          <w:rFonts w:cs="DanaFajr"/>
          <w:sz w:val="28"/>
          <w:szCs w:val="28"/>
          <w:rtl/>
          <w:lang w:bidi="ar-LB"/>
        </w:rPr>
        <w:t xml:space="preserve"> </w:t>
      </w:r>
      <w:r w:rsidRPr="006571AC">
        <w:rPr>
          <w:sz w:val="22"/>
          <w:szCs w:val="22"/>
          <w:rtl/>
          <w:lang w:bidi="ar-LB"/>
        </w:rPr>
        <w:t>«</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وسيلة</w:t>
      </w:r>
      <w:r w:rsidRPr="006571AC">
        <w:rPr>
          <w:rFonts w:hint="eastAsia"/>
          <w:sz w:val="22"/>
          <w:szCs w:val="22"/>
          <w:rtl/>
          <w:lang w:bidi="ar-LB"/>
        </w:rPr>
        <w:t>»</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وليست</w:t>
      </w:r>
      <w:r w:rsidRPr="006571AC">
        <w:rPr>
          <w:rFonts w:cs="DanaFajr"/>
          <w:sz w:val="28"/>
          <w:szCs w:val="28"/>
          <w:rtl/>
          <w:lang w:bidi="ar-LB"/>
        </w:rPr>
        <w:t xml:space="preserve"> </w:t>
      </w:r>
      <w:r w:rsidRPr="006571AC">
        <w:rPr>
          <w:sz w:val="22"/>
          <w:szCs w:val="22"/>
          <w:rtl/>
          <w:lang w:bidi="ar-LB"/>
        </w:rPr>
        <w:t>«</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هدف</w:t>
      </w:r>
      <w:r w:rsidRPr="006571AC">
        <w:rPr>
          <w:rFonts w:hint="eastAsia"/>
          <w:sz w:val="22"/>
          <w:szCs w:val="22"/>
          <w:rtl/>
          <w:lang w:bidi="ar-LB"/>
        </w:rPr>
        <w:t>»</w:t>
      </w:r>
      <w:r w:rsidRPr="006571AC">
        <w:rPr>
          <w:rFonts w:cs="DanaFajr"/>
          <w:sz w:val="28"/>
          <w:szCs w:val="28"/>
          <w:rtl/>
          <w:lang w:bidi="ar-LB"/>
        </w:rPr>
        <w:t xml:space="preserve">. </w:t>
      </w:r>
      <w:r w:rsidRPr="006571AC">
        <w:rPr>
          <w:rFonts w:cs="DanaFajr" w:hint="eastAsia"/>
          <w:sz w:val="28"/>
          <w:szCs w:val="28"/>
          <w:rtl/>
          <w:lang w:bidi="ar-LB"/>
        </w:rPr>
        <w:t>ليس</w:t>
      </w:r>
      <w:r w:rsidRPr="006571AC">
        <w:rPr>
          <w:rFonts w:cs="DanaFajr"/>
          <w:sz w:val="28"/>
          <w:szCs w:val="28"/>
          <w:rtl/>
          <w:lang w:bidi="ar-LB"/>
        </w:rPr>
        <w:t xml:space="preserve"> </w:t>
      </w:r>
      <w:r w:rsidRPr="006571AC">
        <w:rPr>
          <w:rFonts w:cs="DanaFajr" w:hint="eastAsia"/>
          <w:sz w:val="28"/>
          <w:szCs w:val="28"/>
          <w:rtl/>
          <w:lang w:bidi="ar-LB"/>
        </w:rPr>
        <w:t>هدف</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يكون</w:t>
      </w:r>
      <w:r w:rsidRPr="006571AC">
        <w:rPr>
          <w:rFonts w:cs="DanaFajr"/>
          <w:sz w:val="28"/>
          <w:szCs w:val="28"/>
          <w:rtl/>
          <w:lang w:bidi="ar-LB"/>
        </w:rPr>
        <w:t xml:space="preserve"> </w:t>
      </w:r>
      <w:r w:rsidRPr="006571AC">
        <w:rPr>
          <w:rFonts w:cs="DanaFajr" w:hint="eastAsia"/>
          <w:sz w:val="28"/>
          <w:szCs w:val="28"/>
          <w:rtl/>
          <w:lang w:bidi="ar-LB"/>
        </w:rPr>
        <w:t>حر</w:t>
      </w:r>
      <w:r w:rsidRPr="006571AC">
        <w:rPr>
          <w:rFonts w:cs="DanaFajr" w:hint="cs"/>
          <w:sz w:val="28"/>
          <w:szCs w:val="28"/>
          <w:rtl/>
          <w:lang w:bidi="ar-LB"/>
        </w:rPr>
        <w:t>ّاً</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لكن</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يجب</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يكون</w:t>
      </w:r>
      <w:r w:rsidRPr="006571AC">
        <w:rPr>
          <w:rFonts w:cs="DanaFajr"/>
          <w:sz w:val="28"/>
          <w:szCs w:val="28"/>
          <w:rtl/>
          <w:lang w:bidi="ar-LB"/>
        </w:rPr>
        <w:t xml:space="preserve"> </w:t>
      </w:r>
      <w:r w:rsidRPr="006571AC">
        <w:rPr>
          <w:rFonts w:cs="DanaFajr" w:hint="eastAsia"/>
          <w:sz w:val="28"/>
          <w:szCs w:val="28"/>
          <w:rtl/>
          <w:lang w:bidi="ar-LB"/>
        </w:rPr>
        <w:t>حر</w:t>
      </w:r>
      <w:r w:rsidRPr="006571AC">
        <w:rPr>
          <w:rFonts w:cs="DanaFajr" w:hint="cs"/>
          <w:sz w:val="28"/>
          <w:szCs w:val="28"/>
          <w:rtl/>
          <w:lang w:bidi="ar-LB"/>
        </w:rPr>
        <w:t>ّاً؛</w:t>
      </w:r>
      <w:r w:rsidRPr="006571AC">
        <w:rPr>
          <w:rFonts w:cs="DanaFajr"/>
          <w:sz w:val="28"/>
          <w:szCs w:val="28"/>
          <w:rtl/>
          <w:lang w:bidi="ar-LB"/>
        </w:rPr>
        <w:t xml:space="preserve"> </w:t>
      </w:r>
      <w:r w:rsidRPr="006571AC">
        <w:rPr>
          <w:rFonts w:cs="DanaFajr" w:hint="eastAsia"/>
          <w:sz w:val="28"/>
          <w:szCs w:val="28"/>
          <w:rtl/>
          <w:lang w:bidi="ar-LB"/>
        </w:rPr>
        <w:t>لكي</w:t>
      </w:r>
      <w:r w:rsidRPr="006571AC">
        <w:rPr>
          <w:rFonts w:cs="DanaFajr"/>
          <w:sz w:val="28"/>
          <w:szCs w:val="28"/>
          <w:rtl/>
          <w:lang w:bidi="ar-LB"/>
        </w:rPr>
        <w:t xml:space="preserve"> </w:t>
      </w:r>
      <w:r w:rsidRPr="006571AC">
        <w:rPr>
          <w:rFonts w:cs="DanaFajr" w:hint="eastAsia"/>
          <w:sz w:val="28"/>
          <w:szCs w:val="28"/>
          <w:rtl/>
          <w:lang w:bidi="ar-LB"/>
        </w:rPr>
        <w:t>يصل</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كماله،</w:t>
      </w:r>
      <w:r w:rsidRPr="006571AC">
        <w:rPr>
          <w:rFonts w:cs="DanaFajr"/>
          <w:sz w:val="28"/>
          <w:szCs w:val="28"/>
          <w:rtl/>
          <w:lang w:bidi="ar-LB"/>
        </w:rPr>
        <w:t xml:space="preserve"> </w:t>
      </w:r>
      <w:r w:rsidRPr="006571AC">
        <w:rPr>
          <w:rFonts w:cs="DanaFajr" w:hint="eastAsia"/>
          <w:sz w:val="28"/>
          <w:szCs w:val="28"/>
          <w:rtl/>
          <w:lang w:bidi="ar-LB"/>
        </w:rPr>
        <w:t>فالحر</w:t>
      </w:r>
      <w:r w:rsidRPr="006571AC">
        <w:rPr>
          <w:rFonts w:cs="DanaFajr" w:hint="cs"/>
          <w:sz w:val="28"/>
          <w:szCs w:val="28"/>
          <w:rtl/>
          <w:lang w:bidi="ar-LB"/>
        </w:rPr>
        <w:t>ّ</w:t>
      </w:r>
      <w:r w:rsidRPr="006571AC">
        <w:rPr>
          <w:rFonts w:cs="DanaFajr" w:hint="eastAsia"/>
          <w:sz w:val="28"/>
          <w:szCs w:val="28"/>
          <w:rtl/>
          <w:lang w:bidi="ar-LB"/>
        </w:rPr>
        <w:t>ية</w:t>
      </w:r>
      <w:r w:rsidRPr="006571AC">
        <w:rPr>
          <w:rFonts w:cs="DanaFajr"/>
          <w:sz w:val="28"/>
          <w:szCs w:val="28"/>
          <w:rtl/>
          <w:lang w:bidi="ar-LB"/>
        </w:rPr>
        <w:t xml:space="preserve"> </w:t>
      </w:r>
      <w:r w:rsidRPr="006571AC">
        <w:rPr>
          <w:rFonts w:cs="DanaFajr" w:hint="eastAsia"/>
          <w:sz w:val="28"/>
          <w:szCs w:val="28"/>
          <w:rtl/>
          <w:lang w:bidi="ar-LB"/>
        </w:rPr>
        <w:t>تعني</w:t>
      </w:r>
      <w:r w:rsidRPr="006571AC">
        <w:rPr>
          <w:rFonts w:cs="DanaFajr"/>
          <w:sz w:val="28"/>
          <w:szCs w:val="28"/>
          <w:rtl/>
          <w:lang w:bidi="ar-LB"/>
        </w:rPr>
        <w:t xml:space="preserve"> </w:t>
      </w:r>
      <w:r w:rsidRPr="006571AC">
        <w:rPr>
          <w:rFonts w:cs="DanaFajr" w:hint="eastAsia"/>
          <w:sz w:val="28"/>
          <w:szCs w:val="28"/>
          <w:rtl/>
          <w:lang w:bidi="ar-LB"/>
        </w:rPr>
        <w:t>الاختيار</w:t>
      </w:r>
      <w:r w:rsidRPr="006571AC">
        <w:rPr>
          <w:rFonts w:cs="DanaFajr"/>
          <w:sz w:val="28"/>
          <w:szCs w:val="28"/>
          <w:rtl/>
          <w:lang w:bidi="ar-LB"/>
        </w:rPr>
        <w:t xml:space="preserve"> </w:t>
      </w:r>
      <w:r w:rsidRPr="006571AC">
        <w:rPr>
          <w:rFonts w:cs="DanaFajr" w:hint="eastAsia"/>
          <w:sz w:val="28"/>
          <w:szCs w:val="28"/>
          <w:rtl/>
          <w:lang w:bidi="ar-LB"/>
        </w:rPr>
        <w:t>والإنسان</w:t>
      </w:r>
      <w:r w:rsidRPr="006571AC">
        <w:rPr>
          <w:rFonts w:cs="DanaFajr"/>
          <w:sz w:val="28"/>
          <w:szCs w:val="28"/>
          <w:rtl/>
          <w:lang w:bidi="ar-LB"/>
        </w:rPr>
        <w:t xml:space="preserve"> </w:t>
      </w:r>
      <w:r w:rsidRPr="006571AC">
        <w:rPr>
          <w:rFonts w:cs="DanaFajr" w:hint="eastAsia"/>
          <w:sz w:val="28"/>
          <w:szCs w:val="28"/>
          <w:rtl/>
          <w:lang w:bidi="ar-LB"/>
        </w:rPr>
        <w:t>هو</w:t>
      </w:r>
      <w:r w:rsidRPr="006571AC">
        <w:rPr>
          <w:rFonts w:cs="DanaFajr"/>
          <w:sz w:val="28"/>
          <w:szCs w:val="28"/>
          <w:rtl/>
          <w:lang w:bidi="ar-LB"/>
        </w:rPr>
        <w:t xml:space="preserve"> </w:t>
      </w:r>
      <w:r w:rsidRPr="006571AC">
        <w:rPr>
          <w:rFonts w:cs="DanaFajr" w:hint="eastAsia"/>
          <w:sz w:val="28"/>
          <w:szCs w:val="28"/>
          <w:rtl/>
          <w:lang w:bidi="ar-LB"/>
        </w:rPr>
        <w:t>الموجود</w:t>
      </w:r>
      <w:r w:rsidRPr="006571AC">
        <w:rPr>
          <w:rFonts w:cs="DanaFajr"/>
          <w:sz w:val="28"/>
          <w:szCs w:val="28"/>
          <w:rtl/>
          <w:lang w:bidi="ar-LB"/>
        </w:rPr>
        <w:t xml:space="preserve"> </w:t>
      </w:r>
      <w:r w:rsidRPr="006571AC">
        <w:rPr>
          <w:rFonts w:cs="DanaFajr" w:hint="eastAsia"/>
          <w:sz w:val="28"/>
          <w:szCs w:val="28"/>
          <w:rtl/>
          <w:lang w:bidi="ar-LB"/>
        </w:rPr>
        <w:t>الوحيد</w:t>
      </w:r>
      <w:r w:rsidRPr="006571AC">
        <w:rPr>
          <w:rFonts w:cs="DanaFajr"/>
          <w:sz w:val="28"/>
          <w:szCs w:val="28"/>
          <w:rtl/>
          <w:lang w:bidi="ar-LB"/>
        </w:rPr>
        <w:t xml:space="preserve"> </w:t>
      </w:r>
      <w:r w:rsidRPr="006571AC">
        <w:rPr>
          <w:rFonts w:cs="DanaFajr" w:hint="eastAsia"/>
          <w:sz w:val="28"/>
          <w:szCs w:val="28"/>
          <w:rtl/>
          <w:lang w:bidi="ar-LB"/>
        </w:rPr>
        <w:t>الذي</w:t>
      </w:r>
      <w:r w:rsidRPr="006571AC">
        <w:rPr>
          <w:rFonts w:cs="DanaFajr"/>
          <w:sz w:val="28"/>
          <w:szCs w:val="28"/>
          <w:rtl/>
          <w:lang w:bidi="ar-LB"/>
        </w:rPr>
        <w:t xml:space="preserve"> </w:t>
      </w:r>
      <w:r w:rsidRPr="006571AC">
        <w:rPr>
          <w:rFonts w:cs="DanaFajr" w:hint="eastAsia"/>
          <w:sz w:val="28"/>
          <w:szCs w:val="28"/>
          <w:rtl/>
          <w:lang w:bidi="ar-LB"/>
        </w:rPr>
        <w:t>يختار</w:t>
      </w:r>
      <w:r w:rsidRPr="006571AC">
        <w:rPr>
          <w:rFonts w:cs="DanaFajr"/>
          <w:sz w:val="28"/>
          <w:szCs w:val="28"/>
          <w:rtl/>
          <w:lang w:bidi="ar-LB"/>
        </w:rPr>
        <w:t xml:space="preserve"> </w:t>
      </w:r>
      <w:r w:rsidRPr="006571AC">
        <w:rPr>
          <w:rFonts w:cs="DanaFajr" w:hint="eastAsia"/>
          <w:sz w:val="28"/>
          <w:szCs w:val="28"/>
          <w:rtl/>
          <w:lang w:bidi="ar-LB"/>
        </w:rPr>
        <w:t>طريقه</w:t>
      </w:r>
      <w:r w:rsidRPr="006571AC">
        <w:rPr>
          <w:rFonts w:cs="DanaFajr"/>
          <w:sz w:val="28"/>
          <w:szCs w:val="28"/>
          <w:rtl/>
          <w:lang w:bidi="ar-LB"/>
        </w:rPr>
        <w:t xml:space="preserve"> </w:t>
      </w:r>
      <w:r w:rsidRPr="006571AC">
        <w:rPr>
          <w:rFonts w:cs="DanaFajr" w:hint="eastAsia"/>
          <w:sz w:val="28"/>
          <w:szCs w:val="28"/>
          <w:rtl/>
          <w:lang w:bidi="ar-LB"/>
        </w:rPr>
        <w:t>بنفسه</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ويملك</w:t>
      </w:r>
      <w:r w:rsidRPr="006571AC">
        <w:rPr>
          <w:rFonts w:cs="DanaFajr"/>
          <w:sz w:val="28"/>
          <w:szCs w:val="28"/>
          <w:rtl/>
          <w:lang w:bidi="ar-LB"/>
        </w:rPr>
        <w:t xml:space="preserve"> </w:t>
      </w:r>
      <w:r w:rsidRPr="006571AC">
        <w:rPr>
          <w:rFonts w:cs="DanaFajr" w:hint="eastAsia"/>
          <w:sz w:val="28"/>
          <w:szCs w:val="28"/>
          <w:rtl/>
          <w:lang w:bidi="ar-LB"/>
        </w:rPr>
        <w:t>حرية</w:t>
      </w:r>
      <w:r w:rsidRPr="006571AC">
        <w:rPr>
          <w:rFonts w:cs="DanaFajr"/>
          <w:sz w:val="28"/>
          <w:szCs w:val="28"/>
          <w:rtl/>
          <w:lang w:bidi="ar-LB"/>
        </w:rPr>
        <w:t xml:space="preserve"> </w:t>
      </w:r>
      <w:r w:rsidRPr="006571AC">
        <w:rPr>
          <w:rFonts w:cs="DanaFajr" w:hint="eastAsia"/>
          <w:sz w:val="28"/>
          <w:szCs w:val="28"/>
          <w:rtl/>
          <w:lang w:bidi="ar-LB"/>
        </w:rPr>
        <w:t>الاختيار،</w:t>
      </w:r>
      <w:r w:rsidRPr="006571AC">
        <w:rPr>
          <w:rFonts w:cs="DanaFajr"/>
          <w:sz w:val="28"/>
          <w:szCs w:val="28"/>
          <w:rtl/>
          <w:lang w:bidi="ar-LB"/>
        </w:rPr>
        <w:t xml:space="preserve"> </w:t>
      </w:r>
      <w:r w:rsidRPr="006571AC">
        <w:rPr>
          <w:rFonts w:cs="DanaFajr" w:hint="eastAsia"/>
          <w:sz w:val="28"/>
          <w:szCs w:val="28"/>
          <w:rtl/>
          <w:lang w:bidi="ar-LB"/>
        </w:rPr>
        <w:t>وبتعبير</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أدقّ</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على</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يختار</w:t>
      </w:r>
      <w:r w:rsidRPr="006571AC">
        <w:rPr>
          <w:rFonts w:cs="DanaFajr"/>
          <w:sz w:val="28"/>
          <w:szCs w:val="28"/>
          <w:rtl/>
          <w:lang w:bidi="ar-LB"/>
        </w:rPr>
        <w:t xml:space="preserve"> </w:t>
      </w:r>
      <w:r w:rsidRPr="006571AC">
        <w:rPr>
          <w:rFonts w:cs="DanaFajr" w:hint="eastAsia"/>
          <w:sz w:val="28"/>
          <w:szCs w:val="28"/>
          <w:rtl/>
          <w:lang w:bidi="ar-LB"/>
        </w:rPr>
        <w:t>ذاته</w:t>
      </w:r>
      <w:r w:rsidRPr="006571AC">
        <w:rPr>
          <w:rFonts w:cs="DanaFajr"/>
          <w:sz w:val="28"/>
          <w:szCs w:val="28"/>
          <w:rtl/>
          <w:lang w:bidi="ar-LB"/>
        </w:rPr>
        <w:t xml:space="preserve"> </w:t>
      </w:r>
      <w:r w:rsidRPr="006571AC">
        <w:rPr>
          <w:rFonts w:cs="DanaFajr" w:hint="eastAsia"/>
          <w:sz w:val="28"/>
          <w:szCs w:val="28"/>
          <w:rtl/>
          <w:lang w:bidi="ar-LB"/>
        </w:rPr>
        <w:t>بذاته</w:t>
      </w:r>
      <w:r w:rsidRPr="006571AC">
        <w:rPr>
          <w:rFonts w:cs="DanaFajr"/>
          <w:sz w:val="28"/>
          <w:szCs w:val="28"/>
          <w:rtl/>
          <w:lang w:bidi="ar-LB"/>
        </w:rPr>
        <w:t xml:space="preserve">. </w:t>
      </w:r>
      <w:r w:rsidRPr="006571AC">
        <w:rPr>
          <w:rFonts w:cs="DanaFajr" w:hint="eastAsia"/>
          <w:sz w:val="28"/>
          <w:szCs w:val="28"/>
          <w:rtl/>
          <w:lang w:bidi="ar-LB"/>
        </w:rPr>
        <w:t>إذن،</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حرٌّ</w:t>
      </w:r>
      <w:r w:rsidRPr="006571AC">
        <w:rPr>
          <w:rFonts w:cs="DanaFajr"/>
          <w:sz w:val="28"/>
          <w:szCs w:val="28"/>
          <w:rtl/>
          <w:lang w:bidi="ar-LB"/>
        </w:rPr>
        <w:t xml:space="preserve"> </w:t>
      </w:r>
      <w:r w:rsidRPr="006571AC">
        <w:rPr>
          <w:rFonts w:cs="DanaFajr" w:hint="eastAsia"/>
          <w:sz w:val="28"/>
          <w:szCs w:val="28"/>
          <w:rtl/>
          <w:lang w:bidi="ar-LB"/>
        </w:rPr>
        <w:t>ومختار،</w:t>
      </w:r>
      <w:r w:rsidRPr="006571AC">
        <w:rPr>
          <w:rFonts w:cs="DanaFajr"/>
          <w:sz w:val="28"/>
          <w:szCs w:val="28"/>
          <w:rtl/>
          <w:lang w:bidi="ar-LB"/>
        </w:rPr>
        <w:t xml:space="preserve"> </w:t>
      </w:r>
      <w:r w:rsidRPr="006571AC">
        <w:rPr>
          <w:rFonts w:cs="DanaFajr" w:hint="eastAsia"/>
          <w:sz w:val="28"/>
          <w:szCs w:val="28"/>
          <w:rtl/>
          <w:lang w:bidi="ar-LB"/>
        </w:rPr>
        <w:t>أما</w:t>
      </w:r>
      <w:r w:rsidRPr="006571AC">
        <w:rPr>
          <w:rFonts w:cs="DanaFajr"/>
          <w:sz w:val="28"/>
          <w:szCs w:val="28"/>
          <w:rtl/>
          <w:lang w:bidi="ar-LB"/>
        </w:rPr>
        <w:t xml:space="preserve"> </w:t>
      </w:r>
      <w:r w:rsidRPr="006571AC">
        <w:rPr>
          <w:rFonts w:cs="DanaFajr" w:hint="eastAsia"/>
          <w:sz w:val="28"/>
          <w:szCs w:val="28"/>
          <w:rtl/>
          <w:lang w:bidi="ar-LB"/>
        </w:rPr>
        <w:t>إذا</w:t>
      </w:r>
      <w:r w:rsidRPr="006571AC">
        <w:rPr>
          <w:rFonts w:cs="DanaFajr"/>
          <w:sz w:val="28"/>
          <w:szCs w:val="28"/>
          <w:rtl/>
          <w:lang w:bidi="ar-LB"/>
        </w:rPr>
        <w:t xml:space="preserve"> </w:t>
      </w:r>
      <w:r w:rsidRPr="006571AC">
        <w:rPr>
          <w:rFonts w:cs="DanaFajr" w:hint="eastAsia"/>
          <w:sz w:val="28"/>
          <w:szCs w:val="28"/>
          <w:rtl/>
          <w:lang w:bidi="ar-LB"/>
        </w:rPr>
        <w:t>كان</w:t>
      </w:r>
      <w:r w:rsidRPr="006571AC">
        <w:rPr>
          <w:rFonts w:cs="DanaFajr"/>
          <w:sz w:val="28"/>
          <w:szCs w:val="28"/>
          <w:rtl/>
          <w:lang w:bidi="ar-LB"/>
        </w:rPr>
        <w:t xml:space="preserve"> </w:t>
      </w:r>
      <w:r w:rsidRPr="006571AC">
        <w:rPr>
          <w:rFonts w:cs="DanaFajr" w:hint="eastAsia"/>
          <w:sz w:val="28"/>
          <w:szCs w:val="28"/>
          <w:rtl/>
          <w:lang w:bidi="ar-LB"/>
        </w:rPr>
        <w:t>حر</w:t>
      </w:r>
      <w:r w:rsidRPr="006571AC">
        <w:rPr>
          <w:rFonts w:cs="DanaFajr" w:hint="cs"/>
          <w:sz w:val="28"/>
          <w:szCs w:val="28"/>
          <w:rtl/>
          <w:lang w:bidi="ar-LB"/>
        </w:rPr>
        <w:t>ّاً</w:t>
      </w:r>
      <w:r w:rsidRPr="006571AC">
        <w:rPr>
          <w:rFonts w:cs="DanaFajr"/>
          <w:sz w:val="28"/>
          <w:szCs w:val="28"/>
          <w:rtl/>
          <w:lang w:bidi="ar-LB"/>
        </w:rPr>
        <w:t xml:space="preserve"> </w:t>
      </w:r>
      <w:r w:rsidRPr="006571AC">
        <w:rPr>
          <w:rFonts w:cs="DanaFajr" w:hint="eastAsia"/>
          <w:sz w:val="28"/>
          <w:szCs w:val="28"/>
          <w:rtl/>
          <w:lang w:bidi="ar-LB"/>
        </w:rPr>
        <w:t>فهل</w:t>
      </w:r>
      <w:r w:rsidRPr="006571AC">
        <w:rPr>
          <w:rFonts w:cs="DanaFajr"/>
          <w:sz w:val="28"/>
          <w:szCs w:val="28"/>
          <w:rtl/>
          <w:lang w:bidi="ar-LB"/>
        </w:rPr>
        <w:t xml:space="preserve"> </w:t>
      </w:r>
      <w:r w:rsidRPr="006571AC">
        <w:rPr>
          <w:rFonts w:cs="DanaFajr" w:hint="eastAsia"/>
          <w:sz w:val="28"/>
          <w:szCs w:val="28"/>
          <w:rtl/>
          <w:lang w:bidi="ar-LB"/>
        </w:rPr>
        <w:t>هذا</w:t>
      </w:r>
      <w:r w:rsidRPr="006571AC">
        <w:rPr>
          <w:rFonts w:cs="DanaFajr"/>
          <w:sz w:val="28"/>
          <w:szCs w:val="28"/>
          <w:rtl/>
          <w:lang w:bidi="ar-LB"/>
        </w:rPr>
        <w:t xml:space="preserve"> </w:t>
      </w:r>
      <w:r w:rsidRPr="006571AC">
        <w:rPr>
          <w:rFonts w:cs="DanaFajr" w:hint="eastAsia"/>
          <w:sz w:val="28"/>
          <w:szCs w:val="28"/>
          <w:rtl/>
          <w:lang w:bidi="ar-LB"/>
        </w:rPr>
        <w:t>يعني</w:t>
      </w:r>
      <w:r w:rsidRPr="006571AC">
        <w:rPr>
          <w:rFonts w:cs="DanaFajr"/>
          <w:sz w:val="28"/>
          <w:szCs w:val="28"/>
          <w:rtl/>
          <w:lang w:bidi="ar-LB"/>
        </w:rPr>
        <w:t xml:space="preserve"> </w:t>
      </w:r>
      <w:r w:rsidRPr="006571AC">
        <w:rPr>
          <w:rFonts w:cs="DanaFajr" w:hint="eastAsia"/>
          <w:sz w:val="28"/>
          <w:szCs w:val="28"/>
          <w:rtl/>
          <w:lang w:bidi="ar-LB"/>
        </w:rPr>
        <w:t>أنه</w:t>
      </w:r>
      <w:r w:rsidRPr="006571AC">
        <w:rPr>
          <w:rFonts w:cs="DanaFajr"/>
          <w:sz w:val="28"/>
          <w:szCs w:val="28"/>
          <w:rtl/>
          <w:lang w:bidi="ar-LB"/>
        </w:rPr>
        <w:t xml:space="preserve"> </w:t>
      </w:r>
      <w:r w:rsidRPr="006571AC">
        <w:rPr>
          <w:rFonts w:cs="DanaFajr" w:hint="eastAsia"/>
          <w:sz w:val="28"/>
          <w:szCs w:val="28"/>
          <w:rtl/>
          <w:lang w:bidi="ar-LB"/>
        </w:rPr>
        <w:t>وصل</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كماله؟</w:t>
      </w:r>
      <w:r w:rsidRPr="006571AC">
        <w:rPr>
          <w:rFonts w:cs="DanaFajr"/>
          <w:sz w:val="28"/>
          <w:szCs w:val="28"/>
          <w:rtl/>
          <w:lang w:bidi="ar-LB"/>
        </w:rPr>
        <w:t xml:space="preserve"> </w:t>
      </w:r>
      <w:r w:rsidRPr="006571AC">
        <w:rPr>
          <w:rFonts w:cs="DanaFajr" w:hint="eastAsia"/>
          <w:sz w:val="28"/>
          <w:szCs w:val="28"/>
          <w:rtl/>
          <w:lang w:bidi="ar-LB"/>
        </w:rPr>
        <w:t>أو</w:t>
      </w:r>
      <w:r w:rsidRPr="006571AC">
        <w:rPr>
          <w:rFonts w:cs="DanaFajr"/>
          <w:sz w:val="28"/>
          <w:szCs w:val="28"/>
          <w:rtl/>
          <w:lang w:bidi="ar-LB"/>
        </w:rPr>
        <w:t xml:space="preserve"> </w:t>
      </w:r>
      <w:r w:rsidRPr="006571AC">
        <w:rPr>
          <w:rFonts w:cs="DanaFajr" w:hint="eastAsia"/>
          <w:sz w:val="28"/>
          <w:szCs w:val="28"/>
          <w:rtl/>
          <w:lang w:bidi="ar-LB"/>
        </w:rPr>
        <w:t>بما</w:t>
      </w:r>
      <w:r w:rsidRPr="006571AC">
        <w:rPr>
          <w:rFonts w:cs="DanaFajr"/>
          <w:sz w:val="28"/>
          <w:szCs w:val="28"/>
          <w:rtl/>
          <w:lang w:bidi="ar-LB"/>
        </w:rPr>
        <w:t xml:space="preserve"> </w:t>
      </w:r>
      <w:r w:rsidRPr="006571AC">
        <w:rPr>
          <w:rFonts w:cs="DanaFajr" w:hint="eastAsia"/>
          <w:sz w:val="28"/>
          <w:szCs w:val="28"/>
          <w:rtl/>
          <w:lang w:bidi="ar-LB"/>
        </w:rPr>
        <w:t>أنه</w:t>
      </w:r>
      <w:r w:rsidRPr="006571AC">
        <w:rPr>
          <w:rFonts w:cs="DanaFajr"/>
          <w:sz w:val="28"/>
          <w:szCs w:val="28"/>
          <w:rtl/>
          <w:lang w:bidi="ar-LB"/>
        </w:rPr>
        <w:t xml:space="preserve"> </w:t>
      </w:r>
      <w:r w:rsidRPr="006571AC">
        <w:rPr>
          <w:rFonts w:cs="DanaFajr" w:hint="eastAsia"/>
          <w:sz w:val="28"/>
          <w:szCs w:val="28"/>
          <w:rtl/>
          <w:lang w:bidi="ar-LB"/>
        </w:rPr>
        <w:t>مختار</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يختار</w:t>
      </w:r>
      <w:r w:rsidRPr="006571AC">
        <w:rPr>
          <w:rFonts w:cs="DanaFajr"/>
          <w:sz w:val="28"/>
          <w:szCs w:val="28"/>
          <w:rtl/>
          <w:lang w:bidi="ar-LB"/>
        </w:rPr>
        <w:t xml:space="preserve"> </w:t>
      </w:r>
      <w:r w:rsidRPr="006571AC">
        <w:rPr>
          <w:rFonts w:cs="DanaFajr" w:hint="eastAsia"/>
          <w:sz w:val="28"/>
          <w:szCs w:val="28"/>
          <w:rtl/>
          <w:lang w:bidi="ar-LB"/>
        </w:rPr>
        <w:t>كماله؟</w:t>
      </w:r>
      <w:r w:rsidRPr="006571AC">
        <w:rPr>
          <w:rFonts w:cs="DanaFajr"/>
          <w:sz w:val="28"/>
          <w:szCs w:val="28"/>
          <w:rtl/>
          <w:lang w:bidi="ar-LB"/>
        </w:rPr>
        <w:t xml:space="preserve"> </w:t>
      </w:r>
      <w:r w:rsidRPr="006571AC">
        <w:rPr>
          <w:rFonts w:cs="DanaFajr" w:hint="eastAsia"/>
          <w:sz w:val="28"/>
          <w:szCs w:val="28"/>
          <w:rtl/>
          <w:lang w:bidi="ar-LB"/>
        </w:rPr>
        <w:t>يمكن</w:t>
      </w:r>
      <w:r w:rsidRPr="006571AC">
        <w:rPr>
          <w:rFonts w:cs="DanaFajr"/>
          <w:sz w:val="28"/>
          <w:szCs w:val="28"/>
          <w:rtl/>
          <w:lang w:bidi="ar-LB"/>
        </w:rPr>
        <w:t xml:space="preserve"> </w:t>
      </w:r>
      <w:r w:rsidRPr="006571AC">
        <w:rPr>
          <w:rFonts w:cs="DanaFajr" w:hint="eastAsia"/>
          <w:sz w:val="28"/>
          <w:szCs w:val="28"/>
          <w:rtl/>
          <w:lang w:bidi="ar-LB"/>
        </w:rPr>
        <w:t>للإنسان</w:t>
      </w:r>
      <w:r w:rsidRPr="006571AC">
        <w:rPr>
          <w:rFonts w:cs="DanaFajr"/>
          <w:sz w:val="28"/>
          <w:szCs w:val="28"/>
          <w:rtl/>
          <w:lang w:bidi="ar-LB"/>
        </w:rPr>
        <w:t xml:space="preserve"> </w:t>
      </w:r>
      <w:r w:rsidRPr="006571AC">
        <w:rPr>
          <w:rFonts w:cs="DanaFajr" w:hint="eastAsia"/>
          <w:sz w:val="28"/>
          <w:szCs w:val="28"/>
          <w:rtl/>
          <w:lang w:bidi="ar-LB"/>
        </w:rPr>
        <w:t>مع</w:t>
      </w:r>
      <w:r w:rsidRPr="006571AC">
        <w:rPr>
          <w:rFonts w:cs="DanaFajr"/>
          <w:sz w:val="28"/>
          <w:szCs w:val="28"/>
          <w:rtl/>
          <w:lang w:bidi="ar-LB"/>
        </w:rPr>
        <w:t xml:space="preserve"> </w:t>
      </w:r>
      <w:r w:rsidRPr="006571AC">
        <w:rPr>
          <w:rFonts w:cs="DanaFajr" w:hint="eastAsia"/>
          <w:sz w:val="28"/>
          <w:szCs w:val="28"/>
          <w:rtl/>
          <w:lang w:bidi="ar-LB"/>
        </w:rPr>
        <w:t>الحر</w:t>
      </w:r>
      <w:r w:rsidRPr="006571AC">
        <w:rPr>
          <w:rFonts w:cs="DanaFajr" w:hint="cs"/>
          <w:sz w:val="28"/>
          <w:szCs w:val="28"/>
          <w:rtl/>
          <w:lang w:bidi="ar-LB"/>
        </w:rPr>
        <w:t>ّ</w:t>
      </w:r>
      <w:r w:rsidRPr="006571AC">
        <w:rPr>
          <w:rFonts w:cs="DanaFajr" w:hint="eastAsia"/>
          <w:sz w:val="28"/>
          <w:szCs w:val="28"/>
          <w:rtl/>
          <w:lang w:bidi="ar-LB"/>
        </w:rPr>
        <w:t>ية</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يصل</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أعلى</w:t>
      </w:r>
      <w:r w:rsidRPr="006571AC">
        <w:rPr>
          <w:rFonts w:cs="DanaFajr"/>
          <w:sz w:val="28"/>
          <w:szCs w:val="28"/>
          <w:rtl/>
          <w:lang w:bidi="ar-LB"/>
        </w:rPr>
        <w:t xml:space="preserve"> </w:t>
      </w:r>
      <w:r w:rsidRPr="006571AC">
        <w:rPr>
          <w:rFonts w:cs="DanaFajr" w:hint="eastAsia"/>
          <w:sz w:val="28"/>
          <w:szCs w:val="28"/>
          <w:rtl/>
          <w:lang w:bidi="ar-LB"/>
        </w:rPr>
        <w:t>المراتب</w:t>
      </w:r>
      <w:r w:rsidRPr="006571AC">
        <w:rPr>
          <w:rFonts w:cs="DanaFajr"/>
          <w:sz w:val="28"/>
          <w:szCs w:val="28"/>
          <w:rtl/>
          <w:lang w:bidi="ar-LB"/>
        </w:rPr>
        <w:t xml:space="preserve"> </w:t>
      </w:r>
      <w:r w:rsidRPr="006571AC">
        <w:rPr>
          <w:rFonts w:cs="DanaFajr" w:hint="eastAsia"/>
          <w:sz w:val="28"/>
          <w:szCs w:val="28"/>
          <w:rtl/>
          <w:lang w:bidi="ar-LB"/>
        </w:rPr>
        <w:t>والكمالات،</w:t>
      </w:r>
      <w:r w:rsidRPr="006571AC">
        <w:rPr>
          <w:rFonts w:cs="DanaFajr"/>
          <w:sz w:val="28"/>
          <w:szCs w:val="28"/>
          <w:rtl/>
          <w:lang w:bidi="ar-LB"/>
        </w:rPr>
        <w:t xml:space="preserve"> </w:t>
      </w:r>
      <w:r w:rsidRPr="006571AC">
        <w:rPr>
          <w:rFonts w:cs="DanaFajr" w:hint="eastAsia"/>
          <w:sz w:val="28"/>
          <w:szCs w:val="28"/>
          <w:rtl/>
          <w:lang w:bidi="ar-LB"/>
        </w:rPr>
        <w:t>ومع</w:t>
      </w:r>
      <w:r w:rsidRPr="006571AC">
        <w:rPr>
          <w:rFonts w:cs="DanaFajr"/>
          <w:sz w:val="28"/>
          <w:szCs w:val="28"/>
          <w:rtl/>
          <w:lang w:bidi="ar-LB"/>
        </w:rPr>
        <w:t xml:space="preserve"> </w:t>
      </w:r>
      <w:r w:rsidRPr="006571AC">
        <w:rPr>
          <w:rFonts w:cs="DanaFajr" w:hint="eastAsia"/>
          <w:sz w:val="28"/>
          <w:szCs w:val="28"/>
          <w:rtl/>
          <w:lang w:bidi="ar-LB"/>
        </w:rPr>
        <w:t>هذه</w:t>
      </w:r>
      <w:r w:rsidRPr="006571AC">
        <w:rPr>
          <w:rFonts w:cs="DanaFajr"/>
          <w:sz w:val="28"/>
          <w:szCs w:val="28"/>
          <w:rtl/>
          <w:lang w:bidi="ar-LB"/>
        </w:rPr>
        <w:t xml:space="preserve"> </w:t>
      </w:r>
      <w:r w:rsidRPr="006571AC">
        <w:rPr>
          <w:rFonts w:cs="DanaFajr" w:hint="eastAsia"/>
          <w:sz w:val="28"/>
          <w:szCs w:val="28"/>
          <w:rtl/>
          <w:lang w:bidi="ar-LB"/>
        </w:rPr>
        <w:t>الحر</w:t>
      </w:r>
      <w:r w:rsidRPr="006571AC">
        <w:rPr>
          <w:rFonts w:cs="DanaFajr" w:hint="cs"/>
          <w:sz w:val="28"/>
          <w:szCs w:val="28"/>
          <w:rtl/>
          <w:lang w:bidi="ar-LB"/>
        </w:rPr>
        <w:t>ّ</w:t>
      </w:r>
      <w:r w:rsidRPr="006571AC">
        <w:rPr>
          <w:rFonts w:cs="DanaFajr" w:hint="eastAsia"/>
          <w:sz w:val="28"/>
          <w:szCs w:val="28"/>
          <w:rtl/>
          <w:lang w:bidi="ar-LB"/>
        </w:rPr>
        <w:t>ية</w:t>
      </w:r>
      <w:r w:rsidRPr="006571AC">
        <w:rPr>
          <w:rFonts w:cs="DanaFajr"/>
          <w:sz w:val="28"/>
          <w:szCs w:val="28"/>
          <w:rtl/>
          <w:lang w:bidi="ar-LB"/>
        </w:rPr>
        <w:t xml:space="preserve"> </w:t>
      </w:r>
      <w:r w:rsidRPr="006571AC">
        <w:rPr>
          <w:rFonts w:cs="DanaFajr" w:hint="eastAsia"/>
          <w:sz w:val="28"/>
          <w:szCs w:val="28"/>
          <w:rtl/>
          <w:lang w:bidi="ar-LB"/>
        </w:rPr>
        <w:t>ذاتها</w:t>
      </w:r>
      <w:r w:rsidRPr="006571AC">
        <w:rPr>
          <w:rFonts w:cs="DanaFajr"/>
          <w:sz w:val="28"/>
          <w:szCs w:val="28"/>
          <w:rtl/>
          <w:lang w:bidi="ar-LB"/>
        </w:rPr>
        <w:t xml:space="preserve"> </w:t>
      </w:r>
      <w:r w:rsidRPr="006571AC">
        <w:rPr>
          <w:rFonts w:cs="DanaFajr" w:hint="eastAsia"/>
          <w:sz w:val="28"/>
          <w:szCs w:val="28"/>
          <w:rtl/>
          <w:lang w:bidi="ar-LB"/>
        </w:rPr>
        <w:t>يمكنه</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يسقط</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أسفل</w:t>
      </w:r>
      <w:r w:rsidRPr="006571AC">
        <w:rPr>
          <w:rFonts w:cs="DanaFajr"/>
          <w:sz w:val="28"/>
          <w:szCs w:val="28"/>
          <w:rtl/>
          <w:lang w:bidi="ar-LB"/>
        </w:rPr>
        <w:t xml:space="preserve"> </w:t>
      </w:r>
      <w:r w:rsidRPr="006571AC">
        <w:rPr>
          <w:rFonts w:cs="DanaFajr" w:hint="eastAsia"/>
          <w:sz w:val="28"/>
          <w:szCs w:val="28"/>
          <w:rtl/>
          <w:lang w:bidi="ar-LB"/>
        </w:rPr>
        <w:t>السافلين</w:t>
      </w:r>
      <w:r w:rsidRPr="006571AC">
        <w:rPr>
          <w:rFonts w:cs="DanaFajr"/>
          <w:sz w:val="28"/>
          <w:szCs w:val="28"/>
          <w:rtl/>
          <w:lang w:bidi="ar-LB"/>
        </w:rPr>
        <w:t xml:space="preserve">. </w:t>
      </w:r>
      <w:r w:rsidRPr="006571AC">
        <w:rPr>
          <w:rFonts w:cs="DanaFajr" w:hint="eastAsia"/>
          <w:sz w:val="28"/>
          <w:szCs w:val="28"/>
          <w:rtl/>
          <w:lang w:bidi="ar-LB"/>
        </w:rPr>
        <w:t>موجود</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مختار</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يعني</w:t>
      </w:r>
      <w:r w:rsidRPr="006571AC">
        <w:rPr>
          <w:rFonts w:cs="DanaFajr"/>
          <w:sz w:val="28"/>
          <w:szCs w:val="28"/>
          <w:rtl/>
          <w:lang w:bidi="ar-LB"/>
        </w:rPr>
        <w:t xml:space="preserve"> </w:t>
      </w:r>
      <w:r w:rsidRPr="006571AC">
        <w:rPr>
          <w:rFonts w:cs="DanaFajr" w:hint="eastAsia"/>
          <w:sz w:val="28"/>
          <w:szCs w:val="28"/>
          <w:rtl/>
          <w:lang w:bidi="ar-LB"/>
        </w:rPr>
        <w:t>أنه</w:t>
      </w:r>
      <w:r w:rsidRPr="006571AC">
        <w:rPr>
          <w:rFonts w:cs="DanaFajr"/>
          <w:sz w:val="28"/>
          <w:szCs w:val="28"/>
          <w:rtl/>
          <w:lang w:bidi="ar-LB"/>
        </w:rPr>
        <w:t xml:space="preserve"> </w:t>
      </w:r>
      <w:r w:rsidRPr="006571AC">
        <w:rPr>
          <w:rFonts w:cs="DanaFajr" w:hint="eastAsia"/>
          <w:sz w:val="28"/>
          <w:szCs w:val="28"/>
          <w:rtl/>
          <w:lang w:bidi="ar-LB"/>
        </w:rPr>
        <w:t>موجود</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يقود</w:t>
      </w:r>
      <w:r w:rsidRPr="006571AC">
        <w:rPr>
          <w:rFonts w:cs="DanaFajr"/>
          <w:sz w:val="28"/>
          <w:szCs w:val="28"/>
          <w:rtl/>
          <w:lang w:bidi="ar-LB"/>
        </w:rPr>
        <w:t xml:space="preserve"> </w:t>
      </w:r>
      <w:r w:rsidRPr="006571AC">
        <w:rPr>
          <w:rFonts w:cs="DanaFajr" w:hint="eastAsia"/>
          <w:sz w:val="28"/>
          <w:szCs w:val="28"/>
          <w:rtl/>
          <w:lang w:bidi="ar-LB"/>
        </w:rPr>
        <w:t>نفسه</w:t>
      </w:r>
      <w:r w:rsidRPr="006571AC">
        <w:rPr>
          <w:rFonts w:cs="DanaFajr"/>
          <w:sz w:val="28"/>
          <w:szCs w:val="28"/>
          <w:rtl/>
          <w:lang w:bidi="ar-LB"/>
        </w:rPr>
        <w:t xml:space="preserve"> </w:t>
      </w:r>
      <w:r w:rsidRPr="006571AC">
        <w:rPr>
          <w:rFonts w:cs="DanaFajr" w:hint="eastAsia"/>
          <w:sz w:val="28"/>
          <w:szCs w:val="28"/>
          <w:rtl/>
          <w:lang w:bidi="ar-LB"/>
        </w:rPr>
        <w:t>بنفسه،</w:t>
      </w:r>
      <w:r w:rsidRPr="006571AC">
        <w:rPr>
          <w:rFonts w:cs="DanaFajr"/>
          <w:sz w:val="28"/>
          <w:szCs w:val="28"/>
          <w:rtl/>
          <w:lang w:bidi="ar-LB"/>
        </w:rPr>
        <w:t xml:space="preserve"> </w:t>
      </w:r>
      <w:r w:rsidRPr="006571AC">
        <w:rPr>
          <w:rFonts w:cs="DanaFajr" w:hint="eastAsia"/>
          <w:sz w:val="28"/>
          <w:szCs w:val="28"/>
          <w:rtl/>
          <w:lang w:bidi="ar-LB"/>
        </w:rPr>
        <w:t>يعني</w:t>
      </w:r>
      <w:r w:rsidRPr="006571AC">
        <w:rPr>
          <w:rFonts w:cs="DanaFajr"/>
          <w:sz w:val="28"/>
          <w:szCs w:val="28"/>
          <w:rtl/>
          <w:lang w:bidi="ar-LB"/>
        </w:rPr>
        <w:t xml:space="preserve"> </w:t>
      </w:r>
      <w:r w:rsidRPr="006571AC">
        <w:rPr>
          <w:rFonts w:cs="DanaFajr" w:hint="eastAsia"/>
          <w:sz w:val="28"/>
          <w:szCs w:val="28"/>
          <w:rtl/>
          <w:lang w:bidi="ar-LB"/>
        </w:rPr>
        <w:t>قالوا</w:t>
      </w:r>
      <w:r w:rsidRPr="006571AC">
        <w:rPr>
          <w:rFonts w:cs="DanaFajr"/>
          <w:sz w:val="28"/>
          <w:szCs w:val="28"/>
          <w:rtl/>
          <w:lang w:bidi="ar-LB"/>
        </w:rPr>
        <w:t xml:space="preserve">: </w:t>
      </w:r>
      <w:r w:rsidRPr="006571AC">
        <w:rPr>
          <w:rFonts w:cs="DanaFajr" w:hint="eastAsia"/>
          <w:sz w:val="28"/>
          <w:szCs w:val="28"/>
          <w:rtl/>
          <w:lang w:bidi="ar-LB"/>
        </w:rPr>
        <w:t>أيها</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أنت</w:t>
      </w:r>
      <w:r w:rsidRPr="006571AC">
        <w:rPr>
          <w:rFonts w:cs="DanaFajr"/>
          <w:sz w:val="28"/>
          <w:szCs w:val="28"/>
          <w:rtl/>
          <w:lang w:bidi="ar-LB"/>
        </w:rPr>
        <w:t xml:space="preserve"> </w:t>
      </w:r>
      <w:r w:rsidRPr="006571AC">
        <w:rPr>
          <w:rFonts w:cs="DanaFajr" w:hint="eastAsia"/>
          <w:sz w:val="28"/>
          <w:szCs w:val="28"/>
          <w:rtl/>
          <w:lang w:bidi="ar-LB"/>
        </w:rPr>
        <w:t>الابن</w:t>
      </w:r>
      <w:r w:rsidRPr="006571AC">
        <w:rPr>
          <w:rFonts w:cs="DanaFajr"/>
          <w:sz w:val="28"/>
          <w:szCs w:val="28"/>
          <w:rtl/>
          <w:lang w:bidi="ar-LB"/>
        </w:rPr>
        <w:t xml:space="preserve"> </w:t>
      </w:r>
      <w:r w:rsidRPr="006571AC">
        <w:rPr>
          <w:rFonts w:cs="DanaFajr" w:hint="eastAsia"/>
          <w:sz w:val="28"/>
          <w:szCs w:val="28"/>
          <w:rtl/>
          <w:lang w:bidi="ar-LB"/>
        </w:rPr>
        <w:t>البالغ</w:t>
      </w:r>
      <w:r w:rsidRPr="006571AC">
        <w:rPr>
          <w:rFonts w:cs="DanaFajr"/>
          <w:sz w:val="28"/>
          <w:szCs w:val="28"/>
          <w:rtl/>
          <w:lang w:bidi="ar-LB"/>
        </w:rPr>
        <w:t xml:space="preserve"> </w:t>
      </w:r>
      <w:r w:rsidRPr="006571AC">
        <w:rPr>
          <w:rFonts w:cs="DanaFajr" w:hint="eastAsia"/>
          <w:sz w:val="28"/>
          <w:szCs w:val="28"/>
          <w:rtl/>
          <w:lang w:bidi="ar-LB"/>
        </w:rPr>
        <w:t>لهذا</w:t>
      </w:r>
      <w:r w:rsidRPr="006571AC">
        <w:rPr>
          <w:rFonts w:cs="DanaFajr"/>
          <w:sz w:val="28"/>
          <w:szCs w:val="28"/>
          <w:rtl/>
          <w:lang w:bidi="ar-LB"/>
        </w:rPr>
        <w:t xml:space="preserve"> </w:t>
      </w:r>
      <w:r w:rsidRPr="006571AC">
        <w:rPr>
          <w:rFonts w:cs="DanaFajr" w:hint="eastAsia"/>
          <w:sz w:val="28"/>
          <w:szCs w:val="28"/>
          <w:rtl/>
          <w:lang w:bidi="ar-LB"/>
        </w:rPr>
        <w:t>العالم</w:t>
      </w:r>
      <w:r w:rsidRPr="006571AC">
        <w:rPr>
          <w:rFonts w:cs="DanaFajr"/>
          <w:sz w:val="28"/>
          <w:szCs w:val="28"/>
          <w:rtl/>
          <w:lang w:bidi="ar-LB"/>
        </w:rPr>
        <w:t xml:space="preserve"> </w:t>
      </w:r>
      <w:r w:rsidRPr="006571AC">
        <w:rPr>
          <w:rFonts w:cs="DanaFajr" w:hint="eastAsia"/>
          <w:sz w:val="28"/>
          <w:szCs w:val="28"/>
          <w:rtl/>
          <w:lang w:bidi="ar-LB"/>
        </w:rPr>
        <w:t>وهذه</w:t>
      </w:r>
      <w:r w:rsidRPr="006571AC">
        <w:rPr>
          <w:rFonts w:cs="DanaFajr"/>
          <w:sz w:val="28"/>
          <w:szCs w:val="28"/>
          <w:rtl/>
          <w:lang w:bidi="ar-LB"/>
        </w:rPr>
        <w:t xml:space="preserve"> </w:t>
      </w:r>
      <w:r w:rsidRPr="006571AC">
        <w:rPr>
          <w:rFonts w:cs="DanaFajr" w:hint="eastAsia"/>
          <w:sz w:val="28"/>
          <w:szCs w:val="28"/>
          <w:rtl/>
          <w:lang w:bidi="ar-LB"/>
        </w:rPr>
        <w:t>الطبيعة؛</w:t>
      </w:r>
      <w:r w:rsidRPr="006571AC">
        <w:rPr>
          <w:rFonts w:cs="DanaFajr"/>
          <w:sz w:val="28"/>
          <w:szCs w:val="28"/>
          <w:rtl/>
          <w:lang w:bidi="ar-LB"/>
        </w:rPr>
        <w:t xml:space="preserve"> </w:t>
      </w:r>
      <w:r w:rsidRPr="006571AC">
        <w:rPr>
          <w:rFonts w:cs="DanaFajr" w:hint="eastAsia"/>
          <w:sz w:val="28"/>
          <w:szCs w:val="28"/>
          <w:rtl/>
          <w:lang w:bidi="ar-LB"/>
        </w:rPr>
        <w:t>وجميع</w:t>
      </w:r>
      <w:r w:rsidRPr="006571AC">
        <w:rPr>
          <w:rFonts w:cs="DanaFajr"/>
          <w:sz w:val="28"/>
          <w:szCs w:val="28"/>
          <w:rtl/>
          <w:lang w:bidi="ar-LB"/>
        </w:rPr>
        <w:t xml:space="preserve"> </w:t>
      </w:r>
      <w:r w:rsidRPr="006571AC">
        <w:rPr>
          <w:rFonts w:cs="DanaFajr" w:hint="eastAsia"/>
          <w:sz w:val="28"/>
          <w:szCs w:val="28"/>
          <w:rtl/>
          <w:lang w:bidi="ar-LB"/>
        </w:rPr>
        <w:t>الأبناء</w:t>
      </w:r>
      <w:r w:rsidRPr="006571AC">
        <w:rPr>
          <w:rFonts w:cs="DanaFajr"/>
          <w:sz w:val="28"/>
          <w:szCs w:val="28"/>
          <w:rtl/>
          <w:lang w:bidi="ar-LB"/>
        </w:rPr>
        <w:t xml:space="preserve"> </w:t>
      </w:r>
      <w:r w:rsidRPr="006571AC">
        <w:rPr>
          <w:rFonts w:cs="DanaFajr" w:hint="eastAsia"/>
          <w:sz w:val="28"/>
          <w:szCs w:val="28"/>
          <w:rtl/>
          <w:lang w:bidi="ar-LB"/>
        </w:rPr>
        <w:t>الآخرين</w:t>
      </w:r>
      <w:r w:rsidRPr="006571AC">
        <w:rPr>
          <w:rFonts w:cs="DanaFajr"/>
          <w:sz w:val="28"/>
          <w:szCs w:val="28"/>
          <w:rtl/>
          <w:lang w:bidi="ar-LB"/>
        </w:rPr>
        <w:t xml:space="preserve"> </w:t>
      </w:r>
      <w:r w:rsidRPr="006571AC">
        <w:rPr>
          <w:rFonts w:cs="DanaFajr" w:hint="eastAsia"/>
          <w:sz w:val="28"/>
          <w:szCs w:val="28"/>
          <w:rtl/>
          <w:lang w:bidi="ar-LB"/>
        </w:rPr>
        <w:t>غير</w:t>
      </w:r>
      <w:r w:rsidRPr="006571AC">
        <w:rPr>
          <w:rFonts w:cs="DanaFajr"/>
          <w:sz w:val="28"/>
          <w:szCs w:val="28"/>
          <w:rtl/>
          <w:lang w:bidi="ar-LB"/>
        </w:rPr>
        <w:t xml:space="preserve"> </w:t>
      </w:r>
      <w:r w:rsidRPr="006571AC">
        <w:rPr>
          <w:rFonts w:cs="DanaFajr" w:hint="eastAsia"/>
          <w:sz w:val="28"/>
          <w:szCs w:val="28"/>
          <w:rtl/>
          <w:lang w:bidi="ar-LB"/>
        </w:rPr>
        <w:t>بالغين</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ويجب</w:t>
      </w:r>
      <w:r w:rsidRPr="006571AC">
        <w:rPr>
          <w:rFonts w:cs="DanaFajr"/>
          <w:sz w:val="28"/>
          <w:szCs w:val="28"/>
          <w:rtl/>
          <w:lang w:bidi="ar-LB"/>
        </w:rPr>
        <w:t xml:space="preserve"> </w:t>
      </w:r>
      <w:r w:rsidRPr="006571AC">
        <w:rPr>
          <w:rFonts w:cs="DanaFajr" w:hint="cs"/>
          <w:sz w:val="28"/>
          <w:szCs w:val="28"/>
          <w:rtl/>
          <w:lang w:bidi="ar-LB"/>
        </w:rPr>
        <w:t xml:space="preserve">أن </w:t>
      </w:r>
      <w:r w:rsidRPr="006571AC">
        <w:rPr>
          <w:rFonts w:cs="DanaFajr" w:hint="eastAsia"/>
          <w:sz w:val="28"/>
          <w:szCs w:val="28"/>
          <w:rtl/>
          <w:lang w:bidi="ar-LB"/>
        </w:rPr>
        <w:t>يُش</w:t>
      </w:r>
      <w:r w:rsidRPr="006571AC">
        <w:rPr>
          <w:rFonts w:cs="DanaFajr" w:hint="cs"/>
          <w:sz w:val="28"/>
          <w:szCs w:val="28"/>
          <w:rtl/>
          <w:lang w:bidi="ar-LB"/>
        </w:rPr>
        <w:t>ْ</w:t>
      </w:r>
      <w:r w:rsidRPr="006571AC">
        <w:rPr>
          <w:rFonts w:cs="DanaFajr" w:hint="eastAsia"/>
          <w:sz w:val="28"/>
          <w:szCs w:val="28"/>
          <w:rtl/>
          <w:lang w:bidi="ar-LB"/>
        </w:rPr>
        <w:t>ر</w:t>
      </w:r>
      <w:r w:rsidRPr="006571AC">
        <w:rPr>
          <w:rFonts w:cs="DanaFajr" w:hint="cs"/>
          <w:sz w:val="28"/>
          <w:szCs w:val="28"/>
          <w:rtl/>
          <w:lang w:bidi="ar-LB"/>
        </w:rPr>
        <w:t>َ</w:t>
      </w:r>
      <w:r w:rsidRPr="006571AC">
        <w:rPr>
          <w:rFonts w:cs="DanaFajr" w:hint="eastAsia"/>
          <w:sz w:val="28"/>
          <w:szCs w:val="28"/>
          <w:rtl/>
          <w:lang w:bidi="ar-LB"/>
        </w:rPr>
        <w:t>ف</w:t>
      </w:r>
      <w:r w:rsidRPr="006571AC">
        <w:rPr>
          <w:rFonts w:cs="DanaFajr"/>
          <w:sz w:val="28"/>
          <w:szCs w:val="28"/>
          <w:rtl/>
          <w:lang w:bidi="ar-LB"/>
        </w:rPr>
        <w:t xml:space="preserve"> </w:t>
      </w:r>
      <w:r w:rsidRPr="006571AC">
        <w:rPr>
          <w:rFonts w:cs="DanaFajr" w:hint="eastAsia"/>
          <w:sz w:val="28"/>
          <w:szCs w:val="28"/>
          <w:rtl/>
          <w:lang w:bidi="ar-LB"/>
        </w:rPr>
        <w:t>عليهم</w:t>
      </w:r>
      <w:r w:rsidRPr="006571AC">
        <w:rPr>
          <w:rFonts w:cs="DanaFajr"/>
          <w:sz w:val="28"/>
          <w:szCs w:val="28"/>
          <w:rtl/>
          <w:lang w:bidi="ar-LB"/>
        </w:rPr>
        <w:t xml:space="preserve"> </w:t>
      </w:r>
      <w:r w:rsidRPr="006571AC">
        <w:rPr>
          <w:rFonts w:cs="DanaFajr" w:hint="eastAsia"/>
          <w:sz w:val="28"/>
          <w:szCs w:val="28"/>
          <w:rtl/>
          <w:lang w:bidi="ar-LB"/>
        </w:rPr>
        <w:t>ما</w:t>
      </w:r>
      <w:r w:rsidRPr="006571AC">
        <w:rPr>
          <w:rFonts w:cs="DanaFajr"/>
          <w:sz w:val="28"/>
          <w:szCs w:val="28"/>
          <w:rtl/>
          <w:lang w:bidi="ar-LB"/>
        </w:rPr>
        <w:t xml:space="preserve"> </w:t>
      </w:r>
      <w:r w:rsidRPr="006571AC">
        <w:rPr>
          <w:rFonts w:cs="DanaFajr" w:hint="eastAsia"/>
          <w:sz w:val="28"/>
          <w:szCs w:val="28"/>
          <w:rtl/>
          <w:lang w:bidi="ar-LB"/>
        </w:rPr>
        <w:t>عداك</w:t>
      </w:r>
      <w:r w:rsidRPr="006571AC">
        <w:rPr>
          <w:rFonts w:cs="DanaFajr"/>
          <w:sz w:val="28"/>
          <w:szCs w:val="28"/>
          <w:rtl/>
          <w:lang w:bidi="ar-LB"/>
        </w:rPr>
        <w:t xml:space="preserve"> </w:t>
      </w:r>
      <w:r w:rsidRPr="006571AC">
        <w:rPr>
          <w:rFonts w:cs="DanaFajr" w:hint="eastAsia"/>
          <w:sz w:val="28"/>
          <w:szCs w:val="28"/>
          <w:rtl/>
          <w:lang w:bidi="ar-LB"/>
        </w:rPr>
        <w:t>أنت</w:t>
      </w:r>
      <w:r w:rsidRPr="006571AC">
        <w:rPr>
          <w:rFonts w:cs="DanaFajr"/>
          <w:sz w:val="28"/>
          <w:szCs w:val="28"/>
          <w:rtl/>
          <w:lang w:bidi="ar-LB"/>
        </w:rPr>
        <w:t xml:space="preserve"> </w:t>
      </w:r>
      <w:r w:rsidRPr="006571AC">
        <w:rPr>
          <w:rFonts w:cs="DanaFajr" w:hint="eastAsia"/>
          <w:sz w:val="28"/>
          <w:szCs w:val="28"/>
          <w:rtl/>
          <w:lang w:bidi="ar-LB"/>
        </w:rPr>
        <w:t>البالغ</w:t>
      </w:r>
      <w:r w:rsidRPr="006571AC">
        <w:rPr>
          <w:rFonts w:cs="DanaFajr"/>
          <w:sz w:val="28"/>
          <w:szCs w:val="28"/>
          <w:rtl/>
          <w:lang w:bidi="ar-LB"/>
        </w:rPr>
        <w:t xml:space="preserve"> </w:t>
      </w:r>
      <w:r w:rsidRPr="006571AC">
        <w:rPr>
          <w:rFonts w:cs="DanaFajr" w:hint="eastAsia"/>
          <w:sz w:val="28"/>
          <w:szCs w:val="28"/>
          <w:rtl/>
          <w:lang w:bidi="ar-LB"/>
        </w:rPr>
        <w:t>والمختار</w:t>
      </w:r>
      <w:r w:rsidRPr="006571AC">
        <w:rPr>
          <w:rFonts w:cs="DanaFajr"/>
          <w:sz w:val="28"/>
          <w:szCs w:val="28"/>
          <w:rtl/>
          <w:lang w:bidi="ar-LB"/>
        </w:rPr>
        <w:t xml:space="preserve"> </w:t>
      </w:r>
      <w:r w:rsidRPr="006571AC">
        <w:rPr>
          <w:rFonts w:cs="DanaFajr" w:hint="eastAsia"/>
          <w:sz w:val="28"/>
          <w:szCs w:val="28"/>
          <w:rtl/>
          <w:lang w:bidi="ar-LB"/>
        </w:rPr>
        <w:t>والحر</w:t>
      </w:r>
      <w:r w:rsidRPr="006571AC">
        <w:rPr>
          <w:rFonts w:cs="DanaFajr" w:hint="cs"/>
          <w:sz w:val="28"/>
          <w:szCs w:val="28"/>
          <w:rtl/>
          <w:lang w:bidi="ar-LB"/>
        </w:rPr>
        <w:t>ّ</w:t>
      </w:r>
      <w:r w:rsidRPr="006571AC">
        <w:rPr>
          <w:rFonts w:cs="DanaFajr" w:hint="eastAsia"/>
          <w:sz w:val="28"/>
          <w:szCs w:val="28"/>
          <w:rtl/>
          <w:lang w:bidi="ar-LB"/>
        </w:rPr>
        <w:t>،</w:t>
      </w:r>
      <w:r w:rsidRPr="006571AC">
        <w:rPr>
          <w:rFonts w:cs="DanaFajr"/>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إِن</w:t>
      </w:r>
      <w:r w:rsidRPr="006571AC">
        <w:rPr>
          <w:rFonts w:cs="DanaFajr" w:hint="cs"/>
          <w:b/>
          <w:bCs/>
          <w:sz w:val="28"/>
          <w:szCs w:val="28"/>
          <w:rtl/>
          <w:lang w:bidi="ar-LB"/>
        </w:rPr>
        <w:t>َّ</w:t>
      </w:r>
      <w:r w:rsidRPr="006571AC">
        <w:rPr>
          <w:rFonts w:cs="DanaFajr" w:hint="eastAsia"/>
          <w:b/>
          <w:bCs/>
          <w:sz w:val="28"/>
          <w:szCs w:val="28"/>
          <w:rtl/>
          <w:lang w:bidi="ar-LB"/>
        </w:rPr>
        <w:t>ا</w:t>
      </w:r>
      <w:r w:rsidRPr="006571AC">
        <w:rPr>
          <w:rFonts w:cs="DanaFajr"/>
          <w:b/>
          <w:bCs/>
          <w:sz w:val="28"/>
          <w:szCs w:val="28"/>
          <w:rtl/>
          <w:lang w:bidi="ar-LB"/>
        </w:rPr>
        <w:t xml:space="preserve"> </w:t>
      </w:r>
      <w:r w:rsidRPr="006571AC">
        <w:rPr>
          <w:rFonts w:cs="DanaFajr" w:hint="eastAsia"/>
          <w:b/>
          <w:bCs/>
          <w:sz w:val="28"/>
          <w:szCs w:val="28"/>
          <w:rtl/>
          <w:lang w:bidi="ar-LB"/>
        </w:rPr>
        <w:t>هَدَيْنَاهُ</w:t>
      </w:r>
      <w:r w:rsidRPr="006571AC">
        <w:rPr>
          <w:rFonts w:cs="DanaFajr"/>
          <w:b/>
          <w:bCs/>
          <w:sz w:val="28"/>
          <w:szCs w:val="28"/>
          <w:rtl/>
          <w:lang w:bidi="ar-LB"/>
        </w:rPr>
        <w:t xml:space="preserve"> </w:t>
      </w:r>
      <w:r w:rsidRPr="006571AC">
        <w:rPr>
          <w:rFonts w:cs="DanaFajr" w:hint="eastAsia"/>
          <w:b/>
          <w:bCs/>
          <w:sz w:val="28"/>
          <w:szCs w:val="28"/>
          <w:rtl/>
          <w:lang w:bidi="ar-LB"/>
        </w:rPr>
        <w:t>الس</w:t>
      </w:r>
      <w:r w:rsidRPr="006571AC">
        <w:rPr>
          <w:rFonts w:cs="DanaFajr" w:hint="cs"/>
          <w:b/>
          <w:bCs/>
          <w:sz w:val="28"/>
          <w:szCs w:val="28"/>
          <w:rtl/>
          <w:lang w:bidi="ar-LB"/>
        </w:rPr>
        <w:t>َّ</w:t>
      </w:r>
      <w:r w:rsidRPr="006571AC">
        <w:rPr>
          <w:rFonts w:cs="DanaFajr" w:hint="eastAsia"/>
          <w:b/>
          <w:bCs/>
          <w:sz w:val="28"/>
          <w:szCs w:val="28"/>
          <w:rtl/>
          <w:lang w:bidi="ar-LB"/>
        </w:rPr>
        <w:t>بِيلَ</w:t>
      </w:r>
      <w:r w:rsidRPr="006571AC">
        <w:rPr>
          <w:rFonts w:cs="DanaFajr"/>
          <w:b/>
          <w:bCs/>
          <w:sz w:val="28"/>
          <w:szCs w:val="28"/>
          <w:rtl/>
          <w:lang w:bidi="ar-LB"/>
        </w:rPr>
        <w:t xml:space="preserve"> </w:t>
      </w:r>
      <w:r w:rsidRPr="006571AC">
        <w:rPr>
          <w:rFonts w:cs="DanaFajr" w:hint="eastAsia"/>
          <w:b/>
          <w:bCs/>
          <w:sz w:val="28"/>
          <w:szCs w:val="28"/>
          <w:rtl/>
          <w:lang w:bidi="ar-LB"/>
        </w:rPr>
        <w:t>إِم</w:t>
      </w:r>
      <w:r w:rsidRPr="006571AC">
        <w:rPr>
          <w:rFonts w:cs="DanaFajr" w:hint="cs"/>
          <w:b/>
          <w:bCs/>
          <w:sz w:val="28"/>
          <w:szCs w:val="28"/>
          <w:rtl/>
          <w:lang w:bidi="ar-LB"/>
        </w:rPr>
        <w:t>َّ</w:t>
      </w:r>
      <w:r w:rsidRPr="006571AC">
        <w:rPr>
          <w:rFonts w:cs="DanaFajr" w:hint="eastAsia"/>
          <w:b/>
          <w:bCs/>
          <w:sz w:val="28"/>
          <w:szCs w:val="28"/>
          <w:rtl/>
          <w:lang w:bidi="ar-LB"/>
        </w:rPr>
        <w:t>ا</w:t>
      </w:r>
      <w:r w:rsidRPr="006571AC">
        <w:rPr>
          <w:rFonts w:cs="DanaFajr"/>
          <w:b/>
          <w:bCs/>
          <w:sz w:val="28"/>
          <w:szCs w:val="28"/>
          <w:rtl/>
          <w:lang w:bidi="ar-LB"/>
        </w:rPr>
        <w:t xml:space="preserve"> </w:t>
      </w:r>
      <w:r w:rsidRPr="006571AC">
        <w:rPr>
          <w:rFonts w:cs="DanaFajr" w:hint="eastAsia"/>
          <w:b/>
          <w:bCs/>
          <w:sz w:val="28"/>
          <w:szCs w:val="28"/>
          <w:rtl/>
          <w:lang w:bidi="ar-LB"/>
        </w:rPr>
        <w:t>شَاكِراً</w:t>
      </w:r>
      <w:r w:rsidRPr="006571AC">
        <w:rPr>
          <w:rFonts w:cs="DanaFajr"/>
          <w:b/>
          <w:bCs/>
          <w:sz w:val="28"/>
          <w:szCs w:val="28"/>
          <w:rtl/>
          <w:lang w:bidi="ar-LB"/>
        </w:rPr>
        <w:t xml:space="preserve"> </w:t>
      </w:r>
      <w:r w:rsidRPr="006571AC">
        <w:rPr>
          <w:rFonts w:cs="DanaFajr" w:hint="eastAsia"/>
          <w:b/>
          <w:bCs/>
          <w:sz w:val="28"/>
          <w:szCs w:val="28"/>
          <w:rtl/>
          <w:lang w:bidi="ar-LB"/>
        </w:rPr>
        <w:t>وَإِم</w:t>
      </w:r>
      <w:r w:rsidRPr="006571AC">
        <w:rPr>
          <w:rFonts w:cs="DanaFajr" w:hint="cs"/>
          <w:b/>
          <w:bCs/>
          <w:sz w:val="28"/>
          <w:szCs w:val="28"/>
          <w:rtl/>
          <w:lang w:bidi="ar-LB"/>
        </w:rPr>
        <w:t>َّ</w:t>
      </w:r>
      <w:r w:rsidRPr="006571AC">
        <w:rPr>
          <w:rFonts w:cs="DanaFajr" w:hint="eastAsia"/>
          <w:b/>
          <w:bCs/>
          <w:sz w:val="28"/>
          <w:szCs w:val="28"/>
          <w:rtl/>
          <w:lang w:bidi="ar-LB"/>
        </w:rPr>
        <w:t>ا</w:t>
      </w:r>
      <w:r w:rsidRPr="006571AC">
        <w:rPr>
          <w:rFonts w:cs="DanaFajr"/>
          <w:b/>
          <w:bCs/>
          <w:sz w:val="28"/>
          <w:szCs w:val="28"/>
          <w:rtl/>
          <w:lang w:bidi="ar-LB"/>
        </w:rPr>
        <w:t xml:space="preserve"> </w:t>
      </w:r>
      <w:r w:rsidRPr="006571AC">
        <w:rPr>
          <w:rFonts w:cs="DanaFajr" w:hint="eastAsia"/>
          <w:b/>
          <w:bCs/>
          <w:sz w:val="28"/>
          <w:szCs w:val="28"/>
          <w:rtl/>
          <w:lang w:bidi="ar-LB"/>
        </w:rPr>
        <w:t>كَفُوراً</w:t>
      </w:r>
      <w:r w:rsidRPr="006571AC">
        <w:rPr>
          <w:rFonts w:ascii="Mosawi" w:hAnsi="Mosawi" w:cs="Mosawi"/>
          <w:sz w:val="22"/>
          <w:szCs w:val="22"/>
          <w:rtl/>
        </w:rPr>
        <w:t>﴾</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نحن</w:t>
      </w:r>
      <w:r w:rsidRPr="006571AC">
        <w:rPr>
          <w:rFonts w:cs="DanaFajr"/>
          <w:sz w:val="28"/>
          <w:szCs w:val="28"/>
          <w:rtl/>
          <w:lang w:bidi="ar-LB"/>
        </w:rPr>
        <w:t xml:space="preserve"> </w:t>
      </w:r>
      <w:r w:rsidRPr="006571AC">
        <w:rPr>
          <w:rFonts w:cs="DanaFajr" w:hint="eastAsia"/>
          <w:sz w:val="28"/>
          <w:szCs w:val="28"/>
          <w:rtl/>
          <w:lang w:bidi="ar-LB"/>
        </w:rPr>
        <w:t>نرشدك</w:t>
      </w:r>
      <w:r w:rsidRPr="006571AC">
        <w:rPr>
          <w:rFonts w:cs="DanaFajr" w:hint="cs"/>
          <w:sz w:val="28"/>
          <w:szCs w:val="28"/>
          <w:rtl/>
          <w:lang w:bidi="ar-LB"/>
        </w:rPr>
        <w:t xml:space="preserve"> فقط</w:t>
      </w:r>
      <w:r w:rsidRPr="006571AC">
        <w:rPr>
          <w:rFonts w:cs="DanaFajr"/>
          <w:sz w:val="28"/>
          <w:szCs w:val="28"/>
          <w:rtl/>
          <w:lang w:bidi="ar-LB"/>
        </w:rPr>
        <w:t xml:space="preserve"> </w:t>
      </w:r>
      <w:r w:rsidRPr="006571AC">
        <w:rPr>
          <w:rFonts w:cs="DanaFajr" w:hint="eastAsia"/>
          <w:sz w:val="28"/>
          <w:szCs w:val="28"/>
          <w:rtl/>
          <w:lang w:bidi="ar-LB"/>
        </w:rPr>
        <w:t>إلا</w:t>
      </w:r>
      <w:r w:rsidRPr="006571AC">
        <w:rPr>
          <w:rFonts w:cs="DanaFajr"/>
          <w:sz w:val="28"/>
          <w:szCs w:val="28"/>
          <w:rtl/>
          <w:lang w:bidi="ar-LB"/>
        </w:rPr>
        <w:t xml:space="preserve"> </w:t>
      </w:r>
      <w:r w:rsidRPr="006571AC">
        <w:rPr>
          <w:rFonts w:cs="DanaFajr" w:hint="eastAsia"/>
          <w:sz w:val="28"/>
          <w:szCs w:val="28"/>
          <w:rtl/>
          <w:lang w:bidi="ar-LB"/>
        </w:rPr>
        <w:t>أنك</w:t>
      </w:r>
      <w:r w:rsidRPr="006571AC">
        <w:rPr>
          <w:rFonts w:cs="DanaFajr"/>
          <w:sz w:val="28"/>
          <w:szCs w:val="28"/>
          <w:rtl/>
          <w:lang w:bidi="ar-LB"/>
        </w:rPr>
        <w:t xml:space="preserve"> </w:t>
      </w:r>
      <w:r w:rsidRPr="006571AC">
        <w:rPr>
          <w:rFonts w:cs="DanaFajr" w:hint="eastAsia"/>
          <w:sz w:val="28"/>
          <w:szCs w:val="28"/>
          <w:rtl/>
          <w:lang w:bidi="ar-LB"/>
        </w:rPr>
        <w:t>أنت</w:t>
      </w:r>
      <w:r w:rsidRPr="006571AC">
        <w:rPr>
          <w:rFonts w:cs="DanaFajr"/>
          <w:sz w:val="28"/>
          <w:szCs w:val="28"/>
          <w:rtl/>
          <w:lang w:bidi="ar-LB"/>
        </w:rPr>
        <w:t xml:space="preserve"> </w:t>
      </w:r>
      <w:r w:rsidRPr="006571AC">
        <w:rPr>
          <w:rFonts w:cs="DanaFajr" w:hint="eastAsia"/>
          <w:sz w:val="28"/>
          <w:szCs w:val="28"/>
          <w:rtl/>
          <w:lang w:bidi="ar-LB"/>
        </w:rPr>
        <w:t>م</w:t>
      </w:r>
      <w:r w:rsidRPr="006571AC">
        <w:rPr>
          <w:rFonts w:cs="DanaFajr" w:hint="cs"/>
          <w:sz w:val="28"/>
          <w:szCs w:val="28"/>
          <w:rtl/>
          <w:lang w:bidi="ar-LB"/>
        </w:rPr>
        <w:t>َ</w:t>
      </w:r>
      <w:r w:rsidRPr="006571AC">
        <w:rPr>
          <w:rFonts w:cs="DanaFajr" w:hint="eastAsia"/>
          <w:sz w:val="28"/>
          <w:szCs w:val="28"/>
          <w:rtl/>
          <w:lang w:bidi="ar-LB"/>
        </w:rPr>
        <w:t>ن</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يجب</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يختار</w:t>
      </w:r>
      <w:r w:rsidRPr="006571AC">
        <w:rPr>
          <w:rFonts w:cs="DanaFajr"/>
          <w:sz w:val="28"/>
          <w:szCs w:val="28"/>
          <w:rtl/>
          <w:lang w:bidi="ar-LB"/>
        </w:rPr>
        <w:t xml:space="preserve">. </w:t>
      </w:r>
      <w:r w:rsidRPr="006571AC">
        <w:rPr>
          <w:rFonts w:cs="DanaFajr" w:hint="eastAsia"/>
          <w:sz w:val="28"/>
          <w:szCs w:val="28"/>
          <w:rtl/>
          <w:lang w:bidi="ar-LB"/>
        </w:rPr>
        <w:t>إن</w:t>
      </w:r>
      <w:r w:rsidRPr="006571AC">
        <w:rPr>
          <w:rFonts w:cs="DanaFajr"/>
          <w:sz w:val="28"/>
          <w:szCs w:val="28"/>
          <w:rtl/>
          <w:lang w:bidi="ar-LB"/>
        </w:rPr>
        <w:t xml:space="preserve"> </w:t>
      </w:r>
      <w:r w:rsidRPr="006571AC">
        <w:rPr>
          <w:rFonts w:cs="DanaFajr" w:hint="eastAsia"/>
          <w:sz w:val="28"/>
          <w:szCs w:val="28"/>
          <w:rtl/>
          <w:lang w:bidi="ar-LB"/>
        </w:rPr>
        <w:t>الحرية</w:t>
      </w:r>
      <w:r w:rsidRPr="006571AC">
        <w:rPr>
          <w:rFonts w:cs="DanaFajr"/>
          <w:sz w:val="28"/>
          <w:szCs w:val="28"/>
          <w:rtl/>
          <w:lang w:bidi="ar-LB"/>
        </w:rPr>
        <w:t xml:space="preserve"> </w:t>
      </w:r>
      <w:r w:rsidRPr="006571AC">
        <w:rPr>
          <w:rFonts w:cs="DanaFajr" w:hint="eastAsia"/>
          <w:sz w:val="28"/>
          <w:szCs w:val="28"/>
          <w:rtl/>
          <w:lang w:bidi="ar-LB"/>
        </w:rPr>
        <w:t>بذاتها</w:t>
      </w:r>
      <w:r w:rsidRPr="006571AC">
        <w:rPr>
          <w:rFonts w:cs="DanaFajr"/>
          <w:sz w:val="28"/>
          <w:szCs w:val="28"/>
          <w:rtl/>
          <w:lang w:bidi="ar-LB"/>
        </w:rPr>
        <w:t xml:space="preserve"> </w:t>
      </w:r>
      <w:r w:rsidRPr="006571AC">
        <w:rPr>
          <w:rFonts w:cs="DanaFajr" w:hint="eastAsia"/>
          <w:sz w:val="28"/>
          <w:szCs w:val="28"/>
          <w:rtl/>
          <w:lang w:bidi="ar-LB"/>
        </w:rPr>
        <w:t>ليست</w:t>
      </w:r>
      <w:r w:rsidRPr="006571AC">
        <w:rPr>
          <w:rFonts w:cs="DanaFajr"/>
          <w:sz w:val="28"/>
          <w:szCs w:val="28"/>
          <w:rtl/>
          <w:lang w:bidi="ar-LB"/>
        </w:rPr>
        <w:t xml:space="preserve"> </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البشرية،</w:t>
      </w:r>
      <w:r w:rsidRPr="006571AC">
        <w:rPr>
          <w:rFonts w:cs="DanaFajr"/>
          <w:sz w:val="28"/>
          <w:szCs w:val="28"/>
          <w:rtl/>
          <w:lang w:bidi="ar-LB"/>
        </w:rPr>
        <w:t xml:space="preserve"> </w:t>
      </w:r>
      <w:r w:rsidRPr="006571AC">
        <w:rPr>
          <w:rFonts w:cs="DanaFajr" w:hint="eastAsia"/>
          <w:sz w:val="28"/>
          <w:szCs w:val="28"/>
          <w:rtl/>
          <w:lang w:bidi="ar-LB"/>
        </w:rPr>
        <w:t>إنها</w:t>
      </w:r>
      <w:r w:rsidRPr="006571AC">
        <w:rPr>
          <w:rFonts w:cs="DanaFajr"/>
          <w:sz w:val="28"/>
          <w:szCs w:val="28"/>
          <w:rtl/>
          <w:lang w:bidi="ar-LB"/>
        </w:rPr>
        <w:t xml:space="preserve"> </w:t>
      </w:r>
      <w:r w:rsidRPr="006571AC">
        <w:rPr>
          <w:rFonts w:cs="DanaFajr" w:hint="eastAsia"/>
          <w:sz w:val="28"/>
          <w:szCs w:val="28"/>
          <w:rtl/>
          <w:lang w:bidi="ar-LB"/>
        </w:rPr>
        <w:t>وسيلة</w:t>
      </w:r>
      <w:r w:rsidRPr="006571AC">
        <w:rPr>
          <w:rFonts w:cs="DanaFajr"/>
          <w:sz w:val="28"/>
          <w:szCs w:val="28"/>
          <w:rtl/>
          <w:lang w:bidi="ar-LB"/>
        </w:rPr>
        <w:t xml:space="preserve"> </w:t>
      </w:r>
      <w:r w:rsidRPr="006571AC">
        <w:rPr>
          <w:rFonts w:cs="DanaFajr" w:hint="eastAsia"/>
          <w:sz w:val="28"/>
          <w:szCs w:val="28"/>
          <w:rtl/>
          <w:lang w:bidi="ar-LB"/>
        </w:rPr>
        <w:t>لكمال</w:t>
      </w:r>
      <w:r w:rsidRPr="006571AC">
        <w:rPr>
          <w:rFonts w:cs="DanaFajr"/>
          <w:sz w:val="28"/>
          <w:szCs w:val="28"/>
          <w:rtl/>
          <w:lang w:bidi="ar-LB"/>
        </w:rPr>
        <w:t xml:space="preserve"> </w:t>
      </w:r>
      <w:r w:rsidRPr="006571AC">
        <w:rPr>
          <w:rFonts w:cs="DanaFajr" w:hint="eastAsia"/>
          <w:sz w:val="28"/>
          <w:szCs w:val="28"/>
          <w:rtl/>
          <w:lang w:bidi="ar-LB"/>
        </w:rPr>
        <w:t>البشرية،</w:t>
      </w:r>
      <w:r w:rsidRPr="006571AC">
        <w:rPr>
          <w:rFonts w:cs="DanaFajr"/>
          <w:sz w:val="28"/>
          <w:szCs w:val="28"/>
          <w:rtl/>
          <w:lang w:bidi="ar-LB"/>
        </w:rPr>
        <w:t xml:space="preserve"> </w:t>
      </w:r>
      <w:r w:rsidRPr="006571AC">
        <w:rPr>
          <w:rFonts w:cs="DanaFajr" w:hint="eastAsia"/>
          <w:sz w:val="28"/>
          <w:szCs w:val="28"/>
          <w:rtl/>
          <w:lang w:bidi="ar-LB"/>
        </w:rPr>
        <w:t>بمعنى</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إذا</w:t>
      </w:r>
      <w:r w:rsidRPr="006571AC">
        <w:rPr>
          <w:rFonts w:cs="DanaFajr"/>
          <w:sz w:val="28"/>
          <w:szCs w:val="28"/>
          <w:rtl/>
          <w:lang w:bidi="ar-LB"/>
        </w:rPr>
        <w:t xml:space="preserve"> </w:t>
      </w:r>
      <w:r w:rsidRPr="006571AC">
        <w:rPr>
          <w:rFonts w:cs="DanaFajr" w:hint="eastAsia"/>
          <w:sz w:val="28"/>
          <w:szCs w:val="28"/>
          <w:rtl/>
          <w:lang w:bidi="ar-LB"/>
        </w:rPr>
        <w:t>لم</w:t>
      </w:r>
      <w:r w:rsidRPr="006571AC">
        <w:rPr>
          <w:rFonts w:cs="DanaFajr"/>
          <w:sz w:val="28"/>
          <w:szCs w:val="28"/>
          <w:rtl/>
          <w:lang w:bidi="ar-LB"/>
        </w:rPr>
        <w:t xml:space="preserve"> </w:t>
      </w:r>
      <w:r w:rsidRPr="006571AC">
        <w:rPr>
          <w:rFonts w:cs="DanaFajr" w:hint="eastAsia"/>
          <w:sz w:val="28"/>
          <w:szCs w:val="28"/>
          <w:rtl/>
          <w:lang w:bidi="ar-LB"/>
        </w:rPr>
        <w:t>يكن</w:t>
      </w:r>
      <w:r w:rsidRPr="006571AC">
        <w:rPr>
          <w:rFonts w:cs="DanaFajr"/>
          <w:sz w:val="28"/>
          <w:szCs w:val="28"/>
          <w:rtl/>
          <w:lang w:bidi="ar-LB"/>
        </w:rPr>
        <w:t xml:space="preserve"> </w:t>
      </w:r>
      <w:r w:rsidRPr="006571AC">
        <w:rPr>
          <w:rFonts w:cs="DanaFajr" w:hint="eastAsia"/>
          <w:sz w:val="28"/>
          <w:szCs w:val="28"/>
          <w:rtl/>
          <w:lang w:bidi="ar-LB"/>
        </w:rPr>
        <w:t>حر</w:t>
      </w:r>
      <w:r w:rsidRPr="006571AC">
        <w:rPr>
          <w:rFonts w:cs="DanaFajr" w:hint="cs"/>
          <w:sz w:val="28"/>
          <w:szCs w:val="28"/>
          <w:rtl/>
          <w:lang w:bidi="ar-LB"/>
        </w:rPr>
        <w:t>ّاً</w:t>
      </w:r>
      <w:r w:rsidRPr="006571AC">
        <w:rPr>
          <w:rFonts w:cs="DanaFajr"/>
          <w:sz w:val="28"/>
          <w:szCs w:val="28"/>
          <w:rtl/>
          <w:lang w:bidi="ar-LB"/>
        </w:rPr>
        <w:t xml:space="preserve"> </w:t>
      </w:r>
      <w:r w:rsidRPr="006571AC">
        <w:rPr>
          <w:rFonts w:cs="DanaFajr" w:hint="cs"/>
          <w:sz w:val="28"/>
          <w:szCs w:val="28"/>
          <w:rtl/>
          <w:lang w:bidi="ar-LB"/>
        </w:rPr>
        <w:t>ف</w:t>
      </w:r>
      <w:r w:rsidRPr="006571AC">
        <w:rPr>
          <w:rFonts w:cs="DanaFajr" w:hint="eastAsia"/>
          <w:sz w:val="28"/>
          <w:szCs w:val="28"/>
          <w:rtl/>
          <w:lang w:bidi="ar-LB"/>
        </w:rPr>
        <w:t>لا</w:t>
      </w:r>
      <w:r w:rsidRPr="006571AC">
        <w:rPr>
          <w:rFonts w:cs="DanaFajr"/>
          <w:sz w:val="28"/>
          <w:szCs w:val="28"/>
          <w:rtl/>
          <w:lang w:bidi="ar-LB"/>
        </w:rPr>
        <w:t xml:space="preserve"> </w:t>
      </w:r>
      <w:r w:rsidRPr="006571AC">
        <w:rPr>
          <w:rFonts w:cs="DanaFajr" w:hint="eastAsia"/>
          <w:sz w:val="28"/>
          <w:szCs w:val="28"/>
          <w:rtl/>
          <w:lang w:bidi="ar-LB"/>
        </w:rPr>
        <w:t>يستطيع</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يحصل</w:t>
      </w:r>
      <w:r w:rsidRPr="006571AC">
        <w:rPr>
          <w:rFonts w:cs="DanaFajr"/>
          <w:sz w:val="28"/>
          <w:szCs w:val="28"/>
          <w:rtl/>
          <w:lang w:bidi="ar-LB"/>
        </w:rPr>
        <w:t xml:space="preserve"> </w:t>
      </w:r>
      <w:r w:rsidRPr="006571AC">
        <w:rPr>
          <w:rFonts w:cs="DanaFajr" w:hint="eastAsia"/>
          <w:sz w:val="28"/>
          <w:szCs w:val="28"/>
          <w:rtl/>
          <w:lang w:bidi="ar-LB"/>
        </w:rPr>
        <w:t>على</w:t>
      </w:r>
      <w:r w:rsidRPr="006571AC">
        <w:rPr>
          <w:rFonts w:cs="DanaFajr"/>
          <w:sz w:val="28"/>
          <w:szCs w:val="28"/>
          <w:rtl/>
          <w:lang w:bidi="ar-LB"/>
        </w:rPr>
        <w:t xml:space="preserve"> </w:t>
      </w:r>
      <w:r w:rsidRPr="006571AC">
        <w:rPr>
          <w:rFonts w:cs="DanaFajr" w:hint="eastAsia"/>
          <w:sz w:val="28"/>
          <w:szCs w:val="28"/>
          <w:rtl/>
          <w:lang w:bidi="ar-LB"/>
        </w:rPr>
        <w:t>الكمالات</w:t>
      </w:r>
      <w:r w:rsidRPr="006571AC">
        <w:rPr>
          <w:rFonts w:cs="DanaFajr"/>
          <w:sz w:val="28"/>
          <w:szCs w:val="28"/>
          <w:rtl/>
          <w:lang w:bidi="ar-LB"/>
        </w:rPr>
        <w:t xml:space="preserve"> </w:t>
      </w:r>
      <w:r w:rsidRPr="006571AC">
        <w:rPr>
          <w:rFonts w:cs="DanaFajr" w:hint="eastAsia"/>
          <w:sz w:val="28"/>
          <w:szCs w:val="28"/>
          <w:rtl/>
          <w:lang w:bidi="ar-LB"/>
        </w:rPr>
        <w:t>البشرية</w:t>
      </w:r>
      <w:r w:rsidRPr="006571AC">
        <w:rPr>
          <w:rFonts w:cs="DanaFajr"/>
          <w:sz w:val="28"/>
          <w:szCs w:val="28"/>
          <w:rtl/>
          <w:lang w:bidi="ar-LB"/>
        </w:rPr>
        <w:t xml:space="preserve">. </w:t>
      </w:r>
      <w:r w:rsidRPr="006571AC">
        <w:rPr>
          <w:rFonts w:cs="DanaFajr" w:hint="eastAsia"/>
          <w:sz w:val="28"/>
          <w:szCs w:val="28"/>
          <w:rtl/>
          <w:lang w:bidi="ar-LB"/>
        </w:rPr>
        <w:t>فموجود</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مجبور</w:t>
      </w:r>
      <w:r w:rsidRPr="006571AC">
        <w:rPr>
          <w:rFonts w:cs="DanaFajr"/>
          <w:sz w:val="28"/>
          <w:szCs w:val="28"/>
          <w:rtl/>
          <w:lang w:bidi="ar-LB"/>
        </w:rPr>
        <w:t xml:space="preserve"> </w:t>
      </w:r>
      <w:r w:rsidRPr="006571AC">
        <w:rPr>
          <w:rFonts w:cs="DanaFajr" w:hint="eastAsia"/>
          <w:sz w:val="28"/>
          <w:szCs w:val="28"/>
          <w:rtl/>
          <w:lang w:bidi="ar-LB"/>
        </w:rPr>
        <w:t>لا</w:t>
      </w:r>
      <w:r w:rsidRPr="006571AC">
        <w:rPr>
          <w:rFonts w:cs="DanaFajr"/>
          <w:sz w:val="28"/>
          <w:szCs w:val="28"/>
          <w:rtl/>
          <w:lang w:bidi="ar-LB"/>
        </w:rPr>
        <w:t xml:space="preserve"> </w:t>
      </w:r>
      <w:r w:rsidRPr="006571AC">
        <w:rPr>
          <w:rFonts w:cs="DanaFajr" w:hint="eastAsia"/>
          <w:sz w:val="28"/>
          <w:szCs w:val="28"/>
          <w:rtl/>
          <w:lang w:bidi="ar-LB"/>
        </w:rPr>
        <w:t>يمكنه</w:t>
      </w:r>
      <w:r w:rsidRPr="006571AC">
        <w:rPr>
          <w:rFonts w:cs="DanaFajr"/>
          <w:sz w:val="28"/>
          <w:szCs w:val="28"/>
          <w:rtl/>
          <w:lang w:bidi="ar-LB"/>
        </w:rPr>
        <w:t xml:space="preserve"> </w:t>
      </w:r>
      <w:r w:rsidRPr="006571AC">
        <w:rPr>
          <w:rFonts w:cs="DanaFajr" w:hint="cs"/>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يصل</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هناك</w:t>
      </w:r>
      <w:r w:rsidRPr="006571AC">
        <w:rPr>
          <w:rFonts w:cs="DanaFajr"/>
          <w:sz w:val="28"/>
          <w:szCs w:val="28"/>
          <w:rtl/>
          <w:lang w:bidi="ar-LB"/>
        </w:rPr>
        <w:t xml:space="preserve">. </w:t>
      </w:r>
      <w:r w:rsidRPr="006571AC">
        <w:rPr>
          <w:rFonts w:cs="DanaFajr" w:hint="eastAsia"/>
          <w:sz w:val="28"/>
          <w:szCs w:val="28"/>
          <w:rtl/>
          <w:lang w:bidi="ar-LB"/>
        </w:rPr>
        <w:t>إذن</w:t>
      </w:r>
      <w:r w:rsidRPr="006571AC">
        <w:rPr>
          <w:rFonts w:cs="DanaFajr"/>
          <w:sz w:val="28"/>
          <w:szCs w:val="28"/>
          <w:rtl/>
          <w:lang w:bidi="ar-LB"/>
        </w:rPr>
        <w:t xml:space="preserve"> </w:t>
      </w:r>
      <w:r w:rsidRPr="006571AC">
        <w:rPr>
          <w:rFonts w:cs="DanaFajr" w:hint="eastAsia"/>
          <w:sz w:val="28"/>
          <w:szCs w:val="28"/>
          <w:rtl/>
          <w:lang w:bidi="ar-LB"/>
        </w:rPr>
        <w:t>الحر</w:t>
      </w:r>
      <w:r w:rsidRPr="006571AC">
        <w:rPr>
          <w:rFonts w:cs="DanaFajr" w:hint="cs"/>
          <w:sz w:val="28"/>
          <w:szCs w:val="28"/>
          <w:rtl/>
          <w:lang w:bidi="ar-LB"/>
        </w:rPr>
        <w:t>ِّ</w:t>
      </w:r>
      <w:r w:rsidRPr="006571AC">
        <w:rPr>
          <w:rFonts w:cs="DanaFajr" w:hint="eastAsia"/>
          <w:sz w:val="28"/>
          <w:szCs w:val="28"/>
          <w:rtl/>
          <w:lang w:bidi="ar-LB"/>
        </w:rPr>
        <w:t>ية</w:t>
      </w:r>
      <w:r w:rsidRPr="006571AC">
        <w:rPr>
          <w:rFonts w:cs="DanaFajr"/>
          <w:sz w:val="28"/>
          <w:szCs w:val="28"/>
          <w:rtl/>
          <w:lang w:bidi="ar-LB"/>
        </w:rPr>
        <w:t xml:space="preserve"> </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وسيلة</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وليست</w:t>
      </w:r>
      <w:r w:rsidRPr="006571AC">
        <w:rPr>
          <w:rFonts w:cs="DanaFajr"/>
          <w:sz w:val="28"/>
          <w:szCs w:val="28"/>
          <w:rtl/>
          <w:lang w:bidi="ar-LB"/>
        </w:rPr>
        <w:t xml:space="preserve"> </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هدف</w:t>
      </w:r>
      <w:r w:rsidRPr="006571AC">
        <w:rPr>
          <w:sz w:val="22"/>
          <w:szCs w:val="22"/>
          <w:rtl/>
          <w:lang w:bidi="ar-LB"/>
        </w:rPr>
        <w:t>»</w:t>
      </w:r>
      <w:r w:rsidRPr="006571AC">
        <w:rPr>
          <w:rFonts w:cs="DanaFajr"/>
          <w:sz w:val="28"/>
          <w:szCs w:val="28"/>
          <w:rtl/>
          <w:lang w:bidi="ar-LB"/>
        </w:rPr>
        <w:t>.</w:t>
      </w:r>
    </w:p>
  </w:endnote>
  <w:endnote w:id="31">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فقرات من مقدّمة </w:t>
      </w:r>
      <w:r w:rsidRPr="006571AC">
        <w:rPr>
          <w:rFonts w:cs="DanaFajr" w:hint="eastAsia"/>
          <w:sz w:val="28"/>
          <w:szCs w:val="28"/>
          <w:rtl/>
        </w:rPr>
        <w:t>القانون</w:t>
      </w:r>
      <w:r w:rsidRPr="006571AC">
        <w:rPr>
          <w:rFonts w:cs="DanaFajr"/>
          <w:sz w:val="28"/>
          <w:szCs w:val="28"/>
          <w:rtl/>
        </w:rPr>
        <w:t xml:space="preserve"> </w:t>
      </w:r>
      <w:r w:rsidRPr="006571AC">
        <w:rPr>
          <w:rFonts w:cs="DanaFajr" w:hint="eastAsia"/>
          <w:sz w:val="28"/>
          <w:szCs w:val="28"/>
          <w:rtl/>
        </w:rPr>
        <w:t>الأساسي</w:t>
      </w:r>
      <w:r w:rsidRPr="006571AC">
        <w:rPr>
          <w:rFonts w:cs="DanaFajr"/>
          <w:sz w:val="28"/>
          <w:szCs w:val="28"/>
          <w:rtl/>
        </w:rPr>
        <w:t xml:space="preserve"> </w:t>
      </w:r>
      <w:r w:rsidRPr="006571AC">
        <w:rPr>
          <w:rFonts w:cs="DanaFajr" w:hint="eastAsia"/>
          <w:sz w:val="28"/>
          <w:szCs w:val="28"/>
          <w:rtl/>
        </w:rPr>
        <w:t>للجمهورية</w:t>
      </w:r>
      <w:r w:rsidRPr="006571AC">
        <w:rPr>
          <w:rFonts w:cs="DanaFajr"/>
          <w:sz w:val="28"/>
          <w:szCs w:val="28"/>
          <w:rtl/>
        </w:rPr>
        <w:t xml:space="preserve"> </w:t>
      </w:r>
      <w:r w:rsidRPr="006571AC">
        <w:rPr>
          <w:rFonts w:cs="DanaFajr" w:hint="eastAsia"/>
          <w:sz w:val="28"/>
          <w:szCs w:val="28"/>
          <w:rtl/>
        </w:rPr>
        <w:t>الإسلامية</w:t>
      </w:r>
      <w:r w:rsidRPr="006571AC">
        <w:rPr>
          <w:rFonts w:cs="DanaFajr" w:hint="cs"/>
          <w:sz w:val="28"/>
          <w:szCs w:val="28"/>
          <w:rtl/>
        </w:rPr>
        <w:t>:</w:t>
      </w:r>
      <w:r w:rsidRPr="006571AC">
        <w:rPr>
          <w:rFonts w:cs="DanaFajr"/>
          <w:sz w:val="28"/>
          <w:szCs w:val="28"/>
          <w:rtl/>
        </w:rPr>
        <w:t xml:space="preserve"> </w:t>
      </w:r>
      <w:r w:rsidRPr="006571AC">
        <w:rPr>
          <w:sz w:val="22"/>
          <w:szCs w:val="22"/>
          <w:rtl/>
        </w:rPr>
        <w:t>«</w:t>
      </w:r>
      <w:r w:rsidRPr="006571AC">
        <w:rPr>
          <w:rFonts w:cs="DanaFajr" w:hint="cs"/>
          <w:sz w:val="28"/>
          <w:szCs w:val="28"/>
          <w:rtl/>
        </w:rPr>
        <w:t>...</w:t>
      </w:r>
      <w:r w:rsidRPr="006571AC">
        <w:rPr>
          <w:rFonts w:cs="DanaFajr" w:hint="eastAsia"/>
          <w:sz w:val="28"/>
          <w:szCs w:val="28"/>
          <w:rtl/>
          <w:lang w:bidi="ar-LB"/>
        </w:rPr>
        <w:t>ومع</w:t>
      </w:r>
      <w:r w:rsidRPr="006571AC">
        <w:rPr>
          <w:rFonts w:cs="DanaFajr"/>
          <w:sz w:val="28"/>
          <w:szCs w:val="28"/>
          <w:rtl/>
          <w:lang w:bidi="ar-LB"/>
        </w:rPr>
        <w:t xml:space="preserve"> </w:t>
      </w:r>
      <w:r w:rsidRPr="006571AC">
        <w:rPr>
          <w:rFonts w:cs="DanaFajr" w:hint="eastAsia"/>
          <w:sz w:val="28"/>
          <w:szCs w:val="28"/>
          <w:rtl/>
          <w:lang w:bidi="ar-LB"/>
        </w:rPr>
        <w:t>ملاحظة</w:t>
      </w:r>
      <w:r w:rsidRPr="006571AC">
        <w:rPr>
          <w:rFonts w:cs="DanaFajr"/>
          <w:sz w:val="28"/>
          <w:szCs w:val="28"/>
          <w:rtl/>
          <w:lang w:bidi="ar-LB"/>
        </w:rPr>
        <w:t xml:space="preserve"> </w:t>
      </w:r>
      <w:r w:rsidRPr="006571AC">
        <w:rPr>
          <w:rFonts w:cs="DanaFajr" w:hint="eastAsia"/>
          <w:sz w:val="28"/>
          <w:szCs w:val="28"/>
          <w:rtl/>
          <w:lang w:bidi="ar-LB"/>
        </w:rPr>
        <w:t>جوهر</w:t>
      </w:r>
      <w:r w:rsidRPr="006571AC">
        <w:rPr>
          <w:rFonts w:cs="DanaFajr"/>
          <w:sz w:val="28"/>
          <w:szCs w:val="28"/>
          <w:rtl/>
          <w:lang w:bidi="ar-LB"/>
        </w:rPr>
        <w:t xml:space="preserve"> </w:t>
      </w:r>
      <w:r w:rsidRPr="006571AC">
        <w:rPr>
          <w:rFonts w:cs="DanaFajr" w:hint="eastAsia"/>
          <w:sz w:val="28"/>
          <w:szCs w:val="28"/>
          <w:rtl/>
          <w:lang w:bidi="ar-LB"/>
        </w:rPr>
        <w:t>هذه</w:t>
      </w:r>
      <w:r w:rsidRPr="006571AC">
        <w:rPr>
          <w:rFonts w:cs="DanaFajr"/>
          <w:sz w:val="28"/>
          <w:szCs w:val="28"/>
          <w:rtl/>
          <w:lang w:bidi="ar-LB"/>
        </w:rPr>
        <w:t xml:space="preserve"> </w:t>
      </w:r>
      <w:r w:rsidRPr="006571AC">
        <w:rPr>
          <w:rFonts w:cs="DanaFajr" w:hint="eastAsia"/>
          <w:sz w:val="28"/>
          <w:szCs w:val="28"/>
          <w:rtl/>
          <w:lang w:bidi="ar-LB"/>
        </w:rPr>
        <w:t>النهضة</w:t>
      </w:r>
      <w:r w:rsidRPr="006571AC">
        <w:rPr>
          <w:rFonts w:cs="DanaFajr"/>
          <w:sz w:val="28"/>
          <w:szCs w:val="28"/>
          <w:rtl/>
          <w:lang w:bidi="ar-LB"/>
        </w:rPr>
        <w:t xml:space="preserve"> </w:t>
      </w:r>
      <w:r w:rsidRPr="006571AC">
        <w:rPr>
          <w:rFonts w:cs="DanaFajr" w:hint="eastAsia"/>
          <w:sz w:val="28"/>
          <w:szCs w:val="28"/>
          <w:rtl/>
          <w:lang w:bidi="ar-LB"/>
        </w:rPr>
        <w:t>الكبرى</w:t>
      </w:r>
      <w:r w:rsidRPr="006571AC">
        <w:rPr>
          <w:rFonts w:cs="DanaFajr"/>
          <w:sz w:val="28"/>
          <w:szCs w:val="28"/>
          <w:rtl/>
          <w:lang w:bidi="ar-LB"/>
        </w:rPr>
        <w:t xml:space="preserve"> </w:t>
      </w:r>
      <w:r w:rsidRPr="006571AC">
        <w:rPr>
          <w:rFonts w:cs="DanaFajr" w:hint="eastAsia"/>
          <w:sz w:val="28"/>
          <w:szCs w:val="28"/>
          <w:rtl/>
          <w:lang w:bidi="ar-LB"/>
        </w:rPr>
        <w:t>فإن</w:t>
      </w:r>
      <w:r w:rsidRPr="006571AC">
        <w:rPr>
          <w:rFonts w:cs="DanaFajr"/>
          <w:sz w:val="28"/>
          <w:szCs w:val="28"/>
          <w:rtl/>
          <w:lang w:bidi="ar-LB"/>
        </w:rPr>
        <w:t xml:space="preserve"> </w:t>
      </w:r>
      <w:r w:rsidRPr="006571AC">
        <w:rPr>
          <w:rFonts w:cs="DanaFajr" w:hint="eastAsia"/>
          <w:sz w:val="28"/>
          <w:szCs w:val="28"/>
          <w:rtl/>
        </w:rPr>
        <w:t>القانون</w:t>
      </w:r>
      <w:r w:rsidRPr="006571AC">
        <w:rPr>
          <w:rFonts w:cs="DanaFajr"/>
          <w:sz w:val="28"/>
          <w:szCs w:val="28"/>
          <w:rtl/>
        </w:rPr>
        <w:t xml:space="preserve"> </w:t>
      </w:r>
      <w:r w:rsidRPr="006571AC">
        <w:rPr>
          <w:rFonts w:cs="DanaFajr" w:hint="eastAsia"/>
          <w:sz w:val="28"/>
          <w:szCs w:val="28"/>
          <w:rtl/>
        </w:rPr>
        <w:t>الأساسي</w:t>
      </w:r>
      <w:r w:rsidRPr="006571AC">
        <w:rPr>
          <w:rFonts w:cs="DanaFajr"/>
          <w:sz w:val="28"/>
          <w:szCs w:val="28"/>
          <w:rtl/>
          <w:lang w:bidi="ar-LB"/>
        </w:rPr>
        <w:t xml:space="preserve"> </w:t>
      </w:r>
      <w:r w:rsidRPr="006571AC">
        <w:rPr>
          <w:rFonts w:cs="DanaFajr" w:hint="eastAsia"/>
          <w:sz w:val="28"/>
          <w:szCs w:val="28"/>
          <w:rtl/>
          <w:lang w:bidi="ar-LB"/>
        </w:rPr>
        <w:t>يضمن</w:t>
      </w:r>
      <w:r w:rsidRPr="006571AC">
        <w:rPr>
          <w:rFonts w:cs="DanaFajr"/>
          <w:sz w:val="28"/>
          <w:szCs w:val="28"/>
          <w:rtl/>
          <w:lang w:bidi="ar-LB"/>
        </w:rPr>
        <w:t xml:space="preserve"> </w:t>
      </w:r>
      <w:r w:rsidRPr="006571AC">
        <w:rPr>
          <w:rFonts w:cs="DanaFajr" w:hint="eastAsia"/>
          <w:sz w:val="28"/>
          <w:szCs w:val="28"/>
          <w:rtl/>
          <w:lang w:bidi="ar-LB"/>
        </w:rPr>
        <w:t>رفض</w:t>
      </w:r>
      <w:r w:rsidRPr="006571AC">
        <w:rPr>
          <w:rFonts w:cs="DanaFajr"/>
          <w:sz w:val="28"/>
          <w:szCs w:val="28"/>
          <w:rtl/>
          <w:lang w:bidi="ar-LB"/>
        </w:rPr>
        <w:t xml:space="preserve"> </w:t>
      </w:r>
      <w:r w:rsidRPr="006571AC">
        <w:rPr>
          <w:rFonts w:cs="DanaFajr" w:hint="eastAsia"/>
          <w:sz w:val="28"/>
          <w:szCs w:val="28"/>
          <w:rtl/>
          <w:lang w:bidi="ar-LB"/>
        </w:rPr>
        <w:t>كاف</w:t>
      </w:r>
      <w:r w:rsidRPr="006571AC">
        <w:rPr>
          <w:rFonts w:cs="DanaFajr" w:hint="cs"/>
          <w:sz w:val="28"/>
          <w:szCs w:val="28"/>
          <w:rtl/>
          <w:lang w:bidi="ar-LB"/>
        </w:rPr>
        <w:t>ّ</w:t>
      </w:r>
      <w:r w:rsidRPr="006571AC">
        <w:rPr>
          <w:rFonts w:cs="DanaFajr" w:hint="eastAsia"/>
          <w:sz w:val="28"/>
          <w:szCs w:val="28"/>
          <w:rtl/>
          <w:lang w:bidi="ar-LB"/>
        </w:rPr>
        <w:t>ة</w:t>
      </w:r>
      <w:r w:rsidRPr="006571AC">
        <w:rPr>
          <w:rFonts w:cs="DanaFajr"/>
          <w:sz w:val="28"/>
          <w:szCs w:val="28"/>
          <w:rtl/>
          <w:lang w:bidi="ar-LB"/>
        </w:rPr>
        <w:t xml:space="preserve"> </w:t>
      </w:r>
      <w:r w:rsidRPr="006571AC">
        <w:rPr>
          <w:rFonts w:cs="DanaFajr" w:hint="eastAsia"/>
          <w:sz w:val="28"/>
          <w:szCs w:val="28"/>
          <w:rtl/>
          <w:lang w:bidi="ar-LB"/>
        </w:rPr>
        <w:t>أشكال</w:t>
      </w:r>
      <w:r w:rsidRPr="006571AC">
        <w:rPr>
          <w:rFonts w:cs="DanaFajr"/>
          <w:sz w:val="28"/>
          <w:szCs w:val="28"/>
          <w:rtl/>
          <w:lang w:bidi="ar-LB"/>
        </w:rPr>
        <w:t xml:space="preserve"> </w:t>
      </w:r>
      <w:r w:rsidRPr="006571AC">
        <w:rPr>
          <w:rFonts w:cs="DanaFajr" w:hint="eastAsia"/>
          <w:sz w:val="28"/>
          <w:szCs w:val="28"/>
          <w:rtl/>
          <w:lang w:bidi="ar-LB"/>
        </w:rPr>
        <w:t>الدكتاتورية</w:t>
      </w:r>
      <w:r w:rsidRPr="006571AC">
        <w:rPr>
          <w:rFonts w:cs="DanaFajr"/>
          <w:sz w:val="28"/>
          <w:szCs w:val="28"/>
          <w:rtl/>
          <w:lang w:bidi="ar-LB"/>
        </w:rPr>
        <w:t xml:space="preserve"> </w:t>
      </w:r>
      <w:r w:rsidRPr="006571AC">
        <w:rPr>
          <w:rFonts w:cs="DanaFajr" w:hint="eastAsia"/>
          <w:sz w:val="28"/>
          <w:szCs w:val="28"/>
          <w:rtl/>
          <w:lang w:bidi="ar-LB"/>
        </w:rPr>
        <w:t>الفكرية</w:t>
      </w:r>
      <w:r w:rsidRPr="006571AC">
        <w:rPr>
          <w:rFonts w:cs="DanaFajr" w:hint="cs"/>
          <w:sz w:val="28"/>
          <w:szCs w:val="28"/>
          <w:rtl/>
          <w:lang w:bidi="ar-LB"/>
        </w:rPr>
        <w:t xml:space="preserve"> </w:t>
      </w:r>
      <w:r w:rsidRPr="006571AC">
        <w:rPr>
          <w:rFonts w:cs="DanaFajr" w:hint="eastAsia"/>
          <w:sz w:val="28"/>
          <w:szCs w:val="28"/>
          <w:rtl/>
          <w:lang w:bidi="ar-LB"/>
        </w:rPr>
        <w:t>والاجتماعية</w:t>
      </w:r>
      <w:r w:rsidRPr="006571AC">
        <w:rPr>
          <w:rFonts w:cs="DanaFajr"/>
          <w:sz w:val="28"/>
          <w:szCs w:val="28"/>
          <w:rtl/>
          <w:lang w:bidi="ar-LB"/>
        </w:rPr>
        <w:t xml:space="preserve"> </w:t>
      </w:r>
      <w:r w:rsidRPr="006571AC">
        <w:rPr>
          <w:rFonts w:cs="DanaFajr" w:hint="eastAsia"/>
          <w:sz w:val="28"/>
          <w:szCs w:val="28"/>
          <w:rtl/>
          <w:lang w:bidi="ar-LB"/>
        </w:rPr>
        <w:t>والاحتكار</w:t>
      </w:r>
      <w:r w:rsidRPr="006571AC">
        <w:rPr>
          <w:rFonts w:cs="DanaFajr"/>
          <w:sz w:val="28"/>
          <w:szCs w:val="28"/>
          <w:rtl/>
          <w:lang w:bidi="ar-LB"/>
        </w:rPr>
        <w:t xml:space="preserve"> </w:t>
      </w:r>
      <w:r w:rsidRPr="006571AC">
        <w:rPr>
          <w:rFonts w:cs="DanaFajr" w:hint="eastAsia"/>
          <w:sz w:val="28"/>
          <w:szCs w:val="28"/>
          <w:rtl/>
          <w:lang w:bidi="ar-LB"/>
        </w:rPr>
        <w:t>الاقتصادي،</w:t>
      </w:r>
      <w:r w:rsidRPr="006571AC">
        <w:rPr>
          <w:rFonts w:cs="DanaFajr"/>
          <w:sz w:val="28"/>
          <w:szCs w:val="28"/>
          <w:rtl/>
          <w:lang w:bidi="ar-LB"/>
        </w:rPr>
        <w:t xml:space="preserve"> </w:t>
      </w:r>
      <w:r w:rsidRPr="006571AC">
        <w:rPr>
          <w:rFonts w:cs="DanaFajr" w:hint="eastAsia"/>
          <w:sz w:val="28"/>
          <w:szCs w:val="28"/>
          <w:rtl/>
          <w:lang w:bidi="ar-LB"/>
        </w:rPr>
        <w:t>ويسعى</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الخلاص</w:t>
      </w:r>
      <w:r w:rsidRPr="006571AC">
        <w:rPr>
          <w:rFonts w:cs="DanaFajr"/>
          <w:sz w:val="28"/>
          <w:szCs w:val="28"/>
          <w:rtl/>
          <w:lang w:bidi="ar-LB"/>
        </w:rPr>
        <w:t xml:space="preserve"> </w:t>
      </w:r>
      <w:r w:rsidRPr="006571AC">
        <w:rPr>
          <w:rFonts w:cs="DanaFajr" w:hint="eastAsia"/>
          <w:sz w:val="28"/>
          <w:szCs w:val="28"/>
          <w:rtl/>
          <w:lang w:bidi="ar-LB"/>
        </w:rPr>
        <w:t>من</w:t>
      </w:r>
      <w:r w:rsidRPr="006571AC">
        <w:rPr>
          <w:rFonts w:cs="DanaFajr"/>
          <w:sz w:val="28"/>
          <w:szCs w:val="28"/>
          <w:rtl/>
          <w:lang w:bidi="ar-LB"/>
        </w:rPr>
        <w:t xml:space="preserve"> </w:t>
      </w:r>
      <w:r w:rsidRPr="006571AC">
        <w:rPr>
          <w:rFonts w:cs="DanaFajr" w:hint="eastAsia"/>
          <w:sz w:val="28"/>
          <w:szCs w:val="28"/>
          <w:rtl/>
          <w:lang w:bidi="ar-LB"/>
        </w:rPr>
        <w:t>النظام</w:t>
      </w:r>
      <w:r w:rsidRPr="006571AC">
        <w:rPr>
          <w:rFonts w:cs="DanaFajr"/>
          <w:sz w:val="28"/>
          <w:szCs w:val="28"/>
          <w:rtl/>
          <w:lang w:bidi="ar-LB"/>
        </w:rPr>
        <w:t xml:space="preserve"> </w:t>
      </w:r>
      <w:r w:rsidRPr="006571AC">
        <w:rPr>
          <w:rFonts w:cs="DanaFajr" w:hint="eastAsia"/>
          <w:sz w:val="28"/>
          <w:szCs w:val="28"/>
          <w:rtl/>
          <w:lang w:bidi="ar-LB"/>
        </w:rPr>
        <w:t>الاستبدادي،</w:t>
      </w:r>
      <w:r w:rsidRPr="006571AC">
        <w:rPr>
          <w:rFonts w:cs="DanaFajr"/>
          <w:sz w:val="28"/>
          <w:szCs w:val="28"/>
          <w:rtl/>
          <w:lang w:bidi="ar-LB"/>
        </w:rPr>
        <w:t xml:space="preserve"> </w:t>
      </w:r>
      <w:r w:rsidRPr="006571AC">
        <w:rPr>
          <w:rFonts w:cs="DanaFajr" w:hint="eastAsia"/>
          <w:sz w:val="28"/>
          <w:szCs w:val="28"/>
          <w:rtl/>
          <w:lang w:bidi="ar-LB"/>
        </w:rPr>
        <w:t>ومنح</w:t>
      </w:r>
      <w:r w:rsidRPr="006571AC">
        <w:rPr>
          <w:rFonts w:cs="DanaFajr"/>
          <w:sz w:val="28"/>
          <w:szCs w:val="28"/>
          <w:rtl/>
          <w:lang w:bidi="ar-LB"/>
        </w:rPr>
        <w:t xml:space="preserve"> </w:t>
      </w:r>
      <w:r w:rsidRPr="006571AC">
        <w:rPr>
          <w:rFonts w:cs="DanaFajr" w:hint="eastAsia"/>
          <w:sz w:val="28"/>
          <w:szCs w:val="28"/>
          <w:rtl/>
          <w:lang w:bidi="ar-LB"/>
        </w:rPr>
        <w:t>الشعب</w:t>
      </w:r>
      <w:r w:rsidRPr="006571AC">
        <w:rPr>
          <w:rFonts w:cs="DanaFajr"/>
          <w:sz w:val="28"/>
          <w:szCs w:val="28"/>
          <w:rtl/>
          <w:lang w:bidi="ar-LB"/>
        </w:rPr>
        <w:t xml:space="preserve"> </w:t>
      </w:r>
      <w:r w:rsidRPr="006571AC">
        <w:rPr>
          <w:rFonts w:cs="DanaFajr" w:hint="eastAsia"/>
          <w:sz w:val="28"/>
          <w:szCs w:val="28"/>
          <w:rtl/>
          <w:lang w:bidi="ar-LB"/>
        </w:rPr>
        <w:t>حق</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تقرير</w:t>
      </w:r>
      <w:r w:rsidRPr="006571AC">
        <w:rPr>
          <w:rFonts w:cs="DanaFajr"/>
          <w:sz w:val="28"/>
          <w:szCs w:val="28"/>
          <w:rtl/>
          <w:lang w:bidi="ar-LB"/>
        </w:rPr>
        <w:t xml:space="preserve"> </w:t>
      </w:r>
      <w:r w:rsidRPr="006571AC">
        <w:rPr>
          <w:rFonts w:cs="DanaFajr" w:hint="eastAsia"/>
          <w:sz w:val="28"/>
          <w:szCs w:val="28"/>
          <w:rtl/>
          <w:lang w:bidi="ar-LB"/>
        </w:rPr>
        <w:t>مصيره</w:t>
      </w:r>
      <w:r w:rsidRPr="006571AC">
        <w:rPr>
          <w:rFonts w:cs="DanaFajr"/>
          <w:sz w:val="28"/>
          <w:szCs w:val="28"/>
          <w:rtl/>
          <w:lang w:bidi="ar-LB"/>
        </w:rPr>
        <w:t xml:space="preserve"> </w:t>
      </w:r>
      <w:r w:rsidRPr="006571AC">
        <w:rPr>
          <w:rFonts w:cs="DanaFajr" w:hint="eastAsia"/>
          <w:sz w:val="28"/>
          <w:szCs w:val="28"/>
          <w:rtl/>
          <w:lang w:bidi="ar-LB"/>
        </w:rPr>
        <w:t>بنفسه</w:t>
      </w:r>
      <w:r w:rsidRPr="006571AC">
        <w:rPr>
          <w:rFonts w:cs="DanaFajr" w:hint="cs"/>
          <w:sz w:val="28"/>
          <w:szCs w:val="28"/>
          <w:rtl/>
          <w:lang w:bidi="ar-LB"/>
        </w:rPr>
        <w:t>:</w:t>
      </w:r>
      <w:r w:rsidRPr="006571AC">
        <w:rPr>
          <w:rFonts w:cs="DanaFajr"/>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وَيَضَعُ</w:t>
      </w:r>
      <w:r w:rsidRPr="006571AC">
        <w:rPr>
          <w:rFonts w:cs="DanaFajr"/>
          <w:b/>
          <w:bCs/>
          <w:sz w:val="28"/>
          <w:szCs w:val="28"/>
          <w:rtl/>
          <w:lang w:bidi="ar-LB"/>
        </w:rPr>
        <w:t xml:space="preserve"> </w:t>
      </w:r>
      <w:r w:rsidRPr="006571AC">
        <w:rPr>
          <w:rFonts w:cs="DanaFajr" w:hint="eastAsia"/>
          <w:b/>
          <w:bCs/>
          <w:sz w:val="28"/>
          <w:szCs w:val="28"/>
          <w:rtl/>
          <w:lang w:bidi="ar-LB"/>
        </w:rPr>
        <w:t>عَنْهُمْ</w:t>
      </w:r>
      <w:r w:rsidRPr="006571AC">
        <w:rPr>
          <w:rFonts w:cs="DanaFajr"/>
          <w:b/>
          <w:bCs/>
          <w:sz w:val="28"/>
          <w:szCs w:val="28"/>
          <w:rtl/>
          <w:lang w:bidi="ar-LB"/>
        </w:rPr>
        <w:t xml:space="preserve"> </w:t>
      </w:r>
      <w:r w:rsidRPr="006571AC">
        <w:rPr>
          <w:rFonts w:cs="DanaFajr" w:hint="eastAsia"/>
          <w:b/>
          <w:bCs/>
          <w:sz w:val="28"/>
          <w:szCs w:val="28"/>
          <w:rtl/>
          <w:lang w:bidi="ar-LB"/>
        </w:rPr>
        <w:t>إِصْرَهُمْ</w:t>
      </w:r>
      <w:r w:rsidRPr="006571AC">
        <w:rPr>
          <w:rFonts w:cs="DanaFajr"/>
          <w:b/>
          <w:bCs/>
          <w:sz w:val="28"/>
          <w:szCs w:val="28"/>
          <w:rtl/>
          <w:lang w:bidi="ar-LB"/>
        </w:rPr>
        <w:t xml:space="preserve"> </w:t>
      </w:r>
      <w:r w:rsidRPr="006571AC">
        <w:rPr>
          <w:rFonts w:cs="DanaFajr" w:hint="eastAsia"/>
          <w:b/>
          <w:bCs/>
          <w:sz w:val="28"/>
          <w:szCs w:val="28"/>
          <w:rtl/>
          <w:lang w:bidi="ar-LB"/>
        </w:rPr>
        <w:t>وَالأغْلالَ</w:t>
      </w:r>
      <w:r w:rsidRPr="006571AC">
        <w:rPr>
          <w:rFonts w:cs="DanaFajr"/>
          <w:b/>
          <w:bCs/>
          <w:sz w:val="28"/>
          <w:szCs w:val="28"/>
          <w:rtl/>
          <w:lang w:bidi="ar-LB"/>
        </w:rPr>
        <w:t xml:space="preserve"> </w:t>
      </w:r>
      <w:r w:rsidRPr="006571AC">
        <w:rPr>
          <w:rFonts w:cs="DanaFajr" w:hint="eastAsia"/>
          <w:b/>
          <w:bCs/>
          <w:sz w:val="28"/>
          <w:szCs w:val="28"/>
          <w:rtl/>
          <w:lang w:bidi="ar-LB"/>
        </w:rPr>
        <w:t>ال</w:t>
      </w:r>
      <w:r w:rsidRPr="006571AC">
        <w:rPr>
          <w:rFonts w:cs="DanaFajr" w:hint="cs"/>
          <w:b/>
          <w:bCs/>
          <w:sz w:val="28"/>
          <w:szCs w:val="28"/>
          <w:rtl/>
          <w:lang w:bidi="ar-LB"/>
        </w:rPr>
        <w:t>َّ</w:t>
      </w:r>
      <w:r w:rsidRPr="006571AC">
        <w:rPr>
          <w:rFonts w:cs="DanaFajr" w:hint="eastAsia"/>
          <w:b/>
          <w:bCs/>
          <w:sz w:val="28"/>
          <w:szCs w:val="28"/>
          <w:rtl/>
          <w:lang w:bidi="ar-LB"/>
        </w:rPr>
        <w:t>تِي</w:t>
      </w:r>
      <w:r w:rsidRPr="006571AC">
        <w:rPr>
          <w:rFonts w:cs="DanaFajr"/>
          <w:b/>
          <w:bCs/>
          <w:sz w:val="28"/>
          <w:szCs w:val="28"/>
          <w:rtl/>
          <w:lang w:bidi="ar-LB"/>
        </w:rPr>
        <w:t xml:space="preserve"> </w:t>
      </w:r>
      <w:r w:rsidRPr="006571AC">
        <w:rPr>
          <w:rFonts w:cs="DanaFajr" w:hint="eastAsia"/>
          <w:b/>
          <w:bCs/>
          <w:sz w:val="28"/>
          <w:szCs w:val="28"/>
          <w:rtl/>
          <w:lang w:bidi="ar-LB"/>
        </w:rPr>
        <w:t>كَانَتْ</w:t>
      </w:r>
      <w:r w:rsidRPr="006571AC">
        <w:rPr>
          <w:rFonts w:cs="DanaFajr"/>
          <w:b/>
          <w:bCs/>
          <w:sz w:val="28"/>
          <w:szCs w:val="28"/>
          <w:rtl/>
          <w:lang w:bidi="ar-LB"/>
        </w:rPr>
        <w:t xml:space="preserve"> </w:t>
      </w:r>
      <w:r w:rsidRPr="006571AC">
        <w:rPr>
          <w:rFonts w:cs="DanaFajr" w:hint="eastAsia"/>
          <w:b/>
          <w:bCs/>
          <w:sz w:val="28"/>
          <w:szCs w:val="28"/>
          <w:rtl/>
          <w:lang w:bidi="ar-LB"/>
        </w:rPr>
        <w:t>عَلَيْهِمْ</w:t>
      </w:r>
      <w:r w:rsidRPr="006571AC">
        <w:rPr>
          <w:rFonts w:ascii="Mosawi" w:hAnsi="Mosawi" w:cs="Mosawi"/>
          <w:sz w:val="22"/>
          <w:szCs w:val="22"/>
          <w:rtl/>
        </w:rPr>
        <w:t>﴾</w:t>
      </w:r>
      <w:r w:rsidRPr="006571AC">
        <w:rPr>
          <w:rFonts w:cs="DanaFajr"/>
          <w:sz w:val="28"/>
          <w:szCs w:val="28"/>
          <w:rtl/>
          <w:lang w:bidi="ar-LB"/>
        </w:rPr>
        <w:t>...</w:t>
      </w:r>
      <w:r w:rsidRPr="006571AC">
        <w:rPr>
          <w:rFonts w:cs="DanaFajr" w:hint="cs"/>
          <w:sz w:val="28"/>
          <w:szCs w:val="28"/>
          <w:rtl/>
          <w:lang w:bidi="ar-LB"/>
        </w:rPr>
        <w:t xml:space="preserve"> </w:t>
      </w:r>
      <w:r w:rsidRPr="006571AC">
        <w:rPr>
          <w:rFonts w:cs="DanaFajr" w:hint="eastAsia"/>
          <w:sz w:val="28"/>
          <w:szCs w:val="28"/>
          <w:rtl/>
          <w:lang w:bidi="ar-LB"/>
        </w:rPr>
        <w:t>ويقوم</w:t>
      </w:r>
      <w:r w:rsidRPr="006571AC">
        <w:rPr>
          <w:rFonts w:cs="DanaFajr"/>
          <w:sz w:val="28"/>
          <w:szCs w:val="28"/>
          <w:rtl/>
          <w:lang w:bidi="ar-LB"/>
        </w:rPr>
        <w:t xml:space="preserve"> </w:t>
      </w:r>
      <w:r w:rsidRPr="006571AC">
        <w:rPr>
          <w:rFonts w:cs="DanaFajr" w:hint="eastAsia"/>
          <w:sz w:val="28"/>
          <w:szCs w:val="28"/>
          <w:rtl/>
        </w:rPr>
        <w:t>القانون</w:t>
      </w:r>
      <w:r w:rsidRPr="006571AC">
        <w:rPr>
          <w:rFonts w:cs="DanaFajr"/>
          <w:sz w:val="28"/>
          <w:szCs w:val="28"/>
          <w:rtl/>
        </w:rPr>
        <w:t xml:space="preserve"> </w:t>
      </w:r>
      <w:r w:rsidRPr="006571AC">
        <w:rPr>
          <w:rFonts w:cs="DanaFajr" w:hint="eastAsia"/>
          <w:sz w:val="28"/>
          <w:szCs w:val="28"/>
          <w:rtl/>
        </w:rPr>
        <w:t>الأساسي</w:t>
      </w:r>
      <w:r w:rsidRPr="006571AC">
        <w:rPr>
          <w:rFonts w:cs="DanaFajr"/>
          <w:sz w:val="28"/>
          <w:szCs w:val="28"/>
          <w:rtl/>
          <w:lang w:bidi="ar-LB"/>
        </w:rPr>
        <w:t xml:space="preserve"> </w:t>
      </w:r>
      <w:r w:rsidRPr="006571AC">
        <w:rPr>
          <w:rFonts w:cs="DanaFajr" w:hint="eastAsia"/>
          <w:sz w:val="28"/>
          <w:szCs w:val="28"/>
          <w:rtl/>
          <w:lang w:bidi="ar-LB"/>
        </w:rPr>
        <w:t>بتهيئة</w:t>
      </w:r>
      <w:r w:rsidRPr="006571AC">
        <w:rPr>
          <w:rFonts w:cs="DanaFajr"/>
          <w:sz w:val="28"/>
          <w:szCs w:val="28"/>
          <w:rtl/>
          <w:lang w:bidi="ar-LB"/>
        </w:rPr>
        <w:t xml:space="preserve"> </w:t>
      </w:r>
      <w:r w:rsidRPr="006571AC">
        <w:rPr>
          <w:rFonts w:cs="DanaFajr" w:hint="eastAsia"/>
          <w:sz w:val="28"/>
          <w:szCs w:val="28"/>
          <w:rtl/>
          <w:lang w:bidi="ar-LB"/>
        </w:rPr>
        <w:t>الظروف</w:t>
      </w:r>
      <w:r w:rsidRPr="006571AC">
        <w:rPr>
          <w:rFonts w:cs="DanaFajr"/>
          <w:sz w:val="28"/>
          <w:szCs w:val="28"/>
          <w:rtl/>
          <w:lang w:bidi="ar-LB"/>
        </w:rPr>
        <w:t xml:space="preserve"> </w:t>
      </w:r>
      <w:r w:rsidRPr="006571AC">
        <w:rPr>
          <w:rFonts w:cs="DanaFajr" w:hint="eastAsia"/>
          <w:sz w:val="28"/>
          <w:szCs w:val="28"/>
          <w:rtl/>
          <w:lang w:bidi="ar-LB"/>
        </w:rPr>
        <w:t>اللازمة</w:t>
      </w:r>
      <w:r w:rsidRPr="006571AC">
        <w:rPr>
          <w:rFonts w:cs="DanaFajr"/>
          <w:sz w:val="28"/>
          <w:szCs w:val="28"/>
          <w:rtl/>
          <w:lang w:bidi="ar-LB"/>
        </w:rPr>
        <w:t xml:space="preserve"> </w:t>
      </w:r>
      <w:r w:rsidRPr="006571AC">
        <w:rPr>
          <w:rFonts w:cs="DanaFajr" w:hint="eastAsia"/>
          <w:sz w:val="28"/>
          <w:szCs w:val="28"/>
          <w:rtl/>
          <w:lang w:bidi="ar-LB"/>
        </w:rPr>
        <w:t>لمشاركة</w:t>
      </w:r>
      <w:r w:rsidRPr="006571AC">
        <w:rPr>
          <w:rFonts w:cs="DanaFajr"/>
          <w:sz w:val="28"/>
          <w:szCs w:val="28"/>
          <w:rtl/>
          <w:lang w:bidi="ar-LB"/>
        </w:rPr>
        <w:t xml:space="preserve"> </w:t>
      </w:r>
      <w:r w:rsidRPr="006571AC">
        <w:rPr>
          <w:rFonts w:cs="DanaFajr" w:hint="eastAsia"/>
          <w:sz w:val="28"/>
          <w:szCs w:val="28"/>
          <w:rtl/>
          <w:lang w:bidi="ar-LB"/>
        </w:rPr>
        <w:t>جميع</w:t>
      </w:r>
      <w:r w:rsidRPr="006571AC">
        <w:rPr>
          <w:rFonts w:cs="DanaFajr"/>
          <w:sz w:val="28"/>
          <w:szCs w:val="28"/>
          <w:rtl/>
          <w:lang w:bidi="ar-LB"/>
        </w:rPr>
        <w:t xml:space="preserve"> </w:t>
      </w:r>
      <w:r w:rsidRPr="006571AC">
        <w:rPr>
          <w:rFonts w:cs="DanaFajr" w:hint="eastAsia"/>
          <w:sz w:val="28"/>
          <w:szCs w:val="28"/>
          <w:rtl/>
          <w:lang w:bidi="ar-LB"/>
        </w:rPr>
        <w:t>أفراد</w:t>
      </w:r>
      <w:r w:rsidRPr="006571AC">
        <w:rPr>
          <w:rFonts w:cs="DanaFajr"/>
          <w:sz w:val="28"/>
          <w:szCs w:val="28"/>
          <w:rtl/>
          <w:lang w:bidi="ar-LB"/>
        </w:rPr>
        <w:t xml:space="preserve"> </w:t>
      </w:r>
      <w:r w:rsidRPr="006571AC">
        <w:rPr>
          <w:rFonts w:cs="DanaFajr" w:hint="eastAsia"/>
          <w:sz w:val="28"/>
          <w:szCs w:val="28"/>
          <w:rtl/>
          <w:lang w:bidi="ar-LB"/>
        </w:rPr>
        <w:t>المجتمع</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جميع</w:t>
      </w:r>
      <w:r w:rsidRPr="006571AC">
        <w:rPr>
          <w:rFonts w:cs="DanaFajr"/>
          <w:sz w:val="28"/>
          <w:szCs w:val="28"/>
          <w:rtl/>
          <w:lang w:bidi="ar-LB"/>
        </w:rPr>
        <w:t xml:space="preserve"> </w:t>
      </w:r>
      <w:r w:rsidRPr="006571AC">
        <w:rPr>
          <w:rFonts w:cs="DanaFajr" w:hint="eastAsia"/>
          <w:sz w:val="28"/>
          <w:szCs w:val="28"/>
          <w:rtl/>
          <w:lang w:bidi="ar-LB"/>
        </w:rPr>
        <w:t>مراحل</w:t>
      </w:r>
      <w:r w:rsidRPr="006571AC">
        <w:rPr>
          <w:rFonts w:cs="DanaFajr"/>
          <w:sz w:val="28"/>
          <w:szCs w:val="28"/>
          <w:rtl/>
          <w:lang w:bidi="ar-LB"/>
        </w:rPr>
        <w:t xml:space="preserve"> </w:t>
      </w:r>
      <w:r w:rsidRPr="006571AC">
        <w:rPr>
          <w:rFonts w:cs="DanaFajr" w:hint="eastAsia"/>
          <w:sz w:val="28"/>
          <w:szCs w:val="28"/>
          <w:rtl/>
          <w:lang w:bidi="ar-LB"/>
        </w:rPr>
        <w:t>اتخاذ</w:t>
      </w:r>
      <w:r w:rsidRPr="006571AC">
        <w:rPr>
          <w:rFonts w:cs="DanaFajr"/>
          <w:sz w:val="28"/>
          <w:szCs w:val="28"/>
          <w:rtl/>
          <w:lang w:bidi="ar-LB"/>
        </w:rPr>
        <w:t xml:space="preserve"> </w:t>
      </w:r>
      <w:r w:rsidRPr="006571AC">
        <w:rPr>
          <w:rFonts w:cs="DanaFajr" w:hint="eastAsia"/>
          <w:sz w:val="28"/>
          <w:szCs w:val="28"/>
          <w:rtl/>
          <w:lang w:bidi="ar-LB"/>
        </w:rPr>
        <w:t>القرارات</w:t>
      </w:r>
      <w:r w:rsidRPr="006571AC">
        <w:rPr>
          <w:rFonts w:cs="DanaFajr"/>
          <w:sz w:val="28"/>
          <w:szCs w:val="28"/>
          <w:rtl/>
          <w:lang w:bidi="ar-LB"/>
        </w:rPr>
        <w:t xml:space="preserve"> </w:t>
      </w:r>
      <w:r w:rsidRPr="006571AC">
        <w:rPr>
          <w:rFonts w:cs="DanaFajr" w:hint="eastAsia"/>
          <w:sz w:val="28"/>
          <w:szCs w:val="28"/>
          <w:rtl/>
          <w:lang w:bidi="ar-LB"/>
        </w:rPr>
        <w:t>السياسية</w:t>
      </w:r>
      <w:r w:rsidRPr="006571AC">
        <w:rPr>
          <w:rFonts w:cs="DanaFajr"/>
          <w:sz w:val="28"/>
          <w:szCs w:val="28"/>
          <w:rtl/>
          <w:lang w:bidi="ar-LB"/>
        </w:rPr>
        <w:t xml:space="preserve"> </w:t>
      </w:r>
      <w:r w:rsidRPr="006571AC">
        <w:rPr>
          <w:rFonts w:cs="DanaFajr" w:hint="eastAsia"/>
          <w:sz w:val="28"/>
          <w:szCs w:val="28"/>
          <w:rtl/>
          <w:lang w:bidi="ar-LB"/>
        </w:rPr>
        <w:t>والمصيرية،</w:t>
      </w:r>
      <w:r w:rsidRPr="006571AC">
        <w:rPr>
          <w:rFonts w:cs="DanaFajr"/>
          <w:sz w:val="28"/>
          <w:szCs w:val="28"/>
          <w:rtl/>
          <w:lang w:bidi="ar-LB"/>
        </w:rPr>
        <w:t xml:space="preserve"> </w:t>
      </w:r>
      <w:r w:rsidRPr="006571AC">
        <w:rPr>
          <w:rFonts w:cs="DanaFajr" w:hint="eastAsia"/>
          <w:sz w:val="28"/>
          <w:szCs w:val="28"/>
          <w:rtl/>
          <w:lang w:bidi="ar-LB"/>
        </w:rPr>
        <w:t>ليصبح</w:t>
      </w:r>
      <w:r w:rsidRPr="006571AC">
        <w:rPr>
          <w:rFonts w:cs="DanaFajr"/>
          <w:sz w:val="28"/>
          <w:szCs w:val="28"/>
          <w:rtl/>
          <w:lang w:bidi="ar-LB"/>
        </w:rPr>
        <w:t xml:space="preserve"> </w:t>
      </w:r>
      <w:r w:rsidRPr="006571AC">
        <w:rPr>
          <w:rFonts w:cs="DanaFajr" w:hint="eastAsia"/>
          <w:sz w:val="28"/>
          <w:szCs w:val="28"/>
          <w:rtl/>
          <w:lang w:bidi="ar-LB"/>
        </w:rPr>
        <w:t>كل</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فرد،</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مسير</w:t>
      </w:r>
      <w:r w:rsidRPr="006571AC">
        <w:rPr>
          <w:rFonts w:cs="DanaFajr"/>
          <w:sz w:val="28"/>
          <w:szCs w:val="28"/>
          <w:rtl/>
          <w:lang w:bidi="ar-LB"/>
        </w:rPr>
        <w:t xml:space="preserve"> </w:t>
      </w:r>
      <w:r w:rsidRPr="006571AC">
        <w:rPr>
          <w:rFonts w:cs="DanaFajr" w:hint="eastAsia"/>
          <w:sz w:val="28"/>
          <w:szCs w:val="28"/>
          <w:rtl/>
          <w:lang w:bidi="ar-LB"/>
        </w:rPr>
        <w:t>تكامل</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هو</w:t>
      </w:r>
      <w:r w:rsidRPr="006571AC">
        <w:rPr>
          <w:rFonts w:cs="DanaFajr"/>
          <w:sz w:val="28"/>
          <w:szCs w:val="28"/>
          <w:rtl/>
          <w:lang w:bidi="ar-LB"/>
        </w:rPr>
        <w:t xml:space="preserve"> </w:t>
      </w:r>
      <w:r w:rsidRPr="006571AC">
        <w:rPr>
          <w:rFonts w:cs="DanaFajr" w:hint="eastAsia"/>
          <w:sz w:val="28"/>
          <w:szCs w:val="28"/>
          <w:rtl/>
          <w:lang w:bidi="ar-LB"/>
        </w:rPr>
        <w:t>بالذات</w:t>
      </w:r>
      <w:r w:rsidRPr="006571AC">
        <w:rPr>
          <w:rFonts w:cs="DanaFajr"/>
          <w:sz w:val="28"/>
          <w:szCs w:val="28"/>
          <w:rtl/>
          <w:lang w:bidi="ar-LB"/>
        </w:rPr>
        <w:t xml:space="preserve"> </w:t>
      </w:r>
      <w:r w:rsidRPr="006571AC">
        <w:rPr>
          <w:rFonts w:cs="DanaFajr" w:hint="eastAsia"/>
          <w:sz w:val="28"/>
          <w:szCs w:val="28"/>
          <w:rtl/>
          <w:lang w:bidi="ar-LB"/>
        </w:rPr>
        <w:t>مسؤولاً</w:t>
      </w:r>
      <w:r w:rsidRPr="006571AC">
        <w:rPr>
          <w:rFonts w:cs="DanaFajr"/>
          <w:sz w:val="28"/>
          <w:szCs w:val="28"/>
          <w:rtl/>
          <w:lang w:bidi="ar-LB"/>
        </w:rPr>
        <w:t xml:space="preserve"> </w:t>
      </w:r>
      <w:r w:rsidRPr="006571AC">
        <w:rPr>
          <w:rFonts w:cs="DanaFajr" w:hint="eastAsia"/>
          <w:sz w:val="28"/>
          <w:szCs w:val="28"/>
          <w:rtl/>
          <w:lang w:bidi="ar-LB"/>
        </w:rPr>
        <w:t>ومباشراً</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مجال</w:t>
      </w:r>
      <w:r w:rsidRPr="006571AC">
        <w:rPr>
          <w:rFonts w:cs="DanaFajr"/>
          <w:sz w:val="28"/>
          <w:szCs w:val="28"/>
          <w:rtl/>
          <w:lang w:bidi="ar-LB"/>
        </w:rPr>
        <w:t xml:space="preserve"> </w:t>
      </w:r>
      <w:r w:rsidRPr="006571AC">
        <w:rPr>
          <w:rFonts w:cs="DanaFajr" w:hint="eastAsia"/>
          <w:sz w:val="28"/>
          <w:szCs w:val="28"/>
          <w:rtl/>
          <w:lang w:bidi="ar-LB"/>
        </w:rPr>
        <w:t>نمو</w:t>
      </w:r>
      <w:r w:rsidRPr="006571AC">
        <w:rPr>
          <w:rFonts w:cs="DanaFajr" w:hint="cs"/>
          <w:sz w:val="28"/>
          <w:szCs w:val="28"/>
          <w:rtl/>
          <w:lang w:bidi="ar-LB"/>
        </w:rPr>
        <w:t xml:space="preserve">ّ </w:t>
      </w:r>
      <w:r w:rsidRPr="006571AC">
        <w:rPr>
          <w:rFonts w:cs="DanaFajr" w:hint="eastAsia"/>
          <w:sz w:val="28"/>
          <w:szCs w:val="28"/>
          <w:rtl/>
          <w:lang w:bidi="ar-LB"/>
        </w:rPr>
        <w:t>القيادة</w:t>
      </w:r>
      <w:r w:rsidRPr="006571AC">
        <w:rPr>
          <w:rFonts w:cs="DanaFajr"/>
          <w:sz w:val="28"/>
          <w:szCs w:val="28"/>
          <w:rtl/>
          <w:lang w:bidi="ar-LB"/>
        </w:rPr>
        <w:t xml:space="preserve"> </w:t>
      </w:r>
      <w:r w:rsidRPr="006571AC">
        <w:rPr>
          <w:rFonts w:cs="DanaFajr" w:hint="eastAsia"/>
          <w:sz w:val="28"/>
          <w:szCs w:val="28"/>
          <w:rtl/>
          <w:lang w:bidi="ar-LB"/>
        </w:rPr>
        <w:t>ونضجها،</w:t>
      </w:r>
      <w:r w:rsidRPr="006571AC">
        <w:rPr>
          <w:rFonts w:cs="DanaFajr"/>
          <w:sz w:val="28"/>
          <w:szCs w:val="28"/>
          <w:rtl/>
          <w:lang w:bidi="ar-LB"/>
        </w:rPr>
        <w:t xml:space="preserve"> </w:t>
      </w:r>
      <w:r w:rsidRPr="006571AC">
        <w:rPr>
          <w:rFonts w:cs="DanaFajr" w:hint="eastAsia"/>
          <w:sz w:val="28"/>
          <w:szCs w:val="28"/>
          <w:rtl/>
          <w:lang w:bidi="ar-LB"/>
        </w:rPr>
        <w:t>وهكذا</w:t>
      </w:r>
      <w:r w:rsidRPr="006571AC">
        <w:rPr>
          <w:rFonts w:cs="DanaFajr"/>
          <w:sz w:val="28"/>
          <w:szCs w:val="28"/>
          <w:rtl/>
          <w:lang w:bidi="ar-LB"/>
        </w:rPr>
        <w:t xml:space="preserve"> </w:t>
      </w:r>
      <w:r w:rsidRPr="006571AC">
        <w:rPr>
          <w:rFonts w:cs="DanaFajr" w:hint="eastAsia"/>
          <w:sz w:val="28"/>
          <w:szCs w:val="28"/>
          <w:rtl/>
          <w:lang w:bidi="ar-LB"/>
        </w:rPr>
        <w:t>تتحق</w:t>
      </w:r>
      <w:r w:rsidRPr="006571AC">
        <w:rPr>
          <w:rFonts w:cs="DanaFajr" w:hint="cs"/>
          <w:sz w:val="28"/>
          <w:szCs w:val="28"/>
          <w:rtl/>
          <w:lang w:bidi="ar-LB"/>
        </w:rPr>
        <w:t>َّ</w:t>
      </w:r>
      <w:r w:rsidRPr="006571AC">
        <w:rPr>
          <w:rFonts w:cs="DanaFajr" w:hint="eastAsia"/>
          <w:sz w:val="28"/>
          <w:szCs w:val="28"/>
          <w:rtl/>
          <w:lang w:bidi="ar-LB"/>
        </w:rPr>
        <w:t>ق</w:t>
      </w:r>
      <w:r w:rsidRPr="006571AC">
        <w:rPr>
          <w:rFonts w:cs="DanaFajr"/>
          <w:sz w:val="28"/>
          <w:szCs w:val="28"/>
          <w:rtl/>
          <w:lang w:bidi="ar-LB"/>
        </w:rPr>
        <w:t xml:space="preserve"> </w:t>
      </w:r>
      <w:r w:rsidRPr="006571AC">
        <w:rPr>
          <w:rFonts w:cs="DanaFajr" w:hint="eastAsia"/>
          <w:sz w:val="28"/>
          <w:szCs w:val="28"/>
          <w:rtl/>
          <w:lang w:bidi="ar-LB"/>
        </w:rPr>
        <w:t>حكومة</w:t>
      </w:r>
      <w:r w:rsidRPr="006571AC">
        <w:rPr>
          <w:rFonts w:cs="DanaFajr"/>
          <w:sz w:val="28"/>
          <w:szCs w:val="28"/>
          <w:rtl/>
          <w:lang w:bidi="ar-LB"/>
        </w:rPr>
        <w:t xml:space="preserve"> </w:t>
      </w:r>
      <w:r w:rsidRPr="006571AC">
        <w:rPr>
          <w:rFonts w:cs="DanaFajr" w:hint="eastAsia"/>
          <w:sz w:val="28"/>
          <w:szCs w:val="28"/>
          <w:rtl/>
          <w:lang w:bidi="ar-LB"/>
        </w:rPr>
        <w:t>المستضعفين</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الأرض</w:t>
      </w:r>
      <w:r w:rsidRPr="006571AC">
        <w:rPr>
          <w:rFonts w:cs="DanaFajr" w:hint="cs"/>
          <w:sz w:val="28"/>
          <w:szCs w:val="28"/>
          <w:rtl/>
          <w:lang w:bidi="ar-LB"/>
        </w:rPr>
        <w:t>:</w:t>
      </w:r>
      <w:r w:rsidRPr="006571AC">
        <w:rPr>
          <w:rFonts w:cs="DanaFajr"/>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وَنُرِيدُ</w:t>
      </w:r>
      <w:r w:rsidRPr="006571AC">
        <w:rPr>
          <w:rFonts w:cs="DanaFajr"/>
          <w:b/>
          <w:bCs/>
          <w:sz w:val="28"/>
          <w:szCs w:val="28"/>
          <w:rtl/>
          <w:lang w:bidi="ar-LB"/>
        </w:rPr>
        <w:t xml:space="preserve"> </w:t>
      </w:r>
      <w:r w:rsidRPr="006571AC">
        <w:rPr>
          <w:rFonts w:cs="DanaFajr" w:hint="eastAsia"/>
          <w:b/>
          <w:bCs/>
          <w:sz w:val="28"/>
          <w:szCs w:val="28"/>
          <w:rtl/>
          <w:lang w:bidi="ar-LB"/>
        </w:rPr>
        <w:t>أَنْ</w:t>
      </w:r>
      <w:r w:rsidRPr="006571AC">
        <w:rPr>
          <w:rFonts w:cs="DanaFajr"/>
          <w:b/>
          <w:bCs/>
          <w:sz w:val="28"/>
          <w:szCs w:val="28"/>
          <w:rtl/>
          <w:lang w:bidi="ar-LB"/>
        </w:rPr>
        <w:t xml:space="preserve"> </w:t>
      </w:r>
      <w:r w:rsidRPr="006571AC">
        <w:rPr>
          <w:rFonts w:cs="DanaFajr" w:hint="eastAsia"/>
          <w:b/>
          <w:bCs/>
          <w:sz w:val="28"/>
          <w:szCs w:val="28"/>
          <w:rtl/>
          <w:lang w:bidi="ar-LB"/>
        </w:rPr>
        <w:t>نَمُن</w:t>
      </w:r>
      <w:r w:rsidRPr="006571AC">
        <w:rPr>
          <w:rFonts w:cs="DanaFajr" w:hint="cs"/>
          <w:b/>
          <w:bCs/>
          <w:sz w:val="28"/>
          <w:szCs w:val="28"/>
          <w:rtl/>
          <w:lang w:bidi="ar-LB"/>
        </w:rPr>
        <w:t>َّ</w:t>
      </w:r>
      <w:r w:rsidRPr="006571AC">
        <w:rPr>
          <w:rFonts w:cs="DanaFajr"/>
          <w:b/>
          <w:bCs/>
          <w:sz w:val="28"/>
          <w:szCs w:val="28"/>
          <w:rtl/>
          <w:lang w:bidi="ar-LB"/>
        </w:rPr>
        <w:t xml:space="preserve"> </w:t>
      </w:r>
      <w:r w:rsidRPr="006571AC">
        <w:rPr>
          <w:rFonts w:cs="DanaFajr" w:hint="eastAsia"/>
          <w:b/>
          <w:bCs/>
          <w:sz w:val="28"/>
          <w:szCs w:val="28"/>
          <w:rtl/>
          <w:lang w:bidi="ar-LB"/>
        </w:rPr>
        <w:t>عَلَى</w:t>
      </w:r>
      <w:r w:rsidRPr="006571AC">
        <w:rPr>
          <w:rFonts w:cs="DanaFajr"/>
          <w:b/>
          <w:bCs/>
          <w:sz w:val="28"/>
          <w:szCs w:val="28"/>
          <w:rtl/>
          <w:lang w:bidi="ar-LB"/>
        </w:rPr>
        <w:t xml:space="preserve"> </w:t>
      </w:r>
      <w:r w:rsidRPr="006571AC">
        <w:rPr>
          <w:rFonts w:cs="DanaFajr" w:hint="eastAsia"/>
          <w:b/>
          <w:bCs/>
          <w:sz w:val="28"/>
          <w:szCs w:val="28"/>
          <w:rtl/>
          <w:lang w:bidi="ar-LB"/>
        </w:rPr>
        <w:t>ال</w:t>
      </w:r>
      <w:r w:rsidRPr="006571AC">
        <w:rPr>
          <w:rFonts w:cs="DanaFajr" w:hint="cs"/>
          <w:b/>
          <w:bCs/>
          <w:sz w:val="28"/>
          <w:szCs w:val="28"/>
          <w:rtl/>
          <w:lang w:bidi="ar-LB"/>
        </w:rPr>
        <w:t>َّ</w:t>
      </w:r>
      <w:r w:rsidRPr="006571AC">
        <w:rPr>
          <w:rFonts w:cs="DanaFajr" w:hint="eastAsia"/>
          <w:b/>
          <w:bCs/>
          <w:sz w:val="28"/>
          <w:szCs w:val="28"/>
          <w:rtl/>
          <w:lang w:bidi="ar-LB"/>
        </w:rPr>
        <w:t>ذِينَ</w:t>
      </w:r>
      <w:r w:rsidRPr="006571AC">
        <w:rPr>
          <w:rFonts w:cs="DanaFajr"/>
          <w:b/>
          <w:bCs/>
          <w:sz w:val="28"/>
          <w:szCs w:val="28"/>
          <w:rtl/>
          <w:lang w:bidi="ar-LB"/>
        </w:rPr>
        <w:t xml:space="preserve"> </w:t>
      </w:r>
      <w:r w:rsidRPr="006571AC">
        <w:rPr>
          <w:rFonts w:cs="DanaFajr" w:hint="eastAsia"/>
          <w:b/>
          <w:bCs/>
          <w:sz w:val="28"/>
          <w:szCs w:val="28"/>
          <w:rtl/>
          <w:lang w:bidi="ar-LB"/>
        </w:rPr>
        <w:t>اسْتُضْعِفُوا</w:t>
      </w:r>
      <w:r w:rsidRPr="006571AC">
        <w:rPr>
          <w:rFonts w:cs="DanaFajr"/>
          <w:b/>
          <w:bCs/>
          <w:sz w:val="28"/>
          <w:szCs w:val="28"/>
          <w:rtl/>
          <w:lang w:bidi="ar-LB"/>
        </w:rPr>
        <w:t xml:space="preserve"> </w:t>
      </w:r>
      <w:r w:rsidRPr="006571AC">
        <w:rPr>
          <w:rFonts w:cs="DanaFajr" w:hint="eastAsia"/>
          <w:b/>
          <w:bCs/>
          <w:sz w:val="28"/>
          <w:szCs w:val="28"/>
          <w:rtl/>
          <w:lang w:bidi="ar-LB"/>
        </w:rPr>
        <w:t>فِي</w:t>
      </w:r>
      <w:r w:rsidRPr="006571AC">
        <w:rPr>
          <w:rFonts w:cs="DanaFajr"/>
          <w:b/>
          <w:bCs/>
          <w:sz w:val="28"/>
          <w:szCs w:val="28"/>
          <w:rtl/>
          <w:lang w:bidi="ar-LB"/>
        </w:rPr>
        <w:t xml:space="preserve"> </w:t>
      </w:r>
      <w:r w:rsidRPr="006571AC">
        <w:rPr>
          <w:rFonts w:cs="DanaFajr" w:hint="eastAsia"/>
          <w:b/>
          <w:bCs/>
          <w:sz w:val="28"/>
          <w:szCs w:val="28"/>
          <w:rtl/>
          <w:lang w:bidi="ar-LB"/>
        </w:rPr>
        <w:t>الأَرْضِ</w:t>
      </w:r>
      <w:r w:rsidRPr="006571AC">
        <w:rPr>
          <w:rFonts w:cs="DanaFajr"/>
          <w:b/>
          <w:bCs/>
          <w:sz w:val="28"/>
          <w:szCs w:val="28"/>
          <w:rtl/>
          <w:lang w:bidi="ar-LB"/>
        </w:rPr>
        <w:t xml:space="preserve"> </w:t>
      </w:r>
      <w:r w:rsidRPr="006571AC">
        <w:rPr>
          <w:rFonts w:cs="DanaFajr" w:hint="eastAsia"/>
          <w:b/>
          <w:bCs/>
          <w:sz w:val="28"/>
          <w:szCs w:val="28"/>
          <w:rtl/>
          <w:lang w:bidi="ar-LB"/>
        </w:rPr>
        <w:t>وَنَجْعَلَهُمْ</w:t>
      </w:r>
      <w:r w:rsidRPr="006571AC">
        <w:rPr>
          <w:rFonts w:cs="DanaFajr"/>
          <w:b/>
          <w:bCs/>
          <w:sz w:val="28"/>
          <w:szCs w:val="28"/>
          <w:rtl/>
          <w:lang w:bidi="ar-LB"/>
        </w:rPr>
        <w:t xml:space="preserve"> </w:t>
      </w:r>
      <w:r w:rsidRPr="006571AC">
        <w:rPr>
          <w:rFonts w:cs="DanaFajr" w:hint="eastAsia"/>
          <w:b/>
          <w:bCs/>
          <w:sz w:val="28"/>
          <w:szCs w:val="28"/>
          <w:rtl/>
          <w:lang w:bidi="ar-LB"/>
        </w:rPr>
        <w:t>أَئِم</w:t>
      </w:r>
      <w:r w:rsidRPr="006571AC">
        <w:rPr>
          <w:rFonts w:cs="DanaFajr" w:hint="cs"/>
          <w:b/>
          <w:bCs/>
          <w:sz w:val="28"/>
          <w:szCs w:val="28"/>
          <w:rtl/>
          <w:lang w:bidi="ar-LB"/>
        </w:rPr>
        <w:t>َّ</w:t>
      </w:r>
      <w:r w:rsidRPr="006571AC">
        <w:rPr>
          <w:rFonts w:cs="DanaFajr" w:hint="eastAsia"/>
          <w:b/>
          <w:bCs/>
          <w:sz w:val="28"/>
          <w:szCs w:val="28"/>
          <w:rtl/>
          <w:lang w:bidi="ar-LB"/>
        </w:rPr>
        <w:t>ةً</w:t>
      </w:r>
      <w:r w:rsidRPr="006571AC">
        <w:rPr>
          <w:rFonts w:cs="DanaFajr"/>
          <w:b/>
          <w:bCs/>
          <w:sz w:val="28"/>
          <w:szCs w:val="28"/>
          <w:rtl/>
          <w:lang w:bidi="ar-LB"/>
        </w:rPr>
        <w:t xml:space="preserve"> </w:t>
      </w:r>
      <w:r w:rsidRPr="006571AC">
        <w:rPr>
          <w:rFonts w:cs="DanaFajr" w:hint="eastAsia"/>
          <w:b/>
          <w:bCs/>
          <w:sz w:val="28"/>
          <w:szCs w:val="28"/>
          <w:rtl/>
          <w:lang w:bidi="ar-LB"/>
        </w:rPr>
        <w:t>وَنَجْعَلَهُمُ</w:t>
      </w:r>
      <w:r w:rsidRPr="006571AC">
        <w:rPr>
          <w:rFonts w:cs="DanaFajr"/>
          <w:b/>
          <w:bCs/>
          <w:sz w:val="28"/>
          <w:szCs w:val="28"/>
          <w:rtl/>
          <w:lang w:bidi="ar-LB"/>
        </w:rPr>
        <w:t xml:space="preserve"> </w:t>
      </w:r>
      <w:r w:rsidRPr="006571AC">
        <w:rPr>
          <w:rFonts w:cs="DanaFajr" w:hint="eastAsia"/>
          <w:b/>
          <w:bCs/>
          <w:sz w:val="28"/>
          <w:szCs w:val="28"/>
          <w:rtl/>
          <w:lang w:bidi="ar-LB"/>
        </w:rPr>
        <w:t>الْوَارِثِينَ</w:t>
      </w:r>
      <w:r w:rsidRPr="006571AC">
        <w:rPr>
          <w:rFonts w:ascii="Mosawi" w:hAnsi="Mosawi" w:cs="Mosawi"/>
          <w:sz w:val="22"/>
          <w:szCs w:val="22"/>
          <w:rtl/>
        </w:rPr>
        <w:t>﴾</w:t>
      </w:r>
      <w:r w:rsidRPr="006571AC">
        <w:rPr>
          <w:sz w:val="22"/>
          <w:szCs w:val="22"/>
          <w:rtl/>
          <w:lang w:bidi="ar-LB"/>
        </w:rPr>
        <w:t>»</w:t>
      </w:r>
      <w:r w:rsidRPr="006571AC">
        <w:rPr>
          <w:rFonts w:cs="DanaFajr"/>
          <w:sz w:val="28"/>
          <w:szCs w:val="28"/>
          <w:rtl/>
          <w:lang w:bidi="ar-LB"/>
        </w:rPr>
        <w:t>.</w:t>
      </w:r>
    </w:p>
  </w:endnote>
  <w:endnote w:id="32">
    <w:p w:rsidR="00DB2356" w:rsidRPr="006571AC" w:rsidRDefault="00DB2356" w:rsidP="00166320">
      <w:pPr>
        <w:pStyle w:val="aa"/>
        <w:spacing w:line="306" w:lineRule="exact"/>
        <w:ind w:firstLine="0"/>
        <w:rPr>
          <w:rFonts w:cs="DanaFajr"/>
          <w:sz w:val="28"/>
          <w:szCs w:val="28"/>
          <w:rtl/>
          <w:lang w:bidi="fa-IR"/>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 xml:space="preserve">الخميني، صحيفة الإمام 3: 507، </w:t>
      </w:r>
      <w:r w:rsidRPr="006571AC">
        <w:rPr>
          <w:rFonts w:cs="DanaFajr" w:hint="cs"/>
          <w:sz w:val="28"/>
          <w:szCs w:val="28"/>
          <w:rtl/>
          <w:lang w:bidi="fa-IR"/>
        </w:rPr>
        <w:t>مؤسّسة تنظيم ونشر آثار الإمام الخميني، طهران، ط1، 1378هـ.ش.</w:t>
      </w:r>
    </w:p>
  </w:endnote>
  <w:endnote w:id="33">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المصدر السابق 6: 10.</w:t>
      </w:r>
    </w:p>
  </w:endnote>
  <w:endnote w:id="34">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lang w:bidi="ar-LB"/>
        </w:rPr>
        <w:t>المصدر السابق 18: 367.</w:t>
      </w:r>
    </w:p>
  </w:endnote>
  <w:endnote w:id="35">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sz w:val="28"/>
          <w:szCs w:val="28"/>
          <w:rtl/>
        </w:rPr>
        <w:t xml:space="preserve"> </w:t>
      </w:r>
      <w:r w:rsidRPr="006571AC">
        <w:rPr>
          <w:rFonts w:cs="DanaFajr" w:hint="cs"/>
          <w:sz w:val="28"/>
          <w:szCs w:val="28"/>
          <w:rtl/>
          <w:lang w:bidi="ar-LB"/>
        </w:rPr>
        <w:t>المصدر السابق 9: 304.</w:t>
      </w:r>
    </w:p>
  </w:endnote>
  <w:endnote w:id="36">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sz w:val="28"/>
          <w:szCs w:val="28"/>
          <w:rtl/>
        </w:rPr>
        <w:t xml:space="preserve"> </w:t>
      </w:r>
      <w:r w:rsidRPr="006571AC">
        <w:rPr>
          <w:rFonts w:cs="DanaFajr" w:hint="cs"/>
          <w:sz w:val="28"/>
          <w:szCs w:val="28"/>
          <w:rtl/>
          <w:lang w:bidi="ar-LB"/>
        </w:rPr>
        <w:t>المصدر السابق 3: 503؛ 5: 243.</w:t>
      </w:r>
    </w:p>
  </w:endnote>
  <w:endnote w:id="37">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hint="cs"/>
          <w:sz w:val="28"/>
          <w:szCs w:val="28"/>
          <w:rtl/>
          <w:lang w:bidi="ar-LB"/>
        </w:rPr>
        <w:t xml:space="preserve"> </w:t>
      </w:r>
      <w:r w:rsidRPr="006571AC">
        <w:rPr>
          <w:rFonts w:cs="DanaFajr"/>
          <w:sz w:val="28"/>
          <w:szCs w:val="28"/>
          <w:rtl/>
        </w:rPr>
        <w:t>ليپست</w:t>
      </w:r>
      <w:r w:rsidRPr="006571AC">
        <w:rPr>
          <w:rFonts w:cs="DanaFajr" w:hint="cs"/>
          <w:sz w:val="28"/>
          <w:szCs w:val="28"/>
          <w:rtl/>
        </w:rPr>
        <w:t xml:space="preserve">، </w:t>
      </w:r>
      <w:r w:rsidRPr="006571AC">
        <w:rPr>
          <w:rFonts w:cs="DanaFajr"/>
          <w:sz w:val="28"/>
          <w:szCs w:val="28"/>
          <w:rtl/>
        </w:rPr>
        <w:t>دايرة المعارف دموكراس</w:t>
      </w:r>
      <w:r w:rsidRPr="006571AC">
        <w:rPr>
          <w:rFonts w:cs="DanaFajr" w:hint="cs"/>
          <w:sz w:val="28"/>
          <w:szCs w:val="28"/>
          <w:rtl/>
        </w:rPr>
        <w:t>ي (</w:t>
      </w:r>
      <w:r w:rsidRPr="006571AC">
        <w:rPr>
          <w:rFonts w:cs="DanaFajr" w:hint="cs"/>
          <w:sz w:val="28"/>
          <w:szCs w:val="28"/>
          <w:rtl/>
          <w:lang w:bidi="fa-IR"/>
        </w:rPr>
        <w:t xml:space="preserve">موسوعة الديمقراطية) </w:t>
      </w:r>
      <w:r w:rsidRPr="006571AC">
        <w:rPr>
          <w:rFonts w:cs="DanaFajr" w:hint="cs"/>
          <w:sz w:val="28"/>
          <w:szCs w:val="28"/>
          <w:rtl/>
          <w:lang w:bidi="ar-LB"/>
        </w:rPr>
        <w:t>1: 221.</w:t>
      </w:r>
    </w:p>
  </w:endnote>
  <w:endnote w:id="38">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hint="cs"/>
          <w:sz w:val="28"/>
          <w:szCs w:val="28"/>
          <w:rtl/>
          <w:lang w:bidi="ar-LB"/>
        </w:rPr>
        <w:t xml:space="preserve"> </w:t>
      </w:r>
      <w:r w:rsidRPr="006571AC">
        <w:rPr>
          <w:rFonts w:cs="DanaFajr"/>
          <w:sz w:val="28"/>
          <w:szCs w:val="28"/>
          <w:rtl/>
        </w:rPr>
        <w:t>بش</w:t>
      </w:r>
      <w:r w:rsidRPr="006571AC">
        <w:rPr>
          <w:rFonts w:cs="DanaFajr" w:hint="cs"/>
          <w:sz w:val="28"/>
          <w:szCs w:val="28"/>
          <w:rtl/>
        </w:rPr>
        <w:t>ي</w:t>
      </w:r>
      <w:r w:rsidRPr="006571AC">
        <w:rPr>
          <w:rFonts w:cs="DanaFajr"/>
          <w:sz w:val="28"/>
          <w:szCs w:val="28"/>
          <w:rtl/>
        </w:rPr>
        <w:t>ر</w:t>
      </w:r>
      <w:r w:rsidRPr="006571AC">
        <w:rPr>
          <w:rFonts w:cs="DanaFajr" w:hint="cs"/>
          <w:sz w:val="28"/>
          <w:szCs w:val="28"/>
          <w:rtl/>
        </w:rPr>
        <w:t>ي</w:t>
      </w:r>
      <w:r w:rsidRPr="006571AC">
        <w:rPr>
          <w:rFonts w:cs="DanaFajr"/>
          <w:sz w:val="28"/>
          <w:szCs w:val="28"/>
          <w:rtl/>
        </w:rPr>
        <w:t>ه</w:t>
      </w:r>
      <w:r w:rsidRPr="006571AC">
        <w:rPr>
          <w:rFonts w:cs="DanaFajr" w:hint="cs"/>
          <w:sz w:val="28"/>
          <w:szCs w:val="28"/>
          <w:rtl/>
        </w:rPr>
        <w:t>،</w:t>
      </w:r>
      <w:r w:rsidRPr="006571AC">
        <w:rPr>
          <w:rFonts w:cs="DanaFajr"/>
          <w:sz w:val="28"/>
          <w:szCs w:val="28"/>
          <w:rtl/>
        </w:rPr>
        <w:t xml:space="preserve"> درسه</w:t>
      </w:r>
      <w:r w:rsidRPr="006571AC">
        <w:rPr>
          <w:rFonts w:cs="DanaFajr" w:hint="cs"/>
          <w:sz w:val="28"/>
          <w:szCs w:val="28"/>
          <w:rtl/>
        </w:rPr>
        <w:t>اي</w:t>
      </w:r>
      <w:r w:rsidRPr="006571AC">
        <w:rPr>
          <w:rFonts w:cs="DanaFajr"/>
          <w:sz w:val="28"/>
          <w:szCs w:val="28"/>
          <w:rtl/>
        </w:rPr>
        <w:t xml:space="preserve"> دموکراس</w:t>
      </w:r>
      <w:r w:rsidRPr="006571AC">
        <w:rPr>
          <w:rFonts w:cs="DanaFajr" w:hint="cs"/>
          <w:sz w:val="28"/>
          <w:szCs w:val="28"/>
          <w:rtl/>
        </w:rPr>
        <w:t>ي</w:t>
      </w:r>
      <w:r w:rsidRPr="006571AC">
        <w:rPr>
          <w:rFonts w:cs="DanaFajr"/>
          <w:sz w:val="28"/>
          <w:szCs w:val="28"/>
          <w:rtl/>
        </w:rPr>
        <w:t xml:space="preserve"> برا</w:t>
      </w:r>
      <w:r w:rsidRPr="006571AC">
        <w:rPr>
          <w:rFonts w:cs="DanaFajr" w:hint="cs"/>
          <w:sz w:val="28"/>
          <w:szCs w:val="28"/>
          <w:rtl/>
        </w:rPr>
        <w:t>ي</w:t>
      </w:r>
      <w:r w:rsidRPr="006571AC">
        <w:rPr>
          <w:rFonts w:cs="DanaFajr"/>
          <w:sz w:val="28"/>
          <w:szCs w:val="28"/>
          <w:rtl/>
        </w:rPr>
        <w:t xml:space="preserve"> همه</w:t>
      </w:r>
      <w:r w:rsidRPr="006571AC">
        <w:rPr>
          <w:rFonts w:cs="DanaFajr" w:hint="cs"/>
          <w:sz w:val="28"/>
          <w:szCs w:val="28"/>
          <w:rtl/>
          <w:lang w:bidi="fa-IR"/>
        </w:rPr>
        <w:t xml:space="preserve"> (دروس في الديمقراطية للجميع</w:t>
      </w:r>
      <w:r w:rsidRPr="006571AC">
        <w:rPr>
          <w:rFonts w:cs="DanaFajr" w:hint="cs"/>
          <w:sz w:val="28"/>
          <w:szCs w:val="28"/>
          <w:rtl/>
        </w:rPr>
        <w:t>): 27.</w:t>
      </w:r>
    </w:p>
  </w:endnote>
  <w:endnote w:id="39">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hint="cs"/>
          <w:sz w:val="28"/>
          <w:szCs w:val="28"/>
          <w:rtl/>
        </w:rPr>
        <w:t xml:space="preserve"> </w:t>
      </w:r>
      <w:r w:rsidRPr="006571AC">
        <w:rPr>
          <w:rFonts w:cs="DanaFajr"/>
          <w:sz w:val="28"/>
          <w:szCs w:val="28"/>
          <w:rtl/>
        </w:rPr>
        <w:t>حم</w:t>
      </w:r>
      <w:r w:rsidRPr="006571AC">
        <w:rPr>
          <w:rFonts w:cs="DanaFajr" w:hint="cs"/>
          <w:sz w:val="28"/>
          <w:szCs w:val="28"/>
          <w:rtl/>
        </w:rPr>
        <w:t>ي</w:t>
      </w:r>
      <w:r w:rsidRPr="006571AC">
        <w:rPr>
          <w:rFonts w:cs="DanaFajr"/>
          <w:sz w:val="28"/>
          <w:szCs w:val="28"/>
          <w:rtl/>
        </w:rPr>
        <w:t>د پا</w:t>
      </w:r>
      <w:r w:rsidRPr="006571AC">
        <w:rPr>
          <w:rFonts w:cs="DanaFajr" w:hint="cs"/>
          <w:sz w:val="28"/>
          <w:szCs w:val="28"/>
          <w:rtl/>
        </w:rPr>
        <w:t>ي</w:t>
      </w:r>
      <w:r w:rsidRPr="006571AC">
        <w:rPr>
          <w:rFonts w:cs="DanaFajr"/>
          <w:sz w:val="28"/>
          <w:szCs w:val="28"/>
          <w:rtl/>
        </w:rPr>
        <w:t xml:space="preserve">دار، پارادوکس </w:t>
      </w:r>
      <w:r w:rsidRPr="006571AC">
        <w:rPr>
          <w:rFonts w:cs="DanaFajr" w:hint="cs"/>
          <w:sz w:val="28"/>
          <w:szCs w:val="28"/>
          <w:rtl/>
        </w:rPr>
        <w:t>إ</w:t>
      </w:r>
      <w:r w:rsidRPr="006571AC">
        <w:rPr>
          <w:rFonts w:cs="DanaFajr"/>
          <w:sz w:val="28"/>
          <w:szCs w:val="28"/>
          <w:rtl/>
        </w:rPr>
        <w:t>سلام ودموکراس</w:t>
      </w:r>
      <w:r w:rsidRPr="006571AC">
        <w:rPr>
          <w:rFonts w:cs="DanaFajr" w:hint="cs"/>
          <w:sz w:val="28"/>
          <w:szCs w:val="28"/>
          <w:rtl/>
        </w:rPr>
        <w:t>ي (مفارقة الإسلام والديمقراطية): 23</w:t>
      </w:r>
      <w:r w:rsidRPr="006571AC">
        <w:rPr>
          <w:rFonts w:cs="DanaFajr"/>
          <w:sz w:val="28"/>
          <w:szCs w:val="28"/>
          <w:rtl/>
        </w:rPr>
        <w:t xml:space="preserve">، </w:t>
      </w:r>
      <w:r w:rsidRPr="006571AC">
        <w:rPr>
          <w:rFonts w:cs="DanaFajr" w:hint="cs"/>
          <w:sz w:val="28"/>
          <w:szCs w:val="28"/>
          <w:rtl/>
        </w:rPr>
        <w:t>صحيفة</w:t>
      </w:r>
      <w:r w:rsidRPr="006571AC">
        <w:rPr>
          <w:rFonts w:cs="DanaFajr"/>
          <w:sz w:val="28"/>
          <w:szCs w:val="28"/>
          <w:rtl/>
        </w:rPr>
        <w:t xml:space="preserve"> ک</w:t>
      </w:r>
      <w:r w:rsidRPr="006571AC">
        <w:rPr>
          <w:rFonts w:cs="DanaFajr" w:hint="cs"/>
          <w:sz w:val="28"/>
          <w:szCs w:val="28"/>
          <w:rtl/>
        </w:rPr>
        <w:t>ي</w:t>
      </w:r>
      <w:r w:rsidRPr="006571AC">
        <w:rPr>
          <w:rFonts w:cs="DanaFajr"/>
          <w:sz w:val="28"/>
          <w:szCs w:val="28"/>
          <w:rtl/>
        </w:rPr>
        <w:t xml:space="preserve">ان، </w:t>
      </w:r>
      <w:r w:rsidRPr="006571AC">
        <w:rPr>
          <w:rFonts w:cs="DanaFajr" w:hint="cs"/>
          <w:sz w:val="28"/>
          <w:szCs w:val="28"/>
          <w:rtl/>
        </w:rPr>
        <w:t>العدد</w:t>
      </w:r>
      <w:r w:rsidRPr="006571AC">
        <w:rPr>
          <w:rFonts w:cs="DanaFajr"/>
          <w:sz w:val="28"/>
          <w:szCs w:val="28"/>
          <w:rtl/>
        </w:rPr>
        <w:t xml:space="preserve"> 19</w:t>
      </w:r>
      <w:r w:rsidRPr="006571AC">
        <w:rPr>
          <w:rFonts w:cs="DanaFajr" w:hint="cs"/>
          <w:sz w:val="28"/>
          <w:szCs w:val="28"/>
          <w:rtl/>
        </w:rPr>
        <w:t xml:space="preserve">، </w:t>
      </w:r>
      <w:r w:rsidRPr="006571AC">
        <w:rPr>
          <w:rFonts w:cs="DanaFajr"/>
          <w:sz w:val="28"/>
          <w:szCs w:val="28"/>
          <w:rtl/>
        </w:rPr>
        <w:t>خرداد</w:t>
      </w:r>
      <w:r w:rsidRPr="006571AC">
        <w:rPr>
          <w:rFonts w:cs="DanaFajr" w:hint="cs"/>
          <w:sz w:val="28"/>
          <w:szCs w:val="28"/>
          <w:rtl/>
        </w:rPr>
        <w:t xml:space="preserve"> 1373هـ.ش.</w:t>
      </w:r>
    </w:p>
  </w:endnote>
  <w:endnote w:id="40">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hint="cs"/>
          <w:sz w:val="28"/>
          <w:szCs w:val="28"/>
          <w:rtl/>
        </w:rPr>
        <w:t xml:space="preserve"> </w:t>
      </w:r>
      <w:r w:rsidRPr="006571AC">
        <w:rPr>
          <w:rFonts w:cs="DanaFajr"/>
          <w:sz w:val="28"/>
          <w:szCs w:val="28"/>
          <w:rtl/>
        </w:rPr>
        <w:t>مصطفى ملكيان</w:t>
      </w:r>
      <w:r w:rsidRPr="006571AC">
        <w:rPr>
          <w:rFonts w:cs="DanaFajr" w:hint="cs"/>
          <w:sz w:val="28"/>
          <w:szCs w:val="28"/>
          <w:rtl/>
        </w:rPr>
        <w:t xml:space="preserve"> </w:t>
      </w:r>
      <w:r w:rsidRPr="006571AC">
        <w:rPr>
          <w:rFonts w:ascii="Mosawi" w:hAnsi="Mosawi" w:cs="Abz-3 (Yagut)" w:hint="cs"/>
          <w:rtl/>
          <w:lang w:val="x-none" w:eastAsia="x-none"/>
        </w:rPr>
        <w:t>وديگران</w:t>
      </w:r>
      <w:r w:rsidRPr="006571AC">
        <w:rPr>
          <w:rFonts w:cs="DanaFajr" w:hint="cs"/>
          <w:sz w:val="28"/>
          <w:szCs w:val="28"/>
          <w:rtl/>
        </w:rPr>
        <w:t>،</w:t>
      </w:r>
      <w:r w:rsidRPr="006571AC">
        <w:rPr>
          <w:rFonts w:cs="DanaFajr"/>
          <w:sz w:val="28"/>
          <w:szCs w:val="28"/>
          <w:rtl/>
        </w:rPr>
        <w:t xml:space="preserve"> سن</w:t>
      </w:r>
      <w:r w:rsidRPr="006571AC">
        <w:rPr>
          <w:rFonts w:cs="DanaFajr" w:hint="cs"/>
          <w:sz w:val="28"/>
          <w:szCs w:val="28"/>
          <w:rtl/>
        </w:rPr>
        <w:t>ّ</w:t>
      </w:r>
      <w:r w:rsidRPr="006571AC">
        <w:rPr>
          <w:rFonts w:cs="DanaFajr"/>
          <w:sz w:val="28"/>
          <w:szCs w:val="28"/>
          <w:rtl/>
        </w:rPr>
        <w:t>ت وسكولاريسم</w:t>
      </w:r>
      <w:r w:rsidRPr="006571AC">
        <w:rPr>
          <w:rFonts w:cs="DanaFajr" w:hint="cs"/>
          <w:sz w:val="28"/>
          <w:szCs w:val="28"/>
          <w:rtl/>
          <w:lang w:bidi="ar-LB"/>
        </w:rPr>
        <w:t xml:space="preserve"> (التراث والعلمانية): 250</w:t>
      </w:r>
      <w:r w:rsidRPr="006571AC">
        <w:rPr>
          <w:rFonts w:cs="DanaFajr"/>
          <w:sz w:val="28"/>
          <w:szCs w:val="28"/>
          <w:rtl/>
        </w:rPr>
        <w:t xml:space="preserve">، </w:t>
      </w:r>
      <w:r w:rsidRPr="006571AC">
        <w:rPr>
          <w:rFonts w:cs="DanaFajr" w:hint="cs"/>
          <w:sz w:val="28"/>
          <w:szCs w:val="28"/>
          <w:rtl/>
        </w:rPr>
        <w:t>منشورات الصراط، طهران، ط2، 1382هـ.ش</w:t>
      </w:r>
      <w:r w:rsidRPr="006571AC">
        <w:rPr>
          <w:rFonts w:cs="DanaFajr" w:hint="cs"/>
          <w:sz w:val="28"/>
          <w:szCs w:val="28"/>
          <w:rtl/>
          <w:lang w:bidi="ar-LB"/>
        </w:rPr>
        <w:t xml:space="preserve">؛ </w:t>
      </w:r>
      <w:r w:rsidRPr="006571AC">
        <w:rPr>
          <w:rFonts w:cs="DanaFajr"/>
          <w:sz w:val="28"/>
          <w:szCs w:val="28"/>
          <w:rtl/>
        </w:rPr>
        <w:t>محمد سروش</w:t>
      </w:r>
      <w:r w:rsidRPr="006571AC">
        <w:rPr>
          <w:rFonts w:cs="DanaFajr" w:hint="cs"/>
          <w:sz w:val="28"/>
          <w:szCs w:val="28"/>
          <w:rtl/>
        </w:rPr>
        <w:t xml:space="preserve"> محلاّتي</w:t>
      </w:r>
      <w:r w:rsidRPr="006571AC">
        <w:rPr>
          <w:rFonts w:cs="DanaFajr"/>
          <w:sz w:val="28"/>
          <w:szCs w:val="28"/>
          <w:rtl/>
        </w:rPr>
        <w:t>، د</w:t>
      </w:r>
      <w:r w:rsidRPr="006571AC">
        <w:rPr>
          <w:rFonts w:cs="DanaFajr" w:hint="cs"/>
          <w:sz w:val="28"/>
          <w:szCs w:val="28"/>
          <w:rtl/>
        </w:rPr>
        <w:t>ي</w:t>
      </w:r>
      <w:r w:rsidRPr="006571AC">
        <w:rPr>
          <w:rFonts w:cs="DanaFajr"/>
          <w:sz w:val="28"/>
          <w:szCs w:val="28"/>
          <w:rtl/>
        </w:rPr>
        <w:t xml:space="preserve">ن ودولت در </w:t>
      </w:r>
      <w:r w:rsidRPr="006571AC">
        <w:rPr>
          <w:rFonts w:cs="DanaFajr" w:hint="cs"/>
          <w:sz w:val="28"/>
          <w:szCs w:val="28"/>
          <w:rtl/>
        </w:rPr>
        <w:t>أ</w:t>
      </w:r>
      <w:r w:rsidRPr="006571AC">
        <w:rPr>
          <w:rFonts w:cs="DanaFajr"/>
          <w:sz w:val="28"/>
          <w:szCs w:val="28"/>
          <w:rtl/>
        </w:rPr>
        <w:t>ند</w:t>
      </w:r>
      <w:r w:rsidRPr="006571AC">
        <w:rPr>
          <w:rFonts w:cs="DanaFajr" w:hint="cs"/>
          <w:sz w:val="28"/>
          <w:szCs w:val="28"/>
          <w:rtl/>
        </w:rPr>
        <w:t>ي</w:t>
      </w:r>
      <w:r w:rsidRPr="006571AC">
        <w:rPr>
          <w:rFonts w:cs="DanaFajr"/>
          <w:sz w:val="28"/>
          <w:szCs w:val="28"/>
          <w:rtl/>
        </w:rPr>
        <w:t xml:space="preserve">شه </w:t>
      </w:r>
      <w:r w:rsidRPr="006571AC">
        <w:rPr>
          <w:rFonts w:cs="DanaFajr" w:hint="cs"/>
          <w:sz w:val="28"/>
          <w:szCs w:val="28"/>
          <w:rtl/>
        </w:rPr>
        <w:t>إ</w:t>
      </w:r>
      <w:r w:rsidRPr="006571AC">
        <w:rPr>
          <w:rFonts w:cs="DanaFajr"/>
          <w:sz w:val="28"/>
          <w:szCs w:val="28"/>
          <w:rtl/>
        </w:rPr>
        <w:t>سلام</w:t>
      </w:r>
      <w:r w:rsidRPr="006571AC">
        <w:rPr>
          <w:rFonts w:cs="DanaFajr" w:hint="cs"/>
          <w:sz w:val="28"/>
          <w:szCs w:val="28"/>
          <w:rtl/>
        </w:rPr>
        <w:t>ي</w:t>
      </w:r>
      <w:r w:rsidRPr="006571AC">
        <w:rPr>
          <w:rFonts w:cs="DanaFajr" w:hint="cs"/>
          <w:sz w:val="28"/>
          <w:szCs w:val="28"/>
          <w:rtl/>
          <w:lang w:bidi="ar-LB"/>
        </w:rPr>
        <w:t xml:space="preserve"> (الدين والدولة في الفكر الإسلامي): 119</w:t>
      </w:r>
      <w:r w:rsidRPr="006571AC">
        <w:rPr>
          <w:rFonts w:cs="DanaFajr" w:hint="cs"/>
          <w:sz w:val="28"/>
          <w:szCs w:val="28"/>
          <w:rtl/>
        </w:rPr>
        <w:t>، مؤسسة التبليغ الإسلامي،</w:t>
      </w:r>
      <w:r w:rsidRPr="006571AC">
        <w:rPr>
          <w:rFonts w:cs="DanaFajr" w:hint="eastAsia"/>
          <w:sz w:val="28"/>
          <w:szCs w:val="28"/>
          <w:rtl/>
        </w:rPr>
        <w:t xml:space="preserve"> قم،</w:t>
      </w:r>
      <w:r w:rsidRPr="006571AC">
        <w:rPr>
          <w:rFonts w:cs="DanaFajr"/>
          <w:sz w:val="28"/>
          <w:szCs w:val="28"/>
          <w:rtl/>
        </w:rPr>
        <w:t xml:space="preserve"> </w:t>
      </w:r>
      <w:r w:rsidRPr="006571AC">
        <w:rPr>
          <w:rFonts w:cs="DanaFajr" w:hint="cs"/>
          <w:sz w:val="28"/>
          <w:szCs w:val="28"/>
          <w:rtl/>
        </w:rPr>
        <w:t>ط1، 1378هـ.ش</w:t>
      </w:r>
      <w:r w:rsidRPr="006571AC">
        <w:rPr>
          <w:rFonts w:cs="DanaFajr" w:hint="cs"/>
          <w:sz w:val="28"/>
          <w:szCs w:val="28"/>
          <w:rtl/>
          <w:lang w:bidi="ar-LB"/>
        </w:rPr>
        <w:t>.</w:t>
      </w:r>
    </w:p>
  </w:endnote>
  <w:endnote w:id="41">
    <w:p w:rsidR="00DB2356" w:rsidRPr="006571AC" w:rsidRDefault="00DB2356" w:rsidP="00A52D5C">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hint="cs"/>
          <w:sz w:val="28"/>
          <w:szCs w:val="28"/>
          <w:rtl/>
        </w:rPr>
        <w:t xml:space="preserve"> فضل الله النوري، </w:t>
      </w:r>
      <w:r w:rsidRPr="006571AC">
        <w:rPr>
          <w:rFonts w:cs="DanaFajr"/>
          <w:sz w:val="28"/>
          <w:szCs w:val="28"/>
          <w:rtl/>
        </w:rPr>
        <w:t>رساله حرمت مشروطه</w:t>
      </w:r>
      <w:r w:rsidRPr="006571AC">
        <w:rPr>
          <w:rFonts w:cs="DanaFajr" w:hint="cs"/>
          <w:sz w:val="28"/>
          <w:szCs w:val="28"/>
          <w:rtl/>
        </w:rPr>
        <w:t xml:space="preserve"> (رسالة حرمة المشروطة): 154، طُبعت في</w:t>
      </w:r>
      <w:r w:rsidRPr="006571AC">
        <w:rPr>
          <w:rFonts w:cs="DanaFajr"/>
          <w:sz w:val="28"/>
          <w:szCs w:val="28"/>
          <w:rtl/>
        </w:rPr>
        <w:t xml:space="preserve"> رسائل مشروطيت،</w:t>
      </w:r>
      <w:r w:rsidRPr="006571AC">
        <w:rPr>
          <w:rFonts w:cs="DanaFajr" w:hint="cs"/>
          <w:sz w:val="28"/>
          <w:szCs w:val="28"/>
          <w:rtl/>
        </w:rPr>
        <w:t xml:space="preserve"> إعداد: غلام حسين </w:t>
      </w:r>
      <w:r w:rsidRPr="006571AC">
        <w:rPr>
          <w:rFonts w:ascii="Mosawi" w:hAnsi="Mosawi" w:cs="Abz-3 (Yagut)" w:hint="cs"/>
          <w:rtl/>
          <w:lang w:val="x-none" w:eastAsia="x-none"/>
        </w:rPr>
        <w:t>زرگري</w:t>
      </w:r>
      <w:r w:rsidRPr="006571AC">
        <w:rPr>
          <w:rFonts w:cs="DanaFajr" w:hint="cs"/>
          <w:sz w:val="28"/>
          <w:szCs w:val="28"/>
          <w:rtl/>
        </w:rPr>
        <w:t xml:space="preserve"> نژاد، کوير، طهران، ط2، 1377هـ.ش.</w:t>
      </w:r>
    </w:p>
  </w:endnote>
  <w:endnote w:id="42">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hint="cs"/>
          <w:sz w:val="28"/>
          <w:szCs w:val="28"/>
          <w:rtl/>
        </w:rPr>
        <w:t xml:space="preserve"> </w:t>
      </w:r>
      <w:r w:rsidRPr="006571AC">
        <w:rPr>
          <w:rFonts w:cs="DanaFajr"/>
          <w:sz w:val="28"/>
          <w:szCs w:val="28"/>
          <w:rtl/>
        </w:rPr>
        <w:t>محمد حسين</w:t>
      </w:r>
      <w:r w:rsidRPr="006571AC">
        <w:rPr>
          <w:rFonts w:cs="DanaFajr" w:hint="cs"/>
          <w:sz w:val="28"/>
          <w:szCs w:val="28"/>
          <w:rtl/>
        </w:rPr>
        <w:t xml:space="preserve"> ال</w:t>
      </w:r>
      <w:r w:rsidRPr="006571AC">
        <w:rPr>
          <w:rFonts w:cs="DanaFajr"/>
          <w:sz w:val="28"/>
          <w:szCs w:val="28"/>
          <w:rtl/>
        </w:rPr>
        <w:t>نائين</w:t>
      </w:r>
      <w:r w:rsidRPr="006571AC">
        <w:rPr>
          <w:rFonts w:cs="DanaFajr" w:hint="cs"/>
          <w:sz w:val="28"/>
          <w:szCs w:val="28"/>
          <w:rtl/>
        </w:rPr>
        <w:t>ي، تنبيه الأمّة وتنـزيه الملّة: 86</w:t>
      </w:r>
      <w:r w:rsidRPr="006571AC">
        <w:rPr>
          <w:rFonts w:cs="DanaFajr"/>
          <w:sz w:val="28"/>
          <w:szCs w:val="28"/>
          <w:rtl/>
        </w:rPr>
        <w:t>، تصحيح وتحقيق</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ال</w:t>
      </w:r>
      <w:r w:rsidRPr="006571AC">
        <w:rPr>
          <w:rFonts w:cs="DanaFajr"/>
          <w:sz w:val="28"/>
          <w:szCs w:val="28"/>
          <w:rtl/>
        </w:rPr>
        <w:t>سيد</w:t>
      </w:r>
      <w:r w:rsidRPr="006571AC">
        <w:rPr>
          <w:rFonts w:cs="DanaFajr" w:hint="cs"/>
          <w:sz w:val="28"/>
          <w:szCs w:val="28"/>
          <w:rtl/>
        </w:rPr>
        <w:t xml:space="preserve"> </w:t>
      </w:r>
      <w:r w:rsidRPr="006571AC">
        <w:rPr>
          <w:rFonts w:cs="DanaFajr"/>
          <w:sz w:val="28"/>
          <w:szCs w:val="28"/>
          <w:rtl/>
        </w:rPr>
        <w:t>جواد ورع</w:t>
      </w:r>
      <w:r w:rsidRPr="006571AC">
        <w:rPr>
          <w:rFonts w:cs="DanaFajr" w:hint="cs"/>
          <w:sz w:val="28"/>
          <w:szCs w:val="28"/>
          <w:rtl/>
        </w:rPr>
        <w:t>ي</w:t>
      </w:r>
      <w:r w:rsidRPr="006571AC">
        <w:rPr>
          <w:rFonts w:cs="DanaFajr"/>
          <w:sz w:val="28"/>
          <w:szCs w:val="28"/>
          <w:rtl/>
        </w:rPr>
        <w:t>، بوستان كتاب،</w:t>
      </w:r>
      <w:r w:rsidRPr="006571AC">
        <w:rPr>
          <w:rFonts w:cs="DanaFajr" w:hint="cs"/>
          <w:sz w:val="28"/>
          <w:szCs w:val="28"/>
          <w:rtl/>
        </w:rPr>
        <w:t xml:space="preserve"> قم، ط1</w:t>
      </w:r>
      <w:r w:rsidRPr="006571AC">
        <w:rPr>
          <w:rFonts w:cs="DanaFajr" w:hint="eastAsia"/>
          <w:sz w:val="28"/>
          <w:szCs w:val="28"/>
          <w:rtl/>
        </w:rPr>
        <w:t>،</w:t>
      </w:r>
      <w:r w:rsidRPr="006571AC">
        <w:rPr>
          <w:rFonts w:cs="DanaFajr"/>
          <w:sz w:val="28"/>
          <w:szCs w:val="28"/>
          <w:rtl/>
        </w:rPr>
        <w:t xml:space="preserve"> 1382</w:t>
      </w:r>
      <w:r w:rsidRPr="006571AC">
        <w:rPr>
          <w:rFonts w:cs="DanaFajr" w:hint="cs"/>
          <w:sz w:val="28"/>
          <w:szCs w:val="28"/>
          <w:rtl/>
        </w:rPr>
        <w:t>هـ.ش.</w:t>
      </w:r>
    </w:p>
  </w:endnote>
  <w:endnote w:id="43">
    <w:p w:rsidR="00DB2356" w:rsidRPr="006571AC" w:rsidRDefault="00DB2356" w:rsidP="00A52D5C">
      <w:pPr>
        <w:pStyle w:val="aa"/>
        <w:spacing w:line="306" w:lineRule="exact"/>
        <w:ind w:firstLine="0"/>
        <w:rPr>
          <w:rFonts w:cs="DanaFajr"/>
          <w:sz w:val="28"/>
          <w:szCs w:val="28"/>
          <w:rtl/>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hint="cs"/>
          <w:sz w:val="28"/>
          <w:szCs w:val="28"/>
          <w:rtl/>
          <w:lang w:bidi="ar-LB"/>
        </w:rPr>
        <w:t xml:space="preserve"> </w:t>
      </w:r>
      <w:r w:rsidRPr="006571AC">
        <w:rPr>
          <w:rFonts w:cs="DanaFajr"/>
          <w:sz w:val="28"/>
          <w:szCs w:val="28"/>
          <w:rtl/>
          <w:lang w:bidi="ar-LB"/>
        </w:rPr>
        <w:t>السيد محمد حسين</w:t>
      </w:r>
      <w:r w:rsidRPr="006571AC">
        <w:rPr>
          <w:rFonts w:cs="DanaFajr" w:hint="cs"/>
          <w:sz w:val="28"/>
          <w:szCs w:val="28"/>
          <w:rtl/>
          <w:lang w:bidi="ar-LB"/>
        </w:rPr>
        <w:t xml:space="preserve"> الطباطبائي، الميزان في تفسير القرآن، 4: 105</w:t>
      </w:r>
      <w:r w:rsidRPr="006571AC">
        <w:rPr>
          <w:rFonts w:cs="DanaFajr" w:hint="cs"/>
          <w:sz w:val="28"/>
          <w:szCs w:val="28"/>
          <w:rtl/>
        </w:rPr>
        <w:t>‏، قم، مؤسسة النشر الإسلامي التابعة لجماعة المدرِّسين في قم،</w:t>
      </w:r>
      <w:r w:rsidRPr="006571AC">
        <w:rPr>
          <w:rFonts w:cs="DanaFajr"/>
          <w:sz w:val="28"/>
          <w:szCs w:val="28"/>
          <w:rtl/>
        </w:rPr>
        <w:t xml:space="preserve"> </w:t>
      </w:r>
      <w:r w:rsidRPr="006571AC">
        <w:rPr>
          <w:rFonts w:cs="DanaFajr" w:hint="cs"/>
          <w:sz w:val="28"/>
          <w:szCs w:val="28"/>
          <w:rtl/>
        </w:rPr>
        <w:t>قم‏، ط5، 1417هـ</w:t>
      </w:r>
      <w:r w:rsidRPr="006571AC">
        <w:rPr>
          <w:rFonts w:cs="DanaFajr" w:hint="cs"/>
          <w:sz w:val="28"/>
          <w:szCs w:val="28"/>
          <w:rtl/>
          <w:lang w:bidi="ar-LB"/>
        </w:rPr>
        <w:t xml:space="preserve">؛ الطباطبائي، </w:t>
      </w:r>
      <w:r w:rsidRPr="006571AC">
        <w:rPr>
          <w:rFonts w:cs="DanaFajr"/>
          <w:sz w:val="28"/>
          <w:szCs w:val="28"/>
          <w:rtl/>
        </w:rPr>
        <w:t>بررس</w:t>
      </w:r>
      <w:r w:rsidRPr="006571AC">
        <w:rPr>
          <w:rFonts w:cs="DanaFajr" w:hint="cs"/>
          <w:sz w:val="28"/>
          <w:szCs w:val="28"/>
          <w:rtl/>
        </w:rPr>
        <w:t xml:space="preserve">ي </w:t>
      </w:r>
      <w:r w:rsidRPr="006571AC">
        <w:rPr>
          <w:rFonts w:cs="DanaFajr"/>
          <w:sz w:val="28"/>
          <w:szCs w:val="28"/>
          <w:rtl/>
        </w:rPr>
        <w:t>ها</w:t>
      </w:r>
      <w:r w:rsidRPr="006571AC">
        <w:rPr>
          <w:rFonts w:cs="DanaFajr" w:hint="cs"/>
          <w:sz w:val="28"/>
          <w:szCs w:val="28"/>
          <w:rtl/>
        </w:rPr>
        <w:t>ى</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سلام</w:t>
      </w:r>
      <w:r w:rsidRPr="006571AC">
        <w:rPr>
          <w:rFonts w:cs="DanaFajr" w:hint="cs"/>
          <w:sz w:val="28"/>
          <w:szCs w:val="28"/>
          <w:rtl/>
        </w:rPr>
        <w:t>ي</w:t>
      </w:r>
      <w:r w:rsidRPr="006571AC">
        <w:rPr>
          <w:rFonts w:cs="DanaFajr" w:hint="cs"/>
          <w:sz w:val="28"/>
          <w:szCs w:val="28"/>
          <w:rtl/>
          <w:lang w:bidi="ar-LB"/>
        </w:rPr>
        <w:t xml:space="preserve"> (دراسات إسلامية): 182</w:t>
      </w:r>
      <w:r w:rsidRPr="006571AC">
        <w:rPr>
          <w:rFonts w:cs="DanaFajr"/>
          <w:sz w:val="28"/>
          <w:szCs w:val="28"/>
          <w:rtl/>
        </w:rPr>
        <w:t xml:space="preserve">، </w:t>
      </w:r>
      <w:r w:rsidRPr="006571AC">
        <w:rPr>
          <w:rFonts w:cs="DanaFajr" w:hint="cs"/>
          <w:sz w:val="28"/>
          <w:szCs w:val="28"/>
          <w:rtl/>
        </w:rPr>
        <w:t>مؤسسة التبليغ الإسلامي،</w:t>
      </w:r>
      <w:r w:rsidRPr="006571AC">
        <w:rPr>
          <w:rFonts w:cs="DanaFajr" w:hint="eastAsia"/>
          <w:sz w:val="28"/>
          <w:szCs w:val="28"/>
          <w:rtl/>
        </w:rPr>
        <w:t xml:space="preserve"> قم،</w:t>
      </w:r>
      <w:r w:rsidRPr="006571AC">
        <w:rPr>
          <w:rFonts w:cs="DanaFajr"/>
          <w:sz w:val="28"/>
          <w:szCs w:val="28"/>
          <w:rtl/>
        </w:rPr>
        <w:t xml:space="preserve"> </w:t>
      </w:r>
      <w:r w:rsidRPr="006571AC">
        <w:rPr>
          <w:rFonts w:cs="DanaFajr" w:hint="cs"/>
          <w:sz w:val="28"/>
          <w:szCs w:val="28"/>
          <w:rtl/>
        </w:rPr>
        <w:t>ط1، 1396هـ</w:t>
      </w:r>
      <w:r w:rsidRPr="006571AC">
        <w:rPr>
          <w:rFonts w:cs="DanaFajr" w:hint="cs"/>
          <w:sz w:val="28"/>
          <w:szCs w:val="28"/>
          <w:rtl/>
          <w:lang w:bidi="ar-LB"/>
        </w:rPr>
        <w:t>.</w:t>
      </w:r>
    </w:p>
  </w:endnote>
  <w:endnote w:id="44">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hint="cs"/>
          <w:sz w:val="28"/>
          <w:szCs w:val="28"/>
          <w:rtl/>
          <w:lang w:bidi="ar-LB"/>
        </w:rPr>
        <w:t xml:space="preserve"> </w:t>
      </w:r>
      <w:r w:rsidRPr="006571AC">
        <w:rPr>
          <w:rFonts w:cs="DanaFajr" w:hint="cs"/>
          <w:sz w:val="28"/>
          <w:szCs w:val="28"/>
          <w:rtl/>
        </w:rPr>
        <w:t>لطف الله</w:t>
      </w:r>
      <w:r w:rsidRPr="006571AC">
        <w:rPr>
          <w:rFonts w:cs="DanaFajr" w:hint="eastAsia"/>
          <w:sz w:val="28"/>
          <w:szCs w:val="28"/>
          <w:rtl/>
        </w:rPr>
        <w:t xml:space="preserve"> الصافي</w:t>
      </w:r>
      <w:r w:rsidRPr="006571AC">
        <w:rPr>
          <w:rFonts w:cs="DanaFajr"/>
          <w:sz w:val="28"/>
          <w:szCs w:val="28"/>
          <w:rtl/>
        </w:rPr>
        <w:t xml:space="preserve"> </w:t>
      </w:r>
      <w:r w:rsidRPr="006571AC">
        <w:rPr>
          <w:rFonts w:ascii="Mosawi" w:hAnsi="Mosawi" w:cs="Abz-3 (Yagut)" w:hint="eastAsia"/>
          <w:rtl/>
          <w:lang w:val="x-none" w:eastAsia="x-none"/>
        </w:rPr>
        <w:t>الگلبايگاني</w:t>
      </w:r>
      <w:r w:rsidRPr="006571AC">
        <w:rPr>
          <w:rFonts w:cs="DanaFajr" w:hint="cs"/>
          <w:sz w:val="28"/>
          <w:szCs w:val="28"/>
          <w:rtl/>
        </w:rPr>
        <w:t>، سلسله مباحث إمامت ومهدويّت (</w:t>
      </w:r>
      <w:r w:rsidRPr="006571AC">
        <w:rPr>
          <w:rFonts w:cs="DanaFajr" w:hint="eastAsia"/>
          <w:sz w:val="28"/>
          <w:szCs w:val="28"/>
          <w:rtl/>
        </w:rPr>
        <w:t>سلسل</w:t>
      </w:r>
      <w:r w:rsidRPr="006571AC">
        <w:rPr>
          <w:rFonts w:cs="DanaFajr" w:hint="cs"/>
          <w:sz w:val="28"/>
          <w:szCs w:val="28"/>
          <w:rtl/>
        </w:rPr>
        <w:t>ة</w:t>
      </w:r>
      <w:r w:rsidRPr="006571AC">
        <w:rPr>
          <w:rFonts w:cs="DanaFajr"/>
          <w:sz w:val="28"/>
          <w:szCs w:val="28"/>
          <w:rtl/>
        </w:rPr>
        <w:t xml:space="preserve"> </w:t>
      </w:r>
      <w:r w:rsidRPr="006571AC">
        <w:rPr>
          <w:rFonts w:cs="DanaFajr" w:hint="eastAsia"/>
          <w:sz w:val="28"/>
          <w:szCs w:val="28"/>
          <w:rtl/>
        </w:rPr>
        <w:t>مباحث</w:t>
      </w:r>
      <w:r w:rsidRPr="006571AC">
        <w:rPr>
          <w:rFonts w:cs="DanaFajr"/>
          <w:sz w:val="28"/>
          <w:szCs w:val="28"/>
          <w:rtl/>
        </w:rPr>
        <w:t xml:space="preserve"> </w:t>
      </w:r>
      <w:r w:rsidRPr="006571AC">
        <w:rPr>
          <w:rFonts w:cs="DanaFajr" w:hint="cs"/>
          <w:sz w:val="28"/>
          <w:szCs w:val="28"/>
          <w:rtl/>
        </w:rPr>
        <w:t>في الإمامة</w:t>
      </w:r>
      <w:r w:rsidRPr="006571AC">
        <w:rPr>
          <w:rFonts w:cs="DanaFajr"/>
          <w:sz w:val="28"/>
          <w:szCs w:val="28"/>
          <w:rtl/>
        </w:rPr>
        <w:t xml:space="preserve"> </w:t>
      </w:r>
      <w:r w:rsidRPr="006571AC">
        <w:rPr>
          <w:rFonts w:cs="DanaFajr" w:hint="eastAsia"/>
          <w:sz w:val="28"/>
          <w:szCs w:val="28"/>
          <w:rtl/>
        </w:rPr>
        <w:t>و</w:t>
      </w:r>
      <w:r w:rsidRPr="006571AC">
        <w:rPr>
          <w:rFonts w:cs="DanaFajr" w:hint="cs"/>
          <w:sz w:val="28"/>
          <w:szCs w:val="28"/>
          <w:rtl/>
        </w:rPr>
        <w:t>ال</w:t>
      </w:r>
      <w:r w:rsidRPr="006571AC">
        <w:rPr>
          <w:rFonts w:cs="DanaFajr" w:hint="eastAsia"/>
          <w:sz w:val="28"/>
          <w:szCs w:val="28"/>
          <w:rtl/>
        </w:rPr>
        <w:t>مهدوي</w:t>
      </w:r>
      <w:r w:rsidRPr="006571AC">
        <w:rPr>
          <w:rFonts w:cs="DanaFajr" w:hint="cs"/>
          <w:sz w:val="28"/>
          <w:szCs w:val="28"/>
          <w:rtl/>
        </w:rPr>
        <w:t>ة) 1: 295، دار القرآن الكريم، قم، ط5.</w:t>
      </w:r>
    </w:p>
  </w:endnote>
  <w:endnote w:id="45">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ناصر مكارم الشيرازي، تفسير</w:t>
      </w:r>
      <w:r w:rsidRPr="006571AC">
        <w:rPr>
          <w:rFonts w:cs="DanaFajr"/>
          <w:sz w:val="28"/>
          <w:szCs w:val="28"/>
          <w:rtl/>
        </w:rPr>
        <w:t xml:space="preserve"> </w:t>
      </w:r>
      <w:r w:rsidRPr="006571AC">
        <w:rPr>
          <w:rFonts w:cs="DanaFajr" w:hint="cs"/>
          <w:sz w:val="28"/>
          <w:szCs w:val="28"/>
          <w:rtl/>
        </w:rPr>
        <w:t>نمونه (الأمثل في تفسير كتاب الله المُنْزَل) 5: 416.</w:t>
      </w:r>
    </w:p>
  </w:endnote>
  <w:endnote w:id="46">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lang w:bidi="ar-LB"/>
        </w:rPr>
        <w:t>الطهراني، ولاية الفقيه في الحكومة الإسلامية 1: 137</w:t>
      </w:r>
      <w:r w:rsidRPr="006571AC">
        <w:rPr>
          <w:rFonts w:cs="DanaFajr" w:hint="cs"/>
          <w:sz w:val="28"/>
          <w:szCs w:val="28"/>
          <w:rtl/>
        </w:rPr>
        <w:t>.</w:t>
      </w:r>
    </w:p>
  </w:endnote>
  <w:endnote w:id="47">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المصدر السابق 1: 221.</w:t>
      </w:r>
    </w:p>
  </w:endnote>
  <w:endnote w:id="48">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lang w:bidi="ar-LB"/>
        </w:rPr>
        <w:t>المصدر السابق 3: 187.</w:t>
      </w:r>
    </w:p>
  </w:endnote>
  <w:endnote w:id="49">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المصدر السابق 3: 197.</w:t>
      </w:r>
    </w:p>
  </w:endnote>
  <w:endnote w:id="50">
    <w:p w:rsidR="00DB2356" w:rsidRPr="006571AC" w:rsidRDefault="00DB2356" w:rsidP="00166320">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rPr>
        <w:t>المصدر السابق 3: 205.</w:t>
      </w:r>
    </w:p>
  </w:endnote>
  <w:endnote w:id="51">
    <w:p w:rsidR="00DB2356" w:rsidRPr="006571AC" w:rsidRDefault="00DB2356" w:rsidP="00166320">
      <w:pPr>
        <w:pStyle w:val="aa"/>
        <w:spacing w:line="306" w:lineRule="exact"/>
        <w:ind w:firstLine="0"/>
        <w:rPr>
          <w:rFonts w:cs="DanaFajr"/>
          <w:sz w:val="28"/>
          <w:szCs w:val="28"/>
          <w:rtl/>
        </w:rPr>
      </w:pPr>
      <w:r w:rsidRPr="006571AC">
        <w:rPr>
          <w:rFonts w:cs="DanaFajr"/>
          <w:sz w:val="28"/>
          <w:szCs w:val="28"/>
          <w:rtl/>
          <w:lang w:bidi="ar-LB"/>
        </w:rPr>
        <w:t>(</w:t>
      </w:r>
      <w:r w:rsidRPr="006571AC">
        <w:rPr>
          <w:rStyle w:val="ac"/>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 xml:space="preserve">مصطفى كواكبيان، دموکراسي در نظام ولايت فقيه (الديمقراطية في نظام ولاية الفقيه): 82 </w:t>
      </w:r>
      <w:r w:rsidRPr="006571AC">
        <w:rPr>
          <w:rFonts w:cs="DanaFajr"/>
          <w:sz w:val="28"/>
          <w:szCs w:val="28"/>
          <w:rtl/>
        </w:rPr>
        <w:t>ـ</w:t>
      </w:r>
      <w:r w:rsidRPr="006571AC">
        <w:rPr>
          <w:rFonts w:cs="DanaFajr" w:hint="cs"/>
          <w:sz w:val="28"/>
          <w:szCs w:val="28"/>
          <w:rtl/>
        </w:rPr>
        <w:t xml:space="preserve"> 84، مؤسّسة التبليغ الإسلامي، طهران، ط1، 1370هـ.ش.</w:t>
      </w:r>
    </w:p>
  </w:endnote>
  <w:endnote w:id="52">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السيد محمود الشاهرودي</w:t>
      </w:r>
      <w:r w:rsidRPr="006571AC">
        <w:rPr>
          <w:rFonts w:cs="DanaFajr" w:hint="cs"/>
          <w:sz w:val="28"/>
          <w:szCs w:val="28"/>
          <w:rtl/>
        </w:rPr>
        <w:t>،</w:t>
      </w:r>
      <w:r w:rsidRPr="006571AC">
        <w:rPr>
          <w:rFonts w:cs="DanaFajr"/>
          <w:sz w:val="28"/>
          <w:szCs w:val="28"/>
          <w:rtl/>
        </w:rPr>
        <w:t xml:space="preserve"> بحوث في علم الأصول</w:t>
      </w:r>
      <w:r w:rsidRPr="006571AC">
        <w:rPr>
          <w:rFonts w:cs="DanaFajr" w:hint="cs"/>
          <w:sz w:val="28"/>
          <w:szCs w:val="28"/>
          <w:rtl/>
        </w:rPr>
        <w:t>،</w:t>
      </w:r>
      <w:r w:rsidRPr="006571AC">
        <w:rPr>
          <w:rFonts w:cs="DanaFajr"/>
          <w:sz w:val="28"/>
          <w:szCs w:val="28"/>
          <w:rtl/>
        </w:rPr>
        <w:t xml:space="preserve"> مؤسسة دائرة معارف الفقه الإسلامي، قم، ط3، ١٤٢٦</w:t>
      </w:r>
      <w:r w:rsidRPr="006571AC">
        <w:rPr>
          <w:rFonts w:cs="DanaFajr" w:hint="cs"/>
          <w:sz w:val="28"/>
          <w:szCs w:val="28"/>
          <w:rtl/>
        </w:rPr>
        <w:t>هـ</w:t>
      </w:r>
      <w:r w:rsidRPr="006571AC">
        <w:rPr>
          <w:rFonts w:cs="DanaFajr"/>
          <w:sz w:val="28"/>
          <w:szCs w:val="28"/>
          <w:rtl/>
        </w:rPr>
        <w:t xml:space="preserve">. </w:t>
      </w:r>
    </w:p>
  </w:endnote>
  <w:endnote w:id="53">
    <w:p w:rsidR="00DB2356" w:rsidRPr="006571AC" w:rsidRDefault="00DB2356" w:rsidP="00ED1ECC">
      <w:pPr>
        <w:pStyle w:val="aa"/>
        <w:spacing w:line="306" w:lineRule="exact"/>
        <w:ind w:firstLine="0"/>
        <w:rPr>
          <w:rFonts w:cs="DanaFajr"/>
          <w:sz w:val="28"/>
          <w:szCs w:val="28"/>
          <w:rtl/>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 xml:space="preserve">) </w:t>
      </w:r>
      <w:r w:rsidRPr="006571AC">
        <w:rPr>
          <w:rFonts w:cs="DanaFajr"/>
          <w:sz w:val="28"/>
          <w:szCs w:val="28"/>
          <w:rtl/>
        </w:rPr>
        <w:t>محمد حسن الآش</w:t>
      </w:r>
      <w:r w:rsidRPr="006571AC">
        <w:rPr>
          <w:rFonts w:cs="DanaFajr" w:hint="cs"/>
          <w:sz w:val="28"/>
          <w:szCs w:val="28"/>
          <w:rtl/>
        </w:rPr>
        <w:t>ت</w:t>
      </w:r>
      <w:r w:rsidRPr="006571AC">
        <w:rPr>
          <w:rFonts w:cs="DanaFajr"/>
          <w:sz w:val="28"/>
          <w:szCs w:val="28"/>
          <w:rtl/>
        </w:rPr>
        <w:t>ياني</w:t>
      </w:r>
      <w:r w:rsidRPr="006571AC">
        <w:rPr>
          <w:rFonts w:cs="DanaFajr" w:hint="cs"/>
          <w:sz w:val="28"/>
          <w:szCs w:val="28"/>
          <w:rtl/>
        </w:rPr>
        <w:t>،</w:t>
      </w:r>
      <w:r w:rsidRPr="006571AC">
        <w:rPr>
          <w:rFonts w:cs="DanaFajr"/>
          <w:sz w:val="28"/>
          <w:szCs w:val="28"/>
          <w:rtl/>
        </w:rPr>
        <w:t xml:space="preserve"> بحر الفوائد في شرح الفرائد ٣: ٥١١، </w:t>
      </w:r>
      <w:r w:rsidRPr="006571AC">
        <w:rPr>
          <w:rFonts w:cs="DanaFajr" w:hint="cs"/>
          <w:sz w:val="28"/>
          <w:szCs w:val="28"/>
          <w:rtl/>
        </w:rPr>
        <w:t xml:space="preserve">منشورات </w:t>
      </w:r>
      <w:r w:rsidRPr="006571AC">
        <w:rPr>
          <w:rFonts w:cs="DanaFajr"/>
          <w:sz w:val="28"/>
          <w:szCs w:val="28"/>
          <w:rtl/>
        </w:rPr>
        <w:t>ذوي القربى، قم، ط1، ١٣٨٨هـ.ش</w:t>
      </w:r>
      <w:r w:rsidRPr="006571AC">
        <w:rPr>
          <w:rFonts w:cs="DanaFajr" w:hint="cs"/>
          <w:sz w:val="28"/>
          <w:szCs w:val="28"/>
          <w:rtl/>
        </w:rPr>
        <w:t>؛</w:t>
      </w:r>
      <w:r w:rsidRPr="006571AC">
        <w:rPr>
          <w:rFonts w:cs="DanaFajr"/>
          <w:sz w:val="28"/>
          <w:szCs w:val="28"/>
          <w:rtl/>
        </w:rPr>
        <w:t xml:space="preserve"> موسى التبريزي، أوثق الوسائل في شرح الوسائل: ٣٥٩، كتبي نجفي، ط1، ١٣٦٩هـ.ش. </w:t>
      </w:r>
    </w:p>
  </w:endnote>
  <w:endnote w:id="54">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مرتضى الأنصاري، الاجتهاد والتقليد: ٥٤، مكتبة المفيد، قم، ط1</w:t>
      </w:r>
      <w:r w:rsidRPr="006571AC">
        <w:rPr>
          <w:rFonts w:cs="DanaFajr" w:hint="cs"/>
          <w:sz w:val="28"/>
          <w:szCs w:val="28"/>
          <w:rtl/>
        </w:rPr>
        <w:t>،</w:t>
      </w:r>
      <w:r w:rsidRPr="006571AC">
        <w:rPr>
          <w:rFonts w:cs="DanaFajr"/>
          <w:sz w:val="28"/>
          <w:szCs w:val="28"/>
          <w:rtl/>
        </w:rPr>
        <w:t xml:space="preserve"> ١٤٠٤</w:t>
      </w:r>
      <w:r w:rsidRPr="006571AC">
        <w:rPr>
          <w:rFonts w:cs="DanaFajr" w:hint="cs"/>
          <w:sz w:val="28"/>
          <w:szCs w:val="28"/>
          <w:rtl/>
        </w:rPr>
        <w:t xml:space="preserve">؛ </w:t>
      </w:r>
      <w:r w:rsidRPr="006571AC">
        <w:rPr>
          <w:rFonts w:cs="DanaFajr"/>
          <w:sz w:val="28"/>
          <w:szCs w:val="28"/>
          <w:rtl/>
        </w:rPr>
        <w:t xml:space="preserve">السيد تقي الطباطبائي القمّي، آراؤنا ١: ٣٨١، انتشارات محلاتي، قم، ط1، ١٣٧١هـ.ش. </w:t>
      </w:r>
    </w:p>
  </w:endnote>
  <w:endnote w:id="55">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إسحاق الفيّاض، الأراضي: ١٨٠، دار الكتاب، قم، ط1، ١٤٠١</w:t>
      </w:r>
      <w:r w:rsidRPr="006571AC">
        <w:rPr>
          <w:rFonts w:cs="DanaFajr" w:hint="cs"/>
          <w:sz w:val="28"/>
          <w:szCs w:val="28"/>
          <w:rtl/>
        </w:rPr>
        <w:t xml:space="preserve">هـ؛ </w:t>
      </w:r>
      <w:r w:rsidRPr="006571AC">
        <w:rPr>
          <w:rFonts w:cs="DanaFajr"/>
          <w:sz w:val="28"/>
          <w:szCs w:val="28"/>
          <w:rtl/>
        </w:rPr>
        <w:t>محمد باقر ال</w:t>
      </w:r>
      <w:r w:rsidRPr="006571AC">
        <w:rPr>
          <w:rFonts w:cs="DanaFajr" w:hint="cs"/>
          <w:sz w:val="28"/>
          <w:szCs w:val="28"/>
          <w:rtl/>
        </w:rPr>
        <w:t>إ</w:t>
      </w:r>
      <w:r w:rsidRPr="006571AC">
        <w:rPr>
          <w:rFonts w:cs="DanaFajr"/>
          <w:sz w:val="28"/>
          <w:szCs w:val="28"/>
          <w:rtl/>
        </w:rPr>
        <w:t>يرواني، دروس تمهيدية في الفقه الاستدلالي على المذهب الجعفري ٣: ٢٠١، قم، ط1، ١٤٢٧</w:t>
      </w:r>
      <w:r w:rsidRPr="006571AC">
        <w:rPr>
          <w:rFonts w:cs="DanaFajr" w:hint="cs"/>
          <w:sz w:val="28"/>
          <w:szCs w:val="28"/>
          <w:rtl/>
        </w:rPr>
        <w:t>هـ</w:t>
      </w:r>
      <w:r w:rsidRPr="006571AC">
        <w:rPr>
          <w:rFonts w:cs="DanaFajr"/>
          <w:sz w:val="28"/>
          <w:szCs w:val="28"/>
          <w:rtl/>
        </w:rPr>
        <w:t xml:space="preserve">. </w:t>
      </w:r>
    </w:p>
  </w:endnote>
  <w:endnote w:id="56">
    <w:p w:rsidR="00DB2356" w:rsidRPr="006571AC" w:rsidRDefault="00DB2356" w:rsidP="00803C5D">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السيد محمد حسين الطباطبائي، حاشية على الكفاية: ٢٠٦، </w:t>
      </w:r>
      <w:r w:rsidRPr="006571AC">
        <w:rPr>
          <w:rFonts w:cs="DanaFajr" w:hint="cs"/>
          <w:sz w:val="28"/>
          <w:szCs w:val="28"/>
          <w:rtl/>
          <w:lang w:bidi="ar"/>
        </w:rPr>
        <w:t>المؤسسة العلمية والفكرية للعلاّمة الطباطبائي</w:t>
      </w:r>
      <w:r w:rsidRPr="006571AC">
        <w:rPr>
          <w:rFonts w:cs="DanaFajr"/>
          <w:sz w:val="28"/>
          <w:szCs w:val="28"/>
          <w:rtl/>
        </w:rPr>
        <w:t xml:space="preserve">. </w:t>
      </w:r>
    </w:p>
  </w:endnote>
  <w:endnote w:id="57">
    <w:p w:rsidR="00DB2356" w:rsidRPr="006571AC" w:rsidRDefault="00DB2356" w:rsidP="00803C5D">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السيد روح الله الخميني، الاجتهاد والتقليد: ٨١ </w:t>
      </w:r>
      <w:r w:rsidRPr="006571AC">
        <w:rPr>
          <w:rFonts w:cs="DanaFajr" w:hint="cs"/>
          <w:sz w:val="28"/>
          <w:szCs w:val="28"/>
          <w:rtl/>
        </w:rPr>
        <w:t xml:space="preserve">ـ </w:t>
      </w:r>
      <w:r w:rsidRPr="006571AC">
        <w:rPr>
          <w:rFonts w:cs="DanaFajr"/>
          <w:sz w:val="28"/>
          <w:szCs w:val="28"/>
          <w:rtl/>
        </w:rPr>
        <w:t>٨٢، مؤسّس</w:t>
      </w:r>
      <w:r w:rsidRPr="006571AC">
        <w:rPr>
          <w:rFonts w:cs="DanaFajr" w:hint="cs"/>
          <w:sz w:val="28"/>
          <w:szCs w:val="28"/>
          <w:rtl/>
        </w:rPr>
        <w:t>ة</w:t>
      </w:r>
      <w:r w:rsidRPr="006571AC">
        <w:rPr>
          <w:rFonts w:cs="DanaFajr"/>
          <w:sz w:val="28"/>
          <w:szCs w:val="28"/>
          <w:rtl/>
        </w:rPr>
        <w:t xml:space="preserve"> </w:t>
      </w:r>
      <w:r w:rsidRPr="006571AC">
        <w:rPr>
          <w:rFonts w:cs="DanaFajr" w:hint="cs"/>
          <w:sz w:val="28"/>
          <w:szCs w:val="28"/>
          <w:rtl/>
        </w:rPr>
        <w:t>ت</w:t>
      </w:r>
      <w:r w:rsidRPr="006571AC">
        <w:rPr>
          <w:rFonts w:cs="DanaFajr"/>
          <w:sz w:val="28"/>
          <w:szCs w:val="28"/>
          <w:rtl/>
        </w:rPr>
        <w:t xml:space="preserve">نظيم ونشر آثار </w:t>
      </w:r>
      <w:r w:rsidRPr="006571AC">
        <w:rPr>
          <w:rFonts w:cs="DanaFajr" w:hint="cs"/>
          <w:sz w:val="28"/>
          <w:szCs w:val="28"/>
          <w:rtl/>
        </w:rPr>
        <w:t>الإمام</w:t>
      </w:r>
      <w:r w:rsidRPr="006571AC">
        <w:rPr>
          <w:rFonts w:cs="DanaFajr"/>
          <w:sz w:val="28"/>
          <w:szCs w:val="28"/>
          <w:rtl/>
        </w:rPr>
        <w:t xml:space="preserve"> </w:t>
      </w:r>
      <w:r w:rsidRPr="006571AC">
        <w:rPr>
          <w:rFonts w:cs="DanaFajr" w:hint="cs"/>
          <w:sz w:val="28"/>
          <w:szCs w:val="28"/>
          <w:rtl/>
        </w:rPr>
        <w:t>الخميني</w:t>
      </w:r>
      <w:r w:rsidRPr="006571AC">
        <w:rPr>
          <w:rFonts w:cs="DanaFajr"/>
          <w:sz w:val="28"/>
          <w:szCs w:val="28"/>
          <w:rtl/>
        </w:rPr>
        <w:t xml:space="preserve">، طهران، ط1، ١٣٧٦هـ.ش. </w:t>
      </w:r>
    </w:p>
  </w:endnote>
  <w:endnote w:id="58">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رضا المظفّر، أصول الفقه ٣: ١٧٦، دار النعمان، النجف، ط2، ١٣٨٦. </w:t>
      </w:r>
    </w:p>
  </w:endnote>
  <w:endnote w:id="59">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مجموعة من المؤلّفين، الفائق في علم الأصول: ٤، مرکز مد</w:t>
      </w:r>
      <w:r w:rsidRPr="006571AC">
        <w:rPr>
          <w:rFonts w:cs="DanaFajr" w:hint="cs"/>
          <w:sz w:val="28"/>
          <w:szCs w:val="28"/>
          <w:rtl/>
        </w:rPr>
        <w:t>ي</w:t>
      </w:r>
      <w:r w:rsidRPr="006571AC">
        <w:rPr>
          <w:rFonts w:cs="DanaFajr"/>
          <w:sz w:val="28"/>
          <w:szCs w:val="28"/>
          <w:rtl/>
        </w:rPr>
        <w:t>ر</w:t>
      </w:r>
      <w:r w:rsidRPr="006571AC">
        <w:rPr>
          <w:rFonts w:cs="DanaFajr" w:hint="cs"/>
          <w:sz w:val="28"/>
          <w:szCs w:val="28"/>
          <w:rtl/>
        </w:rPr>
        <w:t>ي</w:t>
      </w:r>
      <w:r w:rsidRPr="006571AC">
        <w:rPr>
          <w:rFonts w:cs="DanaFajr"/>
          <w:sz w:val="28"/>
          <w:szCs w:val="28"/>
          <w:rtl/>
        </w:rPr>
        <w:t>ت حوزه ها</w:t>
      </w:r>
      <w:r w:rsidRPr="006571AC">
        <w:rPr>
          <w:rFonts w:cs="DanaFajr" w:hint="cs"/>
          <w:sz w:val="28"/>
          <w:szCs w:val="28"/>
          <w:rtl/>
        </w:rPr>
        <w:t>ي</w:t>
      </w:r>
      <w:r w:rsidRPr="006571AC">
        <w:rPr>
          <w:rFonts w:cs="DanaFajr"/>
          <w:sz w:val="28"/>
          <w:szCs w:val="28"/>
          <w:rtl/>
        </w:rPr>
        <w:t xml:space="preserve"> علم</w:t>
      </w:r>
      <w:r w:rsidRPr="006571AC">
        <w:rPr>
          <w:rFonts w:cs="DanaFajr" w:hint="cs"/>
          <w:sz w:val="28"/>
          <w:szCs w:val="28"/>
          <w:rtl/>
        </w:rPr>
        <w:t>ي</w:t>
      </w:r>
      <w:r w:rsidRPr="006571AC">
        <w:rPr>
          <w:rFonts w:cs="DanaFajr"/>
          <w:sz w:val="28"/>
          <w:szCs w:val="28"/>
          <w:rtl/>
        </w:rPr>
        <w:t xml:space="preserve">ه، قم، ط1، ١٣٩٧هـ.ش. </w:t>
      </w:r>
    </w:p>
  </w:endnote>
  <w:endnote w:id="60">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ضياء الدين العراقي، مقالات الأصول ٢: ١١٠، مجمع الفكر الإسلامي، قم، ط2، ١٤٢٣</w:t>
      </w:r>
      <w:r w:rsidRPr="006571AC">
        <w:rPr>
          <w:rFonts w:cs="DanaFajr" w:hint="cs"/>
          <w:sz w:val="28"/>
          <w:szCs w:val="28"/>
          <w:rtl/>
        </w:rPr>
        <w:t>هـ</w:t>
      </w:r>
      <w:r w:rsidRPr="006571AC">
        <w:rPr>
          <w:rFonts w:cs="DanaFajr"/>
          <w:sz w:val="28"/>
          <w:szCs w:val="28"/>
          <w:rtl/>
        </w:rPr>
        <w:t xml:space="preserve">. </w:t>
      </w:r>
    </w:p>
  </w:endnote>
  <w:endnote w:id="61">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حسين الحلّي، أصول الفقه، مكتب الفقه، قم، ط1، ١٤٣٢</w:t>
      </w:r>
      <w:r w:rsidRPr="006571AC">
        <w:rPr>
          <w:rFonts w:cs="DanaFajr" w:hint="cs"/>
          <w:sz w:val="28"/>
          <w:szCs w:val="28"/>
          <w:rtl/>
        </w:rPr>
        <w:t>هـ</w:t>
      </w:r>
      <w:r w:rsidRPr="006571AC">
        <w:rPr>
          <w:rFonts w:cs="DanaFajr"/>
          <w:sz w:val="28"/>
          <w:szCs w:val="28"/>
          <w:rtl/>
        </w:rPr>
        <w:t xml:space="preserve">. </w:t>
      </w:r>
    </w:p>
  </w:endnote>
  <w:endnote w:id="62">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الفائق في علم الأصول: ٣٨ وما</w:t>
      </w:r>
      <w:r w:rsidRPr="006571AC">
        <w:rPr>
          <w:rFonts w:cs="DanaFajr" w:hint="cs"/>
          <w:sz w:val="28"/>
          <w:szCs w:val="28"/>
          <w:rtl/>
        </w:rPr>
        <w:t xml:space="preserve"> </w:t>
      </w:r>
      <w:r w:rsidRPr="006571AC">
        <w:rPr>
          <w:rFonts w:cs="DanaFajr"/>
          <w:sz w:val="28"/>
          <w:szCs w:val="28"/>
          <w:rtl/>
        </w:rPr>
        <w:t xml:space="preserve">بعدها. </w:t>
      </w:r>
    </w:p>
  </w:endnote>
  <w:endnote w:id="63">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حسين آل كاشف الغطاء، تحرير المجلة ١: ٢٩٣، المجمع العالمي للتقريب بين المذاهب الإسلامية، طهران، ط1، ١٤٢٤</w:t>
      </w:r>
      <w:r w:rsidRPr="006571AC">
        <w:rPr>
          <w:rFonts w:cs="DanaFajr" w:hint="cs"/>
          <w:sz w:val="28"/>
          <w:szCs w:val="28"/>
          <w:rtl/>
        </w:rPr>
        <w:t>هـ</w:t>
      </w:r>
      <w:r w:rsidRPr="006571AC">
        <w:rPr>
          <w:rFonts w:cs="DanaFajr"/>
          <w:sz w:val="28"/>
          <w:szCs w:val="28"/>
          <w:rtl/>
        </w:rPr>
        <w:t xml:space="preserve">. </w:t>
      </w:r>
    </w:p>
  </w:endnote>
  <w:endnote w:id="64">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السيد </w:t>
      </w:r>
      <w:r w:rsidRPr="006571AC">
        <w:rPr>
          <w:rFonts w:cs="DanaFajr" w:hint="cs"/>
          <w:sz w:val="28"/>
          <w:szCs w:val="28"/>
          <w:rtl/>
        </w:rPr>
        <w:t>مصطفى</w:t>
      </w:r>
      <w:r w:rsidRPr="006571AC">
        <w:rPr>
          <w:rFonts w:cs="DanaFajr"/>
          <w:sz w:val="28"/>
          <w:szCs w:val="28"/>
          <w:rtl/>
        </w:rPr>
        <w:t xml:space="preserve"> الخميني، تحريرات في الأصول ٥: ٤٥، مؤسّس</w:t>
      </w:r>
      <w:r w:rsidRPr="006571AC">
        <w:rPr>
          <w:rFonts w:cs="DanaFajr" w:hint="cs"/>
          <w:sz w:val="28"/>
          <w:szCs w:val="28"/>
          <w:rtl/>
        </w:rPr>
        <w:t>ة</w:t>
      </w:r>
      <w:r w:rsidRPr="006571AC">
        <w:rPr>
          <w:rFonts w:cs="DanaFajr"/>
          <w:sz w:val="28"/>
          <w:szCs w:val="28"/>
          <w:rtl/>
        </w:rPr>
        <w:t xml:space="preserve"> تنظيم و</w:t>
      </w:r>
      <w:r w:rsidRPr="006571AC">
        <w:rPr>
          <w:rFonts w:cs="DanaFajr" w:hint="cs"/>
          <w:sz w:val="28"/>
          <w:szCs w:val="28"/>
          <w:rtl/>
        </w:rPr>
        <w:t>نشر</w:t>
      </w:r>
      <w:r w:rsidRPr="006571AC">
        <w:rPr>
          <w:rFonts w:cs="DanaFajr"/>
          <w:sz w:val="28"/>
          <w:szCs w:val="28"/>
          <w:rtl/>
        </w:rPr>
        <w:t xml:space="preserve"> </w:t>
      </w:r>
      <w:r w:rsidRPr="006571AC">
        <w:rPr>
          <w:rFonts w:cs="DanaFajr" w:hint="cs"/>
          <w:sz w:val="28"/>
          <w:szCs w:val="28"/>
          <w:rtl/>
        </w:rPr>
        <w:t>آثار الإمام الخميني</w:t>
      </w:r>
      <w:r w:rsidRPr="006571AC">
        <w:rPr>
          <w:rFonts w:cs="DanaFajr"/>
          <w:sz w:val="28"/>
          <w:szCs w:val="28"/>
          <w:rtl/>
        </w:rPr>
        <w:t>، طهران، ط1، ١٤١٨</w:t>
      </w:r>
      <w:r w:rsidRPr="006571AC">
        <w:rPr>
          <w:rFonts w:cs="DanaFajr" w:hint="cs"/>
          <w:sz w:val="28"/>
          <w:szCs w:val="28"/>
          <w:rtl/>
        </w:rPr>
        <w:t>هـ</w:t>
      </w:r>
      <w:r w:rsidRPr="006571AC">
        <w:rPr>
          <w:rFonts w:cs="DanaFajr"/>
          <w:sz w:val="28"/>
          <w:szCs w:val="28"/>
          <w:rtl/>
        </w:rPr>
        <w:t xml:space="preserve">. </w:t>
      </w:r>
    </w:p>
  </w:endnote>
  <w:endnote w:id="65">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الطباطبائي، وسيلة الوسائل في شرح الرسائل: ٢٩٥، قم، ط1</w:t>
      </w:r>
      <w:r w:rsidRPr="006571AC">
        <w:rPr>
          <w:rFonts w:cs="DanaFajr" w:hint="cs"/>
          <w:sz w:val="28"/>
          <w:szCs w:val="28"/>
          <w:rtl/>
        </w:rPr>
        <w:t xml:space="preserve">؛ </w:t>
      </w:r>
      <w:r w:rsidRPr="006571AC">
        <w:rPr>
          <w:rFonts w:cs="DanaFajr"/>
          <w:sz w:val="28"/>
          <w:szCs w:val="28"/>
          <w:rtl/>
        </w:rPr>
        <w:t>بحوث في علم الأصول ٧: ٣٠</w:t>
      </w:r>
      <w:r w:rsidRPr="006571AC">
        <w:rPr>
          <w:rFonts w:cs="DanaFajr" w:hint="cs"/>
          <w:sz w:val="28"/>
          <w:szCs w:val="28"/>
          <w:rtl/>
        </w:rPr>
        <w:t xml:space="preserve">؛ </w:t>
      </w:r>
      <w:r w:rsidRPr="006571AC">
        <w:rPr>
          <w:rFonts w:cs="DanaFajr"/>
          <w:sz w:val="28"/>
          <w:szCs w:val="28"/>
          <w:rtl/>
        </w:rPr>
        <w:t>سعيد ضيائي فر، ولا</w:t>
      </w:r>
      <w:r w:rsidRPr="006571AC">
        <w:rPr>
          <w:rFonts w:cs="DanaFajr" w:hint="cs"/>
          <w:sz w:val="28"/>
          <w:szCs w:val="28"/>
          <w:rtl/>
        </w:rPr>
        <w:t>ي</w:t>
      </w:r>
      <w:r w:rsidRPr="006571AC">
        <w:rPr>
          <w:rFonts w:cs="DanaFajr"/>
          <w:sz w:val="28"/>
          <w:szCs w:val="28"/>
          <w:rtl/>
        </w:rPr>
        <w:t>ت پ</w:t>
      </w:r>
      <w:r w:rsidRPr="006571AC">
        <w:rPr>
          <w:rFonts w:cs="DanaFajr" w:hint="cs"/>
          <w:sz w:val="28"/>
          <w:szCs w:val="28"/>
          <w:rtl/>
        </w:rPr>
        <w:t>ي</w:t>
      </w:r>
      <w:r w:rsidRPr="006571AC">
        <w:rPr>
          <w:rFonts w:cs="DanaFajr"/>
          <w:sz w:val="28"/>
          <w:szCs w:val="28"/>
          <w:rtl/>
        </w:rPr>
        <w:t>امبر و</w:t>
      </w:r>
      <w:r w:rsidRPr="006571AC">
        <w:rPr>
          <w:rFonts w:cs="DanaFajr" w:hint="cs"/>
          <w:sz w:val="28"/>
          <w:szCs w:val="28"/>
          <w:rtl/>
        </w:rPr>
        <w:t>إ</w:t>
      </w:r>
      <w:r w:rsidRPr="006571AC">
        <w:rPr>
          <w:rFonts w:cs="DanaFajr"/>
          <w:sz w:val="28"/>
          <w:szCs w:val="28"/>
          <w:rtl/>
        </w:rPr>
        <w:t>مام بر تشر</w:t>
      </w:r>
      <w:r w:rsidRPr="006571AC">
        <w:rPr>
          <w:rFonts w:cs="DanaFajr" w:hint="cs"/>
          <w:sz w:val="28"/>
          <w:szCs w:val="28"/>
          <w:rtl/>
        </w:rPr>
        <w:t>ي</w:t>
      </w:r>
      <w:r w:rsidRPr="006571AC">
        <w:rPr>
          <w:rFonts w:cs="DanaFajr"/>
          <w:sz w:val="28"/>
          <w:szCs w:val="28"/>
          <w:rtl/>
        </w:rPr>
        <w:t>ع</w:t>
      </w:r>
      <w:r w:rsidRPr="006571AC">
        <w:rPr>
          <w:rFonts w:cs="DanaFajr" w:hint="cs"/>
          <w:sz w:val="28"/>
          <w:szCs w:val="28"/>
          <w:rtl/>
        </w:rPr>
        <w:t xml:space="preserve"> (الولاية التشريعية للنبيّ والإمام)</w:t>
      </w:r>
      <w:r w:rsidRPr="006571AC">
        <w:rPr>
          <w:rFonts w:cs="DanaFajr"/>
          <w:sz w:val="28"/>
          <w:szCs w:val="28"/>
          <w:rtl/>
        </w:rPr>
        <w:t xml:space="preserve">، </w:t>
      </w:r>
      <w:r w:rsidRPr="006571AC">
        <w:rPr>
          <w:rFonts w:cs="DanaFajr" w:hint="cs"/>
          <w:sz w:val="28"/>
          <w:szCs w:val="28"/>
          <w:rtl/>
        </w:rPr>
        <w:t>مجلة معارف إسلامي، العدد</w:t>
      </w:r>
      <w:r w:rsidRPr="006571AC">
        <w:rPr>
          <w:rFonts w:cs="DanaFajr"/>
          <w:sz w:val="28"/>
          <w:szCs w:val="28"/>
          <w:rtl/>
        </w:rPr>
        <w:t xml:space="preserve"> ٢١</w:t>
      </w:r>
      <w:r w:rsidRPr="006571AC">
        <w:rPr>
          <w:rFonts w:cs="DanaFajr" w:hint="cs"/>
          <w:sz w:val="28"/>
          <w:szCs w:val="28"/>
          <w:rtl/>
        </w:rPr>
        <w:t>:</w:t>
      </w:r>
      <w:r w:rsidRPr="006571AC">
        <w:rPr>
          <w:rFonts w:cs="DanaFajr"/>
          <w:sz w:val="28"/>
          <w:szCs w:val="28"/>
          <w:rtl/>
        </w:rPr>
        <w:t xml:space="preserve"> ٧٣. </w:t>
      </w:r>
    </w:p>
  </w:endnote>
  <w:endnote w:id="66">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المصدر نفسه</w:t>
      </w:r>
      <w:r w:rsidRPr="006571AC">
        <w:rPr>
          <w:rFonts w:cs="DanaFajr" w:hint="cs"/>
          <w:sz w:val="28"/>
          <w:szCs w:val="28"/>
          <w:rtl/>
        </w:rPr>
        <w:t>؛</w:t>
      </w:r>
      <w:r w:rsidRPr="006571AC">
        <w:rPr>
          <w:rFonts w:cs="DanaFajr"/>
          <w:sz w:val="28"/>
          <w:szCs w:val="28"/>
          <w:rtl/>
        </w:rPr>
        <w:t xml:space="preserve"> وسيلة الوسائل في شرح الرسائل: ٢٩٥</w:t>
      </w:r>
      <w:r w:rsidRPr="006571AC">
        <w:rPr>
          <w:rFonts w:cs="DanaFajr" w:hint="cs"/>
          <w:sz w:val="28"/>
          <w:szCs w:val="28"/>
          <w:rtl/>
        </w:rPr>
        <w:t xml:space="preserve">؛ </w:t>
      </w:r>
      <w:r w:rsidRPr="006571AC">
        <w:rPr>
          <w:rFonts w:cs="DanaFajr"/>
          <w:sz w:val="28"/>
          <w:szCs w:val="28"/>
          <w:rtl/>
        </w:rPr>
        <w:t>السيد كاظم الحائري</w:t>
      </w:r>
      <w:r w:rsidRPr="006571AC">
        <w:rPr>
          <w:rFonts w:cs="DanaFajr" w:hint="cs"/>
          <w:sz w:val="28"/>
          <w:szCs w:val="28"/>
          <w:rtl/>
        </w:rPr>
        <w:t>،</w:t>
      </w:r>
      <w:r w:rsidRPr="006571AC">
        <w:rPr>
          <w:rFonts w:cs="DanaFajr"/>
          <w:sz w:val="28"/>
          <w:szCs w:val="28"/>
          <w:rtl/>
        </w:rPr>
        <w:t xml:space="preserve"> مباحث الأصول ٥: ٦٧٦، مكتب الإعلام الإسلامي، قم، ط1، ١٤٠٨. </w:t>
      </w:r>
    </w:p>
  </w:endnote>
  <w:endnote w:id="67">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المائدة</w:t>
      </w:r>
      <w:r w:rsidRPr="006571AC">
        <w:rPr>
          <w:rFonts w:cs="DanaFajr" w:hint="cs"/>
          <w:sz w:val="28"/>
          <w:szCs w:val="28"/>
          <w:rtl/>
        </w:rPr>
        <w:t>:</w:t>
      </w:r>
      <w:r w:rsidRPr="006571AC">
        <w:rPr>
          <w:rFonts w:cs="DanaFajr"/>
          <w:sz w:val="28"/>
          <w:szCs w:val="28"/>
          <w:rtl/>
        </w:rPr>
        <w:t xml:space="preserve"> ٣</w:t>
      </w:r>
      <w:r w:rsidRPr="006571AC">
        <w:rPr>
          <w:rFonts w:cs="DanaFajr" w:hint="cs"/>
          <w:sz w:val="28"/>
          <w:szCs w:val="28"/>
          <w:rtl/>
        </w:rPr>
        <w:t xml:space="preserve">؛ </w:t>
      </w:r>
      <w:r w:rsidRPr="006571AC">
        <w:rPr>
          <w:rFonts w:cs="DanaFajr"/>
          <w:sz w:val="28"/>
          <w:szCs w:val="28"/>
          <w:rtl/>
        </w:rPr>
        <w:t>محمد</w:t>
      </w:r>
      <w:r w:rsidRPr="006571AC">
        <w:rPr>
          <w:rFonts w:cs="DanaFajr" w:hint="cs"/>
          <w:sz w:val="28"/>
          <w:szCs w:val="28"/>
          <w:rtl/>
        </w:rPr>
        <w:t xml:space="preserve"> بن يعقوب</w:t>
      </w:r>
      <w:r w:rsidRPr="006571AC">
        <w:rPr>
          <w:rFonts w:cs="DanaFajr"/>
          <w:sz w:val="28"/>
          <w:szCs w:val="28"/>
          <w:rtl/>
        </w:rPr>
        <w:t xml:space="preserve"> الكليني</w:t>
      </w:r>
      <w:r w:rsidRPr="006571AC">
        <w:rPr>
          <w:rFonts w:cs="DanaFajr" w:hint="cs"/>
          <w:sz w:val="28"/>
          <w:szCs w:val="28"/>
          <w:rtl/>
        </w:rPr>
        <w:t>،</w:t>
      </w:r>
      <w:r w:rsidRPr="006571AC">
        <w:rPr>
          <w:rFonts w:cs="DanaFajr"/>
          <w:sz w:val="28"/>
          <w:szCs w:val="28"/>
          <w:rtl/>
        </w:rPr>
        <w:t xml:space="preserve"> الكافي ١: ٥٧، دار الكتب الإسلامية، طهران، </w:t>
      </w:r>
      <w:r w:rsidRPr="006571AC">
        <w:rPr>
          <w:rFonts w:cs="DanaFajr" w:hint="cs"/>
          <w:sz w:val="28"/>
          <w:szCs w:val="28"/>
          <w:rtl/>
        </w:rPr>
        <w:t>ط5</w:t>
      </w:r>
      <w:r w:rsidRPr="006571AC">
        <w:rPr>
          <w:rFonts w:cs="DanaFajr"/>
          <w:sz w:val="28"/>
          <w:szCs w:val="28"/>
          <w:rtl/>
        </w:rPr>
        <w:t xml:space="preserve">، ١٣٦٣هـ.ش. </w:t>
      </w:r>
    </w:p>
  </w:endnote>
  <w:endnote w:id="68">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مجموعة من المؤلّفين، موسوعة الفقه الإسلامي طبقاً لمذهب أهل البيت</w:t>
      </w:r>
      <w:r w:rsidRPr="006571AC">
        <w:rPr>
          <w:rFonts w:ascii="Mosawi" w:hAnsi="Mosawi" w:cs="Mosawi"/>
          <w:rtl/>
        </w:rPr>
        <w:t>^</w:t>
      </w:r>
      <w:r w:rsidRPr="006571AC">
        <w:rPr>
          <w:rFonts w:cs="DanaFajr"/>
          <w:sz w:val="28"/>
          <w:szCs w:val="28"/>
          <w:rtl/>
        </w:rPr>
        <w:t xml:space="preserve"> ١: ٣٤، مؤسسة دائرة معارف الفقه الإسلامي، قم، ط1، ١٤٢٣</w:t>
      </w:r>
      <w:r w:rsidRPr="006571AC">
        <w:rPr>
          <w:rFonts w:cs="DanaFajr" w:hint="cs"/>
          <w:sz w:val="28"/>
          <w:szCs w:val="28"/>
          <w:rtl/>
        </w:rPr>
        <w:t xml:space="preserve">هـ؛ </w:t>
      </w:r>
      <w:r w:rsidRPr="006571AC">
        <w:rPr>
          <w:rFonts w:cs="DanaFajr"/>
          <w:sz w:val="28"/>
          <w:szCs w:val="28"/>
          <w:rtl/>
        </w:rPr>
        <w:t xml:space="preserve">سعيد ضيائي فر، فلسفه علم فقه: ٣٣٧، سمت، طهران، ط1، ١٣٩٢هـ.ش. </w:t>
      </w:r>
    </w:p>
  </w:endnote>
  <w:endnote w:id="69">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السيد المرتضى، رسائل الشريف المرتضى ١: ٤١٤، دار القرآن الكريم، قم، ط1، ١٤٠٥</w:t>
      </w:r>
      <w:r w:rsidRPr="006571AC">
        <w:rPr>
          <w:rFonts w:cs="DanaFajr" w:hint="cs"/>
          <w:sz w:val="28"/>
          <w:szCs w:val="28"/>
          <w:rtl/>
        </w:rPr>
        <w:t xml:space="preserve">هـ؛ </w:t>
      </w:r>
      <w:r w:rsidRPr="006571AC">
        <w:rPr>
          <w:rFonts w:cs="DanaFajr"/>
          <w:sz w:val="28"/>
          <w:szCs w:val="28"/>
          <w:rtl/>
        </w:rPr>
        <w:t>جعفر السبحاني، في ظلّ أصول الإسلام: ١٦٣، مؤسّسة الإمام الصادق</w:t>
      </w:r>
      <w:r w:rsidRPr="006571AC">
        <w:rPr>
          <w:rFonts w:ascii="Mosawi" w:hAnsi="Mosawi" w:cs="Mosawi"/>
          <w:rtl/>
        </w:rPr>
        <w:t>×</w:t>
      </w:r>
      <w:r w:rsidRPr="006571AC">
        <w:rPr>
          <w:rFonts w:cs="DanaFajr"/>
          <w:sz w:val="28"/>
          <w:szCs w:val="28"/>
          <w:rtl/>
        </w:rPr>
        <w:t>، قم، ط2 ١٤١٤</w:t>
      </w:r>
      <w:r w:rsidRPr="006571AC">
        <w:rPr>
          <w:rFonts w:cs="DanaFajr" w:hint="cs"/>
          <w:sz w:val="28"/>
          <w:szCs w:val="28"/>
          <w:rtl/>
        </w:rPr>
        <w:t>هـ</w:t>
      </w:r>
      <w:r w:rsidRPr="006571AC">
        <w:rPr>
          <w:rFonts w:cs="DanaFajr"/>
          <w:sz w:val="28"/>
          <w:szCs w:val="28"/>
          <w:rtl/>
        </w:rPr>
        <w:t xml:space="preserve">. </w:t>
      </w:r>
    </w:p>
  </w:endnote>
  <w:endnote w:id="70">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السيد المرتضى، الذخيرة: ١٠٨، مؤسّسة النشر الإسلامي، ط1، ١٤١١</w:t>
      </w:r>
      <w:r w:rsidRPr="006571AC">
        <w:rPr>
          <w:rFonts w:cs="DanaFajr" w:hint="cs"/>
          <w:sz w:val="28"/>
          <w:szCs w:val="28"/>
          <w:rtl/>
        </w:rPr>
        <w:t>هـ</w:t>
      </w:r>
      <w:r w:rsidRPr="006571AC">
        <w:rPr>
          <w:rFonts w:cs="DanaFajr"/>
          <w:sz w:val="28"/>
          <w:szCs w:val="28"/>
          <w:rtl/>
        </w:rPr>
        <w:t xml:space="preserve">. </w:t>
      </w:r>
    </w:p>
  </w:endnote>
  <w:endnote w:id="71">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سعيد ضيائي فر، </w:t>
      </w:r>
      <w:r w:rsidRPr="006571AC">
        <w:rPr>
          <w:rFonts w:ascii="Mosawi" w:hAnsi="Mosawi" w:cs="Abz-3 (Yagut)"/>
          <w:rtl/>
          <w:lang w:val="x-none" w:eastAsia="x-none"/>
        </w:rPr>
        <w:t>جا</w:t>
      </w:r>
      <w:r w:rsidRPr="006571AC">
        <w:rPr>
          <w:rFonts w:ascii="Mosawi" w:hAnsi="Mosawi" w:cs="Abz-3 (Yagut)" w:hint="cs"/>
          <w:rtl/>
          <w:lang w:val="x-none" w:eastAsia="x-none"/>
        </w:rPr>
        <w:t>ي</w:t>
      </w:r>
      <w:r w:rsidRPr="006571AC">
        <w:rPr>
          <w:rFonts w:ascii="Mosawi" w:hAnsi="Mosawi" w:cs="Abz-3 (Yagut)"/>
          <w:rtl/>
          <w:lang w:val="x-none" w:eastAsia="x-none"/>
        </w:rPr>
        <w:t>گاه</w:t>
      </w:r>
      <w:r w:rsidRPr="006571AC">
        <w:rPr>
          <w:rFonts w:cs="DanaFajr"/>
          <w:sz w:val="28"/>
          <w:szCs w:val="28"/>
          <w:rtl/>
        </w:rPr>
        <w:t xml:space="preserve"> مبان</w:t>
      </w:r>
      <w:r w:rsidRPr="006571AC">
        <w:rPr>
          <w:rFonts w:cs="DanaFajr" w:hint="cs"/>
          <w:sz w:val="28"/>
          <w:szCs w:val="28"/>
          <w:rtl/>
        </w:rPr>
        <w:t>ي</w:t>
      </w:r>
      <w:r w:rsidRPr="006571AC">
        <w:rPr>
          <w:rFonts w:cs="DanaFajr"/>
          <w:sz w:val="28"/>
          <w:szCs w:val="28"/>
          <w:rtl/>
        </w:rPr>
        <w:t xml:space="preserve"> کلام</w:t>
      </w:r>
      <w:r w:rsidRPr="006571AC">
        <w:rPr>
          <w:rFonts w:cs="DanaFajr" w:hint="cs"/>
          <w:sz w:val="28"/>
          <w:szCs w:val="28"/>
          <w:rtl/>
        </w:rPr>
        <w:t>ي</w:t>
      </w:r>
      <w:r w:rsidRPr="006571AC">
        <w:rPr>
          <w:rFonts w:cs="DanaFajr"/>
          <w:sz w:val="28"/>
          <w:szCs w:val="28"/>
          <w:rtl/>
        </w:rPr>
        <w:t xml:space="preserve"> در اجتهاد: ١٨٨، بوستان كتاب، ط3، ١٣٩٧. </w:t>
      </w:r>
    </w:p>
  </w:endnote>
  <w:endnote w:id="72">
    <w:p w:rsidR="00DB2356" w:rsidRPr="006571AC" w:rsidRDefault="00DB2356" w:rsidP="00F1729A">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أبو القاسم عليدوست، فقه وع</w:t>
      </w:r>
      <w:r w:rsidRPr="006571AC">
        <w:rPr>
          <w:rFonts w:cs="DanaFajr" w:hint="cs"/>
          <w:sz w:val="28"/>
          <w:szCs w:val="28"/>
          <w:rtl/>
        </w:rPr>
        <w:t>ُ</w:t>
      </w:r>
      <w:r w:rsidRPr="006571AC">
        <w:rPr>
          <w:rFonts w:cs="DanaFajr"/>
          <w:sz w:val="28"/>
          <w:szCs w:val="28"/>
          <w:rtl/>
        </w:rPr>
        <w:t>ر</w:t>
      </w:r>
      <w:r w:rsidRPr="006571AC">
        <w:rPr>
          <w:rFonts w:cs="DanaFajr" w:hint="cs"/>
          <w:sz w:val="28"/>
          <w:szCs w:val="28"/>
          <w:rtl/>
        </w:rPr>
        <w:t>ْ</w:t>
      </w:r>
      <w:r w:rsidRPr="006571AC">
        <w:rPr>
          <w:rFonts w:cs="DanaFajr"/>
          <w:sz w:val="28"/>
          <w:szCs w:val="28"/>
          <w:rtl/>
        </w:rPr>
        <w:t xml:space="preserve">ف: ٣٤٠، </w:t>
      </w:r>
      <w:r w:rsidRPr="006571AC">
        <w:rPr>
          <w:rFonts w:ascii="Mosawi" w:hAnsi="Mosawi" w:cs="Abz-3 (Yagut)"/>
          <w:rtl/>
          <w:lang w:val="x-none" w:eastAsia="x-none"/>
        </w:rPr>
        <w:t>پژوهشگاه</w:t>
      </w:r>
      <w:r w:rsidRPr="006571AC">
        <w:rPr>
          <w:rFonts w:cs="DanaFajr"/>
          <w:sz w:val="28"/>
          <w:szCs w:val="28"/>
          <w:rtl/>
        </w:rPr>
        <w:t xml:space="preserve"> </w:t>
      </w:r>
      <w:r w:rsidRPr="006571AC">
        <w:rPr>
          <w:rFonts w:ascii="Mosawi" w:hAnsi="Mosawi" w:cs="Abz-3 (Yagut)"/>
          <w:rtl/>
          <w:lang w:val="x-none" w:eastAsia="x-none"/>
        </w:rPr>
        <w:t>فرهنگ</w:t>
      </w:r>
      <w:r w:rsidRPr="006571AC">
        <w:rPr>
          <w:rFonts w:cs="DanaFajr"/>
          <w:sz w:val="28"/>
          <w:szCs w:val="28"/>
          <w:rtl/>
        </w:rPr>
        <w:t xml:space="preserve"> و</w:t>
      </w:r>
      <w:r w:rsidRPr="006571AC">
        <w:rPr>
          <w:rFonts w:cs="DanaFajr" w:hint="cs"/>
          <w:sz w:val="28"/>
          <w:szCs w:val="28"/>
          <w:rtl/>
        </w:rPr>
        <w:t>أ</w:t>
      </w:r>
      <w:r w:rsidRPr="006571AC">
        <w:rPr>
          <w:rFonts w:cs="DanaFajr"/>
          <w:sz w:val="28"/>
          <w:szCs w:val="28"/>
          <w:rtl/>
        </w:rPr>
        <w:t>ند</w:t>
      </w:r>
      <w:r w:rsidRPr="006571AC">
        <w:rPr>
          <w:rFonts w:cs="DanaFajr" w:hint="cs"/>
          <w:sz w:val="28"/>
          <w:szCs w:val="28"/>
          <w:rtl/>
        </w:rPr>
        <w:t>ي</w:t>
      </w:r>
      <w:r w:rsidRPr="006571AC">
        <w:rPr>
          <w:rFonts w:cs="DanaFajr"/>
          <w:sz w:val="28"/>
          <w:szCs w:val="28"/>
          <w:rtl/>
        </w:rPr>
        <w:t xml:space="preserve">شه </w:t>
      </w:r>
      <w:r w:rsidRPr="006571AC">
        <w:rPr>
          <w:rFonts w:cs="DanaFajr" w:hint="cs"/>
          <w:sz w:val="28"/>
          <w:szCs w:val="28"/>
          <w:rtl/>
        </w:rPr>
        <w:t>إ</w:t>
      </w:r>
      <w:r w:rsidRPr="006571AC">
        <w:rPr>
          <w:rFonts w:cs="DanaFajr"/>
          <w:sz w:val="28"/>
          <w:szCs w:val="28"/>
          <w:rtl/>
        </w:rPr>
        <w:t>سلام</w:t>
      </w:r>
      <w:r w:rsidRPr="006571AC">
        <w:rPr>
          <w:rFonts w:cs="DanaFajr" w:hint="cs"/>
          <w:sz w:val="28"/>
          <w:szCs w:val="28"/>
          <w:rtl/>
        </w:rPr>
        <w:t>ي</w:t>
      </w:r>
      <w:r w:rsidRPr="006571AC">
        <w:rPr>
          <w:rFonts w:cs="DanaFajr"/>
          <w:sz w:val="28"/>
          <w:szCs w:val="28"/>
          <w:rtl/>
        </w:rPr>
        <w:t xml:space="preserve">، طهران، ط1، ١٣٨٤هـ.ش. </w:t>
      </w:r>
    </w:p>
  </w:endnote>
  <w:endnote w:id="73">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الوحيد البهبهاني، الفوائد الحائرية: ٣١١، مجمع الفكر الإسلامي، قم، ط1، ١٤١٥</w:t>
      </w:r>
      <w:r w:rsidRPr="006571AC">
        <w:rPr>
          <w:rFonts w:cs="DanaFajr" w:hint="cs"/>
          <w:sz w:val="28"/>
          <w:szCs w:val="28"/>
          <w:rtl/>
        </w:rPr>
        <w:t xml:space="preserve">هـ؛ </w:t>
      </w:r>
      <w:r w:rsidRPr="006571AC">
        <w:rPr>
          <w:rFonts w:cs="DanaFajr"/>
          <w:sz w:val="28"/>
          <w:szCs w:val="28"/>
          <w:rtl/>
        </w:rPr>
        <w:t>عبد</w:t>
      </w:r>
      <w:r w:rsidRPr="006571AC">
        <w:rPr>
          <w:rFonts w:cs="DanaFajr" w:hint="cs"/>
          <w:sz w:val="28"/>
          <w:szCs w:val="28"/>
          <w:rtl/>
        </w:rPr>
        <w:t xml:space="preserve"> </w:t>
      </w:r>
      <w:r w:rsidRPr="006571AC">
        <w:rPr>
          <w:rFonts w:cs="DanaFajr"/>
          <w:sz w:val="28"/>
          <w:szCs w:val="28"/>
          <w:rtl/>
        </w:rPr>
        <w:t>الفتّاح المراغي، العناوين ٢: ٦، مؤس</w:t>
      </w:r>
      <w:r w:rsidRPr="006571AC">
        <w:rPr>
          <w:rFonts w:cs="DanaFajr" w:hint="cs"/>
          <w:sz w:val="28"/>
          <w:szCs w:val="28"/>
          <w:rtl/>
        </w:rPr>
        <w:t>ّ</w:t>
      </w:r>
      <w:r w:rsidRPr="006571AC">
        <w:rPr>
          <w:rFonts w:cs="DanaFajr"/>
          <w:sz w:val="28"/>
          <w:szCs w:val="28"/>
          <w:rtl/>
        </w:rPr>
        <w:t>سة النشر الإسلامي، ط1، ١٤١٨</w:t>
      </w:r>
      <w:r w:rsidRPr="006571AC">
        <w:rPr>
          <w:rFonts w:cs="DanaFajr" w:hint="cs"/>
          <w:sz w:val="28"/>
          <w:szCs w:val="28"/>
          <w:rtl/>
        </w:rPr>
        <w:t>هـ</w:t>
      </w:r>
      <w:r w:rsidRPr="006571AC">
        <w:rPr>
          <w:rFonts w:cs="DanaFajr"/>
          <w:sz w:val="28"/>
          <w:szCs w:val="28"/>
          <w:rtl/>
        </w:rPr>
        <w:t xml:space="preserve">. </w:t>
      </w:r>
    </w:p>
  </w:endnote>
  <w:endnote w:id="74">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السيد روح الله الإمام الخميني، كتاب البيع ٢: ١٣٣، مؤسّسة تنظيم ونشر آثار الإمام الخميني، طهران، ط1، ١٣٧٩هـ.ش</w:t>
      </w:r>
      <w:r w:rsidRPr="006571AC">
        <w:rPr>
          <w:rFonts w:cs="DanaFajr" w:hint="cs"/>
          <w:sz w:val="28"/>
          <w:szCs w:val="28"/>
          <w:rtl/>
        </w:rPr>
        <w:t xml:space="preserve">؛ </w:t>
      </w:r>
      <w:r w:rsidRPr="006571AC">
        <w:rPr>
          <w:rFonts w:cs="DanaFajr"/>
          <w:sz w:val="28"/>
          <w:szCs w:val="28"/>
          <w:rtl/>
        </w:rPr>
        <w:t>محمد حسين الأصفهاني، حاشية المكاسب ١: ٢٦٦، أنوار الهدى، قم، ط1، ١٤١٨</w:t>
      </w:r>
      <w:r w:rsidRPr="006571AC">
        <w:rPr>
          <w:rFonts w:cs="DanaFajr" w:hint="cs"/>
          <w:sz w:val="28"/>
          <w:szCs w:val="28"/>
          <w:rtl/>
        </w:rPr>
        <w:t xml:space="preserve">؛ </w:t>
      </w:r>
      <w:r w:rsidRPr="006571AC">
        <w:rPr>
          <w:rFonts w:cs="DanaFajr"/>
          <w:sz w:val="28"/>
          <w:szCs w:val="28"/>
          <w:rtl/>
        </w:rPr>
        <w:t>محمد علي</w:t>
      </w:r>
      <w:r w:rsidRPr="006571AC">
        <w:rPr>
          <w:rFonts w:cs="DanaFajr" w:hint="cs"/>
          <w:sz w:val="28"/>
          <w:szCs w:val="28"/>
          <w:rtl/>
        </w:rPr>
        <w:t xml:space="preserve"> إ</w:t>
      </w:r>
      <w:r w:rsidRPr="006571AC">
        <w:rPr>
          <w:rFonts w:cs="DanaFajr"/>
          <w:sz w:val="28"/>
          <w:szCs w:val="28"/>
          <w:rtl/>
        </w:rPr>
        <w:t>سماعيل پور شهر رضا</w:t>
      </w:r>
      <w:r w:rsidRPr="006571AC">
        <w:rPr>
          <w:rFonts w:cs="DanaFajr" w:hint="cs"/>
          <w:sz w:val="28"/>
          <w:szCs w:val="28"/>
          <w:rtl/>
        </w:rPr>
        <w:t>يي</w:t>
      </w:r>
      <w:r w:rsidRPr="006571AC">
        <w:rPr>
          <w:rFonts w:cs="DanaFajr"/>
          <w:sz w:val="28"/>
          <w:szCs w:val="28"/>
          <w:rtl/>
        </w:rPr>
        <w:t>، ، مجمع الأفكار ٤: ٣٠٦، انتشارات علمي</w:t>
      </w:r>
      <w:r w:rsidRPr="006571AC">
        <w:rPr>
          <w:rFonts w:cs="DanaFajr" w:hint="cs"/>
          <w:sz w:val="28"/>
          <w:szCs w:val="28"/>
          <w:rtl/>
        </w:rPr>
        <w:t>ة</w:t>
      </w:r>
      <w:r w:rsidRPr="006571AC">
        <w:rPr>
          <w:rFonts w:cs="DanaFajr"/>
          <w:sz w:val="28"/>
          <w:szCs w:val="28"/>
          <w:rtl/>
        </w:rPr>
        <w:t>، قم، ط1</w:t>
      </w:r>
      <w:r w:rsidRPr="006571AC">
        <w:rPr>
          <w:rFonts w:cs="DanaFajr" w:hint="cs"/>
          <w:sz w:val="28"/>
          <w:szCs w:val="28"/>
          <w:rtl/>
        </w:rPr>
        <w:t>،</w:t>
      </w:r>
      <w:r w:rsidRPr="006571AC">
        <w:rPr>
          <w:rFonts w:cs="DanaFajr"/>
          <w:sz w:val="28"/>
          <w:szCs w:val="28"/>
          <w:rtl/>
        </w:rPr>
        <w:t xml:space="preserve"> ١٣٩٥</w:t>
      </w:r>
      <w:r w:rsidRPr="006571AC">
        <w:rPr>
          <w:rFonts w:cs="DanaFajr" w:hint="cs"/>
          <w:sz w:val="28"/>
          <w:szCs w:val="28"/>
          <w:rtl/>
        </w:rPr>
        <w:t xml:space="preserve">؛ </w:t>
      </w:r>
      <w:r w:rsidRPr="006571AC">
        <w:rPr>
          <w:rFonts w:cs="DanaFajr"/>
          <w:sz w:val="28"/>
          <w:szCs w:val="28"/>
          <w:rtl/>
        </w:rPr>
        <w:t>سعيد ضيايي فر، مکتب فقه</w:t>
      </w:r>
      <w:r w:rsidRPr="006571AC">
        <w:rPr>
          <w:rFonts w:cs="DanaFajr" w:hint="cs"/>
          <w:sz w:val="28"/>
          <w:szCs w:val="28"/>
          <w:rtl/>
        </w:rPr>
        <w:t>ي</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مام خم</w:t>
      </w:r>
      <w:r w:rsidRPr="006571AC">
        <w:rPr>
          <w:rFonts w:cs="DanaFajr" w:hint="cs"/>
          <w:sz w:val="28"/>
          <w:szCs w:val="28"/>
          <w:rtl/>
        </w:rPr>
        <w:t>ي</w:t>
      </w:r>
      <w:r w:rsidRPr="006571AC">
        <w:rPr>
          <w:rFonts w:cs="DanaFajr"/>
          <w:sz w:val="28"/>
          <w:szCs w:val="28"/>
          <w:rtl/>
        </w:rPr>
        <w:t>ن</w:t>
      </w:r>
      <w:r w:rsidRPr="006571AC">
        <w:rPr>
          <w:rFonts w:cs="DanaFajr" w:hint="cs"/>
          <w:sz w:val="28"/>
          <w:szCs w:val="28"/>
          <w:rtl/>
        </w:rPr>
        <w:t>ي</w:t>
      </w:r>
      <w:r w:rsidRPr="006571AC">
        <w:rPr>
          <w:rFonts w:cs="DanaFajr"/>
          <w:sz w:val="28"/>
          <w:szCs w:val="28"/>
          <w:rtl/>
        </w:rPr>
        <w:t xml:space="preserve">: ٢٧٦، عروج، طهران، ط1، ١٣٩٣هـ.ش. </w:t>
      </w:r>
    </w:p>
  </w:endnote>
  <w:endnote w:id="75">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السيد محمد كاظم الطباطبائي اليزدي، سؤال وجواب: ٥٧٠، مركز نشر العلوم الإسلامية، طهران، ط1، ١٤١٥</w:t>
      </w:r>
      <w:r w:rsidRPr="006571AC">
        <w:rPr>
          <w:rFonts w:cs="DanaFajr" w:hint="cs"/>
          <w:sz w:val="28"/>
          <w:szCs w:val="28"/>
          <w:rtl/>
        </w:rPr>
        <w:t>هـ</w:t>
      </w:r>
      <w:r w:rsidRPr="006571AC">
        <w:rPr>
          <w:rFonts w:cs="DanaFajr"/>
          <w:sz w:val="28"/>
          <w:szCs w:val="28"/>
          <w:rtl/>
        </w:rPr>
        <w:t xml:space="preserve">. </w:t>
      </w:r>
    </w:p>
  </w:endnote>
  <w:endnote w:id="76">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الوحيد البهبهاني، الرسائل الفقهية: ٣١٣، مؤسّسة العلاّمة المجدّ</w:t>
      </w:r>
      <w:r w:rsidRPr="006571AC">
        <w:rPr>
          <w:rFonts w:cs="DanaFajr" w:hint="cs"/>
          <w:sz w:val="28"/>
          <w:szCs w:val="28"/>
          <w:rtl/>
        </w:rPr>
        <w:t>ِ</w:t>
      </w:r>
      <w:r w:rsidRPr="006571AC">
        <w:rPr>
          <w:rFonts w:cs="DanaFajr"/>
          <w:sz w:val="28"/>
          <w:szCs w:val="28"/>
          <w:rtl/>
        </w:rPr>
        <w:t>د الوحيد البهبهاني، قم، ط1، ١٤١٩</w:t>
      </w:r>
      <w:r w:rsidRPr="006571AC">
        <w:rPr>
          <w:rFonts w:cs="DanaFajr" w:hint="cs"/>
          <w:sz w:val="28"/>
          <w:szCs w:val="28"/>
          <w:rtl/>
        </w:rPr>
        <w:t xml:space="preserve">هـ؛ </w:t>
      </w:r>
      <w:r w:rsidRPr="006571AC">
        <w:rPr>
          <w:rFonts w:cs="DanaFajr"/>
          <w:sz w:val="28"/>
          <w:szCs w:val="28"/>
          <w:rtl/>
        </w:rPr>
        <w:t>مرتضى الحسيني الفيروزآبادي</w:t>
      </w:r>
      <w:r w:rsidRPr="006571AC">
        <w:rPr>
          <w:rFonts w:cs="DanaFajr" w:hint="cs"/>
          <w:sz w:val="28"/>
          <w:szCs w:val="28"/>
          <w:rtl/>
        </w:rPr>
        <w:t>،</w:t>
      </w:r>
      <w:r w:rsidRPr="006571AC">
        <w:rPr>
          <w:rFonts w:cs="DanaFajr"/>
          <w:sz w:val="28"/>
          <w:szCs w:val="28"/>
          <w:rtl/>
        </w:rPr>
        <w:t xml:space="preserve"> عناية الأصول ١</w:t>
      </w:r>
      <w:r w:rsidRPr="006571AC">
        <w:rPr>
          <w:rFonts w:cs="DanaFajr" w:hint="cs"/>
          <w:sz w:val="28"/>
          <w:szCs w:val="28"/>
          <w:rtl/>
        </w:rPr>
        <w:t xml:space="preserve">: </w:t>
      </w:r>
      <w:r w:rsidRPr="006571AC">
        <w:rPr>
          <w:rFonts w:cs="DanaFajr"/>
          <w:sz w:val="28"/>
          <w:szCs w:val="28"/>
          <w:rtl/>
        </w:rPr>
        <w:t xml:space="preserve">١٠١، </w:t>
      </w:r>
      <w:r w:rsidRPr="006571AC">
        <w:rPr>
          <w:rFonts w:cs="DanaFajr" w:hint="cs"/>
          <w:sz w:val="28"/>
          <w:szCs w:val="28"/>
          <w:rtl/>
        </w:rPr>
        <w:t xml:space="preserve">انتشارات </w:t>
      </w:r>
      <w:r w:rsidRPr="006571AC">
        <w:rPr>
          <w:rFonts w:cs="DanaFajr"/>
          <w:sz w:val="28"/>
          <w:szCs w:val="28"/>
          <w:rtl/>
        </w:rPr>
        <w:t>فيروزآبادي، قم، ط1، ١٤٠٠</w:t>
      </w:r>
      <w:r w:rsidRPr="006571AC">
        <w:rPr>
          <w:rFonts w:cs="DanaFajr" w:hint="cs"/>
          <w:sz w:val="28"/>
          <w:szCs w:val="28"/>
          <w:rtl/>
        </w:rPr>
        <w:t>هـ</w:t>
      </w:r>
      <w:r w:rsidRPr="006571AC">
        <w:rPr>
          <w:rFonts w:cs="DanaFajr"/>
          <w:sz w:val="28"/>
          <w:szCs w:val="28"/>
          <w:rtl/>
        </w:rPr>
        <w:t xml:space="preserve">. </w:t>
      </w:r>
    </w:p>
  </w:endnote>
  <w:endnote w:id="77">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السيد المرتضى، الانتصار: ٢٥٤، مؤسّسة النشر الإسلامي، قم، ط1، ١٤١٥</w:t>
      </w:r>
      <w:r w:rsidRPr="006571AC">
        <w:rPr>
          <w:rFonts w:cs="DanaFajr" w:hint="cs"/>
          <w:sz w:val="28"/>
          <w:szCs w:val="28"/>
          <w:rtl/>
        </w:rPr>
        <w:t xml:space="preserve">هـ؛ </w:t>
      </w:r>
      <w:r w:rsidRPr="006571AC">
        <w:rPr>
          <w:rFonts w:cs="DanaFajr"/>
          <w:sz w:val="28"/>
          <w:szCs w:val="28"/>
          <w:rtl/>
        </w:rPr>
        <w:t>أحمد ابن حجر العسقلاني</w:t>
      </w:r>
      <w:r w:rsidRPr="006571AC">
        <w:rPr>
          <w:rFonts w:cs="DanaFajr" w:hint="cs"/>
          <w:sz w:val="28"/>
          <w:szCs w:val="28"/>
          <w:rtl/>
        </w:rPr>
        <w:t>،</w:t>
      </w:r>
      <w:r w:rsidRPr="006571AC">
        <w:rPr>
          <w:rFonts w:cs="DanaFajr"/>
          <w:sz w:val="28"/>
          <w:szCs w:val="28"/>
          <w:rtl/>
        </w:rPr>
        <w:t xml:space="preserve"> فتح الباري ٣: ٣٩٧، دار المعرفة، بيروت، ط2. </w:t>
      </w:r>
    </w:p>
  </w:endnote>
  <w:endnote w:id="78">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الانتصار: ١٥١</w:t>
      </w:r>
      <w:r w:rsidRPr="006571AC">
        <w:rPr>
          <w:rFonts w:cs="DanaFajr" w:hint="cs"/>
          <w:sz w:val="28"/>
          <w:szCs w:val="28"/>
          <w:rtl/>
        </w:rPr>
        <w:t xml:space="preserve">؛ </w:t>
      </w:r>
      <w:r w:rsidRPr="006571AC">
        <w:rPr>
          <w:rFonts w:cs="DanaFajr"/>
          <w:sz w:val="28"/>
          <w:szCs w:val="28"/>
          <w:rtl/>
        </w:rPr>
        <w:t xml:space="preserve">أحمد البيهقي، شعب الإيمان ٢: ٣٤٥، دار الكتب العلمية، بيروت، ط1. </w:t>
      </w:r>
    </w:p>
  </w:endnote>
  <w:endnote w:id="79">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المحقّق جعفر الحلّي، معارج الأصول: ١٢٦ مؤسّسة آل البيت</w:t>
      </w:r>
      <w:r w:rsidRPr="006571AC">
        <w:rPr>
          <w:rFonts w:ascii="Mosawi" w:hAnsi="Mosawi" w:cs="Mosawi"/>
          <w:rtl/>
        </w:rPr>
        <w:t>^</w:t>
      </w:r>
      <w:r w:rsidRPr="006571AC">
        <w:rPr>
          <w:rFonts w:cs="DanaFajr" w:hint="cs"/>
          <w:sz w:val="28"/>
          <w:szCs w:val="28"/>
          <w:rtl/>
        </w:rPr>
        <w:t xml:space="preserve"> لإحياء التراث</w:t>
      </w:r>
      <w:r w:rsidRPr="006571AC">
        <w:rPr>
          <w:rFonts w:cs="DanaFajr"/>
          <w:sz w:val="28"/>
          <w:szCs w:val="28"/>
          <w:rtl/>
        </w:rPr>
        <w:t>، قم، ط1، ١٤٠٣</w:t>
      </w:r>
      <w:r w:rsidRPr="006571AC">
        <w:rPr>
          <w:rFonts w:cs="DanaFajr" w:hint="cs"/>
          <w:sz w:val="28"/>
          <w:szCs w:val="28"/>
          <w:rtl/>
        </w:rPr>
        <w:t xml:space="preserve">هـ؛ </w:t>
      </w:r>
      <w:r w:rsidRPr="006571AC">
        <w:rPr>
          <w:rFonts w:cs="DanaFajr"/>
          <w:sz w:val="28"/>
          <w:szCs w:val="28"/>
          <w:rtl/>
        </w:rPr>
        <w:t xml:space="preserve">العلاّمة حسن الحلّي، الألفين: ٥٩، </w:t>
      </w:r>
      <w:r w:rsidRPr="006571AC">
        <w:rPr>
          <w:rFonts w:cs="DanaFajr" w:hint="cs"/>
          <w:sz w:val="28"/>
          <w:szCs w:val="28"/>
          <w:rtl/>
        </w:rPr>
        <w:t>دار الهجرة</w:t>
      </w:r>
      <w:r w:rsidRPr="006571AC">
        <w:rPr>
          <w:rFonts w:cs="DanaFajr"/>
          <w:sz w:val="28"/>
          <w:szCs w:val="28"/>
          <w:rtl/>
        </w:rPr>
        <w:t>، قم، ط1، ١٤٠٩</w:t>
      </w:r>
      <w:r w:rsidRPr="006571AC">
        <w:rPr>
          <w:rFonts w:cs="DanaFajr" w:hint="cs"/>
          <w:sz w:val="28"/>
          <w:szCs w:val="28"/>
          <w:rtl/>
        </w:rPr>
        <w:t xml:space="preserve">هـ؛ </w:t>
      </w:r>
      <w:r w:rsidRPr="006571AC">
        <w:rPr>
          <w:rFonts w:cs="DanaFajr"/>
          <w:sz w:val="28"/>
          <w:szCs w:val="28"/>
          <w:rtl/>
        </w:rPr>
        <w:t xml:space="preserve">الفائق في علم الأصول: ٤٤. </w:t>
      </w:r>
    </w:p>
  </w:endnote>
  <w:endnote w:id="80">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الحرّ العاملي، وسائل الشيعة إلى تحصيل </w:t>
      </w:r>
      <w:r w:rsidRPr="006571AC">
        <w:rPr>
          <w:rFonts w:cs="DanaFajr" w:hint="cs"/>
          <w:sz w:val="28"/>
          <w:szCs w:val="28"/>
          <w:rtl/>
        </w:rPr>
        <w:t xml:space="preserve">مسائل </w:t>
      </w:r>
      <w:r w:rsidRPr="006571AC">
        <w:rPr>
          <w:rFonts w:cs="DanaFajr"/>
          <w:sz w:val="28"/>
          <w:szCs w:val="28"/>
          <w:rtl/>
        </w:rPr>
        <w:t>الشريعة ٢٧: ٣٥ وما بعدها، مؤسّسة آل البيت</w:t>
      </w:r>
      <w:r w:rsidRPr="006571AC">
        <w:rPr>
          <w:rFonts w:ascii="Mosawi" w:hAnsi="Mosawi" w:cs="Mosawi"/>
          <w:rtl/>
        </w:rPr>
        <w:t>^</w:t>
      </w:r>
      <w:r w:rsidRPr="006571AC">
        <w:rPr>
          <w:rFonts w:cs="DanaFajr" w:hint="cs"/>
          <w:sz w:val="28"/>
          <w:szCs w:val="28"/>
          <w:rtl/>
        </w:rPr>
        <w:t xml:space="preserve"> لإحياء التراث</w:t>
      </w:r>
      <w:r w:rsidRPr="006571AC">
        <w:rPr>
          <w:rFonts w:cs="DanaFajr"/>
          <w:sz w:val="28"/>
          <w:szCs w:val="28"/>
          <w:rtl/>
        </w:rPr>
        <w:t>، قم، ط2، ١٤١٤</w:t>
      </w:r>
      <w:r w:rsidRPr="006571AC">
        <w:rPr>
          <w:rFonts w:cs="DanaFajr" w:hint="cs"/>
          <w:sz w:val="28"/>
          <w:szCs w:val="28"/>
          <w:rtl/>
        </w:rPr>
        <w:t xml:space="preserve">هـ؛ </w:t>
      </w:r>
      <w:r w:rsidRPr="006571AC">
        <w:rPr>
          <w:rFonts w:cs="DanaFajr"/>
          <w:sz w:val="28"/>
          <w:szCs w:val="28"/>
          <w:rtl/>
        </w:rPr>
        <w:t>محمد باقر المجلسي</w:t>
      </w:r>
      <w:r w:rsidRPr="006571AC">
        <w:rPr>
          <w:rFonts w:cs="DanaFajr" w:hint="cs"/>
          <w:sz w:val="28"/>
          <w:szCs w:val="28"/>
          <w:rtl/>
        </w:rPr>
        <w:t>،</w:t>
      </w:r>
      <w:r w:rsidRPr="006571AC">
        <w:rPr>
          <w:rFonts w:cs="DanaFajr"/>
          <w:sz w:val="28"/>
          <w:szCs w:val="28"/>
          <w:rtl/>
        </w:rPr>
        <w:t xml:space="preserve"> بحار الأنوار ٢: ٢٨٣، دار إحياء التراث العربي، بيروت، ط3، ١٤٠٣</w:t>
      </w:r>
      <w:r w:rsidRPr="006571AC">
        <w:rPr>
          <w:rFonts w:cs="DanaFajr" w:hint="cs"/>
          <w:sz w:val="28"/>
          <w:szCs w:val="28"/>
          <w:rtl/>
        </w:rPr>
        <w:t>هـ</w:t>
      </w:r>
      <w:r w:rsidRPr="006571AC">
        <w:rPr>
          <w:rFonts w:cs="DanaFajr"/>
          <w:sz w:val="28"/>
          <w:szCs w:val="28"/>
          <w:rtl/>
        </w:rPr>
        <w:t xml:space="preserve">. </w:t>
      </w:r>
    </w:p>
  </w:endnote>
  <w:endnote w:id="81">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الفوائد الحائرية</w:t>
      </w:r>
      <w:r w:rsidRPr="006571AC">
        <w:rPr>
          <w:rFonts w:cs="DanaFajr" w:hint="cs"/>
          <w:sz w:val="28"/>
          <w:szCs w:val="28"/>
          <w:rtl/>
        </w:rPr>
        <w:t xml:space="preserve">: </w:t>
      </w:r>
      <w:r w:rsidRPr="006571AC">
        <w:rPr>
          <w:rFonts w:cs="DanaFajr"/>
          <w:sz w:val="28"/>
          <w:szCs w:val="28"/>
          <w:rtl/>
        </w:rPr>
        <w:t xml:space="preserve">٢٤١. </w:t>
      </w:r>
    </w:p>
  </w:endnote>
  <w:endnote w:id="82">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الكافي</w:t>
      </w:r>
      <w:r w:rsidRPr="006571AC">
        <w:rPr>
          <w:rFonts w:cs="DanaFajr" w:hint="cs"/>
          <w:sz w:val="28"/>
          <w:szCs w:val="28"/>
          <w:rtl/>
        </w:rPr>
        <w:t xml:space="preserve"> </w:t>
      </w:r>
      <w:r w:rsidRPr="006571AC">
        <w:rPr>
          <w:rFonts w:cs="DanaFajr"/>
          <w:sz w:val="28"/>
          <w:szCs w:val="28"/>
          <w:rtl/>
        </w:rPr>
        <w:t xml:space="preserve">٢: ٧٤. </w:t>
      </w:r>
    </w:p>
  </w:endnote>
  <w:endnote w:id="83">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أحمد البرقي</w:t>
      </w:r>
      <w:r w:rsidRPr="006571AC">
        <w:rPr>
          <w:rFonts w:cs="DanaFajr" w:hint="cs"/>
          <w:sz w:val="28"/>
          <w:szCs w:val="28"/>
          <w:rtl/>
        </w:rPr>
        <w:t>،</w:t>
      </w:r>
      <w:r w:rsidRPr="006571AC">
        <w:rPr>
          <w:rFonts w:cs="DanaFajr"/>
          <w:sz w:val="28"/>
          <w:szCs w:val="28"/>
          <w:rtl/>
        </w:rPr>
        <w:t xml:space="preserve"> المحاسن ١: ٢٧٨، دار الكتب الإسلامية، طهران، ١٣٧٠. </w:t>
      </w:r>
    </w:p>
  </w:endnote>
  <w:endnote w:id="84">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القاضي النعمان المغربي، دعائم الإسلام ٢: ١٥٠، دار المعارف، القاهرة، ط2، ١٣٨٥. </w:t>
      </w:r>
    </w:p>
  </w:endnote>
  <w:endnote w:id="85">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ابن أبي شيبة الكوفي، المصنّ</w:t>
      </w:r>
      <w:r w:rsidRPr="006571AC">
        <w:rPr>
          <w:rFonts w:cs="DanaFajr" w:hint="cs"/>
          <w:sz w:val="28"/>
          <w:szCs w:val="28"/>
          <w:rtl/>
        </w:rPr>
        <w:t>َ</w:t>
      </w:r>
      <w:r w:rsidRPr="006571AC">
        <w:rPr>
          <w:rFonts w:cs="DanaFajr"/>
          <w:sz w:val="28"/>
          <w:szCs w:val="28"/>
          <w:rtl/>
        </w:rPr>
        <w:t>ف ٨: ١٢٩، دار الفكر، بيروت، ط1، ١٤٠٩</w:t>
      </w:r>
      <w:r w:rsidRPr="006571AC">
        <w:rPr>
          <w:rFonts w:cs="DanaFajr" w:hint="cs"/>
          <w:sz w:val="28"/>
          <w:szCs w:val="28"/>
          <w:rtl/>
        </w:rPr>
        <w:t>هـ؛ ا</w:t>
      </w:r>
      <w:r w:rsidRPr="006571AC">
        <w:rPr>
          <w:rFonts w:cs="DanaFajr"/>
          <w:sz w:val="28"/>
          <w:szCs w:val="28"/>
          <w:rtl/>
        </w:rPr>
        <w:t>لبيهقي</w:t>
      </w:r>
      <w:r w:rsidRPr="006571AC">
        <w:rPr>
          <w:rFonts w:cs="DanaFajr" w:hint="cs"/>
          <w:sz w:val="28"/>
          <w:szCs w:val="28"/>
          <w:rtl/>
        </w:rPr>
        <w:t>،</w:t>
      </w:r>
      <w:r w:rsidRPr="006571AC">
        <w:rPr>
          <w:rFonts w:cs="DanaFajr"/>
          <w:sz w:val="28"/>
          <w:szCs w:val="28"/>
          <w:rtl/>
        </w:rPr>
        <w:t xml:space="preserve"> شعب الإيمان ٧: ٢٩٩. </w:t>
      </w:r>
    </w:p>
  </w:endnote>
  <w:endnote w:id="86">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المحاسن</w:t>
      </w:r>
      <w:r w:rsidRPr="006571AC">
        <w:rPr>
          <w:rFonts w:cs="DanaFajr" w:hint="cs"/>
          <w:sz w:val="28"/>
          <w:szCs w:val="28"/>
          <w:rtl/>
        </w:rPr>
        <w:t xml:space="preserve"> </w:t>
      </w:r>
      <w:r w:rsidRPr="006571AC">
        <w:rPr>
          <w:rFonts w:cs="DanaFajr"/>
          <w:sz w:val="28"/>
          <w:szCs w:val="28"/>
          <w:rtl/>
        </w:rPr>
        <w:t>١: ٢١٣</w:t>
      </w:r>
      <w:r w:rsidRPr="006571AC">
        <w:rPr>
          <w:rFonts w:cs="DanaFajr" w:hint="cs"/>
          <w:sz w:val="28"/>
          <w:szCs w:val="28"/>
          <w:rtl/>
        </w:rPr>
        <w:t xml:space="preserve">؛ </w:t>
      </w:r>
      <w:r w:rsidRPr="006571AC">
        <w:rPr>
          <w:rFonts w:cs="DanaFajr"/>
          <w:sz w:val="28"/>
          <w:szCs w:val="28"/>
          <w:rtl/>
        </w:rPr>
        <w:t>الكافي</w:t>
      </w:r>
      <w:r w:rsidRPr="006571AC">
        <w:rPr>
          <w:rFonts w:cs="DanaFajr" w:hint="cs"/>
          <w:sz w:val="28"/>
          <w:szCs w:val="28"/>
          <w:rtl/>
        </w:rPr>
        <w:t xml:space="preserve"> </w:t>
      </w:r>
      <w:r w:rsidRPr="006571AC">
        <w:rPr>
          <w:rFonts w:cs="DanaFajr"/>
          <w:sz w:val="28"/>
          <w:szCs w:val="28"/>
          <w:rtl/>
        </w:rPr>
        <w:t xml:space="preserve">١: ٥٧. </w:t>
      </w:r>
    </w:p>
  </w:endnote>
  <w:endnote w:id="87">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السيد المرتضى، شرح الجمل والعمل: ٣٢٣، دار الأسوة للطباعة والنشر، طهران، ط1، ١٤١٩</w:t>
      </w:r>
      <w:r w:rsidRPr="006571AC">
        <w:rPr>
          <w:rFonts w:cs="DanaFajr" w:hint="cs"/>
          <w:sz w:val="28"/>
          <w:szCs w:val="28"/>
          <w:rtl/>
        </w:rPr>
        <w:t>هـ</w:t>
      </w:r>
      <w:r w:rsidRPr="006571AC">
        <w:rPr>
          <w:rFonts w:cs="DanaFajr"/>
          <w:sz w:val="28"/>
          <w:szCs w:val="28"/>
          <w:rtl/>
        </w:rPr>
        <w:t xml:space="preserve">. </w:t>
      </w:r>
    </w:p>
  </w:endnote>
  <w:endnote w:id="88">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الطباطبائي اليزدي، وسيلة الوسائل في شرح الرسائل، قم، ط1</w:t>
      </w:r>
      <w:r w:rsidRPr="006571AC">
        <w:rPr>
          <w:rFonts w:cs="DanaFajr" w:hint="cs"/>
          <w:sz w:val="28"/>
          <w:szCs w:val="28"/>
          <w:rtl/>
        </w:rPr>
        <w:t xml:space="preserve">؛ </w:t>
      </w:r>
      <w:r w:rsidRPr="006571AC">
        <w:rPr>
          <w:rFonts w:cs="DanaFajr"/>
          <w:sz w:val="28"/>
          <w:szCs w:val="28"/>
          <w:rtl/>
        </w:rPr>
        <w:t>أوثق الوسائل في شرح الرسائل</w:t>
      </w:r>
      <w:r w:rsidRPr="006571AC">
        <w:rPr>
          <w:rFonts w:cs="DanaFajr" w:hint="cs"/>
          <w:sz w:val="28"/>
          <w:szCs w:val="28"/>
          <w:rtl/>
        </w:rPr>
        <w:t xml:space="preserve">: </w:t>
      </w:r>
      <w:r w:rsidRPr="006571AC">
        <w:rPr>
          <w:rFonts w:cs="DanaFajr"/>
          <w:sz w:val="28"/>
          <w:szCs w:val="28"/>
          <w:rtl/>
        </w:rPr>
        <w:t>١٤٦</w:t>
      </w:r>
      <w:r w:rsidRPr="006571AC">
        <w:rPr>
          <w:rFonts w:cs="DanaFajr" w:hint="cs"/>
          <w:sz w:val="28"/>
          <w:szCs w:val="28"/>
          <w:rtl/>
        </w:rPr>
        <w:t xml:space="preserve">؛ </w:t>
      </w:r>
      <w:r w:rsidRPr="006571AC">
        <w:rPr>
          <w:rFonts w:cs="DanaFajr"/>
          <w:sz w:val="28"/>
          <w:szCs w:val="28"/>
          <w:rtl/>
        </w:rPr>
        <w:t xml:space="preserve">محمد فاضل، معتمد الأصول </w:t>
      </w:r>
      <w:r w:rsidRPr="006571AC">
        <w:rPr>
          <w:rFonts w:cs="DanaFajr" w:hint="cs"/>
          <w:sz w:val="28"/>
          <w:szCs w:val="28"/>
          <w:rtl/>
        </w:rPr>
        <w:t>[</w:t>
      </w:r>
      <w:r w:rsidRPr="006571AC">
        <w:rPr>
          <w:rFonts w:cs="DanaFajr"/>
          <w:sz w:val="28"/>
          <w:szCs w:val="28"/>
          <w:rtl/>
        </w:rPr>
        <w:t>تقريرات أبحاث الخارج للإمام الخميني</w:t>
      </w:r>
      <w:r w:rsidRPr="006571AC">
        <w:rPr>
          <w:rFonts w:cs="DanaFajr" w:hint="cs"/>
          <w:sz w:val="28"/>
          <w:szCs w:val="28"/>
          <w:rtl/>
        </w:rPr>
        <w:t>]</w:t>
      </w:r>
      <w:r w:rsidRPr="006571AC">
        <w:rPr>
          <w:rFonts w:cs="DanaFajr"/>
          <w:sz w:val="28"/>
          <w:szCs w:val="28"/>
          <w:rtl/>
        </w:rPr>
        <w:t xml:space="preserve"> ٢: ٣٥٧، مؤسّسة تنظيم ونشر آثار الإمام الخميني، طهران، ط1، ١٣٨١هـ.ش. </w:t>
      </w:r>
    </w:p>
  </w:endnote>
  <w:endnote w:id="89">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الكافي</w:t>
      </w:r>
      <w:r w:rsidRPr="006571AC">
        <w:rPr>
          <w:rFonts w:cs="DanaFajr" w:hint="cs"/>
          <w:sz w:val="28"/>
          <w:szCs w:val="28"/>
          <w:rtl/>
        </w:rPr>
        <w:t xml:space="preserve"> </w:t>
      </w:r>
      <w:r w:rsidRPr="006571AC">
        <w:rPr>
          <w:rFonts w:cs="DanaFajr"/>
          <w:sz w:val="28"/>
          <w:szCs w:val="28"/>
          <w:rtl/>
        </w:rPr>
        <w:t>١: ٥٢</w:t>
      </w:r>
      <w:r w:rsidRPr="006571AC">
        <w:rPr>
          <w:rFonts w:cs="DanaFajr" w:hint="cs"/>
          <w:sz w:val="28"/>
          <w:szCs w:val="28"/>
          <w:rtl/>
        </w:rPr>
        <w:t xml:space="preserve">، </w:t>
      </w:r>
      <w:r w:rsidRPr="006571AC">
        <w:rPr>
          <w:rFonts w:cs="DanaFajr"/>
          <w:sz w:val="28"/>
          <w:szCs w:val="28"/>
          <w:rtl/>
        </w:rPr>
        <w:t xml:space="preserve">٤٠٤. </w:t>
      </w:r>
    </w:p>
  </w:endnote>
  <w:endnote w:id="90">
    <w:p w:rsidR="00DB2356" w:rsidRPr="006571AC" w:rsidRDefault="00DB2356" w:rsidP="00813D11">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الآخوند محمد كاظم الخراساني</w:t>
      </w:r>
      <w:r w:rsidRPr="006571AC">
        <w:rPr>
          <w:rFonts w:cs="DanaFajr" w:hint="cs"/>
          <w:sz w:val="28"/>
          <w:szCs w:val="28"/>
          <w:rtl/>
        </w:rPr>
        <w:t>،</w:t>
      </w:r>
      <w:r w:rsidRPr="006571AC">
        <w:rPr>
          <w:rFonts w:cs="DanaFajr"/>
          <w:sz w:val="28"/>
          <w:szCs w:val="28"/>
          <w:rtl/>
        </w:rPr>
        <w:t xml:space="preserve"> كفاية الأصول: ٣٤١</w:t>
      </w:r>
      <w:r w:rsidRPr="006571AC">
        <w:rPr>
          <w:rFonts w:cs="DanaFajr" w:hint="cs"/>
          <w:sz w:val="28"/>
          <w:szCs w:val="28"/>
          <w:rtl/>
        </w:rPr>
        <w:t xml:space="preserve"> ـ </w:t>
      </w:r>
      <w:r w:rsidRPr="006571AC">
        <w:rPr>
          <w:rFonts w:cs="DanaFajr"/>
          <w:sz w:val="28"/>
          <w:szCs w:val="28"/>
          <w:rtl/>
        </w:rPr>
        <w:t>٣٤٢، مؤسّسة آل البيت</w:t>
      </w:r>
      <w:r w:rsidRPr="006571AC">
        <w:rPr>
          <w:rFonts w:ascii="Mosawi" w:hAnsi="Mosawi" w:cs="Mosawi"/>
          <w:rtl/>
        </w:rPr>
        <w:t>^</w:t>
      </w:r>
      <w:r w:rsidRPr="006571AC">
        <w:rPr>
          <w:rFonts w:cs="DanaFajr" w:hint="cs"/>
          <w:sz w:val="28"/>
          <w:szCs w:val="28"/>
          <w:rtl/>
        </w:rPr>
        <w:t xml:space="preserve"> لإحياء التراث</w:t>
      </w:r>
      <w:r w:rsidRPr="006571AC">
        <w:rPr>
          <w:rFonts w:cs="DanaFajr"/>
          <w:sz w:val="28"/>
          <w:szCs w:val="28"/>
          <w:rtl/>
        </w:rPr>
        <w:t>، بيروت، ط2، ١٤١٢</w:t>
      </w:r>
      <w:r w:rsidRPr="006571AC">
        <w:rPr>
          <w:rFonts w:cs="DanaFajr" w:hint="cs"/>
          <w:sz w:val="28"/>
          <w:szCs w:val="28"/>
          <w:rtl/>
        </w:rPr>
        <w:t>هـ</w:t>
      </w:r>
      <w:r w:rsidRPr="006571AC">
        <w:rPr>
          <w:rFonts w:cs="DanaFajr"/>
          <w:sz w:val="28"/>
          <w:szCs w:val="28"/>
          <w:rtl/>
        </w:rPr>
        <w:t xml:space="preserve">. </w:t>
      </w:r>
    </w:p>
  </w:endnote>
  <w:endnote w:id="91">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الكافي</w:t>
      </w:r>
      <w:r w:rsidRPr="006571AC">
        <w:rPr>
          <w:rFonts w:cs="DanaFajr" w:hint="cs"/>
          <w:sz w:val="28"/>
          <w:szCs w:val="28"/>
          <w:rtl/>
        </w:rPr>
        <w:t xml:space="preserve"> </w:t>
      </w:r>
      <w:r w:rsidRPr="006571AC">
        <w:rPr>
          <w:rFonts w:cs="DanaFajr"/>
          <w:sz w:val="28"/>
          <w:szCs w:val="28"/>
          <w:rtl/>
        </w:rPr>
        <w:t xml:space="preserve">١: ٦٤. </w:t>
      </w:r>
    </w:p>
  </w:endnote>
  <w:endnote w:id="92">
    <w:p w:rsidR="00DB2356" w:rsidRPr="006571AC" w:rsidRDefault="00DB2356" w:rsidP="00B419B8">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الطباطبائي اليزدي، وسيلة الوسائل في شرح الرسائل</w:t>
      </w:r>
      <w:r w:rsidRPr="006571AC">
        <w:rPr>
          <w:rFonts w:cs="DanaFajr" w:hint="cs"/>
          <w:sz w:val="28"/>
          <w:szCs w:val="28"/>
          <w:rtl/>
        </w:rPr>
        <w:t xml:space="preserve">؛ </w:t>
      </w:r>
      <w:r w:rsidRPr="006571AC">
        <w:rPr>
          <w:rFonts w:cs="DanaFajr"/>
          <w:sz w:val="28"/>
          <w:szCs w:val="28"/>
          <w:rtl/>
        </w:rPr>
        <w:t>أوثق الوسائل في شرح الرسائل</w:t>
      </w:r>
      <w:r w:rsidRPr="006571AC">
        <w:rPr>
          <w:rFonts w:cs="DanaFajr" w:hint="cs"/>
          <w:sz w:val="28"/>
          <w:szCs w:val="28"/>
          <w:rtl/>
        </w:rPr>
        <w:t xml:space="preserve">: </w:t>
      </w:r>
      <w:r w:rsidRPr="006571AC">
        <w:rPr>
          <w:rFonts w:cs="DanaFajr"/>
          <w:sz w:val="28"/>
          <w:szCs w:val="28"/>
          <w:rtl/>
        </w:rPr>
        <w:t>١٤٦</w:t>
      </w:r>
      <w:r w:rsidRPr="006571AC">
        <w:rPr>
          <w:rFonts w:cs="DanaFajr" w:hint="cs"/>
          <w:sz w:val="28"/>
          <w:szCs w:val="28"/>
          <w:rtl/>
        </w:rPr>
        <w:t xml:space="preserve">؛ </w:t>
      </w:r>
      <w:r w:rsidRPr="006571AC">
        <w:rPr>
          <w:rFonts w:cs="DanaFajr"/>
          <w:sz w:val="28"/>
          <w:szCs w:val="28"/>
          <w:rtl/>
        </w:rPr>
        <w:t xml:space="preserve">محمد فاضل، معتمد الأصول </w:t>
      </w:r>
      <w:r w:rsidRPr="006571AC">
        <w:rPr>
          <w:rFonts w:cs="DanaFajr" w:hint="cs"/>
          <w:sz w:val="28"/>
          <w:szCs w:val="28"/>
          <w:rtl/>
        </w:rPr>
        <w:t>[</w:t>
      </w:r>
      <w:r w:rsidRPr="006571AC">
        <w:rPr>
          <w:rFonts w:cs="DanaFajr"/>
          <w:sz w:val="28"/>
          <w:szCs w:val="28"/>
          <w:rtl/>
        </w:rPr>
        <w:t>تقريرات أبحاث الخارج للإمام الخميني</w:t>
      </w:r>
      <w:r w:rsidRPr="006571AC">
        <w:rPr>
          <w:rFonts w:cs="DanaFajr" w:hint="cs"/>
          <w:sz w:val="28"/>
          <w:szCs w:val="28"/>
          <w:rtl/>
        </w:rPr>
        <w:t>]</w:t>
      </w:r>
      <w:r w:rsidRPr="006571AC">
        <w:rPr>
          <w:rFonts w:cs="DanaFajr"/>
          <w:sz w:val="28"/>
          <w:szCs w:val="28"/>
          <w:rtl/>
        </w:rPr>
        <w:t xml:space="preserve"> ٢: ٣٥٧</w:t>
      </w:r>
      <w:r w:rsidRPr="006571AC">
        <w:rPr>
          <w:rFonts w:cs="DanaFajr" w:hint="cs"/>
          <w:sz w:val="28"/>
          <w:szCs w:val="28"/>
          <w:rtl/>
        </w:rPr>
        <w:t xml:space="preserve">. </w:t>
      </w:r>
    </w:p>
  </w:endnote>
  <w:endnote w:id="93">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المصادر نفسها. </w:t>
      </w:r>
    </w:p>
  </w:endnote>
  <w:endnote w:id="94">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الشيخ</w:t>
      </w:r>
      <w:r w:rsidRPr="006571AC">
        <w:rPr>
          <w:rFonts w:cs="DanaFajr"/>
          <w:sz w:val="28"/>
          <w:szCs w:val="28"/>
          <w:rtl/>
        </w:rPr>
        <w:t xml:space="preserve"> المفيد، الإرشاد في معرفة حجج الله على العباد ٢: ٣٨٤. </w:t>
      </w:r>
    </w:p>
  </w:endnote>
  <w:endnote w:id="95">
    <w:p w:rsidR="00DB2356" w:rsidRPr="006571AC" w:rsidRDefault="00DB2356" w:rsidP="00B419B8">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مرتضى البروجوردي، المستند في شرح العروة الوثقى </w:t>
      </w:r>
      <w:r w:rsidRPr="006571AC">
        <w:rPr>
          <w:rFonts w:cs="DanaFajr" w:hint="cs"/>
          <w:sz w:val="28"/>
          <w:szCs w:val="28"/>
          <w:rtl/>
        </w:rPr>
        <w:t>(</w:t>
      </w:r>
      <w:r w:rsidRPr="006571AC">
        <w:rPr>
          <w:rFonts w:cs="DanaFajr"/>
          <w:sz w:val="28"/>
          <w:szCs w:val="28"/>
          <w:rtl/>
        </w:rPr>
        <w:t xml:space="preserve">تقريرات أبحاث الخارج </w:t>
      </w:r>
      <w:r w:rsidRPr="006571AC">
        <w:rPr>
          <w:rFonts w:cs="DanaFajr" w:hint="cs"/>
          <w:sz w:val="28"/>
          <w:szCs w:val="28"/>
          <w:rtl/>
        </w:rPr>
        <w:t>للسيد</w:t>
      </w:r>
      <w:r w:rsidRPr="006571AC">
        <w:rPr>
          <w:rFonts w:cs="DanaFajr"/>
          <w:sz w:val="28"/>
          <w:szCs w:val="28"/>
          <w:rtl/>
        </w:rPr>
        <w:t xml:space="preserve"> الخوئي</w:t>
      </w:r>
      <w:r w:rsidRPr="006571AC">
        <w:rPr>
          <w:rFonts w:cs="DanaFajr" w:hint="cs"/>
          <w:sz w:val="28"/>
          <w:szCs w:val="28"/>
          <w:rtl/>
        </w:rPr>
        <w:t>)</w:t>
      </w:r>
      <w:r w:rsidRPr="006571AC">
        <w:rPr>
          <w:rFonts w:cs="DanaFajr"/>
          <w:sz w:val="28"/>
          <w:szCs w:val="28"/>
          <w:rtl/>
        </w:rPr>
        <w:t>، كتاب الخمس: ١٩٦، لطفي، قم، ١٣٦٤هـ.ش</w:t>
      </w:r>
      <w:r w:rsidRPr="006571AC">
        <w:rPr>
          <w:rFonts w:cs="DanaFajr" w:hint="cs"/>
          <w:sz w:val="28"/>
          <w:szCs w:val="28"/>
          <w:rtl/>
        </w:rPr>
        <w:t>؛</w:t>
      </w:r>
      <w:r w:rsidRPr="006571AC">
        <w:rPr>
          <w:rFonts w:cs="DanaFajr"/>
          <w:sz w:val="28"/>
          <w:szCs w:val="28"/>
          <w:rtl/>
        </w:rPr>
        <w:t xml:space="preserve"> السيد عبد</w:t>
      </w:r>
      <w:r w:rsidRPr="006571AC">
        <w:rPr>
          <w:rFonts w:cs="DanaFajr" w:hint="cs"/>
          <w:sz w:val="28"/>
          <w:szCs w:val="28"/>
          <w:rtl/>
        </w:rPr>
        <w:t xml:space="preserve"> </w:t>
      </w:r>
      <w:r w:rsidRPr="006571AC">
        <w:rPr>
          <w:rFonts w:cs="DanaFajr"/>
          <w:sz w:val="28"/>
          <w:szCs w:val="28"/>
          <w:rtl/>
        </w:rPr>
        <w:t>الأعلى السبزواري</w:t>
      </w:r>
      <w:r w:rsidRPr="006571AC">
        <w:rPr>
          <w:rFonts w:cs="DanaFajr" w:hint="cs"/>
          <w:sz w:val="28"/>
          <w:szCs w:val="28"/>
          <w:rtl/>
        </w:rPr>
        <w:t>،</w:t>
      </w:r>
      <w:r w:rsidRPr="006571AC">
        <w:rPr>
          <w:rFonts w:cs="DanaFajr"/>
          <w:sz w:val="28"/>
          <w:szCs w:val="28"/>
          <w:rtl/>
        </w:rPr>
        <w:t xml:space="preserve"> الخمس: ٢١٣، مكتب </w:t>
      </w:r>
      <w:r w:rsidRPr="006571AC">
        <w:rPr>
          <w:rFonts w:cs="DanaFajr" w:hint="cs"/>
          <w:sz w:val="28"/>
          <w:szCs w:val="28"/>
          <w:rtl/>
        </w:rPr>
        <w:t>السيد</w:t>
      </w:r>
      <w:r w:rsidRPr="006571AC">
        <w:rPr>
          <w:rFonts w:cs="DanaFajr"/>
          <w:sz w:val="28"/>
          <w:szCs w:val="28"/>
          <w:rtl/>
        </w:rPr>
        <w:t xml:space="preserve"> السبزواري، بغداد، ط1، ١٤٢٤</w:t>
      </w:r>
      <w:r w:rsidRPr="006571AC">
        <w:rPr>
          <w:rFonts w:cs="DanaFajr" w:hint="cs"/>
          <w:sz w:val="28"/>
          <w:szCs w:val="28"/>
          <w:rtl/>
        </w:rPr>
        <w:t xml:space="preserve">هـ؛ </w:t>
      </w:r>
      <w:r w:rsidRPr="006571AC">
        <w:rPr>
          <w:rFonts w:cs="DanaFajr"/>
          <w:sz w:val="28"/>
          <w:szCs w:val="28"/>
          <w:rtl/>
        </w:rPr>
        <w:t xml:space="preserve">ناصر مكارم الشيرازي، أنوار الفقاهة </w:t>
      </w:r>
      <w:r w:rsidRPr="006571AC">
        <w:rPr>
          <w:rFonts w:cs="DanaFajr" w:hint="cs"/>
          <w:sz w:val="28"/>
          <w:szCs w:val="28"/>
          <w:rtl/>
        </w:rPr>
        <w:t>(</w:t>
      </w:r>
      <w:r w:rsidRPr="006571AC">
        <w:rPr>
          <w:rFonts w:cs="DanaFajr"/>
          <w:sz w:val="28"/>
          <w:szCs w:val="28"/>
          <w:rtl/>
        </w:rPr>
        <w:t>كتاب الخمس والأنفال</w:t>
      </w:r>
      <w:r w:rsidRPr="006571AC">
        <w:rPr>
          <w:rFonts w:cs="DanaFajr" w:hint="cs"/>
          <w:sz w:val="28"/>
          <w:szCs w:val="28"/>
          <w:rtl/>
        </w:rPr>
        <w:t>)</w:t>
      </w:r>
      <w:r w:rsidRPr="006571AC">
        <w:rPr>
          <w:rFonts w:cs="DanaFajr"/>
          <w:sz w:val="28"/>
          <w:szCs w:val="28"/>
          <w:rtl/>
        </w:rPr>
        <w:t>: ٢٩٣، مدرسة الإمام علي بن أبي طالب</w:t>
      </w:r>
      <w:r w:rsidRPr="006571AC">
        <w:rPr>
          <w:rFonts w:ascii="Mosawi" w:hAnsi="Mosawi" w:cs="Mosawi"/>
          <w:rtl/>
        </w:rPr>
        <w:t>×</w:t>
      </w:r>
      <w:r w:rsidRPr="006571AC">
        <w:rPr>
          <w:rFonts w:cs="DanaFajr"/>
          <w:sz w:val="28"/>
          <w:szCs w:val="28"/>
          <w:rtl/>
        </w:rPr>
        <w:t>، قم</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ط1</w:t>
      </w:r>
      <w:r w:rsidRPr="006571AC">
        <w:rPr>
          <w:rFonts w:cs="DanaFajr"/>
          <w:sz w:val="28"/>
          <w:szCs w:val="28"/>
          <w:rtl/>
        </w:rPr>
        <w:t>، ١٤١٦</w:t>
      </w:r>
      <w:r w:rsidRPr="006571AC">
        <w:rPr>
          <w:rFonts w:cs="DanaFajr" w:hint="cs"/>
          <w:sz w:val="28"/>
          <w:szCs w:val="28"/>
          <w:rtl/>
        </w:rPr>
        <w:t>هـ</w:t>
      </w:r>
      <w:r w:rsidRPr="006571AC">
        <w:rPr>
          <w:rFonts w:cs="DanaFajr"/>
          <w:sz w:val="28"/>
          <w:szCs w:val="28"/>
          <w:rtl/>
        </w:rPr>
        <w:t xml:space="preserve">. </w:t>
      </w:r>
    </w:p>
  </w:endnote>
  <w:endnote w:id="96">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راجع: الكافي</w:t>
      </w:r>
      <w:r w:rsidRPr="006571AC">
        <w:rPr>
          <w:rFonts w:cs="DanaFajr" w:hint="cs"/>
          <w:sz w:val="28"/>
          <w:szCs w:val="28"/>
          <w:rtl/>
        </w:rPr>
        <w:t xml:space="preserve"> </w:t>
      </w:r>
      <w:r w:rsidRPr="006571AC">
        <w:rPr>
          <w:rFonts w:cs="DanaFajr"/>
          <w:sz w:val="28"/>
          <w:szCs w:val="28"/>
          <w:rtl/>
        </w:rPr>
        <w:t>٢: ٦١٤</w:t>
      </w:r>
      <w:r w:rsidRPr="006571AC">
        <w:rPr>
          <w:rFonts w:cs="DanaFajr" w:hint="cs"/>
          <w:sz w:val="28"/>
          <w:szCs w:val="28"/>
          <w:rtl/>
        </w:rPr>
        <w:t>؛</w:t>
      </w:r>
      <w:r w:rsidRPr="006571AC">
        <w:rPr>
          <w:rFonts w:cs="DanaFajr"/>
          <w:sz w:val="28"/>
          <w:szCs w:val="28"/>
          <w:rtl/>
        </w:rPr>
        <w:t xml:space="preserve"> البروجردي، [جامع أحاديث الشيعة] ١: ٥٠</w:t>
      </w:r>
      <w:r w:rsidRPr="006571AC">
        <w:rPr>
          <w:rFonts w:cs="DanaFajr" w:hint="cs"/>
          <w:sz w:val="28"/>
          <w:szCs w:val="28"/>
          <w:rtl/>
        </w:rPr>
        <w:t xml:space="preserve">؛ </w:t>
      </w:r>
      <w:r w:rsidRPr="006571AC">
        <w:rPr>
          <w:rFonts w:cs="DanaFajr"/>
          <w:sz w:val="28"/>
          <w:szCs w:val="28"/>
          <w:rtl/>
        </w:rPr>
        <w:t>علي المتّقي الهندي، كن</w:t>
      </w:r>
      <w:r w:rsidRPr="006571AC">
        <w:rPr>
          <w:rFonts w:cs="DanaFajr" w:hint="cs"/>
          <w:sz w:val="28"/>
          <w:szCs w:val="28"/>
          <w:rtl/>
        </w:rPr>
        <w:t>ـ</w:t>
      </w:r>
      <w:r w:rsidRPr="006571AC">
        <w:rPr>
          <w:rFonts w:cs="DanaFajr"/>
          <w:sz w:val="28"/>
          <w:szCs w:val="28"/>
          <w:rtl/>
        </w:rPr>
        <w:t>ز العمّال ٣: ٦٨٨، تصحيح</w:t>
      </w:r>
      <w:r w:rsidRPr="006571AC">
        <w:rPr>
          <w:rFonts w:cs="DanaFajr" w:hint="cs"/>
          <w:sz w:val="28"/>
          <w:szCs w:val="28"/>
          <w:rtl/>
        </w:rPr>
        <w:t>:</w:t>
      </w:r>
      <w:r w:rsidRPr="006571AC">
        <w:rPr>
          <w:rFonts w:cs="DanaFajr"/>
          <w:sz w:val="28"/>
          <w:szCs w:val="28"/>
          <w:rtl/>
        </w:rPr>
        <w:t xml:space="preserve"> صفوة السّقا، مؤس</w:t>
      </w:r>
      <w:r w:rsidRPr="006571AC">
        <w:rPr>
          <w:rFonts w:cs="DanaFajr" w:hint="cs"/>
          <w:sz w:val="28"/>
          <w:szCs w:val="28"/>
          <w:rtl/>
        </w:rPr>
        <w:t>ّ</w:t>
      </w:r>
      <w:r w:rsidRPr="006571AC">
        <w:rPr>
          <w:rFonts w:cs="DanaFajr"/>
          <w:sz w:val="28"/>
          <w:szCs w:val="28"/>
          <w:rtl/>
        </w:rPr>
        <w:t>سة الرسالة، بيروت، ١٤٠٩</w:t>
      </w:r>
      <w:r w:rsidRPr="006571AC">
        <w:rPr>
          <w:rFonts w:cs="DanaFajr" w:hint="cs"/>
          <w:sz w:val="28"/>
          <w:szCs w:val="28"/>
          <w:rtl/>
        </w:rPr>
        <w:t>هـ</w:t>
      </w:r>
      <w:r w:rsidRPr="006571AC">
        <w:rPr>
          <w:rFonts w:cs="DanaFajr"/>
          <w:sz w:val="28"/>
          <w:szCs w:val="28"/>
          <w:rtl/>
        </w:rPr>
        <w:t xml:space="preserve">. </w:t>
      </w:r>
    </w:p>
  </w:endnote>
  <w:endnote w:id="97">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الكافي</w:t>
      </w:r>
      <w:r w:rsidRPr="006571AC">
        <w:rPr>
          <w:rFonts w:cs="DanaFajr" w:hint="cs"/>
          <w:sz w:val="28"/>
          <w:szCs w:val="28"/>
          <w:rtl/>
        </w:rPr>
        <w:t xml:space="preserve"> </w:t>
      </w:r>
      <w:r w:rsidRPr="006571AC">
        <w:rPr>
          <w:rFonts w:cs="DanaFajr"/>
          <w:sz w:val="28"/>
          <w:szCs w:val="28"/>
          <w:rtl/>
        </w:rPr>
        <w:t>٨: ٢٦</w:t>
      </w:r>
      <w:r w:rsidRPr="006571AC">
        <w:rPr>
          <w:rFonts w:cs="DanaFajr" w:hint="cs"/>
          <w:sz w:val="28"/>
          <w:szCs w:val="28"/>
          <w:rtl/>
        </w:rPr>
        <w:t>؛ صحيح</w:t>
      </w:r>
      <w:r w:rsidRPr="006571AC">
        <w:rPr>
          <w:rFonts w:cs="DanaFajr"/>
          <w:sz w:val="28"/>
          <w:szCs w:val="28"/>
          <w:rtl/>
        </w:rPr>
        <w:t xml:space="preserve"> مسلم النيشابوري ٧: ١٢٠. </w:t>
      </w:r>
    </w:p>
  </w:endnote>
  <w:endnote w:id="98">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راجع: مرتضى الأنصاري، كتاب المكاسب ١: ١٤٠، تحقيق</w:t>
      </w:r>
      <w:r w:rsidRPr="006571AC">
        <w:rPr>
          <w:rFonts w:cs="DanaFajr" w:hint="cs"/>
          <w:sz w:val="28"/>
          <w:szCs w:val="28"/>
          <w:rtl/>
        </w:rPr>
        <w:t>:</w:t>
      </w:r>
      <w:r w:rsidRPr="006571AC">
        <w:rPr>
          <w:rFonts w:cs="DanaFajr"/>
          <w:sz w:val="28"/>
          <w:szCs w:val="28"/>
          <w:rtl/>
        </w:rPr>
        <w:t xml:space="preserve"> لجنة تحقيق تراث الشيخ الأعظم، المؤتمر العالمي بمناسبة الذكرى المئوية الثانية لميلاد الشيخ الأنصاري، قم، ط1، ١٤٢٠</w:t>
      </w:r>
      <w:r w:rsidRPr="006571AC">
        <w:rPr>
          <w:rFonts w:cs="DanaFajr" w:hint="cs"/>
          <w:sz w:val="28"/>
          <w:szCs w:val="28"/>
          <w:rtl/>
        </w:rPr>
        <w:t>هـ؛</w:t>
      </w:r>
      <w:r w:rsidRPr="006571AC">
        <w:rPr>
          <w:rFonts w:cs="DanaFajr"/>
          <w:sz w:val="28"/>
          <w:szCs w:val="28"/>
          <w:rtl/>
        </w:rPr>
        <w:t xml:space="preserve"> السيد روح الله الخميني، المكاسب المحرّمة ١: ٢٠٥، مؤس</w:t>
      </w:r>
      <w:r w:rsidRPr="006571AC">
        <w:rPr>
          <w:rFonts w:cs="DanaFajr" w:hint="cs"/>
          <w:sz w:val="28"/>
          <w:szCs w:val="28"/>
          <w:rtl/>
        </w:rPr>
        <w:t>ّ</w:t>
      </w:r>
      <w:r w:rsidRPr="006571AC">
        <w:rPr>
          <w:rFonts w:cs="DanaFajr"/>
          <w:sz w:val="28"/>
          <w:szCs w:val="28"/>
          <w:rtl/>
        </w:rPr>
        <w:t>س</w:t>
      </w:r>
      <w:r w:rsidRPr="006571AC">
        <w:rPr>
          <w:rFonts w:cs="DanaFajr" w:hint="cs"/>
          <w:sz w:val="28"/>
          <w:szCs w:val="28"/>
          <w:rtl/>
        </w:rPr>
        <w:t>ة</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سماعيليان</w:t>
      </w:r>
      <w:r w:rsidRPr="006571AC">
        <w:rPr>
          <w:rFonts w:cs="DanaFajr" w:hint="cs"/>
          <w:sz w:val="28"/>
          <w:szCs w:val="28"/>
          <w:rtl/>
        </w:rPr>
        <w:t xml:space="preserve"> للمطبوعات</w:t>
      </w:r>
      <w:r w:rsidRPr="006571AC">
        <w:rPr>
          <w:rFonts w:cs="DanaFajr"/>
          <w:sz w:val="28"/>
          <w:szCs w:val="28"/>
          <w:rtl/>
        </w:rPr>
        <w:t>، قم، ط3، ١٤١٠</w:t>
      </w:r>
      <w:r w:rsidRPr="006571AC">
        <w:rPr>
          <w:rFonts w:cs="DanaFajr" w:hint="cs"/>
          <w:sz w:val="28"/>
          <w:szCs w:val="28"/>
          <w:rtl/>
        </w:rPr>
        <w:t>هـ؛</w:t>
      </w:r>
      <w:r w:rsidRPr="006571AC">
        <w:rPr>
          <w:rFonts w:cs="DanaFajr"/>
          <w:sz w:val="28"/>
          <w:szCs w:val="28"/>
          <w:rtl/>
        </w:rPr>
        <w:t xml:space="preserve"> حسين علي منتظري، دراسات في المكاسب المحرّمة ٢: ٢٥١، نشر تفكّ</w:t>
      </w:r>
      <w:r w:rsidRPr="006571AC">
        <w:rPr>
          <w:rFonts w:cs="DanaFajr" w:hint="cs"/>
          <w:sz w:val="28"/>
          <w:szCs w:val="28"/>
          <w:rtl/>
        </w:rPr>
        <w:t>ُ</w:t>
      </w:r>
      <w:r w:rsidRPr="006571AC">
        <w:rPr>
          <w:rFonts w:cs="DanaFajr"/>
          <w:sz w:val="28"/>
          <w:szCs w:val="28"/>
          <w:rtl/>
        </w:rPr>
        <w:t>ر، قم، ط1، ١٤١٥</w:t>
      </w:r>
      <w:r w:rsidRPr="006571AC">
        <w:rPr>
          <w:rFonts w:cs="DanaFajr" w:hint="cs"/>
          <w:sz w:val="28"/>
          <w:szCs w:val="28"/>
          <w:rtl/>
        </w:rPr>
        <w:t>هـ</w:t>
      </w:r>
      <w:r w:rsidRPr="006571AC">
        <w:rPr>
          <w:rFonts w:cs="DanaFajr"/>
          <w:sz w:val="28"/>
          <w:szCs w:val="28"/>
          <w:rtl/>
        </w:rPr>
        <w:t xml:space="preserve">. </w:t>
      </w:r>
    </w:p>
  </w:endnote>
  <w:endnote w:id="99">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علي التوحيدي، مصباح الفقاهة </w:t>
      </w:r>
      <w:r w:rsidRPr="006571AC">
        <w:rPr>
          <w:rFonts w:cs="DanaFajr" w:hint="cs"/>
          <w:sz w:val="28"/>
          <w:szCs w:val="28"/>
          <w:rtl/>
        </w:rPr>
        <w:t>(</w:t>
      </w:r>
      <w:r w:rsidRPr="006571AC">
        <w:rPr>
          <w:rFonts w:cs="DanaFajr"/>
          <w:sz w:val="28"/>
          <w:szCs w:val="28"/>
          <w:rtl/>
        </w:rPr>
        <w:t xml:space="preserve">تقريرات أبحاث الخارج </w:t>
      </w:r>
      <w:r w:rsidRPr="006571AC">
        <w:rPr>
          <w:rFonts w:cs="DanaFajr" w:hint="cs"/>
          <w:sz w:val="28"/>
          <w:szCs w:val="28"/>
          <w:rtl/>
        </w:rPr>
        <w:t>للسيد</w:t>
      </w:r>
      <w:r w:rsidRPr="006571AC">
        <w:rPr>
          <w:rFonts w:cs="DanaFajr"/>
          <w:sz w:val="28"/>
          <w:szCs w:val="28"/>
          <w:rtl/>
        </w:rPr>
        <w:t xml:space="preserve"> الخوئي</w:t>
      </w:r>
      <w:r w:rsidRPr="006571AC">
        <w:rPr>
          <w:rFonts w:cs="DanaFajr" w:hint="cs"/>
          <w:sz w:val="28"/>
          <w:szCs w:val="28"/>
          <w:rtl/>
        </w:rPr>
        <w:t>)</w:t>
      </w:r>
      <w:r w:rsidRPr="006571AC">
        <w:rPr>
          <w:rFonts w:cs="DanaFajr"/>
          <w:sz w:val="28"/>
          <w:szCs w:val="28"/>
          <w:rtl/>
        </w:rPr>
        <w:t xml:space="preserve"> ١: ٤٨١، قم، مكتبة الداوري، ط1، ١٣٧٧هـ.ش. </w:t>
      </w:r>
    </w:p>
  </w:endnote>
  <w:endnote w:id="100">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السيد محمد كاظم الطباطبائي اليزدي، حاشية المكاسب ١: ٧، مؤس</w:t>
      </w:r>
      <w:r w:rsidRPr="006571AC">
        <w:rPr>
          <w:rFonts w:cs="DanaFajr" w:hint="cs"/>
          <w:sz w:val="28"/>
          <w:szCs w:val="28"/>
          <w:rtl/>
        </w:rPr>
        <w:t>ّ</w:t>
      </w:r>
      <w:r w:rsidRPr="006571AC">
        <w:rPr>
          <w:rFonts w:cs="DanaFajr"/>
          <w:sz w:val="28"/>
          <w:szCs w:val="28"/>
          <w:rtl/>
        </w:rPr>
        <w:t>س</w:t>
      </w:r>
      <w:r w:rsidRPr="006571AC">
        <w:rPr>
          <w:rFonts w:cs="DanaFajr" w:hint="cs"/>
          <w:sz w:val="28"/>
          <w:szCs w:val="28"/>
          <w:rtl/>
        </w:rPr>
        <w:t>ة</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سماعيليان</w:t>
      </w:r>
      <w:r w:rsidRPr="006571AC">
        <w:rPr>
          <w:rFonts w:cs="DanaFajr" w:hint="cs"/>
          <w:sz w:val="28"/>
          <w:szCs w:val="28"/>
          <w:rtl/>
        </w:rPr>
        <w:t xml:space="preserve"> للمطبوعات</w:t>
      </w:r>
      <w:r w:rsidRPr="006571AC">
        <w:rPr>
          <w:rFonts w:cs="DanaFajr"/>
          <w:sz w:val="28"/>
          <w:szCs w:val="28"/>
          <w:rtl/>
        </w:rPr>
        <w:t xml:space="preserve">، ط1، ١٣٧٨هـ.ش. </w:t>
      </w:r>
    </w:p>
  </w:endnote>
  <w:endnote w:id="101">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الشيخ الصدوق، الخصال ١: ٢٤٠، مؤسّسة النشر الإسلامي، قم، ط1، ١٣٦٢هـ.ش. </w:t>
      </w:r>
    </w:p>
  </w:endnote>
  <w:endnote w:id="102">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المجلسي، مرآة العقول، دار الكتب الإسلامية، طهران، ط2، ١٣٦٣هـ.ش</w:t>
      </w:r>
      <w:r w:rsidRPr="006571AC">
        <w:rPr>
          <w:rFonts w:cs="DanaFajr" w:hint="cs"/>
          <w:sz w:val="28"/>
          <w:szCs w:val="28"/>
          <w:rtl/>
        </w:rPr>
        <w:t xml:space="preserve">؛ </w:t>
      </w:r>
      <w:r w:rsidRPr="006571AC">
        <w:rPr>
          <w:rFonts w:cs="DanaFajr"/>
          <w:sz w:val="28"/>
          <w:szCs w:val="28"/>
          <w:rtl/>
        </w:rPr>
        <w:t xml:space="preserve">بحار الأنوار ١٧: ١٢١. </w:t>
      </w:r>
    </w:p>
  </w:endnote>
  <w:endnote w:id="103">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مرآة العقول</w:t>
      </w:r>
      <w:r w:rsidRPr="006571AC">
        <w:rPr>
          <w:rFonts w:cs="DanaFajr" w:hint="cs"/>
          <w:sz w:val="28"/>
          <w:szCs w:val="28"/>
          <w:rtl/>
        </w:rPr>
        <w:t xml:space="preserve"> </w:t>
      </w:r>
      <w:r w:rsidRPr="006571AC">
        <w:rPr>
          <w:rFonts w:cs="DanaFajr"/>
          <w:sz w:val="28"/>
          <w:szCs w:val="28"/>
          <w:rtl/>
        </w:rPr>
        <w:t xml:space="preserve">٢: ٢٣٧. </w:t>
      </w:r>
    </w:p>
  </w:endnote>
  <w:endnote w:id="104">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الإمام الخميني، كتاب البيع ٤: ٣٨٢</w:t>
      </w:r>
      <w:r w:rsidRPr="006571AC">
        <w:rPr>
          <w:rFonts w:cs="DanaFajr" w:hint="cs"/>
          <w:sz w:val="28"/>
          <w:szCs w:val="28"/>
          <w:rtl/>
        </w:rPr>
        <w:t xml:space="preserve">؛ </w:t>
      </w:r>
      <w:r w:rsidRPr="006571AC">
        <w:rPr>
          <w:rFonts w:cs="DanaFajr"/>
          <w:sz w:val="28"/>
          <w:szCs w:val="28"/>
          <w:rtl/>
        </w:rPr>
        <w:t xml:space="preserve">السيد الحائري، مباحث الأصول ٢: ١٢٨. </w:t>
      </w:r>
    </w:p>
  </w:endnote>
  <w:endnote w:id="105">
    <w:p w:rsidR="00DB2356" w:rsidRPr="006571AC" w:rsidRDefault="00DB2356" w:rsidP="00ED1ECC">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الفائق في علم الأصول</w:t>
      </w:r>
      <w:r w:rsidRPr="006571AC">
        <w:rPr>
          <w:rFonts w:cs="DanaFajr" w:hint="cs"/>
          <w:sz w:val="28"/>
          <w:szCs w:val="28"/>
          <w:rtl/>
        </w:rPr>
        <w:t xml:space="preserve">: </w:t>
      </w:r>
      <w:r w:rsidRPr="006571AC">
        <w:rPr>
          <w:rFonts w:cs="DanaFajr"/>
          <w:sz w:val="28"/>
          <w:szCs w:val="28"/>
          <w:rtl/>
        </w:rPr>
        <w:t xml:space="preserve">١٤. </w:t>
      </w:r>
    </w:p>
  </w:endnote>
  <w:endnote w:id="106">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المصدر </w:t>
      </w:r>
      <w:r w:rsidRPr="006571AC">
        <w:rPr>
          <w:rFonts w:cs="DanaFajr" w:hint="cs"/>
          <w:sz w:val="28"/>
          <w:szCs w:val="28"/>
          <w:rtl/>
        </w:rPr>
        <w:t>السابق</w:t>
      </w:r>
      <w:r w:rsidRPr="006571AC">
        <w:rPr>
          <w:rFonts w:cs="DanaFajr"/>
          <w:sz w:val="28"/>
          <w:szCs w:val="28"/>
          <w:rtl/>
        </w:rPr>
        <w:t xml:space="preserve">: ٤١. </w:t>
      </w:r>
    </w:p>
  </w:endnote>
  <w:endnote w:id="107">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السيد علي الحسيني السيستاني، منهاج الصالحين ١: ٤١٦، مكتب السيد السيستاني، قم، ط1، ١٤١٤</w:t>
      </w:r>
      <w:r w:rsidRPr="006571AC">
        <w:rPr>
          <w:rFonts w:cs="DanaFajr" w:hint="cs"/>
          <w:sz w:val="28"/>
          <w:szCs w:val="28"/>
          <w:rtl/>
        </w:rPr>
        <w:t>هـ</w:t>
      </w:r>
      <w:r w:rsidRPr="006571AC">
        <w:rPr>
          <w:rFonts w:cs="DanaFajr"/>
          <w:sz w:val="28"/>
          <w:szCs w:val="28"/>
          <w:rtl/>
        </w:rPr>
        <w:t xml:space="preserve">. </w:t>
      </w:r>
    </w:p>
  </w:endnote>
  <w:endnote w:id="108">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الفائق في علم الأصول</w:t>
      </w:r>
      <w:r w:rsidRPr="006571AC">
        <w:rPr>
          <w:rFonts w:cs="DanaFajr" w:hint="cs"/>
          <w:sz w:val="28"/>
          <w:szCs w:val="28"/>
          <w:rtl/>
        </w:rPr>
        <w:t xml:space="preserve">: </w:t>
      </w:r>
      <w:r w:rsidRPr="006571AC">
        <w:rPr>
          <w:rFonts w:cs="DanaFajr"/>
          <w:sz w:val="28"/>
          <w:szCs w:val="28"/>
          <w:rtl/>
        </w:rPr>
        <w:t xml:space="preserve">١٤٠. </w:t>
      </w:r>
    </w:p>
  </w:endnote>
  <w:endnote w:id="109">
    <w:p w:rsidR="00DB2356" w:rsidRPr="006571AC" w:rsidRDefault="00DB2356" w:rsidP="00ED1ECC">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الشيخ حسين الحلّي، أصول الفقه ٤: ٢٧٢</w:t>
      </w:r>
      <w:r w:rsidRPr="006571AC">
        <w:rPr>
          <w:rFonts w:cs="DanaFajr" w:hint="cs"/>
          <w:sz w:val="28"/>
          <w:szCs w:val="28"/>
          <w:rtl/>
        </w:rPr>
        <w:t xml:space="preserve">؛ </w:t>
      </w:r>
      <w:r w:rsidRPr="006571AC">
        <w:rPr>
          <w:rFonts w:cs="DanaFajr"/>
          <w:sz w:val="28"/>
          <w:szCs w:val="28"/>
          <w:rtl/>
        </w:rPr>
        <w:t xml:space="preserve">الشيخ جعفر السبحاني، في ظلّ أصول الإسلام: ٣٦. </w:t>
      </w:r>
    </w:p>
  </w:endnote>
  <w:endnote w:id="110">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محاضرات في الدين والاجتماع</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358،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1420هـ،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الدار الإسلامية.</w:t>
      </w:r>
    </w:p>
  </w:endnote>
  <w:endnote w:id="111">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الشيخ الصدوق</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معاني الأخبار</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342.</w:t>
      </w:r>
    </w:p>
  </w:endnote>
  <w:endnote w:id="112">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نهج البلاغة، </w:t>
      </w:r>
      <w:r w:rsidRPr="006571AC">
        <w:rPr>
          <w:rFonts w:ascii="Traditional Arabic" w:hAnsi="Traditional Arabic" w:cs="DanaFajr" w:hint="cs"/>
          <w:sz w:val="28"/>
          <w:szCs w:val="28"/>
          <w:rtl/>
        </w:rPr>
        <w:t>ال</w:t>
      </w:r>
      <w:r w:rsidRPr="006571AC">
        <w:rPr>
          <w:rFonts w:ascii="Traditional Arabic" w:hAnsi="Traditional Arabic" w:cs="DanaFajr"/>
          <w:sz w:val="28"/>
          <w:szCs w:val="28"/>
          <w:rtl/>
        </w:rPr>
        <w:t>خطبة 216.</w:t>
      </w:r>
    </w:p>
  </w:endnote>
  <w:endnote w:id="113">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المجالس السني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ة في مناقب ومصائب العترة النبوية</w:t>
      </w:r>
      <w:r w:rsidRPr="006571AC">
        <w:rPr>
          <w:rFonts w:ascii="Traditional Arabic" w:hAnsi="Traditional Arabic" w:cs="DanaFajr" w:hint="cs"/>
          <w:sz w:val="28"/>
          <w:szCs w:val="28"/>
          <w:rtl/>
        </w:rPr>
        <w:t xml:space="preserve"> 1: 4،</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 xml:space="preserve">ط5، </w:t>
      </w:r>
      <w:r w:rsidRPr="006571AC">
        <w:rPr>
          <w:rFonts w:ascii="Traditional Arabic" w:hAnsi="Traditional Arabic" w:cs="DanaFajr"/>
          <w:sz w:val="28"/>
          <w:szCs w:val="28"/>
          <w:rtl/>
        </w:rPr>
        <w:t>النجف الأشرف</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مطبعة النعمان</w:t>
      </w:r>
      <w:r w:rsidRPr="006571AC">
        <w:rPr>
          <w:rFonts w:ascii="Traditional Arabic" w:hAnsi="Traditional Arabic" w:cs="DanaFajr" w:hint="cs"/>
          <w:sz w:val="28"/>
          <w:szCs w:val="28"/>
          <w:rtl/>
        </w:rPr>
        <w:t>.</w:t>
      </w:r>
    </w:p>
  </w:endnote>
  <w:endnote w:id="114">
    <w:p w:rsidR="00DB2356" w:rsidRPr="006571AC" w:rsidRDefault="00DB2356" w:rsidP="00F83E2D">
      <w:pPr>
        <w:pStyle w:val="BasicParagraph"/>
        <w:bidi w:val="0"/>
        <w:spacing w:line="306" w:lineRule="exact"/>
        <w:jc w:val="both"/>
        <w:rPr>
          <w:rFonts w:asciiTheme="majorBidi" w:hAnsiTheme="majorBidi" w:cstheme="majorBidi"/>
          <w:color w:val="auto"/>
          <w:sz w:val="20"/>
          <w:szCs w:val="20"/>
          <w:rtl/>
        </w:rPr>
      </w:pPr>
      <w:r w:rsidRPr="006571AC">
        <w:rPr>
          <w:rFonts w:asciiTheme="majorBidi" w:hAnsiTheme="majorBidi" w:cstheme="majorBidi"/>
          <w:color w:val="auto"/>
          <w:sz w:val="20"/>
          <w:szCs w:val="20"/>
        </w:rPr>
        <w:t>(</w:t>
      </w:r>
      <w:r w:rsidRPr="006571AC">
        <w:rPr>
          <w:rFonts w:asciiTheme="majorBidi" w:hAnsiTheme="majorBidi" w:cstheme="majorBidi"/>
          <w:color w:val="auto"/>
          <w:sz w:val="20"/>
          <w:szCs w:val="20"/>
        </w:rPr>
        <w:endnoteRef/>
      </w:r>
      <w:r w:rsidRPr="006571AC">
        <w:rPr>
          <w:rFonts w:asciiTheme="majorBidi" w:hAnsiTheme="majorBidi" w:cstheme="majorBidi"/>
          <w:color w:val="auto"/>
          <w:sz w:val="20"/>
          <w:szCs w:val="20"/>
        </w:rPr>
        <w:t>) https://www.sistani.org/arabic/archive/</w:t>
      </w:r>
      <w:r w:rsidRPr="006571AC">
        <w:rPr>
          <w:rFonts w:asciiTheme="majorBidi" w:hAnsiTheme="majorBidi" w:cstheme="majorBidi"/>
          <w:color w:val="auto"/>
          <w:sz w:val="20"/>
          <w:szCs w:val="20"/>
          <w:lang w:bidi="ar-LB"/>
        </w:rPr>
        <w:t>26341</w:t>
      </w:r>
      <w:r w:rsidRPr="006571AC">
        <w:rPr>
          <w:rFonts w:asciiTheme="majorBidi" w:hAnsiTheme="majorBidi" w:cstheme="majorBidi"/>
          <w:color w:val="auto"/>
          <w:sz w:val="20"/>
          <w:szCs w:val="20"/>
          <w:rtl/>
        </w:rPr>
        <w:t>/</w:t>
      </w:r>
    </w:p>
  </w:endnote>
  <w:endnote w:id="115">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شرح الأخبار في فضائل الأئمة الأطهار</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2</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382. </w:t>
      </w:r>
    </w:p>
  </w:endnote>
  <w:endnote w:id="116">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كن</w:t>
      </w:r>
      <w:r w:rsidRPr="006571AC">
        <w:rPr>
          <w:rFonts w:ascii="Traditional Arabic" w:hAnsi="Traditional Arabic" w:cs="DanaFajr" w:hint="cs"/>
          <w:sz w:val="28"/>
          <w:szCs w:val="28"/>
          <w:rtl/>
        </w:rPr>
        <w:t>ـ</w:t>
      </w:r>
      <w:r w:rsidRPr="006571AC">
        <w:rPr>
          <w:rFonts w:ascii="Traditional Arabic" w:hAnsi="Traditional Arabic" w:cs="DanaFajr"/>
          <w:sz w:val="28"/>
          <w:szCs w:val="28"/>
          <w:rtl/>
        </w:rPr>
        <w:t>ز العمال</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10</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171،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28886.</w:t>
      </w:r>
    </w:p>
  </w:endnote>
  <w:endnote w:id="117">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ن</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لا يحضره الفقيه</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156.</w:t>
      </w:r>
    </w:p>
  </w:endnote>
  <w:endnote w:id="118">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عيون المواعظ والحكم</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223.</w:t>
      </w:r>
    </w:p>
  </w:endnote>
  <w:endnote w:id="119">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مفاتيح الجنان</w:t>
      </w:r>
      <w:r w:rsidRPr="006571AC">
        <w:rPr>
          <w:rFonts w:ascii="Traditional Arabic" w:hAnsi="Traditional Arabic" w:cs="DanaFajr" w:hint="cs"/>
          <w:sz w:val="28"/>
          <w:szCs w:val="28"/>
          <w:rtl/>
        </w:rPr>
        <w:t>: 283</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ط2،</w:t>
      </w:r>
      <w:r w:rsidRPr="006571AC">
        <w:rPr>
          <w:rFonts w:ascii="Traditional Arabic" w:hAnsi="Traditional Arabic" w:cs="DanaFajr"/>
          <w:sz w:val="28"/>
          <w:szCs w:val="28"/>
          <w:rtl/>
        </w:rPr>
        <w:t xml:space="preserve"> 1424هـ،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مؤسسة الأعلمي للمطبوعات</w:t>
      </w:r>
      <w:r w:rsidRPr="006571AC">
        <w:rPr>
          <w:rFonts w:ascii="Traditional Arabic" w:hAnsi="Traditional Arabic" w:cs="DanaFajr" w:hint="cs"/>
          <w:sz w:val="28"/>
          <w:szCs w:val="28"/>
          <w:rtl/>
        </w:rPr>
        <w:t>.</w:t>
      </w:r>
    </w:p>
  </w:endnote>
  <w:endnote w:id="120">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العروة الوثقى</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فصل في صلاة ليلة الدفن.</w:t>
      </w:r>
    </w:p>
  </w:endnote>
  <w:endnote w:id="121">
    <w:p w:rsidR="00DB2356" w:rsidRPr="006571AC" w:rsidRDefault="00DB2356" w:rsidP="00F83E2D">
      <w:pPr>
        <w:pStyle w:val="aa"/>
        <w:bidi w:val="0"/>
        <w:spacing w:line="306" w:lineRule="exact"/>
        <w:ind w:firstLine="0"/>
        <w:rPr>
          <w:rFonts w:asciiTheme="majorBidi" w:hAnsiTheme="majorBidi" w:cstheme="majorBidi"/>
          <w:rtl/>
        </w:rPr>
      </w:pPr>
      <w:r w:rsidRPr="006571AC">
        <w:rPr>
          <w:rFonts w:asciiTheme="majorBidi" w:hAnsiTheme="majorBidi" w:cstheme="majorBidi"/>
        </w:rPr>
        <w:t>(</w:t>
      </w:r>
      <w:r w:rsidRPr="006571AC">
        <w:rPr>
          <w:rFonts w:asciiTheme="majorBidi" w:hAnsiTheme="majorBidi" w:cstheme="majorBidi"/>
        </w:rPr>
        <w:endnoteRef/>
      </w:r>
      <w:r w:rsidRPr="006571AC">
        <w:rPr>
          <w:rFonts w:asciiTheme="majorBidi" w:hAnsiTheme="majorBidi" w:cstheme="majorBidi"/>
        </w:rPr>
        <w:t>) https://www.alfurja.com/?p=39035</w:t>
      </w:r>
    </w:p>
  </w:endnote>
  <w:endnote w:id="122">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الموسوعة الفقهية الكويتية</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19</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180.</w:t>
      </w:r>
    </w:p>
  </w:endnote>
  <w:endnote w:id="123">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الشيخ محمد حسن النجفي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جواهر الكلام في شرح شرائع الإسلام 4</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348،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1412هـ،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مؤسسة المرتضى العالمية</w:t>
      </w:r>
      <w:r w:rsidRPr="006571AC">
        <w:rPr>
          <w:rFonts w:ascii="Traditional Arabic" w:hAnsi="Traditional Arabic" w:cs="DanaFajr" w:hint="cs"/>
          <w:sz w:val="28"/>
          <w:szCs w:val="28"/>
          <w:rtl/>
        </w:rPr>
        <w:t xml:space="preserve"> ـ</w:t>
      </w:r>
      <w:r w:rsidRPr="006571AC">
        <w:rPr>
          <w:rFonts w:ascii="Traditional Arabic" w:hAnsi="Traditional Arabic" w:cs="DanaFajr"/>
          <w:sz w:val="28"/>
          <w:szCs w:val="28"/>
          <w:rtl/>
        </w:rPr>
        <w:t xml:space="preserve"> دار المؤر</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خ العربي.</w:t>
      </w:r>
    </w:p>
  </w:endnote>
  <w:endnote w:id="124">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جواهر الكلام في شرح شرائع الإسلام</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4</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348.</w:t>
      </w:r>
    </w:p>
  </w:endnote>
  <w:endnote w:id="125">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الحدائق الناضرة 10</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94.</w:t>
      </w:r>
    </w:p>
  </w:endnote>
  <w:endnote w:id="126">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خالص جلبي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shd w:val="clear" w:color="auto" w:fill="FFFFFF"/>
          <w:rtl/>
        </w:rPr>
        <w:t xml:space="preserve">أزمة خطبة الجمعة، جريدة </w:t>
      </w:r>
      <w:r w:rsidRPr="006571AC">
        <w:rPr>
          <w:rFonts w:ascii="Traditional Arabic" w:hAnsi="Traditional Arabic" w:cs="DanaFajr"/>
          <w:sz w:val="28"/>
          <w:szCs w:val="28"/>
          <w:rtl/>
        </w:rPr>
        <w:t>الشرق الأوسط</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الصادرة بتاريخ</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26</w:t>
      </w:r>
      <w:r w:rsidRPr="006571AC">
        <w:rPr>
          <w:rFonts w:ascii="Traditional Arabic" w:hAnsi="Traditional Arabic" w:cs="DanaFajr" w:hint="cs"/>
          <w:sz w:val="28"/>
          <w:szCs w:val="28"/>
          <w:rtl/>
        </w:rPr>
        <w:t xml:space="preserve"> / 2 / </w:t>
      </w:r>
      <w:r w:rsidRPr="006571AC">
        <w:rPr>
          <w:rFonts w:ascii="Traditional Arabic" w:hAnsi="Traditional Arabic" w:cs="DanaFajr"/>
          <w:sz w:val="28"/>
          <w:szCs w:val="28"/>
          <w:rtl/>
        </w:rPr>
        <w:t>2002م.</w:t>
      </w:r>
    </w:p>
  </w:endnote>
  <w:endnote w:id="127">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عيون أخبار الرضا</w:t>
      </w:r>
      <w:r w:rsidRPr="006571AC">
        <w:rPr>
          <w:rFonts w:ascii="Mosawi" w:hAnsi="Mosawi" w:cs="Mosawi"/>
          <w:rtl/>
        </w:rPr>
        <w:t>×</w:t>
      </w:r>
      <w:r w:rsidRPr="006571AC">
        <w:rPr>
          <w:rFonts w:ascii="Traditional Arabic" w:hAnsi="Traditional Arabic" w:cs="DanaFajr"/>
          <w:sz w:val="28"/>
          <w:szCs w:val="28"/>
          <w:rtl/>
        </w:rPr>
        <w:t xml:space="preserve"> 1</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307،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69.</w:t>
      </w:r>
    </w:p>
  </w:endnote>
  <w:endnote w:id="128">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 xml:space="preserve">جامع أحاديث الشيعة </w:t>
      </w:r>
      <w:r w:rsidRPr="006571AC">
        <w:rPr>
          <w:rFonts w:ascii="Traditional Arabic" w:hAnsi="Traditional Arabic" w:cs="DanaFajr"/>
          <w:sz w:val="28"/>
          <w:szCs w:val="28"/>
          <w:rtl/>
        </w:rPr>
        <w:t>12</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565</w:t>
      </w:r>
      <w:r w:rsidRPr="006571AC">
        <w:rPr>
          <w:rFonts w:ascii="Traditional Arabic" w:hAnsi="Traditional Arabic" w:cs="DanaFajr" w:hint="cs"/>
          <w:sz w:val="28"/>
          <w:szCs w:val="28"/>
          <w:rtl/>
        </w:rPr>
        <w:t>.</w:t>
      </w:r>
    </w:p>
  </w:endnote>
  <w:endnote w:id="129">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وسائل الشيعة</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27</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141،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33427.</w:t>
      </w:r>
    </w:p>
  </w:endnote>
  <w:endnote w:id="130">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ا</w:t>
      </w:r>
      <w:r w:rsidRPr="006571AC">
        <w:rPr>
          <w:rFonts w:ascii="Traditional Arabic" w:hAnsi="Traditional Arabic" w:cs="DanaFajr"/>
          <w:sz w:val="28"/>
          <w:szCs w:val="28"/>
          <w:rtl/>
        </w:rPr>
        <w:t>لقندوزي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ينابيع المودة 2</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109</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الشيخ عباس القم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ي، الكنى والألقاب</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36.</w:t>
      </w:r>
    </w:p>
  </w:endnote>
  <w:endnote w:id="131">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بحار الأنوار ٦٨</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٣٨٢.</w:t>
      </w:r>
    </w:p>
  </w:endnote>
  <w:endnote w:id="132">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نهج البلاغة، </w:t>
      </w:r>
      <w:r w:rsidRPr="006571AC">
        <w:rPr>
          <w:rFonts w:ascii="Traditional Arabic" w:hAnsi="Traditional Arabic" w:cs="DanaFajr" w:hint="cs"/>
          <w:sz w:val="28"/>
          <w:szCs w:val="28"/>
          <w:rtl/>
        </w:rPr>
        <w:t>ال</w:t>
      </w:r>
      <w:r w:rsidRPr="006571AC">
        <w:rPr>
          <w:rFonts w:ascii="Traditional Arabic" w:hAnsi="Traditional Arabic" w:cs="DanaFajr"/>
          <w:sz w:val="28"/>
          <w:szCs w:val="28"/>
          <w:rtl/>
        </w:rPr>
        <w:t>رسالة 47.</w:t>
      </w:r>
    </w:p>
  </w:endnote>
  <w:endnote w:id="133">
    <w:p w:rsidR="00DB2356" w:rsidRPr="006571AC" w:rsidRDefault="00DB2356" w:rsidP="00F83E2D">
      <w:pPr>
        <w:pStyle w:val="aa"/>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كن</w:t>
      </w:r>
      <w:r w:rsidRPr="006571AC">
        <w:rPr>
          <w:rFonts w:ascii="Traditional Arabic" w:hAnsi="Traditional Arabic" w:cs="DanaFajr" w:hint="cs"/>
          <w:sz w:val="28"/>
          <w:szCs w:val="28"/>
          <w:rtl/>
        </w:rPr>
        <w:t>ـ</w:t>
      </w:r>
      <w:r w:rsidRPr="006571AC">
        <w:rPr>
          <w:rFonts w:ascii="Traditional Arabic" w:hAnsi="Traditional Arabic" w:cs="DanaFajr"/>
          <w:sz w:val="28"/>
          <w:szCs w:val="28"/>
          <w:rtl/>
        </w:rPr>
        <w:t>ز العمال ٩</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186.</w:t>
      </w:r>
    </w:p>
  </w:endnote>
  <w:endnote w:id="134">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نهج البلاغة</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ال</w:t>
      </w:r>
      <w:r w:rsidRPr="006571AC">
        <w:rPr>
          <w:rFonts w:ascii="Traditional Arabic" w:hAnsi="Traditional Arabic" w:cs="DanaFajr"/>
          <w:sz w:val="28"/>
          <w:szCs w:val="28"/>
          <w:rtl/>
        </w:rPr>
        <w:t>خطبة 27.</w:t>
      </w:r>
    </w:p>
  </w:endnote>
  <w:endnote w:id="135">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 xml:space="preserve">بحار الأنوار </w:t>
      </w:r>
      <w:r w:rsidRPr="006571AC">
        <w:rPr>
          <w:rFonts w:ascii="Traditional Arabic" w:hAnsi="Traditional Arabic" w:cs="DanaFajr"/>
          <w:sz w:val="28"/>
          <w:szCs w:val="28"/>
          <w:rtl/>
        </w:rPr>
        <w:t>44</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329</w:t>
      </w:r>
      <w:r w:rsidRPr="006571AC">
        <w:rPr>
          <w:rFonts w:ascii="Traditional Arabic" w:hAnsi="Traditional Arabic" w:cs="DanaFajr" w:hint="cs"/>
          <w:sz w:val="28"/>
          <w:szCs w:val="28"/>
          <w:rtl/>
        </w:rPr>
        <w:t>.</w:t>
      </w:r>
    </w:p>
  </w:endnote>
  <w:endnote w:id="136">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الشيخ الصدوق</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الخصال</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69،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103، 1403</w:t>
      </w:r>
      <w:r w:rsidRPr="006571AC">
        <w:rPr>
          <w:rFonts w:ascii="Traditional Arabic" w:hAnsi="Traditional Arabic" w:cs="DanaFajr" w:hint="cs"/>
          <w:sz w:val="28"/>
          <w:szCs w:val="28"/>
          <w:rtl/>
        </w:rPr>
        <w:t>هـ</w:t>
      </w:r>
      <w:r w:rsidRPr="006571AC">
        <w:rPr>
          <w:rFonts w:ascii="Traditional Arabic" w:hAnsi="Traditional Arabic" w:cs="DanaFajr"/>
          <w:sz w:val="28"/>
          <w:szCs w:val="28"/>
          <w:rtl/>
        </w:rPr>
        <w:t>، قم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مركز المنشورات الإسلامية</w:t>
      </w:r>
      <w:r w:rsidRPr="006571AC">
        <w:rPr>
          <w:rFonts w:ascii="Traditional Arabic" w:hAnsi="Traditional Arabic" w:cs="DanaFajr" w:hint="cs"/>
          <w:sz w:val="28"/>
          <w:szCs w:val="28"/>
          <w:rtl/>
        </w:rPr>
        <w:t>.</w:t>
      </w:r>
    </w:p>
  </w:endnote>
  <w:endnote w:id="137">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الشيخ</w:t>
      </w:r>
      <w:r w:rsidRPr="006571AC">
        <w:rPr>
          <w:rFonts w:ascii="Traditional Arabic" w:hAnsi="Traditional Arabic" w:cs="DanaFajr"/>
          <w:sz w:val="28"/>
          <w:szCs w:val="28"/>
          <w:rtl/>
        </w:rPr>
        <w:t xml:space="preserve"> الكليني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الكافي</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١</w:t>
      </w:r>
      <w:r w:rsidRPr="006571AC">
        <w:rPr>
          <w:rFonts w:ascii="Traditional Arabic" w:hAnsi="Traditional Arabic" w:cs="DanaFajr" w:hint="cs"/>
          <w:sz w:val="28"/>
          <w:szCs w:val="28"/>
          <w:rtl/>
        </w:rPr>
        <w:t>: 32، ح1</w:t>
      </w:r>
      <w:r w:rsidRPr="006571AC">
        <w:rPr>
          <w:rFonts w:ascii="Traditional Arabic" w:hAnsi="Traditional Arabic" w:cs="DanaFajr"/>
          <w:sz w:val="28"/>
          <w:szCs w:val="28"/>
          <w:rtl/>
        </w:rPr>
        <w:t>، طبعة 1985م،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دار الأضواء</w:t>
      </w:r>
      <w:r w:rsidRPr="006571AC">
        <w:rPr>
          <w:rFonts w:ascii="Traditional Arabic" w:hAnsi="Traditional Arabic" w:cs="DanaFajr" w:hint="cs"/>
          <w:sz w:val="28"/>
          <w:szCs w:val="28"/>
          <w:rtl/>
        </w:rPr>
        <w:t>.</w:t>
      </w:r>
    </w:p>
  </w:endnote>
  <w:endnote w:id="138">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cs="DanaFajr" w:hint="cs"/>
          <w:sz w:val="28"/>
          <w:szCs w:val="28"/>
          <w:rtl/>
        </w:rPr>
        <w:t xml:space="preserve"> </w:t>
      </w:r>
      <w:r w:rsidRPr="006571AC">
        <w:rPr>
          <w:rFonts w:ascii="Traditional Arabic" w:hAnsi="Traditional Arabic" w:cs="DanaFajr"/>
          <w:sz w:val="28"/>
          <w:szCs w:val="28"/>
          <w:rtl/>
        </w:rPr>
        <w:t>الشريف الرضي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نهج البلاغة</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ال</w:t>
      </w:r>
      <w:r w:rsidRPr="006571AC">
        <w:rPr>
          <w:rFonts w:ascii="Traditional Arabic" w:hAnsi="Traditional Arabic" w:cs="DanaFajr"/>
          <w:sz w:val="28"/>
          <w:szCs w:val="28"/>
          <w:rtl/>
        </w:rPr>
        <w:t>خطبة 108، تحقيق</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صبحي الصالح،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1967،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دار الكتاب اللبناني</w:t>
      </w:r>
      <w:r w:rsidRPr="006571AC">
        <w:rPr>
          <w:rFonts w:ascii="Traditional Arabic" w:hAnsi="Traditional Arabic" w:cs="DanaFajr" w:hint="cs"/>
          <w:sz w:val="28"/>
          <w:szCs w:val="28"/>
          <w:rtl/>
        </w:rPr>
        <w:t>.</w:t>
      </w:r>
    </w:p>
  </w:endnote>
  <w:endnote w:id="139">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محمد باقر المجلسي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بحار الأنوار 78</w:t>
      </w:r>
      <w:r w:rsidRPr="006571AC">
        <w:rPr>
          <w:rFonts w:ascii="Traditional Arabic" w:hAnsi="Traditional Arabic" w:cs="DanaFajr" w:hint="cs"/>
          <w:sz w:val="28"/>
          <w:szCs w:val="28"/>
          <w:rtl/>
        </w:rPr>
        <w:t>: 265، ح176</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ط3،</w:t>
      </w:r>
      <w:r w:rsidRPr="006571AC">
        <w:rPr>
          <w:rFonts w:ascii="Traditional Arabic" w:hAnsi="Traditional Arabic" w:cs="DanaFajr"/>
          <w:sz w:val="28"/>
          <w:szCs w:val="28"/>
          <w:rtl/>
        </w:rPr>
        <w:t xml:space="preserve"> 1983،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دار إحياء التراث، مؤسسة التاريخ العربي</w:t>
      </w:r>
      <w:r w:rsidRPr="006571AC">
        <w:rPr>
          <w:rFonts w:ascii="Traditional Arabic" w:hAnsi="Traditional Arabic" w:cs="DanaFajr" w:hint="cs"/>
          <w:sz w:val="28"/>
          <w:szCs w:val="28"/>
          <w:rtl/>
        </w:rPr>
        <w:t>.</w:t>
      </w:r>
    </w:p>
  </w:endnote>
  <w:endnote w:id="140">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الكافي</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23</w:t>
      </w:r>
      <w:r w:rsidRPr="006571AC">
        <w:rPr>
          <w:rFonts w:ascii="Traditional Arabic" w:hAnsi="Traditional Arabic" w:cs="DanaFajr" w:hint="cs"/>
          <w:sz w:val="28"/>
          <w:szCs w:val="28"/>
          <w:rtl/>
        </w:rPr>
        <w:t>.</w:t>
      </w:r>
    </w:p>
  </w:endnote>
  <w:endnote w:id="141">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ابن قي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م الجوزية</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زاد المعاد</w:t>
      </w:r>
      <w:r w:rsidRPr="006571AC">
        <w:rPr>
          <w:rFonts w:ascii="Traditional Arabic" w:hAnsi="Traditional Arabic" w:cs="DanaFajr" w:hint="cs"/>
          <w:sz w:val="28"/>
          <w:szCs w:val="28"/>
          <w:rtl/>
        </w:rPr>
        <w:t xml:space="preserve"> 1: 48</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ط24،</w:t>
      </w:r>
      <w:r w:rsidRPr="006571AC">
        <w:rPr>
          <w:rFonts w:ascii="Traditional Arabic" w:hAnsi="Traditional Arabic" w:cs="DanaFajr"/>
          <w:sz w:val="28"/>
          <w:szCs w:val="28"/>
          <w:rtl/>
        </w:rPr>
        <w:t xml:space="preserve"> 1994م، بيروت</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مؤسسة الرسالة</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الكويت</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مكتبة المنار الإسلامية</w:t>
      </w:r>
      <w:r w:rsidRPr="006571AC">
        <w:rPr>
          <w:rFonts w:ascii="Traditional Arabic" w:hAnsi="Traditional Arabic" w:cs="DanaFajr" w:hint="cs"/>
          <w:sz w:val="28"/>
          <w:szCs w:val="28"/>
          <w:rtl/>
        </w:rPr>
        <w:t>.</w:t>
      </w:r>
    </w:p>
  </w:endnote>
  <w:endnote w:id="142">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cs="DanaFajr" w:hint="cs"/>
          <w:sz w:val="28"/>
          <w:szCs w:val="28"/>
          <w:rtl/>
        </w:rPr>
        <w:t xml:space="preserve"> </w:t>
      </w:r>
      <w:r w:rsidRPr="006571AC">
        <w:rPr>
          <w:rFonts w:ascii="Traditional Arabic" w:hAnsi="Traditional Arabic" w:cs="DanaFajr"/>
          <w:sz w:val="28"/>
          <w:szCs w:val="28"/>
          <w:rtl/>
        </w:rPr>
        <w:t>بحار الأنوار</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٦٥</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١٥٣،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8</w:t>
      </w:r>
      <w:r w:rsidRPr="006571AC">
        <w:rPr>
          <w:rFonts w:ascii="Traditional Arabic" w:hAnsi="Traditional Arabic" w:cs="DanaFajr" w:hint="cs"/>
          <w:sz w:val="28"/>
          <w:szCs w:val="28"/>
          <w:rtl/>
        </w:rPr>
        <w:t>.</w:t>
      </w:r>
    </w:p>
  </w:endnote>
  <w:endnote w:id="143">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جريدة</w:t>
      </w:r>
      <w:r w:rsidRPr="006571AC">
        <w:rPr>
          <w:rFonts w:ascii="Traditional Arabic" w:hAnsi="Traditional Arabic" w:cs="DanaFajr"/>
          <w:sz w:val="28"/>
          <w:szCs w:val="28"/>
        </w:rPr>
        <w:t xml:space="preserve"> </w:t>
      </w:r>
      <w:r w:rsidRPr="006571AC">
        <w:rPr>
          <w:rFonts w:ascii="Traditional Arabic" w:hAnsi="Traditional Arabic" w:cs="DanaFajr"/>
          <w:sz w:val="28"/>
          <w:szCs w:val="28"/>
          <w:rtl/>
        </w:rPr>
        <w:t>النهار</w:t>
      </w:r>
      <w:r w:rsidRPr="006571AC">
        <w:rPr>
          <w:rFonts w:ascii="Traditional Arabic" w:hAnsi="Traditional Arabic" w:cs="DanaFajr"/>
          <w:sz w:val="28"/>
          <w:szCs w:val="28"/>
        </w:rPr>
        <w:t xml:space="preserve"> </w:t>
      </w:r>
      <w:r w:rsidRPr="006571AC">
        <w:rPr>
          <w:rFonts w:ascii="Traditional Arabic" w:hAnsi="Traditional Arabic" w:cs="DanaFajr"/>
          <w:sz w:val="28"/>
          <w:szCs w:val="28"/>
          <w:rtl/>
        </w:rPr>
        <w:t>اللبنانية،</w:t>
      </w:r>
      <w:r w:rsidRPr="006571AC">
        <w:rPr>
          <w:rFonts w:ascii="Traditional Arabic" w:hAnsi="Traditional Arabic" w:cs="DanaFajr" w:hint="cs"/>
          <w:sz w:val="28"/>
          <w:szCs w:val="28"/>
          <w:rtl/>
        </w:rPr>
        <w:t xml:space="preserve"> بتاريخ: 2 ديسمبر 2016م:</w:t>
      </w:r>
    </w:p>
    <w:p w:rsidR="00DB2356" w:rsidRPr="006571AC" w:rsidRDefault="00DB2356" w:rsidP="00F83E2D">
      <w:pPr>
        <w:pStyle w:val="aa"/>
        <w:bidi w:val="0"/>
        <w:spacing w:line="306" w:lineRule="exact"/>
        <w:ind w:firstLine="0"/>
        <w:rPr>
          <w:rFonts w:asciiTheme="majorBidi" w:hAnsiTheme="majorBidi" w:cstheme="majorBidi"/>
          <w:rtl/>
        </w:rPr>
      </w:pPr>
      <w:r w:rsidRPr="006571AC">
        <w:rPr>
          <w:rStyle w:val="affffffff0"/>
          <w:rFonts w:asciiTheme="majorBidi" w:hAnsiTheme="majorBidi" w:cstheme="majorBidi"/>
          <w:sz w:val="20"/>
          <w:szCs w:val="20"/>
        </w:rPr>
        <w:t>https://www.annahar.com/article/504973</w:t>
      </w:r>
    </w:p>
  </w:endnote>
  <w:endnote w:id="144">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cs="DanaFajr" w:hint="cs"/>
          <w:sz w:val="28"/>
          <w:szCs w:val="28"/>
          <w:rtl/>
        </w:rPr>
        <w:t xml:space="preserve"> </w:t>
      </w:r>
      <w:r w:rsidRPr="006571AC">
        <w:rPr>
          <w:rFonts w:ascii="Traditional Arabic" w:hAnsi="Traditional Arabic" w:cs="DanaFajr"/>
          <w:sz w:val="28"/>
          <w:szCs w:val="28"/>
          <w:rtl/>
        </w:rPr>
        <w:t>المصدر نفسه</w:t>
      </w:r>
      <w:r w:rsidRPr="006571AC">
        <w:rPr>
          <w:rFonts w:ascii="Traditional Arabic" w:hAnsi="Traditional Arabic" w:cs="DanaFajr" w:hint="cs"/>
          <w:sz w:val="28"/>
          <w:szCs w:val="28"/>
          <w:rtl/>
        </w:rPr>
        <w:t>.</w:t>
      </w:r>
    </w:p>
  </w:endnote>
  <w:endnote w:id="145">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المصدر نفسه</w:t>
      </w:r>
      <w:r w:rsidRPr="006571AC">
        <w:rPr>
          <w:rFonts w:ascii="Traditional Arabic" w:hAnsi="Traditional Arabic" w:cs="DanaFajr" w:hint="cs"/>
          <w:sz w:val="28"/>
          <w:szCs w:val="28"/>
          <w:rtl/>
        </w:rPr>
        <w:t>.</w:t>
      </w:r>
    </w:p>
  </w:endnote>
  <w:endnote w:id="146">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محمد ناصر الدين الألباني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سلسلة الأحاديث الصحيحة</w:t>
      </w:r>
      <w:r w:rsidRPr="006571AC">
        <w:rPr>
          <w:rFonts w:ascii="Traditional Arabic" w:hAnsi="Traditional Arabic" w:cs="DanaFajr"/>
          <w:sz w:val="28"/>
          <w:szCs w:val="28"/>
        </w:rPr>
        <w:t xml:space="preserve"> </w:t>
      </w:r>
      <w:r w:rsidRPr="006571AC">
        <w:rPr>
          <w:rFonts w:ascii="Traditional Arabic" w:hAnsi="Traditional Arabic" w:cs="DanaFajr"/>
          <w:sz w:val="28"/>
          <w:szCs w:val="28"/>
          <w:rtl/>
        </w:rPr>
        <w:t>5</w:t>
      </w:r>
      <w:r w:rsidRPr="006571AC">
        <w:rPr>
          <w:rFonts w:ascii="Traditional Arabic" w:hAnsi="Traditional Arabic" w:cs="DanaFajr" w:hint="cs"/>
          <w:sz w:val="28"/>
          <w:szCs w:val="28"/>
          <w:rtl/>
        </w:rPr>
        <w:t>: 392، ح2311</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ط4،</w:t>
      </w:r>
      <w:r w:rsidRPr="006571AC">
        <w:rPr>
          <w:rFonts w:ascii="Traditional Arabic" w:hAnsi="Traditional Arabic" w:cs="DanaFajr"/>
          <w:sz w:val="28"/>
          <w:szCs w:val="28"/>
          <w:rtl/>
        </w:rPr>
        <w:t xml:space="preserve"> 1985م،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المكتب الإسلامي</w:t>
      </w:r>
      <w:r w:rsidRPr="006571AC">
        <w:rPr>
          <w:rFonts w:ascii="Traditional Arabic" w:hAnsi="Traditional Arabic" w:cs="DanaFajr" w:hint="cs"/>
          <w:sz w:val="28"/>
          <w:szCs w:val="28"/>
          <w:rtl/>
        </w:rPr>
        <w:t>.</w:t>
      </w:r>
    </w:p>
  </w:endnote>
  <w:endnote w:id="147">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محمد بن عيسى بن سورة الترمذي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سنن الترمذي</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w:t>
      </w:r>
      <w:r w:rsidRPr="006571AC">
        <w:rPr>
          <w:rFonts w:ascii="Traditional Arabic" w:hAnsi="Traditional Arabic" w:cs="DanaFajr" w:hint="cs"/>
          <w:sz w:val="28"/>
          <w:szCs w:val="28"/>
          <w:rtl/>
        </w:rPr>
        <w:t>: 339، ح2414</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2000م،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دار الكتب العلمية</w:t>
      </w:r>
      <w:r w:rsidRPr="006571AC">
        <w:rPr>
          <w:rFonts w:ascii="Traditional Arabic" w:hAnsi="Traditional Arabic" w:cs="DanaFajr" w:hint="cs"/>
          <w:sz w:val="28"/>
          <w:szCs w:val="28"/>
          <w:rtl/>
        </w:rPr>
        <w:t>.</w:t>
      </w:r>
    </w:p>
  </w:endnote>
  <w:endnote w:id="148">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cs="DanaFajr" w:hint="cs"/>
          <w:sz w:val="28"/>
          <w:szCs w:val="28"/>
          <w:rtl/>
        </w:rPr>
        <w:t xml:space="preserve"> </w:t>
      </w:r>
      <w:r w:rsidRPr="006571AC">
        <w:rPr>
          <w:rFonts w:ascii="Traditional Arabic" w:hAnsi="Traditional Arabic" w:cs="DanaFajr"/>
          <w:sz w:val="28"/>
          <w:szCs w:val="28"/>
          <w:rtl/>
        </w:rPr>
        <w:t>الميرزا حسين بن محمد تقي النوري الطبرسي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مستدرك الوسائل</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١٢</w:t>
      </w:r>
      <w:r w:rsidRPr="006571AC">
        <w:rPr>
          <w:rFonts w:ascii="Traditional Arabic" w:hAnsi="Traditional Arabic" w:cs="DanaFajr" w:hint="cs"/>
          <w:sz w:val="28"/>
          <w:szCs w:val="28"/>
          <w:rtl/>
        </w:rPr>
        <w:t>: 210</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ط3،</w:t>
      </w:r>
      <w:r w:rsidRPr="006571AC">
        <w:rPr>
          <w:rFonts w:ascii="Traditional Arabic" w:hAnsi="Traditional Arabic" w:cs="DanaFajr"/>
          <w:sz w:val="28"/>
          <w:szCs w:val="28"/>
          <w:rtl/>
        </w:rPr>
        <w:t xml:space="preserve"> 1412ﻫ،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مؤسسة آل البيت</w:t>
      </w:r>
      <w:r w:rsidRPr="006571AC">
        <w:rPr>
          <w:rFonts w:ascii="Mosawi" w:hAnsi="Mosawi" w:cs="Mosawi"/>
          <w:rtl/>
        </w:rPr>
        <w:t>^</w:t>
      </w:r>
      <w:r w:rsidRPr="006571AC">
        <w:rPr>
          <w:rFonts w:ascii="Traditional Arabic" w:hAnsi="Traditional Arabic" w:cs="DanaFajr"/>
          <w:sz w:val="28"/>
          <w:szCs w:val="28"/>
          <w:rtl/>
        </w:rPr>
        <w:t xml:space="preserve"> لإحياء التراث</w:t>
      </w:r>
      <w:r w:rsidRPr="006571AC">
        <w:rPr>
          <w:rFonts w:ascii="Traditional Arabic" w:hAnsi="Traditional Arabic" w:cs="DanaFajr" w:hint="cs"/>
          <w:sz w:val="28"/>
          <w:szCs w:val="28"/>
          <w:rtl/>
        </w:rPr>
        <w:t>.</w:t>
      </w:r>
    </w:p>
  </w:endnote>
  <w:endnote w:id="149">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الشيخ الصدوق</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الأمالي</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268،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293</w:t>
      </w:r>
      <w:r w:rsidRPr="006571AC">
        <w:rPr>
          <w:rFonts w:ascii="Traditional Arabic" w:hAnsi="Traditional Arabic" w:cs="DanaFajr" w:hint="cs"/>
          <w:sz w:val="28"/>
          <w:szCs w:val="28"/>
          <w:rtl/>
        </w:rPr>
        <w:t>.</w:t>
      </w:r>
    </w:p>
  </w:endnote>
  <w:endnote w:id="150">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السيد حسن القزويني. الشمس تشرق من المغرب</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109،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2008م،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مؤس</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سة البلاغ</w:t>
      </w:r>
      <w:r w:rsidRPr="006571AC">
        <w:rPr>
          <w:rFonts w:ascii="Traditional Arabic" w:hAnsi="Traditional Arabic" w:cs="DanaFajr" w:hint="cs"/>
          <w:sz w:val="28"/>
          <w:szCs w:val="28"/>
          <w:rtl/>
        </w:rPr>
        <w:t>.</w:t>
      </w:r>
    </w:p>
  </w:endnote>
  <w:endnote w:id="151">
    <w:p w:rsidR="00DB2356" w:rsidRPr="006571AC" w:rsidRDefault="00DB2356" w:rsidP="00F83E2D">
      <w:pPr>
        <w:pStyle w:val="aa"/>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cs="DanaFajr" w:hint="cs"/>
          <w:sz w:val="28"/>
          <w:szCs w:val="28"/>
          <w:rtl/>
        </w:rPr>
        <w:t xml:space="preserve"> </w:t>
      </w:r>
      <w:r w:rsidRPr="006571AC">
        <w:rPr>
          <w:rFonts w:ascii="Traditional Arabic" w:hAnsi="Traditional Arabic" w:cs="DanaFajr"/>
          <w:sz w:val="28"/>
          <w:szCs w:val="28"/>
          <w:rtl/>
        </w:rPr>
        <w:t>حسين النوري الطبرسي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اللؤلؤ والمرجان في آداب أهل المنبر</w:t>
      </w:r>
      <w:r w:rsidRPr="006571AC">
        <w:rPr>
          <w:rFonts w:ascii="Traditional Arabic" w:hAnsi="Traditional Arabic" w:cs="DanaFajr" w:hint="cs"/>
          <w:sz w:val="28"/>
          <w:szCs w:val="28"/>
          <w:rtl/>
        </w:rPr>
        <w:t>: 219 ـ 220</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1423ﻫ،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دار البلاغة</w:t>
      </w:r>
      <w:r w:rsidRPr="006571AC">
        <w:rPr>
          <w:rFonts w:ascii="Traditional Arabic" w:hAnsi="Traditional Arabic" w:cs="DanaFajr" w:hint="cs"/>
          <w:sz w:val="28"/>
          <w:szCs w:val="28"/>
          <w:rtl/>
        </w:rPr>
        <w:t>.</w:t>
      </w:r>
    </w:p>
  </w:endnote>
  <w:endnote w:id="152">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روح الله الخميني، تنقيح الأصول 3: 308. </w:t>
      </w:r>
    </w:p>
  </w:endnote>
  <w:endnote w:id="153">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ابن فارس، معجم مقاييس اللغة 5: 76. </w:t>
      </w:r>
    </w:p>
  </w:endnote>
  <w:endnote w:id="154">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الجوهري، الصحاح 6: 2182؛ محمد بن أحمد الأزهري، تهذيب اللغة 9: 89؛ الخليل بن أحمد الفراهيدي، العين 5: 143. </w:t>
      </w:r>
    </w:p>
  </w:endnote>
  <w:endnote w:id="155">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انظر: ابن فارس، معجم مقاييس اللغة </w:t>
      </w:r>
      <w:r w:rsidRPr="006571AC">
        <w:rPr>
          <w:rFonts w:cs="DanaFajr" w:hint="cs"/>
          <w:sz w:val="28"/>
          <w:szCs w:val="28"/>
          <w:rtl/>
        </w:rPr>
        <w:t>6</w:t>
      </w:r>
      <w:r w:rsidRPr="006571AC">
        <w:rPr>
          <w:rFonts w:cs="DanaFajr"/>
          <w:sz w:val="28"/>
          <w:szCs w:val="28"/>
          <w:rtl/>
        </w:rPr>
        <w:t xml:space="preserve">: </w:t>
      </w:r>
      <w:r w:rsidRPr="006571AC">
        <w:rPr>
          <w:rFonts w:cs="DanaFajr" w:hint="cs"/>
          <w:sz w:val="28"/>
          <w:szCs w:val="28"/>
          <w:rtl/>
        </w:rPr>
        <w:t>116</w:t>
      </w:r>
      <w:r w:rsidRPr="006571AC">
        <w:rPr>
          <w:rFonts w:cs="DanaFajr"/>
          <w:sz w:val="28"/>
          <w:szCs w:val="28"/>
          <w:rtl/>
        </w:rPr>
        <w:t xml:space="preserve">. </w:t>
      </w:r>
    </w:p>
  </w:endnote>
  <w:endnote w:id="156">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محمد باقر الصدر، دروس في علم الأصول 2: 106. </w:t>
      </w:r>
    </w:p>
  </w:endnote>
  <w:endnote w:id="157">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الآخوند محمد كاظم الخراساني، كفاية الأصول: 219؛ فوائد الأصول 2: 523؛ عبد الكريم الحائري اليزدي، درر الفوائد: 214. </w:t>
      </w:r>
    </w:p>
  </w:endnote>
  <w:endnote w:id="158">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انظر: السيد محمد باقر الصدر، دروس في علم الأصول 2: 106. </w:t>
      </w:r>
    </w:p>
  </w:endnote>
  <w:endnote w:id="159">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انظر: ابن فارس، معجم مقاييس اللغة </w:t>
      </w:r>
      <w:r w:rsidRPr="006571AC">
        <w:rPr>
          <w:rFonts w:cs="DanaFajr" w:hint="cs"/>
          <w:sz w:val="28"/>
          <w:szCs w:val="28"/>
          <w:rtl/>
        </w:rPr>
        <w:t>1</w:t>
      </w:r>
      <w:r w:rsidRPr="006571AC">
        <w:rPr>
          <w:rFonts w:cs="DanaFajr"/>
          <w:sz w:val="28"/>
          <w:szCs w:val="28"/>
          <w:rtl/>
        </w:rPr>
        <w:t xml:space="preserve">: </w:t>
      </w:r>
      <w:r w:rsidRPr="006571AC">
        <w:rPr>
          <w:rFonts w:cs="DanaFajr" w:hint="cs"/>
          <w:sz w:val="28"/>
          <w:szCs w:val="28"/>
          <w:rtl/>
        </w:rPr>
        <w:t>471</w:t>
      </w:r>
      <w:r w:rsidRPr="006571AC">
        <w:rPr>
          <w:rFonts w:cs="DanaFajr"/>
          <w:sz w:val="28"/>
          <w:szCs w:val="28"/>
          <w:rtl/>
        </w:rPr>
        <w:t xml:space="preserve">. </w:t>
      </w:r>
    </w:p>
  </w:endnote>
  <w:endnote w:id="160">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ابن دُرَيْد، جمهرة اللغة 2: 764. </w:t>
      </w:r>
    </w:p>
  </w:endnote>
  <w:endnote w:id="161">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تحسين البدري، معجم مفردات أصول الفقه المقارن 1: 187. كما ورد هذا المضمون بعينه في المعاجم الأخرى الخاصة بمصطلحات علم الأصول أيضاً، انظر: محمد الحسيني، معجم المصطلحات الأصولية 1: 109؛ الدليل الفقهي للتطبيقات الفقهية لمصطلحات علم الأصول 1: 215. </w:t>
      </w:r>
    </w:p>
  </w:endnote>
  <w:endnote w:id="162">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السيد محمد باقر الصدر، دروس في علم الأصول </w:t>
      </w:r>
      <w:r w:rsidRPr="006571AC">
        <w:rPr>
          <w:rFonts w:cs="DanaFajr" w:hint="cs"/>
          <w:sz w:val="28"/>
          <w:szCs w:val="28"/>
          <w:rtl/>
        </w:rPr>
        <w:t>1</w:t>
      </w:r>
      <w:r w:rsidRPr="006571AC">
        <w:rPr>
          <w:rFonts w:cs="DanaFajr"/>
          <w:sz w:val="28"/>
          <w:szCs w:val="28"/>
          <w:rtl/>
        </w:rPr>
        <w:t>: 10</w:t>
      </w:r>
      <w:r w:rsidRPr="006571AC">
        <w:rPr>
          <w:rFonts w:cs="DanaFajr" w:hint="cs"/>
          <w:sz w:val="28"/>
          <w:szCs w:val="28"/>
          <w:rtl/>
        </w:rPr>
        <w:t>1</w:t>
      </w:r>
      <w:r w:rsidRPr="006571AC">
        <w:rPr>
          <w:rFonts w:cs="DanaFajr"/>
          <w:sz w:val="28"/>
          <w:szCs w:val="28"/>
          <w:rtl/>
        </w:rPr>
        <w:t xml:space="preserve">. </w:t>
      </w:r>
    </w:p>
  </w:endnote>
  <w:endnote w:id="163">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تحسين البدري، معجم مفردات أصول الفقه المقارن 1: 18</w:t>
      </w:r>
      <w:r w:rsidRPr="006571AC">
        <w:rPr>
          <w:rFonts w:cs="DanaFajr" w:hint="cs"/>
          <w:sz w:val="28"/>
          <w:szCs w:val="28"/>
          <w:rtl/>
        </w:rPr>
        <w:t>8</w:t>
      </w:r>
      <w:r w:rsidRPr="006571AC">
        <w:rPr>
          <w:rFonts w:cs="DanaFajr"/>
          <w:sz w:val="28"/>
          <w:szCs w:val="28"/>
          <w:rtl/>
        </w:rPr>
        <w:t xml:space="preserve">. </w:t>
      </w:r>
    </w:p>
  </w:endnote>
  <w:endnote w:id="164">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مبارك بن محمد ابن الأثير، النهاية في غريب الحديث والأثر 2: 424. </w:t>
      </w:r>
    </w:p>
  </w:endnote>
  <w:endnote w:id="165">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انظر: ابن فارس، معجم مقاييس اللغة </w:t>
      </w:r>
      <w:r w:rsidRPr="006571AC">
        <w:rPr>
          <w:rFonts w:cs="DanaFajr" w:hint="cs"/>
          <w:sz w:val="28"/>
          <w:szCs w:val="28"/>
          <w:rtl/>
        </w:rPr>
        <w:t xml:space="preserve">3: 118. </w:t>
      </w:r>
    </w:p>
  </w:endnote>
  <w:endnote w:id="166">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 xml:space="preserve">الفراهيدي، العين 5: </w:t>
      </w:r>
      <w:r w:rsidRPr="006571AC">
        <w:rPr>
          <w:rFonts w:cs="DanaFajr" w:hint="cs"/>
          <w:sz w:val="28"/>
          <w:szCs w:val="28"/>
          <w:rtl/>
        </w:rPr>
        <w:t xml:space="preserve">190؛ </w:t>
      </w:r>
      <w:r w:rsidRPr="006571AC">
        <w:rPr>
          <w:rFonts w:cs="DanaFajr"/>
          <w:sz w:val="28"/>
          <w:szCs w:val="28"/>
          <w:rtl/>
        </w:rPr>
        <w:t xml:space="preserve">الأزهري، تهذيب اللغة 9: </w:t>
      </w:r>
      <w:r w:rsidRPr="006571AC">
        <w:rPr>
          <w:rFonts w:cs="DanaFajr" w:hint="cs"/>
          <w:sz w:val="28"/>
          <w:szCs w:val="28"/>
          <w:rtl/>
        </w:rPr>
        <w:t xml:space="preserve">183؛ الصاحب إسماعيل بن عبّاد، المحيط في اللغة 5: 473. </w:t>
      </w:r>
    </w:p>
  </w:endnote>
  <w:endnote w:id="167">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ابن فارس، معجم مقاييس اللغة 3: 118</w:t>
      </w:r>
      <w:r w:rsidRPr="006571AC">
        <w:rPr>
          <w:rFonts w:cs="DanaFajr" w:hint="cs"/>
          <w:sz w:val="28"/>
          <w:szCs w:val="28"/>
          <w:rtl/>
        </w:rPr>
        <w:t xml:space="preserve">؛ أحمد بن محمد الفيومي، المصباح المنير في غريب الشرح الكبير للرافعي: 296. </w:t>
      </w:r>
    </w:p>
  </w:endnote>
  <w:endnote w:id="168">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حسين بن محمد الراغب الإصفهاني، مفردات ألفاظ القرآن 1: 436. </w:t>
      </w:r>
    </w:p>
  </w:endnote>
  <w:endnote w:id="169">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 xml:space="preserve">الفيومي، المصباح المنير في غريب الشرح الكبير للرافعي: 296. </w:t>
      </w:r>
    </w:p>
  </w:endnote>
  <w:endnote w:id="170">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ذكر الشيخ جوادي الآملي هذا الكلام ضمن حوار أُجري معه. انظر: خبر </w:t>
      </w:r>
      <w:r w:rsidRPr="006571AC">
        <w:rPr>
          <w:rFonts w:ascii="Mosawi" w:hAnsi="Mosawi" w:cs="Abz-3 (Yagut)" w:hint="cs"/>
          <w:rtl/>
          <w:lang w:val="x-none" w:eastAsia="x-none"/>
        </w:rPr>
        <w:t>گزاري</w:t>
      </w:r>
      <w:r w:rsidRPr="006571AC">
        <w:rPr>
          <w:rFonts w:cs="DanaFajr" w:hint="cs"/>
          <w:sz w:val="28"/>
          <w:szCs w:val="28"/>
          <w:rtl/>
        </w:rPr>
        <w:t xml:space="preserve"> تابناك، كد خبر: 668036: الرابط: </w:t>
      </w:r>
      <w:r w:rsidRPr="006571AC">
        <w:rPr>
          <w:rFonts w:asciiTheme="majorBidi" w:hAnsiTheme="majorBidi" w:cstheme="majorBidi"/>
          <w:lang w:bidi="fa-IR"/>
        </w:rPr>
        <w:t>www.tabnak.ir</w:t>
      </w:r>
      <w:r w:rsidRPr="006571AC">
        <w:rPr>
          <w:rFonts w:cs="DanaFajr" w:hint="cs"/>
          <w:sz w:val="28"/>
          <w:szCs w:val="28"/>
          <w:rtl/>
        </w:rPr>
        <w:t xml:space="preserve">؛ كما نقل هذا التقابل في عبارة للشهيد الثاني أيضاً، انظر: زين الدين العاملي (الشهيد الثاني) ، المقاصد العلية في شرح الرسالة الألفية: 13. </w:t>
      </w:r>
    </w:p>
  </w:endnote>
  <w:endnote w:id="171">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السيد محمد باقر الصدر، دروس في علم الأصول 1: 10</w:t>
      </w:r>
      <w:r w:rsidRPr="006571AC">
        <w:rPr>
          <w:rFonts w:cs="DanaFajr" w:hint="cs"/>
          <w:sz w:val="28"/>
          <w:szCs w:val="28"/>
          <w:rtl/>
        </w:rPr>
        <w:t>3 ـ 104</w:t>
      </w:r>
      <w:r w:rsidRPr="006571AC">
        <w:rPr>
          <w:rFonts w:cs="DanaFajr"/>
          <w:sz w:val="28"/>
          <w:szCs w:val="28"/>
          <w:rtl/>
        </w:rPr>
        <w:t xml:space="preserve">. </w:t>
      </w:r>
    </w:p>
  </w:endnote>
  <w:endnote w:id="172">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يعقوب الكليني، الكافي، ج7، كتاب الديات، الباب الأخير، ح1. </w:t>
      </w:r>
    </w:p>
  </w:endnote>
  <w:endnote w:id="173">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السيد أبو القاسم الخوئي، موسوعة الإمام الخوئي 42: 477. </w:t>
      </w:r>
    </w:p>
  </w:endnote>
  <w:endnote w:id="174">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باقر الصدر، بحوث في علم الأصول 11: 146. </w:t>
      </w:r>
    </w:p>
  </w:endnote>
  <w:endnote w:id="175">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الخوئي، السيد أبو القاسم الخوئي، المحاضرات في أصول الفقه 4: 315. </w:t>
      </w:r>
    </w:p>
  </w:endnote>
  <w:endnote w:id="176">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حسن النجفي، جواهر الكلام في شرح شرائع الإسلام 24: 172؛ يوسف البحراني، الحدائق الناضرة في أحكام العترة الطاهرة 13: 259؛ السيد محسن الحكيم، مستمسك العروة الوثقى 1: 518؛ حسن النجفي (كاشف الغطاء)، أنوار الفقاهة (كتاب الطهارة): 19. </w:t>
      </w:r>
    </w:p>
  </w:endnote>
  <w:endnote w:id="177">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محمد اليزدي (المحقق الداماد) ، كتاب الحج 2: 588. </w:t>
      </w:r>
    </w:p>
  </w:endnote>
  <w:endnote w:id="178">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حسين الحائري الإصفهاني، الفصول الغروية في الأصول الفقهية: 383. </w:t>
      </w:r>
    </w:p>
  </w:endnote>
  <w:endnote w:id="179">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 xml:space="preserve">محمد باقر الصدر، بحوث في علم الأصول </w:t>
      </w:r>
      <w:r w:rsidRPr="006571AC">
        <w:rPr>
          <w:rFonts w:cs="DanaFajr" w:hint="cs"/>
          <w:sz w:val="28"/>
          <w:szCs w:val="28"/>
          <w:rtl/>
        </w:rPr>
        <w:t>2</w:t>
      </w:r>
      <w:r w:rsidRPr="006571AC">
        <w:rPr>
          <w:rFonts w:cs="DanaFajr"/>
          <w:sz w:val="28"/>
          <w:szCs w:val="28"/>
          <w:rtl/>
        </w:rPr>
        <w:t>: 1</w:t>
      </w:r>
      <w:r w:rsidRPr="006571AC">
        <w:rPr>
          <w:rFonts w:cs="DanaFajr" w:hint="cs"/>
          <w:sz w:val="28"/>
          <w:szCs w:val="28"/>
          <w:rtl/>
        </w:rPr>
        <w:t>29</w:t>
      </w:r>
      <w:r w:rsidRPr="006571AC">
        <w:rPr>
          <w:rFonts w:cs="DanaFajr"/>
          <w:sz w:val="28"/>
          <w:szCs w:val="28"/>
          <w:rtl/>
        </w:rPr>
        <w:t xml:space="preserve">. </w:t>
      </w:r>
    </w:p>
  </w:endnote>
  <w:endnote w:id="180">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يعقوب الكليني، الكافي </w:t>
      </w:r>
      <w:r w:rsidRPr="006571AC">
        <w:rPr>
          <w:rFonts w:cs="DanaFajr" w:hint="cs"/>
          <w:sz w:val="28"/>
          <w:szCs w:val="28"/>
          <w:rtl/>
        </w:rPr>
        <w:t xml:space="preserve">5: 170، كتاب المعيشة، باب الشرط والخيار في البيع، ح6. </w:t>
      </w:r>
    </w:p>
  </w:endnote>
  <w:endnote w:id="181">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الآخوند محمد كاظم الخراساني، حاشية المكاسب: 152. </w:t>
      </w:r>
    </w:p>
  </w:endnote>
  <w:endnote w:id="182">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روح الله الخميني، تنقيح الأصول 3: 308. </w:t>
      </w:r>
    </w:p>
  </w:endnote>
  <w:endnote w:id="183">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الخوئي، المحاضرات في أصول الفقه 1: 551. </w:t>
      </w:r>
    </w:p>
  </w:endnote>
  <w:endnote w:id="184">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الشيخ مرتضى الأنصاري، مطارح الأنظار 2: 373. </w:t>
      </w:r>
    </w:p>
  </w:endnote>
  <w:endnote w:id="185">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علي ابن بابويه (الشيخ الصدوق)، الخصال 2: 417، الباب 9، ح9. </w:t>
      </w:r>
    </w:p>
  </w:endnote>
  <w:endnote w:id="186">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الشيخ مرتضى الأنصاري، </w:t>
      </w:r>
      <w:r w:rsidRPr="006571AC">
        <w:rPr>
          <w:rFonts w:cs="DanaFajr" w:hint="cs"/>
          <w:sz w:val="28"/>
          <w:szCs w:val="28"/>
          <w:rtl/>
        </w:rPr>
        <w:t xml:space="preserve">فرائد الأصول 2: 28؛ </w:t>
      </w:r>
      <w:r w:rsidRPr="006571AC">
        <w:rPr>
          <w:rFonts w:cs="DanaFajr"/>
          <w:sz w:val="28"/>
          <w:szCs w:val="28"/>
          <w:rtl/>
        </w:rPr>
        <w:t xml:space="preserve">الآخوند محمد كاظم الخراساني، </w:t>
      </w:r>
      <w:r w:rsidRPr="006571AC">
        <w:rPr>
          <w:rFonts w:cs="DanaFajr" w:hint="cs"/>
          <w:sz w:val="28"/>
          <w:szCs w:val="28"/>
          <w:rtl/>
        </w:rPr>
        <w:t xml:space="preserve">فوائد الأصول 3: 344. </w:t>
      </w:r>
    </w:p>
  </w:endnote>
  <w:endnote w:id="187">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الشيخ مرتضى الأنصاري، فرائد الأصول 2: </w:t>
      </w:r>
      <w:r w:rsidRPr="006571AC">
        <w:rPr>
          <w:rFonts w:cs="DanaFajr" w:hint="cs"/>
          <w:sz w:val="28"/>
          <w:szCs w:val="28"/>
          <w:rtl/>
        </w:rPr>
        <w:t xml:space="preserve">770. </w:t>
      </w:r>
    </w:p>
  </w:endnote>
  <w:endnote w:id="188">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يعقوب الكليني، الكافي </w:t>
      </w:r>
      <w:r w:rsidRPr="006571AC">
        <w:rPr>
          <w:rFonts w:cs="DanaFajr" w:hint="cs"/>
          <w:sz w:val="28"/>
          <w:szCs w:val="28"/>
          <w:rtl/>
        </w:rPr>
        <w:t xml:space="preserve">3: 359، كتاب الصلاة، باب مَنْ شك في صلاته كلّها ولم يَدْرِ زاد أو نقص ومَنْ كثر عليه السهو والسهو في النافلة وهو الإمام ومَنْ خلفه، ح7. </w:t>
      </w:r>
    </w:p>
  </w:endnote>
  <w:endnote w:id="189">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الخوئي، موسوعة الإمام الخوئي 18: 300؛ كتاب الصلاة 2: 288. </w:t>
      </w:r>
    </w:p>
  </w:endnote>
  <w:endnote w:id="190">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اليزدي (المحقق الداماد)، المحاضرات 2: 195. </w:t>
      </w:r>
    </w:p>
  </w:endnote>
  <w:endnote w:id="191">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السيد روح الله الخميني، تنقيح الأصول 3: 213. </w:t>
      </w:r>
    </w:p>
  </w:endnote>
  <w:endnote w:id="192">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السيد أبو القاسم </w:t>
      </w:r>
      <w:r w:rsidRPr="006571AC">
        <w:rPr>
          <w:rFonts w:cs="DanaFajr"/>
          <w:sz w:val="28"/>
          <w:szCs w:val="28"/>
          <w:rtl/>
        </w:rPr>
        <w:t xml:space="preserve">الخوئي، موسوعة الإمام الخوئي </w:t>
      </w:r>
      <w:r w:rsidRPr="006571AC">
        <w:rPr>
          <w:rFonts w:cs="DanaFajr" w:hint="cs"/>
          <w:sz w:val="28"/>
          <w:szCs w:val="28"/>
          <w:rtl/>
        </w:rPr>
        <w:t xml:space="preserve">44: 477. </w:t>
      </w:r>
    </w:p>
  </w:endnote>
  <w:endnote w:id="193">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محمد بن يعقوب </w:t>
      </w:r>
      <w:r w:rsidRPr="006571AC">
        <w:rPr>
          <w:rFonts w:cs="DanaFajr"/>
          <w:sz w:val="28"/>
          <w:szCs w:val="28"/>
          <w:rtl/>
        </w:rPr>
        <w:t xml:space="preserve">الكليني، الكافي 3: </w:t>
      </w:r>
      <w:r w:rsidRPr="006571AC">
        <w:rPr>
          <w:rFonts w:cs="DanaFajr" w:hint="cs"/>
          <w:sz w:val="28"/>
          <w:szCs w:val="28"/>
          <w:rtl/>
        </w:rPr>
        <w:t xml:space="preserve">405، باب الرجل يصلي في الثوب وهو غير طاهر، عالماً أو جاهلاً، ح6. </w:t>
      </w:r>
    </w:p>
  </w:endnote>
  <w:endnote w:id="194">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w:t>
      </w:r>
      <w:r w:rsidRPr="006571AC">
        <w:rPr>
          <w:rFonts w:cs="DanaFajr"/>
          <w:sz w:val="28"/>
          <w:szCs w:val="28"/>
          <w:rtl/>
        </w:rPr>
        <w:t xml:space="preserve">الخوئي، </w:t>
      </w:r>
      <w:r w:rsidRPr="006571AC">
        <w:rPr>
          <w:rFonts w:cs="DanaFajr" w:hint="cs"/>
          <w:sz w:val="28"/>
          <w:szCs w:val="28"/>
          <w:rtl/>
        </w:rPr>
        <w:t xml:space="preserve">فقه الشيعة (كتاب الطهارة) 4: 169. </w:t>
      </w:r>
    </w:p>
  </w:endnote>
  <w:endnote w:id="195">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محسن الحكيم، مستمسك العروة الوثقى 2: 15؛ مرتضى اليزدي الحائري، شرح العروة الوثقى 2: 220؛ محمد باقر الصدر، بحوث في شرح العروة الوثقى 4: 135. </w:t>
      </w:r>
    </w:p>
  </w:endnote>
  <w:endnote w:id="196">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الآخوند محمد كاظم الخراساني، كفاية الأصول: 80. </w:t>
      </w:r>
    </w:p>
  </w:endnote>
  <w:endnote w:id="197">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علي القوجاني، تعليقة القوجاني على كفاية الأصول 1: 211. </w:t>
      </w:r>
    </w:p>
  </w:endnote>
  <w:endnote w:id="198">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حسين الحائري الإصفهاني، الفصول الغروية في الأصول الفقهية: 383. </w:t>
      </w:r>
    </w:p>
  </w:endnote>
  <w:endnote w:id="199">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الحسن الطوسي، تهذيب الأحكام 1: 404، كتاب الطهارة، الباب 20، التيمُّم وأحكامه. </w:t>
      </w:r>
    </w:p>
  </w:endnote>
  <w:endnote w:id="200">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محمد سعيد الحكيم، الكافي في أصول الفقه 1: 38. </w:t>
      </w:r>
    </w:p>
  </w:endnote>
  <w:endnote w:id="201">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السيد روح الله الخميني، تنقيح الأصول 3: 308. </w:t>
      </w:r>
    </w:p>
  </w:endnote>
  <w:endnote w:id="202">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باقر الصدر، بحوث في علم الأصول (تقريرات: الشيخ حسن عبد الساتر) 11: 109 ـ 111. </w:t>
      </w:r>
    </w:p>
  </w:endnote>
  <w:endnote w:id="203">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حسن النجفي، جواهر الكلام في شرح شرائع الإسلام 24: 172. </w:t>
      </w:r>
    </w:p>
  </w:endnote>
  <w:endnote w:id="204">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محسن الحكيم، مستمسك العروة الوثقى 2: 272. </w:t>
      </w:r>
    </w:p>
  </w:endnote>
  <w:endnote w:id="205">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الحسن الطوسي، تهذيب الأحكام 5: 313، كتاب الحجّ، الباب 24، ما يجب على المحرم اجتنابه في إحرامه، ح75. </w:t>
      </w:r>
    </w:p>
  </w:endnote>
  <w:endnote w:id="206">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اليزدي (المحقق الداماد)، كتاب الحجّ 2: 588. </w:t>
      </w:r>
    </w:p>
  </w:endnote>
  <w:endnote w:id="207">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الحسن الطوسي، تهذيب الأحكام </w:t>
      </w:r>
      <w:r w:rsidRPr="006571AC">
        <w:rPr>
          <w:rFonts w:cs="DanaFajr" w:hint="cs"/>
          <w:sz w:val="28"/>
          <w:szCs w:val="28"/>
          <w:rtl/>
        </w:rPr>
        <w:t xml:space="preserve">2: 282، كتاب الصلاة، الباب 14، الأذان والإقامة، ح23. </w:t>
      </w:r>
    </w:p>
  </w:endnote>
  <w:endnote w:id="208">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عبد الحسين اللاري، التعليقة على المكاسب 1: 259. </w:t>
      </w:r>
    </w:p>
  </w:endnote>
  <w:endnote w:id="209">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الحسن الطوسي، تهذيب الأحكام </w:t>
      </w:r>
      <w:r w:rsidRPr="006571AC">
        <w:rPr>
          <w:rFonts w:cs="DanaFajr" w:hint="cs"/>
          <w:sz w:val="28"/>
          <w:szCs w:val="28"/>
          <w:rtl/>
        </w:rPr>
        <w:t xml:space="preserve">1: 46، كتاب الطهارة، الباب 3 من أبواب الأحداث الموجبة للطهارات، ح69. </w:t>
      </w:r>
    </w:p>
  </w:endnote>
  <w:endnote w:id="210">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الميرزا هاشم الآملي، المعالم المأثورة 4: 113. </w:t>
      </w:r>
    </w:p>
  </w:endnote>
  <w:endnote w:id="211">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السيد محسن الحكيم، مستمسك العروة الوثقى </w:t>
      </w:r>
      <w:r w:rsidRPr="006571AC">
        <w:rPr>
          <w:rFonts w:cs="DanaFajr" w:hint="cs"/>
          <w:sz w:val="28"/>
          <w:szCs w:val="28"/>
          <w:rtl/>
        </w:rPr>
        <w:t xml:space="preserve">14: 25. </w:t>
      </w:r>
    </w:p>
  </w:endnote>
  <w:endnote w:id="212">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الصدر، بحوث في علم الأصول</w:t>
      </w:r>
      <w:r w:rsidRPr="006571AC">
        <w:rPr>
          <w:rFonts w:cs="DanaFajr" w:hint="cs"/>
          <w:sz w:val="28"/>
          <w:szCs w:val="28"/>
          <w:rtl/>
        </w:rPr>
        <w:t xml:space="preserve"> (</w:t>
      </w:r>
      <w:r w:rsidRPr="006571AC">
        <w:rPr>
          <w:rFonts w:cs="DanaFajr"/>
          <w:sz w:val="28"/>
          <w:szCs w:val="28"/>
          <w:rtl/>
        </w:rPr>
        <w:t>تقريرات</w:t>
      </w:r>
      <w:r w:rsidRPr="006571AC">
        <w:rPr>
          <w:rFonts w:cs="DanaFajr" w:hint="cs"/>
          <w:sz w:val="28"/>
          <w:szCs w:val="28"/>
          <w:rtl/>
        </w:rPr>
        <w:t>:</w:t>
      </w:r>
      <w:r w:rsidRPr="006571AC">
        <w:rPr>
          <w:rFonts w:cs="DanaFajr"/>
          <w:sz w:val="28"/>
          <w:szCs w:val="28"/>
          <w:rtl/>
        </w:rPr>
        <w:t xml:space="preserve"> الشيخ حسن عبد الساتر</w:t>
      </w:r>
      <w:r w:rsidRPr="006571AC">
        <w:rPr>
          <w:rFonts w:cs="DanaFajr" w:hint="cs"/>
          <w:sz w:val="28"/>
          <w:szCs w:val="28"/>
          <w:rtl/>
        </w:rPr>
        <w:t>)</w:t>
      </w:r>
      <w:r w:rsidRPr="006571AC">
        <w:rPr>
          <w:rFonts w:cs="DanaFajr"/>
          <w:sz w:val="28"/>
          <w:szCs w:val="28"/>
          <w:rtl/>
        </w:rPr>
        <w:t xml:space="preserve"> 11: </w:t>
      </w:r>
      <w:r w:rsidRPr="006571AC">
        <w:rPr>
          <w:rFonts w:cs="DanaFajr" w:hint="cs"/>
          <w:sz w:val="28"/>
          <w:szCs w:val="28"/>
          <w:rtl/>
        </w:rPr>
        <w:t xml:space="preserve">110. </w:t>
      </w:r>
    </w:p>
  </w:endnote>
  <w:endnote w:id="213">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يعقوب الكليني، الكافي 2: 463، كتاب الإيمان والكفر، باب ما رفع عن الأمّة، ح2. </w:t>
      </w:r>
    </w:p>
  </w:endnote>
  <w:endnote w:id="214">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الشيخ مرتضى الأنصاري، فرائد الأصول 2: 329. </w:t>
      </w:r>
    </w:p>
  </w:endnote>
  <w:endnote w:id="215">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الخوئي، مصباح الأصول 1: 260. </w:t>
      </w:r>
    </w:p>
  </w:endnote>
  <w:endnote w:id="216">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باقر الصدر، بحوث في علم الأصول </w:t>
      </w:r>
      <w:r w:rsidRPr="006571AC">
        <w:rPr>
          <w:rFonts w:cs="DanaFajr" w:hint="cs"/>
          <w:sz w:val="28"/>
          <w:szCs w:val="28"/>
          <w:rtl/>
        </w:rPr>
        <w:t>(</w:t>
      </w:r>
      <w:r w:rsidRPr="006571AC">
        <w:rPr>
          <w:rFonts w:cs="DanaFajr"/>
          <w:sz w:val="28"/>
          <w:szCs w:val="28"/>
          <w:rtl/>
        </w:rPr>
        <w:t>تقريرات</w:t>
      </w:r>
      <w:r w:rsidRPr="006571AC">
        <w:rPr>
          <w:rFonts w:cs="DanaFajr" w:hint="cs"/>
          <w:sz w:val="28"/>
          <w:szCs w:val="28"/>
          <w:rtl/>
        </w:rPr>
        <w:t>:</w:t>
      </w:r>
      <w:r w:rsidRPr="006571AC">
        <w:rPr>
          <w:rFonts w:cs="DanaFajr"/>
          <w:sz w:val="28"/>
          <w:szCs w:val="28"/>
          <w:rtl/>
        </w:rPr>
        <w:t xml:space="preserve"> الشيخ حسن عبد الساتر</w:t>
      </w:r>
      <w:r w:rsidRPr="006571AC">
        <w:rPr>
          <w:rFonts w:cs="DanaFajr" w:hint="cs"/>
          <w:sz w:val="28"/>
          <w:szCs w:val="28"/>
          <w:rtl/>
        </w:rPr>
        <w:t>)</w:t>
      </w:r>
      <w:r w:rsidRPr="006571AC">
        <w:rPr>
          <w:rFonts w:cs="DanaFajr"/>
          <w:sz w:val="28"/>
          <w:szCs w:val="28"/>
          <w:rtl/>
        </w:rPr>
        <w:t xml:space="preserve"> 11: 110. </w:t>
      </w:r>
    </w:p>
  </w:endnote>
  <w:endnote w:id="217">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أي: النقد الثالث على الاشتراط. </w:t>
      </w:r>
    </w:p>
  </w:endnote>
  <w:endnote w:id="218">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السيد محسن الحكيم، مستمسك العروة الوثقى 14: </w:t>
      </w:r>
      <w:r w:rsidRPr="006571AC">
        <w:rPr>
          <w:rFonts w:cs="DanaFajr" w:hint="cs"/>
          <w:sz w:val="28"/>
          <w:szCs w:val="28"/>
          <w:rtl/>
        </w:rPr>
        <w:t xml:space="preserve">267. </w:t>
      </w:r>
    </w:p>
  </w:endnote>
  <w:endnote w:id="219">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الخوئي، القواعد الفقهية والاجتهاد والتقليد 3: 525. </w:t>
      </w:r>
    </w:p>
  </w:endnote>
  <w:endnote w:id="220">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الحسن الطوسي، تهذيب الأحكام 1: 221، الباب </w:t>
      </w:r>
      <w:r w:rsidRPr="006571AC">
        <w:rPr>
          <w:rFonts w:cs="DanaFajr" w:hint="cs"/>
          <w:sz w:val="28"/>
          <w:szCs w:val="28"/>
          <w:rtl/>
        </w:rPr>
        <w:t>10</w:t>
      </w:r>
      <w:r w:rsidRPr="006571AC">
        <w:rPr>
          <w:rFonts w:cs="DanaFajr"/>
          <w:sz w:val="28"/>
          <w:szCs w:val="28"/>
          <w:rtl/>
        </w:rPr>
        <w:t>، المياه وأحكامها وما يجوز التطهّ</w:t>
      </w:r>
      <w:r w:rsidRPr="006571AC">
        <w:rPr>
          <w:rFonts w:cs="DanaFajr" w:hint="cs"/>
          <w:sz w:val="28"/>
          <w:szCs w:val="28"/>
          <w:rtl/>
        </w:rPr>
        <w:t>ُ</w:t>
      </w:r>
      <w:r w:rsidRPr="006571AC">
        <w:rPr>
          <w:rFonts w:cs="DanaFajr"/>
          <w:sz w:val="28"/>
          <w:szCs w:val="28"/>
          <w:rtl/>
        </w:rPr>
        <w:t xml:space="preserve">ر به وما لا يجوز، ح13. </w:t>
      </w:r>
    </w:p>
  </w:endnote>
  <w:endnote w:id="221">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الآخوند محمد كاظم الخراساني، اللمعات النيّرة في شرح تكملة التبصرة 1: 19. </w:t>
      </w:r>
    </w:p>
  </w:endnote>
  <w:endnote w:id="222">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يعقوب الكليني، الكافي 3: 385، باب الرجل يخطو إلى الصف أو يقوم خلف الصف وحده أو يكون بينه وبين الإمام ما لا يتخطّى، ح4. </w:t>
      </w:r>
    </w:p>
  </w:endnote>
  <w:endnote w:id="223">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الشيخ مرتضى الأنصاري، كتاب الصلاة 2: 336. </w:t>
      </w:r>
    </w:p>
  </w:endnote>
  <w:endnote w:id="224">
    <w:p w:rsidR="00DB2356" w:rsidRPr="006571AC" w:rsidRDefault="00DB2356" w:rsidP="008636AE">
      <w:pPr>
        <w:pStyle w:val="aa"/>
        <w:spacing w:line="315"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أبو القاسم الخوئي، موسوعة الإمام الخوئي 7: 146. </w:t>
      </w:r>
    </w:p>
  </w:endnote>
  <w:endnote w:id="225">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انظر: ناصر كاتوزيان، حقوق مدني: مشاركتها وصلح (الحقوق المدنية: المشاركات والصلح): 296، نشر: </w:t>
      </w:r>
      <w:r w:rsidRPr="006571AC">
        <w:rPr>
          <w:rFonts w:ascii="Mosawi" w:hAnsi="Mosawi" w:cs="Abz-3 (Yagut)" w:hint="cs"/>
          <w:rtl/>
          <w:lang w:val="x-none" w:eastAsia="x-none"/>
        </w:rPr>
        <w:t>گنج دانش</w:t>
      </w:r>
      <w:r w:rsidRPr="006571AC">
        <w:rPr>
          <w:rFonts w:cs="DanaFajr" w:hint="cs"/>
          <w:sz w:val="28"/>
          <w:szCs w:val="28"/>
          <w:rtl/>
          <w:lang w:bidi="ar-IQ"/>
        </w:rPr>
        <w:t xml:space="preserve">، طهران، 1368هـ ش. (مصدر فارسي). </w:t>
      </w:r>
    </w:p>
  </w:endnote>
  <w:endnote w:id="226">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 xml:space="preserve">الحُرّ العاملي، وسائل الشيعة 18: 16. </w:t>
      </w:r>
    </w:p>
  </w:endnote>
  <w:endnote w:id="227">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انظر: م</w:t>
      </w:r>
      <w:r w:rsidRPr="006571AC">
        <w:rPr>
          <w:rFonts w:cs="DanaFajr"/>
          <w:sz w:val="28"/>
          <w:szCs w:val="28"/>
          <w:rtl/>
          <w:lang w:bidi="ar-IQ"/>
        </w:rPr>
        <w:t xml:space="preserve">حمد بن </w:t>
      </w:r>
      <w:r w:rsidRPr="006571AC">
        <w:rPr>
          <w:rFonts w:cs="DanaFajr" w:hint="cs"/>
          <w:sz w:val="28"/>
          <w:szCs w:val="28"/>
          <w:rtl/>
          <w:lang w:bidi="ar-IQ"/>
        </w:rPr>
        <w:t>ي</w:t>
      </w:r>
      <w:r w:rsidRPr="006571AC">
        <w:rPr>
          <w:rFonts w:cs="DanaFajr" w:hint="eastAsia"/>
          <w:sz w:val="28"/>
          <w:szCs w:val="28"/>
          <w:rtl/>
          <w:lang w:bidi="ar-IQ"/>
        </w:rPr>
        <w:t>عقوب</w:t>
      </w:r>
      <w:r w:rsidRPr="006571AC">
        <w:rPr>
          <w:rFonts w:cs="DanaFajr" w:hint="cs"/>
          <w:sz w:val="28"/>
          <w:szCs w:val="28"/>
          <w:rtl/>
          <w:lang w:bidi="ar-IQ"/>
        </w:rPr>
        <w:t xml:space="preserve"> الكليني</w:t>
      </w:r>
      <w:r w:rsidRPr="006571AC">
        <w:rPr>
          <w:rFonts w:cs="DanaFajr" w:hint="eastAsia"/>
          <w:sz w:val="28"/>
          <w:szCs w:val="28"/>
          <w:rtl/>
          <w:lang w:bidi="ar-IQ"/>
        </w:rPr>
        <w:t xml:space="preserve">، </w:t>
      </w:r>
      <w:r w:rsidRPr="006571AC">
        <w:rPr>
          <w:rFonts w:cs="DanaFajr"/>
          <w:sz w:val="28"/>
          <w:szCs w:val="28"/>
          <w:rtl/>
          <w:lang w:bidi="ar-IQ"/>
        </w:rPr>
        <w:t>الكاف</w:t>
      </w:r>
      <w:r w:rsidRPr="006571AC">
        <w:rPr>
          <w:rFonts w:cs="DanaFajr" w:hint="cs"/>
          <w:sz w:val="28"/>
          <w:szCs w:val="28"/>
          <w:rtl/>
          <w:lang w:bidi="ar-IQ"/>
        </w:rPr>
        <w:t xml:space="preserve">ي 5: 258، دار الكتب الإسلامية، ط4، طهران، 1407هـ؛ محمد بن عليّ الصدوق، </w:t>
      </w:r>
      <w:r w:rsidRPr="006571AC">
        <w:rPr>
          <w:rFonts w:cs="DanaFajr"/>
          <w:sz w:val="28"/>
          <w:szCs w:val="28"/>
          <w:rtl/>
          <w:lang w:bidi="ar-IQ"/>
        </w:rPr>
        <w:t>م</w:t>
      </w:r>
      <w:r w:rsidRPr="006571AC">
        <w:rPr>
          <w:rFonts w:cs="DanaFajr" w:hint="cs"/>
          <w:sz w:val="28"/>
          <w:szCs w:val="28"/>
          <w:rtl/>
          <w:lang w:bidi="ar-IQ"/>
        </w:rPr>
        <w:t>َ</w:t>
      </w:r>
      <w:r w:rsidRPr="006571AC">
        <w:rPr>
          <w:rFonts w:cs="DanaFajr"/>
          <w:sz w:val="28"/>
          <w:szCs w:val="28"/>
          <w:rtl/>
          <w:lang w:bidi="ar-IQ"/>
        </w:rPr>
        <w:t>ن</w:t>
      </w:r>
      <w:r w:rsidRPr="006571AC">
        <w:rPr>
          <w:rFonts w:cs="DanaFajr" w:hint="cs"/>
          <w:sz w:val="28"/>
          <w:szCs w:val="28"/>
          <w:rtl/>
          <w:lang w:bidi="ar-IQ"/>
        </w:rPr>
        <w:t>ْ</w:t>
      </w:r>
      <w:r w:rsidRPr="006571AC">
        <w:rPr>
          <w:rFonts w:cs="DanaFajr"/>
          <w:sz w:val="28"/>
          <w:szCs w:val="28"/>
          <w:rtl/>
          <w:lang w:bidi="ar-IQ"/>
        </w:rPr>
        <w:t xml:space="preserve"> لا يحضره الفقيه</w:t>
      </w:r>
      <w:r w:rsidRPr="006571AC">
        <w:rPr>
          <w:rFonts w:cs="DanaFajr" w:hint="cs"/>
          <w:sz w:val="28"/>
          <w:szCs w:val="28"/>
          <w:rtl/>
          <w:lang w:bidi="ar-IQ"/>
        </w:rPr>
        <w:t xml:space="preserve"> 3: 32، مؤسسة النشر الإسلامي التابعة لجماعة المدرِّسين في الحوزة العلمية بقم، ط2، قم، 1413هـ؛ محمد بن الحسن الطوسي، تهذيب الأحكام 6: 206، </w:t>
      </w:r>
      <w:r w:rsidRPr="006571AC">
        <w:rPr>
          <w:rFonts w:cs="DanaFajr"/>
          <w:sz w:val="28"/>
          <w:szCs w:val="28"/>
          <w:rtl/>
          <w:lang w:bidi="ar-IQ"/>
        </w:rPr>
        <w:t>دار الكتب الإسلامية، ط4، طهران، 1407هـ</w:t>
      </w:r>
      <w:r w:rsidRPr="006571AC">
        <w:rPr>
          <w:rFonts w:cs="DanaFajr" w:hint="cs"/>
          <w:sz w:val="28"/>
          <w:szCs w:val="28"/>
          <w:rtl/>
          <w:lang w:bidi="ar-IQ"/>
        </w:rPr>
        <w:t xml:space="preserve">. </w:t>
      </w:r>
    </w:p>
  </w:endnote>
  <w:endnote w:id="228">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انظر: </w:t>
      </w:r>
      <w:r w:rsidRPr="006571AC">
        <w:rPr>
          <w:rFonts w:cs="DanaFajr"/>
          <w:sz w:val="28"/>
          <w:szCs w:val="28"/>
          <w:rtl/>
          <w:lang w:bidi="ar-IQ"/>
        </w:rPr>
        <w:t>محمد بن نعمان</w:t>
      </w:r>
      <w:r w:rsidRPr="006571AC">
        <w:rPr>
          <w:rFonts w:cs="DanaFajr" w:hint="cs"/>
          <w:sz w:val="28"/>
          <w:szCs w:val="28"/>
          <w:rtl/>
          <w:lang w:bidi="ar-IQ"/>
        </w:rPr>
        <w:t xml:space="preserve"> (الشيخ ال</w:t>
      </w:r>
      <w:r w:rsidRPr="006571AC">
        <w:rPr>
          <w:rFonts w:cs="DanaFajr"/>
          <w:sz w:val="28"/>
          <w:szCs w:val="28"/>
          <w:rtl/>
          <w:lang w:bidi="ar-IQ"/>
        </w:rPr>
        <w:t>مف</w:t>
      </w:r>
      <w:r w:rsidRPr="006571AC">
        <w:rPr>
          <w:rFonts w:cs="DanaFajr" w:hint="cs"/>
          <w:sz w:val="28"/>
          <w:szCs w:val="28"/>
          <w:rtl/>
          <w:lang w:bidi="ar-IQ"/>
        </w:rPr>
        <w:t>ي</w:t>
      </w:r>
      <w:r w:rsidRPr="006571AC">
        <w:rPr>
          <w:rFonts w:cs="DanaFajr" w:hint="eastAsia"/>
          <w:sz w:val="28"/>
          <w:szCs w:val="28"/>
          <w:rtl/>
          <w:lang w:bidi="ar-IQ"/>
        </w:rPr>
        <w:t>د</w:t>
      </w:r>
      <w:r w:rsidRPr="006571AC">
        <w:rPr>
          <w:rFonts w:cs="DanaFajr" w:hint="cs"/>
          <w:sz w:val="28"/>
          <w:szCs w:val="28"/>
          <w:rtl/>
          <w:lang w:bidi="ar-IQ"/>
        </w:rPr>
        <w:t>)</w:t>
      </w:r>
      <w:r w:rsidRPr="006571AC">
        <w:rPr>
          <w:rFonts w:cs="DanaFajr"/>
          <w:sz w:val="28"/>
          <w:szCs w:val="28"/>
          <w:rtl/>
          <w:lang w:bidi="ar-IQ"/>
        </w:rPr>
        <w:t>، المقنع</w:t>
      </w:r>
      <w:r w:rsidRPr="006571AC">
        <w:rPr>
          <w:rFonts w:cs="DanaFajr" w:hint="cs"/>
          <w:sz w:val="28"/>
          <w:szCs w:val="28"/>
          <w:rtl/>
          <w:lang w:bidi="ar-IQ"/>
        </w:rPr>
        <w:t xml:space="preserve">ة: 602، 622، 632، </w:t>
      </w:r>
      <w:r w:rsidRPr="006571AC">
        <w:rPr>
          <w:rFonts w:ascii="Mosawi" w:hAnsi="Mosawi" w:cs="DanaFajr" w:hint="cs"/>
          <w:sz w:val="28"/>
          <w:szCs w:val="28"/>
          <w:rtl/>
          <w:lang w:val="x-none" w:eastAsia="x-none"/>
        </w:rPr>
        <w:t>المؤتمر العالمي لألفيّة الشيخ المفيد</w:t>
      </w:r>
      <w:r w:rsidRPr="006571AC">
        <w:rPr>
          <w:rFonts w:cs="DanaFajr" w:hint="cs"/>
          <w:sz w:val="28"/>
          <w:szCs w:val="28"/>
          <w:rtl/>
          <w:lang w:bidi="ar-IQ"/>
        </w:rPr>
        <w:t xml:space="preserve">، قم، 1413هـ؛ السيد المرتضى علم الهدى، الانتصار في انفرادات الإمامية: 472، مؤسسة النشر الإسلامي، </w:t>
      </w:r>
      <w:r w:rsidRPr="006571AC">
        <w:rPr>
          <w:rFonts w:cs="DanaFajr"/>
          <w:sz w:val="28"/>
          <w:szCs w:val="28"/>
          <w:rtl/>
          <w:lang w:bidi="ar-IQ"/>
        </w:rPr>
        <w:t xml:space="preserve">قم، </w:t>
      </w:r>
      <w:r w:rsidRPr="006571AC">
        <w:rPr>
          <w:rFonts w:cs="DanaFajr" w:hint="cs"/>
          <w:sz w:val="28"/>
          <w:szCs w:val="28"/>
          <w:rtl/>
          <w:lang w:bidi="ar-IQ"/>
        </w:rPr>
        <w:t xml:space="preserve">1415هـ. </w:t>
      </w:r>
    </w:p>
  </w:endnote>
  <w:endnote w:id="229">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انظر: أبو الصلاح الحلبي، الكافي في الفقه: 453، مكتبة أمير المؤمنين</w:t>
      </w:r>
      <w:r w:rsidRPr="006571AC">
        <w:rPr>
          <w:rFonts w:ascii="Mosawi" w:hAnsi="Mosawi" w:cs="Mosawi"/>
          <w:rtl/>
        </w:rPr>
        <w:t>×</w:t>
      </w:r>
      <w:r w:rsidRPr="006571AC">
        <w:rPr>
          <w:rFonts w:cs="DanaFajr" w:hint="cs"/>
          <w:sz w:val="28"/>
          <w:szCs w:val="28"/>
          <w:rtl/>
          <w:lang w:bidi="ar-IQ"/>
        </w:rPr>
        <w:t xml:space="preserve"> العامة، إصفهان، 1403هـ؛ عبد العزيز بن سلاّر الديلمي، المراسم العلوية والأحكام النبوية: 200، منشورات الحرمين، قم، 1404هـ؛ محمد بن الحسن الطوسي، المبسوط في فقه الإمامية 2: 288، المكتبة المرتضوية لإحياء الآثار الجعفرية، ط3، طهران، 1387هـ. </w:t>
      </w:r>
    </w:p>
  </w:endnote>
  <w:endnote w:id="230">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انظر: مسعود </w:t>
      </w:r>
      <w:r w:rsidRPr="006571AC">
        <w:rPr>
          <w:rFonts w:cs="DanaFajr" w:hint="cs"/>
          <w:sz w:val="28"/>
          <w:szCs w:val="28"/>
          <w:rtl/>
          <w:lang w:bidi="ar-IQ"/>
        </w:rPr>
        <w:t>إ</w:t>
      </w:r>
      <w:r w:rsidRPr="006571AC">
        <w:rPr>
          <w:rFonts w:cs="DanaFajr"/>
          <w:sz w:val="28"/>
          <w:szCs w:val="28"/>
          <w:rtl/>
          <w:lang w:bidi="ar-IQ"/>
        </w:rPr>
        <w:t>مامي، صلح ابتدائي (الصلح الابتدائي)، مجل</w:t>
      </w:r>
      <w:r w:rsidRPr="006571AC">
        <w:rPr>
          <w:rFonts w:cs="DanaFajr" w:hint="cs"/>
          <w:sz w:val="28"/>
          <w:szCs w:val="28"/>
          <w:rtl/>
          <w:lang w:bidi="ar-IQ"/>
        </w:rPr>
        <w:t>ّ</w:t>
      </w:r>
      <w:r w:rsidRPr="006571AC">
        <w:rPr>
          <w:rFonts w:cs="DanaFajr"/>
          <w:sz w:val="28"/>
          <w:szCs w:val="28"/>
          <w:rtl/>
          <w:lang w:bidi="ar-IQ"/>
        </w:rPr>
        <w:t>ة فقه أهل البيت</w:t>
      </w:r>
      <w:r w:rsidRPr="006571AC">
        <w:rPr>
          <w:rFonts w:ascii="Mosawi" w:hAnsi="Mosawi" w:cs="Mosawi"/>
          <w:rtl/>
        </w:rPr>
        <w:t>^</w:t>
      </w:r>
      <w:r w:rsidRPr="006571AC">
        <w:rPr>
          <w:rFonts w:cs="DanaFajr"/>
          <w:sz w:val="28"/>
          <w:szCs w:val="28"/>
          <w:rtl/>
          <w:lang w:bidi="ar-IQ"/>
        </w:rPr>
        <w:t xml:space="preserve"> 34: </w:t>
      </w:r>
      <w:r w:rsidRPr="006571AC">
        <w:rPr>
          <w:rFonts w:cs="DanaFajr" w:hint="cs"/>
          <w:sz w:val="28"/>
          <w:szCs w:val="28"/>
          <w:rtl/>
          <w:lang w:bidi="ar-IQ"/>
        </w:rPr>
        <w:t>78</w:t>
      </w:r>
      <w:r w:rsidRPr="006571AC">
        <w:rPr>
          <w:rFonts w:cs="DanaFajr"/>
          <w:sz w:val="28"/>
          <w:szCs w:val="28"/>
          <w:rtl/>
          <w:lang w:bidi="ar-IQ"/>
        </w:rPr>
        <w:t>، مؤس</w:t>
      </w:r>
      <w:r w:rsidRPr="006571AC">
        <w:rPr>
          <w:rFonts w:cs="DanaFajr" w:hint="cs"/>
          <w:sz w:val="28"/>
          <w:szCs w:val="28"/>
          <w:rtl/>
          <w:lang w:bidi="ar-IQ"/>
        </w:rPr>
        <w:t>ّ</w:t>
      </w:r>
      <w:r w:rsidRPr="006571AC">
        <w:rPr>
          <w:rFonts w:cs="DanaFajr"/>
          <w:sz w:val="28"/>
          <w:szCs w:val="28"/>
          <w:rtl/>
          <w:lang w:bidi="ar-IQ"/>
        </w:rPr>
        <w:t xml:space="preserve">سة دائرة </w:t>
      </w:r>
      <w:r w:rsidRPr="006571AC">
        <w:rPr>
          <w:rFonts w:cs="DanaFajr" w:hint="cs"/>
          <w:sz w:val="28"/>
          <w:szCs w:val="28"/>
          <w:rtl/>
          <w:lang w:bidi="ar-IQ"/>
        </w:rPr>
        <w:t>م</w:t>
      </w:r>
      <w:r w:rsidRPr="006571AC">
        <w:rPr>
          <w:rFonts w:cs="DanaFajr"/>
          <w:sz w:val="28"/>
          <w:szCs w:val="28"/>
          <w:rtl/>
          <w:lang w:bidi="ar-IQ"/>
        </w:rPr>
        <w:t xml:space="preserve">عارف </w:t>
      </w:r>
      <w:r w:rsidRPr="006571AC">
        <w:rPr>
          <w:rFonts w:cs="DanaFajr" w:hint="cs"/>
          <w:sz w:val="28"/>
          <w:szCs w:val="28"/>
          <w:rtl/>
          <w:lang w:bidi="ar-IQ"/>
        </w:rPr>
        <w:t>ا</w:t>
      </w:r>
      <w:r w:rsidRPr="006571AC">
        <w:rPr>
          <w:rFonts w:cs="DanaFajr"/>
          <w:sz w:val="28"/>
          <w:szCs w:val="28"/>
          <w:rtl/>
          <w:lang w:bidi="ar-IQ"/>
        </w:rPr>
        <w:t>لفقه الإسلامي على مذهب أهل البيت</w:t>
      </w:r>
      <w:r w:rsidRPr="006571AC">
        <w:rPr>
          <w:rFonts w:ascii="Mosawi" w:hAnsi="Mosawi" w:cs="Mosawi"/>
          <w:rtl/>
        </w:rPr>
        <w:t>^</w:t>
      </w:r>
      <w:r w:rsidRPr="006571AC">
        <w:rPr>
          <w:rFonts w:cs="DanaFajr"/>
          <w:sz w:val="28"/>
          <w:szCs w:val="28"/>
          <w:rtl/>
          <w:lang w:bidi="ar-IQ"/>
        </w:rPr>
        <w:t xml:space="preserve">، قم. (مصدر فارسي). </w:t>
      </w:r>
    </w:p>
  </w:endnote>
  <w:endnote w:id="231">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 xml:space="preserve">انظر: إسماعيل بن حمّاد الجوهري، الصحاح (تاج اللغة وصحاح العربية) 5: 1951، دار العلم للملايين، بيروت، 1410هـ؛ أبو الفضل جمال الدين محمد بن المكرّم ابن منظور الأفريقي المصري، لسان العرب 2: 428، دار الفكر للطباعة والنشر والتوزيع ـ دار صادر، ط3، بيروت، 1414هـ. </w:t>
      </w:r>
    </w:p>
  </w:endnote>
  <w:endnote w:id="232">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انظر: الجوهري، الصحاح </w:t>
      </w:r>
      <w:r w:rsidRPr="006571AC">
        <w:rPr>
          <w:rFonts w:cs="DanaFajr" w:hint="cs"/>
          <w:sz w:val="28"/>
          <w:szCs w:val="28"/>
          <w:rtl/>
          <w:lang w:bidi="ar-IQ"/>
        </w:rPr>
        <w:t>(</w:t>
      </w:r>
      <w:r w:rsidRPr="006571AC">
        <w:rPr>
          <w:rFonts w:cs="DanaFajr"/>
          <w:sz w:val="28"/>
          <w:szCs w:val="28"/>
          <w:rtl/>
          <w:lang w:bidi="ar-IQ"/>
        </w:rPr>
        <w:t>تاج اللغة وصحاح العربية</w:t>
      </w:r>
      <w:r w:rsidRPr="006571AC">
        <w:rPr>
          <w:rFonts w:cs="DanaFajr" w:hint="cs"/>
          <w:sz w:val="28"/>
          <w:szCs w:val="28"/>
          <w:rtl/>
          <w:lang w:bidi="ar-IQ"/>
        </w:rPr>
        <w:t>)</w:t>
      </w:r>
      <w:r w:rsidRPr="006571AC">
        <w:rPr>
          <w:rFonts w:cs="DanaFajr"/>
          <w:sz w:val="28"/>
          <w:szCs w:val="28"/>
          <w:rtl/>
          <w:lang w:bidi="ar-IQ"/>
        </w:rPr>
        <w:t xml:space="preserve"> </w:t>
      </w:r>
      <w:r w:rsidRPr="006571AC">
        <w:rPr>
          <w:rFonts w:cs="DanaFajr" w:hint="cs"/>
          <w:sz w:val="28"/>
          <w:szCs w:val="28"/>
          <w:rtl/>
          <w:lang w:bidi="ar-IQ"/>
        </w:rPr>
        <w:t>1</w:t>
      </w:r>
      <w:r w:rsidRPr="006571AC">
        <w:rPr>
          <w:rFonts w:cs="DanaFajr"/>
          <w:sz w:val="28"/>
          <w:szCs w:val="28"/>
          <w:rtl/>
          <w:lang w:bidi="ar-IQ"/>
        </w:rPr>
        <w:t>: 1</w:t>
      </w:r>
      <w:r w:rsidRPr="006571AC">
        <w:rPr>
          <w:rFonts w:cs="DanaFajr" w:hint="cs"/>
          <w:sz w:val="28"/>
          <w:szCs w:val="28"/>
          <w:rtl/>
          <w:lang w:bidi="ar-IQ"/>
        </w:rPr>
        <w:t>08</w:t>
      </w:r>
      <w:r w:rsidRPr="006571AC">
        <w:rPr>
          <w:rFonts w:cs="DanaFajr"/>
          <w:sz w:val="28"/>
          <w:szCs w:val="28"/>
          <w:rtl/>
          <w:lang w:bidi="ar-IQ"/>
        </w:rPr>
        <w:t xml:space="preserve">؛ ابن منظور الأفريقي المصري، لسان العرب </w:t>
      </w:r>
      <w:r w:rsidRPr="006571AC">
        <w:rPr>
          <w:rFonts w:cs="DanaFajr" w:hint="cs"/>
          <w:sz w:val="28"/>
          <w:szCs w:val="28"/>
          <w:rtl/>
          <w:lang w:bidi="ar-IQ"/>
        </w:rPr>
        <w:t>1</w:t>
      </w:r>
      <w:r w:rsidRPr="006571AC">
        <w:rPr>
          <w:rFonts w:cs="DanaFajr"/>
          <w:sz w:val="28"/>
          <w:szCs w:val="28"/>
          <w:rtl/>
          <w:lang w:bidi="ar-IQ"/>
        </w:rPr>
        <w:t xml:space="preserve">: </w:t>
      </w:r>
      <w:r w:rsidRPr="006571AC">
        <w:rPr>
          <w:rFonts w:cs="DanaFajr" w:hint="cs"/>
          <w:sz w:val="28"/>
          <w:szCs w:val="28"/>
          <w:rtl/>
          <w:lang w:bidi="ar-IQ"/>
        </w:rPr>
        <w:t>302</w:t>
      </w:r>
      <w:r w:rsidRPr="006571AC">
        <w:rPr>
          <w:rFonts w:cs="DanaFajr"/>
          <w:sz w:val="28"/>
          <w:szCs w:val="28"/>
          <w:rtl/>
          <w:lang w:bidi="ar-IQ"/>
        </w:rPr>
        <w:t xml:space="preserve">. </w:t>
      </w:r>
    </w:p>
  </w:endnote>
  <w:endnote w:id="233">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العلا</w:t>
      </w:r>
      <w:r w:rsidRPr="006571AC">
        <w:rPr>
          <w:rFonts w:cs="DanaFajr" w:hint="cs"/>
          <w:sz w:val="28"/>
          <w:szCs w:val="28"/>
          <w:rtl/>
          <w:lang w:bidi="ar-IQ"/>
        </w:rPr>
        <w:t>ّ</w:t>
      </w:r>
      <w:r w:rsidRPr="006571AC">
        <w:rPr>
          <w:rFonts w:cs="DanaFajr"/>
          <w:sz w:val="28"/>
          <w:szCs w:val="28"/>
          <w:rtl/>
          <w:lang w:bidi="ar-IQ"/>
        </w:rPr>
        <w:t>مة الحسن بن يوسف بن المطهر الحل</w:t>
      </w:r>
      <w:r w:rsidRPr="006571AC">
        <w:rPr>
          <w:rFonts w:cs="DanaFajr" w:hint="cs"/>
          <w:sz w:val="28"/>
          <w:szCs w:val="28"/>
          <w:rtl/>
          <w:lang w:bidi="ar-IQ"/>
        </w:rPr>
        <w:t>ّ</w:t>
      </w:r>
      <w:r w:rsidRPr="006571AC">
        <w:rPr>
          <w:rFonts w:cs="DanaFajr"/>
          <w:sz w:val="28"/>
          <w:szCs w:val="28"/>
          <w:rtl/>
          <w:lang w:bidi="ar-IQ"/>
        </w:rPr>
        <w:t xml:space="preserve">ي، </w:t>
      </w:r>
      <w:r w:rsidRPr="006571AC">
        <w:rPr>
          <w:rFonts w:cs="DanaFajr" w:hint="cs"/>
          <w:sz w:val="28"/>
          <w:szCs w:val="28"/>
          <w:rtl/>
          <w:lang w:bidi="ar-IQ"/>
        </w:rPr>
        <w:t>تحرير الأحكام الشرعية على مذهب الإمامية 3: 7، مؤسسة الإمام الصادق</w:t>
      </w:r>
      <w:r w:rsidRPr="006571AC">
        <w:rPr>
          <w:rFonts w:ascii="Mosawi" w:hAnsi="Mosawi" w:cs="Mosawi"/>
          <w:rtl/>
        </w:rPr>
        <w:t>×</w:t>
      </w:r>
      <w:r w:rsidRPr="006571AC">
        <w:rPr>
          <w:rFonts w:cs="DanaFajr" w:hint="cs"/>
          <w:sz w:val="28"/>
          <w:szCs w:val="28"/>
          <w:rtl/>
          <w:lang w:bidi="ar-IQ"/>
        </w:rPr>
        <w:t xml:space="preserve">، قم، 1420هـ. </w:t>
      </w:r>
    </w:p>
  </w:endnote>
  <w:endnote w:id="234">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 xml:space="preserve">زين الدين بن علي العاملي (الشهيد الثاني)، مسالك الأفهام إلى تنقيح شرائع الإسلام </w:t>
      </w:r>
      <w:r w:rsidRPr="006571AC">
        <w:rPr>
          <w:rFonts w:cs="DanaFajr" w:hint="cs"/>
          <w:sz w:val="28"/>
          <w:szCs w:val="28"/>
          <w:rtl/>
          <w:lang w:bidi="ar-IQ"/>
        </w:rPr>
        <w:t>4</w:t>
      </w:r>
      <w:r w:rsidRPr="006571AC">
        <w:rPr>
          <w:rFonts w:cs="DanaFajr"/>
          <w:sz w:val="28"/>
          <w:szCs w:val="28"/>
          <w:rtl/>
          <w:lang w:bidi="ar-IQ"/>
        </w:rPr>
        <w:t xml:space="preserve">: </w:t>
      </w:r>
      <w:r w:rsidRPr="006571AC">
        <w:rPr>
          <w:rFonts w:cs="DanaFajr" w:hint="cs"/>
          <w:sz w:val="28"/>
          <w:szCs w:val="28"/>
          <w:rtl/>
          <w:lang w:bidi="ar-IQ"/>
        </w:rPr>
        <w:t>259</w:t>
      </w:r>
      <w:r w:rsidRPr="006571AC">
        <w:rPr>
          <w:rFonts w:cs="DanaFajr"/>
          <w:sz w:val="28"/>
          <w:szCs w:val="28"/>
          <w:rtl/>
          <w:lang w:bidi="ar-IQ"/>
        </w:rPr>
        <w:t xml:space="preserve">، مؤسسة المعارف الإسلامية، 1413هـ. </w:t>
      </w:r>
    </w:p>
  </w:endnote>
  <w:endnote w:id="235">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w:t>
      </w:r>
      <w:r w:rsidRPr="006571AC">
        <w:rPr>
          <w:rFonts w:cs="DanaFajr" w:hint="cs"/>
          <w:sz w:val="28"/>
          <w:szCs w:val="28"/>
          <w:rtl/>
        </w:rPr>
        <w:t xml:space="preserve"> السيد علي الطباطبائي، رياض المسائل 9: 35، مؤسسة آل البيت</w:t>
      </w:r>
      <w:r w:rsidRPr="006571AC">
        <w:rPr>
          <w:rFonts w:ascii="Mosawi" w:hAnsi="Mosawi" w:cs="Mosawi"/>
          <w:rtl/>
        </w:rPr>
        <w:t>^</w:t>
      </w:r>
      <w:r w:rsidRPr="006571AC">
        <w:rPr>
          <w:rFonts w:cs="DanaFajr" w:hint="cs"/>
          <w:sz w:val="28"/>
          <w:szCs w:val="28"/>
          <w:rtl/>
        </w:rPr>
        <w:t xml:space="preserve"> لإحياء التراث، قم، 1418هـ. </w:t>
      </w:r>
    </w:p>
  </w:endnote>
  <w:endnote w:id="236">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IQ"/>
        </w:rPr>
        <w:t xml:space="preserve"> </w:t>
      </w:r>
      <w:r w:rsidRPr="006571AC">
        <w:rPr>
          <w:rFonts w:cs="DanaFajr"/>
          <w:sz w:val="28"/>
          <w:szCs w:val="28"/>
          <w:rtl/>
          <w:lang w:bidi="ar-IQ"/>
        </w:rPr>
        <w:t xml:space="preserve">السيد روح الله الموسوي الخميني، تحرير الوسيلة </w:t>
      </w:r>
      <w:r w:rsidRPr="006571AC">
        <w:rPr>
          <w:rFonts w:cs="DanaFajr" w:hint="cs"/>
          <w:sz w:val="28"/>
          <w:szCs w:val="28"/>
          <w:rtl/>
          <w:lang w:bidi="ar-IQ"/>
        </w:rPr>
        <w:t>1</w:t>
      </w:r>
      <w:r w:rsidRPr="006571AC">
        <w:rPr>
          <w:rFonts w:cs="DanaFajr"/>
          <w:sz w:val="28"/>
          <w:szCs w:val="28"/>
          <w:rtl/>
          <w:lang w:bidi="ar-IQ"/>
        </w:rPr>
        <w:t xml:space="preserve">: </w:t>
      </w:r>
      <w:r w:rsidRPr="006571AC">
        <w:rPr>
          <w:rFonts w:cs="DanaFajr" w:hint="cs"/>
          <w:sz w:val="28"/>
          <w:szCs w:val="28"/>
          <w:rtl/>
          <w:lang w:bidi="ar-IQ"/>
        </w:rPr>
        <w:t xml:space="preserve">561، مؤسسة دار العلم للمطبوعات، قم. </w:t>
      </w:r>
    </w:p>
  </w:endnote>
  <w:endnote w:id="237">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المصدر نفسه. </w:t>
      </w:r>
    </w:p>
  </w:endnote>
  <w:endnote w:id="238">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انظر: الطوسي، المبسوط</w:t>
      </w:r>
      <w:r w:rsidRPr="006571AC">
        <w:rPr>
          <w:rFonts w:cs="DanaFajr"/>
          <w:sz w:val="28"/>
          <w:szCs w:val="28"/>
          <w:rtl/>
        </w:rPr>
        <w:t xml:space="preserve"> في فقه الإمامية</w:t>
      </w:r>
      <w:r w:rsidRPr="006571AC">
        <w:rPr>
          <w:rFonts w:cs="DanaFajr" w:hint="cs"/>
          <w:sz w:val="28"/>
          <w:szCs w:val="28"/>
          <w:rtl/>
        </w:rPr>
        <w:t xml:space="preserve"> 2: 288. </w:t>
      </w:r>
    </w:p>
  </w:endnote>
  <w:endnote w:id="239">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المصدر نفسه. </w:t>
      </w:r>
    </w:p>
  </w:endnote>
  <w:endnote w:id="240">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الخميني، تحرير الوسيلة 1: 5</w:t>
      </w:r>
      <w:r w:rsidRPr="006571AC">
        <w:rPr>
          <w:rFonts w:cs="DanaFajr" w:hint="cs"/>
          <w:sz w:val="28"/>
          <w:szCs w:val="28"/>
          <w:rtl/>
        </w:rPr>
        <w:t xml:space="preserve">16. </w:t>
      </w:r>
    </w:p>
  </w:endnote>
  <w:endnote w:id="241">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وعبارته في هذا الشأن كما يلي: </w:t>
      </w:r>
      <w:r w:rsidRPr="006571AC">
        <w:rPr>
          <w:rFonts w:hint="eastAsia"/>
          <w:sz w:val="22"/>
          <w:szCs w:val="22"/>
          <w:rtl/>
        </w:rPr>
        <w:t>«</w:t>
      </w:r>
      <w:r w:rsidRPr="006571AC">
        <w:rPr>
          <w:rFonts w:cs="DanaFajr" w:hint="cs"/>
          <w:sz w:val="28"/>
          <w:szCs w:val="28"/>
          <w:rtl/>
        </w:rPr>
        <w:t>هل يفيد الصلح فائدة كلّ عقدٍ، عدا النكاح، أو يختصّ بالعقود الخمس التي تقدّمت إليها الإشارة، أو يختصّ بالبيع؟ الأقرب عندي هو الأوّل، والظاهر أنه متَّفق عليه بين القائلين بالمختار</w:t>
      </w:r>
      <w:r w:rsidRPr="006571AC">
        <w:rPr>
          <w:rFonts w:hint="eastAsia"/>
          <w:sz w:val="22"/>
          <w:szCs w:val="22"/>
          <w:rtl/>
        </w:rPr>
        <w:t>»</w:t>
      </w:r>
      <w:r w:rsidRPr="006571AC">
        <w:rPr>
          <w:rFonts w:cs="DanaFajr" w:hint="cs"/>
          <w:sz w:val="28"/>
          <w:szCs w:val="28"/>
          <w:rtl/>
        </w:rPr>
        <w:t>. السيد محمد بن علي الطباطبائي، مناهل الصلاة: 342، مؤسّسة آل البيت</w:t>
      </w:r>
      <w:r w:rsidRPr="006571AC">
        <w:rPr>
          <w:rFonts w:ascii="Mosawi" w:hAnsi="Mosawi" w:cs="Mosawi"/>
          <w:rtl/>
        </w:rPr>
        <w:t>^</w:t>
      </w:r>
      <w:r w:rsidRPr="006571AC">
        <w:rPr>
          <w:rFonts w:cs="DanaFajr" w:hint="cs"/>
          <w:sz w:val="28"/>
          <w:szCs w:val="28"/>
          <w:rtl/>
        </w:rPr>
        <w:t xml:space="preserve"> لإحياء التراث. </w:t>
      </w:r>
    </w:p>
  </w:endnote>
  <w:endnote w:id="242">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محمد الصدر، ما وراء الفقه 5: 112، دار الأضواء، بيروت ـ لبنان. </w:t>
      </w:r>
    </w:p>
  </w:endnote>
  <w:endnote w:id="243">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باقر السبزواري، كفاية الأحكام 1: 607، انتشارات مهدوي، إصفهان. </w:t>
      </w:r>
    </w:p>
  </w:endnote>
  <w:endnote w:id="244">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حسن النجفي، جواهر الكلام في شرح شرائع الإسلام 26: 211، دار إحياء التراث العربي، ط7، بيروت. </w:t>
      </w:r>
    </w:p>
  </w:endnote>
  <w:endnote w:id="245">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علي الطباطبائي، رياض المسائل 9: 35، </w:t>
      </w:r>
      <w:r w:rsidRPr="006571AC">
        <w:rPr>
          <w:rFonts w:cs="DanaFajr"/>
          <w:sz w:val="28"/>
          <w:szCs w:val="28"/>
          <w:rtl/>
        </w:rPr>
        <w:t>مؤس</w:t>
      </w:r>
      <w:r w:rsidRPr="006571AC">
        <w:rPr>
          <w:rFonts w:cs="DanaFajr" w:hint="cs"/>
          <w:sz w:val="28"/>
          <w:szCs w:val="28"/>
          <w:rtl/>
        </w:rPr>
        <w:t>ّ</w:t>
      </w:r>
      <w:r w:rsidRPr="006571AC">
        <w:rPr>
          <w:rFonts w:cs="DanaFajr"/>
          <w:sz w:val="28"/>
          <w:szCs w:val="28"/>
          <w:rtl/>
        </w:rPr>
        <w:t>سة آل البيت</w:t>
      </w:r>
      <w:r w:rsidRPr="006571AC">
        <w:rPr>
          <w:rFonts w:ascii="Mosawi" w:hAnsi="Mosawi" w:cs="Mosawi"/>
          <w:rtl/>
        </w:rPr>
        <w:t>^</w:t>
      </w:r>
      <w:r w:rsidRPr="006571AC">
        <w:rPr>
          <w:rFonts w:cs="DanaFajr" w:hint="cs"/>
          <w:sz w:val="28"/>
          <w:szCs w:val="28"/>
          <w:rtl/>
        </w:rPr>
        <w:t xml:space="preserve"> لإحياء التراث</w:t>
      </w:r>
      <w:r w:rsidRPr="006571AC">
        <w:rPr>
          <w:rFonts w:cs="DanaFajr"/>
          <w:sz w:val="28"/>
          <w:szCs w:val="28"/>
          <w:rtl/>
        </w:rPr>
        <w:t>، قم، 1418هـ</w:t>
      </w:r>
      <w:r w:rsidRPr="006571AC">
        <w:rPr>
          <w:rFonts w:cs="DanaFajr" w:hint="cs"/>
          <w:sz w:val="28"/>
          <w:szCs w:val="28"/>
          <w:rtl/>
        </w:rPr>
        <w:t xml:space="preserve">. </w:t>
      </w:r>
    </w:p>
  </w:endnote>
  <w:endnote w:id="246">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9: 36. </w:t>
      </w:r>
    </w:p>
  </w:endnote>
  <w:endnote w:id="247">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كاظم الخراساني، كفاية الأصول: 207، </w:t>
      </w:r>
      <w:r w:rsidRPr="006571AC">
        <w:rPr>
          <w:rFonts w:cs="DanaFajr"/>
          <w:sz w:val="28"/>
          <w:szCs w:val="28"/>
          <w:rtl/>
        </w:rPr>
        <w:t>مؤس</w:t>
      </w:r>
      <w:r w:rsidRPr="006571AC">
        <w:rPr>
          <w:rFonts w:cs="DanaFajr" w:hint="cs"/>
          <w:sz w:val="28"/>
          <w:szCs w:val="28"/>
          <w:rtl/>
        </w:rPr>
        <w:t>ّ</w:t>
      </w:r>
      <w:r w:rsidRPr="006571AC">
        <w:rPr>
          <w:rFonts w:cs="DanaFajr"/>
          <w:sz w:val="28"/>
          <w:szCs w:val="28"/>
          <w:rtl/>
        </w:rPr>
        <w:t>سة آل البيت</w:t>
      </w:r>
      <w:r w:rsidRPr="006571AC">
        <w:rPr>
          <w:rFonts w:ascii="Mosawi" w:hAnsi="Mosawi" w:cs="Mosawi"/>
          <w:rtl/>
        </w:rPr>
        <w:t>^</w:t>
      </w:r>
      <w:r w:rsidRPr="006571AC">
        <w:rPr>
          <w:rFonts w:cs="DanaFajr" w:hint="cs"/>
          <w:sz w:val="28"/>
          <w:szCs w:val="28"/>
          <w:rtl/>
        </w:rPr>
        <w:t xml:space="preserve"> لإحياء التراث</w:t>
      </w:r>
      <w:r w:rsidRPr="006571AC">
        <w:rPr>
          <w:rFonts w:cs="DanaFajr"/>
          <w:sz w:val="28"/>
          <w:szCs w:val="28"/>
          <w:rtl/>
        </w:rPr>
        <w:t>، قم، 14</w:t>
      </w:r>
      <w:r w:rsidRPr="006571AC">
        <w:rPr>
          <w:rFonts w:cs="DanaFajr" w:hint="cs"/>
          <w:sz w:val="28"/>
          <w:szCs w:val="28"/>
          <w:rtl/>
        </w:rPr>
        <w:t>09</w:t>
      </w:r>
      <w:r w:rsidRPr="006571AC">
        <w:rPr>
          <w:rFonts w:cs="DanaFajr"/>
          <w:sz w:val="28"/>
          <w:szCs w:val="28"/>
          <w:rtl/>
        </w:rPr>
        <w:t xml:space="preserve">هـ. </w:t>
      </w:r>
    </w:p>
  </w:endnote>
  <w:endnote w:id="248">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جواد بن محمد حسين العاملي، مفتاح الكرامة في شرح قواعد العلاّمة 5: 7105، مؤسسة النشر الإسلامي</w:t>
      </w:r>
      <w:r w:rsidRPr="006571AC">
        <w:rPr>
          <w:rFonts w:cs="DanaFajr"/>
          <w:sz w:val="28"/>
          <w:szCs w:val="28"/>
          <w:rtl/>
        </w:rPr>
        <w:t>، قم، 141</w:t>
      </w:r>
      <w:r w:rsidRPr="006571AC">
        <w:rPr>
          <w:rFonts w:cs="DanaFajr" w:hint="cs"/>
          <w:sz w:val="28"/>
          <w:szCs w:val="28"/>
          <w:rtl/>
        </w:rPr>
        <w:t>9</w:t>
      </w:r>
      <w:r w:rsidRPr="006571AC">
        <w:rPr>
          <w:rFonts w:cs="DanaFajr"/>
          <w:sz w:val="28"/>
          <w:szCs w:val="28"/>
          <w:rtl/>
        </w:rPr>
        <w:t xml:space="preserve">هـ. </w:t>
      </w:r>
    </w:p>
  </w:endnote>
  <w:endnote w:id="249">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مسعود</w:t>
      </w:r>
      <w:r w:rsidRPr="006571AC">
        <w:rPr>
          <w:rFonts w:cs="DanaFajr" w:hint="cs"/>
          <w:sz w:val="28"/>
          <w:szCs w:val="28"/>
          <w:rtl/>
        </w:rPr>
        <w:t xml:space="preserve"> إ</w:t>
      </w:r>
      <w:r w:rsidRPr="006571AC">
        <w:rPr>
          <w:rFonts w:cs="DanaFajr"/>
          <w:sz w:val="28"/>
          <w:szCs w:val="28"/>
          <w:rtl/>
        </w:rPr>
        <w:t>مامي، صلح ابتدائي (الصلح الابتدائي)، مجلة فقه أهل البيت</w:t>
      </w:r>
      <w:r w:rsidRPr="006571AC">
        <w:rPr>
          <w:rFonts w:ascii="Mosawi" w:hAnsi="Mosawi" w:cs="Mosawi"/>
          <w:rtl/>
        </w:rPr>
        <w:t>^</w:t>
      </w:r>
      <w:r w:rsidRPr="006571AC">
        <w:rPr>
          <w:rFonts w:cs="DanaFajr"/>
          <w:sz w:val="28"/>
          <w:szCs w:val="28"/>
          <w:rtl/>
        </w:rPr>
        <w:t xml:space="preserve"> 34: </w:t>
      </w:r>
      <w:r w:rsidRPr="006571AC">
        <w:rPr>
          <w:rFonts w:cs="DanaFajr" w:hint="cs"/>
          <w:sz w:val="28"/>
          <w:szCs w:val="28"/>
          <w:rtl/>
        </w:rPr>
        <w:t>122.</w:t>
      </w:r>
    </w:p>
  </w:endnote>
  <w:endnote w:id="250">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اتفاق آراء العلماء. </w:t>
      </w:r>
    </w:p>
  </w:endnote>
  <w:endnote w:id="251">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الكشف عن رأي المعصوم. </w:t>
      </w:r>
    </w:p>
  </w:endnote>
  <w:endnote w:id="252">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إن هذا المطلب يمثِّل إشارة إلى الأقسام التي تمّ بيانها في كتاب كفاية الأصول في معرض نقل الإجماع. </w:t>
      </w:r>
      <w:r w:rsidRPr="006571AC">
        <w:rPr>
          <w:rFonts w:cs="DanaFajr"/>
          <w:sz w:val="28"/>
          <w:szCs w:val="28"/>
          <w:rtl/>
        </w:rPr>
        <w:t>انظر: محمد كاظم الخراساني، كفاية الأصول: 2</w:t>
      </w:r>
      <w:r w:rsidRPr="006571AC">
        <w:rPr>
          <w:rFonts w:cs="DanaFajr" w:hint="cs"/>
          <w:sz w:val="28"/>
          <w:szCs w:val="28"/>
          <w:rtl/>
        </w:rPr>
        <w:t>89</w:t>
      </w:r>
      <w:r w:rsidRPr="006571AC">
        <w:rPr>
          <w:rFonts w:cs="DanaFajr"/>
          <w:sz w:val="28"/>
          <w:szCs w:val="28"/>
          <w:rtl/>
        </w:rPr>
        <w:t xml:space="preserve">. </w:t>
      </w:r>
    </w:p>
  </w:endnote>
  <w:endnote w:id="253">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انظر: الشيخ علي بن الحسين المحقِّق الكركي العاملي، جامع المقاصد في شرح القواعد 5: 408، مؤسّسة آل البيت</w:t>
      </w:r>
      <w:r w:rsidRPr="006571AC">
        <w:rPr>
          <w:rFonts w:ascii="Mosawi" w:hAnsi="Mosawi" w:cs="Mosawi"/>
          <w:rtl/>
        </w:rPr>
        <w:t>^</w:t>
      </w:r>
      <w:r w:rsidRPr="006571AC">
        <w:rPr>
          <w:rFonts w:cs="DanaFajr" w:hint="cs"/>
          <w:sz w:val="28"/>
          <w:szCs w:val="28"/>
          <w:rtl/>
          <w:lang w:bidi="ar-IQ"/>
        </w:rPr>
        <w:t xml:space="preserve"> لإحياء التراث، ط2، 1414هـ؛ السيد عبد الأعلى السبزواري، مهذَّب الأحكام في بيان الحلال والحرام 18: 116، مؤسّسة المنار، ط4، قم، 1413هـ. </w:t>
      </w:r>
    </w:p>
  </w:endnote>
  <w:endnote w:id="254">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انظر: </w:t>
      </w:r>
      <w:r w:rsidRPr="006571AC">
        <w:rPr>
          <w:rFonts w:cs="DanaFajr"/>
          <w:sz w:val="28"/>
          <w:szCs w:val="28"/>
          <w:rtl/>
          <w:lang w:bidi="ar-IQ"/>
        </w:rPr>
        <w:t>محمد كاظم</w:t>
      </w:r>
      <w:r w:rsidRPr="006571AC">
        <w:rPr>
          <w:rFonts w:cs="DanaFajr" w:hint="cs"/>
          <w:sz w:val="28"/>
          <w:szCs w:val="28"/>
          <w:rtl/>
          <w:lang w:bidi="ar-IQ"/>
        </w:rPr>
        <w:t xml:space="preserve"> الخراساني</w:t>
      </w:r>
      <w:r w:rsidRPr="006571AC">
        <w:rPr>
          <w:rFonts w:cs="DanaFajr"/>
          <w:sz w:val="28"/>
          <w:szCs w:val="28"/>
          <w:rtl/>
          <w:lang w:bidi="ar-IQ"/>
        </w:rPr>
        <w:t xml:space="preserve">، كفاية الأصول: </w:t>
      </w:r>
      <w:r w:rsidRPr="006571AC">
        <w:rPr>
          <w:rFonts w:cs="DanaFajr" w:hint="cs"/>
          <w:sz w:val="28"/>
          <w:szCs w:val="28"/>
          <w:rtl/>
          <w:lang w:bidi="ar-IQ"/>
        </w:rPr>
        <w:t xml:space="preserve">431. </w:t>
      </w:r>
    </w:p>
  </w:endnote>
  <w:endnote w:id="255">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IQ"/>
        </w:rPr>
        <w:t xml:space="preserve"> ابن أبي جمهور الأحسائي، </w:t>
      </w:r>
      <w:r w:rsidRPr="006571AC">
        <w:rPr>
          <w:rFonts w:cs="DanaFajr"/>
          <w:sz w:val="28"/>
          <w:szCs w:val="28"/>
          <w:rtl/>
          <w:lang w:bidi="ar-IQ"/>
        </w:rPr>
        <w:t xml:space="preserve">عوالي اللآلئ العزيزية 1: 222 ـ 457، دار سيد الشهداء للنشر، قم، 1405هـ. </w:t>
      </w:r>
    </w:p>
  </w:endnote>
  <w:endnote w:id="256">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الحرّ العاملي، وسائل الشيعة 18: 16. </w:t>
      </w:r>
    </w:p>
  </w:endnote>
  <w:endnote w:id="257">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انظر: محمد كاظم الخراساني، كفاية الأصول: </w:t>
      </w:r>
      <w:r w:rsidRPr="006571AC">
        <w:rPr>
          <w:rFonts w:cs="DanaFajr" w:hint="cs"/>
          <w:sz w:val="28"/>
          <w:szCs w:val="28"/>
          <w:rtl/>
          <w:lang w:bidi="ar-IQ"/>
        </w:rPr>
        <w:t xml:space="preserve">217. </w:t>
      </w:r>
    </w:p>
  </w:endnote>
  <w:endnote w:id="258">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انظر: الخميني، </w:t>
      </w:r>
      <w:r w:rsidRPr="006571AC">
        <w:rPr>
          <w:rFonts w:cs="DanaFajr"/>
          <w:sz w:val="28"/>
          <w:szCs w:val="28"/>
          <w:rtl/>
          <w:lang w:bidi="ar-IQ"/>
        </w:rPr>
        <w:t xml:space="preserve">تحرير الوسيلة </w:t>
      </w:r>
      <w:r w:rsidRPr="006571AC">
        <w:rPr>
          <w:rFonts w:cs="DanaFajr" w:hint="cs"/>
          <w:sz w:val="28"/>
          <w:szCs w:val="28"/>
          <w:rtl/>
          <w:lang w:bidi="ar-IQ"/>
        </w:rPr>
        <w:t xml:space="preserve">1: 294. </w:t>
      </w:r>
    </w:p>
  </w:endnote>
  <w:endnote w:id="259">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وكذلك الأدلة العامّة الأخرى. </w:t>
      </w:r>
    </w:p>
  </w:endnote>
  <w:endnote w:id="260">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مسعود</w:t>
      </w:r>
      <w:r w:rsidRPr="006571AC">
        <w:rPr>
          <w:rFonts w:cs="DanaFajr" w:hint="cs"/>
          <w:sz w:val="28"/>
          <w:szCs w:val="28"/>
          <w:rtl/>
          <w:lang w:bidi="ar-IQ"/>
        </w:rPr>
        <w:t xml:space="preserve"> إ</w:t>
      </w:r>
      <w:r w:rsidRPr="006571AC">
        <w:rPr>
          <w:rFonts w:cs="DanaFajr"/>
          <w:sz w:val="28"/>
          <w:szCs w:val="28"/>
          <w:rtl/>
          <w:lang w:bidi="ar-IQ"/>
        </w:rPr>
        <w:t>مامي، صلح ابتدائي (الصلح الابتدائي)، مجلة فقه أهل البيت</w:t>
      </w:r>
      <w:r w:rsidRPr="006571AC">
        <w:rPr>
          <w:rFonts w:ascii="Mosawi" w:hAnsi="Mosawi" w:cs="Mosawi"/>
          <w:rtl/>
        </w:rPr>
        <w:t>^</w:t>
      </w:r>
      <w:r w:rsidRPr="006571AC">
        <w:rPr>
          <w:rFonts w:cs="DanaFajr" w:hint="cs"/>
          <w:sz w:val="28"/>
          <w:szCs w:val="28"/>
          <w:rtl/>
          <w:lang w:bidi="ar-IQ"/>
        </w:rPr>
        <w:t xml:space="preserve"> 34</w:t>
      </w:r>
      <w:r w:rsidRPr="006571AC">
        <w:rPr>
          <w:rFonts w:cs="DanaFajr"/>
          <w:sz w:val="28"/>
          <w:szCs w:val="28"/>
          <w:rtl/>
          <w:lang w:bidi="ar-IQ"/>
        </w:rPr>
        <w:t xml:space="preserve">: </w:t>
      </w:r>
      <w:r w:rsidRPr="006571AC">
        <w:rPr>
          <w:rFonts w:cs="DanaFajr" w:hint="cs"/>
          <w:sz w:val="28"/>
          <w:szCs w:val="28"/>
          <w:rtl/>
          <w:lang w:bidi="ar-IQ"/>
        </w:rPr>
        <w:t>49.</w:t>
      </w:r>
    </w:p>
  </w:endnote>
  <w:endnote w:id="261">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انظر: يوسف آل عصفور البحراني، الحدائق الناضرة في أحكام العترة الطاهرة 1: 99، مؤسسة النشر الإسلامي</w:t>
      </w:r>
      <w:r w:rsidRPr="006571AC">
        <w:rPr>
          <w:rFonts w:cs="DanaFajr"/>
          <w:sz w:val="28"/>
          <w:szCs w:val="28"/>
          <w:rtl/>
        </w:rPr>
        <w:t>، قم، 1405هـ</w:t>
      </w:r>
      <w:r w:rsidRPr="006571AC">
        <w:rPr>
          <w:rFonts w:cs="DanaFajr" w:hint="cs"/>
          <w:sz w:val="28"/>
          <w:szCs w:val="28"/>
          <w:rtl/>
        </w:rPr>
        <w:t xml:space="preserve">. </w:t>
      </w:r>
    </w:p>
  </w:endnote>
  <w:endnote w:id="262">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العلا</w:t>
      </w:r>
      <w:r w:rsidRPr="006571AC">
        <w:rPr>
          <w:rFonts w:cs="DanaFajr" w:hint="cs"/>
          <w:sz w:val="28"/>
          <w:szCs w:val="28"/>
          <w:rtl/>
        </w:rPr>
        <w:t>ّ</w:t>
      </w:r>
      <w:r w:rsidRPr="006571AC">
        <w:rPr>
          <w:rFonts w:cs="DanaFajr"/>
          <w:sz w:val="28"/>
          <w:szCs w:val="28"/>
          <w:rtl/>
        </w:rPr>
        <w:t xml:space="preserve">مة الحلي، </w:t>
      </w:r>
      <w:r w:rsidRPr="006571AC">
        <w:rPr>
          <w:rFonts w:cs="DanaFajr" w:hint="cs"/>
          <w:sz w:val="28"/>
          <w:szCs w:val="28"/>
          <w:rtl/>
        </w:rPr>
        <w:t>مختلف الشيعة في أحكام الشريعة 6: 278، مؤسسة النشر الإسلامي</w:t>
      </w:r>
      <w:r w:rsidRPr="006571AC">
        <w:rPr>
          <w:rFonts w:cs="DanaFajr"/>
          <w:sz w:val="28"/>
          <w:szCs w:val="28"/>
          <w:rtl/>
        </w:rPr>
        <w:t>، ط</w:t>
      </w:r>
      <w:r w:rsidRPr="006571AC">
        <w:rPr>
          <w:rFonts w:cs="DanaFajr" w:hint="cs"/>
          <w:sz w:val="28"/>
          <w:szCs w:val="28"/>
          <w:rtl/>
        </w:rPr>
        <w:t xml:space="preserve">2، </w:t>
      </w:r>
      <w:r w:rsidRPr="006571AC">
        <w:rPr>
          <w:rFonts w:cs="DanaFajr"/>
          <w:sz w:val="28"/>
          <w:szCs w:val="28"/>
          <w:rtl/>
        </w:rPr>
        <w:t>قم، 14</w:t>
      </w:r>
      <w:r w:rsidRPr="006571AC">
        <w:rPr>
          <w:rFonts w:cs="DanaFajr" w:hint="cs"/>
          <w:sz w:val="28"/>
          <w:szCs w:val="28"/>
          <w:rtl/>
        </w:rPr>
        <w:t>13</w:t>
      </w:r>
      <w:r w:rsidRPr="006571AC">
        <w:rPr>
          <w:rFonts w:cs="DanaFajr"/>
          <w:sz w:val="28"/>
          <w:szCs w:val="28"/>
          <w:rtl/>
        </w:rPr>
        <w:t>هـ</w:t>
      </w:r>
      <w:r w:rsidRPr="006571AC">
        <w:rPr>
          <w:rFonts w:cs="DanaFajr" w:hint="cs"/>
          <w:sz w:val="28"/>
          <w:szCs w:val="28"/>
          <w:rtl/>
        </w:rPr>
        <w:t>؛ أحمد الأردبيلي، مجمع الفائدة والبرهان في شرح إرشاد الأذهان 9: 358، مؤسسة النشر الإسلامي</w:t>
      </w:r>
      <w:r w:rsidRPr="006571AC">
        <w:rPr>
          <w:rFonts w:cs="DanaFajr"/>
          <w:sz w:val="28"/>
          <w:szCs w:val="28"/>
          <w:rtl/>
        </w:rPr>
        <w:t>، قم، 14</w:t>
      </w:r>
      <w:r w:rsidRPr="006571AC">
        <w:rPr>
          <w:rFonts w:cs="DanaFajr" w:hint="cs"/>
          <w:sz w:val="28"/>
          <w:szCs w:val="28"/>
          <w:rtl/>
        </w:rPr>
        <w:t>03</w:t>
      </w:r>
      <w:r w:rsidRPr="006571AC">
        <w:rPr>
          <w:rFonts w:cs="DanaFajr"/>
          <w:sz w:val="28"/>
          <w:szCs w:val="28"/>
          <w:rtl/>
        </w:rPr>
        <w:t>هـ</w:t>
      </w:r>
      <w:r w:rsidRPr="006571AC">
        <w:rPr>
          <w:rFonts w:cs="DanaFajr" w:hint="cs"/>
          <w:sz w:val="28"/>
          <w:szCs w:val="28"/>
          <w:rtl/>
        </w:rPr>
        <w:t xml:space="preserve">. </w:t>
      </w:r>
    </w:p>
  </w:endnote>
  <w:endnote w:id="263">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محمد كاظم الخراساني، كفاية الأصول: 2</w:t>
      </w:r>
      <w:r w:rsidRPr="006571AC">
        <w:rPr>
          <w:rFonts w:cs="DanaFajr" w:hint="cs"/>
          <w:sz w:val="28"/>
          <w:szCs w:val="28"/>
          <w:rtl/>
        </w:rPr>
        <w:t>4</w:t>
      </w:r>
      <w:r w:rsidRPr="006571AC">
        <w:rPr>
          <w:rFonts w:cs="DanaFajr"/>
          <w:sz w:val="28"/>
          <w:szCs w:val="28"/>
          <w:rtl/>
        </w:rPr>
        <w:t xml:space="preserve">7. </w:t>
      </w:r>
    </w:p>
  </w:endnote>
  <w:endnote w:id="264">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الخوئي، مصباح الفقاهة 2: 115. </w:t>
      </w:r>
    </w:p>
  </w:endnote>
  <w:endnote w:id="265">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الفيض الكاشاني، الوافي 10: 68؛ 12: 80، مكتبة الإمام أمير المؤمنين عليّ</w:t>
      </w:r>
      <w:r w:rsidRPr="006571AC">
        <w:rPr>
          <w:rFonts w:ascii="Mosawi" w:hAnsi="Mosawi" w:cs="Mosawi"/>
          <w:rtl/>
        </w:rPr>
        <w:t>×</w:t>
      </w:r>
      <w:r w:rsidRPr="006571AC">
        <w:rPr>
          <w:rFonts w:cs="DanaFajr" w:hint="cs"/>
          <w:sz w:val="28"/>
          <w:szCs w:val="28"/>
          <w:rtl/>
        </w:rPr>
        <w:t xml:space="preserve">، إصفهان، 1406هـ. </w:t>
      </w:r>
    </w:p>
  </w:endnote>
  <w:endnote w:id="266">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الحسن الطوسي، الاستبصار في ما اختلف من الأخبار 3: 232، دار الكتب الإسلامية، طهران، 1390هـ. </w:t>
      </w:r>
    </w:p>
  </w:endnote>
  <w:endnote w:id="267">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بن الحسن</w:t>
      </w:r>
      <w:r w:rsidRPr="006571AC">
        <w:rPr>
          <w:rFonts w:cs="DanaFajr" w:hint="cs"/>
          <w:sz w:val="28"/>
          <w:szCs w:val="28"/>
          <w:rtl/>
        </w:rPr>
        <w:t xml:space="preserve"> الطوسي</w:t>
      </w:r>
      <w:r w:rsidRPr="006571AC">
        <w:rPr>
          <w:rFonts w:cs="DanaFajr"/>
          <w:sz w:val="28"/>
          <w:szCs w:val="28"/>
          <w:rtl/>
        </w:rPr>
        <w:t xml:space="preserve">، </w:t>
      </w:r>
      <w:r w:rsidRPr="006571AC">
        <w:rPr>
          <w:rFonts w:cs="DanaFajr" w:hint="cs"/>
          <w:sz w:val="28"/>
          <w:szCs w:val="28"/>
          <w:rtl/>
        </w:rPr>
        <w:t xml:space="preserve">الفهرست: 157، المكتبة الرضوية، النجف الأشرف. </w:t>
      </w:r>
    </w:p>
  </w:endnote>
  <w:endnote w:id="268">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أبو الحسن النجاشي، رجال النجاشي: 258 ـ 259، مؤسسة النشر الإسلامي</w:t>
      </w:r>
      <w:r w:rsidRPr="006571AC">
        <w:rPr>
          <w:rFonts w:cs="DanaFajr"/>
          <w:sz w:val="28"/>
          <w:szCs w:val="28"/>
          <w:rtl/>
        </w:rPr>
        <w:t>، قم، 140</w:t>
      </w:r>
      <w:r w:rsidRPr="006571AC">
        <w:rPr>
          <w:rFonts w:cs="DanaFajr" w:hint="cs"/>
          <w:sz w:val="28"/>
          <w:szCs w:val="28"/>
          <w:rtl/>
        </w:rPr>
        <w:t>7</w:t>
      </w:r>
      <w:r w:rsidRPr="006571AC">
        <w:rPr>
          <w:rFonts w:cs="DanaFajr"/>
          <w:sz w:val="28"/>
          <w:szCs w:val="28"/>
          <w:rtl/>
        </w:rPr>
        <w:t>هـ</w:t>
      </w:r>
      <w:r w:rsidRPr="006571AC">
        <w:rPr>
          <w:rFonts w:cs="DanaFajr" w:hint="cs"/>
          <w:sz w:val="28"/>
          <w:szCs w:val="28"/>
          <w:rtl/>
        </w:rPr>
        <w:t xml:space="preserve">. </w:t>
      </w:r>
    </w:p>
  </w:endnote>
  <w:endnote w:id="269">
    <w:p w:rsidR="00DB2356" w:rsidRPr="006571AC" w:rsidRDefault="00DB2356" w:rsidP="00C2476A">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جواد القيومي، مقدّمه إي تحقيق بر فهرست شيخ طوسي (مقدّمة التحقيق على كتاب الفهرست للشيخ الطوسي): 24. </w:t>
      </w:r>
    </w:p>
  </w:endnote>
  <w:endnote w:id="270">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بن الحسن الطوسي، الفهرست: 15</w:t>
      </w:r>
      <w:r w:rsidRPr="006571AC">
        <w:rPr>
          <w:rFonts w:cs="DanaFajr" w:hint="cs"/>
          <w:sz w:val="28"/>
          <w:szCs w:val="28"/>
          <w:rtl/>
        </w:rPr>
        <w:t>6</w:t>
      </w:r>
      <w:r w:rsidRPr="006571AC">
        <w:rPr>
          <w:rFonts w:cs="DanaFajr"/>
          <w:sz w:val="28"/>
          <w:szCs w:val="28"/>
          <w:rtl/>
        </w:rPr>
        <w:t xml:space="preserve">. </w:t>
      </w:r>
    </w:p>
  </w:endnote>
  <w:endnote w:id="271">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 xml:space="preserve">ابن منظور الأفريقي المصري، لسان العرب 7: 82. </w:t>
      </w:r>
    </w:p>
  </w:endnote>
  <w:endnote w:id="272">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الشيخ مرتضى الأنصاري، المكاسب 3: 56، مجمع الفكر الإسلامي، 1415هـ. </w:t>
      </w:r>
    </w:p>
  </w:endnote>
  <w:endnote w:id="273">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المصدر السابق 6: 11. </w:t>
      </w:r>
    </w:p>
  </w:endnote>
  <w:endnote w:id="274">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انظر: الشهيد الثاني، مسالك الأفهام</w:t>
      </w:r>
      <w:r w:rsidRPr="006571AC">
        <w:rPr>
          <w:rFonts w:cs="DanaFajr"/>
          <w:sz w:val="28"/>
          <w:szCs w:val="28"/>
          <w:rtl/>
        </w:rPr>
        <w:t xml:space="preserve"> إلى تنقيح شرائع الإسلام</w:t>
      </w:r>
      <w:r w:rsidRPr="006571AC">
        <w:rPr>
          <w:rFonts w:cs="DanaFajr" w:hint="cs"/>
          <w:sz w:val="28"/>
          <w:szCs w:val="28"/>
          <w:rtl/>
        </w:rPr>
        <w:t xml:space="preserve"> 4: 259، </w:t>
      </w:r>
      <w:r w:rsidRPr="006571AC">
        <w:rPr>
          <w:rFonts w:cs="DanaFajr"/>
          <w:sz w:val="28"/>
          <w:szCs w:val="28"/>
          <w:rtl/>
        </w:rPr>
        <w:t>1413هـ</w:t>
      </w:r>
      <w:r w:rsidRPr="006571AC">
        <w:rPr>
          <w:rFonts w:cs="DanaFajr" w:hint="cs"/>
          <w:sz w:val="28"/>
          <w:szCs w:val="28"/>
          <w:rtl/>
        </w:rPr>
        <w:t xml:space="preserve">. </w:t>
      </w:r>
    </w:p>
  </w:endnote>
  <w:endnote w:id="275">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أحمد</w:t>
      </w:r>
      <w:r w:rsidRPr="006571AC">
        <w:rPr>
          <w:rFonts w:cs="DanaFajr" w:hint="cs"/>
          <w:sz w:val="28"/>
          <w:szCs w:val="28"/>
          <w:rtl/>
        </w:rPr>
        <w:t xml:space="preserve"> الأردبيلي</w:t>
      </w:r>
      <w:r w:rsidRPr="006571AC">
        <w:rPr>
          <w:rFonts w:cs="DanaFajr"/>
          <w:sz w:val="28"/>
          <w:szCs w:val="28"/>
          <w:rtl/>
        </w:rPr>
        <w:t xml:space="preserve">، مجمع الفائدة والبرهان في شرح إرشاد الأذهان 9: </w:t>
      </w:r>
      <w:r w:rsidRPr="006571AC">
        <w:rPr>
          <w:rFonts w:cs="DanaFajr" w:hint="cs"/>
          <w:sz w:val="28"/>
          <w:szCs w:val="28"/>
          <w:rtl/>
        </w:rPr>
        <w:t xml:space="preserve">332، </w:t>
      </w:r>
      <w:r w:rsidRPr="006571AC">
        <w:rPr>
          <w:rFonts w:cs="DanaFajr"/>
          <w:sz w:val="28"/>
          <w:szCs w:val="28"/>
          <w:rtl/>
        </w:rPr>
        <w:t>1403هـ</w:t>
      </w:r>
      <w:r w:rsidRPr="006571AC">
        <w:rPr>
          <w:rFonts w:cs="DanaFajr" w:hint="cs"/>
          <w:sz w:val="28"/>
          <w:szCs w:val="28"/>
          <w:rtl/>
        </w:rPr>
        <w:t xml:space="preserve">. </w:t>
      </w:r>
    </w:p>
  </w:endnote>
  <w:endnote w:id="276">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w:t>
      </w:r>
      <w:r w:rsidRPr="006571AC">
        <w:rPr>
          <w:rFonts w:cs="DanaFajr" w:hint="cs"/>
          <w:sz w:val="28"/>
          <w:szCs w:val="28"/>
          <w:rtl/>
        </w:rPr>
        <w:t>ي</w:t>
      </w:r>
      <w:r w:rsidRPr="006571AC">
        <w:rPr>
          <w:rFonts w:cs="DanaFajr" w:hint="eastAsia"/>
          <w:sz w:val="28"/>
          <w:szCs w:val="28"/>
          <w:rtl/>
        </w:rPr>
        <w:t>عقوب</w:t>
      </w:r>
      <w:r w:rsidRPr="006571AC">
        <w:rPr>
          <w:rFonts w:cs="DanaFajr"/>
          <w:sz w:val="28"/>
          <w:szCs w:val="28"/>
          <w:rtl/>
        </w:rPr>
        <w:t xml:space="preserve"> الكليني</w:t>
      </w:r>
      <w:r w:rsidRPr="006571AC">
        <w:rPr>
          <w:rFonts w:cs="DanaFajr" w:hint="eastAsia"/>
          <w:sz w:val="28"/>
          <w:szCs w:val="28"/>
          <w:rtl/>
        </w:rPr>
        <w:t xml:space="preserve">، الكافي </w:t>
      </w:r>
      <w:r w:rsidRPr="006571AC">
        <w:rPr>
          <w:rFonts w:cs="DanaFajr"/>
          <w:sz w:val="28"/>
          <w:szCs w:val="28"/>
          <w:rtl/>
        </w:rPr>
        <w:t>5: 25</w:t>
      </w:r>
      <w:r w:rsidRPr="006571AC">
        <w:rPr>
          <w:rFonts w:cs="DanaFajr" w:hint="cs"/>
          <w:sz w:val="28"/>
          <w:szCs w:val="28"/>
          <w:rtl/>
        </w:rPr>
        <w:t>9</w:t>
      </w:r>
      <w:r w:rsidRPr="006571AC">
        <w:rPr>
          <w:rFonts w:cs="DanaFajr"/>
          <w:sz w:val="28"/>
          <w:szCs w:val="28"/>
          <w:rtl/>
        </w:rPr>
        <w:t xml:space="preserve">، 1407هـ؛ محمد بن </w:t>
      </w:r>
      <w:r w:rsidRPr="006571AC">
        <w:rPr>
          <w:rFonts w:cs="DanaFajr" w:hint="cs"/>
          <w:sz w:val="28"/>
          <w:szCs w:val="28"/>
          <w:rtl/>
        </w:rPr>
        <w:t>ال</w:t>
      </w:r>
      <w:r w:rsidRPr="006571AC">
        <w:rPr>
          <w:rFonts w:cs="DanaFajr"/>
          <w:sz w:val="28"/>
          <w:szCs w:val="28"/>
          <w:rtl/>
        </w:rPr>
        <w:t>حسن الطوسي، تهذيب ا</w:t>
      </w:r>
      <w:r w:rsidRPr="006571AC">
        <w:rPr>
          <w:rFonts w:cs="DanaFajr" w:hint="eastAsia"/>
          <w:sz w:val="28"/>
          <w:szCs w:val="28"/>
          <w:rtl/>
        </w:rPr>
        <w:t xml:space="preserve">لأحكام </w:t>
      </w:r>
      <w:r w:rsidRPr="006571AC">
        <w:rPr>
          <w:rFonts w:cs="DanaFajr"/>
          <w:sz w:val="28"/>
          <w:szCs w:val="28"/>
          <w:rtl/>
        </w:rPr>
        <w:t>6: 20</w:t>
      </w:r>
      <w:r w:rsidRPr="006571AC">
        <w:rPr>
          <w:rFonts w:cs="DanaFajr" w:hint="cs"/>
          <w:sz w:val="28"/>
          <w:szCs w:val="28"/>
          <w:rtl/>
        </w:rPr>
        <w:t>8</w:t>
      </w:r>
      <w:r w:rsidRPr="006571AC">
        <w:rPr>
          <w:rFonts w:cs="DanaFajr"/>
          <w:sz w:val="28"/>
          <w:szCs w:val="28"/>
          <w:rtl/>
        </w:rPr>
        <w:t xml:space="preserve">، 1407هـ. </w:t>
      </w:r>
    </w:p>
  </w:endnote>
  <w:endnote w:id="277">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بن علي الصدوق، م</w:t>
      </w:r>
      <w:r w:rsidRPr="006571AC">
        <w:rPr>
          <w:rFonts w:cs="DanaFajr" w:hint="cs"/>
          <w:sz w:val="28"/>
          <w:szCs w:val="28"/>
          <w:rtl/>
        </w:rPr>
        <w:t>َ</w:t>
      </w:r>
      <w:r w:rsidRPr="006571AC">
        <w:rPr>
          <w:rFonts w:cs="DanaFajr"/>
          <w:sz w:val="28"/>
          <w:szCs w:val="28"/>
          <w:rtl/>
        </w:rPr>
        <w:t>ن</w:t>
      </w:r>
      <w:r w:rsidRPr="006571AC">
        <w:rPr>
          <w:rFonts w:cs="DanaFajr" w:hint="cs"/>
          <w:sz w:val="28"/>
          <w:szCs w:val="28"/>
          <w:rtl/>
        </w:rPr>
        <w:t>ْ</w:t>
      </w:r>
      <w:r w:rsidRPr="006571AC">
        <w:rPr>
          <w:rFonts w:cs="DanaFajr"/>
          <w:sz w:val="28"/>
          <w:szCs w:val="28"/>
          <w:rtl/>
        </w:rPr>
        <w:t xml:space="preserve"> لا يحضره الفقيه 3: 3</w:t>
      </w:r>
      <w:r w:rsidRPr="006571AC">
        <w:rPr>
          <w:rFonts w:cs="DanaFajr" w:hint="cs"/>
          <w:sz w:val="28"/>
          <w:szCs w:val="28"/>
          <w:rtl/>
        </w:rPr>
        <w:t>1</w:t>
      </w:r>
      <w:r w:rsidRPr="006571AC">
        <w:rPr>
          <w:rFonts w:cs="DanaFajr"/>
          <w:sz w:val="28"/>
          <w:szCs w:val="28"/>
          <w:rtl/>
        </w:rPr>
        <w:t>، 1413هـ</w:t>
      </w:r>
      <w:r w:rsidRPr="006571AC">
        <w:rPr>
          <w:rFonts w:cs="DanaFajr" w:hint="cs"/>
          <w:sz w:val="28"/>
          <w:szCs w:val="28"/>
          <w:rtl/>
        </w:rPr>
        <w:t xml:space="preserve">. </w:t>
      </w:r>
    </w:p>
  </w:endnote>
  <w:endnote w:id="278">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مسلم الداوري، أصول علم الرجال بين النظريّة والتطبيق 1: 414، مؤسسة محبّين، ط2، 1426هـ. </w:t>
      </w:r>
    </w:p>
  </w:endnote>
  <w:endnote w:id="279">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الخميني، كتاب البيع 2: 629، مؤسّسة تنظيم و نشر آثار الإمام الخميني، 1421هـ. </w:t>
      </w:r>
    </w:p>
  </w:endnote>
  <w:endnote w:id="280">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محمد كاظم الخراساني، كفاية الأصول: 2</w:t>
      </w:r>
      <w:r w:rsidRPr="006571AC">
        <w:rPr>
          <w:rFonts w:cs="DanaFajr" w:hint="cs"/>
          <w:sz w:val="28"/>
          <w:szCs w:val="28"/>
          <w:rtl/>
        </w:rPr>
        <w:t>8</w:t>
      </w:r>
      <w:r w:rsidRPr="006571AC">
        <w:rPr>
          <w:rFonts w:cs="DanaFajr"/>
          <w:sz w:val="28"/>
          <w:szCs w:val="28"/>
          <w:rtl/>
        </w:rPr>
        <w:t xml:space="preserve">. </w:t>
      </w:r>
    </w:p>
  </w:endnote>
  <w:endnote w:id="281">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أحمد الخوانساري، جامع المدارك في شرح المختصر النافع 3: 393، مكتبة الصدوق، ط2، طهران، 1406هـ. </w:t>
      </w:r>
    </w:p>
  </w:endnote>
  <w:endnote w:id="282">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بن علي الصدوق، م</w:t>
      </w:r>
      <w:r w:rsidRPr="006571AC">
        <w:rPr>
          <w:rFonts w:cs="DanaFajr" w:hint="cs"/>
          <w:sz w:val="28"/>
          <w:szCs w:val="28"/>
          <w:rtl/>
        </w:rPr>
        <w:t>َ</w:t>
      </w:r>
      <w:r w:rsidRPr="006571AC">
        <w:rPr>
          <w:rFonts w:cs="DanaFajr"/>
          <w:sz w:val="28"/>
          <w:szCs w:val="28"/>
          <w:rtl/>
        </w:rPr>
        <w:t>ن</w:t>
      </w:r>
      <w:r w:rsidRPr="006571AC">
        <w:rPr>
          <w:rFonts w:cs="DanaFajr" w:hint="cs"/>
          <w:sz w:val="28"/>
          <w:szCs w:val="28"/>
          <w:rtl/>
        </w:rPr>
        <w:t>ْ</w:t>
      </w:r>
      <w:r w:rsidRPr="006571AC">
        <w:rPr>
          <w:rFonts w:cs="DanaFajr"/>
          <w:sz w:val="28"/>
          <w:szCs w:val="28"/>
          <w:rtl/>
        </w:rPr>
        <w:t xml:space="preserve"> لا يحضره الفقيه 3: 3</w:t>
      </w:r>
      <w:r w:rsidRPr="006571AC">
        <w:rPr>
          <w:rFonts w:cs="DanaFajr" w:hint="cs"/>
          <w:sz w:val="28"/>
          <w:szCs w:val="28"/>
          <w:rtl/>
        </w:rPr>
        <w:t>3</w:t>
      </w:r>
      <w:r w:rsidRPr="006571AC">
        <w:rPr>
          <w:rFonts w:cs="DanaFajr"/>
          <w:sz w:val="28"/>
          <w:szCs w:val="28"/>
          <w:rtl/>
        </w:rPr>
        <w:t>، 1413هـ</w:t>
      </w:r>
      <w:r w:rsidRPr="006571AC">
        <w:rPr>
          <w:rFonts w:cs="DanaFajr" w:hint="cs"/>
          <w:sz w:val="28"/>
          <w:szCs w:val="28"/>
          <w:rtl/>
        </w:rPr>
        <w:t xml:space="preserve">؛ </w:t>
      </w:r>
      <w:r w:rsidRPr="006571AC">
        <w:rPr>
          <w:rFonts w:cs="DanaFajr"/>
          <w:sz w:val="28"/>
          <w:szCs w:val="28"/>
          <w:rtl/>
        </w:rPr>
        <w:t>الح</w:t>
      </w:r>
      <w:r w:rsidRPr="006571AC">
        <w:rPr>
          <w:rFonts w:cs="DanaFajr" w:hint="cs"/>
          <w:sz w:val="28"/>
          <w:szCs w:val="28"/>
          <w:rtl/>
        </w:rPr>
        <w:t>ُ</w:t>
      </w:r>
      <w:r w:rsidRPr="006571AC">
        <w:rPr>
          <w:rFonts w:cs="DanaFajr"/>
          <w:sz w:val="28"/>
          <w:szCs w:val="28"/>
          <w:rtl/>
        </w:rPr>
        <w:t>ر</w:t>
      </w:r>
      <w:r w:rsidRPr="006571AC">
        <w:rPr>
          <w:rFonts w:cs="DanaFajr" w:hint="cs"/>
          <w:sz w:val="28"/>
          <w:szCs w:val="28"/>
          <w:rtl/>
        </w:rPr>
        <w:t>ّ</w:t>
      </w:r>
      <w:r w:rsidRPr="006571AC">
        <w:rPr>
          <w:rFonts w:cs="DanaFajr"/>
          <w:sz w:val="28"/>
          <w:szCs w:val="28"/>
          <w:rtl/>
        </w:rPr>
        <w:t xml:space="preserve"> العاملي، وسائل الشيعة 18: </w:t>
      </w:r>
      <w:r w:rsidRPr="006571AC">
        <w:rPr>
          <w:rFonts w:cs="DanaFajr" w:hint="cs"/>
          <w:sz w:val="28"/>
          <w:szCs w:val="28"/>
          <w:rtl/>
        </w:rPr>
        <w:t>445</w:t>
      </w:r>
      <w:r w:rsidRPr="006571AC">
        <w:rPr>
          <w:rFonts w:cs="DanaFajr"/>
          <w:sz w:val="28"/>
          <w:szCs w:val="28"/>
          <w:rtl/>
        </w:rPr>
        <w:t xml:space="preserve">. </w:t>
      </w:r>
    </w:p>
  </w:endnote>
  <w:endnote w:id="283">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أبو الحسن النجاشي، رجال النجاشي: 2</w:t>
      </w:r>
      <w:r w:rsidRPr="006571AC">
        <w:rPr>
          <w:rFonts w:cs="DanaFajr" w:hint="cs"/>
          <w:sz w:val="28"/>
          <w:szCs w:val="28"/>
          <w:rtl/>
        </w:rPr>
        <w:t>9</w:t>
      </w:r>
      <w:r w:rsidRPr="006571AC">
        <w:rPr>
          <w:rFonts w:cs="DanaFajr"/>
          <w:sz w:val="28"/>
          <w:szCs w:val="28"/>
          <w:rtl/>
        </w:rPr>
        <w:t xml:space="preserve">8، 1407هـ. </w:t>
      </w:r>
    </w:p>
  </w:endnote>
  <w:endnote w:id="284">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أحمد الأردبيلي، مجمع الفائدة والبرهان في شرح إرشاد الأذهان 9: 33</w:t>
      </w:r>
      <w:r w:rsidRPr="006571AC">
        <w:rPr>
          <w:rFonts w:cs="DanaFajr" w:hint="cs"/>
          <w:sz w:val="28"/>
          <w:szCs w:val="28"/>
          <w:rtl/>
        </w:rPr>
        <w:t>0</w:t>
      </w:r>
      <w:r w:rsidRPr="006571AC">
        <w:rPr>
          <w:rFonts w:cs="DanaFajr"/>
          <w:sz w:val="28"/>
          <w:szCs w:val="28"/>
          <w:rtl/>
        </w:rPr>
        <w:t xml:space="preserve">، 1403هـ. </w:t>
      </w:r>
    </w:p>
  </w:endnote>
  <w:endnote w:id="285">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w:t>
      </w:r>
      <w:r w:rsidRPr="006571AC">
        <w:rPr>
          <w:rFonts w:cs="DanaFajr" w:hint="cs"/>
          <w:sz w:val="28"/>
          <w:szCs w:val="28"/>
          <w:rtl/>
        </w:rPr>
        <w:t xml:space="preserve">نظر: </w:t>
      </w:r>
      <w:r w:rsidRPr="006571AC">
        <w:rPr>
          <w:rFonts w:cs="DanaFajr"/>
          <w:sz w:val="28"/>
          <w:szCs w:val="28"/>
          <w:rtl/>
        </w:rPr>
        <w:t>مسعود</w:t>
      </w:r>
      <w:r w:rsidRPr="006571AC">
        <w:rPr>
          <w:rFonts w:cs="DanaFajr" w:hint="cs"/>
          <w:sz w:val="28"/>
          <w:szCs w:val="28"/>
          <w:rtl/>
        </w:rPr>
        <w:t xml:space="preserve"> إ</w:t>
      </w:r>
      <w:r w:rsidRPr="006571AC">
        <w:rPr>
          <w:rFonts w:cs="DanaFajr"/>
          <w:sz w:val="28"/>
          <w:szCs w:val="28"/>
          <w:rtl/>
        </w:rPr>
        <w:t>مامي، صلح ابتدائي (الصلح الابتدائي)، مجلة فقه أهل البيت</w:t>
      </w:r>
      <w:r w:rsidRPr="006571AC">
        <w:rPr>
          <w:rFonts w:ascii="Mosawi" w:hAnsi="Mosawi" w:cs="Mosawi"/>
          <w:rtl/>
        </w:rPr>
        <w:t>^</w:t>
      </w:r>
      <w:r w:rsidRPr="006571AC">
        <w:rPr>
          <w:rFonts w:cs="DanaFajr" w:hint="cs"/>
          <w:sz w:val="28"/>
          <w:szCs w:val="28"/>
          <w:rtl/>
        </w:rPr>
        <w:t xml:space="preserve"> 34</w:t>
      </w:r>
      <w:r w:rsidRPr="006571AC">
        <w:rPr>
          <w:rFonts w:cs="DanaFajr"/>
          <w:sz w:val="28"/>
          <w:szCs w:val="28"/>
          <w:rtl/>
        </w:rPr>
        <w:t>: 49</w:t>
      </w:r>
      <w:r w:rsidRPr="006571AC">
        <w:rPr>
          <w:rFonts w:cs="DanaFajr" w:hint="cs"/>
          <w:sz w:val="28"/>
          <w:szCs w:val="28"/>
          <w:rtl/>
        </w:rPr>
        <w:t>.</w:t>
      </w:r>
    </w:p>
  </w:endnote>
  <w:endnote w:id="286">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السيد أحمد الخو</w:t>
      </w:r>
      <w:r w:rsidRPr="006571AC">
        <w:rPr>
          <w:rFonts w:cs="DanaFajr" w:hint="cs"/>
          <w:sz w:val="28"/>
          <w:szCs w:val="28"/>
          <w:rtl/>
        </w:rPr>
        <w:t>ا</w:t>
      </w:r>
      <w:r w:rsidRPr="006571AC">
        <w:rPr>
          <w:rFonts w:cs="DanaFajr"/>
          <w:sz w:val="28"/>
          <w:szCs w:val="28"/>
          <w:rtl/>
        </w:rPr>
        <w:t xml:space="preserve">نساري، جامع المدارك في شرح المختصر النافع 3: 393، 1406هـ. </w:t>
      </w:r>
    </w:p>
  </w:endnote>
  <w:endnote w:id="287">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يعقوب الكليني، الكافي 5: 224، دار الكتب الإسلامية، ط4، طهران، 1407هـ؛ </w:t>
      </w:r>
      <w:r w:rsidRPr="006571AC">
        <w:rPr>
          <w:rFonts w:cs="DanaFajr"/>
          <w:sz w:val="28"/>
          <w:szCs w:val="28"/>
          <w:rtl/>
        </w:rPr>
        <w:t>الح</w:t>
      </w:r>
      <w:r w:rsidRPr="006571AC">
        <w:rPr>
          <w:rFonts w:cs="DanaFajr" w:hint="cs"/>
          <w:sz w:val="28"/>
          <w:szCs w:val="28"/>
          <w:rtl/>
        </w:rPr>
        <w:t>ُ</w:t>
      </w:r>
      <w:r w:rsidRPr="006571AC">
        <w:rPr>
          <w:rFonts w:cs="DanaFajr"/>
          <w:sz w:val="28"/>
          <w:szCs w:val="28"/>
          <w:rtl/>
        </w:rPr>
        <w:t xml:space="preserve">رّ العاملي، وسائل الشيعة </w:t>
      </w:r>
      <w:r w:rsidRPr="006571AC">
        <w:rPr>
          <w:rFonts w:cs="DanaFajr" w:hint="cs"/>
          <w:sz w:val="28"/>
          <w:szCs w:val="28"/>
          <w:rtl/>
        </w:rPr>
        <w:t xml:space="preserve">17: 350، </w:t>
      </w:r>
      <w:r w:rsidRPr="006571AC">
        <w:rPr>
          <w:rFonts w:cs="DanaFajr"/>
          <w:sz w:val="28"/>
          <w:szCs w:val="28"/>
          <w:rtl/>
        </w:rPr>
        <w:t xml:space="preserve">1414هـ. </w:t>
      </w:r>
    </w:p>
  </w:endnote>
  <w:endnote w:id="288">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w:t>
      </w:r>
      <w:r w:rsidRPr="006571AC">
        <w:rPr>
          <w:rFonts w:cs="DanaFajr" w:hint="cs"/>
          <w:sz w:val="28"/>
          <w:szCs w:val="28"/>
          <w:rtl/>
        </w:rPr>
        <w:t xml:space="preserve"> </w:t>
      </w:r>
      <w:r w:rsidRPr="006571AC">
        <w:rPr>
          <w:rFonts w:cs="DanaFajr"/>
          <w:sz w:val="28"/>
          <w:szCs w:val="28"/>
          <w:rtl/>
        </w:rPr>
        <w:t xml:space="preserve">أبو الحسن النجاشي، رجال النجاشي: </w:t>
      </w:r>
      <w:r w:rsidRPr="006571AC">
        <w:rPr>
          <w:rFonts w:cs="DanaFajr" w:hint="cs"/>
          <w:sz w:val="28"/>
          <w:szCs w:val="28"/>
          <w:rtl/>
        </w:rPr>
        <w:t>16</w:t>
      </w:r>
      <w:r w:rsidRPr="006571AC">
        <w:rPr>
          <w:rFonts w:cs="DanaFajr"/>
          <w:sz w:val="28"/>
          <w:szCs w:val="28"/>
          <w:rtl/>
        </w:rPr>
        <w:t xml:space="preserve">، 1407هـ. </w:t>
      </w:r>
    </w:p>
  </w:endnote>
  <w:endnote w:id="289">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مسلم الداوري</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 xml:space="preserve">إيضاح الدلائل في شرح الوسائل 1: 50، دار الهدى، 1427هـ. </w:t>
      </w:r>
    </w:p>
  </w:endnote>
  <w:endnote w:id="290">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زين الدين بن علي العاملي (الشهيد الثاني)، الروضة البهية في شرح اللمعة الدمشقية </w:t>
      </w:r>
      <w:r w:rsidRPr="006571AC">
        <w:rPr>
          <w:rFonts w:cs="DanaFajr" w:hint="cs"/>
          <w:sz w:val="28"/>
          <w:szCs w:val="28"/>
          <w:rtl/>
        </w:rPr>
        <w:t>4</w:t>
      </w:r>
      <w:r w:rsidRPr="006571AC">
        <w:rPr>
          <w:rFonts w:cs="DanaFajr"/>
          <w:sz w:val="28"/>
          <w:szCs w:val="28"/>
          <w:rtl/>
        </w:rPr>
        <w:t xml:space="preserve">: </w:t>
      </w:r>
      <w:r w:rsidRPr="006571AC">
        <w:rPr>
          <w:rFonts w:cs="DanaFajr" w:hint="cs"/>
          <w:sz w:val="28"/>
          <w:szCs w:val="28"/>
          <w:rtl/>
        </w:rPr>
        <w:t>331</w:t>
      </w:r>
      <w:r w:rsidRPr="006571AC">
        <w:rPr>
          <w:rFonts w:cs="DanaFajr"/>
          <w:sz w:val="28"/>
          <w:szCs w:val="28"/>
          <w:rtl/>
        </w:rPr>
        <w:t xml:space="preserve">، تحقيق: السيد محمد كلانتر، 1386هـ ش. </w:t>
      </w:r>
    </w:p>
  </w:endnote>
  <w:endnote w:id="291">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بن مكّي العاملي (الشهيد الأول)، الدروس الشرعية في فقه الإمامية 3: 197، مؤسسة النشر الإسلامي، ط2، قم، 1417هـ. </w:t>
      </w:r>
    </w:p>
  </w:endnote>
  <w:endnote w:id="292">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انظر: مسعود إمامي، صلح ابتدائي (الصلح الابتدائي)، مجلة فقه أهل البيت</w:t>
      </w:r>
      <w:r w:rsidRPr="006571AC">
        <w:rPr>
          <w:rFonts w:ascii="Mosawi" w:hAnsi="Mosawi" w:cs="Mosawi"/>
          <w:rtl/>
        </w:rPr>
        <w:t>^</w:t>
      </w:r>
      <w:r w:rsidRPr="006571AC">
        <w:rPr>
          <w:rFonts w:cs="DanaFajr" w:hint="cs"/>
          <w:sz w:val="28"/>
          <w:szCs w:val="28"/>
          <w:rtl/>
        </w:rPr>
        <w:t xml:space="preserve"> 34: 134.</w:t>
      </w:r>
    </w:p>
  </w:endnote>
  <w:endnote w:id="293">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w:t>
      </w:r>
      <w:r w:rsidRPr="006571AC">
        <w:rPr>
          <w:rFonts w:cs="DanaFajr" w:hint="cs"/>
          <w:sz w:val="28"/>
          <w:szCs w:val="28"/>
          <w:rtl/>
        </w:rPr>
        <w:t>ال</w:t>
      </w:r>
      <w:r w:rsidRPr="006571AC">
        <w:rPr>
          <w:rFonts w:cs="DanaFajr"/>
          <w:sz w:val="28"/>
          <w:szCs w:val="28"/>
          <w:rtl/>
        </w:rPr>
        <w:t>حسن الطوسي، تهذيب الأحكام 6: 20</w:t>
      </w:r>
      <w:r w:rsidRPr="006571AC">
        <w:rPr>
          <w:rFonts w:cs="DanaFajr" w:hint="cs"/>
          <w:sz w:val="28"/>
          <w:szCs w:val="28"/>
          <w:rtl/>
        </w:rPr>
        <w:t>6</w:t>
      </w:r>
      <w:r w:rsidRPr="006571AC">
        <w:rPr>
          <w:rFonts w:cs="DanaFajr"/>
          <w:sz w:val="28"/>
          <w:szCs w:val="28"/>
          <w:rtl/>
        </w:rPr>
        <w:t>، 1407هـ</w:t>
      </w:r>
      <w:r w:rsidRPr="006571AC">
        <w:rPr>
          <w:rFonts w:cs="DanaFajr" w:hint="cs"/>
          <w:sz w:val="28"/>
          <w:szCs w:val="28"/>
          <w:rtl/>
        </w:rPr>
        <w:t xml:space="preserve">؛ </w:t>
      </w:r>
      <w:r w:rsidRPr="006571AC">
        <w:rPr>
          <w:rFonts w:cs="DanaFajr"/>
          <w:sz w:val="28"/>
          <w:szCs w:val="28"/>
          <w:rtl/>
        </w:rPr>
        <w:t>الح</w:t>
      </w:r>
      <w:r w:rsidRPr="006571AC">
        <w:rPr>
          <w:rFonts w:cs="DanaFajr" w:hint="cs"/>
          <w:sz w:val="28"/>
          <w:szCs w:val="28"/>
          <w:rtl/>
        </w:rPr>
        <w:t>ُ</w:t>
      </w:r>
      <w:r w:rsidRPr="006571AC">
        <w:rPr>
          <w:rFonts w:cs="DanaFajr"/>
          <w:sz w:val="28"/>
          <w:szCs w:val="28"/>
          <w:rtl/>
        </w:rPr>
        <w:t>ر</w:t>
      </w:r>
      <w:r w:rsidRPr="006571AC">
        <w:rPr>
          <w:rFonts w:cs="DanaFajr" w:hint="cs"/>
          <w:sz w:val="28"/>
          <w:szCs w:val="28"/>
          <w:rtl/>
        </w:rPr>
        <w:t>ّ</w:t>
      </w:r>
      <w:r w:rsidRPr="006571AC">
        <w:rPr>
          <w:rFonts w:cs="DanaFajr"/>
          <w:sz w:val="28"/>
          <w:szCs w:val="28"/>
          <w:rtl/>
        </w:rPr>
        <w:t xml:space="preserve"> العاملي، وسائل الشيعة 18: 44</w:t>
      </w:r>
      <w:r w:rsidRPr="006571AC">
        <w:rPr>
          <w:rFonts w:cs="DanaFajr" w:hint="cs"/>
          <w:sz w:val="28"/>
          <w:szCs w:val="28"/>
          <w:rtl/>
        </w:rPr>
        <w:t>6</w:t>
      </w:r>
      <w:r w:rsidRPr="006571AC">
        <w:rPr>
          <w:rFonts w:cs="DanaFajr"/>
          <w:sz w:val="28"/>
          <w:szCs w:val="28"/>
          <w:rtl/>
        </w:rPr>
        <w:t xml:space="preserve">. </w:t>
      </w:r>
    </w:p>
  </w:endnote>
  <w:endnote w:id="294">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في الأصل [به]. (المعرِّب). </w:t>
      </w:r>
    </w:p>
  </w:endnote>
  <w:endnote w:id="295">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ما بين المعقوفتين ليس في الأصل. (المعرِّب). </w:t>
      </w:r>
    </w:p>
  </w:endnote>
  <w:endnote w:id="296">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ما بين المعوفتين ليس في الأصل. (المعرِّب). </w:t>
      </w:r>
    </w:p>
  </w:endnote>
  <w:endnote w:id="297">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الحسن الطوسي، الفهرست: 58، رقم 220؛ محمد بن الحسن الطوسي، مشيخة التهذيب 10: 66. </w:t>
      </w:r>
    </w:p>
  </w:endnote>
  <w:endnote w:id="298">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مسعود</w:t>
      </w:r>
      <w:r w:rsidRPr="006571AC">
        <w:rPr>
          <w:rFonts w:cs="DanaFajr" w:hint="cs"/>
          <w:sz w:val="28"/>
          <w:szCs w:val="28"/>
          <w:rtl/>
        </w:rPr>
        <w:t xml:space="preserve"> إ</w:t>
      </w:r>
      <w:r w:rsidRPr="006571AC">
        <w:rPr>
          <w:rFonts w:cs="DanaFajr"/>
          <w:sz w:val="28"/>
          <w:szCs w:val="28"/>
          <w:rtl/>
        </w:rPr>
        <w:t>مامي، صلح ابتدائي (الصلح الابتدائي)، مجلة فقه أهل البيت</w:t>
      </w:r>
      <w:r w:rsidRPr="006571AC">
        <w:rPr>
          <w:rFonts w:ascii="Mosawi" w:hAnsi="Mosawi" w:cs="Mosawi"/>
          <w:rtl/>
        </w:rPr>
        <w:t>^</w:t>
      </w:r>
      <w:r w:rsidRPr="006571AC">
        <w:rPr>
          <w:rFonts w:cs="DanaFajr"/>
          <w:sz w:val="28"/>
          <w:szCs w:val="28"/>
          <w:rtl/>
        </w:rPr>
        <w:t xml:space="preserve"> 34: 134</w:t>
      </w:r>
      <w:r w:rsidRPr="006571AC">
        <w:rPr>
          <w:rFonts w:cs="DanaFajr" w:hint="cs"/>
          <w:sz w:val="28"/>
          <w:szCs w:val="28"/>
          <w:rtl/>
        </w:rPr>
        <w:t>.</w:t>
      </w:r>
    </w:p>
  </w:endnote>
  <w:endnote w:id="299">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يعقوب الكليني، الكافي 5: </w:t>
      </w:r>
      <w:r w:rsidRPr="006571AC">
        <w:rPr>
          <w:rFonts w:cs="DanaFajr" w:hint="cs"/>
          <w:sz w:val="28"/>
          <w:szCs w:val="28"/>
          <w:rtl/>
        </w:rPr>
        <w:t>359</w:t>
      </w:r>
      <w:r w:rsidRPr="006571AC">
        <w:rPr>
          <w:rFonts w:cs="DanaFajr"/>
          <w:sz w:val="28"/>
          <w:szCs w:val="28"/>
          <w:rtl/>
        </w:rPr>
        <w:t>، 1407هـ؛ الح</w:t>
      </w:r>
      <w:r w:rsidRPr="006571AC">
        <w:rPr>
          <w:rFonts w:cs="DanaFajr" w:hint="cs"/>
          <w:sz w:val="28"/>
          <w:szCs w:val="28"/>
          <w:rtl/>
        </w:rPr>
        <w:t>ُ</w:t>
      </w:r>
      <w:r w:rsidRPr="006571AC">
        <w:rPr>
          <w:rFonts w:cs="DanaFajr"/>
          <w:sz w:val="28"/>
          <w:szCs w:val="28"/>
          <w:rtl/>
        </w:rPr>
        <w:t>رّ العاملي، وسائل الشيعة 1</w:t>
      </w:r>
      <w:r w:rsidRPr="006571AC">
        <w:rPr>
          <w:rFonts w:cs="DanaFajr" w:hint="cs"/>
          <w:sz w:val="28"/>
          <w:szCs w:val="28"/>
          <w:rtl/>
        </w:rPr>
        <w:t>8</w:t>
      </w:r>
      <w:r w:rsidRPr="006571AC">
        <w:rPr>
          <w:rFonts w:cs="DanaFajr"/>
          <w:sz w:val="28"/>
          <w:szCs w:val="28"/>
          <w:rtl/>
        </w:rPr>
        <w:t xml:space="preserve">: </w:t>
      </w:r>
      <w:r w:rsidRPr="006571AC">
        <w:rPr>
          <w:rFonts w:cs="DanaFajr" w:hint="cs"/>
          <w:sz w:val="28"/>
          <w:szCs w:val="28"/>
          <w:rtl/>
        </w:rPr>
        <w:t>446</w:t>
      </w:r>
      <w:r w:rsidRPr="006571AC">
        <w:rPr>
          <w:rFonts w:cs="DanaFajr"/>
          <w:sz w:val="28"/>
          <w:szCs w:val="28"/>
          <w:rtl/>
        </w:rPr>
        <w:t xml:space="preserve">، 1414هـ. </w:t>
      </w:r>
    </w:p>
  </w:endnote>
  <w:endnote w:id="300">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 xml:space="preserve">انظر: </w:t>
      </w:r>
      <w:r w:rsidRPr="006571AC">
        <w:rPr>
          <w:rFonts w:cs="DanaFajr"/>
          <w:sz w:val="28"/>
          <w:szCs w:val="28"/>
          <w:rtl/>
          <w:lang w:bidi="ar-IQ"/>
        </w:rPr>
        <w:t xml:space="preserve">محمد بن يعقوب الكليني، الكافي </w:t>
      </w:r>
      <w:r w:rsidRPr="006571AC">
        <w:rPr>
          <w:rFonts w:cs="DanaFajr" w:hint="cs"/>
          <w:sz w:val="28"/>
          <w:szCs w:val="28"/>
          <w:rtl/>
          <w:lang w:bidi="ar-IQ"/>
        </w:rPr>
        <w:t>1</w:t>
      </w:r>
      <w:r w:rsidRPr="006571AC">
        <w:rPr>
          <w:rFonts w:cs="DanaFajr"/>
          <w:sz w:val="28"/>
          <w:szCs w:val="28"/>
          <w:rtl/>
          <w:lang w:bidi="ar-IQ"/>
        </w:rPr>
        <w:t xml:space="preserve">: </w:t>
      </w:r>
      <w:r w:rsidRPr="006571AC">
        <w:rPr>
          <w:rFonts w:cs="DanaFajr" w:hint="cs"/>
          <w:sz w:val="28"/>
          <w:szCs w:val="28"/>
          <w:rtl/>
          <w:lang w:bidi="ar-IQ"/>
        </w:rPr>
        <w:t xml:space="preserve">10، كتاب العقل والجهل. </w:t>
      </w:r>
    </w:p>
  </w:endnote>
  <w:endnote w:id="301">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انظر: المصدر السابق 1: 261. </w:t>
      </w:r>
    </w:p>
  </w:endnote>
  <w:endnote w:id="302">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العلاّمة الحلّي، خلاصة الأقوال: 430، الفائدة الثالثة. </w:t>
      </w:r>
    </w:p>
  </w:endnote>
  <w:endnote w:id="303">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 xml:space="preserve">أبو الحسن النجاشي، رجال النجاشي: </w:t>
      </w:r>
      <w:r w:rsidRPr="006571AC">
        <w:rPr>
          <w:rFonts w:cs="DanaFajr" w:hint="cs"/>
          <w:sz w:val="28"/>
          <w:szCs w:val="28"/>
          <w:rtl/>
        </w:rPr>
        <w:t>353</w:t>
      </w:r>
      <w:r w:rsidRPr="006571AC">
        <w:rPr>
          <w:rFonts w:cs="DanaFajr"/>
          <w:sz w:val="28"/>
          <w:szCs w:val="28"/>
          <w:rtl/>
        </w:rPr>
        <w:t xml:space="preserve">، 1407هـ. </w:t>
      </w:r>
    </w:p>
  </w:endnote>
  <w:endnote w:id="304">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المصدر السابق: 92. </w:t>
      </w:r>
    </w:p>
  </w:endnote>
  <w:endnote w:id="305">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انظر: المصدر السابق: </w:t>
      </w:r>
      <w:r w:rsidRPr="006571AC">
        <w:rPr>
          <w:rFonts w:cs="DanaFajr" w:hint="cs"/>
          <w:sz w:val="28"/>
          <w:szCs w:val="28"/>
          <w:rtl/>
        </w:rPr>
        <w:t xml:space="preserve">260. </w:t>
      </w:r>
    </w:p>
  </w:endnote>
  <w:endnote w:id="306">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المصدر السابق: 26</w:t>
      </w:r>
      <w:r w:rsidRPr="006571AC">
        <w:rPr>
          <w:rFonts w:cs="DanaFajr" w:hint="cs"/>
          <w:sz w:val="28"/>
          <w:szCs w:val="28"/>
          <w:rtl/>
        </w:rPr>
        <w:t>1</w:t>
      </w:r>
      <w:r w:rsidRPr="006571AC">
        <w:rPr>
          <w:rFonts w:cs="DanaFajr"/>
          <w:sz w:val="28"/>
          <w:szCs w:val="28"/>
          <w:rtl/>
        </w:rPr>
        <w:t xml:space="preserve">. </w:t>
      </w:r>
    </w:p>
  </w:endnote>
  <w:endnote w:id="307">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مسلم الداوري، أصول علم الرجال بين النظري</w:t>
      </w:r>
      <w:r w:rsidRPr="006571AC">
        <w:rPr>
          <w:rFonts w:cs="DanaFajr" w:hint="cs"/>
          <w:sz w:val="28"/>
          <w:szCs w:val="28"/>
          <w:rtl/>
        </w:rPr>
        <w:t>ّ</w:t>
      </w:r>
      <w:r w:rsidRPr="006571AC">
        <w:rPr>
          <w:rFonts w:cs="DanaFajr"/>
          <w:sz w:val="28"/>
          <w:szCs w:val="28"/>
          <w:rtl/>
        </w:rPr>
        <w:t xml:space="preserve">ة والتطبيق 1: </w:t>
      </w:r>
      <w:r w:rsidRPr="006571AC">
        <w:rPr>
          <w:rFonts w:cs="DanaFajr" w:hint="cs"/>
          <w:sz w:val="28"/>
          <w:szCs w:val="28"/>
          <w:rtl/>
        </w:rPr>
        <w:t>323 ـ 324</w:t>
      </w:r>
      <w:r w:rsidRPr="006571AC">
        <w:rPr>
          <w:rFonts w:cs="DanaFajr"/>
          <w:sz w:val="28"/>
          <w:szCs w:val="28"/>
          <w:rtl/>
        </w:rPr>
        <w:t>، 1</w:t>
      </w:r>
      <w:r w:rsidRPr="006571AC">
        <w:rPr>
          <w:rFonts w:cs="DanaFajr" w:hint="cs"/>
          <w:sz w:val="28"/>
          <w:szCs w:val="28"/>
          <w:rtl/>
        </w:rPr>
        <w:t>4</w:t>
      </w:r>
      <w:r w:rsidRPr="006571AC">
        <w:rPr>
          <w:rFonts w:cs="DanaFajr"/>
          <w:sz w:val="28"/>
          <w:szCs w:val="28"/>
          <w:rtl/>
        </w:rPr>
        <w:t xml:space="preserve">26هـ. </w:t>
      </w:r>
    </w:p>
  </w:endnote>
  <w:endnote w:id="308">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مسلم الداوري</w:t>
      </w:r>
      <w:r w:rsidRPr="006571AC">
        <w:rPr>
          <w:rFonts w:cs="DanaFajr" w:hint="cs"/>
          <w:sz w:val="28"/>
          <w:szCs w:val="28"/>
          <w:rtl/>
        </w:rPr>
        <w:t>،</w:t>
      </w:r>
      <w:r w:rsidRPr="006571AC">
        <w:rPr>
          <w:rFonts w:cs="DanaFajr"/>
          <w:sz w:val="28"/>
          <w:szCs w:val="28"/>
          <w:rtl/>
        </w:rPr>
        <w:t xml:space="preserve"> إيضاح الدلائل في شرح الوسائل 1: </w:t>
      </w:r>
      <w:r w:rsidRPr="006571AC">
        <w:rPr>
          <w:rFonts w:cs="DanaFajr" w:hint="cs"/>
          <w:sz w:val="28"/>
          <w:szCs w:val="28"/>
          <w:rtl/>
        </w:rPr>
        <w:t>19</w:t>
      </w:r>
      <w:r w:rsidRPr="006571AC">
        <w:rPr>
          <w:rFonts w:cs="DanaFajr"/>
          <w:sz w:val="28"/>
          <w:szCs w:val="28"/>
          <w:rtl/>
        </w:rPr>
        <w:t>50، 1</w:t>
      </w:r>
      <w:r w:rsidRPr="006571AC">
        <w:rPr>
          <w:rFonts w:cs="DanaFajr" w:hint="cs"/>
          <w:sz w:val="28"/>
          <w:szCs w:val="28"/>
          <w:rtl/>
        </w:rPr>
        <w:t>4</w:t>
      </w:r>
      <w:r w:rsidRPr="006571AC">
        <w:rPr>
          <w:rFonts w:cs="DanaFajr"/>
          <w:sz w:val="28"/>
          <w:szCs w:val="28"/>
          <w:rtl/>
        </w:rPr>
        <w:t xml:space="preserve">27هـ. </w:t>
      </w:r>
    </w:p>
  </w:endnote>
  <w:endnote w:id="309">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الحسن الطوسي، الفهرست: </w:t>
      </w:r>
      <w:r w:rsidRPr="006571AC">
        <w:rPr>
          <w:rFonts w:cs="DanaFajr" w:hint="cs"/>
          <w:sz w:val="28"/>
          <w:szCs w:val="28"/>
          <w:rtl/>
        </w:rPr>
        <w:t>266</w:t>
      </w:r>
      <w:r w:rsidRPr="006571AC">
        <w:rPr>
          <w:rFonts w:cs="DanaFajr"/>
          <w:sz w:val="28"/>
          <w:szCs w:val="28"/>
          <w:rtl/>
        </w:rPr>
        <w:t xml:space="preserve">. </w:t>
      </w:r>
    </w:p>
  </w:endnote>
  <w:endnote w:id="310">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أبو الحسن النجاشي</w:t>
      </w:r>
      <w:r w:rsidRPr="006571AC">
        <w:rPr>
          <w:rFonts w:cs="DanaFajr" w:hint="cs"/>
          <w:sz w:val="28"/>
          <w:szCs w:val="28"/>
          <w:rtl/>
        </w:rPr>
        <w:t>،</w:t>
      </w:r>
      <w:r w:rsidRPr="006571AC">
        <w:rPr>
          <w:rFonts w:cs="DanaFajr"/>
          <w:sz w:val="28"/>
          <w:szCs w:val="28"/>
          <w:rtl/>
        </w:rPr>
        <w:t xml:space="preserve"> رجال النجاشي: 3</w:t>
      </w:r>
      <w:r w:rsidRPr="006571AC">
        <w:rPr>
          <w:rFonts w:cs="DanaFajr" w:hint="cs"/>
          <w:sz w:val="28"/>
          <w:szCs w:val="28"/>
          <w:rtl/>
        </w:rPr>
        <w:t>59</w:t>
      </w:r>
      <w:r w:rsidRPr="006571AC">
        <w:rPr>
          <w:rFonts w:cs="DanaFajr"/>
          <w:sz w:val="28"/>
          <w:szCs w:val="28"/>
          <w:rtl/>
        </w:rPr>
        <w:t xml:space="preserve">، 1407هـ. </w:t>
      </w:r>
    </w:p>
  </w:endnote>
  <w:endnote w:id="311">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أحمد الأردبيلي، مجمع الفائدة والبرهان في شرح إرشاد الأذهان 9: 33</w:t>
      </w:r>
      <w:r w:rsidRPr="006571AC">
        <w:rPr>
          <w:rFonts w:cs="DanaFajr" w:hint="cs"/>
          <w:sz w:val="28"/>
          <w:szCs w:val="28"/>
          <w:rtl/>
        </w:rPr>
        <w:t>1</w:t>
      </w:r>
      <w:r w:rsidRPr="006571AC">
        <w:rPr>
          <w:rFonts w:cs="DanaFajr"/>
          <w:sz w:val="28"/>
          <w:szCs w:val="28"/>
          <w:rtl/>
        </w:rPr>
        <w:t xml:space="preserve">، 1403هـ. </w:t>
      </w:r>
    </w:p>
  </w:endnote>
  <w:endnote w:id="312">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بن علي الصدوق، م</w:t>
      </w:r>
      <w:r w:rsidRPr="006571AC">
        <w:rPr>
          <w:rFonts w:cs="DanaFajr" w:hint="cs"/>
          <w:sz w:val="28"/>
          <w:szCs w:val="28"/>
          <w:rtl/>
        </w:rPr>
        <w:t>َ</w:t>
      </w:r>
      <w:r w:rsidRPr="006571AC">
        <w:rPr>
          <w:rFonts w:cs="DanaFajr"/>
          <w:sz w:val="28"/>
          <w:szCs w:val="28"/>
          <w:rtl/>
        </w:rPr>
        <w:t>ن</w:t>
      </w:r>
      <w:r w:rsidRPr="006571AC">
        <w:rPr>
          <w:rFonts w:cs="DanaFajr" w:hint="cs"/>
          <w:sz w:val="28"/>
          <w:szCs w:val="28"/>
          <w:rtl/>
        </w:rPr>
        <w:t>ْ</w:t>
      </w:r>
      <w:r w:rsidRPr="006571AC">
        <w:rPr>
          <w:rFonts w:cs="DanaFajr"/>
          <w:sz w:val="28"/>
          <w:szCs w:val="28"/>
          <w:rtl/>
        </w:rPr>
        <w:t xml:space="preserve"> لا يحضره الفقيه 3: </w:t>
      </w:r>
      <w:r w:rsidRPr="006571AC">
        <w:rPr>
          <w:rFonts w:cs="DanaFajr" w:hint="cs"/>
          <w:sz w:val="28"/>
          <w:szCs w:val="28"/>
          <w:rtl/>
        </w:rPr>
        <w:t>21</w:t>
      </w:r>
      <w:r w:rsidRPr="006571AC">
        <w:rPr>
          <w:rFonts w:cs="DanaFajr"/>
          <w:sz w:val="28"/>
          <w:szCs w:val="28"/>
          <w:rtl/>
        </w:rPr>
        <w:t>، 1413هـ؛ الح</w:t>
      </w:r>
      <w:r w:rsidRPr="006571AC">
        <w:rPr>
          <w:rFonts w:cs="DanaFajr" w:hint="cs"/>
          <w:sz w:val="28"/>
          <w:szCs w:val="28"/>
          <w:rtl/>
        </w:rPr>
        <w:t>ُ</w:t>
      </w:r>
      <w:r w:rsidRPr="006571AC">
        <w:rPr>
          <w:rFonts w:cs="DanaFajr"/>
          <w:sz w:val="28"/>
          <w:szCs w:val="28"/>
          <w:rtl/>
        </w:rPr>
        <w:t>ر</w:t>
      </w:r>
      <w:r w:rsidRPr="006571AC">
        <w:rPr>
          <w:rFonts w:cs="DanaFajr" w:hint="cs"/>
          <w:sz w:val="28"/>
          <w:szCs w:val="28"/>
          <w:rtl/>
        </w:rPr>
        <w:t>ّ</w:t>
      </w:r>
      <w:r w:rsidRPr="006571AC">
        <w:rPr>
          <w:rFonts w:cs="DanaFajr"/>
          <w:sz w:val="28"/>
          <w:szCs w:val="28"/>
          <w:rtl/>
        </w:rPr>
        <w:t xml:space="preserve"> العاملي، وسائل الشيعة 18: 44</w:t>
      </w:r>
      <w:r w:rsidRPr="006571AC">
        <w:rPr>
          <w:rFonts w:cs="DanaFajr" w:hint="cs"/>
          <w:sz w:val="28"/>
          <w:szCs w:val="28"/>
          <w:rtl/>
        </w:rPr>
        <w:t>9</w:t>
      </w:r>
      <w:r w:rsidRPr="006571AC">
        <w:rPr>
          <w:rFonts w:cs="DanaFajr"/>
          <w:sz w:val="28"/>
          <w:szCs w:val="28"/>
          <w:rtl/>
        </w:rPr>
        <w:t xml:space="preserve">. </w:t>
      </w:r>
    </w:p>
  </w:endnote>
  <w:endnote w:id="313">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أبو الحسن النجاشي، رجال النجاشي: </w:t>
      </w:r>
      <w:r w:rsidRPr="006571AC">
        <w:rPr>
          <w:rFonts w:cs="DanaFajr" w:hint="cs"/>
          <w:sz w:val="28"/>
          <w:szCs w:val="28"/>
          <w:rtl/>
        </w:rPr>
        <w:t>115</w:t>
      </w:r>
      <w:r w:rsidRPr="006571AC">
        <w:rPr>
          <w:rFonts w:cs="DanaFajr"/>
          <w:sz w:val="28"/>
          <w:szCs w:val="28"/>
          <w:rtl/>
        </w:rPr>
        <w:t xml:space="preserve">، 1407هـ. </w:t>
      </w:r>
    </w:p>
  </w:endnote>
  <w:endnote w:id="314">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المصدر نفسه. </w:t>
      </w:r>
    </w:p>
  </w:endnote>
  <w:endnote w:id="315">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المصدر السابق</w:t>
      </w:r>
      <w:r w:rsidRPr="006571AC">
        <w:rPr>
          <w:rFonts w:cs="DanaFajr" w:hint="cs"/>
          <w:sz w:val="28"/>
          <w:szCs w:val="28"/>
          <w:rtl/>
        </w:rPr>
        <w:t>: 231</w:t>
      </w:r>
      <w:r w:rsidRPr="006571AC">
        <w:rPr>
          <w:rFonts w:cs="DanaFajr"/>
          <w:sz w:val="28"/>
          <w:szCs w:val="28"/>
          <w:rtl/>
        </w:rPr>
        <w:t xml:space="preserve">. </w:t>
      </w:r>
    </w:p>
  </w:endnote>
  <w:endnote w:id="316">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باقر البهبهاني، حاشية مجمع الفائدة والبرهان: 438. </w:t>
      </w:r>
    </w:p>
  </w:endnote>
  <w:endnote w:id="317">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مسعود</w:t>
      </w:r>
      <w:r w:rsidRPr="006571AC">
        <w:rPr>
          <w:rFonts w:cs="DanaFajr" w:hint="cs"/>
          <w:sz w:val="28"/>
          <w:szCs w:val="28"/>
          <w:rtl/>
        </w:rPr>
        <w:t xml:space="preserve"> إ</w:t>
      </w:r>
      <w:r w:rsidRPr="006571AC">
        <w:rPr>
          <w:rFonts w:cs="DanaFajr"/>
          <w:sz w:val="28"/>
          <w:szCs w:val="28"/>
          <w:rtl/>
        </w:rPr>
        <w:t>مامي، صلح ابتدائي (الصلح الابتدائي)، مجلة فقه أهل البيت</w:t>
      </w:r>
      <w:r w:rsidRPr="006571AC">
        <w:rPr>
          <w:rFonts w:ascii="Mosawi" w:hAnsi="Mosawi" w:cs="Mosawi"/>
          <w:rtl/>
        </w:rPr>
        <w:t>^</w:t>
      </w:r>
      <w:r w:rsidRPr="006571AC">
        <w:rPr>
          <w:rFonts w:cs="DanaFajr"/>
          <w:sz w:val="28"/>
          <w:szCs w:val="28"/>
          <w:rtl/>
        </w:rPr>
        <w:t xml:space="preserve"> 34: 13</w:t>
      </w:r>
      <w:r w:rsidRPr="006571AC">
        <w:rPr>
          <w:rFonts w:cs="DanaFajr" w:hint="cs"/>
          <w:sz w:val="28"/>
          <w:szCs w:val="28"/>
          <w:rtl/>
        </w:rPr>
        <w:t>5.</w:t>
      </w:r>
    </w:p>
  </w:endnote>
  <w:endnote w:id="318">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يعقوب الكليني، الكافي </w:t>
      </w:r>
      <w:r w:rsidRPr="006571AC">
        <w:rPr>
          <w:rFonts w:cs="DanaFajr" w:hint="cs"/>
          <w:sz w:val="28"/>
          <w:szCs w:val="28"/>
          <w:rtl/>
        </w:rPr>
        <w:t>5</w:t>
      </w:r>
      <w:r w:rsidRPr="006571AC">
        <w:rPr>
          <w:rFonts w:cs="DanaFajr"/>
          <w:sz w:val="28"/>
          <w:szCs w:val="28"/>
          <w:rtl/>
        </w:rPr>
        <w:t xml:space="preserve">: </w:t>
      </w:r>
      <w:r w:rsidRPr="006571AC">
        <w:rPr>
          <w:rFonts w:cs="DanaFajr" w:hint="cs"/>
          <w:sz w:val="28"/>
          <w:szCs w:val="28"/>
          <w:rtl/>
        </w:rPr>
        <w:t xml:space="preserve">259. </w:t>
      </w:r>
    </w:p>
  </w:endnote>
  <w:endnote w:id="319">
    <w:p w:rsidR="00DB2356" w:rsidRPr="006571AC" w:rsidRDefault="00DB2356" w:rsidP="004B16C6">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انظر: أحمد الأردبيلي، مجمع الفائدة والبرهان في شرح إرشاد الأذهان 9: 33</w:t>
      </w:r>
      <w:r w:rsidRPr="006571AC">
        <w:rPr>
          <w:rFonts w:cs="DanaFajr" w:hint="cs"/>
          <w:sz w:val="28"/>
          <w:szCs w:val="28"/>
          <w:rtl/>
        </w:rPr>
        <w:t>0</w:t>
      </w:r>
      <w:r w:rsidRPr="006571AC">
        <w:rPr>
          <w:rFonts w:cs="DanaFajr"/>
          <w:sz w:val="28"/>
          <w:szCs w:val="28"/>
          <w:rtl/>
        </w:rPr>
        <w:t>، 1403هـ</w:t>
      </w:r>
      <w:r w:rsidRPr="006571AC">
        <w:rPr>
          <w:rFonts w:cs="DanaFajr" w:hint="cs"/>
          <w:sz w:val="28"/>
          <w:szCs w:val="28"/>
          <w:rtl/>
        </w:rPr>
        <w:t xml:space="preserve">؛ </w:t>
      </w:r>
      <w:r w:rsidRPr="006571AC">
        <w:rPr>
          <w:rFonts w:cs="DanaFajr"/>
          <w:sz w:val="28"/>
          <w:szCs w:val="28"/>
          <w:rtl/>
        </w:rPr>
        <w:t>السيد أحمد الخو</w:t>
      </w:r>
      <w:r w:rsidRPr="006571AC">
        <w:rPr>
          <w:rFonts w:cs="DanaFajr" w:hint="cs"/>
          <w:sz w:val="28"/>
          <w:szCs w:val="28"/>
          <w:rtl/>
        </w:rPr>
        <w:t>ا</w:t>
      </w:r>
      <w:r w:rsidRPr="006571AC">
        <w:rPr>
          <w:rFonts w:cs="DanaFajr"/>
          <w:sz w:val="28"/>
          <w:szCs w:val="28"/>
          <w:rtl/>
        </w:rPr>
        <w:t xml:space="preserve">نساري، جامع المدارك في شرح المختصر النافع 3: 393، 1406هـ. </w:t>
      </w:r>
    </w:p>
  </w:endnote>
  <w:endnote w:id="320">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IQ"/>
        </w:rPr>
        <w:t xml:space="preserve"> </w:t>
      </w:r>
      <w:r w:rsidRPr="006571AC">
        <w:rPr>
          <w:rFonts w:cs="DanaFajr"/>
          <w:sz w:val="28"/>
          <w:szCs w:val="28"/>
          <w:rtl/>
          <w:lang w:bidi="ar-IQ"/>
        </w:rPr>
        <w:t xml:space="preserve">أبو الحسن النجاشي، رجال النجاشي: </w:t>
      </w:r>
      <w:r w:rsidRPr="006571AC">
        <w:rPr>
          <w:rFonts w:cs="DanaFajr" w:hint="cs"/>
          <w:sz w:val="28"/>
          <w:szCs w:val="28"/>
          <w:rtl/>
          <w:lang w:bidi="ar-IQ"/>
        </w:rPr>
        <w:t>353.،</w:t>
      </w:r>
      <w:r w:rsidRPr="006571AC">
        <w:rPr>
          <w:rFonts w:cs="DanaFajr"/>
          <w:sz w:val="28"/>
          <w:szCs w:val="28"/>
          <w:rtl/>
          <w:lang w:bidi="ar-IQ"/>
        </w:rPr>
        <w:t xml:space="preserve"> 1407هـ. </w:t>
      </w:r>
    </w:p>
  </w:endnote>
  <w:endnote w:id="321">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المصدر السابق: 333. </w:t>
      </w:r>
    </w:p>
  </w:endnote>
  <w:endnote w:id="322">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بن الحسن الطوسي، الفهرست: 216. </w:t>
      </w:r>
    </w:p>
  </w:endnote>
  <w:endnote w:id="323">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انظر: مسلم الداوري، إيضاح الدلائل في شرح الوسائل 1: </w:t>
      </w:r>
      <w:r w:rsidRPr="006571AC">
        <w:rPr>
          <w:rFonts w:cs="DanaFajr" w:hint="cs"/>
          <w:sz w:val="28"/>
          <w:szCs w:val="28"/>
          <w:rtl/>
          <w:lang w:bidi="ar-IQ"/>
        </w:rPr>
        <w:t>83</w:t>
      </w:r>
      <w:r w:rsidRPr="006571AC">
        <w:rPr>
          <w:rFonts w:cs="DanaFajr"/>
          <w:sz w:val="28"/>
          <w:szCs w:val="28"/>
          <w:rtl/>
          <w:lang w:bidi="ar-IQ"/>
        </w:rPr>
        <w:t>، 1</w:t>
      </w:r>
      <w:r w:rsidRPr="006571AC">
        <w:rPr>
          <w:rFonts w:cs="DanaFajr" w:hint="cs"/>
          <w:sz w:val="28"/>
          <w:szCs w:val="28"/>
          <w:rtl/>
          <w:lang w:bidi="ar-IQ"/>
        </w:rPr>
        <w:t>4</w:t>
      </w:r>
      <w:r w:rsidRPr="006571AC">
        <w:rPr>
          <w:rFonts w:cs="DanaFajr"/>
          <w:sz w:val="28"/>
          <w:szCs w:val="28"/>
          <w:rtl/>
          <w:lang w:bidi="ar-IQ"/>
        </w:rPr>
        <w:t xml:space="preserve">27هـ. </w:t>
      </w:r>
    </w:p>
  </w:endnote>
  <w:endnote w:id="324">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 xml:space="preserve">) انظر: الشيخ الطوسي، محمد بن الحسن، الفهرست: </w:t>
      </w:r>
      <w:r w:rsidRPr="006571AC">
        <w:rPr>
          <w:rFonts w:cs="DanaFajr" w:hint="cs"/>
          <w:sz w:val="28"/>
          <w:szCs w:val="28"/>
          <w:rtl/>
          <w:lang w:bidi="ar-IQ"/>
        </w:rPr>
        <w:t>173</w:t>
      </w:r>
      <w:r w:rsidRPr="006571AC">
        <w:rPr>
          <w:rFonts w:cs="DanaFajr"/>
          <w:sz w:val="28"/>
          <w:szCs w:val="28"/>
          <w:rtl/>
          <w:lang w:bidi="ar-IQ"/>
        </w:rPr>
        <w:t xml:space="preserve">. </w:t>
      </w:r>
    </w:p>
  </w:endnote>
  <w:endnote w:id="325">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 xml:space="preserve">أبو الحسن النجاشي، رجال النجاشي: </w:t>
      </w:r>
      <w:r w:rsidRPr="006571AC">
        <w:rPr>
          <w:rFonts w:cs="DanaFajr" w:hint="cs"/>
          <w:sz w:val="28"/>
          <w:szCs w:val="28"/>
          <w:rtl/>
          <w:lang w:bidi="ar-IQ"/>
        </w:rPr>
        <w:t>28</w:t>
      </w:r>
      <w:r w:rsidRPr="006571AC">
        <w:rPr>
          <w:rFonts w:cs="DanaFajr"/>
          <w:sz w:val="28"/>
          <w:szCs w:val="28"/>
          <w:rtl/>
          <w:lang w:bidi="ar-IQ"/>
        </w:rPr>
        <w:t xml:space="preserve">3.، 1407هـ. </w:t>
      </w:r>
    </w:p>
  </w:endnote>
  <w:endnote w:id="326">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زين الدين بن علي العاملي (الشهيد الثاني)</w:t>
      </w:r>
      <w:r w:rsidRPr="006571AC">
        <w:rPr>
          <w:rFonts w:cs="DanaFajr" w:hint="cs"/>
          <w:sz w:val="28"/>
          <w:szCs w:val="28"/>
          <w:rtl/>
          <w:lang w:bidi="ar-IQ"/>
        </w:rPr>
        <w:t xml:space="preserve">، </w:t>
      </w:r>
      <w:r w:rsidRPr="006571AC">
        <w:rPr>
          <w:rFonts w:cs="DanaFajr"/>
          <w:sz w:val="28"/>
          <w:szCs w:val="28"/>
          <w:rtl/>
          <w:lang w:bidi="ar-IQ"/>
        </w:rPr>
        <w:t>الروضة البهية في شرح اللمعة الدمشقية 4: 33</w:t>
      </w:r>
      <w:r w:rsidRPr="006571AC">
        <w:rPr>
          <w:rFonts w:cs="DanaFajr" w:hint="cs"/>
          <w:sz w:val="28"/>
          <w:szCs w:val="28"/>
          <w:rtl/>
          <w:lang w:bidi="ar-IQ"/>
        </w:rPr>
        <w:t>7</w:t>
      </w:r>
      <w:r w:rsidRPr="006571AC">
        <w:rPr>
          <w:rFonts w:cs="DanaFajr"/>
          <w:sz w:val="28"/>
          <w:szCs w:val="28"/>
          <w:rtl/>
          <w:lang w:bidi="ar-IQ"/>
        </w:rPr>
        <w:t xml:space="preserve">، تحقيق: السيد محمد كلانتر، 1386هـ ش. </w:t>
      </w:r>
    </w:p>
  </w:endnote>
  <w:endnote w:id="327">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مسعود</w:t>
      </w:r>
      <w:r w:rsidRPr="006571AC">
        <w:rPr>
          <w:rFonts w:cs="DanaFajr" w:hint="cs"/>
          <w:sz w:val="28"/>
          <w:szCs w:val="28"/>
          <w:rtl/>
          <w:lang w:bidi="ar-IQ"/>
        </w:rPr>
        <w:t xml:space="preserve"> إ</w:t>
      </w:r>
      <w:r w:rsidRPr="006571AC">
        <w:rPr>
          <w:rFonts w:cs="DanaFajr"/>
          <w:sz w:val="28"/>
          <w:szCs w:val="28"/>
          <w:rtl/>
          <w:lang w:bidi="ar-IQ"/>
        </w:rPr>
        <w:t>مامي، صلح ابتدائي (الصلح الابتدائي)، مجلة فقه أهل البيت</w:t>
      </w:r>
      <w:r w:rsidRPr="006571AC">
        <w:rPr>
          <w:rFonts w:ascii="Mosawi" w:hAnsi="Mosawi" w:cs="Mosawi"/>
          <w:rtl/>
        </w:rPr>
        <w:t>^</w:t>
      </w:r>
      <w:r w:rsidRPr="006571AC">
        <w:rPr>
          <w:rFonts w:cs="DanaFajr" w:hint="cs"/>
          <w:sz w:val="28"/>
          <w:szCs w:val="28"/>
          <w:rtl/>
          <w:lang w:bidi="ar-IQ"/>
        </w:rPr>
        <w:t>، العدد 34.</w:t>
      </w:r>
    </w:p>
  </w:endnote>
  <w:endnote w:id="328">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 xml:space="preserve">انظر: المولى أحمد بن محمد النراقي، عوائد الأيام: 18، مركز النشر التابع لمكتب الإعلام الإسلامي، 1417هـ. </w:t>
      </w:r>
    </w:p>
  </w:endnote>
  <w:endnote w:id="329">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lang w:bidi="ar-IQ"/>
        </w:rPr>
        <w:t>(</w:t>
      </w:r>
      <w:r w:rsidRPr="006571AC">
        <w:rPr>
          <w:rStyle w:val="ac"/>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مسعود</w:t>
      </w:r>
      <w:r w:rsidRPr="006571AC">
        <w:rPr>
          <w:rFonts w:cs="DanaFajr" w:hint="cs"/>
          <w:sz w:val="28"/>
          <w:szCs w:val="28"/>
          <w:rtl/>
          <w:lang w:bidi="ar-IQ"/>
        </w:rPr>
        <w:t xml:space="preserve"> إ</w:t>
      </w:r>
      <w:r w:rsidRPr="006571AC">
        <w:rPr>
          <w:rFonts w:cs="DanaFajr"/>
          <w:sz w:val="28"/>
          <w:szCs w:val="28"/>
          <w:rtl/>
          <w:lang w:bidi="ar-IQ"/>
        </w:rPr>
        <w:t>مامي، صلح ابتدائي (الصلح الابتدائي)، مجلة فقه أهل البيت</w:t>
      </w:r>
      <w:r w:rsidRPr="006571AC">
        <w:rPr>
          <w:rFonts w:ascii="Mosawi" w:hAnsi="Mosawi" w:cs="Mosawi"/>
          <w:rtl/>
        </w:rPr>
        <w:t>^</w:t>
      </w:r>
      <w:r w:rsidRPr="006571AC">
        <w:rPr>
          <w:rFonts w:cs="DanaFajr" w:hint="cs"/>
          <w:sz w:val="28"/>
          <w:szCs w:val="28"/>
          <w:rtl/>
          <w:lang w:bidi="ar-IQ"/>
        </w:rPr>
        <w:t>، العدد 34.</w:t>
      </w:r>
    </w:p>
  </w:endnote>
  <w:endnote w:id="330">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المصدر نفسه.</w:t>
      </w:r>
      <w:r w:rsidRPr="006571AC">
        <w:rPr>
          <w:rFonts w:cs="DanaFajr"/>
          <w:sz w:val="28"/>
          <w:szCs w:val="28"/>
          <w:rtl/>
          <w:lang w:bidi="ar-IQ"/>
        </w:rPr>
        <w:t xml:space="preserve"> </w:t>
      </w:r>
    </w:p>
  </w:endnote>
  <w:endnote w:id="331">
    <w:p w:rsidR="00DB2356" w:rsidRPr="006571AC" w:rsidRDefault="00DB2356" w:rsidP="004B16C6">
      <w:pPr>
        <w:pStyle w:val="aa"/>
        <w:spacing w:line="306" w:lineRule="exact"/>
        <w:ind w:firstLine="0"/>
        <w:rPr>
          <w:rFonts w:cs="DanaFajr"/>
          <w:sz w:val="28"/>
          <w:szCs w:val="28"/>
          <w:rtl/>
          <w:lang w:bidi="ar-IQ"/>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IQ"/>
        </w:rPr>
        <w:t xml:space="preserve"> </w:t>
      </w:r>
      <w:r w:rsidRPr="006571AC">
        <w:rPr>
          <w:rFonts w:cs="DanaFajr"/>
          <w:sz w:val="28"/>
          <w:szCs w:val="28"/>
          <w:rtl/>
          <w:lang w:bidi="ar-IQ"/>
        </w:rPr>
        <w:t>السيد عبد الأعلى السبزواري، مهذ</w:t>
      </w:r>
      <w:r w:rsidRPr="006571AC">
        <w:rPr>
          <w:rFonts w:cs="DanaFajr" w:hint="cs"/>
          <w:sz w:val="28"/>
          <w:szCs w:val="28"/>
          <w:rtl/>
          <w:lang w:bidi="ar-IQ"/>
        </w:rPr>
        <w:t>َّ</w:t>
      </w:r>
      <w:r w:rsidRPr="006571AC">
        <w:rPr>
          <w:rFonts w:cs="DanaFajr"/>
          <w:sz w:val="28"/>
          <w:szCs w:val="28"/>
          <w:rtl/>
          <w:lang w:bidi="ar-IQ"/>
        </w:rPr>
        <w:t xml:space="preserve">ب الأحكام في بيان الحلال والحرام 18: 116، 1413هـ. </w:t>
      </w:r>
    </w:p>
  </w:endnote>
  <w:endnote w:id="332">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عبد الحسين الأميني، الغدير في الكتاب والسنّة والأدب</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423</w:t>
      </w:r>
      <w:r w:rsidRPr="006571AC">
        <w:rPr>
          <w:rFonts w:asciiTheme="majorHAnsi" w:hAnsiTheme="majorHAnsi" w:cs="DanaFajr" w:hint="cs"/>
          <w:sz w:val="28"/>
          <w:szCs w:val="28"/>
          <w:rtl/>
        </w:rPr>
        <w:t>، مركز الغدير،</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قم، 1416هـ</w:t>
      </w:r>
      <w:r w:rsidRPr="006571AC">
        <w:rPr>
          <w:rFonts w:cs="DanaFajr" w:hint="cs"/>
          <w:sz w:val="28"/>
          <w:szCs w:val="28"/>
          <w:rtl/>
        </w:rPr>
        <w:t xml:space="preserve">. </w:t>
      </w:r>
    </w:p>
  </w:endnote>
  <w:endnote w:id="333">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يعقوب الكليني، </w:t>
      </w:r>
      <w:r w:rsidRPr="006571AC">
        <w:rPr>
          <w:rFonts w:asciiTheme="majorHAnsi" w:hAnsiTheme="majorHAnsi" w:cs="DanaFajr"/>
          <w:sz w:val="28"/>
          <w:szCs w:val="28"/>
          <w:rtl/>
        </w:rPr>
        <w:t xml:space="preserve">الكافي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289</w:t>
      </w:r>
      <w:r w:rsidRPr="006571AC">
        <w:rPr>
          <w:rFonts w:cs="DanaFajr" w:hint="cs"/>
          <w:sz w:val="28"/>
          <w:szCs w:val="28"/>
          <w:rtl/>
        </w:rPr>
        <w:t>، الدار الإسلامية، طهران، 1362هـ.ش.</w:t>
      </w:r>
    </w:p>
  </w:endnote>
  <w:endnote w:id="334">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محمد بن مسعود العياشي، </w:t>
      </w:r>
      <w:r w:rsidRPr="006571AC">
        <w:rPr>
          <w:rFonts w:asciiTheme="majorHAnsi" w:hAnsiTheme="majorHAnsi" w:cs="DanaFajr"/>
          <w:sz w:val="28"/>
          <w:szCs w:val="28"/>
          <w:rtl/>
        </w:rPr>
        <w:t xml:space="preserve">تفسير العياشي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332</w:t>
      </w:r>
      <w:r w:rsidRPr="006571AC">
        <w:rPr>
          <w:rFonts w:asciiTheme="majorHAnsi" w:hAnsiTheme="majorHAnsi" w:cs="DanaFajr" w:hint="cs"/>
          <w:sz w:val="28"/>
          <w:szCs w:val="28"/>
          <w:rtl/>
        </w:rPr>
        <w:t>، المطبعة العلمية، طهران، 1380هـ.</w:t>
      </w:r>
    </w:p>
  </w:endnote>
  <w:endnote w:id="335">
    <w:p w:rsidR="00DB2356" w:rsidRPr="006571AC" w:rsidRDefault="00DB2356" w:rsidP="00FB4949">
      <w:pPr>
        <w:pStyle w:val="af"/>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راجع المصادر التالية: </w:t>
      </w:r>
      <w:r w:rsidRPr="006571AC">
        <w:rPr>
          <w:rFonts w:asciiTheme="majorHAnsi" w:hAnsiTheme="majorHAnsi" w:cs="DanaFajr" w:hint="cs"/>
          <w:sz w:val="28"/>
          <w:szCs w:val="28"/>
          <w:rtl/>
        </w:rPr>
        <w:t>فرات بن إبراهيم الكوفي، تفسير فرات الكوفي</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129</w:t>
      </w:r>
      <w:r w:rsidRPr="006571AC">
        <w:rPr>
          <w:rFonts w:asciiTheme="majorHAnsi" w:hAnsiTheme="majorHAnsi" w:cs="DanaFajr" w:hint="cs"/>
          <w:sz w:val="28"/>
          <w:szCs w:val="28"/>
          <w:rtl/>
        </w:rPr>
        <w:t xml:space="preserve">، مؤسسة الطبع والنشر الإسلامي، طهران، 1410هـ؛ عليّ بن إبراهيم القمّي، </w:t>
      </w:r>
      <w:r w:rsidRPr="006571AC">
        <w:rPr>
          <w:rFonts w:asciiTheme="majorHAnsi" w:hAnsiTheme="majorHAnsi" w:cs="DanaFajr"/>
          <w:sz w:val="28"/>
          <w:szCs w:val="28"/>
          <w:rtl/>
        </w:rPr>
        <w:t>تفسير القم</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ي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171</w:t>
      </w:r>
      <w:r w:rsidRPr="006571AC">
        <w:rPr>
          <w:rFonts w:asciiTheme="majorHAnsi" w:hAnsiTheme="majorHAnsi" w:cs="DanaFajr" w:hint="cs"/>
          <w:sz w:val="28"/>
          <w:szCs w:val="28"/>
          <w:rtl/>
        </w:rPr>
        <w:t>، دار الكتب، قم، 1404هـ؛ الصدوق، الأمالي</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355</w:t>
      </w:r>
      <w:r w:rsidRPr="006571AC">
        <w:rPr>
          <w:rFonts w:asciiTheme="majorHAnsi" w:hAnsiTheme="majorHAnsi" w:cs="DanaFajr" w:hint="cs"/>
          <w:sz w:val="28"/>
          <w:szCs w:val="28"/>
          <w:rtl/>
        </w:rPr>
        <w:t>، كتابچي، طهران، 1376هـ.ش؛</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الصدوق، التوحيد: 256، مؤسسة النشر الإسلامي، قم، 1398هـ.ش؛</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الصدوق، عيون أخبار الرضا 2: 130، نشر جهان، طهران، 1378هـ.ش؛</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محمد بن محمد (المفيد)، الإرشاد في معرفة حجج الله العباد 1: 175، مؤتمر الشيخ المفيد، قم، 1413هـ؛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علي بن الحسين (المرتضى)، الأمالي 1: 311، دار الفكر العربي، القاهرة، 1998م؛</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محمد بن أحمد النيشابوري، روضة الواعظين 1: 90، منشورات الشريف الرضي، قم، 1375هـ.ش؛</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محمد (ابن شهرآشوب)، مناقب آل أبي طالب 3: 21، منشورات العلاّمة، قم، 1379هـ.ش؛</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علي بن عيسى الإربلي، كشف الغمّة في معرفة الأئمّة 1: 237، منشورات بني هاشم، تبريز، 1381هـ.</w:t>
      </w:r>
    </w:p>
  </w:endnote>
  <w:endnote w:id="336">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جلال الدين السيوطي، الدرّ المنثور في التفسير بالمأثور 2: 298، مكتبة المرعشي النجفي، قم، 1404هـ.</w:t>
      </w:r>
    </w:p>
  </w:endnote>
  <w:endnote w:id="337">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المصدر نفسه.</w:t>
      </w:r>
    </w:p>
  </w:endnote>
  <w:endnote w:id="338">
    <w:p w:rsidR="00DB2356" w:rsidRPr="006571AC" w:rsidRDefault="00DB2356" w:rsidP="00FB4949">
      <w:pPr>
        <w:pStyle w:val="af"/>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لمعرفة المزيد من الروايات راج</w:t>
      </w:r>
      <w:r w:rsidRPr="006571AC">
        <w:rPr>
          <w:rFonts w:asciiTheme="majorHAnsi" w:hAnsiTheme="majorHAnsi" w:cs="DanaFajr" w:hint="cs"/>
          <w:sz w:val="28"/>
          <w:szCs w:val="28"/>
          <w:rtl/>
        </w:rPr>
        <w:t>ِ</w:t>
      </w:r>
      <w:r w:rsidRPr="006571AC">
        <w:rPr>
          <w:rFonts w:asciiTheme="majorHAnsi" w:hAnsiTheme="majorHAnsi" w:cs="DanaFajr"/>
          <w:sz w:val="28"/>
          <w:szCs w:val="28"/>
          <w:rtl/>
        </w:rPr>
        <w:t>ع</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المصادر التالية: السيوطي</w:t>
      </w:r>
      <w:r w:rsidRPr="006571AC">
        <w:rPr>
          <w:rFonts w:asciiTheme="majorHAnsi" w:hAnsiTheme="majorHAnsi" w:cs="DanaFajr" w:hint="cs"/>
          <w:sz w:val="28"/>
          <w:szCs w:val="28"/>
          <w:rtl/>
        </w:rPr>
        <w:t>، الدرّ المنثور</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117</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سليمان بن إبراهيم القندوزي، ينابيع المودة لذوي القربى 1: 119، دار الأسوة، قم، 1416هـ؛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أحمد (ابن مردويه)، مناقب علي بن أبي طالب وما نزل من القرآن في عليّ: 239، دار الحديث، قم، 1422هـ؛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علي بن الحسن (ابن عساكر)، تاريخ مدينة دمشق 2: 85، دار الفكر، بيروت، 1415هـ؛ عبيد الله بن أحمد الحسكاني، شواهد التنـزيل 1: 119، منشورات وزارة الثقافة والإرشاد الإسلامي، طهران، 1411هـ؛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حسن بن محمد النيشابوري، تفسير غرائب القرآن ورغائب الفرقان 6: 194، دار الكتب العلمية، بيروت، 1416هـ؛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أحمد بن إبراهيم الثعلبي، الكشف والبيان عن تفسير القرآن 4: 92، دار إحياء التراث العربي، بيروت، 1422هـ؛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علي بن أحمد الواحدي، أسباب نزول القرآن: 204، دار الكتب العلمية، بيروت، 1411هـ.</w:t>
      </w:r>
    </w:p>
  </w:endnote>
  <w:endnote w:id="339">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فخر الدين محمد بن عمر الرازي، مفاتيح الغيب 12: 401، دار إحياء التراث العربي، بيروت، 1420هـ.</w:t>
      </w:r>
    </w:p>
  </w:endnote>
  <w:endnote w:id="340">
    <w:p w:rsidR="00DB2356" w:rsidRPr="006571AC" w:rsidRDefault="00DB2356" w:rsidP="00FB4949">
      <w:pPr>
        <w:pStyle w:val="af"/>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الصدوق، </w:t>
      </w:r>
      <w:r w:rsidRPr="006571AC">
        <w:rPr>
          <w:rFonts w:asciiTheme="majorHAnsi" w:hAnsiTheme="majorHAnsi" w:cs="DanaFajr"/>
          <w:sz w:val="28"/>
          <w:szCs w:val="28"/>
          <w:rtl/>
        </w:rPr>
        <w:t xml:space="preserve">معاني الأخبار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235</w:t>
      </w:r>
      <w:r w:rsidRPr="006571AC">
        <w:rPr>
          <w:rFonts w:asciiTheme="majorHAnsi" w:hAnsiTheme="majorHAnsi" w:cs="DanaFajr" w:hint="cs"/>
          <w:sz w:val="28"/>
          <w:szCs w:val="28"/>
          <w:rtl/>
        </w:rPr>
        <w:t xml:space="preserve">؛ </w:t>
      </w:r>
      <w:r w:rsidRPr="006571AC">
        <w:rPr>
          <w:rFonts w:asciiTheme="majorHAnsi" w:hAnsiTheme="majorHAnsi" w:cs="DanaFajr"/>
          <w:sz w:val="28"/>
          <w:szCs w:val="28"/>
          <w:rtl/>
        </w:rPr>
        <w:t xml:space="preserve">مسند </w:t>
      </w:r>
      <w:r w:rsidRPr="006571AC">
        <w:rPr>
          <w:rFonts w:asciiTheme="majorHAnsi" w:hAnsiTheme="majorHAnsi" w:cs="DanaFajr" w:hint="cs"/>
          <w:sz w:val="28"/>
          <w:szCs w:val="28"/>
          <w:rtl/>
        </w:rPr>
        <w:t>أ</w:t>
      </w:r>
      <w:r w:rsidRPr="006571AC">
        <w:rPr>
          <w:rFonts w:asciiTheme="majorHAnsi" w:hAnsiTheme="majorHAnsi" w:cs="DanaFajr"/>
          <w:sz w:val="28"/>
          <w:szCs w:val="28"/>
          <w:rtl/>
        </w:rPr>
        <w:t>حمد</w:t>
      </w:r>
      <w:r w:rsidRPr="006571AC">
        <w:rPr>
          <w:rFonts w:asciiTheme="majorHAnsi" w:hAnsiTheme="majorHAnsi" w:cs="DanaFajr" w:hint="cs"/>
          <w:sz w:val="28"/>
          <w:szCs w:val="28"/>
          <w:rtl/>
        </w:rPr>
        <w:t xml:space="preserve"> بن حنبل</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17</w:t>
      </w:r>
      <w:r w:rsidRPr="006571AC">
        <w:rPr>
          <w:rFonts w:asciiTheme="majorHAnsi" w:hAnsiTheme="majorHAnsi" w:cs="DanaFajr" w:hint="cs"/>
          <w:sz w:val="28"/>
          <w:szCs w:val="28"/>
          <w:rtl/>
        </w:rPr>
        <w:t xml:space="preserve">؛ الحاكم النيسابوري، </w:t>
      </w:r>
      <w:r w:rsidRPr="006571AC">
        <w:rPr>
          <w:rFonts w:asciiTheme="majorHAnsi" w:hAnsiTheme="majorHAnsi" w:cs="DanaFajr"/>
          <w:sz w:val="28"/>
          <w:szCs w:val="28"/>
          <w:rtl/>
        </w:rPr>
        <w:t xml:space="preserve">المستدرك على الصحيحين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109</w:t>
      </w:r>
      <w:r w:rsidRPr="006571AC">
        <w:rPr>
          <w:rFonts w:asciiTheme="majorHAnsi" w:hAnsiTheme="majorHAnsi" w:cs="DanaFajr" w:hint="cs"/>
          <w:sz w:val="28"/>
          <w:szCs w:val="28"/>
          <w:rtl/>
        </w:rPr>
        <w:t>.</w:t>
      </w:r>
    </w:p>
  </w:endnote>
  <w:endnote w:id="341">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عبد الله جوادي الآملي، التسنيم في تفسير القرآن 23: 288، منشورات الإسراء، قم، 1390هـ.ش؛ حامد ضياء فر، شرح وتوضيح مفهوم آية التبليغ على أساس مدلول السياق: 23، 1397هـ.ش.</w:t>
      </w:r>
    </w:p>
  </w:endnote>
  <w:endnote w:id="342">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sz w:val="28"/>
          <w:szCs w:val="28"/>
          <w:rtl/>
        </w:rPr>
        <w:t xml:space="preserve">منهاج السُنّة </w:t>
      </w:r>
      <w:r w:rsidRPr="006571AC">
        <w:rPr>
          <w:rFonts w:ascii="Sakkal Majalla" w:hAnsi="Sakkal Majalla" w:cs="DanaFajr" w:hint="cs"/>
          <w:sz w:val="28"/>
          <w:szCs w:val="28"/>
          <w:rtl/>
        </w:rPr>
        <w:t>7</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33</w:t>
      </w:r>
      <w:r w:rsidRPr="006571AC">
        <w:rPr>
          <w:rFonts w:cs="DanaFajr" w:hint="cs"/>
          <w:sz w:val="28"/>
          <w:szCs w:val="28"/>
          <w:rtl/>
        </w:rPr>
        <w:t>.</w:t>
      </w:r>
    </w:p>
  </w:endnote>
  <w:endnote w:id="343">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علي الميلاني، تشديد المراجعات وتنفيد المكابرات 2: 260، مركز الحقائق الإسلامية، قم، 1427هـ.</w:t>
      </w:r>
    </w:p>
  </w:endnote>
  <w:endnote w:id="344">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المصدر نفسه.</w:t>
      </w:r>
    </w:p>
  </w:endnote>
  <w:endnote w:id="345">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محمود الآلوسي، روح المعاني في تفسير القرآن العظيم 3: 360، دار الكتب العلمية، بيروت، 1415هـ.</w:t>
      </w:r>
    </w:p>
  </w:endnote>
  <w:endnote w:id="346">
    <w:p w:rsidR="00DB2356" w:rsidRPr="006571AC" w:rsidRDefault="00DB2356" w:rsidP="00FB4949">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المصدر السابق</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361</w:t>
      </w:r>
      <w:r w:rsidRPr="006571AC">
        <w:rPr>
          <w:rFonts w:cs="DanaFajr" w:hint="cs"/>
          <w:sz w:val="28"/>
          <w:szCs w:val="28"/>
          <w:rtl/>
        </w:rPr>
        <w:t>.</w:t>
      </w:r>
    </w:p>
  </w:endnote>
  <w:endnote w:id="347">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المصدر نفسه.</w:t>
      </w:r>
    </w:p>
  </w:endnote>
  <w:endnote w:id="348">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المصدر السابق</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362</w:t>
      </w:r>
      <w:r w:rsidRPr="006571AC">
        <w:rPr>
          <w:rFonts w:cs="DanaFajr" w:hint="cs"/>
          <w:sz w:val="28"/>
          <w:szCs w:val="28"/>
          <w:rtl/>
        </w:rPr>
        <w:t>.</w:t>
      </w:r>
    </w:p>
  </w:endnote>
  <w:endnote w:id="349">
    <w:p w:rsidR="00DB2356" w:rsidRPr="006571AC" w:rsidRDefault="00DB2356" w:rsidP="00FB4949">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المصدر السابق</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361</w:t>
      </w:r>
      <w:r w:rsidRPr="006571AC">
        <w:rPr>
          <w:rFonts w:cs="DanaFajr" w:hint="cs"/>
          <w:sz w:val="28"/>
          <w:szCs w:val="28"/>
          <w:rtl/>
        </w:rPr>
        <w:t>.</w:t>
      </w:r>
    </w:p>
  </w:endnote>
  <w:endnote w:id="350">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29</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459</w:t>
      </w:r>
      <w:r w:rsidRPr="006571AC">
        <w:rPr>
          <w:rFonts w:asciiTheme="majorHAnsi" w:hAnsiTheme="majorHAnsi" w:cs="DanaFajr" w:hint="cs"/>
          <w:sz w:val="28"/>
          <w:szCs w:val="28"/>
          <w:rtl/>
        </w:rPr>
        <w:t>.</w:t>
      </w:r>
    </w:p>
  </w:endnote>
  <w:endnote w:id="351">
    <w:p w:rsidR="00DB2356" w:rsidRPr="006571AC" w:rsidRDefault="00DB2356" w:rsidP="00FB4949">
      <w:pPr>
        <w:pStyle w:val="aa"/>
        <w:spacing w:line="306" w:lineRule="exact"/>
        <w:ind w:firstLine="0"/>
        <w:rPr>
          <w:rFonts w:cs="DanaFajr"/>
          <w:sz w:val="28"/>
          <w:szCs w:val="28"/>
          <w:rtl/>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أبو حيّان الأندلسي، </w:t>
      </w:r>
      <w:r w:rsidRPr="006571AC">
        <w:rPr>
          <w:rFonts w:asciiTheme="majorHAnsi" w:hAnsiTheme="majorHAnsi" w:cs="DanaFajr"/>
          <w:sz w:val="28"/>
          <w:szCs w:val="28"/>
          <w:rtl/>
        </w:rPr>
        <w:t xml:space="preserve">البحر المحيط في التفسير </w:t>
      </w:r>
      <w:r w:rsidRPr="006571AC">
        <w:rPr>
          <w:rFonts w:ascii="Sakkal Majalla" w:hAnsi="Sakkal Majalla" w:cs="DanaFajr" w:hint="cs"/>
          <w:sz w:val="28"/>
          <w:szCs w:val="28"/>
          <w:rtl/>
        </w:rPr>
        <w:t>5</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433</w:t>
      </w:r>
      <w:r w:rsidRPr="006571AC">
        <w:rPr>
          <w:rFonts w:cs="DanaFajr" w:hint="cs"/>
          <w:sz w:val="28"/>
          <w:szCs w:val="28"/>
          <w:rtl/>
        </w:rPr>
        <w:t>.</w:t>
      </w:r>
    </w:p>
  </w:endnote>
  <w:endnote w:id="352">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29</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459</w:t>
      </w:r>
    </w:p>
  </w:endnote>
  <w:endnote w:id="353">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السيوطي، </w:t>
      </w:r>
      <w:r w:rsidRPr="006571AC">
        <w:rPr>
          <w:rFonts w:asciiTheme="majorHAnsi" w:hAnsiTheme="majorHAnsi" w:cs="DanaFajr"/>
          <w:sz w:val="28"/>
          <w:szCs w:val="28"/>
          <w:rtl/>
        </w:rPr>
        <w:t xml:space="preserve">المزهر في اللغة </w:t>
      </w:r>
      <w:r w:rsidRPr="006571AC">
        <w:rPr>
          <w:rFonts w:ascii="Sakkal Majalla" w:hAnsi="Sakkal Majalla" w:cs="DanaFajr" w:hint="cs"/>
          <w:sz w:val="28"/>
          <w:szCs w:val="28"/>
          <w:rtl/>
        </w:rPr>
        <w:t>1</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101</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نقلا</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عن</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نفحات ال</w:t>
      </w:r>
      <w:r w:rsidRPr="006571AC">
        <w:rPr>
          <w:rFonts w:asciiTheme="majorHAnsi" w:hAnsiTheme="majorHAnsi" w:cs="DanaFajr" w:hint="cs"/>
          <w:sz w:val="28"/>
          <w:szCs w:val="28"/>
          <w:rtl/>
        </w:rPr>
        <w:t>أ</w:t>
      </w:r>
      <w:r w:rsidRPr="006571AC">
        <w:rPr>
          <w:rFonts w:asciiTheme="majorHAnsi" w:hAnsiTheme="majorHAnsi" w:cs="DanaFajr"/>
          <w:sz w:val="28"/>
          <w:szCs w:val="28"/>
          <w:rtl/>
        </w:rPr>
        <w:t>زهار</w:t>
      </w:r>
      <w:r w:rsidRPr="006571AC">
        <w:rPr>
          <w:rFonts w:cs="DanaFajr" w:hint="cs"/>
          <w:sz w:val="28"/>
          <w:szCs w:val="28"/>
          <w:rtl/>
        </w:rPr>
        <w:t>.</w:t>
      </w:r>
    </w:p>
  </w:endnote>
  <w:endnote w:id="354">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asciiTheme="majorHAnsi" w:hAnsiTheme="majorHAnsi" w:cs="DanaFajr" w:hint="cs"/>
          <w:sz w:val="28"/>
          <w:szCs w:val="28"/>
          <w:rtl/>
        </w:rPr>
        <w:t xml:space="preserve"> إسماعيل بن حماد الجوهري، الصحاح 6: 29، دار الكتب للملايين، بيروت.</w:t>
      </w:r>
    </w:p>
  </w:endnote>
  <w:endnote w:id="355">
    <w:p w:rsidR="00DB2356" w:rsidRPr="006571AC" w:rsidRDefault="00DB2356" w:rsidP="00FB4949">
      <w:pPr>
        <w:pStyle w:val="aa"/>
        <w:spacing w:line="306" w:lineRule="exact"/>
        <w:ind w:firstLine="0"/>
        <w:rPr>
          <w:rFonts w:asciiTheme="majorHAnsi" w:hAnsiTheme="majorHAnsi" w:cs="DanaFajr"/>
          <w:sz w:val="28"/>
          <w:szCs w:val="28"/>
          <w:rtl/>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حسين بن مسعود البغوي، معالم التنـزيل في تفسير القرآن 5: 30، دار إحياء التراث العربي، بيروت، 1420هـ.</w:t>
      </w:r>
    </w:p>
  </w:endnote>
  <w:endnote w:id="356">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محمود الزمخشري، الكشّاف عن حقائق غوامض التنـزيل 4: 476، دار الكتب العربي، بيروت، 1407هـ.</w:t>
      </w:r>
    </w:p>
  </w:endnote>
  <w:endnote w:id="357">
    <w:p w:rsidR="00DB2356" w:rsidRPr="006571AC" w:rsidRDefault="00DB2356" w:rsidP="00FB4949">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محمود الزمخشري، أساس البلاغة: 689، دار صادر، بيروت، 1979م.</w:t>
      </w:r>
    </w:p>
  </w:endnote>
  <w:endnote w:id="358">
    <w:p w:rsidR="00DB2356" w:rsidRPr="006571AC" w:rsidRDefault="00DB2356" w:rsidP="00FB4949">
      <w:pPr>
        <w:pStyle w:val="aa"/>
        <w:spacing w:line="306" w:lineRule="exact"/>
        <w:ind w:firstLine="0"/>
        <w:rPr>
          <w:rFonts w:asciiTheme="majorHAnsi" w:hAnsiTheme="majorHAnsi"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الزمخشري، الكشّاف عن حقائق غوامض التنـزيل</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565</w:t>
      </w:r>
      <w:r w:rsidRPr="006571AC">
        <w:rPr>
          <w:rFonts w:asciiTheme="majorHAnsi" w:hAnsiTheme="majorHAnsi" w:cs="DanaFajr" w:hint="cs"/>
          <w:sz w:val="28"/>
          <w:szCs w:val="28"/>
          <w:rtl/>
        </w:rPr>
        <w:t>.</w:t>
      </w:r>
    </w:p>
  </w:endnote>
  <w:endnote w:id="359">
    <w:p w:rsidR="00DB2356" w:rsidRPr="006571AC" w:rsidRDefault="00DB2356" w:rsidP="00FB4949">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 xml:space="preserve">النيشابوري، </w:t>
      </w:r>
      <w:r w:rsidRPr="006571AC">
        <w:rPr>
          <w:rFonts w:asciiTheme="majorHAnsi" w:hAnsiTheme="majorHAnsi" w:cs="DanaFajr"/>
          <w:sz w:val="28"/>
          <w:szCs w:val="28"/>
          <w:rtl/>
        </w:rPr>
        <w:t xml:space="preserve">تفسير غرائب القرآن ورغائب الفرقان </w:t>
      </w:r>
      <w:r w:rsidRPr="006571AC">
        <w:rPr>
          <w:rFonts w:ascii="Sakkal Majalla" w:hAnsi="Sakkal Majalla" w:cs="DanaFajr" w:hint="cs"/>
          <w:sz w:val="28"/>
          <w:szCs w:val="28"/>
          <w:rtl/>
        </w:rPr>
        <w:t>6</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256</w:t>
      </w:r>
      <w:r w:rsidRPr="006571AC">
        <w:rPr>
          <w:rFonts w:cs="DanaFajr" w:hint="cs"/>
          <w:sz w:val="28"/>
          <w:szCs w:val="28"/>
          <w:rtl/>
        </w:rPr>
        <w:t>.</w:t>
      </w:r>
    </w:p>
  </w:endnote>
  <w:endnote w:id="360">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cs="DanaFajr" w:hint="cs"/>
          <w:sz w:val="28"/>
          <w:szCs w:val="28"/>
          <w:rtl/>
        </w:rPr>
        <w:t xml:space="preserve"> عبد الله بن عمر البيضاوي، أنوار التنـزيل وأسرار التأويل 5: 187، دار إحياء التراث العربي، بيروت، 1418هـ. </w:t>
      </w:r>
    </w:p>
  </w:endnote>
  <w:endnote w:id="361">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Cs w:val="28"/>
          <w:rtl/>
        </w:rPr>
        <w:t>سعد الدين التفتازاني، شرح المقاصد 5: 273، منشورات الشريف الرضي، قم، 1409هـ؛ مير سيد شريف الإيجي، شرح المواقف 8: 361، منشورات الشريف الرضي، قم، 1425هـ.</w:t>
      </w:r>
    </w:p>
  </w:endnote>
  <w:endnote w:id="362">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Cs w:val="28"/>
          <w:rtl/>
        </w:rPr>
        <w:t>عز الدين ابن الأثير، أسد الغابة في معرفة الصحابة 5: 131، دار الفكر، بيروت، 1409هـ؛ إسماعيل بن عمر (ابن كثير)، البداية والنهاية 5: 210، دار الفكر، بيروت، 1407هـ.</w:t>
      </w:r>
    </w:p>
  </w:endnote>
  <w:endnote w:id="363">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w:t>
      </w:r>
      <w:r w:rsidRPr="006571AC">
        <w:rPr>
          <w:rFonts w:asciiTheme="majorHAnsi" w:hAnsiTheme="majorHAnsi" w:cs="DanaFajr"/>
          <w:sz w:val="28"/>
          <w:szCs w:val="28"/>
          <w:rtl/>
        </w:rPr>
        <w:t xml:space="preserve">البداية والنهاية </w:t>
      </w:r>
      <w:r w:rsidRPr="006571AC">
        <w:rPr>
          <w:rFonts w:asciiTheme="majorHAnsi" w:hAnsiTheme="majorHAnsi" w:cs="DanaFajr" w:hint="cs"/>
          <w:sz w:val="28"/>
          <w:szCs w:val="28"/>
          <w:rtl/>
        </w:rPr>
        <w:t>(</w:t>
      </w:r>
      <w:r w:rsidRPr="006571AC">
        <w:rPr>
          <w:rFonts w:asciiTheme="majorHAnsi" w:hAnsiTheme="majorHAnsi" w:cs="DanaFajr"/>
          <w:sz w:val="28"/>
          <w:szCs w:val="28"/>
          <w:rtl/>
        </w:rPr>
        <w:t>المخطوط</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7</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349</w:t>
      </w:r>
      <w:r w:rsidRPr="006571AC">
        <w:rPr>
          <w:rFonts w:cs="DanaFajr" w:hint="cs"/>
          <w:sz w:val="28"/>
          <w:szCs w:val="28"/>
          <w:rtl/>
        </w:rPr>
        <w:t>.</w:t>
      </w:r>
    </w:p>
  </w:endnote>
  <w:endnote w:id="364">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 xml:space="preserve">ابن كثير، </w:t>
      </w:r>
      <w:r w:rsidRPr="006571AC">
        <w:rPr>
          <w:rFonts w:asciiTheme="majorHAnsi" w:hAnsiTheme="majorHAnsi" w:cs="DanaFajr"/>
          <w:sz w:val="28"/>
          <w:szCs w:val="28"/>
          <w:rtl/>
        </w:rPr>
        <w:t>البداية و</w:t>
      </w:r>
      <w:r w:rsidRPr="006571AC">
        <w:rPr>
          <w:rFonts w:asciiTheme="majorHAnsi" w:hAnsiTheme="majorHAnsi" w:cs="DanaFajr" w:hint="cs"/>
          <w:sz w:val="28"/>
          <w:szCs w:val="28"/>
          <w:rtl/>
        </w:rPr>
        <w:t>ال</w:t>
      </w:r>
      <w:r w:rsidRPr="006571AC">
        <w:rPr>
          <w:rFonts w:asciiTheme="majorHAnsi" w:hAnsiTheme="majorHAnsi" w:cs="DanaFajr"/>
          <w:sz w:val="28"/>
          <w:szCs w:val="28"/>
          <w:rtl/>
        </w:rPr>
        <w:t xml:space="preserve">نهاية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366</w:t>
      </w:r>
      <w:r w:rsidRPr="006571AC">
        <w:rPr>
          <w:rFonts w:asciiTheme="majorHAnsi" w:hAnsiTheme="majorHAnsi" w:cs="DanaFajr" w:hint="cs"/>
          <w:sz w:val="28"/>
          <w:szCs w:val="28"/>
          <w:rtl/>
        </w:rPr>
        <w:t xml:space="preserve">؛ </w:t>
      </w:r>
      <w:r w:rsidRPr="006571AC">
        <w:rPr>
          <w:rFonts w:cs="DanaFajr" w:hint="cs"/>
          <w:sz w:val="28"/>
          <w:szCs w:val="28"/>
          <w:rtl/>
        </w:rPr>
        <w:t>أحمد بن علي (ابن حجر العسقلاني)، الإصابة في تمييز الصحابة 7: 136، دار الكتب العلمية، بيروت، 1415هـ.</w:t>
      </w:r>
    </w:p>
  </w:endnote>
  <w:endnote w:id="365">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asciiTheme="majorHAnsi" w:hAnsiTheme="majorHAnsi" w:cs="DanaFajr" w:hint="cs"/>
          <w:sz w:val="28"/>
          <w:szCs w:val="28"/>
          <w:rtl/>
        </w:rPr>
        <w:t xml:space="preserve"> مير حامد حسين،</w:t>
      </w:r>
      <w:r w:rsidRPr="006571AC">
        <w:rPr>
          <w:rFonts w:asciiTheme="majorHAnsi" w:hAnsiTheme="majorHAnsi" w:cs="DanaFajr"/>
          <w:sz w:val="28"/>
          <w:szCs w:val="28"/>
          <w:rtl/>
        </w:rPr>
        <w:t xml:space="preserve"> نفحات ال</w:t>
      </w:r>
      <w:r w:rsidRPr="006571AC">
        <w:rPr>
          <w:rFonts w:asciiTheme="majorHAnsi" w:hAnsiTheme="majorHAnsi" w:cs="DanaFajr" w:hint="cs"/>
          <w:sz w:val="28"/>
          <w:szCs w:val="28"/>
          <w:rtl/>
        </w:rPr>
        <w:t>أ</w:t>
      </w:r>
      <w:r w:rsidRPr="006571AC">
        <w:rPr>
          <w:rFonts w:asciiTheme="majorHAnsi" w:hAnsiTheme="majorHAnsi" w:cs="DanaFajr"/>
          <w:sz w:val="28"/>
          <w:szCs w:val="28"/>
          <w:rtl/>
        </w:rPr>
        <w:t>زهار</w:t>
      </w:r>
      <w:r w:rsidRPr="006571AC">
        <w:rPr>
          <w:rFonts w:ascii="Sakkal Majalla" w:hAnsi="Sakkal Majalla" w:hint="cs"/>
          <w:sz w:val="16"/>
          <w:szCs w:val="16"/>
          <w:rtl/>
        </w:rPr>
        <w:t xml:space="preserve"> </w:t>
      </w:r>
      <w:r w:rsidRPr="006571AC">
        <w:rPr>
          <w:rFonts w:asciiTheme="majorHAnsi" w:hAnsiTheme="majorHAnsi" w:cs="DanaFajr" w:hint="cs"/>
          <w:sz w:val="28"/>
          <w:szCs w:val="28"/>
          <w:rtl/>
        </w:rPr>
        <w:t>وعبقات الأنوار في إمامة الأئمة الأطهار 7: 194، مكتبة أمير المؤمنين</w:t>
      </w:r>
      <w:r w:rsidRPr="006571AC">
        <w:rPr>
          <w:rFonts w:ascii="Mosawi" w:hAnsi="Mosawi" w:cs="Mosawi"/>
          <w:rtl/>
        </w:rPr>
        <w:t>×</w:t>
      </w:r>
      <w:r w:rsidRPr="006571AC">
        <w:rPr>
          <w:rFonts w:asciiTheme="majorHAnsi" w:hAnsiTheme="majorHAnsi" w:cs="DanaFajr" w:hint="cs"/>
          <w:sz w:val="28"/>
          <w:szCs w:val="28"/>
          <w:rtl/>
        </w:rPr>
        <w:t>، إصفهان، 1366هـ.ش.</w:t>
      </w:r>
    </w:p>
  </w:endnote>
  <w:endnote w:id="366">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ناصر مكارم الشيرازي، الأمثل في تفسير كتاب الله المنـْزَل 4: 99، مدرسة الإمام عليّ بن أبي طالب</w:t>
      </w:r>
      <w:r w:rsidRPr="006571AC">
        <w:rPr>
          <w:rFonts w:ascii="Mosawi" w:hAnsi="Mosawi" w:cs="Mosawi"/>
          <w:rtl/>
        </w:rPr>
        <w:t>×</w:t>
      </w:r>
      <w:r w:rsidRPr="006571AC">
        <w:rPr>
          <w:rFonts w:asciiTheme="majorHAnsi" w:hAnsiTheme="majorHAnsi" w:cs="DanaFajr" w:hint="cs"/>
          <w:sz w:val="28"/>
          <w:szCs w:val="28"/>
          <w:rtl/>
        </w:rPr>
        <w:t>، قم، 1421هـ.</w:t>
      </w:r>
    </w:p>
  </w:endnote>
  <w:endnote w:id="367">
    <w:p w:rsidR="00DB2356" w:rsidRPr="006571AC" w:rsidRDefault="00DB2356" w:rsidP="008A57EC">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حسن مصطفوي، التحقيق في كلمات القرآن 10: 81، مؤسسة ترجمة ونشر الكتاب، طهران، 1360هـ.ش.</w:t>
      </w:r>
    </w:p>
  </w:endnote>
  <w:endnote w:id="368">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 xml:space="preserve">مكارم الشيرازي، </w:t>
      </w:r>
      <w:r w:rsidRPr="006571AC">
        <w:rPr>
          <w:rFonts w:asciiTheme="majorHAnsi" w:hAnsiTheme="majorHAnsi" w:cs="DanaFajr"/>
          <w:sz w:val="28"/>
          <w:szCs w:val="28"/>
          <w:rtl/>
        </w:rPr>
        <w:t>الأمثل في تفسير كتاب الله المن</w:t>
      </w:r>
      <w:r w:rsidRPr="006571AC">
        <w:rPr>
          <w:rFonts w:asciiTheme="majorHAnsi" w:hAnsiTheme="majorHAnsi" w:cs="DanaFajr" w:hint="cs"/>
          <w:sz w:val="28"/>
          <w:szCs w:val="28"/>
          <w:rtl/>
        </w:rPr>
        <w:t>ـْ</w:t>
      </w:r>
      <w:r w:rsidRPr="006571AC">
        <w:rPr>
          <w:rFonts w:asciiTheme="majorHAnsi" w:hAnsiTheme="majorHAnsi" w:cs="DanaFajr"/>
          <w:sz w:val="28"/>
          <w:szCs w:val="28"/>
          <w:rtl/>
        </w:rPr>
        <w:t>ز</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ل </w:t>
      </w:r>
      <w:r w:rsidRPr="006571AC">
        <w:rPr>
          <w:rFonts w:ascii="Sakkal Majalla" w:hAnsi="Sakkal Majalla" w:cs="DanaFajr" w:hint="cs"/>
          <w:sz w:val="28"/>
          <w:szCs w:val="28"/>
          <w:rtl/>
        </w:rPr>
        <w:t>4</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99</w:t>
      </w:r>
      <w:r w:rsidRPr="006571AC">
        <w:rPr>
          <w:rFonts w:cs="DanaFajr" w:hint="cs"/>
          <w:sz w:val="28"/>
          <w:szCs w:val="28"/>
          <w:rtl/>
        </w:rPr>
        <w:t>.</w:t>
      </w:r>
    </w:p>
  </w:endnote>
  <w:endnote w:id="369">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فتح الله نجّار </w:t>
      </w:r>
      <w:r w:rsidRPr="006571AC">
        <w:rPr>
          <w:rFonts w:ascii="Mosawi" w:hAnsi="Mosawi" w:cs="Abz-3 (Yagut)" w:hint="cs"/>
          <w:rtl/>
          <w:lang w:val="x-none" w:eastAsia="x-none"/>
        </w:rPr>
        <w:t>زادگان</w:t>
      </w:r>
      <w:r w:rsidRPr="006571AC">
        <w:rPr>
          <w:rFonts w:cs="DanaFajr" w:hint="cs"/>
          <w:sz w:val="28"/>
          <w:szCs w:val="28"/>
          <w:rtl/>
        </w:rPr>
        <w:t>، دراسة تطبيقية لآيات الولاية على ضوء المدرستين: 243، منشورات سبحان، قم، 1390هـ.ش.</w:t>
      </w:r>
    </w:p>
  </w:endnote>
  <w:endnote w:id="370">
    <w:p w:rsidR="00DB2356" w:rsidRPr="006571AC" w:rsidRDefault="00DB2356" w:rsidP="00FB4949">
      <w:pPr>
        <w:spacing w:line="306" w:lineRule="exact"/>
        <w:ind w:firstLine="0"/>
        <w:rPr>
          <w:rFonts w:asciiTheme="majorHAnsi" w:hAnsiTheme="majorHAnsi" w:cs="DanaFajr"/>
          <w:szCs w:val="28"/>
        </w:rPr>
      </w:pPr>
      <w:r w:rsidRPr="006571AC">
        <w:rPr>
          <w:rFonts w:asciiTheme="majorHAnsi" w:hAnsiTheme="majorHAnsi" w:cs="DanaFajr"/>
          <w:szCs w:val="28"/>
          <w:rtl/>
        </w:rPr>
        <w:t>(</w:t>
      </w:r>
      <w:r w:rsidRPr="006571AC">
        <w:rPr>
          <w:rStyle w:val="ac"/>
          <w:rFonts w:asciiTheme="majorHAnsi" w:hAnsiTheme="majorHAnsi" w:cs="DanaFajr"/>
          <w:szCs w:val="28"/>
          <w:vertAlign w:val="baseline"/>
        </w:rPr>
        <w:endnoteRef/>
      </w:r>
      <w:r w:rsidRPr="006571AC">
        <w:rPr>
          <w:rFonts w:asciiTheme="majorHAnsi" w:hAnsiTheme="majorHAnsi" w:cs="DanaFajr"/>
          <w:szCs w:val="28"/>
          <w:rtl/>
        </w:rPr>
        <w:t>)</w:t>
      </w:r>
      <w:r w:rsidRPr="006571AC">
        <w:rPr>
          <w:rFonts w:asciiTheme="majorHAnsi" w:hAnsiTheme="majorHAnsi" w:cs="DanaFajr" w:hint="cs"/>
          <w:szCs w:val="28"/>
          <w:rtl/>
        </w:rPr>
        <w:t xml:space="preserve"> وهبة الزحيلي، التفسير المنير في العقيدة والشريعة والمنهج 6: 261، دار المعرفة، بيروت، 1418هـ؛</w:t>
      </w:r>
      <w:r w:rsidRPr="006571AC">
        <w:rPr>
          <w:rFonts w:asciiTheme="majorHAnsi" w:hAnsiTheme="majorHAnsi" w:cs="DanaFajr"/>
          <w:szCs w:val="28"/>
          <w:rtl/>
        </w:rPr>
        <w:t xml:space="preserve"> </w:t>
      </w:r>
      <w:r w:rsidRPr="006571AC">
        <w:rPr>
          <w:rFonts w:asciiTheme="majorHAnsi" w:hAnsiTheme="majorHAnsi" w:cs="DanaFajr" w:hint="cs"/>
          <w:szCs w:val="28"/>
          <w:rtl/>
        </w:rPr>
        <w:t xml:space="preserve">محمد بن جرير الطبري، جامع البيان في تفسير القرآن 6: 198، دار المعرفة، بيروت، 1412هـ؛ الزمخشري، </w:t>
      </w:r>
      <w:r w:rsidRPr="006571AC">
        <w:rPr>
          <w:rFonts w:asciiTheme="majorHAnsi" w:hAnsiTheme="majorHAnsi" w:cs="DanaFajr"/>
          <w:szCs w:val="28"/>
          <w:rtl/>
        </w:rPr>
        <w:t>الكش</w:t>
      </w:r>
      <w:r w:rsidRPr="006571AC">
        <w:rPr>
          <w:rFonts w:asciiTheme="majorHAnsi" w:hAnsiTheme="majorHAnsi" w:cs="DanaFajr" w:hint="cs"/>
          <w:szCs w:val="28"/>
          <w:rtl/>
        </w:rPr>
        <w:t>ّ</w:t>
      </w:r>
      <w:r w:rsidRPr="006571AC">
        <w:rPr>
          <w:rFonts w:asciiTheme="majorHAnsi" w:hAnsiTheme="majorHAnsi" w:cs="DanaFajr"/>
          <w:szCs w:val="28"/>
          <w:rtl/>
        </w:rPr>
        <w:t xml:space="preserve">اف </w:t>
      </w:r>
      <w:r w:rsidRPr="006571AC">
        <w:rPr>
          <w:rFonts w:ascii="Sakkal Majalla" w:hAnsi="Sakkal Majalla" w:cs="DanaFajr" w:hint="cs"/>
          <w:szCs w:val="28"/>
          <w:rtl/>
        </w:rPr>
        <w:t>1</w:t>
      </w:r>
      <w:r w:rsidRPr="006571AC">
        <w:rPr>
          <w:rFonts w:asciiTheme="majorHAnsi" w:hAnsiTheme="majorHAnsi" w:cs="DanaFajr"/>
          <w:szCs w:val="28"/>
          <w:rtl/>
        </w:rPr>
        <w:t xml:space="preserve">: </w:t>
      </w:r>
      <w:r w:rsidRPr="006571AC">
        <w:rPr>
          <w:rFonts w:ascii="Sakkal Majalla" w:hAnsi="Sakkal Majalla" w:cs="DanaFajr" w:hint="cs"/>
          <w:szCs w:val="28"/>
          <w:rtl/>
        </w:rPr>
        <w:t>658</w:t>
      </w:r>
      <w:r w:rsidRPr="006571AC">
        <w:rPr>
          <w:rFonts w:asciiTheme="majorHAnsi" w:hAnsiTheme="majorHAnsi" w:cs="DanaFajr" w:hint="cs"/>
          <w:szCs w:val="28"/>
          <w:rtl/>
        </w:rPr>
        <w:t>.</w:t>
      </w:r>
    </w:p>
  </w:endnote>
  <w:endnote w:id="371">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cs="DanaFajr" w:hint="cs"/>
          <w:sz w:val="28"/>
          <w:szCs w:val="28"/>
          <w:rtl/>
        </w:rPr>
        <w:t xml:space="preserve"> محمد حسين الطباطبائي، الميزان في تفسير القرآن 6: 44، مؤسسة النشر الإسلامي، قم، 1417هـ.</w:t>
      </w:r>
    </w:p>
  </w:endnote>
  <w:endnote w:id="372">
    <w:p w:rsidR="00DB2356" w:rsidRPr="006571AC" w:rsidRDefault="00DB2356" w:rsidP="00FB4949">
      <w:pPr>
        <w:pStyle w:val="aa"/>
        <w:spacing w:line="306" w:lineRule="exact"/>
        <w:ind w:firstLine="0"/>
        <w:rPr>
          <w:rFonts w:asciiTheme="majorHAnsi" w:hAnsiTheme="majorHAnsi" w:cs="DanaFajr"/>
          <w:sz w:val="28"/>
          <w:szCs w:val="28"/>
          <w:rtl/>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مقاتل بن سليمان البلخي، تفسير مقاتل بن سليمان 1: 492، دار إحياء التراث العربي، بيروت، 1423هـ.</w:t>
      </w:r>
    </w:p>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وقد ذكر هذا القول بعض مفس</w:t>
      </w:r>
      <w:r w:rsidRPr="006571AC">
        <w:rPr>
          <w:rFonts w:asciiTheme="majorHAnsi" w:hAnsiTheme="majorHAnsi" w:cs="DanaFajr" w:hint="cs"/>
          <w:sz w:val="28"/>
          <w:szCs w:val="28"/>
          <w:rtl/>
        </w:rPr>
        <w:t>ِّ</w:t>
      </w:r>
      <w:r w:rsidRPr="006571AC">
        <w:rPr>
          <w:rFonts w:asciiTheme="majorHAnsi" w:hAnsiTheme="majorHAnsi" w:cs="DanaFajr"/>
          <w:sz w:val="28"/>
          <w:szCs w:val="28"/>
          <w:rtl/>
        </w:rPr>
        <w:t>ري العامة</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منهم</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الطبري، </w:t>
      </w:r>
      <w:r w:rsidRPr="006571AC">
        <w:rPr>
          <w:rFonts w:asciiTheme="majorHAnsi" w:hAnsiTheme="majorHAnsi" w:cs="DanaFajr"/>
          <w:sz w:val="28"/>
          <w:szCs w:val="28"/>
          <w:rtl/>
        </w:rPr>
        <w:t xml:space="preserve">جامع البيان في تفسير القرآن </w:t>
      </w:r>
      <w:r w:rsidRPr="006571AC">
        <w:rPr>
          <w:rFonts w:ascii="Sakkal Majalla" w:hAnsi="Sakkal Majalla" w:cs="DanaFajr" w:hint="cs"/>
          <w:sz w:val="28"/>
          <w:szCs w:val="28"/>
          <w:rtl/>
        </w:rPr>
        <w:t>6</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198</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12</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400</w:t>
      </w:r>
      <w:r w:rsidRPr="006571AC">
        <w:rPr>
          <w:rFonts w:asciiTheme="majorHAnsi" w:hAnsiTheme="majorHAnsi" w:cs="DanaFajr" w:hint="cs"/>
          <w:sz w:val="28"/>
          <w:szCs w:val="28"/>
          <w:rtl/>
        </w:rPr>
        <w:t xml:space="preserve">؛ البغوي، </w:t>
      </w:r>
      <w:r w:rsidRPr="006571AC">
        <w:rPr>
          <w:rFonts w:asciiTheme="majorHAnsi" w:hAnsiTheme="majorHAnsi" w:cs="DanaFajr"/>
          <w:sz w:val="28"/>
          <w:szCs w:val="28"/>
          <w:rtl/>
        </w:rPr>
        <w:t>معالم التن</w:t>
      </w:r>
      <w:r w:rsidRPr="006571AC">
        <w:rPr>
          <w:rFonts w:asciiTheme="majorHAnsi" w:hAnsiTheme="majorHAnsi" w:cs="DanaFajr" w:hint="cs"/>
          <w:sz w:val="28"/>
          <w:szCs w:val="28"/>
          <w:rtl/>
        </w:rPr>
        <w:t>ـ</w:t>
      </w:r>
      <w:r w:rsidRPr="006571AC">
        <w:rPr>
          <w:rFonts w:asciiTheme="majorHAnsi" w:hAnsiTheme="majorHAnsi" w:cs="DanaFajr"/>
          <w:sz w:val="28"/>
          <w:szCs w:val="28"/>
          <w:rtl/>
        </w:rPr>
        <w:t xml:space="preserve">زيل في تفسير القرآن </w:t>
      </w:r>
      <w:r w:rsidRPr="006571AC">
        <w:rPr>
          <w:rFonts w:ascii="Sakkal Majalla" w:hAnsi="Sakkal Majalla" w:cs="DanaFajr" w:hint="cs"/>
          <w:sz w:val="28"/>
          <w:szCs w:val="28"/>
          <w:rtl/>
        </w:rPr>
        <w:t>2</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68</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الثعلبي، </w:t>
      </w:r>
      <w:r w:rsidRPr="006571AC">
        <w:rPr>
          <w:rFonts w:asciiTheme="majorHAnsi" w:hAnsiTheme="majorHAnsi" w:cs="DanaFajr"/>
          <w:sz w:val="28"/>
          <w:szCs w:val="28"/>
          <w:rtl/>
        </w:rPr>
        <w:t xml:space="preserve">الكشف والبيان عن تفسير القرآن </w:t>
      </w:r>
      <w:r w:rsidRPr="006571AC">
        <w:rPr>
          <w:rFonts w:ascii="Sakkal Majalla" w:hAnsi="Sakkal Majalla" w:cs="DanaFajr" w:hint="cs"/>
          <w:sz w:val="28"/>
          <w:szCs w:val="28"/>
          <w:rtl/>
        </w:rPr>
        <w:t>4</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91</w:t>
      </w:r>
      <w:r w:rsidRPr="006571AC">
        <w:rPr>
          <w:rFonts w:asciiTheme="majorHAnsi" w:hAnsiTheme="majorHAnsi" w:cs="DanaFajr" w:hint="cs"/>
          <w:sz w:val="28"/>
          <w:szCs w:val="28"/>
          <w:rtl/>
        </w:rPr>
        <w:t>.</w:t>
      </w:r>
    </w:p>
  </w:endnote>
  <w:endnote w:id="373">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الطباطبائي، </w:t>
      </w:r>
      <w:r w:rsidRPr="006571AC">
        <w:rPr>
          <w:rFonts w:asciiTheme="majorHAnsi" w:hAnsiTheme="majorHAnsi" w:cs="DanaFajr"/>
          <w:sz w:val="28"/>
          <w:szCs w:val="28"/>
          <w:rtl/>
        </w:rPr>
        <w:t>الميزان</w:t>
      </w:r>
      <w:r w:rsidRPr="006571AC">
        <w:rPr>
          <w:rFonts w:asciiTheme="majorHAnsi" w:hAnsiTheme="majorHAnsi" w:cs="DanaFajr" w:hint="cs"/>
          <w:sz w:val="28"/>
          <w:szCs w:val="28"/>
          <w:rtl/>
        </w:rPr>
        <w:t xml:space="preserve"> في تفسير القرآن</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6</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43</w:t>
      </w:r>
      <w:r w:rsidRPr="006571AC">
        <w:rPr>
          <w:rFonts w:asciiTheme="majorHAnsi" w:hAnsiTheme="majorHAnsi" w:cs="DanaFajr" w:hint="cs"/>
          <w:sz w:val="28"/>
          <w:szCs w:val="28"/>
          <w:rtl/>
        </w:rPr>
        <w:t>.</w:t>
      </w:r>
    </w:p>
  </w:endnote>
  <w:endnote w:id="374">
    <w:p w:rsidR="00DB2356" w:rsidRPr="006571AC" w:rsidRDefault="00DB2356" w:rsidP="00FB4949">
      <w:pPr>
        <w:pStyle w:val="aa"/>
        <w:spacing w:line="306" w:lineRule="exact"/>
        <w:ind w:firstLine="0"/>
        <w:rPr>
          <w:rFonts w:cs="DanaFajr"/>
          <w:sz w:val="28"/>
          <w:szCs w:val="28"/>
          <w:rtl/>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سنن أبي داو</w:t>
      </w:r>
      <w:r w:rsidRPr="006571AC">
        <w:rPr>
          <w:rFonts w:asciiTheme="majorHAnsi" w:hAnsiTheme="majorHAnsi" w:cs="DanaFajr" w:hint="cs"/>
          <w:sz w:val="28"/>
          <w:szCs w:val="28"/>
          <w:rtl/>
        </w:rPr>
        <w:t>و</w:t>
      </w:r>
      <w:r w:rsidRPr="006571AC">
        <w:rPr>
          <w:rFonts w:asciiTheme="majorHAnsi" w:hAnsiTheme="majorHAnsi" w:cs="DanaFajr"/>
          <w:sz w:val="28"/>
          <w:szCs w:val="28"/>
          <w:rtl/>
        </w:rPr>
        <w:t xml:space="preserve">د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354</w:t>
      </w:r>
      <w:r w:rsidRPr="006571AC">
        <w:rPr>
          <w:rFonts w:cs="DanaFajr" w:hint="cs"/>
          <w:sz w:val="28"/>
          <w:szCs w:val="28"/>
          <w:rtl/>
        </w:rPr>
        <w:t>.</w:t>
      </w:r>
    </w:p>
  </w:endnote>
  <w:endnote w:id="375">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السيد عبد الحسين شرف الدين، </w:t>
      </w:r>
      <w:r w:rsidRPr="006571AC">
        <w:rPr>
          <w:rFonts w:asciiTheme="majorHAnsi" w:hAnsiTheme="majorHAnsi" w:cs="DanaFajr"/>
          <w:sz w:val="28"/>
          <w:szCs w:val="28"/>
          <w:rtl/>
        </w:rPr>
        <w:t xml:space="preserve">المراجعات: </w:t>
      </w:r>
      <w:r w:rsidRPr="006571AC">
        <w:rPr>
          <w:rFonts w:ascii="Sakkal Majalla" w:hAnsi="Sakkal Majalla" w:cs="DanaFajr" w:hint="cs"/>
          <w:sz w:val="28"/>
          <w:szCs w:val="28"/>
          <w:rtl/>
        </w:rPr>
        <w:t>239</w:t>
      </w:r>
      <w:r w:rsidRPr="006571AC">
        <w:rPr>
          <w:rFonts w:asciiTheme="majorHAnsi" w:hAnsiTheme="majorHAnsi" w:cs="DanaFajr" w:hint="cs"/>
          <w:sz w:val="28"/>
          <w:szCs w:val="28"/>
          <w:rtl/>
        </w:rPr>
        <w:t>.</w:t>
      </w:r>
    </w:p>
  </w:endnote>
  <w:endnote w:id="376">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11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62</w:t>
      </w:r>
      <w:r w:rsidRPr="006571AC">
        <w:rPr>
          <w:rFonts w:asciiTheme="majorHAnsi" w:hAnsiTheme="majorHAnsi" w:cs="DanaFajr" w:hint="cs"/>
          <w:sz w:val="28"/>
          <w:szCs w:val="28"/>
          <w:rtl/>
        </w:rPr>
        <w:t>؛ الطبري،</w:t>
      </w:r>
      <w:r w:rsidRPr="006571AC">
        <w:rPr>
          <w:rFonts w:asciiTheme="majorHAnsi" w:hAnsiTheme="majorHAnsi" w:cs="DanaFajr"/>
          <w:sz w:val="28"/>
          <w:szCs w:val="28"/>
          <w:rtl/>
        </w:rPr>
        <w:t xml:space="preserve"> جامع البيان في تفسير القرآن </w:t>
      </w:r>
      <w:r w:rsidRPr="006571AC">
        <w:rPr>
          <w:rFonts w:ascii="Sakkal Majalla" w:hAnsi="Sakkal Majalla" w:cs="DanaFajr" w:hint="cs"/>
          <w:sz w:val="28"/>
          <w:szCs w:val="28"/>
          <w:rtl/>
        </w:rPr>
        <w:t>6</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161</w:t>
      </w:r>
      <w:r w:rsidRPr="006571AC">
        <w:rPr>
          <w:rFonts w:asciiTheme="majorHAnsi" w:hAnsiTheme="majorHAnsi" w:cs="DanaFajr" w:hint="cs"/>
          <w:sz w:val="28"/>
          <w:szCs w:val="28"/>
          <w:rtl/>
        </w:rPr>
        <w:t xml:space="preserve">؛ البغوي، </w:t>
      </w:r>
      <w:r w:rsidRPr="006571AC">
        <w:rPr>
          <w:rFonts w:asciiTheme="majorHAnsi" w:hAnsiTheme="majorHAnsi" w:cs="DanaFajr"/>
          <w:sz w:val="28"/>
          <w:szCs w:val="28"/>
          <w:rtl/>
        </w:rPr>
        <w:t>معالم التن</w:t>
      </w:r>
      <w:r w:rsidRPr="006571AC">
        <w:rPr>
          <w:rFonts w:asciiTheme="majorHAnsi" w:hAnsiTheme="majorHAnsi" w:cs="DanaFajr" w:hint="cs"/>
          <w:sz w:val="28"/>
          <w:szCs w:val="28"/>
          <w:rtl/>
        </w:rPr>
        <w:t>ـ</w:t>
      </w:r>
      <w:r w:rsidRPr="006571AC">
        <w:rPr>
          <w:rFonts w:asciiTheme="majorHAnsi" w:hAnsiTheme="majorHAnsi" w:cs="DanaFajr"/>
          <w:sz w:val="28"/>
          <w:szCs w:val="28"/>
          <w:rtl/>
        </w:rPr>
        <w:t xml:space="preserve">زيل في تفسير القرآن </w:t>
      </w:r>
      <w:r w:rsidRPr="006571AC">
        <w:rPr>
          <w:rFonts w:ascii="Sakkal Majalla" w:hAnsi="Sakkal Majalla" w:cs="DanaFajr" w:hint="cs"/>
          <w:sz w:val="28"/>
          <w:szCs w:val="28"/>
          <w:rtl/>
        </w:rPr>
        <w:t>2</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5</w:t>
      </w:r>
      <w:r w:rsidRPr="006571AC">
        <w:rPr>
          <w:rFonts w:cs="DanaFajr" w:hint="cs"/>
          <w:sz w:val="28"/>
          <w:szCs w:val="28"/>
          <w:rtl/>
        </w:rPr>
        <w:t>.</w:t>
      </w:r>
    </w:p>
  </w:endnote>
  <w:endnote w:id="377">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ascii="Sakkal Majalla" w:hAnsi="Sakkal Majalla" w:cs="DanaFajr"/>
          <w:sz w:val="28"/>
          <w:szCs w:val="28"/>
          <w:rtl/>
        </w:rPr>
        <w:t xml:space="preserve"> </w:t>
      </w:r>
      <w:r w:rsidRPr="006571AC">
        <w:rPr>
          <w:rFonts w:ascii="Sakkal Majalla" w:hAnsi="Sakkal Majalla" w:cs="DanaFajr" w:hint="cs"/>
          <w:sz w:val="28"/>
          <w:szCs w:val="28"/>
          <w:rtl/>
        </w:rPr>
        <w:t>السيوطي،</w:t>
      </w:r>
      <w:r w:rsidRPr="006571AC">
        <w:rPr>
          <w:rFonts w:cs="DanaFajr" w:hint="cs"/>
          <w:sz w:val="28"/>
          <w:szCs w:val="28"/>
          <w:rtl/>
        </w:rPr>
        <w:t xml:space="preserve"> </w:t>
      </w:r>
      <w:r w:rsidRPr="006571AC">
        <w:rPr>
          <w:rFonts w:ascii="Sakkal Majalla" w:hAnsi="Sakkal Majalla" w:cs="DanaFajr" w:hint="cs"/>
          <w:sz w:val="28"/>
          <w:szCs w:val="28"/>
          <w:rtl/>
        </w:rPr>
        <w:t>الدرّ المنثور 2: 285</w:t>
      </w:r>
      <w:r w:rsidRPr="006571AC">
        <w:rPr>
          <w:rFonts w:cs="DanaFajr" w:hint="cs"/>
          <w:sz w:val="28"/>
          <w:szCs w:val="28"/>
          <w:rtl/>
        </w:rPr>
        <w:t>.</w:t>
      </w:r>
    </w:p>
  </w:endnote>
  <w:endnote w:id="378">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Sakkal Majalla" w:hAnsi="Sakkal Majalla" w:cs="DanaFajr" w:hint="cs"/>
          <w:sz w:val="28"/>
          <w:szCs w:val="28"/>
          <w:rtl/>
        </w:rPr>
        <w:t>المصدر السابق 2: 281</w:t>
      </w:r>
      <w:r w:rsidRPr="006571AC">
        <w:rPr>
          <w:rFonts w:cs="DanaFajr" w:hint="cs"/>
          <w:sz w:val="28"/>
          <w:szCs w:val="28"/>
          <w:rtl/>
        </w:rPr>
        <w:t>.</w:t>
      </w:r>
    </w:p>
  </w:endnote>
  <w:endnote w:id="379">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الفضل بن الحسن الطبرسي، مجمع البيان في تفسير القرآن 1: 479، انتشارات ناصر خسرو، طهران، 1372هـ.</w:t>
      </w:r>
    </w:p>
  </w:endnote>
  <w:endnote w:id="380">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12</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401</w:t>
      </w:r>
      <w:r w:rsidRPr="006571AC">
        <w:rPr>
          <w:rFonts w:asciiTheme="majorHAnsi" w:hAnsiTheme="majorHAnsi" w:cs="DanaFajr" w:hint="cs"/>
          <w:sz w:val="28"/>
          <w:szCs w:val="28"/>
          <w:rtl/>
        </w:rPr>
        <w:t>.</w:t>
      </w:r>
    </w:p>
  </w:endnote>
  <w:endnote w:id="381">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الطباطبائي،</w:t>
      </w:r>
      <w:r w:rsidRPr="006571AC">
        <w:rPr>
          <w:rFonts w:asciiTheme="majorHAnsi" w:hAnsiTheme="majorHAnsi" w:cs="DanaFajr"/>
          <w:sz w:val="28"/>
          <w:szCs w:val="28"/>
          <w:rtl/>
        </w:rPr>
        <w:t xml:space="preserve"> الميزان</w:t>
      </w:r>
      <w:r w:rsidRPr="006571AC">
        <w:rPr>
          <w:rFonts w:asciiTheme="majorHAnsi" w:hAnsiTheme="majorHAnsi" w:cs="DanaFajr" w:hint="cs"/>
          <w:sz w:val="28"/>
          <w:szCs w:val="28"/>
          <w:rtl/>
        </w:rPr>
        <w:t xml:space="preserve"> في تفسير القرآن</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5</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44</w:t>
      </w:r>
    </w:p>
  </w:endnote>
  <w:endnote w:id="382">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راج</w:t>
      </w:r>
      <w:r w:rsidRPr="006571AC">
        <w:rPr>
          <w:rFonts w:asciiTheme="majorHAnsi" w:hAnsiTheme="majorHAnsi" w:cs="DanaFajr" w:hint="cs"/>
          <w:sz w:val="28"/>
          <w:szCs w:val="28"/>
          <w:rtl/>
        </w:rPr>
        <w:t>ِ</w:t>
      </w:r>
      <w:r w:rsidRPr="006571AC">
        <w:rPr>
          <w:rFonts w:asciiTheme="majorHAnsi" w:hAnsiTheme="majorHAnsi" w:cs="DanaFajr"/>
          <w:sz w:val="28"/>
          <w:szCs w:val="28"/>
          <w:rtl/>
        </w:rPr>
        <w:t>ع</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الآيات التالية: التحريم</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9</w:t>
      </w:r>
      <w:r w:rsidRPr="006571AC">
        <w:rPr>
          <w:rFonts w:asciiTheme="majorHAnsi" w:hAnsiTheme="majorHAnsi" w:cs="DanaFajr" w:hint="cs"/>
          <w:sz w:val="28"/>
          <w:szCs w:val="28"/>
          <w:rtl/>
        </w:rPr>
        <w:t xml:space="preserve">؛ </w:t>
      </w:r>
      <w:r w:rsidRPr="006571AC">
        <w:rPr>
          <w:rFonts w:asciiTheme="majorHAnsi" w:hAnsiTheme="majorHAnsi" w:cs="DanaFajr"/>
          <w:sz w:val="28"/>
          <w:szCs w:val="28"/>
          <w:rtl/>
        </w:rPr>
        <w:t>ا</w:t>
      </w:r>
      <w:r w:rsidRPr="006571AC">
        <w:rPr>
          <w:rFonts w:asciiTheme="majorHAnsi" w:hAnsiTheme="majorHAnsi" w:cs="DanaFajr" w:hint="cs"/>
          <w:sz w:val="28"/>
          <w:szCs w:val="28"/>
          <w:rtl/>
        </w:rPr>
        <w:t>لأ</w:t>
      </w:r>
      <w:r w:rsidRPr="006571AC">
        <w:rPr>
          <w:rFonts w:asciiTheme="majorHAnsi" w:hAnsiTheme="majorHAnsi" w:cs="DanaFajr"/>
          <w:sz w:val="28"/>
          <w:szCs w:val="28"/>
          <w:rtl/>
        </w:rPr>
        <w:t>نفال</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65</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النساء</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95</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محمد</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31</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التوبة</w:t>
      </w:r>
      <w:r w:rsidRPr="006571AC">
        <w:rPr>
          <w:rFonts w:asciiTheme="majorHAnsi" w:hAnsiTheme="majorHAnsi" w:cs="DanaFajr" w:hint="cs"/>
          <w:sz w:val="28"/>
          <w:szCs w:val="28"/>
          <w:rtl/>
        </w:rPr>
        <w:t>: 12 و24.</w:t>
      </w:r>
    </w:p>
  </w:endnote>
  <w:endnote w:id="383">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فتح الله نجّار </w:t>
      </w:r>
      <w:r w:rsidRPr="006571AC">
        <w:rPr>
          <w:rFonts w:ascii="Mosawi" w:hAnsi="Mosawi" w:cs="Abz-3 (Yagut)" w:hint="cs"/>
          <w:rtl/>
          <w:lang w:val="x-none" w:eastAsia="x-none"/>
        </w:rPr>
        <w:t>زادگان</w:t>
      </w:r>
      <w:r w:rsidRPr="006571AC">
        <w:rPr>
          <w:rFonts w:asciiTheme="majorHAnsi" w:hAnsiTheme="majorHAnsi" w:cs="DanaFajr" w:hint="cs"/>
          <w:sz w:val="28"/>
          <w:szCs w:val="28"/>
          <w:rtl/>
        </w:rPr>
        <w:t>، مقالة (دراسة آراء الفريقين حول آية التبليغ)، مركز تحقيق الحكمة والفلسفة الإسلامية، 1383ش، الرقم 8.</w:t>
      </w:r>
    </w:p>
  </w:endnote>
  <w:endnote w:id="384">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الطباطائي،</w:t>
      </w:r>
      <w:r w:rsidRPr="006571AC">
        <w:rPr>
          <w:rFonts w:asciiTheme="majorHAnsi" w:hAnsiTheme="majorHAnsi" w:cs="DanaFajr"/>
          <w:sz w:val="28"/>
          <w:szCs w:val="28"/>
          <w:rtl/>
        </w:rPr>
        <w:t xml:space="preserve"> الميزان</w:t>
      </w:r>
      <w:r w:rsidRPr="006571AC">
        <w:rPr>
          <w:rFonts w:asciiTheme="majorHAnsi" w:hAnsiTheme="majorHAnsi" w:cs="DanaFajr" w:hint="cs"/>
          <w:sz w:val="28"/>
          <w:szCs w:val="28"/>
          <w:rtl/>
        </w:rPr>
        <w:t xml:space="preserve"> في تفسير القرآن</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6</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43</w:t>
      </w:r>
      <w:r w:rsidRPr="006571AC">
        <w:rPr>
          <w:rFonts w:cs="DanaFajr" w:hint="cs"/>
          <w:sz w:val="28"/>
          <w:szCs w:val="28"/>
          <w:rtl/>
        </w:rPr>
        <w:t>.</w:t>
      </w:r>
    </w:p>
  </w:endnote>
  <w:endnote w:id="385">
    <w:p w:rsidR="00DB2356" w:rsidRPr="006571AC" w:rsidRDefault="00DB2356" w:rsidP="00FB4949">
      <w:pPr>
        <w:spacing w:line="306" w:lineRule="exact"/>
        <w:ind w:firstLine="0"/>
        <w:rPr>
          <w:rFonts w:asciiTheme="majorHAnsi" w:hAnsiTheme="majorHAnsi" w:cs="DanaFajr"/>
          <w:szCs w:val="28"/>
        </w:rPr>
      </w:pPr>
      <w:r w:rsidRPr="006571AC">
        <w:rPr>
          <w:rFonts w:asciiTheme="majorHAnsi" w:hAnsiTheme="majorHAnsi" w:cs="DanaFajr"/>
          <w:szCs w:val="28"/>
          <w:rtl/>
        </w:rPr>
        <w:t>(</w:t>
      </w:r>
      <w:r w:rsidRPr="006571AC">
        <w:rPr>
          <w:rStyle w:val="ac"/>
          <w:rFonts w:asciiTheme="majorHAnsi" w:hAnsiTheme="majorHAnsi" w:cs="DanaFajr"/>
          <w:szCs w:val="28"/>
          <w:vertAlign w:val="baseline"/>
        </w:rPr>
        <w:endnoteRef/>
      </w:r>
      <w:r w:rsidRPr="006571AC">
        <w:rPr>
          <w:rFonts w:asciiTheme="majorHAnsi" w:hAnsiTheme="majorHAnsi" w:cs="DanaFajr"/>
          <w:szCs w:val="28"/>
          <w:rtl/>
        </w:rPr>
        <w:t xml:space="preserve">) </w:t>
      </w:r>
      <w:r w:rsidRPr="006571AC">
        <w:rPr>
          <w:rFonts w:asciiTheme="majorHAnsi" w:hAnsiTheme="majorHAnsi" w:cs="DanaFajr" w:hint="cs"/>
          <w:szCs w:val="28"/>
          <w:rtl/>
        </w:rPr>
        <w:t xml:space="preserve">السيوطي، </w:t>
      </w:r>
      <w:r w:rsidRPr="006571AC">
        <w:rPr>
          <w:rFonts w:asciiTheme="majorHAnsi" w:hAnsiTheme="majorHAnsi" w:cs="DanaFajr"/>
          <w:szCs w:val="28"/>
          <w:rtl/>
        </w:rPr>
        <w:t>الدر</w:t>
      </w:r>
      <w:r w:rsidRPr="006571AC">
        <w:rPr>
          <w:rFonts w:asciiTheme="majorHAnsi" w:hAnsiTheme="majorHAnsi" w:cs="DanaFajr" w:hint="cs"/>
          <w:szCs w:val="28"/>
          <w:rtl/>
        </w:rPr>
        <w:t>ّ</w:t>
      </w:r>
      <w:r w:rsidRPr="006571AC">
        <w:rPr>
          <w:rFonts w:asciiTheme="majorHAnsi" w:hAnsiTheme="majorHAnsi" w:cs="DanaFajr"/>
          <w:szCs w:val="28"/>
          <w:rtl/>
        </w:rPr>
        <w:t xml:space="preserve"> المنثور </w:t>
      </w:r>
      <w:r w:rsidRPr="006571AC">
        <w:rPr>
          <w:rFonts w:ascii="Sakkal Majalla" w:hAnsi="Sakkal Majalla" w:cs="DanaFajr" w:hint="cs"/>
          <w:szCs w:val="28"/>
          <w:rtl/>
        </w:rPr>
        <w:t>2</w:t>
      </w:r>
      <w:r w:rsidRPr="006571AC">
        <w:rPr>
          <w:rFonts w:asciiTheme="majorHAnsi" w:hAnsiTheme="majorHAnsi" w:cs="DanaFajr"/>
          <w:szCs w:val="28"/>
          <w:rtl/>
        </w:rPr>
        <w:t xml:space="preserve">: </w:t>
      </w:r>
      <w:r w:rsidRPr="006571AC">
        <w:rPr>
          <w:rFonts w:ascii="Sakkal Majalla" w:hAnsi="Sakkal Majalla" w:cs="DanaFajr" w:hint="cs"/>
          <w:szCs w:val="28"/>
          <w:rtl/>
        </w:rPr>
        <w:t>299</w:t>
      </w:r>
      <w:r w:rsidRPr="006571AC">
        <w:rPr>
          <w:rFonts w:asciiTheme="majorHAnsi" w:hAnsiTheme="majorHAnsi" w:cs="DanaFajr" w:hint="cs"/>
          <w:szCs w:val="28"/>
          <w:rtl/>
        </w:rPr>
        <w:t>؛ الآلوسي،</w:t>
      </w:r>
      <w:r w:rsidRPr="006571AC">
        <w:rPr>
          <w:rFonts w:asciiTheme="majorHAnsi" w:hAnsiTheme="majorHAnsi" w:cs="DanaFajr"/>
          <w:szCs w:val="28"/>
          <w:rtl/>
        </w:rPr>
        <w:t xml:space="preserve"> تفسير روح المعان</w:t>
      </w:r>
      <w:r w:rsidRPr="006571AC">
        <w:rPr>
          <w:rFonts w:asciiTheme="majorHAnsi" w:hAnsiTheme="majorHAnsi" w:cs="DanaFajr" w:hint="cs"/>
          <w:szCs w:val="28"/>
          <w:rtl/>
        </w:rPr>
        <w:t>ي 4</w:t>
      </w:r>
      <w:r w:rsidRPr="006571AC">
        <w:rPr>
          <w:rFonts w:asciiTheme="majorHAnsi" w:hAnsiTheme="majorHAnsi" w:cs="DanaFajr"/>
          <w:szCs w:val="28"/>
          <w:rtl/>
        </w:rPr>
        <w:t>: ۲۹۰</w:t>
      </w:r>
      <w:r w:rsidRPr="006571AC">
        <w:rPr>
          <w:rFonts w:asciiTheme="majorHAnsi" w:hAnsiTheme="majorHAnsi" w:cs="DanaFajr" w:hint="cs"/>
          <w:szCs w:val="28"/>
          <w:rtl/>
        </w:rPr>
        <w:t xml:space="preserve">؛ الشوكاني، </w:t>
      </w:r>
      <w:r w:rsidRPr="006571AC">
        <w:rPr>
          <w:rFonts w:asciiTheme="majorHAnsi" w:hAnsiTheme="majorHAnsi" w:cs="DanaFajr"/>
          <w:szCs w:val="28"/>
          <w:rtl/>
        </w:rPr>
        <w:t xml:space="preserve">فتح القدير </w:t>
      </w:r>
      <w:r w:rsidRPr="006571AC">
        <w:rPr>
          <w:rFonts w:ascii="Sakkal Majalla" w:hAnsi="Sakkal Majalla" w:cs="DanaFajr" w:hint="cs"/>
          <w:szCs w:val="28"/>
          <w:rtl/>
        </w:rPr>
        <w:t>2</w:t>
      </w:r>
      <w:r w:rsidRPr="006571AC">
        <w:rPr>
          <w:rFonts w:asciiTheme="majorHAnsi" w:hAnsiTheme="majorHAnsi" w:cs="DanaFajr"/>
          <w:szCs w:val="28"/>
          <w:rtl/>
        </w:rPr>
        <w:t xml:space="preserve">: </w:t>
      </w:r>
      <w:r w:rsidRPr="006571AC">
        <w:rPr>
          <w:rFonts w:ascii="Sakkal Majalla" w:hAnsi="Sakkal Majalla" w:cs="DanaFajr" w:hint="cs"/>
          <w:szCs w:val="28"/>
          <w:rtl/>
        </w:rPr>
        <w:t>61</w:t>
      </w:r>
      <w:r w:rsidRPr="006571AC">
        <w:rPr>
          <w:rFonts w:asciiTheme="majorHAnsi" w:hAnsiTheme="majorHAnsi" w:cs="DanaFajr" w:hint="cs"/>
          <w:szCs w:val="28"/>
          <w:rtl/>
        </w:rPr>
        <w:t>.</w:t>
      </w:r>
    </w:p>
  </w:endnote>
  <w:endnote w:id="386">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عبد الملك (ابن هشام)، السيرة النبوية 3: 225، دار المعرفة، بيروت.</w:t>
      </w:r>
    </w:p>
  </w:endnote>
  <w:endnote w:id="387">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cs="DanaFajr" w:hint="cs"/>
          <w:sz w:val="28"/>
          <w:szCs w:val="28"/>
          <w:rtl/>
        </w:rPr>
        <w:t xml:space="preserve"> إسماعيل بن عمر (ابن كثير)، تفسير القرآن العظيم 3: 139، دار الكتب العلمية، بيروت، 1419هـ.</w:t>
      </w:r>
    </w:p>
  </w:endnote>
  <w:endnote w:id="388">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السيوطي، الدرّ المنثور </w:t>
      </w:r>
      <w:r w:rsidRPr="006571AC">
        <w:rPr>
          <w:rFonts w:ascii="Sakkal Majalla" w:hAnsi="Sakkal Majalla" w:cs="DanaFajr" w:hint="cs"/>
          <w:sz w:val="28"/>
          <w:szCs w:val="28"/>
          <w:rtl/>
        </w:rPr>
        <w:t>2</w:t>
      </w:r>
      <w:r w:rsidRPr="006571AC">
        <w:rPr>
          <w:rFonts w:cs="DanaFajr" w:hint="cs"/>
          <w:sz w:val="28"/>
          <w:szCs w:val="28"/>
          <w:rtl/>
        </w:rPr>
        <w:t xml:space="preserve">: </w:t>
      </w:r>
      <w:r w:rsidRPr="006571AC">
        <w:rPr>
          <w:rFonts w:ascii="Sakkal Majalla" w:hAnsi="Sakkal Majalla" w:cs="DanaFajr" w:hint="cs"/>
          <w:sz w:val="28"/>
          <w:szCs w:val="28"/>
          <w:rtl/>
        </w:rPr>
        <w:t>298</w:t>
      </w:r>
      <w:r w:rsidRPr="006571AC">
        <w:rPr>
          <w:rFonts w:cs="DanaFajr" w:hint="cs"/>
          <w:sz w:val="28"/>
          <w:szCs w:val="28"/>
          <w:rtl/>
        </w:rPr>
        <w:t xml:space="preserve">؛ الآلوسي، تفسير روح المعاني </w:t>
      </w:r>
      <w:r w:rsidRPr="006571AC">
        <w:rPr>
          <w:rFonts w:ascii="Sakkal Majalla" w:hAnsi="Sakkal Majalla" w:cs="DanaFajr" w:hint="cs"/>
          <w:sz w:val="28"/>
          <w:szCs w:val="28"/>
          <w:rtl/>
        </w:rPr>
        <w:t>3</w:t>
      </w:r>
      <w:r w:rsidRPr="006571AC">
        <w:rPr>
          <w:rFonts w:cs="DanaFajr" w:hint="cs"/>
          <w:sz w:val="28"/>
          <w:szCs w:val="28"/>
          <w:rtl/>
        </w:rPr>
        <w:t xml:space="preserve">: </w:t>
      </w:r>
      <w:r w:rsidRPr="006571AC">
        <w:rPr>
          <w:rFonts w:ascii="Sakkal Majalla" w:hAnsi="Sakkal Majalla" w:cs="DanaFajr" w:hint="cs"/>
          <w:sz w:val="28"/>
          <w:szCs w:val="28"/>
          <w:rtl/>
        </w:rPr>
        <w:t>364</w:t>
      </w:r>
      <w:r w:rsidRPr="006571AC">
        <w:rPr>
          <w:rFonts w:cs="DanaFajr" w:hint="cs"/>
          <w:sz w:val="28"/>
          <w:szCs w:val="28"/>
          <w:rtl/>
        </w:rPr>
        <w:t>.</w:t>
      </w:r>
    </w:p>
  </w:endnote>
  <w:endnote w:id="389">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السيوطي، الدرّ المنثور </w:t>
      </w:r>
      <w:r w:rsidRPr="006571AC">
        <w:rPr>
          <w:rFonts w:ascii="Sakkal Majalla" w:hAnsi="Sakkal Majalla" w:cs="DanaFajr" w:hint="cs"/>
          <w:sz w:val="28"/>
          <w:szCs w:val="28"/>
          <w:rtl/>
        </w:rPr>
        <w:t>2</w:t>
      </w:r>
      <w:r w:rsidRPr="006571AC">
        <w:rPr>
          <w:rFonts w:cs="DanaFajr" w:hint="cs"/>
          <w:sz w:val="28"/>
          <w:szCs w:val="28"/>
          <w:rtl/>
        </w:rPr>
        <w:t xml:space="preserve">: </w:t>
      </w:r>
      <w:r w:rsidRPr="006571AC">
        <w:rPr>
          <w:rFonts w:ascii="Sakkal Majalla" w:hAnsi="Sakkal Majalla" w:cs="DanaFajr" w:hint="cs"/>
          <w:sz w:val="28"/>
          <w:szCs w:val="28"/>
          <w:rtl/>
        </w:rPr>
        <w:t>298</w:t>
      </w:r>
      <w:r w:rsidRPr="006571AC">
        <w:rPr>
          <w:rFonts w:cs="DanaFajr" w:hint="cs"/>
          <w:sz w:val="28"/>
          <w:szCs w:val="28"/>
          <w:rtl/>
        </w:rPr>
        <w:t>.</w:t>
      </w:r>
    </w:p>
  </w:endnote>
  <w:endnote w:id="390">
    <w:p w:rsidR="00DB2356" w:rsidRPr="006571AC" w:rsidRDefault="00DB2356" w:rsidP="00FB4949">
      <w:pPr>
        <w:pStyle w:val="af"/>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w:t>
      </w:r>
      <w:r w:rsidRPr="006571AC">
        <w:rPr>
          <w:rFonts w:asciiTheme="majorHAnsi" w:hAnsiTheme="majorHAnsi" w:cs="DanaFajr" w:hint="cs"/>
          <w:szCs w:val="28"/>
          <w:rtl/>
        </w:rPr>
        <w:t>الفضل بن الحسن الطبرسي، إعلام الورى بأعلام الهدى 1: 104، الدار الإسلامية، طهران، 1390هـ.ش؛ محمد بن الحسن الحُرّ العاملي، إثبات الهداة بالنصوص والمعجزات 1: 390، مؤسسة الأعلمي للمطبوعات، بيروت، 1425هـ.</w:t>
      </w:r>
    </w:p>
  </w:endnote>
  <w:endnote w:id="391">
    <w:p w:rsidR="00DB2356" w:rsidRPr="006571AC" w:rsidRDefault="00DB2356" w:rsidP="00FB4949">
      <w:pPr>
        <w:pStyle w:val="aa"/>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الآلوسي، </w:t>
      </w:r>
      <w:r w:rsidRPr="006571AC">
        <w:rPr>
          <w:rFonts w:asciiTheme="majorHAnsi" w:hAnsiTheme="majorHAnsi" w:cs="DanaFajr"/>
          <w:sz w:val="28"/>
          <w:szCs w:val="28"/>
          <w:rtl/>
        </w:rPr>
        <w:t xml:space="preserve">تفسير روح المعاني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364</w:t>
      </w:r>
      <w:r w:rsidRPr="006571AC">
        <w:rPr>
          <w:rFonts w:asciiTheme="majorHAnsi" w:hAnsiTheme="majorHAnsi" w:cs="DanaFajr" w:hint="cs"/>
          <w:sz w:val="28"/>
          <w:szCs w:val="28"/>
          <w:rtl/>
        </w:rPr>
        <w:t>.</w:t>
      </w:r>
    </w:p>
  </w:endnote>
  <w:endnote w:id="392">
    <w:p w:rsidR="00DB2356" w:rsidRPr="006571AC" w:rsidRDefault="00DB2356" w:rsidP="00FB4949">
      <w:pPr>
        <w:pStyle w:val="aa"/>
        <w:spacing w:line="306" w:lineRule="exact"/>
        <w:ind w:firstLine="0"/>
        <w:rPr>
          <w:rFonts w:cs="DanaFajr"/>
          <w:sz w:val="28"/>
          <w:szCs w:val="28"/>
        </w:rPr>
      </w:pPr>
      <w:r w:rsidRPr="006571AC">
        <w:rPr>
          <w:rFonts w:asciiTheme="majorHAnsi" w:hAnsiTheme="majorHAnsi" w:cs="DanaFajr"/>
          <w:sz w:val="28"/>
          <w:szCs w:val="28"/>
          <w:rtl/>
        </w:rPr>
        <w:t>(</w:t>
      </w:r>
      <w:r w:rsidRPr="006571AC">
        <w:rPr>
          <w:rStyle w:val="ac"/>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12</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401</w:t>
      </w:r>
      <w:r w:rsidRPr="006571AC">
        <w:rPr>
          <w:rFonts w:asciiTheme="majorHAnsi" w:hAnsiTheme="majorHAnsi" w:cs="DanaFajr" w:hint="cs"/>
          <w:sz w:val="28"/>
          <w:szCs w:val="28"/>
          <w:rtl/>
        </w:rPr>
        <w:t>؛ الزمخشري،</w:t>
      </w:r>
      <w:r w:rsidRPr="006571AC">
        <w:rPr>
          <w:rFonts w:asciiTheme="majorHAnsi" w:hAnsiTheme="majorHAnsi" w:cs="DanaFajr"/>
          <w:sz w:val="28"/>
          <w:szCs w:val="28"/>
          <w:rtl/>
        </w:rPr>
        <w:t xml:space="preserve"> الكشّاف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659</w:t>
      </w:r>
      <w:r w:rsidRPr="006571AC">
        <w:rPr>
          <w:rFonts w:asciiTheme="majorHAnsi" w:hAnsiTheme="majorHAnsi" w:cs="DanaFajr" w:hint="cs"/>
          <w:sz w:val="28"/>
          <w:szCs w:val="28"/>
          <w:rtl/>
        </w:rPr>
        <w:t>؛ الطبري،</w:t>
      </w:r>
      <w:r w:rsidRPr="006571AC">
        <w:rPr>
          <w:rFonts w:asciiTheme="majorHAnsi" w:hAnsiTheme="majorHAnsi" w:cs="DanaFajr"/>
          <w:sz w:val="28"/>
          <w:szCs w:val="28"/>
          <w:rtl/>
        </w:rPr>
        <w:t xml:space="preserve"> جامع البيان </w:t>
      </w:r>
      <w:r w:rsidRPr="006571AC">
        <w:rPr>
          <w:rFonts w:ascii="Sakkal Majalla" w:hAnsi="Sakkal Majalla" w:cs="DanaFajr" w:hint="cs"/>
          <w:sz w:val="28"/>
          <w:szCs w:val="28"/>
          <w:rtl/>
        </w:rPr>
        <w:t>6</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199</w:t>
      </w:r>
      <w:r w:rsidRPr="006571AC">
        <w:rPr>
          <w:rFonts w:cs="DanaFajr" w:hint="cs"/>
          <w:sz w:val="28"/>
          <w:szCs w:val="28"/>
          <w:rtl/>
        </w:rPr>
        <w:t>.</w:t>
      </w:r>
    </w:p>
  </w:endnote>
  <w:endnote w:id="393">
    <w:p w:rsidR="00DB2356" w:rsidRPr="006571AC" w:rsidRDefault="00DB2356" w:rsidP="00FB4949">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asciiTheme="majorHAnsi" w:hAnsiTheme="majorHAnsi" w:cs="DanaFajr" w:hint="cs"/>
          <w:sz w:val="28"/>
          <w:szCs w:val="28"/>
          <w:rtl/>
        </w:rPr>
        <w:t xml:space="preserve"> فتح الله نجّار </w:t>
      </w:r>
      <w:r w:rsidRPr="006571AC">
        <w:rPr>
          <w:rFonts w:ascii="Mosawi" w:hAnsi="Mosawi" w:cs="Abz-3 (Yagut)" w:hint="cs"/>
          <w:rtl/>
          <w:lang w:val="x-none" w:eastAsia="x-none"/>
        </w:rPr>
        <w:t>زادگان</w:t>
      </w:r>
      <w:r w:rsidRPr="006571AC">
        <w:rPr>
          <w:rFonts w:asciiTheme="majorHAnsi" w:hAnsiTheme="majorHAnsi" w:cs="DanaFajr" w:hint="cs"/>
          <w:sz w:val="28"/>
          <w:szCs w:val="28"/>
          <w:rtl/>
        </w:rPr>
        <w:t>، مقالة (دراسة آراء الفريقين حول آية التبليغ)، مركز تحقيق الحكمة والفلسفة الإسلامية، 1383ش، الرقم 8</w:t>
      </w:r>
      <w:r w:rsidRPr="006571AC">
        <w:rPr>
          <w:rFonts w:cs="DanaFajr" w:hint="cs"/>
          <w:sz w:val="28"/>
          <w:szCs w:val="28"/>
          <w:rtl/>
        </w:rPr>
        <w:t>.</w:t>
      </w:r>
    </w:p>
  </w:endnote>
  <w:endnote w:id="394">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يعقوب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الكليني، الكافي </w:t>
      </w:r>
      <w:r w:rsidRPr="006571AC">
        <w:rPr>
          <w:rFonts w:ascii="Lotus Linotype" w:hAnsi="Lotus Linotype" w:cs="DanaFajr"/>
          <w:sz w:val="28"/>
          <w:szCs w:val="28"/>
          <w:rtl/>
        </w:rPr>
        <w:t>5: 568</w:t>
      </w:r>
      <w:r w:rsidRPr="006571AC">
        <w:rPr>
          <w:rFonts w:ascii="Lotus Linotype" w:hAnsi="Lotus Linotype" w:cs="DanaFajr" w:hint="cs"/>
          <w:sz w:val="28"/>
          <w:szCs w:val="28"/>
          <w:rtl/>
        </w:rPr>
        <w:t>،</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ح</w:t>
      </w:r>
      <w:r w:rsidRPr="006571AC">
        <w:rPr>
          <w:rFonts w:ascii="Lotus Linotype" w:hAnsi="Lotus Linotype" w:cs="DanaFajr"/>
          <w:sz w:val="28"/>
          <w:szCs w:val="28"/>
          <w:rtl/>
        </w:rPr>
        <w:t>51</w:t>
      </w:r>
      <w:r w:rsidRPr="006571AC">
        <w:rPr>
          <w:rFonts w:ascii="Lotus Linotype" w:hAnsi="Lotus Linotype" w:cs="DanaFajr" w:hint="cs"/>
          <w:sz w:val="28"/>
          <w:szCs w:val="28"/>
          <w:rtl/>
        </w:rPr>
        <w:t>،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الكتب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الإسلامية، طهران، ط4، 1407هـ. </w:t>
      </w:r>
    </w:p>
  </w:endnote>
  <w:endnote w:id="395">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أحمد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فارس</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القزويني، مقاييس اللغة 5: 281،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الفكر، بيروت، </w:t>
      </w:r>
      <w:r w:rsidRPr="006571AC">
        <w:rPr>
          <w:rFonts w:ascii="Lotus Linotype" w:hAnsi="Lotus Linotype" w:cs="DanaFajr"/>
          <w:sz w:val="28"/>
          <w:szCs w:val="28"/>
          <w:rtl/>
        </w:rPr>
        <w:t>1399</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ـ 1979</w:t>
      </w:r>
      <w:r w:rsidRPr="006571AC">
        <w:rPr>
          <w:rFonts w:ascii="Lotus Linotype" w:hAnsi="Lotus Linotype" w:cs="DanaFajr" w:hint="cs"/>
          <w:sz w:val="28"/>
          <w:szCs w:val="28"/>
          <w:rtl/>
        </w:rPr>
        <w:t xml:space="preserve">م. </w:t>
      </w:r>
    </w:p>
  </w:endnote>
  <w:endnote w:id="396">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يعقوب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الفيروزآبادي، القاموس المحيط 1: 478،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الرسالة، بيروت</w:t>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ط8، </w:t>
      </w:r>
      <w:r w:rsidRPr="006571AC">
        <w:rPr>
          <w:rFonts w:ascii="Lotus Linotype" w:hAnsi="Lotus Linotype" w:cs="DanaFajr"/>
          <w:sz w:val="28"/>
          <w:szCs w:val="28"/>
          <w:rtl/>
        </w:rPr>
        <w:t>1426</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ـ 2005م</w:t>
      </w:r>
      <w:r w:rsidRPr="006571AC">
        <w:rPr>
          <w:rFonts w:ascii="Lotus Linotype" w:hAnsi="Lotus Linotype" w:cs="DanaFajr" w:hint="cs"/>
          <w:sz w:val="28"/>
          <w:szCs w:val="28"/>
          <w:rtl/>
        </w:rPr>
        <w:t xml:space="preserve">. </w:t>
      </w:r>
    </w:p>
  </w:endnote>
  <w:endnote w:id="397">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فخر الدين الطريحي، مجمع البحرين 3: 485، انتشارات مرتضوي، طهران، ط3، 1375هـ.ش. وانظر: أحمد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علي الفيومي المقري، المصباح المنير 1: 300، المكتبة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العصريّة، بيروت، ط2، 1418هـ. </w:t>
      </w:r>
    </w:p>
  </w:endnote>
  <w:endnote w:id="398">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محمود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عبد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الرحمان عبد المنعم، معجم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المصطلحات</w:t>
      </w:r>
      <w:r w:rsidRPr="006571AC">
        <w:rPr>
          <w:rFonts w:ascii="Lotus Linotype" w:hAnsi="Lotus Linotype" w:cs="DanaFajr"/>
          <w:sz w:val="28"/>
          <w:szCs w:val="28"/>
          <w:rtl/>
        </w:rPr>
        <w:t xml:space="preserve"> و</w:t>
      </w:r>
      <w:r w:rsidRPr="006571AC">
        <w:rPr>
          <w:rFonts w:ascii="Lotus Linotype" w:hAnsi="Lotus Linotype" w:cs="DanaFajr" w:hint="cs"/>
          <w:sz w:val="28"/>
          <w:szCs w:val="28"/>
          <w:rtl/>
        </w:rPr>
        <w:t>الألفاظ</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الفقهية 3: 370، دار الفضيلة، القاهرة. </w:t>
      </w:r>
    </w:p>
  </w:endnote>
  <w:endnote w:id="399">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أحمد 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فارس</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القزويني، مقاييس اللغة 2: 3. </w:t>
      </w:r>
    </w:p>
  </w:endnote>
  <w:endnote w:id="400">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المبارك</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(ابن الأثير)، النهاية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غريب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الحديث</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والأثر 1: 352، المكتبة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العلمية، </w:t>
      </w:r>
      <w:r w:rsidRPr="006571AC">
        <w:rPr>
          <w:rFonts w:ascii="Lotus Linotype" w:hAnsi="Lotus Linotype" w:cs="DanaFajr"/>
          <w:sz w:val="28"/>
          <w:szCs w:val="28"/>
          <w:rtl/>
        </w:rPr>
        <w:t>1399</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ـ 1979</w:t>
      </w:r>
      <w:r w:rsidRPr="006571AC">
        <w:rPr>
          <w:rFonts w:ascii="Lotus Linotype" w:hAnsi="Lotus Linotype" w:cs="DanaFajr" w:hint="cs"/>
          <w:sz w:val="28"/>
          <w:szCs w:val="28"/>
          <w:rtl/>
        </w:rPr>
        <w:t>م؛ 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مكرم (ابن منظور)، لسان العرب 3: 140،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صادر، ط3، </w:t>
      </w:r>
      <w:r w:rsidRPr="006571AC">
        <w:rPr>
          <w:rFonts w:ascii="Lotus Linotype" w:hAnsi="Lotus Linotype" w:cs="DanaFajr"/>
          <w:sz w:val="28"/>
          <w:szCs w:val="28"/>
          <w:rtl/>
        </w:rPr>
        <w:t>1414</w:t>
      </w:r>
      <w:r w:rsidRPr="006571AC">
        <w:rPr>
          <w:rFonts w:ascii="Lotus Linotype" w:hAnsi="Lotus Linotype" w:cs="DanaFajr" w:hint="cs"/>
          <w:sz w:val="28"/>
          <w:szCs w:val="28"/>
          <w:rtl/>
        </w:rPr>
        <w:t xml:space="preserve">هـ. </w:t>
      </w:r>
    </w:p>
  </w:endnote>
  <w:endnote w:id="401">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محمود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عبد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الرحمان عبد المنعم، معجم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المصطلحات</w:t>
      </w:r>
      <w:r w:rsidRPr="006571AC">
        <w:rPr>
          <w:rFonts w:ascii="Lotus Linotype" w:hAnsi="Lotus Linotype" w:cs="DanaFajr"/>
          <w:sz w:val="28"/>
          <w:szCs w:val="28"/>
          <w:rtl/>
        </w:rPr>
        <w:t xml:space="preserve"> و</w:t>
      </w:r>
      <w:r w:rsidRPr="006571AC">
        <w:rPr>
          <w:rFonts w:ascii="Lotus Linotype" w:hAnsi="Lotus Linotype" w:cs="DanaFajr" w:hint="cs"/>
          <w:sz w:val="28"/>
          <w:szCs w:val="28"/>
          <w:rtl/>
        </w:rPr>
        <w:t>الألفاظ</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الفقهية 1: 553، 554. </w:t>
      </w:r>
    </w:p>
  </w:endnote>
  <w:endnote w:id="402">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ابن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منظور، لسان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العرب 13: 350. </w:t>
      </w:r>
    </w:p>
  </w:endnote>
  <w:endnote w:id="403">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علي بن محمد الجرجاني، التعريفات: 171،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الكتب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العلمية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بيروت، ط1، </w:t>
      </w:r>
      <w:r w:rsidRPr="006571AC">
        <w:rPr>
          <w:rFonts w:ascii="Lotus Linotype" w:hAnsi="Lotus Linotype" w:cs="DanaFajr"/>
          <w:sz w:val="28"/>
          <w:szCs w:val="28"/>
          <w:rtl/>
        </w:rPr>
        <w:t>1403</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ـ 1983</w:t>
      </w:r>
      <w:r w:rsidRPr="006571AC">
        <w:rPr>
          <w:rFonts w:ascii="Lotus Linotype" w:hAnsi="Lotus Linotype" w:cs="DanaFajr" w:hint="cs"/>
          <w:sz w:val="28"/>
          <w:szCs w:val="28"/>
          <w:rtl/>
        </w:rPr>
        <w:t xml:space="preserve">م. </w:t>
      </w:r>
    </w:p>
  </w:endnote>
  <w:endnote w:id="404">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أحمد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فارس</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القزويني، مقاييس اللغة 3: 339.</w:t>
      </w:r>
    </w:p>
  </w:endnote>
  <w:endnote w:id="405">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المصدر السابق 5: 402.</w:t>
      </w:r>
    </w:p>
  </w:endnote>
  <w:endnote w:id="406">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حسن المصطفوي، التحقيق في كلمات القرآن 11: 17، وزارة الثقافة والإرشاد الإسلامي، طهران، ط1، 1368هـ.ش. </w:t>
      </w:r>
    </w:p>
  </w:endnote>
  <w:endnote w:id="407">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مجلّة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المستقبلية،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الصادرة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المركز</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الإسلامي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للدراسات</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المستقبلية، العدد</w:t>
      </w:r>
      <w:r w:rsidRPr="006571AC">
        <w:rPr>
          <w:rFonts w:ascii="Lotus Linotype" w:hAnsi="Lotus Linotype" w:cs="DanaFajr"/>
          <w:sz w:val="28"/>
          <w:szCs w:val="28"/>
          <w:rtl/>
        </w:rPr>
        <w:t xml:space="preserve"> 3. </w:t>
      </w:r>
    </w:p>
  </w:endnote>
  <w:endnote w:id="408">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ناصر مكارم الشيرازي، موسوعة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الفقه</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الاسلامي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المقارن 1: 369، قم. </w:t>
      </w:r>
    </w:p>
  </w:endnote>
  <w:endnote w:id="409">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عبد الحكيم عبد الرحمن السعدي، مباحث العلّة في القياس، نقلاً عن: اللامشي، النسخة الخطية: 105، دار البشائر الإسلامية، بيروت، ط2، 1421هـ ـ 2000م. </w:t>
      </w:r>
    </w:p>
  </w:endnote>
  <w:endnote w:id="410">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محمد علي أيازي، مقاصد الحكام الشرعية وغاياتها 1: 57، 58، سلسلة إصدارات مركز الحضارة لتنمية الفكر الإسلامي (العدد 40)، بيروت، ط1، 2009م. </w:t>
      </w:r>
    </w:p>
  </w:endnote>
  <w:endnote w:id="411">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المصدر السابق 1: 53.</w:t>
      </w:r>
    </w:p>
  </w:endnote>
  <w:endnote w:id="412">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عبد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الحكيم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عبد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الرحمن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السعدي، مباحث</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العلّة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القياس: 106. </w:t>
      </w:r>
    </w:p>
  </w:endnote>
  <w:endnote w:id="413">
    <w:p w:rsidR="00DB2356" w:rsidRPr="006571AC" w:rsidRDefault="00DB2356" w:rsidP="00C56D60">
      <w:pPr>
        <w:pStyle w:val="aa"/>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أبو القاسم علي دوست، الفقه والمصلحة 1: 61، دار المعارف الحكمية، بيروت، ط1، 1438هـ ـ 2017م. </w:t>
      </w:r>
    </w:p>
  </w:endnote>
  <w:endnote w:id="414">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محمد حسن النجفي، جواهر الكلام 31: 18،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إحياء</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التراث</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العربي، بيروت، ط7، 1362هـ.ش؛ العلاّمة الحلي، مختلف الشيعة 7: 212،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الإسلامي، قم، ط1، 1418هـ؛ المقدَّس الأردبيلي، مجمع</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الفائدة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والبرهان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إرشاد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الأذهان 12: 501،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الإسلامي، قم؛ ناصر مكارم الشيرازي، أنوار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الفقاهة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تحرير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الوسيلة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كتاب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النكاح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1: 215،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تنظيم</w:t>
      </w:r>
      <w:r w:rsidRPr="006571AC">
        <w:rPr>
          <w:rFonts w:ascii="Lotus Linotype" w:hAnsi="Lotus Linotype" w:cs="DanaFajr"/>
          <w:sz w:val="28"/>
          <w:szCs w:val="28"/>
          <w:rtl/>
        </w:rPr>
        <w:t xml:space="preserve"> و</w:t>
      </w:r>
      <w:r w:rsidRPr="006571AC">
        <w:rPr>
          <w:rFonts w:ascii="Lotus Linotype" w:hAnsi="Lotus Linotype" w:cs="DanaFajr" w:hint="cs"/>
          <w:sz w:val="28"/>
          <w:szCs w:val="28"/>
          <w:rtl/>
        </w:rPr>
        <w:t>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آثار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الإمام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الخميني، طهران، ط1، 1386هـ.ش. </w:t>
      </w:r>
    </w:p>
  </w:endnote>
  <w:endnote w:id="415">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بن الحسن الحُرّ العاملي، وسائل الشيعة 20: 87، 88، ح1،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آل</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البيت</w:t>
      </w:r>
      <w:r w:rsidRPr="006571AC">
        <w:rPr>
          <w:rFonts w:ascii="Mosawi" w:hAnsi="Mosawi" w:cs="Mosawi"/>
          <w:rtl/>
        </w:rPr>
        <w:t>^</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لإحياء</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التراث، قم، ط</w:t>
      </w:r>
      <w:r w:rsidRPr="006571AC">
        <w:rPr>
          <w:rFonts w:ascii="Lotus Linotype" w:hAnsi="Lotus Linotype" w:cs="DanaFajr"/>
          <w:sz w:val="28"/>
          <w:szCs w:val="28"/>
          <w:rtl/>
        </w:rPr>
        <w:t>2</w:t>
      </w:r>
      <w:r w:rsidRPr="006571AC">
        <w:rPr>
          <w:rFonts w:ascii="Lotus Linotype" w:hAnsi="Lotus Linotype" w:cs="DanaFajr" w:hint="cs"/>
          <w:sz w:val="28"/>
          <w:szCs w:val="28"/>
          <w:rtl/>
        </w:rPr>
        <w:t xml:space="preserve">، </w:t>
      </w:r>
      <w:r w:rsidRPr="006571AC">
        <w:rPr>
          <w:rFonts w:ascii="Lotus Linotype" w:hAnsi="Lotus Linotype" w:cs="DanaFajr"/>
          <w:sz w:val="28"/>
          <w:szCs w:val="28"/>
          <w:rtl/>
        </w:rPr>
        <w:t>1414</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w:t>
      </w:r>
    </w:p>
  </w:endnote>
  <w:endnote w:id="416">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الطوسيّ، المبسوط في فقه الإمامية 4: 310، المكتبة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المرتضوية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لإحياء</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الآثار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الجعفرية، طهران، ط3، 1378هـ.ش. </w:t>
      </w:r>
    </w:p>
  </w:endnote>
  <w:endnote w:id="417">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انظر: مرتضى مطهَّري، نظام حقوق المرأة في الإسلام: 177، معاونية العلاقات الدولية في منظمة الإعلام الإسلامي، طهران، ط3، 1407هـ. </w:t>
      </w:r>
    </w:p>
  </w:endnote>
  <w:endnote w:id="418">
    <w:p w:rsidR="00DB2356" w:rsidRPr="006571AC" w:rsidRDefault="00DB2356" w:rsidP="000D15D9">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ناصر مكارم الشيرازي، الزواج المثالي 1: 30، مدرسة الإمام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عليّ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أبي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طالب</w:t>
      </w:r>
      <w:r w:rsidRPr="006571AC">
        <w:rPr>
          <w:rFonts w:ascii="Mosawi" w:hAnsi="Mosawi" w:cs="Mosawi"/>
          <w:rtl/>
        </w:rPr>
        <w:t>×</w:t>
      </w:r>
      <w:r w:rsidRPr="006571AC">
        <w:rPr>
          <w:rFonts w:ascii="Lotus Linotype" w:hAnsi="Lotus Linotype" w:cs="DanaFajr" w:hint="cs"/>
          <w:sz w:val="28"/>
          <w:szCs w:val="28"/>
          <w:rtl/>
        </w:rPr>
        <w:t>، قم، ط1، 1430هـ.</w:t>
      </w:r>
    </w:p>
  </w:endnote>
  <w:endnote w:id="419">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مرتضى مطهَّري، نظام حقوق المرأة في الإسلام: 180، 181.</w:t>
      </w:r>
    </w:p>
  </w:endnote>
  <w:endnote w:id="420">
    <w:p w:rsidR="00DB2356" w:rsidRPr="006571AC" w:rsidRDefault="00DB2356" w:rsidP="00C56D60">
      <w:pPr>
        <w:pStyle w:val="aa"/>
        <w:spacing w:line="315" w:lineRule="exact"/>
        <w:ind w:firstLine="0"/>
        <w:rPr>
          <w:rFonts w:ascii="Lotus Linotype" w:hAnsi="Lotus Linotype" w:cs="DanaFajr"/>
          <w:sz w:val="28"/>
          <w:szCs w:val="28"/>
          <w:rtl/>
          <w:lang w:bidi="fa-IR"/>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انظر: </w:t>
      </w:r>
      <w:r w:rsidRPr="006571AC">
        <w:rPr>
          <w:rFonts w:ascii="Lotus Linotype" w:hAnsi="Lotus Linotype"/>
          <w:sz w:val="22"/>
          <w:szCs w:val="22"/>
          <w:rtl/>
        </w:rPr>
        <w:t>«</w:t>
      </w:r>
      <w:r w:rsidRPr="006571AC">
        <w:rPr>
          <w:rFonts w:ascii="Lotus Linotype" w:hAnsi="Lotus Linotype" w:cs="DanaFajr" w:hint="cs"/>
          <w:sz w:val="28"/>
          <w:szCs w:val="28"/>
          <w:rtl/>
        </w:rPr>
        <w:t>تاريخچه</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تدوين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قانون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مدني</w:t>
      </w:r>
      <w:r w:rsidRPr="006571AC">
        <w:rPr>
          <w:rFonts w:ascii="Lotus Linotype" w:hAnsi="Lotus Linotype" w:hint="eastAsia"/>
          <w:sz w:val="22"/>
          <w:szCs w:val="22"/>
          <w:rtl/>
        </w:rPr>
        <w:t>»</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مؤرشفة من الأصلي في 22 مايو 2008م، وتمّ استرجاعه في 22 أبريل 2009م.</w:t>
      </w:r>
      <w:r w:rsidRPr="006571AC">
        <w:rPr>
          <w:rFonts w:ascii="Lotus Linotype" w:hAnsi="Lotus Linotype" w:cs="DanaFajr"/>
          <w:sz w:val="28"/>
          <w:szCs w:val="28"/>
          <w:rtl/>
          <w:lang w:bidi="fa-IR"/>
        </w:rPr>
        <w:t xml:space="preserve"> </w:t>
      </w:r>
    </w:p>
  </w:endnote>
  <w:endnote w:id="421">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العاملي، وسائل الشيعة 21: 229، ح1. </w:t>
      </w:r>
    </w:p>
  </w:endnote>
  <w:endnote w:id="422">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المصدر نفسه. </w:t>
      </w:r>
    </w:p>
  </w:endnote>
  <w:endnote w:id="423">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المصدر نفسه</w:t>
      </w:r>
      <w:r w:rsidRPr="006571AC">
        <w:rPr>
          <w:rFonts w:ascii="Lotus Linotype" w:hAnsi="Lotus Linotype" w:cs="DanaFajr"/>
          <w:sz w:val="28"/>
          <w:szCs w:val="28"/>
          <w:rtl/>
        </w:rPr>
        <w:t xml:space="preserve">. </w:t>
      </w:r>
    </w:p>
  </w:endnote>
  <w:endnote w:id="424">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حسن النجفي، جواهر الكلام 31: 3.</w:t>
      </w:r>
    </w:p>
  </w:endnote>
  <w:endnote w:id="425">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روح الله الموسوي الخميني، تحرير الوسيلة 2: 282،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تنظيم</w:t>
      </w:r>
      <w:r w:rsidRPr="006571AC">
        <w:rPr>
          <w:rFonts w:ascii="Lotus Linotype" w:hAnsi="Lotus Linotype" w:cs="DanaFajr"/>
          <w:sz w:val="28"/>
          <w:szCs w:val="28"/>
          <w:rtl/>
        </w:rPr>
        <w:t xml:space="preserve"> و</w:t>
      </w:r>
      <w:r w:rsidRPr="006571AC">
        <w:rPr>
          <w:rFonts w:ascii="Lotus Linotype" w:hAnsi="Lotus Linotype" w:cs="DanaFajr" w:hint="cs"/>
          <w:sz w:val="28"/>
          <w:szCs w:val="28"/>
          <w:rtl/>
        </w:rPr>
        <w:t>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آثار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الإمام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الخميني، طهران. </w:t>
      </w:r>
    </w:p>
  </w:endnote>
  <w:endnote w:id="426">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ناصر مكارم الشيرازي، أنوار الفقاهة في شرح تحرير الوسيلة 3: 128،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تنظيم</w:t>
      </w:r>
      <w:r w:rsidRPr="006571AC">
        <w:rPr>
          <w:rFonts w:ascii="Lotus Linotype" w:hAnsi="Lotus Linotype" w:cs="DanaFajr"/>
          <w:sz w:val="28"/>
          <w:szCs w:val="28"/>
          <w:rtl/>
        </w:rPr>
        <w:t xml:space="preserve"> و</w:t>
      </w:r>
      <w:r w:rsidRPr="006571AC">
        <w:rPr>
          <w:rFonts w:ascii="Lotus Linotype" w:hAnsi="Lotus Linotype" w:cs="DanaFajr" w:hint="cs"/>
          <w:sz w:val="28"/>
          <w:szCs w:val="28"/>
          <w:rtl/>
        </w:rPr>
        <w:t>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آثار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الإمام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الخميني، طهران، ط1، 1386هـ.ش. </w:t>
      </w:r>
    </w:p>
  </w:endnote>
  <w:endnote w:id="427">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محمد بن يوسف الحلّي، إيضاح الفوائد 3: 127، مؤسّسة إسماعيليان، قم، ط1، 1387ش. </w:t>
      </w:r>
    </w:p>
  </w:endnote>
  <w:endnote w:id="428">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عليّ بن الحسين (المحقِّق الكركي)، جامع</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المقاصد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القواعد 13: 20، مؤسّسة آل البيت</w:t>
      </w:r>
      <w:r w:rsidRPr="006571AC">
        <w:rPr>
          <w:rFonts w:ascii="Mosawi" w:hAnsi="Mosawi" w:cs="Mosawi"/>
          <w:rtl/>
        </w:rPr>
        <w:t>^</w:t>
      </w:r>
      <w:r w:rsidRPr="006571AC">
        <w:rPr>
          <w:rFonts w:ascii="Lotus Linotype" w:hAnsi="Lotus Linotype" w:cs="DanaFajr" w:hint="cs"/>
          <w:sz w:val="28"/>
          <w:szCs w:val="28"/>
          <w:rtl/>
        </w:rPr>
        <w:t xml:space="preserve"> لإحياء التراث، قم، ط2، 1414هـ. </w:t>
      </w:r>
    </w:p>
  </w:endnote>
  <w:endnote w:id="429">
    <w:p w:rsidR="00DB2356" w:rsidRPr="006571AC" w:rsidRDefault="00DB2356" w:rsidP="000D15D9">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محمد بن الحسن </w:t>
      </w:r>
      <w:r w:rsidRPr="006571AC">
        <w:rPr>
          <w:rFonts w:ascii="Lotus Linotype" w:hAnsi="Lotus Linotype" w:cs="DanaFajr" w:hint="cs"/>
          <w:sz w:val="28"/>
          <w:szCs w:val="28"/>
          <w:rtl/>
        </w:rPr>
        <w:t>بن يوسف بن مطهَّر الحلّي (فخر المحقّقين)، إيضاح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الفوائد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مشكلات</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القواعد 2: 32، مؤسّسة آل البيت</w:t>
      </w:r>
      <w:r w:rsidRPr="006571AC">
        <w:rPr>
          <w:rFonts w:ascii="Mosawi" w:hAnsi="Mosawi" w:cs="Mosawi"/>
          <w:rtl/>
        </w:rPr>
        <w:t>^</w:t>
      </w:r>
      <w:r w:rsidRPr="006571AC">
        <w:rPr>
          <w:rFonts w:ascii="Lotus Linotype" w:hAnsi="Lotus Linotype" w:cs="DanaFajr" w:hint="cs"/>
          <w:sz w:val="28"/>
          <w:szCs w:val="28"/>
          <w:rtl/>
        </w:rPr>
        <w:t xml:space="preserve"> لإحياء التراث، مشهد، ط1. </w:t>
      </w:r>
    </w:p>
  </w:endnote>
  <w:endnote w:id="430">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ابن أحمد بن إدريس الحلّي، السرائر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الحاوي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لتحرير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الفتاوي 2: 585،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الإسلامي، قم، ط2، 1410هـ. </w:t>
      </w:r>
    </w:p>
  </w:endnote>
  <w:endnote w:id="431">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زين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الدين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علي (الشهيد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الثاني)، الروضة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البهية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اللمعة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الدمشقية </w:t>
      </w:r>
      <w:r w:rsidRPr="006571AC">
        <w:rPr>
          <w:rFonts w:ascii="Lotus Linotype" w:hAnsi="Lotus Linotype" w:cs="DanaFajr" w:hint="cs"/>
          <w:sz w:val="28"/>
          <w:szCs w:val="28"/>
          <w:rtl/>
          <w:lang w:bidi="fa-IR"/>
        </w:rPr>
        <w:t>3: 272، مجمع الفكر، قم، ط13، 1</w:t>
      </w:r>
      <w:r w:rsidRPr="006571AC">
        <w:rPr>
          <w:rFonts w:ascii="Lotus Linotype" w:hAnsi="Lotus Linotype" w:cs="DanaFajr" w:hint="cs"/>
          <w:sz w:val="28"/>
          <w:szCs w:val="28"/>
          <w:rtl/>
        </w:rPr>
        <w:t>4</w:t>
      </w:r>
      <w:r w:rsidRPr="006571AC">
        <w:rPr>
          <w:rFonts w:ascii="Lotus Linotype" w:hAnsi="Lotus Linotype" w:cs="DanaFajr" w:hint="cs"/>
          <w:sz w:val="28"/>
          <w:szCs w:val="28"/>
          <w:rtl/>
          <w:lang w:bidi="fa-IR"/>
        </w:rPr>
        <w:t>37هـ؛ الفاضل</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المقداد السيوري الحلّي، التنقيح</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الرائع</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لمختصر</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الشرائع 3</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22</w:t>
      </w:r>
      <w:r w:rsidRPr="006571AC">
        <w:rPr>
          <w:rFonts w:ascii="Lotus Linotype" w:hAnsi="Lotus Linotype" w:cs="DanaFajr" w:hint="cs"/>
          <w:sz w:val="28"/>
          <w:szCs w:val="28"/>
          <w:rtl/>
        </w:rPr>
        <w:t>6</w:t>
      </w:r>
      <w:r w:rsidRPr="006571AC">
        <w:rPr>
          <w:rFonts w:ascii="Lotus Linotype" w:hAnsi="Lotus Linotype" w:cs="DanaFajr" w:hint="cs"/>
          <w:sz w:val="28"/>
          <w:szCs w:val="28"/>
          <w:rtl/>
          <w:lang w:bidi="fa-IR"/>
        </w:rPr>
        <w:t>، منشورات مکتبة</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السيد</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المرعشي</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النجفي</w:t>
      </w:r>
      <w:r w:rsidRPr="006571AC">
        <w:rPr>
          <w:rFonts w:ascii="Lotus Linotype" w:hAnsi="Lotus Linotype" w:cs="DanaFajr" w:hint="cs"/>
          <w:sz w:val="28"/>
          <w:szCs w:val="28"/>
          <w:rtl/>
        </w:rPr>
        <w:t xml:space="preserve">، قم، ط1، 1404هـ؛ محمد بن الحسن الفاضل الأصفهاني، كشف اللثام 2: 86، </w:t>
      </w:r>
      <w:r w:rsidRPr="006571AC">
        <w:rPr>
          <w:rFonts w:ascii="Lotus Linotype" w:hAnsi="Lotus Linotype" w:cs="DanaFajr" w:hint="cs"/>
          <w:sz w:val="28"/>
          <w:szCs w:val="28"/>
          <w:rtl/>
          <w:lang w:bidi="fa-IR"/>
        </w:rPr>
        <w:t>منشورات</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مكتبة</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السيد</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المرعشي</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النجفي،</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قم</w:t>
      </w:r>
      <w:r w:rsidRPr="006571AC">
        <w:rPr>
          <w:rFonts w:ascii="Lotus Linotype" w:hAnsi="Lotus Linotype" w:cs="DanaFajr" w:hint="cs"/>
          <w:sz w:val="28"/>
          <w:szCs w:val="28"/>
          <w:rtl/>
        </w:rPr>
        <w:t xml:space="preserve">، 1405هـ. </w:t>
      </w:r>
    </w:p>
  </w:endnote>
  <w:endnote w:id="432">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علم الهدى الشريف المرتضى، الناصريات (الجوامع الفقهية): </w:t>
      </w:r>
      <w:r w:rsidRPr="006571AC">
        <w:rPr>
          <w:rFonts w:ascii="Lotus Linotype" w:hAnsi="Lotus Linotype" w:cs="DanaFajr"/>
          <w:sz w:val="28"/>
          <w:szCs w:val="28"/>
          <w:rtl/>
        </w:rPr>
        <w:t>335</w:t>
      </w:r>
      <w:r w:rsidRPr="006571AC">
        <w:rPr>
          <w:rFonts w:ascii="Lotus Linotype" w:hAnsi="Lotus Linotype" w:cs="DanaFajr" w:hint="cs"/>
          <w:sz w:val="28"/>
          <w:szCs w:val="28"/>
          <w:rtl/>
        </w:rPr>
        <w:t>، رابطة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الثقافة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والعلاقات</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الإسلامية، </w:t>
      </w:r>
      <w:r w:rsidRPr="006571AC">
        <w:rPr>
          <w:rFonts w:ascii="Lotus Linotype" w:hAnsi="Lotus Linotype" w:cs="DanaFajr"/>
          <w:sz w:val="28"/>
          <w:szCs w:val="28"/>
          <w:rtl/>
        </w:rPr>
        <w:t>1417</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ـ 1997م</w:t>
      </w:r>
      <w:r w:rsidRPr="006571AC">
        <w:rPr>
          <w:rFonts w:ascii="Lotus Linotype" w:hAnsi="Lotus Linotype" w:cs="DanaFajr" w:hint="cs"/>
          <w:sz w:val="28"/>
          <w:szCs w:val="28"/>
          <w:rtl/>
        </w:rPr>
        <w:t xml:space="preserve">. </w:t>
      </w:r>
    </w:p>
  </w:endnote>
  <w:endnote w:id="433">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بن يعقوب الكليني، الكافي 6: 118، ح2.</w:t>
      </w:r>
    </w:p>
  </w:endnote>
  <w:endnote w:id="434">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المصدر السابق </w:t>
      </w:r>
      <w:r w:rsidRPr="006571AC">
        <w:rPr>
          <w:rFonts w:ascii="Lotus Linotype" w:hAnsi="Lotus Linotype" w:cs="DanaFajr"/>
          <w:sz w:val="28"/>
          <w:szCs w:val="28"/>
          <w:rtl/>
        </w:rPr>
        <w:t xml:space="preserve">6: </w:t>
      </w:r>
      <w:r w:rsidRPr="006571AC">
        <w:rPr>
          <w:rFonts w:ascii="Lotus Linotype" w:hAnsi="Lotus Linotype" w:cs="DanaFajr" w:hint="cs"/>
          <w:sz w:val="28"/>
          <w:szCs w:val="28"/>
          <w:rtl/>
        </w:rPr>
        <w:t>109، ح5.</w:t>
      </w:r>
      <w:r w:rsidRPr="006571AC">
        <w:rPr>
          <w:rFonts w:ascii="Lotus Linotype" w:hAnsi="Lotus Linotype" w:cs="DanaFajr"/>
          <w:sz w:val="28"/>
          <w:szCs w:val="28"/>
          <w:rtl/>
        </w:rPr>
        <w:t xml:space="preserve"> </w:t>
      </w:r>
    </w:p>
  </w:endnote>
  <w:endnote w:id="435">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الفاضل</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الأصفهاني، كشف</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اللثام </w:t>
      </w:r>
      <w:r w:rsidRPr="006571AC">
        <w:rPr>
          <w:rFonts w:ascii="Lotus Linotype" w:hAnsi="Lotus Linotype" w:cs="DanaFajr"/>
          <w:sz w:val="28"/>
          <w:szCs w:val="28"/>
          <w:rtl/>
        </w:rPr>
        <w:t>2: 86</w:t>
      </w:r>
      <w:r w:rsidRPr="006571AC">
        <w:rPr>
          <w:rFonts w:ascii="Lotus Linotype" w:hAnsi="Lotus Linotype" w:cs="DanaFajr" w:hint="cs"/>
          <w:sz w:val="28"/>
          <w:szCs w:val="28"/>
          <w:rtl/>
        </w:rPr>
        <w:t xml:space="preserve">. </w:t>
      </w:r>
    </w:p>
  </w:endnote>
  <w:endnote w:id="436">
    <w:p w:rsidR="00DB2356" w:rsidRPr="006571AC" w:rsidRDefault="00DB2356" w:rsidP="00C56D60">
      <w:pPr>
        <w:pStyle w:val="aa"/>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فخر المحقّقين، إيضاح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الفوائد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مشكلات</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القواعد 2: 32.</w:t>
      </w:r>
    </w:p>
  </w:endnote>
  <w:endnote w:id="437">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 محمد المفيد، المقنعة: 109، المؤتمر العالمي لألفية الشيخ المفيد، قم، ط1، 1413هـ؛ محمد بن الحسن الطوسي، النهاية في مجرد الفقه والفتاوي: 470،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الكتاب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العربي، بيروت، ط2، 1400هـ. </w:t>
      </w:r>
    </w:p>
  </w:endnote>
  <w:endnote w:id="438">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 الطوسي، تهذيب الأحكام في شرح المقنعة 7: 369، ح1494،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الكتب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العلمية، طهران، ط4، 1365هـ.ش. </w:t>
      </w:r>
    </w:p>
  </w:endnote>
  <w:endnote w:id="439">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الحسن الطوسي، المبسوط في فقه الإمامية 4: 308. </w:t>
      </w:r>
    </w:p>
  </w:endnote>
  <w:endnote w:id="440">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علي العاملي، نهاية المرام في مجمع تتميم الفائدة والبرهان 1: 410،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الإسلامي، قم، ط1، 1413هـ. </w:t>
      </w:r>
    </w:p>
  </w:endnote>
  <w:endnote w:id="441">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زين الدين بن علي (الشهيد الثاني)، مسالك الأفهام 8: 291،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المعارف</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الإسلامية.</w:t>
      </w:r>
    </w:p>
  </w:endnote>
  <w:endnote w:id="442">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المصدر السابق </w:t>
      </w:r>
      <w:r w:rsidRPr="006571AC">
        <w:rPr>
          <w:rFonts w:ascii="Lotus Linotype" w:hAnsi="Lotus Linotype" w:cs="DanaFajr"/>
          <w:sz w:val="28"/>
          <w:szCs w:val="28"/>
          <w:rtl/>
        </w:rPr>
        <w:t xml:space="preserve">8: </w:t>
      </w:r>
      <w:r w:rsidRPr="006571AC">
        <w:rPr>
          <w:rFonts w:ascii="Lotus Linotype" w:hAnsi="Lotus Linotype" w:cs="DanaFajr" w:hint="cs"/>
          <w:sz w:val="28"/>
          <w:szCs w:val="28"/>
          <w:rtl/>
        </w:rPr>
        <w:t>273، 291، مؤسّسة النشر الإسلامي، قم، 1415هـ.</w:t>
      </w:r>
    </w:p>
  </w:endnote>
  <w:endnote w:id="443">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السيد المرتضى، الانتصار: 292، مسألة 164. </w:t>
      </w:r>
    </w:p>
  </w:endnote>
  <w:endnote w:id="444">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جعفر السبحاني، نظام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النكاح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الشريعة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الإسلامية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الغرّاء 2: 171،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الإمام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الصادق</w:t>
      </w:r>
      <w:r w:rsidRPr="006571AC">
        <w:rPr>
          <w:rFonts w:ascii="Mosawi" w:hAnsi="Mosawi" w:cs="Mosawi"/>
          <w:rtl/>
        </w:rPr>
        <w:t>×</w:t>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قم، 1416هـ. </w:t>
      </w:r>
    </w:p>
  </w:endnote>
  <w:endnote w:id="445">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الشيخ المفيد، رسالة في المهر: 4، المؤتمر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العالمي لألفية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الشيخ</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المفيد، قم، ط1، 1413هـ. </w:t>
      </w:r>
    </w:p>
  </w:endnote>
  <w:endnote w:id="446">
    <w:p w:rsidR="00DB2356" w:rsidRPr="006571AC" w:rsidRDefault="00DB2356" w:rsidP="00817501">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النعمان المغربي، دعائم الإسلام 2: 224، ح837.</w:t>
      </w:r>
    </w:p>
  </w:endnote>
  <w:endnote w:id="447">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بن يعقوب الكليني، الكافي 5: 375، ح5.</w:t>
      </w:r>
    </w:p>
  </w:endnote>
  <w:endnote w:id="448">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محمد بن محمد المفيد، رسالة في المهر: 26. </w:t>
      </w:r>
    </w:p>
  </w:endnote>
  <w:endnote w:id="449">
    <w:p w:rsidR="00DB2356" w:rsidRPr="006571AC" w:rsidRDefault="00DB2356" w:rsidP="00C56D60">
      <w:pPr>
        <w:pStyle w:val="aa"/>
        <w:spacing w:line="315" w:lineRule="exact"/>
        <w:ind w:firstLine="0"/>
        <w:rPr>
          <w:rFonts w:ascii="Lotus Linotype" w:hAnsi="Lotus Linotype" w:cs="DanaFajr"/>
          <w:spacing w:val="-4"/>
          <w:sz w:val="28"/>
          <w:szCs w:val="28"/>
          <w:rtl/>
        </w:rPr>
      </w:pPr>
      <w:r w:rsidRPr="006571AC">
        <w:rPr>
          <w:rFonts w:ascii="Lotus Linotype" w:hAnsi="Lotus Linotype" w:cs="DanaFajr"/>
          <w:spacing w:val="-4"/>
          <w:sz w:val="28"/>
          <w:szCs w:val="28"/>
          <w:rtl/>
        </w:rPr>
        <w:t>(</w:t>
      </w:r>
      <w:r w:rsidRPr="006571AC">
        <w:rPr>
          <w:rFonts w:ascii="Lotus Linotype" w:hAnsi="Lotus Linotype" w:cs="DanaFajr"/>
          <w:spacing w:val="-4"/>
          <w:sz w:val="28"/>
          <w:szCs w:val="28"/>
          <w:rtl/>
        </w:rPr>
        <w:endnoteRef/>
      </w:r>
      <w:r w:rsidRPr="006571AC">
        <w:rPr>
          <w:rFonts w:ascii="Lotus Linotype" w:hAnsi="Lotus Linotype" w:cs="DanaFajr"/>
          <w:spacing w:val="-4"/>
          <w:sz w:val="28"/>
          <w:szCs w:val="28"/>
          <w:rtl/>
        </w:rPr>
        <w:t xml:space="preserve">) </w:t>
      </w:r>
      <w:r w:rsidRPr="006571AC">
        <w:rPr>
          <w:rFonts w:ascii="Lotus Linotype" w:hAnsi="Lotus Linotype" w:cs="DanaFajr" w:hint="cs"/>
          <w:spacing w:val="-4"/>
          <w:sz w:val="28"/>
          <w:szCs w:val="28"/>
          <w:rtl/>
        </w:rPr>
        <w:t>محمد بن الحسن الطوسي، تهذيب الأحكام 7: 260، ح52.</w:t>
      </w:r>
    </w:p>
  </w:endnote>
  <w:endnote w:id="450">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محمد بن محمد المفيد، رسالة في المهر: 5، 6.</w:t>
      </w:r>
    </w:p>
  </w:endnote>
  <w:endnote w:id="451">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السيد المرتضى، الانتصار: 292. </w:t>
      </w:r>
    </w:p>
  </w:endnote>
  <w:endnote w:id="452">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محمد بن الحسن الطوسي، تهذيب الأحكام 7: 261، ح27. </w:t>
      </w:r>
    </w:p>
  </w:endnote>
  <w:endnote w:id="453">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السيد المرتضى، الانتصار: 292.</w:t>
      </w:r>
    </w:p>
  </w:endnote>
  <w:endnote w:id="454">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محمد بن الحسن الطوسي، تهذيب الأحكام 7: 261، ح28. </w:t>
      </w:r>
    </w:p>
  </w:endnote>
  <w:endnote w:id="455">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 بن يوسف المطهَّر الحلّي، مختلف الشيعة 7: 130،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الإسلامي، قم، ط1، 1418هـ. </w:t>
      </w:r>
    </w:p>
  </w:endnote>
  <w:endnote w:id="456">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محمد بن محمد المفيد، رسالة في المهر: 6.</w:t>
      </w:r>
    </w:p>
  </w:endnote>
  <w:endnote w:id="457">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 بن يوسف المطهَّر الحلّي، مختلف الشيعة 7: 130.</w:t>
      </w:r>
    </w:p>
  </w:endnote>
  <w:endnote w:id="458">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القانون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المدني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مع</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الإصلاحات</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الأخيرة، </w:t>
      </w:r>
      <w:r w:rsidRPr="006571AC">
        <w:rPr>
          <w:rStyle w:val="q4iawc"/>
          <w:rFonts w:cs="DanaFajr" w:hint="cs"/>
          <w:sz w:val="28"/>
          <w:szCs w:val="28"/>
          <w:rtl/>
          <w:lang w:bidi="ar"/>
        </w:rPr>
        <w:t>تمَّت المصادقة عليه بتاريخ: 18 مايو 1380، في نشر المصنَّفات وتنفيذ القوانين بشكلٍ عام</w:t>
      </w:r>
      <w:r w:rsidRPr="006571AC">
        <w:rPr>
          <w:rFonts w:ascii="Lotus Linotype" w:hAnsi="Lotus Linotype" w:cs="DanaFajr"/>
          <w:sz w:val="28"/>
          <w:szCs w:val="28"/>
          <w:rtl/>
        </w:rPr>
        <w:t>.</w:t>
      </w:r>
    </w:p>
  </w:endnote>
  <w:endnote w:id="459">
    <w:p w:rsidR="00DB2356" w:rsidRPr="006571AC" w:rsidRDefault="00DB2356" w:rsidP="00C56D60">
      <w:pPr>
        <w:pStyle w:val="aa"/>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انظر: </w:t>
      </w:r>
      <w:r w:rsidRPr="006571AC">
        <w:rPr>
          <w:rFonts w:asciiTheme="majorBidi" w:hAnsiTheme="majorBidi" w:cstheme="majorBidi"/>
        </w:rPr>
        <w:t>https://www.isna.ir/news</w:t>
      </w:r>
      <w:r w:rsidRPr="006571AC">
        <w:rPr>
          <w:rFonts w:asciiTheme="majorBidi" w:hAnsiTheme="majorBidi" w:cs="DanaFajr"/>
          <w:sz w:val="28"/>
          <w:szCs w:val="28"/>
          <w:rtl/>
        </w:rPr>
        <w:t>.</w:t>
      </w:r>
      <w:r w:rsidRPr="006571AC">
        <w:rPr>
          <w:rFonts w:ascii="Lotus Linotype" w:hAnsi="Lotus Linotype" w:cs="DanaFajr" w:hint="cs"/>
          <w:sz w:val="28"/>
          <w:szCs w:val="28"/>
          <w:rtl/>
        </w:rPr>
        <w:t xml:space="preserve"> </w:t>
      </w:r>
    </w:p>
  </w:endnote>
  <w:endnote w:id="460">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محمد حسين فضل الله، من وحي القرآن 21: 185، دار الملاك، بيروت، ط2، 1419هـ. </w:t>
      </w:r>
    </w:p>
  </w:endnote>
  <w:endnote w:id="461">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محمد حسين الطباطبائي، الميزان في تفسير القرآن 18: 353، مؤسسة النشر الإسلامي</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قم</w:t>
      </w:r>
      <w:r w:rsidRPr="006571AC">
        <w:rPr>
          <w:rFonts w:cs="DanaFajr" w:hint="cs"/>
          <w:sz w:val="28"/>
          <w:szCs w:val="28"/>
          <w:rtl/>
          <w:lang w:bidi="ar-LB"/>
        </w:rPr>
        <w:t xml:space="preserve">. </w:t>
      </w:r>
    </w:p>
  </w:endnote>
  <w:endnote w:id="462">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فضل الله، من وحي القرآن 1: 7 ـ 8. </w:t>
      </w:r>
    </w:p>
  </w:endnote>
  <w:endnote w:id="463">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المصدر السابق 7: 106. </w:t>
      </w:r>
    </w:p>
  </w:endnote>
  <w:endnote w:id="464">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الميزان في تفسير القرآن 4: 166. </w:t>
      </w:r>
    </w:p>
  </w:endnote>
  <w:endnote w:id="465">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المصدر السابق 18: 83. </w:t>
      </w:r>
    </w:p>
  </w:endnote>
  <w:endnote w:id="466">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فضل الله، من وحي القرآن 20: 121. </w:t>
      </w:r>
    </w:p>
  </w:endnote>
  <w:endnote w:id="467">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الطباطبائي، الميزان في تفسير القرآن 10: 130 ـ 131. </w:t>
      </w:r>
    </w:p>
  </w:endnote>
  <w:endnote w:id="468">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فضل الله، من وحي القرآن 12: 7 ـ 8. </w:t>
      </w:r>
    </w:p>
  </w:endnote>
  <w:endnote w:id="469">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المصدر السابق 5: 57 ـ 58. </w:t>
      </w:r>
    </w:p>
  </w:endnote>
  <w:endnote w:id="470">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الميزان في تفسير القرآن 2: 349 ـ 350. </w:t>
      </w:r>
    </w:p>
  </w:endnote>
  <w:endnote w:id="471">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فضل الله، من وحي القرآن 7: 107. </w:t>
      </w:r>
    </w:p>
  </w:endnote>
  <w:endnote w:id="472">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على سبيل المثال، الآية 7 من سورة التحريم في: الطباطبائي، الميزان في تفسير القرآن 19: 388. </w:t>
      </w:r>
    </w:p>
  </w:endnote>
  <w:endnote w:id="473">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محمد بن الحسن الصفّار، بصائر الدرجات الكبرى في فضائل آل محمد 1: 196، تصحيح وتعليق وتقديم: حسن كوچه باغي، منشورات الأعلمي، طهران، 1404هـ.</w:t>
      </w:r>
    </w:p>
  </w:endnote>
  <w:endnote w:id="474">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محمد باقر المجلسي، بحار الأنوار الجامعة لدرر أخبار الأئمة الأطهار 89: 95، مؤسّسة الوفاء، بيروت، ط2، 1403هـ.</w:t>
      </w:r>
    </w:p>
  </w:endnote>
  <w:endnote w:id="475">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محمد بن يعقوب الكليني، الكافي</w:t>
      </w:r>
      <w:r w:rsidRPr="006571AC">
        <w:rPr>
          <w:rFonts w:cs="DanaFajr"/>
          <w:sz w:val="28"/>
          <w:szCs w:val="28"/>
          <w:rtl/>
          <w:lang w:bidi="ar-LB"/>
        </w:rPr>
        <w:t xml:space="preserve"> 4</w:t>
      </w:r>
      <w:r w:rsidRPr="006571AC">
        <w:rPr>
          <w:rFonts w:cs="DanaFajr" w:hint="cs"/>
          <w:sz w:val="28"/>
          <w:szCs w:val="28"/>
          <w:rtl/>
          <w:lang w:bidi="ar-LB"/>
        </w:rPr>
        <w:t xml:space="preserve">: </w:t>
      </w:r>
      <w:r w:rsidRPr="006571AC">
        <w:rPr>
          <w:rFonts w:cs="DanaFajr"/>
          <w:sz w:val="28"/>
          <w:szCs w:val="28"/>
          <w:rtl/>
          <w:lang w:bidi="ar-LB"/>
        </w:rPr>
        <w:t>549</w:t>
      </w:r>
      <w:r w:rsidRPr="006571AC">
        <w:rPr>
          <w:rFonts w:cs="DanaFajr" w:hint="cs"/>
          <w:sz w:val="28"/>
          <w:szCs w:val="28"/>
          <w:rtl/>
          <w:lang w:bidi="ar-LB"/>
        </w:rPr>
        <w:t>، كتاب</w:t>
      </w:r>
      <w:r w:rsidRPr="006571AC">
        <w:rPr>
          <w:rFonts w:cs="DanaFajr"/>
          <w:sz w:val="28"/>
          <w:szCs w:val="28"/>
          <w:rtl/>
          <w:lang w:bidi="ar-LB"/>
        </w:rPr>
        <w:t xml:space="preserve"> </w:t>
      </w:r>
      <w:r w:rsidRPr="006571AC">
        <w:rPr>
          <w:rFonts w:cs="DanaFajr" w:hint="cs"/>
          <w:sz w:val="28"/>
          <w:szCs w:val="28"/>
          <w:rtl/>
          <w:lang w:bidi="ar-LB"/>
        </w:rPr>
        <w:t>الحجّ، أبواب</w:t>
      </w:r>
      <w:r w:rsidRPr="006571AC">
        <w:rPr>
          <w:rFonts w:cs="DanaFajr"/>
          <w:sz w:val="28"/>
          <w:szCs w:val="28"/>
          <w:rtl/>
          <w:lang w:bidi="ar-LB"/>
        </w:rPr>
        <w:t xml:space="preserve"> </w:t>
      </w:r>
      <w:r w:rsidRPr="006571AC">
        <w:rPr>
          <w:rFonts w:cs="DanaFajr" w:hint="cs"/>
          <w:sz w:val="28"/>
          <w:szCs w:val="28"/>
          <w:rtl/>
          <w:lang w:bidi="ar-LB"/>
        </w:rPr>
        <w:t>الزيارات، باب</w:t>
      </w:r>
      <w:r w:rsidRPr="006571AC">
        <w:rPr>
          <w:rFonts w:cs="DanaFajr"/>
          <w:sz w:val="28"/>
          <w:szCs w:val="28"/>
          <w:rtl/>
          <w:lang w:bidi="ar-LB"/>
        </w:rPr>
        <w:t xml:space="preserve"> </w:t>
      </w:r>
      <w:r w:rsidRPr="006571AC">
        <w:rPr>
          <w:rFonts w:cs="DanaFajr" w:hint="cs"/>
          <w:sz w:val="28"/>
          <w:szCs w:val="28"/>
          <w:rtl/>
          <w:lang w:bidi="ar-LB"/>
        </w:rPr>
        <w:t>إتباع</w:t>
      </w:r>
      <w:r w:rsidRPr="006571AC">
        <w:rPr>
          <w:rFonts w:cs="DanaFajr"/>
          <w:sz w:val="28"/>
          <w:szCs w:val="28"/>
          <w:rtl/>
          <w:lang w:bidi="ar-LB"/>
        </w:rPr>
        <w:t xml:space="preserve"> </w:t>
      </w:r>
      <w:r w:rsidRPr="006571AC">
        <w:rPr>
          <w:rFonts w:cs="DanaFajr" w:hint="cs"/>
          <w:sz w:val="28"/>
          <w:szCs w:val="28"/>
          <w:rtl/>
          <w:lang w:bidi="ar-LB"/>
        </w:rPr>
        <w:t>الحجّ</w:t>
      </w:r>
      <w:r w:rsidRPr="006571AC">
        <w:rPr>
          <w:rFonts w:cs="DanaFajr"/>
          <w:sz w:val="28"/>
          <w:szCs w:val="28"/>
          <w:rtl/>
          <w:lang w:bidi="ar-LB"/>
        </w:rPr>
        <w:t xml:space="preserve"> </w:t>
      </w:r>
      <w:r w:rsidRPr="006571AC">
        <w:rPr>
          <w:rFonts w:cs="DanaFajr" w:hint="cs"/>
          <w:sz w:val="28"/>
          <w:szCs w:val="28"/>
          <w:rtl/>
          <w:lang w:bidi="ar-LB"/>
        </w:rPr>
        <w:t>بالزيارة، ح</w:t>
      </w:r>
      <w:r w:rsidRPr="006571AC">
        <w:rPr>
          <w:rFonts w:cs="DanaFajr"/>
          <w:sz w:val="28"/>
          <w:szCs w:val="28"/>
          <w:rtl/>
          <w:lang w:bidi="ar-LB"/>
        </w:rPr>
        <w:t xml:space="preserve"> 4</w:t>
      </w:r>
      <w:r w:rsidRPr="006571AC">
        <w:rPr>
          <w:rFonts w:cs="DanaFajr" w:hint="cs"/>
          <w:sz w:val="28"/>
          <w:szCs w:val="28"/>
          <w:rtl/>
          <w:lang w:bidi="ar-LB"/>
        </w:rPr>
        <w:t>، تصحيح وتعليق: علي أكبر الغفاري، دار الكتب الإسلامية، طهران، ط5، 1363هـ.ش.</w:t>
      </w:r>
    </w:p>
  </w:endnote>
  <w:endnote w:id="476">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محمد حسين الطباطبائي، القرآن في الإسلام 47 ـ 48، تعريب: أحمد الحسيني، دار الزهراء، بيروت، ط1، 1393هـ.</w:t>
      </w:r>
    </w:p>
  </w:endnote>
  <w:endnote w:id="477">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جواد علي كسّار، فهم القرآن </w:t>
      </w:r>
      <w:r w:rsidRPr="006571AC">
        <w:rPr>
          <w:rFonts w:cs="DanaFajr"/>
          <w:sz w:val="28"/>
          <w:szCs w:val="28"/>
          <w:rtl/>
          <w:lang w:bidi="ar-LB"/>
        </w:rPr>
        <w:t>ـ</w:t>
      </w:r>
      <w:r w:rsidRPr="006571AC">
        <w:rPr>
          <w:rFonts w:cs="DanaFajr" w:hint="cs"/>
          <w:sz w:val="28"/>
          <w:szCs w:val="28"/>
          <w:rtl/>
          <w:lang w:bidi="ar-LB"/>
        </w:rPr>
        <w:t xml:space="preserve"> دراسة على ضوء المدرسة العرفانية ـ 2: 7، مركز الحضارة لتنمية الفكر الإسلامي، بيروت، ط2، 2010م.</w:t>
      </w:r>
    </w:p>
  </w:endnote>
  <w:endnote w:id="478">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الميزان في تفسير القرآن 3: 53 ـ 54، 77 ـ 78. </w:t>
      </w:r>
    </w:p>
  </w:endnote>
  <w:endnote w:id="479">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القرآن في الإسلام: 28. </w:t>
      </w:r>
    </w:p>
  </w:endnote>
  <w:endnote w:id="480">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المصدر نفسه. </w:t>
      </w:r>
    </w:p>
  </w:endnote>
  <w:endnote w:id="481">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وإنْ</w:t>
      </w:r>
      <w:r w:rsidRPr="006571AC">
        <w:rPr>
          <w:rFonts w:cs="DanaFajr"/>
          <w:sz w:val="28"/>
          <w:szCs w:val="28"/>
          <w:rtl/>
          <w:lang w:bidi="ar-LB"/>
        </w:rPr>
        <w:t xml:space="preserve"> </w:t>
      </w:r>
      <w:r w:rsidRPr="006571AC">
        <w:rPr>
          <w:rFonts w:cs="DanaFajr" w:hint="cs"/>
          <w:sz w:val="28"/>
          <w:szCs w:val="28"/>
          <w:rtl/>
          <w:lang w:bidi="ar-LB"/>
        </w:rPr>
        <w:t>كان</w:t>
      </w:r>
      <w:r w:rsidRPr="006571AC">
        <w:rPr>
          <w:rFonts w:cs="DanaFajr"/>
          <w:sz w:val="28"/>
          <w:szCs w:val="28"/>
          <w:rtl/>
          <w:lang w:bidi="ar-LB"/>
        </w:rPr>
        <w:t xml:space="preserve"> </w:t>
      </w:r>
      <w:r w:rsidRPr="006571AC">
        <w:rPr>
          <w:rFonts w:cs="DanaFajr" w:hint="cs"/>
          <w:sz w:val="28"/>
          <w:szCs w:val="28"/>
          <w:rtl/>
          <w:lang w:bidi="ar-LB"/>
        </w:rPr>
        <w:t>حقّ</w:t>
      </w:r>
      <w:r w:rsidRPr="006571AC">
        <w:rPr>
          <w:rFonts w:cs="DanaFajr"/>
          <w:sz w:val="28"/>
          <w:szCs w:val="28"/>
          <w:rtl/>
          <w:lang w:bidi="ar-LB"/>
        </w:rPr>
        <w:t xml:space="preserve"> </w:t>
      </w:r>
      <w:r w:rsidRPr="006571AC">
        <w:rPr>
          <w:rFonts w:cs="DanaFajr" w:hint="cs"/>
          <w:sz w:val="28"/>
          <w:szCs w:val="28"/>
          <w:rtl/>
          <w:lang w:bidi="ar-LB"/>
        </w:rPr>
        <w:t>هذه</w:t>
      </w:r>
      <w:r w:rsidRPr="006571AC">
        <w:rPr>
          <w:rFonts w:cs="DanaFajr"/>
          <w:sz w:val="28"/>
          <w:szCs w:val="28"/>
          <w:rtl/>
          <w:lang w:bidi="ar-LB"/>
        </w:rPr>
        <w:t xml:space="preserve"> </w:t>
      </w:r>
      <w:r w:rsidRPr="006571AC">
        <w:rPr>
          <w:rFonts w:cs="DanaFajr" w:hint="cs"/>
          <w:sz w:val="28"/>
          <w:szCs w:val="28"/>
          <w:rtl/>
          <w:lang w:bidi="ar-LB"/>
        </w:rPr>
        <w:t>المسألة</w:t>
      </w:r>
      <w:r w:rsidRPr="006571AC">
        <w:rPr>
          <w:rFonts w:cs="DanaFajr"/>
          <w:sz w:val="28"/>
          <w:szCs w:val="28"/>
          <w:rtl/>
          <w:lang w:bidi="ar-LB"/>
        </w:rPr>
        <w:t xml:space="preserve"> </w:t>
      </w:r>
      <w:r w:rsidRPr="006571AC">
        <w:rPr>
          <w:rFonts w:cs="DanaFajr" w:hint="cs"/>
          <w:sz w:val="28"/>
          <w:szCs w:val="28"/>
          <w:rtl/>
          <w:lang w:bidi="ar-LB"/>
        </w:rPr>
        <w:t>أن</w:t>
      </w:r>
      <w:r w:rsidRPr="006571AC">
        <w:rPr>
          <w:rFonts w:cs="DanaFajr"/>
          <w:sz w:val="28"/>
          <w:szCs w:val="28"/>
          <w:rtl/>
          <w:lang w:bidi="ar-LB"/>
        </w:rPr>
        <w:t xml:space="preserve"> </w:t>
      </w:r>
      <w:r w:rsidRPr="006571AC">
        <w:rPr>
          <w:rFonts w:cs="DanaFajr" w:hint="cs"/>
          <w:sz w:val="28"/>
          <w:szCs w:val="28"/>
          <w:rtl/>
          <w:lang w:bidi="ar-LB"/>
        </w:rPr>
        <w:t>تُذْكَر</w:t>
      </w:r>
      <w:r w:rsidRPr="006571AC">
        <w:rPr>
          <w:rFonts w:cs="DanaFajr"/>
          <w:sz w:val="28"/>
          <w:szCs w:val="28"/>
          <w:rtl/>
          <w:lang w:bidi="ar-LB"/>
        </w:rPr>
        <w:t xml:space="preserve"> </w:t>
      </w:r>
      <w:r w:rsidRPr="006571AC">
        <w:rPr>
          <w:rFonts w:cs="DanaFajr" w:hint="cs"/>
          <w:sz w:val="28"/>
          <w:szCs w:val="28"/>
          <w:rtl/>
          <w:lang w:bidi="ar-LB"/>
        </w:rPr>
        <w:t>ضمن</w:t>
      </w:r>
      <w:r w:rsidRPr="006571AC">
        <w:rPr>
          <w:rFonts w:cs="DanaFajr"/>
          <w:sz w:val="28"/>
          <w:szCs w:val="28"/>
          <w:rtl/>
          <w:lang w:bidi="ar-LB"/>
        </w:rPr>
        <w:t xml:space="preserve"> </w:t>
      </w:r>
      <w:r w:rsidRPr="006571AC">
        <w:rPr>
          <w:rFonts w:cs="DanaFajr" w:hint="cs"/>
          <w:sz w:val="28"/>
          <w:szCs w:val="28"/>
          <w:rtl/>
          <w:lang w:bidi="ar-LB"/>
        </w:rPr>
        <w:t>المتبنّى</w:t>
      </w:r>
      <w:r w:rsidRPr="006571AC">
        <w:rPr>
          <w:rFonts w:cs="DanaFajr"/>
          <w:sz w:val="28"/>
          <w:szCs w:val="28"/>
          <w:rtl/>
          <w:lang w:bidi="ar-LB"/>
        </w:rPr>
        <w:t xml:space="preserve"> </w:t>
      </w:r>
      <w:r w:rsidRPr="006571AC">
        <w:rPr>
          <w:rFonts w:cs="DanaFajr" w:hint="cs"/>
          <w:sz w:val="28"/>
          <w:szCs w:val="28"/>
          <w:rtl/>
          <w:lang w:bidi="ar-LB"/>
        </w:rPr>
        <w:t>الثاني،</w:t>
      </w:r>
      <w:r w:rsidRPr="006571AC">
        <w:rPr>
          <w:rFonts w:cs="DanaFajr"/>
          <w:sz w:val="28"/>
          <w:szCs w:val="28"/>
          <w:rtl/>
          <w:lang w:bidi="ar-LB"/>
        </w:rPr>
        <w:t xml:space="preserve"> </w:t>
      </w:r>
      <w:r w:rsidRPr="006571AC">
        <w:rPr>
          <w:rFonts w:cs="DanaFajr" w:hint="cs"/>
          <w:sz w:val="28"/>
          <w:szCs w:val="28"/>
          <w:rtl/>
          <w:lang w:bidi="ar-LB"/>
        </w:rPr>
        <w:t>إلاّ أنني</w:t>
      </w:r>
      <w:r w:rsidRPr="006571AC">
        <w:rPr>
          <w:rFonts w:cs="DanaFajr"/>
          <w:sz w:val="28"/>
          <w:szCs w:val="28"/>
          <w:rtl/>
          <w:lang w:bidi="ar-LB"/>
        </w:rPr>
        <w:t xml:space="preserve"> </w:t>
      </w:r>
      <w:r w:rsidRPr="006571AC">
        <w:rPr>
          <w:rFonts w:cs="DanaFajr" w:hint="cs"/>
          <w:sz w:val="28"/>
          <w:szCs w:val="28"/>
          <w:rtl/>
          <w:lang w:bidi="ar-LB"/>
        </w:rPr>
        <w:t>ارتأَيْتُ</w:t>
      </w:r>
      <w:r w:rsidRPr="006571AC">
        <w:rPr>
          <w:rFonts w:cs="DanaFajr"/>
          <w:sz w:val="28"/>
          <w:szCs w:val="28"/>
          <w:rtl/>
          <w:lang w:bidi="ar-LB"/>
        </w:rPr>
        <w:t xml:space="preserve"> </w:t>
      </w:r>
      <w:r w:rsidRPr="006571AC">
        <w:rPr>
          <w:rFonts w:cs="DanaFajr" w:hint="cs"/>
          <w:sz w:val="28"/>
          <w:szCs w:val="28"/>
          <w:rtl/>
          <w:lang w:bidi="ar-LB"/>
        </w:rPr>
        <w:t>أن</w:t>
      </w:r>
      <w:r w:rsidRPr="006571AC">
        <w:rPr>
          <w:rFonts w:cs="DanaFajr"/>
          <w:sz w:val="28"/>
          <w:szCs w:val="28"/>
          <w:rtl/>
          <w:lang w:bidi="ar-LB"/>
        </w:rPr>
        <w:t xml:space="preserve"> </w:t>
      </w:r>
      <w:r w:rsidRPr="006571AC">
        <w:rPr>
          <w:rFonts w:cs="DanaFajr" w:hint="cs"/>
          <w:sz w:val="28"/>
          <w:szCs w:val="28"/>
          <w:rtl/>
          <w:lang w:bidi="ar-LB"/>
        </w:rPr>
        <w:t>أذكرها</w:t>
      </w:r>
      <w:r w:rsidRPr="006571AC">
        <w:rPr>
          <w:rFonts w:cs="DanaFajr"/>
          <w:sz w:val="28"/>
          <w:szCs w:val="28"/>
          <w:rtl/>
          <w:lang w:bidi="ar-LB"/>
        </w:rPr>
        <w:t xml:space="preserve"> </w:t>
      </w:r>
      <w:r w:rsidRPr="006571AC">
        <w:rPr>
          <w:rFonts w:cs="DanaFajr" w:hint="cs"/>
          <w:sz w:val="28"/>
          <w:szCs w:val="28"/>
          <w:rtl/>
          <w:lang w:bidi="ar-LB"/>
        </w:rPr>
        <w:t>هنا؛</w:t>
      </w:r>
      <w:r w:rsidRPr="006571AC">
        <w:rPr>
          <w:rFonts w:cs="DanaFajr"/>
          <w:sz w:val="28"/>
          <w:szCs w:val="28"/>
          <w:rtl/>
          <w:lang w:bidi="ar-LB"/>
        </w:rPr>
        <w:t xml:space="preserve"> </w:t>
      </w:r>
      <w:r w:rsidRPr="006571AC">
        <w:rPr>
          <w:rFonts w:cs="DanaFajr" w:hint="cs"/>
          <w:sz w:val="28"/>
          <w:szCs w:val="28"/>
          <w:rtl/>
          <w:lang w:bidi="ar-LB"/>
        </w:rPr>
        <w:t>لعلاقتها</w:t>
      </w:r>
      <w:r w:rsidRPr="006571AC">
        <w:rPr>
          <w:rFonts w:cs="DanaFajr"/>
          <w:sz w:val="28"/>
          <w:szCs w:val="28"/>
          <w:rtl/>
          <w:lang w:bidi="ar-LB"/>
        </w:rPr>
        <w:t xml:space="preserve"> </w:t>
      </w:r>
      <w:r w:rsidRPr="006571AC">
        <w:rPr>
          <w:rFonts w:cs="DanaFajr" w:hint="cs"/>
          <w:sz w:val="28"/>
          <w:szCs w:val="28"/>
          <w:rtl/>
          <w:lang w:bidi="ar-LB"/>
        </w:rPr>
        <w:t xml:space="preserve">ببطون القرآن والتأويل. </w:t>
      </w:r>
    </w:p>
  </w:endnote>
  <w:endnote w:id="482">
    <w:p w:rsidR="00DB2356" w:rsidRPr="006571AC" w:rsidRDefault="00DB2356" w:rsidP="00AC7492">
      <w:pPr>
        <w:pStyle w:val="aa"/>
        <w:spacing w:line="312"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جواد علي كسّار، فهم القرآن 2: 65 ـ 66. </w:t>
      </w:r>
    </w:p>
  </w:endnote>
  <w:endnote w:id="483">
    <w:p w:rsidR="00DB2356" w:rsidRPr="006571AC" w:rsidRDefault="00DB2356" w:rsidP="00AC7492">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الطباطبائي، الميزان في تفسير القرآن 3: 62.</w:t>
      </w:r>
    </w:p>
  </w:endnote>
  <w:endnote w:id="484">
    <w:p w:rsidR="00DB2356" w:rsidRPr="006571AC" w:rsidRDefault="00DB2356" w:rsidP="00AC7492">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ضياء الدين العراقي، نهاية الأفكار 1 ـ 2: 117 ـ 118، مؤسّسة النشر الإسلامي، قم.</w:t>
      </w:r>
    </w:p>
  </w:endnote>
  <w:endnote w:id="485">
    <w:p w:rsidR="00DB2356" w:rsidRPr="006571AC" w:rsidRDefault="00DB2356" w:rsidP="00AC7492">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القرآن في الإسلام 28 ـ 32. </w:t>
      </w:r>
    </w:p>
  </w:endnote>
  <w:endnote w:id="486">
    <w:p w:rsidR="00DB2356" w:rsidRPr="006571AC" w:rsidRDefault="00DB2356" w:rsidP="00AC7492">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حيدر حبّ الله، دراسات في الفقه الإسلامي المعاصر 3: 420. </w:t>
      </w:r>
    </w:p>
  </w:endnote>
  <w:endnote w:id="487">
    <w:p w:rsidR="00DB2356" w:rsidRPr="006571AC" w:rsidRDefault="00DB2356" w:rsidP="00AC7492">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فضل الله، من وحي القرآن 8: 144. </w:t>
      </w:r>
    </w:p>
  </w:endnote>
  <w:endnote w:id="488">
    <w:p w:rsidR="00DB2356" w:rsidRPr="006571AC" w:rsidRDefault="00DB2356" w:rsidP="00AC7492">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القرآن في الإسلام 32 ـ 48. </w:t>
      </w:r>
    </w:p>
  </w:endnote>
  <w:endnote w:id="489">
    <w:p w:rsidR="00DB2356" w:rsidRPr="006571AC" w:rsidRDefault="00DB2356" w:rsidP="00AC7492">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فضل الله، من وحي القرآن 1: 6 ـ 10</w:t>
      </w:r>
    </w:p>
  </w:endnote>
  <w:endnote w:id="490">
    <w:p w:rsidR="00DB2356" w:rsidRPr="006571AC" w:rsidRDefault="00DB2356" w:rsidP="00AC7492">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الطباطبائي، الميزان</w:t>
      </w:r>
      <w:r w:rsidRPr="006571AC">
        <w:rPr>
          <w:rFonts w:cs="DanaFajr"/>
          <w:sz w:val="28"/>
          <w:szCs w:val="28"/>
          <w:rtl/>
          <w:lang w:bidi="ar-LB"/>
        </w:rPr>
        <w:t xml:space="preserve"> </w:t>
      </w:r>
      <w:r w:rsidRPr="006571AC">
        <w:rPr>
          <w:rFonts w:cs="DanaFajr" w:hint="cs"/>
          <w:sz w:val="28"/>
          <w:szCs w:val="28"/>
          <w:rtl/>
          <w:lang w:bidi="ar-LB"/>
        </w:rPr>
        <w:t>في</w:t>
      </w:r>
      <w:r w:rsidRPr="006571AC">
        <w:rPr>
          <w:rFonts w:cs="DanaFajr"/>
          <w:sz w:val="28"/>
          <w:szCs w:val="28"/>
          <w:rtl/>
          <w:lang w:bidi="ar-LB"/>
        </w:rPr>
        <w:t xml:space="preserve"> </w:t>
      </w:r>
      <w:r w:rsidRPr="006571AC">
        <w:rPr>
          <w:rFonts w:cs="DanaFajr" w:hint="cs"/>
          <w:sz w:val="28"/>
          <w:szCs w:val="28"/>
          <w:rtl/>
          <w:lang w:bidi="ar-LB"/>
        </w:rPr>
        <w:t>تفسير</w:t>
      </w:r>
      <w:r w:rsidRPr="006571AC">
        <w:rPr>
          <w:rFonts w:cs="DanaFajr"/>
          <w:sz w:val="28"/>
          <w:szCs w:val="28"/>
          <w:rtl/>
          <w:lang w:bidi="ar-LB"/>
        </w:rPr>
        <w:t xml:space="preserve"> </w:t>
      </w:r>
      <w:r w:rsidRPr="006571AC">
        <w:rPr>
          <w:rFonts w:cs="DanaFajr" w:hint="cs"/>
          <w:sz w:val="28"/>
          <w:szCs w:val="28"/>
          <w:rtl/>
          <w:lang w:bidi="ar-LB"/>
        </w:rPr>
        <w:t>القرآن</w:t>
      </w:r>
      <w:r w:rsidRPr="006571AC">
        <w:rPr>
          <w:rFonts w:cs="DanaFajr"/>
          <w:sz w:val="28"/>
          <w:szCs w:val="28"/>
          <w:rtl/>
          <w:lang w:bidi="ar-LB"/>
        </w:rPr>
        <w:t xml:space="preserve"> 1: 12. </w:t>
      </w:r>
    </w:p>
  </w:endnote>
  <w:endnote w:id="491">
    <w:p w:rsidR="00DB2356" w:rsidRPr="006571AC" w:rsidRDefault="00DB2356" w:rsidP="00AC7492">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فضل الله، من وحي القرآن، المقدّمة. </w:t>
      </w:r>
    </w:p>
  </w:endnote>
  <w:endnote w:id="492">
    <w:p w:rsidR="00DB2356" w:rsidRPr="006571AC" w:rsidRDefault="00DB2356" w:rsidP="00AC7492">
      <w:pPr>
        <w:pStyle w:val="aa"/>
        <w:spacing w:line="306"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فضل الله، من وحي القرآن 5: 28 ـ 30. </w:t>
      </w:r>
    </w:p>
  </w:endnote>
  <w:endnote w:id="493">
    <w:p w:rsidR="00DB2356" w:rsidRPr="006571AC" w:rsidRDefault="00DB2356" w:rsidP="007E5A90">
      <w:pPr>
        <w:pStyle w:val="aa"/>
        <w:spacing w:line="306" w:lineRule="exact"/>
        <w:ind w:firstLine="0"/>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أ</w:t>
      </w:r>
      <w:r w:rsidRPr="006571AC">
        <w:rPr>
          <w:rFonts w:ascii="Simplified Arabic" w:hAnsi="Simplified Arabic" w:cs="DanaFajr"/>
          <w:sz w:val="28"/>
          <w:szCs w:val="28"/>
          <w:rtl/>
        </w:rPr>
        <w:t xml:space="preserve">حمد بن حنبل الشيباني، مسند الإمام </w:t>
      </w:r>
      <w:r w:rsidRPr="006571AC">
        <w:rPr>
          <w:rFonts w:ascii="Simplified Arabic" w:hAnsi="Simplified Arabic" w:cs="DanaFajr" w:hint="cs"/>
          <w:sz w:val="28"/>
          <w:szCs w:val="28"/>
          <w:rtl/>
        </w:rPr>
        <w:t>أ</w:t>
      </w:r>
      <w:r w:rsidRPr="006571AC">
        <w:rPr>
          <w:rFonts w:ascii="Simplified Arabic" w:hAnsi="Simplified Arabic" w:cs="DanaFajr"/>
          <w:sz w:val="28"/>
          <w:szCs w:val="28"/>
          <w:rtl/>
        </w:rPr>
        <w:t>حمد 2</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218</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شعيب الأرن</w:t>
      </w:r>
      <w:r w:rsidRPr="006571AC">
        <w:rPr>
          <w:rFonts w:ascii="Simplified Arabic" w:hAnsi="Simplified Arabic" w:cs="DanaFajr" w:hint="cs"/>
          <w:sz w:val="28"/>
          <w:szCs w:val="28"/>
          <w:rtl/>
        </w:rPr>
        <w:t>ا</w:t>
      </w:r>
      <w:r w:rsidRPr="006571AC">
        <w:rPr>
          <w:rFonts w:ascii="Simplified Arabic" w:hAnsi="Simplified Arabic" w:cs="DanaFajr"/>
          <w:sz w:val="28"/>
          <w:szCs w:val="28"/>
          <w:rtl/>
        </w:rPr>
        <w:t xml:space="preserve">ؤوط </w:t>
      </w:r>
      <w:r w:rsidRPr="006571AC">
        <w:rPr>
          <w:rFonts w:ascii="Simplified Arabic" w:hAnsi="Simplified Arabic" w:cs="DanaFajr" w:hint="cs"/>
          <w:sz w:val="28"/>
          <w:szCs w:val="28"/>
          <w:rtl/>
        </w:rPr>
        <w:t>و</w:t>
      </w:r>
      <w:r w:rsidRPr="006571AC">
        <w:rPr>
          <w:rFonts w:ascii="Simplified Arabic" w:hAnsi="Simplified Arabic" w:cs="DanaFajr"/>
          <w:sz w:val="28"/>
          <w:szCs w:val="28"/>
          <w:rtl/>
        </w:rPr>
        <w:t>عادل مرشد، وآخر</w:t>
      </w:r>
      <w:r w:rsidRPr="006571AC">
        <w:rPr>
          <w:rFonts w:ascii="Simplified Arabic" w:hAnsi="Simplified Arabic" w:cs="DanaFajr" w:hint="cs"/>
          <w:sz w:val="28"/>
          <w:szCs w:val="28"/>
          <w:rtl/>
        </w:rPr>
        <w:t>ي</w:t>
      </w:r>
      <w:r w:rsidRPr="006571AC">
        <w:rPr>
          <w:rFonts w:ascii="Simplified Arabic" w:hAnsi="Simplified Arabic" w:cs="DanaFajr"/>
          <w:sz w:val="28"/>
          <w:szCs w:val="28"/>
          <w:rtl/>
        </w:rPr>
        <w:t>ن، مؤسسة الرسالة، ط1، 1421هـ ـ 2001م</w:t>
      </w:r>
      <w:r w:rsidRPr="006571AC">
        <w:rPr>
          <w:rFonts w:ascii="Simplified Arabic" w:hAnsi="Simplified Arabic" w:cs="DanaFajr" w:hint="cs"/>
          <w:sz w:val="28"/>
          <w:szCs w:val="28"/>
          <w:rtl/>
        </w:rPr>
        <w:t>.</w:t>
      </w:r>
    </w:p>
  </w:endnote>
  <w:endnote w:id="494">
    <w:p w:rsidR="00DB2356" w:rsidRPr="006571AC" w:rsidRDefault="00DB2356" w:rsidP="007E5A90">
      <w:pPr>
        <w:pStyle w:val="aa"/>
        <w:spacing w:line="306" w:lineRule="exact"/>
        <w:ind w:firstLine="0"/>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أ</w:t>
      </w:r>
      <w:r w:rsidRPr="006571AC">
        <w:rPr>
          <w:rFonts w:ascii="Simplified Arabic" w:hAnsi="Simplified Arabic" w:cs="DanaFajr"/>
          <w:sz w:val="28"/>
          <w:szCs w:val="28"/>
          <w:rtl/>
        </w:rPr>
        <w:t>حمد بن فارس</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معجم مقاييس اللغة </w:t>
      </w:r>
      <w:r w:rsidRPr="006571AC">
        <w:rPr>
          <w:rFonts w:ascii="Simplified Arabic" w:hAnsi="Simplified Arabic" w:cs="DanaFajr" w:hint="cs"/>
          <w:sz w:val="28"/>
          <w:szCs w:val="28"/>
          <w:rtl/>
        </w:rPr>
        <w:t>3: 447 (</w:t>
      </w:r>
      <w:r w:rsidRPr="006571AC">
        <w:rPr>
          <w:rFonts w:ascii="Simplified Arabic" w:hAnsi="Simplified Arabic" w:cs="DanaFajr"/>
          <w:sz w:val="28"/>
          <w:szCs w:val="28"/>
          <w:rtl/>
        </w:rPr>
        <w:t>مادة طرف</w:t>
      </w:r>
      <w:r w:rsidRPr="006571AC">
        <w:rPr>
          <w:rFonts w:ascii="Simplified Arabic" w:hAnsi="Simplified Arabic" w:cs="DanaFajr" w:hint="cs"/>
          <w:sz w:val="28"/>
          <w:szCs w:val="28"/>
          <w:rtl/>
        </w:rPr>
        <w:t>)</w:t>
      </w:r>
      <w:r w:rsidRPr="006571AC">
        <w:rPr>
          <w:rFonts w:ascii="Simplified Arabic" w:hAnsi="Simplified Arabic" w:cs="DanaFajr"/>
          <w:sz w:val="28"/>
          <w:szCs w:val="28"/>
          <w:rtl/>
        </w:rPr>
        <w:t>،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عبد السلام محمد هارون، دار الفكر، 1399هـ ـ 1979م. </w:t>
      </w:r>
    </w:p>
  </w:endnote>
  <w:endnote w:id="495">
    <w:p w:rsidR="00DB2356" w:rsidRPr="006571AC" w:rsidRDefault="00DB2356" w:rsidP="007E5A90">
      <w:pPr>
        <w:pStyle w:val="aa"/>
        <w:spacing w:line="306" w:lineRule="exact"/>
        <w:ind w:firstLine="0"/>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lang w:bidi="ar-IQ"/>
        </w:rPr>
        <w:t>انظر</w:t>
      </w:r>
      <w:r w:rsidRPr="006571AC">
        <w:rPr>
          <w:rFonts w:ascii="Simplified Arabic" w:hAnsi="Simplified Arabic" w:cs="DanaFajr"/>
          <w:sz w:val="28"/>
          <w:szCs w:val="28"/>
          <w:rtl/>
          <w:lang w:bidi="ar-IQ"/>
        </w:rPr>
        <w:t>: أبو الحسن حميد المقد</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س الغريفي</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جذور الإساءة للإسلام وللرسول الاعظم</w:t>
      </w:r>
      <w:r w:rsidRPr="006571AC">
        <w:rPr>
          <w:rFonts w:ascii="Mosawi" w:hAnsi="Mosawi" w:cs="Mosawi"/>
          <w:rtl/>
        </w:rPr>
        <w:t>|</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163 ـ 189</w:t>
      </w:r>
      <w:r w:rsidRPr="006571AC">
        <w:rPr>
          <w:rFonts w:ascii="Simplified Arabic" w:hAnsi="Simplified Arabic" w:cs="DanaFajr" w:hint="cs"/>
          <w:sz w:val="28"/>
          <w:szCs w:val="28"/>
          <w:rtl/>
          <w:lang w:bidi="ar-IQ"/>
        </w:rPr>
        <w:t xml:space="preserve">، </w:t>
      </w:r>
      <w:r w:rsidRPr="006571AC">
        <w:rPr>
          <w:rFonts w:ascii="Simplified Arabic" w:hAnsi="Simplified Arabic" w:cs="DanaFajr"/>
          <w:sz w:val="28"/>
          <w:szCs w:val="28"/>
          <w:rtl/>
        </w:rPr>
        <w:t>منشورات مكتب أنصار الحج</w:t>
      </w:r>
      <w:r w:rsidRPr="006571AC">
        <w:rPr>
          <w:rFonts w:ascii="Simplified Arabic" w:hAnsi="Simplified Arabic" w:cs="DanaFajr" w:hint="cs"/>
          <w:sz w:val="28"/>
          <w:szCs w:val="28"/>
          <w:rtl/>
        </w:rPr>
        <w:t>ّ</w:t>
      </w:r>
      <w:r w:rsidRPr="006571AC">
        <w:rPr>
          <w:rFonts w:ascii="Simplified Arabic" w:hAnsi="Simplified Arabic" w:cs="DanaFajr"/>
          <w:sz w:val="28"/>
          <w:szCs w:val="28"/>
          <w:rtl/>
        </w:rPr>
        <w:t>ة</w:t>
      </w:r>
      <w:r w:rsidRPr="006571AC">
        <w:rPr>
          <w:rFonts w:ascii="Mosawi" w:hAnsi="Mosawi" w:cs="Mosawi" w:hint="cs"/>
          <w:rtl/>
        </w:rPr>
        <w:t>#</w:t>
      </w:r>
      <w:r w:rsidRPr="006571AC">
        <w:rPr>
          <w:rFonts w:ascii="Simplified Arabic" w:hAnsi="Simplified Arabic" w:cs="DanaFajr"/>
          <w:sz w:val="28"/>
          <w:szCs w:val="28"/>
          <w:rtl/>
        </w:rPr>
        <w:t xml:space="preserve"> الإسلامي، بيروت، ط2، 1435هـ ـ 2014م</w:t>
      </w:r>
      <w:r w:rsidRPr="006571AC">
        <w:rPr>
          <w:rFonts w:ascii="Simplified Arabic" w:hAnsi="Simplified Arabic" w:cs="DanaFajr" w:hint="cs"/>
          <w:sz w:val="28"/>
          <w:szCs w:val="28"/>
          <w:rtl/>
        </w:rPr>
        <w:t>.</w:t>
      </w:r>
    </w:p>
  </w:endnote>
  <w:endnote w:id="496">
    <w:p w:rsidR="00DB2356" w:rsidRPr="006571AC" w:rsidRDefault="00DB2356" w:rsidP="007E5A90">
      <w:pPr>
        <w:pStyle w:val="aa"/>
        <w:spacing w:line="306" w:lineRule="exact"/>
        <w:ind w:firstLine="0"/>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Style w:val="Charfff3"/>
          <w:rFonts w:ascii="Simplified Arabic" w:hAnsi="Simplified Arabic" w:cs="DanaFajr"/>
          <w:szCs w:val="28"/>
          <w:rtl/>
        </w:rPr>
        <w:t xml:space="preserve">محمد بن علي </w:t>
      </w:r>
      <w:r w:rsidRPr="006571AC">
        <w:rPr>
          <w:rStyle w:val="Charfff3"/>
          <w:rFonts w:ascii="Simplified Arabic" w:hAnsi="Simplified Arabic" w:cs="DanaFajr" w:hint="cs"/>
          <w:szCs w:val="28"/>
          <w:rtl/>
        </w:rPr>
        <w:t>(</w:t>
      </w:r>
      <w:r w:rsidRPr="006571AC">
        <w:rPr>
          <w:rStyle w:val="Charfff3"/>
          <w:rFonts w:ascii="Simplified Arabic" w:hAnsi="Simplified Arabic" w:cs="DanaFajr"/>
          <w:szCs w:val="28"/>
          <w:rtl/>
        </w:rPr>
        <w:t>الصدوق</w:t>
      </w:r>
      <w:r w:rsidRPr="006571AC">
        <w:rPr>
          <w:rStyle w:val="Charfff3"/>
          <w:rFonts w:ascii="Simplified Arabic" w:hAnsi="Simplified Arabic" w:cs="DanaFajr" w:hint="cs"/>
          <w:szCs w:val="28"/>
          <w:rtl/>
        </w:rPr>
        <w:t>)،</w:t>
      </w:r>
      <w:r w:rsidRPr="006571AC">
        <w:rPr>
          <w:rStyle w:val="Charfff3"/>
          <w:rFonts w:ascii="Simplified Arabic" w:hAnsi="Simplified Arabic" w:cs="DanaFajr"/>
          <w:szCs w:val="28"/>
          <w:rtl/>
        </w:rPr>
        <w:t xml:space="preserve"> الخصال: 12</w:t>
      </w:r>
      <w:r w:rsidRPr="006571AC">
        <w:rPr>
          <w:rStyle w:val="Charfff3"/>
          <w:rFonts w:ascii="Simplified Arabic" w:hAnsi="Simplified Arabic" w:cs="DanaFajr" w:hint="cs"/>
          <w:szCs w:val="28"/>
          <w:rtl/>
        </w:rPr>
        <w:t>،</w:t>
      </w:r>
      <w:r w:rsidRPr="006571AC">
        <w:rPr>
          <w:rStyle w:val="Charfff3"/>
          <w:rFonts w:ascii="Simplified Arabic" w:hAnsi="Simplified Arabic" w:cs="DanaFajr"/>
          <w:szCs w:val="28"/>
          <w:rtl/>
        </w:rPr>
        <w:t xml:space="preserve"> ح40. </w:t>
      </w:r>
    </w:p>
  </w:endnote>
  <w:endnote w:id="497">
    <w:p w:rsidR="00DB2356" w:rsidRPr="006571AC" w:rsidRDefault="00DB2356" w:rsidP="007E5A90">
      <w:pPr>
        <w:pStyle w:val="aa"/>
        <w:spacing w:line="306" w:lineRule="exact"/>
        <w:ind w:firstLine="0"/>
        <w:rPr>
          <w:rFonts w:ascii="Simplified Arabic" w:hAnsi="Simplified Arabic" w:cs="DanaFajr"/>
          <w:sz w:val="28"/>
          <w:szCs w:val="28"/>
          <w:rtl/>
          <w:lang w:bidi="ar-IQ"/>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w:t>
      </w:r>
      <w:r w:rsidRPr="006571AC">
        <w:rPr>
          <w:rFonts w:ascii="Simplified Arabic" w:hAnsi="Simplified Arabic" w:cs="DanaFajr"/>
          <w:sz w:val="28"/>
          <w:szCs w:val="28"/>
          <w:rtl/>
          <w:lang w:bidi="ar-IQ"/>
        </w:rPr>
        <w:t>هو من الأخبار المشهور</w:t>
      </w:r>
      <w:r w:rsidRPr="006571AC">
        <w:rPr>
          <w:rFonts w:ascii="Simplified Arabic" w:hAnsi="Simplified Arabic" w:cs="DanaFajr" w:hint="cs"/>
          <w:sz w:val="28"/>
          <w:szCs w:val="28"/>
          <w:rtl/>
          <w:lang w:bidi="ar-IQ"/>
        </w:rPr>
        <w:t>ة</w:t>
      </w:r>
      <w:r w:rsidRPr="006571AC">
        <w:rPr>
          <w:rFonts w:ascii="Simplified Arabic" w:hAnsi="Simplified Arabic" w:cs="DanaFajr"/>
          <w:sz w:val="28"/>
          <w:szCs w:val="28"/>
          <w:rtl/>
          <w:lang w:bidi="ar-IQ"/>
        </w:rPr>
        <w:t xml:space="preserve"> على الألسن نسبت</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ها إلى أمير المؤمنين علي</w:t>
      </w:r>
      <w:r w:rsidRPr="006571AC">
        <w:rPr>
          <w:rFonts w:ascii="Simplified Arabic" w:hAnsi="Simplified Arabic" w:cs="DanaFajr" w:hint="cs"/>
          <w:sz w:val="28"/>
          <w:szCs w:val="28"/>
          <w:rtl/>
          <w:lang w:bidi="ar-IQ"/>
        </w:rPr>
        <w:t>ّ</w:t>
      </w:r>
      <w:r w:rsidRPr="006571AC">
        <w:rPr>
          <w:rFonts w:ascii="Mosawi" w:hAnsi="Mosawi" w:cs="Mosawi"/>
          <w:rtl/>
        </w:rPr>
        <w:t>×</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ولكنها لم تصح</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فلم يذكر في مصدر</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حديثي</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معتبر، بل هو مذكور</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عند بعض الأدباء المصريين المعاصرين وغيره، فلا يعلم مصدره</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فليتأم</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ل. </w:t>
      </w:r>
    </w:p>
  </w:endnote>
  <w:endnote w:id="498">
    <w:p w:rsidR="00DB2356" w:rsidRPr="006571AC" w:rsidRDefault="00DB2356" w:rsidP="007E5A90">
      <w:pPr>
        <w:pStyle w:val="afffffff6"/>
        <w:bidi/>
        <w:spacing w:line="306" w:lineRule="exact"/>
        <w:jc w:val="both"/>
        <w:rPr>
          <w:rFonts w:ascii="Simplified Arabic" w:hAnsi="Simplified Arabic" w:cs="DanaFajr"/>
          <w:sz w:val="28"/>
          <w:szCs w:val="28"/>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 xml:space="preserve">محمد بن علي </w:t>
      </w:r>
      <w:r w:rsidRPr="006571AC">
        <w:rPr>
          <w:rFonts w:ascii="Simplified Arabic" w:hAnsi="Simplified Arabic" w:cs="DanaFajr" w:hint="cs"/>
          <w:sz w:val="28"/>
          <w:szCs w:val="28"/>
          <w:rtl/>
        </w:rPr>
        <w:t>(</w:t>
      </w:r>
      <w:r w:rsidRPr="006571AC">
        <w:rPr>
          <w:rFonts w:ascii="Simplified Arabic" w:hAnsi="Simplified Arabic" w:cs="DanaFajr"/>
          <w:sz w:val="28"/>
          <w:szCs w:val="28"/>
          <w:rtl/>
        </w:rPr>
        <w:t>الصدوق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عيون أخبار الرضا</w:t>
      </w:r>
      <w:r w:rsidRPr="006571AC">
        <w:rPr>
          <w:rFonts w:ascii="Mosawi" w:hAnsi="Mosawi" w:cs="Mosawi"/>
          <w:sz w:val="20"/>
          <w:szCs w:val="20"/>
          <w:rtl/>
        </w:rPr>
        <w:t>×</w:t>
      </w:r>
      <w:r w:rsidRPr="006571AC">
        <w:rPr>
          <w:rFonts w:ascii="Simplified Arabic" w:hAnsi="Simplified Arabic" w:cs="DanaFajr"/>
          <w:sz w:val="28"/>
          <w:szCs w:val="28"/>
          <w:rtl/>
        </w:rPr>
        <w:t>: 70</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ح280</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الشيخ حسين الأعلمي، مؤس</w:t>
      </w:r>
      <w:r w:rsidRPr="006571AC">
        <w:rPr>
          <w:rFonts w:ascii="Simplified Arabic" w:hAnsi="Simplified Arabic" w:cs="DanaFajr" w:hint="cs"/>
          <w:sz w:val="28"/>
          <w:szCs w:val="28"/>
          <w:rtl/>
        </w:rPr>
        <w:t>ّ</w:t>
      </w:r>
      <w:r w:rsidRPr="006571AC">
        <w:rPr>
          <w:rFonts w:ascii="Simplified Arabic" w:hAnsi="Simplified Arabic" w:cs="DanaFajr"/>
          <w:sz w:val="28"/>
          <w:szCs w:val="28"/>
          <w:rtl/>
        </w:rPr>
        <w:t>سة الأعلمي للمطبوعات، بيروت</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ط1، 1984م</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w:t>
      </w:r>
    </w:p>
  </w:endnote>
  <w:endnote w:id="499">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علي النمازي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مستدركات علم الرجال 2</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 xml:space="preserve"> ٤٢٤</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 3648</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طهران</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ط1، 1415هـ</w:t>
      </w:r>
      <w:r w:rsidRPr="006571AC">
        <w:rPr>
          <w:rFonts w:ascii="Simplified Arabic" w:hAnsi="Simplified Arabic" w:cs="DanaFajr" w:hint="cs"/>
          <w:sz w:val="28"/>
          <w:szCs w:val="28"/>
          <w:rtl/>
        </w:rPr>
        <w:t>.</w:t>
      </w:r>
    </w:p>
  </w:endnote>
  <w:endnote w:id="500">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أ</w:t>
      </w:r>
      <w:r w:rsidRPr="006571AC">
        <w:rPr>
          <w:rFonts w:ascii="Simplified Arabic" w:hAnsi="Simplified Arabic" w:cs="DanaFajr"/>
          <w:sz w:val="28"/>
          <w:szCs w:val="28"/>
          <w:rtl/>
        </w:rPr>
        <w:t>حمد بن علي النجاشي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رجال النجاشي: 228</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603</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مؤس</w:t>
      </w:r>
      <w:r w:rsidRPr="006571AC">
        <w:rPr>
          <w:rFonts w:ascii="Simplified Arabic" w:hAnsi="Simplified Arabic" w:cs="DanaFajr" w:hint="cs"/>
          <w:sz w:val="28"/>
          <w:szCs w:val="28"/>
          <w:rtl/>
        </w:rPr>
        <w:t>ّ</w:t>
      </w:r>
      <w:r w:rsidRPr="006571AC">
        <w:rPr>
          <w:rFonts w:ascii="Simplified Arabic" w:hAnsi="Simplified Arabic" w:cs="DanaFajr"/>
          <w:sz w:val="28"/>
          <w:szCs w:val="28"/>
          <w:rtl/>
        </w:rPr>
        <w:t>سة النشر الإسلامي، قم، ط8، 1427هـ</w:t>
      </w:r>
      <w:r w:rsidRPr="006571AC">
        <w:rPr>
          <w:rFonts w:ascii="Simplified Arabic" w:hAnsi="Simplified Arabic" w:cs="DanaFajr" w:hint="cs"/>
          <w:sz w:val="28"/>
          <w:szCs w:val="28"/>
          <w:rtl/>
        </w:rPr>
        <w:t>.</w:t>
      </w:r>
    </w:p>
  </w:endnote>
  <w:endnote w:id="501">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lang w:bidi="ar-IQ"/>
        </w:rPr>
        <w:t xml:space="preserve">محمد بن علي </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الصدوق</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w:t>
      </w:r>
      <w:r w:rsidRPr="006571AC">
        <w:rPr>
          <w:rFonts w:ascii="Simplified Arabic" w:hAnsi="Simplified Arabic" w:cs="DanaFajr"/>
          <w:sz w:val="28"/>
          <w:szCs w:val="28"/>
          <w:rtl/>
        </w:rPr>
        <w:t>ثواب الأعمال وعقاب الأعمال: 280 ـ</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294</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[عقاب مجمع عقوبات ال</w:t>
      </w:r>
      <w:r w:rsidRPr="006571AC">
        <w:rPr>
          <w:rFonts w:ascii="Simplified Arabic" w:hAnsi="Simplified Arabic" w:cs="DanaFajr" w:hint="cs"/>
          <w:sz w:val="28"/>
          <w:szCs w:val="28"/>
          <w:rtl/>
        </w:rPr>
        <w:t>أ</w:t>
      </w:r>
      <w:r w:rsidRPr="006571AC">
        <w:rPr>
          <w:rFonts w:ascii="Simplified Arabic" w:hAnsi="Simplified Arabic" w:cs="DanaFajr"/>
          <w:sz w:val="28"/>
          <w:szCs w:val="28"/>
          <w:rtl/>
        </w:rPr>
        <w:t>عمال]</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تقديم</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محمد مهدي الخرسان، منشورات </w:t>
      </w:r>
      <w:r w:rsidRPr="006571AC">
        <w:rPr>
          <w:rFonts w:ascii="Simplified Arabic" w:hAnsi="Simplified Arabic" w:cs="DanaFajr" w:hint="cs"/>
          <w:sz w:val="28"/>
          <w:szCs w:val="28"/>
          <w:rtl/>
        </w:rPr>
        <w:t xml:space="preserve">الشريف </w:t>
      </w:r>
      <w:r w:rsidRPr="006571AC">
        <w:rPr>
          <w:rFonts w:ascii="Simplified Arabic" w:hAnsi="Simplified Arabic" w:cs="DanaFajr"/>
          <w:sz w:val="28"/>
          <w:szCs w:val="28"/>
          <w:rtl/>
        </w:rPr>
        <w:t xml:space="preserve">الرضي، ط2، قم، 1368هـ. </w:t>
      </w:r>
    </w:p>
  </w:endnote>
  <w:endnote w:id="502">
    <w:p w:rsidR="00DB2356" w:rsidRPr="006571AC" w:rsidRDefault="00DB2356" w:rsidP="007E5A90">
      <w:pPr>
        <w:pStyle w:val="afffffff6"/>
        <w:bidi/>
        <w:spacing w:line="306" w:lineRule="exact"/>
        <w:jc w:val="both"/>
        <w:rPr>
          <w:rFonts w:ascii="Simplified Arabic" w:hAnsi="Simplified Arabic" w:cs="DanaFajr"/>
          <w:sz w:val="28"/>
          <w:szCs w:val="28"/>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محمد بن الحسن الطوسي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الأمالي: 380 ـ 381</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 817</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دار الثقافة، قم، 1414هـ</w:t>
      </w:r>
      <w:r w:rsidRPr="006571AC">
        <w:rPr>
          <w:rFonts w:ascii="Simplified Arabic" w:hAnsi="Simplified Arabic" w:cs="DanaFajr" w:hint="cs"/>
          <w:sz w:val="28"/>
          <w:szCs w:val="28"/>
          <w:rtl/>
        </w:rPr>
        <w:t>.</w:t>
      </w:r>
    </w:p>
  </w:endnote>
  <w:endnote w:id="503">
    <w:p w:rsidR="00DB2356" w:rsidRPr="006571AC" w:rsidRDefault="00DB2356" w:rsidP="007E5A90">
      <w:pPr>
        <w:pStyle w:val="afffffff6"/>
        <w:bidi/>
        <w:spacing w:line="306" w:lineRule="exact"/>
        <w:jc w:val="both"/>
        <w:rPr>
          <w:rFonts w:ascii="Simplified Arabic" w:hAnsi="Simplified Arabic" w:cs="DanaFajr"/>
          <w:sz w:val="28"/>
          <w:szCs w:val="28"/>
          <w:lang w:bidi="ar-IQ"/>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علي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بن </w:t>
      </w:r>
      <w:r w:rsidRPr="006571AC">
        <w:rPr>
          <w:rFonts w:ascii="Simplified Arabic" w:hAnsi="Simplified Arabic" w:cs="DanaFajr" w:hint="cs"/>
          <w:sz w:val="28"/>
          <w:szCs w:val="28"/>
          <w:rtl/>
        </w:rPr>
        <w:t>إ</w:t>
      </w:r>
      <w:r w:rsidRPr="006571AC">
        <w:rPr>
          <w:rFonts w:ascii="Simplified Arabic" w:hAnsi="Simplified Arabic" w:cs="DanaFajr"/>
          <w:sz w:val="28"/>
          <w:szCs w:val="28"/>
          <w:rtl/>
        </w:rPr>
        <w:t>براهيم القم</w:t>
      </w:r>
      <w:r w:rsidRPr="006571AC">
        <w:rPr>
          <w:rFonts w:ascii="Simplified Arabic" w:hAnsi="Simplified Arabic" w:cs="DanaFajr" w:hint="cs"/>
          <w:sz w:val="28"/>
          <w:szCs w:val="28"/>
          <w:rtl/>
        </w:rPr>
        <w:t>ّ</w:t>
      </w:r>
      <w:r w:rsidRPr="006571AC">
        <w:rPr>
          <w:rFonts w:ascii="Simplified Arabic" w:hAnsi="Simplified Arabic" w:cs="DanaFajr"/>
          <w:sz w:val="28"/>
          <w:szCs w:val="28"/>
          <w:rtl/>
        </w:rPr>
        <w:t>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تفسير القم</w:t>
      </w:r>
      <w:r w:rsidRPr="006571AC">
        <w:rPr>
          <w:rFonts w:ascii="Simplified Arabic" w:hAnsi="Simplified Arabic" w:cs="DanaFajr" w:hint="cs"/>
          <w:sz w:val="28"/>
          <w:szCs w:val="28"/>
          <w:rtl/>
        </w:rPr>
        <w:t>ّ</w:t>
      </w:r>
      <w:r w:rsidRPr="006571AC">
        <w:rPr>
          <w:rFonts w:ascii="Simplified Arabic" w:hAnsi="Simplified Arabic" w:cs="DanaFajr"/>
          <w:sz w:val="28"/>
          <w:szCs w:val="28"/>
          <w:rtl/>
        </w:rPr>
        <w:t>ي: 171</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تعليق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السيد طيب الجزائري، دار الكتاب للطباعة والنشر، قم</w:t>
      </w:r>
      <w:r w:rsidRPr="006571AC">
        <w:rPr>
          <w:rFonts w:ascii="Simplified Arabic" w:hAnsi="Simplified Arabic" w:cs="DanaFajr" w:hint="cs"/>
          <w:sz w:val="28"/>
          <w:szCs w:val="28"/>
          <w:rtl/>
        </w:rPr>
        <w:t>.</w:t>
      </w:r>
    </w:p>
  </w:endnote>
  <w:endnote w:id="504">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 القاضي النعمان المغربي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دعائم الإسلام وذكر الحلال والحرام والقضايا والأحكام عن أهل بيت رسول الله عليه وعليهم أفضل السلام 2</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402</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 1409</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آصف بن علي أصغر فيضي، دار المعارف، القاهرة، 1383</w:t>
      </w:r>
      <w:r w:rsidRPr="006571AC">
        <w:rPr>
          <w:rFonts w:ascii="Simplified Arabic" w:hAnsi="Simplified Arabic" w:cs="DanaFajr" w:hint="cs"/>
          <w:sz w:val="28"/>
          <w:szCs w:val="28"/>
          <w:rtl/>
        </w:rPr>
        <w:t>هـ</w:t>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ـ</w:t>
      </w:r>
      <w:r w:rsidRPr="006571AC">
        <w:rPr>
          <w:rFonts w:ascii="Simplified Arabic" w:hAnsi="Simplified Arabic" w:cs="DanaFajr"/>
          <w:sz w:val="28"/>
          <w:szCs w:val="28"/>
          <w:rtl/>
        </w:rPr>
        <w:t xml:space="preserve"> 1963</w:t>
      </w:r>
      <w:r w:rsidRPr="006571AC">
        <w:rPr>
          <w:rFonts w:ascii="Simplified Arabic" w:hAnsi="Simplified Arabic" w:cs="DanaFajr" w:hint="cs"/>
          <w:sz w:val="28"/>
          <w:szCs w:val="28"/>
          <w:rtl/>
        </w:rPr>
        <w:t>م.</w:t>
      </w:r>
    </w:p>
  </w:endnote>
  <w:endnote w:id="505">
    <w:p w:rsidR="00DB2356" w:rsidRPr="006571AC" w:rsidRDefault="00DB2356" w:rsidP="007E5A90">
      <w:pPr>
        <w:pStyle w:val="afffffff6"/>
        <w:bidi/>
        <w:spacing w:line="306" w:lineRule="exact"/>
        <w:jc w:val="both"/>
        <w:rPr>
          <w:rFonts w:ascii="Simplified Arabic" w:hAnsi="Simplified Arabic" w:cs="DanaFajr"/>
          <w:sz w:val="28"/>
          <w:szCs w:val="28"/>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ابن أبي جمهور ال</w:t>
      </w:r>
      <w:r w:rsidRPr="006571AC">
        <w:rPr>
          <w:rFonts w:ascii="Simplified Arabic" w:hAnsi="Simplified Arabic" w:cs="DanaFajr" w:hint="cs"/>
          <w:sz w:val="28"/>
          <w:szCs w:val="28"/>
          <w:rtl/>
        </w:rPr>
        <w:t>أ</w:t>
      </w:r>
      <w:r w:rsidRPr="006571AC">
        <w:rPr>
          <w:rFonts w:ascii="Simplified Arabic" w:hAnsi="Simplified Arabic" w:cs="DanaFajr"/>
          <w:sz w:val="28"/>
          <w:szCs w:val="28"/>
          <w:rtl/>
        </w:rPr>
        <w:t>حسائي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عوالي اللآلئ العزيزية في الاحاديث الدينية 1</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153</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118</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مجتبى العراقي، مطبعة سيد الشهداء</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ط1، قم، 1403</w:t>
      </w:r>
      <w:r w:rsidRPr="006571AC">
        <w:rPr>
          <w:rFonts w:ascii="Simplified Arabic" w:hAnsi="Simplified Arabic" w:cs="DanaFajr" w:hint="cs"/>
          <w:sz w:val="28"/>
          <w:szCs w:val="28"/>
          <w:rtl/>
        </w:rPr>
        <w:t>هـ ـ</w:t>
      </w:r>
      <w:r w:rsidRPr="006571AC">
        <w:rPr>
          <w:rFonts w:ascii="Simplified Arabic" w:hAnsi="Simplified Arabic" w:cs="DanaFajr"/>
          <w:sz w:val="28"/>
          <w:szCs w:val="28"/>
          <w:rtl/>
        </w:rPr>
        <w:t>‍ 1983م</w:t>
      </w:r>
      <w:r w:rsidRPr="006571AC">
        <w:rPr>
          <w:rFonts w:ascii="Simplified Arabic" w:hAnsi="Simplified Arabic" w:cs="DanaFajr" w:hint="cs"/>
          <w:sz w:val="28"/>
          <w:szCs w:val="28"/>
          <w:rtl/>
        </w:rPr>
        <w:t>.</w:t>
      </w:r>
    </w:p>
  </w:endnote>
  <w:endnote w:id="506">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الأمير محمد بن </w:t>
      </w:r>
      <w:r w:rsidRPr="006571AC">
        <w:rPr>
          <w:rFonts w:ascii="Simplified Arabic" w:hAnsi="Simplified Arabic" w:cs="DanaFajr" w:hint="cs"/>
          <w:sz w:val="28"/>
          <w:szCs w:val="28"/>
          <w:rtl/>
        </w:rPr>
        <w:t>إ</w:t>
      </w:r>
      <w:r w:rsidRPr="006571AC">
        <w:rPr>
          <w:rFonts w:ascii="Simplified Arabic" w:hAnsi="Simplified Arabic" w:cs="DanaFajr"/>
          <w:sz w:val="28"/>
          <w:szCs w:val="28"/>
          <w:rtl/>
        </w:rPr>
        <w:t>سماعيل الصنعاني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التنوير شرح الجامع الصغير 3</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244</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ح1624</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د. محمد إسحاق محمد إبراهيم، مكتبة دار السلام، ط1، الرياض، 1432هـ ـ 2011م</w:t>
      </w:r>
      <w:r w:rsidRPr="006571AC">
        <w:rPr>
          <w:rFonts w:ascii="Simplified Arabic" w:hAnsi="Simplified Arabic" w:cs="DanaFajr" w:hint="cs"/>
          <w:sz w:val="28"/>
          <w:szCs w:val="28"/>
          <w:rtl/>
        </w:rPr>
        <w:t>.</w:t>
      </w:r>
    </w:p>
  </w:endnote>
  <w:endnote w:id="507">
    <w:p w:rsidR="00DB2356" w:rsidRPr="006571AC" w:rsidRDefault="00DB2356" w:rsidP="007E5A90">
      <w:pPr>
        <w:pStyle w:val="aa"/>
        <w:spacing w:line="306" w:lineRule="exact"/>
        <w:ind w:firstLine="0"/>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المصدر </w:t>
      </w:r>
      <w:r w:rsidRPr="006571AC">
        <w:rPr>
          <w:rFonts w:ascii="Simplified Arabic" w:hAnsi="Simplified Arabic" w:cs="DanaFajr" w:hint="cs"/>
          <w:sz w:val="28"/>
          <w:szCs w:val="28"/>
          <w:rtl/>
        </w:rPr>
        <w:t>السابق</w:t>
      </w:r>
      <w:r w:rsidRPr="006571AC">
        <w:rPr>
          <w:rFonts w:ascii="Simplified Arabic" w:hAnsi="Simplified Arabic" w:cs="DanaFajr"/>
          <w:sz w:val="28"/>
          <w:szCs w:val="28"/>
          <w:rtl/>
        </w:rPr>
        <w:t xml:space="preserve"> 3</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244 ح1624؛ محمد بن أبي الفيض جعفر الإدريسي الكت</w:t>
      </w:r>
      <w:r w:rsidRPr="006571AC">
        <w:rPr>
          <w:rFonts w:ascii="Simplified Arabic" w:hAnsi="Simplified Arabic" w:cs="DanaFajr" w:hint="cs"/>
          <w:sz w:val="28"/>
          <w:szCs w:val="28"/>
          <w:rtl/>
        </w:rPr>
        <w:t>ّ</w:t>
      </w:r>
      <w:r w:rsidRPr="006571AC">
        <w:rPr>
          <w:rFonts w:ascii="Simplified Arabic" w:hAnsi="Simplified Arabic" w:cs="DanaFajr"/>
          <w:sz w:val="28"/>
          <w:szCs w:val="28"/>
          <w:rtl/>
        </w:rPr>
        <w:t>اني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نظم المتناثر من الحديث المتواتر</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كتاب الإيمان</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ح9</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شرف حجازي، دار الكتب السلفية، ط2، مصر</w:t>
      </w:r>
      <w:r w:rsidRPr="006571AC">
        <w:rPr>
          <w:rFonts w:ascii="Simplified Arabic" w:hAnsi="Simplified Arabic" w:cs="DanaFajr" w:hint="cs"/>
          <w:sz w:val="28"/>
          <w:szCs w:val="28"/>
          <w:rtl/>
        </w:rPr>
        <w:t>.</w:t>
      </w:r>
    </w:p>
  </w:endnote>
  <w:endnote w:id="508">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 xml:space="preserve">محمد بن </w:t>
      </w:r>
      <w:r w:rsidRPr="006571AC">
        <w:rPr>
          <w:rFonts w:ascii="Simplified Arabic" w:hAnsi="Simplified Arabic" w:cs="DanaFajr" w:hint="cs"/>
          <w:sz w:val="28"/>
          <w:szCs w:val="28"/>
          <w:rtl/>
        </w:rPr>
        <w:t>إ</w:t>
      </w:r>
      <w:r w:rsidRPr="006571AC">
        <w:rPr>
          <w:rFonts w:ascii="Simplified Arabic" w:hAnsi="Simplified Arabic" w:cs="DanaFajr"/>
          <w:sz w:val="28"/>
          <w:szCs w:val="28"/>
          <w:rtl/>
        </w:rPr>
        <w:t>سماعيل البخاري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صحيح البخاري </w:t>
      </w:r>
      <w:r w:rsidRPr="006571AC">
        <w:rPr>
          <w:rFonts w:ascii="Simplified Arabic" w:hAnsi="Simplified Arabic" w:cs="DanaFajr" w:hint="cs"/>
          <w:sz w:val="28"/>
          <w:szCs w:val="28"/>
          <w:rtl/>
        </w:rPr>
        <w:t>1: 11 ـ 12،</w:t>
      </w:r>
      <w:r w:rsidRPr="006571AC">
        <w:rPr>
          <w:rFonts w:ascii="Simplified Arabic" w:hAnsi="Simplified Arabic" w:cs="DanaFajr"/>
          <w:sz w:val="28"/>
          <w:szCs w:val="28"/>
          <w:rtl/>
        </w:rPr>
        <w:t xml:space="preserve"> باب</w:t>
      </w:r>
      <w:r w:rsidRPr="006571AC">
        <w:rPr>
          <w:rFonts w:ascii="Simplified Arabic" w:hAnsi="Simplified Arabic" w:cs="DanaFajr" w:hint="cs"/>
          <w:sz w:val="28"/>
          <w:szCs w:val="28"/>
          <w:rtl/>
        </w:rPr>
        <w:t xml:space="preserve"> فإن تابو وأقاموا الصلاة وآتوا الزكاة فخلوا سبيلهم، </w:t>
      </w:r>
      <w:r w:rsidRPr="006571AC">
        <w:rPr>
          <w:rFonts w:ascii="Simplified Arabic" w:hAnsi="Simplified Arabic" w:cs="DanaFajr"/>
          <w:sz w:val="28"/>
          <w:szCs w:val="28"/>
          <w:rtl/>
        </w:rPr>
        <w:t>ح25</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محمد فؤاد عبد الباقي، دار ابن حزم</w:t>
      </w:r>
      <w:r w:rsidRPr="006571AC">
        <w:rPr>
          <w:rFonts w:ascii="Simplified Arabic" w:hAnsi="Simplified Arabic" w:cs="DanaFajr" w:hint="cs"/>
          <w:sz w:val="28"/>
          <w:szCs w:val="28"/>
          <w:rtl/>
        </w:rPr>
        <w:t>، بيروت</w:t>
      </w:r>
      <w:r w:rsidRPr="006571AC">
        <w:rPr>
          <w:rFonts w:ascii="Simplified Arabic" w:hAnsi="Simplified Arabic" w:cs="DanaFajr"/>
          <w:sz w:val="28"/>
          <w:szCs w:val="28"/>
          <w:rtl/>
        </w:rPr>
        <w:t>، ط1، 1430هـ ـ 2009م</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w:t>
      </w:r>
    </w:p>
  </w:endnote>
  <w:endnote w:id="509">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lang w:bidi="ar-IQ"/>
        </w:rPr>
        <w:t>مسلم بن الحج</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اج النيسابوري</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w:t>
      </w:r>
      <w:r w:rsidRPr="006571AC">
        <w:rPr>
          <w:rFonts w:ascii="Simplified Arabic" w:hAnsi="Simplified Arabic" w:cs="DanaFajr"/>
          <w:sz w:val="28"/>
          <w:szCs w:val="28"/>
          <w:rtl/>
        </w:rPr>
        <w:t xml:space="preserve">صحيح مسلم </w:t>
      </w:r>
      <w:r w:rsidRPr="006571AC">
        <w:rPr>
          <w:rFonts w:ascii="Simplified Arabic" w:hAnsi="Simplified Arabic" w:cs="DanaFajr" w:hint="cs"/>
          <w:sz w:val="28"/>
          <w:szCs w:val="28"/>
          <w:rtl/>
          <w:lang w:bidi="ar-IQ"/>
        </w:rPr>
        <w:t>1: 39،</w:t>
      </w:r>
      <w:r w:rsidRPr="006571AC">
        <w:rPr>
          <w:rFonts w:ascii="Simplified Arabic" w:hAnsi="Simplified Arabic" w:cs="DanaFajr"/>
          <w:sz w:val="28"/>
          <w:szCs w:val="28"/>
          <w:rtl/>
          <w:lang w:bidi="ar-IQ"/>
        </w:rPr>
        <w:t xml:space="preserve"> </w:t>
      </w:r>
      <w:r w:rsidRPr="006571AC">
        <w:rPr>
          <w:rFonts w:ascii="Simplified Arabic" w:hAnsi="Simplified Arabic" w:cs="DanaFajr"/>
          <w:sz w:val="28"/>
          <w:szCs w:val="28"/>
          <w:rtl/>
        </w:rPr>
        <w:t>بَابُ الأَمْرِ بِقِتَالِ النَّاسِ حَتَّى يَقُولُوا: لا إِلَهَ إِلاّ اللهُ مُحَمَّدٌ رَسُولُ اللهِ</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ح34</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دار السلام للنشر والتوزيع، الرياض</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ط2، 142</w:t>
      </w:r>
      <w:r w:rsidRPr="006571AC">
        <w:rPr>
          <w:rFonts w:ascii="Simplified Arabic" w:hAnsi="Simplified Arabic" w:cs="DanaFajr" w:hint="cs"/>
          <w:sz w:val="28"/>
          <w:szCs w:val="28"/>
          <w:rtl/>
        </w:rPr>
        <w:t>1هـ.</w:t>
      </w:r>
    </w:p>
  </w:endnote>
  <w:endnote w:id="510">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lang w:bidi="ar-IQ"/>
        </w:rPr>
        <w:t>النعمان بن ثابت أبو حنيفة</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مسند أبي حنيفة برواية الح</w:t>
      </w:r>
      <w:r w:rsidRPr="006571AC">
        <w:rPr>
          <w:rFonts w:ascii="Simplified Arabic" w:hAnsi="Simplified Arabic" w:cs="DanaFajr" w:hint="cs"/>
          <w:sz w:val="28"/>
          <w:szCs w:val="28"/>
          <w:rtl/>
          <w:lang w:bidi="ar-IQ"/>
        </w:rPr>
        <w:t>ص</w:t>
      </w:r>
      <w:r w:rsidRPr="006571AC">
        <w:rPr>
          <w:rFonts w:ascii="Simplified Arabic" w:hAnsi="Simplified Arabic" w:cs="DanaFajr"/>
          <w:sz w:val="28"/>
          <w:szCs w:val="28"/>
          <w:rtl/>
          <w:lang w:bidi="ar-IQ"/>
        </w:rPr>
        <w:t xml:space="preserve">كفي: </w:t>
      </w:r>
      <w:r w:rsidRPr="006571AC">
        <w:rPr>
          <w:rFonts w:ascii="Simplified Arabic" w:hAnsi="Simplified Arabic" w:cs="DanaFajr"/>
          <w:sz w:val="28"/>
          <w:szCs w:val="28"/>
          <w:rtl/>
        </w:rPr>
        <w:t>5</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كِتَابُ الإِيمَانِ وَالإِسْلامِ وَالْقَدَرِ وَالشَّفَاعَةِ</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ح6</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عبد الرحمن حسن محمود، منشورات الآداب، مصر</w:t>
      </w:r>
      <w:r w:rsidRPr="006571AC">
        <w:rPr>
          <w:rFonts w:ascii="Simplified Arabic" w:hAnsi="Simplified Arabic" w:cs="DanaFajr" w:hint="cs"/>
          <w:sz w:val="28"/>
          <w:szCs w:val="28"/>
          <w:rtl/>
        </w:rPr>
        <w:t>.</w:t>
      </w:r>
    </w:p>
  </w:endnote>
  <w:endnote w:id="511">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صحيح البخاري 8</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141</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باب وجوب الزكاة</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 1335. </w:t>
      </w:r>
    </w:p>
  </w:endnote>
  <w:endnote w:id="512">
    <w:p w:rsidR="00DB2356" w:rsidRPr="006571AC" w:rsidRDefault="00DB2356" w:rsidP="007E5A90">
      <w:pPr>
        <w:pStyle w:val="afffffff6"/>
        <w:bidi/>
        <w:spacing w:line="306" w:lineRule="exact"/>
        <w:jc w:val="both"/>
        <w:rPr>
          <w:rFonts w:ascii="Simplified Arabic" w:hAnsi="Simplified Arabic" w:cs="DanaFajr"/>
          <w:sz w:val="28"/>
          <w:szCs w:val="28"/>
          <w:rtl/>
          <w:lang w:bidi="ar-IQ"/>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lang w:bidi="ar-IQ"/>
        </w:rPr>
        <w:t>ان</w:t>
      </w:r>
      <w:r w:rsidRPr="006571AC">
        <w:rPr>
          <w:rFonts w:ascii="Simplified Arabic" w:hAnsi="Simplified Arabic" w:cs="DanaFajr"/>
          <w:sz w:val="28"/>
          <w:szCs w:val="28"/>
          <w:rtl/>
          <w:lang w:bidi="ar-IQ"/>
        </w:rPr>
        <w:t>ظ</w:t>
      </w:r>
      <w:r w:rsidRPr="006571AC">
        <w:rPr>
          <w:rFonts w:ascii="Simplified Arabic" w:hAnsi="Simplified Arabic" w:cs="DanaFajr" w:hint="cs"/>
          <w:sz w:val="28"/>
          <w:szCs w:val="28"/>
          <w:rtl/>
          <w:lang w:bidi="ar-IQ"/>
        </w:rPr>
        <w:t>ر</w:t>
      </w:r>
      <w:r w:rsidRPr="006571AC">
        <w:rPr>
          <w:rFonts w:ascii="Simplified Arabic" w:hAnsi="Simplified Arabic" w:cs="DanaFajr"/>
          <w:sz w:val="28"/>
          <w:szCs w:val="28"/>
          <w:rtl/>
          <w:lang w:bidi="ar-IQ"/>
        </w:rPr>
        <w:t xml:space="preserve">: </w:t>
      </w:r>
      <w:r w:rsidRPr="006571AC">
        <w:rPr>
          <w:rFonts w:ascii="Simplified Arabic" w:hAnsi="Simplified Arabic" w:cs="DanaFajr"/>
          <w:sz w:val="28"/>
          <w:szCs w:val="28"/>
          <w:rtl/>
        </w:rPr>
        <w:t xml:space="preserve">محمد بن </w:t>
      </w:r>
      <w:r w:rsidRPr="006571AC">
        <w:rPr>
          <w:rFonts w:ascii="Simplified Arabic" w:hAnsi="Simplified Arabic" w:cs="DanaFajr" w:hint="cs"/>
          <w:sz w:val="28"/>
          <w:szCs w:val="28"/>
          <w:rtl/>
        </w:rPr>
        <w:t>أ</w:t>
      </w:r>
      <w:r w:rsidRPr="006571AC">
        <w:rPr>
          <w:rFonts w:ascii="Simplified Arabic" w:hAnsi="Simplified Arabic" w:cs="DanaFajr"/>
          <w:sz w:val="28"/>
          <w:szCs w:val="28"/>
          <w:rtl/>
        </w:rPr>
        <w:t>حمد القرطبي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الجامع لأحكام القرآن 2</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353</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في ذيل الآية 193 من سورة البقرة</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دار </w:t>
      </w:r>
      <w:r w:rsidRPr="006571AC">
        <w:rPr>
          <w:rFonts w:ascii="Simplified Arabic" w:hAnsi="Simplified Arabic" w:cs="DanaFajr" w:hint="cs"/>
          <w:sz w:val="28"/>
          <w:szCs w:val="28"/>
          <w:rtl/>
        </w:rPr>
        <w:t>إ</w:t>
      </w:r>
      <w:r w:rsidRPr="006571AC">
        <w:rPr>
          <w:rFonts w:ascii="Simplified Arabic" w:hAnsi="Simplified Arabic" w:cs="DanaFajr"/>
          <w:sz w:val="28"/>
          <w:szCs w:val="28"/>
          <w:rtl/>
        </w:rPr>
        <w:t>حياء التراث العربي، بيروت، ط2، 1985م</w:t>
      </w:r>
      <w:r w:rsidRPr="006571AC">
        <w:rPr>
          <w:rFonts w:ascii="Simplified Arabic" w:hAnsi="Simplified Arabic" w:cs="DanaFajr" w:hint="cs"/>
          <w:sz w:val="28"/>
          <w:szCs w:val="28"/>
          <w:rtl/>
        </w:rPr>
        <w:t>.</w:t>
      </w:r>
    </w:p>
  </w:endnote>
  <w:endnote w:id="513">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أ</w:t>
      </w:r>
      <w:r w:rsidRPr="006571AC">
        <w:rPr>
          <w:rFonts w:ascii="Simplified Arabic" w:hAnsi="Simplified Arabic" w:cs="DanaFajr"/>
          <w:sz w:val="28"/>
          <w:szCs w:val="28"/>
          <w:rtl/>
        </w:rPr>
        <w:t>حمد بن شعيب النسائي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السنن الكبرى</w:t>
      </w:r>
      <w:r w:rsidRPr="006571AC">
        <w:rPr>
          <w:rFonts w:ascii="Simplified Arabic" w:hAnsi="Simplified Arabic" w:cs="DanaFajr"/>
          <w:sz w:val="28"/>
          <w:szCs w:val="28"/>
          <w:rtl/>
        </w:rPr>
        <w:t xml:space="preserve"> 5</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110</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ح8405</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 حسن عبد المنعم</w:t>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مؤسّسة الرسالة</w:t>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بيروت</w:t>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 xml:space="preserve">ط1، </w:t>
      </w:r>
      <w:r w:rsidRPr="006571AC">
        <w:rPr>
          <w:rFonts w:ascii="Simplified Arabic" w:hAnsi="Simplified Arabic" w:cs="DanaFajr"/>
          <w:sz w:val="28"/>
          <w:szCs w:val="28"/>
          <w:rtl/>
        </w:rPr>
        <w:t>1421هـ ـ 2001م؛ وقريب</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منه: الطوسي، الأمالي: 380 ـ 381</w:t>
      </w:r>
      <w:r w:rsidRPr="006571AC">
        <w:rPr>
          <w:rFonts w:ascii="Simplified Arabic" w:hAnsi="Simplified Arabic" w:cs="DanaFajr" w:hint="cs"/>
          <w:sz w:val="28"/>
          <w:szCs w:val="28"/>
          <w:rtl/>
        </w:rPr>
        <w:t>.</w:t>
      </w:r>
    </w:p>
  </w:endnote>
  <w:endnote w:id="514">
    <w:p w:rsidR="00DB2356" w:rsidRPr="006571AC" w:rsidRDefault="00DB2356" w:rsidP="007E5A90">
      <w:pPr>
        <w:pStyle w:val="afffffff6"/>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ac"/>
          <w:rFonts w:ascii="Simplified Arabic" w:hAnsi="Simplified Arabic" w:cs="DanaFajr"/>
          <w:sz w:val="28"/>
          <w:szCs w:val="28"/>
          <w:vertAlign w:val="baseline"/>
        </w:rPr>
        <w:endnoteRef/>
      </w:r>
      <w:r w:rsidRPr="006571AC">
        <w:rPr>
          <w:rFonts w:ascii="Simplified Arabic" w:hAnsi="Simplified Arabic" w:cs="DanaFajr"/>
          <w:sz w:val="28"/>
          <w:szCs w:val="28"/>
          <w:rtl/>
        </w:rPr>
        <w:t>) النيسابوري، صحيح مسلم 1</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52</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بَابُ الأَمْرِ بِقِتَالِ النَّاسِ حَتَّى يَقُولُوا: لا إِلَهَ إِلاّ</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اللهُ مُحَمَّدٌ رَسُولُ اللهِ</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ح35.</w:t>
      </w:r>
    </w:p>
  </w:endnote>
  <w:endnote w:id="515">
    <w:p w:rsidR="00DB2356" w:rsidRPr="006571AC" w:rsidRDefault="00DB2356" w:rsidP="00C15CAD">
      <w:pPr>
        <w:pStyle w:val="aa"/>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w:t>
      </w:r>
      <w:r w:rsidRPr="006571AC">
        <w:rPr>
          <w:rFonts w:ascii="Traditional Arabic" w:hAnsi="Traditional Arabic" w:cs="DanaFajr" w:hint="cs"/>
          <w:sz w:val="28"/>
          <w:szCs w:val="28"/>
          <w:rtl/>
          <w:lang w:bidi="ar-LB"/>
        </w:rPr>
        <w:t>قد أفرَدْتُ ذلك في مقالةٍ مستقلّة؛ وللاطلاع على بعض الشواهد انظر</w:t>
      </w:r>
      <w:r w:rsidRPr="006571AC">
        <w:rPr>
          <w:rFonts w:ascii="Traditional Arabic" w:hAnsi="Traditional Arabic" w:cs="DanaFajr"/>
          <w:sz w:val="28"/>
          <w:szCs w:val="28"/>
          <w:rtl/>
          <w:lang w:bidi="ar-LB"/>
        </w:rPr>
        <w:t>: مختصر التذكرة بأصول الفقه للشيخ المفيد(</w:t>
      </w:r>
      <w:r w:rsidRPr="006571AC">
        <w:rPr>
          <w:rFonts w:ascii="Arabic Typesetting" w:hAnsi="Arabic Typesetting" w:cs="DanaFajr" w:hint="cs"/>
          <w:sz w:val="28"/>
          <w:szCs w:val="28"/>
          <w:rtl/>
          <w:lang w:bidi="ar-LB"/>
        </w:rPr>
        <w:t>413</w:t>
      </w:r>
      <w:r w:rsidRPr="006571AC">
        <w:rPr>
          <w:rFonts w:ascii="Traditional Arabic" w:hAnsi="Traditional Arabic" w:cs="DanaFajr"/>
          <w:sz w:val="28"/>
          <w:szCs w:val="28"/>
          <w:rtl/>
          <w:lang w:bidi="ar-LB"/>
        </w:rPr>
        <w:t xml:space="preserve">هـ): </w:t>
      </w:r>
      <w:r w:rsidRPr="006571AC">
        <w:rPr>
          <w:rFonts w:ascii="Arabic Typesetting" w:hAnsi="Arabic Typesetting" w:cs="DanaFajr" w:hint="cs"/>
          <w:sz w:val="28"/>
          <w:szCs w:val="28"/>
          <w:rtl/>
          <w:lang w:bidi="ar-LB"/>
        </w:rPr>
        <w:t>29</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42</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fa-IR"/>
        </w:rPr>
        <w:t>الذريعة إلى أصول الشريعة للسيد المرتضى(</w:t>
      </w:r>
      <w:r w:rsidRPr="006571AC">
        <w:rPr>
          <w:rFonts w:ascii="Arabic Typesetting" w:hAnsi="Arabic Typesetting" w:cs="DanaFajr" w:hint="cs"/>
          <w:sz w:val="28"/>
          <w:szCs w:val="28"/>
          <w:rtl/>
          <w:lang w:bidi="ar-LB"/>
        </w:rPr>
        <w:t>436</w:t>
      </w:r>
      <w:r w:rsidRPr="006571AC">
        <w:rPr>
          <w:rFonts w:ascii="Traditional Arabic" w:hAnsi="Traditional Arabic" w:cs="DanaFajr"/>
          <w:sz w:val="28"/>
          <w:szCs w:val="28"/>
          <w:rtl/>
          <w:lang w:bidi="fa-IR"/>
        </w:rPr>
        <w:t xml:space="preserve">هـ) </w:t>
      </w:r>
      <w:r w:rsidRPr="006571AC">
        <w:rPr>
          <w:rFonts w:ascii="Arabic Typesetting" w:hAnsi="Arabic Typesetting" w:cs="DanaFajr" w:hint="cs"/>
          <w:sz w:val="28"/>
          <w:szCs w:val="28"/>
          <w:rtl/>
          <w:lang w:bidi="ar-LB"/>
        </w:rPr>
        <w:t>1</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15</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25</w:t>
      </w:r>
      <w:r w:rsidRPr="006571AC">
        <w:rPr>
          <w:rFonts w:ascii="Traditional Arabic" w:hAnsi="Traditional Arabic" w:cs="DanaFajr" w:hint="cs"/>
          <w:sz w:val="28"/>
          <w:szCs w:val="28"/>
          <w:rtl/>
          <w:lang w:bidi="fa-IR"/>
        </w:rPr>
        <w:t xml:space="preserve"> ـ </w:t>
      </w:r>
      <w:r w:rsidRPr="006571AC">
        <w:rPr>
          <w:rFonts w:ascii="Arabic Typesetting" w:hAnsi="Arabic Typesetting" w:cs="DanaFajr" w:hint="cs"/>
          <w:sz w:val="28"/>
          <w:szCs w:val="28"/>
          <w:rtl/>
          <w:lang w:bidi="ar-LB"/>
        </w:rPr>
        <w:t>26</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العدّة في أصول الفقه للشيخ الطوسي(</w:t>
      </w:r>
      <w:r w:rsidRPr="006571AC">
        <w:rPr>
          <w:rFonts w:ascii="Arabic Typesetting" w:hAnsi="Arabic Typesetting" w:cs="DanaFajr" w:hint="cs"/>
          <w:sz w:val="28"/>
          <w:szCs w:val="28"/>
          <w:rtl/>
          <w:lang w:bidi="ar-LB"/>
        </w:rPr>
        <w:t>460</w:t>
      </w:r>
      <w:r w:rsidRPr="006571AC">
        <w:rPr>
          <w:rFonts w:ascii="Traditional Arabic" w:hAnsi="Traditional Arabic" w:cs="DanaFajr"/>
          <w:sz w:val="28"/>
          <w:szCs w:val="28"/>
          <w:rtl/>
          <w:lang w:bidi="fa-IR"/>
        </w:rPr>
        <w:t xml:space="preserve">هـ) </w:t>
      </w:r>
      <w:r w:rsidRPr="006571AC">
        <w:rPr>
          <w:rFonts w:ascii="Arabic Typesetting" w:hAnsi="Arabic Typesetting" w:cs="DanaFajr" w:hint="cs"/>
          <w:sz w:val="28"/>
          <w:szCs w:val="28"/>
          <w:rtl/>
          <w:lang w:bidi="ar-LB"/>
        </w:rPr>
        <w:t>1</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409</w:t>
      </w:r>
      <w:r w:rsidRPr="006571AC">
        <w:rPr>
          <w:rFonts w:ascii="Traditional Arabic" w:hAnsi="Traditional Arabic" w:cs="DanaFajr" w:hint="cs"/>
          <w:sz w:val="28"/>
          <w:szCs w:val="28"/>
          <w:rtl/>
          <w:lang w:bidi="fa-IR"/>
        </w:rPr>
        <w:t xml:space="preserve"> ـ </w:t>
      </w:r>
      <w:r w:rsidRPr="006571AC">
        <w:rPr>
          <w:rFonts w:ascii="Arabic Typesetting" w:hAnsi="Arabic Typesetting" w:cs="DanaFajr" w:hint="cs"/>
          <w:sz w:val="28"/>
          <w:szCs w:val="28"/>
          <w:rtl/>
          <w:lang w:bidi="ar-LB"/>
        </w:rPr>
        <w:t>410</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معارج الأصول للمحق</w:t>
      </w:r>
      <w:r w:rsidRPr="006571AC">
        <w:rPr>
          <w:rFonts w:ascii="Traditional Arabic" w:hAnsi="Traditional Arabic" w:cs="DanaFajr" w:hint="cs"/>
          <w:sz w:val="28"/>
          <w:szCs w:val="28"/>
          <w:rtl/>
          <w:lang w:bidi="fa-IR"/>
        </w:rPr>
        <w:t>ِّ</w:t>
      </w:r>
      <w:r w:rsidRPr="006571AC">
        <w:rPr>
          <w:rFonts w:ascii="Traditional Arabic" w:hAnsi="Traditional Arabic" w:cs="DanaFajr"/>
          <w:sz w:val="28"/>
          <w:szCs w:val="28"/>
          <w:rtl/>
          <w:lang w:bidi="fa-IR"/>
        </w:rPr>
        <w:t>ق الحلي(</w:t>
      </w:r>
      <w:r w:rsidRPr="006571AC">
        <w:rPr>
          <w:rFonts w:ascii="Arabic Typesetting" w:hAnsi="Arabic Typesetting" w:cs="DanaFajr" w:hint="cs"/>
          <w:sz w:val="28"/>
          <w:szCs w:val="28"/>
          <w:rtl/>
          <w:lang w:bidi="ar-LB"/>
        </w:rPr>
        <w:t>676</w:t>
      </w:r>
      <w:r w:rsidRPr="006571AC">
        <w:rPr>
          <w:rFonts w:ascii="Traditional Arabic" w:hAnsi="Traditional Arabic" w:cs="DanaFajr"/>
          <w:sz w:val="28"/>
          <w:szCs w:val="28"/>
          <w:rtl/>
          <w:lang w:bidi="fa-IR"/>
        </w:rPr>
        <w:t xml:space="preserve">هـ): </w:t>
      </w:r>
      <w:r w:rsidRPr="006571AC">
        <w:rPr>
          <w:rFonts w:ascii="Arabic Typesetting" w:hAnsi="Arabic Typesetting" w:cs="DanaFajr" w:hint="cs"/>
          <w:sz w:val="28"/>
          <w:szCs w:val="28"/>
          <w:rtl/>
          <w:lang w:bidi="ar-LB"/>
        </w:rPr>
        <w:t>76</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82</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تهذيب الوصول إلى علم الأصول للعلا</w:t>
      </w:r>
      <w:r w:rsidRPr="006571AC">
        <w:rPr>
          <w:rFonts w:ascii="Traditional Arabic" w:hAnsi="Traditional Arabic" w:cs="DanaFajr" w:hint="cs"/>
          <w:sz w:val="28"/>
          <w:szCs w:val="28"/>
          <w:rtl/>
          <w:lang w:bidi="fa-IR"/>
        </w:rPr>
        <w:t>ّ</w:t>
      </w:r>
      <w:r w:rsidRPr="006571AC">
        <w:rPr>
          <w:rFonts w:ascii="Traditional Arabic" w:hAnsi="Traditional Arabic" w:cs="DanaFajr"/>
          <w:sz w:val="28"/>
          <w:szCs w:val="28"/>
          <w:rtl/>
          <w:lang w:bidi="fa-IR"/>
        </w:rPr>
        <w:t>مة الحل</w:t>
      </w:r>
      <w:r w:rsidRPr="006571AC">
        <w:rPr>
          <w:rFonts w:ascii="Traditional Arabic" w:hAnsi="Traditional Arabic" w:cs="DanaFajr" w:hint="cs"/>
          <w:sz w:val="28"/>
          <w:szCs w:val="28"/>
          <w:rtl/>
          <w:lang w:bidi="fa-IR"/>
        </w:rPr>
        <w:t>ّ</w:t>
      </w:r>
      <w:r w:rsidRPr="006571AC">
        <w:rPr>
          <w:rFonts w:ascii="Traditional Arabic" w:hAnsi="Traditional Arabic" w:cs="DanaFajr"/>
          <w:sz w:val="28"/>
          <w:szCs w:val="28"/>
          <w:rtl/>
          <w:lang w:bidi="fa-IR"/>
        </w:rPr>
        <w:t>ي(</w:t>
      </w:r>
      <w:r w:rsidRPr="006571AC">
        <w:rPr>
          <w:rFonts w:ascii="Arabic Typesetting" w:hAnsi="Arabic Typesetting" w:cs="DanaFajr" w:hint="cs"/>
          <w:sz w:val="28"/>
          <w:szCs w:val="28"/>
          <w:rtl/>
          <w:lang w:bidi="ar-LB"/>
        </w:rPr>
        <w:t>726</w:t>
      </w:r>
      <w:r w:rsidRPr="006571AC">
        <w:rPr>
          <w:rFonts w:ascii="Traditional Arabic" w:hAnsi="Traditional Arabic" w:cs="DanaFajr" w:hint="cs"/>
          <w:sz w:val="28"/>
          <w:szCs w:val="28"/>
          <w:rtl/>
          <w:lang w:bidi="fa-IR"/>
        </w:rPr>
        <w:t>هـ</w:t>
      </w:r>
      <w:r w:rsidRPr="006571AC">
        <w:rPr>
          <w:rFonts w:ascii="Traditional Arabic" w:hAnsi="Traditional Arabic" w:cs="DanaFajr"/>
          <w:sz w:val="28"/>
          <w:szCs w:val="28"/>
          <w:rtl/>
          <w:lang w:bidi="fa-IR"/>
        </w:rPr>
        <w:t xml:space="preserve">): </w:t>
      </w:r>
      <w:r w:rsidRPr="006571AC">
        <w:rPr>
          <w:rFonts w:ascii="Arabic Typesetting" w:hAnsi="Arabic Typesetting" w:cs="DanaFajr" w:hint="cs"/>
          <w:sz w:val="28"/>
          <w:szCs w:val="28"/>
          <w:rtl/>
          <w:lang w:bidi="ar-LB"/>
        </w:rPr>
        <w:t>87</w:t>
      </w:r>
      <w:r w:rsidRPr="006571AC">
        <w:rPr>
          <w:rFonts w:ascii="Traditional Arabic" w:hAnsi="Traditional Arabic" w:cs="DanaFajr" w:hint="cs"/>
          <w:sz w:val="28"/>
          <w:szCs w:val="28"/>
          <w:rtl/>
          <w:lang w:bidi="fa-IR"/>
        </w:rPr>
        <w:t xml:space="preserve"> ـ </w:t>
      </w:r>
      <w:r w:rsidRPr="006571AC">
        <w:rPr>
          <w:rFonts w:ascii="Arabic Typesetting" w:hAnsi="Arabic Typesetting" w:cs="DanaFajr" w:hint="cs"/>
          <w:sz w:val="28"/>
          <w:szCs w:val="28"/>
          <w:rtl/>
          <w:lang w:bidi="ar-LB"/>
        </w:rPr>
        <w:t>88</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نهاية الوصول إلى علم الأصول</w:t>
      </w:r>
      <w:r w:rsidRPr="006571AC">
        <w:rPr>
          <w:rFonts w:ascii="Traditional Arabic" w:hAnsi="Traditional Arabic" w:cs="DanaFajr" w:hint="cs"/>
          <w:sz w:val="28"/>
          <w:szCs w:val="28"/>
          <w:rtl/>
          <w:lang w:bidi="fa-IR"/>
        </w:rPr>
        <w:t xml:space="preserve"> للعلاّمة الحلّي أيضاً </w:t>
      </w:r>
      <w:r w:rsidRPr="006571AC">
        <w:rPr>
          <w:rFonts w:ascii="Arabic Typesetting" w:hAnsi="Arabic Typesetting" w:cs="DanaFajr" w:hint="cs"/>
          <w:sz w:val="28"/>
          <w:szCs w:val="28"/>
          <w:rtl/>
          <w:lang w:bidi="ar-LB"/>
        </w:rPr>
        <w:t>1</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166</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172</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193</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القواعد والفوائد في الفقه والأصول والعربية للشهيد الأو</w:t>
      </w:r>
      <w:r w:rsidRPr="006571AC">
        <w:rPr>
          <w:rFonts w:ascii="Traditional Arabic" w:hAnsi="Traditional Arabic" w:cs="DanaFajr" w:hint="cs"/>
          <w:sz w:val="28"/>
          <w:szCs w:val="28"/>
          <w:rtl/>
          <w:lang w:bidi="fa-IR"/>
        </w:rPr>
        <w:t>ّ</w:t>
      </w:r>
      <w:r w:rsidRPr="006571AC">
        <w:rPr>
          <w:rFonts w:ascii="Traditional Arabic" w:hAnsi="Traditional Arabic" w:cs="DanaFajr"/>
          <w:sz w:val="28"/>
          <w:szCs w:val="28"/>
          <w:rtl/>
          <w:lang w:bidi="fa-IR"/>
        </w:rPr>
        <w:t>ل(</w:t>
      </w:r>
      <w:r w:rsidRPr="006571AC">
        <w:rPr>
          <w:rFonts w:ascii="Arabic Typesetting" w:hAnsi="Arabic Typesetting" w:cs="DanaFajr" w:hint="cs"/>
          <w:sz w:val="28"/>
          <w:szCs w:val="28"/>
          <w:rtl/>
          <w:lang w:bidi="ar-LB"/>
        </w:rPr>
        <w:t>786</w:t>
      </w:r>
      <w:r w:rsidRPr="006571AC">
        <w:rPr>
          <w:rFonts w:ascii="Traditional Arabic" w:hAnsi="Traditional Arabic" w:cs="DanaFajr"/>
          <w:sz w:val="28"/>
          <w:szCs w:val="28"/>
          <w:rtl/>
          <w:lang w:bidi="fa-IR"/>
        </w:rPr>
        <w:t>هـ)، كاشفة الحال عن أحوال الاستدلال لابن أبي جمهور الأحسائي(</w:t>
      </w:r>
      <w:r w:rsidRPr="006571AC">
        <w:rPr>
          <w:rFonts w:ascii="Arabic Typesetting" w:hAnsi="Arabic Typesetting" w:cs="DanaFajr" w:hint="cs"/>
          <w:sz w:val="28"/>
          <w:szCs w:val="28"/>
          <w:rtl/>
          <w:lang w:bidi="ar-LB"/>
        </w:rPr>
        <w:t>901</w:t>
      </w:r>
      <w:r w:rsidRPr="006571AC">
        <w:rPr>
          <w:rFonts w:ascii="Traditional Arabic" w:hAnsi="Traditional Arabic" w:cs="DanaFajr"/>
          <w:sz w:val="28"/>
          <w:szCs w:val="28"/>
          <w:rtl/>
          <w:lang w:bidi="fa-IR"/>
        </w:rPr>
        <w:t>هـ)، تمهيد القواعد للشهيد الثاني(</w:t>
      </w:r>
      <w:r w:rsidRPr="006571AC">
        <w:rPr>
          <w:rFonts w:ascii="Arabic Typesetting" w:hAnsi="Arabic Typesetting" w:cs="DanaFajr" w:hint="cs"/>
          <w:sz w:val="28"/>
          <w:szCs w:val="28"/>
          <w:rtl/>
          <w:lang w:bidi="ar-LB"/>
        </w:rPr>
        <w:t>966</w:t>
      </w:r>
      <w:r w:rsidRPr="006571AC">
        <w:rPr>
          <w:rFonts w:ascii="Traditional Arabic" w:hAnsi="Traditional Arabic" w:cs="DanaFajr" w:hint="cs"/>
          <w:sz w:val="28"/>
          <w:szCs w:val="28"/>
          <w:rtl/>
          <w:lang w:bidi="fa-IR"/>
        </w:rPr>
        <w:t>هـ</w:t>
      </w:r>
      <w:r w:rsidRPr="006571AC">
        <w:rPr>
          <w:rFonts w:ascii="Traditional Arabic" w:hAnsi="Traditional Arabic" w:cs="DanaFajr"/>
          <w:sz w:val="28"/>
          <w:szCs w:val="28"/>
          <w:rtl/>
          <w:lang w:bidi="fa-IR"/>
        </w:rPr>
        <w:t>)</w:t>
      </w:r>
      <w:r w:rsidRPr="006571AC">
        <w:rPr>
          <w:rFonts w:ascii="Traditional Arabic" w:hAnsi="Traditional Arabic" w:cs="DanaFajr" w:hint="cs"/>
          <w:sz w:val="28"/>
          <w:szCs w:val="28"/>
          <w:rtl/>
          <w:lang w:bidi="fa-IR"/>
        </w:rPr>
        <w:t>؛</w:t>
      </w:r>
      <w:r w:rsidRPr="006571AC">
        <w:rPr>
          <w:rFonts w:ascii="Traditional Arabic" w:hAnsi="Traditional Arabic" w:cs="DanaFajr"/>
          <w:sz w:val="28"/>
          <w:szCs w:val="28"/>
          <w:rtl/>
          <w:lang w:bidi="fa-IR"/>
        </w:rPr>
        <w:t xml:space="preserve"> معالم الدين وملاذ المجتهدين للشيخ حسن بن زين الدين(</w:t>
      </w:r>
      <w:r w:rsidRPr="006571AC">
        <w:rPr>
          <w:rFonts w:ascii="Arabic Typesetting" w:hAnsi="Arabic Typesetting" w:cs="DanaFajr" w:hint="cs"/>
          <w:sz w:val="28"/>
          <w:szCs w:val="28"/>
          <w:rtl/>
          <w:lang w:bidi="ar-LB"/>
        </w:rPr>
        <w:t>1011</w:t>
      </w:r>
      <w:r w:rsidRPr="006571AC">
        <w:rPr>
          <w:rFonts w:ascii="Traditional Arabic" w:hAnsi="Traditional Arabic" w:cs="DanaFajr" w:hint="cs"/>
          <w:sz w:val="28"/>
          <w:szCs w:val="28"/>
          <w:rtl/>
          <w:lang w:bidi="fa-IR"/>
        </w:rPr>
        <w:t>هـ</w:t>
      </w:r>
      <w:r w:rsidRPr="006571AC">
        <w:rPr>
          <w:rFonts w:ascii="Traditional Arabic" w:hAnsi="Traditional Arabic" w:cs="DanaFajr"/>
          <w:sz w:val="28"/>
          <w:szCs w:val="28"/>
          <w:rtl/>
          <w:lang w:bidi="fa-IR"/>
        </w:rPr>
        <w:t xml:space="preserve">): </w:t>
      </w:r>
      <w:r w:rsidRPr="006571AC">
        <w:rPr>
          <w:rFonts w:ascii="Arabic Typesetting" w:hAnsi="Arabic Typesetting" w:cs="DanaFajr" w:hint="cs"/>
          <w:sz w:val="28"/>
          <w:szCs w:val="28"/>
          <w:rtl/>
          <w:lang w:bidi="ar-LB"/>
        </w:rPr>
        <w:t>102</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192</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زبدة الأصول للشيخ البهائي(</w:t>
      </w:r>
      <w:r w:rsidRPr="006571AC">
        <w:rPr>
          <w:rFonts w:ascii="Arabic Typesetting" w:hAnsi="Arabic Typesetting" w:cs="DanaFajr" w:hint="cs"/>
          <w:sz w:val="28"/>
          <w:szCs w:val="28"/>
          <w:rtl/>
          <w:lang w:bidi="ar-LB"/>
        </w:rPr>
        <w:t>1031</w:t>
      </w:r>
      <w:r w:rsidRPr="006571AC">
        <w:rPr>
          <w:rFonts w:ascii="Traditional Arabic" w:hAnsi="Traditional Arabic" w:cs="DanaFajr"/>
          <w:sz w:val="28"/>
          <w:szCs w:val="28"/>
          <w:rtl/>
          <w:lang w:bidi="fa-IR"/>
        </w:rPr>
        <w:t xml:space="preserve">هـ): </w:t>
      </w:r>
      <w:r w:rsidRPr="006571AC">
        <w:rPr>
          <w:rFonts w:ascii="Arabic Typesetting" w:hAnsi="Arabic Typesetting" w:cs="DanaFajr" w:hint="cs"/>
          <w:sz w:val="28"/>
          <w:szCs w:val="28"/>
          <w:rtl/>
          <w:lang w:bidi="ar-LB"/>
        </w:rPr>
        <w:t>53</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الفوائد المدنية للشيخ محمد أمين ال</w:t>
      </w:r>
      <w:r w:rsidRPr="006571AC">
        <w:rPr>
          <w:rFonts w:ascii="Traditional Arabic" w:hAnsi="Traditional Arabic" w:cs="DanaFajr" w:hint="cs"/>
          <w:sz w:val="28"/>
          <w:szCs w:val="28"/>
          <w:rtl/>
          <w:lang w:bidi="fa-IR"/>
        </w:rPr>
        <w:t>إ</w:t>
      </w:r>
      <w:r w:rsidRPr="006571AC">
        <w:rPr>
          <w:rFonts w:ascii="Traditional Arabic" w:hAnsi="Traditional Arabic" w:cs="DanaFajr"/>
          <w:sz w:val="28"/>
          <w:szCs w:val="28"/>
          <w:rtl/>
          <w:lang w:bidi="fa-IR"/>
        </w:rPr>
        <w:t>سترآبادي(</w:t>
      </w:r>
      <w:r w:rsidRPr="006571AC">
        <w:rPr>
          <w:rFonts w:ascii="Arabic Typesetting" w:hAnsi="Arabic Typesetting" w:cs="DanaFajr" w:hint="cs"/>
          <w:sz w:val="28"/>
          <w:szCs w:val="28"/>
          <w:rtl/>
          <w:lang w:bidi="ar-LB"/>
        </w:rPr>
        <w:t>1033</w:t>
      </w:r>
      <w:r w:rsidRPr="006571AC">
        <w:rPr>
          <w:rFonts w:ascii="Traditional Arabic" w:hAnsi="Traditional Arabic" w:cs="DanaFajr" w:hint="cs"/>
          <w:sz w:val="28"/>
          <w:szCs w:val="28"/>
          <w:rtl/>
          <w:lang w:bidi="fa-IR"/>
        </w:rPr>
        <w:t>هـ</w:t>
      </w:r>
      <w:r w:rsidRPr="006571AC">
        <w:rPr>
          <w:rFonts w:ascii="Traditional Arabic" w:hAnsi="Traditional Arabic" w:cs="DanaFajr"/>
          <w:sz w:val="28"/>
          <w:szCs w:val="28"/>
          <w:rtl/>
          <w:lang w:bidi="fa-IR"/>
        </w:rPr>
        <w:t xml:space="preserve">): </w:t>
      </w:r>
      <w:r w:rsidRPr="006571AC">
        <w:rPr>
          <w:rFonts w:ascii="Arabic Typesetting" w:hAnsi="Arabic Typesetting" w:cs="DanaFajr" w:hint="cs"/>
          <w:sz w:val="28"/>
          <w:szCs w:val="28"/>
          <w:rtl/>
          <w:lang w:bidi="ar-LB"/>
        </w:rPr>
        <w:t>104</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180</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269</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271</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314</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320</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ar-LB"/>
        </w:rPr>
        <w:t>الوافية في أصول الفقه للفاضل التوني(</w:t>
      </w:r>
      <w:r w:rsidRPr="006571AC">
        <w:rPr>
          <w:rFonts w:ascii="Arabic Typesetting" w:hAnsi="Arabic Typesetting" w:cs="DanaFajr" w:hint="cs"/>
          <w:sz w:val="28"/>
          <w:szCs w:val="28"/>
          <w:rtl/>
          <w:lang w:bidi="ar-LB"/>
        </w:rPr>
        <w:t>1071</w:t>
      </w:r>
      <w:r w:rsidRPr="006571AC">
        <w:rPr>
          <w:rFonts w:ascii="Traditional Arabic" w:hAnsi="Traditional Arabic" w:cs="DanaFajr"/>
          <w:sz w:val="28"/>
          <w:szCs w:val="28"/>
          <w:rtl/>
          <w:lang w:bidi="ar-LB"/>
        </w:rPr>
        <w:t xml:space="preserve">هـ): </w:t>
      </w:r>
      <w:r w:rsidRPr="006571AC">
        <w:rPr>
          <w:rFonts w:ascii="Arabic Typesetting" w:hAnsi="Arabic Typesetting" w:cs="DanaFajr" w:hint="cs"/>
          <w:sz w:val="28"/>
          <w:szCs w:val="28"/>
          <w:rtl/>
          <w:lang w:bidi="ar-LB"/>
        </w:rPr>
        <w:t>81</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119</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134</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136</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253</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255</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290</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الرسائل الأصولية للوحيد البهبهاني(</w:t>
      </w:r>
      <w:r w:rsidRPr="006571AC">
        <w:rPr>
          <w:rFonts w:ascii="Arabic Typesetting" w:hAnsi="Arabic Typesetting" w:cs="DanaFajr" w:hint="cs"/>
          <w:sz w:val="28"/>
          <w:szCs w:val="28"/>
          <w:rtl/>
          <w:lang w:bidi="ar-LB"/>
        </w:rPr>
        <w:t>1205</w:t>
      </w:r>
      <w:r w:rsidRPr="006571AC">
        <w:rPr>
          <w:rFonts w:ascii="Traditional Arabic" w:hAnsi="Traditional Arabic" w:cs="DanaFajr"/>
          <w:sz w:val="28"/>
          <w:szCs w:val="28"/>
          <w:rtl/>
          <w:lang w:bidi="ar-LB"/>
        </w:rPr>
        <w:t xml:space="preserve">هـ): </w:t>
      </w:r>
      <w:r w:rsidRPr="006571AC">
        <w:rPr>
          <w:rFonts w:ascii="Arabic Typesetting" w:hAnsi="Arabic Typesetting" w:cs="DanaFajr" w:hint="cs"/>
          <w:sz w:val="28"/>
          <w:szCs w:val="28"/>
          <w:rtl/>
          <w:lang w:bidi="ar-LB"/>
        </w:rPr>
        <w:t>28</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32</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34</w:t>
      </w:r>
      <w:r w:rsidRPr="006571AC">
        <w:rPr>
          <w:rFonts w:ascii="Traditional Arabic" w:hAnsi="Traditional Arabic" w:cs="DanaFajr" w:hint="cs"/>
          <w:sz w:val="28"/>
          <w:szCs w:val="28"/>
          <w:rtl/>
          <w:lang w:bidi="ar-LB"/>
        </w:rPr>
        <w:t xml:space="preserve"> ـ </w:t>
      </w:r>
      <w:r w:rsidRPr="006571AC">
        <w:rPr>
          <w:rFonts w:ascii="Arabic Typesetting" w:hAnsi="Arabic Typesetting" w:cs="DanaFajr" w:hint="cs"/>
          <w:sz w:val="28"/>
          <w:szCs w:val="28"/>
          <w:rtl/>
          <w:lang w:bidi="ar-LB"/>
        </w:rPr>
        <w:t>35</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القوانين المحكمة في الأصول للميرزا القم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ي(</w:t>
      </w:r>
      <w:r w:rsidRPr="006571AC">
        <w:rPr>
          <w:rFonts w:ascii="Arabic Typesetting" w:hAnsi="Arabic Typesetting" w:cs="DanaFajr" w:hint="cs"/>
          <w:sz w:val="28"/>
          <w:szCs w:val="28"/>
          <w:rtl/>
          <w:lang w:bidi="ar-LB"/>
        </w:rPr>
        <w:t>1231</w:t>
      </w:r>
      <w:r w:rsidRPr="006571AC">
        <w:rPr>
          <w:rFonts w:ascii="Traditional Arabic" w:hAnsi="Traditional Arabic" w:cs="DanaFajr"/>
          <w:sz w:val="28"/>
          <w:szCs w:val="28"/>
          <w:rtl/>
          <w:lang w:bidi="ar-LB"/>
        </w:rPr>
        <w:t xml:space="preserve">هـ): </w:t>
      </w:r>
      <w:r w:rsidRPr="006571AC">
        <w:rPr>
          <w:rFonts w:ascii="Arabic Typesetting" w:hAnsi="Arabic Typesetting" w:cs="DanaFajr" w:hint="cs"/>
          <w:sz w:val="28"/>
          <w:szCs w:val="28"/>
          <w:rtl/>
          <w:lang w:bidi="ar-LB"/>
        </w:rPr>
        <w:t>240</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421</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fa-IR"/>
        </w:rPr>
        <w:t>عوائد الأيام في بيان قواعد الأحكام ومهمات مسائل الحلال والحرام للشيخ محمد مهدي النراقي(</w:t>
      </w:r>
      <w:r w:rsidRPr="006571AC">
        <w:rPr>
          <w:rFonts w:ascii="Arabic Typesetting" w:hAnsi="Arabic Typesetting" w:cs="DanaFajr" w:hint="cs"/>
          <w:sz w:val="28"/>
          <w:szCs w:val="28"/>
          <w:rtl/>
          <w:lang w:bidi="ar-LB"/>
        </w:rPr>
        <w:t>1245</w:t>
      </w:r>
      <w:r w:rsidRPr="006571AC">
        <w:rPr>
          <w:rFonts w:ascii="Traditional Arabic" w:hAnsi="Traditional Arabic" w:cs="DanaFajr"/>
          <w:sz w:val="28"/>
          <w:szCs w:val="28"/>
          <w:rtl/>
          <w:lang w:bidi="fa-IR"/>
        </w:rPr>
        <w:t xml:space="preserve">هـ): </w:t>
      </w:r>
      <w:r w:rsidRPr="006571AC">
        <w:rPr>
          <w:rFonts w:ascii="Arabic Typesetting" w:hAnsi="Arabic Typesetting" w:cs="DanaFajr" w:hint="cs"/>
          <w:sz w:val="28"/>
          <w:szCs w:val="28"/>
          <w:rtl/>
          <w:lang w:bidi="ar-LB"/>
        </w:rPr>
        <w:t>357</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590</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593</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ar-LB"/>
        </w:rPr>
        <w:t>مفتاح الأحكام</w:t>
      </w:r>
      <w:r w:rsidRPr="006571AC">
        <w:rPr>
          <w:rFonts w:ascii="Traditional Arabic" w:hAnsi="Traditional Arabic" w:cs="DanaFajr"/>
          <w:sz w:val="28"/>
          <w:szCs w:val="28"/>
          <w:rtl/>
          <w:lang w:bidi="fa-IR"/>
        </w:rPr>
        <w:t xml:space="preserve"> </w:t>
      </w:r>
      <w:r w:rsidRPr="006571AC">
        <w:rPr>
          <w:rFonts w:ascii="Traditional Arabic" w:hAnsi="Traditional Arabic" w:cs="DanaFajr" w:hint="cs"/>
          <w:sz w:val="28"/>
          <w:szCs w:val="28"/>
          <w:rtl/>
          <w:lang w:bidi="fa-IR"/>
        </w:rPr>
        <w:t xml:space="preserve">للنراقي أيضاً: </w:t>
      </w:r>
      <w:r w:rsidRPr="006571AC">
        <w:rPr>
          <w:rFonts w:ascii="Arabic Typesetting" w:hAnsi="Arabic Typesetting" w:cs="DanaFajr" w:hint="cs"/>
          <w:sz w:val="28"/>
          <w:szCs w:val="28"/>
          <w:rtl/>
          <w:lang w:bidi="ar-LB"/>
        </w:rPr>
        <w:t>93</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ar-LB"/>
        </w:rPr>
        <w:t>فرائد الأصول للشيخ مرتضى الأنصاري(</w:t>
      </w:r>
      <w:r w:rsidRPr="006571AC">
        <w:rPr>
          <w:rFonts w:ascii="Arabic Typesetting" w:hAnsi="Arabic Typesetting" w:cs="DanaFajr" w:hint="cs"/>
          <w:sz w:val="28"/>
          <w:szCs w:val="28"/>
          <w:rtl/>
          <w:lang w:bidi="ar-LB"/>
        </w:rPr>
        <w:t>1281</w:t>
      </w:r>
      <w:r w:rsidRPr="006571AC">
        <w:rPr>
          <w:rFonts w:ascii="Traditional Arabic" w:hAnsi="Traditional Arabic" w:cs="DanaFajr"/>
          <w:sz w:val="28"/>
          <w:szCs w:val="28"/>
          <w:rtl/>
          <w:lang w:bidi="ar-LB"/>
        </w:rPr>
        <w:t xml:space="preserve">هـ): </w:t>
      </w:r>
      <w:r w:rsidRPr="006571AC">
        <w:rPr>
          <w:rFonts w:ascii="Arabic Typesetting" w:hAnsi="Arabic Typesetting" w:cs="DanaFajr" w:hint="cs"/>
          <w:sz w:val="28"/>
          <w:szCs w:val="28"/>
          <w:rtl/>
          <w:lang w:bidi="ar-LB"/>
        </w:rPr>
        <w:t>135</w:t>
      </w:r>
      <w:r w:rsidRPr="006571AC">
        <w:rPr>
          <w:rFonts w:ascii="Traditional Arabic" w:hAnsi="Traditional Arabic" w:cs="DanaFajr" w:hint="cs"/>
          <w:sz w:val="28"/>
          <w:szCs w:val="28"/>
          <w:rtl/>
          <w:lang w:bidi="ar-LB"/>
        </w:rPr>
        <w:t xml:space="preserve"> ـ </w:t>
      </w:r>
      <w:r w:rsidRPr="006571AC">
        <w:rPr>
          <w:rFonts w:ascii="Arabic Typesetting" w:hAnsi="Arabic Typesetting" w:cs="DanaFajr" w:hint="cs"/>
          <w:sz w:val="28"/>
          <w:szCs w:val="28"/>
          <w:rtl/>
          <w:lang w:bidi="ar-LB"/>
        </w:rPr>
        <w:t>136</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كفاية الأصول للآخوند الخراساني(</w:t>
      </w:r>
      <w:r w:rsidRPr="006571AC">
        <w:rPr>
          <w:rFonts w:ascii="Arabic Typesetting" w:hAnsi="Arabic Typesetting" w:cs="DanaFajr" w:hint="cs"/>
          <w:sz w:val="28"/>
          <w:szCs w:val="28"/>
          <w:rtl/>
          <w:lang w:bidi="ar-LB"/>
        </w:rPr>
        <w:t>1281</w:t>
      </w:r>
      <w:r w:rsidRPr="006571AC">
        <w:rPr>
          <w:rFonts w:ascii="Traditional Arabic" w:hAnsi="Traditional Arabic" w:cs="DanaFajr" w:hint="cs"/>
          <w:sz w:val="28"/>
          <w:szCs w:val="28"/>
          <w:rtl/>
          <w:lang w:bidi="ar-LB"/>
        </w:rPr>
        <w:t>هـ</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281</w:t>
      </w:r>
      <w:r w:rsidRPr="006571AC">
        <w:rPr>
          <w:rFonts w:ascii="Traditional Arabic" w:hAnsi="Traditional Arabic" w:cs="DanaFajr" w:hint="cs"/>
          <w:sz w:val="28"/>
          <w:szCs w:val="28"/>
          <w:rtl/>
          <w:lang w:bidi="ar-LB"/>
        </w:rPr>
        <w:t xml:space="preserve"> ـ </w:t>
      </w:r>
      <w:r w:rsidRPr="006571AC">
        <w:rPr>
          <w:rFonts w:ascii="Arabic Typesetting" w:hAnsi="Arabic Typesetting" w:cs="DanaFajr" w:hint="cs"/>
          <w:sz w:val="28"/>
          <w:szCs w:val="28"/>
          <w:rtl/>
          <w:lang w:bidi="ar-LB"/>
        </w:rPr>
        <w:t>286</w:t>
      </w:r>
      <w:r w:rsidRPr="006571AC">
        <w:rPr>
          <w:rFonts w:ascii="Traditional Arabic" w:hAnsi="Traditional Arabic" w:cs="DanaFajr"/>
          <w:sz w:val="28"/>
          <w:szCs w:val="28"/>
          <w:rtl/>
          <w:lang w:bidi="ar-LB"/>
        </w:rPr>
        <w:t xml:space="preserve">. </w:t>
      </w:r>
    </w:p>
  </w:endnote>
  <w:endnote w:id="516">
    <w:p w:rsidR="00DB2356" w:rsidRPr="006571AC" w:rsidRDefault="00DB2356" w:rsidP="00C15CAD">
      <w:pPr>
        <w:spacing w:line="322" w:lineRule="exact"/>
        <w:ind w:firstLine="0"/>
        <w:rPr>
          <w:rFonts w:ascii="Traditional Arabic" w:hAnsi="Traditional Arabic" w:cs="DanaFajr"/>
          <w:szCs w:val="28"/>
          <w:rtl/>
          <w:lang w:bidi="ar-LB"/>
        </w:rPr>
      </w:pPr>
      <w:r w:rsidRPr="006571AC">
        <w:rPr>
          <w:rFonts w:ascii="Traditional Arabic" w:hAnsi="Traditional Arabic" w:cs="DanaFajr"/>
          <w:szCs w:val="28"/>
          <w:rtl/>
          <w:lang w:bidi="ar-LB"/>
        </w:rPr>
        <w:t>(</w:t>
      </w:r>
      <w:r w:rsidRPr="006571AC">
        <w:rPr>
          <w:rStyle w:val="ac"/>
          <w:rFonts w:ascii="Traditional Arabic" w:hAnsi="Traditional Arabic" w:cs="DanaFajr"/>
          <w:szCs w:val="28"/>
          <w:vertAlign w:val="baseline"/>
        </w:rPr>
        <w:endnoteRef/>
      </w:r>
      <w:r w:rsidRPr="006571AC">
        <w:rPr>
          <w:rFonts w:ascii="Traditional Arabic" w:hAnsi="Traditional Arabic" w:cs="DanaFajr"/>
          <w:szCs w:val="28"/>
          <w:rtl/>
          <w:lang w:bidi="ar-LB"/>
        </w:rPr>
        <w:t>)</w:t>
      </w:r>
      <w:r w:rsidRPr="006571AC">
        <w:rPr>
          <w:rFonts w:ascii="Traditional Arabic" w:hAnsi="Traditional Arabic" w:cs="DanaFajr"/>
          <w:szCs w:val="28"/>
          <w:rtl/>
        </w:rPr>
        <w:t xml:space="preserve"> </w:t>
      </w:r>
      <w:r w:rsidRPr="006571AC">
        <w:rPr>
          <w:rFonts w:ascii="Traditional Arabic" w:hAnsi="Traditional Arabic" w:cs="DanaFajr"/>
          <w:szCs w:val="28"/>
          <w:rtl/>
          <w:lang w:bidi="fa-IR"/>
        </w:rPr>
        <w:t>الشيخ محمد أمين ال</w:t>
      </w:r>
      <w:r w:rsidRPr="006571AC">
        <w:rPr>
          <w:rFonts w:ascii="Traditional Arabic" w:hAnsi="Traditional Arabic" w:cs="DanaFajr" w:hint="cs"/>
          <w:szCs w:val="28"/>
          <w:rtl/>
          <w:lang w:bidi="fa-IR"/>
        </w:rPr>
        <w:t>إ</w:t>
      </w:r>
      <w:r w:rsidRPr="006571AC">
        <w:rPr>
          <w:rFonts w:ascii="Traditional Arabic" w:hAnsi="Traditional Arabic" w:cs="DanaFajr"/>
          <w:szCs w:val="28"/>
          <w:rtl/>
          <w:lang w:bidi="fa-IR"/>
        </w:rPr>
        <w:t>سترآبادي(</w:t>
      </w:r>
      <w:r w:rsidRPr="006571AC">
        <w:rPr>
          <w:rFonts w:ascii="Arabic Typesetting" w:hAnsi="Arabic Typesetting" w:cs="DanaFajr" w:hint="cs"/>
          <w:szCs w:val="28"/>
          <w:rtl/>
          <w:lang w:bidi="ar-LB"/>
        </w:rPr>
        <w:t>1033</w:t>
      </w:r>
      <w:r w:rsidRPr="006571AC">
        <w:rPr>
          <w:rFonts w:ascii="Traditional Arabic" w:hAnsi="Traditional Arabic" w:cs="DanaFajr" w:hint="cs"/>
          <w:szCs w:val="28"/>
          <w:rtl/>
          <w:lang w:bidi="fa-IR"/>
        </w:rPr>
        <w:t>هـ</w:t>
      </w:r>
      <w:r w:rsidRPr="006571AC">
        <w:rPr>
          <w:rFonts w:ascii="Traditional Arabic" w:hAnsi="Traditional Arabic" w:cs="DanaFajr"/>
          <w:szCs w:val="28"/>
          <w:rtl/>
          <w:lang w:bidi="fa-IR"/>
        </w:rPr>
        <w:t>) ليس من الأصوليين، لكن</w:t>
      </w:r>
      <w:r w:rsidRPr="006571AC">
        <w:rPr>
          <w:rFonts w:ascii="Traditional Arabic" w:hAnsi="Traditional Arabic" w:cs="DanaFajr" w:hint="cs"/>
          <w:szCs w:val="28"/>
          <w:rtl/>
          <w:lang w:bidi="fa-IR"/>
        </w:rPr>
        <w:t>ْ</w:t>
      </w:r>
      <w:r w:rsidRPr="006571AC">
        <w:rPr>
          <w:rFonts w:ascii="Traditional Arabic" w:hAnsi="Traditional Arabic" w:cs="DanaFajr"/>
          <w:szCs w:val="28"/>
          <w:rtl/>
          <w:lang w:bidi="fa-IR"/>
        </w:rPr>
        <w:t xml:space="preserve"> تعر</w:t>
      </w:r>
      <w:r w:rsidRPr="006571AC">
        <w:rPr>
          <w:rFonts w:ascii="Traditional Arabic" w:hAnsi="Traditional Arabic" w:cs="DanaFajr" w:hint="cs"/>
          <w:szCs w:val="28"/>
          <w:rtl/>
          <w:lang w:bidi="fa-IR"/>
        </w:rPr>
        <w:t>َّ</w:t>
      </w:r>
      <w:r w:rsidRPr="006571AC">
        <w:rPr>
          <w:rFonts w:ascii="Traditional Arabic" w:hAnsi="Traditional Arabic" w:cs="DanaFajr"/>
          <w:szCs w:val="28"/>
          <w:rtl/>
          <w:lang w:bidi="fa-IR"/>
        </w:rPr>
        <w:t>ض</w:t>
      </w:r>
      <w:r w:rsidRPr="006571AC">
        <w:rPr>
          <w:rFonts w:ascii="Traditional Arabic" w:hAnsi="Traditional Arabic" w:cs="DanaFajr" w:hint="cs"/>
          <w:szCs w:val="28"/>
          <w:rtl/>
          <w:lang w:bidi="fa-IR"/>
        </w:rPr>
        <w:t>ْ</w:t>
      </w:r>
      <w:r w:rsidRPr="006571AC">
        <w:rPr>
          <w:rFonts w:ascii="Traditional Arabic" w:hAnsi="Traditional Arabic" w:cs="DanaFajr"/>
          <w:szCs w:val="28"/>
          <w:rtl/>
          <w:lang w:bidi="fa-IR"/>
        </w:rPr>
        <w:t>تُ لكتابه الفوائد المدنية</w:t>
      </w:r>
      <w:r w:rsidRPr="006571AC">
        <w:rPr>
          <w:rFonts w:ascii="Traditional Arabic" w:hAnsi="Traditional Arabic" w:cs="DanaFajr" w:hint="cs"/>
          <w:szCs w:val="28"/>
          <w:rtl/>
          <w:lang w:bidi="fa-IR"/>
        </w:rPr>
        <w:t>؛</w:t>
      </w:r>
      <w:r w:rsidRPr="006571AC">
        <w:rPr>
          <w:rFonts w:ascii="Traditional Arabic" w:hAnsi="Traditional Arabic" w:cs="DanaFajr"/>
          <w:szCs w:val="28"/>
          <w:rtl/>
          <w:lang w:bidi="fa-IR"/>
        </w:rPr>
        <w:t xml:space="preserve"> لأهميته في الدراسات الأصولية. </w:t>
      </w:r>
    </w:p>
  </w:endnote>
  <w:endnote w:id="517">
    <w:p w:rsidR="00DB2356" w:rsidRPr="006571AC" w:rsidRDefault="00DB2356" w:rsidP="00C15CAD">
      <w:pPr>
        <w:spacing w:line="322" w:lineRule="exact"/>
        <w:ind w:firstLine="0"/>
        <w:rPr>
          <w:rFonts w:ascii="Traditional Arabic" w:hAnsi="Traditional Arabic" w:cs="DanaFajr"/>
          <w:szCs w:val="28"/>
          <w:rtl/>
          <w:lang w:bidi="ar-LB"/>
        </w:rPr>
      </w:pPr>
      <w:r w:rsidRPr="006571AC">
        <w:rPr>
          <w:rFonts w:ascii="Traditional Arabic" w:hAnsi="Traditional Arabic" w:cs="DanaFajr"/>
          <w:szCs w:val="28"/>
          <w:rtl/>
          <w:lang w:bidi="ar-LB"/>
        </w:rPr>
        <w:t>(</w:t>
      </w:r>
      <w:r w:rsidRPr="006571AC">
        <w:rPr>
          <w:rStyle w:val="ac"/>
          <w:rFonts w:ascii="Traditional Arabic" w:hAnsi="Traditional Arabic" w:cs="DanaFajr"/>
          <w:szCs w:val="28"/>
          <w:vertAlign w:val="baseline"/>
        </w:rPr>
        <w:endnoteRef/>
      </w:r>
      <w:r w:rsidRPr="006571AC">
        <w:rPr>
          <w:rFonts w:ascii="Traditional Arabic" w:hAnsi="Traditional Arabic" w:cs="DanaFajr"/>
          <w:szCs w:val="28"/>
          <w:rtl/>
          <w:lang w:bidi="ar-LB"/>
        </w:rPr>
        <w:t>)</w:t>
      </w:r>
      <w:r w:rsidRPr="006571AC">
        <w:rPr>
          <w:rFonts w:ascii="Traditional Arabic" w:hAnsi="Traditional Arabic" w:cs="DanaFajr"/>
          <w:szCs w:val="28"/>
          <w:rtl/>
        </w:rPr>
        <w:t xml:space="preserve"> انظر: محمد أمين ال</w:t>
      </w:r>
      <w:r w:rsidRPr="006571AC">
        <w:rPr>
          <w:rFonts w:ascii="Traditional Arabic" w:hAnsi="Traditional Arabic" w:cs="DanaFajr" w:hint="cs"/>
          <w:szCs w:val="28"/>
          <w:rtl/>
        </w:rPr>
        <w:t>إ</w:t>
      </w:r>
      <w:r w:rsidRPr="006571AC">
        <w:rPr>
          <w:rFonts w:ascii="Traditional Arabic" w:hAnsi="Traditional Arabic" w:cs="DanaFajr"/>
          <w:szCs w:val="28"/>
          <w:rtl/>
        </w:rPr>
        <w:t xml:space="preserve">سترآبادي، الفوائد المدنية والشواهد المكية: </w:t>
      </w:r>
      <w:r w:rsidRPr="006571AC">
        <w:rPr>
          <w:rFonts w:ascii="Arabic Typesetting" w:hAnsi="Arabic Typesetting" w:cs="DanaFajr" w:hint="cs"/>
          <w:szCs w:val="28"/>
          <w:rtl/>
          <w:lang w:bidi="ar-LB"/>
        </w:rPr>
        <w:t>104</w:t>
      </w:r>
      <w:r w:rsidRPr="006571AC">
        <w:rPr>
          <w:rFonts w:ascii="Traditional Arabic" w:hAnsi="Traditional Arabic" w:cs="DanaFajr"/>
          <w:szCs w:val="28"/>
          <w:rtl/>
        </w:rPr>
        <w:t xml:space="preserve">، </w:t>
      </w:r>
      <w:r w:rsidRPr="006571AC">
        <w:rPr>
          <w:rFonts w:ascii="Arabic Typesetting" w:hAnsi="Arabic Typesetting" w:cs="DanaFajr" w:hint="cs"/>
          <w:szCs w:val="28"/>
          <w:rtl/>
          <w:lang w:bidi="ar-LB"/>
        </w:rPr>
        <w:t>269</w:t>
      </w:r>
      <w:r w:rsidRPr="006571AC">
        <w:rPr>
          <w:rFonts w:ascii="Traditional Arabic" w:hAnsi="Traditional Arabic" w:cs="DanaFajr" w:hint="cs"/>
          <w:szCs w:val="28"/>
          <w:rtl/>
          <w:lang w:bidi="ar-LB"/>
        </w:rPr>
        <w:t xml:space="preserve"> ـ </w:t>
      </w:r>
      <w:r w:rsidRPr="006571AC">
        <w:rPr>
          <w:rFonts w:ascii="Arabic Typesetting" w:hAnsi="Arabic Typesetting" w:cs="DanaFajr" w:hint="cs"/>
          <w:szCs w:val="28"/>
          <w:rtl/>
          <w:lang w:bidi="ar-LB"/>
        </w:rPr>
        <w:t>270</w:t>
      </w:r>
      <w:r w:rsidRPr="006571AC">
        <w:rPr>
          <w:rFonts w:ascii="Traditional Arabic" w:hAnsi="Traditional Arabic" w:cs="DanaFajr"/>
          <w:szCs w:val="28"/>
          <w:rtl/>
          <w:lang w:bidi="ar-LB"/>
        </w:rPr>
        <w:t xml:space="preserve">، </w:t>
      </w:r>
      <w:r w:rsidRPr="006571AC">
        <w:rPr>
          <w:rFonts w:ascii="Arabic Typesetting" w:hAnsi="Arabic Typesetting" w:cs="DanaFajr" w:hint="cs"/>
          <w:szCs w:val="28"/>
          <w:rtl/>
          <w:lang w:bidi="ar-LB"/>
        </w:rPr>
        <w:t>271</w:t>
      </w:r>
      <w:r w:rsidRPr="006571AC">
        <w:rPr>
          <w:rFonts w:ascii="Traditional Arabic" w:hAnsi="Traditional Arabic" w:cs="DanaFajr"/>
          <w:szCs w:val="28"/>
          <w:rtl/>
        </w:rPr>
        <w:t xml:space="preserve">، تحقيق: الشيخ رحمة الله الرحمتي الآراكي، </w:t>
      </w:r>
      <w:r w:rsidRPr="006571AC">
        <w:rPr>
          <w:rFonts w:ascii="Traditional Arabic" w:hAnsi="Traditional Arabic" w:cs="DanaFajr" w:hint="cs"/>
          <w:szCs w:val="28"/>
          <w:rtl/>
        </w:rPr>
        <w:t>ط3</w:t>
      </w:r>
      <w:r w:rsidRPr="006571AC">
        <w:rPr>
          <w:rFonts w:ascii="Traditional Arabic" w:hAnsi="Traditional Arabic" w:cs="DanaFajr"/>
          <w:szCs w:val="28"/>
          <w:rtl/>
        </w:rPr>
        <w:t>، مؤس</w:t>
      </w:r>
      <w:r w:rsidRPr="006571AC">
        <w:rPr>
          <w:rFonts w:ascii="Traditional Arabic" w:hAnsi="Traditional Arabic" w:cs="DanaFajr" w:hint="cs"/>
          <w:szCs w:val="28"/>
          <w:rtl/>
        </w:rPr>
        <w:t>ّ</w:t>
      </w:r>
      <w:r w:rsidRPr="006571AC">
        <w:rPr>
          <w:rFonts w:ascii="Traditional Arabic" w:hAnsi="Traditional Arabic" w:cs="DanaFajr"/>
          <w:szCs w:val="28"/>
          <w:rtl/>
        </w:rPr>
        <w:t xml:space="preserve">سة النشر الإسلامي، </w:t>
      </w:r>
      <w:r w:rsidRPr="006571AC">
        <w:rPr>
          <w:rFonts w:ascii="Arabic Typesetting" w:hAnsi="Arabic Typesetting" w:cs="DanaFajr" w:hint="cs"/>
          <w:szCs w:val="28"/>
          <w:rtl/>
          <w:lang w:bidi="ar-LB"/>
        </w:rPr>
        <w:t>1429</w:t>
      </w:r>
      <w:r w:rsidRPr="006571AC">
        <w:rPr>
          <w:rFonts w:ascii="Traditional Arabic" w:hAnsi="Traditional Arabic" w:cs="DanaFajr"/>
          <w:szCs w:val="28"/>
          <w:rtl/>
        </w:rPr>
        <w:t>هـ</w:t>
      </w:r>
      <w:r w:rsidRPr="006571AC">
        <w:rPr>
          <w:rFonts w:ascii="Traditional Arabic" w:hAnsi="Traditional Arabic" w:cs="DanaFajr"/>
          <w:szCs w:val="28"/>
          <w:rtl/>
          <w:lang w:bidi="ar-LB"/>
        </w:rPr>
        <w:t xml:space="preserve">. </w:t>
      </w:r>
    </w:p>
  </w:endnote>
  <w:endnote w:id="518">
    <w:p w:rsidR="00DB2356" w:rsidRPr="006571AC" w:rsidRDefault="00DB2356" w:rsidP="00C15CAD">
      <w:pPr>
        <w:pStyle w:val="aa"/>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انظر: محمد أمين ال</w:t>
      </w:r>
      <w:r w:rsidRPr="006571AC">
        <w:rPr>
          <w:rFonts w:ascii="Traditional Arabic" w:hAnsi="Traditional Arabic" w:cs="DanaFajr" w:hint="cs"/>
          <w:sz w:val="28"/>
          <w:szCs w:val="28"/>
          <w:rtl/>
        </w:rPr>
        <w:t>إ</w:t>
      </w:r>
      <w:r w:rsidRPr="006571AC">
        <w:rPr>
          <w:rFonts w:ascii="Traditional Arabic" w:hAnsi="Traditional Arabic" w:cs="DanaFajr"/>
          <w:sz w:val="28"/>
          <w:szCs w:val="28"/>
          <w:rtl/>
        </w:rPr>
        <w:t xml:space="preserve">سترآبادي، الفوائد المدنية والشواهد المكية: </w:t>
      </w:r>
      <w:r w:rsidRPr="006571AC">
        <w:rPr>
          <w:rFonts w:ascii="Arabic Typesetting" w:hAnsi="Arabic Typesetting" w:cs="DanaFajr" w:hint="cs"/>
          <w:sz w:val="28"/>
          <w:szCs w:val="28"/>
          <w:rtl/>
          <w:lang w:bidi="ar-LB"/>
        </w:rPr>
        <w:t>104</w:t>
      </w:r>
      <w:r w:rsidRPr="006571AC">
        <w:rPr>
          <w:rFonts w:ascii="Traditional Arabic" w:hAnsi="Traditional Arabic" w:cs="DanaFajr"/>
          <w:sz w:val="28"/>
          <w:szCs w:val="28"/>
          <w:rtl/>
        </w:rPr>
        <w:t>. وقد صرّ</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ح ص </w:t>
      </w:r>
      <w:r w:rsidRPr="006571AC">
        <w:rPr>
          <w:rFonts w:ascii="Arabic Typesetting" w:hAnsi="Arabic Typesetting" w:cs="DanaFajr" w:hint="cs"/>
          <w:sz w:val="28"/>
          <w:szCs w:val="28"/>
          <w:rtl/>
          <w:lang w:bidi="ar-LB"/>
        </w:rPr>
        <w:t>314</w:t>
      </w:r>
      <w:r w:rsidRPr="006571AC">
        <w:rPr>
          <w:rFonts w:ascii="Traditional Arabic" w:hAnsi="Traditional Arabic" w:cs="DanaFajr"/>
          <w:sz w:val="28"/>
          <w:szCs w:val="28"/>
          <w:rtl/>
        </w:rPr>
        <w:t xml:space="preserve"> بسبب قطعية هذه الدلالة، فقال: </w:t>
      </w:r>
      <w:r w:rsidRPr="006571AC">
        <w:rPr>
          <w:rFonts w:hint="eastAsia"/>
          <w:sz w:val="22"/>
          <w:szCs w:val="22"/>
          <w:rtl/>
        </w:rPr>
        <w:t>«</w:t>
      </w:r>
      <w:r w:rsidRPr="006571AC">
        <w:rPr>
          <w:rFonts w:ascii="Traditional Arabic" w:hAnsi="Traditional Arabic" w:cs="DanaFajr"/>
          <w:sz w:val="28"/>
          <w:szCs w:val="28"/>
          <w:rtl/>
          <w:lang w:bidi="ar-LB"/>
        </w:rPr>
        <w:t>أكثر أحاديثنا المدوّ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نة في كتبنا صارت دلالتها قطعيّة بمعونة القرائن الحالية أو المقالية</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وأنواع القرائن كثيرة</w:t>
      </w:r>
      <w:r w:rsidRPr="006571AC">
        <w:rPr>
          <w:rFonts w:hint="eastAsia"/>
          <w:sz w:val="22"/>
          <w:szCs w:val="22"/>
          <w:rtl/>
        </w:rPr>
        <w:t>»</w:t>
      </w:r>
      <w:r w:rsidRPr="006571AC">
        <w:rPr>
          <w:rFonts w:ascii="Traditional Arabic" w:hAnsi="Traditional Arabic" w:cs="DanaFajr"/>
          <w:sz w:val="28"/>
          <w:szCs w:val="28"/>
          <w:rtl/>
          <w:lang w:bidi="ar-LB"/>
        </w:rPr>
        <w:t xml:space="preserve">. </w:t>
      </w:r>
    </w:p>
  </w:endnote>
  <w:endnote w:id="519">
    <w:p w:rsidR="00DB2356" w:rsidRPr="006571AC" w:rsidRDefault="00DB2356" w:rsidP="00844ADE">
      <w:pPr>
        <w:pStyle w:val="aa"/>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للاطلاع على بعض تفاصيل البحث انظر على سبيل المثال: </w:t>
      </w:r>
      <w:r w:rsidRPr="006571AC">
        <w:rPr>
          <w:rFonts w:ascii="Traditional Arabic" w:hAnsi="Traditional Arabic" w:cs="DanaFajr"/>
          <w:sz w:val="28"/>
          <w:szCs w:val="28"/>
          <w:rtl/>
        </w:rPr>
        <w:t>الحسن بن يوسف الحل</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ي، نهاية الوصول إلى علم الأصول</w:t>
      </w:r>
      <w:r w:rsidRPr="006571AC">
        <w:rPr>
          <w:rFonts w:ascii="Traditional Arabic" w:hAnsi="Traditional Arabic" w:cs="DanaFajr" w:hint="cs"/>
          <w:sz w:val="28"/>
          <w:szCs w:val="28"/>
          <w:rtl/>
        </w:rPr>
        <w:t xml:space="preserve"> </w:t>
      </w:r>
      <w:r w:rsidRPr="006571AC">
        <w:rPr>
          <w:rFonts w:ascii="Arabic Typesetting" w:hAnsi="Arabic Typesetting" w:cs="DanaFajr" w:hint="cs"/>
          <w:sz w:val="28"/>
          <w:szCs w:val="28"/>
          <w:rtl/>
          <w:lang w:bidi="ar-LB"/>
        </w:rPr>
        <w:t>1</w:t>
      </w:r>
      <w:r w:rsidRPr="006571AC">
        <w:rPr>
          <w:rFonts w:ascii="Traditional Arabic" w:hAnsi="Traditional Arabic" w:cs="DanaFajr"/>
          <w:sz w:val="28"/>
          <w:szCs w:val="28"/>
          <w:rtl/>
        </w:rPr>
        <w:t xml:space="preserve">: </w:t>
      </w:r>
      <w:r w:rsidRPr="006571AC">
        <w:rPr>
          <w:rFonts w:ascii="Arabic Typesetting" w:hAnsi="Arabic Typesetting" w:cs="DanaFajr" w:hint="cs"/>
          <w:sz w:val="28"/>
          <w:szCs w:val="28"/>
          <w:rtl/>
          <w:lang w:bidi="ar-LB"/>
        </w:rPr>
        <w:t>193</w:t>
      </w:r>
      <w:r w:rsidRPr="006571AC">
        <w:rPr>
          <w:rFonts w:ascii="Traditional Arabic" w:hAnsi="Traditional Arabic" w:cs="DanaFajr"/>
          <w:sz w:val="28"/>
          <w:szCs w:val="28"/>
          <w:rtl/>
        </w:rPr>
        <w:t xml:space="preserve"> وما بعد، مؤس</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سة الإمام الصادق</w:t>
      </w:r>
      <w:r w:rsidRPr="006571AC">
        <w:rPr>
          <w:rFonts w:ascii="Mosawi" w:hAnsi="Mosawi" w:cs="Mosawi"/>
          <w:rtl/>
        </w:rPr>
        <w:t>×</w:t>
      </w:r>
      <w:r w:rsidRPr="006571AC">
        <w:rPr>
          <w:rFonts w:ascii="Traditional Arabic" w:hAnsi="Traditional Arabic" w:cs="DanaFajr"/>
          <w:sz w:val="28"/>
          <w:szCs w:val="28"/>
          <w:rtl/>
        </w:rPr>
        <w:t xml:space="preserve">، قم،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w:t>
      </w:r>
      <w:r w:rsidRPr="006571AC">
        <w:rPr>
          <w:rFonts w:ascii="Arabic Typesetting" w:hAnsi="Arabic Typesetting" w:cs="DanaFajr" w:hint="cs"/>
          <w:sz w:val="28"/>
          <w:szCs w:val="28"/>
          <w:rtl/>
          <w:lang w:bidi="ar-LB"/>
        </w:rPr>
        <w:t>1425</w:t>
      </w:r>
      <w:r w:rsidRPr="006571AC">
        <w:rPr>
          <w:rFonts w:ascii="Traditional Arabic" w:hAnsi="Traditional Arabic" w:cs="DanaFajr"/>
          <w:sz w:val="28"/>
          <w:szCs w:val="28"/>
          <w:rtl/>
        </w:rPr>
        <w:t xml:space="preserve">هـ؛ عبد الله بن محمد التوني، الوافية في أصول الفقه: </w:t>
      </w:r>
      <w:r w:rsidRPr="006571AC">
        <w:rPr>
          <w:rFonts w:ascii="Arabic Typesetting" w:hAnsi="Arabic Typesetting" w:cs="DanaFajr" w:hint="cs"/>
          <w:sz w:val="28"/>
          <w:szCs w:val="28"/>
          <w:rtl/>
          <w:lang w:bidi="ar-LB"/>
        </w:rPr>
        <w:t>119</w:t>
      </w:r>
      <w:r w:rsidRPr="006571AC">
        <w:rPr>
          <w:rFonts w:ascii="Traditional Arabic" w:hAnsi="Traditional Arabic" w:cs="DanaFajr"/>
          <w:sz w:val="28"/>
          <w:szCs w:val="28"/>
          <w:rtl/>
        </w:rPr>
        <w:t xml:space="preserve">، مجمع الفكر الإسلامي، قم، </w:t>
      </w:r>
      <w:r w:rsidRPr="006571AC">
        <w:rPr>
          <w:rFonts w:ascii="Traditional Arabic" w:hAnsi="Traditional Arabic" w:cs="DanaFajr" w:hint="cs"/>
          <w:sz w:val="28"/>
          <w:szCs w:val="28"/>
          <w:rtl/>
        </w:rPr>
        <w:t>ط2</w:t>
      </w:r>
      <w:r w:rsidRPr="006571AC">
        <w:rPr>
          <w:rFonts w:ascii="Traditional Arabic" w:hAnsi="Traditional Arabic" w:cs="DanaFajr"/>
          <w:sz w:val="28"/>
          <w:szCs w:val="28"/>
          <w:rtl/>
        </w:rPr>
        <w:t xml:space="preserve">، </w:t>
      </w:r>
      <w:r w:rsidRPr="006571AC">
        <w:rPr>
          <w:rFonts w:ascii="Arabic Typesetting" w:hAnsi="Arabic Typesetting" w:cs="DanaFajr" w:hint="cs"/>
          <w:sz w:val="28"/>
          <w:szCs w:val="28"/>
          <w:rtl/>
          <w:lang w:bidi="ar-LB"/>
        </w:rPr>
        <w:t>1415</w:t>
      </w:r>
      <w:r w:rsidRPr="006571AC">
        <w:rPr>
          <w:rFonts w:ascii="Traditional Arabic" w:hAnsi="Traditional Arabic" w:cs="DanaFajr"/>
          <w:sz w:val="28"/>
          <w:szCs w:val="28"/>
          <w:rtl/>
        </w:rPr>
        <w:t xml:space="preserve">هـ. </w:t>
      </w:r>
    </w:p>
  </w:endnote>
  <w:endnote w:id="520">
    <w:p w:rsidR="00DB2356" w:rsidRPr="006571AC" w:rsidRDefault="00DB2356" w:rsidP="00844ADE">
      <w:pPr>
        <w:pStyle w:val="aa"/>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التوني، </w:t>
      </w:r>
      <w:r w:rsidRPr="006571AC">
        <w:rPr>
          <w:rFonts w:ascii="Traditional Arabic" w:hAnsi="Traditional Arabic" w:cs="DanaFajr"/>
          <w:sz w:val="28"/>
          <w:szCs w:val="28"/>
          <w:rtl/>
        </w:rPr>
        <w:t>الوافية في أصول الفقه</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253</w:t>
      </w:r>
      <w:r w:rsidRPr="006571AC">
        <w:rPr>
          <w:rFonts w:ascii="Traditional Arabic" w:hAnsi="Traditional Arabic" w:cs="DanaFajr"/>
          <w:sz w:val="28"/>
          <w:szCs w:val="28"/>
          <w:rtl/>
          <w:lang w:bidi="ar-LB"/>
        </w:rPr>
        <w:t xml:space="preserve">. </w:t>
      </w:r>
    </w:p>
  </w:endnote>
  <w:endnote w:id="521">
    <w:p w:rsidR="00DB2356" w:rsidRPr="006571AC" w:rsidRDefault="00DB2356" w:rsidP="00844ADE">
      <w:pPr>
        <w:pStyle w:val="aa"/>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255</w:t>
      </w:r>
      <w:r w:rsidRPr="006571AC">
        <w:rPr>
          <w:rFonts w:ascii="Traditional Arabic" w:hAnsi="Traditional Arabic" w:cs="DanaFajr"/>
          <w:sz w:val="28"/>
          <w:szCs w:val="28"/>
          <w:rtl/>
          <w:lang w:bidi="ar-LB"/>
        </w:rPr>
        <w:t xml:space="preserve">. </w:t>
      </w:r>
    </w:p>
  </w:endnote>
  <w:endnote w:id="522">
    <w:p w:rsidR="00DB2356" w:rsidRPr="006571AC" w:rsidRDefault="00DB2356" w:rsidP="00844ADE">
      <w:pPr>
        <w:pStyle w:val="aa"/>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محمد باقر الوحيد البهبهاني، الرسائل الأصولية: </w:t>
      </w:r>
      <w:r w:rsidRPr="006571AC">
        <w:rPr>
          <w:rFonts w:ascii="Arabic Typesetting" w:hAnsi="Arabic Typesetting" w:cs="DanaFajr" w:hint="cs"/>
          <w:sz w:val="28"/>
          <w:szCs w:val="28"/>
          <w:rtl/>
          <w:lang w:bidi="ar-LB"/>
        </w:rPr>
        <w:t>32</w:t>
      </w:r>
      <w:r w:rsidRPr="006571AC">
        <w:rPr>
          <w:rFonts w:ascii="Traditional Arabic" w:hAnsi="Traditional Arabic" w:cs="DanaFajr"/>
          <w:sz w:val="28"/>
          <w:szCs w:val="28"/>
          <w:rtl/>
          <w:lang w:bidi="ar-LB"/>
        </w:rPr>
        <w:t xml:space="preserve"> وما بعد، مؤسسة العلامة المجدد الوحيد البهبهاني، قم،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1416</w:t>
      </w:r>
      <w:r w:rsidRPr="006571AC">
        <w:rPr>
          <w:rFonts w:ascii="Traditional Arabic" w:hAnsi="Traditional Arabic" w:cs="DanaFajr"/>
          <w:sz w:val="28"/>
          <w:szCs w:val="28"/>
          <w:rtl/>
          <w:lang w:bidi="ar-LB"/>
        </w:rPr>
        <w:t xml:space="preserve">هـ. </w:t>
      </w:r>
    </w:p>
  </w:endnote>
  <w:endnote w:id="523">
    <w:p w:rsidR="00DB2356" w:rsidRPr="006571AC" w:rsidRDefault="00DB2356" w:rsidP="00844ADE">
      <w:pPr>
        <w:pStyle w:val="aa"/>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على سبيل المثال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انظر: محمد كاظم الخراساني (الآخوند)، كفاية الأصول: </w:t>
      </w:r>
      <w:r w:rsidRPr="006571AC">
        <w:rPr>
          <w:rFonts w:ascii="Arabic Typesetting" w:hAnsi="Arabic Typesetting" w:cs="DanaFajr" w:hint="cs"/>
          <w:sz w:val="28"/>
          <w:szCs w:val="28"/>
          <w:rtl/>
          <w:lang w:bidi="ar-LB"/>
        </w:rPr>
        <w:t>281</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286</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بحث حج</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ية ظواهر الألفاظ</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مؤس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سة آل البيت</w:t>
      </w:r>
      <w:r w:rsidRPr="006571AC">
        <w:rPr>
          <w:rFonts w:ascii="Mosawi" w:hAnsi="Mosawi" w:cs="Mosawi"/>
          <w:rtl/>
        </w:rPr>
        <w:t>^</w:t>
      </w:r>
      <w:r w:rsidRPr="006571AC">
        <w:rPr>
          <w:rFonts w:ascii="Traditional Arabic" w:hAnsi="Traditional Arabic" w:cs="DanaFajr"/>
          <w:sz w:val="28"/>
          <w:szCs w:val="28"/>
          <w:rtl/>
          <w:lang w:bidi="ar-LB"/>
        </w:rPr>
        <w:t xml:space="preserve"> لإحياء التراث، قم، </w:t>
      </w:r>
      <w:r w:rsidRPr="006571AC">
        <w:rPr>
          <w:rFonts w:ascii="Traditional Arabic" w:hAnsi="Traditional Arabic" w:cs="DanaFajr" w:hint="cs"/>
          <w:sz w:val="28"/>
          <w:szCs w:val="28"/>
          <w:rtl/>
          <w:lang w:bidi="ar-LB"/>
        </w:rPr>
        <w:t>ط7</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1431</w:t>
      </w:r>
      <w:r w:rsidRPr="006571AC">
        <w:rPr>
          <w:rFonts w:ascii="Traditional Arabic" w:hAnsi="Traditional Arabic" w:cs="DanaFajr" w:hint="cs"/>
          <w:sz w:val="28"/>
          <w:szCs w:val="28"/>
          <w:rtl/>
          <w:lang w:bidi="ar-LB"/>
        </w:rPr>
        <w:t>هـ</w:t>
      </w:r>
      <w:r w:rsidRPr="006571AC">
        <w:rPr>
          <w:rFonts w:ascii="Traditional Arabic" w:hAnsi="Traditional Arabic" w:cs="DanaFajr"/>
          <w:sz w:val="28"/>
          <w:szCs w:val="28"/>
          <w:rtl/>
          <w:lang w:bidi="ar-LB"/>
        </w:rPr>
        <w:t xml:space="preserve">. </w:t>
      </w:r>
    </w:p>
  </w:endnote>
  <w:endnote w:id="524">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وهي: الهرمنيوطيقا الكلاسيكية (وأهم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أعلامها: دان هاور، ويوهانس رامباخ، ومارتن كلادينيوس)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والهرمنيوطيقا الرومانسية (وأهم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أعلامها: فريدريك شلايرماخر، وفيلهلهم ديلتاي)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والهرمنيوطيقا الفلسفية (وأهم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أعلامها: مارتن هايدغر، وجورج هانس غادامر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w:t>
      </w:r>
    </w:p>
  </w:endnote>
  <w:endnote w:id="525">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وقد ذهب إلى إمكان فهم مراد المؤل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ف الفيلسوف واللاهوتي مارتن كلادينيوس (</w:t>
      </w:r>
      <w:r w:rsidRPr="006571AC">
        <w:rPr>
          <w:rFonts w:ascii="Arabic Typesetting" w:hAnsi="Arabic Typesetting" w:cs="DanaFajr" w:hint="cs"/>
          <w:sz w:val="28"/>
          <w:szCs w:val="28"/>
          <w:rtl/>
          <w:lang w:bidi="ar-LB"/>
        </w:rPr>
        <w:t>1710</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1759</w:t>
      </w:r>
      <w:r w:rsidRPr="006571AC">
        <w:rPr>
          <w:rFonts w:ascii="Traditional Arabic" w:hAnsi="Traditional Arabic" w:cs="DanaFajr"/>
          <w:sz w:val="28"/>
          <w:szCs w:val="28"/>
          <w:rtl/>
          <w:lang w:bidi="ar-LB"/>
        </w:rPr>
        <w:t xml:space="preserve">م)، وهو من أتباع الهرمنيوطيقا الكلاسيكية، فانظر: بابك أحمدي، ساختار وتأويل متن </w:t>
      </w:r>
      <w:r w:rsidRPr="006571AC">
        <w:rPr>
          <w:rFonts w:ascii="Arabic Typesetting" w:hAnsi="Arabic Typesetting" w:cs="DanaFajr" w:hint="cs"/>
          <w:sz w:val="28"/>
          <w:szCs w:val="28"/>
          <w:rtl/>
          <w:lang w:bidi="ar-LB"/>
        </w:rPr>
        <w:t>2</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523</w:t>
      </w:r>
      <w:r w:rsidRPr="006571AC">
        <w:rPr>
          <w:rFonts w:ascii="Traditional Arabic" w:hAnsi="Traditional Arabic" w:cs="DanaFajr"/>
          <w:sz w:val="28"/>
          <w:szCs w:val="28"/>
          <w:rtl/>
          <w:lang w:bidi="ar-LB"/>
        </w:rPr>
        <w:t xml:space="preserve">، نشر مركز، طهران، </w:t>
      </w:r>
      <w:r w:rsidRPr="006571AC">
        <w:rPr>
          <w:rFonts w:ascii="Arabic Typesetting" w:hAnsi="Arabic Typesetting" w:cs="DanaFajr" w:hint="cs"/>
          <w:sz w:val="28"/>
          <w:szCs w:val="28"/>
          <w:rtl/>
          <w:lang w:bidi="ar-LB"/>
        </w:rPr>
        <w:t>1389</w:t>
      </w:r>
      <w:r w:rsidRPr="006571AC">
        <w:rPr>
          <w:rFonts w:ascii="Traditional Arabic" w:hAnsi="Traditional Arabic" w:cs="DanaFajr"/>
          <w:sz w:val="28"/>
          <w:szCs w:val="28"/>
          <w:rtl/>
          <w:lang w:bidi="ar-LB"/>
        </w:rPr>
        <w:t xml:space="preserve">. </w:t>
      </w:r>
    </w:p>
  </w:endnote>
  <w:endnote w:id="526">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وهذا ما ذهب إليه فريدرك شلايرماخر (</w:t>
      </w:r>
      <w:r w:rsidRPr="006571AC">
        <w:rPr>
          <w:rFonts w:ascii="Arabic Typesetting" w:hAnsi="Arabic Typesetting" w:cs="DanaFajr" w:hint="cs"/>
          <w:sz w:val="28"/>
          <w:szCs w:val="28"/>
          <w:rtl/>
          <w:lang w:bidi="ar-LB"/>
        </w:rPr>
        <w:t>1768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1834</w:t>
      </w:r>
      <w:r w:rsidRPr="006571AC">
        <w:rPr>
          <w:rFonts w:ascii="Traditional Arabic" w:hAnsi="Traditional Arabic" w:cs="DanaFajr"/>
          <w:sz w:val="28"/>
          <w:szCs w:val="28"/>
          <w:rtl/>
          <w:lang w:bidi="ar-LB"/>
        </w:rPr>
        <w:t xml:space="preserve">م)، فانظر: </w:t>
      </w:r>
    </w:p>
    <w:p w:rsidR="00DB2356" w:rsidRPr="006571AC" w:rsidRDefault="00DB2356" w:rsidP="00844ADE">
      <w:pPr>
        <w:pStyle w:val="aa"/>
        <w:bidi w:val="0"/>
        <w:spacing w:line="315" w:lineRule="exact"/>
        <w:ind w:firstLine="0"/>
        <w:rPr>
          <w:rFonts w:asciiTheme="majorBidi" w:hAnsiTheme="majorBidi" w:cstheme="majorBidi"/>
          <w:lang w:bidi="ar-LB"/>
        </w:rPr>
      </w:pPr>
      <w:r w:rsidRPr="006571AC">
        <w:rPr>
          <w:rFonts w:asciiTheme="majorBidi" w:hAnsiTheme="majorBidi" w:cstheme="majorBidi"/>
        </w:rPr>
        <w:t>kurt Mueller</w:t>
      </w:r>
      <w:r w:rsidRPr="006571AC">
        <w:rPr>
          <w:rFonts w:asciiTheme="majorBidi" w:hAnsiTheme="majorBidi" w:cstheme="majorBidi"/>
          <w:rtl/>
        </w:rPr>
        <w:t xml:space="preserve"> ـ </w:t>
      </w:r>
      <w:r w:rsidRPr="006571AC">
        <w:rPr>
          <w:rFonts w:asciiTheme="majorBidi" w:hAnsiTheme="majorBidi" w:cstheme="majorBidi"/>
        </w:rPr>
        <w:t xml:space="preserve">Vollmer, The Hermeneutics Reader, p. </w:t>
      </w:r>
      <w:r w:rsidRPr="006571AC">
        <w:rPr>
          <w:rFonts w:asciiTheme="majorBidi" w:hAnsiTheme="majorBidi" w:cstheme="majorBidi"/>
          <w:lang w:bidi="ar-LB"/>
        </w:rPr>
        <w:t>82.</w:t>
      </w:r>
    </w:p>
  </w:endnote>
  <w:endnote w:id="527">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وهذا ما ذهب إليه شلايرماخر، فانظر: </w:t>
      </w:r>
    </w:p>
    <w:p w:rsidR="00DB2356" w:rsidRPr="006571AC" w:rsidRDefault="00DB2356" w:rsidP="00844ADE">
      <w:pPr>
        <w:pStyle w:val="aa"/>
        <w:bidi w:val="0"/>
        <w:spacing w:line="315" w:lineRule="exact"/>
        <w:ind w:firstLine="0"/>
        <w:rPr>
          <w:rFonts w:asciiTheme="majorBidi" w:hAnsiTheme="majorBidi" w:cstheme="majorBidi"/>
          <w:lang w:bidi="ar-LB"/>
        </w:rPr>
      </w:pPr>
      <w:r w:rsidRPr="006571AC">
        <w:rPr>
          <w:rFonts w:asciiTheme="majorBidi" w:hAnsiTheme="majorBidi" w:cstheme="majorBidi"/>
        </w:rPr>
        <w:t>Schleiermacher, Friedrich, Hermeneutics And Criticism and other wtitings</w:t>
      </w:r>
      <w:r w:rsidRPr="006571AC">
        <w:rPr>
          <w:rFonts w:asciiTheme="majorBidi" w:hAnsiTheme="majorBidi" w:cstheme="majorBidi"/>
          <w:lang w:bidi="ar-LB"/>
        </w:rPr>
        <w:t>, translated and edited by AndrewBowie, Cambridge University Press, London, 1998</w:t>
      </w:r>
      <w:r w:rsidRPr="006571AC">
        <w:rPr>
          <w:rFonts w:asciiTheme="majorBidi" w:hAnsiTheme="majorBidi" w:cstheme="majorBidi"/>
        </w:rPr>
        <w:t xml:space="preserve">, p. </w:t>
      </w:r>
      <w:r w:rsidRPr="006571AC">
        <w:rPr>
          <w:rFonts w:asciiTheme="majorBidi" w:hAnsiTheme="majorBidi" w:cstheme="majorBidi"/>
          <w:lang w:bidi="ar-LB"/>
        </w:rPr>
        <w:t>10.</w:t>
      </w:r>
    </w:p>
  </w:endnote>
  <w:endnote w:id="528">
    <w:p w:rsidR="00DB2356" w:rsidRDefault="00DB2356" w:rsidP="00367331">
      <w:pPr>
        <w:pStyle w:val="aa"/>
        <w:bidi w:val="0"/>
        <w:spacing w:line="315" w:lineRule="exact"/>
        <w:ind w:firstLine="0"/>
        <w:rPr>
          <w:rFonts w:asciiTheme="majorBidi" w:hAnsiTheme="majorBidi" w:cstheme="majorBidi"/>
        </w:rPr>
      </w:pPr>
      <w:r w:rsidRPr="006571AC">
        <w:rPr>
          <w:rFonts w:asciiTheme="majorBidi" w:hAnsiTheme="majorBidi" w:cstheme="majorBidi"/>
        </w:rPr>
        <w:t>(</w:t>
      </w:r>
      <w:r w:rsidRPr="006571AC">
        <w:rPr>
          <w:rStyle w:val="ac"/>
          <w:rFonts w:asciiTheme="majorBidi" w:hAnsiTheme="majorBidi" w:cstheme="majorBidi"/>
          <w:vertAlign w:val="baseline"/>
        </w:rPr>
        <w:endnoteRef/>
      </w:r>
      <w:r w:rsidRPr="006571AC">
        <w:rPr>
          <w:rFonts w:asciiTheme="majorBidi" w:hAnsiTheme="majorBidi" w:cstheme="majorBidi"/>
        </w:rPr>
        <w:t xml:space="preserve">) </w:t>
      </w:r>
      <w:r>
        <w:rPr>
          <w:rFonts w:asciiTheme="majorBidi" w:hAnsiTheme="majorBidi" w:cstheme="majorBidi"/>
        </w:rPr>
        <w:t>Historicism.</w:t>
      </w:r>
    </w:p>
    <w:p w:rsidR="00DB2356" w:rsidRPr="00BB66AF" w:rsidRDefault="00DB2356" w:rsidP="00BB66AF">
      <w:pPr>
        <w:pStyle w:val="aa"/>
        <w:spacing w:line="315" w:lineRule="exact"/>
        <w:ind w:firstLine="0"/>
        <w:rPr>
          <w:rFonts w:ascii="Traditional Arabic" w:hAnsi="Traditional Arabic" w:cs="DanaFajr"/>
          <w:sz w:val="28"/>
          <w:szCs w:val="28"/>
          <w:rtl/>
          <w:lang w:bidi="ar-LB"/>
        </w:rPr>
      </w:pPr>
      <w:r w:rsidRPr="00BB66AF">
        <w:rPr>
          <w:rFonts w:ascii="Traditional Arabic" w:hAnsi="Traditional Arabic" w:cs="DanaFajr"/>
          <w:sz w:val="28"/>
          <w:szCs w:val="28"/>
          <w:rtl/>
          <w:lang w:bidi="ar-LB"/>
        </w:rPr>
        <w:t xml:space="preserve">انظر: صفدر </w:t>
      </w:r>
      <w:r w:rsidRPr="00BB66AF">
        <w:rPr>
          <w:rFonts w:ascii="Traditional Arabic" w:hAnsi="Traditional Arabic" w:cs="DanaFajr" w:hint="cs"/>
          <w:sz w:val="28"/>
          <w:szCs w:val="28"/>
          <w:rtl/>
          <w:lang w:bidi="ar-LB"/>
        </w:rPr>
        <w:t>إ</w:t>
      </w:r>
      <w:r w:rsidRPr="00BB66AF">
        <w:rPr>
          <w:rFonts w:ascii="Traditional Arabic" w:hAnsi="Traditional Arabic" w:cs="DanaFajr"/>
          <w:sz w:val="28"/>
          <w:szCs w:val="28"/>
          <w:rtl/>
          <w:lang w:bidi="ar-LB"/>
        </w:rPr>
        <w:t>له</w:t>
      </w:r>
      <w:r w:rsidRPr="00BB66AF">
        <w:rPr>
          <w:rFonts w:ascii="Traditional Arabic" w:hAnsi="Traditional Arabic" w:cs="DanaFajr" w:hint="cs"/>
          <w:sz w:val="28"/>
          <w:szCs w:val="28"/>
          <w:rtl/>
          <w:lang w:bidi="ar-LB"/>
        </w:rPr>
        <w:t>ي</w:t>
      </w:r>
      <w:r w:rsidRPr="00BB66AF">
        <w:rPr>
          <w:rFonts w:ascii="Traditional Arabic" w:hAnsi="Traditional Arabic" w:cs="DanaFajr"/>
          <w:sz w:val="28"/>
          <w:szCs w:val="28"/>
          <w:rtl/>
          <w:lang w:bidi="ar-LB"/>
        </w:rPr>
        <w:t xml:space="preserve"> راد</w:t>
      </w:r>
      <w:r w:rsidRPr="00BB66AF">
        <w:rPr>
          <w:rFonts w:ascii="Traditional Arabic" w:hAnsi="Traditional Arabic" w:cs="DanaFajr" w:hint="cs"/>
          <w:sz w:val="28"/>
          <w:szCs w:val="28"/>
          <w:rtl/>
          <w:lang w:bidi="ar-LB"/>
        </w:rPr>
        <w:t>،</w:t>
      </w:r>
      <w:r w:rsidRPr="00BB66AF">
        <w:rPr>
          <w:rFonts w:ascii="Traditional Arabic" w:hAnsi="Traditional Arabic" w:cs="DanaFajr"/>
          <w:sz w:val="28"/>
          <w:szCs w:val="28"/>
          <w:rtl/>
          <w:lang w:bidi="ar-LB"/>
        </w:rPr>
        <w:t xml:space="preserve"> الهيرمينوطيقا</w:t>
      </w:r>
      <w:r w:rsidRPr="00BB66AF">
        <w:rPr>
          <w:rFonts w:ascii="Traditional Arabic" w:hAnsi="Traditional Arabic" w:cs="DanaFajr" w:hint="cs"/>
          <w:sz w:val="28"/>
          <w:szCs w:val="28"/>
          <w:rtl/>
          <w:lang w:bidi="ar-LB"/>
        </w:rPr>
        <w:t>،</w:t>
      </w:r>
      <w:r w:rsidRPr="00BB66AF">
        <w:rPr>
          <w:rFonts w:ascii="Traditional Arabic" w:hAnsi="Traditional Arabic" w:cs="DanaFajr"/>
          <w:sz w:val="28"/>
          <w:szCs w:val="28"/>
          <w:rtl/>
          <w:lang w:bidi="ar-LB"/>
        </w:rPr>
        <w:t xml:space="preserve"> منشأ المصط</w:t>
      </w:r>
      <w:r w:rsidRPr="00BB66AF">
        <w:rPr>
          <w:rFonts w:ascii="Traditional Arabic" w:hAnsi="Traditional Arabic" w:cs="DanaFajr" w:hint="cs"/>
          <w:sz w:val="28"/>
          <w:szCs w:val="28"/>
          <w:rtl/>
          <w:lang w:bidi="ar-LB"/>
        </w:rPr>
        <w:t>لح</w:t>
      </w:r>
      <w:r w:rsidRPr="00BB66AF">
        <w:rPr>
          <w:rFonts w:ascii="Traditional Arabic" w:hAnsi="Traditional Arabic" w:cs="DanaFajr"/>
          <w:sz w:val="28"/>
          <w:szCs w:val="28"/>
          <w:rtl/>
          <w:lang w:bidi="ar-LB"/>
        </w:rPr>
        <w:t xml:space="preserve"> ومعناه واستعمالاته في الحضارات الإنسانية</w:t>
      </w:r>
      <w:r w:rsidRPr="00BB66AF">
        <w:rPr>
          <w:rFonts w:ascii="Traditional Arabic" w:hAnsi="Traditional Arabic" w:cs="DanaFajr" w:hint="cs"/>
          <w:sz w:val="28"/>
          <w:szCs w:val="28"/>
          <w:rtl/>
          <w:lang w:bidi="ar-LB"/>
        </w:rPr>
        <w:t xml:space="preserve"> </w:t>
      </w:r>
      <w:r w:rsidRPr="00BB66AF">
        <w:rPr>
          <w:rFonts w:ascii="Traditional Arabic" w:hAnsi="Traditional Arabic" w:cs="DanaFajr"/>
          <w:sz w:val="28"/>
          <w:szCs w:val="28"/>
          <w:rtl/>
          <w:lang w:bidi="ar-LB"/>
        </w:rPr>
        <w:t>المختلفة</w:t>
      </w:r>
      <w:r w:rsidRPr="00BB66AF">
        <w:rPr>
          <w:rFonts w:ascii="Traditional Arabic" w:hAnsi="Traditional Arabic" w:cs="DanaFajr" w:hint="cs"/>
          <w:sz w:val="28"/>
          <w:szCs w:val="28"/>
          <w:rtl/>
          <w:lang w:bidi="ar-LB"/>
        </w:rPr>
        <w:t>: 122</w:t>
      </w:r>
      <w:r w:rsidRPr="00BB66AF">
        <w:rPr>
          <w:rFonts w:ascii="Traditional Arabic" w:hAnsi="Traditional Arabic" w:cs="DanaFajr"/>
          <w:sz w:val="28"/>
          <w:szCs w:val="28"/>
          <w:rtl/>
          <w:lang w:bidi="ar-LB"/>
        </w:rPr>
        <w:t xml:space="preserve">، </w:t>
      </w:r>
      <w:r w:rsidRPr="00BB66AF">
        <w:rPr>
          <w:rFonts w:ascii="Traditional Arabic" w:hAnsi="Traditional Arabic" w:cs="DanaFajr" w:hint="cs"/>
          <w:sz w:val="28"/>
          <w:szCs w:val="28"/>
          <w:rtl/>
          <w:lang w:bidi="ar-LB"/>
        </w:rPr>
        <w:t>136</w:t>
      </w:r>
      <w:r w:rsidRPr="00BB66AF">
        <w:rPr>
          <w:rFonts w:ascii="Traditional Arabic" w:hAnsi="Traditional Arabic" w:cs="DanaFajr"/>
          <w:sz w:val="28"/>
          <w:szCs w:val="28"/>
          <w:rtl/>
          <w:lang w:bidi="ar-LB"/>
        </w:rPr>
        <w:t xml:space="preserve"> ـ </w:t>
      </w:r>
      <w:r w:rsidRPr="00BB66AF">
        <w:rPr>
          <w:rFonts w:ascii="Traditional Arabic" w:hAnsi="Traditional Arabic" w:cs="DanaFajr" w:hint="cs"/>
          <w:sz w:val="28"/>
          <w:szCs w:val="28"/>
          <w:rtl/>
          <w:lang w:bidi="ar-LB"/>
        </w:rPr>
        <w:t>139</w:t>
      </w:r>
      <w:r w:rsidRPr="00BB66AF">
        <w:rPr>
          <w:rFonts w:ascii="Traditional Arabic" w:hAnsi="Traditional Arabic" w:cs="DanaFajr"/>
          <w:sz w:val="28"/>
          <w:szCs w:val="28"/>
          <w:rtl/>
          <w:lang w:bidi="ar-LB"/>
        </w:rPr>
        <w:t>، ترجمة: حسنين الجمال، المركز الإسلامي للدراسات الاستراتيجية</w:t>
      </w:r>
      <w:r w:rsidRPr="00BB66AF">
        <w:rPr>
          <w:rFonts w:ascii="Traditional Arabic" w:hAnsi="Traditional Arabic" w:cs="DanaFajr" w:hint="cs"/>
          <w:sz w:val="28"/>
          <w:szCs w:val="28"/>
          <w:rtl/>
          <w:lang w:bidi="ar-LB"/>
        </w:rPr>
        <w:t xml:space="preserve">، </w:t>
      </w:r>
      <w:r w:rsidRPr="00BB66AF">
        <w:rPr>
          <w:rFonts w:ascii="Traditional Arabic" w:hAnsi="Traditional Arabic" w:cs="DanaFajr"/>
          <w:sz w:val="28"/>
          <w:szCs w:val="28"/>
          <w:rtl/>
          <w:lang w:bidi="ar-LB"/>
        </w:rPr>
        <w:t xml:space="preserve">بيروت، </w:t>
      </w:r>
      <w:r w:rsidRPr="00BB66AF">
        <w:rPr>
          <w:rFonts w:ascii="Traditional Arabic" w:hAnsi="Traditional Arabic" w:cs="DanaFajr" w:hint="cs"/>
          <w:sz w:val="28"/>
          <w:szCs w:val="28"/>
          <w:rtl/>
          <w:lang w:bidi="ar-LB"/>
        </w:rPr>
        <w:t>ط1</w:t>
      </w:r>
      <w:r w:rsidRPr="00BB66AF">
        <w:rPr>
          <w:rFonts w:ascii="Traditional Arabic" w:hAnsi="Traditional Arabic" w:cs="DanaFajr"/>
          <w:sz w:val="28"/>
          <w:szCs w:val="28"/>
          <w:rtl/>
          <w:lang w:bidi="ar-LB"/>
        </w:rPr>
        <w:t xml:space="preserve">، </w:t>
      </w:r>
      <w:r w:rsidRPr="00BB66AF">
        <w:rPr>
          <w:rFonts w:ascii="Traditional Arabic" w:hAnsi="Traditional Arabic" w:cs="DanaFajr" w:hint="cs"/>
          <w:sz w:val="28"/>
          <w:szCs w:val="28"/>
          <w:rtl/>
          <w:lang w:bidi="ar-LB"/>
        </w:rPr>
        <w:t>1440</w:t>
      </w:r>
      <w:r w:rsidRPr="00BB66AF">
        <w:rPr>
          <w:rFonts w:ascii="Traditional Arabic" w:hAnsi="Traditional Arabic" w:cs="DanaFajr"/>
          <w:sz w:val="28"/>
          <w:szCs w:val="28"/>
          <w:rtl/>
          <w:lang w:bidi="ar-LB"/>
        </w:rPr>
        <w:t>هـ.</w:t>
      </w:r>
    </w:p>
  </w:endnote>
  <w:endnote w:id="529">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يرى مارتن هايدغر عدم إمكان ذلك، ويؤك</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د بصراحة</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على أنه لا وجود للتفسير الخالص والعاري عن كل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الشوائب القبلية؛ بل كل تماسّ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مع العالم لا بُدَّ أن يكون مبني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على قبليات. ويذكر هايدغر ثلاثة عناصر أساسية دخيلة في تشك</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ل القبليات عند المفس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 وهي: المعلومات المسبقة (</w:t>
      </w:r>
      <w:r w:rsidRPr="006571AC">
        <w:rPr>
          <w:rFonts w:asciiTheme="majorBidi" w:hAnsiTheme="majorBidi" w:cstheme="majorBidi"/>
          <w:lang w:bidi="fa-IR"/>
        </w:rPr>
        <w:t>Fore having</w:t>
      </w:r>
      <w:r w:rsidRPr="006571AC">
        <w:rPr>
          <w:rFonts w:ascii="Traditional Arabic" w:hAnsi="Traditional Arabic" w:cs="DanaFajr"/>
          <w:sz w:val="28"/>
          <w:szCs w:val="28"/>
          <w:rtl/>
          <w:lang w:bidi="ar-LB"/>
        </w:rPr>
        <w:t>)، وجهة النظر المسبقة (</w:t>
      </w:r>
      <w:r w:rsidRPr="006571AC">
        <w:rPr>
          <w:rFonts w:asciiTheme="majorBidi" w:hAnsiTheme="majorBidi" w:cstheme="majorBidi"/>
          <w:lang w:bidi="fa-IR"/>
        </w:rPr>
        <w:t>Fore sight</w:t>
      </w:r>
      <w:r w:rsidRPr="006571AC">
        <w:rPr>
          <w:rFonts w:ascii="Traditional Arabic" w:hAnsi="Traditional Arabic" w:cs="DanaFajr"/>
          <w:sz w:val="28"/>
          <w:szCs w:val="28"/>
          <w:rtl/>
          <w:lang w:bidi="ar-LB"/>
        </w:rPr>
        <w:t>)، والتصو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 المسبق (</w:t>
      </w:r>
      <w:r w:rsidRPr="006571AC">
        <w:rPr>
          <w:rFonts w:asciiTheme="majorBidi" w:hAnsiTheme="majorBidi" w:cstheme="majorBidi"/>
          <w:lang w:bidi="fa-IR"/>
        </w:rPr>
        <w:t>Fore conception</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فانظر: مارتن هايدغر، هست</w:t>
      </w:r>
      <w:r w:rsidRPr="006571AC">
        <w:rPr>
          <w:rFonts w:ascii="Traditional Arabic" w:hAnsi="Traditional Arabic" w:cs="DanaFajr" w:hint="cs"/>
          <w:sz w:val="28"/>
          <w:szCs w:val="28"/>
          <w:rtl/>
          <w:lang w:bidi="ar-LB"/>
        </w:rPr>
        <w:t>ي</w:t>
      </w:r>
      <w:r w:rsidRPr="006571AC">
        <w:rPr>
          <w:rFonts w:ascii="Traditional Arabic" w:hAnsi="Traditional Arabic" w:cs="DanaFajr"/>
          <w:sz w:val="28"/>
          <w:szCs w:val="28"/>
          <w:rtl/>
          <w:lang w:bidi="ar-LB"/>
        </w:rPr>
        <w:t xml:space="preserve"> وزمان: </w:t>
      </w:r>
      <w:r w:rsidRPr="006571AC">
        <w:rPr>
          <w:rFonts w:ascii="Arabic Typesetting" w:hAnsi="Arabic Typesetting" w:cs="DanaFajr" w:hint="cs"/>
          <w:sz w:val="28"/>
          <w:szCs w:val="28"/>
          <w:rtl/>
          <w:lang w:bidi="ar-LB"/>
        </w:rPr>
        <w:t>371</w:t>
      </w:r>
      <w:r w:rsidRPr="006571AC">
        <w:rPr>
          <w:rFonts w:ascii="Traditional Arabic" w:hAnsi="Traditional Arabic" w:cs="DanaFajr"/>
          <w:sz w:val="28"/>
          <w:szCs w:val="28"/>
          <w:rtl/>
          <w:lang w:bidi="ar-LB"/>
        </w:rPr>
        <w:t xml:space="preserve">، ترجمة: سياوش جمادي، ققنوس، طهران، </w:t>
      </w:r>
      <w:r w:rsidRPr="006571AC">
        <w:rPr>
          <w:rFonts w:ascii="Arabic Typesetting" w:hAnsi="Arabic Typesetting" w:cs="DanaFajr" w:hint="cs"/>
          <w:sz w:val="28"/>
          <w:szCs w:val="28"/>
          <w:rtl/>
          <w:lang w:bidi="ar-LB"/>
        </w:rPr>
        <w:t>1389</w:t>
      </w:r>
      <w:r w:rsidRPr="006571AC">
        <w:rPr>
          <w:rFonts w:ascii="Traditional Arabic" w:hAnsi="Traditional Arabic" w:cs="DanaFajr"/>
          <w:sz w:val="28"/>
          <w:szCs w:val="28"/>
          <w:rtl/>
          <w:lang w:bidi="ar-LB"/>
        </w:rPr>
        <w:t xml:space="preserve">. </w:t>
      </w:r>
    </w:p>
  </w:endnote>
  <w:endnote w:id="530">
    <w:p w:rsidR="00DB2356" w:rsidRPr="006571AC" w:rsidRDefault="00DB2356" w:rsidP="00844ADE">
      <w:pPr>
        <w:pStyle w:val="aa"/>
        <w:bidi w:val="0"/>
        <w:spacing w:line="315" w:lineRule="exact"/>
        <w:ind w:firstLine="0"/>
        <w:rPr>
          <w:rFonts w:asciiTheme="majorBidi" w:hAnsiTheme="majorBidi" w:cstheme="majorBidi"/>
          <w:rtl/>
          <w:lang w:bidi="ar-LB"/>
        </w:rPr>
      </w:pPr>
      <w:r w:rsidRPr="006571AC">
        <w:rPr>
          <w:rFonts w:asciiTheme="majorBidi" w:hAnsiTheme="majorBidi" w:cstheme="majorBidi" w:hint="cs"/>
          <w:rtl/>
        </w:rPr>
        <w:t>)</w:t>
      </w:r>
      <w:r w:rsidRPr="006571AC">
        <w:rPr>
          <w:rStyle w:val="ac"/>
          <w:rFonts w:asciiTheme="majorBidi" w:hAnsiTheme="majorBidi" w:cstheme="majorBidi"/>
          <w:vertAlign w:val="baseline"/>
        </w:rPr>
        <w:endnoteRef/>
      </w:r>
      <w:r w:rsidRPr="006571AC">
        <w:rPr>
          <w:rFonts w:asciiTheme="majorBidi" w:hAnsiTheme="majorBidi" w:cstheme="majorBidi"/>
        </w:rPr>
        <w:t xml:space="preserve">) </w:t>
      </w:r>
      <w:r w:rsidRPr="006571AC">
        <w:rPr>
          <w:rFonts w:asciiTheme="majorBidi" w:hAnsiTheme="majorBidi" w:cstheme="majorBidi"/>
          <w:lang w:bidi="ar-LB"/>
        </w:rPr>
        <w:t>Fusion of horizons.</w:t>
      </w:r>
    </w:p>
  </w:endnote>
  <w:endnote w:id="531">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انظر: </w:t>
      </w:r>
      <w:r w:rsidRPr="006571AC">
        <w:rPr>
          <w:rFonts w:ascii="Traditional Arabic" w:hAnsi="Traditional Arabic" w:cs="DanaFajr"/>
          <w:sz w:val="28"/>
          <w:szCs w:val="28"/>
          <w:rtl/>
          <w:lang w:bidi="ar-LB"/>
        </w:rPr>
        <w:t>بابك أحمدي، ساختار وتأويل متن</w:t>
      </w:r>
      <w:r w:rsidRPr="006571AC">
        <w:rPr>
          <w:rFonts w:ascii="Traditional Arabic" w:hAnsi="Traditional Arabic" w:cs="DanaFajr"/>
          <w:sz w:val="28"/>
          <w:szCs w:val="28"/>
          <w:rtl/>
        </w:rPr>
        <w:t xml:space="preserve">: </w:t>
      </w:r>
      <w:r w:rsidRPr="006571AC">
        <w:rPr>
          <w:rFonts w:ascii="Arabic Typesetting" w:hAnsi="Arabic Typesetting" w:cs="DanaFajr" w:hint="cs"/>
          <w:sz w:val="28"/>
          <w:szCs w:val="28"/>
          <w:rtl/>
          <w:lang w:bidi="ar-LB"/>
        </w:rPr>
        <w:t>571</w:t>
      </w:r>
      <w:r w:rsidRPr="006571AC">
        <w:rPr>
          <w:rFonts w:ascii="Traditional Arabic" w:hAnsi="Traditional Arabic" w:cs="DanaFajr"/>
          <w:sz w:val="28"/>
          <w:szCs w:val="28"/>
          <w:rtl/>
        </w:rPr>
        <w:t xml:space="preserve">. </w:t>
      </w:r>
    </w:p>
  </w:endnote>
  <w:endnote w:id="532">
    <w:p w:rsidR="00DB2356" w:rsidRPr="004D2202" w:rsidRDefault="00DB2356" w:rsidP="004D2202">
      <w:pPr>
        <w:pStyle w:val="aa"/>
        <w:spacing w:line="315" w:lineRule="exact"/>
        <w:ind w:firstLine="0"/>
        <w:rPr>
          <w:rFonts w:ascii="Traditional Arabic" w:hAnsi="Traditional Arabic" w:cs="DanaFajr"/>
          <w:sz w:val="28"/>
          <w:szCs w:val="28"/>
          <w:rtl/>
        </w:rPr>
      </w:pPr>
      <w:r w:rsidRPr="004D2202">
        <w:rPr>
          <w:rFonts w:ascii="Traditional Arabic" w:hAnsi="Traditional Arabic" w:cs="DanaFajr"/>
          <w:sz w:val="28"/>
          <w:szCs w:val="28"/>
          <w:rtl/>
        </w:rPr>
        <w:t>(</w:t>
      </w:r>
      <w:r w:rsidRPr="004D2202">
        <w:rPr>
          <w:rFonts w:cs="DanaFajr"/>
          <w:sz w:val="28"/>
          <w:szCs w:val="28"/>
        </w:rPr>
        <w:endnoteRef/>
      </w:r>
      <w:r w:rsidRPr="004D2202">
        <w:rPr>
          <w:rFonts w:ascii="Traditional Arabic" w:hAnsi="Traditional Arabic" w:cs="DanaFajr"/>
          <w:sz w:val="28"/>
          <w:szCs w:val="28"/>
          <w:rtl/>
        </w:rPr>
        <w:t xml:space="preserve">) </w:t>
      </w:r>
      <w:r w:rsidRPr="004D2202">
        <w:rPr>
          <w:rFonts w:ascii="Traditional Arabic" w:hAnsi="Traditional Arabic" w:hint="eastAsia"/>
          <w:sz w:val="22"/>
          <w:szCs w:val="22"/>
          <w:rtl/>
        </w:rPr>
        <w:t>«</w:t>
      </w:r>
      <w:r w:rsidRPr="004D2202">
        <w:rPr>
          <w:rFonts w:ascii="Traditional Arabic" w:hAnsi="Traditional Arabic" w:cs="DanaFajr"/>
          <w:sz w:val="28"/>
          <w:szCs w:val="28"/>
          <w:rtl/>
        </w:rPr>
        <w:t>هو عبارة</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عن الحوار المتبادل بين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وبين الفهم المسبق للقارئ. فالقارئ يذهب نحو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انطلاقا</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من أحكامه المسبقة وفهمه المسبق، فيصغي للكلام أو يقرأ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ثم</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يرجع مر</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ة</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أخرى إلى هذه القبليات والأحكام المسبقة، وقد يُعدّ</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ل عليها</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ثم ينظر مر</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ة</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أخرى إلى النص بنظرة</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جديدة. فهذا الذهاب والإياب من وإلى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يستمر</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حت</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ى ينتهي إلى توافق</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وانسجام</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بين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وبين القارئ. ومن خلال الالتفات إلى المستقبل فإن هذا الأمر يستمر</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إلى ما لا نهاية. وبعبارة</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أخرى: دائما</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في قراءة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يندمج أفق القارئ مع أفق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ويتشك</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ل الفهم في الد</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و</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ر بين هذين الأفقين</w:t>
      </w:r>
      <w:r w:rsidRPr="004D2202">
        <w:rPr>
          <w:rFonts w:ascii="Traditional Arabic" w:hAnsi="Traditional Arabic" w:hint="eastAsia"/>
          <w:sz w:val="22"/>
          <w:szCs w:val="22"/>
          <w:rtl/>
        </w:rPr>
        <w:t>»</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صفدر إلهي راد</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w:t>
      </w:r>
      <w:r w:rsidRPr="004D2202">
        <w:rPr>
          <w:rFonts w:cs="DanaFajr"/>
          <w:sz w:val="28"/>
          <w:szCs w:val="28"/>
          <w:rtl/>
        </w:rPr>
        <w:t>الهيرمينوطيقا</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منشأ المصطلح ومعناه واستعمالاته في الحضارات الإنسانية المختلفة: </w:t>
      </w:r>
      <w:r w:rsidRPr="004D2202">
        <w:rPr>
          <w:rFonts w:ascii="Traditional Arabic" w:hAnsi="Traditional Arabic" w:cs="DanaFajr" w:hint="cs"/>
          <w:sz w:val="28"/>
          <w:szCs w:val="28"/>
          <w:rtl/>
        </w:rPr>
        <w:t>146</w:t>
      </w:r>
      <w:r w:rsidRPr="004D2202">
        <w:rPr>
          <w:rFonts w:ascii="Traditional Arabic" w:hAnsi="Traditional Arabic" w:cs="DanaFajr"/>
          <w:sz w:val="28"/>
          <w:szCs w:val="28"/>
          <w:rtl/>
        </w:rPr>
        <w:t xml:space="preserve">. </w:t>
      </w:r>
    </w:p>
  </w:endnote>
  <w:endnote w:id="533">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و</w:t>
      </w:r>
      <w:r w:rsidRPr="006571AC">
        <w:rPr>
          <w:rFonts w:ascii="Traditional Arabic" w:hAnsi="Traditional Arabic" w:cs="DanaFajr"/>
          <w:sz w:val="28"/>
          <w:szCs w:val="28"/>
          <w:rtl/>
          <w:lang w:bidi="ar-LB"/>
        </w:rPr>
        <w:t>إن</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كان قد يتوقّ</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ف بعض</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في فهم بعض الروايات فيردّ علمها إلى أهلها. </w:t>
      </w:r>
    </w:p>
  </w:endnote>
  <w:endnote w:id="534">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على سبيل المثال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انظر: محمد باقر الصدر، المدرسة القرآنية: </w:t>
      </w:r>
      <w:r w:rsidRPr="006571AC">
        <w:rPr>
          <w:rFonts w:ascii="Arabic Typesetting" w:hAnsi="Arabic Typesetting" w:cs="DanaFajr" w:hint="cs"/>
          <w:sz w:val="28"/>
          <w:szCs w:val="28"/>
          <w:rtl/>
          <w:lang w:bidi="ar-LB"/>
        </w:rPr>
        <w:t>258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261</w:t>
      </w:r>
      <w:r w:rsidRPr="006571AC">
        <w:rPr>
          <w:rFonts w:ascii="Traditional Arabic" w:hAnsi="Traditional Arabic" w:cs="DanaFajr"/>
          <w:sz w:val="28"/>
          <w:szCs w:val="28"/>
          <w:rtl/>
          <w:lang w:bidi="ar-LB"/>
        </w:rPr>
        <w:t>، إعداد وتحقيق: لجنة التحقيق التابعة للمؤتمر العالمي للإمام الشهيد الصدر، مركز الأبحاث والدراسات التخص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صية للشهيد الصدر، قم، </w:t>
      </w:r>
      <w:r w:rsidRPr="006571AC">
        <w:rPr>
          <w:rFonts w:ascii="Traditional Arabic" w:hAnsi="Traditional Arabic" w:cs="DanaFajr" w:hint="cs"/>
          <w:sz w:val="28"/>
          <w:szCs w:val="28"/>
          <w:rtl/>
          <w:lang w:bidi="ar-LB"/>
        </w:rPr>
        <w:t>ط5</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1435</w:t>
      </w:r>
      <w:r w:rsidRPr="006571AC">
        <w:rPr>
          <w:rFonts w:ascii="Traditional Arabic" w:hAnsi="Traditional Arabic" w:cs="DanaFajr"/>
          <w:sz w:val="28"/>
          <w:szCs w:val="28"/>
          <w:rtl/>
          <w:lang w:bidi="ar-LB"/>
        </w:rPr>
        <w:t xml:space="preserve">هـ. </w:t>
      </w:r>
    </w:p>
  </w:endnote>
  <w:endnote w:id="535">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216</w:t>
      </w:r>
    </w:p>
  </w:endnote>
  <w:endnote w:id="536">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297</w:t>
      </w:r>
      <w:r w:rsidRPr="006571AC">
        <w:rPr>
          <w:rFonts w:ascii="Traditional Arabic" w:hAnsi="Traditional Arabic" w:cs="DanaFajr"/>
          <w:sz w:val="28"/>
          <w:szCs w:val="28"/>
          <w:rtl/>
          <w:lang w:bidi="ar-LB"/>
        </w:rPr>
        <w:t xml:space="preserve">. </w:t>
      </w:r>
    </w:p>
  </w:endnote>
  <w:endnote w:id="537">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315</w:t>
      </w:r>
      <w:r w:rsidRPr="006571AC">
        <w:rPr>
          <w:rFonts w:ascii="Traditional Arabic" w:hAnsi="Traditional Arabic" w:cs="DanaFajr"/>
          <w:sz w:val="28"/>
          <w:szCs w:val="28"/>
          <w:rtl/>
          <w:lang w:bidi="ar-LB"/>
        </w:rPr>
        <w:t xml:space="preserve">. </w:t>
      </w:r>
    </w:p>
  </w:endnote>
  <w:endnote w:id="538">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محمود الهاشمي، بحوث في علم الأصول</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7</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333</w:t>
      </w:r>
      <w:r w:rsidRPr="006571AC">
        <w:rPr>
          <w:rFonts w:ascii="Traditional Arabic" w:hAnsi="Traditional Arabic" w:cs="DanaFajr"/>
          <w:sz w:val="28"/>
          <w:szCs w:val="28"/>
          <w:rtl/>
          <w:lang w:bidi="ar-LB"/>
        </w:rPr>
        <w:t>، م</w:t>
      </w:r>
      <w:r w:rsidRPr="006571AC">
        <w:rPr>
          <w:rFonts w:ascii="Traditional Arabic" w:hAnsi="Traditional Arabic" w:cs="DanaFajr" w:hint="cs"/>
          <w:sz w:val="28"/>
          <w:szCs w:val="28"/>
          <w:rtl/>
          <w:lang w:bidi="ar-LB"/>
        </w:rPr>
        <w:t>ؤ</w:t>
      </w:r>
      <w:r w:rsidRPr="006571AC">
        <w:rPr>
          <w:rFonts w:ascii="Traditional Arabic" w:hAnsi="Traditional Arabic" w:cs="DanaFajr"/>
          <w:sz w:val="28"/>
          <w:szCs w:val="28"/>
          <w:rtl/>
          <w:lang w:bidi="ar-LB"/>
        </w:rPr>
        <w:t>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س</w:t>
      </w:r>
      <w:r w:rsidRPr="006571AC">
        <w:rPr>
          <w:rFonts w:ascii="Traditional Arabic" w:hAnsi="Traditional Arabic" w:cs="DanaFajr" w:hint="cs"/>
          <w:sz w:val="28"/>
          <w:szCs w:val="28"/>
          <w:rtl/>
          <w:lang w:bidi="ar-LB"/>
        </w:rPr>
        <w:t>ة</w:t>
      </w:r>
      <w:r w:rsidRPr="006571AC">
        <w:rPr>
          <w:rFonts w:ascii="Traditional Arabic" w:hAnsi="Traditional Arabic" w:cs="DanaFajr"/>
          <w:sz w:val="28"/>
          <w:szCs w:val="28"/>
          <w:rtl/>
          <w:lang w:bidi="ar-LB"/>
        </w:rPr>
        <w:t xml:space="preserve"> دائرة </w:t>
      </w:r>
      <w:r w:rsidRPr="006571AC">
        <w:rPr>
          <w:rFonts w:ascii="Traditional Arabic" w:hAnsi="Traditional Arabic" w:cs="DanaFajr" w:hint="cs"/>
          <w:sz w:val="28"/>
          <w:szCs w:val="28"/>
          <w:rtl/>
          <w:lang w:bidi="ar-LB"/>
        </w:rPr>
        <w:t>م</w:t>
      </w:r>
      <w:r w:rsidRPr="006571AC">
        <w:rPr>
          <w:rFonts w:ascii="Traditional Arabic" w:hAnsi="Traditional Arabic" w:cs="DanaFajr"/>
          <w:sz w:val="28"/>
          <w:szCs w:val="28"/>
          <w:rtl/>
          <w:lang w:bidi="ar-LB"/>
        </w:rPr>
        <w:t xml:space="preserve">عارف </w:t>
      </w:r>
      <w:r w:rsidRPr="006571AC">
        <w:rPr>
          <w:rFonts w:ascii="Traditional Arabic" w:hAnsi="Traditional Arabic" w:cs="DanaFajr" w:hint="cs"/>
          <w:sz w:val="28"/>
          <w:szCs w:val="28"/>
          <w:rtl/>
          <w:lang w:bidi="ar-LB"/>
        </w:rPr>
        <w:t>ال</w:t>
      </w:r>
      <w:r w:rsidRPr="006571AC">
        <w:rPr>
          <w:rFonts w:ascii="Traditional Arabic" w:hAnsi="Traditional Arabic" w:cs="DanaFajr"/>
          <w:sz w:val="28"/>
          <w:szCs w:val="28"/>
          <w:rtl/>
          <w:lang w:bidi="ar-LB"/>
        </w:rPr>
        <w:t xml:space="preserve">فقه </w:t>
      </w:r>
      <w:r w:rsidRPr="006571AC">
        <w:rPr>
          <w:rFonts w:ascii="Traditional Arabic" w:hAnsi="Traditional Arabic" w:cs="DanaFajr" w:hint="cs"/>
          <w:sz w:val="28"/>
          <w:szCs w:val="28"/>
          <w:rtl/>
          <w:lang w:bidi="ar-LB"/>
        </w:rPr>
        <w:t>الإ</w:t>
      </w:r>
      <w:r w:rsidRPr="006571AC">
        <w:rPr>
          <w:rFonts w:ascii="Traditional Arabic" w:hAnsi="Traditional Arabic" w:cs="DanaFajr"/>
          <w:sz w:val="28"/>
          <w:szCs w:val="28"/>
          <w:rtl/>
          <w:lang w:bidi="ar-LB"/>
        </w:rPr>
        <w:t>سلام</w:t>
      </w:r>
      <w:r w:rsidRPr="006571AC">
        <w:rPr>
          <w:rFonts w:ascii="Traditional Arabic" w:hAnsi="Traditional Arabic" w:cs="DanaFajr" w:hint="cs"/>
          <w:sz w:val="28"/>
          <w:szCs w:val="28"/>
          <w:rtl/>
          <w:lang w:bidi="ar-LB"/>
        </w:rPr>
        <w:t>ي</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في</w:t>
      </w:r>
      <w:r w:rsidRPr="006571AC">
        <w:rPr>
          <w:rFonts w:ascii="Traditional Arabic" w:hAnsi="Traditional Arabic" w:cs="DanaFajr"/>
          <w:sz w:val="28"/>
          <w:szCs w:val="28"/>
          <w:rtl/>
          <w:lang w:bidi="ar-LB"/>
        </w:rPr>
        <w:t xml:space="preserve"> مذهب </w:t>
      </w:r>
      <w:r w:rsidRPr="006571AC">
        <w:rPr>
          <w:rFonts w:ascii="Traditional Arabic" w:hAnsi="Traditional Arabic" w:cs="DanaFajr" w:hint="cs"/>
          <w:sz w:val="28"/>
          <w:szCs w:val="28"/>
          <w:rtl/>
          <w:lang w:bidi="ar-LB"/>
        </w:rPr>
        <w:t>أ</w:t>
      </w:r>
      <w:r w:rsidRPr="006571AC">
        <w:rPr>
          <w:rFonts w:ascii="Traditional Arabic" w:hAnsi="Traditional Arabic" w:cs="DanaFajr"/>
          <w:sz w:val="28"/>
          <w:szCs w:val="28"/>
          <w:rtl/>
          <w:lang w:bidi="ar-LB"/>
        </w:rPr>
        <w:t xml:space="preserve">هل </w:t>
      </w:r>
      <w:r w:rsidRPr="006571AC">
        <w:rPr>
          <w:rFonts w:ascii="Traditional Arabic" w:hAnsi="Traditional Arabic" w:cs="DanaFajr" w:hint="cs"/>
          <w:sz w:val="28"/>
          <w:szCs w:val="28"/>
          <w:rtl/>
          <w:lang w:bidi="ar-LB"/>
        </w:rPr>
        <w:t>ال</w:t>
      </w:r>
      <w:r w:rsidRPr="006571AC">
        <w:rPr>
          <w:rFonts w:ascii="Traditional Arabic" w:hAnsi="Traditional Arabic" w:cs="DanaFajr"/>
          <w:sz w:val="28"/>
          <w:szCs w:val="28"/>
          <w:rtl/>
          <w:lang w:bidi="ar-LB"/>
        </w:rPr>
        <w:t>بيت</w:t>
      </w:r>
      <w:r w:rsidRPr="006571AC">
        <w:rPr>
          <w:rFonts w:ascii="Mosawi" w:hAnsi="Mosawi" w:cs="Mosawi"/>
          <w:rtl/>
        </w:rPr>
        <w:t>^</w:t>
      </w:r>
      <w:r w:rsidRPr="006571AC">
        <w:rPr>
          <w:rFonts w:ascii="Traditional Arabic" w:hAnsi="Traditional Arabic" w:cs="DanaFajr"/>
          <w:sz w:val="28"/>
          <w:szCs w:val="28"/>
          <w:rtl/>
          <w:lang w:bidi="ar-LB"/>
        </w:rPr>
        <w:t xml:space="preserve">، قم، </w:t>
      </w:r>
      <w:r w:rsidRPr="006571AC">
        <w:rPr>
          <w:rFonts w:ascii="Traditional Arabic" w:hAnsi="Traditional Arabic" w:cs="DanaFajr" w:hint="cs"/>
          <w:sz w:val="28"/>
          <w:szCs w:val="28"/>
          <w:rtl/>
          <w:lang w:bidi="ar-LB"/>
        </w:rPr>
        <w:t>ط3</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1417</w:t>
      </w:r>
      <w:r w:rsidRPr="006571AC">
        <w:rPr>
          <w:rFonts w:ascii="Traditional Arabic" w:hAnsi="Traditional Arabic" w:cs="DanaFajr"/>
          <w:sz w:val="28"/>
          <w:szCs w:val="28"/>
          <w:rtl/>
          <w:lang w:bidi="ar-LB"/>
        </w:rPr>
        <w:t xml:space="preserve">هـ. </w:t>
      </w:r>
    </w:p>
  </w:endnote>
  <w:endnote w:id="539">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 كاظم الحائري، مباحث الأصول (تقريرا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لأبحاث الشهيد السيد محمد باقر الصدر)</w:t>
      </w:r>
      <w:r w:rsidRPr="006571AC">
        <w:rPr>
          <w:rFonts w:ascii="Traditional Arabic" w:hAnsi="Traditional Arabic" w:cs="DanaFajr" w:hint="cs"/>
          <w:sz w:val="28"/>
          <w:szCs w:val="28"/>
          <w:rtl/>
          <w:lang w:bidi="ar-LB"/>
        </w:rPr>
        <w:t>، الجزء الأول من القسم الثاني</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178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186</w:t>
      </w:r>
      <w:r w:rsidRPr="006571AC">
        <w:rPr>
          <w:rFonts w:ascii="Traditional Arabic" w:hAnsi="Traditional Arabic" w:cs="DanaFajr"/>
          <w:sz w:val="28"/>
          <w:szCs w:val="28"/>
          <w:rtl/>
          <w:lang w:bidi="ar-LB"/>
        </w:rPr>
        <w:t xml:space="preserve">، دار البشير، قم،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1428</w:t>
      </w:r>
      <w:r w:rsidRPr="006571AC">
        <w:rPr>
          <w:rFonts w:ascii="Traditional Arabic" w:hAnsi="Traditional Arabic" w:cs="DanaFajr"/>
          <w:sz w:val="28"/>
          <w:szCs w:val="28"/>
          <w:rtl/>
          <w:lang w:bidi="ar-LB"/>
        </w:rPr>
        <w:t xml:space="preserve">هـ. </w:t>
      </w:r>
    </w:p>
  </w:endnote>
  <w:endnote w:id="540">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 كاظم الحائري، مباحث الأصول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الجزء الأول من القسم الثاني</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188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191</w:t>
      </w:r>
      <w:r w:rsidRPr="006571AC">
        <w:rPr>
          <w:rFonts w:ascii="Traditional Arabic" w:hAnsi="Traditional Arabic" w:cs="DanaFajr"/>
          <w:sz w:val="28"/>
          <w:szCs w:val="28"/>
          <w:rtl/>
          <w:lang w:bidi="ar-LB"/>
        </w:rPr>
        <w:t xml:space="preserve">. </w:t>
      </w:r>
    </w:p>
  </w:endnote>
  <w:endnote w:id="541">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 محمد باقر الصدر، دروس في علم الأصول</w:t>
      </w:r>
      <w:r w:rsidRPr="006571AC">
        <w:rPr>
          <w:rFonts w:ascii="Traditional Arabic" w:hAnsi="Traditional Arabic" w:cs="DanaFajr" w:hint="cs"/>
          <w:sz w:val="28"/>
          <w:szCs w:val="28"/>
          <w:rtl/>
          <w:lang w:bidi="ar-LB"/>
        </w:rPr>
        <w:t xml:space="preserve"> (الحلقة الثالثة) </w:t>
      </w:r>
      <w:r w:rsidRPr="006571AC">
        <w:rPr>
          <w:rFonts w:ascii="Arabic Typesetting" w:hAnsi="Arabic Typesetting" w:cs="DanaFajr" w:hint="cs"/>
          <w:sz w:val="28"/>
          <w:szCs w:val="28"/>
          <w:rtl/>
          <w:lang w:bidi="ar-LB"/>
        </w:rPr>
        <w:t>2</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205</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206</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بتصرّ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ف يسير</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إعداد وتحقيق: لجنة التحقيق التابعة للمؤتمر العالمي للإمام الشهيد الصدر، مركز الأبحاث والدراسات التخص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صية للشهيد الصدر،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1421</w:t>
      </w:r>
      <w:r w:rsidRPr="006571AC">
        <w:rPr>
          <w:rFonts w:ascii="Traditional Arabic" w:hAnsi="Traditional Arabic" w:cs="DanaFajr"/>
          <w:sz w:val="28"/>
          <w:szCs w:val="28"/>
          <w:rtl/>
          <w:lang w:bidi="ar-LB"/>
        </w:rPr>
        <w:t xml:space="preserve">هـ. </w:t>
      </w:r>
    </w:p>
  </w:endnote>
  <w:endnote w:id="542">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بل لا بُدَّ من إضافة عنصر آخر إليه، وهو العنصر الاجتماعي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وهذه الإضافة بسبب حديث الشهيد عن دَوْر الارتكاز الاجتماعي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في فهم 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وهذا ما سوف نشير إليه لاحقا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w:t>
      </w:r>
    </w:p>
  </w:endnote>
  <w:endnote w:id="543">
    <w:p w:rsidR="00DB2356" w:rsidRPr="006571AC" w:rsidRDefault="00DB2356" w:rsidP="00844ADE">
      <w:pPr>
        <w:pStyle w:val="aa"/>
        <w:spacing w:line="315"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يُلاحَظ الهامش السابق؛ إذ تأتي التعليقة السابقة نفسها. </w:t>
      </w:r>
    </w:p>
  </w:endnote>
  <w:endnote w:id="544">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 محمد باقر الصدر، دروس في علم الأصول</w:t>
      </w:r>
      <w:r w:rsidRPr="006571AC">
        <w:rPr>
          <w:rFonts w:ascii="Traditional Arabic" w:hAnsi="Traditional Arabic" w:cs="DanaFajr" w:hint="cs"/>
          <w:sz w:val="28"/>
          <w:szCs w:val="28"/>
          <w:rtl/>
          <w:lang w:bidi="ar-LB"/>
        </w:rPr>
        <w:t xml:space="preserve"> (الحلقة الثالثة) </w:t>
      </w:r>
      <w:r w:rsidRPr="006571AC">
        <w:rPr>
          <w:rFonts w:ascii="Arabic Typesetting" w:hAnsi="Arabic Typesetting" w:cs="DanaFajr" w:hint="cs"/>
          <w:sz w:val="28"/>
          <w:szCs w:val="28"/>
          <w:rtl/>
          <w:lang w:bidi="ar-LB"/>
        </w:rPr>
        <w:t>2</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206</w:t>
      </w:r>
      <w:r w:rsidRPr="006571AC">
        <w:rPr>
          <w:rFonts w:ascii="Traditional Arabic" w:hAnsi="Traditional Arabic" w:cs="DanaFajr"/>
          <w:sz w:val="28"/>
          <w:szCs w:val="28"/>
          <w:rtl/>
          <w:lang w:bidi="ar-LB"/>
        </w:rPr>
        <w:t xml:space="preserve">. </w:t>
      </w:r>
    </w:p>
  </w:endnote>
  <w:endnote w:id="545">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 محمود الهاشمي، بحوث في علم الأصول</w:t>
      </w:r>
      <w:r w:rsidRPr="006571AC">
        <w:rPr>
          <w:rFonts w:ascii="Arabic Typesetting" w:hAnsi="Arabic Typesetting" w:cs="DanaFajr" w:hint="cs"/>
          <w:sz w:val="28"/>
          <w:szCs w:val="28"/>
          <w:rtl/>
          <w:lang w:bidi="ar-LB"/>
        </w:rPr>
        <w:t xml:space="preserve"> 4</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206</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207</w:t>
      </w:r>
      <w:r w:rsidRPr="006571AC">
        <w:rPr>
          <w:rFonts w:ascii="Traditional Arabic" w:hAnsi="Traditional Arabic" w:cs="DanaFajr"/>
          <w:sz w:val="28"/>
          <w:szCs w:val="28"/>
          <w:rtl/>
          <w:lang w:bidi="ar-LB"/>
        </w:rPr>
        <w:t xml:space="preserve">. </w:t>
      </w:r>
    </w:p>
  </w:endnote>
  <w:endnote w:id="546">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و</w:t>
      </w:r>
      <w:r w:rsidRPr="006571AC">
        <w:rPr>
          <w:rFonts w:ascii="Traditional Arabic" w:hAnsi="Traditional Arabic" w:cs="DanaFajr"/>
          <w:sz w:val="28"/>
          <w:szCs w:val="28"/>
          <w:rtl/>
          <w:lang w:bidi="ar-LB"/>
        </w:rPr>
        <w:t>قد يُسم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ى عند الأصوليين بـ </w:t>
      </w:r>
      <w:r w:rsidRPr="006571AC">
        <w:rPr>
          <w:rFonts w:hint="eastAsia"/>
          <w:sz w:val="22"/>
          <w:szCs w:val="22"/>
          <w:rtl/>
          <w:lang w:bidi="ar-LB"/>
        </w:rPr>
        <w:t>«</w:t>
      </w:r>
      <w:r w:rsidRPr="006571AC">
        <w:rPr>
          <w:rFonts w:ascii="Traditional Arabic" w:hAnsi="Traditional Arabic" w:cs="DanaFajr"/>
          <w:sz w:val="28"/>
          <w:szCs w:val="28"/>
          <w:rtl/>
          <w:lang w:bidi="ar-LB"/>
        </w:rPr>
        <w:t>الاستصحاب القهقرائي</w:t>
      </w:r>
      <w:r w:rsidRPr="006571AC">
        <w:rPr>
          <w:rFonts w:hint="eastAsia"/>
          <w:sz w:val="22"/>
          <w:szCs w:val="22"/>
          <w:rtl/>
        </w:rPr>
        <w:t>»</w:t>
      </w:r>
      <w:r w:rsidRPr="006571AC">
        <w:rPr>
          <w:rFonts w:ascii="Traditional Arabic" w:hAnsi="Traditional Arabic" w:cs="DanaFajr"/>
          <w:sz w:val="28"/>
          <w:szCs w:val="28"/>
          <w:rtl/>
          <w:lang w:bidi="ar-LB"/>
        </w:rPr>
        <w:t>، حيث يكون زمن اليقين متأخ</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عن زمن الشك</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وقد سم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اه المحق</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ق العراقي بـ </w:t>
      </w:r>
      <w:r w:rsidRPr="006571AC">
        <w:rPr>
          <w:rFonts w:hint="eastAsia"/>
          <w:sz w:val="22"/>
          <w:szCs w:val="22"/>
          <w:rtl/>
          <w:lang w:bidi="ar-LB"/>
        </w:rPr>
        <w:t>«</w:t>
      </w:r>
      <w:r w:rsidRPr="006571AC">
        <w:rPr>
          <w:rFonts w:ascii="Traditional Arabic" w:hAnsi="Traditional Arabic" w:cs="DanaFajr"/>
          <w:sz w:val="28"/>
          <w:szCs w:val="28"/>
          <w:rtl/>
          <w:lang w:bidi="ar-LB"/>
        </w:rPr>
        <w:t>أصالة تشابه الأزمان</w:t>
      </w:r>
      <w:r w:rsidRPr="006571AC">
        <w:rPr>
          <w:rFonts w:hint="eastAsia"/>
          <w:sz w:val="22"/>
          <w:szCs w:val="22"/>
          <w:rtl/>
        </w:rPr>
        <w:t>»</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فانظر: ضياء الدين العراقي، نهاية الأفكار </w:t>
      </w:r>
      <w:r w:rsidRPr="006571AC">
        <w:rPr>
          <w:rFonts w:ascii="Arabic Typesetting" w:hAnsi="Arabic Typesetting" w:cs="DanaFajr" w:hint="cs"/>
          <w:sz w:val="28"/>
          <w:szCs w:val="28"/>
          <w:rtl/>
          <w:lang w:bidi="ar-LB"/>
        </w:rPr>
        <w:t>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67</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مؤسسة النشر الإسلامي</w:t>
      </w:r>
      <w:r w:rsidRPr="006571AC">
        <w:rPr>
          <w:rFonts w:ascii="Traditional Arabic" w:hAnsi="Traditional Arabic" w:cs="DanaFajr"/>
          <w:sz w:val="28"/>
          <w:szCs w:val="28"/>
          <w:rtl/>
          <w:lang w:bidi="ar-LB"/>
        </w:rPr>
        <w:t xml:space="preserve">، قم، </w:t>
      </w:r>
      <w:r w:rsidRPr="006571AC">
        <w:rPr>
          <w:rFonts w:ascii="Traditional Arabic" w:hAnsi="Traditional Arabic" w:cs="DanaFajr" w:hint="cs"/>
          <w:sz w:val="28"/>
          <w:szCs w:val="28"/>
          <w:rtl/>
          <w:lang w:bidi="ar-LB"/>
        </w:rPr>
        <w:t>ط3</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1417</w:t>
      </w:r>
      <w:r w:rsidRPr="006571AC">
        <w:rPr>
          <w:rFonts w:ascii="Traditional Arabic" w:hAnsi="Traditional Arabic" w:cs="DanaFajr" w:hint="cs"/>
          <w:sz w:val="28"/>
          <w:szCs w:val="28"/>
          <w:rtl/>
          <w:lang w:bidi="ar-LB"/>
        </w:rPr>
        <w:t>هـ</w:t>
      </w:r>
      <w:r w:rsidRPr="006571AC">
        <w:rPr>
          <w:rFonts w:ascii="Traditional Arabic" w:hAnsi="Traditional Arabic" w:cs="DanaFajr"/>
          <w:sz w:val="28"/>
          <w:szCs w:val="28"/>
          <w:rtl/>
          <w:lang w:bidi="ar-LB"/>
        </w:rPr>
        <w:t xml:space="preserve">. </w:t>
      </w:r>
    </w:p>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وليس عدول الشهيد الصدر عن التسمية مجرّدَ بحث</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لفظي، بل لأن الأصالة التي ذكرها الشهيد الصدر لا يُقت</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 فيها على الأوضاع اللغوية، بل تشمل الظهورات السياقية التركيبية غير الوضعية أيضا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انظر: محمود الهاشمي، بحوث في علم الأصول </w:t>
      </w:r>
      <w:r w:rsidRPr="006571AC">
        <w:rPr>
          <w:rFonts w:ascii="Arabic Typesetting" w:hAnsi="Arabic Typesetting" w:cs="DanaFajr" w:hint="cs"/>
          <w:sz w:val="28"/>
          <w:szCs w:val="28"/>
          <w:rtl/>
          <w:lang w:bidi="ar-LB"/>
        </w:rPr>
        <w:t>4</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293</w:t>
      </w:r>
      <w:r w:rsidRPr="006571AC">
        <w:rPr>
          <w:rFonts w:ascii="Traditional Arabic" w:hAnsi="Traditional Arabic" w:cs="DanaFajr"/>
          <w:sz w:val="28"/>
          <w:szCs w:val="28"/>
          <w:rtl/>
          <w:lang w:bidi="ar-LB"/>
        </w:rPr>
        <w:t xml:space="preserve">. </w:t>
      </w:r>
    </w:p>
  </w:endnote>
  <w:endnote w:id="547">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محمد باقر الصدر، </w:t>
      </w:r>
      <w:r w:rsidRPr="006571AC">
        <w:rPr>
          <w:rFonts w:ascii="Traditional Arabic" w:hAnsi="Traditional Arabic" w:cs="DanaFajr" w:hint="cs"/>
          <w:sz w:val="28"/>
          <w:szCs w:val="28"/>
          <w:rtl/>
          <w:lang w:bidi="ar-LB"/>
        </w:rPr>
        <w:t>أهل البيت</w:t>
      </w:r>
      <w:r w:rsidRPr="006571AC">
        <w:rPr>
          <w:rFonts w:ascii="Mosawi" w:hAnsi="Mosawi" w:cs="Mosawi"/>
          <w:rtl/>
        </w:rPr>
        <w:t>^</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تنو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ع أدوار ووحدة هدف: </w:t>
      </w:r>
      <w:r w:rsidRPr="006571AC">
        <w:rPr>
          <w:rFonts w:ascii="Arabic Typesetting" w:hAnsi="Arabic Typesetting" w:cs="DanaFajr" w:hint="cs"/>
          <w:sz w:val="28"/>
          <w:szCs w:val="28"/>
          <w:rtl/>
          <w:lang w:bidi="ar-LB"/>
        </w:rPr>
        <w:t>143</w:t>
      </w:r>
      <w:r w:rsidRPr="006571AC">
        <w:rPr>
          <w:rFonts w:ascii="Traditional Arabic" w:hAnsi="Traditional Arabic" w:cs="DanaFajr"/>
          <w:sz w:val="28"/>
          <w:szCs w:val="28"/>
          <w:rtl/>
          <w:lang w:bidi="ar-LB"/>
        </w:rPr>
        <w:t xml:space="preserve">، دار التعارف للمطبوعات، بيروت، </w:t>
      </w:r>
      <w:r w:rsidRPr="006571AC">
        <w:rPr>
          <w:rFonts w:ascii="Arabic Typesetting" w:hAnsi="Arabic Typesetting" w:cs="DanaFajr" w:hint="cs"/>
          <w:sz w:val="28"/>
          <w:szCs w:val="28"/>
          <w:rtl/>
          <w:lang w:bidi="ar-LB"/>
        </w:rPr>
        <w:t>1426</w:t>
      </w:r>
      <w:r w:rsidRPr="006571AC">
        <w:rPr>
          <w:rFonts w:ascii="Traditional Arabic" w:hAnsi="Traditional Arabic" w:cs="DanaFajr"/>
          <w:sz w:val="28"/>
          <w:szCs w:val="28"/>
          <w:rtl/>
          <w:lang w:bidi="ar-LB"/>
        </w:rPr>
        <w:t xml:space="preserve">هـ. </w:t>
      </w:r>
    </w:p>
  </w:endnote>
  <w:endnote w:id="548">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والمراد من هذا الد</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وْر المشترك عند الأئم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ة</w:t>
      </w:r>
      <w:r w:rsidRPr="006571AC">
        <w:rPr>
          <w:rFonts w:ascii="Mosawi" w:hAnsi="Mosawi" w:cs="Mosawi"/>
          <w:rtl/>
        </w:rPr>
        <w:t>^</w:t>
      </w:r>
      <w:r w:rsidRPr="006571AC">
        <w:rPr>
          <w:rFonts w:ascii="Traditional Arabic" w:hAnsi="Traditional Arabic" w:cs="DanaFajr"/>
          <w:sz w:val="28"/>
          <w:szCs w:val="28"/>
          <w:rtl/>
        </w:rPr>
        <w:t xml:space="preserve"> هو الموقف العام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الذي وقفوه في خضمّ الأحداث والمشاكل التي اكتنف</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الرسالة بعد انحراف التجربة وإقصائهم عن مناصبهم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انظر: </w:t>
      </w:r>
      <w:r w:rsidRPr="006571AC">
        <w:rPr>
          <w:rFonts w:ascii="Traditional Arabic" w:hAnsi="Traditional Arabic" w:cs="DanaFajr"/>
          <w:sz w:val="28"/>
          <w:szCs w:val="28"/>
          <w:rtl/>
          <w:lang w:bidi="ar-LB"/>
        </w:rPr>
        <w:t xml:space="preserve">محمد باقر الصدر، </w:t>
      </w:r>
      <w:r w:rsidRPr="006571AC">
        <w:rPr>
          <w:rFonts w:ascii="Traditional Arabic" w:hAnsi="Traditional Arabic" w:cs="DanaFajr" w:hint="cs"/>
          <w:sz w:val="28"/>
          <w:szCs w:val="28"/>
          <w:rtl/>
          <w:lang w:bidi="ar-LB"/>
        </w:rPr>
        <w:t>أهل البيت</w:t>
      </w:r>
      <w:r w:rsidRPr="006571AC">
        <w:rPr>
          <w:rFonts w:ascii="Mosawi" w:hAnsi="Mosawi" w:cs="Mosawi"/>
          <w:rtl/>
        </w:rPr>
        <w:t>^</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تنو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ع أدوار ووحدة هدف</w:t>
      </w:r>
      <w:r w:rsidRPr="006571AC">
        <w:rPr>
          <w:rFonts w:ascii="Traditional Arabic" w:hAnsi="Traditional Arabic" w:cs="DanaFajr"/>
          <w:sz w:val="28"/>
          <w:szCs w:val="28"/>
          <w:rtl/>
        </w:rPr>
        <w:t xml:space="preserve">: </w:t>
      </w:r>
      <w:r w:rsidRPr="006571AC">
        <w:rPr>
          <w:rFonts w:ascii="Arabic Typesetting" w:hAnsi="Arabic Typesetting" w:cs="DanaFajr" w:hint="cs"/>
          <w:sz w:val="28"/>
          <w:szCs w:val="28"/>
          <w:rtl/>
          <w:lang w:bidi="ar-LB"/>
        </w:rPr>
        <w:t>143</w:t>
      </w:r>
      <w:r w:rsidRPr="006571AC">
        <w:rPr>
          <w:rFonts w:ascii="Traditional Arabic" w:hAnsi="Traditional Arabic" w:cs="DanaFajr"/>
          <w:sz w:val="28"/>
          <w:szCs w:val="28"/>
          <w:rtl/>
        </w:rPr>
        <w:t xml:space="preserve">. </w:t>
      </w:r>
    </w:p>
  </w:endnote>
  <w:endnote w:id="549">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w:t>
      </w:r>
      <w:r w:rsidRPr="006571AC">
        <w:rPr>
          <w:rFonts w:ascii="Traditional Arabic" w:hAnsi="Traditional Arabic" w:cs="DanaFajr"/>
          <w:sz w:val="28"/>
          <w:szCs w:val="28"/>
          <w:rtl/>
          <w:lang w:bidi="ar-LB"/>
        </w:rPr>
        <w:t xml:space="preserve">. </w:t>
      </w:r>
    </w:p>
  </w:endnote>
  <w:endnote w:id="550">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لملاحظة المثال على هذه الفكرة انظر: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142</w:t>
      </w:r>
      <w:r w:rsidRPr="006571AC">
        <w:rPr>
          <w:rFonts w:ascii="Traditional Arabic" w:hAnsi="Traditional Arabic" w:cs="DanaFajr"/>
          <w:sz w:val="28"/>
          <w:szCs w:val="28"/>
          <w:rtl/>
          <w:lang w:bidi="ar-LB"/>
        </w:rPr>
        <w:t xml:space="preserve">. </w:t>
      </w:r>
    </w:p>
  </w:endnote>
  <w:endnote w:id="551">
    <w:p w:rsidR="00DB2356" w:rsidRPr="006571AC" w:rsidRDefault="00DB2356" w:rsidP="00844ADE">
      <w:pPr>
        <w:pStyle w:val="aa"/>
        <w:spacing w:line="315" w:lineRule="exact"/>
        <w:ind w:firstLine="0"/>
        <w:rPr>
          <w:rFonts w:ascii="Traditional Arabic" w:hAnsi="Traditional Arabic" w:cs="DanaFajr"/>
          <w:sz w:val="28"/>
          <w:szCs w:val="28"/>
          <w:rtl/>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وهذا النوع من القبليات هي الأمور التي لا يتوق</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ف عليها فهم معاني الألفاظ</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ولا فهم المراد الأصلي للمؤل</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ف، لكنها تساعد على استخراج معان</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جديدة وعميقة من النص</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فمن هذا القبيل مثلا</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الأسئلة الجديدة التي يعرضها المفس</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ر على النص</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فيستفيد في أخذ الجواب منه، من دون الاعتماد على الأحكام الم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سبَقة. وبالتالي يمكن أن نسأل عن علاقة المسائل القرآنية بالتعد</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دية والليبرالية والاشتراكية و...، ونسعى للحصول على الأجوبة المناسبة اعتمادا</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على أسلوب تفسير</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ممنهج. (انظر: </w:t>
      </w:r>
      <w:r w:rsidRPr="006571AC">
        <w:rPr>
          <w:rFonts w:ascii="Traditional Arabic" w:hAnsi="Traditional Arabic" w:cs="DanaFajr"/>
          <w:sz w:val="28"/>
          <w:szCs w:val="28"/>
          <w:rtl/>
          <w:lang w:bidi="ar-LB"/>
        </w:rPr>
        <w:t xml:space="preserve">مجتبى مصباح </w:t>
      </w:r>
      <w:r w:rsidRPr="006571AC">
        <w:rPr>
          <w:rFonts w:ascii="Traditional Arabic" w:hAnsi="Traditional Arabic" w:cs="DanaFajr" w:hint="cs"/>
          <w:sz w:val="28"/>
          <w:szCs w:val="28"/>
          <w:rtl/>
          <w:lang w:bidi="ar-LB"/>
        </w:rPr>
        <w:t>و</w:t>
      </w:r>
      <w:r w:rsidRPr="006571AC">
        <w:rPr>
          <w:rFonts w:ascii="Traditional Arabic" w:hAnsi="Traditional Arabic" w:cs="DanaFajr"/>
          <w:sz w:val="28"/>
          <w:szCs w:val="28"/>
          <w:rtl/>
          <w:lang w:bidi="ar-LB"/>
        </w:rPr>
        <w:t>عبد الله محمدي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معرفت شناس</w:t>
      </w:r>
      <w:r w:rsidRPr="006571AC">
        <w:rPr>
          <w:rFonts w:ascii="Traditional Arabic" w:hAnsi="Traditional Arabic" w:cs="DanaFajr" w:hint="cs"/>
          <w:sz w:val="28"/>
          <w:szCs w:val="28"/>
          <w:rtl/>
          <w:lang w:bidi="ar-LB"/>
        </w:rPr>
        <w:t>ي</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الدرس التاسع</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مؤسس</w:t>
      </w:r>
      <w:r w:rsidRPr="006571AC">
        <w:rPr>
          <w:rFonts w:ascii="Traditional Arabic" w:hAnsi="Traditional Arabic" w:cs="DanaFajr" w:hint="cs"/>
          <w:sz w:val="28"/>
          <w:szCs w:val="28"/>
          <w:rtl/>
          <w:lang w:bidi="ar-LB"/>
        </w:rPr>
        <w:t>ة</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الإمام الخميني للتعليم والبحوث،</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1397</w:t>
      </w:r>
      <w:r w:rsidRPr="006571AC">
        <w:rPr>
          <w:rFonts w:ascii="Traditional Arabic" w:hAnsi="Traditional Arabic" w:cs="DanaFajr"/>
          <w:sz w:val="28"/>
          <w:szCs w:val="28"/>
          <w:rtl/>
          <w:lang w:bidi="ar-LB"/>
        </w:rPr>
        <w:t>هـ.ش</w:t>
      </w:r>
      <w:r w:rsidRPr="006571AC">
        <w:rPr>
          <w:rFonts w:ascii="Traditional Arabic" w:hAnsi="Traditional Arabic" w:cs="DanaFajr"/>
          <w:sz w:val="28"/>
          <w:szCs w:val="28"/>
          <w:rtl/>
        </w:rPr>
        <w:t xml:space="preserve">. </w:t>
      </w:r>
    </w:p>
  </w:endnote>
  <w:endnote w:id="552">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327</w:t>
      </w:r>
      <w:r w:rsidRPr="006571AC">
        <w:rPr>
          <w:rFonts w:ascii="Traditional Arabic" w:hAnsi="Traditional Arabic" w:cs="DanaFajr"/>
          <w:sz w:val="28"/>
          <w:szCs w:val="28"/>
          <w:rtl/>
          <w:lang w:bidi="ar-LB"/>
        </w:rPr>
        <w:t xml:space="preserve">. </w:t>
      </w:r>
    </w:p>
  </w:endnote>
  <w:endnote w:id="553">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311</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312</w:t>
      </w:r>
      <w:r w:rsidRPr="006571AC">
        <w:rPr>
          <w:rFonts w:ascii="Traditional Arabic" w:hAnsi="Traditional Arabic" w:cs="DanaFajr"/>
          <w:sz w:val="28"/>
          <w:szCs w:val="28"/>
          <w:rtl/>
          <w:lang w:bidi="ar-LB"/>
        </w:rPr>
        <w:t xml:space="preserve">. </w:t>
      </w:r>
    </w:p>
  </w:endnote>
  <w:endnote w:id="554">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328</w:t>
      </w:r>
      <w:r w:rsidRPr="006571AC">
        <w:rPr>
          <w:rFonts w:ascii="Traditional Arabic" w:hAnsi="Traditional Arabic" w:cs="DanaFajr"/>
          <w:sz w:val="28"/>
          <w:szCs w:val="28"/>
          <w:rtl/>
          <w:lang w:bidi="ar-LB"/>
        </w:rPr>
        <w:t xml:space="preserve">. </w:t>
      </w:r>
    </w:p>
  </w:endnote>
  <w:endnote w:id="555">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229</w:t>
      </w:r>
      <w:r w:rsidRPr="006571AC">
        <w:rPr>
          <w:rFonts w:ascii="Traditional Arabic" w:hAnsi="Traditional Arabic" w:cs="DanaFajr"/>
          <w:sz w:val="28"/>
          <w:szCs w:val="28"/>
          <w:rtl/>
          <w:lang w:bidi="ar-LB"/>
        </w:rPr>
        <w:t xml:space="preserve">. </w:t>
      </w:r>
    </w:p>
  </w:endnote>
  <w:endnote w:id="556">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وللاطلاع على بعض الأمثلة على أهمية معرفة أسباب صدور 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230</w:t>
      </w:r>
      <w:r w:rsidRPr="006571AC">
        <w:rPr>
          <w:rFonts w:ascii="Traditional Arabic" w:hAnsi="Traditional Arabic" w:cs="DanaFajr" w:hint="cs"/>
          <w:sz w:val="28"/>
          <w:szCs w:val="28"/>
          <w:rtl/>
          <w:lang w:bidi="ar-LB"/>
        </w:rPr>
        <w:t>.</w:t>
      </w:r>
    </w:p>
  </w:endnote>
  <w:endnote w:id="557">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232</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233</w:t>
      </w:r>
      <w:r w:rsidRPr="006571AC">
        <w:rPr>
          <w:rFonts w:ascii="Traditional Arabic" w:hAnsi="Traditional Arabic" w:cs="DanaFajr"/>
          <w:sz w:val="28"/>
          <w:szCs w:val="28"/>
          <w:rtl/>
          <w:lang w:bidi="ar-LB"/>
        </w:rPr>
        <w:t>. وتجدر الإشارة إلى أن السيد الشهيد لم يذكره كو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ه</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ود</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ف</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ع</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بل ذكره ضمن فقرة</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واحدة منسجمة، لكن</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رأ</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نا من الأنسب ببحثنا أن نبيّ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نه على هذه الصورة. </w:t>
      </w:r>
    </w:p>
  </w:endnote>
  <w:endnote w:id="558">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328</w:t>
      </w:r>
      <w:r w:rsidRPr="006571AC">
        <w:rPr>
          <w:rFonts w:ascii="Traditional Arabic" w:hAnsi="Traditional Arabic" w:cs="DanaFajr"/>
          <w:sz w:val="28"/>
          <w:szCs w:val="28"/>
          <w:rtl/>
          <w:lang w:bidi="ar-LB"/>
        </w:rPr>
        <w:t xml:space="preserve">. </w:t>
      </w:r>
    </w:p>
  </w:endnote>
  <w:endnote w:id="559">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محمود الهاشمي، </w:t>
      </w:r>
      <w:r w:rsidRPr="006571AC">
        <w:rPr>
          <w:rFonts w:ascii="Traditional Arabic" w:hAnsi="Traditional Arabic" w:cs="DanaFajr"/>
          <w:sz w:val="28"/>
          <w:szCs w:val="28"/>
          <w:rtl/>
          <w:lang w:bidi="ar-LB"/>
        </w:rPr>
        <w:t xml:space="preserve">بحوث في علم الأصول </w:t>
      </w:r>
      <w:r w:rsidRPr="006571AC">
        <w:rPr>
          <w:rFonts w:ascii="Arabic Typesetting" w:hAnsi="Arabic Typesetting" w:cs="DanaFajr" w:hint="cs"/>
          <w:sz w:val="28"/>
          <w:szCs w:val="28"/>
          <w:rtl/>
          <w:lang w:bidi="ar-LB"/>
        </w:rPr>
        <w:t>4</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287</w:t>
      </w:r>
      <w:r w:rsidRPr="006571AC">
        <w:rPr>
          <w:rFonts w:ascii="Traditional Arabic" w:hAnsi="Traditional Arabic" w:cs="DanaFajr"/>
          <w:sz w:val="28"/>
          <w:szCs w:val="28"/>
          <w:rtl/>
          <w:lang w:bidi="ar-LB"/>
        </w:rPr>
        <w:t xml:space="preserve">. </w:t>
      </w:r>
    </w:p>
  </w:endnote>
  <w:endnote w:id="560">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انظر: </w:t>
      </w:r>
      <w:r w:rsidRPr="006571AC">
        <w:rPr>
          <w:rFonts w:ascii="Traditional Arabic" w:hAnsi="Traditional Arabic" w:cs="DanaFajr" w:hint="cs"/>
          <w:sz w:val="28"/>
          <w:szCs w:val="28"/>
          <w:rtl/>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317</w:t>
      </w:r>
      <w:r w:rsidRPr="006571AC">
        <w:rPr>
          <w:rFonts w:ascii="Traditional Arabic" w:hAnsi="Traditional Arabic" w:cs="DanaFajr"/>
          <w:sz w:val="28"/>
          <w:szCs w:val="28"/>
          <w:rtl/>
          <w:lang w:bidi="ar-LB"/>
        </w:rPr>
        <w:t>. وقد ذكر مثالا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تاريخيا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على هذا المسألة في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319</w:t>
      </w:r>
      <w:r w:rsidRPr="006571AC">
        <w:rPr>
          <w:rFonts w:ascii="Traditional Arabic" w:hAnsi="Traditional Arabic" w:cs="DanaFajr"/>
          <w:sz w:val="28"/>
          <w:szCs w:val="28"/>
          <w:rtl/>
          <w:lang w:bidi="ar-LB"/>
        </w:rPr>
        <w:t xml:space="preserve">. </w:t>
      </w:r>
    </w:p>
  </w:endnote>
  <w:endnote w:id="561">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lang w:bidi="ar-LB"/>
        </w:rPr>
        <w:t xml:space="preserve">محمد باقر الصدر، اقتصادنا: </w:t>
      </w:r>
      <w:r w:rsidRPr="006571AC">
        <w:rPr>
          <w:rFonts w:ascii="Arabic Typesetting" w:hAnsi="Arabic Typesetting" w:cs="DanaFajr" w:hint="cs"/>
          <w:sz w:val="28"/>
          <w:szCs w:val="28"/>
          <w:rtl/>
          <w:lang w:bidi="ar-LB"/>
        </w:rPr>
        <w:t>385</w:t>
      </w:r>
      <w:r w:rsidRPr="006571AC">
        <w:rPr>
          <w:rFonts w:ascii="Traditional Arabic" w:hAnsi="Traditional Arabic" w:cs="DanaFajr"/>
          <w:sz w:val="28"/>
          <w:szCs w:val="28"/>
          <w:rtl/>
          <w:lang w:bidi="ar-LB"/>
        </w:rPr>
        <w:t xml:space="preserve">، تحقيق: مكتب الإعلام الإسلامي فرع خراسان (لجنة الاقتصاد)، مكتب الإعلام الإسلامي،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1417</w:t>
      </w:r>
      <w:r w:rsidRPr="006571AC">
        <w:rPr>
          <w:rFonts w:ascii="Traditional Arabic" w:hAnsi="Traditional Arabic" w:cs="DanaFajr"/>
          <w:sz w:val="28"/>
          <w:szCs w:val="28"/>
          <w:rtl/>
          <w:lang w:bidi="ar-LB"/>
        </w:rPr>
        <w:t xml:space="preserve">هـ. </w:t>
      </w:r>
    </w:p>
  </w:endnote>
  <w:endnote w:id="562">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309</w:t>
      </w:r>
      <w:r w:rsidRPr="006571AC">
        <w:rPr>
          <w:rFonts w:ascii="Traditional Arabic" w:hAnsi="Traditional Arabic" w:cs="DanaFajr"/>
          <w:sz w:val="28"/>
          <w:szCs w:val="28"/>
          <w:rtl/>
          <w:lang w:bidi="ar-LB"/>
        </w:rPr>
        <w:t xml:space="preserve">. </w:t>
      </w:r>
    </w:p>
  </w:endnote>
  <w:endnote w:id="563">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310</w:t>
      </w:r>
      <w:r w:rsidRPr="006571AC">
        <w:rPr>
          <w:rFonts w:ascii="Traditional Arabic" w:hAnsi="Traditional Arabic" w:cs="DanaFajr"/>
          <w:sz w:val="28"/>
          <w:szCs w:val="28"/>
          <w:rtl/>
          <w:lang w:bidi="ar-LB"/>
        </w:rPr>
        <w:t xml:space="preserve">. </w:t>
      </w:r>
    </w:p>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وقد ذكر الشهيد الصدر بعض التطبيقات التي يت</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ضح فيها الف</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ق بين فهم الآية على ضوء الإطار الفكري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للقرآن </w:t>
      </w:r>
      <w:r w:rsidRPr="006571AC">
        <w:rPr>
          <w:rFonts w:ascii="Traditional Arabic" w:hAnsi="Traditional Arabic" w:cs="DanaFajr" w:hint="cs"/>
          <w:sz w:val="28"/>
          <w:szCs w:val="28"/>
          <w:rtl/>
          <w:lang w:bidi="ar-LB"/>
        </w:rPr>
        <w:t>و</w:t>
      </w:r>
      <w:r w:rsidRPr="006571AC">
        <w:rPr>
          <w:rFonts w:ascii="Traditional Arabic" w:hAnsi="Traditional Arabic" w:cs="DanaFajr"/>
          <w:sz w:val="28"/>
          <w:szCs w:val="28"/>
          <w:rtl/>
          <w:lang w:bidi="ar-LB"/>
        </w:rPr>
        <w:t>فهمها على ضوء إطار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فكري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آخر.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310</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311</w:t>
      </w:r>
      <w:r w:rsidRPr="006571AC">
        <w:rPr>
          <w:rFonts w:ascii="Traditional Arabic" w:hAnsi="Traditional Arabic" w:cs="DanaFajr"/>
          <w:sz w:val="28"/>
          <w:szCs w:val="28"/>
          <w:rtl/>
          <w:lang w:bidi="ar-LB"/>
        </w:rPr>
        <w:t>.</w:t>
      </w:r>
    </w:p>
  </w:endnote>
  <w:endnote w:id="564">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312</w:t>
      </w:r>
      <w:r w:rsidRPr="006571AC">
        <w:rPr>
          <w:rFonts w:ascii="Traditional Arabic" w:hAnsi="Traditional Arabic" w:cs="DanaFajr"/>
          <w:sz w:val="28"/>
          <w:szCs w:val="28"/>
          <w:rtl/>
          <w:lang w:bidi="ar-LB"/>
        </w:rPr>
        <w:t xml:space="preserve">. </w:t>
      </w:r>
    </w:p>
  </w:endnote>
  <w:endnote w:id="565">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محمد باقر الصدر، ومضات: </w:t>
      </w:r>
      <w:r w:rsidRPr="006571AC">
        <w:rPr>
          <w:rFonts w:ascii="Arabic Typesetting" w:hAnsi="Arabic Typesetting" w:cs="DanaFajr" w:hint="cs"/>
          <w:sz w:val="28"/>
          <w:szCs w:val="28"/>
          <w:rtl/>
          <w:lang w:bidi="ar-LB"/>
        </w:rPr>
        <w:t>185</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إعداد وتحقيق: لجنة التحقيق التابعة للمؤتمر العالمي للإمام الشهيد الصدر، مركز الأبحاث والدراسات التخص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صية للشهيد الصدر،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1428</w:t>
      </w:r>
      <w:r w:rsidRPr="006571AC">
        <w:rPr>
          <w:rFonts w:ascii="Traditional Arabic" w:hAnsi="Traditional Arabic" w:cs="DanaFajr"/>
          <w:sz w:val="28"/>
          <w:szCs w:val="28"/>
          <w:rtl/>
          <w:lang w:bidi="ar-LB"/>
        </w:rPr>
        <w:t xml:space="preserve">هـ. </w:t>
      </w:r>
    </w:p>
  </w:endnote>
  <w:endnote w:id="566">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المصدر </w:t>
      </w:r>
      <w:r w:rsidRPr="006571AC">
        <w:rPr>
          <w:rFonts w:ascii="Traditional Arabic" w:hAnsi="Traditional Arabic" w:cs="DanaFajr" w:hint="cs"/>
          <w:sz w:val="28"/>
          <w:szCs w:val="28"/>
          <w:rtl/>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189</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190</w:t>
      </w:r>
      <w:r w:rsidRPr="006571AC">
        <w:rPr>
          <w:rFonts w:ascii="Traditional Arabic" w:hAnsi="Traditional Arabic" w:cs="DanaFajr"/>
          <w:sz w:val="28"/>
          <w:szCs w:val="28"/>
          <w:rtl/>
          <w:lang w:bidi="ar-LB"/>
        </w:rPr>
        <w:t xml:space="preserve">. </w:t>
      </w:r>
    </w:p>
  </w:endnote>
  <w:endnote w:id="567">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191</w:t>
      </w:r>
      <w:r w:rsidRPr="006571AC">
        <w:rPr>
          <w:rFonts w:ascii="Traditional Arabic" w:hAnsi="Traditional Arabic" w:cs="DanaFajr"/>
          <w:sz w:val="28"/>
          <w:szCs w:val="28"/>
          <w:rtl/>
          <w:lang w:bidi="ar-LB"/>
        </w:rPr>
        <w:t xml:space="preserve">. </w:t>
      </w:r>
    </w:p>
  </w:endnote>
  <w:endnote w:id="568">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نفسه. </w:t>
      </w:r>
    </w:p>
  </w:endnote>
  <w:endnote w:id="569">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نفسه. </w:t>
      </w:r>
    </w:p>
  </w:endnote>
  <w:endnote w:id="570">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192</w:t>
      </w:r>
      <w:r w:rsidRPr="006571AC">
        <w:rPr>
          <w:rFonts w:ascii="Traditional Arabic" w:hAnsi="Traditional Arabic" w:cs="DanaFajr"/>
          <w:sz w:val="28"/>
          <w:szCs w:val="28"/>
          <w:rtl/>
          <w:lang w:bidi="ar-LB"/>
        </w:rPr>
        <w:t xml:space="preserve">. </w:t>
      </w:r>
    </w:p>
  </w:endnote>
  <w:endnote w:id="571">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الهرمنيوطيقا الكلاسيكية. </w:t>
      </w:r>
    </w:p>
  </w:endnote>
  <w:endnote w:id="572">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316</w:t>
      </w:r>
      <w:r w:rsidRPr="006571AC">
        <w:rPr>
          <w:rFonts w:ascii="Traditional Arabic" w:hAnsi="Traditional Arabic" w:cs="DanaFajr"/>
          <w:sz w:val="28"/>
          <w:szCs w:val="28"/>
          <w:rtl/>
          <w:lang w:bidi="ar-LB"/>
        </w:rPr>
        <w:t xml:space="preserve">. </w:t>
      </w:r>
    </w:p>
  </w:endnote>
  <w:endnote w:id="573">
    <w:p w:rsidR="00DB2356" w:rsidRPr="006571AC" w:rsidRDefault="00DB2356" w:rsidP="00B17D53">
      <w:pPr>
        <w:spacing w:line="315" w:lineRule="exact"/>
        <w:ind w:firstLine="0"/>
        <w:rPr>
          <w:rFonts w:ascii="Traditional Arabic" w:hAnsi="Traditional Arabic" w:cs="DanaFajr"/>
          <w:szCs w:val="28"/>
          <w:rtl/>
        </w:rPr>
      </w:pPr>
      <w:r w:rsidRPr="006571AC">
        <w:rPr>
          <w:rFonts w:ascii="Traditional Arabic" w:hAnsi="Traditional Arabic" w:cs="DanaFajr"/>
          <w:szCs w:val="28"/>
          <w:rtl/>
        </w:rPr>
        <w:t>(</w:t>
      </w:r>
      <w:r w:rsidRPr="006571AC">
        <w:rPr>
          <w:rStyle w:val="ac"/>
          <w:rFonts w:ascii="Traditional Arabic" w:hAnsi="Traditional Arabic" w:cs="DanaFajr"/>
          <w:szCs w:val="28"/>
          <w:vertAlign w:val="baseline"/>
        </w:rPr>
        <w:endnoteRef/>
      </w:r>
      <w:r w:rsidRPr="006571AC">
        <w:rPr>
          <w:rFonts w:ascii="Traditional Arabic" w:hAnsi="Traditional Arabic" w:cs="DanaFajr"/>
          <w:szCs w:val="28"/>
          <w:rtl/>
        </w:rPr>
        <w:t>) ولكي تت</w:t>
      </w:r>
      <w:r w:rsidRPr="006571AC">
        <w:rPr>
          <w:rFonts w:ascii="Traditional Arabic" w:hAnsi="Traditional Arabic" w:cs="DanaFajr" w:hint="cs"/>
          <w:szCs w:val="28"/>
          <w:rtl/>
        </w:rPr>
        <w:t>َّ</w:t>
      </w:r>
      <w:r w:rsidRPr="006571AC">
        <w:rPr>
          <w:rFonts w:ascii="Traditional Arabic" w:hAnsi="Traditional Arabic" w:cs="DanaFajr"/>
          <w:szCs w:val="28"/>
          <w:rtl/>
        </w:rPr>
        <w:t>ضح هذه المسألة أكثر، ونظرا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لأهم</w:t>
      </w:r>
      <w:r w:rsidRPr="006571AC">
        <w:rPr>
          <w:rFonts w:ascii="Traditional Arabic" w:hAnsi="Traditional Arabic" w:cs="DanaFajr" w:hint="cs"/>
          <w:szCs w:val="28"/>
          <w:rtl/>
        </w:rPr>
        <w:t>ِّ</w:t>
      </w:r>
      <w:r w:rsidRPr="006571AC">
        <w:rPr>
          <w:rFonts w:ascii="Traditional Arabic" w:hAnsi="Traditional Arabic" w:cs="DanaFajr"/>
          <w:szCs w:val="28"/>
          <w:rtl/>
        </w:rPr>
        <w:t>يتها، نزيدها بياناً، أقول: لدينا تراث</w:t>
      </w:r>
      <w:r w:rsidRPr="006571AC">
        <w:rPr>
          <w:rFonts w:ascii="Traditional Arabic" w:hAnsi="Traditional Arabic" w:cs="DanaFajr" w:hint="cs"/>
          <w:szCs w:val="28"/>
          <w:rtl/>
        </w:rPr>
        <w:t>ٌ</w:t>
      </w:r>
      <w:r w:rsidRPr="006571AC">
        <w:rPr>
          <w:rFonts w:ascii="Traditional Arabic" w:hAnsi="Traditional Arabic" w:cs="DanaFajr"/>
          <w:szCs w:val="28"/>
          <w:rtl/>
        </w:rPr>
        <w:t xml:space="preserve"> قرآني وروائي ضخم وغني</w:t>
      </w:r>
      <w:r w:rsidRPr="006571AC">
        <w:rPr>
          <w:rFonts w:ascii="Traditional Arabic" w:hAnsi="Traditional Arabic" w:cs="DanaFajr" w:hint="cs"/>
          <w:szCs w:val="28"/>
          <w:rtl/>
        </w:rPr>
        <w:t>ّ</w:t>
      </w:r>
      <w:r w:rsidRPr="006571AC">
        <w:rPr>
          <w:rFonts w:ascii="Traditional Arabic" w:hAnsi="Traditional Arabic" w:cs="DanaFajr"/>
          <w:szCs w:val="28"/>
          <w:rtl/>
        </w:rPr>
        <w:t xml:space="preserve"> جد</w:t>
      </w:r>
      <w:r w:rsidRPr="006571AC">
        <w:rPr>
          <w:rFonts w:ascii="Traditional Arabic" w:hAnsi="Traditional Arabic" w:cs="DanaFajr" w:hint="cs"/>
          <w:szCs w:val="28"/>
          <w:rtl/>
        </w:rPr>
        <w:t>ّ</w:t>
      </w:r>
      <w:r w:rsidRPr="006571AC">
        <w:rPr>
          <w:rFonts w:ascii="Traditional Arabic" w:hAnsi="Traditional Arabic" w:cs="DanaFajr"/>
          <w:szCs w:val="28"/>
          <w:rtl/>
        </w:rPr>
        <w:t>ا</w:t>
      </w:r>
      <w:r w:rsidRPr="006571AC">
        <w:rPr>
          <w:rFonts w:ascii="Traditional Arabic" w:hAnsi="Traditional Arabic" w:cs="DanaFajr" w:hint="cs"/>
          <w:szCs w:val="28"/>
          <w:rtl/>
        </w:rPr>
        <w:t>ً</w:t>
      </w:r>
      <w:r w:rsidRPr="006571AC">
        <w:rPr>
          <w:rFonts w:ascii="Traditional Arabic" w:hAnsi="Traditional Arabic" w:cs="DanaFajr"/>
          <w:szCs w:val="28"/>
          <w:rtl/>
        </w:rPr>
        <w:t>. ويمكن للفقيه أن يفهم هذا التراث بمستوى</w:t>
      </w:r>
      <w:r w:rsidRPr="006571AC">
        <w:rPr>
          <w:rFonts w:ascii="Traditional Arabic" w:hAnsi="Traditional Arabic" w:cs="DanaFajr" w:hint="cs"/>
          <w:szCs w:val="28"/>
          <w:rtl/>
        </w:rPr>
        <w:t>ً</w:t>
      </w:r>
      <w:r w:rsidRPr="006571AC">
        <w:rPr>
          <w:rFonts w:ascii="Traditional Arabic" w:hAnsi="Traditional Arabic" w:cs="DanaFajr"/>
          <w:szCs w:val="28"/>
          <w:rtl/>
        </w:rPr>
        <w:t xml:space="preserve"> معيّ</w:t>
      </w:r>
      <w:r w:rsidRPr="006571AC">
        <w:rPr>
          <w:rFonts w:ascii="Traditional Arabic" w:hAnsi="Traditional Arabic" w:cs="DanaFajr" w:hint="cs"/>
          <w:szCs w:val="28"/>
          <w:rtl/>
        </w:rPr>
        <w:t>َ</w:t>
      </w:r>
      <w:r w:rsidRPr="006571AC">
        <w:rPr>
          <w:rFonts w:ascii="Traditional Arabic" w:hAnsi="Traditional Arabic" w:cs="DanaFajr"/>
          <w:szCs w:val="28"/>
          <w:rtl/>
        </w:rPr>
        <w:t>ن. لكن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لو كان الفقيه متخص</w:t>
      </w:r>
      <w:r w:rsidRPr="006571AC">
        <w:rPr>
          <w:rFonts w:ascii="Traditional Arabic" w:hAnsi="Traditional Arabic" w:cs="DanaFajr" w:hint="cs"/>
          <w:szCs w:val="28"/>
          <w:rtl/>
        </w:rPr>
        <w:t>ِّ</w:t>
      </w:r>
      <w:r w:rsidRPr="006571AC">
        <w:rPr>
          <w:rFonts w:ascii="Traditional Arabic" w:hAnsi="Traditional Arabic" w:cs="DanaFajr"/>
          <w:szCs w:val="28"/>
          <w:rtl/>
        </w:rPr>
        <w:t>صا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في مسائل الحقوق</w:t>
      </w:r>
      <w:r w:rsidRPr="006571AC">
        <w:rPr>
          <w:rFonts w:ascii="Traditional Arabic" w:hAnsi="Traditional Arabic" w:cs="DanaFajr" w:hint="cs"/>
          <w:szCs w:val="28"/>
          <w:rtl/>
        </w:rPr>
        <w:t>،</w:t>
      </w:r>
      <w:r w:rsidRPr="006571AC">
        <w:rPr>
          <w:rFonts w:ascii="Traditional Arabic" w:hAnsi="Traditional Arabic" w:cs="DanaFajr"/>
          <w:szCs w:val="28"/>
          <w:rtl/>
        </w:rPr>
        <w:t xml:space="preserve"> ومطّلعا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على القوانين العالمية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ومتمكّ</w:t>
      </w:r>
      <w:r w:rsidRPr="006571AC">
        <w:rPr>
          <w:rFonts w:ascii="Traditional Arabic" w:hAnsi="Traditional Arabic" w:cs="DanaFajr" w:hint="cs"/>
          <w:szCs w:val="28"/>
          <w:rtl/>
        </w:rPr>
        <w:t>ِ</w:t>
      </w:r>
      <w:r w:rsidRPr="006571AC">
        <w:rPr>
          <w:rFonts w:ascii="Traditional Arabic" w:hAnsi="Traditional Arabic" w:cs="DanaFajr"/>
          <w:szCs w:val="28"/>
          <w:rtl/>
        </w:rPr>
        <w:t>نا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من مداخل هذا العلم ومخارجه، فعندما يواجه رواية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أو مجموعة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روايات</w:t>
      </w:r>
      <w:r w:rsidRPr="006571AC">
        <w:rPr>
          <w:rFonts w:ascii="Traditional Arabic" w:hAnsi="Traditional Arabic" w:cs="DanaFajr" w:hint="cs"/>
          <w:szCs w:val="28"/>
          <w:rtl/>
        </w:rPr>
        <w:t>ٍ</w:t>
      </w:r>
      <w:r w:rsidRPr="006571AC">
        <w:rPr>
          <w:rFonts w:ascii="Traditional Arabic" w:hAnsi="Traditional Arabic" w:cs="DanaFajr"/>
          <w:szCs w:val="28"/>
          <w:rtl/>
        </w:rPr>
        <w:t xml:space="preserve"> حقوقية قانونية فإن بإمكانه أن يفهمها أكثر من غيره من الفقهاء غير الواردين في هذا المجال، كما لديه قدرة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الالتفات إلى الكثير من الجوانب الخفي</w:t>
      </w:r>
      <w:r w:rsidRPr="006571AC">
        <w:rPr>
          <w:rFonts w:ascii="Traditional Arabic" w:hAnsi="Traditional Arabic" w:cs="DanaFajr" w:hint="cs"/>
          <w:szCs w:val="28"/>
          <w:rtl/>
        </w:rPr>
        <w:t>ّ</w:t>
      </w:r>
      <w:r w:rsidRPr="006571AC">
        <w:rPr>
          <w:rFonts w:ascii="Traditional Arabic" w:hAnsi="Traditional Arabic" w:cs="DanaFajr"/>
          <w:szCs w:val="28"/>
          <w:rtl/>
        </w:rPr>
        <w:t xml:space="preserve">ة في هذه الروايات، أو إلى بعض النقاط التي ترمي إليها. </w:t>
      </w:r>
    </w:p>
    <w:p w:rsidR="00DB2356" w:rsidRPr="006571AC" w:rsidRDefault="00DB2356" w:rsidP="00844ADE">
      <w:pPr>
        <w:spacing w:line="315" w:lineRule="exact"/>
        <w:ind w:firstLine="0"/>
        <w:rPr>
          <w:rFonts w:ascii="Traditional Arabic" w:hAnsi="Traditional Arabic" w:cs="DanaFajr"/>
          <w:szCs w:val="28"/>
          <w:rtl/>
        </w:rPr>
      </w:pPr>
      <w:r w:rsidRPr="006571AC">
        <w:rPr>
          <w:rFonts w:ascii="Traditional Arabic" w:hAnsi="Traditional Arabic" w:cs="DanaFajr"/>
          <w:szCs w:val="28"/>
          <w:rtl/>
        </w:rPr>
        <w:t>وهكذا لو كان الفقيه متخص</w:t>
      </w:r>
      <w:r w:rsidRPr="006571AC">
        <w:rPr>
          <w:rFonts w:ascii="Traditional Arabic" w:hAnsi="Traditional Arabic" w:cs="DanaFajr" w:hint="cs"/>
          <w:szCs w:val="28"/>
          <w:rtl/>
        </w:rPr>
        <w:t>ّ</w:t>
      </w:r>
      <w:r w:rsidRPr="006571AC">
        <w:rPr>
          <w:rFonts w:ascii="Traditional Arabic" w:hAnsi="Traditional Arabic" w:cs="DanaFajr"/>
          <w:szCs w:val="28"/>
          <w:rtl/>
        </w:rPr>
        <w:t>صا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في العلوم التربوية، فإنه سيلتفت إلى الكثير من الجوانب التربوية في الروايات أكثر من غيره من سائر الفقهاء. </w:t>
      </w:r>
    </w:p>
    <w:p w:rsidR="00DB2356" w:rsidRPr="006571AC" w:rsidRDefault="00DB2356" w:rsidP="00844ADE">
      <w:pPr>
        <w:spacing w:line="315" w:lineRule="exact"/>
        <w:ind w:firstLine="0"/>
        <w:rPr>
          <w:rFonts w:ascii="Traditional Arabic" w:hAnsi="Traditional Arabic" w:cs="DanaFajr"/>
          <w:szCs w:val="28"/>
          <w:rtl/>
        </w:rPr>
      </w:pPr>
      <w:r w:rsidRPr="006571AC">
        <w:rPr>
          <w:rFonts w:ascii="Traditional Arabic" w:hAnsi="Traditional Arabic" w:cs="DanaFajr"/>
          <w:szCs w:val="28"/>
          <w:rtl/>
        </w:rPr>
        <w:t>ويمكننا تأييد هذه الفكرة بما جرى بين نبي</w:t>
      </w:r>
      <w:r w:rsidRPr="006571AC">
        <w:rPr>
          <w:rFonts w:ascii="Traditional Arabic" w:hAnsi="Traditional Arabic" w:cs="DanaFajr" w:hint="cs"/>
          <w:szCs w:val="28"/>
          <w:rtl/>
        </w:rPr>
        <w:t>ّ</w:t>
      </w:r>
      <w:r w:rsidRPr="006571AC">
        <w:rPr>
          <w:rFonts w:ascii="Traditional Arabic" w:hAnsi="Traditional Arabic" w:cs="DanaFajr"/>
          <w:szCs w:val="28"/>
          <w:rtl/>
        </w:rPr>
        <w:t xml:space="preserve"> الله موسى</w:t>
      </w:r>
      <w:r w:rsidRPr="006571AC">
        <w:rPr>
          <w:rFonts w:ascii="Mosawi" w:hAnsi="Mosawi" w:cs="Mosawi"/>
          <w:sz w:val="20"/>
          <w:szCs w:val="20"/>
          <w:rtl/>
        </w:rPr>
        <w:t>×</w:t>
      </w:r>
      <w:r w:rsidRPr="006571AC">
        <w:rPr>
          <w:rFonts w:ascii="Traditional Arabic" w:hAnsi="Traditional Arabic" w:cs="DanaFajr"/>
          <w:szCs w:val="28"/>
          <w:rtl/>
        </w:rPr>
        <w:t xml:space="preserve"> والسحرة، حيث ظن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عام</w:t>
      </w:r>
      <w:r w:rsidRPr="006571AC">
        <w:rPr>
          <w:rFonts w:ascii="Traditional Arabic" w:hAnsi="Traditional Arabic" w:cs="DanaFajr" w:hint="cs"/>
          <w:szCs w:val="28"/>
          <w:rtl/>
        </w:rPr>
        <w:t>ّ</w:t>
      </w:r>
      <w:r w:rsidRPr="006571AC">
        <w:rPr>
          <w:rFonts w:ascii="Traditional Arabic" w:hAnsi="Traditional Arabic" w:cs="DanaFajr"/>
          <w:szCs w:val="28"/>
          <w:rtl/>
        </w:rPr>
        <w:t>ة الناس أن فعلَ موسى</w:t>
      </w:r>
      <w:r w:rsidRPr="006571AC">
        <w:rPr>
          <w:rFonts w:ascii="Mosawi" w:hAnsi="Mosawi" w:cs="Mosawi"/>
          <w:sz w:val="20"/>
          <w:szCs w:val="20"/>
          <w:rtl/>
        </w:rPr>
        <w:t>×</w:t>
      </w:r>
      <w:r w:rsidRPr="006571AC">
        <w:rPr>
          <w:rFonts w:ascii="Traditional Arabic" w:hAnsi="Traditional Arabic" w:cs="DanaFajr"/>
          <w:szCs w:val="28"/>
          <w:rtl/>
        </w:rPr>
        <w:t xml:space="preserve"> سحرٌ، بينما أيقن السحرة ـ وهم أهل الفنّ والاختصاص ـ أنه ليس بسحر</w:t>
      </w:r>
      <w:r w:rsidRPr="006571AC">
        <w:rPr>
          <w:rFonts w:ascii="Traditional Arabic" w:hAnsi="Traditional Arabic" w:cs="DanaFajr" w:hint="cs"/>
          <w:szCs w:val="28"/>
          <w:rtl/>
        </w:rPr>
        <w:t>ٍ</w:t>
      </w:r>
      <w:r w:rsidRPr="006571AC">
        <w:rPr>
          <w:rFonts w:ascii="Traditional Arabic" w:hAnsi="Traditional Arabic" w:cs="DanaFajr"/>
          <w:szCs w:val="28"/>
          <w:rtl/>
        </w:rPr>
        <w:t>، فهموا ذلك فهما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عميقا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فآمنوا. </w:t>
      </w:r>
    </w:p>
    <w:p w:rsidR="00DB2356" w:rsidRPr="006571AC" w:rsidRDefault="00DB2356" w:rsidP="00844ADE">
      <w:pPr>
        <w:spacing w:line="315" w:lineRule="exact"/>
        <w:ind w:firstLine="0"/>
        <w:rPr>
          <w:rFonts w:ascii="Traditional Arabic" w:hAnsi="Traditional Arabic" w:cs="DanaFajr"/>
          <w:szCs w:val="28"/>
          <w:rtl/>
          <w:lang w:bidi="ar-LB"/>
        </w:rPr>
      </w:pPr>
      <w:r w:rsidRPr="006571AC">
        <w:rPr>
          <w:rFonts w:ascii="Traditional Arabic" w:hAnsi="Traditional Arabic" w:cs="DanaFajr"/>
          <w:szCs w:val="28"/>
          <w:rtl/>
        </w:rPr>
        <w:t>وهذه مسألة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عقلائية، لا تشذ</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عنها الروايات الواردة في المجال العقلي والفلسفي أيضا</w:t>
      </w:r>
      <w:r w:rsidRPr="006571AC">
        <w:rPr>
          <w:rFonts w:ascii="Traditional Arabic" w:hAnsi="Traditional Arabic" w:cs="DanaFajr" w:hint="cs"/>
          <w:szCs w:val="28"/>
          <w:rtl/>
        </w:rPr>
        <w:t>ً</w:t>
      </w:r>
      <w:r w:rsidRPr="006571AC">
        <w:rPr>
          <w:rFonts w:ascii="Traditional Arabic" w:hAnsi="Traditional Arabic" w:cs="DanaFajr"/>
          <w:szCs w:val="28"/>
          <w:rtl/>
        </w:rPr>
        <w:t>. وبالتالي م</w:t>
      </w:r>
      <w:r w:rsidRPr="006571AC">
        <w:rPr>
          <w:rFonts w:ascii="Traditional Arabic" w:hAnsi="Traditional Arabic" w:cs="DanaFajr" w:hint="cs"/>
          <w:szCs w:val="28"/>
          <w:rtl/>
        </w:rPr>
        <w:t>َ</w:t>
      </w:r>
      <w:r w:rsidRPr="006571AC">
        <w:rPr>
          <w:rFonts w:ascii="Traditional Arabic" w:hAnsi="Traditional Arabic" w:cs="DanaFajr"/>
          <w:szCs w:val="28"/>
          <w:rtl/>
        </w:rPr>
        <w:t>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يبحث في المسائل العقلية الفلسفية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ويتأم</w:t>
      </w:r>
      <w:r w:rsidRPr="006571AC">
        <w:rPr>
          <w:rFonts w:ascii="Traditional Arabic" w:hAnsi="Traditional Arabic" w:cs="DanaFajr" w:hint="cs"/>
          <w:szCs w:val="28"/>
          <w:rtl/>
        </w:rPr>
        <w:t>َّ</w:t>
      </w:r>
      <w:r w:rsidRPr="006571AC">
        <w:rPr>
          <w:rFonts w:ascii="Traditional Arabic" w:hAnsi="Traditional Arabic" w:cs="DanaFajr"/>
          <w:szCs w:val="28"/>
          <w:rtl/>
        </w:rPr>
        <w:t>ل فيها، سيحصل عنده استعداد</w:t>
      </w:r>
      <w:r w:rsidRPr="006571AC">
        <w:rPr>
          <w:rFonts w:ascii="Traditional Arabic" w:hAnsi="Traditional Arabic" w:cs="DanaFajr" w:hint="cs"/>
          <w:szCs w:val="28"/>
          <w:rtl/>
        </w:rPr>
        <w:t>ٌ</w:t>
      </w:r>
      <w:r w:rsidRPr="006571AC">
        <w:rPr>
          <w:rFonts w:ascii="Traditional Arabic" w:hAnsi="Traditional Arabic" w:cs="DanaFajr"/>
          <w:szCs w:val="28"/>
          <w:rtl/>
        </w:rPr>
        <w:t xml:space="preserve"> أكثر من غيره ـ بلحاظ هذه الجهة ـ لفهم الروايات المرتبطة بهذا المجال. هذا على مستوى التنظير والثبوت، وأما على مستوى الإثبات فإن م</w:t>
      </w:r>
      <w:r w:rsidRPr="006571AC">
        <w:rPr>
          <w:rFonts w:ascii="Traditional Arabic" w:hAnsi="Traditional Arabic" w:cs="DanaFajr" w:hint="cs"/>
          <w:szCs w:val="28"/>
          <w:rtl/>
        </w:rPr>
        <w:t>َ</w:t>
      </w:r>
      <w:r w:rsidRPr="006571AC">
        <w:rPr>
          <w:rFonts w:ascii="Traditional Arabic" w:hAnsi="Traditional Arabic" w:cs="DanaFajr"/>
          <w:szCs w:val="28"/>
          <w:rtl/>
        </w:rPr>
        <w:t>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يقرأ الأبحاث الفلسفية والعرفانية بتمعّ</w:t>
      </w:r>
      <w:r w:rsidRPr="006571AC">
        <w:rPr>
          <w:rFonts w:ascii="Traditional Arabic" w:hAnsi="Traditional Arabic" w:cs="DanaFajr" w:hint="cs"/>
          <w:szCs w:val="28"/>
          <w:rtl/>
        </w:rPr>
        <w:t>ُ</w:t>
      </w:r>
      <w:r w:rsidRPr="006571AC">
        <w:rPr>
          <w:rFonts w:ascii="Traditional Arabic" w:hAnsi="Traditional Arabic" w:cs="DanaFajr"/>
          <w:szCs w:val="28"/>
          <w:rtl/>
        </w:rPr>
        <w:t>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يجد فيها ما يساعد على الفهم الدقيق لبعض القضايا الدينية، من قبيل</w:t>
      </w:r>
      <w:r w:rsidRPr="006571AC">
        <w:rPr>
          <w:rFonts w:ascii="Traditional Arabic" w:hAnsi="Traditional Arabic" w:cs="DanaFajr" w:hint="cs"/>
          <w:szCs w:val="28"/>
          <w:rtl/>
        </w:rPr>
        <w:t>:</w:t>
      </w:r>
      <w:r w:rsidRPr="006571AC">
        <w:rPr>
          <w:rFonts w:ascii="Traditional Arabic" w:hAnsi="Traditional Arabic" w:cs="DanaFajr"/>
          <w:szCs w:val="28"/>
          <w:rtl/>
        </w:rPr>
        <w:t xml:space="preserve"> ما ورد عن الإمام علي</w:t>
      </w:r>
      <w:r w:rsidRPr="006571AC">
        <w:rPr>
          <w:rFonts w:ascii="Traditional Arabic" w:hAnsi="Traditional Arabic" w:cs="DanaFajr" w:hint="cs"/>
          <w:szCs w:val="28"/>
          <w:rtl/>
        </w:rPr>
        <w:t>ّ</w:t>
      </w:r>
      <w:r w:rsidRPr="006571AC">
        <w:rPr>
          <w:rFonts w:ascii="Mosawi" w:hAnsi="Mosawi" w:cs="Mosawi"/>
          <w:sz w:val="20"/>
          <w:szCs w:val="20"/>
          <w:rtl/>
        </w:rPr>
        <w:t>×</w:t>
      </w:r>
      <w:r w:rsidRPr="006571AC">
        <w:rPr>
          <w:rFonts w:ascii="Traditional Arabic" w:hAnsi="Traditional Arabic" w:cs="DanaFajr"/>
          <w:szCs w:val="28"/>
          <w:rtl/>
        </w:rPr>
        <w:t xml:space="preserve">: </w:t>
      </w:r>
      <w:r w:rsidRPr="006571AC">
        <w:rPr>
          <w:rFonts w:hint="eastAsia"/>
          <w:sz w:val="22"/>
          <w:szCs w:val="22"/>
          <w:rtl/>
        </w:rPr>
        <w:t>«</w:t>
      </w:r>
      <w:r w:rsidRPr="006571AC">
        <w:rPr>
          <w:rFonts w:ascii="Traditional Arabic" w:hAnsi="Traditional Arabic" w:cs="DanaFajr"/>
          <w:szCs w:val="28"/>
          <w:rtl/>
        </w:rPr>
        <w:t>هو في الأشياء كل</w:t>
      </w:r>
      <w:r w:rsidRPr="006571AC">
        <w:rPr>
          <w:rFonts w:ascii="Traditional Arabic" w:hAnsi="Traditional Arabic" w:cs="DanaFajr" w:hint="cs"/>
          <w:szCs w:val="28"/>
          <w:rtl/>
        </w:rPr>
        <w:t>ّ</w:t>
      </w:r>
      <w:r w:rsidRPr="006571AC">
        <w:rPr>
          <w:rFonts w:ascii="Traditional Arabic" w:hAnsi="Traditional Arabic" w:cs="DanaFajr"/>
          <w:szCs w:val="28"/>
          <w:rtl/>
        </w:rPr>
        <w:t>ها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غير متمازج</w:t>
      </w:r>
      <w:r w:rsidRPr="006571AC">
        <w:rPr>
          <w:rFonts w:ascii="Traditional Arabic" w:hAnsi="Traditional Arabic" w:cs="DanaFajr" w:hint="cs"/>
          <w:szCs w:val="28"/>
          <w:rtl/>
        </w:rPr>
        <w:t>ٍ</w:t>
      </w:r>
      <w:r w:rsidRPr="006571AC">
        <w:rPr>
          <w:rFonts w:ascii="Traditional Arabic" w:hAnsi="Traditional Arabic" w:cs="DanaFajr"/>
          <w:szCs w:val="28"/>
          <w:rtl/>
        </w:rPr>
        <w:t xml:space="preserve"> بها، ولا بائن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عنها</w:t>
      </w:r>
      <w:r w:rsidRPr="006571AC">
        <w:rPr>
          <w:rFonts w:hint="eastAsia"/>
          <w:sz w:val="22"/>
          <w:szCs w:val="22"/>
          <w:rtl/>
        </w:rPr>
        <w:t>»</w:t>
      </w:r>
      <w:r w:rsidRPr="006571AC">
        <w:rPr>
          <w:rFonts w:ascii="Traditional Arabic" w:hAnsi="Traditional Arabic" w:cs="DanaFajr"/>
          <w:szCs w:val="28"/>
          <w:rtl/>
        </w:rPr>
        <w:t>، أو ما ورد عن الإمام الرضا</w:t>
      </w:r>
      <w:r w:rsidRPr="006571AC">
        <w:rPr>
          <w:rFonts w:ascii="Mosawi" w:hAnsi="Mosawi" w:cs="Mosawi"/>
          <w:sz w:val="20"/>
          <w:szCs w:val="20"/>
          <w:rtl/>
        </w:rPr>
        <w:t>×</w:t>
      </w:r>
      <w:r w:rsidRPr="006571AC">
        <w:rPr>
          <w:rFonts w:ascii="Traditional Arabic" w:hAnsi="Traditional Arabic" w:cs="DanaFajr"/>
          <w:szCs w:val="28"/>
          <w:rtl/>
        </w:rPr>
        <w:t xml:space="preserve"> في خطبته: </w:t>
      </w:r>
      <w:r w:rsidRPr="006571AC">
        <w:rPr>
          <w:rFonts w:hint="eastAsia"/>
          <w:sz w:val="22"/>
          <w:szCs w:val="22"/>
          <w:rtl/>
        </w:rPr>
        <w:t>«</w:t>
      </w:r>
      <w:r w:rsidRPr="006571AC">
        <w:rPr>
          <w:rFonts w:ascii="Traditional Arabic" w:hAnsi="Traditional Arabic" w:cs="DanaFajr"/>
          <w:szCs w:val="28"/>
          <w:rtl/>
        </w:rPr>
        <w:t>أحد</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لا بتأويل عدد</w:t>
      </w:r>
      <w:r w:rsidRPr="006571AC">
        <w:rPr>
          <w:rFonts w:ascii="Traditional Arabic" w:hAnsi="Traditional Arabic" w:cs="DanaFajr" w:hint="cs"/>
          <w:szCs w:val="28"/>
          <w:rtl/>
        </w:rPr>
        <w:t>ٍ</w:t>
      </w:r>
      <w:r w:rsidRPr="006571AC">
        <w:rPr>
          <w:rFonts w:ascii="Traditional Arabic" w:hAnsi="Traditional Arabic" w:cs="DanaFajr"/>
          <w:szCs w:val="28"/>
          <w:rtl/>
        </w:rPr>
        <w:t>، ظاهر</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لا بتأويل المباشرة، متجلّ</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لا باستهلال رؤية</w:t>
      </w:r>
      <w:r w:rsidRPr="006571AC">
        <w:rPr>
          <w:rFonts w:ascii="Traditional Arabic" w:hAnsi="Traditional Arabic" w:cs="DanaFajr" w:hint="cs"/>
          <w:szCs w:val="28"/>
          <w:rtl/>
        </w:rPr>
        <w:t>ٍ</w:t>
      </w:r>
      <w:r w:rsidRPr="006571AC">
        <w:rPr>
          <w:rFonts w:ascii="Traditional Arabic" w:hAnsi="Traditional Arabic" w:cs="DanaFajr"/>
          <w:szCs w:val="28"/>
          <w:rtl/>
        </w:rPr>
        <w:t>، باطن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لا بمزايلة</w:t>
      </w:r>
      <w:r w:rsidRPr="006571AC">
        <w:rPr>
          <w:rFonts w:hint="eastAsia"/>
          <w:sz w:val="22"/>
          <w:szCs w:val="22"/>
          <w:rtl/>
        </w:rPr>
        <w:t>»</w:t>
      </w:r>
      <w:r w:rsidRPr="006571AC">
        <w:rPr>
          <w:rFonts w:ascii="Traditional Arabic" w:hAnsi="Traditional Arabic" w:cs="DanaFajr"/>
          <w:szCs w:val="28"/>
          <w:rtl/>
        </w:rPr>
        <w:t>. والحديث في هذا المجال موكول</w:t>
      </w:r>
      <w:r w:rsidRPr="006571AC">
        <w:rPr>
          <w:rFonts w:ascii="Traditional Arabic" w:hAnsi="Traditional Arabic" w:cs="DanaFajr" w:hint="cs"/>
          <w:szCs w:val="28"/>
          <w:rtl/>
        </w:rPr>
        <w:t>ٌ</w:t>
      </w:r>
      <w:r w:rsidRPr="006571AC">
        <w:rPr>
          <w:rFonts w:ascii="Traditional Arabic" w:hAnsi="Traditional Arabic" w:cs="DanaFajr"/>
          <w:szCs w:val="28"/>
          <w:rtl/>
        </w:rPr>
        <w:t xml:space="preserve"> إلى محل</w:t>
      </w:r>
      <w:r w:rsidRPr="006571AC">
        <w:rPr>
          <w:rFonts w:ascii="Traditional Arabic" w:hAnsi="Traditional Arabic" w:cs="DanaFajr" w:hint="cs"/>
          <w:szCs w:val="28"/>
          <w:rtl/>
        </w:rPr>
        <w:t>ِّ</w:t>
      </w:r>
      <w:r w:rsidRPr="006571AC">
        <w:rPr>
          <w:rFonts w:ascii="Traditional Arabic" w:hAnsi="Traditional Arabic" w:cs="DanaFajr"/>
          <w:szCs w:val="28"/>
          <w:rtl/>
        </w:rPr>
        <w:t xml:space="preserve">ه. </w:t>
      </w:r>
    </w:p>
  </w:endnote>
  <w:endnote w:id="574">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316</w:t>
      </w:r>
      <w:r w:rsidRPr="006571AC">
        <w:rPr>
          <w:rFonts w:ascii="Traditional Arabic" w:hAnsi="Traditional Arabic" w:cs="DanaFajr"/>
          <w:sz w:val="28"/>
          <w:szCs w:val="28"/>
          <w:rtl/>
          <w:lang w:bidi="ar-LB"/>
        </w:rPr>
        <w:t xml:space="preserve">. </w:t>
      </w:r>
    </w:p>
  </w:endnote>
  <w:endnote w:id="575">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وقد ضرب الشهيد الصدر مثالين على عدم فهم الناس في عهد الرسول</w:t>
      </w:r>
      <w:r w:rsidRPr="006571AC">
        <w:rPr>
          <w:rFonts w:ascii="Mosawi" w:hAnsi="Mosawi" w:cs="Mosawi"/>
          <w:rtl/>
        </w:rPr>
        <w:t>|</w:t>
      </w:r>
      <w:r w:rsidRPr="006571AC">
        <w:rPr>
          <w:rFonts w:ascii="Traditional Arabic" w:hAnsi="Traditional Arabic" w:cs="DanaFajr"/>
          <w:sz w:val="28"/>
          <w:szCs w:val="28"/>
          <w:rtl/>
        </w:rPr>
        <w:t xml:space="preserve"> للنص</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القرآني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بسبب عدم الارتفاع فكري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ا</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إلى مستوى أغراض القرآن ومعانيه. انظر: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319</w:t>
      </w:r>
      <w:r w:rsidRPr="006571AC">
        <w:rPr>
          <w:rFonts w:ascii="Traditional Arabic" w:hAnsi="Traditional Arabic" w:cs="DanaFajr"/>
          <w:sz w:val="28"/>
          <w:szCs w:val="28"/>
          <w:rtl/>
          <w:lang w:bidi="ar-LB"/>
        </w:rPr>
        <w:t xml:space="preserve">. </w:t>
      </w:r>
    </w:p>
  </w:endnote>
  <w:endnote w:id="576">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34</w:t>
      </w:r>
      <w:r w:rsidRPr="006571AC">
        <w:rPr>
          <w:rFonts w:ascii="Traditional Arabic" w:hAnsi="Traditional Arabic" w:cs="DanaFajr"/>
          <w:sz w:val="28"/>
          <w:szCs w:val="28"/>
          <w:rtl/>
          <w:lang w:bidi="ar-LB"/>
        </w:rPr>
        <w:t xml:space="preserve">. </w:t>
      </w:r>
    </w:p>
  </w:endnote>
  <w:endnote w:id="577">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محمود الهاشمي، </w:t>
      </w:r>
      <w:r w:rsidRPr="006571AC">
        <w:rPr>
          <w:rFonts w:ascii="Traditional Arabic" w:hAnsi="Traditional Arabic" w:cs="DanaFajr"/>
          <w:sz w:val="28"/>
          <w:szCs w:val="28"/>
          <w:rtl/>
          <w:lang w:bidi="ar-LB"/>
        </w:rPr>
        <w:t xml:space="preserve">بحوث في علم الأصول </w:t>
      </w:r>
      <w:r w:rsidRPr="006571AC">
        <w:rPr>
          <w:rFonts w:ascii="Arabic Typesetting" w:hAnsi="Arabic Typesetting" w:cs="DanaFajr" w:hint="cs"/>
          <w:sz w:val="28"/>
          <w:szCs w:val="28"/>
          <w:rtl/>
          <w:lang w:bidi="ar-LB"/>
        </w:rPr>
        <w:t>4</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278</w:t>
      </w:r>
      <w:r w:rsidRPr="006571AC">
        <w:rPr>
          <w:rFonts w:ascii="Traditional Arabic" w:hAnsi="Traditional Arabic" w:cs="DanaFajr"/>
          <w:sz w:val="28"/>
          <w:szCs w:val="28"/>
          <w:rtl/>
          <w:lang w:bidi="ar-LB"/>
        </w:rPr>
        <w:t xml:space="preserve">. </w:t>
      </w:r>
    </w:p>
  </w:endnote>
  <w:endnote w:id="578">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نفسه. </w:t>
      </w:r>
    </w:p>
  </w:endnote>
  <w:endnote w:id="579">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309</w:t>
      </w:r>
      <w:r w:rsidRPr="006571AC">
        <w:rPr>
          <w:rFonts w:ascii="Traditional Arabic" w:hAnsi="Traditional Arabic" w:cs="DanaFajr" w:hint="cs"/>
          <w:sz w:val="28"/>
          <w:szCs w:val="28"/>
          <w:rtl/>
          <w:lang w:bidi="ar-LB"/>
        </w:rPr>
        <w:t xml:space="preserve">؛ وذكر فيه أيضاً: </w:t>
      </w:r>
      <w:r w:rsidRPr="006571AC">
        <w:rPr>
          <w:rFonts w:ascii="Arabic Typesetting" w:hAnsi="Arabic Typesetting" w:cs="DanaFajr" w:hint="cs"/>
          <w:sz w:val="28"/>
          <w:szCs w:val="28"/>
          <w:rtl/>
          <w:lang w:bidi="ar-LB"/>
        </w:rPr>
        <w:t>310</w:t>
      </w:r>
      <w:r w:rsidRPr="006571AC">
        <w:rPr>
          <w:rFonts w:ascii="Traditional Arabic" w:hAnsi="Traditional Arabic" w:cs="DanaFajr" w:hint="cs"/>
          <w:sz w:val="28"/>
          <w:szCs w:val="28"/>
          <w:rtl/>
          <w:lang w:bidi="ar-LB"/>
        </w:rPr>
        <w:t xml:space="preserve"> بعض الأمثلة على ذلك، فراجِعْ. </w:t>
      </w:r>
    </w:p>
  </w:endnote>
  <w:endnote w:id="580">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323</w:t>
      </w:r>
      <w:r w:rsidRPr="006571AC">
        <w:rPr>
          <w:rFonts w:ascii="Traditional Arabic" w:hAnsi="Traditional Arabic" w:cs="DanaFajr"/>
          <w:sz w:val="28"/>
          <w:szCs w:val="28"/>
          <w:rtl/>
          <w:lang w:bidi="ar-LB"/>
        </w:rPr>
        <w:t xml:space="preserve">. </w:t>
      </w:r>
    </w:p>
  </w:endnote>
  <w:endnote w:id="581">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دروس في علم الأصول (الحلقة الثانية): </w:t>
      </w:r>
      <w:r w:rsidRPr="006571AC">
        <w:rPr>
          <w:rFonts w:ascii="Arabic Typesetting" w:hAnsi="Arabic Typesetting" w:cs="DanaFajr" w:hint="cs"/>
          <w:sz w:val="28"/>
          <w:szCs w:val="28"/>
          <w:rtl/>
          <w:lang w:bidi="ar-LB"/>
        </w:rPr>
        <w:t>382</w:t>
      </w:r>
      <w:r w:rsidRPr="006571AC">
        <w:rPr>
          <w:rFonts w:ascii="Traditional Arabic" w:hAnsi="Traditional Arabic" w:cs="DanaFajr"/>
          <w:sz w:val="28"/>
          <w:szCs w:val="28"/>
          <w:rtl/>
          <w:lang w:bidi="ar-LB"/>
        </w:rPr>
        <w:t>. فالسبب في هذا الإسقاط على 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هو عدم فهم الكلمة ضمن سياقها التاريخي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وقد أشار إلى أهم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ية هذه النقطة أيضا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في كتابه اقتصادنا: </w:t>
      </w:r>
      <w:r w:rsidRPr="006571AC">
        <w:rPr>
          <w:rFonts w:ascii="Arabic Typesetting" w:hAnsi="Arabic Typesetting" w:cs="DanaFajr" w:hint="cs"/>
          <w:sz w:val="28"/>
          <w:szCs w:val="28"/>
          <w:rtl/>
          <w:lang w:bidi="ar-LB"/>
        </w:rPr>
        <w:t>387</w:t>
      </w:r>
      <w:r w:rsidRPr="006571AC">
        <w:rPr>
          <w:rFonts w:ascii="Traditional Arabic" w:hAnsi="Traditional Arabic" w:cs="DanaFajr"/>
          <w:sz w:val="28"/>
          <w:szCs w:val="28"/>
          <w:rtl/>
          <w:lang w:bidi="ar-LB"/>
        </w:rPr>
        <w:t xml:space="preserve">. </w:t>
      </w:r>
    </w:p>
  </w:endnote>
  <w:endnote w:id="582">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312</w:t>
      </w:r>
      <w:r w:rsidRPr="006571AC">
        <w:rPr>
          <w:rFonts w:ascii="Traditional Arabic" w:hAnsi="Traditional Arabic" w:cs="DanaFajr"/>
          <w:sz w:val="28"/>
          <w:szCs w:val="28"/>
          <w:rtl/>
          <w:lang w:bidi="ar-LB"/>
        </w:rPr>
        <w:t xml:space="preserve">. </w:t>
      </w:r>
    </w:p>
  </w:endnote>
  <w:endnote w:id="583">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قد يُقال: إنه لا يمكن للباحث أن يتخل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ى عن اتجاهاته النفسية، وبالتالي لا مفرّ من أن يُخفيَ النص عنّا بعض المعطيات؛ بل هذا حتميّ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بناء على ما ذهب إليه الشهيد الصدر من كون المعطيات القرآنية لا</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متناهية. وبالتالي يجب أن لا نعدّ هذا الاتجاه النفسي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قبليّة مضرّة إن</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كان بهذا المقدار. نعم، يُع</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د</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مضرّ</w:t>
      </w:r>
      <w:r w:rsidRPr="006571AC">
        <w:rPr>
          <w:rFonts w:ascii="Traditional Arabic" w:hAnsi="Traditional Arabic" w:cs="DanaFajr" w:hint="cs"/>
          <w:sz w:val="28"/>
          <w:szCs w:val="28"/>
          <w:rtl/>
          <w:lang w:bidi="ar-LB"/>
        </w:rPr>
        <w:t>اً</w:t>
      </w:r>
      <w:r w:rsidRPr="006571AC">
        <w:rPr>
          <w:rFonts w:ascii="Traditional Arabic" w:hAnsi="Traditional Arabic" w:cs="DanaFajr"/>
          <w:sz w:val="28"/>
          <w:szCs w:val="28"/>
          <w:rtl/>
          <w:lang w:bidi="ar-LB"/>
        </w:rPr>
        <w:t xml:space="preserve"> عندما يصل إلى حدّ تحريف 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وفهمه بشكل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خاطئ. </w:t>
      </w:r>
    </w:p>
  </w:endnote>
  <w:endnote w:id="584">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 xml:space="preserve">محمد باقر الصدر، </w:t>
      </w:r>
      <w:r w:rsidRPr="006571AC">
        <w:rPr>
          <w:rFonts w:ascii="Traditional Arabic" w:hAnsi="Traditional Arabic" w:cs="DanaFajr"/>
          <w:sz w:val="28"/>
          <w:szCs w:val="28"/>
          <w:rtl/>
        </w:rPr>
        <w:t xml:space="preserve">اقتصادنا: </w:t>
      </w:r>
      <w:r w:rsidRPr="006571AC">
        <w:rPr>
          <w:rFonts w:ascii="Arabic Typesetting" w:hAnsi="Arabic Typesetting" w:cs="DanaFajr" w:hint="cs"/>
          <w:sz w:val="28"/>
          <w:szCs w:val="28"/>
          <w:rtl/>
          <w:lang w:bidi="ar-LB"/>
        </w:rPr>
        <w:t>392</w:t>
      </w:r>
      <w:r w:rsidRPr="006571AC">
        <w:rPr>
          <w:rFonts w:ascii="Traditional Arabic" w:hAnsi="Traditional Arabic" w:cs="DanaFajr"/>
          <w:sz w:val="28"/>
          <w:szCs w:val="28"/>
          <w:rtl/>
        </w:rPr>
        <w:t xml:space="preserve">. </w:t>
      </w:r>
    </w:p>
  </w:endnote>
  <w:endnote w:id="585">
    <w:p w:rsidR="00DB2356" w:rsidRPr="006571AC" w:rsidRDefault="00DB2356" w:rsidP="00B17D53">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36</w:t>
      </w:r>
      <w:r w:rsidRPr="006571AC">
        <w:rPr>
          <w:rFonts w:ascii="Traditional Arabic" w:hAnsi="Traditional Arabic" w:cs="DanaFajr"/>
          <w:sz w:val="28"/>
          <w:szCs w:val="28"/>
          <w:rtl/>
          <w:lang w:bidi="ar-LB"/>
        </w:rPr>
        <w:t xml:space="preserve">. </w:t>
      </w:r>
      <w:r w:rsidRPr="006571AC">
        <w:rPr>
          <w:rFonts w:ascii="Traditional Arabic" w:hAnsi="Traditional Arabic" w:cs="DanaFajr"/>
          <w:sz w:val="28"/>
          <w:szCs w:val="28"/>
          <w:rtl/>
        </w:rPr>
        <w:t>نعم، استثنى الشهيد الصدر موردا</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من هذه القبلية المضرّة، وهو في الحقيقة ليس من باب التخصيص، بل من باب التخص</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ص، فلا يضرّ في فهم النص</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وقد اعتبر إعمال الذاتية في هذا المورد ضروري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ا</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وطبّقه في مورد استنباط الاقتصاد الإسلامي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لكن</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يمكن تعميمها لأي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موضوع</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نصّي آخر. </w:t>
      </w:r>
      <w:r w:rsidRPr="006571AC">
        <w:rPr>
          <w:rFonts w:ascii="Traditional Arabic" w:hAnsi="Traditional Arabic" w:cs="DanaFajr"/>
          <w:sz w:val="28"/>
          <w:szCs w:val="28"/>
          <w:rtl/>
          <w:lang w:bidi="ar-LB"/>
        </w:rPr>
        <w:t xml:space="preserve">اقتصادنا: </w:t>
      </w:r>
      <w:r w:rsidRPr="006571AC">
        <w:rPr>
          <w:rFonts w:ascii="Arabic Typesetting" w:hAnsi="Arabic Typesetting" w:cs="DanaFajr" w:hint="cs"/>
          <w:sz w:val="28"/>
          <w:szCs w:val="28"/>
          <w:rtl/>
          <w:lang w:bidi="ar-LB"/>
        </w:rPr>
        <w:t>394</w:t>
      </w:r>
      <w:r w:rsidRPr="006571AC">
        <w:rPr>
          <w:rFonts w:ascii="Traditional Arabic" w:hAnsi="Traditional Arabic" w:cs="DanaFajr"/>
          <w:sz w:val="28"/>
          <w:szCs w:val="28"/>
          <w:rtl/>
          <w:lang w:bidi="ar-LB"/>
        </w:rPr>
        <w:t xml:space="preserve">. </w:t>
      </w:r>
    </w:p>
  </w:endnote>
  <w:endnote w:id="586">
    <w:p w:rsidR="00DB2356" w:rsidRPr="00636C6C" w:rsidRDefault="00DB2356" w:rsidP="00636C6C">
      <w:pPr>
        <w:pStyle w:val="aa"/>
        <w:spacing w:line="315" w:lineRule="exact"/>
        <w:ind w:firstLine="0"/>
        <w:rPr>
          <w:rFonts w:ascii="Traditional Arabic" w:hAnsi="Traditional Arabic" w:cs="DanaFajr"/>
          <w:sz w:val="28"/>
          <w:szCs w:val="28"/>
          <w:rtl/>
        </w:rPr>
      </w:pPr>
      <w:r w:rsidRPr="00636C6C">
        <w:rPr>
          <w:rFonts w:ascii="Traditional Arabic" w:hAnsi="Traditional Arabic" w:cs="DanaFajr"/>
          <w:sz w:val="28"/>
          <w:szCs w:val="28"/>
          <w:rtl/>
        </w:rPr>
        <w:t>(</w:t>
      </w:r>
      <w:r w:rsidRPr="00636C6C">
        <w:rPr>
          <w:rFonts w:ascii="Traditional Arabic" w:hAnsi="Traditional Arabic" w:cs="DanaFajr"/>
          <w:sz w:val="28"/>
          <w:szCs w:val="28"/>
        </w:rPr>
        <w:endnoteRef/>
      </w:r>
      <w:r w:rsidRPr="00636C6C">
        <w:rPr>
          <w:rFonts w:ascii="Traditional Arabic" w:hAnsi="Traditional Arabic" w:cs="DanaFajr"/>
          <w:sz w:val="28"/>
          <w:szCs w:val="28"/>
          <w:rtl/>
        </w:rPr>
        <w:t>)</w:t>
      </w:r>
      <w:r w:rsidRPr="00636C6C">
        <w:rPr>
          <w:rFonts w:ascii="Traditional Arabic" w:hAnsi="Traditional Arabic" w:cs="DanaFajr" w:hint="cs"/>
          <w:sz w:val="28"/>
          <w:szCs w:val="28"/>
          <w:rtl/>
        </w:rPr>
        <w:t xml:space="preserve"> </w:t>
      </w:r>
      <w:r w:rsidRPr="00636C6C">
        <w:rPr>
          <w:rFonts w:ascii="Traditional Arabic" w:hAnsi="Traditional Arabic" w:cs="DanaFajr"/>
          <w:sz w:val="28"/>
          <w:szCs w:val="28"/>
          <w:rtl/>
        </w:rPr>
        <w:t>فانظر إليه يروي لنا قص</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ة</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حدث</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ت</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معه في هذا المجال</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حيث أثّر بحث التزاحم على فهمه للرواية، ثم</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احتمل أن يكون هذا الفهم بسبب هذا المبحث العلمي</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فجرّ</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د نفسه عنه، فتبدّ</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ل فهمه. كاظم الحائري، </w:t>
      </w:r>
      <w:r w:rsidRPr="00636C6C">
        <w:rPr>
          <w:rFonts w:ascii="Traditional Arabic" w:hAnsi="Traditional Arabic" w:cs="DanaFajr" w:hint="cs"/>
          <w:sz w:val="28"/>
          <w:szCs w:val="28"/>
          <w:rtl/>
        </w:rPr>
        <w:t>مباحث الأصول</w:t>
      </w:r>
      <w:r w:rsidRPr="00636C6C">
        <w:rPr>
          <w:rFonts w:ascii="Traditional Arabic" w:hAnsi="Traditional Arabic" w:cs="DanaFajr"/>
          <w:sz w:val="28"/>
          <w:szCs w:val="28"/>
          <w:rtl/>
        </w:rPr>
        <w:t xml:space="preserve">، </w:t>
      </w:r>
      <w:r w:rsidRPr="00636C6C">
        <w:rPr>
          <w:rFonts w:ascii="Traditional Arabic" w:hAnsi="Traditional Arabic" w:cs="DanaFajr" w:hint="cs"/>
          <w:sz w:val="28"/>
          <w:szCs w:val="28"/>
          <w:rtl/>
        </w:rPr>
        <w:t xml:space="preserve">الجزء الثاني من </w:t>
      </w:r>
      <w:r w:rsidRPr="00636C6C">
        <w:rPr>
          <w:rFonts w:ascii="Traditional Arabic" w:hAnsi="Traditional Arabic" w:cs="DanaFajr"/>
          <w:sz w:val="28"/>
          <w:szCs w:val="28"/>
          <w:rtl/>
        </w:rPr>
        <w:t xml:space="preserve">القسم الثاني: </w:t>
      </w:r>
      <w:r w:rsidRPr="00636C6C">
        <w:rPr>
          <w:rFonts w:ascii="Traditional Arabic" w:hAnsi="Traditional Arabic" w:cs="DanaFajr" w:hint="cs"/>
          <w:sz w:val="28"/>
          <w:szCs w:val="28"/>
          <w:rtl/>
        </w:rPr>
        <w:t>187</w:t>
      </w:r>
      <w:r w:rsidRPr="00636C6C">
        <w:rPr>
          <w:rFonts w:ascii="Traditional Arabic" w:hAnsi="Traditional Arabic" w:cs="DanaFajr"/>
          <w:sz w:val="28"/>
          <w:szCs w:val="28"/>
          <w:rtl/>
        </w:rPr>
        <w:t xml:space="preserve"> ـ </w:t>
      </w:r>
      <w:r w:rsidRPr="00636C6C">
        <w:rPr>
          <w:rFonts w:ascii="Traditional Arabic" w:hAnsi="Traditional Arabic" w:cs="DanaFajr" w:hint="cs"/>
          <w:sz w:val="28"/>
          <w:szCs w:val="28"/>
          <w:rtl/>
        </w:rPr>
        <w:t>188</w:t>
      </w:r>
      <w:r w:rsidRPr="00636C6C">
        <w:rPr>
          <w:rFonts w:ascii="Traditional Arabic" w:hAnsi="Traditional Arabic" w:cs="DanaFajr"/>
          <w:sz w:val="28"/>
          <w:szCs w:val="28"/>
          <w:rtl/>
        </w:rPr>
        <w:t xml:space="preserve">. </w:t>
      </w:r>
    </w:p>
  </w:endnote>
  <w:endnote w:id="587">
    <w:p w:rsidR="00DB2356" w:rsidRPr="00636C6C" w:rsidRDefault="00DB2356" w:rsidP="00636C6C">
      <w:pPr>
        <w:pStyle w:val="aa"/>
        <w:spacing w:line="315" w:lineRule="exact"/>
        <w:ind w:firstLine="0"/>
        <w:rPr>
          <w:rFonts w:ascii="Traditional Arabic" w:hAnsi="Traditional Arabic" w:cs="DanaFajr"/>
          <w:sz w:val="28"/>
          <w:szCs w:val="28"/>
          <w:rtl/>
        </w:rPr>
      </w:pPr>
      <w:r w:rsidRPr="00636C6C">
        <w:rPr>
          <w:rFonts w:ascii="Traditional Arabic" w:hAnsi="Traditional Arabic" w:cs="DanaFajr"/>
          <w:sz w:val="28"/>
          <w:szCs w:val="28"/>
          <w:rtl/>
        </w:rPr>
        <w:t>(</w:t>
      </w:r>
      <w:r w:rsidRPr="00636C6C">
        <w:rPr>
          <w:rFonts w:ascii="Traditional Arabic" w:hAnsi="Traditional Arabic" w:cs="DanaFajr"/>
          <w:sz w:val="28"/>
          <w:szCs w:val="28"/>
        </w:rPr>
        <w:endnoteRef/>
      </w:r>
      <w:r w:rsidRPr="00636C6C">
        <w:rPr>
          <w:rFonts w:ascii="Traditional Arabic" w:hAnsi="Traditional Arabic" w:cs="DanaFajr"/>
          <w:sz w:val="28"/>
          <w:szCs w:val="28"/>
          <w:rtl/>
        </w:rPr>
        <w:t>) قد يتوهّ</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م أن مبنى الشهيد الصدر في الحوار بين النص</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والواقع عبارة</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عن إسقاط الواقع على النص</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وبالتالي هذا قبلية</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معرفية مضرّة في فهم النص</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على ما هو عليه.</w:t>
      </w:r>
      <w:r w:rsidRPr="00636C6C">
        <w:rPr>
          <w:rFonts w:ascii="Traditional Arabic" w:hAnsi="Traditional Arabic" w:cs="DanaFajr" w:hint="cs"/>
          <w:sz w:val="28"/>
          <w:szCs w:val="28"/>
          <w:rtl/>
        </w:rPr>
        <w:t xml:space="preserve"> </w:t>
      </w:r>
      <w:r w:rsidRPr="00636C6C">
        <w:rPr>
          <w:rFonts w:ascii="Traditional Arabic" w:hAnsi="Traditional Arabic" w:cs="DanaFajr"/>
          <w:sz w:val="28"/>
          <w:szCs w:val="28"/>
          <w:rtl/>
        </w:rPr>
        <w:t>لكن</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الشهيد الصدر ملتفتٌ إلى هذه المسألة، فنبّ</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ه عليها. المدرسة القرآنية: </w:t>
      </w:r>
      <w:r w:rsidRPr="00636C6C">
        <w:rPr>
          <w:rFonts w:ascii="Traditional Arabic" w:hAnsi="Traditional Arabic" w:cs="DanaFajr" w:hint="cs"/>
          <w:sz w:val="28"/>
          <w:szCs w:val="28"/>
          <w:rtl/>
        </w:rPr>
        <w:t>35</w:t>
      </w:r>
      <w:r w:rsidRPr="00636C6C">
        <w:rPr>
          <w:rFonts w:ascii="Traditional Arabic" w:hAnsi="Traditional Arabic" w:cs="DanaFajr"/>
          <w:sz w:val="28"/>
          <w:szCs w:val="28"/>
          <w:rtl/>
        </w:rPr>
        <w:t xml:space="preserve">. </w:t>
      </w:r>
    </w:p>
  </w:endnote>
  <w:endnote w:id="588">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29</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30</w:t>
      </w:r>
      <w:r w:rsidRPr="006571AC">
        <w:rPr>
          <w:rFonts w:ascii="Traditional Arabic" w:hAnsi="Traditional Arabic" w:cs="DanaFajr"/>
          <w:sz w:val="28"/>
          <w:szCs w:val="28"/>
          <w:rtl/>
          <w:lang w:bidi="ar-LB"/>
        </w:rPr>
        <w:t xml:space="preserve">. </w:t>
      </w:r>
    </w:p>
  </w:endnote>
  <w:endnote w:id="589">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دروس في علم الأصول (الحلقة الأولى): </w:t>
      </w:r>
      <w:r w:rsidRPr="006571AC">
        <w:rPr>
          <w:rFonts w:ascii="Arabic Typesetting" w:hAnsi="Arabic Typesetting" w:cs="DanaFajr" w:hint="cs"/>
          <w:sz w:val="28"/>
          <w:szCs w:val="28"/>
          <w:rtl/>
          <w:lang w:bidi="ar-LB"/>
        </w:rPr>
        <w:t>53</w:t>
      </w:r>
      <w:r w:rsidRPr="006571AC">
        <w:rPr>
          <w:rFonts w:ascii="Traditional Arabic" w:hAnsi="Traditional Arabic" w:cs="DanaFajr"/>
          <w:sz w:val="28"/>
          <w:szCs w:val="28"/>
          <w:rtl/>
          <w:lang w:bidi="ar-LB"/>
        </w:rPr>
        <w:t xml:space="preserve">. </w:t>
      </w:r>
    </w:p>
  </w:endnote>
  <w:endnote w:id="590">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وللاط</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لاع على بعض التطبيقات على فكرة الحوار بين المفس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 والنص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انظر: </w:t>
      </w:r>
      <w:r w:rsidRPr="006571AC">
        <w:rPr>
          <w:rFonts w:ascii="Traditional Arabic" w:hAnsi="Traditional Arabic" w:cs="DanaFajr" w:hint="cs"/>
          <w:sz w:val="28"/>
          <w:szCs w:val="28"/>
          <w:rtl/>
          <w:lang w:bidi="ar-LB"/>
        </w:rPr>
        <w:t>محمد باقر الصدر، المد</w:t>
      </w:r>
      <w:r w:rsidRPr="006571AC">
        <w:rPr>
          <w:rFonts w:ascii="Traditional Arabic" w:hAnsi="Traditional Arabic" w:cs="DanaFajr"/>
          <w:sz w:val="28"/>
          <w:szCs w:val="28"/>
          <w:rtl/>
          <w:lang w:bidi="ar-LB"/>
        </w:rPr>
        <w:t xml:space="preserve">رسة القرآنية: </w:t>
      </w:r>
      <w:r w:rsidRPr="006571AC">
        <w:rPr>
          <w:rFonts w:ascii="Arabic Typesetting" w:hAnsi="Arabic Typesetting" w:cs="DanaFajr" w:hint="cs"/>
          <w:sz w:val="28"/>
          <w:szCs w:val="28"/>
          <w:rtl/>
          <w:lang w:bidi="ar-LB"/>
        </w:rPr>
        <w:t>157</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170</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158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159</w:t>
      </w:r>
      <w:r w:rsidRPr="006571AC">
        <w:rPr>
          <w:rFonts w:ascii="Traditional Arabic" w:hAnsi="Traditional Arabic" w:cs="DanaFajr"/>
          <w:sz w:val="28"/>
          <w:szCs w:val="28"/>
          <w:rtl/>
          <w:lang w:bidi="ar-LB"/>
        </w:rPr>
        <w:t xml:space="preserve">. </w:t>
      </w:r>
    </w:p>
    <w:p w:rsidR="00DB2356" w:rsidRPr="006571AC" w:rsidRDefault="00DB2356" w:rsidP="00A6257F">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ويمكننا الإشارة إلى ما يمكن أن يكون تطبيقا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ثالثا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لهذه الفكرة، حيث أثّر الواقع الحياتي على اختيار الموضوع المُراد بحثه في القرآن الكريم. ففي زمن الشهيد الصدر راج الفكر الماركسي المتأثّ</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 بالفكر الهي</w:t>
      </w:r>
      <w:r>
        <w:rPr>
          <w:rFonts w:ascii="Traditional Arabic" w:hAnsi="Traditional Arabic" w:cs="DanaFajr" w:hint="cs"/>
          <w:sz w:val="28"/>
          <w:szCs w:val="28"/>
          <w:rtl/>
          <w:lang w:bidi="ar-LB"/>
        </w:rPr>
        <w:t>ج</w:t>
      </w:r>
      <w:r w:rsidRPr="006571AC">
        <w:rPr>
          <w:rFonts w:ascii="Traditional Arabic" w:hAnsi="Traditional Arabic" w:cs="DanaFajr"/>
          <w:sz w:val="28"/>
          <w:szCs w:val="28"/>
          <w:rtl/>
          <w:lang w:bidi="ar-LB"/>
        </w:rPr>
        <w:t>لي، والذي يهتم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بفلسفة التاريخ. ولعل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هذا ما أثّر على الشهيد الصدر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فدعاه ليبحث عن هذا الموضوع في القرآن الكريم. ولأجل ذلك عرض الأسئلة التالية على القرآن الكريم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وسعى </w:t>
      </w:r>
      <w:r w:rsidRPr="006571AC">
        <w:rPr>
          <w:rFonts w:ascii="Traditional Arabic" w:hAnsi="Traditional Arabic" w:cs="DanaFajr" w:hint="cs"/>
          <w:sz w:val="28"/>
          <w:szCs w:val="28"/>
          <w:rtl/>
          <w:lang w:bidi="ar-LB"/>
        </w:rPr>
        <w:t>ل</w:t>
      </w:r>
      <w:r w:rsidRPr="006571AC">
        <w:rPr>
          <w:rFonts w:ascii="Traditional Arabic" w:hAnsi="Traditional Arabic" w:cs="DanaFajr"/>
          <w:sz w:val="28"/>
          <w:szCs w:val="28"/>
          <w:rtl/>
          <w:lang w:bidi="ar-LB"/>
        </w:rPr>
        <w:t>بيان الإجابة عنها، وهذه الأسئلة هي: هل للتاريخ البشري سنن</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في مفهوم القرآن؟ هل له قوانين تتحك</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م في مسيرته وفي حركته وتطو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ره؟ ما هي هذه السنن التي تتحك</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م في التاريخ البشري؟ كيف نما؟ كيف تطو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ر؟ ما هي العوامل الأساسية في نظرية التاريخ؟ ما هو دَوْر الإنسان في عملية التاريخ؟ ما هو موقع السماء أو النبوة على الساحة الاجتماعية؟ </w:t>
      </w:r>
    </w:p>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ففي هذا البحث يكون الشهيد الصدر متأث</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بالواقع الذي يعيشه في مقام اختيار الموضوع</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وطرح الأسئلة على 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لاستنطاقه. ولمزيد</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من الاطلاع على هذا البحث 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46</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102</w:t>
      </w:r>
      <w:r w:rsidRPr="006571AC">
        <w:rPr>
          <w:rFonts w:ascii="Traditional Arabic" w:hAnsi="Traditional Arabic" w:cs="DanaFajr" w:hint="cs"/>
          <w:sz w:val="28"/>
          <w:szCs w:val="28"/>
          <w:rtl/>
          <w:lang w:bidi="ar-LB"/>
        </w:rPr>
        <w:t>.</w:t>
      </w:r>
    </w:p>
  </w:endnote>
  <w:endnote w:id="591">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على سبيل المثال: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348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349</w:t>
      </w:r>
      <w:r w:rsidRPr="006571AC">
        <w:rPr>
          <w:rFonts w:ascii="Traditional Arabic" w:hAnsi="Traditional Arabic" w:cs="DanaFajr"/>
          <w:sz w:val="28"/>
          <w:szCs w:val="28"/>
          <w:rtl/>
          <w:lang w:bidi="ar-LB"/>
        </w:rPr>
        <w:t xml:space="preserve">. </w:t>
      </w:r>
    </w:p>
  </w:endnote>
  <w:endnote w:id="592">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30</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31</w:t>
      </w:r>
      <w:r w:rsidRPr="006571AC">
        <w:rPr>
          <w:rFonts w:ascii="Traditional Arabic" w:hAnsi="Traditional Arabic" w:cs="DanaFajr"/>
          <w:sz w:val="28"/>
          <w:szCs w:val="28"/>
          <w:rtl/>
          <w:lang w:bidi="ar-LB"/>
        </w:rPr>
        <w:t xml:space="preserve">. </w:t>
      </w:r>
    </w:p>
  </w:endnote>
  <w:endnote w:id="593">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 xml:space="preserve">محمد باقر الصدر، </w:t>
      </w:r>
      <w:r w:rsidRPr="006571AC">
        <w:rPr>
          <w:rFonts w:ascii="Traditional Arabic" w:hAnsi="Traditional Arabic" w:cs="DanaFajr"/>
          <w:sz w:val="28"/>
          <w:szCs w:val="28"/>
          <w:rtl/>
          <w:lang w:bidi="ar-LB"/>
        </w:rPr>
        <w:t xml:space="preserve">الإسلام يقود الحياة: </w:t>
      </w:r>
      <w:r w:rsidRPr="006571AC">
        <w:rPr>
          <w:rFonts w:ascii="Arabic Typesetting" w:hAnsi="Arabic Typesetting" w:cs="DanaFajr" w:hint="cs"/>
          <w:sz w:val="28"/>
          <w:szCs w:val="28"/>
          <w:rtl/>
          <w:lang w:bidi="ar-LB"/>
        </w:rPr>
        <w:t>23</w:t>
      </w:r>
      <w:r w:rsidRPr="006571AC">
        <w:rPr>
          <w:rFonts w:ascii="Traditional Arabic" w:hAnsi="Traditional Arabic" w:cs="DanaFajr"/>
          <w:sz w:val="28"/>
          <w:szCs w:val="28"/>
          <w:rtl/>
          <w:lang w:bidi="ar-LB"/>
        </w:rPr>
        <w:t>، مركز الأبحاث والدراسات التخص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صية للشهيد الصدر، قم، </w:t>
      </w:r>
      <w:r w:rsidRPr="006571AC">
        <w:rPr>
          <w:rFonts w:ascii="Arabic Typesetting" w:hAnsi="Arabic Typesetting" w:cs="DanaFajr" w:hint="cs"/>
          <w:sz w:val="28"/>
          <w:szCs w:val="28"/>
          <w:rtl/>
          <w:lang w:bidi="ar-LB"/>
        </w:rPr>
        <w:t>1426</w:t>
      </w:r>
      <w:r w:rsidRPr="006571AC">
        <w:rPr>
          <w:rFonts w:ascii="Traditional Arabic" w:hAnsi="Traditional Arabic" w:cs="DanaFajr"/>
          <w:sz w:val="28"/>
          <w:szCs w:val="28"/>
          <w:rtl/>
          <w:lang w:bidi="ar-LB"/>
        </w:rPr>
        <w:t xml:space="preserve">هـ. </w:t>
      </w:r>
    </w:p>
  </w:endnote>
  <w:endnote w:id="594">
    <w:p w:rsidR="00DB2356" w:rsidRPr="006571AC" w:rsidRDefault="00DB2356" w:rsidP="00844ADE">
      <w:pPr>
        <w:pStyle w:val="aa"/>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ac"/>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مجتبى مصباح </w:t>
      </w:r>
      <w:r w:rsidRPr="006571AC">
        <w:rPr>
          <w:rFonts w:ascii="Traditional Arabic" w:hAnsi="Traditional Arabic" w:cs="DanaFajr" w:hint="cs"/>
          <w:sz w:val="28"/>
          <w:szCs w:val="28"/>
          <w:rtl/>
          <w:lang w:bidi="ar-LB"/>
        </w:rPr>
        <w:t>و</w:t>
      </w:r>
      <w:r w:rsidRPr="006571AC">
        <w:rPr>
          <w:rFonts w:ascii="Traditional Arabic" w:hAnsi="Traditional Arabic" w:cs="DanaFajr"/>
          <w:sz w:val="28"/>
          <w:szCs w:val="28"/>
          <w:rtl/>
          <w:lang w:bidi="ar-LB"/>
        </w:rPr>
        <w:t>عبد الله محمدي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معرفت شناس</w:t>
      </w:r>
      <w:r w:rsidRPr="006571AC">
        <w:rPr>
          <w:rFonts w:ascii="Traditional Arabic" w:hAnsi="Traditional Arabic" w:cs="DanaFajr" w:hint="cs"/>
          <w:sz w:val="28"/>
          <w:szCs w:val="28"/>
          <w:rtl/>
          <w:lang w:bidi="ar-LB"/>
        </w:rPr>
        <w:t>ي</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الدرس التاسع</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w:t>
      </w:r>
    </w:p>
  </w:endnote>
  <w:endnote w:id="595">
    <w:p w:rsidR="00DB2356" w:rsidRPr="006571AC" w:rsidRDefault="00DB2356" w:rsidP="00844ADE">
      <w:pPr>
        <w:pStyle w:val="aa"/>
        <w:spacing w:line="315" w:lineRule="exact"/>
        <w:ind w:firstLine="0"/>
        <w:rPr>
          <w:rFonts w:cs="DanaFajr"/>
          <w:sz w:val="28"/>
          <w:szCs w:val="28"/>
          <w:rtl/>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هذه التسمية ذكرها السيد يد الله يزدان </w:t>
      </w:r>
      <w:r w:rsidRPr="006571AC">
        <w:rPr>
          <w:rFonts w:cs="DanaFajr" w:hint="cs"/>
          <w:sz w:val="28"/>
          <w:szCs w:val="28"/>
          <w:rtl/>
        </w:rPr>
        <w:t>پ</w:t>
      </w:r>
      <w:r w:rsidRPr="006571AC">
        <w:rPr>
          <w:rFonts w:cs="DanaFajr" w:hint="cs"/>
          <w:sz w:val="28"/>
          <w:szCs w:val="28"/>
          <w:rtl/>
          <w:lang w:bidi="ar-LB"/>
        </w:rPr>
        <w:t xml:space="preserve">ناه، وتلميذه الأستاذ الشيخ علي أميني نجاد (دامت إفاضاتهما) في دروسهما الفلسفية والعرفانية، ولا أدري إنْ ذُكرَت قبلهما. </w:t>
      </w:r>
    </w:p>
  </w:endnote>
  <w:endnote w:id="596">
    <w:p w:rsidR="00DB2356" w:rsidRPr="006571AC" w:rsidRDefault="00DB2356" w:rsidP="0042241D">
      <w:pPr>
        <w:pStyle w:val="aa"/>
        <w:spacing w:line="306" w:lineRule="exact"/>
        <w:ind w:firstLine="0"/>
        <w:rPr>
          <w:rFonts w:asciiTheme="minorBidi" w:hAnsiTheme="minorBidi" w:cs="DanaFajr"/>
          <w:sz w:val="28"/>
          <w:szCs w:val="28"/>
          <w:rtl/>
          <w:lang w:bidi="ar-MA"/>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أميز في الفتوى بالغرب بين الفتوى الخاصة والفتوى العامة، فالتي تعنى بالأفراد لها طابع استعجالي آني وجزئي، أما المتعلقة بالعموم فلها خصوصية تقتضي التأمل والبناء الاستراتيجي</w:t>
      </w:r>
      <w:r w:rsidRPr="006571AC">
        <w:rPr>
          <w:rFonts w:asciiTheme="minorBidi" w:hAnsiTheme="minorBidi" w:cs="DanaFajr" w:hint="cs"/>
          <w:sz w:val="28"/>
          <w:szCs w:val="28"/>
          <w:rtl/>
          <w:lang w:bidi="ar-MA"/>
        </w:rPr>
        <w:t xml:space="preserve">. </w:t>
      </w:r>
    </w:p>
  </w:endnote>
  <w:endnote w:id="597">
    <w:p w:rsidR="00DB2356" w:rsidRPr="006571AC" w:rsidRDefault="00DB2356" w:rsidP="006B12FE">
      <w:pPr>
        <w:pStyle w:val="aa"/>
        <w:spacing w:line="306" w:lineRule="exact"/>
        <w:ind w:firstLine="0"/>
        <w:rPr>
          <w:rFonts w:asciiTheme="minorBidi" w:hAnsiTheme="minorBidi" w:cs="DanaFajr"/>
          <w:sz w:val="28"/>
          <w:szCs w:val="28"/>
          <w:rtl/>
          <w:lang w:bidi="ar-MA"/>
        </w:rPr>
      </w:pPr>
      <w:r w:rsidRPr="006571AC">
        <w:rPr>
          <w:rFonts w:asciiTheme="minorBidi" w:hAnsiTheme="minorBidi" w:cs="DanaFajr"/>
          <w:sz w:val="28"/>
          <w:szCs w:val="28"/>
          <w:rtl/>
          <w:lang w:bidi="ar-MA"/>
        </w:rPr>
        <w:t>(</w:t>
      </w:r>
      <w:r w:rsidRPr="006571AC">
        <w:rPr>
          <w:rFonts w:asciiTheme="minorBidi" w:hAnsiTheme="minorBidi" w:cs="DanaFajr"/>
          <w:sz w:val="28"/>
          <w:szCs w:val="28"/>
        </w:rPr>
        <w:endnoteRef/>
      </w:r>
      <w:r w:rsidRPr="006571AC">
        <w:rPr>
          <w:rFonts w:asciiTheme="minorBidi" w:hAnsiTheme="minorBidi" w:cs="DanaFajr"/>
          <w:sz w:val="28"/>
          <w:szCs w:val="28"/>
          <w:rtl/>
          <w:lang w:bidi="ar-MA"/>
        </w:rPr>
        <w:t xml:space="preserve">) </w:t>
      </w:r>
      <w:r w:rsidRPr="006571AC">
        <w:rPr>
          <w:rFonts w:asciiTheme="minorBidi" w:hAnsiTheme="minorBidi" w:cs="DanaFajr"/>
          <w:sz w:val="28"/>
          <w:szCs w:val="28"/>
          <w:rtl/>
        </w:rPr>
        <w:t>مرتضى مطه</w:t>
      </w:r>
      <w:r w:rsidRPr="006571AC">
        <w:rPr>
          <w:rFonts w:asciiTheme="minorBidi" w:hAnsiTheme="minorBidi" w:cs="DanaFajr" w:hint="cs"/>
          <w:sz w:val="28"/>
          <w:szCs w:val="28"/>
          <w:rtl/>
        </w:rPr>
        <w:t>ّ</w:t>
      </w:r>
      <w:r w:rsidRPr="006571AC">
        <w:rPr>
          <w:rFonts w:asciiTheme="minorBidi" w:hAnsiTheme="minorBidi" w:cs="DanaFajr"/>
          <w:sz w:val="28"/>
          <w:szCs w:val="28"/>
          <w:rtl/>
        </w:rPr>
        <w:t>ري، الا</w:t>
      </w:r>
      <w:r w:rsidRPr="006571AC">
        <w:rPr>
          <w:rFonts w:asciiTheme="minorBidi" w:hAnsiTheme="minorBidi" w:cs="DanaFajr"/>
          <w:sz w:val="28"/>
          <w:szCs w:val="28"/>
          <w:rtl/>
          <w:lang w:bidi="ar-MA"/>
        </w:rPr>
        <w:t>جتهاد في ال</w:t>
      </w:r>
      <w:r>
        <w:rPr>
          <w:rFonts w:asciiTheme="minorBidi" w:hAnsiTheme="minorBidi" w:cs="DanaFajr" w:hint="cs"/>
          <w:sz w:val="28"/>
          <w:szCs w:val="28"/>
          <w:rtl/>
          <w:lang w:bidi="ar-MA"/>
        </w:rPr>
        <w:t>إ</w:t>
      </w:r>
      <w:r w:rsidRPr="006571AC">
        <w:rPr>
          <w:rFonts w:asciiTheme="minorBidi" w:hAnsiTheme="minorBidi" w:cs="DanaFajr"/>
          <w:sz w:val="28"/>
          <w:szCs w:val="28"/>
          <w:rtl/>
          <w:lang w:bidi="ar-MA"/>
        </w:rPr>
        <w:t>سلام والمشكلة الأساس في جماعة علماء الدين</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30</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دار التعارف للمطبوعات، بيروت، </w:t>
      </w:r>
      <w:r w:rsidRPr="006571AC">
        <w:rPr>
          <w:rFonts w:asciiTheme="minorBidi" w:hAnsiTheme="minorBidi" w:cs="DanaFajr" w:hint="cs"/>
          <w:sz w:val="28"/>
          <w:szCs w:val="28"/>
          <w:rtl/>
          <w:lang w:bidi="ar-MA"/>
        </w:rPr>
        <w:t>بدون تاريخ، ولا رقم الطبعة</w:t>
      </w:r>
      <w:r w:rsidRPr="006571AC">
        <w:rPr>
          <w:rFonts w:asciiTheme="minorBidi" w:hAnsiTheme="minorBidi" w:cs="DanaFajr"/>
          <w:sz w:val="28"/>
          <w:szCs w:val="28"/>
          <w:rtl/>
          <w:lang w:bidi="ar-MA"/>
        </w:rPr>
        <w:t xml:space="preserve">. </w:t>
      </w:r>
    </w:p>
  </w:endnote>
  <w:endnote w:id="598">
    <w:p w:rsidR="00DB2356" w:rsidRPr="006571AC" w:rsidRDefault="00DB2356" w:rsidP="00D463F9">
      <w:pPr>
        <w:pStyle w:val="aa"/>
        <w:spacing w:line="306" w:lineRule="exact"/>
        <w:ind w:firstLine="0"/>
        <w:rPr>
          <w:rFonts w:asciiTheme="minorBidi" w:hAnsiTheme="minorBidi" w:cs="DanaFajr"/>
          <w:sz w:val="28"/>
          <w:szCs w:val="28"/>
          <w:rtl/>
          <w:lang w:bidi="ar-MA"/>
        </w:rPr>
      </w:pPr>
      <w:r w:rsidRPr="006571AC">
        <w:rPr>
          <w:rFonts w:asciiTheme="minorBidi" w:hAnsiTheme="minorBidi" w:cs="DanaFajr"/>
          <w:sz w:val="28"/>
          <w:szCs w:val="28"/>
          <w:rtl/>
          <w:lang w:bidi="ar-MA"/>
        </w:rPr>
        <w:t>(</w:t>
      </w:r>
      <w:r w:rsidRPr="006571AC">
        <w:rPr>
          <w:rFonts w:asciiTheme="minorBidi" w:hAnsiTheme="minorBidi" w:cs="DanaFajr"/>
          <w:sz w:val="28"/>
          <w:szCs w:val="28"/>
          <w:lang w:bidi="ar-MA"/>
        </w:rPr>
        <w:endnoteRef/>
      </w:r>
      <w:r w:rsidRPr="006571AC">
        <w:rPr>
          <w:rFonts w:asciiTheme="minorBidi" w:hAnsiTheme="minorBidi" w:cs="DanaFajr"/>
          <w:sz w:val="28"/>
          <w:szCs w:val="28"/>
          <w:rtl/>
          <w:lang w:bidi="ar-MA"/>
        </w:rPr>
        <w:t xml:space="preserve">) يقول </w:t>
      </w:r>
      <w:r>
        <w:rPr>
          <w:rFonts w:asciiTheme="minorBidi" w:hAnsiTheme="minorBidi" w:cs="DanaFajr" w:hint="cs"/>
          <w:sz w:val="28"/>
          <w:szCs w:val="28"/>
          <w:rtl/>
          <w:lang w:bidi="ar-MA"/>
        </w:rPr>
        <w:t xml:space="preserve">عبد الله </w:t>
      </w:r>
      <w:r w:rsidRPr="006571AC">
        <w:rPr>
          <w:rFonts w:asciiTheme="minorBidi" w:hAnsiTheme="minorBidi" w:cs="DanaFajr"/>
          <w:sz w:val="28"/>
          <w:szCs w:val="28"/>
          <w:rtl/>
          <w:lang w:bidi="ar-MA"/>
        </w:rPr>
        <w:t xml:space="preserve">بن بية: </w:t>
      </w:r>
      <w:r w:rsidRPr="006571AC">
        <w:rPr>
          <w:rFonts w:asciiTheme="minorBidi" w:hAnsiTheme="minorBidi" w:cs="DanaFajr" w:hint="eastAsia"/>
          <w:sz w:val="28"/>
          <w:szCs w:val="28"/>
          <w:rtl/>
          <w:lang w:bidi="ar-MA"/>
        </w:rPr>
        <w:t>«</w:t>
      </w:r>
      <w:r w:rsidRPr="006571AC">
        <w:rPr>
          <w:rFonts w:asciiTheme="minorBidi" w:hAnsiTheme="minorBidi" w:cs="DanaFajr"/>
          <w:sz w:val="28"/>
          <w:szCs w:val="28"/>
          <w:rtl/>
          <w:lang w:bidi="ar-MA"/>
        </w:rPr>
        <w:t>والمطلوب هو معرفة الواقع بكل تفاصيله، وليس الواقع بمعنى اللحظة الحاضرة، لكنه الواقع الذي يعني الماضي الذي أفرز الحاضر وأس</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س له، والذي بدون تصو</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ره لا يمكن تصو</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 حاضر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هو امتداد</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له</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وحلقة</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من سلسلة أحداثه وإحداثياته</w:t>
      </w:r>
      <w:r w:rsidRPr="006571AC">
        <w:rPr>
          <w:rFonts w:asciiTheme="minorBidi" w:hAnsiTheme="minorBidi" w:cs="DanaFajr" w:hint="eastAsia"/>
          <w:sz w:val="28"/>
          <w:szCs w:val="28"/>
          <w:rtl/>
          <w:lang w:bidi="ar-MA"/>
        </w:rPr>
        <w:t>»</w:t>
      </w:r>
      <w:r w:rsidRPr="006571AC">
        <w:rPr>
          <w:rFonts w:asciiTheme="minorBidi" w:hAnsiTheme="minorBidi" w:cs="DanaFajr"/>
          <w:sz w:val="28"/>
          <w:szCs w:val="28"/>
          <w:rtl/>
          <w:lang w:bidi="ar-MA"/>
        </w:rPr>
        <w:t>. تنبيه المراجع: 36</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مركز نماء للبحوث والدراسات،</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بيروت</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ط1</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2014</w:t>
      </w:r>
      <w:r w:rsidRPr="006571AC">
        <w:rPr>
          <w:rFonts w:asciiTheme="minorBidi" w:hAnsiTheme="minorBidi" w:cs="DanaFajr" w:hint="cs"/>
          <w:sz w:val="28"/>
          <w:szCs w:val="28"/>
          <w:rtl/>
          <w:lang w:bidi="ar-MA"/>
        </w:rPr>
        <w:t>م</w:t>
      </w:r>
      <w:r w:rsidRPr="006571AC">
        <w:rPr>
          <w:rFonts w:asciiTheme="minorBidi" w:hAnsiTheme="minorBidi" w:cs="DanaFajr"/>
          <w:sz w:val="28"/>
          <w:szCs w:val="28"/>
          <w:rtl/>
          <w:lang w:bidi="ar-MA"/>
        </w:rPr>
        <w:t xml:space="preserve">. </w:t>
      </w:r>
    </w:p>
  </w:endnote>
  <w:endnote w:id="599">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ينظر: عبد الله بن بية، صناعة الفتوى وفقه الأقل</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يات: 165</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دار المنهاج، بيروت، ط1</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1428</w:t>
      </w:r>
      <w:r w:rsidRPr="006571AC">
        <w:rPr>
          <w:rFonts w:asciiTheme="minorBidi" w:hAnsiTheme="minorBidi" w:cs="DanaFajr" w:hint="cs"/>
          <w:sz w:val="28"/>
          <w:szCs w:val="28"/>
          <w:rtl/>
          <w:lang w:bidi="ar-MA"/>
        </w:rPr>
        <w:t>هـ</w:t>
      </w:r>
      <w:r w:rsidRPr="006571AC">
        <w:rPr>
          <w:rFonts w:asciiTheme="minorBidi" w:hAnsiTheme="minorBidi" w:cs="DanaFajr"/>
          <w:sz w:val="28"/>
          <w:szCs w:val="28"/>
          <w:rtl/>
          <w:lang w:bidi="ar-MA"/>
        </w:rPr>
        <w:t xml:space="preserve"> ـ 2007</w:t>
      </w:r>
      <w:r w:rsidRPr="006571AC">
        <w:rPr>
          <w:rFonts w:asciiTheme="minorBidi" w:hAnsiTheme="minorBidi" w:cs="DanaFajr" w:hint="cs"/>
          <w:sz w:val="28"/>
          <w:szCs w:val="28"/>
          <w:rtl/>
          <w:lang w:bidi="ar-MA"/>
        </w:rPr>
        <w:t>م</w:t>
      </w:r>
      <w:r w:rsidRPr="006571AC">
        <w:rPr>
          <w:rFonts w:asciiTheme="minorBidi" w:hAnsiTheme="minorBidi" w:cs="DanaFajr"/>
          <w:sz w:val="28"/>
          <w:szCs w:val="28"/>
          <w:rtl/>
          <w:lang w:bidi="ar-MA"/>
        </w:rPr>
        <w:t xml:space="preserve">. </w:t>
      </w:r>
    </w:p>
  </w:endnote>
  <w:endnote w:id="600">
    <w:p w:rsidR="00DB2356" w:rsidRPr="006571AC" w:rsidRDefault="00DB2356" w:rsidP="00B41235">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ألح</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ابن عابدين</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كما ينقل عن بعض العلماء</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أن </w:t>
      </w:r>
      <w:r w:rsidRPr="006571AC">
        <w:rPr>
          <w:rFonts w:hint="eastAsia"/>
          <w:sz w:val="22"/>
          <w:szCs w:val="22"/>
          <w:rtl/>
          <w:lang w:bidi="ar-MA"/>
        </w:rPr>
        <w:t>«</w:t>
      </w:r>
      <w:r w:rsidRPr="006571AC">
        <w:rPr>
          <w:rFonts w:asciiTheme="minorBidi" w:hAnsiTheme="minorBidi" w:cs="DanaFajr"/>
          <w:sz w:val="28"/>
          <w:szCs w:val="28"/>
          <w:rtl/>
          <w:lang w:bidi="ar-MA"/>
        </w:rPr>
        <w:t>المفتي الذي يفتي بالع</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ف لا بُدَّ له من معرفة الزمان وأحوال أهله، ومعرفة أن هذا الع</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ف خاص</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أو عام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وأنه مخالف للنص</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أو لا، ولا بُدَّ له من التخر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ج على أستاذ ماهر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ولا يكفيه مجرد حفظ المسائل والدلايل، فإن المجتهد لا بُدَّ له من معرفة عادات الناس</w:t>
      </w:r>
      <w:r w:rsidRPr="006571AC">
        <w:rPr>
          <w:rFonts w:hint="eastAsia"/>
          <w:sz w:val="22"/>
          <w:szCs w:val="22"/>
          <w:rtl/>
        </w:rPr>
        <w:t>»</w:t>
      </w:r>
      <w:r w:rsidRPr="006571AC">
        <w:rPr>
          <w:rFonts w:asciiTheme="minorBidi" w:hAnsiTheme="minorBidi" w:cs="DanaFajr"/>
          <w:sz w:val="28"/>
          <w:szCs w:val="28"/>
          <w:rtl/>
          <w:lang w:bidi="ar-MA"/>
        </w:rPr>
        <w:t>، ثم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نقل عن صاحب الأشباه</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عن البزازية</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أن </w:t>
      </w:r>
      <w:r w:rsidRPr="006571AC">
        <w:rPr>
          <w:rFonts w:hint="eastAsia"/>
          <w:sz w:val="22"/>
          <w:szCs w:val="22"/>
          <w:rtl/>
          <w:lang w:bidi="ar-MA"/>
        </w:rPr>
        <w:t>«</w:t>
      </w:r>
      <w:r w:rsidRPr="006571AC">
        <w:rPr>
          <w:rFonts w:asciiTheme="minorBidi" w:hAnsiTheme="minorBidi" w:cs="DanaFajr"/>
          <w:sz w:val="28"/>
          <w:szCs w:val="28"/>
          <w:rtl/>
          <w:lang w:bidi="ar-MA"/>
        </w:rPr>
        <w:t>المفتي يفتي بما يقع عنده من المصلحة</w:t>
      </w:r>
      <w:r w:rsidRPr="006571AC">
        <w:rPr>
          <w:rFonts w:hint="eastAsia"/>
          <w:sz w:val="22"/>
          <w:szCs w:val="22"/>
          <w:rtl/>
        </w:rPr>
        <w:t>»</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انظر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رسائل ابن عابدين 2</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129</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طبعة ال</w:t>
      </w:r>
      <w:r w:rsidRPr="006571AC">
        <w:rPr>
          <w:rFonts w:asciiTheme="minorBidi" w:hAnsiTheme="minorBidi" w:cs="DanaFajr" w:hint="cs"/>
          <w:sz w:val="28"/>
          <w:szCs w:val="28"/>
          <w:rtl/>
          <w:lang w:bidi="ar-MA"/>
        </w:rPr>
        <w:t>آ</w:t>
      </w:r>
      <w:r w:rsidRPr="006571AC">
        <w:rPr>
          <w:rFonts w:asciiTheme="minorBidi" w:hAnsiTheme="minorBidi" w:cs="DanaFajr"/>
          <w:sz w:val="28"/>
          <w:szCs w:val="28"/>
          <w:rtl/>
          <w:lang w:bidi="ar-MA"/>
        </w:rPr>
        <w:t>ستانة</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1325هـ. </w:t>
      </w:r>
    </w:p>
  </w:endnote>
  <w:endnote w:id="601">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ابن قي</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م الجوزية، إعلام الموقعين ع</w:t>
      </w:r>
      <w:r w:rsidRPr="006571AC">
        <w:rPr>
          <w:rFonts w:asciiTheme="minorBidi" w:hAnsiTheme="minorBidi" w:cs="DanaFajr"/>
          <w:sz w:val="28"/>
          <w:szCs w:val="28"/>
          <w:rtl/>
          <w:lang w:bidi="ar-EG"/>
        </w:rPr>
        <w:t>ن رب العالمين 6</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105 ـ 106</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سلسلة مكتبة ابن القي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م، اعتنى به قراءة وتقديما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وتخريجا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مشهور آل سلمان، دار ابن الجوزي بالدمام، ط1</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1423</w:t>
      </w:r>
      <w:r w:rsidRPr="006571AC">
        <w:rPr>
          <w:rFonts w:asciiTheme="minorBidi" w:hAnsiTheme="minorBidi" w:cs="DanaFajr" w:hint="cs"/>
          <w:sz w:val="28"/>
          <w:szCs w:val="28"/>
          <w:rtl/>
          <w:lang w:bidi="ar-EG"/>
        </w:rPr>
        <w:t>هـ</w:t>
      </w:r>
      <w:r w:rsidRPr="006571AC">
        <w:rPr>
          <w:rFonts w:asciiTheme="minorBidi" w:hAnsiTheme="minorBidi" w:cs="DanaFajr"/>
          <w:sz w:val="28"/>
          <w:szCs w:val="28"/>
          <w:rtl/>
          <w:lang w:bidi="ar-EG"/>
        </w:rPr>
        <w:t>. ثم علق ابن القي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م على هذا الشرط بقوله: </w:t>
      </w:r>
      <w:r w:rsidRPr="006571AC">
        <w:rPr>
          <w:rFonts w:hint="eastAsia"/>
          <w:sz w:val="22"/>
          <w:szCs w:val="22"/>
          <w:rtl/>
          <w:lang w:bidi="ar-EG"/>
        </w:rPr>
        <w:t>«</w:t>
      </w:r>
      <w:r w:rsidRPr="006571AC">
        <w:rPr>
          <w:rFonts w:asciiTheme="minorBidi" w:hAnsiTheme="minorBidi" w:cs="DanaFajr"/>
          <w:sz w:val="28"/>
          <w:szCs w:val="28"/>
          <w:rtl/>
          <w:lang w:bidi="ar-EG"/>
        </w:rPr>
        <w:t>وأما قوله</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الخامسة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معرفة الناس</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فهذا أصل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عظيم يحتاج إليه المفتي والحاكم، فإن</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لم يكن فقيها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فيه فقيها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في الأمر والنهي ثم</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يطب</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ق أحدهما على الآخر، وإلا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كان ما يفسد أكثر مما يصلح</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بل ينبغي له أن يكون فقيها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في معرفة مكر الناس وخداعهم واحتيالهم وعوائدهم وعرفياتهم، فإن الفتوى تتغي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بتغي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الزمان والمكان والعوائد والأحوال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وذلك كله من دين الله...</w:t>
      </w:r>
      <w:r w:rsidRPr="006571AC">
        <w:rPr>
          <w:rFonts w:hint="eastAsia"/>
          <w:sz w:val="22"/>
          <w:szCs w:val="22"/>
          <w:rtl/>
        </w:rPr>
        <w:t>»</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الإعلام 6</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113 ـ 114. </w:t>
      </w:r>
    </w:p>
  </w:endnote>
  <w:endnote w:id="602">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أبو إسحاق الشاطبي، الموافقات 5</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276</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ضبط وتعليق وإخراج</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مشهور آل سلمان، دار ابن عف</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ان بالسعودية، ط1</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1417</w:t>
      </w:r>
      <w:r w:rsidRPr="006571AC">
        <w:rPr>
          <w:rFonts w:asciiTheme="minorBidi" w:hAnsiTheme="minorBidi" w:cs="DanaFajr" w:hint="cs"/>
          <w:sz w:val="28"/>
          <w:szCs w:val="28"/>
          <w:rtl/>
          <w:lang w:bidi="ar-EG"/>
        </w:rPr>
        <w:t>هـ</w:t>
      </w:r>
      <w:r w:rsidRPr="006571AC">
        <w:rPr>
          <w:rFonts w:asciiTheme="minorBidi" w:hAnsiTheme="minorBidi" w:cs="DanaFajr"/>
          <w:sz w:val="28"/>
          <w:szCs w:val="28"/>
          <w:rtl/>
          <w:lang w:bidi="ar-EG"/>
        </w:rPr>
        <w:t xml:space="preserve"> ـ 1997</w:t>
      </w:r>
      <w:r w:rsidRPr="006571AC">
        <w:rPr>
          <w:rFonts w:asciiTheme="minorBidi" w:hAnsiTheme="minorBidi" w:cs="DanaFajr" w:hint="cs"/>
          <w:sz w:val="28"/>
          <w:szCs w:val="28"/>
          <w:rtl/>
          <w:lang w:bidi="ar-EG"/>
        </w:rPr>
        <w:t>م</w:t>
      </w:r>
      <w:r w:rsidRPr="006571AC">
        <w:rPr>
          <w:rFonts w:asciiTheme="minorBidi" w:hAnsiTheme="minorBidi" w:cs="DanaFajr"/>
          <w:sz w:val="28"/>
          <w:szCs w:val="28"/>
          <w:rtl/>
          <w:lang w:bidi="ar-EG"/>
        </w:rPr>
        <w:t xml:space="preserve">، الطرف الثاني من كتاب الاجتهاد. </w:t>
      </w:r>
    </w:p>
  </w:endnote>
  <w:endnote w:id="603">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أبو إسحاق الشاطبي، الموافقات 2</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525. </w:t>
      </w:r>
    </w:p>
  </w:endnote>
  <w:endnote w:id="604">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رواه البخاري في كتاب المناقب، باب صفة النبي</w:t>
      </w:r>
      <w:r w:rsidRPr="006571AC">
        <w:rPr>
          <w:rFonts w:asciiTheme="minorBidi" w:hAnsiTheme="minorBidi" w:cs="DanaFajr" w:hint="cs"/>
          <w:sz w:val="28"/>
          <w:szCs w:val="28"/>
          <w:rtl/>
          <w:lang w:bidi="ar-EG"/>
        </w:rPr>
        <w:t>ّ</w:t>
      </w:r>
      <w:r w:rsidRPr="006571AC">
        <w:rPr>
          <w:rFonts w:ascii="Mosawi" w:hAnsi="Mosawi" w:cs="Mosawi"/>
          <w:rtl/>
        </w:rPr>
        <w:t>ﷺ</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رقم 3560</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و</w:t>
      </w:r>
      <w:r w:rsidRPr="006571AC">
        <w:rPr>
          <w:rFonts w:asciiTheme="minorBidi" w:hAnsiTheme="minorBidi" w:cs="DanaFajr" w:hint="cs"/>
          <w:sz w:val="28"/>
          <w:szCs w:val="28"/>
          <w:rtl/>
          <w:lang w:bidi="ar-EG"/>
        </w:rPr>
        <w:t xml:space="preserve">رواه </w:t>
      </w:r>
      <w:r w:rsidRPr="006571AC">
        <w:rPr>
          <w:rFonts w:asciiTheme="minorBidi" w:hAnsiTheme="minorBidi" w:cs="DanaFajr"/>
          <w:sz w:val="28"/>
          <w:szCs w:val="28"/>
          <w:rtl/>
          <w:lang w:bidi="ar-EG"/>
        </w:rPr>
        <w:t>مسلم في كتاب الفضائل، باب مباعدته</w:t>
      </w:r>
      <w:r w:rsidRPr="006571AC">
        <w:rPr>
          <w:rFonts w:ascii="Mosawi" w:hAnsi="Mosawi" w:cs="Mosawi"/>
          <w:rtl/>
        </w:rPr>
        <w:t>ﷺ</w:t>
      </w:r>
      <w:r w:rsidRPr="006571AC">
        <w:rPr>
          <w:rFonts w:asciiTheme="minorBidi" w:hAnsiTheme="minorBidi" w:cs="DanaFajr"/>
          <w:sz w:val="28"/>
          <w:szCs w:val="28"/>
          <w:rtl/>
          <w:lang w:bidi="ar-EG"/>
        </w:rPr>
        <w:t xml:space="preserve"> للآثام واختياره من المباح أسهله وانتقامه لله عند انتهاك حرماته</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رقم 2327</w:t>
      </w:r>
      <w:r w:rsidRPr="006571AC">
        <w:rPr>
          <w:rFonts w:asciiTheme="minorBidi" w:hAnsiTheme="minorBidi" w:cs="DanaFajr" w:hint="cs"/>
          <w:sz w:val="28"/>
          <w:szCs w:val="28"/>
          <w:rtl/>
        </w:rPr>
        <w:t>.</w:t>
      </w:r>
    </w:p>
  </w:endnote>
  <w:endnote w:id="605">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روي عن عمر بن الخط</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اب رضي الله عنه</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موطأ مالك برواية أبي مصعب الزهري 1</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379</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جامع ما جاء في الجهاد، رقم الحديث 964. </w:t>
      </w:r>
    </w:p>
  </w:endnote>
  <w:endnote w:id="606">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 xml:space="preserve">قال </w:t>
      </w:r>
      <w:r w:rsidRPr="006571AC">
        <w:rPr>
          <w:rFonts w:asciiTheme="minorBidi" w:eastAsiaTheme="minorHAnsi" w:hAnsiTheme="minorBidi" w:cs="DanaFajr"/>
          <w:sz w:val="28"/>
          <w:szCs w:val="28"/>
          <w:rtl/>
          <w:lang w:bidi="ar-MA"/>
        </w:rPr>
        <w:t xml:space="preserve">تقي الدين </w:t>
      </w:r>
      <w:r w:rsidRPr="006571AC">
        <w:rPr>
          <w:rFonts w:asciiTheme="minorBidi" w:hAnsiTheme="minorBidi" w:cs="DanaFajr"/>
          <w:sz w:val="28"/>
          <w:szCs w:val="28"/>
          <w:rtl/>
          <w:lang w:bidi="ar-MA"/>
        </w:rPr>
        <w:t xml:space="preserve">السبكي: </w:t>
      </w:r>
      <w:r w:rsidRPr="006571AC">
        <w:rPr>
          <w:rFonts w:hint="eastAsia"/>
          <w:sz w:val="22"/>
          <w:szCs w:val="22"/>
          <w:rtl/>
          <w:lang w:bidi="ar-MA"/>
        </w:rPr>
        <w:t>«</w:t>
      </w:r>
      <w:r w:rsidRPr="006571AC">
        <w:rPr>
          <w:rFonts w:asciiTheme="minorBidi" w:hAnsiTheme="minorBidi" w:cs="DanaFajr"/>
          <w:sz w:val="28"/>
          <w:szCs w:val="28"/>
          <w:rtl/>
          <w:lang w:bidi="ar-MA"/>
        </w:rPr>
        <w:t>وإن</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شئت قلت السادسة ـ أي القاعدة السادسة الكلية الفقهية ـ المشقة تجلب التيسير، وإن</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شئت</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قلت</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إذا ضاق الأمر اتسع</w:t>
      </w:r>
      <w:r w:rsidRPr="006571AC">
        <w:rPr>
          <w:rFonts w:hint="eastAsia"/>
          <w:sz w:val="22"/>
          <w:szCs w:val="22"/>
          <w:rtl/>
        </w:rPr>
        <w:t>»</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الأشباه والنظائر</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1</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49</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دار الكتب العلمية</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بيروت، ط1</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1411</w:t>
      </w:r>
      <w:r w:rsidRPr="006571AC">
        <w:rPr>
          <w:rFonts w:asciiTheme="minorBidi" w:hAnsiTheme="minorBidi" w:cs="DanaFajr" w:hint="cs"/>
          <w:sz w:val="28"/>
          <w:szCs w:val="28"/>
          <w:rtl/>
          <w:lang w:bidi="ar-MA"/>
        </w:rPr>
        <w:t>هـ</w:t>
      </w:r>
      <w:r w:rsidRPr="006571AC">
        <w:rPr>
          <w:rFonts w:asciiTheme="minorBidi" w:hAnsiTheme="minorBidi" w:cs="DanaFajr"/>
          <w:sz w:val="28"/>
          <w:szCs w:val="28"/>
          <w:rtl/>
          <w:lang w:bidi="ar-MA"/>
        </w:rPr>
        <w:t xml:space="preserve"> ـ 1991</w:t>
      </w:r>
      <w:r w:rsidRPr="006571AC">
        <w:rPr>
          <w:rFonts w:asciiTheme="minorBidi" w:hAnsiTheme="minorBidi" w:cs="DanaFajr" w:hint="cs"/>
          <w:sz w:val="28"/>
          <w:szCs w:val="28"/>
          <w:rtl/>
          <w:lang w:bidi="ar-MA"/>
        </w:rPr>
        <w:t>م</w:t>
      </w:r>
      <w:r w:rsidRPr="006571AC">
        <w:rPr>
          <w:rFonts w:asciiTheme="minorBidi" w:hAnsiTheme="minorBidi" w:cs="DanaFajr"/>
          <w:sz w:val="28"/>
          <w:szCs w:val="28"/>
          <w:rtl/>
          <w:lang w:bidi="ar-MA"/>
        </w:rPr>
        <w:t xml:space="preserve">. </w:t>
      </w:r>
    </w:p>
  </w:endnote>
  <w:endnote w:id="607">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أبو محمد الدارمي، كتاب المسند الجامع: 134، كتاب العلم، باب الفتيا وما فيه من الشدة، رقم الحديث 171</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اعتنى به</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نبيل الغمري، دار البشائر الإسلامية، بيروت، ط1</w:t>
      </w:r>
      <w:r w:rsidRPr="006571AC">
        <w:rPr>
          <w:rFonts w:asciiTheme="minorBidi" w:hAnsiTheme="minorBidi" w:cs="DanaFajr" w:hint="cs"/>
          <w:sz w:val="28"/>
          <w:szCs w:val="28"/>
          <w:rtl/>
        </w:rPr>
        <w:t xml:space="preserve">، </w:t>
      </w:r>
      <w:r w:rsidRPr="006571AC">
        <w:rPr>
          <w:rFonts w:asciiTheme="minorBidi" w:hAnsiTheme="minorBidi" w:cs="DanaFajr"/>
          <w:sz w:val="28"/>
          <w:szCs w:val="28"/>
          <w:rtl/>
        </w:rPr>
        <w:t>1434</w:t>
      </w:r>
      <w:r w:rsidRPr="006571AC">
        <w:rPr>
          <w:rFonts w:asciiTheme="minorBidi" w:hAnsiTheme="minorBidi" w:cs="DanaFajr" w:hint="cs"/>
          <w:sz w:val="28"/>
          <w:szCs w:val="28"/>
          <w:rtl/>
        </w:rPr>
        <w:t>هـ</w:t>
      </w:r>
      <w:r w:rsidRPr="006571AC">
        <w:rPr>
          <w:rFonts w:asciiTheme="minorBidi" w:hAnsiTheme="minorBidi" w:cs="DanaFajr"/>
          <w:sz w:val="28"/>
          <w:szCs w:val="28"/>
          <w:rtl/>
        </w:rPr>
        <w:t xml:space="preserve"> ـ 2013</w:t>
      </w:r>
      <w:r w:rsidRPr="006571AC">
        <w:rPr>
          <w:rFonts w:asciiTheme="minorBidi" w:hAnsiTheme="minorBidi" w:cs="DanaFajr" w:hint="cs"/>
          <w:sz w:val="28"/>
          <w:szCs w:val="28"/>
          <w:rtl/>
        </w:rPr>
        <w:t>م</w:t>
      </w:r>
      <w:r w:rsidRPr="006571AC">
        <w:rPr>
          <w:rFonts w:asciiTheme="minorBidi" w:hAnsiTheme="minorBidi" w:cs="DanaFajr"/>
          <w:sz w:val="28"/>
          <w:szCs w:val="28"/>
          <w:rtl/>
        </w:rPr>
        <w:t xml:space="preserve">. </w:t>
      </w:r>
    </w:p>
  </w:endnote>
  <w:endnote w:id="608">
    <w:p w:rsidR="00DB2356" w:rsidRPr="006571AC" w:rsidRDefault="00DB2356" w:rsidP="0042241D">
      <w:pPr>
        <w:pStyle w:val="aa"/>
        <w:spacing w:line="306" w:lineRule="exact"/>
        <w:ind w:firstLine="0"/>
        <w:rPr>
          <w:rFonts w:asciiTheme="minorBidi" w:hAnsiTheme="minorBidi" w:cs="DanaFajr"/>
          <w:sz w:val="28"/>
          <w:szCs w:val="28"/>
          <w:rtl/>
        </w:rPr>
      </w:pPr>
      <w:r w:rsidRPr="006571AC">
        <w:rPr>
          <w:rStyle w:val="ac"/>
          <w:rFonts w:cs="DanaFajr"/>
          <w:sz w:val="28"/>
          <w:szCs w:val="28"/>
          <w:vertAlign w:val="baseline"/>
          <w:rtl/>
        </w:rPr>
        <w:t>(</w:t>
      </w:r>
      <w:r w:rsidRPr="006571AC">
        <w:rPr>
          <w:rStyle w:val="ac"/>
          <w:rFonts w:asciiTheme="minorBidi" w:hAnsiTheme="minorBidi" w:cs="DanaFajr"/>
          <w:sz w:val="28"/>
          <w:szCs w:val="28"/>
          <w:vertAlign w:val="baseline"/>
        </w:rPr>
        <w:endnoteRef/>
      </w:r>
      <w:r w:rsidRPr="006571AC">
        <w:rPr>
          <w:rStyle w:val="ac"/>
          <w:rFonts w:cs="DanaFajr"/>
          <w:sz w:val="28"/>
          <w:szCs w:val="28"/>
          <w:vertAlign w:val="baseline"/>
          <w:rtl/>
        </w:rPr>
        <w:t xml:space="preserve">) </w:t>
      </w:r>
      <w:r w:rsidRPr="006571AC">
        <w:rPr>
          <w:rStyle w:val="ac"/>
          <w:rFonts w:cs="DanaFajr" w:hint="cs"/>
          <w:sz w:val="28"/>
          <w:szCs w:val="28"/>
          <w:vertAlign w:val="baseline"/>
          <w:rtl/>
        </w:rPr>
        <w:t>ابن القي</w:t>
      </w:r>
      <w:r w:rsidRPr="006571AC">
        <w:rPr>
          <w:rFonts w:cs="DanaFajr" w:hint="cs"/>
          <w:sz w:val="28"/>
          <w:szCs w:val="28"/>
          <w:rtl/>
        </w:rPr>
        <w:t>ِّ</w:t>
      </w:r>
      <w:r w:rsidRPr="006571AC">
        <w:rPr>
          <w:rStyle w:val="ac"/>
          <w:rFonts w:cs="DanaFajr" w:hint="cs"/>
          <w:sz w:val="28"/>
          <w:szCs w:val="28"/>
          <w:vertAlign w:val="baseline"/>
          <w:rtl/>
        </w:rPr>
        <w:t>م، إعلام الموقعين</w:t>
      </w:r>
      <w:r w:rsidRPr="006571AC">
        <w:rPr>
          <w:rStyle w:val="ac"/>
          <w:rFonts w:asciiTheme="minorBidi" w:hAnsiTheme="minorBidi" w:cs="DanaFajr" w:hint="cs"/>
          <w:sz w:val="28"/>
          <w:szCs w:val="28"/>
          <w:vertAlign w:val="baseline"/>
          <w:rtl/>
        </w:rPr>
        <w:t xml:space="preserve"> </w:t>
      </w:r>
      <w:r w:rsidRPr="006571AC">
        <w:rPr>
          <w:rStyle w:val="ac"/>
          <w:rFonts w:cs="DanaFajr" w:hint="cs"/>
          <w:sz w:val="28"/>
          <w:szCs w:val="28"/>
          <w:vertAlign w:val="baseline"/>
          <w:rtl/>
        </w:rPr>
        <w:t>2:</w:t>
      </w:r>
      <w:r w:rsidRPr="006571AC">
        <w:rPr>
          <w:rFonts w:cs="DanaFajr" w:hint="cs"/>
          <w:sz w:val="28"/>
          <w:szCs w:val="28"/>
          <w:rtl/>
        </w:rPr>
        <w:t xml:space="preserve"> </w:t>
      </w:r>
      <w:r w:rsidRPr="006571AC">
        <w:rPr>
          <w:rStyle w:val="ac"/>
          <w:rFonts w:cs="DanaFajr" w:hint="cs"/>
          <w:sz w:val="28"/>
          <w:szCs w:val="28"/>
          <w:vertAlign w:val="baseline"/>
          <w:rtl/>
        </w:rPr>
        <w:t xml:space="preserve">104 ـ 105، </w:t>
      </w:r>
      <w:r w:rsidRPr="006571AC">
        <w:rPr>
          <w:rStyle w:val="ac"/>
          <w:rFonts w:asciiTheme="minorBidi" w:hAnsiTheme="minorBidi" w:cs="DanaFajr"/>
          <w:sz w:val="28"/>
          <w:szCs w:val="28"/>
          <w:vertAlign w:val="baseline"/>
          <w:rtl/>
        </w:rPr>
        <w:t>الوعيد على القول بالرأي</w:t>
      </w:r>
      <w:r w:rsidRPr="006571AC">
        <w:rPr>
          <w:rStyle w:val="ac"/>
          <w:rFonts w:asciiTheme="minorBidi" w:hAnsiTheme="minorBidi" w:cs="DanaFajr" w:hint="cs"/>
          <w:sz w:val="28"/>
          <w:szCs w:val="28"/>
          <w:vertAlign w:val="baseline"/>
          <w:rtl/>
        </w:rPr>
        <w:t xml:space="preserve">، </w:t>
      </w:r>
      <w:r w:rsidRPr="006571AC">
        <w:rPr>
          <w:rStyle w:val="ac"/>
          <w:rFonts w:asciiTheme="minorBidi" w:hAnsiTheme="minorBidi" w:cs="DanaFajr"/>
          <w:sz w:val="28"/>
          <w:szCs w:val="28"/>
          <w:vertAlign w:val="baseline"/>
          <w:rtl/>
        </w:rPr>
        <w:t>فصل</w:t>
      </w:r>
      <w:r w:rsidRPr="006571AC">
        <w:rPr>
          <w:rStyle w:val="ac"/>
          <w:rFonts w:asciiTheme="minorBidi" w:hAnsiTheme="minorBidi" w:cs="DanaFajr" w:hint="cs"/>
          <w:sz w:val="28"/>
          <w:szCs w:val="28"/>
          <w:vertAlign w:val="baseline"/>
          <w:rtl/>
        </w:rPr>
        <w:t xml:space="preserve"> </w:t>
      </w:r>
      <w:r w:rsidRPr="006571AC">
        <w:rPr>
          <w:rStyle w:val="ac"/>
          <w:rFonts w:asciiTheme="minorBidi" w:hAnsiTheme="minorBidi" w:cs="DanaFajr"/>
          <w:sz w:val="28"/>
          <w:szCs w:val="28"/>
          <w:vertAlign w:val="baseline"/>
          <w:rtl/>
        </w:rPr>
        <w:t>في المنقول من ذلك عن</w:t>
      </w:r>
      <w:r w:rsidRPr="006571AC">
        <w:rPr>
          <w:rStyle w:val="ac"/>
          <w:rFonts w:asciiTheme="minorBidi" w:hAnsiTheme="minorBidi" w:cs="DanaFajr"/>
          <w:sz w:val="28"/>
          <w:szCs w:val="28"/>
          <w:vertAlign w:val="baseline"/>
        </w:rPr>
        <w:t> </w:t>
      </w:r>
      <w:hyperlink r:id="rId2" w:history="1">
        <w:r w:rsidRPr="006571AC">
          <w:rPr>
            <w:rStyle w:val="ac"/>
            <w:rFonts w:asciiTheme="minorBidi" w:hAnsiTheme="minorBidi" w:cs="DanaFajr"/>
            <w:sz w:val="28"/>
            <w:szCs w:val="28"/>
            <w:vertAlign w:val="baseline"/>
            <w:rtl/>
          </w:rPr>
          <w:t>عمر بن الخطاب</w:t>
        </w:r>
        <w:r w:rsidRPr="006571AC">
          <w:rPr>
            <w:rStyle w:val="ac"/>
            <w:rFonts w:asciiTheme="minorBidi" w:hAnsiTheme="minorBidi" w:cs="DanaFajr"/>
            <w:sz w:val="28"/>
            <w:szCs w:val="28"/>
            <w:vertAlign w:val="baseline"/>
          </w:rPr>
          <w:t> </w:t>
        </w:r>
      </w:hyperlink>
      <w:r w:rsidRPr="006571AC">
        <w:rPr>
          <w:rStyle w:val="ac"/>
          <w:rFonts w:asciiTheme="minorBidi" w:hAnsiTheme="minorBidi" w:cs="DanaFajr"/>
          <w:sz w:val="28"/>
          <w:szCs w:val="28"/>
          <w:vertAlign w:val="baseline"/>
          <w:rtl/>
        </w:rPr>
        <w:t>رضي الله عن</w:t>
      </w:r>
      <w:r w:rsidRPr="006571AC">
        <w:rPr>
          <w:rStyle w:val="ac"/>
          <w:rFonts w:asciiTheme="minorBidi" w:hAnsiTheme="minorBidi" w:cs="DanaFajr" w:hint="cs"/>
          <w:sz w:val="28"/>
          <w:szCs w:val="28"/>
          <w:vertAlign w:val="baseline"/>
          <w:rtl/>
        </w:rPr>
        <w:t>ه</w:t>
      </w:r>
      <w:r w:rsidRPr="006571AC">
        <w:rPr>
          <w:rStyle w:val="ac"/>
          <w:rFonts w:cs="DanaFajr" w:hint="cs"/>
          <w:sz w:val="28"/>
          <w:szCs w:val="28"/>
          <w:vertAlign w:val="baseline"/>
          <w:rtl/>
        </w:rPr>
        <w:t xml:space="preserve">. </w:t>
      </w:r>
    </w:p>
  </w:endnote>
  <w:endnote w:id="609">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من المبادئ التي خرج بها المجتمعون في مؤتمر الكويت</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الذي نظمه المركز العالمي للتجديد والترشيد</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قولهم: </w:t>
      </w:r>
      <w:r w:rsidRPr="006571AC">
        <w:rPr>
          <w:rFonts w:hint="eastAsia"/>
          <w:sz w:val="22"/>
          <w:szCs w:val="22"/>
          <w:rtl/>
        </w:rPr>
        <w:t>«</w:t>
      </w:r>
      <w:r w:rsidRPr="006571AC">
        <w:rPr>
          <w:rFonts w:asciiTheme="minorBidi" w:hAnsiTheme="minorBidi" w:cs="DanaFajr"/>
          <w:sz w:val="28"/>
          <w:szCs w:val="28"/>
          <w:rtl/>
        </w:rPr>
        <w:t>إن تحقيق مناطات الأحكام الشرعية بعضها موكول</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إلى العلماء، وبعضها الآخر يقع تحت إشرافهم، اعتمادا</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على تقارير الخبراء وإفادات المختص</w:t>
      </w:r>
      <w:r w:rsidRPr="006571AC">
        <w:rPr>
          <w:rFonts w:asciiTheme="minorBidi" w:hAnsiTheme="minorBidi" w:cs="DanaFajr" w:hint="cs"/>
          <w:sz w:val="28"/>
          <w:szCs w:val="28"/>
          <w:rtl/>
        </w:rPr>
        <w:t>ّ</w:t>
      </w:r>
      <w:r w:rsidRPr="006571AC">
        <w:rPr>
          <w:rFonts w:asciiTheme="minorBidi" w:hAnsiTheme="minorBidi" w:cs="DanaFajr"/>
          <w:sz w:val="28"/>
          <w:szCs w:val="28"/>
          <w:rtl/>
        </w:rPr>
        <w:t>ين وخبرات مؤس</w:t>
      </w:r>
      <w:r w:rsidRPr="006571AC">
        <w:rPr>
          <w:rFonts w:asciiTheme="minorBidi" w:hAnsiTheme="minorBidi" w:cs="DanaFajr" w:hint="cs"/>
          <w:sz w:val="28"/>
          <w:szCs w:val="28"/>
          <w:rtl/>
        </w:rPr>
        <w:t>ّ</w:t>
      </w:r>
      <w:r w:rsidRPr="006571AC">
        <w:rPr>
          <w:rFonts w:asciiTheme="minorBidi" w:hAnsiTheme="minorBidi" w:cs="DanaFajr"/>
          <w:sz w:val="28"/>
          <w:szCs w:val="28"/>
          <w:rtl/>
        </w:rPr>
        <w:t>سات الدولة وهيئاتها، وبعضها موكول</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إلى عموم أفراد الأم</w:t>
      </w:r>
      <w:r w:rsidRPr="006571AC">
        <w:rPr>
          <w:rFonts w:asciiTheme="minorBidi" w:hAnsiTheme="minorBidi" w:cs="DanaFajr" w:hint="cs"/>
          <w:sz w:val="28"/>
          <w:szCs w:val="28"/>
          <w:rtl/>
        </w:rPr>
        <w:t>ّ</w:t>
      </w:r>
      <w:r w:rsidRPr="006571AC">
        <w:rPr>
          <w:rFonts w:asciiTheme="minorBidi" w:hAnsiTheme="minorBidi" w:cs="DanaFajr"/>
          <w:sz w:val="28"/>
          <w:szCs w:val="28"/>
          <w:rtl/>
        </w:rPr>
        <w:t>ة في شؤونهم الخاصة</w:t>
      </w:r>
      <w:r w:rsidRPr="006571AC">
        <w:rPr>
          <w:rFonts w:hint="eastAsia"/>
          <w:sz w:val="22"/>
          <w:szCs w:val="22"/>
          <w:rtl/>
        </w:rPr>
        <w:t>»</w:t>
      </w:r>
      <w:r w:rsidRPr="006571AC">
        <w:rPr>
          <w:rFonts w:asciiTheme="minorBidi" w:hAnsiTheme="minorBidi" w:cs="DanaFajr"/>
          <w:noProof/>
          <w:sz w:val="28"/>
          <w:szCs w:val="28"/>
          <w:rtl/>
          <w:lang w:eastAsia="fr-FR"/>
        </w:rPr>
        <w:t xml:space="preserve">. </w:t>
      </w:r>
      <w:r w:rsidRPr="006571AC">
        <w:rPr>
          <w:rFonts w:asciiTheme="minorBidi" w:hAnsiTheme="minorBidi" w:cs="DanaFajr" w:hint="cs"/>
          <w:noProof/>
          <w:sz w:val="28"/>
          <w:szCs w:val="28"/>
          <w:rtl/>
          <w:lang w:eastAsia="fr-FR"/>
        </w:rPr>
        <w:t>ا</w:t>
      </w:r>
      <w:r w:rsidRPr="006571AC">
        <w:rPr>
          <w:rFonts w:asciiTheme="minorBidi" w:hAnsiTheme="minorBidi" w:cs="DanaFajr"/>
          <w:noProof/>
          <w:sz w:val="28"/>
          <w:szCs w:val="28"/>
          <w:rtl/>
          <w:lang w:eastAsia="fr-FR"/>
        </w:rPr>
        <w:t xml:space="preserve">نظر: عبد الله بن بية، تنبيه المراجع على تأصيل فقه الواقع: 16. </w:t>
      </w:r>
    </w:p>
  </w:endnote>
  <w:endnote w:id="610">
    <w:p w:rsidR="00DB2356" w:rsidRPr="006571AC" w:rsidRDefault="00DB2356" w:rsidP="0042241D">
      <w:pPr>
        <w:pStyle w:val="aa"/>
        <w:spacing w:line="306" w:lineRule="exact"/>
        <w:ind w:firstLine="0"/>
        <w:rPr>
          <w:rFonts w:asciiTheme="minorBidi" w:hAnsiTheme="minorBidi" w:cs="DanaFajr"/>
          <w:sz w:val="28"/>
          <w:szCs w:val="28"/>
          <w:rtl/>
          <w:lang w:bidi="ar-MA"/>
        </w:rPr>
      </w:pPr>
      <w:r w:rsidRPr="006571AC">
        <w:rPr>
          <w:rFonts w:asciiTheme="minorBidi" w:hAnsiTheme="minorBidi" w:cs="DanaFajr"/>
          <w:sz w:val="28"/>
          <w:szCs w:val="28"/>
          <w:rtl/>
          <w:lang w:bidi="ar-MA"/>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lang w:bidi="ar-MA"/>
        </w:rPr>
        <w:t xml:space="preserve">) وقد </w:t>
      </w:r>
      <w:r w:rsidRPr="006571AC">
        <w:rPr>
          <w:rFonts w:asciiTheme="minorBidi" w:hAnsiTheme="minorBidi" w:cs="DanaFajr" w:hint="eastAsia"/>
          <w:sz w:val="28"/>
          <w:szCs w:val="28"/>
          <w:rtl/>
          <w:lang w:bidi="ar-MA"/>
        </w:rPr>
        <w:t>«</w:t>
      </w:r>
      <w:r w:rsidRPr="006571AC">
        <w:rPr>
          <w:rFonts w:asciiTheme="minorBidi" w:hAnsiTheme="minorBidi" w:cs="DanaFajr"/>
          <w:sz w:val="28"/>
          <w:szCs w:val="28"/>
          <w:rtl/>
          <w:lang w:bidi="ar-MA"/>
        </w:rPr>
        <w:t>كان علماؤنا المتبص</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رون بدينهم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المدركون لملابسات واقعهم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ينطلقون من رؤية</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واضحة في ترتيب الأولويات، فيضعون كل</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أم</w:t>
      </w:r>
      <w:r w:rsidRPr="006571AC">
        <w:rPr>
          <w:rFonts w:asciiTheme="minorBidi" w:hAnsiTheme="minorBidi" w:cs="DanaFajr" w:hint="cs"/>
          <w:sz w:val="28"/>
          <w:szCs w:val="28"/>
          <w:rtl/>
          <w:lang w:bidi="ar-MA"/>
        </w:rPr>
        <w:t>رٍ</w:t>
      </w:r>
      <w:r w:rsidRPr="006571AC">
        <w:rPr>
          <w:rFonts w:asciiTheme="minorBidi" w:hAnsiTheme="minorBidi" w:cs="DanaFajr"/>
          <w:sz w:val="28"/>
          <w:szCs w:val="28"/>
          <w:rtl/>
          <w:lang w:bidi="ar-MA"/>
        </w:rPr>
        <w:t xml:space="preserve"> في مكانه الصحيح من سل</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م الق</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ي</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م الشرعي</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ة، ولا يهدرون ضروريات من أجل حاجيات، ولا حاجيات من أجل تحسينيات</w:t>
      </w:r>
      <w:r w:rsidRPr="006571AC">
        <w:rPr>
          <w:rFonts w:asciiTheme="minorBidi" w:hAnsiTheme="minorBidi" w:cs="DanaFajr" w:hint="eastAsia"/>
          <w:sz w:val="28"/>
          <w:szCs w:val="28"/>
          <w:rtl/>
          <w:lang w:bidi="ar-MA"/>
        </w:rPr>
        <w:t>»</w:t>
      </w:r>
      <w:r w:rsidRPr="006571AC">
        <w:rPr>
          <w:rFonts w:asciiTheme="minorBidi" w:hAnsiTheme="minorBidi" w:cs="DanaFajr"/>
          <w:sz w:val="28"/>
          <w:szCs w:val="28"/>
          <w:rtl/>
          <w:lang w:bidi="ar-MA"/>
        </w:rPr>
        <w:t xml:space="preserve">. طه </w:t>
      </w:r>
      <w:r w:rsidRPr="008A72D0">
        <w:rPr>
          <w:rFonts w:asciiTheme="minorBidi" w:hAnsiTheme="minorBidi" w:cs="DanaFajr"/>
          <w:sz w:val="28"/>
          <w:szCs w:val="28"/>
          <w:rtl/>
          <w:lang w:bidi="ar-MA"/>
        </w:rPr>
        <w:t>جابر العلواني، مقاصد الشريعة: 124</w:t>
      </w:r>
      <w:r w:rsidRPr="008A72D0">
        <w:rPr>
          <w:rFonts w:asciiTheme="minorBidi" w:hAnsiTheme="minorBidi" w:cs="DanaFajr" w:hint="cs"/>
          <w:sz w:val="28"/>
          <w:szCs w:val="28"/>
          <w:rtl/>
          <w:lang w:bidi="ar-MA"/>
        </w:rPr>
        <w:t>،</w:t>
      </w:r>
      <w:r w:rsidRPr="008A72D0">
        <w:rPr>
          <w:rFonts w:asciiTheme="minorBidi" w:hAnsiTheme="minorBidi" w:cs="DanaFajr"/>
          <w:sz w:val="28"/>
          <w:szCs w:val="28"/>
          <w:rtl/>
          <w:lang w:bidi="ar-MA"/>
        </w:rPr>
        <w:t xml:space="preserve"> دار الهادي، بيروت، ط1</w:t>
      </w:r>
      <w:r w:rsidRPr="008A72D0">
        <w:rPr>
          <w:rFonts w:asciiTheme="minorBidi" w:hAnsiTheme="minorBidi" w:cs="DanaFajr" w:hint="cs"/>
          <w:sz w:val="28"/>
          <w:szCs w:val="28"/>
          <w:rtl/>
          <w:lang w:bidi="ar-MA"/>
        </w:rPr>
        <w:t xml:space="preserve">، </w:t>
      </w:r>
      <w:r w:rsidRPr="008A72D0">
        <w:rPr>
          <w:rFonts w:asciiTheme="minorBidi" w:hAnsiTheme="minorBidi" w:cs="DanaFajr"/>
          <w:sz w:val="28"/>
          <w:szCs w:val="28"/>
          <w:rtl/>
          <w:lang w:bidi="ar-MA"/>
        </w:rPr>
        <w:t>1421</w:t>
      </w:r>
      <w:r w:rsidRPr="008A72D0">
        <w:rPr>
          <w:rFonts w:asciiTheme="minorBidi" w:hAnsiTheme="minorBidi" w:cs="DanaFajr" w:hint="cs"/>
          <w:sz w:val="28"/>
          <w:szCs w:val="28"/>
          <w:rtl/>
          <w:lang w:bidi="ar-MA"/>
        </w:rPr>
        <w:t>هـ</w:t>
      </w:r>
      <w:r w:rsidRPr="008A72D0">
        <w:rPr>
          <w:rFonts w:asciiTheme="minorBidi" w:hAnsiTheme="minorBidi" w:cs="DanaFajr"/>
          <w:sz w:val="28"/>
          <w:szCs w:val="28"/>
          <w:rtl/>
          <w:lang w:bidi="ar-MA"/>
        </w:rPr>
        <w:t xml:space="preserve"> ـ 2001</w:t>
      </w:r>
      <w:r w:rsidRPr="008A72D0">
        <w:rPr>
          <w:rFonts w:asciiTheme="minorBidi" w:hAnsiTheme="minorBidi" w:cs="DanaFajr" w:hint="cs"/>
          <w:sz w:val="28"/>
          <w:szCs w:val="28"/>
          <w:rtl/>
          <w:lang w:bidi="ar-MA"/>
        </w:rPr>
        <w:t>م</w:t>
      </w:r>
      <w:r w:rsidRPr="006571AC">
        <w:rPr>
          <w:rFonts w:asciiTheme="minorBidi" w:hAnsiTheme="minorBidi" w:cs="DanaFajr"/>
          <w:sz w:val="28"/>
          <w:szCs w:val="28"/>
          <w:rtl/>
          <w:lang w:bidi="ar-MA"/>
        </w:rPr>
        <w:t xml:space="preserve">. </w:t>
      </w:r>
    </w:p>
  </w:endnote>
  <w:endnote w:id="611">
    <w:p w:rsidR="00DB2356" w:rsidRPr="006571AC" w:rsidRDefault="00DB2356" w:rsidP="0042241D">
      <w:pPr>
        <w:pStyle w:val="aa"/>
        <w:spacing w:line="306" w:lineRule="exact"/>
        <w:ind w:firstLine="0"/>
        <w:rPr>
          <w:rStyle w:val="ac"/>
          <w:rFonts w:asciiTheme="minorBidi" w:hAnsiTheme="minorBidi" w:cs="DanaFajr"/>
          <w:sz w:val="28"/>
          <w:szCs w:val="28"/>
          <w:vertAlign w:val="baseline"/>
          <w:rtl/>
        </w:rPr>
      </w:pPr>
      <w:r w:rsidRPr="006571AC">
        <w:rPr>
          <w:rStyle w:val="ac"/>
          <w:rFonts w:asciiTheme="minorBidi" w:hAnsiTheme="minorBidi" w:cs="DanaFajr"/>
          <w:sz w:val="28"/>
          <w:szCs w:val="28"/>
          <w:vertAlign w:val="baseline"/>
          <w:rtl/>
        </w:rPr>
        <w:t>(</w:t>
      </w:r>
      <w:r w:rsidRPr="006571AC">
        <w:rPr>
          <w:rStyle w:val="ac"/>
          <w:rFonts w:asciiTheme="minorBidi" w:hAnsiTheme="minorBidi" w:cs="DanaFajr"/>
          <w:sz w:val="28"/>
          <w:szCs w:val="28"/>
          <w:vertAlign w:val="baseline"/>
        </w:rPr>
        <w:endnoteRef/>
      </w:r>
      <w:r w:rsidRPr="006571AC">
        <w:rPr>
          <w:rStyle w:val="ac"/>
          <w:rFonts w:asciiTheme="minorBidi" w:hAnsiTheme="minorBidi" w:cs="DanaFajr"/>
          <w:sz w:val="28"/>
          <w:szCs w:val="28"/>
          <w:vertAlign w:val="baseline"/>
          <w:rtl/>
        </w:rPr>
        <w:t xml:space="preserve">) </w:t>
      </w:r>
      <w:r w:rsidRPr="006571AC">
        <w:rPr>
          <w:rStyle w:val="ac"/>
          <w:rFonts w:asciiTheme="minorBidi" w:hAnsiTheme="minorBidi" w:cs="DanaFajr" w:hint="cs"/>
          <w:sz w:val="28"/>
          <w:szCs w:val="28"/>
          <w:vertAlign w:val="baseline"/>
          <w:rtl/>
        </w:rPr>
        <w:t xml:space="preserve">ينتقد الشيخ </w:t>
      </w:r>
      <w:r w:rsidRPr="006571AC">
        <w:rPr>
          <w:rStyle w:val="ac"/>
          <w:rFonts w:cs="DanaFajr" w:hint="cs"/>
          <w:sz w:val="28"/>
          <w:szCs w:val="28"/>
          <w:vertAlign w:val="baseline"/>
          <w:rtl/>
        </w:rPr>
        <w:t>حيدر حب الله مسألة تضخ</w:t>
      </w:r>
      <w:r w:rsidRPr="006571AC">
        <w:rPr>
          <w:rFonts w:cs="DanaFajr" w:hint="cs"/>
          <w:sz w:val="28"/>
          <w:szCs w:val="28"/>
          <w:rtl/>
        </w:rPr>
        <w:t>ّ</w:t>
      </w:r>
      <w:r w:rsidRPr="006571AC">
        <w:rPr>
          <w:rStyle w:val="ac"/>
          <w:rFonts w:cs="DanaFajr" w:hint="cs"/>
          <w:sz w:val="28"/>
          <w:szCs w:val="28"/>
          <w:vertAlign w:val="baseline"/>
          <w:rtl/>
        </w:rPr>
        <w:t>م بعض المباحث في الدرس الفقهي على حساب مباحث أخرى أكثر أهمية من حيث أولويتها، بحيث ما يزال بعض الفقهاء ينشغلون في أغلب مدارساتهم بأحكام الطهارة مثلا</w:t>
      </w:r>
      <w:r w:rsidRPr="006571AC">
        <w:rPr>
          <w:rFonts w:cs="DanaFajr" w:hint="cs"/>
          <w:sz w:val="28"/>
          <w:szCs w:val="28"/>
          <w:rtl/>
        </w:rPr>
        <w:t>ً</w:t>
      </w:r>
      <w:r w:rsidRPr="006571AC">
        <w:rPr>
          <w:rStyle w:val="ac"/>
          <w:rFonts w:cs="DanaFajr" w:hint="cs"/>
          <w:sz w:val="28"/>
          <w:szCs w:val="28"/>
          <w:vertAlign w:val="baseline"/>
          <w:rtl/>
        </w:rPr>
        <w:t>؛ إذ يقضي الطلاب سنوات في دراستها، فيما تظل ملف</w:t>
      </w:r>
      <w:r w:rsidRPr="006571AC">
        <w:rPr>
          <w:rFonts w:cs="DanaFajr" w:hint="cs"/>
          <w:sz w:val="28"/>
          <w:szCs w:val="28"/>
          <w:rtl/>
        </w:rPr>
        <w:t>ّ</w:t>
      </w:r>
      <w:r w:rsidRPr="006571AC">
        <w:rPr>
          <w:rStyle w:val="ac"/>
          <w:rFonts w:cs="DanaFajr" w:hint="cs"/>
          <w:sz w:val="28"/>
          <w:szCs w:val="28"/>
          <w:vertAlign w:val="baseline"/>
          <w:rtl/>
        </w:rPr>
        <w:t>ات ذات حساسية مغيبة في اهتماماتهم، وهذا يشك</w:t>
      </w:r>
      <w:r w:rsidRPr="006571AC">
        <w:rPr>
          <w:rFonts w:cs="DanaFajr" w:hint="cs"/>
          <w:sz w:val="28"/>
          <w:szCs w:val="28"/>
          <w:rtl/>
        </w:rPr>
        <w:t>ّ</w:t>
      </w:r>
      <w:r w:rsidRPr="006571AC">
        <w:rPr>
          <w:rStyle w:val="ac"/>
          <w:rFonts w:cs="DanaFajr" w:hint="cs"/>
          <w:sz w:val="28"/>
          <w:szCs w:val="28"/>
          <w:vertAlign w:val="baseline"/>
          <w:rtl/>
        </w:rPr>
        <w:t>ل ضربا</w:t>
      </w:r>
      <w:r w:rsidRPr="006571AC">
        <w:rPr>
          <w:rFonts w:cs="DanaFajr" w:hint="cs"/>
          <w:sz w:val="28"/>
          <w:szCs w:val="28"/>
          <w:rtl/>
        </w:rPr>
        <w:t>ً</w:t>
      </w:r>
      <w:r w:rsidRPr="006571AC">
        <w:rPr>
          <w:rStyle w:val="ac"/>
          <w:rFonts w:cs="DanaFajr" w:hint="cs"/>
          <w:sz w:val="28"/>
          <w:szCs w:val="28"/>
          <w:vertAlign w:val="baseline"/>
          <w:rtl/>
        </w:rPr>
        <w:t xml:space="preserve"> في واقعية الفقه ومدى صلاحيته للبت</w:t>
      </w:r>
      <w:r w:rsidRPr="006571AC">
        <w:rPr>
          <w:rFonts w:cs="DanaFajr" w:hint="cs"/>
          <w:sz w:val="28"/>
          <w:szCs w:val="28"/>
          <w:rtl/>
        </w:rPr>
        <w:t>ّ</w:t>
      </w:r>
      <w:r w:rsidRPr="006571AC">
        <w:rPr>
          <w:rStyle w:val="ac"/>
          <w:rFonts w:cs="DanaFajr" w:hint="cs"/>
          <w:sz w:val="28"/>
          <w:szCs w:val="28"/>
          <w:vertAlign w:val="baseline"/>
          <w:rtl/>
        </w:rPr>
        <w:t xml:space="preserve"> في أسئلة الناس المتلاحقة. ا</w:t>
      </w:r>
      <w:r w:rsidRPr="006571AC">
        <w:rPr>
          <w:rFonts w:cs="DanaFajr" w:hint="cs"/>
          <w:sz w:val="28"/>
          <w:szCs w:val="28"/>
          <w:rtl/>
        </w:rPr>
        <w:t>نظر</w:t>
      </w:r>
      <w:r w:rsidRPr="006571AC">
        <w:rPr>
          <w:rStyle w:val="ac"/>
          <w:rFonts w:cs="DanaFajr" w:hint="cs"/>
          <w:sz w:val="28"/>
          <w:szCs w:val="28"/>
          <w:vertAlign w:val="baseline"/>
          <w:rtl/>
        </w:rPr>
        <w:t>: حيدر حب</w:t>
      </w:r>
      <w:r w:rsidRPr="006571AC">
        <w:rPr>
          <w:rFonts w:cs="DanaFajr" w:hint="cs"/>
          <w:sz w:val="28"/>
          <w:szCs w:val="28"/>
          <w:rtl/>
        </w:rPr>
        <w:t>ّ</w:t>
      </w:r>
      <w:r w:rsidRPr="006571AC">
        <w:rPr>
          <w:rStyle w:val="ac"/>
          <w:rFonts w:cs="DanaFajr" w:hint="cs"/>
          <w:sz w:val="28"/>
          <w:szCs w:val="28"/>
          <w:vertAlign w:val="baseline"/>
          <w:rtl/>
        </w:rPr>
        <w:t xml:space="preserve"> الله، مسألة المنهج في الفكر الديني</w:t>
      </w:r>
      <w:r w:rsidRPr="006571AC">
        <w:rPr>
          <w:rFonts w:cs="DanaFajr" w:hint="cs"/>
          <w:sz w:val="28"/>
          <w:szCs w:val="28"/>
          <w:rtl/>
        </w:rPr>
        <w:t>،</w:t>
      </w:r>
      <w:r w:rsidRPr="006571AC">
        <w:rPr>
          <w:rStyle w:val="ac"/>
          <w:rFonts w:cs="DanaFajr" w:hint="cs"/>
          <w:sz w:val="28"/>
          <w:szCs w:val="28"/>
          <w:vertAlign w:val="baseline"/>
          <w:rtl/>
        </w:rPr>
        <w:t xml:space="preserve"> وقفات</w:t>
      </w:r>
      <w:r w:rsidRPr="006571AC">
        <w:rPr>
          <w:rFonts w:cs="DanaFajr" w:hint="cs"/>
          <w:sz w:val="28"/>
          <w:szCs w:val="28"/>
          <w:rtl/>
        </w:rPr>
        <w:t>ٌ</w:t>
      </w:r>
      <w:r w:rsidRPr="006571AC">
        <w:rPr>
          <w:rStyle w:val="ac"/>
          <w:rFonts w:cs="DanaFajr" w:hint="cs"/>
          <w:sz w:val="28"/>
          <w:szCs w:val="28"/>
          <w:vertAlign w:val="baseline"/>
          <w:rtl/>
        </w:rPr>
        <w:t xml:space="preserve"> وملاحظات: 263 ـ 266، مؤس</w:t>
      </w:r>
      <w:r w:rsidRPr="006571AC">
        <w:rPr>
          <w:rFonts w:cs="DanaFajr" w:hint="cs"/>
          <w:sz w:val="28"/>
          <w:szCs w:val="28"/>
          <w:rtl/>
        </w:rPr>
        <w:t>ّ</w:t>
      </w:r>
      <w:r w:rsidRPr="006571AC">
        <w:rPr>
          <w:rStyle w:val="ac"/>
          <w:rFonts w:cs="DanaFajr" w:hint="cs"/>
          <w:sz w:val="28"/>
          <w:szCs w:val="28"/>
          <w:vertAlign w:val="baseline"/>
          <w:rtl/>
        </w:rPr>
        <w:t xml:space="preserve">سة الانتشار العربي، بيروت، ط1، 2007م. </w:t>
      </w:r>
    </w:p>
  </w:endnote>
  <w:endnote w:id="612">
    <w:p w:rsidR="00DB2356" w:rsidRPr="006571AC" w:rsidRDefault="00DB2356" w:rsidP="0042241D">
      <w:pPr>
        <w:pStyle w:val="aa"/>
        <w:spacing w:line="306" w:lineRule="exact"/>
        <w:ind w:firstLine="0"/>
        <w:rPr>
          <w:rFonts w:asciiTheme="minorBidi" w:hAnsiTheme="minorBidi" w:cs="DanaFajr"/>
          <w:sz w:val="28"/>
          <w:szCs w:val="28"/>
          <w:rtl/>
        </w:rPr>
      </w:pPr>
      <w:r w:rsidRPr="006571AC">
        <w:rPr>
          <w:rStyle w:val="ac"/>
          <w:rFonts w:cs="DanaFajr"/>
          <w:sz w:val="28"/>
          <w:szCs w:val="28"/>
          <w:vertAlign w:val="baseline"/>
          <w:rtl/>
        </w:rPr>
        <w:t>(</w:t>
      </w:r>
      <w:r w:rsidRPr="006571AC">
        <w:rPr>
          <w:rStyle w:val="ac"/>
          <w:rFonts w:asciiTheme="minorBidi" w:hAnsiTheme="minorBidi" w:cs="DanaFajr"/>
          <w:sz w:val="28"/>
          <w:szCs w:val="28"/>
          <w:vertAlign w:val="baseline"/>
        </w:rPr>
        <w:endnoteRef/>
      </w:r>
      <w:r w:rsidRPr="006571AC">
        <w:rPr>
          <w:rStyle w:val="ac"/>
          <w:rFonts w:cs="DanaFajr"/>
          <w:sz w:val="28"/>
          <w:szCs w:val="28"/>
          <w:vertAlign w:val="baseline"/>
          <w:rtl/>
        </w:rPr>
        <w:t xml:space="preserve">) </w:t>
      </w:r>
      <w:r w:rsidRPr="006571AC">
        <w:rPr>
          <w:rStyle w:val="ac"/>
          <w:rFonts w:cs="DanaFajr" w:hint="cs"/>
          <w:sz w:val="28"/>
          <w:szCs w:val="28"/>
          <w:vertAlign w:val="baseline"/>
          <w:rtl/>
        </w:rPr>
        <w:t>ا</w:t>
      </w:r>
      <w:r w:rsidRPr="006571AC">
        <w:rPr>
          <w:rFonts w:cs="DanaFajr" w:hint="cs"/>
          <w:sz w:val="28"/>
          <w:szCs w:val="28"/>
          <w:rtl/>
        </w:rPr>
        <w:t>نظر</w:t>
      </w:r>
      <w:r w:rsidRPr="006571AC">
        <w:rPr>
          <w:rStyle w:val="ac"/>
          <w:rFonts w:cs="DanaFajr"/>
          <w:sz w:val="28"/>
          <w:szCs w:val="28"/>
          <w:vertAlign w:val="baseline"/>
          <w:rtl/>
        </w:rPr>
        <w:t xml:space="preserve">: طه جابر العلواني، مقاصد الشريعة: 98. </w:t>
      </w:r>
    </w:p>
  </w:endnote>
  <w:endnote w:id="613">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مايك كرانغ، الجغرافيا الثقافية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أهمية الجغرافيا في تفسير الظواهر الإنسانية: 83</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ترجمة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سعيد منتاق، عالم المعرفة </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سلسلة تصدر عن المجلس الوطني للثقافة والفنون والآداب بالكويت</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w:t>
      </w:r>
      <w:r w:rsidRPr="006571AC">
        <w:rPr>
          <w:rFonts w:asciiTheme="minorBidi" w:hAnsiTheme="minorBidi" w:cs="DanaFajr" w:hint="cs"/>
          <w:sz w:val="28"/>
          <w:szCs w:val="28"/>
          <w:rtl/>
          <w:lang w:bidi="ar-EG"/>
        </w:rPr>
        <w:t>ال</w:t>
      </w:r>
      <w:r w:rsidRPr="006571AC">
        <w:rPr>
          <w:rFonts w:asciiTheme="minorBidi" w:hAnsiTheme="minorBidi" w:cs="DanaFajr"/>
          <w:sz w:val="28"/>
          <w:szCs w:val="28"/>
          <w:rtl/>
          <w:lang w:bidi="ar-EG"/>
        </w:rPr>
        <w:t>ع</w:t>
      </w:r>
      <w:r w:rsidRPr="006571AC">
        <w:rPr>
          <w:rFonts w:asciiTheme="minorBidi" w:hAnsiTheme="minorBidi" w:cs="DanaFajr" w:hint="cs"/>
          <w:sz w:val="28"/>
          <w:szCs w:val="28"/>
          <w:rtl/>
          <w:lang w:bidi="ar-EG"/>
        </w:rPr>
        <w:t>دد</w:t>
      </w:r>
      <w:r w:rsidRPr="006571AC">
        <w:rPr>
          <w:rFonts w:asciiTheme="minorBidi" w:hAnsiTheme="minorBidi" w:cs="DanaFajr"/>
          <w:sz w:val="28"/>
          <w:szCs w:val="28"/>
          <w:rtl/>
          <w:lang w:bidi="ar-EG"/>
        </w:rPr>
        <w:t xml:space="preserve"> 317</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جمادى الأولى 1426</w:t>
      </w:r>
      <w:r w:rsidRPr="006571AC">
        <w:rPr>
          <w:rFonts w:asciiTheme="minorBidi" w:hAnsiTheme="minorBidi" w:cs="DanaFajr" w:hint="cs"/>
          <w:sz w:val="28"/>
          <w:szCs w:val="28"/>
          <w:rtl/>
          <w:lang w:bidi="ar-EG"/>
        </w:rPr>
        <w:t>هـ،</w:t>
      </w:r>
      <w:r w:rsidRPr="006571AC">
        <w:rPr>
          <w:rFonts w:asciiTheme="minorBidi" w:hAnsiTheme="minorBidi" w:cs="DanaFajr"/>
          <w:sz w:val="28"/>
          <w:szCs w:val="28"/>
          <w:rtl/>
          <w:lang w:bidi="ar-EG"/>
        </w:rPr>
        <w:t xml:space="preserve"> يوليو 2005</w:t>
      </w:r>
      <w:r w:rsidRPr="006571AC">
        <w:rPr>
          <w:rFonts w:asciiTheme="minorBidi" w:hAnsiTheme="minorBidi" w:cs="DanaFajr" w:hint="cs"/>
          <w:sz w:val="28"/>
          <w:szCs w:val="28"/>
          <w:rtl/>
          <w:lang w:bidi="ar-EG"/>
        </w:rPr>
        <w:t>م</w:t>
      </w:r>
      <w:r w:rsidRPr="006571AC">
        <w:rPr>
          <w:rFonts w:asciiTheme="minorBidi" w:hAnsiTheme="minorBidi" w:cs="DanaFajr"/>
          <w:sz w:val="28"/>
          <w:szCs w:val="28"/>
          <w:rtl/>
          <w:lang w:bidi="ar-EG"/>
        </w:rPr>
        <w:t xml:space="preserve">. </w:t>
      </w:r>
    </w:p>
  </w:endnote>
  <w:endnote w:id="614">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 xml:space="preserve">قال ابن عابدين الحنفي: </w:t>
      </w:r>
      <w:r w:rsidRPr="006571AC">
        <w:rPr>
          <w:rFonts w:hint="eastAsia"/>
          <w:sz w:val="22"/>
          <w:szCs w:val="22"/>
          <w:rtl/>
          <w:lang w:bidi="ar-EG"/>
        </w:rPr>
        <w:t>«</w:t>
      </w:r>
      <w:r w:rsidRPr="006571AC">
        <w:rPr>
          <w:rFonts w:asciiTheme="minorBidi" w:hAnsiTheme="minorBidi" w:cs="DanaFajr"/>
          <w:sz w:val="28"/>
          <w:szCs w:val="28"/>
          <w:rtl/>
          <w:lang w:bidi="ar-EG"/>
        </w:rPr>
        <w:t>فاعلم أن المتأخ</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رين الذين خالفوا المنصوص في كتب المذهب في المسائل السابقة لم يخالفوه إلا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لتغي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الزمان والع</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ف، وعلمهم أن صاحب المذهب لو كان في و</w:t>
      </w:r>
      <w:r w:rsidRPr="006571AC">
        <w:rPr>
          <w:rFonts w:asciiTheme="minorBidi" w:hAnsiTheme="minorBidi" w:cs="DanaFajr" w:hint="cs"/>
          <w:sz w:val="28"/>
          <w:szCs w:val="28"/>
          <w:rtl/>
          <w:lang w:bidi="ar-EG"/>
        </w:rPr>
        <w:t>قت</w:t>
      </w:r>
      <w:r w:rsidRPr="006571AC">
        <w:rPr>
          <w:rFonts w:asciiTheme="minorBidi" w:hAnsiTheme="minorBidi" w:cs="DanaFajr"/>
          <w:sz w:val="28"/>
          <w:szCs w:val="28"/>
          <w:rtl/>
          <w:lang w:bidi="ar-EG"/>
        </w:rPr>
        <w:t>هم لقال بما قالوه...</w:t>
      </w:r>
      <w:r w:rsidRPr="006571AC">
        <w:rPr>
          <w:rFonts w:hint="eastAsia"/>
          <w:sz w:val="22"/>
          <w:szCs w:val="22"/>
          <w:rtl/>
        </w:rPr>
        <w:t>»</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رسائل ابن عابدين 2</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128. </w:t>
      </w:r>
    </w:p>
  </w:endnote>
  <w:endnote w:id="615">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رسائل ابن عابدين 2</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 xml:space="preserve">114. </w:t>
      </w:r>
    </w:p>
  </w:endnote>
  <w:endnote w:id="616">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مجموعة رسائل ابن عابدين 2</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131. ولمح لمنهج الن</w:t>
      </w:r>
      <w:r w:rsidRPr="006571AC">
        <w:rPr>
          <w:rFonts w:asciiTheme="minorBidi" w:hAnsiTheme="minorBidi" w:cs="DanaFajr" w:hint="cs"/>
          <w:sz w:val="28"/>
          <w:szCs w:val="28"/>
          <w:rtl/>
          <w:lang w:bidi="ar-EG"/>
        </w:rPr>
        <w:t>ظّ</w:t>
      </w:r>
      <w:r w:rsidRPr="006571AC">
        <w:rPr>
          <w:rFonts w:asciiTheme="minorBidi" w:hAnsiTheme="minorBidi" w:cs="DanaFajr"/>
          <w:sz w:val="28"/>
          <w:szCs w:val="28"/>
          <w:rtl/>
          <w:lang w:bidi="ar-EG"/>
        </w:rPr>
        <w:t xml:space="preserve">ار والمفتين أنهم </w:t>
      </w:r>
      <w:r w:rsidRPr="006571AC">
        <w:rPr>
          <w:rFonts w:hint="eastAsia"/>
          <w:sz w:val="22"/>
          <w:szCs w:val="22"/>
          <w:rtl/>
          <w:lang w:bidi="ar-EG"/>
        </w:rPr>
        <w:t>«</w:t>
      </w:r>
      <w:r w:rsidRPr="006571AC">
        <w:rPr>
          <w:rFonts w:asciiTheme="minorBidi" w:hAnsiTheme="minorBidi" w:cs="DanaFajr"/>
          <w:sz w:val="28"/>
          <w:szCs w:val="28"/>
          <w:rtl/>
          <w:lang w:bidi="ar-EG"/>
        </w:rPr>
        <w:t>قالوا في شروط الاجتهاد</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w:t>
      </w:r>
      <w:r w:rsidRPr="006571AC">
        <w:rPr>
          <w:rFonts w:asciiTheme="minorBidi" w:hAnsiTheme="minorBidi" w:cs="DanaFajr" w:hint="cs"/>
          <w:sz w:val="28"/>
          <w:szCs w:val="28"/>
          <w:rtl/>
          <w:lang w:bidi="ar-EG"/>
        </w:rPr>
        <w:t>إ</w:t>
      </w:r>
      <w:r w:rsidRPr="006571AC">
        <w:rPr>
          <w:rFonts w:asciiTheme="minorBidi" w:hAnsiTheme="minorBidi" w:cs="DanaFajr"/>
          <w:sz w:val="28"/>
          <w:szCs w:val="28"/>
          <w:rtl/>
          <w:lang w:bidi="ar-EG"/>
        </w:rPr>
        <w:t>نه لا بُدَّ فيه من معرفة عادات الناس، فكثير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من الأحكام تختلف باختلاف الزمان لتغي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ع</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ف أهله أو لحدوث ضرورة أو فساد أهل الزمان، بحيث لو بقي الحكم على ما كان عليه أو</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لا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للزم منه المشقة والض</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بالناس، ولخالف قواعد الشريعة المبنية على التخفيف والتيسير ودفع الض</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والفساد، لبقاء العالم على أتم</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نظام وأحسن أحكام</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ولهذا ترى مشايخ المذاهب خالفوا ما نص</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عليه المجتهد في مواضع كثيرة بناها على ما كان في زمنه</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لعلمهم بأنه لو كان في زمنهم لقال بما قالوا به</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أخذا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من قواعد مذهبه</w:t>
      </w:r>
      <w:r w:rsidRPr="006571AC">
        <w:rPr>
          <w:rFonts w:hint="eastAsia"/>
          <w:sz w:val="22"/>
          <w:szCs w:val="22"/>
          <w:rtl/>
        </w:rPr>
        <w:t>»</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رسائل ابن عابدين 2</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125. </w:t>
      </w:r>
    </w:p>
  </w:endnote>
  <w:endnote w:id="617">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 xml:space="preserve">قال ابن عابدين: </w:t>
      </w:r>
      <w:r w:rsidRPr="006571AC">
        <w:rPr>
          <w:rFonts w:hint="eastAsia"/>
          <w:sz w:val="22"/>
          <w:szCs w:val="22"/>
          <w:rtl/>
          <w:lang w:bidi="ar-MA"/>
        </w:rPr>
        <w:t>«</w:t>
      </w:r>
      <w:r w:rsidRPr="006571AC">
        <w:rPr>
          <w:rFonts w:asciiTheme="minorBidi" w:hAnsiTheme="minorBidi" w:cs="DanaFajr"/>
          <w:sz w:val="28"/>
          <w:szCs w:val="28"/>
          <w:rtl/>
          <w:lang w:bidi="ar-MA"/>
        </w:rPr>
        <w:t>إن اعتبار العادة والع</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ف رجع إليه في مسائل كثيرة، حت</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ى جعلوا ذلك أصلا</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w:t>
      </w:r>
      <w:r w:rsidRPr="006571AC">
        <w:rPr>
          <w:rFonts w:hint="eastAsia"/>
          <w:sz w:val="22"/>
          <w:szCs w:val="22"/>
          <w:rtl/>
        </w:rPr>
        <w:t>»</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رسائل ابن عابدين 2</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 xml:space="preserve">115. </w:t>
      </w:r>
    </w:p>
  </w:endnote>
  <w:endnote w:id="618">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شهاب الدين القرافي، الفروق أو أنوار البروق في أنواء الفروق</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ومعه إدرار الشروق على أنواء الفروق لابن الشاط، وبحاشية الكتابين تهذيب الفروق والقواعد السنية في الأسرار الفقهية لمحمد المكي المالكي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1</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321، ضبطه وصح</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حه</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خليل المنصور، دار الكتب العلمية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بيروت، ط1</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1418</w:t>
      </w:r>
      <w:r w:rsidRPr="006571AC">
        <w:rPr>
          <w:rFonts w:asciiTheme="minorBidi" w:hAnsiTheme="minorBidi" w:cs="DanaFajr" w:hint="cs"/>
          <w:sz w:val="28"/>
          <w:szCs w:val="28"/>
          <w:rtl/>
          <w:lang w:bidi="ar-EG"/>
        </w:rPr>
        <w:t>هـ</w:t>
      </w:r>
      <w:r w:rsidRPr="006571AC">
        <w:rPr>
          <w:rFonts w:asciiTheme="minorBidi" w:hAnsiTheme="minorBidi" w:cs="DanaFajr"/>
          <w:sz w:val="28"/>
          <w:szCs w:val="28"/>
          <w:rtl/>
          <w:lang w:bidi="ar-EG"/>
        </w:rPr>
        <w:t xml:space="preserve"> ـ 1998</w:t>
      </w:r>
      <w:r w:rsidRPr="006571AC">
        <w:rPr>
          <w:rFonts w:asciiTheme="minorBidi" w:hAnsiTheme="minorBidi" w:cs="DanaFajr" w:hint="cs"/>
          <w:sz w:val="28"/>
          <w:szCs w:val="28"/>
          <w:rtl/>
          <w:lang w:bidi="ar-EG"/>
        </w:rPr>
        <w:t>م</w:t>
      </w:r>
      <w:r w:rsidRPr="006571AC">
        <w:rPr>
          <w:rFonts w:asciiTheme="minorBidi" w:hAnsiTheme="minorBidi" w:cs="DanaFajr"/>
          <w:sz w:val="28"/>
          <w:szCs w:val="28"/>
          <w:rtl/>
          <w:lang w:bidi="ar-EG"/>
        </w:rPr>
        <w:t>. ونجد الإمام القرافي نفسه في كتابه الإحكام يؤك</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د على </w:t>
      </w:r>
      <w:r w:rsidRPr="006571AC">
        <w:rPr>
          <w:rFonts w:hint="eastAsia"/>
          <w:sz w:val="22"/>
          <w:szCs w:val="22"/>
          <w:rtl/>
          <w:lang w:bidi="ar-EG"/>
        </w:rPr>
        <w:t>«</w:t>
      </w:r>
      <w:r w:rsidRPr="006571AC">
        <w:rPr>
          <w:rFonts w:asciiTheme="minorBidi" w:hAnsiTheme="minorBidi" w:cs="DanaFajr"/>
          <w:sz w:val="28"/>
          <w:szCs w:val="28"/>
          <w:rtl/>
          <w:lang w:bidi="ar-EG"/>
        </w:rPr>
        <w:t>أن إجراء</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الأحكام التي م</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د</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كها العوائد مع 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تلك العوائد خلاف</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الإجماع وجهالة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في الدين، بل كل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ما هو في الشريعة يتبع العوائد يتغي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الحكم فيه عند 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العادة إلى ما تقتضيه العادة المتجد</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دة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وليس هذا تجديدا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للاجتهاد من المقل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دين حت</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ى يُشترَط فيه أهلي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ة الاجتهاد، بل هذه قاعدة اجتهد فيها العلماء وأجمعوا عليها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فنحن نتبعهم فيها من غير استئناف اجتهاد</w:t>
      </w:r>
      <w:r w:rsidRPr="006571AC">
        <w:rPr>
          <w:rFonts w:hint="eastAsia"/>
          <w:sz w:val="22"/>
          <w:szCs w:val="22"/>
          <w:rtl/>
        </w:rPr>
        <w:t>»</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الإحكام في تمييز الفتاوى عن الأحكام وتصرفات القاضي والإمام: 218 ـ 219</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اعتنى به</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عبد الفتاح أبو غدة، دار البشائر الإسلامية</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بيروت، ط2</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1416</w:t>
      </w:r>
      <w:r w:rsidRPr="006571AC">
        <w:rPr>
          <w:rFonts w:asciiTheme="minorBidi" w:hAnsiTheme="minorBidi" w:cs="DanaFajr" w:hint="cs"/>
          <w:sz w:val="28"/>
          <w:szCs w:val="28"/>
          <w:rtl/>
          <w:lang w:bidi="ar-EG"/>
        </w:rPr>
        <w:t>هـ</w:t>
      </w:r>
      <w:r w:rsidRPr="006571AC">
        <w:rPr>
          <w:rFonts w:asciiTheme="minorBidi" w:hAnsiTheme="minorBidi" w:cs="DanaFajr"/>
          <w:sz w:val="28"/>
          <w:szCs w:val="28"/>
          <w:rtl/>
          <w:lang w:bidi="ar-EG"/>
        </w:rPr>
        <w:t xml:space="preserve"> ـ 1995</w:t>
      </w:r>
      <w:r w:rsidRPr="006571AC">
        <w:rPr>
          <w:rFonts w:asciiTheme="minorBidi" w:hAnsiTheme="minorBidi" w:cs="DanaFajr" w:hint="cs"/>
          <w:sz w:val="28"/>
          <w:szCs w:val="28"/>
          <w:rtl/>
          <w:lang w:bidi="ar-EG"/>
        </w:rPr>
        <w:t>م</w:t>
      </w:r>
      <w:r w:rsidRPr="006571AC">
        <w:rPr>
          <w:rFonts w:asciiTheme="minorBidi" w:hAnsiTheme="minorBidi" w:cs="DanaFajr"/>
          <w:sz w:val="28"/>
          <w:szCs w:val="28"/>
          <w:rtl/>
          <w:lang w:bidi="ar-EG"/>
        </w:rPr>
        <w:t xml:space="preserve">. </w:t>
      </w:r>
    </w:p>
  </w:endnote>
  <w:endnote w:id="619">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ابن القي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م، إعلام الموقعين عن رب العالمين: 4</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337. </w:t>
      </w:r>
    </w:p>
  </w:endnote>
  <w:endnote w:id="620">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 xml:space="preserve">هذه المقولة لم أعثر عليها بهذه الصيغة، ونسبها </w:t>
      </w:r>
      <w:r w:rsidRPr="006571AC">
        <w:rPr>
          <w:rFonts w:asciiTheme="minorBidi" w:hAnsiTheme="minorBidi" w:cs="DanaFajr" w:hint="cs"/>
          <w:sz w:val="28"/>
          <w:szCs w:val="28"/>
          <w:rtl/>
          <w:lang w:bidi="ar-EG"/>
        </w:rPr>
        <w:t>ا</w:t>
      </w:r>
      <w:r w:rsidRPr="006571AC">
        <w:rPr>
          <w:rFonts w:asciiTheme="minorBidi" w:hAnsiTheme="minorBidi" w:cs="DanaFajr"/>
          <w:sz w:val="28"/>
          <w:szCs w:val="28"/>
          <w:rtl/>
          <w:lang w:bidi="ar-EG"/>
        </w:rPr>
        <w:t>بن بية إلى ابن رشد</w:t>
      </w:r>
      <w:r w:rsidRPr="006571AC">
        <w:rPr>
          <w:rFonts w:asciiTheme="minorBidi" w:hAnsiTheme="minorBidi" w:cs="DanaFajr" w:hint="cs"/>
          <w:sz w:val="28"/>
          <w:szCs w:val="28"/>
          <w:rtl/>
          <w:lang w:bidi="ar-EG"/>
        </w:rPr>
        <w:t>. ا</w:t>
      </w:r>
      <w:r w:rsidRPr="006571AC">
        <w:rPr>
          <w:rFonts w:asciiTheme="minorBidi" w:hAnsiTheme="minorBidi" w:cs="DanaFajr"/>
          <w:sz w:val="28"/>
          <w:szCs w:val="28"/>
          <w:rtl/>
          <w:lang w:bidi="ar-EG"/>
        </w:rPr>
        <w:t>نظر كتابه: صناعة الفتوى وفقه الأقل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يات: 184</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في حين نسبها باحث</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آخر للشاطبي في الاعتصام، ينظر: محمد أحمد لوح، فقه الأقل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يات تأصيل وتوجيه</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بحث مخطوط</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6. </w:t>
      </w:r>
    </w:p>
  </w:endnote>
  <w:endnote w:id="621">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يقول بن بية: </w:t>
      </w:r>
      <w:r w:rsidRPr="006571AC">
        <w:rPr>
          <w:rFonts w:hint="eastAsia"/>
          <w:sz w:val="22"/>
          <w:szCs w:val="22"/>
          <w:rtl/>
        </w:rPr>
        <w:t>«</w:t>
      </w:r>
      <w:r w:rsidRPr="006571AC">
        <w:rPr>
          <w:rFonts w:asciiTheme="minorBidi" w:hAnsiTheme="minorBidi" w:cs="DanaFajr"/>
          <w:sz w:val="28"/>
          <w:szCs w:val="28"/>
          <w:rtl/>
        </w:rPr>
        <w:t>قاعدة النظر في المآلات إنما هي في حقيقتها قاعدة الموازنة بين مصلحة أولى بالاعتبار أو بين مصلحة ومفسدة، إلا</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أنها في الغالب تعني أن المصلحة أو المفسدة المرجحة متوق</w:t>
      </w:r>
      <w:r w:rsidRPr="006571AC">
        <w:rPr>
          <w:rFonts w:asciiTheme="minorBidi" w:hAnsiTheme="minorBidi" w:cs="DanaFajr" w:hint="cs"/>
          <w:sz w:val="28"/>
          <w:szCs w:val="28"/>
          <w:rtl/>
        </w:rPr>
        <w:t>ّ</w:t>
      </w:r>
      <w:r w:rsidRPr="006571AC">
        <w:rPr>
          <w:rFonts w:asciiTheme="minorBidi" w:hAnsiTheme="minorBidi" w:cs="DanaFajr"/>
          <w:sz w:val="28"/>
          <w:szCs w:val="28"/>
          <w:rtl/>
        </w:rPr>
        <w:t>عة</w:t>
      </w:r>
      <w:r w:rsidRPr="006571AC">
        <w:rPr>
          <w:rFonts w:hint="eastAsia"/>
          <w:sz w:val="22"/>
          <w:szCs w:val="22"/>
          <w:rtl/>
        </w:rPr>
        <w:t>»</w:t>
      </w:r>
      <w:r w:rsidRPr="006571AC">
        <w:rPr>
          <w:rFonts w:asciiTheme="minorBidi" w:hAnsiTheme="minorBidi" w:cs="DanaFajr"/>
          <w:sz w:val="28"/>
          <w:szCs w:val="28"/>
          <w:rtl/>
        </w:rPr>
        <w:t xml:space="preserve">. صناعة الفتوى: 265. </w:t>
      </w:r>
    </w:p>
  </w:endnote>
  <w:endnote w:id="622">
    <w:p w:rsidR="00DB2356" w:rsidRPr="006571AC" w:rsidRDefault="00DB2356" w:rsidP="0042241D">
      <w:pPr>
        <w:autoSpaceDE w:val="0"/>
        <w:autoSpaceDN w:val="0"/>
        <w:adjustRightInd w:val="0"/>
        <w:spacing w:line="306" w:lineRule="exact"/>
        <w:ind w:firstLine="0"/>
        <w:rPr>
          <w:rFonts w:asciiTheme="minorBidi" w:hAnsiTheme="minorBidi" w:cs="DanaFajr"/>
          <w:szCs w:val="28"/>
          <w:rtl/>
          <w:lang w:eastAsia="fr-FR" w:bidi="ar-MA"/>
        </w:rPr>
      </w:pPr>
      <w:r w:rsidRPr="006571AC">
        <w:rPr>
          <w:rFonts w:asciiTheme="minorBidi" w:hAnsiTheme="minorBidi" w:cs="DanaFajr"/>
          <w:szCs w:val="28"/>
          <w:rtl/>
        </w:rPr>
        <w:t>(</w:t>
      </w:r>
      <w:r w:rsidRPr="006571AC">
        <w:rPr>
          <w:rStyle w:val="ac"/>
          <w:rFonts w:asciiTheme="minorBidi" w:hAnsiTheme="minorBidi" w:cs="DanaFajr"/>
          <w:szCs w:val="28"/>
          <w:vertAlign w:val="baseline"/>
        </w:rPr>
        <w:endnoteRef/>
      </w:r>
      <w:r w:rsidRPr="006571AC">
        <w:rPr>
          <w:rFonts w:asciiTheme="minorBidi" w:hAnsiTheme="minorBidi" w:cs="DanaFajr"/>
          <w:szCs w:val="28"/>
          <w:rtl/>
        </w:rPr>
        <w:t xml:space="preserve">) </w:t>
      </w:r>
      <w:r w:rsidRPr="006571AC">
        <w:rPr>
          <w:rFonts w:asciiTheme="minorBidi" w:hAnsiTheme="minorBidi" w:cs="DanaFajr"/>
          <w:szCs w:val="28"/>
          <w:rtl/>
          <w:lang w:eastAsia="fr-FR" w:bidi="ar-MA"/>
        </w:rPr>
        <w:t>عبد المجيد النجار، مآلات الأفعال وأثرها في فقه الأقل</w:t>
      </w:r>
      <w:r w:rsidRPr="006571AC">
        <w:rPr>
          <w:rFonts w:asciiTheme="minorBidi" w:hAnsiTheme="minorBidi" w:cs="DanaFajr" w:hint="cs"/>
          <w:szCs w:val="28"/>
          <w:rtl/>
          <w:lang w:eastAsia="fr-FR" w:bidi="ar-MA"/>
        </w:rPr>
        <w:t>ِّ</w:t>
      </w:r>
      <w:r w:rsidRPr="006571AC">
        <w:rPr>
          <w:rFonts w:asciiTheme="minorBidi" w:hAnsiTheme="minorBidi" w:cs="DanaFajr"/>
          <w:szCs w:val="28"/>
          <w:rtl/>
          <w:lang w:eastAsia="fr-FR" w:bidi="ar-MA"/>
        </w:rPr>
        <w:t xml:space="preserve">يات المسلمة </w:t>
      </w:r>
      <w:r w:rsidRPr="006571AC">
        <w:rPr>
          <w:rFonts w:asciiTheme="minorBidi" w:hAnsiTheme="minorBidi" w:cs="DanaFajr" w:hint="cs"/>
          <w:szCs w:val="28"/>
          <w:rtl/>
          <w:lang w:eastAsia="fr-FR" w:bidi="ar-MA"/>
        </w:rPr>
        <w:t>(بحثٌ</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مقدَّم</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للدورة</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التاسعة للمجلس</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الأوروبي</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للإفتاء</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 xml:space="preserve">والبحوث): </w:t>
      </w:r>
      <w:r w:rsidRPr="006571AC">
        <w:rPr>
          <w:rFonts w:asciiTheme="minorBidi" w:hAnsiTheme="minorBidi" w:cs="DanaFajr"/>
          <w:szCs w:val="28"/>
          <w:rtl/>
          <w:lang w:eastAsia="fr-FR" w:bidi="ar-MA"/>
        </w:rPr>
        <w:t>2</w:t>
      </w:r>
      <w:r w:rsidRPr="006571AC">
        <w:rPr>
          <w:rFonts w:asciiTheme="minorBidi" w:hAnsiTheme="minorBidi" w:cs="DanaFajr" w:hint="cs"/>
          <w:szCs w:val="28"/>
          <w:rtl/>
          <w:lang w:eastAsia="fr-FR" w:bidi="ar-MA"/>
        </w:rPr>
        <w:t>، جمادى</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الأول</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1423هـ ـ يوليو</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2002م</w:t>
      </w:r>
      <w:r w:rsidRPr="006571AC">
        <w:rPr>
          <w:rFonts w:asciiTheme="minorBidi" w:hAnsiTheme="minorBidi" w:cs="DanaFajr"/>
          <w:szCs w:val="28"/>
          <w:rtl/>
          <w:lang w:eastAsia="fr-FR" w:bidi="ar-MA"/>
        </w:rPr>
        <w:t xml:space="preserve">. </w:t>
      </w:r>
    </w:p>
  </w:endnote>
  <w:endnote w:id="623">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lang w:bidi="ar-MA"/>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lang w:bidi="ar-MA"/>
        </w:rPr>
        <w:t xml:space="preserve">) </w:t>
      </w:r>
      <w:r w:rsidRPr="006571AC">
        <w:rPr>
          <w:rFonts w:asciiTheme="minorBidi" w:hAnsiTheme="minorBidi" w:cs="DanaFajr"/>
          <w:sz w:val="28"/>
          <w:szCs w:val="28"/>
          <w:rtl/>
          <w:lang w:bidi="ar-EG"/>
        </w:rPr>
        <w:t xml:space="preserve">أبو إسحاق الشاطبي، الموافقات </w:t>
      </w:r>
      <w:r w:rsidRPr="006571AC">
        <w:rPr>
          <w:rFonts w:asciiTheme="minorBidi" w:hAnsiTheme="minorBidi" w:cs="DanaFajr"/>
          <w:sz w:val="28"/>
          <w:szCs w:val="28"/>
          <w:rtl/>
        </w:rPr>
        <w:t>5</w:t>
      </w:r>
      <w:r w:rsidRPr="006571AC">
        <w:rPr>
          <w:rFonts w:asciiTheme="minorBidi" w:hAnsiTheme="minorBidi" w:cs="DanaFajr" w:hint="cs"/>
          <w:sz w:val="28"/>
          <w:szCs w:val="28"/>
          <w:rtl/>
        </w:rPr>
        <w:t xml:space="preserve">: </w:t>
      </w:r>
      <w:r w:rsidRPr="006571AC">
        <w:rPr>
          <w:rFonts w:asciiTheme="minorBidi" w:hAnsiTheme="minorBidi" w:cs="DanaFajr"/>
          <w:sz w:val="28"/>
          <w:szCs w:val="28"/>
          <w:rtl/>
        </w:rPr>
        <w:t xml:space="preserve">280. </w:t>
      </w:r>
    </w:p>
  </w:endnote>
  <w:endnote w:id="624">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val="fr-BE"/>
        </w:rPr>
        <w:t>والقول الذي ذهب إليه ابن القي</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م وابن تيمية في هذه المسألة</w:t>
      </w:r>
      <w:r w:rsidRPr="006571AC">
        <w:rPr>
          <w:rFonts w:asciiTheme="minorBidi" w:hAnsiTheme="minorBidi" w:cs="DanaFajr" w:hint="cs"/>
          <w:sz w:val="28"/>
          <w:szCs w:val="28"/>
          <w:rtl/>
          <w:lang w:val="fr-BE"/>
        </w:rPr>
        <w:t xml:space="preserve"> </w:t>
      </w:r>
      <w:r w:rsidRPr="006571AC">
        <w:rPr>
          <w:rFonts w:asciiTheme="minorBidi" w:hAnsiTheme="minorBidi" w:cs="DanaFajr"/>
          <w:sz w:val="28"/>
          <w:szCs w:val="28"/>
          <w:rtl/>
          <w:lang w:val="fr-BE"/>
        </w:rPr>
        <w:t>هو نفسه ما قضى به عمر، وهو المعنى المستخلص من حديث ابن عباس في قص</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 xml:space="preserve">ة زينب، ويعضده حديثه الآخر الذي جاء فيه: </w:t>
      </w:r>
      <w:r w:rsidRPr="006571AC">
        <w:rPr>
          <w:rFonts w:hint="eastAsia"/>
          <w:sz w:val="22"/>
          <w:szCs w:val="22"/>
          <w:rtl/>
        </w:rPr>
        <w:t>«</w:t>
      </w:r>
      <w:r w:rsidRPr="006571AC">
        <w:rPr>
          <w:rFonts w:asciiTheme="minorBidi" w:hAnsiTheme="minorBidi" w:cs="DanaFajr"/>
          <w:sz w:val="28"/>
          <w:szCs w:val="28"/>
          <w:rtl/>
          <w:lang w:val="fr-BE"/>
        </w:rPr>
        <w:t>كان المشركون على من</w:t>
      </w:r>
      <w:r w:rsidRPr="006571AC">
        <w:rPr>
          <w:rFonts w:asciiTheme="minorBidi" w:hAnsiTheme="minorBidi" w:cs="DanaFajr" w:hint="cs"/>
          <w:sz w:val="28"/>
          <w:szCs w:val="28"/>
          <w:rtl/>
          <w:lang w:val="fr-BE"/>
        </w:rPr>
        <w:t>ـ</w:t>
      </w:r>
      <w:r w:rsidRPr="006571AC">
        <w:rPr>
          <w:rFonts w:asciiTheme="minorBidi" w:hAnsiTheme="minorBidi" w:cs="DanaFajr"/>
          <w:sz w:val="28"/>
          <w:szCs w:val="28"/>
          <w:rtl/>
          <w:lang w:val="fr-BE"/>
        </w:rPr>
        <w:t>زلتين من النبي</w:t>
      </w:r>
      <w:r w:rsidRPr="006571AC">
        <w:rPr>
          <w:rFonts w:asciiTheme="minorBidi" w:hAnsiTheme="minorBidi" w:cs="DanaFajr" w:hint="cs"/>
          <w:sz w:val="28"/>
          <w:szCs w:val="28"/>
          <w:rtl/>
          <w:lang w:val="fr-BE"/>
        </w:rPr>
        <w:t>ّ</w:t>
      </w:r>
      <w:r w:rsidRPr="006571AC">
        <w:rPr>
          <w:rFonts w:ascii="Mosawi" w:hAnsi="Mosawi" w:cs="Mosawi"/>
          <w:rtl/>
        </w:rPr>
        <w:t>ﷺ</w:t>
      </w:r>
      <w:r w:rsidRPr="006571AC">
        <w:rPr>
          <w:rFonts w:asciiTheme="minorBidi" w:hAnsiTheme="minorBidi" w:cs="DanaFajr"/>
          <w:sz w:val="28"/>
          <w:szCs w:val="28"/>
          <w:rtl/>
          <w:lang w:val="fr-BE"/>
        </w:rPr>
        <w:t xml:space="preserve"> ومن المؤمنين، كانوا مشركي أهل حرب يقاتلهم ويقاتلونه، ومشركي أهل عهد لا يقاتلهم ولا يقاتلونه، وكان إذا هاجر</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ت</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 xml:space="preserve"> المرأة من أهل الحرب لم تخطب حتى تحيض وتطهر، فإذا طهرت حل</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 xml:space="preserve"> لها النكاح، وإن</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 xml:space="preserve"> جاء زوجها قبل أن تنكح ر</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د</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ت</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 xml:space="preserve"> إليه</w:t>
      </w:r>
      <w:r w:rsidRPr="006571AC">
        <w:rPr>
          <w:rFonts w:hint="eastAsia"/>
          <w:sz w:val="22"/>
          <w:szCs w:val="22"/>
          <w:rtl/>
        </w:rPr>
        <w:t>»</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w:t>
      </w:r>
      <w:r w:rsidRPr="006571AC">
        <w:rPr>
          <w:rFonts w:asciiTheme="minorBidi" w:hAnsiTheme="minorBidi" w:cs="DanaFajr"/>
          <w:sz w:val="28"/>
          <w:szCs w:val="28"/>
          <w:rtl/>
        </w:rPr>
        <w:t>أخرجه البخاري في صحيحه</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كتاب الطلاق، باب نكاح م</w:t>
      </w:r>
      <w:r w:rsidRPr="006571AC">
        <w:rPr>
          <w:rFonts w:asciiTheme="minorBidi" w:hAnsiTheme="minorBidi" w:cs="DanaFajr" w:hint="cs"/>
          <w:sz w:val="28"/>
          <w:szCs w:val="28"/>
          <w:rtl/>
        </w:rPr>
        <w:t>َ</w:t>
      </w:r>
      <w:r w:rsidRPr="006571AC">
        <w:rPr>
          <w:rFonts w:asciiTheme="minorBidi" w:hAnsiTheme="minorBidi" w:cs="DanaFajr"/>
          <w:sz w:val="28"/>
          <w:szCs w:val="28"/>
          <w:rtl/>
        </w:rPr>
        <w:t>ن</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أسلم من المشركات وعد</w:t>
      </w:r>
      <w:r w:rsidRPr="006571AC">
        <w:rPr>
          <w:rFonts w:asciiTheme="minorBidi" w:hAnsiTheme="minorBidi" w:cs="DanaFajr" w:hint="cs"/>
          <w:sz w:val="28"/>
          <w:szCs w:val="28"/>
          <w:rtl/>
        </w:rPr>
        <w:t>ّ</w:t>
      </w:r>
      <w:r w:rsidRPr="006571AC">
        <w:rPr>
          <w:rFonts w:asciiTheme="minorBidi" w:hAnsiTheme="minorBidi" w:cs="DanaFajr"/>
          <w:sz w:val="28"/>
          <w:szCs w:val="28"/>
          <w:rtl/>
        </w:rPr>
        <w:t>تهن</w:t>
      </w:r>
      <w:r w:rsidRPr="006571AC">
        <w:rPr>
          <w:rFonts w:asciiTheme="minorBidi" w:hAnsiTheme="minorBidi" w:cs="DanaFajr"/>
          <w:sz w:val="28"/>
          <w:szCs w:val="28"/>
          <w:rtl/>
          <w:lang w:bidi="ar-MA"/>
        </w:rPr>
        <w:t xml:space="preserve">، رقم 5286. </w:t>
      </w:r>
    </w:p>
  </w:endnote>
  <w:endnote w:id="625">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نص</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الطهطاوي على هذا المبدأ قائلا</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w:t>
      </w:r>
      <w:r w:rsidRPr="006571AC">
        <w:rPr>
          <w:rFonts w:hint="eastAsia"/>
          <w:sz w:val="22"/>
          <w:szCs w:val="22"/>
          <w:rtl/>
          <w:lang w:bidi="ar-MA"/>
        </w:rPr>
        <w:t>«</w:t>
      </w:r>
      <w:r w:rsidRPr="006571AC">
        <w:rPr>
          <w:rFonts w:asciiTheme="minorBidi" w:hAnsiTheme="minorBidi" w:cs="DanaFajr"/>
          <w:sz w:val="28"/>
          <w:szCs w:val="28"/>
          <w:rtl/>
          <w:lang w:bidi="ar-MA"/>
        </w:rPr>
        <w:t>والكريم يحن</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إلى أحبابه كما يحن</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الأسد إلى غابه، ويشتاق اللبيب إلى وطنه كما يشتاق النجيب إلى عطنه</w:t>
      </w:r>
      <w:r w:rsidRPr="006571AC">
        <w:rPr>
          <w:rFonts w:hint="eastAsia"/>
          <w:sz w:val="22"/>
          <w:szCs w:val="22"/>
          <w:rtl/>
        </w:rPr>
        <w:t>»</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المرشد الأمين للبنات والبنين</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eastAsia="fr-FR" w:bidi="ar-MA"/>
        </w:rPr>
        <w:t>303</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ضمن سلسلة في الفكر النهضوي الإسلامي، تقديم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منى أبو زيد، دار الكتاب المصري بالقاهرة ودار الكتاب اللبناني ببيروت ومكتبة الإسكندرية، 2011</w:t>
      </w:r>
      <w:r w:rsidRPr="006571AC">
        <w:rPr>
          <w:rFonts w:asciiTheme="minorBidi" w:hAnsiTheme="minorBidi" w:cs="DanaFajr" w:hint="cs"/>
          <w:sz w:val="28"/>
          <w:szCs w:val="28"/>
          <w:rtl/>
          <w:lang w:eastAsia="fr-FR" w:bidi="ar-MA"/>
        </w:rPr>
        <w:t>م</w:t>
      </w:r>
      <w:r w:rsidRPr="006571AC">
        <w:rPr>
          <w:rFonts w:asciiTheme="minorBidi" w:hAnsiTheme="minorBidi" w:cs="DanaFajr"/>
          <w:sz w:val="28"/>
          <w:szCs w:val="28"/>
          <w:rtl/>
          <w:lang w:eastAsia="fr-FR" w:bidi="ar-MA"/>
        </w:rPr>
        <w:t xml:space="preserve">. </w:t>
      </w:r>
    </w:p>
  </w:endnote>
  <w:endnote w:id="626">
    <w:p w:rsidR="00DB2356" w:rsidRPr="006571AC" w:rsidRDefault="00DB2356" w:rsidP="0042241D">
      <w:pPr>
        <w:pStyle w:val="aa"/>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ac"/>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رواه البخاري في الأدب المفرد</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w:t>
      </w:r>
      <w:r w:rsidRPr="006571AC">
        <w:rPr>
          <w:rFonts w:asciiTheme="minorBidi" w:hAnsiTheme="minorBidi" w:cs="DanaFajr" w:hint="cs"/>
          <w:sz w:val="28"/>
          <w:szCs w:val="28"/>
          <w:rtl/>
          <w:lang w:bidi="ar-MA"/>
        </w:rPr>
        <w:t>باب حسن الخلق،</w:t>
      </w:r>
      <w:r w:rsidRPr="006571AC">
        <w:rPr>
          <w:rFonts w:asciiTheme="minorBidi" w:hAnsiTheme="minorBidi" w:cs="DanaFajr"/>
          <w:sz w:val="28"/>
          <w:szCs w:val="28"/>
          <w:rtl/>
          <w:lang w:bidi="ar-MA"/>
        </w:rPr>
        <w:t xml:space="preserve"> رقم 273</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w:t>
      </w:r>
      <w:r w:rsidRPr="006571AC">
        <w:rPr>
          <w:rFonts w:asciiTheme="minorBidi" w:hAnsiTheme="minorBidi" w:cs="DanaFajr" w:hint="cs"/>
          <w:sz w:val="28"/>
          <w:szCs w:val="28"/>
          <w:rtl/>
          <w:lang w:bidi="ar-MA"/>
        </w:rPr>
        <w:t xml:space="preserve">رواه </w:t>
      </w:r>
      <w:r w:rsidRPr="006571AC">
        <w:rPr>
          <w:rFonts w:asciiTheme="minorBidi" w:hAnsiTheme="minorBidi" w:cs="DanaFajr"/>
          <w:sz w:val="28"/>
          <w:szCs w:val="28"/>
          <w:rtl/>
          <w:lang w:bidi="ar-MA"/>
        </w:rPr>
        <w:t>الحاكم في المستدرك</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2</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613</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رقم 4280</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وقال</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حديث</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صحيح على شرط مسلم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ولم يخر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جاه</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ورواه مالك في الموط</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أ 2</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904</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كتاب حسن الخلق، باب ما جاء في حسن الخلق، رقم 8. </w:t>
      </w:r>
    </w:p>
  </w:endnote>
  <w:endnote w:id="627">
    <w:p w:rsidR="00DB2356" w:rsidRPr="006571AC" w:rsidRDefault="00DB2356" w:rsidP="00DD301A">
      <w:pPr>
        <w:pStyle w:val="aa"/>
        <w:spacing w:line="312" w:lineRule="exact"/>
        <w:ind w:firstLine="0"/>
        <w:rPr>
          <w:rFonts w:cs="DanaFajr"/>
          <w:szCs w:val="28"/>
          <w:rtl/>
          <w:lang w:bidi="ar-LB"/>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 xml:space="preserve">) </w:t>
      </w:r>
      <w:r w:rsidRPr="006571AC">
        <w:rPr>
          <w:rFonts w:cs="DanaFajr" w:hint="cs"/>
          <w:szCs w:val="28"/>
          <w:rtl/>
          <w:lang w:bidi="ar-LB"/>
        </w:rPr>
        <w:t xml:space="preserve">يمثِّل هذا البحث تقريراً لمحاضرات الشيخ الأستاذ صادق اللاريجاني(حفظه الله)، في دَوْرته الأصولية الثانية، عندما كان يبحث في مبادئ علم الأصول عن المبادئ المتعلِّقة بالحكم الشرعيّ. وقد استغرق البحث عن هذه المسألة تسعة مجالس تقريباً، لمدّة أسبوعين أو أكثر من السنة الدراسيّة (1426 ـ 1427هـ). </w:t>
      </w:r>
    </w:p>
    <w:p w:rsidR="00DB2356" w:rsidRPr="006571AC" w:rsidRDefault="00DB2356" w:rsidP="00DD301A">
      <w:pPr>
        <w:pStyle w:val="aa"/>
        <w:spacing w:line="312" w:lineRule="exact"/>
        <w:ind w:firstLine="0"/>
        <w:rPr>
          <w:rFonts w:cs="DanaFajr"/>
          <w:sz w:val="28"/>
          <w:szCs w:val="28"/>
          <w:rtl/>
        </w:rPr>
      </w:pPr>
      <w:r w:rsidRPr="006571AC">
        <w:rPr>
          <w:rFonts w:cs="DanaFajr" w:hint="cs"/>
          <w:sz w:val="28"/>
          <w:szCs w:val="28"/>
          <w:rtl/>
          <w:lang w:bidi="ar-LB"/>
        </w:rPr>
        <w:t xml:space="preserve">وقد ألحَقْنا بها ما أفاده سماحته بعدها، أو ما كان له دَخْلٌ في إغناء البحث، من تنسيقاتٍ أو زياداتٍ أو تقديماتٍ وتأخيراتٍ، ممّا قد صحَّحه سماحته بالكامل، بعد الملاحظة النهائية سَطْراً بعد سطرٍ. وقد أثبتنا في الهامش بعض الأمور ممّا قد لا يخلو من فائدةٍ </w:t>
      </w:r>
      <w:r w:rsidRPr="006571AC">
        <w:rPr>
          <w:rFonts w:cs="DanaFajr"/>
          <w:sz w:val="28"/>
          <w:szCs w:val="28"/>
          <w:rtl/>
          <w:lang w:bidi="ar-LB"/>
        </w:rPr>
        <w:t>ـ</w:t>
      </w:r>
      <w:r w:rsidRPr="006571AC">
        <w:rPr>
          <w:rFonts w:cs="DanaFajr" w:hint="cs"/>
          <w:sz w:val="28"/>
          <w:szCs w:val="28"/>
          <w:rtl/>
          <w:lang w:bidi="ar-LB"/>
        </w:rPr>
        <w:t xml:space="preserve"> وهي مُلاحَظَةٌ أيضاً، ومؤيَّدة في الغالب </w:t>
      </w:r>
      <w:r w:rsidRPr="006571AC">
        <w:rPr>
          <w:rFonts w:cs="DanaFajr"/>
          <w:sz w:val="28"/>
          <w:szCs w:val="28"/>
          <w:rtl/>
          <w:lang w:bidi="ar-LB"/>
        </w:rPr>
        <w:t>ـ</w:t>
      </w:r>
      <w:r w:rsidRPr="006571AC">
        <w:rPr>
          <w:rFonts w:cs="DanaFajr" w:hint="cs"/>
          <w:sz w:val="28"/>
          <w:szCs w:val="28"/>
          <w:rtl/>
          <w:lang w:bidi="ar-LB"/>
        </w:rPr>
        <w:t>، وترَكْنا بعضاً آخر عسى أن يتيسَّر الكلام عنها في مجالٍ أوسع إنْ شاء الله. وزعمي أنّ مقتضى طبيعة هذه المسائل، التي لم يشبع البحث عنها مستقلاًّ لدى الأصحاب، أن تكون بحاجةٍ أكثر إلى تضارب الحجج والآراء فيها، والعصمةُ عند أهلها، والله المستعان.</w:t>
      </w:r>
    </w:p>
  </w:endnote>
  <w:endnote w:id="628">
    <w:p w:rsidR="00DB2356" w:rsidRPr="006571AC" w:rsidRDefault="00DB2356" w:rsidP="0067688E">
      <w:pPr>
        <w:pStyle w:val="aa"/>
        <w:spacing w:line="314" w:lineRule="exact"/>
        <w:ind w:firstLine="0"/>
        <w:rPr>
          <w:rFonts w:ascii="Tekton Pro Cond" w:hAnsi="Tekton Pro Cond" w:cs="DanaFajr"/>
          <w:sz w:val="28"/>
          <w:szCs w:val="28"/>
        </w:rPr>
      </w:pPr>
      <w:r w:rsidRPr="006571AC">
        <w:rPr>
          <w:rFonts w:ascii="Tekton Pro Cond" w:hAnsi="Tekton Pro Cond" w:cs="DanaFajr"/>
          <w:sz w:val="28"/>
          <w:szCs w:val="28"/>
          <w:rtl/>
        </w:rPr>
        <w:t>(</w:t>
      </w:r>
      <w:r w:rsidRPr="006571AC">
        <w:rPr>
          <w:rStyle w:val="ac"/>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hint="cs"/>
          <w:sz w:val="28"/>
          <w:szCs w:val="28"/>
          <w:rtl/>
        </w:rPr>
        <w:t xml:space="preserve"> </w:t>
      </w:r>
      <w:r w:rsidRPr="006571AC">
        <w:rPr>
          <w:rFonts w:ascii="Tekton Pro Cond" w:hAnsi="Tekton Pro Cond" w:cs="DanaFajr" w:hint="cs"/>
          <w:sz w:val="28"/>
          <w:szCs w:val="28"/>
          <w:rtl/>
          <w:lang w:bidi="ar-LB"/>
        </w:rPr>
        <w:t>السيد روح الله الموسوي الخميني، مناهج الأصول إلى علم الأصول 2: 18، مؤسّسة النشر للآثار، قم، 1415هـ.</w:t>
      </w:r>
    </w:p>
    <w:p w:rsidR="00DB2356" w:rsidRPr="006571AC" w:rsidRDefault="00DB2356" w:rsidP="0067688E">
      <w:pPr>
        <w:pStyle w:val="aa"/>
        <w:spacing w:line="314" w:lineRule="exact"/>
        <w:ind w:firstLine="0"/>
        <w:rPr>
          <w:rFonts w:ascii="Tekton Pro Cond" w:hAnsi="Tekton Pro Cond" w:cs="DanaFajr"/>
          <w:sz w:val="28"/>
          <w:szCs w:val="28"/>
          <w:rtl/>
        </w:rPr>
      </w:pPr>
      <w:r w:rsidRPr="006571AC">
        <w:rPr>
          <w:rFonts w:ascii="Tekton Pro Cond" w:hAnsi="Tekton Pro Cond" w:cs="DanaFajr"/>
          <w:sz w:val="28"/>
          <w:szCs w:val="28"/>
          <w:rtl/>
        </w:rPr>
        <w:t>وقد حكى ذلك عنه مقر</w:t>
      </w:r>
      <w:r w:rsidRPr="006571AC">
        <w:rPr>
          <w:rFonts w:ascii="Tekton Pro Cond" w:hAnsi="Tekton Pro Cond" w:cs="DanaFajr" w:hint="cs"/>
          <w:sz w:val="28"/>
          <w:szCs w:val="28"/>
          <w:rtl/>
        </w:rPr>
        <w:t>ِّ</w:t>
      </w:r>
      <w:r w:rsidRPr="006571AC">
        <w:rPr>
          <w:rFonts w:ascii="Tekton Pro Cond" w:hAnsi="Tekton Pro Cond" w:cs="DanaFajr"/>
          <w:sz w:val="28"/>
          <w:szCs w:val="28"/>
          <w:rtl/>
        </w:rPr>
        <w:t>رو</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بحثه أيضاً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على اختلاف بينهم في تقريب المعنى المراد أو التبعيد عنه</w:t>
      </w:r>
      <w:r w:rsidRPr="006571AC">
        <w:rPr>
          <w:rFonts w:ascii="Tekton Pro Cond" w:hAnsi="Tekton Pro Cond" w:cs="DanaFajr" w:hint="cs"/>
          <w:sz w:val="28"/>
          <w:szCs w:val="28"/>
          <w:rtl/>
        </w:rPr>
        <w:t>:</w:t>
      </w:r>
    </w:p>
    <w:p w:rsidR="00DB2356" w:rsidRPr="006571AC" w:rsidRDefault="00DB2356" w:rsidP="00B37556">
      <w:pPr>
        <w:pStyle w:val="aa"/>
        <w:spacing w:line="314" w:lineRule="exact"/>
        <w:ind w:firstLine="0"/>
        <w:rPr>
          <w:rFonts w:ascii="Tekton Pro Cond" w:hAnsi="Tekton Pro Cond" w:cs="DanaFajr"/>
          <w:szCs w:val="28"/>
          <w:rtl/>
          <w:lang w:bidi="ar-LB"/>
        </w:rPr>
      </w:pPr>
      <w:r w:rsidRPr="006571AC">
        <w:rPr>
          <w:rFonts w:ascii="Tekton Pro Cond" w:hAnsi="Tekton Pro Cond" w:cs="DanaFajr"/>
          <w:sz w:val="28"/>
          <w:szCs w:val="28"/>
          <w:rtl/>
        </w:rPr>
        <w:t>فمن الأو</w:t>
      </w:r>
      <w:r w:rsidRPr="006571AC">
        <w:rPr>
          <w:rFonts w:ascii="Tekton Pro Cond" w:hAnsi="Tekton Pro Cond" w:cs="DanaFajr" w:hint="cs"/>
          <w:sz w:val="28"/>
          <w:szCs w:val="28"/>
          <w:rtl/>
        </w:rPr>
        <w:t>ّ</w:t>
      </w:r>
      <w:r w:rsidRPr="006571AC">
        <w:rPr>
          <w:rFonts w:ascii="Tekton Pro Cond" w:hAnsi="Tekton Pro Cond" w:cs="DanaFajr"/>
          <w:sz w:val="28"/>
          <w:szCs w:val="28"/>
          <w:rtl/>
        </w:rPr>
        <w:t>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ما </w:t>
      </w:r>
      <w:r w:rsidRPr="006571AC">
        <w:rPr>
          <w:rFonts w:ascii="Tekton Pro Cond" w:hAnsi="Tekton Pro Cond" w:cs="DanaFajr" w:hint="cs"/>
          <w:sz w:val="28"/>
          <w:szCs w:val="28"/>
          <w:rtl/>
        </w:rPr>
        <w:t>نقله</w:t>
      </w:r>
      <w:r w:rsidRPr="006571AC">
        <w:rPr>
          <w:rFonts w:ascii="Tekton Pro Cond" w:hAnsi="Tekton Pro Cond" w:cs="DanaFajr"/>
          <w:sz w:val="28"/>
          <w:szCs w:val="28"/>
          <w:rtl/>
        </w:rPr>
        <w:t xml:space="preserve"> </w:t>
      </w:r>
      <w:r w:rsidRPr="006571AC">
        <w:rPr>
          <w:rFonts w:ascii="Tekton Pro Cond" w:hAnsi="Tekton Pro Cond" w:cs="DanaFajr" w:hint="cs"/>
          <w:szCs w:val="28"/>
          <w:rtl/>
          <w:lang w:bidi="ar-LB"/>
        </w:rPr>
        <w:t xml:space="preserve">الشيخ محمد حسين السبحاني التبريزي في تهذيب الأصول 1: 235، انتشارات إسماعيليان، قم، 1382هـ: </w:t>
      </w:r>
      <w:r w:rsidRPr="006571AC">
        <w:rPr>
          <w:rFonts w:hint="eastAsia"/>
          <w:sz w:val="22"/>
          <w:szCs w:val="22"/>
          <w:rtl/>
        </w:rPr>
        <w:t>«</w:t>
      </w:r>
      <w:r w:rsidRPr="006571AC">
        <w:rPr>
          <w:rFonts w:ascii="Tekton Pro Cond" w:hAnsi="Tekton Pro Cond" w:cs="DanaFajr"/>
          <w:sz w:val="28"/>
          <w:szCs w:val="28"/>
          <w:rtl/>
        </w:rPr>
        <w:t>على أنّ عدم خلوّ الواقعة من حكم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لم يدلّ عليه دليل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لو لم يدلّ على خلافه</w:t>
      </w:r>
      <w:r w:rsidRPr="006571AC">
        <w:rPr>
          <w:rFonts w:ascii="Tekton Pro Cond" w:hAnsi="Tekton Pro Cond" w:cs="DanaFajr" w:hint="cs"/>
          <w:sz w:val="28"/>
          <w:szCs w:val="28"/>
          <w:rtl/>
        </w:rPr>
        <w:t>؛ إ</w:t>
      </w:r>
      <w:r w:rsidRPr="006571AC">
        <w:rPr>
          <w:rFonts w:ascii="Tekton Pro Cond" w:hAnsi="Tekton Pro Cond" w:cs="DanaFajr"/>
          <w:sz w:val="28"/>
          <w:szCs w:val="28"/>
          <w:rtl/>
        </w:rPr>
        <w:t>ذ الإباحة المسب</w:t>
      </w:r>
      <w:r w:rsidRPr="006571AC">
        <w:rPr>
          <w:rFonts w:ascii="Tekton Pro Cond" w:hAnsi="Tekton Pro Cond" w:cs="DanaFajr" w:hint="cs"/>
          <w:sz w:val="28"/>
          <w:szCs w:val="28"/>
          <w:rtl/>
        </w:rPr>
        <w:t>ّ</w:t>
      </w:r>
      <w:r w:rsidRPr="006571AC">
        <w:rPr>
          <w:rFonts w:ascii="Tekton Pro Cond" w:hAnsi="Tekton Pro Cond" w:cs="DanaFajr"/>
          <w:sz w:val="28"/>
          <w:szCs w:val="28"/>
          <w:rtl/>
        </w:rPr>
        <w:t>بة عن اقتضاء التساوي إباحة شرعيّة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وتعدّ من الأحكام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w:t>
      </w:r>
      <w:r w:rsidRPr="006571AC">
        <w:rPr>
          <w:rFonts w:ascii="Tekton Pro Cond" w:hAnsi="Tekton Pro Cond" w:cs="DanaFajr" w:hint="cs"/>
          <w:sz w:val="28"/>
          <w:szCs w:val="28"/>
          <w:rtl/>
        </w:rPr>
        <w:t>أ</w:t>
      </w:r>
      <w:r w:rsidRPr="006571AC">
        <w:rPr>
          <w:rFonts w:ascii="Tekton Pro Cond" w:hAnsi="Tekton Pro Cond" w:cs="DanaFajr"/>
          <w:sz w:val="28"/>
          <w:szCs w:val="28"/>
          <w:rtl/>
        </w:rPr>
        <w:t>مّا إذا فرضنا عدم اقت</w:t>
      </w:r>
      <w:r w:rsidRPr="006571AC">
        <w:rPr>
          <w:rFonts w:ascii="Tekton Pro Cond" w:hAnsi="Tekton Pro Cond" w:cs="DanaFajr" w:hint="cs"/>
          <w:sz w:val="28"/>
          <w:szCs w:val="28"/>
          <w:rtl/>
        </w:rPr>
        <w:t>ض</w:t>
      </w:r>
      <w:r w:rsidRPr="006571AC">
        <w:rPr>
          <w:rFonts w:ascii="Tekton Pro Cond" w:hAnsi="Tekton Pro Cond" w:cs="DanaFajr"/>
          <w:sz w:val="28"/>
          <w:szCs w:val="28"/>
          <w:rtl/>
        </w:rPr>
        <w:t>اء</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للواقعة أصلاً فلا بُدَّ أن لا يكون لها حكم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شرعيّ، إذ جعل الإباحة </w:t>
      </w:r>
      <w:r w:rsidRPr="006571AC">
        <w:rPr>
          <w:rFonts w:ascii="Tekton Pro Cond" w:hAnsi="Tekton Pro Cond" w:cs="DanaFajr" w:hint="cs"/>
          <w:sz w:val="28"/>
          <w:szCs w:val="28"/>
          <w:rtl/>
        </w:rPr>
        <w:t xml:space="preserve">بلا </w:t>
      </w:r>
      <w:r w:rsidRPr="006571AC">
        <w:rPr>
          <w:rFonts w:ascii="Tekton Pro Cond" w:hAnsi="Tekton Pro Cond" w:cs="DanaFajr"/>
          <w:sz w:val="28"/>
          <w:szCs w:val="28"/>
          <w:rtl/>
        </w:rPr>
        <w:t>ملاك</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لغو</w:t>
      </w:r>
      <w:r w:rsidRPr="006571AC">
        <w:rPr>
          <w:rFonts w:ascii="Tekton Pro Cond" w:hAnsi="Tekton Pro Cond" w:cs="DanaFajr" w:hint="cs"/>
          <w:sz w:val="28"/>
          <w:szCs w:val="28"/>
          <w:rtl/>
        </w:rPr>
        <w:t>ٌ</w:t>
      </w:r>
      <w:r w:rsidRPr="006571AC">
        <w:rPr>
          <w:rFonts w:ascii="Tekton Pro Cond" w:hAnsi="Tekton Pro Cond" w:cs="DanaFajr"/>
          <w:sz w:val="28"/>
          <w:szCs w:val="28"/>
          <w:rtl/>
        </w:rPr>
        <w:t>، فينطبق على الإباحة العقلية ق</w:t>
      </w:r>
      <w:r w:rsidRPr="006571AC">
        <w:rPr>
          <w:rFonts w:ascii="Tekton Pro Cond" w:hAnsi="Tekton Pro Cond" w:cs="DanaFajr" w:hint="cs"/>
          <w:sz w:val="28"/>
          <w:szCs w:val="28"/>
          <w:rtl/>
        </w:rPr>
        <w:t>َ</w:t>
      </w:r>
      <w:r w:rsidRPr="006571AC">
        <w:rPr>
          <w:rFonts w:ascii="Tekton Pro Cond" w:hAnsi="Tekton Pro Cond" w:cs="DanaFajr"/>
          <w:sz w:val="28"/>
          <w:szCs w:val="28"/>
          <w:rtl/>
        </w:rPr>
        <w:t>ه</w:t>
      </w:r>
      <w:r w:rsidRPr="006571AC">
        <w:rPr>
          <w:rFonts w:ascii="Tekton Pro Cond" w:hAnsi="Tekton Pro Cond" w:cs="DanaFajr" w:hint="cs"/>
          <w:sz w:val="28"/>
          <w:szCs w:val="28"/>
          <w:rtl/>
        </w:rPr>
        <w:t>ْ</w:t>
      </w:r>
      <w:r w:rsidRPr="006571AC">
        <w:rPr>
          <w:rFonts w:ascii="Tekton Pro Cond" w:hAnsi="Tekton Pro Cond" w:cs="DanaFajr"/>
          <w:sz w:val="28"/>
          <w:szCs w:val="28"/>
          <w:rtl/>
        </w:rPr>
        <w:t>راً، ويخلو من الجواز الشرعي. ولكنّ المقام من نظائره</w:t>
      </w:r>
      <w:r w:rsidRPr="006571AC">
        <w:rPr>
          <w:rFonts w:hint="eastAsia"/>
          <w:sz w:val="22"/>
          <w:szCs w:val="22"/>
          <w:rtl/>
        </w:rPr>
        <w:t>»</w:t>
      </w:r>
      <w:r w:rsidRPr="006571AC">
        <w:rPr>
          <w:rFonts w:ascii="Tekton Pro Cond" w:hAnsi="Tekton Pro Cond" w:cs="DanaFajr" w:hint="cs"/>
          <w:sz w:val="28"/>
          <w:szCs w:val="28"/>
          <w:rtl/>
        </w:rPr>
        <w:t>.</w:t>
      </w:r>
    </w:p>
    <w:p w:rsidR="00DB2356" w:rsidRPr="006571AC" w:rsidRDefault="00DB2356" w:rsidP="0067688E">
      <w:pPr>
        <w:pStyle w:val="aa"/>
        <w:spacing w:line="314" w:lineRule="exact"/>
        <w:ind w:firstLine="0"/>
        <w:rPr>
          <w:rFonts w:ascii="Tekton Pro Cond" w:hAnsi="Tekton Pro Cond" w:cs="DanaFajr"/>
          <w:sz w:val="28"/>
          <w:szCs w:val="28"/>
          <w:rtl/>
        </w:rPr>
      </w:pPr>
      <w:r w:rsidRPr="006571AC">
        <w:rPr>
          <w:rFonts w:ascii="Tekton Pro Cond" w:hAnsi="Tekton Pro Cond" w:cs="DanaFajr"/>
          <w:sz w:val="28"/>
          <w:szCs w:val="28"/>
          <w:rtl/>
        </w:rPr>
        <w:t xml:space="preserve">ومن الثاني: ما </w:t>
      </w:r>
      <w:r w:rsidRPr="006571AC">
        <w:rPr>
          <w:rFonts w:ascii="Tekton Pro Cond" w:hAnsi="Tekton Pro Cond" w:cs="DanaFajr" w:hint="cs"/>
          <w:sz w:val="28"/>
          <w:szCs w:val="28"/>
          <w:rtl/>
        </w:rPr>
        <w:t xml:space="preserve">نقله </w:t>
      </w:r>
      <w:r w:rsidRPr="006571AC">
        <w:rPr>
          <w:rFonts w:ascii="Tekton Pro Cond" w:hAnsi="Tekton Pro Cond" w:cs="DanaFajr" w:hint="cs"/>
          <w:sz w:val="28"/>
          <w:szCs w:val="28"/>
          <w:rtl/>
          <w:lang w:bidi="ar-LB"/>
        </w:rPr>
        <w:t>الفاضل اللنكراني</w:t>
      </w:r>
      <w:r w:rsidRPr="006571AC">
        <w:rPr>
          <w:rFonts w:ascii="Tekton Pro Cond" w:hAnsi="Tekton Pro Cond" w:cs="DanaFajr"/>
          <w:sz w:val="28"/>
          <w:szCs w:val="28"/>
          <w:rtl/>
        </w:rPr>
        <w:t xml:space="preserve"> في معتمد الأصول</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1</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123</w:t>
      </w:r>
      <w:r w:rsidRPr="006571AC">
        <w:rPr>
          <w:rFonts w:ascii="Tekton Pro Cond" w:hAnsi="Tekton Pro Cond" w:cs="DanaFajr" w:hint="cs"/>
          <w:sz w:val="28"/>
          <w:szCs w:val="28"/>
          <w:rtl/>
          <w:lang w:bidi="ar-LB"/>
        </w:rPr>
        <w:t>، 1423هـ، ف</w:t>
      </w:r>
      <w:r w:rsidRPr="006571AC">
        <w:rPr>
          <w:rFonts w:ascii="Tekton Pro Cond" w:hAnsi="Tekton Pro Cond" w:cs="DanaFajr"/>
          <w:sz w:val="28"/>
          <w:szCs w:val="28"/>
          <w:rtl/>
        </w:rPr>
        <w:t xml:space="preserve">قال: </w:t>
      </w:r>
      <w:r w:rsidRPr="006571AC">
        <w:rPr>
          <w:rFonts w:hint="eastAsia"/>
          <w:sz w:val="22"/>
          <w:szCs w:val="22"/>
          <w:rtl/>
        </w:rPr>
        <w:t>«</w:t>
      </w:r>
      <w:r w:rsidRPr="006571AC">
        <w:rPr>
          <w:rFonts w:ascii="Tekton Pro Cond" w:hAnsi="Tekton Pro Cond" w:cs="DanaFajr"/>
          <w:sz w:val="28"/>
          <w:szCs w:val="28"/>
          <w:rtl/>
        </w:rPr>
        <w:t>هذا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مضافاً </w:t>
      </w:r>
      <w:r w:rsidRPr="006571AC">
        <w:rPr>
          <w:rFonts w:ascii="Tekton Pro Cond" w:hAnsi="Tekton Pro Cond" w:cs="DanaFajr" w:hint="cs"/>
          <w:sz w:val="28"/>
          <w:szCs w:val="28"/>
          <w:rtl/>
        </w:rPr>
        <w:t>إ</w:t>
      </w:r>
      <w:r w:rsidRPr="006571AC">
        <w:rPr>
          <w:rFonts w:ascii="Tekton Pro Cond" w:hAnsi="Tekton Pro Cond" w:cs="DanaFajr"/>
          <w:sz w:val="28"/>
          <w:szCs w:val="28"/>
          <w:rtl/>
        </w:rPr>
        <w:t>لى أنّ استحالة خلوّ الوقائع من الحكم ممنوعة</w:t>
      </w:r>
      <w:r w:rsidRPr="006571AC">
        <w:rPr>
          <w:rFonts w:ascii="Tekton Pro Cond" w:hAnsi="Tekton Pro Cond" w:cs="DanaFajr" w:hint="cs"/>
          <w:sz w:val="28"/>
          <w:szCs w:val="28"/>
          <w:rtl/>
        </w:rPr>
        <w:t>ٌ</w:t>
      </w:r>
      <w:r w:rsidRPr="006571AC">
        <w:rPr>
          <w:rFonts w:ascii="Tekton Pro Cond" w:hAnsi="Tekton Pro Cond" w:cs="DanaFajr"/>
          <w:sz w:val="28"/>
          <w:szCs w:val="28"/>
          <w:rtl/>
        </w:rPr>
        <w:t>؛ فإنّ هذا لو س</w:t>
      </w:r>
      <w:r w:rsidRPr="006571AC">
        <w:rPr>
          <w:rFonts w:ascii="Tekton Pro Cond" w:hAnsi="Tekton Pro Cond" w:cs="DanaFajr" w:hint="cs"/>
          <w:sz w:val="28"/>
          <w:szCs w:val="28"/>
          <w:rtl/>
        </w:rPr>
        <w:t>ُ</w:t>
      </w:r>
      <w:r w:rsidRPr="006571AC">
        <w:rPr>
          <w:rFonts w:ascii="Tekton Pro Cond" w:hAnsi="Tekton Pro Cond" w:cs="DanaFajr"/>
          <w:sz w:val="28"/>
          <w:szCs w:val="28"/>
          <w:rtl/>
        </w:rPr>
        <w:t>لّ</w:t>
      </w:r>
      <w:r w:rsidRPr="006571AC">
        <w:rPr>
          <w:rFonts w:ascii="Tekton Pro Cond" w:hAnsi="Tekton Pro Cond" w:cs="DanaFajr" w:hint="cs"/>
          <w:sz w:val="28"/>
          <w:szCs w:val="28"/>
          <w:rtl/>
        </w:rPr>
        <w:t>ِ</w:t>
      </w:r>
      <w:r w:rsidRPr="006571AC">
        <w:rPr>
          <w:rFonts w:ascii="Tekton Pro Cond" w:hAnsi="Tekton Pro Cond" w:cs="DanaFajr"/>
          <w:sz w:val="28"/>
          <w:szCs w:val="28"/>
          <w:rtl/>
        </w:rPr>
        <w:t>م فإنّما هو بح</w:t>
      </w:r>
      <w:r w:rsidRPr="006571AC">
        <w:rPr>
          <w:rFonts w:ascii="Tekton Pro Cond" w:hAnsi="Tekton Pro Cond" w:cs="DanaFajr" w:hint="cs"/>
          <w:sz w:val="28"/>
          <w:szCs w:val="28"/>
          <w:rtl/>
        </w:rPr>
        <w:t>َ</w:t>
      </w:r>
      <w:r w:rsidRPr="006571AC">
        <w:rPr>
          <w:rFonts w:ascii="Tekton Pro Cond" w:hAnsi="Tekton Pro Cond" w:cs="DanaFajr"/>
          <w:sz w:val="28"/>
          <w:szCs w:val="28"/>
          <w:rtl/>
        </w:rPr>
        <w:t>س</w:t>
      </w:r>
      <w:r w:rsidRPr="006571AC">
        <w:rPr>
          <w:rFonts w:ascii="Tekton Pro Cond" w:hAnsi="Tekton Pro Cond" w:cs="DanaFajr" w:hint="cs"/>
          <w:sz w:val="28"/>
          <w:szCs w:val="28"/>
          <w:rtl/>
        </w:rPr>
        <w:t>َ</w:t>
      </w:r>
      <w:r w:rsidRPr="006571AC">
        <w:rPr>
          <w:rFonts w:ascii="Tekton Pro Cond" w:hAnsi="Tekton Pro Cond" w:cs="DanaFajr"/>
          <w:sz w:val="28"/>
          <w:szCs w:val="28"/>
          <w:rtl/>
        </w:rPr>
        <w:t>ب الحكم الواقعي لا الفعلي، مع إمكان أن ي</w:t>
      </w:r>
      <w:r w:rsidRPr="006571AC">
        <w:rPr>
          <w:rFonts w:ascii="Tekton Pro Cond" w:hAnsi="Tekton Pro Cond" w:cs="DanaFajr" w:hint="cs"/>
          <w:sz w:val="28"/>
          <w:szCs w:val="28"/>
          <w:rtl/>
        </w:rPr>
        <w:t>ُ</w:t>
      </w:r>
      <w:r w:rsidRPr="006571AC">
        <w:rPr>
          <w:rFonts w:ascii="Tekton Pro Cond" w:hAnsi="Tekton Pro Cond" w:cs="DanaFajr"/>
          <w:sz w:val="28"/>
          <w:szCs w:val="28"/>
          <w:rtl/>
        </w:rPr>
        <w:t>قال بعدم استحالة خلوّها من الحكم بح</w:t>
      </w:r>
      <w:r w:rsidRPr="006571AC">
        <w:rPr>
          <w:rFonts w:ascii="Tekton Pro Cond" w:hAnsi="Tekton Pro Cond" w:cs="DanaFajr" w:hint="cs"/>
          <w:sz w:val="28"/>
          <w:szCs w:val="28"/>
          <w:rtl/>
        </w:rPr>
        <w:t>َ</w:t>
      </w:r>
      <w:r w:rsidRPr="006571AC">
        <w:rPr>
          <w:rFonts w:ascii="Tekton Pro Cond" w:hAnsi="Tekton Pro Cond" w:cs="DanaFajr"/>
          <w:sz w:val="28"/>
          <w:szCs w:val="28"/>
          <w:rtl/>
        </w:rPr>
        <w:t>س</w:t>
      </w:r>
      <w:r w:rsidRPr="006571AC">
        <w:rPr>
          <w:rFonts w:ascii="Tekton Pro Cond" w:hAnsi="Tekton Pro Cond" w:cs="DanaFajr" w:hint="cs"/>
          <w:sz w:val="28"/>
          <w:szCs w:val="28"/>
          <w:rtl/>
        </w:rPr>
        <w:t>َ</w:t>
      </w:r>
      <w:r w:rsidRPr="006571AC">
        <w:rPr>
          <w:rFonts w:ascii="Tekton Pro Cond" w:hAnsi="Tekton Pro Cond" w:cs="DanaFajr"/>
          <w:sz w:val="28"/>
          <w:szCs w:val="28"/>
          <w:rtl/>
        </w:rPr>
        <w:t>ب الواقع أيضاً؛ فإنّ الإباحة التي منشؤها عدم تعلّ</w:t>
      </w:r>
      <w:r w:rsidRPr="006571AC">
        <w:rPr>
          <w:rFonts w:ascii="Tekton Pro Cond" w:hAnsi="Tekton Pro Cond" w:cs="DanaFajr" w:hint="cs"/>
          <w:sz w:val="28"/>
          <w:szCs w:val="28"/>
          <w:rtl/>
        </w:rPr>
        <w:t>ُ</w:t>
      </w:r>
      <w:r w:rsidRPr="006571AC">
        <w:rPr>
          <w:rFonts w:ascii="Tekton Pro Cond" w:hAnsi="Tekton Pro Cond" w:cs="DanaFajr"/>
          <w:sz w:val="28"/>
          <w:szCs w:val="28"/>
          <w:rtl/>
        </w:rPr>
        <w:t>ق حكم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شرعيّ به</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بمعنى أنّ جواز فعله لعدم تعلّق النهي التحريمي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ولا التن</w:t>
      </w:r>
      <w:r w:rsidRPr="006571AC">
        <w:rPr>
          <w:rFonts w:ascii="Tekton Pro Cond" w:hAnsi="Tekton Pro Cond" w:cs="DanaFajr" w:hint="cs"/>
          <w:sz w:val="28"/>
          <w:szCs w:val="28"/>
          <w:rtl/>
        </w:rPr>
        <w:t>ـ</w:t>
      </w:r>
      <w:r w:rsidRPr="006571AC">
        <w:rPr>
          <w:rFonts w:ascii="Tekton Pro Cond" w:hAnsi="Tekton Pro Cond" w:cs="DanaFajr"/>
          <w:sz w:val="28"/>
          <w:szCs w:val="28"/>
          <w:rtl/>
        </w:rPr>
        <w:t>زيهي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به، وجواز تركه لعدم تعلّ</w:t>
      </w:r>
      <w:r w:rsidRPr="006571AC">
        <w:rPr>
          <w:rFonts w:ascii="Tekton Pro Cond" w:hAnsi="Tekton Pro Cond" w:cs="DanaFajr" w:hint="cs"/>
          <w:sz w:val="28"/>
          <w:szCs w:val="28"/>
          <w:rtl/>
        </w:rPr>
        <w:t>ُ</w:t>
      </w:r>
      <w:r w:rsidRPr="006571AC">
        <w:rPr>
          <w:rFonts w:ascii="Tekton Pro Cond" w:hAnsi="Tekton Pro Cond" w:cs="DanaFajr"/>
          <w:sz w:val="28"/>
          <w:szCs w:val="28"/>
          <w:rtl/>
        </w:rPr>
        <w:t>ق الأمر الوجوبي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ولا الاستحبابي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به أيضاً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في الحقيقة ليس بحكم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نعم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الإباحة التي منشؤها خلوّ الفعل من المصلحة والمفسدة أو تساويهما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الراج</w:t>
      </w:r>
      <w:r w:rsidRPr="006571AC">
        <w:rPr>
          <w:rFonts w:ascii="Tekton Pro Cond" w:hAnsi="Tekton Pro Cond" w:cs="DanaFajr" w:hint="cs"/>
          <w:sz w:val="28"/>
          <w:szCs w:val="28"/>
          <w:rtl/>
        </w:rPr>
        <w:t>ع</w:t>
      </w:r>
      <w:r w:rsidRPr="006571AC">
        <w:rPr>
          <w:rFonts w:ascii="Tekton Pro Cond" w:hAnsi="Tekton Pro Cond" w:cs="DanaFajr"/>
          <w:sz w:val="28"/>
          <w:szCs w:val="28"/>
          <w:rtl/>
        </w:rPr>
        <w:t xml:space="preserve">ة </w:t>
      </w:r>
      <w:r w:rsidRPr="006571AC">
        <w:rPr>
          <w:rFonts w:ascii="Tekton Pro Cond" w:hAnsi="Tekton Pro Cond" w:cs="DanaFajr" w:hint="cs"/>
          <w:sz w:val="28"/>
          <w:szCs w:val="28"/>
          <w:rtl/>
        </w:rPr>
        <w:t>إ</w:t>
      </w:r>
      <w:r w:rsidRPr="006571AC">
        <w:rPr>
          <w:rFonts w:ascii="Tekton Pro Cond" w:hAnsi="Tekton Pro Cond" w:cs="DanaFajr"/>
          <w:sz w:val="28"/>
          <w:szCs w:val="28"/>
          <w:rtl/>
        </w:rPr>
        <w:t>لى جعل الشارع إياها لذلك</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حكم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من الأحكام الخمسة، بخلاف الإباحة بالمعنى الأوّل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كما لا يخفى</w:t>
      </w:r>
      <w:r w:rsidRPr="006571AC">
        <w:rPr>
          <w:rFonts w:hint="eastAsia"/>
          <w:sz w:val="22"/>
          <w:szCs w:val="22"/>
          <w:rtl/>
        </w:rPr>
        <w:t>»</w:t>
      </w:r>
      <w:r w:rsidRPr="006571AC">
        <w:rPr>
          <w:rFonts w:ascii="Tekton Pro Cond" w:hAnsi="Tekton Pro Cond" w:cs="DanaFajr"/>
          <w:sz w:val="28"/>
          <w:szCs w:val="28"/>
          <w:rtl/>
        </w:rPr>
        <w:t>.</w:t>
      </w:r>
    </w:p>
    <w:p w:rsidR="00DB2356" w:rsidRPr="006571AC" w:rsidRDefault="00DB2356" w:rsidP="0067688E">
      <w:pPr>
        <w:pStyle w:val="aa"/>
        <w:spacing w:line="314"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ولا يخفى خروجه عن نطاق المراد، على أنّه ممنوع</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في نفسه</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كما يظهر بأدنى تأمّ</w:t>
      </w:r>
      <w:r w:rsidRPr="006571AC">
        <w:rPr>
          <w:rFonts w:ascii="Tekton Pro Cond" w:hAnsi="Tekton Pro Cond" w:cs="DanaFajr" w:hint="cs"/>
          <w:sz w:val="28"/>
          <w:szCs w:val="28"/>
          <w:rtl/>
        </w:rPr>
        <w:t>ُ</w:t>
      </w:r>
      <w:r w:rsidRPr="006571AC">
        <w:rPr>
          <w:rFonts w:ascii="Tekton Pro Cond" w:hAnsi="Tekton Pro Cond" w:cs="DanaFajr"/>
          <w:sz w:val="28"/>
          <w:szCs w:val="28"/>
          <w:rtl/>
        </w:rPr>
        <w:t>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w:t>
      </w:r>
    </w:p>
  </w:endnote>
  <w:endnote w:id="629">
    <w:p w:rsidR="00DB2356" w:rsidRPr="006571AC" w:rsidRDefault="00DB2356" w:rsidP="0067688E">
      <w:pPr>
        <w:pStyle w:val="aa"/>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w:t>
      </w:r>
      <w:r w:rsidRPr="006571AC">
        <w:rPr>
          <w:rStyle w:val="ac"/>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ه</w:t>
      </w:r>
      <w:r w:rsidRPr="006571AC">
        <w:rPr>
          <w:rFonts w:ascii="Tekton Pro Cond" w:hAnsi="Tekton Pro Cond" w:cs="DanaFajr" w:hint="cs"/>
          <w:sz w:val="28"/>
          <w:szCs w:val="28"/>
          <w:rtl/>
        </w:rPr>
        <w:t>ا</w:t>
      </w:r>
      <w:r w:rsidRPr="006571AC">
        <w:rPr>
          <w:rFonts w:ascii="Tekton Pro Cond" w:hAnsi="Tekton Pro Cond" w:cs="DanaFajr"/>
          <w:sz w:val="28"/>
          <w:szCs w:val="28"/>
          <w:rtl/>
        </w:rPr>
        <w:t>هنا دقيقة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أصرّ عليها ال</w:t>
      </w:r>
      <w:r w:rsidRPr="006571AC">
        <w:rPr>
          <w:rFonts w:ascii="Tekton Pro Cond" w:hAnsi="Tekton Pro Cond" w:cs="DanaFajr" w:hint="cs"/>
          <w:sz w:val="28"/>
          <w:szCs w:val="28"/>
          <w:rtl/>
        </w:rPr>
        <w:t>أ</w:t>
      </w:r>
      <w:r w:rsidRPr="006571AC">
        <w:rPr>
          <w:rFonts w:ascii="Tekton Pro Cond" w:hAnsi="Tekton Pro Cond" w:cs="DanaFajr"/>
          <w:sz w:val="28"/>
          <w:szCs w:val="28"/>
          <w:rtl/>
        </w:rPr>
        <w:t>ستاذ</w:t>
      </w:r>
      <w:r w:rsidRPr="006571AC">
        <w:rPr>
          <w:rFonts w:cs="DanaFajr" w:hint="cs"/>
          <w:szCs w:val="28"/>
          <w:rtl/>
          <w:lang w:bidi="ar-LB"/>
        </w:rPr>
        <w:t>(حفظه الله)</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وهي: </w:t>
      </w:r>
      <w:r w:rsidRPr="006571AC">
        <w:rPr>
          <w:rFonts w:ascii="Tekton Pro Cond" w:hAnsi="Tekton Pro Cond" w:cs="DanaFajr" w:hint="cs"/>
          <w:sz w:val="28"/>
          <w:szCs w:val="28"/>
          <w:rtl/>
        </w:rPr>
        <w:t>إ</w:t>
      </w:r>
      <w:r w:rsidRPr="006571AC">
        <w:rPr>
          <w:rFonts w:ascii="Tekton Pro Cond" w:hAnsi="Tekton Pro Cond" w:cs="DanaFajr"/>
          <w:sz w:val="28"/>
          <w:szCs w:val="28"/>
          <w:rtl/>
        </w:rPr>
        <w:t>نّ المقصود بالتسهيل ليس إحساس المكلّ</w:t>
      </w:r>
      <w:r w:rsidRPr="006571AC">
        <w:rPr>
          <w:rFonts w:ascii="Tekton Pro Cond" w:hAnsi="Tekton Pro Cond" w:cs="DanaFajr" w:hint="cs"/>
          <w:sz w:val="28"/>
          <w:szCs w:val="28"/>
          <w:rtl/>
        </w:rPr>
        <w:t>َ</w:t>
      </w:r>
      <w:r w:rsidRPr="006571AC">
        <w:rPr>
          <w:rFonts w:ascii="Tekton Pro Cond" w:hAnsi="Tekton Pro Cond" w:cs="DanaFajr"/>
          <w:sz w:val="28"/>
          <w:szCs w:val="28"/>
          <w:rtl/>
        </w:rPr>
        <w:t>ف بالسّ</w:t>
      </w:r>
      <w:r w:rsidRPr="006571AC">
        <w:rPr>
          <w:rFonts w:ascii="Tekton Pro Cond" w:hAnsi="Tekton Pro Cond" w:cs="DanaFajr" w:hint="cs"/>
          <w:sz w:val="28"/>
          <w:szCs w:val="28"/>
          <w:rtl/>
        </w:rPr>
        <w:t>َ</w:t>
      </w:r>
      <w:r w:rsidRPr="006571AC">
        <w:rPr>
          <w:rFonts w:ascii="Tekton Pro Cond" w:hAnsi="Tekton Pro Cond" w:cs="DanaFajr"/>
          <w:sz w:val="28"/>
          <w:szCs w:val="28"/>
          <w:rtl/>
        </w:rPr>
        <w:t>عة وعدم الضيق من جانب الشريعة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إذ لو كان كذلك لم يكن هناك أيّ اقتضاء لجعل الإباحة في فرض الجهل، ومن ثمَّ اختصت الإباحة بالعالمين بها، وعاد</w:t>
      </w:r>
      <w:r w:rsidRPr="006571AC">
        <w:rPr>
          <w:rFonts w:ascii="Tekton Pro Cond" w:hAnsi="Tekton Pro Cond" w:cs="DanaFajr" w:hint="cs"/>
          <w:sz w:val="28"/>
          <w:szCs w:val="28"/>
          <w:rtl/>
        </w:rPr>
        <w:t>َ</w:t>
      </w:r>
      <w:r w:rsidRPr="006571AC">
        <w:rPr>
          <w:rFonts w:ascii="Tekton Pro Cond" w:hAnsi="Tekton Pro Cond" w:cs="DanaFajr"/>
          <w:sz w:val="28"/>
          <w:szCs w:val="28"/>
          <w:rtl/>
        </w:rPr>
        <w:t>ت</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تلك المحاذير العقلية والنقلية، بل المقصود بمصلحة التسهيل تلك المصلحة التي قد تفوت عن المكلّ</w:t>
      </w:r>
      <w:r w:rsidRPr="006571AC">
        <w:rPr>
          <w:rFonts w:ascii="Tekton Pro Cond" w:hAnsi="Tekton Pro Cond" w:cs="DanaFajr" w:hint="cs"/>
          <w:sz w:val="28"/>
          <w:szCs w:val="28"/>
          <w:rtl/>
        </w:rPr>
        <w:t>َ</w:t>
      </w:r>
      <w:r w:rsidRPr="006571AC">
        <w:rPr>
          <w:rFonts w:ascii="Tekton Pro Cond" w:hAnsi="Tekton Pro Cond" w:cs="DanaFajr"/>
          <w:sz w:val="28"/>
          <w:szCs w:val="28"/>
          <w:rtl/>
        </w:rPr>
        <w:t>ف وقد لا تفوت</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وهي مصلحة إرخاء عنان العبد في عالم التشريع، وعدم كونه بح</w:t>
      </w:r>
      <w:r w:rsidRPr="006571AC">
        <w:rPr>
          <w:rFonts w:ascii="Tekton Pro Cond" w:hAnsi="Tekton Pro Cond" w:cs="DanaFajr" w:hint="cs"/>
          <w:sz w:val="28"/>
          <w:szCs w:val="28"/>
          <w:rtl/>
        </w:rPr>
        <w:t>َ</w:t>
      </w:r>
      <w:r w:rsidRPr="006571AC">
        <w:rPr>
          <w:rFonts w:ascii="Tekton Pro Cond" w:hAnsi="Tekton Pro Cond" w:cs="DanaFajr"/>
          <w:sz w:val="28"/>
          <w:szCs w:val="28"/>
          <w:rtl/>
        </w:rPr>
        <w:t>س</w:t>
      </w:r>
      <w:r w:rsidRPr="006571AC">
        <w:rPr>
          <w:rFonts w:ascii="Tekton Pro Cond" w:hAnsi="Tekton Pro Cond" w:cs="DanaFajr" w:hint="cs"/>
          <w:sz w:val="28"/>
          <w:szCs w:val="28"/>
          <w:rtl/>
        </w:rPr>
        <w:t>َ</w:t>
      </w:r>
      <w:r w:rsidRPr="006571AC">
        <w:rPr>
          <w:rFonts w:ascii="Tekton Pro Cond" w:hAnsi="Tekton Pro Cond" w:cs="DanaFajr"/>
          <w:sz w:val="28"/>
          <w:szCs w:val="28"/>
          <w:rtl/>
        </w:rPr>
        <w:t>ب الواقع مكل</w:t>
      </w:r>
      <w:r w:rsidRPr="006571AC">
        <w:rPr>
          <w:rFonts w:ascii="Tekton Pro Cond" w:hAnsi="Tekton Pro Cond" w:cs="DanaFajr" w:hint="cs"/>
          <w:sz w:val="28"/>
          <w:szCs w:val="28"/>
          <w:rtl/>
        </w:rPr>
        <w:t>َّ</w:t>
      </w:r>
      <w:r w:rsidRPr="006571AC">
        <w:rPr>
          <w:rFonts w:ascii="Tekton Pro Cond" w:hAnsi="Tekton Pro Cond" w:cs="DanaFajr"/>
          <w:sz w:val="28"/>
          <w:szCs w:val="28"/>
          <w:rtl/>
        </w:rPr>
        <w:t>فاً بشيء</w:t>
      </w:r>
      <w:r w:rsidRPr="006571AC">
        <w:rPr>
          <w:rFonts w:ascii="Tekton Pro Cond" w:hAnsi="Tekton Pro Cond" w:cs="DanaFajr" w:hint="cs"/>
          <w:sz w:val="28"/>
          <w:szCs w:val="28"/>
          <w:rtl/>
        </w:rPr>
        <w:t>ٍ</w:t>
      </w:r>
      <w:r w:rsidRPr="006571AC">
        <w:rPr>
          <w:rFonts w:ascii="Tekton Pro Cond" w:hAnsi="Tekton Pro Cond" w:cs="DanaFajr"/>
          <w:sz w:val="28"/>
          <w:szCs w:val="28"/>
          <w:rtl/>
        </w:rPr>
        <w:t>، فإن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اتفق أن علم المكلّ</w:t>
      </w:r>
      <w:r w:rsidRPr="006571AC">
        <w:rPr>
          <w:rFonts w:ascii="Tekton Pro Cond" w:hAnsi="Tekton Pro Cond" w:cs="DanaFajr" w:hint="cs"/>
          <w:sz w:val="28"/>
          <w:szCs w:val="28"/>
          <w:rtl/>
        </w:rPr>
        <w:t>َ</w:t>
      </w:r>
      <w:r w:rsidRPr="006571AC">
        <w:rPr>
          <w:rFonts w:ascii="Tekton Pro Cond" w:hAnsi="Tekton Pro Cond" w:cs="DanaFajr"/>
          <w:sz w:val="28"/>
          <w:szCs w:val="28"/>
          <w:rtl/>
        </w:rPr>
        <w:t>ف بهذا الإرخاء والإطلاق فقد استوفى ملاك الإباحة، وإن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لم يعلم بذلك فالإباحة على واقعها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محفوظة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ت</w:t>
      </w:r>
      <w:r w:rsidRPr="006571AC">
        <w:rPr>
          <w:rFonts w:ascii="Tekton Pro Cond" w:hAnsi="Tekton Pro Cond" w:cs="DanaFajr" w:hint="cs"/>
          <w:sz w:val="28"/>
          <w:szCs w:val="28"/>
          <w:rtl/>
        </w:rPr>
        <w:t>َ</w:t>
      </w:r>
      <w:r w:rsidRPr="006571AC">
        <w:rPr>
          <w:rFonts w:ascii="Tekton Pro Cond" w:hAnsi="Tekton Pro Cond" w:cs="DanaFajr"/>
          <w:sz w:val="28"/>
          <w:szCs w:val="28"/>
          <w:rtl/>
        </w:rPr>
        <w:t>ب</w:t>
      </w:r>
      <w:r w:rsidRPr="006571AC">
        <w:rPr>
          <w:rFonts w:ascii="Tekton Pro Cond" w:hAnsi="Tekton Pro Cond" w:cs="DanaFajr" w:hint="cs"/>
          <w:sz w:val="28"/>
          <w:szCs w:val="28"/>
          <w:rtl/>
        </w:rPr>
        <w:t>َ</w:t>
      </w:r>
      <w:r w:rsidRPr="006571AC">
        <w:rPr>
          <w:rFonts w:ascii="Tekton Pro Cond" w:hAnsi="Tekton Pro Cond" w:cs="DanaFajr"/>
          <w:sz w:val="28"/>
          <w:szCs w:val="28"/>
          <w:rtl/>
        </w:rPr>
        <w:t>عاً لانحفاظ ملاكها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وإن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لم يتيسر للمكلّ</w:t>
      </w:r>
      <w:r w:rsidRPr="006571AC">
        <w:rPr>
          <w:rFonts w:ascii="Tekton Pro Cond" w:hAnsi="Tekton Pro Cond" w:cs="DanaFajr" w:hint="cs"/>
          <w:sz w:val="28"/>
          <w:szCs w:val="28"/>
          <w:rtl/>
        </w:rPr>
        <w:t>َ</w:t>
      </w:r>
      <w:r w:rsidRPr="006571AC">
        <w:rPr>
          <w:rFonts w:ascii="Tekton Pro Cond" w:hAnsi="Tekton Pro Cond" w:cs="DanaFajr"/>
          <w:sz w:val="28"/>
          <w:szCs w:val="28"/>
          <w:rtl/>
        </w:rPr>
        <w:t>ف استيفاؤه</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بسبب جهله بها، فتأمّ</w:t>
      </w:r>
      <w:r w:rsidRPr="006571AC">
        <w:rPr>
          <w:rFonts w:ascii="Tekton Pro Cond" w:hAnsi="Tekton Pro Cond" w:cs="DanaFajr" w:hint="cs"/>
          <w:sz w:val="28"/>
          <w:szCs w:val="28"/>
          <w:rtl/>
        </w:rPr>
        <w:t>َ</w:t>
      </w:r>
      <w:r w:rsidRPr="006571AC">
        <w:rPr>
          <w:rFonts w:ascii="Tekton Pro Cond" w:hAnsi="Tekton Pro Cond" w:cs="DanaFajr"/>
          <w:sz w:val="28"/>
          <w:szCs w:val="28"/>
          <w:rtl/>
        </w:rPr>
        <w:t>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جي</w:t>
      </w:r>
      <w:r w:rsidRPr="006571AC">
        <w:rPr>
          <w:rFonts w:ascii="Tekton Pro Cond" w:hAnsi="Tekton Pro Cond" w:cs="DanaFajr" w:hint="cs"/>
          <w:sz w:val="28"/>
          <w:szCs w:val="28"/>
          <w:rtl/>
        </w:rPr>
        <w:t>ِّ</w:t>
      </w:r>
      <w:r w:rsidRPr="006571AC">
        <w:rPr>
          <w:rFonts w:ascii="Tekton Pro Cond" w:hAnsi="Tekton Pro Cond" w:cs="DanaFajr"/>
          <w:sz w:val="28"/>
          <w:szCs w:val="28"/>
          <w:rtl/>
        </w:rPr>
        <w:t>داً.</w:t>
      </w:r>
    </w:p>
  </w:endnote>
  <w:endnote w:id="630">
    <w:p w:rsidR="00DB2356" w:rsidRPr="006571AC" w:rsidRDefault="00DB2356" w:rsidP="0067688E">
      <w:pPr>
        <w:pStyle w:val="aa"/>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w:t>
      </w:r>
      <w:r w:rsidRPr="006571AC">
        <w:rPr>
          <w:rStyle w:val="ac"/>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يجدر بنا الإشارة ه</w:t>
      </w:r>
      <w:r w:rsidRPr="006571AC">
        <w:rPr>
          <w:rFonts w:ascii="Tekton Pro Cond" w:hAnsi="Tekton Pro Cond" w:cs="DanaFajr" w:hint="cs"/>
          <w:sz w:val="28"/>
          <w:szCs w:val="28"/>
          <w:rtl/>
        </w:rPr>
        <w:t>ا</w:t>
      </w:r>
      <w:r w:rsidRPr="006571AC">
        <w:rPr>
          <w:rFonts w:ascii="Tekton Pro Cond" w:hAnsi="Tekton Pro Cond" w:cs="DanaFajr"/>
          <w:sz w:val="28"/>
          <w:szCs w:val="28"/>
          <w:rtl/>
        </w:rPr>
        <w:t xml:space="preserve">هنا </w:t>
      </w:r>
      <w:r w:rsidRPr="006571AC">
        <w:rPr>
          <w:rFonts w:ascii="Tekton Pro Cond" w:hAnsi="Tekton Pro Cond" w:cs="DanaFajr" w:hint="cs"/>
          <w:sz w:val="28"/>
          <w:szCs w:val="28"/>
          <w:rtl/>
        </w:rPr>
        <w:t>إل</w:t>
      </w:r>
      <w:r w:rsidRPr="006571AC">
        <w:rPr>
          <w:rFonts w:ascii="Tekton Pro Cond" w:hAnsi="Tekton Pro Cond" w:cs="DanaFajr"/>
          <w:sz w:val="28"/>
          <w:szCs w:val="28"/>
          <w:rtl/>
        </w:rPr>
        <w:t xml:space="preserve">ى ما أفاده بعض </w:t>
      </w:r>
      <w:r w:rsidRPr="006571AC">
        <w:rPr>
          <w:rFonts w:ascii="Tekton Pro Cond" w:hAnsi="Tekton Pro Cond" w:cs="DanaFajr" w:hint="cs"/>
          <w:sz w:val="28"/>
          <w:szCs w:val="28"/>
          <w:rtl/>
        </w:rPr>
        <w:t>ال</w:t>
      </w:r>
      <w:r w:rsidRPr="006571AC">
        <w:rPr>
          <w:rFonts w:ascii="Tekton Pro Cond" w:hAnsi="Tekton Pro Cond" w:cs="DanaFajr"/>
          <w:sz w:val="28"/>
          <w:szCs w:val="28"/>
          <w:rtl/>
        </w:rPr>
        <w:t>محشّي</w:t>
      </w:r>
      <w:r w:rsidRPr="006571AC">
        <w:rPr>
          <w:rFonts w:ascii="Tekton Pro Cond" w:hAnsi="Tekton Pro Cond" w:cs="DanaFajr" w:hint="cs"/>
          <w:sz w:val="28"/>
          <w:szCs w:val="28"/>
          <w:rtl/>
        </w:rPr>
        <w:t>ن</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 xml:space="preserve">على </w:t>
      </w:r>
      <w:r w:rsidRPr="006571AC">
        <w:rPr>
          <w:rFonts w:ascii="Tekton Pro Cond" w:hAnsi="Tekton Pro Cond" w:cs="DanaFajr"/>
          <w:sz w:val="28"/>
          <w:szCs w:val="28"/>
          <w:rtl/>
        </w:rPr>
        <w:t xml:space="preserve">الرسائل </w:t>
      </w:r>
      <w:r w:rsidRPr="006571AC">
        <w:rPr>
          <w:rFonts w:ascii="Tekton Pro Cond" w:hAnsi="Tekton Pro Cond" w:cs="DanaFajr" w:hint="cs"/>
          <w:sz w:val="28"/>
          <w:szCs w:val="28"/>
          <w:rtl/>
        </w:rPr>
        <w:t>(</w:t>
      </w:r>
      <w:r w:rsidRPr="006571AC">
        <w:rPr>
          <w:rFonts w:ascii="Tekton Pro Cond" w:hAnsi="Tekton Pro Cond" w:cs="DanaFajr" w:hint="cs"/>
          <w:sz w:val="28"/>
          <w:szCs w:val="28"/>
          <w:rtl/>
          <w:lang w:bidi="ar-LB"/>
        </w:rPr>
        <w:t>التبريزي الميرزا موسى) في أوثق الوسائل في شرح الرسائل</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235</w:t>
      </w:r>
      <w:r w:rsidRPr="006571AC">
        <w:rPr>
          <w:rFonts w:ascii="Tekton Pro Cond" w:hAnsi="Tekton Pro Cond" w:cs="DanaFajr" w:hint="cs"/>
          <w:sz w:val="28"/>
          <w:szCs w:val="28"/>
          <w:rtl/>
          <w:lang w:bidi="ar-LB"/>
        </w:rPr>
        <w:t>، الطبعة الحجرية</w:t>
      </w:r>
      <w:r w:rsidRPr="006571AC">
        <w:rPr>
          <w:rFonts w:ascii="Tekton Pro Cond" w:hAnsi="Tekton Pro Cond" w:cs="DanaFajr"/>
          <w:sz w:val="28"/>
          <w:szCs w:val="28"/>
          <w:rtl/>
        </w:rPr>
        <w:t xml:space="preserve">، إذ قال: </w:t>
      </w:r>
      <w:r w:rsidRPr="006571AC">
        <w:rPr>
          <w:rFonts w:hint="eastAsia"/>
          <w:sz w:val="22"/>
          <w:szCs w:val="22"/>
          <w:rtl/>
        </w:rPr>
        <w:t>«</w:t>
      </w:r>
      <w:r w:rsidRPr="006571AC">
        <w:rPr>
          <w:rFonts w:ascii="Tekton Pro Cond" w:hAnsi="Tekton Pro Cond" w:cs="DanaFajr"/>
          <w:sz w:val="28"/>
          <w:szCs w:val="28"/>
          <w:rtl/>
        </w:rPr>
        <w:t>...أمّا أن نقول بوجود حكم واقعيّ في كلّ واقعة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كما هو ظاهر مذهب الخاصة، </w:t>
      </w:r>
      <w:r w:rsidRPr="006571AC">
        <w:rPr>
          <w:rFonts w:ascii="Tekton Pro Cond" w:hAnsi="Tekton Pro Cond" w:cs="DanaFajr" w:hint="cs"/>
          <w:sz w:val="28"/>
          <w:szCs w:val="28"/>
          <w:rtl/>
        </w:rPr>
        <w:t>و</w:t>
      </w:r>
      <w:r w:rsidRPr="006571AC">
        <w:rPr>
          <w:rFonts w:ascii="Tekton Pro Cond" w:hAnsi="Tekton Pro Cond" w:cs="DanaFajr"/>
          <w:sz w:val="28"/>
          <w:szCs w:val="28"/>
          <w:rtl/>
        </w:rPr>
        <w:t>ورد</w:t>
      </w:r>
      <w:r w:rsidRPr="006571AC">
        <w:rPr>
          <w:rFonts w:ascii="Tekton Pro Cond" w:hAnsi="Tekton Pro Cond" w:cs="DanaFajr" w:hint="cs"/>
          <w:sz w:val="28"/>
          <w:szCs w:val="28"/>
          <w:rtl/>
        </w:rPr>
        <w:t>َ</w:t>
      </w:r>
      <w:r w:rsidRPr="006571AC">
        <w:rPr>
          <w:rFonts w:ascii="Tekton Pro Cond" w:hAnsi="Tekton Pro Cond" w:cs="DanaFajr"/>
          <w:sz w:val="28"/>
          <w:szCs w:val="28"/>
          <w:rtl/>
        </w:rPr>
        <w:t>ت</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به أخبارهم</w:t>
      </w:r>
      <w:r w:rsidRPr="006571AC">
        <w:rPr>
          <w:rFonts w:ascii="Tekton Pro Cond" w:hAnsi="Tekton Pro Cond" w:cs="DanaFajr" w:hint="cs"/>
          <w:sz w:val="28"/>
          <w:szCs w:val="28"/>
          <w:rtl/>
        </w:rPr>
        <w:t xml:space="preserve"> ـ</w:t>
      </w:r>
      <w:r w:rsidRPr="006571AC">
        <w:rPr>
          <w:rFonts w:ascii="Tekton Pro Cond" w:hAnsi="Tekton Pro Cond" w:cs="DanaFajr"/>
          <w:sz w:val="28"/>
          <w:szCs w:val="28"/>
          <w:rtl/>
        </w:rPr>
        <w:t xml:space="preserve"> وإنما عز</w:t>
      </w:r>
      <w:r w:rsidRPr="006571AC">
        <w:rPr>
          <w:rFonts w:ascii="Tekton Pro Cond" w:hAnsi="Tekton Pro Cond" w:cs="DanaFajr" w:hint="cs"/>
          <w:sz w:val="28"/>
          <w:szCs w:val="28"/>
          <w:rtl/>
        </w:rPr>
        <w:t>َ</w:t>
      </w:r>
      <w:r w:rsidRPr="006571AC">
        <w:rPr>
          <w:rFonts w:ascii="Tekton Pro Cond" w:hAnsi="Tekton Pro Cond" w:cs="DanaFajr"/>
          <w:sz w:val="28"/>
          <w:szCs w:val="28"/>
          <w:rtl/>
        </w:rPr>
        <w:t>و</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ناه </w:t>
      </w:r>
      <w:r w:rsidRPr="006571AC">
        <w:rPr>
          <w:rFonts w:ascii="Tekton Pro Cond" w:hAnsi="Tekton Pro Cond" w:cs="DanaFajr" w:hint="cs"/>
          <w:sz w:val="28"/>
          <w:szCs w:val="28"/>
          <w:rtl/>
        </w:rPr>
        <w:t>إ</w:t>
      </w:r>
      <w:r w:rsidRPr="006571AC">
        <w:rPr>
          <w:rFonts w:ascii="Tekton Pro Cond" w:hAnsi="Tekton Pro Cond" w:cs="DanaFajr"/>
          <w:sz w:val="28"/>
          <w:szCs w:val="28"/>
          <w:rtl/>
        </w:rPr>
        <w:t>لى ظاهر مذهبهم؛ لأن الثابت من مذهبهم بالضرورة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وشهد به العقل، هو عدم خلوّ الوقايع المبتلى بها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دون غيرها</w:t>
      </w:r>
      <w:r w:rsidRPr="006571AC">
        <w:rPr>
          <w:rFonts w:ascii="Tekton Pro Cond" w:hAnsi="Tekton Pro Cond" w:cs="DanaFajr" w:hint="cs"/>
          <w:sz w:val="28"/>
          <w:szCs w:val="28"/>
          <w:rtl/>
        </w:rPr>
        <w:t xml:space="preserve"> ـ</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ف</w:t>
      </w:r>
      <w:r w:rsidRPr="006571AC">
        <w:rPr>
          <w:rFonts w:ascii="Tekton Pro Cond" w:hAnsi="Tekton Pro Cond" w:cs="DanaFajr"/>
          <w:sz w:val="28"/>
          <w:szCs w:val="28"/>
          <w:rtl/>
        </w:rPr>
        <w:t>التمسّك في ذلك بالأخبار لا يناسب دعوى الضرورة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كما هو المدّعى</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w:t>
      </w:r>
      <w:r w:rsidRPr="006571AC">
        <w:rPr>
          <w:rFonts w:ascii="Tekton Pro Cond" w:hAnsi="Tekton Pro Cond" w:cs="DanaFajr" w:hint="cs"/>
          <w:sz w:val="28"/>
          <w:szCs w:val="28"/>
          <w:rtl/>
        </w:rPr>
        <w:t>إ</w:t>
      </w:r>
      <w:r w:rsidRPr="006571AC">
        <w:rPr>
          <w:rFonts w:ascii="Tekton Pro Cond" w:hAnsi="Tekton Pro Cond" w:cs="DanaFajr"/>
          <w:sz w:val="28"/>
          <w:szCs w:val="28"/>
          <w:rtl/>
        </w:rPr>
        <w:t>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اد</w:t>
      </w:r>
      <w:r w:rsidRPr="006571AC">
        <w:rPr>
          <w:rFonts w:ascii="Tekton Pro Cond" w:hAnsi="Tekton Pro Cond" w:cs="DanaFajr" w:hint="cs"/>
          <w:sz w:val="28"/>
          <w:szCs w:val="28"/>
          <w:rtl/>
        </w:rPr>
        <w:t>ُّ</w:t>
      </w:r>
      <w:r w:rsidRPr="006571AC">
        <w:rPr>
          <w:rFonts w:ascii="Tekton Pro Cond" w:hAnsi="Tekton Pro Cond" w:cs="DanaFajr"/>
          <w:sz w:val="28"/>
          <w:szCs w:val="28"/>
          <w:rtl/>
        </w:rPr>
        <w:t>عي تواترها...</w:t>
      </w:r>
      <w:r w:rsidRPr="006571AC">
        <w:rPr>
          <w:rFonts w:hint="eastAsia"/>
          <w:sz w:val="22"/>
          <w:szCs w:val="22"/>
          <w:rtl/>
        </w:rPr>
        <w:t>»</w:t>
      </w:r>
      <w:r w:rsidRPr="006571AC">
        <w:rPr>
          <w:rFonts w:ascii="Tekton Pro Cond" w:hAnsi="Tekton Pro Cond" w:cs="DanaFajr"/>
          <w:sz w:val="28"/>
          <w:szCs w:val="28"/>
          <w:rtl/>
        </w:rPr>
        <w:t xml:space="preserve">. </w:t>
      </w:r>
    </w:p>
  </w:endnote>
  <w:endnote w:id="631">
    <w:p w:rsidR="00DB2356" w:rsidRPr="006571AC" w:rsidRDefault="00DB2356" w:rsidP="0067688E">
      <w:pPr>
        <w:pStyle w:val="aa"/>
        <w:spacing w:line="306" w:lineRule="exact"/>
        <w:ind w:firstLine="0"/>
        <w:rPr>
          <w:rFonts w:cs="DanaFajr"/>
          <w:sz w:val="28"/>
          <w:szCs w:val="28"/>
          <w:rtl/>
          <w:lang w:bidi="ar-LB"/>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محمد بن يعقوب الكليني، الأصول من الكافي، كتاب فضل العلم، ح10، 1391هـ.</w:t>
      </w:r>
    </w:p>
  </w:endnote>
  <w:endnote w:id="632">
    <w:p w:rsidR="00DB2356" w:rsidRPr="006571AC" w:rsidRDefault="00DB2356" w:rsidP="0067688E">
      <w:pPr>
        <w:pStyle w:val="aa"/>
        <w:spacing w:line="306" w:lineRule="exact"/>
        <w:ind w:firstLine="0"/>
        <w:rPr>
          <w:rFonts w:cs="DanaFajr"/>
          <w:sz w:val="28"/>
          <w:szCs w:val="28"/>
          <w:rtl/>
          <w:lang w:bidi="ar-LB"/>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الكليني، الأصول من الكافي، كتاب الحجّة، باب أن الأئمة</w:t>
      </w:r>
      <w:r w:rsidRPr="006571AC">
        <w:rPr>
          <w:rFonts w:ascii="Mosawi" w:hAnsi="Mosawi" w:cs="Mosawi"/>
          <w:rtl/>
        </w:rPr>
        <w:t>^</w:t>
      </w:r>
      <w:r w:rsidRPr="006571AC">
        <w:rPr>
          <w:rFonts w:cs="DanaFajr" w:hint="cs"/>
          <w:sz w:val="28"/>
          <w:szCs w:val="28"/>
          <w:rtl/>
          <w:lang w:bidi="ar-LB"/>
        </w:rPr>
        <w:t xml:space="preserve"> يعلمون علم ما كان وما يكون...إلخ، ح2.</w:t>
      </w:r>
    </w:p>
  </w:endnote>
  <w:endnote w:id="633">
    <w:p w:rsidR="00DB2356" w:rsidRPr="006571AC" w:rsidRDefault="00DB2356" w:rsidP="0067688E">
      <w:pPr>
        <w:pStyle w:val="aa"/>
        <w:spacing w:line="306" w:lineRule="exact"/>
        <w:ind w:firstLine="0"/>
        <w:rPr>
          <w:rFonts w:cs="DanaFajr"/>
          <w:sz w:val="28"/>
          <w:szCs w:val="28"/>
          <w:rtl/>
          <w:lang w:bidi="ar-LB"/>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الكليني، الأصول من الكافي، كتاب الحجّة، باب ذكر الصحيفة والجفر والجامعة ومصحف فاطمة</w:t>
      </w:r>
      <w:r w:rsidRPr="006571AC">
        <w:rPr>
          <w:rFonts w:ascii="Mosawi" w:hAnsi="Mosawi" w:cs="Mosawi"/>
        </w:rPr>
        <w:t>÷</w:t>
      </w:r>
      <w:r w:rsidRPr="006571AC">
        <w:rPr>
          <w:rFonts w:cs="DanaFajr" w:hint="cs"/>
          <w:sz w:val="28"/>
          <w:szCs w:val="28"/>
          <w:rtl/>
          <w:lang w:bidi="ar-LB"/>
        </w:rPr>
        <w:t>، ح5.</w:t>
      </w:r>
    </w:p>
  </w:endnote>
  <w:endnote w:id="634">
    <w:p w:rsidR="00DB2356" w:rsidRPr="006571AC" w:rsidRDefault="00DB2356" w:rsidP="0067688E">
      <w:pPr>
        <w:pStyle w:val="aa"/>
        <w:spacing w:line="306" w:lineRule="exact"/>
        <w:ind w:firstLine="0"/>
        <w:rPr>
          <w:rFonts w:cs="DanaFajr"/>
          <w:sz w:val="28"/>
          <w:szCs w:val="28"/>
          <w:rtl/>
          <w:lang w:bidi="ar-LB"/>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 xml:space="preserve">) </w:t>
      </w:r>
      <w:r w:rsidRPr="006571AC">
        <w:rPr>
          <w:rFonts w:cs="DanaFajr" w:hint="cs"/>
          <w:sz w:val="28"/>
          <w:szCs w:val="28"/>
          <w:rtl/>
          <w:lang w:bidi="ar-LB"/>
        </w:rPr>
        <w:t>الكليني، الأصول من الكافي، كتاب فضل العلم، باب الردّ إلى الكتاب والسنّة، ح2.</w:t>
      </w:r>
    </w:p>
  </w:endnote>
  <w:endnote w:id="635">
    <w:p w:rsidR="00DB2356" w:rsidRPr="006571AC" w:rsidRDefault="00DB2356" w:rsidP="0067688E">
      <w:pPr>
        <w:pStyle w:val="aa"/>
        <w:spacing w:line="306" w:lineRule="exact"/>
        <w:ind w:firstLine="0"/>
        <w:rPr>
          <w:rFonts w:cs="DanaFajr"/>
          <w:sz w:val="28"/>
          <w:szCs w:val="28"/>
          <w:rtl/>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الحُرّ العاملي، الفصول المهمّة 1: 480، 1418هـ</w:t>
      </w:r>
      <w:r w:rsidRPr="006571AC">
        <w:rPr>
          <w:rFonts w:cs="DanaFajr" w:hint="cs"/>
          <w:sz w:val="28"/>
          <w:szCs w:val="28"/>
          <w:rtl/>
        </w:rPr>
        <w:t>.</w:t>
      </w:r>
    </w:p>
  </w:endnote>
  <w:endnote w:id="636">
    <w:p w:rsidR="00DB2356" w:rsidRPr="006571AC" w:rsidRDefault="00DB2356" w:rsidP="0067688E">
      <w:pPr>
        <w:pStyle w:val="aa"/>
        <w:spacing w:line="306" w:lineRule="exact"/>
        <w:ind w:firstLine="0"/>
        <w:rPr>
          <w:rFonts w:cs="DanaFajr"/>
          <w:sz w:val="28"/>
          <w:szCs w:val="28"/>
          <w:rtl/>
          <w:lang w:bidi="ar-LB"/>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الكليني، الأصول من الكافي، كتاب فضل العلم، باب الردّ إلى الكتاب والسنّة، ح4.</w:t>
      </w:r>
    </w:p>
  </w:endnote>
  <w:endnote w:id="637">
    <w:p w:rsidR="00DB2356" w:rsidRPr="006571AC" w:rsidRDefault="00DB2356" w:rsidP="0067688E">
      <w:pPr>
        <w:pStyle w:val="aa"/>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w:t>
      </w:r>
      <w:r w:rsidRPr="006571AC">
        <w:rPr>
          <w:rStyle w:val="ac"/>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راج</w:t>
      </w:r>
      <w:r w:rsidRPr="006571AC">
        <w:rPr>
          <w:rFonts w:ascii="Tekton Pro Cond" w:hAnsi="Tekton Pro Cond" w:cs="DanaFajr" w:hint="cs"/>
          <w:sz w:val="28"/>
          <w:szCs w:val="28"/>
          <w:rtl/>
        </w:rPr>
        <w:t>ِ</w:t>
      </w:r>
      <w:r w:rsidRPr="006571AC">
        <w:rPr>
          <w:rFonts w:ascii="Tekton Pro Cond" w:hAnsi="Tekton Pro Cond" w:cs="DanaFajr"/>
          <w:sz w:val="28"/>
          <w:szCs w:val="28"/>
          <w:rtl/>
        </w:rPr>
        <w:t>ع</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في</w:t>
      </w:r>
      <w:r w:rsidRPr="006571AC">
        <w:rPr>
          <w:rFonts w:ascii="Tekton Pro Cond" w:hAnsi="Tekton Pro Cond" w:cs="DanaFajr"/>
          <w:sz w:val="28"/>
          <w:szCs w:val="28"/>
          <w:rtl/>
        </w:rPr>
        <w:t xml:space="preserve"> ذلك: </w:t>
      </w:r>
      <w:r w:rsidRPr="006571AC">
        <w:rPr>
          <w:rFonts w:ascii="Tekton Pro Cond" w:hAnsi="Tekton Pro Cond" w:cs="DanaFajr" w:hint="cs"/>
          <w:sz w:val="28"/>
          <w:szCs w:val="28"/>
          <w:rtl/>
        </w:rPr>
        <w:t xml:space="preserve">البروجردي، </w:t>
      </w:r>
      <w:r w:rsidRPr="006571AC">
        <w:rPr>
          <w:rFonts w:ascii="Tekton Pro Cond" w:hAnsi="Tekton Pro Cond" w:cs="DanaFajr"/>
          <w:sz w:val="28"/>
          <w:szCs w:val="28"/>
          <w:rtl/>
        </w:rPr>
        <w:t>جامع أحاديث الشيعة، ج1، باب المنع عن القياس، فقد ورد فيها روايات ثلاث مشتملة على هذا التعبير مذ</w:t>
      </w:r>
      <w:r w:rsidRPr="006571AC">
        <w:rPr>
          <w:rFonts w:ascii="Tekton Pro Cond" w:hAnsi="Tekton Pro Cond" w:cs="DanaFajr" w:hint="cs"/>
          <w:sz w:val="28"/>
          <w:szCs w:val="28"/>
          <w:rtl/>
        </w:rPr>
        <w:t>يّ</w:t>
      </w:r>
      <w:r w:rsidRPr="006571AC">
        <w:rPr>
          <w:rFonts w:ascii="Tekton Pro Cond" w:hAnsi="Tekton Pro Cond" w:cs="DanaFajr"/>
          <w:sz w:val="28"/>
          <w:szCs w:val="28"/>
          <w:rtl/>
        </w:rPr>
        <w:t xml:space="preserve">لة بالمنع عن القياس. </w:t>
      </w:r>
    </w:p>
  </w:endnote>
  <w:endnote w:id="638">
    <w:p w:rsidR="00DB2356" w:rsidRPr="006571AC" w:rsidRDefault="00DB2356" w:rsidP="0067688E">
      <w:pPr>
        <w:pStyle w:val="aa"/>
        <w:spacing w:line="306" w:lineRule="exact"/>
        <w:ind w:firstLine="0"/>
        <w:rPr>
          <w:rFonts w:cs="DanaFajr"/>
          <w:sz w:val="28"/>
          <w:szCs w:val="28"/>
          <w:rtl/>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الكليني، الأصول من الكافي 2: 73</w:t>
      </w:r>
      <w:r w:rsidRPr="006571AC">
        <w:rPr>
          <w:rFonts w:cs="DanaFajr" w:hint="cs"/>
          <w:sz w:val="28"/>
          <w:szCs w:val="28"/>
          <w:rtl/>
        </w:rPr>
        <w:t>.</w:t>
      </w:r>
    </w:p>
  </w:endnote>
  <w:endnote w:id="639">
    <w:p w:rsidR="00DB2356" w:rsidRPr="006571AC" w:rsidRDefault="00DB2356" w:rsidP="0067688E">
      <w:pPr>
        <w:pStyle w:val="aa"/>
        <w:spacing w:line="306" w:lineRule="exact"/>
        <w:ind w:firstLine="0"/>
        <w:rPr>
          <w:rFonts w:cs="DanaFajr"/>
          <w:sz w:val="28"/>
          <w:szCs w:val="28"/>
          <w:rtl/>
          <w:lang w:bidi="ar-LB"/>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الميرزا حسين النوري، مستدرك الوسائل 13: 27، 1408هـ.</w:t>
      </w:r>
    </w:p>
  </w:endnote>
  <w:endnote w:id="640">
    <w:p w:rsidR="00DB2356" w:rsidRPr="006571AC" w:rsidRDefault="00DB2356" w:rsidP="0067688E">
      <w:pPr>
        <w:pStyle w:val="aa"/>
        <w:spacing w:line="306" w:lineRule="exact"/>
        <w:ind w:firstLine="0"/>
        <w:rPr>
          <w:rFonts w:cs="DanaFajr"/>
          <w:sz w:val="28"/>
          <w:szCs w:val="28"/>
          <w:rtl/>
          <w:lang w:bidi="ar-LB"/>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الكليني، الأصول من الكافي، كتاب فضل العلم، باب اختلاف الحديث، ح10.</w:t>
      </w:r>
    </w:p>
  </w:endnote>
  <w:endnote w:id="641">
    <w:p w:rsidR="00DB2356" w:rsidRPr="006571AC" w:rsidRDefault="00DB2356" w:rsidP="0067688E">
      <w:pPr>
        <w:pStyle w:val="aa"/>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w:t>
      </w:r>
      <w:r w:rsidRPr="006571AC">
        <w:rPr>
          <w:rStyle w:val="ac"/>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نبّه على ذلك بعض فضلاء مجلس البحث سلّ</w:t>
      </w:r>
      <w:r w:rsidRPr="006571AC">
        <w:rPr>
          <w:rFonts w:ascii="Tekton Pro Cond" w:hAnsi="Tekton Pro Cond" w:cs="DanaFajr" w:hint="cs"/>
          <w:sz w:val="28"/>
          <w:szCs w:val="28"/>
          <w:rtl/>
        </w:rPr>
        <w:t>َ</w:t>
      </w:r>
      <w:r w:rsidRPr="006571AC">
        <w:rPr>
          <w:rFonts w:ascii="Tekton Pro Cond" w:hAnsi="Tekton Pro Cond" w:cs="DanaFajr"/>
          <w:sz w:val="28"/>
          <w:szCs w:val="28"/>
          <w:rtl/>
        </w:rPr>
        <w:t>مه الله</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والمستند هو الشيخ المحق</w:t>
      </w:r>
      <w:r w:rsidRPr="006571AC">
        <w:rPr>
          <w:rFonts w:ascii="Tekton Pro Cond" w:hAnsi="Tekton Pro Cond" w:cs="DanaFajr" w:hint="cs"/>
          <w:sz w:val="28"/>
          <w:szCs w:val="28"/>
          <w:rtl/>
        </w:rPr>
        <w:t>ِّ</w:t>
      </w:r>
      <w:r w:rsidRPr="006571AC">
        <w:rPr>
          <w:rFonts w:ascii="Tekton Pro Cond" w:hAnsi="Tekton Pro Cond" w:cs="DanaFajr"/>
          <w:sz w:val="28"/>
          <w:szCs w:val="28"/>
          <w:rtl/>
        </w:rPr>
        <w:t>ق الميرزا جواد التبريزي</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وذلك في كتابه دروس في مسائل علم الأصول</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2</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25؛ حيث ردّ على كلام المحق</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ق الخراساني بقوله: </w:t>
      </w:r>
      <w:r w:rsidRPr="006571AC">
        <w:rPr>
          <w:rFonts w:hint="eastAsia"/>
          <w:sz w:val="22"/>
          <w:szCs w:val="22"/>
          <w:rtl/>
        </w:rPr>
        <w:t>«</w:t>
      </w:r>
      <w:r w:rsidRPr="006571AC">
        <w:rPr>
          <w:rFonts w:ascii="Tekton Pro Cond" w:hAnsi="Tekton Pro Cond" w:cs="DanaFajr"/>
          <w:sz w:val="28"/>
          <w:szCs w:val="28"/>
          <w:rtl/>
        </w:rPr>
        <w:t>وأما ما ذكره الماتن من عدم خلوّ الوقايع من الأحكام الإنشائية فقد بي</w:t>
      </w:r>
      <w:r w:rsidRPr="006571AC">
        <w:rPr>
          <w:rFonts w:ascii="Tekton Pro Cond" w:hAnsi="Tekton Pro Cond" w:cs="DanaFajr" w:hint="cs"/>
          <w:sz w:val="28"/>
          <w:szCs w:val="28"/>
          <w:rtl/>
        </w:rPr>
        <w:t>َّ</w:t>
      </w:r>
      <w:r w:rsidRPr="006571AC">
        <w:rPr>
          <w:rFonts w:ascii="Tekton Pro Cond" w:hAnsi="Tekton Pro Cond" w:cs="DanaFajr"/>
          <w:sz w:val="28"/>
          <w:szCs w:val="28"/>
          <w:rtl/>
        </w:rPr>
        <w:t>نّا أنّ الحكم الإنشائي بالمعنى الذي ذكره ليس بحكم</w:t>
      </w:r>
      <w:r w:rsidRPr="006571AC">
        <w:rPr>
          <w:rFonts w:ascii="Tekton Pro Cond" w:hAnsi="Tekton Pro Cond" w:cs="DanaFajr" w:hint="cs"/>
          <w:sz w:val="28"/>
          <w:szCs w:val="28"/>
          <w:rtl/>
        </w:rPr>
        <w:t>ٍ</w:t>
      </w:r>
      <w:r w:rsidRPr="006571AC">
        <w:rPr>
          <w:rFonts w:ascii="Tekton Pro Cond" w:hAnsi="Tekton Pro Cond" w:cs="DanaFajr"/>
          <w:sz w:val="28"/>
          <w:szCs w:val="28"/>
          <w:rtl/>
        </w:rPr>
        <w:t>، ولا تكليف</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أصلاً، مع أنّ معتبرة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عمر بن حنظلة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عن أبي عبد الله</w:t>
      </w:r>
      <w:r w:rsidRPr="006571AC">
        <w:rPr>
          <w:rFonts w:ascii="Mosawi" w:hAnsi="Mosawi" w:cs="Mosawi"/>
          <w:rtl/>
        </w:rPr>
        <w:t>×</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 xml:space="preserve">ـ </w:t>
      </w:r>
      <w:r w:rsidRPr="006571AC">
        <w:rPr>
          <w:rFonts w:ascii="Tekton Pro Cond" w:hAnsi="Tekton Pro Cond" w:cs="DanaFajr"/>
          <w:sz w:val="28"/>
          <w:szCs w:val="28"/>
          <w:rtl/>
        </w:rPr>
        <w:t>في حديث</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 xml:space="preserve">ـ </w:t>
      </w:r>
      <w:r w:rsidRPr="006571AC">
        <w:rPr>
          <w:rFonts w:ascii="Tekton Pro Cond" w:hAnsi="Tekton Pro Cond" w:cs="DanaFajr"/>
          <w:sz w:val="28"/>
          <w:szCs w:val="28"/>
          <w:rtl/>
        </w:rPr>
        <w:t>قال:</w:t>
      </w:r>
      <w:r w:rsidRPr="006571AC">
        <w:rPr>
          <w:rFonts w:ascii="Tekton Pro Cond" w:hAnsi="Tekton Pro Cond" w:cs="DanaFajr" w:hint="cs"/>
          <w:sz w:val="28"/>
          <w:szCs w:val="28"/>
          <w:rtl/>
        </w:rPr>
        <w:t xml:space="preserve"> </w:t>
      </w:r>
      <w:r w:rsidRPr="006571AC">
        <w:rPr>
          <w:rFonts w:hint="eastAsia"/>
          <w:sz w:val="22"/>
          <w:szCs w:val="22"/>
          <w:rtl/>
        </w:rPr>
        <w:t>«</w:t>
      </w:r>
      <w:r w:rsidRPr="006571AC">
        <w:rPr>
          <w:rFonts w:ascii="Tekton Pro Cond" w:hAnsi="Tekton Pro Cond" w:cs="DanaFajr"/>
          <w:sz w:val="28"/>
          <w:szCs w:val="28"/>
          <w:rtl/>
        </w:rPr>
        <w:t>...قال رسول</w:t>
      </w:r>
      <w:r w:rsidRPr="006571AC">
        <w:rPr>
          <w:rFonts w:ascii="Tekton Pro Cond" w:hAnsi="Tekton Pro Cond" w:cs="DanaFajr" w:hint="cs"/>
          <w:sz w:val="28"/>
          <w:szCs w:val="28"/>
          <w:rtl/>
        </w:rPr>
        <w:t xml:space="preserve"> الله</w:t>
      </w:r>
      <w:r w:rsidRPr="006571AC">
        <w:rPr>
          <w:rFonts w:ascii="Mosawi" w:hAnsi="Mosawi" w:cs="Mosawi"/>
          <w:rtl/>
        </w:rPr>
        <w:t>|</w:t>
      </w:r>
      <w:r w:rsidRPr="006571AC">
        <w:rPr>
          <w:rFonts w:ascii="Tekton Pro Cond" w:hAnsi="Tekton Pro Cond" w:cs="DanaFajr"/>
          <w:sz w:val="28"/>
          <w:szCs w:val="28"/>
          <w:rtl/>
        </w:rPr>
        <w:t xml:space="preserve">: </w:t>
      </w:r>
      <w:r w:rsidRPr="006571AC">
        <w:rPr>
          <w:rFonts w:hint="eastAsia"/>
          <w:sz w:val="22"/>
          <w:szCs w:val="22"/>
          <w:rtl/>
        </w:rPr>
        <w:t>«</w:t>
      </w:r>
      <w:r w:rsidRPr="006571AC">
        <w:rPr>
          <w:rFonts w:ascii="Tekton Pro Cond" w:hAnsi="Tekton Pro Cond" w:cs="DanaFajr"/>
          <w:sz w:val="28"/>
          <w:szCs w:val="28"/>
          <w:rtl/>
        </w:rPr>
        <w:t>حلال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بيّ</w:t>
      </w:r>
      <w:r w:rsidRPr="006571AC">
        <w:rPr>
          <w:rFonts w:ascii="Tekton Pro Cond" w:hAnsi="Tekton Pro Cond" w:cs="DanaFajr" w:hint="cs"/>
          <w:sz w:val="28"/>
          <w:szCs w:val="28"/>
          <w:rtl/>
        </w:rPr>
        <w:t>ِ</w:t>
      </w:r>
      <w:r w:rsidRPr="006571AC">
        <w:rPr>
          <w:rFonts w:ascii="Tekton Pro Cond" w:hAnsi="Tekton Pro Cond" w:cs="DanaFajr"/>
          <w:sz w:val="28"/>
          <w:szCs w:val="28"/>
          <w:rtl/>
        </w:rPr>
        <w:t>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وحرام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بيّ</w:t>
      </w:r>
      <w:r w:rsidRPr="006571AC">
        <w:rPr>
          <w:rFonts w:ascii="Tekton Pro Cond" w:hAnsi="Tekton Pro Cond" w:cs="DanaFajr" w:hint="cs"/>
          <w:sz w:val="28"/>
          <w:szCs w:val="28"/>
          <w:rtl/>
        </w:rPr>
        <w:t>ِ</w:t>
      </w:r>
      <w:r w:rsidRPr="006571AC">
        <w:rPr>
          <w:rFonts w:ascii="Tekton Pro Cond" w:hAnsi="Tekton Pro Cond" w:cs="DanaFajr"/>
          <w:sz w:val="28"/>
          <w:szCs w:val="28"/>
          <w:rtl/>
        </w:rPr>
        <w:t>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وشبهات</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بين ذلك</w:t>
      </w:r>
      <w:r w:rsidRPr="006571AC">
        <w:rPr>
          <w:rFonts w:ascii="Tekton Pro Cond" w:hAnsi="Tekton Pro Cond" w:cs="DanaFajr" w:hint="cs"/>
          <w:sz w:val="28"/>
          <w:szCs w:val="28"/>
          <w:rtl/>
        </w:rPr>
        <w:t>...</w:t>
      </w:r>
      <w:r w:rsidRPr="006571AC">
        <w:rPr>
          <w:rFonts w:ascii="Tekton Pro Cond" w:hAnsi="Tekton Pro Cond" w:cs="DanaFajr"/>
          <w:sz w:val="28"/>
          <w:szCs w:val="28"/>
          <w:rtl/>
        </w:rPr>
        <w:t>الخبر</w:t>
      </w:r>
      <w:r w:rsidRPr="006571AC">
        <w:rPr>
          <w:rFonts w:hint="eastAsia"/>
          <w:sz w:val="22"/>
          <w:szCs w:val="22"/>
          <w:rtl/>
        </w:rPr>
        <w:t>»</w:t>
      </w:r>
      <w:r w:rsidRPr="006571AC">
        <w:rPr>
          <w:rFonts w:ascii="Tekton Pro Cond" w:hAnsi="Tekton Pro Cond" w:cs="DanaFajr"/>
          <w:sz w:val="28"/>
          <w:szCs w:val="28"/>
          <w:rtl/>
        </w:rPr>
        <w:t xml:space="preserve"> ظاهرة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في انحصار الأفعال في المحلّ</w:t>
      </w:r>
      <w:r w:rsidRPr="006571AC">
        <w:rPr>
          <w:rFonts w:ascii="Tekton Pro Cond" w:hAnsi="Tekton Pro Cond" w:cs="DanaFajr" w:hint="cs"/>
          <w:sz w:val="28"/>
          <w:szCs w:val="28"/>
          <w:rtl/>
        </w:rPr>
        <w:t>َ</w:t>
      </w:r>
      <w:r w:rsidRPr="006571AC">
        <w:rPr>
          <w:rFonts w:ascii="Tekton Pro Cond" w:hAnsi="Tekton Pro Cond" w:cs="DanaFajr"/>
          <w:sz w:val="28"/>
          <w:szCs w:val="28"/>
          <w:rtl/>
        </w:rPr>
        <w:t>ل والمحرّ</w:t>
      </w:r>
      <w:r w:rsidRPr="006571AC">
        <w:rPr>
          <w:rFonts w:ascii="Tekton Pro Cond" w:hAnsi="Tekton Pro Cond" w:cs="DanaFajr" w:hint="cs"/>
          <w:sz w:val="28"/>
          <w:szCs w:val="28"/>
          <w:rtl/>
        </w:rPr>
        <w:t>َ</w:t>
      </w:r>
      <w:r w:rsidRPr="006571AC">
        <w:rPr>
          <w:rFonts w:ascii="Tekton Pro Cond" w:hAnsi="Tekton Pro Cond" w:cs="DanaFajr"/>
          <w:sz w:val="28"/>
          <w:szCs w:val="28"/>
          <w:rtl/>
        </w:rPr>
        <w:t>م فعلاً وج</w:t>
      </w:r>
      <w:r w:rsidRPr="006571AC">
        <w:rPr>
          <w:rFonts w:ascii="Tekton Pro Cond" w:hAnsi="Tekton Pro Cond" w:cs="DanaFajr" w:hint="cs"/>
          <w:sz w:val="28"/>
          <w:szCs w:val="28"/>
          <w:rtl/>
        </w:rPr>
        <w:t>َ</w:t>
      </w:r>
      <w:r w:rsidRPr="006571AC">
        <w:rPr>
          <w:rFonts w:ascii="Tekton Pro Cond" w:hAnsi="Tekton Pro Cond" w:cs="DanaFajr"/>
          <w:sz w:val="28"/>
          <w:szCs w:val="28"/>
          <w:rtl/>
        </w:rPr>
        <w:t>ع</w:t>
      </w:r>
      <w:r w:rsidRPr="006571AC">
        <w:rPr>
          <w:rFonts w:ascii="Tekton Pro Cond" w:hAnsi="Tekton Pro Cond" w:cs="DanaFajr" w:hint="cs"/>
          <w:sz w:val="28"/>
          <w:szCs w:val="28"/>
          <w:rtl/>
        </w:rPr>
        <w:t>ْ</w:t>
      </w:r>
      <w:r w:rsidRPr="006571AC">
        <w:rPr>
          <w:rFonts w:ascii="Tekton Pro Cond" w:hAnsi="Tekton Pro Cond" w:cs="DanaFajr"/>
          <w:sz w:val="28"/>
          <w:szCs w:val="28"/>
          <w:rtl/>
        </w:rPr>
        <w:t>لاً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كما لا يخف</w:t>
      </w:r>
      <w:r w:rsidRPr="006571AC">
        <w:rPr>
          <w:rFonts w:ascii="Tekton Pro Cond" w:hAnsi="Tekton Pro Cond" w:cs="DanaFajr" w:hint="cs"/>
          <w:sz w:val="28"/>
          <w:szCs w:val="28"/>
          <w:rtl/>
        </w:rPr>
        <w:t>ى</w:t>
      </w:r>
      <w:r w:rsidRPr="006571AC">
        <w:rPr>
          <w:rFonts w:hint="eastAsia"/>
          <w:sz w:val="22"/>
          <w:szCs w:val="22"/>
          <w:rtl/>
        </w:rPr>
        <w:t>»</w:t>
      </w:r>
      <w:r w:rsidRPr="006571AC">
        <w:rPr>
          <w:rFonts w:ascii="Tekton Pro Cond" w:hAnsi="Tekton Pro Cond" w:cs="DanaFajr"/>
          <w:sz w:val="28"/>
          <w:szCs w:val="28"/>
          <w:rtl/>
        </w:rPr>
        <w:t xml:space="preserve">. </w:t>
      </w:r>
    </w:p>
  </w:endnote>
  <w:endnote w:id="642">
    <w:p w:rsidR="00DB2356" w:rsidRPr="006571AC" w:rsidRDefault="00DB2356" w:rsidP="0067688E">
      <w:pPr>
        <w:pStyle w:val="aa"/>
        <w:spacing w:line="306" w:lineRule="exact"/>
        <w:ind w:firstLine="0"/>
        <w:rPr>
          <w:rFonts w:ascii="Tekton Pro Cond" w:hAnsi="Tekton Pro Cond" w:cs="DanaFajr"/>
          <w:sz w:val="28"/>
          <w:szCs w:val="28"/>
          <w:rtl/>
        </w:rPr>
      </w:pPr>
      <w:r w:rsidRPr="006571AC">
        <w:rPr>
          <w:rFonts w:ascii="Tekton Pro Cond" w:hAnsi="Tekton Pro Cond" w:cs="DanaFajr"/>
          <w:sz w:val="28"/>
          <w:szCs w:val="28"/>
          <w:rtl/>
        </w:rPr>
        <w:t>(</w:t>
      </w:r>
      <w:r w:rsidRPr="006571AC">
        <w:rPr>
          <w:rStyle w:val="ac"/>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لا شَكَّ في ظهور الرواية في انحصار حالات المكلّف الملتفت في هذه الثلاثة، أعني: القطع بالحرمة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أو القطع بالحل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أو التردّ</w:t>
      </w:r>
      <w:r w:rsidRPr="006571AC">
        <w:rPr>
          <w:rFonts w:ascii="Tekton Pro Cond" w:hAnsi="Tekton Pro Cond" w:cs="DanaFajr" w:hint="cs"/>
          <w:sz w:val="28"/>
          <w:szCs w:val="28"/>
          <w:rtl/>
        </w:rPr>
        <w:t>ُ</w:t>
      </w:r>
      <w:r w:rsidRPr="006571AC">
        <w:rPr>
          <w:rFonts w:ascii="Tekton Pro Cond" w:hAnsi="Tekton Pro Cond" w:cs="DanaFajr"/>
          <w:sz w:val="28"/>
          <w:szCs w:val="28"/>
          <w:rtl/>
        </w:rPr>
        <w:t>د بين الحل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 والحرمة، ومن الواضح أنه لو كانت هناك حالة ثالثة في الواقع</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غير الحل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 والحرمة، وهي الخلوّ منهما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المساوق للخلوّ من أيّ حكم</w:t>
      </w:r>
      <w:r w:rsidRPr="006571AC">
        <w:rPr>
          <w:rFonts w:ascii="Tekton Pro Cond" w:hAnsi="Tekton Pro Cond" w:cs="DanaFajr" w:hint="cs"/>
          <w:sz w:val="28"/>
          <w:szCs w:val="28"/>
          <w:rtl/>
        </w:rPr>
        <w:t>ٍ</w:t>
      </w:r>
      <w:r w:rsidRPr="006571AC">
        <w:rPr>
          <w:rFonts w:ascii="Tekton Pro Cond" w:hAnsi="Tekton Pro Cond" w:cs="DanaFajr"/>
          <w:sz w:val="28"/>
          <w:szCs w:val="28"/>
          <w:rtl/>
        </w:rPr>
        <w:t>، لكان من الواجب أن تكون داخلة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أيضاً في أطراف ترد</w:t>
      </w:r>
      <w:r w:rsidRPr="006571AC">
        <w:rPr>
          <w:rFonts w:ascii="Tekton Pro Cond" w:hAnsi="Tekton Pro Cond" w:cs="DanaFajr" w:hint="cs"/>
          <w:sz w:val="28"/>
          <w:szCs w:val="28"/>
          <w:rtl/>
        </w:rPr>
        <w:t>ُّ</w:t>
      </w:r>
      <w:r w:rsidRPr="006571AC">
        <w:rPr>
          <w:rFonts w:ascii="Tekton Pro Cond" w:hAnsi="Tekton Pro Cond" w:cs="DanaFajr"/>
          <w:sz w:val="28"/>
          <w:szCs w:val="28"/>
          <w:rtl/>
        </w:rPr>
        <w:t>دهم، إلاّ أن يفترض أن هذه الحالة الثالثة لا تستكشف للمكلّ</w:t>
      </w:r>
      <w:r w:rsidRPr="006571AC">
        <w:rPr>
          <w:rFonts w:ascii="Tekton Pro Cond" w:hAnsi="Tekton Pro Cond" w:cs="DanaFajr" w:hint="cs"/>
          <w:sz w:val="28"/>
          <w:szCs w:val="28"/>
          <w:rtl/>
        </w:rPr>
        <w:t>َ</w:t>
      </w:r>
      <w:r w:rsidRPr="006571AC">
        <w:rPr>
          <w:rFonts w:ascii="Tekton Pro Cond" w:hAnsi="Tekton Pro Cond" w:cs="DanaFajr"/>
          <w:sz w:val="28"/>
          <w:szCs w:val="28"/>
          <w:rtl/>
        </w:rPr>
        <w:t>فين أبداً ولو بدرجة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ضئيلة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وهذا كما ترى بعيد</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للغاية. </w:t>
      </w:r>
    </w:p>
    <w:p w:rsidR="00DB2356" w:rsidRPr="006571AC" w:rsidRDefault="00DB2356" w:rsidP="003345FE">
      <w:pPr>
        <w:pStyle w:val="aa"/>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نعم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يمكن النقاش في الاستدلال بالرواية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إمّا بدعوى كون الحل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 والحرمة فيها أعمّ من العقلية والشرعية ـ كما قد يؤيّ</w:t>
      </w:r>
      <w:r w:rsidRPr="006571AC">
        <w:rPr>
          <w:rFonts w:ascii="Tekton Pro Cond" w:hAnsi="Tekton Pro Cond" w:cs="DanaFajr" w:hint="cs"/>
          <w:sz w:val="28"/>
          <w:szCs w:val="28"/>
          <w:rtl/>
        </w:rPr>
        <w:t>ِ</w:t>
      </w:r>
      <w:r w:rsidRPr="006571AC">
        <w:rPr>
          <w:rFonts w:ascii="Tekton Pro Cond" w:hAnsi="Tekton Pro Cond" w:cs="DanaFajr"/>
          <w:sz w:val="28"/>
          <w:szCs w:val="28"/>
          <w:rtl/>
        </w:rPr>
        <w:t>دها التعبير عنهما في صدرها بالرشد والغي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ـ</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وقد ذكر الأستاذ</w:t>
      </w:r>
      <w:r w:rsidRPr="006571AC">
        <w:rPr>
          <w:rFonts w:cs="DanaFajr" w:hint="cs"/>
          <w:szCs w:val="28"/>
          <w:rtl/>
          <w:lang w:bidi="ar-LB"/>
        </w:rPr>
        <w:t>(حفظه الله)</w:t>
      </w:r>
      <w:r w:rsidRPr="006571AC">
        <w:rPr>
          <w:rFonts w:ascii="Tekton Pro Cond" w:hAnsi="Tekton Pro Cond" w:cs="DanaFajr"/>
          <w:sz w:val="28"/>
          <w:szCs w:val="28"/>
          <w:rtl/>
        </w:rPr>
        <w:t xml:space="preserve"> أنّ هذا خلاف ظهور الرواية، ولم أعرف الوجه فيه، بعد أن كان الإمام</w:t>
      </w:r>
      <w:r w:rsidRPr="006571AC">
        <w:rPr>
          <w:rFonts w:ascii="Mosawi" w:hAnsi="Mosawi" w:cs="Mosawi"/>
          <w:rtl/>
        </w:rPr>
        <w:t>×</w:t>
      </w:r>
      <w:r w:rsidRPr="006571AC">
        <w:rPr>
          <w:rFonts w:ascii="Tekton Pro Cond" w:hAnsi="Tekton Pro Cond" w:cs="DanaFajr"/>
          <w:sz w:val="28"/>
          <w:szCs w:val="28"/>
          <w:rtl/>
        </w:rPr>
        <w:t xml:space="preserve"> في مقام الإرشاد </w:t>
      </w:r>
      <w:r w:rsidRPr="006571AC">
        <w:rPr>
          <w:rFonts w:ascii="Tekton Pro Cond" w:hAnsi="Tekton Pro Cond" w:cs="DanaFajr" w:hint="cs"/>
          <w:sz w:val="28"/>
          <w:szCs w:val="28"/>
          <w:rtl/>
        </w:rPr>
        <w:t>إ</w:t>
      </w:r>
      <w:r w:rsidRPr="006571AC">
        <w:rPr>
          <w:rFonts w:ascii="Tekton Pro Cond" w:hAnsi="Tekton Pro Cond" w:cs="DanaFajr"/>
          <w:sz w:val="28"/>
          <w:szCs w:val="28"/>
          <w:rtl/>
        </w:rPr>
        <w:t>لى حكم العقل بح</w:t>
      </w:r>
      <w:r w:rsidRPr="006571AC">
        <w:rPr>
          <w:rFonts w:ascii="Tekton Pro Cond" w:hAnsi="Tekton Pro Cond" w:cs="DanaFajr" w:hint="cs"/>
          <w:sz w:val="28"/>
          <w:szCs w:val="28"/>
          <w:rtl/>
        </w:rPr>
        <w:t>ُ</w:t>
      </w:r>
      <w:r w:rsidRPr="006571AC">
        <w:rPr>
          <w:rFonts w:ascii="Tekton Pro Cond" w:hAnsi="Tekton Pro Cond" w:cs="DanaFajr"/>
          <w:sz w:val="28"/>
          <w:szCs w:val="28"/>
          <w:rtl/>
        </w:rPr>
        <w:t>س</w:t>
      </w:r>
      <w:r w:rsidRPr="006571AC">
        <w:rPr>
          <w:rFonts w:ascii="Tekton Pro Cond" w:hAnsi="Tekton Pro Cond" w:cs="DanaFajr" w:hint="cs"/>
          <w:sz w:val="28"/>
          <w:szCs w:val="28"/>
          <w:rtl/>
        </w:rPr>
        <w:t>ْ</w:t>
      </w:r>
      <w:r w:rsidRPr="006571AC">
        <w:rPr>
          <w:rFonts w:ascii="Tekton Pro Cond" w:hAnsi="Tekton Pro Cond" w:cs="DanaFajr"/>
          <w:sz w:val="28"/>
          <w:szCs w:val="28"/>
          <w:rtl/>
        </w:rPr>
        <w:t>ن الاحتياط</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لا </w:t>
      </w:r>
      <w:r w:rsidRPr="006571AC">
        <w:rPr>
          <w:rFonts w:ascii="Tekton Pro Cond" w:hAnsi="Tekton Pro Cond" w:cs="DanaFajr" w:hint="cs"/>
          <w:sz w:val="28"/>
          <w:szCs w:val="28"/>
          <w:rtl/>
        </w:rPr>
        <w:t xml:space="preserve">في </w:t>
      </w:r>
      <w:r w:rsidRPr="006571AC">
        <w:rPr>
          <w:rFonts w:ascii="Tekton Pro Cond" w:hAnsi="Tekton Pro Cond" w:cs="DanaFajr"/>
          <w:sz w:val="28"/>
          <w:szCs w:val="28"/>
          <w:rtl/>
        </w:rPr>
        <w:t>صدد التشري</w:t>
      </w:r>
      <w:r w:rsidRPr="006571AC">
        <w:rPr>
          <w:rFonts w:ascii="Tekton Pro Cond" w:hAnsi="Tekton Pro Cond" w:cs="DanaFajr" w:hint="cs"/>
          <w:sz w:val="28"/>
          <w:szCs w:val="28"/>
          <w:rtl/>
        </w:rPr>
        <w:t>ع،</w:t>
      </w:r>
      <w:r w:rsidRPr="006571AC">
        <w:rPr>
          <w:rFonts w:ascii="Tekton Pro Cond" w:hAnsi="Tekton Pro Cond" w:cs="DanaFajr"/>
          <w:sz w:val="28"/>
          <w:szCs w:val="28"/>
          <w:rtl/>
        </w:rPr>
        <w:t xml:space="preserve"> كما حق</w:t>
      </w:r>
      <w:r w:rsidRPr="006571AC">
        <w:rPr>
          <w:rFonts w:ascii="Tekton Pro Cond" w:hAnsi="Tekton Pro Cond" w:cs="DanaFajr" w:hint="cs"/>
          <w:sz w:val="28"/>
          <w:szCs w:val="28"/>
          <w:rtl/>
        </w:rPr>
        <w:t>ِّ</w:t>
      </w:r>
      <w:r w:rsidRPr="006571AC">
        <w:rPr>
          <w:rFonts w:ascii="Tekton Pro Cond" w:hAnsi="Tekton Pro Cond" w:cs="DanaFajr"/>
          <w:sz w:val="28"/>
          <w:szCs w:val="28"/>
          <w:rtl/>
        </w:rPr>
        <w:t>ق في الأصول؛ ولا أقلَّ من الإجمال، فتسقط الرواية عن صلاحية الاستدلال</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وإمّا بدعوى أنّ الحل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 وإن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كانت ه</w:t>
      </w:r>
      <w:r w:rsidRPr="006571AC">
        <w:rPr>
          <w:rFonts w:ascii="Tekton Pro Cond" w:hAnsi="Tekton Pro Cond" w:cs="DanaFajr" w:hint="cs"/>
          <w:sz w:val="28"/>
          <w:szCs w:val="28"/>
          <w:rtl/>
        </w:rPr>
        <w:t>ا</w:t>
      </w:r>
      <w:r w:rsidRPr="006571AC">
        <w:rPr>
          <w:rFonts w:ascii="Tekton Pro Cond" w:hAnsi="Tekton Pro Cond" w:cs="DanaFajr"/>
          <w:sz w:val="28"/>
          <w:szCs w:val="28"/>
          <w:rtl/>
        </w:rPr>
        <w:t>هنا حل</w:t>
      </w:r>
      <w:r w:rsidRPr="006571AC">
        <w:rPr>
          <w:rFonts w:ascii="Tekton Pro Cond" w:hAnsi="Tekton Pro Cond" w:cs="DanaFajr" w:hint="cs"/>
          <w:sz w:val="28"/>
          <w:szCs w:val="28"/>
          <w:rtl/>
        </w:rPr>
        <w:t>ِّ</w:t>
      </w:r>
      <w:r w:rsidRPr="006571AC">
        <w:rPr>
          <w:rFonts w:ascii="Tekton Pro Cond" w:hAnsi="Tekton Pro Cond" w:cs="DanaFajr"/>
          <w:sz w:val="28"/>
          <w:szCs w:val="28"/>
          <w:rtl/>
        </w:rPr>
        <w:t>ية شرعية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إلاّ أنّ الاكتفاء بها وبالحرمة وعدم التعرّ</w:t>
      </w:r>
      <w:r w:rsidRPr="006571AC">
        <w:rPr>
          <w:rFonts w:ascii="Tekton Pro Cond" w:hAnsi="Tekton Pro Cond" w:cs="DanaFajr" w:hint="cs"/>
          <w:sz w:val="28"/>
          <w:szCs w:val="28"/>
          <w:rtl/>
        </w:rPr>
        <w:t>ُ</w:t>
      </w:r>
      <w:r w:rsidRPr="006571AC">
        <w:rPr>
          <w:rFonts w:ascii="Tekton Pro Cond" w:hAnsi="Tekton Pro Cond" w:cs="DanaFajr"/>
          <w:sz w:val="28"/>
          <w:szCs w:val="28"/>
          <w:rtl/>
        </w:rPr>
        <w:t>ض لتلك الحالة الثالثة إنّما هو من أجل اتحادهما من حيث النتيجة في مقام العمل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بد</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اللاح</w:t>
      </w:r>
      <w:r w:rsidRPr="006571AC">
        <w:rPr>
          <w:rFonts w:ascii="Tekton Pro Cond" w:hAnsi="Tekton Pro Cond" w:cs="DanaFajr" w:hint="cs"/>
          <w:sz w:val="28"/>
          <w:szCs w:val="28"/>
          <w:rtl/>
        </w:rPr>
        <w:t>َ</w:t>
      </w:r>
      <w:r w:rsidRPr="006571AC">
        <w:rPr>
          <w:rFonts w:ascii="Tekton Pro Cond" w:hAnsi="Tekton Pro Cond" w:cs="DanaFajr"/>
          <w:sz w:val="28"/>
          <w:szCs w:val="28"/>
          <w:rtl/>
        </w:rPr>
        <w:t>ر</w:t>
      </w:r>
      <w:r w:rsidRPr="006571AC">
        <w:rPr>
          <w:rFonts w:ascii="Tekton Pro Cond" w:hAnsi="Tekton Pro Cond" w:cs="DanaFajr" w:hint="cs"/>
          <w:sz w:val="28"/>
          <w:szCs w:val="28"/>
          <w:rtl/>
        </w:rPr>
        <w:t>َ</w:t>
      </w:r>
      <w:r w:rsidRPr="006571AC">
        <w:rPr>
          <w:rFonts w:ascii="Tekton Pro Cond" w:hAnsi="Tekton Pro Cond" w:cs="DanaFajr"/>
          <w:sz w:val="28"/>
          <w:szCs w:val="28"/>
          <w:rtl/>
        </w:rPr>
        <w:t>جية العقليّة في تلك الحالة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فكأن التعرّ</w:t>
      </w:r>
      <w:r w:rsidRPr="006571AC">
        <w:rPr>
          <w:rFonts w:ascii="Tekton Pro Cond" w:hAnsi="Tekton Pro Cond" w:cs="DanaFajr" w:hint="cs"/>
          <w:sz w:val="28"/>
          <w:szCs w:val="28"/>
          <w:rtl/>
        </w:rPr>
        <w:t>ُ</w:t>
      </w:r>
      <w:r w:rsidRPr="006571AC">
        <w:rPr>
          <w:rFonts w:ascii="Tekton Pro Cond" w:hAnsi="Tekton Pro Cond" w:cs="DanaFajr"/>
          <w:sz w:val="28"/>
          <w:szCs w:val="28"/>
          <w:rtl/>
        </w:rPr>
        <w:t>ض للحل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 الشرعية يغني عنها، وإمّا بالمنع عن ظهور قوله</w:t>
      </w:r>
      <w:r w:rsidRPr="006571AC">
        <w:rPr>
          <w:rFonts w:ascii="Mosawi" w:hAnsi="Mosawi" w:cs="Mosawi"/>
          <w:rtl/>
        </w:rPr>
        <w:t>|</w:t>
      </w:r>
      <w:r w:rsidRPr="006571AC">
        <w:rPr>
          <w:rFonts w:ascii="Tekton Pro Cond" w:hAnsi="Tekton Pro Cond" w:cs="DanaFajr"/>
          <w:sz w:val="28"/>
          <w:szCs w:val="28"/>
          <w:rtl/>
        </w:rPr>
        <w:t xml:space="preserve">: </w:t>
      </w:r>
      <w:r w:rsidRPr="006571AC">
        <w:rPr>
          <w:rFonts w:hint="eastAsia"/>
          <w:sz w:val="22"/>
          <w:szCs w:val="22"/>
          <w:rtl/>
        </w:rPr>
        <w:t>«</w:t>
      </w:r>
      <w:r w:rsidRPr="006571AC">
        <w:rPr>
          <w:rFonts w:ascii="Tekton Pro Cond" w:hAnsi="Tekton Pro Cond" w:cs="DanaFajr"/>
          <w:sz w:val="28"/>
          <w:szCs w:val="28"/>
          <w:rtl/>
        </w:rPr>
        <w:t>وشبهات</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بين ذلك</w:t>
      </w:r>
      <w:r w:rsidRPr="006571AC">
        <w:rPr>
          <w:rFonts w:hint="eastAsia"/>
          <w:sz w:val="22"/>
          <w:szCs w:val="22"/>
          <w:rtl/>
        </w:rPr>
        <w:t>»</w:t>
      </w:r>
      <w:r w:rsidRPr="006571AC">
        <w:rPr>
          <w:rFonts w:ascii="Tekton Pro Cond" w:hAnsi="Tekton Pro Cond" w:cs="DanaFajr"/>
          <w:sz w:val="28"/>
          <w:szCs w:val="28"/>
          <w:rtl/>
        </w:rPr>
        <w:t xml:space="preserve"> في حصر أطراف التردّ</w:t>
      </w:r>
      <w:r w:rsidRPr="006571AC">
        <w:rPr>
          <w:rFonts w:ascii="Tekton Pro Cond" w:hAnsi="Tekton Pro Cond" w:cs="DanaFajr" w:hint="cs"/>
          <w:sz w:val="28"/>
          <w:szCs w:val="28"/>
          <w:rtl/>
        </w:rPr>
        <w:t>ُ</w:t>
      </w:r>
      <w:r w:rsidRPr="006571AC">
        <w:rPr>
          <w:rFonts w:ascii="Tekton Pro Cond" w:hAnsi="Tekton Pro Cond" w:cs="DanaFajr"/>
          <w:sz w:val="28"/>
          <w:szCs w:val="28"/>
          <w:rtl/>
        </w:rPr>
        <w:t>د فيهما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بدعوى أنّ استعمال مثل هذا التعبير في بعض الأطراف ع</w:t>
      </w:r>
      <w:r w:rsidRPr="006571AC">
        <w:rPr>
          <w:rFonts w:ascii="Tekton Pro Cond" w:hAnsi="Tekton Pro Cond" w:cs="DanaFajr" w:hint="cs"/>
          <w:sz w:val="28"/>
          <w:szCs w:val="28"/>
          <w:rtl/>
        </w:rPr>
        <w:t>ُ</w:t>
      </w:r>
      <w:r w:rsidRPr="006571AC">
        <w:rPr>
          <w:rFonts w:ascii="Tekton Pro Cond" w:hAnsi="Tekton Pro Cond" w:cs="DanaFajr"/>
          <w:sz w:val="28"/>
          <w:szCs w:val="28"/>
          <w:rtl/>
        </w:rPr>
        <w:t>ر</w:t>
      </w:r>
      <w:r w:rsidRPr="006571AC">
        <w:rPr>
          <w:rFonts w:ascii="Tekton Pro Cond" w:hAnsi="Tekton Pro Cond" w:cs="DanaFajr" w:hint="cs"/>
          <w:sz w:val="28"/>
          <w:szCs w:val="28"/>
          <w:rtl/>
        </w:rPr>
        <w:t>ْ</w:t>
      </w:r>
      <w:r w:rsidRPr="006571AC">
        <w:rPr>
          <w:rFonts w:ascii="Tekton Pro Cond" w:hAnsi="Tekton Pro Cond" w:cs="DanaFajr"/>
          <w:sz w:val="28"/>
          <w:szCs w:val="28"/>
          <w:rtl/>
        </w:rPr>
        <w:t>في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أيضاً</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فإنّ إثبات شيء</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لا يدلّ على نفي ما سوا</w:t>
      </w:r>
      <w:r w:rsidRPr="006571AC">
        <w:rPr>
          <w:rFonts w:ascii="Tekton Pro Cond" w:hAnsi="Tekton Pro Cond" w:cs="DanaFajr" w:hint="cs"/>
          <w:sz w:val="28"/>
          <w:szCs w:val="28"/>
          <w:rtl/>
        </w:rPr>
        <w:t>ه</w:t>
      </w:r>
      <w:r w:rsidRPr="006571AC">
        <w:rPr>
          <w:rFonts w:ascii="Tekton Pro Cond" w:hAnsi="Tekton Pro Cond" w:cs="DanaFajr"/>
          <w:sz w:val="28"/>
          <w:szCs w:val="28"/>
          <w:rtl/>
        </w:rPr>
        <w:t>، فتأمّ</w:t>
      </w:r>
      <w:r w:rsidRPr="006571AC">
        <w:rPr>
          <w:rFonts w:ascii="Tekton Pro Cond" w:hAnsi="Tekton Pro Cond" w:cs="DanaFajr" w:hint="cs"/>
          <w:sz w:val="28"/>
          <w:szCs w:val="28"/>
          <w:rtl/>
        </w:rPr>
        <w:t>َ</w:t>
      </w:r>
      <w:r w:rsidRPr="006571AC">
        <w:rPr>
          <w:rFonts w:ascii="Tekton Pro Cond" w:hAnsi="Tekton Pro Cond" w:cs="DanaFajr"/>
          <w:sz w:val="28"/>
          <w:szCs w:val="28"/>
          <w:rtl/>
        </w:rPr>
        <w:t>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w:t>
      </w:r>
    </w:p>
  </w:endnote>
  <w:endnote w:id="643">
    <w:p w:rsidR="00DB2356" w:rsidRPr="006571AC" w:rsidRDefault="00DB2356" w:rsidP="0067688E">
      <w:pPr>
        <w:pStyle w:val="aa"/>
        <w:spacing w:line="306" w:lineRule="exact"/>
        <w:ind w:firstLine="0"/>
        <w:rPr>
          <w:rFonts w:cs="DanaFajr"/>
          <w:sz w:val="28"/>
          <w:szCs w:val="28"/>
          <w:rtl/>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العلاّمة المجلسي،</w:t>
      </w:r>
      <w:r w:rsidRPr="006571AC">
        <w:rPr>
          <w:rFonts w:hint="cs"/>
          <w:rtl/>
          <w:lang w:bidi="ar-LB"/>
        </w:rPr>
        <w:t xml:space="preserve"> </w:t>
      </w:r>
      <w:r w:rsidRPr="006571AC">
        <w:rPr>
          <w:rFonts w:cs="DanaFajr" w:hint="cs"/>
          <w:sz w:val="28"/>
          <w:szCs w:val="28"/>
          <w:rtl/>
          <w:lang w:bidi="ar-LB"/>
        </w:rPr>
        <w:t>بحار الأنوار 62: 134، 1403هـ</w:t>
      </w:r>
      <w:r w:rsidRPr="006571AC">
        <w:rPr>
          <w:rFonts w:cs="DanaFajr" w:hint="cs"/>
          <w:sz w:val="28"/>
          <w:szCs w:val="28"/>
          <w:rtl/>
        </w:rPr>
        <w:t>.</w:t>
      </w:r>
    </w:p>
  </w:endnote>
  <w:endnote w:id="644">
    <w:p w:rsidR="00DB2356" w:rsidRPr="006571AC" w:rsidRDefault="00DB2356" w:rsidP="0067688E">
      <w:pPr>
        <w:pStyle w:val="aa"/>
        <w:spacing w:line="306" w:lineRule="exact"/>
        <w:ind w:firstLine="0"/>
        <w:rPr>
          <w:rFonts w:cs="DanaFajr"/>
          <w:sz w:val="28"/>
          <w:szCs w:val="28"/>
          <w:rtl/>
          <w:lang w:bidi="ar-LB"/>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السيد محمود الهاشمي الشاهرودي،</w:t>
      </w:r>
      <w:r w:rsidRPr="006571AC">
        <w:rPr>
          <w:rFonts w:hint="cs"/>
          <w:rtl/>
          <w:lang w:bidi="ar-LB"/>
        </w:rPr>
        <w:t xml:space="preserve"> </w:t>
      </w:r>
      <w:r w:rsidRPr="006571AC">
        <w:rPr>
          <w:rFonts w:cs="DanaFajr" w:hint="cs"/>
          <w:sz w:val="28"/>
          <w:szCs w:val="28"/>
          <w:rtl/>
          <w:lang w:bidi="ar-LB"/>
        </w:rPr>
        <w:t>بحوث في علم الأصول 4: 216، مؤسّسة دائرة معارف الفقه الإسلامي، قم، 1417هـ.</w:t>
      </w:r>
    </w:p>
  </w:endnote>
  <w:endnote w:id="645">
    <w:p w:rsidR="00DB2356" w:rsidRPr="006571AC" w:rsidRDefault="00DB2356" w:rsidP="0067688E">
      <w:pPr>
        <w:pStyle w:val="aa"/>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w:t>
      </w:r>
      <w:r w:rsidRPr="006571AC">
        <w:rPr>
          <w:rStyle w:val="ac"/>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قد ي</w:t>
      </w:r>
      <w:r w:rsidRPr="006571AC">
        <w:rPr>
          <w:rFonts w:ascii="Tekton Pro Cond" w:hAnsi="Tekton Pro Cond" w:cs="DanaFajr" w:hint="cs"/>
          <w:sz w:val="28"/>
          <w:szCs w:val="28"/>
          <w:rtl/>
        </w:rPr>
        <w:t>ُ</w:t>
      </w:r>
      <w:r w:rsidRPr="006571AC">
        <w:rPr>
          <w:rFonts w:ascii="Tekton Pro Cond" w:hAnsi="Tekton Pro Cond" w:cs="DanaFajr"/>
          <w:sz w:val="28"/>
          <w:szCs w:val="28"/>
          <w:rtl/>
        </w:rPr>
        <w:t>قال: لا وجه لح</w:t>
      </w:r>
      <w:r w:rsidRPr="006571AC">
        <w:rPr>
          <w:rFonts w:ascii="Tekton Pro Cond" w:hAnsi="Tekton Pro Cond" w:cs="DanaFajr" w:hint="cs"/>
          <w:sz w:val="28"/>
          <w:szCs w:val="28"/>
          <w:rtl/>
        </w:rPr>
        <w:t>َ</w:t>
      </w:r>
      <w:r w:rsidRPr="006571AC">
        <w:rPr>
          <w:rFonts w:ascii="Tekton Pro Cond" w:hAnsi="Tekton Pro Cond" w:cs="DanaFajr"/>
          <w:sz w:val="28"/>
          <w:szCs w:val="28"/>
          <w:rtl/>
        </w:rPr>
        <w:t>ص</w:t>
      </w:r>
      <w:r w:rsidRPr="006571AC">
        <w:rPr>
          <w:rFonts w:ascii="Tekton Pro Cond" w:hAnsi="Tekton Pro Cond" w:cs="DanaFajr" w:hint="cs"/>
          <w:sz w:val="28"/>
          <w:szCs w:val="28"/>
          <w:rtl/>
        </w:rPr>
        <w:t>ْ</w:t>
      </w:r>
      <w:r w:rsidRPr="006571AC">
        <w:rPr>
          <w:rFonts w:ascii="Tekton Pro Cond" w:hAnsi="Tekton Pro Cond" w:cs="DanaFajr"/>
          <w:sz w:val="28"/>
          <w:szCs w:val="28"/>
          <w:rtl/>
        </w:rPr>
        <w:t>ر البحث في الخاتمة على ذكر ما يتوق</w:t>
      </w:r>
      <w:r w:rsidRPr="006571AC">
        <w:rPr>
          <w:rFonts w:ascii="Tekton Pro Cond" w:hAnsi="Tekton Pro Cond" w:cs="DanaFajr" w:hint="cs"/>
          <w:sz w:val="28"/>
          <w:szCs w:val="28"/>
          <w:rtl/>
        </w:rPr>
        <w:t>ّ</w:t>
      </w:r>
      <w:r w:rsidRPr="006571AC">
        <w:rPr>
          <w:rFonts w:ascii="Tekton Pro Cond" w:hAnsi="Tekton Pro Cond" w:cs="DanaFajr"/>
          <w:sz w:val="28"/>
          <w:szCs w:val="28"/>
          <w:rtl/>
        </w:rPr>
        <w:t>ف من الأبحاث الأصولية على هذه القاعدة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وإنّما المهمّ استعراض مواقع من علم الأصول قد است</w:t>
      </w:r>
      <w:r w:rsidRPr="006571AC">
        <w:rPr>
          <w:rFonts w:ascii="Tekton Pro Cond" w:hAnsi="Tekton Pro Cond" w:cs="DanaFajr" w:hint="cs"/>
          <w:sz w:val="28"/>
          <w:szCs w:val="28"/>
          <w:rtl/>
        </w:rPr>
        <w:t>ُ</w:t>
      </w:r>
      <w:r w:rsidRPr="006571AC">
        <w:rPr>
          <w:rFonts w:ascii="Tekton Pro Cond" w:hAnsi="Tekton Pro Cond" w:cs="DanaFajr"/>
          <w:sz w:val="28"/>
          <w:szCs w:val="28"/>
          <w:rtl/>
        </w:rPr>
        <w:t>فيد فيها من قاعدة عدم الخل</w:t>
      </w:r>
      <w:r w:rsidRPr="006571AC">
        <w:rPr>
          <w:rFonts w:ascii="Tekton Pro Cond" w:hAnsi="Tekton Pro Cond" w:cs="DanaFajr" w:hint="cs"/>
          <w:sz w:val="28"/>
          <w:szCs w:val="28"/>
          <w:rtl/>
        </w:rPr>
        <w:t>وّ،</w:t>
      </w:r>
      <w:r w:rsidRPr="006571AC">
        <w:rPr>
          <w:rFonts w:ascii="Tekton Pro Cond" w:hAnsi="Tekton Pro Cond" w:cs="DanaFajr"/>
          <w:sz w:val="28"/>
          <w:szCs w:val="28"/>
          <w:rtl/>
        </w:rPr>
        <w:t xml:space="preserve"> حتى ولو لم </w:t>
      </w:r>
      <w:r w:rsidRPr="006571AC">
        <w:rPr>
          <w:rFonts w:ascii="Tekton Pro Cond" w:hAnsi="Tekton Pro Cond" w:cs="DanaFajr" w:hint="cs"/>
          <w:sz w:val="28"/>
          <w:szCs w:val="28"/>
          <w:rtl/>
        </w:rPr>
        <w:t>ت</w:t>
      </w:r>
      <w:r w:rsidRPr="006571AC">
        <w:rPr>
          <w:rFonts w:ascii="Tekton Pro Cond" w:hAnsi="Tekton Pro Cond" w:cs="DanaFajr"/>
          <w:sz w:val="28"/>
          <w:szCs w:val="28"/>
          <w:rtl/>
        </w:rPr>
        <w:t>توق</w:t>
      </w:r>
      <w:r w:rsidRPr="006571AC">
        <w:rPr>
          <w:rFonts w:ascii="Tekton Pro Cond" w:hAnsi="Tekton Pro Cond" w:cs="DanaFajr" w:hint="cs"/>
          <w:sz w:val="28"/>
          <w:szCs w:val="28"/>
          <w:rtl/>
        </w:rPr>
        <w:t>ّ</w:t>
      </w:r>
      <w:r w:rsidRPr="006571AC">
        <w:rPr>
          <w:rFonts w:ascii="Tekton Pro Cond" w:hAnsi="Tekton Pro Cond" w:cs="DanaFajr"/>
          <w:sz w:val="28"/>
          <w:szCs w:val="28"/>
          <w:rtl/>
        </w:rPr>
        <w:t>ف تلك المسألة الأصوليّة عليها. ومن الواضح أن بإمكان شيخنا الأستاذ</w:t>
      </w:r>
      <w:r w:rsidRPr="006571AC">
        <w:rPr>
          <w:rFonts w:cs="DanaFajr" w:hint="cs"/>
          <w:szCs w:val="28"/>
          <w:rtl/>
          <w:lang w:bidi="ar-LB"/>
        </w:rPr>
        <w:t xml:space="preserve">(حفظه الله) </w:t>
      </w:r>
      <w:r w:rsidRPr="006571AC">
        <w:rPr>
          <w:rFonts w:ascii="Tekton Pro Cond" w:hAnsi="Tekton Pro Cond" w:cs="DanaFajr"/>
          <w:sz w:val="28"/>
          <w:szCs w:val="28"/>
          <w:rtl/>
        </w:rPr>
        <w:t>أن يضم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إ</w:t>
      </w:r>
      <w:r w:rsidRPr="006571AC">
        <w:rPr>
          <w:rFonts w:ascii="Tekton Pro Cond" w:hAnsi="Tekton Pro Cond" w:cs="DanaFajr"/>
          <w:sz w:val="28"/>
          <w:szCs w:val="28"/>
          <w:rtl/>
        </w:rPr>
        <w:t>لى ما يدّعيه من استلزام هذا التصويب للد</w:t>
      </w:r>
      <w:r w:rsidRPr="006571AC">
        <w:rPr>
          <w:rFonts w:ascii="Tekton Pro Cond" w:hAnsi="Tekton Pro Cond" w:cs="DanaFajr" w:hint="cs"/>
          <w:sz w:val="28"/>
          <w:szCs w:val="28"/>
          <w:rtl/>
        </w:rPr>
        <w:t>َّ</w:t>
      </w:r>
      <w:r w:rsidRPr="006571AC">
        <w:rPr>
          <w:rFonts w:ascii="Tekton Pro Cond" w:hAnsi="Tekton Pro Cond" w:cs="DanaFajr"/>
          <w:sz w:val="28"/>
          <w:szCs w:val="28"/>
          <w:rtl/>
        </w:rPr>
        <w:t>وْر الم</w:t>
      </w:r>
      <w:r w:rsidRPr="006571AC">
        <w:rPr>
          <w:rFonts w:ascii="Tekton Pro Cond" w:hAnsi="Tekton Pro Cond" w:cs="DanaFajr" w:hint="cs"/>
          <w:sz w:val="28"/>
          <w:szCs w:val="28"/>
          <w:rtl/>
        </w:rPr>
        <w:t>َ</w:t>
      </w:r>
      <w:r w:rsidRPr="006571AC">
        <w:rPr>
          <w:rFonts w:ascii="Tekton Pro Cond" w:hAnsi="Tekton Pro Cond" w:cs="DanaFajr"/>
          <w:sz w:val="28"/>
          <w:szCs w:val="28"/>
          <w:rtl/>
        </w:rPr>
        <w:t>حال إشكالاً آخر، وهو استلزام هذا التصويب خل</w:t>
      </w:r>
      <w:r w:rsidRPr="006571AC">
        <w:rPr>
          <w:rFonts w:ascii="Tekton Pro Cond" w:hAnsi="Tekton Pro Cond" w:cs="DanaFajr" w:hint="cs"/>
          <w:sz w:val="28"/>
          <w:szCs w:val="28"/>
          <w:rtl/>
        </w:rPr>
        <w:t>وّ</w:t>
      </w:r>
      <w:r w:rsidRPr="006571AC">
        <w:rPr>
          <w:rFonts w:ascii="Tekton Pro Cond" w:hAnsi="Tekton Pro Cond" w:cs="DanaFajr"/>
          <w:sz w:val="28"/>
          <w:szCs w:val="28"/>
          <w:rtl/>
        </w:rPr>
        <w:t xml:space="preserve"> الواقع من الحكم. وهذا المقدار يكفي لعد</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القاعدة من المبادئ الأحكامية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ولخروج البحث عنها عن الل</w:t>
      </w:r>
      <w:r w:rsidRPr="006571AC">
        <w:rPr>
          <w:rFonts w:ascii="Tekton Pro Cond" w:hAnsi="Tekton Pro Cond" w:cs="DanaFajr" w:hint="cs"/>
          <w:sz w:val="28"/>
          <w:szCs w:val="28"/>
          <w:rtl/>
        </w:rPr>
        <w:t>َّ</w:t>
      </w:r>
      <w:r w:rsidRPr="006571AC">
        <w:rPr>
          <w:rFonts w:ascii="Tekton Pro Cond" w:hAnsi="Tekton Pro Cond" w:cs="DanaFajr"/>
          <w:sz w:val="28"/>
          <w:szCs w:val="28"/>
          <w:rtl/>
        </w:rPr>
        <w:t>غوية، فلا حاجة حينئذ</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الى القول بأن توق</w:t>
      </w:r>
      <w:r w:rsidRPr="006571AC">
        <w:rPr>
          <w:rFonts w:ascii="Tekton Pro Cond" w:hAnsi="Tekton Pro Cond" w:cs="DanaFajr" w:hint="cs"/>
          <w:sz w:val="28"/>
          <w:szCs w:val="28"/>
          <w:rtl/>
        </w:rPr>
        <w:t>ُّ</w:t>
      </w:r>
      <w:r w:rsidRPr="006571AC">
        <w:rPr>
          <w:rFonts w:ascii="Tekton Pro Cond" w:hAnsi="Tekton Pro Cond" w:cs="DanaFajr"/>
          <w:sz w:val="28"/>
          <w:szCs w:val="28"/>
          <w:rtl/>
        </w:rPr>
        <w:t>ف البحث الأصولي عليها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ولو على بعض المباني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كافٍ في عد</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ها من المبادئ الأحكامية؛ لعدم الحاجة </w:t>
      </w:r>
      <w:r w:rsidRPr="006571AC">
        <w:rPr>
          <w:rFonts w:ascii="Tekton Pro Cond" w:hAnsi="Tekton Pro Cond" w:cs="DanaFajr" w:hint="cs"/>
          <w:sz w:val="28"/>
          <w:szCs w:val="28"/>
          <w:rtl/>
        </w:rPr>
        <w:t>إ</w:t>
      </w:r>
      <w:r w:rsidRPr="006571AC">
        <w:rPr>
          <w:rFonts w:ascii="Tekton Pro Cond" w:hAnsi="Tekton Pro Cond" w:cs="DanaFajr"/>
          <w:sz w:val="28"/>
          <w:szCs w:val="28"/>
          <w:rtl/>
        </w:rPr>
        <w:t>لى التوق</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ف </w:t>
      </w:r>
      <w:r w:rsidRPr="006571AC">
        <w:rPr>
          <w:rFonts w:ascii="Tekton Pro Cond" w:hAnsi="Tekton Pro Cond" w:cs="DanaFajr" w:hint="cs"/>
          <w:sz w:val="28"/>
          <w:szCs w:val="28"/>
          <w:rtl/>
        </w:rPr>
        <w:t>أ</w:t>
      </w:r>
      <w:r w:rsidRPr="006571AC">
        <w:rPr>
          <w:rFonts w:ascii="Tekton Pro Cond" w:hAnsi="Tekton Pro Cond" w:cs="DanaFajr"/>
          <w:sz w:val="28"/>
          <w:szCs w:val="28"/>
          <w:rtl/>
        </w:rPr>
        <w:t>صلاً، فاف</w:t>
      </w:r>
      <w:r w:rsidRPr="006571AC">
        <w:rPr>
          <w:rFonts w:ascii="Tekton Pro Cond" w:hAnsi="Tekton Pro Cond" w:cs="DanaFajr" w:hint="cs"/>
          <w:sz w:val="28"/>
          <w:szCs w:val="28"/>
          <w:rtl/>
        </w:rPr>
        <w:t>ْ</w:t>
      </w:r>
      <w:r w:rsidRPr="006571AC">
        <w:rPr>
          <w:rFonts w:ascii="Tekton Pro Cond" w:hAnsi="Tekton Pro Cond" w:cs="DanaFajr"/>
          <w:sz w:val="28"/>
          <w:szCs w:val="28"/>
          <w:rtl/>
        </w:rPr>
        <w:t>ه</w:t>
      </w:r>
      <w:r w:rsidRPr="006571AC">
        <w:rPr>
          <w:rFonts w:ascii="Tekton Pro Cond" w:hAnsi="Tekton Pro Cond" w:cs="DanaFajr" w:hint="cs"/>
          <w:sz w:val="28"/>
          <w:szCs w:val="28"/>
          <w:rtl/>
        </w:rPr>
        <w:t>َ</w:t>
      </w:r>
      <w:r w:rsidRPr="006571AC">
        <w:rPr>
          <w:rFonts w:ascii="Tekton Pro Cond" w:hAnsi="Tekton Pro Cond" w:cs="DanaFajr"/>
          <w:sz w:val="28"/>
          <w:szCs w:val="28"/>
          <w:rtl/>
        </w:rPr>
        <w:t>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جيّداً. </w:t>
      </w:r>
    </w:p>
  </w:endnote>
  <w:endnote w:id="646">
    <w:p w:rsidR="00DB2356" w:rsidRPr="006571AC" w:rsidRDefault="00DB2356" w:rsidP="0067688E">
      <w:pPr>
        <w:pStyle w:val="aa"/>
        <w:spacing w:line="306" w:lineRule="exact"/>
        <w:ind w:firstLine="0"/>
        <w:rPr>
          <w:rFonts w:cs="DanaFajr"/>
          <w:sz w:val="28"/>
          <w:szCs w:val="28"/>
          <w:rtl/>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الهاشمي الشاهرودي،</w:t>
      </w:r>
      <w:r w:rsidRPr="006571AC">
        <w:rPr>
          <w:rFonts w:hint="cs"/>
          <w:rtl/>
          <w:lang w:bidi="ar-LB"/>
        </w:rPr>
        <w:t xml:space="preserve"> </w:t>
      </w:r>
      <w:r w:rsidRPr="006571AC">
        <w:rPr>
          <w:rFonts w:cs="DanaFajr" w:hint="cs"/>
          <w:sz w:val="28"/>
          <w:szCs w:val="28"/>
          <w:rtl/>
          <w:lang w:bidi="ar-LB"/>
        </w:rPr>
        <w:t>بحوث في علم الأصول 2: 297</w:t>
      </w:r>
      <w:r w:rsidRPr="006571AC">
        <w:rPr>
          <w:rFonts w:cs="DanaFajr" w:hint="cs"/>
          <w:sz w:val="28"/>
          <w:szCs w:val="28"/>
          <w:rtl/>
        </w:rPr>
        <w:t>.</w:t>
      </w:r>
    </w:p>
  </w:endnote>
  <w:endnote w:id="647">
    <w:p w:rsidR="00DB2356" w:rsidRPr="006571AC" w:rsidRDefault="00DB2356" w:rsidP="0067688E">
      <w:pPr>
        <w:pStyle w:val="aa"/>
        <w:spacing w:line="306" w:lineRule="exact"/>
        <w:ind w:firstLine="0"/>
        <w:rPr>
          <w:rFonts w:cs="DanaFajr"/>
          <w:sz w:val="28"/>
          <w:szCs w:val="28"/>
          <w:rtl/>
          <w:lang w:bidi="ar-LB"/>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السيد عبد الصاحب الحكيم، منتقى الأصول 2: 356 </w:t>
      </w:r>
      <w:r w:rsidRPr="006571AC">
        <w:rPr>
          <w:rFonts w:cs="DanaFajr"/>
          <w:sz w:val="28"/>
          <w:szCs w:val="28"/>
          <w:rtl/>
          <w:lang w:bidi="ar-LB"/>
        </w:rPr>
        <w:t xml:space="preserve">ـ </w:t>
      </w:r>
      <w:r w:rsidRPr="006571AC">
        <w:rPr>
          <w:rFonts w:cs="DanaFajr" w:hint="cs"/>
          <w:sz w:val="28"/>
          <w:szCs w:val="28"/>
          <w:rtl/>
          <w:lang w:bidi="ar-LB"/>
        </w:rPr>
        <w:t>357، 1418هـ.</w:t>
      </w:r>
    </w:p>
  </w:endnote>
  <w:endnote w:id="648">
    <w:p w:rsidR="00DB2356" w:rsidRPr="006571AC" w:rsidRDefault="00DB2356" w:rsidP="0067688E">
      <w:pPr>
        <w:pStyle w:val="aa"/>
        <w:spacing w:line="306" w:lineRule="exact"/>
        <w:ind w:firstLine="0"/>
        <w:rPr>
          <w:rFonts w:cs="DanaFajr"/>
          <w:sz w:val="28"/>
          <w:szCs w:val="28"/>
          <w:rtl/>
        </w:rPr>
      </w:pPr>
      <w:r w:rsidRPr="006571AC">
        <w:rPr>
          <w:rFonts w:cs="DanaFajr" w:hint="cs"/>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الهاشمي الشاهرودي،</w:t>
      </w:r>
      <w:r w:rsidRPr="006571AC">
        <w:rPr>
          <w:rFonts w:hint="cs"/>
          <w:rtl/>
          <w:lang w:bidi="ar-LB"/>
        </w:rPr>
        <w:t xml:space="preserve"> </w:t>
      </w:r>
      <w:r w:rsidRPr="006571AC">
        <w:rPr>
          <w:rFonts w:cs="DanaFajr" w:hint="cs"/>
          <w:sz w:val="28"/>
          <w:szCs w:val="28"/>
          <w:rtl/>
          <w:lang w:bidi="ar-LB"/>
        </w:rPr>
        <w:t>بحوث في علم الأصول 5: 492</w:t>
      </w:r>
      <w:r w:rsidRPr="006571AC">
        <w:rPr>
          <w:rFonts w:cs="DanaFajr" w:hint="cs"/>
          <w:sz w:val="28"/>
          <w:szCs w:val="28"/>
          <w:rtl/>
        </w:rPr>
        <w:t>.</w:t>
      </w:r>
    </w:p>
  </w:endnote>
  <w:endnote w:id="649">
    <w:p w:rsidR="00DB2356" w:rsidRPr="008B1A6D" w:rsidRDefault="00DB2356" w:rsidP="008B1A6D">
      <w:pPr>
        <w:pStyle w:val="aa"/>
        <w:spacing w:line="325" w:lineRule="exact"/>
        <w:ind w:firstLine="0"/>
        <w:rPr>
          <w:rFonts w:ascii="Arial" w:hAnsi="Arial" w:cs="DanaFajr"/>
          <w:sz w:val="28"/>
          <w:szCs w:val="28"/>
        </w:rPr>
      </w:pPr>
      <w:r w:rsidRPr="008B1A6D">
        <w:rPr>
          <w:rFonts w:ascii="Arial" w:hAnsi="Arial" w:cs="DanaFajr"/>
          <w:sz w:val="28"/>
          <w:szCs w:val="28"/>
          <w:rtl/>
        </w:rPr>
        <w:t>(</w:t>
      </w:r>
      <w:r w:rsidRPr="002E59E7">
        <w:rPr>
          <w:rStyle w:val="ac"/>
          <w:rFonts w:cs="DanaFajr"/>
          <w:sz w:val="28"/>
          <w:szCs w:val="28"/>
          <w:vertAlign w:val="baseline"/>
        </w:rPr>
        <w:endnoteRef/>
      </w:r>
      <w:r w:rsidRPr="008B1A6D">
        <w:rPr>
          <w:rFonts w:ascii="Arial" w:hAnsi="Arial" w:cs="DanaFajr"/>
          <w:sz w:val="28"/>
          <w:szCs w:val="28"/>
          <w:rtl/>
        </w:rPr>
        <w:t xml:space="preserve">) قال: </w:t>
      </w:r>
      <w:r w:rsidRPr="008B1A6D">
        <w:rPr>
          <w:rFonts w:ascii="Arial" w:hAnsi="Arial" w:hint="eastAsia"/>
          <w:sz w:val="22"/>
          <w:szCs w:val="22"/>
          <w:rtl/>
        </w:rPr>
        <w:t>«</w:t>
      </w:r>
      <w:r w:rsidRPr="008B1A6D">
        <w:rPr>
          <w:rFonts w:ascii="Arial" w:hAnsi="Arial" w:cs="DanaFajr"/>
          <w:sz w:val="28"/>
          <w:szCs w:val="28"/>
          <w:rtl/>
        </w:rPr>
        <w:t>وما ي</w:t>
      </w:r>
      <w:r w:rsidRPr="008B1A6D">
        <w:rPr>
          <w:rFonts w:ascii="Arial" w:hAnsi="Arial" w:cs="DanaFajr" w:hint="cs"/>
          <w:sz w:val="28"/>
          <w:szCs w:val="28"/>
          <w:rtl/>
        </w:rPr>
        <w:t>ُ</w:t>
      </w:r>
      <w:r w:rsidRPr="008B1A6D">
        <w:rPr>
          <w:rFonts w:ascii="Arial" w:hAnsi="Arial" w:cs="DanaFajr"/>
          <w:sz w:val="28"/>
          <w:szCs w:val="28"/>
          <w:rtl/>
        </w:rPr>
        <w:t>قال: من أنّ أخبار الس</w:t>
      </w:r>
      <w:r w:rsidRPr="008B1A6D">
        <w:rPr>
          <w:rFonts w:ascii="Arial" w:hAnsi="Arial" w:cs="DanaFajr" w:hint="cs"/>
          <w:sz w:val="28"/>
          <w:szCs w:val="28"/>
          <w:rtl/>
        </w:rPr>
        <w:t>ُّ</w:t>
      </w:r>
      <w:r w:rsidRPr="008B1A6D">
        <w:rPr>
          <w:rFonts w:ascii="Arial" w:hAnsi="Arial" w:cs="DanaFajr"/>
          <w:sz w:val="28"/>
          <w:szCs w:val="28"/>
          <w:rtl/>
        </w:rPr>
        <w:t>ن</w:t>
      </w:r>
      <w:r w:rsidRPr="008B1A6D">
        <w:rPr>
          <w:rFonts w:ascii="Arial" w:hAnsi="Arial" w:cs="DanaFajr" w:hint="cs"/>
          <w:sz w:val="28"/>
          <w:szCs w:val="28"/>
          <w:rtl/>
        </w:rPr>
        <w:t>َ</w:t>
      </w:r>
      <w:r w:rsidRPr="008B1A6D">
        <w:rPr>
          <w:rFonts w:ascii="Arial" w:hAnsi="Arial" w:cs="DanaFajr"/>
          <w:sz w:val="28"/>
          <w:szCs w:val="28"/>
          <w:rtl/>
        </w:rPr>
        <w:t xml:space="preserve">ن </w:t>
      </w:r>
      <w:r w:rsidRPr="008B1A6D">
        <w:rPr>
          <w:rFonts w:ascii="Arial" w:hAnsi="Arial" w:cs="DanaFajr" w:hint="cs"/>
          <w:sz w:val="28"/>
          <w:szCs w:val="28"/>
          <w:rtl/>
        </w:rPr>
        <w:t>يُ</w:t>
      </w:r>
      <w:r w:rsidRPr="008B1A6D">
        <w:rPr>
          <w:rFonts w:ascii="Arial" w:hAnsi="Arial" w:cs="DanaFajr"/>
          <w:sz w:val="28"/>
          <w:szCs w:val="28"/>
          <w:rtl/>
        </w:rPr>
        <w:t xml:space="preserve">تسامح فيها؛ لحديث: </w:t>
      </w:r>
      <w:r w:rsidRPr="008B1A6D">
        <w:rPr>
          <w:rFonts w:ascii="Arial" w:hAnsi="Arial" w:hint="eastAsia"/>
          <w:sz w:val="22"/>
          <w:szCs w:val="22"/>
          <w:rtl/>
        </w:rPr>
        <w:t>«</w:t>
      </w:r>
      <w:r w:rsidRPr="008B1A6D">
        <w:rPr>
          <w:rFonts w:ascii="Arial" w:hAnsi="Arial" w:cs="DanaFajr" w:hint="cs"/>
          <w:sz w:val="28"/>
          <w:szCs w:val="28"/>
          <w:rtl/>
        </w:rPr>
        <w:t>مَ</w:t>
      </w:r>
      <w:r w:rsidRPr="008B1A6D">
        <w:rPr>
          <w:rFonts w:ascii="Arial" w:hAnsi="Arial" w:cs="DanaFajr"/>
          <w:sz w:val="28"/>
          <w:szCs w:val="28"/>
          <w:rtl/>
        </w:rPr>
        <w:t>ن</w:t>
      </w:r>
      <w:r w:rsidRPr="008B1A6D">
        <w:rPr>
          <w:rFonts w:ascii="Arial" w:hAnsi="Arial" w:cs="DanaFajr" w:hint="cs"/>
          <w:sz w:val="28"/>
          <w:szCs w:val="28"/>
          <w:rtl/>
        </w:rPr>
        <w:t>ْ</w:t>
      </w:r>
      <w:r w:rsidRPr="008B1A6D">
        <w:rPr>
          <w:rFonts w:ascii="Arial" w:hAnsi="Arial" w:cs="DanaFajr"/>
          <w:sz w:val="28"/>
          <w:szCs w:val="28"/>
          <w:rtl/>
        </w:rPr>
        <w:t xml:space="preserve"> بلغه شيء</w:t>
      </w:r>
      <w:r w:rsidRPr="008B1A6D">
        <w:rPr>
          <w:rFonts w:ascii="Arial" w:hAnsi="Arial" w:cs="DanaFajr" w:hint="cs"/>
          <w:sz w:val="28"/>
          <w:szCs w:val="28"/>
          <w:rtl/>
        </w:rPr>
        <w:t>ٌ</w:t>
      </w:r>
      <w:r w:rsidRPr="008B1A6D">
        <w:rPr>
          <w:rFonts w:ascii="Arial" w:hAnsi="Arial" w:cs="DanaFajr"/>
          <w:sz w:val="28"/>
          <w:szCs w:val="28"/>
          <w:rtl/>
        </w:rPr>
        <w:t xml:space="preserve"> من الثواب على عمل</w:t>
      </w:r>
      <w:r w:rsidRPr="008B1A6D">
        <w:rPr>
          <w:rFonts w:ascii="Arial" w:hAnsi="Arial" w:cs="DanaFajr" w:hint="cs"/>
          <w:sz w:val="28"/>
          <w:szCs w:val="28"/>
          <w:rtl/>
        </w:rPr>
        <w:t xml:space="preserve">ٍ...، </w:t>
      </w:r>
      <w:r w:rsidRPr="008B1A6D">
        <w:rPr>
          <w:rFonts w:ascii="Arial" w:hAnsi="Arial" w:cs="DanaFajr"/>
          <w:sz w:val="28"/>
          <w:szCs w:val="28"/>
          <w:rtl/>
        </w:rPr>
        <w:t>الحديث</w:t>
      </w:r>
      <w:r w:rsidRPr="008B1A6D">
        <w:rPr>
          <w:rFonts w:ascii="Arial" w:hAnsi="Arial" w:hint="eastAsia"/>
          <w:sz w:val="22"/>
          <w:szCs w:val="22"/>
          <w:rtl/>
        </w:rPr>
        <w:t>»</w:t>
      </w:r>
      <w:r w:rsidRPr="008B1A6D">
        <w:rPr>
          <w:rFonts w:ascii="Arial" w:hAnsi="Arial" w:cs="DanaFajr" w:hint="cs"/>
          <w:sz w:val="28"/>
          <w:szCs w:val="28"/>
          <w:rtl/>
        </w:rPr>
        <w:t>،</w:t>
      </w:r>
      <w:r w:rsidRPr="008B1A6D">
        <w:rPr>
          <w:rFonts w:ascii="Arial" w:hAnsi="Arial" w:cs="DanaFajr"/>
          <w:sz w:val="28"/>
          <w:szCs w:val="28"/>
          <w:rtl/>
        </w:rPr>
        <w:t xml:space="preserve"> فف</w:t>
      </w:r>
      <w:r w:rsidRPr="008B1A6D">
        <w:rPr>
          <w:rFonts w:ascii="Arial" w:hAnsi="Arial" w:cs="DanaFajr" w:hint="cs"/>
          <w:sz w:val="28"/>
          <w:szCs w:val="28"/>
          <w:rtl/>
        </w:rPr>
        <w:t>ي</w:t>
      </w:r>
      <w:r w:rsidRPr="008B1A6D">
        <w:rPr>
          <w:rFonts w:ascii="Arial" w:hAnsi="Arial" w:cs="DanaFajr"/>
          <w:sz w:val="28"/>
          <w:szCs w:val="28"/>
          <w:rtl/>
        </w:rPr>
        <w:t xml:space="preserve"> نظري القاصر أنّ الظاهر من الخبر هو أن يبلغ الإنسان شيء</w:t>
      </w:r>
      <w:r w:rsidRPr="008B1A6D">
        <w:rPr>
          <w:rFonts w:ascii="Arial" w:hAnsi="Arial" w:cs="DanaFajr" w:hint="cs"/>
          <w:sz w:val="28"/>
          <w:szCs w:val="28"/>
          <w:rtl/>
        </w:rPr>
        <w:t>ٌ</w:t>
      </w:r>
      <w:r w:rsidRPr="008B1A6D">
        <w:rPr>
          <w:rFonts w:ascii="Arial" w:hAnsi="Arial" w:cs="DanaFajr"/>
          <w:sz w:val="28"/>
          <w:szCs w:val="28"/>
          <w:rtl/>
        </w:rPr>
        <w:t xml:space="preserve"> من الثواب على عمل</w:t>
      </w:r>
      <w:r w:rsidRPr="008B1A6D">
        <w:rPr>
          <w:rFonts w:ascii="Arial" w:hAnsi="Arial" w:cs="DanaFajr" w:hint="cs"/>
          <w:sz w:val="28"/>
          <w:szCs w:val="28"/>
          <w:rtl/>
        </w:rPr>
        <w:t>ٍ</w:t>
      </w:r>
      <w:r w:rsidRPr="008B1A6D">
        <w:rPr>
          <w:rFonts w:ascii="Arial" w:hAnsi="Arial" w:cs="DanaFajr"/>
          <w:sz w:val="28"/>
          <w:szCs w:val="28"/>
          <w:rtl/>
        </w:rPr>
        <w:t>، لا نفس العمل الذي فيه الثواب</w:t>
      </w:r>
      <w:r w:rsidRPr="008B1A6D">
        <w:rPr>
          <w:rFonts w:ascii="Arial" w:hAnsi="Arial" w:cs="DanaFajr" w:hint="cs"/>
          <w:sz w:val="28"/>
          <w:szCs w:val="28"/>
          <w:rtl/>
        </w:rPr>
        <w:t>،</w:t>
      </w:r>
      <w:r w:rsidRPr="008B1A6D">
        <w:rPr>
          <w:rFonts w:ascii="Arial" w:hAnsi="Arial" w:cs="DanaFajr"/>
          <w:sz w:val="28"/>
          <w:szCs w:val="28"/>
          <w:rtl/>
        </w:rPr>
        <w:t xml:space="preserve"> ليدخل المستحب</w:t>
      </w:r>
      <w:r w:rsidRPr="008B1A6D">
        <w:rPr>
          <w:rFonts w:ascii="Arial" w:hAnsi="Arial" w:cs="DanaFajr" w:hint="cs"/>
          <w:sz w:val="28"/>
          <w:szCs w:val="28"/>
          <w:rtl/>
        </w:rPr>
        <w:t>ّ؛</w:t>
      </w:r>
      <w:r w:rsidRPr="008B1A6D">
        <w:rPr>
          <w:rFonts w:ascii="Arial" w:hAnsi="Arial" w:cs="DanaFajr"/>
          <w:sz w:val="28"/>
          <w:szCs w:val="28"/>
          <w:rtl/>
        </w:rPr>
        <w:t xml:space="preserve"> حيث إنّ من لوازمه الثواب، فإنّ هذا وإن</w:t>
      </w:r>
      <w:r w:rsidRPr="008B1A6D">
        <w:rPr>
          <w:rFonts w:ascii="Arial" w:hAnsi="Arial" w:cs="DanaFajr" w:hint="cs"/>
          <w:sz w:val="28"/>
          <w:szCs w:val="28"/>
          <w:rtl/>
        </w:rPr>
        <w:t>ْ</w:t>
      </w:r>
      <w:r w:rsidRPr="008B1A6D">
        <w:rPr>
          <w:rFonts w:ascii="Arial" w:hAnsi="Arial" w:cs="DanaFajr"/>
          <w:sz w:val="28"/>
          <w:szCs w:val="28"/>
          <w:rtl/>
        </w:rPr>
        <w:t xml:space="preserve"> احتمل، إلاّ أنّ ما قلناه قد ي</w:t>
      </w:r>
      <w:r w:rsidRPr="008B1A6D">
        <w:rPr>
          <w:rFonts w:ascii="Arial" w:hAnsi="Arial" w:cs="DanaFajr" w:hint="cs"/>
          <w:sz w:val="28"/>
          <w:szCs w:val="28"/>
          <w:rtl/>
        </w:rPr>
        <w:t>ُ</w:t>
      </w:r>
      <w:r w:rsidRPr="008B1A6D">
        <w:rPr>
          <w:rFonts w:ascii="Arial" w:hAnsi="Arial" w:cs="DanaFajr"/>
          <w:sz w:val="28"/>
          <w:szCs w:val="28"/>
          <w:rtl/>
        </w:rPr>
        <w:t>دّ</w:t>
      </w:r>
      <w:r w:rsidRPr="008B1A6D">
        <w:rPr>
          <w:rFonts w:ascii="Arial" w:hAnsi="Arial" w:cs="DanaFajr" w:hint="cs"/>
          <w:sz w:val="28"/>
          <w:szCs w:val="28"/>
          <w:rtl/>
        </w:rPr>
        <w:t>َ</w:t>
      </w:r>
      <w:r w:rsidRPr="008B1A6D">
        <w:rPr>
          <w:rFonts w:ascii="Arial" w:hAnsi="Arial" w:cs="DanaFajr"/>
          <w:sz w:val="28"/>
          <w:szCs w:val="28"/>
          <w:rtl/>
        </w:rPr>
        <w:t>عى ظهوره، وينبّ</w:t>
      </w:r>
      <w:r w:rsidRPr="008B1A6D">
        <w:rPr>
          <w:rFonts w:ascii="Arial" w:hAnsi="Arial" w:cs="DanaFajr" w:hint="cs"/>
          <w:sz w:val="28"/>
          <w:szCs w:val="28"/>
          <w:rtl/>
        </w:rPr>
        <w:t>ِ</w:t>
      </w:r>
      <w:r w:rsidRPr="008B1A6D">
        <w:rPr>
          <w:rFonts w:ascii="Arial" w:hAnsi="Arial" w:cs="DanaFajr"/>
          <w:sz w:val="28"/>
          <w:szCs w:val="28"/>
          <w:rtl/>
        </w:rPr>
        <w:t>ه عليه أنّهم لم يستدل</w:t>
      </w:r>
      <w:r w:rsidRPr="008B1A6D">
        <w:rPr>
          <w:rFonts w:ascii="Arial" w:hAnsi="Arial" w:cs="DanaFajr" w:hint="cs"/>
          <w:sz w:val="28"/>
          <w:szCs w:val="28"/>
          <w:rtl/>
        </w:rPr>
        <w:t>ّ</w:t>
      </w:r>
      <w:r w:rsidRPr="008B1A6D">
        <w:rPr>
          <w:rFonts w:ascii="Arial" w:hAnsi="Arial" w:cs="DanaFajr"/>
          <w:sz w:val="28"/>
          <w:szCs w:val="28"/>
          <w:rtl/>
        </w:rPr>
        <w:t>وا به في الواجب إذا ثبت بخبر</w:t>
      </w:r>
      <w:r w:rsidRPr="008B1A6D">
        <w:rPr>
          <w:rFonts w:ascii="Arial" w:hAnsi="Arial" w:cs="DanaFajr" w:hint="cs"/>
          <w:sz w:val="28"/>
          <w:szCs w:val="28"/>
          <w:rtl/>
        </w:rPr>
        <w:t>ٍ</w:t>
      </w:r>
      <w:r w:rsidRPr="008B1A6D">
        <w:rPr>
          <w:rFonts w:ascii="Arial" w:hAnsi="Arial" w:cs="DanaFajr"/>
          <w:sz w:val="28"/>
          <w:szCs w:val="28"/>
          <w:rtl/>
        </w:rPr>
        <w:t xml:space="preserve"> ضعيف، مع أنّ الثواب فيه حاصل</w:t>
      </w:r>
      <w:r w:rsidRPr="008B1A6D">
        <w:rPr>
          <w:rFonts w:ascii="Arial" w:hAnsi="Arial" w:cs="DanaFajr" w:hint="cs"/>
          <w:sz w:val="28"/>
          <w:szCs w:val="28"/>
          <w:rtl/>
        </w:rPr>
        <w:t>ٌ</w:t>
      </w:r>
      <w:r w:rsidRPr="008B1A6D">
        <w:rPr>
          <w:rFonts w:ascii="Arial" w:hAnsi="Arial" w:cs="DanaFajr"/>
          <w:sz w:val="28"/>
          <w:szCs w:val="28"/>
          <w:rtl/>
        </w:rPr>
        <w:t>. ولو قيل: إنّ ثواب الواجب مقرون</w:t>
      </w:r>
      <w:r w:rsidRPr="008B1A6D">
        <w:rPr>
          <w:rFonts w:ascii="Arial" w:hAnsi="Arial" w:cs="DanaFajr" w:hint="cs"/>
          <w:sz w:val="28"/>
          <w:szCs w:val="28"/>
          <w:rtl/>
        </w:rPr>
        <w:t>ٌ</w:t>
      </w:r>
      <w:r w:rsidRPr="008B1A6D">
        <w:rPr>
          <w:rFonts w:ascii="Arial" w:hAnsi="Arial" w:cs="DanaFajr"/>
          <w:sz w:val="28"/>
          <w:szCs w:val="28"/>
          <w:rtl/>
        </w:rPr>
        <w:t xml:space="preserve"> بكونه واجباً، فإذا لم يثبت لا يكون واجباً</w:t>
      </w:r>
      <w:r w:rsidRPr="008B1A6D">
        <w:rPr>
          <w:rFonts w:ascii="Arial" w:hAnsi="Arial" w:cs="DanaFajr" w:hint="cs"/>
          <w:sz w:val="28"/>
          <w:szCs w:val="28"/>
          <w:rtl/>
        </w:rPr>
        <w:t>،</w:t>
      </w:r>
      <w:r w:rsidRPr="008B1A6D">
        <w:rPr>
          <w:rFonts w:ascii="Arial" w:hAnsi="Arial" w:cs="DanaFajr"/>
          <w:sz w:val="28"/>
          <w:szCs w:val="28"/>
          <w:rtl/>
        </w:rPr>
        <w:t xml:space="preserve"> فلا ثواب. قلت</w:t>
      </w:r>
      <w:r w:rsidRPr="008B1A6D">
        <w:rPr>
          <w:rFonts w:ascii="Arial" w:hAnsi="Arial" w:cs="DanaFajr" w:hint="cs"/>
          <w:sz w:val="28"/>
          <w:szCs w:val="28"/>
          <w:rtl/>
        </w:rPr>
        <w:t>ٌ</w:t>
      </w:r>
      <w:r w:rsidRPr="008B1A6D">
        <w:rPr>
          <w:rFonts w:ascii="Arial" w:hAnsi="Arial" w:cs="DanaFajr"/>
          <w:sz w:val="28"/>
          <w:szCs w:val="28"/>
          <w:rtl/>
        </w:rPr>
        <w:t>: فكذا المستحب</w:t>
      </w:r>
      <w:r w:rsidRPr="008B1A6D">
        <w:rPr>
          <w:rFonts w:ascii="Arial" w:hAnsi="Arial" w:cs="DanaFajr" w:hint="cs"/>
          <w:sz w:val="28"/>
          <w:szCs w:val="28"/>
          <w:rtl/>
        </w:rPr>
        <w:t>ّ</w:t>
      </w:r>
      <w:r w:rsidRPr="008B1A6D">
        <w:rPr>
          <w:rFonts w:ascii="Arial" w:hAnsi="Arial" w:cs="DanaFajr"/>
          <w:sz w:val="28"/>
          <w:szCs w:val="28"/>
          <w:rtl/>
        </w:rPr>
        <w:t>. واحتمال</w:t>
      </w:r>
      <w:r w:rsidRPr="008B1A6D">
        <w:rPr>
          <w:rFonts w:ascii="Arial" w:hAnsi="Arial" w:cs="DanaFajr" w:hint="cs"/>
          <w:sz w:val="28"/>
          <w:szCs w:val="28"/>
          <w:rtl/>
        </w:rPr>
        <w:t>ُ</w:t>
      </w:r>
      <w:r w:rsidRPr="008B1A6D">
        <w:rPr>
          <w:rFonts w:ascii="Arial" w:hAnsi="Arial" w:cs="DanaFajr"/>
          <w:sz w:val="28"/>
          <w:szCs w:val="28"/>
          <w:rtl/>
        </w:rPr>
        <w:t xml:space="preserve"> أن ي</w:t>
      </w:r>
      <w:r w:rsidRPr="008B1A6D">
        <w:rPr>
          <w:rFonts w:ascii="Arial" w:hAnsi="Arial" w:cs="DanaFajr" w:hint="cs"/>
          <w:sz w:val="28"/>
          <w:szCs w:val="28"/>
          <w:rtl/>
        </w:rPr>
        <w:t>ُ</w:t>
      </w:r>
      <w:r w:rsidRPr="008B1A6D">
        <w:rPr>
          <w:rFonts w:ascii="Arial" w:hAnsi="Arial" w:cs="DanaFajr"/>
          <w:sz w:val="28"/>
          <w:szCs w:val="28"/>
          <w:rtl/>
        </w:rPr>
        <w:t xml:space="preserve">قال: إنّ فعل الواجب بقصد مطلق الثواب للخبر الضعيف لا مانع منه فيه: </w:t>
      </w:r>
      <w:r w:rsidRPr="008B1A6D">
        <w:rPr>
          <w:rFonts w:ascii="Arial" w:hAnsi="Arial" w:cs="DanaFajr" w:hint="cs"/>
          <w:sz w:val="28"/>
          <w:szCs w:val="28"/>
          <w:rtl/>
        </w:rPr>
        <w:t>إ</w:t>
      </w:r>
      <w:r w:rsidRPr="008B1A6D">
        <w:rPr>
          <w:rFonts w:ascii="Arial" w:hAnsi="Arial" w:cs="DanaFajr"/>
          <w:sz w:val="28"/>
          <w:szCs w:val="28"/>
          <w:rtl/>
        </w:rPr>
        <w:t>نّ فعل المستحب</w:t>
      </w:r>
      <w:r w:rsidRPr="008B1A6D">
        <w:rPr>
          <w:rFonts w:ascii="Arial" w:hAnsi="Arial" w:cs="DanaFajr" w:hint="cs"/>
          <w:sz w:val="28"/>
          <w:szCs w:val="28"/>
          <w:rtl/>
        </w:rPr>
        <w:t>ّ</w:t>
      </w:r>
      <w:r w:rsidRPr="008B1A6D">
        <w:rPr>
          <w:rFonts w:ascii="Arial" w:hAnsi="Arial" w:cs="DanaFajr"/>
          <w:sz w:val="28"/>
          <w:szCs w:val="28"/>
          <w:rtl/>
        </w:rPr>
        <w:t xml:space="preserve"> إن</w:t>
      </w:r>
      <w:r w:rsidRPr="008B1A6D">
        <w:rPr>
          <w:rFonts w:ascii="Arial" w:hAnsi="Arial" w:cs="DanaFajr" w:hint="cs"/>
          <w:sz w:val="28"/>
          <w:szCs w:val="28"/>
          <w:rtl/>
        </w:rPr>
        <w:t>ْ</w:t>
      </w:r>
      <w:r w:rsidRPr="008B1A6D">
        <w:rPr>
          <w:rFonts w:ascii="Arial" w:hAnsi="Arial" w:cs="DanaFajr"/>
          <w:sz w:val="28"/>
          <w:szCs w:val="28"/>
          <w:rtl/>
        </w:rPr>
        <w:t xml:space="preserve"> كان لمطلق الثواب</w:t>
      </w:r>
      <w:r w:rsidRPr="008B1A6D">
        <w:rPr>
          <w:rFonts w:ascii="Arial" w:hAnsi="Arial" w:cs="DanaFajr" w:hint="cs"/>
          <w:sz w:val="28"/>
          <w:szCs w:val="28"/>
          <w:rtl/>
        </w:rPr>
        <w:t>،</w:t>
      </w:r>
      <w:r w:rsidRPr="008B1A6D">
        <w:rPr>
          <w:rFonts w:ascii="Arial" w:hAnsi="Arial" w:cs="DanaFajr"/>
          <w:sz w:val="28"/>
          <w:szCs w:val="28"/>
          <w:rtl/>
        </w:rPr>
        <w:t xml:space="preserve"> لا ثواب المستحب</w:t>
      </w:r>
      <w:r w:rsidRPr="008B1A6D">
        <w:rPr>
          <w:rFonts w:ascii="Arial" w:hAnsi="Arial" w:cs="DanaFajr" w:hint="cs"/>
          <w:sz w:val="28"/>
          <w:szCs w:val="28"/>
          <w:rtl/>
        </w:rPr>
        <w:t>ّ</w:t>
      </w:r>
      <w:r w:rsidRPr="008B1A6D">
        <w:rPr>
          <w:rFonts w:ascii="Arial" w:hAnsi="Arial" w:hint="eastAsia"/>
          <w:sz w:val="22"/>
          <w:szCs w:val="22"/>
          <w:rtl/>
        </w:rPr>
        <w:t>»</w:t>
      </w:r>
      <w:r w:rsidRPr="008B1A6D">
        <w:rPr>
          <w:rFonts w:ascii="Arial" w:hAnsi="Arial" w:cs="DanaFajr" w:hint="cs"/>
          <w:sz w:val="28"/>
          <w:szCs w:val="28"/>
          <w:rtl/>
        </w:rPr>
        <w:t>.</w:t>
      </w:r>
      <w:r w:rsidRPr="008B1A6D">
        <w:rPr>
          <w:rFonts w:ascii="Arial" w:hAnsi="Arial" w:cs="DanaFajr"/>
          <w:sz w:val="28"/>
          <w:szCs w:val="28"/>
          <w:rtl/>
        </w:rPr>
        <w:t xml:space="preserve"> استقصاء ال</w:t>
      </w:r>
      <w:r w:rsidRPr="008B1A6D">
        <w:rPr>
          <w:rFonts w:ascii="Arial" w:hAnsi="Arial" w:cs="DanaFajr" w:hint="cs"/>
          <w:sz w:val="28"/>
          <w:szCs w:val="28"/>
          <w:rtl/>
        </w:rPr>
        <w:t>ا</w:t>
      </w:r>
      <w:r w:rsidRPr="008B1A6D">
        <w:rPr>
          <w:rFonts w:ascii="Arial" w:hAnsi="Arial" w:cs="DanaFajr"/>
          <w:sz w:val="28"/>
          <w:szCs w:val="28"/>
          <w:rtl/>
        </w:rPr>
        <w:t>عتبار في شرح ال</w:t>
      </w:r>
      <w:r w:rsidRPr="008B1A6D">
        <w:rPr>
          <w:rFonts w:ascii="Arial" w:hAnsi="Arial" w:cs="DanaFajr" w:hint="cs"/>
          <w:sz w:val="28"/>
          <w:szCs w:val="28"/>
          <w:rtl/>
        </w:rPr>
        <w:t>ا</w:t>
      </w:r>
      <w:r w:rsidRPr="008B1A6D">
        <w:rPr>
          <w:rFonts w:ascii="Arial" w:hAnsi="Arial" w:cs="DanaFajr"/>
          <w:sz w:val="28"/>
          <w:szCs w:val="28"/>
          <w:rtl/>
        </w:rPr>
        <w:t xml:space="preserve">ستبصار 4: 446. </w:t>
      </w:r>
    </w:p>
  </w:endnote>
  <w:endnote w:id="650">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على سبيل المثال</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عل</w:t>
      </w:r>
      <w:r w:rsidRPr="006571AC">
        <w:rPr>
          <w:rFonts w:ascii="Arial" w:hAnsi="Arial" w:cs="DanaFajr" w:hint="cs"/>
          <w:sz w:val="28"/>
          <w:szCs w:val="28"/>
          <w:rtl/>
          <w:lang w:bidi="ar-LB"/>
        </w:rPr>
        <w:t>َّ</w:t>
      </w:r>
      <w:r w:rsidRPr="006571AC">
        <w:rPr>
          <w:rFonts w:ascii="Arial" w:hAnsi="Arial" w:cs="DanaFajr"/>
          <w:sz w:val="28"/>
          <w:szCs w:val="28"/>
          <w:rtl/>
          <w:lang w:bidi="ar-LB"/>
        </w:rPr>
        <w:t>ل بعض الفقهاء استحباب الوضوء لحمل المصحف بالتعظيم</w:t>
      </w:r>
      <w:r w:rsidRPr="006571AC">
        <w:rPr>
          <w:rFonts w:ascii="Arial" w:hAnsi="Arial" w:cs="DanaFajr" w:hint="cs"/>
          <w:sz w:val="28"/>
          <w:szCs w:val="28"/>
          <w:rtl/>
          <w:lang w:bidi="ar-LB"/>
        </w:rPr>
        <w:t xml:space="preserve">. </w:t>
      </w:r>
      <w:r w:rsidRPr="006571AC">
        <w:rPr>
          <w:rFonts w:ascii="Arial" w:hAnsi="Arial" w:cs="DanaFajr"/>
          <w:sz w:val="28"/>
          <w:szCs w:val="28"/>
          <w:rtl/>
          <w:lang w:bidi="ar-LB"/>
        </w:rPr>
        <w:t>ذكرى الشيعة 1: 193. وعلّ</w:t>
      </w:r>
      <w:r w:rsidRPr="006571AC">
        <w:rPr>
          <w:rFonts w:ascii="Arial" w:hAnsi="Arial" w:cs="DanaFajr" w:hint="cs"/>
          <w:sz w:val="28"/>
          <w:szCs w:val="28"/>
          <w:rtl/>
          <w:lang w:bidi="ar-LB"/>
        </w:rPr>
        <w:t>َ</w:t>
      </w:r>
      <w:r w:rsidRPr="006571AC">
        <w:rPr>
          <w:rFonts w:ascii="Arial" w:hAnsi="Arial" w:cs="DanaFajr"/>
          <w:sz w:val="28"/>
          <w:szCs w:val="28"/>
          <w:rtl/>
          <w:lang w:bidi="ar-LB"/>
        </w:rPr>
        <w:t>ق عليه المحق</w:t>
      </w:r>
      <w:r w:rsidRPr="006571AC">
        <w:rPr>
          <w:rFonts w:ascii="Arial" w:hAnsi="Arial" w:cs="DanaFajr" w:hint="cs"/>
          <w:sz w:val="28"/>
          <w:szCs w:val="28"/>
          <w:rtl/>
          <w:lang w:bidi="ar-LB"/>
        </w:rPr>
        <w:t>ِّ</w:t>
      </w:r>
      <w:r w:rsidRPr="006571AC">
        <w:rPr>
          <w:rFonts w:ascii="Arial" w:hAnsi="Arial" w:cs="DanaFajr"/>
          <w:sz w:val="28"/>
          <w:szCs w:val="28"/>
          <w:rtl/>
          <w:lang w:bidi="ar-LB"/>
        </w:rPr>
        <w:t>ق الخو</w:t>
      </w:r>
      <w:r w:rsidRPr="006571AC">
        <w:rPr>
          <w:rFonts w:ascii="Arial" w:hAnsi="Arial" w:cs="DanaFajr" w:hint="cs"/>
          <w:sz w:val="28"/>
          <w:szCs w:val="28"/>
          <w:rtl/>
          <w:lang w:bidi="ar-LB"/>
        </w:rPr>
        <w:t>ا</w:t>
      </w:r>
      <w:r w:rsidRPr="006571AC">
        <w:rPr>
          <w:rFonts w:ascii="Arial" w:hAnsi="Arial" w:cs="DanaFajr"/>
          <w:sz w:val="28"/>
          <w:szCs w:val="28"/>
          <w:rtl/>
          <w:lang w:bidi="ar-LB"/>
        </w:rPr>
        <w:t xml:space="preserve">نساري بالقول: </w:t>
      </w:r>
      <w:r w:rsidRPr="006571AC">
        <w:rPr>
          <w:rFonts w:hint="eastAsia"/>
          <w:sz w:val="22"/>
          <w:szCs w:val="22"/>
          <w:rtl/>
          <w:lang w:bidi="ar-LB"/>
        </w:rPr>
        <w:t>«</w:t>
      </w:r>
      <w:r w:rsidRPr="006571AC">
        <w:rPr>
          <w:rFonts w:ascii="Arial" w:hAnsi="Arial" w:cs="DanaFajr"/>
          <w:sz w:val="28"/>
          <w:szCs w:val="28"/>
          <w:rtl/>
          <w:lang w:bidi="ar-LB"/>
        </w:rPr>
        <w:t>ولا يخفى أن إثبات الحكم به مشكل</w:t>
      </w:r>
      <w:r w:rsidRPr="006571AC">
        <w:rPr>
          <w:rFonts w:ascii="Arial" w:hAnsi="Arial" w:cs="DanaFajr" w:hint="cs"/>
          <w:sz w:val="28"/>
          <w:szCs w:val="28"/>
          <w:rtl/>
          <w:lang w:bidi="ar-LB"/>
        </w:rPr>
        <w:t>ٌ</w:t>
      </w:r>
      <w:r w:rsidRPr="006571AC">
        <w:rPr>
          <w:rFonts w:ascii="Arial" w:hAnsi="Arial" w:cs="DanaFajr"/>
          <w:sz w:val="28"/>
          <w:szCs w:val="28"/>
          <w:rtl/>
          <w:lang w:bidi="ar-LB"/>
        </w:rPr>
        <w:t>، لكن</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لا بأس بالقول به (استحباب الوضو</w:t>
      </w:r>
      <w:r w:rsidRPr="006571AC">
        <w:rPr>
          <w:rFonts w:ascii="Arial" w:hAnsi="Arial" w:cs="DanaFajr" w:hint="cs"/>
          <w:sz w:val="28"/>
          <w:szCs w:val="28"/>
          <w:rtl/>
          <w:lang w:bidi="ar-LB"/>
        </w:rPr>
        <w:t>ء</w:t>
      </w:r>
      <w:r w:rsidRPr="006571AC">
        <w:rPr>
          <w:rFonts w:ascii="Arial" w:hAnsi="Arial" w:cs="DanaFajr"/>
          <w:sz w:val="28"/>
          <w:szCs w:val="28"/>
          <w:rtl/>
          <w:lang w:bidi="ar-LB"/>
        </w:rPr>
        <w:t xml:space="preserve"> لحمل المصحف)</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للشهرة بين الأصحاب (رضوان الله عليهم)</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بناء</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على التسامح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مشارق الشموس: 43</w:t>
      </w:r>
      <w:r w:rsidRPr="006571AC">
        <w:rPr>
          <w:rFonts w:ascii="Arial" w:hAnsi="Arial" w:cs="DanaFajr" w:hint="cs"/>
          <w:sz w:val="28"/>
          <w:szCs w:val="28"/>
          <w:rtl/>
        </w:rPr>
        <w:t>.</w:t>
      </w:r>
      <w:r w:rsidRPr="006571AC">
        <w:rPr>
          <w:rFonts w:ascii="Arial" w:hAnsi="Arial" w:cs="DanaFajr"/>
          <w:sz w:val="28"/>
          <w:szCs w:val="28"/>
          <w:rtl/>
        </w:rPr>
        <w:t xml:space="preserve"> </w:t>
      </w:r>
      <w:r w:rsidRPr="006571AC">
        <w:rPr>
          <w:rFonts w:ascii="Arial" w:hAnsi="Arial" w:cs="DanaFajr"/>
          <w:sz w:val="28"/>
          <w:szCs w:val="28"/>
          <w:rtl/>
          <w:lang w:bidi="ar-LB"/>
        </w:rPr>
        <w:t>وذكر الميرزا القم</w:t>
      </w:r>
      <w:r w:rsidRPr="006571AC">
        <w:rPr>
          <w:rFonts w:ascii="Arial" w:hAnsi="Arial" w:cs="DanaFajr" w:hint="cs"/>
          <w:sz w:val="28"/>
          <w:szCs w:val="28"/>
          <w:rtl/>
          <w:lang w:bidi="ar-LB"/>
        </w:rPr>
        <w:t>ّ</w:t>
      </w:r>
      <w:r w:rsidRPr="006571AC">
        <w:rPr>
          <w:rFonts w:ascii="Arial" w:hAnsi="Arial" w:cs="DanaFajr"/>
          <w:sz w:val="28"/>
          <w:szCs w:val="28"/>
          <w:rtl/>
          <w:lang w:bidi="ar-LB"/>
        </w:rPr>
        <w:t>ي أنّ صاحب المسجد الراتب أ</w:t>
      </w:r>
      <w:r w:rsidRPr="006571AC">
        <w:rPr>
          <w:rFonts w:ascii="Arial" w:hAnsi="Arial" w:cs="DanaFajr" w:hint="cs"/>
          <w:sz w:val="28"/>
          <w:szCs w:val="28"/>
          <w:rtl/>
          <w:lang w:bidi="ar-LB"/>
        </w:rPr>
        <w:t>َ</w:t>
      </w:r>
      <w:r w:rsidRPr="006571AC">
        <w:rPr>
          <w:rFonts w:ascii="Arial" w:hAnsi="Arial" w:cs="DanaFajr"/>
          <w:sz w:val="28"/>
          <w:szCs w:val="28"/>
          <w:rtl/>
          <w:lang w:bidi="ar-LB"/>
        </w:rPr>
        <w:t>و</w:t>
      </w:r>
      <w:r w:rsidRPr="006571AC">
        <w:rPr>
          <w:rFonts w:ascii="Arial" w:hAnsi="Arial" w:cs="DanaFajr" w:hint="cs"/>
          <w:sz w:val="28"/>
          <w:szCs w:val="28"/>
          <w:rtl/>
          <w:lang w:bidi="ar-LB"/>
        </w:rPr>
        <w:t>ْ</w:t>
      </w:r>
      <w:r w:rsidRPr="006571AC">
        <w:rPr>
          <w:rFonts w:ascii="Arial" w:hAnsi="Arial" w:cs="DanaFajr"/>
          <w:sz w:val="28"/>
          <w:szCs w:val="28"/>
          <w:rtl/>
          <w:lang w:bidi="ar-LB"/>
        </w:rPr>
        <w:t>لى من غيره في إمامة الصلاة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w:t>
      </w:r>
      <w:r w:rsidRPr="006571AC">
        <w:rPr>
          <w:rFonts w:ascii="Arial" w:hAnsi="Arial" w:cs="DanaFajr" w:hint="cs"/>
          <w:sz w:val="28"/>
          <w:szCs w:val="28"/>
          <w:rtl/>
          <w:lang w:bidi="ar-LB"/>
        </w:rPr>
        <w:t>ل</w:t>
      </w:r>
      <w:r w:rsidRPr="006571AC">
        <w:rPr>
          <w:rFonts w:ascii="Arial" w:hAnsi="Arial" w:cs="DanaFajr"/>
          <w:sz w:val="28"/>
          <w:szCs w:val="28"/>
          <w:rtl/>
          <w:lang w:bidi="ar-LB"/>
        </w:rPr>
        <w:t xml:space="preserve">أن </w:t>
      </w:r>
      <w:r w:rsidRPr="006571AC">
        <w:rPr>
          <w:rFonts w:hint="eastAsia"/>
          <w:sz w:val="22"/>
          <w:szCs w:val="22"/>
          <w:rtl/>
          <w:lang w:bidi="ar-LB"/>
        </w:rPr>
        <w:t>«</w:t>
      </w:r>
      <w:r w:rsidRPr="006571AC">
        <w:rPr>
          <w:rFonts w:ascii="Arial" w:hAnsi="Arial" w:cs="DanaFajr"/>
          <w:sz w:val="28"/>
          <w:szCs w:val="28"/>
          <w:rtl/>
          <w:lang w:bidi="ar-LB"/>
        </w:rPr>
        <w:t>كلام الأصحاب في ذلك يكفي؛ للتسامح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غنائم الأيام 3: 173. مثال</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آخر: قد أفتى بعض الأصحاب باستحباب قضاء الصوم عمّ</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فاته بسبب المرض ومات في مرضه، </w:t>
      </w:r>
      <w:r w:rsidRPr="006571AC">
        <w:rPr>
          <w:rFonts w:ascii="Arial" w:hAnsi="Arial" w:cs="DanaFajr"/>
          <w:sz w:val="28"/>
          <w:szCs w:val="28"/>
          <w:rtl/>
        </w:rPr>
        <w:t>يقول الميرزا القم</w:t>
      </w:r>
      <w:r w:rsidRPr="006571AC">
        <w:rPr>
          <w:rFonts w:ascii="Arial" w:hAnsi="Arial" w:cs="DanaFajr" w:hint="cs"/>
          <w:sz w:val="28"/>
          <w:szCs w:val="28"/>
          <w:rtl/>
        </w:rPr>
        <w:t>ّ</w:t>
      </w:r>
      <w:r w:rsidRPr="006571AC">
        <w:rPr>
          <w:rFonts w:ascii="Arial" w:hAnsi="Arial" w:cs="DanaFajr"/>
          <w:sz w:val="28"/>
          <w:szCs w:val="28"/>
          <w:rtl/>
        </w:rPr>
        <w:t xml:space="preserve">ي: </w:t>
      </w:r>
      <w:r w:rsidRPr="006571AC">
        <w:rPr>
          <w:rFonts w:hint="eastAsia"/>
          <w:sz w:val="22"/>
          <w:szCs w:val="22"/>
          <w:rtl/>
        </w:rPr>
        <w:t>«</w:t>
      </w:r>
      <w:r w:rsidRPr="006571AC">
        <w:rPr>
          <w:rFonts w:ascii="Arial" w:hAnsi="Arial" w:cs="DanaFajr"/>
          <w:sz w:val="28"/>
          <w:szCs w:val="28"/>
          <w:rtl/>
          <w:lang w:bidi="ar-LB"/>
        </w:rPr>
        <w:t>فلم يب</w:t>
      </w:r>
      <w:r w:rsidRPr="006571AC">
        <w:rPr>
          <w:rFonts w:ascii="Arial" w:hAnsi="Arial" w:cs="DanaFajr" w:hint="cs"/>
          <w:sz w:val="28"/>
          <w:szCs w:val="28"/>
          <w:rtl/>
          <w:lang w:bidi="ar-LB"/>
        </w:rPr>
        <w:t>ْ</w:t>
      </w:r>
      <w:r w:rsidRPr="006571AC">
        <w:rPr>
          <w:rFonts w:ascii="Arial" w:hAnsi="Arial" w:cs="DanaFajr"/>
          <w:sz w:val="28"/>
          <w:szCs w:val="28"/>
          <w:rtl/>
          <w:lang w:bidi="ar-LB"/>
        </w:rPr>
        <w:t>ق</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إلا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الاعتماد على فتواهم</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للمسامحة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 وإلا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فلم نق</w:t>
      </w:r>
      <w:r w:rsidRPr="006571AC">
        <w:rPr>
          <w:rFonts w:ascii="Arial" w:hAnsi="Arial" w:cs="DanaFajr" w:hint="cs"/>
          <w:sz w:val="28"/>
          <w:szCs w:val="28"/>
          <w:rtl/>
          <w:lang w:bidi="ar-LB"/>
        </w:rPr>
        <w:t>ِ</w:t>
      </w:r>
      <w:r w:rsidRPr="006571AC">
        <w:rPr>
          <w:rFonts w:ascii="Arial" w:hAnsi="Arial" w:cs="DanaFajr"/>
          <w:sz w:val="28"/>
          <w:szCs w:val="28"/>
          <w:rtl/>
          <w:lang w:bidi="ar-LB"/>
        </w:rPr>
        <w:t>ف</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على ما يدلّ على ذلك، بل الأخبار الصحيحة المصرّ</w:t>
      </w:r>
      <w:r w:rsidRPr="006571AC">
        <w:rPr>
          <w:rFonts w:ascii="Arial" w:hAnsi="Arial" w:cs="DanaFajr" w:hint="cs"/>
          <w:sz w:val="28"/>
          <w:szCs w:val="28"/>
          <w:rtl/>
          <w:lang w:bidi="ar-LB"/>
        </w:rPr>
        <w:t>ِ</w:t>
      </w:r>
      <w:r w:rsidRPr="006571AC">
        <w:rPr>
          <w:rFonts w:ascii="Arial" w:hAnsi="Arial" w:cs="DanaFajr"/>
          <w:sz w:val="28"/>
          <w:szCs w:val="28"/>
          <w:rtl/>
          <w:lang w:bidi="ar-LB"/>
        </w:rPr>
        <w:t>حة بنفي القضاء ظاهرة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في عدم مشروعيّتها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كما مرّت</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غنائم الأيام 5: 384. </w:t>
      </w:r>
    </w:p>
  </w:endnote>
  <w:endnote w:id="651">
    <w:p w:rsidR="00DB2356" w:rsidRPr="006571AC" w:rsidRDefault="00DB2356" w:rsidP="00864FC3">
      <w:pPr>
        <w:pStyle w:val="aa"/>
        <w:spacing w:line="325"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قال الوحيد البهبهاني: </w:t>
      </w:r>
      <w:r w:rsidRPr="006571AC">
        <w:rPr>
          <w:rFonts w:hint="eastAsia"/>
          <w:sz w:val="22"/>
          <w:szCs w:val="22"/>
          <w:rtl/>
        </w:rPr>
        <w:t>«</w:t>
      </w:r>
      <w:r w:rsidRPr="006571AC">
        <w:rPr>
          <w:rFonts w:cs="DanaFajr" w:hint="cs"/>
          <w:sz w:val="28"/>
          <w:szCs w:val="28"/>
          <w:rtl/>
        </w:rPr>
        <w:t xml:space="preserve">إنهم </w:t>
      </w:r>
      <w:r w:rsidRPr="006571AC">
        <w:rPr>
          <w:rFonts w:cs="DanaFajr"/>
          <w:sz w:val="28"/>
          <w:szCs w:val="28"/>
          <w:rtl/>
        </w:rPr>
        <w:t>يكتفون في مقام الاستحباب بفتوى فقيه</w:t>
      </w:r>
      <w:r w:rsidRPr="006571AC">
        <w:rPr>
          <w:rFonts w:cs="DanaFajr" w:hint="cs"/>
          <w:sz w:val="28"/>
          <w:szCs w:val="28"/>
          <w:rtl/>
        </w:rPr>
        <w:t>ٍ</w:t>
      </w:r>
      <w:r w:rsidRPr="006571AC">
        <w:rPr>
          <w:rFonts w:cs="DanaFajr"/>
          <w:sz w:val="28"/>
          <w:szCs w:val="28"/>
          <w:rtl/>
        </w:rPr>
        <w:t xml:space="preserve"> واحد</w:t>
      </w:r>
      <w:r w:rsidRPr="006571AC">
        <w:rPr>
          <w:rFonts w:hint="eastAsia"/>
          <w:sz w:val="22"/>
          <w:szCs w:val="22"/>
          <w:rtl/>
        </w:rPr>
        <w:t>»</w:t>
      </w:r>
      <w:r w:rsidRPr="006571AC">
        <w:rPr>
          <w:rFonts w:cs="DanaFajr" w:hint="cs"/>
          <w:sz w:val="28"/>
          <w:szCs w:val="28"/>
          <w:rtl/>
        </w:rPr>
        <w:t xml:space="preserve">. مصابيح الظلام في شرح شرائع الإسلام 6: 356. </w:t>
      </w:r>
    </w:p>
  </w:endnote>
  <w:endnote w:id="652">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ومثاله: ما ذكره السيد محمد </w:t>
      </w:r>
      <w:r w:rsidRPr="006571AC">
        <w:rPr>
          <w:rFonts w:ascii="Arial" w:hAnsi="Arial" w:cs="DanaFajr" w:hint="cs"/>
          <w:sz w:val="28"/>
          <w:szCs w:val="28"/>
          <w:rtl/>
          <w:lang w:bidi="ar-LB"/>
        </w:rPr>
        <w:t xml:space="preserve">العاملي </w:t>
      </w:r>
      <w:r w:rsidRPr="006571AC">
        <w:rPr>
          <w:rFonts w:ascii="Arial" w:hAnsi="Arial" w:cs="DanaFajr"/>
          <w:sz w:val="28"/>
          <w:szCs w:val="28"/>
          <w:rtl/>
          <w:lang w:bidi="ar-LB"/>
        </w:rPr>
        <w:t xml:space="preserve">في المدارك: </w:t>
      </w:r>
      <w:r w:rsidRPr="006571AC">
        <w:rPr>
          <w:rFonts w:hint="eastAsia"/>
          <w:sz w:val="22"/>
          <w:szCs w:val="22"/>
          <w:rtl/>
          <w:lang w:bidi="ar-LB"/>
        </w:rPr>
        <w:t>«</w:t>
      </w:r>
      <w:r w:rsidRPr="006571AC">
        <w:rPr>
          <w:rFonts w:ascii="Arial" w:hAnsi="Arial" w:cs="DanaFajr" w:hint="cs"/>
          <w:sz w:val="28"/>
          <w:szCs w:val="28"/>
          <w:rtl/>
          <w:lang w:bidi="ar-LB"/>
        </w:rPr>
        <w:t>إ</w:t>
      </w:r>
      <w:r w:rsidRPr="006571AC">
        <w:rPr>
          <w:rFonts w:ascii="Arial" w:hAnsi="Arial" w:cs="DanaFajr"/>
          <w:sz w:val="28"/>
          <w:szCs w:val="28"/>
          <w:rtl/>
          <w:lang w:bidi="ar-LB"/>
        </w:rPr>
        <w:t>نه قد دلّ الخبر على وجوب أن يتيم</w:t>
      </w:r>
      <w:r w:rsidRPr="006571AC">
        <w:rPr>
          <w:rFonts w:ascii="Arial" w:hAnsi="Arial" w:cs="DanaFajr" w:hint="cs"/>
          <w:sz w:val="28"/>
          <w:szCs w:val="28"/>
          <w:rtl/>
          <w:lang w:bidi="ar-LB"/>
        </w:rPr>
        <w:t>ّ</w:t>
      </w:r>
      <w:r w:rsidRPr="006571AC">
        <w:rPr>
          <w:rFonts w:ascii="Arial" w:hAnsi="Arial" w:cs="DanaFajr"/>
          <w:sz w:val="28"/>
          <w:szCs w:val="28"/>
          <w:rtl/>
          <w:lang w:bidi="ar-LB"/>
        </w:rPr>
        <w:t>م من أجنب في المسجد الحرام، وقيل</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الحائض كالج</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ب في ذلك</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لمرفوعة محمد بن يحيى، عن أبي حمزة، عن الباقر</w:t>
      </w:r>
      <w:r w:rsidRPr="006571AC">
        <w:rPr>
          <w:rFonts w:ascii="Mosawi" w:hAnsi="Mosawi" w:cs="Mosawi"/>
          <w:rtl/>
        </w:rPr>
        <w:t>×</w:t>
      </w:r>
      <w:r w:rsidRPr="006571AC">
        <w:rPr>
          <w:rFonts w:ascii="Arial" w:hAnsi="Arial" w:cs="DanaFajr"/>
          <w:sz w:val="28"/>
          <w:szCs w:val="28"/>
          <w:rtl/>
          <w:lang w:bidi="ar-LB"/>
        </w:rPr>
        <w:t>، حيث قال فيها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بعد أن ذكر تيم</w:t>
      </w:r>
      <w:r w:rsidRPr="006571AC">
        <w:rPr>
          <w:rFonts w:ascii="Arial" w:hAnsi="Arial" w:cs="DanaFajr" w:hint="cs"/>
          <w:sz w:val="28"/>
          <w:szCs w:val="28"/>
          <w:rtl/>
          <w:lang w:bidi="ar-LB"/>
        </w:rPr>
        <w:t>ُّ</w:t>
      </w:r>
      <w:r w:rsidRPr="006571AC">
        <w:rPr>
          <w:rFonts w:ascii="Arial" w:hAnsi="Arial" w:cs="DanaFajr"/>
          <w:sz w:val="28"/>
          <w:szCs w:val="28"/>
          <w:rtl/>
          <w:lang w:bidi="ar-LB"/>
        </w:rPr>
        <w:t xml:space="preserve">م المحتلم للخروج: </w:t>
      </w:r>
      <w:r w:rsidRPr="006571AC">
        <w:rPr>
          <w:rFonts w:hint="eastAsia"/>
          <w:sz w:val="22"/>
          <w:szCs w:val="22"/>
          <w:rtl/>
          <w:lang w:bidi="ar-LB"/>
        </w:rPr>
        <w:t>«</w:t>
      </w:r>
      <w:r w:rsidRPr="006571AC">
        <w:rPr>
          <w:rFonts w:ascii="Arial" w:hAnsi="Arial" w:cs="DanaFajr"/>
          <w:sz w:val="28"/>
          <w:szCs w:val="28"/>
          <w:rtl/>
          <w:lang w:bidi="ar-LB"/>
        </w:rPr>
        <w:t>وكذلك الحائض إذا أصابها الحيض تفعل كذلك</w:t>
      </w:r>
      <w:r w:rsidRPr="006571AC">
        <w:rPr>
          <w:rFonts w:hint="eastAsia"/>
          <w:sz w:val="22"/>
          <w:szCs w:val="22"/>
          <w:rtl/>
        </w:rPr>
        <w:t>»</w:t>
      </w:r>
      <w:r w:rsidRPr="006571AC">
        <w:rPr>
          <w:rFonts w:ascii="Arial" w:hAnsi="Arial" w:cs="DanaFajr" w:hint="cs"/>
          <w:sz w:val="28"/>
          <w:szCs w:val="28"/>
          <w:rtl/>
          <w:lang w:bidi="ar-LB"/>
        </w:rPr>
        <w:t xml:space="preserve">. </w:t>
      </w:r>
      <w:r w:rsidRPr="006571AC">
        <w:rPr>
          <w:rFonts w:ascii="Arial" w:hAnsi="Arial" w:cs="DanaFajr"/>
          <w:sz w:val="28"/>
          <w:szCs w:val="28"/>
          <w:rtl/>
          <w:lang w:bidi="ar-LB"/>
        </w:rPr>
        <w:t>وأنكر المصن</w:t>
      </w:r>
      <w:r w:rsidRPr="006571AC">
        <w:rPr>
          <w:rFonts w:ascii="Arial" w:hAnsi="Arial" w:cs="DanaFajr" w:hint="cs"/>
          <w:sz w:val="28"/>
          <w:szCs w:val="28"/>
          <w:rtl/>
          <w:lang w:bidi="ar-LB"/>
        </w:rPr>
        <w:t>ِّ</w:t>
      </w:r>
      <w:r w:rsidRPr="006571AC">
        <w:rPr>
          <w:rFonts w:ascii="Arial" w:hAnsi="Arial" w:cs="DanaFajr"/>
          <w:sz w:val="28"/>
          <w:szCs w:val="28"/>
          <w:rtl/>
          <w:lang w:bidi="ar-LB"/>
        </w:rPr>
        <w:t>ف [المحق</w:t>
      </w:r>
      <w:r w:rsidRPr="006571AC">
        <w:rPr>
          <w:rFonts w:ascii="Arial" w:hAnsi="Arial" w:cs="DanaFajr" w:hint="cs"/>
          <w:sz w:val="28"/>
          <w:szCs w:val="28"/>
          <w:rtl/>
          <w:lang w:bidi="ar-LB"/>
        </w:rPr>
        <w:t>ِّ</w:t>
      </w:r>
      <w:r w:rsidRPr="006571AC">
        <w:rPr>
          <w:rFonts w:ascii="Arial" w:hAnsi="Arial" w:cs="DanaFajr"/>
          <w:sz w:val="28"/>
          <w:szCs w:val="28"/>
          <w:rtl/>
          <w:lang w:bidi="ar-LB"/>
        </w:rPr>
        <w:t>ق] في المعتبر الوجوب</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لقطع الرواية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ولأنه لا سبيل لها إلى الطهارة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بخلاف الج</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ب، ثم</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حكم بالاستحباب. وكأن</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وجهه ما ذكره</w:t>
      </w:r>
      <w:r w:rsidRPr="006571AC">
        <w:rPr>
          <w:rFonts w:ascii="Mosawi" w:hAnsi="Mosawi" w:cs="Mosawi"/>
          <w:rtl/>
        </w:rPr>
        <w:t>&amp;</w:t>
      </w:r>
      <w:r w:rsidRPr="006571AC">
        <w:rPr>
          <w:rFonts w:ascii="Arial" w:hAnsi="Arial" w:cs="DanaFajr"/>
          <w:sz w:val="28"/>
          <w:szCs w:val="28"/>
          <w:rtl/>
          <w:lang w:bidi="ar-LB"/>
        </w:rPr>
        <w:t xml:space="preserve"> من ضعف السند، وما اشتهر بينهم من التسامح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مدارك الأحكام 1: 22. </w:t>
      </w:r>
    </w:p>
  </w:endnote>
  <w:endnote w:id="653">
    <w:p w:rsidR="00DB2356" w:rsidRPr="006571AC" w:rsidRDefault="00DB2356" w:rsidP="00864FC3">
      <w:pPr>
        <w:pStyle w:val="aa"/>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على سبيل المثال: ورد في رواية محمد بن يحيى</w:t>
      </w:r>
      <w:r w:rsidRPr="006571AC">
        <w:rPr>
          <w:rFonts w:ascii="Arial" w:hAnsi="Arial" w:cs="DanaFajr" w:hint="cs"/>
          <w:sz w:val="28"/>
          <w:szCs w:val="28"/>
          <w:rtl/>
        </w:rPr>
        <w:t>،</w:t>
      </w:r>
      <w:r w:rsidRPr="006571AC">
        <w:rPr>
          <w:rFonts w:ascii="Arial" w:hAnsi="Arial" w:cs="DanaFajr"/>
          <w:sz w:val="28"/>
          <w:szCs w:val="28"/>
          <w:rtl/>
        </w:rPr>
        <w:t xml:space="preserve"> رفعه</w:t>
      </w:r>
      <w:r w:rsidRPr="006571AC">
        <w:rPr>
          <w:rFonts w:ascii="Arial" w:hAnsi="Arial" w:cs="DanaFajr" w:hint="cs"/>
          <w:sz w:val="28"/>
          <w:szCs w:val="28"/>
          <w:rtl/>
        </w:rPr>
        <w:t>،</w:t>
      </w:r>
      <w:r w:rsidRPr="006571AC">
        <w:rPr>
          <w:rFonts w:ascii="Arial" w:hAnsi="Arial" w:cs="DanaFajr"/>
          <w:sz w:val="28"/>
          <w:szCs w:val="28"/>
          <w:rtl/>
        </w:rPr>
        <w:t xml:space="preserve"> قال: </w:t>
      </w:r>
      <w:r w:rsidRPr="006571AC">
        <w:rPr>
          <w:rFonts w:hint="eastAsia"/>
          <w:sz w:val="22"/>
          <w:szCs w:val="22"/>
          <w:rtl/>
        </w:rPr>
        <w:t>«</w:t>
      </w:r>
      <w:r w:rsidRPr="006571AC">
        <w:rPr>
          <w:rFonts w:ascii="Arial" w:hAnsi="Arial" w:cs="DanaFajr"/>
          <w:sz w:val="28"/>
          <w:szCs w:val="28"/>
          <w:rtl/>
        </w:rPr>
        <w:t>قال أبو الحسن الرضا</w:t>
      </w:r>
      <w:r w:rsidRPr="006571AC">
        <w:rPr>
          <w:rFonts w:ascii="Mosawi" w:hAnsi="Mosawi" w:cs="Mosawi"/>
          <w:rtl/>
        </w:rPr>
        <w:t>×</w:t>
      </w:r>
      <w:r w:rsidRPr="006571AC">
        <w:rPr>
          <w:rFonts w:ascii="Arial" w:hAnsi="Arial" w:cs="DanaFajr" w:hint="cs"/>
          <w:sz w:val="28"/>
          <w:szCs w:val="28"/>
          <w:rtl/>
        </w:rPr>
        <w:t xml:space="preserve">: </w:t>
      </w:r>
      <w:r w:rsidRPr="006571AC">
        <w:rPr>
          <w:rFonts w:ascii="Arial" w:hAnsi="Arial" w:cs="DanaFajr"/>
          <w:sz w:val="28"/>
          <w:szCs w:val="28"/>
          <w:rtl/>
        </w:rPr>
        <w:t xml:space="preserve">الشاة إذا ذبحت وسلخت أو سلخ </w:t>
      </w:r>
      <w:r w:rsidRPr="006571AC">
        <w:rPr>
          <w:rFonts w:ascii="Arial" w:hAnsi="Arial" w:cs="DanaFajr" w:hint="cs"/>
          <w:sz w:val="28"/>
          <w:szCs w:val="28"/>
          <w:rtl/>
        </w:rPr>
        <w:t>شيءٌ</w:t>
      </w:r>
      <w:r w:rsidRPr="006571AC">
        <w:rPr>
          <w:rFonts w:ascii="Arial" w:hAnsi="Arial" w:cs="DanaFajr"/>
          <w:sz w:val="28"/>
          <w:szCs w:val="28"/>
          <w:rtl/>
        </w:rPr>
        <w:t xml:space="preserve"> منها قبل أن تموت فليس يحل</w:t>
      </w:r>
      <w:r w:rsidRPr="006571AC">
        <w:rPr>
          <w:rFonts w:ascii="Arial" w:hAnsi="Arial" w:cs="DanaFajr" w:hint="cs"/>
          <w:sz w:val="28"/>
          <w:szCs w:val="28"/>
          <w:rtl/>
        </w:rPr>
        <w:t>ّ</w:t>
      </w:r>
      <w:r w:rsidRPr="006571AC">
        <w:rPr>
          <w:rFonts w:ascii="Arial" w:hAnsi="Arial" w:cs="DanaFajr"/>
          <w:sz w:val="28"/>
          <w:szCs w:val="28"/>
          <w:rtl/>
        </w:rPr>
        <w:t xml:space="preserve"> أكلها</w:t>
      </w:r>
      <w:r w:rsidRPr="006571AC">
        <w:rPr>
          <w:rFonts w:hint="eastAsia"/>
          <w:sz w:val="22"/>
          <w:szCs w:val="22"/>
          <w:rtl/>
        </w:rPr>
        <w:t>»</w:t>
      </w:r>
      <w:r w:rsidRPr="006571AC">
        <w:rPr>
          <w:rFonts w:ascii="Arial" w:hAnsi="Arial" w:cs="DanaFajr" w:hint="cs"/>
          <w:sz w:val="28"/>
          <w:szCs w:val="28"/>
          <w:rtl/>
        </w:rPr>
        <w:t>.</w:t>
      </w:r>
      <w:r w:rsidRPr="006571AC">
        <w:rPr>
          <w:rFonts w:ascii="Arial" w:hAnsi="Arial" w:cs="DanaFajr"/>
          <w:sz w:val="28"/>
          <w:szCs w:val="28"/>
          <w:rtl/>
        </w:rPr>
        <w:t xml:space="preserve"> </w:t>
      </w:r>
      <w:r w:rsidRPr="006571AC">
        <w:rPr>
          <w:rFonts w:ascii="Arial" w:hAnsi="Arial" w:cs="DanaFajr" w:hint="cs"/>
          <w:sz w:val="28"/>
          <w:szCs w:val="28"/>
          <w:rtl/>
        </w:rPr>
        <w:t xml:space="preserve">تهذيب الأحكام 9: 59. </w:t>
      </w:r>
      <w:r w:rsidRPr="006571AC">
        <w:rPr>
          <w:rFonts w:ascii="Arial" w:hAnsi="Arial" w:cs="DanaFajr"/>
          <w:sz w:val="28"/>
          <w:szCs w:val="28"/>
          <w:rtl/>
        </w:rPr>
        <w:t>وقد أفتى بعض الفقهاء بحرمة سلخ الذبيحة قبل موتها</w:t>
      </w:r>
      <w:r w:rsidRPr="006571AC">
        <w:rPr>
          <w:rFonts w:ascii="Arial" w:hAnsi="Arial" w:cs="DanaFajr" w:hint="cs"/>
          <w:sz w:val="28"/>
          <w:szCs w:val="28"/>
          <w:rtl/>
        </w:rPr>
        <w:t>.</w:t>
      </w:r>
      <w:r w:rsidRPr="006571AC">
        <w:rPr>
          <w:rFonts w:ascii="Arial" w:hAnsi="Arial" w:cs="DanaFajr"/>
          <w:sz w:val="28"/>
          <w:szCs w:val="28"/>
          <w:rtl/>
        </w:rPr>
        <w:t xml:space="preserve"> لكنْ قال المجلسي: </w:t>
      </w:r>
      <w:r w:rsidRPr="006571AC">
        <w:rPr>
          <w:rFonts w:hint="eastAsia"/>
          <w:sz w:val="22"/>
          <w:szCs w:val="22"/>
          <w:rtl/>
        </w:rPr>
        <w:t>«</w:t>
      </w:r>
      <w:r w:rsidRPr="006571AC">
        <w:rPr>
          <w:rFonts w:ascii="Arial" w:hAnsi="Arial" w:cs="DanaFajr"/>
          <w:sz w:val="28"/>
          <w:szCs w:val="28"/>
          <w:rtl/>
        </w:rPr>
        <w:t>والأقوى الكراهة</w:t>
      </w:r>
      <w:r w:rsidRPr="006571AC">
        <w:rPr>
          <w:rFonts w:ascii="Arial" w:hAnsi="Arial" w:cs="DanaFajr" w:hint="cs"/>
          <w:sz w:val="28"/>
          <w:szCs w:val="28"/>
          <w:rtl/>
        </w:rPr>
        <w:t>،</w:t>
      </w:r>
      <w:r w:rsidRPr="006571AC">
        <w:rPr>
          <w:rFonts w:ascii="Arial" w:hAnsi="Arial" w:cs="DanaFajr"/>
          <w:sz w:val="28"/>
          <w:szCs w:val="28"/>
          <w:rtl/>
        </w:rPr>
        <w:t xml:space="preserve"> وهو قول الأكثر</w:t>
      </w:r>
      <w:r w:rsidRPr="006571AC">
        <w:rPr>
          <w:rFonts w:ascii="Arial" w:hAnsi="Arial" w:cs="DanaFajr" w:hint="cs"/>
          <w:sz w:val="28"/>
          <w:szCs w:val="28"/>
          <w:rtl/>
        </w:rPr>
        <w:t>؛</w:t>
      </w:r>
      <w:r w:rsidRPr="006571AC">
        <w:rPr>
          <w:rFonts w:ascii="Arial" w:hAnsi="Arial" w:cs="DanaFajr"/>
          <w:sz w:val="28"/>
          <w:szCs w:val="28"/>
          <w:rtl/>
        </w:rPr>
        <w:t xml:space="preserve"> للأصل</w:t>
      </w:r>
      <w:r w:rsidRPr="006571AC">
        <w:rPr>
          <w:rFonts w:ascii="Arial" w:hAnsi="Arial" w:cs="DanaFajr" w:hint="cs"/>
          <w:sz w:val="28"/>
          <w:szCs w:val="28"/>
          <w:rtl/>
        </w:rPr>
        <w:t>؛</w:t>
      </w:r>
      <w:r w:rsidRPr="006571AC">
        <w:rPr>
          <w:rFonts w:ascii="Arial" w:hAnsi="Arial" w:cs="DanaFajr"/>
          <w:sz w:val="28"/>
          <w:szCs w:val="28"/>
          <w:rtl/>
        </w:rPr>
        <w:t xml:space="preserve"> وضعف الرواية بال</w:t>
      </w:r>
      <w:r w:rsidRPr="006571AC">
        <w:rPr>
          <w:rFonts w:ascii="Arial" w:hAnsi="Arial" w:cs="DanaFajr" w:hint="cs"/>
          <w:sz w:val="28"/>
          <w:szCs w:val="28"/>
          <w:rtl/>
        </w:rPr>
        <w:t>إ</w:t>
      </w:r>
      <w:r w:rsidRPr="006571AC">
        <w:rPr>
          <w:rFonts w:ascii="Arial" w:hAnsi="Arial" w:cs="DanaFajr"/>
          <w:sz w:val="28"/>
          <w:szCs w:val="28"/>
          <w:rtl/>
        </w:rPr>
        <w:t>رسال، فلا يصلح دليلا</w:t>
      </w:r>
      <w:r w:rsidRPr="006571AC">
        <w:rPr>
          <w:rFonts w:ascii="Arial" w:hAnsi="Arial" w:cs="DanaFajr" w:hint="cs"/>
          <w:sz w:val="28"/>
          <w:szCs w:val="28"/>
          <w:rtl/>
        </w:rPr>
        <w:t>ً</w:t>
      </w:r>
      <w:r w:rsidRPr="006571AC">
        <w:rPr>
          <w:rFonts w:ascii="Arial" w:hAnsi="Arial" w:cs="DanaFajr"/>
          <w:sz w:val="28"/>
          <w:szCs w:val="28"/>
          <w:rtl/>
        </w:rPr>
        <w:t xml:space="preserve"> على التحريم، بل الكراهة</w:t>
      </w:r>
      <w:r w:rsidRPr="006571AC">
        <w:rPr>
          <w:rFonts w:ascii="Arial" w:hAnsi="Arial" w:cs="DanaFajr" w:hint="cs"/>
          <w:sz w:val="28"/>
          <w:szCs w:val="28"/>
          <w:rtl/>
        </w:rPr>
        <w:t>؛</w:t>
      </w:r>
      <w:r w:rsidRPr="006571AC">
        <w:rPr>
          <w:rFonts w:ascii="Arial" w:hAnsi="Arial" w:cs="DanaFajr"/>
          <w:sz w:val="28"/>
          <w:szCs w:val="28"/>
          <w:rtl/>
        </w:rPr>
        <w:t xml:space="preserve"> للتسامح في دليلها</w:t>
      </w:r>
      <w:r w:rsidRPr="006571AC">
        <w:rPr>
          <w:rFonts w:hint="eastAsia"/>
          <w:sz w:val="22"/>
          <w:szCs w:val="22"/>
          <w:rtl/>
        </w:rPr>
        <w:t>»</w:t>
      </w:r>
      <w:r w:rsidRPr="006571AC">
        <w:rPr>
          <w:rFonts w:ascii="Arial" w:hAnsi="Arial" w:cs="DanaFajr" w:hint="cs"/>
          <w:sz w:val="28"/>
          <w:szCs w:val="28"/>
          <w:rtl/>
        </w:rPr>
        <w:t>.</w:t>
      </w:r>
      <w:r w:rsidRPr="006571AC">
        <w:rPr>
          <w:rFonts w:ascii="Arial" w:hAnsi="Arial" w:cs="DanaFajr"/>
          <w:sz w:val="28"/>
          <w:szCs w:val="28"/>
          <w:rtl/>
        </w:rPr>
        <w:t xml:space="preserve"> بحار الأنوار 62: 302. </w:t>
      </w:r>
    </w:p>
  </w:endnote>
  <w:endnote w:id="654">
    <w:p w:rsidR="00DB2356" w:rsidRPr="006571AC" w:rsidRDefault="00DB2356" w:rsidP="00864FC3">
      <w:pPr>
        <w:pStyle w:val="aa"/>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قال السيد الكلب</w:t>
      </w:r>
      <w:r w:rsidRPr="006571AC">
        <w:rPr>
          <w:rFonts w:ascii="Arial" w:hAnsi="Arial" w:cs="DanaFajr" w:hint="cs"/>
          <w:sz w:val="28"/>
          <w:szCs w:val="28"/>
          <w:rtl/>
        </w:rPr>
        <w:t>ا</w:t>
      </w:r>
      <w:r w:rsidRPr="006571AC">
        <w:rPr>
          <w:rFonts w:ascii="Arial" w:hAnsi="Arial" w:cs="DanaFajr"/>
          <w:sz w:val="28"/>
          <w:szCs w:val="28"/>
          <w:rtl/>
        </w:rPr>
        <w:t xml:space="preserve">يكاني: </w:t>
      </w:r>
      <w:r w:rsidRPr="006571AC">
        <w:rPr>
          <w:rFonts w:hint="eastAsia"/>
          <w:sz w:val="22"/>
          <w:szCs w:val="22"/>
          <w:rtl/>
        </w:rPr>
        <w:t>«</w:t>
      </w:r>
      <w:r w:rsidRPr="006571AC">
        <w:rPr>
          <w:rFonts w:ascii="Arial" w:hAnsi="Arial" w:cs="DanaFajr"/>
          <w:sz w:val="28"/>
          <w:szCs w:val="28"/>
          <w:rtl/>
          <w:lang w:bidi="ar-LB"/>
        </w:rPr>
        <w:t>قاعدة التسامح جارية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 وفي المكروهات</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رجاء</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لدرك ثواب تركها</w:t>
      </w:r>
      <w:r w:rsidRPr="006571AC">
        <w:rPr>
          <w:rFonts w:hint="eastAsia"/>
          <w:sz w:val="22"/>
          <w:szCs w:val="22"/>
          <w:rtl/>
        </w:rPr>
        <w:t>»</w:t>
      </w:r>
      <w:r w:rsidRPr="006571AC">
        <w:rPr>
          <w:rFonts w:ascii="Arial" w:hAnsi="Arial" w:cs="DanaFajr" w:hint="cs"/>
          <w:sz w:val="28"/>
          <w:szCs w:val="28"/>
          <w:rtl/>
          <w:lang w:bidi="ar-LB"/>
        </w:rPr>
        <w:t xml:space="preserve">. </w:t>
      </w:r>
      <w:r w:rsidRPr="006571AC">
        <w:rPr>
          <w:rFonts w:ascii="Arial" w:hAnsi="Arial" w:cs="DanaFajr"/>
          <w:sz w:val="28"/>
          <w:szCs w:val="28"/>
          <w:rtl/>
        </w:rPr>
        <w:t xml:space="preserve">إرشاد السائل، 201. </w:t>
      </w:r>
    </w:p>
  </w:endnote>
  <w:endnote w:id="655">
    <w:p w:rsidR="00DB2356" w:rsidRPr="006571AC" w:rsidRDefault="00DB2356" w:rsidP="00864FC3">
      <w:pPr>
        <w:pStyle w:val="aa"/>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قال الشيخ محمد بن الحسن </w:t>
      </w:r>
      <w:r w:rsidRPr="006571AC">
        <w:rPr>
          <w:rFonts w:ascii="Arial" w:hAnsi="Arial" w:cs="DanaFajr" w:hint="cs"/>
          <w:sz w:val="28"/>
          <w:szCs w:val="28"/>
          <w:rtl/>
        </w:rPr>
        <w:t>ا</w:t>
      </w:r>
      <w:r w:rsidRPr="006571AC">
        <w:rPr>
          <w:rFonts w:ascii="Arial" w:hAnsi="Arial" w:cs="DanaFajr"/>
          <w:sz w:val="28"/>
          <w:szCs w:val="28"/>
          <w:rtl/>
        </w:rPr>
        <w:t xml:space="preserve">بن الشهيد: </w:t>
      </w:r>
      <w:r w:rsidRPr="006571AC">
        <w:rPr>
          <w:rFonts w:hint="eastAsia"/>
          <w:sz w:val="22"/>
          <w:szCs w:val="22"/>
          <w:rtl/>
        </w:rPr>
        <w:t>«</w:t>
      </w:r>
      <w:r w:rsidRPr="006571AC">
        <w:rPr>
          <w:rFonts w:ascii="Arial" w:hAnsi="Arial" w:cs="DanaFajr"/>
          <w:sz w:val="28"/>
          <w:szCs w:val="28"/>
          <w:rtl/>
        </w:rPr>
        <w:t>والتساهل في أدلة الكراهة محلّ</w:t>
      </w:r>
      <w:r w:rsidRPr="006571AC">
        <w:rPr>
          <w:rFonts w:ascii="Arial" w:hAnsi="Arial" w:cs="DanaFajr" w:hint="cs"/>
          <w:sz w:val="28"/>
          <w:szCs w:val="28"/>
          <w:rtl/>
        </w:rPr>
        <w:t>ُ</w:t>
      </w:r>
      <w:r w:rsidRPr="006571AC">
        <w:rPr>
          <w:rFonts w:ascii="Arial" w:hAnsi="Arial" w:cs="DanaFajr"/>
          <w:sz w:val="28"/>
          <w:szCs w:val="28"/>
          <w:rtl/>
        </w:rPr>
        <w:t xml:space="preserve"> تأمّ</w:t>
      </w:r>
      <w:r w:rsidRPr="006571AC">
        <w:rPr>
          <w:rFonts w:ascii="Arial" w:hAnsi="Arial" w:cs="DanaFajr" w:hint="cs"/>
          <w:sz w:val="28"/>
          <w:szCs w:val="28"/>
          <w:rtl/>
        </w:rPr>
        <w:t>ُ</w:t>
      </w:r>
      <w:r w:rsidRPr="006571AC">
        <w:rPr>
          <w:rFonts w:ascii="Arial" w:hAnsi="Arial" w:cs="DanaFajr"/>
          <w:sz w:val="28"/>
          <w:szCs w:val="28"/>
          <w:rtl/>
        </w:rPr>
        <w:t>ل</w:t>
      </w:r>
      <w:r w:rsidRPr="006571AC">
        <w:rPr>
          <w:rFonts w:ascii="Arial" w:hAnsi="Arial" w:cs="DanaFajr" w:hint="cs"/>
          <w:sz w:val="28"/>
          <w:szCs w:val="28"/>
          <w:rtl/>
        </w:rPr>
        <w:t>ٍ</w:t>
      </w:r>
      <w:r w:rsidRPr="006571AC">
        <w:rPr>
          <w:rFonts w:hint="eastAsia"/>
          <w:sz w:val="22"/>
          <w:szCs w:val="22"/>
          <w:rtl/>
        </w:rPr>
        <w:t>»</w:t>
      </w:r>
      <w:r w:rsidRPr="006571AC">
        <w:rPr>
          <w:rFonts w:ascii="Arial" w:hAnsi="Arial" w:cs="DanaFajr" w:hint="cs"/>
          <w:sz w:val="28"/>
          <w:szCs w:val="28"/>
          <w:rtl/>
        </w:rPr>
        <w:t>.</w:t>
      </w:r>
      <w:r w:rsidRPr="006571AC">
        <w:rPr>
          <w:rFonts w:ascii="Arial" w:hAnsi="Arial" w:cs="DanaFajr"/>
          <w:sz w:val="28"/>
          <w:szCs w:val="28"/>
          <w:rtl/>
        </w:rPr>
        <w:t xml:space="preserve"> استقصاء الاعتبار في شرح الاستبصار 1: 127. </w:t>
      </w:r>
    </w:p>
  </w:endnote>
  <w:endnote w:id="656">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بداية الوصول في شرح كفاية الأصول 7: 38. </w:t>
      </w:r>
    </w:p>
  </w:endnote>
  <w:endnote w:id="657">
    <w:p w:rsidR="00DB2356" w:rsidRPr="006571AC" w:rsidRDefault="00DB2356" w:rsidP="00864FC3">
      <w:pPr>
        <w:spacing w:line="325" w:lineRule="exact"/>
        <w:ind w:firstLine="0"/>
        <w:rPr>
          <w:rFonts w:ascii="Arial" w:eastAsia="MS Mincho" w:hAnsi="Arial" w:cs="DanaFajr"/>
          <w:szCs w:val="28"/>
          <w:lang w:bidi="ar-LB"/>
        </w:rPr>
      </w:pPr>
      <w:r w:rsidRPr="006571AC">
        <w:rPr>
          <w:rFonts w:cs="DanaFajr"/>
          <w:szCs w:val="28"/>
          <w:rtl/>
        </w:rPr>
        <w:t>(</w:t>
      </w:r>
      <w:r w:rsidRPr="006571AC">
        <w:rPr>
          <w:rStyle w:val="ac"/>
          <w:rFonts w:cs="DanaFajr"/>
          <w:szCs w:val="28"/>
          <w:vertAlign w:val="baseline"/>
        </w:rPr>
        <w:endnoteRef/>
      </w:r>
      <w:r w:rsidRPr="006571AC">
        <w:rPr>
          <w:rFonts w:cs="DanaFajr"/>
          <w:szCs w:val="28"/>
          <w:rtl/>
        </w:rPr>
        <w:t xml:space="preserve">) </w:t>
      </w:r>
      <w:r w:rsidRPr="006571AC">
        <w:rPr>
          <w:rFonts w:ascii="Arial" w:eastAsia="MS Mincho" w:hAnsi="Arial" w:cs="DanaFajr" w:hint="cs"/>
          <w:szCs w:val="28"/>
          <w:rtl/>
          <w:lang w:bidi="ar-LB"/>
        </w:rPr>
        <w:t xml:space="preserve">وتجدر الإشارة إلى أنّنا لا نرفض الاستشهاد بروايات السنّة، بل يمكن الاستدلال بها في بعض الحالات، والاستشهاد بها في حالاتٍ أخرى، ولا سيَّما على مبنى الوثوق؛ فهي من أسباب تحصيل الوثوق. وقد أشَرْنا في كتاب فقه العلاقة مع الآخر المذهبي 1: 56 إلى أن فقهاء الشيعة قد تمسَّكوا بالعشرات من الروايات المروية من طرق السنّة، وحاولنا تفسير هذه الظاهرة. </w:t>
      </w:r>
    </w:p>
  </w:endnote>
  <w:endnote w:id="658">
    <w:p w:rsidR="00DB2356" w:rsidRPr="006571AC" w:rsidRDefault="00DB2356" w:rsidP="00864FC3">
      <w:pPr>
        <w:pStyle w:val="aa"/>
        <w:spacing w:line="325"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لنا كلامٌ في ذلك، ولا سيَّما على مبنى الوثوق، حيث إنّ بالإمكان الاستشهاد بها؛ لكونها تسهم في تحقيق الوثوق والاطمئنان. </w:t>
      </w:r>
    </w:p>
  </w:endnote>
  <w:endnote w:id="659">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وصول الأخيار إلى أصول الأخبار</w:t>
      </w:r>
      <w:r w:rsidRPr="006571AC">
        <w:rPr>
          <w:rFonts w:ascii="Arial" w:hAnsi="Arial" w:cs="DanaFajr" w:hint="cs"/>
          <w:sz w:val="28"/>
          <w:szCs w:val="28"/>
          <w:rtl/>
          <w:lang w:bidi="ar-LB"/>
        </w:rPr>
        <w:t xml:space="preserve">: </w:t>
      </w:r>
      <w:r w:rsidRPr="006571AC">
        <w:rPr>
          <w:rFonts w:ascii="Arial" w:hAnsi="Arial" w:cs="DanaFajr"/>
          <w:sz w:val="28"/>
          <w:szCs w:val="28"/>
          <w:rtl/>
          <w:lang w:bidi="ar-LB"/>
        </w:rPr>
        <w:t xml:space="preserve">94. </w:t>
      </w:r>
    </w:p>
  </w:endnote>
  <w:endnote w:id="660">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الرواشح السماوية: 189. </w:t>
      </w:r>
    </w:p>
  </w:endnote>
  <w:endnote w:id="661">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ذكرى الشيعة 1: 448. </w:t>
      </w:r>
    </w:p>
  </w:endnote>
  <w:endnote w:id="662">
    <w:p w:rsidR="00DB2356" w:rsidRPr="006571AC" w:rsidRDefault="00DB2356" w:rsidP="00864FC3">
      <w:pPr>
        <w:pStyle w:val="aa"/>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الحبل المتين: 228. </w:t>
      </w:r>
    </w:p>
  </w:endnote>
  <w:endnote w:id="663">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بحار الأنوار 72: 236. </w:t>
      </w:r>
    </w:p>
  </w:endnote>
  <w:endnote w:id="664">
    <w:p w:rsidR="00DB2356" w:rsidRPr="006571AC" w:rsidRDefault="00DB2356" w:rsidP="00864FC3">
      <w:pPr>
        <w:pStyle w:val="aa"/>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الذريعة</w:t>
      </w:r>
      <w:r w:rsidRPr="006571AC">
        <w:rPr>
          <w:rFonts w:ascii="Arial" w:hAnsi="Arial" w:cs="DanaFajr" w:hint="cs"/>
          <w:sz w:val="28"/>
          <w:szCs w:val="28"/>
          <w:rtl/>
        </w:rPr>
        <w:t xml:space="preserve"> إلى تصانيف الشيعة</w:t>
      </w:r>
      <w:r w:rsidRPr="006571AC">
        <w:rPr>
          <w:rFonts w:ascii="Arial" w:hAnsi="Arial" w:cs="DanaFajr"/>
          <w:sz w:val="28"/>
          <w:szCs w:val="28"/>
          <w:rtl/>
        </w:rPr>
        <w:t xml:space="preserve"> 2: 279. </w:t>
      </w:r>
    </w:p>
  </w:endnote>
  <w:endnote w:id="665">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مجمع الأفكار ومطرح الأنظار </w:t>
      </w:r>
      <w:r w:rsidRPr="006571AC">
        <w:rPr>
          <w:rFonts w:ascii="Arial" w:hAnsi="Arial" w:cs="DanaFajr" w:hint="cs"/>
          <w:sz w:val="28"/>
          <w:szCs w:val="28"/>
          <w:rtl/>
          <w:lang w:bidi="ar-LB"/>
        </w:rPr>
        <w:t>(</w:t>
      </w:r>
      <w:r w:rsidRPr="006571AC">
        <w:rPr>
          <w:rFonts w:ascii="Arial" w:hAnsi="Arial" w:cs="DanaFajr"/>
          <w:sz w:val="28"/>
          <w:szCs w:val="28"/>
          <w:rtl/>
          <w:lang w:bidi="ar-LB"/>
        </w:rPr>
        <w:t>من تقريرات درس الميرزا هاشم الآملي</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3: 378. </w:t>
      </w:r>
      <w:r w:rsidRPr="006571AC">
        <w:rPr>
          <w:rFonts w:ascii="Arial" w:hAnsi="Arial" w:cs="DanaFajr" w:hint="cs"/>
          <w:sz w:val="28"/>
          <w:szCs w:val="28"/>
          <w:rtl/>
          <w:lang w:bidi="ar-LB"/>
        </w:rPr>
        <w:t xml:space="preserve">ولكنّه علّق عليه: </w:t>
      </w:r>
      <w:r w:rsidRPr="006571AC">
        <w:rPr>
          <w:rFonts w:hint="eastAsia"/>
          <w:sz w:val="22"/>
          <w:szCs w:val="22"/>
          <w:rtl/>
          <w:lang w:bidi="ar-LB"/>
        </w:rPr>
        <w:t>«</w:t>
      </w:r>
      <w:r w:rsidRPr="006571AC">
        <w:rPr>
          <w:rFonts w:ascii="Arial" w:hAnsi="Arial" w:cs="DanaFajr" w:hint="cs"/>
          <w:sz w:val="28"/>
          <w:szCs w:val="28"/>
          <w:rtl/>
          <w:lang w:bidi="ar-LB"/>
        </w:rPr>
        <w:t>ولكنْ يُشكل ذلك إنْ كان النقل بنحو العلم بالمخبر به</w:t>
      </w:r>
      <w:r w:rsidRPr="006571AC">
        <w:rPr>
          <w:rFonts w:hint="eastAsia"/>
          <w:sz w:val="22"/>
          <w:szCs w:val="22"/>
          <w:rtl/>
        </w:rPr>
        <w:t>»</w:t>
      </w:r>
      <w:r w:rsidRPr="006571AC">
        <w:rPr>
          <w:rFonts w:ascii="Arial" w:hAnsi="Arial" w:cs="DanaFajr" w:hint="cs"/>
          <w:sz w:val="28"/>
          <w:szCs w:val="28"/>
          <w:rtl/>
          <w:lang w:bidi="ar-LB"/>
        </w:rPr>
        <w:t xml:space="preserve">. </w:t>
      </w:r>
    </w:p>
  </w:endnote>
  <w:endnote w:id="666">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قال الشهيد الثاني: </w:t>
      </w:r>
      <w:r w:rsidRPr="006571AC">
        <w:rPr>
          <w:rFonts w:hint="eastAsia"/>
          <w:sz w:val="22"/>
          <w:szCs w:val="22"/>
          <w:rtl/>
          <w:lang w:bidi="ar-LB"/>
        </w:rPr>
        <w:t>«</w:t>
      </w:r>
      <w:r w:rsidRPr="006571AC">
        <w:rPr>
          <w:rFonts w:ascii="Arial" w:hAnsi="Arial" w:cs="DanaFajr"/>
          <w:sz w:val="28"/>
          <w:szCs w:val="28"/>
          <w:rtl/>
          <w:lang w:bidi="ar-LB"/>
        </w:rPr>
        <w:t>ومريد</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رواية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حديث</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ضعيف</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أو مشكوك</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في صح</w:t>
      </w:r>
      <w:r w:rsidRPr="006571AC">
        <w:rPr>
          <w:rFonts w:ascii="Arial" w:hAnsi="Arial" w:cs="DanaFajr" w:hint="cs"/>
          <w:sz w:val="28"/>
          <w:szCs w:val="28"/>
          <w:rtl/>
          <w:lang w:bidi="ar-LB"/>
        </w:rPr>
        <w:t>ت</w:t>
      </w:r>
      <w:r w:rsidRPr="006571AC">
        <w:rPr>
          <w:rFonts w:ascii="Arial" w:hAnsi="Arial" w:cs="DanaFajr"/>
          <w:sz w:val="28"/>
          <w:szCs w:val="28"/>
          <w:rtl/>
          <w:lang w:bidi="ar-LB"/>
        </w:rPr>
        <w:t>ه، بغير إسناد</w:t>
      </w:r>
      <w:r w:rsidRPr="006571AC">
        <w:rPr>
          <w:rFonts w:ascii="Arial" w:hAnsi="Arial" w:cs="DanaFajr" w:hint="cs"/>
          <w:sz w:val="28"/>
          <w:szCs w:val="28"/>
          <w:rtl/>
          <w:lang w:bidi="ar-LB"/>
        </w:rPr>
        <w:t>ٍ</w:t>
      </w:r>
      <w:r w:rsidRPr="006571AC">
        <w:rPr>
          <w:rFonts w:ascii="Arial" w:hAnsi="Arial" w:cs="DanaFajr"/>
          <w:sz w:val="28"/>
          <w:szCs w:val="28"/>
          <w:rtl/>
          <w:lang w:bidi="ar-LB"/>
        </w:rPr>
        <w:t>، يقول: ر</w:t>
      </w:r>
      <w:r w:rsidRPr="006571AC">
        <w:rPr>
          <w:rFonts w:ascii="Arial" w:hAnsi="Arial" w:cs="DanaFajr" w:hint="cs"/>
          <w:sz w:val="28"/>
          <w:szCs w:val="28"/>
          <w:rtl/>
          <w:lang w:bidi="ar-LB"/>
        </w:rPr>
        <w:t>ُ</w:t>
      </w:r>
      <w:r w:rsidRPr="006571AC">
        <w:rPr>
          <w:rFonts w:ascii="Arial" w:hAnsi="Arial" w:cs="DanaFajr"/>
          <w:sz w:val="28"/>
          <w:szCs w:val="28"/>
          <w:rtl/>
          <w:lang w:bidi="ar-LB"/>
        </w:rPr>
        <w:t>وي</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أو بلغنا، أو ورد، وجاء</w:t>
      </w:r>
      <w:r w:rsidRPr="006571AC">
        <w:rPr>
          <w:rFonts w:ascii="Arial" w:hAnsi="Arial" w:cs="DanaFajr" w:hint="cs"/>
          <w:sz w:val="28"/>
          <w:szCs w:val="28"/>
          <w:rtl/>
          <w:lang w:bidi="ar-LB"/>
        </w:rPr>
        <w:t xml:space="preserve">، </w:t>
      </w:r>
      <w:r w:rsidRPr="006571AC">
        <w:rPr>
          <w:rFonts w:ascii="Arial" w:hAnsi="Arial" w:cs="DanaFajr"/>
          <w:sz w:val="28"/>
          <w:szCs w:val="28"/>
          <w:rtl/>
          <w:lang w:bidi="ar-LB"/>
        </w:rPr>
        <w:t>ونحوه من صيغ التمريض. ولا يذكره بصيغة الج</w:t>
      </w:r>
      <w:r w:rsidRPr="006571AC">
        <w:rPr>
          <w:rFonts w:ascii="Arial" w:hAnsi="Arial" w:cs="DanaFajr" w:hint="cs"/>
          <w:sz w:val="28"/>
          <w:szCs w:val="28"/>
          <w:rtl/>
          <w:lang w:bidi="ar-LB"/>
        </w:rPr>
        <w:t>َ</w:t>
      </w:r>
      <w:r w:rsidRPr="006571AC">
        <w:rPr>
          <w:rFonts w:ascii="Arial" w:hAnsi="Arial" w:cs="DanaFajr"/>
          <w:sz w:val="28"/>
          <w:szCs w:val="28"/>
          <w:rtl/>
          <w:lang w:bidi="ar-LB"/>
        </w:rPr>
        <w:t>ز</w:t>
      </w:r>
      <w:r w:rsidRPr="006571AC">
        <w:rPr>
          <w:rFonts w:ascii="Arial" w:hAnsi="Arial" w:cs="DanaFajr" w:hint="cs"/>
          <w:sz w:val="28"/>
          <w:szCs w:val="28"/>
          <w:rtl/>
          <w:lang w:bidi="ar-LB"/>
        </w:rPr>
        <w:t>ْ</w:t>
      </w:r>
      <w:r w:rsidRPr="006571AC">
        <w:rPr>
          <w:rFonts w:ascii="Arial" w:hAnsi="Arial" w:cs="DanaFajr"/>
          <w:sz w:val="28"/>
          <w:szCs w:val="28"/>
          <w:rtl/>
          <w:lang w:bidi="ar-LB"/>
        </w:rPr>
        <w:t>م، ك</w:t>
      </w:r>
      <w:r w:rsidRPr="006571AC">
        <w:rPr>
          <w:rFonts w:ascii="Arial" w:hAnsi="Arial" w:cs="DanaFajr" w:hint="cs"/>
          <w:sz w:val="28"/>
          <w:szCs w:val="28"/>
          <w:rtl/>
          <w:lang w:bidi="ar-LB"/>
        </w:rPr>
        <w:t xml:space="preserve">ـ: </w:t>
      </w:r>
      <w:r w:rsidRPr="006571AC">
        <w:rPr>
          <w:rFonts w:ascii="Arial" w:hAnsi="Arial" w:cs="DanaFajr"/>
          <w:sz w:val="28"/>
          <w:szCs w:val="28"/>
          <w:rtl/>
          <w:lang w:bidi="ar-LB"/>
        </w:rPr>
        <w:t>قال رسول الله</w:t>
      </w:r>
      <w:r w:rsidRPr="006571AC">
        <w:rPr>
          <w:rFonts w:ascii="Mosawi" w:hAnsi="Mosawi" w:cs="Mosawi"/>
          <w:rtl/>
        </w:rPr>
        <w:t>|</w:t>
      </w:r>
      <w:r w:rsidRPr="006571AC">
        <w:rPr>
          <w:rFonts w:ascii="Arial" w:hAnsi="Arial" w:cs="DanaFajr"/>
          <w:sz w:val="28"/>
          <w:szCs w:val="28"/>
          <w:rtl/>
          <w:lang w:bidi="ar-LB"/>
        </w:rPr>
        <w:t>، وفعل، ونحوها من الألفاظ الجازمة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إذ ليس ثم</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ما يوجب الجزم</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الرعاية في علم الدراية: 165. </w:t>
      </w:r>
    </w:p>
  </w:endnote>
  <w:endnote w:id="667">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صراط النجاة 1: 440. </w:t>
      </w:r>
    </w:p>
  </w:endnote>
  <w:endnote w:id="668">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مجمع الأفكار ومطرح الأنظار </w:t>
      </w:r>
      <w:r w:rsidRPr="006571AC">
        <w:rPr>
          <w:rFonts w:ascii="Arial" w:hAnsi="Arial" w:cs="DanaFajr" w:hint="cs"/>
          <w:sz w:val="28"/>
          <w:szCs w:val="28"/>
          <w:rtl/>
          <w:lang w:bidi="ar-LB"/>
        </w:rPr>
        <w:t>(</w:t>
      </w:r>
      <w:r w:rsidRPr="006571AC">
        <w:rPr>
          <w:rFonts w:ascii="Arial" w:hAnsi="Arial" w:cs="DanaFajr"/>
          <w:sz w:val="28"/>
          <w:szCs w:val="28"/>
          <w:rtl/>
          <w:lang w:bidi="ar-LB"/>
        </w:rPr>
        <w:t>من تقريرات درس الميرزا هاشم الآملي</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3: 378. </w:t>
      </w:r>
    </w:p>
  </w:endnote>
  <w:endnote w:id="669">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الرعاية في علم الدراية: 94. </w:t>
      </w:r>
    </w:p>
  </w:endnote>
  <w:endnote w:id="670">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رسائل فقهية: 158. </w:t>
      </w:r>
    </w:p>
  </w:endnote>
  <w:endnote w:id="671">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المحكم في أصول الفقه 4: 160. </w:t>
      </w:r>
    </w:p>
  </w:endnote>
  <w:endnote w:id="672">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نهاية الدراية 2: 546. </w:t>
      </w:r>
    </w:p>
  </w:endnote>
  <w:endnote w:id="673">
    <w:p w:rsidR="00DB2356" w:rsidRPr="006571AC" w:rsidRDefault="00DB2356" w:rsidP="00864FC3">
      <w:pPr>
        <w:pStyle w:val="afffffff7"/>
        <w:spacing w:line="325" w:lineRule="exact"/>
        <w:ind w:left="0" w:firstLine="0"/>
        <w:jc w:val="both"/>
        <w:rPr>
          <w:rFonts w:cs="DanaFajr"/>
          <w:sz w:val="28"/>
          <w:szCs w:val="28"/>
          <w:rtl/>
        </w:rPr>
      </w:pPr>
      <w:r w:rsidRPr="006571AC">
        <w:rPr>
          <w:rFonts w:cs="DanaFajr"/>
          <w:sz w:val="28"/>
          <w:szCs w:val="28"/>
          <w:rtl/>
        </w:rPr>
        <w:t>(</w:t>
      </w:r>
      <w:r w:rsidRPr="006571AC">
        <w:rPr>
          <w:rFonts w:cs="DanaFajr"/>
          <w:sz w:val="28"/>
          <w:szCs w:val="28"/>
          <w:rtl/>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انظر: أنوار الولاية</w:t>
      </w:r>
      <w:r w:rsidRPr="006571AC">
        <w:rPr>
          <w:rFonts w:cs="DanaFajr" w:hint="cs"/>
          <w:sz w:val="28"/>
          <w:szCs w:val="28"/>
          <w:rtl/>
        </w:rPr>
        <w:t xml:space="preserve">: </w:t>
      </w:r>
      <w:r w:rsidRPr="006571AC">
        <w:rPr>
          <w:rFonts w:cs="DanaFajr"/>
          <w:sz w:val="28"/>
          <w:szCs w:val="28"/>
          <w:rtl/>
        </w:rPr>
        <w:t xml:space="preserve">27. </w:t>
      </w:r>
    </w:p>
  </w:endnote>
  <w:endnote w:id="674">
    <w:p w:rsidR="00DB2356" w:rsidRPr="006571AC" w:rsidRDefault="00DB2356" w:rsidP="00864FC3">
      <w:pPr>
        <w:pStyle w:val="aa"/>
        <w:spacing w:line="325"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Arial" w:hAnsi="Arial" w:cs="DanaFajr"/>
          <w:sz w:val="28"/>
          <w:szCs w:val="28"/>
          <w:rtl/>
        </w:rPr>
        <w:t>انظر: منتخب الأثر في الإمام الثاني عشر</w:t>
      </w:r>
      <w:r w:rsidRPr="006571AC">
        <w:rPr>
          <w:rFonts w:ascii="Mosawi" w:hAnsi="Mosawi" w:cs="Mosawi"/>
          <w:rtl/>
        </w:rPr>
        <w:t>×</w:t>
      </w:r>
      <w:r w:rsidRPr="006571AC">
        <w:rPr>
          <w:rFonts w:ascii="Arial" w:hAnsi="Arial" w:cs="DanaFajr"/>
          <w:sz w:val="28"/>
          <w:szCs w:val="28"/>
          <w:rtl/>
        </w:rPr>
        <w:t xml:space="preserve"> 3</w:t>
      </w:r>
      <w:r w:rsidRPr="006571AC">
        <w:rPr>
          <w:rFonts w:ascii="Arial" w:hAnsi="Arial" w:cs="DanaFajr" w:hint="cs"/>
          <w:sz w:val="28"/>
          <w:szCs w:val="28"/>
          <w:rtl/>
        </w:rPr>
        <w:t xml:space="preserve">: </w:t>
      </w:r>
      <w:r w:rsidRPr="006571AC">
        <w:rPr>
          <w:rFonts w:ascii="Arial" w:hAnsi="Arial" w:cs="DanaFajr"/>
          <w:sz w:val="28"/>
          <w:szCs w:val="28"/>
          <w:rtl/>
        </w:rPr>
        <w:t xml:space="preserve">265. </w:t>
      </w:r>
    </w:p>
  </w:endnote>
  <w:endnote w:id="675">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نهاية الدراية 2: 546. </w:t>
      </w:r>
    </w:p>
  </w:endnote>
  <w:endnote w:id="676">
    <w:p w:rsidR="00DB2356" w:rsidRPr="006571AC" w:rsidRDefault="00DB2356" w:rsidP="00864FC3">
      <w:pPr>
        <w:pStyle w:val="aa"/>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دعوة إلى الإصلاح الديني والثقافي: 85، المجمع العالمي لأهل البيت</w:t>
      </w:r>
      <w:r w:rsidRPr="006571AC">
        <w:rPr>
          <w:rFonts w:ascii="Mosawi" w:hAnsi="Mosawi" w:cs="Mosawi"/>
          <w:rtl/>
        </w:rPr>
        <w:t>^</w:t>
      </w:r>
      <w:r w:rsidRPr="006571AC">
        <w:rPr>
          <w:rFonts w:ascii="Arial" w:hAnsi="Arial" w:cs="DanaFajr" w:hint="cs"/>
          <w:sz w:val="28"/>
          <w:szCs w:val="28"/>
          <w:rtl/>
        </w:rPr>
        <w:t>،</w:t>
      </w:r>
      <w:r w:rsidRPr="006571AC">
        <w:rPr>
          <w:rFonts w:ascii="Arial" w:hAnsi="Arial" w:cs="DanaFajr"/>
          <w:sz w:val="28"/>
          <w:szCs w:val="28"/>
          <w:rtl/>
        </w:rPr>
        <w:t xml:space="preserve"> ط1، 1427هـ</w:t>
      </w:r>
      <w:r w:rsidRPr="006571AC">
        <w:rPr>
          <w:rFonts w:ascii="Arial" w:hAnsi="Arial" w:cs="DanaFajr" w:hint="cs"/>
          <w:sz w:val="28"/>
          <w:szCs w:val="28"/>
          <w:rtl/>
        </w:rPr>
        <w:t>.</w:t>
      </w:r>
      <w:r w:rsidRPr="006571AC">
        <w:rPr>
          <w:rFonts w:ascii="Arial" w:hAnsi="Arial" w:cs="DanaFajr"/>
          <w:sz w:val="28"/>
          <w:szCs w:val="28"/>
          <w:rtl/>
        </w:rPr>
        <w:t xml:space="preserve"> </w:t>
      </w:r>
    </w:p>
  </w:endnote>
  <w:endnote w:id="677">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رسائل فقهية: 157. </w:t>
      </w:r>
    </w:p>
  </w:endnote>
  <w:endnote w:id="678">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الأربعون حديثاً: 201 ـ 202. </w:t>
      </w:r>
    </w:p>
  </w:endnote>
  <w:endnote w:id="679">
    <w:p w:rsidR="00DB2356" w:rsidRPr="006571AC" w:rsidRDefault="00DB2356" w:rsidP="00864FC3">
      <w:pPr>
        <w:pStyle w:val="aa"/>
        <w:spacing w:line="325" w:lineRule="exact"/>
        <w:ind w:firstLine="0"/>
        <w:rPr>
          <w:rFonts w:cs="DanaFajr"/>
          <w:sz w:val="28"/>
          <w:szCs w:val="28"/>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w:t>
      </w:r>
      <w:r w:rsidRPr="006571AC">
        <w:rPr>
          <w:rFonts w:ascii="Arial" w:hAnsi="Arial" w:cs="DanaFajr"/>
          <w:sz w:val="28"/>
          <w:szCs w:val="28"/>
          <w:rtl/>
        </w:rPr>
        <w:t xml:space="preserve">نظر: </w:t>
      </w:r>
      <w:r w:rsidRPr="006571AC">
        <w:rPr>
          <w:rFonts w:ascii="Arial" w:hAnsi="Arial" w:cs="DanaFajr" w:hint="cs"/>
          <w:sz w:val="28"/>
          <w:szCs w:val="28"/>
          <w:rtl/>
        </w:rPr>
        <w:t xml:space="preserve">شرح أصول الكافي </w:t>
      </w:r>
      <w:r w:rsidRPr="006571AC">
        <w:rPr>
          <w:rFonts w:ascii="Arial" w:hAnsi="Arial" w:cs="DanaFajr"/>
          <w:sz w:val="28"/>
          <w:szCs w:val="28"/>
          <w:rtl/>
        </w:rPr>
        <w:t xml:space="preserve">8: 117. </w:t>
      </w:r>
    </w:p>
  </w:endnote>
  <w:endnote w:id="680">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قال: </w:t>
      </w:r>
      <w:r w:rsidRPr="006571AC">
        <w:rPr>
          <w:rFonts w:hint="eastAsia"/>
          <w:sz w:val="22"/>
          <w:szCs w:val="22"/>
          <w:rtl/>
          <w:lang w:bidi="ar-LB"/>
        </w:rPr>
        <w:t>«</w:t>
      </w:r>
      <w:r w:rsidRPr="006571AC">
        <w:rPr>
          <w:rFonts w:ascii="Arial" w:hAnsi="Arial" w:cs="DanaFajr"/>
          <w:sz w:val="28"/>
          <w:szCs w:val="28"/>
          <w:rtl/>
          <w:lang w:bidi="ar-LB"/>
        </w:rPr>
        <w:t>البُلُوغ والبَلا</w:t>
      </w:r>
      <w:r w:rsidRPr="006571AC">
        <w:rPr>
          <w:rFonts w:ascii="Arial" w:hAnsi="Arial" w:cs="DanaFajr" w:hint="cs"/>
          <w:sz w:val="28"/>
          <w:szCs w:val="28"/>
          <w:rtl/>
          <w:lang w:bidi="ar-LB"/>
        </w:rPr>
        <w:t>َ</w:t>
      </w:r>
      <w:r w:rsidRPr="006571AC">
        <w:rPr>
          <w:rFonts w:ascii="Arial" w:hAnsi="Arial" w:cs="DanaFajr"/>
          <w:sz w:val="28"/>
          <w:szCs w:val="28"/>
          <w:rtl/>
          <w:lang w:bidi="ar-LB"/>
        </w:rPr>
        <w:t>غ: الانتهاء إلى أقصى المقصد والمنتهى، مكانا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كان أو زمانا</w:t>
      </w:r>
      <w:r w:rsidRPr="006571AC">
        <w:rPr>
          <w:rFonts w:ascii="Arial" w:hAnsi="Arial" w:cs="DanaFajr" w:hint="cs"/>
          <w:sz w:val="28"/>
          <w:szCs w:val="28"/>
          <w:rtl/>
          <w:lang w:bidi="ar-LB"/>
        </w:rPr>
        <w:t>ً</w:t>
      </w:r>
      <w:r w:rsidRPr="006571AC">
        <w:rPr>
          <w:rFonts w:ascii="Arial" w:hAnsi="Arial" w:cs="DanaFajr"/>
          <w:sz w:val="28"/>
          <w:szCs w:val="28"/>
          <w:rtl/>
          <w:lang w:bidi="ar-LB"/>
        </w:rPr>
        <w:t>، أو أمرا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من الأمور المقدّ</w:t>
      </w:r>
      <w:r w:rsidRPr="006571AC">
        <w:rPr>
          <w:rFonts w:ascii="Arial" w:hAnsi="Arial" w:cs="DanaFajr" w:hint="cs"/>
          <w:sz w:val="28"/>
          <w:szCs w:val="28"/>
          <w:rtl/>
          <w:lang w:bidi="ar-LB"/>
        </w:rPr>
        <w:t>َ</w:t>
      </w:r>
      <w:r w:rsidRPr="006571AC">
        <w:rPr>
          <w:rFonts w:ascii="Arial" w:hAnsi="Arial" w:cs="DanaFajr"/>
          <w:sz w:val="28"/>
          <w:szCs w:val="28"/>
          <w:rtl/>
          <w:lang w:bidi="ar-LB"/>
        </w:rPr>
        <w:t>رة، ور</w:t>
      </w:r>
      <w:r w:rsidRPr="006571AC">
        <w:rPr>
          <w:rFonts w:ascii="Arial" w:hAnsi="Arial" w:cs="DanaFajr" w:hint="cs"/>
          <w:sz w:val="28"/>
          <w:szCs w:val="28"/>
          <w:rtl/>
          <w:lang w:bidi="ar-LB"/>
        </w:rPr>
        <w:t>ُ</w:t>
      </w:r>
      <w:r w:rsidRPr="006571AC">
        <w:rPr>
          <w:rFonts w:ascii="Arial" w:hAnsi="Arial" w:cs="DanaFajr"/>
          <w:sz w:val="28"/>
          <w:szCs w:val="28"/>
          <w:rtl/>
          <w:lang w:bidi="ar-LB"/>
        </w:rPr>
        <w:t>ب</w:t>
      </w:r>
      <w:r w:rsidRPr="006571AC">
        <w:rPr>
          <w:rFonts w:ascii="Arial" w:hAnsi="Arial" w:cs="DanaFajr" w:hint="cs"/>
          <w:sz w:val="28"/>
          <w:szCs w:val="28"/>
          <w:rtl/>
          <w:lang w:bidi="ar-LB"/>
        </w:rPr>
        <w:t>َ</w:t>
      </w:r>
      <w:r w:rsidRPr="006571AC">
        <w:rPr>
          <w:rFonts w:ascii="Arial" w:hAnsi="Arial" w:cs="DanaFajr"/>
          <w:sz w:val="28"/>
          <w:szCs w:val="28"/>
          <w:rtl/>
          <w:lang w:bidi="ar-LB"/>
        </w:rPr>
        <w:t>ما يعبّ</w:t>
      </w:r>
      <w:r w:rsidRPr="006571AC">
        <w:rPr>
          <w:rFonts w:ascii="Arial" w:hAnsi="Arial" w:cs="DanaFajr" w:hint="cs"/>
          <w:sz w:val="28"/>
          <w:szCs w:val="28"/>
          <w:rtl/>
          <w:lang w:bidi="ar-LB"/>
        </w:rPr>
        <w:t>َ</w:t>
      </w:r>
      <w:r w:rsidRPr="006571AC">
        <w:rPr>
          <w:rFonts w:ascii="Arial" w:hAnsi="Arial" w:cs="DanaFajr"/>
          <w:sz w:val="28"/>
          <w:szCs w:val="28"/>
          <w:rtl/>
          <w:lang w:bidi="ar-LB"/>
        </w:rPr>
        <w:t>ر به عن المشارفة عليه وإن</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لم ينته</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إليه، فمن الانتهاء: </w:t>
      </w:r>
      <w:r w:rsidRPr="006571AC">
        <w:rPr>
          <w:rFonts w:ascii="Mosawi" w:hAnsi="Mosawi" w:cs="Mosawi"/>
          <w:sz w:val="22"/>
          <w:szCs w:val="22"/>
          <w:rtl/>
        </w:rPr>
        <w:t>﴿</w:t>
      </w:r>
      <w:r w:rsidRPr="006571AC">
        <w:rPr>
          <w:rFonts w:ascii="Arial" w:hAnsi="Arial" w:cs="DanaFajr"/>
          <w:b/>
          <w:bCs/>
          <w:sz w:val="28"/>
          <w:szCs w:val="28"/>
          <w:rtl/>
          <w:lang w:bidi="ar-LB"/>
        </w:rPr>
        <w:t>بَلَغَ أَشُدَّه و</w:t>
      </w:r>
      <w:r w:rsidRPr="006571AC">
        <w:rPr>
          <w:rFonts w:ascii="Arial" w:hAnsi="Arial" w:cs="DanaFajr" w:hint="cs"/>
          <w:b/>
          <w:bCs/>
          <w:sz w:val="28"/>
          <w:szCs w:val="28"/>
          <w:rtl/>
          <w:lang w:bidi="ar-LB"/>
        </w:rPr>
        <w:t>َ</w:t>
      </w:r>
      <w:r w:rsidRPr="006571AC">
        <w:rPr>
          <w:rFonts w:ascii="Arial" w:hAnsi="Arial" w:cs="DanaFajr"/>
          <w:b/>
          <w:bCs/>
          <w:sz w:val="28"/>
          <w:szCs w:val="28"/>
          <w:rtl/>
          <w:lang w:bidi="ar-LB"/>
        </w:rPr>
        <w:t>بَلَغَ أَرْبَعِينَ سَنَةً</w:t>
      </w:r>
      <w:r w:rsidRPr="006571AC">
        <w:rPr>
          <w:rFonts w:ascii="Mosawi" w:hAnsi="Mosawi" w:cs="Mosawi"/>
          <w:sz w:val="22"/>
          <w:szCs w:val="22"/>
          <w:rtl/>
        </w:rPr>
        <w:t>﴾</w:t>
      </w:r>
      <w:r w:rsidRPr="006571AC">
        <w:rPr>
          <w:rFonts w:ascii="Arial" w:hAnsi="Arial" w:cs="DanaFajr"/>
          <w:sz w:val="28"/>
          <w:szCs w:val="28"/>
          <w:rtl/>
          <w:lang w:bidi="ar-LB"/>
        </w:rPr>
        <w:t xml:space="preserve"> </w:t>
      </w:r>
      <w:r w:rsidRPr="006571AC">
        <w:rPr>
          <w:rFonts w:ascii="Arial" w:hAnsi="Arial" w:cs="DanaFajr" w:hint="cs"/>
          <w:sz w:val="28"/>
          <w:szCs w:val="28"/>
          <w:rtl/>
          <w:lang w:bidi="ar-LB"/>
        </w:rPr>
        <w:t>(</w:t>
      </w:r>
      <w:r w:rsidRPr="006571AC">
        <w:rPr>
          <w:rFonts w:ascii="Arial" w:hAnsi="Arial" w:cs="DanaFajr"/>
          <w:sz w:val="28"/>
          <w:szCs w:val="28"/>
          <w:rtl/>
          <w:lang w:bidi="ar-LB"/>
        </w:rPr>
        <w:t>الأحقاف</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15</w:t>
      </w:r>
      <w:r w:rsidRPr="006571AC">
        <w:rPr>
          <w:rFonts w:ascii="Arial" w:hAnsi="Arial" w:cs="DanaFajr" w:hint="cs"/>
          <w:sz w:val="28"/>
          <w:szCs w:val="28"/>
          <w:rtl/>
          <w:lang w:bidi="ar-LB"/>
        </w:rPr>
        <w:t>)</w:t>
      </w:r>
      <w:r w:rsidRPr="006571AC">
        <w:rPr>
          <w:rFonts w:ascii="Arial" w:hAnsi="Arial" w:cs="DanaFajr"/>
          <w:sz w:val="28"/>
          <w:szCs w:val="28"/>
          <w:rtl/>
          <w:lang w:bidi="ar-LB"/>
        </w:rPr>
        <w:t>، وقوله عزّ</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وجلّ</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w:t>
      </w:r>
      <w:r w:rsidRPr="006571AC">
        <w:rPr>
          <w:rFonts w:ascii="Mosawi" w:hAnsi="Mosawi" w:cs="Mosawi"/>
          <w:sz w:val="22"/>
          <w:szCs w:val="22"/>
          <w:rtl/>
        </w:rPr>
        <w:t>﴿</w:t>
      </w:r>
      <w:r w:rsidRPr="006571AC">
        <w:rPr>
          <w:rFonts w:ascii="Arial" w:hAnsi="Arial" w:cs="DanaFajr"/>
          <w:b/>
          <w:bCs/>
          <w:sz w:val="28"/>
          <w:szCs w:val="28"/>
          <w:rtl/>
          <w:lang w:bidi="ar-LB"/>
        </w:rPr>
        <w:t>فَبَلَغْنَ أَجَلَهُنَّ فَلا</w:t>
      </w:r>
      <w:r w:rsidRPr="006571AC">
        <w:rPr>
          <w:rFonts w:ascii="Arial" w:hAnsi="Arial" w:cs="DanaFajr" w:hint="cs"/>
          <w:b/>
          <w:bCs/>
          <w:sz w:val="28"/>
          <w:szCs w:val="28"/>
          <w:rtl/>
          <w:lang w:bidi="ar-LB"/>
        </w:rPr>
        <w:t>َ</w:t>
      </w:r>
      <w:r w:rsidRPr="006571AC">
        <w:rPr>
          <w:rFonts w:ascii="Arial" w:hAnsi="Arial" w:cs="DanaFajr"/>
          <w:b/>
          <w:bCs/>
          <w:sz w:val="28"/>
          <w:szCs w:val="28"/>
          <w:rtl/>
          <w:lang w:bidi="ar-LB"/>
        </w:rPr>
        <w:t xml:space="preserve"> تَعْضُلُوهُنَّ</w:t>
      </w:r>
      <w:r w:rsidRPr="006571AC">
        <w:rPr>
          <w:rFonts w:ascii="Mosawi" w:hAnsi="Mosawi" w:cs="Mosawi"/>
          <w:sz w:val="22"/>
          <w:szCs w:val="22"/>
          <w:rtl/>
        </w:rPr>
        <w:t>﴾</w:t>
      </w:r>
      <w:r w:rsidRPr="006571AC">
        <w:rPr>
          <w:rFonts w:ascii="Arial" w:hAnsi="Arial" w:cs="DanaFajr"/>
          <w:sz w:val="28"/>
          <w:szCs w:val="28"/>
          <w:rtl/>
          <w:lang w:bidi="ar-LB"/>
        </w:rPr>
        <w:t xml:space="preserve"> </w:t>
      </w:r>
      <w:r w:rsidRPr="006571AC">
        <w:rPr>
          <w:rFonts w:ascii="Arial" w:hAnsi="Arial" w:cs="DanaFajr" w:hint="cs"/>
          <w:sz w:val="28"/>
          <w:szCs w:val="28"/>
          <w:rtl/>
          <w:lang w:bidi="ar-LB"/>
        </w:rPr>
        <w:t>(</w:t>
      </w:r>
      <w:r w:rsidRPr="006571AC">
        <w:rPr>
          <w:rFonts w:ascii="Arial" w:hAnsi="Arial" w:cs="DanaFajr"/>
          <w:sz w:val="28"/>
          <w:szCs w:val="28"/>
          <w:rtl/>
          <w:lang w:bidi="ar-LB"/>
        </w:rPr>
        <w:t>البقرة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232</w:t>
      </w:r>
      <w:r w:rsidRPr="006571AC">
        <w:rPr>
          <w:rFonts w:ascii="Arial" w:hAnsi="Arial" w:cs="DanaFajr" w:hint="cs"/>
          <w:sz w:val="28"/>
          <w:szCs w:val="28"/>
          <w:rtl/>
          <w:lang w:bidi="ar-LB"/>
        </w:rPr>
        <w:t>)</w:t>
      </w:r>
      <w:r w:rsidRPr="006571AC">
        <w:rPr>
          <w:rFonts w:ascii="Arial" w:hAnsi="Arial" w:cs="DanaFajr"/>
          <w:sz w:val="28"/>
          <w:szCs w:val="28"/>
          <w:rtl/>
          <w:lang w:bidi="ar-LB"/>
        </w:rPr>
        <w:t>، و</w:t>
      </w:r>
      <w:r w:rsidRPr="006571AC">
        <w:rPr>
          <w:rFonts w:ascii="Mosawi" w:hAnsi="Mosawi" w:cs="Mosawi"/>
          <w:sz w:val="22"/>
          <w:szCs w:val="22"/>
          <w:rtl/>
        </w:rPr>
        <w:t>﴿</w:t>
      </w:r>
      <w:r w:rsidRPr="006571AC">
        <w:rPr>
          <w:rFonts w:ascii="Arial" w:hAnsi="Arial" w:cs="DanaFajr"/>
          <w:b/>
          <w:bCs/>
          <w:sz w:val="28"/>
          <w:szCs w:val="28"/>
          <w:rtl/>
          <w:lang w:bidi="ar-LB"/>
        </w:rPr>
        <w:t>م</w:t>
      </w:r>
      <w:r w:rsidRPr="006571AC">
        <w:rPr>
          <w:rFonts w:ascii="Arial" w:hAnsi="Arial" w:cs="DanaFajr" w:hint="cs"/>
          <w:b/>
          <w:bCs/>
          <w:sz w:val="28"/>
          <w:szCs w:val="28"/>
          <w:rtl/>
          <w:lang w:bidi="ar-LB"/>
        </w:rPr>
        <w:t>َ</w:t>
      </w:r>
      <w:r w:rsidRPr="006571AC">
        <w:rPr>
          <w:rFonts w:ascii="Arial" w:hAnsi="Arial" w:cs="DanaFajr"/>
          <w:b/>
          <w:bCs/>
          <w:sz w:val="28"/>
          <w:szCs w:val="28"/>
          <w:rtl/>
          <w:lang w:bidi="ar-LB"/>
        </w:rPr>
        <w:t>ا هُمْ بِب</w:t>
      </w:r>
      <w:r w:rsidRPr="006571AC">
        <w:rPr>
          <w:rFonts w:ascii="Arial" w:hAnsi="Arial" w:cs="DanaFajr" w:hint="cs"/>
          <w:b/>
          <w:bCs/>
          <w:sz w:val="28"/>
          <w:szCs w:val="28"/>
          <w:rtl/>
          <w:lang w:bidi="ar-LB"/>
        </w:rPr>
        <w:t>َ</w:t>
      </w:r>
      <w:r w:rsidRPr="006571AC">
        <w:rPr>
          <w:rFonts w:ascii="Arial" w:hAnsi="Arial" w:cs="DanaFajr"/>
          <w:b/>
          <w:bCs/>
          <w:sz w:val="28"/>
          <w:szCs w:val="28"/>
          <w:rtl/>
          <w:lang w:bidi="ar-LB"/>
        </w:rPr>
        <w:t>الِغِيه</w:t>
      </w:r>
      <w:r w:rsidRPr="006571AC">
        <w:rPr>
          <w:rFonts w:ascii="Arial" w:hAnsi="Arial" w:cs="DanaFajr" w:hint="cs"/>
          <w:b/>
          <w:bCs/>
          <w:sz w:val="28"/>
          <w:szCs w:val="28"/>
          <w:rtl/>
          <w:lang w:bidi="ar-LB"/>
        </w:rPr>
        <w:t>ِ</w:t>
      </w:r>
      <w:r w:rsidRPr="006571AC">
        <w:rPr>
          <w:rFonts w:ascii="Mosawi" w:hAnsi="Mosawi" w:cs="Mosawi"/>
          <w:sz w:val="22"/>
          <w:szCs w:val="22"/>
          <w:rtl/>
        </w:rPr>
        <w:t>﴾</w:t>
      </w:r>
      <w:r w:rsidRPr="006571AC">
        <w:rPr>
          <w:rFonts w:ascii="Arial" w:hAnsi="Arial" w:cs="DanaFajr"/>
          <w:sz w:val="28"/>
          <w:szCs w:val="28"/>
          <w:rtl/>
          <w:lang w:bidi="ar-LB"/>
        </w:rPr>
        <w:t xml:space="preserve"> </w:t>
      </w:r>
      <w:r w:rsidRPr="006571AC">
        <w:rPr>
          <w:rFonts w:ascii="Arial" w:hAnsi="Arial" w:cs="DanaFajr" w:hint="cs"/>
          <w:sz w:val="28"/>
          <w:szCs w:val="28"/>
          <w:rtl/>
          <w:lang w:bidi="ar-LB"/>
        </w:rPr>
        <w:t>(</w:t>
      </w:r>
      <w:r w:rsidRPr="006571AC">
        <w:rPr>
          <w:rFonts w:ascii="Arial" w:hAnsi="Arial" w:cs="DanaFajr"/>
          <w:sz w:val="28"/>
          <w:szCs w:val="28"/>
          <w:rtl/>
          <w:lang w:bidi="ar-LB"/>
        </w:rPr>
        <w:t>غافر</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56</w:t>
      </w:r>
      <w:r w:rsidRPr="006571AC">
        <w:rPr>
          <w:rFonts w:ascii="Arial" w:hAnsi="Arial" w:cs="DanaFajr" w:hint="cs"/>
          <w:sz w:val="28"/>
          <w:szCs w:val="28"/>
          <w:rtl/>
          <w:lang w:bidi="ar-LB"/>
        </w:rPr>
        <w:t>)</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مفردات ألفاظ القرآن: 60. </w:t>
      </w:r>
    </w:p>
  </w:endnote>
  <w:endnote w:id="681">
    <w:p w:rsidR="00DB2356" w:rsidRPr="006571AC" w:rsidRDefault="00DB2356" w:rsidP="00864FC3">
      <w:pPr>
        <w:pStyle w:val="aa"/>
        <w:spacing w:line="325" w:lineRule="exact"/>
        <w:ind w:firstLine="0"/>
        <w:rPr>
          <w:rFonts w:cs="DanaFajr"/>
          <w:sz w:val="28"/>
          <w:szCs w:val="28"/>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أخذ هذا المصطلح مما جاء في الحديث عن أبي </w:t>
      </w:r>
      <w:r w:rsidRPr="006571AC">
        <w:rPr>
          <w:rFonts w:cs="DanaFajr"/>
          <w:sz w:val="28"/>
          <w:szCs w:val="28"/>
          <w:rtl/>
          <w:lang w:bidi="ar-LB"/>
        </w:rPr>
        <w:t xml:space="preserve">عَبْدِ الله </w:t>
      </w:r>
      <w:r w:rsidRPr="006571AC">
        <w:rPr>
          <w:rFonts w:cs="DanaFajr" w:hint="cs"/>
          <w:sz w:val="28"/>
          <w:szCs w:val="28"/>
          <w:rtl/>
          <w:lang w:bidi="ar-LB"/>
        </w:rPr>
        <w:t>الصادق</w:t>
      </w:r>
      <w:r w:rsidRPr="006571AC">
        <w:rPr>
          <w:rFonts w:ascii="Mosawi" w:hAnsi="Mosawi" w:cs="Mosawi"/>
          <w:rtl/>
        </w:rPr>
        <w:t>×</w:t>
      </w:r>
      <w:r w:rsidRPr="006571AC">
        <w:rPr>
          <w:rFonts w:cs="DanaFajr" w:hint="cs"/>
          <w:sz w:val="28"/>
          <w:szCs w:val="28"/>
          <w:rtl/>
          <w:lang w:bidi="ar-LB"/>
        </w:rPr>
        <w:t xml:space="preserve"> قال: </w:t>
      </w:r>
      <w:r w:rsidRPr="006571AC">
        <w:rPr>
          <w:rFonts w:hint="eastAsia"/>
          <w:sz w:val="22"/>
          <w:szCs w:val="22"/>
          <w:rtl/>
          <w:lang w:bidi="ar-LB"/>
        </w:rPr>
        <w:t>«</w:t>
      </w:r>
      <w:r w:rsidRPr="006571AC">
        <w:rPr>
          <w:rFonts w:cs="DanaFajr"/>
          <w:sz w:val="28"/>
          <w:szCs w:val="28"/>
          <w:rtl/>
          <w:lang w:bidi="ar-LB"/>
        </w:rPr>
        <w:t>إِيَّاكُمْ والْكَذِبَ الْمُفْتَرِعَ</w:t>
      </w:r>
      <w:r w:rsidRPr="006571AC">
        <w:rPr>
          <w:rFonts w:cs="DanaFajr" w:hint="cs"/>
          <w:sz w:val="28"/>
          <w:szCs w:val="28"/>
          <w:rtl/>
          <w:lang w:bidi="ar-LB"/>
        </w:rPr>
        <w:t xml:space="preserve">، </w:t>
      </w:r>
      <w:r w:rsidRPr="006571AC">
        <w:rPr>
          <w:rFonts w:cs="DanaFajr"/>
          <w:sz w:val="28"/>
          <w:szCs w:val="28"/>
          <w:rtl/>
          <w:lang w:bidi="ar-LB"/>
        </w:rPr>
        <w:t>قِيلَ لَه</w:t>
      </w:r>
      <w:r w:rsidRPr="006571AC">
        <w:rPr>
          <w:rFonts w:cs="DanaFajr" w:hint="cs"/>
          <w:sz w:val="28"/>
          <w:szCs w:val="28"/>
          <w:rtl/>
          <w:lang w:bidi="ar-LB"/>
        </w:rPr>
        <w:t xml:space="preserve">: </w:t>
      </w:r>
      <w:r w:rsidRPr="006571AC">
        <w:rPr>
          <w:rFonts w:cs="DanaFajr"/>
          <w:sz w:val="28"/>
          <w:szCs w:val="28"/>
          <w:rtl/>
          <w:lang w:bidi="ar-LB"/>
        </w:rPr>
        <w:t>ومَا الْكَذِبُ الْمُفْتَرِعُ</w:t>
      </w:r>
      <w:r w:rsidRPr="006571AC">
        <w:rPr>
          <w:rFonts w:cs="DanaFajr" w:hint="cs"/>
          <w:sz w:val="28"/>
          <w:szCs w:val="28"/>
          <w:rtl/>
          <w:lang w:bidi="ar-LB"/>
        </w:rPr>
        <w:t xml:space="preserve">؟ </w:t>
      </w:r>
      <w:r w:rsidRPr="006571AC">
        <w:rPr>
          <w:rFonts w:cs="DanaFajr"/>
          <w:sz w:val="28"/>
          <w:szCs w:val="28"/>
          <w:rtl/>
          <w:lang w:bidi="ar-LB"/>
        </w:rPr>
        <w:t>قَالَ</w:t>
      </w:r>
      <w:r w:rsidRPr="006571AC">
        <w:rPr>
          <w:rFonts w:cs="DanaFajr" w:hint="cs"/>
          <w:sz w:val="28"/>
          <w:szCs w:val="28"/>
          <w:rtl/>
          <w:lang w:bidi="ar-LB"/>
        </w:rPr>
        <w:t xml:space="preserve">: </w:t>
      </w:r>
      <w:r w:rsidRPr="006571AC">
        <w:rPr>
          <w:rFonts w:cs="DanaFajr"/>
          <w:sz w:val="28"/>
          <w:szCs w:val="28"/>
          <w:rtl/>
          <w:lang w:bidi="ar-LB"/>
        </w:rPr>
        <w:t>أَنْ يُحَدِّثَكَ الرَّجُلُ بِالْحَدِيثِ فَتَتْرُكَه وتَرْوِيَه عَنِ الَّذِي حَدَّثَكَ عَنْه</w:t>
      </w:r>
      <w:r w:rsidRPr="006571AC">
        <w:rPr>
          <w:rFonts w:hint="eastAsia"/>
          <w:sz w:val="22"/>
          <w:szCs w:val="22"/>
          <w:rtl/>
        </w:rPr>
        <w:t>»</w:t>
      </w:r>
      <w:r w:rsidRPr="006571AC">
        <w:rPr>
          <w:rFonts w:cs="DanaFajr" w:hint="cs"/>
          <w:sz w:val="28"/>
          <w:szCs w:val="28"/>
          <w:rtl/>
          <w:lang w:bidi="ar-LB"/>
        </w:rPr>
        <w:t xml:space="preserve">. الكافي 1: 52. </w:t>
      </w:r>
    </w:p>
  </w:endnote>
  <w:endnote w:id="682">
    <w:p w:rsidR="00DB2356" w:rsidRPr="006571AC" w:rsidRDefault="00DB2356" w:rsidP="00864FC3">
      <w:pPr>
        <w:pStyle w:val="aa"/>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بحار الأنوار 84: 101. </w:t>
      </w:r>
    </w:p>
  </w:endnote>
  <w:endnote w:id="683">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كما نب</w:t>
      </w:r>
      <w:r w:rsidRPr="006571AC">
        <w:rPr>
          <w:rFonts w:ascii="Arial" w:hAnsi="Arial" w:cs="DanaFajr" w:hint="cs"/>
          <w:sz w:val="28"/>
          <w:szCs w:val="28"/>
          <w:rtl/>
        </w:rPr>
        <w:t>َّ</w:t>
      </w:r>
      <w:r w:rsidRPr="006571AC">
        <w:rPr>
          <w:rFonts w:ascii="Arial" w:hAnsi="Arial" w:cs="DanaFajr"/>
          <w:sz w:val="28"/>
          <w:szCs w:val="28"/>
          <w:rtl/>
        </w:rPr>
        <w:t>ه عليه الشيخ الأنصاري</w:t>
      </w:r>
      <w:r w:rsidRPr="006571AC">
        <w:rPr>
          <w:rFonts w:ascii="Arial" w:hAnsi="Arial" w:cs="DanaFajr" w:hint="cs"/>
          <w:sz w:val="28"/>
          <w:szCs w:val="28"/>
          <w:rtl/>
        </w:rPr>
        <w:t xml:space="preserve"> في</w:t>
      </w:r>
      <w:r w:rsidRPr="006571AC">
        <w:rPr>
          <w:rFonts w:ascii="Arial" w:hAnsi="Arial" w:cs="DanaFajr"/>
          <w:sz w:val="28"/>
          <w:szCs w:val="28"/>
          <w:rtl/>
        </w:rPr>
        <w:t xml:space="preserve"> </w:t>
      </w:r>
      <w:r w:rsidRPr="006571AC">
        <w:rPr>
          <w:rFonts w:ascii="Arial" w:hAnsi="Arial" w:cs="DanaFajr"/>
          <w:sz w:val="28"/>
          <w:szCs w:val="28"/>
          <w:rtl/>
          <w:lang w:bidi="ar-LB"/>
        </w:rPr>
        <w:t>رسائل فقهية: 156. ولكن</w:t>
      </w:r>
      <w:r w:rsidRPr="006571AC">
        <w:rPr>
          <w:rFonts w:ascii="Arial" w:hAnsi="Arial" w:cs="DanaFajr" w:hint="cs"/>
          <w:sz w:val="28"/>
          <w:szCs w:val="28"/>
          <w:rtl/>
          <w:lang w:bidi="ar-LB"/>
        </w:rPr>
        <w:t>ّ</w:t>
      </w:r>
      <w:r w:rsidRPr="006571AC">
        <w:rPr>
          <w:rFonts w:ascii="Arial" w:hAnsi="Arial" w:cs="DanaFajr"/>
          <w:sz w:val="28"/>
          <w:szCs w:val="28"/>
          <w:rtl/>
          <w:lang w:bidi="ar-LB"/>
        </w:rPr>
        <w:t>ه مع ذلك تمس</w:t>
      </w:r>
      <w:r w:rsidRPr="006571AC">
        <w:rPr>
          <w:rFonts w:ascii="Arial" w:hAnsi="Arial" w:cs="DanaFajr" w:hint="cs"/>
          <w:sz w:val="28"/>
          <w:szCs w:val="28"/>
          <w:rtl/>
          <w:lang w:bidi="ar-LB"/>
        </w:rPr>
        <w:t>َّ</w:t>
      </w:r>
      <w:r w:rsidRPr="006571AC">
        <w:rPr>
          <w:rFonts w:ascii="Arial" w:hAnsi="Arial" w:cs="DanaFajr"/>
          <w:sz w:val="28"/>
          <w:szCs w:val="28"/>
          <w:rtl/>
          <w:lang w:bidi="ar-LB"/>
        </w:rPr>
        <w:t>ك بالإطلاق</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كما سيذكر في كلامه. </w:t>
      </w:r>
    </w:p>
  </w:endnote>
  <w:endnote w:id="684">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رسائل فقهية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156. </w:t>
      </w:r>
    </w:p>
  </w:endnote>
  <w:endnote w:id="685">
    <w:p w:rsidR="00DB2356" w:rsidRPr="006571AC" w:rsidRDefault="00DB2356" w:rsidP="00864FC3">
      <w:pPr>
        <w:pStyle w:val="aa"/>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ac"/>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يقول السيد الحكيم: </w:t>
      </w:r>
      <w:r w:rsidRPr="006571AC">
        <w:rPr>
          <w:rFonts w:hint="eastAsia"/>
          <w:sz w:val="22"/>
          <w:szCs w:val="22"/>
          <w:rtl/>
          <w:lang w:bidi="ar-LB"/>
        </w:rPr>
        <w:t>«</w:t>
      </w:r>
      <w:r w:rsidRPr="006571AC">
        <w:rPr>
          <w:rFonts w:ascii="Arial" w:hAnsi="Arial" w:cs="DanaFajr"/>
          <w:sz w:val="28"/>
          <w:szCs w:val="28"/>
          <w:rtl/>
          <w:lang w:bidi="ar-LB"/>
        </w:rPr>
        <w:t>إن كثيرا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من المستحب</w:t>
      </w:r>
      <w:r w:rsidRPr="006571AC">
        <w:rPr>
          <w:rFonts w:ascii="Arial" w:hAnsi="Arial" w:cs="DanaFajr" w:hint="cs"/>
          <w:sz w:val="28"/>
          <w:szCs w:val="28"/>
          <w:rtl/>
          <w:lang w:bidi="ar-LB"/>
        </w:rPr>
        <w:t>ّ</w:t>
      </w:r>
      <w:r w:rsidRPr="006571AC">
        <w:rPr>
          <w:rFonts w:ascii="Arial" w:hAnsi="Arial" w:cs="DanaFajr"/>
          <w:sz w:val="28"/>
          <w:szCs w:val="28"/>
          <w:rtl/>
          <w:lang w:bidi="ar-LB"/>
        </w:rPr>
        <w:t>ات المذكورة في أبواب هذه الرسالة يبتني استحبابها على قاعدة التسامح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 xml:space="preserve">. </w:t>
      </w:r>
      <w:r w:rsidRPr="006571AC">
        <w:rPr>
          <w:rFonts w:ascii="Arial" w:hAnsi="Arial" w:cs="DanaFajr"/>
          <w:sz w:val="28"/>
          <w:szCs w:val="28"/>
          <w:rtl/>
          <w:lang w:bidi="ar-LB"/>
        </w:rPr>
        <w:t>ولم</w:t>
      </w:r>
      <w:r w:rsidRPr="006571AC">
        <w:rPr>
          <w:rFonts w:ascii="Arial" w:hAnsi="Arial" w:cs="DanaFajr" w:hint="cs"/>
          <w:sz w:val="28"/>
          <w:szCs w:val="28"/>
          <w:rtl/>
          <w:lang w:bidi="ar-LB"/>
        </w:rPr>
        <w:t>ّ</w:t>
      </w:r>
      <w:r w:rsidRPr="006571AC">
        <w:rPr>
          <w:rFonts w:ascii="Arial" w:hAnsi="Arial" w:cs="DanaFajr"/>
          <w:sz w:val="28"/>
          <w:szCs w:val="28"/>
          <w:rtl/>
          <w:lang w:bidi="ar-LB"/>
        </w:rPr>
        <w:t>ا لم تثبت عندنا فيتعين الإتيان بها برجاء المطلوبي</w:t>
      </w:r>
      <w:r w:rsidRPr="006571AC">
        <w:rPr>
          <w:rFonts w:ascii="Arial" w:hAnsi="Arial" w:cs="DanaFajr" w:hint="cs"/>
          <w:sz w:val="28"/>
          <w:szCs w:val="28"/>
          <w:rtl/>
          <w:lang w:bidi="ar-LB"/>
        </w:rPr>
        <w:t>ّ</w:t>
      </w:r>
      <w:r w:rsidRPr="006571AC">
        <w:rPr>
          <w:rFonts w:ascii="Arial" w:hAnsi="Arial" w:cs="DanaFajr"/>
          <w:sz w:val="28"/>
          <w:szCs w:val="28"/>
          <w:rtl/>
          <w:lang w:bidi="ar-LB"/>
        </w:rPr>
        <w:t>ة. وكذا الحال في المكروهات</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فتترك برجاء المطلوبية</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منهاج الصالحين 1: 17. ونحوه ما ذكره السيد الخوئي في منهاج الصالحين 1: 12، </w:t>
      </w:r>
      <w:r w:rsidRPr="006571AC">
        <w:rPr>
          <w:rFonts w:ascii="Arial" w:hAnsi="Arial" w:cs="DanaFajr" w:hint="cs"/>
          <w:sz w:val="28"/>
          <w:szCs w:val="28"/>
          <w:rtl/>
          <w:lang w:bidi="ar-LB"/>
        </w:rPr>
        <w:t>وا</w:t>
      </w:r>
      <w:r w:rsidRPr="006571AC">
        <w:rPr>
          <w:rFonts w:ascii="Arial" w:hAnsi="Arial" w:cs="DanaFajr"/>
          <w:sz w:val="28"/>
          <w:szCs w:val="28"/>
          <w:rtl/>
          <w:lang w:bidi="ar-LB"/>
        </w:rPr>
        <w:t xml:space="preserve">لسيد السيستاني </w:t>
      </w:r>
      <w:r w:rsidRPr="006571AC">
        <w:rPr>
          <w:rFonts w:ascii="Arial" w:hAnsi="Arial" w:cs="DanaFajr" w:hint="cs"/>
          <w:sz w:val="28"/>
          <w:szCs w:val="28"/>
          <w:rtl/>
          <w:lang w:bidi="ar-LB"/>
        </w:rPr>
        <w:t xml:space="preserve">في </w:t>
      </w:r>
      <w:r w:rsidRPr="006571AC">
        <w:rPr>
          <w:rFonts w:ascii="Arial" w:hAnsi="Arial" w:cs="DanaFajr"/>
          <w:sz w:val="28"/>
          <w:szCs w:val="28"/>
          <w:rtl/>
          <w:lang w:bidi="ar-LB"/>
        </w:rPr>
        <w:t xml:space="preserve">منهاج الصالحين 1: 19. </w:t>
      </w:r>
    </w:p>
  </w:endnote>
  <w:endnote w:id="686">
    <w:p w:rsidR="00DB2356" w:rsidRPr="006571AC" w:rsidRDefault="00DB2356" w:rsidP="00864FC3">
      <w:pPr>
        <w:pStyle w:val="aa"/>
        <w:spacing w:line="325" w:lineRule="exact"/>
        <w:ind w:firstLine="0"/>
        <w:rPr>
          <w:rFonts w:cs="DanaFajr"/>
          <w:sz w:val="28"/>
          <w:szCs w:val="28"/>
          <w:lang w:bidi="ar-L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Arial" w:hAnsi="Arial" w:cs="DanaFajr" w:hint="cs"/>
          <w:sz w:val="28"/>
          <w:szCs w:val="28"/>
          <w:rtl/>
        </w:rPr>
        <w:t xml:space="preserve">وقد لاحَظْنا في زماننا هذا اهتماماً حادثاً وغريباً في أمر هذه الصلاة، حيث </w:t>
      </w:r>
      <w:r w:rsidRPr="006571AC">
        <w:rPr>
          <w:rFonts w:ascii="Arial" w:hAnsi="Arial" w:cs="DanaFajr"/>
          <w:sz w:val="28"/>
          <w:szCs w:val="28"/>
          <w:rtl/>
        </w:rPr>
        <w:t>يتمّ الإعلان عنها والدعوة إليها من خلال وسائل الإعلام</w:t>
      </w:r>
      <w:r w:rsidRPr="006571AC">
        <w:rPr>
          <w:rFonts w:ascii="Arial" w:hAnsi="Arial" w:cs="DanaFajr" w:hint="cs"/>
          <w:sz w:val="28"/>
          <w:szCs w:val="28"/>
          <w:rtl/>
        </w:rPr>
        <w:t xml:space="preserve"> المختلفة. </w:t>
      </w:r>
    </w:p>
  </w:endnote>
  <w:endnote w:id="687">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ورقة مشاركة في مؤتمر الشهيد الشيخ مرتضى مطهَّري. </w:t>
      </w:r>
    </w:p>
  </w:endnote>
  <w:endnote w:id="688">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عالمٌ سويسري، يشغل منصب أستاذ علم اللاهوت المسكوني في جامعة توبنغن، وقد عين مستشاراً لاهوتياً للمجمع الفاتيكاني الثاني، وهو مؤلِّف كتاب </w:t>
      </w:r>
      <w:r w:rsidRPr="006571AC">
        <w:rPr>
          <w:rFonts w:hint="eastAsia"/>
          <w:sz w:val="22"/>
          <w:szCs w:val="22"/>
          <w:rtl/>
        </w:rPr>
        <w:t>«</w:t>
      </w:r>
      <w:r w:rsidRPr="006571AC">
        <w:rPr>
          <w:rFonts w:cs="DanaFajr" w:hint="cs"/>
          <w:sz w:val="28"/>
          <w:szCs w:val="28"/>
          <w:rtl/>
        </w:rPr>
        <w:t>ما بين الأشياء</w:t>
      </w:r>
      <w:r w:rsidRPr="006571AC">
        <w:rPr>
          <w:rFonts w:hint="eastAsia"/>
          <w:sz w:val="22"/>
          <w:szCs w:val="22"/>
          <w:rtl/>
        </w:rPr>
        <w:t>»</w:t>
      </w:r>
      <w:r w:rsidRPr="006571AC">
        <w:rPr>
          <w:rFonts w:cs="DanaFajr" w:hint="cs"/>
          <w:sz w:val="28"/>
          <w:szCs w:val="28"/>
          <w:rtl/>
        </w:rPr>
        <w:t>، و</w:t>
      </w:r>
      <w:r w:rsidRPr="006571AC">
        <w:rPr>
          <w:rFonts w:hint="eastAsia"/>
          <w:sz w:val="22"/>
          <w:szCs w:val="22"/>
          <w:rtl/>
        </w:rPr>
        <w:t>«</w:t>
      </w:r>
      <w:r w:rsidRPr="006571AC">
        <w:rPr>
          <w:rFonts w:cs="DanaFajr" w:hint="cs"/>
          <w:sz w:val="28"/>
          <w:szCs w:val="28"/>
          <w:rtl/>
        </w:rPr>
        <w:t>لاهوت الألفية الثالثة</w:t>
      </w:r>
      <w:r w:rsidRPr="006571AC">
        <w:rPr>
          <w:rFonts w:hint="eastAsia"/>
          <w:sz w:val="22"/>
          <w:szCs w:val="22"/>
          <w:rtl/>
        </w:rPr>
        <w:t>»</w:t>
      </w:r>
      <w:r w:rsidRPr="006571AC">
        <w:rPr>
          <w:rFonts w:cs="DanaFajr" w:hint="cs"/>
          <w:sz w:val="28"/>
          <w:szCs w:val="28"/>
          <w:rtl/>
        </w:rPr>
        <w:t>، و</w:t>
      </w:r>
      <w:r w:rsidRPr="006571AC">
        <w:rPr>
          <w:rFonts w:hint="eastAsia"/>
          <w:sz w:val="22"/>
          <w:szCs w:val="22"/>
          <w:rtl/>
        </w:rPr>
        <w:t>«</w:t>
      </w:r>
      <w:r w:rsidRPr="006571AC">
        <w:rPr>
          <w:rFonts w:cs="DanaFajr" w:hint="cs"/>
          <w:sz w:val="28"/>
          <w:szCs w:val="28"/>
          <w:rtl/>
        </w:rPr>
        <w:t>المسيحية وأديان العالم</w:t>
      </w:r>
      <w:r w:rsidRPr="006571AC">
        <w:rPr>
          <w:rFonts w:hint="eastAsia"/>
          <w:sz w:val="22"/>
          <w:szCs w:val="22"/>
          <w:rtl/>
        </w:rPr>
        <w:t>»</w:t>
      </w:r>
      <w:r w:rsidRPr="006571AC">
        <w:rPr>
          <w:rFonts w:cs="DanaFajr" w:hint="cs"/>
          <w:sz w:val="28"/>
          <w:szCs w:val="28"/>
          <w:rtl/>
        </w:rPr>
        <w:t>، و</w:t>
      </w:r>
      <w:r w:rsidRPr="006571AC">
        <w:rPr>
          <w:rFonts w:hint="eastAsia"/>
          <w:sz w:val="22"/>
          <w:szCs w:val="22"/>
          <w:rtl/>
        </w:rPr>
        <w:t>«</w:t>
      </w:r>
      <w:r w:rsidRPr="006571AC">
        <w:rPr>
          <w:rFonts w:cs="DanaFajr" w:hint="cs"/>
          <w:sz w:val="28"/>
          <w:szCs w:val="28"/>
          <w:rtl/>
        </w:rPr>
        <w:t>المسؤولية العالمية: اليهودية، المسيحية، الإسلام</w:t>
      </w:r>
      <w:r w:rsidRPr="006571AC">
        <w:rPr>
          <w:rFonts w:hint="eastAsia"/>
          <w:sz w:val="22"/>
          <w:szCs w:val="22"/>
          <w:rtl/>
        </w:rPr>
        <w:t>»</w:t>
      </w:r>
      <w:r w:rsidRPr="006571AC">
        <w:rPr>
          <w:rFonts w:cs="DanaFajr" w:hint="cs"/>
          <w:sz w:val="28"/>
          <w:szCs w:val="28"/>
          <w:rtl/>
        </w:rPr>
        <w:t xml:space="preserve">. </w:t>
      </w:r>
    </w:p>
  </w:endnote>
  <w:endnote w:id="689">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الشيخ حيدر حب الله، هانز كونج ومشروع الأخلاق العالمية، موقع نصوص معاصرة</w:t>
      </w:r>
      <w:r w:rsidRPr="006571AC">
        <w:rPr>
          <w:rFonts w:cs="DanaFajr"/>
          <w:sz w:val="28"/>
          <w:szCs w:val="28"/>
        </w:rPr>
        <w:t>:</w:t>
      </w:r>
      <w:r w:rsidRPr="006571AC">
        <w:rPr>
          <w:rFonts w:cs="DanaFajr" w:hint="cs"/>
          <w:sz w:val="28"/>
          <w:szCs w:val="28"/>
          <w:rtl/>
        </w:rPr>
        <w:t xml:space="preserve"> </w:t>
      </w:r>
    </w:p>
    <w:p w:rsidR="00DB2356" w:rsidRPr="006571AC" w:rsidRDefault="00DB2356" w:rsidP="001069FB">
      <w:pPr>
        <w:pStyle w:val="aa"/>
        <w:bidi w:val="0"/>
        <w:spacing w:line="312" w:lineRule="exact"/>
        <w:ind w:firstLine="0"/>
        <w:rPr>
          <w:rFonts w:asciiTheme="majorBidi" w:hAnsiTheme="majorBidi" w:cstheme="majorBidi"/>
          <w:rtl/>
        </w:rPr>
      </w:pPr>
      <w:r w:rsidRPr="006571AC">
        <w:rPr>
          <w:rFonts w:asciiTheme="majorBidi" w:hAnsiTheme="majorBidi" w:cstheme="majorBidi"/>
        </w:rPr>
        <w:t>https://nosos.net/wordpress/?p=7</w:t>
      </w:r>
      <w:r w:rsidRPr="006571AC">
        <w:rPr>
          <w:rFonts w:asciiTheme="majorBidi" w:hAnsiTheme="majorBidi" w:cstheme="majorBidi"/>
          <w:lang w:bidi="ar-LB"/>
        </w:rPr>
        <w:t>2</w:t>
      </w:r>
      <w:r w:rsidRPr="006571AC">
        <w:rPr>
          <w:rFonts w:asciiTheme="majorBidi" w:hAnsiTheme="majorBidi" w:cstheme="majorBidi"/>
        </w:rPr>
        <w:t>56</w:t>
      </w:r>
    </w:p>
  </w:endnote>
  <w:endnote w:id="690">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عالمُ دينٍ، وفيلسوفٌ إسلاميّ، ومفكِّر شيعيّ، إيرانيّ. العضو المؤسِّس في شورى الثورة الإسلامية في إيران إبان الأيام الأخيرة من سقوط نظام الشاه، ومن المنظِّرين للجمهورية الإسلامية الإيرانية، وهو أحد أبرز تلامذة المفسِّر والفيلسوف الكبير محمد حسين الطباطبائي، والسيد روح الله الخميني. </w:t>
      </w:r>
    </w:p>
  </w:endnote>
  <w:endnote w:id="691">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الشهيد مرتضى مطهري، المفهوم التوحيدي للعالم: 12 ـ </w:t>
      </w:r>
      <w:r w:rsidRPr="006571AC">
        <w:rPr>
          <w:rFonts w:ascii="Arial" w:hAnsi="Arial" w:cs="DanaFajr" w:hint="cs"/>
          <w:sz w:val="28"/>
          <w:szCs w:val="28"/>
          <w:rtl/>
        </w:rPr>
        <w:t>14</w:t>
      </w:r>
      <w:r w:rsidRPr="006571AC">
        <w:rPr>
          <w:rFonts w:cs="DanaFajr" w:hint="cs"/>
          <w:sz w:val="28"/>
          <w:szCs w:val="28"/>
          <w:rtl/>
        </w:rPr>
        <w:t>، دار التيار الجديد.</w:t>
      </w:r>
    </w:p>
  </w:endnote>
  <w:endnote w:id="692">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سلسة تراث وآثار الشهيد مرتضى مطهَّري، الفكر الإسلامي وعلوم القرآن الكريم: ٣</w:t>
      </w:r>
      <w:r w:rsidRPr="006571AC">
        <w:rPr>
          <w:rFonts w:ascii="Arial" w:hAnsi="Arial" w:cs="DanaFajr" w:hint="cs"/>
          <w:sz w:val="28"/>
          <w:szCs w:val="28"/>
          <w:rtl/>
        </w:rPr>
        <w:t>7</w:t>
      </w:r>
      <w:r w:rsidRPr="006571AC">
        <w:rPr>
          <w:rFonts w:cs="DanaFajr" w:hint="cs"/>
          <w:sz w:val="28"/>
          <w:szCs w:val="28"/>
          <w:rtl/>
        </w:rPr>
        <w:t>٦، دار الإرشاد، بيروت، ط</w:t>
      </w:r>
      <w:r w:rsidRPr="006571AC">
        <w:rPr>
          <w:rFonts w:ascii="Arial" w:hAnsi="Arial" w:cs="DanaFajr" w:hint="cs"/>
          <w:sz w:val="28"/>
          <w:szCs w:val="28"/>
          <w:rtl/>
        </w:rPr>
        <w:t>1</w:t>
      </w:r>
      <w:r w:rsidRPr="006571AC">
        <w:rPr>
          <w:rFonts w:cs="DanaFajr" w:hint="cs"/>
          <w:sz w:val="28"/>
          <w:szCs w:val="28"/>
          <w:rtl/>
        </w:rPr>
        <w:t xml:space="preserve">، </w:t>
      </w:r>
      <w:r w:rsidRPr="006571AC">
        <w:rPr>
          <w:rFonts w:ascii="Arial" w:hAnsi="Arial" w:cs="DanaFajr" w:hint="cs"/>
          <w:sz w:val="28"/>
          <w:szCs w:val="28"/>
          <w:rtl/>
        </w:rPr>
        <w:t>14</w:t>
      </w:r>
      <w:r w:rsidRPr="006571AC">
        <w:rPr>
          <w:rFonts w:cs="DanaFajr" w:hint="cs"/>
          <w:sz w:val="28"/>
          <w:szCs w:val="28"/>
          <w:rtl/>
        </w:rPr>
        <w:t>٣</w:t>
      </w:r>
      <w:r w:rsidRPr="006571AC">
        <w:rPr>
          <w:rFonts w:ascii="Arial" w:hAnsi="Arial" w:cs="DanaFajr" w:hint="cs"/>
          <w:sz w:val="28"/>
          <w:szCs w:val="28"/>
          <w:rtl/>
        </w:rPr>
        <w:t>0</w:t>
      </w:r>
      <w:r w:rsidRPr="006571AC">
        <w:rPr>
          <w:rFonts w:cs="DanaFajr" w:hint="cs"/>
          <w:sz w:val="28"/>
          <w:szCs w:val="28"/>
          <w:rtl/>
        </w:rPr>
        <w:t xml:space="preserve">هـ ـ </w:t>
      </w:r>
      <w:r w:rsidRPr="006571AC">
        <w:rPr>
          <w:rFonts w:ascii="Arial" w:hAnsi="Arial" w:cs="DanaFajr" w:hint="cs"/>
          <w:sz w:val="28"/>
          <w:szCs w:val="28"/>
          <w:rtl/>
        </w:rPr>
        <w:t>2009</w:t>
      </w:r>
      <w:r w:rsidRPr="006571AC">
        <w:rPr>
          <w:rFonts w:cs="DanaFajr" w:hint="cs"/>
          <w:sz w:val="28"/>
          <w:szCs w:val="28"/>
          <w:rtl/>
        </w:rPr>
        <w:t>م.</w:t>
      </w:r>
    </w:p>
  </w:endnote>
  <w:endnote w:id="693">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السيد محمد حسين الطباطبائي من أبرز فلاسفة وعرفاء ومفكِّري الشيعة في القرن العشرين، اشتهر بتفسيره المعروف بـ (الميزان في تفسير القرآن)، وكان من أساتذة الشهيد مرتضى مطهَّري. </w:t>
      </w:r>
    </w:p>
  </w:endnote>
  <w:endnote w:id="694">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سلسة تراث وآثار الشهيد مرتضى مطهري، الفكر الإسلامي وعلوم القرآن الكريم: ٣</w:t>
      </w:r>
      <w:r w:rsidRPr="006571AC">
        <w:rPr>
          <w:rFonts w:ascii="Arial" w:hAnsi="Arial" w:cs="DanaFajr" w:hint="cs"/>
          <w:sz w:val="28"/>
          <w:szCs w:val="28"/>
          <w:rtl/>
        </w:rPr>
        <w:t>90</w:t>
      </w:r>
      <w:r w:rsidRPr="006571AC">
        <w:rPr>
          <w:rFonts w:cs="DanaFajr" w:hint="cs"/>
          <w:sz w:val="28"/>
          <w:szCs w:val="28"/>
          <w:rtl/>
        </w:rPr>
        <w:t>.</w:t>
      </w:r>
    </w:p>
  </w:endnote>
  <w:endnote w:id="695">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المصدر السابق: 392 ـ ٣</w:t>
      </w:r>
      <w:r w:rsidRPr="006571AC">
        <w:rPr>
          <w:rFonts w:ascii="Arial" w:hAnsi="Arial" w:cs="DanaFajr" w:hint="cs"/>
          <w:sz w:val="28"/>
          <w:szCs w:val="28"/>
          <w:rtl/>
        </w:rPr>
        <w:t>9</w:t>
      </w:r>
      <w:r w:rsidRPr="006571AC">
        <w:rPr>
          <w:rFonts w:cs="DanaFajr" w:hint="cs"/>
          <w:sz w:val="28"/>
          <w:szCs w:val="28"/>
          <w:rtl/>
        </w:rPr>
        <w:t>٣.</w:t>
      </w:r>
    </w:p>
  </w:endnote>
  <w:endnote w:id="696">
    <w:p w:rsidR="00DB2356" w:rsidRPr="006571AC" w:rsidRDefault="00DB2356" w:rsidP="001069FB">
      <w:pPr>
        <w:pStyle w:val="aa"/>
        <w:spacing w:line="312" w:lineRule="exact"/>
        <w:ind w:firstLine="0"/>
        <w:rPr>
          <w:rFonts w:cs="DanaFajr"/>
          <w:sz w:val="28"/>
          <w:szCs w:val="28"/>
          <w:rtl/>
          <w:lang w:val="en-GB"/>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المصدر السابق: 394 ـ ٣</w:t>
      </w:r>
      <w:r w:rsidRPr="006571AC">
        <w:rPr>
          <w:rFonts w:ascii="Arial" w:hAnsi="Arial" w:cs="DanaFajr" w:hint="cs"/>
          <w:sz w:val="28"/>
          <w:szCs w:val="28"/>
          <w:rtl/>
        </w:rPr>
        <w:t>9</w:t>
      </w:r>
      <w:r w:rsidRPr="006571AC">
        <w:rPr>
          <w:rFonts w:cs="DanaFajr" w:hint="cs"/>
          <w:sz w:val="28"/>
          <w:szCs w:val="28"/>
          <w:rtl/>
        </w:rPr>
        <w:t>٥.</w:t>
      </w:r>
    </w:p>
  </w:endnote>
  <w:endnote w:id="697">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المصدر السابق: 394 ـ ٣</w:t>
      </w:r>
      <w:r w:rsidRPr="006571AC">
        <w:rPr>
          <w:rFonts w:ascii="Arial" w:hAnsi="Arial" w:cs="DanaFajr" w:hint="cs"/>
          <w:sz w:val="28"/>
          <w:szCs w:val="28"/>
          <w:rtl/>
        </w:rPr>
        <w:t>9</w:t>
      </w:r>
      <w:r w:rsidRPr="006571AC">
        <w:rPr>
          <w:rFonts w:cs="DanaFajr" w:hint="cs"/>
          <w:sz w:val="28"/>
          <w:szCs w:val="28"/>
          <w:rtl/>
        </w:rPr>
        <w:t>٦.</w:t>
      </w:r>
    </w:p>
  </w:endnote>
  <w:endnote w:id="698">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400 ـ </w:t>
      </w:r>
      <w:r w:rsidRPr="006571AC">
        <w:rPr>
          <w:rFonts w:ascii="Arial" w:hAnsi="Arial" w:cs="DanaFajr" w:hint="cs"/>
          <w:sz w:val="28"/>
          <w:szCs w:val="28"/>
          <w:rtl/>
        </w:rPr>
        <w:t>401</w:t>
      </w:r>
      <w:r w:rsidRPr="006571AC">
        <w:rPr>
          <w:rFonts w:cs="DanaFajr" w:hint="cs"/>
          <w:sz w:val="28"/>
          <w:szCs w:val="28"/>
          <w:rtl/>
        </w:rPr>
        <w:t>.</w:t>
      </w:r>
    </w:p>
  </w:endnote>
  <w:endnote w:id="699">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5 ـ ٦، دار الإرشاد، ط</w:t>
      </w:r>
      <w:r w:rsidRPr="006571AC">
        <w:rPr>
          <w:rFonts w:ascii="Arial" w:hAnsi="Arial" w:cs="DanaFajr" w:hint="cs"/>
          <w:sz w:val="28"/>
          <w:szCs w:val="28"/>
          <w:rtl/>
        </w:rPr>
        <w:t>1</w:t>
      </w:r>
      <w:r w:rsidRPr="006571AC">
        <w:rPr>
          <w:rFonts w:cs="DanaFajr" w:hint="cs"/>
          <w:sz w:val="28"/>
          <w:szCs w:val="28"/>
          <w:rtl/>
        </w:rPr>
        <w:t xml:space="preserve">، </w:t>
      </w:r>
      <w:r w:rsidRPr="006571AC">
        <w:rPr>
          <w:rFonts w:ascii="Arial" w:hAnsi="Arial" w:cs="DanaFajr" w:hint="cs"/>
          <w:sz w:val="28"/>
          <w:szCs w:val="28"/>
          <w:rtl/>
        </w:rPr>
        <w:t>14</w:t>
      </w:r>
      <w:r w:rsidRPr="006571AC">
        <w:rPr>
          <w:rFonts w:cs="DanaFajr" w:hint="cs"/>
          <w:sz w:val="28"/>
          <w:szCs w:val="28"/>
          <w:rtl/>
        </w:rPr>
        <w:t>٣</w:t>
      </w:r>
      <w:r w:rsidRPr="006571AC">
        <w:rPr>
          <w:rFonts w:ascii="Arial" w:hAnsi="Arial" w:cs="DanaFajr" w:hint="cs"/>
          <w:sz w:val="28"/>
          <w:szCs w:val="28"/>
          <w:rtl/>
        </w:rPr>
        <w:t>2</w:t>
      </w:r>
      <w:r w:rsidRPr="006571AC">
        <w:rPr>
          <w:rFonts w:cs="DanaFajr" w:hint="cs"/>
          <w:sz w:val="28"/>
          <w:szCs w:val="28"/>
          <w:rtl/>
        </w:rPr>
        <w:t xml:space="preserve">هـ ـ </w:t>
      </w:r>
      <w:r w:rsidRPr="006571AC">
        <w:rPr>
          <w:rFonts w:ascii="Arial" w:hAnsi="Arial" w:cs="DanaFajr" w:hint="cs"/>
          <w:sz w:val="28"/>
          <w:szCs w:val="28"/>
          <w:rtl/>
        </w:rPr>
        <w:t>2011</w:t>
      </w:r>
      <w:r w:rsidRPr="006571AC">
        <w:rPr>
          <w:rFonts w:cs="DanaFajr" w:hint="cs"/>
          <w:sz w:val="28"/>
          <w:szCs w:val="28"/>
          <w:rtl/>
        </w:rPr>
        <w:t>م.</w:t>
      </w:r>
    </w:p>
  </w:endnote>
  <w:endnote w:id="700">
    <w:p w:rsidR="00DB2356" w:rsidRPr="006571AC" w:rsidRDefault="00DB2356" w:rsidP="001069FB">
      <w:pPr>
        <w:pStyle w:val="Body"/>
        <w:spacing w:line="312" w:lineRule="exact"/>
        <w:jc w:val="both"/>
        <w:rPr>
          <w:rFonts w:ascii="Arial" w:hAnsi="Arial" w:cs="Arial" w:hint="default"/>
          <w:color w:val="auto"/>
          <w:sz w:val="28"/>
          <w:szCs w:val="28"/>
          <w:rtl/>
        </w:rPr>
      </w:pPr>
      <w:r w:rsidRPr="006571AC">
        <w:rPr>
          <w:rFonts w:cs="DanaFajr" w:hint="default"/>
          <w:color w:val="auto"/>
          <w:sz w:val="28"/>
          <w:szCs w:val="28"/>
          <w:rtl/>
        </w:rPr>
        <w:t>(</w:t>
      </w:r>
      <w:r w:rsidRPr="006571AC">
        <w:rPr>
          <w:rStyle w:val="ac"/>
          <w:rFonts w:cs="DanaFajr"/>
          <w:color w:val="auto"/>
          <w:sz w:val="28"/>
          <w:szCs w:val="28"/>
          <w:vertAlign w:val="baseline"/>
        </w:rPr>
        <w:endnoteRef/>
      </w:r>
      <w:r w:rsidRPr="006571AC">
        <w:rPr>
          <w:rFonts w:cs="DanaFajr" w:hint="default"/>
          <w:color w:val="auto"/>
          <w:sz w:val="28"/>
          <w:szCs w:val="28"/>
          <w:rtl/>
        </w:rPr>
        <w:t xml:space="preserve">) </w:t>
      </w:r>
      <w:r w:rsidRPr="006571AC">
        <w:rPr>
          <w:rFonts w:ascii="Arial" w:hAnsi="Arial" w:cs="DanaFajr"/>
          <w:color w:val="auto"/>
          <w:sz w:val="28"/>
          <w:szCs w:val="28"/>
          <w:rtl/>
        </w:rPr>
        <w:t xml:space="preserve">حامد عبد السلام زهران، التوجيه والإرشاد النفسي: </w:t>
      </w:r>
      <w:r w:rsidRPr="006571AC">
        <w:rPr>
          <w:rFonts w:ascii="Arial" w:hAnsi="Arial" w:cs="DanaFajr"/>
          <w:color w:val="auto"/>
          <w:sz w:val="28"/>
          <w:szCs w:val="28"/>
          <w:rtl/>
          <w:lang w:val="en-US"/>
        </w:rPr>
        <w:t>8</w:t>
      </w:r>
      <w:r w:rsidRPr="006571AC">
        <w:rPr>
          <w:rFonts w:ascii="Arial" w:hAnsi="Arial" w:cs="DanaFajr"/>
          <w:color w:val="auto"/>
          <w:sz w:val="28"/>
          <w:szCs w:val="28"/>
          <w:rtl/>
        </w:rPr>
        <w:t>٣، عالم الكتب، ط</w:t>
      </w:r>
      <w:r w:rsidRPr="006571AC">
        <w:rPr>
          <w:rFonts w:ascii="Arial" w:hAnsi="Arial" w:cs="DanaFajr"/>
          <w:color w:val="auto"/>
          <w:sz w:val="28"/>
          <w:szCs w:val="28"/>
          <w:rtl/>
          <w:lang w:val="en-US"/>
        </w:rPr>
        <w:t>1،</w:t>
      </w:r>
      <w:r w:rsidRPr="006571AC">
        <w:rPr>
          <w:rFonts w:ascii="Arial" w:hAnsi="Arial" w:cs="DanaFajr"/>
          <w:color w:val="auto"/>
          <w:sz w:val="28"/>
          <w:szCs w:val="28"/>
          <w:rtl/>
        </w:rPr>
        <w:t xml:space="preserve"> </w:t>
      </w:r>
      <w:r w:rsidRPr="006571AC">
        <w:rPr>
          <w:rFonts w:ascii="Arial" w:hAnsi="Arial" w:cs="DanaFajr"/>
          <w:color w:val="auto"/>
          <w:sz w:val="28"/>
          <w:szCs w:val="28"/>
          <w:rtl/>
          <w:lang w:val="en-US"/>
        </w:rPr>
        <w:t>1982م.</w:t>
      </w:r>
    </w:p>
  </w:endnote>
  <w:endnote w:id="701">
    <w:p w:rsidR="00DB2356" w:rsidRPr="006571AC" w:rsidRDefault="00DB2356" w:rsidP="001069FB">
      <w:pPr>
        <w:pStyle w:val="Body"/>
        <w:spacing w:line="312" w:lineRule="exact"/>
        <w:jc w:val="both"/>
        <w:rPr>
          <w:rFonts w:ascii="Arial" w:hAnsi="Arial" w:cs="Arial" w:hint="default"/>
          <w:color w:val="auto"/>
          <w:sz w:val="28"/>
          <w:szCs w:val="28"/>
          <w:rtl/>
        </w:rPr>
      </w:pPr>
      <w:r w:rsidRPr="006571AC">
        <w:rPr>
          <w:rFonts w:cs="DanaFajr" w:hint="default"/>
          <w:color w:val="auto"/>
          <w:sz w:val="28"/>
          <w:szCs w:val="28"/>
          <w:rtl/>
        </w:rPr>
        <w:t>(</w:t>
      </w:r>
      <w:r w:rsidRPr="006571AC">
        <w:rPr>
          <w:rStyle w:val="ac"/>
          <w:rFonts w:cs="DanaFajr"/>
          <w:color w:val="auto"/>
          <w:sz w:val="28"/>
          <w:szCs w:val="28"/>
          <w:vertAlign w:val="baseline"/>
        </w:rPr>
        <w:endnoteRef/>
      </w:r>
      <w:r w:rsidRPr="006571AC">
        <w:rPr>
          <w:rFonts w:cs="DanaFajr" w:hint="default"/>
          <w:color w:val="auto"/>
          <w:sz w:val="28"/>
          <w:szCs w:val="28"/>
          <w:rtl/>
        </w:rPr>
        <w:t xml:space="preserve">) </w:t>
      </w:r>
      <w:r w:rsidRPr="006571AC">
        <w:rPr>
          <w:rFonts w:ascii="Arial" w:hAnsi="Arial" w:cs="DanaFajr"/>
          <w:color w:val="auto"/>
          <w:sz w:val="28"/>
          <w:szCs w:val="28"/>
          <w:rtl/>
        </w:rPr>
        <w:t xml:space="preserve">محمود عبد الله صالح، أساسيات في الإرشاد التربوي: </w:t>
      </w:r>
      <w:r w:rsidRPr="006571AC">
        <w:rPr>
          <w:rFonts w:ascii="Arial" w:hAnsi="Arial" w:cs="DanaFajr"/>
          <w:color w:val="auto"/>
          <w:sz w:val="28"/>
          <w:szCs w:val="28"/>
          <w:rtl/>
          <w:lang w:val="en-US"/>
        </w:rPr>
        <w:t>18</w:t>
      </w:r>
      <w:r w:rsidRPr="006571AC">
        <w:rPr>
          <w:rFonts w:ascii="Arial" w:hAnsi="Arial" w:cs="DanaFajr"/>
          <w:color w:val="auto"/>
          <w:sz w:val="28"/>
          <w:szCs w:val="28"/>
          <w:rtl/>
        </w:rPr>
        <w:t>٣، دار المريخ للنشر، الرياض ـ السعودية، ط</w:t>
      </w:r>
      <w:r w:rsidRPr="006571AC">
        <w:rPr>
          <w:rFonts w:ascii="Arial" w:hAnsi="Arial" w:cs="DanaFajr"/>
          <w:color w:val="auto"/>
          <w:sz w:val="28"/>
          <w:szCs w:val="28"/>
          <w:rtl/>
          <w:lang w:val="en-US"/>
        </w:rPr>
        <w:t>1</w:t>
      </w:r>
      <w:r w:rsidRPr="006571AC">
        <w:rPr>
          <w:rFonts w:ascii="Arial" w:hAnsi="Arial" w:cs="DanaFajr"/>
          <w:color w:val="auto"/>
          <w:sz w:val="28"/>
          <w:szCs w:val="28"/>
          <w:rtl/>
        </w:rPr>
        <w:t xml:space="preserve">، </w:t>
      </w:r>
      <w:r w:rsidRPr="006571AC">
        <w:rPr>
          <w:rFonts w:ascii="Arial" w:hAnsi="Arial" w:cs="DanaFajr"/>
          <w:color w:val="auto"/>
          <w:sz w:val="28"/>
          <w:szCs w:val="28"/>
          <w:rtl/>
          <w:lang w:val="en-US"/>
        </w:rPr>
        <w:t>198</w:t>
      </w:r>
      <w:r w:rsidRPr="006571AC">
        <w:rPr>
          <w:rFonts w:ascii="Arial" w:hAnsi="Arial" w:cs="DanaFajr"/>
          <w:color w:val="auto"/>
          <w:sz w:val="28"/>
          <w:szCs w:val="28"/>
          <w:rtl/>
        </w:rPr>
        <w:t>5م</w:t>
      </w:r>
      <w:r w:rsidRPr="006571AC">
        <w:rPr>
          <w:rFonts w:ascii="Arial" w:hAnsi="Arial" w:cs="Arial"/>
          <w:color w:val="auto"/>
          <w:sz w:val="28"/>
          <w:szCs w:val="28"/>
          <w:rtl/>
        </w:rPr>
        <w:t>.</w:t>
      </w:r>
    </w:p>
  </w:endnote>
  <w:endnote w:id="702">
    <w:p w:rsidR="00DB2356" w:rsidRPr="006571AC" w:rsidRDefault="00DB2356" w:rsidP="001069FB">
      <w:pPr>
        <w:pStyle w:val="Body"/>
        <w:spacing w:line="312" w:lineRule="exact"/>
        <w:jc w:val="both"/>
        <w:rPr>
          <w:rFonts w:ascii="Arial" w:hAnsi="Arial" w:cs="Arial" w:hint="default"/>
          <w:color w:val="auto"/>
          <w:sz w:val="28"/>
          <w:szCs w:val="28"/>
          <w:rtl/>
        </w:rPr>
      </w:pPr>
      <w:r w:rsidRPr="006571AC">
        <w:rPr>
          <w:rFonts w:cs="DanaFajr" w:hint="default"/>
          <w:color w:val="auto"/>
          <w:sz w:val="28"/>
          <w:szCs w:val="28"/>
          <w:rtl/>
        </w:rPr>
        <w:t>(</w:t>
      </w:r>
      <w:r w:rsidRPr="006571AC">
        <w:rPr>
          <w:rStyle w:val="ac"/>
          <w:rFonts w:cs="DanaFajr"/>
          <w:color w:val="auto"/>
          <w:sz w:val="28"/>
          <w:szCs w:val="28"/>
          <w:vertAlign w:val="baseline"/>
        </w:rPr>
        <w:endnoteRef/>
      </w:r>
      <w:r w:rsidRPr="006571AC">
        <w:rPr>
          <w:rFonts w:cs="DanaFajr" w:hint="default"/>
          <w:color w:val="auto"/>
          <w:sz w:val="28"/>
          <w:szCs w:val="28"/>
          <w:rtl/>
        </w:rPr>
        <w:t xml:space="preserve">) </w:t>
      </w:r>
      <w:r w:rsidRPr="006571AC">
        <w:rPr>
          <w:rFonts w:ascii="Arial" w:hAnsi="Arial" w:cs="DanaFajr"/>
          <w:color w:val="auto"/>
          <w:sz w:val="28"/>
          <w:szCs w:val="28"/>
          <w:rtl/>
        </w:rPr>
        <w:t xml:space="preserve">حامد عبد السلام زهران، التوجيه والإرشاد النفسي: </w:t>
      </w:r>
      <w:r w:rsidRPr="006571AC">
        <w:rPr>
          <w:rFonts w:ascii="Arial" w:hAnsi="Arial" w:cs="DanaFajr"/>
          <w:color w:val="auto"/>
          <w:sz w:val="28"/>
          <w:szCs w:val="28"/>
          <w:rtl/>
          <w:lang w:val="en-US"/>
        </w:rPr>
        <w:t>82</w:t>
      </w:r>
      <w:r w:rsidRPr="006571AC">
        <w:rPr>
          <w:rFonts w:ascii="Arial" w:hAnsi="Arial" w:cs="Arial"/>
          <w:color w:val="auto"/>
          <w:sz w:val="28"/>
          <w:szCs w:val="28"/>
          <w:rtl/>
        </w:rPr>
        <w:t>.</w:t>
      </w:r>
    </w:p>
  </w:endnote>
  <w:endnote w:id="703">
    <w:p w:rsidR="00DB2356" w:rsidRPr="006571AC" w:rsidRDefault="00DB2356" w:rsidP="001069FB">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Arial" w:hAnsi="Arial" w:cs="DanaFajr" w:hint="cs"/>
          <w:sz w:val="28"/>
          <w:szCs w:val="28"/>
          <w:rtl/>
        </w:rPr>
        <w:t>الم</w:t>
      </w:r>
      <w:r w:rsidRPr="006571AC">
        <w:rPr>
          <w:rFonts w:ascii="Arial" w:hAnsi="Arial" w:cs="DanaFajr"/>
          <w:sz w:val="28"/>
          <w:szCs w:val="28"/>
          <w:rtl/>
        </w:rPr>
        <w:t xml:space="preserve">صدر </w:t>
      </w:r>
      <w:r w:rsidRPr="006571AC">
        <w:rPr>
          <w:rFonts w:ascii="Arial" w:hAnsi="Arial" w:cs="DanaFajr" w:hint="cs"/>
          <w:sz w:val="28"/>
          <w:szCs w:val="28"/>
          <w:rtl/>
        </w:rPr>
        <w:t>ال</w:t>
      </w:r>
      <w:r w:rsidRPr="006571AC">
        <w:rPr>
          <w:rFonts w:ascii="Arial" w:hAnsi="Arial" w:cs="DanaFajr"/>
          <w:sz w:val="28"/>
          <w:szCs w:val="28"/>
          <w:rtl/>
        </w:rPr>
        <w:t xml:space="preserve">سابق: </w:t>
      </w:r>
      <w:r w:rsidRPr="006571AC">
        <w:rPr>
          <w:rFonts w:ascii="Arial" w:hAnsi="Arial" w:cs="DanaFajr" w:hint="cs"/>
          <w:sz w:val="28"/>
          <w:szCs w:val="28"/>
          <w:rtl/>
        </w:rPr>
        <w:t>8</w:t>
      </w:r>
      <w:r w:rsidRPr="006571AC">
        <w:rPr>
          <w:rFonts w:ascii="Arial" w:hAnsi="Arial" w:cs="DanaFajr"/>
          <w:sz w:val="28"/>
          <w:szCs w:val="28"/>
          <w:rtl/>
        </w:rPr>
        <w:t>٣</w:t>
      </w:r>
      <w:r w:rsidRPr="006571AC">
        <w:rPr>
          <w:rFonts w:cs="DanaFajr" w:hint="cs"/>
          <w:sz w:val="28"/>
          <w:szCs w:val="28"/>
          <w:rtl/>
        </w:rPr>
        <w:t>.</w:t>
      </w:r>
    </w:p>
  </w:endnote>
  <w:endnote w:id="704">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w:t>
      </w:r>
      <w:r w:rsidRPr="006571AC">
        <w:rPr>
          <w:rFonts w:ascii="Arial" w:hAnsi="Arial" w:cs="DanaFajr" w:hint="cs"/>
          <w:sz w:val="28"/>
          <w:szCs w:val="28"/>
          <w:rtl/>
        </w:rPr>
        <w:t>101</w:t>
      </w:r>
      <w:r w:rsidRPr="006571AC">
        <w:rPr>
          <w:rFonts w:cs="DanaFajr" w:hint="cs"/>
          <w:sz w:val="28"/>
          <w:szCs w:val="28"/>
          <w:rtl/>
        </w:rPr>
        <w:t>.</w:t>
      </w:r>
    </w:p>
  </w:endnote>
  <w:endnote w:id="705">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101 ـ </w:t>
      </w:r>
      <w:r w:rsidRPr="006571AC">
        <w:rPr>
          <w:rFonts w:ascii="Arial" w:hAnsi="Arial" w:cs="DanaFajr" w:hint="cs"/>
          <w:sz w:val="28"/>
          <w:szCs w:val="28"/>
          <w:rtl/>
        </w:rPr>
        <w:t>102</w:t>
      </w:r>
      <w:r w:rsidRPr="006571AC">
        <w:rPr>
          <w:rFonts w:cs="DanaFajr" w:hint="cs"/>
          <w:sz w:val="28"/>
          <w:szCs w:val="28"/>
          <w:rtl/>
        </w:rPr>
        <w:t>.</w:t>
      </w:r>
    </w:p>
  </w:endnote>
  <w:endnote w:id="706">
    <w:p w:rsidR="00DB2356" w:rsidRPr="006571AC" w:rsidRDefault="00DB2356" w:rsidP="001069FB">
      <w:pPr>
        <w:pStyle w:val="Body"/>
        <w:spacing w:line="312" w:lineRule="exact"/>
        <w:jc w:val="both"/>
        <w:rPr>
          <w:rFonts w:ascii="Arial" w:hAnsi="Arial" w:cs="Arial" w:hint="default"/>
          <w:color w:val="auto"/>
          <w:sz w:val="28"/>
          <w:szCs w:val="28"/>
          <w:rtl/>
        </w:rPr>
      </w:pPr>
      <w:r w:rsidRPr="006571AC">
        <w:rPr>
          <w:rFonts w:cs="DanaFajr" w:hint="default"/>
          <w:color w:val="auto"/>
          <w:sz w:val="28"/>
          <w:szCs w:val="28"/>
          <w:rtl/>
        </w:rPr>
        <w:t>(</w:t>
      </w:r>
      <w:r w:rsidRPr="006571AC">
        <w:rPr>
          <w:rStyle w:val="ac"/>
          <w:rFonts w:cs="DanaFajr"/>
          <w:color w:val="auto"/>
          <w:sz w:val="28"/>
          <w:szCs w:val="28"/>
          <w:vertAlign w:val="baseline"/>
        </w:rPr>
        <w:endnoteRef/>
      </w:r>
      <w:r w:rsidRPr="006571AC">
        <w:rPr>
          <w:rFonts w:cs="DanaFajr" w:hint="default"/>
          <w:color w:val="auto"/>
          <w:sz w:val="28"/>
          <w:szCs w:val="28"/>
          <w:rtl/>
        </w:rPr>
        <w:t xml:space="preserve">) </w:t>
      </w:r>
      <w:r w:rsidRPr="006571AC">
        <w:rPr>
          <w:rFonts w:ascii="Arial" w:hAnsi="Arial" w:cs="DanaFajr"/>
          <w:color w:val="auto"/>
          <w:sz w:val="28"/>
          <w:szCs w:val="28"/>
          <w:rtl/>
        </w:rPr>
        <w:t xml:space="preserve">حامد عبد السلام زهران، التوجيه والإرشاد النفسي: </w:t>
      </w:r>
      <w:r w:rsidRPr="006571AC">
        <w:rPr>
          <w:rFonts w:ascii="Arial" w:hAnsi="Arial" w:cs="DanaFajr"/>
          <w:color w:val="auto"/>
          <w:sz w:val="28"/>
          <w:szCs w:val="28"/>
          <w:rtl/>
          <w:lang w:val="en-US"/>
        </w:rPr>
        <w:t>84</w:t>
      </w:r>
      <w:r w:rsidRPr="006571AC">
        <w:rPr>
          <w:rFonts w:ascii="Arial" w:hAnsi="Arial" w:cs="Arial"/>
          <w:color w:val="auto"/>
          <w:sz w:val="28"/>
          <w:szCs w:val="28"/>
          <w:rtl/>
        </w:rPr>
        <w:t>.</w:t>
      </w:r>
    </w:p>
  </w:endnote>
  <w:endnote w:id="707">
    <w:p w:rsidR="00DB2356" w:rsidRPr="006571AC" w:rsidRDefault="00DB2356" w:rsidP="001069FB">
      <w:pPr>
        <w:pStyle w:val="Body"/>
        <w:spacing w:line="312" w:lineRule="exact"/>
        <w:jc w:val="both"/>
        <w:rPr>
          <w:rFonts w:ascii="Arial" w:hAnsi="Arial" w:cs="DanaFajr" w:hint="default"/>
          <w:color w:val="auto"/>
          <w:sz w:val="28"/>
          <w:szCs w:val="28"/>
          <w:lang w:val="en-US"/>
        </w:rPr>
      </w:pPr>
      <w:r w:rsidRPr="006571AC">
        <w:rPr>
          <w:rFonts w:cs="DanaFajr" w:hint="default"/>
          <w:color w:val="auto"/>
          <w:sz w:val="28"/>
          <w:szCs w:val="28"/>
          <w:rtl/>
        </w:rPr>
        <w:t>(</w:t>
      </w:r>
      <w:r w:rsidRPr="006571AC">
        <w:rPr>
          <w:rStyle w:val="ac"/>
          <w:rFonts w:cs="DanaFajr"/>
          <w:color w:val="auto"/>
          <w:sz w:val="28"/>
          <w:szCs w:val="28"/>
          <w:vertAlign w:val="baseline"/>
        </w:rPr>
        <w:endnoteRef/>
      </w:r>
      <w:r w:rsidRPr="006571AC">
        <w:rPr>
          <w:rFonts w:cs="DanaFajr" w:hint="default"/>
          <w:color w:val="auto"/>
          <w:sz w:val="28"/>
          <w:szCs w:val="28"/>
          <w:rtl/>
        </w:rPr>
        <w:t>)</w:t>
      </w:r>
      <w:r w:rsidRPr="006571AC">
        <w:rPr>
          <w:rFonts w:ascii="Arial" w:hAnsi="Arial" w:cs="DanaFajr"/>
          <w:color w:val="auto"/>
          <w:sz w:val="28"/>
          <w:szCs w:val="28"/>
          <w:rtl/>
        </w:rPr>
        <w:t xml:space="preserve"> محمد باقر الصدر، فلسفتنا: ٣</w:t>
      </w:r>
      <w:r w:rsidRPr="006571AC">
        <w:rPr>
          <w:rFonts w:ascii="Arial" w:hAnsi="Arial" w:cs="DanaFajr"/>
          <w:color w:val="auto"/>
          <w:sz w:val="28"/>
          <w:szCs w:val="28"/>
          <w:rtl/>
          <w:lang w:val="en-US"/>
        </w:rPr>
        <w:t>2</w:t>
      </w:r>
      <w:r w:rsidRPr="006571AC">
        <w:rPr>
          <w:rFonts w:ascii="Arial" w:hAnsi="Arial" w:cs="DanaFajr"/>
          <w:color w:val="auto"/>
          <w:sz w:val="28"/>
          <w:szCs w:val="28"/>
          <w:rtl/>
        </w:rPr>
        <w:t>، ٣٣، دار التعارف للمطبوعات، ط</w:t>
      </w:r>
      <w:r w:rsidRPr="006571AC">
        <w:rPr>
          <w:rFonts w:ascii="Arial" w:hAnsi="Arial" w:cs="DanaFajr"/>
          <w:color w:val="auto"/>
          <w:sz w:val="28"/>
          <w:szCs w:val="28"/>
          <w:rtl/>
          <w:lang w:val="en-US"/>
        </w:rPr>
        <w:t>2</w:t>
      </w:r>
      <w:r w:rsidRPr="006571AC">
        <w:rPr>
          <w:rFonts w:ascii="Arial" w:hAnsi="Arial" w:cs="DanaFajr"/>
          <w:color w:val="auto"/>
          <w:sz w:val="28"/>
          <w:szCs w:val="28"/>
          <w:rtl/>
        </w:rPr>
        <w:t xml:space="preserve">، </w:t>
      </w:r>
      <w:r w:rsidRPr="006571AC">
        <w:rPr>
          <w:rFonts w:ascii="Arial" w:hAnsi="Arial" w:cs="DanaFajr"/>
          <w:color w:val="auto"/>
          <w:sz w:val="28"/>
          <w:szCs w:val="28"/>
          <w:rtl/>
          <w:lang w:val="en-US"/>
        </w:rPr>
        <w:t>1998م.</w:t>
      </w:r>
    </w:p>
  </w:endnote>
  <w:endnote w:id="708">
    <w:p w:rsidR="00DB2356" w:rsidRPr="006571AC" w:rsidRDefault="00DB2356" w:rsidP="001069FB">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٣</w:t>
      </w:r>
      <w:r w:rsidRPr="006571AC">
        <w:rPr>
          <w:rFonts w:ascii="Arial" w:hAnsi="Arial" w:cs="DanaFajr" w:hint="cs"/>
          <w:sz w:val="28"/>
          <w:szCs w:val="28"/>
          <w:rtl/>
        </w:rPr>
        <w:t>0</w:t>
      </w:r>
      <w:r w:rsidRPr="006571AC">
        <w:rPr>
          <w:rFonts w:cs="DanaFajr" w:hint="cs"/>
          <w:sz w:val="28"/>
          <w:szCs w:val="28"/>
          <w:rtl/>
        </w:rPr>
        <w:t>.</w:t>
      </w:r>
    </w:p>
  </w:endnote>
  <w:endnote w:id="709">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المصدر السابق: ٣</w:t>
      </w:r>
      <w:r w:rsidRPr="006571AC">
        <w:rPr>
          <w:rFonts w:ascii="Arial" w:hAnsi="Arial" w:cs="DanaFajr" w:hint="cs"/>
          <w:sz w:val="28"/>
          <w:szCs w:val="28"/>
          <w:rtl/>
        </w:rPr>
        <w:t>1</w:t>
      </w:r>
      <w:r w:rsidRPr="006571AC">
        <w:rPr>
          <w:rFonts w:cs="DanaFajr" w:hint="cs"/>
          <w:sz w:val="28"/>
          <w:szCs w:val="28"/>
          <w:rtl/>
        </w:rPr>
        <w:t>.</w:t>
      </w:r>
    </w:p>
  </w:endnote>
  <w:endnote w:id="710">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المصدر السابق: 31 ـ ٣</w:t>
      </w:r>
      <w:r w:rsidRPr="006571AC">
        <w:rPr>
          <w:rFonts w:ascii="Arial" w:hAnsi="Arial" w:cs="DanaFajr" w:hint="cs"/>
          <w:sz w:val="28"/>
          <w:szCs w:val="28"/>
          <w:rtl/>
        </w:rPr>
        <w:t>2</w:t>
      </w:r>
      <w:r w:rsidRPr="006571AC">
        <w:rPr>
          <w:rFonts w:cs="DanaFajr" w:hint="cs"/>
          <w:sz w:val="28"/>
          <w:szCs w:val="28"/>
          <w:rtl/>
        </w:rPr>
        <w:t>.</w:t>
      </w:r>
    </w:p>
  </w:endnote>
  <w:endnote w:id="711">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w:t>
      </w:r>
      <w:r w:rsidRPr="006571AC">
        <w:rPr>
          <w:rFonts w:ascii="Arial" w:hAnsi="Arial" w:cs="DanaFajr" w:hint="cs"/>
          <w:sz w:val="28"/>
          <w:szCs w:val="28"/>
          <w:rtl/>
        </w:rPr>
        <w:t>40</w:t>
      </w:r>
      <w:r w:rsidRPr="006571AC">
        <w:rPr>
          <w:rFonts w:cs="DanaFajr" w:hint="cs"/>
          <w:sz w:val="28"/>
          <w:szCs w:val="28"/>
          <w:rtl/>
        </w:rPr>
        <w:t>.</w:t>
      </w:r>
    </w:p>
  </w:endnote>
  <w:endnote w:id="712">
    <w:p w:rsidR="00DB2356" w:rsidRPr="006571AC" w:rsidRDefault="00DB2356" w:rsidP="001069FB">
      <w:pPr>
        <w:pStyle w:val="Body"/>
        <w:spacing w:line="306" w:lineRule="exact"/>
        <w:jc w:val="both"/>
        <w:rPr>
          <w:rFonts w:ascii="Arial" w:hAnsi="Arial" w:cs="Arial" w:hint="default"/>
          <w:color w:val="auto"/>
          <w:sz w:val="28"/>
          <w:szCs w:val="28"/>
          <w:rtl/>
        </w:rPr>
      </w:pPr>
      <w:r w:rsidRPr="006571AC">
        <w:rPr>
          <w:rFonts w:cs="DanaFajr" w:hint="default"/>
          <w:color w:val="auto"/>
          <w:sz w:val="28"/>
          <w:szCs w:val="28"/>
          <w:rtl/>
        </w:rPr>
        <w:t>(</w:t>
      </w:r>
      <w:r w:rsidRPr="006571AC">
        <w:rPr>
          <w:rStyle w:val="ac"/>
          <w:rFonts w:cs="DanaFajr"/>
          <w:color w:val="auto"/>
          <w:sz w:val="28"/>
          <w:szCs w:val="28"/>
          <w:vertAlign w:val="baseline"/>
        </w:rPr>
        <w:endnoteRef/>
      </w:r>
      <w:r w:rsidRPr="006571AC">
        <w:rPr>
          <w:rFonts w:cs="DanaFajr" w:hint="default"/>
          <w:color w:val="auto"/>
          <w:sz w:val="28"/>
          <w:szCs w:val="28"/>
          <w:rtl/>
        </w:rPr>
        <w:t>)</w:t>
      </w:r>
      <w:r w:rsidRPr="006571AC">
        <w:rPr>
          <w:rFonts w:ascii="Arial" w:hAnsi="Arial" w:cs="DanaFajr"/>
          <w:color w:val="auto"/>
          <w:sz w:val="28"/>
          <w:szCs w:val="28"/>
          <w:rtl/>
        </w:rPr>
        <w:t xml:space="preserve"> السيد محمد الصدر، حبّ الذات وتأثيره في السلوك الإنساني: 48 ـ 49، ٥</w:t>
      </w:r>
      <w:r w:rsidRPr="006571AC">
        <w:rPr>
          <w:rFonts w:ascii="Arial" w:hAnsi="Arial" w:cs="DanaFajr"/>
          <w:color w:val="auto"/>
          <w:sz w:val="28"/>
          <w:szCs w:val="28"/>
          <w:rtl/>
          <w:lang w:val="en-US"/>
        </w:rPr>
        <w:t>9</w:t>
      </w:r>
      <w:r w:rsidRPr="006571AC">
        <w:rPr>
          <w:rFonts w:ascii="Arial" w:hAnsi="Arial" w:cs="DanaFajr"/>
          <w:color w:val="auto"/>
          <w:sz w:val="28"/>
          <w:szCs w:val="28"/>
          <w:rtl/>
        </w:rPr>
        <w:t>، مؤسّسة المنتظر لإحياء تراث آل الصدر، مطبعة وفا، ط</w:t>
      </w:r>
      <w:r w:rsidRPr="006571AC">
        <w:rPr>
          <w:rFonts w:ascii="Arial" w:hAnsi="Arial" w:cs="DanaFajr"/>
          <w:color w:val="auto"/>
          <w:sz w:val="28"/>
          <w:szCs w:val="28"/>
          <w:rtl/>
          <w:lang w:val="en-US"/>
        </w:rPr>
        <w:t>1</w:t>
      </w:r>
      <w:r w:rsidRPr="006571AC">
        <w:rPr>
          <w:rFonts w:ascii="Arial" w:hAnsi="Arial" w:cs="DanaFajr"/>
          <w:color w:val="auto"/>
          <w:sz w:val="28"/>
          <w:szCs w:val="28"/>
          <w:rtl/>
        </w:rPr>
        <w:t xml:space="preserve">، </w:t>
      </w:r>
      <w:r w:rsidRPr="006571AC">
        <w:rPr>
          <w:rFonts w:ascii="Arial" w:hAnsi="Arial" w:cs="DanaFajr"/>
          <w:color w:val="auto"/>
          <w:sz w:val="28"/>
          <w:szCs w:val="28"/>
          <w:rtl/>
          <w:lang w:val="en-US"/>
        </w:rPr>
        <w:t>201</w:t>
      </w:r>
      <w:r w:rsidRPr="006571AC">
        <w:rPr>
          <w:rFonts w:ascii="Arial" w:hAnsi="Arial" w:cs="DanaFajr"/>
          <w:color w:val="auto"/>
          <w:sz w:val="28"/>
          <w:szCs w:val="28"/>
          <w:rtl/>
        </w:rPr>
        <w:t xml:space="preserve">٣م. </w:t>
      </w:r>
    </w:p>
  </w:endnote>
  <w:endnote w:id="713">
    <w:p w:rsidR="00DB2356" w:rsidRPr="006571AC" w:rsidRDefault="00DB2356" w:rsidP="001069FB">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ascii="Arial" w:hAnsi="Arial" w:cs="DanaFajr" w:hint="cs"/>
          <w:sz w:val="28"/>
          <w:szCs w:val="28"/>
          <w:rtl/>
        </w:rPr>
        <w:t>الم</w:t>
      </w:r>
      <w:r w:rsidRPr="006571AC">
        <w:rPr>
          <w:rFonts w:ascii="Arial" w:hAnsi="Arial" w:cs="DanaFajr"/>
          <w:sz w:val="28"/>
          <w:szCs w:val="28"/>
          <w:rtl/>
        </w:rPr>
        <w:t xml:space="preserve">صدر </w:t>
      </w:r>
      <w:r w:rsidRPr="006571AC">
        <w:rPr>
          <w:rFonts w:ascii="Arial" w:hAnsi="Arial" w:cs="DanaFajr" w:hint="cs"/>
          <w:sz w:val="28"/>
          <w:szCs w:val="28"/>
          <w:rtl/>
        </w:rPr>
        <w:t>ال</w:t>
      </w:r>
      <w:r w:rsidRPr="006571AC">
        <w:rPr>
          <w:rFonts w:ascii="Arial" w:hAnsi="Arial" w:cs="DanaFajr"/>
          <w:sz w:val="28"/>
          <w:szCs w:val="28"/>
          <w:rtl/>
        </w:rPr>
        <w:t>سابق: ٦</w:t>
      </w:r>
      <w:r w:rsidRPr="006571AC">
        <w:rPr>
          <w:rFonts w:ascii="Arial" w:hAnsi="Arial" w:cs="DanaFajr" w:hint="cs"/>
          <w:sz w:val="28"/>
          <w:szCs w:val="28"/>
          <w:rtl/>
        </w:rPr>
        <w:t>0</w:t>
      </w:r>
      <w:r w:rsidRPr="006571AC">
        <w:rPr>
          <w:rFonts w:cs="DanaFajr" w:hint="cs"/>
          <w:sz w:val="28"/>
          <w:szCs w:val="28"/>
          <w:rtl/>
        </w:rPr>
        <w:t>.</w:t>
      </w:r>
    </w:p>
  </w:endnote>
  <w:endnote w:id="714">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33 ـ ٣</w:t>
      </w:r>
      <w:r w:rsidRPr="006571AC">
        <w:rPr>
          <w:rFonts w:ascii="Arial" w:hAnsi="Arial" w:cs="DanaFajr" w:hint="cs"/>
          <w:sz w:val="28"/>
          <w:szCs w:val="28"/>
          <w:rtl/>
        </w:rPr>
        <w:t>4</w:t>
      </w:r>
      <w:r w:rsidRPr="006571AC">
        <w:rPr>
          <w:rFonts w:cs="DanaFajr" w:hint="cs"/>
          <w:sz w:val="28"/>
          <w:szCs w:val="28"/>
          <w:rtl/>
        </w:rPr>
        <w:t>.</w:t>
      </w:r>
    </w:p>
  </w:endnote>
  <w:endnote w:id="715">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34 ـ 35، </w:t>
      </w:r>
      <w:r w:rsidRPr="006571AC">
        <w:rPr>
          <w:rFonts w:ascii="Arial" w:hAnsi="Arial" w:cs="DanaFajr" w:hint="cs"/>
          <w:sz w:val="28"/>
          <w:szCs w:val="28"/>
          <w:rtl/>
        </w:rPr>
        <w:t>40</w:t>
      </w:r>
      <w:r w:rsidRPr="006571AC">
        <w:rPr>
          <w:rFonts w:cs="DanaFajr" w:hint="cs"/>
          <w:sz w:val="28"/>
          <w:szCs w:val="28"/>
          <w:rtl/>
        </w:rPr>
        <w:t>.</w:t>
      </w:r>
    </w:p>
  </w:endnote>
  <w:endnote w:id="716">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w:t>
      </w:r>
      <w:r w:rsidRPr="006571AC">
        <w:rPr>
          <w:rFonts w:ascii="Arial" w:hAnsi="Arial" w:cs="DanaFajr" w:hint="cs"/>
          <w:sz w:val="28"/>
          <w:szCs w:val="28"/>
          <w:rtl/>
        </w:rPr>
        <w:t>41</w:t>
      </w:r>
      <w:r w:rsidRPr="006571AC">
        <w:rPr>
          <w:rFonts w:cs="DanaFajr" w:hint="cs"/>
          <w:sz w:val="28"/>
          <w:szCs w:val="28"/>
          <w:rtl/>
        </w:rPr>
        <w:t>.</w:t>
      </w:r>
    </w:p>
  </w:endnote>
  <w:endnote w:id="717">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w:t>
      </w:r>
      <w:r w:rsidRPr="006571AC">
        <w:rPr>
          <w:rFonts w:ascii="Arial" w:hAnsi="Arial" w:cs="DanaFajr" w:hint="cs"/>
          <w:sz w:val="28"/>
          <w:szCs w:val="28"/>
          <w:rtl/>
        </w:rPr>
        <w:t>42</w:t>
      </w:r>
      <w:r w:rsidRPr="006571AC">
        <w:rPr>
          <w:rFonts w:cs="DanaFajr" w:hint="cs"/>
          <w:sz w:val="28"/>
          <w:szCs w:val="28"/>
          <w:rtl/>
        </w:rPr>
        <w:t>.</w:t>
      </w:r>
    </w:p>
  </w:endnote>
  <w:endnote w:id="718">
    <w:p w:rsidR="00DB2356" w:rsidRPr="006571AC" w:rsidRDefault="00DB2356" w:rsidP="001069FB">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ascii="Arial" w:hAnsi="Arial" w:cs="DanaFajr" w:hint="cs"/>
          <w:sz w:val="28"/>
          <w:szCs w:val="28"/>
          <w:rtl/>
        </w:rPr>
        <w:t xml:space="preserve"> </w:t>
      </w:r>
      <w:r w:rsidRPr="006571AC">
        <w:rPr>
          <w:rFonts w:ascii="Arial" w:hAnsi="Arial" w:cs="DanaFajr"/>
          <w:sz w:val="28"/>
          <w:szCs w:val="28"/>
          <w:rtl/>
        </w:rPr>
        <w:t>السيد محمد الصدر</w:t>
      </w:r>
      <w:r w:rsidRPr="006571AC">
        <w:rPr>
          <w:rFonts w:ascii="Arial" w:hAnsi="Arial" w:cs="DanaFajr" w:hint="cs"/>
          <w:sz w:val="28"/>
          <w:szCs w:val="28"/>
          <w:rtl/>
        </w:rPr>
        <w:t xml:space="preserve">، </w:t>
      </w:r>
      <w:r w:rsidRPr="006571AC">
        <w:rPr>
          <w:rFonts w:ascii="Arial" w:hAnsi="Arial" w:cs="DanaFajr"/>
          <w:sz w:val="28"/>
          <w:szCs w:val="28"/>
          <w:rtl/>
        </w:rPr>
        <w:t>حب</w:t>
      </w:r>
      <w:r w:rsidRPr="006571AC">
        <w:rPr>
          <w:rFonts w:ascii="Arial" w:hAnsi="Arial" w:cs="DanaFajr" w:hint="cs"/>
          <w:sz w:val="28"/>
          <w:szCs w:val="28"/>
          <w:rtl/>
        </w:rPr>
        <w:t>ّ</w:t>
      </w:r>
      <w:r w:rsidRPr="006571AC">
        <w:rPr>
          <w:rFonts w:ascii="Arial" w:hAnsi="Arial" w:cs="DanaFajr"/>
          <w:sz w:val="28"/>
          <w:szCs w:val="28"/>
          <w:rtl/>
        </w:rPr>
        <w:t xml:space="preserve"> الذات وتأثيره في السلوك الإنساني:</w:t>
      </w:r>
      <w:r w:rsidRPr="006571AC">
        <w:rPr>
          <w:rFonts w:ascii="Arial" w:hAnsi="Arial" w:cs="DanaFajr" w:hint="cs"/>
          <w:sz w:val="28"/>
          <w:szCs w:val="28"/>
          <w:rtl/>
        </w:rPr>
        <w:t xml:space="preserve"> 91 ـ 94.</w:t>
      </w:r>
    </w:p>
  </w:endnote>
  <w:endnote w:id="719">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w:t>
      </w:r>
      <w:r w:rsidRPr="006571AC">
        <w:rPr>
          <w:rFonts w:ascii="Arial" w:hAnsi="Arial" w:cs="DanaFajr" w:hint="cs"/>
          <w:sz w:val="28"/>
          <w:szCs w:val="28"/>
          <w:rtl/>
        </w:rPr>
        <w:t>1</w:t>
      </w:r>
      <w:r w:rsidRPr="006571AC">
        <w:rPr>
          <w:rFonts w:cs="DanaFajr" w:hint="cs"/>
          <w:sz w:val="28"/>
          <w:szCs w:val="28"/>
          <w:rtl/>
        </w:rPr>
        <w:t>٥</w:t>
      </w:r>
      <w:r w:rsidRPr="006571AC">
        <w:rPr>
          <w:rFonts w:ascii="Arial" w:hAnsi="Arial" w:cs="DanaFajr" w:hint="cs"/>
          <w:sz w:val="28"/>
          <w:szCs w:val="28"/>
          <w:rtl/>
        </w:rPr>
        <w:t>0</w:t>
      </w:r>
      <w:r w:rsidRPr="006571AC">
        <w:rPr>
          <w:rFonts w:cs="DanaFajr" w:hint="cs"/>
          <w:sz w:val="28"/>
          <w:szCs w:val="28"/>
          <w:rtl/>
        </w:rPr>
        <w:t xml:space="preserve"> ـ 151.</w:t>
      </w:r>
    </w:p>
  </w:endnote>
  <w:endnote w:id="720">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عالمُ نفسٍ ومعلِّمٌ أمريكي. له العديد من النظريّات والمؤلَّفات في مجال المساعدة الذاتية المتعلِّقة بعلم النفس الإيجابي والرفاه داخل المجتمع العلمي. </w:t>
      </w:r>
    </w:p>
  </w:endnote>
  <w:endnote w:id="721">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w:t>
      </w:r>
      <w:r w:rsidRPr="006571AC">
        <w:rPr>
          <w:rFonts w:ascii="Arial" w:hAnsi="Arial" w:cs="DanaFajr" w:hint="cs"/>
          <w:sz w:val="28"/>
          <w:szCs w:val="28"/>
          <w:rtl/>
        </w:rPr>
        <w:t>1</w:t>
      </w:r>
      <w:r w:rsidRPr="006571AC">
        <w:rPr>
          <w:rFonts w:cs="DanaFajr" w:hint="cs"/>
          <w:sz w:val="28"/>
          <w:szCs w:val="28"/>
          <w:rtl/>
        </w:rPr>
        <w:t>٥</w:t>
      </w:r>
      <w:r w:rsidRPr="006571AC">
        <w:rPr>
          <w:rFonts w:ascii="Arial" w:hAnsi="Arial" w:cs="DanaFajr" w:hint="cs"/>
          <w:sz w:val="28"/>
          <w:szCs w:val="28"/>
          <w:rtl/>
        </w:rPr>
        <w:t>4</w:t>
      </w:r>
      <w:r w:rsidRPr="006571AC">
        <w:rPr>
          <w:rFonts w:cs="DanaFajr" w:hint="cs"/>
          <w:sz w:val="28"/>
          <w:szCs w:val="28"/>
          <w:rtl/>
        </w:rPr>
        <w:t>.</w:t>
      </w:r>
    </w:p>
  </w:endnote>
  <w:endnote w:id="722">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155 ـ </w:t>
      </w:r>
      <w:r w:rsidRPr="006571AC">
        <w:rPr>
          <w:rFonts w:ascii="Arial" w:hAnsi="Arial" w:cs="DanaFajr" w:hint="cs"/>
          <w:sz w:val="28"/>
          <w:szCs w:val="28"/>
          <w:rtl/>
        </w:rPr>
        <w:t>1</w:t>
      </w:r>
      <w:r w:rsidRPr="006571AC">
        <w:rPr>
          <w:rFonts w:cs="DanaFajr" w:hint="cs"/>
          <w:sz w:val="28"/>
          <w:szCs w:val="28"/>
          <w:rtl/>
        </w:rPr>
        <w:t>٥٦.</w:t>
      </w:r>
    </w:p>
  </w:endnote>
  <w:endnote w:id="723">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المصدر السابق: 158 ـ </w:t>
      </w:r>
      <w:r w:rsidRPr="006571AC">
        <w:rPr>
          <w:rFonts w:ascii="Arial" w:hAnsi="Arial" w:cs="DanaFajr" w:hint="cs"/>
          <w:sz w:val="28"/>
          <w:szCs w:val="28"/>
          <w:rtl/>
        </w:rPr>
        <w:t>1</w:t>
      </w:r>
      <w:r w:rsidRPr="006571AC">
        <w:rPr>
          <w:rFonts w:cs="DanaFajr" w:hint="cs"/>
          <w:sz w:val="28"/>
          <w:szCs w:val="28"/>
          <w:rtl/>
        </w:rPr>
        <w:t>٥</w:t>
      </w:r>
      <w:r w:rsidRPr="006571AC">
        <w:rPr>
          <w:rFonts w:ascii="Arial" w:hAnsi="Arial" w:cs="DanaFajr" w:hint="cs"/>
          <w:sz w:val="28"/>
          <w:szCs w:val="28"/>
          <w:rtl/>
        </w:rPr>
        <w:t>9</w:t>
      </w:r>
      <w:r w:rsidRPr="006571AC">
        <w:rPr>
          <w:rFonts w:cs="DanaFajr" w:hint="cs"/>
          <w:sz w:val="28"/>
          <w:szCs w:val="28"/>
          <w:rtl/>
        </w:rPr>
        <w:t>.</w:t>
      </w:r>
    </w:p>
  </w:endnote>
  <w:endnote w:id="724">
    <w:p w:rsidR="00DB2356" w:rsidRPr="006571AC" w:rsidRDefault="00DB2356" w:rsidP="001069FB">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المصدر السابق: 159 ـ </w:t>
      </w:r>
      <w:r w:rsidRPr="006571AC">
        <w:rPr>
          <w:rFonts w:ascii="Arial" w:hAnsi="Arial" w:cs="DanaFajr" w:hint="cs"/>
          <w:sz w:val="28"/>
          <w:szCs w:val="28"/>
          <w:rtl/>
        </w:rPr>
        <w:t>1</w:t>
      </w:r>
      <w:r w:rsidRPr="006571AC">
        <w:rPr>
          <w:rFonts w:cs="DanaFajr" w:hint="cs"/>
          <w:sz w:val="28"/>
          <w:szCs w:val="28"/>
          <w:rtl/>
        </w:rPr>
        <w:t>٦</w:t>
      </w:r>
      <w:r w:rsidRPr="006571AC">
        <w:rPr>
          <w:rFonts w:ascii="Arial" w:hAnsi="Arial" w:cs="DanaFajr" w:hint="cs"/>
          <w:sz w:val="28"/>
          <w:szCs w:val="28"/>
          <w:rtl/>
        </w:rPr>
        <w:t>0</w:t>
      </w:r>
      <w:r w:rsidRPr="006571AC">
        <w:rPr>
          <w:rFonts w:cs="DanaFajr" w:hint="cs"/>
          <w:sz w:val="28"/>
          <w:szCs w:val="28"/>
          <w:rtl/>
        </w:rPr>
        <w:t>.</w:t>
      </w:r>
    </w:p>
  </w:endnote>
  <w:endnote w:id="725">
    <w:p w:rsidR="00DB2356" w:rsidRPr="005C0F63" w:rsidRDefault="00DB2356" w:rsidP="005C0F63">
      <w:pPr>
        <w:pStyle w:val="aa"/>
        <w:spacing w:line="312" w:lineRule="exact"/>
        <w:ind w:firstLine="0"/>
        <w:rPr>
          <w:rFonts w:cs="DanaFajr"/>
          <w:sz w:val="28"/>
          <w:szCs w:val="28"/>
          <w:rtl/>
        </w:rPr>
      </w:pPr>
      <w:r w:rsidRPr="005C0F63">
        <w:rPr>
          <w:rFonts w:cs="DanaFajr"/>
          <w:sz w:val="28"/>
          <w:szCs w:val="28"/>
          <w:rtl/>
        </w:rPr>
        <w:t>(</w:t>
      </w:r>
      <w:r w:rsidRPr="005C0F63">
        <w:rPr>
          <w:rFonts w:cs="DanaFajr"/>
          <w:sz w:val="28"/>
          <w:szCs w:val="28"/>
        </w:rPr>
        <w:endnoteRef/>
      </w:r>
      <w:r w:rsidRPr="005C0F63">
        <w:rPr>
          <w:rFonts w:cs="DanaFajr"/>
          <w:sz w:val="28"/>
          <w:szCs w:val="28"/>
          <w:rtl/>
        </w:rPr>
        <w:t xml:space="preserve">) لكلمة </w:t>
      </w:r>
      <w:r w:rsidRPr="00B00F2F">
        <w:rPr>
          <w:rFonts w:hint="eastAsia"/>
          <w:sz w:val="22"/>
          <w:szCs w:val="22"/>
          <w:rtl/>
        </w:rPr>
        <w:t>«</w:t>
      </w:r>
      <w:r w:rsidRPr="005C0F63">
        <w:rPr>
          <w:rFonts w:cs="DanaFajr"/>
          <w:sz w:val="28"/>
          <w:szCs w:val="28"/>
          <w:rtl/>
        </w:rPr>
        <w:t>التربية</w:t>
      </w:r>
      <w:r w:rsidRPr="00B00F2F">
        <w:rPr>
          <w:rFonts w:hint="eastAsia"/>
          <w:sz w:val="22"/>
          <w:szCs w:val="22"/>
          <w:rtl/>
        </w:rPr>
        <w:t>»</w:t>
      </w:r>
      <w:r w:rsidRPr="005C0F63">
        <w:rPr>
          <w:rFonts w:cs="DanaFajr"/>
          <w:sz w:val="28"/>
          <w:szCs w:val="28"/>
          <w:rtl/>
        </w:rPr>
        <w:t xml:space="preserve"> في لغتنا العربية دلالة</w:t>
      </w:r>
      <w:r w:rsidRPr="005C0F63">
        <w:rPr>
          <w:rFonts w:cs="DanaFajr" w:hint="cs"/>
          <w:sz w:val="28"/>
          <w:szCs w:val="28"/>
          <w:rtl/>
        </w:rPr>
        <w:t>ٌ</w:t>
      </w:r>
      <w:r w:rsidRPr="005C0F63">
        <w:rPr>
          <w:rFonts w:cs="DanaFajr"/>
          <w:sz w:val="28"/>
          <w:szCs w:val="28"/>
          <w:rtl/>
        </w:rPr>
        <w:t xml:space="preserve"> على الزيادة والنمو</w:t>
      </w:r>
      <w:r w:rsidRPr="005C0F63">
        <w:rPr>
          <w:rFonts w:cs="DanaFajr" w:hint="cs"/>
          <w:sz w:val="28"/>
          <w:szCs w:val="28"/>
          <w:rtl/>
        </w:rPr>
        <w:t>ّ</w:t>
      </w:r>
      <w:r w:rsidRPr="005C0F63">
        <w:rPr>
          <w:rFonts w:cs="DanaFajr"/>
          <w:sz w:val="28"/>
          <w:szCs w:val="28"/>
          <w:rtl/>
        </w:rPr>
        <w:t xml:space="preserve"> والعلو</w:t>
      </w:r>
      <w:r w:rsidRPr="005C0F63">
        <w:rPr>
          <w:rFonts w:cs="DanaFajr" w:hint="cs"/>
          <w:sz w:val="28"/>
          <w:szCs w:val="28"/>
          <w:rtl/>
        </w:rPr>
        <w:t>ّ</w:t>
      </w:r>
      <w:r w:rsidRPr="005C0F63">
        <w:rPr>
          <w:rFonts w:cs="DanaFajr"/>
          <w:sz w:val="28"/>
          <w:szCs w:val="28"/>
          <w:rtl/>
        </w:rPr>
        <w:t>. تقول العرب: ربا الشيء أي زاد، والربوة هي المكان المرتفع، وأرب</w:t>
      </w:r>
      <w:r w:rsidRPr="005C0F63">
        <w:rPr>
          <w:rFonts w:cs="DanaFajr" w:hint="cs"/>
          <w:sz w:val="28"/>
          <w:szCs w:val="28"/>
          <w:rtl/>
        </w:rPr>
        <w:t>َ</w:t>
      </w:r>
      <w:r w:rsidRPr="005C0F63">
        <w:rPr>
          <w:rFonts w:cs="DanaFajr"/>
          <w:sz w:val="28"/>
          <w:szCs w:val="28"/>
          <w:rtl/>
        </w:rPr>
        <w:t>ت</w:t>
      </w:r>
      <w:r w:rsidRPr="005C0F63">
        <w:rPr>
          <w:rFonts w:cs="DanaFajr" w:hint="cs"/>
          <w:sz w:val="28"/>
          <w:szCs w:val="28"/>
          <w:rtl/>
        </w:rPr>
        <w:t>ْ</w:t>
      </w:r>
      <w:r w:rsidRPr="005C0F63">
        <w:rPr>
          <w:rFonts w:cs="DanaFajr"/>
          <w:sz w:val="28"/>
          <w:szCs w:val="28"/>
          <w:rtl/>
        </w:rPr>
        <w:t xml:space="preserve"> الحنطة</w:t>
      </w:r>
      <w:r w:rsidRPr="005C0F63">
        <w:rPr>
          <w:rFonts w:cs="DanaFajr" w:hint="cs"/>
          <w:sz w:val="28"/>
          <w:szCs w:val="28"/>
          <w:rtl/>
        </w:rPr>
        <w:t>:</w:t>
      </w:r>
      <w:r w:rsidRPr="005C0F63">
        <w:rPr>
          <w:rFonts w:cs="DanaFajr"/>
          <w:sz w:val="28"/>
          <w:szCs w:val="28"/>
          <w:rtl/>
        </w:rPr>
        <w:t xml:space="preserve"> زكت، وتقول: ربيته إذا غد</w:t>
      </w:r>
      <w:r w:rsidRPr="005C0F63">
        <w:rPr>
          <w:rFonts w:cs="DanaFajr" w:hint="cs"/>
          <w:sz w:val="28"/>
          <w:szCs w:val="28"/>
          <w:rtl/>
        </w:rPr>
        <w:t>َ</w:t>
      </w:r>
      <w:r w:rsidRPr="005C0F63">
        <w:rPr>
          <w:rFonts w:cs="DanaFajr"/>
          <w:sz w:val="28"/>
          <w:szCs w:val="28"/>
          <w:rtl/>
        </w:rPr>
        <w:t>و</w:t>
      </w:r>
      <w:r w:rsidRPr="005C0F63">
        <w:rPr>
          <w:rFonts w:cs="DanaFajr" w:hint="cs"/>
          <w:sz w:val="28"/>
          <w:szCs w:val="28"/>
          <w:rtl/>
        </w:rPr>
        <w:t>ْ</w:t>
      </w:r>
      <w:r w:rsidRPr="005C0F63">
        <w:rPr>
          <w:rFonts w:cs="DanaFajr"/>
          <w:sz w:val="28"/>
          <w:szCs w:val="28"/>
          <w:rtl/>
        </w:rPr>
        <w:t>ته.</w:t>
      </w:r>
    </w:p>
    <w:p w:rsidR="00DB2356" w:rsidRPr="00B00F2F" w:rsidRDefault="00DB2356" w:rsidP="00B00F2F">
      <w:pPr>
        <w:pStyle w:val="aa"/>
        <w:spacing w:line="312" w:lineRule="exact"/>
        <w:ind w:firstLine="0"/>
        <w:rPr>
          <w:rFonts w:cs="DanaFajr"/>
          <w:sz w:val="28"/>
          <w:szCs w:val="28"/>
          <w:rtl/>
        </w:rPr>
      </w:pPr>
      <w:r w:rsidRPr="00B00F2F">
        <w:rPr>
          <w:rFonts w:cs="DanaFajr"/>
          <w:sz w:val="28"/>
          <w:szCs w:val="28"/>
          <w:rtl/>
        </w:rPr>
        <w:t>وفي لغتنا كلمة</w:t>
      </w:r>
      <w:r w:rsidRPr="00B00F2F">
        <w:rPr>
          <w:rFonts w:cs="DanaFajr" w:hint="cs"/>
          <w:sz w:val="28"/>
          <w:szCs w:val="28"/>
          <w:rtl/>
        </w:rPr>
        <w:t>ٌ</w:t>
      </w:r>
      <w:r w:rsidRPr="00B00F2F">
        <w:rPr>
          <w:rFonts w:cs="DanaFajr"/>
          <w:sz w:val="28"/>
          <w:szCs w:val="28"/>
          <w:rtl/>
        </w:rPr>
        <w:t xml:space="preserve"> أخرى بمعنى التربية هي كلمة </w:t>
      </w:r>
      <w:r w:rsidRPr="00B00F2F">
        <w:rPr>
          <w:rFonts w:hint="eastAsia"/>
          <w:sz w:val="22"/>
          <w:szCs w:val="22"/>
          <w:rtl/>
        </w:rPr>
        <w:t>«</w:t>
      </w:r>
      <w:r w:rsidRPr="00B00F2F">
        <w:rPr>
          <w:rFonts w:cs="DanaFajr"/>
          <w:sz w:val="28"/>
          <w:szCs w:val="28"/>
          <w:rtl/>
        </w:rPr>
        <w:t>التربيب</w:t>
      </w:r>
      <w:r w:rsidRPr="00B00F2F">
        <w:rPr>
          <w:rFonts w:hint="eastAsia"/>
          <w:sz w:val="22"/>
          <w:szCs w:val="22"/>
          <w:rtl/>
        </w:rPr>
        <w:t>»</w:t>
      </w:r>
      <w:r w:rsidRPr="00B00F2F">
        <w:rPr>
          <w:rFonts w:cs="DanaFajr" w:hint="cs"/>
          <w:sz w:val="28"/>
          <w:szCs w:val="28"/>
          <w:rtl/>
        </w:rPr>
        <w:t>،</w:t>
      </w:r>
      <w:r w:rsidRPr="00B00F2F">
        <w:rPr>
          <w:rFonts w:cs="DanaFajr"/>
          <w:sz w:val="28"/>
          <w:szCs w:val="28"/>
          <w:rtl/>
        </w:rPr>
        <w:t xml:space="preserve"> ومن ماد</w:t>
      </w:r>
      <w:r w:rsidRPr="00B00F2F">
        <w:rPr>
          <w:rFonts w:cs="DanaFajr" w:hint="cs"/>
          <w:sz w:val="28"/>
          <w:szCs w:val="28"/>
          <w:rtl/>
        </w:rPr>
        <w:t>ّ</w:t>
      </w:r>
      <w:r w:rsidRPr="00B00F2F">
        <w:rPr>
          <w:rFonts w:cs="DanaFajr"/>
          <w:sz w:val="28"/>
          <w:szCs w:val="28"/>
          <w:rtl/>
        </w:rPr>
        <w:t xml:space="preserve">تها جاءت كلمة </w:t>
      </w:r>
      <w:r w:rsidRPr="00B00F2F">
        <w:rPr>
          <w:rFonts w:hint="eastAsia"/>
          <w:sz w:val="22"/>
          <w:szCs w:val="22"/>
          <w:rtl/>
        </w:rPr>
        <w:t>«</w:t>
      </w:r>
      <w:r w:rsidRPr="00B00F2F">
        <w:rPr>
          <w:rFonts w:cs="DanaFajr"/>
          <w:sz w:val="28"/>
          <w:szCs w:val="28"/>
          <w:rtl/>
        </w:rPr>
        <w:t>الربيبة</w:t>
      </w:r>
      <w:r w:rsidRPr="00B00F2F">
        <w:rPr>
          <w:rFonts w:hint="eastAsia"/>
          <w:sz w:val="22"/>
          <w:szCs w:val="22"/>
          <w:rtl/>
        </w:rPr>
        <w:t>»</w:t>
      </w:r>
      <w:r w:rsidRPr="00B00F2F">
        <w:rPr>
          <w:rFonts w:cs="DanaFajr" w:hint="cs"/>
          <w:sz w:val="28"/>
          <w:szCs w:val="28"/>
          <w:rtl/>
        </w:rPr>
        <w:t>،</w:t>
      </w:r>
      <w:r w:rsidRPr="00B00F2F">
        <w:rPr>
          <w:rFonts w:cs="DanaFajr"/>
          <w:sz w:val="28"/>
          <w:szCs w:val="28"/>
          <w:rtl/>
        </w:rPr>
        <w:t xml:space="preserve"> بمعنى الحاضنة</w:t>
      </w:r>
      <w:r w:rsidRPr="00B00F2F">
        <w:rPr>
          <w:rFonts w:cs="DanaFajr" w:hint="cs"/>
          <w:sz w:val="28"/>
          <w:szCs w:val="28"/>
          <w:rtl/>
        </w:rPr>
        <w:t>؛</w:t>
      </w:r>
      <w:r w:rsidRPr="00B00F2F">
        <w:rPr>
          <w:rFonts w:cs="DanaFajr"/>
          <w:sz w:val="28"/>
          <w:szCs w:val="28"/>
          <w:rtl/>
        </w:rPr>
        <w:t xml:space="preserve"> لأنها تتكف</w:t>
      </w:r>
      <w:r w:rsidRPr="00B00F2F">
        <w:rPr>
          <w:rFonts w:cs="DanaFajr" w:hint="cs"/>
          <w:sz w:val="28"/>
          <w:szCs w:val="28"/>
          <w:rtl/>
        </w:rPr>
        <w:t>َّ</w:t>
      </w:r>
      <w:r w:rsidRPr="00B00F2F">
        <w:rPr>
          <w:rFonts w:cs="DanaFajr"/>
          <w:sz w:val="28"/>
          <w:szCs w:val="28"/>
          <w:rtl/>
        </w:rPr>
        <w:t>ل بشأن م</w:t>
      </w:r>
      <w:r w:rsidRPr="00B00F2F">
        <w:rPr>
          <w:rFonts w:cs="DanaFajr" w:hint="cs"/>
          <w:sz w:val="28"/>
          <w:szCs w:val="28"/>
          <w:rtl/>
        </w:rPr>
        <w:t>َ</w:t>
      </w:r>
      <w:r w:rsidRPr="00B00F2F">
        <w:rPr>
          <w:rFonts w:cs="DanaFajr"/>
          <w:sz w:val="28"/>
          <w:szCs w:val="28"/>
          <w:rtl/>
        </w:rPr>
        <w:t>ن</w:t>
      </w:r>
      <w:r w:rsidRPr="00B00F2F">
        <w:rPr>
          <w:rFonts w:cs="DanaFajr" w:hint="cs"/>
          <w:sz w:val="28"/>
          <w:szCs w:val="28"/>
          <w:rtl/>
        </w:rPr>
        <w:t>ْ</w:t>
      </w:r>
      <w:r w:rsidRPr="00B00F2F">
        <w:rPr>
          <w:rFonts w:cs="DanaFajr"/>
          <w:sz w:val="28"/>
          <w:szCs w:val="28"/>
          <w:rtl/>
        </w:rPr>
        <w:t xml:space="preserve"> تحضنه</w:t>
      </w:r>
      <w:r w:rsidRPr="00B00F2F">
        <w:rPr>
          <w:rFonts w:cs="DanaFajr" w:hint="cs"/>
          <w:sz w:val="28"/>
          <w:szCs w:val="28"/>
          <w:rtl/>
        </w:rPr>
        <w:t>.</w:t>
      </w:r>
    </w:p>
    <w:p w:rsidR="00DB2356" w:rsidRPr="00B00F2F" w:rsidRDefault="00DB2356" w:rsidP="00B00F2F">
      <w:pPr>
        <w:pStyle w:val="aa"/>
        <w:spacing w:line="312" w:lineRule="exact"/>
        <w:ind w:firstLine="0"/>
        <w:rPr>
          <w:rFonts w:cs="DanaFajr"/>
          <w:sz w:val="28"/>
          <w:szCs w:val="28"/>
          <w:rtl/>
        </w:rPr>
      </w:pPr>
      <w:r w:rsidRPr="00B00F2F">
        <w:rPr>
          <w:rFonts w:cs="DanaFajr"/>
          <w:sz w:val="28"/>
          <w:szCs w:val="28"/>
          <w:rtl/>
        </w:rPr>
        <w:t>ومن المادة أيضا</w:t>
      </w:r>
      <w:r w:rsidRPr="00B00F2F">
        <w:rPr>
          <w:rFonts w:cs="DanaFajr" w:hint="cs"/>
          <w:sz w:val="28"/>
          <w:szCs w:val="28"/>
          <w:rtl/>
        </w:rPr>
        <w:t>ً</w:t>
      </w:r>
      <w:r w:rsidRPr="00B00F2F">
        <w:rPr>
          <w:rFonts w:cs="DanaFajr"/>
          <w:sz w:val="28"/>
          <w:szCs w:val="28"/>
          <w:rtl/>
        </w:rPr>
        <w:t xml:space="preserve"> </w:t>
      </w:r>
      <w:r w:rsidRPr="00B00F2F">
        <w:rPr>
          <w:rFonts w:hint="eastAsia"/>
          <w:sz w:val="22"/>
          <w:szCs w:val="22"/>
          <w:rtl/>
        </w:rPr>
        <w:t>«</w:t>
      </w:r>
      <w:r w:rsidRPr="00B00F2F">
        <w:rPr>
          <w:rFonts w:cs="DanaFajr"/>
          <w:sz w:val="28"/>
          <w:szCs w:val="28"/>
          <w:rtl/>
        </w:rPr>
        <w:t>رب</w:t>
      </w:r>
      <w:r w:rsidRPr="00B00F2F">
        <w:rPr>
          <w:rFonts w:cs="DanaFajr" w:hint="cs"/>
          <w:sz w:val="28"/>
          <w:szCs w:val="28"/>
          <w:rtl/>
        </w:rPr>
        <w:t>ّ</w:t>
      </w:r>
      <w:r w:rsidRPr="00B00F2F">
        <w:rPr>
          <w:rFonts w:cs="DanaFajr"/>
          <w:sz w:val="28"/>
          <w:szCs w:val="28"/>
          <w:rtl/>
        </w:rPr>
        <w:t>ة الدار</w:t>
      </w:r>
      <w:r w:rsidRPr="00B00F2F">
        <w:rPr>
          <w:rFonts w:hint="eastAsia"/>
          <w:sz w:val="22"/>
          <w:szCs w:val="22"/>
          <w:rtl/>
        </w:rPr>
        <w:t>»</w:t>
      </w:r>
      <w:r w:rsidRPr="00B00F2F">
        <w:rPr>
          <w:rFonts w:cs="DanaFajr" w:hint="cs"/>
          <w:sz w:val="28"/>
          <w:szCs w:val="28"/>
          <w:rtl/>
        </w:rPr>
        <w:t>، أي</w:t>
      </w:r>
      <w:r w:rsidRPr="00B00F2F">
        <w:rPr>
          <w:rFonts w:cs="DanaFajr"/>
          <w:sz w:val="28"/>
          <w:szCs w:val="28"/>
          <w:rtl/>
        </w:rPr>
        <w:t xml:space="preserve"> التي تتعه</w:t>
      </w:r>
      <w:r w:rsidRPr="00B00F2F">
        <w:rPr>
          <w:rFonts w:cs="DanaFajr" w:hint="cs"/>
          <w:sz w:val="28"/>
          <w:szCs w:val="28"/>
          <w:rtl/>
        </w:rPr>
        <w:t>َّ</w:t>
      </w:r>
      <w:r w:rsidRPr="00B00F2F">
        <w:rPr>
          <w:rFonts w:cs="DanaFajr"/>
          <w:sz w:val="28"/>
          <w:szCs w:val="28"/>
          <w:rtl/>
        </w:rPr>
        <w:t>دها</w:t>
      </w:r>
      <w:r w:rsidRPr="00B00F2F">
        <w:rPr>
          <w:rFonts w:cs="DanaFajr" w:hint="cs"/>
          <w:sz w:val="28"/>
          <w:szCs w:val="28"/>
          <w:rtl/>
        </w:rPr>
        <w:t>؛</w:t>
      </w:r>
      <w:r w:rsidRPr="00B00F2F">
        <w:rPr>
          <w:rFonts w:cs="DanaFajr"/>
          <w:sz w:val="28"/>
          <w:szCs w:val="28"/>
          <w:rtl/>
        </w:rPr>
        <w:t xml:space="preserve"> وكلمة </w:t>
      </w:r>
      <w:r w:rsidRPr="00B00F2F">
        <w:rPr>
          <w:rFonts w:hint="eastAsia"/>
          <w:sz w:val="22"/>
          <w:szCs w:val="22"/>
          <w:rtl/>
        </w:rPr>
        <w:t>«</w:t>
      </w:r>
      <w:r w:rsidRPr="00B00F2F">
        <w:rPr>
          <w:rFonts w:cs="DanaFajr"/>
          <w:sz w:val="28"/>
          <w:szCs w:val="28"/>
          <w:rtl/>
        </w:rPr>
        <w:t>الرّب</w:t>
      </w:r>
      <w:r w:rsidRPr="00B00F2F">
        <w:rPr>
          <w:rFonts w:hint="eastAsia"/>
          <w:sz w:val="22"/>
          <w:szCs w:val="22"/>
          <w:rtl/>
        </w:rPr>
        <w:t>»</w:t>
      </w:r>
      <w:r w:rsidRPr="00B00F2F">
        <w:rPr>
          <w:rFonts w:cs="DanaFajr" w:hint="cs"/>
          <w:sz w:val="28"/>
          <w:szCs w:val="28"/>
          <w:rtl/>
        </w:rPr>
        <w:t>،</w:t>
      </w:r>
      <w:r w:rsidRPr="00B00F2F">
        <w:rPr>
          <w:rFonts w:cs="DanaFajr"/>
          <w:sz w:val="28"/>
          <w:szCs w:val="28"/>
          <w:rtl/>
        </w:rPr>
        <w:t xml:space="preserve"> بمعنى القي</w:t>
      </w:r>
      <w:r w:rsidRPr="00B00F2F">
        <w:rPr>
          <w:rFonts w:cs="DanaFajr" w:hint="cs"/>
          <w:sz w:val="28"/>
          <w:szCs w:val="28"/>
          <w:rtl/>
        </w:rPr>
        <w:t>ِّ</w:t>
      </w:r>
      <w:r w:rsidRPr="00B00F2F">
        <w:rPr>
          <w:rFonts w:cs="DanaFajr"/>
          <w:sz w:val="28"/>
          <w:szCs w:val="28"/>
          <w:rtl/>
        </w:rPr>
        <w:t xml:space="preserve">م والمصلح، والعرب تقول: </w:t>
      </w:r>
      <w:r w:rsidRPr="00B00F2F">
        <w:rPr>
          <w:rFonts w:hint="eastAsia"/>
          <w:sz w:val="22"/>
          <w:szCs w:val="22"/>
          <w:rtl/>
        </w:rPr>
        <w:t>«</w:t>
      </w:r>
      <w:r w:rsidRPr="00B00F2F">
        <w:rPr>
          <w:rFonts w:cs="DanaFajr"/>
          <w:sz w:val="28"/>
          <w:szCs w:val="28"/>
          <w:rtl/>
        </w:rPr>
        <w:t>رب</w:t>
      </w:r>
      <w:r w:rsidRPr="00B00F2F">
        <w:rPr>
          <w:rFonts w:cs="DanaFajr" w:hint="cs"/>
          <w:sz w:val="28"/>
          <w:szCs w:val="28"/>
          <w:rtl/>
        </w:rPr>
        <w:t>ّ</w:t>
      </w:r>
      <w:r w:rsidRPr="00B00F2F">
        <w:rPr>
          <w:rFonts w:cs="DanaFajr"/>
          <w:sz w:val="28"/>
          <w:szCs w:val="28"/>
          <w:rtl/>
        </w:rPr>
        <w:t xml:space="preserve"> شيء</w:t>
      </w:r>
      <w:r w:rsidRPr="00B00F2F">
        <w:rPr>
          <w:rFonts w:hint="eastAsia"/>
          <w:sz w:val="22"/>
          <w:szCs w:val="22"/>
          <w:rtl/>
        </w:rPr>
        <w:t>»</w:t>
      </w:r>
      <w:r w:rsidRPr="00B00F2F">
        <w:rPr>
          <w:rFonts w:cs="DanaFajr"/>
          <w:sz w:val="28"/>
          <w:szCs w:val="28"/>
          <w:rtl/>
        </w:rPr>
        <w:t xml:space="preserve"> أصلحه، ورب</w:t>
      </w:r>
      <w:r w:rsidRPr="00B00F2F">
        <w:rPr>
          <w:rFonts w:cs="DanaFajr" w:hint="cs"/>
          <w:sz w:val="28"/>
          <w:szCs w:val="28"/>
          <w:rtl/>
        </w:rPr>
        <w:t>ّ</w:t>
      </w:r>
      <w:r w:rsidRPr="00B00F2F">
        <w:rPr>
          <w:rFonts w:cs="DanaFajr"/>
          <w:sz w:val="28"/>
          <w:szCs w:val="28"/>
          <w:rtl/>
        </w:rPr>
        <w:t xml:space="preserve"> الأب ولده أي رب</w:t>
      </w:r>
      <w:r w:rsidRPr="00B00F2F">
        <w:rPr>
          <w:rFonts w:cs="DanaFajr" w:hint="cs"/>
          <w:sz w:val="28"/>
          <w:szCs w:val="28"/>
          <w:rtl/>
        </w:rPr>
        <w:t>ّ</w:t>
      </w:r>
      <w:r w:rsidRPr="00B00F2F">
        <w:rPr>
          <w:rFonts w:cs="DanaFajr"/>
          <w:sz w:val="28"/>
          <w:szCs w:val="28"/>
          <w:rtl/>
        </w:rPr>
        <w:t>اه</w:t>
      </w:r>
      <w:r w:rsidRPr="00B00F2F">
        <w:rPr>
          <w:rFonts w:cs="DanaFajr" w:hint="cs"/>
          <w:sz w:val="28"/>
          <w:szCs w:val="28"/>
          <w:rtl/>
        </w:rPr>
        <w:t>.</w:t>
      </w:r>
      <w:r w:rsidRPr="00B00F2F">
        <w:rPr>
          <w:rFonts w:cs="DanaFajr"/>
          <w:sz w:val="28"/>
          <w:szCs w:val="28"/>
          <w:rtl/>
        </w:rPr>
        <w:t xml:space="preserve"> والله تعالى هو الرب</w:t>
      </w:r>
      <w:r w:rsidRPr="00B00F2F">
        <w:rPr>
          <w:rFonts w:cs="DanaFajr" w:hint="cs"/>
          <w:sz w:val="28"/>
          <w:szCs w:val="28"/>
          <w:rtl/>
        </w:rPr>
        <w:t>ّ؛</w:t>
      </w:r>
      <w:r w:rsidRPr="00B00F2F">
        <w:rPr>
          <w:rFonts w:cs="DanaFajr"/>
          <w:sz w:val="28"/>
          <w:szCs w:val="28"/>
          <w:rtl/>
        </w:rPr>
        <w:t xml:space="preserve"> لأنه مصلح شؤون خلقه.</w:t>
      </w:r>
    </w:p>
    <w:p w:rsidR="00DB2356" w:rsidRPr="00B00F2F" w:rsidRDefault="00DB2356" w:rsidP="00B00F2F">
      <w:pPr>
        <w:pStyle w:val="aa"/>
        <w:spacing w:line="312" w:lineRule="exact"/>
        <w:ind w:firstLine="0"/>
        <w:rPr>
          <w:rFonts w:cs="DanaFajr"/>
          <w:sz w:val="28"/>
          <w:szCs w:val="28"/>
          <w:rtl/>
        </w:rPr>
      </w:pPr>
      <w:r w:rsidRPr="00B00F2F">
        <w:rPr>
          <w:rFonts w:cs="DanaFajr"/>
          <w:sz w:val="28"/>
          <w:szCs w:val="28"/>
          <w:rtl/>
        </w:rPr>
        <w:t>من هنا نلحظ في مادة التربية ـ أو التربيب ـ معنيين أساسيين</w:t>
      </w:r>
      <w:r w:rsidRPr="00B00F2F">
        <w:rPr>
          <w:rFonts w:cs="DanaFajr" w:hint="cs"/>
          <w:sz w:val="28"/>
          <w:szCs w:val="28"/>
          <w:rtl/>
        </w:rPr>
        <w:t>،</w:t>
      </w:r>
      <w:r w:rsidRPr="00B00F2F">
        <w:rPr>
          <w:rFonts w:cs="DanaFajr"/>
          <w:sz w:val="28"/>
          <w:szCs w:val="28"/>
          <w:rtl/>
        </w:rPr>
        <w:t xml:space="preserve"> هما</w:t>
      </w:r>
      <w:r w:rsidRPr="00B00F2F">
        <w:rPr>
          <w:rFonts w:cs="DanaFajr" w:hint="cs"/>
          <w:sz w:val="28"/>
          <w:szCs w:val="28"/>
          <w:rtl/>
        </w:rPr>
        <w:t>:</w:t>
      </w:r>
      <w:r w:rsidRPr="00B00F2F">
        <w:rPr>
          <w:rFonts w:cs="DanaFajr"/>
          <w:sz w:val="28"/>
          <w:szCs w:val="28"/>
          <w:rtl/>
        </w:rPr>
        <w:t xml:space="preserve"> الزيادة</w:t>
      </w:r>
      <w:r w:rsidRPr="00B00F2F">
        <w:rPr>
          <w:rFonts w:cs="DanaFajr" w:hint="cs"/>
          <w:sz w:val="28"/>
          <w:szCs w:val="28"/>
          <w:rtl/>
        </w:rPr>
        <w:t>؛</w:t>
      </w:r>
      <w:r w:rsidRPr="00B00F2F">
        <w:rPr>
          <w:rFonts w:cs="DanaFajr"/>
          <w:sz w:val="28"/>
          <w:szCs w:val="28"/>
          <w:rtl/>
        </w:rPr>
        <w:t xml:space="preserve"> والإصلاح، أي الإصلاح للموجود، والإضافة إليه</w:t>
      </w:r>
      <w:r w:rsidRPr="00B00F2F">
        <w:rPr>
          <w:rFonts w:cs="DanaFajr" w:hint="cs"/>
          <w:sz w:val="28"/>
          <w:szCs w:val="28"/>
          <w:rtl/>
        </w:rPr>
        <w:t xml:space="preserve">. </w:t>
      </w:r>
      <w:r w:rsidRPr="00B00F2F">
        <w:rPr>
          <w:rFonts w:cs="DanaFajr"/>
          <w:sz w:val="28"/>
          <w:szCs w:val="28"/>
          <w:rtl/>
        </w:rPr>
        <w:t>وهذان المعنيان نلحظهما بصفة</w:t>
      </w:r>
      <w:r w:rsidRPr="00B00F2F">
        <w:rPr>
          <w:rFonts w:cs="DanaFajr" w:hint="cs"/>
          <w:sz w:val="28"/>
          <w:szCs w:val="28"/>
          <w:rtl/>
        </w:rPr>
        <w:t>ٍ</w:t>
      </w:r>
      <w:r w:rsidRPr="00B00F2F">
        <w:rPr>
          <w:rFonts w:cs="DanaFajr"/>
          <w:sz w:val="28"/>
          <w:szCs w:val="28"/>
          <w:rtl/>
        </w:rPr>
        <w:t xml:space="preserve"> عام</w:t>
      </w:r>
      <w:r w:rsidRPr="00B00F2F">
        <w:rPr>
          <w:rFonts w:cs="DanaFajr" w:hint="cs"/>
          <w:sz w:val="28"/>
          <w:szCs w:val="28"/>
          <w:rtl/>
        </w:rPr>
        <w:t>ّ</w:t>
      </w:r>
      <w:r w:rsidRPr="00B00F2F">
        <w:rPr>
          <w:rFonts w:cs="DanaFajr"/>
          <w:sz w:val="28"/>
          <w:szCs w:val="28"/>
          <w:rtl/>
        </w:rPr>
        <w:t xml:space="preserve">ة عند استعراضنا لتاريخ التربية عند العرب. </w:t>
      </w:r>
    </w:p>
  </w:endnote>
  <w:endnote w:id="726">
    <w:p w:rsidR="00DB2356" w:rsidRPr="00B00F2F" w:rsidRDefault="00DB2356" w:rsidP="00B00F2F">
      <w:pPr>
        <w:pStyle w:val="aa"/>
        <w:spacing w:line="312" w:lineRule="exact"/>
        <w:ind w:firstLine="0"/>
        <w:rPr>
          <w:rFonts w:cs="DanaFajr"/>
          <w:sz w:val="28"/>
          <w:szCs w:val="28"/>
        </w:rPr>
      </w:pPr>
      <w:r w:rsidRPr="00B00F2F">
        <w:rPr>
          <w:rFonts w:cs="DanaFajr"/>
          <w:sz w:val="28"/>
          <w:szCs w:val="28"/>
          <w:rtl/>
        </w:rPr>
        <w:t>(</w:t>
      </w:r>
      <w:r w:rsidRPr="00B00F2F">
        <w:rPr>
          <w:rFonts w:cs="DanaFajr"/>
          <w:sz w:val="28"/>
          <w:szCs w:val="28"/>
        </w:rPr>
        <w:endnoteRef/>
      </w:r>
      <w:r w:rsidRPr="00B00F2F">
        <w:rPr>
          <w:rFonts w:cs="DanaFajr"/>
          <w:sz w:val="28"/>
          <w:szCs w:val="28"/>
          <w:rtl/>
        </w:rPr>
        <w:t>) يعني هذا أن بداية التربية (والتعليم) تنطلق من الله عز</w:t>
      </w:r>
      <w:r w:rsidRPr="00B00F2F">
        <w:rPr>
          <w:rFonts w:cs="DanaFajr" w:hint="cs"/>
          <w:sz w:val="28"/>
          <w:szCs w:val="28"/>
          <w:rtl/>
        </w:rPr>
        <w:t>َّ</w:t>
      </w:r>
      <w:r w:rsidRPr="00B00F2F">
        <w:rPr>
          <w:rFonts w:cs="DanaFajr"/>
          <w:sz w:val="28"/>
          <w:szCs w:val="28"/>
          <w:rtl/>
        </w:rPr>
        <w:t xml:space="preserve"> وجل</w:t>
      </w:r>
      <w:r w:rsidRPr="00B00F2F">
        <w:rPr>
          <w:rFonts w:cs="DanaFajr" w:hint="cs"/>
          <w:sz w:val="28"/>
          <w:szCs w:val="28"/>
          <w:rtl/>
        </w:rPr>
        <w:t>َّ؛</w:t>
      </w:r>
      <w:r w:rsidRPr="00B00F2F">
        <w:rPr>
          <w:rFonts w:cs="DanaFajr"/>
          <w:sz w:val="28"/>
          <w:szCs w:val="28"/>
          <w:rtl/>
        </w:rPr>
        <w:t xml:space="preserve"> لأنه الرب</w:t>
      </w:r>
      <w:r w:rsidRPr="00B00F2F">
        <w:rPr>
          <w:rFonts w:cs="DanaFajr" w:hint="cs"/>
          <w:sz w:val="28"/>
          <w:szCs w:val="28"/>
          <w:rtl/>
        </w:rPr>
        <w:t>ّ</w:t>
      </w:r>
      <w:r w:rsidRPr="00B00F2F">
        <w:rPr>
          <w:rFonts w:cs="DanaFajr"/>
          <w:sz w:val="28"/>
          <w:szCs w:val="28"/>
          <w:rtl/>
        </w:rPr>
        <w:t xml:space="preserve"> الخالق، ومنه تأتي بداية ق</w:t>
      </w:r>
      <w:r w:rsidRPr="00B00F2F">
        <w:rPr>
          <w:rFonts w:cs="DanaFajr" w:hint="cs"/>
          <w:sz w:val="28"/>
          <w:szCs w:val="28"/>
          <w:rtl/>
        </w:rPr>
        <w:t>ِ</w:t>
      </w:r>
      <w:r w:rsidRPr="00B00F2F">
        <w:rPr>
          <w:rFonts w:cs="DanaFajr"/>
          <w:sz w:val="28"/>
          <w:szCs w:val="28"/>
          <w:rtl/>
        </w:rPr>
        <w:t>ي</w:t>
      </w:r>
      <w:r w:rsidRPr="00B00F2F">
        <w:rPr>
          <w:rFonts w:cs="DanaFajr" w:hint="cs"/>
          <w:sz w:val="28"/>
          <w:szCs w:val="28"/>
          <w:rtl/>
        </w:rPr>
        <w:t>َ</w:t>
      </w:r>
      <w:r w:rsidRPr="00B00F2F">
        <w:rPr>
          <w:rFonts w:cs="DanaFajr"/>
          <w:sz w:val="28"/>
          <w:szCs w:val="28"/>
          <w:rtl/>
        </w:rPr>
        <w:t>م التربية، بالفطرة، أو الإلهام، أو الو</w:t>
      </w:r>
      <w:r w:rsidRPr="00B00F2F">
        <w:rPr>
          <w:rFonts w:cs="DanaFajr" w:hint="cs"/>
          <w:sz w:val="28"/>
          <w:szCs w:val="28"/>
          <w:rtl/>
        </w:rPr>
        <w:t>َ</w:t>
      </w:r>
      <w:r w:rsidRPr="00B00F2F">
        <w:rPr>
          <w:rFonts w:cs="DanaFajr"/>
          <w:sz w:val="28"/>
          <w:szCs w:val="28"/>
          <w:rtl/>
        </w:rPr>
        <w:t>ح</w:t>
      </w:r>
      <w:r w:rsidRPr="00B00F2F">
        <w:rPr>
          <w:rFonts w:cs="DanaFajr" w:hint="cs"/>
          <w:sz w:val="28"/>
          <w:szCs w:val="28"/>
          <w:rtl/>
        </w:rPr>
        <w:t>ْ</w:t>
      </w:r>
      <w:r w:rsidRPr="00B00F2F">
        <w:rPr>
          <w:rFonts w:cs="DanaFajr"/>
          <w:sz w:val="28"/>
          <w:szCs w:val="28"/>
          <w:rtl/>
        </w:rPr>
        <w:t xml:space="preserve">ي، وبالاكتساب (من أنبيائه ورسله). وجاء في كتابه تعالى </w:t>
      </w:r>
      <w:r w:rsidRPr="00B00F2F">
        <w:rPr>
          <w:rFonts w:cs="DanaFajr" w:hint="cs"/>
          <w:sz w:val="28"/>
          <w:szCs w:val="28"/>
          <w:rtl/>
        </w:rPr>
        <w:t>(</w:t>
      </w:r>
      <w:r w:rsidRPr="00B00F2F">
        <w:rPr>
          <w:rFonts w:cs="DanaFajr"/>
          <w:sz w:val="28"/>
          <w:szCs w:val="28"/>
          <w:rtl/>
        </w:rPr>
        <w:t>القرآن الكريم</w:t>
      </w:r>
      <w:r w:rsidRPr="00B00F2F">
        <w:rPr>
          <w:rFonts w:cs="DanaFajr" w:hint="cs"/>
          <w:sz w:val="28"/>
          <w:szCs w:val="28"/>
          <w:rtl/>
        </w:rPr>
        <w:t>)</w:t>
      </w:r>
      <w:r w:rsidRPr="00B00F2F">
        <w:rPr>
          <w:rFonts w:cs="DanaFajr"/>
          <w:sz w:val="28"/>
          <w:szCs w:val="28"/>
          <w:rtl/>
        </w:rPr>
        <w:t xml:space="preserve">: </w:t>
      </w:r>
      <w:r w:rsidRPr="00B00F2F">
        <w:rPr>
          <w:rFonts w:ascii="Mosawi" w:hAnsi="Mosawi" w:cs="Mosawi"/>
          <w:sz w:val="22"/>
          <w:szCs w:val="22"/>
          <w:rtl/>
        </w:rPr>
        <w:t>﴿</w:t>
      </w:r>
      <w:r w:rsidRPr="00F20149">
        <w:rPr>
          <w:rFonts w:cs="DanaFajr"/>
          <w:b/>
          <w:bCs/>
          <w:sz w:val="28"/>
          <w:szCs w:val="28"/>
          <w:rtl/>
        </w:rPr>
        <w:t>عَلَّمَ الإِنسَانَ مَا لَمْ يَعْلَمْ</w:t>
      </w:r>
      <w:r w:rsidRPr="00B00F2F">
        <w:rPr>
          <w:rFonts w:ascii="Mosawi" w:hAnsi="Mosawi" w:cs="Mosawi"/>
          <w:sz w:val="22"/>
          <w:szCs w:val="22"/>
          <w:rtl/>
        </w:rPr>
        <w:t>﴾</w:t>
      </w:r>
      <w:r w:rsidRPr="00B00F2F">
        <w:rPr>
          <w:rFonts w:cs="DanaFajr" w:hint="cs"/>
          <w:sz w:val="28"/>
          <w:szCs w:val="28"/>
          <w:rtl/>
        </w:rPr>
        <w:t xml:space="preserve"> (العلق: 5)،</w:t>
      </w:r>
      <w:r w:rsidRPr="00B00F2F">
        <w:rPr>
          <w:rFonts w:cs="DanaFajr"/>
          <w:sz w:val="28"/>
          <w:szCs w:val="28"/>
          <w:rtl/>
        </w:rPr>
        <w:t xml:space="preserve"> </w:t>
      </w:r>
      <w:r w:rsidRPr="00B00F2F">
        <w:rPr>
          <w:rFonts w:ascii="Mosawi" w:hAnsi="Mosawi" w:cs="Mosawi"/>
          <w:sz w:val="22"/>
          <w:szCs w:val="22"/>
          <w:rtl/>
        </w:rPr>
        <w:t>﴿</w:t>
      </w:r>
      <w:r w:rsidRPr="00D4458A">
        <w:rPr>
          <w:rFonts w:cs="DanaFajr" w:hint="cs"/>
          <w:b/>
          <w:bCs/>
          <w:sz w:val="28"/>
          <w:szCs w:val="28"/>
          <w:rtl/>
        </w:rPr>
        <w:t>...</w:t>
      </w:r>
      <w:r w:rsidRPr="00D4458A">
        <w:rPr>
          <w:rFonts w:cs="DanaFajr"/>
          <w:b/>
          <w:bCs/>
          <w:sz w:val="28"/>
          <w:szCs w:val="28"/>
          <w:rtl/>
        </w:rPr>
        <w:t>وَعَلَّمَكَ مَا لَمْ تَكُنْ تَعْلَمُ</w:t>
      </w:r>
      <w:r w:rsidRPr="00D4458A">
        <w:rPr>
          <w:rFonts w:cs="DanaFajr" w:hint="cs"/>
          <w:b/>
          <w:bCs/>
          <w:sz w:val="28"/>
          <w:szCs w:val="28"/>
          <w:rtl/>
        </w:rPr>
        <w:t>...</w:t>
      </w:r>
      <w:r w:rsidRPr="00B00F2F">
        <w:rPr>
          <w:rFonts w:ascii="Mosawi" w:hAnsi="Mosawi" w:cs="Mosawi"/>
          <w:sz w:val="22"/>
          <w:szCs w:val="22"/>
          <w:rtl/>
        </w:rPr>
        <w:t>﴾</w:t>
      </w:r>
      <w:r w:rsidRPr="00B00F2F">
        <w:rPr>
          <w:rFonts w:cs="DanaFajr" w:hint="cs"/>
          <w:sz w:val="28"/>
          <w:szCs w:val="28"/>
          <w:rtl/>
        </w:rPr>
        <w:t xml:space="preserve"> (النساء: 113)،</w:t>
      </w:r>
      <w:r w:rsidRPr="00B00F2F">
        <w:rPr>
          <w:rFonts w:cs="DanaFajr"/>
          <w:sz w:val="28"/>
          <w:szCs w:val="28"/>
          <w:rtl/>
        </w:rPr>
        <w:t xml:space="preserve"> </w:t>
      </w:r>
      <w:r w:rsidRPr="00B00F2F">
        <w:rPr>
          <w:rFonts w:ascii="Mosawi" w:hAnsi="Mosawi" w:cs="Mosawi"/>
          <w:sz w:val="22"/>
          <w:szCs w:val="22"/>
          <w:rtl/>
        </w:rPr>
        <w:t>﴿</w:t>
      </w:r>
      <w:r w:rsidRPr="00F20149">
        <w:rPr>
          <w:rFonts w:cs="DanaFajr"/>
          <w:b/>
          <w:bCs/>
          <w:sz w:val="28"/>
          <w:szCs w:val="28"/>
          <w:rtl/>
        </w:rPr>
        <w:t>فَأَلْهَمَهَا فُجُورَهَا وَتَقْوَاهَا</w:t>
      </w:r>
      <w:r w:rsidRPr="00B00F2F">
        <w:rPr>
          <w:rFonts w:ascii="Mosawi" w:hAnsi="Mosawi" w:cs="Mosawi"/>
          <w:sz w:val="22"/>
          <w:szCs w:val="22"/>
          <w:rtl/>
        </w:rPr>
        <w:t>﴾</w:t>
      </w:r>
      <w:r w:rsidRPr="00B00F2F">
        <w:rPr>
          <w:rFonts w:cs="DanaFajr" w:hint="cs"/>
          <w:sz w:val="28"/>
          <w:szCs w:val="28"/>
          <w:rtl/>
        </w:rPr>
        <w:t xml:space="preserve"> (الشمس: 8)،</w:t>
      </w:r>
      <w:r w:rsidRPr="00B00F2F">
        <w:rPr>
          <w:rFonts w:cs="DanaFajr"/>
          <w:sz w:val="28"/>
          <w:szCs w:val="28"/>
          <w:rtl/>
        </w:rPr>
        <w:t xml:space="preserve"> </w:t>
      </w:r>
      <w:r w:rsidRPr="00B00F2F">
        <w:rPr>
          <w:rFonts w:ascii="Mosawi" w:hAnsi="Mosawi" w:cs="Mosawi"/>
          <w:sz w:val="22"/>
          <w:szCs w:val="22"/>
          <w:rtl/>
        </w:rPr>
        <w:t>﴿</w:t>
      </w:r>
      <w:r w:rsidRPr="00F20149">
        <w:rPr>
          <w:rFonts w:cs="DanaFajr"/>
          <w:b/>
          <w:bCs/>
          <w:sz w:val="28"/>
          <w:szCs w:val="28"/>
          <w:rtl/>
        </w:rPr>
        <w:t>وَعَلَّمَ آدَمَ الأَسْمَاءَ كُلَّهَا</w:t>
      </w:r>
      <w:r w:rsidRPr="00F20149">
        <w:rPr>
          <w:rFonts w:cs="DanaFajr" w:hint="cs"/>
          <w:b/>
          <w:bCs/>
          <w:sz w:val="28"/>
          <w:szCs w:val="28"/>
          <w:rtl/>
        </w:rPr>
        <w:t>...</w:t>
      </w:r>
      <w:r w:rsidRPr="00B00F2F">
        <w:rPr>
          <w:rFonts w:ascii="Mosawi" w:hAnsi="Mosawi" w:cs="Mosawi"/>
          <w:sz w:val="22"/>
          <w:szCs w:val="22"/>
          <w:rtl/>
        </w:rPr>
        <w:t>﴾</w:t>
      </w:r>
      <w:r w:rsidRPr="00B00F2F">
        <w:rPr>
          <w:rFonts w:cs="DanaFajr" w:hint="cs"/>
          <w:sz w:val="28"/>
          <w:szCs w:val="28"/>
          <w:rtl/>
        </w:rPr>
        <w:t xml:space="preserve"> (البقرة: 31)،</w:t>
      </w:r>
      <w:r w:rsidRPr="00B00F2F">
        <w:rPr>
          <w:rFonts w:cs="DanaFajr"/>
          <w:sz w:val="28"/>
          <w:szCs w:val="28"/>
          <w:rtl/>
        </w:rPr>
        <w:t xml:space="preserve"> </w:t>
      </w:r>
      <w:r w:rsidRPr="00B00F2F">
        <w:rPr>
          <w:rFonts w:ascii="Mosawi" w:hAnsi="Mosawi" w:cs="Mosawi"/>
          <w:sz w:val="22"/>
          <w:szCs w:val="22"/>
          <w:rtl/>
        </w:rPr>
        <w:t>﴿</w:t>
      </w:r>
      <w:r w:rsidRPr="00F20149">
        <w:rPr>
          <w:rFonts w:cs="DanaFajr" w:hint="cs"/>
          <w:b/>
          <w:bCs/>
          <w:sz w:val="28"/>
          <w:szCs w:val="28"/>
          <w:rtl/>
        </w:rPr>
        <w:t>...</w:t>
      </w:r>
      <w:r w:rsidRPr="00F20149">
        <w:rPr>
          <w:rFonts w:cs="DanaFajr"/>
          <w:b/>
          <w:bCs/>
          <w:sz w:val="28"/>
          <w:szCs w:val="28"/>
          <w:rtl/>
        </w:rPr>
        <w:t>وَاتَّقُوا اللهَ وَيُعَلِّمُكُمْ اللهُ</w:t>
      </w:r>
      <w:r w:rsidRPr="00F20149">
        <w:rPr>
          <w:rFonts w:cs="DanaFajr" w:hint="cs"/>
          <w:b/>
          <w:bCs/>
          <w:sz w:val="28"/>
          <w:szCs w:val="28"/>
          <w:rtl/>
        </w:rPr>
        <w:t>...</w:t>
      </w:r>
      <w:r w:rsidRPr="00B00F2F">
        <w:rPr>
          <w:rFonts w:ascii="Mosawi" w:hAnsi="Mosawi" w:cs="Mosawi"/>
          <w:sz w:val="22"/>
          <w:szCs w:val="22"/>
          <w:rtl/>
        </w:rPr>
        <w:t>﴾</w:t>
      </w:r>
      <w:r w:rsidRPr="00B00F2F">
        <w:rPr>
          <w:rFonts w:cs="DanaFajr" w:hint="cs"/>
          <w:sz w:val="28"/>
          <w:szCs w:val="28"/>
          <w:rtl/>
        </w:rPr>
        <w:t xml:space="preserve"> (البقرة: 282). </w:t>
      </w:r>
    </w:p>
  </w:endnote>
  <w:endnote w:id="727">
    <w:p w:rsidR="00DB2356" w:rsidRPr="00B00F2F" w:rsidRDefault="00DB2356" w:rsidP="00B00F2F">
      <w:pPr>
        <w:pStyle w:val="aa"/>
        <w:spacing w:line="312" w:lineRule="exact"/>
        <w:ind w:firstLine="0"/>
        <w:rPr>
          <w:rFonts w:cs="DanaFajr"/>
          <w:sz w:val="28"/>
          <w:szCs w:val="28"/>
          <w:rtl/>
        </w:rPr>
      </w:pPr>
      <w:r w:rsidRPr="00B00F2F">
        <w:rPr>
          <w:rFonts w:cs="DanaFajr"/>
          <w:sz w:val="28"/>
          <w:szCs w:val="28"/>
          <w:rtl/>
        </w:rPr>
        <w:t>(</w:t>
      </w:r>
      <w:r w:rsidRPr="00B00F2F">
        <w:rPr>
          <w:rFonts w:cs="DanaFajr"/>
          <w:sz w:val="28"/>
          <w:szCs w:val="28"/>
        </w:rPr>
        <w:endnoteRef/>
      </w:r>
      <w:r w:rsidRPr="00B00F2F">
        <w:rPr>
          <w:rFonts w:cs="DanaFajr"/>
          <w:sz w:val="28"/>
          <w:szCs w:val="28"/>
          <w:rtl/>
        </w:rPr>
        <w:t>) في إشارة</w:t>
      </w:r>
      <w:r w:rsidRPr="00B00F2F">
        <w:rPr>
          <w:rFonts w:cs="DanaFajr" w:hint="cs"/>
          <w:sz w:val="28"/>
          <w:szCs w:val="28"/>
          <w:rtl/>
        </w:rPr>
        <w:t>ٍ</w:t>
      </w:r>
      <w:r w:rsidRPr="00B00F2F">
        <w:rPr>
          <w:rFonts w:cs="DanaFajr"/>
          <w:sz w:val="28"/>
          <w:szCs w:val="28"/>
          <w:rtl/>
        </w:rPr>
        <w:t xml:space="preserve"> </w:t>
      </w:r>
      <w:r w:rsidRPr="00B00F2F">
        <w:rPr>
          <w:rFonts w:cs="DanaFajr" w:hint="cs"/>
          <w:sz w:val="28"/>
          <w:szCs w:val="28"/>
          <w:rtl/>
        </w:rPr>
        <w:t xml:space="preserve">إلى </w:t>
      </w:r>
      <w:r w:rsidRPr="00B00F2F">
        <w:rPr>
          <w:rFonts w:cs="DanaFajr"/>
          <w:sz w:val="28"/>
          <w:szCs w:val="28"/>
          <w:rtl/>
        </w:rPr>
        <w:t xml:space="preserve">قوله تعالى: </w:t>
      </w:r>
      <w:r w:rsidRPr="00B00F2F">
        <w:rPr>
          <w:rFonts w:ascii="Mosawi" w:hAnsi="Mosawi" w:cs="Mosawi"/>
          <w:sz w:val="22"/>
          <w:szCs w:val="22"/>
          <w:rtl/>
        </w:rPr>
        <w:t>﴿</w:t>
      </w:r>
      <w:r w:rsidRPr="00F20149">
        <w:rPr>
          <w:rFonts w:cs="DanaFajr" w:hint="cs"/>
          <w:b/>
          <w:bCs/>
          <w:sz w:val="28"/>
          <w:szCs w:val="28"/>
          <w:rtl/>
        </w:rPr>
        <w:t>...</w:t>
      </w:r>
      <w:r w:rsidRPr="00F20149">
        <w:rPr>
          <w:rFonts w:cs="DanaFajr"/>
          <w:b/>
          <w:bCs/>
          <w:sz w:val="28"/>
          <w:szCs w:val="28"/>
          <w:rtl/>
        </w:rPr>
        <w:t>يَا أَيُّهَا الإِنسَانُ إِنَّكَ كَادِحٌ إِلَى رَبِّكَ كَدْحاً فَمُلاَقِيهِ</w:t>
      </w:r>
      <w:r w:rsidRPr="00B00F2F">
        <w:rPr>
          <w:rFonts w:ascii="Mosawi" w:hAnsi="Mosawi" w:cs="Mosawi"/>
          <w:sz w:val="22"/>
          <w:szCs w:val="22"/>
          <w:rtl/>
        </w:rPr>
        <w:t>﴾</w:t>
      </w:r>
      <w:r w:rsidRPr="00B00F2F">
        <w:rPr>
          <w:rFonts w:cs="DanaFajr" w:hint="cs"/>
          <w:sz w:val="28"/>
          <w:szCs w:val="28"/>
          <w:rtl/>
        </w:rPr>
        <w:t xml:space="preserve"> (الانشقاق: 6). </w:t>
      </w:r>
    </w:p>
  </w:endnote>
  <w:endnote w:id="728">
    <w:p w:rsidR="00DB2356" w:rsidRPr="00B00F2F" w:rsidRDefault="00DB2356" w:rsidP="00B00F2F">
      <w:pPr>
        <w:pStyle w:val="aa"/>
        <w:spacing w:line="312" w:lineRule="exact"/>
        <w:ind w:firstLine="0"/>
        <w:rPr>
          <w:rFonts w:cs="DanaFajr"/>
          <w:sz w:val="28"/>
          <w:szCs w:val="28"/>
          <w:rtl/>
        </w:rPr>
      </w:pPr>
      <w:r w:rsidRPr="00B00F2F">
        <w:rPr>
          <w:rFonts w:cs="DanaFajr"/>
          <w:sz w:val="28"/>
          <w:szCs w:val="28"/>
          <w:rtl/>
        </w:rPr>
        <w:t>(</w:t>
      </w:r>
      <w:r w:rsidRPr="00B00F2F">
        <w:rPr>
          <w:rFonts w:cs="DanaFajr"/>
          <w:sz w:val="28"/>
          <w:szCs w:val="28"/>
        </w:rPr>
        <w:endnoteRef/>
      </w:r>
      <w:r w:rsidRPr="00B00F2F">
        <w:rPr>
          <w:rFonts w:cs="DanaFajr"/>
          <w:sz w:val="28"/>
          <w:szCs w:val="28"/>
          <w:rtl/>
        </w:rPr>
        <w:t xml:space="preserve">) </w:t>
      </w:r>
      <w:r w:rsidRPr="00B00F2F">
        <w:rPr>
          <w:rFonts w:cs="DanaFajr" w:hint="cs"/>
          <w:sz w:val="28"/>
          <w:szCs w:val="28"/>
          <w:rtl/>
        </w:rPr>
        <w:t xml:space="preserve">راجِعْ: </w:t>
      </w:r>
      <w:r w:rsidRPr="00B00F2F">
        <w:rPr>
          <w:rFonts w:hint="eastAsia"/>
          <w:sz w:val="22"/>
          <w:szCs w:val="22"/>
          <w:rtl/>
        </w:rPr>
        <w:t>«</w:t>
      </w:r>
      <w:r w:rsidRPr="00B00F2F">
        <w:rPr>
          <w:rFonts w:cs="DanaFajr"/>
          <w:sz w:val="28"/>
          <w:szCs w:val="28"/>
          <w:rtl/>
        </w:rPr>
        <w:t>أسس التربية الإسلامية</w:t>
      </w:r>
      <w:r w:rsidRPr="00B00F2F">
        <w:rPr>
          <w:rFonts w:hint="eastAsia"/>
          <w:sz w:val="22"/>
          <w:szCs w:val="22"/>
          <w:rtl/>
        </w:rPr>
        <w:t>»</w:t>
      </w:r>
      <w:r w:rsidRPr="00B00F2F">
        <w:rPr>
          <w:rFonts w:cs="DanaFajr"/>
          <w:sz w:val="28"/>
          <w:szCs w:val="28"/>
          <w:rtl/>
        </w:rPr>
        <w:t>، مجل</w:t>
      </w:r>
      <w:r w:rsidRPr="00B00F2F">
        <w:rPr>
          <w:rFonts w:cs="DanaFajr" w:hint="cs"/>
          <w:sz w:val="28"/>
          <w:szCs w:val="28"/>
          <w:rtl/>
        </w:rPr>
        <w:t>ّ</w:t>
      </w:r>
      <w:r w:rsidRPr="00B00F2F">
        <w:rPr>
          <w:rFonts w:cs="DanaFajr"/>
          <w:sz w:val="28"/>
          <w:szCs w:val="28"/>
          <w:rtl/>
        </w:rPr>
        <w:t>ة دعوة الحق</w:t>
      </w:r>
      <w:r w:rsidRPr="00B00F2F">
        <w:rPr>
          <w:rFonts w:cs="DanaFajr" w:hint="cs"/>
          <w:sz w:val="28"/>
          <w:szCs w:val="28"/>
          <w:rtl/>
        </w:rPr>
        <w:t>ّ</w:t>
      </w:r>
      <w:r w:rsidRPr="00B00F2F">
        <w:rPr>
          <w:rFonts w:cs="DanaFajr"/>
          <w:sz w:val="28"/>
          <w:szCs w:val="28"/>
          <w:rtl/>
        </w:rPr>
        <w:t xml:space="preserve">، العدد 172، موقع وزارة الأوقاف والشؤون الإسلامية المغربية، الرابط: </w:t>
      </w:r>
    </w:p>
    <w:p w:rsidR="00DB2356" w:rsidRPr="006571AC" w:rsidRDefault="00DB2356" w:rsidP="00C60B9A">
      <w:pPr>
        <w:pStyle w:val="aa"/>
        <w:bidi w:val="0"/>
        <w:spacing w:line="326" w:lineRule="exact"/>
        <w:ind w:firstLine="0"/>
        <w:rPr>
          <w:rFonts w:asciiTheme="majorBidi" w:hAnsiTheme="majorBidi" w:cstheme="majorBidi"/>
        </w:rPr>
      </w:pPr>
      <w:r w:rsidRPr="006571AC">
        <w:rPr>
          <w:rFonts w:asciiTheme="majorBidi" w:hAnsiTheme="majorBidi" w:cstheme="majorBidi"/>
        </w:rPr>
        <w:t>http://habous.gov.ma/daouat</w:t>
      </w:r>
      <w:r w:rsidRPr="006571AC">
        <w:rPr>
          <w:rFonts w:asciiTheme="majorBidi" w:hAnsiTheme="majorBidi" w:cstheme="majorBidi"/>
          <w:rtl/>
        </w:rPr>
        <w:t xml:space="preserve"> ـ </w:t>
      </w:r>
      <w:r w:rsidRPr="006571AC">
        <w:rPr>
          <w:rFonts w:asciiTheme="majorBidi" w:hAnsiTheme="majorBidi" w:cstheme="majorBidi"/>
        </w:rPr>
        <w:t>alhaq/item/4518</w:t>
      </w:r>
    </w:p>
  </w:endnote>
  <w:endnote w:id="729">
    <w:p w:rsidR="00DB2356" w:rsidRPr="00E13611" w:rsidRDefault="00DB2356" w:rsidP="00E13611">
      <w:pPr>
        <w:pStyle w:val="6"/>
        <w:spacing w:line="326" w:lineRule="exact"/>
        <w:ind w:left="0" w:firstLine="0"/>
        <w:jc w:val="both"/>
        <w:rPr>
          <w:rStyle w:val="a6"/>
          <w:rFonts w:cs="DanaFajr"/>
          <w:b/>
          <w:bCs w:val="0"/>
          <w:sz w:val="28"/>
          <w:szCs w:val="28"/>
          <w:rtl/>
        </w:rPr>
      </w:pPr>
      <w:r w:rsidRPr="00E13611">
        <w:rPr>
          <w:rStyle w:val="a6"/>
          <w:rFonts w:cs="DanaFajr"/>
          <w:b/>
          <w:bCs w:val="0"/>
          <w:sz w:val="28"/>
          <w:szCs w:val="28"/>
          <w:rtl/>
        </w:rPr>
        <w:t>(</w:t>
      </w:r>
      <w:r w:rsidRPr="00E13611">
        <w:rPr>
          <w:rStyle w:val="a6"/>
          <w:rFonts w:cs="DanaFajr"/>
          <w:b/>
          <w:bCs w:val="0"/>
          <w:sz w:val="28"/>
          <w:szCs w:val="28"/>
        </w:rPr>
        <w:endnoteRef/>
      </w:r>
      <w:r w:rsidRPr="00E13611">
        <w:rPr>
          <w:rStyle w:val="a6"/>
          <w:rFonts w:cs="DanaFajr"/>
          <w:b/>
          <w:bCs w:val="0"/>
          <w:sz w:val="28"/>
          <w:szCs w:val="28"/>
          <w:rtl/>
        </w:rPr>
        <w:t>)</w:t>
      </w:r>
      <w:r w:rsidRPr="00E13611">
        <w:rPr>
          <w:rStyle w:val="a6"/>
          <w:rFonts w:cs="DanaFajr" w:hint="cs"/>
          <w:b/>
          <w:bCs w:val="0"/>
          <w:sz w:val="28"/>
          <w:szCs w:val="28"/>
          <w:rtl/>
        </w:rPr>
        <w:t xml:space="preserve"> ابن حزم، الفصل في الملل والأهواء والنحل 8: 101.</w:t>
      </w:r>
    </w:p>
  </w:endnote>
  <w:endnote w:id="730">
    <w:p w:rsidR="00DB2356" w:rsidRPr="00E13611" w:rsidRDefault="00DB2356" w:rsidP="00E13611">
      <w:pPr>
        <w:pStyle w:val="6"/>
        <w:spacing w:line="326" w:lineRule="exact"/>
        <w:ind w:left="0" w:firstLine="0"/>
        <w:jc w:val="both"/>
        <w:rPr>
          <w:rStyle w:val="a6"/>
          <w:rFonts w:cs="DanaFajr"/>
          <w:b/>
          <w:bCs w:val="0"/>
          <w:sz w:val="28"/>
          <w:szCs w:val="28"/>
          <w:rtl/>
        </w:rPr>
      </w:pPr>
      <w:r w:rsidRPr="00E13611">
        <w:rPr>
          <w:rStyle w:val="a6"/>
          <w:rFonts w:cs="DanaFajr"/>
          <w:b/>
          <w:bCs w:val="0"/>
          <w:sz w:val="28"/>
          <w:szCs w:val="28"/>
          <w:rtl/>
        </w:rPr>
        <w:t>(</w:t>
      </w:r>
      <w:r w:rsidRPr="00E13611">
        <w:rPr>
          <w:rStyle w:val="a6"/>
          <w:rFonts w:cs="DanaFajr"/>
          <w:b/>
          <w:bCs w:val="0"/>
          <w:sz w:val="28"/>
          <w:szCs w:val="28"/>
        </w:rPr>
        <w:endnoteRef/>
      </w:r>
      <w:r w:rsidRPr="00E13611">
        <w:rPr>
          <w:rStyle w:val="a6"/>
          <w:rFonts w:cs="DanaFajr"/>
          <w:b/>
          <w:bCs w:val="0"/>
          <w:sz w:val="28"/>
          <w:szCs w:val="28"/>
          <w:rtl/>
        </w:rPr>
        <w:t>)</w:t>
      </w:r>
      <w:r w:rsidRPr="00E13611">
        <w:rPr>
          <w:rStyle w:val="a6"/>
          <w:rFonts w:cs="DanaFajr" w:hint="cs"/>
          <w:b/>
          <w:bCs w:val="0"/>
          <w:sz w:val="28"/>
          <w:szCs w:val="28"/>
          <w:rtl/>
        </w:rPr>
        <w:t xml:space="preserve"> محمد وقيدي، ما ه</w:t>
      </w:r>
      <w:r>
        <w:rPr>
          <w:rStyle w:val="a6"/>
          <w:rFonts w:cs="DanaFajr" w:hint="cs"/>
          <w:b/>
          <w:bCs w:val="0"/>
          <w:sz w:val="28"/>
          <w:szCs w:val="28"/>
          <w:rtl/>
        </w:rPr>
        <w:t>ي</w:t>
      </w:r>
      <w:r w:rsidRPr="00E13611">
        <w:rPr>
          <w:rStyle w:val="a6"/>
          <w:rFonts w:cs="DanaFajr" w:hint="cs"/>
          <w:b/>
          <w:bCs w:val="0"/>
          <w:sz w:val="28"/>
          <w:szCs w:val="28"/>
          <w:rtl/>
        </w:rPr>
        <w:t xml:space="preserve"> العلوم الإنسانية؟: 11.</w:t>
      </w:r>
    </w:p>
  </w:endnote>
  <w:endnote w:id="731">
    <w:p w:rsidR="00DB2356" w:rsidRPr="00E13611" w:rsidRDefault="00DB2356" w:rsidP="00E13611">
      <w:pPr>
        <w:pStyle w:val="6"/>
        <w:spacing w:line="326" w:lineRule="exact"/>
        <w:ind w:left="0" w:firstLine="0"/>
        <w:jc w:val="both"/>
        <w:rPr>
          <w:rStyle w:val="a6"/>
          <w:rFonts w:cs="DanaFajr"/>
          <w:b/>
          <w:bCs w:val="0"/>
          <w:sz w:val="28"/>
          <w:szCs w:val="28"/>
          <w:rtl/>
        </w:rPr>
      </w:pPr>
      <w:r w:rsidRPr="00E13611">
        <w:rPr>
          <w:rStyle w:val="a6"/>
          <w:rFonts w:cs="DanaFajr"/>
          <w:b/>
          <w:bCs w:val="0"/>
          <w:sz w:val="28"/>
          <w:szCs w:val="28"/>
          <w:rtl/>
        </w:rPr>
        <w:t>(</w:t>
      </w:r>
      <w:r w:rsidRPr="00E13611">
        <w:rPr>
          <w:rStyle w:val="a6"/>
          <w:rFonts w:cs="DanaFajr"/>
          <w:b/>
          <w:bCs w:val="0"/>
          <w:sz w:val="28"/>
          <w:szCs w:val="28"/>
        </w:rPr>
        <w:endnoteRef/>
      </w:r>
      <w:r w:rsidRPr="00E13611">
        <w:rPr>
          <w:rStyle w:val="a6"/>
          <w:rFonts w:cs="DanaFajr"/>
          <w:b/>
          <w:bCs w:val="0"/>
          <w:sz w:val="28"/>
          <w:szCs w:val="28"/>
          <w:rtl/>
        </w:rPr>
        <w:t>)</w:t>
      </w:r>
      <w:r w:rsidRPr="00E13611">
        <w:rPr>
          <w:rStyle w:val="a6"/>
          <w:rFonts w:cs="DanaFajr" w:hint="cs"/>
          <w:b/>
          <w:bCs w:val="0"/>
          <w:sz w:val="28"/>
          <w:szCs w:val="28"/>
          <w:rtl/>
        </w:rPr>
        <w:t xml:space="preserve"> د.</w:t>
      </w:r>
      <w:r w:rsidRPr="00E13611">
        <w:rPr>
          <w:rStyle w:val="a6"/>
          <w:rFonts w:cs="DanaFajr"/>
          <w:b/>
          <w:bCs w:val="0"/>
          <w:sz w:val="28"/>
          <w:szCs w:val="28"/>
          <w:rtl/>
        </w:rPr>
        <w:t xml:space="preserve"> عبد الرحمن بدوي</w:t>
      </w:r>
      <w:r w:rsidRPr="00E13611">
        <w:rPr>
          <w:rStyle w:val="a6"/>
          <w:rFonts w:cs="DanaFajr" w:hint="cs"/>
          <w:b/>
          <w:bCs w:val="0"/>
          <w:sz w:val="28"/>
          <w:szCs w:val="28"/>
          <w:rtl/>
        </w:rPr>
        <w:t>،</w:t>
      </w:r>
      <w:r w:rsidRPr="00E13611">
        <w:rPr>
          <w:rStyle w:val="a6"/>
          <w:rFonts w:cs="DanaFajr"/>
          <w:b/>
          <w:bCs w:val="0"/>
          <w:sz w:val="28"/>
          <w:szCs w:val="28"/>
          <w:rtl/>
        </w:rPr>
        <w:t xml:space="preserve"> أفلاطون</w:t>
      </w:r>
      <w:r w:rsidRPr="00E13611">
        <w:rPr>
          <w:rStyle w:val="a6"/>
          <w:rFonts w:cs="DanaFajr" w:hint="cs"/>
          <w:b/>
          <w:bCs w:val="0"/>
          <w:sz w:val="28"/>
          <w:szCs w:val="28"/>
          <w:rtl/>
        </w:rPr>
        <w:t>: 154</w:t>
      </w:r>
      <w:r w:rsidRPr="00E13611">
        <w:rPr>
          <w:rStyle w:val="a6"/>
          <w:rFonts w:cs="DanaFajr"/>
          <w:b/>
          <w:bCs w:val="0"/>
          <w:sz w:val="28"/>
          <w:szCs w:val="28"/>
          <w:rtl/>
        </w:rPr>
        <w:t>، مكتبة النهضة المصرية، القاهرة، 1954</w:t>
      </w:r>
      <w:r w:rsidRPr="00E13611">
        <w:rPr>
          <w:rStyle w:val="a6"/>
          <w:rFonts w:cs="DanaFajr" w:hint="cs"/>
          <w:b/>
          <w:bCs w:val="0"/>
          <w:sz w:val="28"/>
          <w:szCs w:val="28"/>
          <w:rtl/>
        </w:rPr>
        <w:t>م.</w:t>
      </w:r>
    </w:p>
  </w:endnote>
  <w:endnote w:id="732">
    <w:p w:rsidR="00DB2356" w:rsidRPr="006571AC" w:rsidRDefault="00DB2356" w:rsidP="00297354">
      <w:pPr>
        <w:pStyle w:val="aa"/>
        <w:spacing w:line="326"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خادي مسعودة، التربية والبيداغوجية في فكر إميل دركايم، مجلة جيل، العدد </w:t>
      </w:r>
      <w:r w:rsidRPr="006571AC">
        <w:rPr>
          <w:rFonts w:ascii="Arial" w:hAnsi="Arial" w:cs="DanaFajr"/>
          <w:sz w:val="28"/>
          <w:szCs w:val="28"/>
          <w:shd w:val="clear" w:color="auto" w:fill="FFFFFF"/>
          <w:rtl/>
        </w:rPr>
        <w:t>50</w:t>
      </w:r>
      <w:r w:rsidRPr="006571AC">
        <w:rPr>
          <w:rFonts w:ascii="Arial" w:hAnsi="Arial" w:cs="DanaFajr" w:hint="cs"/>
          <w:sz w:val="28"/>
          <w:szCs w:val="28"/>
          <w:shd w:val="clear" w:color="auto" w:fill="FFFFFF"/>
          <w:rtl/>
        </w:rPr>
        <w:t xml:space="preserve">، </w:t>
      </w:r>
      <w:r w:rsidRPr="006571AC">
        <w:rPr>
          <w:rFonts w:ascii="Arial" w:hAnsi="Arial" w:cs="DanaFajr"/>
          <w:sz w:val="28"/>
          <w:szCs w:val="28"/>
          <w:shd w:val="clear" w:color="auto" w:fill="FFFFFF"/>
          <w:rtl/>
        </w:rPr>
        <w:t>2017</w:t>
      </w:r>
      <w:r w:rsidRPr="006571AC">
        <w:rPr>
          <w:rFonts w:ascii="Arial" w:hAnsi="Arial" w:cs="DanaFajr" w:hint="cs"/>
          <w:sz w:val="28"/>
          <w:szCs w:val="28"/>
          <w:bdr w:val="none" w:sz="0" w:space="0" w:color="auto" w:frame="1"/>
          <w:rtl/>
        </w:rPr>
        <w:t>م</w:t>
      </w:r>
      <w:r w:rsidRPr="006571AC">
        <w:rPr>
          <w:rFonts w:ascii="Arial" w:hAnsi="Arial" w:cs="DanaFajr"/>
          <w:sz w:val="28"/>
          <w:szCs w:val="28"/>
          <w:bdr w:val="none" w:sz="0" w:space="0" w:color="auto" w:frame="1"/>
          <w:rtl/>
        </w:rPr>
        <w:t xml:space="preserve">. </w:t>
      </w:r>
    </w:p>
  </w:endnote>
  <w:endnote w:id="733">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م</w:t>
      </w:r>
      <w:r w:rsidRPr="006571AC">
        <w:rPr>
          <w:rFonts w:cs="DanaFajr"/>
          <w:sz w:val="28"/>
          <w:szCs w:val="28"/>
          <w:rtl/>
        </w:rPr>
        <w:t>صطفى عشوي</w:t>
      </w:r>
      <w:r w:rsidRPr="006571AC">
        <w:rPr>
          <w:rFonts w:cs="DanaFajr" w:hint="cs"/>
          <w:sz w:val="28"/>
          <w:szCs w:val="28"/>
          <w:rtl/>
        </w:rPr>
        <w:t>،</w:t>
      </w:r>
      <w:r w:rsidRPr="006571AC">
        <w:rPr>
          <w:rFonts w:cs="DanaFajr"/>
          <w:sz w:val="28"/>
          <w:szCs w:val="28"/>
          <w:rtl/>
        </w:rPr>
        <w:t xml:space="preserve"> نحو تكامل العلوم الاجتماع</w:t>
      </w:r>
      <w:r w:rsidRPr="006571AC">
        <w:rPr>
          <w:rFonts w:cs="DanaFajr" w:hint="cs"/>
          <w:sz w:val="28"/>
          <w:szCs w:val="28"/>
          <w:rtl/>
        </w:rPr>
        <w:t>ي</w:t>
      </w:r>
      <w:r w:rsidRPr="006571AC">
        <w:rPr>
          <w:rFonts w:cs="DanaFajr"/>
          <w:sz w:val="28"/>
          <w:szCs w:val="28"/>
          <w:rtl/>
        </w:rPr>
        <w:t>ة والعلوم الشرع</w:t>
      </w:r>
      <w:r w:rsidRPr="006571AC">
        <w:rPr>
          <w:rFonts w:cs="DanaFajr" w:hint="cs"/>
          <w:sz w:val="28"/>
          <w:szCs w:val="28"/>
          <w:rtl/>
        </w:rPr>
        <w:t>ي</w:t>
      </w:r>
      <w:r w:rsidRPr="006571AC">
        <w:rPr>
          <w:rFonts w:cs="DanaFajr"/>
          <w:sz w:val="28"/>
          <w:szCs w:val="28"/>
          <w:rtl/>
        </w:rPr>
        <w:t>ة، مجلة التجد</w:t>
      </w:r>
      <w:r w:rsidRPr="006571AC">
        <w:rPr>
          <w:rFonts w:cs="DanaFajr" w:hint="cs"/>
          <w:sz w:val="28"/>
          <w:szCs w:val="28"/>
          <w:rtl/>
        </w:rPr>
        <w:t>ي</w:t>
      </w:r>
      <w:r w:rsidRPr="006571AC">
        <w:rPr>
          <w:rFonts w:cs="DanaFajr"/>
          <w:sz w:val="28"/>
          <w:szCs w:val="28"/>
          <w:rtl/>
        </w:rPr>
        <w:t xml:space="preserve">د، العدد </w:t>
      </w:r>
      <w:r w:rsidRPr="006571AC">
        <w:rPr>
          <w:rFonts w:cs="DanaFajr" w:hint="cs"/>
          <w:sz w:val="28"/>
          <w:szCs w:val="28"/>
          <w:rtl/>
        </w:rPr>
        <w:t>2: 58</w:t>
      </w:r>
      <w:r w:rsidRPr="006571AC">
        <w:rPr>
          <w:rFonts w:cs="DanaFajr"/>
          <w:sz w:val="28"/>
          <w:szCs w:val="28"/>
          <w:rtl/>
        </w:rPr>
        <w:t xml:space="preserve">، </w:t>
      </w:r>
      <w:r w:rsidRPr="006571AC">
        <w:rPr>
          <w:rFonts w:cs="DanaFajr" w:hint="cs"/>
          <w:sz w:val="28"/>
          <w:szCs w:val="28"/>
          <w:rtl/>
        </w:rPr>
        <w:t>1418</w:t>
      </w:r>
      <w:r w:rsidRPr="006571AC">
        <w:rPr>
          <w:rFonts w:ascii="Times New Roman" w:hAnsi="Times New Roman" w:cs="DanaFajr" w:hint="cs"/>
          <w:sz w:val="28"/>
          <w:szCs w:val="28"/>
          <w:rtl/>
        </w:rPr>
        <w:t>ه</w:t>
      </w:r>
      <w:r w:rsidRPr="006571AC">
        <w:rPr>
          <w:rFonts w:cs="DanaFajr" w:hint="cs"/>
          <w:sz w:val="28"/>
          <w:szCs w:val="28"/>
          <w:rtl/>
        </w:rPr>
        <w:t>ـ ـ</w:t>
      </w:r>
      <w:r w:rsidRPr="006571AC">
        <w:rPr>
          <w:rFonts w:cs="DanaFajr"/>
          <w:sz w:val="28"/>
          <w:szCs w:val="28"/>
          <w:rtl/>
        </w:rPr>
        <w:t xml:space="preserve"> 1997</w:t>
      </w:r>
      <w:r w:rsidRPr="006571AC">
        <w:rPr>
          <w:rFonts w:cs="DanaFajr" w:hint="cs"/>
          <w:sz w:val="28"/>
          <w:szCs w:val="28"/>
          <w:rtl/>
        </w:rPr>
        <w:t>م</w:t>
      </w:r>
      <w:r w:rsidRPr="006571AC">
        <w:rPr>
          <w:rFonts w:ascii="Arial" w:hAnsi="Arial" w:cs="DanaFajr"/>
          <w:sz w:val="28"/>
          <w:szCs w:val="28"/>
          <w:bdr w:val="none" w:sz="0" w:space="0" w:color="auto" w:frame="1"/>
          <w:rtl/>
        </w:rPr>
        <w:t xml:space="preserve">. </w:t>
      </w:r>
    </w:p>
  </w:endnote>
  <w:endnote w:id="734">
    <w:p w:rsidR="00DB2356" w:rsidRPr="006571AC" w:rsidRDefault="00DB2356" w:rsidP="00594E34">
      <w:pPr>
        <w:pStyle w:val="aa"/>
        <w:spacing w:line="325" w:lineRule="exact"/>
        <w:ind w:firstLine="0"/>
        <w:rPr>
          <w:rFonts w:ascii="Arial" w:hAnsi="Arial" w:cs="DanaFajr"/>
          <w:sz w:val="28"/>
          <w:szCs w:val="28"/>
          <w:rtl/>
          <w:lang w:bidi="ar-MA"/>
        </w:rPr>
      </w:pPr>
      <w:r w:rsidRPr="006571AC">
        <w:rPr>
          <w:rFonts w:ascii="Arial" w:hAnsi="Arial" w:cs="DanaFajr"/>
          <w:sz w:val="28"/>
          <w:szCs w:val="28"/>
          <w:rtl/>
          <w:lang w:bidi="ar-MA"/>
        </w:rPr>
        <w:t>(</w:t>
      </w:r>
      <w:r w:rsidRPr="006571AC">
        <w:rPr>
          <w:rStyle w:val="ac"/>
          <w:rFonts w:ascii="Arial" w:hAnsi="Arial" w:cs="DanaFajr"/>
          <w:sz w:val="28"/>
          <w:szCs w:val="28"/>
          <w:vertAlign w:val="baseline"/>
        </w:rPr>
        <w:endnoteRef/>
      </w:r>
      <w:r w:rsidRPr="006571AC">
        <w:rPr>
          <w:rFonts w:ascii="Arial" w:hAnsi="Arial" w:cs="DanaFajr"/>
          <w:sz w:val="28"/>
          <w:szCs w:val="28"/>
          <w:rtl/>
          <w:lang w:bidi="ar-MA"/>
        </w:rPr>
        <w:t>)</w:t>
      </w:r>
      <w:r w:rsidRPr="006571AC">
        <w:rPr>
          <w:rFonts w:ascii="Arial" w:hAnsi="Arial" w:cs="DanaFajr" w:hint="cs"/>
          <w:sz w:val="28"/>
          <w:szCs w:val="28"/>
          <w:rtl/>
          <w:lang w:bidi="ar-MA"/>
        </w:rPr>
        <w:t xml:space="preserve"> </w:t>
      </w:r>
      <w:r w:rsidRPr="006571AC">
        <w:rPr>
          <w:rFonts w:ascii="Arial" w:hAnsi="Arial" w:cs="DanaFajr"/>
          <w:sz w:val="28"/>
          <w:szCs w:val="28"/>
          <w:rtl/>
          <w:lang w:bidi="ar-MA"/>
        </w:rPr>
        <w:t>علي امليل</w:t>
      </w:r>
      <w:r w:rsidRPr="006571AC">
        <w:rPr>
          <w:rFonts w:ascii="Arial" w:hAnsi="Arial" w:cs="DanaFajr" w:hint="cs"/>
          <w:sz w:val="28"/>
          <w:szCs w:val="28"/>
          <w:rtl/>
          <w:lang w:bidi="ar-MA"/>
        </w:rPr>
        <w:t>،</w:t>
      </w:r>
      <w:r w:rsidRPr="006571AC">
        <w:rPr>
          <w:rFonts w:ascii="Arial" w:hAnsi="Arial" w:cs="DanaFajr"/>
          <w:sz w:val="28"/>
          <w:szCs w:val="28"/>
          <w:rtl/>
          <w:lang w:bidi="ar-MA"/>
        </w:rPr>
        <w:t xml:space="preserve"> الخطاب التاريخي عند ابن خلدون </w:t>
      </w:r>
      <w:r w:rsidRPr="006571AC">
        <w:rPr>
          <w:rFonts w:ascii="Arial" w:hAnsi="Arial" w:cs="DanaFajr" w:hint="cs"/>
          <w:sz w:val="28"/>
          <w:szCs w:val="28"/>
          <w:rtl/>
          <w:lang w:bidi="ar-MA"/>
        </w:rPr>
        <w:t>(</w:t>
      </w:r>
      <w:r w:rsidRPr="006571AC">
        <w:rPr>
          <w:rFonts w:ascii="Arial" w:hAnsi="Arial" w:cs="DanaFajr"/>
          <w:sz w:val="28"/>
          <w:szCs w:val="28"/>
          <w:shd w:val="clear" w:color="auto" w:fill="FFFFFF"/>
          <w:rtl/>
        </w:rPr>
        <w:t>دراسة لمنهجية ابن خلدون</w:t>
      </w:r>
      <w:r w:rsidRPr="006571AC">
        <w:rPr>
          <w:rFonts w:ascii="Arial" w:hAnsi="Arial" w:cs="DanaFajr" w:hint="cs"/>
          <w:sz w:val="28"/>
          <w:szCs w:val="28"/>
          <w:shd w:val="clear" w:color="auto" w:fill="FFFFFF"/>
          <w:rtl/>
        </w:rPr>
        <w:t>): 17،</w:t>
      </w:r>
      <w:r w:rsidRPr="006571AC">
        <w:rPr>
          <w:rFonts w:ascii="Arial" w:hAnsi="Arial" w:cs="DanaFajr"/>
          <w:sz w:val="28"/>
          <w:szCs w:val="28"/>
          <w:rtl/>
          <w:lang w:bidi="ar-MA"/>
        </w:rPr>
        <w:t xml:space="preserve"> المركز الثقافي العربي</w:t>
      </w:r>
      <w:r w:rsidRPr="006571AC">
        <w:rPr>
          <w:rFonts w:ascii="Arial" w:hAnsi="Arial" w:cs="DanaFajr" w:hint="cs"/>
          <w:sz w:val="28"/>
          <w:szCs w:val="28"/>
          <w:rtl/>
          <w:lang w:bidi="ar-MA"/>
        </w:rPr>
        <w:t>.</w:t>
      </w:r>
    </w:p>
  </w:endnote>
  <w:endnote w:id="735">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طه عبد الرحمان،</w:t>
      </w:r>
      <w:r w:rsidRPr="006571AC">
        <w:rPr>
          <w:rFonts w:cs="DanaFajr"/>
          <w:sz w:val="28"/>
          <w:szCs w:val="28"/>
          <w:rtl/>
          <w:lang w:bidi="ar-MA"/>
        </w:rPr>
        <w:t xml:space="preserve"> حوارات من </w:t>
      </w:r>
      <w:r w:rsidRPr="006571AC">
        <w:rPr>
          <w:rFonts w:cs="DanaFajr" w:hint="cs"/>
          <w:sz w:val="28"/>
          <w:szCs w:val="28"/>
          <w:rtl/>
          <w:lang w:bidi="ar-MA"/>
        </w:rPr>
        <w:t>أ</w:t>
      </w:r>
      <w:r w:rsidRPr="006571AC">
        <w:rPr>
          <w:rFonts w:cs="DanaFajr"/>
          <w:sz w:val="28"/>
          <w:szCs w:val="28"/>
          <w:rtl/>
          <w:lang w:bidi="ar-MA"/>
        </w:rPr>
        <w:t>جل المستقبل: 28</w:t>
      </w:r>
      <w:r w:rsidRPr="006571AC">
        <w:rPr>
          <w:rFonts w:cs="DanaFajr" w:hint="cs"/>
          <w:sz w:val="28"/>
          <w:szCs w:val="28"/>
          <w:rtl/>
          <w:lang w:bidi="ar-MA"/>
        </w:rPr>
        <w:t>.</w:t>
      </w:r>
    </w:p>
  </w:endnote>
  <w:endnote w:id="736">
    <w:p w:rsidR="00DB2356" w:rsidRPr="006571AC" w:rsidRDefault="00DB2356" w:rsidP="00594E34">
      <w:pPr>
        <w:pStyle w:val="aa"/>
        <w:bidi w:val="0"/>
        <w:spacing w:line="325" w:lineRule="exact"/>
        <w:ind w:firstLine="0"/>
        <w:rPr>
          <w:rFonts w:asciiTheme="majorBidi" w:hAnsiTheme="majorBidi" w:cstheme="majorBidi"/>
          <w:rtl/>
          <w:lang w:bidi="ar-MA"/>
        </w:rPr>
      </w:pPr>
      <w:r w:rsidRPr="006571AC">
        <w:rPr>
          <w:rFonts w:asciiTheme="majorBidi" w:hAnsiTheme="majorBidi" w:cstheme="majorBidi"/>
          <w:lang w:bidi="ar-MA"/>
        </w:rPr>
        <w:t>(</w:t>
      </w:r>
      <w:r w:rsidRPr="006571AC">
        <w:rPr>
          <w:rStyle w:val="ac"/>
          <w:rFonts w:asciiTheme="majorBidi" w:hAnsiTheme="majorBidi" w:cstheme="majorBidi"/>
          <w:vertAlign w:val="baseline"/>
        </w:rPr>
        <w:endnoteRef/>
      </w:r>
      <w:r w:rsidRPr="006571AC">
        <w:rPr>
          <w:rFonts w:asciiTheme="majorBidi" w:hAnsiTheme="majorBidi" w:cstheme="majorBidi" w:hint="cs"/>
          <w:rtl/>
          <w:lang w:bidi="ar-MA"/>
        </w:rPr>
        <w:t>(</w:t>
      </w:r>
      <w:r w:rsidRPr="006571AC">
        <w:rPr>
          <w:rFonts w:asciiTheme="majorBidi" w:hAnsiTheme="majorBidi" w:cstheme="majorBidi"/>
          <w:lang w:bidi="ar-MA"/>
        </w:rPr>
        <w:t xml:space="preserve"> </w:t>
      </w:r>
      <w:r w:rsidRPr="006571AC">
        <w:rPr>
          <w:rFonts w:asciiTheme="majorBidi" w:hAnsiTheme="majorBidi" w:cstheme="majorBidi"/>
        </w:rPr>
        <w:t>Les grands penseurs des sciences humaines: Nicolas Journet</w:t>
      </w:r>
      <w:r w:rsidRPr="006571AC">
        <w:rPr>
          <w:rFonts w:asciiTheme="majorBidi" w:hAnsiTheme="majorBidi" w:cstheme="majorBidi"/>
          <w:lang w:bidi="ar-MA"/>
        </w:rPr>
        <w:t>: 78</w:t>
      </w:r>
      <w:r w:rsidRPr="006571AC">
        <w:rPr>
          <w:rFonts w:asciiTheme="majorBidi" w:hAnsiTheme="majorBidi" w:cstheme="majorBidi"/>
          <w:rtl/>
          <w:lang w:bidi="ar-MA"/>
        </w:rPr>
        <w:t>.</w:t>
      </w:r>
    </w:p>
  </w:endnote>
  <w:endnote w:id="737">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hint="cs"/>
          <w:sz w:val="28"/>
          <w:szCs w:val="28"/>
          <w:rtl/>
          <w:lang w:bidi="ar-MA"/>
        </w:rPr>
        <w:t xml:space="preserve">) برتراند راسل، حكمة الغرب 2: 5، ترجمة وتقديم: فؤاد زكريا، سلسلة عالم المعرفة، العدد </w:t>
      </w:r>
      <w:r w:rsidRPr="006571AC">
        <w:rPr>
          <w:rFonts w:ascii="Arial" w:hAnsi="Arial" w:cs="DanaFajr"/>
          <w:sz w:val="28"/>
          <w:szCs w:val="28"/>
          <w:shd w:val="clear" w:color="auto" w:fill="FFFFFF"/>
          <w:rtl/>
        </w:rPr>
        <w:t>365</w:t>
      </w:r>
      <w:r w:rsidRPr="006571AC">
        <w:rPr>
          <w:rFonts w:ascii="Arial" w:hAnsi="Arial" w:cs="DanaFajr" w:hint="cs"/>
          <w:sz w:val="28"/>
          <w:szCs w:val="28"/>
          <w:shd w:val="clear" w:color="auto" w:fill="FFFFFF"/>
          <w:rtl/>
        </w:rPr>
        <w:t xml:space="preserve">، </w:t>
      </w:r>
      <w:r w:rsidRPr="006571AC">
        <w:rPr>
          <w:rFonts w:ascii="Arial" w:hAnsi="Arial" w:cs="DanaFajr"/>
          <w:sz w:val="28"/>
          <w:szCs w:val="28"/>
          <w:shd w:val="clear" w:color="auto" w:fill="FFFFFF"/>
          <w:rtl/>
        </w:rPr>
        <w:t>2009</w:t>
      </w:r>
      <w:r w:rsidRPr="006571AC">
        <w:rPr>
          <w:rFonts w:cs="DanaFajr" w:hint="cs"/>
          <w:sz w:val="28"/>
          <w:szCs w:val="28"/>
          <w:rtl/>
          <w:lang w:bidi="ar-MA"/>
        </w:rPr>
        <w:t xml:space="preserve">م. </w:t>
      </w:r>
    </w:p>
  </w:endnote>
  <w:endnote w:id="738">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 xml:space="preserve">) </w:t>
      </w:r>
      <w:r w:rsidRPr="006571AC">
        <w:rPr>
          <w:rFonts w:cs="DanaFajr" w:hint="cs"/>
          <w:sz w:val="28"/>
          <w:szCs w:val="28"/>
          <w:rtl/>
          <w:lang w:bidi="ar-MA"/>
        </w:rPr>
        <w:t>المصدر نفسه.</w:t>
      </w:r>
    </w:p>
  </w:endnote>
  <w:endnote w:id="739">
    <w:p w:rsidR="00DB2356" w:rsidRPr="006571AC" w:rsidRDefault="00DB2356" w:rsidP="00594E34">
      <w:pPr>
        <w:tabs>
          <w:tab w:val="left" w:pos="3417"/>
        </w:tabs>
        <w:spacing w:line="325" w:lineRule="exact"/>
        <w:ind w:firstLine="0"/>
        <w:rPr>
          <w:rFonts w:ascii="Arial" w:hAnsi="Arial" w:cs="DanaFajr"/>
          <w:szCs w:val="28"/>
          <w:rtl/>
          <w:lang w:bidi="ar-MA"/>
        </w:rPr>
      </w:pPr>
      <w:r w:rsidRPr="006571AC">
        <w:rPr>
          <w:rFonts w:cs="DanaFajr"/>
          <w:szCs w:val="28"/>
          <w:rtl/>
          <w:lang w:bidi="ar-MA"/>
        </w:rPr>
        <w:t>(</w:t>
      </w:r>
      <w:r w:rsidRPr="006571AC">
        <w:rPr>
          <w:rStyle w:val="ac"/>
          <w:rFonts w:cs="DanaFajr"/>
          <w:szCs w:val="28"/>
          <w:vertAlign w:val="baseline"/>
        </w:rPr>
        <w:endnoteRef/>
      </w:r>
      <w:r w:rsidRPr="006571AC">
        <w:rPr>
          <w:rFonts w:cs="DanaFajr" w:hint="cs"/>
          <w:szCs w:val="28"/>
          <w:rtl/>
          <w:lang w:bidi="ar-MA"/>
        </w:rPr>
        <w:t xml:space="preserve">) </w:t>
      </w:r>
      <w:r w:rsidRPr="006571AC">
        <w:rPr>
          <w:rFonts w:ascii="Arial" w:hAnsi="Arial" w:cs="DanaFajr" w:hint="cs"/>
          <w:szCs w:val="28"/>
          <w:rtl/>
          <w:lang w:bidi="ar-MA"/>
        </w:rPr>
        <w:t xml:space="preserve">د. سالم يفوت، الفكر الفلسفي والفكر العلمي: 128، ضمن كتاب الفلسفة العربية المعاصرة، مركز الوحدة العربية، 2000م. </w:t>
      </w:r>
    </w:p>
  </w:endnote>
  <w:endnote w:id="740">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محمد بنعمر، التربية بمقاربة تاريخية، بحثٌ على موقع جريدة الأستاذ، 2016م:</w:t>
      </w:r>
    </w:p>
    <w:p w:rsidR="00DB2356" w:rsidRPr="006571AC" w:rsidRDefault="00DB2356" w:rsidP="00594E34">
      <w:pPr>
        <w:pStyle w:val="aa"/>
        <w:bidi w:val="0"/>
        <w:spacing w:line="325" w:lineRule="exact"/>
        <w:ind w:firstLine="0"/>
        <w:rPr>
          <w:rFonts w:asciiTheme="majorBidi" w:hAnsiTheme="majorBidi" w:cstheme="majorBidi"/>
          <w:rtl/>
          <w:lang w:bidi="ar-MA"/>
        </w:rPr>
      </w:pPr>
      <w:r w:rsidRPr="006571AC">
        <w:rPr>
          <w:rFonts w:asciiTheme="majorBidi" w:hAnsiTheme="majorBidi" w:cstheme="majorBidi"/>
          <w:lang w:bidi="ar-MA"/>
        </w:rPr>
        <w:t xml:space="preserve"> </w:t>
      </w:r>
      <w:r w:rsidRPr="006571AC">
        <w:rPr>
          <w:rStyle w:val="afffff5"/>
          <w:rFonts w:asciiTheme="majorBidi" w:hAnsiTheme="majorBidi" w:cstheme="majorBidi"/>
          <w:i w:val="0"/>
          <w:iCs w:val="0"/>
          <w:shd w:val="clear" w:color="auto" w:fill="FFFFFF"/>
        </w:rPr>
        <w:t>profpress</w:t>
      </w:r>
      <w:r w:rsidRPr="006571AC">
        <w:rPr>
          <w:rFonts w:asciiTheme="majorBidi" w:hAnsiTheme="majorBidi" w:cstheme="majorBidi"/>
          <w:shd w:val="clear" w:color="auto" w:fill="FFFFFF"/>
        </w:rPr>
        <w:t>.</w:t>
      </w:r>
      <w:r w:rsidRPr="006571AC">
        <w:rPr>
          <w:rStyle w:val="afffff5"/>
          <w:rFonts w:asciiTheme="majorBidi" w:hAnsiTheme="majorBidi" w:cstheme="majorBidi"/>
          <w:i w:val="0"/>
          <w:iCs w:val="0"/>
          <w:shd w:val="clear" w:color="auto" w:fill="FFFFFF"/>
        </w:rPr>
        <w:t>ma</w:t>
      </w:r>
    </w:p>
  </w:endnote>
  <w:endnote w:id="741">
    <w:p w:rsidR="00DB2356" w:rsidRPr="006571AC" w:rsidRDefault="00DB2356" w:rsidP="00594E34">
      <w:pPr>
        <w:spacing w:line="325" w:lineRule="exact"/>
        <w:ind w:firstLine="0"/>
        <w:rPr>
          <w:rFonts w:ascii="Arial" w:hAnsi="Arial" w:cs="DanaFajr"/>
          <w:szCs w:val="28"/>
          <w:rtl/>
          <w:lang w:bidi="ar-MA"/>
        </w:rPr>
      </w:pPr>
      <w:r w:rsidRPr="006571AC">
        <w:rPr>
          <w:rFonts w:cs="DanaFajr"/>
          <w:szCs w:val="28"/>
          <w:rtl/>
          <w:lang w:bidi="ar-MA"/>
        </w:rPr>
        <w:t>(</w:t>
      </w:r>
      <w:r w:rsidRPr="006571AC">
        <w:rPr>
          <w:rStyle w:val="ac"/>
          <w:rFonts w:cs="DanaFajr"/>
          <w:szCs w:val="28"/>
          <w:vertAlign w:val="baseline"/>
        </w:rPr>
        <w:endnoteRef/>
      </w:r>
      <w:r w:rsidRPr="006571AC">
        <w:rPr>
          <w:rFonts w:cs="DanaFajr"/>
          <w:szCs w:val="28"/>
          <w:rtl/>
          <w:lang w:bidi="ar-MA"/>
        </w:rPr>
        <w:t>)</w:t>
      </w:r>
      <w:r w:rsidRPr="006571AC">
        <w:rPr>
          <w:rFonts w:ascii="Arial" w:hAnsi="Arial" w:cs="DanaFajr" w:hint="cs"/>
          <w:szCs w:val="28"/>
          <w:rtl/>
          <w:lang w:bidi="ar-MA"/>
        </w:rPr>
        <w:t xml:space="preserve"> عفيفي محمد عبد الهادي، الأصول الفلسفية للتربية: 59، دار وهدان للطباعة، مصر، 1978م.</w:t>
      </w:r>
    </w:p>
    <w:p w:rsidR="00DB2356" w:rsidRPr="006571AC" w:rsidRDefault="00DB2356" w:rsidP="00594E34">
      <w:pPr>
        <w:pStyle w:val="aa"/>
        <w:spacing w:line="325" w:lineRule="exact"/>
        <w:ind w:firstLine="0"/>
        <w:rPr>
          <w:rFonts w:cs="DanaFajr"/>
          <w:sz w:val="28"/>
          <w:szCs w:val="28"/>
          <w:rtl/>
          <w:lang w:bidi="ar-MA"/>
        </w:rPr>
      </w:pPr>
      <w:r w:rsidRPr="006571AC">
        <w:rPr>
          <w:rFonts w:cs="DanaFajr" w:hint="cs"/>
          <w:sz w:val="28"/>
          <w:szCs w:val="28"/>
          <w:rtl/>
          <w:lang w:bidi="ar-MA"/>
        </w:rPr>
        <w:t>هامش 14</w:t>
      </w:r>
    </w:p>
  </w:endnote>
  <w:endnote w:id="742">
    <w:p w:rsidR="00DB2356" w:rsidRPr="006571AC" w:rsidRDefault="00DB2356" w:rsidP="00594E34">
      <w:pPr>
        <w:pStyle w:val="10"/>
        <w:shd w:val="clear" w:color="auto" w:fill="FFFFFF"/>
        <w:bidi w:val="0"/>
        <w:spacing w:line="325" w:lineRule="exact"/>
        <w:jc w:val="both"/>
        <w:rPr>
          <w:rFonts w:asciiTheme="majorBidi" w:hAnsiTheme="majorBidi" w:cstheme="majorBidi"/>
          <w:b w:val="0"/>
          <w:sz w:val="20"/>
          <w:szCs w:val="20"/>
        </w:rPr>
      </w:pPr>
      <w:r w:rsidRPr="006571AC">
        <w:rPr>
          <w:rFonts w:asciiTheme="majorBidi" w:hAnsiTheme="majorBidi" w:cstheme="majorBidi" w:hint="cs"/>
          <w:b w:val="0"/>
          <w:sz w:val="20"/>
          <w:szCs w:val="20"/>
          <w:rtl/>
          <w:lang w:bidi="ar-MA"/>
        </w:rPr>
        <w:t>)</w:t>
      </w:r>
      <w:r w:rsidRPr="006571AC">
        <w:rPr>
          <w:rStyle w:val="ac"/>
          <w:rFonts w:asciiTheme="majorBidi" w:hAnsiTheme="majorBidi" w:cstheme="majorBidi"/>
          <w:b w:val="0"/>
          <w:sz w:val="20"/>
          <w:szCs w:val="20"/>
          <w:vertAlign w:val="baseline"/>
        </w:rPr>
        <w:endnoteRef/>
      </w:r>
      <w:r w:rsidRPr="006571AC">
        <w:rPr>
          <w:rFonts w:asciiTheme="majorBidi" w:hAnsiTheme="majorBidi" w:cstheme="majorBidi" w:hint="cs"/>
          <w:b w:val="0"/>
          <w:sz w:val="20"/>
          <w:szCs w:val="20"/>
          <w:rtl/>
          <w:lang w:bidi="ar-MA"/>
        </w:rPr>
        <w:t>(</w:t>
      </w:r>
      <w:r w:rsidRPr="006571AC">
        <w:rPr>
          <w:rFonts w:asciiTheme="majorBidi" w:hAnsiTheme="majorBidi" w:cstheme="majorBidi"/>
          <w:b w:val="0"/>
          <w:sz w:val="20"/>
          <w:szCs w:val="20"/>
          <w:lang w:bidi="ar-MA"/>
        </w:rPr>
        <w:t xml:space="preserve"> </w:t>
      </w:r>
      <w:r w:rsidRPr="006571AC">
        <w:rPr>
          <w:rFonts w:asciiTheme="majorBidi" w:hAnsiTheme="majorBidi" w:cstheme="majorBidi"/>
          <w:b w:val="0"/>
          <w:sz w:val="20"/>
          <w:szCs w:val="20"/>
        </w:rPr>
        <w:t>Platon</w:t>
      </w:r>
      <w:r w:rsidRPr="006571AC">
        <w:rPr>
          <w:rFonts w:asciiTheme="majorBidi" w:hAnsiTheme="majorBidi" w:cstheme="majorBidi"/>
          <w:b w:val="0"/>
          <w:sz w:val="20"/>
          <w:szCs w:val="20"/>
          <w:rtl/>
        </w:rPr>
        <w:t xml:space="preserve"> ـ </w:t>
      </w:r>
      <w:r w:rsidRPr="006571AC">
        <w:rPr>
          <w:rFonts w:asciiTheme="majorBidi" w:hAnsiTheme="majorBidi" w:cstheme="majorBidi"/>
          <w:b w:val="0"/>
          <w:sz w:val="20"/>
          <w:szCs w:val="20"/>
        </w:rPr>
        <w:t xml:space="preserve">Premier théoricien de l'éducation: </w:t>
      </w:r>
      <w:r w:rsidRPr="006571AC">
        <w:rPr>
          <w:rFonts w:asciiTheme="majorBidi" w:hAnsiTheme="majorBidi" w:cstheme="majorBidi"/>
          <w:b w:val="0"/>
          <w:sz w:val="20"/>
          <w:szCs w:val="20"/>
          <w:shd w:val="clear" w:color="auto" w:fill="FFFFFF"/>
        </w:rPr>
        <w:t xml:space="preserve">Georges Minois: </w:t>
      </w:r>
      <w:r w:rsidRPr="006571AC">
        <w:rPr>
          <w:rFonts w:asciiTheme="majorBidi" w:hAnsiTheme="majorBidi" w:cstheme="majorBidi"/>
          <w:b w:val="0"/>
          <w:sz w:val="20"/>
          <w:szCs w:val="20"/>
        </w:rPr>
        <w:t>131.</w:t>
      </w:r>
      <w:r w:rsidRPr="006571AC">
        <w:rPr>
          <w:rFonts w:asciiTheme="majorBidi" w:hAnsiTheme="majorBidi" w:cstheme="majorBidi"/>
          <w:b w:val="0"/>
          <w:sz w:val="20"/>
          <w:szCs w:val="20"/>
          <w:rtl/>
        </w:rPr>
        <w:t xml:space="preserve"> </w:t>
      </w:r>
    </w:p>
    <w:p w:rsidR="00DB2356" w:rsidRPr="006571AC" w:rsidRDefault="00DB2356" w:rsidP="00B50EFE">
      <w:pPr>
        <w:pStyle w:val="10"/>
        <w:shd w:val="clear" w:color="auto" w:fill="FFFFFF"/>
        <w:spacing w:line="325" w:lineRule="exact"/>
        <w:jc w:val="both"/>
        <w:rPr>
          <w:rFonts w:ascii="Arial" w:hAnsi="Arial" w:cs="DanaFajr"/>
          <w:b w:val="0"/>
          <w:sz w:val="28"/>
          <w:szCs w:val="28"/>
          <w:rtl/>
        </w:rPr>
      </w:pPr>
      <w:r w:rsidRPr="006571AC">
        <w:rPr>
          <w:rFonts w:cs="DanaFajr" w:hint="cs"/>
          <w:szCs w:val="28"/>
          <w:rtl/>
        </w:rPr>
        <w:t>وهو بحثٌ نُشر بمجلة</w:t>
      </w:r>
      <w:r w:rsidRPr="006571AC">
        <w:rPr>
          <w:rFonts w:ascii="Arial" w:hAnsi="Arial" w:cs="DanaFajr" w:hint="cs"/>
          <w:szCs w:val="28"/>
          <w:rtl/>
          <w:lang w:bidi="ar-MA"/>
        </w:rPr>
        <w:t xml:space="preserve"> العلوم الإنسانية (</w:t>
      </w:r>
      <w:r w:rsidRPr="006571AC">
        <w:rPr>
          <w:rFonts w:asciiTheme="majorBidi" w:hAnsiTheme="majorBidi" w:cstheme="majorBidi"/>
          <w:b w:val="0"/>
          <w:sz w:val="20"/>
          <w:szCs w:val="20"/>
        </w:rPr>
        <w:t>Sciences Humaines</w:t>
      </w:r>
      <w:r w:rsidRPr="006571AC">
        <w:rPr>
          <w:rFonts w:ascii="Arial" w:hAnsi="Arial" w:cs="DanaFajr" w:hint="cs"/>
          <w:szCs w:val="28"/>
          <w:rtl/>
          <w:lang w:bidi="ar-MA"/>
        </w:rPr>
        <w:t>) الفرنسية، العدد 45، 2016 ـ 2017م.</w:t>
      </w:r>
    </w:p>
  </w:endnote>
  <w:endnote w:id="743">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cs"/>
          <w:sz w:val="28"/>
          <w:szCs w:val="28"/>
          <w:rtl/>
          <w:lang w:bidi="ar-MA"/>
        </w:rPr>
        <w:t xml:space="preserve">برتراند راسل، حكمة الغرب 1: 10، سلسلة عالم المعرفة، العدد </w:t>
      </w:r>
      <w:r w:rsidRPr="006571AC">
        <w:rPr>
          <w:rFonts w:ascii="Arial" w:hAnsi="Arial" w:cs="DanaFajr"/>
          <w:sz w:val="28"/>
          <w:szCs w:val="28"/>
          <w:shd w:val="clear" w:color="auto" w:fill="FFFFFF"/>
          <w:rtl/>
        </w:rPr>
        <w:t>36</w:t>
      </w:r>
      <w:r w:rsidRPr="006571AC">
        <w:rPr>
          <w:rFonts w:ascii="Arial" w:hAnsi="Arial" w:cs="DanaFajr" w:hint="cs"/>
          <w:sz w:val="28"/>
          <w:szCs w:val="28"/>
          <w:shd w:val="clear" w:color="auto" w:fill="FFFFFF"/>
          <w:rtl/>
        </w:rPr>
        <w:t>4</w:t>
      </w:r>
      <w:r w:rsidRPr="006571AC">
        <w:rPr>
          <w:rFonts w:cs="DanaFajr" w:hint="cs"/>
          <w:sz w:val="28"/>
          <w:szCs w:val="28"/>
          <w:rtl/>
          <w:lang w:bidi="ar-MA"/>
        </w:rPr>
        <w:t xml:space="preserve">، ط2، 2009م. </w:t>
      </w:r>
    </w:p>
  </w:endnote>
  <w:endnote w:id="744">
    <w:p w:rsidR="00DB2356" w:rsidRPr="006571AC" w:rsidRDefault="00DB2356" w:rsidP="00594E34">
      <w:pPr>
        <w:pStyle w:val="10"/>
        <w:shd w:val="clear" w:color="auto" w:fill="FFFFFF"/>
        <w:bidi w:val="0"/>
        <w:spacing w:line="325" w:lineRule="exact"/>
        <w:jc w:val="both"/>
        <w:rPr>
          <w:rFonts w:asciiTheme="majorBidi" w:hAnsiTheme="majorBidi" w:cstheme="majorBidi"/>
          <w:b w:val="0"/>
          <w:sz w:val="20"/>
          <w:szCs w:val="20"/>
        </w:rPr>
      </w:pPr>
      <w:r w:rsidRPr="006571AC">
        <w:rPr>
          <w:rFonts w:asciiTheme="majorBidi" w:hAnsiTheme="majorBidi" w:cstheme="majorBidi"/>
          <w:b w:val="0"/>
          <w:sz w:val="20"/>
          <w:szCs w:val="20"/>
          <w:lang w:bidi="ar-MA"/>
        </w:rPr>
        <w:t>(</w:t>
      </w:r>
      <w:r w:rsidRPr="006571AC">
        <w:rPr>
          <w:rStyle w:val="ac"/>
          <w:rFonts w:asciiTheme="majorBidi" w:hAnsiTheme="majorBidi" w:cstheme="majorBidi"/>
          <w:b w:val="0"/>
          <w:sz w:val="20"/>
          <w:szCs w:val="20"/>
          <w:vertAlign w:val="baseline"/>
        </w:rPr>
        <w:endnoteRef/>
      </w:r>
      <w:r w:rsidRPr="006571AC">
        <w:rPr>
          <w:rFonts w:asciiTheme="majorBidi" w:hAnsiTheme="majorBidi" w:cstheme="majorBidi"/>
          <w:b w:val="0"/>
          <w:sz w:val="20"/>
          <w:szCs w:val="20"/>
          <w:lang w:bidi="ar-MA"/>
        </w:rPr>
        <w:t xml:space="preserve">) </w:t>
      </w:r>
      <w:r w:rsidRPr="006571AC">
        <w:rPr>
          <w:rFonts w:asciiTheme="majorBidi" w:hAnsiTheme="majorBidi" w:cstheme="majorBidi"/>
          <w:b w:val="0"/>
          <w:sz w:val="20"/>
          <w:szCs w:val="20"/>
        </w:rPr>
        <w:t>Platon</w:t>
      </w:r>
      <w:r w:rsidRPr="006571AC">
        <w:rPr>
          <w:rFonts w:asciiTheme="majorBidi" w:hAnsiTheme="majorBidi" w:cstheme="majorBidi"/>
          <w:b w:val="0"/>
          <w:sz w:val="20"/>
          <w:szCs w:val="20"/>
          <w:rtl/>
        </w:rPr>
        <w:t xml:space="preserve"> ـ </w:t>
      </w:r>
      <w:r w:rsidRPr="006571AC">
        <w:rPr>
          <w:rFonts w:asciiTheme="majorBidi" w:hAnsiTheme="majorBidi" w:cstheme="majorBidi"/>
          <w:b w:val="0"/>
          <w:sz w:val="20"/>
          <w:szCs w:val="20"/>
        </w:rPr>
        <w:t>Premier théoricien de l'éducation: 155.</w:t>
      </w:r>
    </w:p>
  </w:endnote>
  <w:endnote w:id="745">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MA"/>
        </w:rPr>
        <w:t xml:space="preserve"> عبد الرحمان بدوي، أرسطو عند العرب: 164.</w:t>
      </w:r>
    </w:p>
  </w:endnote>
  <w:endnote w:id="746">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 xml:space="preserve">) </w:t>
      </w:r>
      <w:r w:rsidRPr="006571AC">
        <w:rPr>
          <w:rFonts w:cs="DanaFajr" w:hint="cs"/>
          <w:sz w:val="28"/>
          <w:szCs w:val="28"/>
          <w:rtl/>
          <w:lang w:bidi="ar-MA"/>
        </w:rPr>
        <w:t xml:space="preserve">الذكاء الإنساني (اتجاهات معاصرة وقضايا): 15، تقديم: الدكتور محمد طه، سلسلة عالم المعرفة، العدد 330، 2006م. </w:t>
      </w:r>
    </w:p>
  </w:endnote>
  <w:endnote w:id="747">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hint="cs"/>
          <w:sz w:val="28"/>
          <w:szCs w:val="28"/>
          <w:rtl/>
          <w:lang w:bidi="ar-MA"/>
        </w:rPr>
        <w:t>) محمد بنعمر، علوم الفهم في التراث العربي الإسلامي: 1</w:t>
      </w:r>
      <w:r w:rsidRPr="006571AC">
        <w:rPr>
          <w:rFonts w:cs="DanaFajr"/>
          <w:sz w:val="28"/>
          <w:szCs w:val="28"/>
          <w:rtl/>
          <w:lang w:bidi="ar-MA"/>
        </w:rPr>
        <w:t>6</w:t>
      </w:r>
      <w:r w:rsidRPr="006571AC">
        <w:rPr>
          <w:rFonts w:cs="DanaFajr" w:hint="cs"/>
          <w:sz w:val="28"/>
          <w:szCs w:val="28"/>
          <w:rtl/>
          <w:lang w:bidi="ar-MA"/>
        </w:rPr>
        <w:t>.</w:t>
      </w:r>
    </w:p>
  </w:endnote>
  <w:endnote w:id="748">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w:t>
      </w:r>
      <w:r w:rsidRPr="006571AC">
        <w:rPr>
          <w:rFonts w:ascii="Arial" w:hAnsi="Arial" w:cs="DanaFajr" w:hint="cs"/>
          <w:sz w:val="28"/>
          <w:szCs w:val="28"/>
          <w:rtl/>
          <w:lang w:bidi="ar-MA"/>
        </w:rPr>
        <w:t xml:space="preserve"> أبو الحسين البصري</w:t>
      </w:r>
      <w:r w:rsidRPr="006571AC">
        <w:rPr>
          <w:rFonts w:cs="DanaFajr" w:hint="cs"/>
          <w:sz w:val="28"/>
          <w:szCs w:val="28"/>
          <w:rtl/>
          <w:lang w:bidi="ar-MA"/>
        </w:rPr>
        <w:t xml:space="preserve">، </w:t>
      </w:r>
      <w:r w:rsidRPr="006571AC">
        <w:rPr>
          <w:rFonts w:ascii="Arial" w:hAnsi="Arial" w:cs="DanaFajr" w:hint="cs"/>
          <w:sz w:val="28"/>
          <w:szCs w:val="28"/>
          <w:rtl/>
          <w:lang w:bidi="ar-MA"/>
        </w:rPr>
        <w:t>المعتمد 1: 16</w:t>
      </w:r>
      <w:r w:rsidRPr="006571AC">
        <w:rPr>
          <w:rFonts w:cs="DanaFajr" w:hint="cs"/>
          <w:sz w:val="28"/>
          <w:szCs w:val="28"/>
          <w:rtl/>
          <w:lang w:bidi="ar-MA"/>
        </w:rPr>
        <w:t xml:space="preserve"> (مقدّمة المحقِّق </w:t>
      </w:r>
      <w:r w:rsidRPr="006571AC">
        <w:rPr>
          <w:rFonts w:ascii="Arial" w:hAnsi="Arial" w:cs="DanaFajr" w:hint="cs"/>
          <w:sz w:val="28"/>
          <w:szCs w:val="28"/>
          <w:rtl/>
          <w:lang w:bidi="ar-MA"/>
        </w:rPr>
        <w:t>الدكتور محمد حميد الله).</w:t>
      </w:r>
    </w:p>
  </w:endnote>
  <w:endnote w:id="749">
    <w:p w:rsidR="00DB2356" w:rsidRPr="006571AC" w:rsidRDefault="00DB2356" w:rsidP="00594E34">
      <w:pPr>
        <w:pStyle w:val="aa"/>
        <w:spacing w:line="325" w:lineRule="exact"/>
        <w:ind w:firstLine="0"/>
        <w:rPr>
          <w:rFonts w:ascii="Arial" w:hAnsi="Arial" w:cs="DanaFajr"/>
          <w:sz w:val="28"/>
          <w:szCs w:val="28"/>
          <w:rtl/>
          <w:lang w:bidi="ar-MA"/>
        </w:rPr>
      </w:pPr>
      <w:r w:rsidRPr="006571AC">
        <w:rPr>
          <w:rFonts w:ascii="Arial" w:hAnsi="Arial" w:cs="DanaFajr"/>
          <w:sz w:val="28"/>
          <w:szCs w:val="28"/>
          <w:rtl/>
          <w:lang w:bidi="ar-MA"/>
        </w:rPr>
        <w:t>(</w:t>
      </w:r>
      <w:r w:rsidRPr="006571AC">
        <w:rPr>
          <w:rStyle w:val="ac"/>
          <w:rFonts w:ascii="Arial" w:hAnsi="Arial" w:cs="DanaFajr"/>
          <w:sz w:val="28"/>
          <w:szCs w:val="28"/>
          <w:vertAlign w:val="baseline"/>
        </w:rPr>
        <w:endnoteRef/>
      </w:r>
      <w:r w:rsidRPr="006571AC">
        <w:rPr>
          <w:rFonts w:ascii="Arial" w:hAnsi="Arial" w:cs="DanaFajr"/>
          <w:sz w:val="28"/>
          <w:szCs w:val="28"/>
          <w:rtl/>
          <w:lang w:bidi="ar-MA"/>
        </w:rPr>
        <w:t>)</w:t>
      </w:r>
      <w:r w:rsidRPr="006571AC">
        <w:rPr>
          <w:rFonts w:ascii="Arial" w:hAnsi="Arial" w:cs="DanaFajr" w:hint="cs"/>
          <w:sz w:val="28"/>
          <w:szCs w:val="28"/>
          <w:rtl/>
          <w:lang w:bidi="ar-MA"/>
        </w:rPr>
        <w:t xml:space="preserve"> </w:t>
      </w:r>
      <w:r w:rsidRPr="006571AC">
        <w:rPr>
          <w:rFonts w:ascii="Arial" w:hAnsi="Arial" w:cs="DanaFajr"/>
          <w:sz w:val="28"/>
          <w:szCs w:val="28"/>
          <w:rtl/>
          <w:lang w:bidi="ar-MA"/>
        </w:rPr>
        <w:t>طه عبد الرحمان</w:t>
      </w:r>
      <w:r w:rsidRPr="006571AC">
        <w:rPr>
          <w:rFonts w:ascii="Arial" w:hAnsi="Arial" w:cs="DanaFajr" w:hint="cs"/>
          <w:sz w:val="28"/>
          <w:szCs w:val="28"/>
          <w:rtl/>
          <w:lang w:bidi="ar-MA"/>
        </w:rPr>
        <w:t>،</w:t>
      </w:r>
      <w:r w:rsidRPr="006571AC">
        <w:rPr>
          <w:rFonts w:ascii="Arial" w:hAnsi="Arial" w:cs="DanaFajr"/>
          <w:sz w:val="28"/>
          <w:szCs w:val="28"/>
          <w:rtl/>
          <w:lang w:bidi="ar-MA"/>
        </w:rPr>
        <w:t xml:space="preserve"> تجديد لمنهج في تقويم التراث: 93</w:t>
      </w:r>
      <w:r w:rsidRPr="006571AC">
        <w:rPr>
          <w:rFonts w:ascii="Arial" w:hAnsi="Arial" w:cs="DanaFajr" w:hint="cs"/>
          <w:sz w:val="28"/>
          <w:szCs w:val="28"/>
          <w:rtl/>
          <w:lang w:bidi="ar-MA"/>
        </w:rPr>
        <w:t>.</w:t>
      </w:r>
    </w:p>
  </w:endnote>
  <w:endnote w:id="750">
    <w:p w:rsidR="00DB2356" w:rsidRPr="006571AC" w:rsidRDefault="00DB2356" w:rsidP="00594E34">
      <w:pPr>
        <w:pStyle w:val="aa"/>
        <w:spacing w:line="325" w:lineRule="exact"/>
        <w:ind w:firstLine="0"/>
        <w:rPr>
          <w:rFonts w:ascii="Calibri" w:hAnsi="Calibri" w:cs="DanaFajr"/>
          <w:sz w:val="28"/>
          <w:szCs w:val="28"/>
          <w:rtl/>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 xml:space="preserve">) </w:t>
      </w:r>
      <w:r w:rsidRPr="006571AC">
        <w:rPr>
          <w:rFonts w:cs="DanaFajr"/>
          <w:sz w:val="28"/>
          <w:szCs w:val="28"/>
          <w:rtl/>
        </w:rPr>
        <w:t xml:space="preserve">الحوار </w:t>
      </w:r>
      <w:r w:rsidRPr="006571AC">
        <w:rPr>
          <w:rFonts w:cs="DanaFajr" w:hint="cs"/>
          <w:sz w:val="28"/>
          <w:szCs w:val="28"/>
          <w:rtl/>
        </w:rPr>
        <w:t>أ</w:t>
      </w:r>
      <w:r w:rsidRPr="006571AC">
        <w:rPr>
          <w:rFonts w:cs="DanaFajr"/>
          <w:sz w:val="28"/>
          <w:szCs w:val="28"/>
          <w:rtl/>
        </w:rPr>
        <w:t>فق</w:t>
      </w:r>
      <w:r w:rsidRPr="006571AC">
        <w:rPr>
          <w:rFonts w:cs="DanaFajr" w:hint="cs"/>
          <w:sz w:val="28"/>
          <w:szCs w:val="28"/>
          <w:rtl/>
        </w:rPr>
        <w:t>اً</w:t>
      </w:r>
      <w:r w:rsidRPr="006571AC">
        <w:rPr>
          <w:rFonts w:cs="DanaFajr"/>
          <w:sz w:val="28"/>
          <w:szCs w:val="28"/>
          <w:rtl/>
        </w:rPr>
        <w:t xml:space="preserve"> للفكر</w:t>
      </w:r>
      <w:r w:rsidRPr="006571AC">
        <w:rPr>
          <w:rFonts w:cs="DanaFajr" w:hint="cs"/>
          <w:sz w:val="28"/>
          <w:szCs w:val="28"/>
          <w:rtl/>
        </w:rPr>
        <w:t>،</w:t>
      </w:r>
      <w:r w:rsidRPr="006571AC">
        <w:rPr>
          <w:rFonts w:cs="DanaFajr"/>
          <w:sz w:val="28"/>
          <w:szCs w:val="28"/>
          <w:rtl/>
        </w:rPr>
        <w:t xml:space="preserve"> محاورة مع المفكر طه عبد الرحمان</w:t>
      </w:r>
      <w:r w:rsidRPr="006571AC">
        <w:rPr>
          <w:rFonts w:cs="DanaFajr" w:hint="cs"/>
          <w:sz w:val="28"/>
          <w:szCs w:val="28"/>
          <w:rtl/>
        </w:rPr>
        <w:t xml:space="preserve">: </w:t>
      </w:r>
      <w:r w:rsidRPr="006571AC">
        <w:rPr>
          <w:rFonts w:cs="DanaFajr"/>
          <w:sz w:val="28"/>
          <w:szCs w:val="28"/>
          <w:rtl/>
        </w:rPr>
        <w:t>169</w:t>
      </w:r>
      <w:r w:rsidRPr="006571AC">
        <w:rPr>
          <w:rFonts w:cs="DanaFajr" w:hint="cs"/>
          <w:sz w:val="28"/>
          <w:szCs w:val="28"/>
          <w:rtl/>
        </w:rPr>
        <w:t>.</w:t>
      </w:r>
      <w:r w:rsidRPr="006571AC">
        <w:rPr>
          <w:rFonts w:cs="DanaFajr"/>
          <w:sz w:val="28"/>
          <w:szCs w:val="28"/>
          <w:rtl/>
        </w:rPr>
        <w:t xml:space="preserve"> </w:t>
      </w:r>
    </w:p>
  </w:endnote>
  <w:endnote w:id="751">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MA"/>
        </w:rPr>
        <w:t xml:space="preserve"> د. سالم يفوت، نحن والعلم: 41.</w:t>
      </w:r>
    </w:p>
  </w:endnote>
  <w:endnote w:id="752">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سالم يفوت، تصنيف العلوم عند ابن حزم، مجلة كلِّية الآداب، العدد 9، الرباط ـ المغرب، 2009م.</w:t>
      </w:r>
    </w:p>
  </w:endnote>
  <w:endnote w:id="753">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 xml:space="preserve">) </w:t>
      </w:r>
      <w:r w:rsidRPr="006571AC">
        <w:rPr>
          <w:rFonts w:cs="DanaFajr" w:hint="cs"/>
          <w:sz w:val="28"/>
          <w:szCs w:val="28"/>
          <w:rtl/>
          <w:lang w:bidi="ar-MA"/>
        </w:rPr>
        <w:t>رسالة في مراتب العلوم عند ابن حزم الأندلسي 2: 62.</w:t>
      </w:r>
    </w:p>
  </w:endnote>
  <w:endnote w:id="754">
    <w:p w:rsidR="00DB2356" w:rsidRPr="006571AC" w:rsidRDefault="00DB2356" w:rsidP="00594E34">
      <w:pPr>
        <w:pStyle w:val="aa"/>
        <w:spacing w:line="325" w:lineRule="exact"/>
        <w:ind w:firstLine="0"/>
        <w:rPr>
          <w:rFonts w:cs="DanaFajr"/>
          <w:sz w:val="28"/>
          <w:szCs w:val="28"/>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د. سالم يفوت، مكانة العلم في الثقافة العربية، مجلة ثقافات، العدد 18، 2006م.</w:t>
      </w:r>
    </w:p>
  </w:endnote>
  <w:endnote w:id="755">
    <w:p w:rsidR="00DB2356" w:rsidRPr="006571AC" w:rsidRDefault="00DB2356" w:rsidP="00594E34">
      <w:pPr>
        <w:pStyle w:val="aa"/>
        <w:spacing w:line="325" w:lineRule="exact"/>
        <w:ind w:firstLine="0"/>
        <w:rPr>
          <w:rFonts w:cs="DanaFajr"/>
          <w:sz w:val="28"/>
          <w:szCs w:val="28"/>
          <w:lang w:bidi="ar-MA"/>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lang w:bidi="ar-MA"/>
        </w:rPr>
        <w:t xml:space="preserve"> محمد عابد الجابري، تكوين العقل العربي: 98.</w:t>
      </w:r>
    </w:p>
  </w:endnote>
  <w:endnote w:id="756">
    <w:p w:rsidR="00DB2356" w:rsidRPr="006571AC" w:rsidRDefault="00DB2356" w:rsidP="00594E34">
      <w:pPr>
        <w:pStyle w:val="aa"/>
        <w:spacing w:line="325" w:lineRule="exact"/>
        <w:ind w:firstLine="0"/>
        <w:rPr>
          <w:rFonts w:cs="DanaFajr"/>
          <w:sz w:val="28"/>
          <w:szCs w:val="28"/>
          <w:lang w:bidi="ar-MA"/>
        </w:rPr>
      </w:pPr>
      <w:r w:rsidRPr="006571AC">
        <w:rPr>
          <w:rFonts w:cs="DanaFajr"/>
          <w:sz w:val="28"/>
          <w:szCs w:val="28"/>
          <w:rtl/>
        </w:rPr>
        <w:t>(</w:t>
      </w:r>
      <w:r w:rsidRPr="006571AC">
        <w:rPr>
          <w:rStyle w:val="ac"/>
          <w:rFonts w:cs="DanaFajr"/>
          <w:sz w:val="28"/>
          <w:szCs w:val="28"/>
          <w:vertAlign w:val="baseline"/>
        </w:rPr>
        <w:endnoteRef/>
      </w:r>
      <w:r w:rsidRPr="006571AC">
        <w:rPr>
          <w:rFonts w:cs="DanaFajr" w:hint="cs"/>
          <w:sz w:val="28"/>
          <w:szCs w:val="28"/>
          <w:rtl/>
        </w:rPr>
        <w:t>)</w:t>
      </w:r>
      <w:r w:rsidRPr="006571AC">
        <w:rPr>
          <w:rFonts w:ascii="Arial" w:hAnsi="Arial" w:cs="DanaFajr" w:hint="cs"/>
          <w:sz w:val="28"/>
          <w:szCs w:val="28"/>
          <w:rtl/>
          <w:lang w:bidi="ar-MA"/>
        </w:rPr>
        <w:t xml:space="preserve"> علي عبد الرزّاق، </w:t>
      </w:r>
      <w:r w:rsidRPr="006571AC">
        <w:rPr>
          <w:rFonts w:cs="DanaFajr" w:hint="cs"/>
          <w:sz w:val="28"/>
          <w:szCs w:val="28"/>
          <w:rtl/>
        </w:rPr>
        <w:t>من آثار</w:t>
      </w:r>
      <w:r w:rsidRPr="006571AC">
        <w:rPr>
          <w:rFonts w:ascii="Arial" w:hAnsi="Arial" w:cs="DanaFajr" w:hint="cs"/>
          <w:sz w:val="28"/>
          <w:szCs w:val="28"/>
          <w:rtl/>
          <w:lang w:bidi="ar-MA"/>
        </w:rPr>
        <w:t xml:space="preserve"> مصطفى عبد الرزّاق، تقديم: طه حسين، </w:t>
      </w:r>
      <w:r w:rsidRPr="006571AC">
        <w:rPr>
          <w:rFonts w:cs="DanaFajr" w:hint="cs"/>
          <w:sz w:val="28"/>
          <w:szCs w:val="28"/>
          <w:rtl/>
          <w:lang w:bidi="ar-MA"/>
        </w:rPr>
        <w:t>دار المعارف، مصر، 1957م.</w:t>
      </w:r>
    </w:p>
  </w:endnote>
  <w:endnote w:id="757">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إبراهيم محمد الوزاد، مشكل الإنسان في فلسفة ابن باجة: 13، أطروحة دكتوراه في كلِّية الآداب، الرباط ـ المغرب</w:t>
      </w:r>
      <w:r w:rsidRPr="006571AC">
        <w:rPr>
          <w:rFonts w:cs="DanaFajr" w:hint="cs"/>
          <w:sz w:val="28"/>
          <w:szCs w:val="28"/>
          <w:rtl/>
          <w:lang w:bidi="ar-MA"/>
        </w:rPr>
        <w:t>.</w:t>
      </w:r>
    </w:p>
  </w:endnote>
  <w:endnote w:id="758">
    <w:p w:rsidR="00DB2356" w:rsidRPr="006571AC" w:rsidRDefault="00DB2356" w:rsidP="00594E34">
      <w:pPr>
        <w:pStyle w:val="aa"/>
        <w:spacing w:line="325" w:lineRule="exact"/>
        <w:ind w:firstLine="0"/>
        <w:rPr>
          <w:rFonts w:cs="DanaFajr"/>
          <w:sz w:val="28"/>
          <w:szCs w:val="28"/>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 xml:space="preserve">) </w:t>
      </w:r>
      <w:r w:rsidRPr="006571AC">
        <w:rPr>
          <w:rFonts w:cs="DanaFajr" w:hint="cs"/>
          <w:sz w:val="28"/>
          <w:szCs w:val="28"/>
          <w:rtl/>
        </w:rPr>
        <w:t xml:space="preserve">صدر عن دار المنهاج، 2013م. </w:t>
      </w:r>
    </w:p>
  </w:endnote>
  <w:endnote w:id="759">
    <w:p w:rsidR="00DB2356" w:rsidRPr="006571AC" w:rsidRDefault="00DB2356" w:rsidP="00594E34">
      <w:pPr>
        <w:pStyle w:val="aa"/>
        <w:spacing w:line="325" w:lineRule="exact"/>
        <w:ind w:firstLine="0"/>
        <w:rPr>
          <w:rFonts w:cs="DanaFajr"/>
          <w:sz w:val="28"/>
          <w:szCs w:val="28"/>
          <w:rtl/>
          <w:lang w:bidi="ar-MA"/>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MA"/>
        </w:rPr>
        <w:t xml:space="preserve">اشتهر الحارث المحاسبي(243هـ) بكتبه وبمصنَّفاته في التربية في بُعْدها الروحي، وبالأخصّ بكتابه العلم، الذي حقَّقه محمد عابد، وصدر عن الدار التونسية عام 1987م. </w:t>
      </w:r>
    </w:p>
  </w:endnote>
  <w:endnote w:id="760">
    <w:p w:rsidR="00DB2356" w:rsidRPr="00AE5BAE" w:rsidRDefault="00DB2356" w:rsidP="00AE5BAE">
      <w:pPr>
        <w:pStyle w:val="aa"/>
        <w:spacing w:line="325" w:lineRule="exact"/>
        <w:ind w:firstLine="0"/>
        <w:rPr>
          <w:rFonts w:cs="DanaFajr"/>
          <w:sz w:val="28"/>
          <w:szCs w:val="28"/>
        </w:rPr>
      </w:pPr>
      <w:r w:rsidRPr="006571AC">
        <w:rPr>
          <w:rFonts w:cs="DanaFajr"/>
          <w:sz w:val="28"/>
          <w:szCs w:val="28"/>
          <w:rtl/>
        </w:rPr>
        <w:t>(</w:t>
      </w:r>
      <w:r w:rsidRPr="00AE5BAE">
        <w:rPr>
          <w:rFonts w:cs="DanaFajr"/>
          <w:sz w:val="28"/>
          <w:szCs w:val="28"/>
        </w:rPr>
        <w:endnoteRef/>
      </w:r>
      <w:r w:rsidRPr="006571AC">
        <w:rPr>
          <w:rFonts w:cs="DanaFajr"/>
          <w:sz w:val="28"/>
          <w:szCs w:val="28"/>
          <w:rtl/>
        </w:rPr>
        <w:t>)</w:t>
      </w:r>
      <w:r w:rsidRPr="00AE5BAE">
        <w:rPr>
          <w:rFonts w:cs="DanaFajr" w:hint="cs"/>
          <w:sz w:val="28"/>
          <w:szCs w:val="28"/>
          <w:rtl/>
        </w:rPr>
        <w:t xml:space="preserve"> أبو</w:t>
      </w:r>
      <w:r w:rsidRPr="00AE5BAE">
        <w:rPr>
          <w:rFonts w:cs="DanaFajr"/>
          <w:sz w:val="28"/>
          <w:szCs w:val="28"/>
          <w:rtl/>
        </w:rPr>
        <w:t xml:space="preserve"> عمر يوسف بن عبد الله بن محمد بن عبد البر بن عاصم النمري القرطبي</w:t>
      </w:r>
      <w:r w:rsidRPr="00AE5BAE">
        <w:rPr>
          <w:rFonts w:cs="DanaFajr" w:hint="cs"/>
          <w:sz w:val="28"/>
          <w:szCs w:val="28"/>
          <w:rtl/>
        </w:rPr>
        <w:t>(</w:t>
      </w:r>
      <w:r w:rsidRPr="00AE5BAE">
        <w:rPr>
          <w:rFonts w:cs="DanaFajr"/>
          <w:sz w:val="28"/>
          <w:szCs w:val="28"/>
          <w:rtl/>
        </w:rPr>
        <w:t>463هـ</w:t>
      </w:r>
      <w:r w:rsidRPr="00AE5BAE">
        <w:rPr>
          <w:rFonts w:cs="DanaFajr" w:hint="cs"/>
          <w:sz w:val="28"/>
          <w:szCs w:val="28"/>
          <w:rtl/>
        </w:rPr>
        <w:t xml:space="preserve">)، كتاب بيان </w:t>
      </w:r>
      <w:r w:rsidRPr="00AE5BAE">
        <w:rPr>
          <w:rFonts w:cs="DanaFajr"/>
          <w:sz w:val="28"/>
          <w:szCs w:val="28"/>
          <w:rtl/>
        </w:rPr>
        <w:t>العلم</w:t>
      </w:r>
      <w:r w:rsidRPr="00AE5BAE">
        <w:rPr>
          <w:rFonts w:cs="DanaFajr"/>
          <w:sz w:val="28"/>
          <w:szCs w:val="28"/>
        </w:rPr>
        <w:t> </w:t>
      </w:r>
      <w:r w:rsidRPr="00AE5BAE">
        <w:rPr>
          <w:rFonts w:cs="DanaFajr"/>
          <w:sz w:val="28"/>
          <w:szCs w:val="28"/>
          <w:rtl/>
        </w:rPr>
        <w:t>وفضله</w:t>
      </w:r>
      <w:r w:rsidRPr="00AE5BAE">
        <w:rPr>
          <w:rFonts w:cs="DanaFajr" w:hint="cs"/>
          <w:sz w:val="28"/>
          <w:szCs w:val="28"/>
          <w:rtl/>
        </w:rPr>
        <w:t>،</w:t>
      </w:r>
      <w:r w:rsidRPr="00AE5BAE">
        <w:rPr>
          <w:rFonts w:cs="DanaFajr"/>
          <w:sz w:val="28"/>
          <w:szCs w:val="28"/>
          <w:rtl/>
        </w:rPr>
        <w:t xml:space="preserve"> </w:t>
      </w:r>
      <w:r w:rsidRPr="00AE5BAE">
        <w:rPr>
          <w:rFonts w:cs="DanaFajr" w:hint="cs"/>
          <w:sz w:val="28"/>
          <w:szCs w:val="28"/>
          <w:rtl/>
        </w:rPr>
        <w:t xml:space="preserve">حقَّقه: أبو </w:t>
      </w:r>
      <w:r w:rsidRPr="00AE5BAE">
        <w:rPr>
          <w:rFonts w:cs="DanaFajr"/>
          <w:sz w:val="28"/>
          <w:szCs w:val="28"/>
          <w:rtl/>
        </w:rPr>
        <w:t>الأشبال الزهيري</w:t>
      </w:r>
      <w:r w:rsidRPr="00AE5BAE">
        <w:rPr>
          <w:rFonts w:cs="DanaFajr" w:hint="cs"/>
          <w:sz w:val="28"/>
          <w:szCs w:val="28"/>
          <w:rtl/>
        </w:rPr>
        <w:t>،</w:t>
      </w:r>
      <w:r w:rsidRPr="00AE5BAE">
        <w:rPr>
          <w:rFonts w:cs="DanaFajr"/>
          <w:sz w:val="28"/>
          <w:szCs w:val="28"/>
          <w:rtl/>
        </w:rPr>
        <w:t xml:space="preserve"> دار ابن الجوزي، المملكة العربية السعودية</w:t>
      </w:r>
      <w:r w:rsidRPr="00AE5BAE">
        <w:rPr>
          <w:rFonts w:cs="DanaFajr" w:hint="cs"/>
          <w:sz w:val="28"/>
          <w:szCs w:val="28"/>
          <w:rtl/>
        </w:rPr>
        <w:t>،</w:t>
      </w:r>
      <w:r w:rsidRPr="00AE5BAE">
        <w:rPr>
          <w:rFonts w:cs="DanaFajr"/>
          <w:sz w:val="28"/>
          <w:szCs w:val="28"/>
          <w:rtl/>
        </w:rPr>
        <w:t xml:space="preserve"> </w:t>
      </w:r>
      <w:r w:rsidRPr="00AE5BAE">
        <w:rPr>
          <w:rFonts w:cs="DanaFajr" w:hint="cs"/>
          <w:sz w:val="28"/>
          <w:szCs w:val="28"/>
          <w:rtl/>
        </w:rPr>
        <w:t>ط1</w:t>
      </w:r>
      <w:r w:rsidRPr="00AE5BAE">
        <w:rPr>
          <w:rFonts w:cs="DanaFajr"/>
          <w:sz w:val="28"/>
          <w:szCs w:val="28"/>
          <w:rtl/>
        </w:rPr>
        <w:t>، 1414هـ</w:t>
      </w:r>
      <w:r w:rsidRPr="00AE5BAE">
        <w:rPr>
          <w:rFonts w:cs="DanaFajr" w:hint="cs"/>
          <w:sz w:val="28"/>
          <w:szCs w:val="28"/>
          <w:rtl/>
        </w:rPr>
        <w:t>.</w:t>
      </w:r>
    </w:p>
    <w:p w:rsidR="00DB2356" w:rsidRPr="00AE5BAE" w:rsidRDefault="00DB2356" w:rsidP="00AE5BAE">
      <w:pPr>
        <w:pStyle w:val="aa"/>
        <w:spacing w:line="325" w:lineRule="exact"/>
        <w:ind w:firstLine="0"/>
        <w:rPr>
          <w:rFonts w:cs="DanaFajr"/>
          <w:sz w:val="28"/>
          <w:szCs w:val="28"/>
        </w:rPr>
      </w:pPr>
      <w:r w:rsidRPr="00AE5BAE">
        <w:rPr>
          <w:rFonts w:cs="DanaFajr" w:hint="cs"/>
          <w:sz w:val="28"/>
          <w:szCs w:val="28"/>
          <w:rtl/>
        </w:rPr>
        <w:t>ولمزيدٍ من التفصيل يراجَعْ: د. عبد الرحما</w:t>
      </w:r>
      <w:r w:rsidRPr="00AE5BAE">
        <w:rPr>
          <w:rFonts w:cs="DanaFajr" w:hint="eastAsia"/>
          <w:sz w:val="28"/>
          <w:szCs w:val="28"/>
          <w:rtl/>
        </w:rPr>
        <w:t>ن</w:t>
      </w:r>
      <w:r w:rsidRPr="00AE5BAE">
        <w:rPr>
          <w:rFonts w:cs="DanaFajr" w:hint="cs"/>
          <w:sz w:val="28"/>
          <w:szCs w:val="28"/>
          <w:rtl/>
        </w:rPr>
        <w:t xml:space="preserve"> النحلاوي،</w:t>
      </w:r>
      <w:r w:rsidRPr="00AE5BAE">
        <w:rPr>
          <w:rFonts w:cs="DanaFajr"/>
          <w:sz w:val="28"/>
          <w:szCs w:val="28"/>
          <w:rtl/>
        </w:rPr>
        <w:t xml:space="preserve"> أعلام التربية في تاريخ الإسلام </w:t>
      </w:r>
      <w:r w:rsidRPr="00AE5BAE">
        <w:rPr>
          <w:rFonts w:cs="DanaFajr" w:hint="cs"/>
          <w:sz w:val="28"/>
          <w:szCs w:val="28"/>
          <w:rtl/>
        </w:rPr>
        <w:t>(</w:t>
      </w:r>
      <w:r w:rsidRPr="00AE5BAE">
        <w:rPr>
          <w:rFonts w:cs="DanaFajr"/>
          <w:sz w:val="28"/>
          <w:szCs w:val="28"/>
          <w:rtl/>
        </w:rPr>
        <w:t xml:space="preserve">يوسف بن </w:t>
      </w:r>
      <w:r w:rsidRPr="00AE5BAE">
        <w:rPr>
          <w:rFonts w:cs="DanaFajr" w:hint="cs"/>
          <w:sz w:val="28"/>
          <w:szCs w:val="28"/>
          <w:rtl/>
        </w:rPr>
        <w:t>عبد الب</w:t>
      </w:r>
      <w:r w:rsidRPr="00AE5BAE">
        <w:rPr>
          <w:rFonts w:cs="DanaFajr" w:hint="eastAsia"/>
          <w:sz w:val="28"/>
          <w:szCs w:val="28"/>
          <w:rtl/>
        </w:rPr>
        <w:t>ر</w:t>
      </w:r>
      <w:r w:rsidRPr="00AE5BAE">
        <w:rPr>
          <w:rFonts w:cs="DanaFajr" w:hint="cs"/>
          <w:sz w:val="28"/>
          <w:szCs w:val="28"/>
          <w:rtl/>
        </w:rPr>
        <w:t>ّ</w:t>
      </w:r>
      <w:r w:rsidRPr="00AE5BAE">
        <w:rPr>
          <w:rFonts w:cs="DanaFajr"/>
          <w:sz w:val="28"/>
          <w:szCs w:val="28"/>
          <w:rtl/>
        </w:rPr>
        <w:t xml:space="preserve"> القرطبي</w:t>
      </w:r>
      <w:r w:rsidRPr="00AE5BAE">
        <w:rPr>
          <w:rFonts w:cs="DanaFajr" w:hint="cs"/>
          <w:sz w:val="28"/>
          <w:szCs w:val="28"/>
          <w:rtl/>
        </w:rPr>
        <w:t>)، دار الفكر، سوريا، 2017م.</w:t>
      </w:r>
    </w:p>
  </w:endnote>
  <w:endnote w:id="761">
    <w:p w:rsidR="00DB2356" w:rsidRPr="00AE5BAE" w:rsidRDefault="00DB2356" w:rsidP="00594E34">
      <w:pPr>
        <w:pStyle w:val="aa"/>
        <w:spacing w:line="325" w:lineRule="exact"/>
        <w:ind w:firstLine="0"/>
        <w:rPr>
          <w:rFonts w:cs="DanaFajr"/>
          <w:sz w:val="28"/>
          <w:szCs w:val="28"/>
          <w:rtl/>
        </w:rPr>
      </w:pPr>
      <w:r w:rsidRPr="006571AC">
        <w:rPr>
          <w:rFonts w:cs="DanaFajr"/>
          <w:sz w:val="28"/>
          <w:szCs w:val="28"/>
          <w:rtl/>
        </w:rPr>
        <w:t>(</w:t>
      </w:r>
      <w:r w:rsidRPr="00AE5BAE">
        <w:rPr>
          <w:rFonts w:cs="DanaFajr"/>
          <w:sz w:val="28"/>
          <w:szCs w:val="28"/>
        </w:rPr>
        <w:endnoteRef/>
      </w:r>
      <w:r w:rsidRPr="006571AC">
        <w:rPr>
          <w:rFonts w:cs="DanaFajr"/>
          <w:sz w:val="28"/>
          <w:szCs w:val="28"/>
          <w:rtl/>
        </w:rPr>
        <w:t xml:space="preserve">) </w:t>
      </w:r>
      <w:r w:rsidRPr="006571AC">
        <w:rPr>
          <w:rFonts w:cs="DanaFajr" w:hint="cs"/>
          <w:sz w:val="28"/>
          <w:szCs w:val="28"/>
          <w:rtl/>
        </w:rPr>
        <w:t xml:space="preserve">يُراجَع: </w:t>
      </w:r>
      <w:r w:rsidRPr="00AE5BAE">
        <w:rPr>
          <w:rFonts w:asciiTheme="majorBidi" w:hAnsiTheme="majorBidi" w:cstheme="majorBidi"/>
        </w:rPr>
        <w:t>Mongia Arfa Mensia</w:t>
      </w:r>
      <w:r w:rsidRPr="006571AC">
        <w:rPr>
          <w:rFonts w:cs="DanaFajr" w:hint="cs"/>
          <w:sz w:val="28"/>
          <w:szCs w:val="28"/>
          <w:rtl/>
        </w:rPr>
        <w:t xml:space="preserve"> (أستاذةٌ في معهد السوربون في فرنسا)، نظرية ابن خلدون في التعليم نظريّةٌ سبقَتْ عصرها. وهذا البحث نُشر في المجلة الدولية لعلوم التربية، العدد 79،  2018م. وكان الملفّ بعنوان: </w:t>
      </w:r>
      <w:r w:rsidRPr="00AE5BAE">
        <w:rPr>
          <w:rFonts w:cs="DanaFajr"/>
          <w:sz w:val="28"/>
          <w:szCs w:val="28"/>
        </w:rPr>
        <w:t xml:space="preserve"> </w:t>
      </w:r>
      <w:r w:rsidRPr="007766DF">
        <w:rPr>
          <w:rFonts w:asciiTheme="majorBidi" w:hAnsiTheme="majorBidi" w:cstheme="majorBidi"/>
        </w:rPr>
        <w:t>Les grandes figures de l'éducation dans le monde</w:t>
      </w:r>
    </w:p>
  </w:endnote>
  <w:endnote w:id="762">
    <w:p w:rsidR="00DB2356" w:rsidRPr="007766DF" w:rsidRDefault="00DB2356" w:rsidP="007766DF">
      <w:pPr>
        <w:pStyle w:val="aa"/>
        <w:spacing w:line="325" w:lineRule="exact"/>
        <w:ind w:firstLine="0"/>
        <w:rPr>
          <w:rFonts w:cs="DanaFajr"/>
          <w:sz w:val="28"/>
          <w:szCs w:val="28"/>
          <w:rtl/>
        </w:rPr>
      </w:pPr>
      <w:r w:rsidRPr="007766DF">
        <w:rPr>
          <w:rFonts w:cs="DanaFajr"/>
          <w:sz w:val="28"/>
          <w:szCs w:val="28"/>
          <w:rtl/>
        </w:rPr>
        <w:t>(</w:t>
      </w:r>
      <w:r w:rsidRPr="007766DF">
        <w:rPr>
          <w:rFonts w:cs="DanaFajr"/>
          <w:sz w:val="28"/>
          <w:szCs w:val="28"/>
        </w:rPr>
        <w:endnoteRef/>
      </w:r>
      <w:r w:rsidRPr="007766DF">
        <w:rPr>
          <w:rFonts w:cs="DanaFajr"/>
          <w:sz w:val="28"/>
          <w:szCs w:val="28"/>
          <w:rtl/>
        </w:rPr>
        <w:t xml:space="preserve">) </w:t>
      </w:r>
      <w:r w:rsidRPr="007766DF">
        <w:rPr>
          <w:rFonts w:cs="DanaFajr" w:hint="cs"/>
          <w:sz w:val="28"/>
          <w:szCs w:val="28"/>
          <w:rtl/>
        </w:rPr>
        <w:t>للمزيد من المعرفة حول شخصية أبي الحسن اليوسي يراجَع الملفّ الضخم الذي خصَّصته مجلة المناهل المغربية، في عددها 15، لشخصية الإمام اليوسي العلمية والتربوية، 1979م.</w:t>
      </w:r>
    </w:p>
  </w:endnote>
  <w:endnote w:id="763">
    <w:p w:rsidR="00DB2356" w:rsidRPr="006571AC" w:rsidRDefault="00DB2356" w:rsidP="00594E34">
      <w:pPr>
        <w:pStyle w:val="aa"/>
        <w:spacing w:line="325" w:lineRule="exact"/>
        <w:ind w:firstLine="0"/>
        <w:rPr>
          <w:rFonts w:cs="DanaFajr"/>
          <w:sz w:val="28"/>
          <w:szCs w:val="28"/>
          <w:lang w:bidi="ar-MA"/>
        </w:rPr>
      </w:pPr>
      <w:r w:rsidRPr="006571AC">
        <w:rPr>
          <w:rFonts w:cs="DanaFajr"/>
          <w:sz w:val="28"/>
          <w:szCs w:val="28"/>
          <w:rtl/>
          <w:lang w:bidi="ar-MA"/>
        </w:rPr>
        <w:t>(</w:t>
      </w:r>
      <w:r w:rsidRPr="006571AC">
        <w:rPr>
          <w:rStyle w:val="ac"/>
          <w:rFonts w:cs="DanaFajr"/>
          <w:sz w:val="28"/>
          <w:szCs w:val="28"/>
          <w:vertAlign w:val="baseline"/>
        </w:rPr>
        <w:endnoteRef/>
      </w:r>
      <w:r w:rsidRPr="006571AC">
        <w:rPr>
          <w:rFonts w:cs="DanaFajr"/>
          <w:sz w:val="28"/>
          <w:szCs w:val="28"/>
          <w:rtl/>
          <w:lang w:bidi="ar-MA"/>
        </w:rPr>
        <w:t>)</w:t>
      </w:r>
      <w:r w:rsidRPr="006571AC">
        <w:rPr>
          <w:rFonts w:cs="DanaFajr" w:hint="cs"/>
          <w:sz w:val="28"/>
          <w:szCs w:val="28"/>
          <w:rtl/>
        </w:rPr>
        <w:t xml:space="preserve"> د. شقي إبراهيم عبد الحميد، علم النفس في التراث الإسلامي: 35، دار السلام، مصر، 2008م.</w:t>
      </w:r>
      <w:r w:rsidRPr="006571AC">
        <w:rPr>
          <w:rFonts w:cs="DanaFajr"/>
          <w:sz w:val="28"/>
          <w:szCs w:val="28"/>
          <w:rtl/>
        </w:rPr>
        <w:t xml:space="preserve"> </w:t>
      </w:r>
    </w:p>
  </w:endnote>
  <w:endnote w:id="764">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تحقيق الخاتمة (بقلم: السيّد محمّد رضا الجلاليّ) 30: 9 (بتصرُّف). </w:t>
      </w:r>
    </w:p>
  </w:endnote>
  <w:endnote w:id="765">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التحقيق (بقلم: السيّد جواد الشهرستانيّ) 1: 88 (بتصرُّف). </w:t>
      </w:r>
    </w:p>
  </w:endnote>
  <w:endnote w:id="766">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 14 ـ 15. </w:t>
      </w:r>
    </w:p>
  </w:endnote>
  <w:endnote w:id="767">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29: 11 ـ 12. </w:t>
      </w:r>
    </w:p>
  </w:endnote>
  <w:endnote w:id="768">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29: 11. </w:t>
      </w:r>
    </w:p>
  </w:endnote>
  <w:endnote w:id="769">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البرقيّ، المحاسن 1: 105، باب عقاب القتل، ح85. </w:t>
      </w:r>
    </w:p>
  </w:endnote>
  <w:endnote w:id="770">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119. </w:t>
      </w:r>
    </w:p>
  </w:endnote>
  <w:endnote w:id="771">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التحقيق (بقلم: السيّد جواد الشهرستانيّ) 1: 96. </w:t>
      </w:r>
    </w:p>
  </w:endnote>
  <w:endnote w:id="772">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 39. </w:t>
      </w:r>
    </w:p>
  </w:endnote>
  <w:endnote w:id="773">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1: 10، كتاب العقل والجهل، ح1. </w:t>
      </w:r>
    </w:p>
  </w:endnote>
  <w:endnote w:id="774">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3: 1، كتاب الطهارة، باب طهور الماء، ح1. </w:t>
      </w:r>
    </w:p>
  </w:endnote>
  <w:endnote w:id="775">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3: 264، كتاب الصلاة، باب فضل الصلاة، ح1. </w:t>
      </w:r>
    </w:p>
  </w:endnote>
  <w:endnote w:id="776">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التحقيق (بقلم: السيّد جواد الشهرستانيّ) 1: 96؛ وسائل الشيعة، مقدّمة تحقيق الخاتمة (بقلم: السيّد محمّد رضا الجلاليّ) 30: 12 (بتصرُّفٍ وتلفيق). </w:t>
      </w:r>
    </w:p>
  </w:endnote>
  <w:endnote w:id="777">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148. </w:t>
      </w:r>
    </w:p>
  </w:endnote>
  <w:endnote w:id="778">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 49 ـ 50. </w:t>
      </w:r>
    </w:p>
  </w:endnote>
  <w:endnote w:id="779">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85، كتاب الإيمان والكفر، باب النيّة، ح3 و4. </w:t>
      </w:r>
    </w:p>
  </w:endnote>
  <w:endnote w:id="780">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4: 24. </w:t>
      </w:r>
    </w:p>
  </w:endnote>
  <w:endnote w:id="781">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3: 270، كتاب الصلاة، باب من حافظ على صلاته أو ضيّعها، ح15 و16. </w:t>
      </w:r>
    </w:p>
  </w:endnote>
  <w:endnote w:id="782">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20: 73، باب 27 من أبواب مقدّمات النكاح وآدابه، ح4، والكلينيّ، الكافي 5: 345 ـ 346، كتاب النكاح، باب آخر منه، ح6. </w:t>
      </w:r>
    </w:p>
    <w:p w:rsidR="00DB2356" w:rsidRPr="006571AC" w:rsidRDefault="00DB2356" w:rsidP="00D65D95">
      <w:pPr>
        <w:pStyle w:val="aa"/>
        <w:spacing w:line="312" w:lineRule="exact"/>
        <w:ind w:firstLine="0"/>
        <w:rPr>
          <w:rFonts w:cs="DanaFajr"/>
          <w:sz w:val="28"/>
          <w:szCs w:val="28"/>
        </w:rPr>
      </w:pPr>
      <w:r w:rsidRPr="006571AC">
        <w:rPr>
          <w:rFonts w:cs="DanaFajr" w:hint="cs"/>
          <w:sz w:val="28"/>
          <w:szCs w:val="28"/>
          <w:rtl/>
        </w:rPr>
        <w:t xml:space="preserve">وراجِعْ: وسائل الشيعة 20: 471، باب 22 من أبواب ما يحرم بالمصاهرة ونحوها، ح2، والكلينيّ، الكافي 5: 362، كتاب النكاح، باب الرجل يتزوّج المرأة ويتزوّج أم ولد أبيها، ح3. </w:t>
      </w:r>
    </w:p>
  </w:endnote>
  <w:endnote w:id="783">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التحقيق (بقلم: السيّد جواد الشهرستانيّ) 1: 96. </w:t>
      </w:r>
    </w:p>
  </w:endnote>
  <w:endnote w:id="784">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 187. </w:t>
      </w:r>
    </w:p>
  </w:endnote>
  <w:endnote w:id="785">
    <w:p w:rsidR="00DB2356" w:rsidRPr="006571AC" w:rsidRDefault="00DB2356" w:rsidP="00D65D95">
      <w:pPr>
        <w:pStyle w:val="aa"/>
        <w:spacing w:line="312"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3: 193 ـ 194، كتاب الجنائز، باب مَنْ يدخل القبر ومَنْ لا يدخل، ح5. </w:t>
      </w:r>
    </w:p>
  </w:endnote>
  <w:endnote w:id="786">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49. </w:t>
      </w:r>
    </w:p>
  </w:endnote>
  <w:endnote w:id="787">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3: 253 ـ 254، كتاب الجنائز، باب النوادر، ح9 و12. </w:t>
      </w:r>
    </w:p>
  </w:endnote>
  <w:endnote w:id="788">
    <w:p w:rsidR="00DB2356" w:rsidRPr="006571AC" w:rsidRDefault="00DB2356" w:rsidP="00D65D95">
      <w:pPr>
        <w:pStyle w:val="aa"/>
        <w:spacing w:line="312"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278، الباب 86 من أبواب الدفن، ح2، والكلينيّ، الكافي 3: 227 ـ 228، كتاب الجنائز، باب في السلوة، ح1 و3.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22: 85، باب 36 من أبواب مقدّمات الطلاق وشرائطه، ح1 و3، والكلينيّ، الكافي 6: 126، كتاب الطلاق، باب طلاق السكران، ح1 و3. </w:t>
      </w:r>
    </w:p>
    <w:p w:rsidR="00DB2356" w:rsidRPr="006571AC" w:rsidRDefault="00DB2356" w:rsidP="00D65D95">
      <w:pPr>
        <w:pStyle w:val="aa"/>
        <w:spacing w:line="306" w:lineRule="exact"/>
        <w:ind w:firstLine="0"/>
        <w:rPr>
          <w:rFonts w:cs="DanaFajr"/>
          <w:sz w:val="28"/>
          <w:szCs w:val="28"/>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23: 246 ـ 247، باب 22 من كتاب الأيمان، ح1 و3، والكلينيّ، الكافي 7: 445، كتاب الأيمان...، باب أنّه لا يحلف الرجل إلاّ على علمه، ح1 و3. </w:t>
      </w:r>
    </w:p>
  </w:endnote>
  <w:endnote w:id="789">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23: 99 ـ 100. </w:t>
      </w:r>
    </w:p>
  </w:endnote>
  <w:endnote w:id="790">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8: 228، كتاب العتق...، باب العتق وأحكامه، ح57 و58. </w:t>
      </w:r>
    </w:p>
  </w:endnote>
  <w:endnote w:id="791">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23: 374 ـ 375، باب 23 من أبواب الصيد، ح4 و6، والطوسيّ، تهذيب الأحكام 9: 36 ـ 37، كتاب الصيد والذبائح، باب الصيد والذكاة، ح150 و153. </w:t>
      </w:r>
    </w:p>
    <w:p w:rsidR="00DB2356" w:rsidRPr="006571AC" w:rsidRDefault="00DB2356" w:rsidP="00D65D95">
      <w:pPr>
        <w:pStyle w:val="aa"/>
        <w:spacing w:line="306" w:lineRule="exact"/>
        <w:ind w:firstLine="0"/>
        <w:rPr>
          <w:rFonts w:cs="DanaFajr"/>
          <w:sz w:val="28"/>
          <w:szCs w:val="28"/>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24: 17 ـ 18، باب 9 من أبواب الذبائح، ح2 و3، والطوسيّ، تهذيب الأحكام 9: 55 ـ 57، كتاب الصيد والذبائح، باب الصيد والذكاة، ح230 و239. </w:t>
      </w:r>
    </w:p>
  </w:endnote>
  <w:endnote w:id="792">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29: 124؛ وراجِعْ: الكلينيّ، الكافي 7: 359، كتاب الديات، بابٌ، ح1. </w:t>
      </w:r>
    </w:p>
  </w:endnote>
  <w:endnote w:id="793">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15: 131؛ الكلينيّ، الكافي 3: 567، كتاب الزكاة، باب صدقة أهل الجزية، ح3. </w:t>
      </w:r>
    </w:p>
  </w:endnote>
  <w:endnote w:id="794">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10: 173؛ الكلينيّ، الكافي 2: 18 ـ 19، كتاب الإيمان والكفر، باب دعائم الإسلام، ح5. </w:t>
      </w:r>
    </w:p>
  </w:endnote>
  <w:endnote w:id="795">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الملايريّ، جامع أحاديث الشيعة 1: 9 ـ 10 (من كلامٍ للسيّد البروجرديّ</w:t>
      </w:r>
      <w:r w:rsidRPr="006571AC">
        <w:rPr>
          <w:rFonts w:ascii="Mosawi" w:hAnsi="Mosawi" w:cs="Mosawi"/>
          <w:rtl/>
        </w:rPr>
        <w:t>&amp;</w:t>
      </w:r>
      <w:r w:rsidRPr="006571AC">
        <w:rPr>
          <w:rFonts w:cs="DanaFajr" w:hint="cs"/>
          <w:sz w:val="28"/>
          <w:szCs w:val="28"/>
          <w:rtl/>
        </w:rPr>
        <w:t xml:space="preserve">). </w:t>
      </w:r>
    </w:p>
  </w:endnote>
  <w:endnote w:id="796">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 359. </w:t>
      </w:r>
    </w:p>
  </w:endnote>
  <w:endnote w:id="797">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 14. </w:t>
      </w:r>
    </w:p>
    <w:p w:rsidR="00DB2356" w:rsidRPr="006571AC" w:rsidRDefault="00DB2356" w:rsidP="00D65D95">
      <w:pPr>
        <w:spacing w:line="306" w:lineRule="exact"/>
        <w:ind w:firstLine="0"/>
        <w:rPr>
          <w:rFonts w:cs="DanaFajr"/>
          <w:szCs w:val="28"/>
          <w:rtl/>
        </w:rPr>
      </w:pPr>
      <w:r w:rsidRPr="006571AC">
        <w:rPr>
          <w:rFonts w:cs="DanaFajr" w:hint="cs"/>
          <w:szCs w:val="28"/>
          <w:rtl/>
        </w:rPr>
        <w:t xml:space="preserve">وراجِعْ: وسائل الشيعة 3: 333، الباب 20 من أبواب الأغسال المسنونة، ح1، حيث قال: </w:t>
      </w:r>
      <w:r w:rsidRPr="006571AC">
        <w:rPr>
          <w:rFonts w:hint="cs"/>
          <w:sz w:val="22"/>
          <w:szCs w:val="22"/>
          <w:rtl/>
        </w:rPr>
        <w:t>«</w:t>
      </w:r>
      <w:r w:rsidRPr="006571AC">
        <w:rPr>
          <w:rFonts w:cs="DanaFajr"/>
          <w:szCs w:val="28"/>
          <w:rtl/>
        </w:rPr>
        <w:t>محم</w:t>
      </w:r>
      <w:r w:rsidRPr="006571AC">
        <w:rPr>
          <w:rFonts w:cs="DanaFajr" w:hint="cs"/>
          <w:szCs w:val="28"/>
          <w:rtl/>
        </w:rPr>
        <w:t>ّ</w:t>
      </w:r>
      <w:r w:rsidRPr="006571AC">
        <w:rPr>
          <w:rFonts w:cs="DanaFajr"/>
          <w:szCs w:val="28"/>
          <w:rtl/>
        </w:rPr>
        <w:t>د بن يعقوب، عن علي</w:t>
      </w:r>
      <w:r w:rsidRPr="006571AC">
        <w:rPr>
          <w:rFonts w:cs="DanaFajr" w:hint="cs"/>
          <w:szCs w:val="28"/>
          <w:rtl/>
        </w:rPr>
        <w:t>ّ</w:t>
      </w:r>
      <w:r w:rsidRPr="006571AC">
        <w:rPr>
          <w:rFonts w:cs="DanaFajr"/>
          <w:szCs w:val="28"/>
          <w:rtl/>
        </w:rPr>
        <w:t xml:space="preserve"> بن إبراهيم، عن أحمد بن أبي عبد الله، عن زياد القندي</w:t>
      </w:r>
      <w:r w:rsidRPr="006571AC">
        <w:rPr>
          <w:rFonts w:cs="DanaFajr" w:hint="cs"/>
          <w:szCs w:val="28"/>
          <w:rtl/>
        </w:rPr>
        <w:t>ّ</w:t>
      </w:r>
      <w:r w:rsidRPr="006571AC">
        <w:rPr>
          <w:rFonts w:cs="DanaFajr"/>
          <w:szCs w:val="28"/>
          <w:rtl/>
        </w:rPr>
        <w:t>، عن عبد الرحيم القصير</w:t>
      </w:r>
      <w:r w:rsidRPr="006571AC">
        <w:rPr>
          <w:rFonts w:cs="DanaFajr" w:hint="cs"/>
          <w:szCs w:val="28"/>
          <w:rtl/>
        </w:rPr>
        <w:t xml:space="preserve"> قال: دخلتُ على أبي عبد الله</w:t>
      </w:r>
      <w:r w:rsidRPr="006571AC">
        <w:rPr>
          <w:rFonts w:ascii="Mosawi" w:hAnsi="Mosawi" w:cs="Mosawi"/>
          <w:sz w:val="20"/>
          <w:szCs w:val="20"/>
          <w:rtl/>
        </w:rPr>
        <w:t>×</w:t>
      </w:r>
      <w:r w:rsidRPr="006571AC">
        <w:rPr>
          <w:rFonts w:cs="DanaFajr" w:hint="cs"/>
          <w:szCs w:val="28"/>
          <w:rtl/>
        </w:rPr>
        <w:t xml:space="preserve">.... </w:t>
      </w:r>
    </w:p>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ورواه الصدوق بإسناده عن زياد القند</w:t>
      </w:r>
      <w:r w:rsidRPr="006571AC">
        <w:rPr>
          <w:rFonts w:cs="DanaFajr" w:hint="cs"/>
          <w:sz w:val="28"/>
          <w:szCs w:val="28"/>
          <w:rtl/>
        </w:rPr>
        <w:t xml:space="preserve">يّ، </w:t>
      </w:r>
      <w:r w:rsidRPr="006571AC">
        <w:rPr>
          <w:rFonts w:cs="DanaFajr"/>
          <w:b/>
          <w:bCs/>
          <w:sz w:val="28"/>
          <w:szCs w:val="28"/>
          <w:rtl/>
        </w:rPr>
        <w:t>مثله</w:t>
      </w:r>
      <w:r w:rsidRPr="006571AC">
        <w:rPr>
          <w:rFonts w:hint="cs"/>
          <w:sz w:val="22"/>
          <w:szCs w:val="22"/>
          <w:rtl/>
        </w:rPr>
        <w:t>»</w:t>
      </w:r>
      <w:r w:rsidRPr="006571AC">
        <w:rPr>
          <w:rFonts w:cs="DanaFajr" w:hint="cs"/>
          <w:sz w:val="28"/>
          <w:szCs w:val="28"/>
          <w:rtl/>
        </w:rPr>
        <w:t xml:space="preserve">. </w:t>
      </w:r>
    </w:p>
  </w:endnote>
  <w:endnote w:id="798">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الملايريّ، جامع أحاديث الشيعة 1: 10 (من كلام للسيّد البروجرديّ</w:t>
      </w:r>
      <w:r w:rsidRPr="006571AC">
        <w:rPr>
          <w:rFonts w:ascii="Mosawi" w:hAnsi="Mosawi" w:cs="Mosawi"/>
          <w:rtl/>
        </w:rPr>
        <w:t>&amp;</w:t>
      </w:r>
      <w:r w:rsidRPr="006571AC">
        <w:rPr>
          <w:rFonts w:cs="DanaFajr" w:hint="cs"/>
          <w:sz w:val="28"/>
          <w:szCs w:val="28"/>
          <w:rtl/>
        </w:rPr>
        <w:t xml:space="preserve">). </w:t>
      </w:r>
    </w:p>
  </w:endnote>
  <w:endnote w:id="799">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388 ـ 389؛ وسائل الشيعة (تحقيق: الشيخ الربّانيّ) 1: 272 ـ 273. </w:t>
      </w:r>
    </w:p>
  </w:endnote>
  <w:endnote w:id="800">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الطوسيّ، تهذيب الأحكام 1: 81، كتاب الطهارة، باب صفة الوضوء والفرض منه والسنّة والفضيلة فيه، ح60. </w:t>
      </w:r>
    </w:p>
  </w:endnote>
  <w:endnote w:id="801">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الطوسيّ، تهذيب الأحكام 1: 76، كتاب الطهارة، باب صفة الوضوء والفرض منه والسنّة والفضيلة فيه، ح40. </w:t>
      </w:r>
    </w:p>
  </w:endnote>
  <w:endnote w:id="802">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391 ـ 392؛ وسائل الشيعة (تحقيق: الشيخ الربّانيّ) 1: 275؛ وراجِعْ: الطوسيّ، تهذيب الأحكام 1: 75، كتاب الطهارة، باب صفة الوضوء والفرض منه والسنّة والفضيلة فيه، ح39. </w:t>
      </w:r>
    </w:p>
  </w:endnote>
  <w:endnote w:id="803">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(تحقيق: الشيخ الربّانيّ) 1: 272.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391، باب 15 من أبواب الوضوء، ح8، والطوسيّ، تهذيب الأحكام 1: 58، كتاب الطهارة، باب صفة الوضوء والفرض منه والسنّة والفضيلة فيه، ح11.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وراجِعْ: وسائل الشيعة 1: 392، باب 15 من أبواب الوضوء، ح10، والطوسيّ، تهذيب الأحكام 1: 55، كتاب الطهارة، باب صفة الوضوء والفرض منه والسنّة والفضيلة فيه، ح6. </w:t>
      </w:r>
    </w:p>
  </w:endnote>
  <w:endnote w:id="804">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راجِعْ: حسن الخرسان، شرح مشيخة تهذيب الأحكام: 63 إلى 66 (في آخر المجلّد العاشر من كتاب </w:t>
      </w:r>
      <w:r w:rsidRPr="006571AC">
        <w:rPr>
          <w:rFonts w:hint="cs"/>
          <w:sz w:val="22"/>
          <w:szCs w:val="22"/>
          <w:rtl/>
        </w:rPr>
        <w:t>«</w:t>
      </w:r>
      <w:r w:rsidRPr="006571AC">
        <w:rPr>
          <w:rFonts w:cs="DanaFajr" w:hint="cs"/>
          <w:sz w:val="28"/>
          <w:szCs w:val="28"/>
          <w:rtl/>
        </w:rPr>
        <w:t>التهذيب</w:t>
      </w:r>
      <w:r w:rsidRPr="006571AC">
        <w:rPr>
          <w:rFonts w:hint="cs"/>
          <w:sz w:val="22"/>
          <w:szCs w:val="22"/>
          <w:rtl/>
        </w:rPr>
        <w:t>»</w:t>
      </w:r>
      <w:r w:rsidRPr="006571AC">
        <w:rPr>
          <w:rFonts w:cs="DanaFajr" w:hint="cs"/>
          <w:sz w:val="28"/>
          <w:szCs w:val="28"/>
          <w:rtl/>
        </w:rPr>
        <w:t xml:space="preserve">)؛ الطوسيّ، الاستبصار في ما اختلف من الأخبار 4: 320 ـ 321، المشيخة، وفيهما: </w:t>
      </w:r>
      <w:r w:rsidRPr="006571AC">
        <w:rPr>
          <w:rFonts w:hint="cs"/>
          <w:sz w:val="22"/>
          <w:szCs w:val="22"/>
          <w:rtl/>
        </w:rPr>
        <w:t>«</w:t>
      </w:r>
      <w:r w:rsidRPr="006571AC">
        <w:rPr>
          <w:rFonts w:cs="DanaFajr"/>
          <w:b/>
          <w:bCs/>
          <w:sz w:val="28"/>
          <w:szCs w:val="28"/>
          <w:rtl/>
        </w:rPr>
        <w:t>وما ذك</w:t>
      </w:r>
      <w:r w:rsidRPr="006571AC">
        <w:rPr>
          <w:rFonts w:cs="DanaFajr" w:hint="cs"/>
          <w:b/>
          <w:bCs/>
          <w:sz w:val="28"/>
          <w:szCs w:val="28"/>
          <w:rtl/>
        </w:rPr>
        <w:t>َ</w:t>
      </w:r>
      <w:r w:rsidRPr="006571AC">
        <w:rPr>
          <w:rFonts w:cs="DanaFajr"/>
          <w:b/>
          <w:bCs/>
          <w:sz w:val="28"/>
          <w:szCs w:val="28"/>
          <w:rtl/>
        </w:rPr>
        <w:t>ر</w:t>
      </w:r>
      <w:r w:rsidRPr="006571AC">
        <w:rPr>
          <w:rFonts w:cs="DanaFajr" w:hint="cs"/>
          <w:b/>
          <w:bCs/>
          <w:sz w:val="28"/>
          <w:szCs w:val="28"/>
          <w:rtl/>
        </w:rPr>
        <w:t>ْ</w:t>
      </w:r>
      <w:r w:rsidRPr="006571AC">
        <w:rPr>
          <w:rFonts w:cs="DanaFajr"/>
          <w:b/>
          <w:bCs/>
          <w:sz w:val="28"/>
          <w:szCs w:val="28"/>
          <w:rtl/>
        </w:rPr>
        <w:t>ت</w:t>
      </w:r>
      <w:r w:rsidRPr="006571AC">
        <w:rPr>
          <w:rFonts w:cs="DanaFajr" w:hint="cs"/>
          <w:b/>
          <w:bCs/>
          <w:sz w:val="28"/>
          <w:szCs w:val="28"/>
          <w:rtl/>
        </w:rPr>
        <w:t>ُ</w:t>
      </w:r>
      <w:r w:rsidRPr="006571AC">
        <w:rPr>
          <w:rFonts w:cs="DanaFajr"/>
          <w:b/>
          <w:bCs/>
          <w:sz w:val="28"/>
          <w:szCs w:val="28"/>
          <w:rtl/>
        </w:rPr>
        <w:t>ه عن الحسين بن سعيد فقد أخبرني به الشيخ المفيد أبو عبد الله محم</w:t>
      </w:r>
      <w:r w:rsidRPr="006571AC">
        <w:rPr>
          <w:rFonts w:cs="DanaFajr" w:hint="cs"/>
          <w:b/>
          <w:bCs/>
          <w:sz w:val="28"/>
          <w:szCs w:val="28"/>
          <w:rtl/>
        </w:rPr>
        <w:t>ّ</w:t>
      </w:r>
      <w:r w:rsidRPr="006571AC">
        <w:rPr>
          <w:rFonts w:cs="DanaFajr"/>
          <w:b/>
          <w:bCs/>
          <w:sz w:val="28"/>
          <w:szCs w:val="28"/>
          <w:rtl/>
        </w:rPr>
        <w:t>د بن محم</w:t>
      </w:r>
      <w:r w:rsidRPr="006571AC">
        <w:rPr>
          <w:rFonts w:cs="DanaFajr" w:hint="cs"/>
          <w:b/>
          <w:bCs/>
          <w:sz w:val="28"/>
          <w:szCs w:val="28"/>
          <w:rtl/>
        </w:rPr>
        <w:t>ّد</w:t>
      </w:r>
      <w:r w:rsidRPr="006571AC">
        <w:rPr>
          <w:rFonts w:cs="DanaFajr"/>
          <w:b/>
          <w:bCs/>
          <w:sz w:val="28"/>
          <w:szCs w:val="28"/>
          <w:rtl/>
        </w:rPr>
        <w:t xml:space="preserve"> بن النعمان</w:t>
      </w:r>
      <w:r w:rsidRPr="006571AC">
        <w:rPr>
          <w:rFonts w:cs="DanaFajr"/>
          <w:sz w:val="28"/>
          <w:szCs w:val="28"/>
          <w:rtl/>
        </w:rPr>
        <w:t xml:space="preserve"> والحسين بن عبيد</w:t>
      </w:r>
      <w:r w:rsidRPr="006571AC">
        <w:rPr>
          <w:rFonts w:cs="DanaFajr" w:hint="cs"/>
          <w:sz w:val="28"/>
          <w:szCs w:val="28"/>
          <w:rtl/>
        </w:rPr>
        <w:t xml:space="preserve"> ا</w:t>
      </w:r>
      <w:r w:rsidRPr="006571AC">
        <w:rPr>
          <w:rFonts w:cs="DanaFajr"/>
          <w:sz w:val="28"/>
          <w:szCs w:val="28"/>
          <w:rtl/>
        </w:rPr>
        <w:t>لله و</w:t>
      </w:r>
      <w:r w:rsidRPr="006571AC">
        <w:rPr>
          <w:rFonts w:cs="DanaFajr" w:hint="cs"/>
          <w:sz w:val="28"/>
          <w:szCs w:val="28"/>
          <w:rtl/>
        </w:rPr>
        <w:t>أ</w:t>
      </w:r>
      <w:r w:rsidRPr="006571AC">
        <w:rPr>
          <w:rFonts w:cs="DanaFajr"/>
          <w:sz w:val="28"/>
          <w:szCs w:val="28"/>
          <w:rtl/>
        </w:rPr>
        <w:t>حمد بن عبدون كل</w:t>
      </w:r>
      <w:r w:rsidRPr="006571AC">
        <w:rPr>
          <w:rFonts w:cs="DanaFajr" w:hint="cs"/>
          <w:sz w:val="28"/>
          <w:szCs w:val="28"/>
          <w:rtl/>
        </w:rPr>
        <w:t>ّ</w:t>
      </w:r>
      <w:r w:rsidRPr="006571AC">
        <w:rPr>
          <w:rFonts w:cs="DanaFajr"/>
          <w:sz w:val="28"/>
          <w:szCs w:val="28"/>
          <w:rtl/>
        </w:rPr>
        <w:t>هم</w:t>
      </w:r>
      <w:r w:rsidRPr="006571AC">
        <w:rPr>
          <w:rFonts w:cs="DanaFajr" w:hint="cs"/>
          <w:sz w:val="28"/>
          <w:szCs w:val="28"/>
          <w:rtl/>
        </w:rPr>
        <w:t xml:space="preserve">، </w:t>
      </w:r>
      <w:r w:rsidRPr="006571AC">
        <w:rPr>
          <w:rFonts w:cs="DanaFajr"/>
          <w:b/>
          <w:bCs/>
          <w:sz w:val="28"/>
          <w:szCs w:val="28"/>
          <w:rtl/>
        </w:rPr>
        <w:t>عن أحمد بن محم</w:t>
      </w:r>
      <w:r w:rsidRPr="006571AC">
        <w:rPr>
          <w:rFonts w:cs="DanaFajr" w:hint="cs"/>
          <w:b/>
          <w:bCs/>
          <w:sz w:val="28"/>
          <w:szCs w:val="28"/>
          <w:rtl/>
        </w:rPr>
        <w:t>ّ</w:t>
      </w:r>
      <w:r w:rsidRPr="006571AC">
        <w:rPr>
          <w:rFonts w:cs="DanaFajr"/>
          <w:b/>
          <w:bCs/>
          <w:sz w:val="28"/>
          <w:szCs w:val="28"/>
          <w:rtl/>
        </w:rPr>
        <w:t>د بن الحسن بن الوليد</w:t>
      </w:r>
      <w:r w:rsidRPr="006571AC">
        <w:rPr>
          <w:rFonts w:cs="DanaFajr" w:hint="cs"/>
          <w:b/>
          <w:bCs/>
          <w:sz w:val="28"/>
          <w:szCs w:val="28"/>
          <w:rtl/>
        </w:rPr>
        <w:t xml:space="preserve">، </w:t>
      </w:r>
      <w:r w:rsidRPr="006571AC">
        <w:rPr>
          <w:rFonts w:cs="DanaFajr"/>
          <w:b/>
          <w:bCs/>
          <w:sz w:val="28"/>
          <w:szCs w:val="28"/>
          <w:rtl/>
        </w:rPr>
        <w:t>عن أبيه محم</w:t>
      </w:r>
      <w:r w:rsidRPr="006571AC">
        <w:rPr>
          <w:rFonts w:cs="DanaFajr" w:hint="cs"/>
          <w:b/>
          <w:bCs/>
          <w:sz w:val="28"/>
          <w:szCs w:val="28"/>
          <w:rtl/>
        </w:rPr>
        <w:t>ّ</w:t>
      </w:r>
      <w:r w:rsidRPr="006571AC">
        <w:rPr>
          <w:rFonts w:cs="DanaFajr"/>
          <w:b/>
          <w:bCs/>
          <w:sz w:val="28"/>
          <w:szCs w:val="28"/>
          <w:rtl/>
        </w:rPr>
        <w:t>د بن الحسن بن الوليد</w:t>
      </w:r>
      <w:r w:rsidRPr="006571AC">
        <w:rPr>
          <w:rFonts w:cs="DanaFajr" w:hint="cs"/>
          <w:sz w:val="28"/>
          <w:szCs w:val="28"/>
          <w:rtl/>
        </w:rPr>
        <w:t xml:space="preserve">؛ </w:t>
      </w:r>
      <w:r w:rsidRPr="006571AC">
        <w:rPr>
          <w:rFonts w:cs="DanaFajr"/>
          <w:sz w:val="28"/>
          <w:szCs w:val="28"/>
          <w:rtl/>
        </w:rPr>
        <w:t>و</w:t>
      </w:r>
      <w:r w:rsidRPr="006571AC">
        <w:rPr>
          <w:rFonts w:cs="DanaFajr" w:hint="cs"/>
          <w:sz w:val="28"/>
          <w:szCs w:val="28"/>
          <w:rtl/>
        </w:rPr>
        <w:t>أ</w:t>
      </w:r>
      <w:r w:rsidRPr="006571AC">
        <w:rPr>
          <w:rFonts w:cs="DanaFajr"/>
          <w:sz w:val="28"/>
          <w:szCs w:val="28"/>
          <w:rtl/>
        </w:rPr>
        <w:t xml:space="preserve">خبرني </w:t>
      </w:r>
      <w:r w:rsidRPr="006571AC">
        <w:rPr>
          <w:rFonts w:cs="DanaFajr" w:hint="cs"/>
          <w:sz w:val="28"/>
          <w:szCs w:val="28"/>
          <w:rtl/>
        </w:rPr>
        <w:t>أ</w:t>
      </w:r>
      <w:r w:rsidRPr="006571AC">
        <w:rPr>
          <w:rFonts w:cs="DanaFajr"/>
          <w:sz w:val="28"/>
          <w:szCs w:val="28"/>
          <w:rtl/>
        </w:rPr>
        <w:t>يضا</w:t>
      </w:r>
      <w:r w:rsidRPr="006571AC">
        <w:rPr>
          <w:rFonts w:cs="DanaFajr" w:hint="cs"/>
          <w:sz w:val="28"/>
          <w:szCs w:val="28"/>
          <w:rtl/>
        </w:rPr>
        <w:t>ً</w:t>
      </w:r>
      <w:r w:rsidRPr="006571AC">
        <w:rPr>
          <w:rFonts w:cs="DanaFajr"/>
          <w:sz w:val="28"/>
          <w:szCs w:val="28"/>
          <w:rtl/>
        </w:rPr>
        <w:t xml:space="preserve"> أبو الحسين بن أبي جيد القم</w:t>
      </w:r>
      <w:r w:rsidRPr="006571AC">
        <w:rPr>
          <w:rFonts w:cs="DanaFajr" w:hint="cs"/>
          <w:sz w:val="28"/>
          <w:szCs w:val="28"/>
          <w:rtl/>
        </w:rPr>
        <w:t>ّ</w:t>
      </w:r>
      <w:r w:rsidRPr="006571AC">
        <w:rPr>
          <w:rFonts w:cs="DanaFajr"/>
          <w:sz w:val="28"/>
          <w:szCs w:val="28"/>
          <w:rtl/>
        </w:rPr>
        <w:t>ي</w:t>
      </w:r>
      <w:r w:rsidRPr="006571AC">
        <w:rPr>
          <w:rFonts w:cs="DanaFajr" w:hint="cs"/>
          <w:sz w:val="28"/>
          <w:szCs w:val="28"/>
          <w:rtl/>
        </w:rPr>
        <w:t xml:space="preserve">ّ، </w:t>
      </w:r>
      <w:r w:rsidRPr="006571AC">
        <w:rPr>
          <w:rFonts w:cs="DanaFajr"/>
          <w:sz w:val="28"/>
          <w:szCs w:val="28"/>
          <w:rtl/>
        </w:rPr>
        <w:t>عن محم</w:t>
      </w:r>
      <w:r w:rsidRPr="006571AC">
        <w:rPr>
          <w:rFonts w:cs="DanaFajr" w:hint="cs"/>
          <w:sz w:val="28"/>
          <w:szCs w:val="28"/>
          <w:rtl/>
        </w:rPr>
        <w:t>ّ</w:t>
      </w:r>
      <w:r w:rsidRPr="006571AC">
        <w:rPr>
          <w:rFonts w:cs="DanaFajr"/>
          <w:sz w:val="28"/>
          <w:szCs w:val="28"/>
          <w:rtl/>
        </w:rPr>
        <w:t>د بن الحسن بن الوليد</w:t>
      </w:r>
      <w:r w:rsidRPr="006571AC">
        <w:rPr>
          <w:rFonts w:cs="DanaFajr" w:hint="cs"/>
          <w:sz w:val="28"/>
          <w:szCs w:val="28"/>
          <w:rtl/>
        </w:rPr>
        <w:t xml:space="preserve">، </w:t>
      </w:r>
      <w:r w:rsidRPr="006571AC">
        <w:rPr>
          <w:rFonts w:cs="DanaFajr"/>
          <w:b/>
          <w:bCs/>
          <w:sz w:val="28"/>
          <w:szCs w:val="28"/>
          <w:rtl/>
        </w:rPr>
        <w:t xml:space="preserve">عن الحسين </w:t>
      </w:r>
      <w:r w:rsidRPr="006571AC">
        <w:rPr>
          <w:rFonts w:cs="DanaFajr" w:hint="cs"/>
          <w:b/>
          <w:bCs/>
          <w:sz w:val="28"/>
          <w:szCs w:val="28"/>
          <w:rtl/>
        </w:rPr>
        <w:t>ب</w:t>
      </w:r>
      <w:r w:rsidRPr="006571AC">
        <w:rPr>
          <w:rFonts w:cs="DanaFajr"/>
          <w:b/>
          <w:bCs/>
          <w:sz w:val="28"/>
          <w:szCs w:val="28"/>
          <w:rtl/>
        </w:rPr>
        <w:t>ن الحسن بن أبان</w:t>
      </w:r>
      <w:r w:rsidRPr="006571AC">
        <w:rPr>
          <w:rFonts w:cs="DanaFajr" w:hint="cs"/>
          <w:b/>
          <w:bCs/>
          <w:sz w:val="28"/>
          <w:szCs w:val="28"/>
          <w:rtl/>
        </w:rPr>
        <w:t xml:space="preserve">، </w:t>
      </w:r>
      <w:r w:rsidRPr="006571AC">
        <w:rPr>
          <w:rFonts w:cs="DanaFajr"/>
          <w:b/>
          <w:bCs/>
          <w:sz w:val="28"/>
          <w:szCs w:val="28"/>
          <w:rtl/>
        </w:rPr>
        <w:t>عن الحسين بن سعيد</w:t>
      </w:r>
      <w:r w:rsidRPr="006571AC">
        <w:rPr>
          <w:rFonts w:cs="DanaFajr" w:hint="cs"/>
          <w:sz w:val="28"/>
          <w:szCs w:val="28"/>
          <w:rtl/>
        </w:rPr>
        <w:t xml:space="preserve">؛ </w:t>
      </w:r>
      <w:r w:rsidRPr="006571AC">
        <w:rPr>
          <w:rFonts w:cs="DanaFajr"/>
          <w:sz w:val="28"/>
          <w:szCs w:val="28"/>
          <w:rtl/>
        </w:rPr>
        <w:t xml:space="preserve">ورواه </w:t>
      </w:r>
      <w:r w:rsidRPr="006571AC">
        <w:rPr>
          <w:rFonts w:cs="DanaFajr" w:hint="cs"/>
          <w:sz w:val="28"/>
          <w:szCs w:val="28"/>
          <w:rtl/>
        </w:rPr>
        <w:t>أ</w:t>
      </w:r>
      <w:r w:rsidRPr="006571AC">
        <w:rPr>
          <w:rFonts w:cs="DanaFajr"/>
          <w:sz w:val="28"/>
          <w:szCs w:val="28"/>
          <w:rtl/>
        </w:rPr>
        <w:t>يضا</w:t>
      </w:r>
      <w:r w:rsidRPr="006571AC">
        <w:rPr>
          <w:rFonts w:cs="DanaFajr" w:hint="cs"/>
          <w:sz w:val="28"/>
          <w:szCs w:val="28"/>
          <w:rtl/>
        </w:rPr>
        <w:t>ً</w:t>
      </w:r>
      <w:r w:rsidRPr="006571AC">
        <w:rPr>
          <w:rFonts w:cs="DanaFajr"/>
          <w:sz w:val="28"/>
          <w:szCs w:val="28"/>
          <w:rtl/>
        </w:rPr>
        <w:t xml:space="preserve"> محم</w:t>
      </w:r>
      <w:r w:rsidRPr="006571AC">
        <w:rPr>
          <w:rFonts w:cs="DanaFajr" w:hint="cs"/>
          <w:sz w:val="28"/>
          <w:szCs w:val="28"/>
          <w:rtl/>
        </w:rPr>
        <w:t>ّ</w:t>
      </w:r>
      <w:r w:rsidRPr="006571AC">
        <w:rPr>
          <w:rFonts w:cs="DanaFajr"/>
          <w:sz w:val="28"/>
          <w:szCs w:val="28"/>
          <w:rtl/>
        </w:rPr>
        <w:t>د بن الحسن بن الوليد</w:t>
      </w:r>
      <w:r w:rsidRPr="006571AC">
        <w:rPr>
          <w:rFonts w:cs="DanaFajr" w:hint="cs"/>
          <w:sz w:val="28"/>
          <w:szCs w:val="28"/>
          <w:rtl/>
        </w:rPr>
        <w:t xml:space="preserve">، </w:t>
      </w:r>
      <w:r w:rsidRPr="006571AC">
        <w:rPr>
          <w:rFonts w:cs="DanaFajr"/>
          <w:sz w:val="28"/>
          <w:szCs w:val="28"/>
          <w:rtl/>
        </w:rPr>
        <w:t>عن محم</w:t>
      </w:r>
      <w:r w:rsidRPr="006571AC">
        <w:rPr>
          <w:rFonts w:cs="DanaFajr" w:hint="cs"/>
          <w:sz w:val="28"/>
          <w:szCs w:val="28"/>
          <w:rtl/>
        </w:rPr>
        <w:t>ّ</w:t>
      </w:r>
      <w:r w:rsidRPr="006571AC">
        <w:rPr>
          <w:rFonts w:cs="DanaFajr"/>
          <w:sz w:val="28"/>
          <w:szCs w:val="28"/>
          <w:rtl/>
        </w:rPr>
        <w:t>د بن الحسن الصف</w:t>
      </w:r>
      <w:r w:rsidRPr="006571AC">
        <w:rPr>
          <w:rFonts w:cs="DanaFajr" w:hint="cs"/>
          <w:sz w:val="28"/>
          <w:szCs w:val="28"/>
          <w:rtl/>
        </w:rPr>
        <w:t>ّ</w:t>
      </w:r>
      <w:r w:rsidRPr="006571AC">
        <w:rPr>
          <w:rFonts w:cs="DanaFajr"/>
          <w:sz w:val="28"/>
          <w:szCs w:val="28"/>
          <w:rtl/>
        </w:rPr>
        <w:t>ار</w:t>
      </w:r>
      <w:r w:rsidRPr="006571AC">
        <w:rPr>
          <w:rFonts w:cs="DanaFajr" w:hint="cs"/>
          <w:sz w:val="28"/>
          <w:szCs w:val="28"/>
          <w:rtl/>
        </w:rPr>
        <w:t xml:space="preserve">، </w:t>
      </w:r>
      <w:r w:rsidRPr="006571AC">
        <w:rPr>
          <w:rFonts w:cs="DanaFajr"/>
          <w:sz w:val="28"/>
          <w:szCs w:val="28"/>
          <w:rtl/>
        </w:rPr>
        <w:t>عن أحمد بن محم</w:t>
      </w:r>
      <w:r w:rsidRPr="006571AC">
        <w:rPr>
          <w:rFonts w:cs="DanaFajr" w:hint="cs"/>
          <w:sz w:val="28"/>
          <w:szCs w:val="28"/>
          <w:rtl/>
        </w:rPr>
        <w:t>ّ</w:t>
      </w:r>
      <w:r w:rsidRPr="006571AC">
        <w:rPr>
          <w:rFonts w:cs="DanaFajr"/>
          <w:sz w:val="28"/>
          <w:szCs w:val="28"/>
          <w:rtl/>
        </w:rPr>
        <w:t>د</w:t>
      </w:r>
      <w:r w:rsidRPr="006571AC">
        <w:rPr>
          <w:rFonts w:cs="DanaFajr" w:hint="cs"/>
          <w:sz w:val="28"/>
          <w:szCs w:val="28"/>
          <w:rtl/>
        </w:rPr>
        <w:t xml:space="preserve">، </w:t>
      </w:r>
      <w:r w:rsidRPr="006571AC">
        <w:rPr>
          <w:rFonts w:cs="DanaFajr"/>
          <w:sz w:val="28"/>
          <w:szCs w:val="28"/>
          <w:rtl/>
        </w:rPr>
        <w:t>عن الحسين بن سعيد</w:t>
      </w:r>
      <w:r w:rsidRPr="006571AC">
        <w:rPr>
          <w:rFonts w:hint="cs"/>
          <w:sz w:val="22"/>
          <w:szCs w:val="22"/>
          <w:rtl/>
        </w:rPr>
        <w:t>»</w:t>
      </w:r>
      <w:r w:rsidRPr="006571AC">
        <w:rPr>
          <w:rFonts w:cs="DanaFajr" w:hint="cs"/>
          <w:sz w:val="28"/>
          <w:szCs w:val="28"/>
          <w:rtl/>
        </w:rPr>
        <w:t xml:space="preserve">.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إذن فأحد الطرق: المفيد، </w:t>
      </w:r>
      <w:r w:rsidRPr="006571AC">
        <w:rPr>
          <w:rFonts w:cs="DanaFajr"/>
          <w:sz w:val="28"/>
          <w:szCs w:val="28"/>
          <w:rtl/>
        </w:rPr>
        <w:t>عن أحمد بن محم</w:t>
      </w:r>
      <w:r w:rsidRPr="006571AC">
        <w:rPr>
          <w:rFonts w:cs="DanaFajr" w:hint="cs"/>
          <w:sz w:val="28"/>
          <w:szCs w:val="28"/>
          <w:rtl/>
        </w:rPr>
        <w:t>ّ</w:t>
      </w:r>
      <w:r w:rsidRPr="006571AC">
        <w:rPr>
          <w:rFonts w:cs="DanaFajr"/>
          <w:sz w:val="28"/>
          <w:szCs w:val="28"/>
          <w:rtl/>
        </w:rPr>
        <w:t>د بن الحسن بن الوليد</w:t>
      </w:r>
      <w:r w:rsidRPr="006571AC">
        <w:rPr>
          <w:rFonts w:cs="DanaFajr" w:hint="cs"/>
          <w:sz w:val="28"/>
          <w:szCs w:val="28"/>
          <w:rtl/>
        </w:rPr>
        <w:t xml:space="preserve">، </w:t>
      </w:r>
      <w:r w:rsidRPr="006571AC">
        <w:rPr>
          <w:rFonts w:cs="DanaFajr"/>
          <w:sz w:val="28"/>
          <w:szCs w:val="28"/>
          <w:rtl/>
        </w:rPr>
        <w:t>عن أبيه محم</w:t>
      </w:r>
      <w:r w:rsidRPr="006571AC">
        <w:rPr>
          <w:rFonts w:cs="DanaFajr" w:hint="cs"/>
          <w:sz w:val="28"/>
          <w:szCs w:val="28"/>
          <w:rtl/>
        </w:rPr>
        <w:t>ّ</w:t>
      </w:r>
      <w:r w:rsidRPr="006571AC">
        <w:rPr>
          <w:rFonts w:cs="DanaFajr"/>
          <w:sz w:val="28"/>
          <w:szCs w:val="28"/>
          <w:rtl/>
        </w:rPr>
        <w:t>د بن الحسن بن الوليد</w:t>
      </w:r>
      <w:r w:rsidRPr="006571AC">
        <w:rPr>
          <w:rFonts w:cs="DanaFajr" w:hint="cs"/>
          <w:sz w:val="28"/>
          <w:szCs w:val="28"/>
          <w:rtl/>
        </w:rPr>
        <w:t xml:space="preserve">، عن </w:t>
      </w:r>
      <w:r w:rsidRPr="006571AC">
        <w:rPr>
          <w:rFonts w:cs="DanaFajr"/>
          <w:sz w:val="28"/>
          <w:szCs w:val="28"/>
          <w:rtl/>
        </w:rPr>
        <w:t xml:space="preserve">الحسين </w:t>
      </w:r>
      <w:r w:rsidRPr="006571AC">
        <w:rPr>
          <w:rFonts w:cs="DanaFajr" w:hint="cs"/>
          <w:sz w:val="28"/>
          <w:szCs w:val="28"/>
          <w:rtl/>
        </w:rPr>
        <w:t>ب</w:t>
      </w:r>
      <w:r w:rsidRPr="006571AC">
        <w:rPr>
          <w:rFonts w:cs="DanaFajr"/>
          <w:sz w:val="28"/>
          <w:szCs w:val="28"/>
          <w:rtl/>
        </w:rPr>
        <w:t>ن الحسن بن أبان</w:t>
      </w:r>
      <w:r w:rsidRPr="006571AC">
        <w:rPr>
          <w:rFonts w:cs="DanaFajr" w:hint="cs"/>
          <w:sz w:val="28"/>
          <w:szCs w:val="28"/>
          <w:rtl/>
        </w:rPr>
        <w:t xml:space="preserve">، </w:t>
      </w:r>
      <w:r w:rsidRPr="006571AC">
        <w:rPr>
          <w:rFonts w:cs="DanaFajr"/>
          <w:sz w:val="28"/>
          <w:szCs w:val="28"/>
          <w:rtl/>
        </w:rPr>
        <w:t>عن الحسين بن سعيد</w:t>
      </w:r>
      <w:r w:rsidRPr="006571AC">
        <w:rPr>
          <w:rFonts w:cs="DanaFajr" w:hint="cs"/>
          <w:sz w:val="28"/>
          <w:szCs w:val="28"/>
          <w:rtl/>
        </w:rPr>
        <w:t xml:space="preserve">. </w:t>
      </w:r>
    </w:p>
    <w:p w:rsidR="00DB2356" w:rsidRPr="006571AC" w:rsidRDefault="00DB2356" w:rsidP="00D65D95">
      <w:pPr>
        <w:pStyle w:val="aa"/>
        <w:spacing w:line="306" w:lineRule="exact"/>
        <w:ind w:firstLine="0"/>
        <w:rPr>
          <w:rFonts w:cs="DanaFajr"/>
          <w:sz w:val="28"/>
          <w:szCs w:val="28"/>
        </w:rPr>
      </w:pPr>
      <w:r w:rsidRPr="006571AC">
        <w:rPr>
          <w:rFonts w:cs="DanaFajr" w:hint="cs"/>
          <w:sz w:val="28"/>
          <w:szCs w:val="28"/>
          <w:rtl/>
        </w:rPr>
        <w:t xml:space="preserve">وهذا هو المحذوف من مبتدأ السند الأوّل. </w:t>
      </w:r>
    </w:p>
  </w:endnote>
  <w:endnote w:id="805">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راجِعْ: الخرسان، شرح مشيخة تهذيب الأحكام: 5 ـ 8 (في آخر المجلّد العاشر من كتاب </w:t>
      </w:r>
      <w:r w:rsidRPr="006571AC">
        <w:rPr>
          <w:rFonts w:hint="cs"/>
          <w:sz w:val="22"/>
          <w:szCs w:val="22"/>
          <w:rtl/>
        </w:rPr>
        <w:t>«</w:t>
      </w:r>
      <w:r w:rsidRPr="006571AC">
        <w:rPr>
          <w:rFonts w:cs="DanaFajr" w:hint="cs"/>
          <w:sz w:val="28"/>
          <w:szCs w:val="28"/>
          <w:rtl/>
        </w:rPr>
        <w:t>التهذيب</w:t>
      </w:r>
      <w:r w:rsidRPr="006571AC">
        <w:rPr>
          <w:rFonts w:hint="cs"/>
          <w:sz w:val="22"/>
          <w:szCs w:val="22"/>
          <w:rtl/>
        </w:rPr>
        <w:t>»</w:t>
      </w:r>
      <w:r w:rsidRPr="006571AC">
        <w:rPr>
          <w:rFonts w:cs="DanaFajr" w:hint="cs"/>
          <w:sz w:val="28"/>
          <w:szCs w:val="28"/>
          <w:rtl/>
        </w:rPr>
        <w:t xml:space="preserve">)؛ الطوسيّ، الاستبصار في ما اختلف من الأخبار 4: 305 إلى 307، المشيخة، وفيهما: </w:t>
      </w:r>
      <w:r w:rsidRPr="006571AC">
        <w:rPr>
          <w:rFonts w:hint="cs"/>
          <w:sz w:val="22"/>
          <w:szCs w:val="22"/>
          <w:rtl/>
        </w:rPr>
        <w:t>«</w:t>
      </w:r>
      <w:r w:rsidRPr="006571AC">
        <w:rPr>
          <w:rFonts w:cs="DanaFajr"/>
          <w:b/>
          <w:bCs/>
          <w:sz w:val="28"/>
          <w:szCs w:val="28"/>
          <w:rtl/>
        </w:rPr>
        <w:t>فما ذك</w:t>
      </w:r>
      <w:r w:rsidRPr="006571AC">
        <w:rPr>
          <w:rFonts w:cs="DanaFajr" w:hint="cs"/>
          <w:b/>
          <w:bCs/>
          <w:sz w:val="28"/>
          <w:szCs w:val="28"/>
          <w:rtl/>
        </w:rPr>
        <w:t>َ</w:t>
      </w:r>
      <w:r w:rsidRPr="006571AC">
        <w:rPr>
          <w:rFonts w:cs="DanaFajr"/>
          <w:b/>
          <w:bCs/>
          <w:sz w:val="28"/>
          <w:szCs w:val="28"/>
          <w:rtl/>
        </w:rPr>
        <w:t>ر</w:t>
      </w:r>
      <w:r w:rsidRPr="006571AC">
        <w:rPr>
          <w:rFonts w:cs="DanaFajr" w:hint="cs"/>
          <w:b/>
          <w:bCs/>
          <w:sz w:val="28"/>
          <w:szCs w:val="28"/>
          <w:rtl/>
        </w:rPr>
        <w:t>ْ</w:t>
      </w:r>
      <w:r w:rsidRPr="006571AC">
        <w:rPr>
          <w:rFonts w:cs="DanaFajr"/>
          <w:b/>
          <w:bCs/>
          <w:sz w:val="28"/>
          <w:szCs w:val="28"/>
          <w:rtl/>
        </w:rPr>
        <w:t>ت</w:t>
      </w:r>
      <w:r w:rsidRPr="006571AC">
        <w:rPr>
          <w:rFonts w:cs="DanaFajr" w:hint="cs"/>
          <w:b/>
          <w:bCs/>
          <w:sz w:val="28"/>
          <w:szCs w:val="28"/>
          <w:rtl/>
        </w:rPr>
        <w:t>ُ</w:t>
      </w:r>
      <w:r w:rsidRPr="006571AC">
        <w:rPr>
          <w:rFonts w:cs="DanaFajr"/>
          <w:b/>
          <w:bCs/>
          <w:sz w:val="28"/>
          <w:szCs w:val="28"/>
          <w:rtl/>
        </w:rPr>
        <w:t>ه</w:t>
      </w:r>
      <w:r w:rsidRPr="006571AC">
        <w:rPr>
          <w:rFonts w:cs="DanaFajr" w:hint="cs"/>
          <w:b/>
          <w:bCs/>
          <w:sz w:val="28"/>
          <w:szCs w:val="28"/>
          <w:rtl/>
        </w:rPr>
        <w:t xml:space="preserve"> </w:t>
      </w:r>
      <w:r w:rsidRPr="006571AC">
        <w:rPr>
          <w:rFonts w:cs="DanaFajr"/>
          <w:b/>
          <w:bCs/>
          <w:sz w:val="28"/>
          <w:szCs w:val="28"/>
          <w:rtl/>
        </w:rPr>
        <w:t>عن محم</w:t>
      </w:r>
      <w:r w:rsidRPr="006571AC">
        <w:rPr>
          <w:rFonts w:cs="DanaFajr" w:hint="cs"/>
          <w:b/>
          <w:bCs/>
          <w:sz w:val="28"/>
          <w:szCs w:val="28"/>
          <w:rtl/>
        </w:rPr>
        <w:t>ّ</w:t>
      </w:r>
      <w:r w:rsidRPr="006571AC">
        <w:rPr>
          <w:rFonts w:cs="DanaFajr"/>
          <w:b/>
          <w:bCs/>
          <w:sz w:val="28"/>
          <w:szCs w:val="28"/>
          <w:rtl/>
        </w:rPr>
        <w:t>د بن يعقوب الكليني</w:t>
      </w:r>
      <w:r w:rsidRPr="006571AC">
        <w:rPr>
          <w:rFonts w:cs="DanaFajr" w:hint="cs"/>
          <w:b/>
          <w:bCs/>
          <w:sz w:val="28"/>
          <w:szCs w:val="28"/>
          <w:rtl/>
        </w:rPr>
        <w:t>ّ</w:t>
      </w:r>
      <w:r w:rsidRPr="006571AC">
        <w:rPr>
          <w:rFonts w:cs="DanaFajr"/>
          <w:b/>
          <w:bCs/>
          <w:sz w:val="28"/>
          <w:szCs w:val="28"/>
          <w:rtl/>
        </w:rPr>
        <w:t xml:space="preserve"> فقد </w:t>
      </w:r>
      <w:r w:rsidRPr="006571AC">
        <w:rPr>
          <w:rFonts w:cs="DanaFajr" w:hint="cs"/>
          <w:b/>
          <w:bCs/>
          <w:sz w:val="28"/>
          <w:szCs w:val="28"/>
          <w:rtl/>
        </w:rPr>
        <w:t>أ</w:t>
      </w:r>
      <w:r w:rsidRPr="006571AC">
        <w:rPr>
          <w:rFonts w:cs="DanaFajr"/>
          <w:b/>
          <w:bCs/>
          <w:sz w:val="28"/>
          <w:szCs w:val="28"/>
          <w:rtl/>
        </w:rPr>
        <w:t>خبرنا به الشيخ المفيد أبو عبد الله محم</w:t>
      </w:r>
      <w:r w:rsidRPr="006571AC">
        <w:rPr>
          <w:rFonts w:cs="DanaFajr" w:hint="cs"/>
          <w:b/>
          <w:bCs/>
          <w:sz w:val="28"/>
          <w:szCs w:val="28"/>
          <w:rtl/>
        </w:rPr>
        <w:t>ّ</w:t>
      </w:r>
      <w:r w:rsidRPr="006571AC">
        <w:rPr>
          <w:rFonts w:cs="DanaFajr"/>
          <w:b/>
          <w:bCs/>
          <w:sz w:val="28"/>
          <w:szCs w:val="28"/>
          <w:rtl/>
        </w:rPr>
        <w:t>د بن محم</w:t>
      </w:r>
      <w:r w:rsidRPr="006571AC">
        <w:rPr>
          <w:rFonts w:cs="DanaFajr" w:hint="cs"/>
          <w:b/>
          <w:bCs/>
          <w:sz w:val="28"/>
          <w:szCs w:val="28"/>
          <w:rtl/>
        </w:rPr>
        <w:t>ّ</w:t>
      </w:r>
      <w:r w:rsidRPr="006571AC">
        <w:rPr>
          <w:rFonts w:cs="DanaFajr"/>
          <w:b/>
          <w:bCs/>
          <w:sz w:val="28"/>
          <w:szCs w:val="28"/>
          <w:rtl/>
        </w:rPr>
        <w:t>د بن النعمان الحارثي</w:t>
      </w:r>
      <w:r w:rsidRPr="006571AC">
        <w:rPr>
          <w:rFonts w:cs="DanaFajr" w:hint="cs"/>
          <w:b/>
          <w:bCs/>
          <w:sz w:val="28"/>
          <w:szCs w:val="28"/>
          <w:rtl/>
        </w:rPr>
        <w:t>ّ</w:t>
      </w:r>
      <w:r w:rsidRPr="006571AC">
        <w:rPr>
          <w:rFonts w:cs="DanaFajr"/>
          <w:b/>
          <w:bCs/>
          <w:sz w:val="28"/>
          <w:szCs w:val="28"/>
          <w:rtl/>
        </w:rPr>
        <w:t xml:space="preserve"> البغدادي</w:t>
      </w:r>
      <w:r w:rsidRPr="006571AC">
        <w:rPr>
          <w:rFonts w:cs="DanaFajr" w:hint="cs"/>
          <w:b/>
          <w:bCs/>
          <w:sz w:val="28"/>
          <w:szCs w:val="28"/>
          <w:rtl/>
        </w:rPr>
        <w:t xml:space="preserve">ّ، </w:t>
      </w:r>
      <w:r w:rsidRPr="006571AC">
        <w:rPr>
          <w:rFonts w:cs="DanaFajr"/>
          <w:b/>
          <w:bCs/>
          <w:sz w:val="28"/>
          <w:szCs w:val="28"/>
          <w:rtl/>
        </w:rPr>
        <w:t>عن أبي القاسم جعفر بن محم</w:t>
      </w:r>
      <w:r w:rsidRPr="006571AC">
        <w:rPr>
          <w:rFonts w:cs="DanaFajr" w:hint="cs"/>
          <w:b/>
          <w:bCs/>
          <w:sz w:val="28"/>
          <w:szCs w:val="28"/>
          <w:rtl/>
        </w:rPr>
        <w:t>ّ</w:t>
      </w:r>
      <w:r w:rsidRPr="006571AC">
        <w:rPr>
          <w:rFonts w:cs="DanaFajr"/>
          <w:b/>
          <w:bCs/>
          <w:sz w:val="28"/>
          <w:szCs w:val="28"/>
          <w:rtl/>
        </w:rPr>
        <w:t>د بن قولويه</w:t>
      </w:r>
      <w:r w:rsidRPr="006571AC">
        <w:rPr>
          <w:rFonts w:cs="DanaFajr" w:hint="cs"/>
          <w:b/>
          <w:bCs/>
          <w:sz w:val="28"/>
          <w:szCs w:val="28"/>
          <w:rtl/>
        </w:rPr>
        <w:t xml:space="preserve">، عن </w:t>
      </w:r>
      <w:r w:rsidRPr="006571AC">
        <w:rPr>
          <w:rFonts w:cs="DanaFajr"/>
          <w:b/>
          <w:bCs/>
          <w:sz w:val="28"/>
          <w:szCs w:val="28"/>
          <w:rtl/>
        </w:rPr>
        <w:t>محم</w:t>
      </w:r>
      <w:r w:rsidRPr="006571AC">
        <w:rPr>
          <w:rFonts w:cs="DanaFajr" w:hint="cs"/>
          <w:b/>
          <w:bCs/>
          <w:sz w:val="28"/>
          <w:szCs w:val="28"/>
          <w:rtl/>
        </w:rPr>
        <w:t>ّ</w:t>
      </w:r>
      <w:r w:rsidRPr="006571AC">
        <w:rPr>
          <w:rFonts w:cs="DanaFajr"/>
          <w:b/>
          <w:bCs/>
          <w:sz w:val="28"/>
          <w:szCs w:val="28"/>
          <w:rtl/>
        </w:rPr>
        <w:t>د بن يعقوب</w:t>
      </w:r>
      <w:r w:rsidRPr="006571AC">
        <w:rPr>
          <w:rFonts w:hint="cs"/>
          <w:sz w:val="22"/>
          <w:szCs w:val="22"/>
          <w:rtl/>
        </w:rPr>
        <w:t>»</w:t>
      </w:r>
      <w:r w:rsidRPr="006571AC">
        <w:rPr>
          <w:rFonts w:cs="DanaFajr" w:hint="cs"/>
          <w:sz w:val="28"/>
          <w:szCs w:val="28"/>
          <w:rtl/>
        </w:rPr>
        <w:t xml:space="preserve">.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إذن فأحد الطرق: المفيد، عن جعفر بن محمّد بن قولويه، عن محمّد بن يعقوب. </w:t>
      </w:r>
    </w:p>
    <w:p w:rsidR="00DB2356" w:rsidRPr="006571AC" w:rsidRDefault="00DB2356" w:rsidP="00D65D95">
      <w:pPr>
        <w:pStyle w:val="aa"/>
        <w:spacing w:line="306" w:lineRule="exact"/>
        <w:ind w:firstLine="0"/>
        <w:rPr>
          <w:rFonts w:cs="DanaFajr"/>
          <w:sz w:val="28"/>
          <w:szCs w:val="28"/>
        </w:rPr>
      </w:pPr>
      <w:r w:rsidRPr="006571AC">
        <w:rPr>
          <w:rFonts w:cs="DanaFajr" w:hint="cs"/>
          <w:sz w:val="28"/>
          <w:szCs w:val="28"/>
          <w:rtl/>
        </w:rPr>
        <w:t xml:space="preserve">وهذا هو المحذوف من مبتدأ السند الثاني. </w:t>
      </w:r>
    </w:p>
  </w:endnote>
  <w:endnote w:id="806">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392. </w:t>
      </w:r>
    </w:p>
  </w:endnote>
  <w:endnote w:id="807">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1: 56، كتاب الطهارة، باب صفة الوضوء والفرض منه والسنّة والفضيلة فيه، ح7. </w:t>
      </w:r>
    </w:p>
  </w:endnote>
  <w:endnote w:id="808">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الخرسان: شرح مشيخة تهذيب الأحكام: 73 ـ 74 (في آخر المجلّد العاشر من كتاب </w:t>
      </w:r>
      <w:r w:rsidRPr="006571AC">
        <w:rPr>
          <w:rFonts w:hint="cs"/>
          <w:sz w:val="22"/>
          <w:szCs w:val="22"/>
          <w:rtl/>
        </w:rPr>
        <w:t>«</w:t>
      </w:r>
      <w:r w:rsidRPr="006571AC">
        <w:rPr>
          <w:rFonts w:cs="DanaFajr" w:hint="cs"/>
          <w:sz w:val="28"/>
          <w:szCs w:val="28"/>
          <w:rtl/>
        </w:rPr>
        <w:t>التهذيب</w:t>
      </w:r>
      <w:r w:rsidRPr="006571AC">
        <w:rPr>
          <w:rFonts w:hint="cs"/>
          <w:sz w:val="22"/>
          <w:szCs w:val="22"/>
          <w:rtl/>
        </w:rPr>
        <w:t>»</w:t>
      </w:r>
      <w:r w:rsidRPr="006571AC">
        <w:rPr>
          <w:rFonts w:cs="DanaFajr" w:hint="cs"/>
          <w:sz w:val="28"/>
          <w:szCs w:val="28"/>
          <w:rtl/>
        </w:rPr>
        <w:t xml:space="preserve">)؛ الطوسيّ، الاستبصار في ما اختلف من الأخبار 4: 325 ـ 326، المشيخة. </w:t>
      </w:r>
    </w:p>
  </w:endnote>
  <w:endnote w:id="809">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وسائل الشيعة، مقدّمة الشيخ الحُرّ</w:t>
      </w:r>
      <w:r w:rsidRPr="006571AC">
        <w:rPr>
          <w:rFonts w:ascii="Mosawi" w:hAnsi="Mosawi" w:cs="Mosawi"/>
          <w:rtl/>
        </w:rPr>
        <w:t>&amp;</w:t>
      </w:r>
      <w:r w:rsidRPr="006571AC">
        <w:rPr>
          <w:rFonts w:cs="DanaFajr" w:hint="cs"/>
          <w:sz w:val="28"/>
          <w:szCs w:val="28"/>
          <w:rtl/>
        </w:rPr>
        <w:t xml:space="preserve"> 1: 7. </w:t>
      </w:r>
    </w:p>
  </w:endnote>
  <w:endnote w:id="810">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143. </w:t>
      </w:r>
    </w:p>
  </w:endnote>
  <w:endnote w:id="811">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 48؛ 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188، الباب 118 من أبواب أحكام العشرة، ح1. </w:t>
      </w:r>
    </w:p>
  </w:endnote>
  <w:endnote w:id="812">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30: 149 ـ 150. </w:t>
      </w:r>
    </w:p>
  </w:endnote>
  <w:endnote w:id="813">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27: 37. </w:t>
      </w:r>
    </w:p>
  </w:endnote>
  <w:endnote w:id="814">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 50. وغيرُ ذلك من الأمثلة كثيرٌ جدّاً، فراجِعْ. </w:t>
      </w:r>
    </w:p>
  </w:endnote>
  <w:endnote w:id="815">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29: 284. </w:t>
      </w:r>
    </w:p>
  </w:endnote>
  <w:endnote w:id="816">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29: 290. </w:t>
      </w:r>
    </w:p>
  </w:endnote>
  <w:endnote w:id="817">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24: 213. </w:t>
      </w:r>
    </w:p>
  </w:endnote>
  <w:endnote w:id="818">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29: 293. وغيرُ ذلك من الأمثلة كثيرٌ جدّاً، فراجِعْ. </w:t>
      </w:r>
    </w:p>
  </w:endnote>
  <w:endnote w:id="819">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132. </w:t>
      </w:r>
    </w:p>
  </w:endnote>
  <w:endnote w:id="820">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5: 202. </w:t>
      </w:r>
    </w:p>
  </w:endnote>
  <w:endnote w:id="821">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14: 398. </w:t>
      </w:r>
    </w:p>
  </w:endnote>
  <w:endnote w:id="822">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14: 396. </w:t>
      </w:r>
    </w:p>
  </w:endnote>
  <w:endnote w:id="823">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27: 222. </w:t>
      </w:r>
    </w:p>
  </w:endnote>
  <w:endnote w:id="824">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15: 111. </w:t>
      </w:r>
    </w:p>
  </w:endnote>
  <w:endnote w:id="825">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9: 525. </w:t>
      </w:r>
    </w:p>
  </w:endnote>
  <w:endnote w:id="826">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9: 513 ـ 514. </w:t>
      </w:r>
    </w:p>
  </w:endnote>
  <w:endnote w:id="827">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والأمثلةُ على ذلك كثيرةٌ جدّاً، فراجِعْ. </w:t>
      </w:r>
    </w:p>
  </w:endnote>
  <w:endnote w:id="828">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27: 82. </w:t>
      </w:r>
    </w:p>
  </w:endnote>
  <w:endnote w:id="829">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14: 375. </w:t>
      </w:r>
    </w:p>
  </w:endnote>
  <w:endnote w:id="830">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266. </w:t>
      </w:r>
    </w:p>
  </w:endnote>
  <w:endnote w:id="831">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والأمثلةُ على ذلك كثيرةٌ جدّاً، فراجِعْ. </w:t>
      </w:r>
    </w:p>
  </w:endnote>
  <w:endnote w:id="832">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25: 169. </w:t>
      </w:r>
    </w:p>
  </w:endnote>
  <w:endnote w:id="833">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الصدوق، عيون أخبار الرضا</w:t>
      </w:r>
      <w:r w:rsidRPr="006571AC">
        <w:rPr>
          <w:rFonts w:ascii="Mosawi" w:hAnsi="Mosawi" w:cs="Mosawi"/>
          <w:rtl/>
        </w:rPr>
        <w:t>×</w:t>
      </w:r>
      <w:r w:rsidRPr="006571AC">
        <w:rPr>
          <w:rFonts w:cs="DanaFajr"/>
          <w:sz w:val="28"/>
          <w:szCs w:val="28"/>
          <w:rtl/>
        </w:rPr>
        <w:t xml:space="preserve"> </w:t>
      </w:r>
      <w:r w:rsidRPr="006571AC">
        <w:rPr>
          <w:rFonts w:cs="DanaFajr" w:hint="cs"/>
          <w:sz w:val="28"/>
          <w:szCs w:val="28"/>
          <w:rtl/>
        </w:rPr>
        <w:t xml:space="preserve">1: 78، ح339. </w:t>
      </w:r>
    </w:p>
  </w:endnote>
  <w:endnote w:id="834">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الصدوق، عيون أخبار الرضا</w:t>
      </w:r>
      <w:r w:rsidRPr="006571AC">
        <w:rPr>
          <w:rFonts w:ascii="Mosawi" w:hAnsi="Mosawi" w:cs="Mosawi"/>
          <w:rtl/>
        </w:rPr>
        <w:t>×</w:t>
      </w:r>
      <w:r w:rsidRPr="006571AC">
        <w:rPr>
          <w:rFonts w:cs="DanaFajr"/>
          <w:sz w:val="28"/>
          <w:szCs w:val="28"/>
          <w:rtl/>
        </w:rPr>
        <w:t xml:space="preserve"> </w:t>
      </w:r>
      <w:r w:rsidRPr="006571AC">
        <w:rPr>
          <w:rFonts w:cs="DanaFajr" w:hint="cs"/>
          <w:sz w:val="28"/>
          <w:szCs w:val="28"/>
          <w:rtl/>
        </w:rPr>
        <w:t xml:space="preserve">1: 78، ح338. </w:t>
      </w:r>
    </w:p>
  </w:endnote>
  <w:endnote w:id="835">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25: 169. </w:t>
      </w:r>
    </w:p>
  </w:endnote>
  <w:endnote w:id="836">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21: 193. </w:t>
      </w:r>
    </w:p>
  </w:endnote>
  <w:endnote w:id="837">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26: 274.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17: 87، الباب 3 من أبواب ما يكتسب به، ح2، و</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21: 198، الباب 81 من أبواب نكاح العبيد والإماء، ح1. </w:t>
      </w:r>
    </w:p>
  </w:endnote>
  <w:endnote w:id="838">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22. </w:t>
      </w:r>
    </w:p>
  </w:endnote>
  <w:endnote w:id="839">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11: 516. </w:t>
      </w:r>
    </w:p>
  </w:endnote>
  <w:endnote w:id="840">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11: 516. </w:t>
      </w:r>
    </w:p>
  </w:endnote>
  <w:endnote w:id="841">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11: 515. </w:t>
      </w:r>
    </w:p>
  </w:endnote>
  <w:endnote w:id="842">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6: 546، كتاب الدواجن، باب الحَمَام، ح4. </w:t>
      </w:r>
    </w:p>
  </w:endnote>
  <w:endnote w:id="843">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15: 268. </w:t>
      </w:r>
    </w:p>
  </w:endnote>
  <w:endnote w:id="844">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الصدوق، </w:t>
      </w:r>
      <w:r w:rsidRPr="006571AC">
        <w:rPr>
          <w:rFonts w:cs="DanaFajr" w:hint="cs"/>
          <w:sz w:val="28"/>
          <w:szCs w:val="28"/>
          <w:rtl/>
        </w:rPr>
        <w:t xml:space="preserve">الخصال: 5، باب ما جُمع شيءٌ إلى شيء أفضل من خصلة إلى خصلة، ح11. </w:t>
      </w:r>
    </w:p>
  </w:endnote>
  <w:endnote w:id="845">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119 ـ 120. </w:t>
      </w:r>
    </w:p>
  </w:endnote>
  <w:endnote w:id="846">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83. </w:t>
      </w:r>
    </w:p>
  </w:endnote>
  <w:endnote w:id="847">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650، كتاب العشرة، باب التسليم على أهل الملل، ح8.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102، الباب 69 من أبواب أحكام العشرة، ح3، و</w:t>
      </w:r>
      <w:r w:rsidRPr="006571AC">
        <w:rPr>
          <w:rFonts w:cs="DanaFajr"/>
          <w:sz w:val="28"/>
          <w:szCs w:val="28"/>
          <w:rtl/>
        </w:rPr>
        <w:t>الصدوق</w:t>
      </w:r>
      <w:r w:rsidRPr="006571AC">
        <w:rPr>
          <w:rFonts w:cs="DanaFajr" w:hint="cs"/>
          <w:sz w:val="28"/>
          <w:szCs w:val="28"/>
          <w:rtl/>
        </w:rPr>
        <w:t xml:space="preserve">، </w:t>
      </w:r>
      <w:r w:rsidRPr="006571AC">
        <w:rPr>
          <w:rFonts w:cs="DanaFajr"/>
          <w:sz w:val="28"/>
          <w:szCs w:val="28"/>
          <w:rtl/>
        </w:rPr>
        <w:t>معاني ال</w:t>
      </w:r>
      <w:r w:rsidRPr="006571AC">
        <w:rPr>
          <w:rFonts w:cs="DanaFajr" w:hint="cs"/>
          <w:sz w:val="28"/>
          <w:szCs w:val="28"/>
          <w:rtl/>
        </w:rPr>
        <w:t>أ</w:t>
      </w:r>
      <w:r w:rsidRPr="006571AC">
        <w:rPr>
          <w:rFonts w:cs="DanaFajr"/>
          <w:sz w:val="28"/>
          <w:szCs w:val="28"/>
          <w:rtl/>
        </w:rPr>
        <w:t>خبار</w:t>
      </w:r>
      <w:r w:rsidRPr="006571AC">
        <w:rPr>
          <w:rFonts w:cs="DanaFajr" w:hint="cs"/>
          <w:sz w:val="28"/>
          <w:szCs w:val="28"/>
          <w:rtl/>
        </w:rPr>
        <w:t>: 268، باب معنى قول أمير المؤمنين</w:t>
      </w:r>
      <w:r w:rsidRPr="006571AC">
        <w:rPr>
          <w:rFonts w:ascii="Mosawi" w:hAnsi="Mosawi" w:cs="Mosawi"/>
          <w:rtl/>
        </w:rPr>
        <w:t>×</w:t>
      </w:r>
      <w:r w:rsidRPr="006571AC">
        <w:rPr>
          <w:rFonts w:cs="DanaFajr" w:hint="cs"/>
          <w:sz w:val="28"/>
          <w:szCs w:val="28"/>
          <w:rtl/>
        </w:rPr>
        <w:t xml:space="preserve">: </w:t>
      </w:r>
      <w:r w:rsidRPr="006571AC">
        <w:rPr>
          <w:rFonts w:hint="cs"/>
          <w:sz w:val="22"/>
          <w:szCs w:val="22"/>
          <w:rtl/>
        </w:rPr>
        <w:t>«</w:t>
      </w:r>
      <w:r w:rsidRPr="006571AC">
        <w:rPr>
          <w:rFonts w:cs="DanaFajr" w:hint="cs"/>
          <w:sz w:val="28"/>
          <w:szCs w:val="28"/>
          <w:rtl/>
        </w:rPr>
        <w:t>لا يأبى الكرامة إلاّ حمارٌ</w:t>
      </w:r>
      <w:r w:rsidRPr="006571AC">
        <w:rPr>
          <w:rFonts w:hint="cs"/>
          <w:sz w:val="22"/>
          <w:szCs w:val="22"/>
          <w:rtl/>
        </w:rPr>
        <w:t>»</w:t>
      </w:r>
      <w:r w:rsidRPr="006571AC">
        <w:rPr>
          <w:rFonts w:cs="DanaFajr" w:hint="cs"/>
          <w:sz w:val="28"/>
          <w:szCs w:val="28"/>
          <w:rtl/>
        </w:rPr>
        <w:t xml:space="preserve">، ح2. </w:t>
      </w:r>
    </w:p>
  </w:endnote>
  <w:endnote w:id="848">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102. </w:t>
      </w:r>
    </w:p>
  </w:endnote>
  <w:endnote w:id="849">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الصدوق</w:t>
      </w:r>
      <w:r w:rsidRPr="006571AC">
        <w:rPr>
          <w:rFonts w:cs="DanaFajr" w:hint="cs"/>
          <w:sz w:val="28"/>
          <w:szCs w:val="28"/>
          <w:rtl/>
        </w:rPr>
        <w:t xml:space="preserve">، </w:t>
      </w:r>
      <w:r w:rsidRPr="006571AC">
        <w:rPr>
          <w:rFonts w:cs="DanaFajr"/>
          <w:sz w:val="28"/>
          <w:szCs w:val="28"/>
          <w:rtl/>
        </w:rPr>
        <w:t>معاني ال</w:t>
      </w:r>
      <w:r w:rsidRPr="006571AC">
        <w:rPr>
          <w:rFonts w:cs="DanaFajr" w:hint="cs"/>
          <w:sz w:val="28"/>
          <w:szCs w:val="28"/>
          <w:rtl/>
        </w:rPr>
        <w:t>أ</w:t>
      </w:r>
      <w:r w:rsidRPr="006571AC">
        <w:rPr>
          <w:rFonts w:cs="DanaFajr"/>
          <w:sz w:val="28"/>
          <w:szCs w:val="28"/>
          <w:rtl/>
        </w:rPr>
        <w:t>خبار</w:t>
      </w:r>
      <w:r w:rsidRPr="006571AC">
        <w:rPr>
          <w:rFonts w:cs="DanaFajr" w:hint="cs"/>
          <w:sz w:val="28"/>
          <w:szCs w:val="28"/>
          <w:rtl/>
        </w:rPr>
        <w:t>: 268، باب معنى قول أمير المؤمنين</w:t>
      </w:r>
      <w:r w:rsidRPr="006571AC">
        <w:rPr>
          <w:rFonts w:ascii="Mosawi" w:hAnsi="Mosawi" w:cs="Mosawi"/>
          <w:rtl/>
        </w:rPr>
        <w:t>×</w:t>
      </w:r>
      <w:r w:rsidRPr="006571AC">
        <w:rPr>
          <w:rFonts w:cs="DanaFajr" w:hint="cs"/>
          <w:sz w:val="28"/>
          <w:szCs w:val="28"/>
          <w:rtl/>
        </w:rPr>
        <w:t xml:space="preserve">: </w:t>
      </w:r>
      <w:r w:rsidRPr="006571AC">
        <w:rPr>
          <w:rFonts w:hint="cs"/>
          <w:sz w:val="22"/>
          <w:szCs w:val="22"/>
          <w:rtl/>
        </w:rPr>
        <w:t>«</w:t>
      </w:r>
      <w:r w:rsidRPr="006571AC">
        <w:rPr>
          <w:rFonts w:cs="DanaFajr" w:hint="cs"/>
          <w:sz w:val="28"/>
          <w:szCs w:val="28"/>
          <w:rtl/>
        </w:rPr>
        <w:t>لا يأبى الكرامة إلاّ حمارٌ</w:t>
      </w:r>
      <w:r w:rsidRPr="006571AC">
        <w:rPr>
          <w:rFonts w:hint="cs"/>
          <w:sz w:val="22"/>
          <w:szCs w:val="22"/>
          <w:rtl/>
        </w:rPr>
        <w:t>»</w:t>
      </w:r>
      <w:r w:rsidRPr="006571AC">
        <w:rPr>
          <w:rFonts w:cs="DanaFajr" w:hint="cs"/>
          <w:sz w:val="28"/>
          <w:szCs w:val="28"/>
          <w:rtl/>
        </w:rPr>
        <w:t xml:space="preserve">، ح2. </w:t>
      </w:r>
    </w:p>
  </w:endnote>
  <w:endnote w:id="850">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الصدوق</w:t>
      </w:r>
      <w:r w:rsidRPr="006571AC">
        <w:rPr>
          <w:rFonts w:cs="DanaFajr" w:hint="cs"/>
          <w:sz w:val="28"/>
          <w:szCs w:val="28"/>
          <w:rtl/>
        </w:rPr>
        <w:t xml:space="preserve">، </w:t>
      </w:r>
      <w:r w:rsidRPr="006571AC">
        <w:rPr>
          <w:rFonts w:cs="DanaFajr"/>
          <w:sz w:val="28"/>
          <w:szCs w:val="28"/>
          <w:rtl/>
        </w:rPr>
        <w:t>عيون أخبار الرضا</w:t>
      </w:r>
      <w:r w:rsidRPr="006571AC">
        <w:rPr>
          <w:rFonts w:ascii="Mosawi" w:hAnsi="Mosawi" w:cs="Mosawi"/>
          <w:rtl/>
        </w:rPr>
        <w:t>×</w:t>
      </w:r>
      <w:r w:rsidRPr="006571AC">
        <w:rPr>
          <w:rFonts w:cs="DanaFajr"/>
          <w:sz w:val="28"/>
          <w:szCs w:val="28"/>
          <w:rtl/>
        </w:rPr>
        <w:t xml:space="preserve"> </w:t>
      </w:r>
      <w:r w:rsidRPr="006571AC">
        <w:rPr>
          <w:rFonts w:cs="DanaFajr" w:hint="cs"/>
          <w:sz w:val="28"/>
          <w:szCs w:val="28"/>
          <w:rtl/>
        </w:rPr>
        <w:t>2: 278، باب في ما جاء عن الإمام عليّ بن موسى</w:t>
      </w:r>
      <w:r w:rsidRPr="006571AC">
        <w:rPr>
          <w:rFonts w:ascii="Mosawi" w:hAnsi="Mosawi" w:cs="Mosawi"/>
          <w:rtl/>
        </w:rPr>
        <w:t>’</w:t>
      </w:r>
      <w:r w:rsidRPr="006571AC">
        <w:rPr>
          <w:rFonts w:cs="DanaFajr" w:hint="cs"/>
          <w:sz w:val="28"/>
          <w:szCs w:val="28"/>
          <w:rtl/>
        </w:rPr>
        <w:t xml:space="preserve"> من الأخبار المتفرِّقة، ح78. </w:t>
      </w:r>
    </w:p>
  </w:endnote>
  <w:endnote w:id="851">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19: 147، الباب 29 من كتاب الإجارة، ح21، و</w:t>
      </w:r>
      <w:r w:rsidRPr="006571AC">
        <w:rPr>
          <w:rFonts w:cs="DanaFajr"/>
          <w:sz w:val="28"/>
          <w:szCs w:val="28"/>
          <w:rtl/>
        </w:rPr>
        <w:t>الصدوق</w:t>
      </w:r>
      <w:r w:rsidRPr="006571AC">
        <w:rPr>
          <w:rFonts w:cs="DanaFajr" w:hint="cs"/>
          <w:sz w:val="28"/>
          <w:szCs w:val="28"/>
          <w:rtl/>
        </w:rPr>
        <w:t xml:space="preserve">، كمال الدين وتمام النعمة: 454، ح21. </w:t>
      </w:r>
    </w:p>
    <w:p w:rsidR="00DB2356" w:rsidRPr="006571AC" w:rsidRDefault="00DB2356" w:rsidP="00D65D95">
      <w:pPr>
        <w:pStyle w:val="aa"/>
        <w:spacing w:line="306" w:lineRule="exact"/>
        <w:ind w:firstLine="0"/>
        <w:rPr>
          <w:rFonts w:cs="DanaFajr"/>
          <w:sz w:val="28"/>
          <w:szCs w:val="28"/>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6: 92، الباب 30 من أبواب القراءة في الصلاة، ح2، والطوسيّ، تهذيب الأحكام 2: 148، كتاب الصلاة، باب تفصيل ما تقدّم ذكره في الصلاة من المفروض والمسنون وما يجوز فيها وما لا يجوز، ح36. </w:t>
      </w:r>
    </w:p>
  </w:endnote>
  <w:endnote w:id="852">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15: 13. </w:t>
      </w:r>
    </w:p>
  </w:endnote>
  <w:endnote w:id="853">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5: 8، كتاب الجهاد، باب فضل الجهاد، ح8. </w:t>
      </w:r>
    </w:p>
  </w:endnote>
  <w:endnote w:id="854">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15: 13. </w:t>
      </w:r>
    </w:p>
  </w:endnote>
  <w:endnote w:id="855">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9: 548. </w:t>
      </w:r>
    </w:p>
  </w:endnote>
  <w:endnote w:id="856">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4: 144، كتاب الزكاة، باب الزيادات، ح25. </w:t>
      </w:r>
    </w:p>
  </w:endnote>
  <w:endnote w:id="857">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135. </w:t>
      </w:r>
    </w:p>
  </w:endnote>
  <w:endnote w:id="858">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670، كتاب العشرة، باب التكاتب، ح1 و2. </w:t>
      </w:r>
    </w:p>
  </w:endnote>
  <w:endnote w:id="859">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الملايريّ، جامع أحاديث الشيعة 1: 10 (من كلامٍ للسيّد البروجرديّ</w:t>
      </w:r>
      <w:r w:rsidRPr="006571AC">
        <w:rPr>
          <w:rFonts w:ascii="Mosawi" w:hAnsi="Mosawi" w:cs="Mosawi"/>
          <w:rtl/>
        </w:rPr>
        <w:t>&amp;</w:t>
      </w:r>
      <w:r w:rsidRPr="006571AC">
        <w:rPr>
          <w:rFonts w:cs="DanaFajr" w:hint="cs"/>
          <w:sz w:val="28"/>
          <w:szCs w:val="28"/>
          <w:rtl/>
        </w:rPr>
        <w:t xml:space="preserve">). </w:t>
      </w:r>
    </w:p>
  </w:endnote>
  <w:endnote w:id="860">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الإيروانيّ، دروس تمهيديّة في القواعد الرجاليّة: 307 (بتصرُّف). </w:t>
      </w:r>
    </w:p>
  </w:endnote>
  <w:endnote w:id="861">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الشواهد على ذلك كثيرةٌ جدّاً، ويمكن للباحث تتبُّعُها بالاستعانة بما أثبته المحقِّقون في هوامش </w:t>
      </w:r>
      <w:r w:rsidRPr="006571AC">
        <w:rPr>
          <w:rFonts w:hint="cs"/>
          <w:sz w:val="22"/>
          <w:szCs w:val="22"/>
          <w:rtl/>
        </w:rPr>
        <w:t>«</w:t>
      </w:r>
      <w:r w:rsidRPr="006571AC">
        <w:rPr>
          <w:rFonts w:cs="DanaFajr" w:hint="cs"/>
          <w:sz w:val="28"/>
          <w:szCs w:val="28"/>
          <w:rtl/>
        </w:rPr>
        <w:t>وسائل الشيعة</w:t>
      </w:r>
      <w:r w:rsidRPr="006571AC">
        <w:rPr>
          <w:rFonts w:hint="cs"/>
          <w:sz w:val="22"/>
          <w:szCs w:val="22"/>
          <w:rtl/>
        </w:rPr>
        <w:t>»</w:t>
      </w:r>
      <w:r w:rsidRPr="006571AC">
        <w:rPr>
          <w:rFonts w:cs="DanaFajr" w:hint="cs"/>
          <w:sz w:val="28"/>
          <w:szCs w:val="28"/>
          <w:rtl/>
        </w:rPr>
        <w:t>، طبعة مؤسَّسة آل البيت</w:t>
      </w:r>
      <w:r w:rsidRPr="006571AC">
        <w:rPr>
          <w:rFonts w:ascii="Mosawi" w:hAnsi="Mosawi" w:cs="Mosawi"/>
          <w:rtl/>
        </w:rPr>
        <w:t>^</w:t>
      </w:r>
      <w:r w:rsidRPr="006571AC">
        <w:rPr>
          <w:rFonts w:cs="DanaFajr" w:hint="cs"/>
          <w:sz w:val="28"/>
          <w:szCs w:val="28"/>
          <w:rtl/>
        </w:rPr>
        <w:t xml:space="preserve"> لإحياء التراث، ومن ذلك: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1ـ وسائل الشيعة 3: 303، الباب 1 من أبواب الأغسال المسنونة (باب حصر أنواع الأغسال المسنونة وأقسامها)، ح2، حيث قال: </w:t>
      </w:r>
      <w:r w:rsidRPr="006571AC">
        <w:rPr>
          <w:rFonts w:hint="cs"/>
          <w:sz w:val="22"/>
          <w:szCs w:val="22"/>
          <w:rtl/>
        </w:rPr>
        <w:t>«</w:t>
      </w:r>
      <w:r w:rsidRPr="006571AC">
        <w:rPr>
          <w:rFonts w:cs="DanaFajr"/>
          <w:sz w:val="28"/>
          <w:szCs w:val="28"/>
          <w:rtl/>
        </w:rPr>
        <w:t>2ـ</w:t>
      </w:r>
      <w:r w:rsidRPr="006571AC">
        <w:rPr>
          <w:rFonts w:cs="DanaFajr" w:hint="cs"/>
          <w:sz w:val="28"/>
          <w:szCs w:val="28"/>
          <w:rtl/>
        </w:rPr>
        <w:t xml:space="preserve"> </w:t>
      </w:r>
      <w:r w:rsidRPr="006571AC">
        <w:rPr>
          <w:rFonts w:cs="DanaFajr"/>
          <w:sz w:val="28"/>
          <w:szCs w:val="28"/>
          <w:rtl/>
        </w:rPr>
        <w:t>وبال</w:t>
      </w:r>
      <w:r w:rsidRPr="006571AC">
        <w:rPr>
          <w:rFonts w:cs="DanaFajr" w:hint="cs"/>
          <w:sz w:val="28"/>
          <w:szCs w:val="28"/>
          <w:rtl/>
        </w:rPr>
        <w:t>إ</w:t>
      </w:r>
      <w:r w:rsidRPr="006571AC">
        <w:rPr>
          <w:rFonts w:cs="DanaFajr"/>
          <w:sz w:val="28"/>
          <w:szCs w:val="28"/>
          <w:rtl/>
        </w:rPr>
        <w:t>سناد</w:t>
      </w:r>
      <w:r w:rsidRPr="006571AC">
        <w:rPr>
          <w:rFonts w:cs="DanaFajr" w:hint="cs"/>
          <w:sz w:val="28"/>
          <w:szCs w:val="28"/>
          <w:rtl/>
        </w:rPr>
        <w:t xml:space="preserve"> [إسناد الكلينيّ المتقدِّم في الحديث الأوّل] </w:t>
      </w:r>
      <w:r w:rsidRPr="006571AC">
        <w:rPr>
          <w:rFonts w:cs="DanaFajr"/>
          <w:sz w:val="28"/>
          <w:szCs w:val="28"/>
          <w:rtl/>
        </w:rPr>
        <w:t>عن صفوان، عن منصور بن حازم، عن سليمان بن خالد</w:t>
      </w:r>
      <w:r w:rsidRPr="006571AC">
        <w:rPr>
          <w:rFonts w:cs="DanaFajr" w:hint="cs"/>
          <w:sz w:val="28"/>
          <w:szCs w:val="28"/>
          <w:rtl/>
        </w:rPr>
        <w:t xml:space="preserve"> </w:t>
      </w:r>
      <w:r w:rsidRPr="006571AC">
        <w:rPr>
          <w:rFonts w:cs="DanaFajr"/>
          <w:sz w:val="28"/>
          <w:szCs w:val="28"/>
          <w:rtl/>
        </w:rPr>
        <w:t>قال: سألت</w:t>
      </w:r>
      <w:r w:rsidRPr="006571AC">
        <w:rPr>
          <w:rFonts w:cs="DanaFajr" w:hint="cs"/>
          <w:sz w:val="28"/>
          <w:szCs w:val="28"/>
          <w:rtl/>
        </w:rPr>
        <w:t>ُ</w:t>
      </w:r>
      <w:r w:rsidRPr="006571AC">
        <w:rPr>
          <w:rFonts w:cs="DanaFajr"/>
          <w:sz w:val="28"/>
          <w:szCs w:val="28"/>
          <w:rtl/>
        </w:rPr>
        <w:t xml:space="preserve"> أبا عبد الله</w:t>
      </w:r>
      <w:r w:rsidRPr="006571AC">
        <w:rPr>
          <w:rFonts w:ascii="Mosawi" w:hAnsi="Mosawi" w:cs="Mosawi"/>
          <w:rtl/>
        </w:rPr>
        <w:t>×</w:t>
      </w:r>
      <w:r w:rsidRPr="006571AC">
        <w:rPr>
          <w:rFonts w:cs="DanaFajr"/>
          <w:sz w:val="28"/>
          <w:szCs w:val="28"/>
          <w:rtl/>
        </w:rPr>
        <w:t>: كم أغتسل في شهر رمضان ليلة</w:t>
      </w:r>
      <w:r w:rsidRPr="006571AC">
        <w:rPr>
          <w:rFonts w:cs="DanaFajr" w:hint="cs"/>
          <w:sz w:val="28"/>
          <w:szCs w:val="28"/>
          <w:rtl/>
        </w:rPr>
        <w:t>ً</w:t>
      </w:r>
      <w:r w:rsidRPr="006571AC">
        <w:rPr>
          <w:rFonts w:cs="DanaFajr"/>
          <w:sz w:val="28"/>
          <w:szCs w:val="28"/>
          <w:rtl/>
        </w:rPr>
        <w:t>؟ قال: ليلة تسع عشرة، وليلة إحدى وعشرين، وثلاث وعشرين، قال: قلت</w:t>
      </w:r>
      <w:r w:rsidRPr="006571AC">
        <w:rPr>
          <w:rFonts w:cs="DanaFajr" w:hint="cs"/>
          <w:sz w:val="28"/>
          <w:szCs w:val="28"/>
          <w:rtl/>
        </w:rPr>
        <w:t>ُ</w:t>
      </w:r>
      <w:r w:rsidRPr="006571AC">
        <w:rPr>
          <w:rFonts w:cs="DanaFajr"/>
          <w:sz w:val="28"/>
          <w:szCs w:val="28"/>
          <w:rtl/>
        </w:rPr>
        <w:t>: فإن</w:t>
      </w:r>
      <w:r w:rsidRPr="006571AC">
        <w:rPr>
          <w:rFonts w:cs="DanaFajr" w:hint="cs"/>
          <w:sz w:val="28"/>
          <w:szCs w:val="28"/>
          <w:rtl/>
        </w:rPr>
        <w:t>ْ</w:t>
      </w:r>
      <w:r w:rsidRPr="006571AC">
        <w:rPr>
          <w:rFonts w:cs="DanaFajr"/>
          <w:sz w:val="28"/>
          <w:szCs w:val="28"/>
          <w:rtl/>
        </w:rPr>
        <w:t xml:space="preserve"> شق</w:t>
      </w:r>
      <w:r w:rsidRPr="006571AC">
        <w:rPr>
          <w:rFonts w:cs="DanaFajr" w:hint="cs"/>
          <w:sz w:val="28"/>
          <w:szCs w:val="28"/>
          <w:rtl/>
        </w:rPr>
        <w:t>َّ</w:t>
      </w:r>
      <w:r w:rsidRPr="006571AC">
        <w:rPr>
          <w:rFonts w:cs="DanaFajr"/>
          <w:sz w:val="28"/>
          <w:szCs w:val="28"/>
          <w:rtl/>
        </w:rPr>
        <w:t xml:space="preserve"> علي</w:t>
      </w:r>
      <w:r w:rsidRPr="006571AC">
        <w:rPr>
          <w:rFonts w:cs="DanaFajr" w:hint="cs"/>
          <w:sz w:val="28"/>
          <w:szCs w:val="28"/>
          <w:rtl/>
        </w:rPr>
        <w:t>ّ</w:t>
      </w:r>
      <w:r w:rsidRPr="006571AC">
        <w:rPr>
          <w:rFonts w:cs="DanaFajr"/>
          <w:sz w:val="28"/>
          <w:szCs w:val="28"/>
          <w:rtl/>
        </w:rPr>
        <w:t>؟ قال: في إحدى وعشرين، وثلاث وعشرين، قلت</w:t>
      </w:r>
      <w:r w:rsidRPr="006571AC">
        <w:rPr>
          <w:rFonts w:cs="DanaFajr" w:hint="cs"/>
          <w:sz w:val="28"/>
          <w:szCs w:val="28"/>
          <w:rtl/>
        </w:rPr>
        <w:t>ُ</w:t>
      </w:r>
      <w:r w:rsidRPr="006571AC">
        <w:rPr>
          <w:rFonts w:cs="DanaFajr"/>
          <w:sz w:val="28"/>
          <w:szCs w:val="28"/>
          <w:rtl/>
        </w:rPr>
        <w:t>: فإن</w:t>
      </w:r>
      <w:r w:rsidRPr="006571AC">
        <w:rPr>
          <w:rFonts w:cs="DanaFajr" w:hint="cs"/>
          <w:sz w:val="28"/>
          <w:szCs w:val="28"/>
          <w:rtl/>
        </w:rPr>
        <w:t>ْ</w:t>
      </w:r>
      <w:r w:rsidRPr="006571AC">
        <w:rPr>
          <w:rFonts w:cs="DanaFajr"/>
          <w:sz w:val="28"/>
          <w:szCs w:val="28"/>
          <w:rtl/>
        </w:rPr>
        <w:t xml:space="preserve"> شق</w:t>
      </w:r>
      <w:r w:rsidRPr="006571AC">
        <w:rPr>
          <w:rFonts w:cs="DanaFajr" w:hint="cs"/>
          <w:sz w:val="28"/>
          <w:szCs w:val="28"/>
          <w:rtl/>
        </w:rPr>
        <w:t>َّ</w:t>
      </w:r>
      <w:r w:rsidRPr="006571AC">
        <w:rPr>
          <w:rFonts w:cs="DanaFajr"/>
          <w:sz w:val="28"/>
          <w:szCs w:val="28"/>
          <w:rtl/>
        </w:rPr>
        <w:t xml:space="preserve"> علي</w:t>
      </w:r>
      <w:r w:rsidRPr="006571AC">
        <w:rPr>
          <w:rFonts w:cs="DanaFajr" w:hint="cs"/>
          <w:sz w:val="28"/>
          <w:szCs w:val="28"/>
          <w:rtl/>
        </w:rPr>
        <w:t>ّ</w:t>
      </w:r>
      <w:r w:rsidRPr="006571AC">
        <w:rPr>
          <w:rFonts w:cs="DanaFajr"/>
          <w:sz w:val="28"/>
          <w:szCs w:val="28"/>
          <w:rtl/>
        </w:rPr>
        <w:t>؟ قال: حسب</w:t>
      </w:r>
      <w:r w:rsidRPr="006571AC">
        <w:rPr>
          <w:rFonts w:cs="DanaFajr" w:hint="cs"/>
          <w:sz w:val="28"/>
          <w:szCs w:val="28"/>
          <w:rtl/>
        </w:rPr>
        <w:t>ُ</w:t>
      </w:r>
      <w:r w:rsidRPr="006571AC">
        <w:rPr>
          <w:rFonts w:cs="DanaFajr"/>
          <w:sz w:val="28"/>
          <w:szCs w:val="28"/>
          <w:rtl/>
        </w:rPr>
        <w:t>ك ال</w:t>
      </w:r>
      <w:r w:rsidRPr="006571AC">
        <w:rPr>
          <w:rFonts w:cs="DanaFajr" w:hint="cs"/>
          <w:sz w:val="28"/>
          <w:szCs w:val="28"/>
          <w:rtl/>
        </w:rPr>
        <w:t>آ</w:t>
      </w:r>
      <w:r w:rsidRPr="006571AC">
        <w:rPr>
          <w:rFonts w:cs="DanaFajr"/>
          <w:sz w:val="28"/>
          <w:szCs w:val="28"/>
          <w:rtl/>
        </w:rPr>
        <w:t>ن</w:t>
      </w:r>
      <w:r w:rsidRPr="006571AC">
        <w:rPr>
          <w:rFonts w:hint="cs"/>
          <w:sz w:val="22"/>
          <w:szCs w:val="22"/>
          <w:rtl/>
        </w:rPr>
        <w:t>»</w:t>
      </w:r>
      <w:r w:rsidRPr="006571AC">
        <w:rPr>
          <w:rFonts w:cs="DanaFajr"/>
          <w:sz w:val="28"/>
          <w:szCs w:val="28"/>
          <w:rtl/>
        </w:rPr>
        <w:t xml:space="preserve">.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و</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310، الباب 4 من أبواب الأغسال المسنونة (باب استحباب الغسل ليالي الإفراد الثلاث من شهر رمضان)، ح2، حيث قال: </w:t>
      </w:r>
      <w:r w:rsidRPr="006571AC">
        <w:rPr>
          <w:rFonts w:hint="cs"/>
          <w:sz w:val="22"/>
          <w:szCs w:val="22"/>
          <w:rtl/>
        </w:rPr>
        <w:t>«</w:t>
      </w:r>
      <w:r w:rsidRPr="006571AC">
        <w:rPr>
          <w:rFonts w:cs="DanaFajr"/>
          <w:sz w:val="28"/>
          <w:szCs w:val="28"/>
          <w:rtl/>
        </w:rPr>
        <w:t>2ـ و</w:t>
      </w:r>
      <w:r w:rsidRPr="006571AC">
        <w:rPr>
          <w:rFonts w:cs="DanaFajr" w:hint="cs"/>
          <w:sz w:val="28"/>
          <w:szCs w:val="28"/>
          <w:rtl/>
        </w:rPr>
        <w:t xml:space="preserve">[محمّد بن يعقوب] </w:t>
      </w:r>
      <w:r w:rsidRPr="006571AC">
        <w:rPr>
          <w:rFonts w:cs="DanaFajr"/>
          <w:sz w:val="28"/>
          <w:szCs w:val="28"/>
          <w:rtl/>
        </w:rPr>
        <w:t>عن محم</w:t>
      </w:r>
      <w:r w:rsidRPr="006571AC">
        <w:rPr>
          <w:rFonts w:cs="DanaFajr" w:hint="cs"/>
          <w:sz w:val="28"/>
          <w:szCs w:val="28"/>
          <w:rtl/>
        </w:rPr>
        <w:t>ّ</w:t>
      </w:r>
      <w:r w:rsidRPr="006571AC">
        <w:rPr>
          <w:rFonts w:cs="DanaFajr"/>
          <w:sz w:val="28"/>
          <w:szCs w:val="28"/>
          <w:rtl/>
        </w:rPr>
        <w:t>د بن إسماعيل، عن الفضل بن شاذان، عن صفوان بن يحيى، عن منصور بن حازم، عن سليمان بن خالد</w:t>
      </w:r>
      <w:r w:rsidRPr="006571AC">
        <w:rPr>
          <w:rFonts w:cs="DanaFajr" w:hint="cs"/>
          <w:sz w:val="28"/>
          <w:szCs w:val="28"/>
          <w:rtl/>
        </w:rPr>
        <w:t xml:space="preserve"> </w:t>
      </w:r>
      <w:r w:rsidRPr="006571AC">
        <w:rPr>
          <w:rFonts w:cs="DanaFajr"/>
          <w:sz w:val="28"/>
          <w:szCs w:val="28"/>
          <w:rtl/>
        </w:rPr>
        <w:t>قال: سألت</w:t>
      </w:r>
      <w:r w:rsidRPr="006571AC">
        <w:rPr>
          <w:rFonts w:cs="DanaFajr" w:hint="cs"/>
          <w:sz w:val="28"/>
          <w:szCs w:val="28"/>
          <w:rtl/>
        </w:rPr>
        <w:t>ُ</w:t>
      </w:r>
      <w:r w:rsidRPr="006571AC">
        <w:rPr>
          <w:rFonts w:cs="DanaFajr"/>
          <w:sz w:val="28"/>
          <w:szCs w:val="28"/>
          <w:rtl/>
        </w:rPr>
        <w:t xml:space="preserve"> أبا عبد الله</w:t>
      </w:r>
      <w:r w:rsidRPr="006571AC">
        <w:rPr>
          <w:rFonts w:ascii="Mosawi" w:hAnsi="Mosawi" w:cs="Mosawi"/>
          <w:rtl/>
        </w:rPr>
        <w:t>×</w:t>
      </w:r>
      <w:r w:rsidRPr="006571AC">
        <w:rPr>
          <w:rFonts w:cs="DanaFajr"/>
          <w:sz w:val="28"/>
          <w:szCs w:val="28"/>
          <w:rtl/>
        </w:rPr>
        <w:t xml:space="preserve"> كم أغتسل في شهر رمضان ليلة</w:t>
      </w:r>
      <w:r w:rsidRPr="006571AC">
        <w:rPr>
          <w:rFonts w:cs="DanaFajr" w:hint="cs"/>
          <w:sz w:val="28"/>
          <w:szCs w:val="28"/>
          <w:rtl/>
        </w:rPr>
        <w:t>ً</w:t>
      </w:r>
      <w:r w:rsidRPr="006571AC">
        <w:rPr>
          <w:rFonts w:cs="DanaFajr"/>
          <w:sz w:val="28"/>
          <w:szCs w:val="28"/>
          <w:rtl/>
        </w:rPr>
        <w:t>؟ قال: ليلة تسع عشرة، وليلة إحدى وعشرين، وليلة ثلاث وعشرين</w:t>
      </w:r>
      <w:r w:rsidRPr="006571AC">
        <w:rPr>
          <w:rFonts w:cs="DanaFajr" w:hint="cs"/>
          <w:sz w:val="28"/>
          <w:szCs w:val="28"/>
          <w:rtl/>
        </w:rPr>
        <w:t>...،</w:t>
      </w:r>
      <w:r w:rsidRPr="006571AC">
        <w:rPr>
          <w:rFonts w:cs="DanaFajr" w:hint="cs"/>
          <w:b/>
          <w:bCs/>
          <w:sz w:val="28"/>
          <w:szCs w:val="28"/>
          <w:rtl/>
        </w:rPr>
        <w:t xml:space="preserve"> </w:t>
      </w:r>
      <w:r w:rsidRPr="006571AC">
        <w:rPr>
          <w:rFonts w:cs="DanaFajr"/>
          <w:b/>
          <w:bCs/>
          <w:sz w:val="28"/>
          <w:szCs w:val="28"/>
          <w:rtl/>
        </w:rPr>
        <w:t>الحديث</w:t>
      </w:r>
      <w:r w:rsidRPr="006571AC">
        <w:rPr>
          <w:rFonts w:hint="cs"/>
          <w:sz w:val="22"/>
          <w:szCs w:val="22"/>
          <w:rtl/>
        </w:rPr>
        <w:t>»</w:t>
      </w:r>
      <w:r w:rsidRPr="006571AC">
        <w:rPr>
          <w:rFonts w:cs="DanaFajr" w:hint="cs"/>
          <w:sz w:val="28"/>
          <w:szCs w:val="28"/>
          <w:rtl/>
        </w:rPr>
        <w:t xml:space="preserve">.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وهذان الحديثان حديثٌ واحدٌ، فلاحِظْ كيف حذف </w:t>
      </w:r>
      <w:r w:rsidRPr="006571AC">
        <w:rPr>
          <w:rFonts w:ascii="Mosawi" w:hAnsi="Mosawi" w:cs="Mosawi"/>
          <w:rtl/>
        </w:rPr>
        <w:t>&amp;</w:t>
      </w:r>
      <w:r w:rsidRPr="006571AC">
        <w:rPr>
          <w:rFonts w:cs="DanaFajr" w:hint="cs"/>
          <w:sz w:val="28"/>
          <w:szCs w:val="28"/>
          <w:rtl/>
        </w:rPr>
        <w:t xml:space="preserve"> بعض فقرات الحديث في المورد الثاني، وذكر فقط ما يدلّ على استحباب الغسل ليالي الإفراد الثلاث من شهر رمضان.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2ـ وسائل الشيعة 3: 308، الباب 1 من أبواب الأغسال المسنونة (باب حصر أنواع الأغسال المسنونة وأقسامها)، ح14، حيث قال: </w:t>
      </w:r>
      <w:r w:rsidRPr="006571AC">
        <w:rPr>
          <w:rFonts w:hint="cs"/>
          <w:sz w:val="22"/>
          <w:szCs w:val="22"/>
          <w:rtl/>
        </w:rPr>
        <w:t>«</w:t>
      </w:r>
      <w:r w:rsidRPr="006571AC">
        <w:rPr>
          <w:rFonts w:cs="DanaFajr"/>
          <w:sz w:val="28"/>
          <w:szCs w:val="28"/>
          <w:rtl/>
        </w:rPr>
        <w:t>14ـ و</w:t>
      </w:r>
      <w:r w:rsidRPr="006571AC">
        <w:rPr>
          <w:rFonts w:cs="DanaFajr" w:hint="cs"/>
          <w:sz w:val="28"/>
          <w:szCs w:val="28"/>
          <w:rtl/>
        </w:rPr>
        <w:t xml:space="preserve">[الطوسيّ] </w:t>
      </w:r>
      <w:r w:rsidRPr="006571AC">
        <w:rPr>
          <w:rFonts w:cs="DanaFajr"/>
          <w:sz w:val="28"/>
          <w:szCs w:val="28"/>
          <w:rtl/>
        </w:rPr>
        <w:t>بإسناده عن إبراهيم بن إسحاق ال</w:t>
      </w:r>
      <w:r w:rsidRPr="006571AC">
        <w:rPr>
          <w:rFonts w:cs="DanaFajr" w:hint="cs"/>
          <w:sz w:val="28"/>
          <w:szCs w:val="28"/>
          <w:rtl/>
        </w:rPr>
        <w:t>أ</w:t>
      </w:r>
      <w:r w:rsidRPr="006571AC">
        <w:rPr>
          <w:rFonts w:cs="DanaFajr"/>
          <w:sz w:val="28"/>
          <w:szCs w:val="28"/>
          <w:rtl/>
        </w:rPr>
        <w:t>حمري</w:t>
      </w:r>
      <w:r w:rsidRPr="006571AC">
        <w:rPr>
          <w:rFonts w:cs="DanaFajr" w:hint="cs"/>
          <w:sz w:val="28"/>
          <w:szCs w:val="28"/>
          <w:rtl/>
        </w:rPr>
        <w:t>ّ</w:t>
      </w:r>
      <w:r w:rsidRPr="006571AC">
        <w:rPr>
          <w:rFonts w:cs="DanaFajr"/>
          <w:sz w:val="28"/>
          <w:szCs w:val="28"/>
          <w:rtl/>
        </w:rPr>
        <w:t>، عن جماعة</w:t>
      </w:r>
      <w:r w:rsidRPr="006571AC">
        <w:rPr>
          <w:rFonts w:cs="DanaFajr" w:hint="cs"/>
          <w:sz w:val="28"/>
          <w:szCs w:val="28"/>
          <w:rtl/>
        </w:rPr>
        <w:t>ٍ</w:t>
      </w:r>
      <w:r w:rsidRPr="006571AC">
        <w:rPr>
          <w:rFonts w:cs="DanaFajr"/>
          <w:sz w:val="28"/>
          <w:szCs w:val="28"/>
          <w:rtl/>
        </w:rPr>
        <w:t>، عن ابن فض</w:t>
      </w:r>
      <w:r w:rsidRPr="006571AC">
        <w:rPr>
          <w:rFonts w:cs="DanaFajr" w:hint="cs"/>
          <w:sz w:val="28"/>
          <w:szCs w:val="28"/>
          <w:rtl/>
        </w:rPr>
        <w:t>ّ</w:t>
      </w:r>
      <w:r w:rsidRPr="006571AC">
        <w:rPr>
          <w:rFonts w:cs="DanaFajr"/>
          <w:sz w:val="28"/>
          <w:szCs w:val="28"/>
          <w:rtl/>
        </w:rPr>
        <w:t>ال، عن عبد الله بن بكير، عن أبيه بكير بن أعين</w:t>
      </w:r>
      <w:r w:rsidRPr="006571AC">
        <w:rPr>
          <w:rFonts w:cs="DanaFajr" w:hint="cs"/>
          <w:sz w:val="28"/>
          <w:szCs w:val="28"/>
          <w:rtl/>
        </w:rPr>
        <w:t xml:space="preserve"> </w:t>
      </w:r>
      <w:r w:rsidRPr="006571AC">
        <w:rPr>
          <w:rFonts w:cs="DanaFajr"/>
          <w:sz w:val="28"/>
          <w:szCs w:val="28"/>
          <w:rtl/>
        </w:rPr>
        <w:t>قال: سألت</w:t>
      </w:r>
      <w:r w:rsidRPr="006571AC">
        <w:rPr>
          <w:rFonts w:cs="DanaFajr" w:hint="cs"/>
          <w:sz w:val="28"/>
          <w:szCs w:val="28"/>
          <w:rtl/>
        </w:rPr>
        <w:t>ُ</w:t>
      </w:r>
      <w:r w:rsidRPr="006571AC">
        <w:rPr>
          <w:rFonts w:cs="DanaFajr"/>
          <w:sz w:val="28"/>
          <w:szCs w:val="28"/>
          <w:rtl/>
        </w:rPr>
        <w:t xml:space="preserve"> أبا عبد الله</w:t>
      </w:r>
      <w:r w:rsidRPr="006571AC">
        <w:rPr>
          <w:rFonts w:ascii="Mosawi" w:hAnsi="Mosawi" w:cs="Mosawi"/>
          <w:rtl/>
        </w:rPr>
        <w:t>×</w:t>
      </w:r>
      <w:r w:rsidRPr="006571AC">
        <w:rPr>
          <w:rFonts w:cs="DanaFajr"/>
          <w:sz w:val="28"/>
          <w:szCs w:val="28"/>
          <w:rtl/>
        </w:rPr>
        <w:t>: في أي</w:t>
      </w:r>
      <w:r w:rsidRPr="006571AC">
        <w:rPr>
          <w:rFonts w:cs="DanaFajr" w:hint="cs"/>
          <w:sz w:val="28"/>
          <w:szCs w:val="28"/>
          <w:rtl/>
        </w:rPr>
        <w:t>ِّ</w:t>
      </w:r>
      <w:r w:rsidRPr="006571AC">
        <w:rPr>
          <w:rFonts w:cs="DanaFajr"/>
          <w:sz w:val="28"/>
          <w:szCs w:val="28"/>
          <w:rtl/>
        </w:rPr>
        <w:t xml:space="preserve"> الليالي أغتسل في شهر رمضان؟ قال: في تسع عشرة، وفي إحدى وعشرين، و</w:t>
      </w:r>
      <w:r w:rsidRPr="006571AC">
        <w:rPr>
          <w:rFonts w:cs="DanaFajr" w:hint="cs"/>
          <w:sz w:val="28"/>
          <w:szCs w:val="28"/>
          <w:rtl/>
        </w:rPr>
        <w:t>ف</w:t>
      </w:r>
      <w:r w:rsidRPr="006571AC">
        <w:rPr>
          <w:rFonts w:cs="DanaFajr"/>
          <w:sz w:val="28"/>
          <w:szCs w:val="28"/>
          <w:rtl/>
        </w:rPr>
        <w:t>ي ثلاث وعشرين</w:t>
      </w:r>
      <w:r w:rsidRPr="006571AC">
        <w:rPr>
          <w:rFonts w:cs="DanaFajr" w:hint="cs"/>
          <w:sz w:val="28"/>
          <w:szCs w:val="28"/>
          <w:rtl/>
        </w:rPr>
        <w:t>...،</w:t>
      </w:r>
      <w:r w:rsidRPr="006571AC">
        <w:rPr>
          <w:rFonts w:cs="DanaFajr" w:hint="cs"/>
          <w:b/>
          <w:bCs/>
          <w:sz w:val="28"/>
          <w:szCs w:val="28"/>
          <w:rtl/>
        </w:rPr>
        <w:t xml:space="preserve"> </w:t>
      </w:r>
      <w:r w:rsidRPr="006571AC">
        <w:rPr>
          <w:rFonts w:cs="DanaFajr"/>
          <w:b/>
          <w:bCs/>
          <w:sz w:val="28"/>
          <w:szCs w:val="28"/>
          <w:rtl/>
        </w:rPr>
        <w:t>الحديث</w:t>
      </w:r>
      <w:r w:rsidRPr="006571AC">
        <w:rPr>
          <w:rFonts w:hint="cs"/>
          <w:sz w:val="22"/>
          <w:szCs w:val="22"/>
          <w:rtl/>
        </w:rPr>
        <w:t>»</w:t>
      </w:r>
      <w:r w:rsidRPr="006571AC">
        <w:rPr>
          <w:rFonts w:cs="DanaFajr" w:hint="cs"/>
          <w:sz w:val="28"/>
          <w:szCs w:val="28"/>
          <w:rtl/>
        </w:rPr>
        <w:t xml:space="preserve">.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و</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322، الباب 11 من أبواب الأغسال المسنونة (باب أنّ وقت غسل الجمعة من طلوع الفجر إلى الزوال، وإنّ ما قَرُب من الزوال أفضل، فإنْ نام بعده لم يُعِدْ)، ح2، حيث قال: </w:t>
      </w:r>
      <w:r w:rsidRPr="006571AC">
        <w:rPr>
          <w:rFonts w:hint="cs"/>
          <w:sz w:val="22"/>
          <w:szCs w:val="22"/>
          <w:rtl/>
        </w:rPr>
        <w:t>«</w:t>
      </w:r>
      <w:r w:rsidRPr="006571AC">
        <w:rPr>
          <w:rFonts w:cs="DanaFajr"/>
          <w:sz w:val="28"/>
          <w:szCs w:val="28"/>
          <w:rtl/>
        </w:rPr>
        <w:t>2ـ و</w:t>
      </w:r>
      <w:r w:rsidRPr="006571AC">
        <w:rPr>
          <w:rFonts w:cs="DanaFajr" w:hint="cs"/>
          <w:sz w:val="28"/>
          <w:szCs w:val="28"/>
          <w:rtl/>
        </w:rPr>
        <w:t xml:space="preserve">[الطوسيّ] </w:t>
      </w:r>
      <w:r w:rsidRPr="006571AC">
        <w:rPr>
          <w:rFonts w:cs="DanaFajr"/>
          <w:sz w:val="28"/>
          <w:szCs w:val="28"/>
          <w:rtl/>
        </w:rPr>
        <w:t>بإسناده عن إبراهيم بن إسحاق ال</w:t>
      </w:r>
      <w:r w:rsidRPr="006571AC">
        <w:rPr>
          <w:rFonts w:cs="DanaFajr" w:hint="cs"/>
          <w:sz w:val="28"/>
          <w:szCs w:val="28"/>
          <w:rtl/>
        </w:rPr>
        <w:t>أ</w:t>
      </w:r>
      <w:r w:rsidRPr="006571AC">
        <w:rPr>
          <w:rFonts w:cs="DanaFajr"/>
          <w:sz w:val="28"/>
          <w:szCs w:val="28"/>
          <w:rtl/>
        </w:rPr>
        <w:t>حمري</w:t>
      </w:r>
      <w:r w:rsidRPr="006571AC">
        <w:rPr>
          <w:rFonts w:cs="DanaFajr" w:hint="cs"/>
          <w:sz w:val="28"/>
          <w:szCs w:val="28"/>
          <w:rtl/>
        </w:rPr>
        <w:t>ّ</w:t>
      </w:r>
      <w:r w:rsidRPr="006571AC">
        <w:rPr>
          <w:rFonts w:cs="DanaFajr"/>
          <w:sz w:val="28"/>
          <w:szCs w:val="28"/>
          <w:rtl/>
        </w:rPr>
        <w:t>، عن جماعة</w:t>
      </w:r>
      <w:r w:rsidRPr="006571AC">
        <w:rPr>
          <w:rFonts w:cs="DanaFajr" w:hint="cs"/>
          <w:sz w:val="28"/>
          <w:szCs w:val="28"/>
          <w:rtl/>
        </w:rPr>
        <w:t>ٍ</w:t>
      </w:r>
      <w:r w:rsidRPr="006571AC">
        <w:rPr>
          <w:rFonts w:cs="DanaFajr"/>
          <w:sz w:val="28"/>
          <w:szCs w:val="28"/>
          <w:rtl/>
        </w:rPr>
        <w:t>، عن ابن فض</w:t>
      </w:r>
      <w:r w:rsidRPr="006571AC">
        <w:rPr>
          <w:rFonts w:cs="DanaFajr" w:hint="cs"/>
          <w:sz w:val="28"/>
          <w:szCs w:val="28"/>
          <w:rtl/>
        </w:rPr>
        <w:t>ّ</w:t>
      </w:r>
      <w:r w:rsidRPr="006571AC">
        <w:rPr>
          <w:rFonts w:cs="DanaFajr"/>
          <w:sz w:val="28"/>
          <w:szCs w:val="28"/>
          <w:rtl/>
        </w:rPr>
        <w:t>ال، عن ابن بكير، عن أبيه</w:t>
      </w:r>
      <w:r w:rsidRPr="006571AC">
        <w:rPr>
          <w:rFonts w:cs="DanaFajr" w:hint="cs"/>
          <w:sz w:val="28"/>
          <w:szCs w:val="28"/>
          <w:rtl/>
        </w:rPr>
        <w:t xml:space="preserve"> </w:t>
      </w:r>
      <w:r w:rsidRPr="006571AC">
        <w:rPr>
          <w:rFonts w:cs="DanaFajr"/>
          <w:sz w:val="28"/>
          <w:szCs w:val="28"/>
          <w:rtl/>
        </w:rPr>
        <w:t>قال: سألت</w:t>
      </w:r>
      <w:r w:rsidRPr="006571AC">
        <w:rPr>
          <w:rFonts w:cs="DanaFajr" w:hint="cs"/>
          <w:sz w:val="28"/>
          <w:szCs w:val="28"/>
          <w:rtl/>
        </w:rPr>
        <w:t>ُ</w:t>
      </w:r>
      <w:r w:rsidRPr="006571AC">
        <w:rPr>
          <w:rFonts w:cs="DanaFajr"/>
          <w:sz w:val="28"/>
          <w:szCs w:val="28"/>
          <w:rtl/>
        </w:rPr>
        <w:t xml:space="preserve"> أبا عبد الله </w:t>
      </w:r>
      <w:r w:rsidRPr="006571AC">
        <w:rPr>
          <w:rFonts w:ascii="Mosawi" w:hAnsi="Mosawi" w:cs="Mosawi"/>
          <w:rtl/>
        </w:rPr>
        <w:t>×</w:t>
      </w:r>
      <w:r w:rsidRPr="006571AC">
        <w:rPr>
          <w:rFonts w:cs="DanaFajr"/>
          <w:sz w:val="28"/>
          <w:szCs w:val="28"/>
          <w:rtl/>
        </w:rPr>
        <w:t xml:space="preserve"> في أي</w:t>
      </w:r>
      <w:r w:rsidRPr="006571AC">
        <w:rPr>
          <w:rFonts w:cs="DanaFajr" w:hint="cs"/>
          <w:sz w:val="28"/>
          <w:szCs w:val="28"/>
          <w:rtl/>
        </w:rPr>
        <w:t>ِّ</w:t>
      </w:r>
      <w:r w:rsidRPr="006571AC">
        <w:rPr>
          <w:rFonts w:cs="DanaFajr"/>
          <w:sz w:val="28"/>
          <w:szCs w:val="28"/>
          <w:rtl/>
        </w:rPr>
        <w:t xml:space="preserve"> الليالي أغتسل من شهر رمضان </w:t>
      </w:r>
      <w:r w:rsidRPr="006571AC">
        <w:rPr>
          <w:rFonts w:cs="DanaFajr" w:hint="cs"/>
          <w:b/>
          <w:bCs/>
          <w:sz w:val="28"/>
          <w:szCs w:val="28"/>
          <w:rtl/>
        </w:rPr>
        <w:t>ـ</w:t>
      </w:r>
      <w:r w:rsidRPr="006571AC">
        <w:rPr>
          <w:rFonts w:cs="DanaFajr"/>
          <w:b/>
          <w:bCs/>
          <w:sz w:val="28"/>
          <w:szCs w:val="28"/>
          <w:rtl/>
        </w:rPr>
        <w:t xml:space="preserve"> إلى أن قال </w:t>
      </w:r>
      <w:r w:rsidRPr="006571AC">
        <w:rPr>
          <w:rFonts w:cs="DanaFajr" w:hint="cs"/>
          <w:b/>
          <w:bCs/>
          <w:sz w:val="28"/>
          <w:szCs w:val="28"/>
          <w:rtl/>
        </w:rPr>
        <w:t>ـ</w:t>
      </w:r>
      <w:r w:rsidRPr="006571AC">
        <w:rPr>
          <w:rFonts w:cs="DanaFajr"/>
          <w:sz w:val="28"/>
          <w:szCs w:val="28"/>
          <w:rtl/>
        </w:rPr>
        <w:t xml:space="preserve"> والغسل</w:t>
      </w:r>
      <w:r w:rsidRPr="006571AC">
        <w:rPr>
          <w:rFonts w:cs="DanaFajr" w:hint="cs"/>
          <w:sz w:val="28"/>
          <w:szCs w:val="28"/>
          <w:rtl/>
        </w:rPr>
        <w:t>ُ</w:t>
      </w:r>
      <w:r w:rsidRPr="006571AC">
        <w:rPr>
          <w:rFonts w:cs="DanaFajr"/>
          <w:sz w:val="28"/>
          <w:szCs w:val="28"/>
          <w:rtl/>
        </w:rPr>
        <w:t xml:space="preserve"> أو</w:t>
      </w:r>
      <w:r w:rsidRPr="006571AC">
        <w:rPr>
          <w:rFonts w:cs="DanaFajr" w:hint="cs"/>
          <w:sz w:val="28"/>
          <w:szCs w:val="28"/>
          <w:rtl/>
        </w:rPr>
        <w:t>ّ</w:t>
      </w:r>
      <w:r w:rsidRPr="006571AC">
        <w:rPr>
          <w:rFonts w:cs="DanaFajr"/>
          <w:sz w:val="28"/>
          <w:szCs w:val="28"/>
          <w:rtl/>
        </w:rPr>
        <w:t>ل الليل، قلت</w:t>
      </w:r>
      <w:r w:rsidRPr="006571AC">
        <w:rPr>
          <w:rFonts w:cs="DanaFajr" w:hint="cs"/>
          <w:sz w:val="28"/>
          <w:szCs w:val="28"/>
          <w:rtl/>
        </w:rPr>
        <w:t>ُ</w:t>
      </w:r>
      <w:r w:rsidRPr="006571AC">
        <w:rPr>
          <w:rFonts w:cs="DanaFajr"/>
          <w:sz w:val="28"/>
          <w:szCs w:val="28"/>
          <w:rtl/>
        </w:rPr>
        <w:t>: فإن</w:t>
      </w:r>
      <w:r w:rsidRPr="006571AC">
        <w:rPr>
          <w:rFonts w:cs="DanaFajr" w:hint="cs"/>
          <w:sz w:val="28"/>
          <w:szCs w:val="28"/>
          <w:rtl/>
        </w:rPr>
        <w:t>ْ</w:t>
      </w:r>
      <w:r w:rsidRPr="006571AC">
        <w:rPr>
          <w:rFonts w:cs="DanaFajr"/>
          <w:sz w:val="28"/>
          <w:szCs w:val="28"/>
          <w:rtl/>
        </w:rPr>
        <w:t xml:space="preserve"> نام بعد الغسل؟ قال: هو مثل غسل يوم الجمعة، إذا اغتسلت</w:t>
      </w:r>
      <w:r w:rsidRPr="006571AC">
        <w:rPr>
          <w:rFonts w:cs="DanaFajr" w:hint="cs"/>
          <w:sz w:val="28"/>
          <w:szCs w:val="28"/>
          <w:rtl/>
        </w:rPr>
        <w:t>َ</w:t>
      </w:r>
      <w:r w:rsidRPr="006571AC">
        <w:rPr>
          <w:rFonts w:cs="DanaFajr"/>
          <w:sz w:val="28"/>
          <w:szCs w:val="28"/>
          <w:rtl/>
        </w:rPr>
        <w:t xml:space="preserve"> بعد الفجر أجزأك</w:t>
      </w:r>
      <w:r w:rsidRPr="006571AC">
        <w:rPr>
          <w:rFonts w:hint="cs"/>
          <w:sz w:val="22"/>
          <w:szCs w:val="22"/>
          <w:rtl/>
        </w:rPr>
        <w:t>»</w:t>
      </w:r>
      <w:r w:rsidRPr="006571AC">
        <w:rPr>
          <w:rFonts w:cs="DanaFajr"/>
          <w:sz w:val="28"/>
          <w:szCs w:val="28"/>
          <w:rtl/>
        </w:rPr>
        <w:t xml:space="preserve">.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وهذان الحديثان حديثٌ واحدٌ، فلاحِظْ كيف حذف</w:t>
      </w:r>
      <w:r w:rsidRPr="006571AC">
        <w:rPr>
          <w:rFonts w:ascii="Mosawi" w:hAnsi="Mosawi" w:cs="Mosawi"/>
          <w:rtl/>
        </w:rPr>
        <w:t>&amp;</w:t>
      </w:r>
      <w:r w:rsidRPr="006571AC">
        <w:rPr>
          <w:rFonts w:cs="DanaFajr" w:hint="cs"/>
          <w:sz w:val="28"/>
          <w:szCs w:val="28"/>
          <w:rtl/>
        </w:rPr>
        <w:t xml:space="preserve"> بعض فقرات الحديث في كلا الموردَيْن، وذكر في كلّ مورد ما يختصُّ به من فقرات الحديث.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3ـ وسائل الشيعة 3: 377، الباب 19 من أبواب التيمُّم (باب انتقاض التيمُّم بكلّ ما ينقض الوضوء، وبالتمكُّن من استعمال الماء، فإنْ تعذَّر وجب التيمُّم...)، ح1، حيث قال: </w:t>
      </w:r>
      <w:r w:rsidRPr="006571AC">
        <w:rPr>
          <w:rFonts w:hint="cs"/>
          <w:sz w:val="22"/>
          <w:szCs w:val="22"/>
          <w:rtl/>
        </w:rPr>
        <w:t>«</w:t>
      </w:r>
      <w:r w:rsidRPr="006571AC">
        <w:rPr>
          <w:rFonts w:cs="DanaFajr"/>
          <w:sz w:val="28"/>
          <w:szCs w:val="28"/>
          <w:rtl/>
        </w:rPr>
        <w:t>1ـ محم</w:t>
      </w:r>
      <w:r w:rsidRPr="006571AC">
        <w:rPr>
          <w:rFonts w:cs="DanaFajr" w:hint="cs"/>
          <w:sz w:val="28"/>
          <w:szCs w:val="28"/>
          <w:rtl/>
        </w:rPr>
        <w:t>ّ</w:t>
      </w:r>
      <w:r w:rsidRPr="006571AC">
        <w:rPr>
          <w:rFonts w:cs="DanaFajr"/>
          <w:sz w:val="28"/>
          <w:szCs w:val="28"/>
          <w:rtl/>
        </w:rPr>
        <w:t>د بن يعقوب، عن محم</w:t>
      </w:r>
      <w:r w:rsidRPr="006571AC">
        <w:rPr>
          <w:rFonts w:cs="DanaFajr" w:hint="cs"/>
          <w:sz w:val="28"/>
          <w:szCs w:val="28"/>
          <w:rtl/>
        </w:rPr>
        <w:t>ّ</w:t>
      </w:r>
      <w:r w:rsidRPr="006571AC">
        <w:rPr>
          <w:rFonts w:cs="DanaFajr"/>
          <w:sz w:val="28"/>
          <w:szCs w:val="28"/>
          <w:rtl/>
        </w:rPr>
        <w:t>د بن إسماعيل، عن الفضل بن شاذان، وعن علي</w:t>
      </w:r>
      <w:r w:rsidRPr="006571AC">
        <w:rPr>
          <w:rFonts w:cs="DanaFajr" w:hint="cs"/>
          <w:sz w:val="28"/>
          <w:szCs w:val="28"/>
          <w:rtl/>
        </w:rPr>
        <w:t>ّ</w:t>
      </w:r>
      <w:r w:rsidRPr="006571AC">
        <w:rPr>
          <w:rFonts w:cs="DanaFajr"/>
          <w:sz w:val="28"/>
          <w:szCs w:val="28"/>
          <w:rtl/>
        </w:rPr>
        <w:t xml:space="preserve"> بن إبراهيم، عن أبيه</w:t>
      </w:r>
      <w:r w:rsidRPr="006571AC">
        <w:rPr>
          <w:rFonts w:cs="DanaFajr" w:hint="cs"/>
          <w:sz w:val="28"/>
          <w:szCs w:val="28"/>
          <w:rtl/>
        </w:rPr>
        <w:t>،</w:t>
      </w:r>
      <w:r w:rsidRPr="006571AC">
        <w:rPr>
          <w:rFonts w:cs="DanaFajr"/>
          <w:sz w:val="28"/>
          <w:szCs w:val="28"/>
          <w:rtl/>
        </w:rPr>
        <w:t xml:space="preserve"> جميعا</w:t>
      </w:r>
      <w:r w:rsidRPr="006571AC">
        <w:rPr>
          <w:rFonts w:cs="DanaFajr" w:hint="cs"/>
          <w:sz w:val="28"/>
          <w:szCs w:val="28"/>
          <w:rtl/>
        </w:rPr>
        <w:t>ً</w:t>
      </w:r>
      <w:r w:rsidRPr="006571AC">
        <w:rPr>
          <w:rFonts w:cs="DanaFajr"/>
          <w:sz w:val="28"/>
          <w:szCs w:val="28"/>
          <w:rtl/>
        </w:rPr>
        <w:t>، عن حم</w:t>
      </w:r>
      <w:r w:rsidRPr="006571AC">
        <w:rPr>
          <w:rFonts w:cs="DanaFajr" w:hint="cs"/>
          <w:sz w:val="28"/>
          <w:szCs w:val="28"/>
          <w:rtl/>
        </w:rPr>
        <w:t>ّ</w:t>
      </w:r>
      <w:r w:rsidRPr="006571AC">
        <w:rPr>
          <w:rFonts w:cs="DanaFajr"/>
          <w:sz w:val="28"/>
          <w:szCs w:val="28"/>
          <w:rtl/>
        </w:rPr>
        <w:t>اد بن عيسى، عن حريز، عن زرارة</w:t>
      </w:r>
      <w:r w:rsidRPr="006571AC">
        <w:rPr>
          <w:rFonts w:cs="DanaFajr" w:hint="cs"/>
          <w:sz w:val="28"/>
          <w:szCs w:val="28"/>
          <w:rtl/>
        </w:rPr>
        <w:t xml:space="preserve"> </w:t>
      </w:r>
      <w:r w:rsidRPr="006571AC">
        <w:rPr>
          <w:rFonts w:cs="DanaFajr"/>
          <w:sz w:val="28"/>
          <w:szCs w:val="28"/>
          <w:rtl/>
        </w:rPr>
        <w:t>قال: قلت</w:t>
      </w:r>
      <w:r w:rsidRPr="006571AC">
        <w:rPr>
          <w:rFonts w:cs="DanaFajr" w:hint="cs"/>
          <w:sz w:val="28"/>
          <w:szCs w:val="28"/>
          <w:rtl/>
        </w:rPr>
        <w:t>ُ</w:t>
      </w:r>
      <w:r w:rsidRPr="006571AC">
        <w:rPr>
          <w:rFonts w:cs="DanaFajr"/>
          <w:sz w:val="28"/>
          <w:szCs w:val="28"/>
          <w:rtl/>
        </w:rPr>
        <w:t xml:space="preserve"> ل</w:t>
      </w:r>
      <w:r w:rsidRPr="006571AC">
        <w:rPr>
          <w:rFonts w:cs="DanaFajr" w:hint="cs"/>
          <w:sz w:val="28"/>
          <w:szCs w:val="28"/>
          <w:rtl/>
        </w:rPr>
        <w:t>أ</w:t>
      </w:r>
      <w:r w:rsidRPr="006571AC">
        <w:rPr>
          <w:rFonts w:cs="DanaFajr"/>
          <w:sz w:val="28"/>
          <w:szCs w:val="28"/>
          <w:rtl/>
        </w:rPr>
        <w:t>بي جعفر</w:t>
      </w:r>
      <w:r w:rsidRPr="006571AC">
        <w:rPr>
          <w:rFonts w:ascii="Mosawi" w:hAnsi="Mosawi" w:cs="Mosawi"/>
          <w:rtl/>
        </w:rPr>
        <w:t>×</w:t>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يصل</w:t>
      </w:r>
      <w:r w:rsidRPr="006571AC">
        <w:rPr>
          <w:rFonts w:cs="DanaFajr" w:hint="cs"/>
          <w:sz w:val="28"/>
          <w:szCs w:val="28"/>
          <w:rtl/>
        </w:rPr>
        <w:t>ّ</w:t>
      </w:r>
      <w:r w:rsidRPr="006571AC">
        <w:rPr>
          <w:rFonts w:cs="DanaFajr"/>
          <w:sz w:val="28"/>
          <w:szCs w:val="28"/>
          <w:rtl/>
        </w:rPr>
        <w:t>ي الرجل بوضوء</w:t>
      </w:r>
      <w:r w:rsidRPr="006571AC">
        <w:rPr>
          <w:rFonts w:cs="DanaFajr" w:hint="cs"/>
          <w:sz w:val="28"/>
          <w:szCs w:val="28"/>
          <w:rtl/>
        </w:rPr>
        <w:t>ٍ</w:t>
      </w:r>
      <w:r w:rsidRPr="006571AC">
        <w:rPr>
          <w:rFonts w:cs="DanaFajr"/>
          <w:sz w:val="28"/>
          <w:szCs w:val="28"/>
          <w:rtl/>
        </w:rPr>
        <w:t xml:space="preserve"> واحد</w:t>
      </w:r>
      <w:r w:rsidRPr="006571AC">
        <w:rPr>
          <w:rFonts w:cs="DanaFajr" w:hint="cs"/>
          <w:sz w:val="28"/>
          <w:szCs w:val="28"/>
          <w:rtl/>
        </w:rPr>
        <w:t>ٍ</w:t>
      </w:r>
      <w:r w:rsidRPr="006571AC">
        <w:rPr>
          <w:rFonts w:cs="DanaFajr"/>
          <w:sz w:val="28"/>
          <w:szCs w:val="28"/>
          <w:rtl/>
        </w:rPr>
        <w:t xml:space="preserve"> صلاة الليل والنهار كل</w:t>
      </w:r>
      <w:r w:rsidRPr="006571AC">
        <w:rPr>
          <w:rFonts w:cs="DanaFajr" w:hint="cs"/>
          <w:sz w:val="28"/>
          <w:szCs w:val="28"/>
          <w:rtl/>
        </w:rPr>
        <w:t>ّ</w:t>
      </w:r>
      <w:r w:rsidRPr="006571AC">
        <w:rPr>
          <w:rFonts w:cs="DanaFajr"/>
          <w:sz w:val="28"/>
          <w:szCs w:val="28"/>
          <w:rtl/>
        </w:rPr>
        <w:t>ها؟ قال: نعم، ما لم ي</w:t>
      </w:r>
      <w:r w:rsidRPr="006571AC">
        <w:rPr>
          <w:rFonts w:cs="DanaFajr" w:hint="cs"/>
          <w:sz w:val="28"/>
          <w:szCs w:val="28"/>
          <w:rtl/>
        </w:rPr>
        <w:t>ُ</w:t>
      </w:r>
      <w:r w:rsidRPr="006571AC">
        <w:rPr>
          <w:rFonts w:cs="DanaFajr"/>
          <w:sz w:val="28"/>
          <w:szCs w:val="28"/>
          <w:rtl/>
        </w:rPr>
        <w:t>حدث، قلت</w:t>
      </w:r>
      <w:r w:rsidRPr="006571AC">
        <w:rPr>
          <w:rFonts w:cs="DanaFajr" w:hint="cs"/>
          <w:sz w:val="28"/>
          <w:szCs w:val="28"/>
          <w:rtl/>
        </w:rPr>
        <w:t>ُ</w:t>
      </w:r>
      <w:r w:rsidRPr="006571AC">
        <w:rPr>
          <w:rFonts w:cs="DanaFajr"/>
          <w:sz w:val="28"/>
          <w:szCs w:val="28"/>
          <w:rtl/>
        </w:rPr>
        <w:t>: فيصل</w:t>
      </w:r>
      <w:r w:rsidRPr="006571AC">
        <w:rPr>
          <w:rFonts w:cs="DanaFajr" w:hint="cs"/>
          <w:sz w:val="28"/>
          <w:szCs w:val="28"/>
          <w:rtl/>
        </w:rPr>
        <w:t>ّ</w:t>
      </w:r>
      <w:r w:rsidRPr="006571AC">
        <w:rPr>
          <w:rFonts w:cs="DanaFajr"/>
          <w:sz w:val="28"/>
          <w:szCs w:val="28"/>
          <w:rtl/>
        </w:rPr>
        <w:t>ي بتيم</w:t>
      </w:r>
      <w:r w:rsidRPr="006571AC">
        <w:rPr>
          <w:rFonts w:cs="DanaFajr" w:hint="cs"/>
          <w:sz w:val="28"/>
          <w:szCs w:val="28"/>
          <w:rtl/>
        </w:rPr>
        <w:t>ُّ</w:t>
      </w:r>
      <w:r w:rsidRPr="006571AC">
        <w:rPr>
          <w:rFonts w:cs="DanaFajr"/>
          <w:sz w:val="28"/>
          <w:szCs w:val="28"/>
          <w:rtl/>
        </w:rPr>
        <w:t>م</w:t>
      </w:r>
      <w:r w:rsidRPr="006571AC">
        <w:rPr>
          <w:rFonts w:cs="DanaFajr" w:hint="cs"/>
          <w:sz w:val="28"/>
          <w:szCs w:val="28"/>
          <w:rtl/>
        </w:rPr>
        <w:t>ٍ</w:t>
      </w:r>
      <w:r w:rsidRPr="006571AC">
        <w:rPr>
          <w:rFonts w:cs="DanaFajr"/>
          <w:sz w:val="28"/>
          <w:szCs w:val="28"/>
          <w:rtl/>
        </w:rPr>
        <w:t xml:space="preserve"> واحد</w:t>
      </w:r>
      <w:r w:rsidRPr="006571AC">
        <w:rPr>
          <w:rFonts w:cs="DanaFajr" w:hint="cs"/>
          <w:sz w:val="28"/>
          <w:szCs w:val="28"/>
          <w:rtl/>
        </w:rPr>
        <w:t>ٍ</w:t>
      </w:r>
      <w:r w:rsidRPr="006571AC">
        <w:rPr>
          <w:rFonts w:cs="DanaFajr"/>
          <w:sz w:val="28"/>
          <w:szCs w:val="28"/>
          <w:rtl/>
        </w:rPr>
        <w:t xml:space="preserve"> صلاة الليل والنهار كل</w:t>
      </w:r>
      <w:r w:rsidRPr="006571AC">
        <w:rPr>
          <w:rFonts w:cs="DanaFajr" w:hint="cs"/>
          <w:sz w:val="28"/>
          <w:szCs w:val="28"/>
          <w:rtl/>
        </w:rPr>
        <w:t>ّ</w:t>
      </w:r>
      <w:r w:rsidRPr="006571AC">
        <w:rPr>
          <w:rFonts w:cs="DanaFajr"/>
          <w:sz w:val="28"/>
          <w:szCs w:val="28"/>
          <w:rtl/>
        </w:rPr>
        <w:t>ها؟ قال: نعم، ما لم ي</w:t>
      </w:r>
      <w:r w:rsidRPr="006571AC">
        <w:rPr>
          <w:rFonts w:cs="DanaFajr" w:hint="cs"/>
          <w:sz w:val="28"/>
          <w:szCs w:val="28"/>
          <w:rtl/>
        </w:rPr>
        <w:t>ُ</w:t>
      </w:r>
      <w:r w:rsidRPr="006571AC">
        <w:rPr>
          <w:rFonts w:cs="DanaFajr"/>
          <w:sz w:val="28"/>
          <w:szCs w:val="28"/>
          <w:rtl/>
        </w:rPr>
        <w:t>حدث، أو ي</w:t>
      </w:r>
      <w:r w:rsidRPr="006571AC">
        <w:rPr>
          <w:rFonts w:cs="DanaFajr" w:hint="cs"/>
          <w:sz w:val="28"/>
          <w:szCs w:val="28"/>
          <w:rtl/>
        </w:rPr>
        <w:t>ُ</w:t>
      </w:r>
      <w:r w:rsidRPr="006571AC">
        <w:rPr>
          <w:rFonts w:cs="DanaFajr"/>
          <w:sz w:val="28"/>
          <w:szCs w:val="28"/>
          <w:rtl/>
        </w:rPr>
        <w:t>ص</w:t>
      </w:r>
      <w:r w:rsidRPr="006571AC">
        <w:rPr>
          <w:rFonts w:cs="DanaFajr" w:hint="cs"/>
          <w:sz w:val="28"/>
          <w:szCs w:val="28"/>
          <w:rtl/>
        </w:rPr>
        <w:t>ِ</w:t>
      </w:r>
      <w:r w:rsidRPr="006571AC">
        <w:rPr>
          <w:rFonts w:cs="DanaFajr"/>
          <w:sz w:val="28"/>
          <w:szCs w:val="28"/>
          <w:rtl/>
        </w:rPr>
        <w:t>ب</w:t>
      </w:r>
      <w:r w:rsidRPr="006571AC">
        <w:rPr>
          <w:rFonts w:cs="DanaFajr" w:hint="cs"/>
          <w:sz w:val="28"/>
          <w:szCs w:val="28"/>
          <w:rtl/>
        </w:rPr>
        <w:t>ْ</w:t>
      </w:r>
      <w:r w:rsidRPr="006571AC">
        <w:rPr>
          <w:rFonts w:cs="DanaFajr"/>
          <w:sz w:val="28"/>
          <w:szCs w:val="28"/>
          <w:rtl/>
        </w:rPr>
        <w:t xml:space="preserve"> ما</w:t>
      </w:r>
      <w:r w:rsidRPr="006571AC">
        <w:rPr>
          <w:rFonts w:cs="DanaFajr" w:hint="cs"/>
          <w:sz w:val="28"/>
          <w:szCs w:val="28"/>
          <w:rtl/>
        </w:rPr>
        <w:t>ءً</w:t>
      </w:r>
      <w:r w:rsidRPr="006571AC">
        <w:rPr>
          <w:rFonts w:cs="DanaFajr"/>
          <w:sz w:val="28"/>
          <w:szCs w:val="28"/>
          <w:rtl/>
        </w:rPr>
        <w:t>، قلت</w:t>
      </w:r>
      <w:r w:rsidRPr="006571AC">
        <w:rPr>
          <w:rFonts w:cs="DanaFajr" w:hint="cs"/>
          <w:sz w:val="28"/>
          <w:szCs w:val="28"/>
          <w:rtl/>
        </w:rPr>
        <w:t>ُ</w:t>
      </w:r>
      <w:r w:rsidRPr="006571AC">
        <w:rPr>
          <w:rFonts w:cs="DanaFajr"/>
          <w:sz w:val="28"/>
          <w:szCs w:val="28"/>
          <w:rtl/>
        </w:rPr>
        <w:t>: فإن</w:t>
      </w:r>
      <w:r w:rsidRPr="006571AC">
        <w:rPr>
          <w:rFonts w:cs="DanaFajr" w:hint="cs"/>
          <w:sz w:val="28"/>
          <w:szCs w:val="28"/>
          <w:rtl/>
        </w:rPr>
        <w:t>ْ</w:t>
      </w:r>
      <w:r w:rsidRPr="006571AC">
        <w:rPr>
          <w:rFonts w:cs="DanaFajr"/>
          <w:sz w:val="28"/>
          <w:szCs w:val="28"/>
          <w:rtl/>
        </w:rPr>
        <w:t xml:space="preserve"> أصاب الماء، ورجا أن يقدر على ما</w:t>
      </w:r>
      <w:r w:rsidRPr="006571AC">
        <w:rPr>
          <w:rFonts w:cs="DanaFajr" w:hint="cs"/>
          <w:sz w:val="28"/>
          <w:szCs w:val="28"/>
          <w:rtl/>
        </w:rPr>
        <w:t>ءٍ</w:t>
      </w:r>
      <w:r w:rsidRPr="006571AC">
        <w:rPr>
          <w:rFonts w:cs="DanaFajr"/>
          <w:sz w:val="28"/>
          <w:szCs w:val="28"/>
          <w:rtl/>
        </w:rPr>
        <w:t xml:space="preserve"> آخر، وظن</w:t>
      </w:r>
      <w:r w:rsidRPr="006571AC">
        <w:rPr>
          <w:rFonts w:cs="DanaFajr" w:hint="cs"/>
          <w:sz w:val="28"/>
          <w:szCs w:val="28"/>
          <w:rtl/>
        </w:rPr>
        <w:t>ّ</w:t>
      </w:r>
      <w:r w:rsidRPr="006571AC">
        <w:rPr>
          <w:rFonts w:cs="DanaFajr"/>
          <w:sz w:val="28"/>
          <w:szCs w:val="28"/>
          <w:rtl/>
        </w:rPr>
        <w:t xml:space="preserve"> أن</w:t>
      </w:r>
      <w:r w:rsidRPr="006571AC">
        <w:rPr>
          <w:rFonts w:cs="DanaFajr" w:hint="cs"/>
          <w:sz w:val="28"/>
          <w:szCs w:val="28"/>
          <w:rtl/>
        </w:rPr>
        <w:t>ّ</w:t>
      </w:r>
      <w:r w:rsidRPr="006571AC">
        <w:rPr>
          <w:rFonts w:cs="DanaFajr"/>
          <w:sz w:val="28"/>
          <w:szCs w:val="28"/>
          <w:rtl/>
        </w:rPr>
        <w:t>ه يقدر عليه كل</w:t>
      </w:r>
      <w:r w:rsidRPr="006571AC">
        <w:rPr>
          <w:rFonts w:cs="DanaFajr" w:hint="cs"/>
          <w:sz w:val="28"/>
          <w:szCs w:val="28"/>
          <w:rtl/>
        </w:rPr>
        <w:t>ّ</w:t>
      </w:r>
      <w:r w:rsidRPr="006571AC">
        <w:rPr>
          <w:rFonts w:cs="DanaFajr"/>
          <w:sz w:val="28"/>
          <w:szCs w:val="28"/>
          <w:rtl/>
        </w:rPr>
        <w:t>ما أراد، فع</w:t>
      </w:r>
      <w:r w:rsidRPr="006571AC">
        <w:rPr>
          <w:rFonts w:cs="DanaFajr" w:hint="cs"/>
          <w:sz w:val="28"/>
          <w:szCs w:val="28"/>
          <w:rtl/>
        </w:rPr>
        <w:t>َ</w:t>
      </w:r>
      <w:r w:rsidRPr="006571AC">
        <w:rPr>
          <w:rFonts w:cs="DanaFajr"/>
          <w:sz w:val="28"/>
          <w:szCs w:val="28"/>
          <w:rtl/>
        </w:rPr>
        <w:t>س</w:t>
      </w:r>
      <w:r w:rsidRPr="006571AC">
        <w:rPr>
          <w:rFonts w:cs="DanaFajr" w:hint="cs"/>
          <w:sz w:val="28"/>
          <w:szCs w:val="28"/>
          <w:rtl/>
        </w:rPr>
        <w:t>ُ</w:t>
      </w:r>
      <w:r w:rsidRPr="006571AC">
        <w:rPr>
          <w:rFonts w:cs="DanaFajr"/>
          <w:sz w:val="28"/>
          <w:szCs w:val="28"/>
          <w:rtl/>
        </w:rPr>
        <w:t>ر</w:t>
      </w:r>
      <w:r w:rsidRPr="006571AC">
        <w:rPr>
          <w:rFonts w:cs="DanaFajr" w:hint="cs"/>
          <w:sz w:val="28"/>
          <w:szCs w:val="28"/>
          <w:rtl/>
        </w:rPr>
        <w:t xml:space="preserve"> </w:t>
      </w:r>
      <w:r w:rsidRPr="006571AC">
        <w:rPr>
          <w:rFonts w:cs="DanaFajr"/>
          <w:sz w:val="28"/>
          <w:szCs w:val="28"/>
          <w:rtl/>
        </w:rPr>
        <w:t>ذلك عليه؟ قال: ينقض ذلك تيم</w:t>
      </w:r>
      <w:r w:rsidRPr="006571AC">
        <w:rPr>
          <w:rFonts w:cs="DanaFajr" w:hint="cs"/>
          <w:sz w:val="28"/>
          <w:szCs w:val="28"/>
          <w:rtl/>
        </w:rPr>
        <w:t>ُّ</w:t>
      </w:r>
      <w:r w:rsidRPr="006571AC">
        <w:rPr>
          <w:rFonts w:cs="DanaFajr"/>
          <w:sz w:val="28"/>
          <w:szCs w:val="28"/>
          <w:rtl/>
        </w:rPr>
        <w:t>مه، وعليه أن يعيد التيمم</w:t>
      </w:r>
      <w:r w:rsidRPr="006571AC">
        <w:rPr>
          <w:rFonts w:cs="DanaFajr" w:hint="cs"/>
          <w:sz w:val="28"/>
          <w:szCs w:val="28"/>
          <w:rtl/>
        </w:rPr>
        <w:t>...،</w:t>
      </w:r>
      <w:r w:rsidRPr="006571AC">
        <w:rPr>
          <w:rFonts w:cs="DanaFajr" w:hint="cs"/>
          <w:b/>
          <w:bCs/>
          <w:sz w:val="28"/>
          <w:szCs w:val="28"/>
          <w:rtl/>
        </w:rPr>
        <w:t xml:space="preserve"> </w:t>
      </w:r>
      <w:r w:rsidRPr="006571AC">
        <w:rPr>
          <w:rFonts w:cs="DanaFajr"/>
          <w:b/>
          <w:bCs/>
          <w:sz w:val="28"/>
          <w:szCs w:val="28"/>
          <w:rtl/>
        </w:rPr>
        <w:t>الحديث</w:t>
      </w:r>
      <w:r w:rsidRPr="006571AC">
        <w:rPr>
          <w:rFonts w:cs="DanaFajr"/>
          <w:sz w:val="28"/>
          <w:szCs w:val="28"/>
          <w:rtl/>
        </w:rPr>
        <w:t xml:space="preserve">. </w:t>
      </w:r>
    </w:p>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محم</w:t>
      </w:r>
      <w:r w:rsidRPr="006571AC">
        <w:rPr>
          <w:rFonts w:cs="DanaFajr" w:hint="cs"/>
          <w:sz w:val="28"/>
          <w:szCs w:val="28"/>
          <w:rtl/>
        </w:rPr>
        <w:t>ّ</w:t>
      </w:r>
      <w:r w:rsidRPr="006571AC">
        <w:rPr>
          <w:rFonts w:cs="DanaFajr"/>
          <w:sz w:val="28"/>
          <w:szCs w:val="28"/>
          <w:rtl/>
        </w:rPr>
        <w:t>د بن الحسن بإسناده عن الحسين بن سعيد، عن حم</w:t>
      </w:r>
      <w:r w:rsidRPr="006571AC">
        <w:rPr>
          <w:rFonts w:cs="DanaFajr" w:hint="cs"/>
          <w:sz w:val="28"/>
          <w:szCs w:val="28"/>
          <w:rtl/>
        </w:rPr>
        <w:t>ّ</w:t>
      </w:r>
      <w:r w:rsidRPr="006571AC">
        <w:rPr>
          <w:rFonts w:cs="DanaFajr"/>
          <w:sz w:val="28"/>
          <w:szCs w:val="28"/>
          <w:rtl/>
        </w:rPr>
        <w:t>اد، مثله</w:t>
      </w:r>
      <w:r w:rsidRPr="006571AC">
        <w:rPr>
          <w:rFonts w:hint="cs"/>
          <w:sz w:val="22"/>
          <w:szCs w:val="22"/>
          <w:rtl/>
        </w:rPr>
        <w:t>»</w:t>
      </w:r>
      <w:r w:rsidRPr="006571AC">
        <w:rPr>
          <w:rFonts w:cs="DanaFajr" w:hint="cs"/>
          <w:sz w:val="28"/>
          <w:szCs w:val="28"/>
          <w:rtl/>
        </w:rPr>
        <w:t xml:space="preserve">.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و</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379، الباب 20 من أبواب التيمُّم (باب جواز إيقاع صلوات كثيرة بتيمُّم واحد ما لم يُحدث أو يجد الماء)، ح1، حيث قال: </w:t>
      </w:r>
      <w:r w:rsidRPr="006571AC">
        <w:rPr>
          <w:rFonts w:hint="cs"/>
          <w:sz w:val="22"/>
          <w:szCs w:val="22"/>
          <w:rtl/>
        </w:rPr>
        <w:t>«</w:t>
      </w:r>
      <w:r w:rsidRPr="006571AC">
        <w:rPr>
          <w:rFonts w:cs="DanaFajr"/>
          <w:sz w:val="28"/>
          <w:szCs w:val="28"/>
          <w:rtl/>
        </w:rPr>
        <w:t>1ـ محم</w:t>
      </w:r>
      <w:r w:rsidRPr="006571AC">
        <w:rPr>
          <w:rFonts w:cs="DanaFajr" w:hint="cs"/>
          <w:sz w:val="28"/>
          <w:szCs w:val="28"/>
          <w:rtl/>
        </w:rPr>
        <w:t>ّ</w:t>
      </w:r>
      <w:r w:rsidRPr="006571AC">
        <w:rPr>
          <w:rFonts w:cs="DanaFajr"/>
          <w:sz w:val="28"/>
          <w:szCs w:val="28"/>
          <w:rtl/>
        </w:rPr>
        <w:t>د بن الحسن بإسناده عن الحسين بن سعيد، عن حم</w:t>
      </w:r>
      <w:r w:rsidRPr="006571AC">
        <w:rPr>
          <w:rFonts w:cs="DanaFajr" w:hint="cs"/>
          <w:sz w:val="28"/>
          <w:szCs w:val="28"/>
          <w:rtl/>
        </w:rPr>
        <w:t>ّ</w:t>
      </w:r>
      <w:r w:rsidRPr="006571AC">
        <w:rPr>
          <w:rFonts w:cs="DanaFajr"/>
          <w:sz w:val="28"/>
          <w:szCs w:val="28"/>
          <w:rtl/>
        </w:rPr>
        <w:t>اد، عن حريز، عن زرارة</w:t>
      </w:r>
      <w:r w:rsidRPr="006571AC">
        <w:rPr>
          <w:rFonts w:cs="DanaFajr" w:hint="cs"/>
          <w:sz w:val="28"/>
          <w:szCs w:val="28"/>
          <w:rtl/>
        </w:rPr>
        <w:t xml:space="preserve"> </w:t>
      </w:r>
      <w:r w:rsidRPr="006571AC">
        <w:rPr>
          <w:rFonts w:cs="DanaFajr"/>
          <w:sz w:val="28"/>
          <w:szCs w:val="28"/>
          <w:rtl/>
        </w:rPr>
        <w:t>قال: قلت</w:t>
      </w:r>
      <w:r w:rsidRPr="006571AC">
        <w:rPr>
          <w:rFonts w:cs="DanaFajr" w:hint="cs"/>
          <w:sz w:val="28"/>
          <w:szCs w:val="28"/>
          <w:rtl/>
        </w:rPr>
        <w:t>ُ</w:t>
      </w:r>
      <w:r w:rsidRPr="006571AC">
        <w:rPr>
          <w:rFonts w:cs="DanaFajr"/>
          <w:sz w:val="28"/>
          <w:szCs w:val="28"/>
          <w:rtl/>
        </w:rPr>
        <w:t xml:space="preserve"> ل</w:t>
      </w:r>
      <w:r w:rsidRPr="006571AC">
        <w:rPr>
          <w:rFonts w:cs="DanaFajr" w:hint="cs"/>
          <w:sz w:val="28"/>
          <w:szCs w:val="28"/>
          <w:rtl/>
        </w:rPr>
        <w:t>أ</w:t>
      </w:r>
      <w:r w:rsidRPr="006571AC">
        <w:rPr>
          <w:rFonts w:cs="DanaFajr"/>
          <w:sz w:val="28"/>
          <w:szCs w:val="28"/>
          <w:rtl/>
        </w:rPr>
        <w:t>بي جعفر</w:t>
      </w:r>
      <w:r w:rsidRPr="006571AC">
        <w:rPr>
          <w:rFonts w:ascii="Mosawi" w:hAnsi="Mosawi" w:cs="Mosawi"/>
          <w:rtl/>
        </w:rPr>
        <w:t>×</w:t>
      </w:r>
      <w:r w:rsidRPr="006571AC">
        <w:rPr>
          <w:rFonts w:cs="DanaFajr"/>
          <w:sz w:val="28"/>
          <w:szCs w:val="28"/>
          <w:rtl/>
        </w:rPr>
        <w:t>: يصل</w:t>
      </w:r>
      <w:r w:rsidRPr="006571AC">
        <w:rPr>
          <w:rFonts w:cs="DanaFajr" w:hint="cs"/>
          <w:sz w:val="28"/>
          <w:szCs w:val="28"/>
          <w:rtl/>
        </w:rPr>
        <w:t>ّ</w:t>
      </w:r>
      <w:r w:rsidRPr="006571AC">
        <w:rPr>
          <w:rFonts w:cs="DanaFajr"/>
          <w:sz w:val="28"/>
          <w:szCs w:val="28"/>
          <w:rtl/>
        </w:rPr>
        <w:t>ي الرجل بتيم</w:t>
      </w:r>
      <w:r w:rsidRPr="006571AC">
        <w:rPr>
          <w:rFonts w:cs="DanaFajr" w:hint="cs"/>
          <w:sz w:val="28"/>
          <w:szCs w:val="28"/>
          <w:rtl/>
        </w:rPr>
        <w:t>ُّ</w:t>
      </w:r>
      <w:r w:rsidRPr="006571AC">
        <w:rPr>
          <w:rFonts w:cs="DanaFajr"/>
          <w:sz w:val="28"/>
          <w:szCs w:val="28"/>
          <w:rtl/>
        </w:rPr>
        <w:t>م</w:t>
      </w:r>
      <w:r w:rsidRPr="006571AC">
        <w:rPr>
          <w:rFonts w:cs="DanaFajr" w:hint="cs"/>
          <w:sz w:val="28"/>
          <w:szCs w:val="28"/>
          <w:rtl/>
        </w:rPr>
        <w:t>ٍ</w:t>
      </w:r>
      <w:r w:rsidRPr="006571AC">
        <w:rPr>
          <w:rFonts w:cs="DanaFajr"/>
          <w:sz w:val="28"/>
          <w:szCs w:val="28"/>
          <w:rtl/>
        </w:rPr>
        <w:t xml:space="preserve"> واحد</w:t>
      </w:r>
      <w:r w:rsidRPr="006571AC">
        <w:rPr>
          <w:rFonts w:cs="DanaFajr" w:hint="cs"/>
          <w:sz w:val="28"/>
          <w:szCs w:val="28"/>
          <w:rtl/>
        </w:rPr>
        <w:t>ٍ</w:t>
      </w:r>
      <w:r w:rsidRPr="006571AC">
        <w:rPr>
          <w:rFonts w:cs="DanaFajr"/>
          <w:sz w:val="28"/>
          <w:szCs w:val="28"/>
          <w:rtl/>
        </w:rPr>
        <w:t xml:space="preserve"> صلاة الليل والنهار كل</w:t>
      </w:r>
      <w:r w:rsidRPr="006571AC">
        <w:rPr>
          <w:rFonts w:cs="DanaFajr" w:hint="cs"/>
          <w:sz w:val="28"/>
          <w:szCs w:val="28"/>
          <w:rtl/>
        </w:rPr>
        <w:t>ّ</w:t>
      </w:r>
      <w:r w:rsidRPr="006571AC">
        <w:rPr>
          <w:rFonts w:cs="DanaFajr"/>
          <w:sz w:val="28"/>
          <w:szCs w:val="28"/>
          <w:rtl/>
        </w:rPr>
        <w:t>ها؟ فقال: نعم، ما لم ي</w:t>
      </w:r>
      <w:r w:rsidRPr="006571AC">
        <w:rPr>
          <w:rFonts w:cs="DanaFajr" w:hint="cs"/>
          <w:sz w:val="28"/>
          <w:szCs w:val="28"/>
          <w:rtl/>
        </w:rPr>
        <w:t>ُ</w:t>
      </w:r>
      <w:r w:rsidRPr="006571AC">
        <w:rPr>
          <w:rFonts w:cs="DanaFajr"/>
          <w:sz w:val="28"/>
          <w:szCs w:val="28"/>
          <w:rtl/>
        </w:rPr>
        <w:t>حدث، أو يص</w:t>
      </w:r>
      <w:r w:rsidRPr="006571AC">
        <w:rPr>
          <w:rFonts w:cs="DanaFajr" w:hint="cs"/>
          <w:sz w:val="28"/>
          <w:szCs w:val="28"/>
          <w:rtl/>
        </w:rPr>
        <w:t>ِ</w:t>
      </w:r>
      <w:r w:rsidRPr="006571AC">
        <w:rPr>
          <w:rFonts w:cs="DanaFajr"/>
          <w:sz w:val="28"/>
          <w:szCs w:val="28"/>
          <w:rtl/>
        </w:rPr>
        <w:t>ب</w:t>
      </w:r>
      <w:r w:rsidRPr="006571AC">
        <w:rPr>
          <w:rFonts w:cs="DanaFajr" w:hint="cs"/>
          <w:sz w:val="28"/>
          <w:szCs w:val="28"/>
          <w:rtl/>
        </w:rPr>
        <w:t>ْ</w:t>
      </w:r>
      <w:r w:rsidRPr="006571AC">
        <w:rPr>
          <w:rFonts w:cs="DanaFajr"/>
          <w:sz w:val="28"/>
          <w:szCs w:val="28"/>
          <w:rtl/>
        </w:rPr>
        <w:t xml:space="preserve"> ماء</w:t>
      </w:r>
      <w:r w:rsidRPr="006571AC">
        <w:rPr>
          <w:rFonts w:cs="DanaFajr" w:hint="cs"/>
          <w:sz w:val="28"/>
          <w:szCs w:val="28"/>
          <w:rtl/>
        </w:rPr>
        <w:t>ً...،</w:t>
      </w:r>
      <w:r w:rsidRPr="006571AC">
        <w:rPr>
          <w:rFonts w:cs="DanaFajr" w:hint="cs"/>
          <w:b/>
          <w:bCs/>
          <w:sz w:val="28"/>
          <w:szCs w:val="28"/>
          <w:rtl/>
        </w:rPr>
        <w:t xml:space="preserve"> </w:t>
      </w:r>
      <w:r w:rsidRPr="006571AC">
        <w:rPr>
          <w:rFonts w:cs="DanaFajr"/>
          <w:b/>
          <w:bCs/>
          <w:sz w:val="28"/>
          <w:szCs w:val="28"/>
          <w:rtl/>
        </w:rPr>
        <w:t>الحديث</w:t>
      </w:r>
      <w:r w:rsidRPr="006571AC">
        <w:rPr>
          <w:rFonts w:cs="DanaFajr"/>
          <w:sz w:val="28"/>
          <w:szCs w:val="28"/>
          <w:rtl/>
        </w:rPr>
        <w:t xml:space="preserve">. </w:t>
      </w:r>
    </w:p>
    <w:p w:rsidR="00DB2356" w:rsidRPr="006571AC" w:rsidRDefault="00DB2356" w:rsidP="00D65D95">
      <w:pPr>
        <w:spacing w:line="306" w:lineRule="exact"/>
        <w:ind w:firstLine="0"/>
        <w:rPr>
          <w:rFonts w:cs="DanaFajr"/>
          <w:szCs w:val="28"/>
          <w:rtl/>
        </w:rPr>
      </w:pPr>
      <w:r w:rsidRPr="006571AC">
        <w:rPr>
          <w:rFonts w:cs="DanaFajr"/>
          <w:szCs w:val="28"/>
          <w:rtl/>
        </w:rPr>
        <w:t>ورواه الكليني</w:t>
      </w:r>
      <w:r w:rsidRPr="006571AC">
        <w:rPr>
          <w:rFonts w:cs="DanaFajr" w:hint="cs"/>
          <w:szCs w:val="28"/>
          <w:rtl/>
        </w:rPr>
        <w:t>ّ</w:t>
      </w:r>
      <w:r w:rsidRPr="006571AC">
        <w:rPr>
          <w:rFonts w:cs="DanaFajr"/>
          <w:szCs w:val="28"/>
          <w:rtl/>
        </w:rPr>
        <w:t xml:space="preserve"> كما مر</w:t>
      </w:r>
      <w:r w:rsidRPr="006571AC">
        <w:rPr>
          <w:rFonts w:cs="DanaFajr" w:hint="cs"/>
          <w:szCs w:val="28"/>
          <w:rtl/>
        </w:rPr>
        <w:t>ّ</w:t>
      </w:r>
      <w:r w:rsidRPr="006571AC">
        <w:rPr>
          <w:rFonts w:hint="cs"/>
          <w:sz w:val="22"/>
          <w:szCs w:val="22"/>
          <w:rtl/>
        </w:rPr>
        <w:t>»</w:t>
      </w:r>
      <w:r w:rsidRPr="006571AC">
        <w:rPr>
          <w:rFonts w:cs="DanaFajr"/>
          <w:szCs w:val="28"/>
          <w:rtl/>
        </w:rPr>
        <w:t xml:space="preserve">.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و</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381، الباب 21 من أبواب التيمُّم (باب أنّ مَنْ دخل في صلاة بتيمُّم ثمّ وجد الماء وجب عليه الانصراف والطهارة والاستئناف ما لم يركع)، ح1، حيث قال: </w:t>
      </w:r>
      <w:r w:rsidRPr="006571AC">
        <w:rPr>
          <w:rFonts w:hint="cs"/>
          <w:sz w:val="22"/>
          <w:szCs w:val="22"/>
          <w:rtl/>
        </w:rPr>
        <w:t>«</w:t>
      </w:r>
      <w:r w:rsidRPr="006571AC">
        <w:rPr>
          <w:rFonts w:cs="DanaFajr"/>
          <w:sz w:val="28"/>
          <w:szCs w:val="28"/>
          <w:rtl/>
        </w:rPr>
        <w:t>1ـ محم</w:t>
      </w:r>
      <w:r w:rsidRPr="006571AC">
        <w:rPr>
          <w:rFonts w:cs="DanaFajr" w:hint="cs"/>
          <w:sz w:val="28"/>
          <w:szCs w:val="28"/>
          <w:rtl/>
        </w:rPr>
        <w:t>ّ</w:t>
      </w:r>
      <w:r w:rsidRPr="006571AC">
        <w:rPr>
          <w:rFonts w:cs="DanaFajr"/>
          <w:sz w:val="28"/>
          <w:szCs w:val="28"/>
          <w:rtl/>
        </w:rPr>
        <w:t>د بن الحسن، عن المفيد، عن أحمد بن محم</w:t>
      </w:r>
      <w:r w:rsidRPr="006571AC">
        <w:rPr>
          <w:rFonts w:cs="DanaFajr" w:hint="cs"/>
          <w:sz w:val="28"/>
          <w:szCs w:val="28"/>
          <w:rtl/>
        </w:rPr>
        <w:t>ّ</w:t>
      </w:r>
      <w:r w:rsidRPr="006571AC">
        <w:rPr>
          <w:rFonts w:cs="DanaFajr"/>
          <w:sz w:val="28"/>
          <w:szCs w:val="28"/>
          <w:rtl/>
        </w:rPr>
        <w:t>د، عن أبيه، عن الصف</w:t>
      </w:r>
      <w:r w:rsidRPr="006571AC">
        <w:rPr>
          <w:rFonts w:cs="DanaFajr" w:hint="cs"/>
          <w:sz w:val="28"/>
          <w:szCs w:val="28"/>
          <w:rtl/>
        </w:rPr>
        <w:t>ّ</w:t>
      </w:r>
      <w:r w:rsidRPr="006571AC">
        <w:rPr>
          <w:rFonts w:cs="DanaFajr"/>
          <w:sz w:val="28"/>
          <w:szCs w:val="28"/>
          <w:rtl/>
        </w:rPr>
        <w:t>ار وسعد، عن أحمد بن محم</w:t>
      </w:r>
      <w:r w:rsidRPr="006571AC">
        <w:rPr>
          <w:rFonts w:cs="DanaFajr" w:hint="cs"/>
          <w:sz w:val="28"/>
          <w:szCs w:val="28"/>
          <w:rtl/>
        </w:rPr>
        <w:t>ّ</w:t>
      </w:r>
      <w:r w:rsidRPr="006571AC">
        <w:rPr>
          <w:rFonts w:cs="DanaFajr"/>
          <w:sz w:val="28"/>
          <w:szCs w:val="28"/>
          <w:rtl/>
        </w:rPr>
        <w:t>د، عن الحسين بن سعيد، عن حم</w:t>
      </w:r>
      <w:r w:rsidRPr="006571AC">
        <w:rPr>
          <w:rFonts w:cs="DanaFajr" w:hint="cs"/>
          <w:sz w:val="28"/>
          <w:szCs w:val="28"/>
          <w:rtl/>
        </w:rPr>
        <w:t>ّ</w:t>
      </w:r>
      <w:r w:rsidRPr="006571AC">
        <w:rPr>
          <w:rFonts w:cs="DanaFajr"/>
          <w:sz w:val="28"/>
          <w:szCs w:val="28"/>
          <w:rtl/>
        </w:rPr>
        <w:t xml:space="preserve">اد، عن حريز، عن زرارة </w:t>
      </w:r>
      <w:r w:rsidRPr="006571AC">
        <w:rPr>
          <w:rFonts w:cs="DanaFajr" w:hint="cs"/>
          <w:b/>
          <w:bCs/>
          <w:sz w:val="28"/>
          <w:szCs w:val="28"/>
          <w:rtl/>
        </w:rPr>
        <w:t>ـ</w:t>
      </w:r>
      <w:r w:rsidRPr="006571AC">
        <w:rPr>
          <w:rFonts w:cs="DanaFajr"/>
          <w:b/>
          <w:bCs/>
          <w:sz w:val="28"/>
          <w:szCs w:val="28"/>
          <w:rtl/>
        </w:rPr>
        <w:t xml:space="preserve"> في حديث</w:t>
      </w:r>
      <w:r w:rsidRPr="006571AC">
        <w:rPr>
          <w:rFonts w:cs="DanaFajr" w:hint="cs"/>
          <w:b/>
          <w:bCs/>
          <w:sz w:val="28"/>
          <w:szCs w:val="28"/>
          <w:rtl/>
        </w:rPr>
        <w:t>ٍ</w:t>
      </w:r>
      <w:r w:rsidRPr="006571AC">
        <w:rPr>
          <w:rFonts w:cs="DanaFajr"/>
          <w:b/>
          <w:bCs/>
          <w:sz w:val="28"/>
          <w:szCs w:val="28"/>
          <w:rtl/>
        </w:rPr>
        <w:t xml:space="preserve"> </w:t>
      </w:r>
      <w:r w:rsidRPr="006571AC">
        <w:rPr>
          <w:rFonts w:cs="DanaFajr" w:hint="cs"/>
          <w:b/>
          <w:bCs/>
          <w:sz w:val="28"/>
          <w:szCs w:val="28"/>
          <w:rtl/>
        </w:rPr>
        <w:t>ـ</w:t>
      </w:r>
      <w:r w:rsidRPr="006571AC">
        <w:rPr>
          <w:rFonts w:cs="DanaFajr"/>
          <w:sz w:val="28"/>
          <w:szCs w:val="28"/>
          <w:rtl/>
        </w:rPr>
        <w:t xml:space="preserve"> قال: قلت</w:t>
      </w:r>
      <w:r w:rsidRPr="006571AC">
        <w:rPr>
          <w:rFonts w:cs="DanaFajr" w:hint="cs"/>
          <w:sz w:val="28"/>
          <w:szCs w:val="28"/>
          <w:rtl/>
        </w:rPr>
        <w:t>ُ</w:t>
      </w:r>
      <w:r w:rsidRPr="006571AC">
        <w:rPr>
          <w:rFonts w:cs="DanaFajr"/>
          <w:sz w:val="28"/>
          <w:szCs w:val="28"/>
          <w:rtl/>
        </w:rPr>
        <w:t xml:space="preserve"> ل</w:t>
      </w:r>
      <w:r w:rsidRPr="006571AC">
        <w:rPr>
          <w:rFonts w:cs="DanaFajr" w:hint="cs"/>
          <w:sz w:val="28"/>
          <w:szCs w:val="28"/>
          <w:rtl/>
        </w:rPr>
        <w:t>أ</w:t>
      </w:r>
      <w:r w:rsidRPr="006571AC">
        <w:rPr>
          <w:rFonts w:cs="DanaFajr"/>
          <w:sz w:val="28"/>
          <w:szCs w:val="28"/>
          <w:rtl/>
        </w:rPr>
        <w:t>بي جعفر</w:t>
      </w:r>
      <w:r w:rsidRPr="006571AC">
        <w:rPr>
          <w:rFonts w:ascii="Mosawi" w:hAnsi="Mosawi" w:cs="Mosawi"/>
          <w:rtl/>
        </w:rPr>
        <w:t>×</w:t>
      </w:r>
      <w:r w:rsidRPr="006571AC">
        <w:rPr>
          <w:rFonts w:cs="DanaFajr"/>
          <w:sz w:val="28"/>
          <w:szCs w:val="28"/>
          <w:rtl/>
        </w:rPr>
        <w:t>: إن</w:t>
      </w:r>
      <w:r w:rsidRPr="006571AC">
        <w:rPr>
          <w:rFonts w:cs="DanaFajr" w:hint="cs"/>
          <w:sz w:val="28"/>
          <w:szCs w:val="28"/>
          <w:rtl/>
        </w:rPr>
        <w:t>ْ</w:t>
      </w:r>
      <w:r w:rsidRPr="006571AC">
        <w:rPr>
          <w:rFonts w:cs="DanaFajr"/>
          <w:sz w:val="28"/>
          <w:szCs w:val="28"/>
          <w:rtl/>
        </w:rPr>
        <w:t xml:space="preserve"> أصاب الماء وقد دخل في الصلاة</w:t>
      </w:r>
      <w:r w:rsidRPr="006571AC">
        <w:rPr>
          <w:rFonts w:cs="DanaFajr" w:hint="cs"/>
          <w:sz w:val="28"/>
          <w:szCs w:val="28"/>
          <w:rtl/>
        </w:rPr>
        <w:t>؟</w:t>
      </w:r>
      <w:r w:rsidRPr="006571AC">
        <w:rPr>
          <w:rFonts w:cs="DanaFajr"/>
          <w:sz w:val="28"/>
          <w:szCs w:val="28"/>
          <w:rtl/>
        </w:rPr>
        <w:t xml:space="preserve"> قال: فلينصرف</w:t>
      </w:r>
      <w:r w:rsidRPr="006571AC">
        <w:rPr>
          <w:rFonts w:cs="DanaFajr" w:hint="cs"/>
          <w:sz w:val="28"/>
          <w:szCs w:val="28"/>
          <w:rtl/>
        </w:rPr>
        <w:t>ْ</w:t>
      </w:r>
      <w:r w:rsidRPr="006571AC">
        <w:rPr>
          <w:rFonts w:cs="DanaFajr"/>
          <w:sz w:val="28"/>
          <w:szCs w:val="28"/>
          <w:rtl/>
        </w:rPr>
        <w:t xml:space="preserve"> فليتوض</w:t>
      </w:r>
      <w:r w:rsidRPr="006571AC">
        <w:rPr>
          <w:rFonts w:cs="DanaFajr" w:hint="cs"/>
          <w:sz w:val="28"/>
          <w:szCs w:val="28"/>
          <w:rtl/>
        </w:rPr>
        <w:t>َّ</w:t>
      </w:r>
      <w:r w:rsidRPr="006571AC">
        <w:rPr>
          <w:rFonts w:cs="DanaFajr"/>
          <w:sz w:val="28"/>
          <w:szCs w:val="28"/>
          <w:rtl/>
        </w:rPr>
        <w:t>أ</w:t>
      </w:r>
      <w:r w:rsidRPr="006571AC">
        <w:rPr>
          <w:rFonts w:cs="DanaFajr" w:hint="cs"/>
          <w:sz w:val="28"/>
          <w:szCs w:val="28"/>
          <w:rtl/>
        </w:rPr>
        <w:t>ْ</w:t>
      </w:r>
      <w:r w:rsidRPr="006571AC">
        <w:rPr>
          <w:rFonts w:cs="DanaFajr"/>
          <w:sz w:val="28"/>
          <w:szCs w:val="28"/>
          <w:rtl/>
        </w:rPr>
        <w:t xml:space="preserve"> ما لم يركع، ف</w:t>
      </w:r>
      <w:r w:rsidRPr="006571AC">
        <w:rPr>
          <w:rFonts w:cs="DanaFajr" w:hint="cs"/>
          <w:sz w:val="28"/>
          <w:szCs w:val="28"/>
          <w:rtl/>
        </w:rPr>
        <w:t>إ</w:t>
      </w:r>
      <w:r w:rsidRPr="006571AC">
        <w:rPr>
          <w:rFonts w:cs="DanaFajr"/>
          <w:sz w:val="28"/>
          <w:szCs w:val="28"/>
          <w:rtl/>
        </w:rPr>
        <w:t>ن</w:t>
      </w:r>
      <w:r w:rsidRPr="006571AC">
        <w:rPr>
          <w:rFonts w:cs="DanaFajr" w:hint="cs"/>
          <w:sz w:val="28"/>
          <w:szCs w:val="28"/>
          <w:rtl/>
        </w:rPr>
        <w:t>ْ</w:t>
      </w:r>
      <w:r w:rsidRPr="006571AC">
        <w:rPr>
          <w:rFonts w:cs="DanaFajr"/>
          <w:sz w:val="28"/>
          <w:szCs w:val="28"/>
          <w:rtl/>
        </w:rPr>
        <w:t xml:space="preserve"> كان قد ركع فليمض</w:t>
      </w:r>
      <w:r w:rsidRPr="006571AC">
        <w:rPr>
          <w:rFonts w:cs="DanaFajr" w:hint="cs"/>
          <w:sz w:val="28"/>
          <w:szCs w:val="28"/>
          <w:rtl/>
        </w:rPr>
        <w:t>ِ</w:t>
      </w:r>
      <w:r w:rsidRPr="006571AC">
        <w:rPr>
          <w:rFonts w:cs="DanaFajr"/>
          <w:sz w:val="28"/>
          <w:szCs w:val="28"/>
          <w:rtl/>
        </w:rPr>
        <w:t xml:space="preserve"> في صلاته، فإن</w:t>
      </w:r>
      <w:r w:rsidRPr="006571AC">
        <w:rPr>
          <w:rFonts w:cs="DanaFajr" w:hint="cs"/>
          <w:sz w:val="28"/>
          <w:szCs w:val="28"/>
          <w:rtl/>
        </w:rPr>
        <w:t>ّ</w:t>
      </w:r>
      <w:r w:rsidRPr="006571AC">
        <w:rPr>
          <w:rFonts w:cs="DanaFajr"/>
          <w:sz w:val="28"/>
          <w:szCs w:val="28"/>
          <w:rtl/>
        </w:rPr>
        <w:t xml:space="preserve"> التيم</w:t>
      </w:r>
      <w:r w:rsidRPr="006571AC">
        <w:rPr>
          <w:rFonts w:cs="DanaFajr" w:hint="cs"/>
          <w:sz w:val="28"/>
          <w:szCs w:val="28"/>
          <w:rtl/>
        </w:rPr>
        <w:t>ُّ</w:t>
      </w:r>
      <w:r w:rsidRPr="006571AC">
        <w:rPr>
          <w:rFonts w:cs="DanaFajr"/>
          <w:sz w:val="28"/>
          <w:szCs w:val="28"/>
          <w:rtl/>
        </w:rPr>
        <w:t>م أحد الط</w:t>
      </w:r>
      <w:r w:rsidRPr="006571AC">
        <w:rPr>
          <w:rFonts w:cs="DanaFajr" w:hint="cs"/>
          <w:sz w:val="28"/>
          <w:szCs w:val="28"/>
          <w:rtl/>
        </w:rPr>
        <w:t>َّ</w:t>
      </w:r>
      <w:r w:rsidRPr="006571AC">
        <w:rPr>
          <w:rFonts w:cs="DanaFajr"/>
          <w:sz w:val="28"/>
          <w:szCs w:val="28"/>
          <w:rtl/>
        </w:rPr>
        <w:t>هور</w:t>
      </w:r>
      <w:r w:rsidRPr="006571AC">
        <w:rPr>
          <w:rFonts w:cs="DanaFajr" w:hint="cs"/>
          <w:sz w:val="28"/>
          <w:szCs w:val="28"/>
          <w:rtl/>
        </w:rPr>
        <w:t>َ</w:t>
      </w:r>
      <w:r w:rsidRPr="006571AC">
        <w:rPr>
          <w:rFonts w:cs="DanaFajr"/>
          <w:sz w:val="28"/>
          <w:szCs w:val="28"/>
          <w:rtl/>
        </w:rPr>
        <w:t>ي</w:t>
      </w:r>
      <w:r w:rsidRPr="006571AC">
        <w:rPr>
          <w:rFonts w:cs="DanaFajr" w:hint="cs"/>
          <w:sz w:val="28"/>
          <w:szCs w:val="28"/>
          <w:rtl/>
        </w:rPr>
        <w:t>ْ</w:t>
      </w:r>
      <w:r w:rsidRPr="006571AC">
        <w:rPr>
          <w:rFonts w:cs="DanaFajr"/>
          <w:sz w:val="28"/>
          <w:szCs w:val="28"/>
          <w:rtl/>
        </w:rPr>
        <w:t xml:space="preserve">ن. </w:t>
      </w:r>
    </w:p>
    <w:p w:rsidR="00DB2356" w:rsidRPr="006571AC" w:rsidRDefault="00DB2356" w:rsidP="00D65D95">
      <w:pPr>
        <w:spacing w:line="306" w:lineRule="exact"/>
        <w:ind w:firstLine="0"/>
        <w:rPr>
          <w:rFonts w:cs="DanaFajr"/>
          <w:szCs w:val="28"/>
          <w:rtl/>
        </w:rPr>
      </w:pPr>
      <w:r w:rsidRPr="006571AC">
        <w:rPr>
          <w:rFonts w:cs="DanaFajr"/>
          <w:szCs w:val="28"/>
          <w:rtl/>
        </w:rPr>
        <w:t>ورواه الكليني</w:t>
      </w:r>
      <w:r w:rsidRPr="006571AC">
        <w:rPr>
          <w:rFonts w:cs="DanaFajr" w:hint="cs"/>
          <w:szCs w:val="28"/>
          <w:rtl/>
        </w:rPr>
        <w:t>ّ</w:t>
      </w:r>
      <w:r w:rsidRPr="006571AC">
        <w:rPr>
          <w:rFonts w:cs="DanaFajr"/>
          <w:szCs w:val="28"/>
          <w:rtl/>
        </w:rPr>
        <w:t>، عن محم</w:t>
      </w:r>
      <w:r w:rsidRPr="006571AC">
        <w:rPr>
          <w:rFonts w:cs="DanaFajr" w:hint="cs"/>
          <w:szCs w:val="28"/>
          <w:rtl/>
        </w:rPr>
        <w:t>ّ</w:t>
      </w:r>
      <w:r w:rsidRPr="006571AC">
        <w:rPr>
          <w:rFonts w:cs="DanaFajr"/>
          <w:szCs w:val="28"/>
          <w:rtl/>
        </w:rPr>
        <w:t>د بن إسماعيل، عن الفضل بن شاذان، وعن علي</w:t>
      </w:r>
      <w:r w:rsidRPr="006571AC">
        <w:rPr>
          <w:rFonts w:cs="DanaFajr" w:hint="cs"/>
          <w:szCs w:val="28"/>
          <w:rtl/>
        </w:rPr>
        <w:t>ّ</w:t>
      </w:r>
      <w:r w:rsidRPr="006571AC">
        <w:rPr>
          <w:rFonts w:cs="DanaFajr"/>
          <w:szCs w:val="28"/>
          <w:rtl/>
        </w:rPr>
        <w:t xml:space="preserve"> بن إبراهيم، عن أبيه جميعا</w:t>
      </w:r>
      <w:r w:rsidRPr="006571AC">
        <w:rPr>
          <w:rFonts w:cs="DanaFajr" w:hint="cs"/>
          <w:szCs w:val="28"/>
          <w:rtl/>
        </w:rPr>
        <w:t>ً</w:t>
      </w:r>
      <w:r w:rsidRPr="006571AC">
        <w:rPr>
          <w:rFonts w:cs="DanaFajr"/>
          <w:szCs w:val="28"/>
          <w:rtl/>
        </w:rPr>
        <w:t>، عن حم</w:t>
      </w:r>
      <w:r w:rsidRPr="006571AC">
        <w:rPr>
          <w:rFonts w:cs="DanaFajr" w:hint="cs"/>
          <w:szCs w:val="28"/>
          <w:rtl/>
        </w:rPr>
        <w:t>ّ</w:t>
      </w:r>
      <w:r w:rsidRPr="006571AC">
        <w:rPr>
          <w:rFonts w:cs="DanaFajr"/>
          <w:szCs w:val="28"/>
          <w:rtl/>
        </w:rPr>
        <w:t>اد بن عيسى، عن حريز</w:t>
      </w:r>
      <w:r w:rsidRPr="006571AC">
        <w:rPr>
          <w:rFonts w:cs="DanaFajr" w:hint="cs"/>
          <w:szCs w:val="28"/>
          <w:rtl/>
        </w:rPr>
        <w:t xml:space="preserve">، </w:t>
      </w:r>
      <w:r w:rsidRPr="006571AC">
        <w:rPr>
          <w:rFonts w:cs="DanaFajr"/>
          <w:szCs w:val="28"/>
          <w:rtl/>
        </w:rPr>
        <w:t>مثله</w:t>
      </w:r>
      <w:r w:rsidRPr="006571AC">
        <w:rPr>
          <w:rFonts w:hint="cs"/>
          <w:sz w:val="22"/>
          <w:szCs w:val="22"/>
          <w:rtl/>
        </w:rPr>
        <w:t>»</w:t>
      </w:r>
      <w:r w:rsidRPr="006571AC">
        <w:rPr>
          <w:rFonts w:cs="DanaFajr"/>
          <w:szCs w:val="28"/>
          <w:rtl/>
        </w:rPr>
        <w:t xml:space="preserve">. </w:t>
      </w:r>
    </w:p>
    <w:p w:rsidR="00DB2356" w:rsidRPr="006571AC" w:rsidRDefault="00DB2356" w:rsidP="00D65D95">
      <w:pPr>
        <w:spacing w:line="306" w:lineRule="exact"/>
        <w:ind w:firstLine="0"/>
        <w:rPr>
          <w:rFonts w:cs="DanaFajr"/>
          <w:szCs w:val="28"/>
          <w:rtl/>
        </w:rPr>
      </w:pPr>
      <w:r w:rsidRPr="006571AC">
        <w:rPr>
          <w:rFonts w:cs="DanaFajr" w:hint="cs"/>
          <w:szCs w:val="28"/>
          <w:rtl/>
        </w:rPr>
        <w:t>وهذه الأحاديث الثلاثة كلُّها حديثٌ واحدٌ، فلاحِظْ كيف حذف</w:t>
      </w:r>
      <w:r w:rsidRPr="006571AC">
        <w:rPr>
          <w:rFonts w:ascii="Mosawi" w:hAnsi="Mosawi" w:cs="Mosawi"/>
          <w:sz w:val="20"/>
          <w:szCs w:val="20"/>
          <w:rtl/>
        </w:rPr>
        <w:t>&amp;</w:t>
      </w:r>
      <w:r w:rsidRPr="006571AC">
        <w:rPr>
          <w:rFonts w:cs="DanaFajr" w:hint="cs"/>
          <w:szCs w:val="28"/>
          <w:rtl/>
        </w:rPr>
        <w:t xml:space="preserve"> بعض فقرات الحديث في كلّ مورد، وذكر في كلّ مورد ما يناسبه من فقرات الحديث. </w:t>
      </w:r>
    </w:p>
  </w:endnote>
  <w:endnote w:id="862">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11: 63. وغيرُ ذلك من الأمثلة كثيرٌ جدّاً، فراجِعْ. </w:t>
      </w:r>
    </w:p>
  </w:endnote>
  <w:endnote w:id="863">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5: 48 ـ 49. وغيرُ ذلك من الأمثلة كثيرٌ جدّاً، فراجِعْ. </w:t>
      </w:r>
    </w:p>
  </w:endnote>
  <w:endnote w:id="864">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w:t>
      </w:r>
      <w:r w:rsidRPr="006571AC">
        <w:rPr>
          <w:rFonts w:cs="DanaFajr"/>
          <w:sz w:val="28"/>
          <w:szCs w:val="28"/>
          <w:rtl/>
        </w:rPr>
        <w:t>ال</w:t>
      </w:r>
      <w:r w:rsidRPr="006571AC">
        <w:rPr>
          <w:rFonts w:cs="DanaFajr" w:hint="cs"/>
          <w:sz w:val="28"/>
          <w:szCs w:val="28"/>
          <w:rtl/>
        </w:rPr>
        <w:t>أ</w:t>
      </w:r>
      <w:r w:rsidRPr="006571AC">
        <w:rPr>
          <w:rFonts w:cs="DanaFajr"/>
          <w:sz w:val="28"/>
          <w:szCs w:val="28"/>
          <w:rtl/>
        </w:rPr>
        <w:t>مالي</w:t>
      </w:r>
      <w:r w:rsidRPr="006571AC">
        <w:rPr>
          <w:rFonts w:cs="DanaFajr" w:hint="cs"/>
          <w:sz w:val="28"/>
          <w:szCs w:val="28"/>
          <w:rtl/>
        </w:rPr>
        <w:t xml:space="preserve">: 365. </w:t>
      </w:r>
    </w:p>
  </w:endnote>
  <w:endnote w:id="865">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322. وغيرُ ذلك من الأمثلة كثيرٌ جدّاً، فراجِعْ. </w:t>
      </w:r>
    </w:p>
  </w:endnote>
  <w:endnote w:id="866">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1: 373، كتاب الطهارة، باب الأغسال وكيفيّة الغسل من الجنابة، ح35. </w:t>
      </w:r>
    </w:p>
  </w:endnote>
  <w:endnote w:id="867">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135. وغيرُ ذلك من الأمثلة كثيرٌ جدّاً، فراجِعْ. </w:t>
      </w:r>
    </w:p>
  </w:endnote>
  <w:endnote w:id="868">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670، كتاب العشرة، باب التكاتب، ح2. </w:t>
      </w:r>
    </w:p>
  </w:endnote>
  <w:endnote w:id="869">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20: 158، الباب 79 من أبواب مقدّمات النكاح وآدابه، ح1، والكلينيّ، الكافي 5: 506 ـ 507، كتاب النكاح، أبواب المتعة، باب حقّ الزوج على المرأة، ح1. </w:t>
      </w:r>
    </w:p>
  </w:endnote>
  <w:endnote w:id="870">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126. </w:t>
      </w:r>
    </w:p>
  </w:endnote>
  <w:endnote w:id="871">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29: 290. </w:t>
      </w:r>
    </w:p>
  </w:endnote>
  <w:endnote w:id="872">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13: 444. وغيرُ ذلك من الأمثلة كثيرٌ جدّاً، فراجِعْ. </w:t>
      </w:r>
    </w:p>
  </w:endnote>
  <w:endnote w:id="873">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5: 439، كتاب الحجّ، بابٌ من الزيادات في فقه الحجّ، ح170، وفيه: </w:t>
      </w:r>
      <w:r w:rsidRPr="006571AC">
        <w:rPr>
          <w:rFonts w:hint="cs"/>
          <w:sz w:val="22"/>
          <w:szCs w:val="22"/>
          <w:rtl/>
        </w:rPr>
        <w:t>«</w:t>
      </w:r>
      <w:r w:rsidRPr="006571AC">
        <w:rPr>
          <w:rFonts w:cs="DanaFajr" w:hint="cs"/>
          <w:sz w:val="28"/>
          <w:szCs w:val="28"/>
          <w:rtl/>
        </w:rPr>
        <w:t>...</w:t>
      </w:r>
      <w:r w:rsidRPr="006571AC">
        <w:rPr>
          <w:rFonts w:cs="DanaFajr"/>
          <w:sz w:val="28"/>
          <w:szCs w:val="28"/>
          <w:rtl/>
        </w:rPr>
        <w:t xml:space="preserve">عن </w:t>
      </w:r>
      <w:r w:rsidRPr="006571AC">
        <w:rPr>
          <w:rFonts w:cs="DanaFajr" w:hint="cs"/>
          <w:sz w:val="28"/>
          <w:szCs w:val="28"/>
          <w:rtl/>
        </w:rPr>
        <w:t>إ</w:t>
      </w:r>
      <w:r w:rsidRPr="006571AC">
        <w:rPr>
          <w:rFonts w:cs="DanaFajr"/>
          <w:sz w:val="28"/>
          <w:szCs w:val="28"/>
          <w:rtl/>
        </w:rPr>
        <w:t xml:space="preserve">براهيم بن </w:t>
      </w:r>
      <w:r w:rsidRPr="006571AC">
        <w:rPr>
          <w:rFonts w:cs="DanaFajr" w:hint="cs"/>
          <w:sz w:val="28"/>
          <w:szCs w:val="28"/>
          <w:rtl/>
        </w:rPr>
        <w:t>أ</w:t>
      </w:r>
      <w:r w:rsidRPr="006571AC">
        <w:rPr>
          <w:rFonts w:cs="DanaFajr"/>
          <w:sz w:val="28"/>
          <w:szCs w:val="28"/>
          <w:rtl/>
        </w:rPr>
        <w:t>بي البلاد</w:t>
      </w:r>
      <w:r w:rsidRPr="006571AC">
        <w:rPr>
          <w:rFonts w:cs="DanaFajr" w:hint="cs"/>
          <w:sz w:val="28"/>
          <w:szCs w:val="28"/>
          <w:rtl/>
        </w:rPr>
        <w:t xml:space="preserve">، </w:t>
      </w:r>
      <w:r w:rsidRPr="006571AC">
        <w:rPr>
          <w:rFonts w:cs="DanaFajr"/>
          <w:b/>
          <w:bCs/>
          <w:sz w:val="28"/>
          <w:szCs w:val="28"/>
          <w:rtl/>
        </w:rPr>
        <w:t>قال: قلت</w:t>
      </w:r>
      <w:r w:rsidRPr="006571AC">
        <w:rPr>
          <w:rFonts w:cs="DanaFajr" w:hint="cs"/>
          <w:b/>
          <w:bCs/>
          <w:sz w:val="28"/>
          <w:szCs w:val="28"/>
          <w:rtl/>
        </w:rPr>
        <w:t>ُ</w:t>
      </w:r>
      <w:r w:rsidRPr="006571AC">
        <w:rPr>
          <w:rFonts w:cs="DanaFajr"/>
          <w:b/>
          <w:bCs/>
          <w:sz w:val="28"/>
          <w:szCs w:val="28"/>
          <w:rtl/>
        </w:rPr>
        <w:t xml:space="preserve"> ل</w:t>
      </w:r>
      <w:r w:rsidRPr="006571AC">
        <w:rPr>
          <w:rFonts w:cs="DanaFajr" w:hint="cs"/>
          <w:b/>
          <w:bCs/>
          <w:sz w:val="28"/>
          <w:szCs w:val="28"/>
          <w:rtl/>
        </w:rPr>
        <w:t>إ</w:t>
      </w:r>
      <w:r w:rsidRPr="006571AC">
        <w:rPr>
          <w:rFonts w:cs="DanaFajr"/>
          <w:b/>
          <w:bCs/>
          <w:sz w:val="28"/>
          <w:szCs w:val="28"/>
          <w:rtl/>
        </w:rPr>
        <w:t>براهيم بن عبد الحميد</w:t>
      </w:r>
      <w:r w:rsidRPr="006571AC">
        <w:rPr>
          <w:rFonts w:cs="DanaFajr" w:hint="cs"/>
          <w:b/>
          <w:bCs/>
          <w:sz w:val="28"/>
          <w:szCs w:val="28"/>
          <w:rtl/>
        </w:rPr>
        <w:t xml:space="preserve">، </w:t>
      </w:r>
      <w:r w:rsidRPr="006571AC">
        <w:rPr>
          <w:rFonts w:cs="DanaFajr"/>
          <w:b/>
          <w:bCs/>
          <w:sz w:val="28"/>
          <w:szCs w:val="28"/>
          <w:rtl/>
        </w:rPr>
        <w:t>وقد هي</w:t>
      </w:r>
      <w:r w:rsidRPr="006571AC">
        <w:rPr>
          <w:rFonts w:cs="DanaFajr" w:hint="cs"/>
          <w:b/>
          <w:bCs/>
          <w:sz w:val="28"/>
          <w:szCs w:val="28"/>
          <w:rtl/>
        </w:rPr>
        <w:t>ّ</w:t>
      </w:r>
      <w:r w:rsidRPr="006571AC">
        <w:rPr>
          <w:rFonts w:cs="DanaFajr"/>
          <w:b/>
          <w:bCs/>
          <w:sz w:val="28"/>
          <w:szCs w:val="28"/>
          <w:rtl/>
        </w:rPr>
        <w:t>أنا نحوا</w:t>
      </w:r>
      <w:r w:rsidRPr="006571AC">
        <w:rPr>
          <w:rFonts w:cs="DanaFajr" w:hint="cs"/>
          <w:b/>
          <w:bCs/>
          <w:sz w:val="28"/>
          <w:szCs w:val="28"/>
          <w:rtl/>
        </w:rPr>
        <w:t>ً</w:t>
      </w:r>
      <w:r w:rsidRPr="006571AC">
        <w:rPr>
          <w:rFonts w:cs="DanaFajr"/>
          <w:b/>
          <w:bCs/>
          <w:sz w:val="28"/>
          <w:szCs w:val="28"/>
          <w:rtl/>
        </w:rPr>
        <w:t xml:space="preserve"> من ثلاثين مسألة نبعث بها إلى </w:t>
      </w:r>
      <w:r w:rsidRPr="006571AC">
        <w:rPr>
          <w:rFonts w:cs="DanaFajr" w:hint="cs"/>
          <w:b/>
          <w:bCs/>
          <w:sz w:val="28"/>
          <w:szCs w:val="28"/>
          <w:rtl/>
        </w:rPr>
        <w:t>أ</w:t>
      </w:r>
      <w:r w:rsidRPr="006571AC">
        <w:rPr>
          <w:rFonts w:cs="DanaFajr"/>
          <w:b/>
          <w:bCs/>
          <w:sz w:val="28"/>
          <w:szCs w:val="28"/>
          <w:rtl/>
        </w:rPr>
        <w:t>بي الحسن موسى</w:t>
      </w:r>
      <w:r w:rsidRPr="006571AC">
        <w:rPr>
          <w:rFonts w:ascii="Mosawi" w:hAnsi="Mosawi" w:cs="Mosawi"/>
          <w:rtl/>
        </w:rPr>
        <w:t>×</w:t>
      </w:r>
      <w:r w:rsidRPr="006571AC">
        <w:rPr>
          <w:rFonts w:cs="DanaFajr"/>
          <w:b/>
          <w:bCs/>
          <w:sz w:val="28"/>
          <w:szCs w:val="28"/>
          <w:rtl/>
        </w:rPr>
        <w:t xml:space="preserve">: </w:t>
      </w:r>
      <w:r w:rsidRPr="006571AC">
        <w:rPr>
          <w:rFonts w:cs="DanaFajr" w:hint="cs"/>
          <w:b/>
          <w:bCs/>
          <w:sz w:val="28"/>
          <w:szCs w:val="28"/>
          <w:rtl/>
        </w:rPr>
        <w:t>أ</w:t>
      </w:r>
      <w:r w:rsidRPr="006571AC">
        <w:rPr>
          <w:rFonts w:cs="DanaFajr"/>
          <w:b/>
          <w:bCs/>
          <w:sz w:val="28"/>
          <w:szCs w:val="28"/>
          <w:rtl/>
        </w:rPr>
        <w:t>دخل لي هذه المسألة</w:t>
      </w:r>
      <w:r w:rsidRPr="006571AC">
        <w:rPr>
          <w:rFonts w:cs="DanaFajr" w:hint="cs"/>
          <w:b/>
          <w:bCs/>
          <w:sz w:val="28"/>
          <w:szCs w:val="28"/>
          <w:rtl/>
        </w:rPr>
        <w:t xml:space="preserve">، </w:t>
      </w:r>
      <w:r w:rsidRPr="006571AC">
        <w:rPr>
          <w:rFonts w:cs="DanaFajr"/>
          <w:b/>
          <w:bCs/>
          <w:sz w:val="28"/>
          <w:szCs w:val="28"/>
          <w:rtl/>
        </w:rPr>
        <w:t>ولا تسم</w:t>
      </w:r>
      <w:r w:rsidRPr="006571AC">
        <w:rPr>
          <w:rFonts w:cs="DanaFajr" w:hint="cs"/>
          <w:b/>
          <w:bCs/>
          <w:sz w:val="28"/>
          <w:szCs w:val="28"/>
          <w:rtl/>
        </w:rPr>
        <w:t>ِّ</w:t>
      </w:r>
      <w:r w:rsidRPr="006571AC">
        <w:rPr>
          <w:rFonts w:cs="DanaFajr"/>
          <w:b/>
          <w:bCs/>
          <w:sz w:val="28"/>
          <w:szCs w:val="28"/>
          <w:rtl/>
        </w:rPr>
        <w:t>ني له، س</w:t>
      </w:r>
      <w:r w:rsidRPr="006571AC">
        <w:rPr>
          <w:rFonts w:cs="DanaFajr" w:hint="cs"/>
          <w:b/>
          <w:bCs/>
          <w:sz w:val="28"/>
          <w:szCs w:val="28"/>
          <w:rtl/>
        </w:rPr>
        <w:t>َ</w:t>
      </w:r>
      <w:r w:rsidRPr="006571AC">
        <w:rPr>
          <w:rFonts w:cs="DanaFajr"/>
          <w:b/>
          <w:bCs/>
          <w:sz w:val="28"/>
          <w:szCs w:val="28"/>
          <w:rtl/>
        </w:rPr>
        <w:t>ل</w:t>
      </w:r>
      <w:r w:rsidRPr="006571AC">
        <w:rPr>
          <w:rFonts w:cs="DanaFajr" w:hint="cs"/>
          <w:b/>
          <w:bCs/>
          <w:sz w:val="28"/>
          <w:szCs w:val="28"/>
          <w:rtl/>
        </w:rPr>
        <w:t>ْ</w:t>
      </w:r>
      <w:r w:rsidRPr="006571AC">
        <w:rPr>
          <w:rFonts w:cs="DanaFajr"/>
          <w:b/>
          <w:bCs/>
          <w:sz w:val="28"/>
          <w:szCs w:val="28"/>
          <w:rtl/>
        </w:rPr>
        <w:t>ه</w:t>
      </w:r>
      <w:r w:rsidRPr="006571AC">
        <w:rPr>
          <w:rFonts w:cs="DanaFajr"/>
          <w:sz w:val="28"/>
          <w:szCs w:val="28"/>
          <w:rtl/>
        </w:rPr>
        <w:t xml:space="preserve"> عن العمرة المفردة على صاحبها طواف النساء؟ </w:t>
      </w:r>
      <w:r w:rsidRPr="006571AC">
        <w:rPr>
          <w:rFonts w:cs="DanaFajr"/>
          <w:b/>
          <w:bCs/>
          <w:sz w:val="28"/>
          <w:szCs w:val="28"/>
          <w:rtl/>
        </w:rPr>
        <w:t>قال: فجاءه الجواب في المسائل كل</w:t>
      </w:r>
      <w:r w:rsidRPr="006571AC">
        <w:rPr>
          <w:rFonts w:cs="DanaFajr" w:hint="cs"/>
          <w:b/>
          <w:bCs/>
          <w:sz w:val="28"/>
          <w:szCs w:val="28"/>
          <w:rtl/>
        </w:rPr>
        <w:t>ّ</w:t>
      </w:r>
      <w:r w:rsidRPr="006571AC">
        <w:rPr>
          <w:rFonts w:cs="DanaFajr"/>
          <w:b/>
          <w:bCs/>
          <w:sz w:val="28"/>
          <w:szCs w:val="28"/>
          <w:rtl/>
        </w:rPr>
        <w:t>ها غيرها، فقلت</w:t>
      </w:r>
      <w:r w:rsidRPr="006571AC">
        <w:rPr>
          <w:rFonts w:cs="DanaFajr" w:hint="cs"/>
          <w:b/>
          <w:bCs/>
          <w:sz w:val="28"/>
          <w:szCs w:val="28"/>
          <w:rtl/>
        </w:rPr>
        <w:t>ُ</w:t>
      </w:r>
      <w:r w:rsidRPr="006571AC">
        <w:rPr>
          <w:rFonts w:cs="DanaFajr"/>
          <w:b/>
          <w:bCs/>
          <w:sz w:val="28"/>
          <w:szCs w:val="28"/>
          <w:rtl/>
        </w:rPr>
        <w:t xml:space="preserve"> له: </w:t>
      </w:r>
      <w:r w:rsidRPr="006571AC">
        <w:rPr>
          <w:rFonts w:cs="DanaFajr" w:hint="cs"/>
          <w:b/>
          <w:bCs/>
          <w:sz w:val="28"/>
          <w:szCs w:val="28"/>
          <w:rtl/>
        </w:rPr>
        <w:t>أَ</w:t>
      </w:r>
      <w:r w:rsidRPr="006571AC">
        <w:rPr>
          <w:rFonts w:cs="DanaFajr"/>
          <w:b/>
          <w:bCs/>
          <w:sz w:val="28"/>
          <w:szCs w:val="28"/>
          <w:rtl/>
        </w:rPr>
        <w:t>ع</w:t>
      </w:r>
      <w:r w:rsidRPr="006571AC">
        <w:rPr>
          <w:rFonts w:cs="DanaFajr" w:hint="cs"/>
          <w:b/>
          <w:bCs/>
          <w:sz w:val="28"/>
          <w:szCs w:val="28"/>
          <w:rtl/>
        </w:rPr>
        <w:t>ِ</w:t>
      </w:r>
      <w:r w:rsidRPr="006571AC">
        <w:rPr>
          <w:rFonts w:cs="DanaFajr"/>
          <w:b/>
          <w:bCs/>
          <w:sz w:val="28"/>
          <w:szCs w:val="28"/>
          <w:rtl/>
        </w:rPr>
        <w:t>د</w:t>
      </w:r>
      <w:r w:rsidRPr="006571AC">
        <w:rPr>
          <w:rFonts w:cs="DanaFajr" w:hint="cs"/>
          <w:b/>
          <w:bCs/>
          <w:sz w:val="28"/>
          <w:szCs w:val="28"/>
          <w:rtl/>
        </w:rPr>
        <w:t>ْ</w:t>
      </w:r>
      <w:r w:rsidRPr="006571AC">
        <w:rPr>
          <w:rFonts w:cs="DanaFajr"/>
          <w:b/>
          <w:bCs/>
          <w:sz w:val="28"/>
          <w:szCs w:val="28"/>
          <w:rtl/>
        </w:rPr>
        <w:t>ها في مسائل أ</w:t>
      </w:r>
      <w:r w:rsidRPr="006571AC">
        <w:rPr>
          <w:rFonts w:cs="DanaFajr" w:hint="cs"/>
          <w:b/>
          <w:bCs/>
          <w:sz w:val="28"/>
          <w:szCs w:val="28"/>
          <w:rtl/>
        </w:rPr>
        <w:t>ُ</w:t>
      </w:r>
      <w:r w:rsidRPr="006571AC">
        <w:rPr>
          <w:rFonts w:cs="DanaFajr"/>
          <w:b/>
          <w:bCs/>
          <w:sz w:val="28"/>
          <w:szCs w:val="28"/>
          <w:rtl/>
        </w:rPr>
        <w:t>خ</w:t>
      </w:r>
      <w:r w:rsidRPr="006571AC">
        <w:rPr>
          <w:rFonts w:cs="DanaFajr" w:hint="cs"/>
          <w:b/>
          <w:bCs/>
          <w:sz w:val="28"/>
          <w:szCs w:val="28"/>
          <w:rtl/>
        </w:rPr>
        <w:t>َ</w:t>
      </w:r>
      <w:r w:rsidRPr="006571AC">
        <w:rPr>
          <w:rFonts w:cs="DanaFajr"/>
          <w:b/>
          <w:bCs/>
          <w:sz w:val="28"/>
          <w:szCs w:val="28"/>
          <w:rtl/>
        </w:rPr>
        <w:t>ر</w:t>
      </w:r>
      <w:r w:rsidRPr="006571AC">
        <w:rPr>
          <w:rFonts w:cs="DanaFajr" w:hint="cs"/>
          <w:b/>
          <w:bCs/>
          <w:sz w:val="28"/>
          <w:szCs w:val="28"/>
          <w:rtl/>
        </w:rPr>
        <w:t xml:space="preserve">، </w:t>
      </w:r>
      <w:r w:rsidRPr="006571AC">
        <w:rPr>
          <w:rFonts w:cs="DanaFajr"/>
          <w:b/>
          <w:bCs/>
          <w:sz w:val="28"/>
          <w:szCs w:val="28"/>
          <w:rtl/>
        </w:rPr>
        <w:t>فجاءه الجواب فيها كل</w:t>
      </w:r>
      <w:r w:rsidRPr="006571AC">
        <w:rPr>
          <w:rFonts w:cs="DanaFajr" w:hint="cs"/>
          <w:b/>
          <w:bCs/>
          <w:sz w:val="28"/>
          <w:szCs w:val="28"/>
          <w:rtl/>
        </w:rPr>
        <w:t>ّ</w:t>
      </w:r>
      <w:r w:rsidRPr="006571AC">
        <w:rPr>
          <w:rFonts w:cs="DanaFajr"/>
          <w:b/>
          <w:bCs/>
          <w:sz w:val="28"/>
          <w:szCs w:val="28"/>
          <w:rtl/>
        </w:rPr>
        <w:t>ها غير مسألتي، فقلت</w:t>
      </w:r>
      <w:r w:rsidRPr="006571AC">
        <w:rPr>
          <w:rFonts w:cs="DanaFajr" w:hint="cs"/>
          <w:b/>
          <w:bCs/>
          <w:sz w:val="28"/>
          <w:szCs w:val="28"/>
          <w:rtl/>
        </w:rPr>
        <w:t>ُ</w:t>
      </w:r>
      <w:r w:rsidRPr="006571AC">
        <w:rPr>
          <w:rFonts w:cs="DanaFajr"/>
          <w:b/>
          <w:bCs/>
          <w:sz w:val="28"/>
          <w:szCs w:val="28"/>
          <w:rtl/>
        </w:rPr>
        <w:t xml:space="preserve"> ل</w:t>
      </w:r>
      <w:r w:rsidRPr="006571AC">
        <w:rPr>
          <w:rFonts w:cs="DanaFajr" w:hint="cs"/>
          <w:b/>
          <w:bCs/>
          <w:sz w:val="28"/>
          <w:szCs w:val="28"/>
          <w:rtl/>
        </w:rPr>
        <w:t>إ</w:t>
      </w:r>
      <w:r w:rsidRPr="006571AC">
        <w:rPr>
          <w:rFonts w:cs="DanaFajr"/>
          <w:b/>
          <w:bCs/>
          <w:sz w:val="28"/>
          <w:szCs w:val="28"/>
          <w:rtl/>
        </w:rPr>
        <w:t xml:space="preserve">براهيم بن عبد الحميد: </w:t>
      </w:r>
      <w:r w:rsidRPr="006571AC">
        <w:rPr>
          <w:rFonts w:cs="DanaFajr" w:hint="cs"/>
          <w:b/>
          <w:bCs/>
          <w:sz w:val="28"/>
          <w:szCs w:val="28"/>
          <w:rtl/>
        </w:rPr>
        <w:t>إ</w:t>
      </w:r>
      <w:r w:rsidRPr="006571AC">
        <w:rPr>
          <w:rFonts w:cs="DanaFajr"/>
          <w:b/>
          <w:bCs/>
          <w:sz w:val="28"/>
          <w:szCs w:val="28"/>
          <w:rtl/>
        </w:rPr>
        <w:t>ن</w:t>
      </w:r>
      <w:r w:rsidRPr="006571AC">
        <w:rPr>
          <w:rFonts w:cs="DanaFajr" w:hint="cs"/>
          <w:b/>
          <w:bCs/>
          <w:sz w:val="28"/>
          <w:szCs w:val="28"/>
          <w:rtl/>
        </w:rPr>
        <w:t>ّ</w:t>
      </w:r>
      <w:r w:rsidRPr="006571AC">
        <w:rPr>
          <w:rFonts w:cs="DanaFajr"/>
          <w:b/>
          <w:bCs/>
          <w:sz w:val="28"/>
          <w:szCs w:val="28"/>
          <w:rtl/>
        </w:rPr>
        <w:t xml:space="preserve"> هاه</w:t>
      </w:r>
      <w:r w:rsidRPr="006571AC">
        <w:rPr>
          <w:rFonts w:cs="DanaFajr" w:hint="cs"/>
          <w:b/>
          <w:bCs/>
          <w:sz w:val="28"/>
          <w:szCs w:val="28"/>
          <w:rtl/>
        </w:rPr>
        <w:t>ُ</w:t>
      </w:r>
      <w:r w:rsidRPr="006571AC">
        <w:rPr>
          <w:rFonts w:cs="DanaFajr"/>
          <w:b/>
          <w:bCs/>
          <w:sz w:val="28"/>
          <w:szCs w:val="28"/>
          <w:rtl/>
        </w:rPr>
        <w:t>نا لشيئا</w:t>
      </w:r>
      <w:r w:rsidRPr="006571AC">
        <w:rPr>
          <w:rFonts w:cs="DanaFajr" w:hint="cs"/>
          <w:b/>
          <w:bCs/>
          <w:sz w:val="28"/>
          <w:szCs w:val="28"/>
          <w:rtl/>
        </w:rPr>
        <w:t>ً، أ</w:t>
      </w:r>
      <w:r w:rsidRPr="006571AC">
        <w:rPr>
          <w:rFonts w:cs="DanaFajr"/>
          <w:b/>
          <w:bCs/>
          <w:sz w:val="28"/>
          <w:szCs w:val="28"/>
          <w:rtl/>
        </w:rPr>
        <w:t>فرد المسألة باسمي</w:t>
      </w:r>
      <w:r w:rsidRPr="006571AC">
        <w:rPr>
          <w:rFonts w:cs="DanaFajr" w:hint="cs"/>
          <w:b/>
          <w:bCs/>
          <w:sz w:val="28"/>
          <w:szCs w:val="28"/>
          <w:rtl/>
        </w:rPr>
        <w:t xml:space="preserve">، </w:t>
      </w:r>
      <w:r w:rsidRPr="006571AC">
        <w:rPr>
          <w:rFonts w:cs="DanaFajr"/>
          <w:b/>
          <w:bCs/>
          <w:sz w:val="28"/>
          <w:szCs w:val="28"/>
          <w:rtl/>
        </w:rPr>
        <w:t>فقد عرف</w:t>
      </w:r>
      <w:r w:rsidRPr="006571AC">
        <w:rPr>
          <w:rFonts w:cs="DanaFajr" w:hint="cs"/>
          <w:b/>
          <w:bCs/>
          <w:sz w:val="28"/>
          <w:szCs w:val="28"/>
          <w:rtl/>
        </w:rPr>
        <w:t>ْ</w:t>
      </w:r>
      <w:r w:rsidRPr="006571AC">
        <w:rPr>
          <w:rFonts w:cs="DanaFajr"/>
          <w:b/>
          <w:bCs/>
          <w:sz w:val="28"/>
          <w:szCs w:val="28"/>
          <w:rtl/>
        </w:rPr>
        <w:t>ت</w:t>
      </w:r>
      <w:r w:rsidRPr="006571AC">
        <w:rPr>
          <w:rFonts w:cs="DanaFajr" w:hint="cs"/>
          <w:b/>
          <w:bCs/>
          <w:sz w:val="28"/>
          <w:szCs w:val="28"/>
          <w:rtl/>
        </w:rPr>
        <w:t>َ</w:t>
      </w:r>
      <w:r w:rsidRPr="006571AC">
        <w:rPr>
          <w:rFonts w:cs="DanaFajr"/>
          <w:b/>
          <w:bCs/>
          <w:sz w:val="28"/>
          <w:szCs w:val="28"/>
          <w:rtl/>
        </w:rPr>
        <w:t xml:space="preserve"> مقامي بحوائجك، فكتب بها إليه</w:t>
      </w:r>
      <w:r w:rsidRPr="006571AC">
        <w:rPr>
          <w:rFonts w:cs="DanaFajr" w:hint="cs"/>
          <w:sz w:val="28"/>
          <w:szCs w:val="28"/>
          <w:rtl/>
        </w:rPr>
        <w:t xml:space="preserve">، </w:t>
      </w:r>
      <w:r w:rsidRPr="006571AC">
        <w:rPr>
          <w:rFonts w:cs="DanaFajr"/>
          <w:sz w:val="28"/>
          <w:szCs w:val="28"/>
          <w:rtl/>
        </w:rPr>
        <w:t>فجاء الجواب: نعم</w:t>
      </w:r>
      <w:r w:rsidRPr="006571AC">
        <w:rPr>
          <w:rFonts w:cs="DanaFajr" w:hint="cs"/>
          <w:sz w:val="28"/>
          <w:szCs w:val="28"/>
          <w:rtl/>
        </w:rPr>
        <w:t xml:space="preserve">، </w:t>
      </w:r>
      <w:r w:rsidRPr="006571AC">
        <w:rPr>
          <w:rFonts w:cs="DanaFajr"/>
          <w:sz w:val="28"/>
          <w:szCs w:val="28"/>
          <w:rtl/>
        </w:rPr>
        <w:t>هو واجب</w:t>
      </w:r>
      <w:r w:rsidRPr="006571AC">
        <w:rPr>
          <w:rFonts w:cs="DanaFajr" w:hint="cs"/>
          <w:sz w:val="28"/>
          <w:szCs w:val="28"/>
          <w:rtl/>
        </w:rPr>
        <w:t>ٌ</w:t>
      </w:r>
      <w:r w:rsidRPr="006571AC">
        <w:rPr>
          <w:rFonts w:cs="DanaFajr"/>
          <w:sz w:val="28"/>
          <w:szCs w:val="28"/>
          <w:rtl/>
        </w:rPr>
        <w:t xml:space="preserve"> لا</w:t>
      </w:r>
      <w:r w:rsidRPr="006571AC">
        <w:rPr>
          <w:rFonts w:cs="DanaFajr" w:hint="cs"/>
          <w:sz w:val="28"/>
          <w:szCs w:val="28"/>
          <w:rtl/>
        </w:rPr>
        <w:t xml:space="preserve"> </w:t>
      </w:r>
      <w:r w:rsidRPr="006571AC">
        <w:rPr>
          <w:rFonts w:cs="DanaFajr"/>
          <w:sz w:val="28"/>
          <w:szCs w:val="28"/>
          <w:rtl/>
        </w:rPr>
        <w:t>ب</w:t>
      </w:r>
      <w:r w:rsidRPr="006571AC">
        <w:rPr>
          <w:rFonts w:cs="DanaFajr" w:hint="cs"/>
          <w:sz w:val="28"/>
          <w:szCs w:val="28"/>
          <w:rtl/>
        </w:rPr>
        <w:t>ُ</w:t>
      </w:r>
      <w:r w:rsidRPr="006571AC">
        <w:rPr>
          <w:rFonts w:cs="DanaFajr"/>
          <w:sz w:val="28"/>
          <w:szCs w:val="28"/>
          <w:rtl/>
        </w:rPr>
        <w:t>د</w:t>
      </w:r>
      <w:r w:rsidRPr="006571AC">
        <w:rPr>
          <w:rFonts w:cs="DanaFajr" w:hint="cs"/>
          <w:sz w:val="28"/>
          <w:szCs w:val="28"/>
          <w:rtl/>
        </w:rPr>
        <w:t>َّ</w:t>
      </w:r>
      <w:r w:rsidRPr="006571AC">
        <w:rPr>
          <w:rFonts w:cs="DanaFajr"/>
          <w:sz w:val="28"/>
          <w:szCs w:val="28"/>
          <w:rtl/>
        </w:rPr>
        <w:t xml:space="preserve"> منه، </w:t>
      </w:r>
      <w:r w:rsidRPr="006571AC">
        <w:rPr>
          <w:rFonts w:cs="DanaFajr"/>
          <w:b/>
          <w:bCs/>
          <w:sz w:val="28"/>
          <w:szCs w:val="28"/>
          <w:rtl/>
        </w:rPr>
        <w:t xml:space="preserve">فلقي </w:t>
      </w:r>
      <w:r w:rsidRPr="006571AC">
        <w:rPr>
          <w:rFonts w:cs="DanaFajr" w:hint="cs"/>
          <w:b/>
          <w:bCs/>
          <w:sz w:val="28"/>
          <w:szCs w:val="28"/>
          <w:rtl/>
        </w:rPr>
        <w:t>إ</w:t>
      </w:r>
      <w:r w:rsidRPr="006571AC">
        <w:rPr>
          <w:rFonts w:cs="DanaFajr"/>
          <w:b/>
          <w:bCs/>
          <w:sz w:val="28"/>
          <w:szCs w:val="28"/>
          <w:rtl/>
        </w:rPr>
        <w:t xml:space="preserve">براهيم بن عبد الحميد </w:t>
      </w:r>
      <w:r w:rsidRPr="006571AC">
        <w:rPr>
          <w:rFonts w:cs="DanaFajr" w:hint="cs"/>
          <w:b/>
          <w:bCs/>
          <w:sz w:val="28"/>
          <w:szCs w:val="28"/>
          <w:rtl/>
        </w:rPr>
        <w:t>إ</w:t>
      </w:r>
      <w:r w:rsidRPr="006571AC">
        <w:rPr>
          <w:rFonts w:cs="DanaFajr"/>
          <w:b/>
          <w:bCs/>
          <w:sz w:val="28"/>
          <w:szCs w:val="28"/>
          <w:rtl/>
        </w:rPr>
        <w:t>سماعيل بن حميد ال</w:t>
      </w:r>
      <w:r w:rsidRPr="006571AC">
        <w:rPr>
          <w:rFonts w:cs="DanaFajr" w:hint="cs"/>
          <w:b/>
          <w:bCs/>
          <w:sz w:val="28"/>
          <w:szCs w:val="28"/>
          <w:rtl/>
        </w:rPr>
        <w:t>أ</w:t>
      </w:r>
      <w:r w:rsidRPr="006571AC">
        <w:rPr>
          <w:rFonts w:cs="DanaFajr"/>
          <w:b/>
          <w:bCs/>
          <w:sz w:val="28"/>
          <w:szCs w:val="28"/>
          <w:rtl/>
        </w:rPr>
        <w:t>زرق</w:t>
      </w:r>
      <w:r w:rsidRPr="006571AC">
        <w:rPr>
          <w:rFonts w:cs="DanaFajr" w:hint="cs"/>
          <w:b/>
          <w:bCs/>
          <w:sz w:val="28"/>
          <w:szCs w:val="28"/>
          <w:rtl/>
        </w:rPr>
        <w:t xml:space="preserve">، </w:t>
      </w:r>
      <w:r w:rsidRPr="006571AC">
        <w:rPr>
          <w:rFonts w:cs="DanaFajr"/>
          <w:b/>
          <w:bCs/>
          <w:sz w:val="28"/>
          <w:szCs w:val="28"/>
          <w:rtl/>
        </w:rPr>
        <w:t>ومعه المسألة والجواب</w:t>
      </w:r>
      <w:r w:rsidRPr="006571AC">
        <w:rPr>
          <w:rFonts w:cs="DanaFajr" w:hint="cs"/>
          <w:b/>
          <w:bCs/>
          <w:sz w:val="28"/>
          <w:szCs w:val="28"/>
          <w:rtl/>
        </w:rPr>
        <w:t xml:space="preserve">، </w:t>
      </w:r>
      <w:r w:rsidRPr="006571AC">
        <w:rPr>
          <w:rFonts w:cs="DanaFajr"/>
          <w:b/>
          <w:bCs/>
          <w:sz w:val="28"/>
          <w:szCs w:val="28"/>
          <w:rtl/>
        </w:rPr>
        <w:t xml:space="preserve">فقال: لقد فتق عليكم </w:t>
      </w:r>
      <w:r w:rsidRPr="006571AC">
        <w:rPr>
          <w:rFonts w:cs="DanaFajr" w:hint="cs"/>
          <w:b/>
          <w:bCs/>
          <w:sz w:val="28"/>
          <w:szCs w:val="28"/>
          <w:rtl/>
        </w:rPr>
        <w:t>إ</w:t>
      </w:r>
      <w:r w:rsidRPr="006571AC">
        <w:rPr>
          <w:rFonts w:cs="DanaFajr"/>
          <w:b/>
          <w:bCs/>
          <w:sz w:val="28"/>
          <w:szCs w:val="28"/>
          <w:rtl/>
        </w:rPr>
        <w:t xml:space="preserve">براهيم بن </w:t>
      </w:r>
      <w:r w:rsidRPr="006571AC">
        <w:rPr>
          <w:rFonts w:cs="DanaFajr" w:hint="cs"/>
          <w:b/>
          <w:bCs/>
          <w:sz w:val="28"/>
          <w:szCs w:val="28"/>
          <w:rtl/>
        </w:rPr>
        <w:t>أ</w:t>
      </w:r>
      <w:r w:rsidRPr="006571AC">
        <w:rPr>
          <w:rFonts w:cs="DanaFajr"/>
          <w:b/>
          <w:bCs/>
          <w:sz w:val="28"/>
          <w:szCs w:val="28"/>
          <w:rtl/>
        </w:rPr>
        <w:t>بي البلاد ف</w:t>
      </w:r>
      <w:r w:rsidRPr="006571AC">
        <w:rPr>
          <w:rFonts w:cs="DanaFajr" w:hint="cs"/>
          <w:b/>
          <w:bCs/>
          <w:sz w:val="28"/>
          <w:szCs w:val="28"/>
          <w:rtl/>
        </w:rPr>
        <w:t>َ</w:t>
      </w:r>
      <w:r w:rsidRPr="006571AC">
        <w:rPr>
          <w:rFonts w:cs="DanaFajr"/>
          <w:b/>
          <w:bCs/>
          <w:sz w:val="28"/>
          <w:szCs w:val="28"/>
          <w:rtl/>
        </w:rPr>
        <w:t>ت</w:t>
      </w:r>
      <w:r w:rsidRPr="006571AC">
        <w:rPr>
          <w:rFonts w:cs="DanaFajr" w:hint="cs"/>
          <w:b/>
          <w:bCs/>
          <w:sz w:val="28"/>
          <w:szCs w:val="28"/>
          <w:rtl/>
        </w:rPr>
        <w:t>ْ</w:t>
      </w:r>
      <w:r w:rsidRPr="006571AC">
        <w:rPr>
          <w:rFonts w:cs="DanaFajr"/>
          <w:b/>
          <w:bCs/>
          <w:sz w:val="28"/>
          <w:szCs w:val="28"/>
          <w:rtl/>
        </w:rPr>
        <w:t>قا</w:t>
      </w:r>
      <w:r w:rsidRPr="006571AC">
        <w:rPr>
          <w:rFonts w:cs="DanaFajr" w:hint="cs"/>
          <w:b/>
          <w:bCs/>
          <w:sz w:val="28"/>
          <w:szCs w:val="28"/>
          <w:rtl/>
        </w:rPr>
        <w:t xml:space="preserve">ً، </w:t>
      </w:r>
      <w:r w:rsidRPr="006571AC">
        <w:rPr>
          <w:rFonts w:cs="DanaFajr"/>
          <w:b/>
          <w:bCs/>
          <w:sz w:val="28"/>
          <w:szCs w:val="28"/>
          <w:rtl/>
        </w:rPr>
        <w:t>وهذه مسألته والجواب عنها</w:t>
      </w:r>
      <w:r w:rsidRPr="006571AC">
        <w:rPr>
          <w:rFonts w:cs="DanaFajr"/>
          <w:sz w:val="28"/>
          <w:szCs w:val="28"/>
          <w:rtl/>
        </w:rPr>
        <w:t xml:space="preserve">، فدخل عليه </w:t>
      </w:r>
      <w:r w:rsidRPr="006571AC">
        <w:rPr>
          <w:rFonts w:cs="DanaFajr" w:hint="cs"/>
          <w:sz w:val="28"/>
          <w:szCs w:val="28"/>
          <w:rtl/>
        </w:rPr>
        <w:t>إ</w:t>
      </w:r>
      <w:r w:rsidRPr="006571AC">
        <w:rPr>
          <w:rFonts w:cs="DanaFajr"/>
          <w:sz w:val="28"/>
          <w:szCs w:val="28"/>
          <w:rtl/>
        </w:rPr>
        <w:t>سماعيل بن حميد</w:t>
      </w:r>
      <w:r w:rsidRPr="006571AC">
        <w:rPr>
          <w:rFonts w:cs="DanaFajr" w:hint="cs"/>
          <w:sz w:val="28"/>
          <w:szCs w:val="28"/>
          <w:rtl/>
        </w:rPr>
        <w:t xml:space="preserve">، </w:t>
      </w:r>
      <w:r w:rsidRPr="006571AC">
        <w:rPr>
          <w:rFonts w:cs="DanaFajr"/>
          <w:sz w:val="28"/>
          <w:szCs w:val="28"/>
          <w:rtl/>
        </w:rPr>
        <w:t>فسأله عنها</w:t>
      </w:r>
      <w:r w:rsidRPr="006571AC">
        <w:rPr>
          <w:rFonts w:cs="DanaFajr" w:hint="cs"/>
          <w:sz w:val="28"/>
          <w:szCs w:val="28"/>
          <w:rtl/>
        </w:rPr>
        <w:t xml:space="preserve">، </w:t>
      </w:r>
      <w:r w:rsidRPr="006571AC">
        <w:rPr>
          <w:rFonts w:cs="DanaFajr"/>
          <w:sz w:val="28"/>
          <w:szCs w:val="28"/>
          <w:rtl/>
        </w:rPr>
        <w:t>فقال: نعم</w:t>
      </w:r>
      <w:r w:rsidRPr="006571AC">
        <w:rPr>
          <w:rFonts w:cs="DanaFajr" w:hint="cs"/>
          <w:sz w:val="28"/>
          <w:szCs w:val="28"/>
          <w:rtl/>
        </w:rPr>
        <w:t xml:space="preserve">، </w:t>
      </w:r>
      <w:r w:rsidRPr="006571AC">
        <w:rPr>
          <w:rFonts w:cs="DanaFajr"/>
          <w:sz w:val="28"/>
          <w:szCs w:val="28"/>
          <w:rtl/>
        </w:rPr>
        <w:t>هو واجب</w:t>
      </w:r>
      <w:r w:rsidRPr="006571AC">
        <w:rPr>
          <w:rFonts w:cs="DanaFajr" w:hint="cs"/>
          <w:sz w:val="28"/>
          <w:szCs w:val="28"/>
          <w:rtl/>
        </w:rPr>
        <w:t xml:space="preserve">ٌ، </w:t>
      </w:r>
      <w:r w:rsidRPr="006571AC">
        <w:rPr>
          <w:rFonts w:cs="DanaFajr"/>
          <w:b/>
          <w:bCs/>
          <w:sz w:val="28"/>
          <w:szCs w:val="28"/>
          <w:rtl/>
        </w:rPr>
        <w:t xml:space="preserve">فلقي </w:t>
      </w:r>
      <w:r w:rsidRPr="006571AC">
        <w:rPr>
          <w:rFonts w:cs="DanaFajr" w:hint="cs"/>
          <w:b/>
          <w:bCs/>
          <w:sz w:val="28"/>
          <w:szCs w:val="28"/>
          <w:rtl/>
        </w:rPr>
        <w:t>إ</w:t>
      </w:r>
      <w:r w:rsidRPr="006571AC">
        <w:rPr>
          <w:rFonts w:cs="DanaFajr"/>
          <w:b/>
          <w:bCs/>
          <w:sz w:val="28"/>
          <w:szCs w:val="28"/>
          <w:rtl/>
        </w:rPr>
        <w:t>سماعيل</w:t>
      </w:r>
      <w:r w:rsidRPr="006571AC">
        <w:rPr>
          <w:rFonts w:cs="DanaFajr" w:hint="cs"/>
          <w:b/>
          <w:bCs/>
          <w:sz w:val="28"/>
          <w:szCs w:val="28"/>
          <w:rtl/>
        </w:rPr>
        <w:t>ُ</w:t>
      </w:r>
      <w:r w:rsidRPr="006571AC">
        <w:rPr>
          <w:rFonts w:cs="DanaFajr"/>
          <w:b/>
          <w:bCs/>
          <w:sz w:val="28"/>
          <w:szCs w:val="28"/>
          <w:rtl/>
        </w:rPr>
        <w:t xml:space="preserve"> بن حميد ب</w:t>
      </w:r>
      <w:r w:rsidRPr="006571AC">
        <w:rPr>
          <w:rFonts w:cs="DanaFajr" w:hint="cs"/>
          <w:b/>
          <w:bCs/>
          <w:sz w:val="28"/>
          <w:szCs w:val="28"/>
          <w:rtl/>
        </w:rPr>
        <w:t>ِ</w:t>
      </w:r>
      <w:r w:rsidRPr="006571AC">
        <w:rPr>
          <w:rFonts w:cs="DanaFajr"/>
          <w:b/>
          <w:bCs/>
          <w:sz w:val="28"/>
          <w:szCs w:val="28"/>
          <w:rtl/>
        </w:rPr>
        <w:t>ش</w:t>
      </w:r>
      <w:r w:rsidRPr="006571AC">
        <w:rPr>
          <w:rFonts w:cs="DanaFajr" w:hint="cs"/>
          <w:b/>
          <w:bCs/>
          <w:sz w:val="28"/>
          <w:szCs w:val="28"/>
          <w:rtl/>
        </w:rPr>
        <w:t>ْ</w:t>
      </w:r>
      <w:r w:rsidRPr="006571AC">
        <w:rPr>
          <w:rFonts w:cs="DanaFajr"/>
          <w:b/>
          <w:bCs/>
          <w:sz w:val="28"/>
          <w:szCs w:val="28"/>
          <w:rtl/>
        </w:rPr>
        <w:t xml:space="preserve">ر بن </w:t>
      </w:r>
      <w:r w:rsidRPr="006571AC">
        <w:rPr>
          <w:rFonts w:cs="DanaFajr" w:hint="cs"/>
          <w:b/>
          <w:bCs/>
          <w:sz w:val="28"/>
          <w:szCs w:val="28"/>
          <w:rtl/>
        </w:rPr>
        <w:t>إ</w:t>
      </w:r>
      <w:r w:rsidRPr="006571AC">
        <w:rPr>
          <w:rFonts w:cs="DanaFajr"/>
          <w:b/>
          <w:bCs/>
          <w:sz w:val="28"/>
          <w:szCs w:val="28"/>
          <w:rtl/>
        </w:rPr>
        <w:t>سماعيل بن عم</w:t>
      </w:r>
      <w:r w:rsidRPr="006571AC">
        <w:rPr>
          <w:rFonts w:cs="DanaFajr" w:hint="cs"/>
          <w:b/>
          <w:bCs/>
          <w:sz w:val="28"/>
          <w:szCs w:val="28"/>
          <w:rtl/>
        </w:rPr>
        <w:t>ّ</w:t>
      </w:r>
      <w:r w:rsidRPr="006571AC">
        <w:rPr>
          <w:rFonts w:cs="DanaFajr"/>
          <w:b/>
          <w:bCs/>
          <w:sz w:val="28"/>
          <w:szCs w:val="28"/>
          <w:rtl/>
        </w:rPr>
        <w:t>ار الصيرفي</w:t>
      </w:r>
      <w:r w:rsidRPr="006571AC">
        <w:rPr>
          <w:rFonts w:cs="DanaFajr" w:hint="cs"/>
          <w:b/>
          <w:bCs/>
          <w:sz w:val="28"/>
          <w:szCs w:val="28"/>
          <w:rtl/>
        </w:rPr>
        <w:t xml:space="preserve">ّ، </w:t>
      </w:r>
      <w:r w:rsidRPr="006571AC">
        <w:rPr>
          <w:rFonts w:cs="DanaFajr"/>
          <w:b/>
          <w:bCs/>
          <w:sz w:val="28"/>
          <w:szCs w:val="28"/>
          <w:rtl/>
        </w:rPr>
        <w:t>ف</w:t>
      </w:r>
      <w:r w:rsidRPr="006571AC">
        <w:rPr>
          <w:rFonts w:cs="DanaFajr" w:hint="cs"/>
          <w:b/>
          <w:bCs/>
          <w:sz w:val="28"/>
          <w:szCs w:val="28"/>
          <w:rtl/>
        </w:rPr>
        <w:t>أ</w:t>
      </w:r>
      <w:r w:rsidRPr="006571AC">
        <w:rPr>
          <w:rFonts w:cs="DanaFajr"/>
          <w:b/>
          <w:bCs/>
          <w:sz w:val="28"/>
          <w:szCs w:val="28"/>
          <w:rtl/>
        </w:rPr>
        <w:t>خبره</w:t>
      </w:r>
      <w:r w:rsidRPr="006571AC">
        <w:rPr>
          <w:rFonts w:cs="DanaFajr" w:hint="cs"/>
          <w:sz w:val="28"/>
          <w:szCs w:val="28"/>
          <w:rtl/>
        </w:rPr>
        <w:t xml:space="preserve">، </w:t>
      </w:r>
      <w:r w:rsidRPr="006571AC">
        <w:rPr>
          <w:rFonts w:cs="DanaFajr"/>
          <w:sz w:val="28"/>
          <w:szCs w:val="28"/>
          <w:rtl/>
        </w:rPr>
        <w:t>فدخل</w:t>
      </w:r>
      <w:r w:rsidRPr="006571AC">
        <w:rPr>
          <w:rFonts w:cs="DanaFajr" w:hint="cs"/>
          <w:sz w:val="28"/>
          <w:szCs w:val="28"/>
          <w:rtl/>
        </w:rPr>
        <w:t xml:space="preserve">، </w:t>
      </w:r>
      <w:r w:rsidRPr="006571AC">
        <w:rPr>
          <w:rFonts w:cs="DanaFajr"/>
          <w:sz w:val="28"/>
          <w:szCs w:val="28"/>
          <w:rtl/>
        </w:rPr>
        <w:t>فسأله عنها</w:t>
      </w:r>
      <w:r w:rsidRPr="006571AC">
        <w:rPr>
          <w:rFonts w:cs="DanaFajr" w:hint="cs"/>
          <w:sz w:val="28"/>
          <w:szCs w:val="28"/>
          <w:rtl/>
        </w:rPr>
        <w:t xml:space="preserve">، </w:t>
      </w:r>
      <w:r w:rsidRPr="006571AC">
        <w:rPr>
          <w:rFonts w:cs="DanaFajr"/>
          <w:sz w:val="28"/>
          <w:szCs w:val="28"/>
          <w:rtl/>
        </w:rPr>
        <w:t>فقال: نعم</w:t>
      </w:r>
      <w:r w:rsidRPr="006571AC">
        <w:rPr>
          <w:rFonts w:cs="DanaFajr" w:hint="cs"/>
          <w:sz w:val="28"/>
          <w:szCs w:val="28"/>
          <w:rtl/>
        </w:rPr>
        <w:t xml:space="preserve">، </w:t>
      </w:r>
      <w:r w:rsidRPr="006571AC">
        <w:rPr>
          <w:rFonts w:cs="DanaFajr"/>
          <w:sz w:val="28"/>
          <w:szCs w:val="28"/>
          <w:rtl/>
        </w:rPr>
        <w:t>هو واجب</w:t>
      </w:r>
      <w:r w:rsidRPr="006571AC">
        <w:rPr>
          <w:rFonts w:cs="DanaFajr" w:hint="cs"/>
          <w:sz w:val="28"/>
          <w:szCs w:val="28"/>
          <w:rtl/>
        </w:rPr>
        <w:t>ٌ</w:t>
      </w:r>
      <w:r w:rsidRPr="006571AC">
        <w:rPr>
          <w:rFonts w:hint="cs"/>
          <w:sz w:val="22"/>
          <w:szCs w:val="22"/>
          <w:rtl/>
        </w:rPr>
        <w:t>»</w:t>
      </w:r>
      <w:r w:rsidRPr="006571AC">
        <w:rPr>
          <w:rFonts w:cs="DanaFajr"/>
          <w:sz w:val="28"/>
          <w:szCs w:val="28"/>
          <w:rtl/>
        </w:rPr>
        <w:t xml:space="preserve">. </w:t>
      </w:r>
    </w:p>
  </w:endnote>
  <w:endnote w:id="874">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6: 439. </w:t>
      </w:r>
    </w:p>
  </w:endnote>
  <w:endnote w:id="875">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533 ـ 534، كتاب الدعاء، باب القول عند الإصباح والإمساء، ح34. </w:t>
      </w:r>
    </w:p>
  </w:endnote>
  <w:endnote w:id="876">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تحقيق الخاتمة (بقلم: السيّد محمّد رضا الجلاليّ) 30: 10 (بتصرُّف)؛ وراجِعْ: الإيروانيّ، دروس تمهيديّة في القواعد الرجاليّة: 307. </w:t>
      </w:r>
    </w:p>
  </w:endnote>
  <w:endnote w:id="877">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تحقيق الخاتمة (بقلم: السيّد محمّد رضا الجلاليّ) 30: 11 ـ 12 (بتصرُّف). </w:t>
      </w:r>
    </w:p>
  </w:endnote>
  <w:endnote w:id="878">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542، وفيه: </w:t>
      </w:r>
      <w:r w:rsidRPr="006571AC">
        <w:rPr>
          <w:rFonts w:hint="cs"/>
          <w:sz w:val="22"/>
          <w:szCs w:val="22"/>
          <w:rtl/>
        </w:rPr>
        <w:t>«</w:t>
      </w:r>
      <w:r w:rsidRPr="006571AC">
        <w:rPr>
          <w:rFonts w:cs="DanaFajr"/>
          <w:sz w:val="28"/>
          <w:szCs w:val="28"/>
          <w:rtl/>
        </w:rPr>
        <w:t>فعليك بكثرة التتب</w:t>
      </w:r>
      <w:r w:rsidRPr="006571AC">
        <w:rPr>
          <w:rFonts w:cs="DanaFajr" w:hint="cs"/>
          <w:sz w:val="28"/>
          <w:szCs w:val="28"/>
          <w:rtl/>
        </w:rPr>
        <w:t>ُّ</w:t>
      </w:r>
      <w:r w:rsidRPr="006571AC">
        <w:rPr>
          <w:rFonts w:cs="DanaFajr"/>
          <w:sz w:val="28"/>
          <w:szCs w:val="28"/>
          <w:rtl/>
        </w:rPr>
        <w:t>ع لهذه الأحاديث</w:t>
      </w:r>
      <w:r w:rsidRPr="006571AC">
        <w:rPr>
          <w:rFonts w:cs="DanaFajr" w:hint="cs"/>
          <w:sz w:val="28"/>
          <w:szCs w:val="28"/>
          <w:rtl/>
        </w:rPr>
        <w:t xml:space="preserve">، </w:t>
      </w:r>
      <w:r w:rsidRPr="006571AC">
        <w:rPr>
          <w:rFonts w:cs="DanaFajr"/>
          <w:sz w:val="28"/>
          <w:szCs w:val="28"/>
          <w:rtl/>
        </w:rPr>
        <w:t>والمطالعة لها، ولا تقتصر على الباب الذي تريد، فقد بقيت أحكام</w:t>
      </w:r>
      <w:r w:rsidRPr="006571AC">
        <w:rPr>
          <w:rFonts w:cs="DanaFajr" w:hint="cs"/>
          <w:sz w:val="28"/>
          <w:szCs w:val="28"/>
          <w:rtl/>
        </w:rPr>
        <w:t>ٌ</w:t>
      </w:r>
      <w:r w:rsidRPr="006571AC">
        <w:rPr>
          <w:rFonts w:cs="DanaFajr"/>
          <w:sz w:val="28"/>
          <w:szCs w:val="28"/>
          <w:rtl/>
        </w:rPr>
        <w:t xml:space="preserve"> منصوصة</w:t>
      </w:r>
      <w:r w:rsidRPr="006571AC">
        <w:rPr>
          <w:rFonts w:cs="DanaFajr" w:hint="cs"/>
          <w:sz w:val="28"/>
          <w:szCs w:val="28"/>
          <w:rtl/>
        </w:rPr>
        <w:t>ٌ</w:t>
      </w:r>
      <w:r w:rsidRPr="006571AC">
        <w:rPr>
          <w:rFonts w:cs="DanaFajr"/>
          <w:sz w:val="28"/>
          <w:szCs w:val="28"/>
          <w:rtl/>
        </w:rPr>
        <w:t xml:space="preserve"> في غير مظان</w:t>
      </w:r>
      <w:r w:rsidRPr="006571AC">
        <w:rPr>
          <w:rFonts w:cs="DanaFajr" w:hint="cs"/>
          <w:sz w:val="28"/>
          <w:szCs w:val="28"/>
          <w:rtl/>
        </w:rPr>
        <w:t>ّ</w:t>
      </w:r>
      <w:r w:rsidRPr="006571AC">
        <w:rPr>
          <w:rFonts w:cs="DanaFajr"/>
          <w:sz w:val="28"/>
          <w:szCs w:val="28"/>
          <w:rtl/>
        </w:rPr>
        <w:t>ها</w:t>
      </w:r>
      <w:r w:rsidRPr="006571AC">
        <w:rPr>
          <w:rFonts w:cs="DanaFajr" w:hint="cs"/>
          <w:sz w:val="28"/>
          <w:szCs w:val="28"/>
          <w:rtl/>
        </w:rPr>
        <w:t xml:space="preserve">؛ </w:t>
      </w:r>
      <w:r w:rsidRPr="006571AC">
        <w:rPr>
          <w:rFonts w:cs="DanaFajr"/>
          <w:b/>
          <w:bCs/>
          <w:sz w:val="28"/>
          <w:szCs w:val="28"/>
          <w:rtl/>
        </w:rPr>
        <w:t>إذ لم يمكن تقطيع الأحاديث كل</w:t>
      </w:r>
      <w:r w:rsidRPr="006571AC">
        <w:rPr>
          <w:rFonts w:cs="DanaFajr" w:hint="cs"/>
          <w:b/>
          <w:bCs/>
          <w:sz w:val="28"/>
          <w:szCs w:val="28"/>
          <w:rtl/>
        </w:rPr>
        <w:t>ِّ</w:t>
      </w:r>
      <w:r w:rsidRPr="006571AC">
        <w:rPr>
          <w:rFonts w:cs="DanaFajr"/>
          <w:b/>
          <w:bCs/>
          <w:sz w:val="28"/>
          <w:szCs w:val="28"/>
          <w:rtl/>
        </w:rPr>
        <w:t>ها أو أكثرها</w:t>
      </w:r>
      <w:r w:rsidRPr="006571AC">
        <w:rPr>
          <w:rFonts w:cs="DanaFajr"/>
          <w:sz w:val="28"/>
          <w:szCs w:val="28"/>
          <w:rtl/>
        </w:rPr>
        <w:t>، ولا الإشارة إلى مضمون الجميع</w:t>
      </w:r>
      <w:r w:rsidRPr="006571AC">
        <w:rPr>
          <w:rFonts w:cs="DanaFajr" w:hint="cs"/>
          <w:sz w:val="28"/>
          <w:szCs w:val="28"/>
          <w:rtl/>
        </w:rPr>
        <w:t xml:space="preserve">؛ </w:t>
      </w:r>
      <w:r w:rsidRPr="006571AC">
        <w:rPr>
          <w:rFonts w:cs="DanaFajr"/>
          <w:sz w:val="28"/>
          <w:szCs w:val="28"/>
          <w:rtl/>
        </w:rPr>
        <w:t>لعدم الاستحضار</w:t>
      </w:r>
      <w:r w:rsidRPr="006571AC">
        <w:rPr>
          <w:rFonts w:cs="DanaFajr" w:hint="cs"/>
          <w:sz w:val="28"/>
          <w:szCs w:val="28"/>
          <w:rtl/>
        </w:rPr>
        <w:t xml:space="preserve">، </w:t>
      </w:r>
      <w:r w:rsidRPr="006571AC">
        <w:rPr>
          <w:rFonts w:cs="DanaFajr"/>
          <w:sz w:val="28"/>
          <w:szCs w:val="28"/>
          <w:rtl/>
        </w:rPr>
        <w:t>وللاكتفاء بالبعض</w:t>
      </w:r>
      <w:r w:rsidRPr="006571AC">
        <w:rPr>
          <w:rFonts w:cs="DanaFajr" w:hint="cs"/>
          <w:sz w:val="28"/>
          <w:szCs w:val="28"/>
          <w:rtl/>
        </w:rPr>
        <w:t xml:space="preserve">، </w:t>
      </w:r>
      <w:r w:rsidRPr="006571AC">
        <w:rPr>
          <w:rFonts w:cs="DanaFajr"/>
          <w:sz w:val="28"/>
          <w:szCs w:val="28"/>
          <w:rtl/>
        </w:rPr>
        <w:t>وغير ذلك</w:t>
      </w:r>
      <w:r w:rsidRPr="006571AC">
        <w:rPr>
          <w:rFonts w:hint="cs"/>
          <w:sz w:val="22"/>
          <w:szCs w:val="22"/>
          <w:rtl/>
        </w:rPr>
        <w:t>»</w:t>
      </w:r>
      <w:r w:rsidRPr="006571AC">
        <w:rPr>
          <w:rFonts w:cs="DanaFajr" w:hint="cs"/>
          <w:sz w:val="28"/>
          <w:szCs w:val="28"/>
          <w:rtl/>
        </w:rPr>
        <w:t xml:space="preserve">. </w:t>
      </w:r>
    </w:p>
  </w:endnote>
  <w:endnote w:id="879">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تحقيق الخاتمة (بقلم: السيّد محمّد رضا الجلاليّ) 30: 11 ـ 12 (بتصرُّفٍ وتلفيق). </w:t>
      </w:r>
    </w:p>
  </w:endnote>
  <w:endnote w:id="880">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تحقيق الخاتمة (بقلم: السيّد محمّد رضا الجلاليّ) 30: 11. </w:t>
      </w:r>
    </w:p>
  </w:endnote>
  <w:endnote w:id="881">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542. </w:t>
      </w:r>
    </w:p>
  </w:endnote>
  <w:endnote w:id="882">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134 ـ 135. </w:t>
      </w:r>
    </w:p>
  </w:endnote>
  <w:endnote w:id="883">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670، كتاب العشرة، باب حسن الصحابة وحقّ الصاحب في السفر، ح5. </w:t>
      </w:r>
    </w:p>
  </w:endnote>
  <w:endnote w:id="884">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19: 147، الباب 29 من كتاب الإجارة، ح21، و</w:t>
      </w:r>
      <w:r w:rsidRPr="006571AC">
        <w:rPr>
          <w:rFonts w:cs="DanaFajr"/>
          <w:sz w:val="28"/>
          <w:szCs w:val="28"/>
          <w:rtl/>
        </w:rPr>
        <w:t>الصدوق</w:t>
      </w:r>
      <w:r w:rsidRPr="006571AC">
        <w:rPr>
          <w:rFonts w:cs="DanaFajr" w:hint="cs"/>
          <w:sz w:val="28"/>
          <w:szCs w:val="28"/>
          <w:rtl/>
        </w:rPr>
        <w:t>، كمال الدين وتمام النعمة: 454 ـ 458، باب ذكر من شاهد القائم</w:t>
      </w:r>
      <w:r w:rsidRPr="006571AC">
        <w:rPr>
          <w:rFonts w:ascii="Mosawi" w:hAnsi="Mosawi" w:cs="Mosawi"/>
          <w:rtl/>
        </w:rPr>
        <w:t>×</w:t>
      </w:r>
      <w:r w:rsidRPr="006571AC">
        <w:rPr>
          <w:rFonts w:cs="DanaFajr" w:hint="cs"/>
          <w:sz w:val="28"/>
          <w:szCs w:val="28"/>
          <w:rtl/>
        </w:rPr>
        <w:t xml:space="preserve"> ورآه وكلَّمه، ح21. </w:t>
      </w:r>
    </w:p>
  </w:endnote>
  <w:endnote w:id="885">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19: 324. وغيرُ ذلك من الأمثلة كثيرٌ جدّاً، فراجِعْ. </w:t>
      </w:r>
    </w:p>
  </w:endnote>
  <w:endnote w:id="886">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4: 295. وغيرُ ذلك من الأمثلة كثيرٌ جدّاً، فراجِعْ. </w:t>
      </w:r>
    </w:p>
  </w:endnote>
  <w:endnote w:id="887">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 225. وغيرُ ذلك من الأمثلة كثيرٌ جدّاً، فراجِعْ. </w:t>
      </w:r>
    </w:p>
  </w:endnote>
  <w:endnote w:id="888">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24: 208. وغيرُ ذلك من الأمثلة كثيرٌ جدّاً، فراجِعْ. </w:t>
      </w:r>
    </w:p>
  </w:endnote>
  <w:endnote w:id="889">
    <w:p w:rsidR="00DB2356" w:rsidRPr="006571AC" w:rsidRDefault="00DB2356" w:rsidP="00D65D95">
      <w:pPr>
        <w:spacing w:line="306" w:lineRule="exact"/>
        <w:ind w:firstLine="0"/>
        <w:rPr>
          <w:rFonts w:cs="DanaFajr"/>
          <w:szCs w:val="28"/>
          <w:rtl/>
        </w:rPr>
      </w:pPr>
      <w:r w:rsidRPr="006571AC">
        <w:rPr>
          <w:rFonts w:cs="DanaFajr"/>
          <w:szCs w:val="28"/>
          <w:rtl/>
        </w:rPr>
        <w:t>(</w:t>
      </w:r>
      <w:r w:rsidRPr="006571AC">
        <w:rPr>
          <w:rStyle w:val="ac"/>
          <w:rFonts w:cs="DanaFajr"/>
          <w:szCs w:val="28"/>
          <w:vertAlign w:val="baseline"/>
        </w:rPr>
        <w:endnoteRef/>
      </w:r>
      <w:r w:rsidRPr="006571AC">
        <w:rPr>
          <w:rFonts w:cs="DanaFajr"/>
          <w:szCs w:val="28"/>
          <w:rtl/>
        </w:rPr>
        <w:t xml:space="preserve">) </w:t>
      </w:r>
      <w:r w:rsidRPr="006571AC">
        <w:rPr>
          <w:rFonts w:cs="DanaFajr" w:hint="cs"/>
          <w:szCs w:val="28"/>
          <w:rtl/>
        </w:rPr>
        <w:t xml:space="preserve">الحُرّ العامليّ؛ النوريّ، وسائل الشيعة ومستدرَكها (المقدّمة) 1: 6. </w:t>
      </w:r>
    </w:p>
  </w:endnote>
  <w:endnote w:id="890">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الحسينيّ؛ البنّاي، إيضاح الدلائل في شرح الوسائل (تقريراً لبحث الشيخ مسلم الداوريّ) 1: 24 ـ 25. </w:t>
      </w:r>
    </w:p>
  </w:endnote>
  <w:endnote w:id="891">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19: 203، الباب 10 من كتاب الوقوف والصدقات، ح4، والصدوق، مَنْ لا يحضره الفقيه 4: 249 ـ 251، باب الوقف والصدقة والنحل، ح28.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4: 295، الباب 1 من أبواب القبلة، ح1، والكلينيّ، الكافي 3: 272، كتاب الصلاة، باب فرض الصلاة، ح5.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20: 159، الباب 79 من أبواب مقدّمات النكاح وآدابه، ح4، والكلينيّ، الكافي 5: 555، كتاب النكاح، أبواب المتعة، باب نوادر، ح3.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4: 295، الباب 1 من أبواب القبلة، ح1، والطوسيّ، تهذيب الأحكام 2: 139 ـ 140، كتاب الصلاة، باب تفصيل ما تقدّم ذكره في الصلاة من المفروض والمسنون وما يجوز فيها وما لا يجوز، ح1. </w:t>
      </w:r>
    </w:p>
    <w:p w:rsidR="00DB2356" w:rsidRPr="006571AC" w:rsidRDefault="00DB2356" w:rsidP="00D65D95">
      <w:pPr>
        <w:pStyle w:val="aa"/>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19: 203، الباب 10 من كتاب الوقوف والصدقات، ح4، والصدوق، عيون أخبار الرضا</w:t>
      </w:r>
      <w:r w:rsidRPr="006571AC">
        <w:rPr>
          <w:rFonts w:ascii="Mosawi" w:hAnsi="Mosawi" w:cs="Mosawi"/>
          <w:rtl/>
        </w:rPr>
        <w:t>×</w:t>
      </w:r>
      <w:r w:rsidRPr="006571AC">
        <w:rPr>
          <w:rFonts w:cs="DanaFajr" w:hint="cs"/>
          <w:sz w:val="28"/>
          <w:szCs w:val="28"/>
          <w:rtl/>
        </w:rPr>
        <w:t xml:space="preserve"> 2: 44، باب نسخة وصيّة موسى بن جعفر</w:t>
      </w:r>
      <w:r w:rsidRPr="006571AC">
        <w:rPr>
          <w:rFonts w:ascii="Mosawi" w:hAnsi="Mosawi" w:cs="Mosawi"/>
          <w:rtl/>
        </w:rPr>
        <w:t>’</w:t>
      </w:r>
      <w:r w:rsidRPr="006571AC">
        <w:rPr>
          <w:rFonts w:cs="DanaFajr" w:hint="cs"/>
          <w:sz w:val="28"/>
          <w:szCs w:val="28"/>
          <w:rtl/>
        </w:rPr>
        <w:t xml:space="preserve">، ح2. </w:t>
      </w:r>
    </w:p>
    <w:p w:rsidR="00DB2356" w:rsidRPr="006571AC" w:rsidRDefault="00DB2356" w:rsidP="00D65D95">
      <w:pPr>
        <w:pStyle w:val="aa"/>
        <w:spacing w:line="306" w:lineRule="exact"/>
        <w:ind w:firstLine="0"/>
        <w:rPr>
          <w:rFonts w:cs="DanaFajr"/>
          <w:sz w:val="28"/>
          <w:szCs w:val="28"/>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20: 158، الباب 79 من أبواب مقدّمات النكاح وآدابه، ح1، والصدوق، مَنْ لا يحضره الفقيه 3: 438، أبواب القضايا والأحكام، باب حقّ الزوج على المرأة، ح1. </w:t>
      </w:r>
    </w:p>
  </w:endnote>
  <w:endnote w:id="892">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الملايريّ، جامع أحاديث الشيعة 1: 9 (من كلامٍ للسيّد البروجرديّ</w:t>
      </w:r>
      <w:r w:rsidRPr="006571AC">
        <w:rPr>
          <w:rFonts w:ascii="Mosawi" w:hAnsi="Mosawi" w:cs="Mosawi"/>
          <w:rtl/>
        </w:rPr>
        <w:t>&amp;</w:t>
      </w:r>
      <w:r w:rsidRPr="006571AC">
        <w:rPr>
          <w:rFonts w:cs="DanaFajr" w:hint="cs"/>
          <w:sz w:val="28"/>
          <w:szCs w:val="28"/>
          <w:rtl/>
        </w:rPr>
        <w:t xml:space="preserve">). </w:t>
      </w:r>
    </w:p>
  </w:endnote>
  <w:endnote w:id="893">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الإيروانيّ، دروس تمهيديّة في القواعد الرجاليّة: 308 (بتصرُّف). </w:t>
      </w:r>
    </w:p>
  </w:endnote>
  <w:endnote w:id="894">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 472. وغيرُ ذلك من الأمثلة كثيرٌ جدّاً، فراجِعْ. </w:t>
      </w:r>
    </w:p>
  </w:endnote>
  <w:endnote w:id="895">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16: 125. وغيرُ ذلك من الأمثلة كثيرٌ جدّاً، فراجِعْ. </w:t>
      </w:r>
    </w:p>
  </w:endnote>
  <w:endnote w:id="896">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10: 11. </w:t>
      </w:r>
    </w:p>
  </w:endnote>
  <w:endnote w:id="897">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4: 122 ـ 123، كتاب الصيام، باب الرجل يصبح وهو يريد الصيام فيُفطر...، ح7. </w:t>
      </w:r>
    </w:p>
  </w:endnote>
  <w:endnote w:id="898">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25: 19، الباب 5 من أبواب الأطعمة المباحة، ح6 و7، والبرقيّ، المحاسن 2: 490، باب السويق، ح570 و571. </w:t>
      </w:r>
    </w:p>
  </w:endnote>
  <w:endnote w:id="899">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16: 350. </w:t>
      </w:r>
    </w:p>
  </w:endnote>
  <w:endnote w:id="900">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4: 110، كتاب الزكاة، بابٌ من الزيادات في الزكاة، ح52. </w:t>
      </w:r>
    </w:p>
  </w:endnote>
  <w:endnote w:id="901">
    <w:p w:rsidR="00DB2356" w:rsidRPr="006571AC" w:rsidRDefault="00DB2356" w:rsidP="00D65D95">
      <w:pPr>
        <w:pStyle w:val="aa"/>
        <w:spacing w:line="306" w:lineRule="exact"/>
        <w:ind w:firstLine="0"/>
        <w:rPr>
          <w:rFonts w:cs="DanaFajr"/>
          <w:sz w:val="28"/>
          <w:szCs w:val="28"/>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13: 364، الباب 34 من أبواب الطواف، ح3، والطوسيّ، تهذيب الأحكام 5: 113، كتاب الحجّ، باب الطواف، ح39. </w:t>
      </w:r>
    </w:p>
  </w:endnote>
  <w:endnote w:id="902">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13 ـ 14. </w:t>
      </w:r>
    </w:p>
  </w:endnote>
  <w:endnote w:id="903">
    <w:p w:rsidR="00DB2356" w:rsidRPr="006571AC" w:rsidRDefault="00DB2356" w:rsidP="00D65D95">
      <w:pPr>
        <w:pStyle w:val="aa"/>
        <w:spacing w:line="306" w:lineRule="exact"/>
        <w:ind w:firstLine="0"/>
        <w:rPr>
          <w:rFonts w:cs="DanaFajr"/>
          <w:sz w:val="28"/>
          <w:szCs w:val="28"/>
          <w:rtl/>
        </w:rPr>
      </w:pPr>
      <w:r w:rsidRPr="006571AC">
        <w:rPr>
          <w:rFonts w:cs="DanaFajr"/>
          <w:sz w:val="28"/>
          <w:szCs w:val="28"/>
          <w:rtl/>
        </w:rPr>
        <w:t>(</w:t>
      </w:r>
      <w:r w:rsidRPr="006571AC">
        <w:rPr>
          <w:rStyle w:val="ac"/>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البرقيّ، المحاسن 1: 286، باب الشرايع، ح430. </w:t>
      </w:r>
    </w:p>
  </w:endnote>
  <w:endnote w:id="904">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w:t>
      </w:r>
      <w:r w:rsidRPr="006571AC">
        <w:rPr>
          <w:rFonts w:cs="DanaFajr" w:hint="cs"/>
          <w:szCs w:val="28"/>
          <w:rtl/>
        </w:rPr>
        <w:t xml:space="preserve"> محمد باقر </w:t>
      </w:r>
      <w:r w:rsidRPr="006571AC">
        <w:rPr>
          <w:rFonts w:cs="DanaFajr"/>
          <w:szCs w:val="28"/>
          <w:rtl/>
        </w:rPr>
        <w:t xml:space="preserve">الصدر، </w:t>
      </w:r>
      <w:r w:rsidRPr="006571AC">
        <w:rPr>
          <w:rFonts w:cs="DanaFajr" w:hint="cs"/>
          <w:szCs w:val="28"/>
          <w:rtl/>
        </w:rPr>
        <w:t>اقتصادنا،</w:t>
      </w:r>
      <w:r w:rsidRPr="006571AC">
        <w:rPr>
          <w:rFonts w:cs="DanaFajr"/>
          <w:szCs w:val="28"/>
          <w:rtl/>
        </w:rPr>
        <w:t xml:space="preserve"> دار التعارف، </w:t>
      </w:r>
      <w:r w:rsidRPr="006571AC">
        <w:rPr>
          <w:rFonts w:cs="DanaFajr" w:hint="cs"/>
          <w:szCs w:val="28"/>
          <w:rtl/>
        </w:rPr>
        <w:t>ط6</w:t>
      </w:r>
      <w:r w:rsidRPr="006571AC">
        <w:rPr>
          <w:rFonts w:cs="DanaFajr"/>
          <w:szCs w:val="28"/>
          <w:rtl/>
        </w:rPr>
        <w:t>، بيروت.</w:t>
      </w:r>
    </w:p>
  </w:endnote>
  <w:endnote w:id="905">
    <w:p w:rsidR="00DB2356" w:rsidRPr="006571AC" w:rsidRDefault="00DB2356" w:rsidP="0024500D">
      <w:pPr>
        <w:spacing w:line="306" w:lineRule="exact"/>
        <w:ind w:firstLine="0"/>
        <w:rPr>
          <w:rFonts w:cs="DanaFajr"/>
          <w:szCs w:val="28"/>
        </w:rPr>
      </w:pPr>
      <w:r w:rsidRPr="006571AC">
        <w:rPr>
          <w:rFonts w:cs="DanaFajr" w:hint="cs"/>
          <w:szCs w:val="28"/>
          <w:rtl/>
        </w:rPr>
        <w:t>(</w:t>
      </w:r>
      <w:r w:rsidRPr="006571AC">
        <w:rPr>
          <w:rStyle w:val="ac"/>
          <w:rFonts w:cs="DanaFajr"/>
          <w:szCs w:val="28"/>
          <w:vertAlign w:val="baseline"/>
        </w:rPr>
        <w:endnoteRef/>
      </w:r>
      <w:r w:rsidRPr="006571AC">
        <w:rPr>
          <w:rFonts w:cs="DanaFajr" w:hint="cs"/>
          <w:szCs w:val="28"/>
          <w:rtl/>
        </w:rPr>
        <w:t xml:space="preserve">) </w:t>
      </w:r>
      <w:r w:rsidRPr="006571AC">
        <w:rPr>
          <w:rFonts w:cs="DanaFajr"/>
          <w:szCs w:val="28"/>
          <w:rtl/>
        </w:rPr>
        <w:t>ماكس فيبر</w:t>
      </w:r>
      <w:r w:rsidRPr="006571AC">
        <w:rPr>
          <w:rFonts w:cs="DanaFajr" w:hint="cs"/>
          <w:szCs w:val="28"/>
          <w:rtl/>
        </w:rPr>
        <w:t xml:space="preserve"> (1922 ـ</w:t>
      </w:r>
      <w:r w:rsidRPr="006571AC">
        <w:rPr>
          <w:rFonts w:cs="DanaFajr"/>
          <w:szCs w:val="28"/>
          <w:rtl/>
        </w:rPr>
        <w:t xml:space="preserve"> </w:t>
      </w:r>
      <w:r w:rsidRPr="006571AC">
        <w:rPr>
          <w:rFonts w:cs="DanaFajr" w:hint="cs"/>
          <w:szCs w:val="28"/>
          <w:rtl/>
        </w:rPr>
        <w:t>1965)</w:t>
      </w:r>
      <w:r w:rsidRPr="006571AC">
        <w:rPr>
          <w:rFonts w:cs="DanaFajr"/>
          <w:szCs w:val="28"/>
          <w:rtl/>
        </w:rPr>
        <w:t>، كتابات حول نظرية العلم، ترجمات</w:t>
      </w:r>
      <w:r w:rsidRPr="006571AC">
        <w:rPr>
          <w:rFonts w:cs="DanaFajr" w:hint="cs"/>
          <w:szCs w:val="28"/>
          <w:rtl/>
        </w:rPr>
        <w:t>:</w:t>
      </w:r>
      <w:r w:rsidRPr="006571AC">
        <w:rPr>
          <w:rFonts w:cs="DanaFajr"/>
          <w:szCs w:val="28"/>
          <w:rtl/>
        </w:rPr>
        <w:t xml:space="preserve"> جوليان فرويند، باريس</w:t>
      </w:r>
      <w:r w:rsidRPr="006571AC">
        <w:rPr>
          <w:rFonts w:cs="DanaFajr" w:hint="cs"/>
          <w:szCs w:val="28"/>
          <w:rtl/>
        </w:rPr>
        <w:t>،</w:t>
      </w:r>
      <w:r w:rsidRPr="006571AC">
        <w:rPr>
          <w:rFonts w:cs="DanaFajr"/>
          <w:szCs w:val="28"/>
          <w:rtl/>
        </w:rPr>
        <w:t xml:space="preserve"> بلون </w:t>
      </w:r>
      <w:r w:rsidRPr="006571AC">
        <w:rPr>
          <w:rFonts w:cs="DanaFajr"/>
          <w:sz w:val="20"/>
          <w:szCs w:val="20"/>
        </w:rPr>
        <w:t>Plon</w:t>
      </w:r>
      <w:r w:rsidRPr="006571AC">
        <w:rPr>
          <w:rFonts w:cs="DanaFajr" w:hint="cs"/>
          <w:szCs w:val="28"/>
          <w:rtl/>
        </w:rPr>
        <w:t>. و</w:t>
      </w:r>
      <w:r w:rsidRPr="006571AC">
        <w:rPr>
          <w:rFonts w:cs="DanaFajr"/>
          <w:szCs w:val="28"/>
          <w:rtl/>
        </w:rPr>
        <w:t>بالفرنسية</w:t>
      </w:r>
      <w:r w:rsidRPr="006571AC">
        <w:rPr>
          <w:rFonts w:cs="DanaFajr" w:hint="cs"/>
          <w:szCs w:val="28"/>
          <w:rtl/>
        </w:rPr>
        <w:t>:</w:t>
      </w:r>
      <w:r w:rsidRPr="006571AC">
        <w:rPr>
          <w:rFonts w:cs="DanaFajr"/>
          <w:szCs w:val="28"/>
          <w:rtl/>
        </w:rPr>
        <w:t xml:space="preserve"> </w:t>
      </w:r>
    </w:p>
    <w:p w:rsidR="00DB2356" w:rsidRPr="006571AC" w:rsidRDefault="00DB2356" w:rsidP="0024500D">
      <w:pPr>
        <w:pStyle w:val="aa"/>
        <w:bidi w:val="0"/>
        <w:spacing w:line="306" w:lineRule="exact"/>
        <w:ind w:firstLine="0"/>
        <w:rPr>
          <w:rFonts w:asciiTheme="majorBidi" w:hAnsiTheme="majorBidi" w:cstheme="majorBidi"/>
          <w:sz w:val="28"/>
          <w:szCs w:val="28"/>
        </w:rPr>
      </w:pPr>
      <w:r w:rsidRPr="006571AC">
        <w:rPr>
          <w:rFonts w:asciiTheme="majorBidi" w:hAnsiTheme="majorBidi" w:cstheme="majorBidi"/>
          <w:szCs w:val="28"/>
        </w:rPr>
        <w:t>Essais sur la Théorie de la Science.</w:t>
      </w:r>
    </w:p>
  </w:endnote>
  <w:endnote w:id="906">
    <w:p w:rsidR="00DB2356" w:rsidRPr="006571AC" w:rsidRDefault="00DB2356" w:rsidP="0024500D">
      <w:pPr>
        <w:spacing w:line="306" w:lineRule="exact"/>
        <w:ind w:firstLine="0"/>
        <w:rPr>
          <w:rFonts w:cs="DanaFajr"/>
          <w:szCs w:val="28"/>
        </w:rPr>
      </w:pPr>
      <w:r w:rsidRPr="006571AC">
        <w:rPr>
          <w:rFonts w:cs="DanaFajr" w:hint="cs"/>
          <w:szCs w:val="28"/>
          <w:rtl/>
        </w:rPr>
        <w:t>(</w:t>
      </w:r>
      <w:r w:rsidRPr="006571AC">
        <w:rPr>
          <w:rStyle w:val="ac"/>
          <w:rFonts w:cs="DanaFajr"/>
          <w:szCs w:val="28"/>
          <w:vertAlign w:val="baseline"/>
        </w:rPr>
        <w:endnoteRef/>
      </w:r>
      <w:r w:rsidRPr="006571AC">
        <w:rPr>
          <w:rFonts w:cs="DanaFajr" w:hint="cs"/>
          <w:szCs w:val="28"/>
          <w:rtl/>
        </w:rPr>
        <w:t xml:space="preserve">) </w:t>
      </w:r>
      <w:r w:rsidRPr="006571AC">
        <w:rPr>
          <w:rFonts w:cs="DanaFajr"/>
          <w:szCs w:val="28"/>
          <w:rtl/>
        </w:rPr>
        <w:t>للأمثلة حول طريقة نقد الصدر من ق</w:t>
      </w:r>
      <w:r w:rsidRPr="006571AC">
        <w:rPr>
          <w:rFonts w:cs="DanaFajr" w:hint="cs"/>
          <w:szCs w:val="28"/>
          <w:rtl/>
        </w:rPr>
        <w:t>ِ</w:t>
      </w:r>
      <w:r w:rsidRPr="006571AC">
        <w:rPr>
          <w:rFonts w:cs="DanaFajr"/>
          <w:szCs w:val="28"/>
          <w:rtl/>
        </w:rPr>
        <w:t>ب</w:t>
      </w:r>
      <w:r w:rsidRPr="006571AC">
        <w:rPr>
          <w:rFonts w:cs="DanaFajr" w:hint="cs"/>
          <w:szCs w:val="28"/>
          <w:rtl/>
        </w:rPr>
        <w:t>َ</w:t>
      </w:r>
      <w:r w:rsidRPr="006571AC">
        <w:rPr>
          <w:rFonts w:cs="DanaFajr"/>
          <w:szCs w:val="28"/>
          <w:rtl/>
        </w:rPr>
        <w:t xml:space="preserve">ل بعض المعاصرين: </w:t>
      </w:r>
    </w:p>
    <w:p w:rsidR="00DB2356" w:rsidRPr="006571AC" w:rsidRDefault="00DB2356" w:rsidP="0024500D">
      <w:pPr>
        <w:spacing w:line="306" w:lineRule="exact"/>
        <w:ind w:firstLine="0"/>
        <w:rPr>
          <w:rFonts w:cs="DanaFajr"/>
          <w:szCs w:val="28"/>
        </w:rPr>
      </w:pPr>
      <w:r w:rsidRPr="006571AC">
        <w:rPr>
          <w:rFonts w:cs="DanaFajr" w:hint="cs"/>
          <w:szCs w:val="28"/>
          <w:rtl/>
        </w:rPr>
        <w:t xml:space="preserve">ـ </w:t>
      </w:r>
      <w:r w:rsidRPr="006571AC">
        <w:rPr>
          <w:rFonts w:cs="DanaFajr"/>
          <w:szCs w:val="28"/>
          <w:rtl/>
        </w:rPr>
        <w:t>رفيق يونس المصري، الخطر والتأمين</w:t>
      </w:r>
      <w:r w:rsidRPr="006571AC">
        <w:rPr>
          <w:rFonts w:cs="DanaFajr" w:hint="cs"/>
          <w:szCs w:val="28"/>
          <w:rtl/>
        </w:rPr>
        <w:t>،</w:t>
      </w:r>
      <w:r w:rsidRPr="006571AC">
        <w:rPr>
          <w:rFonts w:cs="DanaFajr"/>
          <w:szCs w:val="28"/>
          <w:rtl/>
        </w:rPr>
        <w:t xml:space="preserve"> دار القلم، </w:t>
      </w:r>
      <w:r w:rsidRPr="006571AC">
        <w:rPr>
          <w:rFonts w:cs="DanaFajr" w:hint="cs"/>
          <w:szCs w:val="28"/>
          <w:rtl/>
        </w:rPr>
        <w:t>ط1</w:t>
      </w:r>
      <w:r w:rsidRPr="006571AC">
        <w:rPr>
          <w:rFonts w:cs="DanaFajr"/>
          <w:szCs w:val="28"/>
          <w:rtl/>
        </w:rPr>
        <w:t xml:space="preserve">، دمشق، </w:t>
      </w:r>
      <w:r w:rsidRPr="006571AC">
        <w:rPr>
          <w:rFonts w:cs="DanaFajr" w:hint="cs"/>
          <w:szCs w:val="28"/>
          <w:rtl/>
        </w:rPr>
        <w:t>2001.</w:t>
      </w:r>
      <w:r w:rsidRPr="006571AC">
        <w:rPr>
          <w:rFonts w:cs="DanaFajr"/>
          <w:szCs w:val="28"/>
          <w:rtl/>
        </w:rPr>
        <w:t xml:space="preserve"> </w:t>
      </w:r>
    </w:p>
    <w:p w:rsidR="00DB2356" w:rsidRPr="006571AC" w:rsidRDefault="00DB2356" w:rsidP="0024500D">
      <w:pPr>
        <w:pStyle w:val="aa"/>
        <w:spacing w:line="306" w:lineRule="exact"/>
        <w:ind w:firstLine="0"/>
        <w:rPr>
          <w:rFonts w:cs="DanaFajr"/>
          <w:sz w:val="28"/>
          <w:szCs w:val="28"/>
        </w:rPr>
      </w:pPr>
      <w:r w:rsidRPr="006571AC">
        <w:rPr>
          <w:rFonts w:cs="DanaFajr" w:hint="cs"/>
          <w:szCs w:val="28"/>
          <w:rtl/>
        </w:rPr>
        <w:t xml:space="preserve">ـ </w:t>
      </w:r>
      <w:r w:rsidRPr="006571AC">
        <w:rPr>
          <w:rFonts w:cs="DanaFajr"/>
          <w:szCs w:val="28"/>
          <w:rtl/>
        </w:rPr>
        <w:t>أبو المجد حرك</w:t>
      </w:r>
      <w:r w:rsidRPr="006571AC">
        <w:rPr>
          <w:rFonts w:cs="DanaFajr" w:hint="cs"/>
          <w:szCs w:val="28"/>
          <w:rtl/>
        </w:rPr>
        <w:t xml:space="preserve"> ويوسف</w:t>
      </w:r>
      <w:r w:rsidRPr="006571AC">
        <w:rPr>
          <w:rFonts w:cs="DanaFajr"/>
          <w:szCs w:val="28"/>
          <w:rtl/>
        </w:rPr>
        <w:t xml:space="preserve"> كمال</w:t>
      </w:r>
      <w:r w:rsidRPr="006571AC">
        <w:rPr>
          <w:rFonts w:cs="DanaFajr" w:hint="cs"/>
          <w:szCs w:val="28"/>
          <w:rtl/>
        </w:rPr>
        <w:t>،</w:t>
      </w:r>
      <w:r w:rsidRPr="006571AC">
        <w:rPr>
          <w:rFonts w:cs="DanaFajr"/>
          <w:szCs w:val="28"/>
          <w:rtl/>
        </w:rPr>
        <w:t xml:space="preserve"> الاقتصاد الإسلامي بين فقه الشيعة وفقه أهل السن</w:t>
      </w:r>
      <w:r w:rsidRPr="006571AC">
        <w:rPr>
          <w:rFonts w:cs="DanaFajr" w:hint="cs"/>
          <w:szCs w:val="28"/>
          <w:rtl/>
        </w:rPr>
        <w:t>ّ</w:t>
      </w:r>
      <w:r w:rsidRPr="006571AC">
        <w:rPr>
          <w:rFonts w:cs="DanaFajr"/>
          <w:szCs w:val="28"/>
          <w:rtl/>
        </w:rPr>
        <w:t>ة، دار الصحوة.</w:t>
      </w:r>
    </w:p>
  </w:endnote>
  <w:endnote w:id="907">
    <w:p w:rsidR="00DB2356" w:rsidRPr="006571AC" w:rsidRDefault="00DB2356" w:rsidP="0024500D">
      <w:pPr>
        <w:pBdr>
          <w:top w:val="nil"/>
          <w:left w:val="nil"/>
          <w:bottom w:val="nil"/>
          <w:right w:val="nil"/>
          <w:between w:val="nil"/>
        </w:pBdr>
        <w:spacing w:line="306" w:lineRule="exact"/>
        <w:ind w:firstLine="0"/>
        <w:rPr>
          <w:rFonts w:cs="DanaFajr"/>
          <w:szCs w:val="28"/>
        </w:rPr>
      </w:pPr>
      <w:r w:rsidRPr="006571AC">
        <w:rPr>
          <w:rFonts w:cs="DanaFajr" w:hint="cs"/>
          <w:szCs w:val="28"/>
          <w:rtl/>
        </w:rPr>
        <w:t>(</w:t>
      </w:r>
      <w:r w:rsidRPr="006571AC">
        <w:rPr>
          <w:rStyle w:val="ac"/>
          <w:rFonts w:cs="DanaFajr"/>
          <w:szCs w:val="28"/>
          <w:vertAlign w:val="baseline"/>
        </w:rPr>
        <w:endnoteRef/>
      </w:r>
      <w:r w:rsidRPr="006571AC">
        <w:rPr>
          <w:rFonts w:cs="DanaFajr" w:hint="cs"/>
          <w:szCs w:val="28"/>
          <w:rtl/>
        </w:rPr>
        <w:t xml:space="preserve">) </w:t>
      </w:r>
      <w:r w:rsidRPr="006571AC">
        <w:rPr>
          <w:rFonts w:cs="DanaFajr"/>
          <w:szCs w:val="28"/>
          <w:rtl/>
        </w:rPr>
        <w:t>من وجهة النظر الأكاديمية، فقد ورد</w:t>
      </w:r>
      <w:r w:rsidRPr="006571AC">
        <w:rPr>
          <w:rFonts w:cs="DanaFajr" w:hint="cs"/>
          <w:szCs w:val="28"/>
          <w:rtl/>
        </w:rPr>
        <w:t>َ</w:t>
      </w:r>
      <w:r w:rsidRPr="006571AC">
        <w:rPr>
          <w:rFonts w:cs="DanaFajr"/>
          <w:szCs w:val="28"/>
          <w:rtl/>
        </w:rPr>
        <w:t>ت</w:t>
      </w:r>
      <w:r w:rsidRPr="006571AC">
        <w:rPr>
          <w:rFonts w:cs="DanaFajr" w:hint="cs"/>
          <w:szCs w:val="28"/>
          <w:rtl/>
        </w:rPr>
        <w:t>ْ</w:t>
      </w:r>
      <w:r w:rsidRPr="006571AC">
        <w:rPr>
          <w:rFonts w:cs="DanaFajr"/>
          <w:szCs w:val="28"/>
          <w:rtl/>
        </w:rPr>
        <w:t xml:space="preserve"> أول تفاصيل نتائج هذه الأعمال في أطروحتنا للدكتوراه من جامعة باريس </w:t>
      </w:r>
      <w:r w:rsidRPr="006571AC">
        <w:rPr>
          <w:rFonts w:cs="DanaFajr" w:hint="cs"/>
          <w:szCs w:val="28"/>
          <w:rtl/>
        </w:rPr>
        <w:t>2</w:t>
      </w:r>
      <w:r w:rsidRPr="006571AC">
        <w:rPr>
          <w:rFonts w:cs="DanaFajr"/>
          <w:szCs w:val="28"/>
          <w:rtl/>
        </w:rPr>
        <w:t>، والتي نال</w:t>
      </w:r>
      <w:r w:rsidRPr="006571AC">
        <w:rPr>
          <w:rFonts w:cs="DanaFajr" w:hint="cs"/>
          <w:szCs w:val="28"/>
          <w:rtl/>
        </w:rPr>
        <w:t>َ</w:t>
      </w:r>
      <w:r w:rsidRPr="006571AC">
        <w:rPr>
          <w:rFonts w:cs="DanaFajr"/>
          <w:szCs w:val="28"/>
          <w:rtl/>
        </w:rPr>
        <w:t>ت</w:t>
      </w:r>
      <w:r w:rsidRPr="006571AC">
        <w:rPr>
          <w:rFonts w:cs="DanaFajr" w:hint="cs"/>
          <w:szCs w:val="28"/>
          <w:rtl/>
        </w:rPr>
        <w:t>ْ</w:t>
      </w:r>
      <w:r w:rsidRPr="006571AC">
        <w:rPr>
          <w:rFonts w:cs="DanaFajr"/>
          <w:szCs w:val="28"/>
          <w:rtl/>
        </w:rPr>
        <w:t xml:space="preserve"> الاعتراف الأكاديمي اللازم من وجهة نظر قيمتها العلمية (تم</w:t>
      </w:r>
      <w:r w:rsidRPr="006571AC">
        <w:rPr>
          <w:rFonts w:cs="DanaFajr" w:hint="cs"/>
          <w:szCs w:val="28"/>
          <w:rtl/>
        </w:rPr>
        <w:t>ّ</w:t>
      </w:r>
      <w:r w:rsidRPr="006571AC">
        <w:rPr>
          <w:rFonts w:cs="DanaFajr"/>
          <w:szCs w:val="28"/>
          <w:rtl/>
        </w:rPr>
        <w:t xml:space="preserve"> الدفاع عنها أمام اللجنة العلمية في </w:t>
      </w:r>
      <w:r w:rsidRPr="006571AC">
        <w:rPr>
          <w:rFonts w:cs="DanaFajr" w:hint="cs"/>
          <w:szCs w:val="28"/>
          <w:rtl/>
        </w:rPr>
        <w:t>16</w:t>
      </w:r>
      <w:r w:rsidRPr="006571AC">
        <w:rPr>
          <w:rFonts w:cs="DanaFajr"/>
          <w:szCs w:val="28"/>
          <w:rtl/>
        </w:rPr>
        <w:t xml:space="preserve"> سبتمبر </w:t>
      </w:r>
      <w:r w:rsidRPr="006571AC">
        <w:rPr>
          <w:rFonts w:cs="DanaFajr" w:hint="cs"/>
          <w:szCs w:val="28"/>
          <w:rtl/>
        </w:rPr>
        <w:t>2013</w:t>
      </w:r>
      <w:r w:rsidRPr="006571AC">
        <w:rPr>
          <w:rFonts w:cs="DanaFajr"/>
          <w:szCs w:val="28"/>
          <w:rtl/>
        </w:rPr>
        <w:t xml:space="preserve">: </w:t>
      </w:r>
    </w:p>
    <w:p w:rsidR="00DB2356" w:rsidRPr="006571AC" w:rsidRDefault="00DB2356" w:rsidP="0024500D">
      <w:pPr>
        <w:pStyle w:val="aa"/>
        <w:bidi w:val="0"/>
        <w:spacing w:line="306" w:lineRule="exact"/>
        <w:ind w:firstLine="0"/>
        <w:rPr>
          <w:rFonts w:asciiTheme="majorBidi" w:hAnsiTheme="majorBidi" w:cstheme="majorBidi"/>
        </w:rPr>
      </w:pPr>
      <w:r w:rsidRPr="006571AC">
        <w:rPr>
          <w:rFonts w:asciiTheme="majorBidi" w:hAnsiTheme="majorBidi" w:cstheme="majorBidi"/>
        </w:rPr>
        <w:t>Abou Hamdan, Malek, 2013, Produits Dérivés, Risques de Marché et «Gharar»: Recherche d’une Alternative Islamique, Université Paris II Panthéon</w:t>
      </w:r>
      <w:r w:rsidRPr="006571AC">
        <w:rPr>
          <w:rFonts w:asciiTheme="majorBidi" w:hAnsiTheme="majorBidi" w:cstheme="majorBidi"/>
          <w:rtl/>
        </w:rPr>
        <w:t xml:space="preserve"> ـ </w:t>
      </w:r>
      <w:r w:rsidRPr="006571AC">
        <w:rPr>
          <w:rFonts w:asciiTheme="majorBidi" w:hAnsiTheme="majorBidi" w:cstheme="majorBidi"/>
        </w:rPr>
        <w:t xml:space="preserve">Assas (Thèse, Lauréat du Prix de l’Université en 2015, consultable sur </w:t>
      </w:r>
      <w:hyperlink r:id="rId3">
        <w:r w:rsidRPr="006571AC">
          <w:rPr>
            <w:rFonts w:asciiTheme="majorBidi" w:hAnsiTheme="majorBidi" w:cstheme="majorBidi"/>
          </w:rPr>
          <w:t>www. theses. fr</w:t>
        </w:r>
      </w:hyperlink>
      <w:r w:rsidRPr="006571AC">
        <w:rPr>
          <w:rFonts w:asciiTheme="majorBidi" w:hAnsiTheme="majorBidi" w:cstheme="majorBidi"/>
        </w:rPr>
        <w:t>).</w:t>
      </w:r>
    </w:p>
  </w:endnote>
  <w:endnote w:id="908">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w:t>
      </w:r>
      <w:r w:rsidRPr="006571AC">
        <w:rPr>
          <w:rFonts w:cs="DanaFajr" w:hint="cs"/>
          <w:szCs w:val="28"/>
          <w:rtl/>
        </w:rPr>
        <w:t xml:space="preserve"> </w:t>
      </w:r>
      <w:r w:rsidRPr="006571AC">
        <w:rPr>
          <w:rFonts w:cs="DanaFajr"/>
          <w:szCs w:val="28"/>
          <w:rtl/>
        </w:rPr>
        <w:t>حول تموضعنا ال</w:t>
      </w:r>
      <w:r w:rsidRPr="006571AC">
        <w:rPr>
          <w:rFonts w:cs="DanaFajr" w:hint="cs"/>
          <w:szCs w:val="28"/>
          <w:rtl/>
        </w:rPr>
        <w:t>إ</w:t>
      </w:r>
      <w:r w:rsidRPr="006571AC">
        <w:rPr>
          <w:rFonts w:cs="DanaFajr"/>
          <w:szCs w:val="28"/>
          <w:rtl/>
        </w:rPr>
        <w:t xml:space="preserve">بستيمولوجي </w:t>
      </w:r>
      <w:r w:rsidRPr="006571AC">
        <w:rPr>
          <w:rFonts w:hint="eastAsia"/>
          <w:sz w:val="22"/>
          <w:szCs w:val="22"/>
          <w:rtl/>
        </w:rPr>
        <w:t>«</w:t>
      </w:r>
      <w:r w:rsidRPr="006571AC">
        <w:rPr>
          <w:rFonts w:cs="DanaFajr"/>
          <w:szCs w:val="28"/>
          <w:rtl/>
        </w:rPr>
        <w:t>ما بعد الوضعي المطو</w:t>
      </w:r>
      <w:r w:rsidRPr="006571AC">
        <w:rPr>
          <w:rFonts w:cs="DanaFajr" w:hint="cs"/>
          <w:szCs w:val="28"/>
          <w:rtl/>
        </w:rPr>
        <w:t>ّ</w:t>
      </w:r>
      <w:r w:rsidRPr="006571AC">
        <w:rPr>
          <w:rFonts w:cs="DanaFajr"/>
          <w:szCs w:val="28"/>
          <w:rtl/>
        </w:rPr>
        <w:t>ر</w:t>
      </w:r>
      <w:r w:rsidRPr="006571AC">
        <w:rPr>
          <w:rFonts w:hint="eastAsia"/>
          <w:sz w:val="22"/>
          <w:szCs w:val="22"/>
          <w:rtl/>
        </w:rPr>
        <w:t>»</w:t>
      </w:r>
      <w:r w:rsidRPr="006571AC">
        <w:rPr>
          <w:rFonts w:cs="DanaFajr"/>
          <w:szCs w:val="28"/>
          <w:rtl/>
        </w:rPr>
        <w:t xml:space="preserve"> راج</w:t>
      </w:r>
      <w:r w:rsidRPr="006571AC">
        <w:rPr>
          <w:rFonts w:cs="DanaFajr" w:hint="cs"/>
          <w:szCs w:val="28"/>
          <w:rtl/>
        </w:rPr>
        <w:t>ِ</w:t>
      </w:r>
      <w:r w:rsidRPr="006571AC">
        <w:rPr>
          <w:rFonts w:cs="DanaFajr"/>
          <w:szCs w:val="28"/>
          <w:rtl/>
        </w:rPr>
        <w:t>ع</w:t>
      </w:r>
      <w:r w:rsidRPr="006571AC">
        <w:rPr>
          <w:rFonts w:cs="DanaFajr" w:hint="cs"/>
          <w:szCs w:val="28"/>
          <w:rtl/>
        </w:rPr>
        <w:t>ْ</w:t>
      </w:r>
      <w:r w:rsidRPr="006571AC">
        <w:rPr>
          <w:rFonts w:cs="DanaFajr"/>
          <w:szCs w:val="28"/>
          <w:rtl/>
        </w:rPr>
        <w:t>: المرجع السابق</w:t>
      </w:r>
      <w:r w:rsidRPr="006571AC">
        <w:rPr>
          <w:rFonts w:cs="DanaFajr" w:hint="cs"/>
          <w:szCs w:val="28"/>
          <w:rtl/>
        </w:rPr>
        <w:t>؛</w:t>
      </w:r>
      <w:r w:rsidRPr="006571AC">
        <w:rPr>
          <w:rFonts w:cs="DanaFajr"/>
          <w:szCs w:val="28"/>
          <w:rtl/>
        </w:rPr>
        <w:t xml:space="preserve"> وخاتمة هذه الورقة.</w:t>
      </w:r>
    </w:p>
  </w:endnote>
  <w:endnote w:id="909">
    <w:p w:rsidR="00DB2356" w:rsidRPr="006571AC" w:rsidRDefault="00DB2356" w:rsidP="0024500D">
      <w:pPr>
        <w:spacing w:line="306" w:lineRule="exact"/>
        <w:ind w:firstLine="0"/>
        <w:rPr>
          <w:rFonts w:cs="DanaFajr"/>
          <w:szCs w:val="28"/>
        </w:rPr>
      </w:pPr>
      <w:r w:rsidRPr="006571AC">
        <w:rPr>
          <w:rFonts w:cs="DanaFajr" w:hint="cs"/>
          <w:szCs w:val="28"/>
          <w:rtl/>
        </w:rPr>
        <w:t>(</w:t>
      </w:r>
      <w:r w:rsidRPr="006571AC">
        <w:rPr>
          <w:rStyle w:val="ac"/>
          <w:rFonts w:cs="DanaFajr"/>
          <w:szCs w:val="28"/>
          <w:vertAlign w:val="baseline"/>
        </w:rPr>
        <w:endnoteRef/>
      </w:r>
      <w:r w:rsidRPr="006571AC">
        <w:rPr>
          <w:rFonts w:cs="DanaFajr" w:hint="cs"/>
          <w:szCs w:val="28"/>
          <w:rtl/>
        </w:rPr>
        <w:t xml:space="preserve">) </w:t>
      </w:r>
      <w:r w:rsidRPr="006571AC">
        <w:rPr>
          <w:rFonts w:cs="DanaFajr"/>
          <w:szCs w:val="28"/>
          <w:rtl/>
        </w:rPr>
        <w:t>للتعريفات في العلوم ال</w:t>
      </w:r>
      <w:r w:rsidRPr="006571AC">
        <w:rPr>
          <w:rFonts w:cs="DanaFajr" w:hint="cs"/>
          <w:szCs w:val="28"/>
          <w:rtl/>
        </w:rPr>
        <w:t>إ</w:t>
      </w:r>
      <w:r w:rsidRPr="006571AC">
        <w:rPr>
          <w:rFonts w:cs="DanaFajr"/>
          <w:szCs w:val="28"/>
          <w:rtl/>
        </w:rPr>
        <w:t>دارية راج</w:t>
      </w:r>
      <w:r w:rsidRPr="006571AC">
        <w:rPr>
          <w:rFonts w:cs="DanaFajr" w:hint="cs"/>
          <w:szCs w:val="28"/>
          <w:rtl/>
        </w:rPr>
        <w:t>ِ</w:t>
      </w:r>
      <w:r w:rsidRPr="006571AC">
        <w:rPr>
          <w:rFonts w:cs="DanaFajr"/>
          <w:szCs w:val="28"/>
          <w:rtl/>
        </w:rPr>
        <w:t>ع</w:t>
      </w:r>
      <w:r w:rsidRPr="006571AC">
        <w:rPr>
          <w:rFonts w:cs="DanaFajr" w:hint="cs"/>
          <w:szCs w:val="28"/>
          <w:rtl/>
        </w:rPr>
        <w:t>ْ</w:t>
      </w:r>
      <w:r w:rsidRPr="006571AC">
        <w:rPr>
          <w:rFonts w:cs="DanaFajr"/>
          <w:szCs w:val="28"/>
          <w:rtl/>
        </w:rPr>
        <w:t>: ف.</w:t>
      </w:r>
      <w:r w:rsidRPr="006571AC">
        <w:rPr>
          <w:rFonts w:cs="DanaFajr" w:hint="cs"/>
          <w:szCs w:val="28"/>
          <w:rtl/>
        </w:rPr>
        <w:t xml:space="preserve"> </w:t>
      </w:r>
      <w:r w:rsidRPr="006571AC">
        <w:rPr>
          <w:rFonts w:cs="DanaFajr"/>
          <w:szCs w:val="28"/>
          <w:rtl/>
        </w:rPr>
        <w:t>بيريه</w:t>
      </w:r>
      <w:r w:rsidRPr="006571AC">
        <w:rPr>
          <w:rFonts w:cs="DanaFajr" w:hint="cs"/>
          <w:szCs w:val="28"/>
          <w:rtl/>
        </w:rPr>
        <w:t xml:space="preserve"> و</w:t>
      </w:r>
      <w:r w:rsidRPr="006571AC">
        <w:rPr>
          <w:rFonts w:cs="DanaFajr"/>
          <w:szCs w:val="28"/>
          <w:rtl/>
        </w:rPr>
        <w:t>م.</w:t>
      </w:r>
      <w:r w:rsidRPr="006571AC">
        <w:rPr>
          <w:rFonts w:cs="DanaFajr" w:hint="cs"/>
          <w:szCs w:val="28"/>
          <w:rtl/>
        </w:rPr>
        <w:t xml:space="preserve"> </w:t>
      </w:r>
      <w:r w:rsidRPr="006571AC">
        <w:rPr>
          <w:rFonts w:cs="DanaFajr"/>
          <w:szCs w:val="28"/>
          <w:rtl/>
        </w:rPr>
        <w:t>سيفيل، الأسس ال</w:t>
      </w:r>
      <w:r w:rsidRPr="006571AC">
        <w:rPr>
          <w:rFonts w:cs="DanaFajr" w:hint="cs"/>
          <w:szCs w:val="28"/>
          <w:rtl/>
        </w:rPr>
        <w:t>إ</w:t>
      </w:r>
      <w:r w:rsidRPr="006571AC">
        <w:rPr>
          <w:rFonts w:cs="DanaFajr"/>
          <w:szCs w:val="28"/>
          <w:rtl/>
        </w:rPr>
        <w:t xml:space="preserve">بستيمولوجية للبحث، </w:t>
      </w:r>
      <w:r w:rsidRPr="006571AC">
        <w:rPr>
          <w:rFonts w:cs="DanaFajr" w:hint="cs"/>
          <w:szCs w:val="28"/>
          <w:rtl/>
        </w:rPr>
        <w:t>2003م</w:t>
      </w:r>
      <w:r w:rsidRPr="006571AC">
        <w:rPr>
          <w:rFonts w:cs="DanaFajr"/>
          <w:szCs w:val="28"/>
          <w:rtl/>
        </w:rPr>
        <w:t>، في</w:t>
      </w:r>
      <w:r w:rsidRPr="006571AC">
        <w:rPr>
          <w:rFonts w:cs="DanaFajr" w:hint="cs"/>
          <w:szCs w:val="28"/>
          <w:rtl/>
        </w:rPr>
        <w:t>:</w:t>
      </w:r>
      <w:r w:rsidRPr="006571AC">
        <w:rPr>
          <w:rFonts w:cs="DanaFajr"/>
          <w:szCs w:val="28"/>
          <w:rtl/>
        </w:rPr>
        <w:t xml:space="preserve"> ر. أ. تييتار ومن معها، طرق البحث في علم ال</w:t>
      </w:r>
      <w:r w:rsidRPr="006571AC">
        <w:rPr>
          <w:rFonts w:cs="DanaFajr" w:hint="cs"/>
          <w:szCs w:val="28"/>
          <w:rtl/>
        </w:rPr>
        <w:t>إ</w:t>
      </w:r>
      <w:r w:rsidRPr="006571AC">
        <w:rPr>
          <w:rFonts w:cs="DanaFajr"/>
          <w:szCs w:val="28"/>
          <w:rtl/>
        </w:rPr>
        <w:t>دارة، باريس</w:t>
      </w:r>
      <w:r w:rsidRPr="006571AC">
        <w:rPr>
          <w:rFonts w:cs="DanaFajr" w:hint="cs"/>
          <w:szCs w:val="28"/>
          <w:rtl/>
        </w:rPr>
        <w:t>،</w:t>
      </w:r>
      <w:r w:rsidRPr="006571AC">
        <w:rPr>
          <w:rFonts w:cs="DanaFajr"/>
          <w:szCs w:val="28"/>
          <w:rtl/>
        </w:rPr>
        <w:t xml:space="preserve"> دينو </w:t>
      </w:r>
      <w:r w:rsidRPr="006571AC">
        <w:rPr>
          <w:rFonts w:asciiTheme="majorBidi" w:hAnsiTheme="majorBidi" w:cstheme="majorBidi"/>
          <w:sz w:val="20"/>
          <w:szCs w:val="20"/>
        </w:rPr>
        <w:t>Dunod</w:t>
      </w:r>
      <w:r w:rsidRPr="006571AC">
        <w:rPr>
          <w:rFonts w:cs="DanaFajr" w:hint="cs"/>
          <w:szCs w:val="28"/>
          <w:rtl/>
        </w:rPr>
        <w:t>.</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w:t>
      </w:r>
      <w:r w:rsidRPr="006571AC">
        <w:rPr>
          <w:rFonts w:cs="DanaFajr"/>
          <w:szCs w:val="28"/>
          <w:rtl/>
        </w:rPr>
        <w:t xml:space="preserve"> </w:t>
      </w:r>
    </w:p>
    <w:p w:rsidR="00DB2356" w:rsidRPr="006571AC" w:rsidRDefault="00DB2356" w:rsidP="007B39CF">
      <w:pPr>
        <w:pStyle w:val="aa"/>
        <w:bidi w:val="0"/>
        <w:spacing w:line="306" w:lineRule="exact"/>
        <w:ind w:firstLine="0"/>
        <w:rPr>
          <w:rFonts w:asciiTheme="majorBidi" w:hAnsiTheme="majorBidi" w:cstheme="majorBidi"/>
        </w:rPr>
      </w:pPr>
      <w:r w:rsidRPr="006571AC">
        <w:rPr>
          <w:rFonts w:asciiTheme="majorBidi" w:hAnsiTheme="majorBidi" w:cstheme="majorBidi"/>
        </w:rPr>
        <w:t>Fondements Epistémologiques de la Recherche.</w:t>
      </w:r>
    </w:p>
  </w:endnote>
  <w:endnote w:id="910">
    <w:p w:rsidR="00DB2356" w:rsidRPr="006571AC" w:rsidRDefault="00DB2356" w:rsidP="007B39CF">
      <w:pPr>
        <w:pStyle w:val="aa"/>
        <w:spacing w:line="29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w:t>
      </w:r>
      <w:r w:rsidRPr="006571AC">
        <w:rPr>
          <w:rFonts w:cs="DanaFajr" w:hint="cs"/>
          <w:szCs w:val="28"/>
          <w:rtl/>
        </w:rPr>
        <w:t xml:space="preserve"> </w:t>
      </w:r>
      <w:r w:rsidRPr="006571AC">
        <w:rPr>
          <w:rFonts w:cs="DanaFajr"/>
          <w:szCs w:val="28"/>
          <w:rtl/>
        </w:rPr>
        <w:t>راج</w:t>
      </w:r>
      <w:r w:rsidRPr="006571AC">
        <w:rPr>
          <w:rFonts w:cs="DanaFajr" w:hint="cs"/>
          <w:szCs w:val="28"/>
          <w:rtl/>
        </w:rPr>
        <w:t>ِ</w:t>
      </w:r>
      <w:r w:rsidRPr="006571AC">
        <w:rPr>
          <w:rFonts w:cs="DanaFajr"/>
          <w:szCs w:val="28"/>
          <w:rtl/>
        </w:rPr>
        <w:t>ع</w:t>
      </w:r>
      <w:r w:rsidRPr="006571AC">
        <w:rPr>
          <w:rFonts w:cs="DanaFajr" w:hint="cs"/>
          <w:szCs w:val="28"/>
          <w:rtl/>
        </w:rPr>
        <w:t>ْ</w:t>
      </w:r>
      <w:r w:rsidRPr="006571AC">
        <w:rPr>
          <w:rFonts w:cs="DanaFajr"/>
          <w:szCs w:val="28"/>
          <w:rtl/>
        </w:rPr>
        <w:t xml:space="preserve">: </w:t>
      </w:r>
      <w:hyperlink r:id="rId4">
        <w:r w:rsidRPr="006571AC">
          <w:rPr>
            <w:rFonts w:cs="DanaFajr"/>
            <w:szCs w:val="28"/>
          </w:rPr>
          <w:t>www.almaany.com</w:t>
        </w:r>
      </w:hyperlink>
      <w:r w:rsidRPr="006571AC">
        <w:rPr>
          <w:rFonts w:cs="DanaFajr" w:hint="cs"/>
          <w:szCs w:val="28"/>
          <w:rtl/>
        </w:rPr>
        <w:t xml:space="preserve">. </w:t>
      </w:r>
      <w:r w:rsidRPr="006571AC">
        <w:rPr>
          <w:rFonts w:cs="DanaFajr"/>
          <w:szCs w:val="28"/>
          <w:rtl/>
        </w:rPr>
        <w:t>وفيه أهم المعاجم العربية الكلاسيكية والمعاصرة، وعلى رأسها</w:t>
      </w:r>
      <w:r w:rsidRPr="006571AC">
        <w:rPr>
          <w:rFonts w:cs="DanaFajr" w:hint="cs"/>
          <w:szCs w:val="28"/>
          <w:rtl/>
        </w:rPr>
        <w:t>:</w:t>
      </w:r>
      <w:r w:rsidRPr="006571AC">
        <w:rPr>
          <w:rFonts w:cs="DanaFajr"/>
          <w:szCs w:val="28"/>
          <w:rtl/>
        </w:rPr>
        <w:t xml:space="preserve"> لسان العرب</w:t>
      </w:r>
      <w:r w:rsidRPr="006571AC">
        <w:rPr>
          <w:rFonts w:cs="DanaFajr" w:hint="cs"/>
          <w:szCs w:val="28"/>
          <w:rtl/>
        </w:rPr>
        <w:t>،</w:t>
      </w:r>
      <w:r w:rsidRPr="006571AC">
        <w:rPr>
          <w:rFonts w:cs="DanaFajr"/>
          <w:szCs w:val="28"/>
          <w:rtl/>
        </w:rPr>
        <w:t xml:space="preserve"> لابن منظور</w:t>
      </w:r>
      <w:r w:rsidRPr="006571AC">
        <w:rPr>
          <w:rFonts w:cs="DanaFajr" w:hint="cs"/>
          <w:szCs w:val="28"/>
          <w:rtl/>
        </w:rPr>
        <w:t>،</w:t>
      </w:r>
      <w:r w:rsidRPr="006571AC">
        <w:rPr>
          <w:rFonts w:cs="DanaFajr"/>
          <w:szCs w:val="28"/>
          <w:rtl/>
        </w:rPr>
        <w:t xml:space="preserve"> مثلا</w:t>
      </w:r>
      <w:r w:rsidRPr="006571AC">
        <w:rPr>
          <w:rFonts w:cs="DanaFajr" w:hint="cs"/>
          <w:szCs w:val="28"/>
          <w:rtl/>
        </w:rPr>
        <w:t>ً</w:t>
      </w:r>
      <w:r w:rsidRPr="006571AC">
        <w:rPr>
          <w:rFonts w:cs="DanaFajr"/>
          <w:szCs w:val="28"/>
          <w:rtl/>
        </w:rPr>
        <w:t>.</w:t>
      </w:r>
    </w:p>
  </w:endnote>
  <w:endnote w:id="911">
    <w:p w:rsidR="00DB2356" w:rsidRPr="006571AC" w:rsidRDefault="00DB2356" w:rsidP="007B39CF">
      <w:pPr>
        <w:pStyle w:val="aa"/>
        <w:spacing w:line="296" w:lineRule="exact"/>
        <w:ind w:firstLine="0"/>
        <w:rPr>
          <w:rFonts w:cs="DanaFajr"/>
          <w:szCs w:val="28"/>
          <w:rtl/>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w:t>
      </w:r>
      <w:r w:rsidRPr="006571AC">
        <w:rPr>
          <w:rFonts w:cs="DanaFajr" w:hint="cs"/>
          <w:szCs w:val="28"/>
          <w:rtl/>
        </w:rPr>
        <w:t xml:space="preserve"> </w:t>
      </w:r>
      <w:r w:rsidRPr="006571AC">
        <w:rPr>
          <w:rFonts w:cs="DanaFajr"/>
          <w:szCs w:val="28"/>
          <w:rtl/>
        </w:rPr>
        <w:t>حول هذه المواضيع راج</w:t>
      </w:r>
      <w:r w:rsidRPr="006571AC">
        <w:rPr>
          <w:rFonts w:cs="DanaFajr" w:hint="cs"/>
          <w:szCs w:val="28"/>
          <w:rtl/>
        </w:rPr>
        <w:t>ِ</w:t>
      </w:r>
      <w:r w:rsidRPr="006571AC">
        <w:rPr>
          <w:rFonts w:cs="DanaFajr"/>
          <w:szCs w:val="28"/>
          <w:rtl/>
        </w:rPr>
        <w:t>ع</w:t>
      </w:r>
      <w:r w:rsidRPr="006571AC">
        <w:rPr>
          <w:rFonts w:cs="DanaFajr" w:hint="cs"/>
          <w:szCs w:val="28"/>
          <w:rtl/>
        </w:rPr>
        <w:t>ْ</w:t>
      </w:r>
      <w:r w:rsidRPr="006571AC">
        <w:rPr>
          <w:rFonts w:cs="DanaFajr"/>
          <w:szCs w:val="28"/>
          <w:rtl/>
        </w:rPr>
        <w:t xml:space="preserve"> مثلا</w:t>
      </w:r>
      <w:r w:rsidRPr="006571AC">
        <w:rPr>
          <w:rFonts w:cs="DanaFajr" w:hint="cs"/>
          <w:szCs w:val="28"/>
          <w:rtl/>
        </w:rPr>
        <w:t>ً</w:t>
      </w:r>
      <w:r w:rsidRPr="006571AC">
        <w:rPr>
          <w:rFonts w:cs="DanaFajr"/>
          <w:szCs w:val="28"/>
          <w:rtl/>
        </w:rPr>
        <w:t>: فيبر</w:t>
      </w:r>
      <w:r w:rsidRPr="006571AC">
        <w:rPr>
          <w:rFonts w:cs="DanaFajr" w:hint="cs"/>
          <w:szCs w:val="28"/>
          <w:rtl/>
        </w:rPr>
        <w:t>،</w:t>
      </w:r>
      <w:r w:rsidRPr="006571AC">
        <w:rPr>
          <w:rFonts w:cs="DanaFajr"/>
          <w:szCs w:val="28"/>
          <w:rtl/>
        </w:rPr>
        <w:t xml:space="preserve"> كتابات حول نظرية العلم</w:t>
      </w:r>
      <w:r w:rsidRPr="006571AC">
        <w:rPr>
          <w:rFonts w:cs="DanaFajr" w:hint="cs"/>
          <w:szCs w:val="28"/>
          <w:rtl/>
        </w:rPr>
        <w:t>؛</w:t>
      </w:r>
      <w:r w:rsidRPr="006571AC">
        <w:rPr>
          <w:rFonts w:cs="DanaFajr"/>
          <w:szCs w:val="28"/>
          <w:rtl/>
        </w:rPr>
        <w:t xml:space="preserve"> </w:t>
      </w:r>
      <w:r w:rsidRPr="006571AC">
        <w:rPr>
          <w:rFonts w:cs="DanaFajr" w:hint="cs"/>
          <w:szCs w:val="28"/>
          <w:rtl/>
        </w:rPr>
        <w:t xml:space="preserve">وجوليان </w:t>
      </w:r>
      <w:r w:rsidRPr="006571AC">
        <w:rPr>
          <w:rFonts w:cs="DanaFajr"/>
          <w:szCs w:val="28"/>
          <w:rtl/>
        </w:rPr>
        <w:t>فرويند</w:t>
      </w:r>
      <w:r w:rsidRPr="006571AC">
        <w:rPr>
          <w:rFonts w:cs="DanaFajr" w:hint="cs"/>
          <w:szCs w:val="28"/>
          <w:rtl/>
        </w:rPr>
        <w:t xml:space="preserve">، </w:t>
      </w:r>
      <w:r w:rsidRPr="006571AC">
        <w:rPr>
          <w:rFonts w:cs="DanaFajr"/>
          <w:szCs w:val="28"/>
          <w:rtl/>
        </w:rPr>
        <w:t>العلم الاجتماعي عند ماكس فيبر</w:t>
      </w:r>
      <w:r w:rsidRPr="006571AC">
        <w:rPr>
          <w:rFonts w:cs="DanaFajr" w:hint="cs"/>
          <w:szCs w:val="28"/>
          <w:rtl/>
        </w:rPr>
        <w:t>،</w:t>
      </w:r>
      <w:r w:rsidRPr="006571AC">
        <w:rPr>
          <w:rFonts w:cs="DanaFajr"/>
          <w:szCs w:val="28"/>
          <w:rtl/>
        </w:rPr>
        <w:t xml:space="preserve"> المطابع الجامعية الفرنسية </w:t>
      </w:r>
      <w:r w:rsidRPr="006571AC">
        <w:rPr>
          <w:rFonts w:cs="DanaFajr"/>
        </w:rPr>
        <w:t>PUF</w:t>
      </w:r>
      <w:r w:rsidRPr="006571AC">
        <w:rPr>
          <w:rFonts w:cs="DanaFajr"/>
          <w:szCs w:val="28"/>
          <w:rtl/>
        </w:rPr>
        <w:t xml:space="preserve">، باريس، </w:t>
      </w:r>
      <w:r w:rsidRPr="006571AC">
        <w:rPr>
          <w:rFonts w:cs="DanaFajr" w:hint="cs"/>
          <w:szCs w:val="28"/>
          <w:rtl/>
        </w:rPr>
        <w:t>1966م.</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w:t>
      </w:r>
    </w:p>
    <w:p w:rsidR="00DB2356" w:rsidRPr="006571AC" w:rsidRDefault="00DB2356" w:rsidP="007B39CF">
      <w:pPr>
        <w:pStyle w:val="aa"/>
        <w:bidi w:val="0"/>
        <w:spacing w:line="306" w:lineRule="exact"/>
        <w:ind w:firstLine="0"/>
        <w:rPr>
          <w:rFonts w:asciiTheme="majorBidi" w:hAnsiTheme="majorBidi" w:cstheme="majorBidi"/>
        </w:rPr>
      </w:pPr>
      <w:r w:rsidRPr="006571AC">
        <w:rPr>
          <w:rFonts w:asciiTheme="majorBidi" w:hAnsiTheme="majorBidi" w:cstheme="majorBidi"/>
        </w:rPr>
        <w:t>La Sociologie de Max Weber.</w:t>
      </w:r>
    </w:p>
  </w:endnote>
  <w:endnote w:id="912">
    <w:p w:rsidR="00DB2356" w:rsidRPr="006571AC" w:rsidRDefault="00DB2356" w:rsidP="007B39CF">
      <w:pPr>
        <w:pBdr>
          <w:top w:val="nil"/>
          <w:left w:val="nil"/>
          <w:bottom w:val="nil"/>
          <w:right w:val="nil"/>
          <w:between w:val="nil"/>
        </w:pBdr>
        <w:spacing w:line="296" w:lineRule="exact"/>
        <w:ind w:firstLine="0"/>
        <w:rPr>
          <w:rFonts w:cs="DanaFajr"/>
          <w:szCs w:val="28"/>
        </w:rPr>
      </w:pPr>
      <w:r w:rsidRPr="006571AC">
        <w:rPr>
          <w:rFonts w:cs="DanaFajr" w:hint="cs"/>
          <w:szCs w:val="28"/>
          <w:rtl/>
        </w:rPr>
        <w:t>(</w:t>
      </w:r>
      <w:r w:rsidRPr="006571AC">
        <w:rPr>
          <w:rStyle w:val="ac"/>
          <w:rFonts w:cs="DanaFajr"/>
          <w:szCs w:val="28"/>
          <w:vertAlign w:val="baseline"/>
        </w:rPr>
        <w:endnoteRef/>
      </w:r>
      <w:r w:rsidRPr="006571AC">
        <w:rPr>
          <w:rFonts w:cs="DanaFajr" w:hint="cs"/>
          <w:szCs w:val="28"/>
          <w:rtl/>
        </w:rPr>
        <w:t xml:space="preserve">) </w:t>
      </w:r>
      <w:r w:rsidRPr="006571AC">
        <w:rPr>
          <w:rFonts w:cs="DanaFajr"/>
          <w:szCs w:val="28"/>
          <w:rtl/>
        </w:rPr>
        <w:t>وهو من شيوخ المدرسة الاجتماعية الكبار في فرنسا والعالم الغربي</w:t>
      </w:r>
      <w:r w:rsidRPr="006571AC">
        <w:rPr>
          <w:rFonts w:cs="DanaFajr" w:hint="cs"/>
          <w:szCs w:val="28"/>
          <w:rtl/>
        </w:rPr>
        <w:t>.</w:t>
      </w:r>
      <w:r w:rsidRPr="006571AC">
        <w:rPr>
          <w:rFonts w:cs="DanaFajr"/>
          <w:szCs w:val="28"/>
          <w:rtl/>
        </w:rPr>
        <w:t xml:space="preserve"> رايموند آرون</w:t>
      </w:r>
      <w:r w:rsidRPr="006571AC">
        <w:rPr>
          <w:rFonts w:cs="DanaFajr" w:hint="cs"/>
          <w:szCs w:val="28"/>
          <w:rtl/>
        </w:rPr>
        <w:t xml:space="preserve">، </w:t>
      </w:r>
      <w:r w:rsidRPr="006571AC">
        <w:rPr>
          <w:rFonts w:cs="DanaFajr"/>
          <w:szCs w:val="28"/>
          <w:rtl/>
        </w:rPr>
        <w:t>مراحل تطو</w:t>
      </w:r>
      <w:r w:rsidRPr="006571AC">
        <w:rPr>
          <w:rFonts w:cs="DanaFajr" w:hint="cs"/>
          <w:szCs w:val="28"/>
          <w:rtl/>
        </w:rPr>
        <w:t>ّ</w:t>
      </w:r>
      <w:r w:rsidRPr="006571AC">
        <w:rPr>
          <w:rFonts w:cs="DanaFajr"/>
          <w:szCs w:val="28"/>
          <w:rtl/>
        </w:rPr>
        <w:t xml:space="preserve">ر الفكر الاجتماعي، غاليمارد </w:t>
      </w:r>
      <w:r w:rsidRPr="006571AC">
        <w:rPr>
          <w:rFonts w:cs="DanaFajr"/>
          <w:sz w:val="20"/>
          <w:szCs w:val="20"/>
        </w:rPr>
        <w:t>Gallimard</w:t>
      </w:r>
      <w:r w:rsidRPr="006571AC">
        <w:rPr>
          <w:rFonts w:cs="DanaFajr"/>
          <w:szCs w:val="28"/>
          <w:rtl/>
        </w:rPr>
        <w:t xml:space="preserve">، باريس، </w:t>
      </w:r>
      <w:r w:rsidRPr="006571AC">
        <w:rPr>
          <w:rFonts w:cs="DanaFajr" w:hint="cs"/>
          <w:szCs w:val="28"/>
          <w:rtl/>
        </w:rPr>
        <w:t>1965م.</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w:t>
      </w:r>
      <w:r w:rsidRPr="006571AC">
        <w:rPr>
          <w:rFonts w:cs="DanaFajr"/>
          <w:szCs w:val="28"/>
          <w:rtl/>
        </w:rPr>
        <w:t xml:space="preserve"> </w:t>
      </w:r>
    </w:p>
    <w:p w:rsidR="00DB2356" w:rsidRPr="006571AC" w:rsidRDefault="00DB2356" w:rsidP="007B39CF">
      <w:pPr>
        <w:pBdr>
          <w:top w:val="nil"/>
          <w:left w:val="nil"/>
          <w:bottom w:val="nil"/>
          <w:right w:val="nil"/>
          <w:between w:val="nil"/>
        </w:pBdr>
        <w:bidi w:val="0"/>
        <w:spacing w:line="306" w:lineRule="exact"/>
        <w:ind w:firstLine="0"/>
        <w:rPr>
          <w:rFonts w:asciiTheme="majorBidi" w:hAnsiTheme="majorBidi" w:cstheme="majorBidi"/>
          <w:sz w:val="20"/>
          <w:szCs w:val="20"/>
        </w:rPr>
      </w:pPr>
      <w:r w:rsidRPr="006571AC">
        <w:rPr>
          <w:rFonts w:asciiTheme="majorBidi" w:hAnsiTheme="majorBidi" w:cstheme="majorBidi"/>
          <w:sz w:val="20"/>
          <w:szCs w:val="20"/>
        </w:rPr>
        <w:t>Les Etapes de la Pensée Sociologique.</w:t>
      </w:r>
    </w:p>
  </w:endnote>
  <w:endnote w:id="913">
    <w:p w:rsidR="00DB2356" w:rsidRPr="006571AC" w:rsidRDefault="00DB2356" w:rsidP="007B39CF">
      <w:pPr>
        <w:pStyle w:val="aa"/>
        <w:spacing w:line="296" w:lineRule="exact"/>
        <w:ind w:firstLine="0"/>
        <w:rPr>
          <w:rFonts w:cs="DanaFajr"/>
          <w:sz w:val="28"/>
          <w:szCs w:val="28"/>
          <w:rtl/>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 w:val="28"/>
          <w:szCs w:val="28"/>
          <w:rtl/>
        </w:rPr>
        <w:t>راج</w:t>
      </w:r>
      <w:r w:rsidRPr="006571AC">
        <w:rPr>
          <w:rFonts w:cs="DanaFajr" w:hint="cs"/>
          <w:sz w:val="28"/>
          <w:szCs w:val="28"/>
          <w:rtl/>
        </w:rPr>
        <w:t>ِ</w:t>
      </w:r>
      <w:r w:rsidRPr="006571AC">
        <w:rPr>
          <w:rFonts w:cs="DanaFajr"/>
          <w:sz w:val="28"/>
          <w:szCs w:val="28"/>
          <w:rtl/>
        </w:rPr>
        <w:t>ع</w:t>
      </w:r>
      <w:r w:rsidRPr="006571AC">
        <w:rPr>
          <w:rFonts w:cs="DanaFajr" w:hint="cs"/>
          <w:sz w:val="28"/>
          <w:szCs w:val="28"/>
          <w:rtl/>
        </w:rPr>
        <w:t>ْ</w:t>
      </w:r>
      <w:r w:rsidRPr="006571AC">
        <w:rPr>
          <w:rFonts w:cs="DanaFajr"/>
          <w:sz w:val="28"/>
          <w:szCs w:val="28"/>
          <w:rtl/>
        </w:rPr>
        <w:t>:</w:t>
      </w:r>
      <w:r w:rsidRPr="006571AC">
        <w:rPr>
          <w:rFonts w:cs="DanaFajr" w:hint="cs"/>
          <w:sz w:val="28"/>
          <w:szCs w:val="28"/>
          <w:rtl/>
        </w:rPr>
        <w:t xml:space="preserve"> </w:t>
      </w:r>
      <w:r w:rsidRPr="006571AC">
        <w:rPr>
          <w:rFonts w:cs="DanaFajr"/>
          <w:szCs w:val="28"/>
          <w:rtl/>
        </w:rPr>
        <w:t>مالك أبو حمدان</w:t>
      </w:r>
      <w:r w:rsidRPr="006571AC">
        <w:rPr>
          <w:rFonts w:cs="DanaFajr" w:hint="cs"/>
          <w:szCs w:val="28"/>
          <w:rtl/>
        </w:rPr>
        <w:t xml:space="preserve">، </w:t>
      </w:r>
      <w:r w:rsidRPr="006571AC">
        <w:rPr>
          <w:rFonts w:cs="DanaFajr"/>
          <w:szCs w:val="28"/>
          <w:rtl/>
        </w:rPr>
        <w:t>المشتقات المالية ومخاطر السوق والغرر</w:t>
      </w:r>
      <w:r w:rsidRPr="006571AC">
        <w:rPr>
          <w:rFonts w:cs="DanaFajr" w:hint="cs"/>
          <w:szCs w:val="28"/>
          <w:rtl/>
        </w:rPr>
        <w:t xml:space="preserve"> ـ</w:t>
      </w:r>
      <w:r w:rsidRPr="006571AC">
        <w:rPr>
          <w:rFonts w:cs="DanaFajr"/>
          <w:szCs w:val="28"/>
          <w:rtl/>
        </w:rPr>
        <w:t xml:space="preserve"> البحث عن بديل</w:t>
      </w:r>
      <w:r w:rsidRPr="006571AC">
        <w:rPr>
          <w:rFonts w:cs="DanaFajr" w:hint="cs"/>
          <w:szCs w:val="28"/>
          <w:rtl/>
        </w:rPr>
        <w:t>ٍ</w:t>
      </w:r>
      <w:r w:rsidRPr="006571AC">
        <w:rPr>
          <w:rFonts w:cs="DanaFajr"/>
          <w:szCs w:val="28"/>
          <w:rtl/>
        </w:rPr>
        <w:t xml:space="preserve"> </w:t>
      </w:r>
      <w:r w:rsidRPr="006571AC">
        <w:rPr>
          <w:rFonts w:cs="DanaFajr" w:hint="cs"/>
          <w:szCs w:val="28"/>
          <w:rtl/>
        </w:rPr>
        <w:t>إ</w:t>
      </w:r>
      <w:r w:rsidRPr="006571AC">
        <w:rPr>
          <w:rFonts w:cs="DanaFajr"/>
          <w:szCs w:val="28"/>
          <w:rtl/>
        </w:rPr>
        <w:t>سلامي، أطروحة دكتوراه تم</w:t>
      </w:r>
      <w:r w:rsidRPr="006571AC">
        <w:rPr>
          <w:rFonts w:cs="DanaFajr" w:hint="cs"/>
          <w:szCs w:val="28"/>
          <w:rtl/>
        </w:rPr>
        <w:t>ّ</w:t>
      </w:r>
      <w:r w:rsidRPr="006571AC">
        <w:rPr>
          <w:rFonts w:cs="DanaFajr"/>
          <w:szCs w:val="28"/>
          <w:rtl/>
        </w:rPr>
        <w:t xml:space="preserve"> الدفاع عنها في </w:t>
      </w:r>
      <w:r w:rsidRPr="006571AC">
        <w:rPr>
          <w:rFonts w:cs="DanaFajr" w:hint="cs"/>
          <w:szCs w:val="28"/>
          <w:rtl/>
        </w:rPr>
        <w:t>16</w:t>
      </w:r>
      <w:r w:rsidRPr="006571AC">
        <w:rPr>
          <w:rFonts w:cs="DanaFajr"/>
          <w:szCs w:val="28"/>
          <w:rtl/>
        </w:rPr>
        <w:t>/</w:t>
      </w:r>
      <w:r w:rsidRPr="006571AC">
        <w:rPr>
          <w:rFonts w:cs="DanaFajr" w:hint="cs"/>
          <w:szCs w:val="28"/>
          <w:rtl/>
        </w:rPr>
        <w:t>9</w:t>
      </w:r>
      <w:r w:rsidRPr="006571AC">
        <w:rPr>
          <w:rFonts w:cs="DanaFajr"/>
          <w:szCs w:val="28"/>
          <w:rtl/>
        </w:rPr>
        <w:t>/</w:t>
      </w:r>
      <w:r w:rsidRPr="006571AC">
        <w:rPr>
          <w:rFonts w:cs="DanaFajr" w:hint="cs"/>
          <w:szCs w:val="28"/>
          <w:rtl/>
        </w:rPr>
        <w:t>2013م</w:t>
      </w:r>
      <w:r w:rsidRPr="006571AC">
        <w:rPr>
          <w:rFonts w:cs="DanaFajr"/>
          <w:szCs w:val="28"/>
          <w:rtl/>
        </w:rPr>
        <w:t xml:space="preserve"> </w:t>
      </w:r>
      <w:r w:rsidRPr="006571AC">
        <w:rPr>
          <w:rFonts w:cs="DanaFajr" w:hint="cs"/>
          <w:szCs w:val="28"/>
          <w:rtl/>
        </w:rPr>
        <w:t>في</w:t>
      </w:r>
      <w:r w:rsidRPr="006571AC">
        <w:rPr>
          <w:rFonts w:cs="DanaFajr"/>
          <w:szCs w:val="28"/>
          <w:rtl/>
        </w:rPr>
        <w:t xml:space="preserve"> </w:t>
      </w:r>
      <w:r w:rsidRPr="006571AC">
        <w:rPr>
          <w:rFonts w:cs="DanaFajr" w:hint="cs"/>
          <w:szCs w:val="28"/>
          <w:rtl/>
        </w:rPr>
        <w:t>جامعة</w:t>
      </w:r>
      <w:r w:rsidRPr="006571AC">
        <w:rPr>
          <w:rFonts w:cs="DanaFajr"/>
          <w:szCs w:val="28"/>
          <w:rtl/>
        </w:rPr>
        <w:t xml:space="preserve"> </w:t>
      </w:r>
      <w:r w:rsidRPr="006571AC">
        <w:rPr>
          <w:rFonts w:cs="DanaFajr" w:hint="cs"/>
          <w:szCs w:val="28"/>
          <w:rtl/>
        </w:rPr>
        <w:t>باريس</w:t>
      </w:r>
      <w:r w:rsidRPr="006571AC">
        <w:rPr>
          <w:rFonts w:cs="DanaFajr"/>
          <w:szCs w:val="28"/>
          <w:rtl/>
        </w:rPr>
        <w:t xml:space="preserve"> </w:t>
      </w:r>
      <w:r w:rsidRPr="006571AC">
        <w:rPr>
          <w:rFonts w:cs="DanaFajr" w:hint="cs"/>
          <w:szCs w:val="28"/>
          <w:rtl/>
        </w:rPr>
        <w:t>الثانية</w:t>
      </w:r>
      <w:r w:rsidRPr="006571AC">
        <w:rPr>
          <w:rFonts w:cs="DanaFajr"/>
          <w:szCs w:val="28"/>
          <w:rtl/>
        </w:rPr>
        <w:t xml:space="preserve"> (</w:t>
      </w:r>
      <w:r w:rsidRPr="006571AC">
        <w:rPr>
          <w:rFonts w:cs="DanaFajr" w:hint="cs"/>
          <w:szCs w:val="28"/>
          <w:rtl/>
        </w:rPr>
        <w:t>بانثيون</w:t>
      </w:r>
      <w:r w:rsidRPr="006571AC">
        <w:rPr>
          <w:rFonts w:cs="DanaFajr"/>
          <w:szCs w:val="28"/>
          <w:rtl/>
        </w:rPr>
        <w:t xml:space="preserve"> </w:t>
      </w:r>
      <w:r w:rsidRPr="006571AC">
        <w:rPr>
          <w:rFonts w:cs="DanaFajr" w:hint="cs"/>
          <w:szCs w:val="28"/>
          <w:rtl/>
        </w:rPr>
        <w:t>أسّاس</w:t>
      </w:r>
      <w:r w:rsidRPr="006571AC">
        <w:rPr>
          <w:rFonts w:cs="DanaFajr"/>
          <w:szCs w:val="28"/>
          <w:rtl/>
        </w:rPr>
        <w:t xml:space="preserve">)، </w:t>
      </w:r>
      <w:r w:rsidRPr="006571AC">
        <w:rPr>
          <w:rFonts w:cs="DanaFajr" w:hint="cs"/>
          <w:szCs w:val="28"/>
          <w:rtl/>
        </w:rPr>
        <w:t>تحت</w:t>
      </w:r>
      <w:r w:rsidRPr="006571AC">
        <w:rPr>
          <w:rFonts w:cs="DanaFajr"/>
          <w:szCs w:val="28"/>
          <w:rtl/>
        </w:rPr>
        <w:t xml:space="preserve"> </w:t>
      </w:r>
      <w:r w:rsidRPr="006571AC">
        <w:rPr>
          <w:rFonts w:cs="DanaFajr" w:hint="cs"/>
          <w:szCs w:val="28"/>
          <w:rtl/>
        </w:rPr>
        <w:t>إشراف:</w:t>
      </w:r>
      <w:r w:rsidRPr="006571AC">
        <w:rPr>
          <w:rFonts w:cs="DanaFajr"/>
          <w:szCs w:val="28"/>
          <w:rtl/>
        </w:rPr>
        <w:t xml:space="preserve"> </w:t>
      </w:r>
      <w:r w:rsidRPr="006571AC">
        <w:rPr>
          <w:rFonts w:cs="DanaFajr" w:hint="cs"/>
          <w:szCs w:val="28"/>
          <w:rtl/>
        </w:rPr>
        <w:t>البروفيسور</w:t>
      </w:r>
      <w:r w:rsidRPr="006571AC">
        <w:rPr>
          <w:rFonts w:cs="DanaFajr"/>
          <w:szCs w:val="28"/>
          <w:rtl/>
        </w:rPr>
        <w:t xml:space="preserve"> </w:t>
      </w:r>
      <w:r w:rsidRPr="006571AC">
        <w:rPr>
          <w:rFonts w:cs="DanaFajr" w:hint="cs"/>
          <w:szCs w:val="28"/>
          <w:rtl/>
        </w:rPr>
        <w:t>جيرار</w:t>
      </w:r>
      <w:r w:rsidRPr="006571AC">
        <w:rPr>
          <w:rFonts w:cs="DanaFajr"/>
          <w:szCs w:val="28"/>
          <w:rtl/>
        </w:rPr>
        <w:t xml:space="preserve"> </w:t>
      </w:r>
      <w:r w:rsidRPr="006571AC">
        <w:rPr>
          <w:rFonts w:cs="DanaFajr" w:hint="cs"/>
          <w:szCs w:val="28"/>
          <w:rtl/>
        </w:rPr>
        <w:t>بيكرمان، مكتبة</w:t>
      </w:r>
      <w:r w:rsidRPr="006571AC">
        <w:rPr>
          <w:rFonts w:cs="DanaFajr"/>
          <w:szCs w:val="28"/>
          <w:rtl/>
        </w:rPr>
        <w:t xml:space="preserve"> </w:t>
      </w:r>
      <w:r w:rsidRPr="006571AC">
        <w:rPr>
          <w:rFonts w:cs="DanaFajr" w:hint="cs"/>
          <w:szCs w:val="28"/>
          <w:rtl/>
        </w:rPr>
        <w:t>جامعة</w:t>
      </w:r>
      <w:r w:rsidRPr="006571AC">
        <w:rPr>
          <w:rFonts w:cs="DanaFajr"/>
          <w:szCs w:val="28"/>
          <w:rtl/>
        </w:rPr>
        <w:t xml:space="preserve"> </w:t>
      </w:r>
      <w:r w:rsidRPr="006571AC">
        <w:rPr>
          <w:rFonts w:cs="DanaFajr" w:hint="cs"/>
          <w:szCs w:val="28"/>
          <w:rtl/>
        </w:rPr>
        <w:t>باريس، 2013، باريس.</w:t>
      </w:r>
      <w:r w:rsidRPr="006571AC">
        <w:rPr>
          <w:rFonts w:cs="DanaFajr"/>
          <w:szCs w:val="28"/>
          <w:rtl/>
        </w:rPr>
        <w:t xml:space="preserve"> </w:t>
      </w:r>
    </w:p>
    <w:p w:rsidR="00DB2356" w:rsidRPr="006571AC" w:rsidRDefault="00DB2356" w:rsidP="007B39CF">
      <w:pPr>
        <w:pStyle w:val="aa"/>
        <w:spacing w:line="296" w:lineRule="exact"/>
        <w:ind w:firstLine="0"/>
        <w:rPr>
          <w:rFonts w:cs="DanaFajr"/>
          <w:szCs w:val="28"/>
          <w:rtl/>
        </w:rPr>
      </w:pPr>
      <w:r w:rsidRPr="006571AC">
        <w:rPr>
          <w:rFonts w:cs="DanaFajr" w:hint="cs"/>
          <w:szCs w:val="28"/>
          <w:rtl/>
        </w:rPr>
        <w:t>ويمكن</w:t>
      </w:r>
      <w:r w:rsidRPr="006571AC">
        <w:rPr>
          <w:rFonts w:cs="DanaFajr"/>
          <w:szCs w:val="28"/>
          <w:rtl/>
        </w:rPr>
        <w:t xml:space="preserve"> الإطلاع عليها على الإنترنت: </w:t>
      </w:r>
      <w:r w:rsidRPr="006571AC">
        <w:rPr>
          <w:rFonts w:cs="DanaFajr"/>
          <w:szCs w:val="28"/>
        </w:rPr>
        <w:t>Theses.fr</w:t>
      </w:r>
    </w:p>
    <w:p w:rsidR="00DB2356" w:rsidRPr="006571AC" w:rsidRDefault="00DB2356" w:rsidP="007B39CF">
      <w:pPr>
        <w:pStyle w:val="aa"/>
        <w:spacing w:line="296" w:lineRule="exact"/>
        <w:ind w:firstLine="0"/>
        <w:rPr>
          <w:rFonts w:cs="DanaFajr"/>
          <w:szCs w:val="28"/>
        </w:rPr>
      </w:pPr>
      <w:r w:rsidRPr="006571AC">
        <w:rPr>
          <w:rFonts w:cs="DanaFajr"/>
          <w:szCs w:val="28"/>
          <w:rtl/>
        </w:rPr>
        <w:t>وهي قد نالت رتبة السماح بالنشر الأكاديمي</w:t>
      </w:r>
      <w:r w:rsidRPr="006571AC">
        <w:rPr>
          <w:rFonts w:cs="DanaFajr" w:hint="cs"/>
          <w:szCs w:val="28"/>
          <w:rtl/>
        </w:rPr>
        <w:t>؛</w:t>
      </w:r>
      <w:r w:rsidRPr="006571AC">
        <w:rPr>
          <w:rFonts w:cs="DanaFajr"/>
          <w:szCs w:val="28"/>
          <w:rtl/>
        </w:rPr>
        <w:t xml:space="preserve"> اعترافا</w:t>
      </w:r>
      <w:r w:rsidRPr="006571AC">
        <w:rPr>
          <w:rFonts w:cs="DanaFajr" w:hint="cs"/>
          <w:szCs w:val="28"/>
          <w:rtl/>
        </w:rPr>
        <w:t>ً</w:t>
      </w:r>
      <w:r w:rsidRPr="006571AC">
        <w:rPr>
          <w:rFonts w:cs="DanaFajr"/>
          <w:szCs w:val="28"/>
          <w:rtl/>
        </w:rPr>
        <w:t xml:space="preserve"> بإسهامها العلمي، وقد نال</w:t>
      </w:r>
      <w:r w:rsidRPr="006571AC">
        <w:rPr>
          <w:rFonts w:cs="DanaFajr" w:hint="cs"/>
          <w:szCs w:val="28"/>
          <w:rtl/>
        </w:rPr>
        <w:t>َ</w:t>
      </w:r>
      <w:r w:rsidRPr="006571AC">
        <w:rPr>
          <w:rFonts w:cs="DanaFajr"/>
          <w:szCs w:val="28"/>
          <w:rtl/>
        </w:rPr>
        <w:t>ت</w:t>
      </w:r>
      <w:r w:rsidRPr="006571AC">
        <w:rPr>
          <w:rFonts w:cs="DanaFajr" w:hint="cs"/>
          <w:szCs w:val="28"/>
          <w:rtl/>
        </w:rPr>
        <w:t>ْ</w:t>
      </w:r>
      <w:r w:rsidRPr="006571AC">
        <w:rPr>
          <w:rFonts w:cs="DanaFajr"/>
          <w:szCs w:val="28"/>
          <w:rtl/>
        </w:rPr>
        <w:t xml:space="preserve"> أيضا</w:t>
      </w:r>
      <w:r w:rsidRPr="006571AC">
        <w:rPr>
          <w:rFonts w:cs="DanaFajr" w:hint="cs"/>
          <w:szCs w:val="28"/>
          <w:rtl/>
        </w:rPr>
        <w:t>ً</w:t>
      </w:r>
      <w:r w:rsidRPr="006571AC">
        <w:rPr>
          <w:rFonts w:cs="DanaFajr"/>
          <w:szCs w:val="28"/>
          <w:rtl/>
        </w:rPr>
        <w:t xml:space="preserve"> جائزة أفضل بحث</w:t>
      </w:r>
      <w:r w:rsidRPr="006571AC">
        <w:rPr>
          <w:rFonts w:cs="DanaFajr" w:hint="cs"/>
          <w:szCs w:val="28"/>
          <w:rtl/>
        </w:rPr>
        <w:t>ٍ</w:t>
      </w:r>
      <w:r w:rsidRPr="006571AC">
        <w:rPr>
          <w:rFonts w:cs="DanaFajr"/>
          <w:szCs w:val="28"/>
          <w:rtl/>
        </w:rPr>
        <w:t xml:space="preserve"> علمي للجامعة في مجال الإدارة عام </w:t>
      </w:r>
      <w:r w:rsidRPr="006571AC">
        <w:rPr>
          <w:rFonts w:cs="DanaFajr" w:hint="cs"/>
          <w:szCs w:val="28"/>
          <w:rtl/>
        </w:rPr>
        <w:t>2015م.</w:t>
      </w:r>
      <w:r w:rsidRPr="006571AC">
        <w:rPr>
          <w:rFonts w:cs="DanaFajr"/>
          <w:szCs w:val="28"/>
          <w:rtl/>
        </w:rPr>
        <w:t xml:space="preserve"> </w:t>
      </w:r>
      <w:r w:rsidRPr="006571AC">
        <w:rPr>
          <w:rFonts w:cs="DanaFajr" w:hint="cs"/>
          <w:szCs w:val="28"/>
          <w:rtl/>
        </w:rPr>
        <w:t>وبالفرنسية:</w:t>
      </w:r>
      <w:r w:rsidRPr="006571AC">
        <w:rPr>
          <w:rFonts w:cs="DanaFajr"/>
          <w:szCs w:val="28"/>
          <w:rtl/>
        </w:rPr>
        <w:t xml:space="preserve"> </w:t>
      </w:r>
    </w:p>
    <w:p w:rsidR="00DB2356" w:rsidRPr="006571AC" w:rsidRDefault="00DB2356" w:rsidP="007B39CF">
      <w:pPr>
        <w:pStyle w:val="aa"/>
        <w:bidi w:val="0"/>
        <w:spacing w:line="296" w:lineRule="exact"/>
        <w:ind w:firstLine="0"/>
        <w:rPr>
          <w:rFonts w:asciiTheme="majorBidi" w:hAnsiTheme="majorBidi" w:cstheme="majorBidi"/>
        </w:rPr>
      </w:pPr>
      <w:r w:rsidRPr="006571AC">
        <w:rPr>
          <w:rFonts w:asciiTheme="majorBidi" w:hAnsiTheme="majorBidi" w:cstheme="majorBidi"/>
        </w:rPr>
        <w:t>Abou Hamdan, Malek, 2013, Produits Dérivés, Risques de Marché et «Gharar»: Recherche d’une Alternative Islamique, Université Paris II Panthéon</w:t>
      </w:r>
      <w:r w:rsidRPr="006571AC">
        <w:rPr>
          <w:rFonts w:asciiTheme="majorBidi" w:hAnsiTheme="majorBidi" w:cstheme="majorBidi"/>
          <w:rtl/>
        </w:rPr>
        <w:t xml:space="preserve"> ـ </w:t>
      </w:r>
      <w:r w:rsidRPr="006571AC">
        <w:rPr>
          <w:rFonts w:asciiTheme="majorBidi" w:hAnsiTheme="majorBidi" w:cstheme="majorBidi"/>
        </w:rPr>
        <w:t>Assas (Thèse).</w:t>
      </w:r>
    </w:p>
  </w:endnote>
  <w:endnote w:id="914">
    <w:p w:rsidR="00DB2356" w:rsidRPr="006571AC" w:rsidRDefault="00DB2356" w:rsidP="007B39CF">
      <w:pPr>
        <w:keepLines/>
        <w:pBdr>
          <w:top w:val="nil"/>
          <w:left w:val="nil"/>
          <w:bottom w:val="nil"/>
          <w:right w:val="nil"/>
          <w:between w:val="nil"/>
        </w:pBdr>
        <w:spacing w:line="296" w:lineRule="exact"/>
        <w:ind w:firstLine="0"/>
        <w:rPr>
          <w:rFonts w:cs="DanaFajr"/>
          <w:szCs w:val="28"/>
          <w:rtl/>
        </w:rPr>
      </w:pPr>
      <w:r w:rsidRPr="006571AC">
        <w:rPr>
          <w:rFonts w:cs="DanaFajr" w:hint="cs"/>
          <w:szCs w:val="28"/>
          <w:rtl/>
        </w:rPr>
        <w:t>(</w:t>
      </w:r>
      <w:r w:rsidRPr="006571AC">
        <w:rPr>
          <w:rStyle w:val="ac"/>
          <w:rFonts w:cs="DanaFajr"/>
          <w:szCs w:val="28"/>
          <w:vertAlign w:val="baseline"/>
        </w:rPr>
        <w:endnoteRef/>
      </w:r>
      <w:r w:rsidRPr="006571AC">
        <w:rPr>
          <w:rFonts w:cs="DanaFajr" w:hint="cs"/>
          <w:szCs w:val="28"/>
          <w:rtl/>
        </w:rPr>
        <w:t xml:space="preserve">) </w:t>
      </w:r>
      <w:r w:rsidRPr="006571AC">
        <w:rPr>
          <w:rFonts w:cs="DanaFajr"/>
          <w:szCs w:val="28"/>
          <w:rtl/>
        </w:rPr>
        <w:t>لا شَكَّ بالمناسبة، عند أغلب الباحثين الجد</w:t>
      </w:r>
      <w:r w:rsidRPr="006571AC">
        <w:rPr>
          <w:rFonts w:cs="DanaFajr" w:hint="cs"/>
          <w:szCs w:val="28"/>
          <w:rtl/>
        </w:rPr>
        <w:t>ّ</w:t>
      </w:r>
      <w:r w:rsidRPr="006571AC">
        <w:rPr>
          <w:rFonts w:cs="DanaFajr"/>
          <w:szCs w:val="28"/>
          <w:rtl/>
        </w:rPr>
        <w:t xml:space="preserve">يين، في أسبقية عمل </w:t>
      </w:r>
      <w:r w:rsidRPr="006571AC">
        <w:rPr>
          <w:rFonts w:cs="DanaFajr" w:hint="cs"/>
          <w:szCs w:val="28"/>
          <w:rtl/>
        </w:rPr>
        <w:t>(</w:t>
      </w:r>
      <w:r w:rsidRPr="006571AC">
        <w:rPr>
          <w:rFonts w:cs="DanaFajr"/>
          <w:szCs w:val="28"/>
          <w:rtl/>
        </w:rPr>
        <w:t>اقتصادنا</w:t>
      </w:r>
      <w:r w:rsidRPr="006571AC">
        <w:rPr>
          <w:rFonts w:cs="DanaFajr" w:hint="cs"/>
          <w:szCs w:val="28"/>
          <w:rtl/>
        </w:rPr>
        <w:t>)،</w:t>
      </w:r>
      <w:r w:rsidRPr="006571AC">
        <w:rPr>
          <w:rFonts w:cs="DanaFajr"/>
          <w:szCs w:val="28"/>
          <w:rtl/>
        </w:rPr>
        <w:t xml:space="preserve"> خصوصا</w:t>
      </w:r>
      <w:r w:rsidRPr="006571AC">
        <w:rPr>
          <w:rFonts w:cs="DanaFajr" w:hint="cs"/>
          <w:szCs w:val="28"/>
          <w:rtl/>
        </w:rPr>
        <w:t>ً</w:t>
      </w:r>
      <w:r w:rsidRPr="006571AC">
        <w:rPr>
          <w:rFonts w:cs="DanaFajr"/>
          <w:szCs w:val="28"/>
          <w:rtl/>
        </w:rPr>
        <w:t xml:space="preserve"> على مستوى الشمولية والتفصيل الفقهيين والنظريين، رغم وجود بعض المحاولات المتفر</w:t>
      </w:r>
      <w:r w:rsidRPr="006571AC">
        <w:rPr>
          <w:rFonts w:cs="DanaFajr" w:hint="cs"/>
          <w:szCs w:val="28"/>
          <w:rtl/>
        </w:rPr>
        <w:t>ِّ</w:t>
      </w:r>
      <w:r w:rsidRPr="006571AC">
        <w:rPr>
          <w:rFonts w:cs="DanaFajr"/>
          <w:szCs w:val="28"/>
          <w:rtl/>
        </w:rPr>
        <w:t>قة السابقة عليه</w:t>
      </w:r>
      <w:r w:rsidRPr="006571AC">
        <w:rPr>
          <w:rFonts w:cs="DanaFajr" w:hint="cs"/>
          <w:szCs w:val="28"/>
          <w:rtl/>
        </w:rPr>
        <w:t>،</w:t>
      </w:r>
      <w:r w:rsidRPr="006571AC">
        <w:rPr>
          <w:rFonts w:cs="DanaFajr"/>
          <w:szCs w:val="28"/>
          <w:rtl/>
        </w:rPr>
        <w:t xml:space="preserve"> كمحاولات أبي الأعلى المودودي</w:t>
      </w:r>
      <w:r w:rsidRPr="006571AC">
        <w:rPr>
          <w:rFonts w:cs="DanaFajr" w:hint="cs"/>
          <w:szCs w:val="28"/>
          <w:rtl/>
        </w:rPr>
        <w:t>،</w:t>
      </w:r>
      <w:r w:rsidRPr="006571AC">
        <w:rPr>
          <w:rFonts w:cs="DanaFajr"/>
          <w:szCs w:val="28"/>
          <w:rtl/>
        </w:rPr>
        <w:t xml:space="preserve"> ومحاولات سي</w:t>
      </w:r>
      <w:r w:rsidRPr="006571AC">
        <w:rPr>
          <w:rFonts w:cs="DanaFajr" w:hint="cs"/>
          <w:szCs w:val="28"/>
          <w:rtl/>
        </w:rPr>
        <w:t>ّ</w:t>
      </w:r>
      <w:r w:rsidRPr="006571AC">
        <w:rPr>
          <w:rFonts w:cs="DanaFajr"/>
          <w:szCs w:val="28"/>
          <w:rtl/>
        </w:rPr>
        <w:t>د قطب (يعتبران عادة</w:t>
      </w:r>
      <w:r w:rsidRPr="006571AC">
        <w:rPr>
          <w:rFonts w:cs="DanaFajr" w:hint="cs"/>
          <w:szCs w:val="28"/>
          <w:rtl/>
        </w:rPr>
        <w:t>ً</w:t>
      </w:r>
      <w:r w:rsidRPr="006571AC">
        <w:rPr>
          <w:rFonts w:cs="DanaFajr"/>
          <w:szCs w:val="28"/>
          <w:rtl/>
        </w:rPr>
        <w:t xml:space="preserve"> من مراجع تي</w:t>
      </w:r>
      <w:r w:rsidRPr="006571AC">
        <w:rPr>
          <w:rFonts w:cs="DanaFajr" w:hint="cs"/>
          <w:szCs w:val="28"/>
          <w:rtl/>
        </w:rPr>
        <w:t>ّ</w:t>
      </w:r>
      <w:r w:rsidRPr="006571AC">
        <w:rPr>
          <w:rFonts w:cs="DanaFajr"/>
          <w:szCs w:val="28"/>
          <w:rtl/>
        </w:rPr>
        <w:t xml:space="preserve">ار </w:t>
      </w:r>
      <w:r w:rsidRPr="006571AC">
        <w:rPr>
          <w:rFonts w:hint="eastAsia"/>
          <w:sz w:val="22"/>
          <w:szCs w:val="22"/>
          <w:rtl/>
        </w:rPr>
        <w:t>«</w:t>
      </w:r>
      <w:r w:rsidRPr="006571AC">
        <w:rPr>
          <w:rFonts w:cs="DanaFajr"/>
          <w:szCs w:val="28"/>
          <w:rtl/>
        </w:rPr>
        <w:t>ال</w:t>
      </w:r>
      <w:r w:rsidRPr="006571AC">
        <w:rPr>
          <w:rFonts w:cs="DanaFajr" w:hint="cs"/>
          <w:szCs w:val="28"/>
          <w:rtl/>
        </w:rPr>
        <w:t>إ</w:t>
      </w:r>
      <w:r w:rsidRPr="006571AC">
        <w:rPr>
          <w:rFonts w:cs="DanaFajr"/>
          <w:szCs w:val="28"/>
          <w:rtl/>
        </w:rPr>
        <w:t>خوان المسلمين</w:t>
      </w:r>
      <w:r w:rsidRPr="006571AC">
        <w:rPr>
          <w:rFonts w:hint="eastAsia"/>
          <w:sz w:val="22"/>
          <w:szCs w:val="22"/>
          <w:rtl/>
        </w:rPr>
        <w:t>»</w:t>
      </w:r>
      <w:r w:rsidRPr="006571AC">
        <w:rPr>
          <w:rFonts w:cs="DanaFajr"/>
          <w:szCs w:val="28"/>
          <w:rtl/>
        </w:rPr>
        <w:t xml:space="preserve"> الفكري)</w:t>
      </w:r>
      <w:r w:rsidRPr="006571AC">
        <w:rPr>
          <w:rFonts w:cs="DanaFajr" w:hint="cs"/>
          <w:szCs w:val="28"/>
          <w:rtl/>
        </w:rPr>
        <w:t>،</w:t>
      </w:r>
      <w:r w:rsidRPr="006571AC">
        <w:rPr>
          <w:rFonts w:cs="DanaFajr"/>
          <w:szCs w:val="28"/>
          <w:rtl/>
        </w:rPr>
        <w:t xml:space="preserve"> ومحاولة مصطفى السباعي مثلا</w:t>
      </w:r>
      <w:r w:rsidRPr="006571AC">
        <w:rPr>
          <w:rFonts w:cs="DanaFajr" w:hint="cs"/>
          <w:szCs w:val="28"/>
          <w:rtl/>
        </w:rPr>
        <w:t>ً</w:t>
      </w:r>
      <w:r w:rsidRPr="006571AC">
        <w:rPr>
          <w:rFonts w:cs="DanaFajr"/>
          <w:szCs w:val="28"/>
          <w:rtl/>
        </w:rPr>
        <w:t xml:space="preserve"> حول ال</w:t>
      </w:r>
      <w:r w:rsidRPr="006571AC">
        <w:rPr>
          <w:rFonts w:cs="DanaFajr" w:hint="cs"/>
          <w:szCs w:val="28"/>
          <w:rtl/>
        </w:rPr>
        <w:t>إ</w:t>
      </w:r>
      <w:r w:rsidRPr="006571AC">
        <w:rPr>
          <w:rFonts w:cs="DanaFajr"/>
          <w:szCs w:val="28"/>
          <w:rtl/>
        </w:rPr>
        <w:t>سلام والاشتراكية. نحن نتحد</w:t>
      </w:r>
      <w:r w:rsidRPr="006571AC">
        <w:rPr>
          <w:rFonts w:cs="DanaFajr" w:hint="cs"/>
          <w:szCs w:val="28"/>
          <w:rtl/>
        </w:rPr>
        <w:t>َّ</w:t>
      </w:r>
      <w:r w:rsidRPr="006571AC">
        <w:rPr>
          <w:rFonts w:cs="DanaFajr"/>
          <w:szCs w:val="28"/>
          <w:rtl/>
        </w:rPr>
        <w:t>ث هنا عن المحاولة الأكاديمية بشكل</w:t>
      </w:r>
      <w:r w:rsidRPr="006571AC">
        <w:rPr>
          <w:rFonts w:cs="DanaFajr" w:hint="cs"/>
          <w:szCs w:val="28"/>
          <w:rtl/>
        </w:rPr>
        <w:t>ٍ</w:t>
      </w:r>
      <w:r w:rsidRPr="006571AC">
        <w:rPr>
          <w:rFonts w:cs="DanaFajr"/>
          <w:szCs w:val="28"/>
          <w:rtl/>
        </w:rPr>
        <w:t xml:space="preserve"> عام</w:t>
      </w:r>
      <w:r w:rsidRPr="006571AC">
        <w:rPr>
          <w:rFonts w:cs="DanaFajr" w:hint="cs"/>
          <w:szCs w:val="28"/>
          <w:rtl/>
        </w:rPr>
        <w:t>ّ،</w:t>
      </w:r>
      <w:r w:rsidRPr="006571AC">
        <w:rPr>
          <w:rFonts w:cs="DanaFajr"/>
          <w:szCs w:val="28"/>
          <w:rtl/>
        </w:rPr>
        <w:t xml:space="preserve"> وعن الجانب النظري ـ المذهبي منها طبعا</w:t>
      </w:r>
      <w:r w:rsidRPr="006571AC">
        <w:rPr>
          <w:rFonts w:cs="DanaFajr" w:hint="cs"/>
          <w:szCs w:val="28"/>
          <w:rtl/>
        </w:rPr>
        <w:t>ً</w:t>
      </w:r>
      <w:r w:rsidRPr="006571AC">
        <w:rPr>
          <w:rFonts w:cs="DanaFajr"/>
          <w:szCs w:val="28"/>
          <w:rtl/>
        </w:rPr>
        <w:t>، دون المنهجي قيد التفصيل. راج</w:t>
      </w:r>
      <w:r w:rsidRPr="006571AC">
        <w:rPr>
          <w:rFonts w:cs="DanaFajr" w:hint="cs"/>
          <w:szCs w:val="28"/>
          <w:rtl/>
        </w:rPr>
        <w:t>ِ</w:t>
      </w:r>
      <w:r w:rsidRPr="006571AC">
        <w:rPr>
          <w:rFonts w:cs="DanaFajr"/>
          <w:szCs w:val="28"/>
          <w:rtl/>
        </w:rPr>
        <w:t>ع</w:t>
      </w:r>
      <w:r w:rsidRPr="006571AC">
        <w:rPr>
          <w:rFonts w:cs="DanaFajr" w:hint="cs"/>
          <w:szCs w:val="28"/>
          <w:rtl/>
        </w:rPr>
        <w:t>ْ</w:t>
      </w:r>
      <w:r w:rsidRPr="006571AC">
        <w:rPr>
          <w:rFonts w:cs="DanaFajr"/>
          <w:szCs w:val="28"/>
          <w:rtl/>
        </w:rPr>
        <w:t xml:space="preserve"> في هذا المجال: أعم</w:t>
      </w:r>
      <w:r w:rsidRPr="006571AC">
        <w:rPr>
          <w:rFonts w:cs="DanaFajr" w:hint="cs"/>
          <w:szCs w:val="28"/>
          <w:rtl/>
        </w:rPr>
        <w:t>ا</w:t>
      </w:r>
      <w:r w:rsidRPr="006571AC">
        <w:rPr>
          <w:rFonts w:cs="DanaFajr"/>
          <w:szCs w:val="28"/>
          <w:rtl/>
        </w:rPr>
        <w:t>ل كوران (فيما يلي)، وويلسون (فيما يلي)، ومقال الدكتور حسن سلمان</w:t>
      </w:r>
      <w:r w:rsidRPr="006571AC">
        <w:rPr>
          <w:rFonts w:cs="DanaFajr" w:hint="cs"/>
          <w:szCs w:val="28"/>
          <w:rtl/>
        </w:rPr>
        <w:t xml:space="preserve"> </w:t>
      </w:r>
      <w:r w:rsidRPr="006571AC">
        <w:rPr>
          <w:rFonts w:cs="DanaFajr"/>
          <w:szCs w:val="28"/>
          <w:rtl/>
        </w:rPr>
        <w:t>(</w:t>
      </w:r>
      <w:r w:rsidRPr="006571AC">
        <w:rPr>
          <w:rFonts w:cs="DanaFajr" w:hint="cs"/>
          <w:szCs w:val="28"/>
          <w:rtl/>
        </w:rPr>
        <w:t>2016</w:t>
      </w:r>
      <w:r w:rsidRPr="006571AC">
        <w:rPr>
          <w:rFonts w:cs="DanaFajr"/>
          <w:szCs w:val="28"/>
          <w:rtl/>
        </w:rPr>
        <w:t>)، دراسة نقدية لمنظومة الاقتصاد الإسلامي</w:t>
      </w:r>
      <w:r w:rsidRPr="006571AC">
        <w:rPr>
          <w:rFonts w:cs="DanaFajr" w:hint="cs"/>
          <w:szCs w:val="28"/>
          <w:rtl/>
        </w:rPr>
        <w:t>،</w:t>
      </w:r>
      <w:r w:rsidRPr="006571AC">
        <w:rPr>
          <w:rFonts w:cs="DanaFajr"/>
          <w:szCs w:val="28"/>
          <w:rtl/>
        </w:rPr>
        <w:t xml:space="preserve"> محمد باقر الصدر نموذجا</w:t>
      </w:r>
      <w:r w:rsidRPr="006571AC">
        <w:rPr>
          <w:rFonts w:cs="DanaFajr" w:hint="cs"/>
          <w:szCs w:val="28"/>
          <w:rtl/>
        </w:rPr>
        <w:t>ً</w:t>
      </w:r>
      <w:r w:rsidRPr="006571AC">
        <w:rPr>
          <w:rFonts w:cs="DanaFajr"/>
          <w:szCs w:val="28"/>
          <w:rtl/>
        </w:rPr>
        <w:t>:</w:t>
      </w:r>
    </w:p>
    <w:p w:rsidR="00DB2356" w:rsidRPr="006571AC" w:rsidRDefault="00DB2356" w:rsidP="007B39CF">
      <w:pPr>
        <w:keepLines/>
        <w:pBdr>
          <w:top w:val="nil"/>
          <w:left w:val="nil"/>
          <w:bottom w:val="nil"/>
          <w:right w:val="nil"/>
          <w:between w:val="nil"/>
        </w:pBdr>
        <w:bidi w:val="0"/>
        <w:spacing w:line="296" w:lineRule="exact"/>
        <w:ind w:firstLine="0"/>
        <w:rPr>
          <w:rFonts w:cs="DanaFajr"/>
          <w:szCs w:val="28"/>
        </w:rPr>
      </w:pPr>
      <w:hyperlink r:id="rId5">
        <w:r w:rsidRPr="006571AC">
          <w:rPr>
            <w:rFonts w:asciiTheme="majorBidi" w:hAnsiTheme="majorBidi" w:cstheme="majorBidi"/>
            <w:sz w:val="20"/>
            <w:szCs w:val="20"/>
          </w:rPr>
          <w:t>http</w:t>
        </w:r>
      </w:hyperlink>
      <w:hyperlink r:id="rId6">
        <w:r w:rsidRPr="006571AC">
          <w:rPr>
            <w:rFonts w:asciiTheme="majorBidi" w:hAnsiTheme="majorBidi" w:cstheme="majorBidi"/>
            <w:sz w:val="20"/>
            <w:szCs w:val="20"/>
          </w:rPr>
          <w:t>://</w:t>
        </w:r>
      </w:hyperlink>
      <w:hyperlink r:id="rId7">
        <w:r w:rsidRPr="006571AC">
          <w:rPr>
            <w:rFonts w:asciiTheme="majorBidi" w:hAnsiTheme="majorBidi" w:cstheme="majorBidi"/>
            <w:sz w:val="20"/>
            <w:szCs w:val="20"/>
          </w:rPr>
          <w:t>ijtihadnet</w:t>
        </w:r>
      </w:hyperlink>
      <w:hyperlink r:id="rId8">
        <w:r w:rsidRPr="006571AC">
          <w:rPr>
            <w:rFonts w:asciiTheme="majorBidi" w:hAnsiTheme="majorBidi" w:cstheme="majorBidi"/>
            <w:sz w:val="20"/>
            <w:szCs w:val="20"/>
          </w:rPr>
          <w:t>.</w:t>
        </w:r>
      </w:hyperlink>
      <w:hyperlink r:id="rId9">
        <w:r w:rsidRPr="006571AC">
          <w:rPr>
            <w:rFonts w:asciiTheme="majorBidi" w:hAnsiTheme="majorBidi" w:cstheme="majorBidi"/>
            <w:sz w:val="20"/>
            <w:szCs w:val="20"/>
          </w:rPr>
          <w:t>net</w:t>
        </w:r>
      </w:hyperlink>
      <w:hyperlink r:id="rId10">
        <w:r w:rsidRPr="006571AC">
          <w:rPr>
            <w:rFonts w:cs="DanaFajr"/>
            <w:szCs w:val="28"/>
            <w:rtl/>
          </w:rPr>
          <w:t>/</w:t>
        </w:r>
      </w:hyperlink>
      <w:r w:rsidRPr="006571AC">
        <w:rPr>
          <w:rFonts w:hint="cs"/>
          <w:rtl/>
        </w:rPr>
        <w:t xml:space="preserve"> </w:t>
      </w:r>
      <w:r w:rsidRPr="006571AC">
        <w:rPr>
          <w:rFonts w:cs="DanaFajr" w:hint="cs"/>
          <w:szCs w:val="28"/>
          <w:rtl/>
        </w:rPr>
        <w:t>دراسة_نقدية_لمنظومة_الاقتصاد_الإسلامي</w:t>
      </w:r>
      <w:hyperlink r:id="rId11">
        <w:r w:rsidRPr="006571AC">
          <w:rPr>
            <w:rFonts w:cs="DanaFajr"/>
            <w:szCs w:val="28"/>
            <w:rtl/>
          </w:rPr>
          <w:t>/</w:t>
        </w:r>
      </w:hyperlink>
    </w:p>
    <w:p w:rsidR="00DB2356" w:rsidRPr="006571AC" w:rsidRDefault="00DB2356" w:rsidP="007B39CF">
      <w:pPr>
        <w:keepLines/>
        <w:pBdr>
          <w:top w:val="nil"/>
          <w:left w:val="nil"/>
          <w:bottom w:val="nil"/>
          <w:right w:val="nil"/>
          <w:between w:val="nil"/>
        </w:pBdr>
        <w:spacing w:line="296" w:lineRule="exact"/>
        <w:ind w:firstLine="0"/>
        <w:rPr>
          <w:rFonts w:cs="DanaFajr"/>
          <w:szCs w:val="28"/>
          <w:rtl/>
        </w:rPr>
      </w:pPr>
      <w:r w:rsidRPr="006571AC">
        <w:rPr>
          <w:rFonts w:cs="DanaFajr"/>
          <w:szCs w:val="28"/>
          <w:rtl/>
        </w:rPr>
        <w:t>(تم</w:t>
      </w:r>
      <w:r w:rsidRPr="006571AC">
        <w:rPr>
          <w:rFonts w:cs="DanaFajr" w:hint="cs"/>
          <w:szCs w:val="28"/>
          <w:rtl/>
        </w:rPr>
        <w:t>َّ</w:t>
      </w:r>
      <w:r w:rsidRPr="006571AC">
        <w:rPr>
          <w:rFonts w:cs="DanaFajr"/>
          <w:szCs w:val="28"/>
          <w:rtl/>
        </w:rPr>
        <w:t xml:space="preserve">ت معاينته في </w:t>
      </w:r>
      <w:r w:rsidRPr="006571AC">
        <w:rPr>
          <w:rFonts w:cs="DanaFajr" w:hint="cs"/>
          <w:szCs w:val="28"/>
          <w:rtl/>
        </w:rPr>
        <w:t>21</w:t>
      </w:r>
      <w:r w:rsidRPr="006571AC">
        <w:rPr>
          <w:rFonts w:cs="DanaFajr"/>
          <w:szCs w:val="28"/>
          <w:rtl/>
        </w:rPr>
        <w:t xml:space="preserve"> حزيران </w:t>
      </w:r>
      <w:r w:rsidRPr="006571AC">
        <w:rPr>
          <w:rFonts w:cs="DanaFajr" w:hint="cs"/>
          <w:szCs w:val="28"/>
          <w:rtl/>
        </w:rPr>
        <w:t>2021</w:t>
      </w:r>
      <w:r w:rsidRPr="006571AC">
        <w:rPr>
          <w:rFonts w:cs="DanaFajr"/>
          <w:szCs w:val="28"/>
          <w:rtl/>
        </w:rPr>
        <w:t xml:space="preserve">). </w:t>
      </w:r>
    </w:p>
    <w:p w:rsidR="00DB2356" w:rsidRPr="006571AC" w:rsidRDefault="00DB2356" w:rsidP="007B39CF">
      <w:pPr>
        <w:keepLines/>
        <w:spacing w:line="296" w:lineRule="exact"/>
        <w:ind w:firstLine="0"/>
        <w:rPr>
          <w:rFonts w:cs="DanaFajr"/>
          <w:szCs w:val="28"/>
        </w:rPr>
      </w:pPr>
      <w:r w:rsidRPr="006571AC">
        <w:rPr>
          <w:rFonts w:cs="DanaFajr"/>
          <w:szCs w:val="28"/>
          <w:rtl/>
        </w:rPr>
        <w:t>ت.</w:t>
      </w:r>
      <w:r w:rsidRPr="006571AC">
        <w:rPr>
          <w:rFonts w:cs="DanaFajr" w:hint="cs"/>
          <w:szCs w:val="28"/>
          <w:rtl/>
        </w:rPr>
        <w:t xml:space="preserve"> </w:t>
      </w:r>
      <w:r w:rsidRPr="006571AC">
        <w:rPr>
          <w:rFonts w:cs="DanaFajr"/>
          <w:szCs w:val="28"/>
          <w:rtl/>
        </w:rPr>
        <w:t>كوران، الاقتصاد ال</w:t>
      </w:r>
      <w:r w:rsidRPr="006571AC">
        <w:rPr>
          <w:rFonts w:cs="DanaFajr" w:hint="cs"/>
          <w:szCs w:val="28"/>
          <w:rtl/>
        </w:rPr>
        <w:t>إ</w:t>
      </w:r>
      <w:r w:rsidRPr="006571AC">
        <w:rPr>
          <w:rFonts w:cs="DanaFajr"/>
          <w:szCs w:val="28"/>
          <w:rtl/>
        </w:rPr>
        <w:t>سلامي والاقتصاد الفرعي الإسلامي، مجل</w:t>
      </w:r>
      <w:r w:rsidRPr="006571AC">
        <w:rPr>
          <w:rFonts w:cs="DanaFajr" w:hint="cs"/>
          <w:szCs w:val="28"/>
          <w:rtl/>
        </w:rPr>
        <w:t>ّ</w:t>
      </w:r>
      <w:r w:rsidRPr="006571AC">
        <w:rPr>
          <w:rFonts w:cs="DanaFajr"/>
          <w:szCs w:val="28"/>
          <w:rtl/>
        </w:rPr>
        <w:t xml:space="preserve">ة المناظير الاقتصادية، </w:t>
      </w:r>
      <w:r w:rsidRPr="006571AC">
        <w:rPr>
          <w:rFonts w:cs="DanaFajr" w:hint="cs"/>
          <w:szCs w:val="28"/>
          <w:rtl/>
        </w:rPr>
        <w:t>المجلّد 9، العدد</w:t>
      </w:r>
      <w:r w:rsidRPr="006571AC">
        <w:rPr>
          <w:rFonts w:cs="DanaFajr"/>
          <w:szCs w:val="28"/>
          <w:rtl/>
        </w:rPr>
        <w:t xml:space="preserve"> </w:t>
      </w:r>
      <w:r w:rsidRPr="006571AC">
        <w:rPr>
          <w:rFonts w:cs="DanaFajr" w:hint="cs"/>
          <w:szCs w:val="28"/>
          <w:rtl/>
        </w:rPr>
        <w:t>4: 155 ـ 173</w:t>
      </w:r>
      <w:r w:rsidRPr="006571AC">
        <w:rPr>
          <w:rFonts w:cs="DanaFajr"/>
          <w:szCs w:val="28"/>
          <w:rtl/>
        </w:rPr>
        <w:t xml:space="preserve">، </w:t>
      </w:r>
      <w:r w:rsidRPr="006571AC">
        <w:rPr>
          <w:rFonts w:cs="DanaFajr" w:hint="cs"/>
          <w:szCs w:val="28"/>
          <w:rtl/>
        </w:rPr>
        <w:t>1995. و</w:t>
      </w:r>
      <w:r w:rsidRPr="006571AC">
        <w:rPr>
          <w:rFonts w:cs="DanaFajr"/>
          <w:szCs w:val="28"/>
          <w:rtl/>
        </w:rPr>
        <w:t>بالإنكليزية</w:t>
      </w:r>
      <w:r w:rsidRPr="006571AC">
        <w:rPr>
          <w:rFonts w:cs="DanaFajr" w:hint="cs"/>
          <w:szCs w:val="28"/>
          <w:rtl/>
        </w:rPr>
        <w:t>:</w:t>
      </w:r>
      <w:r w:rsidRPr="006571AC">
        <w:rPr>
          <w:rFonts w:cs="DanaFajr"/>
          <w:szCs w:val="28"/>
          <w:rtl/>
        </w:rPr>
        <w:t xml:space="preserve"> </w:t>
      </w:r>
    </w:p>
    <w:p w:rsidR="00DB2356" w:rsidRPr="006571AC" w:rsidRDefault="00DB2356" w:rsidP="007B39CF">
      <w:pPr>
        <w:keepLines/>
        <w:bidi w:val="0"/>
        <w:spacing w:line="296" w:lineRule="exact"/>
        <w:ind w:firstLine="0"/>
        <w:rPr>
          <w:rFonts w:asciiTheme="majorBidi" w:hAnsiTheme="majorBidi" w:cstheme="majorBidi"/>
          <w:sz w:val="20"/>
          <w:szCs w:val="20"/>
        </w:rPr>
      </w:pPr>
      <w:r w:rsidRPr="006571AC">
        <w:rPr>
          <w:rFonts w:asciiTheme="majorBidi" w:hAnsiTheme="majorBidi" w:cstheme="majorBidi"/>
          <w:sz w:val="20"/>
          <w:szCs w:val="20"/>
        </w:rPr>
        <w:t>Islamic Economics and the Islamic Subeconomy.</w:t>
      </w:r>
      <w:r w:rsidRPr="006571AC">
        <w:rPr>
          <w:rFonts w:asciiTheme="majorBidi" w:hAnsiTheme="majorBidi" w:cstheme="majorBidi"/>
          <w:sz w:val="20"/>
          <w:szCs w:val="20"/>
          <w:rtl/>
        </w:rPr>
        <w:t xml:space="preserve"> </w:t>
      </w:r>
    </w:p>
    <w:p w:rsidR="00DB2356" w:rsidRPr="006571AC" w:rsidRDefault="00DB2356" w:rsidP="007B39CF">
      <w:pPr>
        <w:keepLines/>
        <w:spacing w:line="296" w:lineRule="exact"/>
        <w:ind w:firstLine="0"/>
        <w:rPr>
          <w:rFonts w:cs="DanaFajr"/>
          <w:szCs w:val="28"/>
        </w:rPr>
      </w:pPr>
      <w:r w:rsidRPr="006571AC">
        <w:rPr>
          <w:rFonts w:cs="DanaFajr"/>
          <w:szCs w:val="28"/>
          <w:rtl/>
        </w:rPr>
        <w:t>ت.</w:t>
      </w:r>
      <w:r w:rsidRPr="006571AC">
        <w:rPr>
          <w:rFonts w:cs="DanaFajr" w:hint="cs"/>
          <w:szCs w:val="28"/>
          <w:rtl/>
        </w:rPr>
        <w:t xml:space="preserve"> </w:t>
      </w:r>
      <w:r w:rsidRPr="006571AC">
        <w:rPr>
          <w:rFonts w:cs="DanaFajr"/>
          <w:szCs w:val="28"/>
          <w:rtl/>
        </w:rPr>
        <w:t>كوران، تكوين الاقتصاد ال</w:t>
      </w:r>
      <w:r w:rsidRPr="006571AC">
        <w:rPr>
          <w:rFonts w:cs="DanaFajr" w:hint="cs"/>
          <w:szCs w:val="28"/>
          <w:rtl/>
        </w:rPr>
        <w:t>إ</w:t>
      </w:r>
      <w:r w:rsidRPr="006571AC">
        <w:rPr>
          <w:rFonts w:cs="DanaFajr"/>
          <w:szCs w:val="28"/>
          <w:rtl/>
        </w:rPr>
        <w:t xml:space="preserve">سلامي: فصل ضمن سياسة الهوية المسلمة، البحوث الاجتماعية، </w:t>
      </w:r>
      <w:r w:rsidRPr="006571AC">
        <w:rPr>
          <w:rFonts w:cs="DanaFajr" w:hint="cs"/>
          <w:szCs w:val="28"/>
          <w:rtl/>
        </w:rPr>
        <w:t>المجلّد</w:t>
      </w:r>
      <w:r w:rsidRPr="006571AC">
        <w:rPr>
          <w:rFonts w:cs="DanaFajr"/>
          <w:szCs w:val="28"/>
          <w:rtl/>
        </w:rPr>
        <w:t xml:space="preserve"> </w:t>
      </w:r>
      <w:r w:rsidRPr="006571AC">
        <w:rPr>
          <w:rFonts w:cs="DanaFajr" w:hint="cs"/>
          <w:szCs w:val="28"/>
          <w:rtl/>
        </w:rPr>
        <w:t>64، العدد 2: 301 ـ 338</w:t>
      </w:r>
      <w:r w:rsidRPr="006571AC">
        <w:rPr>
          <w:rFonts w:cs="DanaFajr"/>
          <w:szCs w:val="28"/>
          <w:rtl/>
        </w:rPr>
        <w:t xml:space="preserve">، </w:t>
      </w:r>
      <w:r w:rsidRPr="006571AC">
        <w:rPr>
          <w:rFonts w:cs="DanaFajr" w:hint="cs"/>
          <w:szCs w:val="28"/>
          <w:rtl/>
        </w:rPr>
        <w:t>1997. و</w:t>
      </w:r>
      <w:r w:rsidRPr="006571AC">
        <w:rPr>
          <w:rFonts w:cs="DanaFajr"/>
          <w:szCs w:val="28"/>
          <w:rtl/>
        </w:rPr>
        <w:t>بالإنكليزية</w:t>
      </w:r>
      <w:r w:rsidRPr="006571AC">
        <w:rPr>
          <w:rFonts w:cs="DanaFajr" w:hint="cs"/>
          <w:szCs w:val="28"/>
          <w:rtl/>
        </w:rPr>
        <w:t>:</w:t>
      </w:r>
      <w:r w:rsidRPr="006571AC">
        <w:rPr>
          <w:rFonts w:cs="DanaFajr"/>
          <w:szCs w:val="28"/>
          <w:rtl/>
        </w:rPr>
        <w:t xml:space="preserve"> </w:t>
      </w:r>
    </w:p>
    <w:p w:rsidR="00DB2356" w:rsidRPr="006571AC" w:rsidRDefault="00DB2356" w:rsidP="007B39CF">
      <w:pPr>
        <w:keepLines/>
        <w:bidi w:val="0"/>
        <w:spacing w:line="296" w:lineRule="exact"/>
        <w:ind w:firstLine="0"/>
        <w:rPr>
          <w:rFonts w:asciiTheme="majorBidi" w:hAnsiTheme="majorBidi" w:cstheme="majorBidi"/>
          <w:sz w:val="20"/>
          <w:szCs w:val="20"/>
        </w:rPr>
      </w:pPr>
      <w:r w:rsidRPr="006571AC">
        <w:rPr>
          <w:rFonts w:asciiTheme="majorBidi" w:hAnsiTheme="majorBidi" w:cstheme="majorBidi"/>
          <w:sz w:val="20"/>
          <w:szCs w:val="20"/>
        </w:rPr>
        <w:t>The Genesis of Islamic Economics: A Chapter in the Politics of Muslim Identity.</w:t>
      </w:r>
      <w:r w:rsidRPr="006571AC">
        <w:rPr>
          <w:rFonts w:asciiTheme="majorBidi" w:hAnsiTheme="majorBidi" w:cstheme="majorBidi"/>
          <w:sz w:val="20"/>
          <w:szCs w:val="20"/>
          <w:rtl/>
        </w:rPr>
        <w:t xml:space="preserve"> </w:t>
      </w:r>
    </w:p>
    <w:p w:rsidR="00DB2356" w:rsidRPr="006571AC" w:rsidRDefault="00DB2356" w:rsidP="007B39CF">
      <w:pPr>
        <w:keepLines/>
        <w:spacing w:line="296" w:lineRule="exact"/>
        <w:ind w:firstLine="0"/>
        <w:rPr>
          <w:rFonts w:cs="DanaFajr"/>
          <w:szCs w:val="28"/>
        </w:rPr>
      </w:pPr>
      <w:r w:rsidRPr="006571AC">
        <w:rPr>
          <w:rFonts w:cs="DanaFajr"/>
          <w:szCs w:val="28"/>
          <w:rtl/>
        </w:rPr>
        <w:t>ت.</w:t>
      </w:r>
      <w:r w:rsidRPr="006571AC">
        <w:rPr>
          <w:rFonts w:cs="DanaFajr" w:hint="cs"/>
          <w:szCs w:val="28"/>
          <w:rtl/>
        </w:rPr>
        <w:t xml:space="preserve"> </w:t>
      </w:r>
      <w:r w:rsidRPr="006571AC">
        <w:rPr>
          <w:rFonts w:cs="DanaFajr"/>
          <w:szCs w:val="28"/>
          <w:rtl/>
        </w:rPr>
        <w:t>كوران، ال</w:t>
      </w:r>
      <w:r w:rsidRPr="006571AC">
        <w:rPr>
          <w:rFonts w:cs="DanaFajr" w:hint="cs"/>
          <w:szCs w:val="28"/>
          <w:rtl/>
        </w:rPr>
        <w:t>إ</w:t>
      </w:r>
      <w:r w:rsidRPr="006571AC">
        <w:rPr>
          <w:rFonts w:cs="DanaFajr"/>
          <w:szCs w:val="28"/>
          <w:rtl/>
        </w:rPr>
        <w:t xml:space="preserve">سلام </w:t>
      </w:r>
      <w:r w:rsidRPr="006571AC">
        <w:rPr>
          <w:rFonts w:cs="DanaFajr" w:hint="cs"/>
          <w:szCs w:val="28"/>
          <w:rtl/>
        </w:rPr>
        <w:t>والجشع</w:t>
      </w:r>
      <w:r w:rsidRPr="006571AC">
        <w:rPr>
          <w:rFonts w:cs="DanaFajr"/>
          <w:szCs w:val="28"/>
          <w:rtl/>
        </w:rPr>
        <w:t>: المآزق الاقتصادية لل</w:t>
      </w:r>
      <w:r w:rsidRPr="006571AC">
        <w:rPr>
          <w:rFonts w:cs="DanaFajr" w:hint="cs"/>
          <w:szCs w:val="28"/>
          <w:rtl/>
        </w:rPr>
        <w:t>إ</w:t>
      </w:r>
      <w:r w:rsidRPr="006571AC">
        <w:rPr>
          <w:rFonts w:cs="DanaFajr"/>
          <w:szCs w:val="28"/>
          <w:rtl/>
        </w:rPr>
        <w:t>سلاموية، برنستون</w:t>
      </w:r>
      <w:r w:rsidRPr="006571AC">
        <w:rPr>
          <w:rFonts w:cs="DanaFajr" w:hint="cs"/>
          <w:szCs w:val="28"/>
          <w:rtl/>
        </w:rPr>
        <w:t>،</w:t>
      </w:r>
      <w:r w:rsidRPr="006571AC">
        <w:rPr>
          <w:rFonts w:cs="DanaFajr"/>
          <w:szCs w:val="28"/>
          <w:rtl/>
        </w:rPr>
        <w:t xml:space="preserve"> مطابع جامعة برنستن، </w:t>
      </w:r>
      <w:r w:rsidRPr="006571AC">
        <w:rPr>
          <w:rFonts w:cs="DanaFajr" w:hint="cs"/>
          <w:szCs w:val="28"/>
          <w:rtl/>
        </w:rPr>
        <w:t>2006.</w:t>
      </w:r>
      <w:r w:rsidRPr="006571AC">
        <w:rPr>
          <w:rFonts w:cs="DanaFajr"/>
          <w:szCs w:val="28"/>
          <w:rtl/>
        </w:rPr>
        <w:t xml:space="preserve"> </w:t>
      </w:r>
      <w:r w:rsidRPr="006571AC">
        <w:rPr>
          <w:rFonts w:cs="DanaFajr" w:hint="cs"/>
          <w:szCs w:val="28"/>
          <w:rtl/>
        </w:rPr>
        <w:t>و</w:t>
      </w:r>
      <w:r w:rsidRPr="006571AC">
        <w:rPr>
          <w:rFonts w:cs="DanaFajr"/>
          <w:szCs w:val="28"/>
          <w:rtl/>
        </w:rPr>
        <w:t>بالإنكليزية</w:t>
      </w:r>
      <w:r w:rsidRPr="006571AC">
        <w:rPr>
          <w:rFonts w:cs="DanaFajr" w:hint="cs"/>
          <w:szCs w:val="28"/>
          <w:rtl/>
        </w:rPr>
        <w:t>:</w:t>
      </w:r>
      <w:r w:rsidRPr="006571AC">
        <w:rPr>
          <w:rFonts w:cs="DanaFajr"/>
          <w:szCs w:val="28"/>
          <w:rtl/>
        </w:rPr>
        <w:t xml:space="preserve"> </w:t>
      </w:r>
    </w:p>
    <w:p w:rsidR="00DB2356" w:rsidRPr="006571AC" w:rsidRDefault="00DB2356" w:rsidP="007B39CF">
      <w:pPr>
        <w:keepLines/>
        <w:bidi w:val="0"/>
        <w:spacing w:line="306" w:lineRule="exact"/>
        <w:ind w:firstLine="0"/>
        <w:rPr>
          <w:rFonts w:asciiTheme="majorBidi" w:hAnsiTheme="majorBidi" w:cstheme="majorBidi"/>
          <w:sz w:val="20"/>
          <w:szCs w:val="20"/>
        </w:rPr>
      </w:pPr>
      <w:r w:rsidRPr="006571AC">
        <w:rPr>
          <w:rFonts w:asciiTheme="majorBidi" w:hAnsiTheme="majorBidi" w:cstheme="majorBidi"/>
          <w:sz w:val="20"/>
          <w:szCs w:val="20"/>
        </w:rPr>
        <w:t>Islam and Mammon: the Economic Predicaments of Islamism.</w:t>
      </w:r>
      <w:r w:rsidRPr="006571AC">
        <w:rPr>
          <w:rFonts w:asciiTheme="majorBidi" w:hAnsiTheme="majorBidi" w:cstheme="majorBidi"/>
          <w:sz w:val="20"/>
          <w:szCs w:val="20"/>
          <w:rtl/>
        </w:rPr>
        <w:t xml:space="preserve"> </w:t>
      </w:r>
    </w:p>
    <w:p w:rsidR="00DB2356" w:rsidRPr="006571AC" w:rsidRDefault="00DB2356" w:rsidP="007B39CF">
      <w:pPr>
        <w:keepLines/>
        <w:spacing w:line="306" w:lineRule="exact"/>
        <w:ind w:firstLine="0"/>
        <w:rPr>
          <w:rFonts w:cs="DanaFajr"/>
          <w:szCs w:val="28"/>
        </w:rPr>
      </w:pPr>
      <w:r w:rsidRPr="006571AC">
        <w:rPr>
          <w:rFonts w:cs="DanaFajr"/>
          <w:szCs w:val="28"/>
          <w:rtl/>
        </w:rPr>
        <w:t>رودنييه ويلسون، مساهمة محمد باقر الصدر في الفكر الاقتصادي ال</w:t>
      </w:r>
      <w:r w:rsidRPr="006571AC">
        <w:rPr>
          <w:rFonts w:cs="DanaFajr" w:hint="cs"/>
          <w:szCs w:val="28"/>
          <w:rtl/>
        </w:rPr>
        <w:t>إ</w:t>
      </w:r>
      <w:r w:rsidRPr="006571AC">
        <w:rPr>
          <w:rFonts w:cs="DanaFajr"/>
          <w:szCs w:val="28"/>
          <w:rtl/>
        </w:rPr>
        <w:t>سلامي المعاصر، مجلة الدراسات ال</w:t>
      </w:r>
      <w:r w:rsidRPr="006571AC">
        <w:rPr>
          <w:rFonts w:cs="DanaFajr" w:hint="cs"/>
          <w:szCs w:val="28"/>
          <w:rtl/>
        </w:rPr>
        <w:t>إ</w:t>
      </w:r>
      <w:r w:rsidRPr="006571AC">
        <w:rPr>
          <w:rFonts w:cs="DanaFajr"/>
          <w:szCs w:val="28"/>
          <w:rtl/>
        </w:rPr>
        <w:t xml:space="preserve">سلامية، </w:t>
      </w:r>
      <w:r w:rsidRPr="006571AC">
        <w:rPr>
          <w:rFonts w:cs="DanaFajr" w:hint="cs"/>
          <w:szCs w:val="28"/>
          <w:rtl/>
        </w:rPr>
        <w:t>المجلّد 9، العدد 1:</w:t>
      </w:r>
      <w:r w:rsidRPr="006571AC">
        <w:rPr>
          <w:rFonts w:cs="DanaFajr"/>
          <w:szCs w:val="28"/>
          <w:rtl/>
        </w:rPr>
        <w:t xml:space="preserve"> </w:t>
      </w:r>
      <w:r w:rsidRPr="006571AC">
        <w:rPr>
          <w:rFonts w:cs="DanaFajr" w:hint="cs"/>
          <w:szCs w:val="28"/>
          <w:rtl/>
        </w:rPr>
        <w:t>46</w:t>
      </w:r>
      <w:r w:rsidRPr="006571AC">
        <w:rPr>
          <w:rFonts w:cs="DanaFajr"/>
          <w:szCs w:val="28"/>
          <w:rtl/>
        </w:rPr>
        <w:t xml:space="preserve"> ـ </w:t>
      </w:r>
      <w:r w:rsidRPr="006571AC">
        <w:rPr>
          <w:rFonts w:cs="DanaFajr" w:hint="cs"/>
          <w:szCs w:val="28"/>
          <w:rtl/>
        </w:rPr>
        <w:t>59</w:t>
      </w:r>
      <w:r w:rsidRPr="006571AC">
        <w:rPr>
          <w:rFonts w:cs="DanaFajr"/>
          <w:szCs w:val="28"/>
          <w:rtl/>
        </w:rPr>
        <w:t xml:space="preserve">، </w:t>
      </w:r>
      <w:r w:rsidRPr="006571AC">
        <w:rPr>
          <w:rFonts w:cs="DanaFajr" w:hint="cs"/>
          <w:szCs w:val="28"/>
          <w:rtl/>
        </w:rPr>
        <w:t>1998.</w:t>
      </w:r>
      <w:r w:rsidRPr="006571AC">
        <w:rPr>
          <w:rFonts w:cs="DanaFajr"/>
          <w:szCs w:val="28"/>
          <w:rtl/>
        </w:rPr>
        <w:t xml:space="preserve"> </w:t>
      </w:r>
      <w:r w:rsidRPr="006571AC">
        <w:rPr>
          <w:rFonts w:cs="DanaFajr" w:hint="cs"/>
          <w:szCs w:val="28"/>
          <w:rtl/>
        </w:rPr>
        <w:t>و</w:t>
      </w:r>
      <w:r w:rsidRPr="006571AC">
        <w:rPr>
          <w:rFonts w:cs="DanaFajr"/>
          <w:szCs w:val="28"/>
          <w:rtl/>
        </w:rPr>
        <w:t>بالإنكليزية</w:t>
      </w:r>
      <w:r w:rsidRPr="006571AC">
        <w:rPr>
          <w:rFonts w:cs="DanaFajr" w:hint="cs"/>
          <w:szCs w:val="28"/>
          <w:rtl/>
        </w:rPr>
        <w:t>:</w:t>
      </w:r>
      <w:r w:rsidRPr="006571AC">
        <w:rPr>
          <w:rFonts w:cs="DanaFajr"/>
          <w:szCs w:val="28"/>
          <w:rtl/>
        </w:rPr>
        <w:t xml:space="preserve"> </w:t>
      </w:r>
    </w:p>
    <w:p w:rsidR="00DB2356" w:rsidRPr="006571AC" w:rsidRDefault="00DB2356" w:rsidP="007B39CF">
      <w:pPr>
        <w:pStyle w:val="aa"/>
        <w:bidi w:val="0"/>
        <w:spacing w:line="306" w:lineRule="exact"/>
        <w:ind w:firstLine="0"/>
        <w:rPr>
          <w:rFonts w:asciiTheme="majorBidi" w:hAnsiTheme="majorBidi" w:cstheme="majorBidi"/>
        </w:rPr>
      </w:pPr>
      <w:r w:rsidRPr="006571AC">
        <w:rPr>
          <w:rFonts w:asciiTheme="majorBidi" w:hAnsiTheme="majorBidi" w:cstheme="majorBidi"/>
        </w:rPr>
        <w:t>The Contribution of Muhammad Baqir Al</w:t>
      </w:r>
      <w:r w:rsidRPr="006571AC">
        <w:rPr>
          <w:rFonts w:asciiTheme="majorBidi" w:hAnsiTheme="majorBidi" w:cstheme="majorBidi"/>
          <w:rtl/>
        </w:rPr>
        <w:t xml:space="preserve"> ـ </w:t>
      </w:r>
      <w:r w:rsidRPr="006571AC">
        <w:rPr>
          <w:rFonts w:asciiTheme="majorBidi" w:hAnsiTheme="majorBidi" w:cstheme="majorBidi"/>
        </w:rPr>
        <w:t>Sadr to Contemporary Islamic Economic Thought.</w:t>
      </w:r>
    </w:p>
  </w:endnote>
  <w:endnote w:id="915">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Cs w:val="28"/>
          <w:rtl/>
        </w:rPr>
        <w:t>نحيل القارئ والباح</w:t>
      </w:r>
      <w:r w:rsidRPr="006571AC">
        <w:rPr>
          <w:rFonts w:cs="DanaFajr" w:hint="cs"/>
          <w:szCs w:val="28"/>
          <w:rtl/>
        </w:rPr>
        <w:t>ث،</w:t>
      </w:r>
      <w:r w:rsidRPr="006571AC">
        <w:rPr>
          <w:rFonts w:cs="DanaFajr"/>
          <w:szCs w:val="28"/>
          <w:rtl/>
        </w:rPr>
        <w:t xml:space="preserve"> بشكل</w:t>
      </w:r>
      <w:r w:rsidRPr="006571AC">
        <w:rPr>
          <w:rFonts w:cs="DanaFajr" w:hint="cs"/>
          <w:szCs w:val="28"/>
          <w:rtl/>
        </w:rPr>
        <w:t>ٍ</w:t>
      </w:r>
      <w:r w:rsidRPr="006571AC">
        <w:rPr>
          <w:rFonts w:cs="DanaFajr"/>
          <w:szCs w:val="28"/>
          <w:rtl/>
        </w:rPr>
        <w:t xml:space="preserve"> خاص</w:t>
      </w:r>
      <w:r w:rsidRPr="006571AC">
        <w:rPr>
          <w:rFonts w:cs="DanaFajr" w:hint="cs"/>
          <w:szCs w:val="28"/>
          <w:rtl/>
        </w:rPr>
        <w:t>ّ</w:t>
      </w:r>
      <w:r w:rsidRPr="006571AC">
        <w:rPr>
          <w:rFonts w:cs="DanaFajr"/>
          <w:szCs w:val="28"/>
          <w:rtl/>
        </w:rPr>
        <w:t>، إلى الفصل ـ المقطع المهم</w:t>
      </w:r>
      <w:r w:rsidRPr="006571AC">
        <w:rPr>
          <w:rFonts w:cs="DanaFajr" w:hint="cs"/>
          <w:szCs w:val="28"/>
          <w:rtl/>
        </w:rPr>
        <w:t>ّ</w:t>
      </w:r>
      <w:r w:rsidRPr="006571AC">
        <w:rPr>
          <w:rFonts w:cs="DanaFajr"/>
          <w:szCs w:val="28"/>
          <w:rtl/>
        </w:rPr>
        <w:t xml:space="preserve"> والخطير في كتاب </w:t>
      </w:r>
      <w:r w:rsidRPr="006571AC">
        <w:rPr>
          <w:rFonts w:cs="DanaFajr" w:hint="cs"/>
          <w:szCs w:val="28"/>
          <w:rtl/>
        </w:rPr>
        <w:t>(</w:t>
      </w:r>
      <w:r w:rsidRPr="006571AC">
        <w:rPr>
          <w:rFonts w:cs="DanaFajr"/>
          <w:szCs w:val="28"/>
          <w:rtl/>
        </w:rPr>
        <w:t>اقتصادنا</w:t>
      </w:r>
      <w:r w:rsidRPr="006571AC">
        <w:rPr>
          <w:rFonts w:cs="DanaFajr" w:hint="cs"/>
          <w:szCs w:val="28"/>
          <w:rtl/>
        </w:rPr>
        <w:t>)</w:t>
      </w:r>
      <w:r w:rsidRPr="006571AC">
        <w:rPr>
          <w:rFonts w:cs="DanaFajr"/>
          <w:szCs w:val="28"/>
          <w:rtl/>
        </w:rPr>
        <w:t>، وهو المقطع المنهجي الذي لا زلنا نتعج</w:t>
      </w:r>
      <w:r w:rsidRPr="006571AC">
        <w:rPr>
          <w:rFonts w:cs="DanaFajr" w:hint="cs"/>
          <w:szCs w:val="28"/>
          <w:rtl/>
        </w:rPr>
        <w:t>َّ</w:t>
      </w:r>
      <w:r w:rsidRPr="006571AC">
        <w:rPr>
          <w:rFonts w:cs="DanaFajr"/>
          <w:szCs w:val="28"/>
          <w:rtl/>
        </w:rPr>
        <w:t>ب من مرور كثير</w:t>
      </w:r>
      <w:r w:rsidRPr="006571AC">
        <w:rPr>
          <w:rFonts w:cs="DanaFajr" w:hint="cs"/>
          <w:szCs w:val="28"/>
          <w:rtl/>
        </w:rPr>
        <w:t>ٍ</w:t>
      </w:r>
      <w:r w:rsidRPr="006571AC">
        <w:rPr>
          <w:rFonts w:cs="DanaFajr"/>
          <w:szCs w:val="28"/>
          <w:rtl/>
        </w:rPr>
        <w:t xml:space="preserve"> من الباحثين عليه مرور الكرام: </w:t>
      </w:r>
      <w:r w:rsidRPr="006571AC">
        <w:rPr>
          <w:rFonts w:cs="DanaFajr" w:hint="cs"/>
          <w:szCs w:val="28"/>
          <w:rtl/>
        </w:rPr>
        <w:t>محمد باقر</w:t>
      </w:r>
      <w:r w:rsidRPr="006571AC">
        <w:rPr>
          <w:rFonts w:cs="DanaFajr"/>
          <w:szCs w:val="28"/>
          <w:rtl/>
        </w:rPr>
        <w:t xml:space="preserve"> الصدر</w:t>
      </w:r>
      <w:r w:rsidRPr="006571AC">
        <w:rPr>
          <w:rFonts w:cs="DanaFajr" w:hint="cs"/>
          <w:szCs w:val="28"/>
          <w:rtl/>
        </w:rPr>
        <w:t xml:space="preserve">، </w:t>
      </w:r>
      <w:r w:rsidRPr="006571AC">
        <w:rPr>
          <w:rFonts w:cs="DanaFajr"/>
          <w:szCs w:val="28"/>
          <w:rtl/>
        </w:rPr>
        <w:t>اقتصادنا</w:t>
      </w:r>
      <w:r w:rsidRPr="006571AC">
        <w:rPr>
          <w:rFonts w:cs="DanaFajr" w:hint="cs"/>
          <w:szCs w:val="28"/>
          <w:rtl/>
        </w:rPr>
        <w:t xml:space="preserve">: 355 وما يليها </w:t>
      </w:r>
      <w:r w:rsidRPr="006571AC">
        <w:rPr>
          <w:rFonts w:hint="eastAsia"/>
          <w:sz w:val="22"/>
          <w:szCs w:val="22"/>
          <w:rtl/>
        </w:rPr>
        <w:t>«</w:t>
      </w:r>
      <w:r w:rsidRPr="006571AC">
        <w:rPr>
          <w:rFonts w:cs="DanaFajr"/>
          <w:szCs w:val="28"/>
          <w:rtl/>
        </w:rPr>
        <w:t>عملية اكتشاف المذهب الاقتصادي</w:t>
      </w:r>
      <w:r w:rsidRPr="006571AC">
        <w:rPr>
          <w:rFonts w:hint="eastAsia"/>
          <w:sz w:val="22"/>
          <w:szCs w:val="22"/>
          <w:rtl/>
        </w:rPr>
        <w:t>»</w:t>
      </w:r>
      <w:r w:rsidRPr="006571AC">
        <w:rPr>
          <w:rFonts w:cs="DanaFajr" w:hint="cs"/>
          <w:szCs w:val="28"/>
          <w:rtl/>
        </w:rPr>
        <w:t>.</w:t>
      </w:r>
      <w:r w:rsidRPr="006571AC">
        <w:rPr>
          <w:rFonts w:cs="DanaFajr"/>
          <w:szCs w:val="28"/>
          <w:rtl/>
        </w:rPr>
        <w:t xml:space="preserve"> هو، حقيقية</w:t>
      </w:r>
      <w:r w:rsidRPr="006571AC">
        <w:rPr>
          <w:rFonts w:cs="DanaFajr" w:hint="cs"/>
          <w:szCs w:val="28"/>
          <w:rtl/>
        </w:rPr>
        <w:t>ً</w:t>
      </w:r>
      <w:r w:rsidRPr="006571AC">
        <w:rPr>
          <w:rFonts w:cs="DanaFajr"/>
          <w:szCs w:val="28"/>
          <w:rtl/>
        </w:rPr>
        <w:t>، مقطع</w:t>
      </w:r>
      <w:r w:rsidRPr="006571AC">
        <w:rPr>
          <w:rFonts w:cs="DanaFajr" w:hint="cs"/>
          <w:szCs w:val="28"/>
          <w:rtl/>
        </w:rPr>
        <w:t>ٌ</w:t>
      </w:r>
      <w:r w:rsidRPr="006571AC">
        <w:rPr>
          <w:rFonts w:cs="DanaFajr"/>
          <w:szCs w:val="28"/>
          <w:rtl/>
        </w:rPr>
        <w:t xml:space="preserve"> ذو أهم</w:t>
      </w:r>
      <w:r w:rsidRPr="006571AC">
        <w:rPr>
          <w:rFonts w:cs="DanaFajr" w:hint="cs"/>
          <w:szCs w:val="28"/>
          <w:rtl/>
        </w:rPr>
        <w:t>ِّ</w:t>
      </w:r>
      <w:r w:rsidRPr="006571AC">
        <w:rPr>
          <w:rFonts w:cs="DanaFajr"/>
          <w:szCs w:val="28"/>
          <w:rtl/>
        </w:rPr>
        <w:t>ية قصوى وخطيرة على المستوى المنهجي</w:t>
      </w:r>
      <w:r w:rsidRPr="006571AC">
        <w:rPr>
          <w:rFonts w:cs="DanaFajr" w:hint="cs"/>
          <w:szCs w:val="28"/>
          <w:rtl/>
        </w:rPr>
        <w:t>،</w:t>
      </w:r>
      <w:r w:rsidRPr="006571AC">
        <w:rPr>
          <w:rFonts w:cs="DanaFajr"/>
          <w:szCs w:val="28"/>
          <w:rtl/>
        </w:rPr>
        <w:t xml:space="preserve"> بل الفلسفي ـ المعرفي بلا أدنى ش</w:t>
      </w:r>
      <w:r w:rsidRPr="006571AC">
        <w:rPr>
          <w:rFonts w:cs="DanaFajr" w:hint="cs"/>
          <w:szCs w:val="28"/>
          <w:rtl/>
        </w:rPr>
        <w:t>َ</w:t>
      </w:r>
      <w:r w:rsidRPr="006571AC">
        <w:rPr>
          <w:rFonts w:cs="DanaFajr"/>
          <w:szCs w:val="28"/>
          <w:rtl/>
        </w:rPr>
        <w:t>ك</w:t>
      </w:r>
      <w:r w:rsidRPr="006571AC">
        <w:rPr>
          <w:rFonts w:cs="DanaFajr" w:hint="cs"/>
          <w:szCs w:val="28"/>
          <w:rtl/>
        </w:rPr>
        <w:t>ٍّ،</w:t>
      </w:r>
      <w:r w:rsidRPr="006571AC">
        <w:rPr>
          <w:rFonts w:cs="DanaFajr"/>
          <w:szCs w:val="28"/>
          <w:rtl/>
        </w:rPr>
        <w:t xml:space="preserve"> كما سنر</w:t>
      </w:r>
      <w:r w:rsidRPr="006571AC">
        <w:rPr>
          <w:rFonts w:cs="DanaFajr" w:hint="cs"/>
          <w:szCs w:val="28"/>
          <w:rtl/>
        </w:rPr>
        <w:t>ى</w:t>
      </w:r>
      <w:r w:rsidRPr="006571AC">
        <w:rPr>
          <w:rFonts w:cs="DanaFajr"/>
          <w:szCs w:val="28"/>
          <w:rtl/>
        </w:rPr>
        <w:t xml:space="preserve"> طوال هذه الورقة</w:t>
      </w:r>
      <w:r w:rsidRPr="006571AC">
        <w:rPr>
          <w:rFonts w:cs="DanaFajr" w:hint="cs"/>
          <w:szCs w:val="28"/>
          <w:rtl/>
        </w:rPr>
        <w:t>،</w:t>
      </w:r>
      <w:r w:rsidRPr="006571AC">
        <w:rPr>
          <w:rFonts w:cs="DanaFajr"/>
          <w:szCs w:val="28"/>
          <w:rtl/>
        </w:rPr>
        <w:t xml:space="preserve"> وق</w:t>
      </w:r>
      <w:r w:rsidRPr="006571AC">
        <w:rPr>
          <w:rFonts w:cs="DanaFajr" w:hint="cs"/>
          <w:szCs w:val="28"/>
          <w:rtl/>
        </w:rPr>
        <w:t>َ</w:t>
      </w:r>
      <w:r w:rsidRPr="006571AC">
        <w:rPr>
          <w:rFonts w:cs="DanaFajr"/>
          <w:szCs w:val="28"/>
          <w:rtl/>
        </w:rPr>
        <w:t>د</w:t>
      </w:r>
      <w:r w:rsidRPr="006571AC">
        <w:rPr>
          <w:rFonts w:cs="DanaFajr" w:hint="cs"/>
          <w:szCs w:val="28"/>
          <w:rtl/>
        </w:rPr>
        <w:t>ْ</w:t>
      </w:r>
      <w:r w:rsidRPr="006571AC">
        <w:rPr>
          <w:rFonts w:cs="DanaFajr"/>
          <w:szCs w:val="28"/>
          <w:rtl/>
        </w:rPr>
        <w:t>ر المستطاع.</w:t>
      </w:r>
    </w:p>
  </w:endnote>
  <w:endnote w:id="916">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 w:val="28"/>
          <w:szCs w:val="28"/>
          <w:rtl/>
        </w:rPr>
        <w:t>مالك أبو حمدان</w:t>
      </w:r>
      <w:r w:rsidRPr="006571AC">
        <w:rPr>
          <w:rFonts w:cs="DanaFajr" w:hint="cs"/>
          <w:sz w:val="28"/>
          <w:szCs w:val="28"/>
          <w:rtl/>
        </w:rPr>
        <w:t xml:space="preserve">، </w:t>
      </w:r>
      <w:r w:rsidRPr="006571AC">
        <w:rPr>
          <w:rFonts w:cs="DanaFajr"/>
          <w:sz w:val="28"/>
          <w:szCs w:val="28"/>
          <w:rtl/>
        </w:rPr>
        <w:t>المشتق</w:t>
      </w:r>
      <w:r w:rsidRPr="006571AC">
        <w:rPr>
          <w:rFonts w:cs="DanaFajr" w:hint="cs"/>
          <w:sz w:val="28"/>
          <w:szCs w:val="28"/>
          <w:rtl/>
        </w:rPr>
        <w:t>ّ</w:t>
      </w:r>
      <w:r w:rsidRPr="006571AC">
        <w:rPr>
          <w:rFonts w:cs="DanaFajr"/>
          <w:sz w:val="28"/>
          <w:szCs w:val="28"/>
          <w:rtl/>
        </w:rPr>
        <w:t>ات المالية ومخاطر السوق والغرر: البحث عن بديل</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سلامي</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359.</w:t>
      </w:r>
    </w:p>
  </w:endnote>
  <w:endnote w:id="917">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363.</w:t>
      </w:r>
    </w:p>
  </w:endnote>
  <w:endnote w:id="918">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راجع</w:t>
      </w:r>
      <w:r w:rsidRPr="006571AC">
        <w:rPr>
          <w:rFonts w:cs="DanaFajr"/>
          <w:sz w:val="28"/>
          <w:szCs w:val="28"/>
          <w:rtl/>
        </w:rPr>
        <w:t xml:space="preserve">: </w:t>
      </w:r>
      <w:r w:rsidRPr="006571AC">
        <w:rPr>
          <w:rFonts w:cs="DanaFajr" w:hint="cs"/>
          <w:sz w:val="28"/>
          <w:szCs w:val="28"/>
          <w:rtl/>
        </w:rPr>
        <w:t>فيبر، 1965، مصدر</w:t>
      </w:r>
      <w:r w:rsidRPr="006571AC">
        <w:rPr>
          <w:rFonts w:cs="DanaFajr"/>
          <w:sz w:val="28"/>
          <w:szCs w:val="28"/>
          <w:rtl/>
        </w:rPr>
        <w:t xml:space="preserve"> </w:t>
      </w:r>
      <w:r w:rsidRPr="006571AC">
        <w:rPr>
          <w:rFonts w:cs="DanaFajr" w:hint="cs"/>
          <w:sz w:val="28"/>
          <w:szCs w:val="28"/>
          <w:rtl/>
        </w:rPr>
        <w:t>مذكور، حول</w:t>
      </w:r>
      <w:r w:rsidRPr="006571AC">
        <w:rPr>
          <w:rFonts w:cs="DanaFajr"/>
          <w:sz w:val="28"/>
          <w:szCs w:val="28"/>
          <w:rtl/>
        </w:rPr>
        <w:t xml:space="preserve"> </w:t>
      </w:r>
      <w:r w:rsidRPr="006571AC">
        <w:rPr>
          <w:rFonts w:hint="eastAsia"/>
          <w:sz w:val="22"/>
          <w:szCs w:val="22"/>
          <w:rtl/>
        </w:rPr>
        <w:t>«</w:t>
      </w:r>
      <w:r w:rsidRPr="006571AC">
        <w:rPr>
          <w:rFonts w:cs="DanaFajr" w:hint="cs"/>
          <w:sz w:val="28"/>
          <w:szCs w:val="28"/>
          <w:rtl/>
        </w:rPr>
        <w:t>العلاقة</w:t>
      </w:r>
      <w:r w:rsidRPr="006571AC">
        <w:rPr>
          <w:rFonts w:cs="DanaFajr"/>
          <w:sz w:val="28"/>
          <w:szCs w:val="28"/>
          <w:rtl/>
        </w:rPr>
        <w:t xml:space="preserve"> </w:t>
      </w:r>
      <w:r w:rsidRPr="006571AC">
        <w:rPr>
          <w:rFonts w:cs="DanaFajr" w:hint="cs"/>
          <w:sz w:val="28"/>
          <w:szCs w:val="28"/>
          <w:rtl/>
        </w:rPr>
        <w:t>مع</w:t>
      </w:r>
      <w:r w:rsidRPr="006571AC">
        <w:rPr>
          <w:rFonts w:cs="DanaFajr"/>
          <w:sz w:val="28"/>
          <w:szCs w:val="28"/>
          <w:rtl/>
        </w:rPr>
        <w:t xml:space="preserve"> </w:t>
      </w:r>
      <w:r w:rsidRPr="006571AC">
        <w:rPr>
          <w:rFonts w:cs="DanaFajr" w:hint="cs"/>
          <w:sz w:val="28"/>
          <w:szCs w:val="28"/>
          <w:rtl/>
        </w:rPr>
        <w:t>القيم</w:t>
      </w:r>
      <w:r w:rsidRPr="006571AC">
        <w:rPr>
          <w:rFonts w:hint="eastAsia"/>
          <w:sz w:val="22"/>
          <w:szCs w:val="22"/>
          <w:rtl/>
        </w:rPr>
        <w:t>»</w:t>
      </w:r>
      <w:r w:rsidRPr="006571AC">
        <w:rPr>
          <w:rFonts w:cs="DanaFajr" w:hint="cs"/>
          <w:sz w:val="28"/>
          <w:szCs w:val="28"/>
          <w:rtl/>
        </w:rPr>
        <w:t>.</w:t>
      </w:r>
    </w:p>
  </w:endnote>
  <w:endnote w:id="919">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 w:val="28"/>
          <w:szCs w:val="28"/>
          <w:rtl/>
        </w:rPr>
        <w:t>مالك أبو حمدان</w:t>
      </w:r>
      <w:r w:rsidRPr="006571AC">
        <w:rPr>
          <w:rFonts w:cs="DanaFajr" w:hint="cs"/>
          <w:sz w:val="28"/>
          <w:szCs w:val="28"/>
          <w:rtl/>
        </w:rPr>
        <w:t xml:space="preserve">، </w:t>
      </w:r>
      <w:r w:rsidRPr="006571AC">
        <w:rPr>
          <w:rFonts w:cs="DanaFajr"/>
          <w:sz w:val="28"/>
          <w:szCs w:val="28"/>
          <w:rtl/>
        </w:rPr>
        <w:t>المشتق</w:t>
      </w:r>
      <w:r w:rsidRPr="006571AC">
        <w:rPr>
          <w:rFonts w:cs="DanaFajr" w:hint="cs"/>
          <w:sz w:val="28"/>
          <w:szCs w:val="28"/>
          <w:rtl/>
        </w:rPr>
        <w:t>ّ</w:t>
      </w:r>
      <w:r w:rsidRPr="006571AC">
        <w:rPr>
          <w:rFonts w:cs="DanaFajr"/>
          <w:sz w:val="28"/>
          <w:szCs w:val="28"/>
          <w:rtl/>
        </w:rPr>
        <w:t>ات المالية ومخاطر السوق والغرر: البحث عن بديل</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سلامي</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364.</w:t>
      </w:r>
    </w:p>
  </w:endnote>
  <w:endnote w:id="920">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365.</w:t>
      </w:r>
    </w:p>
  </w:endnote>
  <w:endnote w:id="921">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368.</w:t>
      </w:r>
    </w:p>
  </w:endnote>
  <w:endnote w:id="922">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378</w:t>
      </w:r>
      <w:r w:rsidRPr="006571AC">
        <w:rPr>
          <w:rFonts w:cs="DanaFajr"/>
          <w:sz w:val="28"/>
          <w:szCs w:val="28"/>
          <w:rtl/>
        </w:rPr>
        <w:t xml:space="preserve"> </w:t>
      </w:r>
      <w:r w:rsidRPr="006571AC">
        <w:rPr>
          <w:rFonts w:cs="DanaFajr" w:hint="cs"/>
          <w:sz w:val="28"/>
          <w:szCs w:val="28"/>
          <w:rtl/>
        </w:rPr>
        <w:t>وما</w:t>
      </w:r>
      <w:r w:rsidRPr="006571AC">
        <w:rPr>
          <w:rFonts w:cs="DanaFajr"/>
          <w:sz w:val="28"/>
          <w:szCs w:val="28"/>
          <w:rtl/>
        </w:rPr>
        <w:t xml:space="preserve"> </w:t>
      </w:r>
      <w:r w:rsidRPr="006571AC">
        <w:rPr>
          <w:rFonts w:cs="DanaFajr" w:hint="cs"/>
          <w:sz w:val="28"/>
          <w:szCs w:val="28"/>
          <w:rtl/>
        </w:rPr>
        <w:t>يلي.</w:t>
      </w:r>
    </w:p>
  </w:endnote>
  <w:endnote w:id="923">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378.</w:t>
      </w:r>
    </w:p>
  </w:endnote>
  <w:endnote w:id="924">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381.</w:t>
      </w:r>
    </w:p>
  </w:endnote>
  <w:endnote w:id="925">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 w:val="28"/>
          <w:szCs w:val="28"/>
          <w:rtl/>
        </w:rPr>
        <w:t>نذكر هنا بأهم</w:t>
      </w:r>
      <w:r w:rsidRPr="006571AC">
        <w:rPr>
          <w:rFonts w:cs="DanaFajr" w:hint="cs"/>
          <w:sz w:val="28"/>
          <w:szCs w:val="28"/>
          <w:rtl/>
        </w:rPr>
        <w:t>ّ</w:t>
      </w:r>
      <w:r w:rsidRPr="006571AC">
        <w:rPr>
          <w:rFonts w:cs="DanaFajr"/>
          <w:sz w:val="28"/>
          <w:szCs w:val="28"/>
          <w:rtl/>
        </w:rPr>
        <w:t xml:space="preserve"> المراجع: ماكس فيب</w:t>
      </w:r>
      <w:r w:rsidRPr="006571AC">
        <w:rPr>
          <w:rFonts w:cs="DanaFajr" w:hint="cs"/>
          <w:sz w:val="28"/>
          <w:szCs w:val="28"/>
          <w:rtl/>
        </w:rPr>
        <w:t>ر،</w:t>
      </w:r>
      <w:r w:rsidRPr="006571AC">
        <w:rPr>
          <w:sz w:val="10"/>
          <w:szCs w:val="10"/>
          <w:rtl/>
        </w:rPr>
        <w:t xml:space="preserve"> </w:t>
      </w:r>
      <w:r w:rsidRPr="006571AC">
        <w:rPr>
          <w:rFonts w:cs="DanaFajr"/>
          <w:sz w:val="28"/>
          <w:szCs w:val="28"/>
          <w:rtl/>
        </w:rPr>
        <w:t>كتابات حول نظرية العلم</w:t>
      </w:r>
      <w:r w:rsidRPr="006571AC">
        <w:rPr>
          <w:rFonts w:cs="DanaFajr" w:hint="cs"/>
          <w:sz w:val="28"/>
          <w:szCs w:val="28"/>
          <w:rtl/>
        </w:rPr>
        <w:t xml:space="preserve">؛ </w:t>
      </w:r>
      <w:r w:rsidRPr="006571AC">
        <w:rPr>
          <w:rFonts w:cs="DanaFajr"/>
          <w:szCs w:val="28"/>
          <w:rtl/>
        </w:rPr>
        <w:t>جوليان فرويند</w:t>
      </w:r>
      <w:r w:rsidRPr="006571AC">
        <w:rPr>
          <w:rFonts w:cs="DanaFajr" w:hint="cs"/>
          <w:szCs w:val="28"/>
          <w:rtl/>
        </w:rPr>
        <w:t xml:space="preserve">، </w:t>
      </w:r>
      <w:r w:rsidRPr="006571AC">
        <w:rPr>
          <w:rFonts w:cs="DanaFajr"/>
          <w:szCs w:val="28"/>
          <w:rtl/>
        </w:rPr>
        <w:t xml:space="preserve">العلم الاجتماعي عند ماكس فيبر، المطابع الجامعية الفرنسية </w:t>
      </w:r>
      <w:r w:rsidRPr="006571AC">
        <w:rPr>
          <w:rFonts w:cs="DanaFajr"/>
          <w:szCs w:val="28"/>
        </w:rPr>
        <w:t>PUF</w:t>
      </w:r>
      <w:r w:rsidRPr="006571AC">
        <w:rPr>
          <w:rFonts w:cs="DanaFajr" w:hint="cs"/>
          <w:szCs w:val="28"/>
          <w:rtl/>
        </w:rPr>
        <w:t>،</w:t>
      </w:r>
      <w:r w:rsidRPr="006571AC">
        <w:rPr>
          <w:rFonts w:cs="DanaFajr"/>
          <w:szCs w:val="28"/>
          <w:rtl/>
        </w:rPr>
        <w:t xml:space="preserve"> باريس، </w:t>
      </w:r>
      <w:r w:rsidRPr="006571AC">
        <w:rPr>
          <w:rFonts w:cs="DanaFajr" w:hint="cs"/>
          <w:szCs w:val="28"/>
          <w:rtl/>
        </w:rPr>
        <w:t>1966.</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w:t>
      </w:r>
      <w:r w:rsidRPr="006571AC">
        <w:rPr>
          <w:rFonts w:cs="DanaFajr"/>
          <w:szCs w:val="28"/>
          <w:rtl/>
        </w:rPr>
        <w:t xml:space="preserve"> </w:t>
      </w:r>
      <w:r w:rsidRPr="006571AC">
        <w:rPr>
          <w:rFonts w:asciiTheme="majorBidi" w:hAnsiTheme="majorBidi" w:cstheme="majorBidi"/>
          <w:szCs w:val="28"/>
        </w:rPr>
        <w:t>La Sociologie de Max Weber</w:t>
      </w:r>
      <w:r w:rsidRPr="006571AC">
        <w:rPr>
          <w:rFonts w:cs="DanaFajr" w:hint="cs"/>
          <w:sz w:val="28"/>
          <w:szCs w:val="28"/>
          <w:rtl/>
        </w:rPr>
        <w:t xml:space="preserve">؛ </w:t>
      </w:r>
      <w:r w:rsidRPr="006571AC">
        <w:rPr>
          <w:rFonts w:cs="DanaFajr"/>
          <w:szCs w:val="28"/>
          <w:rtl/>
        </w:rPr>
        <w:t>رايموند آرون</w:t>
      </w:r>
      <w:r w:rsidRPr="006571AC">
        <w:rPr>
          <w:rFonts w:cs="DanaFajr" w:hint="cs"/>
          <w:szCs w:val="28"/>
          <w:rtl/>
        </w:rPr>
        <w:t xml:space="preserve">، </w:t>
      </w:r>
      <w:r w:rsidRPr="006571AC">
        <w:rPr>
          <w:rFonts w:cs="DanaFajr"/>
          <w:szCs w:val="28"/>
          <w:rtl/>
        </w:rPr>
        <w:t>مراحل تطو</w:t>
      </w:r>
      <w:r w:rsidRPr="006571AC">
        <w:rPr>
          <w:rFonts w:cs="DanaFajr" w:hint="cs"/>
          <w:szCs w:val="28"/>
          <w:rtl/>
        </w:rPr>
        <w:t>ُّ</w:t>
      </w:r>
      <w:r w:rsidRPr="006571AC">
        <w:rPr>
          <w:rFonts w:cs="DanaFajr"/>
          <w:szCs w:val="28"/>
          <w:rtl/>
        </w:rPr>
        <w:t>ر الفكر الاجتماعي</w:t>
      </w:r>
      <w:r w:rsidRPr="006571AC">
        <w:rPr>
          <w:rFonts w:cs="DanaFajr" w:hint="cs"/>
          <w:szCs w:val="28"/>
          <w:rtl/>
        </w:rPr>
        <w:t>،</w:t>
      </w:r>
      <w:r w:rsidRPr="006571AC">
        <w:rPr>
          <w:rFonts w:cs="DanaFajr"/>
          <w:szCs w:val="28"/>
          <w:rtl/>
        </w:rPr>
        <w:t xml:space="preserve"> غاليمارد </w:t>
      </w:r>
      <w:r w:rsidRPr="006571AC">
        <w:rPr>
          <w:rFonts w:asciiTheme="majorBidi" w:hAnsiTheme="majorBidi" w:cstheme="majorBidi"/>
          <w:szCs w:val="28"/>
        </w:rPr>
        <w:t>Gallimard</w:t>
      </w:r>
      <w:r w:rsidRPr="006571AC">
        <w:rPr>
          <w:rFonts w:cs="DanaFajr"/>
          <w:szCs w:val="28"/>
          <w:rtl/>
        </w:rPr>
        <w:t xml:space="preserve">، باريس، </w:t>
      </w:r>
      <w:r w:rsidRPr="006571AC">
        <w:rPr>
          <w:rFonts w:cs="DanaFajr" w:hint="cs"/>
          <w:szCs w:val="28"/>
          <w:rtl/>
        </w:rPr>
        <w:t>1965.</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 xml:space="preserve">: </w:t>
      </w:r>
      <w:r w:rsidRPr="006571AC">
        <w:rPr>
          <w:rFonts w:asciiTheme="majorBidi" w:hAnsiTheme="majorBidi" w:cstheme="majorBidi"/>
          <w:szCs w:val="28"/>
        </w:rPr>
        <w:t>Les Etapes de la Pensée Sociologique</w:t>
      </w:r>
      <w:r w:rsidRPr="006571AC">
        <w:rPr>
          <w:rFonts w:cs="DanaFajr" w:hint="cs"/>
          <w:sz w:val="28"/>
          <w:szCs w:val="28"/>
          <w:rtl/>
        </w:rPr>
        <w:t xml:space="preserve">؛ محمد باقر الصدر، اقتصادنا. </w:t>
      </w:r>
      <w:r w:rsidRPr="006571AC">
        <w:rPr>
          <w:rFonts w:cs="DanaFajr"/>
          <w:sz w:val="28"/>
          <w:szCs w:val="28"/>
          <w:rtl/>
        </w:rPr>
        <w:t>راجع المصادر المذكورة في الفقرة التالية أيضا</w:t>
      </w:r>
      <w:r w:rsidRPr="006571AC">
        <w:rPr>
          <w:rFonts w:cs="DanaFajr" w:hint="cs"/>
          <w:sz w:val="28"/>
          <w:szCs w:val="28"/>
          <w:rtl/>
        </w:rPr>
        <w:t>ً</w:t>
      </w:r>
      <w:r w:rsidRPr="006571AC">
        <w:rPr>
          <w:rFonts w:cs="DanaFajr"/>
          <w:sz w:val="28"/>
          <w:szCs w:val="28"/>
          <w:rtl/>
        </w:rPr>
        <w:t>، خصوصا</w:t>
      </w:r>
      <w:r w:rsidRPr="006571AC">
        <w:rPr>
          <w:rFonts w:cs="DanaFajr" w:hint="cs"/>
          <w:sz w:val="28"/>
          <w:szCs w:val="28"/>
          <w:rtl/>
        </w:rPr>
        <w:t>ً</w:t>
      </w:r>
      <w:r w:rsidRPr="006571AC">
        <w:rPr>
          <w:rFonts w:cs="DanaFajr"/>
          <w:sz w:val="28"/>
          <w:szCs w:val="28"/>
          <w:rtl/>
        </w:rPr>
        <w:t>: فيليب راينو</w:t>
      </w:r>
      <w:r w:rsidRPr="006571AC">
        <w:rPr>
          <w:rFonts w:cs="DanaFajr" w:hint="cs"/>
          <w:sz w:val="28"/>
          <w:szCs w:val="28"/>
          <w:rtl/>
        </w:rPr>
        <w:t xml:space="preserve">، </w:t>
      </w:r>
      <w:r w:rsidRPr="006571AC">
        <w:rPr>
          <w:rFonts w:cs="DanaFajr"/>
          <w:sz w:val="28"/>
          <w:szCs w:val="28"/>
          <w:rtl/>
        </w:rPr>
        <w:t xml:space="preserve">ماكس فيبر ومفارقات العقل الحديث، ترجمة وتقديم: محمد جديدي، منشورات الاختلاف، مشروع كلمة للترجمة، </w:t>
      </w:r>
      <w:r w:rsidRPr="006571AC">
        <w:rPr>
          <w:rFonts w:cs="DanaFajr" w:hint="cs"/>
          <w:sz w:val="28"/>
          <w:szCs w:val="28"/>
          <w:rtl/>
        </w:rPr>
        <w:t xml:space="preserve">2009؛ </w:t>
      </w:r>
      <w:r w:rsidRPr="006571AC">
        <w:rPr>
          <w:rFonts w:cs="DanaFajr"/>
          <w:sz w:val="28"/>
          <w:szCs w:val="28"/>
          <w:rtl/>
        </w:rPr>
        <w:t>ريتشارد سويدبرغ</w:t>
      </w:r>
      <w:r w:rsidRPr="006571AC">
        <w:rPr>
          <w:rFonts w:cs="DanaFajr" w:hint="cs"/>
          <w:sz w:val="28"/>
          <w:szCs w:val="28"/>
          <w:rtl/>
        </w:rPr>
        <w:t>، كيف</w:t>
      </w:r>
      <w:r w:rsidRPr="006571AC">
        <w:rPr>
          <w:rFonts w:cs="DanaFajr"/>
          <w:sz w:val="28"/>
          <w:szCs w:val="28"/>
          <w:rtl/>
        </w:rPr>
        <w:t xml:space="preserve"> </w:t>
      </w:r>
      <w:r w:rsidRPr="006571AC">
        <w:rPr>
          <w:rFonts w:cs="DanaFajr" w:hint="cs"/>
          <w:sz w:val="28"/>
          <w:szCs w:val="28"/>
          <w:rtl/>
        </w:rPr>
        <w:t>نستعمل</w:t>
      </w:r>
      <w:r w:rsidRPr="006571AC">
        <w:rPr>
          <w:rFonts w:cs="DanaFajr"/>
          <w:sz w:val="28"/>
          <w:szCs w:val="28"/>
          <w:rtl/>
        </w:rPr>
        <w:t xml:space="preserve"> </w:t>
      </w:r>
      <w:r w:rsidRPr="006571AC">
        <w:rPr>
          <w:rFonts w:cs="DanaFajr" w:hint="cs"/>
          <w:sz w:val="28"/>
          <w:szCs w:val="28"/>
          <w:rtl/>
        </w:rPr>
        <w:t>النموذج</w:t>
      </w:r>
      <w:r w:rsidRPr="006571AC">
        <w:rPr>
          <w:rFonts w:cs="DanaFajr"/>
          <w:sz w:val="28"/>
          <w:szCs w:val="28"/>
          <w:rtl/>
        </w:rPr>
        <w:t xml:space="preserve"> ـ </w:t>
      </w:r>
      <w:r w:rsidRPr="006571AC">
        <w:rPr>
          <w:rFonts w:cs="DanaFajr" w:hint="cs"/>
          <w:sz w:val="28"/>
          <w:szCs w:val="28"/>
          <w:rtl/>
        </w:rPr>
        <w:t>المثالي</w:t>
      </w:r>
      <w:r w:rsidRPr="006571AC">
        <w:rPr>
          <w:rFonts w:cs="DanaFajr"/>
          <w:sz w:val="28"/>
          <w:szCs w:val="28"/>
          <w:rtl/>
        </w:rPr>
        <w:t xml:space="preserve"> </w:t>
      </w:r>
      <w:r w:rsidRPr="006571AC">
        <w:rPr>
          <w:rFonts w:cs="DanaFajr" w:hint="cs"/>
          <w:sz w:val="28"/>
          <w:szCs w:val="28"/>
          <w:rtl/>
        </w:rPr>
        <w:t>لماكس</w:t>
      </w:r>
      <w:r w:rsidRPr="006571AC">
        <w:rPr>
          <w:rFonts w:cs="DanaFajr"/>
          <w:sz w:val="28"/>
          <w:szCs w:val="28"/>
          <w:rtl/>
        </w:rPr>
        <w:t xml:space="preserve"> </w:t>
      </w:r>
      <w:r w:rsidRPr="006571AC">
        <w:rPr>
          <w:rFonts w:cs="DanaFajr" w:hint="cs"/>
          <w:sz w:val="28"/>
          <w:szCs w:val="28"/>
          <w:rtl/>
        </w:rPr>
        <w:t>فيبر</w:t>
      </w:r>
      <w:r w:rsidRPr="006571AC">
        <w:rPr>
          <w:rFonts w:cs="DanaFajr"/>
          <w:sz w:val="28"/>
          <w:szCs w:val="28"/>
          <w:rtl/>
        </w:rPr>
        <w:t xml:space="preserve"> </w:t>
      </w:r>
      <w:r w:rsidRPr="006571AC">
        <w:rPr>
          <w:rFonts w:cs="DanaFajr" w:hint="cs"/>
          <w:sz w:val="28"/>
          <w:szCs w:val="28"/>
          <w:rtl/>
        </w:rPr>
        <w:t>في</w:t>
      </w:r>
      <w:r w:rsidRPr="006571AC">
        <w:rPr>
          <w:rFonts w:cs="DanaFajr"/>
          <w:sz w:val="28"/>
          <w:szCs w:val="28"/>
          <w:rtl/>
        </w:rPr>
        <w:t xml:space="preserve"> </w:t>
      </w:r>
      <w:r w:rsidRPr="006571AC">
        <w:rPr>
          <w:rFonts w:cs="DanaFajr" w:hint="cs"/>
          <w:sz w:val="28"/>
          <w:szCs w:val="28"/>
          <w:rtl/>
        </w:rPr>
        <w:t>التحليل</w:t>
      </w:r>
      <w:r w:rsidRPr="006571AC">
        <w:rPr>
          <w:rFonts w:cs="DanaFajr"/>
          <w:sz w:val="28"/>
          <w:szCs w:val="28"/>
          <w:rtl/>
        </w:rPr>
        <w:t xml:space="preserve"> </w:t>
      </w:r>
      <w:r w:rsidRPr="006571AC">
        <w:rPr>
          <w:rFonts w:cs="DanaFajr" w:hint="cs"/>
          <w:sz w:val="28"/>
          <w:szCs w:val="28"/>
          <w:rtl/>
        </w:rPr>
        <w:t>الاجتماعي؟،</w:t>
      </w:r>
      <w:r w:rsidRPr="006571AC">
        <w:rPr>
          <w:rFonts w:cs="DanaFajr"/>
          <w:sz w:val="28"/>
          <w:szCs w:val="28"/>
          <w:rtl/>
        </w:rPr>
        <w:t xml:space="preserve"> مجلة التحليل الاجتماعي، </w:t>
      </w:r>
      <w:r w:rsidRPr="006571AC">
        <w:rPr>
          <w:rFonts w:cs="DanaFajr" w:hint="cs"/>
          <w:sz w:val="28"/>
          <w:szCs w:val="28"/>
          <w:rtl/>
        </w:rPr>
        <w:t>المجلّد 18، العدد</w:t>
      </w:r>
      <w:r w:rsidRPr="006571AC">
        <w:rPr>
          <w:rFonts w:cs="DanaFajr"/>
          <w:sz w:val="28"/>
          <w:szCs w:val="28"/>
          <w:rtl/>
        </w:rPr>
        <w:t xml:space="preserve"> </w:t>
      </w:r>
      <w:r w:rsidRPr="006571AC">
        <w:rPr>
          <w:rFonts w:cs="DanaFajr" w:hint="cs"/>
          <w:sz w:val="28"/>
          <w:szCs w:val="28"/>
          <w:rtl/>
        </w:rPr>
        <w:t>3:</w:t>
      </w:r>
      <w:r w:rsidRPr="006571AC">
        <w:rPr>
          <w:rFonts w:cs="DanaFajr"/>
          <w:sz w:val="28"/>
          <w:szCs w:val="28"/>
          <w:rtl/>
        </w:rPr>
        <w:t xml:space="preserve"> </w:t>
      </w:r>
      <w:r w:rsidRPr="006571AC">
        <w:rPr>
          <w:rFonts w:cs="DanaFajr" w:hint="cs"/>
          <w:sz w:val="28"/>
          <w:szCs w:val="28"/>
          <w:rtl/>
        </w:rPr>
        <w:t>181</w:t>
      </w:r>
      <w:r w:rsidRPr="006571AC">
        <w:rPr>
          <w:rFonts w:cs="DanaFajr"/>
          <w:sz w:val="28"/>
          <w:szCs w:val="28"/>
          <w:rtl/>
        </w:rPr>
        <w:t xml:space="preserve"> ـ </w:t>
      </w:r>
      <w:r w:rsidRPr="006571AC">
        <w:rPr>
          <w:rFonts w:cs="DanaFajr" w:hint="cs"/>
          <w:sz w:val="28"/>
          <w:szCs w:val="28"/>
          <w:rtl/>
        </w:rPr>
        <w:t>196</w:t>
      </w:r>
      <w:r w:rsidRPr="006571AC">
        <w:rPr>
          <w:rFonts w:cs="DanaFajr"/>
          <w:sz w:val="28"/>
          <w:szCs w:val="28"/>
          <w:rtl/>
        </w:rPr>
        <w:t xml:space="preserve">، </w:t>
      </w:r>
      <w:r w:rsidRPr="006571AC">
        <w:rPr>
          <w:rFonts w:cs="DanaFajr" w:hint="cs"/>
          <w:sz w:val="28"/>
          <w:szCs w:val="28"/>
          <w:rtl/>
        </w:rPr>
        <w:t>2018.</w:t>
      </w:r>
    </w:p>
  </w:endnote>
  <w:endnote w:id="926">
    <w:p w:rsidR="00DB2356" w:rsidRPr="006571AC" w:rsidRDefault="00DB2356" w:rsidP="0024500D">
      <w:pPr>
        <w:pStyle w:val="aa"/>
        <w:spacing w:line="306" w:lineRule="exact"/>
        <w:ind w:firstLine="0"/>
        <w:rPr>
          <w:rFonts w:cs="DanaFajr"/>
          <w:sz w:val="28"/>
          <w:szCs w:val="28"/>
          <w:rtl/>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 w:val="28"/>
          <w:szCs w:val="28"/>
          <w:rtl/>
        </w:rPr>
        <w:t xml:space="preserve">راجع النقاط الثلاثة الأساسية: </w:t>
      </w:r>
      <w:r w:rsidRPr="006571AC">
        <w:rPr>
          <w:rFonts w:cs="DanaFajr" w:hint="cs"/>
          <w:sz w:val="28"/>
          <w:szCs w:val="28"/>
          <w:rtl/>
        </w:rPr>
        <w:t>1ـ</w:t>
      </w:r>
      <w:r w:rsidRPr="006571AC">
        <w:rPr>
          <w:rFonts w:cs="DanaFajr"/>
          <w:sz w:val="28"/>
          <w:szCs w:val="28"/>
          <w:rtl/>
        </w:rPr>
        <w:t xml:space="preserve"> </w:t>
      </w:r>
      <w:r w:rsidRPr="006571AC">
        <w:rPr>
          <w:rFonts w:cs="DanaFajr" w:hint="cs"/>
          <w:sz w:val="28"/>
          <w:szCs w:val="28"/>
          <w:rtl/>
        </w:rPr>
        <w:t>المعطيات</w:t>
      </w:r>
      <w:r w:rsidRPr="006571AC">
        <w:rPr>
          <w:rFonts w:cs="DanaFajr"/>
          <w:sz w:val="28"/>
          <w:szCs w:val="28"/>
          <w:rtl/>
        </w:rPr>
        <w:t xml:space="preserve"> </w:t>
      </w:r>
      <w:r w:rsidRPr="006571AC">
        <w:rPr>
          <w:rFonts w:cs="DanaFajr" w:hint="cs"/>
          <w:sz w:val="28"/>
          <w:szCs w:val="28"/>
          <w:rtl/>
        </w:rPr>
        <w:t>ذات</w:t>
      </w:r>
      <w:r w:rsidRPr="006571AC">
        <w:rPr>
          <w:rFonts w:cs="DanaFajr"/>
          <w:sz w:val="28"/>
          <w:szCs w:val="28"/>
          <w:rtl/>
        </w:rPr>
        <w:t xml:space="preserve"> </w:t>
      </w:r>
      <w:r w:rsidRPr="006571AC">
        <w:rPr>
          <w:rFonts w:cs="DanaFajr" w:hint="cs"/>
          <w:sz w:val="28"/>
          <w:szCs w:val="28"/>
          <w:rtl/>
        </w:rPr>
        <w:t>الطابع</w:t>
      </w:r>
      <w:r w:rsidRPr="006571AC">
        <w:rPr>
          <w:rFonts w:cs="DanaFajr"/>
          <w:sz w:val="28"/>
          <w:szCs w:val="28"/>
          <w:rtl/>
        </w:rPr>
        <w:t xml:space="preserve"> </w:t>
      </w:r>
      <w:r w:rsidRPr="006571AC">
        <w:rPr>
          <w:rFonts w:cs="DanaFajr" w:hint="cs"/>
          <w:sz w:val="28"/>
          <w:szCs w:val="28"/>
          <w:rtl/>
        </w:rPr>
        <w:t>المقدَّس</w:t>
      </w:r>
      <w:r w:rsidRPr="006571AC">
        <w:rPr>
          <w:rFonts w:cs="DanaFajr"/>
          <w:sz w:val="28"/>
          <w:szCs w:val="28"/>
          <w:rtl/>
        </w:rPr>
        <w:t xml:space="preserve"> </w:t>
      </w:r>
      <w:r w:rsidRPr="006571AC">
        <w:rPr>
          <w:rFonts w:cs="DanaFajr" w:hint="cs"/>
          <w:sz w:val="28"/>
          <w:szCs w:val="28"/>
          <w:rtl/>
        </w:rPr>
        <w:t>أو</w:t>
      </w:r>
      <w:r w:rsidRPr="006571AC">
        <w:rPr>
          <w:rFonts w:cs="DanaFajr"/>
          <w:sz w:val="28"/>
          <w:szCs w:val="28"/>
          <w:rtl/>
        </w:rPr>
        <w:t xml:space="preserve"> </w:t>
      </w:r>
      <w:r w:rsidRPr="006571AC">
        <w:rPr>
          <w:rFonts w:cs="DanaFajr" w:hint="cs"/>
          <w:sz w:val="28"/>
          <w:szCs w:val="28"/>
          <w:rtl/>
        </w:rPr>
        <w:t>ا</w:t>
      </w:r>
      <w:r w:rsidRPr="006571AC">
        <w:rPr>
          <w:rFonts w:cs="DanaFajr"/>
          <w:sz w:val="28"/>
          <w:szCs w:val="28"/>
          <w:rtl/>
        </w:rPr>
        <w:t>لقريبة من المقد</w:t>
      </w:r>
      <w:r w:rsidRPr="006571AC">
        <w:rPr>
          <w:rFonts w:cs="DanaFajr" w:hint="cs"/>
          <w:sz w:val="28"/>
          <w:szCs w:val="28"/>
          <w:rtl/>
        </w:rPr>
        <w:t>َّ</w:t>
      </w:r>
      <w:r w:rsidRPr="006571AC">
        <w:rPr>
          <w:rFonts w:cs="DanaFajr"/>
          <w:sz w:val="28"/>
          <w:szCs w:val="28"/>
          <w:rtl/>
        </w:rPr>
        <w:t>س؛</w:t>
      </w:r>
      <w:r w:rsidRPr="006571AC">
        <w:rPr>
          <w:rFonts w:cs="DanaFajr" w:hint="cs"/>
          <w:sz w:val="28"/>
          <w:szCs w:val="28"/>
          <w:rtl/>
        </w:rPr>
        <w:t xml:space="preserve">       2ـ</w:t>
      </w:r>
      <w:r w:rsidRPr="006571AC">
        <w:rPr>
          <w:rFonts w:cs="DanaFajr"/>
          <w:sz w:val="28"/>
          <w:szCs w:val="28"/>
          <w:rtl/>
        </w:rPr>
        <w:t xml:space="preserve"> </w:t>
      </w:r>
      <w:r w:rsidRPr="006571AC">
        <w:rPr>
          <w:rFonts w:cs="DanaFajr" w:hint="cs"/>
          <w:sz w:val="28"/>
          <w:szCs w:val="28"/>
          <w:rtl/>
        </w:rPr>
        <w:t>منهجية</w:t>
      </w:r>
      <w:r w:rsidRPr="006571AC">
        <w:rPr>
          <w:rFonts w:cs="DanaFajr"/>
          <w:sz w:val="28"/>
          <w:szCs w:val="28"/>
          <w:rtl/>
        </w:rPr>
        <w:t xml:space="preserve"> </w:t>
      </w:r>
      <w:r w:rsidRPr="006571AC">
        <w:rPr>
          <w:rFonts w:cs="DanaFajr" w:hint="cs"/>
          <w:sz w:val="28"/>
          <w:szCs w:val="28"/>
          <w:rtl/>
        </w:rPr>
        <w:t>الطبقات</w:t>
      </w:r>
      <w:r w:rsidRPr="006571AC">
        <w:rPr>
          <w:rFonts w:cs="DanaFajr"/>
          <w:sz w:val="28"/>
          <w:szCs w:val="28"/>
          <w:rtl/>
        </w:rPr>
        <w:t xml:space="preserve"> </w:t>
      </w:r>
      <w:r w:rsidRPr="006571AC">
        <w:rPr>
          <w:rFonts w:cs="DanaFajr" w:hint="cs"/>
          <w:sz w:val="28"/>
          <w:szCs w:val="28"/>
          <w:rtl/>
        </w:rPr>
        <w:t>التي</w:t>
      </w:r>
      <w:r w:rsidRPr="006571AC">
        <w:rPr>
          <w:rFonts w:cs="DanaFajr"/>
          <w:sz w:val="28"/>
          <w:szCs w:val="28"/>
          <w:rtl/>
        </w:rPr>
        <w:t xml:space="preserve"> </w:t>
      </w:r>
      <w:r w:rsidRPr="006571AC">
        <w:rPr>
          <w:rFonts w:cs="DanaFajr" w:hint="cs"/>
          <w:sz w:val="28"/>
          <w:szCs w:val="28"/>
          <w:rtl/>
        </w:rPr>
        <w:t>تحمل</w:t>
      </w:r>
      <w:r w:rsidRPr="006571AC">
        <w:rPr>
          <w:rFonts w:cs="DanaFajr"/>
          <w:sz w:val="28"/>
          <w:szCs w:val="28"/>
          <w:rtl/>
        </w:rPr>
        <w:t xml:space="preserve"> </w:t>
      </w:r>
      <w:r w:rsidRPr="006571AC">
        <w:rPr>
          <w:rFonts w:cs="DanaFajr" w:hint="cs"/>
          <w:sz w:val="28"/>
          <w:szCs w:val="28"/>
          <w:rtl/>
        </w:rPr>
        <w:t>في</w:t>
      </w:r>
      <w:r w:rsidRPr="006571AC">
        <w:rPr>
          <w:rFonts w:cs="DanaFajr"/>
          <w:sz w:val="28"/>
          <w:szCs w:val="28"/>
          <w:rtl/>
        </w:rPr>
        <w:t xml:space="preserve"> </w:t>
      </w:r>
      <w:r w:rsidRPr="006571AC">
        <w:rPr>
          <w:rFonts w:cs="DanaFajr" w:hint="cs"/>
          <w:sz w:val="28"/>
          <w:szCs w:val="28"/>
          <w:rtl/>
        </w:rPr>
        <w:t>طيّاتها</w:t>
      </w:r>
      <w:r w:rsidRPr="006571AC">
        <w:rPr>
          <w:rFonts w:cs="DanaFajr"/>
          <w:sz w:val="28"/>
          <w:szCs w:val="28"/>
          <w:rtl/>
        </w:rPr>
        <w:t xml:space="preserve"> </w:t>
      </w:r>
      <w:r w:rsidRPr="006571AC">
        <w:rPr>
          <w:rFonts w:cs="DanaFajr" w:hint="cs"/>
          <w:sz w:val="28"/>
          <w:szCs w:val="28"/>
          <w:rtl/>
        </w:rPr>
        <w:t>عنصر</w:t>
      </w:r>
      <w:r w:rsidRPr="006571AC">
        <w:rPr>
          <w:rFonts w:cs="DanaFajr"/>
          <w:sz w:val="28"/>
          <w:szCs w:val="28"/>
          <w:rtl/>
        </w:rPr>
        <w:t xml:space="preserve"> </w:t>
      </w:r>
      <w:r w:rsidRPr="006571AC">
        <w:rPr>
          <w:rFonts w:cs="DanaFajr" w:hint="cs"/>
          <w:sz w:val="28"/>
          <w:szCs w:val="28"/>
          <w:rtl/>
        </w:rPr>
        <w:t>الفَهْم</w:t>
      </w:r>
      <w:r w:rsidRPr="006571AC">
        <w:rPr>
          <w:rFonts w:cs="DanaFajr"/>
          <w:sz w:val="28"/>
          <w:szCs w:val="28"/>
          <w:rtl/>
        </w:rPr>
        <w:t xml:space="preserve"> </w:t>
      </w:r>
      <w:r w:rsidRPr="006571AC">
        <w:rPr>
          <w:rFonts w:cs="DanaFajr" w:hint="cs"/>
          <w:sz w:val="28"/>
          <w:szCs w:val="28"/>
          <w:rtl/>
        </w:rPr>
        <w:t>والتأويل</w:t>
      </w:r>
      <w:r w:rsidRPr="006571AC">
        <w:rPr>
          <w:rFonts w:cs="DanaFajr"/>
          <w:sz w:val="28"/>
          <w:szCs w:val="28"/>
          <w:rtl/>
        </w:rPr>
        <w:t xml:space="preserve"> </w:t>
      </w:r>
      <w:r w:rsidRPr="006571AC">
        <w:rPr>
          <w:rFonts w:cs="DanaFajr" w:hint="cs"/>
          <w:sz w:val="28"/>
          <w:szCs w:val="28"/>
          <w:rtl/>
        </w:rPr>
        <w:t>بالمعنى</w:t>
      </w:r>
      <w:r w:rsidRPr="006571AC">
        <w:rPr>
          <w:rFonts w:cs="DanaFajr"/>
          <w:sz w:val="28"/>
          <w:szCs w:val="28"/>
          <w:rtl/>
        </w:rPr>
        <w:t xml:space="preserve"> </w:t>
      </w:r>
      <w:r w:rsidRPr="006571AC">
        <w:rPr>
          <w:rFonts w:cs="DanaFajr" w:hint="cs"/>
          <w:sz w:val="28"/>
          <w:szCs w:val="28"/>
          <w:rtl/>
        </w:rPr>
        <w:t>الفيبري؛ 3ـ</w:t>
      </w:r>
      <w:r w:rsidRPr="006571AC">
        <w:rPr>
          <w:rFonts w:cs="DanaFajr"/>
          <w:sz w:val="28"/>
          <w:szCs w:val="28"/>
          <w:rtl/>
        </w:rPr>
        <w:t xml:space="preserve"> </w:t>
      </w:r>
      <w:r w:rsidRPr="006571AC">
        <w:rPr>
          <w:rFonts w:cs="DanaFajr" w:hint="cs"/>
          <w:sz w:val="28"/>
          <w:szCs w:val="28"/>
          <w:rtl/>
        </w:rPr>
        <w:t>مفهوم</w:t>
      </w:r>
      <w:r w:rsidRPr="006571AC">
        <w:rPr>
          <w:rFonts w:cs="DanaFajr"/>
          <w:sz w:val="28"/>
          <w:szCs w:val="28"/>
          <w:rtl/>
        </w:rPr>
        <w:t xml:space="preserve"> </w:t>
      </w:r>
      <w:r w:rsidRPr="006571AC">
        <w:rPr>
          <w:rFonts w:cs="DanaFajr" w:hint="cs"/>
          <w:sz w:val="28"/>
          <w:szCs w:val="28"/>
          <w:rtl/>
        </w:rPr>
        <w:t>منطقة</w:t>
      </w:r>
      <w:r w:rsidRPr="006571AC">
        <w:rPr>
          <w:rFonts w:cs="DanaFajr"/>
          <w:sz w:val="28"/>
          <w:szCs w:val="28"/>
          <w:rtl/>
        </w:rPr>
        <w:t xml:space="preserve"> </w:t>
      </w:r>
      <w:r w:rsidRPr="006571AC">
        <w:rPr>
          <w:rFonts w:cs="DanaFajr" w:hint="cs"/>
          <w:sz w:val="28"/>
          <w:szCs w:val="28"/>
          <w:rtl/>
        </w:rPr>
        <w:t>الفراغ</w:t>
      </w:r>
      <w:r w:rsidRPr="006571AC">
        <w:rPr>
          <w:rFonts w:cs="DanaFajr"/>
          <w:sz w:val="28"/>
          <w:szCs w:val="28"/>
          <w:rtl/>
        </w:rPr>
        <w:t xml:space="preserve"> </w:t>
      </w:r>
      <w:r w:rsidRPr="006571AC">
        <w:rPr>
          <w:rFonts w:cs="DanaFajr" w:hint="cs"/>
          <w:sz w:val="28"/>
          <w:szCs w:val="28"/>
          <w:rtl/>
        </w:rPr>
        <w:t>الذي</w:t>
      </w:r>
      <w:r w:rsidRPr="006571AC">
        <w:rPr>
          <w:rFonts w:cs="DanaFajr"/>
          <w:sz w:val="28"/>
          <w:szCs w:val="28"/>
          <w:rtl/>
        </w:rPr>
        <w:t xml:space="preserve"> </w:t>
      </w:r>
      <w:r w:rsidRPr="006571AC">
        <w:rPr>
          <w:rFonts w:cs="DanaFajr" w:hint="cs"/>
          <w:sz w:val="28"/>
          <w:szCs w:val="28"/>
          <w:rtl/>
        </w:rPr>
        <w:t>يقود</w:t>
      </w:r>
      <w:r w:rsidRPr="006571AC">
        <w:rPr>
          <w:rFonts w:cs="DanaFajr"/>
          <w:sz w:val="28"/>
          <w:szCs w:val="28"/>
          <w:rtl/>
        </w:rPr>
        <w:t xml:space="preserve"> </w:t>
      </w:r>
      <w:r w:rsidRPr="006571AC">
        <w:rPr>
          <w:rFonts w:cs="DanaFajr" w:hint="cs"/>
          <w:sz w:val="28"/>
          <w:szCs w:val="28"/>
          <w:rtl/>
        </w:rPr>
        <w:t>حُكْماً</w:t>
      </w:r>
      <w:r w:rsidRPr="006571AC">
        <w:rPr>
          <w:rFonts w:cs="DanaFajr"/>
          <w:sz w:val="28"/>
          <w:szCs w:val="28"/>
          <w:rtl/>
        </w:rPr>
        <w:t xml:space="preserve"> </w:t>
      </w:r>
      <w:r w:rsidRPr="006571AC">
        <w:rPr>
          <w:rFonts w:cs="DanaFajr" w:hint="cs"/>
          <w:sz w:val="28"/>
          <w:szCs w:val="28"/>
          <w:rtl/>
        </w:rPr>
        <w:t>إلى</w:t>
      </w:r>
      <w:r w:rsidRPr="006571AC">
        <w:rPr>
          <w:rFonts w:cs="DanaFajr"/>
          <w:sz w:val="28"/>
          <w:szCs w:val="28"/>
          <w:rtl/>
        </w:rPr>
        <w:t xml:space="preserve"> </w:t>
      </w:r>
      <w:r w:rsidRPr="006571AC">
        <w:rPr>
          <w:rFonts w:cs="DanaFajr" w:hint="cs"/>
          <w:sz w:val="28"/>
          <w:szCs w:val="28"/>
          <w:rtl/>
        </w:rPr>
        <w:t>عالم</w:t>
      </w:r>
      <w:r w:rsidRPr="006571AC">
        <w:rPr>
          <w:rFonts w:cs="DanaFajr"/>
          <w:sz w:val="28"/>
          <w:szCs w:val="28"/>
          <w:rtl/>
        </w:rPr>
        <w:t xml:space="preserve"> </w:t>
      </w:r>
      <w:r w:rsidRPr="006571AC">
        <w:rPr>
          <w:rFonts w:cs="DanaFajr" w:hint="cs"/>
          <w:sz w:val="28"/>
          <w:szCs w:val="28"/>
          <w:rtl/>
        </w:rPr>
        <w:t>التأويل</w:t>
      </w:r>
      <w:r w:rsidRPr="006571AC">
        <w:rPr>
          <w:rFonts w:cs="DanaFajr"/>
          <w:sz w:val="28"/>
          <w:szCs w:val="28"/>
          <w:rtl/>
        </w:rPr>
        <w:t xml:space="preserve"> </w:t>
      </w:r>
      <w:r w:rsidRPr="006571AC">
        <w:rPr>
          <w:rFonts w:cs="DanaFajr" w:hint="cs"/>
          <w:sz w:val="28"/>
          <w:szCs w:val="28"/>
          <w:rtl/>
        </w:rPr>
        <w:t>المفاهيمي،</w:t>
      </w:r>
      <w:r w:rsidRPr="006571AC">
        <w:rPr>
          <w:rFonts w:cs="DanaFajr"/>
          <w:sz w:val="28"/>
          <w:szCs w:val="28"/>
          <w:rtl/>
        </w:rPr>
        <w:t xml:space="preserve"> </w:t>
      </w:r>
      <w:r w:rsidRPr="006571AC">
        <w:rPr>
          <w:rFonts w:cs="DanaFajr" w:hint="cs"/>
          <w:sz w:val="28"/>
          <w:szCs w:val="28"/>
          <w:rtl/>
        </w:rPr>
        <w:t>وبالتالي</w:t>
      </w:r>
      <w:r w:rsidRPr="006571AC">
        <w:rPr>
          <w:rFonts w:cs="DanaFajr"/>
          <w:sz w:val="28"/>
          <w:szCs w:val="28"/>
          <w:rtl/>
        </w:rPr>
        <w:t xml:space="preserve"> </w:t>
      </w:r>
      <w:r w:rsidRPr="006571AC">
        <w:rPr>
          <w:rFonts w:cs="DanaFajr" w:hint="cs"/>
          <w:sz w:val="28"/>
          <w:szCs w:val="28"/>
          <w:rtl/>
        </w:rPr>
        <w:t>إلى</w:t>
      </w:r>
      <w:r w:rsidRPr="006571AC">
        <w:rPr>
          <w:rFonts w:cs="DanaFajr"/>
          <w:sz w:val="28"/>
          <w:szCs w:val="28"/>
          <w:rtl/>
        </w:rPr>
        <w:t xml:space="preserve"> </w:t>
      </w:r>
      <w:r w:rsidRPr="006571AC">
        <w:rPr>
          <w:rFonts w:cs="DanaFajr" w:hint="cs"/>
          <w:sz w:val="28"/>
          <w:szCs w:val="28"/>
          <w:rtl/>
        </w:rPr>
        <w:t>فلسفة</w:t>
      </w:r>
      <w:r w:rsidRPr="006571AC">
        <w:rPr>
          <w:rFonts w:cs="DanaFajr"/>
          <w:sz w:val="28"/>
          <w:szCs w:val="28"/>
          <w:rtl/>
        </w:rPr>
        <w:t xml:space="preserve"> </w:t>
      </w:r>
      <w:r w:rsidRPr="006571AC">
        <w:rPr>
          <w:rFonts w:cs="DanaFajr" w:hint="cs"/>
          <w:sz w:val="28"/>
          <w:szCs w:val="28"/>
          <w:rtl/>
        </w:rPr>
        <w:t>بناء</w:t>
      </w:r>
      <w:r w:rsidRPr="006571AC">
        <w:rPr>
          <w:rFonts w:cs="DanaFajr"/>
          <w:sz w:val="28"/>
          <w:szCs w:val="28"/>
          <w:rtl/>
        </w:rPr>
        <w:t xml:space="preserve"> </w:t>
      </w:r>
      <w:r w:rsidRPr="006571AC">
        <w:rPr>
          <w:rFonts w:cs="DanaFajr" w:hint="cs"/>
          <w:sz w:val="28"/>
          <w:szCs w:val="28"/>
          <w:rtl/>
        </w:rPr>
        <w:t>المفاهيم</w:t>
      </w:r>
      <w:r w:rsidRPr="006571AC">
        <w:rPr>
          <w:rFonts w:cs="DanaFajr"/>
          <w:sz w:val="28"/>
          <w:szCs w:val="28"/>
          <w:rtl/>
        </w:rPr>
        <w:t xml:space="preserve"> </w:t>
      </w:r>
      <w:r w:rsidRPr="006571AC">
        <w:rPr>
          <w:rFonts w:cs="DanaFajr" w:hint="cs"/>
          <w:sz w:val="28"/>
          <w:szCs w:val="28"/>
          <w:rtl/>
        </w:rPr>
        <w:t>من</w:t>
      </w:r>
      <w:r w:rsidRPr="006571AC">
        <w:rPr>
          <w:rFonts w:cs="DanaFajr"/>
          <w:sz w:val="28"/>
          <w:szCs w:val="28"/>
          <w:rtl/>
        </w:rPr>
        <w:t xml:space="preserve"> </w:t>
      </w:r>
      <w:r w:rsidRPr="006571AC">
        <w:rPr>
          <w:rFonts w:cs="DanaFajr" w:hint="cs"/>
          <w:sz w:val="28"/>
          <w:szCs w:val="28"/>
          <w:rtl/>
        </w:rPr>
        <w:t>خلال</w:t>
      </w:r>
      <w:r w:rsidRPr="006571AC">
        <w:rPr>
          <w:rFonts w:cs="DanaFajr"/>
          <w:sz w:val="28"/>
          <w:szCs w:val="28"/>
          <w:rtl/>
        </w:rPr>
        <w:t xml:space="preserve"> </w:t>
      </w:r>
      <w:r w:rsidRPr="006571AC">
        <w:rPr>
          <w:rFonts w:cs="DanaFajr" w:hint="cs"/>
          <w:sz w:val="28"/>
          <w:szCs w:val="28"/>
          <w:rtl/>
        </w:rPr>
        <w:t>بناء</w:t>
      </w:r>
      <w:r w:rsidRPr="006571AC">
        <w:rPr>
          <w:rFonts w:cs="DanaFajr"/>
          <w:sz w:val="28"/>
          <w:szCs w:val="28"/>
          <w:rtl/>
        </w:rPr>
        <w:t xml:space="preserve"> </w:t>
      </w:r>
      <w:r w:rsidRPr="006571AC">
        <w:rPr>
          <w:rFonts w:hint="eastAsia"/>
          <w:sz w:val="22"/>
          <w:szCs w:val="22"/>
          <w:rtl/>
        </w:rPr>
        <w:t>«</w:t>
      </w:r>
      <w:r w:rsidRPr="006571AC">
        <w:rPr>
          <w:rFonts w:cs="DanaFajr" w:hint="cs"/>
          <w:sz w:val="28"/>
          <w:szCs w:val="28"/>
          <w:rtl/>
        </w:rPr>
        <w:t>النماذج</w:t>
      </w:r>
      <w:r w:rsidRPr="006571AC">
        <w:rPr>
          <w:rFonts w:cs="DanaFajr"/>
          <w:sz w:val="28"/>
          <w:szCs w:val="28"/>
          <w:rtl/>
        </w:rPr>
        <w:t xml:space="preserve"> ـ </w:t>
      </w:r>
      <w:r w:rsidRPr="006571AC">
        <w:rPr>
          <w:rFonts w:cs="DanaFajr" w:hint="cs"/>
          <w:sz w:val="28"/>
          <w:szCs w:val="28"/>
          <w:rtl/>
        </w:rPr>
        <w:t>المثالية</w:t>
      </w:r>
      <w:r w:rsidRPr="006571AC">
        <w:rPr>
          <w:rFonts w:hint="eastAsia"/>
          <w:sz w:val="22"/>
          <w:szCs w:val="22"/>
          <w:rtl/>
        </w:rPr>
        <w:t>»</w:t>
      </w:r>
      <w:r w:rsidRPr="006571AC">
        <w:rPr>
          <w:rFonts w:cs="DanaFajr" w:hint="cs"/>
          <w:sz w:val="28"/>
          <w:szCs w:val="28"/>
          <w:rtl/>
        </w:rPr>
        <w:t>.</w:t>
      </w:r>
    </w:p>
    <w:p w:rsidR="00DB2356" w:rsidRPr="006571AC" w:rsidRDefault="00DB2356" w:rsidP="0024500D">
      <w:pPr>
        <w:keepLines/>
        <w:pBdr>
          <w:top w:val="nil"/>
          <w:left w:val="nil"/>
          <w:bottom w:val="nil"/>
          <w:right w:val="nil"/>
          <w:between w:val="nil"/>
        </w:pBdr>
        <w:spacing w:line="306" w:lineRule="exact"/>
        <w:ind w:firstLine="0"/>
        <w:rPr>
          <w:rFonts w:cs="DanaFajr"/>
          <w:szCs w:val="28"/>
        </w:rPr>
      </w:pPr>
      <w:r w:rsidRPr="006571AC">
        <w:rPr>
          <w:rFonts w:cs="DanaFajr"/>
          <w:szCs w:val="28"/>
          <w:rtl/>
        </w:rPr>
        <w:t>إنّ أهم المراجع حول هذا الموضوع، خصوصا</w:t>
      </w:r>
      <w:r w:rsidRPr="006571AC">
        <w:rPr>
          <w:rFonts w:cs="DanaFajr" w:hint="cs"/>
          <w:szCs w:val="28"/>
          <w:rtl/>
        </w:rPr>
        <w:t>ً</w:t>
      </w:r>
      <w:r w:rsidRPr="006571AC">
        <w:rPr>
          <w:rFonts w:cs="DanaFajr"/>
          <w:szCs w:val="28"/>
          <w:rtl/>
        </w:rPr>
        <w:t xml:space="preserve"> في الثقافة الفرنسية، قد ق</w:t>
      </w:r>
      <w:r w:rsidRPr="006571AC">
        <w:rPr>
          <w:rFonts w:cs="DanaFajr" w:hint="cs"/>
          <w:szCs w:val="28"/>
          <w:rtl/>
        </w:rPr>
        <w:t>ُ</w:t>
      </w:r>
      <w:r w:rsidRPr="006571AC">
        <w:rPr>
          <w:rFonts w:cs="DanaFajr"/>
          <w:szCs w:val="28"/>
          <w:rtl/>
        </w:rPr>
        <w:t>دّ</w:t>
      </w:r>
      <w:r w:rsidRPr="006571AC">
        <w:rPr>
          <w:rFonts w:cs="DanaFajr" w:hint="cs"/>
          <w:szCs w:val="28"/>
          <w:rtl/>
        </w:rPr>
        <w:t>ِ</w:t>
      </w:r>
      <w:r w:rsidRPr="006571AC">
        <w:rPr>
          <w:rFonts w:cs="DanaFajr"/>
          <w:szCs w:val="28"/>
          <w:rtl/>
        </w:rPr>
        <w:t>م</w:t>
      </w:r>
      <w:r w:rsidRPr="006571AC">
        <w:rPr>
          <w:rFonts w:cs="DanaFajr" w:hint="cs"/>
          <w:szCs w:val="28"/>
          <w:rtl/>
        </w:rPr>
        <w:t>َ</w:t>
      </w:r>
      <w:r w:rsidRPr="006571AC">
        <w:rPr>
          <w:rFonts w:cs="DanaFajr"/>
          <w:szCs w:val="28"/>
          <w:rtl/>
        </w:rPr>
        <w:t>ت</w:t>
      </w:r>
      <w:r w:rsidRPr="006571AC">
        <w:rPr>
          <w:rFonts w:cs="DanaFajr" w:hint="cs"/>
          <w:szCs w:val="28"/>
          <w:rtl/>
        </w:rPr>
        <w:t>ْ</w:t>
      </w:r>
      <w:r w:rsidRPr="006571AC">
        <w:rPr>
          <w:rFonts w:cs="DanaFajr"/>
          <w:szCs w:val="28"/>
          <w:rtl/>
        </w:rPr>
        <w:t xml:space="preserve"> بلا ش</w:t>
      </w:r>
      <w:r w:rsidRPr="006571AC">
        <w:rPr>
          <w:rFonts w:cs="DanaFajr" w:hint="cs"/>
          <w:szCs w:val="28"/>
          <w:rtl/>
        </w:rPr>
        <w:t>َ</w:t>
      </w:r>
      <w:r w:rsidRPr="006571AC">
        <w:rPr>
          <w:rFonts w:cs="DanaFajr"/>
          <w:szCs w:val="28"/>
          <w:rtl/>
        </w:rPr>
        <w:t>ك</w:t>
      </w:r>
      <w:r w:rsidRPr="006571AC">
        <w:rPr>
          <w:rFonts w:cs="DanaFajr" w:hint="cs"/>
          <w:szCs w:val="28"/>
          <w:rtl/>
        </w:rPr>
        <w:t>ٍّ</w:t>
      </w:r>
      <w:r w:rsidRPr="006571AC">
        <w:rPr>
          <w:rFonts w:cs="DanaFajr"/>
          <w:szCs w:val="28"/>
          <w:rtl/>
        </w:rPr>
        <w:t xml:space="preserve"> من ق</w:t>
      </w:r>
      <w:r w:rsidRPr="006571AC">
        <w:rPr>
          <w:rFonts w:cs="DanaFajr" w:hint="cs"/>
          <w:szCs w:val="28"/>
          <w:rtl/>
        </w:rPr>
        <w:t>ِ</w:t>
      </w:r>
      <w:r w:rsidRPr="006571AC">
        <w:rPr>
          <w:rFonts w:cs="DanaFajr"/>
          <w:szCs w:val="28"/>
          <w:rtl/>
        </w:rPr>
        <w:t>ب</w:t>
      </w:r>
      <w:r w:rsidRPr="006571AC">
        <w:rPr>
          <w:rFonts w:cs="DanaFajr" w:hint="cs"/>
          <w:szCs w:val="28"/>
          <w:rtl/>
        </w:rPr>
        <w:t>َ</w:t>
      </w:r>
      <w:r w:rsidRPr="006571AC">
        <w:rPr>
          <w:rFonts w:cs="DanaFajr"/>
          <w:szCs w:val="28"/>
          <w:rtl/>
        </w:rPr>
        <w:t xml:space="preserve">ل: جوليان فرويند وريموند آرون. بالإضافة إلى المراجع المذكورة لفيبر وفرويند وآرون: </w:t>
      </w:r>
    </w:p>
    <w:p w:rsidR="00DB2356" w:rsidRPr="006571AC" w:rsidRDefault="00DB2356" w:rsidP="0024500D">
      <w:pPr>
        <w:keepLines/>
        <w:spacing w:line="306" w:lineRule="exact"/>
        <w:ind w:firstLine="0"/>
        <w:rPr>
          <w:rFonts w:cs="DanaFajr"/>
          <w:szCs w:val="28"/>
          <w:rtl/>
        </w:rPr>
      </w:pPr>
      <w:r w:rsidRPr="006571AC">
        <w:rPr>
          <w:rFonts w:cs="DanaFajr" w:hint="cs"/>
          <w:szCs w:val="28"/>
          <w:rtl/>
        </w:rPr>
        <w:t xml:space="preserve">ـ </w:t>
      </w:r>
      <w:r w:rsidRPr="006571AC">
        <w:rPr>
          <w:rFonts w:cs="DanaFajr"/>
          <w:szCs w:val="28"/>
          <w:rtl/>
        </w:rPr>
        <w:t xml:space="preserve">جوليان فريوند، دراسات حول ماكس فيبر، جينيف: مكتبة دروز </w:t>
      </w:r>
      <w:r w:rsidRPr="006571AC">
        <w:rPr>
          <w:rFonts w:asciiTheme="majorBidi" w:hAnsiTheme="majorBidi" w:cstheme="majorBidi"/>
          <w:sz w:val="20"/>
          <w:szCs w:val="20"/>
        </w:rPr>
        <w:t>Droz</w:t>
      </w:r>
      <w:r w:rsidRPr="006571AC">
        <w:rPr>
          <w:rFonts w:cs="DanaFajr"/>
          <w:szCs w:val="28"/>
          <w:rtl/>
        </w:rPr>
        <w:t xml:space="preserve">، </w:t>
      </w:r>
      <w:r w:rsidRPr="006571AC">
        <w:rPr>
          <w:rFonts w:cs="DanaFajr" w:hint="cs"/>
          <w:szCs w:val="28"/>
          <w:rtl/>
        </w:rPr>
        <w:t>1990. و</w:t>
      </w:r>
      <w:r w:rsidRPr="006571AC">
        <w:rPr>
          <w:rFonts w:cs="DanaFajr"/>
          <w:szCs w:val="28"/>
          <w:rtl/>
        </w:rPr>
        <w:t>بالفرنسية</w:t>
      </w:r>
      <w:r w:rsidRPr="006571AC">
        <w:rPr>
          <w:rFonts w:cs="DanaFajr" w:hint="cs"/>
          <w:szCs w:val="28"/>
          <w:rtl/>
        </w:rPr>
        <w:t xml:space="preserve">: </w:t>
      </w:r>
    </w:p>
    <w:p w:rsidR="00DB2356" w:rsidRPr="006571AC" w:rsidRDefault="00DB2356" w:rsidP="007B39CF">
      <w:pPr>
        <w:keepLines/>
        <w:bidi w:val="0"/>
        <w:spacing w:line="306" w:lineRule="exact"/>
        <w:ind w:firstLine="0"/>
        <w:rPr>
          <w:rFonts w:cs="DanaFajr"/>
          <w:szCs w:val="28"/>
        </w:rPr>
      </w:pPr>
      <w:r w:rsidRPr="006571AC">
        <w:rPr>
          <w:rFonts w:asciiTheme="majorBidi" w:hAnsiTheme="majorBidi" w:cstheme="majorBidi"/>
          <w:sz w:val="20"/>
          <w:szCs w:val="20"/>
        </w:rPr>
        <w:t>Etudes sur Max Weber.</w:t>
      </w:r>
      <w:r w:rsidRPr="006571AC">
        <w:rPr>
          <w:rFonts w:cs="DanaFajr"/>
          <w:szCs w:val="28"/>
          <w:rtl/>
        </w:rPr>
        <w:t xml:space="preserve"> </w:t>
      </w:r>
    </w:p>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 xml:space="preserve">ـ </w:t>
      </w:r>
      <w:r w:rsidRPr="006571AC">
        <w:rPr>
          <w:rFonts w:cs="DanaFajr"/>
          <w:sz w:val="28"/>
          <w:szCs w:val="28"/>
          <w:rtl/>
        </w:rPr>
        <w:t>ريتشارد سويدبرغ</w:t>
      </w:r>
      <w:r w:rsidRPr="006571AC">
        <w:rPr>
          <w:rFonts w:cs="DanaFajr" w:hint="cs"/>
          <w:sz w:val="28"/>
          <w:szCs w:val="28"/>
          <w:rtl/>
        </w:rPr>
        <w:t>، كيف</w:t>
      </w:r>
      <w:r w:rsidRPr="006571AC">
        <w:rPr>
          <w:rFonts w:cs="DanaFajr"/>
          <w:sz w:val="28"/>
          <w:szCs w:val="28"/>
          <w:rtl/>
        </w:rPr>
        <w:t xml:space="preserve"> </w:t>
      </w:r>
      <w:r w:rsidRPr="006571AC">
        <w:rPr>
          <w:rFonts w:cs="DanaFajr" w:hint="cs"/>
          <w:sz w:val="28"/>
          <w:szCs w:val="28"/>
          <w:rtl/>
        </w:rPr>
        <w:t>نستعمل</w:t>
      </w:r>
      <w:r w:rsidRPr="006571AC">
        <w:rPr>
          <w:rFonts w:cs="DanaFajr"/>
          <w:sz w:val="28"/>
          <w:szCs w:val="28"/>
          <w:rtl/>
        </w:rPr>
        <w:t xml:space="preserve"> </w:t>
      </w:r>
      <w:r w:rsidRPr="006571AC">
        <w:rPr>
          <w:rFonts w:cs="DanaFajr" w:hint="cs"/>
          <w:sz w:val="28"/>
          <w:szCs w:val="28"/>
          <w:rtl/>
        </w:rPr>
        <w:t>النموذج</w:t>
      </w:r>
      <w:r w:rsidRPr="006571AC">
        <w:rPr>
          <w:rFonts w:cs="DanaFajr"/>
          <w:sz w:val="28"/>
          <w:szCs w:val="28"/>
          <w:rtl/>
        </w:rPr>
        <w:t xml:space="preserve"> ـ </w:t>
      </w:r>
      <w:r w:rsidRPr="006571AC">
        <w:rPr>
          <w:rFonts w:cs="DanaFajr" w:hint="cs"/>
          <w:sz w:val="28"/>
          <w:szCs w:val="28"/>
          <w:rtl/>
        </w:rPr>
        <w:t>المثالي</w:t>
      </w:r>
      <w:r w:rsidRPr="006571AC">
        <w:rPr>
          <w:rFonts w:cs="DanaFajr"/>
          <w:sz w:val="28"/>
          <w:szCs w:val="28"/>
          <w:rtl/>
        </w:rPr>
        <w:t xml:space="preserve"> </w:t>
      </w:r>
      <w:r w:rsidRPr="006571AC">
        <w:rPr>
          <w:rFonts w:cs="DanaFajr" w:hint="cs"/>
          <w:sz w:val="28"/>
          <w:szCs w:val="28"/>
          <w:rtl/>
        </w:rPr>
        <w:t>لماكس</w:t>
      </w:r>
      <w:r w:rsidRPr="006571AC">
        <w:rPr>
          <w:rFonts w:cs="DanaFajr"/>
          <w:sz w:val="28"/>
          <w:szCs w:val="28"/>
          <w:rtl/>
        </w:rPr>
        <w:t xml:space="preserve"> </w:t>
      </w:r>
      <w:r w:rsidRPr="006571AC">
        <w:rPr>
          <w:rFonts w:cs="DanaFajr" w:hint="cs"/>
          <w:sz w:val="28"/>
          <w:szCs w:val="28"/>
          <w:rtl/>
        </w:rPr>
        <w:t>فيبر</w:t>
      </w:r>
      <w:r w:rsidRPr="006571AC">
        <w:rPr>
          <w:rFonts w:cs="DanaFajr"/>
          <w:sz w:val="28"/>
          <w:szCs w:val="28"/>
          <w:rtl/>
        </w:rPr>
        <w:t xml:space="preserve"> </w:t>
      </w:r>
      <w:r w:rsidRPr="006571AC">
        <w:rPr>
          <w:rFonts w:cs="DanaFajr" w:hint="cs"/>
          <w:sz w:val="28"/>
          <w:szCs w:val="28"/>
          <w:rtl/>
        </w:rPr>
        <w:t>في</w:t>
      </w:r>
      <w:r w:rsidRPr="006571AC">
        <w:rPr>
          <w:rFonts w:cs="DanaFajr"/>
          <w:sz w:val="28"/>
          <w:szCs w:val="28"/>
          <w:rtl/>
        </w:rPr>
        <w:t xml:space="preserve"> </w:t>
      </w:r>
      <w:r w:rsidRPr="006571AC">
        <w:rPr>
          <w:rFonts w:cs="DanaFajr" w:hint="cs"/>
          <w:sz w:val="28"/>
          <w:szCs w:val="28"/>
          <w:rtl/>
        </w:rPr>
        <w:t>التحليل</w:t>
      </w:r>
      <w:r w:rsidRPr="006571AC">
        <w:rPr>
          <w:rFonts w:cs="DanaFajr"/>
          <w:sz w:val="28"/>
          <w:szCs w:val="28"/>
          <w:rtl/>
        </w:rPr>
        <w:t xml:space="preserve"> </w:t>
      </w:r>
      <w:r w:rsidRPr="006571AC">
        <w:rPr>
          <w:rFonts w:cs="DanaFajr" w:hint="cs"/>
          <w:sz w:val="28"/>
          <w:szCs w:val="28"/>
          <w:rtl/>
        </w:rPr>
        <w:t>الاجتماعي؟،</w:t>
      </w:r>
      <w:r w:rsidRPr="006571AC">
        <w:rPr>
          <w:rFonts w:cs="DanaFajr"/>
          <w:sz w:val="28"/>
          <w:szCs w:val="28"/>
          <w:rtl/>
        </w:rPr>
        <w:t xml:space="preserve"> مجلة التحليل الاجتماعي، </w:t>
      </w:r>
      <w:r w:rsidRPr="006571AC">
        <w:rPr>
          <w:rFonts w:cs="DanaFajr" w:hint="cs"/>
          <w:sz w:val="28"/>
          <w:szCs w:val="28"/>
          <w:rtl/>
        </w:rPr>
        <w:t>المجلّد 18، العدد</w:t>
      </w:r>
      <w:r w:rsidRPr="006571AC">
        <w:rPr>
          <w:rFonts w:cs="DanaFajr"/>
          <w:sz w:val="28"/>
          <w:szCs w:val="28"/>
          <w:rtl/>
        </w:rPr>
        <w:t xml:space="preserve"> </w:t>
      </w:r>
      <w:r w:rsidRPr="006571AC">
        <w:rPr>
          <w:rFonts w:cs="DanaFajr" w:hint="cs"/>
          <w:sz w:val="28"/>
          <w:szCs w:val="28"/>
          <w:rtl/>
        </w:rPr>
        <w:t>3:</w:t>
      </w:r>
      <w:r w:rsidRPr="006571AC">
        <w:rPr>
          <w:rFonts w:cs="DanaFajr"/>
          <w:sz w:val="28"/>
          <w:szCs w:val="28"/>
          <w:rtl/>
        </w:rPr>
        <w:t xml:space="preserve"> </w:t>
      </w:r>
      <w:r w:rsidRPr="006571AC">
        <w:rPr>
          <w:rFonts w:cs="DanaFajr" w:hint="cs"/>
          <w:sz w:val="28"/>
          <w:szCs w:val="28"/>
          <w:rtl/>
        </w:rPr>
        <w:t>181</w:t>
      </w:r>
      <w:r w:rsidRPr="006571AC">
        <w:rPr>
          <w:rFonts w:cs="DanaFajr"/>
          <w:sz w:val="28"/>
          <w:szCs w:val="28"/>
          <w:rtl/>
        </w:rPr>
        <w:t xml:space="preserve"> ـ </w:t>
      </w:r>
      <w:r w:rsidRPr="006571AC">
        <w:rPr>
          <w:rFonts w:cs="DanaFajr" w:hint="cs"/>
          <w:sz w:val="28"/>
          <w:szCs w:val="28"/>
          <w:rtl/>
        </w:rPr>
        <w:t>196</w:t>
      </w:r>
      <w:r w:rsidRPr="006571AC">
        <w:rPr>
          <w:rFonts w:cs="DanaFajr"/>
          <w:sz w:val="28"/>
          <w:szCs w:val="28"/>
          <w:rtl/>
        </w:rPr>
        <w:t xml:space="preserve">، </w:t>
      </w:r>
      <w:r w:rsidRPr="006571AC">
        <w:rPr>
          <w:rFonts w:cs="DanaFajr" w:hint="cs"/>
          <w:sz w:val="28"/>
          <w:szCs w:val="28"/>
          <w:rtl/>
        </w:rPr>
        <w:t>2018</w:t>
      </w:r>
      <w:r w:rsidRPr="006571AC">
        <w:rPr>
          <w:rFonts w:cs="DanaFajr"/>
          <w:sz w:val="28"/>
          <w:szCs w:val="28"/>
          <w:rtl/>
        </w:rPr>
        <w:t>.</w:t>
      </w:r>
    </w:p>
  </w:endnote>
  <w:endnote w:id="927">
    <w:p w:rsidR="00DB2356" w:rsidRPr="006571AC" w:rsidRDefault="00DB2356" w:rsidP="0024500D">
      <w:pPr>
        <w:pStyle w:val="aa"/>
        <w:spacing w:line="306" w:lineRule="exact"/>
        <w:ind w:firstLine="0"/>
        <w:rPr>
          <w:rFonts w:cs="DanaFajr"/>
          <w:sz w:val="28"/>
          <w:szCs w:val="28"/>
          <w:rtl/>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 w:val="28"/>
          <w:szCs w:val="28"/>
          <w:rtl/>
        </w:rPr>
        <w:t xml:space="preserve">راجع الفصل المنهجي في: </w:t>
      </w:r>
      <w:r w:rsidRPr="006571AC">
        <w:rPr>
          <w:rFonts w:cs="DanaFajr" w:hint="cs"/>
          <w:sz w:val="28"/>
          <w:szCs w:val="28"/>
          <w:rtl/>
        </w:rPr>
        <w:t xml:space="preserve">محمد باقر </w:t>
      </w:r>
      <w:r w:rsidRPr="006571AC">
        <w:rPr>
          <w:rFonts w:cs="DanaFajr"/>
          <w:sz w:val="28"/>
          <w:szCs w:val="28"/>
          <w:rtl/>
        </w:rPr>
        <w:t xml:space="preserve">الصدر، </w:t>
      </w:r>
      <w:r w:rsidRPr="006571AC">
        <w:rPr>
          <w:rFonts w:cs="DanaFajr" w:hint="cs"/>
          <w:sz w:val="28"/>
          <w:szCs w:val="28"/>
          <w:rtl/>
        </w:rPr>
        <w:t>اقتصادنا:</w:t>
      </w:r>
      <w:r w:rsidRPr="006571AC">
        <w:rPr>
          <w:rFonts w:cs="DanaFajr"/>
          <w:sz w:val="28"/>
          <w:szCs w:val="28"/>
          <w:rtl/>
        </w:rPr>
        <w:t xml:space="preserve"> </w:t>
      </w:r>
      <w:r w:rsidRPr="006571AC">
        <w:rPr>
          <w:rFonts w:cs="DanaFajr" w:hint="cs"/>
          <w:sz w:val="28"/>
          <w:szCs w:val="28"/>
          <w:rtl/>
        </w:rPr>
        <w:t>355</w:t>
      </w:r>
      <w:r w:rsidRPr="006571AC">
        <w:rPr>
          <w:rFonts w:cs="DanaFajr"/>
          <w:sz w:val="28"/>
          <w:szCs w:val="28"/>
          <w:rtl/>
        </w:rPr>
        <w:t xml:space="preserve"> ـ </w:t>
      </w:r>
      <w:r w:rsidRPr="006571AC">
        <w:rPr>
          <w:rFonts w:cs="DanaFajr" w:hint="cs"/>
          <w:sz w:val="28"/>
          <w:szCs w:val="28"/>
          <w:rtl/>
        </w:rPr>
        <w:t>406.</w:t>
      </w:r>
    </w:p>
  </w:endnote>
  <w:endnote w:id="928">
    <w:p w:rsidR="00DB2356" w:rsidRPr="006571AC" w:rsidRDefault="00DB2356" w:rsidP="00746EA6">
      <w:pPr>
        <w:pBdr>
          <w:top w:val="nil"/>
          <w:left w:val="nil"/>
          <w:bottom w:val="nil"/>
          <w:right w:val="nil"/>
          <w:between w:val="nil"/>
        </w:pBdr>
        <w:spacing w:line="306" w:lineRule="exact"/>
        <w:ind w:firstLine="0"/>
        <w:rPr>
          <w:rFonts w:ascii="Times New Roman" w:hAnsi="Times New Roman" w:cs="DanaFajr"/>
          <w:szCs w:val="28"/>
          <w:rtl/>
        </w:rPr>
      </w:pPr>
      <w:r w:rsidRPr="006571AC">
        <w:rPr>
          <w:rFonts w:cs="DanaFajr" w:hint="cs"/>
          <w:szCs w:val="28"/>
          <w:rtl/>
        </w:rPr>
        <w:t>(</w:t>
      </w:r>
      <w:r w:rsidRPr="006571AC">
        <w:rPr>
          <w:rStyle w:val="ac"/>
          <w:rFonts w:cs="DanaFajr"/>
          <w:szCs w:val="28"/>
          <w:vertAlign w:val="baseline"/>
        </w:rPr>
        <w:endnoteRef/>
      </w:r>
      <w:r w:rsidRPr="006571AC">
        <w:rPr>
          <w:rFonts w:cs="DanaFajr" w:hint="cs"/>
          <w:szCs w:val="28"/>
          <w:rtl/>
        </w:rPr>
        <w:t xml:space="preserve">) </w:t>
      </w:r>
      <w:r w:rsidRPr="006571AC">
        <w:rPr>
          <w:rFonts w:ascii="Times New Roman" w:hAnsi="Times New Roman" w:cs="DanaFajr"/>
          <w:szCs w:val="28"/>
          <w:rtl/>
        </w:rPr>
        <w:t>راجع الأدبيات حول نظرية المصلحة، مثلا</w:t>
      </w:r>
      <w:r w:rsidRPr="006571AC">
        <w:rPr>
          <w:rFonts w:ascii="Times New Roman" w:hAnsi="Times New Roman" w:cs="DanaFajr" w:hint="cs"/>
          <w:szCs w:val="28"/>
          <w:rtl/>
        </w:rPr>
        <w:t>ً</w:t>
      </w:r>
      <w:r w:rsidRPr="006571AC">
        <w:rPr>
          <w:rFonts w:ascii="Times New Roman" w:hAnsi="Times New Roman" w:cs="DanaFajr"/>
          <w:szCs w:val="28"/>
          <w:rtl/>
        </w:rPr>
        <w:t>:</w:t>
      </w:r>
    </w:p>
    <w:p w:rsidR="00DB2356" w:rsidRPr="006571AC" w:rsidRDefault="00DB2356" w:rsidP="0024500D">
      <w:pPr>
        <w:pBdr>
          <w:top w:val="nil"/>
          <w:left w:val="nil"/>
          <w:bottom w:val="nil"/>
          <w:right w:val="nil"/>
          <w:between w:val="nil"/>
        </w:pBdr>
        <w:spacing w:line="306" w:lineRule="exact"/>
        <w:ind w:firstLine="0"/>
        <w:rPr>
          <w:rFonts w:ascii="Times New Roman" w:hAnsi="Times New Roman" w:cs="DanaFajr"/>
          <w:szCs w:val="28"/>
          <w:rtl/>
        </w:rPr>
      </w:pPr>
      <w:r w:rsidRPr="006571AC">
        <w:rPr>
          <w:rFonts w:ascii="Times New Roman" w:hAnsi="Times New Roman" w:cs="DanaFajr" w:hint="cs"/>
          <w:szCs w:val="28"/>
          <w:rtl/>
        </w:rPr>
        <w:t xml:space="preserve">ـ </w:t>
      </w:r>
      <w:r w:rsidRPr="006571AC">
        <w:rPr>
          <w:rFonts w:ascii="Times New Roman" w:hAnsi="Times New Roman" w:cs="DanaFajr"/>
          <w:szCs w:val="28"/>
          <w:rtl/>
        </w:rPr>
        <w:t>ح. حامد حسان</w:t>
      </w:r>
      <w:r w:rsidRPr="006571AC">
        <w:rPr>
          <w:rFonts w:ascii="Times New Roman" w:hAnsi="Times New Roman" w:cs="DanaFajr" w:hint="cs"/>
          <w:szCs w:val="28"/>
          <w:rtl/>
        </w:rPr>
        <w:t>، فقه</w:t>
      </w:r>
      <w:r w:rsidRPr="006571AC">
        <w:rPr>
          <w:rFonts w:ascii="Times New Roman" w:hAnsi="Times New Roman" w:cs="DanaFajr"/>
          <w:szCs w:val="28"/>
          <w:rtl/>
        </w:rPr>
        <w:t xml:space="preserve"> </w:t>
      </w:r>
      <w:r w:rsidRPr="006571AC">
        <w:rPr>
          <w:rFonts w:ascii="Times New Roman" w:hAnsi="Times New Roman" w:cs="DanaFajr" w:hint="cs"/>
          <w:szCs w:val="28"/>
          <w:rtl/>
        </w:rPr>
        <w:t>المصلحة</w:t>
      </w:r>
      <w:r w:rsidRPr="006571AC">
        <w:rPr>
          <w:rFonts w:ascii="Times New Roman" w:hAnsi="Times New Roman" w:cs="DanaFajr"/>
          <w:szCs w:val="28"/>
          <w:rtl/>
        </w:rPr>
        <w:t xml:space="preserve"> </w:t>
      </w:r>
      <w:r w:rsidRPr="006571AC">
        <w:rPr>
          <w:rFonts w:ascii="Times New Roman" w:hAnsi="Times New Roman" w:cs="DanaFajr" w:hint="cs"/>
          <w:szCs w:val="28"/>
          <w:rtl/>
        </w:rPr>
        <w:t>وتطبيقاته</w:t>
      </w:r>
      <w:r w:rsidRPr="006571AC">
        <w:rPr>
          <w:rFonts w:ascii="Times New Roman" w:hAnsi="Times New Roman" w:cs="DanaFajr"/>
          <w:szCs w:val="28"/>
          <w:rtl/>
        </w:rPr>
        <w:t xml:space="preserve"> </w:t>
      </w:r>
      <w:r w:rsidRPr="006571AC">
        <w:rPr>
          <w:rFonts w:ascii="Times New Roman" w:hAnsi="Times New Roman" w:cs="DanaFajr" w:hint="cs"/>
          <w:szCs w:val="28"/>
          <w:rtl/>
        </w:rPr>
        <w:t>المعاصرة</w:t>
      </w:r>
      <w:r w:rsidRPr="006571AC">
        <w:rPr>
          <w:rFonts w:ascii="Times New Roman" w:hAnsi="Times New Roman" w:cs="DanaFajr"/>
          <w:szCs w:val="28"/>
          <w:rtl/>
        </w:rPr>
        <w:t xml:space="preserve">، سلسلة محاضرات لعلماء بارزين، رقم </w:t>
      </w:r>
      <w:r w:rsidRPr="006571AC">
        <w:rPr>
          <w:rFonts w:ascii="Times New Roman" w:hAnsi="Times New Roman" w:cs="DanaFajr" w:hint="cs"/>
          <w:szCs w:val="28"/>
          <w:rtl/>
        </w:rPr>
        <w:t>7، جدّة</w:t>
      </w:r>
      <w:r w:rsidRPr="006571AC">
        <w:rPr>
          <w:rFonts w:ascii="Times New Roman" w:hAnsi="Times New Roman" w:cs="DanaFajr"/>
          <w:szCs w:val="28"/>
          <w:rtl/>
        </w:rPr>
        <w:t xml:space="preserve"> </w:t>
      </w:r>
      <w:r w:rsidRPr="006571AC">
        <w:rPr>
          <w:rFonts w:ascii="Times New Roman" w:hAnsi="Times New Roman" w:cs="DanaFajr"/>
          <w:sz w:val="20"/>
          <w:szCs w:val="20"/>
        </w:rPr>
        <w:t>IRTI</w:t>
      </w:r>
      <w:r w:rsidRPr="006571AC">
        <w:rPr>
          <w:rFonts w:ascii="Times New Roman" w:hAnsi="Times New Roman" w:cs="DanaFajr"/>
          <w:szCs w:val="28"/>
          <w:rtl/>
        </w:rPr>
        <w:t xml:space="preserve">، </w:t>
      </w:r>
      <w:r w:rsidRPr="006571AC">
        <w:rPr>
          <w:rFonts w:ascii="Times New Roman" w:hAnsi="Times New Roman" w:cs="DanaFajr" w:hint="cs"/>
          <w:szCs w:val="28"/>
          <w:rtl/>
        </w:rPr>
        <w:t>1995. و</w:t>
      </w:r>
      <w:r w:rsidRPr="006571AC">
        <w:rPr>
          <w:rFonts w:ascii="Times New Roman" w:hAnsi="Times New Roman" w:cs="DanaFajr"/>
          <w:szCs w:val="28"/>
          <w:rtl/>
        </w:rPr>
        <w:t>بالفرنسية</w:t>
      </w:r>
      <w:r w:rsidRPr="006571AC">
        <w:rPr>
          <w:rFonts w:ascii="Times New Roman" w:hAnsi="Times New Roman" w:cs="DanaFajr" w:hint="cs"/>
          <w:szCs w:val="28"/>
          <w:rtl/>
        </w:rPr>
        <w:t>:</w:t>
      </w:r>
      <w:r w:rsidRPr="006571AC">
        <w:rPr>
          <w:rFonts w:ascii="Times New Roman" w:hAnsi="Times New Roman" w:cs="DanaFajr"/>
          <w:szCs w:val="28"/>
          <w:rtl/>
        </w:rPr>
        <w:t xml:space="preserve"> </w:t>
      </w:r>
    </w:p>
    <w:p w:rsidR="00DB2356" w:rsidRPr="006571AC" w:rsidRDefault="00DB2356" w:rsidP="0024500D">
      <w:pPr>
        <w:pBdr>
          <w:top w:val="nil"/>
          <w:left w:val="nil"/>
          <w:bottom w:val="nil"/>
          <w:right w:val="nil"/>
          <w:between w:val="nil"/>
        </w:pBdr>
        <w:bidi w:val="0"/>
        <w:spacing w:line="306" w:lineRule="exact"/>
        <w:ind w:firstLine="0"/>
        <w:rPr>
          <w:rFonts w:ascii="Times New Roman" w:hAnsi="Times New Roman" w:cs="DanaFajr"/>
          <w:szCs w:val="28"/>
        </w:rPr>
      </w:pPr>
      <w:r w:rsidRPr="006571AC">
        <w:rPr>
          <w:rFonts w:ascii="Times New Roman" w:hAnsi="Times New Roman" w:cs="DanaFajr"/>
          <w:sz w:val="20"/>
          <w:szCs w:val="20"/>
        </w:rPr>
        <w:t>Jurisprudence de la Maslaha et ses applications contemporaines</w:t>
      </w:r>
      <w:r w:rsidRPr="006571AC">
        <w:rPr>
          <w:rFonts w:ascii="Times New Roman" w:hAnsi="Times New Roman" w:cs="DanaFajr"/>
          <w:szCs w:val="28"/>
        </w:rPr>
        <w:t>.</w:t>
      </w:r>
    </w:p>
    <w:p w:rsidR="00DB2356" w:rsidRPr="006571AC" w:rsidRDefault="00DB2356" w:rsidP="0024500D">
      <w:pPr>
        <w:pBdr>
          <w:top w:val="nil"/>
          <w:left w:val="nil"/>
          <w:bottom w:val="nil"/>
          <w:right w:val="nil"/>
          <w:between w:val="nil"/>
        </w:pBdr>
        <w:spacing w:line="306" w:lineRule="exact"/>
        <w:ind w:firstLine="0"/>
        <w:rPr>
          <w:rFonts w:ascii="Times New Roman" w:hAnsi="Times New Roman" w:cs="DanaFajr"/>
          <w:szCs w:val="28"/>
        </w:rPr>
      </w:pPr>
      <w:r w:rsidRPr="006571AC">
        <w:rPr>
          <w:rFonts w:ascii="Times New Roman" w:hAnsi="Times New Roman" w:cs="DanaFajr" w:hint="cs"/>
          <w:szCs w:val="28"/>
          <w:rtl/>
        </w:rPr>
        <w:t xml:space="preserve">ـ </w:t>
      </w:r>
      <w:r w:rsidRPr="006571AC">
        <w:rPr>
          <w:rFonts w:ascii="Times New Roman" w:hAnsi="Times New Roman" w:cs="DanaFajr"/>
          <w:szCs w:val="28"/>
          <w:rtl/>
        </w:rPr>
        <w:t>م. ح.</w:t>
      </w:r>
      <w:r w:rsidRPr="006571AC">
        <w:rPr>
          <w:rFonts w:ascii="Times New Roman" w:hAnsi="Times New Roman" w:cs="DanaFajr" w:hint="cs"/>
          <w:szCs w:val="28"/>
          <w:rtl/>
        </w:rPr>
        <w:t xml:space="preserve"> </w:t>
      </w:r>
      <w:r w:rsidRPr="006571AC">
        <w:rPr>
          <w:rFonts w:ascii="Times New Roman" w:hAnsi="Times New Roman" w:cs="DanaFajr"/>
          <w:szCs w:val="28"/>
          <w:rtl/>
        </w:rPr>
        <w:t>كمالي</w:t>
      </w:r>
      <w:r w:rsidRPr="006571AC">
        <w:rPr>
          <w:rFonts w:ascii="Times New Roman" w:hAnsi="Times New Roman" w:cs="DanaFajr" w:hint="cs"/>
          <w:szCs w:val="28"/>
          <w:rtl/>
        </w:rPr>
        <w:t>، هل</w:t>
      </w:r>
      <w:r w:rsidRPr="006571AC">
        <w:rPr>
          <w:rFonts w:ascii="Times New Roman" w:hAnsi="Times New Roman" w:cs="DanaFajr"/>
          <w:szCs w:val="28"/>
          <w:rtl/>
        </w:rPr>
        <w:t xml:space="preserve"> </w:t>
      </w:r>
      <w:r w:rsidRPr="006571AC">
        <w:rPr>
          <w:rFonts w:ascii="Times New Roman" w:hAnsi="Times New Roman" w:cs="DanaFajr" w:hint="cs"/>
          <w:szCs w:val="28"/>
          <w:rtl/>
        </w:rPr>
        <w:t>تجاهلنا</w:t>
      </w:r>
      <w:r w:rsidRPr="006571AC">
        <w:rPr>
          <w:rFonts w:ascii="Times New Roman" w:hAnsi="Times New Roman" w:cs="DanaFajr"/>
          <w:szCs w:val="28"/>
          <w:rtl/>
        </w:rPr>
        <w:t xml:space="preserve"> </w:t>
      </w:r>
      <w:r w:rsidRPr="006571AC">
        <w:rPr>
          <w:rFonts w:ascii="Times New Roman" w:hAnsi="Times New Roman" w:cs="DanaFajr" w:hint="cs"/>
          <w:szCs w:val="28"/>
          <w:rtl/>
        </w:rPr>
        <w:t>نظرية</w:t>
      </w:r>
      <w:r w:rsidRPr="006571AC">
        <w:rPr>
          <w:rFonts w:ascii="Times New Roman" w:hAnsi="Times New Roman" w:cs="DanaFajr"/>
          <w:szCs w:val="28"/>
          <w:rtl/>
        </w:rPr>
        <w:t xml:space="preserve"> </w:t>
      </w:r>
      <w:r w:rsidRPr="006571AC">
        <w:rPr>
          <w:rFonts w:ascii="Times New Roman" w:hAnsi="Times New Roman" w:cs="DanaFajr" w:hint="cs"/>
          <w:szCs w:val="28"/>
          <w:rtl/>
        </w:rPr>
        <w:t>الشريعة</w:t>
      </w:r>
      <w:r w:rsidRPr="006571AC">
        <w:rPr>
          <w:rFonts w:ascii="Times New Roman" w:hAnsi="Times New Roman" w:cs="DanaFajr"/>
          <w:szCs w:val="28"/>
          <w:rtl/>
        </w:rPr>
        <w:t xml:space="preserve"> </w:t>
      </w:r>
      <w:r w:rsidRPr="006571AC">
        <w:rPr>
          <w:rFonts w:ascii="Times New Roman" w:hAnsi="Times New Roman" w:cs="DanaFajr" w:hint="cs"/>
          <w:szCs w:val="28"/>
          <w:rtl/>
        </w:rPr>
        <w:t>حول</w:t>
      </w:r>
      <w:r w:rsidRPr="006571AC">
        <w:rPr>
          <w:rFonts w:ascii="Times New Roman" w:hAnsi="Times New Roman" w:cs="DanaFajr"/>
          <w:szCs w:val="28"/>
          <w:rtl/>
        </w:rPr>
        <w:t xml:space="preserve"> </w:t>
      </w:r>
      <w:r w:rsidRPr="006571AC">
        <w:rPr>
          <w:rFonts w:ascii="Times New Roman" w:hAnsi="Times New Roman" w:cs="DanaFajr" w:hint="cs"/>
          <w:szCs w:val="28"/>
          <w:rtl/>
        </w:rPr>
        <w:t>المصلحة؟،</w:t>
      </w:r>
      <w:r w:rsidRPr="006571AC">
        <w:rPr>
          <w:rFonts w:ascii="Times New Roman" w:hAnsi="Times New Roman" w:cs="DanaFajr"/>
          <w:szCs w:val="28"/>
          <w:rtl/>
        </w:rPr>
        <w:t xml:space="preserve"> دراسات إسلامية، </w:t>
      </w:r>
      <w:r w:rsidRPr="006571AC">
        <w:rPr>
          <w:rFonts w:ascii="Times New Roman" w:hAnsi="Times New Roman" w:cs="DanaFajr" w:hint="cs"/>
          <w:szCs w:val="28"/>
          <w:rtl/>
        </w:rPr>
        <w:t>المجلّد</w:t>
      </w:r>
      <w:r w:rsidRPr="006571AC">
        <w:rPr>
          <w:rFonts w:ascii="Times New Roman" w:hAnsi="Times New Roman" w:cs="DanaFajr"/>
          <w:szCs w:val="28"/>
          <w:rtl/>
        </w:rPr>
        <w:t xml:space="preserve"> </w:t>
      </w:r>
      <w:r w:rsidRPr="006571AC">
        <w:rPr>
          <w:rFonts w:ascii="Times New Roman" w:hAnsi="Times New Roman" w:cs="DanaFajr" w:hint="cs"/>
          <w:szCs w:val="28"/>
          <w:rtl/>
        </w:rPr>
        <w:t>27، العدد</w:t>
      </w:r>
      <w:r w:rsidRPr="006571AC">
        <w:rPr>
          <w:rFonts w:ascii="Times New Roman" w:hAnsi="Times New Roman" w:cs="DanaFajr"/>
          <w:szCs w:val="28"/>
          <w:rtl/>
        </w:rPr>
        <w:t xml:space="preserve"> </w:t>
      </w:r>
      <w:r w:rsidRPr="006571AC">
        <w:rPr>
          <w:rFonts w:ascii="Times New Roman" w:hAnsi="Times New Roman" w:cs="DanaFajr" w:hint="cs"/>
          <w:szCs w:val="28"/>
          <w:rtl/>
        </w:rPr>
        <w:t>4:</w:t>
      </w:r>
      <w:r w:rsidRPr="006571AC">
        <w:rPr>
          <w:rFonts w:ascii="Times New Roman" w:hAnsi="Times New Roman" w:cs="DanaFajr"/>
          <w:szCs w:val="28"/>
          <w:rtl/>
        </w:rPr>
        <w:t xml:space="preserve"> </w:t>
      </w:r>
      <w:r w:rsidRPr="006571AC">
        <w:rPr>
          <w:rFonts w:ascii="Times New Roman" w:hAnsi="Times New Roman" w:cs="DanaFajr" w:hint="cs"/>
          <w:szCs w:val="28"/>
          <w:rtl/>
        </w:rPr>
        <w:t>287</w:t>
      </w:r>
      <w:r w:rsidRPr="006571AC">
        <w:rPr>
          <w:rFonts w:ascii="Times New Roman" w:hAnsi="Times New Roman" w:cs="DanaFajr"/>
          <w:szCs w:val="28"/>
          <w:rtl/>
        </w:rPr>
        <w:t xml:space="preserve"> ـ </w:t>
      </w:r>
      <w:r w:rsidRPr="006571AC">
        <w:rPr>
          <w:rFonts w:ascii="Times New Roman" w:hAnsi="Times New Roman" w:cs="DanaFajr" w:hint="cs"/>
          <w:szCs w:val="28"/>
          <w:rtl/>
        </w:rPr>
        <w:t>303</w:t>
      </w:r>
      <w:r w:rsidRPr="006571AC">
        <w:rPr>
          <w:rFonts w:ascii="Times New Roman" w:hAnsi="Times New Roman" w:cs="DanaFajr"/>
          <w:szCs w:val="28"/>
          <w:rtl/>
        </w:rPr>
        <w:t xml:space="preserve">، </w:t>
      </w:r>
      <w:r w:rsidRPr="006571AC">
        <w:rPr>
          <w:rFonts w:ascii="Times New Roman" w:hAnsi="Times New Roman" w:cs="DanaFajr" w:hint="cs"/>
          <w:szCs w:val="28"/>
          <w:rtl/>
        </w:rPr>
        <w:t>1998. وبالإنكليزية:</w:t>
      </w:r>
    </w:p>
    <w:p w:rsidR="00DB2356" w:rsidRPr="006571AC" w:rsidRDefault="00DB2356" w:rsidP="0024500D">
      <w:pPr>
        <w:pBdr>
          <w:top w:val="nil"/>
          <w:left w:val="nil"/>
          <w:bottom w:val="nil"/>
          <w:right w:val="nil"/>
          <w:between w:val="nil"/>
        </w:pBdr>
        <w:bidi w:val="0"/>
        <w:spacing w:line="306" w:lineRule="exact"/>
        <w:ind w:firstLine="0"/>
        <w:rPr>
          <w:rFonts w:ascii="Times New Roman" w:hAnsi="Times New Roman" w:cs="DanaFajr"/>
          <w:sz w:val="20"/>
          <w:szCs w:val="20"/>
        </w:rPr>
      </w:pPr>
      <w:r w:rsidRPr="006571AC">
        <w:rPr>
          <w:rFonts w:ascii="Times New Roman" w:hAnsi="Times New Roman" w:cs="DanaFajr"/>
          <w:sz w:val="20"/>
          <w:szCs w:val="20"/>
        </w:rPr>
        <w:t>Have we neglected the Shariah Law doctrine of Maslahah?</w:t>
      </w:r>
      <w:r w:rsidRPr="006571AC">
        <w:rPr>
          <w:rFonts w:ascii="Times New Roman" w:hAnsi="Times New Roman" w:cs="DanaFajr"/>
          <w:sz w:val="20"/>
          <w:szCs w:val="20"/>
          <w:rtl/>
        </w:rPr>
        <w:t xml:space="preserve"> </w:t>
      </w:r>
    </w:p>
  </w:endnote>
  <w:endnote w:id="929">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w:t>
      </w:r>
      <w:r w:rsidRPr="006571AC">
        <w:rPr>
          <w:rFonts w:cs="DanaFajr" w:hint="cs"/>
          <w:szCs w:val="28"/>
          <w:rtl/>
        </w:rPr>
        <w:t xml:space="preserve"> محمد باقر</w:t>
      </w:r>
      <w:r w:rsidRPr="006571AC">
        <w:rPr>
          <w:rFonts w:cs="DanaFajr"/>
          <w:szCs w:val="28"/>
          <w:rtl/>
        </w:rPr>
        <w:t xml:space="preserve"> الصدر</w:t>
      </w:r>
      <w:r w:rsidRPr="006571AC">
        <w:rPr>
          <w:rFonts w:cs="DanaFajr" w:hint="cs"/>
          <w:szCs w:val="28"/>
          <w:rtl/>
        </w:rPr>
        <w:t xml:space="preserve">، </w:t>
      </w:r>
      <w:r w:rsidRPr="006571AC">
        <w:rPr>
          <w:rFonts w:cs="DanaFajr"/>
          <w:szCs w:val="28"/>
          <w:rtl/>
        </w:rPr>
        <w:t>اقتصادنا</w:t>
      </w:r>
      <w:r w:rsidRPr="006571AC">
        <w:rPr>
          <w:rFonts w:cs="DanaFajr" w:hint="cs"/>
          <w:szCs w:val="28"/>
          <w:rtl/>
        </w:rPr>
        <w:t>:</w:t>
      </w:r>
      <w:r w:rsidRPr="006571AC">
        <w:rPr>
          <w:rFonts w:cs="DanaFajr"/>
          <w:sz w:val="28"/>
          <w:szCs w:val="28"/>
          <w:rtl/>
        </w:rPr>
        <w:t xml:space="preserve"> </w:t>
      </w:r>
      <w:r w:rsidRPr="006571AC">
        <w:rPr>
          <w:rFonts w:cs="DanaFajr" w:hint="cs"/>
          <w:sz w:val="28"/>
          <w:szCs w:val="28"/>
          <w:rtl/>
        </w:rPr>
        <w:t>355</w:t>
      </w:r>
      <w:r w:rsidRPr="006571AC">
        <w:rPr>
          <w:rFonts w:cs="DanaFajr"/>
          <w:sz w:val="28"/>
          <w:szCs w:val="28"/>
          <w:rtl/>
        </w:rPr>
        <w:t xml:space="preserve"> ـ </w:t>
      </w:r>
      <w:r w:rsidRPr="006571AC">
        <w:rPr>
          <w:rFonts w:cs="DanaFajr" w:hint="cs"/>
          <w:sz w:val="28"/>
          <w:szCs w:val="28"/>
          <w:rtl/>
        </w:rPr>
        <w:t>406.</w:t>
      </w:r>
    </w:p>
  </w:endnote>
  <w:endnote w:id="930">
    <w:p w:rsidR="00DB2356" w:rsidRPr="006571AC" w:rsidRDefault="00DB2356" w:rsidP="00A553E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 w:val="28"/>
          <w:szCs w:val="28"/>
          <w:rtl/>
        </w:rPr>
        <w:t>نحيل، للتفاصيل، إلى مجمل المراجع السابقة عن فيبر وفرويند وآرون</w:t>
      </w:r>
      <w:r w:rsidRPr="006571AC">
        <w:rPr>
          <w:rFonts w:cs="DanaFajr"/>
          <w:szCs w:val="28"/>
          <w:rtl/>
        </w:rPr>
        <w:t>.</w:t>
      </w:r>
    </w:p>
  </w:endnote>
  <w:endnote w:id="931">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 w:val="28"/>
          <w:szCs w:val="28"/>
          <w:rtl/>
        </w:rPr>
        <w:t>فيليب راينو</w:t>
      </w:r>
      <w:r w:rsidRPr="006571AC">
        <w:rPr>
          <w:rFonts w:cs="DanaFajr" w:hint="cs"/>
          <w:sz w:val="28"/>
          <w:szCs w:val="28"/>
          <w:rtl/>
        </w:rPr>
        <w:t xml:space="preserve">، </w:t>
      </w:r>
      <w:r w:rsidRPr="006571AC">
        <w:rPr>
          <w:rFonts w:cs="DanaFajr"/>
          <w:sz w:val="28"/>
          <w:szCs w:val="28"/>
          <w:rtl/>
        </w:rPr>
        <w:t xml:space="preserve">ماكس فيبر ومفارقات العقل الحديث، ترجمة وتقديم: محمد جديدي، منشورات الاختلاف، مشروع كلمة للترجمة، </w:t>
      </w:r>
      <w:r w:rsidRPr="006571AC">
        <w:rPr>
          <w:rFonts w:cs="DanaFajr" w:hint="cs"/>
          <w:sz w:val="28"/>
          <w:szCs w:val="28"/>
          <w:rtl/>
        </w:rPr>
        <w:t>2009</w:t>
      </w:r>
      <w:r w:rsidRPr="006571AC">
        <w:rPr>
          <w:rFonts w:cs="DanaFajr"/>
          <w:szCs w:val="28"/>
          <w:rtl/>
        </w:rPr>
        <w:t>.</w:t>
      </w:r>
    </w:p>
  </w:endnote>
  <w:endnote w:id="932">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Cs w:val="28"/>
          <w:rtl/>
        </w:rPr>
        <w:t>مثلا</w:t>
      </w:r>
      <w:r w:rsidRPr="006571AC">
        <w:rPr>
          <w:rFonts w:cs="DanaFajr" w:hint="cs"/>
          <w:szCs w:val="28"/>
          <w:rtl/>
        </w:rPr>
        <w:t>ً</w:t>
      </w:r>
      <w:r w:rsidRPr="006571AC">
        <w:rPr>
          <w:rFonts w:cs="DanaFajr"/>
          <w:szCs w:val="28"/>
          <w:rtl/>
        </w:rPr>
        <w:t>: في الفلسفة والعرفان والتاريخ والاجتماع</w:t>
      </w:r>
      <w:r w:rsidRPr="006571AC">
        <w:rPr>
          <w:rFonts w:cs="DanaFajr" w:hint="cs"/>
          <w:szCs w:val="28"/>
          <w:rtl/>
        </w:rPr>
        <w:t>...، إلخ</w:t>
      </w:r>
      <w:r w:rsidRPr="006571AC">
        <w:rPr>
          <w:rFonts w:cs="DanaFajr"/>
          <w:szCs w:val="28"/>
          <w:rtl/>
        </w:rPr>
        <w:t>.</w:t>
      </w:r>
    </w:p>
  </w:endnote>
  <w:endnote w:id="933">
    <w:p w:rsidR="00DB2356" w:rsidRPr="006571AC" w:rsidRDefault="00DB2356" w:rsidP="0024500D">
      <w:pPr>
        <w:pStyle w:val="aa"/>
        <w:spacing w:line="306" w:lineRule="exact"/>
        <w:ind w:firstLine="0"/>
        <w:rPr>
          <w:rFonts w:cs="DanaFajr"/>
          <w:sz w:val="28"/>
          <w:szCs w:val="28"/>
        </w:rPr>
      </w:pPr>
      <w:r w:rsidRPr="006571AC">
        <w:rPr>
          <w:rFonts w:cs="DanaFajr" w:hint="cs"/>
          <w:sz w:val="28"/>
          <w:szCs w:val="28"/>
          <w:rtl/>
        </w:rPr>
        <w:t>(</w:t>
      </w:r>
      <w:r w:rsidRPr="006571AC">
        <w:rPr>
          <w:rStyle w:val="ac"/>
          <w:rFonts w:cs="DanaFajr"/>
          <w:szCs w:val="28"/>
          <w:vertAlign w:val="baseline"/>
        </w:rPr>
        <w:endnoteRef/>
      </w:r>
      <w:r w:rsidRPr="006571AC">
        <w:rPr>
          <w:rFonts w:cs="DanaFajr" w:hint="cs"/>
          <w:sz w:val="28"/>
          <w:szCs w:val="28"/>
          <w:rtl/>
        </w:rPr>
        <w:t xml:space="preserve">) </w:t>
      </w:r>
      <w:r w:rsidRPr="006571AC">
        <w:rPr>
          <w:rFonts w:cs="DanaFajr"/>
          <w:sz w:val="28"/>
          <w:szCs w:val="28"/>
          <w:rtl/>
        </w:rPr>
        <w:t>لا سيَّما: مالك أبو حمدان</w:t>
      </w:r>
      <w:r w:rsidRPr="006571AC">
        <w:rPr>
          <w:rFonts w:cs="DanaFajr" w:hint="cs"/>
          <w:sz w:val="28"/>
          <w:szCs w:val="28"/>
          <w:rtl/>
        </w:rPr>
        <w:t xml:space="preserve">، </w:t>
      </w:r>
      <w:r w:rsidRPr="006571AC">
        <w:rPr>
          <w:rFonts w:cs="DanaFajr"/>
          <w:sz w:val="28"/>
          <w:szCs w:val="28"/>
          <w:rtl/>
        </w:rPr>
        <w:t>المشتق</w:t>
      </w:r>
      <w:r w:rsidRPr="006571AC">
        <w:rPr>
          <w:rFonts w:cs="DanaFajr" w:hint="cs"/>
          <w:sz w:val="28"/>
          <w:szCs w:val="28"/>
          <w:rtl/>
        </w:rPr>
        <w:t>ّ</w:t>
      </w:r>
      <w:r w:rsidRPr="006571AC">
        <w:rPr>
          <w:rFonts w:cs="DanaFajr"/>
          <w:sz w:val="28"/>
          <w:szCs w:val="28"/>
          <w:rtl/>
        </w:rPr>
        <w:t>ات المالية ومخاطر السوق والغرر: البحث عن بديل</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سلامي</w:t>
      </w:r>
      <w:r w:rsidRPr="006571AC">
        <w:rPr>
          <w:rFonts w:cs="DanaFajr" w:hint="cs"/>
          <w:sz w:val="28"/>
          <w:szCs w:val="28"/>
          <w:rtl/>
        </w:rPr>
        <w:t>.</w:t>
      </w:r>
    </w:p>
  </w:endnote>
  <w:endnote w:id="934">
    <w:p w:rsidR="00DB2356" w:rsidRPr="006571AC" w:rsidRDefault="00DB2356" w:rsidP="001F7AE7">
      <w:pPr>
        <w:spacing w:line="306" w:lineRule="exact"/>
        <w:ind w:firstLine="0"/>
        <w:rPr>
          <w:rFonts w:cs="DanaFajr"/>
          <w:szCs w:val="28"/>
        </w:rPr>
      </w:pPr>
      <w:r w:rsidRPr="006571AC">
        <w:rPr>
          <w:rFonts w:cs="DanaFajr" w:hint="cs"/>
          <w:szCs w:val="28"/>
          <w:rtl/>
        </w:rPr>
        <w:t>(</w:t>
      </w:r>
      <w:r w:rsidRPr="006571AC">
        <w:rPr>
          <w:rStyle w:val="ac"/>
          <w:rFonts w:cs="DanaFajr"/>
          <w:szCs w:val="28"/>
          <w:vertAlign w:val="baseline"/>
        </w:rPr>
        <w:endnoteRef/>
      </w:r>
      <w:r w:rsidRPr="006571AC">
        <w:rPr>
          <w:rFonts w:cs="DanaFajr" w:hint="cs"/>
          <w:szCs w:val="28"/>
          <w:rtl/>
        </w:rPr>
        <w:t xml:space="preserve">) </w:t>
      </w:r>
      <w:r w:rsidRPr="006571AC">
        <w:rPr>
          <w:rFonts w:cs="DanaFajr"/>
          <w:szCs w:val="28"/>
          <w:rtl/>
        </w:rPr>
        <w:t>المشتق</w:t>
      </w:r>
      <w:r w:rsidRPr="006571AC">
        <w:rPr>
          <w:rFonts w:cs="DanaFajr" w:hint="cs"/>
          <w:szCs w:val="28"/>
          <w:rtl/>
        </w:rPr>
        <w:t>ّ</w:t>
      </w:r>
      <w:r w:rsidRPr="006571AC">
        <w:rPr>
          <w:rFonts w:cs="DanaFajr"/>
          <w:szCs w:val="28"/>
          <w:rtl/>
        </w:rPr>
        <w:t>ات المالية ومخاطر السوق والغرر: البحث عن بديل</w:t>
      </w:r>
      <w:r w:rsidRPr="006571AC">
        <w:rPr>
          <w:rFonts w:cs="DanaFajr" w:hint="cs"/>
          <w:szCs w:val="28"/>
          <w:rtl/>
        </w:rPr>
        <w:t>ٍ</w:t>
      </w:r>
      <w:r w:rsidRPr="006571AC">
        <w:rPr>
          <w:rFonts w:cs="DanaFajr"/>
          <w:szCs w:val="28"/>
          <w:rtl/>
        </w:rPr>
        <w:t xml:space="preserve"> </w:t>
      </w:r>
      <w:r w:rsidRPr="006571AC">
        <w:rPr>
          <w:rFonts w:cs="DanaFajr" w:hint="cs"/>
          <w:szCs w:val="28"/>
          <w:rtl/>
        </w:rPr>
        <w:t>إ</w:t>
      </w:r>
      <w:r w:rsidRPr="006571AC">
        <w:rPr>
          <w:rFonts w:cs="DanaFajr"/>
          <w:szCs w:val="28"/>
          <w:rtl/>
        </w:rPr>
        <w:t>سلامي</w:t>
      </w:r>
      <w:r w:rsidRPr="006571AC">
        <w:rPr>
          <w:rFonts w:cs="DanaFajr" w:hint="cs"/>
          <w:szCs w:val="28"/>
          <w:rtl/>
        </w:rPr>
        <w:t>.</w:t>
      </w:r>
    </w:p>
  </w:endnote>
  <w:endnote w:id="935">
    <w:p w:rsidR="00DB2356" w:rsidRPr="006571AC" w:rsidRDefault="00DB2356" w:rsidP="0024500D">
      <w:pPr>
        <w:spacing w:line="306" w:lineRule="exact"/>
        <w:ind w:firstLine="0"/>
        <w:rPr>
          <w:rFonts w:cs="DanaFajr"/>
          <w:szCs w:val="28"/>
        </w:rPr>
      </w:pPr>
      <w:r w:rsidRPr="006571AC">
        <w:rPr>
          <w:rFonts w:cs="DanaFajr" w:hint="cs"/>
          <w:szCs w:val="28"/>
          <w:rtl/>
        </w:rPr>
        <w:t>(</w:t>
      </w:r>
      <w:r w:rsidRPr="006571AC">
        <w:rPr>
          <w:rStyle w:val="ac"/>
          <w:rFonts w:cs="DanaFajr"/>
          <w:szCs w:val="28"/>
          <w:vertAlign w:val="baseline"/>
        </w:rPr>
        <w:endnoteRef/>
      </w:r>
      <w:r w:rsidRPr="006571AC">
        <w:rPr>
          <w:rFonts w:cs="DanaFajr" w:hint="cs"/>
          <w:szCs w:val="28"/>
          <w:rtl/>
        </w:rPr>
        <w:t xml:space="preserve">) </w:t>
      </w:r>
      <w:r w:rsidRPr="006571AC">
        <w:rPr>
          <w:rFonts w:cs="DanaFajr"/>
          <w:szCs w:val="28"/>
          <w:rtl/>
        </w:rPr>
        <w:t>راجع: ف.</w:t>
      </w:r>
      <w:r w:rsidRPr="006571AC">
        <w:rPr>
          <w:rFonts w:cs="DanaFajr" w:hint="cs"/>
          <w:szCs w:val="28"/>
          <w:rtl/>
        </w:rPr>
        <w:t xml:space="preserve"> </w:t>
      </w:r>
      <w:r w:rsidRPr="006571AC">
        <w:rPr>
          <w:rFonts w:cs="DanaFajr"/>
          <w:szCs w:val="28"/>
          <w:rtl/>
        </w:rPr>
        <w:t>بيريه</w:t>
      </w:r>
      <w:r w:rsidRPr="006571AC">
        <w:rPr>
          <w:rFonts w:cs="DanaFajr" w:hint="cs"/>
          <w:szCs w:val="28"/>
          <w:rtl/>
        </w:rPr>
        <w:t xml:space="preserve"> و</w:t>
      </w:r>
      <w:r w:rsidRPr="006571AC">
        <w:rPr>
          <w:rFonts w:cs="DanaFajr"/>
          <w:szCs w:val="28"/>
          <w:rtl/>
        </w:rPr>
        <w:t>م.</w:t>
      </w:r>
      <w:r w:rsidRPr="006571AC">
        <w:rPr>
          <w:rFonts w:cs="DanaFajr" w:hint="cs"/>
          <w:szCs w:val="28"/>
          <w:rtl/>
        </w:rPr>
        <w:t xml:space="preserve"> </w:t>
      </w:r>
      <w:r w:rsidRPr="006571AC">
        <w:rPr>
          <w:rFonts w:cs="DanaFajr"/>
          <w:szCs w:val="28"/>
          <w:rtl/>
        </w:rPr>
        <w:t>سيفيل، الأسس ال</w:t>
      </w:r>
      <w:r w:rsidRPr="006571AC">
        <w:rPr>
          <w:rFonts w:cs="DanaFajr" w:hint="cs"/>
          <w:szCs w:val="28"/>
          <w:rtl/>
        </w:rPr>
        <w:t>إ</w:t>
      </w:r>
      <w:r w:rsidRPr="006571AC">
        <w:rPr>
          <w:rFonts w:cs="DanaFajr"/>
          <w:szCs w:val="28"/>
          <w:rtl/>
        </w:rPr>
        <w:t xml:space="preserve">بستيمولوجية للبحث، </w:t>
      </w:r>
      <w:r w:rsidRPr="006571AC">
        <w:rPr>
          <w:rFonts w:cs="DanaFajr" w:hint="cs"/>
          <w:szCs w:val="28"/>
          <w:rtl/>
        </w:rPr>
        <w:t>2003م</w:t>
      </w:r>
      <w:r w:rsidRPr="006571AC">
        <w:rPr>
          <w:rFonts w:cs="DanaFajr"/>
          <w:szCs w:val="28"/>
          <w:rtl/>
        </w:rPr>
        <w:t>، في</w:t>
      </w:r>
      <w:r w:rsidRPr="006571AC">
        <w:rPr>
          <w:rFonts w:cs="DanaFajr" w:hint="cs"/>
          <w:szCs w:val="28"/>
          <w:rtl/>
        </w:rPr>
        <w:t>:</w:t>
      </w:r>
      <w:r w:rsidRPr="006571AC">
        <w:rPr>
          <w:rFonts w:cs="DanaFajr"/>
          <w:szCs w:val="28"/>
          <w:rtl/>
        </w:rPr>
        <w:t xml:space="preserve"> ر. أ. تييتار ومن معها، طرق البحث في علم ال</w:t>
      </w:r>
      <w:r w:rsidRPr="006571AC">
        <w:rPr>
          <w:rFonts w:cs="DanaFajr" w:hint="cs"/>
          <w:szCs w:val="28"/>
          <w:rtl/>
        </w:rPr>
        <w:t>إ</w:t>
      </w:r>
      <w:r w:rsidRPr="006571AC">
        <w:rPr>
          <w:rFonts w:cs="DanaFajr"/>
          <w:szCs w:val="28"/>
          <w:rtl/>
        </w:rPr>
        <w:t>دارة، باريس</w:t>
      </w:r>
      <w:r w:rsidRPr="006571AC">
        <w:rPr>
          <w:rFonts w:cs="DanaFajr" w:hint="cs"/>
          <w:szCs w:val="28"/>
          <w:rtl/>
        </w:rPr>
        <w:t>،</w:t>
      </w:r>
      <w:r w:rsidRPr="006571AC">
        <w:rPr>
          <w:rFonts w:cs="DanaFajr"/>
          <w:szCs w:val="28"/>
          <w:rtl/>
        </w:rPr>
        <w:t xml:space="preserve"> دينو </w:t>
      </w:r>
      <w:r w:rsidRPr="006571AC">
        <w:rPr>
          <w:rFonts w:asciiTheme="majorBidi" w:hAnsiTheme="majorBidi" w:cstheme="majorBidi"/>
          <w:sz w:val="20"/>
          <w:szCs w:val="20"/>
        </w:rPr>
        <w:t>Dunod</w:t>
      </w:r>
      <w:r w:rsidRPr="006571AC">
        <w:rPr>
          <w:rFonts w:cs="DanaFajr" w:hint="cs"/>
          <w:szCs w:val="28"/>
          <w:rtl/>
        </w:rPr>
        <w:t>.</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w:t>
      </w:r>
      <w:r w:rsidRPr="006571AC">
        <w:rPr>
          <w:rFonts w:cs="DanaFajr"/>
          <w:szCs w:val="28"/>
          <w:rtl/>
        </w:rPr>
        <w:t xml:space="preserve"> </w:t>
      </w:r>
    </w:p>
    <w:p w:rsidR="00DB2356" w:rsidRPr="00746EA6" w:rsidRDefault="00DB2356" w:rsidP="0024500D">
      <w:pPr>
        <w:pStyle w:val="aa"/>
        <w:bidi w:val="0"/>
        <w:spacing w:line="306" w:lineRule="exact"/>
        <w:ind w:firstLine="0"/>
        <w:rPr>
          <w:rFonts w:asciiTheme="majorBidi" w:hAnsiTheme="majorBidi" w:cstheme="majorBidi"/>
          <w:sz w:val="28"/>
          <w:szCs w:val="28"/>
        </w:rPr>
      </w:pPr>
      <w:r w:rsidRPr="006571AC">
        <w:rPr>
          <w:rFonts w:asciiTheme="majorBidi" w:hAnsiTheme="majorBidi" w:cstheme="majorBidi"/>
          <w:szCs w:val="28"/>
        </w:rPr>
        <w:t>Fondements Epistémologiques de la Recherche.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Yakout Linotype Light">
    <w:charset w:val="00"/>
    <w:family w:val="swiss"/>
    <w:pitch w:val="variable"/>
    <w:sig w:usb0="8000202F" w:usb1="8000204B" w:usb2="00000008" w:usb3="00000000" w:csb0="00000041" w:csb1="00000000"/>
  </w:font>
  <w:font w:name="Sultan bold">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Abz-1 (Lotus)">
    <w:panose1 w:val="00000400000000000000"/>
    <w:charset w:val="B2"/>
    <w:family w:val="auto"/>
    <w:pitch w:val="variable"/>
    <w:sig w:usb0="00002001" w:usb1="00000000" w:usb2="00000000" w:usb3="00000000" w:csb0="00000040" w:csb1="00000000"/>
  </w:font>
  <w:font w:name="Noto Sans Symbols">
    <w:charset w:val="00"/>
    <w:family w:val="auto"/>
    <w:pitch w:val="default"/>
  </w:font>
  <w:font w:name="AdvertisingBold">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panose1 w:val="00000400000000000000"/>
    <w:charset w:val="00"/>
    <w:family w:val="auto"/>
    <w:pitch w:val="variable"/>
    <w:sig w:usb0="00000083" w:usb1="00000000" w:usb2="00000000" w:usb3="00000000" w:csb0="00000009"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altName w:val="Times New Roman"/>
    <w:panose1 w:val="00000000000000000000"/>
    <w:charset w:val="B2"/>
    <w:family w:val="auto"/>
    <w:notTrueType/>
    <w:pitch w:val="variable"/>
    <w:sig w:usb0="00002000"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charset w:val="B2"/>
    <w:family w:val="auto"/>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jk-kawthar3 normal-simplifid">
    <w:altName w:val="Times New Roman"/>
    <w:charset w:val="00"/>
    <w:family w:val="auto"/>
    <w:pitch w:val="variable"/>
    <w:sig w:usb0="00006007" w:usb1="80000000" w:usb2="00000008" w:usb3="00000000" w:csb0="00000043" w:csb1="00000000"/>
  </w:font>
  <w:font w:name="AMUNA">
    <w:altName w:val="Times New Roman"/>
    <w:charset w:val="B2"/>
    <w:family w:val="auto"/>
    <w:pitch w:val="variable"/>
    <w:sig w:usb0="00002001" w:usb1="00000000" w:usb2="00000000" w:usb3="00000000" w:csb0="00000040" w:csb1="00000000"/>
  </w:font>
  <w:font w:name="ajk-mohsen">
    <w:altName w:val="Courier New"/>
    <w:charset w:val="B2"/>
    <w:family w:val="auto"/>
    <w:pitch w:val="variable"/>
    <w:sig w:usb0="00006001" w:usb1="00000000" w:usb2="00000000" w:usb3="00000000" w:csb0="00000040" w:csb1="00000000"/>
  </w:font>
  <w:font w:name="ALMUNA">
    <w:altName w:val="Times New Roman"/>
    <w:charset w:val="B2"/>
    <w:family w:val="auto"/>
    <w:pitch w:val="variable"/>
    <w:sig w:usb0="00002000" w:usb1="00000000" w:usb2="00000000" w:usb3="00000000" w:csb0="00000040" w:csb1="00000000"/>
  </w:font>
  <w:font w:name="Rateb lotusb2011">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Lotus Linotype Light">
    <w:altName w:val="Times New Roman"/>
    <w:panose1 w:val="00000000000000000000"/>
    <w:charset w:val="B2"/>
    <w:family w:val="auto"/>
    <w:notTrueType/>
    <w:pitch w:val="default"/>
    <w:sig w:usb0="00002000" w:usb1="00000000" w:usb2="00000000" w:usb3="00000000" w:csb0="00000040" w:csb1="00000000"/>
  </w:font>
  <w:font w:name="Helvetica">
    <w:panose1 w:val="020B0604020202030204"/>
    <w:charset w:val="00"/>
    <w:family w:val="swiss"/>
    <w:pitch w:val="variable"/>
    <w:sig w:usb0="00000007" w:usb1="00000000" w:usb2="00000000" w:usb3="00000000" w:csb0="00000093" w:csb1="00000000"/>
  </w:font>
  <w:font w:name="Adobe Arabic">
    <w:panose1 w:val="00000000000000000000"/>
    <w:charset w:val="00"/>
    <w:family w:val="roman"/>
    <w:notTrueType/>
    <w:pitch w:val="variable"/>
    <w:sig w:usb0="8000202F" w:usb1="8000A04A" w:usb2="00000008" w:usb3="00000000" w:csb0="00000041" w:csb1="00000000"/>
  </w:font>
  <w:font w:name="KFGQPC Uthmanic Script HAFS">
    <w:charset w:val="B2"/>
    <w:family w:val="auto"/>
    <w:pitch w:val="variable"/>
    <w:sig w:usb0="00002001" w:usb1="00000000" w:usb2="00000000" w:usb3="00000000" w:csb0="00000040"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GE Flow (OTF) Bold">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Al-Najaf95">
    <w:panose1 w:val="00000000000000000000"/>
    <w:charset w:val="B2"/>
    <w:family w:val="auto"/>
    <w:pitch w:val="variable"/>
    <w:sig w:usb0="00002001" w:usb1="00000000" w:usb2="00000000"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Angsana New">
    <w:panose1 w:val="02020603050405020304"/>
    <w:charset w:val="00"/>
    <w:family w:val="roman"/>
    <w:pitch w:val="variable"/>
    <w:sig w:usb0="01000003" w:usb1="00000000" w:usb2="00000000" w:usb3="00000000" w:csb0="00010001" w:csb1="00000000"/>
  </w:font>
  <w:font w:name="Arabic Typesetting">
    <w:panose1 w:val="03020402040406030203"/>
    <w:charset w:val="00"/>
    <w:family w:val="script"/>
    <w:pitch w:val="variable"/>
    <w:sig w:usb0="80002007" w:usb1="80000000" w:usb2="00000008" w:usb3="00000000" w:csb0="000000D3" w:csb1="00000000"/>
  </w:font>
  <w:font w:name="Tekton Pro Cond">
    <w:panose1 w:val="00000000000000000000"/>
    <w:charset w:val="00"/>
    <w:family w:val="swiss"/>
    <w:notTrueType/>
    <w:pitch w:val="variable"/>
    <w:sig w:usb0="00000007" w:usb1="00000001" w:usb2="00000000" w:usb3="00000000" w:csb0="00000093" w:csb1="00000000"/>
  </w:font>
  <w:font w:name="Droid Arabic Naskh">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inherit">
    <w:altName w:val="Cambria"/>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55DC1" w:rsidRDefault="00DB2356" w:rsidP="00255DC1">
    <w:pPr>
      <w:pStyle w:val="a8"/>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5310A6">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94A8A" w:rsidRDefault="00DB2356" w:rsidP="00394A8A">
    <w:pPr>
      <w:pStyle w:val="a8"/>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76</w:t>
    </w:r>
    <w:r w:rsidRPr="005F2EF4">
      <w:rPr>
        <w:rFonts w:cs="Simplified Arabic"/>
        <w:b/>
        <w:bCs/>
        <w:position w:val="-4"/>
        <w:sz w:val="26"/>
        <w:szCs w:val="26"/>
        <w:rtl/>
      </w:rPr>
      <w:fldChar w:fldCharType="end"/>
    </w:r>
    <w:r w:rsidRPr="005F2EF4">
      <w:rPr>
        <w:rFonts w:cs="FS_Kofi_Ahram" w:hint="cs"/>
        <w:sz w:val="22"/>
        <w:szCs w:val="22"/>
        <w:rtl/>
      </w:rPr>
      <w:tab/>
    </w:r>
    <w:r w:rsidRPr="007616F5">
      <w:rPr>
        <w:rFonts w:cs="FS_Kofi_Ahram" w:hint="cs"/>
        <w:sz w:val="21"/>
        <w:szCs w:val="21"/>
        <w:rtl/>
      </w:rPr>
      <w:t>الاجتهاد والتجديد</w:t>
    </w:r>
    <w:r w:rsidRPr="007616F5">
      <w:rPr>
        <w:rFonts w:cs="Abz-2 (Badr)" w:hint="cs"/>
        <w:b/>
        <w:bCs/>
        <w:sz w:val="21"/>
        <w:szCs w:val="21"/>
        <w:rtl/>
      </w:rPr>
      <w:t xml:space="preserve"> ـ </w:t>
    </w:r>
    <w:r w:rsidRPr="007616F5">
      <w:rPr>
        <w:rFonts w:cs="Abz-2 (Badr)"/>
        <w:b/>
        <w:bCs/>
        <w:sz w:val="21"/>
        <w:szCs w:val="21"/>
        <w:rtl/>
      </w:rPr>
      <w:t>العـدد</w:t>
    </w:r>
    <w:r w:rsidRPr="007616F5">
      <w:rPr>
        <w:rFonts w:cs="Abz-2 (Badr)" w:hint="cs"/>
        <w:b/>
        <w:bCs/>
        <w:sz w:val="21"/>
        <w:szCs w:val="21"/>
        <w:rtl/>
      </w:rPr>
      <w:t>ان 59 ـ 60</w:t>
    </w:r>
    <w:r w:rsidRPr="007616F5">
      <w:rPr>
        <w:rFonts w:cs="Abz-2 (Badr)"/>
        <w:b/>
        <w:bCs/>
        <w:sz w:val="21"/>
        <w:szCs w:val="21"/>
        <w:rtl/>
      </w:rPr>
      <w:t>، السـ</w:t>
    </w:r>
    <w:r w:rsidRPr="007616F5">
      <w:rPr>
        <w:rFonts w:cs="Abz-2 (Badr)" w:hint="cs"/>
        <w:b/>
        <w:bCs/>
        <w:sz w:val="21"/>
        <w:szCs w:val="21"/>
        <w:rtl/>
      </w:rPr>
      <w:t>نة الخامسة عشرة</w:t>
    </w:r>
    <w:r w:rsidRPr="007616F5">
      <w:rPr>
        <w:rFonts w:cs="Abz-2 (Badr)"/>
        <w:b/>
        <w:bCs/>
        <w:sz w:val="21"/>
        <w:szCs w:val="21"/>
        <w:rtl/>
      </w:rPr>
      <w:t xml:space="preserve">، </w:t>
    </w:r>
    <w:r w:rsidRPr="007616F5">
      <w:rPr>
        <w:rFonts w:cs="Abz-2 (Badr)" w:hint="cs"/>
        <w:b/>
        <w:bCs/>
        <w:sz w:val="21"/>
        <w:szCs w:val="21"/>
        <w:rtl/>
      </w:rPr>
      <w:t>صيف وخريف 2021م ـ 1443هـ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7616F5">
      <w:rPr>
        <w:rFonts w:cs="FS_Kofi_Ahram" w:hint="cs"/>
        <w:sz w:val="21"/>
        <w:szCs w:val="21"/>
        <w:rtl/>
      </w:rPr>
      <w:t>الاجتهاد والتجديد</w:t>
    </w:r>
    <w:r w:rsidRPr="007616F5">
      <w:rPr>
        <w:rFonts w:cs="Abz-2 (Badr)" w:hint="cs"/>
        <w:b/>
        <w:bCs/>
        <w:sz w:val="21"/>
        <w:szCs w:val="21"/>
        <w:rtl/>
      </w:rPr>
      <w:t xml:space="preserve"> ـ </w:t>
    </w:r>
    <w:r w:rsidRPr="007616F5">
      <w:rPr>
        <w:rFonts w:cs="Abz-2 (Badr)"/>
        <w:b/>
        <w:bCs/>
        <w:sz w:val="21"/>
        <w:szCs w:val="21"/>
        <w:rtl/>
      </w:rPr>
      <w:t>العـدد</w:t>
    </w:r>
    <w:r w:rsidRPr="007616F5">
      <w:rPr>
        <w:rFonts w:cs="Abz-2 (Badr)" w:hint="cs"/>
        <w:b/>
        <w:bCs/>
        <w:sz w:val="21"/>
        <w:szCs w:val="21"/>
        <w:rtl/>
      </w:rPr>
      <w:t>ان 59 ـ 60</w:t>
    </w:r>
    <w:r w:rsidRPr="007616F5">
      <w:rPr>
        <w:rFonts w:cs="Abz-2 (Badr)"/>
        <w:b/>
        <w:bCs/>
        <w:sz w:val="21"/>
        <w:szCs w:val="21"/>
        <w:rtl/>
      </w:rPr>
      <w:t>، السـن</w:t>
    </w:r>
    <w:r w:rsidRPr="007616F5">
      <w:rPr>
        <w:rFonts w:cs="Abz-2 (Badr)" w:hint="cs"/>
        <w:b/>
        <w:bCs/>
        <w:sz w:val="21"/>
        <w:szCs w:val="21"/>
        <w:rtl/>
      </w:rPr>
      <w:t>ة الخامسة عشرة</w:t>
    </w:r>
    <w:r w:rsidRPr="007616F5">
      <w:rPr>
        <w:rFonts w:cs="Abz-2 (Badr)"/>
        <w:b/>
        <w:bCs/>
        <w:sz w:val="21"/>
        <w:szCs w:val="21"/>
        <w:rtl/>
      </w:rPr>
      <w:t xml:space="preserve">، </w:t>
    </w:r>
    <w:r w:rsidRPr="007616F5">
      <w:rPr>
        <w:rFonts w:cs="Abz-2 (Badr)" w:hint="cs"/>
        <w:b/>
        <w:bCs/>
        <w:sz w:val="21"/>
        <w:szCs w:val="21"/>
        <w:rtl/>
      </w:rPr>
      <w:t>صيف وخريف 2021م ـ 1443هـ</w:t>
    </w:r>
    <w:r w:rsidRPr="007616F5">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75</w:t>
    </w:r>
    <w:r w:rsidRPr="005F2EF4">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a8"/>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104</w:t>
    </w:r>
    <w:r w:rsidRPr="005F2EF4">
      <w:rPr>
        <w:rFonts w:cs="Simplified Arabic"/>
        <w:b/>
        <w:bCs/>
        <w:position w:val="-4"/>
        <w:sz w:val="26"/>
        <w:szCs w:val="26"/>
        <w:rtl/>
      </w:rPr>
      <w:fldChar w:fldCharType="end"/>
    </w:r>
    <w:r w:rsidRPr="005F2EF4">
      <w:rPr>
        <w:rFonts w:cs="FS_Kofi_Ahram" w:hint="cs"/>
        <w:sz w:val="22"/>
        <w:szCs w:val="22"/>
        <w:rtl/>
      </w:rPr>
      <w:tab/>
    </w:r>
    <w:r w:rsidRPr="007616F5">
      <w:rPr>
        <w:rFonts w:cs="FS_Kofi_Ahram" w:hint="cs"/>
        <w:sz w:val="21"/>
        <w:szCs w:val="21"/>
        <w:rtl/>
      </w:rPr>
      <w:t>الاجتهاد والتجديد</w:t>
    </w:r>
    <w:r w:rsidRPr="007616F5">
      <w:rPr>
        <w:rFonts w:cs="Abz-2 (Badr)" w:hint="cs"/>
        <w:b/>
        <w:bCs/>
        <w:sz w:val="21"/>
        <w:szCs w:val="21"/>
        <w:rtl/>
      </w:rPr>
      <w:t xml:space="preserve"> ـ </w:t>
    </w:r>
    <w:r w:rsidRPr="007616F5">
      <w:rPr>
        <w:rFonts w:cs="Abz-2 (Badr)"/>
        <w:b/>
        <w:bCs/>
        <w:sz w:val="21"/>
        <w:szCs w:val="21"/>
        <w:rtl/>
      </w:rPr>
      <w:t>العـدد</w:t>
    </w:r>
    <w:r w:rsidRPr="007616F5">
      <w:rPr>
        <w:rFonts w:cs="Abz-2 (Badr)" w:hint="cs"/>
        <w:b/>
        <w:bCs/>
        <w:sz w:val="21"/>
        <w:szCs w:val="21"/>
        <w:rtl/>
      </w:rPr>
      <w:t>ان 59 ـ 60</w:t>
    </w:r>
    <w:r w:rsidRPr="007616F5">
      <w:rPr>
        <w:rFonts w:cs="Abz-2 (Badr)"/>
        <w:b/>
        <w:bCs/>
        <w:sz w:val="21"/>
        <w:szCs w:val="21"/>
        <w:rtl/>
      </w:rPr>
      <w:t>، السـ</w:t>
    </w:r>
    <w:r w:rsidRPr="007616F5">
      <w:rPr>
        <w:rFonts w:cs="Abz-2 (Badr)" w:hint="cs"/>
        <w:b/>
        <w:bCs/>
        <w:sz w:val="21"/>
        <w:szCs w:val="21"/>
        <w:rtl/>
      </w:rPr>
      <w:t>نة الخامسة عشرة</w:t>
    </w:r>
    <w:r w:rsidRPr="007616F5">
      <w:rPr>
        <w:rFonts w:cs="Abz-2 (Badr)"/>
        <w:b/>
        <w:bCs/>
        <w:sz w:val="21"/>
        <w:szCs w:val="21"/>
        <w:rtl/>
      </w:rPr>
      <w:t xml:space="preserve">، </w:t>
    </w:r>
    <w:r w:rsidRPr="007616F5">
      <w:rPr>
        <w:rFonts w:cs="Abz-2 (Badr)" w:hint="cs"/>
        <w:b/>
        <w:bCs/>
        <w:sz w:val="21"/>
        <w:szCs w:val="21"/>
        <w:rtl/>
      </w:rPr>
      <w:t>صيف وخريف 2021م ـ 1443هـ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7616F5">
      <w:rPr>
        <w:rFonts w:cs="FS_Kofi_Ahram" w:hint="cs"/>
        <w:sz w:val="21"/>
        <w:szCs w:val="21"/>
        <w:rtl/>
      </w:rPr>
      <w:t>الاجتهاد والتجديد</w:t>
    </w:r>
    <w:r w:rsidRPr="007616F5">
      <w:rPr>
        <w:rFonts w:cs="Abz-2 (Badr)" w:hint="cs"/>
        <w:b/>
        <w:bCs/>
        <w:sz w:val="21"/>
        <w:szCs w:val="21"/>
        <w:rtl/>
      </w:rPr>
      <w:t xml:space="preserve"> ـ </w:t>
    </w:r>
    <w:r w:rsidRPr="007616F5">
      <w:rPr>
        <w:rFonts w:cs="Abz-2 (Badr)"/>
        <w:b/>
        <w:bCs/>
        <w:sz w:val="21"/>
        <w:szCs w:val="21"/>
        <w:rtl/>
      </w:rPr>
      <w:t>العـدد</w:t>
    </w:r>
    <w:r w:rsidRPr="007616F5">
      <w:rPr>
        <w:rFonts w:cs="Abz-2 (Badr)" w:hint="cs"/>
        <w:b/>
        <w:bCs/>
        <w:sz w:val="21"/>
        <w:szCs w:val="21"/>
        <w:rtl/>
      </w:rPr>
      <w:t>ان 59 ـ 60</w:t>
    </w:r>
    <w:r w:rsidRPr="007616F5">
      <w:rPr>
        <w:rFonts w:cs="Abz-2 (Badr)"/>
        <w:b/>
        <w:bCs/>
        <w:sz w:val="21"/>
        <w:szCs w:val="21"/>
        <w:rtl/>
      </w:rPr>
      <w:t>، السـن</w:t>
    </w:r>
    <w:r w:rsidRPr="007616F5">
      <w:rPr>
        <w:rFonts w:cs="Abz-2 (Badr)" w:hint="cs"/>
        <w:b/>
        <w:bCs/>
        <w:sz w:val="21"/>
        <w:szCs w:val="21"/>
        <w:rtl/>
      </w:rPr>
      <w:t>ة الخامسة عشرة</w:t>
    </w:r>
    <w:r w:rsidRPr="007616F5">
      <w:rPr>
        <w:rFonts w:cs="Abz-2 (Badr)"/>
        <w:b/>
        <w:bCs/>
        <w:sz w:val="21"/>
        <w:szCs w:val="21"/>
        <w:rtl/>
      </w:rPr>
      <w:t xml:space="preserve">، </w:t>
    </w:r>
    <w:r w:rsidRPr="007616F5">
      <w:rPr>
        <w:rFonts w:cs="Abz-2 (Badr)" w:hint="cs"/>
        <w:b/>
        <w:bCs/>
        <w:sz w:val="21"/>
        <w:szCs w:val="21"/>
        <w:rtl/>
      </w:rPr>
      <w:t>صيف وخريف 2021م ـ 1443هـ</w:t>
    </w:r>
    <w:r w:rsidRPr="007616F5">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103</w:t>
    </w:r>
    <w:r w:rsidRPr="005F2EF4">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676CA" w:rsidRDefault="00DB2356" w:rsidP="009676CA">
    <w:pPr>
      <w:pStyle w:val="a8"/>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E45196" w:rsidRDefault="00DB2356" w:rsidP="00E45196">
    <w:pPr>
      <w:pStyle w:val="a8"/>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132</w:t>
    </w:r>
    <w:r w:rsidRPr="005F2EF4">
      <w:rPr>
        <w:rFonts w:cs="Simplified Arabic"/>
        <w:b/>
        <w:bCs/>
        <w:position w:val="-4"/>
        <w:sz w:val="26"/>
        <w:szCs w:val="26"/>
        <w:rtl/>
      </w:rPr>
      <w:fldChar w:fldCharType="end"/>
    </w:r>
    <w:r w:rsidRPr="005F2EF4">
      <w:rPr>
        <w:rFonts w:cs="FS_Kofi_Ahram" w:hint="cs"/>
        <w:sz w:val="22"/>
        <w:szCs w:val="22"/>
        <w:rtl/>
      </w:rPr>
      <w:tab/>
    </w:r>
    <w:r w:rsidRPr="007616F5">
      <w:rPr>
        <w:rFonts w:cs="FS_Kofi_Ahram" w:hint="cs"/>
        <w:sz w:val="21"/>
        <w:szCs w:val="21"/>
        <w:rtl/>
      </w:rPr>
      <w:t>الاجتهاد والتجديد</w:t>
    </w:r>
    <w:r w:rsidRPr="007616F5">
      <w:rPr>
        <w:rFonts w:cs="Abz-2 (Badr)" w:hint="cs"/>
        <w:b/>
        <w:bCs/>
        <w:sz w:val="21"/>
        <w:szCs w:val="21"/>
        <w:rtl/>
      </w:rPr>
      <w:t xml:space="preserve"> ـ </w:t>
    </w:r>
    <w:r w:rsidRPr="007616F5">
      <w:rPr>
        <w:rFonts w:cs="Abz-2 (Badr)"/>
        <w:b/>
        <w:bCs/>
        <w:sz w:val="21"/>
        <w:szCs w:val="21"/>
        <w:rtl/>
      </w:rPr>
      <w:t>العـدد</w:t>
    </w:r>
    <w:r w:rsidRPr="007616F5">
      <w:rPr>
        <w:rFonts w:cs="Abz-2 (Badr)" w:hint="cs"/>
        <w:b/>
        <w:bCs/>
        <w:sz w:val="21"/>
        <w:szCs w:val="21"/>
        <w:rtl/>
      </w:rPr>
      <w:t>ان 59 ـ 60</w:t>
    </w:r>
    <w:r w:rsidRPr="007616F5">
      <w:rPr>
        <w:rFonts w:cs="Abz-2 (Badr)"/>
        <w:b/>
        <w:bCs/>
        <w:sz w:val="21"/>
        <w:szCs w:val="21"/>
        <w:rtl/>
      </w:rPr>
      <w:t>، السـ</w:t>
    </w:r>
    <w:r w:rsidRPr="007616F5">
      <w:rPr>
        <w:rFonts w:cs="Abz-2 (Badr)" w:hint="cs"/>
        <w:b/>
        <w:bCs/>
        <w:sz w:val="21"/>
        <w:szCs w:val="21"/>
        <w:rtl/>
      </w:rPr>
      <w:t>نة الخامسة عشرة</w:t>
    </w:r>
    <w:r w:rsidRPr="007616F5">
      <w:rPr>
        <w:rFonts w:cs="Abz-2 (Badr)"/>
        <w:b/>
        <w:bCs/>
        <w:sz w:val="21"/>
        <w:szCs w:val="21"/>
        <w:rtl/>
      </w:rPr>
      <w:t xml:space="preserve">، </w:t>
    </w:r>
    <w:r w:rsidRPr="007616F5">
      <w:rPr>
        <w:rFonts w:cs="Abz-2 (Badr)" w:hint="cs"/>
        <w:b/>
        <w:bCs/>
        <w:sz w:val="21"/>
        <w:szCs w:val="21"/>
        <w:rtl/>
      </w:rPr>
      <w:t>صيف وخريف 2021م ـ 1443هـ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السـن</w:t>
    </w:r>
    <w:r w:rsidRPr="0031619B">
      <w:rPr>
        <w:rFonts w:cs="Abz-2 (Badr)" w:hint="cs"/>
        <w:b/>
        <w:bCs/>
        <w:sz w:val="21"/>
        <w:szCs w:val="21"/>
        <w:rtl/>
      </w:rPr>
      <w:t>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r w:rsidRPr="0031619B">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131</w:t>
    </w:r>
    <w:r w:rsidRPr="005F2EF4">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a8"/>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172</w:t>
    </w:r>
    <w:r w:rsidRPr="005F2EF4">
      <w:rPr>
        <w:rFonts w:cs="Simplified Arabic"/>
        <w:b/>
        <w:bCs/>
        <w:position w:val="-4"/>
        <w:sz w:val="26"/>
        <w:szCs w:val="26"/>
        <w:rtl/>
      </w:rPr>
      <w:fldChar w:fldCharType="end"/>
    </w:r>
    <w:r w:rsidRPr="005F2EF4">
      <w:rPr>
        <w:rFonts w:cs="FS_Kofi_Ahram" w:hint="cs"/>
        <w:sz w:val="22"/>
        <w:szCs w:val="22"/>
        <w:rtl/>
      </w:rPr>
      <w:tab/>
    </w: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w:t>
    </w:r>
    <w:r w:rsidRPr="0031619B">
      <w:rPr>
        <w:rFonts w:cs="Abz-2 (Badr)" w:hint="cs"/>
        <w:b/>
        <w:bCs/>
        <w:sz w:val="21"/>
        <w:szCs w:val="21"/>
        <w:rtl/>
      </w:rPr>
      <w:t>نة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السـن</w:t>
    </w:r>
    <w:r w:rsidRPr="0031619B">
      <w:rPr>
        <w:rFonts w:cs="Abz-2 (Badr)" w:hint="cs"/>
        <w:b/>
        <w:bCs/>
        <w:sz w:val="21"/>
        <w:szCs w:val="21"/>
        <w:rtl/>
      </w:rPr>
      <w:t>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r w:rsidRPr="0031619B">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171</w:t>
    </w:r>
    <w:r w:rsidRPr="005F2EF4">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a8"/>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202</w:t>
    </w:r>
    <w:r w:rsidRPr="005F2EF4">
      <w:rPr>
        <w:rFonts w:cs="Simplified Arabic"/>
        <w:b/>
        <w:bCs/>
        <w:position w:val="-4"/>
        <w:sz w:val="26"/>
        <w:szCs w:val="26"/>
        <w:rtl/>
      </w:rPr>
      <w:fldChar w:fldCharType="end"/>
    </w:r>
    <w:r w:rsidRPr="005F2EF4">
      <w:rPr>
        <w:rFonts w:cs="FS_Kofi_Ahram" w:hint="cs"/>
        <w:sz w:val="22"/>
        <w:szCs w:val="22"/>
        <w:rtl/>
      </w:rPr>
      <w:tab/>
    </w: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w:t>
    </w:r>
    <w:r w:rsidRPr="0031619B">
      <w:rPr>
        <w:rFonts w:cs="Abz-2 (Badr)" w:hint="cs"/>
        <w:b/>
        <w:bCs/>
        <w:sz w:val="21"/>
        <w:szCs w:val="21"/>
        <w:rtl/>
      </w:rPr>
      <w:t>نة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السـن</w:t>
    </w:r>
    <w:r w:rsidRPr="0031619B">
      <w:rPr>
        <w:rFonts w:cs="Abz-2 (Badr)" w:hint="cs"/>
        <w:b/>
        <w:bCs/>
        <w:sz w:val="21"/>
        <w:szCs w:val="21"/>
        <w:rtl/>
      </w:rPr>
      <w:t>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r w:rsidRPr="0031619B">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201</w:t>
    </w:r>
    <w:r w:rsidRPr="005F2EF4">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682BA9" w:rsidRDefault="00DB2356" w:rsidP="00CF1087">
    <w:pPr>
      <w:pStyle w:val="a8"/>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a8"/>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218</w:t>
    </w:r>
    <w:r w:rsidRPr="005F2EF4">
      <w:rPr>
        <w:rFonts w:cs="Simplified Arabic"/>
        <w:b/>
        <w:bCs/>
        <w:position w:val="-4"/>
        <w:sz w:val="26"/>
        <w:szCs w:val="26"/>
        <w:rtl/>
      </w:rPr>
      <w:fldChar w:fldCharType="end"/>
    </w:r>
    <w:r w:rsidRPr="005F2EF4">
      <w:rPr>
        <w:rFonts w:cs="FS_Kofi_Ahram" w:hint="cs"/>
        <w:sz w:val="22"/>
        <w:szCs w:val="22"/>
        <w:rtl/>
      </w:rPr>
      <w:tab/>
    </w: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w:t>
    </w:r>
    <w:r w:rsidRPr="0031619B">
      <w:rPr>
        <w:rFonts w:cs="Abz-2 (Badr)" w:hint="cs"/>
        <w:b/>
        <w:bCs/>
        <w:sz w:val="21"/>
        <w:szCs w:val="21"/>
        <w:rtl/>
      </w:rPr>
      <w:t>نة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السـن</w:t>
    </w:r>
    <w:r w:rsidRPr="0031619B">
      <w:rPr>
        <w:rFonts w:cs="Abz-2 (Badr)" w:hint="cs"/>
        <w:b/>
        <w:bCs/>
        <w:sz w:val="21"/>
        <w:szCs w:val="21"/>
        <w:rtl/>
      </w:rPr>
      <w:t>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r w:rsidRPr="0031619B">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217</w:t>
    </w:r>
    <w:r w:rsidRPr="005F2EF4">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a8"/>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246</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السـن</w:t>
    </w:r>
    <w:r w:rsidRPr="0031619B">
      <w:rPr>
        <w:rFonts w:cs="Abz-2 (Badr)" w:hint="cs"/>
        <w:b/>
        <w:bCs/>
        <w:sz w:val="21"/>
        <w:szCs w:val="21"/>
        <w:rtl/>
      </w:rPr>
      <w:t>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247</w:t>
    </w:r>
    <w:r w:rsidRPr="005F2EF4">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a8"/>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B20417" w:rsidRDefault="00DB2356" w:rsidP="001152FD">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10</w:t>
    </w:r>
    <w:r w:rsidRPr="005F2EF4">
      <w:rPr>
        <w:rFonts w:cs="Simplified Arabic"/>
        <w:b/>
        <w:bCs/>
        <w:position w:val="-4"/>
        <w:sz w:val="26"/>
        <w:szCs w:val="26"/>
        <w:rtl/>
      </w:rPr>
      <w:fldChar w:fldCharType="end"/>
    </w:r>
    <w:r w:rsidRPr="005F2EF4">
      <w:rPr>
        <w:rFonts w:cs="FS_Kofi_Ahram" w:hint="cs"/>
        <w:sz w:val="22"/>
        <w:szCs w:val="22"/>
        <w:rtl/>
      </w:rPr>
      <w:tab/>
    </w:r>
    <w:r w:rsidRPr="00AA0282">
      <w:rPr>
        <w:rFonts w:cs="FS_Kofi_Ahram" w:hint="cs"/>
        <w:sz w:val="21"/>
        <w:szCs w:val="21"/>
        <w:rtl/>
      </w:rPr>
      <w:t>الاجتهاد والتجديد</w:t>
    </w:r>
    <w:r w:rsidRPr="00AA0282">
      <w:rPr>
        <w:rFonts w:cs="Abz-2 (Badr)" w:hint="cs"/>
        <w:b/>
        <w:bCs/>
        <w:sz w:val="21"/>
        <w:szCs w:val="21"/>
        <w:rtl/>
      </w:rPr>
      <w:t xml:space="preserve"> ـ </w:t>
    </w:r>
    <w:r w:rsidRPr="00AA0282">
      <w:rPr>
        <w:rFonts w:cs="Abz-2 (Badr)"/>
        <w:b/>
        <w:bCs/>
        <w:sz w:val="21"/>
        <w:szCs w:val="21"/>
        <w:rtl/>
      </w:rPr>
      <w:t>العـدد</w:t>
    </w:r>
    <w:r w:rsidRPr="00AA0282">
      <w:rPr>
        <w:rFonts w:cs="Abz-2 (Badr)" w:hint="cs"/>
        <w:b/>
        <w:bCs/>
        <w:sz w:val="21"/>
        <w:szCs w:val="21"/>
        <w:rtl/>
      </w:rPr>
      <w:t>ان 59 ـ 60</w:t>
    </w:r>
    <w:r w:rsidRPr="00AA0282">
      <w:rPr>
        <w:rFonts w:cs="Abz-2 (Badr)"/>
        <w:b/>
        <w:bCs/>
        <w:sz w:val="21"/>
        <w:szCs w:val="21"/>
        <w:rtl/>
      </w:rPr>
      <w:t>، السـ</w:t>
    </w:r>
    <w:r w:rsidRPr="00AA0282">
      <w:rPr>
        <w:rFonts w:cs="Abz-2 (Badr)" w:hint="cs"/>
        <w:b/>
        <w:bCs/>
        <w:sz w:val="21"/>
        <w:szCs w:val="21"/>
        <w:rtl/>
      </w:rPr>
      <w:t>نة الخامسة عشرة</w:t>
    </w:r>
    <w:r w:rsidRPr="00AA0282">
      <w:rPr>
        <w:rFonts w:cs="Abz-2 (Badr)"/>
        <w:b/>
        <w:bCs/>
        <w:sz w:val="21"/>
        <w:szCs w:val="21"/>
        <w:rtl/>
      </w:rPr>
      <w:t xml:space="preserve">، </w:t>
    </w:r>
    <w:r w:rsidRPr="00AA0282">
      <w:rPr>
        <w:rFonts w:cs="Abz-2 (Badr)" w:hint="cs"/>
        <w:b/>
        <w:bCs/>
        <w:sz w:val="21"/>
        <w:szCs w:val="21"/>
        <w:rtl/>
      </w:rPr>
      <w:t>صيف وخريف 2021م ـ 1443هـ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264</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265</w:t>
    </w:r>
    <w:r w:rsidRPr="005F2EF4">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a8"/>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298</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297</w:t>
    </w:r>
    <w:r w:rsidRPr="005F2EF4">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a8"/>
      <w:rPr>
        <w:szCs w:val="28"/>
        <w:rtl/>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316</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315</w:t>
    </w:r>
    <w:r w:rsidRPr="005F2EF4">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1152FD">
    <w:pPr>
      <w:tabs>
        <w:tab w:val="right" w:pos="7030"/>
      </w:tabs>
      <w:ind w:firstLine="0"/>
      <w:rPr>
        <w:sz w:val="34"/>
        <w:szCs w:val="20"/>
        <w:rtl/>
      </w:rPr>
    </w:pPr>
    <w:r w:rsidRPr="00AA0282">
      <w:rPr>
        <w:rFonts w:cs="FS_Kofi_Ahram" w:hint="cs"/>
        <w:sz w:val="21"/>
        <w:szCs w:val="21"/>
        <w:rtl/>
      </w:rPr>
      <w:t>الاجتهاد والتجديد</w:t>
    </w:r>
    <w:r w:rsidRPr="00AA0282">
      <w:rPr>
        <w:rFonts w:cs="Abz-2 (Badr)" w:hint="cs"/>
        <w:b/>
        <w:bCs/>
        <w:sz w:val="21"/>
        <w:szCs w:val="21"/>
        <w:rtl/>
      </w:rPr>
      <w:t xml:space="preserve"> ـ </w:t>
    </w:r>
    <w:r w:rsidRPr="00AA0282">
      <w:rPr>
        <w:rFonts w:cs="Abz-2 (Badr)"/>
        <w:b/>
        <w:bCs/>
        <w:sz w:val="21"/>
        <w:szCs w:val="21"/>
        <w:rtl/>
      </w:rPr>
      <w:t>العـدد</w:t>
    </w:r>
    <w:r w:rsidRPr="00AA0282">
      <w:rPr>
        <w:rFonts w:cs="Abz-2 (Badr)" w:hint="cs"/>
        <w:b/>
        <w:bCs/>
        <w:sz w:val="21"/>
        <w:szCs w:val="21"/>
        <w:rtl/>
      </w:rPr>
      <w:t>ان 59 ـ 60</w:t>
    </w:r>
    <w:r w:rsidRPr="00AA0282">
      <w:rPr>
        <w:rFonts w:cs="Abz-2 (Badr)"/>
        <w:b/>
        <w:bCs/>
        <w:sz w:val="21"/>
        <w:szCs w:val="21"/>
        <w:rtl/>
      </w:rPr>
      <w:t>، السـن</w:t>
    </w:r>
    <w:r w:rsidRPr="00AA0282">
      <w:rPr>
        <w:rFonts w:cs="Abz-2 (Badr)" w:hint="cs"/>
        <w:b/>
        <w:bCs/>
        <w:sz w:val="21"/>
        <w:szCs w:val="21"/>
        <w:rtl/>
      </w:rPr>
      <w:t>ة الخامسة عشرة</w:t>
    </w:r>
    <w:r w:rsidRPr="00AA0282">
      <w:rPr>
        <w:rFonts w:cs="Abz-2 (Badr)"/>
        <w:b/>
        <w:bCs/>
        <w:sz w:val="21"/>
        <w:szCs w:val="21"/>
        <w:rtl/>
      </w:rPr>
      <w:t xml:space="preserve">، </w:t>
    </w:r>
    <w:r w:rsidRPr="00AA0282">
      <w:rPr>
        <w:rFonts w:cs="Abz-2 (Badr)" w:hint="cs"/>
        <w:b/>
        <w:bCs/>
        <w:sz w:val="21"/>
        <w:szCs w:val="21"/>
        <w:rtl/>
      </w:rPr>
      <w:t>صيف وخريف 2021م ـ 1443هـ</w:t>
    </w:r>
    <w:r w:rsidRPr="00AA0282">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9</w:t>
    </w:r>
    <w:r w:rsidRPr="005F2EF4">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186B9F" w:rsidRDefault="00DB2356" w:rsidP="00186B9F">
    <w:pPr>
      <w:pStyle w:val="a8"/>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336</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335</w:t>
    </w:r>
    <w:r w:rsidRPr="005F2EF4">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a8"/>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01CCB" w:rsidRDefault="00DB2356"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354</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355</w:t>
    </w:r>
    <w:r w:rsidRPr="005F2EF4">
      <w:rPr>
        <w:rFonts w:cs="Simplified Arabic"/>
        <w:b/>
        <w:bCs/>
        <w:position w:val="-4"/>
        <w:sz w:val="26"/>
        <w:szCs w:val="26"/>
        <w:rtl/>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45FD6" w:rsidRDefault="00DB2356" w:rsidP="00345FD6">
    <w:pPr>
      <w:pStyle w:val="a8"/>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a8"/>
      <w:rPr>
        <w:szCs w:val="28"/>
        <w:rtl/>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01CCB" w:rsidRDefault="00DB2356"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382</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383</w:t>
    </w:r>
    <w:r w:rsidRPr="005F2EF4">
      <w:rPr>
        <w:rFonts w:cs="Simplified Arabic"/>
        <w:b/>
        <w:bCs/>
        <w:position w:val="-4"/>
        <w:sz w:val="26"/>
        <w:szCs w:val="26"/>
        <w:rtl/>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45FD6" w:rsidRDefault="00DB2356" w:rsidP="00345FD6">
    <w:pPr>
      <w:pStyle w:val="a8"/>
      <w:rPr>
        <w:szCs w:val="28"/>
        <w:rtl/>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01CCB" w:rsidRDefault="00DB2356"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394</w:t>
    </w:r>
    <w:r w:rsidRPr="005F2EF4">
      <w:rPr>
        <w:rFonts w:cs="Simplified Arabic"/>
        <w:b/>
        <w:bCs/>
        <w:position w:val="-4"/>
        <w:sz w:val="26"/>
        <w:szCs w:val="26"/>
        <w:rtl/>
      </w:rPr>
      <w:fldChar w:fldCharType="end"/>
    </w:r>
    <w:r w:rsidRPr="005F2EF4">
      <w:rPr>
        <w:rFonts w:cs="FS_Kofi_Ahram" w:hint="cs"/>
        <w:sz w:val="22"/>
        <w:szCs w:val="22"/>
        <w:rtl/>
      </w:rPr>
      <w:tab/>
    </w: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w:t>
    </w:r>
    <w:r w:rsidRPr="00F237EC">
      <w:rPr>
        <w:rFonts w:cs="Abz-2 (Badr)" w:hint="cs"/>
        <w:b/>
        <w:bCs/>
        <w:sz w:val="21"/>
        <w:szCs w:val="21"/>
        <w:rtl/>
      </w:rPr>
      <w:t>نة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395</w:t>
    </w:r>
    <w:r w:rsidRPr="005F2EF4">
      <w:rPr>
        <w:rFonts w:cs="Simplified Arabic"/>
        <w:b/>
        <w:bCs/>
        <w:position w:val="-4"/>
        <w:sz w:val="26"/>
        <w:szCs w:val="26"/>
        <w:rtl/>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a8"/>
      <w:rPr>
        <w:szCs w:val="28"/>
        <w:rtl/>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01CCB" w:rsidRDefault="00DB2356"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412</w:t>
    </w:r>
    <w:r w:rsidRPr="005F2EF4">
      <w:rPr>
        <w:rFonts w:cs="Simplified Arabic"/>
        <w:b/>
        <w:bCs/>
        <w:position w:val="-4"/>
        <w:sz w:val="26"/>
        <w:szCs w:val="26"/>
        <w:rtl/>
      </w:rPr>
      <w:fldChar w:fldCharType="end"/>
    </w:r>
    <w:r w:rsidRPr="005F2EF4">
      <w:rPr>
        <w:rFonts w:cs="FS_Kofi_Ahram" w:hint="cs"/>
        <w:sz w:val="22"/>
        <w:szCs w:val="22"/>
        <w:rtl/>
      </w:rPr>
      <w:tab/>
    </w: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w:t>
    </w:r>
    <w:r w:rsidRPr="00F237EC">
      <w:rPr>
        <w:rFonts w:cs="Abz-2 (Badr)" w:hint="cs"/>
        <w:b/>
        <w:bCs/>
        <w:sz w:val="21"/>
        <w:szCs w:val="21"/>
        <w:rtl/>
      </w:rPr>
      <w:t>نة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السـن</w:t>
    </w:r>
    <w:r w:rsidRPr="00F237EC">
      <w:rPr>
        <w:rFonts w:cs="Abz-2 (Badr)" w:hint="cs"/>
        <w:b/>
        <w:bCs/>
        <w:sz w:val="21"/>
        <w:szCs w:val="21"/>
        <w:rtl/>
      </w:rPr>
      <w:t>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r w:rsidRPr="00F237EC">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413</w:t>
    </w:r>
    <w:r w:rsidRPr="005F2EF4">
      <w:rPr>
        <w:rFonts w:cs="Simplified Arabic"/>
        <w:b/>
        <w:bCs/>
        <w:position w:val="-4"/>
        <w:sz w:val="26"/>
        <w:szCs w:val="26"/>
        <w:rt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45FD6" w:rsidRDefault="00DB2356" w:rsidP="00345FD6">
    <w:pPr>
      <w:pStyle w:val="a8"/>
      <w:rPr>
        <w:szCs w:val="28"/>
        <w:rtl/>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460</w:t>
    </w:r>
    <w:r w:rsidRPr="005F2EF4">
      <w:rPr>
        <w:rFonts w:cs="Simplified Arabic"/>
        <w:b/>
        <w:bCs/>
        <w:position w:val="-4"/>
        <w:sz w:val="26"/>
        <w:szCs w:val="26"/>
        <w:rtl/>
      </w:rPr>
      <w:fldChar w:fldCharType="end"/>
    </w:r>
    <w:r w:rsidRPr="005F2EF4">
      <w:rPr>
        <w:rFonts w:cs="FS_Kofi_Ahram" w:hint="cs"/>
        <w:sz w:val="22"/>
        <w:szCs w:val="22"/>
        <w:rtl/>
      </w:rPr>
      <w:tab/>
    </w: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w:t>
    </w:r>
    <w:r w:rsidRPr="00F237EC">
      <w:rPr>
        <w:rFonts w:cs="Abz-2 (Badr)" w:hint="cs"/>
        <w:b/>
        <w:bCs/>
        <w:sz w:val="21"/>
        <w:szCs w:val="21"/>
        <w:rtl/>
      </w:rPr>
      <w:t>نة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السـن</w:t>
    </w:r>
    <w:r w:rsidRPr="00F237EC">
      <w:rPr>
        <w:rFonts w:cs="Abz-2 (Badr)" w:hint="cs"/>
        <w:b/>
        <w:bCs/>
        <w:sz w:val="21"/>
        <w:szCs w:val="21"/>
        <w:rtl/>
      </w:rPr>
      <w:t>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r w:rsidRPr="00F237EC">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459</w:t>
    </w:r>
    <w:r w:rsidRPr="005F2EF4">
      <w:rPr>
        <w:rFonts w:cs="Simplified Arabic"/>
        <w:b/>
        <w:bCs/>
        <w:position w:val="-4"/>
        <w:sz w:val="26"/>
        <w:szCs w:val="26"/>
        <w:rtl/>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a8"/>
      <w:rPr>
        <w:szCs w:val="28"/>
        <w:rtl/>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01CCB" w:rsidRDefault="00DB2356"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478</w:t>
    </w:r>
    <w:r w:rsidRPr="005F2EF4">
      <w:rPr>
        <w:rFonts w:cs="Simplified Arabic"/>
        <w:b/>
        <w:bCs/>
        <w:position w:val="-4"/>
        <w:sz w:val="26"/>
        <w:szCs w:val="26"/>
        <w:rtl/>
      </w:rPr>
      <w:fldChar w:fldCharType="end"/>
    </w:r>
    <w:r w:rsidRPr="005F2EF4">
      <w:rPr>
        <w:rFonts w:cs="FS_Kofi_Ahram" w:hint="cs"/>
        <w:sz w:val="22"/>
        <w:szCs w:val="22"/>
        <w:rtl/>
      </w:rPr>
      <w:tab/>
    </w: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w:t>
    </w:r>
    <w:r w:rsidRPr="00F237EC">
      <w:rPr>
        <w:rFonts w:cs="Abz-2 (Badr)" w:hint="cs"/>
        <w:b/>
        <w:bCs/>
        <w:sz w:val="21"/>
        <w:szCs w:val="21"/>
        <w:rtl/>
      </w:rPr>
      <w:t>نة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السـن</w:t>
    </w:r>
    <w:r w:rsidRPr="00F237EC">
      <w:rPr>
        <w:rFonts w:cs="Abz-2 (Badr)" w:hint="cs"/>
        <w:b/>
        <w:bCs/>
        <w:sz w:val="21"/>
        <w:szCs w:val="21"/>
        <w:rtl/>
      </w:rPr>
      <w:t>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r w:rsidRPr="003929B9">
      <w:rPr>
        <w:rFonts w:cs="Simplified Arabic" w:hint="cs"/>
        <w:b/>
        <w:bCs/>
        <w:position w:val="-4"/>
        <w:sz w:val="26"/>
        <w:szCs w:val="26"/>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477</w:t>
    </w:r>
    <w:r w:rsidRPr="005F2EF4">
      <w:rPr>
        <w:rFonts w:cs="Simplified Arabic"/>
        <w:b/>
        <w:bCs/>
        <w:position w:val="-4"/>
        <w:sz w:val="26"/>
        <w:szCs w:val="26"/>
        <w:rtl/>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a8"/>
      <w:rPr>
        <w:szCs w:val="28"/>
        <w:rtl/>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94A8A" w:rsidRDefault="00DB2356" w:rsidP="00394A8A">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56</w:t>
    </w:r>
    <w:r w:rsidRPr="005F2EF4">
      <w:rPr>
        <w:rFonts w:cs="Simplified Arabic"/>
        <w:b/>
        <w:bCs/>
        <w:position w:val="-4"/>
        <w:sz w:val="26"/>
        <w:szCs w:val="26"/>
        <w:rtl/>
      </w:rPr>
      <w:fldChar w:fldCharType="end"/>
    </w:r>
    <w:r w:rsidRPr="005F2EF4">
      <w:rPr>
        <w:rFonts w:cs="FS_Kofi_Ahram" w:hint="cs"/>
        <w:sz w:val="22"/>
        <w:szCs w:val="22"/>
        <w:rtl/>
      </w:rPr>
      <w:tab/>
    </w:r>
    <w:r w:rsidRPr="00AA0282">
      <w:rPr>
        <w:rFonts w:cs="FS_Kofi_Ahram" w:hint="cs"/>
        <w:sz w:val="21"/>
        <w:szCs w:val="21"/>
        <w:rtl/>
      </w:rPr>
      <w:t>الاجتهاد والتجديد</w:t>
    </w:r>
    <w:r w:rsidRPr="00AA0282">
      <w:rPr>
        <w:rFonts w:cs="Abz-2 (Badr)" w:hint="cs"/>
        <w:b/>
        <w:bCs/>
        <w:sz w:val="21"/>
        <w:szCs w:val="21"/>
        <w:rtl/>
      </w:rPr>
      <w:t xml:space="preserve"> ـ </w:t>
    </w:r>
    <w:r w:rsidRPr="00AA0282">
      <w:rPr>
        <w:rFonts w:cs="Abz-2 (Badr)"/>
        <w:b/>
        <w:bCs/>
        <w:sz w:val="21"/>
        <w:szCs w:val="21"/>
        <w:rtl/>
      </w:rPr>
      <w:t>العـدد</w:t>
    </w:r>
    <w:r w:rsidRPr="00AA0282">
      <w:rPr>
        <w:rFonts w:cs="Abz-2 (Badr)" w:hint="cs"/>
        <w:b/>
        <w:bCs/>
        <w:sz w:val="21"/>
        <w:szCs w:val="21"/>
        <w:rtl/>
      </w:rPr>
      <w:t>ان 59 ـ 60</w:t>
    </w:r>
    <w:r w:rsidRPr="00AA0282">
      <w:rPr>
        <w:rFonts w:cs="Abz-2 (Badr)"/>
        <w:b/>
        <w:bCs/>
        <w:sz w:val="21"/>
        <w:szCs w:val="21"/>
        <w:rtl/>
      </w:rPr>
      <w:t>، السـ</w:t>
    </w:r>
    <w:r w:rsidRPr="00AA0282">
      <w:rPr>
        <w:rFonts w:cs="Abz-2 (Badr)" w:hint="cs"/>
        <w:b/>
        <w:bCs/>
        <w:sz w:val="21"/>
        <w:szCs w:val="21"/>
        <w:rtl/>
      </w:rPr>
      <w:t>نة الخامسة عشرة</w:t>
    </w:r>
    <w:r w:rsidRPr="00AA0282">
      <w:rPr>
        <w:rFonts w:cs="Abz-2 (Badr)"/>
        <w:b/>
        <w:bCs/>
        <w:sz w:val="21"/>
        <w:szCs w:val="21"/>
        <w:rtl/>
      </w:rPr>
      <w:t xml:space="preserve">، </w:t>
    </w:r>
    <w:r w:rsidRPr="00AA0282">
      <w:rPr>
        <w:rFonts w:cs="Abz-2 (Badr)" w:hint="cs"/>
        <w:b/>
        <w:bCs/>
        <w:sz w:val="21"/>
        <w:szCs w:val="21"/>
        <w:rtl/>
      </w:rPr>
      <w:t>صيف وخريف 2021م ـ 1443هـ</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AA0282">
      <w:rPr>
        <w:rFonts w:cs="FS_Kofi_Ahram" w:hint="cs"/>
        <w:sz w:val="21"/>
        <w:szCs w:val="21"/>
        <w:rtl/>
      </w:rPr>
      <w:t>الاجتهاد والتجديد</w:t>
    </w:r>
    <w:r w:rsidRPr="00AA0282">
      <w:rPr>
        <w:rFonts w:cs="Abz-2 (Badr)" w:hint="cs"/>
        <w:b/>
        <w:bCs/>
        <w:sz w:val="21"/>
        <w:szCs w:val="21"/>
        <w:rtl/>
      </w:rPr>
      <w:t xml:space="preserve"> ـ </w:t>
    </w:r>
    <w:r w:rsidRPr="00AA0282">
      <w:rPr>
        <w:rFonts w:cs="Abz-2 (Badr)"/>
        <w:b/>
        <w:bCs/>
        <w:sz w:val="21"/>
        <w:szCs w:val="21"/>
        <w:rtl/>
      </w:rPr>
      <w:t>العـدد</w:t>
    </w:r>
    <w:r w:rsidRPr="00AA0282">
      <w:rPr>
        <w:rFonts w:cs="Abz-2 (Badr)" w:hint="cs"/>
        <w:b/>
        <w:bCs/>
        <w:sz w:val="21"/>
        <w:szCs w:val="21"/>
        <w:rtl/>
      </w:rPr>
      <w:t>ان 59 ـ 60</w:t>
    </w:r>
    <w:r w:rsidRPr="00AA0282">
      <w:rPr>
        <w:rFonts w:cs="Abz-2 (Badr)"/>
        <w:b/>
        <w:bCs/>
        <w:sz w:val="21"/>
        <w:szCs w:val="21"/>
        <w:rtl/>
      </w:rPr>
      <w:t>، السـن</w:t>
    </w:r>
    <w:r w:rsidRPr="00AA0282">
      <w:rPr>
        <w:rFonts w:cs="Abz-2 (Badr)" w:hint="cs"/>
        <w:b/>
        <w:bCs/>
        <w:sz w:val="21"/>
        <w:szCs w:val="21"/>
        <w:rtl/>
      </w:rPr>
      <w:t>ة الخامسة عشرة</w:t>
    </w:r>
    <w:r w:rsidRPr="00AA0282">
      <w:rPr>
        <w:rFonts w:cs="Abz-2 (Badr)"/>
        <w:b/>
        <w:bCs/>
        <w:sz w:val="21"/>
        <w:szCs w:val="21"/>
        <w:rtl/>
      </w:rPr>
      <w:t xml:space="preserve">، </w:t>
    </w:r>
    <w:r w:rsidRPr="00AA0282">
      <w:rPr>
        <w:rFonts w:cs="Abz-2 (Badr)" w:hint="cs"/>
        <w:b/>
        <w:bCs/>
        <w:sz w:val="21"/>
        <w:szCs w:val="21"/>
        <w:rtl/>
      </w:rPr>
      <w:t>صيف وخريف 2021م ـ 1443هـ</w:t>
    </w:r>
    <w:r w:rsidRPr="00AA0282">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55</w:t>
    </w:r>
    <w:r w:rsidRPr="005F2EF4">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0AC" w:rsidRDefault="006F10AC" w:rsidP="00B41146">
      <w:pPr>
        <w:spacing w:line="240" w:lineRule="auto"/>
        <w:ind w:firstLine="0"/>
      </w:pPr>
      <w:r>
        <w:separator/>
      </w:r>
    </w:p>
  </w:footnote>
  <w:footnote w:type="continuationSeparator" w:id="0">
    <w:p w:rsidR="006F10AC" w:rsidRDefault="006F10AC" w:rsidP="00B41146">
      <w:pPr>
        <w:spacing w:line="240" w:lineRule="auto"/>
        <w:ind w:firstLine="0"/>
      </w:pPr>
      <w:r>
        <w:continuationSeparator/>
      </w:r>
    </w:p>
  </w:footnote>
  <w:footnote w:id="1">
    <w:p w:rsidR="00DB2356" w:rsidRPr="00F800A8" w:rsidRDefault="00DB2356" w:rsidP="008C542A">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4074AD">
        <w:rPr>
          <w:rFonts w:cs="DanaFajr" w:hint="cs"/>
          <w:rtl/>
        </w:rPr>
        <w:t>باحثٌ في الفقه الإسلاميّ والدراسات القانونيّة المعاصرة، وباحثٌ في مؤسّسة دائرة المعارف لفقه أهل البيت</w:t>
      </w:r>
      <w:r w:rsidRPr="000B5409">
        <w:rPr>
          <w:rFonts w:ascii="Mosawi" w:hAnsi="Mosawi" w:cs="Mosawi"/>
          <w:szCs w:val="22"/>
          <w:rtl/>
        </w:rPr>
        <w:t>^</w:t>
      </w:r>
      <w:r w:rsidRPr="004074AD">
        <w:rPr>
          <w:rFonts w:cs="DanaFajr" w:hint="cs"/>
          <w:rtl/>
        </w:rPr>
        <w:t>. له كتاباتٌ علميّة متعدِّدة</w:t>
      </w:r>
      <w:r w:rsidRPr="00F800A8">
        <w:rPr>
          <w:rFonts w:cs="DanaFajr" w:hint="cs"/>
          <w:rtl/>
        </w:rPr>
        <w:t>.</w:t>
      </w:r>
    </w:p>
  </w:footnote>
  <w:footnote w:id="2">
    <w:p w:rsidR="00DB2356" w:rsidRPr="00527634" w:rsidRDefault="00DB2356" w:rsidP="0065120C">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65120C">
        <w:rPr>
          <w:rFonts w:cs="DanaFajr"/>
          <w:rtl/>
        </w:rPr>
        <w:t>أستاذ</w:t>
      </w:r>
      <w:r w:rsidRPr="0065120C">
        <w:rPr>
          <w:rFonts w:cs="DanaFajr" w:hint="cs"/>
          <w:rtl/>
        </w:rPr>
        <w:t>ٌ</w:t>
      </w:r>
      <w:r w:rsidRPr="0065120C">
        <w:rPr>
          <w:rFonts w:cs="DanaFajr"/>
          <w:rtl/>
        </w:rPr>
        <w:t xml:space="preserve"> في الحوزة العلمي</w:t>
      </w:r>
      <w:r w:rsidRPr="0065120C">
        <w:rPr>
          <w:rFonts w:cs="DanaFajr" w:hint="cs"/>
          <w:rtl/>
        </w:rPr>
        <w:t>ّ</w:t>
      </w:r>
      <w:r w:rsidRPr="0065120C">
        <w:rPr>
          <w:rFonts w:cs="DanaFajr"/>
          <w:rtl/>
        </w:rPr>
        <w:t>ة، ومدير قسم فلسفة الفقه والحقوق في كل</w:t>
      </w:r>
      <w:r w:rsidRPr="0065120C">
        <w:rPr>
          <w:rFonts w:cs="DanaFajr" w:hint="cs"/>
          <w:rtl/>
        </w:rPr>
        <w:t>ِّ</w:t>
      </w:r>
      <w:r w:rsidRPr="0065120C">
        <w:rPr>
          <w:rFonts w:cs="DanaFajr"/>
          <w:rtl/>
        </w:rPr>
        <w:t>ية الفقه والحقوق في قم</w:t>
      </w:r>
      <w:r>
        <w:rPr>
          <w:rFonts w:cs="DanaFajr" w:hint="cs"/>
          <w:rtl/>
        </w:rPr>
        <w:t xml:space="preserve"> ـ إيران</w:t>
      </w:r>
      <w:r w:rsidRPr="00527634">
        <w:rPr>
          <w:rFonts w:cs="DanaFajr" w:hint="cs"/>
          <w:rtl/>
        </w:rPr>
        <w:t>.</w:t>
      </w:r>
    </w:p>
  </w:footnote>
  <w:footnote w:id="3">
    <w:p w:rsidR="00DB2356" w:rsidRPr="00527634" w:rsidRDefault="00DB2356" w:rsidP="0073003A">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73003A">
        <w:rPr>
          <w:rFonts w:cs="DanaFajr" w:hint="cs"/>
          <w:rtl/>
        </w:rPr>
        <w:t>كاتبٌ وباحث، ومن أبرز الشخصيات الإسلاميّة في المملكة العربيّة السعوديّة، ومن الشخصيات الناشطة في مجال التوعية الدينيّة، وعلى صعيد التقريب بين المذاهب الإسلاميّة</w:t>
      </w:r>
      <w:r>
        <w:rPr>
          <w:rFonts w:cs="DanaFajr" w:hint="cs"/>
          <w:rtl/>
        </w:rPr>
        <w:t>.</w:t>
      </w:r>
    </w:p>
  </w:footnote>
  <w:footnote w:id="4">
    <w:p w:rsidR="00DB2356" w:rsidRPr="00527634" w:rsidRDefault="00DB2356" w:rsidP="00403183">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403183">
        <w:rPr>
          <w:rFonts w:cs="DanaFajr" w:hint="cs"/>
          <w:rtl/>
        </w:rPr>
        <w:t>أستاذُ الدراسات العليا في الحوزة العلمي</w:t>
      </w:r>
      <w:r>
        <w:rPr>
          <w:rFonts w:cs="DanaFajr" w:hint="cs"/>
          <w:rtl/>
        </w:rPr>
        <w:t>ّ</w:t>
      </w:r>
      <w:r w:rsidRPr="00403183">
        <w:rPr>
          <w:rFonts w:cs="DanaFajr" w:hint="cs"/>
          <w:rtl/>
        </w:rPr>
        <w:t>ة في قم، وأستاذٌ مساع</w:t>
      </w:r>
      <w:r>
        <w:rPr>
          <w:rFonts w:cs="DanaFajr" w:hint="cs"/>
          <w:rtl/>
        </w:rPr>
        <w:t>ِ</w:t>
      </w:r>
      <w:r w:rsidRPr="00403183">
        <w:rPr>
          <w:rFonts w:cs="DanaFajr" w:hint="cs"/>
          <w:rtl/>
        </w:rPr>
        <w:t>د</w:t>
      </w:r>
      <w:r>
        <w:rPr>
          <w:rFonts w:cs="DanaFajr" w:hint="cs"/>
          <w:rtl/>
        </w:rPr>
        <w:t>ٌ</w:t>
      </w:r>
      <w:r w:rsidRPr="00403183">
        <w:rPr>
          <w:rFonts w:cs="DanaFajr" w:hint="cs"/>
          <w:rtl/>
        </w:rPr>
        <w:t xml:space="preserve"> في قسم الفقه ومبادئ الشريعة الإسلامي</w:t>
      </w:r>
      <w:r>
        <w:rPr>
          <w:rFonts w:cs="DanaFajr" w:hint="cs"/>
          <w:rtl/>
        </w:rPr>
        <w:t>ّ</w:t>
      </w:r>
      <w:r w:rsidRPr="00403183">
        <w:rPr>
          <w:rFonts w:cs="DanaFajr" w:hint="cs"/>
          <w:rtl/>
        </w:rPr>
        <w:t>ة في جامعة الإمام الصادق</w:t>
      </w:r>
      <w:r w:rsidRPr="00403183">
        <w:rPr>
          <w:rFonts w:ascii="Mosawi" w:hAnsi="Mosawi" w:cs="Mosawi"/>
          <w:sz w:val="20"/>
          <w:szCs w:val="20"/>
          <w:rtl/>
        </w:rPr>
        <w:t>×</w:t>
      </w:r>
      <w:r w:rsidRPr="00403183">
        <w:rPr>
          <w:rFonts w:cs="DanaFajr" w:hint="cs"/>
          <w:rtl/>
        </w:rPr>
        <w:t xml:space="preserve"> في طهران</w:t>
      </w:r>
      <w:r>
        <w:rPr>
          <w:rFonts w:cs="DanaFajr" w:hint="cs"/>
          <w:rtl/>
        </w:rPr>
        <w:t>.</w:t>
      </w:r>
    </w:p>
  </w:footnote>
  <w:footnote w:id="5">
    <w:p w:rsidR="00DB2356" w:rsidRPr="00527634" w:rsidRDefault="00DB2356" w:rsidP="00403183">
      <w:pPr>
        <w:pStyle w:val="aff3"/>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403183">
        <w:rPr>
          <w:rFonts w:cs="DanaFajr" w:hint="cs"/>
          <w:rtl/>
        </w:rPr>
        <w:t>باحثٌ في الحوزة العلمي</w:t>
      </w:r>
      <w:r>
        <w:rPr>
          <w:rFonts w:cs="DanaFajr" w:hint="cs"/>
          <w:rtl/>
        </w:rPr>
        <w:t>ّ</w:t>
      </w:r>
      <w:r w:rsidRPr="00403183">
        <w:rPr>
          <w:rFonts w:cs="DanaFajr" w:hint="cs"/>
          <w:rtl/>
        </w:rPr>
        <w:t>ة في قم، وطالبٌ في مرحلة الماجستير في جامعة الإمام الصادق</w:t>
      </w:r>
      <w:r w:rsidRPr="00403183">
        <w:rPr>
          <w:rFonts w:ascii="Mosawi" w:hAnsi="Mosawi" w:cs="Mosawi"/>
          <w:sz w:val="20"/>
          <w:szCs w:val="20"/>
          <w:rtl/>
        </w:rPr>
        <w:t>×</w:t>
      </w:r>
      <w:r w:rsidRPr="00403183">
        <w:rPr>
          <w:rFonts w:cs="DanaFajr" w:hint="cs"/>
          <w:rtl/>
        </w:rPr>
        <w:t xml:space="preserve"> في طهران</w:t>
      </w:r>
      <w:r w:rsidRPr="00527634">
        <w:rPr>
          <w:rFonts w:cs="DanaFajr" w:hint="cs"/>
          <w:rtl/>
        </w:rPr>
        <w:t>.</w:t>
      </w:r>
    </w:p>
  </w:footnote>
  <w:footnote w:id="6">
    <w:p w:rsidR="00DB2356" w:rsidRPr="00527634" w:rsidRDefault="00DB2356" w:rsidP="00E64F59">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w:t>
      </w:r>
      <w:r w:rsidRPr="00714072">
        <w:rPr>
          <w:rFonts w:cs="DanaFajr" w:hint="cs"/>
          <w:rtl/>
          <w:lang w:bidi="ar-IQ"/>
        </w:rPr>
        <w:t xml:space="preserve">أستاذ </w:t>
      </w:r>
      <w:r>
        <w:rPr>
          <w:rFonts w:cs="DanaFajr" w:hint="cs"/>
          <w:rtl/>
          <w:lang w:bidi="ar-IQ"/>
        </w:rPr>
        <w:t>الدراسات العليا</w:t>
      </w:r>
      <w:r w:rsidRPr="00714072">
        <w:rPr>
          <w:rFonts w:cs="DanaFajr" w:hint="cs"/>
          <w:rtl/>
          <w:lang w:bidi="ar-IQ"/>
        </w:rPr>
        <w:t xml:space="preserve"> في الحوزة العلمي</w:t>
      </w:r>
      <w:r>
        <w:rPr>
          <w:rFonts w:cs="DanaFajr" w:hint="cs"/>
          <w:rtl/>
          <w:lang w:bidi="ar-IQ"/>
        </w:rPr>
        <w:t>ّ</w:t>
      </w:r>
      <w:r w:rsidRPr="00714072">
        <w:rPr>
          <w:rFonts w:cs="DanaFajr" w:hint="cs"/>
          <w:rtl/>
          <w:lang w:bidi="ar-IQ"/>
        </w:rPr>
        <w:t xml:space="preserve">ة </w:t>
      </w:r>
      <w:r>
        <w:rPr>
          <w:rFonts w:cs="DanaFajr" w:hint="cs"/>
          <w:rtl/>
          <w:lang w:bidi="ar-IQ"/>
        </w:rPr>
        <w:t xml:space="preserve">في </w:t>
      </w:r>
      <w:r w:rsidRPr="00714072">
        <w:rPr>
          <w:rFonts w:cs="DanaFajr" w:hint="cs"/>
          <w:rtl/>
          <w:lang w:bidi="ar-IQ"/>
        </w:rPr>
        <w:t>قم</w:t>
      </w:r>
      <w:r>
        <w:rPr>
          <w:rFonts w:cs="DanaFajr" w:hint="cs"/>
          <w:rtl/>
          <w:lang w:bidi="ar-IQ"/>
        </w:rPr>
        <w:t>، و</w:t>
      </w:r>
      <w:r w:rsidRPr="00E64F59">
        <w:rPr>
          <w:rFonts w:cs="DanaFajr" w:hint="cs"/>
          <w:rtl/>
        </w:rPr>
        <w:t>أحد أبرز تلامذة الإمام الخوئ</w:t>
      </w:r>
      <w:r>
        <w:rPr>
          <w:rFonts w:cs="DanaFajr" w:hint="cs"/>
          <w:rtl/>
        </w:rPr>
        <w:t>ي في علم الرجال والحديث</w:t>
      </w:r>
      <w:r w:rsidRPr="00E64F59">
        <w:rPr>
          <w:rFonts w:cs="DanaFajr" w:hint="cs"/>
          <w:rtl/>
        </w:rPr>
        <w:t>. شارك في تدوين موسوعة الرجال للخوئي. وله مجموعة</w:t>
      </w:r>
      <w:r>
        <w:rPr>
          <w:rFonts w:cs="DanaFajr" w:hint="cs"/>
          <w:rtl/>
        </w:rPr>
        <w:t>ٌ</w:t>
      </w:r>
      <w:r w:rsidRPr="00E64F59">
        <w:rPr>
          <w:rFonts w:cs="DanaFajr" w:hint="cs"/>
          <w:rtl/>
        </w:rPr>
        <w:t xml:space="preserve"> من المؤلَّفات</w:t>
      </w:r>
      <w:r>
        <w:rPr>
          <w:rFonts w:cs="DanaFajr" w:hint="cs"/>
          <w:rtl/>
        </w:rPr>
        <w:t>.</w:t>
      </w:r>
    </w:p>
  </w:footnote>
  <w:footnote w:id="7">
    <w:p w:rsidR="00DB2356" w:rsidRPr="00527634" w:rsidRDefault="00DB2356" w:rsidP="0066497B">
      <w:pPr>
        <w:pStyle w:val="aff3"/>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باحثٌ</w:t>
      </w:r>
      <w:r w:rsidRPr="00714072">
        <w:rPr>
          <w:rFonts w:cs="DanaFajr" w:hint="cs"/>
          <w:rtl/>
          <w:lang w:bidi="ar-IQ"/>
        </w:rPr>
        <w:t xml:space="preserve"> </w:t>
      </w:r>
      <w:r>
        <w:rPr>
          <w:rFonts w:cs="DanaFajr" w:hint="cs"/>
          <w:rtl/>
          <w:lang w:bidi="ar-IQ"/>
        </w:rPr>
        <w:t xml:space="preserve">وأستاذٌ </w:t>
      </w:r>
      <w:r w:rsidRPr="00714072">
        <w:rPr>
          <w:rFonts w:cs="DanaFajr"/>
          <w:rtl/>
          <w:lang w:bidi="ar-IQ"/>
        </w:rPr>
        <w:t>في الحوزة العلمي</w:t>
      </w:r>
      <w:r>
        <w:rPr>
          <w:rFonts w:cs="DanaFajr" w:hint="cs"/>
          <w:rtl/>
          <w:lang w:bidi="ar-IQ"/>
        </w:rPr>
        <w:t>ّ</w:t>
      </w:r>
      <w:r w:rsidRPr="00714072">
        <w:rPr>
          <w:rFonts w:cs="DanaFajr"/>
          <w:rtl/>
          <w:lang w:bidi="ar-IQ"/>
        </w:rPr>
        <w:t xml:space="preserve">ة </w:t>
      </w:r>
      <w:r>
        <w:rPr>
          <w:rFonts w:cs="DanaFajr" w:hint="cs"/>
          <w:rtl/>
          <w:lang w:bidi="ar-IQ"/>
        </w:rPr>
        <w:t xml:space="preserve">في </w:t>
      </w:r>
      <w:r w:rsidRPr="00714072">
        <w:rPr>
          <w:rFonts w:cs="DanaFajr"/>
          <w:rtl/>
          <w:lang w:bidi="ar-IQ"/>
        </w:rPr>
        <w:t>قم</w:t>
      </w:r>
      <w:r>
        <w:rPr>
          <w:rFonts w:cs="DanaFajr" w:hint="cs"/>
          <w:rtl/>
          <w:lang w:bidi="ar-IQ"/>
        </w:rPr>
        <w:t>.</w:t>
      </w:r>
    </w:p>
  </w:footnote>
  <w:footnote w:id="8">
    <w:p w:rsidR="00DB2356" w:rsidRPr="00527634" w:rsidRDefault="00DB2356" w:rsidP="003844B5">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3844B5">
        <w:rPr>
          <w:rFonts w:cs="DanaFajr" w:hint="cs"/>
          <w:rtl/>
        </w:rPr>
        <w:t>أ</w:t>
      </w:r>
      <w:r w:rsidRPr="003844B5">
        <w:rPr>
          <w:rFonts w:cs="DanaFajr"/>
          <w:rtl/>
        </w:rPr>
        <w:t>ستاذ</w:t>
      </w:r>
      <w:r w:rsidRPr="003844B5">
        <w:rPr>
          <w:rFonts w:cs="DanaFajr" w:hint="cs"/>
          <w:rtl/>
        </w:rPr>
        <w:t>ٌ</w:t>
      </w:r>
      <w:r w:rsidRPr="003844B5">
        <w:rPr>
          <w:rFonts w:cs="DanaFajr"/>
          <w:rtl/>
        </w:rPr>
        <w:t xml:space="preserve"> </w:t>
      </w:r>
      <w:r w:rsidRPr="003844B5">
        <w:rPr>
          <w:rFonts w:cs="DanaFajr" w:hint="cs"/>
          <w:rtl/>
        </w:rPr>
        <w:t xml:space="preserve">مساعِدٌ </w:t>
      </w:r>
      <w:r w:rsidRPr="003844B5">
        <w:rPr>
          <w:rFonts w:cs="DanaFajr"/>
          <w:rtl/>
        </w:rPr>
        <w:t xml:space="preserve">في </w:t>
      </w:r>
      <w:r w:rsidRPr="003844B5">
        <w:rPr>
          <w:rFonts w:cs="DanaFajr" w:hint="cs"/>
          <w:rtl/>
        </w:rPr>
        <w:t>قسم</w:t>
      </w:r>
      <w:r w:rsidRPr="003844B5">
        <w:rPr>
          <w:rFonts w:cs="DanaFajr"/>
          <w:rtl/>
        </w:rPr>
        <w:t xml:space="preserve"> علوم القرآن والحديث</w:t>
      </w:r>
      <w:r w:rsidRPr="003844B5">
        <w:rPr>
          <w:rFonts w:cs="DanaFajr" w:hint="cs"/>
          <w:rtl/>
        </w:rPr>
        <w:t>، وعضو</w:t>
      </w:r>
      <w:r w:rsidRPr="003844B5">
        <w:rPr>
          <w:rFonts w:cs="DanaFajr"/>
          <w:rtl/>
        </w:rPr>
        <w:t xml:space="preserve"> </w:t>
      </w:r>
      <w:r w:rsidRPr="003844B5">
        <w:rPr>
          <w:rFonts w:cs="DanaFajr" w:hint="cs"/>
          <w:rtl/>
        </w:rPr>
        <w:t>الهيئة</w:t>
      </w:r>
      <w:r w:rsidRPr="003844B5">
        <w:rPr>
          <w:rFonts w:cs="DanaFajr"/>
          <w:rtl/>
        </w:rPr>
        <w:t xml:space="preserve"> العلمي</w:t>
      </w:r>
      <w:r w:rsidRPr="003844B5">
        <w:rPr>
          <w:rFonts w:cs="DanaFajr" w:hint="cs"/>
          <w:rtl/>
        </w:rPr>
        <w:t>ّ</w:t>
      </w:r>
      <w:r w:rsidRPr="003844B5">
        <w:rPr>
          <w:rFonts w:cs="DanaFajr"/>
          <w:rtl/>
        </w:rPr>
        <w:t>ة</w:t>
      </w:r>
      <w:r w:rsidRPr="003844B5">
        <w:rPr>
          <w:rFonts w:cs="DanaFajr" w:hint="cs"/>
          <w:rtl/>
        </w:rPr>
        <w:t>،</w:t>
      </w:r>
      <w:r w:rsidRPr="003844B5">
        <w:rPr>
          <w:rFonts w:cs="DanaFajr"/>
          <w:rtl/>
        </w:rPr>
        <w:t xml:space="preserve"> في جامعة المعارف ال</w:t>
      </w:r>
      <w:r w:rsidRPr="003844B5">
        <w:rPr>
          <w:rFonts w:cs="DanaFajr" w:hint="cs"/>
          <w:rtl/>
        </w:rPr>
        <w:t>إ</w:t>
      </w:r>
      <w:r w:rsidRPr="003844B5">
        <w:rPr>
          <w:rFonts w:cs="DanaFajr"/>
          <w:rtl/>
        </w:rPr>
        <w:t>سلامي</w:t>
      </w:r>
      <w:r>
        <w:rPr>
          <w:rFonts w:cs="DanaFajr" w:hint="cs"/>
          <w:rtl/>
        </w:rPr>
        <w:t>ّ</w:t>
      </w:r>
      <w:r w:rsidRPr="003844B5">
        <w:rPr>
          <w:rFonts w:cs="DanaFajr"/>
          <w:rtl/>
        </w:rPr>
        <w:t>ة ف</w:t>
      </w:r>
      <w:r w:rsidRPr="003844B5">
        <w:rPr>
          <w:rFonts w:cs="DanaFajr" w:hint="cs"/>
          <w:rtl/>
        </w:rPr>
        <w:t>ي</w:t>
      </w:r>
      <w:r w:rsidRPr="003844B5">
        <w:rPr>
          <w:rFonts w:cs="DanaFajr"/>
          <w:rtl/>
        </w:rPr>
        <w:t xml:space="preserve"> قم</w:t>
      </w:r>
      <w:r w:rsidRPr="003844B5">
        <w:rPr>
          <w:rFonts w:cs="DanaFajr" w:hint="cs"/>
          <w:rtl/>
        </w:rPr>
        <w:t>. من إيران</w:t>
      </w:r>
      <w:r w:rsidRPr="00527634">
        <w:rPr>
          <w:rFonts w:cs="DanaFajr" w:hint="cs"/>
          <w:rtl/>
        </w:rPr>
        <w:t>.</w:t>
      </w:r>
    </w:p>
  </w:footnote>
  <w:footnote w:id="9">
    <w:p w:rsidR="00DB2356" w:rsidRPr="00527634" w:rsidRDefault="00DB2356" w:rsidP="004460D2">
      <w:pPr>
        <w:pStyle w:val="aff3"/>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4460D2">
        <w:rPr>
          <w:rFonts w:cs="DanaFajr" w:hint="cs"/>
          <w:rtl/>
        </w:rPr>
        <w:t xml:space="preserve">باحثٌ في الحوزة العلميّة، وحائزٌ على الماجستير في علوم القرآن والحديث </w:t>
      </w:r>
      <w:r w:rsidRPr="004460D2">
        <w:rPr>
          <w:rFonts w:cs="DanaFajr"/>
          <w:rtl/>
        </w:rPr>
        <w:t>في جامعة المعارف ال</w:t>
      </w:r>
      <w:r w:rsidRPr="004460D2">
        <w:rPr>
          <w:rFonts w:cs="DanaFajr" w:hint="cs"/>
          <w:rtl/>
        </w:rPr>
        <w:t>إ</w:t>
      </w:r>
      <w:r w:rsidRPr="004460D2">
        <w:rPr>
          <w:rFonts w:cs="DanaFajr"/>
          <w:rtl/>
        </w:rPr>
        <w:t>سلامي</w:t>
      </w:r>
      <w:r>
        <w:rPr>
          <w:rFonts w:cs="DanaFajr" w:hint="cs"/>
          <w:rtl/>
        </w:rPr>
        <w:t>ّ</w:t>
      </w:r>
      <w:r w:rsidRPr="004460D2">
        <w:rPr>
          <w:rFonts w:cs="DanaFajr"/>
          <w:rtl/>
        </w:rPr>
        <w:t>ة</w:t>
      </w:r>
      <w:r w:rsidRPr="004460D2">
        <w:rPr>
          <w:rFonts w:cs="DanaFajr" w:hint="cs"/>
          <w:rtl/>
        </w:rPr>
        <w:t xml:space="preserve"> في قم. من إيران</w:t>
      </w:r>
      <w:r w:rsidRPr="00527634">
        <w:rPr>
          <w:rFonts w:cs="DanaFajr" w:hint="cs"/>
          <w:rtl/>
        </w:rPr>
        <w:t>.</w:t>
      </w:r>
    </w:p>
  </w:footnote>
  <w:footnote w:id="10">
    <w:p w:rsidR="00DB2356" w:rsidRPr="00527634" w:rsidRDefault="00DB2356" w:rsidP="00933653">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933653">
        <w:rPr>
          <w:rFonts w:cs="DanaFajr" w:hint="cs"/>
          <w:rtl/>
        </w:rPr>
        <w:t>أستاذةٌ وباحثةٌ في الحوزة العلميّة في قم. من لبنان</w:t>
      </w:r>
      <w:r w:rsidRPr="00527634">
        <w:rPr>
          <w:rFonts w:cs="DanaFajr" w:hint="cs"/>
          <w:rtl/>
        </w:rPr>
        <w:t>.</w:t>
      </w:r>
    </w:p>
  </w:footnote>
  <w:footnote w:id="11">
    <w:p w:rsidR="00DB2356" w:rsidRPr="00527634" w:rsidRDefault="00DB2356" w:rsidP="0059083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w:t>
      </w:r>
      <w:r w:rsidRPr="009014E8">
        <w:rPr>
          <w:rFonts w:cs="DanaFajr" w:hint="cs"/>
          <w:rtl/>
        </w:rPr>
        <w:t>أستاذٌ مساعِدٌ</w:t>
      </w:r>
      <w:r>
        <w:rPr>
          <w:rFonts w:cs="DanaFajr" w:hint="cs"/>
          <w:rtl/>
        </w:rPr>
        <w:t>، وعضو الهيئة العلميّة، في جامعة المصطفى</w:t>
      </w:r>
      <w:r w:rsidRPr="0059083D">
        <w:rPr>
          <w:rFonts w:ascii="Mosawi" w:hAnsi="Mosawi" w:cs="Mosawi"/>
          <w:sz w:val="20"/>
          <w:szCs w:val="20"/>
          <w:rtl/>
        </w:rPr>
        <w:t>|</w:t>
      </w:r>
      <w:r>
        <w:rPr>
          <w:rFonts w:cs="DanaFajr" w:hint="cs"/>
          <w:rtl/>
        </w:rPr>
        <w:t xml:space="preserve"> العالميّة. من إيران</w:t>
      </w:r>
      <w:r w:rsidRPr="00527634">
        <w:rPr>
          <w:rFonts w:cs="DanaFajr" w:hint="cs"/>
          <w:rtl/>
        </w:rPr>
        <w:t>.</w:t>
      </w:r>
    </w:p>
  </w:footnote>
  <w:footnote w:id="12">
    <w:p w:rsidR="00DB2356" w:rsidRPr="00527634" w:rsidRDefault="00DB2356" w:rsidP="000B22A4">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باحثٌ وأستاذٌ في الحوزة العلميّة في قم. من لبنان</w:t>
      </w:r>
      <w:r w:rsidRPr="00527634">
        <w:rPr>
          <w:rFonts w:cs="DanaFajr" w:hint="cs"/>
          <w:rtl/>
        </w:rPr>
        <w:t>.</w:t>
      </w:r>
    </w:p>
  </w:footnote>
  <w:footnote w:id="13">
    <w:p w:rsidR="00DB2356" w:rsidRPr="00527634" w:rsidRDefault="00DB2356" w:rsidP="002B5E9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w:t>
      </w:r>
      <w:r w:rsidRPr="003357AD">
        <w:rPr>
          <w:rFonts w:cs="DanaFajr" w:hint="cs"/>
          <w:rtl/>
          <w:lang w:bidi="ar-IQ"/>
        </w:rPr>
        <w:t>أ</w:t>
      </w:r>
      <w:r w:rsidRPr="003357AD">
        <w:rPr>
          <w:rFonts w:cs="DanaFajr"/>
          <w:rtl/>
          <w:lang w:bidi="ar-IQ"/>
        </w:rPr>
        <w:t>ستاذ</w:t>
      </w:r>
      <w:r>
        <w:rPr>
          <w:rFonts w:cs="DanaFajr" w:hint="cs"/>
          <w:rtl/>
          <w:lang w:bidi="ar-IQ"/>
        </w:rPr>
        <w:t>ٌ</w:t>
      </w:r>
      <w:r w:rsidRPr="003357AD">
        <w:rPr>
          <w:rFonts w:cs="DanaFajr"/>
          <w:rtl/>
          <w:lang w:bidi="ar-IQ"/>
        </w:rPr>
        <w:t xml:space="preserve"> </w:t>
      </w:r>
      <w:r>
        <w:rPr>
          <w:rFonts w:cs="DanaFajr" w:hint="cs"/>
          <w:rtl/>
          <w:lang w:bidi="ar-IQ"/>
        </w:rPr>
        <w:t xml:space="preserve">وباحثٌ </w:t>
      </w:r>
      <w:r w:rsidRPr="003357AD">
        <w:rPr>
          <w:rFonts w:cs="DanaFajr"/>
          <w:rtl/>
          <w:lang w:bidi="ar-IQ"/>
        </w:rPr>
        <w:t>في الحوزة العلمي</w:t>
      </w:r>
      <w:r>
        <w:rPr>
          <w:rFonts w:cs="DanaFajr" w:hint="cs"/>
          <w:rtl/>
          <w:lang w:bidi="ar-IQ"/>
        </w:rPr>
        <w:t>ّ</w:t>
      </w:r>
      <w:r w:rsidRPr="003357AD">
        <w:rPr>
          <w:rFonts w:cs="DanaFajr"/>
          <w:rtl/>
          <w:lang w:bidi="ar-IQ"/>
        </w:rPr>
        <w:t xml:space="preserve">ة </w:t>
      </w:r>
      <w:r>
        <w:rPr>
          <w:rFonts w:cs="DanaFajr" w:hint="cs"/>
          <w:rtl/>
          <w:lang w:bidi="ar-IQ"/>
        </w:rPr>
        <w:t>في</w:t>
      </w:r>
      <w:r w:rsidRPr="003357AD">
        <w:rPr>
          <w:rFonts w:cs="DanaFajr"/>
          <w:rtl/>
          <w:lang w:bidi="ar-IQ"/>
        </w:rPr>
        <w:t xml:space="preserve"> النجف الأشرف</w:t>
      </w:r>
      <w:r w:rsidRPr="00527634">
        <w:rPr>
          <w:rFonts w:cs="DanaFajr" w:hint="cs"/>
          <w:rtl/>
        </w:rPr>
        <w:t>.</w:t>
      </w:r>
    </w:p>
  </w:footnote>
  <w:footnote w:id="14">
    <w:p w:rsidR="00DB2356" w:rsidRPr="00527634" w:rsidRDefault="00DB2356" w:rsidP="00D246D3">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LB"/>
        </w:rPr>
        <w:t xml:space="preserve"> </w:t>
      </w:r>
      <w:r w:rsidRPr="00D246D3">
        <w:rPr>
          <w:rFonts w:cs="DanaFajr" w:hint="cs"/>
          <w:rtl/>
          <w:lang w:bidi="ar-LB"/>
        </w:rPr>
        <w:t>باحثٌ وأستاذ في الحوزة العلمي</w:t>
      </w:r>
      <w:r>
        <w:rPr>
          <w:rFonts w:cs="DanaFajr" w:hint="cs"/>
          <w:rtl/>
          <w:lang w:bidi="ar-LB"/>
        </w:rPr>
        <w:t>ّ</w:t>
      </w:r>
      <w:r w:rsidRPr="00D246D3">
        <w:rPr>
          <w:rFonts w:cs="DanaFajr" w:hint="cs"/>
          <w:rtl/>
          <w:lang w:bidi="ar-LB"/>
        </w:rPr>
        <w:t>ة. من لبنان</w:t>
      </w:r>
      <w:r w:rsidRPr="00527634">
        <w:rPr>
          <w:rFonts w:cs="DanaFajr" w:hint="cs"/>
          <w:rtl/>
        </w:rPr>
        <w:t>.</w:t>
      </w:r>
    </w:p>
  </w:footnote>
  <w:footnote w:id="15">
    <w:p w:rsidR="00DB2356" w:rsidRPr="00527634" w:rsidRDefault="00DB2356" w:rsidP="004B1172">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MA"/>
        </w:rPr>
        <w:t xml:space="preserve"> كاتبٌ وباحثٌ </w:t>
      </w:r>
      <w:r w:rsidRPr="004B1172">
        <w:rPr>
          <w:rFonts w:cs="DanaFajr"/>
          <w:rtl/>
        </w:rPr>
        <w:t>مهتم</w:t>
      </w:r>
      <w:r>
        <w:rPr>
          <w:rFonts w:cs="DanaFajr" w:hint="cs"/>
          <w:rtl/>
        </w:rPr>
        <w:t>ٌّ</w:t>
      </w:r>
      <w:r w:rsidRPr="004B1172">
        <w:rPr>
          <w:rFonts w:cs="DanaFajr"/>
          <w:rtl/>
        </w:rPr>
        <w:t xml:space="preserve"> بالفقه السياس</w:t>
      </w:r>
      <w:r>
        <w:rPr>
          <w:rFonts w:cs="DanaFajr" w:hint="cs"/>
          <w:rtl/>
        </w:rPr>
        <w:t>يّ</w:t>
      </w:r>
      <w:r w:rsidRPr="004B1172">
        <w:rPr>
          <w:rFonts w:cs="DanaFajr"/>
          <w:rtl/>
        </w:rPr>
        <w:t xml:space="preserve"> ومقاصد الشريعة والأقل</w:t>
      </w:r>
      <w:r>
        <w:rPr>
          <w:rFonts w:cs="DanaFajr" w:hint="cs"/>
          <w:rtl/>
        </w:rPr>
        <w:t>ِّ</w:t>
      </w:r>
      <w:r w:rsidRPr="004B1172">
        <w:rPr>
          <w:rFonts w:cs="DanaFajr"/>
          <w:rtl/>
        </w:rPr>
        <w:t>يات الديني</w:t>
      </w:r>
      <w:r>
        <w:rPr>
          <w:rFonts w:cs="DanaFajr" w:hint="cs"/>
          <w:rtl/>
        </w:rPr>
        <w:t>ّ</w:t>
      </w:r>
      <w:r w:rsidRPr="004B1172">
        <w:rPr>
          <w:rFonts w:cs="DanaFajr"/>
          <w:rtl/>
        </w:rPr>
        <w:t>ة وقضايا الإصلاح والتجديد</w:t>
      </w:r>
      <w:r w:rsidRPr="00527634">
        <w:rPr>
          <w:rFonts w:cs="DanaFajr" w:hint="cs"/>
          <w:rtl/>
        </w:rPr>
        <w:t>.</w:t>
      </w:r>
      <w:r w:rsidRPr="004B1172">
        <w:rPr>
          <w:rFonts w:cs="DanaFajr" w:hint="cs"/>
          <w:rtl/>
        </w:rPr>
        <w:t xml:space="preserve"> من المغرب.</w:t>
      </w:r>
    </w:p>
  </w:footnote>
  <w:footnote w:id="16">
    <w:p w:rsidR="00DB2356" w:rsidRPr="00527634" w:rsidRDefault="00DB2356" w:rsidP="00027B50">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AF4F80">
        <w:rPr>
          <w:rFonts w:cs="DanaFajr" w:hint="cs"/>
          <w:rtl/>
        </w:rPr>
        <w:t>أحد الفقهاء البارزين، ومن أبرز أساتذة الفكر والفلسفة</w:t>
      </w:r>
      <w:r>
        <w:rPr>
          <w:rFonts w:cs="DanaFajr" w:hint="cs"/>
          <w:rtl/>
        </w:rPr>
        <w:t>.</w:t>
      </w:r>
      <w:r w:rsidRPr="00AF4F80">
        <w:rPr>
          <w:rFonts w:cs="DanaFajr" w:hint="cs"/>
          <w:rtl/>
        </w:rPr>
        <w:t xml:space="preserve"> رئيس </w:t>
      </w:r>
      <w:r>
        <w:rPr>
          <w:rFonts w:cs="DanaFajr" w:hint="cs"/>
          <w:rtl/>
        </w:rPr>
        <w:t>مجمع تشخيص مصلحة النظام</w:t>
      </w:r>
      <w:r w:rsidRPr="00AF4F80">
        <w:rPr>
          <w:rFonts w:cs="DanaFajr" w:hint="cs"/>
          <w:rtl/>
        </w:rPr>
        <w:t xml:space="preserve"> في إيران. ي</w:t>
      </w:r>
      <w:r>
        <w:rPr>
          <w:rFonts w:cs="DanaFajr" w:hint="cs"/>
          <w:rtl/>
        </w:rPr>
        <w:t>ُ</w:t>
      </w:r>
      <w:r w:rsidRPr="00AF4F80">
        <w:rPr>
          <w:rFonts w:cs="DanaFajr" w:hint="cs"/>
          <w:rtl/>
        </w:rPr>
        <w:t>ع</w:t>
      </w:r>
      <w:r>
        <w:rPr>
          <w:rFonts w:cs="DanaFajr" w:hint="cs"/>
          <w:rtl/>
        </w:rPr>
        <w:t>َ</w:t>
      </w:r>
      <w:r w:rsidRPr="00AF4F80">
        <w:rPr>
          <w:rFonts w:cs="DanaFajr" w:hint="cs"/>
          <w:rtl/>
        </w:rPr>
        <w:t>دّ أحد أبرز نق</w:t>
      </w:r>
      <w:r>
        <w:rPr>
          <w:rFonts w:cs="DanaFajr" w:hint="cs"/>
          <w:rtl/>
        </w:rPr>
        <w:t>ّ</w:t>
      </w:r>
      <w:r w:rsidRPr="00AF4F80">
        <w:rPr>
          <w:rFonts w:cs="DanaFajr" w:hint="cs"/>
          <w:rtl/>
        </w:rPr>
        <w:t>اد بعض التي</w:t>
      </w:r>
      <w:r>
        <w:rPr>
          <w:rFonts w:cs="DanaFajr" w:hint="cs"/>
          <w:rtl/>
        </w:rPr>
        <w:t>ّ</w:t>
      </w:r>
      <w:r w:rsidRPr="00AF4F80">
        <w:rPr>
          <w:rFonts w:cs="DanaFajr" w:hint="cs"/>
          <w:rtl/>
        </w:rPr>
        <w:t>ارات الإصلاحي</w:t>
      </w:r>
      <w:r>
        <w:rPr>
          <w:rFonts w:cs="DanaFajr" w:hint="cs"/>
          <w:rtl/>
        </w:rPr>
        <w:t>ّ</w:t>
      </w:r>
      <w:r w:rsidRPr="00AF4F80">
        <w:rPr>
          <w:rFonts w:cs="DanaFajr" w:hint="cs"/>
          <w:rtl/>
        </w:rPr>
        <w:t>ة</w:t>
      </w:r>
      <w:r w:rsidRPr="00527634">
        <w:rPr>
          <w:rFonts w:cs="DanaFajr" w:hint="cs"/>
          <w:rtl/>
        </w:rPr>
        <w:t>.</w:t>
      </w:r>
    </w:p>
  </w:footnote>
  <w:footnote w:id="17">
    <w:p w:rsidR="00DB2356" w:rsidRPr="00527634" w:rsidRDefault="00DB2356" w:rsidP="00236494">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F3D2E">
        <w:rPr>
          <w:rFonts w:cs="DanaFajr" w:hint="cs"/>
          <w:rtl/>
        </w:rPr>
        <w:t>باحثٌ إسلاميّ، وأستاذ الدراسات العليا في الحوزة العلميّة. له أعمالٌ متعدِّدة. من لبنان</w:t>
      </w:r>
      <w:r w:rsidRPr="00527634">
        <w:rPr>
          <w:rFonts w:cs="DanaFajr" w:hint="cs"/>
          <w:rtl/>
        </w:rPr>
        <w:t>.</w:t>
      </w:r>
    </w:p>
  </w:footnote>
  <w:footnote w:id="18">
    <w:p w:rsidR="00DB2356" w:rsidRPr="00527634" w:rsidRDefault="00DB2356" w:rsidP="00007BDB">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2A0A84">
        <w:rPr>
          <w:rFonts w:cs="DanaFajr" w:hint="eastAsia"/>
          <w:rtl/>
        </w:rPr>
        <w:t>كاتبةٌ</w:t>
      </w:r>
      <w:r w:rsidRPr="002A0A84">
        <w:rPr>
          <w:rFonts w:cs="DanaFajr"/>
          <w:rtl/>
        </w:rPr>
        <w:t xml:space="preserve"> </w:t>
      </w:r>
      <w:r w:rsidRPr="002A0A84">
        <w:rPr>
          <w:rFonts w:cs="DanaFajr" w:hint="eastAsia"/>
          <w:rtl/>
        </w:rPr>
        <w:t>وباحثةٌ</w:t>
      </w:r>
      <w:r w:rsidRPr="002A0A84">
        <w:rPr>
          <w:rFonts w:cs="DanaFajr"/>
          <w:rtl/>
        </w:rPr>
        <w:t xml:space="preserve"> </w:t>
      </w:r>
      <w:r w:rsidRPr="002A0A84">
        <w:rPr>
          <w:rFonts w:cs="DanaFajr" w:hint="eastAsia"/>
          <w:rtl/>
        </w:rPr>
        <w:t>في</w:t>
      </w:r>
      <w:r w:rsidRPr="002A0A84">
        <w:rPr>
          <w:rFonts w:cs="DanaFajr"/>
          <w:rtl/>
        </w:rPr>
        <w:t xml:space="preserve"> </w:t>
      </w:r>
      <w:r w:rsidRPr="002A0A84">
        <w:rPr>
          <w:rFonts w:cs="DanaFajr" w:hint="eastAsia"/>
          <w:rtl/>
        </w:rPr>
        <w:t>الفكر</w:t>
      </w:r>
      <w:r w:rsidRPr="002A0A84">
        <w:rPr>
          <w:rFonts w:cs="DanaFajr"/>
          <w:rtl/>
        </w:rPr>
        <w:t xml:space="preserve"> </w:t>
      </w:r>
      <w:r w:rsidRPr="002A0A84">
        <w:rPr>
          <w:rFonts w:cs="DanaFajr" w:hint="eastAsia"/>
          <w:rtl/>
        </w:rPr>
        <w:t>الدينيّ</w:t>
      </w:r>
      <w:r w:rsidRPr="002A0A84">
        <w:rPr>
          <w:rFonts w:cs="DanaFajr"/>
          <w:rtl/>
        </w:rPr>
        <w:t xml:space="preserve"> </w:t>
      </w:r>
      <w:r w:rsidRPr="002A0A84">
        <w:rPr>
          <w:rFonts w:cs="DanaFajr" w:hint="eastAsia"/>
          <w:rtl/>
        </w:rPr>
        <w:t>والسياسيّ</w:t>
      </w:r>
      <w:r>
        <w:rPr>
          <w:rFonts w:cs="DanaFajr" w:hint="cs"/>
          <w:rtl/>
        </w:rPr>
        <w:t>. من الكويت</w:t>
      </w:r>
      <w:r w:rsidRPr="00527634">
        <w:rPr>
          <w:rFonts w:cs="DanaFajr" w:hint="cs"/>
          <w:rtl/>
        </w:rPr>
        <w:t>.</w:t>
      </w:r>
    </w:p>
  </w:footnote>
  <w:footnote w:id="19">
    <w:p w:rsidR="00DB2356" w:rsidRPr="00527634" w:rsidRDefault="00DB2356" w:rsidP="00360D88">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360D88">
        <w:rPr>
          <w:rFonts w:cs="DanaFajr"/>
          <w:rtl/>
        </w:rPr>
        <w:t>باحث</w:t>
      </w:r>
      <w:r w:rsidRPr="00360D88">
        <w:rPr>
          <w:rFonts w:cs="DanaFajr" w:hint="cs"/>
          <w:rtl/>
        </w:rPr>
        <w:t>ٌ</w:t>
      </w:r>
      <w:r w:rsidRPr="00360D88">
        <w:rPr>
          <w:rFonts w:cs="DanaFajr"/>
          <w:rtl/>
        </w:rPr>
        <w:t xml:space="preserve"> وكاتب</w:t>
      </w:r>
      <w:r w:rsidRPr="00360D88">
        <w:rPr>
          <w:rFonts w:cs="DanaFajr" w:hint="cs"/>
          <w:rtl/>
        </w:rPr>
        <w:t>ٌ</w:t>
      </w:r>
      <w:r w:rsidRPr="00360D88">
        <w:rPr>
          <w:rFonts w:cs="DanaFajr"/>
          <w:rtl/>
        </w:rPr>
        <w:t xml:space="preserve"> </w:t>
      </w:r>
      <w:r w:rsidRPr="00360D88">
        <w:rPr>
          <w:rFonts w:cs="DanaFajr" w:hint="cs"/>
          <w:rtl/>
        </w:rPr>
        <w:t>في الفكر العربيّ والإسلاميّ. من سوريا</w:t>
      </w:r>
      <w:r w:rsidRPr="00527634">
        <w:rPr>
          <w:rFonts w:cs="DanaFajr" w:hint="cs"/>
          <w:rtl/>
        </w:rPr>
        <w:t>.</w:t>
      </w:r>
    </w:p>
  </w:footnote>
  <w:footnote w:id="20">
    <w:p w:rsidR="00DB2356" w:rsidRPr="00527634" w:rsidRDefault="00DB2356" w:rsidP="000068C7">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MA"/>
        </w:rPr>
        <w:t xml:space="preserve"> </w:t>
      </w:r>
      <w:r w:rsidRPr="000068C7">
        <w:rPr>
          <w:rFonts w:cs="DanaFajr" w:hint="cs"/>
          <w:rtl/>
          <w:lang w:bidi="ar-MA"/>
        </w:rPr>
        <w:t>باحثٌ في الفكر الإسلامي</w:t>
      </w:r>
      <w:r>
        <w:rPr>
          <w:rFonts w:cs="DanaFajr" w:hint="cs"/>
          <w:rtl/>
          <w:lang w:bidi="ar-MA"/>
        </w:rPr>
        <w:t>ّ</w:t>
      </w:r>
      <w:r w:rsidRPr="000068C7">
        <w:rPr>
          <w:rFonts w:cs="DanaFajr" w:hint="cs"/>
          <w:rtl/>
          <w:lang w:bidi="ar-MA"/>
        </w:rPr>
        <w:t>، وحائزٌ على دكتوراه في علم أصول الفقه، وأستاذٌ مساع</w:t>
      </w:r>
      <w:r>
        <w:rPr>
          <w:rFonts w:cs="DanaFajr" w:hint="cs"/>
          <w:rtl/>
          <w:lang w:bidi="ar-MA"/>
        </w:rPr>
        <w:t>ِ</w:t>
      </w:r>
      <w:r w:rsidRPr="000068C7">
        <w:rPr>
          <w:rFonts w:cs="DanaFajr" w:hint="cs"/>
          <w:rtl/>
          <w:lang w:bidi="ar-MA"/>
        </w:rPr>
        <w:t>د</w:t>
      </w:r>
      <w:r>
        <w:rPr>
          <w:rFonts w:cs="DanaFajr" w:hint="cs"/>
          <w:rtl/>
          <w:lang w:bidi="ar-MA"/>
        </w:rPr>
        <w:t>ٌ</w:t>
      </w:r>
      <w:r w:rsidRPr="000068C7">
        <w:rPr>
          <w:rFonts w:cs="DanaFajr" w:hint="cs"/>
          <w:rtl/>
          <w:lang w:bidi="ar-MA"/>
        </w:rPr>
        <w:t xml:space="preserve"> </w:t>
      </w:r>
      <w:r w:rsidRPr="000068C7">
        <w:rPr>
          <w:rFonts w:cs="DanaFajr" w:hint="cs"/>
          <w:rtl/>
        </w:rPr>
        <w:t>في كلِّية الآداب في وجدة ـ المغرب</w:t>
      </w:r>
      <w:r w:rsidRPr="00527634">
        <w:rPr>
          <w:rFonts w:cs="DanaFajr" w:hint="cs"/>
          <w:rtl/>
        </w:rPr>
        <w:t>.</w:t>
      </w:r>
    </w:p>
  </w:footnote>
  <w:footnote w:id="21">
    <w:p w:rsidR="00DB2356" w:rsidRPr="00527634" w:rsidRDefault="00DB2356" w:rsidP="00DC127A">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927A28">
        <w:rPr>
          <w:rFonts w:cs="DanaFajr" w:hint="cs"/>
          <w:rtl/>
        </w:rPr>
        <w:t>باحثٌ وأستاذٌ في الحوزة العلميّة. من لبنان</w:t>
      </w:r>
      <w:r w:rsidRPr="00527634">
        <w:rPr>
          <w:rFonts w:cs="DanaFajr" w:hint="cs"/>
          <w:rtl/>
        </w:rPr>
        <w:t>.</w:t>
      </w:r>
    </w:p>
  </w:footnote>
  <w:footnote w:id="22">
    <w:p w:rsidR="00DB2356" w:rsidRPr="00527634" w:rsidRDefault="00DB2356" w:rsidP="00DC20F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DC20FD">
        <w:rPr>
          <w:rFonts w:cs="DanaFajr"/>
          <w:rtl/>
        </w:rPr>
        <w:t>خبير</w:t>
      </w:r>
      <w:r w:rsidRPr="00DC20FD">
        <w:rPr>
          <w:rFonts w:cs="DanaFajr" w:hint="cs"/>
          <w:rtl/>
        </w:rPr>
        <w:t>ٌ</w:t>
      </w:r>
      <w:r w:rsidRPr="00DC20FD">
        <w:rPr>
          <w:rFonts w:cs="DanaFajr"/>
          <w:rtl/>
        </w:rPr>
        <w:t xml:space="preserve"> مالي</w:t>
      </w:r>
      <w:r w:rsidRPr="00DC20FD">
        <w:rPr>
          <w:rFonts w:cs="DanaFajr" w:hint="cs"/>
          <w:rtl/>
        </w:rPr>
        <w:t>ٌّ،</w:t>
      </w:r>
      <w:r w:rsidRPr="00DC20FD">
        <w:rPr>
          <w:rFonts w:cs="DanaFajr"/>
          <w:rtl/>
        </w:rPr>
        <w:t xml:space="preserve"> </w:t>
      </w:r>
      <w:r w:rsidRPr="00DC20FD">
        <w:rPr>
          <w:rFonts w:cs="DanaFajr" w:hint="cs"/>
          <w:rtl/>
        </w:rPr>
        <w:t>و</w:t>
      </w:r>
      <w:r w:rsidRPr="00DC20FD">
        <w:rPr>
          <w:rFonts w:cs="DanaFajr"/>
          <w:rtl/>
        </w:rPr>
        <w:t>باحث</w:t>
      </w:r>
      <w:r w:rsidRPr="00DC20FD">
        <w:rPr>
          <w:rFonts w:cs="DanaFajr" w:hint="cs"/>
          <w:rtl/>
        </w:rPr>
        <w:t>ٌ</w:t>
      </w:r>
      <w:r w:rsidRPr="00DC20FD">
        <w:rPr>
          <w:rFonts w:cs="DanaFajr"/>
          <w:rtl/>
        </w:rPr>
        <w:t xml:space="preserve"> في المالي</w:t>
      </w:r>
      <w:r w:rsidRPr="00DC20FD">
        <w:rPr>
          <w:rFonts w:cs="DanaFajr" w:hint="cs"/>
          <w:rtl/>
        </w:rPr>
        <w:t>ّ</w:t>
      </w:r>
      <w:r w:rsidRPr="00DC20FD">
        <w:rPr>
          <w:rFonts w:cs="DanaFajr"/>
          <w:rtl/>
        </w:rPr>
        <w:t>ة والاقتصاد ال</w:t>
      </w:r>
      <w:r w:rsidRPr="00DC20FD">
        <w:rPr>
          <w:rFonts w:cs="DanaFajr" w:hint="cs"/>
          <w:rtl/>
        </w:rPr>
        <w:t>إ</w:t>
      </w:r>
      <w:r w:rsidRPr="00DC20FD">
        <w:rPr>
          <w:rFonts w:cs="DanaFajr"/>
          <w:rtl/>
        </w:rPr>
        <w:t>سلامي</w:t>
      </w:r>
      <w:r w:rsidRPr="00DC20FD">
        <w:rPr>
          <w:rFonts w:cs="DanaFajr" w:hint="cs"/>
          <w:rtl/>
        </w:rPr>
        <w:t>ّ</w:t>
      </w:r>
      <w:r w:rsidRPr="00DC20FD">
        <w:rPr>
          <w:rFonts w:cs="DanaFajr"/>
          <w:rtl/>
        </w:rPr>
        <w:t>ين</w:t>
      </w:r>
      <w:r w:rsidRPr="00527634">
        <w:rPr>
          <w:rFonts w:cs="DanaFajr" w:hint="cs"/>
          <w:rtl/>
        </w:rPr>
        <w:t>.</w:t>
      </w:r>
      <w:r w:rsidRPr="00DC20FD">
        <w:rPr>
          <w:rFonts w:cs="DanaFajr" w:hint="cs"/>
          <w:rtl/>
        </w:rPr>
        <w:t xml:space="preserve"> من لبنان.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CF1087">
    <w:pPr>
      <w:pStyle w:val="a7"/>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A6B8E" w:rsidRDefault="00DB2356" w:rsidP="00343D21">
    <w:pPr>
      <w:pStyle w:val="a8"/>
      <w:spacing w:after="240" w:line="200" w:lineRule="exact"/>
      <w:ind w:firstLine="0"/>
      <w:jc w:val="right"/>
      <w:rPr>
        <w:rFonts w:cs="Ya-Ali"/>
        <w:i/>
        <w:iCs/>
        <w:rtl/>
        <w:lang w:bidi="ar-LB"/>
      </w:rPr>
    </w:pPr>
    <w:r w:rsidRPr="00E52AD4">
      <w:rPr>
        <w:rFonts w:cs="Ya-Ali"/>
        <w:sz w:val="22"/>
        <w:szCs w:val="22"/>
        <w:rtl/>
      </w:rPr>
      <w:t>•</w:t>
    </w:r>
    <w:r w:rsidRPr="00E52AD4">
      <w:rPr>
        <w:rFonts w:cs="Ya-Ali" w:hint="cs"/>
        <w:sz w:val="22"/>
        <w:szCs w:val="22"/>
        <w:rtl/>
      </w:rPr>
      <w:t xml:space="preserve"> </w:t>
    </w:r>
    <w:r w:rsidRPr="0073003A">
      <w:rPr>
        <w:rFonts w:cs="Ya-Ali" w:hint="cs"/>
        <w:i/>
        <w:iCs/>
        <w:sz w:val="22"/>
        <w:szCs w:val="22"/>
        <w:rtl/>
      </w:rPr>
      <w:t>رأي</w:t>
    </w:r>
    <w:r>
      <w:rPr>
        <w:rFonts w:cs="Ya-Ali" w:hint="cs"/>
        <w:i/>
        <w:iCs/>
        <w:sz w:val="22"/>
        <w:szCs w:val="22"/>
        <w:rtl/>
      </w:rPr>
      <w:t xml:space="preserve"> الأكثرية، بين الاعتبار العقلي والشرعي / القسم الأو</w:t>
    </w:r>
    <w:r w:rsidRPr="0073003A">
      <w:rPr>
        <w:rFonts w:cs="Ya-Ali" w:hint="cs"/>
        <w:i/>
        <w:iCs/>
        <w:sz w:val="22"/>
        <w:szCs w:val="22"/>
        <w:rtl/>
      </w:rPr>
      <w:t>ل</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F2CB3">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E36B46">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65120C">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سعيد ضيائي فر</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CF142F">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CF142F">
      <w:rPr>
        <w:rFonts w:cs="Ya-Ali"/>
        <w:i/>
        <w:iCs/>
        <w:sz w:val="22"/>
        <w:szCs w:val="22"/>
        <w:rtl/>
      </w:rPr>
      <w:t>حج</w:t>
    </w:r>
    <w:r>
      <w:rPr>
        <w:rFonts w:cs="Ya-Ali" w:hint="cs"/>
        <w:i/>
        <w:iCs/>
        <w:sz w:val="22"/>
        <w:szCs w:val="22"/>
        <w:rtl/>
      </w:rPr>
      <w:t>ّ</w:t>
    </w:r>
    <w:r>
      <w:rPr>
        <w:rFonts w:cs="Ya-Ali"/>
        <w:i/>
        <w:iCs/>
        <w:sz w:val="22"/>
        <w:szCs w:val="22"/>
        <w:rtl/>
      </w:rPr>
      <w:t>ية السيرة العقلائ</w:t>
    </w:r>
    <w:r>
      <w:rPr>
        <w:rFonts w:cs="Ya-Ali" w:hint="cs"/>
        <w:i/>
        <w:iCs/>
        <w:sz w:val="22"/>
        <w:szCs w:val="22"/>
        <w:rtl/>
      </w:rPr>
      <w:t>ي</w:t>
    </w:r>
    <w:r w:rsidRPr="00CF142F">
      <w:rPr>
        <w:rFonts w:cs="Ya-Ali"/>
        <w:i/>
        <w:iCs/>
        <w:sz w:val="22"/>
        <w:szCs w:val="22"/>
        <w:rtl/>
      </w:rPr>
      <w:t>ة</w:t>
    </w:r>
    <w:r w:rsidRPr="00CF142F">
      <w:rPr>
        <w:rFonts w:cs="Ya-Ali"/>
        <w:b/>
        <w:i/>
        <w:iCs/>
        <w:sz w:val="22"/>
        <w:szCs w:val="22"/>
        <w:rtl/>
      </w:rPr>
      <w:t xml:space="preserve"> </w:t>
    </w:r>
    <w:r w:rsidRPr="00CF142F">
      <w:rPr>
        <w:rFonts w:cs="Ya-Ali"/>
        <w:i/>
        <w:iCs/>
        <w:sz w:val="22"/>
        <w:szCs w:val="22"/>
        <w:rtl/>
      </w:rPr>
      <w:t>في غير العبادات</w:t>
    </w:r>
    <w:r w:rsidRPr="00CF142F">
      <w:rPr>
        <w:rFonts w:cs="Ya-Ali" w:hint="cs"/>
        <w:i/>
        <w:iCs/>
        <w:sz w:val="22"/>
        <w:szCs w:val="22"/>
        <w:rtl/>
      </w:rPr>
      <w:t>، قاعدة أولية أو ثانوية؟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9676CA">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CA7959" w:rsidRDefault="00DB2356" w:rsidP="0073003A">
    <w:pPr>
      <w:pStyle w:val="a8"/>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حسن موسى الصفّار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8A537D" w:rsidRDefault="00DB2356" w:rsidP="008A537D">
    <w:pPr>
      <w:pStyle w:val="a7"/>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3360C3">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73003A">
      <w:rPr>
        <w:rFonts w:cs="Ya-Ali"/>
        <w:i/>
        <w:iCs/>
        <w:sz w:val="22"/>
        <w:szCs w:val="22"/>
        <w:rtl/>
      </w:rPr>
      <w:t>الخطاب الديني والوظيفة الاجتماعي</w:t>
    </w:r>
    <w:r>
      <w:rPr>
        <w:rFonts w:cs="Ya-Ali" w:hint="cs"/>
        <w:i/>
        <w:iCs/>
        <w:sz w:val="22"/>
        <w:szCs w:val="22"/>
        <w:rtl/>
      </w:rPr>
      <w:t xml:space="preserve">ة، </w:t>
    </w:r>
    <w:r w:rsidRPr="003360C3">
      <w:rPr>
        <w:rFonts w:cs="Ya-Ali" w:hint="cs"/>
        <w:i/>
        <w:iCs/>
        <w:sz w:val="22"/>
        <w:szCs w:val="22"/>
        <w:rtl/>
      </w:rPr>
      <w:t>الأساليب والضوابط وسبل الترشيد</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9676CA">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FF174E" w:rsidRDefault="00DB2356" w:rsidP="009C29A7">
    <w:pPr>
      <w:pStyle w:val="a8"/>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sidRPr="009C29A7">
      <w:rPr>
        <w:rFonts w:cs="Ya-Ali" w:hint="cs"/>
        <w:i/>
        <w:iCs/>
        <w:sz w:val="24"/>
        <w:szCs w:val="24"/>
        <w:rtl/>
      </w:rPr>
      <w:t xml:space="preserve">الشيخ محمد حسن گلي شيردار / </w:t>
    </w:r>
    <w:r>
      <w:rPr>
        <w:rFonts w:cs="Ya-Ali" w:hint="cs"/>
        <w:i/>
        <w:iCs/>
        <w:sz w:val="24"/>
        <w:szCs w:val="24"/>
        <w:rtl/>
      </w:rPr>
      <w:t xml:space="preserve">الشيخ </w:t>
    </w:r>
    <w:r w:rsidRPr="009C29A7">
      <w:rPr>
        <w:rFonts w:cs="Ya-Ali" w:hint="cs"/>
        <w:i/>
        <w:iCs/>
        <w:sz w:val="24"/>
        <w:szCs w:val="24"/>
        <w:rtl/>
      </w:rPr>
      <w:t>سپهر كرد</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842405">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9C29A7">
      <w:rPr>
        <w:rFonts w:cs="Ya-Ali" w:hint="cs"/>
        <w:i/>
        <w:iCs/>
        <w:sz w:val="20"/>
        <w:szCs w:val="22"/>
        <w:rtl/>
      </w:rPr>
      <w:t xml:space="preserve">قرينة السياق </w:t>
    </w:r>
    <w:r w:rsidRPr="00842405">
      <w:rPr>
        <w:rFonts w:cs="Ya-Ali" w:hint="cs"/>
        <w:i/>
        <w:iCs/>
        <w:sz w:val="20"/>
        <w:szCs w:val="22"/>
        <w:rtl/>
      </w:rPr>
      <w:t>و</w:t>
    </w:r>
    <w:r>
      <w:rPr>
        <w:rFonts w:cs="Ya-Ali" w:hint="cs"/>
        <w:b/>
        <w:i/>
        <w:iCs/>
        <w:sz w:val="20"/>
        <w:szCs w:val="22"/>
        <w:rtl/>
      </w:rPr>
      <w:t>دو</w:t>
    </w:r>
    <w:r w:rsidRPr="00842405">
      <w:rPr>
        <w:rFonts w:cs="Ya-Ali" w:hint="cs"/>
        <w:b/>
        <w:i/>
        <w:iCs/>
        <w:sz w:val="20"/>
        <w:szCs w:val="22"/>
        <w:rtl/>
      </w:rPr>
      <w:t xml:space="preserve">رها </w:t>
    </w:r>
    <w:r>
      <w:rPr>
        <w:rFonts w:cs="Ya-Ali" w:hint="cs"/>
        <w:i/>
        <w:iCs/>
        <w:sz w:val="20"/>
        <w:szCs w:val="22"/>
        <w:rtl/>
      </w:rPr>
      <w:t>في استنباط الأحكام الشرعي</w:t>
    </w:r>
    <w:r w:rsidRPr="00842405">
      <w:rPr>
        <w:rFonts w:cs="Ya-Ali" w:hint="cs"/>
        <w:i/>
        <w:iCs/>
        <w:sz w:val="20"/>
        <w:szCs w:val="22"/>
        <w:rtl/>
      </w:rPr>
      <w:t>ة</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9676CA">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714072">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714072">
      <w:rPr>
        <w:rFonts w:cs="Ya-Ali" w:hint="cs"/>
        <w:i/>
        <w:iCs/>
        <w:sz w:val="24"/>
        <w:szCs w:val="24"/>
        <w:rtl/>
        <w:lang w:bidi="ar-IQ"/>
      </w:rPr>
      <w:t xml:space="preserve">الشيخ مسلم </w:t>
    </w:r>
    <w:r>
      <w:rPr>
        <w:rFonts w:cs="Ya-Ali" w:hint="cs"/>
        <w:i/>
        <w:iCs/>
        <w:sz w:val="24"/>
        <w:szCs w:val="24"/>
        <w:rtl/>
        <w:lang w:bidi="ar-IQ"/>
      </w:rPr>
      <w:t>ال</w:t>
    </w:r>
    <w:r w:rsidRPr="00714072">
      <w:rPr>
        <w:rFonts w:cs="Ya-Ali" w:hint="cs"/>
        <w:i/>
        <w:iCs/>
        <w:sz w:val="24"/>
        <w:szCs w:val="24"/>
        <w:rtl/>
        <w:lang w:bidi="ar-IQ"/>
      </w:rPr>
      <w:t xml:space="preserve">داوري / </w:t>
    </w:r>
    <w:r>
      <w:rPr>
        <w:rFonts w:cs="Ya-Ali" w:hint="cs"/>
        <w:i/>
        <w:iCs/>
        <w:sz w:val="24"/>
        <w:szCs w:val="24"/>
        <w:rtl/>
        <w:lang w:bidi="ar-LB"/>
      </w:rPr>
      <w:t xml:space="preserve">الشيخ </w:t>
    </w:r>
    <w:r w:rsidRPr="00714072">
      <w:rPr>
        <w:rFonts w:cs="Ya-Ali" w:hint="cs"/>
        <w:i/>
        <w:iCs/>
        <w:sz w:val="24"/>
        <w:szCs w:val="24"/>
        <w:rtl/>
        <w:lang w:bidi="ar-IQ"/>
      </w:rPr>
      <w:t>مجتبى المسعودي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C0AE5" w:rsidRDefault="00DB2356" w:rsidP="00CF1087">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محمد عباس دهيني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842405">
    <w:pPr>
      <w:pStyle w:val="a8"/>
      <w:spacing w:after="240" w:line="200" w:lineRule="exact"/>
      <w:ind w:firstLine="0"/>
      <w:jc w:val="right"/>
      <w:rPr>
        <w:rFonts w:cs="Ya-Ali"/>
        <w:i/>
        <w:iCs/>
        <w:rtl/>
        <w:lang w:bidi="ar-IQ"/>
      </w:rPr>
    </w:pPr>
    <w:r w:rsidRPr="00E52AD4">
      <w:rPr>
        <w:rFonts w:cs="Ya-Ali"/>
        <w:sz w:val="22"/>
        <w:szCs w:val="22"/>
        <w:rtl/>
      </w:rPr>
      <w:t>•</w:t>
    </w:r>
    <w:r w:rsidRPr="00E52AD4">
      <w:rPr>
        <w:rFonts w:cs="Ya-Ali" w:hint="cs"/>
        <w:sz w:val="22"/>
        <w:szCs w:val="22"/>
        <w:rtl/>
      </w:rPr>
      <w:t xml:space="preserve"> </w:t>
    </w:r>
    <w:r>
      <w:rPr>
        <w:rFonts w:cs="Ya-Ali" w:hint="cs"/>
        <w:i/>
        <w:iCs/>
        <w:sz w:val="20"/>
        <w:szCs w:val="22"/>
        <w:rtl/>
        <w:lang w:bidi="ar-IQ"/>
      </w:rPr>
      <w:t>عقد</w:t>
    </w:r>
    <w:r w:rsidRPr="00714072">
      <w:rPr>
        <w:rFonts w:cs="Ya-Ali" w:hint="cs"/>
        <w:i/>
        <w:iCs/>
        <w:sz w:val="20"/>
        <w:szCs w:val="22"/>
        <w:rtl/>
        <w:lang w:bidi="ar-IQ"/>
      </w:rPr>
      <w:t xml:space="preserve"> الصلح الابتدائ</w:t>
    </w:r>
    <w:r>
      <w:rPr>
        <w:rFonts w:cs="Ya-Ali" w:hint="cs"/>
        <w:i/>
        <w:iCs/>
        <w:sz w:val="20"/>
        <w:szCs w:val="22"/>
        <w:rtl/>
        <w:lang w:bidi="ar-IQ"/>
      </w:rPr>
      <w:t xml:space="preserve">ي، </w:t>
    </w:r>
    <w:r w:rsidRPr="00842405">
      <w:rPr>
        <w:rFonts w:cs="Ya-Ali" w:hint="cs"/>
        <w:i/>
        <w:iCs/>
        <w:sz w:val="20"/>
        <w:szCs w:val="22"/>
        <w:rtl/>
        <w:lang w:bidi="ar-IQ"/>
      </w:rPr>
      <w:t>نظرات في أ</w:t>
    </w:r>
    <w:r>
      <w:rPr>
        <w:rFonts w:cs="Ya-Ali" w:hint="cs"/>
        <w:i/>
        <w:iCs/>
        <w:sz w:val="20"/>
        <w:szCs w:val="22"/>
        <w:rtl/>
        <w:lang w:bidi="ar-IQ"/>
      </w:rPr>
      <w:t>دلة المشروعي</w:t>
    </w:r>
    <w:r w:rsidRPr="00842405">
      <w:rPr>
        <w:rFonts w:cs="Ya-Ali" w:hint="cs"/>
        <w:i/>
        <w:iCs/>
        <w:sz w:val="20"/>
        <w:szCs w:val="22"/>
        <w:rtl/>
        <w:lang w:bidi="ar-IQ"/>
      </w:rPr>
      <w:t>ة وعدمها</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2B3461">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2B3461">
      <w:rPr>
        <w:rFonts w:cs="Ya-Ali" w:hint="cs"/>
        <w:i/>
        <w:iCs/>
        <w:sz w:val="24"/>
        <w:szCs w:val="24"/>
        <w:rtl/>
      </w:rPr>
      <w:t xml:space="preserve">د. الشيخ </w:t>
    </w:r>
    <w:r w:rsidRPr="002B3461">
      <w:rPr>
        <w:rFonts w:cs="Ya-Ali"/>
        <w:i/>
        <w:iCs/>
        <w:sz w:val="24"/>
        <w:szCs w:val="24"/>
        <w:rtl/>
      </w:rPr>
      <w:t xml:space="preserve">كامران </w:t>
    </w:r>
    <w:r w:rsidRPr="002B3461">
      <w:rPr>
        <w:rFonts w:cs="Ya-Ali" w:hint="cs"/>
        <w:i/>
        <w:iCs/>
        <w:sz w:val="24"/>
        <w:szCs w:val="24"/>
        <w:rtl/>
      </w:rPr>
      <w:t>أ</w:t>
    </w:r>
    <w:r w:rsidRPr="002B3461">
      <w:rPr>
        <w:rFonts w:cs="Ya-Ali"/>
        <w:i/>
        <w:iCs/>
        <w:sz w:val="24"/>
        <w:szCs w:val="24"/>
        <w:rtl/>
      </w:rPr>
      <w:t>ويسي</w:t>
    </w:r>
    <w:r w:rsidRPr="002B3461">
      <w:rPr>
        <w:rFonts w:cs="Ya-Ali" w:hint="cs"/>
        <w:i/>
        <w:iCs/>
        <w:sz w:val="24"/>
        <w:szCs w:val="24"/>
        <w:rtl/>
      </w:rPr>
      <w:t xml:space="preserve"> / الشيخ </w:t>
    </w:r>
    <w:r w:rsidRPr="002B3461">
      <w:rPr>
        <w:rFonts w:cs="Ya-Ali"/>
        <w:i/>
        <w:iCs/>
        <w:sz w:val="24"/>
        <w:szCs w:val="24"/>
        <w:rtl/>
      </w:rPr>
      <w:t>عيس</w:t>
    </w:r>
    <w:r w:rsidRPr="002B3461">
      <w:rPr>
        <w:rFonts w:cs="Ya-Ali" w:hint="cs"/>
        <w:i/>
        <w:iCs/>
        <w:sz w:val="24"/>
        <w:szCs w:val="24"/>
        <w:rtl/>
      </w:rPr>
      <w:t>ى</w:t>
    </w:r>
    <w:r w:rsidRPr="002B3461">
      <w:rPr>
        <w:rFonts w:cs="Ya-Ali"/>
        <w:i/>
        <w:iCs/>
        <w:sz w:val="24"/>
        <w:szCs w:val="24"/>
        <w:rtl/>
      </w:rPr>
      <w:t xml:space="preserve"> محسني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254AD3">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0F08D4">
      <w:rPr>
        <w:rFonts w:cs="Ya-Ali" w:hint="cs"/>
        <w:i/>
        <w:iCs/>
        <w:sz w:val="20"/>
        <w:szCs w:val="22"/>
        <w:rtl/>
      </w:rPr>
      <w:t>آية</w:t>
    </w:r>
    <w:r w:rsidRPr="000F08D4">
      <w:rPr>
        <w:rFonts w:cs="Ya-Ali"/>
        <w:i/>
        <w:iCs/>
        <w:sz w:val="20"/>
        <w:szCs w:val="22"/>
        <w:rtl/>
      </w:rPr>
      <w:t xml:space="preserve"> </w:t>
    </w:r>
    <w:r w:rsidRPr="000F08D4">
      <w:rPr>
        <w:rFonts w:cs="Ya-Ali" w:hint="cs"/>
        <w:i/>
        <w:iCs/>
        <w:sz w:val="20"/>
        <w:szCs w:val="22"/>
        <w:rtl/>
      </w:rPr>
      <w:t>التبليغ وأسباب نزولها</w:t>
    </w:r>
    <w:r>
      <w:rPr>
        <w:rFonts w:cs="Ya-Ali" w:hint="cs"/>
        <w:i/>
        <w:iCs/>
        <w:sz w:val="20"/>
        <w:szCs w:val="22"/>
        <w:rtl/>
      </w:rPr>
      <w:t>، دراسة</w:t>
    </w:r>
    <w:r w:rsidRPr="002B3461">
      <w:rPr>
        <w:rFonts w:cs="Ya-Ali" w:hint="cs"/>
        <w:i/>
        <w:iCs/>
        <w:sz w:val="20"/>
        <w:szCs w:val="22"/>
        <w:rtl/>
      </w:rPr>
      <w:t>ٌ تحليل</w:t>
    </w:r>
    <w:r>
      <w:rPr>
        <w:rFonts w:cs="Ya-Ali" w:hint="cs"/>
        <w:i/>
        <w:iCs/>
        <w:sz w:val="20"/>
        <w:szCs w:val="22"/>
        <w:rtl/>
      </w:rPr>
      <w:t>ية مقارنة</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E629CB">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E629CB">
      <w:rPr>
        <w:rFonts w:cs="Ya-Ali" w:hint="cs"/>
        <w:i/>
        <w:iCs/>
        <w:sz w:val="24"/>
        <w:szCs w:val="24"/>
        <w:rtl/>
      </w:rPr>
      <w:t xml:space="preserve">أ. شروق فقيه / </w:t>
    </w:r>
    <w:r w:rsidRPr="00E629CB">
      <w:rPr>
        <w:rFonts w:cs="Ya-Ali" w:hint="cs"/>
        <w:b/>
        <w:i/>
        <w:iCs/>
        <w:sz w:val="24"/>
        <w:szCs w:val="24"/>
        <w:rtl/>
      </w:rPr>
      <w:t>د. الشيخ محسن ملك أفضلي الأردكاني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5B2140" w:rsidRDefault="00DB2356" w:rsidP="002E72EF">
    <w:pPr>
      <w:pStyle w:val="a8"/>
      <w:spacing w:after="240" w:line="200" w:lineRule="exact"/>
      <w:ind w:firstLine="0"/>
      <w:jc w:val="right"/>
      <w:rPr>
        <w:rFonts w:cs="Ya-Ali"/>
        <w:i/>
        <w:iCs/>
        <w:sz w:val="22"/>
        <w:szCs w:val="22"/>
        <w:rtl/>
      </w:rPr>
    </w:pPr>
    <w:r w:rsidRPr="005B2140">
      <w:rPr>
        <w:rFonts w:cs="Ya-Ali"/>
        <w:sz w:val="22"/>
        <w:szCs w:val="22"/>
        <w:rtl/>
      </w:rPr>
      <w:t>•</w:t>
    </w:r>
    <w:r w:rsidRPr="005B2140">
      <w:rPr>
        <w:rFonts w:cs="Ya-Ali" w:hint="cs"/>
        <w:sz w:val="22"/>
        <w:szCs w:val="22"/>
        <w:rtl/>
      </w:rPr>
      <w:t xml:space="preserve"> </w:t>
    </w:r>
    <w:r>
      <w:rPr>
        <w:rFonts w:cs="Ya-Ali" w:hint="cs"/>
        <w:b/>
        <w:i/>
        <w:iCs/>
        <w:sz w:val="22"/>
        <w:szCs w:val="22"/>
        <w:rtl/>
        <w:lang w:bidi="ar-LB"/>
      </w:rPr>
      <w:t>الوحدة الإسلاميّة، بين خوف التلاشي ورجاء التلاقي</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0B32E4">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rPr>
      <w:t xml:space="preserve">مقدار </w:t>
    </w:r>
    <w:r w:rsidRPr="00E629CB">
      <w:rPr>
        <w:rFonts w:cs="Ya-Ali"/>
        <w:i/>
        <w:iCs/>
        <w:sz w:val="20"/>
        <w:szCs w:val="22"/>
        <w:rtl/>
      </w:rPr>
      <w:t>المهر وتحديده</w:t>
    </w:r>
    <w:r w:rsidRPr="00E629CB">
      <w:rPr>
        <w:rFonts w:cs="Ya-Ali" w:hint="cs"/>
        <w:i/>
        <w:iCs/>
        <w:sz w:val="20"/>
        <w:szCs w:val="22"/>
        <w:rtl/>
      </w:rPr>
      <w:t xml:space="preserve">، </w:t>
    </w:r>
    <w:r w:rsidRPr="00E629CB">
      <w:rPr>
        <w:rFonts w:cs="Ya-Ali"/>
        <w:i/>
        <w:iCs/>
        <w:sz w:val="20"/>
        <w:szCs w:val="22"/>
        <w:rtl/>
      </w:rPr>
      <w:t>مقارنة بين الفقه الإمامي والقانون المدني الإيراني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846C68">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lang w:bidi="ar-LB"/>
      </w:rPr>
      <w:t xml:space="preserve">الشيخ </w:t>
    </w:r>
    <w:r w:rsidRPr="00846C68">
      <w:rPr>
        <w:rFonts w:cs="Ya-Ali" w:hint="cs"/>
        <w:i/>
        <w:iCs/>
        <w:sz w:val="24"/>
        <w:szCs w:val="24"/>
        <w:rtl/>
        <w:lang w:bidi="ar-LB"/>
      </w:rPr>
      <w:t>حسين جهجاه</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0B22A4">
    <w:pPr>
      <w:pStyle w:val="a8"/>
      <w:spacing w:after="240" w:line="200" w:lineRule="exact"/>
      <w:ind w:firstLine="0"/>
      <w:jc w:val="right"/>
      <w:rPr>
        <w:rFonts w:cs="Ya-Ali"/>
        <w:i/>
        <w:iCs/>
        <w:rtl/>
        <w:lang w:bidi="ar-LB"/>
      </w:rPr>
    </w:pPr>
    <w:r w:rsidRPr="002766BB">
      <w:rPr>
        <w:rFonts w:cs="Ya-Ali"/>
        <w:sz w:val="22"/>
        <w:szCs w:val="22"/>
        <w:rtl/>
      </w:rPr>
      <w:t>•</w:t>
    </w:r>
    <w:r w:rsidRPr="002766BB">
      <w:rPr>
        <w:rFonts w:cs="Ya-Ali" w:hint="cs"/>
        <w:sz w:val="22"/>
        <w:szCs w:val="22"/>
        <w:rtl/>
      </w:rPr>
      <w:t xml:space="preserve"> </w:t>
    </w:r>
    <w:r w:rsidRPr="00846C68">
      <w:rPr>
        <w:rFonts w:cs="Ya-Ali" w:hint="cs"/>
        <w:i/>
        <w:iCs/>
        <w:sz w:val="20"/>
        <w:szCs w:val="22"/>
        <w:rtl/>
        <w:lang w:bidi="ar-LB"/>
      </w:rPr>
      <w:t xml:space="preserve">استنطاق الآيات القرآنيّة، </w:t>
    </w:r>
    <w:r>
      <w:rPr>
        <w:rFonts w:cs="Ya-Ali" w:hint="cs"/>
        <w:i/>
        <w:iCs/>
        <w:sz w:val="20"/>
        <w:szCs w:val="22"/>
        <w:rtl/>
        <w:lang w:bidi="ar-LB"/>
      </w:rPr>
      <w:t>كشف ل</w:t>
    </w:r>
    <w:r w:rsidRPr="00846C68">
      <w:rPr>
        <w:rFonts w:cs="Ya-Ali" w:hint="cs"/>
        <w:i/>
        <w:iCs/>
        <w:sz w:val="20"/>
        <w:szCs w:val="22"/>
        <w:rtl/>
        <w:lang w:bidi="ar-LB"/>
      </w:rPr>
      <w:t>أسباب الافتراق بين العلاّم</w:t>
    </w:r>
    <w:r>
      <w:rPr>
        <w:rFonts w:cs="Ya-Ali" w:hint="cs"/>
        <w:i/>
        <w:iCs/>
        <w:sz w:val="20"/>
        <w:szCs w:val="22"/>
        <w:rtl/>
        <w:lang w:bidi="ar-LB"/>
      </w:rPr>
      <w:t>تين</w:t>
    </w:r>
    <w:r w:rsidRPr="00846C68">
      <w:rPr>
        <w:rFonts w:cs="Ya-Ali" w:hint="cs"/>
        <w:i/>
        <w:iCs/>
        <w:sz w:val="20"/>
        <w:szCs w:val="22"/>
        <w:rtl/>
        <w:lang w:bidi="ar-LB"/>
      </w:rPr>
      <w:t xml:space="preserve"> الطباطبائي </w:t>
    </w:r>
    <w:r>
      <w:rPr>
        <w:rFonts w:cs="Ya-Ali" w:hint="cs"/>
        <w:i/>
        <w:iCs/>
        <w:sz w:val="20"/>
        <w:szCs w:val="22"/>
        <w:rtl/>
        <w:lang w:bidi="ar-LB"/>
      </w:rPr>
      <w:t>و</w:t>
    </w:r>
    <w:r w:rsidRPr="00846C68">
      <w:rPr>
        <w:rFonts w:cs="Ya-Ali" w:hint="cs"/>
        <w:i/>
        <w:iCs/>
        <w:sz w:val="20"/>
        <w:szCs w:val="22"/>
        <w:rtl/>
        <w:lang w:bidi="ar-LB"/>
      </w:rPr>
      <w:t>فضل الله</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a7"/>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DF1865">
    <w:pPr>
      <w:pStyle w:val="a8"/>
      <w:spacing w:after="240" w:line="200" w:lineRule="exact"/>
      <w:ind w:firstLine="0"/>
      <w:rPr>
        <w:rtl/>
        <w:lang w:bidi="ar-IQ"/>
      </w:rPr>
    </w:pPr>
    <w:r w:rsidRPr="002766BB">
      <w:rPr>
        <w:rFonts w:cs="Ya-Ali"/>
        <w:sz w:val="24"/>
        <w:szCs w:val="24"/>
        <w:rtl/>
      </w:rPr>
      <w:t>•</w:t>
    </w:r>
    <w:r w:rsidRPr="002766BB">
      <w:rPr>
        <w:rFonts w:cs="Ya-Ali" w:hint="cs"/>
        <w:sz w:val="24"/>
        <w:szCs w:val="24"/>
        <w:rtl/>
      </w:rPr>
      <w:t xml:space="preserve"> </w:t>
    </w:r>
    <w:r w:rsidRPr="003357AD">
      <w:rPr>
        <w:rFonts w:cs="Ya-Ali" w:hint="cs"/>
        <w:i/>
        <w:iCs/>
        <w:sz w:val="24"/>
        <w:szCs w:val="24"/>
        <w:rtl/>
        <w:lang w:bidi="ar-IQ"/>
      </w:rPr>
      <w:t xml:space="preserve">د. </w:t>
    </w:r>
    <w:r>
      <w:rPr>
        <w:rFonts w:cs="Ya-Ali"/>
        <w:i/>
        <w:iCs/>
        <w:sz w:val="24"/>
        <w:szCs w:val="24"/>
        <w:rtl/>
        <w:lang w:bidi="ar-IQ"/>
      </w:rPr>
      <w:t>السيد زين العابدين المقدس الغري</w:t>
    </w:r>
    <w:r>
      <w:rPr>
        <w:rFonts w:cs="Ya-Ali" w:hint="cs"/>
        <w:i/>
        <w:iCs/>
        <w:sz w:val="24"/>
        <w:szCs w:val="24"/>
        <w:rtl/>
        <w:lang w:bidi="ar-IQ"/>
      </w:rPr>
      <w:t>ف</w:t>
    </w:r>
    <w:r w:rsidRPr="003357AD">
      <w:rPr>
        <w:rFonts w:cs="Ya-Ali"/>
        <w:i/>
        <w:iCs/>
        <w:sz w:val="24"/>
        <w:szCs w:val="24"/>
        <w:rtl/>
        <w:lang w:bidi="ar-IQ"/>
      </w:rPr>
      <w:t>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CF1087">
    <w:pPr>
      <w:pStyle w:val="a7"/>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6155A5">
    <w:pPr>
      <w:pStyle w:val="a8"/>
      <w:spacing w:after="240" w:line="200" w:lineRule="exact"/>
      <w:ind w:firstLine="0"/>
      <w:jc w:val="right"/>
      <w:rPr>
        <w:rFonts w:cs="Ya-Ali"/>
        <w:i/>
        <w:iCs/>
        <w:rtl/>
        <w:lang w:bidi="ar-IQ"/>
      </w:rPr>
    </w:pPr>
    <w:r w:rsidRPr="002766BB">
      <w:rPr>
        <w:rFonts w:cs="Ya-Ali"/>
        <w:sz w:val="22"/>
        <w:szCs w:val="22"/>
        <w:rtl/>
      </w:rPr>
      <w:t>•</w:t>
    </w:r>
    <w:r w:rsidRPr="002766BB">
      <w:rPr>
        <w:rFonts w:cs="Ya-Ali" w:hint="cs"/>
        <w:sz w:val="22"/>
        <w:szCs w:val="22"/>
        <w:rtl/>
      </w:rPr>
      <w:t xml:space="preserve"> </w:t>
    </w:r>
    <w:r w:rsidRPr="006155A5">
      <w:rPr>
        <w:rFonts w:cs="Ya-Ali" w:hint="eastAsia"/>
        <w:i/>
        <w:iCs/>
        <w:sz w:val="20"/>
        <w:szCs w:val="22"/>
        <w:rtl/>
        <w:lang w:bidi="ar-IQ"/>
      </w:rPr>
      <w:t>«</w:t>
    </w:r>
    <w:r w:rsidRPr="006155A5">
      <w:rPr>
        <w:rFonts w:cs="Ya-Ali"/>
        <w:i/>
        <w:iCs/>
        <w:sz w:val="20"/>
        <w:szCs w:val="22"/>
        <w:rtl/>
        <w:lang w:bidi="ar-IQ"/>
      </w:rPr>
      <w:t>حديث المقاتلة</w:t>
    </w:r>
    <w:r w:rsidRPr="006155A5">
      <w:rPr>
        <w:rFonts w:cs="Ya-Ali" w:hint="eastAsia"/>
        <w:i/>
        <w:iCs/>
        <w:sz w:val="20"/>
        <w:szCs w:val="22"/>
        <w:rtl/>
        <w:lang w:bidi="ar-IQ"/>
      </w:rPr>
      <w:t>»</w:t>
    </w:r>
    <w:r>
      <w:rPr>
        <w:rFonts w:cs="Ya-Ali"/>
        <w:i/>
        <w:iCs/>
        <w:sz w:val="20"/>
        <w:szCs w:val="22"/>
        <w:rtl/>
        <w:lang w:bidi="ar-IQ"/>
      </w:rPr>
      <w:t xml:space="preserve"> وأثره في توليد التط</w:t>
    </w:r>
    <w:r>
      <w:rPr>
        <w:rFonts w:cs="Ya-Ali" w:hint="cs"/>
        <w:i/>
        <w:iCs/>
        <w:sz w:val="20"/>
        <w:szCs w:val="22"/>
        <w:rtl/>
        <w:lang w:bidi="ar-IQ"/>
      </w:rPr>
      <w:t>ر</w:t>
    </w:r>
    <w:r w:rsidRPr="003357AD">
      <w:rPr>
        <w:rFonts w:cs="Ya-Ali"/>
        <w:i/>
        <w:iCs/>
        <w:sz w:val="20"/>
        <w:szCs w:val="22"/>
        <w:rtl/>
        <w:lang w:bidi="ar-IQ"/>
      </w:rPr>
      <w:t>ف الديني</w:t>
    </w:r>
    <w:r w:rsidRPr="003357AD">
      <w:rPr>
        <w:rFonts w:cs="Ya-Ali" w:hint="cs"/>
        <w:i/>
        <w:iCs/>
        <w:sz w:val="20"/>
        <w:szCs w:val="22"/>
        <w:rtl/>
        <w:lang w:bidi="ar-IQ"/>
      </w:rPr>
      <w:t xml:space="preserve">، </w:t>
    </w:r>
    <w:r>
      <w:rPr>
        <w:rFonts w:cs="Ya-Ali" w:hint="cs"/>
        <w:i/>
        <w:iCs/>
        <w:sz w:val="20"/>
        <w:szCs w:val="22"/>
        <w:rtl/>
        <w:lang w:bidi="ar-IQ"/>
      </w:rPr>
      <w:t>إثارات نقدية</w:t>
    </w:r>
    <w:r w:rsidRPr="003357AD">
      <w:rPr>
        <w:rFonts w:cs="Ya-Ali"/>
        <w:i/>
        <w:iCs/>
        <w:sz w:val="20"/>
        <w:szCs w:val="22"/>
        <w:rtl/>
        <w:lang w:bidi="ar-IQ"/>
      </w:rPr>
      <w:t xml:space="preserve"> في السند والدلالة</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a7"/>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51603B">
    <w:pPr>
      <w:pStyle w:val="a8"/>
      <w:spacing w:after="240" w:line="200" w:lineRule="exact"/>
      <w:ind w:firstLine="0"/>
      <w:rPr>
        <w:rtl/>
        <w:lang w:bidi="ar-IQ"/>
      </w:rPr>
    </w:pPr>
    <w:r w:rsidRPr="002766BB">
      <w:rPr>
        <w:rFonts w:cs="Ya-Ali"/>
        <w:sz w:val="24"/>
        <w:szCs w:val="24"/>
        <w:rtl/>
      </w:rPr>
      <w:t>•</w:t>
    </w:r>
    <w:r w:rsidRPr="002766BB">
      <w:rPr>
        <w:rFonts w:cs="Ya-Ali" w:hint="cs"/>
        <w:sz w:val="24"/>
        <w:szCs w:val="24"/>
        <w:rtl/>
      </w:rPr>
      <w:t xml:space="preserve"> </w:t>
    </w:r>
    <w:r>
      <w:rPr>
        <w:rFonts w:cs="Ya-Ali" w:hint="cs"/>
        <w:i/>
        <w:iCs/>
        <w:sz w:val="24"/>
        <w:szCs w:val="24"/>
        <w:rtl/>
        <w:lang w:bidi="ar-IQ"/>
      </w:rPr>
      <w:t>الشيخ حسنين الجمال</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51603B">
    <w:pPr>
      <w:pStyle w:val="a8"/>
      <w:spacing w:after="240" w:line="200" w:lineRule="exact"/>
      <w:ind w:firstLine="0"/>
      <w:jc w:val="right"/>
      <w:rPr>
        <w:rFonts w:cs="Ya-Ali"/>
        <w:i/>
        <w:iCs/>
        <w:rtl/>
        <w:lang w:bidi="ar-IQ"/>
      </w:rPr>
    </w:pPr>
    <w:r w:rsidRPr="002766BB">
      <w:rPr>
        <w:rFonts w:cs="Ya-Ali"/>
        <w:sz w:val="22"/>
        <w:szCs w:val="22"/>
        <w:rtl/>
      </w:rPr>
      <w:t>•</w:t>
    </w:r>
    <w:r w:rsidRPr="002766BB">
      <w:rPr>
        <w:rFonts w:cs="Ya-Ali" w:hint="cs"/>
        <w:sz w:val="22"/>
        <w:szCs w:val="22"/>
        <w:rtl/>
      </w:rPr>
      <w:t xml:space="preserve"> </w:t>
    </w:r>
    <w:r>
      <w:rPr>
        <w:rFonts w:cs="Ya-Ali" w:hint="cs"/>
        <w:i/>
        <w:iCs/>
        <w:sz w:val="20"/>
        <w:szCs w:val="22"/>
        <w:rtl/>
        <w:lang w:bidi="ar-IQ"/>
      </w:rPr>
      <w:t xml:space="preserve">مباني فهم النص </w:t>
    </w:r>
    <w:r w:rsidRPr="0051603B">
      <w:rPr>
        <w:rFonts w:cs="Ya-Ali" w:hint="cs"/>
        <w:i/>
        <w:iCs/>
        <w:sz w:val="20"/>
        <w:szCs w:val="22"/>
        <w:rtl/>
        <w:lang w:bidi="ar-LB"/>
      </w:rPr>
      <w:t>في</w:t>
    </w:r>
    <w:r w:rsidRPr="0051603B">
      <w:rPr>
        <w:rFonts w:cs="Ya-Ali"/>
        <w:i/>
        <w:iCs/>
        <w:sz w:val="20"/>
        <w:szCs w:val="22"/>
        <w:rtl/>
        <w:lang w:bidi="ar-LB"/>
      </w:rPr>
      <w:t xml:space="preserve"> </w:t>
    </w:r>
    <w:r w:rsidRPr="0051603B">
      <w:rPr>
        <w:rFonts w:cs="Ya-Ali" w:hint="cs"/>
        <w:i/>
        <w:iCs/>
        <w:sz w:val="20"/>
        <w:szCs w:val="22"/>
        <w:rtl/>
        <w:lang w:bidi="ar-LB"/>
      </w:rPr>
      <w:t>الفكر الأصوليّ ل</w:t>
    </w:r>
    <w:r w:rsidRPr="0051603B">
      <w:rPr>
        <w:rFonts w:cs="Ya-Ali"/>
        <w:i/>
        <w:iCs/>
        <w:sz w:val="20"/>
        <w:szCs w:val="22"/>
        <w:rtl/>
        <w:lang w:bidi="ar-LB"/>
      </w:rPr>
      <w:t>ل</w:t>
    </w:r>
    <w:r w:rsidRPr="0051603B">
      <w:rPr>
        <w:rFonts w:cs="Ya-Ali" w:hint="cs"/>
        <w:i/>
        <w:iCs/>
        <w:sz w:val="20"/>
        <w:szCs w:val="22"/>
        <w:rtl/>
        <w:lang w:bidi="ar-LB"/>
      </w:rPr>
      <w:t>سيّد</w:t>
    </w:r>
    <w:r w:rsidRPr="0051603B">
      <w:rPr>
        <w:rFonts w:cs="Ya-Ali"/>
        <w:i/>
        <w:iCs/>
        <w:sz w:val="20"/>
        <w:szCs w:val="22"/>
        <w:rtl/>
        <w:lang w:bidi="ar-LB"/>
      </w:rPr>
      <w:t xml:space="preserve"> </w:t>
    </w:r>
    <w:r w:rsidRPr="0051603B">
      <w:rPr>
        <w:rFonts w:cs="Ya-Ali" w:hint="cs"/>
        <w:i/>
        <w:iCs/>
        <w:sz w:val="20"/>
        <w:szCs w:val="22"/>
        <w:rtl/>
        <w:lang w:bidi="ar-LB"/>
      </w:rPr>
      <w:t>محمّد باقر</w:t>
    </w:r>
    <w:r w:rsidRPr="0051603B">
      <w:rPr>
        <w:rFonts w:cs="Ya-Ali"/>
        <w:i/>
        <w:iCs/>
        <w:sz w:val="20"/>
        <w:szCs w:val="22"/>
        <w:rtl/>
        <w:lang w:bidi="ar-LB"/>
      </w:rPr>
      <w:t xml:space="preserve"> الصدر</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a7"/>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171C4C">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171C4C">
      <w:rPr>
        <w:rFonts w:cs="Ya-Ali" w:hint="cs"/>
        <w:i/>
        <w:iCs/>
        <w:sz w:val="24"/>
        <w:szCs w:val="24"/>
        <w:rtl/>
        <w:lang w:bidi="ar-MA"/>
      </w:rPr>
      <w:t>د. العربي إدناصر</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E36B46">
    <w:pPr>
      <w:pStyle w:val="a7"/>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4C458B">
    <w:pPr>
      <w:pStyle w:val="a8"/>
      <w:spacing w:after="240" w:line="200" w:lineRule="exact"/>
      <w:ind w:firstLine="0"/>
      <w:jc w:val="right"/>
      <w:rPr>
        <w:rFonts w:cs="Ya-Ali"/>
        <w:i/>
        <w:iCs/>
        <w:rtl/>
        <w:lang w:bidi="ar-MA"/>
      </w:rPr>
    </w:pPr>
    <w:r w:rsidRPr="002766BB">
      <w:rPr>
        <w:rFonts w:cs="Ya-Ali"/>
        <w:sz w:val="22"/>
        <w:szCs w:val="22"/>
        <w:rtl/>
      </w:rPr>
      <w:t>•</w:t>
    </w:r>
    <w:r w:rsidRPr="002766BB">
      <w:rPr>
        <w:rFonts w:cs="Ya-Ali" w:hint="cs"/>
        <w:sz w:val="22"/>
        <w:szCs w:val="22"/>
        <w:rtl/>
      </w:rPr>
      <w:t xml:space="preserve"> </w:t>
    </w:r>
    <w:r w:rsidRPr="00171C4C">
      <w:rPr>
        <w:rFonts w:cs="Ya-Ali"/>
        <w:i/>
        <w:iCs/>
        <w:sz w:val="20"/>
        <w:szCs w:val="22"/>
        <w:rtl/>
        <w:lang w:bidi="ar-MA"/>
      </w:rPr>
      <w:t xml:space="preserve">معالم </w:t>
    </w:r>
    <w:r>
      <w:rPr>
        <w:rFonts w:cs="Ya-Ali" w:hint="cs"/>
        <w:i/>
        <w:iCs/>
        <w:sz w:val="20"/>
        <w:szCs w:val="22"/>
        <w:rtl/>
        <w:lang w:bidi="ar-MA"/>
      </w:rPr>
      <w:t>منهجي</w:t>
    </w:r>
    <w:r w:rsidRPr="00171C4C">
      <w:rPr>
        <w:rFonts w:cs="Ya-Ali" w:hint="cs"/>
        <w:i/>
        <w:iCs/>
        <w:sz w:val="20"/>
        <w:szCs w:val="22"/>
        <w:rtl/>
        <w:lang w:bidi="ar-MA"/>
      </w:rPr>
      <w:t>ة</w:t>
    </w:r>
    <w:r>
      <w:rPr>
        <w:rFonts w:cs="Ya-Ali"/>
        <w:i/>
        <w:iCs/>
        <w:sz w:val="20"/>
        <w:szCs w:val="22"/>
        <w:rtl/>
        <w:lang w:bidi="ar-MA"/>
      </w:rPr>
      <w:t xml:space="preserve"> في فقه الأق</w:t>
    </w:r>
    <w:r>
      <w:rPr>
        <w:rFonts w:cs="Ya-Ali" w:hint="cs"/>
        <w:i/>
        <w:iCs/>
        <w:sz w:val="20"/>
        <w:szCs w:val="22"/>
        <w:rtl/>
        <w:lang w:bidi="ar-MA"/>
      </w:rPr>
      <w:t>ل</w:t>
    </w:r>
    <w:r w:rsidRPr="00171C4C">
      <w:rPr>
        <w:rFonts w:cs="Ya-Ali"/>
        <w:i/>
        <w:iCs/>
        <w:sz w:val="20"/>
        <w:szCs w:val="22"/>
        <w:rtl/>
        <w:lang w:bidi="ar-MA"/>
      </w:rPr>
      <w:t>يات</w:t>
    </w:r>
    <w:r w:rsidRPr="00171C4C">
      <w:rPr>
        <w:rFonts w:cs="Ya-Ali" w:hint="cs"/>
        <w:i/>
        <w:iCs/>
        <w:sz w:val="20"/>
        <w:szCs w:val="22"/>
        <w:rtl/>
        <w:lang w:bidi="ar-MA"/>
      </w:rPr>
      <w:t xml:space="preserve"> المسلمة</w:t>
    </w:r>
    <w:r>
      <w:rPr>
        <w:rFonts w:cs="Ya-Ali" w:hint="cs"/>
        <w:i/>
        <w:iCs/>
        <w:sz w:val="20"/>
        <w:szCs w:val="22"/>
        <w:rtl/>
        <w:lang w:bidi="ar-MA"/>
      </w:rPr>
      <w:t>،</w:t>
    </w:r>
    <w:r w:rsidRPr="00171C4C">
      <w:rPr>
        <w:rFonts w:cs="Ya-Ali"/>
        <w:i/>
        <w:iCs/>
        <w:sz w:val="20"/>
        <w:szCs w:val="22"/>
        <w:rtl/>
        <w:lang w:bidi="ar-MA"/>
      </w:rPr>
      <w:t xml:space="preserve"> </w:t>
    </w:r>
    <w:r w:rsidRPr="004C458B">
      <w:rPr>
        <w:rFonts w:cs="Ya-Ali"/>
        <w:i/>
        <w:iCs/>
        <w:sz w:val="20"/>
        <w:szCs w:val="22"/>
        <w:rtl/>
        <w:lang w:bidi="ar-MA"/>
      </w:rPr>
      <w:t xml:space="preserve">وبحث في </w:t>
    </w:r>
    <w:r w:rsidRPr="004C458B">
      <w:rPr>
        <w:rFonts w:cs="Ya-Ali" w:hint="cs"/>
        <w:i/>
        <w:iCs/>
        <w:sz w:val="20"/>
        <w:szCs w:val="22"/>
        <w:rtl/>
        <w:lang w:bidi="ar-MA"/>
      </w:rPr>
      <w:t>آفاقه و</w:t>
    </w:r>
    <w:r w:rsidRPr="004C458B">
      <w:rPr>
        <w:rFonts w:cs="Ya-Ali"/>
        <w:i/>
        <w:iCs/>
        <w:sz w:val="20"/>
        <w:szCs w:val="22"/>
        <w:rtl/>
        <w:lang w:bidi="ar-MA"/>
      </w:rPr>
      <w:t>مآلاته</w:t>
    </w:r>
    <w:r>
      <w:rPr>
        <w:rFonts w:cs="Ya-Ali" w:hint="cs"/>
        <w:i/>
        <w:iCs/>
        <w:sz w:val="20"/>
        <w:szCs w:val="22"/>
        <w:rtl/>
        <w:lang w:bidi="ar-MA"/>
      </w:rPr>
      <w:t xml:space="preserve"> الاستراتيجي</w:t>
    </w:r>
    <w:r w:rsidRPr="004C458B">
      <w:rPr>
        <w:rFonts w:cs="Ya-Ali" w:hint="cs"/>
        <w:i/>
        <w:iCs/>
        <w:sz w:val="20"/>
        <w:szCs w:val="22"/>
        <w:rtl/>
        <w:lang w:bidi="ar-MA"/>
      </w:rPr>
      <w:t>ة</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86B9F">
    <w:pPr>
      <w:pStyle w:val="a7"/>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236494">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292BB8">
      <w:rPr>
        <w:rFonts w:cs="Ya-Ali" w:hint="cs"/>
        <w:i/>
        <w:iCs/>
        <w:sz w:val="24"/>
        <w:szCs w:val="24"/>
        <w:rtl/>
      </w:rPr>
      <w:t xml:space="preserve">الشيخ صادق </w:t>
    </w:r>
    <w:r>
      <w:rPr>
        <w:rFonts w:cs="Ya-Ali" w:hint="cs"/>
        <w:i/>
        <w:iCs/>
        <w:sz w:val="24"/>
        <w:szCs w:val="24"/>
        <w:rtl/>
      </w:rPr>
      <w:t>ال</w:t>
    </w:r>
    <w:r w:rsidRPr="00292BB8">
      <w:rPr>
        <w:rFonts w:cs="Ya-Ali" w:hint="cs"/>
        <w:i/>
        <w:iCs/>
        <w:sz w:val="24"/>
        <w:szCs w:val="24"/>
        <w:rtl/>
      </w:rPr>
      <w:t xml:space="preserve">لاريجاني، بقلم: </w:t>
    </w:r>
    <w:r>
      <w:rPr>
        <w:rFonts w:cs="Ya-Ali" w:hint="cs"/>
        <w:i/>
        <w:iCs/>
        <w:sz w:val="24"/>
        <w:szCs w:val="24"/>
        <w:rtl/>
      </w:rPr>
      <w:t>الشيخ محمد حسن القمي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236494">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4D1780">
      <w:rPr>
        <w:rFonts w:cs="Ya-Ali" w:hint="cs"/>
        <w:i/>
        <w:iCs/>
        <w:sz w:val="22"/>
        <w:szCs w:val="22"/>
        <w:rtl/>
      </w:rPr>
      <w:t xml:space="preserve">قاعدة نفي </w:t>
    </w:r>
    <w:r w:rsidRPr="004D1780">
      <w:rPr>
        <w:rFonts w:cs="Ya-Ali" w:hint="cs"/>
        <w:i/>
        <w:iCs/>
        <w:sz w:val="22"/>
        <w:szCs w:val="22"/>
        <w:rtl/>
        <w:lang w:bidi="ar-LB"/>
      </w:rPr>
      <w:t>خلوّ الوقائع من الحكم الشرعي</w:t>
    </w:r>
    <w:r>
      <w:rPr>
        <w:rFonts w:cs="Ya-Ali" w:hint="cs"/>
        <w:i/>
        <w:iCs/>
        <w:sz w:val="22"/>
        <w:szCs w:val="22"/>
        <w:rtl/>
      </w:rPr>
      <w:t xml:space="preserve">ّ، </w:t>
    </w:r>
    <w:r w:rsidRPr="004D1780">
      <w:rPr>
        <w:rFonts w:cs="Ya-Ali" w:hint="cs"/>
        <w:i/>
        <w:iCs/>
        <w:sz w:val="22"/>
        <w:szCs w:val="22"/>
        <w:rtl/>
        <w:lang w:bidi="ar-LB"/>
      </w:rPr>
      <w:t>وأثرها في علم أصول الفقه</w:t>
    </w:r>
    <w:r>
      <w:rPr>
        <w:rFonts w:cs="Ya-Ali" w:hint="cs"/>
        <w:i/>
        <w:iCs/>
        <w:sz w:val="22"/>
        <w:szCs w:val="22"/>
        <w:rtl/>
      </w:rPr>
      <w:t xml:space="preserve"> / القسم الثاني</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86B9F">
    <w:pPr>
      <w:pStyle w:val="a7"/>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E10345">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الشيخ حسين الخشن</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F2CB3">
    <w:pPr>
      <w:pStyle w:val="a7"/>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E10345">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lang w:bidi="ar-LB"/>
      </w:rPr>
      <w:t>قاعدة التسامح في أدلة السن</w:t>
    </w:r>
    <w:r w:rsidRPr="00E10345">
      <w:rPr>
        <w:rFonts w:cs="Ya-Ali" w:hint="cs"/>
        <w:i/>
        <w:iCs/>
        <w:sz w:val="20"/>
        <w:szCs w:val="22"/>
        <w:rtl/>
        <w:lang w:bidi="ar-LB"/>
      </w:rPr>
      <w:t>ن</w:t>
    </w:r>
    <w:r w:rsidRPr="000B6711">
      <w:rPr>
        <w:rFonts w:cs="Ya-Ali" w:hint="cs"/>
        <w:i/>
        <w:iCs/>
        <w:sz w:val="20"/>
        <w:szCs w:val="22"/>
        <w:rtl/>
      </w:rPr>
      <w:t xml:space="preserve">، </w:t>
    </w:r>
    <w:r>
      <w:rPr>
        <w:rFonts w:cs="Ya-Ali" w:hint="cs"/>
        <w:i/>
        <w:iCs/>
        <w:sz w:val="20"/>
        <w:szCs w:val="22"/>
        <w:rtl/>
      </w:rPr>
      <w:t>ودورها في تسرب الموضوعات / القسم الثاني</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86B9F">
    <w:pPr>
      <w:pStyle w:val="a7"/>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A208B5">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أ</w:t>
    </w:r>
    <w:r w:rsidRPr="000B6711">
      <w:rPr>
        <w:rFonts w:cs="Ya-Ali" w:hint="cs"/>
        <w:i/>
        <w:iCs/>
        <w:sz w:val="24"/>
        <w:szCs w:val="24"/>
        <w:rtl/>
      </w:rPr>
      <w:t>. إيمان شمس الدين</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0B6711">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0B6711">
      <w:rPr>
        <w:rFonts w:cs="Ya-Ali" w:hint="cs"/>
        <w:i/>
        <w:iCs/>
        <w:sz w:val="20"/>
        <w:szCs w:val="22"/>
        <w:rtl/>
      </w:rPr>
      <w:t>فلسفة الأخلاق في فكر الشهيد مطهري: الذات بين الألم والسعادة، ومرجعية الضبط الأخلاقي</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86B9F">
    <w:pPr>
      <w:pStyle w:val="a7"/>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877778">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877778">
      <w:rPr>
        <w:rFonts w:cs="Ya-Ali" w:hint="cs"/>
        <w:i/>
        <w:iCs/>
        <w:sz w:val="24"/>
        <w:szCs w:val="24"/>
        <w:rtl/>
        <w:lang w:bidi="ar-SY"/>
      </w:rPr>
      <w:t>أ. نبيل علي صالح</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D12571">
    <w:pPr>
      <w:pStyle w:val="a8"/>
      <w:spacing w:after="240" w:line="200" w:lineRule="exact"/>
      <w:ind w:firstLine="0"/>
      <w:jc w:val="right"/>
      <w:rPr>
        <w:rFonts w:cs="Ya-Ali"/>
        <w:i/>
        <w:iCs/>
        <w:rtl/>
        <w:lang w:bidi="ar-SY"/>
      </w:rPr>
    </w:pPr>
    <w:r w:rsidRPr="002766BB">
      <w:rPr>
        <w:rFonts w:cs="Ya-Ali"/>
        <w:sz w:val="22"/>
        <w:szCs w:val="22"/>
        <w:rtl/>
      </w:rPr>
      <w:t>•</w:t>
    </w:r>
    <w:r w:rsidRPr="002766BB">
      <w:rPr>
        <w:rFonts w:cs="Ya-Ali" w:hint="cs"/>
        <w:sz w:val="22"/>
        <w:szCs w:val="22"/>
        <w:rtl/>
      </w:rPr>
      <w:t xml:space="preserve"> </w:t>
    </w:r>
    <w:r>
      <w:rPr>
        <w:rFonts w:cs="Ya-Ali" w:hint="cs"/>
        <w:i/>
        <w:iCs/>
        <w:sz w:val="20"/>
        <w:szCs w:val="22"/>
        <w:rtl/>
        <w:lang w:bidi="ar-SY"/>
      </w:rPr>
      <w:t>التربية الاجتماعية والنفسي</w:t>
    </w:r>
    <w:r w:rsidRPr="00877778">
      <w:rPr>
        <w:rFonts w:cs="Ya-Ali" w:hint="cs"/>
        <w:i/>
        <w:iCs/>
        <w:sz w:val="20"/>
        <w:szCs w:val="22"/>
        <w:rtl/>
        <w:lang w:bidi="ar-SY"/>
      </w:rPr>
      <w:t xml:space="preserve">ة للفرد المسلم، </w:t>
    </w:r>
    <w:r>
      <w:rPr>
        <w:rFonts w:cs="Ya-Ali" w:hint="cs"/>
        <w:i/>
        <w:iCs/>
        <w:sz w:val="20"/>
        <w:szCs w:val="22"/>
        <w:rtl/>
        <w:lang w:bidi="ar-SY"/>
      </w:rPr>
      <w:t>مطالعةٌ في المقومات والوظيفة والد</w:t>
    </w:r>
    <w:r w:rsidRPr="00877778">
      <w:rPr>
        <w:rFonts w:cs="Ya-Ali" w:hint="cs"/>
        <w:i/>
        <w:iCs/>
        <w:sz w:val="20"/>
        <w:szCs w:val="22"/>
        <w:rtl/>
        <w:lang w:bidi="ar-SY"/>
      </w:rPr>
      <w:t>وْر</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345FD6">
    <w:pPr>
      <w:pStyle w:val="a7"/>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962F60">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محمد بنعمر</w:t>
    </w:r>
    <w:r w:rsidRPr="00D87C5C">
      <w:rPr>
        <w:rFonts w:cs="Ya-Ali" w:hint="cs"/>
        <w:i/>
        <w:iCs/>
        <w:sz w:val="10"/>
        <w:szCs w:val="10"/>
        <w:rtl/>
      </w:rPr>
      <w:t xml:space="preserve">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962F60">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962F60">
      <w:rPr>
        <w:rFonts w:cs="Ya-Ali" w:hint="cs"/>
        <w:i/>
        <w:iCs/>
        <w:sz w:val="20"/>
        <w:szCs w:val="22"/>
        <w:rtl/>
      </w:rPr>
      <w:t>ا</w:t>
    </w:r>
    <w:r w:rsidRPr="00962F60">
      <w:rPr>
        <w:rFonts w:cs="Ya-Ali"/>
        <w:i/>
        <w:iCs/>
        <w:sz w:val="20"/>
        <w:szCs w:val="22"/>
        <w:rtl/>
      </w:rPr>
      <w:t xml:space="preserve">لعلوم الإنسانية في التراث </w:t>
    </w:r>
    <w:r w:rsidRPr="00962F60">
      <w:rPr>
        <w:rFonts w:cs="Ya-Ali" w:hint="cs"/>
        <w:i/>
        <w:iCs/>
        <w:sz w:val="20"/>
        <w:szCs w:val="22"/>
        <w:rtl/>
      </w:rPr>
      <w:t>العربي</w:t>
    </w:r>
    <w:r w:rsidRPr="00962F60">
      <w:rPr>
        <w:rFonts w:cs="Ya-Ali"/>
        <w:i/>
        <w:iCs/>
        <w:sz w:val="20"/>
        <w:szCs w:val="22"/>
        <w:rtl/>
      </w:rPr>
      <w:t xml:space="preserve"> الإسلامي</w:t>
    </w:r>
    <w:r w:rsidRPr="00962F60">
      <w:rPr>
        <w:rFonts w:cs="Ya-Ali" w:hint="cs"/>
        <w:i/>
        <w:iCs/>
        <w:sz w:val="20"/>
        <w:szCs w:val="22"/>
        <w:rtl/>
      </w:rPr>
      <w:t xml:space="preserve">، </w:t>
    </w:r>
    <w:r w:rsidRPr="00962F60">
      <w:rPr>
        <w:rFonts w:cs="Ya-Ali"/>
        <w:i/>
        <w:iCs/>
        <w:sz w:val="20"/>
        <w:szCs w:val="22"/>
        <w:rtl/>
      </w:rPr>
      <w:t>بين دعوى الغياب واعتراف الحضور</w:t>
    </w:r>
    <w:r w:rsidRPr="00CF3B72">
      <w:rPr>
        <w:rFonts w:cs="Ya-Ali" w:hint="cs"/>
        <w:i/>
        <w:iCs/>
        <w:sz w:val="10"/>
        <w:szCs w:val="10"/>
        <w:rtl/>
      </w:rPr>
      <w:t xml:space="preserve"> </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345FD6">
    <w:pPr>
      <w:pStyle w:val="a7"/>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FF174E" w:rsidRDefault="00DB2356" w:rsidP="00DC127A">
    <w:pPr>
      <w:pStyle w:val="a8"/>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محمد عباس دهيني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343D21">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مسعود إمامي</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DC127A">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DC127A">
      <w:rPr>
        <w:rFonts w:cs="Ya-Ali" w:hint="cs"/>
        <w:b/>
        <w:i/>
        <w:iCs/>
        <w:sz w:val="20"/>
        <w:szCs w:val="22"/>
        <w:rtl/>
      </w:rPr>
      <w:t>أحاديث «وسائل الشيعة»، تأملات في خصائص الأسانيد والمتون</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9676CA">
    <w:pPr>
      <w:pStyle w:val="a7"/>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A3356D">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A3356D">
      <w:rPr>
        <w:rFonts w:cs="Ya-Ali"/>
        <w:i/>
        <w:iCs/>
        <w:sz w:val="24"/>
        <w:szCs w:val="24"/>
        <w:rtl/>
      </w:rPr>
      <w:t>د. مالك أبو حمدان</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D939B3" w:rsidRDefault="00DB2356" w:rsidP="00412F40">
    <w:pPr>
      <w:pStyle w:val="a8"/>
      <w:spacing w:after="240" w:line="200" w:lineRule="exact"/>
      <w:ind w:firstLine="0"/>
      <w:jc w:val="right"/>
      <w:rPr>
        <w:rFonts w:cs="Ya-Ali"/>
        <w:i/>
        <w:iCs/>
        <w:sz w:val="21"/>
        <w:szCs w:val="21"/>
        <w:rtl/>
      </w:rPr>
    </w:pPr>
    <w:r w:rsidRPr="00D939B3">
      <w:rPr>
        <w:rFonts w:cs="Ya-Ali"/>
        <w:sz w:val="21"/>
        <w:szCs w:val="21"/>
        <w:rtl/>
      </w:rPr>
      <w:t>•</w:t>
    </w:r>
    <w:r w:rsidRPr="00D939B3">
      <w:rPr>
        <w:rFonts w:cs="Ya-Ali" w:hint="cs"/>
        <w:sz w:val="21"/>
        <w:szCs w:val="21"/>
        <w:rtl/>
      </w:rPr>
      <w:t xml:space="preserve"> </w:t>
    </w:r>
    <w:r w:rsidRPr="00412F40">
      <w:rPr>
        <w:rFonts w:cs="Ya-Ali" w:hint="cs"/>
        <w:i/>
        <w:iCs/>
        <w:sz w:val="22"/>
        <w:szCs w:val="22"/>
        <w:rtl/>
      </w:rPr>
      <w:t>تأثير وتجديد كتاب</w:t>
    </w:r>
    <w:r w:rsidRPr="00412F40">
      <w:rPr>
        <w:rFonts w:cs="Ya-Ali"/>
        <w:i/>
        <w:iCs/>
        <w:sz w:val="22"/>
        <w:szCs w:val="22"/>
        <w:rtl/>
      </w:rPr>
      <w:t xml:space="preserve"> </w:t>
    </w:r>
    <w:r w:rsidRPr="00412F40">
      <w:rPr>
        <w:rFonts w:cs="Ya-Ali" w:hint="eastAsia"/>
        <w:i/>
        <w:iCs/>
        <w:sz w:val="22"/>
        <w:szCs w:val="22"/>
        <w:rtl/>
      </w:rPr>
      <w:t>«</w:t>
    </w:r>
    <w:r w:rsidRPr="00412F40">
      <w:rPr>
        <w:rFonts w:cs="Ya-Ali"/>
        <w:i/>
        <w:iCs/>
        <w:sz w:val="22"/>
        <w:szCs w:val="22"/>
        <w:rtl/>
      </w:rPr>
      <w:t>اقتصادن</w:t>
    </w:r>
    <w:r w:rsidRPr="00412F40">
      <w:rPr>
        <w:rFonts w:cs="Ya-Ali" w:hint="cs"/>
        <w:i/>
        <w:iCs/>
        <w:sz w:val="22"/>
        <w:szCs w:val="22"/>
        <w:rtl/>
      </w:rPr>
      <w:t>ا</w:t>
    </w:r>
    <w:r w:rsidRPr="00412F40">
      <w:rPr>
        <w:rFonts w:cs="Ya-Ali" w:hint="eastAsia"/>
        <w:i/>
        <w:iCs/>
        <w:sz w:val="22"/>
        <w:szCs w:val="22"/>
        <w:rtl/>
      </w:rPr>
      <w:t>»</w:t>
    </w:r>
    <w:r w:rsidRPr="00412F40">
      <w:rPr>
        <w:rFonts w:cs="Ya-Ali" w:hint="cs"/>
        <w:i/>
        <w:iCs/>
        <w:sz w:val="22"/>
        <w:szCs w:val="22"/>
        <w:rtl/>
      </w:rPr>
      <w:t xml:space="preserve">، </w:t>
    </w:r>
    <w:r w:rsidRPr="00412F40">
      <w:rPr>
        <w:rFonts w:cs="Ya-Ali"/>
        <w:i/>
        <w:iCs/>
        <w:sz w:val="22"/>
        <w:szCs w:val="22"/>
        <w:rtl/>
      </w:rPr>
      <w:t>مناقشة</w:t>
    </w:r>
    <w:r w:rsidRPr="00412F40">
      <w:rPr>
        <w:rFonts w:cs="Ya-Ali" w:hint="cs"/>
        <w:i/>
        <w:iCs/>
        <w:sz w:val="22"/>
        <w:szCs w:val="22"/>
        <w:rtl/>
      </w:rPr>
      <w:t>ٌ</w:t>
    </w:r>
    <w:r>
      <w:rPr>
        <w:rFonts w:cs="Ya-Ali"/>
        <w:i/>
        <w:iCs/>
        <w:sz w:val="22"/>
        <w:szCs w:val="22"/>
        <w:rtl/>
      </w:rPr>
      <w:t xml:space="preserve"> من منظار تطوير منهج</w:t>
    </w:r>
    <w:r>
      <w:rPr>
        <w:rFonts w:cs="Ya-Ali" w:hint="cs"/>
        <w:i/>
        <w:iCs/>
        <w:sz w:val="22"/>
        <w:szCs w:val="22"/>
        <w:rtl/>
      </w:rPr>
      <w:t>ي</w:t>
    </w:r>
    <w:r w:rsidRPr="00412F40">
      <w:rPr>
        <w:rFonts w:cs="Ya-Ali"/>
        <w:i/>
        <w:iCs/>
        <w:sz w:val="22"/>
        <w:szCs w:val="22"/>
        <w:rtl/>
      </w:rPr>
      <w:t>ة الأبحاث ال</w:t>
    </w:r>
    <w:r w:rsidRPr="00412F40">
      <w:rPr>
        <w:rFonts w:cs="Ya-Ali" w:hint="cs"/>
        <w:i/>
        <w:iCs/>
        <w:sz w:val="22"/>
        <w:szCs w:val="22"/>
        <w:rtl/>
      </w:rPr>
      <w:t>إ</w:t>
    </w:r>
    <w:r w:rsidRPr="00412F40">
      <w:rPr>
        <w:rFonts w:cs="Ya-Ali"/>
        <w:i/>
        <w:iCs/>
        <w:sz w:val="22"/>
        <w:szCs w:val="22"/>
        <w:rtl/>
      </w:rPr>
      <w:t>سلامية</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345FD6">
    <w:pPr>
      <w:pStyle w:val="a7"/>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a7"/>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a7"/>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DB531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079B67B8"/>
    <w:multiLevelType w:val="hybridMultilevel"/>
    <w:tmpl w:val="0A500858"/>
    <w:lvl w:ilvl="0" w:tplc="35382F4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11871AA8"/>
    <w:multiLevelType w:val="hybridMultilevel"/>
    <w:tmpl w:val="A9300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940AA"/>
    <w:multiLevelType w:val="hybridMultilevel"/>
    <w:tmpl w:val="BDD6610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EB661A7"/>
    <w:multiLevelType w:val="hybridMultilevel"/>
    <w:tmpl w:val="0DD62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A57B9F"/>
    <w:multiLevelType w:val="multilevel"/>
    <w:tmpl w:val="4FC0F81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3117B23"/>
    <w:multiLevelType w:val="hybridMultilevel"/>
    <w:tmpl w:val="8000059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6BA6F79"/>
    <w:multiLevelType w:val="hybridMultilevel"/>
    <w:tmpl w:val="819CB5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95278DB"/>
    <w:multiLevelType w:val="hybridMultilevel"/>
    <w:tmpl w:val="60CCCDFC"/>
    <w:lvl w:ilvl="0" w:tplc="F3C43DCE">
      <w:start w:val="1"/>
      <w:numFmt w:val="decimal"/>
      <w:lvlText w:val="%1)"/>
      <w:lvlJc w:val="left"/>
      <w:pPr>
        <w:tabs>
          <w:tab w:val="num" w:pos="869"/>
        </w:tabs>
        <w:ind w:left="869" w:hanging="585"/>
      </w:pPr>
      <w:rPr>
        <w:rFonts w:ascii="Times New Roman" w:eastAsia="Times New Roman" w:hAnsi="Times New Roman" w:cs="Times New Roman"/>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8">
    <w:nsid w:val="354858B1"/>
    <w:multiLevelType w:val="hybridMultilevel"/>
    <w:tmpl w:val="39F00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2F1612"/>
    <w:multiLevelType w:val="hybridMultilevel"/>
    <w:tmpl w:val="E62E0884"/>
    <w:lvl w:ilvl="0" w:tplc="058AF84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8B1DA4"/>
    <w:multiLevelType w:val="hybridMultilevel"/>
    <w:tmpl w:val="A8D8F8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37D42F7"/>
    <w:multiLevelType w:val="hybridMultilevel"/>
    <w:tmpl w:val="9D902468"/>
    <w:lvl w:ilvl="0" w:tplc="C2CC897A">
      <w:numFmt w:val="bullet"/>
      <w:lvlText w:val="-"/>
      <w:lvlJc w:val="left"/>
      <w:pPr>
        <w:ind w:left="720" w:hanging="360"/>
      </w:pPr>
      <w:rPr>
        <w:rFonts w:ascii="Yakout Linotype Light" w:eastAsiaTheme="minorHAnsi" w:hAnsi="Yakout Linotype Light" w:cs="Sultan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3">
    <w:nsid w:val="48F76125"/>
    <w:multiLevelType w:val="hybridMultilevel"/>
    <w:tmpl w:val="175A3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FC1A19"/>
    <w:multiLevelType w:val="hybridMultilevel"/>
    <w:tmpl w:val="A97437E4"/>
    <w:lvl w:ilvl="0" w:tplc="04090005">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nsid w:val="4BDA206B"/>
    <w:multiLevelType w:val="hybridMultilevel"/>
    <w:tmpl w:val="D5269932"/>
    <w:lvl w:ilvl="0" w:tplc="F39E941C">
      <w:start w:val="1"/>
      <w:numFmt w:val="bullet"/>
      <w:lvlText w:val="-"/>
      <w:lvlJc w:val="left"/>
      <w:pPr>
        <w:ind w:left="1060" w:hanging="360"/>
      </w:pPr>
      <w:rPr>
        <w:rFonts w:ascii="Simplified Arabic" w:hAnsi="Simplified Arabic"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nsid w:val="50A50561"/>
    <w:multiLevelType w:val="hybridMultilevel"/>
    <w:tmpl w:val="CF245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C610BB"/>
    <w:multiLevelType w:val="hybridMultilevel"/>
    <w:tmpl w:val="FD9E4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9">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83F0ACA"/>
    <w:multiLevelType w:val="hybridMultilevel"/>
    <w:tmpl w:val="04F6D036"/>
    <w:lvl w:ilvl="0" w:tplc="EB0CB0AA">
      <w:start w:val="58"/>
      <w:numFmt w:val="bullet"/>
      <w:lvlText w:val=""/>
      <w:lvlJc w:val="left"/>
      <w:pPr>
        <w:tabs>
          <w:tab w:val="num" w:pos="779"/>
        </w:tabs>
        <w:ind w:left="779" w:hanging="495"/>
      </w:pPr>
      <w:rPr>
        <w:rFonts w:ascii="Symbol" w:eastAsia="Times New Roman" w:hAnsi="Symbol" w:cs="Abz-1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nsid w:val="6CCC0C97"/>
    <w:multiLevelType w:val="hybridMultilevel"/>
    <w:tmpl w:val="84B826D0"/>
    <w:lvl w:ilvl="0" w:tplc="520056A0">
      <w:start w:val="1"/>
      <w:numFmt w:val="decimal"/>
      <w:lvlText w:val="%1)"/>
      <w:lvlJc w:val="left"/>
      <w:pPr>
        <w:tabs>
          <w:tab w:val="num" w:pos="869"/>
        </w:tabs>
        <w:ind w:left="869" w:hanging="585"/>
      </w:pPr>
      <w:rPr>
        <w:rFonts w:ascii="Times New Roman" w:eastAsia="Times New Roman" w:hAnsi="Times New Roman" w:cs="Times New Roman"/>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nsid w:val="6E7C5FD3"/>
    <w:multiLevelType w:val="hybridMultilevel"/>
    <w:tmpl w:val="94807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23C4813"/>
    <w:multiLevelType w:val="hybridMultilevel"/>
    <w:tmpl w:val="963C0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2446834"/>
    <w:multiLevelType w:val="multilevel"/>
    <w:tmpl w:val="D0BEA8F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nsid w:val="75AD4F00"/>
    <w:multiLevelType w:val="hybridMultilevel"/>
    <w:tmpl w:val="972C107A"/>
    <w:lvl w:ilvl="0" w:tplc="A0462A00">
      <w:numFmt w:val="bullet"/>
      <w:lvlText w:val="-"/>
      <w:lvlJc w:val="left"/>
      <w:pPr>
        <w:ind w:left="720" w:hanging="360"/>
      </w:pPr>
      <w:rPr>
        <w:rFonts w:asciiTheme="minorHAnsi" w:eastAsiaTheme="minorHAnsi" w:hAnsiTheme="minorHAnsi" w:cs="AdvertisingBol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810547A"/>
    <w:multiLevelType w:val="hybridMultilevel"/>
    <w:tmpl w:val="A39AC4D6"/>
    <w:lvl w:ilvl="0" w:tplc="FB78AFB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605F45"/>
    <w:multiLevelType w:val="hybridMultilevel"/>
    <w:tmpl w:val="49F22294"/>
    <w:lvl w:ilvl="0" w:tplc="7F66D726">
      <w:start w:val="58"/>
      <w:numFmt w:val="bullet"/>
      <w:lvlText w:val=""/>
      <w:lvlJc w:val="left"/>
      <w:pPr>
        <w:tabs>
          <w:tab w:val="num" w:pos="779"/>
        </w:tabs>
        <w:ind w:left="779" w:hanging="495"/>
      </w:pPr>
      <w:rPr>
        <w:rFonts w:ascii="Symbol" w:eastAsia="Times New Roman" w:hAnsi="Symbol" w:cs="Abz-1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abstractNumId w:val="22"/>
  </w:num>
  <w:num w:numId="2">
    <w:abstractNumId w:val="29"/>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17"/>
  </w:num>
  <w:num w:numId="13">
    <w:abstractNumId w:val="28"/>
  </w:num>
  <w:num w:numId="14">
    <w:abstractNumId w:val="12"/>
  </w:num>
  <w:num w:numId="15">
    <w:abstractNumId w:val="10"/>
  </w:num>
  <w:num w:numId="16">
    <w:abstractNumId w:val="36"/>
  </w:num>
  <w:num w:numId="17">
    <w:abstractNumId w:val="13"/>
  </w:num>
  <w:num w:numId="18">
    <w:abstractNumId w:val="18"/>
  </w:num>
  <w:num w:numId="19">
    <w:abstractNumId w:val="34"/>
  </w:num>
  <w:num w:numId="20">
    <w:abstractNumId w:val="35"/>
  </w:num>
  <w:num w:numId="21">
    <w:abstractNumId w:val="19"/>
  </w:num>
  <w:num w:numId="22">
    <w:abstractNumId w:val="25"/>
  </w:num>
  <w:num w:numId="23">
    <w:abstractNumId w:val="24"/>
  </w:num>
  <w:num w:numId="24">
    <w:abstractNumId w:val="21"/>
  </w:num>
  <w:num w:numId="25">
    <w:abstractNumId w:val="23"/>
  </w:num>
  <w:num w:numId="26">
    <w:abstractNumId w:val="9"/>
  </w:num>
  <w:num w:numId="27">
    <w:abstractNumId w:val="31"/>
  </w:num>
  <w:num w:numId="28">
    <w:abstractNumId w:val="16"/>
  </w:num>
  <w:num w:numId="29">
    <w:abstractNumId w:val="37"/>
  </w:num>
  <w:num w:numId="30">
    <w:abstractNumId w:val="30"/>
  </w:num>
  <w:num w:numId="31">
    <w:abstractNumId w:val="14"/>
  </w:num>
  <w:num w:numId="32">
    <w:abstractNumId w:val="20"/>
  </w:num>
  <w:num w:numId="33">
    <w:abstractNumId w:val="15"/>
  </w:num>
  <w:num w:numId="34">
    <w:abstractNumId w:val="11"/>
  </w:num>
  <w:num w:numId="35">
    <w:abstractNumId w:val="26"/>
  </w:num>
  <w:num w:numId="36">
    <w:abstractNumId w:val="33"/>
  </w:num>
  <w:num w:numId="37">
    <w:abstractNumId w:val="32"/>
  </w:num>
  <w:num w:numId="3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249"/>
    <w:rsid w:val="00000A48"/>
    <w:rsid w:val="00002BB6"/>
    <w:rsid w:val="00002FF3"/>
    <w:rsid w:val="00004100"/>
    <w:rsid w:val="000041B3"/>
    <w:rsid w:val="00004435"/>
    <w:rsid w:val="000046B7"/>
    <w:rsid w:val="00004FD2"/>
    <w:rsid w:val="00005B5A"/>
    <w:rsid w:val="00005DF7"/>
    <w:rsid w:val="000062C0"/>
    <w:rsid w:val="000064AD"/>
    <w:rsid w:val="000068C7"/>
    <w:rsid w:val="00007234"/>
    <w:rsid w:val="00007288"/>
    <w:rsid w:val="00007408"/>
    <w:rsid w:val="00007998"/>
    <w:rsid w:val="00007BDB"/>
    <w:rsid w:val="00007D74"/>
    <w:rsid w:val="000100A3"/>
    <w:rsid w:val="000120E4"/>
    <w:rsid w:val="00013475"/>
    <w:rsid w:val="0001386F"/>
    <w:rsid w:val="0001388A"/>
    <w:rsid w:val="000138B0"/>
    <w:rsid w:val="00013D8D"/>
    <w:rsid w:val="00013F03"/>
    <w:rsid w:val="00014491"/>
    <w:rsid w:val="00015392"/>
    <w:rsid w:val="00017573"/>
    <w:rsid w:val="00017CDA"/>
    <w:rsid w:val="00020641"/>
    <w:rsid w:val="00020906"/>
    <w:rsid w:val="0002097C"/>
    <w:rsid w:val="0002200C"/>
    <w:rsid w:val="00022176"/>
    <w:rsid w:val="00022B07"/>
    <w:rsid w:val="0002343A"/>
    <w:rsid w:val="00023809"/>
    <w:rsid w:val="000240DD"/>
    <w:rsid w:val="00024397"/>
    <w:rsid w:val="00025BBF"/>
    <w:rsid w:val="00025C66"/>
    <w:rsid w:val="00027B44"/>
    <w:rsid w:val="00027B50"/>
    <w:rsid w:val="00031E29"/>
    <w:rsid w:val="000324CA"/>
    <w:rsid w:val="000334F4"/>
    <w:rsid w:val="00033691"/>
    <w:rsid w:val="0003398D"/>
    <w:rsid w:val="000349F9"/>
    <w:rsid w:val="00034B9C"/>
    <w:rsid w:val="00035618"/>
    <w:rsid w:val="00035A69"/>
    <w:rsid w:val="00035DC8"/>
    <w:rsid w:val="000374A4"/>
    <w:rsid w:val="00037A9B"/>
    <w:rsid w:val="00040811"/>
    <w:rsid w:val="0004198E"/>
    <w:rsid w:val="00042369"/>
    <w:rsid w:val="000428AB"/>
    <w:rsid w:val="00042C44"/>
    <w:rsid w:val="00043E75"/>
    <w:rsid w:val="00044FEF"/>
    <w:rsid w:val="00045343"/>
    <w:rsid w:val="0005017E"/>
    <w:rsid w:val="00050B83"/>
    <w:rsid w:val="000510C9"/>
    <w:rsid w:val="00052A5D"/>
    <w:rsid w:val="00052B4D"/>
    <w:rsid w:val="00052B81"/>
    <w:rsid w:val="00052DBB"/>
    <w:rsid w:val="00053147"/>
    <w:rsid w:val="00053C5F"/>
    <w:rsid w:val="0005574C"/>
    <w:rsid w:val="00055868"/>
    <w:rsid w:val="00055DC4"/>
    <w:rsid w:val="00056BFC"/>
    <w:rsid w:val="0005772F"/>
    <w:rsid w:val="00057C9C"/>
    <w:rsid w:val="0006118F"/>
    <w:rsid w:val="00062AE2"/>
    <w:rsid w:val="00062CA0"/>
    <w:rsid w:val="00064DBC"/>
    <w:rsid w:val="000651A7"/>
    <w:rsid w:val="0006523A"/>
    <w:rsid w:val="00065CA5"/>
    <w:rsid w:val="00066137"/>
    <w:rsid w:val="0006689B"/>
    <w:rsid w:val="00067953"/>
    <w:rsid w:val="00071750"/>
    <w:rsid w:val="00072C15"/>
    <w:rsid w:val="0007483B"/>
    <w:rsid w:val="00074E4D"/>
    <w:rsid w:val="0007592C"/>
    <w:rsid w:val="00076289"/>
    <w:rsid w:val="000764F7"/>
    <w:rsid w:val="000776DE"/>
    <w:rsid w:val="00080373"/>
    <w:rsid w:val="000812F9"/>
    <w:rsid w:val="000828DA"/>
    <w:rsid w:val="00082D72"/>
    <w:rsid w:val="000832F9"/>
    <w:rsid w:val="00083599"/>
    <w:rsid w:val="000835AE"/>
    <w:rsid w:val="0008380A"/>
    <w:rsid w:val="00083A9C"/>
    <w:rsid w:val="00084AB3"/>
    <w:rsid w:val="00084BB2"/>
    <w:rsid w:val="00085F4A"/>
    <w:rsid w:val="00086003"/>
    <w:rsid w:val="00086CDA"/>
    <w:rsid w:val="000875BA"/>
    <w:rsid w:val="0008790A"/>
    <w:rsid w:val="00092456"/>
    <w:rsid w:val="00092C98"/>
    <w:rsid w:val="0009334C"/>
    <w:rsid w:val="000935CD"/>
    <w:rsid w:val="000950CE"/>
    <w:rsid w:val="00095A5D"/>
    <w:rsid w:val="00095C2D"/>
    <w:rsid w:val="00095C40"/>
    <w:rsid w:val="00096D40"/>
    <w:rsid w:val="0009722D"/>
    <w:rsid w:val="00097CDF"/>
    <w:rsid w:val="000A006F"/>
    <w:rsid w:val="000A03C7"/>
    <w:rsid w:val="000A0A1F"/>
    <w:rsid w:val="000A0DE2"/>
    <w:rsid w:val="000A1448"/>
    <w:rsid w:val="000A2FC7"/>
    <w:rsid w:val="000A61C1"/>
    <w:rsid w:val="000A6547"/>
    <w:rsid w:val="000A6656"/>
    <w:rsid w:val="000A6B10"/>
    <w:rsid w:val="000A7133"/>
    <w:rsid w:val="000B0F84"/>
    <w:rsid w:val="000B16E4"/>
    <w:rsid w:val="000B22A4"/>
    <w:rsid w:val="000B2538"/>
    <w:rsid w:val="000B32E4"/>
    <w:rsid w:val="000B35FD"/>
    <w:rsid w:val="000B40D0"/>
    <w:rsid w:val="000B421F"/>
    <w:rsid w:val="000B45A4"/>
    <w:rsid w:val="000B50B2"/>
    <w:rsid w:val="000B5897"/>
    <w:rsid w:val="000B6711"/>
    <w:rsid w:val="000B73D5"/>
    <w:rsid w:val="000C020E"/>
    <w:rsid w:val="000C1E30"/>
    <w:rsid w:val="000C21B6"/>
    <w:rsid w:val="000C27BD"/>
    <w:rsid w:val="000C38F7"/>
    <w:rsid w:val="000C3FCE"/>
    <w:rsid w:val="000C44EE"/>
    <w:rsid w:val="000C4638"/>
    <w:rsid w:val="000C51CA"/>
    <w:rsid w:val="000C57DE"/>
    <w:rsid w:val="000C6F2A"/>
    <w:rsid w:val="000C7215"/>
    <w:rsid w:val="000C78CA"/>
    <w:rsid w:val="000C7BF7"/>
    <w:rsid w:val="000C7E87"/>
    <w:rsid w:val="000D0123"/>
    <w:rsid w:val="000D11B4"/>
    <w:rsid w:val="000D15D9"/>
    <w:rsid w:val="000D32C7"/>
    <w:rsid w:val="000D338D"/>
    <w:rsid w:val="000D4602"/>
    <w:rsid w:val="000D46AC"/>
    <w:rsid w:val="000D4812"/>
    <w:rsid w:val="000D58E6"/>
    <w:rsid w:val="000D6058"/>
    <w:rsid w:val="000D6C76"/>
    <w:rsid w:val="000D6F79"/>
    <w:rsid w:val="000E1713"/>
    <w:rsid w:val="000E1BA2"/>
    <w:rsid w:val="000E1C71"/>
    <w:rsid w:val="000E410E"/>
    <w:rsid w:val="000E48D2"/>
    <w:rsid w:val="000E4FA7"/>
    <w:rsid w:val="000E53EB"/>
    <w:rsid w:val="000E56F4"/>
    <w:rsid w:val="000E604A"/>
    <w:rsid w:val="000E6564"/>
    <w:rsid w:val="000E6E6F"/>
    <w:rsid w:val="000E7FCD"/>
    <w:rsid w:val="000F042F"/>
    <w:rsid w:val="000F0847"/>
    <w:rsid w:val="000F08D4"/>
    <w:rsid w:val="000F0A15"/>
    <w:rsid w:val="000F1961"/>
    <w:rsid w:val="000F297D"/>
    <w:rsid w:val="000F2F38"/>
    <w:rsid w:val="000F4345"/>
    <w:rsid w:val="000F4A13"/>
    <w:rsid w:val="000F52ED"/>
    <w:rsid w:val="000F5B7C"/>
    <w:rsid w:val="000F69E7"/>
    <w:rsid w:val="000F734E"/>
    <w:rsid w:val="000F7635"/>
    <w:rsid w:val="00101022"/>
    <w:rsid w:val="00101FE3"/>
    <w:rsid w:val="0010434A"/>
    <w:rsid w:val="00104E6D"/>
    <w:rsid w:val="0010524D"/>
    <w:rsid w:val="001054E3"/>
    <w:rsid w:val="001069FB"/>
    <w:rsid w:val="0010794D"/>
    <w:rsid w:val="0011008D"/>
    <w:rsid w:val="001101BC"/>
    <w:rsid w:val="00110311"/>
    <w:rsid w:val="00110321"/>
    <w:rsid w:val="00110377"/>
    <w:rsid w:val="001103DE"/>
    <w:rsid w:val="001103F7"/>
    <w:rsid w:val="00110A47"/>
    <w:rsid w:val="00111008"/>
    <w:rsid w:val="001112B1"/>
    <w:rsid w:val="00111400"/>
    <w:rsid w:val="0011155A"/>
    <w:rsid w:val="00112440"/>
    <w:rsid w:val="001128F7"/>
    <w:rsid w:val="0011292D"/>
    <w:rsid w:val="00113BB3"/>
    <w:rsid w:val="00113EF7"/>
    <w:rsid w:val="0011464B"/>
    <w:rsid w:val="001152FD"/>
    <w:rsid w:val="00115D3F"/>
    <w:rsid w:val="00116444"/>
    <w:rsid w:val="0011736A"/>
    <w:rsid w:val="001177DE"/>
    <w:rsid w:val="00117AF3"/>
    <w:rsid w:val="00117B42"/>
    <w:rsid w:val="00120A7A"/>
    <w:rsid w:val="00120DE3"/>
    <w:rsid w:val="00121520"/>
    <w:rsid w:val="00121E4C"/>
    <w:rsid w:val="0012299F"/>
    <w:rsid w:val="001229FB"/>
    <w:rsid w:val="00122A66"/>
    <w:rsid w:val="00122EE0"/>
    <w:rsid w:val="00123D7D"/>
    <w:rsid w:val="00124D2B"/>
    <w:rsid w:val="0012503B"/>
    <w:rsid w:val="001253CF"/>
    <w:rsid w:val="0012599D"/>
    <w:rsid w:val="00125A2E"/>
    <w:rsid w:val="00125E50"/>
    <w:rsid w:val="00126133"/>
    <w:rsid w:val="00126D71"/>
    <w:rsid w:val="00127CAB"/>
    <w:rsid w:val="00130971"/>
    <w:rsid w:val="0013098F"/>
    <w:rsid w:val="00131F5B"/>
    <w:rsid w:val="00132016"/>
    <w:rsid w:val="0013218A"/>
    <w:rsid w:val="00132E02"/>
    <w:rsid w:val="00133B19"/>
    <w:rsid w:val="00133BA1"/>
    <w:rsid w:val="00134D60"/>
    <w:rsid w:val="001357F4"/>
    <w:rsid w:val="00137470"/>
    <w:rsid w:val="001374CE"/>
    <w:rsid w:val="00137875"/>
    <w:rsid w:val="001413C1"/>
    <w:rsid w:val="00142437"/>
    <w:rsid w:val="00142B32"/>
    <w:rsid w:val="00145190"/>
    <w:rsid w:val="001455E8"/>
    <w:rsid w:val="00145E21"/>
    <w:rsid w:val="0015072C"/>
    <w:rsid w:val="00151781"/>
    <w:rsid w:val="001518B8"/>
    <w:rsid w:val="001519AD"/>
    <w:rsid w:val="001529EF"/>
    <w:rsid w:val="001537F4"/>
    <w:rsid w:val="00153943"/>
    <w:rsid w:val="00153FDD"/>
    <w:rsid w:val="001545E1"/>
    <w:rsid w:val="00154A07"/>
    <w:rsid w:val="00155324"/>
    <w:rsid w:val="0015540A"/>
    <w:rsid w:val="0015670A"/>
    <w:rsid w:val="001567C2"/>
    <w:rsid w:val="00157154"/>
    <w:rsid w:val="00157703"/>
    <w:rsid w:val="00157A99"/>
    <w:rsid w:val="0016056E"/>
    <w:rsid w:val="00163D5C"/>
    <w:rsid w:val="00163FD5"/>
    <w:rsid w:val="0016440C"/>
    <w:rsid w:val="0016589D"/>
    <w:rsid w:val="00166320"/>
    <w:rsid w:val="001667A3"/>
    <w:rsid w:val="001669DF"/>
    <w:rsid w:val="00167D9A"/>
    <w:rsid w:val="00170713"/>
    <w:rsid w:val="0017156C"/>
    <w:rsid w:val="00171984"/>
    <w:rsid w:val="00171C4C"/>
    <w:rsid w:val="00172B55"/>
    <w:rsid w:val="001731CA"/>
    <w:rsid w:val="00173495"/>
    <w:rsid w:val="00173661"/>
    <w:rsid w:val="0017555A"/>
    <w:rsid w:val="00175831"/>
    <w:rsid w:val="00175A63"/>
    <w:rsid w:val="00175DA9"/>
    <w:rsid w:val="001775BC"/>
    <w:rsid w:val="00181D6C"/>
    <w:rsid w:val="00181DBC"/>
    <w:rsid w:val="0018233D"/>
    <w:rsid w:val="00182464"/>
    <w:rsid w:val="00183287"/>
    <w:rsid w:val="00183328"/>
    <w:rsid w:val="001835A7"/>
    <w:rsid w:val="00184ACC"/>
    <w:rsid w:val="0018532F"/>
    <w:rsid w:val="00186355"/>
    <w:rsid w:val="00186B9F"/>
    <w:rsid w:val="00187E24"/>
    <w:rsid w:val="00190B92"/>
    <w:rsid w:val="001910FC"/>
    <w:rsid w:val="0019188A"/>
    <w:rsid w:val="00192B30"/>
    <w:rsid w:val="00192C86"/>
    <w:rsid w:val="00193C5F"/>
    <w:rsid w:val="001A01E2"/>
    <w:rsid w:val="001A0C0A"/>
    <w:rsid w:val="001A14FF"/>
    <w:rsid w:val="001A159F"/>
    <w:rsid w:val="001A1FF9"/>
    <w:rsid w:val="001A3D17"/>
    <w:rsid w:val="001A400E"/>
    <w:rsid w:val="001A491C"/>
    <w:rsid w:val="001A54A8"/>
    <w:rsid w:val="001A599E"/>
    <w:rsid w:val="001A61B4"/>
    <w:rsid w:val="001A6AB7"/>
    <w:rsid w:val="001A6BCF"/>
    <w:rsid w:val="001A75E9"/>
    <w:rsid w:val="001A7BAC"/>
    <w:rsid w:val="001B0AB2"/>
    <w:rsid w:val="001B0C40"/>
    <w:rsid w:val="001B245C"/>
    <w:rsid w:val="001B2CDA"/>
    <w:rsid w:val="001B2E7A"/>
    <w:rsid w:val="001B38E0"/>
    <w:rsid w:val="001B3CEE"/>
    <w:rsid w:val="001B4093"/>
    <w:rsid w:val="001B4793"/>
    <w:rsid w:val="001B5082"/>
    <w:rsid w:val="001B56FE"/>
    <w:rsid w:val="001B658C"/>
    <w:rsid w:val="001B6F02"/>
    <w:rsid w:val="001B70B5"/>
    <w:rsid w:val="001B79F7"/>
    <w:rsid w:val="001B7B9E"/>
    <w:rsid w:val="001C0188"/>
    <w:rsid w:val="001C02F8"/>
    <w:rsid w:val="001C0676"/>
    <w:rsid w:val="001C10DE"/>
    <w:rsid w:val="001C11AE"/>
    <w:rsid w:val="001C125E"/>
    <w:rsid w:val="001C203E"/>
    <w:rsid w:val="001C2FFB"/>
    <w:rsid w:val="001C31B1"/>
    <w:rsid w:val="001C5C7C"/>
    <w:rsid w:val="001C5F7A"/>
    <w:rsid w:val="001C5FD8"/>
    <w:rsid w:val="001C7D7E"/>
    <w:rsid w:val="001D00CF"/>
    <w:rsid w:val="001D0F33"/>
    <w:rsid w:val="001D24AD"/>
    <w:rsid w:val="001D2732"/>
    <w:rsid w:val="001D2F43"/>
    <w:rsid w:val="001D31C3"/>
    <w:rsid w:val="001D342C"/>
    <w:rsid w:val="001D44EF"/>
    <w:rsid w:val="001D57FB"/>
    <w:rsid w:val="001D6BE3"/>
    <w:rsid w:val="001D7E22"/>
    <w:rsid w:val="001E039A"/>
    <w:rsid w:val="001E0419"/>
    <w:rsid w:val="001E070D"/>
    <w:rsid w:val="001E0938"/>
    <w:rsid w:val="001E16D1"/>
    <w:rsid w:val="001E1961"/>
    <w:rsid w:val="001E1D5B"/>
    <w:rsid w:val="001E2155"/>
    <w:rsid w:val="001E27B5"/>
    <w:rsid w:val="001E43DB"/>
    <w:rsid w:val="001E5689"/>
    <w:rsid w:val="001E5EE2"/>
    <w:rsid w:val="001E791B"/>
    <w:rsid w:val="001E7A41"/>
    <w:rsid w:val="001F0276"/>
    <w:rsid w:val="001F1BD7"/>
    <w:rsid w:val="001F2CB3"/>
    <w:rsid w:val="001F32D2"/>
    <w:rsid w:val="001F3703"/>
    <w:rsid w:val="001F3F5A"/>
    <w:rsid w:val="001F47FE"/>
    <w:rsid w:val="001F4B86"/>
    <w:rsid w:val="001F548B"/>
    <w:rsid w:val="001F5BCE"/>
    <w:rsid w:val="001F6A7F"/>
    <w:rsid w:val="001F6C7E"/>
    <w:rsid w:val="001F70A5"/>
    <w:rsid w:val="001F77A1"/>
    <w:rsid w:val="001F7AE7"/>
    <w:rsid w:val="00202727"/>
    <w:rsid w:val="0020288C"/>
    <w:rsid w:val="00202D8F"/>
    <w:rsid w:val="00202DB8"/>
    <w:rsid w:val="00203F32"/>
    <w:rsid w:val="0020481A"/>
    <w:rsid w:val="00204D6E"/>
    <w:rsid w:val="002053F1"/>
    <w:rsid w:val="002053FE"/>
    <w:rsid w:val="002058BF"/>
    <w:rsid w:val="00205E78"/>
    <w:rsid w:val="0021031B"/>
    <w:rsid w:val="00210AAE"/>
    <w:rsid w:val="00212230"/>
    <w:rsid w:val="0021326E"/>
    <w:rsid w:val="002135E2"/>
    <w:rsid w:val="00213D3E"/>
    <w:rsid w:val="00213EF7"/>
    <w:rsid w:val="002147C4"/>
    <w:rsid w:val="00214B63"/>
    <w:rsid w:val="00216144"/>
    <w:rsid w:val="00216752"/>
    <w:rsid w:val="00217A2A"/>
    <w:rsid w:val="00220DC8"/>
    <w:rsid w:val="0022224E"/>
    <w:rsid w:val="00222DCE"/>
    <w:rsid w:val="0022327A"/>
    <w:rsid w:val="0022361D"/>
    <w:rsid w:val="002243DF"/>
    <w:rsid w:val="002252F8"/>
    <w:rsid w:val="002257F8"/>
    <w:rsid w:val="00225A33"/>
    <w:rsid w:val="00226179"/>
    <w:rsid w:val="0022719E"/>
    <w:rsid w:val="00230C23"/>
    <w:rsid w:val="00231870"/>
    <w:rsid w:val="00231F0A"/>
    <w:rsid w:val="00232FFD"/>
    <w:rsid w:val="002331C2"/>
    <w:rsid w:val="002336A2"/>
    <w:rsid w:val="0023438C"/>
    <w:rsid w:val="002355A9"/>
    <w:rsid w:val="002361D0"/>
    <w:rsid w:val="00236494"/>
    <w:rsid w:val="0023744A"/>
    <w:rsid w:val="00237DFE"/>
    <w:rsid w:val="00237EB1"/>
    <w:rsid w:val="0024106D"/>
    <w:rsid w:val="00242537"/>
    <w:rsid w:val="00243115"/>
    <w:rsid w:val="002437AB"/>
    <w:rsid w:val="002439AF"/>
    <w:rsid w:val="00243A31"/>
    <w:rsid w:val="00244D7B"/>
    <w:rsid w:val="0024500D"/>
    <w:rsid w:val="00245FFE"/>
    <w:rsid w:val="002467E0"/>
    <w:rsid w:val="00246AAB"/>
    <w:rsid w:val="00247941"/>
    <w:rsid w:val="0025019B"/>
    <w:rsid w:val="00250ED4"/>
    <w:rsid w:val="00250EF6"/>
    <w:rsid w:val="0025128B"/>
    <w:rsid w:val="00251317"/>
    <w:rsid w:val="00251ACD"/>
    <w:rsid w:val="00251E3A"/>
    <w:rsid w:val="002521A6"/>
    <w:rsid w:val="00252305"/>
    <w:rsid w:val="00252717"/>
    <w:rsid w:val="00252C4D"/>
    <w:rsid w:val="00252DE1"/>
    <w:rsid w:val="00252E59"/>
    <w:rsid w:val="002537E5"/>
    <w:rsid w:val="0025487F"/>
    <w:rsid w:val="00254AD3"/>
    <w:rsid w:val="00254BD1"/>
    <w:rsid w:val="00254C6B"/>
    <w:rsid w:val="00255DC1"/>
    <w:rsid w:val="00256231"/>
    <w:rsid w:val="00257F05"/>
    <w:rsid w:val="00260862"/>
    <w:rsid w:val="00260A60"/>
    <w:rsid w:val="00261DE9"/>
    <w:rsid w:val="00261E06"/>
    <w:rsid w:val="00262302"/>
    <w:rsid w:val="0026295E"/>
    <w:rsid w:val="00265112"/>
    <w:rsid w:val="0026559E"/>
    <w:rsid w:val="00265737"/>
    <w:rsid w:val="00265FEA"/>
    <w:rsid w:val="00266070"/>
    <w:rsid w:val="0026698E"/>
    <w:rsid w:val="00266DCE"/>
    <w:rsid w:val="00267071"/>
    <w:rsid w:val="002673EC"/>
    <w:rsid w:val="00270243"/>
    <w:rsid w:val="002707B7"/>
    <w:rsid w:val="002714C1"/>
    <w:rsid w:val="002722B6"/>
    <w:rsid w:val="00273706"/>
    <w:rsid w:val="0027371C"/>
    <w:rsid w:val="00273F81"/>
    <w:rsid w:val="002756AC"/>
    <w:rsid w:val="002757CC"/>
    <w:rsid w:val="002766BB"/>
    <w:rsid w:val="00277ACD"/>
    <w:rsid w:val="002810F1"/>
    <w:rsid w:val="00282DA3"/>
    <w:rsid w:val="00282DC8"/>
    <w:rsid w:val="0028394C"/>
    <w:rsid w:val="00284653"/>
    <w:rsid w:val="0028506A"/>
    <w:rsid w:val="00285AAA"/>
    <w:rsid w:val="00286033"/>
    <w:rsid w:val="00286877"/>
    <w:rsid w:val="00286ACE"/>
    <w:rsid w:val="00286E74"/>
    <w:rsid w:val="0028756E"/>
    <w:rsid w:val="00287F15"/>
    <w:rsid w:val="00290415"/>
    <w:rsid w:val="00290D44"/>
    <w:rsid w:val="00291BAF"/>
    <w:rsid w:val="002929DC"/>
    <w:rsid w:val="00292C06"/>
    <w:rsid w:val="002934BB"/>
    <w:rsid w:val="0029492D"/>
    <w:rsid w:val="00294CB6"/>
    <w:rsid w:val="00295339"/>
    <w:rsid w:val="00295BD6"/>
    <w:rsid w:val="00295D6A"/>
    <w:rsid w:val="00297258"/>
    <w:rsid w:val="00297354"/>
    <w:rsid w:val="002973B2"/>
    <w:rsid w:val="00297A73"/>
    <w:rsid w:val="002A07C4"/>
    <w:rsid w:val="002A0A84"/>
    <w:rsid w:val="002A0E69"/>
    <w:rsid w:val="002A2066"/>
    <w:rsid w:val="002A2730"/>
    <w:rsid w:val="002A2C90"/>
    <w:rsid w:val="002A2E03"/>
    <w:rsid w:val="002A6BE7"/>
    <w:rsid w:val="002A6FB2"/>
    <w:rsid w:val="002A7456"/>
    <w:rsid w:val="002A7AA0"/>
    <w:rsid w:val="002A7FE2"/>
    <w:rsid w:val="002B1DBD"/>
    <w:rsid w:val="002B30E5"/>
    <w:rsid w:val="002B3461"/>
    <w:rsid w:val="002B3B64"/>
    <w:rsid w:val="002B424C"/>
    <w:rsid w:val="002B5BFE"/>
    <w:rsid w:val="002B5C87"/>
    <w:rsid w:val="002B5E9D"/>
    <w:rsid w:val="002B65CB"/>
    <w:rsid w:val="002B7B81"/>
    <w:rsid w:val="002C0586"/>
    <w:rsid w:val="002C0D19"/>
    <w:rsid w:val="002C13EE"/>
    <w:rsid w:val="002C162C"/>
    <w:rsid w:val="002C1BC1"/>
    <w:rsid w:val="002C21C6"/>
    <w:rsid w:val="002C2238"/>
    <w:rsid w:val="002C25C3"/>
    <w:rsid w:val="002C27BC"/>
    <w:rsid w:val="002C318D"/>
    <w:rsid w:val="002C3B7A"/>
    <w:rsid w:val="002C4D78"/>
    <w:rsid w:val="002C536F"/>
    <w:rsid w:val="002C5C67"/>
    <w:rsid w:val="002C6212"/>
    <w:rsid w:val="002C71E2"/>
    <w:rsid w:val="002C759F"/>
    <w:rsid w:val="002C7AF8"/>
    <w:rsid w:val="002D0335"/>
    <w:rsid w:val="002D16EC"/>
    <w:rsid w:val="002D267E"/>
    <w:rsid w:val="002D30BF"/>
    <w:rsid w:val="002D3257"/>
    <w:rsid w:val="002D3260"/>
    <w:rsid w:val="002D4377"/>
    <w:rsid w:val="002D5428"/>
    <w:rsid w:val="002D583F"/>
    <w:rsid w:val="002D588A"/>
    <w:rsid w:val="002D6409"/>
    <w:rsid w:val="002D6A4B"/>
    <w:rsid w:val="002D6C89"/>
    <w:rsid w:val="002D6C9D"/>
    <w:rsid w:val="002E2A82"/>
    <w:rsid w:val="002E3342"/>
    <w:rsid w:val="002E3972"/>
    <w:rsid w:val="002E3A37"/>
    <w:rsid w:val="002E4215"/>
    <w:rsid w:val="002E50C9"/>
    <w:rsid w:val="002E59E7"/>
    <w:rsid w:val="002E5FFD"/>
    <w:rsid w:val="002E6042"/>
    <w:rsid w:val="002E7047"/>
    <w:rsid w:val="002E70A7"/>
    <w:rsid w:val="002E72EF"/>
    <w:rsid w:val="002E7BB2"/>
    <w:rsid w:val="002F01D7"/>
    <w:rsid w:val="002F04C8"/>
    <w:rsid w:val="002F066C"/>
    <w:rsid w:val="002F128F"/>
    <w:rsid w:val="002F25F5"/>
    <w:rsid w:val="002F45B0"/>
    <w:rsid w:val="002F4C7F"/>
    <w:rsid w:val="002F4EAF"/>
    <w:rsid w:val="002F5628"/>
    <w:rsid w:val="002F5BC6"/>
    <w:rsid w:val="002F6A27"/>
    <w:rsid w:val="002F78AA"/>
    <w:rsid w:val="002F7939"/>
    <w:rsid w:val="00300B60"/>
    <w:rsid w:val="00302061"/>
    <w:rsid w:val="0030581F"/>
    <w:rsid w:val="00306F62"/>
    <w:rsid w:val="00307E9D"/>
    <w:rsid w:val="0031005F"/>
    <w:rsid w:val="00310382"/>
    <w:rsid w:val="003103EF"/>
    <w:rsid w:val="0031088B"/>
    <w:rsid w:val="00311177"/>
    <w:rsid w:val="0031261D"/>
    <w:rsid w:val="00313610"/>
    <w:rsid w:val="003141B5"/>
    <w:rsid w:val="0031619B"/>
    <w:rsid w:val="00320DFD"/>
    <w:rsid w:val="003220E3"/>
    <w:rsid w:val="0032297A"/>
    <w:rsid w:val="00322EB5"/>
    <w:rsid w:val="0032309E"/>
    <w:rsid w:val="0032309F"/>
    <w:rsid w:val="00323BF4"/>
    <w:rsid w:val="003240E0"/>
    <w:rsid w:val="00324219"/>
    <w:rsid w:val="00325113"/>
    <w:rsid w:val="003257C9"/>
    <w:rsid w:val="00325D2F"/>
    <w:rsid w:val="00326182"/>
    <w:rsid w:val="00326899"/>
    <w:rsid w:val="00330CE6"/>
    <w:rsid w:val="00332010"/>
    <w:rsid w:val="0033249F"/>
    <w:rsid w:val="00332FAC"/>
    <w:rsid w:val="00333980"/>
    <w:rsid w:val="00333AA2"/>
    <w:rsid w:val="003345FE"/>
    <w:rsid w:val="003352DF"/>
    <w:rsid w:val="003357AD"/>
    <w:rsid w:val="00335B89"/>
    <w:rsid w:val="00335EDD"/>
    <w:rsid w:val="00336016"/>
    <w:rsid w:val="003360C3"/>
    <w:rsid w:val="003364CE"/>
    <w:rsid w:val="00336732"/>
    <w:rsid w:val="00336A5F"/>
    <w:rsid w:val="00336A8D"/>
    <w:rsid w:val="00336C10"/>
    <w:rsid w:val="00337D37"/>
    <w:rsid w:val="003401F9"/>
    <w:rsid w:val="003405F0"/>
    <w:rsid w:val="003408CA"/>
    <w:rsid w:val="00340D12"/>
    <w:rsid w:val="00340E8D"/>
    <w:rsid w:val="00341110"/>
    <w:rsid w:val="00341DA8"/>
    <w:rsid w:val="003425D1"/>
    <w:rsid w:val="00342C3B"/>
    <w:rsid w:val="003436C8"/>
    <w:rsid w:val="00343D21"/>
    <w:rsid w:val="00344B85"/>
    <w:rsid w:val="00345FD6"/>
    <w:rsid w:val="003465E5"/>
    <w:rsid w:val="003473CD"/>
    <w:rsid w:val="003478BA"/>
    <w:rsid w:val="00347CD2"/>
    <w:rsid w:val="0035162A"/>
    <w:rsid w:val="00351E11"/>
    <w:rsid w:val="00352B2C"/>
    <w:rsid w:val="00352B83"/>
    <w:rsid w:val="00352F62"/>
    <w:rsid w:val="003534B0"/>
    <w:rsid w:val="00354C69"/>
    <w:rsid w:val="0035540A"/>
    <w:rsid w:val="003555EC"/>
    <w:rsid w:val="00355685"/>
    <w:rsid w:val="00355B88"/>
    <w:rsid w:val="003568B3"/>
    <w:rsid w:val="00356CDE"/>
    <w:rsid w:val="00357787"/>
    <w:rsid w:val="00357822"/>
    <w:rsid w:val="00360D88"/>
    <w:rsid w:val="003616B3"/>
    <w:rsid w:val="003635FB"/>
    <w:rsid w:val="003636D5"/>
    <w:rsid w:val="00363E42"/>
    <w:rsid w:val="003641B8"/>
    <w:rsid w:val="00364320"/>
    <w:rsid w:val="00364E61"/>
    <w:rsid w:val="00365268"/>
    <w:rsid w:val="00366441"/>
    <w:rsid w:val="00366F7C"/>
    <w:rsid w:val="00367220"/>
    <w:rsid w:val="0036723C"/>
    <w:rsid w:val="00367331"/>
    <w:rsid w:val="00371132"/>
    <w:rsid w:val="00371188"/>
    <w:rsid w:val="00372386"/>
    <w:rsid w:val="00373913"/>
    <w:rsid w:val="00373981"/>
    <w:rsid w:val="00373A12"/>
    <w:rsid w:val="003740A9"/>
    <w:rsid w:val="003768E0"/>
    <w:rsid w:val="00376A5F"/>
    <w:rsid w:val="00381A52"/>
    <w:rsid w:val="00381B74"/>
    <w:rsid w:val="003825A1"/>
    <w:rsid w:val="0038317C"/>
    <w:rsid w:val="003844B5"/>
    <w:rsid w:val="00384728"/>
    <w:rsid w:val="0038525D"/>
    <w:rsid w:val="003853A4"/>
    <w:rsid w:val="00387B00"/>
    <w:rsid w:val="00390C39"/>
    <w:rsid w:val="00390D96"/>
    <w:rsid w:val="0039174B"/>
    <w:rsid w:val="00391A5C"/>
    <w:rsid w:val="00392892"/>
    <w:rsid w:val="003929B9"/>
    <w:rsid w:val="0039345B"/>
    <w:rsid w:val="00393D34"/>
    <w:rsid w:val="00393E85"/>
    <w:rsid w:val="00394350"/>
    <w:rsid w:val="00394A8A"/>
    <w:rsid w:val="00395263"/>
    <w:rsid w:val="0039762F"/>
    <w:rsid w:val="00397983"/>
    <w:rsid w:val="00397BA4"/>
    <w:rsid w:val="003A008F"/>
    <w:rsid w:val="003A2530"/>
    <w:rsid w:val="003A3F56"/>
    <w:rsid w:val="003A4ED5"/>
    <w:rsid w:val="003A5007"/>
    <w:rsid w:val="003A557C"/>
    <w:rsid w:val="003A582A"/>
    <w:rsid w:val="003A66E5"/>
    <w:rsid w:val="003A7686"/>
    <w:rsid w:val="003A7986"/>
    <w:rsid w:val="003A7E33"/>
    <w:rsid w:val="003B0755"/>
    <w:rsid w:val="003B0EBD"/>
    <w:rsid w:val="003B1081"/>
    <w:rsid w:val="003B1C6F"/>
    <w:rsid w:val="003B1D0B"/>
    <w:rsid w:val="003B1E5D"/>
    <w:rsid w:val="003B2EDF"/>
    <w:rsid w:val="003B3BE3"/>
    <w:rsid w:val="003B45D7"/>
    <w:rsid w:val="003B7B9A"/>
    <w:rsid w:val="003C00A3"/>
    <w:rsid w:val="003C0639"/>
    <w:rsid w:val="003C0666"/>
    <w:rsid w:val="003C11D1"/>
    <w:rsid w:val="003C2639"/>
    <w:rsid w:val="003C3267"/>
    <w:rsid w:val="003C3D93"/>
    <w:rsid w:val="003C3EA7"/>
    <w:rsid w:val="003C4108"/>
    <w:rsid w:val="003C487F"/>
    <w:rsid w:val="003C493E"/>
    <w:rsid w:val="003C4A6B"/>
    <w:rsid w:val="003C7A62"/>
    <w:rsid w:val="003D07B1"/>
    <w:rsid w:val="003D0F74"/>
    <w:rsid w:val="003D24AC"/>
    <w:rsid w:val="003D2858"/>
    <w:rsid w:val="003D298C"/>
    <w:rsid w:val="003D31C4"/>
    <w:rsid w:val="003D31E4"/>
    <w:rsid w:val="003D3C4C"/>
    <w:rsid w:val="003D4507"/>
    <w:rsid w:val="003D455C"/>
    <w:rsid w:val="003D4608"/>
    <w:rsid w:val="003D46E7"/>
    <w:rsid w:val="003D5624"/>
    <w:rsid w:val="003D59BC"/>
    <w:rsid w:val="003D6CD5"/>
    <w:rsid w:val="003D7E6D"/>
    <w:rsid w:val="003E18E6"/>
    <w:rsid w:val="003E1EDB"/>
    <w:rsid w:val="003E2DC1"/>
    <w:rsid w:val="003E303F"/>
    <w:rsid w:val="003E3692"/>
    <w:rsid w:val="003E47AF"/>
    <w:rsid w:val="003E534F"/>
    <w:rsid w:val="003E5E44"/>
    <w:rsid w:val="003E6CFE"/>
    <w:rsid w:val="003E6FEB"/>
    <w:rsid w:val="003F12CE"/>
    <w:rsid w:val="003F179F"/>
    <w:rsid w:val="003F17F1"/>
    <w:rsid w:val="003F2557"/>
    <w:rsid w:val="003F2DBC"/>
    <w:rsid w:val="003F2EAB"/>
    <w:rsid w:val="003F3CE2"/>
    <w:rsid w:val="003F49B1"/>
    <w:rsid w:val="003F4B68"/>
    <w:rsid w:val="003F56D3"/>
    <w:rsid w:val="003F67BB"/>
    <w:rsid w:val="003F6C40"/>
    <w:rsid w:val="003F7ECC"/>
    <w:rsid w:val="00400B46"/>
    <w:rsid w:val="00400F06"/>
    <w:rsid w:val="00401B7C"/>
    <w:rsid w:val="00402074"/>
    <w:rsid w:val="00402140"/>
    <w:rsid w:val="00403183"/>
    <w:rsid w:val="004036C5"/>
    <w:rsid w:val="0040377F"/>
    <w:rsid w:val="00403970"/>
    <w:rsid w:val="004045B2"/>
    <w:rsid w:val="004046D3"/>
    <w:rsid w:val="00406EAF"/>
    <w:rsid w:val="0040772E"/>
    <w:rsid w:val="004104FE"/>
    <w:rsid w:val="00411510"/>
    <w:rsid w:val="004128D2"/>
    <w:rsid w:val="00412F40"/>
    <w:rsid w:val="004138E3"/>
    <w:rsid w:val="00414928"/>
    <w:rsid w:val="00415A05"/>
    <w:rsid w:val="00415BC7"/>
    <w:rsid w:val="004163AC"/>
    <w:rsid w:val="00416560"/>
    <w:rsid w:val="00416CB9"/>
    <w:rsid w:val="00416E97"/>
    <w:rsid w:val="00417917"/>
    <w:rsid w:val="00417A4E"/>
    <w:rsid w:val="00420F2E"/>
    <w:rsid w:val="0042103B"/>
    <w:rsid w:val="00421692"/>
    <w:rsid w:val="00421726"/>
    <w:rsid w:val="00421B5A"/>
    <w:rsid w:val="00421D5F"/>
    <w:rsid w:val="0042241D"/>
    <w:rsid w:val="00422A85"/>
    <w:rsid w:val="0042338C"/>
    <w:rsid w:val="004239BE"/>
    <w:rsid w:val="00424833"/>
    <w:rsid w:val="00424A98"/>
    <w:rsid w:val="00425D99"/>
    <w:rsid w:val="00426732"/>
    <w:rsid w:val="00426A93"/>
    <w:rsid w:val="00431162"/>
    <w:rsid w:val="00431A5B"/>
    <w:rsid w:val="00435085"/>
    <w:rsid w:val="004351F9"/>
    <w:rsid w:val="00435D7A"/>
    <w:rsid w:val="00436175"/>
    <w:rsid w:val="004363C3"/>
    <w:rsid w:val="0043677F"/>
    <w:rsid w:val="00437AC1"/>
    <w:rsid w:val="0044008C"/>
    <w:rsid w:val="0044010E"/>
    <w:rsid w:val="00440923"/>
    <w:rsid w:val="0044156F"/>
    <w:rsid w:val="0044298C"/>
    <w:rsid w:val="004442AE"/>
    <w:rsid w:val="004449C3"/>
    <w:rsid w:val="0044519F"/>
    <w:rsid w:val="00445387"/>
    <w:rsid w:val="0044555F"/>
    <w:rsid w:val="004459D6"/>
    <w:rsid w:val="004460D2"/>
    <w:rsid w:val="00446D07"/>
    <w:rsid w:val="00447A89"/>
    <w:rsid w:val="00450022"/>
    <w:rsid w:val="004505E9"/>
    <w:rsid w:val="00451BBE"/>
    <w:rsid w:val="004522BC"/>
    <w:rsid w:val="00452663"/>
    <w:rsid w:val="00453F43"/>
    <w:rsid w:val="00454509"/>
    <w:rsid w:val="00454A40"/>
    <w:rsid w:val="00454D39"/>
    <w:rsid w:val="00456811"/>
    <w:rsid w:val="00457526"/>
    <w:rsid w:val="004577DA"/>
    <w:rsid w:val="00457BA4"/>
    <w:rsid w:val="0046291B"/>
    <w:rsid w:val="00463288"/>
    <w:rsid w:val="0046339E"/>
    <w:rsid w:val="00463463"/>
    <w:rsid w:val="004639E4"/>
    <w:rsid w:val="00463EC9"/>
    <w:rsid w:val="0046462C"/>
    <w:rsid w:val="004647CD"/>
    <w:rsid w:val="0046539E"/>
    <w:rsid w:val="00465B48"/>
    <w:rsid w:val="0046677C"/>
    <w:rsid w:val="0047109D"/>
    <w:rsid w:val="00471237"/>
    <w:rsid w:val="00472238"/>
    <w:rsid w:val="004722E7"/>
    <w:rsid w:val="004731CF"/>
    <w:rsid w:val="00473383"/>
    <w:rsid w:val="00473D65"/>
    <w:rsid w:val="004742C1"/>
    <w:rsid w:val="0047548F"/>
    <w:rsid w:val="00475C40"/>
    <w:rsid w:val="00475C9C"/>
    <w:rsid w:val="00476A20"/>
    <w:rsid w:val="00476ED1"/>
    <w:rsid w:val="0047724C"/>
    <w:rsid w:val="00477FE2"/>
    <w:rsid w:val="004803AB"/>
    <w:rsid w:val="004816F9"/>
    <w:rsid w:val="004823CE"/>
    <w:rsid w:val="00482FB1"/>
    <w:rsid w:val="00483FD1"/>
    <w:rsid w:val="004865D6"/>
    <w:rsid w:val="00487983"/>
    <w:rsid w:val="0049011F"/>
    <w:rsid w:val="004915ED"/>
    <w:rsid w:val="00491D56"/>
    <w:rsid w:val="0049299C"/>
    <w:rsid w:val="00492B6F"/>
    <w:rsid w:val="00492D76"/>
    <w:rsid w:val="00492FFC"/>
    <w:rsid w:val="00493D80"/>
    <w:rsid w:val="00495188"/>
    <w:rsid w:val="00495B12"/>
    <w:rsid w:val="00495B3F"/>
    <w:rsid w:val="00495EFF"/>
    <w:rsid w:val="00497212"/>
    <w:rsid w:val="004A08A4"/>
    <w:rsid w:val="004A1076"/>
    <w:rsid w:val="004A1815"/>
    <w:rsid w:val="004A1939"/>
    <w:rsid w:val="004A19F8"/>
    <w:rsid w:val="004A1B18"/>
    <w:rsid w:val="004A2C4A"/>
    <w:rsid w:val="004A2F47"/>
    <w:rsid w:val="004A42AD"/>
    <w:rsid w:val="004A5663"/>
    <w:rsid w:val="004A5A5A"/>
    <w:rsid w:val="004A671A"/>
    <w:rsid w:val="004A6C42"/>
    <w:rsid w:val="004A6DE9"/>
    <w:rsid w:val="004A6FAD"/>
    <w:rsid w:val="004A7166"/>
    <w:rsid w:val="004A7369"/>
    <w:rsid w:val="004B04B7"/>
    <w:rsid w:val="004B0530"/>
    <w:rsid w:val="004B0788"/>
    <w:rsid w:val="004B0C8B"/>
    <w:rsid w:val="004B1172"/>
    <w:rsid w:val="004B1317"/>
    <w:rsid w:val="004B16C6"/>
    <w:rsid w:val="004B1C33"/>
    <w:rsid w:val="004B2BC4"/>
    <w:rsid w:val="004B40F2"/>
    <w:rsid w:val="004B430D"/>
    <w:rsid w:val="004B56DA"/>
    <w:rsid w:val="004B5F44"/>
    <w:rsid w:val="004B60B2"/>
    <w:rsid w:val="004B686F"/>
    <w:rsid w:val="004B6AEE"/>
    <w:rsid w:val="004B6D9D"/>
    <w:rsid w:val="004B77DA"/>
    <w:rsid w:val="004C043D"/>
    <w:rsid w:val="004C1A0E"/>
    <w:rsid w:val="004C1D23"/>
    <w:rsid w:val="004C1DEA"/>
    <w:rsid w:val="004C20F4"/>
    <w:rsid w:val="004C2449"/>
    <w:rsid w:val="004C3163"/>
    <w:rsid w:val="004C442D"/>
    <w:rsid w:val="004C458B"/>
    <w:rsid w:val="004C5440"/>
    <w:rsid w:val="004C5E1E"/>
    <w:rsid w:val="004C5F3C"/>
    <w:rsid w:val="004C6303"/>
    <w:rsid w:val="004C6A90"/>
    <w:rsid w:val="004C7449"/>
    <w:rsid w:val="004C74D9"/>
    <w:rsid w:val="004C78D2"/>
    <w:rsid w:val="004C7F35"/>
    <w:rsid w:val="004D1291"/>
    <w:rsid w:val="004D1EE7"/>
    <w:rsid w:val="004D2202"/>
    <w:rsid w:val="004D22CE"/>
    <w:rsid w:val="004D24FA"/>
    <w:rsid w:val="004D2786"/>
    <w:rsid w:val="004D2EB3"/>
    <w:rsid w:val="004D390A"/>
    <w:rsid w:val="004D3BC7"/>
    <w:rsid w:val="004D44DD"/>
    <w:rsid w:val="004D4737"/>
    <w:rsid w:val="004D47C7"/>
    <w:rsid w:val="004D4B50"/>
    <w:rsid w:val="004D4D9F"/>
    <w:rsid w:val="004D54C3"/>
    <w:rsid w:val="004D59EC"/>
    <w:rsid w:val="004D61E4"/>
    <w:rsid w:val="004D6998"/>
    <w:rsid w:val="004D725F"/>
    <w:rsid w:val="004E0F74"/>
    <w:rsid w:val="004E14B8"/>
    <w:rsid w:val="004E160D"/>
    <w:rsid w:val="004E1850"/>
    <w:rsid w:val="004E1AE1"/>
    <w:rsid w:val="004E221C"/>
    <w:rsid w:val="004E2810"/>
    <w:rsid w:val="004E2EAA"/>
    <w:rsid w:val="004E3D9F"/>
    <w:rsid w:val="004E4CD9"/>
    <w:rsid w:val="004E5952"/>
    <w:rsid w:val="004E5F3C"/>
    <w:rsid w:val="004E626D"/>
    <w:rsid w:val="004E6EF4"/>
    <w:rsid w:val="004E70D2"/>
    <w:rsid w:val="004E76F4"/>
    <w:rsid w:val="004F0BDE"/>
    <w:rsid w:val="004F197C"/>
    <w:rsid w:val="004F37C8"/>
    <w:rsid w:val="004F387E"/>
    <w:rsid w:val="004F480B"/>
    <w:rsid w:val="004F53B1"/>
    <w:rsid w:val="004F5866"/>
    <w:rsid w:val="004F6064"/>
    <w:rsid w:val="00500064"/>
    <w:rsid w:val="00500163"/>
    <w:rsid w:val="00500177"/>
    <w:rsid w:val="0050065F"/>
    <w:rsid w:val="005015E2"/>
    <w:rsid w:val="0050160C"/>
    <w:rsid w:val="00502333"/>
    <w:rsid w:val="00502DC8"/>
    <w:rsid w:val="00504D15"/>
    <w:rsid w:val="00506056"/>
    <w:rsid w:val="0050758E"/>
    <w:rsid w:val="0051199A"/>
    <w:rsid w:val="00512376"/>
    <w:rsid w:val="00512F96"/>
    <w:rsid w:val="005133BD"/>
    <w:rsid w:val="005136E9"/>
    <w:rsid w:val="00513A82"/>
    <w:rsid w:val="00514C3D"/>
    <w:rsid w:val="00514CA0"/>
    <w:rsid w:val="00514E0E"/>
    <w:rsid w:val="005152E8"/>
    <w:rsid w:val="005153ED"/>
    <w:rsid w:val="00515553"/>
    <w:rsid w:val="00515B3A"/>
    <w:rsid w:val="0051603B"/>
    <w:rsid w:val="00517297"/>
    <w:rsid w:val="005173FB"/>
    <w:rsid w:val="00517740"/>
    <w:rsid w:val="00520258"/>
    <w:rsid w:val="00520FF5"/>
    <w:rsid w:val="00521163"/>
    <w:rsid w:val="00521635"/>
    <w:rsid w:val="0052329E"/>
    <w:rsid w:val="00523DB3"/>
    <w:rsid w:val="005254E8"/>
    <w:rsid w:val="00525B00"/>
    <w:rsid w:val="00525C75"/>
    <w:rsid w:val="00525F25"/>
    <w:rsid w:val="00525F7B"/>
    <w:rsid w:val="005261C8"/>
    <w:rsid w:val="005272F8"/>
    <w:rsid w:val="00527634"/>
    <w:rsid w:val="005277A5"/>
    <w:rsid w:val="00527D20"/>
    <w:rsid w:val="00527FA2"/>
    <w:rsid w:val="00530393"/>
    <w:rsid w:val="00530976"/>
    <w:rsid w:val="005310A6"/>
    <w:rsid w:val="00531121"/>
    <w:rsid w:val="00531649"/>
    <w:rsid w:val="005325B7"/>
    <w:rsid w:val="00532F14"/>
    <w:rsid w:val="00533829"/>
    <w:rsid w:val="00533E49"/>
    <w:rsid w:val="0053406A"/>
    <w:rsid w:val="005341A3"/>
    <w:rsid w:val="00534B8B"/>
    <w:rsid w:val="00535F86"/>
    <w:rsid w:val="005367DE"/>
    <w:rsid w:val="00540AA5"/>
    <w:rsid w:val="00540F89"/>
    <w:rsid w:val="00541869"/>
    <w:rsid w:val="0054264C"/>
    <w:rsid w:val="005434BD"/>
    <w:rsid w:val="00543879"/>
    <w:rsid w:val="00545ACE"/>
    <w:rsid w:val="00545D39"/>
    <w:rsid w:val="005501B3"/>
    <w:rsid w:val="00550BF4"/>
    <w:rsid w:val="00550FFA"/>
    <w:rsid w:val="0055148C"/>
    <w:rsid w:val="00551E93"/>
    <w:rsid w:val="00552758"/>
    <w:rsid w:val="00552C10"/>
    <w:rsid w:val="00554CAF"/>
    <w:rsid w:val="00554CCB"/>
    <w:rsid w:val="00554D93"/>
    <w:rsid w:val="0055624A"/>
    <w:rsid w:val="0055778F"/>
    <w:rsid w:val="00557C97"/>
    <w:rsid w:val="00557CF8"/>
    <w:rsid w:val="0056035A"/>
    <w:rsid w:val="00560909"/>
    <w:rsid w:val="00560D94"/>
    <w:rsid w:val="00561FB1"/>
    <w:rsid w:val="0056298F"/>
    <w:rsid w:val="00564DE4"/>
    <w:rsid w:val="005656A0"/>
    <w:rsid w:val="005659C6"/>
    <w:rsid w:val="005666D8"/>
    <w:rsid w:val="00566CCF"/>
    <w:rsid w:val="00567024"/>
    <w:rsid w:val="00567747"/>
    <w:rsid w:val="0057060C"/>
    <w:rsid w:val="00570889"/>
    <w:rsid w:val="00570A51"/>
    <w:rsid w:val="00570AB2"/>
    <w:rsid w:val="005719F3"/>
    <w:rsid w:val="00572008"/>
    <w:rsid w:val="00572781"/>
    <w:rsid w:val="00572E99"/>
    <w:rsid w:val="0057303A"/>
    <w:rsid w:val="00573077"/>
    <w:rsid w:val="00573203"/>
    <w:rsid w:val="00573979"/>
    <w:rsid w:val="0057411E"/>
    <w:rsid w:val="0057425B"/>
    <w:rsid w:val="00574B6C"/>
    <w:rsid w:val="00574EE9"/>
    <w:rsid w:val="0057564D"/>
    <w:rsid w:val="00575ADF"/>
    <w:rsid w:val="005762EC"/>
    <w:rsid w:val="00576F4A"/>
    <w:rsid w:val="0057772A"/>
    <w:rsid w:val="005779A2"/>
    <w:rsid w:val="0058085E"/>
    <w:rsid w:val="0058124C"/>
    <w:rsid w:val="00582ED1"/>
    <w:rsid w:val="00583384"/>
    <w:rsid w:val="00583CBC"/>
    <w:rsid w:val="005844F3"/>
    <w:rsid w:val="00584800"/>
    <w:rsid w:val="00586AD0"/>
    <w:rsid w:val="0059083D"/>
    <w:rsid w:val="00591318"/>
    <w:rsid w:val="0059194D"/>
    <w:rsid w:val="00591C6F"/>
    <w:rsid w:val="00592569"/>
    <w:rsid w:val="00592CED"/>
    <w:rsid w:val="00593E23"/>
    <w:rsid w:val="00594E34"/>
    <w:rsid w:val="005956E6"/>
    <w:rsid w:val="0059570D"/>
    <w:rsid w:val="005957FC"/>
    <w:rsid w:val="00595B15"/>
    <w:rsid w:val="00595D14"/>
    <w:rsid w:val="00597598"/>
    <w:rsid w:val="005A03A8"/>
    <w:rsid w:val="005A03FE"/>
    <w:rsid w:val="005A09D7"/>
    <w:rsid w:val="005A0BC3"/>
    <w:rsid w:val="005A0D39"/>
    <w:rsid w:val="005A16A8"/>
    <w:rsid w:val="005A1750"/>
    <w:rsid w:val="005A1AFC"/>
    <w:rsid w:val="005A31B7"/>
    <w:rsid w:val="005A32C3"/>
    <w:rsid w:val="005A352A"/>
    <w:rsid w:val="005A3AE3"/>
    <w:rsid w:val="005A3BD6"/>
    <w:rsid w:val="005A3C1E"/>
    <w:rsid w:val="005A4320"/>
    <w:rsid w:val="005A5A84"/>
    <w:rsid w:val="005A5DB6"/>
    <w:rsid w:val="005A647A"/>
    <w:rsid w:val="005A6A54"/>
    <w:rsid w:val="005A6AF6"/>
    <w:rsid w:val="005B0BCC"/>
    <w:rsid w:val="005B0CA4"/>
    <w:rsid w:val="005B1F7D"/>
    <w:rsid w:val="005B3156"/>
    <w:rsid w:val="005B48B9"/>
    <w:rsid w:val="005B4D46"/>
    <w:rsid w:val="005B561D"/>
    <w:rsid w:val="005B5AB6"/>
    <w:rsid w:val="005B62E9"/>
    <w:rsid w:val="005B721E"/>
    <w:rsid w:val="005B7936"/>
    <w:rsid w:val="005C04DD"/>
    <w:rsid w:val="005C0A7B"/>
    <w:rsid w:val="005C0F63"/>
    <w:rsid w:val="005C1648"/>
    <w:rsid w:val="005C17CA"/>
    <w:rsid w:val="005C299F"/>
    <w:rsid w:val="005C2ABE"/>
    <w:rsid w:val="005C3176"/>
    <w:rsid w:val="005C31E5"/>
    <w:rsid w:val="005C39AC"/>
    <w:rsid w:val="005C3EDA"/>
    <w:rsid w:val="005C405E"/>
    <w:rsid w:val="005C43CC"/>
    <w:rsid w:val="005C6434"/>
    <w:rsid w:val="005C6AB1"/>
    <w:rsid w:val="005C6B0E"/>
    <w:rsid w:val="005C6C1B"/>
    <w:rsid w:val="005C7E02"/>
    <w:rsid w:val="005D05A4"/>
    <w:rsid w:val="005D05ED"/>
    <w:rsid w:val="005D11D0"/>
    <w:rsid w:val="005D174D"/>
    <w:rsid w:val="005D2632"/>
    <w:rsid w:val="005D2ED0"/>
    <w:rsid w:val="005D35E9"/>
    <w:rsid w:val="005D37A5"/>
    <w:rsid w:val="005D39D5"/>
    <w:rsid w:val="005D3BB1"/>
    <w:rsid w:val="005D627A"/>
    <w:rsid w:val="005D6569"/>
    <w:rsid w:val="005D6709"/>
    <w:rsid w:val="005D77B0"/>
    <w:rsid w:val="005D7D1D"/>
    <w:rsid w:val="005D7FE6"/>
    <w:rsid w:val="005E09C3"/>
    <w:rsid w:val="005E11A2"/>
    <w:rsid w:val="005E26BD"/>
    <w:rsid w:val="005E33B8"/>
    <w:rsid w:val="005E4209"/>
    <w:rsid w:val="005E44E6"/>
    <w:rsid w:val="005E494A"/>
    <w:rsid w:val="005E49F4"/>
    <w:rsid w:val="005E5634"/>
    <w:rsid w:val="005E5EE7"/>
    <w:rsid w:val="005E740F"/>
    <w:rsid w:val="005F01BA"/>
    <w:rsid w:val="005F02C1"/>
    <w:rsid w:val="005F16DF"/>
    <w:rsid w:val="005F1AD6"/>
    <w:rsid w:val="005F28B8"/>
    <w:rsid w:val="005F28C5"/>
    <w:rsid w:val="005F2AEE"/>
    <w:rsid w:val="005F2BB5"/>
    <w:rsid w:val="005F3F79"/>
    <w:rsid w:val="005F7A0F"/>
    <w:rsid w:val="005F7C3D"/>
    <w:rsid w:val="00600D62"/>
    <w:rsid w:val="006011DC"/>
    <w:rsid w:val="00603AF0"/>
    <w:rsid w:val="00603C97"/>
    <w:rsid w:val="00604441"/>
    <w:rsid w:val="0060462C"/>
    <w:rsid w:val="00604AC3"/>
    <w:rsid w:val="00604FE1"/>
    <w:rsid w:val="0060614C"/>
    <w:rsid w:val="00606986"/>
    <w:rsid w:val="00606C6E"/>
    <w:rsid w:val="00607EE4"/>
    <w:rsid w:val="006100BF"/>
    <w:rsid w:val="00611D4F"/>
    <w:rsid w:val="00612994"/>
    <w:rsid w:val="00612CE0"/>
    <w:rsid w:val="006155A5"/>
    <w:rsid w:val="00615998"/>
    <w:rsid w:val="00615ECA"/>
    <w:rsid w:val="006163F1"/>
    <w:rsid w:val="0061690A"/>
    <w:rsid w:val="00616A18"/>
    <w:rsid w:val="006172F9"/>
    <w:rsid w:val="00617B63"/>
    <w:rsid w:val="006205C7"/>
    <w:rsid w:val="006208D1"/>
    <w:rsid w:val="006209F7"/>
    <w:rsid w:val="00622FC4"/>
    <w:rsid w:val="00623251"/>
    <w:rsid w:val="00623480"/>
    <w:rsid w:val="00625122"/>
    <w:rsid w:val="006256AB"/>
    <w:rsid w:val="00626941"/>
    <w:rsid w:val="00626BEA"/>
    <w:rsid w:val="00630488"/>
    <w:rsid w:val="006306EF"/>
    <w:rsid w:val="006314C8"/>
    <w:rsid w:val="006318E6"/>
    <w:rsid w:val="0063361B"/>
    <w:rsid w:val="00633B96"/>
    <w:rsid w:val="006340E8"/>
    <w:rsid w:val="00634452"/>
    <w:rsid w:val="00634C1A"/>
    <w:rsid w:val="00634EC8"/>
    <w:rsid w:val="00634F56"/>
    <w:rsid w:val="006354BE"/>
    <w:rsid w:val="006355F9"/>
    <w:rsid w:val="006358EB"/>
    <w:rsid w:val="00636AAC"/>
    <w:rsid w:val="00636BF0"/>
    <w:rsid w:val="00636C6C"/>
    <w:rsid w:val="00637696"/>
    <w:rsid w:val="00637A1B"/>
    <w:rsid w:val="00640A3A"/>
    <w:rsid w:val="0064181A"/>
    <w:rsid w:val="006426C0"/>
    <w:rsid w:val="00643154"/>
    <w:rsid w:val="00644A83"/>
    <w:rsid w:val="00644CE6"/>
    <w:rsid w:val="0064562F"/>
    <w:rsid w:val="00645680"/>
    <w:rsid w:val="00645B06"/>
    <w:rsid w:val="00645D1D"/>
    <w:rsid w:val="00645E07"/>
    <w:rsid w:val="00646901"/>
    <w:rsid w:val="00650613"/>
    <w:rsid w:val="00650DB7"/>
    <w:rsid w:val="0065120C"/>
    <w:rsid w:val="006521EE"/>
    <w:rsid w:val="00652CBE"/>
    <w:rsid w:val="00652E3E"/>
    <w:rsid w:val="00653272"/>
    <w:rsid w:val="006534DE"/>
    <w:rsid w:val="00653CB3"/>
    <w:rsid w:val="006541B2"/>
    <w:rsid w:val="00654CA0"/>
    <w:rsid w:val="00654F77"/>
    <w:rsid w:val="006551E3"/>
    <w:rsid w:val="00655A5F"/>
    <w:rsid w:val="00655F72"/>
    <w:rsid w:val="00656431"/>
    <w:rsid w:val="00656969"/>
    <w:rsid w:val="006571AC"/>
    <w:rsid w:val="006579A4"/>
    <w:rsid w:val="00657A22"/>
    <w:rsid w:val="00657D34"/>
    <w:rsid w:val="0066049A"/>
    <w:rsid w:val="00661231"/>
    <w:rsid w:val="0066157D"/>
    <w:rsid w:val="00661BA1"/>
    <w:rsid w:val="0066242A"/>
    <w:rsid w:val="00662CEA"/>
    <w:rsid w:val="00663E38"/>
    <w:rsid w:val="0066497B"/>
    <w:rsid w:val="00665838"/>
    <w:rsid w:val="00665950"/>
    <w:rsid w:val="00665AB8"/>
    <w:rsid w:val="00665BAA"/>
    <w:rsid w:val="00665F4E"/>
    <w:rsid w:val="00666D68"/>
    <w:rsid w:val="00667882"/>
    <w:rsid w:val="006712BF"/>
    <w:rsid w:val="0067170E"/>
    <w:rsid w:val="00671E8B"/>
    <w:rsid w:val="00673C12"/>
    <w:rsid w:val="00673EBD"/>
    <w:rsid w:val="0067688E"/>
    <w:rsid w:val="00676922"/>
    <w:rsid w:val="006770FB"/>
    <w:rsid w:val="0067742E"/>
    <w:rsid w:val="00677ABE"/>
    <w:rsid w:val="0068033C"/>
    <w:rsid w:val="00681147"/>
    <w:rsid w:val="006827F7"/>
    <w:rsid w:val="00682C6D"/>
    <w:rsid w:val="00682CB6"/>
    <w:rsid w:val="00683787"/>
    <w:rsid w:val="00683A73"/>
    <w:rsid w:val="0068546D"/>
    <w:rsid w:val="00685CA2"/>
    <w:rsid w:val="00686423"/>
    <w:rsid w:val="00686A92"/>
    <w:rsid w:val="006876C5"/>
    <w:rsid w:val="00687EFF"/>
    <w:rsid w:val="00690B69"/>
    <w:rsid w:val="006917CA"/>
    <w:rsid w:val="0069232D"/>
    <w:rsid w:val="00692820"/>
    <w:rsid w:val="00692902"/>
    <w:rsid w:val="006936E8"/>
    <w:rsid w:val="0069431E"/>
    <w:rsid w:val="00694DAE"/>
    <w:rsid w:val="00694FDE"/>
    <w:rsid w:val="00695A3C"/>
    <w:rsid w:val="00695B68"/>
    <w:rsid w:val="00696C93"/>
    <w:rsid w:val="0069727F"/>
    <w:rsid w:val="006974CC"/>
    <w:rsid w:val="00697584"/>
    <w:rsid w:val="00697D96"/>
    <w:rsid w:val="00697FAB"/>
    <w:rsid w:val="006A1143"/>
    <w:rsid w:val="006A2C31"/>
    <w:rsid w:val="006A39B9"/>
    <w:rsid w:val="006A441C"/>
    <w:rsid w:val="006A551D"/>
    <w:rsid w:val="006A5D91"/>
    <w:rsid w:val="006A5FA8"/>
    <w:rsid w:val="006A673D"/>
    <w:rsid w:val="006A6758"/>
    <w:rsid w:val="006A6A92"/>
    <w:rsid w:val="006A7508"/>
    <w:rsid w:val="006A7688"/>
    <w:rsid w:val="006A7F0C"/>
    <w:rsid w:val="006B12FE"/>
    <w:rsid w:val="006B159D"/>
    <w:rsid w:val="006B1F41"/>
    <w:rsid w:val="006B2EA4"/>
    <w:rsid w:val="006B33CD"/>
    <w:rsid w:val="006B3439"/>
    <w:rsid w:val="006B3F45"/>
    <w:rsid w:val="006B510C"/>
    <w:rsid w:val="006B6678"/>
    <w:rsid w:val="006B6C10"/>
    <w:rsid w:val="006B7636"/>
    <w:rsid w:val="006B79F2"/>
    <w:rsid w:val="006C019D"/>
    <w:rsid w:val="006C01A4"/>
    <w:rsid w:val="006C05ED"/>
    <w:rsid w:val="006C0ACE"/>
    <w:rsid w:val="006C0AE2"/>
    <w:rsid w:val="006C103E"/>
    <w:rsid w:val="006C3FDF"/>
    <w:rsid w:val="006C415F"/>
    <w:rsid w:val="006C486D"/>
    <w:rsid w:val="006C4B81"/>
    <w:rsid w:val="006C505C"/>
    <w:rsid w:val="006C51DB"/>
    <w:rsid w:val="006C5D28"/>
    <w:rsid w:val="006C66BB"/>
    <w:rsid w:val="006C6ADC"/>
    <w:rsid w:val="006C6AE8"/>
    <w:rsid w:val="006C757E"/>
    <w:rsid w:val="006C79DA"/>
    <w:rsid w:val="006D058C"/>
    <w:rsid w:val="006D0709"/>
    <w:rsid w:val="006D0EEF"/>
    <w:rsid w:val="006D1E6E"/>
    <w:rsid w:val="006D25A5"/>
    <w:rsid w:val="006D2DAB"/>
    <w:rsid w:val="006D3078"/>
    <w:rsid w:val="006D38E2"/>
    <w:rsid w:val="006D3DD0"/>
    <w:rsid w:val="006D4A24"/>
    <w:rsid w:val="006D515D"/>
    <w:rsid w:val="006D51A0"/>
    <w:rsid w:val="006D54BB"/>
    <w:rsid w:val="006D5A48"/>
    <w:rsid w:val="006D7429"/>
    <w:rsid w:val="006E1807"/>
    <w:rsid w:val="006E39A8"/>
    <w:rsid w:val="006E48D6"/>
    <w:rsid w:val="006E6D9F"/>
    <w:rsid w:val="006E7381"/>
    <w:rsid w:val="006E7437"/>
    <w:rsid w:val="006E7D69"/>
    <w:rsid w:val="006E7F25"/>
    <w:rsid w:val="006F0D47"/>
    <w:rsid w:val="006F10AC"/>
    <w:rsid w:val="006F160E"/>
    <w:rsid w:val="006F1C6F"/>
    <w:rsid w:val="006F2FB7"/>
    <w:rsid w:val="006F40E6"/>
    <w:rsid w:val="006F4E0E"/>
    <w:rsid w:val="006F5CAB"/>
    <w:rsid w:val="006F67D2"/>
    <w:rsid w:val="007002FC"/>
    <w:rsid w:val="007015FC"/>
    <w:rsid w:val="007026DA"/>
    <w:rsid w:val="0070321F"/>
    <w:rsid w:val="00703611"/>
    <w:rsid w:val="00703E67"/>
    <w:rsid w:val="00704F76"/>
    <w:rsid w:val="00705B9D"/>
    <w:rsid w:val="00705C60"/>
    <w:rsid w:val="00706E68"/>
    <w:rsid w:val="00706F44"/>
    <w:rsid w:val="00707F34"/>
    <w:rsid w:val="00707FBC"/>
    <w:rsid w:val="007107AA"/>
    <w:rsid w:val="00711115"/>
    <w:rsid w:val="00711146"/>
    <w:rsid w:val="0071141A"/>
    <w:rsid w:val="00711522"/>
    <w:rsid w:val="00711BBB"/>
    <w:rsid w:val="0071241D"/>
    <w:rsid w:val="0071275F"/>
    <w:rsid w:val="007128E4"/>
    <w:rsid w:val="00714072"/>
    <w:rsid w:val="0071422C"/>
    <w:rsid w:val="00715291"/>
    <w:rsid w:val="007155A6"/>
    <w:rsid w:val="00715DC3"/>
    <w:rsid w:val="00716BC4"/>
    <w:rsid w:val="00716C5D"/>
    <w:rsid w:val="00717CC2"/>
    <w:rsid w:val="007204C4"/>
    <w:rsid w:val="00720F5F"/>
    <w:rsid w:val="007216C2"/>
    <w:rsid w:val="00722495"/>
    <w:rsid w:val="007227DC"/>
    <w:rsid w:val="007228F1"/>
    <w:rsid w:val="00722D90"/>
    <w:rsid w:val="00723077"/>
    <w:rsid w:val="0072372B"/>
    <w:rsid w:val="007238FE"/>
    <w:rsid w:val="00724354"/>
    <w:rsid w:val="00725B55"/>
    <w:rsid w:val="00725B56"/>
    <w:rsid w:val="00726142"/>
    <w:rsid w:val="0073003A"/>
    <w:rsid w:val="007300AB"/>
    <w:rsid w:val="007307DD"/>
    <w:rsid w:val="00730978"/>
    <w:rsid w:val="00730A54"/>
    <w:rsid w:val="00731867"/>
    <w:rsid w:val="00731995"/>
    <w:rsid w:val="0073258F"/>
    <w:rsid w:val="00733253"/>
    <w:rsid w:val="00733628"/>
    <w:rsid w:val="007336F2"/>
    <w:rsid w:val="007339F6"/>
    <w:rsid w:val="007357E3"/>
    <w:rsid w:val="00735B57"/>
    <w:rsid w:val="00736344"/>
    <w:rsid w:val="00737CF1"/>
    <w:rsid w:val="007403AE"/>
    <w:rsid w:val="00740B76"/>
    <w:rsid w:val="00740BE3"/>
    <w:rsid w:val="0074181B"/>
    <w:rsid w:val="00741AE6"/>
    <w:rsid w:val="007422A0"/>
    <w:rsid w:val="00743444"/>
    <w:rsid w:val="007440D3"/>
    <w:rsid w:val="007440DD"/>
    <w:rsid w:val="007453F3"/>
    <w:rsid w:val="00746077"/>
    <w:rsid w:val="00746303"/>
    <w:rsid w:val="007466F6"/>
    <w:rsid w:val="00746748"/>
    <w:rsid w:val="00746EA6"/>
    <w:rsid w:val="00751052"/>
    <w:rsid w:val="00751351"/>
    <w:rsid w:val="0075199E"/>
    <w:rsid w:val="00751F90"/>
    <w:rsid w:val="00752181"/>
    <w:rsid w:val="0075275A"/>
    <w:rsid w:val="007539FD"/>
    <w:rsid w:val="00753E4A"/>
    <w:rsid w:val="00756DA5"/>
    <w:rsid w:val="00757271"/>
    <w:rsid w:val="00757855"/>
    <w:rsid w:val="007603F7"/>
    <w:rsid w:val="00760FE4"/>
    <w:rsid w:val="007616F5"/>
    <w:rsid w:val="007634E7"/>
    <w:rsid w:val="00764020"/>
    <w:rsid w:val="00764E61"/>
    <w:rsid w:val="0077071E"/>
    <w:rsid w:val="00770EA6"/>
    <w:rsid w:val="007715EC"/>
    <w:rsid w:val="007726A9"/>
    <w:rsid w:val="00773C7B"/>
    <w:rsid w:val="0077440B"/>
    <w:rsid w:val="0077579E"/>
    <w:rsid w:val="007766DF"/>
    <w:rsid w:val="007773A9"/>
    <w:rsid w:val="007778CF"/>
    <w:rsid w:val="007779F5"/>
    <w:rsid w:val="00780916"/>
    <w:rsid w:val="00780A47"/>
    <w:rsid w:val="00780EB7"/>
    <w:rsid w:val="00781B95"/>
    <w:rsid w:val="00781D00"/>
    <w:rsid w:val="00782265"/>
    <w:rsid w:val="00782A98"/>
    <w:rsid w:val="00782C80"/>
    <w:rsid w:val="00783617"/>
    <w:rsid w:val="00783C70"/>
    <w:rsid w:val="00783D51"/>
    <w:rsid w:val="00783FE0"/>
    <w:rsid w:val="00784329"/>
    <w:rsid w:val="00784644"/>
    <w:rsid w:val="00784924"/>
    <w:rsid w:val="007862FB"/>
    <w:rsid w:val="00786436"/>
    <w:rsid w:val="007868E3"/>
    <w:rsid w:val="00787081"/>
    <w:rsid w:val="00787813"/>
    <w:rsid w:val="00787C93"/>
    <w:rsid w:val="00787F0B"/>
    <w:rsid w:val="00790898"/>
    <w:rsid w:val="00791067"/>
    <w:rsid w:val="007918AE"/>
    <w:rsid w:val="00791DB0"/>
    <w:rsid w:val="00791E7F"/>
    <w:rsid w:val="00792A85"/>
    <w:rsid w:val="007939E7"/>
    <w:rsid w:val="00794C22"/>
    <w:rsid w:val="00795605"/>
    <w:rsid w:val="007956F7"/>
    <w:rsid w:val="00795EAD"/>
    <w:rsid w:val="00796C83"/>
    <w:rsid w:val="00797270"/>
    <w:rsid w:val="00797A39"/>
    <w:rsid w:val="007A0555"/>
    <w:rsid w:val="007A1C92"/>
    <w:rsid w:val="007A1F50"/>
    <w:rsid w:val="007A2408"/>
    <w:rsid w:val="007A30C8"/>
    <w:rsid w:val="007A3466"/>
    <w:rsid w:val="007A3509"/>
    <w:rsid w:val="007A3F36"/>
    <w:rsid w:val="007A4AF0"/>
    <w:rsid w:val="007A519B"/>
    <w:rsid w:val="007A5FCE"/>
    <w:rsid w:val="007A5FDB"/>
    <w:rsid w:val="007A796E"/>
    <w:rsid w:val="007A79FE"/>
    <w:rsid w:val="007B0C6F"/>
    <w:rsid w:val="007B1710"/>
    <w:rsid w:val="007B2748"/>
    <w:rsid w:val="007B2A0E"/>
    <w:rsid w:val="007B33E0"/>
    <w:rsid w:val="007B39CF"/>
    <w:rsid w:val="007B4669"/>
    <w:rsid w:val="007B50F0"/>
    <w:rsid w:val="007B6C50"/>
    <w:rsid w:val="007B7552"/>
    <w:rsid w:val="007B75D0"/>
    <w:rsid w:val="007C16BC"/>
    <w:rsid w:val="007C1CAC"/>
    <w:rsid w:val="007C217D"/>
    <w:rsid w:val="007C27E0"/>
    <w:rsid w:val="007C3609"/>
    <w:rsid w:val="007C3C65"/>
    <w:rsid w:val="007C3EF7"/>
    <w:rsid w:val="007C4886"/>
    <w:rsid w:val="007C5444"/>
    <w:rsid w:val="007C5DCB"/>
    <w:rsid w:val="007C6516"/>
    <w:rsid w:val="007C6DC1"/>
    <w:rsid w:val="007C76F0"/>
    <w:rsid w:val="007D0B79"/>
    <w:rsid w:val="007D245B"/>
    <w:rsid w:val="007D37EA"/>
    <w:rsid w:val="007D4212"/>
    <w:rsid w:val="007D4619"/>
    <w:rsid w:val="007D4E97"/>
    <w:rsid w:val="007D508D"/>
    <w:rsid w:val="007D5957"/>
    <w:rsid w:val="007D59CF"/>
    <w:rsid w:val="007D6490"/>
    <w:rsid w:val="007D6A9D"/>
    <w:rsid w:val="007D7215"/>
    <w:rsid w:val="007D77B0"/>
    <w:rsid w:val="007D7CA0"/>
    <w:rsid w:val="007E009E"/>
    <w:rsid w:val="007E0B05"/>
    <w:rsid w:val="007E0D31"/>
    <w:rsid w:val="007E1680"/>
    <w:rsid w:val="007E20A7"/>
    <w:rsid w:val="007E254D"/>
    <w:rsid w:val="007E2DD9"/>
    <w:rsid w:val="007E3451"/>
    <w:rsid w:val="007E36FB"/>
    <w:rsid w:val="007E3B9C"/>
    <w:rsid w:val="007E3BD7"/>
    <w:rsid w:val="007E3E4C"/>
    <w:rsid w:val="007E4CD7"/>
    <w:rsid w:val="007E5094"/>
    <w:rsid w:val="007E520A"/>
    <w:rsid w:val="007E52EA"/>
    <w:rsid w:val="007E5A90"/>
    <w:rsid w:val="007E5DE7"/>
    <w:rsid w:val="007E61F4"/>
    <w:rsid w:val="007E6C2A"/>
    <w:rsid w:val="007E7ADA"/>
    <w:rsid w:val="007F1C7D"/>
    <w:rsid w:val="007F2186"/>
    <w:rsid w:val="007F2F75"/>
    <w:rsid w:val="007F3258"/>
    <w:rsid w:val="007F36F3"/>
    <w:rsid w:val="007F3824"/>
    <w:rsid w:val="007F424D"/>
    <w:rsid w:val="007F5126"/>
    <w:rsid w:val="007F607B"/>
    <w:rsid w:val="00800F0B"/>
    <w:rsid w:val="00802209"/>
    <w:rsid w:val="00802B61"/>
    <w:rsid w:val="00803C5D"/>
    <w:rsid w:val="0080421B"/>
    <w:rsid w:val="0080427F"/>
    <w:rsid w:val="00805391"/>
    <w:rsid w:val="00805D81"/>
    <w:rsid w:val="0080612C"/>
    <w:rsid w:val="008067D1"/>
    <w:rsid w:val="00806992"/>
    <w:rsid w:val="00807F36"/>
    <w:rsid w:val="00810596"/>
    <w:rsid w:val="00810607"/>
    <w:rsid w:val="00810ECF"/>
    <w:rsid w:val="00811001"/>
    <w:rsid w:val="0081103B"/>
    <w:rsid w:val="008115DD"/>
    <w:rsid w:val="00812484"/>
    <w:rsid w:val="00812C67"/>
    <w:rsid w:val="00813131"/>
    <w:rsid w:val="00813973"/>
    <w:rsid w:val="00813D11"/>
    <w:rsid w:val="008141F9"/>
    <w:rsid w:val="008146BD"/>
    <w:rsid w:val="00814A45"/>
    <w:rsid w:val="00815946"/>
    <w:rsid w:val="00817501"/>
    <w:rsid w:val="00817C27"/>
    <w:rsid w:val="00821336"/>
    <w:rsid w:val="008215B1"/>
    <w:rsid w:val="0082161D"/>
    <w:rsid w:val="00821C9F"/>
    <w:rsid w:val="00822100"/>
    <w:rsid w:val="00822E71"/>
    <w:rsid w:val="00823119"/>
    <w:rsid w:val="00823BDF"/>
    <w:rsid w:val="00824114"/>
    <w:rsid w:val="0082426C"/>
    <w:rsid w:val="0082447D"/>
    <w:rsid w:val="00824DFC"/>
    <w:rsid w:val="008250D7"/>
    <w:rsid w:val="00825755"/>
    <w:rsid w:val="00825A58"/>
    <w:rsid w:val="0082636A"/>
    <w:rsid w:val="00827AC3"/>
    <w:rsid w:val="0083028D"/>
    <w:rsid w:val="008307FA"/>
    <w:rsid w:val="00831154"/>
    <w:rsid w:val="0083221A"/>
    <w:rsid w:val="00832415"/>
    <w:rsid w:val="008332FC"/>
    <w:rsid w:val="0083364C"/>
    <w:rsid w:val="00833E9B"/>
    <w:rsid w:val="00834B7A"/>
    <w:rsid w:val="00835B30"/>
    <w:rsid w:val="00835E9E"/>
    <w:rsid w:val="00836A19"/>
    <w:rsid w:val="00836BA0"/>
    <w:rsid w:val="008373B6"/>
    <w:rsid w:val="00837CE1"/>
    <w:rsid w:val="008404D6"/>
    <w:rsid w:val="008417DB"/>
    <w:rsid w:val="0084188F"/>
    <w:rsid w:val="00841D16"/>
    <w:rsid w:val="00842405"/>
    <w:rsid w:val="008438AC"/>
    <w:rsid w:val="00843900"/>
    <w:rsid w:val="00844871"/>
    <w:rsid w:val="00844ADE"/>
    <w:rsid w:val="00845356"/>
    <w:rsid w:val="00845D85"/>
    <w:rsid w:val="00845DCA"/>
    <w:rsid w:val="00845E1A"/>
    <w:rsid w:val="00845FA2"/>
    <w:rsid w:val="00846381"/>
    <w:rsid w:val="0084683B"/>
    <w:rsid w:val="00846C68"/>
    <w:rsid w:val="00846DF7"/>
    <w:rsid w:val="008521CA"/>
    <w:rsid w:val="0085383D"/>
    <w:rsid w:val="00854A6A"/>
    <w:rsid w:val="00854BCF"/>
    <w:rsid w:val="0085510A"/>
    <w:rsid w:val="00855155"/>
    <w:rsid w:val="008555B7"/>
    <w:rsid w:val="00855E56"/>
    <w:rsid w:val="00856F28"/>
    <w:rsid w:val="0085702F"/>
    <w:rsid w:val="0085759D"/>
    <w:rsid w:val="00860E73"/>
    <w:rsid w:val="0086148A"/>
    <w:rsid w:val="00861690"/>
    <w:rsid w:val="00862F4E"/>
    <w:rsid w:val="008636AE"/>
    <w:rsid w:val="00863C47"/>
    <w:rsid w:val="00864C15"/>
    <w:rsid w:val="00864E21"/>
    <w:rsid w:val="00864FC3"/>
    <w:rsid w:val="008650C3"/>
    <w:rsid w:val="00866EEE"/>
    <w:rsid w:val="00867357"/>
    <w:rsid w:val="00867550"/>
    <w:rsid w:val="00867C5C"/>
    <w:rsid w:val="008711CA"/>
    <w:rsid w:val="00871AD4"/>
    <w:rsid w:val="00872093"/>
    <w:rsid w:val="008721D0"/>
    <w:rsid w:val="008727F4"/>
    <w:rsid w:val="00872B9A"/>
    <w:rsid w:val="008734A3"/>
    <w:rsid w:val="0087392B"/>
    <w:rsid w:val="00874501"/>
    <w:rsid w:val="00874645"/>
    <w:rsid w:val="00874BD7"/>
    <w:rsid w:val="0087538A"/>
    <w:rsid w:val="00875A16"/>
    <w:rsid w:val="008764D5"/>
    <w:rsid w:val="00877778"/>
    <w:rsid w:val="00877DEF"/>
    <w:rsid w:val="00881822"/>
    <w:rsid w:val="008821F5"/>
    <w:rsid w:val="00883A22"/>
    <w:rsid w:val="00883A3D"/>
    <w:rsid w:val="00885501"/>
    <w:rsid w:val="00885B42"/>
    <w:rsid w:val="00885B73"/>
    <w:rsid w:val="00885BF9"/>
    <w:rsid w:val="00886050"/>
    <w:rsid w:val="00886947"/>
    <w:rsid w:val="00886952"/>
    <w:rsid w:val="008869BD"/>
    <w:rsid w:val="00886D3B"/>
    <w:rsid w:val="0089109D"/>
    <w:rsid w:val="00892823"/>
    <w:rsid w:val="00892CCF"/>
    <w:rsid w:val="00892E06"/>
    <w:rsid w:val="00893346"/>
    <w:rsid w:val="00893651"/>
    <w:rsid w:val="0089384D"/>
    <w:rsid w:val="00893A01"/>
    <w:rsid w:val="00893C69"/>
    <w:rsid w:val="00893C8E"/>
    <w:rsid w:val="008944DE"/>
    <w:rsid w:val="008956AE"/>
    <w:rsid w:val="00895849"/>
    <w:rsid w:val="008958AC"/>
    <w:rsid w:val="00895BEB"/>
    <w:rsid w:val="008960E1"/>
    <w:rsid w:val="008965D5"/>
    <w:rsid w:val="00897054"/>
    <w:rsid w:val="008975CE"/>
    <w:rsid w:val="00897B1C"/>
    <w:rsid w:val="008A0D7C"/>
    <w:rsid w:val="008A1DF3"/>
    <w:rsid w:val="008A3F20"/>
    <w:rsid w:val="008A41A9"/>
    <w:rsid w:val="008A46D1"/>
    <w:rsid w:val="008A4877"/>
    <w:rsid w:val="008A4AB8"/>
    <w:rsid w:val="008A4E37"/>
    <w:rsid w:val="008A4FAB"/>
    <w:rsid w:val="008A537D"/>
    <w:rsid w:val="008A57EC"/>
    <w:rsid w:val="008A7242"/>
    <w:rsid w:val="008A72D0"/>
    <w:rsid w:val="008A775D"/>
    <w:rsid w:val="008B000F"/>
    <w:rsid w:val="008B0257"/>
    <w:rsid w:val="008B09AF"/>
    <w:rsid w:val="008B0E29"/>
    <w:rsid w:val="008B1035"/>
    <w:rsid w:val="008B13D9"/>
    <w:rsid w:val="008B1413"/>
    <w:rsid w:val="008B1A6D"/>
    <w:rsid w:val="008B213C"/>
    <w:rsid w:val="008B2A1D"/>
    <w:rsid w:val="008B3196"/>
    <w:rsid w:val="008B32BA"/>
    <w:rsid w:val="008B3F42"/>
    <w:rsid w:val="008B58F0"/>
    <w:rsid w:val="008C00EC"/>
    <w:rsid w:val="008C0B22"/>
    <w:rsid w:val="008C1BD5"/>
    <w:rsid w:val="008C2140"/>
    <w:rsid w:val="008C2497"/>
    <w:rsid w:val="008C270F"/>
    <w:rsid w:val="008C3BBA"/>
    <w:rsid w:val="008C4666"/>
    <w:rsid w:val="008C4999"/>
    <w:rsid w:val="008C542A"/>
    <w:rsid w:val="008C595B"/>
    <w:rsid w:val="008C7263"/>
    <w:rsid w:val="008C731F"/>
    <w:rsid w:val="008C7592"/>
    <w:rsid w:val="008C75CD"/>
    <w:rsid w:val="008D0C31"/>
    <w:rsid w:val="008D146C"/>
    <w:rsid w:val="008D1A87"/>
    <w:rsid w:val="008D22D6"/>
    <w:rsid w:val="008D25F0"/>
    <w:rsid w:val="008D2C21"/>
    <w:rsid w:val="008D2F7D"/>
    <w:rsid w:val="008D319D"/>
    <w:rsid w:val="008D4B3B"/>
    <w:rsid w:val="008D51F3"/>
    <w:rsid w:val="008D6D4F"/>
    <w:rsid w:val="008D70E8"/>
    <w:rsid w:val="008E0060"/>
    <w:rsid w:val="008E05D3"/>
    <w:rsid w:val="008E0635"/>
    <w:rsid w:val="008E1A5E"/>
    <w:rsid w:val="008E1DD2"/>
    <w:rsid w:val="008E2036"/>
    <w:rsid w:val="008E2495"/>
    <w:rsid w:val="008E364D"/>
    <w:rsid w:val="008E36D9"/>
    <w:rsid w:val="008E4EBC"/>
    <w:rsid w:val="008E528A"/>
    <w:rsid w:val="008E6C68"/>
    <w:rsid w:val="008E7C8D"/>
    <w:rsid w:val="008F285E"/>
    <w:rsid w:val="008F30D3"/>
    <w:rsid w:val="008F38F2"/>
    <w:rsid w:val="008F467F"/>
    <w:rsid w:val="008F484B"/>
    <w:rsid w:val="008F4F93"/>
    <w:rsid w:val="008F5321"/>
    <w:rsid w:val="008F53E1"/>
    <w:rsid w:val="008F6735"/>
    <w:rsid w:val="008F777D"/>
    <w:rsid w:val="00900187"/>
    <w:rsid w:val="009005DB"/>
    <w:rsid w:val="00900CEA"/>
    <w:rsid w:val="00900D7D"/>
    <w:rsid w:val="009014E8"/>
    <w:rsid w:val="00901881"/>
    <w:rsid w:val="00901CCA"/>
    <w:rsid w:val="00901CCB"/>
    <w:rsid w:val="00901E5B"/>
    <w:rsid w:val="00902665"/>
    <w:rsid w:val="009034D6"/>
    <w:rsid w:val="009037D1"/>
    <w:rsid w:val="00903A11"/>
    <w:rsid w:val="00903EE5"/>
    <w:rsid w:val="00904707"/>
    <w:rsid w:val="0090533D"/>
    <w:rsid w:val="00905C19"/>
    <w:rsid w:val="009066AD"/>
    <w:rsid w:val="00906EE7"/>
    <w:rsid w:val="0090712C"/>
    <w:rsid w:val="009076B7"/>
    <w:rsid w:val="009078CA"/>
    <w:rsid w:val="00907E37"/>
    <w:rsid w:val="0091042D"/>
    <w:rsid w:val="009106FB"/>
    <w:rsid w:val="00910BC9"/>
    <w:rsid w:val="0091199F"/>
    <w:rsid w:val="00911EBE"/>
    <w:rsid w:val="00912081"/>
    <w:rsid w:val="009124AB"/>
    <w:rsid w:val="00912B0F"/>
    <w:rsid w:val="00912DE5"/>
    <w:rsid w:val="00913291"/>
    <w:rsid w:val="009139CE"/>
    <w:rsid w:val="009140CF"/>
    <w:rsid w:val="0091424A"/>
    <w:rsid w:val="0091459F"/>
    <w:rsid w:val="00914DFA"/>
    <w:rsid w:val="0091583A"/>
    <w:rsid w:val="00915C0E"/>
    <w:rsid w:val="00916AED"/>
    <w:rsid w:val="00916C06"/>
    <w:rsid w:val="009201D4"/>
    <w:rsid w:val="0092045F"/>
    <w:rsid w:val="00920AC9"/>
    <w:rsid w:val="0092146B"/>
    <w:rsid w:val="00921696"/>
    <w:rsid w:val="00921991"/>
    <w:rsid w:val="00922A65"/>
    <w:rsid w:val="00922A9A"/>
    <w:rsid w:val="009235F7"/>
    <w:rsid w:val="00923A26"/>
    <w:rsid w:val="00923E88"/>
    <w:rsid w:val="009241DB"/>
    <w:rsid w:val="00924DC6"/>
    <w:rsid w:val="009255DA"/>
    <w:rsid w:val="0092690A"/>
    <w:rsid w:val="00926C28"/>
    <w:rsid w:val="00926CFD"/>
    <w:rsid w:val="00927149"/>
    <w:rsid w:val="009302AA"/>
    <w:rsid w:val="00930B94"/>
    <w:rsid w:val="00932866"/>
    <w:rsid w:val="009335FF"/>
    <w:rsid w:val="00933653"/>
    <w:rsid w:val="0093397B"/>
    <w:rsid w:val="00933A3D"/>
    <w:rsid w:val="00933E17"/>
    <w:rsid w:val="00933E65"/>
    <w:rsid w:val="00933EC1"/>
    <w:rsid w:val="009345AC"/>
    <w:rsid w:val="0093531F"/>
    <w:rsid w:val="00935323"/>
    <w:rsid w:val="00935DA6"/>
    <w:rsid w:val="00936529"/>
    <w:rsid w:val="00936D90"/>
    <w:rsid w:val="00936F94"/>
    <w:rsid w:val="009370B8"/>
    <w:rsid w:val="00940A03"/>
    <w:rsid w:val="00940F3A"/>
    <w:rsid w:val="0094158D"/>
    <w:rsid w:val="00941D55"/>
    <w:rsid w:val="00943093"/>
    <w:rsid w:val="00943EC8"/>
    <w:rsid w:val="00944852"/>
    <w:rsid w:val="009449C8"/>
    <w:rsid w:val="00944E84"/>
    <w:rsid w:val="00945CD5"/>
    <w:rsid w:val="00946370"/>
    <w:rsid w:val="009469E4"/>
    <w:rsid w:val="00946E61"/>
    <w:rsid w:val="00950C76"/>
    <w:rsid w:val="00950CDA"/>
    <w:rsid w:val="00950D9F"/>
    <w:rsid w:val="009528FE"/>
    <w:rsid w:val="00953E70"/>
    <w:rsid w:val="009543F3"/>
    <w:rsid w:val="00954E9E"/>
    <w:rsid w:val="00955AA9"/>
    <w:rsid w:val="009563AA"/>
    <w:rsid w:val="00956670"/>
    <w:rsid w:val="0095676B"/>
    <w:rsid w:val="00956F59"/>
    <w:rsid w:val="0095793B"/>
    <w:rsid w:val="00957D0C"/>
    <w:rsid w:val="009608AC"/>
    <w:rsid w:val="00960FAA"/>
    <w:rsid w:val="00961A4F"/>
    <w:rsid w:val="00961D0E"/>
    <w:rsid w:val="00962F60"/>
    <w:rsid w:val="009630B2"/>
    <w:rsid w:val="0096350B"/>
    <w:rsid w:val="00965D14"/>
    <w:rsid w:val="009661FA"/>
    <w:rsid w:val="0096626E"/>
    <w:rsid w:val="00967401"/>
    <w:rsid w:val="009676CA"/>
    <w:rsid w:val="00970232"/>
    <w:rsid w:val="00970837"/>
    <w:rsid w:val="00970D15"/>
    <w:rsid w:val="00970DAA"/>
    <w:rsid w:val="00971197"/>
    <w:rsid w:val="00971D68"/>
    <w:rsid w:val="009722E7"/>
    <w:rsid w:val="00972C53"/>
    <w:rsid w:val="00972E45"/>
    <w:rsid w:val="00973AC2"/>
    <w:rsid w:val="0097633B"/>
    <w:rsid w:val="00976354"/>
    <w:rsid w:val="009773B7"/>
    <w:rsid w:val="00980552"/>
    <w:rsid w:val="00981257"/>
    <w:rsid w:val="00981362"/>
    <w:rsid w:val="0098214D"/>
    <w:rsid w:val="009836B6"/>
    <w:rsid w:val="00985AFA"/>
    <w:rsid w:val="009862C0"/>
    <w:rsid w:val="009866AE"/>
    <w:rsid w:val="00986754"/>
    <w:rsid w:val="00986BC7"/>
    <w:rsid w:val="00987FAA"/>
    <w:rsid w:val="0099033D"/>
    <w:rsid w:val="00990541"/>
    <w:rsid w:val="009916F4"/>
    <w:rsid w:val="009916FB"/>
    <w:rsid w:val="009917CE"/>
    <w:rsid w:val="00991858"/>
    <w:rsid w:val="0099248D"/>
    <w:rsid w:val="00993245"/>
    <w:rsid w:val="0099384F"/>
    <w:rsid w:val="00994100"/>
    <w:rsid w:val="009944D2"/>
    <w:rsid w:val="0099519F"/>
    <w:rsid w:val="0099716A"/>
    <w:rsid w:val="009976A4"/>
    <w:rsid w:val="009A0908"/>
    <w:rsid w:val="009A0C1F"/>
    <w:rsid w:val="009A139E"/>
    <w:rsid w:val="009A311D"/>
    <w:rsid w:val="009A39DD"/>
    <w:rsid w:val="009A4485"/>
    <w:rsid w:val="009A6B8E"/>
    <w:rsid w:val="009A6E14"/>
    <w:rsid w:val="009A7D9E"/>
    <w:rsid w:val="009B06A8"/>
    <w:rsid w:val="009B1065"/>
    <w:rsid w:val="009B1B56"/>
    <w:rsid w:val="009B28B5"/>
    <w:rsid w:val="009B36E9"/>
    <w:rsid w:val="009B3948"/>
    <w:rsid w:val="009B39EC"/>
    <w:rsid w:val="009B3CCC"/>
    <w:rsid w:val="009B4883"/>
    <w:rsid w:val="009B5261"/>
    <w:rsid w:val="009B54AA"/>
    <w:rsid w:val="009B5DC6"/>
    <w:rsid w:val="009B6009"/>
    <w:rsid w:val="009B6301"/>
    <w:rsid w:val="009B65D5"/>
    <w:rsid w:val="009B689F"/>
    <w:rsid w:val="009B79FE"/>
    <w:rsid w:val="009B7EAD"/>
    <w:rsid w:val="009C079B"/>
    <w:rsid w:val="009C15C6"/>
    <w:rsid w:val="009C16F2"/>
    <w:rsid w:val="009C1879"/>
    <w:rsid w:val="009C18AF"/>
    <w:rsid w:val="009C19C7"/>
    <w:rsid w:val="009C2201"/>
    <w:rsid w:val="009C2515"/>
    <w:rsid w:val="009C29A7"/>
    <w:rsid w:val="009C2A73"/>
    <w:rsid w:val="009C2D28"/>
    <w:rsid w:val="009C2FCA"/>
    <w:rsid w:val="009C32E9"/>
    <w:rsid w:val="009C35EB"/>
    <w:rsid w:val="009C4EB9"/>
    <w:rsid w:val="009C5084"/>
    <w:rsid w:val="009C5404"/>
    <w:rsid w:val="009C5492"/>
    <w:rsid w:val="009C5C2D"/>
    <w:rsid w:val="009C5EE0"/>
    <w:rsid w:val="009C60D0"/>
    <w:rsid w:val="009C62A7"/>
    <w:rsid w:val="009C6785"/>
    <w:rsid w:val="009D0B19"/>
    <w:rsid w:val="009D18F9"/>
    <w:rsid w:val="009D1902"/>
    <w:rsid w:val="009D1DE0"/>
    <w:rsid w:val="009D1E28"/>
    <w:rsid w:val="009D2650"/>
    <w:rsid w:val="009D2A4F"/>
    <w:rsid w:val="009D3F78"/>
    <w:rsid w:val="009D5057"/>
    <w:rsid w:val="009D51C6"/>
    <w:rsid w:val="009D55AC"/>
    <w:rsid w:val="009D5ED8"/>
    <w:rsid w:val="009D7AC0"/>
    <w:rsid w:val="009E024E"/>
    <w:rsid w:val="009E10D6"/>
    <w:rsid w:val="009E12E4"/>
    <w:rsid w:val="009E1912"/>
    <w:rsid w:val="009E1D77"/>
    <w:rsid w:val="009E36F1"/>
    <w:rsid w:val="009E4255"/>
    <w:rsid w:val="009E4415"/>
    <w:rsid w:val="009E5130"/>
    <w:rsid w:val="009E5220"/>
    <w:rsid w:val="009E5418"/>
    <w:rsid w:val="009E5979"/>
    <w:rsid w:val="009E5BCB"/>
    <w:rsid w:val="009E6006"/>
    <w:rsid w:val="009E6308"/>
    <w:rsid w:val="009E7911"/>
    <w:rsid w:val="009E7E1F"/>
    <w:rsid w:val="009F0296"/>
    <w:rsid w:val="009F0833"/>
    <w:rsid w:val="009F0BC1"/>
    <w:rsid w:val="009F13C6"/>
    <w:rsid w:val="009F1FD1"/>
    <w:rsid w:val="009F21F3"/>
    <w:rsid w:val="009F2829"/>
    <w:rsid w:val="009F2E04"/>
    <w:rsid w:val="009F31B5"/>
    <w:rsid w:val="009F4284"/>
    <w:rsid w:val="009F5201"/>
    <w:rsid w:val="009F520D"/>
    <w:rsid w:val="009F66A4"/>
    <w:rsid w:val="009F6CDE"/>
    <w:rsid w:val="009F7F59"/>
    <w:rsid w:val="00A022D4"/>
    <w:rsid w:val="00A025D1"/>
    <w:rsid w:val="00A03F67"/>
    <w:rsid w:val="00A04270"/>
    <w:rsid w:val="00A04A61"/>
    <w:rsid w:val="00A04B60"/>
    <w:rsid w:val="00A04CA6"/>
    <w:rsid w:val="00A04CD6"/>
    <w:rsid w:val="00A05DD1"/>
    <w:rsid w:val="00A061BC"/>
    <w:rsid w:val="00A061F8"/>
    <w:rsid w:val="00A065E1"/>
    <w:rsid w:val="00A069E4"/>
    <w:rsid w:val="00A06E78"/>
    <w:rsid w:val="00A07843"/>
    <w:rsid w:val="00A07D16"/>
    <w:rsid w:val="00A1010E"/>
    <w:rsid w:val="00A10F70"/>
    <w:rsid w:val="00A12F7B"/>
    <w:rsid w:val="00A14CCE"/>
    <w:rsid w:val="00A15799"/>
    <w:rsid w:val="00A16B95"/>
    <w:rsid w:val="00A16CD3"/>
    <w:rsid w:val="00A208B5"/>
    <w:rsid w:val="00A20AF7"/>
    <w:rsid w:val="00A2124E"/>
    <w:rsid w:val="00A214DC"/>
    <w:rsid w:val="00A224F8"/>
    <w:rsid w:val="00A22945"/>
    <w:rsid w:val="00A23CFF"/>
    <w:rsid w:val="00A2511B"/>
    <w:rsid w:val="00A25784"/>
    <w:rsid w:val="00A25A21"/>
    <w:rsid w:val="00A262EF"/>
    <w:rsid w:val="00A26584"/>
    <w:rsid w:val="00A3060F"/>
    <w:rsid w:val="00A3080C"/>
    <w:rsid w:val="00A31A09"/>
    <w:rsid w:val="00A32839"/>
    <w:rsid w:val="00A32ECD"/>
    <w:rsid w:val="00A32F16"/>
    <w:rsid w:val="00A3356D"/>
    <w:rsid w:val="00A34723"/>
    <w:rsid w:val="00A34AB0"/>
    <w:rsid w:val="00A3543E"/>
    <w:rsid w:val="00A35B96"/>
    <w:rsid w:val="00A36796"/>
    <w:rsid w:val="00A37CFF"/>
    <w:rsid w:val="00A37DA7"/>
    <w:rsid w:val="00A37E77"/>
    <w:rsid w:val="00A4041C"/>
    <w:rsid w:val="00A416E2"/>
    <w:rsid w:val="00A41B05"/>
    <w:rsid w:val="00A41F88"/>
    <w:rsid w:val="00A428F0"/>
    <w:rsid w:val="00A4310F"/>
    <w:rsid w:val="00A431A7"/>
    <w:rsid w:val="00A43895"/>
    <w:rsid w:val="00A43F4E"/>
    <w:rsid w:val="00A43F89"/>
    <w:rsid w:val="00A44786"/>
    <w:rsid w:val="00A44787"/>
    <w:rsid w:val="00A45619"/>
    <w:rsid w:val="00A4569D"/>
    <w:rsid w:val="00A45AA9"/>
    <w:rsid w:val="00A46B51"/>
    <w:rsid w:val="00A46BB1"/>
    <w:rsid w:val="00A4785A"/>
    <w:rsid w:val="00A50052"/>
    <w:rsid w:val="00A50615"/>
    <w:rsid w:val="00A508DA"/>
    <w:rsid w:val="00A50BA3"/>
    <w:rsid w:val="00A51F87"/>
    <w:rsid w:val="00A52D5C"/>
    <w:rsid w:val="00A544C8"/>
    <w:rsid w:val="00A54823"/>
    <w:rsid w:val="00A54D8E"/>
    <w:rsid w:val="00A54FA8"/>
    <w:rsid w:val="00A553ED"/>
    <w:rsid w:val="00A55758"/>
    <w:rsid w:val="00A55A1C"/>
    <w:rsid w:val="00A55DF5"/>
    <w:rsid w:val="00A55EDF"/>
    <w:rsid w:val="00A562C0"/>
    <w:rsid w:val="00A563E7"/>
    <w:rsid w:val="00A56750"/>
    <w:rsid w:val="00A5768B"/>
    <w:rsid w:val="00A60400"/>
    <w:rsid w:val="00A6058F"/>
    <w:rsid w:val="00A60A69"/>
    <w:rsid w:val="00A619F9"/>
    <w:rsid w:val="00A6257F"/>
    <w:rsid w:val="00A6298B"/>
    <w:rsid w:val="00A62A9A"/>
    <w:rsid w:val="00A63811"/>
    <w:rsid w:val="00A64D1D"/>
    <w:rsid w:val="00A652E6"/>
    <w:rsid w:val="00A67F03"/>
    <w:rsid w:val="00A7083D"/>
    <w:rsid w:val="00A71112"/>
    <w:rsid w:val="00A71A46"/>
    <w:rsid w:val="00A725D6"/>
    <w:rsid w:val="00A72E0E"/>
    <w:rsid w:val="00A72FBA"/>
    <w:rsid w:val="00A73699"/>
    <w:rsid w:val="00A736D7"/>
    <w:rsid w:val="00A73910"/>
    <w:rsid w:val="00A75A43"/>
    <w:rsid w:val="00A75C8B"/>
    <w:rsid w:val="00A75D3C"/>
    <w:rsid w:val="00A76867"/>
    <w:rsid w:val="00A76C38"/>
    <w:rsid w:val="00A76FEB"/>
    <w:rsid w:val="00A82989"/>
    <w:rsid w:val="00A829FC"/>
    <w:rsid w:val="00A83B8F"/>
    <w:rsid w:val="00A847D2"/>
    <w:rsid w:val="00A84B06"/>
    <w:rsid w:val="00A84D88"/>
    <w:rsid w:val="00A85168"/>
    <w:rsid w:val="00A8523B"/>
    <w:rsid w:val="00A853DE"/>
    <w:rsid w:val="00A86073"/>
    <w:rsid w:val="00A9073F"/>
    <w:rsid w:val="00A93AC4"/>
    <w:rsid w:val="00A93BD4"/>
    <w:rsid w:val="00A94070"/>
    <w:rsid w:val="00A94AF7"/>
    <w:rsid w:val="00A95620"/>
    <w:rsid w:val="00A960D1"/>
    <w:rsid w:val="00A97974"/>
    <w:rsid w:val="00A979B3"/>
    <w:rsid w:val="00AA0282"/>
    <w:rsid w:val="00AA08EC"/>
    <w:rsid w:val="00AA11E1"/>
    <w:rsid w:val="00AA1C09"/>
    <w:rsid w:val="00AA2177"/>
    <w:rsid w:val="00AA2276"/>
    <w:rsid w:val="00AA38F1"/>
    <w:rsid w:val="00AA3D00"/>
    <w:rsid w:val="00AA4501"/>
    <w:rsid w:val="00AA4C22"/>
    <w:rsid w:val="00AA4F39"/>
    <w:rsid w:val="00AA67AA"/>
    <w:rsid w:val="00AA757B"/>
    <w:rsid w:val="00AA7BC0"/>
    <w:rsid w:val="00AA7E13"/>
    <w:rsid w:val="00AB02C6"/>
    <w:rsid w:val="00AB0B94"/>
    <w:rsid w:val="00AB0FA5"/>
    <w:rsid w:val="00AB1A97"/>
    <w:rsid w:val="00AB220E"/>
    <w:rsid w:val="00AB337C"/>
    <w:rsid w:val="00AB3438"/>
    <w:rsid w:val="00AB3A71"/>
    <w:rsid w:val="00AB4281"/>
    <w:rsid w:val="00AB4A62"/>
    <w:rsid w:val="00AB5A0C"/>
    <w:rsid w:val="00AB5BFE"/>
    <w:rsid w:val="00AB5D5B"/>
    <w:rsid w:val="00AB6AB0"/>
    <w:rsid w:val="00AB7F49"/>
    <w:rsid w:val="00AC023B"/>
    <w:rsid w:val="00AC05A1"/>
    <w:rsid w:val="00AC35D8"/>
    <w:rsid w:val="00AC4389"/>
    <w:rsid w:val="00AC4AB2"/>
    <w:rsid w:val="00AC52C0"/>
    <w:rsid w:val="00AC5B8F"/>
    <w:rsid w:val="00AC630C"/>
    <w:rsid w:val="00AC7492"/>
    <w:rsid w:val="00AD00B1"/>
    <w:rsid w:val="00AD00EE"/>
    <w:rsid w:val="00AD0E8A"/>
    <w:rsid w:val="00AD1563"/>
    <w:rsid w:val="00AD2DD0"/>
    <w:rsid w:val="00AD4D16"/>
    <w:rsid w:val="00AD5175"/>
    <w:rsid w:val="00AD5BC8"/>
    <w:rsid w:val="00AD5EBE"/>
    <w:rsid w:val="00AD5FF6"/>
    <w:rsid w:val="00AD667C"/>
    <w:rsid w:val="00AD6740"/>
    <w:rsid w:val="00AD6E47"/>
    <w:rsid w:val="00AD7DF0"/>
    <w:rsid w:val="00AE07AF"/>
    <w:rsid w:val="00AE1353"/>
    <w:rsid w:val="00AE1A5F"/>
    <w:rsid w:val="00AE297B"/>
    <w:rsid w:val="00AE382A"/>
    <w:rsid w:val="00AE40BC"/>
    <w:rsid w:val="00AE4BE0"/>
    <w:rsid w:val="00AE54DB"/>
    <w:rsid w:val="00AE5BAE"/>
    <w:rsid w:val="00AE6409"/>
    <w:rsid w:val="00AE6CD5"/>
    <w:rsid w:val="00AF03C2"/>
    <w:rsid w:val="00AF0A6A"/>
    <w:rsid w:val="00AF0C86"/>
    <w:rsid w:val="00AF1257"/>
    <w:rsid w:val="00AF17CE"/>
    <w:rsid w:val="00AF1B0C"/>
    <w:rsid w:val="00AF2E45"/>
    <w:rsid w:val="00AF31C2"/>
    <w:rsid w:val="00AF4532"/>
    <w:rsid w:val="00AF4778"/>
    <w:rsid w:val="00AF58B0"/>
    <w:rsid w:val="00AF5B79"/>
    <w:rsid w:val="00AF5E10"/>
    <w:rsid w:val="00AF6A09"/>
    <w:rsid w:val="00AF77EB"/>
    <w:rsid w:val="00AF7D1F"/>
    <w:rsid w:val="00B00179"/>
    <w:rsid w:val="00B0093D"/>
    <w:rsid w:val="00B00F2F"/>
    <w:rsid w:val="00B0164F"/>
    <w:rsid w:val="00B01977"/>
    <w:rsid w:val="00B01BAE"/>
    <w:rsid w:val="00B01ECC"/>
    <w:rsid w:val="00B03706"/>
    <w:rsid w:val="00B04672"/>
    <w:rsid w:val="00B051B0"/>
    <w:rsid w:val="00B05437"/>
    <w:rsid w:val="00B06E6D"/>
    <w:rsid w:val="00B06F3D"/>
    <w:rsid w:val="00B0775C"/>
    <w:rsid w:val="00B109DA"/>
    <w:rsid w:val="00B10A41"/>
    <w:rsid w:val="00B10C5F"/>
    <w:rsid w:val="00B11569"/>
    <w:rsid w:val="00B11D9F"/>
    <w:rsid w:val="00B1271E"/>
    <w:rsid w:val="00B12F84"/>
    <w:rsid w:val="00B1324D"/>
    <w:rsid w:val="00B13422"/>
    <w:rsid w:val="00B135ED"/>
    <w:rsid w:val="00B13A55"/>
    <w:rsid w:val="00B13FCB"/>
    <w:rsid w:val="00B13FF2"/>
    <w:rsid w:val="00B14CCE"/>
    <w:rsid w:val="00B14DF6"/>
    <w:rsid w:val="00B155A8"/>
    <w:rsid w:val="00B158E6"/>
    <w:rsid w:val="00B16064"/>
    <w:rsid w:val="00B17D53"/>
    <w:rsid w:val="00B20417"/>
    <w:rsid w:val="00B20482"/>
    <w:rsid w:val="00B2059A"/>
    <w:rsid w:val="00B20B53"/>
    <w:rsid w:val="00B22D35"/>
    <w:rsid w:val="00B23B9B"/>
    <w:rsid w:val="00B24E52"/>
    <w:rsid w:val="00B2657E"/>
    <w:rsid w:val="00B26713"/>
    <w:rsid w:val="00B277F2"/>
    <w:rsid w:val="00B2796F"/>
    <w:rsid w:val="00B301A6"/>
    <w:rsid w:val="00B31397"/>
    <w:rsid w:val="00B325D0"/>
    <w:rsid w:val="00B32B0B"/>
    <w:rsid w:val="00B344F6"/>
    <w:rsid w:val="00B35845"/>
    <w:rsid w:val="00B373C2"/>
    <w:rsid w:val="00B37556"/>
    <w:rsid w:val="00B37649"/>
    <w:rsid w:val="00B37AA6"/>
    <w:rsid w:val="00B40821"/>
    <w:rsid w:val="00B40C07"/>
    <w:rsid w:val="00B40F46"/>
    <w:rsid w:val="00B40FA5"/>
    <w:rsid w:val="00B41146"/>
    <w:rsid w:val="00B41235"/>
    <w:rsid w:val="00B413C9"/>
    <w:rsid w:val="00B419B8"/>
    <w:rsid w:val="00B41BA0"/>
    <w:rsid w:val="00B42309"/>
    <w:rsid w:val="00B4276D"/>
    <w:rsid w:val="00B43FD3"/>
    <w:rsid w:val="00B44EE2"/>
    <w:rsid w:val="00B45869"/>
    <w:rsid w:val="00B4715E"/>
    <w:rsid w:val="00B471F7"/>
    <w:rsid w:val="00B50E72"/>
    <w:rsid w:val="00B50EFE"/>
    <w:rsid w:val="00B51824"/>
    <w:rsid w:val="00B5186D"/>
    <w:rsid w:val="00B51A84"/>
    <w:rsid w:val="00B51CFB"/>
    <w:rsid w:val="00B51DF0"/>
    <w:rsid w:val="00B53048"/>
    <w:rsid w:val="00B5380E"/>
    <w:rsid w:val="00B571C3"/>
    <w:rsid w:val="00B57F9D"/>
    <w:rsid w:val="00B61116"/>
    <w:rsid w:val="00B61FA5"/>
    <w:rsid w:val="00B620A1"/>
    <w:rsid w:val="00B635AF"/>
    <w:rsid w:val="00B63636"/>
    <w:rsid w:val="00B63B3B"/>
    <w:rsid w:val="00B63FCC"/>
    <w:rsid w:val="00B66320"/>
    <w:rsid w:val="00B66582"/>
    <w:rsid w:val="00B66DC2"/>
    <w:rsid w:val="00B67630"/>
    <w:rsid w:val="00B676EF"/>
    <w:rsid w:val="00B704B7"/>
    <w:rsid w:val="00B707F2"/>
    <w:rsid w:val="00B70D78"/>
    <w:rsid w:val="00B710B1"/>
    <w:rsid w:val="00B72219"/>
    <w:rsid w:val="00B725CB"/>
    <w:rsid w:val="00B728DF"/>
    <w:rsid w:val="00B72F71"/>
    <w:rsid w:val="00B7524F"/>
    <w:rsid w:val="00B7533E"/>
    <w:rsid w:val="00B75C8B"/>
    <w:rsid w:val="00B77CEF"/>
    <w:rsid w:val="00B77D2F"/>
    <w:rsid w:val="00B8081D"/>
    <w:rsid w:val="00B8317B"/>
    <w:rsid w:val="00B8326B"/>
    <w:rsid w:val="00B834A8"/>
    <w:rsid w:val="00B83D81"/>
    <w:rsid w:val="00B83F41"/>
    <w:rsid w:val="00B85AD7"/>
    <w:rsid w:val="00B860D2"/>
    <w:rsid w:val="00B86E33"/>
    <w:rsid w:val="00B87364"/>
    <w:rsid w:val="00B87F7D"/>
    <w:rsid w:val="00B90EA5"/>
    <w:rsid w:val="00B91124"/>
    <w:rsid w:val="00B92C59"/>
    <w:rsid w:val="00B94880"/>
    <w:rsid w:val="00B94CCA"/>
    <w:rsid w:val="00B95340"/>
    <w:rsid w:val="00B95AC8"/>
    <w:rsid w:val="00B961B5"/>
    <w:rsid w:val="00B962E4"/>
    <w:rsid w:val="00B965FA"/>
    <w:rsid w:val="00B9684D"/>
    <w:rsid w:val="00B9696F"/>
    <w:rsid w:val="00B97E89"/>
    <w:rsid w:val="00B97F40"/>
    <w:rsid w:val="00BA0661"/>
    <w:rsid w:val="00BA0999"/>
    <w:rsid w:val="00BA1D70"/>
    <w:rsid w:val="00BA2A5C"/>
    <w:rsid w:val="00BB0BDD"/>
    <w:rsid w:val="00BB0F2A"/>
    <w:rsid w:val="00BB12D4"/>
    <w:rsid w:val="00BB1F71"/>
    <w:rsid w:val="00BB3228"/>
    <w:rsid w:val="00BB3D56"/>
    <w:rsid w:val="00BB404F"/>
    <w:rsid w:val="00BB41BB"/>
    <w:rsid w:val="00BB4E79"/>
    <w:rsid w:val="00BB4EAA"/>
    <w:rsid w:val="00BB5A3F"/>
    <w:rsid w:val="00BB6282"/>
    <w:rsid w:val="00BB66AF"/>
    <w:rsid w:val="00BB6D9D"/>
    <w:rsid w:val="00BB6DD6"/>
    <w:rsid w:val="00BB75E8"/>
    <w:rsid w:val="00BB7687"/>
    <w:rsid w:val="00BC014D"/>
    <w:rsid w:val="00BC0A4E"/>
    <w:rsid w:val="00BC0C1D"/>
    <w:rsid w:val="00BC1376"/>
    <w:rsid w:val="00BC1B90"/>
    <w:rsid w:val="00BC244E"/>
    <w:rsid w:val="00BC29E6"/>
    <w:rsid w:val="00BC3A70"/>
    <w:rsid w:val="00BC3FD4"/>
    <w:rsid w:val="00BC652F"/>
    <w:rsid w:val="00BC707C"/>
    <w:rsid w:val="00BD0139"/>
    <w:rsid w:val="00BD0807"/>
    <w:rsid w:val="00BD0A15"/>
    <w:rsid w:val="00BD1CE9"/>
    <w:rsid w:val="00BD269E"/>
    <w:rsid w:val="00BD2C71"/>
    <w:rsid w:val="00BD2EB6"/>
    <w:rsid w:val="00BD4300"/>
    <w:rsid w:val="00BD50B3"/>
    <w:rsid w:val="00BE0271"/>
    <w:rsid w:val="00BE027A"/>
    <w:rsid w:val="00BE03C2"/>
    <w:rsid w:val="00BE0726"/>
    <w:rsid w:val="00BE1BE6"/>
    <w:rsid w:val="00BE3EE7"/>
    <w:rsid w:val="00BE4CF9"/>
    <w:rsid w:val="00BE5265"/>
    <w:rsid w:val="00BE5302"/>
    <w:rsid w:val="00BE5793"/>
    <w:rsid w:val="00BE7E19"/>
    <w:rsid w:val="00BF05F8"/>
    <w:rsid w:val="00BF0AF1"/>
    <w:rsid w:val="00BF272C"/>
    <w:rsid w:val="00BF34AE"/>
    <w:rsid w:val="00BF4C27"/>
    <w:rsid w:val="00BF748C"/>
    <w:rsid w:val="00BF75E5"/>
    <w:rsid w:val="00C00BDC"/>
    <w:rsid w:val="00C00C32"/>
    <w:rsid w:val="00C0112B"/>
    <w:rsid w:val="00C012AE"/>
    <w:rsid w:val="00C014A9"/>
    <w:rsid w:val="00C01AEB"/>
    <w:rsid w:val="00C023C0"/>
    <w:rsid w:val="00C02764"/>
    <w:rsid w:val="00C0404B"/>
    <w:rsid w:val="00C0406B"/>
    <w:rsid w:val="00C047A5"/>
    <w:rsid w:val="00C056DA"/>
    <w:rsid w:val="00C0684C"/>
    <w:rsid w:val="00C0727A"/>
    <w:rsid w:val="00C0745A"/>
    <w:rsid w:val="00C10651"/>
    <w:rsid w:val="00C108E0"/>
    <w:rsid w:val="00C10B0D"/>
    <w:rsid w:val="00C12FFC"/>
    <w:rsid w:val="00C13288"/>
    <w:rsid w:val="00C14E56"/>
    <w:rsid w:val="00C14ED9"/>
    <w:rsid w:val="00C15CAD"/>
    <w:rsid w:val="00C15FED"/>
    <w:rsid w:val="00C160A9"/>
    <w:rsid w:val="00C16C77"/>
    <w:rsid w:val="00C16E21"/>
    <w:rsid w:val="00C16F4A"/>
    <w:rsid w:val="00C17125"/>
    <w:rsid w:val="00C17853"/>
    <w:rsid w:val="00C21183"/>
    <w:rsid w:val="00C214F3"/>
    <w:rsid w:val="00C22739"/>
    <w:rsid w:val="00C2476A"/>
    <w:rsid w:val="00C25E5A"/>
    <w:rsid w:val="00C25FBB"/>
    <w:rsid w:val="00C26984"/>
    <w:rsid w:val="00C2698D"/>
    <w:rsid w:val="00C2745F"/>
    <w:rsid w:val="00C27D97"/>
    <w:rsid w:val="00C30262"/>
    <w:rsid w:val="00C30E30"/>
    <w:rsid w:val="00C311BA"/>
    <w:rsid w:val="00C31845"/>
    <w:rsid w:val="00C31A3E"/>
    <w:rsid w:val="00C31E61"/>
    <w:rsid w:val="00C31F45"/>
    <w:rsid w:val="00C329DC"/>
    <w:rsid w:val="00C32B4A"/>
    <w:rsid w:val="00C32C4B"/>
    <w:rsid w:val="00C32E3C"/>
    <w:rsid w:val="00C33059"/>
    <w:rsid w:val="00C33236"/>
    <w:rsid w:val="00C337DC"/>
    <w:rsid w:val="00C34724"/>
    <w:rsid w:val="00C34CEF"/>
    <w:rsid w:val="00C34D60"/>
    <w:rsid w:val="00C34F41"/>
    <w:rsid w:val="00C35040"/>
    <w:rsid w:val="00C35239"/>
    <w:rsid w:val="00C3538C"/>
    <w:rsid w:val="00C36EC9"/>
    <w:rsid w:val="00C37790"/>
    <w:rsid w:val="00C37D2D"/>
    <w:rsid w:val="00C37EAD"/>
    <w:rsid w:val="00C4112C"/>
    <w:rsid w:val="00C43D1F"/>
    <w:rsid w:val="00C44259"/>
    <w:rsid w:val="00C44B2D"/>
    <w:rsid w:val="00C4550A"/>
    <w:rsid w:val="00C460D4"/>
    <w:rsid w:val="00C46666"/>
    <w:rsid w:val="00C47331"/>
    <w:rsid w:val="00C4766F"/>
    <w:rsid w:val="00C5189D"/>
    <w:rsid w:val="00C51D3D"/>
    <w:rsid w:val="00C529BB"/>
    <w:rsid w:val="00C52E31"/>
    <w:rsid w:val="00C5323E"/>
    <w:rsid w:val="00C53AF0"/>
    <w:rsid w:val="00C53E11"/>
    <w:rsid w:val="00C5405C"/>
    <w:rsid w:val="00C5482F"/>
    <w:rsid w:val="00C5532B"/>
    <w:rsid w:val="00C5554C"/>
    <w:rsid w:val="00C559E5"/>
    <w:rsid w:val="00C56D60"/>
    <w:rsid w:val="00C56F74"/>
    <w:rsid w:val="00C570F1"/>
    <w:rsid w:val="00C574D7"/>
    <w:rsid w:val="00C6094D"/>
    <w:rsid w:val="00C60B9A"/>
    <w:rsid w:val="00C61462"/>
    <w:rsid w:val="00C61721"/>
    <w:rsid w:val="00C61A47"/>
    <w:rsid w:val="00C62296"/>
    <w:rsid w:val="00C622BD"/>
    <w:rsid w:val="00C624EE"/>
    <w:rsid w:val="00C62749"/>
    <w:rsid w:val="00C62AAF"/>
    <w:rsid w:val="00C639C0"/>
    <w:rsid w:val="00C64EF2"/>
    <w:rsid w:val="00C65E4F"/>
    <w:rsid w:val="00C665B0"/>
    <w:rsid w:val="00C66905"/>
    <w:rsid w:val="00C66BB9"/>
    <w:rsid w:val="00C670F8"/>
    <w:rsid w:val="00C67857"/>
    <w:rsid w:val="00C67FA8"/>
    <w:rsid w:val="00C7206F"/>
    <w:rsid w:val="00C72362"/>
    <w:rsid w:val="00C73B07"/>
    <w:rsid w:val="00C746EB"/>
    <w:rsid w:val="00C763A5"/>
    <w:rsid w:val="00C8042E"/>
    <w:rsid w:val="00C80FD0"/>
    <w:rsid w:val="00C8115C"/>
    <w:rsid w:val="00C81658"/>
    <w:rsid w:val="00C81EF1"/>
    <w:rsid w:val="00C81F9F"/>
    <w:rsid w:val="00C826ED"/>
    <w:rsid w:val="00C827F8"/>
    <w:rsid w:val="00C82E43"/>
    <w:rsid w:val="00C86108"/>
    <w:rsid w:val="00C8628B"/>
    <w:rsid w:val="00C877B9"/>
    <w:rsid w:val="00C8785D"/>
    <w:rsid w:val="00C878D3"/>
    <w:rsid w:val="00C935D1"/>
    <w:rsid w:val="00C9403B"/>
    <w:rsid w:val="00C95139"/>
    <w:rsid w:val="00C953AD"/>
    <w:rsid w:val="00C964B9"/>
    <w:rsid w:val="00C96510"/>
    <w:rsid w:val="00C96DC0"/>
    <w:rsid w:val="00C97123"/>
    <w:rsid w:val="00C97151"/>
    <w:rsid w:val="00C9721B"/>
    <w:rsid w:val="00C9721C"/>
    <w:rsid w:val="00C97641"/>
    <w:rsid w:val="00C97A36"/>
    <w:rsid w:val="00C97A37"/>
    <w:rsid w:val="00C97F62"/>
    <w:rsid w:val="00CA1855"/>
    <w:rsid w:val="00CA36A4"/>
    <w:rsid w:val="00CA4366"/>
    <w:rsid w:val="00CA4C79"/>
    <w:rsid w:val="00CA5058"/>
    <w:rsid w:val="00CA51D0"/>
    <w:rsid w:val="00CA5BC2"/>
    <w:rsid w:val="00CA5C5C"/>
    <w:rsid w:val="00CA5E73"/>
    <w:rsid w:val="00CA6E3A"/>
    <w:rsid w:val="00CA7959"/>
    <w:rsid w:val="00CA7A6A"/>
    <w:rsid w:val="00CB0DCA"/>
    <w:rsid w:val="00CB1E41"/>
    <w:rsid w:val="00CB2194"/>
    <w:rsid w:val="00CB2DFB"/>
    <w:rsid w:val="00CB36EE"/>
    <w:rsid w:val="00CB3AA2"/>
    <w:rsid w:val="00CB3B21"/>
    <w:rsid w:val="00CB44B1"/>
    <w:rsid w:val="00CB5630"/>
    <w:rsid w:val="00CB578C"/>
    <w:rsid w:val="00CB6758"/>
    <w:rsid w:val="00CB6E23"/>
    <w:rsid w:val="00CB724D"/>
    <w:rsid w:val="00CC15A7"/>
    <w:rsid w:val="00CC232C"/>
    <w:rsid w:val="00CC24AB"/>
    <w:rsid w:val="00CC2FBC"/>
    <w:rsid w:val="00CC309C"/>
    <w:rsid w:val="00CC326C"/>
    <w:rsid w:val="00CC3597"/>
    <w:rsid w:val="00CC35F4"/>
    <w:rsid w:val="00CC6235"/>
    <w:rsid w:val="00CC705A"/>
    <w:rsid w:val="00CC71C3"/>
    <w:rsid w:val="00CC766C"/>
    <w:rsid w:val="00CD01E8"/>
    <w:rsid w:val="00CD1668"/>
    <w:rsid w:val="00CD19D0"/>
    <w:rsid w:val="00CD22DC"/>
    <w:rsid w:val="00CD28C4"/>
    <w:rsid w:val="00CD2EB0"/>
    <w:rsid w:val="00CD478E"/>
    <w:rsid w:val="00CD51B3"/>
    <w:rsid w:val="00CD5995"/>
    <w:rsid w:val="00CD5FED"/>
    <w:rsid w:val="00CD6696"/>
    <w:rsid w:val="00CD7929"/>
    <w:rsid w:val="00CE01E3"/>
    <w:rsid w:val="00CE0ADE"/>
    <w:rsid w:val="00CE0F84"/>
    <w:rsid w:val="00CE15D7"/>
    <w:rsid w:val="00CE1A09"/>
    <w:rsid w:val="00CE21E9"/>
    <w:rsid w:val="00CE3161"/>
    <w:rsid w:val="00CE354D"/>
    <w:rsid w:val="00CE3992"/>
    <w:rsid w:val="00CE628D"/>
    <w:rsid w:val="00CE684D"/>
    <w:rsid w:val="00CE7A77"/>
    <w:rsid w:val="00CF034B"/>
    <w:rsid w:val="00CF0D88"/>
    <w:rsid w:val="00CF1087"/>
    <w:rsid w:val="00CF10C1"/>
    <w:rsid w:val="00CF142F"/>
    <w:rsid w:val="00CF1D3D"/>
    <w:rsid w:val="00CF2486"/>
    <w:rsid w:val="00CF2697"/>
    <w:rsid w:val="00CF292F"/>
    <w:rsid w:val="00CF29D1"/>
    <w:rsid w:val="00CF2CEF"/>
    <w:rsid w:val="00CF2FEC"/>
    <w:rsid w:val="00CF39FF"/>
    <w:rsid w:val="00CF3B72"/>
    <w:rsid w:val="00CF4107"/>
    <w:rsid w:val="00CF4851"/>
    <w:rsid w:val="00CF6FA6"/>
    <w:rsid w:val="00CF71B8"/>
    <w:rsid w:val="00CF729D"/>
    <w:rsid w:val="00CF7961"/>
    <w:rsid w:val="00D006B6"/>
    <w:rsid w:val="00D007CB"/>
    <w:rsid w:val="00D00DFF"/>
    <w:rsid w:val="00D012D6"/>
    <w:rsid w:val="00D02270"/>
    <w:rsid w:val="00D02B53"/>
    <w:rsid w:val="00D04188"/>
    <w:rsid w:val="00D053FF"/>
    <w:rsid w:val="00D10635"/>
    <w:rsid w:val="00D11384"/>
    <w:rsid w:val="00D12571"/>
    <w:rsid w:val="00D13615"/>
    <w:rsid w:val="00D1415C"/>
    <w:rsid w:val="00D15D6D"/>
    <w:rsid w:val="00D1600B"/>
    <w:rsid w:val="00D1637B"/>
    <w:rsid w:val="00D167F3"/>
    <w:rsid w:val="00D207D9"/>
    <w:rsid w:val="00D21F2B"/>
    <w:rsid w:val="00D221C9"/>
    <w:rsid w:val="00D226E8"/>
    <w:rsid w:val="00D22A2C"/>
    <w:rsid w:val="00D22AFE"/>
    <w:rsid w:val="00D22CE2"/>
    <w:rsid w:val="00D23C52"/>
    <w:rsid w:val="00D23FB8"/>
    <w:rsid w:val="00D245C4"/>
    <w:rsid w:val="00D246D3"/>
    <w:rsid w:val="00D25595"/>
    <w:rsid w:val="00D259C9"/>
    <w:rsid w:val="00D2607A"/>
    <w:rsid w:val="00D269FC"/>
    <w:rsid w:val="00D27066"/>
    <w:rsid w:val="00D273DA"/>
    <w:rsid w:val="00D27DDB"/>
    <w:rsid w:val="00D30535"/>
    <w:rsid w:val="00D310C9"/>
    <w:rsid w:val="00D318D9"/>
    <w:rsid w:val="00D31C3C"/>
    <w:rsid w:val="00D320C8"/>
    <w:rsid w:val="00D3247B"/>
    <w:rsid w:val="00D324AE"/>
    <w:rsid w:val="00D342FC"/>
    <w:rsid w:val="00D343A6"/>
    <w:rsid w:val="00D34E91"/>
    <w:rsid w:val="00D361C7"/>
    <w:rsid w:val="00D37898"/>
    <w:rsid w:val="00D4092D"/>
    <w:rsid w:val="00D40D12"/>
    <w:rsid w:val="00D42457"/>
    <w:rsid w:val="00D4269A"/>
    <w:rsid w:val="00D42BAA"/>
    <w:rsid w:val="00D42E60"/>
    <w:rsid w:val="00D437DB"/>
    <w:rsid w:val="00D4421E"/>
    <w:rsid w:val="00D4458A"/>
    <w:rsid w:val="00D451A7"/>
    <w:rsid w:val="00D45D6B"/>
    <w:rsid w:val="00D45F0B"/>
    <w:rsid w:val="00D463F9"/>
    <w:rsid w:val="00D465C8"/>
    <w:rsid w:val="00D47AC9"/>
    <w:rsid w:val="00D47CA8"/>
    <w:rsid w:val="00D5007A"/>
    <w:rsid w:val="00D50126"/>
    <w:rsid w:val="00D505A9"/>
    <w:rsid w:val="00D50A4B"/>
    <w:rsid w:val="00D51E81"/>
    <w:rsid w:val="00D5225C"/>
    <w:rsid w:val="00D53BC3"/>
    <w:rsid w:val="00D54B4C"/>
    <w:rsid w:val="00D54D0F"/>
    <w:rsid w:val="00D54E66"/>
    <w:rsid w:val="00D567D8"/>
    <w:rsid w:val="00D56B01"/>
    <w:rsid w:val="00D57326"/>
    <w:rsid w:val="00D57A76"/>
    <w:rsid w:val="00D57CF5"/>
    <w:rsid w:val="00D609A5"/>
    <w:rsid w:val="00D6112D"/>
    <w:rsid w:val="00D61551"/>
    <w:rsid w:val="00D6288C"/>
    <w:rsid w:val="00D62E98"/>
    <w:rsid w:val="00D65552"/>
    <w:rsid w:val="00D6561F"/>
    <w:rsid w:val="00D65627"/>
    <w:rsid w:val="00D65D95"/>
    <w:rsid w:val="00D6639C"/>
    <w:rsid w:val="00D66D1D"/>
    <w:rsid w:val="00D67D4C"/>
    <w:rsid w:val="00D70026"/>
    <w:rsid w:val="00D700CB"/>
    <w:rsid w:val="00D7104B"/>
    <w:rsid w:val="00D7163E"/>
    <w:rsid w:val="00D71FAC"/>
    <w:rsid w:val="00D7215B"/>
    <w:rsid w:val="00D73FC9"/>
    <w:rsid w:val="00D7509C"/>
    <w:rsid w:val="00D75831"/>
    <w:rsid w:val="00D761FB"/>
    <w:rsid w:val="00D770F6"/>
    <w:rsid w:val="00D8019C"/>
    <w:rsid w:val="00D811C1"/>
    <w:rsid w:val="00D8142F"/>
    <w:rsid w:val="00D816D7"/>
    <w:rsid w:val="00D82339"/>
    <w:rsid w:val="00D825FC"/>
    <w:rsid w:val="00D82E73"/>
    <w:rsid w:val="00D830BC"/>
    <w:rsid w:val="00D855D1"/>
    <w:rsid w:val="00D860C0"/>
    <w:rsid w:val="00D86ABC"/>
    <w:rsid w:val="00D86EA5"/>
    <w:rsid w:val="00D86FF4"/>
    <w:rsid w:val="00D874BD"/>
    <w:rsid w:val="00D87709"/>
    <w:rsid w:val="00D87C5C"/>
    <w:rsid w:val="00D909D7"/>
    <w:rsid w:val="00D90D7D"/>
    <w:rsid w:val="00D91056"/>
    <w:rsid w:val="00D91B2E"/>
    <w:rsid w:val="00D91C7E"/>
    <w:rsid w:val="00D91ECE"/>
    <w:rsid w:val="00D92112"/>
    <w:rsid w:val="00D936ED"/>
    <w:rsid w:val="00D939B3"/>
    <w:rsid w:val="00D93C0C"/>
    <w:rsid w:val="00D95A85"/>
    <w:rsid w:val="00D96332"/>
    <w:rsid w:val="00D9708B"/>
    <w:rsid w:val="00DA014E"/>
    <w:rsid w:val="00DA0C21"/>
    <w:rsid w:val="00DA1139"/>
    <w:rsid w:val="00DA2F9F"/>
    <w:rsid w:val="00DA32FC"/>
    <w:rsid w:val="00DA3D36"/>
    <w:rsid w:val="00DA4132"/>
    <w:rsid w:val="00DA4C71"/>
    <w:rsid w:val="00DA51DC"/>
    <w:rsid w:val="00DA60A0"/>
    <w:rsid w:val="00DA65D3"/>
    <w:rsid w:val="00DA67E5"/>
    <w:rsid w:val="00DA7214"/>
    <w:rsid w:val="00DB04BE"/>
    <w:rsid w:val="00DB0733"/>
    <w:rsid w:val="00DB0DA9"/>
    <w:rsid w:val="00DB0F6F"/>
    <w:rsid w:val="00DB1986"/>
    <w:rsid w:val="00DB1F18"/>
    <w:rsid w:val="00DB2356"/>
    <w:rsid w:val="00DB276F"/>
    <w:rsid w:val="00DB3A2F"/>
    <w:rsid w:val="00DB4587"/>
    <w:rsid w:val="00DB4851"/>
    <w:rsid w:val="00DB4FEB"/>
    <w:rsid w:val="00DB531E"/>
    <w:rsid w:val="00DB64E7"/>
    <w:rsid w:val="00DB6544"/>
    <w:rsid w:val="00DB6754"/>
    <w:rsid w:val="00DB7D84"/>
    <w:rsid w:val="00DC08CE"/>
    <w:rsid w:val="00DC127A"/>
    <w:rsid w:val="00DC20FD"/>
    <w:rsid w:val="00DC2191"/>
    <w:rsid w:val="00DC3B12"/>
    <w:rsid w:val="00DC3B79"/>
    <w:rsid w:val="00DC52AE"/>
    <w:rsid w:val="00DC5B81"/>
    <w:rsid w:val="00DC5EC4"/>
    <w:rsid w:val="00DC5F96"/>
    <w:rsid w:val="00DC64B4"/>
    <w:rsid w:val="00DC66D6"/>
    <w:rsid w:val="00DC6DD4"/>
    <w:rsid w:val="00DC7525"/>
    <w:rsid w:val="00DD150E"/>
    <w:rsid w:val="00DD1FDF"/>
    <w:rsid w:val="00DD205C"/>
    <w:rsid w:val="00DD2BD7"/>
    <w:rsid w:val="00DD301A"/>
    <w:rsid w:val="00DD3CAB"/>
    <w:rsid w:val="00DD3DB4"/>
    <w:rsid w:val="00DD3F8D"/>
    <w:rsid w:val="00DD3FAF"/>
    <w:rsid w:val="00DD544E"/>
    <w:rsid w:val="00DD7DBF"/>
    <w:rsid w:val="00DE121F"/>
    <w:rsid w:val="00DE12CC"/>
    <w:rsid w:val="00DE1A41"/>
    <w:rsid w:val="00DE1D4A"/>
    <w:rsid w:val="00DE1DE6"/>
    <w:rsid w:val="00DE2F09"/>
    <w:rsid w:val="00DE30DB"/>
    <w:rsid w:val="00DE41A3"/>
    <w:rsid w:val="00DE449B"/>
    <w:rsid w:val="00DE45AC"/>
    <w:rsid w:val="00DE483A"/>
    <w:rsid w:val="00DE5984"/>
    <w:rsid w:val="00DE67FB"/>
    <w:rsid w:val="00DE70EC"/>
    <w:rsid w:val="00DE7402"/>
    <w:rsid w:val="00DE7692"/>
    <w:rsid w:val="00DE78D5"/>
    <w:rsid w:val="00DE7A31"/>
    <w:rsid w:val="00DF0697"/>
    <w:rsid w:val="00DF1865"/>
    <w:rsid w:val="00DF30B2"/>
    <w:rsid w:val="00DF448C"/>
    <w:rsid w:val="00DF4C40"/>
    <w:rsid w:val="00DF673D"/>
    <w:rsid w:val="00DF6C99"/>
    <w:rsid w:val="00E02B89"/>
    <w:rsid w:val="00E02D20"/>
    <w:rsid w:val="00E02DC2"/>
    <w:rsid w:val="00E036D4"/>
    <w:rsid w:val="00E037A0"/>
    <w:rsid w:val="00E03C94"/>
    <w:rsid w:val="00E03D5A"/>
    <w:rsid w:val="00E040BE"/>
    <w:rsid w:val="00E04830"/>
    <w:rsid w:val="00E051CE"/>
    <w:rsid w:val="00E0558C"/>
    <w:rsid w:val="00E0574F"/>
    <w:rsid w:val="00E058FC"/>
    <w:rsid w:val="00E05CFD"/>
    <w:rsid w:val="00E06390"/>
    <w:rsid w:val="00E06AB3"/>
    <w:rsid w:val="00E07404"/>
    <w:rsid w:val="00E0764D"/>
    <w:rsid w:val="00E0765B"/>
    <w:rsid w:val="00E10120"/>
    <w:rsid w:val="00E10345"/>
    <w:rsid w:val="00E108C7"/>
    <w:rsid w:val="00E11021"/>
    <w:rsid w:val="00E1202F"/>
    <w:rsid w:val="00E1280F"/>
    <w:rsid w:val="00E1293B"/>
    <w:rsid w:val="00E13611"/>
    <w:rsid w:val="00E13AFD"/>
    <w:rsid w:val="00E1408F"/>
    <w:rsid w:val="00E14238"/>
    <w:rsid w:val="00E14740"/>
    <w:rsid w:val="00E14788"/>
    <w:rsid w:val="00E150A4"/>
    <w:rsid w:val="00E156D4"/>
    <w:rsid w:val="00E16C05"/>
    <w:rsid w:val="00E16C99"/>
    <w:rsid w:val="00E17293"/>
    <w:rsid w:val="00E174AB"/>
    <w:rsid w:val="00E2018C"/>
    <w:rsid w:val="00E202B5"/>
    <w:rsid w:val="00E217E3"/>
    <w:rsid w:val="00E21C75"/>
    <w:rsid w:val="00E22C6B"/>
    <w:rsid w:val="00E235A2"/>
    <w:rsid w:val="00E2453D"/>
    <w:rsid w:val="00E24B88"/>
    <w:rsid w:val="00E25957"/>
    <w:rsid w:val="00E2694A"/>
    <w:rsid w:val="00E270EE"/>
    <w:rsid w:val="00E27187"/>
    <w:rsid w:val="00E27263"/>
    <w:rsid w:val="00E3159A"/>
    <w:rsid w:val="00E320D8"/>
    <w:rsid w:val="00E334D1"/>
    <w:rsid w:val="00E3391F"/>
    <w:rsid w:val="00E34502"/>
    <w:rsid w:val="00E3461B"/>
    <w:rsid w:val="00E35974"/>
    <w:rsid w:val="00E35CEF"/>
    <w:rsid w:val="00E36B46"/>
    <w:rsid w:val="00E36E2A"/>
    <w:rsid w:val="00E40040"/>
    <w:rsid w:val="00E40198"/>
    <w:rsid w:val="00E4060F"/>
    <w:rsid w:val="00E41665"/>
    <w:rsid w:val="00E42EB4"/>
    <w:rsid w:val="00E43263"/>
    <w:rsid w:val="00E440AD"/>
    <w:rsid w:val="00E446FD"/>
    <w:rsid w:val="00E44A8D"/>
    <w:rsid w:val="00E44B43"/>
    <w:rsid w:val="00E45196"/>
    <w:rsid w:val="00E452B7"/>
    <w:rsid w:val="00E4700C"/>
    <w:rsid w:val="00E473D1"/>
    <w:rsid w:val="00E47C72"/>
    <w:rsid w:val="00E51FF7"/>
    <w:rsid w:val="00E522B5"/>
    <w:rsid w:val="00E5246D"/>
    <w:rsid w:val="00E52833"/>
    <w:rsid w:val="00E52AD4"/>
    <w:rsid w:val="00E533C9"/>
    <w:rsid w:val="00E545A9"/>
    <w:rsid w:val="00E5494D"/>
    <w:rsid w:val="00E55574"/>
    <w:rsid w:val="00E557AD"/>
    <w:rsid w:val="00E55A58"/>
    <w:rsid w:val="00E55E76"/>
    <w:rsid w:val="00E56C59"/>
    <w:rsid w:val="00E570CF"/>
    <w:rsid w:val="00E57186"/>
    <w:rsid w:val="00E57DD8"/>
    <w:rsid w:val="00E57E5E"/>
    <w:rsid w:val="00E60D93"/>
    <w:rsid w:val="00E61588"/>
    <w:rsid w:val="00E616D3"/>
    <w:rsid w:val="00E6191B"/>
    <w:rsid w:val="00E61A94"/>
    <w:rsid w:val="00E61B8E"/>
    <w:rsid w:val="00E629CB"/>
    <w:rsid w:val="00E63CAC"/>
    <w:rsid w:val="00E63D8A"/>
    <w:rsid w:val="00E64F59"/>
    <w:rsid w:val="00E6674B"/>
    <w:rsid w:val="00E66A0B"/>
    <w:rsid w:val="00E70B0B"/>
    <w:rsid w:val="00E7105C"/>
    <w:rsid w:val="00E72C92"/>
    <w:rsid w:val="00E7409A"/>
    <w:rsid w:val="00E75291"/>
    <w:rsid w:val="00E756EE"/>
    <w:rsid w:val="00E75F06"/>
    <w:rsid w:val="00E76028"/>
    <w:rsid w:val="00E76108"/>
    <w:rsid w:val="00E767B0"/>
    <w:rsid w:val="00E7740C"/>
    <w:rsid w:val="00E77862"/>
    <w:rsid w:val="00E77BFD"/>
    <w:rsid w:val="00E8040E"/>
    <w:rsid w:val="00E80429"/>
    <w:rsid w:val="00E80474"/>
    <w:rsid w:val="00E80517"/>
    <w:rsid w:val="00E80538"/>
    <w:rsid w:val="00E807A8"/>
    <w:rsid w:val="00E811BF"/>
    <w:rsid w:val="00E81C41"/>
    <w:rsid w:val="00E82654"/>
    <w:rsid w:val="00E83C22"/>
    <w:rsid w:val="00E83F57"/>
    <w:rsid w:val="00E84685"/>
    <w:rsid w:val="00E85587"/>
    <w:rsid w:val="00E85B06"/>
    <w:rsid w:val="00E85DBE"/>
    <w:rsid w:val="00E879E4"/>
    <w:rsid w:val="00E90AE2"/>
    <w:rsid w:val="00E9105D"/>
    <w:rsid w:val="00E910E9"/>
    <w:rsid w:val="00E91A3F"/>
    <w:rsid w:val="00E924D9"/>
    <w:rsid w:val="00E92D97"/>
    <w:rsid w:val="00E93D31"/>
    <w:rsid w:val="00E93EB4"/>
    <w:rsid w:val="00E94E45"/>
    <w:rsid w:val="00E95310"/>
    <w:rsid w:val="00E95EA1"/>
    <w:rsid w:val="00E960E1"/>
    <w:rsid w:val="00E96658"/>
    <w:rsid w:val="00E96826"/>
    <w:rsid w:val="00E9698D"/>
    <w:rsid w:val="00E96AD1"/>
    <w:rsid w:val="00EA06B4"/>
    <w:rsid w:val="00EA0A42"/>
    <w:rsid w:val="00EA1236"/>
    <w:rsid w:val="00EA1601"/>
    <w:rsid w:val="00EA1642"/>
    <w:rsid w:val="00EA31CE"/>
    <w:rsid w:val="00EA33AF"/>
    <w:rsid w:val="00EA3596"/>
    <w:rsid w:val="00EA38F1"/>
    <w:rsid w:val="00EA4F35"/>
    <w:rsid w:val="00EA507A"/>
    <w:rsid w:val="00EA51F2"/>
    <w:rsid w:val="00EA5ADB"/>
    <w:rsid w:val="00EA6070"/>
    <w:rsid w:val="00EA666A"/>
    <w:rsid w:val="00EB1C52"/>
    <w:rsid w:val="00EB2F52"/>
    <w:rsid w:val="00EB382C"/>
    <w:rsid w:val="00EB3923"/>
    <w:rsid w:val="00EB4887"/>
    <w:rsid w:val="00EB4DC2"/>
    <w:rsid w:val="00EB4E73"/>
    <w:rsid w:val="00EB5C9B"/>
    <w:rsid w:val="00EB5E38"/>
    <w:rsid w:val="00EB6AE2"/>
    <w:rsid w:val="00EB7A9B"/>
    <w:rsid w:val="00EC02F5"/>
    <w:rsid w:val="00EC14F6"/>
    <w:rsid w:val="00EC174F"/>
    <w:rsid w:val="00EC21E9"/>
    <w:rsid w:val="00EC30C9"/>
    <w:rsid w:val="00EC41FF"/>
    <w:rsid w:val="00EC4550"/>
    <w:rsid w:val="00EC63EA"/>
    <w:rsid w:val="00EC789F"/>
    <w:rsid w:val="00ED0F45"/>
    <w:rsid w:val="00ED101C"/>
    <w:rsid w:val="00ED16F1"/>
    <w:rsid w:val="00ED1ECC"/>
    <w:rsid w:val="00ED360D"/>
    <w:rsid w:val="00ED363E"/>
    <w:rsid w:val="00ED45C4"/>
    <w:rsid w:val="00ED4758"/>
    <w:rsid w:val="00ED5AB8"/>
    <w:rsid w:val="00ED5C06"/>
    <w:rsid w:val="00ED5F1F"/>
    <w:rsid w:val="00ED76A5"/>
    <w:rsid w:val="00ED76BB"/>
    <w:rsid w:val="00ED7B4B"/>
    <w:rsid w:val="00EE05D7"/>
    <w:rsid w:val="00EE086D"/>
    <w:rsid w:val="00EE092B"/>
    <w:rsid w:val="00EE11D1"/>
    <w:rsid w:val="00EE14F1"/>
    <w:rsid w:val="00EE1936"/>
    <w:rsid w:val="00EE4133"/>
    <w:rsid w:val="00EE48AD"/>
    <w:rsid w:val="00EE4C70"/>
    <w:rsid w:val="00EE5DBB"/>
    <w:rsid w:val="00EE62B8"/>
    <w:rsid w:val="00EE661A"/>
    <w:rsid w:val="00EE6AE5"/>
    <w:rsid w:val="00EE763C"/>
    <w:rsid w:val="00EE7CD1"/>
    <w:rsid w:val="00EF04AD"/>
    <w:rsid w:val="00EF176D"/>
    <w:rsid w:val="00EF1AA5"/>
    <w:rsid w:val="00EF1BA5"/>
    <w:rsid w:val="00EF1F13"/>
    <w:rsid w:val="00EF2C71"/>
    <w:rsid w:val="00EF32C6"/>
    <w:rsid w:val="00EF3467"/>
    <w:rsid w:val="00EF4274"/>
    <w:rsid w:val="00EF63DE"/>
    <w:rsid w:val="00EF6B63"/>
    <w:rsid w:val="00EF7096"/>
    <w:rsid w:val="00EF7651"/>
    <w:rsid w:val="00EF7A3B"/>
    <w:rsid w:val="00EF7C91"/>
    <w:rsid w:val="00EF7DE3"/>
    <w:rsid w:val="00F006BA"/>
    <w:rsid w:val="00F009A3"/>
    <w:rsid w:val="00F00E2B"/>
    <w:rsid w:val="00F014BC"/>
    <w:rsid w:val="00F027A2"/>
    <w:rsid w:val="00F032B0"/>
    <w:rsid w:val="00F038FE"/>
    <w:rsid w:val="00F05D89"/>
    <w:rsid w:val="00F06656"/>
    <w:rsid w:val="00F079E8"/>
    <w:rsid w:val="00F07AD0"/>
    <w:rsid w:val="00F11442"/>
    <w:rsid w:val="00F11D21"/>
    <w:rsid w:val="00F1271B"/>
    <w:rsid w:val="00F13EF2"/>
    <w:rsid w:val="00F144E7"/>
    <w:rsid w:val="00F15D70"/>
    <w:rsid w:val="00F161CF"/>
    <w:rsid w:val="00F16B10"/>
    <w:rsid w:val="00F1729A"/>
    <w:rsid w:val="00F17882"/>
    <w:rsid w:val="00F200F4"/>
    <w:rsid w:val="00F20149"/>
    <w:rsid w:val="00F20C11"/>
    <w:rsid w:val="00F211E1"/>
    <w:rsid w:val="00F2171F"/>
    <w:rsid w:val="00F21B98"/>
    <w:rsid w:val="00F220D3"/>
    <w:rsid w:val="00F2221E"/>
    <w:rsid w:val="00F22B89"/>
    <w:rsid w:val="00F23540"/>
    <w:rsid w:val="00F237EC"/>
    <w:rsid w:val="00F237FF"/>
    <w:rsid w:val="00F23B49"/>
    <w:rsid w:val="00F245B2"/>
    <w:rsid w:val="00F25027"/>
    <w:rsid w:val="00F2623F"/>
    <w:rsid w:val="00F268A9"/>
    <w:rsid w:val="00F30153"/>
    <w:rsid w:val="00F30801"/>
    <w:rsid w:val="00F30936"/>
    <w:rsid w:val="00F3187B"/>
    <w:rsid w:val="00F32A58"/>
    <w:rsid w:val="00F33557"/>
    <w:rsid w:val="00F3386E"/>
    <w:rsid w:val="00F34421"/>
    <w:rsid w:val="00F34664"/>
    <w:rsid w:val="00F35121"/>
    <w:rsid w:val="00F355CA"/>
    <w:rsid w:val="00F358CD"/>
    <w:rsid w:val="00F3591D"/>
    <w:rsid w:val="00F35A65"/>
    <w:rsid w:val="00F37D63"/>
    <w:rsid w:val="00F37ED9"/>
    <w:rsid w:val="00F41633"/>
    <w:rsid w:val="00F4351E"/>
    <w:rsid w:val="00F44418"/>
    <w:rsid w:val="00F44575"/>
    <w:rsid w:val="00F44A9E"/>
    <w:rsid w:val="00F450F3"/>
    <w:rsid w:val="00F454A2"/>
    <w:rsid w:val="00F45BE3"/>
    <w:rsid w:val="00F45E12"/>
    <w:rsid w:val="00F462A7"/>
    <w:rsid w:val="00F46801"/>
    <w:rsid w:val="00F51D42"/>
    <w:rsid w:val="00F51EF4"/>
    <w:rsid w:val="00F52458"/>
    <w:rsid w:val="00F52D1E"/>
    <w:rsid w:val="00F5350B"/>
    <w:rsid w:val="00F53AE9"/>
    <w:rsid w:val="00F53C29"/>
    <w:rsid w:val="00F54212"/>
    <w:rsid w:val="00F558A6"/>
    <w:rsid w:val="00F55E10"/>
    <w:rsid w:val="00F564BF"/>
    <w:rsid w:val="00F574F1"/>
    <w:rsid w:val="00F57875"/>
    <w:rsid w:val="00F57EC3"/>
    <w:rsid w:val="00F602D0"/>
    <w:rsid w:val="00F60683"/>
    <w:rsid w:val="00F62067"/>
    <w:rsid w:val="00F6258F"/>
    <w:rsid w:val="00F62BCF"/>
    <w:rsid w:val="00F63374"/>
    <w:rsid w:val="00F63471"/>
    <w:rsid w:val="00F63F65"/>
    <w:rsid w:val="00F6644A"/>
    <w:rsid w:val="00F66487"/>
    <w:rsid w:val="00F67B2A"/>
    <w:rsid w:val="00F67FE6"/>
    <w:rsid w:val="00F7022D"/>
    <w:rsid w:val="00F7065F"/>
    <w:rsid w:val="00F716AF"/>
    <w:rsid w:val="00F72BDC"/>
    <w:rsid w:val="00F732EE"/>
    <w:rsid w:val="00F73902"/>
    <w:rsid w:val="00F73E62"/>
    <w:rsid w:val="00F73F8A"/>
    <w:rsid w:val="00F75533"/>
    <w:rsid w:val="00F772E1"/>
    <w:rsid w:val="00F77A07"/>
    <w:rsid w:val="00F77F58"/>
    <w:rsid w:val="00F80B9B"/>
    <w:rsid w:val="00F811F4"/>
    <w:rsid w:val="00F81235"/>
    <w:rsid w:val="00F82296"/>
    <w:rsid w:val="00F824A9"/>
    <w:rsid w:val="00F82B0B"/>
    <w:rsid w:val="00F83E2D"/>
    <w:rsid w:val="00F8418B"/>
    <w:rsid w:val="00F84E40"/>
    <w:rsid w:val="00F85521"/>
    <w:rsid w:val="00F85E0D"/>
    <w:rsid w:val="00F85FC2"/>
    <w:rsid w:val="00F86973"/>
    <w:rsid w:val="00F90790"/>
    <w:rsid w:val="00F908C6"/>
    <w:rsid w:val="00F92FF4"/>
    <w:rsid w:val="00F933A9"/>
    <w:rsid w:val="00F93618"/>
    <w:rsid w:val="00F936B8"/>
    <w:rsid w:val="00F93C6E"/>
    <w:rsid w:val="00F94E1A"/>
    <w:rsid w:val="00F97018"/>
    <w:rsid w:val="00F97C81"/>
    <w:rsid w:val="00F97DEB"/>
    <w:rsid w:val="00FA0DAF"/>
    <w:rsid w:val="00FA1760"/>
    <w:rsid w:val="00FA1F2A"/>
    <w:rsid w:val="00FA2336"/>
    <w:rsid w:val="00FA2626"/>
    <w:rsid w:val="00FA2B80"/>
    <w:rsid w:val="00FA3146"/>
    <w:rsid w:val="00FA3939"/>
    <w:rsid w:val="00FA41A4"/>
    <w:rsid w:val="00FA41B8"/>
    <w:rsid w:val="00FA4577"/>
    <w:rsid w:val="00FA4ABD"/>
    <w:rsid w:val="00FA5662"/>
    <w:rsid w:val="00FA5A28"/>
    <w:rsid w:val="00FA6F72"/>
    <w:rsid w:val="00FA70EB"/>
    <w:rsid w:val="00FA745A"/>
    <w:rsid w:val="00FA78EB"/>
    <w:rsid w:val="00FA7DE2"/>
    <w:rsid w:val="00FB0768"/>
    <w:rsid w:val="00FB0A6C"/>
    <w:rsid w:val="00FB0F91"/>
    <w:rsid w:val="00FB1FCC"/>
    <w:rsid w:val="00FB2C5B"/>
    <w:rsid w:val="00FB3417"/>
    <w:rsid w:val="00FB34EF"/>
    <w:rsid w:val="00FB361A"/>
    <w:rsid w:val="00FB43B6"/>
    <w:rsid w:val="00FB45F9"/>
    <w:rsid w:val="00FB4906"/>
    <w:rsid w:val="00FB4949"/>
    <w:rsid w:val="00FB4B0E"/>
    <w:rsid w:val="00FB4C47"/>
    <w:rsid w:val="00FB4CEC"/>
    <w:rsid w:val="00FB4D6C"/>
    <w:rsid w:val="00FB55CC"/>
    <w:rsid w:val="00FB56E4"/>
    <w:rsid w:val="00FB58E9"/>
    <w:rsid w:val="00FB5916"/>
    <w:rsid w:val="00FB5D58"/>
    <w:rsid w:val="00FB6A23"/>
    <w:rsid w:val="00FB7215"/>
    <w:rsid w:val="00FB76FC"/>
    <w:rsid w:val="00FC0731"/>
    <w:rsid w:val="00FC29BC"/>
    <w:rsid w:val="00FC3E1C"/>
    <w:rsid w:val="00FC407D"/>
    <w:rsid w:val="00FC47A0"/>
    <w:rsid w:val="00FC4ADA"/>
    <w:rsid w:val="00FC6415"/>
    <w:rsid w:val="00FC6985"/>
    <w:rsid w:val="00FC7458"/>
    <w:rsid w:val="00FC74D6"/>
    <w:rsid w:val="00FC796F"/>
    <w:rsid w:val="00FC7A16"/>
    <w:rsid w:val="00FD0E17"/>
    <w:rsid w:val="00FD414C"/>
    <w:rsid w:val="00FD5560"/>
    <w:rsid w:val="00FD67A3"/>
    <w:rsid w:val="00FD742E"/>
    <w:rsid w:val="00FD76BF"/>
    <w:rsid w:val="00FE039F"/>
    <w:rsid w:val="00FE0B8E"/>
    <w:rsid w:val="00FE2470"/>
    <w:rsid w:val="00FE2553"/>
    <w:rsid w:val="00FE2891"/>
    <w:rsid w:val="00FE3128"/>
    <w:rsid w:val="00FE4294"/>
    <w:rsid w:val="00FE42C6"/>
    <w:rsid w:val="00FE4FCC"/>
    <w:rsid w:val="00FE540B"/>
    <w:rsid w:val="00FE6052"/>
    <w:rsid w:val="00FE689D"/>
    <w:rsid w:val="00FE6982"/>
    <w:rsid w:val="00FE7166"/>
    <w:rsid w:val="00FE7B5F"/>
    <w:rsid w:val="00FF1224"/>
    <w:rsid w:val="00FF174E"/>
    <w:rsid w:val="00FF1AAE"/>
    <w:rsid w:val="00FF226B"/>
    <w:rsid w:val="00FF3766"/>
    <w:rsid w:val="00FF3EAA"/>
    <w:rsid w:val="00FF4029"/>
    <w:rsid w:val="00FF45E7"/>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normal"/>
    <w:basedOn w:val="a2"/>
    <w:next w:val="a2"/>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2-المبحث"/>
    <w:basedOn w:val="a2"/>
    <w:next w:val="a2"/>
    <w:link w:val="2Char"/>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2"/>
    <w:next w:val="a2"/>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شعر Char,1-المباحث Char,normal Char"/>
    <w:link w:val="10"/>
    <w:rsid w:val="002647C9"/>
    <w:rPr>
      <w:rFonts w:ascii="Times" w:eastAsia="Times New Roman" w:hAnsi="Times" w:cs="AL-Mateen"/>
      <w:b/>
      <w:sz w:val="32"/>
      <w:szCs w:val="48"/>
    </w:rPr>
  </w:style>
  <w:style w:type="character" w:customStyle="1" w:styleId="2Char">
    <w:name w:val="عنوان 2 Char"/>
    <w:aliases w:val="2-المبحث Char"/>
    <w:link w:val="20"/>
    <w:rsid w:val="002647C9"/>
    <w:rPr>
      <w:rFonts w:ascii="Times" w:eastAsia="Times New Roman" w:hAnsi="Times" w:cs="AL-Mateen"/>
      <w:color w:val="000000"/>
      <w:sz w:val="28"/>
      <w:szCs w:val="32"/>
    </w:rPr>
  </w:style>
  <w:style w:type="character" w:customStyle="1" w:styleId="3Char">
    <w:name w:val="عنوان 3 Char"/>
    <w:aliases w:val="3-البحث Char"/>
    <w:link w:val="31"/>
    <w:uiPriority w:val="9"/>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spacing w:line="240" w:lineRule="auto"/>
    </w:pPr>
  </w:style>
  <w:style w:type="character" w:customStyle="1" w:styleId="Char">
    <w:name w:val="رأس الصفحة Char"/>
    <w:link w:val="a7"/>
    <w:rsid w:val="00E63D8A"/>
    <w:rPr>
      <w:rFonts w:ascii="Times" w:hAnsi="Times" w:cs="Mosawi"/>
      <w:sz w:val="28"/>
      <w:szCs w:val="30"/>
    </w:rPr>
  </w:style>
  <w:style w:type="paragraph" w:styleId="a8">
    <w:name w:val="footer"/>
    <w:basedOn w:val="a2"/>
    <w:link w:val="Char0"/>
    <w:unhideWhenUsed/>
    <w:rsid w:val="00E63D8A"/>
    <w:pPr>
      <w:tabs>
        <w:tab w:val="center" w:pos="4680"/>
        <w:tab w:val="right" w:pos="9360"/>
      </w:tabs>
      <w:spacing w:line="240" w:lineRule="auto"/>
    </w:pPr>
  </w:style>
  <w:style w:type="character" w:customStyle="1" w:styleId="Char0">
    <w:name w:val="تذييل الصفحة Char"/>
    <w:link w:val="a8"/>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Char"/>
    <w:basedOn w:val="a2"/>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pPr>
      <w:spacing w:line="240" w:lineRule="auto"/>
    </w:pPr>
    <w:rPr>
      <w:sz w:val="20"/>
      <w:szCs w:val="20"/>
    </w:rPr>
  </w:style>
  <w:style w:type="character" w:customStyle="1" w:styleId="Char2">
    <w:name w:val="نص تعليق ختامي Char"/>
    <w:link w:val="aa"/>
    <w:rsid w:val="0016440C"/>
    <w:rPr>
      <w:rFonts w:ascii="Times" w:hAnsi="Times" w:cs="Mosawi"/>
      <w:sz w:val="20"/>
      <w:szCs w:val="20"/>
    </w:rPr>
  </w:style>
  <w:style w:type="character" w:styleId="ab">
    <w:name w:val="footnote reference"/>
    <w:aliases w:val="حاشية سفلية,Footnote Reference"/>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uiPriority w:val="99"/>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sz w:val="21"/>
      <w:szCs w:val="21"/>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uiPriority w:val="11"/>
    <w:rsid w:val="00801478"/>
    <w:rPr>
      <w:rFonts w:ascii="Times New Roman" w:eastAsia="Times New Roman" w:hAnsi="Times New Roman" w:cs="Traditional Arabic"/>
      <w:sz w:val="44"/>
      <w:szCs w:val="44"/>
      <w:lang w:eastAsia="ar-SA"/>
    </w:rPr>
  </w:style>
  <w:style w:type="paragraph" w:styleId="af7">
    <w:name w:val="Balloon Text"/>
    <w:basedOn w:val="a2"/>
    <w:link w:val="Char8"/>
    <w:semiHidden/>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uiPriority w:val="9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uiPriority w:val="99"/>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A84D88"/>
    <w:pPr>
      <w:widowControl/>
      <w:tabs>
        <w:tab w:val="right" w:leader="dot" w:pos="7021"/>
      </w:tabs>
      <w:spacing w:before="70" w:after="80" w:line="144" w:lineRule="auto"/>
    </w:pPr>
    <w:rPr>
      <w:rFonts w:ascii="Times New Roman" w:hAnsi="Times New Roman"/>
      <w:noProof/>
      <w:sz w:val="24"/>
      <w:szCs w:val="28"/>
      <w:lang w:eastAsia="ar-SA" w:bidi="ar-LB"/>
    </w:rPr>
  </w:style>
  <w:style w:type="paragraph" w:styleId="13">
    <w:name w:val="toc 1"/>
    <w:basedOn w:val="a2"/>
    <w:next w:val="a2"/>
    <w:autoRedefine/>
    <w:uiPriority w:val="39"/>
    <w:qFormat/>
    <w:rsid w:val="00111008"/>
    <w:pPr>
      <w:widowControl/>
      <w:tabs>
        <w:tab w:val="right" w:leader="dot" w:pos="7020"/>
      </w:tabs>
      <w:spacing w:before="140" w:line="240" w:lineRule="auto"/>
      <w:ind w:left="272" w:hanging="272"/>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uiPriority w:val="9"/>
    <w:qFormat/>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Char Char Char Char1"/>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uiPriority w:val="99"/>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uiPriority w:val="99"/>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link w:val="textChar"/>
    <w:qFormat/>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character" w:customStyle="1" w:styleId="textChar">
    <w:name w:val="text Char"/>
    <w:link w:val="text"/>
    <w:rsid w:val="008C542A"/>
    <w:rPr>
      <w:rFonts w:ascii="Times New Roman" w:hAnsi="Times New Roman" w:cs="Traditional Arabic"/>
      <w:b/>
      <w:bCs/>
      <w:sz w:val="27"/>
      <w:szCs w:val="27"/>
    </w:rPr>
  </w:style>
  <w:style w:type="paragraph" w:customStyle="1" w:styleId="1f9">
    <w:name w:val="بلا تباعد1"/>
    <w:uiPriority w:val="1"/>
    <w:qFormat/>
    <w:rsid w:val="008C542A"/>
    <w:rPr>
      <w:rFonts w:eastAsia="Calibri"/>
      <w:sz w:val="22"/>
      <w:szCs w:val="22"/>
    </w:rPr>
  </w:style>
  <w:style w:type="paragraph" w:customStyle="1" w:styleId="afffffff5">
    <w:name w:val="متن الجدول"/>
    <w:basedOn w:val="a2"/>
    <w:qFormat/>
    <w:rsid w:val="008C542A"/>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8C542A"/>
    <w:pPr>
      <w:spacing w:line="420" w:lineRule="exact"/>
    </w:pPr>
    <w:rPr>
      <w:sz w:val="22"/>
      <w:lang w:eastAsia="x-none"/>
    </w:rPr>
  </w:style>
  <w:style w:type="paragraph" w:customStyle="1" w:styleId="Space2">
    <w:name w:val="Space2"/>
    <w:basedOn w:val="Space"/>
    <w:rsid w:val="008C542A"/>
    <w:pPr>
      <w:spacing w:line="380" w:lineRule="exact"/>
    </w:pPr>
  </w:style>
  <w:style w:type="paragraph" w:customStyle="1" w:styleId="Space345">
    <w:name w:val="Space345"/>
    <w:basedOn w:val="Space2"/>
    <w:qFormat/>
    <w:rsid w:val="008C542A"/>
    <w:pPr>
      <w:spacing w:line="420" w:lineRule="exact"/>
    </w:pPr>
  </w:style>
  <w:style w:type="paragraph" w:customStyle="1" w:styleId="310">
    <w:name w:val="عنوان 31"/>
    <w:basedOn w:val="a2"/>
    <w:qFormat/>
    <w:rsid w:val="008C542A"/>
    <w:rPr>
      <w:sz w:val="22"/>
      <w:lang w:val="x-none" w:eastAsia="x-none"/>
    </w:rPr>
  </w:style>
  <w:style w:type="paragraph" w:styleId="afffffff6">
    <w:name w:val="No Spacing"/>
    <w:link w:val="Charfff3"/>
    <w:uiPriority w:val="1"/>
    <w:qFormat/>
    <w:rsid w:val="008C542A"/>
    <w:rPr>
      <w:rFonts w:asciiTheme="minorHAnsi" w:eastAsiaTheme="minorEastAsia" w:hAnsiTheme="minorHAnsi" w:cstheme="minorBidi"/>
      <w:sz w:val="22"/>
      <w:szCs w:val="22"/>
      <w:lang w:eastAsia="ja-JP"/>
    </w:rPr>
  </w:style>
  <w:style w:type="character" w:customStyle="1" w:styleId="Charfff3">
    <w:name w:val="بلا تباعد Char"/>
    <w:basedOn w:val="a3"/>
    <w:link w:val="afffffff6"/>
    <w:uiPriority w:val="1"/>
    <w:rsid w:val="008C542A"/>
    <w:rPr>
      <w:rFonts w:asciiTheme="minorHAnsi" w:eastAsiaTheme="minorEastAsia" w:hAnsiTheme="minorHAnsi" w:cstheme="minorBidi"/>
      <w:sz w:val="22"/>
      <w:szCs w:val="22"/>
      <w:lang w:eastAsia="ja-JP"/>
    </w:rPr>
  </w:style>
  <w:style w:type="character" w:customStyle="1" w:styleId="index">
    <w:name w:val="index"/>
    <w:basedOn w:val="a3"/>
    <w:rsid w:val="008C542A"/>
  </w:style>
  <w:style w:type="character" w:customStyle="1" w:styleId="UnresolvedMention1">
    <w:name w:val="Unresolved Mention1"/>
    <w:basedOn w:val="a3"/>
    <w:uiPriority w:val="99"/>
    <w:semiHidden/>
    <w:unhideWhenUsed/>
    <w:rsid w:val="008C542A"/>
    <w:rPr>
      <w:color w:val="605E5C"/>
      <w:shd w:val="clear" w:color="auto" w:fill="E1DFDD"/>
    </w:rPr>
  </w:style>
  <w:style w:type="character" w:customStyle="1" w:styleId="hilight">
    <w:name w:val="hilight"/>
    <w:basedOn w:val="a3"/>
    <w:rsid w:val="008D51F3"/>
  </w:style>
  <w:style w:type="paragraph" w:customStyle="1" w:styleId="kalamatekhas">
    <w:name w:val="kalamatekhas"/>
    <w:basedOn w:val="a2"/>
    <w:rsid w:val="008D51F3"/>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hreah">
    <w:name w:val="shreah"/>
    <w:basedOn w:val="a3"/>
    <w:rsid w:val="008D51F3"/>
  </w:style>
  <w:style w:type="paragraph" w:customStyle="1" w:styleId="story-bodyintroduction">
    <w:name w:val="story-body__introduction"/>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off-screen">
    <w:name w:val="off-screen"/>
    <w:rsid w:val="001F3F5A"/>
  </w:style>
  <w:style w:type="character" w:customStyle="1" w:styleId="story-image-copyright">
    <w:name w:val="story-image-copyright"/>
    <w:rsid w:val="001F3F5A"/>
  </w:style>
  <w:style w:type="character" w:customStyle="1" w:styleId="media-captiontext">
    <w:name w:val="media-caption__text"/>
    <w:rsid w:val="001F3F5A"/>
  </w:style>
  <w:style w:type="character" w:customStyle="1" w:styleId="followbutton-bird">
    <w:name w:val="followbutton-bird"/>
    <w:rsid w:val="001F3F5A"/>
  </w:style>
  <w:style w:type="paragraph" w:customStyle="1" w:styleId="tweettextsize">
    <w:name w:val="tweettextsize"/>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
    <w:name w:val="intro"/>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electionshareable">
    <w:name w:val="selectionshareable"/>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arker-quote1">
    <w:name w:val="marker-quote1"/>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margin">
    <w:name w:val="no-margin"/>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lang w:val="en-GB" w:eastAsia="en-GB"/>
    </w:rPr>
  </w:style>
  <w:style w:type="paragraph" w:customStyle="1" w:styleId="Heading21">
    <w:name w:val="Heading 21"/>
    <w:basedOn w:val="a2"/>
    <w:next w:val="a2"/>
    <w:uiPriority w:val="9"/>
    <w:unhideWhenUsed/>
    <w:qFormat/>
    <w:rsid w:val="009B65D5"/>
    <w:pPr>
      <w:keepNext/>
      <w:keepLines/>
      <w:widowControl/>
      <w:spacing w:before="40" w:line="276" w:lineRule="auto"/>
      <w:ind w:firstLine="0"/>
      <w:jc w:val="left"/>
      <w:outlineLvl w:val="1"/>
    </w:pPr>
    <w:rPr>
      <w:rFonts w:ascii="Calibri Light" w:hAnsi="Calibri Light" w:cs="Times New Roman"/>
      <w:color w:val="2E74B5"/>
      <w:sz w:val="26"/>
      <w:szCs w:val="26"/>
    </w:rPr>
  </w:style>
  <w:style w:type="numbering" w:customStyle="1" w:styleId="NoList1">
    <w:name w:val="No List1"/>
    <w:next w:val="a5"/>
    <w:uiPriority w:val="99"/>
    <w:semiHidden/>
    <w:unhideWhenUsed/>
    <w:rsid w:val="009B65D5"/>
  </w:style>
  <w:style w:type="paragraph" w:customStyle="1" w:styleId="NoSpacing1">
    <w:name w:val="No Spacing1"/>
    <w:next w:val="afffffff6"/>
    <w:link w:val="NoSpacingChar"/>
    <w:uiPriority w:val="1"/>
    <w:qFormat/>
    <w:rsid w:val="009B65D5"/>
    <w:rPr>
      <w:rFonts w:asciiTheme="minorHAnsi" w:hAnsiTheme="minorHAnsi" w:cstheme="minorBidi"/>
      <w:sz w:val="22"/>
      <w:szCs w:val="22"/>
    </w:rPr>
  </w:style>
  <w:style w:type="character" w:customStyle="1" w:styleId="NoSpacingChar">
    <w:name w:val="No Spacing Char"/>
    <w:basedOn w:val="a3"/>
    <w:link w:val="NoSpacing1"/>
    <w:uiPriority w:val="1"/>
    <w:rsid w:val="009B65D5"/>
    <w:rPr>
      <w:rFonts w:asciiTheme="minorHAnsi" w:hAnsiTheme="minorHAnsi" w:cstheme="minorBidi"/>
      <w:sz w:val="22"/>
      <w:szCs w:val="22"/>
    </w:rPr>
  </w:style>
  <w:style w:type="paragraph" w:customStyle="1" w:styleId="Charfff4">
    <w:name w:val="النصص Char"/>
    <w:basedOn w:val="a2"/>
    <w:link w:val="CharChar4"/>
    <w:rsid w:val="009B65D5"/>
    <w:pPr>
      <w:spacing w:line="204" w:lineRule="auto"/>
      <w:ind w:firstLine="454"/>
      <w:jc w:val="lowKashida"/>
    </w:pPr>
    <w:rPr>
      <w:rFonts w:ascii="Arial" w:eastAsia="MS Mincho" w:hAnsi="Arial" w:cs="ajk-kawthar3 normal-simplifid"/>
      <w:color w:val="000000"/>
      <w:szCs w:val="29"/>
    </w:rPr>
  </w:style>
  <w:style w:type="character" w:customStyle="1" w:styleId="CharChar4">
    <w:name w:val="النصص Char Char"/>
    <w:link w:val="Charfff4"/>
    <w:rsid w:val="009B65D5"/>
    <w:rPr>
      <w:rFonts w:ascii="Arial" w:eastAsia="MS Mincho" w:hAnsi="Arial" w:cs="ajk-kawthar3 normal-simplifid"/>
      <w:color w:val="000000"/>
      <w:sz w:val="28"/>
      <w:szCs w:val="29"/>
    </w:rPr>
  </w:style>
  <w:style w:type="paragraph" w:customStyle="1" w:styleId="02Char">
    <w:name w:val="02 Char"/>
    <w:basedOn w:val="a2"/>
    <w:link w:val="02CharChar"/>
    <w:rsid w:val="009B65D5"/>
    <w:pPr>
      <w:keepNext/>
      <w:spacing w:before="160" w:after="40" w:line="216" w:lineRule="auto"/>
      <w:ind w:firstLine="0"/>
      <w:jc w:val="left"/>
    </w:pPr>
    <w:rPr>
      <w:rFonts w:ascii="Arial" w:eastAsia="MS Mincho" w:hAnsi="Arial" w:cs="AMUNA"/>
      <w:color w:val="000000"/>
      <w:sz w:val="30"/>
      <w:szCs w:val="35"/>
    </w:rPr>
  </w:style>
  <w:style w:type="character" w:customStyle="1" w:styleId="02CharChar">
    <w:name w:val="02 Char Char"/>
    <w:link w:val="02Char"/>
    <w:rsid w:val="009B65D5"/>
    <w:rPr>
      <w:rFonts w:ascii="Arial" w:eastAsia="MS Mincho" w:hAnsi="Arial" w:cs="AMUNA"/>
      <w:color w:val="000000"/>
      <w:sz w:val="30"/>
      <w:szCs w:val="35"/>
    </w:rPr>
  </w:style>
  <w:style w:type="paragraph" w:customStyle="1" w:styleId="0000">
    <w:name w:val="0000"/>
    <w:basedOn w:val="a2"/>
    <w:rsid w:val="009B65D5"/>
    <w:pPr>
      <w:spacing w:line="240" w:lineRule="auto"/>
      <w:ind w:firstLine="0"/>
      <w:jc w:val="center"/>
    </w:pPr>
    <w:rPr>
      <w:rFonts w:ascii="Arial" w:eastAsia="MS Mincho" w:hAnsi="Arial" w:cs="ajk-mohsen"/>
      <w:bCs/>
      <w:color w:val="000000"/>
      <w:sz w:val="38"/>
      <w:szCs w:val="38"/>
      <w:lang w:bidi="ar-LB"/>
    </w:rPr>
  </w:style>
  <w:style w:type="paragraph" w:customStyle="1" w:styleId="afffffff7">
    <w:name w:val="ححاشية"/>
    <w:basedOn w:val="a2"/>
    <w:rsid w:val="009B65D5"/>
    <w:pPr>
      <w:spacing w:line="216" w:lineRule="auto"/>
      <w:ind w:left="340" w:hanging="340"/>
      <w:jc w:val="lowKashida"/>
    </w:pPr>
    <w:rPr>
      <w:rFonts w:ascii="Arial" w:eastAsia="MS Mincho" w:hAnsi="Arial" w:cs="ALMUNA"/>
      <w:sz w:val="18"/>
      <w:szCs w:val="24"/>
    </w:rPr>
  </w:style>
  <w:style w:type="numbering" w:customStyle="1" w:styleId="1fa">
    <w:name w:val="بلا قائمة1"/>
    <w:next w:val="a5"/>
    <w:uiPriority w:val="99"/>
    <w:semiHidden/>
    <w:unhideWhenUsed/>
    <w:rsid w:val="009B65D5"/>
  </w:style>
  <w:style w:type="paragraph" w:customStyle="1" w:styleId="1fb">
    <w:name w:val="عادي 1"/>
    <w:basedOn w:val="a2"/>
    <w:link w:val="1Char5"/>
    <w:rsid w:val="009B65D5"/>
    <w:pPr>
      <w:widowControl/>
      <w:spacing w:before="120" w:line="460" w:lineRule="exact"/>
      <w:jc w:val="lowKashida"/>
    </w:pPr>
    <w:rPr>
      <w:rFonts w:ascii="Times New Roman" w:hAnsi="Times New Roman" w:cs="Rateb lotusb2011"/>
      <w:sz w:val="32"/>
      <w:szCs w:val="30"/>
      <w:lang w:val="fr-FR"/>
    </w:rPr>
  </w:style>
  <w:style w:type="paragraph" w:customStyle="1" w:styleId="1-ctrl">
    <w:name w:val="عنوان فرعي1-ctrlذ"/>
    <w:basedOn w:val="a2"/>
    <w:link w:val="1-ctrlChar"/>
    <w:rsid w:val="009B65D5"/>
    <w:pPr>
      <w:widowControl/>
      <w:spacing w:before="240" w:after="40" w:line="460" w:lineRule="exact"/>
      <w:ind w:firstLine="0"/>
      <w:jc w:val="lowKashida"/>
    </w:pPr>
    <w:rPr>
      <w:rFonts w:ascii="JALAL" w:hAnsi="JALAL" w:cs="Monotype Koufi"/>
      <w:b/>
      <w:bCs/>
      <w:color w:val="000000"/>
      <w:sz w:val="32"/>
      <w:szCs w:val="32"/>
    </w:rPr>
  </w:style>
  <w:style w:type="character" w:customStyle="1" w:styleId="1-ctrlChar">
    <w:name w:val="عنوان فرعي1-ctrlذ Char"/>
    <w:basedOn w:val="a3"/>
    <w:link w:val="1-ctrl"/>
    <w:rsid w:val="009B65D5"/>
    <w:rPr>
      <w:rFonts w:ascii="JALAL" w:hAnsi="JALAL" w:cs="Monotype Koufi"/>
      <w:b/>
      <w:bCs/>
      <w:color w:val="000000"/>
      <w:sz w:val="32"/>
      <w:szCs w:val="32"/>
    </w:rPr>
  </w:style>
  <w:style w:type="paragraph" w:customStyle="1" w:styleId="4b">
    <w:name w:val="نص بعد العنوان الفرعي 4"/>
    <w:basedOn w:val="a2"/>
    <w:link w:val="4Char2"/>
    <w:rsid w:val="009B65D5"/>
    <w:pPr>
      <w:spacing w:before="20" w:line="460" w:lineRule="exact"/>
      <w:jc w:val="lowKashida"/>
    </w:pPr>
    <w:rPr>
      <w:rFonts w:ascii="Times New Roman" w:hAnsi="Times New Roman" w:cs="Rateb lotusb2011"/>
      <w:szCs w:val="30"/>
    </w:rPr>
  </w:style>
  <w:style w:type="character" w:customStyle="1" w:styleId="4Char2">
    <w:name w:val="نص بعد العنوان الفرعي 4 Char"/>
    <w:basedOn w:val="a3"/>
    <w:link w:val="4b"/>
    <w:rsid w:val="009B65D5"/>
    <w:rPr>
      <w:rFonts w:ascii="Times New Roman" w:hAnsi="Times New Roman" w:cs="Rateb lotusb2011"/>
      <w:sz w:val="28"/>
      <w:szCs w:val="30"/>
    </w:rPr>
  </w:style>
  <w:style w:type="character" w:customStyle="1" w:styleId="1Char5">
    <w:name w:val="عادي 1 Char"/>
    <w:basedOn w:val="a3"/>
    <w:link w:val="1fb"/>
    <w:rsid w:val="009B65D5"/>
    <w:rPr>
      <w:rFonts w:ascii="Times New Roman" w:hAnsi="Times New Roman" w:cs="Rateb lotusb2011"/>
      <w:sz w:val="32"/>
      <w:szCs w:val="30"/>
      <w:lang w:val="fr-FR"/>
    </w:rPr>
  </w:style>
  <w:style w:type="character" w:customStyle="1" w:styleId="Hyperlink1">
    <w:name w:val="Hyperlink1"/>
    <w:basedOn w:val="a3"/>
    <w:uiPriority w:val="99"/>
    <w:unhideWhenUsed/>
    <w:rsid w:val="009B65D5"/>
    <w:rPr>
      <w:color w:val="0563C1"/>
      <w:u w:val="single"/>
    </w:rPr>
  </w:style>
  <w:style w:type="character" w:customStyle="1" w:styleId="apple-converted-space">
    <w:name w:val="apple-converted-space"/>
    <w:basedOn w:val="a3"/>
    <w:rsid w:val="009B65D5"/>
  </w:style>
  <w:style w:type="character" w:customStyle="1" w:styleId="textexposedshow">
    <w:name w:val="text_exposed_show"/>
    <w:basedOn w:val="a3"/>
    <w:rsid w:val="009B65D5"/>
  </w:style>
  <w:style w:type="paragraph" w:customStyle="1" w:styleId="FooterTextFooter">
    <w:name w:val="Footer_Text (Footer)"/>
    <w:basedOn w:val="a2"/>
    <w:uiPriority w:val="99"/>
    <w:rsid w:val="009B65D5"/>
    <w:pPr>
      <w:widowControl/>
      <w:autoSpaceDE w:val="0"/>
      <w:autoSpaceDN w:val="0"/>
      <w:adjustRightInd w:val="0"/>
      <w:spacing w:line="300" w:lineRule="atLeast"/>
      <w:ind w:left="283" w:hanging="283"/>
      <w:textAlignment w:val="center"/>
    </w:pPr>
    <w:rPr>
      <w:rFonts w:ascii="Lotus Linotype Light" w:eastAsiaTheme="minorHAnsi" w:hAnsiTheme="minorHAnsi" w:cs="Lotus Linotype Light"/>
      <w:color w:val="000000"/>
      <w:sz w:val="22"/>
      <w:szCs w:val="22"/>
      <w:lang w:bidi="ar-YE"/>
    </w:rPr>
  </w:style>
  <w:style w:type="character" w:customStyle="1" w:styleId="reference-text">
    <w:name w:val="reference-text"/>
    <w:basedOn w:val="a3"/>
    <w:rsid w:val="009B65D5"/>
  </w:style>
  <w:style w:type="character" w:customStyle="1" w:styleId="apple-tab-span">
    <w:name w:val="apple-tab-span"/>
    <w:basedOn w:val="a3"/>
    <w:rsid w:val="009B65D5"/>
  </w:style>
  <w:style w:type="numbering" w:customStyle="1" w:styleId="2f8">
    <w:name w:val="بلا قائمة2"/>
    <w:next w:val="a5"/>
    <w:uiPriority w:val="99"/>
    <w:semiHidden/>
    <w:unhideWhenUsed/>
    <w:rsid w:val="009B65D5"/>
  </w:style>
  <w:style w:type="character" w:customStyle="1" w:styleId="HeaderChar1">
    <w:name w:val="Header Char1"/>
    <w:basedOn w:val="a3"/>
    <w:uiPriority w:val="99"/>
    <w:semiHidden/>
    <w:rsid w:val="009B65D5"/>
    <w:rPr>
      <w:rFonts w:ascii="Calibri" w:eastAsia="Calibri" w:hAnsi="Calibri" w:cs="Arial"/>
    </w:rPr>
  </w:style>
  <w:style w:type="paragraph" w:customStyle="1" w:styleId="1Char6">
    <w:name w:val="نص 1 Char"/>
    <w:basedOn w:val="a2"/>
    <w:rsid w:val="009B65D5"/>
    <w:pPr>
      <w:spacing w:before="120" w:line="460" w:lineRule="exact"/>
      <w:jc w:val="lowKashida"/>
    </w:pPr>
    <w:rPr>
      <w:rFonts w:ascii="Times New Roman" w:hAnsi="Times New Roman" w:cs="Rateb lotusb2011"/>
      <w:sz w:val="30"/>
      <w:szCs w:val="30"/>
      <w:lang w:val="en-GB" w:eastAsia="en-GB"/>
    </w:rPr>
  </w:style>
  <w:style w:type="character" w:customStyle="1" w:styleId="Heading1Char10">
    <w:name w:val="Heading 1 Char1"/>
    <w:basedOn w:val="a3"/>
    <w:uiPriority w:val="9"/>
    <w:rsid w:val="009B65D5"/>
    <w:rPr>
      <w:rFonts w:asciiTheme="majorHAnsi" w:eastAsiaTheme="majorEastAsia" w:hAnsiTheme="majorHAnsi" w:cstheme="majorBidi"/>
      <w:color w:val="365F91" w:themeColor="accent1" w:themeShade="BF"/>
      <w:sz w:val="32"/>
      <w:szCs w:val="32"/>
    </w:rPr>
  </w:style>
  <w:style w:type="paragraph" w:customStyle="1" w:styleId="lineaya">
    <w:name w:val="lineaya"/>
    <w:basedOn w:val="a2"/>
    <w:rsid w:val="00A60A69"/>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numbering" w:customStyle="1" w:styleId="CurrentList1">
    <w:name w:val="Current List1"/>
    <w:uiPriority w:val="99"/>
    <w:rsid w:val="00A60A69"/>
    <w:pPr>
      <w:numPr>
        <w:numId w:val="17"/>
      </w:numPr>
    </w:pPr>
  </w:style>
  <w:style w:type="paragraph" w:customStyle="1" w:styleId="Body">
    <w:name w:val="Body"/>
    <w:rsid w:val="0001386F"/>
    <w:pPr>
      <w:pBdr>
        <w:top w:val="nil"/>
        <w:left w:val="nil"/>
        <w:bottom w:val="nil"/>
        <w:right w:val="nil"/>
        <w:between w:val="nil"/>
        <w:bar w:val="nil"/>
      </w:pBdr>
      <w:bidi/>
    </w:pPr>
    <w:rPr>
      <w:rFonts w:ascii="Arial Unicode MS" w:eastAsia="Arial Unicode MS" w:hAnsi="Arial Unicode MS" w:cs="Helvetica" w:hint="cs"/>
      <w:color w:val="000000"/>
      <w:sz w:val="22"/>
      <w:szCs w:val="22"/>
      <w:bdr w:val="nil"/>
      <w:lang w:val="ar-SA"/>
    </w:rPr>
  </w:style>
  <w:style w:type="paragraph" w:customStyle="1" w:styleId="Default">
    <w:name w:val="Default"/>
    <w:rsid w:val="0001386F"/>
    <w:rPr>
      <w:rFonts w:ascii="Arial Unicode MS" w:eastAsia="Arial Unicode MS" w:hAnsi="Helvetica" w:cs="Helvetica"/>
      <w:color w:val="000000"/>
      <w:sz w:val="22"/>
      <w:szCs w:val="22"/>
      <w:lang w:val="ar-SA"/>
    </w:rPr>
  </w:style>
  <w:style w:type="character" w:customStyle="1" w:styleId="needref">
    <w:name w:val="need_ref"/>
    <w:basedOn w:val="a3"/>
    <w:rsid w:val="0043677F"/>
  </w:style>
  <w:style w:type="paragraph" w:customStyle="1" w:styleId="fz-ms">
    <w:name w:val="fz-ms"/>
    <w:basedOn w:val="a2"/>
    <w:rsid w:val="0043677F"/>
    <w:pPr>
      <w:widowControl/>
      <w:bidi w:val="0"/>
      <w:spacing w:before="100" w:beforeAutospacing="1" w:after="100" w:afterAutospacing="1" w:line="240" w:lineRule="auto"/>
      <w:ind w:firstLine="0"/>
      <w:jc w:val="left"/>
    </w:pPr>
    <w:rPr>
      <w:rFonts w:ascii="Times New Roman" w:hAnsi="Times New Roman" w:cs="Times New Roman"/>
      <w:sz w:val="24"/>
      <w:szCs w:val="24"/>
      <w:lang w:val="fr-FR" w:eastAsia="fr-FR"/>
    </w:rPr>
  </w:style>
  <w:style w:type="table" w:customStyle="1" w:styleId="TableNormal">
    <w:name w:val="Table Normal"/>
    <w:rsid w:val="00962F60"/>
    <w:rPr>
      <w:rFonts w:eastAsia="Calibri" w:cs="Calibri"/>
      <w:sz w:val="24"/>
      <w:szCs w:val="24"/>
    </w:rPr>
    <w:tblPr>
      <w:tblCellMar>
        <w:top w:w="0" w:type="dxa"/>
        <w:left w:w="0" w:type="dxa"/>
        <w:bottom w:w="0" w:type="dxa"/>
        <w:right w:w="0" w:type="dxa"/>
      </w:tblCellMar>
    </w:tblPr>
  </w:style>
  <w:style w:type="character" w:customStyle="1" w:styleId="st">
    <w:name w:val="st"/>
    <w:basedOn w:val="a3"/>
    <w:rsid w:val="007C76F0"/>
  </w:style>
  <w:style w:type="paragraph" w:customStyle="1" w:styleId="NoParagraphStyle">
    <w:name w:val="[No Paragraph Style]"/>
    <w:rsid w:val="007C76F0"/>
    <w:pPr>
      <w:autoSpaceDE w:val="0"/>
      <w:autoSpaceDN w:val="0"/>
      <w:bidi/>
      <w:adjustRightInd w:val="0"/>
      <w:spacing w:line="288" w:lineRule="auto"/>
      <w:textAlignment w:val="center"/>
    </w:pPr>
    <w:rPr>
      <w:rFonts w:ascii="Adobe Arabic" w:eastAsiaTheme="minorHAnsi" w:hAnsi="Adobe Arabic" w:cs="Adobe Arabic"/>
      <w:color w:val="000000"/>
      <w:sz w:val="24"/>
      <w:szCs w:val="24"/>
      <w:lang w:bidi="ar-YE"/>
    </w:rPr>
  </w:style>
  <w:style w:type="character" w:customStyle="1" w:styleId="afffffff8">
    <w:name w:val="اية"/>
    <w:uiPriority w:val="99"/>
    <w:rsid w:val="007C76F0"/>
    <w:rPr>
      <w:rFonts w:ascii="KFGQPC Uthmanic Script HAFS" w:cs="KFGQPC Uthmanic Script HAFS"/>
      <w:color w:val="575757"/>
      <w:sz w:val="30"/>
      <w:szCs w:val="30"/>
      <w:lang w:bidi="ar-SA"/>
    </w:rPr>
  </w:style>
  <w:style w:type="character" w:customStyle="1" w:styleId="afffffff9">
    <w:name w:val="الايات"/>
    <w:uiPriority w:val="99"/>
    <w:rsid w:val="007C76F0"/>
    <w:rPr>
      <w:sz w:val="24"/>
      <w:szCs w:val="24"/>
    </w:rPr>
  </w:style>
  <w:style w:type="paragraph" w:customStyle="1" w:styleId="BasicParagraph">
    <w:name w:val="[Basic Paragraph]"/>
    <w:basedOn w:val="NoParagraphStyle"/>
    <w:uiPriority w:val="99"/>
    <w:rsid w:val="007C76F0"/>
  </w:style>
  <w:style w:type="paragraph" w:customStyle="1" w:styleId="afffffffa">
    <w:name w:val="نص اساسي"/>
    <w:basedOn w:val="NoParagraphStyle"/>
    <w:uiPriority w:val="99"/>
    <w:rsid w:val="007C76F0"/>
    <w:pPr>
      <w:spacing w:before="57" w:after="57" w:line="450" w:lineRule="atLeast"/>
      <w:ind w:firstLine="397"/>
      <w:jc w:val="both"/>
    </w:pPr>
    <w:rPr>
      <w:rFonts w:ascii="Lotus Linotype" w:hAnsi="Lotus Linotype" w:cs="Lotus Linotype"/>
      <w:spacing w:val="-2"/>
      <w:sz w:val="31"/>
      <w:szCs w:val="31"/>
    </w:rPr>
  </w:style>
  <w:style w:type="paragraph" w:customStyle="1" w:styleId="afffffffb">
    <w:name w:val="فاصل جديد"/>
    <w:basedOn w:val="afffffffa"/>
    <w:uiPriority w:val="99"/>
    <w:rsid w:val="007C76F0"/>
    <w:pPr>
      <w:pageBreakBefore/>
      <w:spacing w:after="850"/>
      <w:jc w:val="left"/>
    </w:pPr>
    <w:rPr>
      <w:b/>
      <w:bCs/>
      <w:sz w:val="44"/>
      <w:szCs w:val="44"/>
    </w:rPr>
  </w:style>
  <w:style w:type="paragraph" w:customStyle="1" w:styleId="afffffffc">
    <w:name w:val="عنوان جانبي"/>
    <w:basedOn w:val="afffffffa"/>
    <w:uiPriority w:val="99"/>
    <w:rsid w:val="007C76F0"/>
    <w:pPr>
      <w:keepNext/>
      <w:keepLines/>
      <w:spacing w:before="113" w:after="0"/>
      <w:ind w:firstLine="0"/>
    </w:pPr>
    <w:rPr>
      <w:rFonts w:ascii="AXtManalBLack" w:hAnsi="AXtManalBLack" w:cs="AXtManalBLack"/>
      <w:sz w:val="34"/>
      <w:szCs w:val="34"/>
    </w:rPr>
  </w:style>
  <w:style w:type="paragraph" w:customStyle="1" w:styleId="afffffffd">
    <w:name w:val="داخل الجانبي"/>
    <w:basedOn w:val="afffffffc"/>
    <w:uiPriority w:val="99"/>
    <w:rsid w:val="007C76F0"/>
    <w:pPr>
      <w:ind w:firstLine="340"/>
    </w:pPr>
    <w:rPr>
      <w:rFonts w:ascii="AXtManalBold" w:hAnsi="AXtManalBold" w:cs="AXtManalBold"/>
      <w:sz w:val="38"/>
      <w:szCs w:val="38"/>
    </w:rPr>
  </w:style>
  <w:style w:type="character" w:customStyle="1" w:styleId="afffffffe">
    <w:name w:val="غامق"/>
    <w:uiPriority w:val="99"/>
    <w:rsid w:val="007C76F0"/>
    <w:rPr>
      <w:b/>
      <w:bCs/>
    </w:rPr>
  </w:style>
  <w:style w:type="character" w:customStyle="1" w:styleId="affffffff">
    <w:name w:val="اسم السورة"/>
    <w:uiPriority w:val="99"/>
    <w:rsid w:val="007C76F0"/>
    <w:rPr>
      <w:sz w:val="24"/>
      <w:szCs w:val="24"/>
    </w:rPr>
  </w:style>
  <w:style w:type="character" w:customStyle="1" w:styleId="affffffff0">
    <w:name w:val="انجليزي"/>
    <w:uiPriority w:val="99"/>
    <w:rsid w:val="007C76F0"/>
    <w:rPr>
      <w:rFonts w:ascii="Gadugi" w:hAnsi="Gadugi" w:cs="Gadugi"/>
      <w:sz w:val="16"/>
      <w:szCs w:val="16"/>
    </w:rPr>
  </w:style>
  <w:style w:type="paragraph" w:customStyle="1" w:styleId="affffffff1">
    <w:name w:val="باب"/>
    <w:basedOn w:val="afffff"/>
    <w:uiPriority w:val="99"/>
    <w:rsid w:val="007C76F0"/>
    <w:pPr>
      <w:keepLines/>
      <w:widowControl/>
      <w:tabs>
        <w:tab w:val="clear" w:pos="1800"/>
      </w:tabs>
      <w:autoSpaceDE w:val="0"/>
      <w:autoSpaceDN w:val="0"/>
      <w:adjustRightInd w:val="0"/>
      <w:spacing w:before="113" w:after="454" w:line="480" w:lineRule="atLeast"/>
      <w:ind w:left="2608" w:firstLine="0"/>
      <w:jc w:val="left"/>
      <w:textAlignment w:val="center"/>
      <w:outlineLvl w:val="9"/>
    </w:pPr>
    <w:rPr>
      <w:rFonts w:ascii="GE Flow (OTF) Bold" w:eastAsiaTheme="minorHAnsi" w:hAnsiTheme="minorHAnsi" w:cs="GE Flow (OTF) Bold"/>
      <w:b/>
      <w:bCs/>
      <w:color w:val="000000"/>
      <w:spacing w:val="-2"/>
      <w:sz w:val="34"/>
      <w:szCs w:val="34"/>
      <w:lang w:bidi="ar-YE"/>
    </w:rPr>
  </w:style>
  <w:style w:type="table" w:customStyle="1" w:styleId="1fc">
    <w:name w:val="شبكة جدول1"/>
    <w:basedOn w:val="a4"/>
    <w:next w:val="ad"/>
    <w:rsid w:val="00482FB1"/>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4iawc">
    <w:name w:val="q4iawc"/>
    <w:basedOn w:val="a3"/>
    <w:rsid w:val="009E10D6"/>
  </w:style>
  <w:style w:type="paragraph" w:customStyle="1" w:styleId="affffffff2">
    <w:name w:val="المثال"/>
    <w:basedOn w:val="a2"/>
    <w:link w:val="Charfff5"/>
    <w:rsid w:val="008A3F20"/>
    <w:pPr>
      <w:widowControl/>
      <w:spacing w:before="100" w:beforeAutospacing="1" w:line="240" w:lineRule="auto"/>
    </w:pPr>
    <w:rPr>
      <w:rFonts w:ascii="Times New Roman" w:hAnsi="Times New Roman" w:cs="Abz-2 (Badr)"/>
      <w:bCs/>
      <w:sz w:val="24"/>
      <w:szCs w:val="32"/>
    </w:rPr>
  </w:style>
  <w:style w:type="character" w:customStyle="1" w:styleId="Charfff5">
    <w:name w:val="المثال Char"/>
    <w:link w:val="affffffff2"/>
    <w:rsid w:val="008A3F20"/>
    <w:rPr>
      <w:rFonts w:ascii="Times New Roman" w:hAnsi="Times New Roman" w:cs="Abz-2 (Badr)"/>
      <w:bCs/>
      <w:sz w:val="24"/>
      <w:szCs w:val="32"/>
    </w:rPr>
  </w:style>
  <w:style w:type="paragraph" w:customStyle="1" w:styleId="affffffff3">
    <w:name w:val="الدرس"/>
    <w:basedOn w:val="a2"/>
    <w:link w:val="Charfff6"/>
    <w:rsid w:val="008A3F20"/>
    <w:pPr>
      <w:widowControl/>
      <w:spacing w:line="240" w:lineRule="auto"/>
    </w:pPr>
    <w:rPr>
      <w:rFonts w:ascii="Times New Roman" w:hAnsi="Times New Roman" w:cs="Abz-1 (Lotus)"/>
      <w:bCs/>
      <w:sz w:val="24"/>
      <w:szCs w:val="32"/>
    </w:rPr>
  </w:style>
  <w:style w:type="character" w:customStyle="1" w:styleId="Charfff6">
    <w:name w:val="الدرس Char"/>
    <w:link w:val="affffffff3"/>
    <w:rsid w:val="008A3F20"/>
    <w:rPr>
      <w:rFonts w:ascii="Times New Roman" w:hAnsi="Times New Roman" w:cs="Abz-1 (Lotus)"/>
      <w:bCs/>
      <w:sz w:val="24"/>
      <w:szCs w:val="32"/>
    </w:rPr>
  </w:style>
  <w:style w:type="paragraph" w:customStyle="1" w:styleId="59">
    <w:name w:val="ع 5"/>
    <w:basedOn w:val="a2"/>
    <w:link w:val="5CharChar"/>
    <w:rsid w:val="008A3F20"/>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8A3F20"/>
    <w:rPr>
      <w:rFonts w:ascii="Times New Roman" w:hAnsi="Times New Roman"/>
      <w:bCs/>
      <w:sz w:val="24"/>
      <w:szCs w:val="26"/>
    </w:rPr>
  </w:style>
  <w:style w:type="paragraph" w:customStyle="1" w:styleId="65">
    <w:name w:val="ع 6"/>
    <w:basedOn w:val="a2"/>
    <w:next w:val="a2"/>
    <w:rsid w:val="008A3F20"/>
    <w:pPr>
      <w:widowControl/>
      <w:spacing w:line="240" w:lineRule="auto"/>
      <w:ind w:firstLine="284"/>
      <w:jc w:val="lowKashida"/>
    </w:pPr>
    <w:rPr>
      <w:rFonts w:ascii="Times New Roman" w:hAnsi="Times New Roman" w:cs="Arabic Transparent"/>
      <w:bCs/>
      <w:sz w:val="24"/>
      <w:szCs w:val="25"/>
    </w:rPr>
  </w:style>
  <w:style w:type="paragraph" w:customStyle="1" w:styleId="affffffff4">
    <w:name w:val="الفائدة"/>
    <w:basedOn w:val="a2"/>
    <w:next w:val="a2"/>
    <w:link w:val="CharChar5"/>
    <w:rsid w:val="008A3F20"/>
    <w:pPr>
      <w:widowControl/>
      <w:spacing w:before="100" w:beforeAutospacing="1" w:line="240" w:lineRule="auto"/>
    </w:pPr>
    <w:rPr>
      <w:rFonts w:ascii="Times New Roman" w:hAnsi="Times New Roman" w:cs="Abz-1 (Lotus)"/>
      <w:bCs/>
      <w:sz w:val="24"/>
      <w:szCs w:val="32"/>
    </w:rPr>
  </w:style>
  <w:style w:type="character" w:customStyle="1" w:styleId="CharChar5">
    <w:name w:val="الفائدة Char Char"/>
    <w:link w:val="affffffff4"/>
    <w:rsid w:val="008A3F20"/>
    <w:rPr>
      <w:rFonts w:ascii="Times New Roman" w:hAnsi="Times New Roman" w:cs="Abz-1 (Lotus)"/>
      <w:bCs/>
      <w:sz w:val="24"/>
      <w:szCs w:val="32"/>
    </w:rPr>
  </w:style>
  <w:style w:type="paragraph" w:customStyle="1" w:styleId="74">
    <w:name w:val="ع 7"/>
    <w:basedOn w:val="a2"/>
    <w:link w:val="7CharChar"/>
    <w:rsid w:val="008A3F20"/>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8A3F20"/>
    <w:rPr>
      <w:rFonts w:ascii="Times New Roman" w:hAnsi="Times New Roman" w:cs="Akhbar MT"/>
      <w:sz w:val="24"/>
      <w:szCs w:val="32"/>
    </w:rPr>
  </w:style>
  <w:style w:type="paragraph" w:customStyle="1" w:styleId="affffffff5">
    <w:name w:val="الملاحظة"/>
    <w:basedOn w:val="a2"/>
    <w:link w:val="Charfff7"/>
    <w:rsid w:val="008A3F20"/>
    <w:pPr>
      <w:widowControl/>
      <w:spacing w:line="240" w:lineRule="auto"/>
    </w:pPr>
    <w:rPr>
      <w:rFonts w:ascii="Times New Roman" w:hAnsi="Times New Roman" w:cs="Abz-2 (Badr)"/>
      <w:bCs/>
      <w:sz w:val="24"/>
      <w:szCs w:val="32"/>
    </w:rPr>
  </w:style>
  <w:style w:type="character" w:customStyle="1" w:styleId="Charfff7">
    <w:name w:val="الملاحظة Char"/>
    <w:link w:val="affffffff5"/>
    <w:rsid w:val="008A3F20"/>
    <w:rPr>
      <w:rFonts w:ascii="Times New Roman" w:hAnsi="Times New Roman" w:cs="Abz-2 (Badr)"/>
      <w:bCs/>
      <w:sz w:val="24"/>
      <w:szCs w:val="32"/>
    </w:rPr>
  </w:style>
  <w:style w:type="paragraph" w:customStyle="1" w:styleId="affffffff6">
    <w:name w:val="التاريخ"/>
    <w:basedOn w:val="a2"/>
    <w:link w:val="Charfff8"/>
    <w:rsid w:val="008A3F20"/>
    <w:pPr>
      <w:widowControl/>
      <w:spacing w:line="240" w:lineRule="auto"/>
    </w:pPr>
    <w:rPr>
      <w:rFonts w:ascii="Times New Roman" w:hAnsi="Times New Roman" w:cs="Al-Najaf95"/>
      <w:bCs/>
      <w:sz w:val="24"/>
      <w:szCs w:val="32"/>
    </w:rPr>
  </w:style>
  <w:style w:type="character" w:customStyle="1" w:styleId="Charfff8">
    <w:name w:val="التاريخ Char"/>
    <w:link w:val="affffffff6"/>
    <w:rsid w:val="008A3F20"/>
    <w:rPr>
      <w:rFonts w:ascii="Times New Roman" w:hAnsi="Times New Roman" w:cs="Al-Najaf95"/>
      <w:bCs/>
      <w:sz w:val="24"/>
      <w:szCs w:val="32"/>
    </w:rPr>
  </w:style>
  <w:style w:type="paragraph" w:customStyle="1" w:styleId="affffffff7">
    <w:name w:val="اليوم"/>
    <w:basedOn w:val="a2"/>
    <w:link w:val="Charfff9"/>
    <w:rsid w:val="008A3F20"/>
    <w:pPr>
      <w:widowControl/>
      <w:spacing w:before="100" w:beforeAutospacing="1" w:line="240" w:lineRule="auto"/>
    </w:pPr>
    <w:rPr>
      <w:rFonts w:ascii="Times New Roman" w:hAnsi="Times New Roman" w:cs="Al-Najaf95"/>
      <w:b/>
      <w:bCs/>
      <w:sz w:val="32"/>
      <w:szCs w:val="32"/>
    </w:rPr>
  </w:style>
  <w:style w:type="character" w:customStyle="1" w:styleId="Charfff9">
    <w:name w:val="اليوم Char"/>
    <w:link w:val="affffffff7"/>
    <w:rsid w:val="008A3F20"/>
    <w:rPr>
      <w:rFonts w:ascii="Times New Roman" w:hAnsi="Times New Roman" w:cs="Al-Najaf95"/>
      <w:b/>
      <w:bCs/>
      <w:sz w:val="32"/>
      <w:szCs w:val="32"/>
    </w:rPr>
  </w:style>
  <w:style w:type="paragraph" w:customStyle="1" w:styleId="92">
    <w:name w:val="عنوان9"/>
    <w:basedOn w:val="a2"/>
    <w:link w:val="9Char0"/>
    <w:rsid w:val="008A3F20"/>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8A3F20"/>
    <w:rPr>
      <w:rFonts w:ascii="Times New Roman" w:hAnsi="Times New Roman" w:cs="Abz-2 (Badr)"/>
      <w:bCs/>
      <w:sz w:val="28"/>
      <w:szCs w:val="32"/>
    </w:rPr>
  </w:style>
  <w:style w:type="paragraph" w:customStyle="1" w:styleId="affffffff8">
    <w:name w:val="بسم الله"/>
    <w:basedOn w:val="a2"/>
    <w:rsid w:val="008A3F20"/>
    <w:pPr>
      <w:widowControl/>
      <w:spacing w:line="240" w:lineRule="auto"/>
      <w:ind w:firstLine="0"/>
      <w:jc w:val="center"/>
    </w:pPr>
    <w:rPr>
      <w:rFonts w:ascii="Times New Roman" w:hAnsi="Times New Roman" w:cs="SKR HEAD1"/>
      <w:sz w:val="24"/>
      <w:szCs w:val="22"/>
    </w:rPr>
  </w:style>
  <w:style w:type="paragraph" w:customStyle="1" w:styleId="4c">
    <w:name w:val="ع 4"/>
    <w:basedOn w:val="a2"/>
    <w:next w:val="a2"/>
    <w:link w:val="4CharChar0"/>
    <w:rsid w:val="008A3F20"/>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c"/>
    <w:rsid w:val="008A3F20"/>
    <w:rPr>
      <w:rFonts w:ascii="Times New Roman" w:hAnsi="Times New Roman" w:cs="Courier New"/>
      <w:bCs/>
      <w:sz w:val="24"/>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normal"/>
    <w:basedOn w:val="a2"/>
    <w:next w:val="a2"/>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2-المبحث"/>
    <w:basedOn w:val="a2"/>
    <w:next w:val="a2"/>
    <w:link w:val="2Char"/>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2"/>
    <w:next w:val="a2"/>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شعر Char,1-المباحث Char,normal Char"/>
    <w:link w:val="10"/>
    <w:rsid w:val="002647C9"/>
    <w:rPr>
      <w:rFonts w:ascii="Times" w:eastAsia="Times New Roman" w:hAnsi="Times" w:cs="AL-Mateen"/>
      <w:b/>
      <w:sz w:val="32"/>
      <w:szCs w:val="48"/>
    </w:rPr>
  </w:style>
  <w:style w:type="character" w:customStyle="1" w:styleId="2Char">
    <w:name w:val="عنوان 2 Char"/>
    <w:aliases w:val="2-المبحث Char"/>
    <w:link w:val="20"/>
    <w:rsid w:val="002647C9"/>
    <w:rPr>
      <w:rFonts w:ascii="Times" w:eastAsia="Times New Roman" w:hAnsi="Times" w:cs="AL-Mateen"/>
      <w:color w:val="000000"/>
      <w:sz w:val="28"/>
      <w:szCs w:val="32"/>
    </w:rPr>
  </w:style>
  <w:style w:type="character" w:customStyle="1" w:styleId="3Char">
    <w:name w:val="عنوان 3 Char"/>
    <w:aliases w:val="3-البحث Char"/>
    <w:link w:val="31"/>
    <w:uiPriority w:val="9"/>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spacing w:line="240" w:lineRule="auto"/>
    </w:pPr>
  </w:style>
  <w:style w:type="character" w:customStyle="1" w:styleId="Char">
    <w:name w:val="رأس الصفحة Char"/>
    <w:link w:val="a7"/>
    <w:rsid w:val="00E63D8A"/>
    <w:rPr>
      <w:rFonts w:ascii="Times" w:hAnsi="Times" w:cs="Mosawi"/>
      <w:sz w:val="28"/>
      <w:szCs w:val="30"/>
    </w:rPr>
  </w:style>
  <w:style w:type="paragraph" w:styleId="a8">
    <w:name w:val="footer"/>
    <w:basedOn w:val="a2"/>
    <w:link w:val="Char0"/>
    <w:unhideWhenUsed/>
    <w:rsid w:val="00E63D8A"/>
    <w:pPr>
      <w:tabs>
        <w:tab w:val="center" w:pos="4680"/>
        <w:tab w:val="right" w:pos="9360"/>
      </w:tabs>
      <w:spacing w:line="240" w:lineRule="auto"/>
    </w:pPr>
  </w:style>
  <w:style w:type="character" w:customStyle="1" w:styleId="Char0">
    <w:name w:val="تذييل الصفحة Char"/>
    <w:link w:val="a8"/>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Char"/>
    <w:basedOn w:val="a2"/>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pPr>
      <w:spacing w:line="240" w:lineRule="auto"/>
    </w:pPr>
    <w:rPr>
      <w:sz w:val="20"/>
      <w:szCs w:val="20"/>
    </w:rPr>
  </w:style>
  <w:style w:type="character" w:customStyle="1" w:styleId="Char2">
    <w:name w:val="نص تعليق ختامي Char"/>
    <w:link w:val="aa"/>
    <w:rsid w:val="0016440C"/>
    <w:rPr>
      <w:rFonts w:ascii="Times" w:hAnsi="Times" w:cs="Mosawi"/>
      <w:sz w:val="20"/>
      <w:szCs w:val="20"/>
    </w:rPr>
  </w:style>
  <w:style w:type="character" w:styleId="ab">
    <w:name w:val="footnote reference"/>
    <w:aliases w:val="حاشية سفلية,Footnote Reference"/>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uiPriority w:val="99"/>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sz w:val="21"/>
      <w:szCs w:val="21"/>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uiPriority w:val="11"/>
    <w:rsid w:val="00801478"/>
    <w:rPr>
      <w:rFonts w:ascii="Times New Roman" w:eastAsia="Times New Roman" w:hAnsi="Times New Roman" w:cs="Traditional Arabic"/>
      <w:sz w:val="44"/>
      <w:szCs w:val="44"/>
      <w:lang w:eastAsia="ar-SA"/>
    </w:rPr>
  </w:style>
  <w:style w:type="paragraph" w:styleId="af7">
    <w:name w:val="Balloon Text"/>
    <w:basedOn w:val="a2"/>
    <w:link w:val="Char8"/>
    <w:semiHidden/>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uiPriority w:val="9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uiPriority w:val="99"/>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A84D88"/>
    <w:pPr>
      <w:widowControl/>
      <w:tabs>
        <w:tab w:val="right" w:leader="dot" w:pos="7021"/>
      </w:tabs>
      <w:spacing w:before="70" w:after="80" w:line="144" w:lineRule="auto"/>
    </w:pPr>
    <w:rPr>
      <w:rFonts w:ascii="Times New Roman" w:hAnsi="Times New Roman"/>
      <w:noProof/>
      <w:sz w:val="24"/>
      <w:szCs w:val="28"/>
      <w:lang w:eastAsia="ar-SA" w:bidi="ar-LB"/>
    </w:rPr>
  </w:style>
  <w:style w:type="paragraph" w:styleId="13">
    <w:name w:val="toc 1"/>
    <w:basedOn w:val="a2"/>
    <w:next w:val="a2"/>
    <w:autoRedefine/>
    <w:uiPriority w:val="39"/>
    <w:qFormat/>
    <w:rsid w:val="00111008"/>
    <w:pPr>
      <w:widowControl/>
      <w:tabs>
        <w:tab w:val="right" w:leader="dot" w:pos="7020"/>
      </w:tabs>
      <w:spacing w:before="140" w:line="240" w:lineRule="auto"/>
      <w:ind w:left="272" w:hanging="272"/>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uiPriority w:val="9"/>
    <w:qFormat/>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Char Char Char Char1"/>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uiPriority w:val="99"/>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uiPriority w:val="99"/>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link w:val="textChar"/>
    <w:qFormat/>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character" w:customStyle="1" w:styleId="textChar">
    <w:name w:val="text Char"/>
    <w:link w:val="text"/>
    <w:rsid w:val="008C542A"/>
    <w:rPr>
      <w:rFonts w:ascii="Times New Roman" w:hAnsi="Times New Roman" w:cs="Traditional Arabic"/>
      <w:b/>
      <w:bCs/>
      <w:sz w:val="27"/>
      <w:szCs w:val="27"/>
    </w:rPr>
  </w:style>
  <w:style w:type="paragraph" w:customStyle="1" w:styleId="1f9">
    <w:name w:val="بلا تباعد1"/>
    <w:uiPriority w:val="1"/>
    <w:qFormat/>
    <w:rsid w:val="008C542A"/>
    <w:rPr>
      <w:rFonts w:eastAsia="Calibri"/>
      <w:sz w:val="22"/>
      <w:szCs w:val="22"/>
    </w:rPr>
  </w:style>
  <w:style w:type="paragraph" w:customStyle="1" w:styleId="afffffff5">
    <w:name w:val="متن الجدول"/>
    <w:basedOn w:val="a2"/>
    <w:qFormat/>
    <w:rsid w:val="008C542A"/>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8C542A"/>
    <w:pPr>
      <w:spacing w:line="420" w:lineRule="exact"/>
    </w:pPr>
    <w:rPr>
      <w:sz w:val="22"/>
      <w:lang w:eastAsia="x-none"/>
    </w:rPr>
  </w:style>
  <w:style w:type="paragraph" w:customStyle="1" w:styleId="Space2">
    <w:name w:val="Space2"/>
    <w:basedOn w:val="Space"/>
    <w:rsid w:val="008C542A"/>
    <w:pPr>
      <w:spacing w:line="380" w:lineRule="exact"/>
    </w:pPr>
  </w:style>
  <w:style w:type="paragraph" w:customStyle="1" w:styleId="Space345">
    <w:name w:val="Space345"/>
    <w:basedOn w:val="Space2"/>
    <w:qFormat/>
    <w:rsid w:val="008C542A"/>
    <w:pPr>
      <w:spacing w:line="420" w:lineRule="exact"/>
    </w:pPr>
  </w:style>
  <w:style w:type="paragraph" w:customStyle="1" w:styleId="310">
    <w:name w:val="عنوان 31"/>
    <w:basedOn w:val="a2"/>
    <w:qFormat/>
    <w:rsid w:val="008C542A"/>
    <w:rPr>
      <w:sz w:val="22"/>
      <w:lang w:val="x-none" w:eastAsia="x-none"/>
    </w:rPr>
  </w:style>
  <w:style w:type="paragraph" w:styleId="afffffff6">
    <w:name w:val="No Spacing"/>
    <w:link w:val="Charfff3"/>
    <w:uiPriority w:val="1"/>
    <w:qFormat/>
    <w:rsid w:val="008C542A"/>
    <w:rPr>
      <w:rFonts w:asciiTheme="minorHAnsi" w:eastAsiaTheme="minorEastAsia" w:hAnsiTheme="minorHAnsi" w:cstheme="minorBidi"/>
      <w:sz w:val="22"/>
      <w:szCs w:val="22"/>
      <w:lang w:eastAsia="ja-JP"/>
    </w:rPr>
  </w:style>
  <w:style w:type="character" w:customStyle="1" w:styleId="Charfff3">
    <w:name w:val="بلا تباعد Char"/>
    <w:basedOn w:val="a3"/>
    <w:link w:val="afffffff6"/>
    <w:uiPriority w:val="1"/>
    <w:rsid w:val="008C542A"/>
    <w:rPr>
      <w:rFonts w:asciiTheme="minorHAnsi" w:eastAsiaTheme="minorEastAsia" w:hAnsiTheme="minorHAnsi" w:cstheme="minorBidi"/>
      <w:sz w:val="22"/>
      <w:szCs w:val="22"/>
      <w:lang w:eastAsia="ja-JP"/>
    </w:rPr>
  </w:style>
  <w:style w:type="character" w:customStyle="1" w:styleId="index">
    <w:name w:val="index"/>
    <w:basedOn w:val="a3"/>
    <w:rsid w:val="008C542A"/>
  </w:style>
  <w:style w:type="character" w:customStyle="1" w:styleId="UnresolvedMention1">
    <w:name w:val="Unresolved Mention1"/>
    <w:basedOn w:val="a3"/>
    <w:uiPriority w:val="99"/>
    <w:semiHidden/>
    <w:unhideWhenUsed/>
    <w:rsid w:val="008C542A"/>
    <w:rPr>
      <w:color w:val="605E5C"/>
      <w:shd w:val="clear" w:color="auto" w:fill="E1DFDD"/>
    </w:rPr>
  </w:style>
  <w:style w:type="character" w:customStyle="1" w:styleId="hilight">
    <w:name w:val="hilight"/>
    <w:basedOn w:val="a3"/>
    <w:rsid w:val="008D51F3"/>
  </w:style>
  <w:style w:type="paragraph" w:customStyle="1" w:styleId="kalamatekhas">
    <w:name w:val="kalamatekhas"/>
    <w:basedOn w:val="a2"/>
    <w:rsid w:val="008D51F3"/>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hreah">
    <w:name w:val="shreah"/>
    <w:basedOn w:val="a3"/>
    <w:rsid w:val="008D51F3"/>
  </w:style>
  <w:style w:type="paragraph" w:customStyle="1" w:styleId="story-bodyintroduction">
    <w:name w:val="story-body__introduction"/>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off-screen">
    <w:name w:val="off-screen"/>
    <w:rsid w:val="001F3F5A"/>
  </w:style>
  <w:style w:type="character" w:customStyle="1" w:styleId="story-image-copyright">
    <w:name w:val="story-image-copyright"/>
    <w:rsid w:val="001F3F5A"/>
  </w:style>
  <w:style w:type="character" w:customStyle="1" w:styleId="media-captiontext">
    <w:name w:val="media-caption__text"/>
    <w:rsid w:val="001F3F5A"/>
  </w:style>
  <w:style w:type="character" w:customStyle="1" w:styleId="followbutton-bird">
    <w:name w:val="followbutton-bird"/>
    <w:rsid w:val="001F3F5A"/>
  </w:style>
  <w:style w:type="paragraph" w:customStyle="1" w:styleId="tweettextsize">
    <w:name w:val="tweettextsize"/>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
    <w:name w:val="intro"/>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electionshareable">
    <w:name w:val="selectionshareable"/>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arker-quote1">
    <w:name w:val="marker-quote1"/>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margin">
    <w:name w:val="no-margin"/>
    <w:basedOn w:val="a2"/>
    <w:rsid w:val="001F3F5A"/>
    <w:pPr>
      <w:widowControl/>
      <w:bidi w:val="0"/>
      <w:spacing w:before="100" w:beforeAutospacing="1" w:after="100" w:afterAutospacing="1" w:line="240" w:lineRule="auto"/>
      <w:ind w:firstLine="0"/>
      <w:jc w:val="left"/>
    </w:pPr>
    <w:rPr>
      <w:rFonts w:ascii="Times New Roman" w:hAnsi="Times New Roman" w:cs="Times New Roman"/>
      <w:sz w:val="24"/>
      <w:szCs w:val="24"/>
      <w:lang w:val="en-GB" w:eastAsia="en-GB"/>
    </w:rPr>
  </w:style>
  <w:style w:type="paragraph" w:customStyle="1" w:styleId="Heading21">
    <w:name w:val="Heading 21"/>
    <w:basedOn w:val="a2"/>
    <w:next w:val="a2"/>
    <w:uiPriority w:val="9"/>
    <w:unhideWhenUsed/>
    <w:qFormat/>
    <w:rsid w:val="009B65D5"/>
    <w:pPr>
      <w:keepNext/>
      <w:keepLines/>
      <w:widowControl/>
      <w:spacing w:before="40" w:line="276" w:lineRule="auto"/>
      <w:ind w:firstLine="0"/>
      <w:jc w:val="left"/>
      <w:outlineLvl w:val="1"/>
    </w:pPr>
    <w:rPr>
      <w:rFonts w:ascii="Calibri Light" w:hAnsi="Calibri Light" w:cs="Times New Roman"/>
      <w:color w:val="2E74B5"/>
      <w:sz w:val="26"/>
      <w:szCs w:val="26"/>
    </w:rPr>
  </w:style>
  <w:style w:type="numbering" w:customStyle="1" w:styleId="NoList1">
    <w:name w:val="No List1"/>
    <w:next w:val="a5"/>
    <w:uiPriority w:val="99"/>
    <w:semiHidden/>
    <w:unhideWhenUsed/>
    <w:rsid w:val="009B65D5"/>
  </w:style>
  <w:style w:type="paragraph" w:customStyle="1" w:styleId="NoSpacing1">
    <w:name w:val="No Spacing1"/>
    <w:next w:val="afffffff6"/>
    <w:link w:val="NoSpacingChar"/>
    <w:uiPriority w:val="1"/>
    <w:qFormat/>
    <w:rsid w:val="009B65D5"/>
    <w:rPr>
      <w:rFonts w:asciiTheme="minorHAnsi" w:hAnsiTheme="minorHAnsi" w:cstheme="minorBidi"/>
      <w:sz w:val="22"/>
      <w:szCs w:val="22"/>
    </w:rPr>
  </w:style>
  <w:style w:type="character" w:customStyle="1" w:styleId="NoSpacingChar">
    <w:name w:val="No Spacing Char"/>
    <w:basedOn w:val="a3"/>
    <w:link w:val="NoSpacing1"/>
    <w:uiPriority w:val="1"/>
    <w:rsid w:val="009B65D5"/>
    <w:rPr>
      <w:rFonts w:asciiTheme="minorHAnsi" w:hAnsiTheme="minorHAnsi" w:cstheme="minorBidi"/>
      <w:sz w:val="22"/>
      <w:szCs w:val="22"/>
    </w:rPr>
  </w:style>
  <w:style w:type="paragraph" w:customStyle="1" w:styleId="Charfff4">
    <w:name w:val="النصص Char"/>
    <w:basedOn w:val="a2"/>
    <w:link w:val="CharChar4"/>
    <w:rsid w:val="009B65D5"/>
    <w:pPr>
      <w:spacing w:line="204" w:lineRule="auto"/>
      <w:ind w:firstLine="454"/>
      <w:jc w:val="lowKashida"/>
    </w:pPr>
    <w:rPr>
      <w:rFonts w:ascii="Arial" w:eastAsia="MS Mincho" w:hAnsi="Arial" w:cs="ajk-kawthar3 normal-simplifid"/>
      <w:color w:val="000000"/>
      <w:szCs w:val="29"/>
    </w:rPr>
  </w:style>
  <w:style w:type="character" w:customStyle="1" w:styleId="CharChar4">
    <w:name w:val="النصص Char Char"/>
    <w:link w:val="Charfff4"/>
    <w:rsid w:val="009B65D5"/>
    <w:rPr>
      <w:rFonts w:ascii="Arial" w:eastAsia="MS Mincho" w:hAnsi="Arial" w:cs="ajk-kawthar3 normal-simplifid"/>
      <w:color w:val="000000"/>
      <w:sz w:val="28"/>
      <w:szCs w:val="29"/>
    </w:rPr>
  </w:style>
  <w:style w:type="paragraph" w:customStyle="1" w:styleId="02Char">
    <w:name w:val="02 Char"/>
    <w:basedOn w:val="a2"/>
    <w:link w:val="02CharChar"/>
    <w:rsid w:val="009B65D5"/>
    <w:pPr>
      <w:keepNext/>
      <w:spacing w:before="160" w:after="40" w:line="216" w:lineRule="auto"/>
      <w:ind w:firstLine="0"/>
      <w:jc w:val="left"/>
    </w:pPr>
    <w:rPr>
      <w:rFonts w:ascii="Arial" w:eastAsia="MS Mincho" w:hAnsi="Arial" w:cs="AMUNA"/>
      <w:color w:val="000000"/>
      <w:sz w:val="30"/>
      <w:szCs w:val="35"/>
    </w:rPr>
  </w:style>
  <w:style w:type="character" w:customStyle="1" w:styleId="02CharChar">
    <w:name w:val="02 Char Char"/>
    <w:link w:val="02Char"/>
    <w:rsid w:val="009B65D5"/>
    <w:rPr>
      <w:rFonts w:ascii="Arial" w:eastAsia="MS Mincho" w:hAnsi="Arial" w:cs="AMUNA"/>
      <w:color w:val="000000"/>
      <w:sz w:val="30"/>
      <w:szCs w:val="35"/>
    </w:rPr>
  </w:style>
  <w:style w:type="paragraph" w:customStyle="1" w:styleId="0000">
    <w:name w:val="0000"/>
    <w:basedOn w:val="a2"/>
    <w:rsid w:val="009B65D5"/>
    <w:pPr>
      <w:spacing w:line="240" w:lineRule="auto"/>
      <w:ind w:firstLine="0"/>
      <w:jc w:val="center"/>
    </w:pPr>
    <w:rPr>
      <w:rFonts w:ascii="Arial" w:eastAsia="MS Mincho" w:hAnsi="Arial" w:cs="ajk-mohsen"/>
      <w:bCs/>
      <w:color w:val="000000"/>
      <w:sz w:val="38"/>
      <w:szCs w:val="38"/>
      <w:lang w:bidi="ar-LB"/>
    </w:rPr>
  </w:style>
  <w:style w:type="paragraph" w:customStyle="1" w:styleId="afffffff7">
    <w:name w:val="ححاشية"/>
    <w:basedOn w:val="a2"/>
    <w:rsid w:val="009B65D5"/>
    <w:pPr>
      <w:spacing w:line="216" w:lineRule="auto"/>
      <w:ind w:left="340" w:hanging="340"/>
      <w:jc w:val="lowKashida"/>
    </w:pPr>
    <w:rPr>
      <w:rFonts w:ascii="Arial" w:eastAsia="MS Mincho" w:hAnsi="Arial" w:cs="ALMUNA"/>
      <w:sz w:val="18"/>
      <w:szCs w:val="24"/>
    </w:rPr>
  </w:style>
  <w:style w:type="numbering" w:customStyle="1" w:styleId="1fa">
    <w:name w:val="بلا قائمة1"/>
    <w:next w:val="a5"/>
    <w:uiPriority w:val="99"/>
    <w:semiHidden/>
    <w:unhideWhenUsed/>
    <w:rsid w:val="009B65D5"/>
  </w:style>
  <w:style w:type="paragraph" w:customStyle="1" w:styleId="1fb">
    <w:name w:val="عادي 1"/>
    <w:basedOn w:val="a2"/>
    <w:link w:val="1Char5"/>
    <w:rsid w:val="009B65D5"/>
    <w:pPr>
      <w:widowControl/>
      <w:spacing w:before="120" w:line="460" w:lineRule="exact"/>
      <w:jc w:val="lowKashida"/>
    </w:pPr>
    <w:rPr>
      <w:rFonts w:ascii="Times New Roman" w:hAnsi="Times New Roman" w:cs="Rateb lotusb2011"/>
      <w:sz w:val="32"/>
      <w:szCs w:val="30"/>
      <w:lang w:val="fr-FR"/>
    </w:rPr>
  </w:style>
  <w:style w:type="paragraph" w:customStyle="1" w:styleId="1-ctrl">
    <w:name w:val="عنوان فرعي1-ctrlذ"/>
    <w:basedOn w:val="a2"/>
    <w:link w:val="1-ctrlChar"/>
    <w:rsid w:val="009B65D5"/>
    <w:pPr>
      <w:widowControl/>
      <w:spacing w:before="240" w:after="40" w:line="460" w:lineRule="exact"/>
      <w:ind w:firstLine="0"/>
      <w:jc w:val="lowKashida"/>
    </w:pPr>
    <w:rPr>
      <w:rFonts w:ascii="JALAL" w:hAnsi="JALAL" w:cs="Monotype Koufi"/>
      <w:b/>
      <w:bCs/>
      <w:color w:val="000000"/>
      <w:sz w:val="32"/>
      <w:szCs w:val="32"/>
    </w:rPr>
  </w:style>
  <w:style w:type="character" w:customStyle="1" w:styleId="1-ctrlChar">
    <w:name w:val="عنوان فرعي1-ctrlذ Char"/>
    <w:basedOn w:val="a3"/>
    <w:link w:val="1-ctrl"/>
    <w:rsid w:val="009B65D5"/>
    <w:rPr>
      <w:rFonts w:ascii="JALAL" w:hAnsi="JALAL" w:cs="Monotype Koufi"/>
      <w:b/>
      <w:bCs/>
      <w:color w:val="000000"/>
      <w:sz w:val="32"/>
      <w:szCs w:val="32"/>
    </w:rPr>
  </w:style>
  <w:style w:type="paragraph" w:customStyle="1" w:styleId="4b">
    <w:name w:val="نص بعد العنوان الفرعي 4"/>
    <w:basedOn w:val="a2"/>
    <w:link w:val="4Char2"/>
    <w:rsid w:val="009B65D5"/>
    <w:pPr>
      <w:spacing w:before="20" w:line="460" w:lineRule="exact"/>
      <w:jc w:val="lowKashida"/>
    </w:pPr>
    <w:rPr>
      <w:rFonts w:ascii="Times New Roman" w:hAnsi="Times New Roman" w:cs="Rateb lotusb2011"/>
      <w:szCs w:val="30"/>
    </w:rPr>
  </w:style>
  <w:style w:type="character" w:customStyle="1" w:styleId="4Char2">
    <w:name w:val="نص بعد العنوان الفرعي 4 Char"/>
    <w:basedOn w:val="a3"/>
    <w:link w:val="4b"/>
    <w:rsid w:val="009B65D5"/>
    <w:rPr>
      <w:rFonts w:ascii="Times New Roman" w:hAnsi="Times New Roman" w:cs="Rateb lotusb2011"/>
      <w:sz w:val="28"/>
      <w:szCs w:val="30"/>
    </w:rPr>
  </w:style>
  <w:style w:type="character" w:customStyle="1" w:styleId="1Char5">
    <w:name w:val="عادي 1 Char"/>
    <w:basedOn w:val="a3"/>
    <w:link w:val="1fb"/>
    <w:rsid w:val="009B65D5"/>
    <w:rPr>
      <w:rFonts w:ascii="Times New Roman" w:hAnsi="Times New Roman" w:cs="Rateb lotusb2011"/>
      <w:sz w:val="32"/>
      <w:szCs w:val="30"/>
      <w:lang w:val="fr-FR"/>
    </w:rPr>
  </w:style>
  <w:style w:type="character" w:customStyle="1" w:styleId="Hyperlink1">
    <w:name w:val="Hyperlink1"/>
    <w:basedOn w:val="a3"/>
    <w:uiPriority w:val="99"/>
    <w:unhideWhenUsed/>
    <w:rsid w:val="009B65D5"/>
    <w:rPr>
      <w:color w:val="0563C1"/>
      <w:u w:val="single"/>
    </w:rPr>
  </w:style>
  <w:style w:type="character" w:customStyle="1" w:styleId="apple-converted-space">
    <w:name w:val="apple-converted-space"/>
    <w:basedOn w:val="a3"/>
    <w:rsid w:val="009B65D5"/>
  </w:style>
  <w:style w:type="character" w:customStyle="1" w:styleId="textexposedshow">
    <w:name w:val="text_exposed_show"/>
    <w:basedOn w:val="a3"/>
    <w:rsid w:val="009B65D5"/>
  </w:style>
  <w:style w:type="paragraph" w:customStyle="1" w:styleId="FooterTextFooter">
    <w:name w:val="Footer_Text (Footer)"/>
    <w:basedOn w:val="a2"/>
    <w:uiPriority w:val="99"/>
    <w:rsid w:val="009B65D5"/>
    <w:pPr>
      <w:widowControl/>
      <w:autoSpaceDE w:val="0"/>
      <w:autoSpaceDN w:val="0"/>
      <w:adjustRightInd w:val="0"/>
      <w:spacing w:line="300" w:lineRule="atLeast"/>
      <w:ind w:left="283" w:hanging="283"/>
      <w:textAlignment w:val="center"/>
    </w:pPr>
    <w:rPr>
      <w:rFonts w:ascii="Lotus Linotype Light" w:eastAsiaTheme="minorHAnsi" w:hAnsiTheme="minorHAnsi" w:cs="Lotus Linotype Light"/>
      <w:color w:val="000000"/>
      <w:sz w:val="22"/>
      <w:szCs w:val="22"/>
      <w:lang w:bidi="ar-YE"/>
    </w:rPr>
  </w:style>
  <w:style w:type="character" w:customStyle="1" w:styleId="reference-text">
    <w:name w:val="reference-text"/>
    <w:basedOn w:val="a3"/>
    <w:rsid w:val="009B65D5"/>
  </w:style>
  <w:style w:type="character" w:customStyle="1" w:styleId="apple-tab-span">
    <w:name w:val="apple-tab-span"/>
    <w:basedOn w:val="a3"/>
    <w:rsid w:val="009B65D5"/>
  </w:style>
  <w:style w:type="numbering" w:customStyle="1" w:styleId="2f8">
    <w:name w:val="بلا قائمة2"/>
    <w:next w:val="a5"/>
    <w:uiPriority w:val="99"/>
    <w:semiHidden/>
    <w:unhideWhenUsed/>
    <w:rsid w:val="009B65D5"/>
  </w:style>
  <w:style w:type="character" w:customStyle="1" w:styleId="HeaderChar1">
    <w:name w:val="Header Char1"/>
    <w:basedOn w:val="a3"/>
    <w:uiPriority w:val="99"/>
    <w:semiHidden/>
    <w:rsid w:val="009B65D5"/>
    <w:rPr>
      <w:rFonts w:ascii="Calibri" w:eastAsia="Calibri" w:hAnsi="Calibri" w:cs="Arial"/>
    </w:rPr>
  </w:style>
  <w:style w:type="paragraph" w:customStyle="1" w:styleId="1Char6">
    <w:name w:val="نص 1 Char"/>
    <w:basedOn w:val="a2"/>
    <w:rsid w:val="009B65D5"/>
    <w:pPr>
      <w:spacing w:before="120" w:line="460" w:lineRule="exact"/>
      <w:jc w:val="lowKashida"/>
    </w:pPr>
    <w:rPr>
      <w:rFonts w:ascii="Times New Roman" w:hAnsi="Times New Roman" w:cs="Rateb lotusb2011"/>
      <w:sz w:val="30"/>
      <w:szCs w:val="30"/>
      <w:lang w:val="en-GB" w:eastAsia="en-GB"/>
    </w:rPr>
  </w:style>
  <w:style w:type="character" w:customStyle="1" w:styleId="Heading1Char10">
    <w:name w:val="Heading 1 Char1"/>
    <w:basedOn w:val="a3"/>
    <w:uiPriority w:val="9"/>
    <w:rsid w:val="009B65D5"/>
    <w:rPr>
      <w:rFonts w:asciiTheme="majorHAnsi" w:eastAsiaTheme="majorEastAsia" w:hAnsiTheme="majorHAnsi" w:cstheme="majorBidi"/>
      <w:color w:val="365F91" w:themeColor="accent1" w:themeShade="BF"/>
      <w:sz w:val="32"/>
      <w:szCs w:val="32"/>
    </w:rPr>
  </w:style>
  <w:style w:type="paragraph" w:customStyle="1" w:styleId="lineaya">
    <w:name w:val="lineaya"/>
    <w:basedOn w:val="a2"/>
    <w:rsid w:val="00A60A69"/>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numbering" w:customStyle="1" w:styleId="CurrentList1">
    <w:name w:val="Current List1"/>
    <w:uiPriority w:val="99"/>
    <w:rsid w:val="00A60A69"/>
    <w:pPr>
      <w:numPr>
        <w:numId w:val="17"/>
      </w:numPr>
    </w:pPr>
  </w:style>
  <w:style w:type="paragraph" w:customStyle="1" w:styleId="Body">
    <w:name w:val="Body"/>
    <w:rsid w:val="0001386F"/>
    <w:pPr>
      <w:pBdr>
        <w:top w:val="nil"/>
        <w:left w:val="nil"/>
        <w:bottom w:val="nil"/>
        <w:right w:val="nil"/>
        <w:between w:val="nil"/>
        <w:bar w:val="nil"/>
      </w:pBdr>
      <w:bidi/>
    </w:pPr>
    <w:rPr>
      <w:rFonts w:ascii="Arial Unicode MS" w:eastAsia="Arial Unicode MS" w:hAnsi="Arial Unicode MS" w:cs="Helvetica" w:hint="cs"/>
      <w:color w:val="000000"/>
      <w:sz w:val="22"/>
      <w:szCs w:val="22"/>
      <w:bdr w:val="nil"/>
      <w:lang w:val="ar-SA"/>
    </w:rPr>
  </w:style>
  <w:style w:type="paragraph" w:customStyle="1" w:styleId="Default">
    <w:name w:val="Default"/>
    <w:rsid w:val="0001386F"/>
    <w:rPr>
      <w:rFonts w:ascii="Arial Unicode MS" w:eastAsia="Arial Unicode MS" w:hAnsi="Helvetica" w:cs="Helvetica"/>
      <w:color w:val="000000"/>
      <w:sz w:val="22"/>
      <w:szCs w:val="22"/>
      <w:lang w:val="ar-SA"/>
    </w:rPr>
  </w:style>
  <w:style w:type="character" w:customStyle="1" w:styleId="needref">
    <w:name w:val="need_ref"/>
    <w:basedOn w:val="a3"/>
    <w:rsid w:val="0043677F"/>
  </w:style>
  <w:style w:type="paragraph" w:customStyle="1" w:styleId="fz-ms">
    <w:name w:val="fz-ms"/>
    <w:basedOn w:val="a2"/>
    <w:rsid w:val="0043677F"/>
    <w:pPr>
      <w:widowControl/>
      <w:bidi w:val="0"/>
      <w:spacing w:before="100" w:beforeAutospacing="1" w:after="100" w:afterAutospacing="1" w:line="240" w:lineRule="auto"/>
      <w:ind w:firstLine="0"/>
      <w:jc w:val="left"/>
    </w:pPr>
    <w:rPr>
      <w:rFonts w:ascii="Times New Roman" w:hAnsi="Times New Roman" w:cs="Times New Roman"/>
      <w:sz w:val="24"/>
      <w:szCs w:val="24"/>
      <w:lang w:val="fr-FR" w:eastAsia="fr-FR"/>
    </w:rPr>
  </w:style>
  <w:style w:type="table" w:customStyle="1" w:styleId="TableNormal">
    <w:name w:val="Table Normal"/>
    <w:rsid w:val="00962F60"/>
    <w:rPr>
      <w:rFonts w:eastAsia="Calibri" w:cs="Calibri"/>
      <w:sz w:val="24"/>
      <w:szCs w:val="24"/>
    </w:rPr>
    <w:tblPr>
      <w:tblCellMar>
        <w:top w:w="0" w:type="dxa"/>
        <w:left w:w="0" w:type="dxa"/>
        <w:bottom w:w="0" w:type="dxa"/>
        <w:right w:w="0" w:type="dxa"/>
      </w:tblCellMar>
    </w:tblPr>
  </w:style>
  <w:style w:type="character" w:customStyle="1" w:styleId="st">
    <w:name w:val="st"/>
    <w:basedOn w:val="a3"/>
    <w:rsid w:val="007C76F0"/>
  </w:style>
  <w:style w:type="paragraph" w:customStyle="1" w:styleId="NoParagraphStyle">
    <w:name w:val="[No Paragraph Style]"/>
    <w:rsid w:val="007C76F0"/>
    <w:pPr>
      <w:autoSpaceDE w:val="0"/>
      <w:autoSpaceDN w:val="0"/>
      <w:bidi/>
      <w:adjustRightInd w:val="0"/>
      <w:spacing w:line="288" w:lineRule="auto"/>
      <w:textAlignment w:val="center"/>
    </w:pPr>
    <w:rPr>
      <w:rFonts w:ascii="Adobe Arabic" w:eastAsiaTheme="minorHAnsi" w:hAnsi="Adobe Arabic" w:cs="Adobe Arabic"/>
      <w:color w:val="000000"/>
      <w:sz w:val="24"/>
      <w:szCs w:val="24"/>
      <w:lang w:bidi="ar-YE"/>
    </w:rPr>
  </w:style>
  <w:style w:type="character" w:customStyle="1" w:styleId="afffffff8">
    <w:name w:val="اية"/>
    <w:uiPriority w:val="99"/>
    <w:rsid w:val="007C76F0"/>
    <w:rPr>
      <w:rFonts w:ascii="KFGQPC Uthmanic Script HAFS" w:cs="KFGQPC Uthmanic Script HAFS"/>
      <w:color w:val="575757"/>
      <w:sz w:val="30"/>
      <w:szCs w:val="30"/>
      <w:lang w:bidi="ar-SA"/>
    </w:rPr>
  </w:style>
  <w:style w:type="character" w:customStyle="1" w:styleId="afffffff9">
    <w:name w:val="الايات"/>
    <w:uiPriority w:val="99"/>
    <w:rsid w:val="007C76F0"/>
    <w:rPr>
      <w:sz w:val="24"/>
      <w:szCs w:val="24"/>
    </w:rPr>
  </w:style>
  <w:style w:type="paragraph" w:customStyle="1" w:styleId="BasicParagraph">
    <w:name w:val="[Basic Paragraph]"/>
    <w:basedOn w:val="NoParagraphStyle"/>
    <w:uiPriority w:val="99"/>
    <w:rsid w:val="007C76F0"/>
  </w:style>
  <w:style w:type="paragraph" w:customStyle="1" w:styleId="afffffffa">
    <w:name w:val="نص اساسي"/>
    <w:basedOn w:val="NoParagraphStyle"/>
    <w:uiPriority w:val="99"/>
    <w:rsid w:val="007C76F0"/>
    <w:pPr>
      <w:spacing w:before="57" w:after="57" w:line="450" w:lineRule="atLeast"/>
      <w:ind w:firstLine="397"/>
      <w:jc w:val="both"/>
    </w:pPr>
    <w:rPr>
      <w:rFonts w:ascii="Lotus Linotype" w:hAnsi="Lotus Linotype" w:cs="Lotus Linotype"/>
      <w:spacing w:val="-2"/>
      <w:sz w:val="31"/>
      <w:szCs w:val="31"/>
    </w:rPr>
  </w:style>
  <w:style w:type="paragraph" w:customStyle="1" w:styleId="afffffffb">
    <w:name w:val="فاصل جديد"/>
    <w:basedOn w:val="afffffffa"/>
    <w:uiPriority w:val="99"/>
    <w:rsid w:val="007C76F0"/>
    <w:pPr>
      <w:pageBreakBefore/>
      <w:spacing w:after="850"/>
      <w:jc w:val="left"/>
    </w:pPr>
    <w:rPr>
      <w:b/>
      <w:bCs/>
      <w:sz w:val="44"/>
      <w:szCs w:val="44"/>
    </w:rPr>
  </w:style>
  <w:style w:type="paragraph" w:customStyle="1" w:styleId="afffffffc">
    <w:name w:val="عنوان جانبي"/>
    <w:basedOn w:val="afffffffa"/>
    <w:uiPriority w:val="99"/>
    <w:rsid w:val="007C76F0"/>
    <w:pPr>
      <w:keepNext/>
      <w:keepLines/>
      <w:spacing w:before="113" w:after="0"/>
      <w:ind w:firstLine="0"/>
    </w:pPr>
    <w:rPr>
      <w:rFonts w:ascii="AXtManalBLack" w:hAnsi="AXtManalBLack" w:cs="AXtManalBLack"/>
      <w:sz w:val="34"/>
      <w:szCs w:val="34"/>
    </w:rPr>
  </w:style>
  <w:style w:type="paragraph" w:customStyle="1" w:styleId="afffffffd">
    <w:name w:val="داخل الجانبي"/>
    <w:basedOn w:val="afffffffc"/>
    <w:uiPriority w:val="99"/>
    <w:rsid w:val="007C76F0"/>
    <w:pPr>
      <w:ind w:firstLine="340"/>
    </w:pPr>
    <w:rPr>
      <w:rFonts w:ascii="AXtManalBold" w:hAnsi="AXtManalBold" w:cs="AXtManalBold"/>
      <w:sz w:val="38"/>
      <w:szCs w:val="38"/>
    </w:rPr>
  </w:style>
  <w:style w:type="character" w:customStyle="1" w:styleId="afffffffe">
    <w:name w:val="غامق"/>
    <w:uiPriority w:val="99"/>
    <w:rsid w:val="007C76F0"/>
    <w:rPr>
      <w:b/>
      <w:bCs/>
    </w:rPr>
  </w:style>
  <w:style w:type="character" w:customStyle="1" w:styleId="affffffff">
    <w:name w:val="اسم السورة"/>
    <w:uiPriority w:val="99"/>
    <w:rsid w:val="007C76F0"/>
    <w:rPr>
      <w:sz w:val="24"/>
      <w:szCs w:val="24"/>
    </w:rPr>
  </w:style>
  <w:style w:type="character" w:customStyle="1" w:styleId="affffffff0">
    <w:name w:val="انجليزي"/>
    <w:uiPriority w:val="99"/>
    <w:rsid w:val="007C76F0"/>
    <w:rPr>
      <w:rFonts w:ascii="Gadugi" w:hAnsi="Gadugi" w:cs="Gadugi"/>
      <w:sz w:val="16"/>
      <w:szCs w:val="16"/>
    </w:rPr>
  </w:style>
  <w:style w:type="paragraph" w:customStyle="1" w:styleId="affffffff1">
    <w:name w:val="باب"/>
    <w:basedOn w:val="afffff"/>
    <w:uiPriority w:val="99"/>
    <w:rsid w:val="007C76F0"/>
    <w:pPr>
      <w:keepLines/>
      <w:widowControl/>
      <w:tabs>
        <w:tab w:val="clear" w:pos="1800"/>
      </w:tabs>
      <w:autoSpaceDE w:val="0"/>
      <w:autoSpaceDN w:val="0"/>
      <w:adjustRightInd w:val="0"/>
      <w:spacing w:before="113" w:after="454" w:line="480" w:lineRule="atLeast"/>
      <w:ind w:left="2608" w:firstLine="0"/>
      <w:jc w:val="left"/>
      <w:textAlignment w:val="center"/>
      <w:outlineLvl w:val="9"/>
    </w:pPr>
    <w:rPr>
      <w:rFonts w:ascii="GE Flow (OTF) Bold" w:eastAsiaTheme="minorHAnsi" w:hAnsiTheme="minorHAnsi" w:cs="GE Flow (OTF) Bold"/>
      <w:b/>
      <w:bCs/>
      <w:color w:val="000000"/>
      <w:spacing w:val="-2"/>
      <w:sz w:val="34"/>
      <w:szCs w:val="34"/>
      <w:lang w:bidi="ar-YE"/>
    </w:rPr>
  </w:style>
  <w:style w:type="table" w:customStyle="1" w:styleId="1fc">
    <w:name w:val="شبكة جدول1"/>
    <w:basedOn w:val="a4"/>
    <w:next w:val="ad"/>
    <w:rsid w:val="00482FB1"/>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4iawc">
    <w:name w:val="q4iawc"/>
    <w:basedOn w:val="a3"/>
    <w:rsid w:val="009E10D6"/>
  </w:style>
  <w:style w:type="paragraph" w:customStyle="1" w:styleId="affffffff2">
    <w:name w:val="المثال"/>
    <w:basedOn w:val="a2"/>
    <w:link w:val="Charfff5"/>
    <w:rsid w:val="008A3F20"/>
    <w:pPr>
      <w:widowControl/>
      <w:spacing w:before="100" w:beforeAutospacing="1" w:line="240" w:lineRule="auto"/>
    </w:pPr>
    <w:rPr>
      <w:rFonts w:ascii="Times New Roman" w:hAnsi="Times New Roman" w:cs="Abz-2 (Badr)"/>
      <w:bCs/>
      <w:sz w:val="24"/>
      <w:szCs w:val="32"/>
    </w:rPr>
  </w:style>
  <w:style w:type="character" w:customStyle="1" w:styleId="Charfff5">
    <w:name w:val="المثال Char"/>
    <w:link w:val="affffffff2"/>
    <w:rsid w:val="008A3F20"/>
    <w:rPr>
      <w:rFonts w:ascii="Times New Roman" w:hAnsi="Times New Roman" w:cs="Abz-2 (Badr)"/>
      <w:bCs/>
      <w:sz w:val="24"/>
      <w:szCs w:val="32"/>
    </w:rPr>
  </w:style>
  <w:style w:type="paragraph" w:customStyle="1" w:styleId="affffffff3">
    <w:name w:val="الدرس"/>
    <w:basedOn w:val="a2"/>
    <w:link w:val="Charfff6"/>
    <w:rsid w:val="008A3F20"/>
    <w:pPr>
      <w:widowControl/>
      <w:spacing w:line="240" w:lineRule="auto"/>
    </w:pPr>
    <w:rPr>
      <w:rFonts w:ascii="Times New Roman" w:hAnsi="Times New Roman" w:cs="Abz-1 (Lotus)"/>
      <w:bCs/>
      <w:sz w:val="24"/>
      <w:szCs w:val="32"/>
    </w:rPr>
  </w:style>
  <w:style w:type="character" w:customStyle="1" w:styleId="Charfff6">
    <w:name w:val="الدرس Char"/>
    <w:link w:val="affffffff3"/>
    <w:rsid w:val="008A3F20"/>
    <w:rPr>
      <w:rFonts w:ascii="Times New Roman" w:hAnsi="Times New Roman" w:cs="Abz-1 (Lotus)"/>
      <w:bCs/>
      <w:sz w:val="24"/>
      <w:szCs w:val="32"/>
    </w:rPr>
  </w:style>
  <w:style w:type="paragraph" w:customStyle="1" w:styleId="59">
    <w:name w:val="ع 5"/>
    <w:basedOn w:val="a2"/>
    <w:link w:val="5CharChar"/>
    <w:rsid w:val="008A3F20"/>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8A3F20"/>
    <w:rPr>
      <w:rFonts w:ascii="Times New Roman" w:hAnsi="Times New Roman"/>
      <w:bCs/>
      <w:sz w:val="24"/>
      <w:szCs w:val="26"/>
    </w:rPr>
  </w:style>
  <w:style w:type="paragraph" w:customStyle="1" w:styleId="65">
    <w:name w:val="ع 6"/>
    <w:basedOn w:val="a2"/>
    <w:next w:val="a2"/>
    <w:rsid w:val="008A3F20"/>
    <w:pPr>
      <w:widowControl/>
      <w:spacing w:line="240" w:lineRule="auto"/>
      <w:ind w:firstLine="284"/>
      <w:jc w:val="lowKashida"/>
    </w:pPr>
    <w:rPr>
      <w:rFonts w:ascii="Times New Roman" w:hAnsi="Times New Roman" w:cs="Arabic Transparent"/>
      <w:bCs/>
      <w:sz w:val="24"/>
      <w:szCs w:val="25"/>
    </w:rPr>
  </w:style>
  <w:style w:type="paragraph" w:customStyle="1" w:styleId="affffffff4">
    <w:name w:val="الفائدة"/>
    <w:basedOn w:val="a2"/>
    <w:next w:val="a2"/>
    <w:link w:val="CharChar5"/>
    <w:rsid w:val="008A3F20"/>
    <w:pPr>
      <w:widowControl/>
      <w:spacing w:before="100" w:beforeAutospacing="1" w:line="240" w:lineRule="auto"/>
    </w:pPr>
    <w:rPr>
      <w:rFonts w:ascii="Times New Roman" w:hAnsi="Times New Roman" w:cs="Abz-1 (Lotus)"/>
      <w:bCs/>
      <w:sz w:val="24"/>
      <w:szCs w:val="32"/>
    </w:rPr>
  </w:style>
  <w:style w:type="character" w:customStyle="1" w:styleId="CharChar5">
    <w:name w:val="الفائدة Char Char"/>
    <w:link w:val="affffffff4"/>
    <w:rsid w:val="008A3F20"/>
    <w:rPr>
      <w:rFonts w:ascii="Times New Roman" w:hAnsi="Times New Roman" w:cs="Abz-1 (Lotus)"/>
      <w:bCs/>
      <w:sz w:val="24"/>
      <w:szCs w:val="32"/>
    </w:rPr>
  </w:style>
  <w:style w:type="paragraph" w:customStyle="1" w:styleId="74">
    <w:name w:val="ع 7"/>
    <w:basedOn w:val="a2"/>
    <w:link w:val="7CharChar"/>
    <w:rsid w:val="008A3F20"/>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8A3F20"/>
    <w:rPr>
      <w:rFonts w:ascii="Times New Roman" w:hAnsi="Times New Roman" w:cs="Akhbar MT"/>
      <w:sz w:val="24"/>
      <w:szCs w:val="32"/>
    </w:rPr>
  </w:style>
  <w:style w:type="paragraph" w:customStyle="1" w:styleId="affffffff5">
    <w:name w:val="الملاحظة"/>
    <w:basedOn w:val="a2"/>
    <w:link w:val="Charfff7"/>
    <w:rsid w:val="008A3F20"/>
    <w:pPr>
      <w:widowControl/>
      <w:spacing w:line="240" w:lineRule="auto"/>
    </w:pPr>
    <w:rPr>
      <w:rFonts w:ascii="Times New Roman" w:hAnsi="Times New Roman" w:cs="Abz-2 (Badr)"/>
      <w:bCs/>
      <w:sz w:val="24"/>
      <w:szCs w:val="32"/>
    </w:rPr>
  </w:style>
  <w:style w:type="character" w:customStyle="1" w:styleId="Charfff7">
    <w:name w:val="الملاحظة Char"/>
    <w:link w:val="affffffff5"/>
    <w:rsid w:val="008A3F20"/>
    <w:rPr>
      <w:rFonts w:ascii="Times New Roman" w:hAnsi="Times New Roman" w:cs="Abz-2 (Badr)"/>
      <w:bCs/>
      <w:sz w:val="24"/>
      <w:szCs w:val="32"/>
    </w:rPr>
  </w:style>
  <w:style w:type="paragraph" w:customStyle="1" w:styleId="affffffff6">
    <w:name w:val="التاريخ"/>
    <w:basedOn w:val="a2"/>
    <w:link w:val="Charfff8"/>
    <w:rsid w:val="008A3F20"/>
    <w:pPr>
      <w:widowControl/>
      <w:spacing w:line="240" w:lineRule="auto"/>
    </w:pPr>
    <w:rPr>
      <w:rFonts w:ascii="Times New Roman" w:hAnsi="Times New Roman" w:cs="Al-Najaf95"/>
      <w:bCs/>
      <w:sz w:val="24"/>
      <w:szCs w:val="32"/>
    </w:rPr>
  </w:style>
  <w:style w:type="character" w:customStyle="1" w:styleId="Charfff8">
    <w:name w:val="التاريخ Char"/>
    <w:link w:val="affffffff6"/>
    <w:rsid w:val="008A3F20"/>
    <w:rPr>
      <w:rFonts w:ascii="Times New Roman" w:hAnsi="Times New Roman" w:cs="Al-Najaf95"/>
      <w:bCs/>
      <w:sz w:val="24"/>
      <w:szCs w:val="32"/>
    </w:rPr>
  </w:style>
  <w:style w:type="paragraph" w:customStyle="1" w:styleId="affffffff7">
    <w:name w:val="اليوم"/>
    <w:basedOn w:val="a2"/>
    <w:link w:val="Charfff9"/>
    <w:rsid w:val="008A3F20"/>
    <w:pPr>
      <w:widowControl/>
      <w:spacing w:before="100" w:beforeAutospacing="1" w:line="240" w:lineRule="auto"/>
    </w:pPr>
    <w:rPr>
      <w:rFonts w:ascii="Times New Roman" w:hAnsi="Times New Roman" w:cs="Al-Najaf95"/>
      <w:b/>
      <w:bCs/>
      <w:sz w:val="32"/>
      <w:szCs w:val="32"/>
    </w:rPr>
  </w:style>
  <w:style w:type="character" w:customStyle="1" w:styleId="Charfff9">
    <w:name w:val="اليوم Char"/>
    <w:link w:val="affffffff7"/>
    <w:rsid w:val="008A3F20"/>
    <w:rPr>
      <w:rFonts w:ascii="Times New Roman" w:hAnsi="Times New Roman" w:cs="Al-Najaf95"/>
      <w:b/>
      <w:bCs/>
      <w:sz w:val="32"/>
      <w:szCs w:val="32"/>
    </w:rPr>
  </w:style>
  <w:style w:type="paragraph" w:customStyle="1" w:styleId="92">
    <w:name w:val="عنوان9"/>
    <w:basedOn w:val="a2"/>
    <w:link w:val="9Char0"/>
    <w:rsid w:val="008A3F20"/>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8A3F20"/>
    <w:rPr>
      <w:rFonts w:ascii="Times New Roman" w:hAnsi="Times New Roman" w:cs="Abz-2 (Badr)"/>
      <w:bCs/>
      <w:sz w:val="28"/>
      <w:szCs w:val="32"/>
    </w:rPr>
  </w:style>
  <w:style w:type="paragraph" w:customStyle="1" w:styleId="affffffff8">
    <w:name w:val="بسم الله"/>
    <w:basedOn w:val="a2"/>
    <w:rsid w:val="008A3F20"/>
    <w:pPr>
      <w:widowControl/>
      <w:spacing w:line="240" w:lineRule="auto"/>
      <w:ind w:firstLine="0"/>
      <w:jc w:val="center"/>
    </w:pPr>
    <w:rPr>
      <w:rFonts w:ascii="Times New Roman" w:hAnsi="Times New Roman" w:cs="SKR HEAD1"/>
      <w:sz w:val="24"/>
      <w:szCs w:val="22"/>
    </w:rPr>
  </w:style>
  <w:style w:type="paragraph" w:customStyle="1" w:styleId="4c">
    <w:name w:val="ع 4"/>
    <w:basedOn w:val="a2"/>
    <w:next w:val="a2"/>
    <w:link w:val="4CharChar0"/>
    <w:rsid w:val="008A3F20"/>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c"/>
    <w:rsid w:val="008A3F20"/>
    <w:rPr>
      <w:rFonts w:ascii="Times New Roman" w:hAnsi="Times New Roman" w:cs="Courier New"/>
      <w:bCs/>
      <w:sz w:val="24"/>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0.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header" Target="header30.xml"/><Relationship Id="rId68" Type="http://schemas.openxmlformats.org/officeDocument/2006/relationships/footer" Target="footer26.xml"/><Relationship Id="rId84" Type="http://schemas.openxmlformats.org/officeDocument/2006/relationships/header" Target="header41.xml"/><Relationship Id="rId89" Type="http://schemas.openxmlformats.org/officeDocument/2006/relationships/header" Target="header44.xml"/><Relationship Id="rId112" Type="http://schemas.openxmlformats.org/officeDocument/2006/relationships/header" Target="header57.xml"/><Relationship Id="rId133" Type="http://schemas.openxmlformats.org/officeDocument/2006/relationships/header" Target="header68.xml"/><Relationship Id="rId138" Type="http://schemas.openxmlformats.org/officeDocument/2006/relationships/header" Target="header71.xml"/><Relationship Id="rId154" Type="http://schemas.openxmlformats.org/officeDocument/2006/relationships/footer" Target="footer64.xml"/><Relationship Id="rId159" Type="http://schemas.openxmlformats.org/officeDocument/2006/relationships/footer" Target="footer67.xml"/><Relationship Id="rId175" Type="http://schemas.openxmlformats.org/officeDocument/2006/relationships/header" Target="header92.xml"/><Relationship Id="rId170" Type="http://schemas.openxmlformats.org/officeDocument/2006/relationships/header" Target="header89.xml"/><Relationship Id="rId191" Type="http://schemas.openxmlformats.org/officeDocument/2006/relationships/header" Target="header101.xml"/><Relationship Id="rId16" Type="http://schemas.openxmlformats.org/officeDocument/2006/relationships/header" Target="header4.xml"/><Relationship Id="rId107" Type="http://schemas.openxmlformats.org/officeDocument/2006/relationships/header" Target="header54.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footer" Target="footer12.xml"/><Relationship Id="rId53" Type="http://schemas.openxmlformats.org/officeDocument/2006/relationships/header" Target="header24.xml"/><Relationship Id="rId58" Type="http://schemas.openxmlformats.org/officeDocument/2006/relationships/header" Target="header27.xml"/><Relationship Id="rId74" Type="http://schemas.openxmlformats.org/officeDocument/2006/relationships/footer" Target="footer29.xml"/><Relationship Id="rId79" Type="http://schemas.openxmlformats.org/officeDocument/2006/relationships/header" Target="header38.xml"/><Relationship Id="rId102" Type="http://schemas.openxmlformats.org/officeDocument/2006/relationships/header" Target="header51.xml"/><Relationship Id="rId123" Type="http://schemas.openxmlformats.org/officeDocument/2006/relationships/footer" Target="footer51.xml"/><Relationship Id="rId128" Type="http://schemas.openxmlformats.org/officeDocument/2006/relationships/footer" Target="footer53.xml"/><Relationship Id="rId144" Type="http://schemas.openxmlformats.org/officeDocument/2006/relationships/header" Target="header75.xml"/><Relationship Id="rId149" Type="http://schemas.openxmlformats.org/officeDocument/2006/relationships/footer" Target="footer62.xml"/><Relationship Id="rId5" Type="http://schemas.openxmlformats.org/officeDocument/2006/relationships/settings" Target="settings.xml"/><Relationship Id="rId90" Type="http://schemas.openxmlformats.org/officeDocument/2006/relationships/header" Target="header45.xml"/><Relationship Id="rId95" Type="http://schemas.openxmlformats.org/officeDocument/2006/relationships/footer" Target="footer38.xml"/><Relationship Id="rId160" Type="http://schemas.openxmlformats.org/officeDocument/2006/relationships/header" Target="header83.xml"/><Relationship Id="rId165" Type="http://schemas.openxmlformats.org/officeDocument/2006/relationships/header" Target="header86.xml"/><Relationship Id="rId181" Type="http://schemas.openxmlformats.org/officeDocument/2006/relationships/footer" Target="footer76.xml"/><Relationship Id="rId186" Type="http://schemas.openxmlformats.org/officeDocument/2006/relationships/footer" Target="footer79.xml"/><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footer" Target="footer24.xml"/><Relationship Id="rId69" Type="http://schemas.openxmlformats.org/officeDocument/2006/relationships/footer" Target="footer27.xml"/><Relationship Id="rId113" Type="http://schemas.openxmlformats.org/officeDocument/2006/relationships/footer" Target="footer46.xml"/><Relationship Id="rId118" Type="http://schemas.openxmlformats.org/officeDocument/2006/relationships/footer" Target="footer48.xml"/><Relationship Id="rId134" Type="http://schemas.openxmlformats.org/officeDocument/2006/relationships/header" Target="header69.xml"/><Relationship Id="rId139" Type="http://schemas.openxmlformats.org/officeDocument/2006/relationships/header" Target="header72.xml"/><Relationship Id="rId80" Type="http://schemas.openxmlformats.org/officeDocument/2006/relationships/header" Target="header39.xml"/><Relationship Id="rId85" Type="http://schemas.openxmlformats.org/officeDocument/2006/relationships/header" Target="header42.xml"/><Relationship Id="rId150" Type="http://schemas.openxmlformats.org/officeDocument/2006/relationships/footer" Target="footer63.xml"/><Relationship Id="rId155" Type="http://schemas.openxmlformats.org/officeDocument/2006/relationships/footer" Target="footer65.xml"/><Relationship Id="rId171" Type="http://schemas.openxmlformats.org/officeDocument/2006/relationships/header" Target="header90.xml"/><Relationship Id="rId176" Type="http://schemas.openxmlformats.org/officeDocument/2006/relationships/footer" Target="footer74.xml"/><Relationship Id="rId192"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footer" Target="footer22.xml"/><Relationship Id="rId103" Type="http://schemas.openxmlformats.org/officeDocument/2006/relationships/header" Target="header52.xml"/><Relationship Id="rId108" Type="http://schemas.openxmlformats.org/officeDocument/2006/relationships/header" Target="header55.xml"/><Relationship Id="rId124" Type="http://schemas.openxmlformats.org/officeDocument/2006/relationships/header" Target="header63.xml"/><Relationship Id="rId129" Type="http://schemas.openxmlformats.org/officeDocument/2006/relationships/header" Target="header66.xml"/><Relationship Id="rId54" Type="http://schemas.openxmlformats.org/officeDocument/2006/relationships/header" Target="header25.xml"/><Relationship Id="rId70" Type="http://schemas.openxmlformats.org/officeDocument/2006/relationships/header" Target="header33.xml"/><Relationship Id="rId75" Type="http://schemas.openxmlformats.org/officeDocument/2006/relationships/header" Target="header36.xml"/><Relationship Id="rId91" Type="http://schemas.openxmlformats.org/officeDocument/2006/relationships/footer" Target="footer36.xml"/><Relationship Id="rId96" Type="http://schemas.openxmlformats.org/officeDocument/2006/relationships/footer" Target="footer39.xml"/><Relationship Id="rId140" Type="http://schemas.openxmlformats.org/officeDocument/2006/relationships/footer" Target="footer58.xml"/><Relationship Id="rId145" Type="http://schemas.openxmlformats.org/officeDocument/2006/relationships/footer" Target="footer60.xml"/><Relationship Id="rId161" Type="http://schemas.openxmlformats.org/officeDocument/2006/relationships/header" Target="header84.xml"/><Relationship Id="rId166" Type="http://schemas.openxmlformats.org/officeDocument/2006/relationships/header" Target="header87.xml"/><Relationship Id="rId182" Type="http://schemas.openxmlformats.org/officeDocument/2006/relationships/footer" Target="footer77.xml"/><Relationship Id="rId187" Type="http://schemas.openxmlformats.org/officeDocument/2006/relationships/header" Target="header9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footer" Target="footer8.xml"/><Relationship Id="rId49" Type="http://schemas.openxmlformats.org/officeDocument/2006/relationships/header" Target="header22.xml"/><Relationship Id="rId114" Type="http://schemas.openxmlformats.org/officeDocument/2006/relationships/footer" Target="footer47.xml"/><Relationship Id="rId119" Type="http://schemas.openxmlformats.org/officeDocument/2006/relationships/footer" Target="footer49.xml"/><Relationship Id="rId44" Type="http://schemas.openxmlformats.org/officeDocument/2006/relationships/header" Target="header19.xml"/><Relationship Id="rId60" Type="http://schemas.openxmlformats.org/officeDocument/2006/relationships/footer" Target="footer23.xml"/><Relationship Id="rId65" Type="http://schemas.openxmlformats.org/officeDocument/2006/relationships/footer" Target="footer25.xml"/><Relationship Id="rId81" Type="http://schemas.openxmlformats.org/officeDocument/2006/relationships/header" Target="header40.xml"/><Relationship Id="rId86" Type="http://schemas.openxmlformats.org/officeDocument/2006/relationships/footer" Target="footer34.xml"/><Relationship Id="rId130" Type="http://schemas.openxmlformats.org/officeDocument/2006/relationships/header" Target="header67.xml"/><Relationship Id="rId135" Type="http://schemas.openxmlformats.org/officeDocument/2006/relationships/header" Target="header70.xml"/><Relationship Id="rId151" Type="http://schemas.openxmlformats.org/officeDocument/2006/relationships/header" Target="header78.xml"/><Relationship Id="rId156" Type="http://schemas.openxmlformats.org/officeDocument/2006/relationships/header" Target="header81.xml"/><Relationship Id="rId177" Type="http://schemas.openxmlformats.org/officeDocument/2006/relationships/footer" Target="footer75.xml"/><Relationship Id="rId172" Type="http://schemas.openxmlformats.org/officeDocument/2006/relationships/footer" Target="footer72.xml"/><Relationship Id="rId193"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eader" Target="header16.xml"/><Relationship Id="rId109" Type="http://schemas.openxmlformats.org/officeDocument/2006/relationships/footer" Target="footer44.xml"/><Relationship Id="rId34" Type="http://schemas.openxmlformats.org/officeDocument/2006/relationships/header" Target="header13.xml"/><Relationship Id="rId50" Type="http://schemas.openxmlformats.org/officeDocument/2006/relationships/footer" Target="footer18.xml"/><Relationship Id="rId55" Type="http://schemas.openxmlformats.org/officeDocument/2006/relationships/footer" Target="footer20.xml"/><Relationship Id="rId76" Type="http://schemas.openxmlformats.org/officeDocument/2006/relationships/header" Target="header37.xml"/><Relationship Id="rId97" Type="http://schemas.openxmlformats.org/officeDocument/2006/relationships/header" Target="header48.xml"/><Relationship Id="rId104" Type="http://schemas.openxmlformats.org/officeDocument/2006/relationships/footer" Target="footer42.xml"/><Relationship Id="rId120" Type="http://schemas.openxmlformats.org/officeDocument/2006/relationships/header" Target="header61.xml"/><Relationship Id="rId125" Type="http://schemas.openxmlformats.org/officeDocument/2006/relationships/header" Target="header64.xml"/><Relationship Id="rId141" Type="http://schemas.openxmlformats.org/officeDocument/2006/relationships/footer" Target="footer59.xml"/><Relationship Id="rId146" Type="http://schemas.openxmlformats.org/officeDocument/2006/relationships/footer" Target="footer61.xml"/><Relationship Id="rId167" Type="http://schemas.openxmlformats.org/officeDocument/2006/relationships/footer" Target="footer70.xml"/><Relationship Id="rId188" Type="http://schemas.openxmlformats.org/officeDocument/2006/relationships/header" Target="header99.xml"/><Relationship Id="rId7" Type="http://schemas.openxmlformats.org/officeDocument/2006/relationships/footnotes" Target="footnotes.xml"/><Relationship Id="rId71" Type="http://schemas.openxmlformats.org/officeDocument/2006/relationships/header" Target="header34.xml"/><Relationship Id="rId92" Type="http://schemas.openxmlformats.org/officeDocument/2006/relationships/footer" Target="footer37.xml"/><Relationship Id="rId162" Type="http://schemas.openxmlformats.org/officeDocument/2006/relationships/header" Target="header85.xml"/><Relationship Id="rId183" Type="http://schemas.openxmlformats.org/officeDocument/2006/relationships/header" Target="header96.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header" Target="header31.xml"/><Relationship Id="rId87" Type="http://schemas.openxmlformats.org/officeDocument/2006/relationships/footer" Target="footer35.xml"/><Relationship Id="rId110" Type="http://schemas.openxmlformats.org/officeDocument/2006/relationships/footer" Target="footer45.xml"/><Relationship Id="rId115" Type="http://schemas.openxmlformats.org/officeDocument/2006/relationships/header" Target="header58.xml"/><Relationship Id="rId131" Type="http://schemas.openxmlformats.org/officeDocument/2006/relationships/footer" Target="footer54.xml"/><Relationship Id="rId136" Type="http://schemas.openxmlformats.org/officeDocument/2006/relationships/footer" Target="footer56.xml"/><Relationship Id="rId157" Type="http://schemas.openxmlformats.org/officeDocument/2006/relationships/header" Target="header82.xml"/><Relationship Id="rId178" Type="http://schemas.openxmlformats.org/officeDocument/2006/relationships/header" Target="header93.xml"/><Relationship Id="rId61" Type="http://schemas.openxmlformats.org/officeDocument/2006/relationships/header" Target="header28.xml"/><Relationship Id="rId82" Type="http://schemas.openxmlformats.org/officeDocument/2006/relationships/footer" Target="footer32.xml"/><Relationship Id="rId152" Type="http://schemas.openxmlformats.org/officeDocument/2006/relationships/header" Target="header79.xml"/><Relationship Id="rId173" Type="http://schemas.openxmlformats.org/officeDocument/2006/relationships/footer" Target="footer73.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footer" Target="footer21.xml"/><Relationship Id="rId77" Type="http://schemas.openxmlformats.org/officeDocument/2006/relationships/footer" Target="footer30.xml"/><Relationship Id="rId100" Type="http://schemas.openxmlformats.org/officeDocument/2006/relationships/footer" Target="footer40.xml"/><Relationship Id="rId105" Type="http://schemas.openxmlformats.org/officeDocument/2006/relationships/footer" Target="footer43.xml"/><Relationship Id="rId126" Type="http://schemas.openxmlformats.org/officeDocument/2006/relationships/header" Target="header65.xml"/><Relationship Id="rId147" Type="http://schemas.openxmlformats.org/officeDocument/2006/relationships/header" Target="header76.xml"/><Relationship Id="rId168" Type="http://schemas.openxmlformats.org/officeDocument/2006/relationships/footer" Target="footer7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35.xml"/><Relationship Id="rId93" Type="http://schemas.openxmlformats.org/officeDocument/2006/relationships/header" Target="header46.xml"/><Relationship Id="rId98" Type="http://schemas.openxmlformats.org/officeDocument/2006/relationships/header" Target="header49.xml"/><Relationship Id="rId121" Type="http://schemas.openxmlformats.org/officeDocument/2006/relationships/header" Target="header62.xml"/><Relationship Id="rId142" Type="http://schemas.openxmlformats.org/officeDocument/2006/relationships/header" Target="header73.xml"/><Relationship Id="rId163" Type="http://schemas.openxmlformats.org/officeDocument/2006/relationships/footer" Target="footer68.xml"/><Relationship Id="rId184" Type="http://schemas.openxmlformats.org/officeDocument/2006/relationships/header" Target="header97.xml"/><Relationship Id="rId189" Type="http://schemas.openxmlformats.org/officeDocument/2006/relationships/header" Target="header100.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header" Target="header32.xml"/><Relationship Id="rId116" Type="http://schemas.openxmlformats.org/officeDocument/2006/relationships/header" Target="header59.xml"/><Relationship Id="rId137" Type="http://schemas.openxmlformats.org/officeDocument/2006/relationships/footer" Target="footer57.xml"/><Relationship Id="rId158" Type="http://schemas.openxmlformats.org/officeDocument/2006/relationships/footer" Target="footer66.xml"/><Relationship Id="rId20" Type="http://schemas.openxmlformats.org/officeDocument/2006/relationships/footer" Target="footer5.xml"/><Relationship Id="rId41" Type="http://schemas.openxmlformats.org/officeDocument/2006/relationships/footer" Target="footer14.xml"/><Relationship Id="rId62" Type="http://schemas.openxmlformats.org/officeDocument/2006/relationships/header" Target="header29.xml"/><Relationship Id="rId83" Type="http://schemas.openxmlformats.org/officeDocument/2006/relationships/footer" Target="footer33.xml"/><Relationship Id="rId88" Type="http://schemas.openxmlformats.org/officeDocument/2006/relationships/header" Target="header43.xml"/><Relationship Id="rId111" Type="http://schemas.openxmlformats.org/officeDocument/2006/relationships/header" Target="header56.xml"/><Relationship Id="rId132" Type="http://schemas.openxmlformats.org/officeDocument/2006/relationships/footer" Target="footer55.xml"/><Relationship Id="rId153" Type="http://schemas.openxmlformats.org/officeDocument/2006/relationships/header" Target="header80.xml"/><Relationship Id="rId174" Type="http://schemas.openxmlformats.org/officeDocument/2006/relationships/header" Target="header91.xml"/><Relationship Id="rId179" Type="http://schemas.openxmlformats.org/officeDocument/2006/relationships/header" Target="header94.xml"/><Relationship Id="rId190" Type="http://schemas.openxmlformats.org/officeDocument/2006/relationships/footer" Target="footer80.xml"/><Relationship Id="rId15" Type="http://schemas.openxmlformats.org/officeDocument/2006/relationships/header" Target="header3.xml"/><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header" Target="header53.xml"/><Relationship Id="rId127" Type="http://schemas.openxmlformats.org/officeDocument/2006/relationships/footer" Target="footer52.xml"/><Relationship Id="rId10" Type="http://schemas.openxmlformats.org/officeDocument/2006/relationships/image" Target="media/image2.png"/><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footer" Target="footer28.xml"/><Relationship Id="rId78" Type="http://schemas.openxmlformats.org/officeDocument/2006/relationships/footer" Target="footer31.xml"/><Relationship Id="rId94" Type="http://schemas.openxmlformats.org/officeDocument/2006/relationships/header" Target="header47.xml"/><Relationship Id="rId99" Type="http://schemas.openxmlformats.org/officeDocument/2006/relationships/header" Target="header50.xml"/><Relationship Id="rId101" Type="http://schemas.openxmlformats.org/officeDocument/2006/relationships/footer" Target="footer41.xml"/><Relationship Id="rId122" Type="http://schemas.openxmlformats.org/officeDocument/2006/relationships/footer" Target="footer50.xml"/><Relationship Id="rId143" Type="http://schemas.openxmlformats.org/officeDocument/2006/relationships/header" Target="header74.xml"/><Relationship Id="rId148" Type="http://schemas.openxmlformats.org/officeDocument/2006/relationships/header" Target="header77.xml"/><Relationship Id="rId164" Type="http://schemas.openxmlformats.org/officeDocument/2006/relationships/footer" Target="footer69.xml"/><Relationship Id="rId169" Type="http://schemas.openxmlformats.org/officeDocument/2006/relationships/header" Target="header88.xml"/><Relationship Id="rId185" Type="http://schemas.openxmlformats.org/officeDocument/2006/relationships/footer" Target="footer78.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95.xml"/><Relationship Id="rId26" Type="http://schemas.openxmlformats.org/officeDocument/2006/relationships/header" Target="header9.xml"/></Relationships>
</file>

<file path=word/_rels/endnotes.xml.rels><?xml version="1.0" encoding="UTF-8" standalone="yes"?>
<Relationships xmlns="http://schemas.openxmlformats.org/package/2006/relationships"><Relationship Id="rId8" Type="http://schemas.openxmlformats.org/officeDocument/2006/relationships/hyperlink" Target="http://ijtihadnet.net/%D8%AF%D8%B1%D8%A7%D8%B3%D8%A9-%D9%86%D9%82%D8%AF%D9%8A%D8%A9-%D9%84%D9%85%D9%86%D8%B8%D9%88%D9%85%D8%A9-%D8%A7%D9%84%D8%A7%D9%82%D8%AA%D8%B5%D8%A7%D8%AF-%D8%A7%D9%84%D8%A5%D8%B3%D9%84%D8%A7%D9%85/" TargetMode="External"/><Relationship Id="rId3" Type="http://schemas.openxmlformats.org/officeDocument/2006/relationships/hyperlink" Target="http://www.theses.fr" TargetMode="External"/><Relationship Id="rId7" Type="http://schemas.openxmlformats.org/officeDocument/2006/relationships/hyperlink" Target="http://ijtihadnet.net/%D8%AF%D8%B1%D8%A7%D8%B3%D8%A9-%D9%86%D9%82%D8%AF%D9%8A%D8%A9-%D9%84%D9%85%D9%86%D8%B8%D9%88%D9%85%D8%A9-%D8%A7%D9%84%D8%A7%D9%82%D8%AA%D8%B5%D8%A7%D8%AF-%D8%A7%D9%84%D8%A5%D8%B3%D9%84%D8%A7%D9%85/" TargetMode="External"/><Relationship Id="rId2" Type="http://schemas.openxmlformats.org/officeDocument/2006/relationships/hyperlink" Target="https://www.islamweb.net/newlibrary/showalam.php?ids=2" TargetMode="External"/><Relationship Id="rId1" Type="http://schemas.openxmlformats.org/officeDocument/2006/relationships/hyperlink" Target="http://www.radiozamaneh.com" TargetMode="External"/><Relationship Id="rId6" Type="http://schemas.openxmlformats.org/officeDocument/2006/relationships/hyperlink" Target="http://ijtihadnet.net/%D8%AF%D8%B1%D8%A7%D8%B3%D8%A9-%D9%86%D9%82%D8%AF%D9%8A%D8%A9-%D9%84%D9%85%D9%86%D8%B8%D9%88%D9%85%D8%A9-%D8%A7%D9%84%D8%A7%D9%82%D8%AA%D8%B5%D8%A7%D8%AF-%D8%A7%D9%84%D8%A5%D8%B3%D9%84%D8%A7%D9%85/" TargetMode="External"/><Relationship Id="rId11" Type="http://schemas.openxmlformats.org/officeDocument/2006/relationships/hyperlink" Target="http://ijtihadnet.net/%D8%AF%D8%B1%D8%A7%D8%B3%D8%A9-%D9%86%D9%82%D8%AF%D9%8A%D8%A9-%D9%84%D9%85%D9%86%D8%B8%D9%88%D9%85%D8%A9-%D8%A7%D9%84%D8%A7%D9%82%D8%AA%D8%B5%D8%A7%D8%AF-%D8%A7%D9%84%D8%A5%D8%B3%D9%84%D8%A7%D9%85/" TargetMode="External"/><Relationship Id="rId5" Type="http://schemas.openxmlformats.org/officeDocument/2006/relationships/hyperlink" Target="http://ijtihadnet.net/%D8%AF%D8%B1%D8%A7%D8%B3%D8%A9-%D9%86%D9%82%D8%AF%D9%8A%D8%A9-%D9%84%D9%85%D9%86%D8%B8%D9%88%D9%85%D8%A9-%D8%A7%D9%84%D8%A7%D9%82%D8%AA%D8%B5%D8%A7%D8%AF-%D8%A7%D9%84%D8%A5%D8%B3%D9%84%D8%A7%D9%85/" TargetMode="External"/><Relationship Id="rId10" Type="http://schemas.openxmlformats.org/officeDocument/2006/relationships/hyperlink" Target="http://ijtihadnet.net/%D8%AF%D8%B1%D8%A7%D8%B3%D8%A9-%D9%86%D9%82%D8%AF%D9%8A%D8%A9-%D9%84%D9%85%D9%86%D8%B8%D9%88%D9%85%D8%A9-%D8%A7%D9%84%D8%A7%D9%82%D8%AA%D8%B5%D8%A7%D8%AF-%D8%A7%D9%84%D8%A5%D8%B3%D9%84%D8%A7%D9%85/" TargetMode="External"/><Relationship Id="rId4" Type="http://schemas.openxmlformats.org/officeDocument/2006/relationships/hyperlink" Target="http://www.almaany.com" TargetMode="External"/><Relationship Id="rId9" Type="http://schemas.openxmlformats.org/officeDocument/2006/relationships/hyperlink" Target="http://ijtihadnet.net/%D8%AF%D8%B1%D8%A7%D8%B3%D8%A9-%D9%86%D9%82%D8%AF%D9%8A%D8%A9-%D9%84%D9%85%D9%86%D8%B8%D9%88%D9%85%D8%A9-%D8%A7%D9%84%D8%A7%D9%82%D8%AA%D8%B5%D8%A7%D8%AF-%D8%A7%D9%84%D8%A5%D8%B3%D9%84%D8%A7%D9%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A462A-390C-45DB-B5A5-FED2F6403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145</TotalTime>
  <Pages>1</Pages>
  <Words>101683</Words>
  <Characters>579598</Characters>
  <Application>Microsoft Office Word</Application>
  <DocSecurity>0</DocSecurity>
  <Lines>4829</Lines>
  <Paragraphs>1359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679922</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Maher Fattouh</cp:lastModifiedBy>
  <cp:revision>23</cp:revision>
  <cp:lastPrinted>2022-10-18T15:27:00Z</cp:lastPrinted>
  <dcterms:created xsi:type="dcterms:W3CDTF">2022-09-19T14:43:00Z</dcterms:created>
  <dcterms:modified xsi:type="dcterms:W3CDTF">2022-10-18T15:29:00Z</dcterms:modified>
</cp:coreProperties>
</file>